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31E6" w:rsidRDefault="008B31E6" w:rsidP="008B31E6">
      <w:pPr>
        <w:widowControl w:val="0"/>
        <w:autoSpaceDE w:val="0"/>
        <w:autoSpaceDN w:val="0"/>
        <w:adjustRightInd w:val="0"/>
        <w:spacing w:after="0" w:line="240" w:lineRule="auto"/>
        <w:jc w:val="right"/>
        <w:rPr>
          <w:rFonts w:ascii="Times New Roman" w:hAnsi="Times New Roman" w:cs="Times New Roman"/>
          <w:i/>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41"/>
        <w:gridCol w:w="3071"/>
      </w:tblGrid>
      <w:tr w:rsidR="008B31E6" w:rsidTr="00D9638D">
        <w:tc>
          <w:tcPr>
            <w:tcW w:w="6141" w:type="dxa"/>
            <w:tcBorders>
              <w:top w:val="nil"/>
              <w:left w:val="nil"/>
              <w:bottom w:val="nil"/>
              <w:right w:val="nil"/>
            </w:tcBorders>
            <w:hideMark/>
          </w:tcPr>
          <w:p w:rsidR="008B31E6" w:rsidRDefault="008B31E6" w:rsidP="00D9638D">
            <w:pPr>
              <w:pStyle w:val="StlusSzvegtrzs12pt"/>
              <w:spacing w:line="256" w:lineRule="auto"/>
              <w:jc w:val="center"/>
              <w:rPr>
                <w:b/>
                <w:bCs/>
                <w:sz w:val="22"/>
                <w:szCs w:val="22"/>
                <w:u w:val="single"/>
                <w:lang w:eastAsia="en-US"/>
              </w:rPr>
            </w:pPr>
            <w:r>
              <w:rPr>
                <w:b/>
                <w:bCs/>
                <w:sz w:val="22"/>
                <w:szCs w:val="22"/>
                <w:u w:val="single"/>
                <w:lang w:eastAsia="en-US"/>
              </w:rPr>
              <w:t>NEMZETI KÖZSZOLGÁLATI EGYETEM</w:t>
            </w:r>
          </w:p>
          <w:p w:rsidR="008B31E6" w:rsidRDefault="008B31E6" w:rsidP="008B31E6">
            <w:pPr>
              <w:pStyle w:val="StlusSzvegtrzs12pt"/>
              <w:spacing w:line="256" w:lineRule="auto"/>
              <w:jc w:val="center"/>
              <w:rPr>
                <w:sz w:val="22"/>
                <w:szCs w:val="22"/>
                <w:lang w:eastAsia="en-US"/>
              </w:rPr>
            </w:pPr>
            <w:r>
              <w:rPr>
                <w:b/>
                <w:bCs/>
                <w:sz w:val="22"/>
                <w:szCs w:val="22"/>
                <w:u w:val="single"/>
                <w:lang w:eastAsia="en-US"/>
              </w:rPr>
              <w:t>HADTUDOMÁNYI ÉS HOVÉDTISZTKÉPZŐ KAR</w:t>
            </w:r>
          </w:p>
        </w:tc>
        <w:tc>
          <w:tcPr>
            <w:tcW w:w="3071" w:type="dxa"/>
            <w:tcBorders>
              <w:top w:val="nil"/>
              <w:left w:val="nil"/>
              <w:bottom w:val="nil"/>
              <w:right w:val="nil"/>
            </w:tcBorders>
          </w:tcPr>
          <w:p w:rsidR="008B31E6" w:rsidRDefault="008B31E6" w:rsidP="00D9638D">
            <w:pPr>
              <w:pStyle w:val="StlusSzvegtrzs12pt"/>
              <w:spacing w:line="256" w:lineRule="auto"/>
              <w:rPr>
                <w:sz w:val="22"/>
                <w:szCs w:val="22"/>
                <w:lang w:eastAsia="en-US"/>
              </w:rPr>
            </w:pPr>
          </w:p>
          <w:p w:rsidR="008B31E6" w:rsidRDefault="008B31E6" w:rsidP="00D9638D">
            <w:pPr>
              <w:pStyle w:val="StlusSzvegtrzs12pt"/>
              <w:spacing w:line="256" w:lineRule="auto"/>
              <w:rPr>
                <w:sz w:val="22"/>
                <w:szCs w:val="22"/>
                <w:lang w:eastAsia="en-US"/>
              </w:rPr>
            </w:pPr>
          </w:p>
          <w:p w:rsidR="008B31E6" w:rsidRDefault="008B31E6" w:rsidP="00D9638D">
            <w:pPr>
              <w:pStyle w:val="StlusSzvegtrzs12pt"/>
              <w:spacing w:line="256" w:lineRule="auto"/>
              <w:jc w:val="right"/>
              <w:rPr>
                <w:sz w:val="22"/>
                <w:szCs w:val="22"/>
                <w:lang w:eastAsia="en-US"/>
              </w:rPr>
            </w:pPr>
          </w:p>
        </w:tc>
      </w:tr>
    </w:tbl>
    <w:p w:rsidR="008B31E6" w:rsidRDefault="008B31E6" w:rsidP="008B31E6">
      <w:pPr>
        <w:pStyle w:val="StlusSzvegtrzs12pt"/>
        <w:rPr>
          <w:sz w:val="22"/>
          <w:szCs w:val="22"/>
        </w:rPr>
      </w:pPr>
    </w:p>
    <w:p w:rsidR="008B31E6" w:rsidRDefault="008B31E6" w:rsidP="008B31E6">
      <w:pPr>
        <w:pStyle w:val="StlusSzvegtrzs12pt"/>
        <w:rPr>
          <w:sz w:val="22"/>
          <w:szCs w:val="22"/>
        </w:rPr>
      </w:pPr>
      <w:r w:rsidRPr="00026DC6">
        <w:rPr>
          <w:sz w:val="22"/>
          <w:szCs w:val="22"/>
        </w:rPr>
        <w:t>Nyilvántartási szám: …</w:t>
      </w:r>
      <w:r w:rsidRPr="00026DC6">
        <w:rPr>
          <w:sz w:val="22"/>
          <w:szCs w:val="22"/>
        </w:rPr>
        <w:tab/>
      </w:r>
      <w:r w:rsidRPr="00026DC6">
        <w:rPr>
          <w:sz w:val="22"/>
          <w:szCs w:val="22"/>
        </w:rPr>
        <w:tab/>
      </w:r>
      <w:r w:rsidRPr="00026DC6">
        <w:rPr>
          <w:sz w:val="22"/>
          <w:szCs w:val="22"/>
        </w:rPr>
        <w:tab/>
      </w:r>
      <w:r w:rsidRPr="00026DC6">
        <w:rPr>
          <w:sz w:val="22"/>
          <w:szCs w:val="22"/>
        </w:rPr>
        <w:tab/>
      </w:r>
      <w:r w:rsidRPr="00026DC6">
        <w:rPr>
          <w:sz w:val="22"/>
          <w:szCs w:val="22"/>
        </w:rPr>
        <w:tab/>
      </w:r>
      <w:r w:rsidRPr="00026DC6">
        <w:rPr>
          <w:sz w:val="22"/>
          <w:szCs w:val="22"/>
        </w:rPr>
        <w:tab/>
      </w:r>
      <w:r w:rsidRPr="00026DC6">
        <w:rPr>
          <w:sz w:val="22"/>
          <w:szCs w:val="22"/>
        </w:rPr>
        <w:tab/>
      </w:r>
      <w:r w:rsidRPr="00026DC6">
        <w:rPr>
          <w:sz w:val="22"/>
          <w:szCs w:val="22"/>
        </w:rPr>
        <w:tab/>
      </w:r>
      <w:r w:rsidRPr="00026DC6">
        <w:rPr>
          <w:sz w:val="22"/>
          <w:szCs w:val="22"/>
        </w:rPr>
        <w:tab/>
        <w:t>.. számú példány</w:t>
      </w:r>
    </w:p>
    <w:p w:rsidR="008B31E6" w:rsidRDefault="008B31E6" w:rsidP="008B31E6">
      <w:pPr>
        <w:pStyle w:val="StlusSzvegtrzs12pt"/>
        <w:rPr>
          <w:sz w:val="22"/>
          <w:szCs w:val="22"/>
        </w:rPr>
      </w:pPr>
    </w:p>
    <w:p w:rsidR="008B31E6" w:rsidRDefault="008B31E6" w:rsidP="008B31E6">
      <w:pPr>
        <w:pStyle w:val="StlusSzvegtrzs12pt"/>
        <w:rPr>
          <w:sz w:val="22"/>
          <w:szCs w:val="22"/>
        </w:rPr>
      </w:pPr>
    </w:p>
    <w:p w:rsidR="008B31E6" w:rsidRDefault="008B31E6" w:rsidP="008B31E6">
      <w:pPr>
        <w:pStyle w:val="StlusSzvegtrzs12pt"/>
        <w:rPr>
          <w:sz w:val="22"/>
          <w:szCs w:val="22"/>
        </w:rPr>
      </w:pPr>
    </w:p>
    <w:p w:rsidR="008B31E6" w:rsidRDefault="008B31E6" w:rsidP="008B31E6">
      <w:pPr>
        <w:pStyle w:val="StlusSzvegtrzs12pt"/>
        <w:rPr>
          <w:sz w:val="22"/>
          <w:szCs w:val="22"/>
        </w:rPr>
      </w:pPr>
    </w:p>
    <w:p w:rsidR="008B31E6" w:rsidRDefault="008B31E6" w:rsidP="008B31E6">
      <w:pPr>
        <w:pStyle w:val="StlusSzvegtrzs12pt"/>
        <w:rPr>
          <w:sz w:val="22"/>
          <w:szCs w:val="22"/>
        </w:rPr>
      </w:pPr>
    </w:p>
    <w:p w:rsidR="008B31E6" w:rsidRDefault="008B31E6" w:rsidP="008B31E6">
      <w:pPr>
        <w:pStyle w:val="StlusSzvegtrzs12pt"/>
        <w:rPr>
          <w:sz w:val="22"/>
          <w:szCs w:val="22"/>
        </w:rPr>
      </w:pPr>
    </w:p>
    <w:p w:rsidR="008B31E6" w:rsidRDefault="008B31E6" w:rsidP="008B31E6">
      <w:pPr>
        <w:pStyle w:val="StlusSzvegtrzs12pt"/>
        <w:rPr>
          <w:sz w:val="22"/>
          <w:szCs w:val="22"/>
        </w:rPr>
      </w:pPr>
    </w:p>
    <w:p w:rsidR="008B31E6" w:rsidRDefault="008B31E6" w:rsidP="008B31E6">
      <w:pPr>
        <w:pStyle w:val="StlusSzvegtrzs12pt"/>
        <w:rPr>
          <w:sz w:val="22"/>
          <w:szCs w:val="22"/>
        </w:rPr>
      </w:pPr>
    </w:p>
    <w:p w:rsidR="008B31E6" w:rsidRDefault="008B31E6" w:rsidP="008B31E6">
      <w:pPr>
        <w:spacing w:after="0" w:line="240" w:lineRule="auto"/>
        <w:rPr>
          <w:rFonts w:ascii="Times New Roman" w:hAnsi="Times New Roman" w:cs="Times New Roman"/>
        </w:rPr>
      </w:pPr>
    </w:p>
    <w:p w:rsidR="008B31E6" w:rsidRDefault="008B31E6" w:rsidP="008B31E6">
      <w:pPr>
        <w:spacing w:after="0" w:line="240" w:lineRule="auto"/>
        <w:rPr>
          <w:rFonts w:ascii="Times New Roman" w:hAnsi="Times New Roman" w:cs="Times New Roman"/>
        </w:rPr>
      </w:pPr>
    </w:p>
    <w:p w:rsidR="008B31E6" w:rsidRDefault="008B31E6" w:rsidP="008B31E6">
      <w:pPr>
        <w:spacing w:after="0" w:line="240" w:lineRule="auto"/>
        <w:jc w:val="center"/>
        <w:rPr>
          <w:rFonts w:ascii="Times New Roman" w:hAnsi="Times New Roman" w:cs="Times New Roman"/>
          <w:b/>
          <w:bCs/>
        </w:rPr>
      </w:pPr>
    </w:p>
    <w:p w:rsidR="008B31E6" w:rsidRDefault="008B31E6" w:rsidP="008B31E6">
      <w:pPr>
        <w:spacing w:after="0" w:line="240" w:lineRule="auto"/>
        <w:jc w:val="center"/>
        <w:rPr>
          <w:rFonts w:ascii="Times New Roman" w:hAnsi="Times New Roman" w:cs="Times New Roman"/>
          <w:b/>
          <w:bCs/>
        </w:rPr>
      </w:pPr>
      <w:r w:rsidRPr="007D1733">
        <w:rPr>
          <w:rFonts w:ascii="Times New Roman" w:hAnsi="Times New Roman" w:cs="Times New Roman"/>
          <w:b/>
          <w:bCs/>
        </w:rPr>
        <w:t xml:space="preserve">KATONAI LOGISZTIKA </w:t>
      </w:r>
      <w:r>
        <w:rPr>
          <w:rFonts w:ascii="Times New Roman" w:hAnsi="Times New Roman" w:cs="Times New Roman"/>
          <w:b/>
          <w:bCs/>
        </w:rPr>
        <w:t>ALAPKÉPZÉSI SZAK AJÁNLOTT TANTERVE</w:t>
      </w:r>
    </w:p>
    <w:p w:rsidR="008B31E6" w:rsidRDefault="008B31E6" w:rsidP="008B31E6">
      <w:pPr>
        <w:spacing w:after="0" w:line="240" w:lineRule="auto"/>
        <w:jc w:val="center"/>
        <w:rPr>
          <w:rFonts w:ascii="Times New Roman" w:hAnsi="Times New Roman" w:cs="Times New Roman"/>
        </w:rPr>
      </w:pPr>
    </w:p>
    <w:p w:rsidR="008B31E6" w:rsidRDefault="008B31E6" w:rsidP="008B31E6">
      <w:pPr>
        <w:spacing w:after="0" w:line="240" w:lineRule="auto"/>
        <w:jc w:val="center"/>
        <w:rPr>
          <w:rFonts w:ascii="Times New Roman" w:hAnsi="Times New Roman" w:cs="Times New Roman"/>
        </w:rPr>
      </w:pPr>
    </w:p>
    <w:p w:rsidR="008B31E6" w:rsidRDefault="008B31E6" w:rsidP="008B31E6">
      <w:pPr>
        <w:spacing w:after="0" w:line="240" w:lineRule="auto"/>
        <w:jc w:val="center"/>
        <w:rPr>
          <w:rFonts w:ascii="Times New Roman" w:hAnsi="Times New Roman" w:cs="Times New Roman"/>
        </w:rPr>
      </w:pPr>
    </w:p>
    <w:p w:rsidR="008B31E6" w:rsidRDefault="008B31E6" w:rsidP="008B31E6">
      <w:pPr>
        <w:spacing w:after="0" w:line="240" w:lineRule="auto"/>
        <w:rPr>
          <w:rFonts w:ascii="Times New Roman" w:hAnsi="Times New Roman" w:cs="Times New Roman"/>
        </w:rPr>
      </w:pPr>
    </w:p>
    <w:p w:rsidR="008B31E6" w:rsidRDefault="008B31E6" w:rsidP="008B31E6">
      <w:pPr>
        <w:spacing w:after="0" w:line="240" w:lineRule="auto"/>
        <w:rPr>
          <w:rFonts w:ascii="Times New Roman" w:hAnsi="Times New Roman" w:cs="Times New Roman"/>
        </w:rPr>
      </w:pPr>
    </w:p>
    <w:p w:rsidR="008B31E6" w:rsidRDefault="008B31E6" w:rsidP="008B31E6">
      <w:pPr>
        <w:spacing w:after="0" w:line="240" w:lineRule="auto"/>
        <w:jc w:val="center"/>
        <w:rPr>
          <w:rFonts w:ascii="Times New Roman" w:hAnsi="Times New Roman" w:cs="Times New Roman"/>
          <w:b/>
          <w:bCs/>
        </w:rPr>
      </w:pPr>
      <w:r>
        <w:rPr>
          <w:rFonts w:ascii="Times New Roman" w:hAnsi="Times New Roman" w:cs="Times New Roman"/>
          <w:b/>
          <w:bCs/>
        </w:rPr>
        <w:t>Alkalmazandó:</w:t>
      </w:r>
    </w:p>
    <w:p w:rsidR="008B31E6" w:rsidRDefault="008B31E6" w:rsidP="008B31E6">
      <w:pPr>
        <w:spacing w:after="0" w:line="240" w:lineRule="auto"/>
        <w:jc w:val="center"/>
        <w:rPr>
          <w:rFonts w:ascii="Times New Roman" w:hAnsi="Times New Roman" w:cs="Times New Roman"/>
          <w:b/>
          <w:bCs/>
        </w:rPr>
      </w:pPr>
      <w:r w:rsidRPr="007D1733">
        <w:rPr>
          <w:rFonts w:ascii="Times New Roman" w:hAnsi="Times New Roman" w:cs="Times New Roman"/>
          <w:b/>
          <w:bCs/>
        </w:rPr>
        <w:t>a 2020/2021. tanévtől felmenő rendszerben</w:t>
      </w:r>
    </w:p>
    <w:p w:rsidR="008B31E6" w:rsidRDefault="008B31E6" w:rsidP="008B31E6">
      <w:pPr>
        <w:spacing w:after="0" w:line="240" w:lineRule="auto"/>
        <w:rPr>
          <w:rFonts w:ascii="Times New Roman" w:hAnsi="Times New Roman" w:cs="Times New Roman"/>
        </w:rPr>
      </w:pPr>
    </w:p>
    <w:p w:rsidR="008B31E6" w:rsidRDefault="008B31E6" w:rsidP="008B31E6">
      <w:pPr>
        <w:spacing w:after="0" w:line="240" w:lineRule="auto"/>
        <w:rPr>
          <w:rFonts w:ascii="Times New Roman" w:hAnsi="Times New Roman" w:cs="Times New Roman"/>
        </w:rPr>
      </w:pPr>
    </w:p>
    <w:p w:rsidR="008B31E6" w:rsidRDefault="008B31E6" w:rsidP="008B31E6">
      <w:pPr>
        <w:spacing w:after="0" w:line="240" w:lineRule="auto"/>
        <w:rPr>
          <w:rFonts w:ascii="Times New Roman" w:hAnsi="Times New Roman" w:cs="Times New Roman"/>
        </w:rPr>
      </w:pPr>
    </w:p>
    <w:p w:rsidR="008B31E6" w:rsidRDefault="008B31E6" w:rsidP="008B31E6">
      <w:pPr>
        <w:spacing w:after="0" w:line="240" w:lineRule="auto"/>
        <w:rPr>
          <w:rFonts w:ascii="Times New Roman" w:hAnsi="Times New Roman" w:cs="Times New Roman"/>
        </w:rPr>
      </w:pPr>
    </w:p>
    <w:p w:rsidR="008B31E6" w:rsidRDefault="008B31E6" w:rsidP="008B31E6">
      <w:pPr>
        <w:spacing w:after="0" w:line="240" w:lineRule="auto"/>
        <w:rPr>
          <w:rFonts w:ascii="Times New Roman" w:hAnsi="Times New Roman" w:cs="Times New Roman"/>
        </w:rPr>
      </w:pPr>
    </w:p>
    <w:p w:rsidR="008B31E6" w:rsidRDefault="008B31E6" w:rsidP="008B31E6">
      <w:pPr>
        <w:spacing w:after="0" w:line="240" w:lineRule="auto"/>
        <w:rPr>
          <w:rFonts w:ascii="Times New Roman" w:hAnsi="Times New Roman" w:cs="Times New Roman"/>
        </w:rPr>
      </w:pPr>
    </w:p>
    <w:p w:rsidR="008B31E6" w:rsidRDefault="008B31E6" w:rsidP="008B31E6">
      <w:pPr>
        <w:spacing w:after="0" w:line="240" w:lineRule="auto"/>
        <w:rPr>
          <w:rFonts w:ascii="Times New Roman" w:hAnsi="Times New Roman" w:cs="Times New Roman"/>
        </w:rPr>
      </w:pPr>
    </w:p>
    <w:p w:rsidR="008B31E6" w:rsidRDefault="008B31E6" w:rsidP="008B31E6">
      <w:pPr>
        <w:spacing w:after="0" w:line="240" w:lineRule="auto"/>
        <w:rPr>
          <w:rFonts w:ascii="Times New Roman" w:hAnsi="Times New Roman" w:cs="Times New Roman"/>
        </w:rPr>
      </w:pPr>
    </w:p>
    <w:p w:rsidR="008B31E6" w:rsidRDefault="008B31E6" w:rsidP="008B31E6">
      <w:pPr>
        <w:spacing w:after="0" w:line="240" w:lineRule="auto"/>
        <w:rPr>
          <w:rFonts w:ascii="Times New Roman" w:hAnsi="Times New Roman" w:cs="Times New Roman"/>
        </w:rPr>
      </w:pPr>
    </w:p>
    <w:p w:rsidR="008B31E6" w:rsidRDefault="008B31E6" w:rsidP="008B31E6">
      <w:pPr>
        <w:spacing w:after="0" w:line="240" w:lineRule="auto"/>
        <w:rPr>
          <w:rFonts w:ascii="Times New Roman" w:hAnsi="Times New Roman" w:cs="Times New Roman"/>
        </w:rPr>
      </w:pPr>
    </w:p>
    <w:p w:rsidR="008B31E6" w:rsidRDefault="008B31E6" w:rsidP="008B31E6">
      <w:pPr>
        <w:spacing w:after="0" w:line="240" w:lineRule="auto"/>
        <w:rPr>
          <w:rFonts w:ascii="Times New Roman" w:hAnsi="Times New Roman" w:cs="Times New Roman"/>
        </w:rPr>
      </w:pPr>
    </w:p>
    <w:p w:rsidR="008B31E6" w:rsidRDefault="008B31E6" w:rsidP="008B31E6">
      <w:pPr>
        <w:spacing w:after="0" w:line="240" w:lineRule="auto"/>
        <w:rPr>
          <w:rFonts w:ascii="Times New Roman" w:hAnsi="Times New Roman" w:cs="Times New Roman"/>
        </w:rPr>
      </w:pPr>
    </w:p>
    <w:p w:rsidR="008B31E6" w:rsidRDefault="008B31E6" w:rsidP="008B31E6">
      <w:pPr>
        <w:spacing w:after="0" w:line="240" w:lineRule="auto"/>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4927"/>
        <w:gridCol w:w="4927"/>
      </w:tblGrid>
      <w:tr w:rsidR="008B31E6" w:rsidTr="00D9638D">
        <w:tc>
          <w:tcPr>
            <w:tcW w:w="4744" w:type="dxa"/>
            <w:tcBorders>
              <w:top w:val="single" w:sz="4" w:space="0" w:color="auto"/>
              <w:left w:val="single" w:sz="4" w:space="0" w:color="auto"/>
              <w:bottom w:val="single" w:sz="4" w:space="0" w:color="auto"/>
              <w:right w:val="single" w:sz="4" w:space="0" w:color="auto"/>
            </w:tcBorders>
            <w:shd w:val="clear" w:color="auto" w:fill="auto"/>
            <w:hideMark/>
          </w:tcPr>
          <w:p w:rsidR="008B31E6" w:rsidRDefault="008B31E6" w:rsidP="00D9638D">
            <w:pPr>
              <w:spacing w:after="0" w:line="240" w:lineRule="auto"/>
              <w:rPr>
                <w:rFonts w:ascii="Times New Roman" w:hAnsi="Times New Roman" w:cs="Times New Roman"/>
                <w:b/>
              </w:rPr>
            </w:pPr>
            <w:r>
              <w:rPr>
                <w:rFonts w:ascii="Times New Roman" w:hAnsi="Times New Roman" w:cs="Times New Roman"/>
                <w:b/>
              </w:rPr>
              <w:t>Szenátusi döntés</w:t>
            </w:r>
          </w:p>
        </w:tc>
        <w:tc>
          <w:tcPr>
            <w:tcW w:w="4744" w:type="dxa"/>
            <w:tcBorders>
              <w:top w:val="single" w:sz="4" w:space="0" w:color="auto"/>
              <w:left w:val="single" w:sz="4" w:space="0" w:color="auto"/>
              <w:bottom w:val="single" w:sz="4" w:space="0" w:color="auto"/>
              <w:right w:val="single" w:sz="4" w:space="0" w:color="auto"/>
            </w:tcBorders>
            <w:shd w:val="clear" w:color="auto" w:fill="auto"/>
            <w:hideMark/>
          </w:tcPr>
          <w:p w:rsidR="008B31E6" w:rsidRDefault="008B31E6" w:rsidP="00D9638D">
            <w:pPr>
              <w:spacing w:after="0" w:line="240" w:lineRule="auto"/>
              <w:rPr>
                <w:rFonts w:ascii="Times New Roman" w:hAnsi="Times New Roman" w:cs="Times New Roman"/>
                <w:b/>
              </w:rPr>
            </w:pPr>
            <w:r>
              <w:rPr>
                <w:rFonts w:ascii="Times New Roman" w:hAnsi="Times New Roman" w:cs="Times New Roman"/>
                <w:b/>
              </w:rPr>
              <w:t>Fenntartói döntés</w:t>
            </w:r>
          </w:p>
        </w:tc>
      </w:tr>
      <w:tr w:rsidR="008B31E6" w:rsidTr="00D9638D">
        <w:tc>
          <w:tcPr>
            <w:tcW w:w="4744" w:type="dxa"/>
            <w:tcBorders>
              <w:top w:val="single" w:sz="4" w:space="0" w:color="auto"/>
              <w:left w:val="single" w:sz="4" w:space="0" w:color="auto"/>
              <w:bottom w:val="single" w:sz="4" w:space="0" w:color="auto"/>
              <w:right w:val="single" w:sz="4" w:space="0" w:color="auto"/>
            </w:tcBorders>
            <w:shd w:val="clear" w:color="auto" w:fill="auto"/>
            <w:hideMark/>
          </w:tcPr>
          <w:p w:rsidR="008B31E6" w:rsidRDefault="008B31E6" w:rsidP="00D9638D">
            <w:pPr>
              <w:spacing w:after="0" w:line="240" w:lineRule="auto"/>
              <w:rPr>
                <w:rFonts w:ascii="Times New Roman" w:hAnsi="Times New Roman" w:cs="Times New Roman"/>
                <w:b/>
              </w:rPr>
            </w:pPr>
            <w:r>
              <w:rPr>
                <w:rFonts w:ascii="Times New Roman" w:hAnsi="Times New Roman" w:cs="Times New Roman"/>
              </w:rPr>
              <w:t xml:space="preserve">Elfogadta a Szenátus </w:t>
            </w:r>
            <w:r>
              <w:rPr>
                <w:rFonts w:ascii="Times New Roman" w:hAnsi="Times New Roman" w:cs="Times New Roman"/>
                <w:highlight w:val="lightGray"/>
              </w:rPr>
              <w:t>…………………</w:t>
            </w:r>
            <w:r>
              <w:rPr>
                <w:rFonts w:ascii="Times New Roman" w:hAnsi="Times New Roman" w:cs="Times New Roman"/>
              </w:rPr>
              <w:t xml:space="preserve"> számú határozatával.</w:t>
            </w:r>
          </w:p>
        </w:tc>
        <w:tc>
          <w:tcPr>
            <w:tcW w:w="4744" w:type="dxa"/>
            <w:tcBorders>
              <w:top w:val="single" w:sz="4" w:space="0" w:color="auto"/>
              <w:left w:val="single" w:sz="4" w:space="0" w:color="auto"/>
              <w:bottom w:val="single" w:sz="4" w:space="0" w:color="auto"/>
              <w:right w:val="single" w:sz="4" w:space="0" w:color="auto"/>
            </w:tcBorders>
            <w:shd w:val="clear" w:color="auto" w:fill="auto"/>
            <w:hideMark/>
          </w:tcPr>
          <w:p w:rsidR="008B31E6" w:rsidRDefault="008B31E6" w:rsidP="00D9638D">
            <w:pPr>
              <w:spacing w:after="0" w:line="240" w:lineRule="auto"/>
              <w:rPr>
                <w:rFonts w:ascii="Times New Roman" w:hAnsi="Times New Roman" w:cs="Times New Roman"/>
                <w:b/>
              </w:rPr>
            </w:pPr>
            <w:r>
              <w:rPr>
                <w:rFonts w:ascii="Times New Roman" w:hAnsi="Times New Roman" w:cs="Times New Roman"/>
              </w:rPr>
              <w:t xml:space="preserve">Jóváhagyta a Fenntartó </w:t>
            </w:r>
            <w:r>
              <w:rPr>
                <w:rFonts w:ascii="Times New Roman" w:hAnsi="Times New Roman" w:cs="Times New Roman"/>
                <w:highlight w:val="lightGray"/>
              </w:rPr>
              <w:t>………………</w:t>
            </w:r>
            <w:r>
              <w:rPr>
                <w:rFonts w:ascii="Times New Roman" w:hAnsi="Times New Roman" w:cs="Times New Roman"/>
              </w:rPr>
              <w:t>.számú határozatával.</w:t>
            </w:r>
          </w:p>
        </w:tc>
      </w:tr>
    </w:tbl>
    <w:p w:rsidR="008B31E6" w:rsidRDefault="008B31E6" w:rsidP="008B31E6">
      <w:pPr>
        <w:spacing w:after="0" w:line="240" w:lineRule="auto"/>
        <w:rPr>
          <w:rFonts w:ascii="Times New Roman" w:hAnsi="Times New Roman" w:cs="Times New Roman"/>
        </w:rPr>
      </w:pPr>
    </w:p>
    <w:p w:rsidR="008B31E6" w:rsidRDefault="008B31E6" w:rsidP="008B31E6">
      <w:pPr>
        <w:spacing w:after="0" w:line="240" w:lineRule="auto"/>
        <w:rPr>
          <w:rFonts w:ascii="Times New Roman" w:hAnsi="Times New Roman" w:cs="Times New Roman"/>
        </w:rPr>
      </w:pPr>
    </w:p>
    <w:p w:rsidR="008B31E6" w:rsidRDefault="008B31E6" w:rsidP="008B31E6">
      <w:pPr>
        <w:spacing w:after="0" w:line="240" w:lineRule="auto"/>
        <w:rPr>
          <w:rFonts w:ascii="Times New Roman" w:hAnsi="Times New Roman" w:cs="Times New Roman"/>
        </w:rPr>
      </w:pPr>
    </w:p>
    <w:p w:rsidR="008B31E6" w:rsidRDefault="008B31E6" w:rsidP="008B31E6">
      <w:pPr>
        <w:spacing w:after="0" w:line="240" w:lineRule="auto"/>
        <w:rPr>
          <w:rFonts w:ascii="Times New Roman" w:hAnsi="Times New Roman" w:cs="Times New Roman"/>
        </w:rPr>
      </w:pPr>
    </w:p>
    <w:p w:rsidR="008B31E6" w:rsidRDefault="008B31E6" w:rsidP="008B31E6">
      <w:pPr>
        <w:spacing w:after="0" w:line="240" w:lineRule="auto"/>
        <w:rPr>
          <w:rFonts w:ascii="Times New Roman" w:hAnsi="Times New Roman" w:cs="Times New Roman"/>
        </w:rPr>
      </w:pPr>
    </w:p>
    <w:p w:rsidR="008B31E6" w:rsidRDefault="008B31E6" w:rsidP="008B31E6">
      <w:pPr>
        <w:spacing w:after="0" w:line="240" w:lineRule="auto"/>
        <w:rPr>
          <w:rFonts w:ascii="Times New Roman" w:hAnsi="Times New Roman" w:cs="Times New Roman"/>
        </w:rPr>
      </w:pPr>
    </w:p>
    <w:p w:rsidR="008B31E6" w:rsidRDefault="008B31E6" w:rsidP="008B31E6">
      <w:pPr>
        <w:spacing w:after="0" w:line="240" w:lineRule="auto"/>
        <w:rPr>
          <w:rFonts w:ascii="Times New Roman" w:hAnsi="Times New Roman" w:cs="Times New Roman"/>
        </w:rPr>
      </w:pPr>
    </w:p>
    <w:p w:rsidR="008B31E6" w:rsidRDefault="008B31E6" w:rsidP="008B31E6">
      <w:pPr>
        <w:spacing w:after="0" w:line="240" w:lineRule="auto"/>
        <w:rPr>
          <w:rFonts w:ascii="Times New Roman" w:hAnsi="Times New Roman" w:cs="Times New Roman"/>
        </w:rPr>
      </w:pPr>
    </w:p>
    <w:p w:rsidR="008B31E6" w:rsidRDefault="008B31E6" w:rsidP="008B31E6">
      <w:pPr>
        <w:spacing w:after="0" w:line="240" w:lineRule="auto"/>
        <w:rPr>
          <w:rFonts w:ascii="Times New Roman" w:hAnsi="Times New Roman" w:cs="Times New Roman"/>
        </w:rPr>
      </w:pPr>
    </w:p>
    <w:p w:rsidR="008B31E6" w:rsidRDefault="008B31E6" w:rsidP="008B31E6">
      <w:pPr>
        <w:spacing w:after="0" w:line="240" w:lineRule="auto"/>
        <w:jc w:val="center"/>
        <w:rPr>
          <w:rFonts w:ascii="Times New Roman" w:hAnsi="Times New Roman" w:cs="Times New Roman"/>
        </w:rPr>
      </w:pPr>
      <w:r w:rsidRPr="00EB294E">
        <w:rPr>
          <w:rFonts w:ascii="Times New Roman" w:hAnsi="Times New Roman" w:cs="Times New Roman"/>
        </w:rPr>
        <w:t>Budapest, 2020</w:t>
      </w:r>
    </w:p>
    <w:p w:rsidR="008B31E6" w:rsidRDefault="008B31E6" w:rsidP="008B31E6">
      <w:pPr>
        <w:spacing w:after="0" w:line="240" w:lineRule="auto"/>
        <w:rPr>
          <w:rFonts w:ascii="Times New Roman" w:hAnsi="Times New Roman" w:cs="Times New Roman"/>
        </w:rPr>
      </w:pPr>
    </w:p>
    <w:p w:rsidR="008B31E6" w:rsidRDefault="008B31E6" w:rsidP="008B31E6">
      <w:pPr>
        <w:spacing w:after="0" w:line="240" w:lineRule="auto"/>
        <w:rPr>
          <w:rFonts w:ascii="Times New Roman" w:hAnsi="Times New Roman" w:cs="Times New Roman"/>
        </w:rPr>
        <w:sectPr w:rsidR="008B31E6">
          <w:pgSz w:w="11906" w:h="16838"/>
          <w:pgMar w:top="1134" w:right="1134" w:bottom="1134" w:left="1134" w:header="709" w:footer="709" w:gutter="0"/>
          <w:pgNumType w:start="1"/>
          <w:cols w:space="708"/>
        </w:sectPr>
      </w:pPr>
    </w:p>
    <w:p w:rsidR="008B31E6" w:rsidRDefault="008B31E6" w:rsidP="008B31E6">
      <w:pPr>
        <w:spacing w:after="0" w:line="240" w:lineRule="auto"/>
        <w:jc w:val="center"/>
        <w:rPr>
          <w:rFonts w:ascii="Times New Roman" w:hAnsi="Times New Roman" w:cs="Times New Roman"/>
          <w:b/>
          <w:bCs/>
        </w:rPr>
      </w:pPr>
    </w:p>
    <w:p w:rsidR="008B31E6" w:rsidRDefault="008B31E6" w:rsidP="008B31E6">
      <w:pPr>
        <w:spacing w:after="0" w:line="240" w:lineRule="auto"/>
        <w:jc w:val="center"/>
        <w:rPr>
          <w:rFonts w:ascii="Times New Roman" w:hAnsi="Times New Roman" w:cs="Times New Roman"/>
          <w:b/>
          <w:bCs/>
        </w:rPr>
      </w:pPr>
    </w:p>
    <w:p w:rsidR="008B31E6" w:rsidRDefault="008B31E6" w:rsidP="008B31E6">
      <w:pPr>
        <w:spacing w:after="0" w:line="240" w:lineRule="auto"/>
        <w:jc w:val="center"/>
        <w:rPr>
          <w:rFonts w:ascii="Times New Roman" w:hAnsi="Times New Roman" w:cs="Times New Roman"/>
          <w:b/>
          <w:bCs/>
        </w:rPr>
      </w:pPr>
    </w:p>
    <w:p w:rsidR="008B31E6" w:rsidRDefault="008B31E6" w:rsidP="008B31E6">
      <w:pPr>
        <w:spacing w:after="0" w:line="240" w:lineRule="auto"/>
        <w:jc w:val="center"/>
        <w:rPr>
          <w:rFonts w:ascii="Times New Roman" w:hAnsi="Times New Roman" w:cs="Times New Roman"/>
          <w:b/>
          <w:bCs/>
          <w:u w:val="single"/>
        </w:rPr>
      </w:pPr>
      <w:r>
        <w:rPr>
          <w:rFonts w:ascii="Times New Roman" w:hAnsi="Times New Roman" w:cs="Times New Roman"/>
          <w:b/>
          <w:bCs/>
        </w:rPr>
        <w:t xml:space="preserve">A szakfelelős: </w:t>
      </w:r>
      <w:r w:rsidRPr="000B4D34">
        <w:rPr>
          <w:rFonts w:ascii="Times New Roman" w:hAnsi="Times New Roman" w:cs="Times New Roman"/>
          <w:b/>
          <w:bCs/>
        </w:rPr>
        <w:t xml:space="preserve">Dr. </w:t>
      </w:r>
      <w:r>
        <w:rPr>
          <w:rFonts w:ascii="Times New Roman" w:hAnsi="Times New Roman" w:cs="Times New Roman"/>
          <w:b/>
          <w:bCs/>
        </w:rPr>
        <w:t>Szászi Gábor</w:t>
      </w:r>
      <w:r w:rsidRPr="000B4D34">
        <w:rPr>
          <w:rFonts w:ascii="Times New Roman" w:hAnsi="Times New Roman" w:cs="Times New Roman"/>
          <w:b/>
          <w:bCs/>
        </w:rPr>
        <w:t>, PhD, egyetemi docens</w:t>
      </w:r>
    </w:p>
    <w:p w:rsidR="008B31E6" w:rsidRDefault="008B31E6" w:rsidP="008B31E6">
      <w:pPr>
        <w:spacing w:after="0" w:line="240" w:lineRule="auto"/>
        <w:jc w:val="center"/>
        <w:rPr>
          <w:rFonts w:ascii="Times New Roman" w:hAnsi="Times New Roman" w:cs="Times New Roman"/>
          <w:b/>
          <w:bCs/>
        </w:rPr>
      </w:pPr>
    </w:p>
    <w:p w:rsidR="008B31E6" w:rsidRDefault="008B31E6" w:rsidP="008B31E6">
      <w:pPr>
        <w:spacing w:after="0" w:line="240" w:lineRule="auto"/>
        <w:jc w:val="center"/>
        <w:rPr>
          <w:rFonts w:ascii="Times New Roman" w:hAnsi="Times New Roman" w:cs="Times New Roman"/>
          <w:b/>
          <w:bCs/>
        </w:rPr>
      </w:pPr>
    </w:p>
    <w:p w:rsidR="008B31E6" w:rsidRDefault="008B31E6" w:rsidP="008B31E6">
      <w:pPr>
        <w:spacing w:after="0" w:line="240" w:lineRule="auto"/>
        <w:jc w:val="center"/>
        <w:rPr>
          <w:rFonts w:ascii="Times New Roman" w:hAnsi="Times New Roman" w:cs="Times New Roman"/>
          <w:b/>
          <w:bCs/>
        </w:rPr>
      </w:pPr>
    </w:p>
    <w:p w:rsidR="008B31E6" w:rsidRDefault="008B31E6" w:rsidP="008B31E6">
      <w:pPr>
        <w:spacing w:after="0" w:line="240" w:lineRule="auto"/>
        <w:jc w:val="center"/>
        <w:rPr>
          <w:rFonts w:ascii="Times New Roman" w:hAnsi="Times New Roman" w:cs="Times New Roman"/>
          <w:b/>
          <w:bCs/>
        </w:rPr>
      </w:pPr>
    </w:p>
    <w:p w:rsidR="008B31E6" w:rsidRDefault="008B31E6" w:rsidP="008B31E6">
      <w:pPr>
        <w:spacing w:after="0" w:line="240" w:lineRule="auto"/>
        <w:jc w:val="center"/>
        <w:rPr>
          <w:rFonts w:ascii="Times New Roman" w:hAnsi="Times New Roman" w:cs="Times New Roman"/>
          <w:b/>
          <w:bCs/>
        </w:rPr>
      </w:pPr>
    </w:p>
    <w:p w:rsidR="008B31E6" w:rsidRPr="00E629D3" w:rsidRDefault="008B31E6" w:rsidP="008B31E6">
      <w:pPr>
        <w:spacing w:after="0" w:line="240" w:lineRule="auto"/>
        <w:jc w:val="center"/>
        <w:rPr>
          <w:rFonts w:ascii="Times New Roman" w:hAnsi="Times New Roman" w:cs="Times New Roman"/>
          <w:b/>
          <w:bCs/>
        </w:rPr>
      </w:pPr>
      <w:r w:rsidRPr="00E629D3">
        <w:rPr>
          <w:rFonts w:ascii="Times New Roman" w:hAnsi="Times New Roman" w:cs="Times New Roman"/>
          <w:b/>
          <w:bCs/>
        </w:rPr>
        <w:t>A szakirányok/specializációk felelősei</w:t>
      </w:r>
    </w:p>
    <w:p w:rsidR="008B31E6" w:rsidRDefault="008B31E6" w:rsidP="008B31E6">
      <w:pPr>
        <w:spacing w:after="0" w:line="240" w:lineRule="auto"/>
        <w:jc w:val="both"/>
        <w:rPr>
          <w:rFonts w:ascii="Times New Roman" w:hAnsi="Times New Roman" w:cs="Times New Roman"/>
          <w:highlight w:val="lightGray"/>
          <w:u w:val="single"/>
        </w:rPr>
      </w:pPr>
    </w:p>
    <w:p w:rsidR="008B31E6" w:rsidRPr="000B4D34" w:rsidRDefault="008B31E6" w:rsidP="008B31E6">
      <w:pPr>
        <w:spacing w:after="0" w:line="240" w:lineRule="auto"/>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247"/>
      </w:tblGrid>
      <w:tr w:rsidR="008B31E6" w:rsidRPr="00322546" w:rsidTr="00D9638D">
        <w:tc>
          <w:tcPr>
            <w:tcW w:w="4815" w:type="dxa"/>
            <w:shd w:val="clear" w:color="auto" w:fill="auto"/>
          </w:tcPr>
          <w:p w:rsidR="008B31E6" w:rsidRPr="00322546" w:rsidRDefault="008B31E6" w:rsidP="00D9638D">
            <w:pPr>
              <w:spacing w:after="0" w:line="240" w:lineRule="auto"/>
              <w:rPr>
                <w:rFonts w:ascii="Times New Roman" w:eastAsia="Times New Roman" w:hAnsi="Times New Roman" w:cs="Times New Roman"/>
                <w:b/>
                <w:szCs w:val="24"/>
                <w:lang w:eastAsia="hu-HU"/>
              </w:rPr>
            </w:pPr>
            <w:r w:rsidRPr="00322546">
              <w:rPr>
                <w:rFonts w:ascii="Times New Roman" w:eastAsia="Times New Roman" w:hAnsi="Times New Roman" w:cs="Times New Roman"/>
                <w:b/>
                <w:szCs w:val="24"/>
                <w:lang w:eastAsia="hu-HU"/>
              </w:rPr>
              <w:t>Hadtáp specializáció:</w:t>
            </w:r>
          </w:p>
          <w:p w:rsidR="008B31E6" w:rsidRPr="00322546" w:rsidRDefault="008B31E6" w:rsidP="00D9638D">
            <w:pPr>
              <w:spacing w:after="0" w:line="240" w:lineRule="auto"/>
              <w:rPr>
                <w:rFonts w:ascii="Times New Roman" w:eastAsia="Times New Roman" w:hAnsi="Times New Roman" w:cs="Times New Roman"/>
                <w:szCs w:val="24"/>
                <w:lang w:eastAsia="hu-HU"/>
              </w:rPr>
            </w:pPr>
            <w:r w:rsidRPr="00322546">
              <w:rPr>
                <w:rFonts w:ascii="Times New Roman" w:eastAsia="Times New Roman" w:hAnsi="Times New Roman" w:cs="Times New Roman"/>
                <w:b/>
                <w:szCs w:val="24"/>
                <w:lang w:eastAsia="hu-HU"/>
              </w:rPr>
              <w:t>Dr. Pohl Árpád</w:t>
            </w:r>
            <w:r w:rsidRPr="00322546">
              <w:rPr>
                <w:rFonts w:ascii="Times New Roman" w:eastAsia="Times New Roman" w:hAnsi="Times New Roman" w:cs="Times New Roman"/>
                <w:szCs w:val="24"/>
                <w:lang w:eastAsia="hu-HU"/>
              </w:rPr>
              <w:t>, egyetemi docens, PhD</w:t>
            </w:r>
          </w:p>
          <w:p w:rsidR="008B31E6" w:rsidRPr="00322546" w:rsidRDefault="008B31E6" w:rsidP="00D9638D">
            <w:pPr>
              <w:spacing w:after="0" w:line="240" w:lineRule="auto"/>
              <w:rPr>
                <w:rFonts w:ascii="Times New Roman" w:eastAsia="Times New Roman" w:hAnsi="Times New Roman" w:cs="Times New Roman"/>
                <w:szCs w:val="24"/>
                <w:lang w:eastAsia="hu-HU"/>
              </w:rPr>
            </w:pPr>
            <w:r w:rsidRPr="00322546">
              <w:rPr>
                <w:rFonts w:ascii="Times New Roman" w:eastAsia="Times New Roman" w:hAnsi="Times New Roman" w:cs="Times New Roman"/>
                <w:szCs w:val="24"/>
                <w:lang w:eastAsia="hu-HU"/>
              </w:rPr>
              <w:t>dékáni intézkedés száma: HHK/91-2/2016.</w:t>
            </w:r>
          </w:p>
          <w:p w:rsidR="008B31E6" w:rsidRPr="00322546" w:rsidRDefault="008B31E6" w:rsidP="00D9638D">
            <w:pPr>
              <w:spacing w:after="0" w:line="240" w:lineRule="auto"/>
              <w:rPr>
                <w:rFonts w:ascii="Times New Roman" w:eastAsia="Times New Roman" w:hAnsi="Times New Roman" w:cs="Times New Roman"/>
                <w:b/>
                <w:szCs w:val="24"/>
                <w:lang w:eastAsia="hu-HU"/>
              </w:rPr>
            </w:pPr>
          </w:p>
        </w:tc>
        <w:tc>
          <w:tcPr>
            <w:tcW w:w="4247" w:type="dxa"/>
            <w:shd w:val="clear" w:color="auto" w:fill="auto"/>
          </w:tcPr>
          <w:p w:rsidR="008B31E6" w:rsidRPr="00322546" w:rsidRDefault="008B31E6" w:rsidP="00D9638D">
            <w:pPr>
              <w:spacing w:after="0" w:line="240" w:lineRule="auto"/>
              <w:jc w:val="center"/>
              <w:rPr>
                <w:rFonts w:ascii="Times New Roman" w:eastAsia="Times New Roman" w:hAnsi="Times New Roman" w:cs="Times New Roman"/>
                <w:szCs w:val="24"/>
                <w:lang w:eastAsia="hu-HU"/>
              </w:rPr>
            </w:pPr>
          </w:p>
          <w:p w:rsidR="008B31E6" w:rsidRPr="00322546" w:rsidRDefault="008B31E6" w:rsidP="00D9638D">
            <w:pPr>
              <w:spacing w:after="0" w:line="240" w:lineRule="auto"/>
              <w:jc w:val="center"/>
              <w:rPr>
                <w:rFonts w:ascii="Times New Roman" w:eastAsia="Times New Roman" w:hAnsi="Times New Roman" w:cs="Times New Roman"/>
                <w:szCs w:val="24"/>
                <w:lang w:eastAsia="hu-HU"/>
              </w:rPr>
            </w:pPr>
          </w:p>
          <w:p w:rsidR="008B31E6" w:rsidRPr="00322546" w:rsidRDefault="008B31E6" w:rsidP="00D9638D">
            <w:pPr>
              <w:spacing w:after="0" w:line="240" w:lineRule="auto"/>
              <w:jc w:val="center"/>
              <w:rPr>
                <w:rFonts w:ascii="Times New Roman" w:eastAsia="Times New Roman" w:hAnsi="Times New Roman" w:cs="Times New Roman"/>
                <w:szCs w:val="24"/>
                <w:lang w:eastAsia="hu-HU"/>
              </w:rPr>
            </w:pPr>
            <w:r w:rsidRPr="00322546">
              <w:rPr>
                <w:rFonts w:ascii="Times New Roman" w:eastAsia="Times New Roman" w:hAnsi="Times New Roman" w:cs="Times New Roman"/>
                <w:szCs w:val="24"/>
                <w:lang w:eastAsia="hu-HU"/>
              </w:rPr>
              <w:t>…………………………………….</w:t>
            </w:r>
          </w:p>
          <w:p w:rsidR="008B31E6" w:rsidRPr="00322546" w:rsidRDefault="008B31E6" w:rsidP="00D9638D">
            <w:pPr>
              <w:spacing w:after="0" w:line="240" w:lineRule="auto"/>
              <w:jc w:val="center"/>
              <w:rPr>
                <w:rFonts w:ascii="Times New Roman" w:eastAsia="Times New Roman" w:hAnsi="Times New Roman" w:cs="Times New Roman"/>
                <w:b/>
                <w:szCs w:val="24"/>
                <w:lang w:eastAsia="hu-HU"/>
              </w:rPr>
            </w:pPr>
            <w:r w:rsidRPr="00322546">
              <w:rPr>
                <w:rFonts w:ascii="Times New Roman" w:eastAsia="Times New Roman" w:hAnsi="Times New Roman" w:cs="Times New Roman"/>
                <w:szCs w:val="24"/>
                <w:lang w:eastAsia="hu-HU"/>
              </w:rPr>
              <w:t>specializáció felelős aláírása</w:t>
            </w:r>
          </w:p>
        </w:tc>
      </w:tr>
      <w:tr w:rsidR="008B31E6" w:rsidRPr="00322546" w:rsidTr="00D9638D">
        <w:tc>
          <w:tcPr>
            <w:tcW w:w="4815" w:type="dxa"/>
            <w:shd w:val="clear" w:color="auto" w:fill="auto"/>
          </w:tcPr>
          <w:p w:rsidR="008B31E6" w:rsidRPr="00322546" w:rsidRDefault="008B31E6" w:rsidP="00D9638D">
            <w:pPr>
              <w:spacing w:after="0" w:line="240" w:lineRule="auto"/>
              <w:rPr>
                <w:rFonts w:ascii="Times New Roman" w:eastAsia="Times New Roman" w:hAnsi="Times New Roman" w:cs="Times New Roman"/>
                <w:b/>
                <w:szCs w:val="24"/>
                <w:lang w:eastAsia="hu-HU"/>
              </w:rPr>
            </w:pPr>
            <w:r w:rsidRPr="00322546">
              <w:rPr>
                <w:rFonts w:ascii="Times New Roman" w:eastAsia="Times New Roman" w:hAnsi="Times New Roman" w:cs="Times New Roman"/>
                <w:b/>
                <w:szCs w:val="24"/>
                <w:lang w:eastAsia="hu-HU"/>
              </w:rPr>
              <w:t>Katonai pénzügyi specializáció:</w:t>
            </w:r>
          </w:p>
          <w:p w:rsidR="008B31E6" w:rsidRPr="00322546" w:rsidRDefault="008B31E6" w:rsidP="00D9638D">
            <w:pPr>
              <w:spacing w:after="0" w:line="240" w:lineRule="auto"/>
              <w:rPr>
                <w:rFonts w:ascii="Times New Roman" w:eastAsia="Times New Roman" w:hAnsi="Times New Roman" w:cs="Times New Roman"/>
                <w:szCs w:val="24"/>
                <w:lang w:eastAsia="hu-HU"/>
              </w:rPr>
            </w:pPr>
            <w:r w:rsidRPr="00322546">
              <w:rPr>
                <w:rFonts w:ascii="Times New Roman" w:eastAsia="Times New Roman" w:hAnsi="Times New Roman" w:cs="Times New Roman"/>
                <w:b/>
                <w:szCs w:val="24"/>
                <w:lang w:eastAsia="hu-HU"/>
              </w:rPr>
              <w:t>Dr. Pap Andrea</w:t>
            </w:r>
            <w:r w:rsidRPr="00322546">
              <w:rPr>
                <w:rFonts w:ascii="Times New Roman" w:eastAsia="Times New Roman" w:hAnsi="Times New Roman" w:cs="Times New Roman"/>
                <w:szCs w:val="24"/>
                <w:lang w:eastAsia="hu-HU"/>
              </w:rPr>
              <w:t>, egyetemi docens, PhD</w:t>
            </w:r>
          </w:p>
          <w:p w:rsidR="008B31E6" w:rsidRPr="00322546" w:rsidRDefault="008B31E6" w:rsidP="00D9638D">
            <w:pPr>
              <w:spacing w:after="0" w:line="240" w:lineRule="auto"/>
              <w:rPr>
                <w:rFonts w:ascii="Times New Roman" w:eastAsia="Times New Roman" w:hAnsi="Times New Roman" w:cs="Times New Roman"/>
                <w:szCs w:val="24"/>
                <w:lang w:eastAsia="hu-HU"/>
              </w:rPr>
            </w:pPr>
            <w:r w:rsidRPr="00322546">
              <w:rPr>
                <w:rFonts w:ascii="Times New Roman" w:eastAsia="Times New Roman" w:hAnsi="Times New Roman" w:cs="Times New Roman"/>
                <w:szCs w:val="24"/>
                <w:lang w:eastAsia="hu-HU"/>
              </w:rPr>
              <w:t>szenátusi határozat száma: 120/2016 (X. 26.)</w:t>
            </w:r>
          </w:p>
          <w:p w:rsidR="008B31E6" w:rsidRPr="00322546" w:rsidRDefault="008B31E6" w:rsidP="00D9638D">
            <w:pPr>
              <w:spacing w:after="0" w:line="240" w:lineRule="auto"/>
              <w:jc w:val="center"/>
              <w:rPr>
                <w:rFonts w:ascii="Times New Roman" w:eastAsia="Times New Roman" w:hAnsi="Times New Roman" w:cs="Times New Roman"/>
                <w:b/>
                <w:szCs w:val="24"/>
                <w:lang w:eastAsia="hu-HU"/>
              </w:rPr>
            </w:pPr>
          </w:p>
        </w:tc>
        <w:tc>
          <w:tcPr>
            <w:tcW w:w="4247" w:type="dxa"/>
            <w:shd w:val="clear" w:color="auto" w:fill="auto"/>
          </w:tcPr>
          <w:p w:rsidR="008B31E6" w:rsidRPr="00322546" w:rsidRDefault="008B31E6" w:rsidP="00D9638D">
            <w:pPr>
              <w:spacing w:after="0" w:line="240" w:lineRule="auto"/>
              <w:jc w:val="center"/>
              <w:rPr>
                <w:rFonts w:ascii="Times New Roman" w:eastAsia="Times New Roman" w:hAnsi="Times New Roman" w:cs="Times New Roman"/>
                <w:szCs w:val="24"/>
                <w:lang w:eastAsia="hu-HU"/>
              </w:rPr>
            </w:pPr>
          </w:p>
          <w:p w:rsidR="008B31E6" w:rsidRPr="00322546" w:rsidRDefault="008B31E6" w:rsidP="00D9638D">
            <w:pPr>
              <w:spacing w:after="0" w:line="240" w:lineRule="auto"/>
              <w:jc w:val="center"/>
              <w:rPr>
                <w:rFonts w:ascii="Times New Roman" w:eastAsia="Times New Roman" w:hAnsi="Times New Roman" w:cs="Times New Roman"/>
                <w:szCs w:val="24"/>
                <w:lang w:eastAsia="hu-HU"/>
              </w:rPr>
            </w:pPr>
          </w:p>
          <w:p w:rsidR="008B31E6" w:rsidRPr="00322546" w:rsidRDefault="008B31E6" w:rsidP="00D9638D">
            <w:pPr>
              <w:spacing w:after="0" w:line="240" w:lineRule="auto"/>
              <w:jc w:val="center"/>
              <w:rPr>
                <w:rFonts w:ascii="Times New Roman" w:eastAsia="Times New Roman" w:hAnsi="Times New Roman" w:cs="Times New Roman"/>
                <w:szCs w:val="24"/>
                <w:lang w:eastAsia="hu-HU"/>
              </w:rPr>
            </w:pPr>
            <w:r w:rsidRPr="00322546">
              <w:rPr>
                <w:rFonts w:ascii="Times New Roman" w:eastAsia="Times New Roman" w:hAnsi="Times New Roman" w:cs="Times New Roman"/>
                <w:szCs w:val="24"/>
                <w:lang w:eastAsia="hu-HU"/>
              </w:rPr>
              <w:t>…………………………………….</w:t>
            </w:r>
          </w:p>
          <w:p w:rsidR="008B31E6" w:rsidRPr="00322546" w:rsidRDefault="008B31E6" w:rsidP="00D9638D">
            <w:pPr>
              <w:spacing w:after="0" w:line="240" w:lineRule="auto"/>
              <w:jc w:val="center"/>
              <w:rPr>
                <w:rFonts w:ascii="Times New Roman" w:eastAsia="Times New Roman" w:hAnsi="Times New Roman" w:cs="Times New Roman"/>
                <w:b/>
                <w:szCs w:val="24"/>
                <w:lang w:eastAsia="hu-HU"/>
              </w:rPr>
            </w:pPr>
            <w:r w:rsidRPr="00322546">
              <w:rPr>
                <w:rFonts w:ascii="Times New Roman" w:eastAsia="Times New Roman" w:hAnsi="Times New Roman" w:cs="Times New Roman"/>
                <w:szCs w:val="24"/>
                <w:lang w:eastAsia="hu-HU"/>
              </w:rPr>
              <w:t>specializáció felelős aláírása</w:t>
            </w:r>
          </w:p>
        </w:tc>
      </w:tr>
      <w:tr w:rsidR="008B31E6" w:rsidRPr="00322546" w:rsidTr="00D9638D">
        <w:tc>
          <w:tcPr>
            <w:tcW w:w="4815" w:type="dxa"/>
            <w:shd w:val="clear" w:color="auto" w:fill="auto"/>
          </w:tcPr>
          <w:p w:rsidR="008B31E6" w:rsidRPr="00322546" w:rsidRDefault="008B31E6" w:rsidP="00D9638D">
            <w:pPr>
              <w:spacing w:after="0" w:line="240" w:lineRule="auto"/>
              <w:rPr>
                <w:rFonts w:ascii="Times New Roman" w:eastAsia="Times New Roman" w:hAnsi="Times New Roman" w:cs="Times New Roman"/>
                <w:b/>
                <w:szCs w:val="24"/>
                <w:lang w:eastAsia="hu-HU"/>
              </w:rPr>
            </w:pPr>
            <w:r w:rsidRPr="00322546">
              <w:rPr>
                <w:rFonts w:ascii="Times New Roman" w:eastAsia="Times New Roman" w:hAnsi="Times New Roman" w:cs="Times New Roman"/>
                <w:b/>
                <w:szCs w:val="24"/>
                <w:lang w:eastAsia="hu-HU"/>
              </w:rPr>
              <w:t>Katonai közlekedési specializáció:</w:t>
            </w:r>
          </w:p>
          <w:p w:rsidR="008B31E6" w:rsidRPr="00322546" w:rsidRDefault="008B31E6" w:rsidP="00D9638D">
            <w:pPr>
              <w:spacing w:after="0" w:line="240" w:lineRule="auto"/>
              <w:rPr>
                <w:rFonts w:ascii="Times New Roman" w:eastAsia="Times New Roman" w:hAnsi="Times New Roman" w:cs="Times New Roman"/>
                <w:szCs w:val="24"/>
                <w:lang w:eastAsia="hu-HU"/>
              </w:rPr>
            </w:pPr>
            <w:r w:rsidRPr="00322546">
              <w:rPr>
                <w:rFonts w:ascii="Times New Roman" w:eastAsia="Times New Roman" w:hAnsi="Times New Roman" w:cs="Times New Roman"/>
                <w:b/>
                <w:szCs w:val="24"/>
                <w:lang w:eastAsia="hu-HU"/>
              </w:rPr>
              <w:t>Dr. Szászi Gábor</w:t>
            </w:r>
            <w:r w:rsidRPr="00322546">
              <w:rPr>
                <w:rFonts w:ascii="Times New Roman" w:eastAsia="Times New Roman" w:hAnsi="Times New Roman" w:cs="Times New Roman"/>
                <w:szCs w:val="24"/>
                <w:lang w:eastAsia="hu-HU"/>
              </w:rPr>
              <w:t>, egyetemi docens, PhD</w:t>
            </w:r>
          </w:p>
          <w:p w:rsidR="008B31E6" w:rsidRPr="00322546" w:rsidRDefault="008B31E6" w:rsidP="00D9638D">
            <w:pPr>
              <w:spacing w:after="0" w:line="240" w:lineRule="auto"/>
              <w:rPr>
                <w:rFonts w:ascii="Times New Roman" w:eastAsia="Times New Roman" w:hAnsi="Times New Roman" w:cs="Times New Roman"/>
                <w:szCs w:val="24"/>
                <w:lang w:eastAsia="hu-HU"/>
              </w:rPr>
            </w:pPr>
            <w:r w:rsidRPr="00322546">
              <w:rPr>
                <w:rFonts w:ascii="Times New Roman" w:eastAsia="Times New Roman" w:hAnsi="Times New Roman" w:cs="Times New Roman"/>
                <w:szCs w:val="24"/>
                <w:lang w:eastAsia="hu-HU"/>
              </w:rPr>
              <w:t xml:space="preserve">dékáni intézkedés száma: HHK/91-2/2016. </w:t>
            </w:r>
          </w:p>
          <w:p w:rsidR="008B31E6" w:rsidRPr="00322546" w:rsidRDefault="008B31E6" w:rsidP="00D9638D">
            <w:pPr>
              <w:spacing w:after="0" w:line="240" w:lineRule="auto"/>
              <w:rPr>
                <w:rFonts w:ascii="Times New Roman" w:eastAsia="Times New Roman" w:hAnsi="Times New Roman" w:cs="Times New Roman"/>
                <w:b/>
                <w:szCs w:val="24"/>
                <w:lang w:eastAsia="hu-HU"/>
              </w:rPr>
            </w:pPr>
          </w:p>
        </w:tc>
        <w:tc>
          <w:tcPr>
            <w:tcW w:w="4247" w:type="dxa"/>
            <w:shd w:val="clear" w:color="auto" w:fill="auto"/>
          </w:tcPr>
          <w:p w:rsidR="008B31E6" w:rsidRPr="00322546" w:rsidRDefault="008B31E6" w:rsidP="00D9638D">
            <w:pPr>
              <w:spacing w:after="0" w:line="240" w:lineRule="auto"/>
              <w:jc w:val="center"/>
              <w:rPr>
                <w:rFonts w:ascii="Times New Roman" w:eastAsia="Times New Roman" w:hAnsi="Times New Roman" w:cs="Times New Roman"/>
                <w:b/>
                <w:szCs w:val="24"/>
                <w:lang w:eastAsia="hu-HU"/>
              </w:rPr>
            </w:pPr>
          </w:p>
          <w:p w:rsidR="008B31E6" w:rsidRPr="00322546" w:rsidRDefault="008B31E6" w:rsidP="00D9638D">
            <w:pPr>
              <w:spacing w:after="0" w:line="240" w:lineRule="auto"/>
              <w:jc w:val="center"/>
              <w:rPr>
                <w:rFonts w:ascii="Times New Roman" w:eastAsia="Times New Roman" w:hAnsi="Times New Roman" w:cs="Times New Roman"/>
                <w:b/>
                <w:szCs w:val="24"/>
                <w:lang w:eastAsia="hu-HU"/>
              </w:rPr>
            </w:pPr>
          </w:p>
          <w:p w:rsidR="008B31E6" w:rsidRPr="00322546" w:rsidRDefault="008B31E6" w:rsidP="00D9638D">
            <w:pPr>
              <w:spacing w:after="0" w:line="240" w:lineRule="auto"/>
              <w:jc w:val="center"/>
              <w:rPr>
                <w:rFonts w:ascii="Times New Roman" w:eastAsia="Times New Roman" w:hAnsi="Times New Roman" w:cs="Times New Roman"/>
                <w:szCs w:val="24"/>
                <w:lang w:eastAsia="hu-HU"/>
              </w:rPr>
            </w:pPr>
            <w:r w:rsidRPr="00322546">
              <w:rPr>
                <w:rFonts w:ascii="Times New Roman" w:eastAsia="Times New Roman" w:hAnsi="Times New Roman" w:cs="Times New Roman"/>
                <w:szCs w:val="24"/>
                <w:lang w:eastAsia="hu-HU"/>
              </w:rPr>
              <w:t>…………………………………….</w:t>
            </w:r>
          </w:p>
          <w:p w:rsidR="008B31E6" w:rsidRPr="00322546" w:rsidRDefault="008B31E6" w:rsidP="00D9638D">
            <w:pPr>
              <w:spacing w:after="0" w:line="240" w:lineRule="auto"/>
              <w:jc w:val="center"/>
              <w:rPr>
                <w:rFonts w:ascii="Times New Roman" w:eastAsia="Times New Roman" w:hAnsi="Times New Roman" w:cs="Times New Roman"/>
                <w:b/>
                <w:szCs w:val="24"/>
                <w:lang w:eastAsia="hu-HU"/>
              </w:rPr>
            </w:pPr>
            <w:r w:rsidRPr="00322546">
              <w:rPr>
                <w:rFonts w:ascii="Times New Roman" w:eastAsia="Times New Roman" w:hAnsi="Times New Roman" w:cs="Times New Roman"/>
                <w:szCs w:val="24"/>
                <w:lang w:eastAsia="hu-HU"/>
              </w:rPr>
              <w:t>specializáció felelős aláírása</w:t>
            </w:r>
          </w:p>
        </w:tc>
      </w:tr>
      <w:tr w:rsidR="008B31E6" w:rsidRPr="00322546" w:rsidTr="00D9638D">
        <w:tc>
          <w:tcPr>
            <w:tcW w:w="4815" w:type="dxa"/>
            <w:shd w:val="clear" w:color="auto" w:fill="auto"/>
          </w:tcPr>
          <w:p w:rsidR="008B31E6" w:rsidRPr="00322546" w:rsidRDefault="008B31E6" w:rsidP="00D9638D">
            <w:pPr>
              <w:spacing w:after="0" w:line="240" w:lineRule="auto"/>
              <w:rPr>
                <w:rFonts w:ascii="Times New Roman" w:eastAsia="Times New Roman" w:hAnsi="Times New Roman" w:cs="Times New Roman"/>
                <w:b/>
                <w:szCs w:val="24"/>
                <w:lang w:eastAsia="hu-HU"/>
              </w:rPr>
            </w:pPr>
            <w:r w:rsidRPr="00322546">
              <w:rPr>
                <w:rFonts w:ascii="Times New Roman" w:eastAsia="Times New Roman" w:hAnsi="Times New Roman" w:cs="Times New Roman"/>
                <w:b/>
                <w:szCs w:val="24"/>
                <w:lang w:eastAsia="hu-HU"/>
              </w:rPr>
              <w:t>Haditechnikai specializáció:</w:t>
            </w:r>
          </w:p>
          <w:p w:rsidR="008B31E6" w:rsidRPr="00322546" w:rsidRDefault="008B31E6" w:rsidP="00D9638D">
            <w:pPr>
              <w:spacing w:after="0" w:line="240" w:lineRule="auto"/>
              <w:rPr>
                <w:rFonts w:ascii="Times New Roman" w:eastAsia="Times New Roman" w:hAnsi="Times New Roman" w:cs="Times New Roman"/>
                <w:szCs w:val="24"/>
                <w:lang w:eastAsia="hu-HU"/>
              </w:rPr>
            </w:pPr>
            <w:r w:rsidRPr="00322546">
              <w:rPr>
                <w:rFonts w:ascii="Times New Roman" w:eastAsia="Times New Roman" w:hAnsi="Times New Roman" w:cs="Times New Roman"/>
                <w:b/>
                <w:szCs w:val="24"/>
                <w:lang w:eastAsia="hu-HU"/>
              </w:rPr>
              <w:t>Dr. Gyarmati József</w:t>
            </w:r>
            <w:r w:rsidRPr="00322546">
              <w:rPr>
                <w:rFonts w:ascii="Times New Roman" w:eastAsia="Times New Roman" w:hAnsi="Times New Roman" w:cs="Times New Roman"/>
                <w:szCs w:val="24"/>
                <w:lang w:eastAsia="hu-HU"/>
              </w:rPr>
              <w:t>, egyetemi docens, PhD</w:t>
            </w:r>
          </w:p>
          <w:p w:rsidR="008B31E6" w:rsidRPr="00322546" w:rsidRDefault="008B31E6" w:rsidP="00D9638D">
            <w:pPr>
              <w:spacing w:after="0" w:line="240" w:lineRule="auto"/>
              <w:rPr>
                <w:rFonts w:ascii="Times New Roman" w:eastAsia="Times New Roman" w:hAnsi="Times New Roman" w:cs="Times New Roman"/>
                <w:b/>
                <w:szCs w:val="24"/>
                <w:lang w:eastAsia="hu-HU"/>
              </w:rPr>
            </w:pPr>
            <w:r w:rsidRPr="00322546">
              <w:rPr>
                <w:rFonts w:ascii="Times New Roman" w:eastAsia="Times New Roman" w:hAnsi="Times New Roman" w:cs="Times New Roman"/>
                <w:szCs w:val="24"/>
                <w:lang w:eastAsia="hu-HU"/>
              </w:rPr>
              <w:t>dékáni intézkedés száma: HHK/91-2/2016.</w:t>
            </w:r>
          </w:p>
        </w:tc>
        <w:tc>
          <w:tcPr>
            <w:tcW w:w="4247" w:type="dxa"/>
            <w:shd w:val="clear" w:color="auto" w:fill="auto"/>
          </w:tcPr>
          <w:p w:rsidR="008B31E6" w:rsidRPr="00322546" w:rsidRDefault="008B31E6" w:rsidP="00D9638D">
            <w:pPr>
              <w:spacing w:after="0" w:line="240" w:lineRule="auto"/>
              <w:jc w:val="center"/>
              <w:rPr>
                <w:rFonts w:ascii="Times New Roman" w:eastAsia="Times New Roman" w:hAnsi="Times New Roman" w:cs="Times New Roman"/>
                <w:szCs w:val="24"/>
                <w:lang w:eastAsia="hu-HU"/>
              </w:rPr>
            </w:pPr>
          </w:p>
          <w:p w:rsidR="008B31E6" w:rsidRPr="00322546" w:rsidRDefault="008B31E6" w:rsidP="00D9638D">
            <w:pPr>
              <w:spacing w:after="0" w:line="240" w:lineRule="auto"/>
              <w:jc w:val="center"/>
              <w:rPr>
                <w:rFonts w:ascii="Times New Roman" w:eastAsia="Times New Roman" w:hAnsi="Times New Roman" w:cs="Times New Roman"/>
                <w:szCs w:val="24"/>
                <w:lang w:eastAsia="hu-HU"/>
              </w:rPr>
            </w:pPr>
          </w:p>
          <w:p w:rsidR="008B31E6" w:rsidRPr="00322546" w:rsidRDefault="008B31E6" w:rsidP="00D9638D">
            <w:pPr>
              <w:spacing w:after="0" w:line="240" w:lineRule="auto"/>
              <w:jc w:val="center"/>
              <w:rPr>
                <w:rFonts w:ascii="Times New Roman" w:eastAsia="Times New Roman" w:hAnsi="Times New Roman" w:cs="Times New Roman"/>
                <w:szCs w:val="24"/>
                <w:lang w:eastAsia="hu-HU"/>
              </w:rPr>
            </w:pPr>
            <w:r w:rsidRPr="00322546">
              <w:rPr>
                <w:rFonts w:ascii="Times New Roman" w:eastAsia="Times New Roman" w:hAnsi="Times New Roman" w:cs="Times New Roman"/>
                <w:szCs w:val="24"/>
                <w:lang w:eastAsia="hu-HU"/>
              </w:rPr>
              <w:t>…………………………………….</w:t>
            </w:r>
          </w:p>
          <w:p w:rsidR="008B31E6" w:rsidRPr="00322546" w:rsidRDefault="008B31E6" w:rsidP="00D9638D">
            <w:pPr>
              <w:spacing w:after="0" w:line="240" w:lineRule="auto"/>
              <w:jc w:val="center"/>
              <w:rPr>
                <w:rFonts w:ascii="Times New Roman" w:eastAsia="Times New Roman" w:hAnsi="Times New Roman" w:cs="Times New Roman"/>
                <w:b/>
                <w:szCs w:val="24"/>
                <w:lang w:eastAsia="hu-HU"/>
              </w:rPr>
            </w:pPr>
            <w:r w:rsidRPr="00322546">
              <w:rPr>
                <w:rFonts w:ascii="Times New Roman" w:eastAsia="Times New Roman" w:hAnsi="Times New Roman" w:cs="Times New Roman"/>
                <w:szCs w:val="24"/>
                <w:lang w:eastAsia="hu-HU"/>
              </w:rPr>
              <w:t>specializáció felelős aláírása</w:t>
            </w:r>
          </w:p>
        </w:tc>
      </w:tr>
    </w:tbl>
    <w:p w:rsidR="008B31E6" w:rsidRDefault="008B31E6" w:rsidP="008B31E6">
      <w:pPr>
        <w:spacing w:after="0" w:line="240" w:lineRule="auto"/>
        <w:jc w:val="both"/>
        <w:rPr>
          <w:rFonts w:ascii="Times New Roman" w:hAnsi="Times New Roman" w:cs="Times New Roman"/>
          <w:u w:val="single"/>
        </w:rPr>
      </w:pPr>
    </w:p>
    <w:p w:rsidR="008B31E6" w:rsidRDefault="008B31E6" w:rsidP="008B31E6">
      <w:pPr>
        <w:spacing w:after="0" w:line="240" w:lineRule="auto"/>
        <w:jc w:val="center"/>
        <w:rPr>
          <w:rFonts w:ascii="Times New Roman" w:hAnsi="Times New Roman" w:cs="Times New Roman"/>
          <w:b/>
          <w:bCs/>
        </w:rPr>
      </w:pPr>
    </w:p>
    <w:p w:rsidR="008B31E6" w:rsidRDefault="008B31E6" w:rsidP="008B31E6">
      <w:pPr>
        <w:spacing w:after="0" w:line="240" w:lineRule="auto"/>
        <w:rPr>
          <w:rFonts w:ascii="Times New Roman" w:hAnsi="Times New Roman" w:cs="Times New Roman"/>
        </w:rPr>
      </w:pPr>
      <w:r>
        <w:rPr>
          <w:rFonts w:ascii="Times New Roman" w:hAnsi="Times New Roman" w:cs="Times New Roman"/>
        </w:rPr>
        <w:br w:type="page"/>
      </w:r>
    </w:p>
    <w:p w:rsidR="008B31E6" w:rsidRDefault="008B31E6" w:rsidP="008B31E6">
      <w:pPr>
        <w:spacing w:after="0" w:line="240" w:lineRule="auto"/>
        <w:jc w:val="center"/>
        <w:rPr>
          <w:rFonts w:ascii="Times New Roman" w:hAnsi="Times New Roman" w:cs="Times New Roman"/>
          <w:b/>
          <w:bCs/>
        </w:rPr>
      </w:pPr>
      <w:r>
        <w:rPr>
          <w:rFonts w:ascii="Times New Roman" w:hAnsi="Times New Roman" w:cs="Times New Roman"/>
          <w:b/>
          <w:bCs/>
        </w:rPr>
        <w:lastRenderedPageBreak/>
        <w:t>Az ajánlott tanterv jogi hátterét az alábbi főbb jogszabályok és egyetemi szabályzatok képezik:</w:t>
      </w:r>
    </w:p>
    <w:p w:rsidR="008B31E6" w:rsidRDefault="008B31E6" w:rsidP="008B31E6">
      <w:pPr>
        <w:spacing w:after="0" w:line="240" w:lineRule="auto"/>
        <w:rPr>
          <w:rFonts w:ascii="Times New Roman" w:hAnsi="Times New Roman" w:cs="Times New Roman"/>
        </w:rPr>
      </w:pPr>
    </w:p>
    <w:p w:rsidR="008B31E6" w:rsidRDefault="008B31E6" w:rsidP="00980876">
      <w:pPr>
        <w:numPr>
          <w:ilvl w:val="0"/>
          <w:numId w:val="599"/>
        </w:numPr>
        <w:spacing w:after="0" w:line="240" w:lineRule="auto"/>
        <w:rPr>
          <w:rFonts w:ascii="Times New Roman" w:hAnsi="Times New Roman" w:cs="Times New Roman"/>
        </w:rPr>
      </w:pPr>
      <w:r>
        <w:rPr>
          <w:rFonts w:ascii="Times New Roman" w:hAnsi="Times New Roman" w:cs="Times New Roman"/>
        </w:rPr>
        <w:t>a nemzeti felsőoktatásról szóló 2011. évi CCIV. törvény;</w:t>
      </w:r>
    </w:p>
    <w:p w:rsidR="008B31E6" w:rsidRDefault="008B31E6" w:rsidP="00980876">
      <w:pPr>
        <w:numPr>
          <w:ilvl w:val="0"/>
          <w:numId w:val="599"/>
        </w:numPr>
        <w:spacing w:after="0" w:line="240" w:lineRule="auto"/>
        <w:jc w:val="both"/>
        <w:rPr>
          <w:rFonts w:ascii="Times New Roman" w:hAnsi="Times New Roman" w:cs="Times New Roman"/>
        </w:rPr>
      </w:pPr>
      <w:r>
        <w:rPr>
          <w:rFonts w:ascii="Times New Roman" w:hAnsi="Times New Roman" w:cs="Times New Roman"/>
        </w:rPr>
        <w:t>a Nemzeti Közszolgálati Egyetemről, valamint a közigazgatási, rendészeti és katonai felsőoktatásról szóló 2011. évi CXXXII törvény;</w:t>
      </w:r>
    </w:p>
    <w:p w:rsidR="008B31E6" w:rsidRDefault="008B31E6" w:rsidP="00980876">
      <w:pPr>
        <w:numPr>
          <w:ilvl w:val="0"/>
          <w:numId w:val="599"/>
        </w:numPr>
        <w:suppressAutoHyphens/>
        <w:autoSpaceDE w:val="0"/>
        <w:spacing w:after="0" w:line="240" w:lineRule="auto"/>
        <w:jc w:val="both"/>
        <w:rPr>
          <w:rFonts w:ascii="Times New Roman" w:hAnsi="Times New Roman" w:cs="Times New Roman"/>
          <w:lang w:eastAsia="ar-SA"/>
        </w:rPr>
      </w:pPr>
      <w:r>
        <w:rPr>
          <w:rFonts w:ascii="Times New Roman" w:hAnsi="Times New Roman" w:cs="Times New Roman"/>
          <w:lang w:eastAsia="ar-SA"/>
        </w:rPr>
        <w:t>a nemzeti felsőoktatásról szóló 2011. évi CCIV. törvény egyes rendelkezéseinek végrehajtásáról szóló 87/2015. (IV. 9.) Korm. rendelet;</w:t>
      </w:r>
    </w:p>
    <w:p w:rsidR="008B31E6" w:rsidRDefault="008B31E6" w:rsidP="00980876">
      <w:pPr>
        <w:numPr>
          <w:ilvl w:val="0"/>
          <w:numId w:val="599"/>
        </w:numPr>
        <w:suppressAutoHyphens/>
        <w:autoSpaceDE w:val="0"/>
        <w:spacing w:after="0" w:line="240" w:lineRule="auto"/>
        <w:jc w:val="both"/>
        <w:rPr>
          <w:rFonts w:ascii="Times New Roman" w:hAnsi="Times New Roman" w:cs="Times New Roman"/>
          <w:lang w:eastAsia="ar-SA"/>
        </w:rPr>
      </w:pPr>
      <w:r>
        <w:rPr>
          <w:rFonts w:ascii="Times New Roman" w:hAnsi="Times New Roman" w:cs="Times New Roman"/>
        </w:rPr>
        <w:t>Nemzeti Közszolgálati Egyetemről, valamint a közigazgatási, rendészeti és katonai felsőoktatásról szóló 2011. évi CXXXII. törvény egyes rendelkezéseinek végrehajtásáról szóló 363/2011. (XII.30.) Korm. rendelet;</w:t>
      </w:r>
    </w:p>
    <w:p w:rsidR="008B31E6" w:rsidRDefault="008B31E6" w:rsidP="00980876">
      <w:pPr>
        <w:pStyle w:val="Listaszerbekezds"/>
        <w:numPr>
          <w:ilvl w:val="0"/>
          <w:numId w:val="599"/>
        </w:numPr>
        <w:spacing w:after="0" w:line="240" w:lineRule="auto"/>
        <w:jc w:val="both"/>
        <w:rPr>
          <w:rFonts w:ascii="Times New Roman" w:hAnsi="Times New Roman" w:cs="Times New Roman"/>
          <w:bCs/>
        </w:rPr>
      </w:pPr>
      <w:r>
        <w:rPr>
          <w:rFonts w:ascii="Times New Roman" w:hAnsi="Times New Roman" w:cs="Times New Roman"/>
          <w:bCs/>
        </w:rPr>
        <w:t>a felsőoktatásban szerezhető képesítések jegyzékéről és új képesítések jegyzékbe történő felvételéről szóló 139/2015. (VI. 9.) Korm. rendelet (a továbbiakban: 139/2015. (VI. 9.) Kr.);</w:t>
      </w:r>
    </w:p>
    <w:p w:rsidR="008B31E6" w:rsidRDefault="008B31E6" w:rsidP="00980876">
      <w:pPr>
        <w:pStyle w:val="Listaszerbekezds"/>
        <w:numPr>
          <w:ilvl w:val="0"/>
          <w:numId w:val="599"/>
        </w:numPr>
        <w:spacing w:after="0" w:line="240" w:lineRule="auto"/>
        <w:jc w:val="both"/>
        <w:rPr>
          <w:rFonts w:ascii="Times New Roman" w:hAnsi="Times New Roman" w:cs="Times New Roman"/>
          <w:bCs/>
          <w:color w:val="000000"/>
        </w:rPr>
      </w:pPr>
      <w:r>
        <w:rPr>
          <w:rFonts w:ascii="Times New Roman" w:hAnsi="Times New Roman" w:cs="Times New Roman"/>
          <w:bCs/>
          <w:color w:val="000000"/>
        </w:rPr>
        <w:t>az államtudományi képzési területen szerezhető képesítések jegyzékéről és a képzések képzési és kimeneti követelményeiről szóló 222/2019. (IX. 25.) Korm. rendelet;</w:t>
      </w:r>
      <w:r>
        <w:rPr>
          <w:rFonts w:ascii="Times New Roman" w:hAnsi="Times New Roman" w:cs="Times New Roman"/>
          <w:bCs/>
          <w:vertAlign w:val="superscript"/>
        </w:rPr>
        <w:t xml:space="preserve"> </w:t>
      </w:r>
    </w:p>
    <w:p w:rsidR="008B31E6" w:rsidRDefault="008B31E6" w:rsidP="00980876">
      <w:pPr>
        <w:pStyle w:val="Listaszerbekezds"/>
        <w:numPr>
          <w:ilvl w:val="0"/>
          <w:numId w:val="599"/>
        </w:numPr>
        <w:spacing w:after="0" w:line="240" w:lineRule="auto"/>
        <w:rPr>
          <w:rFonts w:ascii="Times New Roman" w:hAnsi="Times New Roman" w:cs="Times New Roman"/>
        </w:rPr>
      </w:pPr>
      <w:r>
        <w:rPr>
          <w:rFonts w:ascii="Times New Roman" w:hAnsi="Times New Roman" w:cs="Times New Roman"/>
        </w:rPr>
        <w:t>A Nemzeti Közszolgálati Egyetem Tanulmányi és Vizsgaszabályzata;</w:t>
      </w:r>
    </w:p>
    <w:p w:rsidR="008B31E6" w:rsidRDefault="008B31E6" w:rsidP="00980876">
      <w:pPr>
        <w:pStyle w:val="Listaszerbekezds"/>
        <w:numPr>
          <w:ilvl w:val="0"/>
          <w:numId w:val="599"/>
        </w:numPr>
        <w:spacing w:after="0" w:line="240" w:lineRule="auto"/>
        <w:rPr>
          <w:rFonts w:ascii="Times New Roman" w:hAnsi="Times New Roman" w:cs="Times New Roman"/>
        </w:rPr>
      </w:pPr>
      <w:r>
        <w:rPr>
          <w:rFonts w:ascii="Times New Roman" w:hAnsi="Times New Roman" w:cs="Times New Roman"/>
        </w:rPr>
        <w:t>a képzésekkel kapcsolatos eljárásrendről szóló rektori utasítás.</w:t>
      </w:r>
    </w:p>
    <w:p w:rsidR="008B31E6" w:rsidRDefault="008B31E6" w:rsidP="008B31E6">
      <w:pPr>
        <w:pStyle w:val="Listaszerbekezds"/>
        <w:spacing w:after="0" w:line="240" w:lineRule="auto"/>
        <w:rPr>
          <w:rFonts w:ascii="Times New Roman" w:hAnsi="Times New Roman" w:cs="Times New Roman"/>
          <w:highlight w:val="yellow"/>
        </w:rPr>
      </w:pPr>
    </w:p>
    <w:p w:rsidR="008B31E6" w:rsidRDefault="008B31E6" w:rsidP="008B31E6">
      <w:pPr>
        <w:pStyle w:val="Listaszerbekezds"/>
        <w:spacing w:after="0" w:line="240" w:lineRule="auto"/>
        <w:rPr>
          <w:rFonts w:ascii="Times New Roman" w:hAnsi="Times New Roman" w:cs="Times New Roman"/>
          <w:highlight w:val="yellow"/>
        </w:rPr>
      </w:pPr>
    </w:p>
    <w:p w:rsidR="008B31E6" w:rsidRDefault="008B31E6" w:rsidP="008B31E6">
      <w:pPr>
        <w:spacing w:after="0" w:line="240" w:lineRule="auto"/>
        <w:jc w:val="center"/>
        <w:rPr>
          <w:rFonts w:ascii="Times New Roman" w:hAnsi="Times New Roman" w:cs="Times New Roman"/>
          <w:b/>
          <w:bCs/>
        </w:rPr>
      </w:pPr>
      <w:r>
        <w:rPr>
          <w:rFonts w:ascii="Times New Roman" w:hAnsi="Times New Roman" w:cs="Times New Roman"/>
          <w:b/>
          <w:bCs/>
        </w:rPr>
        <w:t>A képzés hitelesítő adatai</w:t>
      </w:r>
    </w:p>
    <w:p w:rsidR="00113B0E" w:rsidRDefault="00113B0E" w:rsidP="008B31E6">
      <w:pPr>
        <w:spacing w:after="0" w:line="240" w:lineRule="auto"/>
        <w:jc w:val="center"/>
        <w:rPr>
          <w:rFonts w:ascii="Times New Roman" w:hAnsi="Times New Roman" w:cs="Times New Roman"/>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3600"/>
      </w:tblGrid>
      <w:tr w:rsidR="008B31E6" w:rsidTr="00D9638D">
        <w:trPr>
          <w:jc w:val="center"/>
        </w:trPr>
        <w:tc>
          <w:tcPr>
            <w:tcW w:w="3780" w:type="dxa"/>
            <w:tcBorders>
              <w:top w:val="single" w:sz="4" w:space="0" w:color="auto"/>
              <w:left w:val="single" w:sz="4" w:space="0" w:color="auto"/>
              <w:bottom w:val="single" w:sz="4" w:space="0" w:color="auto"/>
              <w:right w:val="single" w:sz="4" w:space="0" w:color="auto"/>
            </w:tcBorders>
            <w:hideMark/>
          </w:tcPr>
          <w:p w:rsidR="008B31E6" w:rsidRDefault="008B31E6" w:rsidP="00D9638D">
            <w:pPr>
              <w:spacing w:after="0" w:line="240" w:lineRule="auto"/>
              <w:rPr>
                <w:rFonts w:ascii="Times New Roman" w:hAnsi="Times New Roman" w:cs="Times New Roman"/>
              </w:rPr>
            </w:pPr>
            <w:r>
              <w:rPr>
                <w:rFonts w:ascii="Times New Roman" w:hAnsi="Times New Roman" w:cs="Times New Roman"/>
              </w:rPr>
              <w:t>Kari Tanács határozatának száma:</w:t>
            </w:r>
          </w:p>
        </w:tc>
        <w:tc>
          <w:tcPr>
            <w:tcW w:w="3600" w:type="dxa"/>
            <w:tcBorders>
              <w:top w:val="single" w:sz="4" w:space="0" w:color="auto"/>
              <w:left w:val="single" w:sz="4" w:space="0" w:color="auto"/>
              <w:bottom w:val="single" w:sz="4" w:space="0" w:color="auto"/>
              <w:right w:val="single" w:sz="4" w:space="0" w:color="auto"/>
            </w:tcBorders>
            <w:hideMark/>
          </w:tcPr>
          <w:p w:rsidR="008B31E6" w:rsidRPr="003E5E5E" w:rsidRDefault="008B31E6" w:rsidP="00D9638D">
            <w:pPr>
              <w:spacing w:after="0" w:line="240" w:lineRule="auto"/>
              <w:rPr>
                <w:rFonts w:ascii="Times New Roman" w:hAnsi="Times New Roman" w:cs="Times New Roman"/>
              </w:rPr>
            </w:pPr>
            <w:r w:rsidRPr="003E5E5E">
              <w:rPr>
                <w:rFonts w:ascii="Times New Roman" w:hAnsi="Times New Roman" w:cs="Times New Roman"/>
              </w:rPr>
              <w:t>182-20/2012. (V.10.),</w:t>
            </w:r>
          </w:p>
          <w:p w:rsidR="008B31E6" w:rsidRPr="003E5E5E" w:rsidRDefault="008B31E6" w:rsidP="00D9638D">
            <w:pPr>
              <w:spacing w:after="0" w:line="240" w:lineRule="auto"/>
              <w:rPr>
                <w:rFonts w:ascii="Times New Roman" w:hAnsi="Times New Roman" w:cs="Times New Roman"/>
              </w:rPr>
            </w:pPr>
            <w:r w:rsidRPr="003E5E5E">
              <w:rPr>
                <w:rFonts w:ascii="Times New Roman" w:hAnsi="Times New Roman" w:cs="Times New Roman"/>
              </w:rPr>
              <w:t xml:space="preserve">HHK/74-20/2015 (IV.23.), </w:t>
            </w:r>
          </w:p>
          <w:p w:rsidR="008B31E6" w:rsidRDefault="008B31E6" w:rsidP="00D9638D">
            <w:pPr>
              <w:spacing w:after="0" w:line="240" w:lineRule="auto"/>
              <w:rPr>
                <w:rFonts w:ascii="Times New Roman" w:hAnsi="Times New Roman" w:cs="Times New Roman"/>
              </w:rPr>
            </w:pPr>
            <w:r w:rsidRPr="003E5E5E">
              <w:rPr>
                <w:rFonts w:ascii="Times New Roman" w:hAnsi="Times New Roman" w:cs="Times New Roman"/>
              </w:rPr>
              <w:t>HHK/63-51/2016 (10.27.)…</w:t>
            </w:r>
          </w:p>
          <w:p w:rsidR="008B31E6" w:rsidRPr="003E5E5E" w:rsidRDefault="008B31E6" w:rsidP="00D9638D">
            <w:pPr>
              <w:spacing w:after="0" w:line="240" w:lineRule="auto"/>
              <w:rPr>
                <w:rFonts w:ascii="Times New Roman" w:hAnsi="Times New Roman" w:cs="Times New Roman"/>
              </w:rPr>
            </w:pPr>
            <w:r>
              <w:rPr>
                <w:rFonts w:ascii="Times New Roman" w:hAnsi="Times New Roman" w:cs="Times New Roman"/>
              </w:rPr>
              <w:t>…</w:t>
            </w:r>
          </w:p>
        </w:tc>
      </w:tr>
      <w:tr w:rsidR="008B31E6" w:rsidTr="00D9638D">
        <w:trPr>
          <w:jc w:val="center"/>
        </w:trPr>
        <w:tc>
          <w:tcPr>
            <w:tcW w:w="3780" w:type="dxa"/>
            <w:tcBorders>
              <w:top w:val="single" w:sz="4" w:space="0" w:color="auto"/>
              <w:left w:val="single" w:sz="4" w:space="0" w:color="auto"/>
              <w:bottom w:val="single" w:sz="4" w:space="0" w:color="auto"/>
              <w:right w:val="single" w:sz="4" w:space="0" w:color="auto"/>
            </w:tcBorders>
            <w:hideMark/>
          </w:tcPr>
          <w:p w:rsidR="008B31E6" w:rsidRDefault="008B31E6" w:rsidP="00D9638D">
            <w:pPr>
              <w:spacing w:after="0" w:line="240" w:lineRule="auto"/>
              <w:rPr>
                <w:rFonts w:ascii="Times New Roman" w:hAnsi="Times New Roman" w:cs="Times New Roman"/>
              </w:rPr>
            </w:pPr>
            <w:r>
              <w:rPr>
                <w:rFonts w:ascii="Times New Roman" w:hAnsi="Times New Roman" w:cs="Times New Roman"/>
              </w:rPr>
              <w:t>Szenátusi határozat száma:</w:t>
            </w:r>
          </w:p>
        </w:tc>
        <w:tc>
          <w:tcPr>
            <w:tcW w:w="3600" w:type="dxa"/>
            <w:tcBorders>
              <w:top w:val="single" w:sz="4" w:space="0" w:color="auto"/>
              <w:left w:val="single" w:sz="4" w:space="0" w:color="auto"/>
              <w:bottom w:val="single" w:sz="4" w:space="0" w:color="auto"/>
              <w:right w:val="single" w:sz="4" w:space="0" w:color="auto"/>
            </w:tcBorders>
            <w:hideMark/>
          </w:tcPr>
          <w:p w:rsidR="008B31E6" w:rsidRPr="003E5E5E" w:rsidRDefault="008B31E6" w:rsidP="00D9638D">
            <w:pPr>
              <w:spacing w:after="0" w:line="240" w:lineRule="auto"/>
              <w:rPr>
                <w:rFonts w:ascii="Times New Roman" w:hAnsi="Times New Roman" w:cs="Times New Roman"/>
              </w:rPr>
            </w:pPr>
            <w:r w:rsidRPr="003E5E5E">
              <w:rPr>
                <w:rFonts w:ascii="Times New Roman" w:hAnsi="Times New Roman" w:cs="Times New Roman"/>
              </w:rPr>
              <w:t xml:space="preserve">76/2012. (VII. 11.), </w:t>
            </w:r>
          </w:p>
          <w:p w:rsidR="008B31E6" w:rsidRPr="003E5E5E" w:rsidRDefault="008B31E6" w:rsidP="00D9638D">
            <w:pPr>
              <w:spacing w:after="0" w:line="240" w:lineRule="auto"/>
              <w:rPr>
                <w:rFonts w:ascii="Times New Roman" w:hAnsi="Times New Roman" w:cs="Times New Roman"/>
              </w:rPr>
            </w:pPr>
            <w:r w:rsidRPr="003E5E5E">
              <w:rPr>
                <w:rFonts w:ascii="Times New Roman" w:hAnsi="Times New Roman" w:cs="Times New Roman"/>
              </w:rPr>
              <w:t xml:space="preserve">9/2015 (VI.10.), </w:t>
            </w:r>
          </w:p>
          <w:p w:rsidR="008B31E6" w:rsidRPr="003E5E5E" w:rsidRDefault="008B31E6" w:rsidP="00D9638D">
            <w:pPr>
              <w:spacing w:after="0" w:line="240" w:lineRule="auto"/>
              <w:rPr>
                <w:rFonts w:ascii="Times New Roman" w:hAnsi="Times New Roman" w:cs="Times New Roman"/>
              </w:rPr>
            </w:pPr>
            <w:r w:rsidRPr="003E5E5E">
              <w:rPr>
                <w:rFonts w:ascii="Times New Roman" w:hAnsi="Times New Roman" w:cs="Times New Roman"/>
              </w:rPr>
              <w:t xml:space="preserve">62/2016 (VI.30.), </w:t>
            </w:r>
          </w:p>
          <w:p w:rsidR="008B31E6" w:rsidRDefault="008B31E6" w:rsidP="00D9638D">
            <w:pPr>
              <w:spacing w:after="0" w:line="240" w:lineRule="auto"/>
              <w:rPr>
                <w:rFonts w:ascii="Times New Roman" w:hAnsi="Times New Roman" w:cs="Times New Roman"/>
              </w:rPr>
            </w:pPr>
            <w:r w:rsidRPr="003E5E5E">
              <w:rPr>
                <w:rFonts w:ascii="Times New Roman" w:hAnsi="Times New Roman" w:cs="Times New Roman"/>
              </w:rPr>
              <w:t>120/2016 (X.26.)</w:t>
            </w:r>
          </w:p>
          <w:p w:rsidR="008B31E6" w:rsidRPr="003E5E5E" w:rsidRDefault="008B31E6" w:rsidP="00D9638D">
            <w:pPr>
              <w:spacing w:after="0" w:line="240" w:lineRule="auto"/>
              <w:rPr>
                <w:rFonts w:ascii="Times New Roman" w:hAnsi="Times New Roman" w:cs="Times New Roman"/>
              </w:rPr>
            </w:pPr>
            <w:r>
              <w:rPr>
                <w:rFonts w:ascii="Times New Roman" w:hAnsi="Times New Roman" w:cs="Times New Roman"/>
              </w:rPr>
              <w:t>…</w:t>
            </w:r>
          </w:p>
        </w:tc>
      </w:tr>
      <w:tr w:rsidR="008B31E6" w:rsidTr="00D9638D">
        <w:trPr>
          <w:jc w:val="center"/>
        </w:trPr>
        <w:tc>
          <w:tcPr>
            <w:tcW w:w="3780" w:type="dxa"/>
            <w:tcBorders>
              <w:top w:val="single" w:sz="4" w:space="0" w:color="auto"/>
              <w:left w:val="single" w:sz="4" w:space="0" w:color="auto"/>
              <w:bottom w:val="single" w:sz="4" w:space="0" w:color="auto"/>
              <w:right w:val="single" w:sz="4" w:space="0" w:color="auto"/>
            </w:tcBorders>
            <w:hideMark/>
          </w:tcPr>
          <w:p w:rsidR="008B31E6" w:rsidRDefault="008B31E6" w:rsidP="00D9638D">
            <w:pPr>
              <w:spacing w:after="0" w:line="240" w:lineRule="auto"/>
              <w:rPr>
                <w:rFonts w:ascii="Times New Roman" w:hAnsi="Times New Roman" w:cs="Times New Roman"/>
              </w:rPr>
            </w:pPr>
            <w:r>
              <w:rPr>
                <w:rFonts w:ascii="Times New Roman" w:hAnsi="Times New Roman" w:cs="Times New Roman"/>
              </w:rPr>
              <w:t>Fenntartói határozat száma:</w:t>
            </w:r>
          </w:p>
        </w:tc>
        <w:tc>
          <w:tcPr>
            <w:tcW w:w="3600" w:type="dxa"/>
            <w:tcBorders>
              <w:top w:val="single" w:sz="4" w:space="0" w:color="auto"/>
              <w:left w:val="single" w:sz="4" w:space="0" w:color="auto"/>
              <w:bottom w:val="single" w:sz="4" w:space="0" w:color="auto"/>
              <w:right w:val="single" w:sz="4" w:space="0" w:color="auto"/>
            </w:tcBorders>
            <w:hideMark/>
          </w:tcPr>
          <w:p w:rsidR="008B31E6" w:rsidRPr="003E5E5E" w:rsidRDefault="008B31E6" w:rsidP="00D9638D">
            <w:pPr>
              <w:spacing w:after="0" w:line="240" w:lineRule="auto"/>
              <w:rPr>
                <w:rFonts w:ascii="Times New Roman" w:hAnsi="Times New Roman" w:cs="Times New Roman"/>
              </w:rPr>
            </w:pPr>
            <w:r w:rsidRPr="003E5E5E">
              <w:rPr>
                <w:rFonts w:ascii="Times New Roman" w:hAnsi="Times New Roman" w:cs="Times New Roman"/>
              </w:rPr>
              <w:t>…</w:t>
            </w:r>
          </w:p>
        </w:tc>
      </w:tr>
      <w:tr w:rsidR="008B31E6" w:rsidTr="00D9638D">
        <w:trPr>
          <w:jc w:val="center"/>
        </w:trPr>
        <w:tc>
          <w:tcPr>
            <w:tcW w:w="3780" w:type="dxa"/>
            <w:tcBorders>
              <w:top w:val="single" w:sz="4" w:space="0" w:color="auto"/>
              <w:left w:val="single" w:sz="4" w:space="0" w:color="auto"/>
              <w:bottom w:val="single" w:sz="4" w:space="0" w:color="auto"/>
              <w:right w:val="single" w:sz="4" w:space="0" w:color="auto"/>
            </w:tcBorders>
            <w:hideMark/>
          </w:tcPr>
          <w:p w:rsidR="008B31E6" w:rsidRDefault="008B31E6" w:rsidP="00D9638D">
            <w:pPr>
              <w:spacing w:after="0" w:line="240" w:lineRule="auto"/>
              <w:rPr>
                <w:rFonts w:ascii="Times New Roman" w:hAnsi="Times New Roman" w:cs="Times New Roman"/>
              </w:rPr>
            </w:pPr>
            <w:r>
              <w:rPr>
                <w:rFonts w:ascii="Times New Roman" w:hAnsi="Times New Roman" w:cs="Times New Roman"/>
              </w:rPr>
              <w:t>MAB kód:</w:t>
            </w:r>
          </w:p>
        </w:tc>
        <w:tc>
          <w:tcPr>
            <w:tcW w:w="3600" w:type="dxa"/>
            <w:tcBorders>
              <w:top w:val="single" w:sz="4" w:space="0" w:color="auto"/>
              <w:left w:val="single" w:sz="4" w:space="0" w:color="auto"/>
              <w:bottom w:val="single" w:sz="4" w:space="0" w:color="auto"/>
              <w:right w:val="single" w:sz="4" w:space="0" w:color="auto"/>
            </w:tcBorders>
            <w:hideMark/>
          </w:tcPr>
          <w:p w:rsidR="008B31E6" w:rsidRPr="003E5E5E" w:rsidRDefault="008B31E6" w:rsidP="00D9638D">
            <w:pPr>
              <w:spacing w:after="0" w:line="240" w:lineRule="auto"/>
              <w:rPr>
                <w:rFonts w:ascii="Times New Roman" w:hAnsi="Times New Roman" w:cs="Times New Roman"/>
              </w:rPr>
            </w:pPr>
            <w:r w:rsidRPr="003E5E5E">
              <w:rPr>
                <w:rFonts w:ascii="Times New Roman" w:hAnsi="Times New Roman" w:cs="Times New Roman"/>
              </w:rPr>
              <w:t>Bs1295</w:t>
            </w:r>
          </w:p>
        </w:tc>
      </w:tr>
      <w:tr w:rsidR="008B31E6" w:rsidTr="00D9638D">
        <w:trPr>
          <w:jc w:val="center"/>
        </w:trPr>
        <w:tc>
          <w:tcPr>
            <w:tcW w:w="3780" w:type="dxa"/>
            <w:tcBorders>
              <w:top w:val="single" w:sz="4" w:space="0" w:color="auto"/>
              <w:left w:val="single" w:sz="4" w:space="0" w:color="auto"/>
              <w:bottom w:val="single" w:sz="4" w:space="0" w:color="auto"/>
              <w:right w:val="single" w:sz="4" w:space="0" w:color="auto"/>
            </w:tcBorders>
            <w:hideMark/>
          </w:tcPr>
          <w:p w:rsidR="008B31E6" w:rsidRDefault="008B31E6" w:rsidP="00D9638D">
            <w:pPr>
              <w:spacing w:after="0" w:line="240" w:lineRule="auto"/>
              <w:rPr>
                <w:rFonts w:ascii="Times New Roman" w:hAnsi="Times New Roman" w:cs="Times New Roman"/>
              </w:rPr>
            </w:pPr>
            <w:r>
              <w:rPr>
                <w:rFonts w:ascii="Times New Roman" w:hAnsi="Times New Roman" w:cs="Times New Roman"/>
              </w:rPr>
              <w:t>MAB határozat száma:</w:t>
            </w:r>
          </w:p>
        </w:tc>
        <w:tc>
          <w:tcPr>
            <w:tcW w:w="3600" w:type="dxa"/>
            <w:tcBorders>
              <w:top w:val="single" w:sz="4" w:space="0" w:color="auto"/>
              <w:left w:val="single" w:sz="4" w:space="0" w:color="auto"/>
              <w:bottom w:val="single" w:sz="4" w:space="0" w:color="auto"/>
              <w:right w:val="single" w:sz="4" w:space="0" w:color="auto"/>
            </w:tcBorders>
            <w:hideMark/>
          </w:tcPr>
          <w:p w:rsidR="008B31E6" w:rsidRPr="003E5E5E" w:rsidRDefault="008B31E6" w:rsidP="00D9638D">
            <w:pPr>
              <w:spacing w:after="0" w:line="240" w:lineRule="auto"/>
              <w:rPr>
                <w:rFonts w:ascii="Times New Roman" w:hAnsi="Times New Roman" w:cs="Times New Roman"/>
              </w:rPr>
            </w:pPr>
            <w:r w:rsidRPr="003E5E5E">
              <w:rPr>
                <w:rFonts w:ascii="Times New Roman" w:hAnsi="Times New Roman" w:cs="Times New Roman"/>
              </w:rPr>
              <w:t>2012/9/VI/7</w:t>
            </w:r>
          </w:p>
        </w:tc>
      </w:tr>
      <w:tr w:rsidR="008B31E6" w:rsidTr="00D9638D">
        <w:trPr>
          <w:jc w:val="center"/>
        </w:trPr>
        <w:tc>
          <w:tcPr>
            <w:tcW w:w="3780" w:type="dxa"/>
            <w:tcBorders>
              <w:top w:val="single" w:sz="4" w:space="0" w:color="auto"/>
              <w:left w:val="single" w:sz="4" w:space="0" w:color="auto"/>
              <w:bottom w:val="single" w:sz="4" w:space="0" w:color="auto"/>
              <w:right w:val="single" w:sz="4" w:space="0" w:color="auto"/>
            </w:tcBorders>
            <w:hideMark/>
          </w:tcPr>
          <w:p w:rsidR="008B31E6" w:rsidRDefault="008B31E6" w:rsidP="00D9638D">
            <w:pPr>
              <w:spacing w:after="0" w:line="240" w:lineRule="auto"/>
              <w:rPr>
                <w:rFonts w:ascii="Times New Roman" w:hAnsi="Times New Roman" w:cs="Times New Roman"/>
              </w:rPr>
            </w:pPr>
            <w:r>
              <w:rPr>
                <w:rFonts w:ascii="Times New Roman" w:hAnsi="Times New Roman" w:cs="Times New Roman"/>
              </w:rPr>
              <w:t>OH nyilvántartásba vételi szám:</w:t>
            </w:r>
          </w:p>
        </w:tc>
        <w:tc>
          <w:tcPr>
            <w:tcW w:w="3600" w:type="dxa"/>
            <w:tcBorders>
              <w:top w:val="single" w:sz="4" w:space="0" w:color="auto"/>
              <w:left w:val="single" w:sz="4" w:space="0" w:color="auto"/>
              <w:bottom w:val="single" w:sz="4" w:space="0" w:color="auto"/>
              <w:right w:val="single" w:sz="4" w:space="0" w:color="auto"/>
            </w:tcBorders>
            <w:hideMark/>
          </w:tcPr>
          <w:p w:rsidR="008B31E6" w:rsidRPr="003E5E5E" w:rsidRDefault="008B31E6" w:rsidP="00D9638D">
            <w:pPr>
              <w:spacing w:after="0" w:line="240" w:lineRule="auto"/>
              <w:rPr>
                <w:rFonts w:ascii="Times New Roman" w:hAnsi="Times New Roman" w:cs="Times New Roman"/>
              </w:rPr>
            </w:pPr>
            <w:r w:rsidRPr="003E5E5E">
              <w:rPr>
                <w:rFonts w:ascii="Times New Roman" w:hAnsi="Times New Roman" w:cs="Times New Roman"/>
              </w:rPr>
              <w:t>OH 21373</w:t>
            </w:r>
          </w:p>
        </w:tc>
      </w:tr>
      <w:tr w:rsidR="008B31E6" w:rsidTr="00D9638D">
        <w:trPr>
          <w:jc w:val="center"/>
        </w:trPr>
        <w:tc>
          <w:tcPr>
            <w:tcW w:w="3780" w:type="dxa"/>
            <w:tcBorders>
              <w:top w:val="single" w:sz="4" w:space="0" w:color="auto"/>
              <w:left w:val="single" w:sz="4" w:space="0" w:color="auto"/>
              <w:bottom w:val="single" w:sz="4" w:space="0" w:color="auto"/>
              <w:right w:val="single" w:sz="4" w:space="0" w:color="auto"/>
            </w:tcBorders>
            <w:hideMark/>
          </w:tcPr>
          <w:p w:rsidR="008B31E6" w:rsidRDefault="008B31E6" w:rsidP="00D9638D">
            <w:pPr>
              <w:spacing w:after="0" w:line="240" w:lineRule="auto"/>
              <w:rPr>
                <w:rFonts w:ascii="Times New Roman" w:hAnsi="Times New Roman" w:cs="Times New Roman"/>
              </w:rPr>
            </w:pPr>
            <w:r>
              <w:rPr>
                <w:rFonts w:ascii="Times New Roman" w:hAnsi="Times New Roman" w:cs="Times New Roman"/>
              </w:rPr>
              <w:t>A képzés FIR kódja:</w:t>
            </w:r>
          </w:p>
        </w:tc>
        <w:tc>
          <w:tcPr>
            <w:tcW w:w="3600" w:type="dxa"/>
            <w:tcBorders>
              <w:top w:val="single" w:sz="4" w:space="0" w:color="auto"/>
              <w:left w:val="single" w:sz="4" w:space="0" w:color="auto"/>
              <w:bottom w:val="single" w:sz="4" w:space="0" w:color="auto"/>
              <w:right w:val="single" w:sz="4" w:space="0" w:color="auto"/>
            </w:tcBorders>
            <w:hideMark/>
          </w:tcPr>
          <w:p w:rsidR="008B31E6" w:rsidRPr="003E5E5E" w:rsidRDefault="008B31E6" w:rsidP="00D9638D">
            <w:pPr>
              <w:spacing w:after="0" w:line="240" w:lineRule="auto"/>
              <w:rPr>
                <w:rFonts w:ascii="Times New Roman" w:hAnsi="Times New Roman" w:cs="Times New Roman"/>
              </w:rPr>
            </w:pPr>
            <w:r w:rsidRPr="003E5E5E">
              <w:rPr>
                <w:rFonts w:ascii="Times New Roman" w:hAnsi="Times New Roman" w:cs="Times New Roman"/>
              </w:rPr>
              <w:t>BSZKKLO</w:t>
            </w:r>
          </w:p>
        </w:tc>
      </w:tr>
      <w:tr w:rsidR="008B31E6" w:rsidTr="00D9638D">
        <w:trPr>
          <w:jc w:val="center"/>
        </w:trPr>
        <w:tc>
          <w:tcPr>
            <w:tcW w:w="3780" w:type="dxa"/>
            <w:tcBorders>
              <w:top w:val="single" w:sz="4" w:space="0" w:color="auto"/>
              <w:left w:val="single" w:sz="4" w:space="0" w:color="auto"/>
              <w:bottom w:val="single" w:sz="4" w:space="0" w:color="auto"/>
              <w:right w:val="single" w:sz="4" w:space="0" w:color="auto"/>
            </w:tcBorders>
            <w:hideMark/>
          </w:tcPr>
          <w:p w:rsidR="008B31E6" w:rsidRDefault="008B31E6" w:rsidP="00D9638D">
            <w:pPr>
              <w:spacing w:after="0" w:line="240" w:lineRule="auto"/>
              <w:rPr>
                <w:rFonts w:ascii="Times New Roman" w:hAnsi="Times New Roman" w:cs="Times New Roman"/>
              </w:rPr>
            </w:pPr>
            <w:r>
              <w:rPr>
                <w:rFonts w:ascii="Times New Roman" w:hAnsi="Times New Roman" w:cs="Times New Roman"/>
              </w:rPr>
              <w:t>A meghirdetés első éve:</w:t>
            </w:r>
          </w:p>
        </w:tc>
        <w:tc>
          <w:tcPr>
            <w:tcW w:w="3600" w:type="dxa"/>
            <w:tcBorders>
              <w:top w:val="single" w:sz="4" w:space="0" w:color="auto"/>
              <w:left w:val="single" w:sz="4" w:space="0" w:color="auto"/>
              <w:bottom w:val="single" w:sz="4" w:space="0" w:color="auto"/>
              <w:right w:val="single" w:sz="4" w:space="0" w:color="auto"/>
            </w:tcBorders>
            <w:hideMark/>
          </w:tcPr>
          <w:p w:rsidR="008B31E6" w:rsidRPr="003E5E5E" w:rsidRDefault="008B31E6" w:rsidP="00D9638D">
            <w:pPr>
              <w:spacing w:after="0" w:line="240" w:lineRule="auto"/>
              <w:rPr>
                <w:rFonts w:ascii="Times New Roman" w:hAnsi="Times New Roman" w:cs="Times New Roman"/>
              </w:rPr>
            </w:pPr>
            <w:r w:rsidRPr="003E5E5E">
              <w:rPr>
                <w:rFonts w:ascii="Times New Roman" w:hAnsi="Times New Roman" w:cs="Times New Roman"/>
              </w:rPr>
              <w:t>2013</w:t>
            </w:r>
            <w:r>
              <w:rPr>
                <w:rFonts w:ascii="Times New Roman" w:hAnsi="Times New Roman" w:cs="Times New Roman"/>
              </w:rPr>
              <w:t>.</w:t>
            </w:r>
          </w:p>
        </w:tc>
      </w:tr>
    </w:tbl>
    <w:p w:rsidR="008B31E6" w:rsidRDefault="008B31E6" w:rsidP="008B31E6">
      <w:pPr>
        <w:spacing w:after="0" w:line="240" w:lineRule="auto"/>
        <w:jc w:val="center"/>
        <w:rPr>
          <w:rFonts w:ascii="Times New Roman" w:hAnsi="Times New Roman" w:cs="Times New Roman"/>
          <w:b/>
          <w:bCs/>
        </w:rPr>
      </w:pPr>
    </w:p>
    <w:p w:rsidR="008B31E6" w:rsidRDefault="008B31E6" w:rsidP="008B31E6">
      <w:pPr>
        <w:spacing w:after="0" w:line="240" w:lineRule="auto"/>
        <w:jc w:val="center"/>
        <w:rPr>
          <w:rFonts w:ascii="Times New Roman" w:hAnsi="Times New Roman" w:cs="Times New Roman"/>
          <w:b/>
          <w:bCs/>
        </w:rPr>
      </w:pPr>
      <w:r>
        <w:rPr>
          <w:rFonts w:ascii="Times New Roman" w:hAnsi="Times New Roman" w:cs="Times New Roman"/>
          <w:b/>
          <w:bCs/>
        </w:rPr>
        <w:br w:type="page"/>
      </w:r>
      <w:r>
        <w:rPr>
          <w:rFonts w:ascii="Times New Roman" w:hAnsi="Times New Roman" w:cs="Times New Roman"/>
          <w:b/>
          <w:bCs/>
        </w:rPr>
        <w:lastRenderedPageBreak/>
        <w:t>Tartalomjegyzék</w:t>
      </w:r>
    </w:p>
    <w:p w:rsidR="008B31E6" w:rsidRDefault="008B31E6" w:rsidP="008B31E6">
      <w:pPr>
        <w:spacing w:after="0" w:line="240" w:lineRule="auto"/>
        <w:jc w:val="center"/>
        <w:rPr>
          <w:rFonts w:ascii="Times New Roman" w:hAnsi="Times New Roman" w:cs="Times New Roman"/>
          <w:b/>
          <w:bCs/>
        </w:rPr>
      </w:pPr>
    </w:p>
    <w:sdt>
      <w:sdtPr>
        <w:rPr>
          <w:rFonts w:asciiTheme="minorHAnsi" w:eastAsiaTheme="minorHAnsi" w:hAnsiTheme="minorHAnsi" w:cstheme="minorBidi"/>
          <w:color w:val="auto"/>
          <w:sz w:val="22"/>
          <w:szCs w:val="22"/>
          <w:lang w:eastAsia="en-US"/>
        </w:rPr>
        <w:id w:val="-276957358"/>
        <w:docPartObj>
          <w:docPartGallery w:val="Table of Contents"/>
          <w:docPartUnique/>
        </w:docPartObj>
      </w:sdtPr>
      <w:sdtEndPr>
        <w:rPr>
          <w:b/>
          <w:bCs/>
        </w:rPr>
      </w:sdtEndPr>
      <w:sdtContent>
        <w:p w:rsidR="008B31E6" w:rsidRPr="00026DC6" w:rsidRDefault="008B31E6" w:rsidP="008B31E6">
          <w:pPr>
            <w:pStyle w:val="Tartalomjegyzkcmsora"/>
            <w:rPr>
              <w:sz w:val="18"/>
            </w:rPr>
          </w:pPr>
        </w:p>
        <w:p w:rsidR="00027664" w:rsidRDefault="008B31E6">
          <w:pPr>
            <w:pStyle w:val="TJ1"/>
            <w:tabs>
              <w:tab w:val="right" w:leader="dot" w:pos="9062"/>
            </w:tabs>
            <w:rPr>
              <w:rFonts w:eastAsiaTheme="minorEastAsia"/>
              <w:noProof/>
              <w:lang w:eastAsia="hu-HU"/>
            </w:rPr>
          </w:pPr>
          <w:r w:rsidRPr="009B33D5">
            <w:rPr>
              <w:b/>
            </w:rPr>
            <w:fldChar w:fldCharType="begin"/>
          </w:r>
          <w:r w:rsidRPr="009B33D5">
            <w:rPr>
              <w:b/>
            </w:rPr>
            <w:instrText xml:space="preserve"> TOC \o "1-3" \h \z \u </w:instrText>
          </w:r>
          <w:r w:rsidRPr="009B33D5">
            <w:rPr>
              <w:b/>
            </w:rPr>
            <w:fldChar w:fldCharType="separate"/>
          </w:r>
          <w:hyperlink w:anchor="_Toc37240827" w:history="1">
            <w:r w:rsidR="00027664" w:rsidRPr="005112C1">
              <w:rPr>
                <w:rStyle w:val="Hiperhivatkozs"/>
                <w:noProof/>
              </w:rPr>
              <w:t>1. A szak megnevezése</w:t>
            </w:r>
            <w:r w:rsidR="00027664">
              <w:rPr>
                <w:noProof/>
                <w:webHidden/>
              </w:rPr>
              <w:tab/>
            </w:r>
            <w:r w:rsidR="00027664">
              <w:rPr>
                <w:noProof/>
                <w:webHidden/>
              </w:rPr>
              <w:fldChar w:fldCharType="begin"/>
            </w:r>
            <w:r w:rsidR="00027664">
              <w:rPr>
                <w:noProof/>
                <w:webHidden/>
              </w:rPr>
              <w:instrText xml:space="preserve"> PAGEREF _Toc37240827 \h </w:instrText>
            </w:r>
            <w:r w:rsidR="00027664">
              <w:rPr>
                <w:noProof/>
                <w:webHidden/>
              </w:rPr>
            </w:r>
            <w:r w:rsidR="00027664">
              <w:rPr>
                <w:noProof/>
                <w:webHidden/>
              </w:rPr>
              <w:fldChar w:fldCharType="separate"/>
            </w:r>
            <w:r w:rsidR="00BE7E38">
              <w:rPr>
                <w:noProof/>
                <w:webHidden/>
              </w:rPr>
              <w:t>6</w:t>
            </w:r>
            <w:r w:rsidR="00027664">
              <w:rPr>
                <w:noProof/>
                <w:webHidden/>
              </w:rPr>
              <w:fldChar w:fldCharType="end"/>
            </w:r>
          </w:hyperlink>
        </w:p>
        <w:p w:rsidR="00027664" w:rsidRDefault="004D708E">
          <w:pPr>
            <w:pStyle w:val="TJ1"/>
            <w:tabs>
              <w:tab w:val="right" w:leader="dot" w:pos="9062"/>
            </w:tabs>
            <w:rPr>
              <w:rFonts w:eastAsiaTheme="minorEastAsia"/>
              <w:noProof/>
              <w:lang w:eastAsia="hu-HU"/>
            </w:rPr>
          </w:pPr>
          <w:hyperlink w:anchor="_Toc37240828" w:history="1">
            <w:r w:rsidR="00027664" w:rsidRPr="005112C1">
              <w:rPr>
                <w:rStyle w:val="Hiperhivatkozs"/>
                <w:noProof/>
              </w:rPr>
              <w:t>2. Képzési terület, az NKE tv. 3. §-ában meghatározott felsőoktatási terület</w:t>
            </w:r>
            <w:r w:rsidR="00027664">
              <w:rPr>
                <w:noProof/>
                <w:webHidden/>
              </w:rPr>
              <w:tab/>
            </w:r>
            <w:r w:rsidR="00027664">
              <w:rPr>
                <w:noProof/>
                <w:webHidden/>
              </w:rPr>
              <w:fldChar w:fldCharType="begin"/>
            </w:r>
            <w:r w:rsidR="00027664">
              <w:rPr>
                <w:noProof/>
                <w:webHidden/>
              </w:rPr>
              <w:instrText xml:space="preserve"> PAGEREF _Toc37240828 \h </w:instrText>
            </w:r>
            <w:r w:rsidR="00027664">
              <w:rPr>
                <w:noProof/>
                <w:webHidden/>
              </w:rPr>
            </w:r>
            <w:r w:rsidR="00027664">
              <w:rPr>
                <w:noProof/>
                <w:webHidden/>
              </w:rPr>
              <w:fldChar w:fldCharType="separate"/>
            </w:r>
            <w:r w:rsidR="00BE7E38">
              <w:rPr>
                <w:noProof/>
                <w:webHidden/>
              </w:rPr>
              <w:t>6</w:t>
            </w:r>
            <w:r w:rsidR="00027664">
              <w:rPr>
                <w:noProof/>
                <w:webHidden/>
              </w:rPr>
              <w:fldChar w:fldCharType="end"/>
            </w:r>
          </w:hyperlink>
        </w:p>
        <w:p w:rsidR="00027664" w:rsidRDefault="004D708E">
          <w:pPr>
            <w:pStyle w:val="TJ1"/>
            <w:tabs>
              <w:tab w:val="right" w:leader="dot" w:pos="9062"/>
            </w:tabs>
            <w:rPr>
              <w:rFonts w:eastAsiaTheme="minorEastAsia"/>
              <w:noProof/>
              <w:lang w:eastAsia="hu-HU"/>
            </w:rPr>
          </w:pPr>
          <w:hyperlink w:anchor="_Toc37240829" w:history="1">
            <w:r w:rsidR="00027664" w:rsidRPr="005112C1">
              <w:rPr>
                <w:rStyle w:val="Hiperhivatkozs"/>
                <w:noProof/>
              </w:rPr>
              <w:t>3. A szak szakirányai/specializációi</w:t>
            </w:r>
            <w:r w:rsidR="00027664">
              <w:rPr>
                <w:noProof/>
                <w:webHidden/>
              </w:rPr>
              <w:tab/>
            </w:r>
            <w:r w:rsidR="00027664">
              <w:rPr>
                <w:noProof/>
                <w:webHidden/>
              </w:rPr>
              <w:fldChar w:fldCharType="begin"/>
            </w:r>
            <w:r w:rsidR="00027664">
              <w:rPr>
                <w:noProof/>
                <w:webHidden/>
              </w:rPr>
              <w:instrText xml:space="preserve"> PAGEREF _Toc37240829 \h </w:instrText>
            </w:r>
            <w:r w:rsidR="00027664">
              <w:rPr>
                <w:noProof/>
                <w:webHidden/>
              </w:rPr>
            </w:r>
            <w:r w:rsidR="00027664">
              <w:rPr>
                <w:noProof/>
                <w:webHidden/>
              </w:rPr>
              <w:fldChar w:fldCharType="separate"/>
            </w:r>
            <w:r w:rsidR="00BE7E38">
              <w:rPr>
                <w:noProof/>
                <w:webHidden/>
              </w:rPr>
              <w:t>6</w:t>
            </w:r>
            <w:r w:rsidR="00027664">
              <w:rPr>
                <w:noProof/>
                <w:webHidden/>
              </w:rPr>
              <w:fldChar w:fldCharType="end"/>
            </w:r>
          </w:hyperlink>
        </w:p>
        <w:p w:rsidR="00027664" w:rsidRDefault="004D708E">
          <w:pPr>
            <w:pStyle w:val="TJ1"/>
            <w:tabs>
              <w:tab w:val="right" w:leader="dot" w:pos="9062"/>
            </w:tabs>
            <w:rPr>
              <w:rFonts w:eastAsiaTheme="minorEastAsia"/>
              <w:noProof/>
              <w:lang w:eastAsia="hu-HU"/>
            </w:rPr>
          </w:pPr>
          <w:hyperlink w:anchor="_Toc37240830" w:history="1">
            <w:r w:rsidR="00027664" w:rsidRPr="005112C1">
              <w:rPr>
                <w:rStyle w:val="Hiperhivatkozs"/>
                <w:noProof/>
              </w:rPr>
              <w:t>4. Végzettségi szint</w:t>
            </w:r>
            <w:r w:rsidR="00027664">
              <w:rPr>
                <w:noProof/>
                <w:webHidden/>
              </w:rPr>
              <w:tab/>
            </w:r>
            <w:r w:rsidR="00027664">
              <w:rPr>
                <w:noProof/>
                <w:webHidden/>
              </w:rPr>
              <w:fldChar w:fldCharType="begin"/>
            </w:r>
            <w:r w:rsidR="00027664">
              <w:rPr>
                <w:noProof/>
                <w:webHidden/>
              </w:rPr>
              <w:instrText xml:space="preserve"> PAGEREF _Toc37240830 \h </w:instrText>
            </w:r>
            <w:r w:rsidR="00027664">
              <w:rPr>
                <w:noProof/>
                <w:webHidden/>
              </w:rPr>
            </w:r>
            <w:r w:rsidR="00027664">
              <w:rPr>
                <w:noProof/>
                <w:webHidden/>
              </w:rPr>
              <w:fldChar w:fldCharType="separate"/>
            </w:r>
            <w:r w:rsidR="00BE7E38">
              <w:rPr>
                <w:noProof/>
                <w:webHidden/>
              </w:rPr>
              <w:t>6</w:t>
            </w:r>
            <w:r w:rsidR="00027664">
              <w:rPr>
                <w:noProof/>
                <w:webHidden/>
              </w:rPr>
              <w:fldChar w:fldCharType="end"/>
            </w:r>
          </w:hyperlink>
        </w:p>
        <w:p w:rsidR="00027664" w:rsidRDefault="004D708E">
          <w:pPr>
            <w:pStyle w:val="TJ1"/>
            <w:tabs>
              <w:tab w:val="right" w:leader="dot" w:pos="9062"/>
            </w:tabs>
            <w:rPr>
              <w:rFonts w:eastAsiaTheme="minorEastAsia"/>
              <w:noProof/>
              <w:lang w:eastAsia="hu-HU"/>
            </w:rPr>
          </w:pPr>
          <w:hyperlink w:anchor="_Toc37240831" w:history="1">
            <w:r w:rsidR="00027664" w:rsidRPr="005112C1">
              <w:rPr>
                <w:rStyle w:val="Hiperhivatkozs"/>
                <w:noProof/>
              </w:rPr>
              <w:t>5. A szakon megszerezhető végzettség és szakképzettség oklevélben szereplő megnevezése</w:t>
            </w:r>
            <w:r w:rsidR="00027664">
              <w:rPr>
                <w:noProof/>
                <w:webHidden/>
              </w:rPr>
              <w:tab/>
            </w:r>
            <w:r w:rsidR="00027664">
              <w:rPr>
                <w:noProof/>
                <w:webHidden/>
              </w:rPr>
              <w:fldChar w:fldCharType="begin"/>
            </w:r>
            <w:r w:rsidR="00027664">
              <w:rPr>
                <w:noProof/>
                <w:webHidden/>
              </w:rPr>
              <w:instrText xml:space="preserve"> PAGEREF _Toc37240831 \h </w:instrText>
            </w:r>
            <w:r w:rsidR="00027664">
              <w:rPr>
                <w:noProof/>
                <w:webHidden/>
              </w:rPr>
            </w:r>
            <w:r w:rsidR="00027664">
              <w:rPr>
                <w:noProof/>
                <w:webHidden/>
              </w:rPr>
              <w:fldChar w:fldCharType="separate"/>
            </w:r>
            <w:r w:rsidR="00BE7E38">
              <w:rPr>
                <w:noProof/>
                <w:webHidden/>
              </w:rPr>
              <w:t>6</w:t>
            </w:r>
            <w:r w:rsidR="00027664">
              <w:rPr>
                <w:noProof/>
                <w:webHidden/>
              </w:rPr>
              <w:fldChar w:fldCharType="end"/>
            </w:r>
          </w:hyperlink>
        </w:p>
        <w:p w:rsidR="00027664" w:rsidRDefault="004D708E">
          <w:pPr>
            <w:pStyle w:val="TJ1"/>
            <w:tabs>
              <w:tab w:val="right" w:leader="dot" w:pos="9062"/>
            </w:tabs>
            <w:rPr>
              <w:rFonts w:eastAsiaTheme="minorEastAsia"/>
              <w:noProof/>
              <w:lang w:eastAsia="hu-HU"/>
            </w:rPr>
          </w:pPr>
          <w:hyperlink w:anchor="_Toc37240832" w:history="1">
            <w:r w:rsidR="00027664" w:rsidRPr="005112C1">
              <w:rPr>
                <w:rStyle w:val="Hiperhivatkozs"/>
                <w:noProof/>
              </w:rPr>
              <w:t>6. A képzés célja és az elsajátítandó szakmai kompetenciák</w:t>
            </w:r>
            <w:r w:rsidR="00027664">
              <w:rPr>
                <w:noProof/>
                <w:webHidden/>
              </w:rPr>
              <w:tab/>
            </w:r>
            <w:r w:rsidR="00027664">
              <w:rPr>
                <w:noProof/>
                <w:webHidden/>
              </w:rPr>
              <w:fldChar w:fldCharType="begin"/>
            </w:r>
            <w:r w:rsidR="00027664">
              <w:rPr>
                <w:noProof/>
                <w:webHidden/>
              </w:rPr>
              <w:instrText xml:space="preserve"> PAGEREF _Toc37240832 \h </w:instrText>
            </w:r>
            <w:r w:rsidR="00027664">
              <w:rPr>
                <w:noProof/>
                <w:webHidden/>
              </w:rPr>
            </w:r>
            <w:r w:rsidR="00027664">
              <w:rPr>
                <w:noProof/>
                <w:webHidden/>
              </w:rPr>
              <w:fldChar w:fldCharType="separate"/>
            </w:r>
            <w:r w:rsidR="00BE7E38">
              <w:rPr>
                <w:noProof/>
                <w:webHidden/>
              </w:rPr>
              <w:t>6</w:t>
            </w:r>
            <w:r w:rsidR="00027664">
              <w:rPr>
                <w:noProof/>
                <w:webHidden/>
              </w:rPr>
              <w:fldChar w:fldCharType="end"/>
            </w:r>
          </w:hyperlink>
        </w:p>
        <w:p w:rsidR="00027664" w:rsidRDefault="004D708E">
          <w:pPr>
            <w:pStyle w:val="TJ1"/>
            <w:tabs>
              <w:tab w:val="right" w:leader="dot" w:pos="9062"/>
            </w:tabs>
            <w:rPr>
              <w:rFonts w:eastAsiaTheme="minorEastAsia"/>
              <w:noProof/>
              <w:lang w:eastAsia="hu-HU"/>
            </w:rPr>
          </w:pPr>
          <w:hyperlink w:anchor="_Toc37240833" w:history="1">
            <w:r w:rsidR="00027664" w:rsidRPr="005112C1">
              <w:rPr>
                <w:rStyle w:val="Hiperhivatkozs"/>
                <w:noProof/>
              </w:rPr>
              <w:t>7. A képzés időtényezői</w:t>
            </w:r>
            <w:r w:rsidR="00027664">
              <w:rPr>
                <w:noProof/>
                <w:webHidden/>
              </w:rPr>
              <w:tab/>
            </w:r>
            <w:r w:rsidR="00027664">
              <w:rPr>
                <w:noProof/>
                <w:webHidden/>
              </w:rPr>
              <w:fldChar w:fldCharType="begin"/>
            </w:r>
            <w:r w:rsidR="00027664">
              <w:rPr>
                <w:noProof/>
                <w:webHidden/>
              </w:rPr>
              <w:instrText xml:space="preserve"> PAGEREF _Toc37240833 \h </w:instrText>
            </w:r>
            <w:r w:rsidR="00027664">
              <w:rPr>
                <w:noProof/>
                <w:webHidden/>
              </w:rPr>
            </w:r>
            <w:r w:rsidR="00027664">
              <w:rPr>
                <w:noProof/>
                <w:webHidden/>
              </w:rPr>
              <w:fldChar w:fldCharType="separate"/>
            </w:r>
            <w:r w:rsidR="00BE7E38">
              <w:rPr>
                <w:noProof/>
                <w:webHidden/>
              </w:rPr>
              <w:t>12</w:t>
            </w:r>
            <w:r w:rsidR="00027664">
              <w:rPr>
                <w:noProof/>
                <w:webHidden/>
              </w:rPr>
              <w:fldChar w:fldCharType="end"/>
            </w:r>
          </w:hyperlink>
        </w:p>
        <w:p w:rsidR="00027664" w:rsidRDefault="004D708E">
          <w:pPr>
            <w:pStyle w:val="TJ1"/>
            <w:tabs>
              <w:tab w:val="right" w:leader="dot" w:pos="9062"/>
            </w:tabs>
            <w:rPr>
              <w:rFonts w:eastAsiaTheme="minorEastAsia"/>
              <w:noProof/>
              <w:lang w:eastAsia="hu-HU"/>
            </w:rPr>
          </w:pPr>
          <w:hyperlink w:anchor="_Toc37240834" w:history="1">
            <w:r w:rsidR="00027664" w:rsidRPr="005112C1">
              <w:rPr>
                <w:rStyle w:val="Hiperhivatkozs"/>
                <w:noProof/>
              </w:rPr>
              <w:t>8.</w:t>
            </w:r>
            <w:r w:rsidR="00027664" w:rsidRPr="005112C1">
              <w:rPr>
                <w:rStyle w:val="Hiperhivatkozs"/>
                <w:noProof/>
                <w:lang w:eastAsia="ar-SA"/>
              </w:rPr>
              <w:t xml:space="preserve"> A képzés felépítése</w:t>
            </w:r>
            <w:r w:rsidR="00027664">
              <w:rPr>
                <w:noProof/>
                <w:webHidden/>
              </w:rPr>
              <w:tab/>
            </w:r>
            <w:r w:rsidR="00027664">
              <w:rPr>
                <w:noProof/>
                <w:webHidden/>
              </w:rPr>
              <w:fldChar w:fldCharType="begin"/>
            </w:r>
            <w:r w:rsidR="00027664">
              <w:rPr>
                <w:noProof/>
                <w:webHidden/>
              </w:rPr>
              <w:instrText xml:space="preserve"> PAGEREF _Toc37240834 \h </w:instrText>
            </w:r>
            <w:r w:rsidR="00027664">
              <w:rPr>
                <w:noProof/>
                <w:webHidden/>
              </w:rPr>
            </w:r>
            <w:r w:rsidR="00027664">
              <w:rPr>
                <w:noProof/>
                <w:webHidden/>
              </w:rPr>
              <w:fldChar w:fldCharType="separate"/>
            </w:r>
            <w:r w:rsidR="00BE7E38">
              <w:rPr>
                <w:noProof/>
                <w:webHidden/>
              </w:rPr>
              <w:t>13</w:t>
            </w:r>
            <w:r w:rsidR="00027664">
              <w:rPr>
                <w:noProof/>
                <w:webHidden/>
              </w:rPr>
              <w:fldChar w:fldCharType="end"/>
            </w:r>
          </w:hyperlink>
        </w:p>
        <w:p w:rsidR="00027664" w:rsidRDefault="004D708E">
          <w:pPr>
            <w:pStyle w:val="TJ1"/>
            <w:tabs>
              <w:tab w:val="right" w:leader="dot" w:pos="9062"/>
            </w:tabs>
            <w:rPr>
              <w:rFonts w:eastAsiaTheme="minorEastAsia"/>
              <w:noProof/>
              <w:lang w:eastAsia="hu-HU"/>
            </w:rPr>
          </w:pPr>
          <w:hyperlink w:anchor="_Toc37240835" w:history="1">
            <w:r w:rsidR="00027664" w:rsidRPr="005112C1">
              <w:rPr>
                <w:rStyle w:val="Hiperhivatkozs"/>
                <w:noProof/>
              </w:rPr>
              <w:t>9. A tanóra-, kredit- és vizsgaterv</w:t>
            </w:r>
            <w:r w:rsidR="00027664">
              <w:rPr>
                <w:noProof/>
                <w:webHidden/>
              </w:rPr>
              <w:tab/>
            </w:r>
            <w:r w:rsidR="00027664">
              <w:rPr>
                <w:noProof/>
                <w:webHidden/>
              </w:rPr>
              <w:fldChar w:fldCharType="begin"/>
            </w:r>
            <w:r w:rsidR="00027664">
              <w:rPr>
                <w:noProof/>
                <w:webHidden/>
              </w:rPr>
              <w:instrText xml:space="preserve"> PAGEREF _Toc37240835 \h </w:instrText>
            </w:r>
            <w:r w:rsidR="00027664">
              <w:rPr>
                <w:noProof/>
                <w:webHidden/>
              </w:rPr>
            </w:r>
            <w:r w:rsidR="00027664">
              <w:rPr>
                <w:noProof/>
                <w:webHidden/>
              </w:rPr>
              <w:fldChar w:fldCharType="separate"/>
            </w:r>
            <w:r w:rsidR="00BE7E38">
              <w:rPr>
                <w:noProof/>
                <w:webHidden/>
              </w:rPr>
              <w:t>13</w:t>
            </w:r>
            <w:r w:rsidR="00027664">
              <w:rPr>
                <w:noProof/>
                <w:webHidden/>
              </w:rPr>
              <w:fldChar w:fldCharType="end"/>
            </w:r>
          </w:hyperlink>
        </w:p>
        <w:p w:rsidR="00027664" w:rsidRDefault="004D708E">
          <w:pPr>
            <w:pStyle w:val="TJ1"/>
            <w:tabs>
              <w:tab w:val="right" w:leader="dot" w:pos="9062"/>
            </w:tabs>
            <w:rPr>
              <w:rFonts w:eastAsiaTheme="minorEastAsia"/>
              <w:noProof/>
              <w:lang w:eastAsia="hu-HU"/>
            </w:rPr>
          </w:pPr>
          <w:hyperlink w:anchor="_Toc37240836" w:history="1">
            <w:r w:rsidR="00027664" w:rsidRPr="005112C1">
              <w:rPr>
                <w:rStyle w:val="Hiperhivatkozs"/>
                <w:noProof/>
              </w:rPr>
              <w:t>10. Az előtanulmányi rend</w:t>
            </w:r>
            <w:r w:rsidR="00027664">
              <w:rPr>
                <w:noProof/>
                <w:webHidden/>
              </w:rPr>
              <w:tab/>
            </w:r>
            <w:r w:rsidR="00027664">
              <w:rPr>
                <w:noProof/>
                <w:webHidden/>
              </w:rPr>
              <w:fldChar w:fldCharType="begin"/>
            </w:r>
            <w:r w:rsidR="00027664">
              <w:rPr>
                <w:noProof/>
                <w:webHidden/>
              </w:rPr>
              <w:instrText xml:space="preserve"> PAGEREF _Toc37240836 \h </w:instrText>
            </w:r>
            <w:r w:rsidR="00027664">
              <w:rPr>
                <w:noProof/>
                <w:webHidden/>
              </w:rPr>
            </w:r>
            <w:r w:rsidR="00027664">
              <w:rPr>
                <w:noProof/>
                <w:webHidden/>
              </w:rPr>
              <w:fldChar w:fldCharType="separate"/>
            </w:r>
            <w:r w:rsidR="00BE7E38">
              <w:rPr>
                <w:noProof/>
                <w:webHidden/>
              </w:rPr>
              <w:t>14</w:t>
            </w:r>
            <w:r w:rsidR="00027664">
              <w:rPr>
                <w:noProof/>
                <w:webHidden/>
              </w:rPr>
              <w:fldChar w:fldCharType="end"/>
            </w:r>
          </w:hyperlink>
        </w:p>
        <w:p w:rsidR="00027664" w:rsidRDefault="004D708E">
          <w:pPr>
            <w:pStyle w:val="TJ1"/>
            <w:tabs>
              <w:tab w:val="right" w:leader="dot" w:pos="9062"/>
            </w:tabs>
            <w:rPr>
              <w:rFonts w:eastAsiaTheme="minorEastAsia"/>
              <w:noProof/>
              <w:lang w:eastAsia="hu-HU"/>
            </w:rPr>
          </w:pPr>
          <w:hyperlink w:anchor="_Toc37240837" w:history="1">
            <w:r w:rsidR="00027664" w:rsidRPr="005112C1">
              <w:rPr>
                <w:rStyle w:val="Hiperhivatkozs"/>
                <w:noProof/>
              </w:rPr>
              <w:t>11. Az ismeretek ellenőrzési rendszere</w:t>
            </w:r>
            <w:r w:rsidR="00027664">
              <w:rPr>
                <w:noProof/>
                <w:webHidden/>
              </w:rPr>
              <w:tab/>
            </w:r>
            <w:r w:rsidR="00027664">
              <w:rPr>
                <w:noProof/>
                <w:webHidden/>
              </w:rPr>
              <w:fldChar w:fldCharType="begin"/>
            </w:r>
            <w:r w:rsidR="00027664">
              <w:rPr>
                <w:noProof/>
                <w:webHidden/>
              </w:rPr>
              <w:instrText xml:space="preserve"> PAGEREF _Toc37240837 \h </w:instrText>
            </w:r>
            <w:r w:rsidR="00027664">
              <w:rPr>
                <w:noProof/>
                <w:webHidden/>
              </w:rPr>
            </w:r>
            <w:r w:rsidR="00027664">
              <w:rPr>
                <w:noProof/>
                <w:webHidden/>
              </w:rPr>
              <w:fldChar w:fldCharType="separate"/>
            </w:r>
            <w:r w:rsidR="00BE7E38">
              <w:rPr>
                <w:noProof/>
                <w:webHidden/>
              </w:rPr>
              <w:t>14</w:t>
            </w:r>
            <w:r w:rsidR="00027664">
              <w:rPr>
                <w:noProof/>
                <w:webHidden/>
              </w:rPr>
              <w:fldChar w:fldCharType="end"/>
            </w:r>
          </w:hyperlink>
        </w:p>
        <w:p w:rsidR="00027664" w:rsidRDefault="004D708E">
          <w:pPr>
            <w:pStyle w:val="TJ1"/>
            <w:tabs>
              <w:tab w:val="right" w:leader="dot" w:pos="9062"/>
            </w:tabs>
            <w:rPr>
              <w:rFonts w:eastAsiaTheme="minorEastAsia"/>
              <w:noProof/>
              <w:lang w:eastAsia="hu-HU"/>
            </w:rPr>
          </w:pPr>
          <w:hyperlink w:anchor="_Toc37240838" w:history="1">
            <w:r w:rsidR="00027664" w:rsidRPr="005112C1">
              <w:rPr>
                <w:rStyle w:val="Hiperhivatkozs"/>
                <w:noProof/>
              </w:rPr>
              <w:t>12. A záróvizsga</w:t>
            </w:r>
            <w:r w:rsidR="00027664">
              <w:rPr>
                <w:noProof/>
                <w:webHidden/>
              </w:rPr>
              <w:tab/>
            </w:r>
            <w:r w:rsidR="00027664">
              <w:rPr>
                <w:noProof/>
                <w:webHidden/>
              </w:rPr>
              <w:fldChar w:fldCharType="begin"/>
            </w:r>
            <w:r w:rsidR="00027664">
              <w:rPr>
                <w:noProof/>
                <w:webHidden/>
              </w:rPr>
              <w:instrText xml:space="preserve"> PAGEREF _Toc37240838 \h </w:instrText>
            </w:r>
            <w:r w:rsidR="00027664">
              <w:rPr>
                <w:noProof/>
                <w:webHidden/>
              </w:rPr>
            </w:r>
            <w:r w:rsidR="00027664">
              <w:rPr>
                <w:noProof/>
                <w:webHidden/>
              </w:rPr>
              <w:fldChar w:fldCharType="separate"/>
            </w:r>
            <w:r w:rsidR="00BE7E38">
              <w:rPr>
                <w:noProof/>
                <w:webHidden/>
              </w:rPr>
              <w:t>14</w:t>
            </w:r>
            <w:r w:rsidR="00027664">
              <w:rPr>
                <w:noProof/>
                <w:webHidden/>
              </w:rPr>
              <w:fldChar w:fldCharType="end"/>
            </w:r>
          </w:hyperlink>
        </w:p>
        <w:p w:rsidR="00027664" w:rsidRDefault="004D708E">
          <w:pPr>
            <w:pStyle w:val="TJ1"/>
            <w:tabs>
              <w:tab w:val="right" w:leader="dot" w:pos="9062"/>
            </w:tabs>
            <w:rPr>
              <w:rFonts w:eastAsiaTheme="minorEastAsia"/>
              <w:noProof/>
              <w:lang w:eastAsia="hu-HU"/>
            </w:rPr>
          </w:pPr>
          <w:hyperlink w:anchor="_Toc37240839" w:history="1">
            <w:r w:rsidR="00027664" w:rsidRPr="005112C1">
              <w:rPr>
                <w:rStyle w:val="Hiperhivatkozs"/>
                <w:noProof/>
              </w:rPr>
              <w:t>13. A szakdolgozat</w:t>
            </w:r>
            <w:r w:rsidR="00027664">
              <w:rPr>
                <w:noProof/>
                <w:webHidden/>
              </w:rPr>
              <w:tab/>
            </w:r>
            <w:r w:rsidR="00027664">
              <w:rPr>
                <w:noProof/>
                <w:webHidden/>
              </w:rPr>
              <w:fldChar w:fldCharType="begin"/>
            </w:r>
            <w:r w:rsidR="00027664">
              <w:rPr>
                <w:noProof/>
                <w:webHidden/>
              </w:rPr>
              <w:instrText xml:space="preserve"> PAGEREF _Toc37240839 \h </w:instrText>
            </w:r>
            <w:r w:rsidR="00027664">
              <w:rPr>
                <w:noProof/>
                <w:webHidden/>
              </w:rPr>
            </w:r>
            <w:r w:rsidR="00027664">
              <w:rPr>
                <w:noProof/>
                <w:webHidden/>
              </w:rPr>
              <w:fldChar w:fldCharType="separate"/>
            </w:r>
            <w:r w:rsidR="00BE7E38">
              <w:rPr>
                <w:noProof/>
                <w:webHidden/>
              </w:rPr>
              <w:t>16</w:t>
            </w:r>
            <w:r w:rsidR="00027664">
              <w:rPr>
                <w:noProof/>
                <w:webHidden/>
              </w:rPr>
              <w:fldChar w:fldCharType="end"/>
            </w:r>
          </w:hyperlink>
        </w:p>
        <w:p w:rsidR="00027664" w:rsidRDefault="004D708E">
          <w:pPr>
            <w:pStyle w:val="TJ1"/>
            <w:tabs>
              <w:tab w:val="right" w:leader="dot" w:pos="9062"/>
            </w:tabs>
            <w:rPr>
              <w:rFonts w:eastAsiaTheme="minorEastAsia"/>
              <w:noProof/>
              <w:lang w:eastAsia="hu-HU"/>
            </w:rPr>
          </w:pPr>
          <w:hyperlink w:anchor="_Toc37240840" w:history="1">
            <w:r w:rsidR="00027664" w:rsidRPr="005112C1">
              <w:rPr>
                <w:rStyle w:val="Hiperhivatkozs"/>
                <w:noProof/>
              </w:rPr>
              <w:t>14. Az oklevél</w:t>
            </w:r>
            <w:r w:rsidR="00027664">
              <w:rPr>
                <w:noProof/>
                <w:webHidden/>
              </w:rPr>
              <w:tab/>
            </w:r>
            <w:r w:rsidR="00027664">
              <w:rPr>
                <w:noProof/>
                <w:webHidden/>
              </w:rPr>
              <w:fldChar w:fldCharType="begin"/>
            </w:r>
            <w:r w:rsidR="00027664">
              <w:rPr>
                <w:noProof/>
                <w:webHidden/>
              </w:rPr>
              <w:instrText xml:space="preserve"> PAGEREF _Toc37240840 \h </w:instrText>
            </w:r>
            <w:r w:rsidR="00027664">
              <w:rPr>
                <w:noProof/>
                <w:webHidden/>
              </w:rPr>
            </w:r>
            <w:r w:rsidR="00027664">
              <w:rPr>
                <w:noProof/>
                <w:webHidden/>
              </w:rPr>
              <w:fldChar w:fldCharType="separate"/>
            </w:r>
            <w:r w:rsidR="00BE7E38">
              <w:rPr>
                <w:noProof/>
                <w:webHidden/>
              </w:rPr>
              <w:t>17</w:t>
            </w:r>
            <w:r w:rsidR="00027664">
              <w:rPr>
                <w:noProof/>
                <w:webHidden/>
              </w:rPr>
              <w:fldChar w:fldCharType="end"/>
            </w:r>
          </w:hyperlink>
        </w:p>
        <w:p w:rsidR="00027664" w:rsidRDefault="004D708E">
          <w:pPr>
            <w:pStyle w:val="TJ1"/>
            <w:tabs>
              <w:tab w:val="right" w:leader="dot" w:pos="9062"/>
            </w:tabs>
            <w:rPr>
              <w:rFonts w:eastAsiaTheme="minorEastAsia"/>
              <w:noProof/>
              <w:lang w:eastAsia="hu-HU"/>
            </w:rPr>
          </w:pPr>
          <w:hyperlink w:anchor="_Toc37240841" w:history="1">
            <w:r w:rsidR="00027664" w:rsidRPr="005112C1">
              <w:rPr>
                <w:rStyle w:val="Hiperhivatkozs"/>
                <w:noProof/>
              </w:rPr>
              <w:t>15. A szakmai gyakorlat</w:t>
            </w:r>
            <w:r w:rsidR="00027664">
              <w:rPr>
                <w:noProof/>
                <w:webHidden/>
              </w:rPr>
              <w:tab/>
            </w:r>
            <w:r w:rsidR="00027664">
              <w:rPr>
                <w:noProof/>
                <w:webHidden/>
              </w:rPr>
              <w:fldChar w:fldCharType="begin"/>
            </w:r>
            <w:r w:rsidR="00027664">
              <w:rPr>
                <w:noProof/>
                <w:webHidden/>
              </w:rPr>
              <w:instrText xml:space="preserve"> PAGEREF _Toc37240841 \h </w:instrText>
            </w:r>
            <w:r w:rsidR="00027664">
              <w:rPr>
                <w:noProof/>
                <w:webHidden/>
              </w:rPr>
            </w:r>
            <w:r w:rsidR="00027664">
              <w:rPr>
                <w:noProof/>
                <w:webHidden/>
              </w:rPr>
              <w:fldChar w:fldCharType="separate"/>
            </w:r>
            <w:r w:rsidR="00BE7E38">
              <w:rPr>
                <w:noProof/>
                <w:webHidden/>
              </w:rPr>
              <w:t>17</w:t>
            </w:r>
            <w:r w:rsidR="00027664">
              <w:rPr>
                <w:noProof/>
                <w:webHidden/>
              </w:rPr>
              <w:fldChar w:fldCharType="end"/>
            </w:r>
          </w:hyperlink>
        </w:p>
        <w:p w:rsidR="00027664" w:rsidRDefault="004D708E">
          <w:pPr>
            <w:pStyle w:val="TJ1"/>
            <w:tabs>
              <w:tab w:val="right" w:leader="dot" w:pos="9062"/>
            </w:tabs>
            <w:rPr>
              <w:rFonts w:eastAsiaTheme="minorEastAsia"/>
              <w:noProof/>
              <w:lang w:eastAsia="hu-HU"/>
            </w:rPr>
          </w:pPr>
          <w:hyperlink w:anchor="_Toc37240842" w:history="1">
            <w:r w:rsidR="00027664" w:rsidRPr="005112C1">
              <w:rPr>
                <w:rStyle w:val="Hiperhivatkozs"/>
                <w:rFonts w:eastAsia="Calibri"/>
                <w:noProof/>
              </w:rPr>
              <w:t>16. A külföldi részképzés céljából nemzetközi hallgatói mobilitásra felhasználható időszak (mobilitási ablak)</w:t>
            </w:r>
            <w:r w:rsidR="00027664">
              <w:rPr>
                <w:noProof/>
                <w:webHidden/>
              </w:rPr>
              <w:tab/>
            </w:r>
            <w:r w:rsidR="00027664">
              <w:rPr>
                <w:noProof/>
                <w:webHidden/>
              </w:rPr>
              <w:fldChar w:fldCharType="begin"/>
            </w:r>
            <w:r w:rsidR="00027664">
              <w:rPr>
                <w:noProof/>
                <w:webHidden/>
              </w:rPr>
              <w:instrText xml:space="preserve"> PAGEREF _Toc37240842 \h </w:instrText>
            </w:r>
            <w:r w:rsidR="00027664">
              <w:rPr>
                <w:noProof/>
                <w:webHidden/>
              </w:rPr>
            </w:r>
            <w:r w:rsidR="00027664">
              <w:rPr>
                <w:noProof/>
                <w:webHidden/>
              </w:rPr>
              <w:fldChar w:fldCharType="separate"/>
            </w:r>
            <w:r w:rsidR="00BE7E38">
              <w:rPr>
                <w:noProof/>
                <w:webHidden/>
              </w:rPr>
              <w:t>17</w:t>
            </w:r>
            <w:r w:rsidR="00027664">
              <w:rPr>
                <w:noProof/>
                <w:webHidden/>
              </w:rPr>
              <w:fldChar w:fldCharType="end"/>
            </w:r>
          </w:hyperlink>
        </w:p>
        <w:p w:rsidR="00027664" w:rsidRDefault="004D708E">
          <w:pPr>
            <w:pStyle w:val="TJ1"/>
            <w:tabs>
              <w:tab w:val="right" w:leader="dot" w:pos="9062"/>
            </w:tabs>
            <w:rPr>
              <w:rFonts w:eastAsiaTheme="minorEastAsia"/>
              <w:noProof/>
              <w:lang w:eastAsia="hu-HU"/>
            </w:rPr>
          </w:pPr>
          <w:hyperlink w:anchor="_Toc37240843" w:history="1">
            <w:r w:rsidR="00027664" w:rsidRPr="005112C1">
              <w:rPr>
                <w:rStyle w:val="Hiperhivatkozs"/>
                <w:rFonts w:eastAsia="Calibri"/>
                <w:noProof/>
              </w:rPr>
              <w:t>17. További szakspecifikus követelmények</w:t>
            </w:r>
            <w:r w:rsidR="00027664">
              <w:rPr>
                <w:noProof/>
                <w:webHidden/>
              </w:rPr>
              <w:tab/>
            </w:r>
            <w:r w:rsidR="00027664">
              <w:rPr>
                <w:noProof/>
                <w:webHidden/>
              </w:rPr>
              <w:fldChar w:fldCharType="begin"/>
            </w:r>
            <w:r w:rsidR="00027664">
              <w:rPr>
                <w:noProof/>
                <w:webHidden/>
              </w:rPr>
              <w:instrText xml:space="preserve"> PAGEREF _Toc37240843 \h </w:instrText>
            </w:r>
            <w:r w:rsidR="00027664">
              <w:rPr>
                <w:noProof/>
                <w:webHidden/>
              </w:rPr>
            </w:r>
            <w:r w:rsidR="00027664">
              <w:rPr>
                <w:noProof/>
                <w:webHidden/>
              </w:rPr>
              <w:fldChar w:fldCharType="separate"/>
            </w:r>
            <w:r w:rsidR="00BE7E38">
              <w:rPr>
                <w:noProof/>
                <w:webHidden/>
              </w:rPr>
              <w:t>18</w:t>
            </w:r>
            <w:r w:rsidR="00027664">
              <w:rPr>
                <w:noProof/>
                <w:webHidden/>
              </w:rPr>
              <w:fldChar w:fldCharType="end"/>
            </w:r>
          </w:hyperlink>
        </w:p>
        <w:p w:rsidR="00027664" w:rsidRDefault="004D708E">
          <w:pPr>
            <w:pStyle w:val="TJ1"/>
            <w:tabs>
              <w:tab w:val="right" w:leader="dot" w:pos="9062"/>
            </w:tabs>
            <w:rPr>
              <w:rFonts w:eastAsiaTheme="minorEastAsia"/>
              <w:noProof/>
              <w:lang w:eastAsia="hu-HU"/>
            </w:rPr>
          </w:pPr>
          <w:hyperlink w:anchor="_Toc37240844" w:history="1">
            <w:r w:rsidR="00027664" w:rsidRPr="005112C1">
              <w:rPr>
                <w:rStyle w:val="Hiperhivatkozs"/>
                <w:rFonts w:eastAsia="Calibri"/>
                <w:noProof/>
              </w:rPr>
              <w:t>A TANTÁRGYI PROGRAMOK LISTÁJA</w:t>
            </w:r>
            <w:r w:rsidR="00027664">
              <w:rPr>
                <w:noProof/>
                <w:webHidden/>
              </w:rPr>
              <w:tab/>
            </w:r>
            <w:r w:rsidR="00027664">
              <w:rPr>
                <w:noProof/>
                <w:webHidden/>
              </w:rPr>
              <w:fldChar w:fldCharType="begin"/>
            </w:r>
            <w:r w:rsidR="00027664">
              <w:rPr>
                <w:noProof/>
                <w:webHidden/>
              </w:rPr>
              <w:instrText xml:space="preserve"> PAGEREF _Toc37240844 \h </w:instrText>
            </w:r>
            <w:r w:rsidR="00027664">
              <w:rPr>
                <w:noProof/>
                <w:webHidden/>
              </w:rPr>
            </w:r>
            <w:r w:rsidR="00027664">
              <w:rPr>
                <w:noProof/>
                <w:webHidden/>
              </w:rPr>
              <w:fldChar w:fldCharType="separate"/>
            </w:r>
            <w:r w:rsidR="00BE7E38">
              <w:rPr>
                <w:noProof/>
                <w:webHidden/>
              </w:rPr>
              <w:t>19</w:t>
            </w:r>
            <w:r w:rsidR="00027664">
              <w:rPr>
                <w:noProof/>
                <w:webHidden/>
              </w:rPr>
              <w:fldChar w:fldCharType="end"/>
            </w:r>
          </w:hyperlink>
        </w:p>
        <w:p w:rsidR="00027664" w:rsidRDefault="004D708E">
          <w:pPr>
            <w:pStyle w:val="TJ1"/>
            <w:tabs>
              <w:tab w:val="right" w:leader="dot" w:pos="9062"/>
            </w:tabs>
            <w:rPr>
              <w:rFonts w:eastAsiaTheme="minorEastAsia"/>
              <w:noProof/>
              <w:lang w:eastAsia="hu-HU"/>
            </w:rPr>
          </w:pPr>
          <w:hyperlink w:anchor="_Toc37240845" w:history="1">
            <w:r w:rsidR="00027664" w:rsidRPr="005112C1">
              <w:rPr>
                <w:rStyle w:val="Hiperhivatkozs"/>
                <w:rFonts w:eastAsia="Calibri"/>
                <w:noProof/>
              </w:rPr>
              <w:t>I. Törzsanyag</w:t>
            </w:r>
            <w:r w:rsidR="00027664">
              <w:rPr>
                <w:noProof/>
                <w:webHidden/>
              </w:rPr>
              <w:tab/>
            </w:r>
            <w:r w:rsidR="00027664">
              <w:rPr>
                <w:noProof/>
                <w:webHidden/>
              </w:rPr>
              <w:fldChar w:fldCharType="begin"/>
            </w:r>
            <w:r w:rsidR="00027664">
              <w:rPr>
                <w:noProof/>
                <w:webHidden/>
              </w:rPr>
              <w:instrText xml:space="preserve"> PAGEREF _Toc37240845 \h </w:instrText>
            </w:r>
            <w:r w:rsidR="00027664">
              <w:rPr>
                <w:noProof/>
                <w:webHidden/>
              </w:rPr>
            </w:r>
            <w:r w:rsidR="00027664">
              <w:rPr>
                <w:noProof/>
                <w:webHidden/>
              </w:rPr>
              <w:fldChar w:fldCharType="separate"/>
            </w:r>
            <w:r w:rsidR="00BE7E38">
              <w:rPr>
                <w:noProof/>
                <w:webHidden/>
              </w:rPr>
              <w:t>25</w:t>
            </w:r>
            <w:r w:rsidR="00027664">
              <w:rPr>
                <w:noProof/>
                <w:webHidden/>
              </w:rPr>
              <w:fldChar w:fldCharType="end"/>
            </w:r>
          </w:hyperlink>
        </w:p>
        <w:p w:rsidR="00027664" w:rsidRDefault="004D708E">
          <w:pPr>
            <w:pStyle w:val="TJ1"/>
            <w:tabs>
              <w:tab w:val="right" w:leader="dot" w:pos="9062"/>
            </w:tabs>
            <w:rPr>
              <w:rFonts w:eastAsiaTheme="minorEastAsia"/>
              <w:noProof/>
              <w:lang w:eastAsia="hu-HU"/>
            </w:rPr>
          </w:pPr>
          <w:hyperlink w:anchor="_Toc37240846" w:history="1">
            <w:r w:rsidR="00027664" w:rsidRPr="005112C1">
              <w:rPr>
                <w:rStyle w:val="Hiperhivatkozs"/>
                <w:rFonts w:eastAsia="Calibri"/>
                <w:noProof/>
              </w:rPr>
              <w:t>II. A specializációk anyaga</w:t>
            </w:r>
            <w:r w:rsidR="00027664">
              <w:rPr>
                <w:noProof/>
                <w:webHidden/>
              </w:rPr>
              <w:tab/>
            </w:r>
            <w:r w:rsidR="00027664">
              <w:rPr>
                <w:noProof/>
                <w:webHidden/>
              </w:rPr>
              <w:fldChar w:fldCharType="begin"/>
            </w:r>
            <w:r w:rsidR="00027664">
              <w:rPr>
                <w:noProof/>
                <w:webHidden/>
              </w:rPr>
              <w:instrText xml:space="preserve"> PAGEREF _Toc37240846 \h </w:instrText>
            </w:r>
            <w:r w:rsidR="00027664">
              <w:rPr>
                <w:noProof/>
                <w:webHidden/>
              </w:rPr>
            </w:r>
            <w:r w:rsidR="00027664">
              <w:rPr>
                <w:noProof/>
                <w:webHidden/>
              </w:rPr>
              <w:fldChar w:fldCharType="separate"/>
            </w:r>
            <w:r w:rsidR="00BE7E38">
              <w:rPr>
                <w:noProof/>
                <w:webHidden/>
              </w:rPr>
              <w:t>239</w:t>
            </w:r>
            <w:r w:rsidR="00027664">
              <w:rPr>
                <w:noProof/>
                <w:webHidden/>
              </w:rPr>
              <w:fldChar w:fldCharType="end"/>
            </w:r>
          </w:hyperlink>
        </w:p>
        <w:p w:rsidR="00027664" w:rsidRDefault="004D708E">
          <w:pPr>
            <w:pStyle w:val="TJ1"/>
            <w:tabs>
              <w:tab w:val="right" w:leader="dot" w:pos="9062"/>
            </w:tabs>
            <w:rPr>
              <w:rFonts w:eastAsiaTheme="minorEastAsia"/>
              <w:noProof/>
              <w:lang w:eastAsia="hu-HU"/>
            </w:rPr>
          </w:pPr>
          <w:hyperlink w:anchor="_Toc37240847" w:history="1">
            <w:r w:rsidR="00027664" w:rsidRPr="005112C1">
              <w:rPr>
                <w:rStyle w:val="Hiperhivatkozs"/>
                <w:rFonts w:eastAsia="Calibri"/>
                <w:noProof/>
              </w:rPr>
              <w:t>a) Hadtáp specializáció</w:t>
            </w:r>
            <w:r w:rsidR="00027664">
              <w:rPr>
                <w:noProof/>
                <w:webHidden/>
              </w:rPr>
              <w:tab/>
            </w:r>
            <w:r w:rsidR="00027664">
              <w:rPr>
                <w:noProof/>
                <w:webHidden/>
              </w:rPr>
              <w:fldChar w:fldCharType="begin"/>
            </w:r>
            <w:r w:rsidR="00027664">
              <w:rPr>
                <w:noProof/>
                <w:webHidden/>
              </w:rPr>
              <w:instrText xml:space="preserve"> PAGEREF _Toc37240847 \h </w:instrText>
            </w:r>
            <w:r w:rsidR="00027664">
              <w:rPr>
                <w:noProof/>
                <w:webHidden/>
              </w:rPr>
            </w:r>
            <w:r w:rsidR="00027664">
              <w:rPr>
                <w:noProof/>
                <w:webHidden/>
              </w:rPr>
              <w:fldChar w:fldCharType="separate"/>
            </w:r>
            <w:r w:rsidR="00BE7E38">
              <w:rPr>
                <w:noProof/>
                <w:webHidden/>
              </w:rPr>
              <w:t>239</w:t>
            </w:r>
            <w:r w:rsidR="00027664">
              <w:rPr>
                <w:noProof/>
                <w:webHidden/>
              </w:rPr>
              <w:fldChar w:fldCharType="end"/>
            </w:r>
          </w:hyperlink>
        </w:p>
        <w:p w:rsidR="00027664" w:rsidRDefault="004D708E">
          <w:pPr>
            <w:pStyle w:val="TJ1"/>
            <w:tabs>
              <w:tab w:val="right" w:leader="dot" w:pos="9062"/>
            </w:tabs>
            <w:rPr>
              <w:rFonts w:eastAsiaTheme="minorEastAsia"/>
              <w:noProof/>
              <w:lang w:eastAsia="hu-HU"/>
            </w:rPr>
          </w:pPr>
          <w:hyperlink w:anchor="_Toc37240848" w:history="1">
            <w:r w:rsidR="00027664" w:rsidRPr="005112C1">
              <w:rPr>
                <w:rStyle w:val="Hiperhivatkozs"/>
                <w:rFonts w:eastAsia="Calibri"/>
                <w:noProof/>
              </w:rPr>
              <w:t>b) Katonai közlekedési specializáció</w:t>
            </w:r>
            <w:r w:rsidR="00027664">
              <w:rPr>
                <w:noProof/>
                <w:webHidden/>
              </w:rPr>
              <w:tab/>
            </w:r>
            <w:r w:rsidR="00027664">
              <w:rPr>
                <w:noProof/>
                <w:webHidden/>
              </w:rPr>
              <w:fldChar w:fldCharType="begin"/>
            </w:r>
            <w:r w:rsidR="00027664">
              <w:rPr>
                <w:noProof/>
                <w:webHidden/>
              </w:rPr>
              <w:instrText xml:space="preserve"> PAGEREF _Toc37240848 \h </w:instrText>
            </w:r>
            <w:r w:rsidR="00027664">
              <w:rPr>
                <w:noProof/>
                <w:webHidden/>
              </w:rPr>
            </w:r>
            <w:r w:rsidR="00027664">
              <w:rPr>
                <w:noProof/>
                <w:webHidden/>
              </w:rPr>
              <w:fldChar w:fldCharType="separate"/>
            </w:r>
            <w:r w:rsidR="00BE7E38">
              <w:rPr>
                <w:noProof/>
                <w:webHidden/>
              </w:rPr>
              <w:t>300</w:t>
            </w:r>
            <w:r w:rsidR="00027664">
              <w:rPr>
                <w:noProof/>
                <w:webHidden/>
              </w:rPr>
              <w:fldChar w:fldCharType="end"/>
            </w:r>
          </w:hyperlink>
        </w:p>
        <w:p w:rsidR="00027664" w:rsidRDefault="004D708E">
          <w:pPr>
            <w:pStyle w:val="TJ1"/>
            <w:tabs>
              <w:tab w:val="right" w:leader="dot" w:pos="9062"/>
            </w:tabs>
            <w:rPr>
              <w:rFonts w:eastAsiaTheme="minorEastAsia"/>
              <w:noProof/>
              <w:lang w:eastAsia="hu-HU"/>
            </w:rPr>
          </w:pPr>
          <w:hyperlink w:anchor="_Toc37240849" w:history="1">
            <w:r w:rsidR="00027664" w:rsidRPr="005112C1">
              <w:rPr>
                <w:rStyle w:val="Hiperhivatkozs"/>
                <w:rFonts w:eastAsia="Calibri"/>
                <w:noProof/>
              </w:rPr>
              <w:t>c) Haditechnikai specializáció</w:t>
            </w:r>
            <w:r w:rsidR="00027664">
              <w:rPr>
                <w:noProof/>
                <w:webHidden/>
              </w:rPr>
              <w:tab/>
            </w:r>
            <w:r w:rsidR="00027664">
              <w:rPr>
                <w:noProof/>
                <w:webHidden/>
              </w:rPr>
              <w:fldChar w:fldCharType="begin"/>
            </w:r>
            <w:r w:rsidR="00027664">
              <w:rPr>
                <w:noProof/>
                <w:webHidden/>
              </w:rPr>
              <w:instrText xml:space="preserve"> PAGEREF _Toc37240849 \h </w:instrText>
            </w:r>
            <w:r w:rsidR="00027664">
              <w:rPr>
                <w:noProof/>
                <w:webHidden/>
              </w:rPr>
            </w:r>
            <w:r w:rsidR="00027664">
              <w:rPr>
                <w:noProof/>
                <w:webHidden/>
              </w:rPr>
              <w:fldChar w:fldCharType="separate"/>
            </w:r>
            <w:r w:rsidR="00BE7E38">
              <w:rPr>
                <w:noProof/>
                <w:webHidden/>
              </w:rPr>
              <w:t>390</w:t>
            </w:r>
            <w:r w:rsidR="00027664">
              <w:rPr>
                <w:noProof/>
                <w:webHidden/>
              </w:rPr>
              <w:fldChar w:fldCharType="end"/>
            </w:r>
          </w:hyperlink>
        </w:p>
        <w:p w:rsidR="00027664" w:rsidRDefault="004D708E">
          <w:pPr>
            <w:pStyle w:val="TJ1"/>
            <w:tabs>
              <w:tab w:val="right" w:leader="dot" w:pos="9062"/>
            </w:tabs>
            <w:rPr>
              <w:rFonts w:eastAsiaTheme="minorEastAsia"/>
              <w:noProof/>
              <w:lang w:eastAsia="hu-HU"/>
            </w:rPr>
          </w:pPr>
          <w:hyperlink w:anchor="_Toc37240850" w:history="1">
            <w:r w:rsidR="00027664" w:rsidRPr="005112C1">
              <w:rPr>
                <w:rStyle w:val="Hiperhivatkozs"/>
                <w:rFonts w:eastAsia="Calibri"/>
                <w:noProof/>
              </w:rPr>
              <w:t>ca) Páncélos- és gépjárműtechnikai modul</w:t>
            </w:r>
            <w:r w:rsidR="00027664">
              <w:rPr>
                <w:noProof/>
                <w:webHidden/>
              </w:rPr>
              <w:tab/>
            </w:r>
            <w:r w:rsidR="00027664">
              <w:rPr>
                <w:noProof/>
                <w:webHidden/>
              </w:rPr>
              <w:fldChar w:fldCharType="begin"/>
            </w:r>
            <w:r w:rsidR="00027664">
              <w:rPr>
                <w:noProof/>
                <w:webHidden/>
              </w:rPr>
              <w:instrText xml:space="preserve"> PAGEREF _Toc37240850 \h </w:instrText>
            </w:r>
            <w:r w:rsidR="00027664">
              <w:rPr>
                <w:noProof/>
                <w:webHidden/>
              </w:rPr>
            </w:r>
            <w:r w:rsidR="00027664">
              <w:rPr>
                <w:noProof/>
                <w:webHidden/>
              </w:rPr>
              <w:fldChar w:fldCharType="separate"/>
            </w:r>
            <w:r w:rsidR="00BE7E38">
              <w:rPr>
                <w:noProof/>
                <w:webHidden/>
              </w:rPr>
              <w:t>438</w:t>
            </w:r>
            <w:r w:rsidR="00027664">
              <w:rPr>
                <w:noProof/>
                <w:webHidden/>
              </w:rPr>
              <w:fldChar w:fldCharType="end"/>
            </w:r>
          </w:hyperlink>
        </w:p>
        <w:p w:rsidR="00027664" w:rsidRDefault="004D708E">
          <w:pPr>
            <w:pStyle w:val="TJ1"/>
            <w:tabs>
              <w:tab w:val="right" w:leader="dot" w:pos="9062"/>
            </w:tabs>
            <w:rPr>
              <w:rFonts w:eastAsiaTheme="minorEastAsia"/>
              <w:noProof/>
              <w:lang w:eastAsia="hu-HU"/>
            </w:rPr>
          </w:pPr>
          <w:hyperlink w:anchor="_Toc37240851" w:history="1">
            <w:r w:rsidR="00027664" w:rsidRPr="005112C1">
              <w:rPr>
                <w:rStyle w:val="Hiperhivatkozs"/>
                <w:rFonts w:eastAsia="Calibri"/>
                <w:noProof/>
              </w:rPr>
              <w:t>cb) Fegyverzettechnikai modul</w:t>
            </w:r>
            <w:r w:rsidR="00027664">
              <w:rPr>
                <w:noProof/>
                <w:webHidden/>
              </w:rPr>
              <w:tab/>
            </w:r>
            <w:r w:rsidR="00027664">
              <w:rPr>
                <w:noProof/>
                <w:webHidden/>
              </w:rPr>
              <w:fldChar w:fldCharType="begin"/>
            </w:r>
            <w:r w:rsidR="00027664">
              <w:rPr>
                <w:noProof/>
                <w:webHidden/>
              </w:rPr>
              <w:instrText xml:space="preserve"> PAGEREF _Toc37240851 \h </w:instrText>
            </w:r>
            <w:r w:rsidR="00027664">
              <w:rPr>
                <w:noProof/>
                <w:webHidden/>
              </w:rPr>
            </w:r>
            <w:r w:rsidR="00027664">
              <w:rPr>
                <w:noProof/>
                <w:webHidden/>
              </w:rPr>
              <w:fldChar w:fldCharType="separate"/>
            </w:r>
            <w:r w:rsidR="00BE7E38">
              <w:rPr>
                <w:noProof/>
                <w:webHidden/>
              </w:rPr>
              <w:t>470</w:t>
            </w:r>
            <w:r w:rsidR="00027664">
              <w:rPr>
                <w:noProof/>
                <w:webHidden/>
              </w:rPr>
              <w:fldChar w:fldCharType="end"/>
            </w:r>
          </w:hyperlink>
        </w:p>
        <w:p w:rsidR="00027664" w:rsidRDefault="004D708E">
          <w:pPr>
            <w:pStyle w:val="TJ1"/>
            <w:tabs>
              <w:tab w:val="right" w:leader="dot" w:pos="9062"/>
            </w:tabs>
            <w:rPr>
              <w:rFonts w:eastAsiaTheme="minorEastAsia"/>
              <w:noProof/>
              <w:lang w:eastAsia="hu-HU"/>
            </w:rPr>
          </w:pPr>
          <w:hyperlink w:anchor="_Toc37240852" w:history="1">
            <w:r w:rsidR="00027664" w:rsidRPr="005112C1">
              <w:rPr>
                <w:rStyle w:val="Hiperhivatkozs"/>
                <w:rFonts w:eastAsia="Calibri"/>
                <w:noProof/>
              </w:rPr>
              <w:t>d) Katonai pénzügyi specializáció</w:t>
            </w:r>
            <w:r w:rsidR="00027664">
              <w:rPr>
                <w:noProof/>
                <w:webHidden/>
              </w:rPr>
              <w:tab/>
            </w:r>
            <w:r w:rsidR="00027664">
              <w:rPr>
                <w:noProof/>
                <w:webHidden/>
              </w:rPr>
              <w:fldChar w:fldCharType="begin"/>
            </w:r>
            <w:r w:rsidR="00027664">
              <w:rPr>
                <w:noProof/>
                <w:webHidden/>
              </w:rPr>
              <w:instrText xml:space="preserve"> PAGEREF _Toc37240852 \h </w:instrText>
            </w:r>
            <w:r w:rsidR="00027664">
              <w:rPr>
                <w:noProof/>
                <w:webHidden/>
              </w:rPr>
            </w:r>
            <w:r w:rsidR="00027664">
              <w:rPr>
                <w:noProof/>
                <w:webHidden/>
              </w:rPr>
              <w:fldChar w:fldCharType="separate"/>
            </w:r>
            <w:r w:rsidR="00BE7E38">
              <w:rPr>
                <w:noProof/>
                <w:webHidden/>
              </w:rPr>
              <w:t>501</w:t>
            </w:r>
            <w:r w:rsidR="00027664">
              <w:rPr>
                <w:noProof/>
                <w:webHidden/>
              </w:rPr>
              <w:fldChar w:fldCharType="end"/>
            </w:r>
          </w:hyperlink>
        </w:p>
        <w:p w:rsidR="00027664" w:rsidRDefault="004D708E">
          <w:pPr>
            <w:pStyle w:val="TJ1"/>
            <w:tabs>
              <w:tab w:val="right" w:leader="dot" w:pos="9062"/>
            </w:tabs>
            <w:rPr>
              <w:rFonts w:eastAsiaTheme="minorEastAsia"/>
              <w:noProof/>
              <w:lang w:eastAsia="hu-HU"/>
            </w:rPr>
          </w:pPr>
          <w:hyperlink w:anchor="_Toc37240853" w:history="1">
            <w:r w:rsidR="00027664" w:rsidRPr="005112C1">
              <w:rPr>
                <w:rStyle w:val="Hiperhivatkozs"/>
                <w:rFonts w:eastAsia="Calibri"/>
                <w:noProof/>
              </w:rPr>
              <w:t>III. Szakdolgozat</w:t>
            </w:r>
            <w:r w:rsidR="00027664">
              <w:rPr>
                <w:noProof/>
                <w:webHidden/>
              </w:rPr>
              <w:tab/>
            </w:r>
            <w:r w:rsidR="00027664">
              <w:rPr>
                <w:noProof/>
                <w:webHidden/>
              </w:rPr>
              <w:fldChar w:fldCharType="begin"/>
            </w:r>
            <w:r w:rsidR="00027664">
              <w:rPr>
                <w:noProof/>
                <w:webHidden/>
              </w:rPr>
              <w:instrText xml:space="preserve"> PAGEREF _Toc37240853 \h </w:instrText>
            </w:r>
            <w:r w:rsidR="00027664">
              <w:rPr>
                <w:noProof/>
                <w:webHidden/>
              </w:rPr>
            </w:r>
            <w:r w:rsidR="00027664">
              <w:rPr>
                <w:noProof/>
                <w:webHidden/>
              </w:rPr>
              <w:fldChar w:fldCharType="separate"/>
            </w:r>
            <w:r w:rsidR="00BE7E38">
              <w:rPr>
                <w:noProof/>
                <w:webHidden/>
              </w:rPr>
              <w:t>567</w:t>
            </w:r>
            <w:r w:rsidR="00027664">
              <w:rPr>
                <w:noProof/>
                <w:webHidden/>
              </w:rPr>
              <w:fldChar w:fldCharType="end"/>
            </w:r>
          </w:hyperlink>
        </w:p>
        <w:p w:rsidR="00027664" w:rsidRDefault="004D708E">
          <w:pPr>
            <w:pStyle w:val="TJ1"/>
            <w:tabs>
              <w:tab w:val="right" w:leader="dot" w:pos="9062"/>
            </w:tabs>
            <w:rPr>
              <w:rFonts w:eastAsiaTheme="minorEastAsia"/>
              <w:noProof/>
              <w:lang w:eastAsia="hu-HU"/>
            </w:rPr>
          </w:pPr>
          <w:hyperlink w:anchor="_Toc37240854" w:history="1">
            <w:r w:rsidR="00027664" w:rsidRPr="005112C1">
              <w:rPr>
                <w:rStyle w:val="Hiperhivatkozs"/>
                <w:rFonts w:eastAsia="Calibri"/>
                <w:noProof/>
              </w:rPr>
              <w:t>IV. Szakmai gyakorlat</w:t>
            </w:r>
            <w:r w:rsidR="00027664">
              <w:rPr>
                <w:noProof/>
                <w:webHidden/>
              </w:rPr>
              <w:tab/>
            </w:r>
            <w:r w:rsidR="00027664">
              <w:rPr>
                <w:noProof/>
                <w:webHidden/>
              </w:rPr>
              <w:fldChar w:fldCharType="begin"/>
            </w:r>
            <w:r w:rsidR="00027664">
              <w:rPr>
                <w:noProof/>
                <w:webHidden/>
              </w:rPr>
              <w:instrText xml:space="preserve"> PAGEREF _Toc37240854 \h </w:instrText>
            </w:r>
            <w:r w:rsidR="00027664">
              <w:rPr>
                <w:noProof/>
                <w:webHidden/>
              </w:rPr>
            </w:r>
            <w:r w:rsidR="00027664">
              <w:rPr>
                <w:noProof/>
                <w:webHidden/>
              </w:rPr>
              <w:fldChar w:fldCharType="separate"/>
            </w:r>
            <w:r w:rsidR="00BE7E38">
              <w:rPr>
                <w:noProof/>
                <w:webHidden/>
              </w:rPr>
              <w:t>570</w:t>
            </w:r>
            <w:r w:rsidR="00027664">
              <w:rPr>
                <w:noProof/>
                <w:webHidden/>
              </w:rPr>
              <w:fldChar w:fldCharType="end"/>
            </w:r>
          </w:hyperlink>
        </w:p>
        <w:p w:rsidR="00027664" w:rsidRDefault="004D708E">
          <w:pPr>
            <w:pStyle w:val="TJ1"/>
            <w:tabs>
              <w:tab w:val="right" w:leader="dot" w:pos="9062"/>
            </w:tabs>
            <w:rPr>
              <w:rFonts w:eastAsiaTheme="minorEastAsia"/>
              <w:noProof/>
              <w:lang w:eastAsia="hu-HU"/>
            </w:rPr>
          </w:pPr>
          <w:hyperlink w:anchor="_Toc37240855" w:history="1">
            <w:r w:rsidR="00027664" w:rsidRPr="005112C1">
              <w:rPr>
                <w:rStyle w:val="Hiperhivatkozs"/>
                <w:rFonts w:eastAsia="Calibri"/>
                <w:noProof/>
              </w:rPr>
              <w:t>V. Szabadon választható tantárgyak</w:t>
            </w:r>
            <w:r w:rsidR="00027664">
              <w:rPr>
                <w:noProof/>
                <w:webHidden/>
              </w:rPr>
              <w:tab/>
            </w:r>
            <w:r w:rsidR="00027664">
              <w:rPr>
                <w:noProof/>
                <w:webHidden/>
              </w:rPr>
              <w:fldChar w:fldCharType="begin"/>
            </w:r>
            <w:r w:rsidR="00027664">
              <w:rPr>
                <w:noProof/>
                <w:webHidden/>
              </w:rPr>
              <w:instrText xml:space="preserve"> PAGEREF _Toc37240855 \h </w:instrText>
            </w:r>
            <w:r w:rsidR="00027664">
              <w:rPr>
                <w:noProof/>
                <w:webHidden/>
              </w:rPr>
            </w:r>
            <w:r w:rsidR="00027664">
              <w:rPr>
                <w:noProof/>
                <w:webHidden/>
              </w:rPr>
              <w:fldChar w:fldCharType="separate"/>
            </w:r>
            <w:r w:rsidR="00BE7E38">
              <w:rPr>
                <w:noProof/>
                <w:webHidden/>
              </w:rPr>
              <w:t>574</w:t>
            </w:r>
            <w:r w:rsidR="00027664">
              <w:rPr>
                <w:noProof/>
                <w:webHidden/>
              </w:rPr>
              <w:fldChar w:fldCharType="end"/>
            </w:r>
          </w:hyperlink>
        </w:p>
        <w:p w:rsidR="00027664" w:rsidRDefault="004D708E">
          <w:pPr>
            <w:pStyle w:val="TJ1"/>
            <w:tabs>
              <w:tab w:val="right" w:leader="dot" w:pos="9062"/>
            </w:tabs>
            <w:rPr>
              <w:rFonts w:eastAsiaTheme="minorEastAsia"/>
              <w:noProof/>
              <w:lang w:eastAsia="hu-HU"/>
            </w:rPr>
          </w:pPr>
          <w:hyperlink w:anchor="_Toc37240856" w:history="1">
            <w:r w:rsidR="00027664" w:rsidRPr="005112C1">
              <w:rPr>
                <w:rStyle w:val="Hiperhivatkozs"/>
                <w:rFonts w:eastAsia="Calibri"/>
                <w:noProof/>
              </w:rPr>
              <w:t>VI. Kritériumkövetelmények</w:t>
            </w:r>
            <w:r w:rsidR="00027664">
              <w:rPr>
                <w:noProof/>
                <w:webHidden/>
              </w:rPr>
              <w:tab/>
            </w:r>
            <w:r w:rsidR="00027664">
              <w:rPr>
                <w:noProof/>
                <w:webHidden/>
              </w:rPr>
              <w:fldChar w:fldCharType="begin"/>
            </w:r>
            <w:r w:rsidR="00027664">
              <w:rPr>
                <w:noProof/>
                <w:webHidden/>
              </w:rPr>
              <w:instrText xml:space="preserve"> PAGEREF _Toc37240856 \h </w:instrText>
            </w:r>
            <w:r w:rsidR="00027664">
              <w:rPr>
                <w:noProof/>
                <w:webHidden/>
              </w:rPr>
            </w:r>
            <w:r w:rsidR="00027664">
              <w:rPr>
                <w:noProof/>
                <w:webHidden/>
              </w:rPr>
              <w:fldChar w:fldCharType="separate"/>
            </w:r>
            <w:r w:rsidR="00BE7E38">
              <w:rPr>
                <w:noProof/>
                <w:webHidden/>
              </w:rPr>
              <w:t>715</w:t>
            </w:r>
            <w:r w:rsidR="00027664">
              <w:rPr>
                <w:noProof/>
                <w:webHidden/>
              </w:rPr>
              <w:fldChar w:fldCharType="end"/>
            </w:r>
          </w:hyperlink>
        </w:p>
        <w:p w:rsidR="00027664" w:rsidRDefault="004D708E">
          <w:pPr>
            <w:pStyle w:val="TJ1"/>
            <w:tabs>
              <w:tab w:val="right" w:leader="dot" w:pos="9062"/>
            </w:tabs>
            <w:rPr>
              <w:rFonts w:eastAsiaTheme="minorEastAsia"/>
              <w:noProof/>
              <w:lang w:eastAsia="hu-HU"/>
            </w:rPr>
          </w:pPr>
          <w:hyperlink w:anchor="_Toc37240857" w:history="1">
            <w:r w:rsidR="00027664" w:rsidRPr="005112C1">
              <w:rPr>
                <w:rStyle w:val="Hiperhivatkozs"/>
                <w:noProof/>
              </w:rPr>
              <w:t>1. számú melléklet: Tanóra-, kredit- és vizsgaterv (törzsanyag tárgyai)</w:t>
            </w:r>
            <w:r w:rsidR="00027664">
              <w:rPr>
                <w:noProof/>
                <w:webHidden/>
              </w:rPr>
              <w:tab/>
            </w:r>
            <w:r w:rsidR="00027664">
              <w:rPr>
                <w:noProof/>
                <w:webHidden/>
              </w:rPr>
              <w:fldChar w:fldCharType="begin"/>
            </w:r>
            <w:r w:rsidR="00027664">
              <w:rPr>
                <w:noProof/>
                <w:webHidden/>
              </w:rPr>
              <w:instrText xml:space="preserve"> PAGEREF _Toc37240857 \h </w:instrText>
            </w:r>
            <w:r w:rsidR="00027664">
              <w:rPr>
                <w:noProof/>
                <w:webHidden/>
              </w:rPr>
            </w:r>
            <w:r w:rsidR="00027664">
              <w:rPr>
                <w:noProof/>
                <w:webHidden/>
              </w:rPr>
              <w:fldChar w:fldCharType="separate"/>
            </w:r>
            <w:r w:rsidR="00BE7E38">
              <w:rPr>
                <w:noProof/>
                <w:webHidden/>
              </w:rPr>
              <w:t>750</w:t>
            </w:r>
            <w:r w:rsidR="00027664">
              <w:rPr>
                <w:noProof/>
                <w:webHidden/>
              </w:rPr>
              <w:fldChar w:fldCharType="end"/>
            </w:r>
          </w:hyperlink>
        </w:p>
        <w:p w:rsidR="00027664" w:rsidRDefault="004D708E">
          <w:pPr>
            <w:pStyle w:val="TJ1"/>
            <w:tabs>
              <w:tab w:val="right" w:leader="dot" w:pos="9062"/>
            </w:tabs>
            <w:rPr>
              <w:rFonts w:eastAsiaTheme="minorEastAsia"/>
              <w:noProof/>
              <w:lang w:eastAsia="hu-HU"/>
            </w:rPr>
          </w:pPr>
          <w:hyperlink w:anchor="_Toc37240858" w:history="1">
            <w:r w:rsidR="00027664" w:rsidRPr="005112C1">
              <w:rPr>
                <w:rStyle w:val="Hiperhivatkozs"/>
                <w:noProof/>
              </w:rPr>
              <w:t>1/a. számú melléklet: Tanóra-, kredit- és vizsgaterv (hadtáp specializáció)</w:t>
            </w:r>
            <w:r w:rsidR="00027664">
              <w:rPr>
                <w:noProof/>
                <w:webHidden/>
              </w:rPr>
              <w:tab/>
            </w:r>
            <w:r w:rsidR="00027664">
              <w:rPr>
                <w:noProof/>
                <w:webHidden/>
              </w:rPr>
              <w:fldChar w:fldCharType="begin"/>
            </w:r>
            <w:r w:rsidR="00027664">
              <w:rPr>
                <w:noProof/>
                <w:webHidden/>
              </w:rPr>
              <w:instrText xml:space="preserve"> PAGEREF _Toc37240858 \h </w:instrText>
            </w:r>
            <w:r w:rsidR="00027664">
              <w:rPr>
                <w:noProof/>
                <w:webHidden/>
              </w:rPr>
            </w:r>
            <w:r w:rsidR="00027664">
              <w:rPr>
                <w:noProof/>
                <w:webHidden/>
              </w:rPr>
              <w:fldChar w:fldCharType="separate"/>
            </w:r>
            <w:r w:rsidR="00BE7E38">
              <w:rPr>
                <w:noProof/>
                <w:webHidden/>
              </w:rPr>
              <w:t>751</w:t>
            </w:r>
            <w:r w:rsidR="00027664">
              <w:rPr>
                <w:noProof/>
                <w:webHidden/>
              </w:rPr>
              <w:fldChar w:fldCharType="end"/>
            </w:r>
          </w:hyperlink>
        </w:p>
        <w:p w:rsidR="00027664" w:rsidRDefault="004D708E">
          <w:pPr>
            <w:pStyle w:val="TJ1"/>
            <w:tabs>
              <w:tab w:val="right" w:leader="dot" w:pos="9062"/>
            </w:tabs>
            <w:rPr>
              <w:rFonts w:eastAsiaTheme="minorEastAsia"/>
              <w:noProof/>
              <w:lang w:eastAsia="hu-HU"/>
            </w:rPr>
          </w:pPr>
          <w:hyperlink w:anchor="_Toc37240859" w:history="1">
            <w:r w:rsidR="00027664" w:rsidRPr="005112C1">
              <w:rPr>
                <w:rStyle w:val="Hiperhivatkozs"/>
                <w:noProof/>
              </w:rPr>
              <w:t>1/b. számú melléklet: Tanóra-, kredit- és vizsgaterv (katonai közlekedési specializáció)</w:t>
            </w:r>
            <w:r w:rsidR="00027664">
              <w:rPr>
                <w:noProof/>
                <w:webHidden/>
              </w:rPr>
              <w:tab/>
            </w:r>
            <w:r w:rsidR="00027664">
              <w:rPr>
                <w:noProof/>
                <w:webHidden/>
              </w:rPr>
              <w:fldChar w:fldCharType="begin"/>
            </w:r>
            <w:r w:rsidR="00027664">
              <w:rPr>
                <w:noProof/>
                <w:webHidden/>
              </w:rPr>
              <w:instrText xml:space="preserve"> PAGEREF _Toc37240859 \h </w:instrText>
            </w:r>
            <w:r w:rsidR="00027664">
              <w:rPr>
                <w:noProof/>
                <w:webHidden/>
              </w:rPr>
            </w:r>
            <w:r w:rsidR="00027664">
              <w:rPr>
                <w:noProof/>
                <w:webHidden/>
              </w:rPr>
              <w:fldChar w:fldCharType="separate"/>
            </w:r>
            <w:r w:rsidR="00BE7E38">
              <w:rPr>
                <w:noProof/>
                <w:webHidden/>
              </w:rPr>
              <w:t>752</w:t>
            </w:r>
            <w:r w:rsidR="00027664">
              <w:rPr>
                <w:noProof/>
                <w:webHidden/>
              </w:rPr>
              <w:fldChar w:fldCharType="end"/>
            </w:r>
          </w:hyperlink>
        </w:p>
        <w:p w:rsidR="00027664" w:rsidRDefault="004D708E">
          <w:pPr>
            <w:pStyle w:val="TJ1"/>
            <w:tabs>
              <w:tab w:val="right" w:leader="dot" w:pos="9062"/>
            </w:tabs>
            <w:rPr>
              <w:rFonts w:eastAsiaTheme="minorEastAsia"/>
              <w:noProof/>
              <w:lang w:eastAsia="hu-HU"/>
            </w:rPr>
          </w:pPr>
          <w:hyperlink w:anchor="_Toc37240860" w:history="1">
            <w:r w:rsidR="00027664" w:rsidRPr="005112C1">
              <w:rPr>
                <w:rStyle w:val="Hiperhivatkozs"/>
                <w:noProof/>
              </w:rPr>
              <w:t>1/c. számú melléklet: Tanóra-, kredit- és vizsgaterv (haditechnikai specializáció – páncélos- és gépjárműtechnikai modul)</w:t>
            </w:r>
            <w:r w:rsidR="00027664">
              <w:rPr>
                <w:noProof/>
                <w:webHidden/>
              </w:rPr>
              <w:tab/>
            </w:r>
            <w:r w:rsidR="00027664">
              <w:rPr>
                <w:noProof/>
                <w:webHidden/>
              </w:rPr>
              <w:fldChar w:fldCharType="begin"/>
            </w:r>
            <w:r w:rsidR="00027664">
              <w:rPr>
                <w:noProof/>
                <w:webHidden/>
              </w:rPr>
              <w:instrText xml:space="preserve"> PAGEREF _Toc37240860 \h </w:instrText>
            </w:r>
            <w:r w:rsidR="00027664">
              <w:rPr>
                <w:noProof/>
                <w:webHidden/>
              </w:rPr>
            </w:r>
            <w:r w:rsidR="00027664">
              <w:rPr>
                <w:noProof/>
                <w:webHidden/>
              </w:rPr>
              <w:fldChar w:fldCharType="separate"/>
            </w:r>
            <w:r w:rsidR="00BE7E38">
              <w:rPr>
                <w:noProof/>
                <w:webHidden/>
              </w:rPr>
              <w:t>753</w:t>
            </w:r>
            <w:r w:rsidR="00027664">
              <w:rPr>
                <w:noProof/>
                <w:webHidden/>
              </w:rPr>
              <w:fldChar w:fldCharType="end"/>
            </w:r>
          </w:hyperlink>
        </w:p>
        <w:p w:rsidR="00027664" w:rsidRDefault="004D708E">
          <w:pPr>
            <w:pStyle w:val="TJ1"/>
            <w:tabs>
              <w:tab w:val="right" w:leader="dot" w:pos="9062"/>
            </w:tabs>
            <w:rPr>
              <w:rFonts w:eastAsiaTheme="minorEastAsia"/>
              <w:noProof/>
              <w:lang w:eastAsia="hu-HU"/>
            </w:rPr>
          </w:pPr>
          <w:hyperlink w:anchor="_Toc37240861" w:history="1">
            <w:r w:rsidR="00027664" w:rsidRPr="005112C1">
              <w:rPr>
                <w:rStyle w:val="Hiperhivatkozs"/>
                <w:noProof/>
              </w:rPr>
              <w:t>1/d. számú melléklet: Tanóra-, kredit- és vizsgaterv (haditechnikai specializáció – fegyverzettechnika modul)</w:t>
            </w:r>
            <w:r w:rsidR="00027664">
              <w:rPr>
                <w:noProof/>
                <w:webHidden/>
              </w:rPr>
              <w:tab/>
            </w:r>
            <w:r w:rsidR="00027664">
              <w:rPr>
                <w:noProof/>
                <w:webHidden/>
              </w:rPr>
              <w:fldChar w:fldCharType="begin"/>
            </w:r>
            <w:r w:rsidR="00027664">
              <w:rPr>
                <w:noProof/>
                <w:webHidden/>
              </w:rPr>
              <w:instrText xml:space="preserve"> PAGEREF _Toc37240861 \h </w:instrText>
            </w:r>
            <w:r w:rsidR="00027664">
              <w:rPr>
                <w:noProof/>
                <w:webHidden/>
              </w:rPr>
            </w:r>
            <w:r w:rsidR="00027664">
              <w:rPr>
                <w:noProof/>
                <w:webHidden/>
              </w:rPr>
              <w:fldChar w:fldCharType="separate"/>
            </w:r>
            <w:r w:rsidR="00BE7E38">
              <w:rPr>
                <w:noProof/>
                <w:webHidden/>
              </w:rPr>
              <w:t>754</w:t>
            </w:r>
            <w:r w:rsidR="00027664">
              <w:rPr>
                <w:noProof/>
                <w:webHidden/>
              </w:rPr>
              <w:fldChar w:fldCharType="end"/>
            </w:r>
          </w:hyperlink>
        </w:p>
        <w:p w:rsidR="00027664" w:rsidRDefault="004D708E">
          <w:pPr>
            <w:pStyle w:val="TJ1"/>
            <w:tabs>
              <w:tab w:val="right" w:leader="dot" w:pos="9062"/>
            </w:tabs>
            <w:rPr>
              <w:rFonts w:eastAsiaTheme="minorEastAsia"/>
              <w:noProof/>
              <w:lang w:eastAsia="hu-HU"/>
            </w:rPr>
          </w:pPr>
          <w:hyperlink w:anchor="_Toc37240862" w:history="1">
            <w:r w:rsidR="00027664" w:rsidRPr="005112C1">
              <w:rPr>
                <w:rStyle w:val="Hiperhivatkozs"/>
                <w:noProof/>
              </w:rPr>
              <w:t>1/e. számú melléklet: Tanóra-, kredit- és vizsgaterv (katonai pénzügyi specializáció)</w:t>
            </w:r>
            <w:r w:rsidR="00027664">
              <w:rPr>
                <w:noProof/>
                <w:webHidden/>
              </w:rPr>
              <w:tab/>
            </w:r>
            <w:r w:rsidR="00027664">
              <w:rPr>
                <w:noProof/>
                <w:webHidden/>
              </w:rPr>
              <w:fldChar w:fldCharType="begin"/>
            </w:r>
            <w:r w:rsidR="00027664">
              <w:rPr>
                <w:noProof/>
                <w:webHidden/>
              </w:rPr>
              <w:instrText xml:space="preserve"> PAGEREF _Toc37240862 \h </w:instrText>
            </w:r>
            <w:r w:rsidR="00027664">
              <w:rPr>
                <w:noProof/>
                <w:webHidden/>
              </w:rPr>
            </w:r>
            <w:r w:rsidR="00027664">
              <w:rPr>
                <w:noProof/>
                <w:webHidden/>
              </w:rPr>
              <w:fldChar w:fldCharType="separate"/>
            </w:r>
            <w:r w:rsidR="00BE7E38">
              <w:rPr>
                <w:noProof/>
                <w:webHidden/>
              </w:rPr>
              <w:t>755</w:t>
            </w:r>
            <w:r w:rsidR="00027664">
              <w:rPr>
                <w:noProof/>
                <w:webHidden/>
              </w:rPr>
              <w:fldChar w:fldCharType="end"/>
            </w:r>
          </w:hyperlink>
        </w:p>
        <w:p w:rsidR="00027664" w:rsidRDefault="004D708E">
          <w:pPr>
            <w:pStyle w:val="TJ1"/>
            <w:tabs>
              <w:tab w:val="right" w:leader="dot" w:pos="9062"/>
            </w:tabs>
            <w:rPr>
              <w:rFonts w:eastAsiaTheme="minorEastAsia"/>
              <w:noProof/>
              <w:lang w:eastAsia="hu-HU"/>
            </w:rPr>
          </w:pPr>
          <w:hyperlink w:anchor="_Toc37240863" w:history="1">
            <w:r w:rsidR="00027664" w:rsidRPr="005112C1">
              <w:rPr>
                <w:rStyle w:val="Hiperhivatkozs"/>
                <w:noProof/>
              </w:rPr>
              <w:t>2. számú melléklet: Előtanulmányi rend</w:t>
            </w:r>
            <w:r w:rsidR="00027664">
              <w:rPr>
                <w:noProof/>
                <w:webHidden/>
              </w:rPr>
              <w:tab/>
            </w:r>
            <w:r w:rsidR="00027664">
              <w:rPr>
                <w:noProof/>
                <w:webHidden/>
              </w:rPr>
              <w:fldChar w:fldCharType="begin"/>
            </w:r>
            <w:r w:rsidR="00027664">
              <w:rPr>
                <w:noProof/>
                <w:webHidden/>
              </w:rPr>
              <w:instrText xml:space="preserve"> PAGEREF _Toc37240863 \h </w:instrText>
            </w:r>
            <w:r w:rsidR="00027664">
              <w:rPr>
                <w:noProof/>
                <w:webHidden/>
              </w:rPr>
            </w:r>
            <w:r w:rsidR="00027664">
              <w:rPr>
                <w:noProof/>
                <w:webHidden/>
              </w:rPr>
              <w:fldChar w:fldCharType="separate"/>
            </w:r>
            <w:r w:rsidR="00BE7E38">
              <w:rPr>
                <w:noProof/>
                <w:webHidden/>
              </w:rPr>
              <w:t>756</w:t>
            </w:r>
            <w:r w:rsidR="00027664">
              <w:rPr>
                <w:noProof/>
                <w:webHidden/>
              </w:rPr>
              <w:fldChar w:fldCharType="end"/>
            </w:r>
          </w:hyperlink>
        </w:p>
        <w:p w:rsidR="00027664" w:rsidRDefault="004D708E">
          <w:pPr>
            <w:pStyle w:val="TJ1"/>
            <w:tabs>
              <w:tab w:val="left" w:pos="660"/>
              <w:tab w:val="right" w:leader="dot" w:pos="9062"/>
            </w:tabs>
            <w:rPr>
              <w:rFonts w:eastAsiaTheme="minorEastAsia"/>
              <w:noProof/>
              <w:lang w:eastAsia="hu-HU"/>
            </w:rPr>
          </w:pPr>
          <w:hyperlink w:anchor="_Toc37240864" w:history="1">
            <w:r w:rsidR="00027664" w:rsidRPr="005112C1">
              <w:rPr>
                <w:rStyle w:val="Hiperhivatkozs"/>
                <w:noProof/>
              </w:rPr>
              <w:t>2.1.</w:t>
            </w:r>
            <w:r w:rsidR="00027664">
              <w:rPr>
                <w:rFonts w:eastAsiaTheme="minorEastAsia"/>
                <w:noProof/>
                <w:lang w:eastAsia="hu-HU"/>
              </w:rPr>
              <w:tab/>
            </w:r>
            <w:r w:rsidR="00027664" w:rsidRPr="005112C1">
              <w:rPr>
                <w:rStyle w:val="Hiperhivatkozs"/>
                <w:noProof/>
              </w:rPr>
              <w:t>Hadtáp specializáció</w:t>
            </w:r>
            <w:r w:rsidR="00027664">
              <w:rPr>
                <w:noProof/>
                <w:webHidden/>
              </w:rPr>
              <w:tab/>
            </w:r>
            <w:r w:rsidR="00027664">
              <w:rPr>
                <w:noProof/>
                <w:webHidden/>
              </w:rPr>
              <w:fldChar w:fldCharType="begin"/>
            </w:r>
            <w:r w:rsidR="00027664">
              <w:rPr>
                <w:noProof/>
                <w:webHidden/>
              </w:rPr>
              <w:instrText xml:space="preserve"> PAGEREF _Toc37240864 \h </w:instrText>
            </w:r>
            <w:r w:rsidR="00027664">
              <w:rPr>
                <w:noProof/>
                <w:webHidden/>
              </w:rPr>
            </w:r>
            <w:r w:rsidR="00027664">
              <w:rPr>
                <w:noProof/>
                <w:webHidden/>
              </w:rPr>
              <w:fldChar w:fldCharType="separate"/>
            </w:r>
            <w:r w:rsidR="00BE7E38">
              <w:rPr>
                <w:noProof/>
                <w:webHidden/>
              </w:rPr>
              <w:t>756</w:t>
            </w:r>
            <w:r w:rsidR="00027664">
              <w:rPr>
                <w:noProof/>
                <w:webHidden/>
              </w:rPr>
              <w:fldChar w:fldCharType="end"/>
            </w:r>
          </w:hyperlink>
        </w:p>
        <w:p w:rsidR="00027664" w:rsidRDefault="004D708E">
          <w:pPr>
            <w:pStyle w:val="TJ1"/>
            <w:tabs>
              <w:tab w:val="left" w:pos="660"/>
              <w:tab w:val="right" w:leader="dot" w:pos="9062"/>
            </w:tabs>
            <w:rPr>
              <w:rFonts w:eastAsiaTheme="minorEastAsia"/>
              <w:noProof/>
              <w:lang w:eastAsia="hu-HU"/>
            </w:rPr>
          </w:pPr>
          <w:hyperlink w:anchor="_Toc37240865" w:history="1">
            <w:r w:rsidR="00027664" w:rsidRPr="005112C1">
              <w:rPr>
                <w:rStyle w:val="Hiperhivatkozs"/>
                <w:noProof/>
              </w:rPr>
              <w:t>2.2.</w:t>
            </w:r>
            <w:r w:rsidR="00027664">
              <w:rPr>
                <w:rFonts w:eastAsiaTheme="minorEastAsia"/>
                <w:noProof/>
                <w:lang w:eastAsia="hu-HU"/>
              </w:rPr>
              <w:tab/>
            </w:r>
            <w:r w:rsidR="00027664" w:rsidRPr="005112C1">
              <w:rPr>
                <w:rStyle w:val="Hiperhivatkozs"/>
                <w:noProof/>
              </w:rPr>
              <w:t>Katonai közlekedési specializáció</w:t>
            </w:r>
            <w:r w:rsidR="00027664">
              <w:rPr>
                <w:noProof/>
                <w:webHidden/>
              </w:rPr>
              <w:tab/>
            </w:r>
            <w:r w:rsidR="00027664">
              <w:rPr>
                <w:noProof/>
                <w:webHidden/>
              </w:rPr>
              <w:fldChar w:fldCharType="begin"/>
            </w:r>
            <w:r w:rsidR="00027664">
              <w:rPr>
                <w:noProof/>
                <w:webHidden/>
              </w:rPr>
              <w:instrText xml:space="preserve"> PAGEREF _Toc37240865 \h </w:instrText>
            </w:r>
            <w:r w:rsidR="00027664">
              <w:rPr>
                <w:noProof/>
                <w:webHidden/>
              </w:rPr>
            </w:r>
            <w:r w:rsidR="00027664">
              <w:rPr>
                <w:noProof/>
                <w:webHidden/>
              </w:rPr>
              <w:fldChar w:fldCharType="separate"/>
            </w:r>
            <w:r w:rsidR="00BE7E38">
              <w:rPr>
                <w:noProof/>
                <w:webHidden/>
              </w:rPr>
              <w:t>756</w:t>
            </w:r>
            <w:r w:rsidR="00027664">
              <w:rPr>
                <w:noProof/>
                <w:webHidden/>
              </w:rPr>
              <w:fldChar w:fldCharType="end"/>
            </w:r>
          </w:hyperlink>
        </w:p>
        <w:p w:rsidR="00027664" w:rsidRDefault="004D708E">
          <w:pPr>
            <w:pStyle w:val="TJ1"/>
            <w:tabs>
              <w:tab w:val="left" w:pos="660"/>
              <w:tab w:val="right" w:leader="dot" w:pos="9062"/>
            </w:tabs>
            <w:rPr>
              <w:rFonts w:eastAsiaTheme="minorEastAsia"/>
              <w:noProof/>
              <w:lang w:eastAsia="hu-HU"/>
            </w:rPr>
          </w:pPr>
          <w:hyperlink w:anchor="_Toc37240866" w:history="1">
            <w:r w:rsidR="00027664" w:rsidRPr="005112C1">
              <w:rPr>
                <w:rStyle w:val="Hiperhivatkozs"/>
                <w:noProof/>
              </w:rPr>
              <w:t>2.3.</w:t>
            </w:r>
            <w:r w:rsidR="00027664">
              <w:rPr>
                <w:rFonts w:eastAsiaTheme="minorEastAsia"/>
                <w:noProof/>
                <w:lang w:eastAsia="hu-HU"/>
              </w:rPr>
              <w:tab/>
            </w:r>
            <w:r w:rsidR="00027664" w:rsidRPr="005112C1">
              <w:rPr>
                <w:rStyle w:val="Hiperhivatkozs"/>
                <w:noProof/>
              </w:rPr>
              <w:t>Haditechnikai specializáció</w:t>
            </w:r>
            <w:r w:rsidR="00027664">
              <w:rPr>
                <w:noProof/>
                <w:webHidden/>
              </w:rPr>
              <w:tab/>
            </w:r>
            <w:r w:rsidR="00027664">
              <w:rPr>
                <w:noProof/>
                <w:webHidden/>
              </w:rPr>
              <w:fldChar w:fldCharType="begin"/>
            </w:r>
            <w:r w:rsidR="00027664">
              <w:rPr>
                <w:noProof/>
                <w:webHidden/>
              </w:rPr>
              <w:instrText xml:space="preserve"> PAGEREF _Toc37240866 \h </w:instrText>
            </w:r>
            <w:r w:rsidR="00027664">
              <w:rPr>
                <w:noProof/>
                <w:webHidden/>
              </w:rPr>
            </w:r>
            <w:r w:rsidR="00027664">
              <w:rPr>
                <w:noProof/>
                <w:webHidden/>
              </w:rPr>
              <w:fldChar w:fldCharType="separate"/>
            </w:r>
            <w:r w:rsidR="00BE7E38">
              <w:rPr>
                <w:noProof/>
                <w:webHidden/>
              </w:rPr>
              <w:t>757</w:t>
            </w:r>
            <w:r w:rsidR="00027664">
              <w:rPr>
                <w:noProof/>
                <w:webHidden/>
              </w:rPr>
              <w:fldChar w:fldCharType="end"/>
            </w:r>
          </w:hyperlink>
        </w:p>
        <w:p w:rsidR="00027664" w:rsidRDefault="004D708E">
          <w:pPr>
            <w:pStyle w:val="TJ1"/>
            <w:tabs>
              <w:tab w:val="left" w:pos="660"/>
              <w:tab w:val="right" w:leader="dot" w:pos="9062"/>
            </w:tabs>
            <w:rPr>
              <w:rFonts w:eastAsiaTheme="minorEastAsia"/>
              <w:noProof/>
              <w:lang w:eastAsia="hu-HU"/>
            </w:rPr>
          </w:pPr>
          <w:hyperlink w:anchor="_Toc37240867" w:history="1">
            <w:r w:rsidR="00027664" w:rsidRPr="005112C1">
              <w:rPr>
                <w:rStyle w:val="Hiperhivatkozs"/>
                <w:noProof/>
              </w:rPr>
              <w:t>2.4.</w:t>
            </w:r>
            <w:r w:rsidR="00027664">
              <w:rPr>
                <w:rFonts w:eastAsiaTheme="minorEastAsia"/>
                <w:noProof/>
                <w:lang w:eastAsia="hu-HU"/>
              </w:rPr>
              <w:tab/>
            </w:r>
            <w:r w:rsidR="00027664" w:rsidRPr="005112C1">
              <w:rPr>
                <w:rStyle w:val="Hiperhivatkozs"/>
                <w:noProof/>
              </w:rPr>
              <w:t>Katonai pénzügyi specializáció</w:t>
            </w:r>
            <w:r w:rsidR="00027664">
              <w:rPr>
                <w:noProof/>
                <w:webHidden/>
              </w:rPr>
              <w:tab/>
            </w:r>
            <w:r w:rsidR="00027664">
              <w:rPr>
                <w:noProof/>
                <w:webHidden/>
              </w:rPr>
              <w:fldChar w:fldCharType="begin"/>
            </w:r>
            <w:r w:rsidR="00027664">
              <w:rPr>
                <w:noProof/>
                <w:webHidden/>
              </w:rPr>
              <w:instrText xml:space="preserve"> PAGEREF _Toc37240867 \h </w:instrText>
            </w:r>
            <w:r w:rsidR="00027664">
              <w:rPr>
                <w:noProof/>
                <w:webHidden/>
              </w:rPr>
            </w:r>
            <w:r w:rsidR="00027664">
              <w:rPr>
                <w:noProof/>
                <w:webHidden/>
              </w:rPr>
              <w:fldChar w:fldCharType="separate"/>
            </w:r>
            <w:r w:rsidR="00BE7E38">
              <w:rPr>
                <w:noProof/>
                <w:webHidden/>
              </w:rPr>
              <w:t>757</w:t>
            </w:r>
            <w:r w:rsidR="00027664">
              <w:rPr>
                <w:noProof/>
                <w:webHidden/>
              </w:rPr>
              <w:fldChar w:fldCharType="end"/>
            </w:r>
          </w:hyperlink>
        </w:p>
        <w:p w:rsidR="008B31E6" w:rsidRPr="009B33D5" w:rsidRDefault="008B31E6" w:rsidP="008B31E6">
          <w:pPr>
            <w:rPr>
              <w:b/>
            </w:rPr>
          </w:pPr>
          <w:r w:rsidRPr="009B33D5">
            <w:rPr>
              <w:b/>
              <w:bCs/>
            </w:rPr>
            <w:fldChar w:fldCharType="end"/>
          </w:r>
        </w:p>
      </w:sdtContent>
    </w:sdt>
    <w:p w:rsidR="008B31E6" w:rsidRDefault="008B31E6" w:rsidP="008B31E6">
      <w:pPr>
        <w:spacing w:after="0" w:line="240" w:lineRule="auto"/>
        <w:jc w:val="both"/>
        <w:rPr>
          <w:rFonts w:ascii="Times New Roman" w:hAnsi="Times New Roman" w:cs="Times New Roman"/>
        </w:rPr>
      </w:pPr>
      <w:r>
        <w:rPr>
          <w:rFonts w:ascii="Times New Roman" w:hAnsi="Times New Roman" w:cs="Times New Roman"/>
          <w:b/>
          <w:bCs/>
        </w:rPr>
        <w:br w:type="page"/>
      </w:r>
    </w:p>
    <w:p w:rsidR="008B31E6" w:rsidRDefault="008B31E6" w:rsidP="001A1F62">
      <w:pPr>
        <w:pStyle w:val="Cmsor1"/>
        <w:spacing w:after="120"/>
        <w:rPr>
          <w:i w:val="0"/>
          <w:sz w:val="22"/>
          <w:szCs w:val="22"/>
          <w:u w:val="none"/>
        </w:rPr>
      </w:pPr>
      <w:bookmarkStart w:id="0" w:name="_Toc482688798"/>
      <w:bookmarkStart w:id="1" w:name="_Toc37240827"/>
      <w:r>
        <w:rPr>
          <w:i w:val="0"/>
          <w:sz w:val="22"/>
          <w:szCs w:val="22"/>
          <w:u w:val="none"/>
        </w:rPr>
        <w:lastRenderedPageBreak/>
        <w:t>1. A szak megnevezése</w:t>
      </w:r>
      <w:bookmarkEnd w:id="0"/>
      <w:bookmarkEnd w:id="1"/>
    </w:p>
    <w:p w:rsidR="008B31E6" w:rsidRDefault="008B31E6" w:rsidP="008B31E6">
      <w:pPr>
        <w:spacing w:after="0" w:line="240" w:lineRule="auto"/>
        <w:rPr>
          <w:rFonts w:ascii="Times New Roman" w:hAnsi="Times New Roman" w:cs="Times New Roman"/>
          <w:lang w:eastAsia="hu-HU"/>
        </w:rPr>
      </w:pPr>
      <w:r>
        <w:rPr>
          <w:rFonts w:ascii="Times New Roman" w:hAnsi="Times New Roman" w:cs="Times New Roman"/>
          <w:lang w:eastAsia="hu-HU"/>
        </w:rPr>
        <w:t>Katonai logisztika alapképzési szak</w:t>
      </w:r>
    </w:p>
    <w:p w:rsidR="008B31E6" w:rsidRDefault="008B31E6" w:rsidP="008B31E6">
      <w:pPr>
        <w:spacing w:after="0" w:line="240" w:lineRule="auto"/>
        <w:rPr>
          <w:rFonts w:ascii="Times New Roman" w:hAnsi="Times New Roman" w:cs="Times New Roman"/>
          <w:lang w:eastAsia="hu-HU"/>
        </w:rPr>
      </w:pPr>
    </w:p>
    <w:p w:rsidR="008B31E6" w:rsidRDefault="008B31E6" w:rsidP="001A1F62">
      <w:pPr>
        <w:pStyle w:val="Cmsor1"/>
        <w:spacing w:after="120"/>
        <w:rPr>
          <w:i w:val="0"/>
          <w:sz w:val="22"/>
          <w:szCs w:val="22"/>
          <w:u w:val="none"/>
        </w:rPr>
      </w:pPr>
      <w:bookmarkStart w:id="2" w:name="_Toc482688799"/>
      <w:bookmarkStart w:id="3" w:name="_Toc37240828"/>
      <w:r>
        <w:rPr>
          <w:i w:val="0"/>
          <w:sz w:val="22"/>
          <w:szCs w:val="22"/>
          <w:u w:val="none"/>
        </w:rPr>
        <w:t>2. Képzési terület</w:t>
      </w:r>
      <w:bookmarkEnd w:id="2"/>
      <w:r>
        <w:rPr>
          <w:i w:val="0"/>
          <w:sz w:val="22"/>
          <w:szCs w:val="22"/>
          <w:u w:val="none"/>
        </w:rPr>
        <w:t xml:space="preserve">, </w:t>
      </w:r>
      <w:bookmarkStart w:id="4" w:name="_Toc482688800"/>
      <w:r>
        <w:rPr>
          <w:i w:val="0"/>
          <w:sz w:val="22"/>
          <w:szCs w:val="22"/>
          <w:u w:val="none"/>
        </w:rPr>
        <w:t>az NKE tv. 3. §-ában meghatározott felsőoktatási terület</w:t>
      </w:r>
      <w:bookmarkEnd w:id="3"/>
      <w:bookmarkEnd w:id="4"/>
    </w:p>
    <w:p w:rsidR="008B31E6" w:rsidRDefault="008B31E6" w:rsidP="008B31E6">
      <w:pPr>
        <w:spacing w:after="0" w:line="240" w:lineRule="auto"/>
        <w:rPr>
          <w:rFonts w:ascii="Times New Roman" w:hAnsi="Times New Roman" w:cs="Times New Roman"/>
          <w:i/>
        </w:rPr>
      </w:pPr>
      <w:r>
        <w:rPr>
          <w:rFonts w:ascii="Times New Roman" w:hAnsi="Times New Roman" w:cs="Times New Roman"/>
        </w:rPr>
        <w:t>államtudományi, katonai</w:t>
      </w:r>
    </w:p>
    <w:p w:rsidR="008B31E6" w:rsidRDefault="008B31E6" w:rsidP="008B31E6">
      <w:pPr>
        <w:spacing w:after="0" w:line="240" w:lineRule="auto"/>
        <w:rPr>
          <w:rFonts w:ascii="Times New Roman" w:hAnsi="Times New Roman" w:cs="Times New Roman"/>
          <w:lang w:eastAsia="hu-HU"/>
        </w:rPr>
      </w:pPr>
    </w:p>
    <w:p w:rsidR="008B31E6" w:rsidRDefault="008B31E6" w:rsidP="001A1F62">
      <w:pPr>
        <w:pStyle w:val="Cmsor1"/>
        <w:spacing w:after="120"/>
        <w:rPr>
          <w:i w:val="0"/>
          <w:sz w:val="22"/>
          <w:szCs w:val="22"/>
          <w:u w:val="none"/>
        </w:rPr>
      </w:pPr>
      <w:bookmarkStart w:id="5" w:name="_Toc482688801"/>
      <w:bookmarkStart w:id="6" w:name="_Toc37240829"/>
      <w:r>
        <w:rPr>
          <w:i w:val="0"/>
          <w:sz w:val="22"/>
          <w:szCs w:val="22"/>
          <w:u w:val="none"/>
        </w:rPr>
        <w:t>3. A szak szakirányai/specializációi</w:t>
      </w:r>
      <w:bookmarkEnd w:id="5"/>
      <w:bookmarkEnd w:id="6"/>
    </w:p>
    <w:p w:rsidR="008B31E6" w:rsidRPr="006B3BF3" w:rsidRDefault="008B31E6" w:rsidP="008B31E6">
      <w:pPr>
        <w:shd w:val="clear" w:color="auto" w:fill="FFFFFF"/>
        <w:tabs>
          <w:tab w:val="left" w:pos="284"/>
        </w:tabs>
        <w:spacing w:after="0" w:line="240" w:lineRule="auto"/>
        <w:jc w:val="both"/>
        <w:rPr>
          <w:rFonts w:ascii="Times New Roman" w:eastAsia="Times New Roman" w:hAnsi="Times New Roman" w:cs="Times New Roman"/>
          <w:lang w:eastAsia="hu-HU"/>
        </w:rPr>
      </w:pPr>
      <w:bookmarkStart w:id="7" w:name="_Toc482688806"/>
      <w:r>
        <w:rPr>
          <w:rFonts w:ascii="Times New Roman" w:eastAsia="Times New Roman" w:hAnsi="Times New Roman" w:cs="Times New Roman"/>
          <w:lang w:eastAsia="hu-HU"/>
        </w:rPr>
        <w:t>v</w:t>
      </w:r>
      <w:r w:rsidRPr="006B3BF3">
        <w:rPr>
          <w:rFonts w:ascii="Times New Roman" w:eastAsia="Times New Roman" w:hAnsi="Times New Roman" w:cs="Times New Roman"/>
          <w:lang w:eastAsia="hu-HU"/>
        </w:rPr>
        <w:t>álasztható specializációk: hadtáp, katonai közlekedési, haditechnikai, katonai pénzügyi</w:t>
      </w:r>
    </w:p>
    <w:p w:rsidR="008B31E6" w:rsidRDefault="008B31E6" w:rsidP="008B31E6">
      <w:pPr>
        <w:spacing w:after="0" w:line="240" w:lineRule="auto"/>
        <w:rPr>
          <w:rFonts w:ascii="Times New Roman" w:hAnsi="Times New Roman" w:cs="Times New Roman"/>
          <w:i/>
          <w:iCs/>
        </w:rPr>
      </w:pPr>
    </w:p>
    <w:p w:rsidR="008B31E6" w:rsidRDefault="008B31E6" w:rsidP="001A1F62">
      <w:pPr>
        <w:pStyle w:val="Cmsor1"/>
        <w:spacing w:after="120"/>
        <w:rPr>
          <w:b w:val="0"/>
          <w:bCs w:val="0"/>
          <w:sz w:val="22"/>
          <w:szCs w:val="22"/>
        </w:rPr>
      </w:pPr>
      <w:bookmarkStart w:id="8" w:name="_Toc37240830"/>
      <w:r>
        <w:rPr>
          <w:i w:val="0"/>
          <w:sz w:val="22"/>
          <w:szCs w:val="22"/>
          <w:u w:val="none"/>
        </w:rPr>
        <w:t xml:space="preserve">4. </w:t>
      </w:r>
      <w:r w:rsidRPr="001A1F62">
        <w:rPr>
          <w:i w:val="0"/>
          <w:sz w:val="22"/>
          <w:szCs w:val="22"/>
          <w:u w:val="none"/>
        </w:rPr>
        <w:t>Végzettségi</w:t>
      </w:r>
      <w:r>
        <w:rPr>
          <w:bCs w:val="0"/>
          <w:i w:val="0"/>
          <w:sz w:val="22"/>
          <w:szCs w:val="22"/>
          <w:u w:val="none"/>
        </w:rPr>
        <w:t xml:space="preserve"> szint</w:t>
      </w:r>
      <w:bookmarkEnd w:id="8"/>
    </w:p>
    <w:p w:rsidR="008B31E6" w:rsidRPr="001A179F" w:rsidRDefault="008B31E6" w:rsidP="008B31E6">
      <w:pPr>
        <w:shd w:val="clear" w:color="auto" w:fill="FFFFFF"/>
        <w:tabs>
          <w:tab w:val="left" w:pos="284"/>
        </w:tabs>
        <w:spacing w:after="0" w:line="240" w:lineRule="auto"/>
        <w:jc w:val="both"/>
        <w:rPr>
          <w:rFonts w:ascii="Times New Roman" w:eastAsia="Times New Roman" w:hAnsi="Times New Roman" w:cs="Times New Roman"/>
          <w:lang w:eastAsia="hu-HU"/>
        </w:rPr>
      </w:pPr>
      <w:r w:rsidRPr="001A179F">
        <w:rPr>
          <w:rFonts w:ascii="Times New Roman" w:eastAsia="Times New Roman" w:hAnsi="Times New Roman" w:cs="Times New Roman"/>
          <w:lang w:eastAsia="hu-HU"/>
        </w:rPr>
        <w:t xml:space="preserve">alap- (baccalaureus, bachelor; rövidítve: BA-) fokozat </w:t>
      </w:r>
    </w:p>
    <w:p w:rsidR="008B31E6" w:rsidRDefault="008B31E6" w:rsidP="008B31E6">
      <w:pPr>
        <w:spacing w:after="0" w:line="240" w:lineRule="auto"/>
        <w:rPr>
          <w:rFonts w:ascii="Times New Roman" w:hAnsi="Times New Roman" w:cs="Times New Roman"/>
          <w:b/>
        </w:rPr>
      </w:pPr>
    </w:p>
    <w:p w:rsidR="008B31E6" w:rsidRDefault="008B31E6" w:rsidP="001A1F62">
      <w:pPr>
        <w:pStyle w:val="Cmsor1"/>
        <w:spacing w:after="120"/>
        <w:rPr>
          <w:i w:val="0"/>
          <w:sz w:val="22"/>
          <w:szCs w:val="22"/>
          <w:u w:val="none"/>
        </w:rPr>
      </w:pPr>
      <w:bookmarkStart w:id="9" w:name="_Toc37240831"/>
      <w:r>
        <w:rPr>
          <w:i w:val="0"/>
          <w:sz w:val="22"/>
          <w:szCs w:val="22"/>
          <w:u w:val="none"/>
        </w:rPr>
        <w:t>5. A szakon megszerezhető végzettség és szakképzettség oklevélben szereplő megnevezése</w:t>
      </w:r>
      <w:bookmarkEnd w:id="7"/>
      <w:bookmarkEnd w:id="9"/>
    </w:p>
    <w:p w:rsidR="008B31E6" w:rsidRDefault="008B31E6" w:rsidP="008B31E6">
      <w:pPr>
        <w:spacing w:after="0" w:line="240" w:lineRule="auto"/>
        <w:rPr>
          <w:rFonts w:ascii="Times New Roman" w:eastAsia="Times New Roman" w:hAnsi="Times New Roman" w:cs="Times New Roman"/>
          <w:lang w:eastAsia="hu-HU"/>
        </w:rPr>
      </w:pPr>
      <w:bookmarkStart w:id="10" w:name="_Hlk3032520"/>
      <w:r w:rsidRPr="006B3BF3">
        <w:rPr>
          <w:rFonts w:ascii="Times New Roman" w:eastAsia="Times New Roman" w:hAnsi="Times New Roman" w:cs="Times New Roman"/>
          <w:lang w:eastAsia="hu-HU"/>
        </w:rPr>
        <w:t>katonai logisztikai vezető</w:t>
      </w:r>
      <w:bookmarkEnd w:id="10"/>
    </w:p>
    <w:p w:rsidR="008B31E6" w:rsidRDefault="008B31E6" w:rsidP="008B31E6">
      <w:pPr>
        <w:spacing w:after="0" w:line="240" w:lineRule="auto"/>
        <w:rPr>
          <w:rFonts w:ascii="Times New Roman" w:hAnsi="Times New Roman" w:cs="Times New Roman"/>
          <w:i/>
        </w:rPr>
      </w:pPr>
    </w:p>
    <w:p w:rsidR="008B31E6" w:rsidRDefault="008B31E6" w:rsidP="001A1F62">
      <w:pPr>
        <w:pStyle w:val="Cmsor1"/>
        <w:spacing w:after="120"/>
        <w:rPr>
          <w:bCs w:val="0"/>
          <w:i w:val="0"/>
          <w:sz w:val="22"/>
          <w:szCs w:val="22"/>
          <w:u w:val="none"/>
        </w:rPr>
      </w:pPr>
      <w:bookmarkStart w:id="11" w:name="_Toc37240832"/>
      <w:r>
        <w:rPr>
          <w:bCs w:val="0"/>
          <w:i w:val="0"/>
          <w:sz w:val="22"/>
          <w:szCs w:val="22"/>
          <w:u w:val="none"/>
        </w:rPr>
        <w:t xml:space="preserve">6. </w:t>
      </w:r>
      <w:bookmarkStart w:id="12" w:name="_Toc482688811"/>
      <w:r>
        <w:rPr>
          <w:bCs w:val="0"/>
          <w:i w:val="0"/>
          <w:sz w:val="22"/>
          <w:szCs w:val="22"/>
          <w:u w:val="none"/>
        </w:rPr>
        <w:t xml:space="preserve">A </w:t>
      </w:r>
      <w:r w:rsidRPr="001A1F62">
        <w:rPr>
          <w:i w:val="0"/>
          <w:sz w:val="22"/>
          <w:szCs w:val="22"/>
          <w:u w:val="none"/>
        </w:rPr>
        <w:t>képzés</w:t>
      </w:r>
      <w:r>
        <w:rPr>
          <w:bCs w:val="0"/>
          <w:i w:val="0"/>
          <w:sz w:val="22"/>
          <w:szCs w:val="22"/>
          <w:u w:val="none"/>
        </w:rPr>
        <w:t xml:space="preserve"> célja és az elsajátítandó szakmai kompetenciák</w:t>
      </w:r>
      <w:bookmarkEnd w:id="11"/>
    </w:p>
    <w:p w:rsidR="008B31E6" w:rsidRPr="006B3BF3" w:rsidRDefault="008B31E6" w:rsidP="008B31E6">
      <w:pPr>
        <w:tabs>
          <w:tab w:val="left" w:pos="284"/>
        </w:tabs>
        <w:spacing w:after="0" w:line="240" w:lineRule="auto"/>
        <w:jc w:val="both"/>
        <w:rPr>
          <w:rFonts w:ascii="Times New Roman" w:eastAsia="Calibri" w:hAnsi="Times New Roman" w:cs="Times New Roman"/>
        </w:rPr>
      </w:pPr>
      <w:bookmarkStart w:id="13" w:name="_Toc482688818"/>
      <w:bookmarkEnd w:id="12"/>
      <w:r w:rsidRPr="006B3BF3">
        <w:rPr>
          <w:rFonts w:ascii="Times New Roman" w:eastAsia="Calibri" w:hAnsi="Times New Roman" w:cs="Times New Roman"/>
        </w:rPr>
        <w:t xml:space="preserve">A képzés célja a Magyar Honvédség számára olyan, harcászati szintű katonai logisztikai és katonai pénzügyi vezetők képzése, akik a megszerzett általános és speciális katonai ismeretek birtokában képesek a logisztikai szakalegységek vezetésére, harcászati szintű logisztikai támogatás és a különböző gazdasági-pénzügyi folyamatok tervezésére, szervezésére, irányítására, ellenőrzésére és értékelésére nemzeti és többnemzeti környezetben, békeidőszakban, válságkezelő, katasztrófa-elhárítási, béketámogatási és háborús műveletekben egyaránt. Mindezeken túl kellő mélységű elméleti ismeretekkel rendelkeznek a továbbképző tanfolyamok ismeretanyagával kiegészítve a képzés második ciklusban történő folytatásához. </w:t>
      </w:r>
    </w:p>
    <w:p w:rsidR="008B31E6" w:rsidRDefault="008B31E6" w:rsidP="008B31E6">
      <w:pPr>
        <w:spacing w:after="0" w:line="240" w:lineRule="auto"/>
        <w:rPr>
          <w:rFonts w:ascii="Times New Roman" w:hAnsi="Times New Roman" w:cs="Times New Roman"/>
          <w:i/>
        </w:rPr>
      </w:pPr>
    </w:p>
    <w:p w:rsidR="008B31E6" w:rsidRPr="006B3BF3" w:rsidRDefault="008B31E6" w:rsidP="008B31E6">
      <w:pPr>
        <w:tabs>
          <w:tab w:val="left" w:pos="284"/>
        </w:tabs>
        <w:spacing w:after="0" w:line="240" w:lineRule="auto"/>
        <w:jc w:val="both"/>
        <w:rPr>
          <w:rFonts w:ascii="Times New Roman" w:eastAsia="Times New Roman" w:hAnsi="Times New Roman" w:cs="Times New Roman"/>
          <w:b/>
          <w:i/>
          <w:strike/>
          <w:lang w:eastAsia="hu-HU"/>
        </w:rPr>
      </w:pPr>
      <w:r>
        <w:rPr>
          <w:rFonts w:ascii="Times New Roman" w:eastAsia="Times New Roman" w:hAnsi="Times New Roman" w:cs="Times New Roman"/>
          <w:b/>
          <w:color w:val="000000"/>
          <w:lang w:eastAsia="hu-HU"/>
        </w:rPr>
        <w:t>6</w:t>
      </w:r>
      <w:r w:rsidRPr="006B3BF3">
        <w:rPr>
          <w:rFonts w:ascii="Times New Roman" w:eastAsia="Times New Roman" w:hAnsi="Times New Roman" w:cs="Times New Roman"/>
          <w:b/>
          <w:color w:val="000000"/>
          <w:lang w:eastAsia="hu-HU"/>
        </w:rPr>
        <w:t>.1. Az elsajátítandó közös szakmai kompetenciák</w:t>
      </w:r>
    </w:p>
    <w:p w:rsidR="008B31E6" w:rsidRPr="006B3BF3" w:rsidRDefault="008B31E6" w:rsidP="008B31E6">
      <w:pPr>
        <w:tabs>
          <w:tab w:val="left" w:pos="284"/>
        </w:tabs>
        <w:spacing w:after="0" w:line="240" w:lineRule="auto"/>
        <w:jc w:val="both"/>
        <w:rPr>
          <w:rFonts w:ascii="Times New Roman" w:eastAsia="Times New Roman" w:hAnsi="Times New Roman" w:cs="Times New Roman"/>
          <w:b/>
          <w:color w:val="000000"/>
          <w:lang w:eastAsia="hu-HU"/>
        </w:rPr>
      </w:pPr>
      <w:r>
        <w:rPr>
          <w:rFonts w:ascii="Times New Roman" w:eastAsia="Times New Roman" w:hAnsi="Times New Roman" w:cs="Times New Roman"/>
          <w:b/>
          <w:color w:val="000000"/>
          <w:lang w:eastAsia="hu-HU"/>
        </w:rPr>
        <w:t>6</w:t>
      </w:r>
      <w:r w:rsidRPr="006B3BF3">
        <w:rPr>
          <w:rFonts w:ascii="Times New Roman" w:eastAsia="Times New Roman" w:hAnsi="Times New Roman" w:cs="Times New Roman"/>
          <w:b/>
          <w:color w:val="000000"/>
          <w:lang w:eastAsia="hu-HU"/>
        </w:rPr>
        <w:t>.1.1. A katonai logisztikai vezető</w:t>
      </w:r>
    </w:p>
    <w:p w:rsidR="008B31E6" w:rsidRPr="006B3BF3" w:rsidRDefault="008B31E6" w:rsidP="008B31E6">
      <w:pPr>
        <w:tabs>
          <w:tab w:val="left" w:pos="284"/>
        </w:tabs>
        <w:spacing w:after="0" w:line="240" w:lineRule="auto"/>
        <w:jc w:val="both"/>
        <w:rPr>
          <w:rFonts w:ascii="Times New Roman" w:eastAsia="Times New Roman" w:hAnsi="Times New Roman" w:cs="Times New Roman"/>
          <w:b/>
          <w:color w:val="000000"/>
          <w:lang w:eastAsia="hu-HU"/>
        </w:rPr>
      </w:pPr>
      <w:r w:rsidRPr="006B3BF3">
        <w:rPr>
          <w:rFonts w:ascii="Times New Roman" w:eastAsia="Times New Roman" w:hAnsi="Times New Roman" w:cs="Times New Roman"/>
          <w:b/>
          <w:color w:val="000000"/>
          <w:lang w:eastAsia="hu-HU"/>
        </w:rPr>
        <w:t>a) tudása</w:t>
      </w:r>
    </w:p>
    <w:p w:rsidR="008B31E6" w:rsidRPr="006B3BF3"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6B3BF3">
        <w:rPr>
          <w:rFonts w:ascii="Times New Roman" w:eastAsia="Calibri" w:hAnsi="Times New Roman" w:cs="Times New Roman"/>
        </w:rPr>
        <w:t>Ismeri az összfegyvernemi harc megvívásával kapcsolatos alapismereteket, annak főbb jellemzőit, a harctámogatás, a harckiszolgáló támogatás, a haderőnemek, a fegyvernemek és szakcsapatok szervezeti felépítését, harceljárásait.</w:t>
      </w:r>
    </w:p>
    <w:p w:rsidR="008B31E6" w:rsidRPr="006B3BF3"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6B3BF3">
        <w:rPr>
          <w:rFonts w:ascii="Times New Roman" w:eastAsia="Calibri" w:hAnsi="Times New Roman" w:cs="Times New Roman"/>
        </w:rPr>
        <w:t>Rendelkezik alapvető vezetői ismeretekkel, tisztában van a vezetői kompetenciákkal és a beosztottak eredményes irányításához szükséges alapvető ismeretekkel, valamint a beosztottakat motiváló képességekkel.</w:t>
      </w:r>
    </w:p>
    <w:p w:rsidR="008B31E6" w:rsidRPr="006B3BF3"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6B3BF3">
        <w:rPr>
          <w:rFonts w:ascii="Times New Roman" w:eastAsia="Calibri" w:hAnsi="Times New Roman" w:cs="Times New Roman"/>
        </w:rPr>
        <w:t>Ismeri a katonai kommunikáció, hírközlés alapvető elveit és eszközeit, a titokvédelem és információbiztonság szabályait.</w:t>
      </w:r>
    </w:p>
    <w:p w:rsidR="008B31E6" w:rsidRPr="006B3BF3"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6B3BF3">
        <w:rPr>
          <w:rFonts w:ascii="Times New Roman" w:eastAsia="Calibri" w:hAnsi="Times New Roman" w:cs="Times New Roman"/>
        </w:rPr>
        <w:t xml:space="preserve">Ismeri a matematika és a mechanika törvényszerűségeit, rendelkezik műszaki alapismeretekkel. </w:t>
      </w:r>
    </w:p>
    <w:p w:rsidR="008B31E6" w:rsidRPr="006B3BF3"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6B3BF3">
        <w:rPr>
          <w:rFonts w:ascii="Times New Roman" w:eastAsia="Calibri" w:hAnsi="Times New Roman" w:cs="Times New Roman"/>
        </w:rPr>
        <w:t>Ismeri a gazdaság és a piacok működésének alapjait, a nemzetgazdaság és a honvédelem kapcsolatrendszerét, a hadiipar működésének törvényszerűségeit.</w:t>
      </w:r>
    </w:p>
    <w:p w:rsidR="008B31E6" w:rsidRPr="006B3BF3"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6B3BF3">
        <w:rPr>
          <w:rFonts w:ascii="Times New Roman" w:eastAsia="Calibri" w:hAnsi="Times New Roman" w:cs="Times New Roman"/>
        </w:rPr>
        <w:t>Részletesen ismeri az általános logisztikai tevékenység egyes műveleteit, folyamatait.</w:t>
      </w:r>
    </w:p>
    <w:p w:rsidR="008B31E6" w:rsidRPr="006B3BF3"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6B3BF3">
        <w:rPr>
          <w:rFonts w:ascii="Times New Roman" w:eastAsia="Calibri" w:hAnsi="Times New Roman" w:cs="Times New Roman"/>
        </w:rPr>
        <w:t>Mélyrehatóan ismeri a katonai logisztikai gazdálkodás feladatait, valamint annak eszköz- és információs rendszerét.</w:t>
      </w:r>
    </w:p>
    <w:p w:rsidR="008B31E6" w:rsidRPr="006B3BF3"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6B3BF3">
        <w:rPr>
          <w:rFonts w:ascii="Times New Roman" w:eastAsia="Calibri" w:hAnsi="Times New Roman" w:cs="Times New Roman"/>
        </w:rPr>
        <w:t>Rendelkezik a logisztikai alegységek napi feladatainak ellátásához és kiképzéséhez szükséges szakmai és kiképzésmódszertani ismeretekkel.</w:t>
      </w:r>
    </w:p>
    <w:p w:rsidR="008B31E6" w:rsidRPr="006B3BF3"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6B3BF3">
        <w:rPr>
          <w:rFonts w:ascii="Times New Roman" w:eastAsia="Calibri" w:hAnsi="Times New Roman" w:cs="Times New Roman"/>
        </w:rPr>
        <w:t xml:space="preserve">Ismeri </w:t>
      </w:r>
      <w:r w:rsidRPr="00902B86">
        <w:rPr>
          <w:rFonts w:ascii="Times New Roman" w:eastAsia="Calibri" w:hAnsi="Times New Roman" w:cs="Times New Roman"/>
        </w:rPr>
        <w:t xml:space="preserve">a Magyar Honvédség </w:t>
      </w:r>
      <w:r w:rsidRPr="006B3BF3">
        <w:rPr>
          <w:rFonts w:ascii="Times New Roman" w:eastAsia="Calibri" w:hAnsi="Times New Roman" w:cs="Times New Roman"/>
        </w:rPr>
        <w:t>logisztikai rendszerének felépítésében, a logisztikai szervezetek feladat- és hatásköreiben, az egységek és alegységek logisztikai szervezeteinek felépítésében és feladataiban.</w:t>
      </w:r>
    </w:p>
    <w:p w:rsidR="008B31E6" w:rsidRPr="006B3BF3"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6B3BF3">
        <w:rPr>
          <w:rFonts w:ascii="Times New Roman" w:eastAsia="Calibri" w:hAnsi="Times New Roman" w:cs="Times New Roman"/>
        </w:rPr>
        <w:t xml:space="preserve">Ismeri a békeműveletek rendszerét, az </w:t>
      </w:r>
      <w:r w:rsidRPr="00902B86">
        <w:rPr>
          <w:rFonts w:ascii="Times New Roman" w:eastAsia="Calibri" w:hAnsi="Times New Roman" w:cs="Times New Roman"/>
        </w:rPr>
        <w:t>a Magyar Honvédség</w:t>
      </w:r>
      <w:r w:rsidRPr="006B3BF3">
        <w:rPr>
          <w:rFonts w:ascii="Times New Roman" w:eastAsia="Calibri" w:hAnsi="Times New Roman" w:cs="Times New Roman"/>
        </w:rPr>
        <w:t xml:space="preserve"> békeműveleti feladatait, valamint az alapvető békefenntartási technikákat.</w:t>
      </w:r>
    </w:p>
    <w:p w:rsidR="008B31E6" w:rsidRPr="006B3BF3" w:rsidRDefault="008B31E6" w:rsidP="008B31E6">
      <w:pPr>
        <w:tabs>
          <w:tab w:val="left" w:pos="284"/>
        </w:tabs>
        <w:spacing w:after="0" w:line="240" w:lineRule="auto"/>
        <w:jc w:val="both"/>
        <w:rPr>
          <w:rFonts w:ascii="Times New Roman" w:eastAsia="Calibri" w:hAnsi="Times New Roman" w:cs="Times New Roman"/>
        </w:rPr>
      </w:pPr>
    </w:p>
    <w:p w:rsidR="008B31E6" w:rsidRPr="006B3BF3" w:rsidRDefault="008B31E6" w:rsidP="008B31E6">
      <w:pPr>
        <w:tabs>
          <w:tab w:val="left" w:pos="284"/>
        </w:tabs>
        <w:spacing w:after="0" w:line="240" w:lineRule="auto"/>
        <w:jc w:val="both"/>
        <w:rPr>
          <w:rFonts w:ascii="Times New Roman" w:eastAsia="Times New Roman" w:hAnsi="Times New Roman" w:cs="Times New Roman"/>
          <w:b/>
          <w:color w:val="000000"/>
          <w:lang w:eastAsia="hu-HU"/>
        </w:rPr>
      </w:pPr>
      <w:r w:rsidRPr="006B3BF3">
        <w:rPr>
          <w:rFonts w:ascii="Times New Roman" w:eastAsia="Times New Roman" w:hAnsi="Times New Roman" w:cs="Times New Roman"/>
          <w:b/>
          <w:color w:val="000000"/>
          <w:lang w:eastAsia="hu-HU"/>
        </w:rPr>
        <w:t>b) képességei</w:t>
      </w:r>
    </w:p>
    <w:p w:rsidR="008B31E6" w:rsidRPr="006B3BF3"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6B3BF3">
        <w:rPr>
          <w:rFonts w:ascii="Times New Roman" w:eastAsia="Calibri" w:hAnsi="Times New Roman" w:cs="Times New Roman"/>
        </w:rPr>
        <w:t>Képes a szakmai terminológia magyarul és idegen nyelven történő alkalmazására.</w:t>
      </w:r>
    </w:p>
    <w:p w:rsidR="008B31E6" w:rsidRPr="006B3BF3"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6B3BF3">
        <w:rPr>
          <w:rFonts w:ascii="Times New Roman" w:eastAsia="Calibri" w:hAnsi="Times New Roman" w:cs="Times New Roman"/>
        </w:rPr>
        <w:lastRenderedPageBreak/>
        <w:t xml:space="preserve">Képes a munkaköréhez és feladataihoz kapcsolódó jogszabályi háttér értelmezésére és gyakorlati alkalmazására. </w:t>
      </w:r>
    </w:p>
    <w:p w:rsidR="008B31E6" w:rsidRPr="006B3BF3"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6B3BF3">
        <w:rPr>
          <w:rFonts w:ascii="Times New Roman" w:eastAsia="Calibri" w:hAnsi="Times New Roman" w:cs="Times New Roman"/>
        </w:rPr>
        <w:t>Képes a munkaköréhez kapcsolódó dokumentumok, nyomtatványok, jegyzőkönyvek, feljegyzések és emlékeztetők önálló elkészítésére, okmányok kitöltésére, a munkaköréhez kapcsolódó események szervezésére, technikai előkészítésére.</w:t>
      </w:r>
    </w:p>
    <w:p w:rsidR="008B31E6" w:rsidRPr="006B3BF3"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6B3BF3">
        <w:rPr>
          <w:rFonts w:ascii="Times New Roman" w:eastAsia="Calibri" w:hAnsi="Times New Roman" w:cs="Times New Roman"/>
        </w:rPr>
        <w:t>Képes a terepen tájékozódni katonai térképek és geoinformációs eszközök segítségével is.</w:t>
      </w:r>
    </w:p>
    <w:p w:rsidR="008B31E6" w:rsidRPr="006B3BF3"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6B3BF3">
        <w:rPr>
          <w:rFonts w:ascii="Times New Roman" w:eastAsia="Calibri" w:hAnsi="Times New Roman" w:cs="Times New Roman"/>
        </w:rPr>
        <w:t>Képes a csapatgazdálkodás tervezésére, szervezésére, irányítására és vezetésére.</w:t>
      </w:r>
    </w:p>
    <w:p w:rsidR="008B31E6" w:rsidRPr="006B3BF3"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6B3BF3">
        <w:rPr>
          <w:rFonts w:ascii="Times New Roman" w:eastAsia="Calibri" w:hAnsi="Times New Roman" w:cs="Times New Roman"/>
        </w:rPr>
        <w:t xml:space="preserve">Képes a logisztikai folyamatok és </w:t>
      </w:r>
      <w:r w:rsidRPr="00902B86">
        <w:rPr>
          <w:rFonts w:ascii="Times New Roman" w:eastAsia="Calibri" w:hAnsi="Times New Roman" w:cs="Times New Roman"/>
        </w:rPr>
        <w:t>a Magyar Honvédség</w:t>
      </w:r>
      <w:r w:rsidRPr="006B3BF3" w:rsidDel="00F30C4C">
        <w:rPr>
          <w:rFonts w:ascii="Times New Roman" w:eastAsia="Calibri" w:hAnsi="Times New Roman" w:cs="Times New Roman"/>
        </w:rPr>
        <w:t xml:space="preserve"> </w:t>
      </w:r>
      <w:r w:rsidRPr="006B3BF3">
        <w:rPr>
          <w:rFonts w:ascii="Times New Roman" w:eastAsia="Calibri" w:hAnsi="Times New Roman" w:cs="Times New Roman"/>
        </w:rPr>
        <w:t>logisztikai rendszere közötti kapcsolatok, illetve összefüggések értelmezésére és azok a beosztottak felé történő átadására.</w:t>
      </w:r>
    </w:p>
    <w:p w:rsidR="008B31E6" w:rsidRPr="006B3BF3"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6B3BF3">
        <w:rPr>
          <w:rFonts w:ascii="Times New Roman" w:eastAsia="Calibri" w:hAnsi="Times New Roman" w:cs="Times New Roman"/>
        </w:rPr>
        <w:t>Képes szakterületén újító és innovatív ötletek megfogalmazására.</w:t>
      </w:r>
    </w:p>
    <w:p w:rsidR="008B31E6" w:rsidRPr="006B3BF3"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6B3BF3">
        <w:rPr>
          <w:rFonts w:ascii="Times New Roman" w:eastAsia="Calibri" w:hAnsi="Times New Roman" w:cs="Times New Roman"/>
        </w:rPr>
        <w:t>Képes pontos és precíz logisztikai, illetve gazdálkodási számvetéseket készíteni.</w:t>
      </w:r>
    </w:p>
    <w:p w:rsidR="008B31E6" w:rsidRPr="006B3BF3"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6B3BF3">
        <w:rPr>
          <w:rFonts w:ascii="Times New Roman" w:eastAsia="Calibri" w:hAnsi="Times New Roman" w:cs="Times New Roman"/>
        </w:rPr>
        <w:t xml:space="preserve">Képes a szakterületén alkalmazott nyilvántartó és vezetéstámogató </w:t>
      </w:r>
      <w:r w:rsidRPr="00902B86">
        <w:rPr>
          <w:rFonts w:ascii="Times New Roman" w:eastAsia="Calibri" w:hAnsi="Times New Roman" w:cs="Times New Roman"/>
        </w:rPr>
        <w:t>informatikai</w:t>
      </w:r>
      <w:r w:rsidRPr="006B3BF3">
        <w:rPr>
          <w:rFonts w:ascii="Times New Roman" w:eastAsia="Calibri" w:hAnsi="Times New Roman" w:cs="Times New Roman"/>
        </w:rPr>
        <w:t xml:space="preserve"> rendszerek használatára.</w:t>
      </w:r>
    </w:p>
    <w:p w:rsidR="008B31E6" w:rsidRPr="006B3BF3"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6B3BF3">
        <w:rPr>
          <w:rFonts w:ascii="Times New Roman" w:eastAsia="Calibri" w:hAnsi="Times New Roman" w:cs="Times New Roman"/>
        </w:rPr>
        <w:t>Képes beosztottjai általános katonai és szakmai vezetésére, munkájuk hatékony megszervezésére.</w:t>
      </w:r>
    </w:p>
    <w:p w:rsidR="008B31E6" w:rsidRPr="006B3BF3"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6B3BF3">
        <w:rPr>
          <w:rFonts w:ascii="Times New Roman" w:eastAsia="Calibri" w:hAnsi="Times New Roman" w:cs="Times New Roman"/>
        </w:rPr>
        <w:t>Képes a honvédekkel szemben támasztott mindenkori fizikai és pszichikai követelményeknek megfelelni.</w:t>
      </w:r>
    </w:p>
    <w:p w:rsidR="008B31E6" w:rsidRPr="006B3BF3" w:rsidRDefault="008B31E6" w:rsidP="008B31E6">
      <w:pPr>
        <w:tabs>
          <w:tab w:val="left" w:pos="284"/>
        </w:tabs>
        <w:spacing w:after="0" w:line="240" w:lineRule="auto"/>
        <w:jc w:val="both"/>
        <w:rPr>
          <w:rFonts w:ascii="Times New Roman" w:eastAsia="Calibri" w:hAnsi="Times New Roman" w:cs="Times New Roman"/>
        </w:rPr>
      </w:pPr>
    </w:p>
    <w:p w:rsidR="008B31E6" w:rsidRPr="006B3BF3" w:rsidRDefault="008B31E6" w:rsidP="008B31E6">
      <w:pPr>
        <w:tabs>
          <w:tab w:val="left" w:pos="284"/>
        </w:tabs>
        <w:spacing w:after="0" w:line="240" w:lineRule="auto"/>
        <w:jc w:val="both"/>
        <w:rPr>
          <w:rFonts w:ascii="Times New Roman" w:eastAsia="Times New Roman" w:hAnsi="Times New Roman" w:cs="Times New Roman"/>
          <w:b/>
          <w:color w:val="000000"/>
          <w:lang w:eastAsia="hu-HU"/>
        </w:rPr>
      </w:pPr>
      <w:r w:rsidRPr="006B3BF3">
        <w:rPr>
          <w:rFonts w:ascii="Times New Roman" w:eastAsia="Times New Roman" w:hAnsi="Times New Roman" w:cs="Times New Roman"/>
          <w:b/>
          <w:color w:val="000000"/>
          <w:lang w:eastAsia="hu-HU"/>
        </w:rPr>
        <w:t>c) attitűdje</w:t>
      </w:r>
    </w:p>
    <w:p w:rsidR="008B31E6" w:rsidRPr="006B3BF3"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6B3BF3">
        <w:rPr>
          <w:rFonts w:ascii="Times New Roman" w:eastAsia="Calibri" w:hAnsi="Times New Roman" w:cs="Times New Roman"/>
        </w:rPr>
        <w:t>Nyitott szakterülete új eredményei, innovációi iránt, törekszik azok megismerésére, megértésére és alkalmazására, elkötelezett önmaga folyamatos képzésére.</w:t>
      </w:r>
    </w:p>
    <w:p w:rsidR="008B31E6" w:rsidRPr="006B3BF3"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6B3BF3">
        <w:rPr>
          <w:rFonts w:ascii="Times New Roman" w:eastAsia="Calibri" w:hAnsi="Times New Roman" w:cs="Times New Roman"/>
        </w:rPr>
        <w:t>Feladatai ellátása során együttműködési készség jellemzi, törekszik a beosztottak bevonására a döntési folyamatokba.</w:t>
      </w:r>
    </w:p>
    <w:p w:rsidR="008B31E6" w:rsidRPr="00902B86"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902B86">
        <w:rPr>
          <w:rFonts w:ascii="Times New Roman" w:eastAsia="Calibri" w:hAnsi="Times New Roman" w:cs="Times New Roman"/>
        </w:rPr>
        <w:t>Feladatellátása során törekszik a megfelelő önkontroll, tolerancia, empátia, az előítéletektől mentes gondolkodás és viselkedés tanúsítására.</w:t>
      </w:r>
    </w:p>
    <w:p w:rsidR="008B31E6" w:rsidRPr="006B3BF3"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6B3BF3">
        <w:rPr>
          <w:rFonts w:ascii="Times New Roman" w:eastAsia="Calibri" w:hAnsi="Times New Roman" w:cs="Times New Roman"/>
        </w:rPr>
        <w:t>Munkájában és emberi kapcsolataiban megbízhatóság jellemzi.</w:t>
      </w:r>
    </w:p>
    <w:p w:rsidR="008B31E6" w:rsidRPr="006B3BF3"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6B3BF3">
        <w:rPr>
          <w:rFonts w:ascii="Times New Roman" w:eastAsia="Calibri" w:hAnsi="Times New Roman" w:cs="Times New Roman"/>
        </w:rPr>
        <w:t>A minőségi szakmai munkavégzés iránt elkötelezett, azt a pontosságra való törekvés jellemzi.</w:t>
      </w:r>
    </w:p>
    <w:p w:rsidR="008B31E6" w:rsidRPr="006B3BF3"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6B3BF3">
        <w:rPr>
          <w:rFonts w:ascii="Times New Roman" w:eastAsia="Calibri" w:hAnsi="Times New Roman" w:cs="Times New Roman"/>
        </w:rPr>
        <w:t>Felismeri a rendszerszintű tevékenységben rejlő értékeket, törekszik a logisztikai tevékenységek közötti kapcsolatok értelmezésére.</w:t>
      </w:r>
    </w:p>
    <w:p w:rsidR="008B31E6" w:rsidRPr="006B3BF3"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6B3BF3">
        <w:rPr>
          <w:rFonts w:ascii="Times New Roman" w:eastAsia="Calibri" w:hAnsi="Times New Roman" w:cs="Times New Roman"/>
        </w:rPr>
        <w:t>Feladatainak végrehajtása során az együttműködésre törekszik.</w:t>
      </w:r>
    </w:p>
    <w:p w:rsidR="008B31E6" w:rsidRPr="006B3BF3"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6B3BF3">
        <w:rPr>
          <w:rFonts w:ascii="Times New Roman" w:eastAsia="Calibri" w:hAnsi="Times New Roman" w:cs="Times New Roman"/>
        </w:rPr>
        <w:t>Tevékenységét a hatékonyság központú szemlélet jellemzi.</w:t>
      </w:r>
    </w:p>
    <w:p w:rsidR="008B31E6" w:rsidRPr="006B3BF3"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6B3BF3">
        <w:rPr>
          <w:rFonts w:ascii="Times New Roman" w:eastAsia="Calibri" w:hAnsi="Times New Roman" w:cs="Times New Roman"/>
        </w:rPr>
        <w:t>Jó szervezőkészség jellemzi.</w:t>
      </w:r>
    </w:p>
    <w:p w:rsidR="008B31E6" w:rsidRPr="006B3BF3" w:rsidRDefault="008B31E6" w:rsidP="008B31E6">
      <w:pPr>
        <w:tabs>
          <w:tab w:val="left" w:pos="284"/>
        </w:tabs>
        <w:spacing w:after="0" w:line="240" w:lineRule="auto"/>
        <w:jc w:val="both"/>
        <w:rPr>
          <w:rFonts w:ascii="Times New Roman" w:eastAsia="Calibri" w:hAnsi="Times New Roman" w:cs="Times New Roman"/>
        </w:rPr>
      </w:pPr>
    </w:p>
    <w:p w:rsidR="008B31E6" w:rsidRPr="006B3BF3" w:rsidRDefault="008B31E6" w:rsidP="008B31E6">
      <w:pPr>
        <w:tabs>
          <w:tab w:val="left" w:pos="284"/>
        </w:tabs>
        <w:spacing w:after="0" w:line="240" w:lineRule="auto"/>
        <w:jc w:val="both"/>
        <w:rPr>
          <w:rFonts w:ascii="Times New Roman" w:eastAsia="Times New Roman" w:hAnsi="Times New Roman" w:cs="Times New Roman"/>
          <w:b/>
          <w:color w:val="000000"/>
          <w:lang w:eastAsia="hu-HU"/>
        </w:rPr>
      </w:pPr>
      <w:r w:rsidRPr="006B3BF3">
        <w:rPr>
          <w:rFonts w:ascii="Times New Roman" w:eastAsia="Times New Roman" w:hAnsi="Times New Roman" w:cs="Times New Roman"/>
          <w:b/>
          <w:color w:val="000000"/>
          <w:lang w:eastAsia="hu-HU"/>
        </w:rPr>
        <w:t>d) autonómiája és felelőssége</w:t>
      </w:r>
    </w:p>
    <w:p w:rsidR="008B31E6" w:rsidRPr="006B3BF3"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6B3BF3">
        <w:rPr>
          <w:rFonts w:ascii="Times New Roman" w:eastAsia="Calibri" w:hAnsi="Times New Roman" w:cs="Times New Roman"/>
        </w:rPr>
        <w:t>Az alegység, illetve egység szintű katonai logisztikai, valamint katonai gazdálkodási folyamatokban képes önállóan döntéseket hozni, azokat felelősséggel, a jogszabályi keretek figyelembevételével végrehajtani.</w:t>
      </w:r>
    </w:p>
    <w:p w:rsidR="008B31E6" w:rsidRPr="006B3BF3"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6B3BF3">
        <w:rPr>
          <w:rFonts w:ascii="Times New Roman" w:eastAsia="Calibri" w:hAnsi="Times New Roman" w:cs="Times New Roman"/>
        </w:rPr>
        <w:t>Tisztában van döntéseinek, tevékenységének a műszaki eszközökre, illetve a gazdálkodási fegyelemre gyakorolt hatásaival, következményeivel.</w:t>
      </w:r>
    </w:p>
    <w:p w:rsidR="008B31E6" w:rsidRPr="006B3BF3"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6B3BF3">
        <w:rPr>
          <w:rFonts w:ascii="Times New Roman" w:eastAsia="Calibri" w:hAnsi="Times New Roman" w:cs="Times New Roman"/>
        </w:rPr>
        <w:t>Felelősséget vállal a vezetése alatt álló beosztottjainak szakmai tevékenységéért.</w:t>
      </w:r>
    </w:p>
    <w:p w:rsidR="008B31E6" w:rsidRPr="006B3BF3" w:rsidRDefault="008B31E6" w:rsidP="008B31E6">
      <w:pPr>
        <w:tabs>
          <w:tab w:val="left" w:pos="284"/>
        </w:tabs>
        <w:spacing w:after="0" w:line="240" w:lineRule="auto"/>
        <w:jc w:val="both"/>
        <w:rPr>
          <w:rFonts w:ascii="Times New Roman" w:eastAsia="Times New Roman" w:hAnsi="Times New Roman" w:cs="Times New Roman"/>
          <w:b/>
          <w:color w:val="000000"/>
          <w:lang w:eastAsia="hu-HU"/>
        </w:rPr>
      </w:pPr>
    </w:p>
    <w:p w:rsidR="008B31E6" w:rsidRPr="006B3BF3" w:rsidRDefault="008B31E6" w:rsidP="008B31E6">
      <w:pPr>
        <w:spacing w:after="0" w:line="240" w:lineRule="auto"/>
        <w:jc w:val="both"/>
        <w:rPr>
          <w:rFonts w:ascii="Times New Roman" w:eastAsia="Calibri" w:hAnsi="Times New Roman" w:cs="Times New Roman"/>
        </w:rPr>
      </w:pPr>
      <w:r>
        <w:rPr>
          <w:rFonts w:ascii="Times New Roman" w:eastAsia="Calibri" w:hAnsi="Times New Roman" w:cs="Times New Roman"/>
          <w:b/>
          <w:bCs/>
        </w:rPr>
        <w:t>6</w:t>
      </w:r>
      <w:r w:rsidRPr="006B3BF3">
        <w:rPr>
          <w:rFonts w:ascii="Times New Roman" w:eastAsia="Calibri" w:hAnsi="Times New Roman" w:cs="Times New Roman"/>
          <w:b/>
          <w:bCs/>
        </w:rPr>
        <w:t>.1.2. A specializációkon szerezhető sajátos kompetenciák</w:t>
      </w:r>
    </w:p>
    <w:p w:rsidR="008B31E6" w:rsidRPr="006B3BF3" w:rsidRDefault="008B31E6" w:rsidP="008B31E6">
      <w:pPr>
        <w:tabs>
          <w:tab w:val="left" w:pos="284"/>
        </w:tabs>
        <w:spacing w:after="0" w:line="240" w:lineRule="auto"/>
        <w:jc w:val="both"/>
        <w:rPr>
          <w:rFonts w:ascii="Times New Roman" w:eastAsia="Times New Roman" w:hAnsi="Times New Roman" w:cs="Times New Roman"/>
          <w:b/>
          <w:color w:val="000000"/>
          <w:lang w:eastAsia="hu-HU"/>
        </w:rPr>
      </w:pPr>
      <w:r>
        <w:rPr>
          <w:rFonts w:ascii="Times New Roman" w:eastAsia="Times New Roman" w:hAnsi="Times New Roman" w:cs="Times New Roman"/>
          <w:b/>
          <w:color w:val="000000"/>
          <w:lang w:eastAsia="hu-HU"/>
        </w:rPr>
        <w:t>6</w:t>
      </w:r>
      <w:r w:rsidRPr="006B3BF3">
        <w:rPr>
          <w:rFonts w:ascii="Times New Roman" w:eastAsia="Times New Roman" w:hAnsi="Times New Roman" w:cs="Times New Roman"/>
          <w:b/>
          <w:color w:val="000000"/>
          <w:lang w:eastAsia="hu-HU"/>
        </w:rPr>
        <w:t>.1.2.1. A hadtáp specializáción továbbá a katonai logisztikai vezető</w:t>
      </w:r>
    </w:p>
    <w:p w:rsidR="008B31E6" w:rsidRPr="006B3BF3" w:rsidRDefault="008B31E6" w:rsidP="008B31E6">
      <w:pPr>
        <w:tabs>
          <w:tab w:val="left" w:pos="284"/>
        </w:tabs>
        <w:spacing w:after="0" w:line="240" w:lineRule="auto"/>
        <w:jc w:val="both"/>
        <w:rPr>
          <w:rFonts w:ascii="Times New Roman" w:eastAsia="Times New Roman" w:hAnsi="Times New Roman" w:cs="Times New Roman"/>
          <w:b/>
          <w:color w:val="000000"/>
          <w:lang w:eastAsia="hu-HU"/>
        </w:rPr>
      </w:pPr>
      <w:r w:rsidRPr="006B3BF3">
        <w:rPr>
          <w:rFonts w:ascii="Times New Roman" w:eastAsia="Times New Roman" w:hAnsi="Times New Roman" w:cs="Times New Roman"/>
          <w:b/>
          <w:color w:val="000000"/>
          <w:lang w:eastAsia="hu-HU"/>
        </w:rPr>
        <w:t>a) tudása</w:t>
      </w:r>
    </w:p>
    <w:p w:rsidR="008B31E6" w:rsidRPr="006B3BF3"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6B3BF3">
        <w:rPr>
          <w:rFonts w:ascii="Times New Roman" w:eastAsia="Calibri" w:hAnsi="Times New Roman" w:cs="Times New Roman"/>
        </w:rPr>
        <w:t>Ismeri a hadtáp szakterület szaktechnikai eszközeinek működését.</w:t>
      </w:r>
    </w:p>
    <w:p w:rsidR="008B31E6" w:rsidRPr="006B3BF3"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6B3BF3">
        <w:rPr>
          <w:rFonts w:ascii="Times New Roman" w:eastAsia="Calibri" w:hAnsi="Times New Roman" w:cs="Times New Roman"/>
        </w:rPr>
        <w:t>Ismeri a hadtáp szakanyagok készletezésének, tárolásának, nyilvántartásának és leltározásának, valamint ezen folyamatok ellenőrzésének feladatait és kötelezettségeit.</w:t>
      </w:r>
    </w:p>
    <w:p w:rsidR="008B31E6" w:rsidRPr="006B3BF3"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6B3BF3">
        <w:rPr>
          <w:rFonts w:ascii="Times New Roman" w:eastAsia="Calibri" w:hAnsi="Times New Roman" w:cs="Times New Roman"/>
        </w:rPr>
        <w:t>Ismeri a hadtáp szakanyagok csoportosítását, azok előállítását, nemzetgazdaságból történő beszerzéseinek lehetőségeit, és közbeszerzések lefolytatásának rendjét.</w:t>
      </w:r>
    </w:p>
    <w:p w:rsidR="008B31E6" w:rsidRPr="006B3BF3"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6B3BF3">
        <w:rPr>
          <w:rFonts w:ascii="Times New Roman" w:eastAsia="Calibri" w:hAnsi="Times New Roman" w:cs="Times New Roman"/>
        </w:rPr>
        <w:t xml:space="preserve">Mélyrehatóan ismeri az üzemanyag szakterület szakmai </w:t>
      </w:r>
      <w:r w:rsidRPr="00902B86">
        <w:rPr>
          <w:rFonts w:ascii="Times New Roman" w:eastAsia="Calibri" w:hAnsi="Times New Roman" w:cs="Times New Roman"/>
        </w:rPr>
        <w:t>feladatait,</w:t>
      </w:r>
      <w:r w:rsidRPr="006B3BF3">
        <w:rPr>
          <w:rFonts w:ascii="Times New Roman" w:eastAsia="Calibri" w:hAnsi="Times New Roman" w:cs="Times New Roman"/>
        </w:rPr>
        <w:t xml:space="preserve"> </w:t>
      </w:r>
      <w:r w:rsidRPr="00902B86">
        <w:rPr>
          <w:rFonts w:ascii="Times New Roman" w:eastAsia="Calibri" w:hAnsi="Times New Roman" w:cs="Times New Roman"/>
        </w:rPr>
        <w:t>a Magyar Honvédség</w:t>
      </w:r>
      <w:r w:rsidRPr="006B3BF3" w:rsidDel="00F30C4C">
        <w:rPr>
          <w:rFonts w:ascii="Times New Roman" w:eastAsia="Calibri" w:hAnsi="Times New Roman" w:cs="Times New Roman"/>
        </w:rPr>
        <w:t xml:space="preserve"> </w:t>
      </w:r>
      <w:r w:rsidRPr="006B3BF3">
        <w:rPr>
          <w:rFonts w:ascii="Times New Roman" w:eastAsia="Calibri" w:hAnsi="Times New Roman" w:cs="Times New Roman"/>
        </w:rPr>
        <w:t>üzemanyag ellátási rendszerének felépítését.</w:t>
      </w:r>
    </w:p>
    <w:p w:rsidR="008B31E6" w:rsidRPr="006B3BF3"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6B3BF3">
        <w:rPr>
          <w:rFonts w:ascii="Times New Roman" w:eastAsia="Calibri" w:hAnsi="Times New Roman" w:cs="Times New Roman"/>
        </w:rPr>
        <w:t xml:space="preserve">Mélyrehatóan ismeri az élelmezési szakterület szakmai </w:t>
      </w:r>
      <w:r w:rsidRPr="00902B86">
        <w:rPr>
          <w:rFonts w:ascii="Times New Roman" w:eastAsia="Calibri" w:hAnsi="Times New Roman" w:cs="Times New Roman"/>
        </w:rPr>
        <w:t>feladatait</w:t>
      </w:r>
      <w:r w:rsidRPr="006B3BF3">
        <w:rPr>
          <w:rFonts w:ascii="Times New Roman" w:eastAsia="Calibri" w:hAnsi="Times New Roman" w:cs="Times New Roman"/>
        </w:rPr>
        <w:t xml:space="preserve">, </w:t>
      </w:r>
      <w:r w:rsidRPr="00902B86">
        <w:rPr>
          <w:rFonts w:ascii="Times New Roman" w:eastAsia="Calibri" w:hAnsi="Times New Roman" w:cs="Times New Roman"/>
        </w:rPr>
        <w:t>a Magyar Honvédség</w:t>
      </w:r>
      <w:r w:rsidRPr="006B3BF3" w:rsidDel="00F30C4C">
        <w:rPr>
          <w:rFonts w:ascii="Times New Roman" w:eastAsia="Calibri" w:hAnsi="Times New Roman" w:cs="Times New Roman"/>
        </w:rPr>
        <w:t xml:space="preserve"> </w:t>
      </w:r>
      <w:r w:rsidRPr="006B3BF3">
        <w:rPr>
          <w:rFonts w:ascii="Times New Roman" w:eastAsia="Calibri" w:hAnsi="Times New Roman" w:cs="Times New Roman"/>
        </w:rPr>
        <w:t>élelemzési ellátási rendszerének felépítését.</w:t>
      </w:r>
    </w:p>
    <w:p w:rsidR="008B31E6" w:rsidRPr="006B3BF3"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6B3BF3">
        <w:rPr>
          <w:rFonts w:ascii="Times New Roman" w:eastAsia="Calibri" w:hAnsi="Times New Roman" w:cs="Times New Roman"/>
        </w:rPr>
        <w:t xml:space="preserve">Mélyrehatóan ismeri a ruházati szakterület szakmai </w:t>
      </w:r>
      <w:r w:rsidRPr="00902B86">
        <w:rPr>
          <w:rFonts w:ascii="Times New Roman" w:eastAsia="Calibri" w:hAnsi="Times New Roman" w:cs="Times New Roman"/>
        </w:rPr>
        <w:t>feladatai</w:t>
      </w:r>
      <w:r w:rsidRPr="006B3BF3">
        <w:rPr>
          <w:rFonts w:ascii="Times New Roman" w:eastAsia="Calibri" w:hAnsi="Times New Roman" w:cs="Times New Roman"/>
        </w:rPr>
        <w:t xml:space="preserve">t, </w:t>
      </w:r>
      <w:r w:rsidRPr="00902B86">
        <w:rPr>
          <w:rFonts w:ascii="Times New Roman" w:eastAsia="Calibri" w:hAnsi="Times New Roman" w:cs="Times New Roman"/>
        </w:rPr>
        <w:t>a Magyar Honvédség</w:t>
      </w:r>
      <w:r w:rsidRPr="006B3BF3" w:rsidDel="00F30C4C">
        <w:rPr>
          <w:rFonts w:ascii="Times New Roman" w:eastAsia="Calibri" w:hAnsi="Times New Roman" w:cs="Times New Roman"/>
        </w:rPr>
        <w:t xml:space="preserve"> </w:t>
      </w:r>
      <w:r w:rsidRPr="006B3BF3">
        <w:rPr>
          <w:rFonts w:ascii="Times New Roman" w:eastAsia="Calibri" w:hAnsi="Times New Roman" w:cs="Times New Roman"/>
        </w:rPr>
        <w:t>ruházati ellátási rendszerének felépítését.</w:t>
      </w:r>
    </w:p>
    <w:p w:rsidR="008B31E6" w:rsidRPr="006B3BF3"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6B3BF3">
        <w:rPr>
          <w:rFonts w:ascii="Times New Roman" w:eastAsia="Calibri" w:hAnsi="Times New Roman" w:cs="Times New Roman"/>
        </w:rPr>
        <w:lastRenderedPageBreak/>
        <w:t>Ismeri az elhelyezési szakterület alapvető szakmai és ellátási feladatait.</w:t>
      </w:r>
    </w:p>
    <w:p w:rsidR="008B31E6" w:rsidRPr="006B3BF3"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6B3BF3">
        <w:rPr>
          <w:rFonts w:ascii="Times New Roman" w:eastAsia="Calibri" w:hAnsi="Times New Roman" w:cs="Times New Roman"/>
        </w:rPr>
        <w:t>Ismeri a térkép- és humánanyag szakterület alapvető szakmai és ellátási feladatait.</w:t>
      </w:r>
    </w:p>
    <w:p w:rsidR="008B31E6" w:rsidRPr="006B3BF3" w:rsidRDefault="008B31E6" w:rsidP="008B31E6">
      <w:pPr>
        <w:tabs>
          <w:tab w:val="left" w:pos="284"/>
        </w:tabs>
        <w:spacing w:after="0" w:line="240" w:lineRule="auto"/>
        <w:jc w:val="both"/>
        <w:rPr>
          <w:rFonts w:ascii="Times New Roman" w:eastAsia="Calibri" w:hAnsi="Times New Roman" w:cs="Times New Roman"/>
        </w:rPr>
      </w:pPr>
    </w:p>
    <w:p w:rsidR="008B31E6" w:rsidRPr="006B3BF3" w:rsidRDefault="008B31E6" w:rsidP="008B31E6">
      <w:pPr>
        <w:tabs>
          <w:tab w:val="left" w:pos="284"/>
        </w:tabs>
        <w:spacing w:after="0" w:line="240" w:lineRule="auto"/>
        <w:jc w:val="both"/>
        <w:rPr>
          <w:rFonts w:ascii="Times New Roman" w:eastAsia="Times New Roman" w:hAnsi="Times New Roman" w:cs="Times New Roman"/>
          <w:b/>
          <w:color w:val="000000"/>
          <w:lang w:eastAsia="hu-HU"/>
        </w:rPr>
      </w:pPr>
      <w:r w:rsidRPr="006B3BF3">
        <w:rPr>
          <w:rFonts w:ascii="Times New Roman" w:eastAsia="Times New Roman" w:hAnsi="Times New Roman" w:cs="Times New Roman"/>
          <w:b/>
          <w:color w:val="000000"/>
          <w:lang w:eastAsia="hu-HU"/>
        </w:rPr>
        <w:t>b) képességei</w:t>
      </w:r>
    </w:p>
    <w:p w:rsidR="008B31E6" w:rsidRPr="006B3BF3"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6B3BF3">
        <w:rPr>
          <w:rFonts w:ascii="Times New Roman" w:eastAsia="Calibri" w:hAnsi="Times New Roman" w:cs="Times New Roman"/>
        </w:rPr>
        <w:t>Képes alegység szintű ellátási feladatok végrehajtására, vezetésére békében, különleges jogrendi időszakban, többnemzeti és nemzetközi környezetben végrehajtásra kerülő béketámogató műveletekben.</w:t>
      </w:r>
    </w:p>
    <w:p w:rsidR="008B31E6" w:rsidRPr="006B3BF3"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6B3BF3">
        <w:rPr>
          <w:rFonts w:ascii="Times New Roman" w:eastAsia="Calibri" w:hAnsi="Times New Roman" w:cs="Times New Roman"/>
        </w:rPr>
        <w:t>Képes beosztottjainak a hadtáp szaktechnikai eszközök használatára történő kiképzését megszervezni és végrehajtani.</w:t>
      </w:r>
    </w:p>
    <w:p w:rsidR="008B31E6" w:rsidRPr="006B3BF3"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6B3BF3">
        <w:rPr>
          <w:rFonts w:ascii="Times New Roman" w:eastAsia="Calibri" w:hAnsi="Times New Roman" w:cs="Times New Roman"/>
        </w:rPr>
        <w:t>Képes egység szintű közbeszerzéseket lefolytatni.</w:t>
      </w:r>
    </w:p>
    <w:p w:rsidR="008B31E6" w:rsidRPr="006B3BF3"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6B3BF3">
        <w:rPr>
          <w:rFonts w:ascii="Times New Roman" w:eastAsia="Calibri" w:hAnsi="Times New Roman" w:cs="Times New Roman"/>
        </w:rPr>
        <w:t xml:space="preserve">Képes a hadtáp szakterület informatikai rendszereinek alkalmazó szintű használatára. </w:t>
      </w:r>
    </w:p>
    <w:p w:rsidR="008B31E6" w:rsidRPr="006B3BF3"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6B3BF3">
        <w:rPr>
          <w:rFonts w:ascii="Times New Roman" w:eastAsia="Calibri" w:hAnsi="Times New Roman" w:cs="Times New Roman"/>
        </w:rPr>
        <w:t>Képes gazdálkodási feladatok alapszintű tervezésére, szervezésére, irányítására és az ebből adódó tevékenységek gazdasági elemzésinek végrehajtására.</w:t>
      </w:r>
    </w:p>
    <w:p w:rsidR="008B31E6" w:rsidRPr="006B3BF3" w:rsidRDefault="008B31E6" w:rsidP="008B31E6">
      <w:pPr>
        <w:tabs>
          <w:tab w:val="left" w:pos="284"/>
        </w:tabs>
        <w:spacing w:after="0" w:line="240" w:lineRule="auto"/>
        <w:jc w:val="both"/>
        <w:rPr>
          <w:rFonts w:ascii="Times New Roman" w:eastAsia="Calibri" w:hAnsi="Times New Roman" w:cs="Times New Roman"/>
        </w:rPr>
      </w:pPr>
    </w:p>
    <w:p w:rsidR="008B31E6" w:rsidRPr="006B3BF3" w:rsidRDefault="008B31E6" w:rsidP="008B31E6">
      <w:pPr>
        <w:tabs>
          <w:tab w:val="left" w:pos="284"/>
        </w:tabs>
        <w:spacing w:after="0" w:line="240" w:lineRule="auto"/>
        <w:jc w:val="both"/>
        <w:rPr>
          <w:rFonts w:ascii="Times New Roman" w:eastAsia="Times New Roman" w:hAnsi="Times New Roman" w:cs="Times New Roman"/>
          <w:b/>
          <w:color w:val="000000"/>
          <w:lang w:eastAsia="hu-HU"/>
        </w:rPr>
      </w:pPr>
      <w:r w:rsidRPr="006B3BF3">
        <w:rPr>
          <w:rFonts w:ascii="Times New Roman" w:eastAsia="Times New Roman" w:hAnsi="Times New Roman" w:cs="Times New Roman"/>
          <w:b/>
          <w:color w:val="000000"/>
          <w:lang w:eastAsia="hu-HU"/>
        </w:rPr>
        <w:t>c) attitűdje</w:t>
      </w:r>
    </w:p>
    <w:p w:rsidR="008B31E6" w:rsidRPr="006B3BF3"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6B3BF3">
        <w:rPr>
          <w:rFonts w:ascii="Times New Roman" w:eastAsia="Calibri" w:hAnsi="Times New Roman" w:cs="Times New Roman"/>
        </w:rPr>
        <w:t>A hadtáp szakmai feladatok ellátása során a rendszerszemlélet és jó szervezőkészség jellemzi.</w:t>
      </w:r>
    </w:p>
    <w:p w:rsidR="008B31E6" w:rsidRPr="006B3BF3"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6B3BF3">
        <w:rPr>
          <w:rFonts w:ascii="Times New Roman" w:eastAsia="Calibri" w:hAnsi="Times New Roman" w:cs="Times New Roman"/>
        </w:rPr>
        <w:t xml:space="preserve">Nyitott </w:t>
      </w:r>
      <w:r w:rsidRPr="00902B86">
        <w:rPr>
          <w:rFonts w:ascii="Times New Roman" w:eastAsia="Calibri" w:hAnsi="Times New Roman" w:cs="Times New Roman"/>
        </w:rPr>
        <w:t>a</w:t>
      </w:r>
      <w:r w:rsidRPr="006B3BF3">
        <w:rPr>
          <w:rFonts w:ascii="Times New Roman" w:eastAsia="Calibri" w:hAnsi="Times New Roman" w:cs="Times New Roman"/>
        </w:rPr>
        <w:t xml:space="preserve"> hadtáp szakterület új tudományos eredményei iránt, képes a hadtáp szakterületen bekövetkező változásokhoz és fejlődéshez jól alkalmazkodni.</w:t>
      </w:r>
    </w:p>
    <w:p w:rsidR="008B31E6" w:rsidRPr="006B3BF3" w:rsidRDefault="008B31E6" w:rsidP="008B31E6">
      <w:pPr>
        <w:tabs>
          <w:tab w:val="left" w:pos="284"/>
        </w:tabs>
        <w:spacing w:after="0" w:line="240" w:lineRule="auto"/>
        <w:jc w:val="both"/>
        <w:rPr>
          <w:rFonts w:ascii="Times New Roman" w:eastAsia="Calibri" w:hAnsi="Times New Roman" w:cs="Times New Roman"/>
        </w:rPr>
      </w:pPr>
    </w:p>
    <w:p w:rsidR="008B31E6" w:rsidRPr="006B3BF3" w:rsidRDefault="008B31E6" w:rsidP="008B31E6">
      <w:pPr>
        <w:tabs>
          <w:tab w:val="left" w:pos="284"/>
        </w:tabs>
        <w:spacing w:after="0" w:line="240" w:lineRule="auto"/>
        <w:jc w:val="both"/>
        <w:rPr>
          <w:rFonts w:ascii="Times New Roman" w:eastAsia="Times New Roman" w:hAnsi="Times New Roman" w:cs="Times New Roman"/>
          <w:b/>
          <w:color w:val="000000"/>
          <w:lang w:eastAsia="hu-HU"/>
        </w:rPr>
      </w:pPr>
      <w:r w:rsidRPr="006B3BF3">
        <w:rPr>
          <w:rFonts w:ascii="Times New Roman" w:eastAsia="Times New Roman" w:hAnsi="Times New Roman" w:cs="Times New Roman"/>
          <w:b/>
          <w:color w:val="000000"/>
          <w:lang w:eastAsia="hu-HU"/>
        </w:rPr>
        <w:t>d) autonómiája és felelőssége</w:t>
      </w:r>
    </w:p>
    <w:p w:rsidR="008B31E6" w:rsidRPr="006B3BF3"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6B3BF3">
        <w:rPr>
          <w:rFonts w:ascii="Times New Roman" w:eastAsia="Calibri" w:hAnsi="Times New Roman" w:cs="Times New Roman"/>
        </w:rPr>
        <w:t>Az ellátási folyamatok végrehajtása során önállóan döntéseket hoz, azokat felelősséggel, a jogszabályi keretek figyelembevételével végrehajtja.</w:t>
      </w:r>
    </w:p>
    <w:p w:rsidR="008B31E6" w:rsidRPr="006B3BF3"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6B3BF3">
        <w:rPr>
          <w:rFonts w:ascii="Times New Roman" w:eastAsia="Calibri" w:hAnsi="Times New Roman" w:cs="Times New Roman"/>
        </w:rPr>
        <w:t>Felelősséget vállal szakbeosztottjaiért, valamint a rábízott hadtáp szaktechnikai eszközökért és anyagokért.</w:t>
      </w:r>
    </w:p>
    <w:p w:rsidR="008B31E6" w:rsidRPr="006B3BF3"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6B3BF3">
        <w:rPr>
          <w:rFonts w:ascii="Times New Roman" w:eastAsia="Calibri" w:hAnsi="Times New Roman" w:cs="Times New Roman"/>
        </w:rPr>
        <w:t>Felelősséget vállal számvetéseinek pontosságáért.</w:t>
      </w:r>
    </w:p>
    <w:p w:rsidR="008B31E6" w:rsidRPr="006B3BF3" w:rsidRDefault="008B31E6" w:rsidP="008B31E6">
      <w:pPr>
        <w:tabs>
          <w:tab w:val="left" w:pos="284"/>
        </w:tabs>
        <w:spacing w:after="0" w:line="240" w:lineRule="auto"/>
        <w:jc w:val="both"/>
        <w:rPr>
          <w:rFonts w:ascii="Times New Roman" w:eastAsia="Calibri" w:hAnsi="Times New Roman" w:cs="Times New Roman"/>
        </w:rPr>
      </w:pPr>
    </w:p>
    <w:p w:rsidR="008B31E6" w:rsidRPr="006B3BF3" w:rsidRDefault="008B31E6" w:rsidP="008B31E6">
      <w:pPr>
        <w:tabs>
          <w:tab w:val="left" w:pos="284"/>
        </w:tabs>
        <w:spacing w:after="0" w:line="240" w:lineRule="auto"/>
        <w:jc w:val="both"/>
        <w:rPr>
          <w:rFonts w:ascii="Times New Roman" w:eastAsia="Times New Roman" w:hAnsi="Times New Roman" w:cs="Times New Roman"/>
          <w:b/>
          <w:color w:val="000000"/>
          <w:lang w:eastAsia="hu-HU"/>
        </w:rPr>
      </w:pPr>
      <w:r>
        <w:rPr>
          <w:rFonts w:ascii="Times New Roman" w:eastAsia="Times New Roman" w:hAnsi="Times New Roman" w:cs="Times New Roman"/>
          <w:b/>
          <w:color w:val="000000"/>
          <w:lang w:eastAsia="hu-HU"/>
        </w:rPr>
        <w:t>6</w:t>
      </w:r>
      <w:r w:rsidRPr="006B3BF3">
        <w:rPr>
          <w:rFonts w:ascii="Times New Roman" w:eastAsia="Times New Roman" w:hAnsi="Times New Roman" w:cs="Times New Roman"/>
          <w:b/>
          <w:color w:val="000000"/>
          <w:lang w:eastAsia="hu-HU"/>
        </w:rPr>
        <w:t>.1.2.2. A katonai pénzügyi specializáción továbbá a katonai logisztikai vezető</w:t>
      </w:r>
    </w:p>
    <w:p w:rsidR="008B31E6" w:rsidRPr="006B3BF3" w:rsidRDefault="008B31E6" w:rsidP="008B31E6">
      <w:pPr>
        <w:tabs>
          <w:tab w:val="left" w:pos="284"/>
        </w:tabs>
        <w:spacing w:after="0" w:line="240" w:lineRule="auto"/>
        <w:jc w:val="both"/>
        <w:rPr>
          <w:rFonts w:ascii="Times New Roman" w:eastAsia="Times New Roman" w:hAnsi="Times New Roman" w:cs="Times New Roman"/>
          <w:b/>
          <w:color w:val="000000"/>
          <w:lang w:eastAsia="hu-HU"/>
        </w:rPr>
      </w:pPr>
      <w:r w:rsidRPr="006B3BF3">
        <w:rPr>
          <w:rFonts w:ascii="Times New Roman" w:eastAsia="Times New Roman" w:hAnsi="Times New Roman" w:cs="Times New Roman"/>
          <w:b/>
          <w:color w:val="000000"/>
          <w:lang w:eastAsia="hu-HU"/>
        </w:rPr>
        <w:t>a) tudása</w:t>
      </w:r>
    </w:p>
    <w:p w:rsidR="008B31E6" w:rsidRPr="006B3BF3"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6B3BF3">
        <w:rPr>
          <w:rFonts w:ascii="Times New Roman" w:eastAsia="Calibri" w:hAnsi="Times New Roman" w:cs="Times New Roman"/>
        </w:rPr>
        <w:t xml:space="preserve">Ismeri a Honvédelmi Minisztérium és </w:t>
      </w:r>
      <w:r w:rsidRPr="00902B86">
        <w:rPr>
          <w:rFonts w:ascii="Times New Roman" w:eastAsia="Calibri" w:hAnsi="Times New Roman" w:cs="Times New Roman"/>
        </w:rPr>
        <w:t>a Magyar Honvédség</w:t>
      </w:r>
      <w:r w:rsidRPr="006B3BF3" w:rsidDel="00F30C4C">
        <w:rPr>
          <w:rFonts w:ascii="Times New Roman" w:eastAsia="Calibri" w:hAnsi="Times New Roman" w:cs="Times New Roman"/>
        </w:rPr>
        <w:t xml:space="preserve"> </w:t>
      </w:r>
      <w:r w:rsidRPr="006B3BF3">
        <w:rPr>
          <w:rFonts w:ascii="Times New Roman" w:eastAsia="Calibri" w:hAnsi="Times New Roman" w:cs="Times New Roman"/>
        </w:rPr>
        <w:t>pénzügyi szakterületének működését, felépítését.</w:t>
      </w:r>
    </w:p>
    <w:p w:rsidR="008B31E6" w:rsidRPr="006B3BF3"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6B3BF3">
        <w:rPr>
          <w:rFonts w:ascii="Times New Roman" w:eastAsia="Calibri" w:hAnsi="Times New Roman" w:cs="Times New Roman"/>
        </w:rPr>
        <w:t>Ismeri a szakfeladatához kapcsolódó jogszabályokat, közjogi szervezetszabályozó eszközöket.</w:t>
      </w:r>
    </w:p>
    <w:p w:rsidR="008B31E6" w:rsidRPr="006B3BF3"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6B3BF3">
        <w:rPr>
          <w:rFonts w:ascii="Times New Roman" w:eastAsia="Calibri" w:hAnsi="Times New Roman" w:cs="Times New Roman"/>
        </w:rPr>
        <w:t xml:space="preserve">Ismeri </w:t>
      </w:r>
      <w:r w:rsidRPr="00902B86">
        <w:rPr>
          <w:rFonts w:ascii="Times New Roman" w:eastAsia="Calibri" w:hAnsi="Times New Roman" w:cs="Times New Roman"/>
        </w:rPr>
        <w:t>a Honvédelmi Minisztérium</w:t>
      </w:r>
      <w:r w:rsidRPr="006B3BF3">
        <w:rPr>
          <w:rFonts w:ascii="Times New Roman" w:eastAsia="Calibri" w:hAnsi="Times New Roman" w:cs="Times New Roman"/>
        </w:rPr>
        <w:t xml:space="preserve"> számviteli rendszerét, gazdálkodásának szabályait.</w:t>
      </w:r>
    </w:p>
    <w:p w:rsidR="008B31E6" w:rsidRPr="006B3BF3"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6B3BF3">
        <w:rPr>
          <w:rFonts w:ascii="Times New Roman" w:eastAsia="Calibri" w:hAnsi="Times New Roman" w:cs="Times New Roman"/>
        </w:rPr>
        <w:t>Ismeri a költségvetési szervek zárszámadására, beszámolására vonatkozó szabályokat.</w:t>
      </w:r>
    </w:p>
    <w:p w:rsidR="008B31E6" w:rsidRPr="006B3BF3"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6B3BF3">
        <w:rPr>
          <w:rFonts w:ascii="Times New Roman" w:eastAsia="Calibri" w:hAnsi="Times New Roman" w:cs="Times New Roman"/>
        </w:rPr>
        <w:t xml:space="preserve">Tisztában van </w:t>
      </w:r>
      <w:r w:rsidRPr="00902B86">
        <w:rPr>
          <w:rFonts w:ascii="Times New Roman" w:eastAsia="Calibri" w:hAnsi="Times New Roman" w:cs="Times New Roman"/>
        </w:rPr>
        <w:t>a Magyar Honvédség</w:t>
      </w:r>
      <w:r w:rsidRPr="006B3BF3" w:rsidDel="00F30C4C">
        <w:rPr>
          <w:rFonts w:ascii="Times New Roman" w:eastAsia="Calibri" w:hAnsi="Times New Roman" w:cs="Times New Roman"/>
        </w:rPr>
        <w:t xml:space="preserve"> </w:t>
      </w:r>
      <w:r w:rsidRPr="006B3BF3">
        <w:rPr>
          <w:rFonts w:ascii="Times New Roman" w:eastAsia="Calibri" w:hAnsi="Times New Roman" w:cs="Times New Roman"/>
        </w:rPr>
        <w:t>készenléte fokozása és fenntartása rendszerével, továbbá az ezzel kapcsolatos pénzügyi és számviteli feladatokkal.</w:t>
      </w:r>
    </w:p>
    <w:p w:rsidR="008B31E6" w:rsidRPr="006B3BF3"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6B3BF3">
        <w:rPr>
          <w:rFonts w:ascii="Times New Roman" w:eastAsia="Calibri" w:hAnsi="Times New Roman" w:cs="Times New Roman"/>
        </w:rPr>
        <w:t xml:space="preserve">Átlátja </w:t>
      </w:r>
      <w:r w:rsidRPr="00902B86">
        <w:rPr>
          <w:rFonts w:ascii="Times New Roman" w:eastAsia="Calibri" w:hAnsi="Times New Roman" w:cs="Times New Roman"/>
        </w:rPr>
        <w:t>a Honvédelmi Minisztérium</w:t>
      </w:r>
      <w:r w:rsidRPr="006B3BF3">
        <w:rPr>
          <w:rFonts w:ascii="Times New Roman" w:eastAsia="Calibri" w:hAnsi="Times New Roman" w:cs="Times New Roman"/>
        </w:rPr>
        <w:t xml:space="preserve"> pénzforgalmával kapcsolatos szabályokat, a kötelezettségvállalás, ellenjegyzés, érvényesítés, utalványozás rendszerét.</w:t>
      </w:r>
    </w:p>
    <w:p w:rsidR="008B31E6" w:rsidRPr="006B3BF3"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6B3BF3">
        <w:rPr>
          <w:rFonts w:ascii="Times New Roman" w:eastAsia="Calibri" w:hAnsi="Times New Roman" w:cs="Times New Roman"/>
        </w:rPr>
        <w:t xml:space="preserve">Ismeri </w:t>
      </w:r>
      <w:r w:rsidRPr="00902B86">
        <w:rPr>
          <w:rFonts w:ascii="Times New Roman" w:eastAsia="Calibri" w:hAnsi="Times New Roman" w:cs="Times New Roman"/>
        </w:rPr>
        <w:t>a Honvédelmi Minisztérium</w:t>
      </w:r>
      <w:r w:rsidRPr="006B3BF3">
        <w:rPr>
          <w:rFonts w:ascii="Times New Roman" w:eastAsia="Calibri" w:hAnsi="Times New Roman" w:cs="Times New Roman"/>
        </w:rPr>
        <w:t xml:space="preserve"> illetményrendszerét, a személyi állomány pénzügyi juttatásaival kapcsolatos feladatokat, a kormánytisztviselők, közalkalmazottak és a munkavállalók speciális foglalkoztatási szabályait és illetménygazdálkodás sajátosságait.</w:t>
      </w:r>
    </w:p>
    <w:p w:rsidR="008B31E6" w:rsidRPr="006B3BF3"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6B3BF3">
        <w:rPr>
          <w:rFonts w:ascii="Times New Roman" w:eastAsia="Calibri" w:hAnsi="Times New Roman" w:cs="Times New Roman"/>
        </w:rPr>
        <w:t>Tisztában van a nemzetközi feladatok pénzügyi biztosításával kapcsolatos feladatokkal.</w:t>
      </w:r>
    </w:p>
    <w:p w:rsidR="008B31E6" w:rsidRPr="006B3BF3"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6B3BF3">
        <w:rPr>
          <w:rFonts w:ascii="Times New Roman" w:eastAsia="Calibri" w:hAnsi="Times New Roman" w:cs="Times New Roman"/>
        </w:rPr>
        <w:t xml:space="preserve">Ismeri </w:t>
      </w:r>
      <w:r w:rsidRPr="00902B86">
        <w:rPr>
          <w:rFonts w:ascii="Times New Roman" w:eastAsia="Calibri" w:hAnsi="Times New Roman" w:cs="Times New Roman"/>
        </w:rPr>
        <w:t>a Honvédelmi Minisztérium</w:t>
      </w:r>
      <w:r w:rsidRPr="006B3BF3">
        <w:rPr>
          <w:rFonts w:ascii="Times New Roman" w:eastAsia="Calibri" w:hAnsi="Times New Roman" w:cs="Times New Roman"/>
        </w:rPr>
        <w:t xml:space="preserve"> fejezet pénzügyi-számviteli szakellenőrzésének szervezetét, a szakellenőrzés feladatait és módszereit.</w:t>
      </w:r>
    </w:p>
    <w:p w:rsidR="008B31E6" w:rsidRPr="006B3BF3"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6B3BF3">
        <w:rPr>
          <w:rFonts w:ascii="Times New Roman" w:eastAsia="Calibri" w:hAnsi="Times New Roman" w:cs="Times New Roman"/>
        </w:rPr>
        <w:t>Ismeri a pénzügyi és számviteli nyilvántartó rendszer működését.</w:t>
      </w:r>
    </w:p>
    <w:p w:rsidR="008B31E6" w:rsidRPr="006B3BF3" w:rsidRDefault="008B31E6" w:rsidP="008B31E6">
      <w:pPr>
        <w:tabs>
          <w:tab w:val="left" w:pos="284"/>
        </w:tabs>
        <w:spacing w:after="0" w:line="240" w:lineRule="auto"/>
        <w:jc w:val="both"/>
        <w:rPr>
          <w:rFonts w:ascii="Times New Roman" w:eastAsia="Calibri" w:hAnsi="Times New Roman" w:cs="Times New Roman"/>
        </w:rPr>
      </w:pPr>
    </w:p>
    <w:p w:rsidR="008B31E6" w:rsidRPr="006B3BF3" w:rsidRDefault="008B31E6" w:rsidP="008B31E6">
      <w:pPr>
        <w:tabs>
          <w:tab w:val="left" w:pos="284"/>
        </w:tabs>
        <w:spacing w:after="0" w:line="240" w:lineRule="auto"/>
        <w:jc w:val="both"/>
        <w:rPr>
          <w:rFonts w:ascii="Times New Roman" w:eastAsia="Times New Roman" w:hAnsi="Times New Roman" w:cs="Times New Roman"/>
          <w:b/>
          <w:color w:val="000000"/>
          <w:lang w:eastAsia="hu-HU"/>
        </w:rPr>
      </w:pPr>
      <w:r w:rsidRPr="006B3BF3">
        <w:rPr>
          <w:rFonts w:ascii="Times New Roman" w:eastAsia="Times New Roman" w:hAnsi="Times New Roman" w:cs="Times New Roman"/>
          <w:b/>
          <w:color w:val="000000"/>
          <w:lang w:eastAsia="hu-HU"/>
        </w:rPr>
        <w:t>b) képességei</w:t>
      </w:r>
    </w:p>
    <w:p w:rsidR="008B31E6" w:rsidRPr="006B3BF3"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6B3BF3">
        <w:rPr>
          <w:rFonts w:ascii="Times New Roman" w:eastAsia="Calibri" w:hAnsi="Times New Roman" w:cs="Times New Roman"/>
        </w:rPr>
        <w:t>Képes valós és megbízható képet alkotni a gazdálkodó szervezetek vagyonáról, pénzügyi helyzetéről, gazdálkodásának szabályszerűségéről.</w:t>
      </w:r>
    </w:p>
    <w:p w:rsidR="008B31E6" w:rsidRPr="006B3BF3"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6B3BF3">
        <w:rPr>
          <w:rFonts w:ascii="Times New Roman" w:eastAsia="Calibri" w:hAnsi="Times New Roman" w:cs="Times New Roman"/>
        </w:rPr>
        <w:t>Más szakterületekkel együttműködve részt vesz a gazdálkodó szervezetek költségvetésének tervezésében, a gazdálkodás végrehajtásával és a beszámolással kapcsolatos feladatokban.</w:t>
      </w:r>
    </w:p>
    <w:p w:rsidR="008B31E6" w:rsidRPr="006B3BF3"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6B3BF3">
        <w:rPr>
          <w:rFonts w:ascii="Times New Roman" w:eastAsia="Calibri" w:hAnsi="Times New Roman" w:cs="Times New Roman"/>
        </w:rPr>
        <w:t>Képes megtervezni egy nemzetközi gyakorlat, békeművelet költségvetését.</w:t>
      </w:r>
    </w:p>
    <w:p w:rsidR="008B31E6" w:rsidRPr="006B3BF3"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6B3BF3">
        <w:rPr>
          <w:rFonts w:ascii="Times New Roman" w:eastAsia="Calibri" w:hAnsi="Times New Roman" w:cs="Times New Roman"/>
        </w:rPr>
        <w:t>Képes a gazdálkodás támogató és pénzügyi ellátó referatúra működésének koordinálására, a pénzügyi iratok szabályszerű kezelésére, a pénzügyi és számviteli beosztások szabályszerű átadás-átvételére.</w:t>
      </w:r>
    </w:p>
    <w:p w:rsidR="008B31E6" w:rsidRPr="006B3BF3"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6B3BF3">
        <w:rPr>
          <w:rFonts w:ascii="Times New Roman" w:eastAsia="Calibri" w:hAnsi="Times New Roman" w:cs="Times New Roman"/>
        </w:rPr>
        <w:lastRenderedPageBreak/>
        <w:t>Képes a gazdálkodás támogató és pénzügyi ellátó referatúra ellenőrzési feladatainak végrehajtására.</w:t>
      </w:r>
    </w:p>
    <w:p w:rsidR="008B31E6" w:rsidRPr="006B3BF3"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6B3BF3">
        <w:rPr>
          <w:rFonts w:ascii="Times New Roman" w:eastAsia="Calibri" w:hAnsi="Times New Roman" w:cs="Times New Roman"/>
        </w:rPr>
        <w:t>Képes a gazdálkodás támogató és pénzügyi ellátó referatúra bérszámfejtéssel kapcsolatos feladatainak elvégzésére.</w:t>
      </w:r>
    </w:p>
    <w:p w:rsidR="008B31E6" w:rsidRPr="006B3BF3"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6B3BF3">
        <w:rPr>
          <w:rFonts w:ascii="Times New Roman" w:eastAsia="Calibri" w:hAnsi="Times New Roman" w:cs="Times New Roman"/>
        </w:rPr>
        <w:t>Képes a pénzügyi és számviteli nyilvántartó rendszer szakszerű kezelésére.</w:t>
      </w:r>
    </w:p>
    <w:p w:rsidR="008B31E6" w:rsidRPr="006B3BF3" w:rsidRDefault="008B31E6" w:rsidP="008B31E6">
      <w:pPr>
        <w:widowControl w:val="0"/>
        <w:autoSpaceDE w:val="0"/>
        <w:autoSpaceDN w:val="0"/>
        <w:adjustRightInd w:val="0"/>
        <w:spacing w:after="0" w:line="240" w:lineRule="auto"/>
        <w:ind w:left="426"/>
        <w:jc w:val="both"/>
        <w:rPr>
          <w:rFonts w:ascii="Times New Roman" w:eastAsia="Calibri" w:hAnsi="Times New Roman" w:cs="Times New Roman"/>
        </w:rPr>
      </w:pPr>
    </w:p>
    <w:p w:rsidR="008B31E6" w:rsidRPr="006B3BF3" w:rsidRDefault="008B31E6" w:rsidP="008B31E6">
      <w:pPr>
        <w:tabs>
          <w:tab w:val="left" w:pos="284"/>
        </w:tabs>
        <w:spacing w:after="0" w:line="240" w:lineRule="auto"/>
        <w:jc w:val="both"/>
        <w:rPr>
          <w:rFonts w:ascii="Times New Roman" w:eastAsia="Times New Roman" w:hAnsi="Times New Roman" w:cs="Times New Roman"/>
          <w:b/>
          <w:color w:val="000000"/>
          <w:lang w:eastAsia="hu-HU"/>
        </w:rPr>
      </w:pPr>
      <w:r w:rsidRPr="006B3BF3">
        <w:rPr>
          <w:rFonts w:ascii="Times New Roman" w:eastAsia="Times New Roman" w:hAnsi="Times New Roman" w:cs="Times New Roman"/>
          <w:b/>
          <w:color w:val="000000"/>
          <w:lang w:eastAsia="hu-HU"/>
        </w:rPr>
        <w:t>c) attitűdje</w:t>
      </w:r>
    </w:p>
    <w:p w:rsidR="008B31E6" w:rsidRPr="006B3BF3"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6B3BF3">
        <w:rPr>
          <w:rFonts w:ascii="Times New Roman" w:eastAsia="Calibri" w:hAnsi="Times New Roman" w:cs="Times New Roman"/>
        </w:rPr>
        <w:t>Különös figyelmet fordít a pénzügyi területnél elvárt jogszerű, szabálykövető, pontos munkavégzésre.</w:t>
      </w:r>
    </w:p>
    <w:p w:rsidR="008B31E6" w:rsidRPr="006B3BF3"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6B3BF3">
        <w:rPr>
          <w:rFonts w:ascii="Times New Roman" w:eastAsia="Calibri" w:hAnsi="Times New Roman" w:cs="Times New Roman"/>
        </w:rPr>
        <w:t>Alkalmazkodik a szakterületén bekövetkező változásokhoz.</w:t>
      </w:r>
    </w:p>
    <w:p w:rsidR="008B31E6" w:rsidRPr="006B3BF3"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6B3BF3">
        <w:rPr>
          <w:rFonts w:ascii="Times New Roman" w:eastAsia="Calibri" w:hAnsi="Times New Roman" w:cs="Times New Roman"/>
        </w:rPr>
        <w:t>A pénzügyi területen elvárt minőségi munkavégzés érdekében problémaérzékeny, proaktív magatartást tanúsít, csoportos feladatvégzés esetén konstruktív, együttműködő, kezdeményező.</w:t>
      </w:r>
    </w:p>
    <w:p w:rsidR="008B31E6" w:rsidRPr="006B3BF3"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6B3BF3">
        <w:rPr>
          <w:rFonts w:ascii="Times New Roman" w:eastAsia="Calibri" w:hAnsi="Times New Roman" w:cs="Times New Roman"/>
        </w:rPr>
        <w:t xml:space="preserve">Nyitott a pénzügyeket és számvitelt érintő jelenségek, problémák iránt, </w:t>
      </w:r>
      <w:r w:rsidRPr="00902B86">
        <w:rPr>
          <w:rFonts w:ascii="Times New Roman" w:eastAsia="Calibri" w:hAnsi="Times New Roman" w:cs="Times New Roman"/>
        </w:rPr>
        <w:t>elkötelezett</w:t>
      </w:r>
      <w:r w:rsidRPr="006B3BF3">
        <w:rPr>
          <w:rFonts w:ascii="Times New Roman" w:eastAsia="Calibri" w:hAnsi="Times New Roman" w:cs="Times New Roman"/>
        </w:rPr>
        <w:t xml:space="preserve"> a megoldásukat illetően.</w:t>
      </w:r>
    </w:p>
    <w:p w:rsidR="008B31E6" w:rsidRPr="006B3BF3" w:rsidRDefault="008B31E6" w:rsidP="008B31E6">
      <w:pPr>
        <w:tabs>
          <w:tab w:val="left" w:pos="284"/>
        </w:tabs>
        <w:spacing w:after="0" w:line="240" w:lineRule="auto"/>
        <w:jc w:val="both"/>
        <w:rPr>
          <w:rFonts w:ascii="Times New Roman" w:eastAsia="Calibri" w:hAnsi="Times New Roman" w:cs="Times New Roman"/>
        </w:rPr>
      </w:pPr>
    </w:p>
    <w:p w:rsidR="008B31E6" w:rsidRPr="006B3BF3" w:rsidRDefault="008B31E6" w:rsidP="008B31E6">
      <w:pPr>
        <w:tabs>
          <w:tab w:val="left" w:pos="284"/>
        </w:tabs>
        <w:spacing w:after="0" w:line="240" w:lineRule="auto"/>
        <w:jc w:val="both"/>
        <w:rPr>
          <w:rFonts w:ascii="Times New Roman" w:eastAsia="Times New Roman" w:hAnsi="Times New Roman" w:cs="Times New Roman"/>
          <w:color w:val="000000"/>
          <w:lang w:eastAsia="hu-HU"/>
        </w:rPr>
      </w:pPr>
      <w:r w:rsidRPr="006B3BF3">
        <w:rPr>
          <w:rFonts w:ascii="Times New Roman" w:eastAsia="Times New Roman" w:hAnsi="Times New Roman" w:cs="Times New Roman"/>
          <w:b/>
          <w:color w:val="000000"/>
          <w:lang w:eastAsia="hu-HU"/>
        </w:rPr>
        <w:t>d) autonómiája és felelőssége</w:t>
      </w:r>
    </w:p>
    <w:p w:rsidR="008B31E6" w:rsidRPr="006B3BF3"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6B3BF3">
        <w:rPr>
          <w:rFonts w:ascii="Times New Roman" w:eastAsia="Calibri" w:hAnsi="Times New Roman" w:cs="Times New Roman"/>
        </w:rPr>
        <w:t>Felelősséget vállal beosztottjai szakmai tevékenységéért, valamint a rábízott anyagokért és eszközökért.</w:t>
      </w:r>
    </w:p>
    <w:p w:rsidR="008B31E6" w:rsidRPr="006B3BF3"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6B3BF3">
        <w:rPr>
          <w:rFonts w:ascii="Times New Roman" w:eastAsia="Calibri" w:hAnsi="Times New Roman" w:cs="Times New Roman"/>
        </w:rPr>
        <w:t xml:space="preserve">Felelősséget vállal az általa készített dokumentumok szakmai, jogszabályoknak való maradéktalan megfelelőségéért. </w:t>
      </w:r>
    </w:p>
    <w:p w:rsidR="008B31E6" w:rsidRPr="006B3BF3"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6B3BF3">
        <w:rPr>
          <w:rFonts w:ascii="Times New Roman" w:eastAsia="Calibri" w:hAnsi="Times New Roman" w:cs="Times New Roman"/>
        </w:rPr>
        <w:t>A gazdálkodás támogató és pénzügyi ellátó referatúra feladatkörébe tartozó gazdálkodási kérdésekben önállóan döntéseket hoz.</w:t>
      </w:r>
    </w:p>
    <w:p w:rsidR="008B31E6" w:rsidRPr="006B3BF3" w:rsidRDefault="008B31E6" w:rsidP="008B31E6">
      <w:pPr>
        <w:tabs>
          <w:tab w:val="left" w:pos="284"/>
        </w:tabs>
        <w:spacing w:after="0" w:line="240" w:lineRule="auto"/>
        <w:jc w:val="both"/>
        <w:rPr>
          <w:rFonts w:ascii="Times New Roman" w:eastAsia="Calibri" w:hAnsi="Times New Roman" w:cs="Times New Roman"/>
        </w:rPr>
      </w:pPr>
    </w:p>
    <w:p w:rsidR="008B31E6" w:rsidRPr="006B3BF3" w:rsidRDefault="008B31E6" w:rsidP="008B31E6">
      <w:pPr>
        <w:tabs>
          <w:tab w:val="left" w:pos="284"/>
        </w:tabs>
        <w:spacing w:after="0" w:line="240" w:lineRule="auto"/>
        <w:jc w:val="both"/>
        <w:rPr>
          <w:rFonts w:ascii="Times New Roman" w:eastAsia="Times New Roman" w:hAnsi="Times New Roman" w:cs="Times New Roman"/>
          <w:b/>
          <w:color w:val="000000"/>
          <w:lang w:eastAsia="hu-HU"/>
        </w:rPr>
      </w:pPr>
      <w:r>
        <w:rPr>
          <w:rFonts w:ascii="Times New Roman" w:eastAsia="Times New Roman" w:hAnsi="Times New Roman" w:cs="Times New Roman"/>
          <w:b/>
          <w:color w:val="000000"/>
          <w:lang w:eastAsia="hu-HU"/>
        </w:rPr>
        <w:t>6</w:t>
      </w:r>
      <w:r w:rsidRPr="006B3BF3">
        <w:rPr>
          <w:rFonts w:ascii="Times New Roman" w:eastAsia="Times New Roman" w:hAnsi="Times New Roman" w:cs="Times New Roman"/>
          <w:b/>
          <w:color w:val="000000"/>
          <w:lang w:eastAsia="hu-HU"/>
        </w:rPr>
        <w:t>.1.2.3. A katonai közlekedési specializáción továbbá a katonai logisztikai vezető</w:t>
      </w:r>
    </w:p>
    <w:p w:rsidR="008B31E6" w:rsidRPr="006B3BF3" w:rsidRDefault="008B31E6" w:rsidP="008B31E6">
      <w:pPr>
        <w:tabs>
          <w:tab w:val="left" w:pos="284"/>
        </w:tabs>
        <w:spacing w:after="0" w:line="240" w:lineRule="auto"/>
        <w:jc w:val="both"/>
        <w:rPr>
          <w:rFonts w:ascii="Times New Roman" w:eastAsia="Times New Roman" w:hAnsi="Times New Roman" w:cs="Times New Roman"/>
          <w:b/>
          <w:color w:val="000000"/>
          <w:lang w:eastAsia="hu-HU"/>
        </w:rPr>
      </w:pPr>
      <w:r w:rsidRPr="006B3BF3">
        <w:rPr>
          <w:rFonts w:ascii="Times New Roman" w:eastAsia="Times New Roman" w:hAnsi="Times New Roman" w:cs="Times New Roman"/>
          <w:b/>
          <w:color w:val="000000"/>
          <w:lang w:eastAsia="hu-HU"/>
        </w:rPr>
        <w:t>a) tudása</w:t>
      </w:r>
    </w:p>
    <w:p w:rsidR="008B31E6" w:rsidRPr="006B3BF3"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6B3BF3">
        <w:rPr>
          <w:rFonts w:ascii="Times New Roman" w:eastAsia="Calibri" w:hAnsi="Times New Roman" w:cs="Times New Roman"/>
        </w:rPr>
        <w:t>Ismeri a katonai közlekedési szakterülethez szervesen kapcsolódó logisztikai, menedzsment, környezetvédelmi, minőségbiztosítási, információtechnológiai, jogi, közgazdasági szakterületek alapjait és követelményeit.</w:t>
      </w:r>
    </w:p>
    <w:p w:rsidR="008B31E6" w:rsidRPr="006B3BF3"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6B3BF3">
        <w:rPr>
          <w:rFonts w:ascii="Times New Roman" w:eastAsia="Calibri" w:hAnsi="Times New Roman" w:cs="Times New Roman"/>
        </w:rPr>
        <w:t>Ismeri a katonai közlekedési szakterület szaktechnikai eszközeit, a közlekedési pályákat és létesítményeiket, azok igénybevételének és üzemeltetésének szabályait.</w:t>
      </w:r>
    </w:p>
    <w:p w:rsidR="008B31E6" w:rsidRPr="006B3BF3"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6B3BF3">
        <w:rPr>
          <w:rFonts w:ascii="Times New Roman" w:eastAsia="Calibri" w:hAnsi="Times New Roman" w:cs="Times New Roman"/>
        </w:rPr>
        <w:t>Ismeri a katonai közlekedési szakanyagok készletezésének, tárolásának, nyilvántartásának és leltározásának, valamint ezen folyamatok ellenőrzésének feladatait és kötelezettségeit.</w:t>
      </w:r>
    </w:p>
    <w:p w:rsidR="008B31E6" w:rsidRPr="006B3BF3"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6B3BF3">
        <w:rPr>
          <w:rFonts w:ascii="Times New Roman" w:eastAsia="Calibri" w:hAnsi="Times New Roman" w:cs="Times New Roman"/>
        </w:rPr>
        <w:t xml:space="preserve">Mélyrehatóan ismeri a katonai közlekedési szakterület szakmai </w:t>
      </w:r>
      <w:r w:rsidRPr="00902B86">
        <w:rPr>
          <w:rFonts w:ascii="Times New Roman" w:eastAsia="Calibri" w:hAnsi="Times New Roman" w:cs="Times New Roman"/>
        </w:rPr>
        <w:t>feladatait</w:t>
      </w:r>
      <w:r w:rsidRPr="006B3BF3">
        <w:rPr>
          <w:rFonts w:ascii="Times New Roman" w:eastAsia="Calibri" w:hAnsi="Times New Roman" w:cs="Times New Roman"/>
        </w:rPr>
        <w:t>, a közlekedési s</w:t>
      </w:r>
      <w:r w:rsidRPr="00902B86">
        <w:rPr>
          <w:rFonts w:ascii="Times New Roman" w:eastAsia="Calibri" w:hAnsi="Times New Roman" w:cs="Times New Roman"/>
        </w:rPr>
        <w:t>zakfeladatok</w:t>
      </w:r>
      <w:r w:rsidRPr="006B3BF3">
        <w:rPr>
          <w:rFonts w:ascii="Times New Roman" w:eastAsia="Calibri" w:hAnsi="Times New Roman" w:cs="Times New Roman"/>
        </w:rPr>
        <w:t xml:space="preserve"> rendszerét, az egyes feladatok végrehajtásának sajátosságait.</w:t>
      </w:r>
    </w:p>
    <w:p w:rsidR="008B31E6" w:rsidRPr="006B3BF3"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6B3BF3">
        <w:rPr>
          <w:rFonts w:ascii="Times New Roman" w:eastAsia="Calibri" w:hAnsi="Times New Roman" w:cs="Times New Roman"/>
        </w:rPr>
        <w:t>Ismeri a katonai közlekedési igények felmérésének módszereit és megvalósítási lehetőségeit, gyakorlatát.</w:t>
      </w:r>
    </w:p>
    <w:p w:rsidR="008B31E6" w:rsidRPr="006B3BF3" w:rsidRDefault="008B31E6" w:rsidP="008B31E6">
      <w:pPr>
        <w:tabs>
          <w:tab w:val="left" w:pos="284"/>
        </w:tabs>
        <w:spacing w:after="0" w:line="240" w:lineRule="auto"/>
        <w:jc w:val="both"/>
        <w:rPr>
          <w:rFonts w:ascii="Times New Roman" w:eastAsia="Calibri" w:hAnsi="Times New Roman" w:cs="Times New Roman"/>
        </w:rPr>
      </w:pPr>
    </w:p>
    <w:p w:rsidR="008B31E6" w:rsidRPr="006B3BF3" w:rsidRDefault="008B31E6" w:rsidP="008B31E6">
      <w:pPr>
        <w:tabs>
          <w:tab w:val="left" w:pos="284"/>
        </w:tabs>
        <w:spacing w:after="0" w:line="240" w:lineRule="auto"/>
        <w:jc w:val="both"/>
        <w:rPr>
          <w:rFonts w:ascii="Times New Roman" w:eastAsia="Times New Roman" w:hAnsi="Times New Roman" w:cs="Times New Roman"/>
          <w:b/>
          <w:color w:val="000000"/>
          <w:lang w:eastAsia="hu-HU"/>
        </w:rPr>
      </w:pPr>
      <w:r w:rsidRPr="006B3BF3">
        <w:rPr>
          <w:rFonts w:ascii="Times New Roman" w:eastAsia="Times New Roman" w:hAnsi="Times New Roman" w:cs="Times New Roman"/>
          <w:b/>
          <w:color w:val="000000"/>
          <w:lang w:eastAsia="hu-HU"/>
        </w:rPr>
        <w:t>b) képességei</w:t>
      </w:r>
    </w:p>
    <w:p w:rsidR="008B31E6" w:rsidRPr="006B3BF3"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6B3BF3">
        <w:rPr>
          <w:rFonts w:ascii="Times New Roman" w:eastAsia="Calibri" w:hAnsi="Times New Roman" w:cs="Times New Roman"/>
        </w:rPr>
        <w:t xml:space="preserve">Az általános és specifikus katonai </w:t>
      </w:r>
      <w:r w:rsidRPr="00902B86">
        <w:rPr>
          <w:rFonts w:ascii="Times New Roman" w:eastAsia="Calibri" w:hAnsi="Times New Roman" w:cs="Times New Roman"/>
        </w:rPr>
        <w:t>ismeretei</w:t>
      </w:r>
      <w:r w:rsidRPr="006B3BF3">
        <w:rPr>
          <w:rFonts w:ascii="Times New Roman" w:eastAsia="Calibri" w:hAnsi="Times New Roman" w:cs="Times New Roman"/>
        </w:rPr>
        <w:t xml:space="preserve"> és </w:t>
      </w:r>
      <w:r w:rsidRPr="00902B86">
        <w:rPr>
          <w:rFonts w:ascii="Times New Roman" w:eastAsia="Calibri" w:hAnsi="Times New Roman" w:cs="Times New Roman"/>
        </w:rPr>
        <w:t>készségei</w:t>
      </w:r>
      <w:r w:rsidRPr="006B3BF3">
        <w:rPr>
          <w:rFonts w:ascii="Times New Roman" w:eastAsia="Calibri" w:hAnsi="Times New Roman" w:cs="Times New Roman"/>
        </w:rPr>
        <w:t xml:space="preserve"> birtokában képes a katonai közlekedési, mozgatási, szállítási feladatok tervezésére, szervezésére és vezetésére. </w:t>
      </w:r>
    </w:p>
    <w:p w:rsidR="008B31E6" w:rsidRPr="006B3BF3"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6B3BF3">
        <w:rPr>
          <w:rFonts w:ascii="Times New Roman" w:eastAsia="Calibri" w:hAnsi="Times New Roman" w:cs="Times New Roman"/>
        </w:rPr>
        <w:t>Képes békeidőszakban, válságkezelő, katasztrófa-elhárítási, béketámogató és háborús műveletekben, nemzeti és többnemzeti környezetben a szállító szakalegységek alaprendeltetéséből fakadó feladatai végrehajtásának vezetésére.</w:t>
      </w:r>
    </w:p>
    <w:p w:rsidR="008B31E6" w:rsidRPr="006B3BF3"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6B3BF3">
        <w:rPr>
          <w:rFonts w:ascii="Times New Roman" w:eastAsia="Calibri" w:hAnsi="Times New Roman" w:cs="Times New Roman"/>
        </w:rPr>
        <w:t>Képes a közlekedési hálózatok katonai célú alkalmazásának tervezésére, szervezésére és végrehajtására.</w:t>
      </w:r>
    </w:p>
    <w:p w:rsidR="008B31E6" w:rsidRPr="006B3BF3"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6B3BF3">
        <w:rPr>
          <w:rFonts w:ascii="Times New Roman" w:eastAsia="Calibri" w:hAnsi="Times New Roman" w:cs="Times New Roman"/>
        </w:rPr>
        <w:t>Képes a közlekedési folyamatokat támogató közlekedésinformatikai rendszerek alkalmazására, az azokkal kapcsolatos felhasználói alapkövetelmények megfogalmazására.</w:t>
      </w:r>
    </w:p>
    <w:p w:rsidR="008B31E6" w:rsidRPr="006B3BF3" w:rsidRDefault="008B31E6" w:rsidP="008B31E6">
      <w:pPr>
        <w:tabs>
          <w:tab w:val="left" w:pos="284"/>
        </w:tabs>
        <w:spacing w:after="0" w:line="240" w:lineRule="auto"/>
        <w:jc w:val="both"/>
        <w:rPr>
          <w:rFonts w:ascii="Times New Roman" w:eastAsia="Calibri" w:hAnsi="Times New Roman" w:cs="Times New Roman"/>
        </w:rPr>
      </w:pPr>
    </w:p>
    <w:p w:rsidR="008B31E6" w:rsidRPr="006B3BF3" w:rsidRDefault="008B31E6" w:rsidP="008B31E6">
      <w:pPr>
        <w:tabs>
          <w:tab w:val="left" w:pos="284"/>
        </w:tabs>
        <w:spacing w:after="0" w:line="240" w:lineRule="auto"/>
        <w:jc w:val="both"/>
        <w:rPr>
          <w:rFonts w:ascii="Times New Roman" w:eastAsia="Times New Roman" w:hAnsi="Times New Roman" w:cs="Times New Roman"/>
          <w:b/>
          <w:color w:val="000000"/>
          <w:lang w:eastAsia="hu-HU"/>
        </w:rPr>
      </w:pPr>
      <w:r w:rsidRPr="006B3BF3">
        <w:rPr>
          <w:rFonts w:ascii="Times New Roman" w:eastAsia="Times New Roman" w:hAnsi="Times New Roman" w:cs="Times New Roman"/>
          <w:b/>
          <w:color w:val="000000"/>
          <w:lang w:eastAsia="hu-HU"/>
        </w:rPr>
        <w:t>c) attitűdje</w:t>
      </w:r>
    </w:p>
    <w:p w:rsidR="008B31E6" w:rsidRPr="006B3BF3"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6B3BF3">
        <w:rPr>
          <w:rFonts w:ascii="Times New Roman" w:eastAsia="Calibri" w:hAnsi="Times New Roman" w:cs="Times New Roman"/>
        </w:rPr>
        <w:t>Nyitott a katonai közlekedési szakterületen zajló szakmai, technológiai fejlesztés és innováció megismerésére és elfogadására, hiteles közvetítésére és azok mindennapi munkájába való beillesztésére.</w:t>
      </w:r>
    </w:p>
    <w:p w:rsidR="008B31E6" w:rsidRPr="006B3BF3"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6B3BF3">
        <w:rPr>
          <w:rFonts w:ascii="Times New Roman" w:eastAsia="Calibri" w:hAnsi="Times New Roman" w:cs="Times New Roman"/>
        </w:rPr>
        <w:t>Törekszik arra, hogy önképzése a katonai közlekedési szakterületen folyamatos és szakmai céljaival megegyező legyen.</w:t>
      </w:r>
    </w:p>
    <w:p w:rsidR="008B31E6" w:rsidRPr="006B3BF3"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6B3BF3">
        <w:rPr>
          <w:rFonts w:ascii="Times New Roman" w:eastAsia="Calibri" w:hAnsi="Times New Roman" w:cs="Times New Roman"/>
        </w:rPr>
        <w:t xml:space="preserve">Elkötelezett a minőségi szakmai munkavégzés iránt, különös tekintettel a közlekedési, szállítási </w:t>
      </w:r>
      <w:r w:rsidRPr="006B3BF3">
        <w:rPr>
          <w:rFonts w:ascii="Times New Roman" w:eastAsia="Calibri" w:hAnsi="Times New Roman" w:cs="Times New Roman"/>
        </w:rPr>
        <w:lastRenderedPageBreak/>
        <w:t>feladatok és folyamatok biztonságos végrehajtására.</w:t>
      </w:r>
    </w:p>
    <w:p w:rsidR="008B31E6" w:rsidRPr="006B3BF3"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6B3BF3">
        <w:rPr>
          <w:rFonts w:ascii="Times New Roman" w:eastAsia="Calibri" w:hAnsi="Times New Roman" w:cs="Times New Roman"/>
        </w:rPr>
        <w:t>Figyel beosztottjai szakmai fejlődésének előmozdítására, ilyen irányú törekvéseik kezelésére és segítésére.</w:t>
      </w:r>
    </w:p>
    <w:p w:rsidR="008B31E6" w:rsidRPr="006B3BF3"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6B3BF3">
        <w:rPr>
          <w:rFonts w:ascii="Times New Roman" w:eastAsia="Calibri" w:hAnsi="Times New Roman" w:cs="Times New Roman"/>
        </w:rPr>
        <w:t>Megosztja tapasztalatait munkatársaival így segítve fejlődésüket.</w:t>
      </w:r>
    </w:p>
    <w:p w:rsidR="008B31E6" w:rsidRPr="006B3BF3" w:rsidRDefault="008B31E6" w:rsidP="008B31E6">
      <w:pPr>
        <w:tabs>
          <w:tab w:val="left" w:pos="284"/>
        </w:tabs>
        <w:spacing w:after="0" w:line="240" w:lineRule="auto"/>
        <w:jc w:val="both"/>
        <w:rPr>
          <w:rFonts w:ascii="Times New Roman" w:eastAsia="Calibri" w:hAnsi="Times New Roman" w:cs="Times New Roman"/>
        </w:rPr>
      </w:pPr>
    </w:p>
    <w:p w:rsidR="008B31E6" w:rsidRPr="006B3BF3" w:rsidRDefault="008B31E6" w:rsidP="008B31E6">
      <w:pPr>
        <w:tabs>
          <w:tab w:val="left" w:pos="284"/>
        </w:tabs>
        <w:spacing w:after="0" w:line="240" w:lineRule="auto"/>
        <w:jc w:val="both"/>
        <w:rPr>
          <w:rFonts w:ascii="Times New Roman" w:eastAsia="Times New Roman" w:hAnsi="Times New Roman" w:cs="Times New Roman"/>
          <w:b/>
          <w:color w:val="000000"/>
          <w:lang w:eastAsia="hu-HU"/>
        </w:rPr>
      </w:pPr>
      <w:r w:rsidRPr="006B3BF3">
        <w:rPr>
          <w:rFonts w:ascii="Times New Roman" w:eastAsia="Times New Roman" w:hAnsi="Times New Roman" w:cs="Times New Roman"/>
          <w:b/>
          <w:color w:val="000000"/>
          <w:lang w:eastAsia="hu-HU"/>
        </w:rPr>
        <w:t>d) autonómiája és felelőssége</w:t>
      </w:r>
    </w:p>
    <w:p w:rsidR="008B31E6" w:rsidRPr="006B3BF3"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6B3BF3">
        <w:rPr>
          <w:rFonts w:ascii="Times New Roman" w:eastAsia="Calibri" w:hAnsi="Times New Roman" w:cs="Times New Roman"/>
        </w:rPr>
        <w:t>A katonai közlekedés szakterületén megjelenő folyamatokban képes önállóan döntéseket hozni, azokat felelősséggel, a jogszabályi keretek figyelembevételével végrehajtani.</w:t>
      </w:r>
    </w:p>
    <w:p w:rsidR="008B31E6" w:rsidRPr="006B3BF3"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6B3BF3">
        <w:rPr>
          <w:rFonts w:ascii="Times New Roman" w:eastAsia="Calibri" w:hAnsi="Times New Roman" w:cs="Times New Roman"/>
        </w:rPr>
        <w:t>Tisztában van döntéseinek, tevékenységének a katonai logisztikai folyamatok egészére gyakorolt hatásaival, következményeivel.</w:t>
      </w:r>
    </w:p>
    <w:p w:rsidR="008B31E6" w:rsidRPr="006B3BF3"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6B3BF3">
        <w:rPr>
          <w:rFonts w:ascii="Times New Roman" w:eastAsia="Calibri" w:hAnsi="Times New Roman" w:cs="Times New Roman"/>
        </w:rPr>
        <w:t>Szakmai feladatainak elvégzése során felelősségteljesen együttműködik más szakterület képzett szakembereivel is.</w:t>
      </w:r>
    </w:p>
    <w:p w:rsidR="008B31E6" w:rsidRPr="006B3BF3"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6B3BF3">
        <w:rPr>
          <w:rFonts w:ascii="Times New Roman" w:eastAsia="Calibri" w:hAnsi="Times New Roman" w:cs="Times New Roman"/>
        </w:rPr>
        <w:t>Feltárja az alkalmazott technológiák hiányosságait, a folyamatok kockázatait és kezdeményezi az ezeket csökkentő intézkedések megtételét.</w:t>
      </w:r>
    </w:p>
    <w:p w:rsidR="008B31E6" w:rsidRPr="006B3BF3"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6B3BF3">
        <w:rPr>
          <w:rFonts w:ascii="Times New Roman" w:eastAsia="Calibri" w:hAnsi="Times New Roman" w:cs="Times New Roman"/>
        </w:rPr>
        <w:t>Parancsnokának útmutatása alapján irányítja a rábízott személyi állomány munkavégzését, felügyeli a közlekedési, szállítási folyamatok tervezését, szervezését, végrehajtását, a közlekedési szaktechnikai eszközök üzemeltetését.</w:t>
      </w:r>
    </w:p>
    <w:p w:rsidR="008B31E6" w:rsidRPr="006B3BF3"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6B3BF3">
        <w:rPr>
          <w:rFonts w:ascii="Times New Roman" w:eastAsia="Calibri" w:hAnsi="Times New Roman" w:cs="Times New Roman"/>
        </w:rPr>
        <w:t>Értékeli a beosztottak munkavégzésének hatékonyságát, eredményességét.</w:t>
      </w:r>
    </w:p>
    <w:p w:rsidR="008B31E6" w:rsidRPr="006B3BF3" w:rsidRDefault="008B31E6" w:rsidP="008B31E6">
      <w:pPr>
        <w:tabs>
          <w:tab w:val="left" w:pos="284"/>
        </w:tabs>
        <w:spacing w:after="0" w:line="240" w:lineRule="auto"/>
        <w:jc w:val="both"/>
        <w:rPr>
          <w:rFonts w:ascii="Times New Roman" w:eastAsia="Calibri" w:hAnsi="Times New Roman" w:cs="Times New Roman"/>
        </w:rPr>
      </w:pPr>
    </w:p>
    <w:p w:rsidR="008B31E6" w:rsidRPr="006B3BF3" w:rsidRDefault="008B31E6" w:rsidP="008B31E6">
      <w:pPr>
        <w:tabs>
          <w:tab w:val="left" w:pos="284"/>
        </w:tabs>
        <w:spacing w:after="0" w:line="240" w:lineRule="auto"/>
        <w:jc w:val="both"/>
        <w:rPr>
          <w:rFonts w:ascii="Times New Roman" w:eastAsia="Times New Roman" w:hAnsi="Times New Roman" w:cs="Times New Roman"/>
          <w:b/>
          <w:color w:val="000000"/>
          <w:lang w:eastAsia="hu-HU"/>
        </w:rPr>
      </w:pPr>
      <w:r>
        <w:rPr>
          <w:rFonts w:ascii="Times New Roman" w:eastAsia="Times New Roman" w:hAnsi="Times New Roman" w:cs="Times New Roman"/>
          <w:b/>
          <w:color w:val="000000"/>
          <w:lang w:eastAsia="hu-HU"/>
        </w:rPr>
        <w:t>6</w:t>
      </w:r>
      <w:r w:rsidRPr="00902B86">
        <w:rPr>
          <w:rFonts w:ascii="Times New Roman" w:eastAsia="Times New Roman" w:hAnsi="Times New Roman" w:cs="Times New Roman"/>
          <w:b/>
          <w:color w:val="000000"/>
          <w:lang w:eastAsia="hu-HU"/>
        </w:rPr>
        <w:t>.1.2.4. A haditechnikai specializáción (páncélos- és gépjárműtechnikai modulon) továbbá a katonai logisztikai vezető</w:t>
      </w:r>
    </w:p>
    <w:p w:rsidR="008B31E6" w:rsidRPr="006B3BF3" w:rsidRDefault="008B31E6" w:rsidP="008B31E6">
      <w:pPr>
        <w:tabs>
          <w:tab w:val="left" w:pos="284"/>
        </w:tabs>
        <w:spacing w:after="0" w:line="240" w:lineRule="auto"/>
        <w:jc w:val="both"/>
        <w:rPr>
          <w:rFonts w:ascii="Times New Roman" w:eastAsia="Times New Roman" w:hAnsi="Times New Roman" w:cs="Times New Roman"/>
          <w:b/>
          <w:color w:val="000000"/>
          <w:lang w:eastAsia="hu-HU"/>
        </w:rPr>
      </w:pPr>
      <w:r w:rsidRPr="006B3BF3">
        <w:rPr>
          <w:rFonts w:ascii="Times New Roman" w:eastAsia="Times New Roman" w:hAnsi="Times New Roman" w:cs="Times New Roman"/>
          <w:b/>
          <w:color w:val="000000"/>
          <w:lang w:eastAsia="hu-HU"/>
        </w:rPr>
        <w:t>a) tudása</w:t>
      </w:r>
    </w:p>
    <w:p w:rsidR="008B31E6" w:rsidRPr="00902B86"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902B86">
        <w:rPr>
          <w:rFonts w:ascii="Times New Roman" w:eastAsia="Calibri" w:hAnsi="Times New Roman" w:cs="Times New Roman"/>
        </w:rPr>
        <w:t>Ismeri a zászlóalj páncélos- és gépjárműtechnikai biztosításának feladatrendszerét béke és háborús körülmények között.</w:t>
      </w:r>
    </w:p>
    <w:p w:rsidR="008B31E6" w:rsidRPr="00902B86"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902B86">
        <w:rPr>
          <w:rFonts w:ascii="Times New Roman" w:eastAsia="Calibri" w:hAnsi="Times New Roman" w:cs="Times New Roman"/>
        </w:rPr>
        <w:t>Ismeretekkel bír a dandár páncélos- és gépjárműtechnikai biztosításának feladatrendszeréről béke és háborús körülmények között.</w:t>
      </w:r>
    </w:p>
    <w:p w:rsidR="008B31E6" w:rsidRPr="00902B86"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902B86">
        <w:rPr>
          <w:rFonts w:ascii="Times New Roman" w:eastAsia="Calibri" w:hAnsi="Times New Roman" w:cs="Times New Roman"/>
        </w:rPr>
        <w:t>Ismeri a páncélos- és gépjárműtechnikai eszközök felépítését, berendezéseit, azok működését és üzemeltetési rendjét.</w:t>
      </w:r>
    </w:p>
    <w:p w:rsidR="008B31E6" w:rsidRPr="00902B86"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902B86">
        <w:rPr>
          <w:rFonts w:ascii="Times New Roman" w:eastAsia="Calibri" w:hAnsi="Times New Roman" w:cs="Times New Roman"/>
        </w:rPr>
        <w:t>Ismeri és alkalmazni tudja a páncélos- és gépjárműtechnikai eszközök technikai kiszolgálásának tervezéséhez szükséges eljárásokat.</w:t>
      </w:r>
    </w:p>
    <w:p w:rsidR="008B31E6" w:rsidRPr="00902B86"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902B86">
        <w:rPr>
          <w:rFonts w:ascii="Times New Roman" w:eastAsia="Calibri" w:hAnsi="Times New Roman" w:cs="Times New Roman"/>
        </w:rPr>
        <w:t>Ismeri a páncélos- és gépjárműtechnikai eszközök szerkezeti részeinek igénybevételét.</w:t>
      </w:r>
    </w:p>
    <w:p w:rsidR="008B31E6" w:rsidRPr="00902B86"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902B86">
        <w:rPr>
          <w:rFonts w:ascii="Times New Roman" w:eastAsia="Calibri" w:hAnsi="Times New Roman" w:cs="Times New Roman"/>
        </w:rPr>
        <w:t>Ismeri a legújabb gépjárműtechnikai megoldásokat.</w:t>
      </w:r>
    </w:p>
    <w:p w:rsidR="008B31E6" w:rsidRPr="00902B86"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902B86">
        <w:rPr>
          <w:rFonts w:ascii="Times New Roman" w:eastAsia="Calibri" w:hAnsi="Times New Roman" w:cs="Times New Roman"/>
        </w:rPr>
        <w:t>Ismeri a páncélos- és gépjárműtechnikai eszközök fődarabjainak és részegységeinek karbantartását, ellenőrzését, az egyes szerelési egységek hibáinak behatárolási és javítási módjait.</w:t>
      </w:r>
    </w:p>
    <w:p w:rsidR="008B31E6" w:rsidRPr="00902B86"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902B86">
        <w:rPr>
          <w:rFonts w:ascii="Times New Roman" w:eastAsia="Calibri" w:hAnsi="Times New Roman" w:cs="Times New Roman"/>
        </w:rPr>
        <w:t>Megfelelő műszaki alapokkal rendelkezik, amelyek biztosítják az új ismeretek elsajátítását.</w:t>
      </w:r>
    </w:p>
    <w:p w:rsidR="008B31E6" w:rsidRPr="00902B86"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902B86">
        <w:rPr>
          <w:rFonts w:ascii="Times New Roman" w:eastAsia="Calibri" w:hAnsi="Times New Roman" w:cs="Times New Roman"/>
        </w:rPr>
        <w:t>Ismeri a páncélos- és gépjárműtechnikai eszközök ellátáshoz és fenntartásához szükséges anyagok körét.</w:t>
      </w:r>
    </w:p>
    <w:p w:rsidR="008B31E6" w:rsidRPr="00902B86"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902B86">
        <w:rPr>
          <w:rFonts w:ascii="Times New Roman" w:eastAsia="Calibri" w:hAnsi="Times New Roman" w:cs="Times New Roman"/>
        </w:rPr>
        <w:t>Ismeri a szakfeladatainak ellátásához szükséges munkavédelmi rendszabályokat.</w:t>
      </w:r>
    </w:p>
    <w:p w:rsidR="008B31E6" w:rsidRPr="00902B86"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902B86">
        <w:rPr>
          <w:rFonts w:ascii="Times New Roman" w:eastAsia="Calibri" w:hAnsi="Times New Roman" w:cs="Times New Roman"/>
        </w:rPr>
        <w:t>Megfelelő mélységű és spektrumú páncélos- és gépjárműtechnikai típusismerettel rendelkezik.</w:t>
      </w:r>
    </w:p>
    <w:p w:rsidR="008B31E6" w:rsidRPr="00902B86" w:rsidRDefault="008B31E6" w:rsidP="008B31E6">
      <w:pPr>
        <w:widowControl w:val="0"/>
        <w:autoSpaceDE w:val="0"/>
        <w:autoSpaceDN w:val="0"/>
        <w:adjustRightInd w:val="0"/>
        <w:spacing w:after="0" w:line="240" w:lineRule="auto"/>
        <w:ind w:left="426"/>
        <w:jc w:val="both"/>
        <w:rPr>
          <w:rFonts w:ascii="Times New Roman" w:eastAsia="Calibri" w:hAnsi="Times New Roman" w:cs="Times New Roman"/>
        </w:rPr>
      </w:pPr>
    </w:p>
    <w:p w:rsidR="008B31E6" w:rsidRPr="006B3BF3" w:rsidRDefault="008B31E6" w:rsidP="008B31E6">
      <w:pPr>
        <w:tabs>
          <w:tab w:val="left" w:pos="284"/>
        </w:tabs>
        <w:spacing w:after="0" w:line="240" w:lineRule="auto"/>
        <w:jc w:val="both"/>
        <w:rPr>
          <w:rFonts w:ascii="Times New Roman" w:eastAsia="Times New Roman" w:hAnsi="Times New Roman" w:cs="Times New Roman"/>
          <w:b/>
          <w:color w:val="000000"/>
          <w:lang w:eastAsia="hu-HU"/>
        </w:rPr>
      </w:pPr>
      <w:r w:rsidRPr="006B3BF3">
        <w:rPr>
          <w:rFonts w:ascii="Times New Roman" w:eastAsia="Times New Roman" w:hAnsi="Times New Roman" w:cs="Times New Roman"/>
          <w:b/>
          <w:color w:val="000000"/>
          <w:lang w:eastAsia="hu-HU"/>
        </w:rPr>
        <w:t>b) képességei</w:t>
      </w:r>
    </w:p>
    <w:p w:rsidR="008B31E6" w:rsidRPr="00902B86"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902B86">
        <w:rPr>
          <w:rFonts w:ascii="Times New Roman" w:eastAsia="Calibri" w:hAnsi="Times New Roman" w:cs="Times New Roman"/>
        </w:rPr>
        <w:t>Képes a szakterületén rendszeresített és használt berendezések és technikai eszközök használatának megszervezésére és hatékony alkalmazására.</w:t>
      </w:r>
    </w:p>
    <w:p w:rsidR="008B31E6" w:rsidRPr="00902B86"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902B86">
        <w:rPr>
          <w:rFonts w:ascii="Times New Roman" w:eastAsia="Calibri" w:hAnsi="Times New Roman" w:cs="Times New Roman"/>
        </w:rPr>
        <w:t>Képes a technológiai utasításoknak megfelelően a páncélos- és gépjárműtechnikai eszközök technikai kiszolgálásának szakszerű végrehajtására, illetve a végrehajtás megszervezésére és ellenőrzésére.</w:t>
      </w:r>
    </w:p>
    <w:p w:rsidR="008B31E6" w:rsidRPr="00902B86"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902B86">
        <w:rPr>
          <w:rFonts w:ascii="Times New Roman" w:eastAsia="Calibri" w:hAnsi="Times New Roman" w:cs="Times New Roman"/>
        </w:rPr>
        <w:t>Képes az alegységszinten elvégzendő szükség szerinti javítások megszervezésére, végrehajtására és a végrehajtás ellenőrzésére.</w:t>
      </w:r>
    </w:p>
    <w:p w:rsidR="008B31E6" w:rsidRPr="00902B86"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902B86">
        <w:rPr>
          <w:rFonts w:ascii="Times New Roman" w:eastAsia="Calibri" w:hAnsi="Times New Roman" w:cs="Times New Roman"/>
        </w:rPr>
        <w:t>Képes más logisztikai beosztásokban dolgozó személyekkel való együttműködésre.</w:t>
      </w:r>
    </w:p>
    <w:p w:rsidR="008B31E6" w:rsidRPr="00902B86"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902B86">
        <w:rPr>
          <w:rFonts w:ascii="Times New Roman" w:eastAsia="Calibri" w:hAnsi="Times New Roman" w:cs="Times New Roman"/>
        </w:rPr>
        <w:t>Aktívan képes részt venni a páncélos- és gépjárműtechnikai szakfeladatok végrehajtásában többnemzeti környezetben is.</w:t>
      </w:r>
    </w:p>
    <w:p w:rsidR="008B31E6" w:rsidRPr="00902B86"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902B86">
        <w:rPr>
          <w:rFonts w:ascii="Times New Roman" w:eastAsia="Calibri" w:hAnsi="Times New Roman" w:cs="Times New Roman"/>
        </w:rPr>
        <w:t>Képes a páncélos- és gépjárműtechnikai eszközök rendszerben tartását tervezni, szervezni és irányítani.</w:t>
      </w:r>
    </w:p>
    <w:p w:rsidR="008B31E6" w:rsidRPr="00902B86"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902B86">
        <w:rPr>
          <w:rFonts w:ascii="Times New Roman" w:eastAsia="Calibri" w:hAnsi="Times New Roman" w:cs="Times New Roman"/>
        </w:rPr>
        <w:t>Képes a szakterületéhez kapcsolódó ügydarabokat elkészíteni, haditechnikai eszköz átadás-</w:t>
      </w:r>
      <w:r w:rsidRPr="00902B86">
        <w:rPr>
          <w:rFonts w:ascii="Times New Roman" w:eastAsia="Calibri" w:hAnsi="Times New Roman" w:cs="Times New Roman"/>
        </w:rPr>
        <w:lastRenderedPageBreak/>
        <w:t>átvételét végrehajtani és jegyzőkönyveket elkészíteni.</w:t>
      </w:r>
    </w:p>
    <w:p w:rsidR="008B31E6" w:rsidRPr="00902B86"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902B86">
        <w:rPr>
          <w:rFonts w:ascii="Times New Roman" w:eastAsia="Calibri" w:hAnsi="Times New Roman" w:cs="Times New Roman"/>
        </w:rPr>
        <w:t>Képes a biztonságos munkavégzés feltételeit megteremteni, a biztonságos munkavégzéshez szükséges szabályokat másokkal is betartatni.</w:t>
      </w:r>
    </w:p>
    <w:p w:rsidR="008B31E6" w:rsidRPr="00902B86"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902B86">
        <w:rPr>
          <w:rFonts w:ascii="Times New Roman" w:eastAsia="Calibri" w:hAnsi="Times New Roman" w:cs="Times New Roman"/>
        </w:rPr>
        <w:t>Képes a zászlóalj páncélos- és gépjárműtechnikai biztosításának a megszervezésére és aktívan képes részt venni a dandár páncélos és gépjárműtechnika biztosítás megszervezésében.</w:t>
      </w:r>
    </w:p>
    <w:p w:rsidR="008B31E6" w:rsidRPr="00902B86"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902B86">
        <w:rPr>
          <w:rFonts w:ascii="Times New Roman" w:eastAsia="Calibri" w:hAnsi="Times New Roman" w:cs="Times New Roman"/>
        </w:rPr>
        <w:t>Képes az alárendeltségében levő szakjavító alegység munkájának a megtervezésére, megszervezésére, irányítására és ellenőrzésére.</w:t>
      </w:r>
    </w:p>
    <w:p w:rsidR="008B31E6" w:rsidRPr="00902B86"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902B86">
        <w:rPr>
          <w:rFonts w:ascii="Times New Roman" w:eastAsia="Calibri" w:hAnsi="Times New Roman" w:cs="Times New Roman"/>
        </w:rPr>
        <w:t>Képes a megtanultakat felhasználva a szakterületén felmerülő új műszaki információkat megérteni és megtanulni.</w:t>
      </w:r>
    </w:p>
    <w:p w:rsidR="008B31E6" w:rsidRPr="006B3BF3" w:rsidRDefault="008B31E6" w:rsidP="008B31E6">
      <w:pPr>
        <w:tabs>
          <w:tab w:val="left" w:pos="284"/>
        </w:tabs>
        <w:spacing w:after="0" w:line="240" w:lineRule="auto"/>
        <w:jc w:val="both"/>
        <w:rPr>
          <w:rFonts w:ascii="Times New Roman" w:eastAsia="Calibri" w:hAnsi="Times New Roman" w:cs="Times New Roman"/>
          <w:b/>
          <w:bCs/>
          <w:iCs/>
        </w:rPr>
      </w:pPr>
    </w:p>
    <w:p w:rsidR="008B31E6" w:rsidRPr="006B3BF3" w:rsidRDefault="008B31E6" w:rsidP="008B31E6">
      <w:pPr>
        <w:tabs>
          <w:tab w:val="left" w:pos="284"/>
        </w:tabs>
        <w:spacing w:after="0" w:line="240" w:lineRule="auto"/>
        <w:jc w:val="both"/>
        <w:rPr>
          <w:rFonts w:ascii="Times New Roman" w:eastAsia="Calibri" w:hAnsi="Times New Roman" w:cs="Times New Roman"/>
          <w:b/>
          <w:bCs/>
          <w:iCs/>
        </w:rPr>
      </w:pPr>
      <w:r w:rsidRPr="006B3BF3">
        <w:rPr>
          <w:rFonts w:ascii="Times New Roman" w:eastAsia="Calibri" w:hAnsi="Times New Roman" w:cs="Times New Roman"/>
          <w:b/>
          <w:bCs/>
          <w:iCs/>
        </w:rPr>
        <w:t>c) attitűdje</w:t>
      </w:r>
    </w:p>
    <w:p w:rsidR="008B31E6" w:rsidRPr="00902B86"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902B86">
        <w:rPr>
          <w:rFonts w:ascii="Times New Roman" w:eastAsia="Calibri" w:hAnsi="Times New Roman" w:cs="Times New Roman"/>
        </w:rPr>
        <w:t>Nyitott a páncélos- és gépjárműtechnikával kapcsolatos szakmai ismereteinek gyarapítása iránt, folyamatos önképzési igény jellemzi.</w:t>
      </w:r>
    </w:p>
    <w:p w:rsidR="008B31E6" w:rsidRPr="00902B86"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902B86">
        <w:rPr>
          <w:rFonts w:ascii="Times New Roman" w:eastAsia="Calibri" w:hAnsi="Times New Roman" w:cs="Times New Roman"/>
        </w:rPr>
        <w:t>Szakmai feladatainak végrehajtása során együttműködési készség jellemzi, törekszik a munkatársainak a bevonására a döntési folyamatokba.</w:t>
      </w:r>
    </w:p>
    <w:p w:rsidR="008B31E6" w:rsidRPr="00902B86"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902B86">
        <w:rPr>
          <w:rFonts w:ascii="Times New Roman" w:eastAsia="Calibri" w:hAnsi="Times New Roman" w:cs="Times New Roman"/>
        </w:rPr>
        <w:t>Törekszik munkája során a vonatkozó szabályok betartására és betartatására.</w:t>
      </w:r>
    </w:p>
    <w:p w:rsidR="008B31E6" w:rsidRPr="00902B86"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902B86">
        <w:rPr>
          <w:rFonts w:ascii="Times New Roman" w:eastAsia="Calibri" w:hAnsi="Times New Roman" w:cs="Times New Roman"/>
        </w:rPr>
        <w:t>Munkáját és emberi kapcsolatait a megbízhatóság jellemzi.</w:t>
      </w:r>
    </w:p>
    <w:p w:rsidR="008B31E6" w:rsidRPr="00902B86"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902B86">
        <w:rPr>
          <w:rFonts w:ascii="Times New Roman" w:eastAsia="Calibri" w:hAnsi="Times New Roman" w:cs="Times New Roman"/>
        </w:rPr>
        <w:t>Nyitott a haditechnikai szakterület új eredményei felé, törekszik azok megismerésére.</w:t>
      </w:r>
    </w:p>
    <w:p w:rsidR="008B31E6" w:rsidRPr="006B3BF3" w:rsidRDefault="008B31E6" w:rsidP="008B31E6">
      <w:pPr>
        <w:spacing w:after="0" w:line="240" w:lineRule="auto"/>
        <w:jc w:val="both"/>
        <w:rPr>
          <w:rFonts w:ascii="Times New Roman" w:eastAsia="Times New Roman" w:hAnsi="Times New Roman" w:cs="Times New Roman"/>
          <w:lang w:eastAsia="hu-HU"/>
        </w:rPr>
      </w:pPr>
    </w:p>
    <w:p w:rsidR="008B31E6" w:rsidRPr="006B3BF3" w:rsidRDefault="008B31E6" w:rsidP="008B31E6">
      <w:pPr>
        <w:spacing w:after="0" w:line="240" w:lineRule="auto"/>
        <w:jc w:val="both"/>
        <w:rPr>
          <w:rFonts w:ascii="Times New Roman" w:eastAsia="Calibri" w:hAnsi="Times New Roman" w:cs="Times New Roman"/>
          <w:b/>
          <w:bCs/>
          <w:iCs/>
        </w:rPr>
      </w:pPr>
      <w:r w:rsidRPr="006B3BF3">
        <w:rPr>
          <w:rFonts w:ascii="Times New Roman" w:eastAsia="Calibri" w:hAnsi="Times New Roman" w:cs="Times New Roman"/>
          <w:b/>
          <w:bCs/>
          <w:iCs/>
        </w:rPr>
        <w:t>d) autonómiája és felelőssége</w:t>
      </w:r>
    </w:p>
    <w:p w:rsidR="008B31E6" w:rsidRPr="00902B86"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902B86">
        <w:rPr>
          <w:rFonts w:ascii="Times New Roman" w:eastAsia="Calibri" w:hAnsi="Times New Roman" w:cs="Times New Roman"/>
        </w:rPr>
        <w:t>Képes szakfeladatait önállóan végezni, saját munkáját hatékonyan megszervezni és végrehajtani.</w:t>
      </w:r>
    </w:p>
    <w:p w:rsidR="008B31E6" w:rsidRPr="00902B86"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902B86">
        <w:rPr>
          <w:rFonts w:ascii="Times New Roman" w:eastAsia="Calibri" w:hAnsi="Times New Roman" w:cs="Times New Roman"/>
        </w:rPr>
        <w:t>Képes alárendeltjeinek feladatait megszervezni és meghatározni, valamint elvégzett munkájukat szakmai szempontok alapján ellenőrizni.</w:t>
      </w:r>
    </w:p>
    <w:p w:rsidR="008B31E6" w:rsidRPr="00902B86"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902B86">
        <w:rPr>
          <w:rFonts w:ascii="Times New Roman" w:eastAsia="Calibri" w:hAnsi="Times New Roman" w:cs="Times New Roman"/>
        </w:rPr>
        <w:t>A páncélos- és gépjárműtechnikai eszközök technikai kiszolgálása és javítása során képes elemzések végrehajtása után a legmegfelelőbb döntéseket meghozni, amely döntésekért a szakmai felelősséget vállalja.</w:t>
      </w:r>
    </w:p>
    <w:p w:rsidR="008B31E6" w:rsidRPr="00902B86"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902B86">
        <w:rPr>
          <w:rFonts w:ascii="Times New Roman" w:eastAsia="Calibri" w:hAnsi="Times New Roman" w:cs="Times New Roman"/>
        </w:rPr>
        <w:t>Együttműködés és felelősség jellemzi szakterületének szakembereivel szemben.</w:t>
      </w:r>
    </w:p>
    <w:p w:rsidR="008B31E6" w:rsidRPr="00902B86"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902B86">
        <w:rPr>
          <w:rFonts w:ascii="Times New Roman" w:eastAsia="Calibri" w:hAnsi="Times New Roman" w:cs="Times New Roman"/>
        </w:rPr>
        <w:t>Szakterületén belül képes rendszer-szemléletűen gondolkodni.</w:t>
      </w:r>
    </w:p>
    <w:p w:rsidR="008B31E6" w:rsidRPr="006B3BF3" w:rsidRDefault="008B31E6" w:rsidP="008B31E6">
      <w:pPr>
        <w:spacing w:after="0" w:line="240" w:lineRule="auto"/>
        <w:jc w:val="both"/>
        <w:rPr>
          <w:rFonts w:ascii="Times New Roman" w:eastAsia="Times New Roman" w:hAnsi="Times New Roman" w:cs="Times New Roman"/>
          <w:color w:val="474747"/>
          <w:lang w:eastAsia="hu-HU"/>
        </w:rPr>
      </w:pPr>
    </w:p>
    <w:p w:rsidR="008B31E6" w:rsidRPr="006B3BF3" w:rsidRDefault="008B31E6" w:rsidP="008B31E6">
      <w:pPr>
        <w:spacing w:after="0" w:line="240" w:lineRule="auto"/>
        <w:jc w:val="both"/>
        <w:rPr>
          <w:rFonts w:ascii="Times New Roman" w:eastAsia="Times New Roman" w:hAnsi="Times New Roman" w:cs="Times New Roman"/>
          <w:b/>
          <w:color w:val="000000"/>
          <w:lang w:eastAsia="hu-HU"/>
        </w:rPr>
      </w:pPr>
      <w:r>
        <w:rPr>
          <w:rFonts w:ascii="Times New Roman" w:eastAsia="Times New Roman" w:hAnsi="Times New Roman" w:cs="Times New Roman"/>
          <w:b/>
          <w:color w:val="000000"/>
          <w:lang w:eastAsia="hu-HU"/>
        </w:rPr>
        <w:t>6</w:t>
      </w:r>
      <w:r w:rsidRPr="006B3BF3">
        <w:rPr>
          <w:rFonts w:ascii="Times New Roman" w:eastAsia="Times New Roman" w:hAnsi="Times New Roman" w:cs="Times New Roman"/>
          <w:b/>
          <w:color w:val="000000"/>
          <w:lang w:eastAsia="hu-HU"/>
        </w:rPr>
        <w:t>.1.2.5. A haditechnikai specializáción (fegyverzettechnikai modulon) továbbá a katonai logisztikai vezető</w:t>
      </w:r>
    </w:p>
    <w:p w:rsidR="008B31E6" w:rsidRPr="006B3BF3" w:rsidRDefault="008B31E6" w:rsidP="008B31E6">
      <w:pPr>
        <w:spacing w:after="0" w:line="240" w:lineRule="auto"/>
        <w:jc w:val="both"/>
        <w:rPr>
          <w:rFonts w:ascii="Times New Roman" w:eastAsia="Calibri" w:hAnsi="Times New Roman" w:cs="Times New Roman"/>
          <w:b/>
          <w:bCs/>
          <w:iCs/>
        </w:rPr>
      </w:pPr>
      <w:r w:rsidRPr="006B3BF3">
        <w:rPr>
          <w:rFonts w:ascii="Times New Roman" w:eastAsia="Calibri" w:hAnsi="Times New Roman" w:cs="Times New Roman"/>
          <w:b/>
          <w:bCs/>
          <w:iCs/>
        </w:rPr>
        <w:t>a) tudása</w:t>
      </w:r>
    </w:p>
    <w:p w:rsidR="008B31E6" w:rsidRPr="00902B86"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902B86">
        <w:rPr>
          <w:rFonts w:ascii="Times New Roman" w:eastAsia="Calibri" w:hAnsi="Times New Roman" w:cs="Times New Roman"/>
        </w:rPr>
        <w:t>Ismeri a zászlóalj fegyverzettechnikai biztosításának feladatrendszerét béke és háborús körülmények között.</w:t>
      </w:r>
    </w:p>
    <w:p w:rsidR="008B31E6" w:rsidRPr="00902B86"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902B86">
        <w:rPr>
          <w:rFonts w:ascii="Times New Roman" w:eastAsia="Calibri" w:hAnsi="Times New Roman" w:cs="Times New Roman"/>
        </w:rPr>
        <w:t>Ismeretekkel bír a dandár fegyverzettechnikai biztosításának feladatrendszeréről béke és háborús körülmények között.</w:t>
      </w:r>
    </w:p>
    <w:p w:rsidR="008B31E6" w:rsidRPr="00902B86"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902B86">
        <w:rPr>
          <w:rFonts w:ascii="Times New Roman" w:eastAsia="Calibri" w:hAnsi="Times New Roman" w:cs="Times New Roman"/>
        </w:rPr>
        <w:t>Ismeri a fegyverzettechnikai eszközök felépítését, berendezéseit, azok működését és üzemeltetési rendjét.</w:t>
      </w:r>
    </w:p>
    <w:p w:rsidR="008B31E6" w:rsidRPr="00902B86"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902B86">
        <w:rPr>
          <w:rFonts w:ascii="Times New Roman" w:eastAsia="Calibri" w:hAnsi="Times New Roman" w:cs="Times New Roman"/>
        </w:rPr>
        <w:t>Ismeri és alkalmazni tudja a fegyverzettechnikai eszközök technikai kiszolgálásának tervezéséhez szükséges eljárásokat.</w:t>
      </w:r>
    </w:p>
    <w:p w:rsidR="008B31E6" w:rsidRPr="00902B86"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902B86">
        <w:rPr>
          <w:rFonts w:ascii="Times New Roman" w:eastAsia="Calibri" w:hAnsi="Times New Roman" w:cs="Times New Roman"/>
        </w:rPr>
        <w:t>Ismeri a fegyverzettechnikai eszközök szerkezeti részeinek igénybevételét.</w:t>
      </w:r>
    </w:p>
    <w:p w:rsidR="008B31E6" w:rsidRPr="00902B86"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902B86">
        <w:rPr>
          <w:rFonts w:ascii="Times New Roman" w:eastAsia="Calibri" w:hAnsi="Times New Roman" w:cs="Times New Roman"/>
        </w:rPr>
        <w:t>Ismeri a legújabb fegyverzettechnikai megoldásokat.</w:t>
      </w:r>
    </w:p>
    <w:p w:rsidR="008B31E6" w:rsidRPr="00902B86"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902B86">
        <w:rPr>
          <w:rFonts w:ascii="Times New Roman" w:eastAsia="Calibri" w:hAnsi="Times New Roman" w:cs="Times New Roman"/>
        </w:rPr>
        <w:t>Ismeri a fegyverzettechnikai eszközök fődarabjainak és részegységeinek karbantartását, ellenőrzését, az egyes szerelési egységek hibáinak behatárolási és javítási módjait.</w:t>
      </w:r>
    </w:p>
    <w:p w:rsidR="008B31E6" w:rsidRPr="00902B86"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902B86">
        <w:rPr>
          <w:rFonts w:ascii="Times New Roman" w:eastAsia="Calibri" w:hAnsi="Times New Roman" w:cs="Times New Roman"/>
        </w:rPr>
        <w:t>Megfelelő műszaki alapokkal rendelkezik, amelyek biztosítják az új ismeretek elsajátítását.</w:t>
      </w:r>
    </w:p>
    <w:p w:rsidR="008B31E6" w:rsidRPr="00902B86"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902B86">
        <w:rPr>
          <w:rFonts w:ascii="Times New Roman" w:eastAsia="Calibri" w:hAnsi="Times New Roman" w:cs="Times New Roman"/>
        </w:rPr>
        <w:t>Ismeri a fegyverzettechnikai eszközök ellátásához és fenntartásához szükséges anyagok körét.</w:t>
      </w:r>
    </w:p>
    <w:p w:rsidR="008B31E6" w:rsidRPr="00902B86"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902B86">
        <w:rPr>
          <w:rFonts w:ascii="Times New Roman" w:eastAsia="Calibri" w:hAnsi="Times New Roman" w:cs="Times New Roman"/>
        </w:rPr>
        <w:t>Ismeri a szakfeladatainak ellátásához szükséges munkavédelmi rendszabályokat.</w:t>
      </w:r>
    </w:p>
    <w:p w:rsidR="008B31E6"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902B86">
        <w:rPr>
          <w:rFonts w:ascii="Times New Roman" w:eastAsia="Calibri" w:hAnsi="Times New Roman" w:cs="Times New Roman"/>
        </w:rPr>
        <w:t>Megfelelő mélységű és spektrumú fegyverzettechnikai típusismerettel rendelkezik.</w:t>
      </w:r>
    </w:p>
    <w:p w:rsidR="008B31E6" w:rsidRPr="00902B86" w:rsidRDefault="008B31E6" w:rsidP="008B31E6">
      <w:pPr>
        <w:widowControl w:val="0"/>
        <w:autoSpaceDE w:val="0"/>
        <w:autoSpaceDN w:val="0"/>
        <w:adjustRightInd w:val="0"/>
        <w:spacing w:after="0" w:line="240" w:lineRule="auto"/>
        <w:ind w:left="426"/>
        <w:jc w:val="both"/>
        <w:rPr>
          <w:rFonts w:ascii="Times New Roman" w:eastAsia="Calibri" w:hAnsi="Times New Roman" w:cs="Times New Roman"/>
        </w:rPr>
      </w:pPr>
    </w:p>
    <w:p w:rsidR="008B31E6" w:rsidRPr="006B3BF3" w:rsidRDefault="008B31E6" w:rsidP="008B31E6">
      <w:pPr>
        <w:spacing w:after="0" w:line="240" w:lineRule="auto"/>
        <w:jc w:val="both"/>
        <w:rPr>
          <w:rFonts w:ascii="Times New Roman" w:eastAsia="Calibri" w:hAnsi="Times New Roman" w:cs="Times New Roman"/>
          <w:b/>
          <w:bCs/>
          <w:iCs/>
        </w:rPr>
      </w:pPr>
      <w:r w:rsidRPr="006B3BF3">
        <w:rPr>
          <w:rFonts w:ascii="Times New Roman" w:eastAsia="Calibri" w:hAnsi="Times New Roman" w:cs="Times New Roman"/>
          <w:b/>
          <w:bCs/>
          <w:iCs/>
        </w:rPr>
        <w:t>b) képességei</w:t>
      </w:r>
    </w:p>
    <w:p w:rsidR="008B31E6" w:rsidRPr="00902B86"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902B86">
        <w:rPr>
          <w:rFonts w:ascii="Times New Roman" w:eastAsia="Calibri" w:hAnsi="Times New Roman" w:cs="Times New Roman"/>
        </w:rPr>
        <w:t>Képes a szakterületén rendszeresített és használt berendezések és technikai eszközök használatának megszervezésére és hatékony alkalmazására.</w:t>
      </w:r>
    </w:p>
    <w:p w:rsidR="008B31E6" w:rsidRPr="00902B86"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902B86">
        <w:rPr>
          <w:rFonts w:ascii="Times New Roman" w:eastAsia="Calibri" w:hAnsi="Times New Roman" w:cs="Times New Roman"/>
        </w:rPr>
        <w:t>Képes a technológiai utasításoknak megfelelően a fegyverzettechnikai eszközök technikai kiszolgálásának szakszerű végrehajtására, illetve a végrehajtás megszervezésére és ellenőrzésére.</w:t>
      </w:r>
    </w:p>
    <w:p w:rsidR="008B31E6" w:rsidRPr="00902B86"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902B86">
        <w:rPr>
          <w:rFonts w:ascii="Times New Roman" w:eastAsia="Calibri" w:hAnsi="Times New Roman" w:cs="Times New Roman"/>
        </w:rPr>
        <w:lastRenderedPageBreak/>
        <w:t>Képes az alegységszinten elvégzendő szükség szerinti javítások megszervezésére, végrehajtására és a végrehajtás ellenőrzésére.</w:t>
      </w:r>
    </w:p>
    <w:p w:rsidR="008B31E6" w:rsidRPr="00902B86"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902B86">
        <w:rPr>
          <w:rFonts w:ascii="Times New Roman" w:eastAsia="Calibri" w:hAnsi="Times New Roman" w:cs="Times New Roman"/>
        </w:rPr>
        <w:t>Képes más logisztikai beosztásokban dolgozó személyekkel való együttműködésre.</w:t>
      </w:r>
    </w:p>
    <w:p w:rsidR="008B31E6" w:rsidRPr="00902B86"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902B86">
        <w:rPr>
          <w:rFonts w:ascii="Times New Roman" w:eastAsia="Calibri" w:hAnsi="Times New Roman" w:cs="Times New Roman"/>
        </w:rPr>
        <w:t>Aktívan képes részt venni a fegyverzettechnikai szakfeladatok végrehajtásában többnemzeti környezetben is.</w:t>
      </w:r>
    </w:p>
    <w:p w:rsidR="008B31E6" w:rsidRPr="00902B86"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902B86">
        <w:rPr>
          <w:rFonts w:ascii="Times New Roman" w:eastAsia="Calibri" w:hAnsi="Times New Roman" w:cs="Times New Roman"/>
        </w:rPr>
        <w:t>Képes a fegyverzettechnikai eszközök rendszerben tartását tervezni, szervezni és irányítani.</w:t>
      </w:r>
    </w:p>
    <w:p w:rsidR="008B31E6" w:rsidRPr="00902B86"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902B86">
        <w:rPr>
          <w:rFonts w:ascii="Times New Roman" w:eastAsia="Calibri" w:hAnsi="Times New Roman" w:cs="Times New Roman"/>
        </w:rPr>
        <w:t>Képes a szakterületéhez kapcsolódó ügydarabokat elkészíteni, haditechnikai eszköz átadás-átvételét végrehajtani és jegyzőkönyveket elkészíteni.</w:t>
      </w:r>
    </w:p>
    <w:p w:rsidR="008B31E6" w:rsidRPr="00902B86"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902B86">
        <w:rPr>
          <w:rFonts w:ascii="Times New Roman" w:eastAsia="Calibri" w:hAnsi="Times New Roman" w:cs="Times New Roman"/>
        </w:rPr>
        <w:t>Képes a biztonságos munkavégzés feltételeit megteremteni, a biztonságos munkavégzéshez szükséges szabályokat másokkal is betartatni.</w:t>
      </w:r>
    </w:p>
    <w:p w:rsidR="008B31E6" w:rsidRPr="00902B86"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902B86">
        <w:rPr>
          <w:rFonts w:ascii="Times New Roman" w:eastAsia="Calibri" w:hAnsi="Times New Roman" w:cs="Times New Roman"/>
        </w:rPr>
        <w:t>Képes a zászlóalj fegyverzettechnikai biztosításának a megszervezésére és aktívan képes részt venni a dandár fegyverzettechnikai biztosítás megszervezésében.</w:t>
      </w:r>
    </w:p>
    <w:p w:rsidR="008B31E6" w:rsidRPr="00902B86"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902B86">
        <w:rPr>
          <w:rFonts w:ascii="Times New Roman" w:eastAsia="Calibri" w:hAnsi="Times New Roman" w:cs="Times New Roman"/>
        </w:rPr>
        <w:t>Képes az alárendeltségében levő szakjavító alegység munkájának a megtervezésére, megszervezésére, irányítására és ellenőrzésére.</w:t>
      </w:r>
    </w:p>
    <w:p w:rsidR="008B31E6" w:rsidRPr="00902B86"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902B86">
        <w:rPr>
          <w:rFonts w:ascii="Times New Roman" w:eastAsia="Calibri" w:hAnsi="Times New Roman" w:cs="Times New Roman"/>
        </w:rPr>
        <w:t>Képes a megtanultakat felhasználva a szakterületén felmerülő új műszaki információkat megérteni és megtanulni.</w:t>
      </w:r>
    </w:p>
    <w:p w:rsidR="008B31E6" w:rsidRPr="006B3BF3" w:rsidRDefault="008B31E6" w:rsidP="008B31E6">
      <w:pPr>
        <w:tabs>
          <w:tab w:val="left" w:pos="284"/>
        </w:tabs>
        <w:autoSpaceDE w:val="0"/>
        <w:autoSpaceDN w:val="0"/>
        <w:adjustRightInd w:val="0"/>
        <w:spacing w:after="0" w:line="240" w:lineRule="auto"/>
        <w:jc w:val="both"/>
        <w:rPr>
          <w:rFonts w:ascii="Times New Roman" w:eastAsia="Times New Roman" w:hAnsi="Times New Roman" w:cs="Times New Roman"/>
          <w:lang w:eastAsia="hu-HU"/>
        </w:rPr>
      </w:pPr>
    </w:p>
    <w:p w:rsidR="008B31E6" w:rsidRPr="006B3BF3" w:rsidRDefault="008B31E6" w:rsidP="008B31E6">
      <w:pPr>
        <w:tabs>
          <w:tab w:val="left" w:pos="284"/>
        </w:tabs>
        <w:spacing w:after="0" w:line="240" w:lineRule="auto"/>
        <w:jc w:val="both"/>
        <w:rPr>
          <w:rFonts w:ascii="Times New Roman" w:eastAsia="Calibri" w:hAnsi="Times New Roman" w:cs="Times New Roman"/>
          <w:b/>
          <w:bCs/>
          <w:iCs/>
        </w:rPr>
      </w:pPr>
      <w:r w:rsidRPr="006B3BF3">
        <w:rPr>
          <w:rFonts w:ascii="Times New Roman" w:eastAsia="Calibri" w:hAnsi="Times New Roman" w:cs="Times New Roman"/>
          <w:b/>
          <w:bCs/>
          <w:iCs/>
        </w:rPr>
        <w:t>c) attitűdje</w:t>
      </w:r>
    </w:p>
    <w:p w:rsidR="008B31E6" w:rsidRPr="00902B86"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902B86">
        <w:rPr>
          <w:rFonts w:ascii="Times New Roman" w:eastAsia="Calibri" w:hAnsi="Times New Roman" w:cs="Times New Roman"/>
        </w:rPr>
        <w:t>Nyitott a fegyverzettechnikával kapcsolatos szakmai ismereteinek gyarapítása iránt, folyamatos önképzési igény jellemzi.</w:t>
      </w:r>
    </w:p>
    <w:p w:rsidR="008B31E6" w:rsidRPr="00902B86"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902B86">
        <w:rPr>
          <w:rFonts w:ascii="Times New Roman" w:eastAsia="Calibri" w:hAnsi="Times New Roman" w:cs="Times New Roman"/>
        </w:rPr>
        <w:t>Szakmai feladatainak végrehajtása során együttműködési készség jellemezi, törekszik a munkatársainak a bevonására a döntési folyamatokba.</w:t>
      </w:r>
    </w:p>
    <w:p w:rsidR="008B31E6" w:rsidRPr="00902B86"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902B86">
        <w:rPr>
          <w:rFonts w:ascii="Times New Roman" w:eastAsia="Calibri" w:hAnsi="Times New Roman" w:cs="Times New Roman"/>
        </w:rPr>
        <w:t>Törekszik munkája során a vonatkozó szabályok betartására és betartatására.</w:t>
      </w:r>
    </w:p>
    <w:p w:rsidR="008B31E6" w:rsidRPr="00902B86"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902B86">
        <w:rPr>
          <w:rFonts w:ascii="Times New Roman" w:eastAsia="Calibri" w:hAnsi="Times New Roman" w:cs="Times New Roman"/>
        </w:rPr>
        <w:t>Munkáját és emberi kapcsolatait a megbízhatóság jellemzi.</w:t>
      </w:r>
    </w:p>
    <w:p w:rsidR="008B31E6" w:rsidRPr="00902B86"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902B86">
        <w:rPr>
          <w:rFonts w:ascii="Times New Roman" w:eastAsia="Calibri" w:hAnsi="Times New Roman" w:cs="Times New Roman"/>
        </w:rPr>
        <w:t>Nyitott szakterülete új eredményei felé, törekszik azok megismerésére.</w:t>
      </w:r>
    </w:p>
    <w:p w:rsidR="008B31E6" w:rsidRPr="006B3BF3" w:rsidRDefault="008B31E6" w:rsidP="008B31E6">
      <w:pPr>
        <w:tabs>
          <w:tab w:val="left" w:pos="284"/>
        </w:tabs>
        <w:autoSpaceDE w:val="0"/>
        <w:autoSpaceDN w:val="0"/>
        <w:adjustRightInd w:val="0"/>
        <w:spacing w:after="0" w:line="240" w:lineRule="auto"/>
        <w:jc w:val="both"/>
        <w:rPr>
          <w:rFonts w:ascii="Times New Roman" w:eastAsia="Times New Roman" w:hAnsi="Times New Roman" w:cs="Times New Roman"/>
          <w:lang w:eastAsia="hu-HU"/>
        </w:rPr>
      </w:pPr>
    </w:p>
    <w:p w:rsidR="008B31E6" w:rsidRPr="006B3BF3" w:rsidRDefault="008B31E6" w:rsidP="008B31E6">
      <w:pPr>
        <w:tabs>
          <w:tab w:val="left" w:pos="284"/>
        </w:tabs>
        <w:spacing w:after="0" w:line="240" w:lineRule="auto"/>
        <w:jc w:val="both"/>
        <w:rPr>
          <w:rFonts w:ascii="Times New Roman" w:eastAsia="Calibri" w:hAnsi="Times New Roman" w:cs="Times New Roman"/>
          <w:b/>
          <w:bCs/>
          <w:iCs/>
        </w:rPr>
      </w:pPr>
      <w:r w:rsidRPr="006B3BF3">
        <w:rPr>
          <w:rFonts w:ascii="Times New Roman" w:eastAsia="Calibri" w:hAnsi="Times New Roman" w:cs="Times New Roman"/>
          <w:b/>
          <w:bCs/>
          <w:iCs/>
        </w:rPr>
        <w:t>d) autonómiája és felelőssége</w:t>
      </w:r>
    </w:p>
    <w:p w:rsidR="008B31E6" w:rsidRPr="00902B86"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902B86">
        <w:rPr>
          <w:rFonts w:ascii="Times New Roman" w:eastAsia="Calibri" w:hAnsi="Times New Roman" w:cs="Times New Roman"/>
        </w:rPr>
        <w:t>Képes szakfeladatait önállóan végezni, saját munkáját hatékonyan megszervezni és végrehajtani.</w:t>
      </w:r>
    </w:p>
    <w:p w:rsidR="008B31E6" w:rsidRPr="00902B86"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902B86">
        <w:rPr>
          <w:rFonts w:ascii="Times New Roman" w:eastAsia="Calibri" w:hAnsi="Times New Roman" w:cs="Times New Roman"/>
        </w:rPr>
        <w:t>Képes alárendeltjeinek feladatait megszervezni és meghatározni, valamint elvégzett munkájukat szakmai szempontok alapján ellenőrizni.</w:t>
      </w:r>
    </w:p>
    <w:p w:rsidR="008B31E6" w:rsidRPr="00902B86"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902B86">
        <w:rPr>
          <w:rFonts w:ascii="Times New Roman" w:eastAsia="Calibri" w:hAnsi="Times New Roman" w:cs="Times New Roman"/>
        </w:rPr>
        <w:t>A fegyverzettechnikai eszközök technikai kiszolgálása és javítása során képes elemzések végrehajtása után a legmegfelelőbb döntéseket meghozni, amely döntésekért a szakmai felelősséget vállalja.</w:t>
      </w:r>
    </w:p>
    <w:p w:rsidR="008B31E6" w:rsidRPr="00902B86"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902B86">
        <w:rPr>
          <w:rFonts w:ascii="Times New Roman" w:eastAsia="Calibri" w:hAnsi="Times New Roman" w:cs="Times New Roman"/>
        </w:rPr>
        <w:t>Együttműködés és felelősség jellemzi szakterületének szakembereivel szemben.</w:t>
      </w:r>
    </w:p>
    <w:p w:rsidR="008B31E6" w:rsidRPr="00902B86" w:rsidRDefault="008B31E6" w:rsidP="00980876">
      <w:pPr>
        <w:widowControl w:val="0"/>
        <w:numPr>
          <w:ilvl w:val="0"/>
          <w:numId w:val="605"/>
        </w:numPr>
        <w:autoSpaceDE w:val="0"/>
        <w:autoSpaceDN w:val="0"/>
        <w:adjustRightInd w:val="0"/>
        <w:spacing w:after="0" w:line="240" w:lineRule="auto"/>
        <w:ind w:left="426"/>
        <w:jc w:val="both"/>
        <w:rPr>
          <w:rFonts w:ascii="Times New Roman" w:eastAsia="Calibri" w:hAnsi="Times New Roman" w:cs="Times New Roman"/>
        </w:rPr>
      </w:pPr>
      <w:r w:rsidRPr="00902B86">
        <w:rPr>
          <w:rFonts w:ascii="Times New Roman" w:eastAsia="Calibri" w:hAnsi="Times New Roman" w:cs="Times New Roman"/>
        </w:rPr>
        <w:t>Szakterületén belül képes rendszer-szemléletűen gondolkodni.</w:t>
      </w:r>
    </w:p>
    <w:p w:rsidR="008B31E6" w:rsidRPr="006B3BF3" w:rsidRDefault="008B31E6" w:rsidP="008B31E6">
      <w:pPr>
        <w:tabs>
          <w:tab w:val="left" w:pos="284"/>
        </w:tabs>
        <w:spacing w:after="0" w:line="240" w:lineRule="auto"/>
        <w:jc w:val="both"/>
        <w:rPr>
          <w:rFonts w:ascii="Times New Roman" w:eastAsia="Calibri" w:hAnsi="Times New Roman" w:cs="Times New Roman"/>
        </w:rPr>
      </w:pPr>
    </w:p>
    <w:p w:rsidR="008B31E6" w:rsidRDefault="008B31E6" w:rsidP="001A1F62">
      <w:pPr>
        <w:pStyle w:val="Cmsor1"/>
        <w:spacing w:after="120"/>
        <w:rPr>
          <w:i w:val="0"/>
          <w:sz w:val="22"/>
          <w:szCs w:val="22"/>
          <w:u w:val="none"/>
        </w:rPr>
      </w:pPr>
      <w:bookmarkStart w:id="14" w:name="_Toc37240833"/>
      <w:r>
        <w:rPr>
          <w:i w:val="0"/>
          <w:sz w:val="22"/>
          <w:szCs w:val="22"/>
          <w:u w:val="none"/>
        </w:rPr>
        <w:t>7. A képzés időtényezői</w:t>
      </w:r>
      <w:bookmarkEnd w:id="13"/>
      <w:bookmarkEnd w:id="14"/>
    </w:p>
    <w:p w:rsidR="008B31E6" w:rsidRPr="009B33D5" w:rsidRDefault="008B31E6" w:rsidP="008B31E6">
      <w:pPr>
        <w:spacing w:after="0" w:line="240" w:lineRule="auto"/>
        <w:rPr>
          <w:rFonts w:ascii="Times New Roman" w:hAnsi="Times New Roman" w:cs="Times New Roman"/>
          <w:b/>
        </w:rPr>
      </w:pPr>
      <w:bookmarkStart w:id="15" w:name="_Toc482688819"/>
      <w:r w:rsidRPr="009B33D5">
        <w:rPr>
          <w:rFonts w:ascii="Times New Roman" w:hAnsi="Times New Roman" w:cs="Times New Roman"/>
        </w:rPr>
        <w:t>A képzési idő félévekben:</w:t>
      </w:r>
      <w:bookmarkEnd w:id="15"/>
      <w:r w:rsidRPr="009B33D5">
        <w:rPr>
          <w:rFonts w:ascii="Times New Roman" w:hAnsi="Times New Roman" w:cs="Times New Roman"/>
        </w:rPr>
        <w:t xml:space="preserve"> 8</w:t>
      </w:r>
      <w:r w:rsidRPr="009B33D5">
        <w:rPr>
          <w:rFonts w:ascii="Times New Roman" w:hAnsi="Times New Roman" w:cs="Times New Roman"/>
          <w:b/>
        </w:rPr>
        <w:t xml:space="preserve"> </w:t>
      </w:r>
      <w:r w:rsidRPr="009B33D5">
        <w:rPr>
          <w:rFonts w:ascii="Times New Roman" w:hAnsi="Times New Roman" w:cs="Times New Roman"/>
        </w:rPr>
        <w:t>félév</w:t>
      </w:r>
    </w:p>
    <w:p w:rsidR="008B31E6" w:rsidRDefault="008B31E6" w:rsidP="008B31E6">
      <w:pPr>
        <w:spacing w:after="0" w:line="240" w:lineRule="auto"/>
        <w:rPr>
          <w:rFonts w:ascii="Times New Roman" w:hAnsi="Times New Roman" w:cs="Times New Roman"/>
        </w:rPr>
      </w:pPr>
      <w:bookmarkStart w:id="16" w:name="_Toc482688820"/>
    </w:p>
    <w:p w:rsidR="008B31E6" w:rsidRDefault="008B31E6" w:rsidP="008B31E6">
      <w:pPr>
        <w:spacing w:after="0" w:line="240" w:lineRule="auto"/>
        <w:rPr>
          <w:rFonts w:ascii="Times New Roman" w:hAnsi="Times New Roman" w:cs="Times New Roman"/>
          <w:b/>
        </w:rPr>
      </w:pPr>
      <w:r>
        <w:rPr>
          <w:rFonts w:ascii="Times New Roman" w:hAnsi="Times New Roman" w:cs="Times New Roman"/>
          <w:b/>
        </w:rPr>
        <w:t>A képzési idő részletezése:</w:t>
      </w:r>
      <w:bookmarkEnd w:id="16"/>
    </w:p>
    <w:tbl>
      <w:tblPr>
        <w:tblW w:w="0"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334"/>
        <w:gridCol w:w="4246"/>
      </w:tblGrid>
      <w:tr w:rsidR="008B31E6" w:rsidRPr="009B33D5" w:rsidTr="00D9638D">
        <w:tc>
          <w:tcPr>
            <w:tcW w:w="4334" w:type="dxa"/>
            <w:tcBorders>
              <w:top w:val="single" w:sz="4" w:space="0" w:color="auto"/>
              <w:left w:val="single" w:sz="4" w:space="0" w:color="auto"/>
              <w:bottom w:val="single" w:sz="4" w:space="0" w:color="auto"/>
              <w:right w:val="single" w:sz="4" w:space="0" w:color="auto"/>
            </w:tcBorders>
            <w:hideMark/>
          </w:tcPr>
          <w:p w:rsidR="008B31E6" w:rsidRPr="009B33D5" w:rsidRDefault="008B31E6" w:rsidP="00D9638D">
            <w:pPr>
              <w:spacing w:after="0" w:line="240" w:lineRule="auto"/>
              <w:rPr>
                <w:rFonts w:ascii="Times New Roman" w:hAnsi="Times New Roman" w:cs="Times New Roman"/>
              </w:rPr>
            </w:pPr>
            <w:r w:rsidRPr="009B33D5">
              <w:rPr>
                <w:rFonts w:ascii="Times New Roman" w:hAnsi="Times New Roman" w:cs="Times New Roman"/>
              </w:rPr>
              <w:t>A fokozat megszerzéséhez összegyűjtendő kreditek száma</w:t>
            </w:r>
          </w:p>
        </w:tc>
        <w:tc>
          <w:tcPr>
            <w:tcW w:w="4246" w:type="dxa"/>
            <w:tcBorders>
              <w:top w:val="single" w:sz="4" w:space="0" w:color="auto"/>
              <w:left w:val="single" w:sz="4" w:space="0" w:color="auto"/>
              <w:bottom w:val="single" w:sz="4" w:space="0" w:color="auto"/>
              <w:right w:val="single" w:sz="4" w:space="0" w:color="auto"/>
            </w:tcBorders>
            <w:vAlign w:val="center"/>
            <w:hideMark/>
          </w:tcPr>
          <w:p w:rsidR="008B31E6" w:rsidRPr="009B33D5" w:rsidRDefault="008B31E6" w:rsidP="00D9638D">
            <w:pPr>
              <w:spacing w:after="0" w:line="240" w:lineRule="auto"/>
              <w:rPr>
                <w:rFonts w:ascii="Times New Roman" w:hAnsi="Times New Roman" w:cs="Times New Roman"/>
                <w:bCs/>
              </w:rPr>
            </w:pPr>
            <w:r w:rsidRPr="009B33D5">
              <w:rPr>
                <w:rFonts w:ascii="Times New Roman" w:hAnsi="Times New Roman" w:cs="Times New Roman"/>
                <w:bCs/>
              </w:rPr>
              <w:t>240 kredit</w:t>
            </w:r>
          </w:p>
        </w:tc>
      </w:tr>
      <w:tr w:rsidR="008B31E6" w:rsidRPr="009B33D5" w:rsidTr="00D9638D">
        <w:tc>
          <w:tcPr>
            <w:tcW w:w="4334" w:type="dxa"/>
            <w:tcBorders>
              <w:top w:val="single" w:sz="4" w:space="0" w:color="auto"/>
              <w:left w:val="single" w:sz="4" w:space="0" w:color="auto"/>
              <w:bottom w:val="single" w:sz="4" w:space="0" w:color="auto"/>
              <w:right w:val="single" w:sz="4" w:space="0" w:color="auto"/>
            </w:tcBorders>
            <w:hideMark/>
          </w:tcPr>
          <w:p w:rsidR="008B31E6" w:rsidRPr="009B33D5" w:rsidRDefault="008B31E6" w:rsidP="00D9638D">
            <w:pPr>
              <w:spacing w:after="0" w:line="240" w:lineRule="auto"/>
              <w:rPr>
                <w:rFonts w:ascii="Times New Roman" w:hAnsi="Times New Roman" w:cs="Times New Roman"/>
              </w:rPr>
            </w:pPr>
            <w:r w:rsidRPr="009B33D5">
              <w:rPr>
                <w:rFonts w:ascii="Times New Roman" w:hAnsi="Times New Roman" w:cs="Times New Roman"/>
              </w:rPr>
              <w:t>Összes hallgatói tanulmányi munkaóra</w:t>
            </w:r>
          </w:p>
        </w:tc>
        <w:tc>
          <w:tcPr>
            <w:tcW w:w="4246" w:type="dxa"/>
            <w:tcBorders>
              <w:top w:val="single" w:sz="4" w:space="0" w:color="auto"/>
              <w:left w:val="single" w:sz="4" w:space="0" w:color="auto"/>
              <w:bottom w:val="single" w:sz="4" w:space="0" w:color="auto"/>
              <w:right w:val="single" w:sz="4" w:space="0" w:color="auto"/>
            </w:tcBorders>
            <w:hideMark/>
          </w:tcPr>
          <w:p w:rsidR="008B31E6" w:rsidRPr="009B33D5" w:rsidRDefault="008B31E6" w:rsidP="00D9638D">
            <w:pPr>
              <w:spacing w:after="0" w:line="240" w:lineRule="auto"/>
              <w:rPr>
                <w:rFonts w:ascii="Times New Roman" w:hAnsi="Times New Roman" w:cs="Times New Roman"/>
                <w:bCs/>
              </w:rPr>
            </w:pPr>
            <w:r w:rsidRPr="009B33D5">
              <w:rPr>
                <w:rFonts w:ascii="Times New Roman" w:hAnsi="Times New Roman" w:cs="Times New Roman"/>
                <w:bCs/>
              </w:rPr>
              <w:t>7200 Munkaóra</w:t>
            </w:r>
          </w:p>
        </w:tc>
      </w:tr>
      <w:tr w:rsidR="008B31E6" w:rsidRPr="009B33D5" w:rsidTr="00D9638D">
        <w:tc>
          <w:tcPr>
            <w:tcW w:w="4334" w:type="dxa"/>
            <w:tcBorders>
              <w:top w:val="single" w:sz="4" w:space="0" w:color="auto"/>
              <w:left w:val="single" w:sz="4" w:space="0" w:color="auto"/>
              <w:bottom w:val="single" w:sz="4" w:space="0" w:color="auto"/>
              <w:right w:val="single" w:sz="4" w:space="0" w:color="auto"/>
            </w:tcBorders>
            <w:hideMark/>
          </w:tcPr>
          <w:p w:rsidR="008B31E6" w:rsidRPr="009B33D5" w:rsidRDefault="008B31E6" w:rsidP="00D9638D">
            <w:pPr>
              <w:spacing w:after="0" w:line="240" w:lineRule="auto"/>
              <w:rPr>
                <w:rFonts w:ascii="Times New Roman" w:hAnsi="Times New Roman" w:cs="Times New Roman"/>
              </w:rPr>
            </w:pPr>
            <w:r w:rsidRPr="009B33D5">
              <w:rPr>
                <w:rFonts w:ascii="Times New Roman" w:hAnsi="Times New Roman" w:cs="Times New Roman"/>
              </w:rPr>
              <w:t>Hallgatói munkamennyiség kreditben egy tanulmányi félévben:</w:t>
            </w:r>
          </w:p>
        </w:tc>
        <w:tc>
          <w:tcPr>
            <w:tcW w:w="4246" w:type="dxa"/>
            <w:tcBorders>
              <w:top w:val="single" w:sz="4" w:space="0" w:color="auto"/>
              <w:left w:val="single" w:sz="4" w:space="0" w:color="auto"/>
              <w:bottom w:val="single" w:sz="4" w:space="0" w:color="auto"/>
              <w:right w:val="single" w:sz="4" w:space="0" w:color="auto"/>
            </w:tcBorders>
            <w:hideMark/>
          </w:tcPr>
          <w:p w:rsidR="008B31E6" w:rsidRPr="009B33D5" w:rsidRDefault="008B31E6" w:rsidP="00D9638D">
            <w:pPr>
              <w:spacing w:after="0" w:line="240" w:lineRule="auto"/>
              <w:rPr>
                <w:rFonts w:ascii="Times New Roman" w:hAnsi="Times New Roman" w:cs="Times New Roman"/>
                <w:bCs/>
              </w:rPr>
            </w:pPr>
            <w:r w:rsidRPr="009B33D5">
              <w:rPr>
                <w:rFonts w:ascii="Times New Roman" w:hAnsi="Times New Roman" w:cs="Times New Roman"/>
                <w:bCs/>
              </w:rPr>
              <w:t>átlagosan 30 kredit</w:t>
            </w:r>
          </w:p>
        </w:tc>
      </w:tr>
      <w:tr w:rsidR="008B31E6" w:rsidRPr="009B33D5" w:rsidTr="00D9638D">
        <w:tc>
          <w:tcPr>
            <w:tcW w:w="4334" w:type="dxa"/>
            <w:tcBorders>
              <w:top w:val="single" w:sz="4" w:space="0" w:color="auto"/>
              <w:left w:val="single" w:sz="4" w:space="0" w:color="auto"/>
              <w:bottom w:val="single" w:sz="4" w:space="0" w:color="auto"/>
              <w:right w:val="single" w:sz="4" w:space="0" w:color="auto"/>
            </w:tcBorders>
            <w:hideMark/>
          </w:tcPr>
          <w:p w:rsidR="008B31E6" w:rsidRPr="009B33D5" w:rsidRDefault="008B31E6" w:rsidP="00D9638D">
            <w:pPr>
              <w:spacing w:after="0" w:line="240" w:lineRule="auto"/>
              <w:rPr>
                <w:rFonts w:ascii="Times New Roman" w:hAnsi="Times New Roman" w:cs="Times New Roman"/>
              </w:rPr>
            </w:pPr>
            <w:r w:rsidRPr="009B33D5">
              <w:rPr>
                <w:rFonts w:ascii="Times New Roman" w:hAnsi="Times New Roman" w:cs="Times New Roman"/>
              </w:rPr>
              <w:t>Egy tanulmányi félévben a tanórák száma nappali munkarendben</w:t>
            </w:r>
          </w:p>
        </w:tc>
        <w:tc>
          <w:tcPr>
            <w:tcW w:w="4246" w:type="dxa"/>
            <w:tcBorders>
              <w:top w:val="single" w:sz="4" w:space="0" w:color="auto"/>
              <w:left w:val="single" w:sz="4" w:space="0" w:color="auto"/>
              <w:bottom w:val="single" w:sz="4" w:space="0" w:color="auto"/>
              <w:right w:val="single" w:sz="4" w:space="0" w:color="auto"/>
            </w:tcBorders>
            <w:vAlign w:val="center"/>
            <w:hideMark/>
          </w:tcPr>
          <w:p w:rsidR="008B31E6" w:rsidRPr="009B33D5" w:rsidRDefault="008B31E6" w:rsidP="00D9638D">
            <w:pPr>
              <w:spacing w:after="0" w:line="240" w:lineRule="auto"/>
              <w:rPr>
                <w:rFonts w:ascii="Times New Roman" w:hAnsi="Times New Roman" w:cs="Times New Roman"/>
                <w:bCs/>
              </w:rPr>
            </w:pPr>
            <w:r w:rsidRPr="009B33D5">
              <w:rPr>
                <w:rFonts w:ascii="Times New Roman" w:hAnsi="Times New Roman" w:cs="Times New Roman"/>
                <w:bCs/>
              </w:rPr>
              <w:t>átlagosan 480 tanóra</w:t>
            </w:r>
          </w:p>
        </w:tc>
      </w:tr>
      <w:tr w:rsidR="008B31E6" w:rsidRPr="009B33D5" w:rsidTr="00D9638D">
        <w:tc>
          <w:tcPr>
            <w:tcW w:w="4334" w:type="dxa"/>
            <w:tcBorders>
              <w:top w:val="single" w:sz="4" w:space="0" w:color="auto"/>
              <w:left w:val="single" w:sz="4" w:space="0" w:color="auto"/>
              <w:bottom w:val="single" w:sz="4" w:space="0" w:color="auto"/>
              <w:right w:val="single" w:sz="4" w:space="0" w:color="auto"/>
            </w:tcBorders>
            <w:hideMark/>
          </w:tcPr>
          <w:p w:rsidR="008B31E6" w:rsidRPr="009B33D5" w:rsidRDefault="008B31E6" w:rsidP="00D9638D">
            <w:pPr>
              <w:spacing w:after="0" w:line="240" w:lineRule="auto"/>
              <w:rPr>
                <w:rFonts w:ascii="Times New Roman" w:hAnsi="Times New Roman" w:cs="Times New Roman"/>
              </w:rPr>
            </w:pPr>
            <w:r w:rsidRPr="009B33D5">
              <w:rPr>
                <w:rFonts w:ascii="Times New Roman" w:hAnsi="Times New Roman" w:cs="Times New Roman"/>
              </w:rPr>
              <w:t>A heti tanórák jellemző száma nappali munkarendben</w:t>
            </w:r>
          </w:p>
        </w:tc>
        <w:tc>
          <w:tcPr>
            <w:tcW w:w="4246" w:type="dxa"/>
            <w:tcBorders>
              <w:top w:val="single" w:sz="4" w:space="0" w:color="auto"/>
              <w:left w:val="single" w:sz="4" w:space="0" w:color="auto"/>
              <w:bottom w:val="single" w:sz="4" w:space="0" w:color="auto"/>
              <w:right w:val="single" w:sz="4" w:space="0" w:color="auto"/>
            </w:tcBorders>
            <w:vAlign w:val="center"/>
            <w:hideMark/>
          </w:tcPr>
          <w:p w:rsidR="008B31E6" w:rsidRPr="009B33D5" w:rsidRDefault="008B31E6" w:rsidP="00D9638D">
            <w:pPr>
              <w:spacing w:after="0" w:line="240" w:lineRule="auto"/>
              <w:rPr>
                <w:rFonts w:ascii="Times New Roman" w:hAnsi="Times New Roman" w:cs="Times New Roman"/>
                <w:bCs/>
              </w:rPr>
            </w:pPr>
            <w:r w:rsidRPr="009B33D5">
              <w:rPr>
                <w:rFonts w:ascii="Times New Roman" w:hAnsi="Times New Roman" w:cs="Times New Roman"/>
                <w:bCs/>
              </w:rPr>
              <w:t>átlagosan 30 tanóra, ebből a kredithez rendelt tanórák száma átlagosan: 26 tanóra</w:t>
            </w:r>
          </w:p>
        </w:tc>
      </w:tr>
      <w:tr w:rsidR="008B31E6" w:rsidRPr="009B33D5" w:rsidTr="00D9638D">
        <w:tc>
          <w:tcPr>
            <w:tcW w:w="4334" w:type="dxa"/>
            <w:tcBorders>
              <w:top w:val="single" w:sz="4" w:space="0" w:color="auto"/>
              <w:left w:val="single" w:sz="4" w:space="0" w:color="auto"/>
              <w:bottom w:val="single" w:sz="4" w:space="0" w:color="auto"/>
              <w:right w:val="single" w:sz="4" w:space="0" w:color="auto"/>
            </w:tcBorders>
            <w:hideMark/>
          </w:tcPr>
          <w:p w:rsidR="008B31E6" w:rsidRPr="009B33D5" w:rsidRDefault="008B31E6" w:rsidP="00D9638D">
            <w:pPr>
              <w:spacing w:after="0" w:line="240" w:lineRule="auto"/>
              <w:rPr>
                <w:rFonts w:ascii="Times New Roman" w:hAnsi="Times New Roman" w:cs="Times New Roman"/>
              </w:rPr>
            </w:pPr>
            <w:r w:rsidRPr="009B33D5">
              <w:rPr>
                <w:rFonts w:ascii="Times New Roman" w:hAnsi="Times New Roman" w:cs="Times New Roman"/>
              </w:rPr>
              <w:t>Egy tanulmányi félévben a tanórák száma levelező munkarendben</w:t>
            </w:r>
          </w:p>
        </w:tc>
        <w:tc>
          <w:tcPr>
            <w:tcW w:w="4246" w:type="dxa"/>
            <w:tcBorders>
              <w:top w:val="single" w:sz="4" w:space="0" w:color="auto"/>
              <w:left w:val="single" w:sz="4" w:space="0" w:color="auto"/>
              <w:bottom w:val="single" w:sz="4" w:space="0" w:color="auto"/>
              <w:right w:val="single" w:sz="4" w:space="0" w:color="auto"/>
            </w:tcBorders>
            <w:vAlign w:val="center"/>
            <w:hideMark/>
          </w:tcPr>
          <w:p w:rsidR="008B31E6" w:rsidRPr="009B33D5" w:rsidRDefault="008B31E6" w:rsidP="00D9638D">
            <w:pPr>
              <w:spacing w:after="0" w:line="240" w:lineRule="auto"/>
              <w:rPr>
                <w:rFonts w:ascii="Times New Roman" w:hAnsi="Times New Roman" w:cs="Times New Roman"/>
                <w:bCs/>
              </w:rPr>
            </w:pPr>
            <w:r w:rsidRPr="009B33D5">
              <w:rPr>
                <w:rFonts w:ascii="Times New Roman" w:hAnsi="Times New Roman" w:cs="Times New Roman"/>
                <w:bCs/>
              </w:rPr>
              <w:t>átlagosan 0 tanóra</w:t>
            </w:r>
          </w:p>
        </w:tc>
      </w:tr>
      <w:tr w:rsidR="008B31E6" w:rsidRPr="009B33D5" w:rsidTr="00D9638D">
        <w:tc>
          <w:tcPr>
            <w:tcW w:w="4334" w:type="dxa"/>
            <w:tcBorders>
              <w:top w:val="single" w:sz="4" w:space="0" w:color="auto"/>
              <w:left w:val="single" w:sz="4" w:space="0" w:color="auto"/>
              <w:bottom w:val="single" w:sz="4" w:space="0" w:color="auto"/>
              <w:right w:val="single" w:sz="4" w:space="0" w:color="auto"/>
            </w:tcBorders>
            <w:hideMark/>
          </w:tcPr>
          <w:p w:rsidR="008B31E6" w:rsidRPr="009B33D5" w:rsidRDefault="008B31E6" w:rsidP="00D9638D">
            <w:pPr>
              <w:spacing w:after="0" w:line="240" w:lineRule="auto"/>
              <w:rPr>
                <w:rFonts w:ascii="Times New Roman" w:hAnsi="Times New Roman" w:cs="Times New Roman"/>
              </w:rPr>
            </w:pPr>
            <w:r w:rsidRPr="009B33D5">
              <w:rPr>
                <w:rFonts w:ascii="Times New Roman" w:hAnsi="Times New Roman" w:cs="Times New Roman"/>
              </w:rPr>
              <w:t>Szakmai gyakorlat(ok) időtartama:</w:t>
            </w:r>
          </w:p>
        </w:tc>
        <w:tc>
          <w:tcPr>
            <w:tcW w:w="4246" w:type="dxa"/>
            <w:tcBorders>
              <w:top w:val="single" w:sz="4" w:space="0" w:color="auto"/>
              <w:left w:val="single" w:sz="4" w:space="0" w:color="auto"/>
              <w:bottom w:val="single" w:sz="4" w:space="0" w:color="auto"/>
              <w:right w:val="single" w:sz="4" w:space="0" w:color="auto"/>
            </w:tcBorders>
            <w:hideMark/>
          </w:tcPr>
          <w:p w:rsidR="008B31E6" w:rsidRPr="009B33D5" w:rsidRDefault="008B31E6" w:rsidP="00D9638D">
            <w:pPr>
              <w:spacing w:after="0" w:line="240" w:lineRule="auto"/>
              <w:rPr>
                <w:rFonts w:ascii="Times New Roman" w:hAnsi="Times New Roman" w:cs="Times New Roman"/>
                <w:bCs/>
              </w:rPr>
            </w:pPr>
            <w:r w:rsidRPr="009B33D5">
              <w:rPr>
                <w:rFonts w:ascii="Times New Roman" w:hAnsi="Times New Roman" w:cs="Times New Roman"/>
                <w:bCs/>
              </w:rPr>
              <w:t>14 hét / 420 óra</w:t>
            </w:r>
          </w:p>
        </w:tc>
      </w:tr>
    </w:tbl>
    <w:p w:rsidR="008B31E6" w:rsidRDefault="008B31E6" w:rsidP="008B31E6">
      <w:pPr>
        <w:spacing w:after="0" w:line="240" w:lineRule="auto"/>
        <w:rPr>
          <w:rFonts w:ascii="Times New Roman" w:hAnsi="Times New Roman" w:cs="Times New Roman"/>
        </w:rPr>
      </w:pPr>
      <w:bookmarkStart w:id="17" w:name="_Toc482688821"/>
    </w:p>
    <w:p w:rsidR="008B31E6" w:rsidRDefault="008B31E6" w:rsidP="008B31E6">
      <w:pPr>
        <w:rPr>
          <w:rFonts w:ascii="Times New Roman" w:eastAsia="Times New Roman" w:hAnsi="Times New Roman" w:cs="Times New Roman"/>
          <w:b/>
          <w:bCs/>
          <w:iCs/>
          <w:lang w:eastAsia="hu-HU"/>
        </w:rPr>
      </w:pPr>
      <w:r>
        <w:rPr>
          <w:i/>
        </w:rPr>
        <w:br w:type="page"/>
      </w:r>
    </w:p>
    <w:p w:rsidR="008B31E6" w:rsidRDefault="008B31E6" w:rsidP="001A1F62">
      <w:pPr>
        <w:pStyle w:val="Cmsor1"/>
        <w:spacing w:after="120"/>
        <w:rPr>
          <w:i w:val="0"/>
          <w:sz w:val="22"/>
          <w:szCs w:val="22"/>
          <w:u w:val="none"/>
          <w:lang w:eastAsia="ar-SA"/>
        </w:rPr>
      </w:pPr>
      <w:bookmarkStart w:id="18" w:name="_Toc37240834"/>
      <w:r>
        <w:rPr>
          <w:i w:val="0"/>
          <w:sz w:val="22"/>
          <w:szCs w:val="22"/>
          <w:u w:val="none"/>
        </w:rPr>
        <w:lastRenderedPageBreak/>
        <w:t>8.</w:t>
      </w:r>
      <w:r>
        <w:rPr>
          <w:i w:val="0"/>
          <w:sz w:val="22"/>
          <w:szCs w:val="22"/>
          <w:u w:val="none"/>
          <w:lang w:eastAsia="ar-SA"/>
        </w:rPr>
        <w:t xml:space="preserve"> A </w:t>
      </w:r>
      <w:r>
        <w:rPr>
          <w:i w:val="0"/>
          <w:sz w:val="22"/>
          <w:szCs w:val="22"/>
          <w:u w:val="none"/>
        </w:rPr>
        <w:t>képzés</w:t>
      </w:r>
      <w:r>
        <w:rPr>
          <w:i w:val="0"/>
          <w:sz w:val="22"/>
          <w:szCs w:val="22"/>
          <w:u w:val="none"/>
          <w:lang w:eastAsia="ar-SA"/>
        </w:rPr>
        <w:t xml:space="preserve"> felépítése</w:t>
      </w:r>
      <w:bookmarkEnd w:id="18"/>
    </w:p>
    <w:p w:rsidR="008B31E6" w:rsidRDefault="008B31E6" w:rsidP="008B31E6">
      <w:pPr>
        <w:widowControl w:val="0"/>
        <w:autoSpaceDE w:val="0"/>
        <w:autoSpaceDN w:val="0"/>
        <w:adjustRightInd w:val="0"/>
        <w:spacing w:after="0" w:line="240" w:lineRule="auto"/>
        <w:jc w:val="both"/>
        <w:rPr>
          <w:rFonts w:ascii="Times New Roman" w:eastAsia="Times New Roman" w:hAnsi="Times New Roman" w:cs="Times New Roman"/>
          <w:i/>
          <w:lang w:eastAsia="ar-SA"/>
        </w:rPr>
      </w:pPr>
      <w:r>
        <w:rPr>
          <w:rFonts w:ascii="Times New Roman" w:eastAsia="Times New Roman" w:hAnsi="Times New Roman" w:cs="Times New Roman"/>
          <w:b/>
          <w:i/>
          <w:lang w:eastAsia="ar-SA"/>
        </w:rPr>
        <w:t>8.1. a szakképzettséghez vezető tudományágak, szakterületek, amelyekből a szak felépül:</w:t>
      </w:r>
    </w:p>
    <w:p w:rsidR="008B31E6" w:rsidRDefault="008B31E6" w:rsidP="00980876">
      <w:pPr>
        <w:pStyle w:val="Listaszerbekezds"/>
        <w:widowControl w:val="0"/>
        <w:numPr>
          <w:ilvl w:val="0"/>
          <w:numId w:val="606"/>
        </w:numPr>
        <w:autoSpaceDE w:val="0"/>
        <w:autoSpaceDN w:val="0"/>
        <w:adjustRightInd w:val="0"/>
        <w:spacing w:after="0" w:line="240" w:lineRule="auto"/>
        <w:ind w:left="426"/>
        <w:jc w:val="both"/>
        <w:rPr>
          <w:rFonts w:ascii="Times New Roman" w:eastAsia="Times New Roman" w:hAnsi="Times New Roman" w:cs="Times New Roman"/>
          <w:lang w:eastAsia="ar-SA"/>
        </w:rPr>
      </w:pPr>
      <w:r w:rsidRPr="000B4D34">
        <w:rPr>
          <w:rFonts w:ascii="Times New Roman" w:eastAsia="Times New Roman" w:hAnsi="Times New Roman" w:cs="Times New Roman"/>
          <w:lang w:eastAsia="ar-SA"/>
        </w:rPr>
        <w:t>műveltség, kultúra, értékek modul (bölcsészettudomány, társadalomtudomány) 4-8 kredit,</w:t>
      </w:r>
    </w:p>
    <w:p w:rsidR="008B31E6" w:rsidRPr="000675FB" w:rsidRDefault="008B31E6" w:rsidP="00980876">
      <w:pPr>
        <w:pStyle w:val="Listaszerbekezds"/>
        <w:widowControl w:val="0"/>
        <w:numPr>
          <w:ilvl w:val="0"/>
          <w:numId w:val="606"/>
        </w:numPr>
        <w:autoSpaceDE w:val="0"/>
        <w:autoSpaceDN w:val="0"/>
        <w:adjustRightInd w:val="0"/>
        <w:spacing w:after="0" w:line="240" w:lineRule="auto"/>
        <w:ind w:left="426"/>
        <w:jc w:val="both"/>
        <w:rPr>
          <w:rFonts w:ascii="Times New Roman" w:eastAsia="Times New Roman" w:hAnsi="Times New Roman" w:cs="Times New Roman"/>
          <w:lang w:eastAsia="ar-SA"/>
        </w:rPr>
      </w:pPr>
      <w:r w:rsidRPr="000675FB">
        <w:rPr>
          <w:rFonts w:ascii="Times New Roman" w:eastAsia="Times New Roman" w:hAnsi="Times New Roman" w:cs="Times New Roman"/>
          <w:lang w:eastAsia="ar-SA"/>
        </w:rPr>
        <w:t>államtudományi modul (állam- és jogtudomány, hadtudomány, nemzetközi és fejlődéstanulmányok, információ- és kommunikációelmélet szakterületekből válogatva) 5-20 kredit,</w:t>
      </w:r>
    </w:p>
    <w:p w:rsidR="008B31E6" w:rsidRPr="000675FB" w:rsidRDefault="008B31E6" w:rsidP="00980876">
      <w:pPr>
        <w:pStyle w:val="Listaszerbekezds"/>
        <w:widowControl w:val="0"/>
        <w:numPr>
          <w:ilvl w:val="0"/>
          <w:numId w:val="606"/>
        </w:numPr>
        <w:autoSpaceDE w:val="0"/>
        <w:autoSpaceDN w:val="0"/>
        <w:adjustRightInd w:val="0"/>
        <w:spacing w:after="0" w:line="240" w:lineRule="auto"/>
        <w:ind w:left="426"/>
        <w:jc w:val="both"/>
        <w:rPr>
          <w:rFonts w:ascii="Times New Roman" w:eastAsia="Times New Roman" w:hAnsi="Times New Roman" w:cs="Times New Roman"/>
          <w:lang w:eastAsia="ar-SA"/>
        </w:rPr>
      </w:pPr>
      <w:r w:rsidRPr="000675FB">
        <w:rPr>
          <w:rFonts w:ascii="Times New Roman" w:eastAsia="Times New Roman" w:hAnsi="Times New Roman" w:cs="Times New Roman"/>
          <w:lang w:eastAsia="ar-SA"/>
        </w:rPr>
        <w:t>egyetemi közös köszszolgálati gyakorlat 2-4 kredit,</w:t>
      </w:r>
    </w:p>
    <w:p w:rsidR="008B31E6" w:rsidRPr="000675FB" w:rsidRDefault="008B31E6" w:rsidP="00980876">
      <w:pPr>
        <w:pStyle w:val="Listaszerbekezds"/>
        <w:widowControl w:val="0"/>
        <w:numPr>
          <w:ilvl w:val="0"/>
          <w:numId w:val="606"/>
        </w:numPr>
        <w:autoSpaceDE w:val="0"/>
        <w:autoSpaceDN w:val="0"/>
        <w:adjustRightInd w:val="0"/>
        <w:spacing w:after="0" w:line="240" w:lineRule="auto"/>
        <w:ind w:left="426"/>
        <w:jc w:val="both"/>
        <w:rPr>
          <w:rFonts w:ascii="Times New Roman" w:eastAsia="Times New Roman" w:hAnsi="Times New Roman" w:cs="Times New Roman"/>
          <w:lang w:eastAsia="ar-SA"/>
        </w:rPr>
      </w:pPr>
      <w:r w:rsidRPr="000675FB">
        <w:rPr>
          <w:rFonts w:ascii="Times New Roman" w:eastAsia="Times New Roman" w:hAnsi="Times New Roman" w:cs="Times New Roman"/>
          <w:lang w:eastAsia="ar-SA"/>
        </w:rPr>
        <w:t>katonai alapismeretek 16–24 kredit,</w:t>
      </w:r>
    </w:p>
    <w:p w:rsidR="008B31E6" w:rsidRPr="000675FB" w:rsidRDefault="008B31E6" w:rsidP="00980876">
      <w:pPr>
        <w:pStyle w:val="Listaszerbekezds"/>
        <w:widowControl w:val="0"/>
        <w:numPr>
          <w:ilvl w:val="0"/>
          <w:numId w:val="606"/>
        </w:numPr>
        <w:autoSpaceDE w:val="0"/>
        <w:autoSpaceDN w:val="0"/>
        <w:adjustRightInd w:val="0"/>
        <w:spacing w:after="0" w:line="240" w:lineRule="auto"/>
        <w:ind w:left="426"/>
        <w:jc w:val="both"/>
        <w:rPr>
          <w:rFonts w:ascii="Times New Roman" w:eastAsia="Times New Roman" w:hAnsi="Times New Roman" w:cs="Times New Roman"/>
          <w:lang w:eastAsia="ar-SA"/>
        </w:rPr>
      </w:pPr>
      <w:r w:rsidRPr="000675FB">
        <w:rPr>
          <w:rFonts w:ascii="Times New Roman" w:eastAsia="Times New Roman" w:hAnsi="Times New Roman" w:cs="Times New Roman"/>
          <w:lang w:eastAsia="ar-SA"/>
        </w:rPr>
        <w:t>gazdasági és humán ismeretek 12–20 kredit,</w:t>
      </w:r>
    </w:p>
    <w:p w:rsidR="008B31E6" w:rsidRPr="000675FB" w:rsidRDefault="008B31E6" w:rsidP="00980876">
      <w:pPr>
        <w:pStyle w:val="Listaszerbekezds"/>
        <w:widowControl w:val="0"/>
        <w:numPr>
          <w:ilvl w:val="0"/>
          <w:numId w:val="606"/>
        </w:numPr>
        <w:autoSpaceDE w:val="0"/>
        <w:autoSpaceDN w:val="0"/>
        <w:adjustRightInd w:val="0"/>
        <w:spacing w:after="0" w:line="240" w:lineRule="auto"/>
        <w:ind w:left="426"/>
        <w:jc w:val="both"/>
        <w:rPr>
          <w:rFonts w:ascii="Times New Roman" w:eastAsia="Times New Roman" w:hAnsi="Times New Roman" w:cs="Times New Roman"/>
          <w:lang w:eastAsia="ar-SA"/>
        </w:rPr>
      </w:pPr>
      <w:r w:rsidRPr="000675FB">
        <w:rPr>
          <w:rFonts w:ascii="Times New Roman" w:eastAsia="Times New Roman" w:hAnsi="Times New Roman" w:cs="Times New Roman"/>
          <w:lang w:eastAsia="ar-SA"/>
        </w:rPr>
        <w:t>természettudományos alapismeretek 18–26 kredit,</w:t>
      </w:r>
    </w:p>
    <w:p w:rsidR="008B31E6" w:rsidRPr="000675FB" w:rsidRDefault="008B31E6" w:rsidP="00980876">
      <w:pPr>
        <w:pStyle w:val="Listaszerbekezds"/>
        <w:widowControl w:val="0"/>
        <w:numPr>
          <w:ilvl w:val="0"/>
          <w:numId w:val="606"/>
        </w:numPr>
        <w:autoSpaceDE w:val="0"/>
        <w:autoSpaceDN w:val="0"/>
        <w:adjustRightInd w:val="0"/>
        <w:spacing w:after="0" w:line="240" w:lineRule="auto"/>
        <w:ind w:left="426"/>
        <w:jc w:val="both"/>
        <w:rPr>
          <w:rFonts w:ascii="Times New Roman" w:eastAsia="Times New Roman" w:hAnsi="Times New Roman" w:cs="Times New Roman"/>
          <w:lang w:eastAsia="ar-SA"/>
        </w:rPr>
      </w:pPr>
      <w:r w:rsidRPr="000675FB">
        <w:rPr>
          <w:rFonts w:ascii="Times New Roman" w:eastAsia="Times New Roman" w:hAnsi="Times New Roman" w:cs="Times New Roman"/>
          <w:lang w:eastAsia="ar-SA"/>
        </w:rPr>
        <w:t>katonai logisztikai alapismeretek 26–34 kredit,</w:t>
      </w:r>
    </w:p>
    <w:p w:rsidR="008B31E6" w:rsidRPr="000675FB" w:rsidRDefault="008B31E6" w:rsidP="00980876">
      <w:pPr>
        <w:pStyle w:val="Listaszerbekezds"/>
        <w:widowControl w:val="0"/>
        <w:numPr>
          <w:ilvl w:val="0"/>
          <w:numId w:val="606"/>
        </w:numPr>
        <w:autoSpaceDE w:val="0"/>
        <w:autoSpaceDN w:val="0"/>
        <w:adjustRightInd w:val="0"/>
        <w:spacing w:after="0" w:line="240" w:lineRule="auto"/>
        <w:ind w:left="426"/>
        <w:jc w:val="both"/>
        <w:rPr>
          <w:rFonts w:ascii="Times New Roman" w:eastAsia="Times New Roman" w:hAnsi="Times New Roman" w:cs="Times New Roman"/>
          <w:lang w:eastAsia="ar-SA"/>
        </w:rPr>
      </w:pPr>
      <w:r w:rsidRPr="000675FB">
        <w:rPr>
          <w:rFonts w:ascii="Times New Roman" w:eastAsia="Times New Roman" w:hAnsi="Times New Roman" w:cs="Times New Roman"/>
          <w:lang w:eastAsia="ar-SA"/>
        </w:rPr>
        <w:t>logisztikai műveleti felkészítés 22-34 kredit.</w:t>
      </w:r>
    </w:p>
    <w:p w:rsidR="008B31E6" w:rsidRDefault="008B31E6" w:rsidP="008B31E6">
      <w:pPr>
        <w:widowControl w:val="0"/>
        <w:autoSpaceDE w:val="0"/>
        <w:autoSpaceDN w:val="0"/>
        <w:adjustRightInd w:val="0"/>
        <w:spacing w:after="0" w:line="240" w:lineRule="auto"/>
        <w:jc w:val="both"/>
        <w:rPr>
          <w:rFonts w:ascii="Times New Roman" w:eastAsia="Times New Roman" w:hAnsi="Times New Roman" w:cs="Times New Roman"/>
          <w:bCs/>
          <w:iCs/>
          <w:lang w:eastAsia="ar-SA"/>
        </w:rPr>
      </w:pPr>
    </w:p>
    <w:p w:rsidR="008B31E6" w:rsidRPr="000675FB" w:rsidRDefault="008B31E6" w:rsidP="008B31E6">
      <w:pPr>
        <w:widowControl w:val="0"/>
        <w:autoSpaceDE w:val="0"/>
        <w:autoSpaceDN w:val="0"/>
        <w:adjustRightInd w:val="0"/>
        <w:spacing w:after="0" w:line="240" w:lineRule="auto"/>
        <w:jc w:val="both"/>
        <w:rPr>
          <w:rFonts w:ascii="Times New Roman" w:eastAsia="Times New Roman" w:hAnsi="Times New Roman" w:cs="Times New Roman"/>
          <w:b/>
          <w:i/>
          <w:lang w:eastAsia="hu-HU"/>
        </w:rPr>
      </w:pPr>
      <w:r>
        <w:rPr>
          <w:rFonts w:ascii="Times New Roman" w:eastAsia="Times New Roman" w:hAnsi="Times New Roman" w:cs="Times New Roman"/>
          <w:b/>
          <w:i/>
          <w:lang w:eastAsia="hu-HU"/>
        </w:rPr>
        <w:t xml:space="preserve">8.2. a </w:t>
      </w:r>
      <w:r w:rsidRPr="000675FB">
        <w:rPr>
          <w:rFonts w:ascii="Times New Roman" w:eastAsia="Times New Roman" w:hAnsi="Times New Roman" w:cs="Times New Roman"/>
          <w:b/>
          <w:i/>
          <w:lang w:eastAsia="hu-HU"/>
        </w:rPr>
        <w:t>szakirányok/sajátos kompetenciákat eredményező, választható specializációk</w:t>
      </w:r>
      <w:r>
        <w:rPr>
          <w:rFonts w:ascii="Times New Roman" w:eastAsia="Times New Roman" w:hAnsi="Times New Roman" w:cs="Times New Roman"/>
          <w:b/>
          <w:i/>
          <w:lang w:eastAsia="hu-HU"/>
        </w:rPr>
        <w:t xml:space="preserve"> további tudományágai, szakterületei és azok kreditaránya:</w:t>
      </w:r>
    </w:p>
    <w:p w:rsidR="008B31E6" w:rsidRPr="000675FB" w:rsidRDefault="008B31E6" w:rsidP="008B31E6">
      <w:pPr>
        <w:widowControl w:val="0"/>
        <w:autoSpaceDE w:val="0"/>
        <w:autoSpaceDN w:val="0"/>
        <w:adjustRightInd w:val="0"/>
        <w:spacing w:after="0" w:line="240" w:lineRule="auto"/>
        <w:jc w:val="both"/>
        <w:rPr>
          <w:rFonts w:ascii="Times New Roman" w:eastAsia="Times New Roman" w:hAnsi="Times New Roman" w:cs="Times New Roman"/>
          <w:lang w:eastAsia="ar-SA"/>
        </w:rPr>
      </w:pPr>
      <w:r w:rsidRPr="000675FB">
        <w:rPr>
          <w:rFonts w:ascii="Times New Roman" w:eastAsia="Times New Roman" w:hAnsi="Times New Roman" w:cs="Times New Roman"/>
          <w:lang w:eastAsia="ar-SA"/>
        </w:rPr>
        <w:t>- katonai közlekedési specializáció – 60-96 kredit:</w:t>
      </w:r>
    </w:p>
    <w:p w:rsidR="008B31E6" w:rsidRPr="000675FB" w:rsidRDefault="008B31E6" w:rsidP="008B31E6">
      <w:pPr>
        <w:widowControl w:val="0"/>
        <w:autoSpaceDE w:val="0"/>
        <w:autoSpaceDN w:val="0"/>
        <w:adjustRightInd w:val="0"/>
        <w:spacing w:after="0" w:line="240" w:lineRule="auto"/>
        <w:jc w:val="both"/>
        <w:rPr>
          <w:rFonts w:ascii="Times New Roman" w:eastAsia="Times New Roman" w:hAnsi="Times New Roman" w:cs="Times New Roman"/>
          <w:lang w:eastAsia="ar-SA"/>
        </w:rPr>
      </w:pPr>
      <w:r w:rsidRPr="000675FB">
        <w:rPr>
          <w:rFonts w:ascii="Times New Roman" w:eastAsia="Times New Roman" w:hAnsi="Times New Roman" w:cs="Times New Roman"/>
          <w:lang w:eastAsia="ar-SA"/>
        </w:rPr>
        <w:tab/>
        <w:t>- közlekedéstudományi ismeretek,</w:t>
      </w:r>
    </w:p>
    <w:p w:rsidR="008B31E6" w:rsidRPr="000675FB" w:rsidRDefault="008B31E6" w:rsidP="008B31E6">
      <w:pPr>
        <w:widowControl w:val="0"/>
        <w:autoSpaceDE w:val="0"/>
        <w:autoSpaceDN w:val="0"/>
        <w:adjustRightInd w:val="0"/>
        <w:spacing w:after="0" w:line="240" w:lineRule="auto"/>
        <w:jc w:val="both"/>
        <w:rPr>
          <w:rFonts w:ascii="Times New Roman" w:eastAsia="Times New Roman" w:hAnsi="Times New Roman" w:cs="Times New Roman"/>
          <w:lang w:eastAsia="ar-SA"/>
        </w:rPr>
      </w:pPr>
      <w:r w:rsidRPr="000675FB">
        <w:rPr>
          <w:rFonts w:ascii="Times New Roman" w:eastAsia="Times New Roman" w:hAnsi="Times New Roman" w:cs="Times New Roman"/>
          <w:lang w:eastAsia="ar-SA"/>
        </w:rPr>
        <w:tab/>
        <w:t>- katonai közlekedési szakfeladatok ellátása.</w:t>
      </w:r>
    </w:p>
    <w:p w:rsidR="008B31E6" w:rsidRPr="000675FB" w:rsidRDefault="008B31E6" w:rsidP="008B31E6">
      <w:pPr>
        <w:widowControl w:val="0"/>
        <w:autoSpaceDE w:val="0"/>
        <w:autoSpaceDN w:val="0"/>
        <w:adjustRightInd w:val="0"/>
        <w:spacing w:after="0" w:line="240" w:lineRule="auto"/>
        <w:jc w:val="both"/>
        <w:rPr>
          <w:rFonts w:ascii="Times New Roman" w:eastAsia="Times New Roman" w:hAnsi="Times New Roman" w:cs="Times New Roman"/>
          <w:lang w:eastAsia="ar-SA"/>
        </w:rPr>
      </w:pPr>
      <w:r w:rsidRPr="000675FB">
        <w:rPr>
          <w:rFonts w:ascii="Times New Roman" w:eastAsia="Times New Roman" w:hAnsi="Times New Roman" w:cs="Times New Roman"/>
          <w:lang w:eastAsia="ar-SA"/>
        </w:rPr>
        <w:t>- katonai pénzügyi specializáció – 60-96 kredit:</w:t>
      </w:r>
    </w:p>
    <w:p w:rsidR="008B31E6" w:rsidRPr="000675FB" w:rsidRDefault="008B31E6" w:rsidP="008B31E6">
      <w:pPr>
        <w:widowControl w:val="0"/>
        <w:autoSpaceDE w:val="0"/>
        <w:autoSpaceDN w:val="0"/>
        <w:adjustRightInd w:val="0"/>
        <w:spacing w:after="0" w:line="240" w:lineRule="auto"/>
        <w:jc w:val="both"/>
        <w:rPr>
          <w:rFonts w:ascii="Times New Roman" w:eastAsia="Times New Roman" w:hAnsi="Times New Roman" w:cs="Times New Roman"/>
          <w:lang w:eastAsia="ar-SA"/>
        </w:rPr>
      </w:pPr>
      <w:r w:rsidRPr="000675FB">
        <w:rPr>
          <w:rFonts w:ascii="Times New Roman" w:eastAsia="Times New Roman" w:hAnsi="Times New Roman" w:cs="Times New Roman"/>
          <w:lang w:eastAsia="ar-SA"/>
        </w:rPr>
        <w:tab/>
        <w:t>- államháztartási ismeretek,</w:t>
      </w:r>
    </w:p>
    <w:p w:rsidR="008B31E6" w:rsidRPr="000675FB" w:rsidRDefault="008B31E6" w:rsidP="008B31E6">
      <w:pPr>
        <w:widowControl w:val="0"/>
        <w:autoSpaceDE w:val="0"/>
        <w:autoSpaceDN w:val="0"/>
        <w:adjustRightInd w:val="0"/>
        <w:spacing w:after="0" w:line="240" w:lineRule="auto"/>
        <w:jc w:val="both"/>
        <w:rPr>
          <w:rFonts w:ascii="Times New Roman" w:eastAsia="Times New Roman" w:hAnsi="Times New Roman" w:cs="Times New Roman"/>
          <w:lang w:eastAsia="ar-SA"/>
        </w:rPr>
      </w:pPr>
      <w:r w:rsidRPr="000675FB">
        <w:rPr>
          <w:rFonts w:ascii="Times New Roman" w:eastAsia="Times New Roman" w:hAnsi="Times New Roman" w:cs="Times New Roman"/>
          <w:lang w:eastAsia="ar-SA"/>
        </w:rPr>
        <w:tab/>
        <w:t>- katonai pénzügyi ismeretek.</w:t>
      </w:r>
    </w:p>
    <w:p w:rsidR="008B31E6" w:rsidRPr="000675FB" w:rsidRDefault="008B31E6" w:rsidP="008B31E6">
      <w:pPr>
        <w:widowControl w:val="0"/>
        <w:autoSpaceDE w:val="0"/>
        <w:autoSpaceDN w:val="0"/>
        <w:adjustRightInd w:val="0"/>
        <w:spacing w:after="0" w:line="240" w:lineRule="auto"/>
        <w:jc w:val="both"/>
        <w:rPr>
          <w:rFonts w:ascii="Times New Roman" w:eastAsia="Times New Roman" w:hAnsi="Times New Roman" w:cs="Times New Roman"/>
          <w:lang w:eastAsia="ar-SA"/>
        </w:rPr>
      </w:pPr>
      <w:r w:rsidRPr="000675FB">
        <w:rPr>
          <w:rFonts w:ascii="Times New Roman" w:eastAsia="Times New Roman" w:hAnsi="Times New Roman" w:cs="Times New Roman"/>
          <w:lang w:eastAsia="ar-SA"/>
        </w:rPr>
        <w:t>- hadtáp specializáció – 60-96 kredit:</w:t>
      </w:r>
    </w:p>
    <w:p w:rsidR="008B31E6" w:rsidRPr="000675FB" w:rsidRDefault="008B31E6" w:rsidP="008B31E6">
      <w:pPr>
        <w:widowControl w:val="0"/>
        <w:autoSpaceDE w:val="0"/>
        <w:autoSpaceDN w:val="0"/>
        <w:adjustRightInd w:val="0"/>
        <w:spacing w:after="0" w:line="240" w:lineRule="auto"/>
        <w:jc w:val="both"/>
        <w:rPr>
          <w:rFonts w:ascii="Times New Roman" w:eastAsia="Times New Roman" w:hAnsi="Times New Roman" w:cs="Times New Roman"/>
          <w:lang w:eastAsia="ar-SA"/>
        </w:rPr>
      </w:pPr>
      <w:r w:rsidRPr="000675FB">
        <w:rPr>
          <w:rFonts w:ascii="Times New Roman" w:eastAsia="Times New Roman" w:hAnsi="Times New Roman" w:cs="Times New Roman"/>
          <w:lang w:eastAsia="ar-SA"/>
        </w:rPr>
        <w:tab/>
        <w:t>- gazdálkodási ismeretek,</w:t>
      </w:r>
    </w:p>
    <w:p w:rsidR="008B31E6" w:rsidRPr="000675FB" w:rsidRDefault="008B31E6" w:rsidP="008B31E6">
      <w:pPr>
        <w:widowControl w:val="0"/>
        <w:autoSpaceDE w:val="0"/>
        <w:autoSpaceDN w:val="0"/>
        <w:adjustRightInd w:val="0"/>
        <w:spacing w:after="0" w:line="240" w:lineRule="auto"/>
        <w:jc w:val="both"/>
        <w:rPr>
          <w:rFonts w:ascii="Times New Roman" w:eastAsia="Times New Roman" w:hAnsi="Times New Roman" w:cs="Times New Roman"/>
          <w:lang w:eastAsia="ar-SA"/>
        </w:rPr>
      </w:pPr>
      <w:r w:rsidRPr="000675FB">
        <w:rPr>
          <w:rFonts w:ascii="Times New Roman" w:eastAsia="Times New Roman" w:hAnsi="Times New Roman" w:cs="Times New Roman"/>
          <w:lang w:eastAsia="ar-SA"/>
        </w:rPr>
        <w:tab/>
        <w:t>- hadtáp ismeretek.</w:t>
      </w:r>
    </w:p>
    <w:p w:rsidR="008B31E6" w:rsidRPr="000675FB" w:rsidRDefault="008B31E6" w:rsidP="008B31E6">
      <w:pPr>
        <w:widowControl w:val="0"/>
        <w:autoSpaceDE w:val="0"/>
        <w:autoSpaceDN w:val="0"/>
        <w:adjustRightInd w:val="0"/>
        <w:spacing w:after="0" w:line="240" w:lineRule="auto"/>
        <w:jc w:val="both"/>
        <w:rPr>
          <w:rFonts w:ascii="Times New Roman" w:eastAsia="Times New Roman" w:hAnsi="Times New Roman" w:cs="Times New Roman"/>
          <w:lang w:eastAsia="ar-SA"/>
        </w:rPr>
      </w:pPr>
      <w:r w:rsidRPr="000675FB">
        <w:rPr>
          <w:rFonts w:ascii="Times New Roman" w:eastAsia="Times New Roman" w:hAnsi="Times New Roman" w:cs="Times New Roman"/>
          <w:lang w:eastAsia="ar-SA"/>
        </w:rPr>
        <w:t>- haditechnikai specializáció – 60-96 kredit:</w:t>
      </w:r>
    </w:p>
    <w:p w:rsidR="008B31E6" w:rsidRPr="000675FB" w:rsidRDefault="008B31E6" w:rsidP="008B31E6">
      <w:pPr>
        <w:widowControl w:val="0"/>
        <w:autoSpaceDE w:val="0"/>
        <w:autoSpaceDN w:val="0"/>
        <w:adjustRightInd w:val="0"/>
        <w:spacing w:after="0" w:line="240" w:lineRule="auto"/>
        <w:jc w:val="both"/>
        <w:rPr>
          <w:rFonts w:ascii="Times New Roman" w:eastAsia="Times New Roman" w:hAnsi="Times New Roman" w:cs="Times New Roman"/>
          <w:lang w:eastAsia="ar-SA"/>
        </w:rPr>
      </w:pPr>
      <w:r w:rsidRPr="000675FB">
        <w:rPr>
          <w:rFonts w:ascii="Times New Roman" w:eastAsia="Times New Roman" w:hAnsi="Times New Roman" w:cs="Times New Roman"/>
          <w:lang w:eastAsia="ar-SA"/>
        </w:rPr>
        <w:tab/>
        <w:t>- haditechnikai alapozó specifikus ismeretek,</w:t>
      </w:r>
    </w:p>
    <w:p w:rsidR="008B31E6" w:rsidRPr="000675FB" w:rsidRDefault="008B31E6" w:rsidP="008B31E6">
      <w:pPr>
        <w:widowControl w:val="0"/>
        <w:autoSpaceDE w:val="0"/>
        <w:autoSpaceDN w:val="0"/>
        <w:adjustRightInd w:val="0"/>
        <w:spacing w:after="0" w:line="240" w:lineRule="auto"/>
        <w:jc w:val="both"/>
        <w:rPr>
          <w:rFonts w:ascii="Times New Roman" w:eastAsia="Times New Roman" w:hAnsi="Times New Roman" w:cs="Times New Roman"/>
          <w:lang w:eastAsia="ar-SA"/>
        </w:rPr>
      </w:pPr>
      <w:r w:rsidRPr="000675FB">
        <w:rPr>
          <w:rFonts w:ascii="Times New Roman" w:eastAsia="Times New Roman" w:hAnsi="Times New Roman" w:cs="Times New Roman"/>
          <w:lang w:eastAsia="ar-SA"/>
        </w:rPr>
        <w:tab/>
        <w:t>- műhelyszervezéi és vezetési ismeretek.</w:t>
      </w:r>
    </w:p>
    <w:p w:rsidR="008B31E6" w:rsidRPr="000675FB" w:rsidRDefault="008B31E6" w:rsidP="008B31E6">
      <w:pPr>
        <w:widowControl w:val="0"/>
        <w:autoSpaceDE w:val="0"/>
        <w:autoSpaceDN w:val="0"/>
        <w:adjustRightInd w:val="0"/>
        <w:spacing w:after="0" w:line="240" w:lineRule="auto"/>
        <w:ind w:firstLine="426"/>
        <w:jc w:val="both"/>
        <w:rPr>
          <w:rFonts w:ascii="Times New Roman" w:eastAsia="Times New Roman" w:hAnsi="Times New Roman" w:cs="Times New Roman"/>
          <w:i/>
          <w:lang w:eastAsia="ar-SA"/>
        </w:rPr>
      </w:pPr>
      <w:r w:rsidRPr="000675FB">
        <w:rPr>
          <w:rFonts w:ascii="Times New Roman" w:eastAsia="Times New Roman" w:hAnsi="Times New Roman" w:cs="Times New Roman"/>
          <w:i/>
          <w:lang w:eastAsia="ar-SA"/>
        </w:rPr>
        <w:t>- páncélos- és gépjárműtechnikai modul:</w:t>
      </w:r>
    </w:p>
    <w:p w:rsidR="008B31E6" w:rsidRPr="000675FB" w:rsidRDefault="008B31E6" w:rsidP="008B31E6">
      <w:pPr>
        <w:widowControl w:val="0"/>
        <w:autoSpaceDE w:val="0"/>
        <w:autoSpaceDN w:val="0"/>
        <w:adjustRightInd w:val="0"/>
        <w:spacing w:after="0" w:line="240" w:lineRule="auto"/>
        <w:jc w:val="both"/>
        <w:rPr>
          <w:rFonts w:ascii="Times New Roman" w:eastAsia="Times New Roman" w:hAnsi="Times New Roman" w:cs="Times New Roman"/>
          <w:lang w:eastAsia="ar-SA"/>
        </w:rPr>
      </w:pPr>
      <w:r w:rsidRPr="000675FB">
        <w:rPr>
          <w:rFonts w:ascii="Times New Roman" w:eastAsia="Times New Roman" w:hAnsi="Times New Roman" w:cs="Times New Roman"/>
          <w:lang w:eastAsia="ar-SA"/>
        </w:rPr>
        <w:tab/>
        <w:t>- páncélos – és gépjárműtechnikai ismeretek,</w:t>
      </w:r>
    </w:p>
    <w:p w:rsidR="008B31E6" w:rsidRPr="000675FB" w:rsidRDefault="008B31E6" w:rsidP="008B31E6">
      <w:pPr>
        <w:widowControl w:val="0"/>
        <w:autoSpaceDE w:val="0"/>
        <w:autoSpaceDN w:val="0"/>
        <w:adjustRightInd w:val="0"/>
        <w:spacing w:after="0" w:line="240" w:lineRule="auto"/>
        <w:jc w:val="both"/>
        <w:rPr>
          <w:rFonts w:ascii="Times New Roman" w:eastAsia="Times New Roman" w:hAnsi="Times New Roman" w:cs="Times New Roman"/>
          <w:lang w:eastAsia="ar-SA"/>
        </w:rPr>
      </w:pPr>
      <w:r w:rsidRPr="000675FB">
        <w:rPr>
          <w:rFonts w:ascii="Times New Roman" w:eastAsia="Times New Roman" w:hAnsi="Times New Roman" w:cs="Times New Roman"/>
          <w:lang w:eastAsia="ar-SA"/>
        </w:rPr>
        <w:tab/>
        <w:t>- páncélos – és gépjárműtechnikai szakmai szabályzat ismeret,</w:t>
      </w:r>
    </w:p>
    <w:p w:rsidR="008B31E6" w:rsidRPr="000675FB" w:rsidRDefault="008B31E6" w:rsidP="008B31E6">
      <w:pPr>
        <w:widowControl w:val="0"/>
        <w:autoSpaceDE w:val="0"/>
        <w:autoSpaceDN w:val="0"/>
        <w:adjustRightInd w:val="0"/>
        <w:spacing w:after="0" w:line="240" w:lineRule="auto"/>
        <w:jc w:val="both"/>
        <w:rPr>
          <w:rFonts w:ascii="Times New Roman" w:eastAsia="Times New Roman" w:hAnsi="Times New Roman" w:cs="Times New Roman"/>
          <w:lang w:eastAsia="ar-SA"/>
        </w:rPr>
      </w:pPr>
      <w:r w:rsidRPr="000675FB">
        <w:rPr>
          <w:rFonts w:ascii="Times New Roman" w:eastAsia="Times New Roman" w:hAnsi="Times New Roman" w:cs="Times New Roman"/>
          <w:lang w:eastAsia="ar-SA"/>
        </w:rPr>
        <w:tab/>
        <w:t>- páncélos – és gépjárműtechnikai eszközök technikai ellenőrzése és javítása.</w:t>
      </w:r>
    </w:p>
    <w:p w:rsidR="008B31E6" w:rsidRPr="000675FB" w:rsidRDefault="008B31E6" w:rsidP="008B31E6">
      <w:pPr>
        <w:widowControl w:val="0"/>
        <w:autoSpaceDE w:val="0"/>
        <w:autoSpaceDN w:val="0"/>
        <w:adjustRightInd w:val="0"/>
        <w:spacing w:after="0" w:line="240" w:lineRule="auto"/>
        <w:ind w:firstLine="426"/>
        <w:jc w:val="both"/>
        <w:rPr>
          <w:rFonts w:ascii="Times New Roman" w:eastAsia="Times New Roman" w:hAnsi="Times New Roman" w:cs="Times New Roman"/>
          <w:i/>
          <w:lang w:eastAsia="ar-SA"/>
        </w:rPr>
      </w:pPr>
      <w:r w:rsidRPr="000675FB">
        <w:rPr>
          <w:rFonts w:ascii="Times New Roman" w:eastAsia="Times New Roman" w:hAnsi="Times New Roman" w:cs="Times New Roman"/>
          <w:i/>
          <w:lang w:eastAsia="ar-SA"/>
        </w:rPr>
        <w:t>- fegyverzettechnikai modul:</w:t>
      </w:r>
    </w:p>
    <w:p w:rsidR="008B31E6" w:rsidRPr="000675FB" w:rsidRDefault="008B31E6" w:rsidP="008B31E6">
      <w:pPr>
        <w:widowControl w:val="0"/>
        <w:autoSpaceDE w:val="0"/>
        <w:autoSpaceDN w:val="0"/>
        <w:adjustRightInd w:val="0"/>
        <w:spacing w:after="0" w:line="240" w:lineRule="auto"/>
        <w:jc w:val="both"/>
        <w:rPr>
          <w:rFonts w:ascii="Times New Roman" w:eastAsia="Times New Roman" w:hAnsi="Times New Roman" w:cs="Times New Roman"/>
          <w:lang w:eastAsia="ar-SA"/>
        </w:rPr>
      </w:pPr>
      <w:r w:rsidRPr="000675FB">
        <w:rPr>
          <w:rFonts w:ascii="Times New Roman" w:eastAsia="Times New Roman" w:hAnsi="Times New Roman" w:cs="Times New Roman"/>
          <w:lang w:eastAsia="ar-SA"/>
        </w:rPr>
        <w:tab/>
        <w:t>- fegyverzettechnikai ismeretek,</w:t>
      </w:r>
    </w:p>
    <w:p w:rsidR="008B31E6" w:rsidRPr="000675FB" w:rsidRDefault="008B31E6" w:rsidP="008B31E6">
      <w:pPr>
        <w:widowControl w:val="0"/>
        <w:autoSpaceDE w:val="0"/>
        <w:autoSpaceDN w:val="0"/>
        <w:adjustRightInd w:val="0"/>
        <w:spacing w:after="0" w:line="240" w:lineRule="auto"/>
        <w:jc w:val="both"/>
        <w:rPr>
          <w:rFonts w:ascii="Times New Roman" w:eastAsia="Times New Roman" w:hAnsi="Times New Roman" w:cs="Times New Roman"/>
          <w:lang w:eastAsia="ar-SA"/>
        </w:rPr>
      </w:pPr>
      <w:r w:rsidRPr="000675FB">
        <w:rPr>
          <w:rFonts w:ascii="Times New Roman" w:eastAsia="Times New Roman" w:hAnsi="Times New Roman" w:cs="Times New Roman"/>
          <w:lang w:eastAsia="ar-SA"/>
        </w:rPr>
        <w:tab/>
        <w:t>- fegyverzettechnikai szakmai szabályzat ismeret,</w:t>
      </w:r>
    </w:p>
    <w:p w:rsidR="008B31E6" w:rsidRPr="000675FB" w:rsidRDefault="008B31E6" w:rsidP="008B31E6">
      <w:pPr>
        <w:widowControl w:val="0"/>
        <w:autoSpaceDE w:val="0"/>
        <w:autoSpaceDN w:val="0"/>
        <w:adjustRightInd w:val="0"/>
        <w:spacing w:after="0" w:line="240" w:lineRule="auto"/>
        <w:jc w:val="both"/>
        <w:rPr>
          <w:rFonts w:ascii="Times New Roman" w:eastAsia="Times New Roman" w:hAnsi="Times New Roman" w:cs="Times New Roman"/>
          <w:lang w:eastAsia="ar-SA"/>
        </w:rPr>
      </w:pPr>
      <w:r w:rsidRPr="000675FB">
        <w:rPr>
          <w:rFonts w:ascii="Times New Roman" w:eastAsia="Times New Roman" w:hAnsi="Times New Roman" w:cs="Times New Roman"/>
          <w:lang w:eastAsia="ar-SA"/>
        </w:rPr>
        <w:tab/>
        <w:t>- fegyverzettechnikai eszközök technikai ellenőrzése és javítása.</w:t>
      </w:r>
    </w:p>
    <w:p w:rsidR="008B31E6" w:rsidRDefault="008B31E6" w:rsidP="008B31E6">
      <w:pPr>
        <w:spacing w:after="0" w:line="240" w:lineRule="auto"/>
        <w:rPr>
          <w:rFonts w:ascii="Times New Roman" w:hAnsi="Times New Roman" w:cs="Times New Roman"/>
        </w:rPr>
      </w:pPr>
    </w:p>
    <w:p w:rsidR="008B31E6" w:rsidRDefault="008B31E6" w:rsidP="008B31E6">
      <w:pPr>
        <w:spacing w:after="0" w:line="240" w:lineRule="auto"/>
        <w:rPr>
          <w:rFonts w:ascii="Times New Roman" w:hAnsi="Times New Roman" w:cs="Times New Roman"/>
          <w:highlight w:val="lightGray"/>
        </w:rPr>
      </w:pPr>
      <w:r>
        <w:rPr>
          <w:rFonts w:ascii="Times New Roman" w:hAnsi="Times New Roman" w:cs="Times New Roman"/>
          <w:b/>
          <w:i/>
        </w:rPr>
        <w:t>8.3. a szakdolgozat</w:t>
      </w:r>
      <w:r w:rsidRPr="000675FB">
        <w:rPr>
          <w:rFonts w:ascii="Times New Roman" w:hAnsi="Times New Roman" w:cs="Times New Roman"/>
          <w:b/>
          <w:i/>
        </w:rPr>
        <w:t xml:space="preserve"> </w:t>
      </w:r>
      <w:r>
        <w:rPr>
          <w:rFonts w:ascii="Times New Roman" w:hAnsi="Times New Roman" w:cs="Times New Roman"/>
          <w:b/>
          <w:i/>
        </w:rPr>
        <w:t xml:space="preserve">készítéséhez rendelt kreditérték: </w:t>
      </w:r>
      <w:r>
        <w:rPr>
          <w:rFonts w:ascii="Times New Roman" w:hAnsi="Times New Roman" w:cs="Times New Roman"/>
        </w:rPr>
        <w:t>14 kredit</w:t>
      </w:r>
    </w:p>
    <w:p w:rsidR="008B31E6" w:rsidRDefault="008B31E6" w:rsidP="008B31E6">
      <w:pPr>
        <w:spacing w:after="0" w:line="240" w:lineRule="auto"/>
        <w:rPr>
          <w:rFonts w:ascii="Times New Roman" w:hAnsi="Times New Roman" w:cs="Times New Roman"/>
          <w:b/>
          <w:i/>
        </w:rPr>
      </w:pPr>
      <w:r w:rsidRPr="002C165B">
        <w:rPr>
          <w:rFonts w:ascii="Times New Roman" w:hAnsi="Times New Roman" w:cs="Times New Roman"/>
          <w:b/>
          <w:i/>
        </w:rPr>
        <w:t>8.4. az intézményen kívüli összefüggő gyakorlati képzés minimális kreditértéke:</w:t>
      </w:r>
      <w:r w:rsidRPr="002C165B">
        <w:rPr>
          <w:rFonts w:ascii="Times New Roman" w:hAnsi="Times New Roman" w:cs="Times New Roman"/>
        </w:rPr>
        <w:t xml:space="preserve"> 3</w:t>
      </w:r>
      <w:r w:rsidR="00300B21" w:rsidRPr="002C165B">
        <w:rPr>
          <w:rFonts w:ascii="Times New Roman" w:hAnsi="Times New Roman" w:cs="Times New Roman"/>
        </w:rPr>
        <w:t>0</w:t>
      </w:r>
      <w:r w:rsidRPr="002C165B">
        <w:rPr>
          <w:rFonts w:ascii="Times New Roman" w:hAnsi="Times New Roman" w:cs="Times New Roman"/>
        </w:rPr>
        <w:t xml:space="preserve"> kredit</w:t>
      </w:r>
    </w:p>
    <w:p w:rsidR="008B31E6" w:rsidRDefault="008B31E6" w:rsidP="008B31E6">
      <w:pPr>
        <w:spacing w:after="0" w:line="240" w:lineRule="auto"/>
        <w:rPr>
          <w:rFonts w:ascii="Times New Roman" w:hAnsi="Times New Roman" w:cs="Times New Roman"/>
          <w:b/>
          <w:i/>
        </w:rPr>
      </w:pPr>
      <w:r>
        <w:rPr>
          <w:rFonts w:ascii="Times New Roman" w:hAnsi="Times New Roman" w:cs="Times New Roman"/>
          <w:b/>
          <w:i/>
        </w:rPr>
        <w:t xml:space="preserve">8.5 a szabadon választható tantárgyakhoz rendelhető minimális kreditérték: </w:t>
      </w:r>
      <w:r w:rsidRPr="00B7354C">
        <w:rPr>
          <w:rFonts w:ascii="Times New Roman" w:hAnsi="Times New Roman" w:cs="Times New Roman"/>
        </w:rPr>
        <w:t>12</w:t>
      </w:r>
      <w:r>
        <w:rPr>
          <w:rFonts w:ascii="Times New Roman" w:hAnsi="Times New Roman" w:cs="Times New Roman"/>
        </w:rPr>
        <w:t xml:space="preserve"> kredit</w:t>
      </w:r>
    </w:p>
    <w:p w:rsidR="008B31E6" w:rsidRDefault="008B31E6" w:rsidP="008B31E6">
      <w:pPr>
        <w:spacing w:after="0" w:line="240" w:lineRule="auto"/>
        <w:rPr>
          <w:rFonts w:ascii="Times New Roman" w:hAnsi="Times New Roman" w:cs="Times New Roman"/>
          <w:highlight w:val="lightGray"/>
        </w:rPr>
      </w:pPr>
    </w:p>
    <w:p w:rsidR="008B31E6" w:rsidRDefault="008B31E6" w:rsidP="001A1F62">
      <w:pPr>
        <w:pStyle w:val="Cmsor1"/>
        <w:spacing w:after="120"/>
        <w:rPr>
          <w:i w:val="0"/>
          <w:sz w:val="22"/>
          <w:szCs w:val="22"/>
          <w:u w:val="none"/>
        </w:rPr>
      </w:pPr>
      <w:bookmarkStart w:id="19" w:name="_Toc37240835"/>
      <w:bookmarkEnd w:id="17"/>
      <w:r>
        <w:rPr>
          <w:i w:val="0"/>
          <w:sz w:val="22"/>
          <w:szCs w:val="22"/>
          <w:u w:val="none"/>
        </w:rPr>
        <w:t>9. A tanóra-, kredit- és vizsgaterv</w:t>
      </w:r>
      <w:bookmarkEnd w:id="19"/>
    </w:p>
    <w:p w:rsidR="008B31E6" w:rsidRDefault="008B31E6" w:rsidP="008B31E6">
      <w:pPr>
        <w:spacing w:after="0" w:line="240" w:lineRule="auto"/>
        <w:jc w:val="both"/>
        <w:rPr>
          <w:rFonts w:ascii="Times New Roman" w:hAnsi="Times New Roman"/>
          <w:bCs/>
          <w:kern w:val="32"/>
          <w:lang w:eastAsia="hu-HU"/>
        </w:rPr>
      </w:pPr>
      <w:r>
        <w:rPr>
          <w:rFonts w:ascii="Times New Roman" w:hAnsi="Times New Roman" w:cs="Times New Roman"/>
        </w:rPr>
        <w:t xml:space="preserve">A tanóra-, kredit- és vizsgaterv </w:t>
      </w:r>
      <w:r>
        <w:rPr>
          <w:rFonts w:ascii="Times New Roman" w:hAnsi="Times New Roman"/>
          <w:bCs/>
          <w:kern w:val="32"/>
          <w:lang w:eastAsia="hu-HU"/>
        </w:rPr>
        <w:t>tartalmazza oktatási időszakonkénti bontásban az összes tantárgy (kritériumkövetelmény – a továbbiakban együtt: tantárgy) vonatkozásában</w:t>
      </w:r>
    </w:p>
    <w:p w:rsidR="008B31E6" w:rsidRDefault="008B31E6" w:rsidP="00980876">
      <w:pPr>
        <w:pStyle w:val="Listaszerbekezds"/>
        <w:numPr>
          <w:ilvl w:val="0"/>
          <w:numId w:val="600"/>
        </w:numPr>
        <w:spacing w:after="0" w:line="240" w:lineRule="auto"/>
        <w:ind w:left="851" w:hanging="425"/>
        <w:jc w:val="both"/>
        <w:rPr>
          <w:rFonts w:ascii="Times New Roman" w:hAnsi="Times New Roman"/>
          <w:bCs/>
          <w:kern w:val="32"/>
          <w:lang w:eastAsia="hu-HU"/>
        </w:rPr>
      </w:pPr>
      <w:r>
        <w:rPr>
          <w:rFonts w:ascii="Times New Roman" w:hAnsi="Times New Roman"/>
          <w:bCs/>
          <w:kern w:val="32"/>
          <w:lang w:eastAsia="hu-HU"/>
        </w:rPr>
        <w:t>a tantárgyak Neptun-kódját,</w:t>
      </w:r>
    </w:p>
    <w:p w:rsidR="008B31E6" w:rsidRDefault="008B31E6" w:rsidP="00980876">
      <w:pPr>
        <w:pStyle w:val="Listaszerbekezds"/>
        <w:numPr>
          <w:ilvl w:val="0"/>
          <w:numId w:val="600"/>
        </w:numPr>
        <w:spacing w:after="0" w:line="240" w:lineRule="auto"/>
        <w:ind w:left="851" w:hanging="425"/>
        <w:jc w:val="both"/>
        <w:rPr>
          <w:rFonts w:ascii="Times New Roman" w:hAnsi="Times New Roman"/>
          <w:bCs/>
          <w:kern w:val="32"/>
          <w:lang w:eastAsia="hu-HU"/>
        </w:rPr>
      </w:pPr>
      <w:r>
        <w:rPr>
          <w:rFonts w:ascii="Times New Roman" w:hAnsi="Times New Roman"/>
          <w:bCs/>
          <w:kern w:val="32"/>
          <w:lang w:eastAsia="hu-HU"/>
        </w:rPr>
        <w:t>a tantárgyak jellegét (kötelező, kötelezően választható, szabadon választható, kritériumkövetelmény),</w:t>
      </w:r>
    </w:p>
    <w:p w:rsidR="008B31E6" w:rsidRDefault="008B31E6" w:rsidP="00980876">
      <w:pPr>
        <w:pStyle w:val="Listaszerbekezds"/>
        <w:numPr>
          <w:ilvl w:val="0"/>
          <w:numId w:val="600"/>
        </w:numPr>
        <w:spacing w:after="0" w:line="240" w:lineRule="auto"/>
        <w:ind w:left="851" w:hanging="425"/>
        <w:jc w:val="both"/>
        <w:rPr>
          <w:rFonts w:ascii="Times New Roman" w:hAnsi="Times New Roman"/>
          <w:bCs/>
          <w:kern w:val="32"/>
          <w:lang w:eastAsia="hu-HU"/>
        </w:rPr>
      </w:pPr>
      <w:r>
        <w:rPr>
          <w:rFonts w:ascii="Times New Roman" w:hAnsi="Times New Roman"/>
          <w:bCs/>
          <w:kern w:val="32"/>
          <w:lang w:eastAsia="hu-HU"/>
        </w:rPr>
        <w:t>a meghirdetés féléveit,</w:t>
      </w:r>
    </w:p>
    <w:p w:rsidR="008B31E6" w:rsidRDefault="008B31E6" w:rsidP="00980876">
      <w:pPr>
        <w:pStyle w:val="Listaszerbekezds"/>
        <w:numPr>
          <w:ilvl w:val="0"/>
          <w:numId w:val="600"/>
        </w:numPr>
        <w:spacing w:after="0" w:line="240" w:lineRule="auto"/>
        <w:ind w:left="851" w:hanging="425"/>
        <w:jc w:val="both"/>
        <w:rPr>
          <w:rFonts w:ascii="Times New Roman" w:hAnsi="Times New Roman"/>
          <w:bCs/>
          <w:kern w:val="32"/>
          <w:lang w:eastAsia="hu-HU"/>
        </w:rPr>
      </w:pPr>
      <w:r>
        <w:rPr>
          <w:rFonts w:ascii="Times New Roman" w:hAnsi="Times New Roman"/>
          <w:bCs/>
          <w:kern w:val="32"/>
          <w:lang w:eastAsia="hu-HU"/>
        </w:rPr>
        <w:t>a tantárgyak heti és félévi vagy félévi óraszámát a tanóra típusa szerinti bontásban,</w:t>
      </w:r>
    </w:p>
    <w:p w:rsidR="008B31E6" w:rsidRDefault="008B31E6" w:rsidP="00980876">
      <w:pPr>
        <w:pStyle w:val="Listaszerbekezds"/>
        <w:numPr>
          <w:ilvl w:val="0"/>
          <w:numId w:val="600"/>
        </w:numPr>
        <w:spacing w:after="0" w:line="240" w:lineRule="auto"/>
        <w:ind w:left="851" w:hanging="425"/>
        <w:jc w:val="both"/>
        <w:rPr>
          <w:rFonts w:ascii="Times New Roman" w:hAnsi="Times New Roman"/>
          <w:bCs/>
          <w:kern w:val="32"/>
          <w:lang w:eastAsia="hu-HU"/>
        </w:rPr>
      </w:pPr>
      <w:r>
        <w:rPr>
          <w:rFonts w:ascii="Times New Roman" w:hAnsi="Times New Roman"/>
          <w:bCs/>
          <w:kern w:val="32"/>
          <w:lang w:eastAsia="hu-HU"/>
        </w:rPr>
        <w:t>a tantárgyakhoz rendelt krediteket,</w:t>
      </w:r>
    </w:p>
    <w:p w:rsidR="008B31E6" w:rsidRDefault="008B31E6" w:rsidP="00980876">
      <w:pPr>
        <w:pStyle w:val="Listaszerbekezds"/>
        <w:numPr>
          <w:ilvl w:val="0"/>
          <w:numId w:val="600"/>
        </w:numPr>
        <w:spacing w:after="0" w:line="240" w:lineRule="auto"/>
        <w:ind w:left="851" w:hanging="425"/>
        <w:jc w:val="both"/>
        <w:rPr>
          <w:rFonts w:ascii="Times New Roman" w:hAnsi="Times New Roman"/>
          <w:bCs/>
          <w:kern w:val="32"/>
          <w:lang w:eastAsia="hu-HU"/>
        </w:rPr>
      </w:pPr>
      <w:r>
        <w:rPr>
          <w:rFonts w:ascii="Times New Roman" w:hAnsi="Times New Roman"/>
          <w:bCs/>
          <w:kern w:val="32"/>
          <w:lang w:eastAsia="hu-HU"/>
        </w:rPr>
        <w:t>a hallgatói teljesítmény értékelésének módját (számonkérés);</w:t>
      </w:r>
    </w:p>
    <w:p w:rsidR="008B31E6" w:rsidRDefault="008B31E6" w:rsidP="00980876">
      <w:pPr>
        <w:pStyle w:val="Listaszerbekezds"/>
        <w:numPr>
          <w:ilvl w:val="0"/>
          <w:numId w:val="600"/>
        </w:numPr>
        <w:spacing w:after="0" w:line="240" w:lineRule="auto"/>
        <w:ind w:left="851" w:hanging="425"/>
        <w:jc w:val="both"/>
        <w:rPr>
          <w:rFonts w:ascii="Times New Roman" w:hAnsi="Times New Roman"/>
          <w:bCs/>
          <w:kern w:val="32"/>
          <w:lang w:eastAsia="hu-HU"/>
        </w:rPr>
      </w:pPr>
      <w:r>
        <w:rPr>
          <w:rFonts w:ascii="Times New Roman" w:hAnsi="Times New Roman"/>
          <w:bCs/>
          <w:kern w:val="32"/>
          <w:lang w:eastAsia="hu-HU"/>
        </w:rPr>
        <w:t>a tantárgyfelelős szervezeti egységet és a tantárgyfelelős személyét.</w:t>
      </w:r>
    </w:p>
    <w:p w:rsidR="008B31E6" w:rsidRDefault="008B31E6" w:rsidP="008B31E6">
      <w:pPr>
        <w:spacing w:after="0" w:line="240" w:lineRule="auto"/>
        <w:rPr>
          <w:rFonts w:ascii="Times New Roman" w:hAnsi="Times New Roman" w:cs="Times New Roman"/>
          <w:b/>
        </w:rPr>
      </w:pPr>
    </w:p>
    <w:p w:rsidR="008B31E6" w:rsidRDefault="008B31E6" w:rsidP="008B31E6">
      <w:pPr>
        <w:rPr>
          <w:rFonts w:ascii="Times New Roman" w:hAnsi="Times New Roman" w:cs="Times New Roman"/>
        </w:rPr>
      </w:pPr>
      <w:r>
        <w:rPr>
          <w:rFonts w:ascii="Times New Roman" w:hAnsi="Times New Roman" w:cs="Times New Roman"/>
        </w:rPr>
        <w:br w:type="page"/>
      </w:r>
    </w:p>
    <w:p w:rsidR="008B31E6" w:rsidRDefault="008B31E6" w:rsidP="008B31E6">
      <w:pPr>
        <w:spacing w:after="0" w:line="240" w:lineRule="auto"/>
        <w:rPr>
          <w:rFonts w:ascii="Times New Roman" w:hAnsi="Times New Roman" w:cs="Times New Roman"/>
        </w:rPr>
      </w:pPr>
      <w:r>
        <w:rPr>
          <w:rFonts w:ascii="Times New Roman" w:hAnsi="Times New Roman" w:cs="Times New Roman"/>
        </w:rPr>
        <w:lastRenderedPageBreak/>
        <w:t>A tanóratípusok rövidítései:</w:t>
      </w:r>
    </w:p>
    <w:p w:rsidR="008B31E6" w:rsidRDefault="008B31E6" w:rsidP="00980876">
      <w:pPr>
        <w:pStyle w:val="Listaszerbekezds"/>
        <w:numPr>
          <w:ilvl w:val="0"/>
          <w:numId w:val="601"/>
        </w:numPr>
        <w:spacing w:after="0" w:line="240" w:lineRule="auto"/>
        <w:rPr>
          <w:rFonts w:ascii="Times New Roman" w:hAnsi="Times New Roman" w:cs="Times New Roman"/>
        </w:rPr>
      </w:pPr>
      <w:r>
        <w:rPr>
          <w:rFonts w:ascii="Times New Roman" w:hAnsi="Times New Roman" w:cs="Times New Roman"/>
        </w:rPr>
        <w:t>előadás: EA</w:t>
      </w:r>
    </w:p>
    <w:p w:rsidR="008B31E6" w:rsidRDefault="008B31E6" w:rsidP="00980876">
      <w:pPr>
        <w:pStyle w:val="Listaszerbekezds"/>
        <w:numPr>
          <w:ilvl w:val="0"/>
          <w:numId w:val="601"/>
        </w:numPr>
        <w:spacing w:after="0" w:line="240" w:lineRule="auto"/>
        <w:rPr>
          <w:rFonts w:ascii="Times New Roman" w:hAnsi="Times New Roman" w:cs="Times New Roman"/>
        </w:rPr>
      </w:pPr>
      <w:r>
        <w:rPr>
          <w:rFonts w:ascii="Times New Roman" w:hAnsi="Times New Roman" w:cs="Times New Roman"/>
        </w:rPr>
        <w:t>szeminárium: SZ</w:t>
      </w:r>
    </w:p>
    <w:p w:rsidR="008B31E6" w:rsidRDefault="008B31E6" w:rsidP="00980876">
      <w:pPr>
        <w:pStyle w:val="Listaszerbekezds"/>
        <w:numPr>
          <w:ilvl w:val="0"/>
          <w:numId w:val="601"/>
        </w:numPr>
        <w:spacing w:after="0" w:line="240" w:lineRule="auto"/>
        <w:rPr>
          <w:rFonts w:ascii="Times New Roman" w:hAnsi="Times New Roman" w:cs="Times New Roman"/>
        </w:rPr>
      </w:pPr>
      <w:r>
        <w:rPr>
          <w:rFonts w:ascii="Times New Roman" w:hAnsi="Times New Roman" w:cs="Times New Roman"/>
        </w:rPr>
        <w:t>gyakorlat: GY</w:t>
      </w:r>
    </w:p>
    <w:p w:rsidR="008B31E6" w:rsidRDefault="008B31E6" w:rsidP="00980876">
      <w:pPr>
        <w:pStyle w:val="Listaszerbekezds"/>
        <w:numPr>
          <w:ilvl w:val="0"/>
          <w:numId w:val="601"/>
        </w:numPr>
        <w:spacing w:after="0" w:line="240" w:lineRule="auto"/>
        <w:rPr>
          <w:rFonts w:ascii="Times New Roman" w:hAnsi="Times New Roman" w:cs="Times New Roman"/>
        </w:rPr>
      </w:pPr>
      <w:r>
        <w:rPr>
          <w:rFonts w:ascii="Times New Roman" w:hAnsi="Times New Roman" w:cs="Times New Roman"/>
        </w:rPr>
        <w:t>e-szeminárium: ESZ</w:t>
      </w:r>
    </w:p>
    <w:p w:rsidR="008B31E6" w:rsidRDefault="008B31E6" w:rsidP="008B31E6">
      <w:pPr>
        <w:spacing w:after="0" w:line="240" w:lineRule="auto"/>
        <w:rPr>
          <w:rFonts w:ascii="Times New Roman" w:hAnsi="Times New Roman" w:cs="Times New Roman"/>
        </w:rPr>
      </w:pPr>
    </w:p>
    <w:p w:rsidR="008B31E6" w:rsidRDefault="008B31E6" w:rsidP="008B31E6">
      <w:pPr>
        <w:spacing w:after="0" w:line="240" w:lineRule="auto"/>
        <w:rPr>
          <w:rFonts w:ascii="Times New Roman" w:hAnsi="Times New Roman" w:cs="Times New Roman"/>
        </w:rPr>
      </w:pPr>
      <w:r>
        <w:rPr>
          <w:rFonts w:ascii="Times New Roman" w:hAnsi="Times New Roman" w:cs="Times New Roman"/>
        </w:rPr>
        <w:t>A tanóra-, kredit- és vizsgatervet az 1. számú melléklet tartalmazza.</w:t>
      </w:r>
    </w:p>
    <w:p w:rsidR="008B31E6" w:rsidRDefault="008B31E6" w:rsidP="008B31E6">
      <w:pPr>
        <w:spacing w:after="0" w:line="240" w:lineRule="auto"/>
        <w:rPr>
          <w:rFonts w:ascii="Times New Roman" w:hAnsi="Times New Roman" w:cs="Times New Roman"/>
          <w:b/>
        </w:rPr>
      </w:pPr>
    </w:p>
    <w:p w:rsidR="008B31E6" w:rsidRDefault="008B31E6" w:rsidP="001A1F62">
      <w:pPr>
        <w:pStyle w:val="Cmsor1"/>
        <w:spacing w:after="120"/>
        <w:rPr>
          <w:i w:val="0"/>
          <w:sz w:val="22"/>
          <w:szCs w:val="22"/>
          <w:u w:val="none"/>
        </w:rPr>
      </w:pPr>
      <w:bookmarkStart w:id="20" w:name="_Toc37240836"/>
      <w:r>
        <w:rPr>
          <w:i w:val="0"/>
          <w:sz w:val="22"/>
          <w:szCs w:val="22"/>
          <w:u w:val="none"/>
        </w:rPr>
        <w:t>10. Az előtanulmányi rend</w:t>
      </w:r>
      <w:bookmarkEnd w:id="20"/>
    </w:p>
    <w:p w:rsidR="008B31E6" w:rsidRDefault="008B31E6" w:rsidP="008B31E6">
      <w:pPr>
        <w:spacing w:after="0" w:line="240" w:lineRule="auto"/>
        <w:jc w:val="both"/>
        <w:rPr>
          <w:rFonts w:ascii="Times New Roman" w:hAnsi="Times New Roman"/>
          <w:bCs/>
          <w:kern w:val="32"/>
          <w:lang w:eastAsia="hu-HU"/>
        </w:rPr>
      </w:pPr>
      <w:r>
        <w:rPr>
          <w:rFonts w:ascii="Times New Roman" w:hAnsi="Times New Roman"/>
          <w:bCs/>
          <w:kern w:val="32"/>
          <w:lang w:eastAsia="hu-HU"/>
        </w:rPr>
        <w:t>A tanterv határozza meg, hogy az egyes tantárgyak felvételéhez milyen más tantárgyak előzetes vagy egyidejű teljesítése szükséges (előtanulmányi rend).</w:t>
      </w:r>
    </w:p>
    <w:p w:rsidR="008B31E6" w:rsidRDefault="008B31E6" w:rsidP="008B31E6">
      <w:pPr>
        <w:spacing w:after="0" w:line="240" w:lineRule="auto"/>
        <w:rPr>
          <w:rFonts w:ascii="Times New Roman" w:hAnsi="Times New Roman"/>
          <w:bCs/>
          <w:kern w:val="32"/>
          <w:lang w:eastAsia="hu-HU"/>
        </w:rPr>
      </w:pPr>
    </w:p>
    <w:p w:rsidR="008B31E6" w:rsidRDefault="008B31E6" w:rsidP="008B31E6">
      <w:pPr>
        <w:spacing w:after="0" w:line="240" w:lineRule="auto"/>
        <w:rPr>
          <w:rFonts w:ascii="Times New Roman" w:hAnsi="Times New Roman"/>
          <w:bCs/>
          <w:kern w:val="32"/>
          <w:lang w:eastAsia="hu-HU"/>
        </w:rPr>
      </w:pPr>
      <w:r>
        <w:rPr>
          <w:rFonts w:ascii="Times New Roman" w:hAnsi="Times New Roman"/>
          <w:bCs/>
          <w:kern w:val="32"/>
          <w:lang w:eastAsia="hu-HU"/>
        </w:rPr>
        <w:t>Az előtanulmányi rendet a 2. számú melléklet tartalmazza.</w:t>
      </w:r>
    </w:p>
    <w:p w:rsidR="008B31E6" w:rsidRDefault="008B31E6" w:rsidP="008B31E6">
      <w:pPr>
        <w:spacing w:after="0" w:line="240" w:lineRule="auto"/>
        <w:rPr>
          <w:rFonts w:ascii="Times New Roman" w:hAnsi="Times New Roman" w:cs="Times New Roman"/>
        </w:rPr>
      </w:pPr>
    </w:p>
    <w:p w:rsidR="008B31E6" w:rsidRPr="00153009" w:rsidRDefault="008B31E6" w:rsidP="001A1F62">
      <w:pPr>
        <w:pStyle w:val="Cmsor1"/>
        <w:spacing w:after="120"/>
        <w:rPr>
          <w:i w:val="0"/>
          <w:sz w:val="22"/>
          <w:szCs w:val="22"/>
          <w:u w:val="none"/>
        </w:rPr>
      </w:pPr>
      <w:bookmarkStart w:id="21" w:name="_Toc37240837"/>
      <w:r w:rsidRPr="00153009">
        <w:rPr>
          <w:i w:val="0"/>
          <w:sz w:val="22"/>
          <w:szCs w:val="22"/>
          <w:u w:val="none"/>
        </w:rPr>
        <w:t xml:space="preserve">11. </w:t>
      </w:r>
      <w:bookmarkStart w:id="22" w:name="_Toc482688826"/>
      <w:r w:rsidRPr="00153009">
        <w:rPr>
          <w:i w:val="0"/>
          <w:sz w:val="22"/>
          <w:szCs w:val="22"/>
          <w:u w:val="none"/>
        </w:rPr>
        <w:t>Az ismeretek ellenőrzési rendszere</w:t>
      </w:r>
      <w:bookmarkEnd w:id="21"/>
      <w:bookmarkEnd w:id="22"/>
    </w:p>
    <w:p w:rsidR="008B31E6" w:rsidRDefault="008B31E6" w:rsidP="008B31E6">
      <w:pPr>
        <w:spacing w:after="0" w:line="240" w:lineRule="auto"/>
        <w:rPr>
          <w:rFonts w:ascii="Times New Roman" w:hAnsi="Times New Roman" w:cs="Times New Roman"/>
        </w:rPr>
      </w:pPr>
      <w:r>
        <w:rPr>
          <w:rFonts w:ascii="Times New Roman" w:hAnsi="Times New Roman" w:cs="Times New Roman"/>
        </w:rPr>
        <w:t>A tananyag ismeretének ellenőrzése és értékelése történhet:</w:t>
      </w:r>
    </w:p>
    <w:p w:rsidR="008B31E6" w:rsidRDefault="008B31E6" w:rsidP="00980876">
      <w:pPr>
        <w:numPr>
          <w:ilvl w:val="0"/>
          <w:numId w:val="602"/>
        </w:numPr>
        <w:spacing w:after="0" w:line="240" w:lineRule="auto"/>
        <w:jc w:val="both"/>
        <w:rPr>
          <w:rFonts w:ascii="Times New Roman" w:hAnsi="Times New Roman" w:cs="Times New Roman"/>
        </w:rPr>
      </w:pPr>
      <w:r>
        <w:rPr>
          <w:rFonts w:ascii="Times New Roman" w:hAnsi="Times New Roman" w:cs="Times New Roman"/>
        </w:rPr>
        <w:t>szorgalmi időszakban a tanórán tett írásbeli vagy szóbeli számonkéréssel, írásbeli (zárthelyi) dolgozattal, otthoni munkával készített feladat értékelésével vagy gyakorlati feladat-végrehajtás értékelésével félévközi jegy formájában;</w:t>
      </w:r>
    </w:p>
    <w:p w:rsidR="008B31E6" w:rsidRDefault="008B31E6" w:rsidP="00980876">
      <w:pPr>
        <w:numPr>
          <w:ilvl w:val="0"/>
          <w:numId w:val="602"/>
        </w:numPr>
        <w:spacing w:after="0" w:line="240" w:lineRule="auto"/>
        <w:jc w:val="both"/>
        <w:rPr>
          <w:rFonts w:ascii="Times New Roman" w:hAnsi="Times New Roman" w:cs="Times New Roman"/>
        </w:rPr>
      </w:pPr>
      <w:r>
        <w:rPr>
          <w:rFonts w:ascii="Times New Roman" w:hAnsi="Times New Roman" w:cs="Times New Roman"/>
        </w:rPr>
        <w:t>a vizsgaidőszakban tett vizsgával;</w:t>
      </w:r>
    </w:p>
    <w:p w:rsidR="008B31E6" w:rsidRDefault="008B31E6" w:rsidP="00980876">
      <w:pPr>
        <w:numPr>
          <w:ilvl w:val="0"/>
          <w:numId w:val="602"/>
        </w:numPr>
        <w:spacing w:after="0" w:line="240" w:lineRule="auto"/>
        <w:rPr>
          <w:rFonts w:ascii="Times New Roman" w:hAnsi="Times New Roman" w:cs="Times New Roman"/>
        </w:rPr>
      </w:pPr>
      <w:r>
        <w:rPr>
          <w:rFonts w:ascii="Times New Roman" w:hAnsi="Times New Roman" w:cs="Times New Roman"/>
        </w:rPr>
        <w:t>a félévközi követelmények és a vizsga alapján együttesen.</w:t>
      </w:r>
    </w:p>
    <w:p w:rsidR="008B31E6" w:rsidRDefault="008B31E6" w:rsidP="008B31E6">
      <w:pPr>
        <w:spacing w:after="0" w:line="240" w:lineRule="auto"/>
        <w:rPr>
          <w:rFonts w:ascii="Times New Roman" w:hAnsi="Times New Roman" w:cs="Times New Roman"/>
        </w:rPr>
      </w:pPr>
    </w:p>
    <w:p w:rsidR="008B31E6" w:rsidRDefault="008B31E6" w:rsidP="008B31E6">
      <w:pPr>
        <w:spacing w:after="0" w:line="240" w:lineRule="auto"/>
        <w:jc w:val="both"/>
        <w:rPr>
          <w:rFonts w:ascii="Times New Roman" w:hAnsi="Times New Roman" w:cs="Times New Roman"/>
        </w:rPr>
      </w:pPr>
      <w:r>
        <w:rPr>
          <w:rFonts w:ascii="Times New Roman" w:hAnsi="Times New Roman" w:cs="Times New Roman"/>
        </w:rPr>
        <w:t>Kredittel nem rendelkező kritériumkövetelmény esetén annak teljesítésének feltétele önmagában az aláírás is lehet.</w:t>
      </w:r>
    </w:p>
    <w:p w:rsidR="008B31E6" w:rsidRDefault="008B31E6" w:rsidP="008B31E6">
      <w:pPr>
        <w:spacing w:after="0" w:line="240" w:lineRule="auto"/>
        <w:rPr>
          <w:rFonts w:ascii="Times New Roman" w:hAnsi="Times New Roman" w:cs="Times New Roman"/>
        </w:rPr>
      </w:pPr>
    </w:p>
    <w:p w:rsidR="008B31E6" w:rsidRDefault="008B31E6" w:rsidP="008B31E6">
      <w:pPr>
        <w:spacing w:after="0" w:line="240" w:lineRule="auto"/>
        <w:jc w:val="both"/>
        <w:rPr>
          <w:rFonts w:ascii="Times New Roman" w:hAnsi="Times New Roman" w:cs="Times New Roman"/>
        </w:rPr>
      </w:pPr>
      <w:r>
        <w:rPr>
          <w:rFonts w:ascii="Times New Roman" w:hAnsi="Times New Roman" w:cs="Times New Roman"/>
        </w:rPr>
        <w:t xml:space="preserve">A hallgató tanulmányait záróvizsgával fejezi be. A záróvizsga az oklevél megszerzéséhez szükséges ismeretek, készségek és képességek ellenőrzése és értékelése, amelynek során a hallgatónak arról is tanúságot kell tennie, hogy a tanult ismereteket alkalmazni tudja. </w:t>
      </w:r>
    </w:p>
    <w:p w:rsidR="008B31E6" w:rsidRDefault="008B31E6" w:rsidP="008B31E6">
      <w:pPr>
        <w:spacing w:after="0" w:line="240" w:lineRule="auto"/>
        <w:jc w:val="both"/>
        <w:rPr>
          <w:rFonts w:ascii="Times New Roman" w:hAnsi="Times New Roman" w:cs="Times New Roman"/>
        </w:rPr>
      </w:pPr>
    </w:p>
    <w:p w:rsidR="008B31E6" w:rsidRDefault="008B31E6" w:rsidP="008B31E6">
      <w:pPr>
        <w:spacing w:after="0" w:line="240" w:lineRule="auto"/>
        <w:jc w:val="both"/>
        <w:rPr>
          <w:rFonts w:ascii="Times New Roman" w:hAnsi="Times New Roman" w:cs="Times New Roman"/>
        </w:rPr>
      </w:pPr>
      <w:r>
        <w:rPr>
          <w:rFonts w:ascii="Times New Roman" w:hAnsi="Times New Roman" w:cs="Times New Roman"/>
        </w:rPr>
        <w:t>Az értékeléstípusok rövidítései:</w:t>
      </w:r>
    </w:p>
    <w:p w:rsidR="008B31E6" w:rsidRDefault="008B31E6" w:rsidP="00980876">
      <w:pPr>
        <w:pStyle w:val="Listaszerbekezds"/>
        <w:numPr>
          <w:ilvl w:val="0"/>
          <w:numId w:val="603"/>
        </w:numPr>
        <w:spacing w:after="0" w:line="240" w:lineRule="auto"/>
        <w:jc w:val="both"/>
        <w:rPr>
          <w:rFonts w:ascii="Times New Roman" w:hAnsi="Times New Roman" w:cs="Times New Roman"/>
        </w:rPr>
      </w:pPr>
      <w:r>
        <w:rPr>
          <w:rFonts w:ascii="Times New Roman" w:hAnsi="Times New Roman" w:cs="Times New Roman"/>
        </w:rPr>
        <w:t>évközi értékelés: ÉÉ / évközi értékelés (((záróvizsga tárgy((ÉÉ(Z)))</w:t>
      </w:r>
    </w:p>
    <w:p w:rsidR="008B31E6" w:rsidRDefault="008B31E6" w:rsidP="00980876">
      <w:pPr>
        <w:pStyle w:val="Listaszerbekezds"/>
        <w:numPr>
          <w:ilvl w:val="0"/>
          <w:numId w:val="603"/>
        </w:numPr>
        <w:spacing w:after="0" w:line="240" w:lineRule="auto"/>
        <w:jc w:val="both"/>
        <w:rPr>
          <w:rFonts w:ascii="Times New Roman" w:hAnsi="Times New Roman" w:cs="Times New Roman"/>
        </w:rPr>
      </w:pPr>
      <w:r>
        <w:rPr>
          <w:rFonts w:ascii="Times New Roman" w:hAnsi="Times New Roman" w:cs="Times New Roman"/>
        </w:rPr>
        <w:t>gyakorlati jegy: GYJ / gyakorlati jegy (((záróvizsga tárgy((GYJ(Z)))</w:t>
      </w:r>
    </w:p>
    <w:p w:rsidR="008B31E6" w:rsidRDefault="008B31E6" w:rsidP="00980876">
      <w:pPr>
        <w:pStyle w:val="Listaszerbekezds"/>
        <w:numPr>
          <w:ilvl w:val="0"/>
          <w:numId w:val="603"/>
        </w:numPr>
        <w:spacing w:after="0" w:line="240" w:lineRule="auto"/>
        <w:jc w:val="both"/>
        <w:rPr>
          <w:rFonts w:ascii="Times New Roman" w:hAnsi="Times New Roman" w:cs="Times New Roman"/>
        </w:rPr>
      </w:pPr>
      <w:r>
        <w:rPr>
          <w:rFonts w:ascii="Times New Roman" w:hAnsi="Times New Roman" w:cs="Times New Roman"/>
        </w:rPr>
        <w:t>kollokvium: K / kollokvium (((záróvizsga tárgy((K(Z)))</w:t>
      </w:r>
    </w:p>
    <w:p w:rsidR="008B31E6" w:rsidRDefault="008B31E6" w:rsidP="00980876">
      <w:pPr>
        <w:pStyle w:val="Listaszerbekezds"/>
        <w:numPr>
          <w:ilvl w:val="0"/>
          <w:numId w:val="603"/>
        </w:numPr>
        <w:spacing w:after="0" w:line="240" w:lineRule="auto"/>
        <w:jc w:val="both"/>
        <w:rPr>
          <w:rFonts w:ascii="Times New Roman" w:hAnsi="Times New Roman" w:cs="Times New Roman"/>
        </w:rPr>
      </w:pPr>
      <w:r>
        <w:rPr>
          <w:rFonts w:ascii="Times New Roman" w:hAnsi="Times New Roman" w:cs="Times New Roman"/>
        </w:rPr>
        <w:t>beszámoló: B</w:t>
      </w:r>
    </w:p>
    <w:p w:rsidR="008B31E6" w:rsidRDefault="008B31E6" w:rsidP="00980876">
      <w:pPr>
        <w:pStyle w:val="Listaszerbekezds"/>
        <w:numPr>
          <w:ilvl w:val="0"/>
          <w:numId w:val="603"/>
        </w:numPr>
        <w:spacing w:after="0" w:line="240" w:lineRule="auto"/>
        <w:jc w:val="both"/>
        <w:rPr>
          <w:rFonts w:ascii="Times New Roman" w:hAnsi="Times New Roman" w:cs="Times New Roman"/>
        </w:rPr>
      </w:pPr>
      <w:r>
        <w:rPr>
          <w:rFonts w:ascii="Times New Roman" w:hAnsi="Times New Roman" w:cs="Times New Roman"/>
        </w:rPr>
        <w:t>alapvizsga: AV</w:t>
      </w:r>
    </w:p>
    <w:p w:rsidR="008B31E6" w:rsidRDefault="008B31E6" w:rsidP="00980876">
      <w:pPr>
        <w:pStyle w:val="Listaszerbekezds"/>
        <w:numPr>
          <w:ilvl w:val="0"/>
          <w:numId w:val="603"/>
        </w:numPr>
        <w:spacing w:after="0" w:line="240" w:lineRule="auto"/>
        <w:jc w:val="both"/>
        <w:rPr>
          <w:rFonts w:ascii="Times New Roman" w:hAnsi="Times New Roman" w:cs="Times New Roman"/>
        </w:rPr>
      </w:pPr>
      <w:r>
        <w:rPr>
          <w:rFonts w:ascii="Times New Roman" w:hAnsi="Times New Roman" w:cs="Times New Roman"/>
        </w:rPr>
        <w:t>szigorlat: SZG</w:t>
      </w:r>
    </w:p>
    <w:p w:rsidR="008B31E6" w:rsidRDefault="008B31E6" w:rsidP="00980876">
      <w:pPr>
        <w:pStyle w:val="Listaszerbekezds"/>
        <w:numPr>
          <w:ilvl w:val="0"/>
          <w:numId w:val="603"/>
        </w:numPr>
        <w:spacing w:after="0" w:line="240" w:lineRule="auto"/>
        <w:jc w:val="both"/>
        <w:rPr>
          <w:rFonts w:ascii="Times New Roman" w:hAnsi="Times New Roman" w:cs="Times New Roman"/>
        </w:rPr>
      </w:pPr>
      <w:r>
        <w:rPr>
          <w:rFonts w:ascii="Times New Roman" w:hAnsi="Times New Roman" w:cs="Times New Roman"/>
        </w:rPr>
        <w:t>komplex vizsga: KV</w:t>
      </w:r>
    </w:p>
    <w:p w:rsidR="008B31E6" w:rsidRDefault="008B31E6" w:rsidP="00980876">
      <w:pPr>
        <w:pStyle w:val="Listaszerbekezds"/>
        <w:numPr>
          <w:ilvl w:val="0"/>
          <w:numId w:val="603"/>
        </w:numPr>
        <w:spacing w:after="0" w:line="240" w:lineRule="auto"/>
        <w:jc w:val="both"/>
        <w:rPr>
          <w:rFonts w:ascii="Times New Roman" w:hAnsi="Times New Roman" w:cs="Times New Roman"/>
        </w:rPr>
      </w:pPr>
      <w:r>
        <w:rPr>
          <w:rFonts w:ascii="Times New Roman" w:hAnsi="Times New Roman" w:cs="Times New Roman"/>
        </w:rPr>
        <w:t>záróvizsga: ZV</w:t>
      </w:r>
    </w:p>
    <w:p w:rsidR="008B31E6" w:rsidRDefault="008B31E6" w:rsidP="008B31E6">
      <w:pPr>
        <w:spacing w:after="0" w:line="240" w:lineRule="auto"/>
        <w:ind w:left="360"/>
        <w:jc w:val="both"/>
        <w:rPr>
          <w:rFonts w:ascii="Times New Roman" w:hAnsi="Times New Roman" w:cs="Times New Roman"/>
        </w:rPr>
      </w:pPr>
    </w:p>
    <w:p w:rsidR="008B31E6" w:rsidRDefault="008B31E6" w:rsidP="008B31E6">
      <w:pPr>
        <w:spacing w:after="0" w:line="240" w:lineRule="auto"/>
        <w:jc w:val="both"/>
        <w:rPr>
          <w:rFonts w:ascii="Times New Roman" w:hAnsi="Times New Roman" w:cs="Times New Roman"/>
        </w:rPr>
      </w:pPr>
      <w:r>
        <w:rPr>
          <w:rFonts w:ascii="Times New Roman" w:hAnsi="Times New Roman" w:cs="Times New Roman"/>
        </w:rPr>
        <w:t>Az ismeretek ellenőrzésének rendjét részletesen a vonatkozó jogszabályokban, valamint a Tanulmányi és Vizsgaszabályzatban meghatározottak alapján:</w:t>
      </w:r>
    </w:p>
    <w:p w:rsidR="008B31E6" w:rsidRDefault="008B31E6" w:rsidP="00980876">
      <w:pPr>
        <w:pStyle w:val="Listaszerbekezds"/>
        <w:numPr>
          <w:ilvl w:val="0"/>
          <w:numId w:val="603"/>
        </w:numPr>
        <w:spacing w:after="0" w:line="240" w:lineRule="auto"/>
        <w:jc w:val="both"/>
        <w:rPr>
          <w:rFonts w:ascii="Times New Roman" w:hAnsi="Times New Roman" w:cs="Times New Roman"/>
        </w:rPr>
      </w:pPr>
      <w:r>
        <w:rPr>
          <w:rFonts w:ascii="Times New Roman" w:hAnsi="Times New Roman" w:cs="Times New Roman"/>
        </w:rPr>
        <w:t>a jelen ajánlott tanterv részét képező tantárgyi programok, valamint</w:t>
      </w:r>
    </w:p>
    <w:p w:rsidR="008B31E6" w:rsidRDefault="008B31E6" w:rsidP="00980876">
      <w:pPr>
        <w:pStyle w:val="Listaszerbekezds"/>
        <w:numPr>
          <w:ilvl w:val="0"/>
          <w:numId w:val="603"/>
        </w:numPr>
        <w:spacing w:after="0" w:line="240" w:lineRule="auto"/>
        <w:jc w:val="both"/>
        <w:rPr>
          <w:rFonts w:ascii="Times New Roman" w:hAnsi="Times New Roman" w:cs="Times New Roman"/>
        </w:rPr>
      </w:pPr>
      <w:r>
        <w:rPr>
          <w:rFonts w:ascii="Times New Roman" w:hAnsi="Times New Roman" w:cs="Times New Roman"/>
        </w:rPr>
        <w:t>a záróvizsga tekintetében a jelen fejezet 12. pontja</w:t>
      </w:r>
    </w:p>
    <w:p w:rsidR="008B31E6" w:rsidRDefault="008B31E6" w:rsidP="008B31E6">
      <w:pPr>
        <w:spacing w:after="0" w:line="240" w:lineRule="auto"/>
        <w:jc w:val="both"/>
        <w:rPr>
          <w:rFonts w:ascii="Times New Roman" w:hAnsi="Times New Roman" w:cs="Times New Roman"/>
        </w:rPr>
      </w:pPr>
      <w:r>
        <w:rPr>
          <w:rFonts w:ascii="Times New Roman" w:hAnsi="Times New Roman" w:cs="Times New Roman"/>
        </w:rPr>
        <w:t>határozzák meg.</w:t>
      </w:r>
    </w:p>
    <w:p w:rsidR="008B31E6" w:rsidRDefault="008B31E6" w:rsidP="008B31E6">
      <w:pPr>
        <w:spacing w:after="0" w:line="240" w:lineRule="auto"/>
        <w:rPr>
          <w:rFonts w:ascii="Times New Roman" w:hAnsi="Times New Roman" w:cs="Times New Roman"/>
        </w:rPr>
      </w:pPr>
    </w:p>
    <w:p w:rsidR="008B31E6" w:rsidRPr="00C22353" w:rsidRDefault="008B31E6" w:rsidP="001A1F62">
      <w:pPr>
        <w:pStyle w:val="Cmsor1"/>
        <w:spacing w:after="120"/>
        <w:rPr>
          <w:i w:val="0"/>
          <w:sz w:val="22"/>
          <w:szCs w:val="22"/>
          <w:u w:val="none"/>
        </w:rPr>
      </w:pPr>
      <w:bookmarkStart w:id="23" w:name="_Toc482688829"/>
      <w:bookmarkStart w:id="24" w:name="_Toc37240838"/>
      <w:bookmarkStart w:id="25" w:name="_Toc482688827"/>
      <w:r w:rsidRPr="00C22353">
        <w:rPr>
          <w:i w:val="0"/>
          <w:sz w:val="22"/>
          <w:szCs w:val="22"/>
          <w:u w:val="none"/>
        </w:rPr>
        <w:t>12. A záróvizsga</w:t>
      </w:r>
      <w:bookmarkEnd w:id="23"/>
      <w:bookmarkEnd w:id="24"/>
    </w:p>
    <w:p w:rsidR="008B31E6" w:rsidRPr="00C22353" w:rsidRDefault="008B31E6" w:rsidP="008B31E6">
      <w:pPr>
        <w:spacing w:after="0" w:line="240" w:lineRule="auto"/>
        <w:jc w:val="both"/>
        <w:rPr>
          <w:rFonts w:ascii="Times New Roman" w:hAnsi="Times New Roman" w:cs="Times New Roman"/>
        </w:rPr>
      </w:pPr>
      <w:r w:rsidRPr="00C22353">
        <w:rPr>
          <w:rFonts w:ascii="Times New Roman" w:hAnsi="Times New Roman" w:cs="Times New Roman"/>
        </w:rPr>
        <w:t>A záróvizsga (szóbeli komplex záróvizsga) az ajánlott tantervben meghatározottak szerint több részből –diplomamunka megvédéséből, továbbá szóbeli, írásbeli, gyakorlati vizsgarészekből – állhat. A záróvizsga célja, hogy az oklevél megszerzéséhez szükséges ismereteket, készségeket, képességeket ellenőrizze, értékelje, illetve megbizonyosodjon arról, hogy a hallgató a tanult ismereteket alkalmazni tudja.</w:t>
      </w:r>
    </w:p>
    <w:p w:rsidR="008B31E6" w:rsidRDefault="008B31E6" w:rsidP="008B31E6">
      <w:pPr>
        <w:spacing w:after="0" w:line="240" w:lineRule="auto"/>
        <w:rPr>
          <w:rFonts w:ascii="Times New Roman" w:hAnsi="Times New Roman" w:cs="Times New Roman"/>
          <w:b/>
          <w:i/>
        </w:rPr>
      </w:pPr>
      <w:bookmarkStart w:id="26" w:name="_Toc482688830"/>
    </w:p>
    <w:p w:rsidR="008B31E6" w:rsidRDefault="008B31E6" w:rsidP="008B31E6">
      <w:pPr>
        <w:rPr>
          <w:rFonts w:ascii="Times New Roman" w:hAnsi="Times New Roman" w:cs="Times New Roman"/>
          <w:b/>
          <w:i/>
        </w:rPr>
      </w:pPr>
      <w:r>
        <w:rPr>
          <w:rFonts w:ascii="Times New Roman" w:hAnsi="Times New Roman" w:cs="Times New Roman"/>
          <w:b/>
          <w:i/>
        </w:rPr>
        <w:br w:type="page"/>
      </w:r>
    </w:p>
    <w:p w:rsidR="008B31E6" w:rsidRDefault="008B31E6" w:rsidP="008B31E6">
      <w:pPr>
        <w:spacing w:after="0" w:line="240" w:lineRule="auto"/>
        <w:rPr>
          <w:rFonts w:ascii="Times New Roman" w:hAnsi="Times New Roman" w:cs="Times New Roman"/>
          <w:b/>
          <w:bCs/>
          <w:i/>
        </w:rPr>
      </w:pPr>
      <w:r>
        <w:rPr>
          <w:rFonts w:ascii="Times New Roman" w:hAnsi="Times New Roman" w:cs="Times New Roman"/>
          <w:b/>
          <w:i/>
        </w:rPr>
        <w:lastRenderedPageBreak/>
        <w:t>12.1. A záróvizsgára bocsátás feltételei</w:t>
      </w:r>
      <w:bookmarkEnd w:id="26"/>
    </w:p>
    <w:p w:rsidR="008B31E6" w:rsidRDefault="008B31E6" w:rsidP="008B31E6">
      <w:pPr>
        <w:spacing w:after="0" w:line="240" w:lineRule="auto"/>
        <w:jc w:val="both"/>
        <w:rPr>
          <w:rFonts w:ascii="Times New Roman" w:hAnsi="Times New Roman" w:cs="Times New Roman"/>
        </w:rPr>
      </w:pPr>
      <w:r>
        <w:rPr>
          <w:rFonts w:ascii="Times New Roman" w:hAnsi="Times New Roman" w:cs="Times New Roman"/>
        </w:rPr>
        <w:t>A záróvizsgára bocsátás feltételei:</w:t>
      </w:r>
    </w:p>
    <w:p w:rsidR="008B31E6" w:rsidRPr="00C22353" w:rsidRDefault="008B31E6" w:rsidP="00980876">
      <w:pPr>
        <w:pStyle w:val="Listaszerbekezds"/>
        <w:numPr>
          <w:ilvl w:val="0"/>
          <w:numId w:val="603"/>
        </w:numPr>
        <w:spacing w:after="0" w:line="240" w:lineRule="auto"/>
        <w:ind w:left="567"/>
        <w:jc w:val="both"/>
        <w:rPr>
          <w:rFonts w:ascii="Times New Roman" w:hAnsi="Times New Roman" w:cs="Times New Roman"/>
          <w:iCs/>
        </w:rPr>
      </w:pPr>
      <w:r w:rsidRPr="00C22353">
        <w:rPr>
          <w:rFonts w:ascii="Times New Roman" w:hAnsi="Times New Roman" w:cs="Times New Roman"/>
        </w:rPr>
        <w:t>az abszolutórium (végbizonyítvány megszerzése): az Egyetem</w:t>
      </w:r>
      <w:r w:rsidRPr="00C22353">
        <w:rPr>
          <w:rFonts w:ascii="Times New Roman" w:hAnsi="Times New Roman" w:cs="Times New Roman"/>
          <w:iCs/>
        </w:rPr>
        <w:t xml:space="preserve"> annak a hallgatónak, aki a tantervben előírt tanulmányi és vizsgakövetelményeket és az előírt szakmai gyakorlatot – a nyelvvizsga letétele, a szakdolgozat elkészítése kivételével – teljesítette, és az előírt krediteket megszerezte, végbizonyítványt állít ki (abszolutórium), amely minősítés és értékelés nélkül tanúsítja, hogy a hallgató a tantervben előírt tanulmányi és vizsgakövet</w:t>
      </w:r>
      <w:r>
        <w:rPr>
          <w:rFonts w:ascii="Times New Roman" w:hAnsi="Times New Roman" w:cs="Times New Roman"/>
          <w:iCs/>
        </w:rPr>
        <w:t>elménynek mindenben eleget tett;</w:t>
      </w:r>
    </w:p>
    <w:p w:rsidR="008B31E6" w:rsidRDefault="008B31E6" w:rsidP="00980876">
      <w:pPr>
        <w:pStyle w:val="Listaszerbekezds"/>
        <w:numPr>
          <w:ilvl w:val="0"/>
          <w:numId w:val="603"/>
        </w:numPr>
        <w:spacing w:after="0" w:line="240" w:lineRule="auto"/>
        <w:ind w:left="567"/>
        <w:jc w:val="both"/>
        <w:rPr>
          <w:rFonts w:ascii="Times New Roman" w:hAnsi="Times New Roman" w:cs="Times New Roman"/>
          <w:iCs/>
        </w:rPr>
      </w:pPr>
      <w:r w:rsidRPr="00C22353">
        <w:rPr>
          <w:rFonts w:ascii="Times New Roman" w:hAnsi="Times New Roman" w:cs="Times New Roman"/>
          <w:iCs/>
        </w:rPr>
        <w:t>a bírálaton részt vett szakdolgozat</w:t>
      </w:r>
      <w:r>
        <w:rPr>
          <w:rFonts w:ascii="Times New Roman" w:hAnsi="Times New Roman" w:cs="Times New Roman"/>
          <w:iCs/>
        </w:rPr>
        <w:t>.</w:t>
      </w:r>
    </w:p>
    <w:p w:rsidR="008B31E6" w:rsidRPr="00C22353" w:rsidRDefault="008B31E6" w:rsidP="008B31E6">
      <w:pPr>
        <w:pStyle w:val="Listaszerbekezds"/>
        <w:spacing w:after="0" w:line="240" w:lineRule="auto"/>
        <w:ind w:left="567"/>
        <w:jc w:val="both"/>
        <w:rPr>
          <w:rFonts w:ascii="Times New Roman" w:hAnsi="Times New Roman" w:cs="Times New Roman"/>
          <w:iCs/>
        </w:rPr>
      </w:pPr>
    </w:p>
    <w:p w:rsidR="008B31E6" w:rsidRPr="00E41FB1" w:rsidRDefault="008B31E6" w:rsidP="008B31E6">
      <w:pPr>
        <w:spacing w:after="0" w:line="240" w:lineRule="auto"/>
        <w:rPr>
          <w:rFonts w:ascii="Times New Roman" w:hAnsi="Times New Roman" w:cs="Times New Roman"/>
          <w:b/>
          <w:i/>
        </w:rPr>
      </w:pPr>
      <w:bookmarkStart w:id="27" w:name="_Toc482688831"/>
      <w:r w:rsidRPr="00E41FB1">
        <w:rPr>
          <w:rFonts w:ascii="Times New Roman" w:hAnsi="Times New Roman" w:cs="Times New Roman"/>
          <w:b/>
          <w:i/>
        </w:rPr>
        <w:t>12.2. A záróvizsga részei</w:t>
      </w:r>
      <w:bookmarkEnd w:id="27"/>
    </w:p>
    <w:p w:rsidR="008B31E6" w:rsidRDefault="008B31E6" w:rsidP="008B31E6">
      <w:pPr>
        <w:spacing w:after="0" w:line="240" w:lineRule="auto"/>
        <w:jc w:val="both"/>
        <w:rPr>
          <w:rFonts w:ascii="Times New Roman" w:hAnsi="Times New Roman" w:cs="Times New Roman"/>
          <w:color w:val="FF0000"/>
        </w:rPr>
      </w:pPr>
    </w:p>
    <w:p w:rsidR="008B31E6" w:rsidRPr="00E41FB1" w:rsidRDefault="008B31E6" w:rsidP="008B31E6">
      <w:pPr>
        <w:spacing w:after="0" w:line="240" w:lineRule="auto"/>
        <w:jc w:val="both"/>
        <w:rPr>
          <w:rFonts w:ascii="Times New Roman" w:hAnsi="Times New Roman" w:cs="Times New Roman"/>
          <w:b/>
        </w:rPr>
      </w:pPr>
      <w:r w:rsidRPr="00E41FB1">
        <w:rPr>
          <w:rFonts w:ascii="Times New Roman" w:hAnsi="Times New Roman" w:cs="Times New Roman"/>
          <w:b/>
        </w:rPr>
        <w:t>A záróvizsga részei:</w:t>
      </w:r>
    </w:p>
    <w:p w:rsidR="008B31E6" w:rsidRPr="00E41FB1" w:rsidRDefault="008B31E6" w:rsidP="00980876">
      <w:pPr>
        <w:pStyle w:val="Listaszerbekezds"/>
        <w:numPr>
          <w:ilvl w:val="0"/>
          <w:numId w:val="603"/>
        </w:numPr>
        <w:spacing w:after="0" w:line="240" w:lineRule="auto"/>
        <w:jc w:val="both"/>
        <w:rPr>
          <w:rFonts w:ascii="Times New Roman" w:hAnsi="Times New Roman" w:cs="Times New Roman"/>
        </w:rPr>
      </w:pPr>
      <w:r w:rsidRPr="00E41FB1">
        <w:rPr>
          <w:rFonts w:ascii="Times New Roman" w:hAnsi="Times New Roman" w:cs="Times New Roman"/>
        </w:rPr>
        <w:t>A szakdolgozat megvédése,</w:t>
      </w:r>
    </w:p>
    <w:p w:rsidR="008B31E6" w:rsidRPr="00E41FB1" w:rsidRDefault="008B31E6" w:rsidP="00980876">
      <w:pPr>
        <w:pStyle w:val="Listaszerbekezds"/>
        <w:numPr>
          <w:ilvl w:val="0"/>
          <w:numId w:val="603"/>
        </w:numPr>
        <w:spacing w:after="0" w:line="240" w:lineRule="auto"/>
        <w:jc w:val="both"/>
        <w:rPr>
          <w:rFonts w:ascii="Times New Roman" w:hAnsi="Times New Roman" w:cs="Times New Roman"/>
        </w:rPr>
      </w:pPr>
      <w:r w:rsidRPr="00E41FB1">
        <w:rPr>
          <w:rFonts w:ascii="Times New Roman" w:hAnsi="Times New Roman" w:cs="Times New Roman"/>
        </w:rPr>
        <w:t>szóbeli vizsga a tantervben meghatározott tárgyakból, tantárgyrészekből, amelyek legalább 14, legfeljebb 28 kreditpontnak megfelelő ismeretanyag számonkérését jelentik,</w:t>
      </w:r>
    </w:p>
    <w:p w:rsidR="008B31E6" w:rsidRPr="00E41FB1" w:rsidRDefault="008B31E6" w:rsidP="00980876">
      <w:pPr>
        <w:pStyle w:val="Listaszerbekezds"/>
        <w:numPr>
          <w:ilvl w:val="0"/>
          <w:numId w:val="603"/>
        </w:numPr>
        <w:spacing w:after="0" w:line="240" w:lineRule="auto"/>
        <w:jc w:val="both"/>
        <w:rPr>
          <w:rFonts w:ascii="Times New Roman" w:hAnsi="Times New Roman" w:cs="Times New Roman"/>
        </w:rPr>
      </w:pPr>
      <w:r w:rsidRPr="00E41FB1">
        <w:rPr>
          <w:rFonts w:ascii="Times New Roman" w:hAnsi="Times New Roman" w:cs="Times New Roman"/>
        </w:rPr>
        <w:t>a szóbeli vizsgát az a hallgató kezdheti meg, aki a szakdolgozatát eredményesen megvédte.</w:t>
      </w:r>
    </w:p>
    <w:p w:rsidR="008B31E6" w:rsidRDefault="008B31E6" w:rsidP="008B31E6">
      <w:pPr>
        <w:spacing w:after="0" w:line="240" w:lineRule="auto"/>
        <w:jc w:val="both"/>
        <w:rPr>
          <w:rFonts w:ascii="Times New Roman" w:hAnsi="Times New Roman" w:cs="Times New Roman"/>
          <w:color w:val="FF0000"/>
        </w:rPr>
      </w:pPr>
    </w:p>
    <w:p w:rsidR="008B31E6" w:rsidRPr="00E41FB1" w:rsidRDefault="008B31E6" w:rsidP="008B31E6">
      <w:pPr>
        <w:spacing w:after="0" w:line="240" w:lineRule="auto"/>
        <w:jc w:val="both"/>
        <w:rPr>
          <w:rFonts w:ascii="Times New Roman" w:hAnsi="Times New Roman" w:cs="Times New Roman"/>
          <w:b/>
        </w:rPr>
      </w:pPr>
      <w:r w:rsidRPr="00E41FB1">
        <w:rPr>
          <w:rFonts w:ascii="Times New Roman" w:hAnsi="Times New Roman" w:cs="Times New Roman"/>
          <w:b/>
        </w:rPr>
        <w:t>Záróvizsga tantárgyak:</w:t>
      </w:r>
    </w:p>
    <w:p w:rsidR="008B31E6" w:rsidRDefault="008B31E6" w:rsidP="008B31E6">
      <w:pPr>
        <w:spacing w:after="0" w:line="240" w:lineRule="auto"/>
        <w:jc w:val="both"/>
        <w:rPr>
          <w:rFonts w:ascii="Times New Roman" w:hAnsi="Times New Roman" w:cs="Times New Roman"/>
          <w:b/>
          <w:color w:val="FF0000"/>
        </w:rPr>
      </w:pPr>
    </w:p>
    <w:p w:rsidR="008B31E6" w:rsidRPr="00F357C5" w:rsidRDefault="008B31E6" w:rsidP="008B31E6">
      <w:pPr>
        <w:spacing w:after="0" w:line="240" w:lineRule="auto"/>
        <w:ind w:left="360"/>
        <w:jc w:val="both"/>
        <w:rPr>
          <w:rFonts w:ascii="Times New Roman" w:hAnsi="Times New Roman" w:cs="Times New Roman"/>
          <w:b/>
          <w:i/>
        </w:rPr>
      </w:pPr>
      <w:r>
        <w:rPr>
          <w:rFonts w:ascii="Times New Roman" w:hAnsi="Times New Roman" w:cs="Times New Roman"/>
          <w:b/>
          <w:i/>
        </w:rPr>
        <w:t>1</w:t>
      </w:r>
      <w:r w:rsidRPr="00F357C5">
        <w:rPr>
          <w:rFonts w:ascii="Times New Roman" w:hAnsi="Times New Roman" w:cs="Times New Roman"/>
          <w:b/>
          <w:i/>
        </w:rPr>
        <w:t>. Hadtáp specializáció vizsgatárgyai:</w:t>
      </w:r>
    </w:p>
    <w:p w:rsidR="008B31E6" w:rsidRPr="000D6A2F" w:rsidRDefault="008B31E6" w:rsidP="008B31E6">
      <w:pPr>
        <w:spacing w:after="0" w:line="240" w:lineRule="auto"/>
        <w:ind w:left="360"/>
        <w:jc w:val="both"/>
        <w:rPr>
          <w:rFonts w:ascii="Times New Roman" w:hAnsi="Times New Roman" w:cs="Times New Roman"/>
          <w:b/>
          <w:color w:val="FF0000"/>
        </w:rPr>
      </w:pPr>
    </w:p>
    <w:p w:rsidR="008B31E6" w:rsidRPr="00F357C5" w:rsidRDefault="008B31E6" w:rsidP="00980876">
      <w:pPr>
        <w:pStyle w:val="Listaszerbekezds"/>
        <w:numPr>
          <w:ilvl w:val="0"/>
          <w:numId w:val="607"/>
        </w:numPr>
        <w:tabs>
          <w:tab w:val="clear" w:pos="360"/>
          <w:tab w:val="num" w:pos="720"/>
        </w:tabs>
        <w:spacing w:after="0" w:line="240" w:lineRule="auto"/>
        <w:ind w:left="720"/>
        <w:jc w:val="both"/>
        <w:rPr>
          <w:rFonts w:ascii="Times New Roman" w:hAnsi="Times New Roman" w:cs="Times New Roman"/>
          <w:u w:val="single"/>
        </w:rPr>
      </w:pPr>
      <w:r w:rsidRPr="00F357C5">
        <w:rPr>
          <w:rFonts w:ascii="Times New Roman" w:hAnsi="Times New Roman" w:cs="Times New Roman"/>
          <w:u w:val="single"/>
        </w:rPr>
        <w:t>Logisztikai műveleti felkészítés (6 kr.):</w:t>
      </w:r>
    </w:p>
    <w:p w:rsidR="008B31E6" w:rsidRPr="00F357C5" w:rsidRDefault="008B31E6" w:rsidP="00980876">
      <w:pPr>
        <w:pStyle w:val="Listaszerbekezds"/>
        <w:numPr>
          <w:ilvl w:val="0"/>
          <w:numId w:val="608"/>
        </w:numPr>
        <w:spacing w:after="0" w:line="240" w:lineRule="auto"/>
        <w:ind w:left="1080"/>
        <w:jc w:val="both"/>
        <w:rPr>
          <w:rFonts w:ascii="Times New Roman" w:hAnsi="Times New Roman" w:cs="Times New Roman"/>
        </w:rPr>
      </w:pPr>
      <w:r w:rsidRPr="00F357C5">
        <w:rPr>
          <w:rFonts w:ascii="Times New Roman" w:hAnsi="Times New Roman" w:cs="Times New Roman"/>
        </w:rPr>
        <w:t>Lövészzászlóalj műveleteinek logisztikai támogatása I-II. (4 kr.),</w:t>
      </w:r>
    </w:p>
    <w:p w:rsidR="008B31E6" w:rsidRPr="00F357C5" w:rsidRDefault="008B31E6" w:rsidP="00980876">
      <w:pPr>
        <w:pStyle w:val="Listaszerbekezds"/>
        <w:numPr>
          <w:ilvl w:val="0"/>
          <w:numId w:val="608"/>
        </w:numPr>
        <w:spacing w:after="0" w:line="240" w:lineRule="auto"/>
        <w:ind w:left="1080"/>
        <w:jc w:val="both"/>
        <w:rPr>
          <w:rFonts w:ascii="Times New Roman" w:hAnsi="Times New Roman" w:cs="Times New Roman"/>
        </w:rPr>
      </w:pPr>
      <w:r w:rsidRPr="00F357C5">
        <w:rPr>
          <w:rFonts w:ascii="Times New Roman" w:hAnsi="Times New Roman" w:cs="Times New Roman"/>
        </w:rPr>
        <w:t>Lövészdandár logisztikai támogatásának alapjai (2 kr.).</w:t>
      </w:r>
    </w:p>
    <w:p w:rsidR="008B31E6" w:rsidRPr="00F357C5" w:rsidRDefault="008B31E6" w:rsidP="00980876">
      <w:pPr>
        <w:pStyle w:val="Listaszerbekezds"/>
        <w:numPr>
          <w:ilvl w:val="0"/>
          <w:numId w:val="607"/>
        </w:numPr>
        <w:tabs>
          <w:tab w:val="clear" w:pos="360"/>
          <w:tab w:val="num" w:pos="720"/>
        </w:tabs>
        <w:spacing w:after="0" w:line="240" w:lineRule="auto"/>
        <w:ind w:left="720"/>
        <w:jc w:val="both"/>
        <w:rPr>
          <w:rFonts w:ascii="Times New Roman" w:hAnsi="Times New Roman" w:cs="Times New Roman"/>
          <w:u w:val="single"/>
        </w:rPr>
      </w:pPr>
      <w:r w:rsidRPr="00F357C5">
        <w:rPr>
          <w:rFonts w:ascii="Times New Roman" w:hAnsi="Times New Roman" w:cs="Times New Roman"/>
          <w:u w:val="single"/>
        </w:rPr>
        <w:t>Hadtáp ismeretek (18 kr.):</w:t>
      </w:r>
    </w:p>
    <w:p w:rsidR="008B31E6" w:rsidRPr="00F357C5" w:rsidRDefault="008B31E6" w:rsidP="00980876">
      <w:pPr>
        <w:pStyle w:val="Listaszerbekezds"/>
        <w:numPr>
          <w:ilvl w:val="0"/>
          <w:numId w:val="608"/>
        </w:numPr>
        <w:spacing w:after="0" w:line="240" w:lineRule="auto"/>
        <w:ind w:left="1080"/>
        <w:jc w:val="both"/>
        <w:rPr>
          <w:rFonts w:ascii="Times New Roman" w:hAnsi="Times New Roman" w:cs="Times New Roman"/>
        </w:rPr>
      </w:pPr>
      <w:r w:rsidRPr="00F357C5">
        <w:rPr>
          <w:rFonts w:ascii="Times New Roman" w:hAnsi="Times New Roman" w:cs="Times New Roman"/>
        </w:rPr>
        <w:t>Élelmezési ellátás (5 kr.),</w:t>
      </w:r>
    </w:p>
    <w:p w:rsidR="008B31E6" w:rsidRPr="00F357C5" w:rsidRDefault="008B31E6" w:rsidP="00980876">
      <w:pPr>
        <w:pStyle w:val="Listaszerbekezds"/>
        <w:numPr>
          <w:ilvl w:val="0"/>
          <w:numId w:val="608"/>
        </w:numPr>
        <w:spacing w:after="0" w:line="240" w:lineRule="auto"/>
        <w:ind w:left="1080"/>
        <w:jc w:val="both"/>
        <w:rPr>
          <w:rFonts w:ascii="Times New Roman" w:hAnsi="Times New Roman" w:cs="Times New Roman"/>
        </w:rPr>
      </w:pPr>
      <w:r w:rsidRPr="00F357C5">
        <w:rPr>
          <w:rFonts w:ascii="Times New Roman" w:hAnsi="Times New Roman" w:cs="Times New Roman"/>
        </w:rPr>
        <w:t>Üzemanyag ellátás (5 kr.),</w:t>
      </w:r>
    </w:p>
    <w:p w:rsidR="008B31E6" w:rsidRPr="00F357C5" w:rsidRDefault="008B31E6" w:rsidP="00980876">
      <w:pPr>
        <w:pStyle w:val="Listaszerbekezds"/>
        <w:numPr>
          <w:ilvl w:val="0"/>
          <w:numId w:val="608"/>
        </w:numPr>
        <w:spacing w:after="0" w:line="240" w:lineRule="auto"/>
        <w:ind w:left="1080"/>
        <w:jc w:val="both"/>
        <w:rPr>
          <w:rFonts w:ascii="Times New Roman" w:hAnsi="Times New Roman" w:cs="Times New Roman"/>
        </w:rPr>
      </w:pPr>
      <w:r w:rsidRPr="00F357C5">
        <w:rPr>
          <w:rFonts w:ascii="Times New Roman" w:hAnsi="Times New Roman" w:cs="Times New Roman"/>
        </w:rPr>
        <w:t>Ruházati ellátás (5 kr.),</w:t>
      </w:r>
    </w:p>
    <w:p w:rsidR="008B31E6" w:rsidRPr="00F357C5" w:rsidRDefault="008B31E6" w:rsidP="00980876">
      <w:pPr>
        <w:pStyle w:val="Listaszerbekezds"/>
        <w:numPr>
          <w:ilvl w:val="0"/>
          <w:numId w:val="608"/>
        </w:numPr>
        <w:spacing w:after="0" w:line="240" w:lineRule="auto"/>
        <w:ind w:left="1080"/>
        <w:jc w:val="both"/>
        <w:rPr>
          <w:rFonts w:ascii="Times New Roman" w:hAnsi="Times New Roman" w:cs="Times New Roman"/>
        </w:rPr>
      </w:pPr>
      <w:r w:rsidRPr="00F357C5">
        <w:rPr>
          <w:rFonts w:ascii="Times New Roman" w:hAnsi="Times New Roman" w:cs="Times New Roman"/>
        </w:rPr>
        <w:t>Ellátó alegységek vezetése (3 kr.).</w:t>
      </w:r>
    </w:p>
    <w:p w:rsidR="008B31E6" w:rsidRDefault="008B31E6" w:rsidP="008B31E6">
      <w:pPr>
        <w:spacing w:after="0" w:line="240" w:lineRule="auto"/>
        <w:ind w:left="360"/>
        <w:jc w:val="both"/>
        <w:rPr>
          <w:rFonts w:ascii="Times New Roman" w:hAnsi="Times New Roman" w:cs="Times New Roman"/>
          <w:b/>
          <w:i/>
        </w:rPr>
      </w:pPr>
    </w:p>
    <w:p w:rsidR="008B31E6" w:rsidRPr="00E41FB1" w:rsidRDefault="008B31E6" w:rsidP="008B31E6">
      <w:pPr>
        <w:spacing w:after="0" w:line="240" w:lineRule="auto"/>
        <w:ind w:left="360"/>
        <w:jc w:val="both"/>
        <w:rPr>
          <w:rFonts w:ascii="Times New Roman" w:hAnsi="Times New Roman" w:cs="Times New Roman"/>
          <w:b/>
          <w:i/>
        </w:rPr>
      </w:pPr>
      <w:r>
        <w:rPr>
          <w:rFonts w:ascii="Times New Roman" w:hAnsi="Times New Roman" w:cs="Times New Roman"/>
          <w:b/>
          <w:i/>
        </w:rPr>
        <w:t>2</w:t>
      </w:r>
      <w:r w:rsidRPr="00E41FB1">
        <w:rPr>
          <w:rFonts w:ascii="Times New Roman" w:hAnsi="Times New Roman" w:cs="Times New Roman"/>
          <w:b/>
          <w:i/>
        </w:rPr>
        <w:t>. Katonai pénzügyi specializáció vizsgatárgyai:</w:t>
      </w:r>
    </w:p>
    <w:p w:rsidR="008B31E6" w:rsidRPr="00596877" w:rsidRDefault="008B31E6" w:rsidP="008B31E6">
      <w:pPr>
        <w:spacing w:after="0" w:line="240" w:lineRule="auto"/>
        <w:ind w:left="360"/>
        <w:jc w:val="both"/>
        <w:rPr>
          <w:rFonts w:ascii="Times New Roman" w:hAnsi="Times New Roman" w:cs="Times New Roman"/>
          <w:b/>
          <w:color w:val="FF0000"/>
        </w:rPr>
      </w:pPr>
    </w:p>
    <w:p w:rsidR="008B31E6" w:rsidRPr="00F357C5" w:rsidRDefault="008B31E6" w:rsidP="00980876">
      <w:pPr>
        <w:pStyle w:val="Listaszerbekezds"/>
        <w:numPr>
          <w:ilvl w:val="0"/>
          <w:numId w:val="607"/>
        </w:numPr>
        <w:tabs>
          <w:tab w:val="clear" w:pos="360"/>
          <w:tab w:val="num" w:pos="720"/>
        </w:tabs>
        <w:spacing w:after="0" w:line="240" w:lineRule="auto"/>
        <w:ind w:left="720"/>
        <w:jc w:val="both"/>
        <w:rPr>
          <w:rFonts w:ascii="Times New Roman" w:hAnsi="Times New Roman" w:cs="Times New Roman"/>
          <w:u w:val="single"/>
        </w:rPr>
      </w:pPr>
      <w:r w:rsidRPr="00F357C5">
        <w:rPr>
          <w:rFonts w:ascii="Times New Roman" w:hAnsi="Times New Roman" w:cs="Times New Roman"/>
          <w:u w:val="single"/>
        </w:rPr>
        <w:t>Logisztikai műveleti felkészítés (6 kr.):</w:t>
      </w:r>
    </w:p>
    <w:p w:rsidR="008B31E6" w:rsidRPr="00F357C5" w:rsidRDefault="008B31E6" w:rsidP="00980876">
      <w:pPr>
        <w:pStyle w:val="Listaszerbekezds"/>
        <w:numPr>
          <w:ilvl w:val="0"/>
          <w:numId w:val="608"/>
        </w:numPr>
        <w:spacing w:after="0" w:line="240" w:lineRule="auto"/>
        <w:ind w:left="1080"/>
        <w:jc w:val="both"/>
        <w:rPr>
          <w:rFonts w:ascii="Times New Roman" w:hAnsi="Times New Roman" w:cs="Times New Roman"/>
        </w:rPr>
      </w:pPr>
      <w:r w:rsidRPr="00F357C5">
        <w:rPr>
          <w:rFonts w:ascii="Times New Roman" w:hAnsi="Times New Roman" w:cs="Times New Roman"/>
        </w:rPr>
        <w:t>Lövészzászlóalj műveleteinek logisztikai támogatása I-II. (4 kr.),</w:t>
      </w:r>
    </w:p>
    <w:p w:rsidR="008B31E6" w:rsidRPr="00F357C5" w:rsidRDefault="008B31E6" w:rsidP="00980876">
      <w:pPr>
        <w:pStyle w:val="Listaszerbekezds"/>
        <w:numPr>
          <w:ilvl w:val="0"/>
          <w:numId w:val="608"/>
        </w:numPr>
        <w:spacing w:after="0" w:line="240" w:lineRule="auto"/>
        <w:ind w:left="1080"/>
        <w:jc w:val="both"/>
        <w:rPr>
          <w:rFonts w:ascii="Times New Roman" w:hAnsi="Times New Roman" w:cs="Times New Roman"/>
        </w:rPr>
      </w:pPr>
      <w:r w:rsidRPr="00F357C5">
        <w:rPr>
          <w:rFonts w:ascii="Times New Roman" w:hAnsi="Times New Roman" w:cs="Times New Roman"/>
        </w:rPr>
        <w:t>Lövészdandár logisztikai támogatásának alapjai (2 kr.).</w:t>
      </w:r>
    </w:p>
    <w:p w:rsidR="008B31E6" w:rsidRPr="00F357C5" w:rsidRDefault="008B31E6" w:rsidP="00980876">
      <w:pPr>
        <w:pStyle w:val="Listaszerbekezds"/>
        <w:numPr>
          <w:ilvl w:val="0"/>
          <w:numId w:val="607"/>
        </w:numPr>
        <w:tabs>
          <w:tab w:val="clear" w:pos="360"/>
          <w:tab w:val="num" w:pos="720"/>
        </w:tabs>
        <w:spacing w:after="0" w:line="240" w:lineRule="auto"/>
        <w:ind w:left="720"/>
        <w:jc w:val="both"/>
        <w:rPr>
          <w:rFonts w:ascii="Times New Roman" w:hAnsi="Times New Roman" w:cs="Times New Roman"/>
          <w:u w:val="single"/>
        </w:rPr>
      </w:pPr>
      <w:r w:rsidRPr="00F357C5">
        <w:rPr>
          <w:rFonts w:ascii="Times New Roman" w:hAnsi="Times New Roman" w:cs="Times New Roman"/>
          <w:u w:val="single"/>
        </w:rPr>
        <w:t>Katonai pénzügyi ismeretek (20 kr.):</w:t>
      </w:r>
    </w:p>
    <w:p w:rsidR="008B31E6" w:rsidRPr="00F357C5" w:rsidRDefault="008B31E6" w:rsidP="00980876">
      <w:pPr>
        <w:pStyle w:val="Listaszerbekezds"/>
        <w:numPr>
          <w:ilvl w:val="0"/>
          <w:numId w:val="608"/>
        </w:numPr>
        <w:spacing w:after="0" w:line="240" w:lineRule="auto"/>
        <w:ind w:left="1080"/>
        <w:jc w:val="both"/>
        <w:rPr>
          <w:rFonts w:ascii="Times New Roman" w:hAnsi="Times New Roman" w:cs="Times New Roman"/>
        </w:rPr>
      </w:pPr>
      <w:r w:rsidRPr="00F357C5">
        <w:rPr>
          <w:rFonts w:ascii="Times New Roman" w:hAnsi="Times New Roman" w:cs="Times New Roman"/>
        </w:rPr>
        <w:t>Katonai pénzügyi ellátás I-II. (6 kr.),</w:t>
      </w:r>
    </w:p>
    <w:p w:rsidR="008B31E6" w:rsidRPr="00F357C5" w:rsidRDefault="008B31E6" w:rsidP="00980876">
      <w:pPr>
        <w:pStyle w:val="Listaszerbekezds"/>
        <w:numPr>
          <w:ilvl w:val="0"/>
          <w:numId w:val="608"/>
        </w:numPr>
        <w:spacing w:after="0" w:line="240" w:lineRule="auto"/>
        <w:ind w:left="1080"/>
        <w:jc w:val="both"/>
        <w:rPr>
          <w:rFonts w:ascii="Times New Roman" w:hAnsi="Times New Roman" w:cs="Times New Roman"/>
        </w:rPr>
      </w:pPr>
      <w:r w:rsidRPr="00F357C5">
        <w:rPr>
          <w:rFonts w:ascii="Times New Roman" w:hAnsi="Times New Roman" w:cs="Times New Roman"/>
        </w:rPr>
        <w:t>Katonai illetmények és járandóságok (5 kr.),</w:t>
      </w:r>
    </w:p>
    <w:p w:rsidR="008B31E6" w:rsidRPr="00F357C5" w:rsidRDefault="008B31E6" w:rsidP="00980876">
      <w:pPr>
        <w:pStyle w:val="Listaszerbekezds"/>
        <w:numPr>
          <w:ilvl w:val="0"/>
          <w:numId w:val="608"/>
        </w:numPr>
        <w:spacing w:after="0" w:line="240" w:lineRule="auto"/>
        <w:ind w:left="1080"/>
        <w:jc w:val="both"/>
        <w:rPr>
          <w:rFonts w:ascii="Times New Roman" w:hAnsi="Times New Roman" w:cs="Times New Roman"/>
        </w:rPr>
      </w:pPr>
      <w:r w:rsidRPr="00F357C5">
        <w:rPr>
          <w:rFonts w:ascii="Times New Roman" w:hAnsi="Times New Roman" w:cs="Times New Roman"/>
        </w:rPr>
        <w:t>Költségvetési elemzés-ellenőrzés (3 kr.),</w:t>
      </w:r>
    </w:p>
    <w:p w:rsidR="008B31E6" w:rsidRPr="00F357C5" w:rsidRDefault="008B31E6" w:rsidP="00980876">
      <w:pPr>
        <w:pStyle w:val="Listaszerbekezds"/>
        <w:numPr>
          <w:ilvl w:val="0"/>
          <w:numId w:val="608"/>
        </w:numPr>
        <w:spacing w:after="0" w:line="240" w:lineRule="auto"/>
        <w:ind w:left="1080"/>
        <w:jc w:val="both"/>
        <w:rPr>
          <w:rFonts w:ascii="Times New Roman" w:hAnsi="Times New Roman" w:cs="Times New Roman"/>
        </w:rPr>
      </w:pPr>
      <w:r w:rsidRPr="00F357C5">
        <w:rPr>
          <w:rFonts w:ascii="Times New Roman" w:hAnsi="Times New Roman" w:cs="Times New Roman"/>
        </w:rPr>
        <w:t>Az MH készenléti fokozatainak pénzügyi biztosítása (2 kr.),</w:t>
      </w:r>
    </w:p>
    <w:p w:rsidR="008B31E6" w:rsidRPr="00F357C5" w:rsidRDefault="008B31E6" w:rsidP="00980876">
      <w:pPr>
        <w:pStyle w:val="Listaszerbekezds"/>
        <w:numPr>
          <w:ilvl w:val="0"/>
          <w:numId w:val="608"/>
        </w:numPr>
        <w:spacing w:after="0" w:line="240" w:lineRule="auto"/>
        <w:ind w:left="1080"/>
        <w:jc w:val="both"/>
        <w:rPr>
          <w:rFonts w:ascii="Times New Roman" w:hAnsi="Times New Roman" w:cs="Times New Roman"/>
        </w:rPr>
      </w:pPr>
      <w:r w:rsidRPr="00F357C5">
        <w:rPr>
          <w:rFonts w:ascii="Times New Roman" w:hAnsi="Times New Roman" w:cs="Times New Roman"/>
        </w:rPr>
        <w:t>Nemzetközi feladatok pénzügyi biztosítása (4 kr.).</w:t>
      </w:r>
    </w:p>
    <w:p w:rsidR="008B31E6" w:rsidRDefault="008B31E6" w:rsidP="008B31E6">
      <w:pPr>
        <w:spacing w:after="0" w:line="240" w:lineRule="auto"/>
        <w:ind w:left="360"/>
        <w:jc w:val="both"/>
        <w:rPr>
          <w:rFonts w:ascii="Times New Roman" w:hAnsi="Times New Roman" w:cs="Times New Roman"/>
          <w:color w:val="FF0000"/>
        </w:rPr>
      </w:pPr>
    </w:p>
    <w:p w:rsidR="008B31E6" w:rsidRPr="00E41FB1" w:rsidRDefault="008B31E6" w:rsidP="008B31E6">
      <w:pPr>
        <w:spacing w:after="0" w:line="240" w:lineRule="auto"/>
        <w:ind w:left="360"/>
        <w:jc w:val="both"/>
        <w:rPr>
          <w:rFonts w:ascii="Times New Roman" w:hAnsi="Times New Roman" w:cs="Times New Roman"/>
          <w:b/>
          <w:i/>
        </w:rPr>
      </w:pPr>
      <w:r>
        <w:rPr>
          <w:rFonts w:ascii="Times New Roman" w:hAnsi="Times New Roman" w:cs="Times New Roman"/>
          <w:b/>
          <w:i/>
        </w:rPr>
        <w:t>3</w:t>
      </w:r>
      <w:r w:rsidRPr="00E41FB1">
        <w:rPr>
          <w:rFonts w:ascii="Times New Roman" w:hAnsi="Times New Roman" w:cs="Times New Roman"/>
          <w:b/>
          <w:i/>
        </w:rPr>
        <w:t xml:space="preserve">. Katonai </w:t>
      </w:r>
      <w:r>
        <w:rPr>
          <w:rFonts w:ascii="Times New Roman" w:hAnsi="Times New Roman" w:cs="Times New Roman"/>
          <w:b/>
          <w:i/>
        </w:rPr>
        <w:t>közlekedési</w:t>
      </w:r>
      <w:r w:rsidRPr="00E41FB1">
        <w:rPr>
          <w:rFonts w:ascii="Times New Roman" w:hAnsi="Times New Roman" w:cs="Times New Roman"/>
          <w:b/>
          <w:i/>
        </w:rPr>
        <w:t xml:space="preserve"> specializáció vizsgatárgyai:</w:t>
      </w:r>
    </w:p>
    <w:p w:rsidR="008B31E6" w:rsidRPr="00153009" w:rsidRDefault="008B31E6" w:rsidP="008B31E6">
      <w:pPr>
        <w:spacing w:after="0" w:line="240" w:lineRule="auto"/>
        <w:ind w:left="360"/>
        <w:jc w:val="both"/>
        <w:rPr>
          <w:rFonts w:ascii="Times New Roman" w:hAnsi="Times New Roman" w:cs="Times New Roman"/>
          <w:color w:val="FF0000"/>
        </w:rPr>
      </w:pPr>
    </w:p>
    <w:p w:rsidR="008B31E6" w:rsidRPr="00F357C5" w:rsidRDefault="008B31E6" w:rsidP="00980876">
      <w:pPr>
        <w:pStyle w:val="Listaszerbekezds"/>
        <w:numPr>
          <w:ilvl w:val="0"/>
          <w:numId w:val="607"/>
        </w:numPr>
        <w:tabs>
          <w:tab w:val="clear" w:pos="360"/>
          <w:tab w:val="num" w:pos="720"/>
        </w:tabs>
        <w:spacing w:after="0" w:line="240" w:lineRule="auto"/>
        <w:ind w:left="720"/>
        <w:jc w:val="both"/>
        <w:rPr>
          <w:rFonts w:ascii="Times New Roman" w:hAnsi="Times New Roman" w:cs="Times New Roman"/>
          <w:u w:val="single"/>
        </w:rPr>
      </w:pPr>
      <w:bookmarkStart w:id="28" w:name="_Toc482688837"/>
      <w:r w:rsidRPr="00F357C5">
        <w:rPr>
          <w:rFonts w:ascii="Times New Roman" w:hAnsi="Times New Roman" w:cs="Times New Roman"/>
          <w:u w:val="single"/>
        </w:rPr>
        <w:t>Logisztikai műveleti felkészítés (6 kr.):</w:t>
      </w:r>
    </w:p>
    <w:p w:rsidR="008B31E6" w:rsidRPr="00F357C5" w:rsidRDefault="008B31E6" w:rsidP="00980876">
      <w:pPr>
        <w:pStyle w:val="Listaszerbekezds"/>
        <w:numPr>
          <w:ilvl w:val="0"/>
          <w:numId w:val="608"/>
        </w:numPr>
        <w:spacing w:after="0" w:line="240" w:lineRule="auto"/>
        <w:ind w:left="1080"/>
        <w:jc w:val="both"/>
        <w:rPr>
          <w:rFonts w:ascii="Times New Roman" w:hAnsi="Times New Roman" w:cs="Times New Roman"/>
        </w:rPr>
      </w:pPr>
      <w:r w:rsidRPr="00F357C5">
        <w:rPr>
          <w:rFonts w:ascii="Times New Roman" w:hAnsi="Times New Roman" w:cs="Times New Roman"/>
        </w:rPr>
        <w:t>Lövészzászlóalj műveleteinek logisztikai támogatása I-II. (4 kr.),</w:t>
      </w:r>
    </w:p>
    <w:p w:rsidR="008B31E6" w:rsidRPr="00F357C5" w:rsidRDefault="008B31E6" w:rsidP="00980876">
      <w:pPr>
        <w:pStyle w:val="Listaszerbekezds"/>
        <w:numPr>
          <w:ilvl w:val="0"/>
          <w:numId w:val="608"/>
        </w:numPr>
        <w:spacing w:after="0" w:line="240" w:lineRule="auto"/>
        <w:ind w:left="1080"/>
        <w:jc w:val="both"/>
        <w:rPr>
          <w:rFonts w:ascii="Times New Roman" w:hAnsi="Times New Roman" w:cs="Times New Roman"/>
        </w:rPr>
      </w:pPr>
      <w:r w:rsidRPr="00F357C5">
        <w:rPr>
          <w:rFonts w:ascii="Times New Roman" w:hAnsi="Times New Roman" w:cs="Times New Roman"/>
        </w:rPr>
        <w:t>Lövészdandár logisztikai támogatásának alapjai (2 kr.).</w:t>
      </w:r>
    </w:p>
    <w:p w:rsidR="008B31E6" w:rsidRPr="00F357C5" w:rsidRDefault="008B31E6" w:rsidP="00980876">
      <w:pPr>
        <w:pStyle w:val="Listaszerbekezds"/>
        <w:numPr>
          <w:ilvl w:val="0"/>
          <w:numId w:val="607"/>
        </w:numPr>
        <w:tabs>
          <w:tab w:val="clear" w:pos="360"/>
          <w:tab w:val="num" w:pos="720"/>
        </w:tabs>
        <w:spacing w:after="0" w:line="240" w:lineRule="auto"/>
        <w:ind w:left="720"/>
        <w:jc w:val="both"/>
        <w:rPr>
          <w:rFonts w:ascii="Times New Roman" w:hAnsi="Times New Roman" w:cs="Times New Roman"/>
          <w:u w:val="single"/>
        </w:rPr>
      </w:pPr>
      <w:r w:rsidRPr="00F357C5">
        <w:rPr>
          <w:rFonts w:ascii="Times New Roman" w:hAnsi="Times New Roman" w:cs="Times New Roman"/>
          <w:u w:val="single"/>
        </w:rPr>
        <w:t>Katonai közlekedés-szállítás (1</w:t>
      </w:r>
      <w:r>
        <w:rPr>
          <w:rFonts w:ascii="Times New Roman" w:hAnsi="Times New Roman" w:cs="Times New Roman"/>
          <w:u w:val="single"/>
        </w:rPr>
        <w:t>6</w:t>
      </w:r>
      <w:r w:rsidRPr="00F357C5">
        <w:rPr>
          <w:rFonts w:ascii="Times New Roman" w:hAnsi="Times New Roman" w:cs="Times New Roman"/>
          <w:u w:val="single"/>
        </w:rPr>
        <w:t xml:space="preserve"> kr.):</w:t>
      </w:r>
    </w:p>
    <w:p w:rsidR="008B31E6" w:rsidRPr="00F357C5" w:rsidRDefault="008B31E6" w:rsidP="00980876">
      <w:pPr>
        <w:pStyle w:val="Listaszerbekezds"/>
        <w:numPr>
          <w:ilvl w:val="0"/>
          <w:numId w:val="608"/>
        </w:numPr>
        <w:spacing w:after="0" w:line="240" w:lineRule="auto"/>
        <w:ind w:left="1080"/>
        <w:jc w:val="both"/>
        <w:rPr>
          <w:rFonts w:ascii="Times New Roman" w:hAnsi="Times New Roman" w:cs="Times New Roman"/>
        </w:rPr>
      </w:pPr>
      <w:r w:rsidRPr="00F357C5">
        <w:rPr>
          <w:rFonts w:ascii="Times New Roman" w:hAnsi="Times New Roman" w:cs="Times New Roman"/>
        </w:rPr>
        <w:t>Közlekedési-szállító alegységek műveleti alkalmazása II. (4 kr.);</w:t>
      </w:r>
    </w:p>
    <w:p w:rsidR="008B31E6" w:rsidRPr="00F357C5" w:rsidRDefault="008B31E6" w:rsidP="00980876">
      <w:pPr>
        <w:pStyle w:val="Listaszerbekezds"/>
        <w:numPr>
          <w:ilvl w:val="0"/>
          <w:numId w:val="608"/>
        </w:numPr>
        <w:spacing w:after="0" w:line="240" w:lineRule="auto"/>
        <w:ind w:left="1080"/>
        <w:jc w:val="both"/>
        <w:rPr>
          <w:rFonts w:ascii="Times New Roman" w:hAnsi="Times New Roman" w:cs="Times New Roman"/>
        </w:rPr>
      </w:pPr>
      <w:r w:rsidRPr="00F357C5">
        <w:rPr>
          <w:rFonts w:ascii="Times New Roman" w:hAnsi="Times New Roman" w:cs="Times New Roman"/>
        </w:rPr>
        <w:t>Katonai szállításszervezés I-II-III. (1</w:t>
      </w:r>
      <w:r>
        <w:rPr>
          <w:rFonts w:ascii="Times New Roman" w:hAnsi="Times New Roman" w:cs="Times New Roman"/>
        </w:rPr>
        <w:t>2</w:t>
      </w:r>
      <w:r w:rsidRPr="00F357C5">
        <w:rPr>
          <w:rFonts w:ascii="Times New Roman" w:hAnsi="Times New Roman" w:cs="Times New Roman"/>
        </w:rPr>
        <w:t xml:space="preserve"> kr.);</w:t>
      </w:r>
    </w:p>
    <w:p w:rsidR="008B31E6" w:rsidRDefault="008B31E6" w:rsidP="008B31E6">
      <w:pPr>
        <w:spacing w:after="0" w:line="240" w:lineRule="auto"/>
        <w:ind w:left="360"/>
        <w:jc w:val="both"/>
        <w:rPr>
          <w:rFonts w:ascii="Times New Roman" w:hAnsi="Times New Roman" w:cs="Times New Roman"/>
          <w:b/>
          <w:i/>
        </w:rPr>
      </w:pPr>
    </w:p>
    <w:p w:rsidR="008B31E6" w:rsidRDefault="008B31E6" w:rsidP="008B31E6">
      <w:pPr>
        <w:ind w:left="360"/>
        <w:rPr>
          <w:rFonts w:ascii="Times New Roman" w:hAnsi="Times New Roman" w:cs="Times New Roman"/>
          <w:b/>
          <w:i/>
        </w:rPr>
      </w:pPr>
      <w:r>
        <w:rPr>
          <w:rFonts w:ascii="Times New Roman" w:hAnsi="Times New Roman" w:cs="Times New Roman"/>
          <w:b/>
          <w:i/>
        </w:rPr>
        <w:br w:type="page"/>
      </w:r>
    </w:p>
    <w:p w:rsidR="008B31E6" w:rsidRDefault="008B31E6" w:rsidP="008B31E6">
      <w:pPr>
        <w:spacing w:after="0" w:line="240" w:lineRule="auto"/>
        <w:ind w:left="360"/>
        <w:jc w:val="both"/>
        <w:rPr>
          <w:rFonts w:ascii="Times New Roman" w:hAnsi="Times New Roman" w:cs="Times New Roman"/>
          <w:b/>
          <w:i/>
        </w:rPr>
      </w:pPr>
      <w:r w:rsidRPr="008B6A79">
        <w:rPr>
          <w:rFonts w:ascii="Times New Roman" w:hAnsi="Times New Roman" w:cs="Times New Roman"/>
          <w:b/>
          <w:i/>
        </w:rPr>
        <w:lastRenderedPageBreak/>
        <w:t xml:space="preserve">3. </w:t>
      </w:r>
      <w:r>
        <w:rPr>
          <w:rFonts w:ascii="Times New Roman" w:hAnsi="Times New Roman" w:cs="Times New Roman"/>
          <w:b/>
          <w:i/>
        </w:rPr>
        <w:t>Haditechnikai</w:t>
      </w:r>
      <w:r w:rsidRPr="008B6A79">
        <w:rPr>
          <w:rFonts w:ascii="Times New Roman" w:hAnsi="Times New Roman" w:cs="Times New Roman"/>
          <w:b/>
          <w:i/>
        </w:rPr>
        <w:t xml:space="preserve"> specializáció vizsgatárgyai:</w:t>
      </w:r>
    </w:p>
    <w:p w:rsidR="008B31E6" w:rsidRPr="008B6A79" w:rsidRDefault="008B31E6" w:rsidP="008B31E6">
      <w:pPr>
        <w:spacing w:after="0" w:line="240" w:lineRule="auto"/>
        <w:ind w:left="360"/>
        <w:jc w:val="both"/>
        <w:rPr>
          <w:rFonts w:ascii="Times New Roman" w:hAnsi="Times New Roman" w:cs="Times New Roman"/>
          <w:b/>
          <w:i/>
        </w:rPr>
      </w:pPr>
    </w:p>
    <w:p w:rsidR="008B31E6" w:rsidRPr="008B6A79" w:rsidRDefault="008B31E6" w:rsidP="008B31E6">
      <w:pPr>
        <w:pStyle w:val="Listaszerbekezds"/>
        <w:spacing w:after="0" w:line="240" w:lineRule="auto"/>
        <w:ind w:left="360"/>
        <w:jc w:val="both"/>
        <w:rPr>
          <w:rFonts w:ascii="Times New Roman" w:hAnsi="Times New Roman" w:cs="Times New Roman"/>
          <w:i/>
        </w:rPr>
      </w:pPr>
      <w:bookmarkStart w:id="29" w:name="_Toc324323348"/>
      <w:bookmarkStart w:id="30" w:name="_Toc500242615"/>
      <w:r w:rsidRPr="008B6A79">
        <w:rPr>
          <w:rFonts w:ascii="Times New Roman" w:hAnsi="Times New Roman" w:cs="Times New Roman"/>
          <w:i/>
        </w:rPr>
        <w:t>Haditechnikai specializáció, páncélos és gépjárműtechnikai modul vizsgatárgyai</w:t>
      </w:r>
      <w:bookmarkEnd w:id="29"/>
      <w:bookmarkEnd w:id="30"/>
      <w:r>
        <w:rPr>
          <w:rFonts w:ascii="Times New Roman" w:hAnsi="Times New Roman" w:cs="Times New Roman"/>
          <w:i/>
        </w:rPr>
        <w:t>:</w:t>
      </w:r>
    </w:p>
    <w:p w:rsidR="008B31E6" w:rsidRPr="00F357C5" w:rsidRDefault="008B31E6" w:rsidP="00980876">
      <w:pPr>
        <w:pStyle w:val="Listaszerbekezds"/>
        <w:numPr>
          <w:ilvl w:val="0"/>
          <w:numId w:val="607"/>
        </w:numPr>
        <w:tabs>
          <w:tab w:val="clear" w:pos="360"/>
          <w:tab w:val="num" w:pos="720"/>
        </w:tabs>
        <w:spacing w:after="0" w:line="240" w:lineRule="auto"/>
        <w:ind w:left="720"/>
        <w:jc w:val="both"/>
        <w:rPr>
          <w:rFonts w:ascii="Times New Roman" w:hAnsi="Times New Roman" w:cs="Times New Roman"/>
          <w:u w:val="single"/>
        </w:rPr>
      </w:pPr>
      <w:r w:rsidRPr="00F357C5">
        <w:rPr>
          <w:rFonts w:ascii="Times New Roman" w:hAnsi="Times New Roman" w:cs="Times New Roman"/>
          <w:u w:val="single"/>
        </w:rPr>
        <w:t>Logisztikai műveleti felkészítés (6 kr.):</w:t>
      </w:r>
    </w:p>
    <w:p w:rsidR="008B31E6" w:rsidRPr="00F357C5" w:rsidRDefault="008B31E6" w:rsidP="00980876">
      <w:pPr>
        <w:pStyle w:val="Listaszerbekezds"/>
        <w:numPr>
          <w:ilvl w:val="0"/>
          <w:numId w:val="608"/>
        </w:numPr>
        <w:spacing w:after="0" w:line="240" w:lineRule="auto"/>
        <w:ind w:left="1080"/>
        <w:jc w:val="both"/>
        <w:rPr>
          <w:rFonts w:ascii="Times New Roman" w:hAnsi="Times New Roman" w:cs="Times New Roman"/>
        </w:rPr>
      </w:pPr>
      <w:r w:rsidRPr="00F357C5">
        <w:rPr>
          <w:rFonts w:ascii="Times New Roman" w:hAnsi="Times New Roman" w:cs="Times New Roman"/>
        </w:rPr>
        <w:t>Lövészzászlóalj műveleteinek logisztikai támogatása I-II. (4 kr.),</w:t>
      </w:r>
    </w:p>
    <w:p w:rsidR="008B31E6" w:rsidRPr="00F357C5" w:rsidRDefault="008B31E6" w:rsidP="00980876">
      <w:pPr>
        <w:pStyle w:val="Listaszerbekezds"/>
        <w:numPr>
          <w:ilvl w:val="0"/>
          <w:numId w:val="608"/>
        </w:numPr>
        <w:spacing w:after="0" w:line="240" w:lineRule="auto"/>
        <w:ind w:left="1080"/>
        <w:jc w:val="both"/>
        <w:rPr>
          <w:rFonts w:ascii="Times New Roman" w:hAnsi="Times New Roman" w:cs="Times New Roman"/>
        </w:rPr>
      </w:pPr>
      <w:r w:rsidRPr="00F357C5">
        <w:rPr>
          <w:rFonts w:ascii="Times New Roman" w:hAnsi="Times New Roman" w:cs="Times New Roman"/>
        </w:rPr>
        <w:t>Lövészdandár logisztikai támogatásának alapjai (2 kr.).</w:t>
      </w:r>
    </w:p>
    <w:p w:rsidR="008B31E6" w:rsidRPr="008B6A79" w:rsidRDefault="008B31E6" w:rsidP="00980876">
      <w:pPr>
        <w:pStyle w:val="Listaszerbekezds"/>
        <w:numPr>
          <w:ilvl w:val="0"/>
          <w:numId w:val="607"/>
        </w:numPr>
        <w:tabs>
          <w:tab w:val="clear" w:pos="360"/>
          <w:tab w:val="num" w:pos="720"/>
        </w:tabs>
        <w:spacing w:after="0" w:line="240" w:lineRule="auto"/>
        <w:ind w:left="720"/>
        <w:jc w:val="both"/>
        <w:rPr>
          <w:rFonts w:ascii="Times New Roman" w:hAnsi="Times New Roman" w:cs="Times New Roman"/>
          <w:u w:val="single"/>
        </w:rPr>
      </w:pPr>
      <w:r w:rsidRPr="008B6A79">
        <w:rPr>
          <w:rFonts w:ascii="Times New Roman" w:hAnsi="Times New Roman" w:cs="Times New Roman"/>
          <w:u w:val="single"/>
        </w:rPr>
        <w:t>Szakmai ismerete</w:t>
      </w:r>
      <w:r>
        <w:rPr>
          <w:rFonts w:ascii="Times New Roman" w:hAnsi="Times New Roman" w:cs="Times New Roman"/>
          <w:u w:val="single"/>
        </w:rPr>
        <w:t xml:space="preserve">k (9 </w:t>
      </w:r>
      <w:r w:rsidRPr="008B6A79">
        <w:rPr>
          <w:rFonts w:ascii="Times New Roman" w:hAnsi="Times New Roman" w:cs="Times New Roman"/>
          <w:u w:val="single"/>
        </w:rPr>
        <w:t>kr.):</w:t>
      </w:r>
    </w:p>
    <w:p w:rsidR="008B31E6" w:rsidRPr="008B6A79" w:rsidRDefault="008B31E6" w:rsidP="00980876">
      <w:pPr>
        <w:pStyle w:val="Listaszerbekezds"/>
        <w:numPr>
          <w:ilvl w:val="0"/>
          <w:numId w:val="608"/>
        </w:numPr>
        <w:spacing w:after="0" w:line="240" w:lineRule="auto"/>
        <w:ind w:left="1080"/>
        <w:jc w:val="both"/>
        <w:rPr>
          <w:rFonts w:ascii="Times New Roman" w:hAnsi="Times New Roman" w:cs="Times New Roman"/>
        </w:rPr>
      </w:pPr>
      <w:r w:rsidRPr="008B6A79">
        <w:rPr>
          <w:rFonts w:ascii="Times New Roman" w:hAnsi="Times New Roman" w:cs="Times New Roman"/>
        </w:rPr>
        <w:t>Rendszerben tartás I. (4 kr.)</w:t>
      </w:r>
    </w:p>
    <w:p w:rsidR="008B31E6" w:rsidRPr="008B6A79" w:rsidRDefault="008B31E6" w:rsidP="00980876">
      <w:pPr>
        <w:pStyle w:val="Listaszerbekezds"/>
        <w:numPr>
          <w:ilvl w:val="0"/>
          <w:numId w:val="608"/>
        </w:numPr>
        <w:spacing w:after="0" w:line="240" w:lineRule="auto"/>
        <w:ind w:left="1080"/>
        <w:jc w:val="both"/>
        <w:rPr>
          <w:rFonts w:ascii="Times New Roman" w:hAnsi="Times New Roman" w:cs="Times New Roman"/>
        </w:rPr>
      </w:pPr>
      <w:r w:rsidRPr="008B6A79">
        <w:rPr>
          <w:rFonts w:ascii="Times New Roman" w:hAnsi="Times New Roman" w:cs="Times New Roman"/>
        </w:rPr>
        <w:t>Rendszerben tartás II. (</w:t>
      </w:r>
      <w:r>
        <w:rPr>
          <w:rFonts w:ascii="Times New Roman" w:hAnsi="Times New Roman" w:cs="Times New Roman"/>
        </w:rPr>
        <w:t>5</w:t>
      </w:r>
      <w:r w:rsidRPr="008B6A79">
        <w:rPr>
          <w:rFonts w:ascii="Times New Roman" w:hAnsi="Times New Roman" w:cs="Times New Roman"/>
        </w:rPr>
        <w:t xml:space="preserve"> kr.)</w:t>
      </w:r>
    </w:p>
    <w:p w:rsidR="008B31E6" w:rsidRDefault="008B31E6" w:rsidP="008B31E6">
      <w:pPr>
        <w:spacing w:after="0" w:line="240" w:lineRule="auto"/>
        <w:ind w:left="360"/>
        <w:jc w:val="both"/>
        <w:rPr>
          <w:rFonts w:ascii="Times New Roman" w:hAnsi="Times New Roman" w:cs="Times New Roman"/>
          <w:i/>
        </w:rPr>
      </w:pPr>
    </w:p>
    <w:p w:rsidR="008B31E6" w:rsidRPr="008B6A79" w:rsidRDefault="008B31E6" w:rsidP="008B31E6">
      <w:pPr>
        <w:spacing w:after="0" w:line="240" w:lineRule="auto"/>
        <w:ind w:left="360"/>
        <w:jc w:val="both"/>
        <w:rPr>
          <w:rFonts w:ascii="Times New Roman" w:hAnsi="Times New Roman" w:cs="Times New Roman"/>
          <w:i/>
        </w:rPr>
      </w:pPr>
      <w:r w:rsidRPr="008B6A79">
        <w:rPr>
          <w:rFonts w:ascii="Times New Roman" w:hAnsi="Times New Roman" w:cs="Times New Roman"/>
          <w:i/>
        </w:rPr>
        <w:t xml:space="preserve">Haditechnikai specializáció, </w:t>
      </w:r>
      <w:r>
        <w:rPr>
          <w:rFonts w:ascii="Times New Roman" w:hAnsi="Times New Roman" w:cs="Times New Roman"/>
          <w:i/>
        </w:rPr>
        <w:t>fegyverzettechnika</w:t>
      </w:r>
      <w:r w:rsidRPr="008B6A79">
        <w:rPr>
          <w:rFonts w:ascii="Times New Roman" w:hAnsi="Times New Roman" w:cs="Times New Roman"/>
          <w:i/>
        </w:rPr>
        <w:t xml:space="preserve"> modul vizsgatárgyai</w:t>
      </w:r>
      <w:r>
        <w:rPr>
          <w:rFonts w:ascii="Times New Roman" w:hAnsi="Times New Roman" w:cs="Times New Roman"/>
          <w:i/>
        </w:rPr>
        <w:t>:</w:t>
      </w:r>
    </w:p>
    <w:p w:rsidR="008B31E6" w:rsidRPr="00F357C5" w:rsidRDefault="008B31E6" w:rsidP="00980876">
      <w:pPr>
        <w:pStyle w:val="Listaszerbekezds"/>
        <w:numPr>
          <w:ilvl w:val="0"/>
          <w:numId w:val="607"/>
        </w:numPr>
        <w:tabs>
          <w:tab w:val="clear" w:pos="360"/>
          <w:tab w:val="num" w:pos="720"/>
        </w:tabs>
        <w:spacing w:after="0" w:line="240" w:lineRule="auto"/>
        <w:ind w:left="720"/>
        <w:jc w:val="both"/>
        <w:rPr>
          <w:rFonts w:ascii="Times New Roman" w:hAnsi="Times New Roman" w:cs="Times New Roman"/>
          <w:u w:val="single"/>
        </w:rPr>
      </w:pPr>
      <w:r w:rsidRPr="00F357C5">
        <w:rPr>
          <w:rFonts w:ascii="Times New Roman" w:hAnsi="Times New Roman" w:cs="Times New Roman"/>
          <w:u w:val="single"/>
        </w:rPr>
        <w:t>Logisztikai műveleti felkészítés (6 kr.):</w:t>
      </w:r>
    </w:p>
    <w:p w:rsidR="008B31E6" w:rsidRPr="00F357C5" w:rsidRDefault="008B31E6" w:rsidP="00980876">
      <w:pPr>
        <w:pStyle w:val="Listaszerbekezds"/>
        <w:numPr>
          <w:ilvl w:val="0"/>
          <w:numId w:val="608"/>
        </w:numPr>
        <w:spacing w:after="0" w:line="240" w:lineRule="auto"/>
        <w:ind w:left="1080"/>
        <w:jc w:val="both"/>
        <w:rPr>
          <w:rFonts w:ascii="Times New Roman" w:hAnsi="Times New Roman" w:cs="Times New Roman"/>
        </w:rPr>
      </w:pPr>
      <w:r w:rsidRPr="00F357C5">
        <w:rPr>
          <w:rFonts w:ascii="Times New Roman" w:hAnsi="Times New Roman" w:cs="Times New Roman"/>
        </w:rPr>
        <w:t>Lövészzászlóalj műveleteinek logisztikai támogatása I-II. (4 kr.),</w:t>
      </w:r>
    </w:p>
    <w:p w:rsidR="008B31E6" w:rsidRPr="00F357C5" w:rsidRDefault="008B31E6" w:rsidP="00980876">
      <w:pPr>
        <w:pStyle w:val="Listaszerbekezds"/>
        <w:numPr>
          <w:ilvl w:val="0"/>
          <w:numId w:val="608"/>
        </w:numPr>
        <w:spacing w:after="0" w:line="240" w:lineRule="auto"/>
        <w:ind w:left="1080"/>
        <w:jc w:val="both"/>
        <w:rPr>
          <w:rFonts w:ascii="Times New Roman" w:hAnsi="Times New Roman" w:cs="Times New Roman"/>
        </w:rPr>
      </w:pPr>
      <w:r w:rsidRPr="00F357C5">
        <w:rPr>
          <w:rFonts w:ascii="Times New Roman" w:hAnsi="Times New Roman" w:cs="Times New Roman"/>
        </w:rPr>
        <w:t>Lövészdandár logisztikai támogatásának alapjai (2 kr.).</w:t>
      </w:r>
    </w:p>
    <w:p w:rsidR="008B31E6" w:rsidRPr="008B6A79" w:rsidRDefault="008B31E6" w:rsidP="00980876">
      <w:pPr>
        <w:pStyle w:val="Listaszerbekezds"/>
        <w:numPr>
          <w:ilvl w:val="0"/>
          <w:numId w:val="607"/>
        </w:numPr>
        <w:tabs>
          <w:tab w:val="clear" w:pos="360"/>
          <w:tab w:val="num" w:pos="720"/>
        </w:tabs>
        <w:spacing w:after="0" w:line="240" w:lineRule="auto"/>
        <w:ind w:left="720"/>
        <w:jc w:val="both"/>
        <w:rPr>
          <w:rFonts w:ascii="Times New Roman" w:hAnsi="Times New Roman" w:cs="Times New Roman"/>
          <w:u w:val="single"/>
        </w:rPr>
      </w:pPr>
      <w:r w:rsidRPr="008B6A79">
        <w:rPr>
          <w:rFonts w:ascii="Times New Roman" w:hAnsi="Times New Roman" w:cs="Times New Roman"/>
          <w:u w:val="single"/>
        </w:rPr>
        <w:t>Szakmai ismeretek (1</w:t>
      </w:r>
      <w:r>
        <w:rPr>
          <w:rFonts w:ascii="Times New Roman" w:hAnsi="Times New Roman" w:cs="Times New Roman"/>
          <w:u w:val="single"/>
        </w:rPr>
        <w:t>1</w:t>
      </w:r>
      <w:r w:rsidRPr="008B6A79">
        <w:rPr>
          <w:rFonts w:ascii="Times New Roman" w:hAnsi="Times New Roman" w:cs="Times New Roman"/>
          <w:u w:val="single"/>
        </w:rPr>
        <w:t xml:space="preserve"> kr.):  </w:t>
      </w:r>
    </w:p>
    <w:p w:rsidR="008B31E6" w:rsidRPr="00663B8D" w:rsidRDefault="008B31E6" w:rsidP="00980876">
      <w:pPr>
        <w:pStyle w:val="Listaszerbekezds"/>
        <w:numPr>
          <w:ilvl w:val="0"/>
          <w:numId w:val="608"/>
        </w:numPr>
        <w:spacing w:after="0" w:line="240" w:lineRule="auto"/>
        <w:ind w:left="1080"/>
        <w:jc w:val="both"/>
        <w:rPr>
          <w:rFonts w:ascii="Times New Roman" w:hAnsi="Times New Roman" w:cs="Times New Roman"/>
        </w:rPr>
      </w:pPr>
      <w:r w:rsidRPr="00663B8D">
        <w:rPr>
          <w:rFonts w:ascii="Times New Roman" w:hAnsi="Times New Roman" w:cs="Times New Roman"/>
        </w:rPr>
        <w:t>Üzembentartás FV I. (5 kr.)</w:t>
      </w:r>
    </w:p>
    <w:p w:rsidR="008B31E6" w:rsidRPr="008B6A79" w:rsidRDefault="008B31E6" w:rsidP="00980876">
      <w:pPr>
        <w:pStyle w:val="Listaszerbekezds"/>
        <w:numPr>
          <w:ilvl w:val="0"/>
          <w:numId w:val="608"/>
        </w:numPr>
        <w:spacing w:after="0" w:line="240" w:lineRule="auto"/>
        <w:ind w:left="1080"/>
        <w:jc w:val="both"/>
        <w:rPr>
          <w:rFonts w:ascii="Times New Roman" w:hAnsi="Times New Roman" w:cs="Times New Roman"/>
        </w:rPr>
      </w:pPr>
      <w:r w:rsidRPr="00663B8D">
        <w:rPr>
          <w:rFonts w:ascii="Times New Roman" w:hAnsi="Times New Roman" w:cs="Times New Roman"/>
        </w:rPr>
        <w:t>Üzembentartás FV II.</w:t>
      </w:r>
      <w:r>
        <w:rPr>
          <w:rFonts w:ascii="Times New Roman" w:hAnsi="Times New Roman" w:cs="Times New Roman"/>
        </w:rPr>
        <w:t xml:space="preserve"> </w:t>
      </w:r>
      <w:r w:rsidRPr="008B6A79">
        <w:rPr>
          <w:rFonts w:ascii="Times New Roman" w:hAnsi="Times New Roman" w:cs="Times New Roman"/>
        </w:rPr>
        <w:t>(</w:t>
      </w:r>
      <w:r>
        <w:rPr>
          <w:rFonts w:ascii="Times New Roman" w:hAnsi="Times New Roman" w:cs="Times New Roman"/>
        </w:rPr>
        <w:t>6</w:t>
      </w:r>
      <w:r w:rsidRPr="008B6A79">
        <w:rPr>
          <w:rFonts w:ascii="Times New Roman" w:hAnsi="Times New Roman" w:cs="Times New Roman"/>
        </w:rPr>
        <w:t xml:space="preserve"> kr.)</w:t>
      </w:r>
    </w:p>
    <w:p w:rsidR="008B31E6" w:rsidRDefault="008B31E6" w:rsidP="008B31E6">
      <w:pPr>
        <w:spacing w:after="0" w:line="240" w:lineRule="auto"/>
        <w:jc w:val="both"/>
        <w:rPr>
          <w:rFonts w:ascii="Times New Roman" w:hAnsi="Times New Roman" w:cs="Times New Roman"/>
        </w:rPr>
      </w:pPr>
    </w:p>
    <w:p w:rsidR="008B31E6" w:rsidRDefault="008B31E6" w:rsidP="008B31E6">
      <w:pPr>
        <w:spacing w:after="0" w:line="240" w:lineRule="auto"/>
        <w:rPr>
          <w:rFonts w:ascii="Times New Roman" w:hAnsi="Times New Roman" w:cs="Times New Roman"/>
          <w:b/>
          <w:i/>
        </w:rPr>
      </w:pPr>
      <w:r>
        <w:rPr>
          <w:rFonts w:ascii="Times New Roman" w:hAnsi="Times New Roman" w:cs="Times New Roman"/>
          <w:b/>
          <w:i/>
        </w:rPr>
        <w:t>12.3 A záróvizsga eredménye</w:t>
      </w:r>
      <w:bookmarkEnd w:id="28"/>
    </w:p>
    <w:p w:rsidR="008B31E6" w:rsidRDefault="008B31E6" w:rsidP="008B31E6">
      <w:pPr>
        <w:spacing w:after="0" w:line="240" w:lineRule="auto"/>
        <w:jc w:val="both"/>
        <w:rPr>
          <w:rFonts w:ascii="Times New Roman" w:hAnsi="Times New Roman" w:cs="Times New Roman"/>
          <w:highlight w:val="lightGray"/>
        </w:rPr>
      </w:pPr>
    </w:p>
    <w:p w:rsidR="008B31E6" w:rsidRPr="00000C8F" w:rsidRDefault="008B31E6" w:rsidP="008B31E6">
      <w:pPr>
        <w:spacing w:after="0" w:line="240" w:lineRule="auto"/>
        <w:jc w:val="both"/>
        <w:rPr>
          <w:rFonts w:ascii="Times New Roman" w:hAnsi="Times New Roman" w:cs="Times New Roman"/>
        </w:rPr>
      </w:pPr>
      <w:r w:rsidRPr="00000C8F">
        <w:rPr>
          <w:rFonts w:ascii="Times New Roman" w:hAnsi="Times New Roman" w:cs="Times New Roman"/>
        </w:rPr>
        <w:t xml:space="preserve">A záróvizsga eredménye megállapításának módja. </w:t>
      </w:r>
    </w:p>
    <w:p w:rsidR="008B31E6" w:rsidRDefault="008B31E6" w:rsidP="008B31E6">
      <w:pPr>
        <w:spacing w:after="0" w:line="240" w:lineRule="auto"/>
        <w:jc w:val="both"/>
        <w:rPr>
          <w:rFonts w:ascii="Times New Roman" w:hAnsi="Times New Roman" w:cs="Times New Roman"/>
          <w:bCs/>
          <w:i/>
          <w:highlight w:val="lightGray"/>
        </w:rPr>
      </w:pPr>
    </w:p>
    <w:p w:rsidR="008B31E6" w:rsidRDefault="008B31E6" w:rsidP="008B31E6">
      <w:pPr>
        <w:spacing w:after="0" w:line="240" w:lineRule="auto"/>
        <w:jc w:val="both"/>
        <w:rPr>
          <w:rFonts w:ascii="Times New Roman" w:hAnsi="Times New Roman" w:cs="Times New Roman"/>
          <w:bCs/>
          <w:i/>
        </w:rPr>
      </w:pPr>
      <w:r w:rsidRPr="00000C8F">
        <w:rPr>
          <w:rFonts w:ascii="Times New Roman" w:hAnsi="Times New Roman" w:cs="Times New Roman"/>
          <w:bCs/>
          <w:i/>
        </w:rPr>
        <w:t xml:space="preserve">A TVSZ értelmében a záróvizsga érdemjegyét a kapott osztályzatok számtani átlaga adja. Bármelyik elem vizsgatételére kapott elégtelen osztályzat esetében a záróvizsga értékelése elégtelen. A több elemből álló záróvizsga esetén az egyes elemeket külön érdemjeggyel kell értékelni. </w:t>
      </w:r>
    </w:p>
    <w:p w:rsidR="008B31E6" w:rsidRDefault="008B31E6" w:rsidP="008B31E6">
      <w:pPr>
        <w:spacing w:after="0" w:line="240" w:lineRule="auto"/>
        <w:jc w:val="both"/>
        <w:rPr>
          <w:rFonts w:ascii="Times New Roman" w:eastAsia="Calibri" w:hAnsi="Times New Roman" w:cs="Times New Roman"/>
          <w:bCs/>
          <w:kern w:val="32"/>
          <w:lang w:eastAsia="hu-HU"/>
        </w:rPr>
      </w:pPr>
    </w:p>
    <w:p w:rsidR="008B31E6" w:rsidRPr="00000C8F" w:rsidRDefault="008B31E6" w:rsidP="008B31E6">
      <w:pPr>
        <w:spacing w:after="0" w:line="240" w:lineRule="auto"/>
        <w:jc w:val="both"/>
        <w:rPr>
          <w:rFonts w:ascii="Times New Roman" w:eastAsia="Calibri" w:hAnsi="Times New Roman" w:cs="Times New Roman"/>
          <w:bCs/>
          <w:kern w:val="32"/>
          <w:lang w:eastAsia="hu-HU"/>
        </w:rPr>
      </w:pPr>
      <w:r w:rsidRPr="00000C8F">
        <w:rPr>
          <w:rFonts w:ascii="Times New Roman" w:eastAsia="Calibri" w:hAnsi="Times New Roman" w:cs="Times New Roman"/>
          <w:bCs/>
          <w:kern w:val="32"/>
          <w:lang w:eastAsia="hu-HU"/>
        </w:rPr>
        <w:t xml:space="preserve">A záróvizsga eredményét  a részeredményeinek egyszerű átlaga képezi, az alábbiak szerint: </w:t>
      </w:r>
    </w:p>
    <w:p w:rsidR="008B31E6" w:rsidRPr="00000C8F" w:rsidRDefault="008B31E6" w:rsidP="008B31E6">
      <w:pPr>
        <w:spacing w:after="0" w:line="240" w:lineRule="auto"/>
        <w:jc w:val="both"/>
        <w:rPr>
          <w:rFonts w:ascii="Times New Roman" w:eastAsia="Calibri" w:hAnsi="Times New Roman" w:cs="Times New Roman"/>
          <w:bCs/>
          <w:i/>
          <w:kern w:val="32"/>
          <w:lang w:eastAsia="hu-HU"/>
        </w:rPr>
      </w:pPr>
    </w:p>
    <w:p w:rsidR="008B31E6" w:rsidRPr="00000C8F" w:rsidRDefault="008B31E6" w:rsidP="008B31E6">
      <w:pPr>
        <w:spacing w:after="0" w:line="240" w:lineRule="auto"/>
        <w:jc w:val="center"/>
        <w:rPr>
          <w:rFonts w:ascii="Times New Roman" w:eastAsia="Calibri" w:hAnsi="Times New Roman" w:cs="Times New Roman"/>
          <w:bCs/>
          <w:i/>
          <w:kern w:val="32"/>
          <w:lang w:eastAsia="hu-HU"/>
        </w:rPr>
      </w:pPr>
      <w:r w:rsidRPr="00000C8F">
        <w:rPr>
          <w:rFonts w:ascii="Times New Roman" w:eastAsia="Calibri" w:hAnsi="Times New Roman" w:cs="Times New Roman"/>
          <w:bCs/>
          <w:i/>
          <w:kern w:val="32"/>
          <w:lang w:eastAsia="hu-HU"/>
        </w:rPr>
        <w:t>ZvÖ=(SzD + Zv) / 2</w:t>
      </w:r>
    </w:p>
    <w:p w:rsidR="008B31E6" w:rsidRPr="00000C8F" w:rsidRDefault="008B31E6" w:rsidP="008B31E6">
      <w:pPr>
        <w:spacing w:after="0" w:line="240" w:lineRule="auto"/>
        <w:jc w:val="center"/>
        <w:rPr>
          <w:rFonts w:ascii="Times New Roman" w:eastAsia="Calibri" w:hAnsi="Times New Roman" w:cs="Times New Roman"/>
          <w:bCs/>
          <w:i/>
          <w:kern w:val="32"/>
          <w:lang w:eastAsia="hu-HU"/>
        </w:rPr>
      </w:pPr>
    </w:p>
    <w:p w:rsidR="008B31E6" w:rsidRDefault="008B31E6" w:rsidP="008B31E6">
      <w:pPr>
        <w:spacing w:after="0" w:line="240" w:lineRule="auto"/>
        <w:jc w:val="both"/>
        <w:rPr>
          <w:rFonts w:ascii="Times New Roman" w:eastAsia="Calibri" w:hAnsi="Times New Roman" w:cs="Times New Roman"/>
          <w:bCs/>
          <w:i/>
          <w:kern w:val="32"/>
          <w:lang w:eastAsia="hu-HU"/>
        </w:rPr>
      </w:pPr>
      <w:r w:rsidRPr="00000C8F">
        <w:rPr>
          <w:rFonts w:ascii="Times New Roman" w:eastAsia="Calibri" w:hAnsi="Times New Roman" w:cs="Times New Roman"/>
          <w:bCs/>
          <w:i/>
          <w:kern w:val="32"/>
          <w:lang w:eastAsia="hu-HU"/>
        </w:rPr>
        <w:t xml:space="preserve">Azaz a záróvizsga összesített eredménye a szakdolgozatra adott egy osztályzat, a záróvizsga szóbeli részére (a több elemből álló záróvizsga esetén az elemek értékelésének egész számra kerekített átlaga) adott egy osztályzat </w:t>
      </w:r>
      <w:r>
        <w:rPr>
          <w:rFonts w:ascii="Times New Roman" w:eastAsia="Calibri" w:hAnsi="Times New Roman" w:cs="Times New Roman"/>
          <w:bCs/>
          <w:i/>
          <w:kern w:val="32"/>
          <w:lang w:eastAsia="hu-HU"/>
        </w:rPr>
        <w:t>összegének egyszerű átlaga.</w:t>
      </w:r>
    </w:p>
    <w:p w:rsidR="008B31E6" w:rsidRDefault="008B31E6" w:rsidP="008B31E6">
      <w:pPr>
        <w:spacing w:after="0" w:line="240" w:lineRule="auto"/>
        <w:rPr>
          <w:rFonts w:ascii="Times New Roman" w:hAnsi="Times New Roman" w:cs="Times New Roman"/>
        </w:rPr>
      </w:pPr>
    </w:p>
    <w:p w:rsidR="008B31E6" w:rsidRPr="00000C8F" w:rsidRDefault="008B31E6" w:rsidP="001A1F62">
      <w:pPr>
        <w:pStyle w:val="Cmsor1"/>
        <w:spacing w:after="120"/>
        <w:rPr>
          <w:i w:val="0"/>
          <w:sz w:val="22"/>
          <w:szCs w:val="22"/>
          <w:u w:val="none"/>
        </w:rPr>
      </w:pPr>
      <w:bookmarkStart w:id="31" w:name="_Toc37240839"/>
      <w:r w:rsidRPr="00000C8F">
        <w:rPr>
          <w:i w:val="0"/>
          <w:sz w:val="22"/>
          <w:szCs w:val="22"/>
          <w:u w:val="none"/>
        </w:rPr>
        <w:t xml:space="preserve">13. A </w:t>
      </w:r>
      <w:r w:rsidRPr="001A1F62">
        <w:rPr>
          <w:i w:val="0"/>
          <w:sz w:val="22"/>
          <w:szCs w:val="22"/>
          <w:u w:val="none"/>
        </w:rPr>
        <w:t>szakdolgozat</w:t>
      </w:r>
      <w:bookmarkEnd w:id="25"/>
      <w:bookmarkEnd w:id="31"/>
    </w:p>
    <w:p w:rsidR="008B31E6" w:rsidRPr="00000C8F" w:rsidRDefault="008B31E6" w:rsidP="008B31E6">
      <w:pPr>
        <w:spacing w:after="0" w:line="240" w:lineRule="auto"/>
        <w:jc w:val="both"/>
        <w:rPr>
          <w:rFonts w:ascii="Times New Roman" w:hAnsi="Times New Roman" w:cs="Times New Roman"/>
        </w:rPr>
      </w:pPr>
      <w:r w:rsidRPr="00000C8F">
        <w:rPr>
          <w:rFonts w:ascii="Times New Roman" w:hAnsi="Times New Roman" w:cs="Times New Roman"/>
        </w:rPr>
        <w:t xml:space="preserve">A szakdolgozat összefoglaló definíciója és elkészítésének rendje. </w:t>
      </w:r>
    </w:p>
    <w:p w:rsidR="008B31E6" w:rsidRDefault="008B31E6" w:rsidP="008B31E6">
      <w:pPr>
        <w:spacing w:after="0" w:line="240" w:lineRule="auto"/>
        <w:jc w:val="both"/>
        <w:rPr>
          <w:rFonts w:ascii="Times New Roman" w:hAnsi="Times New Roman" w:cs="Times New Roman"/>
          <w:i/>
        </w:rPr>
      </w:pPr>
      <w:r w:rsidRPr="00000C8F">
        <w:rPr>
          <w:rFonts w:ascii="Times New Roman" w:hAnsi="Times New Roman" w:cs="Times New Roman"/>
          <w:i/>
        </w:rPr>
        <w:t>A szakdolgozat a szakirányhoz kapcsolódó feladat, amely a hallgató tanulmányaira támaszkodva, konzulens irányításával egy félév alatt elvégezhető, és igazolja azt, hogy a hallgató kellő jártasságot szerzett a tanult ismeretanyag gyakorlati alkalmazásában, és szakmai irányítással képes a témához kapcsolódó szakirodalom feldolgozására, továbbá képes az elvégzett munka és az eredmények szakszerű összefoglalására.</w:t>
      </w:r>
    </w:p>
    <w:p w:rsidR="008B31E6" w:rsidRDefault="008B31E6" w:rsidP="008B31E6">
      <w:pPr>
        <w:spacing w:after="0" w:line="240" w:lineRule="auto"/>
        <w:jc w:val="both"/>
        <w:rPr>
          <w:rFonts w:ascii="Times New Roman" w:hAnsi="Times New Roman" w:cs="Times New Roman"/>
        </w:rPr>
      </w:pPr>
    </w:p>
    <w:p w:rsidR="008B31E6" w:rsidRDefault="008B31E6" w:rsidP="008B31E6">
      <w:pPr>
        <w:spacing w:after="0" w:line="240" w:lineRule="auto"/>
        <w:jc w:val="both"/>
        <w:rPr>
          <w:rFonts w:ascii="Times New Roman" w:hAnsi="Times New Roman" w:cs="Times New Roman"/>
        </w:rPr>
      </w:pPr>
      <w:r>
        <w:rPr>
          <w:rFonts w:ascii="Times New Roman" w:hAnsi="Times New Roman" w:cs="Times New Roman"/>
        </w:rPr>
        <w:t xml:space="preserve">A </w:t>
      </w:r>
      <w:r w:rsidRPr="00000C8F">
        <w:rPr>
          <w:rFonts w:ascii="Times New Roman" w:hAnsi="Times New Roman" w:cs="Times New Roman"/>
        </w:rPr>
        <w:t>szakdolgozat</w:t>
      </w:r>
      <w:r>
        <w:rPr>
          <w:rFonts w:ascii="Times New Roman" w:hAnsi="Times New Roman" w:cs="Times New Roman"/>
        </w:rPr>
        <w:t xml:space="preserve"> elkészítéséhez rendelt kreditérték: </w:t>
      </w:r>
      <w:r w:rsidRPr="00000C8F">
        <w:rPr>
          <w:rFonts w:ascii="Times New Roman" w:hAnsi="Times New Roman" w:cs="Times New Roman"/>
        </w:rPr>
        <w:t xml:space="preserve">14 kredit </w:t>
      </w:r>
    </w:p>
    <w:p w:rsidR="008B31E6" w:rsidRDefault="008B31E6" w:rsidP="008B31E6">
      <w:pPr>
        <w:spacing w:after="0" w:line="240" w:lineRule="auto"/>
        <w:jc w:val="both"/>
        <w:rPr>
          <w:rFonts w:ascii="Times New Roman" w:hAnsi="Times New Roman" w:cs="Times New Roman"/>
          <w:lang w:eastAsia="hu-HU"/>
        </w:rPr>
      </w:pPr>
    </w:p>
    <w:p w:rsidR="008B31E6" w:rsidRPr="00000C8F" w:rsidRDefault="008B31E6" w:rsidP="008B31E6">
      <w:pPr>
        <w:spacing w:after="0" w:line="240" w:lineRule="auto"/>
        <w:jc w:val="both"/>
        <w:rPr>
          <w:rFonts w:ascii="Times New Roman" w:hAnsi="Times New Roman" w:cs="Times New Roman"/>
        </w:rPr>
      </w:pPr>
      <w:r w:rsidRPr="00000C8F">
        <w:rPr>
          <w:rFonts w:ascii="Times New Roman" w:hAnsi="Times New Roman" w:cs="Times New Roman"/>
        </w:rPr>
        <w:t>A szakdolgozat/diplomamunka tantárgya(i):</w:t>
      </w:r>
    </w:p>
    <w:p w:rsidR="008B31E6" w:rsidRPr="00000C8F" w:rsidRDefault="008B31E6" w:rsidP="00980876">
      <w:pPr>
        <w:pStyle w:val="Listaszerbekezds"/>
        <w:numPr>
          <w:ilvl w:val="0"/>
          <w:numId w:val="603"/>
        </w:numPr>
        <w:spacing w:after="0" w:line="240" w:lineRule="auto"/>
        <w:jc w:val="both"/>
        <w:rPr>
          <w:rFonts w:ascii="Times New Roman" w:hAnsi="Times New Roman" w:cs="Times New Roman"/>
          <w:lang w:eastAsia="hu-HU"/>
        </w:rPr>
      </w:pPr>
      <w:r w:rsidRPr="00000C8F">
        <w:rPr>
          <w:rFonts w:ascii="Times New Roman" w:hAnsi="Times New Roman" w:cs="Times New Roman"/>
        </w:rPr>
        <w:t>HKHPKA21 Szakdolgozat készítés 14 kredit;</w:t>
      </w:r>
    </w:p>
    <w:p w:rsidR="008B31E6" w:rsidRDefault="008B31E6" w:rsidP="008B31E6">
      <w:pPr>
        <w:spacing w:after="0" w:line="240" w:lineRule="auto"/>
        <w:rPr>
          <w:rFonts w:ascii="Times New Roman" w:hAnsi="Times New Roman" w:cs="Times New Roman"/>
        </w:rPr>
      </w:pPr>
    </w:p>
    <w:p w:rsidR="008B31E6" w:rsidRDefault="008B31E6" w:rsidP="008B31E6">
      <w:pPr>
        <w:spacing w:after="0" w:line="240" w:lineRule="auto"/>
        <w:rPr>
          <w:rFonts w:ascii="Times New Roman" w:hAnsi="Times New Roman" w:cs="Times New Roman"/>
        </w:rPr>
      </w:pPr>
      <w:r>
        <w:rPr>
          <w:rFonts w:ascii="Times New Roman" w:hAnsi="Times New Roman" w:cs="Times New Roman"/>
        </w:rPr>
        <w:t xml:space="preserve">A </w:t>
      </w:r>
      <w:r w:rsidRPr="00000C8F">
        <w:rPr>
          <w:rFonts w:ascii="Times New Roman" w:hAnsi="Times New Roman" w:cs="Times New Roman"/>
        </w:rPr>
        <w:t>szakdolgozat</w:t>
      </w:r>
      <w:r>
        <w:rPr>
          <w:rFonts w:ascii="Times New Roman" w:hAnsi="Times New Roman" w:cs="Times New Roman"/>
        </w:rPr>
        <w:t xml:space="preserve"> elkészítésének rendjét, tartalmi és formai követelményeit egyebekben a Tanulmányi és Vizsgaszabályzat határozza meg.</w:t>
      </w:r>
    </w:p>
    <w:p w:rsidR="008B31E6" w:rsidRDefault="008B31E6" w:rsidP="008B31E6">
      <w:pPr>
        <w:spacing w:after="0" w:line="240" w:lineRule="auto"/>
        <w:rPr>
          <w:rFonts w:ascii="Times New Roman" w:hAnsi="Times New Roman" w:cs="Times New Roman"/>
        </w:rPr>
      </w:pPr>
    </w:p>
    <w:p w:rsidR="008B31E6" w:rsidRDefault="008B31E6" w:rsidP="008B31E6">
      <w:pPr>
        <w:rPr>
          <w:rFonts w:ascii="Times New Roman" w:eastAsia="Times New Roman" w:hAnsi="Times New Roman" w:cs="Times New Roman"/>
          <w:b/>
          <w:bCs/>
          <w:iCs/>
          <w:lang w:eastAsia="hu-HU"/>
        </w:rPr>
      </w:pPr>
      <w:bookmarkStart w:id="32" w:name="_Toc482688838"/>
      <w:r>
        <w:rPr>
          <w:i/>
        </w:rPr>
        <w:br w:type="page"/>
      </w:r>
    </w:p>
    <w:p w:rsidR="008B31E6" w:rsidRDefault="008B31E6" w:rsidP="001A1F62">
      <w:pPr>
        <w:pStyle w:val="Cmsor1"/>
        <w:spacing w:after="120"/>
        <w:rPr>
          <w:i w:val="0"/>
          <w:sz w:val="22"/>
          <w:szCs w:val="22"/>
          <w:u w:val="none"/>
        </w:rPr>
      </w:pPr>
      <w:bookmarkStart w:id="33" w:name="_Toc37240840"/>
      <w:r>
        <w:rPr>
          <w:i w:val="0"/>
          <w:sz w:val="22"/>
          <w:szCs w:val="22"/>
          <w:u w:val="none"/>
        </w:rPr>
        <w:lastRenderedPageBreak/>
        <w:t xml:space="preserve">14. Az </w:t>
      </w:r>
      <w:r w:rsidRPr="001A1F62">
        <w:rPr>
          <w:rFonts w:eastAsia="Calibri"/>
          <w:i w:val="0"/>
          <w:sz w:val="22"/>
          <w:szCs w:val="22"/>
          <w:u w:val="none"/>
        </w:rPr>
        <w:t>oklevél</w:t>
      </w:r>
      <w:bookmarkEnd w:id="33"/>
    </w:p>
    <w:p w:rsidR="008B31E6" w:rsidRDefault="008B31E6" w:rsidP="008B31E6">
      <w:pPr>
        <w:spacing w:after="0" w:line="240" w:lineRule="auto"/>
        <w:rPr>
          <w:rFonts w:ascii="Times New Roman" w:hAnsi="Times New Roman" w:cs="Times New Roman"/>
          <w:b/>
          <w:i/>
          <w:iCs/>
        </w:rPr>
      </w:pPr>
      <w:r>
        <w:rPr>
          <w:rFonts w:ascii="Times New Roman" w:hAnsi="Times New Roman" w:cs="Times New Roman"/>
          <w:b/>
          <w:i/>
        </w:rPr>
        <w:t>14.1. Az oklevél kiadásának feltétele</w:t>
      </w:r>
      <w:bookmarkEnd w:id="32"/>
    </w:p>
    <w:p w:rsidR="008B31E6" w:rsidRDefault="008B31E6" w:rsidP="008B31E6">
      <w:pPr>
        <w:spacing w:after="0" w:line="240" w:lineRule="auto"/>
        <w:rPr>
          <w:rFonts w:ascii="Times New Roman" w:hAnsi="Times New Roman" w:cs="Times New Roman"/>
        </w:rPr>
      </w:pPr>
      <w:r>
        <w:rPr>
          <w:rFonts w:ascii="Times New Roman" w:hAnsi="Times New Roman" w:cs="Times New Roman"/>
        </w:rPr>
        <w:t>Az oklevél kiadásának feltétele:</w:t>
      </w:r>
    </w:p>
    <w:p w:rsidR="008B31E6" w:rsidRDefault="008B31E6" w:rsidP="00980876">
      <w:pPr>
        <w:pStyle w:val="Listaszerbekezds"/>
        <w:numPr>
          <w:ilvl w:val="0"/>
          <w:numId w:val="603"/>
        </w:numPr>
        <w:spacing w:after="0" w:line="240" w:lineRule="auto"/>
        <w:rPr>
          <w:rFonts w:ascii="Times New Roman" w:hAnsi="Times New Roman" w:cs="Times New Roman"/>
        </w:rPr>
      </w:pPr>
      <w:r>
        <w:rPr>
          <w:rFonts w:ascii="Times New Roman" w:hAnsi="Times New Roman" w:cs="Times New Roman"/>
        </w:rPr>
        <w:t>az eredményes záróvizsga, továbbá</w:t>
      </w:r>
    </w:p>
    <w:p w:rsidR="002C165B" w:rsidRPr="002C165B" w:rsidRDefault="008B31E6" w:rsidP="00980876">
      <w:pPr>
        <w:pStyle w:val="Listaszerbekezds"/>
        <w:numPr>
          <w:ilvl w:val="0"/>
          <w:numId w:val="603"/>
        </w:numPr>
        <w:spacing w:line="256" w:lineRule="auto"/>
        <w:jc w:val="both"/>
        <w:rPr>
          <w:rFonts w:ascii="Times New Roman" w:hAnsi="Times New Roman" w:cs="Times New Roman"/>
        </w:rPr>
      </w:pPr>
      <w:r w:rsidRPr="002C165B">
        <w:rPr>
          <w:rFonts w:ascii="Times New Roman" w:hAnsi="Times New Roman" w:cs="Times New Roman"/>
        </w:rPr>
        <w:t xml:space="preserve">a szak képzési és kimeneti követelményeiben meghatározott alábbi idegennyelvi követelmény teljesítése: </w:t>
      </w:r>
      <w:r w:rsidR="002C165B" w:rsidRPr="002C165B">
        <w:rPr>
          <w:rFonts w:ascii="Times New Roman" w:hAnsi="Times New Roman" w:cs="Times New Roman"/>
          <w:b/>
          <w:i/>
        </w:rPr>
        <w:t>„Az alapfokozat megszerzéséhez angol nyelvből államilag elismert legalább STANAG 6001. 2.2.2.2. nyelvvizsga-bizonyítvány szükséges”</w:t>
      </w:r>
    </w:p>
    <w:p w:rsidR="008B31E6" w:rsidRDefault="008B31E6" w:rsidP="008B31E6">
      <w:pPr>
        <w:spacing w:after="0" w:line="240" w:lineRule="auto"/>
        <w:rPr>
          <w:rFonts w:ascii="Times New Roman" w:hAnsi="Times New Roman" w:cs="Times New Roman"/>
          <w:b/>
          <w:i/>
          <w:iCs/>
        </w:rPr>
      </w:pPr>
      <w:bookmarkStart w:id="34" w:name="_Toc482688839"/>
      <w:bookmarkStart w:id="35" w:name="_Toc131558053"/>
      <w:bookmarkStart w:id="36" w:name="_Toc131515865"/>
      <w:bookmarkStart w:id="37" w:name="_Toc131477683"/>
      <w:bookmarkStart w:id="38" w:name="_Toc131261009"/>
      <w:bookmarkStart w:id="39" w:name="_Toc131258795"/>
      <w:bookmarkStart w:id="40" w:name="_Toc131258471"/>
      <w:bookmarkStart w:id="41" w:name="_Toc131258305"/>
      <w:bookmarkStart w:id="42" w:name="_Toc131257712"/>
      <w:r>
        <w:rPr>
          <w:rFonts w:ascii="Times New Roman" w:hAnsi="Times New Roman" w:cs="Times New Roman"/>
          <w:b/>
          <w:i/>
        </w:rPr>
        <w:t>14.2. Az oklevél minősítésének megállapítása</w:t>
      </w:r>
      <w:bookmarkEnd w:id="34"/>
      <w:bookmarkEnd w:id="35"/>
      <w:bookmarkEnd w:id="36"/>
      <w:bookmarkEnd w:id="37"/>
      <w:bookmarkEnd w:id="38"/>
      <w:bookmarkEnd w:id="39"/>
      <w:bookmarkEnd w:id="40"/>
      <w:bookmarkEnd w:id="41"/>
      <w:bookmarkEnd w:id="42"/>
    </w:p>
    <w:p w:rsidR="008B31E6" w:rsidRPr="0051256F" w:rsidRDefault="008B31E6" w:rsidP="008B31E6">
      <w:pPr>
        <w:spacing w:after="0" w:line="240" w:lineRule="auto"/>
        <w:rPr>
          <w:rFonts w:ascii="Times New Roman" w:hAnsi="Times New Roman" w:cs="Times New Roman"/>
        </w:rPr>
      </w:pPr>
      <w:r w:rsidRPr="0051256F">
        <w:rPr>
          <w:rFonts w:ascii="Times New Roman" w:hAnsi="Times New Roman" w:cs="Times New Roman"/>
        </w:rPr>
        <w:t>Az oklevél minősítése megállapításnak részletes szabályai.</w:t>
      </w:r>
    </w:p>
    <w:p w:rsidR="008B31E6" w:rsidRDefault="008B31E6" w:rsidP="008B31E6">
      <w:pPr>
        <w:suppressAutoHyphens/>
        <w:spacing w:after="0" w:line="240" w:lineRule="auto"/>
        <w:ind w:firstLine="15"/>
        <w:jc w:val="both"/>
        <w:rPr>
          <w:rFonts w:ascii="Times New Roman" w:hAnsi="Times New Roman"/>
          <w:i/>
          <w:lang w:eastAsia="ar-SA"/>
        </w:rPr>
      </w:pPr>
    </w:p>
    <w:p w:rsidR="008B31E6" w:rsidRPr="0051256F" w:rsidRDefault="008B31E6" w:rsidP="008B31E6">
      <w:pPr>
        <w:suppressAutoHyphens/>
        <w:spacing w:after="0" w:line="240" w:lineRule="auto"/>
        <w:ind w:firstLine="15"/>
        <w:jc w:val="both"/>
        <w:rPr>
          <w:rFonts w:ascii="Times New Roman" w:hAnsi="Times New Roman"/>
          <w:i/>
          <w:lang w:eastAsia="ar-SA"/>
        </w:rPr>
      </w:pPr>
      <w:r w:rsidRPr="0051256F">
        <w:rPr>
          <w:rFonts w:ascii="Times New Roman" w:hAnsi="Times New Roman"/>
          <w:i/>
          <w:lang w:eastAsia="ar-SA"/>
        </w:rPr>
        <w:t xml:space="preserve">Az oklevél minősítését az alábbiak egyszerű átlaga adja meg: </w:t>
      </w:r>
    </w:p>
    <w:p w:rsidR="008B31E6" w:rsidRPr="0051256F" w:rsidRDefault="008B31E6" w:rsidP="008B31E6">
      <w:pPr>
        <w:suppressAutoHyphens/>
        <w:spacing w:after="0" w:line="240" w:lineRule="auto"/>
        <w:ind w:left="709" w:hanging="283"/>
        <w:jc w:val="both"/>
        <w:rPr>
          <w:rFonts w:ascii="Times New Roman" w:hAnsi="Times New Roman"/>
          <w:i/>
          <w:lang w:eastAsia="ar-SA"/>
        </w:rPr>
      </w:pPr>
      <w:r w:rsidRPr="0051256F">
        <w:rPr>
          <w:rFonts w:ascii="Times New Roman" w:hAnsi="Times New Roman"/>
          <w:i/>
          <w:lang w:eastAsia="ar-SA"/>
        </w:rPr>
        <w:t>a)</w:t>
      </w:r>
      <w:r w:rsidRPr="0051256F">
        <w:rPr>
          <w:rFonts w:ascii="Times New Roman" w:hAnsi="Times New Roman"/>
          <w:i/>
          <w:lang w:eastAsia="ar-SA"/>
        </w:rPr>
        <w:tab/>
        <w:t xml:space="preserve">a szakdolgozat védésére adott osztályzat; </w:t>
      </w:r>
    </w:p>
    <w:p w:rsidR="008B31E6" w:rsidRPr="0051256F" w:rsidRDefault="008B31E6" w:rsidP="008B31E6">
      <w:pPr>
        <w:suppressAutoHyphens/>
        <w:spacing w:after="0" w:line="240" w:lineRule="auto"/>
        <w:ind w:left="709" w:hanging="283"/>
        <w:jc w:val="both"/>
        <w:rPr>
          <w:rFonts w:ascii="Times New Roman" w:hAnsi="Times New Roman"/>
          <w:i/>
          <w:lang w:eastAsia="ar-SA"/>
        </w:rPr>
      </w:pPr>
      <w:r w:rsidRPr="0051256F">
        <w:rPr>
          <w:rFonts w:ascii="Times New Roman" w:hAnsi="Times New Roman"/>
          <w:i/>
          <w:lang w:eastAsia="ar-SA"/>
        </w:rPr>
        <w:t>b)</w:t>
      </w:r>
      <w:r w:rsidRPr="0051256F">
        <w:rPr>
          <w:rFonts w:ascii="Times New Roman" w:hAnsi="Times New Roman"/>
          <w:i/>
          <w:lang w:eastAsia="ar-SA"/>
        </w:rPr>
        <w:tab/>
        <w:t xml:space="preserve">a záróvizsga szóbeli részére adott (több elemből álló vizsga esetén az elemekre adott osztályzatok átlaga egész számra kerekítve) egy osztályzat; </w:t>
      </w:r>
    </w:p>
    <w:p w:rsidR="008B31E6" w:rsidRPr="0051256F" w:rsidRDefault="008B31E6" w:rsidP="008B31E6">
      <w:pPr>
        <w:suppressAutoHyphens/>
        <w:spacing w:after="0" w:line="240" w:lineRule="auto"/>
        <w:ind w:left="709" w:hanging="283"/>
        <w:jc w:val="both"/>
        <w:rPr>
          <w:rFonts w:ascii="Times New Roman" w:hAnsi="Times New Roman"/>
          <w:i/>
          <w:lang w:eastAsia="ar-SA"/>
        </w:rPr>
      </w:pPr>
      <w:r w:rsidRPr="0051256F">
        <w:rPr>
          <w:rFonts w:ascii="Times New Roman" w:hAnsi="Times New Roman"/>
          <w:i/>
          <w:lang w:eastAsia="ar-SA"/>
        </w:rPr>
        <w:t>c)</w:t>
      </w:r>
      <w:r w:rsidRPr="0051256F">
        <w:rPr>
          <w:rFonts w:ascii="Times New Roman" w:hAnsi="Times New Roman"/>
          <w:i/>
          <w:lang w:eastAsia="ar-SA"/>
        </w:rPr>
        <w:tab/>
        <w:t>a teljesített félévek (két tizedesig kifejezett) súlyozott tanulmányi átlagainak átlaga:</w:t>
      </w:r>
    </w:p>
    <w:p w:rsidR="008B31E6" w:rsidRPr="0051256F" w:rsidRDefault="008B31E6" w:rsidP="008B31E6">
      <w:pPr>
        <w:suppressAutoHyphens/>
        <w:spacing w:after="0" w:line="240" w:lineRule="auto"/>
        <w:ind w:firstLine="15"/>
        <w:jc w:val="center"/>
        <w:rPr>
          <w:rFonts w:ascii="Times New Roman" w:hAnsi="Times New Roman"/>
          <w:i/>
          <w:lang w:eastAsia="ar-SA"/>
        </w:rPr>
      </w:pPr>
    </w:p>
    <w:p w:rsidR="008B31E6" w:rsidRPr="0051256F" w:rsidRDefault="008B31E6" w:rsidP="008B31E6">
      <w:pPr>
        <w:suppressAutoHyphens/>
        <w:spacing w:after="0" w:line="240" w:lineRule="auto"/>
        <w:ind w:firstLine="15"/>
        <w:jc w:val="center"/>
        <w:rPr>
          <w:rFonts w:ascii="Times New Roman" w:hAnsi="Times New Roman"/>
          <w:i/>
          <w:lang w:eastAsia="ar-SA"/>
        </w:rPr>
      </w:pPr>
      <w:r w:rsidRPr="0051256F">
        <w:rPr>
          <w:rFonts w:ascii="Times New Roman" w:hAnsi="Times New Roman"/>
          <w:i/>
          <w:lang w:eastAsia="ar-SA"/>
        </w:rPr>
        <w:t>(SZD + ZV + (Á1+…+Án)/n) / 3</w:t>
      </w:r>
    </w:p>
    <w:p w:rsidR="008B31E6" w:rsidRDefault="008B31E6" w:rsidP="008B31E6">
      <w:pPr>
        <w:suppressAutoHyphens/>
        <w:spacing w:after="0" w:line="240" w:lineRule="auto"/>
        <w:ind w:firstLine="15"/>
        <w:jc w:val="center"/>
        <w:rPr>
          <w:rFonts w:ascii="Times New Roman" w:hAnsi="Times New Roman"/>
          <w:i/>
          <w:highlight w:val="lightGray"/>
          <w:lang w:eastAsia="ar-SA"/>
        </w:rPr>
      </w:pPr>
    </w:p>
    <w:p w:rsidR="008B31E6" w:rsidRPr="0051256F" w:rsidRDefault="008B31E6" w:rsidP="008B31E6">
      <w:pPr>
        <w:suppressAutoHyphens/>
        <w:spacing w:after="0" w:line="240" w:lineRule="auto"/>
        <w:ind w:firstLine="15"/>
        <w:jc w:val="both"/>
        <w:rPr>
          <w:rFonts w:ascii="Times New Roman" w:hAnsi="Times New Roman"/>
          <w:i/>
          <w:lang w:eastAsia="ar-SA"/>
        </w:rPr>
      </w:pPr>
      <w:r w:rsidRPr="0051256F">
        <w:rPr>
          <w:rFonts w:ascii="Times New Roman" w:hAnsi="Times New Roman"/>
          <w:i/>
          <w:lang w:eastAsia="ar-SA"/>
        </w:rPr>
        <w:t>Az oklevél minősítésének megállapítása az alábbi határértékek figyelembevételével történik, ha a fenti módszer alapján számított érték:</w:t>
      </w:r>
    </w:p>
    <w:p w:rsidR="008B31E6" w:rsidRPr="0051256F" w:rsidRDefault="008B31E6" w:rsidP="00980876">
      <w:pPr>
        <w:pStyle w:val="Listaszerbekezds"/>
        <w:numPr>
          <w:ilvl w:val="1"/>
          <w:numId w:val="604"/>
        </w:numPr>
        <w:suppressAutoHyphens/>
        <w:spacing w:after="0" w:line="240" w:lineRule="auto"/>
        <w:ind w:left="709" w:hanging="283"/>
        <w:jc w:val="both"/>
        <w:rPr>
          <w:rFonts w:ascii="Times New Roman" w:hAnsi="Times New Roman"/>
          <w:i/>
          <w:lang w:eastAsia="ar-SA"/>
        </w:rPr>
      </w:pPr>
      <w:r w:rsidRPr="0051256F">
        <w:rPr>
          <w:rFonts w:ascii="Times New Roman" w:hAnsi="Times New Roman"/>
          <w:i/>
          <w:lang w:eastAsia="ar-SA"/>
        </w:rPr>
        <w:t>kitűnő, ha az átlag 5,00</w:t>
      </w:r>
    </w:p>
    <w:p w:rsidR="008B31E6" w:rsidRPr="0051256F" w:rsidRDefault="008B31E6" w:rsidP="00980876">
      <w:pPr>
        <w:pStyle w:val="Listaszerbekezds"/>
        <w:numPr>
          <w:ilvl w:val="1"/>
          <w:numId w:val="604"/>
        </w:numPr>
        <w:suppressAutoHyphens/>
        <w:spacing w:after="0" w:line="240" w:lineRule="auto"/>
        <w:ind w:left="709" w:hanging="283"/>
        <w:jc w:val="both"/>
        <w:rPr>
          <w:rFonts w:ascii="Times New Roman" w:hAnsi="Times New Roman"/>
          <w:i/>
          <w:lang w:eastAsia="ar-SA"/>
        </w:rPr>
      </w:pPr>
      <w:r w:rsidRPr="0051256F">
        <w:rPr>
          <w:rFonts w:ascii="Times New Roman" w:hAnsi="Times New Roman"/>
          <w:i/>
          <w:lang w:eastAsia="ar-SA"/>
        </w:rPr>
        <w:t>jeles, ha az átlag 4,51-4,99</w:t>
      </w:r>
    </w:p>
    <w:p w:rsidR="008B31E6" w:rsidRPr="0051256F" w:rsidRDefault="008B31E6" w:rsidP="00980876">
      <w:pPr>
        <w:pStyle w:val="Listaszerbekezds"/>
        <w:numPr>
          <w:ilvl w:val="1"/>
          <w:numId w:val="604"/>
        </w:numPr>
        <w:suppressAutoHyphens/>
        <w:spacing w:after="0" w:line="240" w:lineRule="auto"/>
        <w:ind w:left="709" w:hanging="283"/>
        <w:jc w:val="both"/>
        <w:rPr>
          <w:rFonts w:ascii="Times New Roman" w:hAnsi="Times New Roman"/>
          <w:i/>
          <w:lang w:eastAsia="ar-SA"/>
        </w:rPr>
      </w:pPr>
      <w:r w:rsidRPr="0051256F">
        <w:rPr>
          <w:rFonts w:ascii="Times New Roman" w:hAnsi="Times New Roman"/>
          <w:i/>
          <w:lang w:eastAsia="ar-SA"/>
        </w:rPr>
        <w:t>jó, ha az átlag 3,51-4,50</w:t>
      </w:r>
    </w:p>
    <w:p w:rsidR="008B31E6" w:rsidRPr="0051256F" w:rsidRDefault="008B31E6" w:rsidP="00980876">
      <w:pPr>
        <w:pStyle w:val="Listaszerbekezds"/>
        <w:numPr>
          <w:ilvl w:val="1"/>
          <w:numId w:val="604"/>
        </w:numPr>
        <w:suppressAutoHyphens/>
        <w:spacing w:after="0" w:line="240" w:lineRule="auto"/>
        <w:ind w:left="709" w:hanging="283"/>
        <w:jc w:val="both"/>
        <w:rPr>
          <w:rFonts w:ascii="Times New Roman" w:hAnsi="Times New Roman"/>
          <w:i/>
          <w:lang w:eastAsia="ar-SA"/>
        </w:rPr>
      </w:pPr>
      <w:r w:rsidRPr="0051256F">
        <w:rPr>
          <w:rFonts w:ascii="Times New Roman" w:hAnsi="Times New Roman"/>
          <w:i/>
          <w:lang w:eastAsia="ar-SA"/>
        </w:rPr>
        <w:t>közepes, ha az átlag 2,51-3,50</w:t>
      </w:r>
    </w:p>
    <w:p w:rsidR="008B31E6" w:rsidRPr="0051256F" w:rsidRDefault="008B31E6" w:rsidP="00980876">
      <w:pPr>
        <w:pStyle w:val="Listaszerbekezds"/>
        <w:numPr>
          <w:ilvl w:val="1"/>
          <w:numId w:val="604"/>
        </w:numPr>
        <w:suppressAutoHyphens/>
        <w:spacing w:after="0" w:line="240" w:lineRule="auto"/>
        <w:ind w:left="709" w:hanging="283"/>
        <w:jc w:val="both"/>
        <w:rPr>
          <w:rFonts w:ascii="Times New Roman" w:hAnsi="Times New Roman"/>
          <w:i/>
          <w:lang w:eastAsia="ar-SA"/>
        </w:rPr>
      </w:pPr>
      <w:r w:rsidRPr="0051256F">
        <w:rPr>
          <w:rFonts w:ascii="Times New Roman" w:hAnsi="Times New Roman"/>
          <w:i/>
          <w:lang w:eastAsia="ar-SA"/>
        </w:rPr>
        <w:t>elégséges, ha az átlag legalább 2,00 – de legfeljebb 2,50.</w:t>
      </w:r>
    </w:p>
    <w:p w:rsidR="008B31E6" w:rsidRPr="0051256F" w:rsidRDefault="008B31E6" w:rsidP="008B31E6">
      <w:pPr>
        <w:suppressAutoHyphens/>
        <w:spacing w:after="0" w:line="240" w:lineRule="auto"/>
        <w:ind w:firstLine="15"/>
        <w:jc w:val="both"/>
        <w:rPr>
          <w:rFonts w:ascii="Times New Roman" w:hAnsi="Times New Roman"/>
          <w:i/>
          <w:lang w:eastAsia="ar-SA"/>
        </w:rPr>
      </w:pPr>
    </w:p>
    <w:p w:rsidR="008B31E6" w:rsidRDefault="008B31E6" w:rsidP="008B31E6">
      <w:pPr>
        <w:suppressAutoHyphens/>
        <w:spacing w:after="0" w:line="240" w:lineRule="auto"/>
        <w:ind w:firstLine="15"/>
        <w:jc w:val="both"/>
        <w:rPr>
          <w:rFonts w:ascii="Times New Roman" w:hAnsi="Times New Roman"/>
          <w:i/>
          <w:lang w:eastAsia="ar-SA"/>
        </w:rPr>
      </w:pPr>
      <w:r w:rsidRPr="0051256F">
        <w:rPr>
          <w:rFonts w:ascii="Times New Roman" w:hAnsi="Times New Roman"/>
          <w:i/>
          <w:lang w:eastAsia="ar-SA"/>
        </w:rPr>
        <w:t>Kiváló eredménnyel végez az a hallgató, akinek oklevél-minősítése kitűnő. Kiváló eredménnyel végez továbbá az is, akié jeles, valamint az összes többi vizsgájának és gyakorlati jegyének átlaga legalább 4,51.</w:t>
      </w:r>
    </w:p>
    <w:p w:rsidR="008B31E6" w:rsidRDefault="008B31E6" w:rsidP="008B31E6">
      <w:pPr>
        <w:suppressAutoHyphens/>
        <w:spacing w:after="0" w:line="240" w:lineRule="auto"/>
        <w:ind w:firstLine="15"/>
        <w:jc w:val="both"/>
        <w:rPr>
          <w:rFonts w:ascii="Times New Roman" w:hAnsi="Times New Roman" w:cs="Times New Roman"/>
          <w:b/>
        </w:rPr>
      </w:pPr>
    </w:p>
    <w:p w:rsidR="008B31E6" w:rsidRDefault="008B31E6" w:rsidP="00026DC6">
      <w:pPr>
        <w:pStyle w:val="Cmsor1"/>
        <w:spacing w:after="120"/>
        <w:rPr>
          <w:i w:val="0"/>
          <w:sz w:val="22"/>
          <w:szCs w:val="22"/>
          <w:u w:val="none"/>
        </w:rPr>
      </w:pPr>
      <w:bookmarkStart w:id="43" w:name="_Toc482688840"/>
      <w:bookmarkStart w:id="44" w:name="_Toc37240841"/>
      <w:r>
        <w:rPr>
          <w:i w:val="0"/>
          <w:sz w:val="22"/>
          <w:szCs w:val="22"/>
          <w:u w:val="none"/>
        </w:rPr>
        <w:t>15. A szakmai gyakorlat</w:t>
      </w:r>
      <w:bookmarkEnd w:id="43"/>
      <w:bookmarkEnd w:id="44"/>
    </w:p>
    <w:p w:rsidR="00B16F17" w:rsidRDefault="00B16F17" w:rsidP="00B16F17">
      <w:pPr>
        <w:spacing w:after="0" w:line="240" w:lineRule="auto"/>
        <w:jc w:val="both"/>
        <w:rPr>
          <w:rFonts w:ascii="Times New Roman" w:hAnsi="Times New Roman" w:cs="Times New Roman"/>
        </w:rPr>
      </w:pPr>
      <w:bookmarkStart w:id="45" w:name="_Toc482688841"/>
      <w:r w:rsidRPr="00B16F17">
        <w:rPr>
          <w:rFonts w:ascii="Times New Roman" w:hAnsi="Times New Roman" w:cs="Times New Roman"/>
        </w:rPr>
        <w:t xml:space="preserve">A honvéd tisztjelöltek az első szakmai gyakorlatot az alapképzésben a 6. szemeszterben, </w:t>
      </w:r>
      <w:r>
        <w:rPr>
          <w:rFonts w:ascii="Times New Roman" w:hAnsi="Times New Roman" w:cs="Times New Roman"/>
        </w:rPr>
        <w:t>három</w:t>
      </w:r>
      <w:r w:rsidRPr="00B16F17">
        <w:rPr>
          <w:rFonts w:ascii="Times New Roman" w:hAnsi="Times New Roman" w:cs="Times New Roman"/>
        </w:rPr>
        <w:t xml:space="preserve"> hetes időtartamban, a Magyar Honvédség kijelölt katonai szervezeteinél, </w:t>
      </w:r>
      <w:r>
        <w:rPr>
          <w:rFonts w:ascii="Times New Roman" w:hAnsi="Times New Roman" w:cs="Times New Roman"/>
        </w:rPr>
        <w:t xml:space="preserve">a </w:t>
      </w:r>
      <w:r w:rsidRPr="00B16F17">
        <w:rPr>
          <w:rFonts w:ascii="Times New Roman" w:hAnsi="Times New Roman" w:cs="Times New Roman"/>
        </w:rPr>
        <w:t xml:space="preserve">szaknak, illetve </w:t>
      </w:r>
      <w:r>
        <w:rPr>
          <w:rFonts w:ascii="Times New Roman" w:hAnsi="Times New Roman" w:cs="Times New Roman"/>
        </w:rPr>
        <w:t xml:space="preserve">a </w:t>
      </w:r>
      <w:r w:rsidRPr="00B16F17">
        <w:rPr>
          <w:rFonts w:ascii="Times New Roman" w:hAnsi="Times New Roman" w:cs="Times New Roman"/>
        </w:rPr>
        <w:t xml:space="preserve">specializációnak megfelelő feladattal hajtják végre. </w:t>
      </w:r>
    </w:p>
    <w:p w:rsidR="00B16F17" w:rsidRDefault="00B16F17" w:rsidP="00B16F17">
      <w:pPr>
        <w:spacing w:after="0" w:line="240" w:lineRule="auto"/>
        <w:jc w:val="both"/>
        <w:rPr>
          <w:rFonts w:ascii="Times New Roman" w:hAnsi="Times New Roman" w:cs="Times New Roman"/>
        </w:rPr>
      </w:pPr>
      <w:r w:rsidRPr="00B16F17">
        <w:rPr>
          <w:rFonts w:ascii="Times New Roman" w:hAnsi="Times New Roman" w:cs="Times New Roman"/>
        </w:rPr>
        <w:t xml:space="preserve">A második szakmai gyakorlatot az alapképzés 7. szemeszterében, </w:t>
      </w:r>
      <w:r>
        <w:rPr>
          <w:rFonts w:ascii="Times New Roman" w:hAnsi="Times New Roman" w:cs="Times New Roman"/>
        </w:rPr>
        <w:t>három</w:t>
      </w:r>
      <w:r w:rsidRPr="00B16F17">
        <w:rPr>
          <w:rFonts w:ascii="Times New Roman" w:hAnsi="Times New Roman" w:cs="Times New Roman"/>
        </w:rPr>
        <w:t xml:space="preserve"> hetes időtartamban, </w:t>
      </w:r>
      <w:r>
        <w:rPr>
          <w:rFonts w:ascii="Times New Roman" w:hAnsi="Times New Roman" w:cs="Times New Roman"/>
        </w:rPr>
        <w:t xml:space="preserve">a specializációnak megfeleleő </w:t>
      </w:r>
      <w:r w:rsidRPr="00B16F17">
        <w:rPr>
          <w:rFonts w:ascii="Times New Roman" w:hAnsi="Times New Roman" w:cs="Times New Roman"/>
        </w:rPr>
        <w:t>feladattal</w:t>
      </w:r>
      <w:r>
        <w:rPr>
          <w:rFonts w:ascii="Times New Roman" w:hAnsi="Times New Roman" w:cs="Times New Roman"/>
        </w:rPr>
        <w:t>,</w:t>
      </w:r>
      <w:r w:rsidRPr="00B16F17">
        <w:rPr>
          <w:rFonts w:ascii="Times New Roman" w:hAnsi="Times New Roman" w:cs="Times New Roman"/>
        </w:rPr>
        <w:t xml:space="preserve"> kat</w:t>
      </w:r>
      <w:r>
        <w:rPr>
          <w:rFonts w:ascii="Times New Roman" w:hAnsi="Times New Roman" w:cs="Times New Roman"/>
        </w:rPr>
        <w:t>onai szervezetnél hajtják végre</w:t>
      </w:r>
      <w:r w:rsidRPr="00B16F17">
        <w:rPr>
          <w:rFonts w:ascii="Times New Roman" w:hAnsi="Times New Roman" w:cs="Times New Roman"/>
        </w:rPr>
        <w:t xml:space="preserve">.  </w:t>
      </w:r>
    </w:p>
    <w:p w:rsidR="00B16F17" w:rsidRPr="00B16F17" w:rsidRDefault="00B16F17" w:rsidP="00B16F17">
      <w:pPr>
        <w:spacing w:after="0" w:line="240" w:lineRule="auto"/>
        <w:jc w:val="both"/>
        <w:rPr>
          <w:rFonts w:ascii="Times New Roman" w:hAnsi="Times New Roman" w:cs="Times New Roman"/>
        </w:rPr>
      </w:pPr>
      <w:r w:rsidRPr="00B16F17">
        <w:rPr>
          <w:rFonts w:ascii="Times New Roman" w:hAnsi="Times New Roman" w:cs="Times New Roman"/>
        </w:rPr>
        <w:t>A harmadik szakmai gyakorlat az alapké</w:t>
      </w:r>
      <w:r>
        <w:rPr>
          <w:rFonts w:ascii="Times New Roman" w:hAnsi="Times New Roman" w:cs="Times New Roman"/>
        </w:rPr>
        <w:t>pzés 8. szemeszterében történik Az</w:t>
      </w:r>
      <w:r w:rsidRPr="00B16F17">
        <w:rPr>
          <w:rFonts w:ascii="Times New Roman" w:hAnsi="Times New Roman" w:cs="Times New Roman"/>
        </w:rPr>
        <w:t xml:space="preserve"> egybefüggő </w:t>
      </w:r>
      <w:r>
        <w:rPr>
          <w:rFonts w:ascii="Times New Roman" w:hAnsi="Times New Roman" w:cs="Times New Roman"/>
        </w:rPr>
        <w:t>8</w:t>
      </w:r>
      <w:r w:rsidRPr="00B16F17">
        <w:rPr>
          <w:rFonts w:ascii="Times New Roman" w:hAnsi="Times New Roman" w:cs="Times New Roman"/>
        </w:rPr>
        <w:t xml:space="preserve"> hetes szakmai gyakorlatot az első tiszti</w:t>
      </w:r>
      <w:r>
        <w:rPr>
          <w:rFonts w:ascii="Times New Roman" w:hAnsi="Times New Roman" w:cs="Times New Roman"/>
        </w:rPr>
        <w:t xml:space="preserve"> beosztásra való felkészítés érdekében, lehetőség szerint annál az alakulatnál kell végrehajtani, ahol az első tiszti beosztását tervezik</w:t>
      </w:r>
      <w:r w:rsidRPr="00B16F17">
        <w:rPr>
          <w:rFonts w:ascii="Times New Roman" w:hAnsi="Times New Roman" w:cs="Times New Roman"/>
        </w:rPr>
        <w:t>.</w:t>
      </w:r>
    </w:p>
    <w:p w:rsidR="008B31E6" w:rsidRDefault="008B31E6" w:rsidP="008B31E6">
      <w:pPr>
        <w:spacing w:after="0" w:line="240" w:lineRule="auto"/>
        <w:rPr>
          <w:rFonts w:ascii="Times New Roman" w:hAnsi="Times New Roman" w:cs="Times New Roman"/>
        </w:rPr>
      </w:pPr>
    </w:p>
    <w:p w:rsidR="008B31E6" w:rsidRDefault="008B31E6" w:rsidP="00026DC6">
      <w:pPr>
        <w:pStyle w:val="Cmsor1"/>
        <w:spacing w:after="120"/>
        <w:rPr>
          <w:rFonts w:eastAsia="Calibri"/>
          <w:i w:val="0"/>
          <w:sz w:val="22"/>
          <w:szCs w:val="22"/>
          <w:u w:val="none"/>
        </w:rPr>
      </w:pPr>
      <w:bookmarkStart w:id="46" w:name="_Toc37240842"/>
      <w:bookmarkEnd w:id="45"/>
      <w:r>
        <w:rPr>
          <w:rFonts w:eastAsia="Calibri"/>
          <w:i w:val="0"/>
          <w:sz w:val="22"/>
          <w:szCs w:val="22"/>
          <w:u w:val="none"/>
        </w:rPr>
        <w:t xml:space="preserve">16. A </w:t>
      </w:r>
      <w:r w:rsidRPr="00026DC6">
        <w:rPr>
          <w:i w:val="0"/>
          <w:sz w:val="22"/>
          <w:szCs w:val="22"/>
          <w:u w:val="none"/>
        </w:rPr>
        <w:t>külföldi</w:t>
      </w:r>
      <w:r>
        <w:rPr>
          <w:rFonts w:eastAsia="Calibri"/>
          <w:i w:val="0"/>
          <w:sz w:val="22"/>
          <w:szCs w:val="22"/>
          <w:u w:val="none"/>
        </w:rPr>
        <w:t xml:space="preserve"> részképzés céljából nemzetközi hallgatói mobilitásra felhasználható időszak (mobilitási ablak)</w:t>
      </w:r>
      <w:bookmarkEnd w:id="46"/>
    </w:p>
    <w:p w:rsidR="002903FF" w:rsidRDefault="002903FF" w:rsidP="002903FF">
      <w:pPr>
        <w:spacing w:before="60" w:after="60" w:line="240" w:lineRule="auto"/>
        <w:jc w:val="both"/>
        <w:rPr>
          <w:rFonts w:ascii="Times New Roman" w:eastAsia="Calibri" w:hAnsi="Times New Roman" w:cs="Times New Roman"/>
        </w:rPr>
      </w:pPr>
      <w:r>
        <w:rPr>
          <w:rFonts w:ascii="Times New Roman" w:eastAsia="Calibri" w:hAnsi="Times New Roman" w:cs="Times New Roman"/>
        </w:rPr>
        <w:t>A Katonai logisztika</w:t>
      </w:r>
      <w:r w:rsidRPr="000B4D34">
        <w:rPr>
          <w:rFonts w:ascii="Times New Roman" w:eastAsia="Calibri" w:hAnsi="Times New Roman" w:cs="Times New Roman"/>
        </w:rPr>
        <w:t xml:space="preserve"> </w:t>
      </w:r>
      <w:r>
        <w:rPr>
          <w:rFonts w:ascii="Times New Roman" w:eastAsia="Calibri" w:hAnsi="Times New Roman" w:cs="Times New Roman"/>
        </w:rPr>
        <w:t xml:space="preserve">alapképzési </w:t>
      </w:r>
      <w:r w:rsidRPr="000B4D34">
        <w:rPr>
          <w:rFonts w:ascii="Times New Roman" w:eastAsia="Calibri" w:hAnsi="Times New Roman" w:cs="Times New Roman"/>
        </w:rPr>
        <w:t xml:space="preserve">szak </w:t>
      </w:r>
      <w:r>
        <w:rPr>
          <w:rFonts w:ascii="Times New Roman" w:eastAsia="Calibri" w:hAnsi="Times New Roman" w:cs="Times New Roman"/>
        </w:rPr>
        <w:t>mind a négy specializációján</w:t>
      </w:r>
      <w:r w:rsidRPr="000B4D34">
        <w:rPr>
          <w:rFonts w:ascii="Times New Roman" w:eastAsia="Calibri" w:hAnsi="Times New Roman" w:cs="Times New Roman"/>
        </w:rPr>
        <w:t xml:space="preserve"> tanulmányokat folyató hallgatók számára lehetőséget </w:t>
      </w:r>
      <w:r>
        <w:rPr>
          <w:rFonts w:ascii="Times New Roman" w:eastAsia="Calibri" w:hAnsi="Times New Roman" w:cs="Times New Roman"/>
        </w:rPr>
        <w:t>biztosítunk</w:t>
      </w:r>
      <w:r w:rsidRPr="000B4D34">
        <w:rPr>
          <w:rFonts w:ascii="Times New Roman" w:eastAsia="Calibri" w:hAnsi="Times New Roman" w:cs="Times New Roman"/>
        </w:rPr>
        <w:t xml:space="preserve"> – elsősorban – az ERASMUS+ nemzetközi hallgatói mobilitási programokba történő csatlakozásra. A program a külföldi szakmai kapcsolatok kiépítésére és ápolására ösztöndíjat juttat azoknak a hallgatóknak, akik beszélnek idegen nyelveket és kiemelkedő teljesítményt mutatnak fel. A szakon a hallgatói mobilitás is fontos cél melyet kommunikálunk az oktatóink felé is, az oktatók támogató hozzáállásának biztosítása (ösztönzés, vizsgakövetelmények formálása, tanulmányok beszámítása) érdekében. Az Erasmus+ program az egyetemek közötti kétoldalú egyezmények újra kötésével jár, így az elérhető partnerintézmények listája folyamatosan bővül.</w:t>
      </w:r>
    </w:p>
    <w:p w:rsidR="008B31E6" w:rsidRDefault="008B31E6" w:rsidP="008B31E6">
      <w:pPr>
        <w:spacing w:before="60" w:after="60" w:line="240" w:lineRule="auto"/>
        <w:jc w:val="both"/>
        <w:rPr>
          <w:rFonts w:ascii="Times New Roman" w:eastAsia="Calibri" w:hAnsi="Times New Roman" w:cs="Times New Roman"/>
        </w:rPr>
      </w:pPr>
      <w:r>
        <w:rPr>
          <w:rFonts w:ascii="Times New Roman" w:eastAsia="Calibri" w:hAnsi="Times New Roman" w:cs="Times New Roman"/>
        </w:rPr>
        <w:lastRenderedPageBreak/>
        <w:t>A szak nem tartalmaz kötött mobilitási ablakot, a honvéd tisztjelöltek a 4. szemesztertől bármelyik szemeszterben részt vehetnek külföldi részképzésen.</w:t>
      </w:r>
    </w:p>
    <w:p w:rsidR="008B31E6" w:rsidRDefault="008B31E6" w:rsidP="00026DC6">
      <w:pPr>
        <w:pStyle w:val="Cmsor1"/>
        <w:spacing w:after="120"/>
        <w:rPr>
          <w:rFonts w:eastAsia="Calibri"/>
          <w:i w:val="0"/>
          <w:sz w:val="22"/>
          <w:szCs w:val="22"/>
          <w:u w:val="none"/>
        </w:rPr>
      </w:pPr>
      <w:bookmarkStart w:id="47" w:name="_Toc37240843"/>
      <w:r>
        <w:rPr>
          <w:rFonts w:eastAsia="Calibri"/>
          <w:i w:val="0"/>
          <w:sz w:val="22"/>
          <w:szCs w:val="22"/>
          <w:u w:val="none"/>
        </w:rPr>
        <w:t>17. További szakspecifikus követelmények</w:t>
      </w:r>
      <w:bookmarkEnd w:id="47"/>
    </w:p>
    <w:p w:rsidR="008B31E6" w:rsidRPr="00026DC6" w:rsidRDefault="008B31E6" w:rsidP="008B31E6">
      <w:pPr>
        <w:spacing w:before="60" w:after="60" w:line="240" w:lineRule="auto"/>
        <w:jc w:val="both"/>
        <w:rPr>
          <w:rFonts w:ascii="Times New Roman" w:eastAsia="Calibri" w:hAnsi="Times New Roman" w:cs="Times New Roman"/>
          <w:b/>
          <w:i/>
        </w:rPr>
      </w:pPr>
      <w:r w:rsidRPr="00026DC6">
        <w:rPr>
          <w:rFonts w:ascii="Times New Roman" w:eastAsia="Calibri" w:hAnsi="Times New Roman" w:cs="Times New Roman"/>
          <w:b/>
          <w:i/>
        </w:rPr>
        <w:t>17.1. Szakirány</w:t>
      </w:r>
      <w:r w:rsidR="00026DC6">
        <w:rPr>
          <w:rFonts w:ascii="Times New Roman" w:eastAsia="Calibri" w:hAnsi="Times New Roman" w:cs="Times New Roman"/>
          <w:b/>
          <w:i/>
        </w:rPr>
        <w:t xml:space="preserve"> (specializáció) </w:t>
      </w:r>
      <w:r w:rsidRPr="00026DC6">
        <w:rPr>
          <w:rFonts w:ascii="Times New Roman" w:eastAsia="Calibri" w:hAnsi="Times New Roman" w:cs="Times New Roman"/>
          <w:b/>
          <w:i/>
        </w:rPr>
        <w:t>választás feltételei</w:t>
      </w:r>
    </w:p>
    <w:p w:rsidR="002903FF" w:rsidRDefault="002903FF" w:rsidP="002903FF">
      <w:pPr>
        <w:spacing w:before="60" w:after="60" w:line="240" w:lineRule="auto"/>
        <w:jc w:val="both"/>
        <w:rPr>
          <w:rFonts w:ascii="Times New Roman" w:eastAsia="Calibri" w:hAnsi="Times New Roman" w:cs="Times New Roman"/>
        </w:rPr>
      </w:pPr>
      <w:r w:rsidRPr="002903FF">
        <w:rPr>
          <w:rFonts w:ascii="Times New Roman" w:eastAsia="Calibri" w:hAnsi="Times New Roman" w:cs="Times New Roman"/>
        </w:rPr>
        <w:t xml:space="preserve">A szak hallgatói a 4. félévet követően választanak specializációt. A specializáció választás a szak hallgatói között kialakított rangsor alapján történik. Az évfolyamrangsor a honvéd tisztjelöltek összesített (tanulmányi, fizikai, katonai, egyéb) pontjainak összehasonlítása során állapítható meg. A specializációra történő sorolás – a meghatározott beiskolázási létszámkeretek feltöltéséig – a rangsorban betöltött helyezések alapján történik, a megrendelő igényeire való tekintettel. </w:t>
      </w:r>
    </w:p>
    <w:p w:rsidR="002903FF" w:rsidRPr="0032678B" w:rsidRDefault="002903FF" w:rsidP="002903FF">
      <w:pPr>
        <w:spacing w:before="60" w:after="60" w:line="240" w:lineRule="auto"/>
        <w:jc w:val="both"/>
        <w:rPr>
          <w:rFonts w:ascii="Times New Roman" w:eastAsia="Calibri" w:hAnsi="Times New Roman" w:cs="Times New Roman"/>
        </w:rPr>
      </w:pPr>
      <w:r w:rsidRPr="002903FF">
        <w:rPr>
          <w:rFonts w:ascii="Times New Roman" w:eastAsia="Calibri" w:hAnsi="Times New Roman" w:cs="Times New Roman"/>
        </w:rPr>
        <w:t>Az évfolyamrangsort a Hallgatói Önkormányzat állítja össze.</w:t>
      </w:r>
    </w:p>
    <w:p w:rsidR="002903FF" w:rsidRDefault="002903FF" w:rsidP="008B31E6">
      <w:pPr>
        <w:spacing w:before="60" w:after="60" w:line="240" w:lineRule="auto"/>
        <w:jc w:val="both"/>
        <w:rPr>
          <w:rFonts w:ascii="Times New Roman" w:eastAsia="Calibri" w:hAnsi="Times New Roman" w:cs="Times New Roman"/>
          <w:i/>
          <w:highlight w:val="lightGray"/>
        </w:rPr>
      </w:pPr>
    </w:p>
    <w:p w:rsidR="008B31E6" w:rsidRPr="00A7284D" w:rsidRDefault="008B31E6" w:rsidP="008B31E6">
      <w:pPr>
        <w:spacing w:after="0" w:line="240" w:lineRule="auto"/>
        <w:jc w:val="both"/>
        <w:rPr>
          <w:rFonts w:ascii="Times New Roman" w:hAnsi="Times New Roman" w:cs="Times New Roman"/>
          <w:b/>
          <w:i/>
        </w:rPr>
      </w:pPr>
      <w:r w:rsidRPr="00A7284D">
        <w:rPr>
          <w:rFonts w:ascii="Times New Roman" w:hAnsi="Times New Roman" w:cs="Times New Roman"/>
          <w:b/>
          <w:i/>
        </w:rPr>
        <w:t>17.2. Kritériumkövetelmények</w:t>
      </w:r>
    </w:p>
    <w:p w:rsidR="008B31E6" w:rsidRPr="00A7284D" w:rsidRDefault="008B31E6" w:rsidP="00980876">
      <w:pPr>
        <w:pStyle w:val="Listaszerbekezds"/>
        <w:numPr>
          <w:ilvl w:val="0"/>
          <w:numId w:val="609"/>
        </w:numPr>
        <w:spacing w:after="0" w:line="240" w:lineRule="auto"/>
        <w:jc w:val="both"/>
        <w:rPr>
          <w:rFonts w:ascii="Times New Roman" w:hAnsi="Times New Roman" w:cs="Times New Roman"/>
          <w:i/>
        </w:rPr>
      </w:pPr>
      <w:r w:rsidRPr="00A7284D">
        <w:rPr>
          <w:rFonts w:ascii="Times New Roman" w:hAnsi="Times New Roman" w:cs="Times New Roman"/>
          <w:i/>
        </w:rPr>
        <w:t>HKISZLA101 Szakmai angol 1 (katonai)</w:t>
      </w:r>
      <w:r w:rsidRPr="00A7284D">
        <w:rPr>
          <w:rFonts w:ascii="Times New Roman" w:hAnsi="Times New Roman" w:cs="Times New Roman"/>
          <w:i/>
        </w:rPr>
        <w:tab/>
        <w:t xml:space="preserve"> </w:t>
      </w:r>
    </w:p>
    <w:p w:rsidR="008B31E6" w:rsidRPr="00A7284D" w:rsidRDefault="008B31E6" w:rsidP="00980876">
      <w:pPr>
        <w:pStyle w:val="Listaszerbekezds"/>
        <w:numPr>
          <w:ilvl w:val="0"/>
          <w:numId w:val="609"/>
        </w:numPr>
        <w:spacing w:after="0" w:line="240" w:lineRule="auto"/>
        <w:jc w:val="both"/>
        <w:rPr>
          <w:rFonts w:ascii="Times New Roman" w:hAnsi="Times New Roman" w:cs="Times New Roman"/>
          <w:i/>
        </w:rPr>
      </w:pPr>
      <w:r w:rsidRPr="00A7284D">
        <w:rPr>
          <w:rFonts w:ascii="Times New Roman" w:hAnsi="Times New Roman" w:cs="Times New Roman"/>
          <w:i/>
        </w:rPr>
        <w:t>HKISZLA10</w:t>
      </w:r>
      <w:r>
        <w:rPr>
          <w:rFonts w:ascii="Times New Roman" w:hAnsi="Times New Roman" w:cs="Times New Roman"/>
          <w:i/>
        </w:rPr>
        <w:t>2</w:t>
      </w:r>
      <w:r w:rsidRPr="00A7284D">
        <w:rPr>
          <w:rFonts w:ascii="Times New Roman" w:hAnsi="Times New Roman" w:cs="Times New Roman"/>
          <w:i/>
        </w:rPr>
        <w:t xml:space="preserve"> Szakmai angol 2 (katonai)</w:t>
      </w:r>
      <w:r w:rsidRPr="00A7284D">
        <w:rPr>
          <w:rFonts w:ascii="Times New Roman" w:hAnsi="Times New Roman" w:cs="Times New Roman"/>
          <w:i/>
        </w:rPr>
        <w:tab/>
        <w:t xml:space="preserve"> </w:t>
      </w:r>
    </w:p>
    <w:p w:rsidR="008B31E6" w:rsidRPr="00A7284D" w:rsidRDefault="008B31E6" w:rsidP="00980876">
      <w:pPr>
        <w:pStyle w:val="Listaszerbekezds"/>
        <w:numPr>
          <w:ilvl w:val="0"/>
          <w:numId w:val="609"/>
        </w:numPr>
        <w:spacing w:after="0" w:line="240" w:lineRule="auto"/>
        <w:jc w:val="both"/>
        <w:rPr>
          <w:rFonts w:ascii="Times New Roman" w:hAnsi="Times New Roman" w:cs="Times New Roman"/>
          <w:i/>
        </w:rPr>
      </w:pPr>
      <w:r w:rsidRPr="00A7284D">
        <w:rPr>
          <w:rFonts w:ascii="Times New Roman" w:hAnsi="Times New Roman" w:cs="Times New Roman"/>
          <w:i/>
        </w:rPr>
        <w:t>HKISZLA201 Szakmai angol 3 (katonai)</w:t>
      </w:r>
      <w:r w:rsidRPr="00A7284D">
        <w:rPr>
          <w:rFonts w:ascii="Times New Roman" w:hAnsi="Times New Roman" w:cs="Times New Roman"/>
          <w:i/>
        </w:rPr>
        <w:tab/>
        <w:t xml:space="preserve"> </w:t>
      </w:r>
    </w:p>
    <w:p w:rsidR="008B31E6" w:rsidRDefault="008B31E6" w:rsidP="00980876">
      <w:pPr>
        <w:pStyle w:val="Listaszerbekezds"/>
        <w:numPr>
          <w:ilvl w:val="0"/>
          <w:numId w:val="609"/>
        </w:numPr>
        <w:spacing w:after="0" w:line="240" w:lineRule="auto"/>
        <w:jc w:val="both"/>
        <w:rPr>
          <w:rFonts w:ascii="Times New Roman" w:hAnsi="Times New Roman" w:cs="Times New Roman"/>
          <w:i/>
        </w:rPr>
      </w:pPr>
      <w:r w:rsidRPr="00A7284D">
        <w:rPr>
          <w:rFonts w:ascii="Times New Roman" w:hAnsi="Times New Roman" w:cs="Times New Roman"/>
          <w:i/>
        </w:rPr>
        <w:t>HKISZLA202 Szakmai angol 4 (katonai)</w:t>
      </w:r>
    </w:p>
    <w:p w:rsidR="008B31E6" w:rsidRDefault="008B31E6" w:rsidP="00980876">
      <w:pPr>
        <w:pStyle w:val="Listaszerbekezds"/>
        <w:numPr>
          <w:ilvl w:val="0"/>
          <w:numId w:val="609"/>
        </w:numPr>
        <w:spacing w:after="0" w:line="240" w:lineRule="auto"/>
        <w:jc w:val="both"/>
        <w:rPr>
          <w:rFonts w:ascii="Times New Roman" w:hAnsi="Times New Roman" w:cs="Times New Roman"/>
          <w:i/>
        </w:rPr>
      </w:pPr>
      <w:r w:rsidRPr="00A7284D">
        <w:rPr>
          <w:rFonts w:ascii="Times New Roman" w:hAnsi="Times New Roman" w:cs="Times New Roman"/>
          <w:i/>
        </w:rPr>
        <w:t>HKISZLA</w:t>
      </w:r>
      <w:r>
        <w:rPr>
          <w:rFonts w:ascii="Times New Roman" w:hAnsi="Times New Roman" w:cs="Times New Roman"/>
          <w:i/>
        </w:rPr>
        <w:t>3</w:t>
      </w:r>
      <w:r w:rsidRPr="00A7284D">
        <w:rPr>
          <w:rFonts w:ascii="Times New Roman" w:hAnsi="Times New Roman" w:cs="Times New Roman"/>
          <w:i/>
        </w:rPr>
        <w:t>0</w:t>
      </w:r>
      <w:r>
        <w:rPr>
          <w:rFonts w:ascii="Times New Roman" w:hAnsi="Times New Roman" w:cs="Times New Roman"/>
          <w:i/>
        </w:rPr>
        <w:t>1</w:t>
      </w:r>
      <w:r w:rsidRPr="00A7284D">
        <w:rPr>
          <w:rFonts w:ascii="Times New Roman" w:hAnsi="Times New Roman" w:cs="Times New Roman"/>
          <w:i/>
        </w:rPr>
        <w:t xml:space="preserve"> Szakmai angol </w:t>
      </w:r>
      <w:r>
        <w:rPr>
          <w:rFonts w:ascii="Times New Roman" w:hAnsi="Times New Roman" w:cs="Times New Roman"/>
          <w:i/>
        </w:rPr>
        <w:t>5</w:t>
      </w:r>
      <w:r w:rsidRPr="00A7284D">
        <w:rPr>
          <w:rFonts w:ascii="Times New Roman" w:hAnsi="Times New Roman" w:cs="Times New Roman"/>
          <w:i/>
        </w:rPr>
        <w:t xml:space="preserve"> (katonai)</w:t>
      </w:r>
    </w:p>
    <w:p w:rsidR="008B31E6" w:rsidRDefault="008B31E6" w:rsidP="00980876">
      <w:pPr>
        <w:pStyle w:val="Listaszerbekezds"/>
        <w:numPr>
          <w:ilvl w:val="0"/>
          <w:numId w:val="609"/>
        </w:numPr>
        <w:spacing w:after="0" w:line="240" w:lineRule="auto"/>
        <w:jc w:val="both"/>
        <w:rPr>
          <w:rFonts w:ascii="Times New Roman" w:hAnsi="Times New Roman" w:cs="Times New Roman"/>
          <w:i/>
        </w:rPr>
      </w:pPr>
      <w:r w:rsidRPr="00A7284D">
        <w:rPr>
          <w:rFonts w:ascii="Times New Roman" w:hAnsi="Times New Roman" w:cs="Times New Roman"/>
          <w:i/>
        </w:rPr>
        <w:t>HKISZLA</w:t>
      </w:r>
      <w:r>
        <w:rPr>
          <w:rFonts w:ascii="Times New Roman" w:hAnsi="Times New Roman" w:cs="Times New Roman"/>
          <w:i/>
        </w:rPr>
        <w:t>3</w:t>
      </w:r>
      <w:r w:rsidRPr="00A7284D">
        <w:rPr>
          <w:rFonts w:ascii="Times New Roman" w:hAnsi="Times New Roman" w:cs="Times New Roman"/>
          <w:i/>
        </w:rPr>
        <w:t xml:space="preserve">02 Szakmai angol </w:t>
      </w:r>
      <w:r>
        <w:rPr>
          <w:rFonts w:ascii="Times New Roman" w:hAnsi="Times New Roman" w:cs="Times New Roman"/>
          <w:i/>
        </w:rPr>
        <w:t>6</w:t>
      </w:r>
      <w:r w:rsidRPr="00A7284D">
        <w:rPr>
          <w:rFonts w:ascii="Times New Roman" w:hAnsi="Times New Roman" w:cs="Times New Roman"/>
          <w:i/>
        </w:rPr>
        <w:t xml:space="preserve"> (katonai)</w:t>
      </w:r>
    </w:p>
    <w:p w:rsidR="008B31E6" w:rsidRPr="00A7284D" w:rsidRDefault="00371203" w:rsidP="00980876">
      <w:pPr>
        <w:pStyle w:val="Listaszerbekezds"/>
        <w:numPr>
          <w:ilvl w:val="0"/>
          <w:numId w:val="609"/>
        </w:numPr>
        <w:spacing w:after="0" w:line="240" w:lineRule="auto"/>
        <w:jc w:val="both"/>
        <w:rPr>
          <w:rFonts w:ascii="Times New Roman" w:hAnsi="Times New Roman" w:cs="Times New Roman"/>
          <w:i/>
        </w:rPr>
      </w:pPr>
      <w:r>
        <w:rPr>
          <w:rFonts w:ascii="Times New Roman" w:hAnsi="Times New Roman" w:cs="Times New Roman"/>
          <w:i/>
        </w:rPr>
        <w:t>HKKTSA08 Katonai t</w:t>
      </w:r>
      <w:r w:rsidR="008B31E6" w:rsidRPr="00A7284D">
        <w:rPr>
          <w:rFonts w:ascii="Times New Roman" w:hAnsi="Times New Roman" w:cs="Times New Roman"/>
          <w:i/>
        </w:rPr>
        <w:t>estnevelés VIII.</w:t>
      </w:r>
    </w:p>
    <w:p w:rsidR="008B31E6" w:rsidRPr="00A7284D" w:rsidRDefault="008B31E6" w:rsidP="00980876">
      <w:pPr>
        <w:pStyle w:val="Listaszerbekezds"/>
        <w:numPr>
          <w:ilvl w:val="0"/>
          <w:numId w:val="609"/>
        </w:numPr>
        <w:spacing w:after="0" w:line="240" w:lineRule="auto"/>
        <w:jc w:val="both"/>
        <w:rPr>
          <w:rFonts w:ascii="Times New Roman" w:hAnsi="Times New Roman" w:cs="Times New Roman"/>
          <w:i/>
        </w:rPr>
      </w:pPr>
      <w:r w:rsidRPr="00A7284D">
        <w:rPr>
          <w:rFonts w:ascii="Times New Roman" w:hAnsi="Times New Roman" w:cs="Times New Roman"/>
          <w:i/>
        </w:rPr>
        <w:t>HKHPKA20 Szakmai Gyakorlat.</w:t>
      </w:r>
    </w:p>
    <w:p w:rsidR="008B31E6" w:rsidRPr="00A7284D" w:rsidRDefault="008B31E6" w:rsidP="00980876">
      <w:pPr>
        <w:pStyle w:val="Listaszerbekezds"/>
        <w:numPr>
          <w:ilvl w:val="0"/>
          <w:numId w:val="609"/>
        </w:numPr>
        <w:spacing w:after="0" w:line="240" w:lineRule="auto"/>
        <w:jc w:val="both"/>
        <w:rPr>
          <w:rFonts w:ascii="Times New Roman" w:hAnsi="Times New Roman" w:cs="Times New Roman"/>
          <w:i/>
        </w:rPr>
      </w:pPr>
      <w:r w:rsidRPr="00A7284D">
        <w:rPr>
          <w:rFonts w:ascii="Times New Roman" w:hAnsi="Times New Roman" w:cs="Times New Roman"/>
          <w:i/>
        </w:rPr>
        <w:t>VKMTB91 Elsősegélynyújtás</w:t>
      </w:r>
      <w:r w:rsidRPr="00A7284D">
        <w:rPr>
          <w:rFonts w:ascii="Times New Roman" w:hAnsi="Times New Roman" w:cs="Times New Roman"/>
          <w:i/>
        </w:rPr>
        <w:tab/>
      </w:r>
      <w:r w:rsidRPr="00A7284D">
        <w:rPr>
          <w:rFonts w:ascii="Times New Roman" w:hAnsi="Times New Roman" w:cs="Times New Roman"/>
          <w:i/>
        </w:rPr>
        <w:tab/>
      </w:r>
    </w:p>
    <w:p w:rsidR="008B31E6" w:rsidRDefault="008B31E6" w:rsidP="008B31E6">
      <w:pPr>
        <w:spacing w:after="0" w:line="240" w:lineRule="auto"/>
        <w:jc w:val="both"/>
        <w:rPr>
          <w:rFonts w:ascii="Times New Roman" w:hAnsi="Times New Roman" w:cs="Times New Roman"/>
          <w:i/>
        </w:rPr>
      </w:pPr>
    </w:p>
    <w:p w:rsidR="008B31E6" w:rsidRPr="00026DC6" w:rsidRDefault="008B31E6" w:rsidP="008B31E6">
      <w:pPr>
        <w:spacing w:after="0" w:line="240" w:lineRule="auto"/>
        <w:jc w:val="both"/>
        <w:rPr>
          <w:rFonts w:ascii="Times New Roman" w:hAnsi="Times New Roman" w:cs="Times New Roman"/>
          <w:b/>
          <w:i/>
        </w:rPr>
      </w:pPr>
      <w:r w:rsidRPr="00026DC6">
        <w:rPr>
          <w:rFonts w:ascii="Times New Roman" w:hAnsi="Times New Roman" w:cs="Times New Roman"/>
          <w:b/>
          <w:i/>
        </w:rPr>
        <w:t>17.4. A képzésben alkalmazott sajátos oktatási-tanulási, tanulás-támogatási eszköztár, módszertan, eljárások</w:t>
      </w:r>
    </w:p>
    <w:p w:rsidR="008B31E6" w:rsidRPr="00026DC6" w:rsidRDefault="008B31E6" w:rsidP="008B31E6">
      <w:pPr>
        <w:spacing w:after="0" w:line="240" w:lineRule="auto"/>
        <w:rPr>
          <w:rFonts w:ascii="Times New Roman" w:hAnsi="Times New Roman" w:cs="Times New Roman"/>
          <w:b/>
          <w:i/>
        </w:rPr>
      </w:pPr>
    </w:p>
    <w:tbl>
      <w:tblPr>
        <w:tblW w:w="0" w:type="auto"/>
        <w:tblInd w:w="2" w:type="dxa"/>
        <w:tblLook w:val="01E0" w:firstRow="1" w:lastRow="1" w:firstColumn="1" w:lastColumn="1" w:noHBand="0" w:noVBand="0"/>
      </w:tblPr>
      <w:tblGrid>
        <w:gridCol w:w="3936"/>
        <w:gridCol w:w="5276"/>
      </w:tblGrid>
      <w:tr w:rsidR="008B31E6" w:rsidTr="00D9638D">
        <w:tc>
          <w:tcPr>
            <w:tcW w:w="3936" w:type="dxa"/>
            <w:hideMark/>
          </w:tcPr>
          <w:p w:rsidR="008B31E6" w:rsidRPr="00026DC6" w:rsidRDefault="008B31E6" w:rsidP="00D9638D">
            <w:pPr>
              <w:spacing w:after="0" w:line="240" w:lineRule="auto"/>
              <w:rPr>
                <w:rFonts w:ascii="Times New Roman" w:hAnsi="Times New Roman" w:cs="Times New Roman"/>
              </w:rPr>
            </w:pPr>
            <w:r w:rsidRPr="00026DC6">
              <w:rPr>
                <w:rFonts w:ascii="Times New Roman" w:hAnsi="Times New Roman" w:cs="Times New Roman"/>
              </w:rPr>
              <w:t>Budapest, 20</w:t>
            </w:r>
            <w:r w:rsidR="00026DC6">
              <w:rPr>
                <w:rFonts w:ascii="Times New Roman" w:hAnsi="Times New Roman" w:cs="Times New Roman"/>
              </w:rPr>
              <w:t>20. április 30.</w:t>
            </w:r>
          </w:p>
        </w:tc>
        <w:tc>
          <w:tcPr>
            <w:tcW w:w="5276" w:type="dxa"/>
          </w:tcPr>
          <w:p w:rsidR="008B31E6" w:rsidRPr="00026DC6" w:rsidRDefault="008B31E6" w:rsidP="00D9638D">
            <w:pPr>
              <w:spacing w:after="0" w:line="240" w:lineRule="auto"/>
              <w:jc w:val="center"/>
              <w:rPr>
                <w:rFonts w:ascii="Times New Roman" w:hAnsi="Times New Roman" w:cs="Times New Roman"/>
                <w:bCs/>
              </w:rPr>
            </w:pPr>
          </w:p>
          <w:p w:rsidR="008B31E6" w:rsidRPr="00026DC6" w:rsidRDefault="008B31E6" w:rsidP="00D9638D">
            <w:pPr>
              <w:spacing w:after="0" w:line="240" w:lineRule="auto"/>
              <w:jc w:val="center"/>
              <w:rPr>
                <w:rFonts w:ascii="Times New Roman" w:hAnsi="Times New Roman" w:cs="Times New Roman"/>
                <w:bCs/>
              </w:rPr>
            </w:pPr>
          </w:p>
          <w:p w:rsidR="002903FF" w:rsidRPr="00026DC6" w:rsidRDefault="002903FF" w:rsidP="00D9638D">
            <w:pPr>
              <w:spacing w:after="0" w:line="240" w:lineRule="auto"/>
              <w:jc w:val="center"/>
              <w:rPr>
                <w:rFonts w:ascii="Times New Roman" w:hAnsi="Times New Roman" w:cs="Times New Roman"/>
                <w:b/>
                <w:bCs/>
              </w:rPr>
            </w:pPr>
            <w:r w:rsidRPr="00026DC6">
              <w:rPr>
                <w:rFonts w:ascii="Times New Roman" w:hAnsi="Times New Roman" w:cs="Times New Roman"/>
                <w:b/>
                <w:bCs/>
              </w:rPr>
              <w:t>Dr. Szászi Gábor (PhD), egyetemi docens</w:t>
            </w:r>
          </w:p>
          <w:p w:rsidR="008B31E6" w:rsidRPr="002903FF" w:rsidRDefault="002903FF" w:rsidP="00D9638D">
            <w:pPr>
              <w:spacing w:after="0" w:line="240" w:lineRule="auto"/>
              <w:jc w:val="center"/>
              <w:rPr>
                <w:rFonts w:ascii="Times New Roman" w:hAnsi="Times New Roman" w:cs="Times New Roman"/>
                <w:bCs/>
              </w:rPr>
            </w:pPr>
            <w:r w:rsidRPr="00026DC6">
              <w:rPr>
                <w:rFonts w:ascii="Times New Roman" w:hAnsi="Times New Roman" w:cs="Times New Roman"/>
                <w:bCs/>
              </w:rPr>
              <w:t>szakfeleleős</w:t>
            </w:r>
          </w:p>
          <w:p w:rsidR="008B31E6" w:rsidRDefault="008B31E6" w:rsidP="00D9638D">
            <w:pPr>
              <w:spacing w:after="0" w:line="240" w:lineRule="auto"/>
              <w:rPr>
                <w:rFonts w:ascii="Times New Roman" w:hAnsi="Times New Roman" w:cs="Times New Roman"/>
              </w:rPr>
            </w:pPr>
          </w:p>
        </w:tc>
      </w:tr>
    </w:tbl>
    <w:p w:rsidR="00E90EF1" w:rsidRDefault="00E90EF1">
      <w:pPr>
        <w:spacing w:after="200" w:line="276" w:lineRule="auto"/>
      </w:pPr>
      <w:r>
        <w:br w:type="page"/>
      </w:r>
    </w:p>
    <w:p w:rsidR="00757384" w:rsidRDefault="00EB294E" w:rsidP="00EB294E">
      <w:pPr>
        <w:pStyle w:val="Cmsor1"/>
        <w:jc w:val="center"/>
        <w:rPr>
          <w:rFonts w:eastAsia="Calibri"/>
          <w:i w:val="0"/>
          <w:szCs w:val="22"/>
          <w:u w:val="none"/>
        </w:rPr>
      </w:pPr>
      <w:bookmarkStart w:id="48" w:name="_Toc37240844"/>
      <w:r w:rsidRPr="00EB294E">
        <w:rPr>
          <w:rFonts w:eastAsia="Calibri"/>
          <w:i w:val="0"/>
          <w:szCs w:val="22"/>
          <w:u w:val="none"/>
        </w:rPr>
        <w:lastRenderedPageBreak/>
        <w:t>A TANTÁRGYI PROGRAMOK LISTÁJA</w:t>
      </w:r>
      <w:bookmarkEnd w:id="48"/>
    </w:p>
    <w:p w:rsidR="00EB294E" w:rsidRPr="00EB294E" w:rsidRDefault="00EB294E" w:rsidP="00EB294E">
      <w:pPr>
        <w:rPr>
          <w:lang w:eastAsia="hu-HU"/>
        </w:rPr>
      </w:pPr>
    </w:p>
    <w:p w:rsidR="00E90EF1" w:rsidRPr="008906FA" w:rsidRDefault="00E90EF1" w:rsidP="00E90EF1">
      <w:pPr>
        <w:pStyle w:val="Listaszerbekezds"/>
        <w:numPr>
          <w:ilvl w:val="0"/>
          <w:numId w:val="1"/>
        </w:numPr>
        <w:rPr>
          <w:rFonts w:ascii="Times New Roman" w:hAnsi="Times New Roman" w:cs="Times New Roman"/>
          <w:b/>
          <w:sz w:val="24"/>
        </w:rPr>
      </w:pPr>
      <w:r w:rsidRPr="008906FA">
        <w:rPr>
          <w:rFonts w:ascii="Times New Roman" w:hAnsi="Times New Roman" w:cs="Times New Roman"/>
          <w:b/>
          <w:sz w:val="24"/>
        </w:rPr>
        <w:t>Törzsanyag</w:t>
      </w:r>
    </w:p>
    <w:p w:rsidR="00E90EF1" w:rsidRDefault="00E90EF1" w:rsidP="00E90EF1">
      <w:pPr>
        <w:pStyle w:val="Listaszerbekezds"/>
        <w:ind w:left="1080"/>
        <w:rPr>
          <w:rFonts w:ascii="Times New Roman" w:hAnsi="Times New Roman" w:cs="Times New Roman"/>
          <w:sz w:val="24"/>
        </w:rPr>
      </w:pPr>
    </w:p>
    <w:tbl>
      <w:tblPr>
        <w:tblW w:w="7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5676"/>
        <w:gridCol w:w="1990"/>
      </w:tblGrid>
      <w:tr w:rsidR="0010643F" w:rsidRPr="0010643F" w:rsidTr="00AE7853">
        <w:trPr>
          <w:trHeight w:val="315"/>
          <w:jc w:val="center"/>
        </w:trPr>
        <w:tc>
          <w:tcPr>
            <w:tcW w:w="5676" w:type="dxa"/>
            <w:shd w:val="clear" w:color="auto" w:fill="FFFFFF" w:themeFill="background1"/>
            <w:noWrap/>
            <w:vAlign w:val="bottom"/>
            <w:hideMark/>
          </w:tcPr>
          <w:p w:rsidR="0010643F" w:rsidRPr="0010643F" w:rsidRDefault="0010643F" w:rsidP="00AE7853">
            <w:pPr>
              <w:pStyle w:val="Listaszerbekezds"/>
              <w:numPr>
                <w:ilvl w:val="0"/>
                <w:numId w:val="2"/>
              </w:numPr>
              <w:spacing w:after="0" w:line="240" w:lineRule="auto"/>
              <w:ind w:left="645" w:hanging="437"/>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Katonai alapfelkészítés</w:t>
            </w:r>
          </w:p>
        </w:tc>
        <w:tc>
          <w:tcPr>
            <w:tcW w:w="1990" w:type="dxa"/>
            <w:shd w:val="clear" w:color="auto" w:fill="FFFFFF" w:themeFill="background1"/>
            <w:vAlign w:val="center"/>
          </w:tcPr>
          <w:p w:rsidR="0010643F" w:rsidRPr="0010643F" w:rsidRDefault="0010643F" w:rsidP="0010643F">
            <w:pPr>
              <w:spacing w:after="0" w:line="240" w:lineRule="auto"/>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HKÖMTA800</w:t>
            </w:r>
          </w:p>
        </w:tc>
      </w:tr>
      <w:tr w:rsidR="0010643F" w:rsidRPr="0010643F" w:rsidTr="00AE7853">
        <w:trPr>
          <w:trHeight w:val="315"/>
          <w:jc w:val="center"/>
        </w:trPr>
        <w:tc>
          <w:tcPr>
            <w:tcW w:w="5676" w:type="dxa"/>
            <w:shd w:val="clear" w:color="auto" w:fill="FFFFFF" w:themeFill="background1"/>
            <w:noWrap/>
            <w:vAlign w:val="bottom"/>
            <w:hideMark/>
          </w:tcPr>
          <w:p w:rsidR="0010643F" w:rsidRPr="0010643F" w:rsidRDefault="0010643F" w:rsidP="00AE7853">
            <w:pPr>
              <w:pStyle w:val="Listaszerbekezds"/>
              <w:numPr>
                <w:ilvl w:val="0"/>
                <w:numId w:val="2"/>
              </w:numPr>
              <w:spacing w:after="0" w:line="240" w:lineRule="auto"/>
              <w:ind w:left="645" w:hanging="437"/>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Szociológia</w:t>
            </w:r>
          </w:p>
        </w:tc>
        <w:tc>
          <w:tcPr>
            <w:tcW w:w="1990" w:type="dxa"/>
            <w:shd w:val="clear" w:color="auto" w:fill="FFFFFF" w:themeFill="background1"/>
            <w:vAlign w:val="center"/>
          </w:tcPr>
          <w:p w:rsidR="0010643F" w:rsidRPr="0010643F" w:rsidRDefault="0010643F" w:rsidP="0010643F">
            <w:pPr>
              <w:spacing w:after="0" w:line="240" w:lineRule="auto"/>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 xml:space="preserve">HKKVKA01 </w:t>
            </w:r>
          </w:p>
        </w:tc>
      </w:tr>
      <w:tr w:rsidR="0010643F" w:rsidRPr="0010643F" w:rsidTr="00AE7853">
        <w:trPr>
          <w:trHeight w:val="315"/>
          <w:jc w:val="center"/>
        </w:trPr>
        <w:tc>
          <w:tcPr>
            <w:tcW w:w="5676" w:type="dxa"/>
            <w:shd w:val="clear" w:color="auto" w:fill="FFFFFF" w:themeFill="background1"/>
            <w:noWrap/>
            <w:vAlign w:val="bottom"/>
            <w:hideMark/>
          </w:tcPr>
          <w:p w:rsidR="0010643F" w:rsidRPr="0010643F" w:rsidRDefault="0010643F" w:rsidP="00AE7853">
            <w:pPr>
              <w:pStyle w:val="Listaszerbekezds"/>
              <w:numPr>
                <w:ilvl w:val="0"/>
                <w:numId w:val="2"/>
              </w:numPr>
              <w:spacing w:after="0" w:line="240" w:lineRule="auto"/>
              <w:ind w:left="645" w:hanging="437"/>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 xml:space="preserve">Állam és kormányzás </w:t>
            </w:r>
          </w:p>
        </w:tc>
        <w:tc>
          <w:tcPr>
            <w:tcW w:w="1990" w:type="dxa"/>
            <w:shd w:val="clear" w:color="auto" w:fill="FFFFFF" w:themeFill="background1"/>
            <w:vAlign w:val="center"/>
          </w:tcPr>
          <w:p w:rsidR="0010643F" w:rsidRPr="0010643F" w:rsidRDefault="0010643F" w:rsidP="0010643F">
            <w:pPr>
              <w:spacing w:after="0" w:line="240" w:lineRule="auto"/>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ÁKKTB01</w:t>
            </w:r>
          </w:p>
        </w:tc>
      </w:tr>
      <w:tr w:rsidR="0010643F" w:rsidRPr="0010643F" w:rsidTr="00AE7853">
        <w:trPr>
          <w:trHeight w:val="315"/>
          <w:jc w:val="center"/>
        </w:trPr>
        <w:tc>
          <w:tcPr>
            <w:tcW w:w="5676" w:type="dxa"/>
            <w:shd w:val="clear" w:color="auto" w:fill="FFFFFF" w:themeFill="background1"/>
            <w:noWrap/>
            <w:vAlign w:val="bottom"/>
            <w:hideMark/>
          </w:tcPr>
          <w:p w:rsidR="0010643F" w:rsidRPr="0010643F" w:rsidRDefault="0010643F" w:rsidP="00AE7853">
            <w:pPr>
              <w:pStyle w:val="Listaszerbekezds"/>
              <w:numPr>
                <w:ilvl w:val="0"/>
                <w:numId w:val="2"/>
              </w:numPr>
              <w:spacing w:after="0" w:line="240" w:lineRule="auto"/>
              <w:ind w:left="645" w:hanging="437"/>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 xml:space="preserve">Rendészettudomány </w:t>
            </w:r>
          </w:p>
        </w:tc>
        <w:tc>
          <w:tcPr>
            <w:tcW w:w="1990" w:type="dxa"/>
            <w:shd w:val="clear" w:color="auto" w:fill="FFFFFF" w:themeFill="background1"/>
            <w:vAlign w:val="center"/>
          </w:tcPr>
          <w:p w:rsidR="0010643F" w:rsidRPr="0010643F" w:rsidRDefault="004D708E" w:rsidP="0010643F">
            <w:pPr>
              <w:spacing w:after="0" w:line="240" w:lineRule="auto"/>
              <w:rPr>
                <w:rFonts w:ascii="Times New Roman" w:eastAsia="Times New Roman" w:hAnsi="Times New Roman" w:cs="Times New Roman"/>
                <w:sz w:val="24"/>
                <w:szCs w:val="24"/>
                <w:lang w:eastAsia="hu-HU"/>
              </w:rPr>
            </w:pPr>
            <w:r w:rsidRPr="004D708E">
              <w:rPr>
                <w:rFonts w:ascii="Times New Roman" w:eastAsia="Times New Roman" w:hAnsi="Times New Roman" w:cs="Times New Roman"/>
                <w:sz w:val="24"/>
                <w:szCs w:val="24"/>
                <w:lang w:eastAsia="hu-HU"/>
              </w:rPr>
              <w:t>RRETB15</w:t>
            </w:r>
          </w:p>
        </w:tc>
      </w:tr>
      <w:tr w:rsidR="0010643F" w:rsidRPr="0010643F" w:rsidTr="00AE7853">
        <w:trPr>
          <w:trHeight w:val="315"/>
          <w:jc w:val="center"/>
        </w:trPr>
        <w:tc>
          <w:tcPr>
            <w:tcW w:w="5676" w:type="dxa"/>
            <w:shd w:val="clear" w:color="auto" w:fill="FFFFFF" w:themeFill="background1"/>
            <w:noWrap/>
            <w:vAlign w:val="bottom"/>
            <w:hideMark/>
          </w:tcPr>
          <w:p w:rsidR="0010643F" w:rsidRPr="0010643F" w:rsidRDefault="0010643F" w:rsidP="00AE7853">
            <w:pPr>
              <w:pStyle w:val="Listaszerbekezds"/>
              <w:numPr>
                <w:ilvl w:val="0"/>
                <w:numId w:val="2"/>
              </w:numPr>
              <w:spacing w:after="0" w:line="240" w:lineRule="auto"/>
              <w:ind w:left="645" w:hanging="437"/>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Matematika előkészítő</w:t>
            </w:r>
          </w:p>
        </w:tc>
        <w:tc>
          <w:tcPr>
            <w:tcW w:w="1990" w:type="dxa"/>
            <w:shd w:val="clear" w:color="auto" w:fill="FFFFFF" w:themeFill="background1"/>
            <w:vAlign w:val="center"/>
          </w:tcPr>
          <w:p w:rsidR="0010643F" w:rsidRPr="0010643F" w:rsidRDefault="0010643F" w:rsidP="0010643F">
            <w:pPr>
              <w:spacing w:after="0" w:line="240" w:lineRule="auto"/>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HK925A010</w:t>
            </w:r>
          </w:p>
        </w:tc>
      </w:tr>
      <w:tr w:rsidR="0010643F" w:rsidRPr="0010643F" w:rsidTr="00AE7853">
        <w:trPr>
          <w:trHeight w:val="315"/>
          <w:jc w:val="center"/>
        </w:trPr>
        <w:tc>
          <w:tcPr>
            <w:tcW w:w="5676" w:type="dxa"/>
            <w:shd w:val="clear" w:color="auto" w:fill="FFFFFF" w:themeFill="background1"/>
            <w:noWrap/>
            <w:vAlign w:val="bottom"/>
            <w:hideMark/>
          </w:tcPr>
          <w:p w:rsidR="0010643F" w:rsidRPr="0010643F" w:rsidRDefault="0010643F" w:rsidP="00AE7853">
            <w:pPr>
              <w:pStyle w:val="Listaszerbekezds"/>
              <w:numPr>
                <w:ilvl w:val="0"/>
                <w:numId w:val="2"/>
              </w:numPr>
              <w:spacing w:after="0" w:line="240" w:lineRule="auto"/>
              <w:ind w:left="645" w:hanging="437"/>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Matematika LOG 1</w:t>
            </w:r>
          </w:p>
        </w:tc>
        <w:tc>
          <w:tcPr>
            <w:tcW w:w="1990" w:type="dxa"/>
            <w:shd w:val="clear" w:color="auto" w:fill="FFFFFF" w:themeFill="background1"/>
            <w:vAlign w:val="center"/>
          </w:tcPr>
          <w:p w:rsidR="0010643F" w:rsidRPr="0010643F" w:rsidRDefault="0010643F" w:rsidP="0010643F">
            <w:pPr>
              <w:spacing w:after="0" w:line="240" w:lineRule="auto"/>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HK925A110</w:t>
            </w:r>
          </w:p>
        </w:tc>
      </w:tr>
      <w:tr w:rsidR="0010643F" w:rsidRPr="0010643F" w:rsidTr="00AE7853">
        <w:trPr>
          <w:trHeight w:val="315"/>
          <w:jc w:val="center"/>
        </w:trPr>
        <w:tc>
          <w:tcPr>
            <w:tcW w:w="5676" w:type="dxa"/>
            <w:shd w:val="clear" w:color="auto" w:fill="FFFFFF" w:themeFill="background1"/>
            <w:noWrap/>
            <w:vAlign w:val="bottom"/>
            <w:hideMark/>
          </w:tcPr>
          <w:p w:rsidR="0010643F" w:rsidRPr="0010643F" w:rsidRDefault="0010643F" w:rsidP="00AE7853">
            <w:pPr>
              <w:pStyle w:val="Listaszerbekezds"/>
              <w:numPr>
                <w:ilvl w:val="0"/>
                <w:numId w:val="2"/>
              </w:numPr>
              <w:spacing w:after="0" w:line="240" w:lineRule="auto"/>
              <w:ind w:left="645" w:hanging="437"/>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Közgazdaságtan I.</w:t>
            </w:r>
          </w:p>
        </w:tc>
        <w:tc>
          <w:tcPr>
            <w:tcW w:w="1990" w:type="dxa"/>
            <w:shd w:val="clear" w:color="auto" w:fill="FFFFFF" w:themeFill="background1"/>
            <w:vAlign w:val="center"/>
          </w:tcPr>
          <w:p w:rsidR="0010643F" w:rsidRPr="0010643F" w:rsidRDefault="0010643F" w:rsidP="0010643F">
            <w:pPr>
              <w:spacing w:after="0" w:line="240" w:lineRule="auto"/>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HKHPKA100</w:t>
            </w:r>
          </w:p>
        </w:tc>
      </w:tr>
      <w:tr w:rsidR="0010643F" w:rsidRPr="0010643F" w:rsidTr="00AE7853">
        <w:trPr>
          <w:trHeight w:val="315"/>
          <w:jc w:val="center"/>
        </w:trPr>
        <w:tc>
          <w:tcPr>
            <w:tcW w:w="5676" w:type="dxa"/>
            <w:shd w:val="clear" w:color="auto" w:fill="FFFFFF" w:themeFill="background1"/>
            <w:noWrap/>
            <w:vAlign w:val="bottom"/>
            <w:hideMark/>
          </w:tcPr>
          <w:p w:rsidR="0010643F" w:rsidRPr="0010643F" w:rsidRDefault="0010643F" w:rsidP="00AE7853">
            <w:pPr>
              <w:pStyle w:val="Listaszerbekezds"/>
              <w:numPr>
                <w:ilvl w:val="0"/>
                <w:numId w:val="2"/>
              </w:numPr>
              <w:spacing w:after="0" w:line="240" w:lineRule="auto"/>
              <w:ind w:left="645" w:hanging="437"/>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Informatikai alapismeretek</w:t>
            </w:r>
          </w:p>
        </w:tc>
        <w:tc>
          <w:tcPr>
            <w:tcW w:w="1990" w:type="dxa"/>
            <w:shd w:val="clear" w:color="auto" w:fill="FFFFFF" w:themeFill="background1"/>
            <w:vAlign w:val="center"/>
          </w:tcPr>
          <w:p w:rsidR="0010643F" w:rsidRPr="0010643F" w:rsidRDefault="002B198C" w:rsidP="0010643F">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bCs/>
              </w:rPr>
              <w:t>HKINFB111</w:t>
            </w:r>
          </w:p>
        </w:tc>
      </w:tr>
      <w:tr w:rsidR="0010643F" w:rsidRPr="0010643F" w:rsidTr="00AE7853">
        <w:trPr>
          <w:trHeight w:val="315"/>
          <w:jc w:val="center"/>
        </w:trPr>
        <w:tc>
          <w:tcPr>
            <w:tcW w:w="5676" w:type="dxa"/>
            <w:shd w:val="clear" w:color="auto" w:fill="FFFFFF" w:themeFill="background1"/>
            <w:noWrap/>
            <w:vAlign w:val="bottom"/>
            <w:hideMark/>
          </w:tcPr>
          <w:p w:rsidR="0010643F" w:rsidRPr="0010643F" w:rsidRDefault="007E3A2E" w:rsidP="007E3A2E">
            <w:pPr>
              <w:pStyle w:val="Listaszerbekezds"/>
              <w:numPr>
                <w:ilvl w:val="0"/>
                <w:numId w:val="2"/>
              </w:numPr>
              <w:spacing w:after="0" w:line="240" w:lineRule="auto"/>
              <w:ind w:left="645" w:hanging="437"/>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 xml:space="preserve">A </w:t>
            </w:r>
            <w:r w:rsidR="0010643F" w:rsidRPr="0010643F">
              <w:rPr>
                <w:rFonts w:ascii="Times New Roman" w:eastAsia="Times New Roman" w:hAnsi="Times New Roman" w:cs="Times New Roman"/>
                <w:sz w:val="24"/>
                <w:szCs w:val="24"/>
                <w:lang w:eastAsia="hu-HU"/>
              </w:rPr>
              <w:t>logisztika alapjai</w:t>
            </w:r>
          </w:p>
        </w:tc>
        <w:tc>
          <w:tcPr>
            <w:tcW w:w="1990" w:type="dxa"/>
            <w:shd w:val="clear" w:color="auto" w:fill="FFFFFF" w:themeFill="background1"/>
            <w:vAlign w:val="center"/>
          </w:tcPr>
          <w:p w:rsidR="0010643F" w:rsidRPr="0010643F" w:rsidRDefault="0010643F" w:rsidP="0010643F">
            <w:pPr>
              <w:spacing w:after="0" w:line="240" w:lineRule="auto"/>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HKHPKA303</w:t>
            </w:r>
          </w:p>
        </w:tc>
      </w:tr>
      <w:tr w:rsidR="0010643F" w:rsidRPr="0010643F" w:rsidTr="00AE7853">
        <w:trPr>
          <w:trHeight w:val="315"/>
          <w:jc w:val="center"/>
        </w:trPr>
        <w:tc>
          <w:tcPr>
            <w:tcW w:w="5676" w:type="dxa"/>
            <w:shd w:val="clear" w:color="auto" w:fill="FFFFFF" w:themeFill="background1"/>
            <w:noWrap/>
            <w:vAlign w:val="bottom"/>
            <w:hideMark/>
          </w:tcPr>
          <w:p w:rsidR="0010643F" w:rsidRPr="0010643F" w:rsidRDefault="0010643F" w:rsidP="00AE7853">
            <w:pPr>
              <w:pStyle w:val="Listaszerbekezds"/>
              <w:numPr>
                <w:ilvl w:val="0"/>
                <w:numId w:val="2"/>
              </w:numPr>
              <w:spacing w:after="0" w:line="240" w:lineRule="auto"/>
              <w:ind w:left="645" w:hanging="437"/>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Katonai etika és személyközi kommunikáció</w:t>
            </w:r>
          </w:p>
        </w:tc>
        <w:tc>
          <w:tcPr>
            <w:tcW w:w="1990" w:type="dxa"/>
            <w:shd w:val="clear" w:color="auto" w:fill="FFFFFF" w:themeFill="background1"/>
            <w:vAlign w:val="center"/>
          </w:tcPr>
          <w:p w:rsidR="0010643F" w:rsidRPr="0010643F" w:rsidRDefault="0010643F" w:rsidP="0010643F">
            <w:pPr>
              <w:spacing w:after="0" w:line="240" w:lineRule="auto"/>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HKHFKTA01</w:t>
            </w:r>
          </w:p>
        </w:tc>
      </w:tr>
      <w:tr w:rsidR="0010643F" w:rsidRPr="0010643F" w:rsidTr="00AE7853">
        <w:trPr>
          <w:trHeight w:val="315"/>
          <w:jc w:val="center"/>
        </w:trPr>
        <w:tc>
          <w:tcPr>
            <w:tcW w:w="5676" w:type="dxa"/>
            <w:shd w:val="clear" w:color="auto" w:fill="FFFFFF" w:themeFill="background1"/>
            <w:noWrap/>
            <w:vAlign w:val="bottom"/>
            <w:hideMark/>
          </w:tcPr>
          <w:p w:rsidR="0010643F" w:rsidRPr="0010643F" w:rsidRDefault="0010643F" w:rsidP="00AE7853">
            <w:pPr>
              <w:pStyle w:val="Listaszerbekezds"/>
              <w:numPr>
                <w:ilvl w:val="0"/>
                <w:numId w:val="2"/>
              </w:numPr>
              <w:spacing w:after="0" w:line="240" w:lineRule="auto"/>
              <w:ind w:left="645" w:hanging="437"/>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Rajparancsnoki felkészítés</w:t>
            </w:r>
          </w:p>
        </w:tc>
        <w:tc>
          <w:tcPr>
            <w:tcW w:w="1990" w:type="dxa"/>
            <w:shd w:val="clear" w:color="auto" w:fill="FFFFFF" w:themeFill="background1"/>
            <w:vAlign w:val="center"/>
          </w:tcPr>
          <w:p w:rsidR="0010643F" w:rsidRPr="0010643F" w:rsidRDefault="0010643F" w:rsidP="0010643F">
            <w:pPr>
              <w:spacing w:after="0" w:line="240" w:lineRule="auto"/>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HKÖMTA600</w:t>
            </w:r>
          </w:p>
        </w:tc>
      </w:tr>
      <w:tr w:rsidR="0010643F" w:rsidRPr="0010643F" w:rsidTr="00AE7853">
        <w:trPr>
          <w:trHeight w:val="315"/>
          <w:jc w:val="center"/>
        </w:trPr>
        <w:tc>
          <w:tcPr>
            <w:tcW w:w="5676" w:type="dxa"/>
            <w:shd w:val="clear" w:color="auto" w:fill="FFFFFF" w:themeFill="background1"/>
            <w:noWrap/>
            <w:vAlign w:val="bottom"/>
            <w:hideMark/>
          </w:tcPr>
          <w:p w:rsidR="0010643F" w:rsidRPr="0010643F" w:rsidRDefault="0010643F" w:rsidP="00AE7853">
            <w:pPr>
              <w:pStyle w:val="Listaszerbekezds"/>
              <w:numPr>
                <w:ilvl w:val="0"/>
                <w:numId w:val="2"/>
              </w:numPr>
              <w:spacing w:after="0" w:line="240" w:lineRule="auto"/>
              <w:ind w:left="645" w:hanging="437"/>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Anthologia Philosophico-Politica</w:t>
            </w:r>
          </w:p>
        </w:tc>
        <w:tc>
          <w:tcPr>
            <w:tcW w:w="1990" w:type="dxa"/>
            <w:shd w:val="clear" w:color="auto" w:fill="FFFFFF" w:themeFill="background1"/>
            <w:vAlign w:val="center"/>
          </w:tcPr>
          <w:p w:rsidR="0010643F" w:rsidRPr="0010643F" w:rsidRDefault="0010643F" w:rsidP="0010643F">
            <w:pPr>
              <w:spacing w:after="0" w:line="240" w:lineRule="auto"/>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ÁKKTB02</w:t>
            </w:r>
          </w:p>
        </w:tc>
      </w:tr>
      <w:tr w:rsidR="0010643F" w:rsidRPr="0010643F" w:rsidTr="00AE7853">
        <w:trPr>
          <w:trHeight w:val="315"/>
          <w:jc w:val="center"/>
        </w:trPr>
        <w:tc>
          <w:tcPr>
            <w:tcW w:w="5676" w:type="dxa"/>
            <w:shd w:val="clear" w:color="auto" w:fill="FFFFFF" w:themeFill="background1"/>
            <w:noWrap/>
            <w:vAlign w:val="bottom"/>
            <w:hideMark/>
          </w:tcPr>
          <w:p w:rsidR="0010643F" w:rsidRPr="0010643F" w:rsidRDefault="0010643F" w:rsidP="00AE7853">
            <w:pPr>
              <w:pStyle w:val="Listaszerbekezds"/>
              <w:numPr>
                <w:ilvl w:val="0"/>
                <w:numId w:val="2"/>
              </w:numPr>
              <w:spacing w:after="0" w:line="240" w:lineRule="auto"/>
              <w:ind w:left="645" w:hanging="437"/>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 xml:space="preserve">Európa-tanulmányok </w:t>
            </w:r>
          </w:p>
        </w:tc>
        <w:tc>
          <w:tcPr>
            <w:tcW w:w="1990" w:type="dxa"/>
            <w:shd w:val="clear" w:color="auto" w:fill="FFFFFF" w:themeFill="background1"/>
            <w:vAlign w:val="center"/>
          </w:tcPr>
          <w:p w:rsidR="0010643F" w:rsidRPr="0010643F" w:rsidRDefault="0010643F" w:rsidP="0010643F">
            <w:pPr>
              <w:spacing w:after="0" w:line="240" w:lineRule="auto"/>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ÁEUTTB01</w:t>
            </w:r>
          </w:p>
        </w:tc>
      </w:tr>
      <w:tr w:rsidR="0010643F" w:rsidRPr="0010643F" w:rsidTr="00AE7853">
        <w:trPr>
          <w:trHeight w:val="315"/>
          <w:jc w:val="center"/>
        </w:trPr>
        <w:tc>
          <w:tcPr>
            <w:tcW w:w="5676" w:type="dxa"/>
            <w:shd w:val="clear" w:color="auto" w:fill="FFFFFF" w:themeFill="background1"/>
            <w:noWrap/>
            <w:vAlign w:val="bottom"/>
            <w:hideMark/>
          </w:tcPr>
          <w:p w:rsidR="0010643F" w:rsidRPr="0010643F" w:rsidRDefault="0010643F" w:rsidP="00AE7853">
            <w:pPr>
              <w:pStyle w:val="Listaszerbekezds"/>
              <w:numPr>
                <w:ilvl w:val="0"/>
                <w:numId w:val="2"/>
              </w:numPr>
              <w:spacing w:after="0" w:line="240" w:lineRule="auto"/>
              <w:ind w:left="645" w:hanging="437"/>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Alkalmazott katonapszichológia és -pedagógia alapjai</w:t>
            </w:r>
          </w:p>
        </w:tc>
        <w:tc>
          <w:tcPr>
            <w:tcW w:w="1990" w:type="dxa"/>
            <w:shd w:val="clear" w:color="auto" w:fill="FFFFFF" w:themeFill="background1"/>
            <w:vAlign w:val="center"/>
          </w:tcPr>
          <w:p w:rsidR="0010643F" w:rsidRPr="0010643F" w:rsidRDefault="0010643F" w:rsidP="0010643F">
            <w:pPr>
              <w:spacing w:after="0" w:line="240" w:lineRule="auto"/>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 xml:space="preserve">HKKVKA02 </w:t>
            </w:r>
          </w:p>
        </w:tc>
      </w:tr>
      <w:tr w:rsidR="0010643F" w:rsidRPr="0010643F" w:rsidTr="00AE7853">
        <w:trPr>
          <w:trHeight w:val="315"/>
          <w:jc w:val="center"/>
        </w:trPr>
        <w:tc>
          <w:tcPr>
            <w:tcW w:w="5676" w:type="dxa"/>
            <w:shd w:val="clear" w:color="auto" w:fill="FFFFFF" w:themeFill="background1"/>
            <w:noWrap/>
            <w:vAlign w:val="bottom"/>
            <w:hideMark/>
          </w:tcPr>
          <w:p w:rsidR="0010643F" w:rsidRPr="0010643F" w:rsidRDefault="0010643F" w:rsidP="00AE7853">
            <w:pPr>
              <w:pStyle w:val="Listaszerbekezds"/>
              <w:numPr>
                <w:ilvl w:val="0"/>
                <w:numId w:val="2"/>
              </w:numPr>
              <w:spacing w:after="0" w:line="240" w:lineRule="auto"/>
              <w:ind w:left="645" w:hanging="437"/>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Rádióforgalmazás és az információbiztonság alapjai</w:t>
            </w:r>
          </w:p>
        </w:tc>
        <w:tc>
          <w:tcPr>
            <w:tcW w:w="1990" w:type="dxa"/>
            <w:shd w:val="clear" w:color="auto" w:fill="FFFFFF" w:themeFill="background1"/>
            <w:vAlign w:val="center"/>
          </w:tcPr>
          <w:p w:rsidR="0010643F" w:rsidRPr="0010643F" w:rsidRDefault="0010643F" w:rsidP="0010643F">
            <w:pPr>
              <w:spacing w:after="0" w:line="240" w:lineRule="auto"/>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HKHIRA01</w:t>
            </w:r>
          </w:p>
        </w:tc>
      </w:tr>
      <w:tr w:rsidR="0010643F" w:rsidRPr="0010643F" w:rsidTr="00AE7853">
        <w:trPr>
          <w:trHeight w:val="315"/>
          <w:jc w:val="center"/>
        </w:trPr>
        <w:tc>
          <w:tcPr>
            <w:tcW w:w="5676" w:type="dxa"/>
            <w:shd w:val="clear" w:color="auto" w:fill="FFFFFF" w:themeFill="background1"/>
            <w:noWrap/>
            <w:vAlign w:val="bottom"/>
            <w:hideMark/>
          </w:tcPr>
          <w:p w:rsidR="0010643F" w:rsidRPr="0010643F" w:rsidRDefault="0010643F" w:rsidP="00AE7853">
            <w:pPr>
              <w:pStyle w:val="Listaszerbekezds"/>
              <w:numPr>
                <w:ilvl w:val="0"/>
                <w:numId w:val="2"/>
              </w:numPr>
              <w:spacing w:after="0" w:line="240" w:lineRule="auto"/>
              <w:ind w:left="645" w:hanging="437"/>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Katonai tereptan és geoinformációs ismeretek</w:t>
            </w:r>
          </w:p>
        </w:tc>
        <w:tc>
          <w:tcPr>
            <w:tcW w:w="1990" w:type="dxa"/>
            <w:shd w:val="clear" w:color="auto" w:fill="FFFFFF" w:themeFill="background1"/>
            <w:vAlign w:val="center"/>
          </w:tcPr>
          <w:p w:rsidR="0010643F" w:rsidRPr="0010643F" w:rsidRDefault="0010643F" w:rsidP="0010643F">
            <w:pPr>
              <w:spacing w:after="0" w:line="240" w:lineRule="auto"/>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HKMTTA01</w:t>
            </w:r>
          </w:p>
        </w:tc>
      </w:tr>
      <w:tr w:rsidR="0010643F" w:rsidRPr="0010643F" w:rsidTr="00AE7853">
        <w:trPr>
          <w:trHeight w:val="315"/>
          <w:jc w:val="center"/>
        </w:trPr>
        <w:tc>
          <w:tcPr>
            <w:tcW w:w="5676" w:type="dxa"/>
            <w:shd w:val="clear" w:color="auto" w:fill="FFFFFF" w:themeFill="background1"/>
            <w:noWrap/>
            <w:vAlign w:val="bottom"/>
            <w:hideMark/>
          </w:tcPr>
          <w:p w:rsidR="0010643F" w:rsidRPr="0010643F" w:rsidRDefault="0010643F" w:rsidP="00AE7853">
            <w:pPr>
              <w:pStyle w:val="Listaszerbekezds"/>
              <w:numPr>
                <w:ilvl w:val="0"/>
                <w:numId w:val="2"/>
              </w:numPr>
              <w:spacing w:after="0" w:line="240" w:lineRule="auto"/>
              <w:ind w:left="645" w:hanging="437"/>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Matematika LOG 2</w:t>
            </w:r>
          </w:p>
        </w:tc>
        <w:tc>
          <w:tcPr>
            <w:tcW w:w="1990" w:type="dxa"/>
            <w:shd w:val="clear" w:color="auto" w:fill="FFFFFF" w:themeFill="background1"/>
            <w:vAlign w:val="center"/>
          </w:tcPr>
          <w:p w:rsidR="0010643F" w:rsidRPr="0010643F" w:rsidRDefault="0010643F" w:rsidP="0010643F">
            <w:pPr>
              <w:spacing w:after="0" w:line="240" w:lineRule="auto"/>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HK925A120</w:t>
            </w:r>
          </w:p>
        </w:tc>
      </w:tr>
      <w:tr w:rsidR="0010643F" w:rsidRPr="0010643F" w:rsidTr="00AE7853">
        <w:trPr>
          <w:trHeight w:val="285"/>
          <w:jc w:val="center"/>
        </w:trPr>
        <w:tc>
          <w:tcPr>
            <w:tcW w:w="5676" w:type="dxa"/>
            <w:shd w:val="clear" w:color="auto" w:fill="FFFFFF" w:themeFill="background1"/>
            <w:noWrap/>
            <w:vAlign w:val="bottom"/>
            <w:hideMark/>
          </w:tcPr>
          <w:p w:rsidR="0010643F" w:rsidRPr="0010643F" w:rsidRDefault="0010643F" w:rsidP="00AE7853">
            <w:pPr>
              <w:pStyle w:val="Listaszerbekezds"/>
              <w:numPr>
                <w:ilvl w:val="0"/>
                <w:numId w:val="2"/>
              </w:numPr>
              <w:spacing w:after="0" w:line="240" w:lineRule="auto"/>
              <w:ind w:left="645" w:hanging="437"/>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Közgazdaságtan II.</w:t>
            </w:r>
          </w:p>
        </w:tc>
        <w:tc>
          <w:tcPr>
            <w:tcW w:w="1990" w:type="dxa"/>
            <w:shd w:val="clear" w:color="auto" w:fill="FFFFFF" w:themeFill="background1"/>
            <w:vAlign w:val="center"/>
          </w:tcPr>
          <w:p w:rsidR="0010643F" w:rsidRPr="0010643F" w:rsidRDefault="0010643F" w:rsidP="0010643F">
            <w:pPr>
              <w:spacing w:after="0" w:line="240" w:lineRule="auto"/>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HKHPKA101</w:t>
            </w:r>
          </w:p>
        </w:tc>
      </w:tr>
      <w:tr w:rsidR="0010643F" w:rsidRPr="0010643F" w:rsidTr="00AE7853">
        <w:trPr>
          <w:trHeight w:val="315"/>
          <w:jc w:val="center"/>
        </w:trPr>
        <w:tc>
          <w:tcPr>
            <w:tcW w:w="5676" w:type="dxa"/>
            <w:shd w:val="clear" w:color="auto" w:fill="FFFFFF" w:themeFill="background1"/>
            <w:noWrap/>
            <w:vAlign w:val="bottom"/>
            <w:hideMark/>
          </w:tcPr>
          <w:p w:rsidR="0010643F" w:rsidRPr="0010643F" w:rsidRDefault="0010643F" w:rsidP="00AE7853">
            <w:pPr>
              <w:pStyle w:val="Listaszerbekezds"/>
              <w:numPr>
                <w:ilvl w:val="0"/>
                <w:numId w:val="2"/>
              </w:numPr>
              <w:spacing w:after="0" w:line="240" w:lineRule="auto"/>
              <w:ind w:left="645" w:hanging="437"/>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 xml:space="preserve">Statisztika </w:t>
            </w:r>
          </w:p>
        </w:tc>
        <w:tc>
          <w:tcPr>
            <w:tcW w:w="1990" w:type="dxa"/>
            <w:shd w:val="clear" w:color="auto" w:fill="FFFFFF" w:themeFill="background1"/>
            <w:vAlign w:val="center"/>
          </w:tcPr>
          <w:p w:rsidR="0010643F" w:rsidRPr="0010643F" w:rsidRDefault="0010643F" w:rsidP="0010643F">
            <w:pPr>
              <w:spacing w:after="0" w:line="240" w:lineRule="auto"/>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HKHPKA102</w:t>
            </w:r>
          </w:p>
        </w:tc>
      </w:tr>
      <w:tr w:rsidR="0010643F" w:rsidRPr="0010643F" w:rsidTr="00AE7853">
        <w:trPr>
          <w:trHeight w:val="315"/>
          <w:jc w:val="center"/>
        </w:trPr>
        <w:tc>
          <w:tcPr>
            <w:tcW w:w="5676" w:type="dxa"/>
            <w:shd w:val="clear" w:color="auto" w:fill="FFFFFF" w:themeFill="background1"/>
            <w:noWrap/>
            <w:vAlign w:val="bottom"/>
            <w:hideMark/>
          </w:tcPr>
          <w:p w:rsidR="0010643F" w:rsidRPr="0010643F" w:rsidRDefault="0010643F" w:rsidP="00AE7853">
            <w:pPr>
              <w:pStyle w:val="Listaszerbekezds"/>
              <w:numPr>
                <w:ilvl w:val="0"/>
                <w:numId w:val="2"/>
              </w:numPr>
              <w:spacing w:after="0" w:line="240" w:lineRule="auto"/>
              <w:ind w:left="645" w:hanging="437"/>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Alapkiképzés módszertana</w:t>
            </w:r>
          </w:p>
        </w:tc>
        <w:tc>
          <w:tcPr>
            <w:tcW w:w="1990" w:type="dxa"/>
            <w:shd w:val="clear" w:color="auto" w:fill="FFFFFF" w:themeFill="background1"/>
            <w:vAlign w:val="center"/>
          </w:tcPr>
          <w:p w:rsidR="0010643F" w:rsidRPr="0010643F" w:rsidRDefault="0010643F" w:rsidP="0010643F">
            <w:pPr>
              <w:spacing w:after="0" w:line="240" w:lineRule="auto"/>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HKÖMTA611</w:t>
            </w:r>
          </w:p>
        </w:tc>
      </w:tr>
      <w:tr w:rsidR="0010643F" w:rsidRPr="0010643F" w:rsidTr="00AE7853">
        <w:trPr>
          <w:trHeight w:val="315"/>
          <w:jc w:val="center"/>
        </w:trPr>
        <w:tc>
          <w:tcPr>
            <w:tcW w:w="5676" w:type="dxa"/>
            <w:shd w:val="clear" w:color="auto" w:fill="FFFFFF" w:themeFill="background1"/>
            <w:noWrap/>
            <w:vAlign w:val="bottom"/>
            <w:hideMark/>
          </w:tcPr>
          <w:p w:rsidR="0010643F" w:rsidRPr="0010643F" w:rsidRDefault="0010643F" w:rsidP="00AE7853">
            <w:pPr>
              <w:pStyle w:val="Listaszerbekezds"/>
              <w:numPr>
                <w:ilvl w:val="0"/>
                <w:numId w:val="2"/>
              </w:numPr>
              <w:spacing w:after="0" w:line="240" w:lineRule="auto"/>
              <w:ind w:left="645" w:hanging="437"/>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Harcászat és katonai műveletek elmélete és gyakorlata</w:t>
            </w:r>
          </w:p>
        </w:tc>
        <w:tc>
          <w:tcPr>
            <w:tcW w:w="1990" w:type="dxa"/>
            <w:shd w:val="clear" w:color="auto" w:fill="FFFFFF" w:themeFill="background1"/>
            <w:vAlign w:val="center"/>
          </w:tcPr>
          <w:p w:rsidR="0010643F" w:rsidRPr="0010643F" w:rsidRDefault="002B198C" w:rsidP="0010643F">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HKÖMTA8</w:t>
            </w:r>
            <w:r w:rsidR="0010643F" w:rsidRPr="0010643F">
              <w:rPr>
                <w:rFonts w:ascii="Times New Roman" w:eastAsia="Times New Roman" w:hAnsi="Times New Roman" w:cs="Times New Roman"/>
                <w:sz w:val="24"/>
                <w:szCs w:val="24"/>
                <w:lang w:eastAsia="hu-HU"/>
              </w:rPr>
              <w:t>12</w:t>
            </w:r>
          </w:p>
        </w:tc>
      </w:tr>
      <w:tr w:rsidR="0010643F" w:rsidRPr="0010643F" w:rsidTr="00AE7853">
        <w:trPr>
          <w:trHeight w:val="315"/>
          <w:jc w:val="center"/>
        </w:trPr>
        <w:tc>
          <w:tcPr>
            <w:tcW w:w="5676" w:type="dxa"/>
            <w:shd w:val="clear" w:color="auto" w:fill="FFFFFF" w:themeFill="background1"/>
            <w:noWrap/>
            <w:vAlign w:val="bottom"/>
            <w:hideMark/>
          </w:tcPr>
          <w:p w:rsidR="0010643F" w:rsidRPr="0010643F" w:rsidRDefault="0010643F" w:rsidP="00AE7853">
            <w:pPr>
              <w:pStyle w:val="Listaszerbekezds"/>
              <w:numPr>
                <w:ilvl w:val="0"/>
                <w:numId w:val="2"/>
              </w:numPr>
              <w:spacing w:after="0" w:line="240" w:lineRule="auto"/>
              <w:ind w:left="645" w:hanging="437"/>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Anthologia Historica</w:t>
            </w:r>
          </w:p>
        </w:tc>
        <w:tc>
          <w:tcPr>
            <w:tcW w:w="1990" w:type="dxa"/>
            <w:shd w:val="clear" w:color="auto" w:fill="FFFFFF" w:themeFill="background1"/>
            <w:vAlign w:val="center"/>
          </w:tcPr>
          <w:p w:rsidR="0010643F" w:rsidRPr="0010643F" w:rsidRDefault="0010643F" w:rsidP="0010643F">
            <w:pPr>
              <w:spacing w:after="0" w:line="240" w:lineRule="auto"/>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ÁÁJTB01</w:t>
            </w:r>
          </w:p>
        </w:tc>
      </w:tr>
      <w:tr w:rsidR="0010643F" w:rsidRPr="0010643F" w:rsidTr="00AE7853">
        <w:trPr>
          <w:trHeight w:val="315"/>
          <w:jc w:val="center"/>
        </w:trPr>
        <w:tc>
          <w:tcPr>
            <w:tcW w:w="5676" w:type="dxa"/>
            <w:shd w:val="clear" w:color="auto" w:fill="FFFFFF" w:themeFill="background1"/>
            <w:noWrap/>
            <w:vAlign w:val="bottom"/>
            <w:hideMark/>
          </w:tcPr>
          <w:p w:rsidR="0010643F" w:rsidRPr="0010643F" w:rsidRDefault="0010643F" w:rsidP="00AE7853">
            <w:pPr>
              <w:pStyle w:val="Listaszerbekezds"/>
              <w:numPr>
                <w:ilvl w:val="0"/>
                <w:numId w:val="2"/>
              </w:numPr>
              <w:spacing w:after="0" w:line="240" w:lineRule="auto"/>
              <w:ind w:left="645" w:hanging="437"/>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Vezetés- és szervezéselmélet</w:t>
            </w:r>
          </w:p>
        </w:tc>
        <w:tc>
          <w:tcPr>
            <w:tcW w:w="1990" w:type="dxa"/>
            <w:shd w:val="clear" w:color="auto" w:fill="FFFFFF" w:themeFill="background1"/>
            <w:vAlign w:val="center"/>
          </w:tcPr>
          <w:p w:rsidR="0010643F" w:rsidRPr="0010643F" w:rsidRDefault="0010643F" w:rsidP="0010643F">
            <w:pPr>
              <w:spacing w:after="0" w:line="240" w:lineRule="auto"/>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 xml:space="preserve">HKKVKA03 </w:t>
            </w:r>
          </w:p>
        </w:tc>
      </w:tr>
      <w:tr w:rsidR="0010643F" w:rsidRPr="0010643F" w:rsidTr="00AE7853">
        <w:trPr>
          <w:trHeight w:val="315"/>
          <w:jc w:val="center"/>
        </w:trPr>
        <w:tc>
          <w:tcPr>
            <w:tcW w:w="5676" w:type="dxa"/>
            <w:shd w:val="clear" w:color="auto" w:fill="FFFFFF" w:themeFill="background1"/>
            <w:noWrap/>
            <w:vAlign w:val="bottom"/>
            <w:hideMark/>
          </w:tcPr>
          <w:p w:rsidR="0010643F" w:rsidRPr="0010643F" w:rsidRDefault="0010643F" w:rsidP="00AE7853">
            <w:pPr>
              <w:pStyle w:val="Listaszerbekezds"/>
              <w:numPr>
                <w:ilvl w:val="0"/>
                <w:numId w:val="2"/>
              </w:numPr>
              <w:spacing w:after="0" w:line="240" w:lineRule="auto"/>
              <w:ind w:left="645" w:hanging="437"/>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 xml:space="preserve">Nemzetközi politika és biztonság </w:t>
            </w:r>
          </w:p>
        </w:tc>
        <w:tc>
          <w:tcPr>
            <w:tcW w:w="1990" w:type="dxa"/>
            <w:shd w:val="clear" w:color="auto" w:fill="FFFFFF" w:themeFill="background1"/>
            <w:vAlign w:val="center"/>
          </w:tcPr>
          <w:p w:rsidR="0010643F" w:rsidRPr="0010643F" w:rsidRDefault="00F717C1" w:rsidP="0010643F">
            <w:pPr>
              <w:spacing w:after="0" w:line="240" w:lineRule="auto"/>
              <w:rPr>
                <w:rFonts w:ascii="Times New Roman" w:eastAsia="Times New Roman" w:hAnsi="Times New Roman" w:cs="Times New Roman"/>
                <w:sz w:val="24"/>
                <w:szCs w:val="24"/>
                <w:lang w:eastAsia="hu-HU"/>
              </w:rPr>
            </w:pPr>
            <w:r w:rsidRPr="00977D93">
              <w:rPr>
                <w:rFonts w:ascii="Times New Roman" w:eastAsia="Times New Roman" w:hAnsi="Times New Roman" w:cs="Times New Roman"/>
                <w:bCs/>
                <w:noProof/>
              </w:rPr>
              <w:t>HNBTTB03</w:t>
            </w:r>
          </w:p>
        </w:tc>
      </w:tr>
      <w:tr w:rsidR="0010643F" w:rsidRPr="0010643F" w:rsidTr="00AE7853">
        <w:trPr>
          <w:trHeight w:val="315"/>
          <w:jc w:val="center"/>
        </w:trPr>
        <w:tc>
          <w:tcPr>
            <w:tcW w:w="5676" w:type="dxa"/>
            <w:shd w:val="clear" w:color="auto" w:fill="FFFFFF" w:themeFill="background1"/>
            <w:noWrap/>
            <w:vAlign w:val="bottom"/>
            <w:hideMark/>
          </w:tcPr>
          <w:p w:rsidR="0010643F" w:rsidRPr="0010643F" w:rsidRDefault="0010643F" w:rsidP="00AE7853">
            <w:pPr>
              <w:pStyle w:val="Listaszerbekezds"/>
              <w:numPr>
                <w:ilvl w:val="0"/>
                <w:numId w:val="2"/>
              </w:numPr>
              <w:spacing w:after="0" w:line="240" w:lineRule="auto"/>
              <w:ind w:left="645" w:hanging="437"/>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Lineáris algebra LOG</w:t>
            </w:r>
          </w:p>
        </w:tc>
        <w:tc>
          <w:tcPr>
            <w:tcW w:w="1990" w:type="dxa"/>
            <w:shd w:val="clear" w:color="auto" w:fill="FFFFFF" w:themeFill="background1"/>
            <w:vAlign w:val="center"/>
          </w:tcPr>
          <w:p w:rsidR="0010643F" w:rsidRPr="0010643F" w:rsidRDefault="0010643F" w:rsidP="0010643F">
            <w:pPr>
              <w:spacing w:after="0" w:line="240" w:lineRule="auto"/>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HK925A130</w:t>
            </w:r>
          </w:p>
        </w:tc>
      </w:tr>
      <w:tr w:rsidR="0010643F" w:rsidRPr="0010643F" w:rsidTr="00AE7853">
        <w:trPr>
          <w:trHeight w:val="315"/>
          <w:jc w:val="center"/>
        </w:trPr>
        <w:tc>
          <w:tcPr>
            <w:tcW w:w="5676" w:type="dxa"/>
            <w:shd w:val="clear" w:color="auto" w:fill="FFFFFF" w:themeFill="background1"/>
            <w:noWrap/>
            <w:vAlign w:val="bottom"/>
            <w:hideMark/>
          </w:tcPr>
          <w:p w:rsidR="0010643F" w:rsidRPr="0010643F" w:rsidRDefault="0010643F" w:rsidP="00AE7853">
            <w:pPr>
              <w:pStyle w:val="Listaszerbekezds"/>
              <w:numPr>
                <w:ilvl w:val="0"/>
                <w:numId w:val="2"/>
              </w:numPr>
              <w:spacing w:after="0" w:line="240" w:lineRule="auto"/>
              <w:ind w:left="645" w:hanging="437"/>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Védelemgazdaságtan-BKL</w:t>
            </w:r>
          </w:p>
        </w:tc>
        <w:tc>
          <w:tcPr>
            <w:tcW w:w="1990" w:type="dxa"/>
            <w:shd w:val="clear" w:color="auto" w:fill="FFFFFF" w:themeFill="background1"/>
            <w:vAlign w:val="center"/>
          </w:tcPr>
          <w:p w:rsidR="0010643F" w:rsidRPr="0010643F" w:rsidRDefault="0010643F" w:rsidP="0010643F">
            <w:pPr>
              <w:spacing w:after="0" w:line="240" w:lineRule="auto"/>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HKHPKA103</w:t>
            </w:r>
          </w:p>
        </w:tc>
      </w:tr>
      <w:tr w:rsidR="0010643F" w:rsidRPr="0010643F" w:rsidTr="00AE7853">
        <w:trPr>
          <w:trHeight w:val="315"/>
          <w:jc w:val="center"/>
        </w:trPr>
        <w:tc>
          <w:tcPr>
            <w:tcW w:w="5676" w:type="dxa"/>
            <w:shd w:val="clear" w:color="auto" w:fill="FFFFFF" w:themeFill="background1"/>
            <w:noWrap/>
            <w:vAlign w:val="bottom"/>
            <w:hideMark/>
          </w:tcPr>
          <w:p w:rsidR="0010643F" w:rsidRPr="0010643F" w:rsidRDefault="0010643F" w:rsidP="00AE7853">
            <w:pPr>
              <w:pStyle w:val="Listaszerbekezds"/>
              <w:numPr>
                <w:ilvl w:val="0"/>
                <w:numId w:val="2"/>
              </w:numPr>
              <w:spacing w:after="0" w:line="240" w:lineRule="auto"/>
              <w:ind w:left="645" w:hanging="437"/>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Mechanika LOG 1</w:t>
            </w:r>
          </w:p>
        </w:tc>
        <w:tc>
          <w:tcPr>
            <w:tcW w:w="1990" w:type="dxa"/>
            <w:shd w:val="clear" w:color="auto" w:fill="FFFFFF" w:themeFill="background1"/>
            <w:vAlign w:val="center"/>
          </w:tcPr>
          <w:p w:rsidR="0010643F" w:rsidRPr="0010643F" w:rsidRDefault="0010643F" w:rsidP="0010643F">
            <w:pPr>
              <w:spacing w:after="0" w:line="240" w:lineRule="auto"/>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HK925A131</w:t>
            </w:r>
          </w:p>
        </w:tc>
      </w:tr>
      <w:tr w:rsidR="0010643F" w:rsidRPr="0010643F" w:rsidTr="00AE7853">
        <w:trPr>
          <w:trHeight w:val="315"/>
          <w:jc w:val="center"/>
        </w:trPr>
        <w:tc>
          <w:tcPr>
            <w:tcW w:w="5676" w:type="dxa"/>
            <w:shd w:val="clear" w:color="auto" w:fill="FFFFFF" w:themeFill="background1"/>
            <w:noWrap/>
            <w:vAlign w:val="bottom"/>
            <w:hideMark/>
          </w:tcPr>
          <w:p w:rsidR="0010643F" w:rsidRPr="0010643F" w:rsidRDefault="0010643F" w:rsidP="00AE7853">
            <w:pPr>
              <w:pStyle w:val="Listaszerbekezds"/>
              <w:numPr>
                <w:ilvl w:val="0"/>
                <w:numId w:val="2"/>
              </w:numPr>
              <w:spacing w:after="0" w:line="240" w:lineRule="auto"/>
              <w:ind w:left="645" w:hanging="437"/>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Anyagtudomány</w:t>
            </w:r>
          </w:p>
        </w:tc>
        <w:tc>
          <w:tcPr>
            <w:tcW w:w="1990" w:type="dxa"/>
            <w:shd w:val="clear" w:color="auto" w:fill="FFFFFF" w:themeFill="background1"/>
            <w:vAlign w:val="center"/>
          </w:tcPr>
          <w:p w:rsidR="0010643F" w:rsidRPr="0010643F" w:rsidRDefault="0010643F" w:rsidP="0010643F">
            <w:pPr>
              <w:spacing w:after="0" w:line="240" w:lineRule="auto"/>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HKHDTA01</w:t>
            </w:r>
          </w:p>
        </w:tc>
      </w:tr>
      <w:tr w:rsidR="0010643F" w:rsidRPr="0010643F" w:rsidTr="00AE7853">
        <w:trPr>
          <w:trHeight w:val="315"/>
          <w:jc w:val="center"/>
        </w:trPr>
        <w:tc>
          <w:tcPr>
            <w:tcW w:w="5676" w:type="dxa"/>
            <w:shd w:val="clear" w:color="auto" w:fill="FFFFFF" w:themeFill="background1"/>
            <w:noWrap/>
            <w:vAlign w:val="bottom"/>
            <w:hideMark/>
          </w:tcPr>
          <w:p w:rsidR="0010643F" w:rsidRPr="0010643F" w:rsidRDefault="0010643F" w:rsidP="00AE7853">
            <w:pPr>
              <w:pStyle w:val="Listaszerbekezds"/>
              <w:numPr>
                <w:ilvl w:val="0"/>
                <w:numId w:val="2"/>
              </w:numPr>
              <w:spacing w:after="0" w:line="240" w:lineRule="auto"/>
              <w:ind w:left="645" w:hanging="437"/>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Anyagmozgatás-raktározás</w:t>
            </w:r>
          </w:p>
        </w:tc>
        <w:tc>
          <w:tcPr>
            <w:tcW w:w="1990" w:type="dxa"/>
            <w:shd w:val="clear" w:color="auto" w:fill="FFFFFF" w:themeFill="background1"/>
            <w:vAlign w:val="center"/>
          </w:tcPr>
          <w:p w:rsidR="0010643F" w:rsidRPr="0010643F" w:rsidRDefault="0010643F" w:rsidP="0010643F">
            <w:pPr>
              <w:spacing w:after="0" w:line="240" w:lineRule="auto"/>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HKHPKA300</w:t>
            </w:r>
          </w:p>
        </w:tc>
      </w:tr>
      <w:tr w:rsidR="0010643F" w:rsidRPr="0010643F" w:rsidTr="00AE7853">
        <w:trPr>
          <w:trHeight w:val="315"/>
          <w:jc w:val="center"/>
        </w:trPr>
        <w:tc>
          <w:tcPr>
            <w:tcW w:w="5676" w:type="dxa"/>
            <w:shd w:val="clear" w:color="auto" w:fill="FFFFFF" w:themeFill="background1"/>
            <w:noWrap/>
            <w:vAlign w:val="bottom"/>
            <w:hideMark/>
          </w:tcPr>
          <w:p w:rsidR="0010643F" w:rsidRPr="0010643F" w:rsidRDefault="0010643F" w:rsidP="00AE7853">
            <w:pPr>
              <w:pStyle w:val="Listaszerbekezds"/>
              <w:numPr>
                <w:ilvl w:val="0"/>
                <w:numId w:val="2"/>
              </w:numPr>
              <w:spacing w:after="0" w:line="240" w:lineRule="auto"/>
              <w:ind w:left="645" w:hanging="437"/>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 xml:space="preserve">Fenntartható fejlődés </w:t>
            </w:r>
          </w:p>
        </w:tc>
        <w:tc>
          <w:tcPr>
            <w:tcW w:w="1990" w:type="dxa"/>
            <w:shd w:val="clear" w:color="auto" w:fill="FFFFFF" w:themeFill="background1"/>
            <w:vAlign w:val="center"/>
          </w:tcPr>
          <w:p w:rsidR="0010643F" w:rsidRPr="0010643F" w:rsidRDefault="0010643F" w:rsidP="0010643F">
            <w:pPr>
              <w:spacing w:after="0" w:line="240" w:lineRule="auto"/>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VTVKPTA01</w:t>
            </w:r>
          </w:p>
        </w:tc>
      </w:tr>
      <w:tr w:rsidR="0010643F" w:rsidRPr="0010643F" w:rsidTr="00AE7853">
        <w:trPr>
          <w:trHeight w:val="315"/>
          <w:jc w:val="center"/>
        </w:trPr>
        <w:tc>
          <w:tcPr>
            <w:tcW w:w="5676" w:type="dxa"/>
            <w:shd w:val="clear" w:color="auto" w:fill="FFFFFF" w:themeFill="background1"/>
            <w:noWrap/>
            <w:vAlign w:val="bottom"/>
            <w:hideMark/>
          </w:tcPr>
          <w:p w:rsidR="0010643F" w:rsidRPr="0010643F" w:rsidRDefault="0010643F" w:rsidP="00AE7853">
            <w:pPr>
              <w:pStyle w:val="Listaszerbekezds"/>
              <w:numPr>
                <w:ilvl w:val="0"/>
                <w:numId w:val="2"/>
              </w:numPr>
              <w:spacing w:after="0" w:line="240" w:lineRule="auto"/>
              <w:ind w:left="645" w:hanging="437"/>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Anthologia Hungarica</w:t>
            </w:r>
          </w:p>
        </w:tc>
        <w:tc>
          <w:tcPr>
            <w:tcW w:w="1990" w:type="dxa"/>
            <w:shd w:val="clear" w:color="auto" w:fill="FFFFFF" w:themeFill="background1"/>
            <w:vAlign w:val="center"/>
          </w:tcPr>
          <w:p w:rsidR="0010643F" w:rsidRPr="0010643F" w:rsidRDefault="00B65DC1" w:rsidP="0010643F">
            <w:pPr>
              <w:spacing w:after="0" w:line="240" w:lineRule="auto"/>
              <w:rPr>
                <w:rFonts w:ascii="Times New Roman" w:eastAsia="Times New Roman" w:hAnsi="Times New Roman" w:cs="Times New Roman"/>
                <w:sz w:val="24"/>
                <w:szCs w:val="24"/>
                <w:lang w:eastAsia="hu-HU"/>
              </w:rPr>
            </w:pPr>
            <w:r w:rsidRPr="003A1562">
              <w:rPr>
                <w:rFonts w:ascii="Times New Roman" w:eastAsia="Times New Roman" w:hAnsi="Times New Roman" w:cs="Times New Roman"/>
                <w:bCs/>
                <w:noProof/>
              </w:rPr>
              <w:t>ÁAÖKTB10</w:t>
            </w:r>
          </w:p>
        </w:tc>
      </w:tr>
      <w:tr w:rsidR="0010643F" w:rsidRPr="0010643F" w:rsidTr="00AE7853">
        <w:trPr>
          <w:trHeight w:val="315"/>
          <w:jc w:val="center"/>
        </w:trPr>
        <w:tc>
          <w:tcPr>
            <w:tcW w:w="5676" w:type="dxa"/>
            <w:shd w:val="clear" w:color="auto" w:fill="FFFFFF" w:themeFill="background1"/>
            <w:noWrap/>
            <w:vAlign w:val="bottom"/>
            <w:hideMark/>
          </w:tcPr>
          <w:p w:rsidR="0010643F" w:rsidRPr="0010643F" w:rsidRDefault="0010643F" w:rsidP="00AE7853">
            <w:pPr>
              <w:pStyle w:val="Listaszerbekezds"/>
              <w:numPr>
                <w:ilvl w:val="0"/>
                <w:numId w:val="2"/>
              </w:numPr>
              <w:spacing w:after="0" w:line="240" w:lineRule="auto"/>
              <w:ind w:left="645" w:hanging="437"/>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 xml:space="preserve">Információs társadalom </w:t>
            </w:r>
          </w:p>
        </w:tc>
        <w:tc>
          <w:tcPr>
            <w:tcW w:w="1990" w:type="dxa"/>
            <w:shd w:val="clear" w:color="auto" w:fill="FFFFFF" w:themeFill="background1"/>
            <w:vAlign w:val="center"/>
          </w:tcPr>
          <w:p w:rsidR="0010643F" w:rsidRPr="0010643F" w:rsidRDefault="0010643F" w:rsidP="0010643F">
            <w:pPr>
              <w:spacing w:after="0" w:line="240" w:lineRule="auto"/>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ÁTKTB01</w:t>
            </w:r>
          </w:p>
        </w:tc>
      </w:tr>
      <w:tr w:rsidR="0010643F" w:rsidRPr="0010643F" w:rsidTr="00AE7853">
        <w:trPr>
          <w:trHeight w:val="315"/>
          <w:jc w:val="center"/>
        </w:trPr>
        <w:tc>
          <w:tcPr>
            <w:tcW w:w="5676" w:type="dxa"/>
            <w:shd w:val="clear" w:color="auto" w:fill="FFFFFF" w:themeFill="background1"/>
            <w:noWrap/>
            <w:vAlign w:val="bottom"/>
            <w:hideMark/>
          </w:tcPr>
          <w:p w:rsidR="0010643F" w:rsidRPr="0010643F" w:rsidRDefault="0010643F" w:rsidP="00AE7853">
            <w:pPr>
              <w:pStyle w:val="Listaszerbekezds"/>
              <w:numPr>
                <w:ilvl w:val="0"/>
                <w:numId w:val="2"/>
              </w:numPr>
              <w:spacing w:after="0" w:line="240" w:lineRule="auto"/>
              <w:ind w:left="645" w:hanging="437"/>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Hadtörténelem</w:t>
            </w:r>
          </w:p>
        </w:tc>
        <w:tc>
          <w:tcPr>
            <w:tcW w:w="1990" w:type="dxa"/>
            <w:shd w:val="clear" w:color="auto" w:fill="FFFFFF" w:themeFill="background1"/>
            <w:vAlign w:val="center"/>
          </w:tcPr>
          <w:p w:rsidR="0010643F" w:rsidRPr="0010643F" w:rsidRDefault="0010643F" w:rsidP="0010643F">
            <w:pPr>
              <w:spacing w:after="0" w:line="240" w:lineRule="auto"/>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HKHFKTA03</w:t>
            </w:r>
          </w:p>
        </w:tc>
      </w:tr>
      <w:tr w:rsidR="0010643F" w:rsidRPr="0010643F" w:rsidTr="00AE7853">
        <w:trPr>
          <w:trHeight w:val="315"/>
          <w:jc w:val="center"/>
        </w:trPr>
        <w:tc>
          <w:tcPr>
            <w:tcW w:w="5676" w:type="dxa"/>
            <w:shd w:val="clear" w:color="auto" w:fill="FFFFFF" w:themeFill="background1"/>
            <w:noWrap/>
            <w:vAlign w:val="bottom"/>
            <w:hideMark/>
          </w:tcPr>
          <w:p w:rsidR="0010643F" w:rsidRPr="0010643F" w:rsidRDefault="0010643F" w:rsidP="00AE7853">
            <w:pPr>
              <w:pStyle w:val="Listaszerbekezds"/>
              <w:numPr>
                <w:ilvl w:val="0"/>
                <w:numId w:val="2"/>
              </w:numPr>
              <w:spacing w:after="0" w:line="240" w:lineRule="auto"/>
              <w:ind w:left="645" w:hanging="437"/>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Honvédelmi Jog és Igazgatás</w:t>
            </w:r>
          </w:p>
        </w:tc>
        <w:tc>
          <w:tcPr>
            <w:tcW w:w="1990" w:type="dxa"/>
            <w:shd w:val="clear" w:color="auto" w:fill="FFFFFF" w:themeFill="background1"/>
            <w:vAlign w:val="center"/>
          </w:tcPr>
          <w:p w:rsidR="0010643F" w:rsidRPr="0010643F" w:rsidRDefault="0010643F" w:rsidP="0010643F">
            <w:pPr>
              <w:spacing w:after="0" w:line="240" w:lineRule="auto"/>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HKHJITA078</w:t>
            </w:r>
          </w:p>
        </w:tc>
      </w:tr>
      <w:tr w:rsidR="0010643F" w:rsidRPr="0010643F" w:rsidTr="00AE7853">
        <w:trPr>
          <w:trHeight w:val="315"/>
          <w:jc w:val="center"/>
        </w:trPr>
        <w:tc>
          <w:tcPr>
            <w:tcW w:w="5676" w:type="dxa"/>
            <w:shd w:val="clear" w:color="auto" w:fill="FFFFFF" w:themeFill="background1"/>
            <w:noWrap/>
            <w:vAlign w:val="bottom"/>
            <w:hideMark/>
          </w:tcPr>
          <w:p w:rsidR="0010643F" w:rsidRPr="0010643F" w:rsidRDefault="0010643F" w:rsidP="00AE7853">
            <w:pPr>
              <w:pStyle w:val="Listaszerbekezds"/>
              <w:numPr>
                <w:ilvl w:val="0"/>
                <w:numId w:val="2"/>
              </w:numPr>
              <w:spacing w:after="0" w:line="240" w:lineRule="auto"/>
              <w:ind w:left="645" w:hanging="437"/>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Katonai logisztikai gazdálkodás alapjai</w:t>
            </w:r>
          </w:p>
        </w:tc>
        <w:tc>
          <w:tcPr>
            <w:tcW w:w="1990" w:type="dxa"/>
            <w:shd w:val="clear" w:color="auto" w:fill="FFFFFF" w:themeFill="background1"/>
            <w:vAlign w:val="center"/>
          </w:tcPr>
          <w:p w:rsidR="0010643F" w:rsidRPr="0010643F" w:rsidRDefault="0010643F" w:rsidP="0010643F">
            <w:pPr>
              <w:spacing w:after="0" w:line="240" w:lineRule="auto"/>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HKHPKA10</w:t>
            </w:r>
          </w:p>
        </w:tc>
      </w:tr>
      <w:tr w:rsidR="0010643F" w:rsidRPr="0010643F" w:rsidTr="00AE7853">
        <w:trPr>
          <w:trHeight w:val="315"/>
          <w:jc w:val="center"/>
        </w:trPr>
        <w:tc>
          <w:tcPr>
            <w:tcW w:w="5676" w:type="dxa"/>
            <w:shd w:val="clear" w:color="auto" w:fill="FFFFFF" w:themeFill="background1"/>
            <w:noWrap/>
            <w:vAlign w:val="bottom"/>
            <w:hideMark/>
          </w:tcPr>
          <w:p w:rsidR="0010643F" w:rsidRPr="0010643F" w:rsidRDefault="0010643F" w:rsidP="00AE7853">
            <w:pPr>
              <w:pStyle w:val="Listaszerbekezds"/>
              <w:numPr>
                <w:ilvl w:val="0"/>
                <w:numId w:val="2"/>
              </w:numPr>
              <w:spacing w:after="0" w:line="240" w:lineRule="auto"/>
              <w:ind w:left="645" w:hanging="437"/>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Döntéselőkészítési módszerek LOG</w:t>
            </w:r>
          </w:p>
        </w:tc>
        <w:tc>
          <w:tcPr>
            <w:tcW w:w="1990" w:type="dxa"/>
            <w:shd w:val="clear" w:color="auto" w:fill="FFFFFF" w:themeFill="background1"/>
            <w:vAlign w:val="center"/>
          </w:tcPr>
          <w:p w:rsidR="0010643F" w:rsidRPr="0010643F" w:rsidRDefault="0010643F" w:rsidP="0010643F">
            <w:pPr>
              <w:spacing w:after="0" w:line="240" w:lineRule="auto"/>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HK925A140</w:t>
            </w:r>
          </w:p>
        </w:tc>
      </w:tr>
      <w:tr w:rsidR="0010643F" w:rsidRPr="0010643F" w:rsidTr="00AE7853">
        <w:trPr>
          <w:trHeight w:val="315"/>
          <w:jc w:val="center"/>
        </w:trPr>
        <w:tc>
          <w:tcPr>
            <w:tcW w:w="5676" w:type="dxa"/>
            <w:shd w:val="clear" w:color="auto" w:fill="FFFFFF" w:themeFill="background1"/>
            <w:noWrap/>
            <w:vAlign w:val="bottom"/>
            <w:hideMark/>
          </w:tcPr>
          <w:p w:rsidR="0010643F" w:rsidRPr="0010643F" w:rsidRDefault="0010643F" w:rsidP="00AE7853">
            <w:pPr>
              <w:pStyle w:val="Listaszerbekezds"/>
              <w:numPr>
                <w:ilvl w:val="0"/>
                <w:numId w:val="2"/>
              </w:numPr>
              <w:spacing w:after="0" w:line="240" w:lineRule="auto"/>
              <w:ind w:left="645" w:hanging="437"/>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lastRenderedPageBreak/>
              <w:t>Mechanika LOG 2</w:t>
            </w:r>
          </w:p>
        </w:tc>
        <w:tc>
          <w:tcPr>
            <w:tcW w:w="1990" w:type="dxa"/>
            <w:shd w:val="clear" w:color="auto" w:fill="FFFFFF" w:themeFill="background1"/>
            <w:vAlign w:val="center"/>
          </w:tcPr>
          <w:p w:rsidR="0010643F" w:rsidRPr="0010643F" w:rsidRDefault="0010643F" w:rsidP="0010643F">
            <w:pPr>
              <w:spacing w:after="0" w:line="240" w:lineRule="auto"/>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HK925A141</w:t>
            </w:r>
          </w:p>
        </w:tc>
      </w:tr>
      <w:tr w:rsidR="0010643F" w:rsidRPr="0010643F" w:rsidTr="00AE7853">
        <w:trPr>
          <w:trHeight w:val="315"/>
          <w:jc w:val="center"/>
        </w:trPr>
        <w:tc>
          <w:tcPr>
            <w:tcW w:w="5676" w:type="dxa"/>
            <w:shd w:val="clear" w:color="auto" w:fill="FFFFFF" w:themeFill="background1"/>
            <w:noWrap/>
            <w:vAlign w:val="bottom"/>
            <w:hideMark/>
          </w:tcPr>
          <w:p w:rsidR="0010643F" w:rsidRPr="0010643F" w:rsidRDefault="0010643F" w:rsidP="00AE7853">
            <w:pPr>
              <w:pStyle w:val="Listaszerbekezds"/>
              <w:numPr>
                <w:ilvl w:val="0"/>
                <w:numId w:val="2"/>
              </w:numPr>
              <w:spacing w:after="0" w:line="240" w:lineRule="auto"/>
              <w:ind w:left="645" w:hanging="437"/>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 xml:space="preserve">Katonai szállítások alapjai </w:t>
            </w:r>
          </w:p>
        </w:tc>
        <w:tc>
          <w:tcPr>
            <w:tcW w:w="1990" w:type="dxa"/>
            <w:shd w:val="clear" w:color="auto" w:fill="FFFFFF" w:themeFill="background1"/>
            <w:vAlign w:val="center"/>
          </w:tcPr>
          <w:p w:rsidR="0010643F" w:rsidRPr="0010643F" w:rsidRDefault="0010643F" w:rsidP="0010643F">
            <w:pPr>
              <w:spacing w:after="0" w:line="240" w:lineRule="auto"/>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HKHPKA301</w:t>
            </w:r>
          </w:p>
        </w:tc>
      </w:tr>
      <w:tr w:rsidR="0010643F" w:rsidRPr="0010643F" w:rsidTr="00AE7853">
        <w:trPr>
          <w:trHeight w:val="315"/>
          <w:jc w:val="center"/>
        </w:trPr>
        <w:tc>
          <w:tcPr>
            <w:tcW w:w="5676" w:type="dxa"/>
            <w:shd w:val="clear" w:color="auto" w:fill="FFFFFF" w:themeFill="background1"/>
            <w:noWrap/>
            <w:vAlign w:val="bottom"/>
            <w:hideMark/>
          </w:tcPr>
          <w:p w:rsidR="0010643F" w:rsidRPr="0010643F" w:rsidRDefault="0010643F" w:rsidP="00AE7853">
            <w:pPr>
              <w:pStyle w:val="Listaszerbekezds"/>
              <w:numPr>
                <w:ilvl w:val="0"/>
                <w:numId w:val="2"/>
              </w:numPr>
              <w:spacing w:after="0" w:line="240" w:lineRule="auto"/>
              <w:ind w:left="645" w:hanging="437"/>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Csomagolástechnika</w:t>
            </w:r>
          </w:p>
        </w:tc>
        <w:tc>
          <w:tcPr>
            <w:tcW w:w="1990" w:type="dxa"/>
            <w:shd w:val="clear" w:color="auto" w:fill="FFFFFF" w:themeFill="background1"/>
            <w:vAlign w:val="center"/>
          </w:tcPr>
          <w:p w:rsidR="0010643F" w:rsidRPr="0010643F" w:rsidRDefault="0010643F" w:rsidP="0010643F">
            <w:pPr>
              <w:spacing w:after="0" w:line="240" w:lineRule="auto"/>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HKHPKA302</w:t>
            </w:r>
          </w:p>
        </w:tc>
      </w:tr>
      <w:tr w:rsidR="0010643F" w:rsidRPr="0010643F" w:rsidTr="00AE7853">
        <w:trPr>
          <w:trHeight w:val="315"/>
          <w:jc w:val="center"/>
        </w:trPr>
        <w:tc>
          <w:tcPr>
            <w:tcW w:w="5676" w:type="dxa"/>
            <w:shd w:val="clear" w:color="auto" w:fill="FFFFFF" w:themeFill="background1"/>
            <w:noWrap/>
            <w:vAlign w:val="bottom"/>
            <w:hideMark/>
          </w:tcPr>
          <w:p w:rsidR="0010643F" w:rsidRPr="0010643F" w:rsidRDefault="0010643F" w:rsidP="00AE7853">
            <w:pPr>
              <w:pStyle w:val="Listaszerbekezds"/>
              <w:numPr>
                <w:ilvl w:val="0"/>
                <w:numId w:val="2"/>
              </w:numPr>
              <w:spacing w:after="0" w:line="240" w:lineRule="auto"/>
              <w:ind w:left="645" w:hanging="437"/>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Békefenntartói ismeretek</w:t>
            </w:r>
          </w:p>
        </w:tc>
        <w:tc>
          <w:tcPr>
            <w:tcW w:w="1990" w:type="dxa"/>
            <w:shd w:val="clear" w:color="auto" w:fill="FFFFFF" w:themeFill="background1"/>
            <w:vAlign w:val="center"/>
          </w:tcPr>
          <w:p w:rsidR="0010643F" w:rsidRPr="0010643F" w:rsidRDefault="0010643F" w:rsidP="0010643F">
            <w:pPr>
              <w:spacing w:after="0" w:line="240" w:lineRule="auto"/>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HKHPKA17</w:t>
            </w:r>
          </w:p>
        </w:tc>
      </w:tr>
      <w:tr w:rsidR="0010643F" w:rsidRPr="0010643F" w:rsidTr="00AE7853">
        <w:trPr>
          <w:trHeight w:val="315"/>
          <w:jc w:val="center"/>
        </w:trPr>
        <w:tc>
          <w:tcPr>
            <w:tcW w:w="5676" w:type="dxa"/>
            <w:shd w:val="clear" w:color="auto" w:fill="FFFFFF" w:themeFill="background1"/>
            <w:noWrap/>
            <w:vAlign w:val="bottom"/>
            <w:hideMark/>
          </w:tcPr>
          <w:p w:rsidR="0010643F" w:rsidRPr="0010643F" w:rsidRDefault="0010643F" w:rsidP="00AE7853">
            <w:pPr>
              <w:pStyle w:val="Listaszerbekezds"/>
              <w:numPr>
                <w:ilvl w:val="0"/>
                <w:numId w:val="2"/>
              </w:numPr>
              <w:spacing w:after="0" w:line="240" w:lineRule="auto"/>
              <w:ind w:left="645" w:hanging="437"/>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Műszaki alapismeretek</w:t>
            </w:r>
          </w:p>
        </w:tc>
        <w:tc>
          <w:tcPr>
            <w:tcW w:w="1990" w:type="dxa"/>
            <w:shd w:val="clear" w:color="auto" w:fill="FFFFFF" w:themeFill="background1"/>
            <w:vAlign w:val="center"/>
          </w:tcPr>
          <w:p w:rsidR="0010643F" w:rsidRPr="0010643F" w:rsidRDefault="0010643F" w:rsidP="0010643F">
            <w:pPr>
              <w:spacing w:after="0" w:line="240" w:lineRule="auto"/>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HKHDTA02</w:t>
            </w:r>
          </w:p>
        </w:tc>
      </w:tr>
      <w:tr w:rsidR="0010643F" w:rsidRPr="0010643F" w:rsidTr="00AE7853">
        <w:trPr>
          <w:trHeight w:val="315"/>
          <w:jc w:val="center"/>
        </w:trPr>
        <w:tc>
          <w:tcPr>
            <w:tcW w:w="5676" w:type="dxa"/>
            <w:shd w:val="clear" w:color="auto" w:fill="FFFFFF" w:themeFill="background1"/>
            <w:noWrap/>
            <w:vAlign w:val="bottom"/>
            <w:hideMark/>
          </w:tcPr>
          <w:p w:rsidR="0010643F" w:rsidRPr="0010643F" w:rsidRDefault="0010643F" w:rsidP="00AE7853">
            <w:pPr>
              <w:pStyle w:val="Listaszerbekezds"/>
              <w:numPr>
                <w:ilvl w:val="0"/>
                <w:numId w:val="2"/>
              </w:numPr>
              <w:spacing w:after="0" w:line="240" w:lineRule="auto"/>
              <w:ind w:left="645" w:hanging="437"/>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Logisztikai támogatás alapjai</w:t>
            </w:r>
          </w:p>
        </w:tc>
        <w:tc>
          <w:tcPr>
            <w:tcW w:w="1990" w:type="dxa"/>
            <w:shd w:val="clear" w:color="auto" w:fill="FFFFFF" w:themeFill="background1"/>
            <w:vAlign w:val="center"/>
          </w:tcPr>
          <w:p w:rsidR="0010643F" w:rsidRPr="0010643F" w:rsidRDefault="0010643F" w:rsidP="0010643F">
            <w:pPr>
              <w:spacing w:after="0" w:line="240" w:lineRule="auto"/>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HKHPKA13</w:t>
            </w:r>
          </w:p>
        </w:tc>
      </w:tr>
      <w:tr w:rsidR="0010643F" w:rsidRPr="0010643F" w:rsidTr="00AE7853">
        <w:trPr>
          <w:trHeight w:val="315"/>
          <w:jc w:val="center"/>
        </w:trPr>
        <w:tc>
          <w:tcPr>
            <w:tcW w:w="5676" w:type="dxa"/>
            <w:shd w:val="clear" w:color="auto" w:fill="FFFFFF" w:themeFill="background1"/>
            <w:noWrap/>
            <w:vAlign w:val="bottom"/>
            <w:hideMark/>
          </w:tcPr>
          <w:p w:rsidR="0010643F" w:rsidRPr="0010643F" w:rsidRDefault="0010643F" w:rsidP="00AE7853">
            <w:pPr>
              <w:pStyle w:val="Listaszerbekezds"/>
              <w:numPr>
                <w:ilvl w:val="0"/>
                <w:numId w:val="2"/>
              </w:numPr>
              <w:spacing w:after="0" w:line="240" w:lineRule="auto"/>
              <w:ind w:left="645" w:hanging="437"/>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Vezetői tréning</w:t>
            </w:r>
          </w:p>
        </w:tc>
        <w:tc>
          <w:tcPr>
            <w:tcW w:w="1990" w:type="dxa"/>
            <w:shd w:val="clear" w:color="auto" w:fill="FFFFFF" w:themeFill="background1"/>
            <w:vAlign w:val="center"/>
          </w:tcPr>
          <w:p w:rsidR="0010643F" w:rsidRPr="0010643F" w:rsidRDefault="0010643F" w:rsidP="0010643F">
            <w:pPr>
              <w:spacing w:after="0" w:line="240" w:lineRule="auto"/>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 xml:space="preserve">HKKVKA04 </w:t>
            </w:r>
          </w:p>
        </w:tc>
      </w:tr>
      <w:tr w:rsidR="0010643F" w:rsidRPr="0010643F" w:rsidTr="00AE7853">
        <w:trPr>
          <w:trHeight w:val="315"/>
          <w:jc w:val="center"/>
        </w:trPr>
        <w:tc>
          <w:tcPr>
            <w:tcW w:w="5676" w:type="dxa"/>
            <w:shd w:val="clear" w:color="auto" w:fill="FFFFFF" w:themeFill="background1"/>
            <w:noWrap/>
            <w:vAlign w:val="bottom"/>
            <w:hideMark/>
          </w:tcPr>
          <w:p w:rsidR="0010643F" w:rsidRPr="0010643F" w:rsidRDefault="0010643F" w:rsidP="00AE7853">
            <w:pPr>
              <w:pStyle w:val="Listaszerbekezds"/>
              <w:numPr>
                <w:ilvl w:val="0"/>
                <w:numId w:val="2"/>
              </w:numPr>
              <w:spacing w:after="0" w:line="240" w:lineRule="auto"/>
              <w:ind w:left="645" w:hanging="437"/>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Üzemfenntartás</w:t>
            </w:r>
          </w:p>
        </w:tc>
        <w:tc>
          <w:tcPr>
            <w:tcW w:w="1990" w:type="dxa"/>
            <w:shd w:val="clear" w:color="auto" w:fill="FFFFFF" w:themeFill="background1"/>
            <w:vAlign w:val="center"/>
          </w:tcPr>
          <w:p w:rsidR="0010643F" w:rsidRPr="0010643F" w:rsidRDefault="0010643F" w:rsidP="0010643F">
            <w:pPr>
              <w:spacing w:after="0" w:line="240" w:lineRule="auto"/>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HKHDTA03</w:t>
            </w:r>
          </w:p>
        </w:tc>
      </w:tr>
      <w:tr w:rsidR="0010643F" w:rsidRPr="0010643F" w:rsidTr="00AE7853">
        <w:trPr>
          <w:trHeight w:val="315"/>
          <w:jc w:val="center"/>
        </w:trPr>
        <w:tc>
          <w:tcPr>
            <w:tcW w:w="5676" w:type="dxa"/>
            <w:shd w:val="clear" w:color="auto" w:fill="FFFFFF" w:themeFill="background1"/>
            <w:noWrap/>
            <w:vAlign w:val="bottom"/>
            <w:hideMark/>
          </w:tcPr>
          <w:p w:rsidR="0010643F" w:rsidRPr="0010643F" w:rsidRDefault="0010643F" w:rsidP="00AE7853">
            <w:pPr>
              <w:pStyle w:val="Listaszerbekezds"/>
              <w:numPr>
                <w:ilvl w:val="0"/>
                <w:numId w:val="2"/>
              </w:numPr>
              <w:spacing w:after="0" w:line="240" w:lineRule="auto"/>
              <w:ind w:left="645" w:hanging="437"/>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Logisztikai szakkiképzés módszertana</w:t>
            </w:r>
          </w:p>
        </w:tc>
        <w:tc>
          <w:tcPr>
            <w:tcW w:w="1990" w:type="dxa"/>
            <w:shd w:val="clear" w:color="auto" w:fill="FFFFFF" w:themeFill="background1"/>
            <w:vAlign w:val="center"/>
          </w:tcPr>
          <w:p w:rsidR="0010643F" w:rsidRPr="0010643F" w:rsidRDefault="0010643F" w:rsidP="0010643F">
            <w:pPr>
              <w:spacing w:after="0" w:line="240" w:lineRule="auto"/>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HKHPKA12</w:t>
            </w:r>
          </w:p>
        </w:tc>
      </w:tr>
      <w:tr w:rsidR="0010643F" w:rsidRPr="0010643F" w:rsidTr="00AE7853">
        <w:trPr>
          <w:trHeight w:val="315"/>
          <w:jc w:val="center"/>
        </w:trPr>
        <w:tc>
          <w:tcPr>
            <w:tcW w:w="5676" w:type="dxa"/>
            <w:shd w:val="clear" w:color="auto" w:fill="FFFFFF" w:themeFill="background1"/>
            <w:noWrap/>
            <w:vAlign w:val="bottom"/>
            <w:hideMark/>
          </w:tcPr>
          <w:p w:rsidR="0010643F" w:rsidRPr="0010643F" w:rsidRDefault="0010643F" w:rsidP="00AE7853">
            <w:pPr>
              <w:pStyle w:val="Listaszerbekezds"/>
              <w:numPr>
                <w:ilvl w:val="0"/>
                <w:numId w:val="2"/>
              </w:numPr>
              <w:spacing w:after="0" w:line="240" w:lineRule="auto"/>
              <w:ind w:left="645" w:hanging="437"/>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Lövészzászlóalj műveleteinek logisztikai támogatása I.</w:t>
            </w:r>
          </w:p>
        </w:tc>
        <w:tc>
          <w:tcPr>
            <w:tcW w:w="1990" w:type="dxa"/>
            <w:shd w:val="clear" w:color="auto" w:fill="FFFFFF" w:themeFill="background1"/>
            <w:vAlign w:val="center"/>
          </w:tcPr>
          <w:p w:rsidR="0010643F" w:rsidRPr="0010643F" w:rsidRDefault="0010643F" w:rsidP="0010643F">
            <w:pPr>
              <w:spacing w:after="0" w:line="240" w:lineRule="auto"/>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HKHPKA14</w:t>
            </w:r>
          </w:p>
        </w:tc>
      </w:tr>
      <w:tr w:rsidR="0010643F" w:rsidRPr="0010643F" w:rsidTr="00AE7853">
        <w:trPr>
          <w:trHeight w:val="315"/>
          <w:jc w:val="center"/>
        </w:trPr>
        <w:tc>
          <w:tcPr>
            <w:tcW w:w="5676" w:type="dxa"/>
            <w:shd w:val="clear" w:color="auto" w:fill="FFFFFF" w:themeFill="background1"/>
            <w:noWrap/>
            <w:vAlign w:val="bottom"/>
            <w:hideMark/>
          </w:tcPr>
          <w:p w:rsidR="0010643F" w:rsidRPr="0010643F" w:rsidRDefault="0010643F" w:rsidP="00AE7853">
            <w:pPr>
              <w:pStyle w:val="Listaszerbekezds"/>
              <w:numPr>
                <w:ilvl w:val="0"/>
                <w:numId w:val="2"/>
              </w:numPr>
              <w:spacing w:after="0" w:line="240" w:lineRule="auto"/>
              <w:ind w:left="645" w:hanging="437"/>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Közös közszolgálati gyakorlat</w:t>
            </w:r>
          </w:p>
        </w:tc>
        <w:tc>
          <w:tcPr>
            <w:tcW w:w="1990" w:type="dxa"/>
            <w:shd w:val="clear" w:color="auto" w:fill="FFFFFF" w:themeFill="background1"/>
            <w:vAlign w:val="center"/>
          </w:tcPr>
          <w:p w:rsidR="0010643F" w:rsidRPr="0010643F" w:rsidRDefault="0010643F" w:rsidP="0010643F">
            <w:pPr>
              <w:spacing w:after="0" w:line="240" w:lineRule="auto"/>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RRVTB03</w:t>
            </w:r>
          </w:p>
        </w:tc>
      </w:tr>
      <w:tr w:rsidR="0010643F" w:rsidRPr="0010643F" w:rsidTr="00AE7853">
        <w:trPr>
          <w:trHeight w:val="315"/>
          <w:jc w:val="center"/>
        </w:trPr>
        <w:tc>
          <w:tcPr>
            <w:tcW w:w="5676" w:type="dxa"/>
            <w:shd w:val="clear" w:color="auto" w:fill="FFFFFF" w:themeFill="background1"/>
            <w:noWrap/>
            <w:vAlign w:val="bottom"/>
            <w:hideMark/>
          </w:tcPr>
          <w:p w:rsidR="0010643F" w:rsidRPr="0010643F" w:rsidRDefault="0010643F" w:rsidP="00AE7853">
            <w:pPr>
              <w:pStyle w:val="Listaszerbekezds"/>
              <w:numPr>
                <w:ilvl w:val="0"/>
                <w:numId w:val="2"/>
              </w:numPr>
              <w:spacing w:after="0" w:line="240" w:lineRule="auto"/>
              <w:ind w:left="645" w:hanging="437"/>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Lövészzászlóalj műveleteinek logisztikai támogatása II.</w:t>
            </w:r>
          </w:p>
        </w:tc>
        <w:tc>
          <w:tcPr>
            <w:tcW w:w="1990" w:type="dxa"/>
            <w:shd w:val="clear" w:color="auto" w:fill="FFFFFF" w:themeFill="background1"/>
            <w:vAlign w:val="center"/>
          </w:tcPr>
          <w:p w:rsidR="0010643F" w:rsidRPr="0010643F" w:rsidRDefault="0010643F" w:rsidP="0010643F">
            <w:pPr>
              <w:spacing w:after="0" w:line="240" w:lineRule="auto"/>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HKHPKA15</w:t>
            </w:r>
          </w:p>
        </w:tc>
      </w:tr>
      <w:tr w:rsidR="0010643F" w:rsidRPr="0010643F" w:rsidTr="00AE7853">
        <w:trPr>
          <w:trHeight w:val="315"/>
          <w:jc w:val="center"/>
        </w:trPr>
        <w:tc>
          <w:tcPr>
            <w:tcW w:w="5676" w:type="dxa"/>
            <w:shd w:val="clear" w:color="auto" w:fill="FFFFFF" w:themeFill="background1"/>
            <w:noWrap/>
            <w:vAlign w:val="bottom"/>
            <w:hideMark/>
          </w:tcPr>
          <w:p w:rsidR="0010643F" w:rsidRPr="0010643F" w:rsidRDefault="0010643F" w:rsidP="00AE7853">
            <w:pPr>
              <w:pStyle w:val="Listaszerbekezds"/>
              <w:numPr>
                <w:ilvl w:val="0"/>
                <w:numId w:val="2"/>
              </w:numPr>
              <w:spacing w:after="0" w:line="240" w:lineRule="auto"/>
              <w:ind w:left="645" w:hanging="437"/>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Lövészdandár logisztikai támogatásának alapjai</w:t>
            </w:r>
          </w:p>
        </w:tc>
        <w:tc>
          <w:tcPr>
            <w:tcW w:w="1990" w:type="dxa"/>
            <w:shd w:val="clear" w:color="auto" w:fill="FFFFFF" w:themeFill="background1"/>
            <w:vAlign w:val="center"/>
          </w:tcPr>
          <w:p w:rsidR="0010643F" w:rsidRPr="0010643F" w:rsidRDefault="0010643F" w:rsidP="0010643F">
            <w:pPr>
              <w:spacing w:after="0" w:line="240" w:lineRule="auto"/>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HKHPKA16</w:t>
            </w:r>
          </w:p>
        </w:tc>
      </w:tr>
      <w:tr w:rsidR="00863B73" w:rsidRPr="0010643F" w:rsidTr="00AE7853">
        <w:trPr>
          <w:trHeight w:val="315"/>
          <w:jc w:val="center"/>
        </w:trPr>
        <w:tc>
          <w:tcPr>
            <w:tcW w:w="5676" w:type="dxa"/>
            <w:shd w:val="clear" w:color="auto" w:fill="FFFFFF" w:themeFill="background1"/>
            <w:noWrap/>
            <w:vAlign w:val="bottom"/>
            <w:hideMark/>
          </w:tcPr>
          <w:p w:rsidR="00863B73" w:rsidRPr="0010643F" w:rsidRDefault="00863B73" w:rsidP="00AE7853">
            <w:pPr>
              <w:pStyle w:val="Listaszerbekezds"/>
              <w:numPr>
                <w:ilvl w:val="0"/>
                <w:numId w:val="2"/>
              </w:numPr>
              <w:spacing w:after="0" w:line="240" w:lineRule="auto"/>
              <w:ind w:left="645" w:hanging="437"/>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Katonai testnevelés I.</w:t>
            </w:r>
          </w:p>
        </w:tc>
        <w:tc>
          <w:tcPr>
            <w:tcW w:w="1990" w:type="dxa"/>
            <w:shd w:val="clear" w:color="auto" w:fill="FFFFFF" w:themeFill="background1"/>
            <w:vAlign w:val="center"/>
          </w:tcPr>
          <w:p w:rsidR="00863B73" w:rsidRPr="0010643F" w:rsidRDefault="00863B73" w:rsidP="00DC5558">
            <w:pPr>
              <w:spacing w:after="0" w:line="240" w:lineRule="auto"/>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HKTSKA01</w:t>
            </w:r>
          </w:p>
        </w:tc>
      </w:tr>
      <w:tr w:rsidR="00863B73" w:rsidRPr="0010643F" w:rsidTr="00AE7853">
        <w:trPr>
          <w:trHeight w:val="315"/>
          <w:jc w:val="center"/>
        </w:trPr>
        <w:tc>
          <w:tcPr>
            <w:tcW w:w="5676" w:type="dxa"/>
            <w:shd w:val="clear" w:color="auto" w:fill="FFFFFF" w:themeFill="background1"/>
            <w:noWrap/>
            <w:vAlign w:val="bottom"/>
          </w:tcPr>
          <w:p w:rsidR="00863B73" w:rsidRPr="00863B73" w:rsidRDefault="00371203" w:rsidP="00AE7853">
            <w:pPr>
              <w:pStyle w:val="Listaszerbekezds"/>
              <w:numPr>
                <w:ilvl w:val="0"/>
                <w:numId w:val="2"/>
              </w:numPr>
              <w:spacing w:after="0" w:line="240" w:lineRule="auto"/>
              <w:ind w:left="645" w:hanging="437"/>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Katonai t</w:t>
            </w:r>
            <w:r w:rsidR="00863B73" w:rsidRPr="00863B73">
              <w:rPr>
                <w:rFonts w:ascii="Times New Roman" w:eastAsia="Times New Roman" w:hAnsi="Times New Roman" w:cs="Times New Roman"/>
                <w:sz w:val="24"/>
                <w:szCs w:val="24"/>
                <w:lang w:eastAsia="hu-HU"/>
              </w:rPr>
              <w:t>estnevelés II.</w:t>
            </w:r>
          </w:p>
        </w:tc>
        <w:tc>
          <w:tcPr>
            <w:tcW w:w="1990" w:type="dxa"/>
            <w:shd w:val="clear" w:color="auto" w:fill="FFFFFF" w:themeFill="background1"/>
            <w:vAlign w:val="center"/>
          </w:tcPr>
          <w:p w:rsidR="00863B73" w:rsidRPr="00863B73" w:rsidRDefault="00863B73" w:rsidP="00863B73">
            <w:pPr>
              <w:spacing w:after="0" w:line="240" w:lineRule="auto"/>
              <w:rPr>
                <w:rFonts w:ascii="Times New Roman" w:eastAsia="Times New Roman" w:hAnsi="Times New Roman" w:cs="Times New Roman"/>
                <w:sz w:val="24"/>
                <w:szCs w:val="24"/>
                <w:lang w:eastAsia="hu-HU"/>
              </w:rPr>
            </w:pPr>
            <w:r w:rsidRPr="00863B73">
              <w:rPr>
                <w:rFonts w:ascii="Times New Roman" w:eastAsia="Times New Roman" w:hAnsi="Times New Roman" w:cs="Times New Roman"/>
                <w:sz w:val="24"/>
                <w:szCs w:val="24"/>
                <w:lang w:eastAsia="hu-HU"/>
              </w:rPr>
              <w:t>HKTSKA02</w:t>
            </w:r>
          </w:p>
        </w:tc>
      </w:tr>
      <w:tr w:rsidR="00863B73" w:rsidRPr="0010643F" w:rsidTr="00AE7853">
        <w:trPr>
          <w:trHeight w:val="315"/>
          <w:jc w:val="center"/>
        </w:trPr>
        <w:tc>
          <w:tcPr>
            <w:tcW w:w="5676" w:type="dxa"/>
            <w:shd w:val="clear" w:color="auto" w:fill="FFFFFF" w:themeFill="background1"/>
            <w:noWrap/>
            <w:vAlign w:val="bottom"/>
          </w:tcPr>
          <w:p w:rsidR="00863B73" w:rsidRPr="00863B73" w:rsidRDefault="00371203" w:rsidP="00AE7853">
            <w:pPr>
              <w:pStyle w:val="Listaszerbekezds"/>
              <w:numPr>
                <w:ilvl w:val="0"/>
                <w:numId w:val="2"/>
              </w:numPr>
              <w:spacing w:after="0" w:line="240" w:lineRule="auto"/>
              <w:ind w:left="645" w:hanging="437"/>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Katonai t</w:t>
            </w:r>
            <w:r w:rsidR="00863B73" w:rsidRPr="00863B73">
              <w:rPr>
                <w:rFonts w:ascii="Times New Roman" w:eastAsia="Times New Roman" w:hAnsi="Times New Roman" w:cs="Times New Roman"/>
                <w:sz w:val="24"/>
                <w:szCs w:val="24"/>
                <w:lang w:eastAsia="hu-HU"/>
              </w:rPr>
              <w:t>estnevelés III.</w:t>
            </w:r>
          </w:p>
        </w:tc>
        <w:tc>
          <w:tcPr>
            <w:tcW w:w="1990" w:type="dxa"/>
            <w:shd w:val="clear" w:color="auto" w:fill="FFFFFF" w:themeFill="background1"/>
            <w:vAlign w:val="center"/>
          </w:tcPr>
          <w:p w:rsidR="00863B73" w:rsidRPr="00863B73" w:rsidRDefault="00863B73" w:rsidP="00863B73">
            <w:pPr>
              <w:spacing w:after="0" w:line="240" w:lineRule="auto"/>
              <w:rPr>
                <w:rFonts w:ascii="Times New Roman" w:eastAsia="Times New Roman" w:hAnsi="Times New Roman" w:cs="Times New Roman"/>
                <w:sz w:val="24"/>
                <w:szCs w:val="24"/>
                <w:lang w:eastAsia="hu-HU"/>
              </w:rPr>
            </w:pPr>
            <w:r w:rsidRPr="00863B73">
              <w:rPr>
                <w:rFonts w:ascii="Times New Roman" w:eastAsia="Times New Roman" w:hAnsi="Times New Roman" w:cs="Times New Roman"/>
                <w:sz w:val="24"/>
                <w:szCs w:val="24"/>
                <w:lang w:eastAsia="hu-HU"/>
              </w:rPr>
              <w:t>HKTSKA03</w:t>
            </w:r>
          </w:p>
        </w:tc>
      </w:tr>
      <w:tr w:rsidR="00863B73" w:rsidRPr="0010643F" w:rsidTr="00AE7853">
        <w:trPr>
          <w:trHeight w:val="315"/>
          <w:jc w:val="center"/>
        </w:trPr>
        <w:tc>
          <w:tcPr>
            <w:tcW w:w="5676" w:type="dxa"/>
            <w:shd w:val="clear" w:color="auto" w:fill="FFFFFF" w:themeFill="background1"/>
            <w:noWrap/>
            <w:vAlign w:val="bottom"/>
          </w:tcPr>
          <w:p w:rsidR="00863B73" w:rsidRPr="00863B73" w:rsidRDefault="00371203" w:rsidP="00AE7853">
            <w:pPr>
              <w:pStyle w:val="Listaszerbekezds"/>
              <w:numPr>
                <w:ilvl w:val="0"/>
                <w:numId w:val="2"/>
              </w:numPr>
              <w:spacing w:after="0" w:line="240" w:lineRule="auto"/>
              <w:ind w:left="645" w:hanging="437"/>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Katonai t</w:t>
            </w:r>
            <w:r w:rsidR="00863B73" w:rsidRPr="00863B73">
              <w:rPr>
                <w:rFonts w:ascii="Times New Roman" w:eastAsia="Times New Roman" w:hAnsi="Times New Roman" w:cs="Times New Roman"/>
                <w:sz w:val="24"/>
                <w:szCs w:val="24"/>
                <w:lang w:eastAsia="hu-HU"/>
              </w:rPr>
              <w:t>estnevelés IV.</w:t>
            </w:r>
          </w:p>
        </w:tc>
        <w:tc>
          <w:tcPr>
            <w:tcW w:w="1990" w:type="dxa"/>
            <w:shd w:val="clear" w:color="auto" w:fill="FFFFFF" w:themeFill="background1"/>
            <w:vAlign w:val="center"/>
          </w:tcPr>
          <w:p w:rsidR="00863B73" w:rsidRPr="00863B73" w:rsidRDefault="00863B73" w:rsidP="00863B73">
            <w:pPr>
              <w:spacing w:after="0" w:line="240" w:lineRule="auto"/>
              <w:rPr>
                <w:rFonts w:ascii="Times New Roman" w:eastAsia="Times New Roman" w:hAnsi="Times New Roman" w:cs="Times New Roman"/>
                <w:sz w:val="24"/>
                <w:szCs w:val="24"/>
                <w:lang w:eastAsia="hu-HU"/>
              </w:rPr>
            </w:pPr>
            <w:r w:rsidRPr="00863B73">
              <w:rPr>
                <w:rFonts w:ascii="Times New Roman" w:eastAsia="Times New Roman" w:hAnsi="Times New Roman" w:cs="Times New Roman"/>
                <w:sz w:val="24"/>
                <w:szCs w:val="24"/>
                <w:lang w:eastAsia="hu-HU"/>
              </w:rPr>
              <w:t>HKTSKA04</w:t>
            </w:r>
          </w:p>
        </w:tc>
      </w:tr>
      <w:tr w:rsidR="00863B73" w:rsidRPr="0010643F" w:rsidTr="00AE7853">
        <w:trPr>
          <w:trHeight w:val="315"/>
          <w:jc w:val="center"/>
        </w:trPr>
        <w:tc>
          <w:tcPr>
            <w:tcW w:w="5676" w:type="dxa"/>
            <w:shd w:val="clear" w:color="auto" w:fill="FFFFFF" w:themeFill="background1"/>
            <w:noWrap/>
            <w:vAlign w:val="bottom"/>
          </w:tcPr>
          <w:p w:rsidR="00863B73" w:rsidRPr="00863B73" w:rsidRDefault="00371203" w:rsidP="00AE7853">
            <w:pPr>
              <w:pStyle w:val="Listaszerbekezds"/>
              <w:numPr>
                <w:ilvl w:val="0"/>
                <w:numId w:val="2"/>
              </w:numPr>
              <w:spacing w:after="0" w:line="240" w:lineRule="auto"/>
              <w:ind w:left="645" w:hanging="437"/>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Katonai t</w:t>
            </w:r>
            <w:r w:rsidR="00863B73" w:rsidRPr="00863B73">
              <w:rPr>
                <w:rFonts w:ascii="Times New Roman" w:eastAsia="Times New Roman" w:hAnsi="Times New Roman" w:cs="Times New Roman"/>
                <w:sz w:val="24"/>
                <w:szCs w:val="24"/>
                <w:lang w:eastAsia="hu-HU"/>
              </w:rPr>
              <w:t>estnevelés V.</w:t>
            </w:r>
          </w:p>
        </w:tc>
        <w:tc>
          <w:tcPr>
            <w:tcW w:w="1990" w:type="dxa"/>
            <w:shd w:val="clear" w:color="auto" w:fill="FFFFFF" w:themeFill="background1"/>
            <w:vAlign w:val="center"/>
          </w:tcPr>
          <w:p w:rsidR="00863B73" w:rsidRPr="00863B73" w:rsidRDefault="00863B73" w:rsidP="00863B73">
            <w:pPr>
              <w:spacing w:after="0" w:line="240" w:lineRule="auto"/>
              <w:rPr>
                <w:rFonts w:ascii="Times New Roman" w:eastAsia="Times New Roman" w:hAnsi="Times New Roman" w:cs="Times New Roman"/>
                <w:sz w:val="24"/>
                <w:szCs w:val="24"/>
                <w:lang w:eastAsia="hu-HU"/>
              </w:rPr>
            </w:pPr>
            <w:r w:rsidRPr="00863B73">
              <w:rPr>
                <w:rFonts w:ascii="Times New Roman" w:eastAsia="Times New Roman" w:hAnsi="Times New Roman" w:cs="Times New Roman"/>
                <w:sz w:val="24"/>
                <w:szCs w:val="24"/>
                <w:lang w:eastAsia="hu-HU"/>
              </w:rPr>
              <w:t>HKTSKA05</w:t>
            </w:r>
          </w:p>
        </w:tc>
      </w:tr>
      <w:tr w:rsidR="00863B73" w:rsidRPr="0010643F" w:rsidTr="00AE7853">
        <w:trPr>
          <w:trHeight w:val="315"/>
          <w:jc w:val="center"/>
        </w:trPr>
        <w:tc>
          <w:tcPr>
            <w:tcW w:w="5676" w:type="dxa"/>
            <w:shd w:val="clear" w:color="auto" w:fill="FFFFFF" w:themeFill="background1"/>
            <w:noWrap/>
            <w:vAlign w:val="bottom"/>
          </w:tcPr>
          <w:p w:rsidR="00863B73" w:rsidRPr="00863B73" w:rsidRDefault="00371203" w:rsidP="00AE7853">
            <w:pPr>
              <w:pStyle w:val="Listaszerbekezds"/>
              <w:numPr>
                <w:ilvl w:val="0"/>
                <w:numId w:val="2"/>
              </w:numPr>
              <w:spacing w:after="0" w:line="240" w:lineRule="auto"/>
              <w:ind w:left="645" w:hanging="437"/>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Katonai t</w:t>
            </w:r>
            <w:r w:rsidR="00863B73" w:rsidRPr="00863B73">
              <w:rPr>
                <w:rFonts w:ascii="Times New Roman" w:eastAsia="Times New Roman" w:hAnsi="Times New Roman" w:cs="Times New Roman"/>
                <w:sz w:val="24"/>
                <w:szCs w:val="24"/>
                <w:lang w:eastAsia="hu-HU"/>
              </w:rPr>
              <w:t>estnevelés VI.</w:t>
            </w:r>
          </w:p>
        </w:tc>
        <w:tc>
          <w:tcPr>
            <w:tcW w:w="1990" w:type="dxa"/>
            <w:shd w:val="clear" w:color="auto" w:fill="FFFFFF" w:themeFill="background1"/>
            <w:vAlign w:val="center"/>
          </w:tcPr>
          <w:p w:rsidR="00863B73" w:rsidRPr="00863B73" w:rsidRDefault="00863B73" w:rsidP="00863B73">
            <w:pPr>
              <w:spacing w:after="0" w:line="240" w:lineRule="auto"/>
              <w:rPr>
                <w:rFonts w:ascii="Times New Roman" w:eastAsia="Times New Roman" w:hAnsi="Times New Roman" w:cs="Times New Roman"/>
                <w:sz w:val="24"/>
                <w:szCs w:val="24"/>
                <w:lang w:eastAsia="hu-HU"/>
              </w:rPr>
            </w:pPr>
            <w:r w:rsidRPr="00863B73">
              <w:rPr>
                <w:rFonts w:ascii="Times New Roman" w:eastAsia="Times New Roman" w:hAnsi="Times New Roman" w:cs="Times New Roman"/>
                <w:sz w:val="24"/>
                <w:szCs w:val="24"/>
                <w:lang w:eastAsia="hu-HU"/>
              </w:rPr>
              <w:t>HKTSKA06</w:t>
            </w:r>
          </w:p>
        </w:tc>
      </w:tr>
      <w:tr w:rsidR="00863B73" w:rsidRPr="0010643F" w:rsidTr="00AE7853">
        <w:trPr>
          <w:trHeight w:val="315"/>
          <w:jc w:val="center"/>
        </w:trPr>
        <w:tc>
          <w:tcPr>
            <w:tcW w:w="5676" w:type="dxa"/>
            <w:shd w:val="clear" w:color="auto" w:fill="FFFFFF" w:themeFill="background1"/>
            <w:noWrap/>
            <w:vAlign w:val="bottom"/>
          </w:tcPr>
          <w:p w:rsidR="00863B73" w:rsidRPr="00863B73" w:rsidRDefault="00371203" w:rsidP="00AE7853">
            <w:pPr>
              <w:pStyle w:val="Listaszerbekezds"/>
              <w:numPr>
                <w:ilvl w:val="0"/>
                <w:numId w:val="2"/>
              </w:numPr>
              <w:spacing w:after="0" w:line="240" w:lineRule="auto"/>
              <w:ind w:left="645" w:hanging="437"/>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Katonai t</w:t>
            </w:r>
            <w:r w:rsidR="00863B73" w:rsidRPr="00863B73">
              <w:rPr>
                <w:rFonts w:ascii="Times New Roman" w:eastAsia="Times New Roman" w:hAnsi="Times New Roman" w:cs="Times New Roman"/>
                <w:sz w:val="24"/>
                <w:szCs w:val="24"/>
                <w:lang w:eastAsia="hu-HU"/>
              </w:rPr>
              <w:t>estnevelés VII.</w:t>
            </w:r>
          </w:p>
        </w:tc>
        <w:tc>
          <w:tcPr>
            <w:tcW w:w="1990" w:type="dxa"/>
            <w:shd w:val="clear" w:color="auto" w:fill="FFFFFF" w:themeFill="background1"/>
            <w:vAlign w:val="center"/>
          </w:tcPr>
          <w:p w:rsidR="00863B73" w:rsidRPr="00863B73" w:rsidRDefault="00863B73" w:rsidP="00863B73">
            <w:pPr>
              <w:spacing w:after="0" w:line="240" w:lineRule="auto"/>
              <w:rPr>
                <w:rFonts w:ascii="Times New Roman" w:eastAsia="Times New Roman" w:hAnsi="Times New Roman" w:cs="Times New Roman"/>
                <w:sz w:val="24"/>
                <w:szCs w:val="24"/>
                <w:lang w:eastAsia="hu-HU"/>
              </w:rPr>
            </w:pPr>
            <w:r w:rsidRPr="00863B73">
              <w:rPr>
                <w:rFonts w:ascii="Times New Roman" w:eastAsia="Times New Roman" w:hAnsi="Times New Roman" w:cs="Times New Roman"/>
                <w:sz w:val="24"/>
                <w:szCs w:val="24"/>
                <w:lang w:eastAsia="hu-HU"/>
              </w:rPr>
              <w:t>HKTSKA07</w:t>
            </w:r>
          </w:p>
        </w:tc>
      </w:tr>
      <w:tr w:rsidR="00863B73" w:rsidRPr="0010643F" w:rsidTr="00AE7853">
        <w:trPr>
          <w:trHeight w:val="315"/>
          <w:jc w:val="center"/>
        </w:trPr>
        <w:tc>
          <w:tcPr>
            <w:tcW w:w="5676" w:type="dxa"/>
            <w:shd w:val="clear" w:color="auto" w:fill="FFFFFF" w:themeFill="background1"/>
            <w:noWrap/>
            <w:vAlign w:val="bottom"/>
          </w:tcPr>
          <w:p w:rsidR="00863B73" w:rsidRPr="00863B73" w:rsidRDefault="00863B73" w:rsidP="00AE7853">
            <w:pPr>
              <w:pStyle w:val="Listaszerbekezds"/>
              <w:numPr>
                <w:ilvl w:val="0"/>
                <w:numId w:val="2"/>
              </w:numPr>
              <w:spacing w:after="0" w:line="240" w:lineRule="auto"/>
              <w:ind w:left="645" w:hanging="437"/>
              <w:rPr>
                <w:rFonts w:ascii="Times New Roman" w:eastAsia="Times New Roman" w:hAnsi="Times New Roman" w:cs="Times New Roman"/>
                <w:sz w:val="24"/>
                <w:szCs w:val="24"/>
                <w:lang w:eastAsia="hu-HU"/>
              </w:rPr>
            </w:pPr>
            <w:r w:rsidRPr="00863B73">
              <w:rPr>
                <w:rFonts w:ascii="Times New Roman" w:eastAsia="Times New Roman" w:hAnsi="Times New Roman" w:cs="Times New Roman"/>
                <w:sz w:val="24"/>
                <w:szCs w:val="24"/>
                <w:lang w:eastAsia="hu-HU"/>
              </w:rPr>
              <w:t>Csapatgyakoroltatás 1.</w:t>
            </w:r>
          </w:p>
        </w:tc>
        <w:tc>
          <w:tcPr>
            <w:tcW w:w="1990" w:type="dxa"/>
            <w:shd w:val="clear" w:color="auto" w:fill="FFFFFF" w:themeFill="background1"/>
            <w:vAlign w:val="center"/>
          </w:tcPr>
          <w:p w:rsidR="00863B73" w:rsidRPr="00863B73" w:rsidRDefault="00863B73" w:rsidP="00863B73">
            <w:pPr>
              <w:spacing w:after="0" w:line="240" w:lineRule="auto"/>
              <w:rPr>
                <w:rFonts w:ascii="Times New Roman" w:eastAsia="Times New Roman" w:hAnsi="Times New Roman" w:cs="Times New Roman"/>
                <w:sz w:val="24"/>
                <w:szCs w:val="24"/>
                <w:lang w:eastAsia="hu-HU"/>
              </w:rPr>
            </w:pPr>
            <w:r w:rsidRPr="00863B73">
              <w:rPr>
                <w:rFonts w:ascii="Times New Roman" w:eastAsia="Times New Roman" w:hAnsi="Times New Roman" w:cs="Times New Roman"/>
                <w:sz w:val="24"/>
                <w:szCs w:val="24"/>
                <w:lang w:eastAsia="hu-HU"/>
              </w:rPr>
              <w:t>HKHPKA18</w:t>
            </w:r>
          </w:p>
        </w:tc>
      </w:tr>
      <w:tr w:rsidR="00863B73" w:rsidRPr="0010643F" w:rsidTr="00AE7853">
        <w:trPr>
          <w:trHeight w:val="315"/>
          <w:jc w:val="center"/>
        </w:trPr>
        <w:tc>
          <w:tcPr>
            <w:tcW w:w="5676" w:type="dxa"/>
            <w:shd w:val="clear" w:color="auto" w:fill="FFFFFF" w:themeFill="background1"/>
            <w:noWrap/>
            <w:vAlign w:val="bottom"/>
          </w:tcPr>
          <w:p w:rsidR="00863B73" w:rsidRPr="00863B73" w:rsidRDefault="00863B73" w:rsidP="00AE7853">
            <w:pPr>
              <w:pStyle w:val="Listaszerbekezds"/>
              <w:numPr>
                <w:ilvl w:val="0"/>
                <w:numId w:val="2"/>
              </w:numPr>
              <w:spacing w:after="0" w:line="240" w:lineRule="auto"/>
              <w:ind w:left="645" w:hanging="437"/>
              <w:rPr>
                <w:rFonts w:ascii="Times New Roman" w:eastAsia="Times New Roman" w:hAnsi="Times New Roman" w:cs="Times New Roman"/>
                <w:sz w:val="24"/>
                <w:szCs w:val="24"/>
                <w:lang w:eastAsia="hu-HU"/>
              </w:rPr>
            </w:pPr>
            <w:r w:rsidRPr="00863B73">
              <w:rPr>
                <w:rFonts w:ascii="Times New Roman" w:eastAsia="Times New Roman" w:hAnsi="Times New Roman" w:cs="Times New Roman"/>
                <w:sz w:val="24"/>
                <w:szCs w:val="24"/>
                <w:lang w:eastAsia="hu-HU"/>
              </w:rPr>
              <w:t>Csapatgyakoroltatás 2.</w:t>
            </w:r>
          </w:p>
        </w:tc>
        <w:tc>
          <w:tcPr>
            <w:tcW w:w="1990" w:type="dxa"/>
            <w:shd w:val="clear" w:color="auto" w:fill="FFFFFF" w:themeFill="background1"/>
            <w:vAlign w:val="center"/>
          </w:tcPr>
          <w:p w:rsidR="00863B73" w:rsidRPr="00863B73" w:rsidRDefault="00863B73" w:rsidP="00863B73">
            <w:pPr>
              <w:spacing w:after="0" w:line="240" w:lineRule="auto"/>
              <w:rPr>
                <w:rFonts w:ascii="Times New Roman" w:eastAsia="Times New Roman" w:hAnsi="Times New Roman" w:cs="Times New Roman"/>
                <w:sz w:val="24"/>
                <w:szCs w:val="24"/>
                <w:lang w:eastAsia="hu-HU"/>
              </w:rPr>
            </w:pPr>
            <w:r w:rsidRPr="00863B73">
              <w:rPr>
                <w:rFonts w:ascii="Times New Roman" w:eastAsia="Times New Roman" w:hAnsi="Times New Roman" w:cs="Times New Roman"/>
                <w:sz w:val="24"/>
                <w:szCs w:val="24"/>
                <w:lang w:eastAsia="hu-HU"/>
              </w:rPr>
              <w:t>HKHPKA19</w:t>
            </w:r>
          </w:p>
        </w:tc>
      </w:tr>
    </w:tbl>
    <w:p w:rsidR="00E90EF1" w:rsidRDefault="00E90EF1" w:rsidP="00E90EF1">
      <w:pPr>
        <w:pStyle w:val="Listaszerbekezds"/>
        <w:ind w:left="1080"/>
        <w:rPr>
          <w:rFonts w:ascii="Times New Roman" w:hAnsi="Times New Roman" w:cs="Times New Roman"/>
          <w:sz w:val="24"/>
        </w:rPr>
      </w:pPr>
    </w:p>
    <w:p w:rsidR="00E90EF1" w:rsidRPr="008906FA" w:rsidRDefault="00E90EF1" w:rsidP="00E90EF1">
      <w:pPr>
        <w:pStyle w:val="Listaszerbekezds"/>
        <w:numPr>
          <w:ilvl w:val="0"/>
          <w:numId w:val="1"/>
        </w:numPr>
        <w:rPr>
          <w:rFonts w:ascii="Times New Roman" w:hAnsi="Times New Roman" w:cs="Times New Roman"/>
          <w:b/>
          <w:sz w:val="24"/>
        </w:rPr>
      </w:pPr>
      <w:r w:rsidRPr="008906FA">
        <w:rPr>
          <w:rFonts w:ascii="Times New Roman" w:hAnsi="Times New Roman" w:cs="Times New Roman"/>
          <w:b/>
          <w:sz w:val="24"/>
        </w:rPr>
        <w:t>A specializációk anyaga</w:t>
      </w:r>
    </w:p>
    <w:p w:rsidR="00E90EF1" w:rsidRDefault="00E90EF1" w:rsidP="00E90EF1">
      <w:pPr>
        <w:pStyle w:val="Listaszerbekezds"/>
        <w:ind w:left="1080"/>
        <w:rPr>
          <w:rFonts w:ascii="Times New Roman" w:hAnsi="Times New Roman" w:cs="Times New Roman"/>
          <w:sz w:val="24"/>
        </w:rPr>
      </w:pPr>
    </w:p>
    <w:p w:rsidR="008226EC" w:rsidRPr="008226EC" w:rsidRDefault="008226EC" w:rsidP="008226EC">
      <w:pPr>
        <w:pStyle w:val="Listaszerbekezds"/>
        <w:numPr>
          <w:ilvl w:val="1"/>
          <w:numId w:val="1"/>
        </w:numPr>
        <w:rPr>
          <w:rFonts w:ascii="Times New Roman" w:hAnsi="Times New Roman" w:cs="Times New Roman"/>
          <w:b/>
          <w:sz w:val="24"/>
        </w:rPr>
      </w:pPr>
      <w:r w:rsidRPr="008226EC">
        <w:rPr>
          <w:rFonts w:ascii="Times New Roman" w:hAnsi="Times New Roman" w:cs="Times New Roman"/>
          <w:b/>
          <w:sz w:val="24"/>
        </w:rPr>
        <w:t>Hadtáp specializáció:</w:t>
      </w:r>
    </w:p>
    <w:p w:rsidR="008226EC" w:rsidRPr="008226EC" w:rsidRDefault="008226EC" w:rsidP="008226EC">
      <w:pPr>
        <w:pStyle w:val="Listaszerbekezds"/>
        <w:ind w:left="1080"/>
        <w:rPr>
          <w:rFonts w:ascii="Times New Roman" w:hAnsi="Times New Roman" w:cs="Times New Roman"/>
          <w:sz w:val="24"/>
        </w:rPr>
      </w:pP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5671"/>
        <w:gridCol w:w="1984"/>
      </w:tblGrid>
      <w:tr w:rsidR="00863B73" w:rsidRPr="0010643F" w:rsidTr="00AE7853">
        <w:trPr>
          <w:trHeight w:val="338"/>
          <w:jc w:val="center"/>
        </w:trPr>
        <w:tc>
          <w:tcPr>
            <w:tcW w:w="5671" w:type="dxa"/>
            <w:shd w:val="clear" w:color="auto" w:fill="FFFFFF" w:themeFill="background1"/>
            <w:noWrap/>
            <w:vAlign w:val="bottom"/>
          </w:tcPr>
          <w:p w:rsidR="00863B73" w:rsidRPr="00863B73" w:rsidRDefault="00863B73" w:rsidP="0056665F">
            <w:pPr>
              <w:pStyle w:val="Listaszerbekezds"/>
              <w:numPr>
                <w:ilvl w:val="0"/>
                <w:numId w:val="3"/>
              </w:numPr>
              <w:spacing w:after="0" w:line="240" w:lineRule="auto"/>
              <w:ind w:left="645" w:hanging="437"/>
              <w:rPr>
                <w:rFonts w:ascii="Times New Roman" w:eastAsia="Times New Roman" w:hAnsi="Times New Roman" w:cs="Times New Roman"/>
                <w:sz w:val="24"/>
                <w:szCs w:val="24"/>
                <w:lang w:eastAsia="hu-HU"/>
              </w:rPr>
            </w:pPr>
            <w:r w:rsidRPr="00863B73">
              <w:rPr>
                <w:rFonts w:ascii="Times New Roman" w:eastAsia="Times New Roman" w:hAnsi="Times New Roman" w:cs="Times New Roman"/>
                <w:sz w:val="24"/>
                <w:szCs w:val="24"/>
                <w:lang w:eastAsia="hu-HU"/>
              </w:rPr>
              <w:t>Számvitel I. (Alapok)</w:t>
            </w:r>
          </w:p>
        </w:tc>
        <w:tc>
          <w:tcPr>
            <w:tcW w:w="1984" w:type="dxa"/>
            <w:shd w:val="clear" w:color="auto" w:fill="FFFFFF" w:themeFill="background1"/>
            <w:vAlign w:val="center"/>
          </w:tcPr>
          <w:p w:rsidR="00863B73" w:rsidRPr="00AE7853" w:rsidRDefault="00863B73" w:rsidP="00AE7853">
            <w:pPr>
              <w:spacing w:after="0" w:line="240" w:lineRule="auto"/>
              <w:rPr>
                <w:rFonts w:ascii="Times New Roman" w:eastAsia="Times New Roman" w:hAnsi="Times New Roman" w:cs="Times New Roman"/>
                <w:sz w:val="24"/>
                <w:szCs w:val="24"/>
                <w:lang w:eastAsia="hu-HU"/>
              </w:rPr>
            </w:pPr>
            <w:r w:rsidRPr="00AE7853">
              <w:rPr>
                <w:rFonts w:ascii="Times New Roman" w:eastAsia="Times New Roman" w:hAnsi="Times New Roman" w:cs="Times New Roman"/>
                <w:sz w:val="24"/>
                <w:szCs w:val="24"/>
                <w:lang w:eastAsia="hu-HU"/>
              </w:rPr>
              <w:t>HKHPKA500</w:t>
            </w:r>
          </w:p>
        </w:tc>
      </w:tr>
      <w:tr w:rsidR="00863B73" w:rsidRPr="0010643F" w:rsidTr="00AE7853">
        <w:trPr>
          <w:trHeight w:val="338"/>
          <w:jc w:val="center"/>
        </w:trPr>
        <w:tc>
          <w:tcPr>
            <w:tcW w:w="5671" w:type="dxa"/>
            <w:shd w:val="clear" w:color="auto" w:fill="FFFFFF" w:themeFill="background1"/>
            <w:noWrap/>
            <w:vAlign w:val="bottom"/>
          </w:tcPr>
          <w:p w:rsidR="00863B73" w:rsidRPr="00863B73" w:rsidRDefault="00863B73" w:rsidP="0056665F">
            <w:pPr>
              <w:pStyle w:val="Listaszerbekezds"/>
              <w:numPr>
                <w:ilvl w:val="0"/>
                <w:numId w:val="3"/>
              </w:numPr>
              <w:spacing w:after="0" w:line="240" w:lineRule="auto"/>
              <w:ind w:left="645" w:hanging="437"/>
              <w:rPr>
                <w:rFonts w:ascii="Times New Roman" w:eastAsia="Times New Roman" w:hAnsi="Times New Roman" w:cs="Times New Roman"/>
                <w:sz w:val="24"/>
                <w:szCs w:val="24"/>
                <w:lang w:eastAsia="hu-HU"/>
              </w:rPr>
            </w:pPr>
            <w:r w:rsidRPr="00863B73">
              <w:rPr>
                <w:rFonts w:ascii="Times New Roman" w:eastAsia="Times New Roman" w:hAnsi="Times New Roman" w:cs="Times New Roman"/>
                <w:sz w:val="24"/>
                <w:szCs w:val="24"/>
                <w:lang w:eastAsia="hu-HU"/>
              </w:rPr>
              <w:t>Pénzügyek I. (Alapok)</w:t>
            </w:r>
          </w:p>
        </w:tc>
        <w:tc>
          <w:tcPr>
            <w:tcW w:w="1984" w:type="dxa"/>
            <w:shd w:val="clear" w:color="auto" w:fill="FFFFFF" w:themeFill="background1"/>
            <w:vAlign w:val="center"/>
          </w:tcPr>
          <w:p w:rsidR="00863B73" w:rsidRPr="00AE7853" w:rsidRDefault="00863B73" w:rsidP="00AE7853">
            <w:pPr>
              <w:spacing w:after="0" w:line="240" w:lineRule="auto"/>
              <w:rPr>
                <w:rFonts w:ascii="Times New Roman" w:eastAsia="Times New Roman" w:hAnsi="Times New Roman" w:cs="Times New Roman"/>
                <w:sz w:val="24"/>
                <w:szCs w:val="24"/>
                <w:lang w:eastAsia="hu-HU"/>
              </w:rPr>
            </w:pPr>
            <w:r w:rsidRPr="00AE7853">
              <w:rPr>
                <w:rFonts w:ascii="Times New Roman" w:eastAsia="Times New Roman" w:hAnsi="Times New Roman" w:cs="Times New Roman"/>
                <w:sz w:val="24"/>
                <w:szCs w:val="24"/>
                <w:lang w:eastAsia="hu-HU"/>
              </w:rPr>
              <w:t>HKHPKA501</w:t>
            </w:r>
          </w:p>
        </w:tc>
      </w:tr>
      <w:tr w:rsidR="00863B73" w:rsidRPr="0010643F" w:rsidTr="00AE7853">
        <w:trPr>
          <w:trHeight w:val="338"/>
          <w:jc w:val="center"/>
        </w:trPr>
        <w:tc>
          <w:tcPr>
            <w:tcW w:w="5671" w:type="dxa"/>
            <w:shd w:val="clear" w:color="auto" w:fill="FFFFFF" w:themeFill="background1"/>
            <w:noWrap/>
            <w:vAlign w:val="bottom"/>
          </w:tcPr>
          <w:p w:rsidR="00863B73" w:rsidRPr="00863B73" w:rsidRDefault="00863B73" w:rsidP="0056665F">
            <w:pPr>
              <w:pStyle w:val="Listaszerbekezds"/>
              <w:numPr>
                <w:ilvl w:val="0"/>
                <w:numId w:val="3"/>
              </w:numPr>
              <w:spacing w:after="0" w:line="240" w:lineRule="auto"/>
              <w:ind w:left="645" w:hanging="437"/>
              <w:rPr>
                <w:rFonts w:ascii="Times New Roman" w:eastAsia="Times New Roman" w:hAnsi="Times New Roman" w:cs="Times New Roman"/>
                <w:sz w:val="24"/>
                <w:szCs w:val="24"/>
                <w:lang w:eastAsia="hu-HU"/>
              </w:rPr>
            </w:pPr>
            <w:r w:rsidRPr="00863B73">
              <w:rPr>
                <w:rFonts w:ascii="Times New Roman" w:eastAsia="Times New Roman" w:hAnsi="Times New Roman" w:cs="Times New Roman"/>
                <w:sz w:val="24"/>
                <w:szCs w:val="24"/>
                <w:lang w:eastAsia="hu-HU"/>
              </w:rPr>
              <w:t>Gazdálkodás és menedzsment</w:t>
            </w:r>
          </w:p>
        </w:tc>
        <w:tc>
          <w:tcPr>
            <w:tcW w:w="1984" w:type="dxa"/>
            <w:shd w:val="clear" w:color="auto" w:fill="FFFFFF" w:themeFill="background1"/>
            <w:vAlign w:val="center"/>
          </w:tcPr>
          <w:p w:rsidR="00863B73" w:rsidRPr="00AE7853" w:rsidRDefault="00863B73" w:rsidP="00AE7853">
            <w:pPr>
              <w:spacing w:after="0" w:line="240" w:lineRule="auto"/>
              <w:rPr>
                <w:rFonts w:ascii="Times New Roman" w:eastAsia="Times New Roman" w:hAnsi="Times New Roman" w:cs="Times New Roman"/>
                <w:sz w:val="24"/>
                <w:szCs w:val="24"/>
                <w:lang w:eastAsia="hu-HU"/>
              </w:rPr>
            </w:pPr>
            <w:r w:rsidRPr="00AE7853">
              <w:rPr>
                <w:rFonts w:ascii="Times New Roman" w:eastAsia="Times New Roman" w:hAnsi="Times New Roman" w:cs="Times New Roman"/>
                <w:sz w:val="24"/>
                <w:szCs w:val="24"/>
                <w:lang w:eastAsia="hu-HU"/>
              </w:rPr>
              <w:t>HKHPKA104</w:t>
            </w:r>
          </w:p>
        </w:tc>
      </w:tr>
      <w:tr w:rsidR="00863B73" w:rsidRPr="0010643F" w:rsidTr="00AE7853">
        <w:trPr>
          <w:trHeight w:val="338"/>
          <w:jc w:val="center"/>
        </w:trPr>
        <w:tc>
          <w:tcPr>
            <w:tcW w:w="5671" w:type="dxa"/>
            <w:shd w:val="clear" w:color="auto" w:fill="FFFFFF" w:themeFill="background1"/>
            <w:noWrap/>
            <w:vAlign w:val="bottom"/>
          </w:tcPr>
          <w:p w:rsidR="00863B73" w:rsidRPr="00863B73" w:rsidRDefault="00863B73" w:rsidP="0056665F">
            <w:pPr>
              <w:pStyle w:val="Listaszerbekezds"/>
              <w:numPr>
                <w:ilvl w:val="0"/>
                <w:numId w:val="3"/>
              </w:numPr>
              <w:spacing w:after="0" w:line="240" w:lineRule="auto"/>
              <w:ind w:left="645" w:hanging="437"/>
              <w:rPr>
                <w:rFonts w:ascii="Times New Roman" w:eastAsia="Times New Roman" w:hAnsi="Times New Roman" w:cs="Times New Roman"/>
                <w:sz w:val="24"/>
                <w:szCs w:val="24"/>
                <w:lang w:eastAsia="hu-HU"/>
              </w:rPr>
            </w:pPr>
            <w:r w:rsidRPr="00863B73">
              <w:rPr>
                <w:rFonts w:ascii="Times New Roman" w:eastAsia="Times New Roman" w:hAnsi="Times New Roman" w:cs="Times New Roman"/>
                <w:sz w:val="24"/>
                <w:szCs w:val="24"/>
                <w:lang w:eastAsia="hu-HU"/>
              </w:rPr>
              <w:t>Államháztartási és katonai pénzügyi ismeretek I.</w:t>
            </w:r>
          </w:p>
        </w:tc>
        <w:tc>
          <w:tcPr>
            <w:tcW w:w="1984" w:type="dxa"/>
            <w:shd w:val="clear" w:color="auto" w:fill="FFFFFF" w:themeFill="background1"/>
            <w:vAlign w:val="center"/>
          </w:tcPr>
          <w:p w:rsidR="00863B73" w:rsidRPr="00AE7853" w:rsidRDefault="00863B73" w:rsidP="00AE7853">
            <w:pPr>
              <w:spacing w:after="0" w:line="240" w:lineRule="auto"/>
              <w:rPr>
                <w:rFonts w:ascii="Times New Roman" w:eastAsia="Times New Roman" w:hAnsi="Times New Roman" w:cs="Times New Roman"/>
                <w:sz w:val="24"/>
                <w:szCs w:val="24"/>
                <w:lang w:eastAsia="hu-HU"/>
              </w:rPr>
            </w:pPr>
            <w:r w:rsidRPr="00AE7853">
              <w:rPr>
                <w:rFonts w:ascii="Times New Roman" w:eastAsia="Times New Roman" w:hAnsi="Times New Roman" w:cs="Times New Roman"/>
                <w:sz w:val="24"/>
                <w:szCs w:val="24"/>
                <w:lang w:eastAsia="hu-HU"/>
              </w:rPr>
              <w:t>HKHPKA503</w:t>
            </w:r>
          </w:p>
        </w:tc>
      </w:tr>
      <w:tr w:rsidR="00863B73" w:rsidRPr="0010643F" w:rsidTr="00AE7853">
        <w:trPr>
          <w:trHeight w:val="338"/>
          <w:jc w:val="center"/>
        </w:trPr>
        <w:tc>
          <w:tcPr>
            <w:tcW w:w="5671" w:type="dxa"/>
            <w:shd w:val="clear" w:color="auto" w:fill="FFFFFF" w:themeFill="background1"/>
            <w:noWrap/>
            <w:vAlign w:val="bottom"/>
          </w:tcPr>
          <w:p w:rsidR="00863B73" w:rsidRPr="00863B73" w:rsidRDefault="00863B73" w:rsidP="0056665F">
            <w:pPr>
              <w:pStyle w:val="Listaszerbekezds"/>
              <w:numPr>
                <w:ilvl w:val="0"/>
                <w:numId w:val="3"/>
              </w:numPr>
              <w:spacing w:after="0" w:line="240" w:lineRule="auto"/>
              <w:ind w:left="645" w:hanging="437"/>
              <w:rPr>
                <w:rFonts w:ascii="Times New Roman" w:eastAsia="Times New Roman" w:hAnsi="Times New Roman" w:cs="Times New Roman"/>
                <w:sz w:val="24"/>
                <w:szCs w:val="24"/>
                <w:lang w:eastAsia="hu-HU"/>
              </w:rPr>
            </w:pPr>
            <w:r w:rsidRPr="00863B73">
              <w:rPr>
                <w:rFonts w:ascii="Times New Roman" w:eastAsia="Times New Roman" w:hAnsi="Times New Roman" w:cs="Times New Roman"/>
                <w:sz w:val="24"/>
                <w:szCs w:val="24"/>
                <w:lang w:eastAsia="hu-HU"/>
              </w:rPr>
              <w:t>Ellátó alegységek vezetése</w:t>
            </w:r>
          </w:p>
        </w:tc>
        <w:tc>
          <w:tcPr>
            <w:tcW w:w="1984" w:type="dxa"/>
            <w:shd w:val="clear" w:color="auto" w:fill="FFFFFF" w:themeFill="background1"/>
            <w:vAlign w:val="center"/>
          </w:tcPr>
          <w:p w:rsidR="00863B73" w:rsidRPr="00AE7853" w:rsidRDefault="00863B73" w:rsidP="00AE7853">
            <w:pPr>
              <w:spacing w:after="0" w:line="240" w:lineRule="auto"/>
              <w:rPr>
                <w:rFonts w:ascii="Times New Roman" w:eastAsia="Times New Roman" w:hAnsi="Times New Roman" w:cs="Times New Roman"/>
                <w:sz w:val="24"/>
                <w:szCs w:val="24"/>
                <w:lang w:eastAsia="hu-HU"/>
              </w:rPr>
            </w:pPr>
            <w:r w:rsidRPr="00AE7853">
              <w:rPr>
                <w:rFonts w:ascii="Times New Roman" w:eastAsia="Times New Roman" w:hAnsi="Times New Roman" w:cs="Times New Roman"/>
                <w:sz w:val="24"/>
                <w:szCs w:val="24"/>
                <w:lang w:eastAsia="hu-HU"/>
              </w:rPr>
              <w:t>HKHPKA105</w:t>
            </w:r>
          </w:p>
        </w:tc>
      </w:tr>
      <w:tr w:rsidR="00863B73" w:rsidRPr="0010643F" w:rsidTr="00AE7853">
        <w:trPr>
          <w:trHeight w:val="338"/>
          <w:jc w:val="center"/>
        </w:trPr>
        <w:tc>
          <w:tcPr>
            <w:tcW w:w="5671" w:type="dxa"/>
            <w:shd w:val="clear" w:color="auto" w:fill="FFFFFF" w:themeFill="background1"/>
            <w:noWrap/>
            <w:vAlign w:val="bottom"/>
          </w:tcPr>
          <w:p w:rsidR="00863B73" w:rsidRPr="00863B73" w:rsidRDefault="00863B73" w:rsidP="0056665F">
            <w:pPr>
              <w:pStyle w:val="Listaszerbekezds"/>
              <w:numPr>
                <w:ilvl w:val="0"/>
                <w:numId w:val="3"/>
              </w:numPr>
              <w:spacing w:after="0" w:line="240" w:lineRule="auto"/>
              <w:ind w:left="645" w:hanging="437"/>
              <w:rPr>
                <w:rFonts w:ascii="Times New Roman" w:eastAsia="Times New Roman" w:hAnsi="Times New Roman" w:cs="Times New Roman"/>
                <w:sz w:val="24"/>
                <w:szCs w:val="24"/>
                <w:lang w:eastAsia="hu-HU"/>
              </w:rPr>
            </w:pPr>
            <w:r w:rsidRPr="00863B73">
              <w:rPr>
                <w:rFonts w:ascii="Times New Roman" w:eastAsia="Times New Roman" w:hAnsi="Times New Roman" w:cs="Times New Roman"/>
                <w:sz w:val="24"/>
                <w:szCs w:val="24"/>
                <w:lang w:eastAsia="hu-HU"/>
              </w:rPr>
              <w:t>Hadtáp anyagismeret és gyártástechnológia</w:t>
            </w:r>
          </w:p>
        </w:tc>
        <w:tc>
          <w:tcPr>
            <w:tcW w:w="1984" w:type="dxa"/>
            <w:shd w:val="clear" w:color="auto" w:fill="FFFFFF" w:themeFill="background1"/>
            <w:vAlign w:val="center"/>
          </w:tcPr>
          <w:p w:rsidR="00863B73" w:rsidRPr="00AE7853" w:rsidRDefault="00863B73" w:rsidP="00AE7853">
            <w:pPr>
              <w:spacing w:after="0" w:line="240" w:lineRule="auto"/>
              <w:rPr>
                <w:rFonts w:ascii="Times New Roman" w:eastAsia="Times New Roman" w:hAnsi="Times New Roman" w:cs="Times New Roman"/>
                <w:sz w:val="24"/>
                <w:szCs w:val="24"/>
                <w:lang w:eastAsia="hu-HU"/>
              </w:rPr>
            </w:pPr>
            <w:r w:rsidRPr="00AE7853">
              <w:rPr>
                <w:rFonts w:ascii="Times New Roman" w:eastAsia="Times New Roman" w:hAnsi="Times New Roman" w:cs="Times New Roman"/>
                <w:sz w:val="24"/>
                <w:szCs w:val="24"/>
                <w:lang w:eastAsia="hu-HU"/>
              </w:rPr>
              <w:t>HKHPKA108</w:t>
            </w:r>
          </w:p>
        </w:tc>
      </w:tr>
      <w:tr w:rsidR="00863B73" w:rsidRPr="0010643F" w:rsidTr="00AE7853">
        <w:trPr>
          <w:trHeight w:val="338"/>
          <w:jc w:val="center"/>
        </w:trPr>
        <w:tc>
          <w:tcPr>
            <w:tcW w:w="5671" w:type="dxa"/>
            <w:shd w:val="clear" w:color="auto" w:fill="FFFFFF" w:themeFill="background1"/>
            <w:noWrap/>
            <w:vAlign w:val="bottom"/>
          </w:tcPr>
          <w:p w:rsidR="00863B73" w:rsidRPr="00863B73" w:rsidRDefault="00863B73" w:rsidP="0056665F">
            <w:pPr>
              <w:pStyle w:val="Listaszerbekezds"/>
              <w:numPr>
                <w:ilvl w:val="0"/>
                <w:numId w:val="3"/>
              </w:numPr>
              <w:spacing w:after="0" w:line="240" w:lineRule="auto"/>
              <w:ind w:left="645" w:hanging="437"/>
              <w:rPr>
                <w:rFonts w:ascii="Times New Roman" w:eastAsia="Times New Roman" w:hAnsi="Times New Roman" w:cs="Times New Roman"/>
                <w:sz w:val="24"/>
                <w:szCs w:val="24"/>
                <w:lang w:eastAsia="hu-HU"/>
              </w:rPr>
            </w:pPr>
            <w:r w:rsidRPr="00863B73">
              <w:rPr>
                <w:rFonts w:ascii="Times New Roman" w:eastAsia="Times New Roman" w:hAnsi="Times New Roman" w:cs="Times New Roman"/>
                <w:sz w:val="24"/>
                <w:szCs w:val="24"/>
                <w:lang w:eastAsia="hu-HU"/>
              </w:rPr>
              <w:t>Pénzügyi gazdasági elemzés</w:t>
            </w:r>
          </w:p>
        </w:tc>
        <w:tc>
          <w:tcPr>
            <w:tcW w:w="1984" w:type="dxa"/>
            <w:shd w:val="clear" w:color="auto" w:fill="FFFFFF" w:themeFill="background1"/>
            <w:vAlign w:val="center"/>
          </w:tcPr>
          <w:p w:rsidR="00863B73" w:rsidRPr="00AE7853" w:rsidRDefault="00863B73" w:rsidP="00AE7853">
            <w:pPr>
              <w:spacing w:after="0" w:line="240" w:lineRule="auto"/>
              <w:rPr>
                <w:rFonts w:ascii="Times New Roman" w:eastAsia="Times New Roman" w:hAnsi="Times New Roman" w:cs="Times New Roman"/>
                <w:sz w:val="24"/>
                <w:szCs w:val="24"/>
                <w:lang w:eastAsia="hu-HU"/>
              </w:rPr>
            </w:pPr>
            <w:r w:rsidRPr="00AE7853">
              <w:rPr>
                <w:rFonts w:ascii="Times New Roman" w:eastAsia="Times New Roman" w:hAnsi="Times New Roman" w:cs="Times New Roman"/>
                <w:sz w:val="24"/>
                <w:szCs w:val="24"/>
                <w:lang w:eastAsia="hu-HU"/>
              </w:rPr>
              <w:t>HKHPKA502</w:t>
            </w:r>
          </w:p>
        </w:tc>
      </w:tr>
      <w:tr w:rsidR="00863B73" w:rsidRPr="0010643F" w:rsidTr="00AE7853">
        <w:trPr>
          <w:trHeight w:val="338"/>
          <w:jc w:val="center"/>
        </w:trPr>
        <w:tc>
          <w:tcPr>
            <w:tcW w:w="5671" w:type="dxa"/>
            <w:shd w:val="clear" w:color="auto" w:fill="FFFFFF" w:themeFill="background1"/>
            <w:noWrap/>
            <w:vAlign w:val="bottom"/>
          </w:tcPr>
          <w:p w:rsidR="00863B73" w:rsidRPr="00863B73" w:rsidRDefault="00863B73" w:rsidP="0056665F">
            <w:pPr>
              <w:pStyle w:val="Listaszerbekezds"/>
              <w:numPr>
                <w:ilvl w:val="0"/>
                <w:numId w:val="3"/>
              </w:numPr>
              <w:spacing w:after="0" w:line="240" w:lineRule="auto"/>
              <w:ind w:left="645" w:hanging="437"/>
              <w:rPr>
                <w:rFonts w:ascii="Times New Roman" w:eastAsia="Times New Roman" w:hAnsi="Times New Roman" w:cs="Times New Roman"/>
                <w:sz w:val="24"/>
                <w:szCs w:val="24"/>
                <w:lang w:eastAsia="hu-HU"/>
              </w:rPr>
            </w:pPr>
            <w:r w:rsidRPr="00863B73">
              <w:rPr>
                <w:rFonts w:ascii="Times New Roman" w:eastAsia="Times New Roman" w:hAnsi="Times New Roman" w:cs="Times New Roman"/>
                <w:sz w:val="24"/>
                <w:szCs w:val="24"/>
                <w:lang w:eastAsia="hu-HU"/>
              </w:rPr>
              <w:t>Katonai ellátás- és szolgáltatásmenedzsment</w:t>
            </w:r>
          </w:p>
        </w:tc>
        <w:tc>
          <w:tcPr>
            <w:tcW w:w="1984" w:type="dxa"/>
            <w:shd w:val="clear" w:color="auto" w:fill="FFFFFF" w:themeFill="background1"/>
            <w:vAlign w:val="center"/>
          </w:tcPr>
          <w:p w:rsidR="00863B73" w:rsidRPr="00AE7853" w:rsidRDefault="00863B73" w:rsidP="00AE7853">
            <w:pPr>
              <w:spacing w:after="0" w:line="240" w:lineRule="auto"/>
              <w:rPr>
                <w:rFonts w:ascii="Times New Roman" w:eastAsia="Times New Roman" w:hAnsi="Times New Roman" w:cs="Times New Roman"/>
                <w:sz w:val="24"/>
                <w:szCs w:val="24"/>
                <w:lang w:eastAsia="hu-HU"/>
              </w:rPr>
            </w:pPr>
            <w:r w:rsidRPr="00AE7853">
              <w:rPr>
                <w:rFonts w:ascii="Times New Roman" w:eastAsia="Times New Roman" w:hAnsi="Times New Roman" w:cs="Times New Roman"/>
                <w:sz w:val="24"/>
                <w:szCs w:val="24"/>
                <w:lang w:eastAsia="hu-HU"/>
              </w:rPr>
              <w:t>HKHPKA106</w:t>
            </w:r>
          </w:p>
        </w:tc>
      </w:tr>
      <w:tr w:rsidR="00863B73" w:rsidRPr="0010643F" w:rsidTr="00AE7853">
        <w:trPr>
          <w:trHeight w:val="338"/>
          <w:jc w:val="center"/>
        </w:trPr>
        <w:tc>
          <w:tcPr>
            <w:tcW w:w="5671" w:type="dxa"/>
            <w:shd w:val="clear" w:color="auto" w:fill="FFFFFF" w:themeFill="background1"/>
            <w:noWrap/>
            <w:vAlign w:val="bottom"/>
          </w:tcPr>
          <w:p w:rsidR="00863B73" w:rsidRPr="00863B73" w:rsidRDefault="00863B73" w:rsidP="0056665F">
            <w:pPr>
              <w:pStyle w:val="Listaszerbekezds"/>
              <w:numPr>
                <w:ilvl w:val="0"/>
                <w:numId w:val="3"/>
              </w:numPr>
              <w:spacing w:after="0" w:line="240" w:lineRule="auto"/>
              <w:ind w:left="645" w:hanging="437"/>
              <w:rPr>
                <w:rFonts w:ascii="Times New Roman" w:eastAsia="Times New Roman" w:hAnsi="Times New Roman" w:cs="Times New Roman"/>
                <w:sz w:val="24"/>
                <w:szCs w:val="24"/>
                <w:lang w:eastAsia="hu-HU"/>
              </w:rPr>
            </w:pPr>
            <w:r w:rsidRPr="00863B73">
              <w:rPr>
                <w:rFonts w:ascii="Times New Roman" w:eastAsia="Times New Roman" w:hAnsi="Times New Roman" w:cs="Times New Roman"/>
                <w:sz w:val="24"/>
                <w:szCs w:val="24"/>
                <w:lang w:eastAsia="hu-HU"/>
              </w:rPr>
              <w:t>Katonai erőforrás- és környezetgazdaságtan</w:t>
            </w:r>
          </w:p>
        </w:tc>
        <w:tc>
          <w:tcPr>
            <w:tcW w:w="1984" w:type="dxa"/>
            <w:shd w:val="clear" w:color="auto" w:fill="FFFFFF" w:themeFill="background1"/>
            <w:vAlign w:val="center"/>
          </w:tcPr>
          <w:p w:rsidR="00863B73" w:rsidRPr="00AE7853" w:rsidRDefault="00863B73" w:rsidP="00AE7853">
            <w:pPr>
              <w:spacing w:after="0" w:line="240" w:lineRule="auto"/>
              <w:rPr>
                <w:rFonts w:ascii="Times New Roman" w:eastAsia="Times New Roman" w:hAnsi="Times New Roman" w:cs="Times New Roman"/>
                <w:sz w:val="24"/>
                <w:szCs w:val="24"/>
                <w:lang w:eastAsia="hu-HU"/>
              </w:rPr>
            </w:pPr>
            <w:r w:rsidRPr="00AE7853">
              <w:rPr>
                <w:rFonts w:ascii="Times New Roman" w:eastAsia="Times New Roman" w:hAnsi="Times New Roman" w:cs="Times New Roman"/>
                <w:sz w:val="24"/>
                <w:szCs w:val="24"/>
                <w:lang w:eastAsia="hu-HU"/>
              </w:rPr>
              <w:t>HKHPKA107</w:t>
            </w:r>
          </w:p>
        </w:tc>
      </w:tr>
      <w:tr w:rsidR="00863B73" w:rsidRPr="0010643F" w:rsidTr="00AE7853">
        <w:trPr>
          <w:trHeight w:val="338"/>
          <w:jc w:val="center"/>
        </w:trPr>
        <w:tc>
          <w:tcPr>
            <w:tcW w:w="5671" w:type="dxa"/>
            <w:shd w:val="clear" w:color="auto" w:fill="FFFFFF" w:themeFill="background1"/>
            <w:noWrap/>
            <w:vAlign w:val="bottom"/>
          </w:tcPr>
          <w:p w:rsidR="00863B73" w:rsidRPr="00863B73" w:rsidRDefault="00863B73" w:rsidP="0056665F">
            <w:pPr>
              <w:pStyle w:val="Listaszerbekezds"/>
              <w:numPr>
                <w:ilvl w:val="0"/>
                <w:numId w:val="3"/>
              </w:numPr>
              <w:spacing w:after="0" w:line="240" w:lineRule="auto"/>
              <w:ind w:left="645" w:hanging="437"/>
              <w:rPr>
                <w:rFonts w:ascii="Times New Roman" w:eastAsia="Times New Roman" w:hAnsi="Times New Roman" w:cs="Times New Roman"/>
                <w:sz w:val="24"/>
                <w:szCs w:val="24"/>
                <w:lang w:eastAsia="hu-HU"/>
              </w:rPr>
            </w:pPr>
            <w:r w:rsidRPr="00863B73">
              <w:rPr>
                <w:rFonts w:ascii="Times New Roman" w:eastAsia="Times New Roman" w:hAnsi="Times New Roman" w:cs="Times New Roman"/>
                <w:sz w:val="24"/>
                <w:szCs w:val="24"/>
                <w:lang w:eastAsia="hu-HU"/>
              </w:rPr>
              <w:t>Hadtáp szaktechnikai eszközök</w:t>
            </w:r>
          </w:p>
        </w:tc>
        <w:tc>
          <w:tcPr>
            <w:tcW w:w="1984" w:type="dxa"/>
            <w:shd w:val="clear" w:color="auto" w:fill="FFFFFF" w:themeFill="background1"/>
            <w:vAlign w:val="center"/>
          </w:tcPr>
          <w:p w:rsidR="00863B73" w:rsidRPr="00AE7853" w:rsidRDefault="00863B73" w:rsidP="00AE7853">
            <w:pPr>
              <w:spacing w:after="0" w:line="240" w:lineRule="auto"/>
              <w:rPr>
                <w:rFonts w:ascii="Times New Roman" w:eastAsia="Times New Roman" w:hAnsi="Times New Roman" w:cs="Times New Roman"/>
                <w:sz w:val="24"/>
                <w:szCs w:val="24"/>
                <w:lang w:eastAsia="hu-HU"/>
              </w:rPr>
            </w:pPr>
            <w:r w:rsidRPr="00AE7853">
              <w:rPr>
                <w:rFonts w:ascii="Times New Roman" w:eastAsia="Times New Roman" w:hAnsi="Times New Roman" w:cs="Times New Roman"/>
                <w:sz w:val="24"/>
                <w:szCs w:val="24"/>
                <w:lang w:eastAsia="hu-HU"/>
              </w:rPr>
              <w:t>HKHPKA109</w:t>
            </w:r>
          </w:p>
        </w:tc>
      </w:tr>
      <w:tr w:rsidR="00904373" w:rsidRPr="00904373" w:rsidTr="00AE7853">
        <w:trPr>
          <w:trHeight w:val="338"/>
          <w:jc w:val="center"/>
        </w:trPr>
        <w:tc>
          <w:tcPr>
            <w:tcW w:w="5671" w:type="dxa"/>
            <w:shd w:val="clear" w:color="auto" w:fill="FFFFFF" w:themeFill="background1"/>
            <w:noWrap/>
            <w:vAlign w:val="bottom"/>
          </w:tcPr>
          <w:p w:rsidR="00863B73" w:rsidRPr="00904373" w:rsidRDefault="00863B73" w:rsidP="0056665F">
            <w:pPr>
              <w:pStyle w:val="Listaszerbekezds"/>
              <w:numPr>
                <w:ilvl w:val="0"/>
                <w:numId w:val="3"/>
              </w:numPr>
              <w:spacing w:after="0" w:line="240" w:lineRule="auto"/>
              <w:ind w:left="645" w:hanging="437"/>
              <w:rPr>
                <w:rFonts w:ascii="Times New Roman" w:eastAsia="Times New Roman" w:hAnsi="Times New Roman" w:cs="Times New Roman"/>
                <w:sz w:val="24"/>
                <w:szCs w:val="24"/>
                <w:lang w:eastAsia="hu-HU"/>
              </w:rPr>
            </w:pPr>
            <w:r w:rsidRPr="00904373">
              <w:rPr>
                <w:rFonts w:ascii="Times New Roman" w:eastAsia="Times New Roman" w:hAnsi="Times New Roman" w:cs="Times New Roman"/>
                <w:sz w:val="24"/>
                <w:szCs w:val="24"/>
                <w:lang w:eastAsia="hu-HU"/>
              </w:rPr>
              <w:t>K</w:t>
            </w:r>
            <w:r w:rsidR="00904373" w:rsidRPr="00904373">
              <w:rPr>
                <w:rFonts w:ascii="Times New Roman" w:eastAsia="Times New Roman" w:hAnsi="Times New Roman" w:cs="Times New Roman"/>
                <w:sz w:val="24"/>
                <w:szCs w:val="24"/>
                <w:lang w:eastAsia="hu-HU"/>
              </w:rPr>
              <w:t>öltségvetési számvitel</w:t>
            </w:r>
          </w:p>
        </w:tc>
        <w:tc>
          <w:tcPr>
            <w:tcW w:w="1984" w:type="dxa"/>
            <w:shd w:val="clear" w:color="auto" w:fill="FFFFFF" w:themeFill="background1"/>
            <w:vAlign w:val="center"/>
          </w:tcPr>
          <w:p w:rsidR="00863B73" w:rsidRPr="00904373" w:rsidRDefault="00732436" w:rsidP="00AE7853">
            <w:pPr>
              <w:spacing w:after="0" w:line="240" w:lineRule="auto"/>
              <w:rPr>
                <w:rFonts w:ascii="Times New Roman" w:eastAsia="Times New Roman" w:hAnsi="Times New Roman" w:cs="Times New Roman"/>
                <w:sz w:val="24"/>
                <w:szCs w:val="24"/>
                <w:lang w:eastAsia="hu-HU"/>
              </w:rPr>
            </w:pPr>
            <w:r w:rsidRPr="00904373">
              <w:rPr>
                <w:rFonts w:ascii="Times New Roman" w:eastAsia="Times New Roman" w:hAnsi="Times New Roman" w:cs="Times New Roman"/>
                <w:sz w:val="24"/>
                <w:szCs w:val="24"/>
                <w:lang w:eastAsia="hu-HU"/>
              </w:rPr>
              <w:t>HKHPKA507</w:t>
            </w:r>
          </w:p>
        </w:tc>
      </w:tr>
      <w:tr w:rsidR="00863B73" w:rsidRPr="0010643F" w:rsidTr="00AE7853">
        <w:trPr>
          <w:trHeight w:val="338"/>
          <w:jc w:val="center"/>
        </w:trPr>
        <w:tc>
          <w:tcPr>
            <w:tcW w:w="5671" w:type="dxa"/>
            <w:shd w:val="clear" w:color="auto" w:fill="FFFFFF" w:themeFill="background1"/>
            <w:noWrap/>
            <w:vAlign w:val="bottom"/>
          </w:tcPr>
          <w:p w:rsidR="00863B73" w:rsidRPr="00863B73" w:rsidRDefault="00863B73" w:rsidP="0056665F">
            <w:pPr>
              <w:pStyle w:val="Listaszerbekezds"/>
              <w:numPr>
                <w:ilvl w:val="0"/>
                <w:numId w:val="3"/>
              </w:numPr>
              <w:spacing w:after="0" w:line="240" w:lineRule="auto"/>
              <w:ind w:left="645" w:hanging="437"/>
              <w:rPr>
                <w:rFonts w:ascii="Times New Roman" w:eastAsia="Times New Roman" w:hAnsi="Times New Roman" w:cs="Times New Roman"/>
                <w:sz w:val="24"/>
                <w:szCs w:val="24"/>
                <w:lang w:eastAsia="hu-HU"/>
              </w:rPr>
            </w:pPr>
            <w:r w:rsidRPr="00863B73">
              <w:rPr>
                <w:rFonts w:ascii="Times New Roman" w:eastAsia="Times New Roman" w:hAnsi="Times New Roman" w:cs="Times New Roman"/>
                <w:sz w:val="24"/>
                <w:szCs w:val="24"/>
                <w:lang w:eastAsia="hu-HU"/>
              </w:rPr>
              <w:t>Katonai gazdálkodás HA</w:t>
            </w:r>
          </w:p>
        </w:tc>
        <w:tc>
          <w:tcPr>
            <w:tcW w:w="1984" w:type="dxa"/>
            <w:shd w:val="clear" w:color="auto" w:fill="FFFFFF" w:themeFill="background1"/>
            <w:vAlign w:val="center"/>
          </w:tcPr>
          <w:p w:rsidR="00863B73" w:rsidRPr="00AE7853" w:rsidRDefault="00863B73" w:rsidP="00AE7853">
            <w:pPr>
              <w:spacing w:after="0" w:line="240" w:lineRule="auto"/>
              <w:rPr>
                <w:rFonts w:ascii="Times New Roman" w:eastAsia="Times New Roman" w:hAnsi="Times New Roman" w:cs="Times New Roman"/>
                <w:sz w:val="24"/>
                <w:szCs w:val="24"/>
                <w:lang w:eastAsia="hu-HU"/>
              </w:rPr>
            </w:pPr>
            <w:r w:rsidRPr="00AE7853">
              <w:rPr>
                <w:rFonts w:ascii="Times New Roman" w:eastAsia="Times New Roman" w:hAnsi="Times New Roman" w:cs="Times New Roman"/>
                <w:sz w:val="24"/>
                <w:szCs w:val="24"/>
                <w:lang w:eastAsia="hu-HU"/>
              </w:rPr>
              <w:t>HKHPKA110</w:t>
            </w:r>
          </w:p>
        </w:tc>
      </w:tr>
      <w:tr w:rsidR="00863B73" w:rsidRPr="0010643F" w:rsidTr="00AE7853">
        <w:trPr>
          <w:trHeight w:val="338"/>
          <w:jc w:val="center"/>
        </w:trPr>
        <w:tc>
          <w:tcPr>
            <w:tcW w:w="5671" w:type="dxa"/>
            <w:shd w:val="clear" w:color="auto" w:fill="FFFFFF" w:themeFill="background1"/>
            <w:noWrap/>
            <w:vAlign w:val="bottom"/>
          </w:tcPr>
          <w:p w:rsidR="00863B73" w:rsidRPr="00863B73" w:rsidRDefault="00863B73" w:rsidP="0056665F">
            <w:pPr>
              <w:pStyle w:val="Listaszerbekezds"/>
              <w:numPr>
                <w:ilvl w:val="0"/>
                <w:numId w:val="3"/>
              </w:numPr>
              <w:spacing w:after="0" w:line="240" w:lineRule="auto"/>
              <w:ind w:left="645" w:hanging="437"/>
              <w:rPr>
                <w:rFonts w:ascii="Times New Roman" w:eastAsia="Times New Roman" w:hAnsi="Times New Roman" w:cs="Times New Roman"/>
                <w:sz w:val="24"/>
                <w:szCs w:val="24"/>
                <w:lang w:eastAsia="hu-HU"/>
              </w:rPr>
            </w:pPr>
            <w:r w:rsidRPr="00863B73">
              <w:rPr>
                <w:rFonts w:ascii="Times New Roman" w:eastAsia="Times New Roman" w:hAnsi="Times New Roman" w:cs="Times New Roman"/>
                <w:sz w:val="24"/>
                <w:szCs w:val="24"/>
                <w:lang w:eastAsia="hu-HU"/>
              </w:rPr>
              <w:t>Elhelyezési-, humán- és térképanyag ellátás</w:t>
            </w:r>
          </w:p>
        </w:tc>
        <w:tc>
          <w:tcPr>
            <w:tcW w:w="1984" w:type="dxa"/>
            <w:shd w:val="clear" w:color="auto" w:fill="FFFFFF" w:themeFill="background1"/>
            <w:vAlign w:val="center"/>
          </w:tcPr>
          <w:p w:rsidR="00863B73" w:rsidRPr="00AE7853" w:rsidRDefault="00863B73" w:rsidP="00AE7853">
            <w:pPr>
              <w:spacing w:after="0" w:line="240" w:lineRule="auto"/>
              <w:rPr>
                <w:rFonts w:ascii="Times New Roman" w:eastAsia="Times New Roman" w:hAnsi="Times New Roman" w:cs="Times New Roman"/>
                <w:sz w:val="24"/>
                <w:szCs w:val="24"/>
                <w:lang w:eastAsia="hu-HU"/>
              </w:rPr>
            </w:pPr>
            <w:r w:rsidRPr="00AE7853">
              <w:rPr>
                <w:rFonts w:ascii="Times New Roman" w:eastAsia="Times New Roman" w:hAnsi="Times New Roman" w:cs="Times New Roman"/>
                <w:sz w:val="24"/>
                <w:szCs w:val="24"/>
                <w:lang w:eastAsia="hu-HU"/>
              </w:rPr>
              <w:t>HKHPKA114</w:t>
            </w:r>
          </w:p>
        </w:tc>
      </w:tr>
      <w:tr w:rsidR="00863B73" w:rsidRPr="0010643F" w:rsidTr="00AE7853">
        <w:trPr>
          <w:trHeight w:val="338"/>
          <w:jc w:val="center"/>
        </w:trPr>
        <w:tc>
          <w:tcPr>
            <w:tcW w:w="5671" w:type="dxa"/>
            <w:shd w:val="clear" w:color="auto" w:fill="FFFFFF" w:themeFill="background1"/>
            <w:noWrap/>
            <w:vAlign w:val="bottom"/>
          </w:tcPr>
          <w:p w:rsidR="00863B73" w:rsidRPr="00863B73" w:rsidRDefault="00863B73" w:rsidP="0056665F">
            <w:pPr>
              <w:pStyle w:val="Listaszerbekezds"/>
              <w:numPr>
                <w:ilvl w:val="0"/>
                <w:numId w:val="3"/>
              </w:numPr>
              <w:spacing w:after="0" w:line="240" w:lineRule="auto"/>
              <w:ind w:left="645" w:hanging="437"/>
              <w:rPr>
                <w:rFonts w:ascii="Times New Roman" w:eastAsia="Times New Roman" w:hAnsi="Times New Roman" w:cs="Times New Roman"/>
                <w:sz w:val="24"/>
                <w:szCs w:val="24"/>
                <w:lang w:eastAsia="hu-HU"/>
              </w:rPr>
            </w:pPr>
            <w:r w:rsidRPr="00863B73">
              <w:rPr>
                <w:rFonts w:ascii="Times New Roman" w:eastAsia="Times New Roman" w:hAnsi="Times New Roman" w:cs="Times New Roman"/>
                <w:sz w:val="24"/>
                <w:szCs w:val="24"/>
                <w:lang w:eastAsia="hu-HU"/>
              </w:rPr>
              <w:lastRenderedPageBreak/>
              <w:t>Üzemanyag ellátás</w:t>
            </w:r>
          </w:p>
        </w:tc>
        <w:tc>
          <w:tcPr>
            <w:tcW w:w="1984" w:type="dxa"/>
            <w:shd w:val="clear" w:color="auto" w:fill="FFFFFF" w:themeFill="background1"/>
            <w:vAlign w:val="center"/>
          </w:tcPr>
          <w:p w:rsidR="00863B73" w:rsidRPr="00AE7853" w:rsidRDefault="00863B73" w:rsidP="00AE7853">
            <w:pPr>
              <w:spacing w:after="0" w:line="240" w:lineRule="auto"/>
              <w:rPr>
                <w:rFonts w:ascii="Times New Roman" w:eastAsia="Times New Roman" w:hAnsi="Times New Roman" w:cs="Times New Roman"/>
                <w:sz w:val="24"/>
                <w:szCs w:val="24"/>
                <w:lang w:eastAsia="hu-HU"/>
              </w:rPr>
            </w:pPr>
            <w:r w:rsidRPr="00AE7853">
              <w:rPr>
                <w:rFonts w:ascii="Times New Roman" w:eastAsia="Times New Roman" w:hAnsi="Times New Roman" w:cs="Times New Roman"/>
                <w:sz w:val="24"/>
                <w:szCs w:val="24"/>
                <w:lang w:eastAsia="hu-HU"/>
              </w:rPr>
              <w:t>HKHPKA112</w:t>
            </w:r>
          </w:p>
        </w:tc>
      </w:tr>
      <w:tr w:rsidR="00863B73" w:rsidRPr="0010643F" w:rsidTr="00AE7853">
        <w:trPr>
          <w:trHeight w:val="338"/>
          <w:jc w:val="center"/>
        </w:trPr>
        <w:tc>
          <w:tcPr>
            <w:tcW w:w="5671" w:type="dxa"/>
            <w:shd w:val="clear" w:color="auto" w:fill="FFFFFF" w:themeFill="background1"/>
            <w:noWrap/>
            <w:vAlign w:val="bottom"/>
          </w:tcPr>
          <w:p w:rsidR="00863B73" w:rsidRPr="00863B73" w:rsidRDefault="00863B73" w:rsidP="0056665F">
            <w:pPr>
              <w:pStyle w:val="Listaszerbekezds"/>
              <w:numPr>
                <w:ilvl w:val="0"/>
                <w:numId w:val="3"/>
              </w:numPr>
              <w:spacing w:after="0" w:line="240" w:lineRule="auto"/>
              <w:ind w:left="645" w:hanging="437"/>
              <w:rPr>
                <w:rFonts w:ascii="Times New Roman" w:eastAsia="Times New Roman" w:hAnsi="Times New Roman" w:cs="Times New Roman"/>
                <w:sz w:val="24"/>
                <w:szCs w:val="24"/>
                <w:lang w:eastAsia="hu-HU"/>
              </w:rPr>
            </w:pPr>
            <w:r w:rsidRPr="00863B73">
              <w:rPr>
                <w:rFonts w:ascii="Times New Roman" w:eastAsia="Times New Roman" w:hAnsi="Times New Roman" w:cs="Times New Roman"/>
                <w:sz w:val="24"/>
                <w:szCs w:val="24"/>
                <w:lang w:eastAsia="hu-HU"/>
              </w:rPr>
              <w:t>Élelmezési ellátás</w:t>
            </w:r>
          </w:p>
        </w:tc>
        <w:tc>
          <w:tcPr>
            <w:tcW w:w="1984" w:type="dxa"/>
            <w:shd w:val="clear" w:color="auto" w:fill="FFFFFF" w:themeFill="background1"/>
            <w:vAlign w:val="center"/>
          </w:tcPr>
          <w:p w:rsidR="00863B73" w:rsidRPr="00AE7853" w:rsidRDefault="00863B73" w:rsidP="00AE7853">
            <w:pPr>
              <w:spacing w:after="0" w:line="240" w:lineRule="auto"/>
              <w:rPr>
                <w:rFonts w:ascii="Times New Roman" w:eastAsia="Times New Roman" w:hAnsi="Times New Roman" w:cs="Times New Roman"/>
                <w:sz w:val="24"/>
                <w:szCs w:val="24"/>
                <w:lang w:eastAsia="hu-HU"/>
              </w:rPr>
            </w:pPr>
            <w:r w:rsidRPr="00AE7853">
              <w:rPr>
                <w:rFonts w:ascii="Times New Roman" w:eastAsia="Times New Roman" w:hAnsi="Times New Roman" w:cs="Times New Roman"/>
                <w:sz w:val="24"/>
                <w:szCs w:val="24"/>
                <w:lang w:eastAsia="hu-HU"/>
              </w:rPr>
              <w:t>HKHPKA113</w:t>
            </w:r>
          </w:p>
        </w:tc>
      </w:tr>
      <w:tr w:rsidR="00863B73" w:rsidRPr="0010643F" w:rsidTr="00AE7853">
        <w:trPr>
          <w:trHeight w:val="338"/>
          <w:jc w:val="center"/>
        </w:trPr>
        <w:tc>
          <w:tcPr>
            <w:tcW w:w="5671" w:type="dxa"/>
            <w:shd w:val="clear" w:color="auto" w:fill="FFFFFF" w:themeFill="background1"/>
            <w:noWrap/>
            <w:vAlign w:val="bottom"/>
          </w:tcPr>
          <w:p w:rsidR="00863B73" w:rsidRPr="00863B73" w:rsidRDefault="00863B73" w:rsidP="0056665F">
            <w:pPr>
              <w:pStyle w:val="Listaszerbekezds"/>
              <w:numPr>
                <w:ilvl w:val="0"/>
                <w:numId w:val="3"/>
              </w:numPr>
              <w:spacing w:after="0" w:line="240" w:lineRule="auto"/>
              <w:ind w:left="645" w:hanging="437"/>
              <w:rPr>
                <w:rFonts w:ascii="Times New Roman" w:eastAsia="Times New Roman" w:hAnsi="Times New Roman" w:cs="Times New Roman"/>
                <w:sz w:val="24"/>
                <w:szCs w:val="24"/>
                <w:lang w:eastAsia="hu-HU"/>
              </w:rPr>
            </w:pPr>
            <w:r w:rsidRPr="00863B73">
              <w:rPr>
                <w:rFonts w:ascii="Times New Roman" w:eastAsia="Times New Roman" w:hAnsi="Times New Roman" w:cs="Times New Roman"/>
                <w:sz w:val="24"/>
                <w:szCs w:val="24"/>
                <w:lang w:eastAsia="hu-HU"/>
              </w:rPr>
              <w:t>Ruházati ellátás</w:t>
            </w:r>
          </w:p>
        </w:tc>
        <w:tc>
          <w:tcPr>
            <w:tcW w:w="1984" w:type="dxa"/>
            <w:shd w:val="clear" w:color="auto" w:fill="FFFFFF" w:themeFill="background1"/>
            <w:vAlign w:val="center"/>
          </w:tcPr>
          <w:p w:rsidR="00863B73" w:rsidRPr="00AE7853" w:rsidRDefault="00863B73" w:rsidP="00AE7853">
            <w:pPr>
              <w:spacing w:after="0" w:line="240" w:lineRule="auto"/>
              <w:rPr>
                <w:rFonts w:ascii="Times New Roman" w:eastAsia="Times New Roman" w:hAnsi="Times New Roman" w:cs="Times New Roman"/>
                <w:sz w:val="24"/>
                <w:szCs w:val="24"/>
                <w:lang w:eastAsia="hu-HU"/>
              </w:rPr>
            </w:pPr>
            <w:r w:rsidRPr="00AE7853">
              <w:rPr>
                <w:rFonts w:ascii="Times New Roman" w:eastAsia="Times New Roman" w:hAnsi="Times New Roman" w:cs="Times New Roman"/>
                <w:sz w:val="24"/>
                <w:szCs w:val="24"/>
                <w:lang w:eastAsia="hu-HU"/>
              </w:rPr>
              <w:t>HKHPKA111</w:t>
            </w:r>
          </w:p>
        </w:tc>
      </w:tr>
      <w:tr w:rsidR="00863B73" w:rsidRPr="0010643F" w:rsidTr="00AE7853">
        <w:trPr>
          <w:trHeight w:val="338"/>
          <w:jc w:val="center"/>
        </w:trPr>
        <w:tc>
          <w:tcPr>
            <w:tcW w:w="5671" w:type="dxa"/>
            <w:shd w:val="clear" w:color="auto" w:fill="FFFFFF" w:themeFill="background1"/>
            <w:noWrap/>
            <w:vAlign w:val="bottom"/>
          </w:tcPr>
          <w:p w:rsidR="00863B73" w:rsidRPr="00863B73" w:rsidRDefault="00863B73" w:rsidP="0056665F">
            <w:pPr>
              <w:pStyle w:val="Listaszerbekezds"/>
              <w:numPr>
                <w:ilvl w:val="0"/>
                <w:numId w:val="3"/>
              </w:numPr>
              <w:spacing w:after="0" w:line="240" w:lineRule="auto"/>
              <w:ind w:left="645" w:hanging="437"/>
              <w:rPr>
                <w:rFonts w:ascii="Times New Roman" w:eastAsia="Times New Roman" w:hAnsi="Times New Roman" w:cs="Times New Roman"/>
                <w:sz w:val="24"/>
                <w:szCs w:val="24"/>
                <w:lang w:eastAsia="hu-HU"/>
              </w:rPr>
            </w:pPr>
            <w:r w:rsidRPr="00863B73">
              <w:rPr>
                <w:rFonts w:ascii="Times New Roman" w:eastAsia="Times New Roman" w:hAnsi="Times New Roman" w:cs="Times New Roman"/>
                <w:sz w:val="24"/>
                <w:szCs w:val="24"/>
                <w:lang w:eastAsia="hu-HU"/>
              </w:rPr>
              <w:t>Hadtáp szakellenőrzés</w:t>
            </w:r>
          </w:p>
        </w:tc>
        <w:tc>
          <w:tcPr>
            <w:tcW w:w="1984" w:type="dxa"/>
            <w:shd w:val="clear" w:color="auto" w:fill="FFFFFF" w:themeFill="background1"/>
            <w:vAlign w:val="center"/>
          </w:tcPr>
          <w:p w:rsidR="00863B73" w:rsidRPr="00AE7853" w:rsidRDefault="00863B73" w:rsidP="00AE7853">
            <w:pPr>
              <w:spacing w:after="0" w:line="240" w:lineRule="auto"/>
              <w:rPr>
                <w:rFonts w:ascii="Times New Roman" w:eastAsia="Times New Roman" w:hAnsi="Times New Roman" w:cs="Times New Roman"/>
                <w:sz w:val="24"/>
                <w:szCs w:val="24"/>
                <w:lang w:eastAsia="hu-HU"/>
              </w:rPr>
            </w:pPr>
            <w:r w:rsidRPr="00AE7853">
              <w:rPr>
                <w:rFonts w:ascii="Times New Roman" w:eastAsia="Times New Roman" w:hAnsi="Times New Roman" w:cs="Times New Roman"/>
                <w:sz w:val="24"/>
                <w:szCs w:val="24"/>
                <w:lang w:eastAsia="hu-HU"/>
              </w:rPr>
              <w:t>HKHPKA115</w:t>
            </w:r>
          </w:p>
        </w:tc>
      </w:tr>
      <w:tr w:rsidR="00863B73" w:rsidRPr="0010643F" w:rsidTr="00AE7853">
        <w:trPr>
          <w:trHeight w:val="338"/>
          <w:jc w:val="center"/>
        </w:trPr>
        <w:tc>
          <w:tcPr>
            <w:tcW w:w="5671" w:type="dxa"/>
            <w:shd w:val="clear" w:color="auto" w:fill="FFFFFF" w:themeFill="background1"/>
            <w:noWrap/>
            <w:vAlign w:val="bottom"/>
          </w:tcPr>
          <w:p w:rsidR="00863B73" w:rsidRPr="00863B73" w:rsidRDefault="00863B73" w:rsidP="0056665F">
            <w:pPr>
              <w:pStyle w:val="Listaszerbekezds"/>
              <w:numPr>
                <w:ilvl w:val="0"/>
                <w:numId w:val="3"/>
              </w:numPr>
              <w:spacing w:after="0" w:line="240" w:lineRule="auto"/>
              <w:ind w:left="645" w:hanging="437"/>
              <w:rPr>
                <w:rFonts w:ascii="Times New Roman" w:eastAsia="Times New Roman" w:hAnsi="Times New Roman" w:cs="Times New Roman"/>
                <w:sz w:val="24"/>
                <w:szCs w:val="24"/>
                <w:lang w:eastAsia="hu-HU"/>
              </w:rPr>
            </w:pPr>
            <w:r w:rsidRPr="00863B73">
              <w:rPr>
                <w:rFonts w:ascii="Times New Roman" w:eastAsia="Times New Roman" w:hAnsi="Times New Roman" w:cs="Times New Roman"/>
                <w:sz w:val="24"/>
                <w:szCs w:val="24"/>
                <w:lang w:eastAsia="hu-HU"/>
              </w:rPr>
              <w:t>NATO informatika</w:t>
            </w:r>
          </w:p>
        </w:tc>
        <w:tc>
          <w:tcPr>
            <w:tcW w:w="1984" w:type="dxa"/>
            <w:shd w:val="clear" w:color="auto" w:fill="FFFFFF" w:themeFill="background1"/>
            <w:vAlign w:val="center"/>
          </w:tcPr>
          <w:p w:rsidR="00863B73" w:rsidRPr="00AE7853" w:rsidRDefault="00863B73" w:rsidP="00AE7853">
            <w:pPr>
              <w:spacing w:after="0" w:line="240" w:lineRule="auto"/>
              <w:rPr>
                <w:rFonts w:ascii="Times New Roman" w:eastAsia="Times New Roman" w:hAnsi="Times New Roman" w:cs="Times New Roman"/>
                <w:sz w:val="24"/>
                <w:szCs w:val="24"/>
                <w:lang w:eastAsia="hu-HU"/>
              </w:rPr>
            </w:pPr>
            <w:r w:rsidRPr="00AE7853">
              <w:rPr>
                <w:rFonts w:ascii="Times New Roman" w:eastAsia="Times New Roman" w:hAnsi="Times New Roman" w:cs="Times New Roman"/>
                <w:sz w:val="24"/>
                <w:szCs w:val="24"/>
                <w:lang w:eastAsia="hu-HU"/>
              </w:rPr>
              <w:t>HKHPKA116</w:t>
            </w:r>
          </w:p>
        </w:tc>
      </w:tr>
      <w:tr w:rsidR="00863B73" w:rsidRPr="0010643F" w:rsidTr="00AE7853">
        <w:trPr>
          <w:trHeight w:val="338"/>
          <w:jc w:val="center"/>
        </w:trPr>
        <w:tc>
          <w:tcPr>
            <w:tcW w:w="5671" w:type="dxa"/>
            <w:shd w:val="clear" w:color="auto" w:fill="FFFFFF" w:themeFill="background1"/>
            <w:noWrap/>
            <w:vAlign w:val="bottom"/>
          </w:tcPr>
          <w:p w:rsidR="00863B73" w:rsidRPr="0010643F" w:rsidRDefault="00863B73" w:rsidP="0056665F">
            <w:pPr>
              <w:pStyle w:val="Listaszerbekezds"/>
              <w:numPr>
                <w:ilvl w:val="0"/>
                <w:numId w:val="3"/>
              </w:numPr>
              <w:spacing w:after="0" w:line="240" w:lineRule="auto"/>
              <w:ind w:left="645" w:hanging="437"/>
              <w:rPr>
                <w:rFonts w:ascii="Times New Roman" w:eastAsia="Times New Roman" w:hAnsi="Times New Roman" w:cs="Times New Roman"/>
                <w:sz w:val="24"/>
                <w:szCs w:val="24"/>
                <w:lang w:eastAsia="hu-HU"/>
              </w:rPr>
            </w:pPr>
            <w:r w:rsidRPr="00863B73">
              <w:rPr>
                <w:rFonts w:ascii="Times New Roman" w:eastAsia="Times New Roman" w:hAnsi="Times New Roman" w:cs="Times New Roman"/>
                <w:sz w:val="24"/>
                <w:szCs w:val="24"/>
                <w:lang w:eastAsia="hu-HU"/>
              </w:rPr>
              <w:t>Beszerzési ismeretek</w:t>
            </w:r>
          </w:p>
        </w:tc>
        <w:tc>
          <w:tcPr>
            <w:tcW w:w="1984" w:type="dxa"/>
            <w:shd w:val="clear" w:color="auto" w:fill="FFFFFF" w:themeFill="background1"/>
            <w:vAlign w:val="center"/>
          </w:tcPr>
          <w:p w:rsidR="00863B73" w:rsidRPr="00AE7853" w:rsidRDefault="00863B73" w:rsidP="00AE7853">
            <w:pPr>
              <w:spacing w:after="0" w:line="240" w:lineRule="auto"/>
              <w:rPr>
                <w:rFonts w:ascii="Times New Roman" w:eastAsia="Times New Roman" w:hAnsi="Times New Roman" w:cs="Times New Roman"/>
                <w:sz w:val="24"/>
                <w:szCs w:val="24"/>
                <w:lang w:eastAsia="hu-HU"/>
              </w:rPr>
            </w:pPr>
            <w:r w:rsidRPr="00AE7853">
              <w:rPr>
                <w:rFonts w:ascii="Times New Roman" w:eastAsia="Times New Roman" w:hAnsi="Times New Roman" w:cs="Times New Roman"/>
                <w:sz w:val="24"/>
                <w:szCs w:val="24"/>
                <w:lang w:eastAsia="hu-HU"/>
              </w:rPr>
              <w:t>HKHPKA117</w:t>
            </w:r>
          </w:p>
        </w:tc>
      </w:tr>
    </w:tbl>
    <w:p w:rsidR="00E90EF1" w:rsidRDefault="00E90EF1" w:rsidP="00E90EF1">
      <w:pPr>
        <w:pStyle w:val="Listaszerbekezds"/>
        <w:ind w:left="1080"/>
        <w:rPr>
          <w:rFonts w:ascii="Times New Roman" w:hAnsi="Times New Roman" w:cs="Times New Roman"/>
          <w:sz w:val="24"/>
        </w:rPr>
      </w:pPr>
    </w:p>
    <w:p w:rsidR="008226EC" w:rsidRPr="008226EC" w:rsidRDefault="008226EC" w:rsidP="008226EC">
      <w:pPr>
        <w:pStyle w:val="Listaszerbekezds"/>
        <w:numPr>
          <w:ilvl w:val="1"/>
          <w:numId w:val="1"/>
        </w:numPr>
        <w:rPr>
          <w:rFonts w:ascii="Times New Roman" w:hAnsi="Times New Roman" w:cs="Times New Roman"/>
          <w:b/>
          <w:sz w:val="24"/>
        </w:rPr>
      </w:pPr>
      <w:r>
        <w:rPr>
          <w:rFonts w:ascii="Times New Roman" w:hAnsi="Times New Roman" w:cs="Times New Roman"/>
          <w:b/>
          <w:sz w:val="24"/>
        </w:rPr>
        <w:t>Katonai közlekedési</w:t>
      </w:r>
      <w:r w:rsidRPr="008226EC">
        <w:rPr>
          <w:rFonts w:ascii="Times New Roman" w:hAnsi="Times New Roman" w:cs="Times New Roman"/>
          <w:b/>
          <w:sz w:val="24"/>
        </w:rPr>
        <w:t xml:space="preserve"> specializáció:</w:t>
      </w:r>
    </w:p>
    <w:p w:rsidR="008226EC" w:rsidRPr="008226EC" w:rsidRDefault="008226EC" w:rsidP="008226EC">
      <w:pPr>
        <w:pStyle w:val="Listaszerbekezds"/>
        <w:ind w:left="1080"/>
        <w:rPr>
          <w:rFonts w:ascii="Times New Roman" w:hAnsi="Times New Roman" w:cs="Times New Roman"/>
          <w:sz w:val="24"/>
        </w:rPr>
      </w:pP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5671"/>
        <w:gridCol w:w="1984"/>
      </w:tblGrid>
      <w:tr w:rsidR="00AE7853" w:rsidRPr="0010643F" w:rsidTr="00AE7853">
        <w:trPr>
          <w:trHeight w:val="338"/>
          <w:jc w:val="center"/>
        </w:trPr>
        <w:tc>
          <w:tcPr>
            <w:tcW w:w="5671" w:type="dxa"/>
            <w:shd w:val="clear" w:color="auto" w:fill="FFFFFF" w:themeFill="background1"/>
            <w:noWrap/>
            <w:vAlign w:val="bottom"/>
          </w:tcPr>
          <w:p w:rsidR="00AE7853" w:rsidRPr="00AE7853" w:rsidRDefault="00AE7853" w:rsidP="0056665F">
            <w:pPr>
              <w:pStyle w:val="Listaszerbekezds"/>
              <w:numPr>
                <w:ilvl w:val="0"/>
                <w:numId w:val="4"/>
              </w:numPr>
              <w:spacing w:after="0" w:line="240" w:lineRule="auto"/>
              <w:ind w:left="645" w:hanging="437"/>
              <w:rPr>
                <w:rFonts w:ascii="Times New Roman" w:eastAsia="Times New Roman" w:hAnsi="Times New Roman" w:cs="Times New Roman"/>
                <w:sz w:val="24"/>
                <w:szCs w:val="24"/>
                <w:lang w:eastAsia="hu-HU"/>
              </w:rPr>
            </w:pPr>
            <w:r w:rsidRPr="00AE7853">
              <w:rPr>
                <w:rFonts w:ascii="Times New Roman" w:eastAsia="Times New Roman" w:hAnsi="Times New Roman" w:cs="Times New Roman"/>
                <w:sz w:val="24"/>
                <w:szCs w:val="24"/>
                <w:lang w:eastAsia="hu-HU"/>
              </w:rPr>
              <w:t>Közlekedési folyamatok szabályozási rendszere I.</w:t>
            </w:r>
          </w:p>
        </w:tc>
        <w:tc>
          <w:tcPr>
            <w:tcW w:w="1984" w:type="dxa"/>
            <w:shd w:val="clear" w:color="auto" w:fill="FFFFFF" w:themeFill="background1"/>
            <w:vAlign w:val="center"/>
          </w:tcPr>
          <w:p w:rsidR="00AE7853" w:rsidRPr="00AE7853" w:rsidRDefault="00AE7853" w:rsidP="00AE7853">
            <w:pPr>
              <w:spacing w:after="0" w:line="240" w:lineRule="auto"/>
              <w:rPr>
                <w:rFonts w:ascii="Times New Roman" w:eastAsia="Times New Roman" w:hAnsi="Times New Roman" w:cs="Times New Roman"/>
                <w:sz w:val="24"/>
                <w:szCs w:val="24"/>
                <w:lang w:eastAsia="hu-HU"/>
              </w:rPr>
            </w:pPr>
            <w:r w:rsidRPr="00AE7853">
              <w:rPr>
                <w:rFonts w:ascii="Times New Roman" w:eastAsia="Times New Roman" w:hAnsi="Times New Roman" w:cs="Times New Roman"/>
                <w:sz w:val="24"/>
                <w:szCs w:val="24"/>
                <w:lang w:eastAsia="hu-HU"/>
              </w:rPr>
              <w:t>HKHPKA304</w:t>
            </w:r>
          </w:p>
        </w:tc>
      </w:tr>
      <w:tr w:rsidR="00AE7853" w:rsidRPr="0010643F" w:rsidTr="00AE7853">
        <w:trPr>
          <w:trHeight w:val="338"/>
          <w:jc w:val="center"/>
        </w:trPr>
        <w:tc>
          <w:tcPr>
            <w:tcW w:w="5671" w:type="dxa"/>
            <w:shd w:val="clear" w:color="auto" w:fill="FFFFFF" w:themeFill="background1"/>
            <w:noWrap/>
            <w:vAlign w:val="bottom"/>
          </w:tcPr>
          <w:p w:rsidR="00AE7853" w:rsidRPr="00AE7853" w:rsidRDefault="00AE7853" w:rsidP="0056665F">
            <w:pPr>
              <w:pStyle w:val="Listaszerbekezds"/>
              <w:numPr>
                <w:ilvl w:val="0"/>
                <w:numId w:val="4"/>
              </w:numPr>
              <w:spacing w:after="0" w:line="240" w:lineRule="auto"/>
              <w:ind w:left="645" w:hanging="437"/>
              <w:rPr>
                <w:rFonts w:ascii="Times New Roman" w:eastAsia="Times New Roman" w:hAnsi="Times New Roman" w:cs="Times New Roman"/>
                <w:sz w:val="24"/>
                <w:szCs w:val="24"/>
                <w:lang w:eastAsia="hu-HU"/>
              </w:rPr>
            </w:pPr>
            <w:r w:rsidRPr="00AE7853">
              <w:rPr>
                <w:rFonts w:ascii="Times New Roman" w:eastAsia="Times New Roman" w:hAnsi="Times New Roman" w:cs="Times New Roman"/>
                <w:sz w:val="24"/>
                <w:szCs w:val="24"/>
                <w:lang w:eastAsia="hu-HU"/>
              </w:rPr>
              <w:t>Katonai szállító járművek I.</w:t>
            </w:r>
          </w:p>
        </w:tc>
        <w:tc>
          <w:tcPr>
            <w:tcW w:w="1984" w:type="dxa"/>
            <w:shd w:val="clear" w:color="auto" w:fill="FFFFFF" w:themeFill="background1"/>
            <w:vAlign w:val="center"/>
          </w:tcPr>
          <w:p w:rsidR="00AE7853" w:rsidRPr="00AE7853" w:rsidRDefault="00AE7853" w:rsidP="00AE7853">
            <w:pPr>
              <w:spacing w:after="0" w:line="240" w:lineRule="auto"/>
              <w:rPr>
                <w:rFonts w:ascii="Times New Roman" w:eastAsia="Times New Roman" w:hAnsi="Times New Roman" w:cs="Times New Roman"/>
                <w:sz w:val="24"/>
                <w:szCs w:val="24"/>
                <w:lang w:eastAsia="hu-HU"/>
              </w:rPr>
            </w:pPr>
            <w:r w:rsidRPr="00AE7853">
              <w:rPr>
                <w:rFonts w:ascii="Times New Roman" w:eastAsia="Times New Roman" w:hAnsi="Times New Roman" w:cs="Times New Roman"/>
                <w:sz w:val="24"/>
                <w:szCs w:val="24"/>
                <w:lang w:eastAsia="hu-HU"/>
              </w:rPr>
              <w:t>HKHPKA305</w:t>
            </w:r>
          </w:p>
        </w:tc>
      </w:tr>
      <w:tr w:rsidR="00AE7853" w:rsidRPr="0010643F" w:rsidTr="00AE7853">
        <w:trPr>
          <w:trHeight w:val="338"/>
          <w:jc w:val="center"/>
        </w:trPr>
        <w:tc>
          <w:tcPr>
            <w:tcW w:w="5671" w:type="dxa"/>
            <w:shd w:val="clear" w:color="auto" w:fill="FFFFFF" w:themeFill="background1"/>
            <w:noWrap/>
            <w:vAlign w:val="bottom"/>
          </w:tcPr>
          <w:p w:rsidR="00AE7853" w:rsidRPr="00AE7853" w:rsidRDefault="00AE7853" w:rsidP="0056665F">
            <w:pPr>
              <w:pStyle w:val="Listaszerbekezds"/>
              <w:numPr>
                <w:ilvl w:val="0"/>
                <w:numId w:val="4"/>
              </w:numPr>
              <w:spacing w:after="0" w:line="240" w:lineRule="auto"/>
              <w:ind w:left="645" w:hanging="437"/>
              <w:rPr>
                <w:rFonts w:ascii="Times New Roman" w:eastAsia="Times New Roman" w:hAnsi="Times New Roman" w:cs="Times New Roman"/>
                <w:sz w:val="24"/>
                <w:szCs w:val="24"/>
                <w:lang w:eastAsia="hu-HU"/>
              </w:rPr>
            </w:pPr>
            <w:r w:rsidRPr="00AE7853">
              <w:rPr>
                <w:rFonts w:ascii="Times New Roman" w:eastAsia="Times New Roman" w:hAnsi="Times New Roman" w:cs="Times New Roman"/>
                <w:sz w:val="24"/>
                <w:szCs w:val="24"/>
                <w:lang w:eastAsia="hu-HU"/>
              </w:rPr>
              <w:t>Közlekedési hálózatok</w:t>
            </w:r>
          </w:p>
        </w:tc>
        <w:tc>
          <w:tcPr>
            <w:tcW w:w="1984" w:type="dxa"/>
            <w:shd w:val="clear" w:color="auto" w:fill="FFFFFF" w:themeFill="background1"/>
            <w:vAlign w:val="center"/>
          </w:tcPr>
          <w:p w:rsidR="00AE7853" w:rsidRPr="00AE7853" w:rsidRDefault="00AE7853" w:rsidP="00AE7853">
            <w:pPr>
              <w:spacing w:after="0" w:line="240" w:lineRule="auto"/>
              <w:rPr>
                <w:rFonts w:ascii="Times New Roman" w:eastAsia="Times New Roman" w:hAnsi="Times New Roman" w:cs="Times New Roman"/>
                <w:sz w:val="24"/>
                <w:szCs w:val="24"/>
                <w:lang w:eastAsia="hu-HU"/>
              </w:rPr>
            </w:pPr>
            <w:r w:rsidRPr="00AE7853">
              <w:rPr>
                <w:rFonts w:ascii="Times New Roman" w:eastAsia="Times New Roman" w:hAnsi="Times New Roman" w:cs="Times New Roman"/>
                <w:sz w:val="24"/>
                <w:szCs w:val="24"/>
                <w:lang w:eastAsia="hu-HU"/>
              </w:rPr>
              <w:t>HKHPKA306</w:t>
            </w:r>
          </w:p>
        </w:tc>
      </w:tr>
      <w:tr w:rsidR="00AE7853" w:rsidRPr="0010643F" w:rsidTr="00AE7853">
        <w:trPr>
          <w:trHeight w:val="338"/>
          <w:jc w:val="center"/>
        </w:trPr>
        <w:tc>
          <w:tcPr>
            <w:tcW w:w="5671" w:type="dxa"/>
            <w:shd w:val="clear" w:color="auto" w:fill="FFFFFF" w:themeFill="background1"/>
            <w:noWrap/>
            <w:vAlign w:val="bottom"/>
          </w:tcPr>
          <w:p w:rsidR="00AE7853" w:rsidRPr="00AE7853" w:rsidRDefault="00AE7853" w:rsidP="0056665F">
            <w:pPr>
              <w:pStyle w:val="Listaszerbekezds"/>
              <w:numPr>
                <w:ilvl w:val="0"/>
                <w:numId w:val="4"/>
              </w:numPr>
              <w:spacing w:after="0" w:line="240" w:lineRule="auto"/>
              <w:ind w:left="645" w:hanging="437"/>
              <w:rPr>
                <w:rFonts w:ascii="Times New Roman" w:eastAsia="Times New Roman" w:hAnsi="Times New Roman" w:cs="Times New Roman"/>
                <w:sz w:val="24"/>
                <w:szCs w:val="24"/>
                <w:lang w:eastAsia="hu-HU"/>
              </w:rPr>
            </w:pPr>
            <w:r w:rsidRPr="00AE7853">
              <w:rPr>
                <w:rFonts w:ascii="Times New Roman" w:eastAsia="Times New Roman" w:hAnsi="Times New Roman" w:cs="Times New Roman"/>
                <w:sz w:val="24"/>
                <w:szCs w:val="24"/>
                <w:lang w:eastAsia="hu-HU"/>
              </w:rPr>
              <w:t>Közlekedési technika</w:t>
            </w:r>
          </w:p>
        </w:tc>
        <w:tc>
          <w:tcPr>
            <w:tcW w:w="1984" w:type="dxa"/>
            <w:shd w:val="clear" w:color="auto" w:fill="FFFFFF" w:themeFill="background1"/>
            <w:vAlign w:val="center"/>
          </w:tcPr>
          <w:p w:rsidR="00AE7853" w:rsidRPr="00AE7853" w:rsidRDefault="00AE7853" w:rsidP="00AE7853">
            <w:pPr>
              <w:spacing w:after="0" w:line="240" w:lineRule="auto"/>
              <w:rPr>
                <w:rFonts w:ascii="Times New Roman" w:eastAsia="Times New Roman" w:hAnsi="Times New Roman" w:cs="Times New Roman"/>
                <w:sz w:val="24"/>
                <w:szCs w:val="24"/>
                <w:lang w:eastAsia="hu-HU"/>
              </w:rPr>
            </w:pPr>
            <w:r w:rsidRPr="00AE7853">
              <w:rPr>
                <w:rFonts w:ascii="Times New Roman" w:eastAsia="Times New Roman" w:hAnsi="Times New Roman" w:cs="Times New Roman"/>
                <w:sz w:val="24"/>
                <w:szCs w:val="24"/>
                <w:lang w:eastAsia="hu-HU"/>
              </w:rPr>
              <w:t>HKHPKA307</w:t>
            </w:r>
          </w:p>
        </w:tc>
      </w:tr>
      <w:tr w:rsidR="00AE7853" w:rsidRPr="0010643F" w:rsidTr="00AE7853">
        <w:trPr>
          <w:trHeight w:val="338"/>
          <w:jc w:val="center"/>
        </w:trPr>
        <w:tc>
          <w:tcPr>
            <w:tcW w:w="5671" w:type="dxa"/>
            <w:shd w:val="clear" w:color="auto" w:fill="FFFFFF" w:themeFill="background1"/>
            <w:noWrap/>
            <w:vAlign w:val="bottom"/>
          </w:tcPr>
          <w:p w:rsidR="00AE7853" w:rsidRPr="00AE7853" w:rsidRDefault="00AE7853" w:rsidP="0056665F">
            <w:pPr>
              <w:pStyle w:val="Listaszerbekezds"/>
              <w:numPr>
                <w:ilvl w:val="0"/>
                <w:numId w:val="4"/>
              </w:numPr>
              <w:spacing w:after="0" w:line="240" w:lineRule="auto"/>
              <w:ind w:left="645" w:hanging="437"/>
              <w:rPr>
                <w:rFonts w:ascii="Times New Roman" w:eastAsia="Times New Roman" w:hAnsi="Times New Roman" w:cs="Times New Roman"/>
                <w:sz w:val="24"/>
                <w:szCs w:val="24"/>
                <w:lang w:eastAsia="hu-HU"/>
              </w:rPr>
            </w:pPr>
            <w:r w:rsidRPr="00AE7853">
              <w:rPr>
                <w:rFonts w:ascii="Times New Roman" w:eastAsia="Times New Roman" w:hAnsi="Times New Roman" w:cs="Times New Roman"/>
                <w:sz w:val="24"/>
                <w:szCs w:val="24"/>
                <w:lang w:eastAsia="hu-HU"/>
              </w:rPr>
              <w:t>Szállítási technológiák</w:t>
            </w:r>
          </w:p>
        </w:tc>
        <w:tc>
          <w:tcPr>
            <w:tcW w:w="1984" w:type="dxa"/>
            <w:shd w:val="clear" w:color="auto" w:fill="FFFFFF" w:themeFill="background1"/>
            <w:vAlign w:val="center"/>
          </w:tcPr>
          <w:p w:rsidR="00AE7853" w:rsidRPr="00AE7853" w:rsidRDefault="00AE7853" w:rsidP="00AE7853">
            <w:pPr>
              <w:spacing w:after="0" w:line="240" w:lineRule="auto"/>
              <w:rPr>
                <w:rFonts w:ascii="Times New Roman" w:eastAsia="Times New Roman" w:hAnsi="Times New Roman" w:cs="Times New Roman"/>
                <w:sz w:val="24"/>
                <w:szCs w:val="24"/>
                <w:lang w:eastAsia="hu-HU"/>
              </w:rPr>
            </w:pPr>
            <w:r w:rsidRPr="00AE7853">
              <w:rPr>
                <w:rFonts w:ascii="Times New Roman" w:eastAsia="Times New Roman" w:hAnsi="Times New Roman" w:cs="Times New Roman"/>
                <w:sz w:val="24"/>
                <w:szCs w:val="24"/>
                <w:lang w:eastAsia="hu-HU"/>
              </w:rPr>
              <w:t>HKHPKA308</w:t>
            </w:r>
          </w:p>
        </w:tc>
      </w:tr>
      <w:tr w:rsidR="00AE7853" w:rsidRPr="0010643F" w:rsidTr="00AE7853">
        <w:trPr>
          <w:trHeight w:val="338"/>
          <w:jc w:val="center"/>
        </w:trPr>
        <w:tc>
          <w:tcPr>
            <w:tcW w:w="5671" w:type="dxa"/>
            <w:shd w:val="clear" w:color="auto" w:fill="FFFFFF" w:themeFill="background1"/>
            <w:noWrap/>
            <w:vAlign w:val="bottom"/>
          </w:tcPr>
          <w:p w:rsidR="00AE7853" w:rsidRPr="00AE7853" w:rsidRDefault="00AE7853" w:rsidP="0056665F">
            <w:pPr>
              <w:pStyle w:val="Listaszerbekezds"/>
              <w:numPr>
                <w:ilvl w:val="0"/>
                <w:numId w:val="4"/>
              </w:numPr>
              <w:spacing w:after="0" w:line="240" w:lineRule="auto"/>
              <w:ind w:left="645" w:hanging="437"/>
              <w:rPr>
                <w:rFonts w:ascii="Times New Roman" w:eastAsia="Times New Roman" w:hAnsi="Times New Roman" w:cs="Times New Roman"/>
                <w:sz w:val="24"/>
                <w:szCs w:val="24"/>
                <w:lang w:eastAsia="hu-HU"/>
              </w:rPr>
            </w:pPr>
            <w:r w:rsidRPr="00AE7853">
              <w:rPr>
                <w:rFonts w:ascii="Times New Roman" w:eastAsia="Times New Roman" w:hAnsi="Times New Roman" w:cs="Times New Roman"/>
                <w:sz w:val="24"/>
                <w:szCs w:val="24"/>
                <w:lang w:eastAsia="hu-HU"/>
              </w:rPr>
              <w:t>Katonai közlekedés üzemtana</w:t>
            </w:r>
          </w:p>
        </w:tc>
        <w:tc>
          <w:tcPr>
            <w:tcW w:w="1984" w:type="dxa"/>
            <w:shd w:val="clear" w:color="auto" w:fill="FFFFFF" w:themeFill="background1"/>
            <w:vAlign w:val="center"/>
          </w:tcPr>
          <w:p w:rsidR="00AE7853" w:rsidRPr="00AE7853" w:rsidRDefault="00AE7853" w:rsidP="00AE7853">
            <w:pPr>
              <w:spacing w:after="0" w:line="240" w:lineRule="auto"/>
              <w:rPr>
                <w:rFonts w:ascii="Times New Roman" w:eastAsia="Times New Roman" w:hAnsi="Times New Roman" w:cs="Times New Roman"/>
                <w:sz w:val="24"/>
                <w:szCs w:val="24"/>
                <w:lang w:eastAsia="hu-HU"/>
              </w:rPr>
            </w:pPr>
            <w:r w:rsidRPr="00AE7853">
              <w:rPr>
                <w:rFonts w:ascii="Times New Roman" w:eastAsia="Times New Roman" w:hAnsi="Times New Roman" w:cs="Times New Roman"/>
                <w:sz w:val="24"/>
                <w:szCs w:val="24"/>
                <w:lang w:eastAsia="hu-HU"/>
              </w:rPr>
              <w:t>HKHPKA309</w:t>
            </w:r>
          </w:p>
        </w:tc>
      </w:tr>
      <w:tr w:rsidR="00AE7853" w:rsidRPr="0010643F" w:rsidTr="00AE7853">
        <w:trPr>
          <w:trHeight w:val="338"/>
          <w:jc w:val="center"/>
        </w:trPr>
        <w:tc>
          <w:tcPr>
            <w:tcW w:w="5671" w:type="dxa"/>
            <w:shd w:val="clear" w:color="auto" w:fill="FFFFFF" w:themeFill="background1"/>
            <w:noWrap/>
            <w:vAlign w:val="bottom"/>
          </w:tcPr>
          <w:p w:rsidR="00AE7853" w:rsidRPr="00AE7853" w:rsidRDefault="00AE7853" w:rsidP="0056665F">
            <w:pPr>
              <w:pStyle w:val="Listaszerbekezds"/>
              <w:numPr>
                <w:ilvl w:val="0"/>
                <w:numId w:val="4"/>
              </w:numPr>
              <w:spacing w:after="0" w:line="240" w:lineRule="auto"/>
              <w:ind w:left="645" w:hanging="437"/>
              <w:rPr>
                <w:rFonts w:ascii="Times New Roman" w:eastAsia="Times New Roman" w:hAnsi="Times New Roman" w:cs="Times New Roman"/>
                <w:sz w:val="24"/>
                <w:szCs w:val="24"/>
                <w:lang w:eastAsia="hu-HU"/>
              </w:rPr>
            </w:pPr>
            <w:r w:rsidRPr="00AE7853">
              <w:rPr>
                <w:rFonts w:ascii="Times New Roman" w:eastAsia="Times New Roman" w:hAnsi="Times New Roman" w:cs="Times New Roman"/>
                <w:sz w:val="24"/>
                <w:szCs w:val="24"/>
                <w:lang w:eastAsia="hu-HU"/>
              </w:rPr>
              <w:t>Katonai szállító járművek II.</w:t>
            </w:r>
          </w:p>
        </w:tc>
        <w:tc>
          <w:tcPr>
            <w:tcW w:w="1984" w:type="dxa"/>
            <w:shd w:val="clear" w:color="auto" w:fill="FFFFFF" w:themeFill="background1"/>
            <w:vAlign w:val="center"/>
          </w:tcPr>
          <w:p w:rsidR="00AE7853" w:rsidRPr="00AE7853" w:rsidRDefault="00AE7853" w:rsidP="00AE7853">
            <w:pPr>
              <w:spacing w:after="0" w:line="240" w:lineRule="auto"/>
              <w:rPr>
                <w:rFonts w:ascii="Times New Roman" w:eastAsia="Times New Roman" w:hAnsi="Times New Roman" w:cs="Times New Roman"/>
                <w:sz w:val="24"/>
                <w:szCs w:val="24"/>
                <w:lang w:eastAsia="hu-HU"/>
              </w:rPr>
            </w:pPr>
            <w:r w:rsidRPr="00AE7853">
              <w:rPr>
                <w:rFonts w:ascii="Times New Roman" w:eastAsia="Times New Roman" w:hAnsi="Times New Roman" w:cs="Times New Roman"/>
                <w:sz w:val="24"/>
                <w:szCs w:val="24"/>
                <w:lang w:eastAsia="hu-HU"/>
              </w:rPr>
              <w:t>HKHPKA310</w:t>
            </w:r>
          </w:p>
        </w:tc>
      </w:tr>
      <w:tr w:rsidR="00AE7853" w:rsidRPr="0010643F" w:rsidTr="00AE7853">
        <w:trPr>
          <w:trHeight w:val="338"/>
          <w:jc w:val="center"/>
        </w:trPr>
        <w:tc>
          <w:tcPr>
            <w:tcW w:w="5671" w:type="dxa"/>
            <w:shd w:val="clear" w:color="auto" w:fill="FFFFFF" w:themeFill="background1"/>
            <w:noWrap/>
            <w:vAlign w:val="bottom"/>
          </w:tcPr>
          <w:p w:rsidR="00AE7853" w:rsidRPr="00AE7853" w:rsidRDefault="00AE7853" w:rsidP="0056665F">
            <w:pPr>
              <w:pStyle w:val="Listaszerbekezds"/>
              <w:numPr>
                <w:ilvl w:val="0"/>
                <w:numId w:val="4"/>
              </w:numPr>
              <w:spacing w:after="0" w:line="240" w:lineRule="auto"/>
              <w:ind w:left="645" w:hanging="437"/>
              <w:rPr>
                <w:rFonts w:ascii="Times New Roman" w:eastAsia="Times New Roman" w:hAnsi="Times New Roman" w:cs="Times New Roman"/>
                <w:sz w:val="24"/>
                <w:szCs w:val="24"/>
                <w:lang w:eastAsia="hu-HU"/>
              </w:rPr>
            </w:pPr>
            <w:r w:rsidRPr="00AE7853">
              <w:rPr>
                <w:rFonts w:ascii="Times New Roman" w:eastAsia="Times New Roman" w:hAnsi="Times New Roman" w:cs="Times New Roman"/>
                <w:sz w:val="24"/>
                <w:szCs w:val="24"/>
                <w:lang w:eastAsia="hu-HU"/>
              </w:rPr>
              <w:t>Közlekedési folyamatok szabályozási rendszere II.</w:t>
            </w:r>
          </w:p>
        </w:tc>
        <w:tc>
          <w:tcPr>
            <w:tcW w:w="1984" w:type="dxa"/>
            <w:shd w:val="clear" w:color="auto" w:fill="FFFFFF" w:themeFill="background1"/>
            <w:vAlign w:val="center"/>
          </w:tcPr>
          <w:p w:rsidR="00AE7853" w:rsidRPr="00AE7853" w:rsidRDefault="00AE7853" w:rsidP="00AE7853">
            <w:pPr>
              <w:spacing w:after="0" w:line="240" w:lineRule="auto"/>
              <w:rPr>
                <w:rFonts w:ascii="Times New Roman" w:eastAsia="Times New Roman" w:hAnsi="Times New Roman" w:cs="Times New Roman"/>
                <w:sz w:val="24"/>
                <w:szCs w:val="24"/>
                <w:lang w:eastAsia="hu-HU"/>
              </w:rPr>
            </w:pPr>
            <w:r w:rsidRPr="00AE7853">
              <w:rPr>
                <w:rFonts w:ascii="Times New Roman" w:eastAsia="Times New Roman" w:hAnsi="Times New Roman" w:cs="Times New Roman"/>
                <w:sz w:val="24"/>
                <w:szCs w:val="24"/>
                <w:lang w:eastAsia="hu-HU"/>
              </w:rPr>
              <w:t>HKHPKA311</w:t>
            </w:r>
          </w:p>
        </w:tc>
      </w:tr>
      <w:tr w:rsidR="00AE7853" w:rsidRPr="0010643F" w:rsidTr="00AE7853">
        <w:trPr>
          <w:trHeight w:val="338"/>
          <w:jc w:val="center"/>
        </w:trPr>
        <w:tc>
          <w:tcPr>
            <w:tcW w:w="5671" w:type="dxa"/>
            <w:shd w:val="clear" w:color="auto" w:fill="FFFFFF" w:themeFill="background1"/>
            <w:noWrap/>
            <w:vAlign w:val="bottom"/>
          </w:tcPr>
          <w:p w:rsidR="00AE7853" w:rsidRPr="00AE7853" w:rsidRDefault="00AE7853" w:rsidP="0056665F">
            <w:pPr>
              <w:pStyle w:val="Listaszerbekezds"/>
              <w:numPr>
                <w:ilvl w:val="0"/>
                <w:numId w:val="4"/>
              </w:numPr>
              <w:spacing w:after="0" w:line="240" w:lineRule="auto"/>
              <w:ind w:left="645" w:hanging="437"/>
              <w:rPr>
                <w:rFonts w:ascii="Times New Roman" w:eastAsia="Times New Roman" w:hAnsi="Times New Roman" w:cs="Times New Roman"/>
                <w:sz w:val="24"/>
                <w:szCs w:val="24"/>
                <w:lang w:eastAsia="hu-HU"/>
              </w:rPr>
            </w:pPr>
            <w:r w:rsidRPr="00AE7853">
              <w:rPr>
                <w:rFonts w:ascii="Times New Roman" w:eastAsia="Times New Roman" w:hAnsi="Times New Roman" w:cs="Times New Roman"/>
                <w:sz w:val="24"/>
                <w:szCs w:val="24"/>
                <w:lang w:eastAsia="hu-HU"/>
              </w:rPr>
              <w:t>Katonai szállításszervezés I.</w:t>
            </w:r>
          </w:p>
        </w:tc>
        <w:tc>
          <w:tcPr>
            <w:tcW w:w="1984" w:type="dxa"/>
            <w:shd w:val="clear" w:color="auto" w:fill="FFFFFF" w:themeFill="background1"/>
            <w:vAlign w:val="center"/>
          </w:tcPr>
          <w:p w:rsidR="00AE7853" w:rsidRPr="00AE7853" w:rsidRDefault="00AE7853" w:rsidP="00AE7853">
            <w:pPr>
              <w:spacing w:after="0" w:line="240" w:lineRule="auto"/>
              <w:rPr>
                <w:rFonts w:ascii="Times New Roman" w:eastAsia="Times New Roman" w:hAnsi="Times New Roman" w:cs="Times New Roman"/>
                <w:sz w:val="24"/>
                <w:szCs w:val="24"/>
                <w:lang w:eastAsia="hu-HU"/>
              </w:rPr>
            </w:pPr>
            <w:r w:rsidRPr="00AE7853">
              <w:rPr>
                <w:rFonts w:ascii="Times New Roman" w:eastAsia="Times New Roman" w:hAnsi="Times New Roman" w:cs="Times New Roman"/>
                <w:sz w:val="24"/>
                <w:szCs w:val="24"/>
                <w:lang w:eastAsia="hu-HU"/>
              </w:rPr>
              <w:t>HKHPKA312</w:t>
            </w:r>
          </w:p>
        </w:tc>
      </w:tr>
      <w:tr w:rsidR="00AE7853" w:rsidRPr="0010643F" w:rsidTr="00AE7853">
        <w:trPr>
          <w:trHeight w:val="338"/>
          <w:jc w:val="center"/>
        </w:trPr>
        <w:tc>
          <w:tcPr>
            <w:tcW w:w="5671" w:type="dxa"/>
            <w:shd w:val="clear" w:color="auto" w:fill="FFFFFF" w:themeFill="background1"/>
            <w:noWrap/>
            <w:vAlign w:val="bottom"/>
          </w:tcPr>
          <w:p w:rsidR="00AE7853" w:rsidRPr="00AE7853" w:rsidRDefault="00AE7853" w:rsidP="0056665F">
            <w:pPr>
              <w:pStyle w:val="Listaszerbekezds"/>
              <w:numPr>
                <w:ilvl w:val="0"/>
                <w:numId w:val="4"/>
              </w:numPr>
              <w:spacing w:after="0" w:line="240" w:lineRule="auto"/>
              <w:ind w:left="645" w:hanging="437"/>
              <w:rPr>
                <w:rFonts w:ascii="Times New Roman" w:eastAsia="Times New Roman" w:hAnsi="Times New Roman" w:cs="Times New Roman"/>
                <w:sz w:val="24"/>
                <w:szCs w:val="24"/>
                <w:lang w:eastAsia="hu-HU"/>
              </w:rPr>
            </w:pPr>
            <w:r w:rsidRPr="00AE7853">
              <w:rPr>
                <w:rFonts w:ascii="Times New Roman" w:eastAsia="Times New Roman" w:hAnsi="Times New Roman" w:cs="Times New Roman"/>
                <w:sz w:val="24"/>
                <w:szCs w:val="24"/>
                <w:lang w:eastAsia="hu-HU"/>
              </w:rPr>
              <w:t>Katonai közlekedési informatika</w:t>
            </w:r>
          </w:p>
        </w:tc>
        <w:tc>
          <w:tcPr>
            <w:tcW w:w="1984" w:type="dxa"/>
            <w:shd w:val="clear" w:color="auto" w:fill="FFFFFF" w:themeFill="background1"/>
            <w:vAlign w:val="center"/>
          </w:tcPr>
          <w:p w:rsidR="00AE7853" w:rsidRPr="00AE7853" w:rsidRDefault="00AE7853" w:rsidP="00AE7853">
            <w:pPr>
              <w:spacing w:after="0" w:line="240" w:lineRule="auto"/>
              <w:rPr>
                <w:rFonts w:ascii="Times New Roman" w:eastAsia="Times New Roman" w:hAnsi="Times New Roman" w:cs="Times New Roman"/>
                <w:sz w:val="24"/>
                <w:szCs w:val="24"/>
                <w:lang w:eastAsia="hu-HU"/>
              </w:rPr>
            </w:pPr>
            <w:r w:rsidRPr="00AE7853">
              <w:rPr>
                <w:rFonts w:ascii="Times New Roman" w:eastAsia="Times New Roman" w:hAnsi="Times New Roman" w:cs="Times New Roman"/>
                <w:sz w:val="24"/>
                <w:szCs w:val="24"/>
                <w:lang w:eastAsia="hu-HU"/>
              </w:rPr>
              <w:t>HKHPKA313</w:t>
            </w:r>
          </w:p>
        </w:tc>
      </w:tr>
      <w:tr w:rsidR="00AE7853" w:rsidRPr="0010643F" w:rsidTr="00AE7853">
        <w:trPr>
          <w:trHeight w:val="338"/>
          <w:jc w:val="center"/>
        </w:trPr>
        <w:tc>
          <w:tcPr>
            <w:tcW w:w="5671" w:type="dxa"/>
            <w:shd w:val="clear" w:color="auto" w:fill="FFFFFF" w:themeFill="background1"/>
            <w:noWrap/>
            <w:vAlign w:val="bottom"/>
          </w:tcPr>
          <w:p w:rsidR="00AE7853" w:rsidRPr="00AE7853" w:rsidRDefault="00AE7853" w:rsidP="0056665F">
            <w:pPr>
              <w:pStyle w:val="Listaszerbekezds"/>
              <w:numPr>
                <w:ilvl w:val="0"/>
                <w:numId w:val="4"/>
              </w:numPr>
              <w:spacing w:after="0" w:line="240" w:lineRule="auto"/>
              <w:ind w:left="645" w:hanging="437"/>
              <w:rPr>
                <w:rFonts w:ascii="Times New Roman" w:eastAsia="Times New Roman" w:hAnsi="Times New Roman" w:cs="Times New Roman"/>
                <w:sz w:val="24"/>
                <w:szCs w:val="24"/>
                <w:lang w:eastAsia="hu-HU"/>
              </w:rPr>
            </w:pPr>
            <w:r w:rsidRPr="00AE7853">
              <w:rPr>
                <w:rFonts w:ascii="Times New Roman" w:eastAsia="Times New Roman" w:hAnsi="Times New Roman" w:cs="Times New Roman"/>
                <w:sz w:val="24"/>
                <w:szCs w:val="24"/>
                <w:lang w:eastAsia="hu-HU"/>
              </w:rPr>
              <w:t>Közlekedési rendszer védelmi felkészítése</w:t>
            </w:r>
          </w:p>
        </w:tc>
        <w:tc>
          <w:tcPr>
            <w:tcW w:w="1984" w:type="dxa"/>
            <w:shd w:val="clear" w:color="auto" w:fill="FFFFFF" w:themeFill="background1"/>
            <w:vAlign w:val="center"/>
          </w:tcPr>
          <w:p w:rsidR="00AE7853" w:rsidRPr="00AE7853" w:rsidRDefault="00AE7853" w:rsidP="00AE7853">
            <w:pPr>
              <w:spacing w:after="0" w:line="240" w:lineRule="auto"/>
              <w:rPr>
                <w:rFonts w:ascii="Times New Roman" w:eastAsia="Times New Roman" w:hAnsi="Times New Roman" w:cs="Times New Roman"/>
                <w:sz w:val="24"/>
                <w:szCs w:val="24"/>
                <w:lang w:eastAsia="hu-HU"/>
              </w:rPr>
            </w:pPr>
            <w:r w:rsidRPr="00AE7853">
              <w:rPr>
                <w:rFonts w:ascii="Times New Roman" w:eastAsia="Times New Roman" w:hAnsi="Times New Roman" w:cs="Times New Roman"/>
                <w:sz w:val="24"/>
                <w:szCs w:val="24"/>
                <w:lang w:eastAsia="hu-HU"/>
              </w:rPr>
              <w:t>HKHPKA314</w:t>
            </w:r>
          </w:p>
        </w:tc>
      </w:tr>
      <w:tr w:rsidR="00AE7853" w:rsidRPr="0010643F" w:rsidTr="00AE7853">
        <w:trPr>
          <w:trHeight w:val="338"/>
          <w:jc w:val="center"/>
        </w:trPr>
        <w:tc>
          <w:tcPr>
            <w:tcW w:w="5671" w:type="dxa"/>
            <w:shd w:val="clear" w:color="auto" w:fill="FFFFFF" w:themeFill="background1"/>
            <w:noWrap/>
            <w:vAlign w:val="bottom"/>
          </w:tcPr>
          <w:p w:rsidR="00AE7853" w:rsidRPr="00AE7853" w:rsidRDefault="00AE7853" w:rsidP="0056665F">
            <w:pPr>
              <w:pStyle w:val="Listaszerbekezds"/>
              <w:numPr>
                <w:ilvl w:val="0"/>
                <w:numId w:val="4"/>
              </w:numPr>
              <w:spacing w:after="0" w:line="240" w:lineRule="auto"/>
              <w:ind w:left="645" w:hanging="437"/>
              <w:rPr>
                <w:rFonts w:ascii="Times New Roman" w:eastAsia="Times New Roman" w:hAnsi="Times New Roman" w:cs="Times New Roman"/>
                <w:sz w:val="24"/>
                <w:szCs w:val="24"/>
                <w:lang w:eastAsia="hu-HU"/>
              </w:rPr>
            </w:pPr>
            <w:r w:rsidRPr="00AE7853">
              <w:rPr>
                <w:rFonts w:ascii="Times New Roman" w:eastAsia="Times New Roman" w:hAnsi="Times New Roman" w:cs="Times New Roman"/>
                <w:sz w:val="24"/>
                <w:szCs w:val="24"/>
                <w:lang w:eastAsia="hu-HU"/>
              </w:rPr>
              <w:t>Közlekedési-szállító alegységek műveleti alkalmazása I.</w:t>
            </w:r>
          </w:p>
        </w:tc>
        <w:tc>
          <w:tcPr>
            <w:tcW w:w="1984" w:type="dxa"/>
            <w:shd w:val="clear" w:color="auto" w:fill="FFFFFF" w:themeFill="background1"/>
            <w:vAlign w:val="center"/>
          </w:tcPr>
          <w:p w:rsidR="00AE7853" w:rsidRPr="00AE7853" w:rsidRDefault="00AE7853" w:rsidP="00AE7853">
            <w:pPr>
              <w:spacing w:after="0" w:line="240" w:lineRule="auto"/>
              <w:rPr>
                <w:rFonts w:ascii="Times New Roman" w:eastAsia="Times New Roman" w:hAnsi="Times New Roman" w:cs="Times New Roman"/>
                <w:sz w:val="24"/>
                <w:szCs w:val="24"/>
                <w:lang w:eastAsia="hu-HU"/>
              </w:rPr>
            </w:pPr>
            <w:r w:rsidRPr="00AE7853">
              <w:rPr>
                <w:rFonts w:ascii="Times New Roman" w:eastAsia="Times New Roman" w:hAnsi="Times New Roman" w:cs="Times New Roman"/>
                <w:sz w:val="24"/>
                <w:szCs w:val="24"/>
                <w:lang w:eastAsia="hu-HU"/>
              </w:rPr>
              <w:t>HKHPKA315</w:t>
            </w:r>
          </w:p>
        </w:tc>
      </w:tr>
      <w:tr w:rsidR="00AE7853" w:rsidRPr="0010643F" w:rsidTr="00AE7853">
        <w:trPr>
          <w:trHeight w:val="338"/>
          <w:jc w:val="center"/>
        </w:trPr>
        <w:tc>
          <w:tcPr>
            <w:tcW w:w="5671" w:type="dxa"/>
            <w:shd w:val="clear" w:color="auto" w:fill="FFFFFF" w:themeFill="background1"/>
            <w:noWrap/>
            <w:vAlign w:val="bottom"/>
          </w:tcPr>
          <w:p w:rsidR="00AE7853" w:rsidRPr="00AE7853" w:rsidRDefault="00AE7853" w:rsidP="0056665F">
            <w:pPr>
              <w:pStyle w:val="Listaszerbekezds"/>
              <w:numPr>
                <w:ilvl w:val="0"/>
                <w:numId w:val="4"/>
              </w:numPr>
              <w:spacing w:after="0" w:line="240" w:lineRule="auto"/>
              <w:ind w:left="645" w:hanging="437"/>
              <w:rPr>
                <w:rFonts w:ascii="Times New Roman" w:eastAsia="Times New Roman" w:hAnsi="Times New Roman" w:cs="Times New Roman"/>
                <w:sz w:val="24"/>
                <w:szCs w:val="24"/>
                <w:lang w:eastAsia="hu-HU"/>
              </w:rPr>
            </w:pPr>
            <w:r w:rsidRPr="00AE7853">
              <w:rPr>
                <w:rFonts w:ascii="Times New Roman" w:eastAsia="Times New Roman" w:hAnsi="Times New Roman" w:cs="Times New Roman"/>
                <w:sz w:val="24"/>
                <w:szCs w:val="24"/>
                <w:lang w:eastAsia="hu-HU"/>
              </w:rPr>
              <w:t>Szállító alegységek vezetése I.</w:t>
            </w:r>
          </w:p>
        </w:tc>
        <w:tc>
          <w:tcPr>
            <w:tcW w:w="1984" w:type="dxa"/>
            <w:shd w:val="clear" w:color="auto" w:fill="FFFFFF" w:themeFill="background1"/>
            <w:vAlign w:val="center"/>
          </w:tcPr>
          <w:p w:rsidR="00AE7853" w:rsidRPr="00AE7853" w:rsidRDefault="00AE7853" w:rsidP="00AE7853">
            <w:pPr>
              <w:spacing w:after="0" w:line="240" w:lineRule="auto"/>
              <w:rPr>
                <w:rFonts w:ascii="Times New Roman" w:eastAsia="Times New Roman" w:hAnsi="Times New Roman" w:cs="Times New Roman"/>
                <w:sz w:val="24"/>
                <w:szCs w:val="24"/>
                <w:lang w:eastAsia="hu-HU"/>
              </w:rPr>
            </w:pPr>
            <w:r w:rsidRPr="00AE7853">
              <w:rPr>
                <w:rFonts w:ascii="Times New Roman" w:eastAsia="Times New Roman" w:hAnsi="Times New Roman" w:cs="Times New Roman"/>
                <w:sz w:val="24"/>
                <w:szCs w:val="24"/>
                <w:lang w:eastAsia="hu-HU"/>
              </w:rPr>
              <w:t>HKHPKA316</w:t>
            </w:r>
          </w:p>
        </w:tc>
      </w:tr>
      <w:tr w:rsidR="00AE7853" w:rsidRPr="0010643F" w:rsidTr="00AE7853">
        <w:trPr>
          <w:trHeight w:val="338"/>
          <w:jc w:val="center"/>
        </w:trPr>
        <w:tc>
          <w:tcPr>
            <w:tcW w:w="5671" w:type="dxa"/>
            <w:shd w:val="clear" w:color="auto" w:fill="FFFFFF" w:themeFill="background1"/>
            <w:noWrap/>
            <w:vAlign w:val="bottom"/>
          </w:tcPr>
          <w:p w:rsidR="00AE7853" w:rsidRPr="00AE7853" w:rsidRDefault="00AE7853" w:rsidP="0056665F">
            <w:pPr>
              <w:pStyle w:val="Listaszerbekezds"/>
              <w:numPr>
                <w:ilvl w:val="0"/>
                <w:numId w:val="4"/>
              </w:numPr>
              <w:spacing w:after="0" w:line="240" w:lineRule="auto"/>
              <w:ind w:left="645" w:hanging="437"/>
              <w:rPr>
                <w:rFonts w:ascii="Times New Roman" w:eastAsia="Times New Roman" w:hAnsi="Times New Roman" w:cs="Times New Roman"/>
                <w:sz w:val="24"/>
                <w:szCs w:val="24"/>
                <w:lang w:eastAsia="hu-HU"/>
              </w:rPr>
            </w:pPr>
            <w:r w:rsidRPr="00AE7853">
              <w:rPr>
                <w:rFonts w:ascii="Times New Roman" w:eastAsia="Times New Roman" w:hAnsi="Times New Roman" w:cs="Times New Roman"/>
                <w:sz w:val="24"/>
                <w:szCs w:val="24"/>
                <w:lang w:eastAsia="hu-HU"/>
              </w:rPr>
              <w:t>Közlekedésgazdaságtan</w:t>
            </w:r>
          </w:p>
        </w:tc>
        <w:tc>
          <w:tcPr>
            <w:tcW w:w="1984" w:type="dxa"/>
            <w:shd w:val="clear" w:color="auto" w:fill="FFFFFF" w:themeFill="background1"/>
            <w:vAlign w:val="center"/>
          </w:tcPr>
          <w:p w:rsidR="00AE7853" w:rsidRPr="00AE7853" w:rsidRDefault="00AE7853" w:rsidP="00AE7853">
            <w:pPr>
              <w:spacing w:after="0" w:line="240" w:lineRule="auto"/>
              <w:rPr>
                <w:rFonts w:ascii="Times New Roman" w:eastAsia="Times New Roman" w:hAnsi="Times New Roman" w:cs="Times New Roman"/>
                <w:sz w:val="24"/>
                <w:szCs w:val="24"/>
                <w:lang w:eastAsia="hu-HU"/>
              </w:rPr>
            </w:pPr>
            <w:r w:rsidRPr="00AE7853">
              <w:rPr>
                <w:rFonts w:ascii="Times New Roman" w:eastAsia="Times New Roman" w:hAnsi="Times New Roman" w:cs="Times New Roman"/>
                <w:sz w:val="24"/>
                <w:szCs w:val="24"/>
                <w:lang w:eastAsia="hu-HU"/>
              </w:rPr>
              <w:t>HKHPKA317</w:t>
            </w:r>
          </w:p>
        </w:tc>
      </w:tr>
      <w:tr w:rsidR="00AE7853" w:rsidRPr="0010643F" w:rsidTr="00AE7853">
        <w:trPr>
          <w:trHeight w:val="338"/>
          <w:jc w:val="center"/>
        </w:trPr>
        <w:tc>
          <w:tcPr>
            <w:tcW w:w="5671" w:type="dxa"/>
            <w:shd w:val="clear" w:color="auto" w:fill="FFFFFF" w:themeFill="background1"/>
            <w:noWrap/>
            <w:vAlign w:val="bottom"/>
          </w:tcPr>
          <w:p w:rsidR="00AE7853" w:rsidRPr="00AE7853" w:rsidRDefault="00AE7853" w:rsidP="0056665F">
            <w:pPr>
              <w:pStyle w:val="Listaszerbekezds"/>
              <w:numPr>
                <w:ilvl w:val="0"/>
                <w:numId w:val="4"/>
              </w:numPr>
              <w:spacing w:after="0" w:line="240" w:lineRule="auto"/>
              <w:ind w:left="645" w:hanging="437"/>
              <w:rPr>
                <w:rFonts w:ascii="Times New Roman" w:eastAsia="Times New Roman" w:hAnsi="Times New Roman" w:cs="Times New Roman"/>
                <w:sz w:val="24"/>
                <w:szCs w:val="24"/>
                <w:lang w:eastAsia="hu-HU"/>
              </w:rPr>
            </w:pPr>
            <w:r w:rsidRPr="00AE7853">
              <w:rPr>
                <w:rFonts w:ascii="Times New Roman" w:eastAsia="Times New Roman" w:hAnsi="Times New Roman" w:cs="Times New Roman"/>
                <w:sz w:val="24"/>
                <w:szCs w:val="24"/>
                <w:lang w:eastAsia="hu-HU"/>
              </w:rPr>
              <w:t>Katonai szállításszervezés II.</w:t>
            </w:r>
          </w:p>
        </w:tc>
        <w:tc>
          <w:tcPr>
            <w:tcW w:w="1984" w:type="dxa"/>
            <w:shd w:val="clear" w:color="auto" w:fill="FFFFFF" w:themeFill="background1"/>
            <w:vAlign w:val="center"/>
          </w:tcPr>
          <w:p w:rsidR="00AE7853" w:rsidRPr="00AE7853" w:rsidRDefault="00AE7853" w:rsidP="00AE7853">
            <w:pPr>
              <w:spacing w:after="0" w:line="240" w:lineRule="auto"/>
              <w:rPr>
                <w:rFonts w:ascii="Times New Roman" w:eastAsia="Times New Roman" w:hAnsi="Times New Roman" w:cs="Times New Roman"/>
                <w:sz w:val="24"/>
                <w:szCs w:val="24"/>
                <w:lang w:eastAsia="hu-HU"/>
              </w:rPr>
            </w:pPr>
            <w:r w:rsidRPr="00AE7853">
              <w:rPr>
                <w:rFonts w:ascii="Times New Roman" w:eastAsia="Times New Roman" w:hAnsi="Times New Roman" w:cs="Times New Roman"/>
                <w:sz w:val="24"/>
                <w:szCs w:val="24"/>
                <w:lang w:eastAsia="hu-HU"/>
              </w:rPr>
              <w:t>HKHPKA318</w:t>
            </w:r>
          </w:p>
        </w:tc>
      </w:tr>
      <w:tr w:rsidR="00AE7853" w:rsidRPr="0010643F" w:rsidTr="00AE7853">
        <w:trPr>
          <w:trHeight w:val="338"/>
          <w:jc w:val="center"/>
        </w:trPr>
        <w:tc>
          <w:tcPr>
            <w:tcW w:w="5671" w:type="dxa"/>
            <w:shd w:val="clear" w:color="auto" w:fill="FFFFFF" w:themeFill="background1"/>
            <w:noWrap/>
            <w:vAlign w:val="bottom"/>
          </w:tcPr>
          <w:p w:rsidR="00AE7853" w:rsidRPr="00AE7853" w:rsidRDefault="00AE7853" w:rsidP="0056665F">
            <w:pPr>
              <w:pStyle w:val="Listaszerbekezds"/>
              <w:numPr>
                <w:ilvl w:val="0"/>
                <w:numId w:val="4"/>
              </w:numPr>
              <w:spacing w:after="0" w:line="240" w:lineRule="auto"/>
              <w:ind w:left="645" w:hanging="437"/>
              <w:rPr>
                <w:rFonts w:ascii="Times New Roman" w:eastAsia="Times New Roman" w:hAnsi="Times New Roman" w:cs="Times New Roman"/>
                <w:sz w:val="24"/>
                <w:szCs w:val="24"/>
                <w:lang w:eastAsia="hu-HU"/>
              </w:rPr>
            </w:pPr>
            <w:r w:rsidRPr="00AE7853">
              <w:rPr>
                <w:rFonts w:ascii="Times New Roman" w:eastAsia="Times New Roman" w:hAnsi="Times New Roman" w:cs="Times New Roman"/>
                <w:sz w:val="24"/>
                <w:szCs w:val="24"/>
                <w:lang w:eastAsia="hu-HU"/>
              </w:rPr>
              <w:t>Katonai gazdálkodás KÖ</w:t>
            </w:r>
          </w:p>
        </w:tc>
        <w:tc>
          <w:tcPr>
            <w:tcW w:w="1984" w:type="dxa"/>
            <w:shd w:val="clear" w:color="auto" w:fill="FFFFFF" w:themeFill="background1"/>
            <w:vAlign w:val="center"/>
          </w:tcPr>
          <w:p w:rsidR="00AE7853" w:rsidRPr="00AE7853" w:rsidRDefault="00AE7853" w:rsidP="00AE7853">
            <w:pPr>
              <w:spacing w:after="0" w:line="240" w:lineRule="auto"/>
              <w:rPr>
                <w:rFonts w:ascii="Times New Roman" w:eastAsia="Times New Roman" w:hAnsi="Times New Roman" w:cs="Times New Roman"/>
                <w:sz w:val="24"/>
                <w:szCs w:val="24"/>
                <w:lang w:eastAsia="hu-HU"/>
              </w:rPr>
            </w:pPr>
            <w:r w:rsidRPr="00AE7853">
              <w:rPr>
                <w:rFonts w:ascii="Times New Roman" w:eastAsia="Times New Roman" w:hAnsi="Times New Roman" w:cs="Times New Roman"/>
                <w:sz w:val="24"/>
                <w:szCs w:val="24"/>
                <w:lang w:eastAsia="hu-HU"/>
              </w:rPr>
              <w:t>HKHPKA319</w:t>
            </w:r>
          </w:p>
        </w:tc>
      </w:tr>
      <w:tr w:rsidR="00AE7853" w:rsidRPr="0010643F" w:rsidTr="00AE7853">
        <w:trPr>
          <w:trHeight w:val="338"/>
          <w:jc w:val="center"/>
        </w:trPr>
        <w:tc>
          <w:tcPr>
            <w:tcW w:w="5671" w:type="dxa"/>
            <w:shd w:val="clear" w:color="auto" w:fill="FFFFFF" w:themeFill="background1"/>
            <w:noWrap/>
            <w:vAlign w:val="bottom"/>
          </w:tcPr>
          <w:p w:rsidR="00AE7853" w:rsidRPr="00AE7853" w:rsidRDefault="00AE7853" w:rsidP="0056665F">
            <w:pPr>
              <w:pStyle w:val="Listaszerbekezds"/>
              <w:numPr>
                <w:ilvl w:val="0"/>
                <w:numId w:val="4"/>
              </w:numPr>
              <w:spacing w:after="0" w:line="240" w:lineRule="auto"/>
              <w:ind w:left="645" w:hanging="437"/>
              <w:rPr>
                <w:rFonts w:ascii="Times New Roman" w:eastAsia="Times New Roman" w:hAnsi="Times New Roman" w:cs="Times New Roman"/>
                <w:sz w:val="24"/>
                <w:szCs w:val="24"/>
                <w:lang w:eastAsia="hu-HU"/>
              </w:rPr>
            </w:pPr>
            <w:r w:rsidRPr="00AE7853">
              <w:rPr>
                <w:rFonts w:ascii="Times New Roman" w:eastAsia="Times New Roman" w:hAnsi="Times New Roman" w:cs="Times New Roman"/>
                <w:sz w:val="24"/>
                <w:szCs w:val="24"/>
                <w:lang w:eastAsia="hu-HU"/>
              </w:rPr>
              <w:t xml:space="preserve">Közlekedési-szállító alegységek műveleti alkalmazása II. </w:t>
            </w:r>
          </w:p>
        </w:tc>
        <w:tc>
          <w:tcPr>
            <w:tcW w:w="1984" w:type="dxa"/>
            <w:shd w:val="clear" w:color="auto" w:fill="FFFFFF" w:themeFill="background1"/>
            <w:vAlign w:val="center"/>
          </w:tcPr>
          <w:p w:rsidR="00AE7853" w:rsidRPr="00AE7853" w:rsidRDefault="00AE7853" w:rsidP="00AE7853">
            <w:pPr>
              <w:spacing w:after="0" w:line="240" w:lineRule="auto"/>
              <w:rPr>
                <w:rFonts w:ascii="Times New Roman" w:eastAsia="Times New Roman" w:hAnsi="Times New Roman" w:cs="Times New Roman"/>
                <w:sz w:val="24"/>
                <w:szCs w:val="24"/>
                <w:lang w:eastAsia="hu-HU"/>
              </w:rPr>
            </w:pPr>
            <w:r w:rsidRPr="00AE7853">
              <w:rPr>
                <w:rFonts w:ascii="Times New Roman" w:eastAsia="Times New Roman" w:hAnsi="Times New Roman" w:cs="Times New Roman"/>
                <w:sz w:val="24"/>
                <w:szCs w:val="24"/>
                <w:lang w:eastAsia="hu-HU"/>
              </w:rPr>
              <w:t>HKHPKA320</w:t>
            </w:r>
          </w:p>
        </w:tc>
      </w:tr>
      <w:tr w:rsidR="00AE7853" w:rsidRPr="0010643F" w:rsidTr="00AE7853">
        <w:trPr>
          <w:trHeight w:val="338"/>
          <w:jc w:val="center"/>
        </w:trPr>
        <w:tc>
          <w:tcPr>
            <w:tcW w:w="5671" w:type="dxa"/>
            <w:shd w:val="clear" w:color="auto" w:fill="FFFFFF" w:themeFill="background1"/>
            <w:noWrap/>
            <w:vAlign w:val="bottom"/>
          </w:tcPr>
          <w:p w:rsidR="00AE7853" w:rsidRPr="00AE7853" w:rsidRDefault="00AE7853" w:rsidP="0056665F">
            <w:pPr>
              <w:pStyle w:val="Listaszerbekezds"/>
              <w:numPr>
                <w:ilvl w:val="0"/>
                <w:numId w:val="4"/>
              </w:numPr>
              <w:spacing w:after="0" w:line="240" w:lineRule="auto"/>
              <w:ind w:left="645" w:hanging="437"/>
              <w:rPr>
                <w:rFonts w:ascii="Times New Roman" w:eastAsia="Times New Roman" w:hAnsi="Times New Roman" w:cs="Times New Roman"/>
                <w:sz w:val="24"/>
                <w:szCs w:val="24"/>
                <w:lang w:eastAsia="hu-HU"/>
              </w:rPr>
            </w:pPr>
            <w:r w:rsidRPr="00AE7853">
              <w:rPr>
                <w:rFonts w:ascii="Times New Roman" w:eastAsia="Times New Roman" w:hAnsi="Times New Roman" w:cs="Times New Roman"/>
                <w:sz w:val="24"/>
                <w:szCs w:val="24"/>
                <w:lang w:eastAsia="hu-HU"/>
              </w:rPr>
              <w:t>Katonai szállításszervezés III.</w:t>
            </w:r>
          </w:p>
        </w:tc>
        <w:tc>
          <w:tcPr>
            <w:tcW w:w="1984" w:type="dxa"/>
            <w:shd w:val="clear" w:color="auto" w:fill="FFFFFF" w:themeFill="background1"/>
            <w:vAlign w:val="center"/>
          </w:tcPr>
          <w:p w:rsidR="00AE7853" w:rsidRPr="00AE7853" w:rsidRDefault="00AE7853" w:rsidP="00AE7853">
            <w:pPr>
              <w:spacing w:after="0" w:line="240" w:lineRule="auto"/>
              <w:rPr>
                <w:rFonts w:ascii="Times New Roman" w:eastAsia="Times New Roman" w:hAnsi="Times New Roman" w:cs="Times New Roman"/>
                <w:sz w:val="24"/>
                <w:szCs w:val="24"/>
                <w:lang w:eastAsia="hu-HU"/>
              </w:rPr>
            </w:pPr>
            <w:r w:rsidRPr="00AE7853">
              <w:rPr>
                <w:rFonts w:ascii="Times New Roman" w:eastAsia="Times New Roman" w:hAnsi="Times New Roman" w:cs="Times New Roman"/>
                <w:sz w:val="24"/>
                <w:szCs w:val="24"/>
                <w:lang w:eastAsia="hu-HU"/>
              </w:rPr>
              <w:t>HKHPKA321</w:t>
            </w:r>
          </w:p>
        </w:tc>
      </w:tr>
      <w:tr w:rsidR="00AE7853" w:rsidRPr="0010643F" w:rsidTr="00AE7853">
        <w:trPr>
          <w:trHeight w:val="338"/>
          <w:jc w:val="center"/>
        </w:trPr>
        <w:tc>
          <w:tcPr>
            <w:tcW w:w="5671" w:type="dxa"/>
            <w:shd w:val="clear" w:color="auto" w:fill="FFFFFF" w:themeFill="background1"/>
            <w:noWrap/>
            <w:vAlign w:val="bottom"/>
          </w:tcPr>
          <w:p w:rsidR="00AE7853" w:rsidRPr="00AE7853" w:rsidRDefault="00AE7853" w:rsidP="0056665F">
            <w:pPr>
              <w:pStyle w:val="Listaszerbekezds"/>
              <w:numPr>
                <w:ilvl w:val="0"/>
                <w:numId w:val="4"/>
              </w:numPr>
              <w:spacing w:after="0" w:line="240" w:lineRule="auto"/>
              <w:ind w:left="645" w:hanging="437"/>
              <w:rPr>
                <w:rFonts w:ascii="Times New Roman" w:eastAsia="Times New Roman" w:hAnsi="Times New Roman" w:cs="Times New Roman"/>
                <w:sz w:val="24"/>
                <w:szCs w:val="24"/>
                <w:lang w:eastAsia="hu-HU"/>
              </w:rPr>
            </w:pPr>
            <w:r w:rsidRPr="00AE7853">
              <w:rPr>
                <w:rFonts w:ascii="Times New Roman" w:eastAsia="Times New Roman" w:hAnsi="Times New Roman" w:cs="Times New Roman"/>
                <w:sz w:val="24"/>
                <w:szCs w:val="24"/>
                <w:lang w:eastAsia="hu-HU"/>
              </w:rPr>
              <w:t>Szállító alegységek vezetése II.</w:t>
            </w:r>
          </w:p>
        </w:tc>
        <w:tc>
          <w:tcPr>
            <w:tcW w:w="1984" w:type="dxa"/>
            <w:shd w:val="clear" w:color="auto" w:fill="FFFFFF" w:themeFill="background1"/>
            <w:vAlign w:val="center"/>
          </w:tcPr>
          <w:p w:rsidR="00AE7853" w:rsidRPr="00AE7853" w:rsidRDefault="00AE7853" w:rsidP="00AE7853">
            <w:pPr>
              <w:spacing w:after="0" w:line="240" w:lineRule="auto"/>
              <w:rPr>
                <w:rFonts w:ascii="Times New Roman" w:eastAsia="Times New Roman" w:hAnsi="Times New Roman" w:cs="Times New Roman"/>
                <w:sz w:val="24"/>
                <w:szCs w:val="24"/>
                <w:lang w:eastAsia="hu-HU"/>
              </w:rPr>
            </w:pPr>
            <w:r w:rsidRPr="00AE7853">
              <w:rPr>
                <w:rFonts w:ascii="Times New Roman" w:eastAsia="Times New Roman" w:hAnsi="Times New Roman" w:cs="Times New Roman"/>
                <w:sz w:val="24"/>
                <w:szCs w:val="24"/>
                <w:lang w:eastAsia="hu-HU"/>
              </w:rPr>
              <w:t>HKHPKA322</w:t>
            </w:r>
          </w:p>
        </w:tc>
      </w:tr>
      <w:tr w:rsidR="00AE7853" w:rsidRPr="0010643F" w:rsidTr="00AE7853">
        <w:trPr>
          <w:trHeight w:val="338"/>
          <w:jc w:val="center"/>
        </w:trPr>
        <w:tc>
          <w:tcPr>
            <w:tcW w:w="5671" w:type="dxa"/>
            <w:shd w:val="clear" w:color="auto" w:fill="FFFFFF" w:themeFill="background1"/>
            <w:noWrap/>
            <w:vAlign w:val="bottom"/>
          </w:tcPr>
          <w:p w:rsidR="00AE7853" w:rsidRPr="00AE7853" w:rsidRDefault="00AE7853" w:rsidP="0056665F">
            <w:pPr>
              <w:pStyle w:val="Listaszerbekezds"/>
              <w:numPr>
                <w:ilvl w:val="0"/>
                <w:numId w:val="4"/>
              </w:numPr>
              <w:spacing w:after="0" w:line="240" w:lineRule="auto"/>
              <w:ind w:left="645" w:hanging="437"/>
              <w:rPr>
                <w:rFonts w:ascii="Times New Roman" w:eastAsia="Times New Roman" w:hAnsi="Times New Roman" w:cs="Times New Roman"/>
                <w:sz w:val="24"/>
                <w:szCs w:val="24"/>
                <w:lang w:eastAsia="hu-HU"/>
              </w:rPr>
            </w:pPr>
            <w:r w:rsidRPr="00AE7853">
              <w:rPr>
                <w:rFonts w:ascii="Times New Roman" w:eastAsia="Times New Roman" w:hAnsi="Times New Roman" w:cs="Times New Roman"/>
                <w:sz w:val="24"/>
                <w:szCs w:val="24"/>
                <w:lang w:eastAsia="hu-HU"/>
              </w:rPr>
              <w:t>Beszerzési ismeretek</w:t>
            </w:r>
          </w:p>
        </w:tc>
        <w:tc>
          <w:tcPr>
            <w:tcW w:w="1984" w:type="dxa"/>
            <w:shd w:val="clear" w:color="auto" w:fill="FFFFFF" w:themeFill="background1"/>
            <w:vAlign w:val="center"/>
          </w:tcPr>
          <w:p w:rsidR="00AE7853" w:rsidRPr="00AE7853" w:rsidRDefault="00AE7853" w:rsidP="00AE7853">
            <w:pPr>
              <w:spacing w:after="0" w:line="240" w:lineRule="auto"/>
              <w:rPr>
                <w:rFonts w:ascii="Times New Roman" w:eastAsia="Times New Roman" w:hAnsi="Times New Roman" w:cs="Times New Roman"/>
                <w:sz w:val="24"/>
                <w:szCs w:val="24"/>
                <w:lang w:eastAsia="hu-HU"/>
              </w:rPr>
            </w:pPr>
            <w:r w:rsidRPr="00AE7853">
              <w:rPr>
                <w:rFonts w:ascii="Times New Roman" w:eastAsia="Times New Roman" w:hAnsi="Times New Roman" w:cs="Times New Roman"/>
                <w:sz w:val="24"/>
                <w:szCs w:val="24"/>
                <w:lang w:eastAsia="hu-HU"/>
              </w:rPr>
              <w:t>HKHPKA117</w:t>
            </w:r>
          </w:p>
        </w:tc>
      </w:tr>
    </w:tbl>
    <w:p w:rsidR="00E90EF1" w:rsidRDefault="00E90EF1" w:rsidP="00E90EF1">
      <w:pPr>
        <w:pStyle w:val="Listaszerbekezds"/>
        <w:ind w:left="1080"/>
        <w:rPr>
          <w:rFonts w:ascii="Times New Roman" w:hAnsi="Times New Roman" w:cs="Times New Roman"/>
          <w:sz w:val="24"/>
        </w:rPr>
      </w:pPr>
    </w:p>
    <w:p w:rsidR="008226EC" w:rsidRPr="008226EC" w:rsidRDefault="008226EC" w:rsidP="008226EC">
      <w:pPr>
        <w:pStyle w:val="Listaszerbekezds"/>
        <w:numPr>
          <w:ilvl w:val="1"/>
          <w:numId w:val="1"/>
        </w:numPr>
        <w:rPr>
          <w:rFonts w:ascii="Times New Roman" w:hAnsi="Times New Roman" w:cs="Times New Roman"/>
          <w:b/>
          <w:sz w:val="24"/>
        </w:rPr>
      </w:pPr>
      <w:r>
        <w:rPr>
          <w:rFonts w:ascii="Times New Roman" w:hAnsi="Times New Roman" w:cs="Times New Roman"/>
          <w:b/>
          <w:sz w:val="24"/>
        </w:rPr>
        <w:t>Haditechnikai s</w:t>
      </w:r>
      <w:r w:rsidRPr="008226EC">
        <w:rPr>
          <w:rFonts w:ascii="Times New Roman" w:hAnsi="Times New Roman" w:cs="Times New Roman"/>
          <w:b/>
          <w:sz w:val="24"/>
        </w:rPr>
        <w:t xml:space="preserve">pecializáció </w:t>
      </w:r>
    </w:p>
    <w:p w:rsidR="008226EC" w:rsidRPr="008226EC" w:rsidRDefault="008226EC" w:rsidP="008226EC">
      <w:pPr>
        <w:pStyle w:val="Listaszerbekezds"/>
        <w:ind w:left="1080"/>
        <w:rPr>
          <w:rFonts w:ascii="Times New Roman" w:hAnsi="Times New Roman" w:cs="Times New Roman"/>
          <w:sz w:val="24"/>
        </w:rPr>
      </w:pP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5671"/>
        <w:gridCol w:w="1984"/>
      </w:tblGrid>
      <w:tr w:rsidR="002D29C5" w:rsidRPr="0010643F" w:rsidTr="00DC5558">
        <w:trPr>
          <w:trHeight w:val="338"/>
          <w:jc w:val="center"/>
        </w:trPr>
        <w:tc>
          <w:tcPr>
            <w:tcW w:w="5671" w:type="dxa"/>
            <w:shd w:val="clear" w:color="auto" w:fill="FFFFFF" w:themeFill="background1"/>
            <w:noWrap/>
            <w:vAlign w:val="bottom"/>
          </w:tcPr>
          <w:p w:rsidR="002D29C5" w:rsidRPr="002D29C5" w:rsidRDefault="002D29C5" w:rsidP="0056665F">
            <w:pPr>
              <w:pStyle w:val="Listaszerbekezds"/>
              <w:numPr>
                <w:ilvl w:val="0"/>
                <w:numId w:val="5"/>
              </w:numPr>
              <w:spacing w:after="0" w:line="240" w:lineRule="auto"/>
              <w:ind w:left="645" w:hanging="437"/>
              <w:rPr>
                <w:rFonts w:ascii="Times New Roman" w:eastAsia="Times New Roman" w:hAnsi="Times New Roman" w:cs="Times New Roman"/>
                <w:sz w:val="24"/>
                <w:szCs w:val="24"/>
                <w:lang w:eastAsia="hu-HU"/>
              </w:rPr>
            </w:pPr>
            <w:r w:rsidRPr="002D29C5">
              <w:rPr>
                <w:rFonts w:ascii="Times New Roman" w:eastAsia="Times New Roman" w:hAnsi="Times New Roman" w:cs="Times New Roman"/>
                <w:sz w:val="24"/>
                <w:szCs w:val="24"/>
                <w:lang w:eastAsia="hu-HU"/>
              </w:rPr>
              <w:t>Áramlástan és hidraulika</w:t>
            </w:r>
          </w:p>
        </w:tc>
        <w:tc>
          <w:tcPr>
            <w:tcW w:w="1984" w:type="dxa"/>
            <w:shd w:val="clear" w:color="auto" w:fill="FFFFFF" w:themeFill="background1"/>
            <w:vAlign w:val="bottom"/>
          </w:tcPr>
          <w:p w:rsidR="002D29C5" w:rsidRPr="002D29C5" w:rsidRDefault="002D29C5" w:rsidP="002D29C5">
            <w:pPr>
              <w:spacing w:after="0" w:line="240" w:lineRule="auto"/>
              <w:rPr>
                <w:rFonts w:ascii="Times New Roman" w:eastAsia="Times New Roman" w:hAnsi="Times New Roman" w:cs="Times New Roman"/>
                <w:sz w:val="24"/>
                <w:szCs w:val="24"/>
                <w:lang w:eastAsia="hu-HU"/>
              </w:rPr>
            </w:pPr>
            <w:r w:rsidRPr="002D29C5">
              <w:rPr>
                <w:rFonts w:ascii="Times New Roman" w:eastAsia="Times New Roman" w:hAnsi="Times New Roman" w:cs="Times New Roman"/>
                <w:sz w:val="24"/>
                <w:szCs w:val="24"/>
                <w:lang w:eastAsia="hu-HU"/>
              </w:rPr>
              <w:t>HKHDTA04</w:t>
            </w:r>
          </w:p>
        </w:tc>
      </w:tr>
      <w:tr w:rsidR="002D29C5" w:rsidRPr="0010643F" w:rsidTr="00DC5558">
        <w:trPr>
          <w:trHeight w:val="338"/>
          <w:jc w:val="center"/>
        </w:trPr>
        <w:tc>
          <w:tcPr>
            <w:tcW w:w="5671" w:type="dxa"/>
            <w:shd w:val="clear" w:color="auto" w:fill="FFFFFF" w:themeFill="background1"/>
            <w:noWrap/>
            <w:vAlign w:val="bottom"/>
          </w:tcPr>
          <w:p w:rsidR="002D29C5" w:rsidRPr="002D29C5" w:rsidRDefault="002D29C5" w:rsidP="0056665F">
            <w:pPr>
              <w:pStyle w:val="Listaszerbekezds"/>
              <w:numPr>
                <w:ilvl w:val="0"/>
                <w:numId w:val="5"/>
              </w:numPr>
              <w:spacing w:after="0" w:line="240" w:lineRule="auto"/>
              <w:ind w:left="645" w:hanging="437"/>
              <w:rPr>
                <w:rFonts w:ascii="Times New Roman" w:eastAsia="Times New Roman" w:hAnsi="Times New Roman" w:cs="Times New Roman"/>
                <w:sz w:val="24"/>
                <w:szCs w:val="24"/>
                <w:lang w:eastAsia="hu-HU"/>
              </w:rPr>
            </w:pPr>
            <w:r w:rsidRPr="002D29C5">
              <w:rPr>
                <w:rFonts w:ascii="Times New Roman" w:eastAsia="Times New Roman" w:hAnsi="Times New Roman" w:cs="Times New Roman"/>
                <w:sz w:val="24"/>
                <w:szCs w:val="24"/>
                <w:lang w:eastAsia="hu-HU"/>
              </w:rPr>
              <w:t xml:space="preserve">Matematika HT </w:t>
            </w:r>
          </w:p>
        </w:tc>
        <w:tc>
          <w:tcPr>
            <w:tcW w:w="1984" w:type="dxa"/>
            <w:shd w:val="clear" w:color="auto" w:fill="FFFFFF" w:themeFill="background1"/>
            <w:vAlign w:val="bottom"/>
          </w:tcPr>
          <w:p w:rsidR="002D29C5" w:rsidRPr="002D29C5" w:rsidRDefault="002D29C5" w:rsidP="002D29C5">
            <w:pPr>
              <w:spacing w:after="0" w:line="240" w:lineRule="auto"/>
              <w:rPr>
                <w:rFonts w:ascii="Times New Roman" w:eastAsia="Times New Roman" w:hAnsi="Times New Roman" w:cs="Times New Roman"/>
                <w:sz w:val="24"/>
                <w:szCs w:val="24"/>
                <w:lang w:eastAsia="hu-HU"/>
              </w:rPr>
            </w:pPr>
            <w:r w:rsidRPr="002D29C5">
              <w:rPr>
                <w:rFonts w:ascii="Times New Roman" w:eastAsia="Times New Roman" w:hAnsi="Times New Roman" w:cs="Times New Roman"/>
                <w:sz w:val="24"/>
                <w:szCs w:val="24"/>
                <w:lang w:eastAsia="hu-HU"/>
              </w:rPr>
              <w:t>HKHDTA06</w:t>
            </w:r>
          </w:p>
        </w:tc>
      </w:tr>
      <w:tr w:rsidR="002D29C5" w:rsidRPr="0010643F" w:rsidTr="00DC5558">
        <w:trPr>
          <w:trHeight w:val="338"/>
          <w:jc w:val="center"/>
        </w:trPr>
        <w:tc>
          <w:tcPr>
            <w:tcW w:w="5671" w:type="dxa"/>
            <w:shd w:val="clear" w:color="auto" w:fill="FFFFFF" w:themeFill="background1"/>
            <w:noWrap/>
            <w:vAlign w:val="bottom"/>
          </w:tcPr>
          <w:p w:rsidR="002D29C5" w:rsidRPr="002D29C5" w:rsidRDefault="002D29C5" w:rsidP="0056665F">
            <w:pPr>
              <w:pStyle w:val="Listaszerbekezds"/>
              <w:numPr>
                <w:ilvl w:val="0"/>
                <w:numId w:val="5"/>
              </w:numPr>
              <w:spacing w:after="0" w:line="240" w:lineRule="auto"/>
              <w:ind w:left="645" w:hanging="437"/>
              <w:rPr>
                <w:rFonts w:ascii="Times New Roman" w:eastAsia="Times New Roman" w:hAnsi="Times New Roman" w:cs="Times New Roman"/>
                <w:sz w:val="24"/>
                <w:szCs w:val="24"/>
                <w:lang w:eastAsia="hu-HU"/>
              </w:rPr>
            </w:pPr>
            <w:r w:rsidRPr="002D29C5">
              <w:rPr>
                <w:rFonts w:ascii="Times New Roman" w:eastAsia="Times New Roman" w:hAnsi="Times New Roman" w:cs="Times New Roman"/>
                <w:sz w:val="24"/>
                <w:szCs w:val="24"/>
                <w:lang w:eastAsia="hu-HU"/>
              </w:rPr>
              <w:t>Mechanika LOG 3</w:t>
            </w:r>
          </w:p>
        </w:tc>
        <w:tc>
          <w:tcPr>
            <w:tcW w:w="1984" w:type="dxa"/>
            <w:shd w:val="clear" w:color="auto" w:fill="FFFFFF" w:themeFill="background1"/>
            <w:vAlign w:val="bottom"/>
          </w:tcPr>
          <w:p w:rsidR="002D29C5" w:rsidRPr="002D29C5" w:rsidRDefault="002D29C5" w:rsidP="002D29C5">
            <w:pPr>
              <w:spacing w:after="0" w:line="240" w:lineRule="auto"/>
              <w:rPr>
                <w:rFonts w:ascii="Times New Roman" w:eastAsia="Times New Roman" w:hAnsi="Times New Roman" w:cs="Times New Roman"/>
                <w:sz w:val="24"/>
                <w:szCs w:val="24"/>
                <w:lang w:eastAsia="hu-HU"/>
              </w:rPr>
            </w:pPr>
            <w:r w:rsidRPr="002D29C5">
              <w:rPr>
                <w:rFonts w:ascii="Times New Roman" w:eastAsia="Times New Roman" w:hAnsi="Times New Roman" w:cs="Times New Roman"/>
                <w:sz w:val="24"/>
                <w:szCs w:val="24"/>
                <w:lang w:eastAsia="hu-HU"/>
              </w:rPr>
              <w:t>HK925A151</w:t>
            </w:r>
          </w:p>
        </w:tc>
      </w:tr>
      <w:tr w:rsidR="002D29C5" w:rsidRPr="0010643F" w:rsidTr="00DC5558">
        <w:trPr>
          <w:trHeight w:val="338"/>
          <w:jc w:val="center"/>
        </w:trPr>
        <w:tc>
          <w:tcPr>
            <w:tcW w:w="5671" w:type="dxa"/>
            <w:shd w:val="clear" w:color="auto" w:fill="FFFFFF" w:themeFill="background1"/>
            <w:noWrap/>
            <w:vAlign w:val="bottom"/>
          </w:tcPr>
          <w:p w:rsidR="002D29C5" w:rsidRPr="002D29C5" w:rsidRDefault="002D29C5" w:rsidP="0056665F">
            <w:pPr>
              <w:pStyle w:val="Listaszerbekezds"/>
              <w:numPr>
                <w:ilvl w:val="0"/>
                <w:numId w:val="5"/>
              </w:numPr>
              <w:spacing w:after="0" w:line="240" w:lineRule="auto"/>
              <w:ind w:left="645" w:hanging="437"/>
              <w:rPr>
                <w:rFonts w:ascii="Times New Roman" w:eastAsia="Times New Roman" w:hAnsi="Times New Roman" w:cs="Times New Roman"/>
                <w:sz w:val="24"/>
                <w:szCs w:val="24"/>
                <w:lang w:eastAsia="hu-HU"/>
              </w:rPr>
            </w:pPr>
            <w:r w:rsidRPr="002D29C5">
              <w:rPr>
                <w:rFonts w:ascii="Times New Roman" w:eastAsia="Times New Roman" w:hAnsi="Times New Roman" w:cs="Times New Roman"/>
                <w:sz w:val="24"/>
                <w:szCs w:val="24"/>
                <w:lang w:eastAsia="hu-HU"/>
              </w:rPr>
              <w:t>Elektrotechnika HT</w:t>
            </w:r>
          </w:p>
        </w:tc>
        <w:tc>
          <w:tcPr>
            <w:tcW w:w="1984" w:type="dxa"/>
            <w:shd w:val="clear" w:color="auto" w:fill="FFFFFF" w:themeFill="background1"/>
            <w:vAlign w:val="bottom"/>
          </w:tcPr>
          <w:p w:rsidR="002D29C5" w:rsidRPr="002D29C5" w:rsidRDefault="002D29C5" w:rsidP="002D29C5">
            <w:pPr>
              <w:spacing w:after="0" w:line="240" w:lineRule="auto"/>
              <w:rPr>
                <w:rFonts w:ascii="Times New Roman" w:eastAsia="Times New Roman" w:hAnsi="Times New Roman" w:cs="Times New Roman"/>
                <w:sz w:val="24"/>
                <w:szCs w:val="24"/>
                <w:lang w:eastAsia="hu-HU"/>
              </w:rPr>
            </w:pPr>
            <w:r w:rsidRPr="002D29C5">
              <w:rPr>
                <w:rFonts w:ascii="Times New Roman" w:eastAsia="Times New Roman" w:hAnsi="Times New Roman" w:cs="Times New Roman"/>
                <w:sz w:val="24"/>
                <w:szCs w:val="24"/>
                <w:lang w:eastAsia="hu-HU"/>
              </w:rPr>
              <w:t>HKEHVA60</w:t>
            </w:r>
          </w:p>
        </w:tc>
      </w:tr>
      <w:tr w:rsidR="002D29C5" w:rsidRPr="0010643F" w:rsidTr="00DC5558">
        <w:trPr>
          <w:trHeight w:val="338"/>
          <w:jc w:val="center"/>
        </w:trPr>
        <w:tc>
          <w:tcPr>
            <w:tcW w:w="5671" w:type="dxa"/>
            <w:shd w:val="clear" w:color="auto" w:fill="FFFFFF" w:themeFill="background1"/>
            <w:noWrap/>
            <w:vAlign w:val="bottom"/>
          </w:tcPr>
          <w:p w:rsidR="002D29C5" w:rsidRPr="002D29C5" w:rsidRDefault="002D29C5" w:rsidP="0056665F">
            <w:pPr>
              <w:pStyle w:val="Listaszerbekezds"/>
              <w:numPr>
                <w:ilvl w:val="0"/>
                <w:numId w:val="5"/>
              </w:numPr>
              <w:spacing w:after="0" w:line="240" w:lineRule="auto"/>
              <w:ind w:left="645" w:hanging="437"/>
              <w:rPr>
                <w:rFonts w:ascii="Times New Roman" w:eastAsia="Times New Roman" w:hAnsi="Times New Roman" w:cs="Times New Roman"/>
                <w:sz w:val="24"/>
                <w:szCs w:val="24"/>
                <w:lang w:eastAsia="hu-HU"/>
              </w:rPr>
            </w:pPr>
            <w:r w:rsidRPr="002D29C5">
              <w:rPr>
                <w:rFonts w:ascii="Times New Roman" w:eastAsia="Times New Roman" w:hAnsi="Times New Roman" w:cs="Times New Roman"/>
                <w:sz w:val="24"/>
                <w:szCs w:val="24"/>
                <w:lang w:eastAsia="hu-HU"/>
              </w:rPr>
              <w:t>Gépelemek I.</w:t>
            </w:r>
          </w:p>
        </w:tc>
        <w:tc>
          <w:tcPr>
            <w:tcW w:w="1984" w:type="dxa"/>
            <w:shd w:val="clear" w:color="auto" w:fill="FFFFFF" w:themeFill="background1"/>
            <w:vAlign w:val="bottom"/>
          </w:tcPr>
          <w:p w:rsidR="002D29C5" w:rsidRPr="002D29C5" w:rsidRDefault="002D29C5" w:rsidP="002D29C5">
            <w:pPr>
              <w:spacing w:after="0" w:line="240" w:lineRule="auto"/>
              <w:rPr>
                <w:rFonts w:ascii="Times New Roman" w:eastAsia="Times New Roman" w:hAnsi="Times New Roman" w:cs="Times New Roman"/>
                <w:sz w:val="24"/>
                <w:szCs w:val="24"/>
                <w:lang w:eastAsia="hu-HU"/>
              </w:rPr>
            </w:pPr>
            <w:r w:rsidRPr="002D29C5">
              <w:rPr>
                <w:rFonts w:ascii="Times New Roman" w:eastAsia="Times New Roman" w:hAnsi="Times New Roman" w:cs="Times New Roman"/>
                <w:sz w:val="24"/>
                <w:szCs w:val="24"/>
                <w:lang w:eastAsia="hu-HU"/>
              </w:rPr>
              <w:t>HKHDTA08</w:t>
            </w:r>
          </w:p>
        </w:tc>
      </w:tr>
      <w:tr w:rsidR="002D29C5" w:rsidRPr="0010643F" w:rsidTr="00DC5558">
        <w:trPr>
          <w:trHeight w:val="338"/>
          <w:jc w:val="center"/>
        </w:trPr>
        <w:tc>
          <w:tcPr>
            <w:tcW w:w="5671" w:type="dxa"/>
            <w:shd w:val="clear" w:color="auto" w:fill="FFFFFF" w:themeFill="background1"/>
            <w:noWrap/>
            <w:vAlign w:val="bottom"/>
          </w:tcPr>
          <w:p w:rsidR="002D29C5" w:rsidRPr="002D29C5" w:rsidRDefault="002D29C5" w:rsidP="0056665F">
            <w:pPr>
              <w:pStyle w:val="Listaszerbekezds"/>
              <w:numPr>
                <w:ilvl w:val="0"/>
                <w:numId w:val="5"/>
              </w:numPr>
              <w:spacing w:after="0" w:line="240" w:lineRule="auto"/>
              <w:ind w:left="645" w:hanging="437"/>
              <w:rPr>
                <w:rFonts w:ascii="Times New Roman" w:eastAsia="Times New Roman" w:hAnsi="Times New Roman" w:cs="Times New Roman"/>
                <w:sz w:val="24"/>
                <w:szCs w:val="24"/>
                <w:lang w:eastAsia="hu-HU"/>
              </w:rPr>
            </w:pPr>
            <w:r w:rsidRPr="002D29C5">
              <w:rPr>
                <w:rFonts w:ascii="Times New Roman" w:eastAsia="Times New Roman" w:hAnsi="Times New Roman" w:cs="Times New Roman"/>
                <w:sz w:val="24"/>
                <w:szCs w:val="24"/>
                <w:lang w:eastAsia="hu-HU"/>
              </w:rPr>
              <w:t>Gépjármű típusismeret</w:t>
            </w:r>
          </w:p>
        </w:tc>
        <w:tc>
          <w:tcPr>
            <w:tcW w:w="1984" w:type="dxa"/>
            <w:shd w:val="clear" w:color="auto" w:fill="FFFFFF" w:themeFill="background1"/>
            <w:vAlign w:val="bottom"/>
          </w:tcPr>
          <w:p w:rsidR="002D29C5" w:rsidRPr="002D29C5" w:rsidRDefault="002D29C5" w:rsidP="002D29C5">
            <w:pPr>
              <w:spacing w:after="0" w:line="240" w:lineRule="auto"/>
              <w:rPr>
                <w:rFonts w:ascii="Times New Roman" w:eastAsia="Times New Roman" w:hAnsi="Times New Roman" w:cs="Times New Roman"/>
                <w:sz w:val="24"/>
                <w:szCs w:val="24"/>
                <w:lang w:eastAsia="hu-HU"/>
              </w:rPr>
            </w:pPr>
            <w:r w:rsidRPr="002D29C5">
              <w:rPr>
                <w:rFonts w:ascii="Times New Roman" w:eastAsia="Times New Roman" w:hAnsi="Times New Roman" w:cs="Times New Roman"/>
                <w:sz w:val="24"/>
                <w:szCs w:val="24"/>
                <w:lang w:eastAsia="hu-HU"/>
              </w:rPr>
              <w:t>HKHDTA09</w:t>
            </w:r>
          </w:p>
        </w:tc>
      </w:tr>
      <w:tr w:rsidR="002D29C5" w:rsidRPr="0010643F" w:rsidTr="00DC5558">
        <w:trPr>
          <w:trHeight w:val="338"/>
          <w:jc w:val="center"/>
        </w:trPr>
        <w:tc>
          <w:tcPr>
            <w:tcW w:w="5671" w:type="dxa"/>
            <w:shd w:val="clear" w:color="auto" w:fill="FFFFFF" w:themeFill="background1"/>
            <w:noWrap/>
            <w:vAlign w:val="bottom"/>
          </w:tcPr>
          <w:p w:rsidR="002D29C5" w:rsidRPr="002D29C5" w:rsidRDefault="002D29C5" w:rsidP="0056665F">
            <w:pPr>
              <w:pStyle w:val="Listaszerbekezds"/>
              <w:numPr>
                <w:ilvl w:val="0"/>
                <w:numId w:val="5"/>
              </w:numPr>
              <w:spacing w:after="0" w:line="240" w:lineRule="auto"/>
              <w:ind w:left="645" w:hanging="437"/>
              <w:rPr>
                <w:rFonts w:ascii="Times New Roman" w:eastAsia="Times New Roman" w:hAnsi="Times New Roman" w:cs="Times New Roman"/>
                <w:sz w:val="24"/>
                <w:szCs w:val="24"/>
                <w:lang w:eastAsia="hu-HU"/>
              </w:rPr>
            </w:pPr>
            <w:r w:rsidRPr="002D29C5">
              <w:rPr>
                <w:rFonts w:ascii="Times New Roman" w:eastAsia="Times New Roman" w:hAnsi="Times New Roman" w:cs="Times New Roman"/>
                <w:sz w:val="24"/>
                <w:szCs w:val="24"/>
                <w:lang w:eastAsia="hu-HU"/>
              </w:rPr>
              <w:t>Szakharcászat</w:t>
            </w:r>
          </w:p>
        </w:tc>
        <w:tc>
          <w:tcPr>
            <w:tcW w:w="1984" w:type="dxa"/>
            <w:shd w:val="clear" w:color="auto" w:fill="FFFFFF" w:themeFill="background1"/>
            <w:vAlign w:val="bottom"/>
          </w:tcPr>
          <w:p w:rsidR="002D29C5" w:rsidRPr="002D29C5" w:rsidRDefault="002D29C5" w:rsidP="002D29C5">
            <w:pPr>
              <w:spacing w:after="0" w:line="240" w:lineRule="auto"/>
              <w:rPr>
                <w:rFonts w:ascii="Times New Roman" w:eastAsia="Times New Roman" w:hAnsi="Times New Roman" w:cs="Times New Roman"/>
                <w:sz w:val="24"/>
                <w:szCs w:val="24"/>
                <w:lang w:eastAsia="hu-HU"/>
              </w:rPr>
            </w:pPr>
            <w:r w:rsidRPr="002D29C5">
              <w:rPr>
                <w:rFonts w:ascii="Times New Roman" w:eastAsia="Times New Roman" w:hAnsi="Times New Roman" w:cs="Times New Roman"/>
                <w:sz w:val="24"/>
                <w:szCs w:val="24"/>
                <w:lang w:eastAsia="hu-HU"/>
              </w:rPr>
              <w:t>HKHDTA10</w:t>
            </w:r>
          </w:p>
        </w:tc>
      </w:tr>
      <w:tr w:rsidR="002D29C5" w:rsidRPr="0010643F" w:rsidTr="00DC5558">
        <w:trPr>
          <w:trHeight w:val="338"/>
          <w:jc w:val="center"/>
        </w:trPr>
        <w:tc>
          <w:tcPr>
            <w:tcW w:w="5671" w:type="dxa"/>
            <w:shd w:val="clear" w:color="auto" w:fill="FFFFFF" w:themeFill="background1"/>
            <w:noWrap/>
            <w:vAlign w:val="bottom"/>
          </w:tcPr>
          <w:p w:rsidR="002D29C5" w:rsidRPr="002D29C5" w:rsidRDefault="002D29C5" w:rsidP="0056665F">
            <w:pPr>
              <w:pStyle w:val="Listaszerbekezds"/>
              <w:numPr>
                <w:ilvl w:val="0"/>
                <w:numId w:val="5"/>
              </w:numPr>
              <w:spacing w:after="0" w:line="240" w:lineRule="auto"/>
              <w:ind w:left="645" w:hanging="437"/>
              <w:rPr>
                <w:rFonts w:ascii="Times New Roman" w:eastAsia="Times New Roman" w:hAnsi="Times New Roman" w:cs="Times New Roman"/>
                <w:sz w:val="24"/>
                <w:szCs w:val="24"/>
                <w:lang w:eastAsia="hu-HU"/>
              </w:rPr>
            </w:pPr>
            <w:r w:rsidRPr="002D29C5">
              <w:rPr>
                <w:rFonts w:ascii="Times New Roman" w:eastAsia="Times New Roman" w:hAnsi="Times New Roman" w:cs="Times New Roman"/>
                <w:sz w:val="24"/>
                <w:szCs w:val="24"/>
                <w:lang w:eastAsia="hu-HU"/>
              </w:rPr>
              <w:lastRenderedPageBreak/>
              <w:t>Munkavédelem</w:t>
            </w:r>
          </w:p>
        </w:tc>
        <w:tc>
          <w:tcPr>
            <w:tcW w:w="1984" w:type="dxa"/>
            <w:shd w:val="clear" w:color="auto" w:fill="FFFFFF" w:themeFill="background1"/>
            <w:vAlign w:val="bottom"/>
          </w:tcPr>
          <w:p w:rsidR="002D29C5" w:rsidRPr="002D29C5" w:rsidRDefault="002D29C5" w:rsidP="002D29C5">
            <w:pPr>
              <w:spacing w:after="0" w:line="240" w:lineRule="auto"/>
              <w:rPr>
                <w:rFonts w:ascii="Times New Roman" w:eastAsia="Times New Roman" w:hAnsi="Times New Roman" w:cs="Times New Roman"/>
                <w:sz w:val="24"/>
                <w:szCs w:val="24"/>
                <w:lang w:eastAsia="hu-HU"/>
              </w:rPr>
            </w:pPr>
            <w:r w:rsidRPr="002D29C5">
              <w:rPr>
                <w:rFonts w:ascii="Times New Roman" w:eastAsia="Times New Roman" w:hAnsi="Times New Roman" w:cs="Times New Roman"/>
                <w:sz w:val="24"/>
                <w:szCs w:val="24"/>
                <w:lang w:eastAsia="hu-HU"/>
              </w:rPr>
              <w:t>HKHDTA44</w:t>
            </w:r>
          </w:p>
        </w:tc>
      </w:tr>
      <w:tr w:rsidR="002D29C5" w:rsidRPr="0010643F" w:rsidTr="00DC5558">
        <w:trPr>
          <w:trHeight w:val="338"/>
          <w:jc w:val="center"/>
        </w:trPr>
        <w:tc>
          <w:tcPr>
            <w:tcW w:w="5671" w:type="dxa"/>
            <w:shd w:val="clear" w:color="auto" w:fill="FFFFFF" w:themeFill="background1"/>
            <w:noWrap/>
            <w:vAlign w:val="bottom"/>
          </w:tcPr>
          <w:p w:rsidR="002D29C5" w:rsidRPr="002D29C5" w:rsidRDefault="002D29C5" w:rsidP="0056665F">
            <w:pPr>
              <w:pStyle w:val="Listaszerbekezds"/>
              <w:numPr>
                <w:ilvl w:val="0"/>
                <w:numId w:val="5"/>
              </w:numPr>
              <w:spacing w:after="0" w:line="240" w:lineRule="auto"/>
              <w:ind w:left="645" w:hanging="437"/>
              <w:rPr>
                <w:rFonts w:ascii="Times New Roman" w:eastAsia="Times New Roman" w:hAnsi="Times New Roman" w:cs="Times New Roman"/>
                <w:sz w:val="24"/>
                <w:szCs w:val="24"/>
                <w:lang w:eastAsia="hu-HU"/>
              </w:rPr>
            </w:pPr>
            <w:r w:rsidRPr="002D29C5">
              <w:rPr>
                <w:rFonts w:ascii="Times New Roman" w:eastAsia="Times New Roman" w:hAnsi="Times New Roman" w:cs="Times New Roman"/>
                <w:sz w:val="24"/>
                <w:szCs w:val="24"/>
                <w:lang w:eastAsia="hu-HU"/>
              </w:rPr>
              <w:t>Műszaki kommunikáció L</w:t>
            </w:r>
          </w:p>
        </w:tc>
        <w:tc>
          <w:tcPr>
            <w:tcW w:w="1984" w:type="dxa"/>
            <w:shd w:val="clear" w:color="auto" w:fill="FFFFFF" w:themeFill="background1"/>
            <w:vAlign w:val="bottom"/>
          </w:tcPr>
          <w:p w:rsidR="002D29C5" w:rsidRPr="002D29C5" w:rsidRDefault="002D29C5" w:rsidP="002D29C5">
            <w:pPr>
              <w:spacing w:after="0" w:line="240" w:lineRule="auto"/>
              <w:rPr>
                <w:rFonts w:ascii="Times New Roman" w:eastAsia="Times New Roman" w:hAnsi="Times New Roman" w:cs="Times New Roman"/>
                <w:sz w:val="24"/>
                <w:szCs w:val="24"/>
                <w:lang w:eastAsia="hu-HU"/>
              </w:rPr>
            </w:pPr>
            <w:r w:rsidRPr="002D29C5">
              <w:rPr>
                <w:rFonts w:ascii="Times New Roman" w:eastAsia="Times New Roman" w:hAnsi="Times New Roman" w:cs="Times New Roman"/>
                <w:sz w:val="24"/>
                <w:szCs w:val="24"/>
                <w:lang w:eastAsia="hu-HU"/>
              </w:rPr>
              <w:t>HKHDTA31</w:t>
            </w:r>
          </w:p>
        </w:tc>
      </w:tr>
      <w:tr w:rsidR="002D29C5" w:rsidRPr="0010643F" w:rsidTr="00DC5558">
        <w:trPr>
          <w:trHeight w:val="338"/>
          <w:jc w:val="center"/>
        </w:trPr>
        <w:tc>
          <w:tcPr>
            <w:tcW w:w="5671" w:type="dxa"/>
            <w:shd w:val="clear" w:color="auto" w:fill="FFFFFF" w:themeFill="background1"/>
            <w:noWrap/>
            <w:vAlign w:val="bottom"/>
          </w:tcPr>
          <w:p w:rsidR="002D29C5" w:rsidRPr="002D29C5" w:rsidRDefault="002D29C5" w:rsidP="0056665F">
            <w:pPr>
              <w:pStyle w:val="Listaszerbekezds"/>
              <w:numPr>
                <w:ilvl w:val="0"/>
                <w:numId w:val="5"/>
              </w:numPr>
              <w:spacing w:after="0" w:line="240" w:lineRule="auto"/>
              <w:ind w:left="645" w:hanging="437"/>
              <w:rPr>
                <w:rFonts w:ascii="Times New Roman" w:eastAsia="Times New Roman" w:hAnsi="Times New Roman" w:cs="Times New Roman"/>
                <w:sz w:val="24"/>
                <w:szCs w:val="24"/>
                <w:lang w:eastAsia="hu-HU"/>
              </w:rPr>
            </w:pPr>
            <w:r w:rsidRPr="002D29C5">
              <w:rPr>
                <w:rFonts w:ascii="Times New Roman" w:eastAsia="Times New Roman" w:hAnsi="Times New Roman" w:cs="Times New Roman"/>
                <w:sz w:val="24"/>
                <w:szCs w:val="24"/>
                <w:lang w:eastAsia="hu-HU"/>
              </w:rPr>
              <w:t>Digitális technika HT</w:t>
            </w:r>
          </w:p>
        </w:tc>
        <w:tc>
          <w:tcPr>
            <w:tcW w:w="1984" w:type="dxa"/>
            <w:shd w:val="clear" w:color="auto" w:fill="FFFFFF" w:themeFill="background1"/>
            <w:vAlign w:val="bottom"/>
          </w:tcPr>
          <w:p w:rsidR="002D29C5" w:rsidRPr="002D29C5" w:rsidRDefault="002D29C5" w:rsidP="002D29C5">
            <w:pPr>
              <w:spacing w:after="0" w:line="240" w:lineRule="auto"/>
              <w:rPr>
                <w:rFonts w:ascii="Times New Roman" w:eastAsia="Times New Roman" w:hAnsi="Times New Roman" w:cs="Times New Roman"/>
                <w:sz w:val="24"/>
                <w:szCs w:val="24"/>
                <w:lang w:eastAsia="hu-HU"/>
              </w:rPr>
            </w:pPr>
            <w:r w:rsidRPr="002D29C5">
              <w:rPr>
                <w:rFonts w:ascii="Times New Roman" w:eastAsia="Times New Roman" w:hAnsi="Times New Roman" w:cs="Times New Roman"/>
                <w:sz w:val="24"/>
                <w:szCs w:val="24"/>
                <w:lang w:eastAsia="hu-HU"/>
              </w:rPr>
              <w:t>HKEHVA61</w:t>
            </w:r>
          </w:p>
        </w:tc>
      </w:tr>
      <w:tr w:rsidR="002D29C5" w:rsidRPr="0010643F" w:rsidTr="00DC5558">
        <w:trPr>
          <w:trHeight w:val="338"/>
          <w:jc w:val="center"/>
        </w:trPr>
        <w:tc>
          <w:tcPr>
            <w:tcW w:w="5671" w:type="dxa"/>
            <w:shd w:val="clear" w:color="auto" w:fill="FFFFFF" w:themeFill="background1"/>
            <w:noWrap/>
            <w:vAlign w:val="bottom"/>
          </w:tcPr>
          <w:p w:rsidR="002D29C5" w:rsidRPr="002D29C5" w:rsidRDefault="002D29C5" w:rsidP="0056665F">
            <w:pPr>
              <w:pStyle w:val="Listaszerbekezds"/>
              <w:numPr>
                <w:ilvl w:val="0"/>
                <w:numId w:val="5"/>
              </w:numPr>
              <w:spacing w:after="0" w:line="240" w:lineRule="auto"/>
              <w:ind w:left="645" w:hanging="437"/>
              <w:rPr>
                <w:rFonts w:ascii="Times New Roman" w:eastAsia="Times New Roman" w:hAnsi="Times New Roman" w:cs="Times New Roman"/>
                <w:sz w:val="24"/>
                <w:szCs w:val="24"/>
                <w:lang w:eastAsia="hu-HU"/>
              </w:rPr>
            </w:pPr>
            <w:r w:rsidRPr="002D29C5">
              <w:rPr>
                <w:rFonts w:ascii="Times New Roman" w:eastAsia="Times New Roman" w:hAnsi="Times New Roman" w:cs="Times New Roman"/>
                <w:sz w:val="24"/>
                <w:szCs w:val="24"/>
                <w:lang w:eastAsia="hu-HU"/>
              </w:rPr>
              <w:t>Gépelemek II.</w:t>
            </w:r>
          </w:p>
        </w:tc>
        <w:tc>
          <w:tcPr>
            <w:tcW w:w="1984" w:type="dxa"/>
            <w:shd w:val="clear" w:color="auto" w:fill="FFFFFF" w:themeFill="background1"/>
            <w:vAlign w:val="bottom"/>
          </w:tcPr>
          <w:p w:rsidR="002D29C5" w:rsidRPr="002D29C5" w:rsidRDefault="002D29C5" w:rsidP="002D29C5">
            <w:pPr>
              <w:spacing w:after="0" w:line="240" w:lineRule="auto"/>
              <w:rPr>
                <w:rFonts w:ascii="Times New Roman" w:eastAsia="Times New Roman" w:hAnsi="Times New Roman" w:cs="Times New Roman"/>
                <w:sz w:val="24"/>
                <w:szCs w:val="24"/>
                <w:lang w:eastAsia="hu-HU"/>
              </w:rPr>
            </w:pPr>
            <w:r w:rsidRPr="002D29C5">
              <w:rPr>
                <w:rFonts w:ascii="Times New Roman" w:eastAsia="Times New Roman" w:hAnsi="Times New Roman" w:cs="Times New Roman"/>
                <w:sz w:val="24"/>
                <w:szCs w:val="24"/>
                <w:lang w:eastAsia="hu-HU"/>
              </w:rPr>
              <w:t>HKHDTA12</w:t>
            </w:r>
          </w:p>
        </w:tc>
      </w:tr>
      <w:tr w:rsidR="002D29C5" w:rsidRPr="0010643F" w:rsidTr="00DC5558">
        <w:trPr>
          <w:trHeight w:val="338"/>
          <w:jc w:val="center"/>
        </w:trPr>
        <w:tc>
          <w:tcPr>
            <w:tcW w:w="5671" w:type="dxa"/>
            <w:shd w:val="clear" w:color="auto" w:fill="FFFFFF" w:themeFill="background1"/>
            <w:noWrap/>
            <w:vAlign w:val="bottom"/>
          </w:tcPr>
          <w:p w:rsidR="002D29C5" w:rsidRPr="002D29C5" w:rsidRDefault="002D29C5" w:rsidP="0056665F">
            <w:pPr>
              <w:pStyle w:val="Listaszerbekezds"/>
              <w:numPr>
                <w:ilvl w:val="0"/>
                <w:numId w:val="5"/>
              </w:numPr>
              <w:spacing w:after="0" w:line="240" w:lineRule="auto"/>
              <w:ind w:left="645" w:hanging="437"/>
              <w:rPr>
                <w:rFonts w:ascii="Times New Roman" w:eastAsia="Times New Roman" w:hAnsi="Times New Roman" w:cs="Times New Roman"/>
                <w:sz w:val="24"/>
                <w:szCs w:val="24"/>
                <w:lang w:eastAsia="hu-HU"/>
              </w:rPr>
            </w:pPr>
            <w:r w:rsidRPr="002D29C5">
              <w:rPr>
                <w:rFonts w:ascii="Times New Roman" w:eastAsia="Times New Roman" w:hAnsi="Times New Roman" w:cs="Times New Roman"/>
                <w:sz w:val="24"/>
                <w:szCs w:val="24"/>
                <w:lang w:eastAsia="hu-HU"/>
              </w:rPr>
              <w:t>Gyártástechnológia</w:t>
            </w:r>
          </w:p>
        </w:tc>
        <w:tc>
          <w:tcPr>
            <w:tcW w:w="1984" w:type="dxa"/>
            <w:shd w:val="clear" w:color="auto" w:fill="FFFFFF" w:themeFill="background1"/>
            <w:vAlign w:val="bottom"/>
          </w:tcPr>
          <w:p w:rsidR="002D29C5" w:rsidRPr="002D29C5" w:rsidRDefault="002D29C5" w:rsidP="002D29C5">
            <w:pPr>
              <w:spacing w:after="0" w:line="240" w:lineRule="auto"/>
              <w:rPr>
                <w:rFonts w:ascii="Times New Roman" w:eastAsia="Times New Roman" w:hAnsi="Times New Roman" w:cs="Times New Roman"/>
                <w:sz w:val="24"/>
                <w:szCs w:val="24"/>
                <w:lang w:eastAsia="hu-HU"/>
              </w:rPr>
            </w:pPr>
            <w:r w:rsidRPr="002D29C5">
              <w:rPr>
                <w:rFonts w:ascii="Times New Roman" w:eastAsia="Times New Roman" w:hAnsi="Times New Roman" w:cs="Times New Roman"/>
                <w:sz w:val="24"/>
                <w:szCs w:val="24"/>
                <w:lang w:eastAsia="hu-HU"/>
              </w:rPr>
              <w:t>HKHDTA13</w:t>
            </w:r>
          </w:p>
        </w:tc>
      </w:tr>
      <w:tr w:rsidR="00FE6A3F" w:rsidRPr="0010643F" w:rsidTr="00DC5558">
        <w:trPr>
          <w:trHeight w:val="338"/>
          <w:jc w:val="center"/>
        </w:trPr>
        <w:tc>
          <w:tcPr>
            <w:tcW w:w="5671" w:type="dxa"/>
            <w:shd w:val="clear" w:color="auto" w:fill="FFFFFF" w:themeFill="background1"/>
            <w:noWrap/>
            <w:vAlign w:val="bottom"/>
          </w:tcPr>
          <w:p w:rsidR="00FE6A3F" w:rsidRPr="002D29C5" w:rsidRDefault="00FE6A3F" w:rsidP="00FE6A3F">
            <w:pPr>
              <w:pStyle w:val="Listaszerbekezds"/>
              <w:numPr>
                <w:ilvl w:val="0"/>
                <w:numId w:val="5"/>
              </w:numPr>
              <w:spacing w:after="0" w:line="240" w:lineRule="auto"/>
              <w:ind w:left="645" w:hanging="437"/>
              <w:rPr>
                <w:rFonts w:ascii="Times New Roman" w:eastAsia="Times New Roman" w:hAnsi="Times New Roman" w:cs="Times New Roman"/>
                <w:sz w:val="24"/>
                <w:szCs w:val="24"/>
                <w:lang w:eastAsia="hu-HU"/>
              </w:rPr>
            </w:pPr>
            <w:r w:rsidRPr="002D29C5">
              <w:rPr>
                <w:rFonts w:ascii="Times New Roman" w:eastAsia="Times New Roman" w:hAnsi="Times New Roman" w:cs="Times New Roman"/>
                <w:sz w:val="24"/>
                <w:szCs w:val="24"/>
                <w:lang w:eastAsia="hu-HU"/>
              </w:rPr>
              <w:t>Karbantartás és javításszervezés L</w:t>
            </w:r>
          </w:p>
        </w:tc>
        <w:tc>
          <w:tcPr>
            <w:tcW w:w="1984" w:type="dxa"/>
            <w:shd w:val="clear" w:color="auto" w:fill="FFFFFF" w:themeFill="background1"/>
            <w:vAlign w:val="bottom"/>
          </w:tcPr>
          <w:p w:rsidR="00FE6A3F" w:rsidRPr="002D29C5" w:rsidRDefault="00FE6A3F" w:rsidP="00FE6A3F">
            <w:pPr>
              <w:spacing w:after="0" w:line="240" w:lineRule="auto"/>
              <w:rPr>
                <w:rFonts w:ascii="Times New Roman" w:eastAsia="Times New Roman" w:hAnsi="Times New Roman" w:cs="Times New Roman"/>
                <w:sz w:val="24"/>
                <w:szCs w:val="24"/>
                <w:lang w:eastAsia="hu-HU"/>
              </w:rPr>
            </w:pPr>
            <w:r w:rsidRPr="002D29C5">
              <w:rPr>
                <w:rFonts w:ascii="Times New Roman" w:eastAsia="Times New Roman" w:hAnsi="Times New Roman" w:cs="Times New Roman"/>
                <w:sz w:val="24"/>
                <w:szCs w:val="24"/>
                <w:lang w:eastAsia="hu-HU"/>
              </w:rPr>
              <w:t>HKHDTA14</w:t>
            </w:r>
          </w:p>
        </w:tc>
      </w:tr>
      <w:tr w:rsidR="00FE6A3F" w:rsidRPr="0010643F" w:rsidTr="00DC5558">
        <w:trPr>
          <w:trHeight w:val="338"/>
          <w:jc w:val="center"/>
        </w:trPr>
        <w:tc>
          <w:tcPr>
            <w:tcW w:w="7655" w:type="dxa"/>
            <w:gridSpan w:val="2"/>
            <w:shd w:val="clear" w:color="auto" w:fill="FFFFFF" w:themeFill="background1"/>
            <w:noWrap/>
            <w:vAlign w:val="bottom"/>
          </w:tcPr>
          <w:p w:rsidR="00FE6A3F" w:rsidRPr="002D29C5" w:rsidRDefault="00FE6A3F" w:rsidP="00FE6A3F">
            <w:pPr>
              <w:spacing w:after="0" w:line="240" w:lineRule="auto"/>
              <w:rPr>
                <w:rFonts w:ascii="Times New Roman" w:eastAsia="Times New Roman" w:hAnsi="Times New Roman" w:cs="Times New Roman"/>
                <w:sz w:val="24"/>
                <w:szCs w:val="24"/>
                <w:lang w:eastAsia="hu-HU"/>
              </w:rPr>
            </w:pPr>
            <w:r>
              <w:rPr>
                <w:rFonts w:ascii="Times New Roman" w:hAnsi="Times New Roman" w:cs="Times New Roman"/>
                <w:b/>
                <w:sz w:val="24"/>
              </w:rPr>
              <w:t>P</w:t>
            </w:r>
            <w:r w:rsidRPr="008226EC">
              <w:rPr>
                <w:rFonts w:ascii="Times New Roman" w:hAnsi="Times New Roman" w:cs="Times New Roman"/>
                <w:b/>
                <w:sz w:val="24"/>
              </w:rPr>
              <w:t>áncé</w:t>
            </w:r>
            <w:r>
              <w:rPr>
                <w:rFonts w:ascii="Times New Roman" w:hAnsi="Times New Roman" w:cs="Times New Roman"/>
                <w:b/>
                <w:sz w:val="24"/>
              </w:rPr>
              <w:t>los- és gépjárműtechnikai modul</w:t>
            </w:r>
          </w:p>
        </w:tc>
      </w:tr>
      <w:tr w:rsidR="00FE6A3F" w:rsidRPr="0010643F" w:rsidTr="00DC5558">
        <w:trPr>
          <w:trHeight w:val="338"/>
          <w:jc w:val="center"/>
        </w:trPr>
        <w:tc>
          <w:tcPr>
            <w:tcW w:w="5671" w:type="dxa"/>
            <w:shd w:val="clear" w:color="auto" w:fill="FFFFFF" w:themeFill="background1"/>
            <w:noWrap/>
            <w:vAlign w:val="bottom"/>
          </w:tcPr>
          <w:p w:rsidR="00FE6A3F" w:rsidRPr="002D29C5" w:rsidRDefault="00FE6A3F" w:rsidP="00FE6A3F">
            <w:pPr>
              <w:pStyle w:val="Listaszerbekezds"/>
              <w:numPr>
                <w:ilvl w:val="0"/>
                <w:numId w:val="5"/>
              </w:numPr>
              <w:spacing w:after="0" w:line="240" w:lineRule="auto"/>
              <w:ind w:left="645" w:hanging="437"/>
              <w:rPr>
                <w:rFonts w:ascii="Times New Roman" w:eastAsia="Times New Roman" w:hAnsi="Times New Roman" w:cs="Times New Roman"/>
                <w:sz w:val="24"/>
                <w:szCs w:val="24"/>
                <w:lang w:eastAsia="hu-HU"/>
              </w:rPr>
            </w:pPr>
            <w:r w:rsidRPr="002D29C5">
              <w:rPr>
                <w:rFonts w:ascii="Times New Roman" w:eastAsia="Times New Roman" w:hAnsi="Times New Roman" w:cs="Times New Roman"/>
                <w:sz w:val="24"/>
                <w:szCs w:val="24"/>
                <w:lang w:eastAsia="hu-HU"/>
              </w:rPr>
              <w:t>Rendszerben tartás I.</w:t>
            </w:r>
          </w:p>
        </w:tc>
        <w:tc>
          <w:tcPr>
            <w:tcW w:w="1984" w:type="dxa"/>
            <w:shd w:val="clear" w:color="auto" w:fill="FFFFFF" w:themeFill="background1"/>
            <w:vAlign w:val="bottom"/>
          </w:tcPr>
          <w:p w:rsidR="00FE6A3F" w:rsidRPr="002D29C5" w:rsidRDefault="00FE6A3F" w:rsidP="00FE6A3F">
            <w:pPr>
              <w:spacing w:after="0" w:line="240" w:lineRule="auto"/>
              <w:rPr>
                <w:rFonts w:ascii="Times New Roman" w:eastAsia="Times New Roman" w:hAnsi="Times New Roman" w:cs="Times New Roman"/>
                <w:sz w:val="24"/>
                <w:szCs w:val="24"/>
                <w:lang w:eastAsia="hu-HU"/>
              </w:rPr>
            </w:pPr>
            <w:r w:rsidRPr="002D29C5">
              <w:rPr>
                <w:rFonts w:ascii="Times New Roman" w:eastAsia="Times New Roman" w:hAnsi="Times New Roman" w:cs="Times New Roman"/>
                <w:sz w:val="24"/>
                <w:szCs w:val="24"/>
                <w:lang w:eastAsia="hu-HU"/>
              </w:rPr>
              <w:t>HKHDTA16</w:t>
            </w:r>
          </w:p>
        </w:tc>
      </w:tr>
      <w:tr w:rsidR="00FE6A3F" w:rsidRPr="0010643F" w:rsidTr="00DC5558">
        <w:trPr>
          <w:trHeight w:val="338"/>
          <w:jc w:val="center"/>
        </w:trPr>
        <w:tc>
          <w:tcPr>
            <w:tcW w:w="5671" w:type="dxa"/>
            <w:shd w:val="clear" w:color="auto" w:fill="FFFFFF" w:themeFill="background1"/>
            <w:noWrap/>
            <w:vAlign w:val="bottom"/>
          </w:tcPr>
          <w:p w:rsidR="00FE6A3F" w:rsidRPr="002D29C5" w:rsidRDefault="00FE6A3F" w:rsidP="00FE6A3F">
            <w:pPr>
              <w:pStyle w:val="Listaszerbekezds"/>
              <w:numPr>
                <w:ilvl w:val="0"/>
                <w:numId w:val="5"/>
              </w:numPr>
              <w:spacing w:after="0" w:line="240" w:lineRule="auto"/>
              <w:ind w:left="645" w:hanging="437"/>
              <w:rPr>
                <w:rFonts w:ascii="Times New Roman" w:eastAsia="Times New Roman" w:hAnsi="Times New Roman" w:cs="Times New Roman"/>
                <w:sz w:val="24"/>
                <w:szCs w:val="24"/>
                <w:lang w:eastAsia="hu-HU"/>
              </w:rPr>
            </w:pPr>
            <w:r w:rsidRPr="002D29C5">
              <w:rPr>
                <w:rFonts w:ascii="Times New Roman" w:eastAsia="Times New Roman" w:hAnsi="Times New Roman" w:cs="Times New Roman"/>
                <w:sz w:val="24"/>
                <w:szCs w:val="24"/>
                <w:lang w:eastAsia="hu-HU"/>
              </w:rPr>
              <w:t>Belsőégésű motorok és vezérlésük</w:t>
            </w:r>
          </w:p>
        </w:tc>
        <w:tc>
          <w:tcPr>
            <w:tcW w:w="1984" w:type="dxa"/>
            <w:shd w:val="clear" w:color="auto" w:fill="FFFFFF" w:themeFill="background1"/>
            <w:vAlign w:val="bottom"/>
          </w:tcPr>
          <w:p w:rsidR="00FE6A3F" w:rsidRPr="002D29C5" w:rsidRDefault="00FE6A3F" w:rsidP="00FE6A3F">
            <w:pPr>
              <w:spacing w:after="0" w:line="240" w:lineRule="auto"/>
              <w:rPr>
                <w:rFonts w:ascii="Times New Roman" w:eastAsia="Times New Roman" w:hAnsi="Times New Roman" w:cs="Times New Roman"/>
                <w:sz w:val="24"/>
                <w:szCs w:val="24"/>
                <w:lang w:eastAsia="hu-HU"/>
              </w:rPr>
            </w:pPr>
            <w:r w:rsidRPr="002D29C5">
              <w:rPr>
                <w:rFonts w:ascii="Times New Roman" w:eastAsia="Times New Roman" w:hAnsi="Times New Roman" w:cs="Times New Roman"/>
                <w:sz w:val="24"/>
                <w:szCs w:val="24"/>
                <w:lang w:eastAsia="hu-HU"/>
              </w:rPr>
              <w:t>HKHDTA17</w:t>
            </w:r>
          </w:p>
        </w:tc>
      </w:tr>
      <w:tr w:rsidR="00FE6A3F" w:rsidRPr="0010643F" w:rsidTr="00DC5558">
        <w:trPr>
          <w:trHeight w:val="338"/>
          <w:jc w:val="center"/>
        </w:trPr>
        <w:tc>
          <w:tcPr>
            <w:tcW w:w="5671" w:type="dxa"/>
            <w:shd w:val="clear" w:color="auto" w:fill="FFFFFF" w:themeFill="background1"/>
            <w:noWrap/>
            <w:vAlign w:val="bottom"/>
          </w:tcPr>
          <w:p w:rsidR="00FE6A3F" w:rsidRPr="002D29C5" w:rsidRDefault="00FE6A3F" w:rsidP="00FE6A3F">
            <w:pPr>
              <w:pStyle w:val="Listaszerbekezds"/>
              <w:numPr>
                <w:ilvl w:val="0"/>
                <w:numId w:val="5"/>
              </w:numPr>
              <w:spacing w:after="0" w:line="240" w:lineRule="auto"/>
              <w:ind w:left="645" w:hanging="437"/>
              <w:rPr>
                <w:rFonts w:ascii="Times New Roman" w:eastAsia="Times New Roman" w:hAnsi="Times New Roman" w:cs="Times New Roman"/>
                <w:sz w:val="24"/>
                <w:szCs w:val="24"/>
                <w:lang w:eastAsia="hu-HU"/>
              </w:rPr>
            </w:pPr>
            <w:r w:rsidRPr="002D29C5">
              <w:rPr>
                <w:rFonts w:ascii="Times New Roman" w:eastAsia="Times New Roman" w:hAnsi="Times New Roman" w:cs="Times New Roman"/>
                <w:sz w:val="24"/>
                <w:szCs w:val="24"/>
                <w:lang w:eastAsia="hu-HU"/>
              </w:rPr>
              <w:t>Harc- és gépjárművek szerkezete I.</w:t>
            </w:r>
          </w:p>
        </w:tc>
        <w:tc>
          <w:tcPr>
            <w:tcW w:w="1984" w:type="dxa"/>
            <w:shd w:val="clear" w:color="auto" w:fill="FFFFFF" w:themeFill="background1"/>
            <w:vAlign w:val="bottom"/>
          </w:tcPr>
          <w:p w:rsidR="00FE6A3F" w:rsidRPr="002D29C5" w:rsidRDefault="00FE6A3F" w:rsidP="00FE6A3F">
            <w:pPr>
              <w:spacing w:after="0" w:line="240" w:lineRule="auto"/>
              <w:rPr>
                <w:rFonts w:ascii="Times New Roman" w:eastAsia="Times New Roman" w:hAnsi="Times New Roman" w:cs="Times New Roman"/>
                <w:sz w:val="24"/>
                <w:szCs w:val="24"/>
                <w:lang w:eastAsia="hu-HU"/>
              </w:rPr>
            </w:pPr>
            <w:r w:rsidRPr="002D29C5">
              <w:rPr>
                <w:rFonts w:ascii="Times New Roman" w:eastAsia="Times New Roman" w:hAnsi="Times New Roman" w:cs="Times New Roman"/>
                <w:sz w:val="24"/>
                <w:szCs w:val="24"/>
                <w:lang w:eastAsia="hu-HU"/>
              </w:rPr>
              <w:t>HKHDTA18</w:t>
            </w:r>
          </w:p>
        </w:tc>
      </w:tr>
      <w:tr w:rsidR="00FE6A3F" w:rsidRPr="0010643F" w:rsidTr="00DC5558">
        <w:trPr>
          <w:trHeight w:val="338"/>
          <w:jc w:val="center"/>
        </w:trPr>
        <w:tc>
          <w:tcPr>
            <w:tcW w:w="5671" w:type="dxa"/>
            <w:shd w:val="clear" w:color="auto" w:fill="FFFFFF" w:themeFill="background1"/>
            <w:noWrap/>
            <w:vAlign w:val="bottom"/>
          </w:tcPr>
          <w:p w:rsidR="00FE6A3F" w:rsidRPr="002D29C5" w:rsidRDefault="00FE6A3F" w:rsidP="00FE6A3F">
            <w:pPr>
              <w:pStyle w:val="Listaszerbekezds"/>
              <w:numPr>
                <w:ilvl w:val="0"/>
                <w:numId w:val="5"/>
              </w:numPr>
              <w:spacing w:after="0" w:line="240" w:lineRule="auto"/>
              <w:ind w:left="645" w:hanging="437"/>
              <w:rPr>
                <w:rFonts w:ascii="Times New Roman" w:eastAsia="Times New Roman" w:hAnsi="Times New Roman" w:cs="Times New Roman"/>
                <w:sz w:val="24"/>
                <w:szCs w:val="24"/>
                <w:lang w:eastAsia="hu-HU"/>
              </w:rPr>
            </w:pPr>
            <w:r w:rsidRPr="002D29C5">
              <w:rPr>
                <w:rFonts w:ascii="Times New Roman" w:eastAsia="Times New Roman" w:hAnsi="Times New Roman" w:cs="Times New Roman"/>
                <w:sz w:val="24"/>
                <w:szCs w:val="24"/>
                <w:lang w:eastAsia="hu-HU"/>
              </w:rPr>
              <w:t>Üzemanyag ellátó rendszerek L</w:t>
            </w:r>
          </w:p>
        </w:tc>
        <w:tc>
          <w:tcPr>
            <w:tcW w:w="1984" w:type="dxa"/>
            <w:shd w:val="clear" w:color="auto" w:fill="FFFFFF" w:themeFill="background1"/>
            <w:vAlign w:val="bottom"/>
          </w:tcPr>
          <w:p w:rsidR="00FE6A3F" w:rsidRPr="002D29C5" w:rsidRDefault="00FE6A3F" w:rsidP="00FE6A3F">
            <w:pPr>
              <w:spacing w:after="0" w:line="240" w:lineRule="auto"/>
              <w:rPr>
                <w:rFonts w:ascii="Times New Roman" w:eastAsia="Times New Roman" w:hAnsi="Times New Roman" w:cs="Times New Roman"/>
                <w:sz w:val="24"/>
                <w:szCs w:val="24"/>
                <w:lang w:eastAsia="hu-HU"/>
              </w:rPr>
            </w:pPr>
            <w:r w:rsidRPr="002D29C5">
              <w:rPr>
                <w:rFonts w:ascii="Times New Roman" w:eastAsia="Times New Roman" w:hAnsi="Times New Roman" w:cs="Times New Roman"/>
                <w:sz w:val="24"/>
                <w:szCs w:val="24"/>
                <w:lang w:eastAsia="hu-HU"/>
              </w:rPr>
              <w:t>HKHDTA19</w:t>
            </w:r>
          </w:p>
        </w:tc>
      </w:tr>
      <w:tr w:rsidR="00FE6A3F" w:rsidRPr="0010643F" w:rsidTr="00DC5558">
        <w:trPr>
          <w:trHeight w:val="338"/>
          <w:jc w:val="center"/>
        </w:trPr>
        <w:tc>
          <w:tcPr>
            <w:tcW w:w="5671" w:type="dxa"/>
            <w:shd w:val="clear" w:color="auto" w:fill="FFFFFF" w:themeFill="background1"/>
            <w:noWrap/>
            <w:vAlign w:val="bottom"/>
          </w:tcPr>
          <w:p w:rsidR="00FE6A3F" w:rsidRPr="002D29C5" w:rsidRDefault="00FE6A3F" w:rsidP="00FE6A3F">
            <w:pPr>
              <w:pStyle w:val="Listaszerbekezds"/>
              <w:numPr>
                <w:ilvl w:val="0"/>
                <w:numId w:val="5"/>
              </w:numPr>
              <w:spacing w:after="0" w:line="240" w:lineRule="auto"/>
              <w:ind w:left="645" w:hanging="437"/>
              <w:rPr>
                <w:rFonts w:ascii="Times New Roman" w:eastAsia="Times New Roman" w:hAnsi="Times New Roman" w:cs="Times New Roman"/>
                <w:sz w:val="24"/>
                <w:szCs w:val="24"/>
                <w:lang w:eastAsia="hu-HU"/>
              </w:rPr>
            </w:pPr>
            <w:r w:rsidRPr="002D29C5">
              <w:rPr>
                <w:rFonts w:ascii="Times New Roman" w:eastAsia="Times New Roman" w:hAnsi="Times New Roman" w:cs="Times New Roman"/>
                <w:sz w:val="24"/>
                <w:szCs w:val="24"/>
                <w:lang w:eastAsia="hu-HU"/>
              </w:rPr>
              <w:t>Harc- és gépjárművek szerkezete II.</w:t>
            </w:r>
          </w:p>
        </w:tc>
        <w:tc>
          <w:tcPr>
            <w:tcW w:w="1984" w:type="dxa"/>
            <w:shd w:val="clear" w:color="auto" w:fill="FFFFFF" w:themeFill="background1"/>
            <w:vAlign w:val="bottom"/>
          </w:tcPr>
          <w:p w:rsidR="00FE6A3F" w:rsidRPr="002D29C5" w:rsidRDefault="00FE6A3F" w:rsidP="00FE6A3F">
            <w:pPr>
              <w:spacing w:after="0" w:line="240" w:lineRule="auto"/>
              <w:rPr>
                <w:rFonts w:ascii="Times New Roman" w:eastAsia="Times New Roman" w:hAnsi="Times New Roman" w:cs="Times New Roman"/>
                <w:sz w:val="24"/>
                <w:szCs w:val="24"/>
                <w:lang w:eastAsia="hu-HU"/>
              </w:rPr>
            </w:pPr>
            <w:r w:rsidRPr="002D29C5">
              <w:rPr>
                <w:rFonts w:ascii="Times New Roman" w:eastAsia="Times New Roman" w:hAnsi="Times New Roman" w:cs="Times New Roman"/>
                <w:sz w:val="24"/>
                <w:szCs w:val="24"/>
                <w:lang w:eastAsia="hu-HU"/>
              </w:rPr>
              <w:t>HKHDTA20</w:t>
            </w:r>
          </w:p>
        </w:tc>
      </w:tr>
      <w:tr w:rsidR="00FE6A3F" w:rsidRPr="0010643F" w:rsidTr="00DC5558">
        <w:trPr>
          <w:trHeight w:val="338"/>
          <w:jc w:val="center"/>
        </w:trPr>
        <w:tc>
          <w:tcPr>
            <w:tcW w:w="5671" w:type="dxa"/>
            <w:shd w:val="clear" w:color="auto" w:fill="FFFFFF" w:themeFill="background1"/>
            <w:noWrap/>
            <w:vAlign w:val="bottom"/>
          </w:tcPr>
          <w:p w:rsidR="00FE6A3F" w:rsidRPr="002D29C5" w:rsidRDefault="00FE6A3F" w:rsidP="00FE6A3F">
            <w:pPr>
              <w:pStyle w:val="Listaszerbekezds"/>
              <w:numPr>
                <w:ilvl w:val="0"/>
                <w:numId w:val="5"/>
              </w:numPr>
              <w:spacing w:after="0" w:line="240" w:lineRule="auto"/>
              <w:ind w:left="645" w:hanging="437"/>
              <w:rPr>
                <w:rFonts w:ascii="Times New Roman" w:eastAsia="Times New Roman" w:hAnsi="Times New Roman" w:cs="Times New Roman"/>
                <w:sz w:val="24"/>
                <w:szCs w:val="24"/>
                <w:lang w:eastAsia="hu-HU"/>
              </w:rPr>
            </w:pPr>
            <w:r w:rsidRPr="002D29C5">
              <w:rPr>
                <w:rFonts w:ascii="Times New Roman" w:eastAsia="Times New Roman" w:hAnsi="Times New Roman" w:cs="Times New Roman"/>
                <w:sz w:val="24"/>
                <w:szCs w:val="24"/>
                <w:lang w:eastAsia="hu-HU"/>
              </w:rPr>
              <w:t>Rendszerben tartás II. L</w:t>
            </w:r>
          </w:p>
        </w:tc>
        <w:tc>
          <w:tcPr>
            <w:tcW w:w="1984" w:type="dxa"/>
            <w:shd w:val="clear" w:color="auto" w:fill="FFFFFF" w:themeFill="background1"/>
            <w:vAlign w:val="bottom"/>
          </w:tcPr>
          <w:p w:rsidR="00FE6A3F" w:rsidRPr="002D29C5" w:rsidRDefault="00FE6A3F" w:rsidP="00FE6A3F">
            <w:pPr>
              <w:spacing w:after="0" w:line="240" w:lineRule="auto"/>
              <w:rPr>
                <w:rFonts w:ascii="Times New Roman" w:eastAsia="Times New Roman" w:hAnsi="Times New Roman" w:cs="Times New Roman"/>
                <w:sz w:val="24"/>
                <w:szCs w:val="24"/>
                <w:lang w:eastAsia="hu-HU"/>
              </w:rPr>
            </w:pPr>
            <w:r w:rsidRPr="002D29C5">
              <w:rPr>
                <w:rFonts w:ascii="Times New Roman" w:eastAsia="Times New Roman" w:hAnsi="Times New Roman" w:cs="Times New Roman"/>
                <w:sz w:val="24"/>
                <w:szCs w:val="24"/>
                <w:lang w:eastAsia="hu-HU"/>
              </w:rPr>
              <w:t>HKHDTA21</w:t>
            </w:r>
          </w:p>
        </w:tc>
      </w:tr>
      <w:tr w:rsidR="00FE6A3F" w:rsidRPr="0010643F" w:rsidTr="00DC5558">
        <w:trPr>
          <w:trHeight w:val="338"/>
          <w:jc w:val="center"/>
        </w:trPr>
        <w:tc>
          <w:tcPr>
            <w:tcW w:w="5671" w:type="dxa"/>
            <w:shd w:val="clear" w:color="auto" w:fill="FFFFFF" w:themeFill="background1"/>
            <w:noWrap/>
            <w:vAlign w:val="bottom"/>
          </w:tcPr>
          <w:p w:rsidR="00FE6A3F" w:rsidRPr="002D29C5" w:rsidRDefault="00FE6A3F" w:rsidP="00FE6A3F">
            <w:pPr>
              <w:pStyle w:val="Listaszerbekezds"/>
              <w:numPr>
                <w:ilvl w:val="0"/>
                <w:numId w:val="5"/>
              </w:numPr>
              <w:spacing w:after="0" w:line="240" w:lineRule="auto"/>
              <w:ind w:left="645" w:hanging="437"/>
              <w:rPr>
                <w:rFonts w:ascii="Times New Roman" w:eastAsia="Times New Roman" w:hAnsi="Times New Roman" w:cs="Times New Roman"/>
                <w:sz w:val="24"/>
                <w:szCs w:val="24"/>
                <w:lang w:eastAsia="hu-HU"/>
              </w:rPr>
            </w:pPr>
            <w:r w:rsidRPr="002D29C5">
              <w:rPr>
                <w:rFonts w:ascii="Times New Roman" w:eastAsia="Times New Roman" w:hAnsi="Times New Roman" w:cs="Times New Roman"/>
                <w:sz w:val="24"/>
                <w:szCs w:val="24"/>
                <w:lang w:eastAsia="hu-HU"/>
              </w:rPr>
              <w:t>Harcjármű típusismeret</w:t>
            </w:r>
          </w:p>
        </w:tc>
        <w:tc>
          <w:tcPr>
            <w:tcW w:w="1984" w:type="dxa"/>
            <w:shd w:val="clear" w:color="auto" w:fill="FFFFFF" w:themeFill="background1"/>
            <w:vAlign w:val="bottom"/>
          </w:tcPr>
          <w:p w:rsidR="00FE6A3F" w:rsidRPr="002D29C5" w:rsidRDefault="00FE6A3F" w:rsidP="00FE6A3F">
            <w:pPr>
              <w:spacing w:after="0" w:line="240" w:lineRule="auto"/>
              <w:rPr>
                <w:rFonts w:ascii="Times New Roman" w:eastAsia="Times New Roman" w:hAnsi="Times New Roman" w:cs="Times New Roman"/>
                <w:sz w:val="24"/>
                <w:szCs w:val="24"/>
                <w:lang w:eastAsia="hu-HU"/>
              </w:rPr>
            </w:pPr>
            <w:r w:rsidRPr="002D29C5">
              <w:rPr>
                <w:rFonts w:ascii="Times New Roman" w:eastAsia="Times New Roman" w:hAnsi="Times New Roman" w:cs="Times New Roman"/>
                <w:sz w:val="24"/>
                <w:szCs w:val="24"/>
                <w:lang w:eastAsia="hu-HU"/>
              </w:rPr>
              <w:t>HKHDTA22</w:t>
            </w:r>
          </w:p>
        </w:tc>
      </w:tr>
      <w:tr w:rsidR="00FE6A3F" w:rsidRPr="006E15A7" w:rsidTr="00DC5558">
        <w:trPr>
          <w:trHeight w:val="338"/>
          <w:jc w:val="center"/>
        </w:trPr>
        <w:tc>
          <w:tcPr>
            <w:tcW w:w="7655" w:type="dxa"/>
            <w:gridSpan w:val="2"/>
            <w:shd w:val="clear" w:color="auto" w:fill="FFFFFF" w:themeFill="background1"/>
            <w:noWrap/>
            <w:vAlign w:val="bottom"/>
          </w:tcPr>
          <w:p w:rsidR="00FE6A3F" w:rsidRPr="006E15A7" w:rsidRDefault="00FE6A3F" w:rsidP="00FE6A3F">
            <w:pPr>
              <w:spacing w:after="0" w:line="240" w:lineRule="auto"/>
              <w:rPr>
                <w:rFonts w:ascii="Times New Roman" w:hAnsi="Times New Roman" w:cs="Times New Roman"/>
                <w:b/>
                <w:sz w:val="24"/>
              </w:rPr>
            </w:pPr>
            <w:r>
              <w:rPr>
                <w:rFonts w:ascii="Times New Roman" w:hAnsi="Times New Roman" w:cs="Times New Roman"/>
                <w:b/>
                <w:sz w:val="24"/>
              </w:rPr>
              <w:t>Fegyverzette</w:t>
            </w:r>
            <w:r w:rsidRPr="008226EC">
              <w:rPr>
                <w:rFonts w:ascii="Times New Roman" w:hAnsi="Times New Roman" w:cs="Times New Roman"/>
                <w:b/>
                <w:sz w:val="24"/>
              </w:rPr>
              <w:t>chnikai modul</w:t>
            </w:r>
          </w:p>
        </w:tc>
      </w:tr>
      <w:tr w:rsidR="00FE6A3F" w:rsidRPr="0010643F" w:rsidTr="00DC5558">
        <w:trPr>
          <w:trHeight w:val="338"/>
          <w:jc w:val="center"/>
        </w:trPr>
        <w:tc>
          <w:tcPr>
            <w:tcW w:w="5671" w:type="dxa"/>
            <w:shd w:val="clear" w:color="auto" w:fill="FFFFFF" w:themeFill="background1"/>
            <w:noWrap/>
            <w:vAlign w:val="bottom"/>
          </w:tcPr>
          <w:p w:rsidR="00FE6A3F" w:rsidRPr="00524100" w:rsidRDefault="00FE6A3F" w:rsidP="00FE6A3F">
            <w:pPr>
              <w:pStyle w:val="Listaszerbekezds"/>
              <w:numPr>
                <w:ilvl w:val="0"/>
                <w:numId w:val="5"/>
              </w:numPr>
              <w:spacing w:after="0" w:line="240" w:lineRule="auto"/>
              <w:ind w:left="645" w:hanging="437"/>
              <w:rPr>
                <w:rFonts w:ascii="Times New Roman" w:eastAsia="Times New Roman" w:hAnsi="Times New Roman" w:cs="Times New Roman"/>
                <w:sz w:val="24"/>
                <w:szCs w:val="24"/>
                <w:lang w:eastAsia="hu-HU"/>
              </w:rPr>
            </w:pPr>
            <w:r w:rsidRPr="00524100">
              <w:rPr>
                <w:rFonts w:ascii="Times New Roman" w:eastAsia="Times New Roman" w:hAnsi="Times New Roman" w:cs="Times New Roman"/>
                <w:sz w:val="24"/>
                <w:szCs w:val="24"/>
                <w:lang w:eastAsia="hu-HU"/>
              </w:rPr>
              <w:t>Lövészfegyver anyagismeret</w:t>
            </w:r>
          </w:p>
        </w:tc>
        <w:tc>
          <w:tcPr>
            <w:tcW w:w="1984" w:type="dxa"/>
            <w:shd w:val="clear" w:color="auto" w:fill="FFFFFF" w:themeFill="background1"/>
            <w:vAlign w:val="bottom"/>
          </w:tcPr>
          <w:p w:rsidR="00FE6A3F" w:rsidRPr="00524100" w:rsidRDefault="002F0E35" w:rsidP="00FE6A3F">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HKHDTA24</w:t>
            </w:r>
          </w:p>
        </w:tc>
      </w:tr>
      <w:tr w:rsidR="00FE6A3F" w:rsidRPr="0010643F" w:rsidTr="00DC5558">
        <w:trPr>
          <w:trHeight w:val="338"/>
          <w:jc w:val="center"/>
        </w:trPr>
        <w:tc>
          <w:tcPr>
            <w:tcW w:w="5671" w:type="dxa"/>
            <w:shd w:val="clear" w:color="auto" w:fill="FFFFFF" w:themeFill="background1"/>
            <w:noWrap/>
            <w:vAlign w:val="bottom"/>
          </w:tcPr>
          <w:p w:rsidR="00FE6A3F" w:rsidRPr="00524100" w:rsidRDefault="00FE6A3F" w:rsidP="00FE6A3F">
            <w:pPr>
              <w:pStyle w:val="Listaszerbekezds"/>
              <w:numPr>
                <w:ilvl w:val="0"/>
                <w:numId w:val="5"/>
              </w:numPr>
              <w:spacing w:after="0" w:line="240" w:lineRule="auto"/>
              <w:ind w:left="645" w:hanging="437"/>
              <w:rPr>
                <w:rFonts w:ascii="Times New Roman" w:eastAsia="Times New Roman" w:hAnsi="Times New Roman" w:cs="Times New Roman"/>
                <w:sz w:val="24"/>
                <w:szCs w:val="24"/>
                <w:lang w:eastAsia="hu-HU"/>
              </w:rPr>
            </w:pPr>
            <w:r w:rsidRPr="00524100">
              <w:rPr>
                <w:rFonts w:ascii="Times New Roman" w:eastAsia="Times New Roman" w:hAnsi="Times New Roman" w:cs="Times New Roman"/>
                <w:sz w:val="24"/>
                <w:szCs w:val="24"/>
                <w:lang w:eastAsia="hu-HU"/>
              </w:rPr>
              <w:t>Általános lövegszerkezettan</w:t>
            </w:r>
          </w:p>
        </w:tc>
        <w:tc>
          <w:tcPr>
            <w:tcW w:w="1984" w:type="dxa"/>
            <w:shd w:val="clear" w:color="auto" w:fill="FFFFFF" w:themeFill="background1"/>
            <w:vAlign w:val="bottom"/>
          </w:tcPr>
          <w:p w:rsidR="00FE6A3F" w:rsidRPr="00524100" w:rsidRDefault="002F0E35" w:rsidP="00FE6A3F">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HKHDTA25</w:t>
            </w:r>
          </w:p>
        </w:tc>
      </w:tr>
      <w:tr w:rsidR="00FE6A3F" w:rsidRPr="0010643F" w:rsidTr="00DC5558">
        <w:trPr>
          <w:trHeight w:val="338"/>
          <w:jc w:val="center"/>
        </w:trPr>
        <w:tc>
          <w:tcPr>
            <w:tcW w:w="5671" w:type="dxa"/>
            <w:shd w:val="clear" w:color="auto" w:fill="FFFFFF" w:themeFill="background1"/>
            <w:noWrap/>
            <w:vAlign w:val="bottom"/>
          </w:tcPr>
          <w:p w:rsidR="00FE6A3F" w:rsidRPr="00524100" w:rsidRDefault="00FE6A3F" w:rsidP="003073B7">
            <w:pPr>
              <w:pStyle w:val="Listaszerbekezds"/>
              <w:numPr>
                <w:ilvl w:val="0"/>
                <w:numId w:val="5"/>
              </w:numPr>
              <w:spacing w:after="0" w:line="240" w:lineRule="auto"/>
              <w:ind w:left="645" w:hanging="437"/>
              <w:rPr>
                <w:rFonts w:ascii="Times New Roman" w:eastAsia="Times New Roman" w:hAnsi="Times New Roman" w:cs="Times New Roman"/>
                <w:sz w:val="24"/>
                <w:szCs w:val="24"/>
                <w:lang w:eastAsia="hu-HU"/>
              </w:rPr>
            </w:pPr>
            <w:r w:rsidRPr="00524100">
              <w:rPr>
                <w:rFonts w:ascii="Times New Roman" w:eastAsia="Times New Roman" w:hAnsi="Times New Roman" w:cs="Times New Roman"/>
                <w:sz w:val="24"/>
                <w:szCs w:val="24"/>
                <w:lang w:eastAsia="hu-HU"/>
              </w:rPr>
              <w:t>Üzembentartás FV I.</w:t>
            </w:r>
          </w:p>
        </w:tc>
        <w:tc>
          <w:tcPr>
            <w:tcW w:w="1984" w:type="dxa"/>
            <w:shd w:val="clear" w:color="auto" w:fill="FFFFFF" w:themeFill="background1"/>
            <w:vAlign w:val="bottom"/>
          </w:tcPr>
          <w:p w:rsidR="00FE6A3F" w:rsidRPr="00524100" w:rsidRDefault="002F0E35" w:rsidP="00FE6A3F">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HKHDTA26</w:t>
            </w:r>
          </w:p>
        </w:tc>
      </w:tr>
      <w:tr w:rsidR="00FE6A3F" w:rsidRPr="0010643F" w:rsidTr="00DC5558">
        <w:trPr>
          <w:trHeight w:val="338"/>
          <w:jc w:val="center"/>
        </w:trPr>
        <w:tc>
          <w:tcPr>
            <w:tcW w:w="5671" w:type="dxa"/>
            <w:shd w:val="clear" w:color="auto" w:fill="FFFFFF" w:themeFill="background1"/>
            <w:noWrap/>
            <w:vAlign w:val="bottom"/>
          </w:tcPr>
          <w:p w:rsidR="00FE6A3F" w:rsidRPr="00524100" w:rsidRDefault="00FE6A3F" w:rsidP="00FE6A3F">
            <w:pPr>
              <w:pStyle w:val="Listaszerbekezds"/>
              <w:numPr>
                <w:ilvl w:val="0"/>
                <w:numId w:val="5"/>
              </w:numPr>
              <w:spacing w:after="0" w:line="240" w:lineRule="auto"/>
              <w:ind w:left="645" w:hanging="437"/>
              <w:rPr>
                <w:rFonts w:ascii="Times New Roman" w:eastAsia="Times New Roman" w:hAnsi="Times New Roman" w:cs="Times New Roman"/>
                <w:sz w:val="24"/>
                <w:szCs w:val="24"/>
                <w:lang w:eastAsia="hu-HU"/>
              </w:rPr>
            </w:pPr>
            <w:r w:rsidRPr="00524100">
              <w:rPr>
                <w:rFonts w:ascii="Times New Roman" w:eastAsia="Times New Roman" w:hAnsi="Times New Roman" w:cs="Times New Roman"/>
                <w:sz w:val="24"/>
                <w:szCs w:val="24"/>
                <w:lang w:eastAsia="hu-HU"/>
              </w:rPr>
              <w:t>Fegyverzettechnikai biztosítás</w:t>
            </w:r>
          </w:p>
        </w:tc>
        <w:tc>
          <w:tcPr>
            <w:tcW w:w="1984" w:type="dxa"/>
            <w:shd w:val="clear" w:color="auto" w:fill="FFFFFF" w:themeFill="background1"/>
            <w:vAlign w:val="bottom"/>
          </w:tcPr>
          <w:p w:rsidR="00FE6A3F" w:rsidRPr="00524100" w:rsidRDefault="002F0E35" w:rsidP="00FE6A3F">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HKHDTA27</w:t>
            </w:r>
          </w:p>
        </w:tc>
      </w:tr>
      <w:tr w:rsidR="00FE6A3F" w:rsidRPr="0010643F" w:rsidTr="00DC5558">
        <w:trPr>
          <w:trHeight w:val="338"/>
          <w:jc w:val="center"/>
        </w:trPr>
        <w:tc>
          <w:tcPr>
            <w:tcW w:w="5671" w:type="dxa"/>
            <w:shd w:val="clear" w:color="auto" w:fill="FFFFFF" w:themeFill="background1"/>
            <w:noWrap/>
            <w:vAlign w:val="bottom"/>
          </w:tcPr>
          <w:p w:rsidR="00FE6A3F" w:rsidRPr="00524100" w:rsidRDefault="00FE6A3F" w:rsidP="00FE6A3F">
            <w:pPr>
              <w:pStyle w:val="Listaszerbekezds"/>
              <w:numPr>
                <w:ilvl w:val="0"/>
                <w:numId w:val="5"/>
              </w:numPr>
              <w:spacing w:after="0" w:line="240" w:lineRule="auto"/>
              <w:ind w:left="645" w:hanging="437"/>
              <w:rPr>
                <w:rFonts w:ascii="Times New Roman" w:eastAsia="Times New Roman" w:hAnsi="Times New Roman" w:cs="Times New Roman"/>
                <w:sz w:val="24"/>
                <w:szCs w:val="24"/>
                <w:lang w:eastAsia="hu-HU"/>
              </w:rPr>
            </w:pPr>
            <w:r w:rsidRPr="00524100">
              <w:rPr>
                <w:rFonts w:ascii="Times New Roman" w:eastAsia="Times New Roman" w:hAnsi="Times New Roman" w:cs="Times New Roman"/>
                <w:sz w:val="24"/>
                <w:szCs w:val="24"/>
                <w:lang w:eastAsia="hu-HU"/>
              </w:rPr>
              <w:t>Üzembentartás FV II.</w:t>
            </w:r>
          </w:p>
        </w:tc>
        <w:tc>
          <w:tcPr>
            <w:tcW w:w="1984" w:type="dxa"/>
            <w:shd w:val="clear" w:color="auto" w:fill="FFFFFF" w:themeFill="background1"/>
            <w:vAlign w:val="bottom"/>
          </w:tcPr>
          <w:p w:rsidR="00FE6A3F" w:rsidRPr="00524100" w:rsidRDefault="002F0E35" w:rsidP="00FE6A3F">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HKHDTA28</w:t>
            </w:r>
          </w:p>
        </w:tc>
      </w:tr>
      <w:tr w:rsidR="00FE6A3F" w:rsidRPr="0010643F" w:rsidTr="00DC5558">
        <w:trPr>
          <w:trHeight w:val="338"/>
          <w:jc w:val="center"/>
        </w:trPr>
        <w:tc>
          <w:tcPr>
            <w:tcW w:w="5671" w:type="dxa"/>
            <w:shd w:val="clear" w:color="auto" w:fill="FFFFFF" w:themeFill="background1"/>
            <w:noWrap/>
            <w:vAlign w:val="bottom"/>
          </w:tcPr>
          <w:p w:rsidR="00FE6A3F" w:rsidRPr="00524100" w:rsidRDefault="00FE6A3F" w:rsidP="00FE6A3F">
            <w:pPr>
              <w:pStyle w:val="Listaszerbekezds"/>
              <w:numPr>
                <w:ilvl w:val="0"/>
                <w:numId w:val="5"/>
              </w:numPr>
              <w:spacing w:after="0" w:line="240" w:lineRule="auto"/>
              <w:ind w:left="645" w:hanging="437"/>
              <w:rPr>
                <w:rFonts w:ascii="Times New Roman" w:eastAsia="Times New Roman" w:hAnsi="Times New Roman" w:cs="Times New Roman"/>
                <w:sz w:val="24"/>
                <w:szCs w:val="24"/>
                <w:lang w:eastAsia="hu-HU"/>
              </w:rPr>
            </w:pPr>
            <w:r w:rsidRPr="00524100">
              <w:rPr>
                <w:rFonts w:ascii="Times New Roman" w:eastAsia="Times New Roman" w:hAnsi="Times New Roman" w:cs="Times New Roman"/>
                <w:sz w:val="24"/>
                <w:szCs w:val="24"/>
                <w:lang w:eastAsia="hu-HU"/>
              </w:rPr>
              <w:t>HSN és rakétatechnikai eszközök anyagismerete</w:t>
            </w:r>
          </w:p>
        </w:tc>
        <w:tc>
          <w:tcPr>
            <w:tcW w:w="1984" w:type="dxa"/>
            <w:shd w:val="clear" w:color="auto" w:fill="FFFFFF" w:themeFill="background1"/>
            <w:vAlign w:val="bottom"/>
          </w:tcPr>
          <w:p w:rsidR="00FE6A3F" w:rsidRPr="00524100" w:rsidRDefault="002F0E35" w:rsidP="00FE6A3F">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HKHDTA29</w:t>
            </w:r>
          </w:p>
        </w:tc>
      </w:tr>
      <w:tr w:rsidR="00FE6A3F" w:rsidRPr="0010643F" w:rsidTr="00DC5558">
        <w:trPr>
          <w:trHeight w:val="338"/>
          <w:jc w:val="center"/>
        </w:trPr>
        <w:tc>
          <w:tcPr>
            <w:tcW w:w="5671" w:type="dxa"/>
            <w:shd w:val="clear" w:color="auto" w:fill="FFFFFF" w:themeFill="background1"/>
            <w:noWrap/>
            <w:vAlign w:val="bottom"/>
          </w:tcPr>
          <w:p w:rsidR="00FE6A3F" w:rsidRPr="00524100" w:rsidRDefault="00FE6A3F" w:rsidP="00FE6A3F">
            <w:pPr>
              <w:pStyle w:val="Listaszerbekezds"/>
              <w:numPr>
                <w:ilvl w:val="0"/>
                <w:numId w:val="5"/>
              </w:numPr>
              <w:spacing w:after="0" w:line="240" w:lineRule="auto"/>
              <w:ind w:left="645" w:hanging="437"/>
              <w:rPr>
                <w:rFonts w:ascii="Times New Roman" w:eastAsia="Times New Roman" w:hAnsi="Times New Roman" w:cs="Times New Roman"/>
                <w:sz w:val="24"/>
                <w:szCs w:val="24"/>
                <w:lang w:eastAsia="hu-HU"/>
              </w:rPr>
            </w:pPr>
            <w:r w:rsidRPr="00524100">
              <w:rPr>
                <w:rFonts w:ascii="Times New Roman" w:eastAsia="Times New Roman" w:hAnsi="Times New Roman" w:cs="Times New Roman"/>
                <w:sz w:val="24"/>
                <w:szCs w:val="24"/>
                <w:lang w:eastAsia="hu-HU"/>
              </w:rPr>
              <w:t>Szakmai szabályismeret FV</w:t>
            </w:r>
          </w:p>
        </w:tc>
        <w:tc>
          <w:tcPr>
            <w:tcW w:w="1984" w:type="dxa"/>
            <w:shd w:val="clear" w:color="auto" w:fill="FFFFFF" w:themeFill="background1"/>
            <w:vAlign w:val="bottom"/>
          </w:tcPr>
          <w:p w:rsidR="00FE6A3F" w:rsidRPr="00524100" w:rsidRDefault="002F0E35" w:rsidP="00FE6A3F">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HKHDTA</w:t>
            </w:r>
            <w:r w:rsidR="00FE6A3F" w:rsidRPr="00524100">
              <w:rPr>
                <w:rFonts w:ascii="Times New Roman" w:eastAsia="Times New Roman" w:hAnsi="Times New Roman" w:cs="Times New Roman"/>
                <w:sz w:val="24"/>
                <w:szCs w:val="24"/>
                <w:lang w:eastAsia="hu-HU"/>
              </w:rPr>
              <w:t>3</w:t>
            </w:r>
            <w:r>
              <w:rPr>
                <w:rFonts w:ascii="Times New Roman" w:eastAsia="Times New Roman" w:hAnsi="Times New Roman" w:cs="Times New Roman"/>
                <w:sz w:val="24"/>
                <w:szCs w:val="24"/>
                <w:lang w:eastAsia="hu-HU"/>
              </w:rPr>
              <w:t>0</w:t>
            </w:r>
          </w:p>
        </w:tc>
      </w:tr>
    </w:tbl>
    <w:p w:rsidR="008226EC" w:rsidRDefault="008226EC" w:rsidP="00E90EF1">
      <w:pPr>
        <w:pStyle w:val="Listaszerbekezds"/>
        <w:ind w:left="1080"/>
        <w:rPr>
          <w:rFonts w:ascii="Times New Roman" w:hAnsi="Times New Roman" w:cs="Times New Roman"/>
          <w:sz w:val="24"/>
        </w:rPr>
      </w:pPr>
    </w:p>
    <w:p w:rsidR="008226EC" w:rsidRPr="008226EC" w:rsidRDefault="008226EC" w:rsidP="008226EC">
      <w:pPr>
        <w:pStyle w:val="Listaszerbekezds"/>
        <w:numPr>
          <w:ilvl w:val="1"/>
          <w:numId w:val="1"/>
        </w:numPr>
        <w:rPr>
          <w:rFonts w:ascii="Times New Roman" w:hAnsi="Times New Roman" w:cs="Times New Roman"/>
          <w:b/>
          <w:sz w:val="24"/>
        </w:rPr>
      </w:pPr>
      <w:r>
        <w:rPr>
          <w:rFonts w:ascii="Times New Roman" w:hAnsi="Times New Roman" w:cs="Times New Roman"/>
          <w:b/>
          <w:sz w:val="24"/>
        </w:rPr>
        <w:t>Katonai pénzügyi</w:t>
      </w:r>
      <w:r w:rsidRPr="008226EC">
        <w:rPr>
          <w:rFonts w:ascii="Times New Roman" w:hAnsi="Times New Roman" w:cs="Times New Roman"/>
          <w:b/>
          <w:sz w:val="24"/>
        </w:rPr>
        <w:t xml:space="preserve"> specializáció:</w:t>
      </w:r>
    </w:p>
    <w:p w:rsidR="008226EC" w:rsidRPr="008226EC" w:rsidRDefault="008226EC" w:rsidP="008226EC">
      <w:pPr>
        <w:pStyle w:val="Listaszerbekezds"/>
        <w:ind w:left="1080"/>
        <w:rPr>
          <w:rFonts w:ascii="Times New Roman" w:hAnsi="Times New Roman" w:cs="Times New Roman"/>
          <w:sz w:val="24"/>
        </w:rPr>
      </w:pP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5671"/>
        <w:gridCol w:w="1984"/>
      </w:tblGrid>
      <w:tr w:rsidR="00FD303F" w:rsidRPr="00027664" w:rsidTr="00FD303F">
        <w:trPr>
          <w:trHeight w:val="338"/>
          <w:jc w:val="center"/>
        </w:trPr>
        <w:tc>
          <w:tcPr>
            <w:tcW w:w="5671" w:type="dxa"/>
            <w:shd w:val="clear" w:color="auto" w:fill="FFFFFF" w:themeFill="background1"/>
            <w:noWrap/>
            <w:vAlign w:val="bottom"/>
          </w:tcPr>
          <w:p w:rsidR="00FD303F" w:rsidRPr="00027664" w:rsidRDefault="00FD303F" w:rsidP="0056665F">
            <w:pPr>
              <w:pStyle w:val="Listaszerbekezds"/>
              <w:numPr>
                <w:ilvl w:val="0"/>
                <w:numId w:val="6"/>
              </w:numPr>
              <w:spacing w:after="0" w:line="240" w:lineRule="auto"/>
              <w:ind w:left="645" w:hanging="437"/>
              <w:rPr>
                <w:rFonts w:ascii="Times New Roman" w:eastAsia="Times New Roman" w:hAnsi="Times New Roman" w:cs="Times New Roman"/>
                <w:sz w:val="24"/>
                <w:szCs w:val="24"/>
                <w:lang w:eastAsia="hu-HU"/>
              </w:rPr>
            </w:pPr>
            <w:r w:rsidRPr="00027664">
              <w:rPr>
                <w:rFonts w:ascii="Times New Roman" w:eastAsia="Times New Roman" w:hAnsi="Times New Roman" w:cs="Times New Roman"/>
                <w:sz w:val="24"/>
                <w:szCs w:val="24"/>
                <w:lang w:eastAsia="hu-HU"/>
              </w:rPr>
              <w:t>Számvitel I. (Alapok)</w:t>
            </w:r>
          </w:p>
        </w:tc>
        <w:tc>
          <w:tcPr>
            <w:tcW w:w="1984" w:type="dxa"/>
            <w:shd w:val="clear" w:color="auto" w:fill="FFFFFF" w:themeFill="background1"/>
            <w:vAlign w:val="center"/>
          </w:tcPr>
          <w:p w:rsidR="00FD303F" w:rsidRPr="00027664" w:rsidRDefault="00FD303F" w:rsidP="00FD303F">
            <w:pPr>
              <w:spacing w:after="0" w:line="240" w:lineRule="auto"/>
              <w:rPr>
                <w:rFonts w:ascii="Times New Roman" w:eastAsia="Times New Roman" w:hAnsi="Times New Roman" w:cs="Times New Roman"/>
                <w:sz w:val="24"/>
                <w:szCs w:val="24"/>
                <w:lang w:eastAsia="hu-HU"/>
              </w:rPr>
            </w:pPr>
            <w:r w:rsidRPr="00027664">
              <w:rPr>
                <w:rFonts w:ascii="Times New Roman" w:eastAsia="Times New Roman" w:hAnsi="Times New Roman" w:cs="Times New Roman"/>
                <w:sz w:val="24"/>
                <w:szCs w:val="24"/>
                <w:lang w:eastAsia="hu-HU"/>
              </w:rPr>
              <w:t>HKHPKA500</w:t>
            </w:r>
          </w:p>
        </w:tc>
      </w:tr>
      <w:tr w:rsidR="00FD303F" w:rsidRPr="0010643F" w:rsidTr="00FD303F">
        <w:trPr>
          <w:trHeight w:val="338"/>
          <w:jc w:val="center"/>
        </w:trPr>
        <w:tc>
          <w:tcPr>
            <w:tcW w:w="5671" w:type="dxa"/>
            <w:shd w:val="clear" w:color="auto" w:fill="FFFFFF" w:themeFill="background1"/>
            <w:noWrap/>
            <w:vAlign w:val="bottom"/>
          </w:tcPr>
          <w:p w:rsidR="00FD303F" w:rsidRPr="00027664" w:rsidRDefault="00FD303F" w:rsidP="0056665F">
            <w:pPr>
              <w:pStyle w:val="Listaszerbekezds"/>
              <w:numPr>
                <w:ilvl w:val="0"/>
                <w:numId w:val="6"/>
              </w:numPr>
              <w:spacing w:after="0" w:line="240" w:lineRule="auto"/>
              <w:ind w:left="645" w:hanging="437"/>
              <w:rPr>
                <w:rFonts w:ascii="Times New Roman" w:eastAsia="Times New Roman" w:hAnsi="Times New Roman" w:cs="Times New Roman"/>
                <w:sz w:val="24"/>
                <w:szCs w:val="24"/>
                <w:lang w:eastAsia="hu-HU"/>
              </w:rPr>
            </w:pPr>
            <w:r w:rsidRPr="00027664">
              <w:rPr>
                <w:rFonts w:ascii="Times New Roman" w:eastAsia="Times New Roman" w:hAnsi="Times New Roman" w:cs="Times New Roman"/>
                <w:sz w:val="24"/>
                <w:szCs w:val="24"/>
                <w:lang w:eastAsia="hu-HU"/>
              </w:rPr>
              <w:t>Pénzügyek I. (Alapok)</w:t>
            </w:r>
          </w:p>
        </w:tc>
        <w:tc>
          <w:tcPr>
            <w:tcW w:w="1984" w:type="dxa"/>
            <w:shd w:val="clear" w:color="auto" w:fill="FFFFFF" w:themeFill="background1"/>
            <w:vAlign w:val="center"/>
          </w:tcPr>
          <w:p w:rsidR="00FD303F" w:rsidRPr="00FD303F" w:rsidRDefault="00FD303F" w:rsidP="00FD303F">
            <w:pPr>
              <w:spacing w:after="0" w:line="240" w:lineRule="auto"/>
              <w:rPr>
                <w:rFonts w:ascii="Times New Roman" w:eastAsia="Times New Roman" w:hAnsi="Times New Roman" w:cs="Times New Roman"/>
                <w:sz w:val="24"/>
                <w:szCs w:val="24"/>
                <w:lang w:eastAsia="hu-HU"/>
              </w:rPr>
            </w:pPr>
            <w:r w:rsidRPr="00027664">
              <w:rPr>
                <w:rFonts w:ascii="Times New Roman" w:eastAsia="Times New Roman" w:hAnsi="Times New Roman" w:cs="Times New Roman"/>
                <w:sz w:val="24"/>
                <w:szCs w:val="24"/>
                <w:lang w:eastAsia="hu-HU"/>
              </w:rPr>
              <w:t>HKHPKA501</w:t>
            </w:r>
          </w:p>
        </w:tc>
      </w:tr>
      <w:tr w:rsidR="00FD303F" w:rsidRPr="0010643F" w:rsidTr="00FD303F">
        <w:trPr>
          <w:trHeight w:val="338"/>
          <w:jc w:val="center"/>
        </w:trPr>
        <w:tc>
          <w:tcPr>
            <w:tcW w:w="5671" w:type="dxa"/>
            <w:shd w:val="clear" w:color="auto" w:fill="FFFFFF" w:themeFill="background1"/>
            <w:noWrap/>
            <w:vAlign w:val="bottom"/>
          </w:tcPr>
          <w:p w:rsidR="00FD303F" w:rsidRPr="00FD303F" w:rsidRDefault="00FD303F" w:rsidP="0056665F">
            <w:pPr>
              <w:pStyle w:val="Listaszerbekezds"/>
              <w:numPr>
                <w:ilvl w:val="0"/>
                <w:numId w:val="6"/>
              </w:numPr>
              <w:spacing w:after="0" w:line="240" w:lineRule="auto"/>
              <w:ind w:left="645" w:hanging="437"/>
              <w:rPr>
                <w:rFonts w:ascii="Times New Roman" w:eastAsia="Times New Roman" w:hAnsi="Times New Roman" w:cs="Times New Roman"/>
                <w:sz w:val="24"/>
                <w:szCs w:val="24"/>
                <w:lang w:eastAsia="hu-HU"/>
              </w:rPr>
            </w:pPr>
            <w:r w:rsidRPr="00FD303F">
              <w:rPr>
                <w:rFonts w:ascii="Times New Roman" w:eastAsia="Times New Roman" w:hAnsi="Times New Roman" w:cs="Times New Roman"/>
                <w:sz w:val="24"/>
                <w:szCs w:val="24"/>
                <w:lang w:eastAsia="hu-HU"/>
              </w:rPr>
              <w:t>Gazdálkodás és menedzsment</w:t>
            </w:r>
          </w:p>
        </w:tc>
        <w:tc>
          <w:tcPr>
            <w:tcW w:w="1984" w:type="dxa"/>
            <w:shd w:val="clear" w:color="auto" w:fill="FFFFFF" w:themeFill="background1"/>
            <w:vAlign w:val="center"/>
          </w:tcPr>
          <w:p w:rsidR="00FD303F" w:rsidRPr="00FD303F" w:rsidRDefault="00FD303F" w:rsidP="00FD303F">
            <w:pPr>
              <w:spacing w:after="0" w:line="240" w:lineRule="auto"/>
              <w:rPr>
                <w:rFonts w:ascii="Times New Roman" w:eastAsia="Times New Roman" w:hAnsi="Times New Roman" w:cs="Times New Roman"/>
                <w:sz w:val="24"/>
                <w:szCs w:val="24"/>
                <w:lang w:eastAsia="hu-HU"/>
              </w:rPr>
            </w:pPr>
            <w:r w:rsidRPr="00FD303F">
              <w:rPr>
                <w:rFonts w:ascii="Times New Roman" w:eastAsia="Times New Roman" w:hAnsi="Times New Roman" w:cs="Times New Roman"/>
                <w:sz w:val="24"/>
                <w:szCs w:val="24"/>
                <w:lang w:eastAsia="hu-HU"/>
              </w:rPr>
              <w:t>HKHPKA104</w:t>
            </w:r>
          </w:p>
        </w:tc>
      </w:tr>
      <w:tr w:rsidR="00FD303F" w:rsidRPr="0010643F" w:rsidTr="00FD303F">
        <w:trPr>
          <w:trHeight w:val="338"/>
          <w:jc w:val="center"/>
        </w:trPr>
        <w:tc>
          <w:tcPr>
            <w:tcW w:w="5671" w:type="dxa"/>
            <w:shd w:val="clear" w:color="auto" w:fill="FFFFFF" w:themeFill="background1"/>
            <w:noWrap/>
            <w:vAlign w:val="bottom"/>
          </w:tcPr>
          <w:p w:rsidR="00FD303F" w:rsidRPr="00FD303F" w:rsidRDefault="00FD303F" w:rsidP="0056665F">
            <w:pPr>
              <w:pStyle w:val="Listaszerbekezds"/>
              <w:numPr>
                <w:ilvl w:val="0"/>
                <w:numId w:val="6"/>
              </w:numPr>
              <w:spacing w:after="0" w:line="240" w:lineRule="auto"/>
              <w:ind w:left="645" w:hanging="437"/>
              <w:rPr>
                <w:rFonts w:ascii="Times New Roman" w:eastAsia="Times New Roman" w:hAnsi="Times New Roman" w:cs="Times New Roman"/>
                <w:sz w:val="24"/>
                <w:szCs w:val="24"/>
                <w:lang w:eastAsia="hu-HU"/>
              </w:rPr>
            </w:pPr>
            <w:r w:rsidRPr="00FD303F">
              <w:rPr>
                <w:rFonts w:ascii="Times New Roman" w:eastAsia="Times New Roman" w:hAnsi="Times New Roman" w:cs="Times New Roman"/>
                <w:sz w:val="24"/>
                <w:szCs w:val="24"/>
                <w:lang w:eastAsia="hu-HU"/>
              </w:rPr>
              <w:t>Államháztartási és katonai pénzügyi ismeretek I.</w:t>
            </w:r>
          </w:p>
        </w:tc>
        <w:tc>
          <w:tcPr>
            <w:tcW w:w="1984" w:type="dxa"/>
            <w:shd w:val="clear" w:color="auto" w:fill="FFFFFF" w:themeFill="background1"/>
            <w:vAlign w:val="center"/>
          </w:tcPr>
          <w:p w:rsidR="00FD303F" w:rsidRPr="00FD303F" w:rsidRDefault="00FD303F" w:rsidP="00FD303F">
            <w:pPr>
              <w:spacing w:after="0" w:line="240" w:lineRule="auto"/>
              <w:rPr>
                <w:rFonts w:ascii="Times New Roman" w:eastAsia="Times New Roman" w:hAnsi="Times New Roman" w:cs="Times New Roman"/>
                <w:sz w:val="24"/>
                <w:szCs w:val="24"/>
                <w:lang w:eastAsia="hu-HU"/>
              </w:rPr>
            </w:pPr>
            <w:r w:rsidRPr="00FD303F">
              <w:rPr>
                <w:rFonts w:ascii="Times New Roman" w:eastAsia="Times New Roman" w:hAnsi="Times New Roman" w:cs="Times New Roman"/>
                <w:sz w:val="24"/>
                <w:szCs w:val="24"/>
                <w:lang w:eastAsia="hu-HU"/>
              </w:rPr>
              <w:t>HKHPKA503</w:t>
            </w:r>
          </w:p>
        </w:tc>
      </w:tr>
      <w:tr w:rsidR="00FD303F" w:rsidRPr="0010643F" w:rsidTr="00FD303F">
        <w:trPr>
          <w:trHeight w:val="338"/>
          <w:jc w:val="center"/>
        </w:trPr>
        <w:tc>
          <w:tcPr>
            <w:tcW w:w="5671" w:type="dxa"/>
            <w:shd w:val="clear" w:color="auto" w:fill="FFFFFF" w:themeFill="background1"/>
            <w:noWrap/>
            <w:vAlign w:val="bottom"/>
          </w:tcPr>
          <w:p w:rsidR="00FD303F" w:rsidRPr="00FD303F" w:rsidRDefault="00FD303F" w:rsidP="0056665F">
            <w:pPr>
              <w:pStyle w:val="Listaszerbekezds"/>
              <w:numPr>
                <w:ilvl w:val="0"/>
                <w:numId w:val="6"/>
              </w:numPr>
              <w:spacing w:after="0" w:line="240" w:lineRule="auto"/>
              <w:ind w:left="645" w:hanging="437"/>
              <w:rPr>
                <w:rFonts w:ascii="Times New Roman" w:eastAsia="Times New Roman" w:hAnsi="Times New Roman" w:cs="Times New Roman"/>
                <w:sz w:val="24"/>
                <w:szCs w:val="24"/>
                <w:lang w:eastAsia="hu-HU"/>
              </w:rPr>
            </w:pPr>
            <w:r w:rsidRPr="00FD303F">
              <w:rPr>
                <w:rFonts w:ascii="Times New Roman" w:eastAsia="Times New Roman" w:hAnsi="Times New Roman" w:cs="Times New Roman"/>
                <w:sz w:val="24"/>
                <w:szCs w:val="24"/>
                <w:lang w:eastAsia="hu-HU"/>
              </w:rPr>
              <w:t>Katonai illetmények és járandóságok</w:t>
            </w:r>
          </w:p>
        </w:tc>
        <w:tc>
          <w:tcPr>
            <w:tcW w:w="1984" w:type="dxa"/>
            <w:shd w:val="clear" w:color="auto" w:fill="FFFFFF" w:themeFill="background1"/>
            <w:vAlign w:val="center"/>
          </w:tcPr>
          <w:p w:rsidR="00FD303F" w:rsidRPr="00FD303F" w:rsidRDefault="00FD303F" w:rsidP="00FD303F">
            <w:pPr>
              <w:spacing w:after="0" w:line="240" w:lineRule="auto"/>
              <w:rPr>
                <w:rFonts w:ascii="Times New Roman" w:eastAsia="Times New Roman" w:hAnsi="Times New Roman" w:cs="Times New Roman"/>
                <w:sz w:val="24"/>
                <w:szCs w:val="24"/>
                <w:lang w:eastAsia="hu-HU"/>
              </w:rPr>
            </w:pPr>
            <w:r w:rsidRPr="00FD303F">
              <w:rPr>
                <w:rFonts w:ascii="Times New Roman" w:eastAsia="Times New Roman" w:hAnsi="Times New Roman" w:cs="Times New Roman"/>
                <w:sz w:val="24"/>
                <w:szCs w:val="24"/>
                <w:lang w:eastAsia="hu-HU"/>
              </w:rPr>
              <w:t>HKHPKA510</w:t>
            </w:r>
          </w:p>
        </w:tc>
      </w:tr>
      <w:tr w:rsidR="00FD303F" w:rsidRPr="0010643F" w:rsidTr="00FD303F">
        <w:trPr>
          <w:trHeight w:val="338"/>
          <w:jc w:val="center"/>
        </w:trPr>
        <w:tc>
          <w:tcPr>
            <w:tcW w:w="5671" w:type="dxa"/>
            <w:shd w:val="clear" w:color="auto" w:fill="FFFFFF" w:themeFill="background1"/>
            <w:noWrap/>
            <w:vAlign w:val="bottom"/>
          </w:tcPr>
          <w:p w:rsidR="00FD303F" w:rsidRPr="00FD303F" w:rsidRDefault="00FD303F" w:rsidP="0056665F">
            <w:pPr>
              <w:pStyle w:val="Listaszerbekezds"/>
              <w:numPr>
                <w:ilvl w:val="0"/>
                <w:numId w:val="6"/>
              </w:numPr>
              <w:spacing w:after="0" w:line="240" w:lineRule="auto"/>
              <w:ind w:left="645" w:hanging="437"/>
              <w:rPr>
                <w:rFonts w:ascii="Times New Roman" w:eastAsia="Times New Roman" w:hAnsi="Times New Roman" w:cs="Times New Roman"/>
                <w:sz w:val="24"/>
                <w:szCs w:val="24"/>
                <w:lang w:eastAsia="hu-HU"/>
              </w:rPr>
            </w:pPr>
            <w:r w:rsidRPr="00FD303F">
              <w:rPr>
                <w:rFonts w:ascii="Times New Roman" w:eastAsia="Times New Roman" w:hAnsi="Times New Roman" w:cs="Times New Roman"/>
                <w:sz w:val="24"/>
                <w:szCs w:val="24"/>
                <w:lang w:eastAsia="hu-HU"/>
              </w:rPr>
              <w:t>Katonai pénzügyi ellátás I.</w:t>
            </w:r>
          </w:p>
        </w:tc>
        <w:tc>
          <w:tcPr>
            <w:tcW w:w="1984" w:type="dxa"/>
            <w:shd w:val="clear" w:color="auto" w:fill="FFFFFF" w:themeFill="background1"/>
            <w:vAlign w:val="center"/>
          </w:tcPr>
          <w:p w:rsidR="00FD303F" w:rsidRPr="00FD303F" w:rsidRDefault="00FD303F" w:rsidP="00FD303F">
            <w:pPr>
              <w:spacing w:after="0" w:line="240" w:lineRule="auto"/>
              <w:rPr>
                <w:rFonts w:ascii="Times New Roman" w:eastAsia="Times New Roman" w:hAnsi="Times New Roman" w:cs="Times New Roman"/>
                <w:sz w:val="24"/>
                <w:szCs w:val="24"/>
                <w:lang w:eastAsia="hu-HU"/>
              </w:rPr>
            </w:pPr>
            <w:r w:rsidRPr="00FD303F">
              <w:rPr>
                <w:rFonts w:ascii="Times New Roman" w:eastAsia="Times New Roman" w:hAnsi="Times New Roman" w:cs="Times New Roman"/>
                <w:sz w:val="24"/>
                <w:szCs w:val="24"/>
                <w:lang w:eastAsia="hu-HU"/>
              </w:rPr>
              <w:t>HKHPKA505</w:t>
            </w:r>
          </w:p>
        </w:tc>
      </w:tr>
      <w:tr w:rsidR="00FD303F" w:rsidRPr="0010643F" w:rsidTr="00FD303F">
        <w:trPr>
          <w:trHeight w:val="338"/>
          <w:jc w:val="center"/>
        </w:trPr>
        <w:tc>
          <w:tcPr>
            <w:tcW w:w="5671" w:type="dxa"/>
            <w:shd w:val="clear" w:color="auto" w:fill="FFFFFF" w:themeFill="background1"/>
            <w:noWrap/>
            <w:vAlign w:val="bottom"/>
          </w:tcPr>
          <w:p w:rsidR="00FD303F" w:rsidRPr="00FD303F" w:rsidRDefault="00FD303F" w:rsidP="0056665F">
            <w:pPr>
              <w:pStyle w:val="Listaszerbekezds"/>
              <w:numPr>
                <w:ilvl w:val="0"/>
                <w:numId w:val="6"/>
              </w:numPr>
              <w:spacing w:after="0" w:line="240" w:lineRule="auto"/>
              <w:ind w:left="645" w:hanging="437"/>
              <w:rPr>
                <w:rFonts w:ascii="Times New Roman" w:eastAsia="Times New Roman" w:hAnsi="Times New Roman" w:cs="Times New Roman"/>
                <w:sz w:val="24"/>
                <w:szCs w:val="24"/>
                <w:lang w:eastAsia="hu-HU"/>
              </w:rPr>
            </w:pPr>
            <w:r w:rsidRPr="00FD303F">
              <w:rPr>
                <w:rFonts w:ascii="Times New Roman" w:eastAsia="Times New Roman" w:hAnsi="Times New Roman" w:cs="Times New Roman"/>
                <w:sz w:val="24"/>
                <w:szCs w:val="24"/>
                <w:lang w:eastAsia="hu-HU"/>
              </w:rPr>
              <w:t>Adózás</w:t>
            </w:r>
          </w:p>
        </w:tc>
        <w:tc>
          <w:tcPr>
            <w:tcW w:w="1984" w:type="dxa"/>
            <w:shd w:val="clear" w:color="auto" w:fill="FFFFFF" w:themeFill="background1"/>
            <w:vAlign w:val="center"/>
          </w:tcPr>
          <w:p w:rsidR="00FD303F" w:rsidRPr="00FD303F" w:rsidRDefault="00FD303F" w:rsidP="00FD303F">
            <w:pPr>
              <w:spacing w:after="0" w:line="240" w:lineRule="auto"/>
              <w:rPr>
                <w:rFonts w:ascii="Times New Roman" w:eastAsia="Times New Roman" w:hAnsi="Times New Roman" w:cs="Times New Roman"/>
                <w:sz w:val="24"/>
                <w:szCs w:val="24"/>
                <w:lang w:eastAsia="hu-HU"/>
              </w:rPr>
            </w:pPr>
            <w:r w:rsidRPr="00FD303F">
              <w:rPr>
                <w:rFonts w:ascii="Times New Roman" w:eastAsia="Times New Roman" w:hAnsi="Times New Roman" w:cs="Times New Roman"/>
                <w:sz w:val="24"/>
                <w:szCs w:val="24"/>
                <w:lang w:eastAsia="hu-HU"/>
              </w:rPr>
              <w:t>HKHPKA512</w:t>
            </w:r>
          </w:p>
        </w:tc>
      </w:tr>
      <w:tr w:rsidR="00FD303F" w:rsidRPr="0010643F" w:rsidTr="00FD303F">
        <w:trPr>
          <w:trHeight w:val="338"/>
          <w:jc w:val="center"/>
        </w:trPr>
        <w:tc>
          <w:tcPr>
            <w:tcW w:w="5671" w:type="dxa"/>
            <w:shd w:val="clear" w:color="auto" w:fill="FFFFFF" w:themeFill="background1"/>
            <w:noWrap/>
            <w:vAlign w:val="bottom"/>
          </w:tcPr>
          <w:p w:rsidR="00FD303F" w:rsidRPr="00FD303F" w:rsidRDefault="00FD303F" w:rsidP="0056665F">
            <w:pPr>
              <w:pStyle w:val="Listaszerbekezds"/>
              <w:numPr>
                <w:ilvl w:val="0"/>
                <w:numId w:val="6"/>
              </w:numPr>
              <w:spacing w:after="0" w:line="240" w:lineRule="auto"/>
              <w:ind w:left="645" w:hanging="437"/>
              <w:rPr>
                <w:rFonts w:ascii="Times New Roman" w:eastAsia="Times New Roman" w:hAnsi="Times New Roman" w:cs="Times New Roman"/>
                <w:sz w:val="24"/>
                <w:szCs w:val="24"/>
                <w:lang w:eastAsia="hu-HU"/>
              </w:rPr>
            </w:pPr>
            <w:r w:rsidRPr="00FD303F">
              <w:rPr>
                <w:rFonts w:ascii="Times New Roman" w:eastAsia="Times New Roman" w:hAnsi="Times New Roman" w:cs="Times New Roman"/>
                <w:sz w:val="24"/>
                <w:szCs w:val="24"/>
                <w:lang w:eastAsia="hu-HU"/>
              </w:rPr>
              <w:t>Pénzügyi gazdasági elemzés</w:t>
            </w:r>
          </w:p>
        </w:tc>
        <w:tc>
          <w:tcPr>
            <w:tcW w:w="1984" w:type="dxa"/>
            <w:shd w:val="clear" w:color="auto" w:fill="FFFFFF" w:themeFill="background1"/>
            <w:vAlign w:val="center"/>
          </w:tcPr>
          <w:p w:rsidR="00FD303F" w:rsidRPr="00FD303F" w:rsidRDefault="00FD303F" w:rsidP="00FD303F">
            <w:pPr>
              <w:spacing w:after="0" w:line="240" w:lineRule="auto"/>
              <w:rPr>
                <w:rFonts w:ascii="Times New Roman" w:eastAsia="Times New Roman" w:hAnsi="Times New Roman" w:cs="Times New Roman"/>
                <w:sz w:val="24"/>
                <w:szCs w:val="24"/>
                <w:lang w:eastAsia="hu-HU"/>
              </w:rPr>
            </w:pPr>
            <w:r w:rsidRPr="00FD303F">
              <w:rPr>
                <w:rFonts w:ascii="Times New Roman" w:eastAsia="Times New Roman" w:hAnsi="Times New Roman" w:cs="Times New Roman"/>
                <w:sz w:val="24"/>
                <w:szCs w:val="24"/>
                <w:lang w:eastAsia="hu-HU"/>
              </w:rPr>
              <w:t>HKHPKA502</w:t>
            </w:r>
          </w:p>
        </w:tc>
      </w:tr>
      <w:tr w:rsidR="00FD303F" w:rsidRPr="0010643F" w:rsidTr="00FD303F">
        <w:trPr>
          <w:trHeight w:val="338"/>
          <w:jc w:val="center"/>
        </w:trPr>
        <w:tc>
          <w:tcPr>
            <w:tcW w:w="5671" w:type="dxa"/>
            <w:shd w:val="clear" w:color="auto" w:fill="FFFFFF" w:themeFill="background1"/>
            <w:noWrap/>
            <w:vAlign w:val="bottom"/>
          </w:tcPr>
          <w:p w:rsidR="00FD303F" w:rsidRPr="00FD303F" w:rsidRDefault="00FD303F" w:rsidP="0056665F">
            <w:pPr>
              <w:pStyle w:val="Listaszerbekezds"/>
              <w:numPr>
                <w:ilvl w:val="0"/>
                <w:numId w:val="6"/>
              </w:numPr>
              <w:spacing w:after="0" w:line="240" w:lineRule="auto"/>
              <w:ind w:left="645" w:hanging="437"/>
              <w:rPr>
                <w:rFonts w:ascii="Times New Roman" w:eastAsia="Times New Roman" w:hAnsi="Times New Roman" w:cs="Times New Roman"/>
                <w:sz w:val="24"/>
                <w:szCs w:val="24"/>
                <w:lang w:eastAsia="hu-HU"/>
              </w:rPr>
            </w:pPr>
            <w:r w:rsidRPr="00FD303F">
              <w:rPr>
                <w:rFonts w:ascii="Times New Roman" w:eastAsia="Times New Roman" w:hAnsi="Times New Roman" w:cs="Times New Roman"/>
                <w:sz w:val="24"/>
                <w:szCs w:val="24"/>
                <w:lang w:eastAsia="hu-HU"/>
              </w:rPr>
              <w:t>Katonai ellátás- és szolgáltatásmenedzsment</w:t>
            </w:r>
          </w:p>
        </w:tc>
        <w:tc>
          <w:tcPr>
            <w:tcW w:w="1984" w:type="dxa"/>
            <w:shd w:val="clear" w:color="auto" w:fill="FFFFFF" w:themeFill="background1"/>
            <w:vAlign w:val="center"/>
          </w:tcPr>
          <w:p w:rsidR="00FD303F" w:rsidRPr="00FD303F" w:rsidRDefault="00FD303F" w:rsidP="00FD303F">
            <w:pPr>
              <w:spacing w:after="0" w:line="240" w:lineRule="auto"/>
              <w:rPr>
                <w:rFonts w:ascii="Times New Roman" w:eastAsia="Times New Roman" w:hAnsi="Times New Roman" w:cs="Times New Roman"/>
                <w:sz w:val="24"/>
                <w:szCs w:val="24"/>
                <w:lang w:eastAsia="hu-HU"/>
              </w:rPr>
            </w:pPr>
            <w:r w:rsidRPr="00FD303F">
              <w:rPr>
                <w:rFonts w:ascii="Times New Roman" w:eastAsia="Times New Roman" w:hAnsi="Times New Roman" w:cs="Times New Roman"/>
                <w:sz w:val="24"/>
                <w:szCs w:val="24"/>
                <w:lang w:eastAsia="hu-HU"/>
              </w:rPr>
              <w:t>HKHPKA106</w:t>
            </w:r>
          </w:p>
        </w:tc>
      </w:tr>
      <w:tr w:rsidR="00FD303F" w:rsidRPr="0010643F" w:rsidTr="00FD303F">
        <w:trPr>
          <w:trHeight w:val="338"/>
          <w:jc w:val="center"/>
        </w:trPr>
        <w:tc>
          <w:tcPr>
            <w:tcW w:w="5671" w:type="dxa"/>
            <w:shd w:val="clear" w:color="auto" w:fill="FFFFFF" w:themeFill="background1"/>
            <w:noWrap/>
            <w:vAlign w:val="bottom"/>
          </w:tcPr>
          <w:p w:rsidR="00FD303F" w:rsidRPr="00027664" w:rsidRDefault="00FD303F" w:rsidP="0056665F">
            <w:pPr>
              <w:pStyle w:val="Listaszerbekezds"/>
              <w:numPr>
                <w:ilvl w:val="0"/>
                <w:numId w:val="6"/>
              </w:numPr>
              <w:spacing w:after="0" w:line="240" w:lineRule="auto"/>
              <w:ind w:left="645" w:hanging="437"/>
              <w:rPr>
                <w:rFonts w:ascii="Times New Roman" w:eastAsia="Times New Roman" w:hAnsi="Times New Roman" w:cs="Times New Roman"/>
                <w:sz w:val="24"/>
                <w:szCs w:val="24"/>
                <w:lang w:eastAsia="hu-HU"/>
              </w:rPr>
            </w:pPr>
            <w:r w:rsidRPr="00027664">
              <w:rPr>
                <w:rFonts w:ascii="Times New Roman" w:eastAsia="Times New Roman" w:hAnsi="Times New Roman" w:cs="Times New Roman"/>
                <w:sz w:val="24"/>
                <w:szCs w:val="24"/>
                <w:lang w:eastAsia="hu-HU"/>
              </w:rPr>
              <w:t>Számvitel II. (Költségvetési számvitel I.)</w:t>
            </w:r>
          </w:p>
        </w:tc>
        <w:tc>
          <w:tcPr>
            <w:tcW w:w="1984" w:type="dxa"/>
            <w:shd w:val="clear" w:color="auto" w:fill="FFFFFF" w:themeFill="background1"/>
            <w:vAlign w:val="center"/>
          </w:tcPr>
          <w:p w:rsidR="00FD303F" w:rsidRPr="00FD303F" w:rsidRDefault="00FD303F" w:rsidP="00FD303F">
            <w:pPr>
              <w:spacing w:after="0" w:line="240" w:lineRule="auto"/>
              <w:rPr>
                <w:rFonts w:ascii="Times New Roman" w:eastAsia="Times New Roman" w:hAnsi="Times New Roman" w:cs="Times New Roman"/>
                <w:sz w:val="24"/>
                <w:szCs w:val="24"/>
                <w:lang w:eastAsia="hu-HU"/>
              </w:rPr>
            </w:pPr>
            <w:r w:rsidRPr="00027664">
              <w:rPr>
                <w:rFonts w:ascii="Times New Roman" w:eastAsia="Times New Roman" w:hAnsi="Times New Roman" w:cs="Times New Roman"/>
                <w:sz w:val="24"/>
                <w:szCs w:val="24"/>
                <w:lang w:eastAsia="hu-HU"/>
              </w:rPr>
              <w:t>HKHPKA508</w:t>
            </w:r>
          </w:p>
        </w:tc>
      </w:tr>
      <w:tr w:rsidR="00FD303F" w:rsidRPr="0010643F" w:rsidTr="00FD303F">
        <w:trPr>
          <w:trHeight w:val="338"/>
          <w:jc w:val="center"/>
        </w:trPr>
        <w:tc>
          <w:tcPr>
            <w:tcW w:w="5671" w:type="dxa"/>
            <w:shd w:val="clear" w:color="auto" w:fill="FFFFFF" w:themeFill="background1"/>
            <w:noWrap/>
            <w:vAlign w:val="bottom"/>
          </w:tcPr>
          <w:p w:rsidR="00FD303F" w:rsidRPr="00FD303F" w:rsidRDefault="00FD303F" w:rsidP="0056665F">
            <w:pPr>
              <w:pStyle w:val="Listaszerbekezds"/>
              <w:numPr>
                <w:ilvl w:val="0"/>
                <w:numId w:val="6"/>
              </w:numPr>
              <w:spacing w:after="0" w:line="240" w:lineRule="auto"/>
              <w:ind w:left="645" w:hanging="437"/>
              <w:rPr>
                <w:rFonts w:ascii="Times New Roman" w:eastAsia="Times New Roman" w:hAnsi="Times New Roman" w:cs="Times New Roman"/>
                <w:sz w:val="24"/>
                <w:szCs w:val="24"/>
                <w:lang w:eastAsia="hu-HU"/>
              </w:rPr>
            </w:pPr>
            <w:r w:rsidRPr="00FD303F">
              <w:rPr>
                <w:rFonts w:ascii="Times New Roman" w:eastAsia="Times New Roman" w:hAnsi="Times New Roman" w:cs="Times New Roman"/>
                <w:sz w:val="24"/>
                <w:szCs w:val="24"/>
                <w:lang w:eastAsia="hu-HU"/>
              </w:rPr>
              <w:t>Pénzügyi-gazdasági ellenőrzés alapjai</w:t>
            </w:r>
          </w:p>
        </w:tc>
        <w:tc>
          <w:tcPr>
            <w:tcW w:w="1984" w:type="dxa"/>
            <w:shd w:val="clear" w:color="auto" w:fill="FFFFFF" w:themeFill="background1"/>
            <w:vAlign w:val="center"/>
          </w:tcPr>
          <w:p w:rsidR="00FD303F" w:rsidRPr="00FD303F" w:rsidRDefault="00FD303F" w:rsidP="00FD303F">
            <w:pPr>
              <w:spacing w:after="0" w:line="240" w:lineRule="auto"/>
              <w:rPr>
                <w:rFonts w:ascii="Times New Roman" w:eastAsia="Times New Roman" w:hAnsi="Times New Roman" w:cs="Times New Roman"/>
                <w:sz w:val="24"/>
                <w:szCs w:val="24"/>
                <w:lang w:eastAsia="hu-HU"/>
              </w:rPr>
            </w:pPr>
            <w:r w:rsidRPr="00FD303F">
              <w:rPr>
                <w:rFonts w:ascii="Times New Roman" w:eastAsia="Times New Roman" w:hAnsi="Times New Roman" w:cs="Times New Roman"/>
                <w:sz w:val="24"/>
                <w:szCs w:val="24"/>
                <w:lang w:eastAsia="hu-HU"/>
              </w:rPr>
              <w:t>HKHPKA511</w:t>
            </w:r>
          </w:p>
        </w:tc>
      </w:tr>
      <w:tr w:rsidR="00FD303F" w:rsidRPr="0010643F" w:rsidTr="00FD303F">
        <w:trPr>
          <w:trHeight w:val="338"/>
          <w:jc w:val="center"/>
        </w:trPr>
        <w:tc>
          <w:tcPr>
            <w:tcW w:w="5671" w:type="dxa"/>
            <w:shd w:val="clear" w:color="auto" w:fill="FFFFFF" w:themeFill="background1"/>
            <w:noWrap/>
            <w:vAlign w:val="bottom"/>
          </w:tcPr>
          <w:p w:rsidR="00FD303F" w:rsidRPr="00FD303F" w:rsidRDefault="00FD303F" w:rsidP="0056665F">
            <w:pPr>
              <w:pStyle w:val="Listaszerbekezds"/>
              <w:numPr>
                <w:ilvl w:val="0"/>
                <w:numId w:val="6"/>
              </w:numPr>
              <w:spacing w:after="0" w:line="240" w:lineRule="auto"/>
              <w:ind w:left="645" w:hanging="437"/>
              <w:rPr>
                <w:rFonts w:ascii="Times New Roman" w:eastAsia="Times New Roman" w:hAnsi="Times New Roman" w:cs="Times New Roman"/>
                <w:sz w:val="24"/>
                <w:szCs w:val="24"/>
                <w:lang w:eastAsia="hu-HU"/>
              </w:rPr>
            </w:pPr>
            <w:r w:rsidRPr="00FD303F">
              <w:rPr>
                <w:rFonts w:ascii="Times New Roman" w:eastAsia="Times New Roman" w:hAnsi="Times New Roman" w:cs="Times New Roman"/>
                <w:sz w:val="24"/>
                <w:szCs w:val="24"/>
                <w:lang w:eastAsia="hu-HU"/>
              </w:rPr>
              <w:t>Társadalombiztosítás</w:t>
            </w:r>
          </w:p>
        </w:tc>
        <w:tc>
          <w:tcPr>
            <w:tcW w:w="1984" w:type="dxa"/>
            <w:shd w:val="clear" w:color="auto" w:fill="FFFFFF" w:themeFill="background1"/>
            <w:vAlign w:val="center"/>
          </w:tcPr>
          <w:p w:rsidR="00FD303F" w:rsidRPr="00FD303F" w:rsidRDefault="00FD303F" w:rsidP="00FD303F">
            <w:pPr>
              <w:spacing w:after="0" w:line="240" w:lineRule="auto"/>
              <w:rPr>
                <w:rFonts w:ascii="Times New Roman" w:eastAsia="Times New Roman" w:hAnsi="Times New Roman" w:cs="Times New Roman"/>
                <w:sz w:val="24"/>
                <w:szCs w:val="24"/>
                <w:lang w:eastAsia="hu-HU"/>
              </w:rPr>
            </w:pPr>
            <w:r w:rsidRPr="00FD303F">
              <w:rPr>
                <w:rFonts w:ascii="Times New Roman" w:eastAsia="Times New Roman" w:hAnsi="Times New Roman" w:cs="Times New Roman"/>
                <w:sz w:val="24"/>
                <w:szCs w:val="24"/>
                <w:lang w:eastAsia="hu-HU"/>
              </w:rPr>
              <w:t>HKHPKA513</w:t>
            </w:r>
          </w:p>
        </w:tc>
      </w:tr>
      <w:tr w:rsidR="00FD303F" w:rsidRPr="0010643F" w:rsidTr="00FD303F">
        <w:trPr>
          <w:trHeight w:val="338"/>
          <w:jc w:val="center"/>
        </w:trPr>
        <w:tc>
          <w:tcPr>
            <w:tcW w:w="5671" w:type="dxa"/>
            <w:shd w:val="clear" w:color="auto" w:fill="FFFFFF" w:themeFill="background1"/>
            <w:noWrap/>
            <w:vAlign w:val="bottom"/>
          </w:tcPr>
          <w:p w:rsidR="00FD303F" w:rsidRPr="00FD303F" w:rsidRDefault="00FD303F" w:rsidP="0056665F">
            <w:pPr>
              <w:pStyle w:val="Listaszerbekezds"/>
              <w:numPr>
                <w:ilvl w:val="0"/>
                <w:numId w:val="6"/>
              </w:numPr>
              <w:spacing w:after="0" w:line="240" w:lineRule="auto"/>
              <w:ind w:left="645" w:hanging="437"/>
              <w:rPr>
                <w:rFonts w:ascii="Times New Roman" w:eastAsia="Times New Roman" w:hAnsi="Times New Roman" w:cs="Times New Roman"/>
                <w:sz w:val="24"/>
                <w:szCs w:val="24"/>
                <w:lang w:eastAsia="hu-HU"/>
              </w:rPr>
            </w:pPr>
            <w:r w:rsidRPr="00FD303F">
              <w:rPr>
                <w:rFonts w:ascii="Times New Roman" w:eastAsia="Times New Roman" w:hAnsi="Times New Roman" w:cs="Times New Roman"/>
                <w:sz w:val="24"/>
                <w:szCs w:val="24"/>
                <w:lang w:eastAsia="hu-HU"/>
              </w:rPr>
              <w:t>Államháztartási és katonai pénzügyi ismeretek II.</w:t>
            </w:r>
          </w:p>
        </w:tc>
        <w:tc>
          <w:tcPr>
            <w:tcW w:w="1984" w:type="dxa"/>
            <w:shd w:val="clear" w:color="auto" w:fill="FFFFFF" w:themeFill="background1"/>
            <w:vAlign w:val="center"/>
          </w:tcPr>
          <w:p w:rsidR="00FD303F" w:rsidRPr="00FD303F" w:rsidRDefault="00FD303F" w:rsidP="00FD303F">
            <w:pPr>
              <w:spacing w:after="0" w:line="240" w:lineRule="auto"/>
              <w:rPr>
                <w:rFonts w:ascii="Times New Roman" w:eastAsia="Times New Roman" w:hAnsi="Times New Roman" w:cs="Times New Roman"/>
                <w:sz w:val="24"/>
                <w:szCs w:val="24"/>
                <w:lang w:eastAsia="hu-HU"/>
              </w:rPr>
            </w:pPr>
            <w:r w:rsidRPr="00FD303F">
              <w:rPr>
                <w:rFonts w:ascii="Times New Roman" w:eastAsia="Times New Roman" w:hAnsi="Times New Roman" w:cs="Times New Roman"/>
                <w:sz w:val="24"/>
                <w:szCs w:val="24"/>
                <w:lang w:eastAsia="hu-HU"/>
              </w:rPr>
              <w:t>HKHPKA504</w:t>
            </w:r>
          </w:p>
        </w:tc>
      </w:tr>
      <w:tr w:rsidR="00FD303F" w:rsidRPr="0010643F" w:rsidTr="00FD303F">
        <w:trPr>
          <w:trHeight w:val="338"/>
          <w:jc w:val="center"/>
        </w:trPr>
        <w:tc>
          <w:tcPr>
            <w:tcW w:w="5671" w:type="dxa"/>
            <w:shd w:val="clear" w:color="auto" w:fill="FFFFFF" w:themeFill="background1"/>
            <w:noWrap/>
            <w:vAlign w:val="bottom"/>
          </w:tcPr>
          <w:p w:rsidR="00FD303F" w:rsidRPr="00FD303F" w:rsidRDefault="00FD303F" w:rsidP="0056665F">
            <w:pPr>
              <w:pStyle w:val="Listaszerbekezds"/>
              <w:numPr>
                <w:ilvl w:val="0"/>
                <w:numId w:val="6"/>
              </w:numPr>
              <w:spacing w:after="0" w:line="240" w:lineRule="auto"/>
              <w:ind w:left="645" w:hanging="437"/>
              <w:rPr>
                <w:rFonts w:ascii="Times New Roman" w:eastAsia="Times New Roman" w:hAnsi="Times New Roman" w:cs="Times New Roman"/>
                <w:sz w:val="24"/>
                <w:szCs w:val="24"/>
                <w:lang w:eastAsia="hu-HU"/>
              </w:rPr>
            </w:pPr>
            <w:r w:rsidRPr="00FD303F">
              <w:rPr>
                <w:rFonts w:ascii="Times New Roman" w:eastAsia="Times New Roman" w:hAnsi="Times New Roman" w:cs="Times New Roman"/>
                <w:sz w:val="24"/>
                <w:szCs w:val="24"/>
                <w:lang w:eastAsia="hu-HU"/>
              </w:rPr>
              <w:t>Katonai pénzügyi ellátás II.</w:t>
            </w:r>
          </w:p>
        </w:tc>
        <w:tc>
          <w:tcPr>
            <w:tcW w:w="1984" w:type="dxa"/>
            <w:shd w:val="clear" w:color="auto" w:fill="FFFFFF" w:themeFill="background1"/>
            <w:vAlign w:val="center"/>
          </w:tcPr>
          <w:p w:rsidR="00FD303F" w:rsidRPr="00FD303F" w:rsidRDefault="00FD303F" w:rsidP="00FD303F">
            <w:pPr>
              <w:spacing w:after="0" w:line="240" w:lineRule="auto"/>
              <w:rPr>
                <w:rFonts w:ascii="Times New Roman" w:eastAsia="Times New Roman" w:hAnsi="Times New Roman" w:cs="Times New Roman"/>
                <w:sz w:val="24"/>
                <w:szCs w:val="24"/>
                <w:lang w:eastAsia="hu-HU"/>
              </w:rPr>
            </w:pPr>
            <w:r w:rsidRPr="00FD303F">
              <w:rPr>
                <w:rFonts w:ascii="Times New Roman" w:eastAsia="Times New Roman" w:hAnsi="Times New Roman" w:cs="Times New Roman"/>
                <w:sz w:val="24"/>
                <w:szCs w:val="24"/>
                <w:lang w:eastAsia="hu-HU"/>
              </w:rPr>
              <w:t>HKHPKA506</w:t>
            </w:r>
          </w:p>
        </w:tc>
      </w:tr>
      <w:tr w:rsidR="00FD303F" w:rsidRPr="0010643F" w:rsidTr="00FD303F">
        <w:trPr>
          <w:trHeight w:val="338"/>
          <w:jc w:val="center"/>
        </w:trPr>
        <w:tc>
          <w:tcPr>
            <w:tcW w:w="5671" w:type="dxa"/>
            <w:shd w:val="clear" w:color="auto" w:fill="FFFFFF" w:themeFill="background1"/>
            <w:noWrap/>
            <w:vAlign w:val="bottom"/>
          </w:tcPr>
          <w:p w:rsidR="00FD303F" w:rsidRPr="00027664" w:rsidRDefault="00FD303F" w:rsidP="0056665F">
            <w:pPr>
              <w:pStyle w:val="Listaszerbekezds"/>
              <w:numPr>
                <w:ilvl w:val="0"/>
                <w:numId w:val="6"/>
              </w:numPr>
              <w:spacing w:after="0" w:line="240" w:lineRule="auto"/>
              <w:ind w:left="645" w:hanging="437"/>
              <w:rPr>
                <w:rFonts w:ascii="Times New Roman" w:eastAsia="Times New Roman" w:hAnsi="Times New Roman" w:cs="Times New Roman"/>
                <w:sz w:val="24"/>
                <w:szCs w:val="24"/>
                <w:lang w:eastAsia="hu-HU"/>
              </w:rPr>
            </w:pPr>
            <w:r w:rsidRPr="00027664">
              <w:rPr>
                <w:rFonts w:ascii="Times New Roman" w:eastAsia="Times New Roman" w:hAnsi="Times New Roman" w:cs="Times New Roman"/>
                <w:sz w:val="24"/>
                <w:szCs w:val="24"/>
                <w:lang w:eastAsia="hu-HU"/>
              </w:rPr>
              <w:t>Számvitel III. (Költségvetési számvitel II.)</w:t>
            </w:r>
          </w:p>
        </w:tc>
        <w:tc>
          <w:tcPr>
            <w:tcW w:w="1984" w:type="dxa"/>
            <w:shd w:val="clear" w:color="auto" w:fill="FFFFFF" w:themeFill="background1"/>
            <w:vAlign w:val="center"/>
          </w:tcPr>
          <w:p w:rsidR="00FD303F" w:rsidRPr="00FD303F" w:rsidRDefault="00FD303F" w:rsidP="00FD303F">
            <w:pPr>
              <w:spacing w:after="0" w:line="240" w:lineRule="auto"/>
              <w:rPr>
                <w:rFonts w:ascii="Times New Roman" w:eastAsia="Times New Roman" w:hAnsi="Times New Roman" w:cs="Times New Roman"/>
                <w:sz w:val="24"/>
                <w:szCs w:val="24"/>
                <w:lang w:eastAsia="hu-HU"/>
              </w:rPr>
            </w:pPr>
            <w:r w:rsidRPr="00027664">
              <w:rPr>
                <w:rFonts w:ascii="Times New Roman" w:eastAsia="Times New Roman" w:hAnsi="Times New Roman" w:cs="Times New Roman"/>
                <w:sz w:val="24"/>
                <w:szCs w:val="24"/>
                <w:lang w:eastAsia="hu-HU"/>
              </w:rPr>
              <w:t>HKHPKA509</w:t>
            </w:r>
          </w:p>
        </w:tc>
      </w:tr>
      <w:tr w:rsidR="00FD303F" w:rsidRPr="0010643F" w:rsidTr="00FD303F">
        <w:trPr>
          <w:trHeight w:val="338"/>
          <w:jc w:val="center"/>
        </w:trPr>
        <w:tc>
          <w:tcPr>
            <w:tcW w:w="5671" w:type="dxa"/>
            <w:shd w:val="clear" w:color="auto" w:fill="FFFFFF" w:themeFill="background1"/>
            <w:noWrap/>
            <w:vAlign w:val="bottom"/>
          </w:tcPr>
          <w:p w:rsidR="00FD303F" w:rsidRPr="00FD303F" w:rsidRDefault="00FD303F" w:rsidP="0056665F">
            <w:pPr>
              <w:pStyle w:val="Listaszerbekezds"/>
              <w:numPr>
                <w:ilvl w:val="0"/>
                <w:numId w:val="6"/>
              </w:numPr>
              <w:spacing w:after="0" w:line="240" w:lineRule="auto"/>
              <w:ind w:left="645" w:hanging="437"/>
              <w:rPr>
                <w:rFonts w:ascii="Times New Roman" w:eastAsia="Times New Roman" w:hAnsi="Times New Roman" w:cs="Times New Roman"/>
                <w:sz w:val="24"/>
                <w:szCs w:val="24"/>
                <w:lang w:eastAsia="hu-HU"/>
              </w:rPr>
            </w:pPr>
            <w:r w:rsidRPr="00FD303F">
              <w:rPr>
                <w:rFonts w:ascii="Times New Roman" w:eastAsia="Times New Roman" w:hAnsi="Times New Roman" w:cs="Times New Roman"/>
                <w:sz w:val="24"/>
                <w:szCs w:val="24"/>
                <w:lang w:eastAsia="hu-HU"/>
              </w:rPr>
              <w:lastRenderedPageBreak/>
              <w:t>Költségvetési elemzés-ellenőrzés</w:t>
            </w:r>
          </w:p>
        </w:tc>
        <w:tc>
          <w:tcPr>
            <w:tcW w:w="1984" w:type="dxa"/>
            <w:shd w:val="clear" w:color="auto" w:fill="FFFFFF" w:themeFill="background1"/>
            <w:vAlign w:val="center"/>
          </w:tcPr>
          <w:p w:rsidR="00FD303F" w:rsidRPr="00FD303F" w:rsidRDefault="00FD303F" w:rsidP="00FD303F">
            <w:pPr>
              <w:spacing w:after="0" w:line="240" w:lineRule="auto"/>
              <w:rPr>
                <w:rFonts w:ascii="Times New Roman" w:eastAsia="Times New Roman" w:hAnsi="Times New Roman" w:cs="Times New Roman"/>
                <w:sz w:val="24"/>
                <w:szCs w:val="24"/>
                <w:lang w:eastAsia="hu-HU"/>
              </w:rPr>
            </w:pPr>
            <w:r w:rsidRPr="00FD303F">
              <w:rPr>
                <w:rFonts w:ascii="Times New Roman" w:eastAsia="Times New Roman" w:hAnsi="Times New Roman" w:cs="Times New Roman"/>
                <w:sz w:val="24"/>
                <w:szCs w:val="24"/>
                <w:lang w:eastAsia="hu-HU"/>
              </w:rPr>
              <w:t>HKHPKA514</w:t>
            </w:r>
          </w:p>
        </w:tc>
      </w:tr>
      <w:tr w:rsidR="00FD303F" w:rsidRPr="0010643F" w:rsidTr="00FD303F">
        <w:trPr>
          <w:trHeight w:val="338"/>
          <w:jc w:val="center"/>
        </w:trPr>
        <w:tc>
          <w:tcPr>
            <w:tcW w:w="5671" w:type="dxa"/>
            <w:shd w:val="clear" w:color="auto" w:fill="FFFFFF" w:themeFill="background1"/>
            <w:noWrap/>
            <w:vAlign w:val="bottom"/>
          </w:tcPr>
          <w:p w:rsidR="00FD303F" w:rsidRPr="00FD303F" w:rsidRDefault="00FD303F" w:rsidP="0056665F">
            <w:pPr>
              <w:pStyle w:val="Listaszerbekezds"/>
              <w:numPr>
                <w:ilvl w:val="0"/>
                <w:numId w:val="6"/>
              </w:numPr>
              <w:spacing w:after="0" w:line="240" w:lineRule="auto"/>
              <w:ind w:left="645" w:hanging="437"/>
              <w:rPr>
                <w:rFonts w:ascii="Times New Roman" w:eastAsia="Times New Roman" w:hAnsi="Times New Roman" w:cs="Times New Roman"/>
                <w:sz w:val="24"/>
                <w:szCs w:val="24"/>
                <w:lang w:eastAsia="hu-HU"/>
              </w:rPr>
            </w:pPr>
            <w:r w:rsidRPr="00FD303F">
              <w:rPr>
                <w:rFonts w:ascii="Times New Roman" w:eastAsia="Times New Roman" w:hAnsi="Times New Roman" w:cs="Times New Roman"/>
                <w:sz w:val="24"/>
                <w:szCs w:val="24"/>
                <w:lang w:eastAsia="hu-HU"/>
              </w:rPr>
              <w:t>Az MH készenléti fokozatainak pénzügyi biztosítása</w:t>
            </w:r>
          </w:p>
        </w:tc>
        <w:tc>
          <w:tcPr>
            <w:tcW w:w="1984" w:type="dxa"/>
            <w:shd w:val="clear" w:color="auto" w:fill="FFFFFF" w:themeFill="background1"/>
            <w:vAlign w:val="center"/>
          </w:tcPr>
          <w:p w:rsidR="00FD303F" w:rsidRPr="00FD303F" w:rsidRDefault="00FD303F" w:rsidP="00FD303F">
            <w:pPr>
              <w:spacing w:after="0" w:line="240" w:lineRule="auto"/>
              <w:rPr>
                <w:rFonts w:ascii="Times New Roman" w:eastAsia="Times New Roman" w:hAnsi="Times New Roman" w:cs="Times New Roman"/>
                <w:sz w:val="24"/>
                <w:szCs w:val="24"/>
                <w:lang w:eastAsia="hu-HU"/>
              </w:rPr>
            </w:pPr>
            <w:r w:rsidRPr="00FD303F">
              <w:rPr>
                <w:rFonts w:ascii="Times New Roman" w:eastAsia="Times New Roman" w:hAnsi="Times New Roman" w:cs="Times New Roman"/>
                <w:sz w:val="24"/>
                <w:szCs w:val="24"/>
                <w:lang w:eastAsia="hu-HU"/>
              </w:rPr>
              <w:t>HKHPKA515</w:t>
            </w:r>
          </w:p>
        </w:tc>
      </w:tr>
      <w:tr w:rsidR="00FD303F" w:rsidRPr="0010643F" w:rsidTr="00FD303F">
        <w:trPr>
          <w:trHeight w:val="338"/>
          <w:jc w:val="center"/>
        </w:trPr>
        <w:tc>
          <w:tcPr>
            <w:tcW w:w="5671" w:type="dxa"/>
            <w:shd w:val="clear" w:color="auto" w:fill="FFFFFF" w:themeFill="background1"/>
            <w:noWrap/>
            <w:vAlign w:val="bottom"/>
          </w:tcPr>
          <w:p w:rsidR="00FD303F" w:rsidRPr="00FD303F" w:rsidRDefault="00FD303F" w:rsidP="0056665F">
            <w:pPr>
              <w:pStyle w:val="Listaszerbekezds"/>
              <w:numPr>
                <w:ilvl w:val="0"/>
                <w:numId w:val="6"/>
              </w:numPr>
              <w:spacing w:after="0" w:line="240" w:lineRule="auto"/>
              <w:ind w:left="645" w:hanging="437"/>
              <w:rPr>
                <w:rFonts w:ascii="Times New Roman" w:eastAsia="Times New Roman" w:hAnsi="Times New Roman" w:cs="Times New Roman"/>
                <w:sz w:val="24"/>
                <w:szCs w:val="24"/>
                <w:lang w:eastAsia="hu-HU"/>
              </w:rPr>
            </w:pPr>
            <w:r w:rsidRPr="00FD303F">
              <w:rPr>
                <w:rFonts w:ascii="Times New Roman" w:eastAsia="Times New Roman" w:hAnsi="Times New Roman" w:cs="Times New Roman"/>
                <w:sz w:val="24"/>
                <w:szCs w:val="24"/>
                <w:lang w:eastAsia="hu-HU"/>
              </w:rPr>
              <w:t>Szakellenőrzés</w:t>
            </w:r>
          </w:p>
        </w:tc>
        <w:tc>
          <w:tcPr>
            <w:tcW w:w="1984" w:type="dxa"/>
            <w:shd w:val="clear" w:color="auto" w:fill="FFFFFF" w:themeFill="background1"/>
            <w:vAlign w:val="center"/>
          </w:tcPr>
          <w:p w:rsidR="00FD303F" w:rsidRPr="00FD303F" w:rsidRDefault="00FD303F" w:rsidP="00FD303F">
            <w:pPr>
              <w:spacing w:after="0" w:line="240" w:lineRule="auto"/>
              <w:rPr>
                <w:rFonts w:ascii="Times New Roman" w:eastAsia="Times New Roman" w:hAnsi="Times New Roman" w:cs="Times New Roman"/>
                <w:sz w:val="24"/>
                <w:szCs w:val="24"/>
                <w:lang w:eastAsia="hu-HU"/>
              </w:rPr>
            </w:pPr>
            <w:r w:rsidRPr="00FD303F">
              <w:rPr>
                <w:rFonts w:ascii="Times New Roman" w:eastAsia="Times New Roman" w:hAnsi="Times New Roman" w:cs="Times New Roman"/>
                <w:sz w:val="24"/>
                <w:szCs w:val="24"/>
                <w:lang w:eastAsia="hu-HU"/>
              </w:rPr>
              <w:t>HKHPKA516</w:t>
            </w:r>
          </w:p>
        </w:tc>
      </w:tr>
      <w:tr w:rsidR="00FD303F" w:rsidRPr="0010643F" w:rsidTr="00FD303F">
        <w:trPr>
          <w:trHeight w:val="338"/>
          <w:jc w:val="center"/>
        </w:trPr>
        <w:tc>
          <w:tcPr>
            <w:tcW w:w="5671" w:type="dxa"/>
            <w:shd w:val="clear" w:color="auto" w:fill="FFFFFF" w:themeFill="background1"/>
            <w:noWrap/>
            <w:vAlign w:val="bottom"/>
          </w:tcPr>
          <w:p w:rsidR="00FD303F" w:rsidRPr="00FD303F" w:rsidRDefault="00FD303F" w:rsidP="0056665F">
            <w:pPr>
              <w:pStyle w:val="Listaszerbekezds"/>
              <w:numPr>
                <w:ilvl w:val="0"/>
                <w:numId w:val="6"/>
              </w:numPr>
              <w:spacing w:after="0" w:line="240" w:lineRule="auto"/>
              <w:ind w:left="645" w:hanging="437"/>
              <w:rPr>
                <w:rFonts w:ascii="Times New Roman" w:eastAsia="Times New Roman" w:hAnsi="Times New Roman" w:cs="Times New Roman"/>
                <w:sz w:val="24"/>
                <w:szCs w:val="24"/>
                <w:lang w:eastAsia="hu-HU"/>
              </w:rPr>
            </w:pPr>
            <w:r w:rsidRPr="00FD303F">
              <w:rPr>
                <w:rFonts w:ascii="Times New Roman" w:eastAsia="Times New Roman" w:hAnsi="Times New Roman" w:cs="Times New Roman"/>
                <w:sz w:val="24"/>
                <w:szCs w:val="24"/>
                <w:lang w:eastAsia="hu-HU"/>
              </w:rPr>
              <w:t>Katonai pénzügyi informatika</w:t>
            </w:r>
          </w:p>
        </w:tc>
        <w:tc>
          <w:tcPr>
            <w:tcW w:w="1984" w:type="dxa"/>
            <w:shd w:val="clear" w:color="auto" w:fill="FFFFFF" w:themeFill="background1"/>
            <w:vAlign w:val="center"/>
          </w:tcPr>
          <w:p w:rsidR="00FD303F" w:rsidRPr="00FD303F" w:rsidRDefault="00FD303F" w:rsidP="00FD303F">
            <w:pPr>
              <w:spacing w:after="0" w:line="240" w:lineRule="auto"/>
              <w:rPr>
                <w:rFonts w:ascii="Times New Roman" w:eastAsia="Times New Roman" w:hAnsi="Times New Roman" w:cs="Times New Roman"/>
                <w:sz w:val="24"/>
                <w:szCs w:val="24"/>
                <w:lang w:eastAsia="hu-HU"/>
              </w:rPr>
            </w:pPr>
            <w:r w:rsidRPr="00FD303F">
              <w:rPr>
                <w:rFonts w:ascii="Times New Roman" w:eastAsia="Times New Roman" w:hAnsi="Times New Roman" w:cs="Times New Roman"/>
                <w:sz w:val="24"/>
                <w:szCs w:val="24"/>
                <w:lang w:eastAsia="hu-HU"/>
              </w:rPr>
              <w:t>HKHPKA517</w:t>
            </w:r>
          </w:p>
        </w:tc>
      </w:tr>
      <w:tr w:rsidR="00FD303F" w:rsidRPr="0010643F" w:rsidTr="00FD303F">
        <w:trPr>
          <w:trHeight w:val="338"/>
          <w:jc w:val="center"/>
        </w:trPr>
        <w:tc>
          <w:tcPr>
            <w:tcW w:w="5671" w:type="dxa"/>
            <w:shd w:val="clear" w:color="auto" w:fill="FFFFFF" w:themeFill="background1"/>
            <w:noWrap/>
            <w:vAlign w:val="bottom"/>
          </w:tcPr>
          <w:p w:rsidR="00FD303F" w:rsidRPr="00FD303F" w:rsidRDefault="00FD303F" w:rsidP="0056665F">
            <w:pPr>
              <w:pStyle w:val="Listaszerbekezds"/>
              <w:numPr>
                <w:ilvl w:val="0"/>
                <w:numId w:val="6"/>
              </w:numPr>
              <w:spacing w:after="0" w:line="240" w:lineRule="auto"/>
              <w:ind w:left="645" w:hanging="437"/>
              <w:rPr>
                <w:rFonts w:ascii="Times New Roman" w:eastAsia="Times New Roman" w:hAnsi="Times New Roman" w:cs="Times New Roman"/>
                <w:sz w:val="24"/>
                <w:szCs w:val="24"/>
                <w:lang w:eastAsia="hu-HU"/>
              </w:rPr>
            </w:pPr>
            <w:r w:rsidRPr="00FD303F">
              <w:rPr>
                <w:rFonts w:ascii="Times New Roman" w:eastAsia="Times New Roman" w:hAnsi="Times New Roman" w:cs="Times New Roman"/>
                <w:sz w:val="24"/>
                <w:szCs w:val="24"/>
                <w:lang w:eastAsia="hu-HU"/>
              </w:rPr>
              <w:t>Nemzetközi feladatok pénzügyi biztosítása</w:t>
            </w:r>
          </w:p>
        </w:tc>
        <w:tc>
          <w:tcPr>
            <w:tcW w:w="1984" w:type="dxa"/>
            <w:shd w:val="clear" w:color="auto" w:fill="FFFFFF" w:themeFill="background1"/>
            <w:vAlign w:val="center"/>
          </w:tcPr>
          <w:p w:rsidR="00FD303F" w:rsidRPr="00FD303F" w:rsidRDefault="00FD303F" w:rsidP="00FD303F">
            <w:pPr>
              <w:spacing w:after="0" w:line="240" w:lineRule="auto"/>
              <w:rPr>
                <w:rFonts w:ascii="Times New Roman" w:eastAsia="Times New Roman" w:hAnsi="Times New Roman" w:cs="Times New Roman"/>
                <w:sz w:val="24"/>
                <w:szCs w:val="24"/>
                <w:lang w:eastAsia="hu-HU"/>
              </w:rPr>
            </w:pPr>
            <w:r w:rsidRPr="00FD303F">
              <w:rPr>
                <w:rFonts w:ascii="Times New Roman" w:eastAsia="Times New Roman" w:hAnsi="Times New Roman" w:cs="Times New Roman"/>
                <w:sz w:val="24"/>
                <w:szCs w:val="24"/>
                <w:lang w:eastAsia="hu-HU"/>
              </w:rPr>
              <w:t>HKHPKA518</w:t>
            </w:r>
          </w:p>
        </w:tc>
      </w:tr>
      <w:tr w:rsidR="00FD303F" w:rsidRPr="0010643F" w:rsidTr="00FD303F">
        <w:trPr>
          <w:trHeight w:val="338"/>
          <w:jc w:val="center"/>
        </w:trPr>
        <w:tc>
          <w:tcPr>
            <w:tcW w:w="5671" w:type="dxa"/>
            <w:shd w:val="clear" w:color="auto" w:fill="FFFFFF" w:themeFill="background1"/>
            <w:noWrap/>
            <w:vAlign w:val="bottom"/>
          </w:tcPr>
          <w:p w:rsidR="00FD303F" w:rsidRPr="00FD303F" w:rsidRDefault="00FD303F" w:rsidP="0056665F">
            <w:pPr>
              <w:pStyle w:val="Listaszerbekezds"/>
              <w:numPr>
                <w:ilvl w:val="0"/>
                <w:numId w:val="6"/>
              </w:numPr>
              <w:spacing w:after="0" w:line="240" w:lineRule="auto"/>
              <w:ind w:left="645" w:hanging="437"/>
              <w:rPr>
                <w:rFonts w:ascii="Times New Roman" w:eastAsia="Times New Roman" w:hAnsi="Times New Roman" w:cs="Times New Roman"/>
                <w:sz w:val="24"/>
                <w:szCs w:val="24"/>
                <w:lang w:eastAsia="hu-HU"/>
              </w:rPr>
            </w:pPr>
            <w:r w:rsidRPr="00FD303F">
              <w:rPr>
                <w:rFonts w:ascii="Times New Roman" w:eastAsia="Times New Roman" w:hAnsi="Times New Roman" w:cs="Times New Roman"/>
                <w:sz w:val="24"/>
                <w:szCs w:val="24"/>
                <w:lang w:eastAsia="hu-HU"/>
              </w:rPr>
              <w:t>Beszerzési ismeretek</w:t>
            </w:r>
          </w:p>
        </w:tc>
        <w:tc>
          <w:tcPr>
            <w:tcW w:w="1984" w:type="dxa"/>
            <w:shd w:val="clear" w:color="auto" w:fill="FFFFFF" w:themeFill="background1"/>
            <w:vAlign w:val="center"/>
          </w:tcPr>
          <w:p w:rsidR="00FD303F" w:rsidRPr="00FD303F" w:rsidRDefault="00FD303F" w:rsidP="00FD303F">
            <w:pPr>
              <w:spacing w:after="0" w:line="240" w:lineRule="auto"/>
              <w:rPr>
                <w:rFonts w:ascii="Times New Roman" w:eastAsia="Times New Roman" w:hAnsi="Times New Roman" w:cs="Times New Roman"/>
                <w:sz w:val="24"/>
                <w:szCs w:val="24"/>
                <w:lang w:eastAsia="hu-HU"/>
              </w:rPr>
            </w:pPr>
            <w:r w:rsidRPr="00FD303F">
              <w:rPr>
                <w:rFonts w:ascii="Times New Roman" w:eastAsia="Times New Roman" w:hAnsi="Times New Roman" w:cs="Times New Roman"/>
                <w:sz w:val="24"/>
                <w:szCs w:val="24"/>
                <w:lang w:eastAsia="hu-HU"/>
              </w:rPr>
              <w:t>HKHPKA117</w:t>
            </w:r>
          </w:p>
        </w:tc>
      </w:tr>
    </w:tbl>
    <w:p w:rsidR="008226EC" w:rsidRDefault="008226EC" w:rsidP="00E90EF1">
      <w:pPr>
        <w:pStyle w:val="Listaszerbekezds"/>
        <w:ind w:left="1080"/>
        <w:rPr>
          <w:rFonts w:ascii="Times New Roman" w:hAnsi="Times New Roman" w:cs="Times New Roman"/>
          <w:sz w:val="24"/>
        </w:rPr>
      </w:pPr>
    </w:p>
    <w:p w:rsidR="00E90EF1" w:rsidRPr="008906FA" w:rsidRDefault="00D9638D" w:rsidP="00E90EF1">
      <w:pPr>
        <w:pStyle w:val="Listaszerbekezds"/>
        <w:numPr>
          <w:ilvl w:val="0"/>
          <w:numId w:val="1"/>
        </w:numPr>
        <w:rPr>
          <w:rFonts w:ascii="Times New Roman" w:hAnsi="Times New Roman" w:cs="Times New Roman"/>
          <w:b/>
          <w:sz w:val="24"/>
        </w:rPr>
      </w:pPr>
      <w:r>
        <w:rPr>
          <w:rFonts w:ascii="Times New Roman" w:hAnsi="Times New Roman" w:cs="Times New Roman"/>
          <w:b/>
          <w:sz w:val="24"/>
        </w:rPr>
        <w:t>Szadolgozat</w:t>
      </w:r>
    </w:p>
    <w:p w:rsidR="00E90EF1" w:rsidRDefault="00E90EF1" w:rsidP="00E90EF1">
      <w:pPr>
        <w:pStyle w:val="Listaszerbekezds"/>
        <w:ind w:left="1080"/>
        <w:rPr>
          <w:rFonts w:ascii="Times New Roman" w:hAnsi="Times New Roman" w:cs="Times New Roman"/>
          <w:sz w:val="24"/>
        </w:rPr>
      </w:pP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5671"/>
        <w:gridCol w:w="1984"/>
      </w:tblGrid>
      <w:tr w:rsidR="0010643F" w:rsidRPr="0010643F" w:rsidTr="00FD303F">
        <w:trPr>
          <w:trHeight w:val="338"/>
          <w:jc w:val="center"/>
        </w:trPr>
        <w:tc>
          <w:tcPr>
            <w:tcW w:w="5671" w:type="dxa"/>
            <w:shd w:val="clear" w:color="auto" w:fill="FFFFFF" w:themeFill="background1"/>
            <w:noWrap/>
            <w:vAlign w:val="bottom"/>
            <w:hideMark/>
          </w:tcPr>
          <w:p w:rsidR="0010643F" w:rsidRPr="0010643F" w:rsidRDefault="0010643F" w:rsidP="0056665F">
            <w:pPr>
              <w:pStyle w:val="Listaszerbekezds"/>
              <w:numPr>
                <w:ilvl w:val="0"/>
                <w:numId w:val="7"/>
              </w:numPr>
              <w:spacing w:after="0" w:line="240" w:lineRule="auto"/>
              <w:ind w:left="640" w:hanging="425"/>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Szakdolgozat készítés</w:t>
            </w:r>
          </w:p>
        </w:tc>
        <w:tc>
          <w:tcPr>
            <w:tcW w:w="1984" w:type="dxa"/>
            <w:shd w:val="clear" w:color="auto" w:fill="FFFFFF" w:themeFill="background1"/>
            <w:vAlign w:val="center"/>
          </w:tcPr>
          <w:p w:rsidR="0010643F" w:rsidRPr="0010643F" w:rsidRDefault="004776D3" w:rsidP="00FD303F">
            <w:pPr>
              <w:spacing w:after="0" w:line="240" w:lineRule="auto"/>
              <w:rPr>
                <w:rFonts w:ascii="Arial Narrow" w:eastAsia="Times New Roman" w:hAnsi="Arial Narrow" w:cs="Times New Roman"/>
                <w:sz w:val="24"/>
                <w:szCs w:val="24"/>
                <w:lang w:eastAsia="hu-HU"/>
              </w:rPr>
            </w:pPr>
            <w:r w:rsidRPr="00FD303F">
              <w:rPr>
                <w:rFonts w:ascii="Times New Roman" w:eastAsia="Times New Roman" w:hAnsi="Times New Roman" w:cs="Times New Roman"/>
                <w:sz w:val="24"/>
                <w:szCs w:val="24"/>
                <w:lang w:eastAsia="hu-HU"/>
              </w:rPr>
              <w:t>HKHPKA21</w:t>
            </w:r>
          </w:p>
        </w:tc>
      </w:tr>
    </w:tbl>
    <w:p w:rsidR="00E90EF1" w:rsidRDefault="00E90EF1" w:rsidP="00E90EF1">
      <w:pPr>
        <w:pStyle w:val="Listaszerbekezds"/>
        <w:ind w:left="1080"/>
        <w:rPr>
          <w:rFonts w:ascii="Times New Roman" w:hAnsi="Times New Roman" w:cs="Times New Roman"/>
          <w:sz w:val="24"/>
        </w:rPr>
      </w:pPr>
    </w:p>
    <w:p w:rsidR="00E90EF1" w:rsidRPr="008906FA" w:rsidRDefault="00E90EF1" w:rsidP="00E90EF1">
      <w:pPr>
        <w:pStyle w:val="Listaszerbekezds"/>
        <w:numPr>
          <w:ilvl w:val="0"/>
          <w:numId w:val="1"/>
        </w:numPr>
        <w:rPr>
          <w:rFonts w:ascii="Times New Roman" w:hAnsi="Times New Roman" w:cs="Times New Roman"/>
          <w:b/>
          <w:sz w:val="24"/>
        </w:rPr>
      </w:pPr>
      <w:r w:rsidRPr="008906FA">
        <w:rPr>
          <w:rFonts w:ascii="Times New Roman" w:hAnsi="Times New Roman" w:cs="Times New Roman"/>
          <w:b/>
          <w:sz w:val="24"/>
        </w:rPr>
        <w:t>Szakmai gyakorlat</w:t>
      </w:r>
    </w:p>
    <w:p w:rsidR="00E90EF1" w:rsidRDefault="00E90EF1" w:rsidP="00E90EF1">
      <w:pPr>
        <w:pStyle w:val="Listaszerbekezds"/>
        <w:ind w:left="1080"/>
        <w:rPr>
          <w:rFonts w:ascii="Times New Roman" w:hAnsi="Times New Roman" w:cs="Times New Roman"/>
          <w:sz w:val="24"/>
        </w:rPr>
      </w:pP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5671"/>
        <w:gridCol w:w="1984"/>
      </w:tblGrid>
      <w:tr w:rsidR="008226EC" w:rsidRPr="0010643F" w:rsidTr="00FD303F">
        <w:trPr>
          <w:trHeight w:val="338"/>
          <w:jc w:val="center"/>
        </w:trPr>
        <w:tc>
          <w:tcPr>
            <w:tcW w:w="5671" w:type="dxa"/>
            <w:shd w:val="clear" w:color="auto" w:fill="FFFFFF" w:themeFill="background1"/>
            <w:noWrap/>
            <w:vAlign w:val="bottom"/>
          </w:tcPr>
          <w:p w:rsidR="008226EC" w:rsidRPr="00FD303F" w:rsidRDefault="008226EC" w:rsidP="0056665F">
            <w:pPr>
              <w:pStyle w:val="Listaszerbekezds"/>
              <w:numPr>
                <w:ilvl w:val="0"/>
                <w:numId w:val="8"/>
              </w:numPr>
              <w:spacing w:after="0" w:line="240" w:lineRule="auto"/>
              <w:ind w:left="640" w:hanging="425"/>
              <w:rPr>
                <w:rFonts w:ascii="Times New Roman" w:eastAsia="Times New Roman" w:hAnsi="Times New Roman" w:cs="Times New Roman"/>
                <w:sz w:val="24"/>
                <w:szCs w:val="24"/>
                <w:lang w:eastAsia="hu-HU"/>
              </w:rPr>
            </w:pPr>
            <w:r w:rsidRPr="00FD303F">
              <w:rPr>
                <w:rFonts w:ascii="Times New Roman" w:eastAsia="Times New Roman" w:hAnsi="Times New Roman" w:cs="Times New Roman"/>
                <w:sz w:val="24"/>
                <w:szCs w:val="24"/>
                <w:lang w:eastAsia="hu-HU"/>
              </w:rPr>
              <w:t>Szakmai Gyakorlat</w:t>
            </w:r>
          </w:p>
        </w:tc>
        <w:tc>
          <w:tcPr>
            <w:tcW w:w="1984" w:type="dxa"/>
            <w:shd w:val="clear" w:color="auto" w:fill="FFFFFF" w:themeFill="background1"/>
            <w:vAlign w:val="center"/>
          </w:tcPr>
          <w:p w:rsidR="008226EC" w:rsidRPr="00C75B87" w:rsidRDefault="008226EC" w:rsidP="00FD303F">
            <w:pPr>
              <w:spacing w:after="0" w:line="240" w:lineRule="auto"/>
              <w:rPr>
                <w:rFonts w:ascii="Arial Narrow" w:eastAsia="Times New Roman" w:hAnsi="Arial Narrow" w:cs="Times New Roman"/>
                <w:sz w:val="24"/>
                <w:szCs w:val="24"/>
                <w:lang w:eastAsia="hu-HU"/>
              </w:rPr>
            </w:pPr>
            <w:r w:rsidRPr="00FD303F">
              <w:rPr>
                <w:rFonts w:ascii="Times New Roman" w:eastAsia="Times New Roman" w:hAnsi="Times New Roman" w:cs="Times New Roman"/>
                <w:sz w:val="24"/>
                <w:szCs w:val="24"/>
                <w:lang w:eastAsia="hu-HU"/>
              </w:rPr>
              <w:t>HKHPKA20</w:t>
            </w:r>
          </w:p>
        </w:tc>
      </w:tr>
    </w:tbl>
    <w:p w:rsidR="00E90EF1" w:rsidRDefault="00E90EF1" w:rsidP="00E90EF1">
      <w:pPr>
        <w:pStyle w:val="Listaszerbekezds"/>
        <w:ind w:left="1080"/>
        <w:rPr>
          <w:rFonts w:ascii="Times New Roman" w:hAnsi="Times New Roman" w:cs="Times New Roman"/>
          <w:sz w:val="24"/>
        </w:rPr>
      </w:pPr>
    </w:p>
    <w:p w:rsidR="00E90EF1" w:rsidRPr="008906FA" w:rsidRDefault="00E90EF1" w:rsidP="00E90EF1">
      <w:pPr>
        <w:pStyle w:val="Listaszerbekezds"/>
        <w:numPr>
          <w:ilvl w:val="0"/>
          <w:numId w:val="1"/>
        </w:numPr>
        <w:rPr>
          <w:rFonts w:ascii="Times New Roman" w:hAnsi="Times New Roman" w:cs="Times New Roman"/>
          <w:b/>
          <w:sz w:val="24"/>
        </w:rPr>
      </w:pPr>
      <w:r w:rsidRPr="008906FA">
        <w:rPr>
          <w:rFonts w:ascii="Times New Roman" w:hAnsi="Times New Roman" w:cs="Times New Roman"/>
          <w:b/>
          <w:sz w:val="24"/>
        </w:rPr>
        <w:t>Szabadon választható tárgyak</w:t>
      </w:r>
    </w:p>
    <w:p w:rsidR="00E90EF1" w:rsidRDefault="00E90EF1" w:rsidP="00E90EF1">
      <w:pPr>
        <w:pStyle w:val="Listaszerbekezds"/>
        <w:ind w:left="1080"/>
        <w:rPr>
          <w:rFonts w:ascii="Times New Roman" w:hAnsi="Times New Roman" w:cs="Times New Roman"/>
          <w:sz w:val="24"/>
        </w:rPr>
      </w:pP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5671"/>
        <w:gridCol w:w="1984"/>
      </w:tblGrid>
      <w:tr w:rsidR="0010643F" w:rsidRPr="0010643F" w:rsidTr="00FD303F">
        <w:trPr>
          <w:trHeight w:val="338"/>
          <w:jc w:val="center"/>
        </w:trPr>
        <w:tc>
          <w:tcPr>
            <w:tcW w:w="5671" w:type="dxa"/>
            <w:shd w:val="clear" w:color="auto" w:fill="FFFFFF" w:themeFill="background1"/>
            <w:noWrap/>
            <w:vAlign w:val="bottom"/>
            <w:hideMark/>
          </w:tcPr>
          <w:p w:rsidR="0010643F" w:rsidRPr="0010643F" w:rsidRDefault="0010643F" w:rsidP="0056665F">
            <w:pPr>
              <w:pStyle w:val="Listaszerbekezds"/>
              <w:numPr>
                <w:ilvl w:val="0"/>
                <w:numId w:val="9"/>
              </w:numPr>
              <w:spacing w:after="0" w:line="240" w:lineRule="auto"/>
              <w:ind w:left="640" w:hanging="425"/>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Anyagismeret</w:t>
            </w:r>
          </w:p>
        </w:tc>
        <w:tc>
          <w:tcPr>
            <w:tcW w:w="1984" w:type="dxa"/>
            <w:shd w:val="clear" w:color="auto" w:fill="FFFFFF" w:themeFill="background1"/>
            <w:vAlign w:val="center"/>
          </w:tcPr>
          <w:p w:rsidR="0010643F" w:rsidRPr="00FD303F" w:rsidRDefault="0010643F" w:rsidP="00FD303F">
            <w:pPr>
              <w:spacing w:after="0" w:line="240" w:lineRule="auto"/>
              <w:rPr>
                <w:rFonts w:ascii="Times New Roman" w:eastAsia="Times New Roman" w:hAnsi="Times New Roman" w:cs="Times New Roman"/>
                <w:sz w:val="24"/>
                <w:szCs w:val="24"/>
                <w:lang w:eastAsia="hu-HU"/>
              </w:rPr>
            </w:pPr>
            <w:r w:rsidRPr="00FD303F">
              <w:rPr>
                <w:rFonts w:ascii="Times New Roman" w:eastAsia="Times New Roman" w:hAnsi="Times New Roman" w:cs="Times New Roman"/>
                <w:sz w:val="24"/>
                <w:szCs w:val="24"/>
                <w:lang w:eastAsia="hu-HU"/>
              </w:rPr>
              <w:t>HKHDTA05</w:t>
            </w:r>
          </w:p>
        </w:tc>
      </w:tr>
      <w:tr w:rsidR="0010643F" w:rsidRPr="0010643F" w:rsidTr="00FD303F">
        <w:trPr>
          <w:trHeight w:val="315"/>
          <w:jc w:val="center"/>
        </w:trPr>
        <w:tc>
          <w:tcPr>
            <w:tcW w:w="5671" w:type="dxa"/>
            <w:shd w:val="clear" w:color="auto" w:fill="FFFFFF" w:themeFill="background1"/>
            <w:noWrap/>
            <w:vAlign w:val="bottom"/>
            <w:hideMark/>
          </w:tcPr>
          <w:p w:rsidR="0010643F" w:rsidRPr="0010643F" w:rsidRDefault="0010643F" w:rsidP="0056665F">
            <w:pPr>
              <w:pStyle w:val="Listaszerbekezds"/>
              <w:numPr>
                <w:ilvl w:val="0"/>
                <w:numId w:val="9"/>
              </w:numPr>
              <w:spacing w:after="0" w:line="240" w:lineRule="auto"/>
              <w:ind w:left="640" w:hanging="425"/>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Méréstechnika L</w:t>
            </w:r>
          </w:p>
        </w:tc>
        <w:tc>
          <w:tcPr>
            <w:tcW w:w="1984" w:type="dxa"/>
            <w:shd w:val="clear" w:color="auto" w:fill="FFFFFF" w:themeFill="background1"/>
            <w:vAlign w:val="center"/>
          </w:tcPr>
          <w:p w:rsidR="0010643F" w:rsidRPr="00FD303F" w:rsidRDefault="0010643F" w:rsidP="00FD303F">
            <w:pPr>
              <w:spacing w:after="0" w:line="240" w:lineRule="auto"/>
              <w:rPr>
                <w:rFonts w:ascii="Times New Roman" w:eastAsia="Times New Roman" w:hAnsi="Times New Roman" w:cs="Times New Roman"/>
                <w:sz w:val="24"/>
                <w:szCs w:val="24"/>
                <w:lang w:eastAsia="hu-HU"/>
              </w:rPr>
            </w:pPr>
            <w:r w:rsidRPr="00FD303F">
              <w:rPr>
                <w:rFonts w:ascii="Times New Roman" w:eastAsia="Times New Roman" w:hAnsi="Times New Roman" w:cs="Times New Roman"/>
                <w:sz w:val="24"/>
                <w:szCs w:val="24"/>
                <w:lang w:eastAsia="hu-HU"/>
              </w:rPr>
              <w:t>HKHDTA32</w:t>
            </w:r>
          </w:p>
        </w:tc>
      </w:tr>
      <w:tr w:rsidR="0010643F" w:rsidRPr="0010643F" w:rsidTr="00FD303F">
        <w:trPr>
          <w:trHeight w:val="315"/>
          <w:jc w:val="center"/>
        </w:trPr>
        <w:tc>
          <w:tcPr>
            <w:tcW w:w="5671" w:type="dxa"/>
            <w:shd w:val="clear" w:color="auto" w:fill="FFFFFF" w:themeFill="background1"/>
            <w:noWrap/>
            <w:vAlign w:val="bottom"/>
            <w:hideMark/>
          </w:tcPr>
          <w:p w:rsidR="0010643F" w:rsidRPr="0010643F" w:rsidRDefault="0010643F" w:rsidP="0056665F">
            <w:pPr>
              <w:pStyle w:val="Listaszerbekezds"/>
              <w:numPr>
                <w:ilvl w:val="0"/>
                <w:numId w:val="9"/>
              </w:numPr>
              <w:spacing w:after="0" w:line="240" w:lineRule="auto"/>
              <w:ind w:left="640" w:hanging="425"/>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Javítástechnológia</w:t>
            </w:r>
          </w:p>
        </w:tc>
        <w:tc>
          <w:tcPr>
            <w:tcW w:w="1984" w:type="dxa"/>
            <w:shd w:val="clear" w:color="auto" w:fill="FFFFFF" w:themeFill="background1"/>
            <w:vAlign w:val="center"/>
          </w:tcPr>
          <w:p w:rsidR="0010643F" w:rsidRPr="00FD303F" w:rsidRDefault="0010643F" w:rsidP="00FD303F">
            <w:pPr>
              <w:spacing w:after="0" w:line="240" w:lineRule="auto"/>
              <w:rPr>
                <w:rFonts w:ascii="Times New Roman" w:eastAsia="Times New Roman" w:hAnsi="Times New Roman" w:cs="Times New Roman"/>
                <w:sz w:val="24"/>
                <w:szCs w:val="24"/>
                <w:lang w:eastAsia="hu-HU"/>
              </w:rPr>
            </w:pPr>
            <w:r w:rsidRPr="00FD303F">
              <w:rPr>
                <w:rFonts w:ascii="Times New Roman" w:eastAsia="Times New Roman" w:hAnsi="Times New Roman" w:cs="Times New Roman"/>
                <w:sz w:val="24"/>
                <w:szCs w:val="24"/>
                <w:lang w:eastAsia="hu-HU"/>
              </w:rPr>
              <w:t>HKHDTA45</w:t>
            </w:r>
          </w:p>
        </w:tc>
      </w:tr>
      <w:tr w:rsidR="0010643F" w:rsidRPr="0010643F" w:rsidTr="00FD303F">
        <w:trPr>
          <w:trHeight w:val="312"/>
          <w:jc w:val="center"/>
        </w:trPr>
        <w:tc>
          <w:tcPr>
            <w:tcW w:w="5671" w:type="dxa"/>
            <w:shd w:val="clear" w:color="auto" w:fill="FFFFFF" w:themeFill="background1"/>
            <w:noWrap/>
            <w:vAlign w:val="bottom"/>
            <w:hideMark/>
          </w:tcPr>
          <w:p w:rsidR="0010643F" w:rsidRPr="0010643F" w:rsidRDefault="0010643F" w:rsidP="0056665F">
            <w:pPr>
              <w:pStyle w:val="Listaszerbekezds"/>
              <w:numPr>
                <w:ilvl w:val="0"/>
                <w:numId w:val="9"/>
              </w:numPr>
              <w:spacing w:after="0" w:line="240" w:lineRule="auto"/>
              <w:ind w:left="640" w:hanging="425"/>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Machine element design</w:t>
            </w:r>
          </w:p>
        </w:tc>
        <w:tc>
          <w:tcPr>
            <w:tcW w:w="1984" w:type="dxa"/>
            <w:shd w:val="clear" w:color="auto" w:fill="FFFFFF" w:themeFill="background1"/>
            <w:vAlign w:val="center"/>
          </w:tcPr>
          <w:p w:rsidR="0010643F" w:rsidRPr="00FD303F" w:rsidRDefault="0010643F" w:rsidP="00FD303F">
            <w:pPr>
              <w:spacing w:after="0" w:line="240" w:lineRule="auto"/>
              <w:rPr>
                <w:rFonts w:ascii="Times New Roman" w:eastAsia="Times New Roman" w:hAnsi="Times New Roman" w:cs="Times New Roman"/>
                <w:sz w:val="24"/>
                <w:szCs w:val="24"/>
                <w:lang w:eastAsia="hu-HU"/>
              </w:rPr>
            </w:pPr>
            <w:r w:rsidRPr="00FD303F">
              <w:rPr>
                <w:rFonts w:ascii="Times New Roman" w:eastAsia="Times New Roman" w:hAnsi="Times New Roman" w:cs="Times New Roman"/>
                <w:sz w:val="24"/>
                <w:szCs w:val="24"/>
                <w:lang w:eastAsia="hu-HU"/>
              </w:rPr>
              <w:t>HKHDTA39</w:t>
            </w:r>
          </w:p>
        </w:tc>
      </w:tr>
      <w:tr w:rsidR="0010643F" w:rsidRPr="0010643F" w:rsidTr="00FD303F">
        <w:trPr>
          <w:trHeight w:val="315"/>
          <w:jc w:val="center"/>
        </w:trPr>
        <w:tc>
          <w:tcPr>
            <w:tcW w:w="5671" w:type="dxa"/>
            <w:shd w:val="clear" w:color="auto" w:fill="FFFFFF" w:themeFill="background1"/>
            <w:noWrap/>
            <w:vAlign w:val="bottom"/>
            <w:hideMark/>
          </w:tcPr>
          <w:p w:rsidR="0010643F" w:rsidRPr="0010643F" w:rsidRDefault="0010643F" w:rsidP="0056665F">
            <w:pPr>
              <w:pStyle w:val="Listaszerbekezds"/>
              <w:numPr>
                <w:ilvl w:val="0"/>
                <w:numId w:val="9"/>
              </w:numPr>
              <w:spacing w:after="0" w:line="240" w:lineRule="auto"/>
              <w:ind w:left="640" w:hanging="425"/>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Harcjármű fedélzeti rendszerek L</w:t>
            </w:r>
          </w:p>
        </w:tc>
        <w:tc>
          <w:tcPr>
            <w:tcW w:w="1984" w:type="dxa"/>
            <w:shd w:val="clear" w:color="auto" w:fill="FFFFFF" w:themeFill="background1"/>
            <w:vAlign w:val="center"/>
          </w:tcPr>
          <w:p w:rsidR="0010643F" w:rsidRPr="00FD303F" w:rsidRDefault="0010643F" w:rsidP="00FD303F">
            <w:pPr>
              <w:spacing w:after="0" w:line="240" w:lineRule="auto"/>
              <w:rPr>
                <w:rFonts w:ascii="Times New Roman" w:eastAsia="Times New Roman" w:hAnsi="Times New Roman" w:cs="Times New Roman"/>
                <w:sz w:val="24"/>
                <w:szCs w:val="24"/>
                <w:lang w:eastAsia="hu-HU"/>
              </w:rPr>
            </w:pPr>
            <w:r w:rsidRPr="00FD303F">
              <w:rPr>
                <w:rFonts w:ascii="Times New Roman" w:eastAsia="Times New Roman" w:hAnsi="Times New Roman" w:cs="Times New Roman"/>
                <w:sz w:val="24"/>
                <w:szCs w:val="24"/>
                <w:lang w:eastAsia="hu-HU"/>
              </w:rPr>
              <w:t>HKHDTA33</w:t>
            </w:r>
          </w:p>
        </w:tc>
      </w:tr>
      <w:tr w:rsidR="0010643F" w:rsidRPr="0010643F" w:rsidTr="00FD303F">
        <w:trPr>
          <w:trHeight w:val="315"/>
          <w:jc w:val="center"/>
        </w:trPr>
        <w:tc>
          <w:tcPr>
            <w:tcW w:w="5671" w:type="dxa"/>
            <w:shd w:val="clear" w:color="auto" w:fill="FFFFFF" w:themeFill="background1"/>
            <w:noWrap/>
            <w:vAlign w:val="bottom"/>
            <w:hideMark/>
          </w:tcPr>
          <w:p w:rsidR="0010643F" w:rsidRPr="0010643F" w:rsidRDefault="0010643F" w:rsidP="0056665F">
            <w:pPr>
              <w:pStyle w:val="Listaszerbekezds"/>
              <w:numPr>
                <w:ilvl w:val="0"/>
                <w:numId w:val="9"/>
              </w:numPr>
              <w:spacing w:after="0" w:line="240" w:lineRule="auto"/>
              <w:ind w:left="640" w:hanging="425"/>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Harcjármű vezetés</w:t>
            </w:r>
          </w:p>
        </w:tc>
        <w:tc>
          <w:tcPr>
            <w:tcW w:w="1984" w:type="dxa"/>
            <w:shd w:val="clear" w:color="auto" w:fill="FFFFFF" w:themeFill="background1"/>
            <w:vAlign w:val="center"/>
          </w:tcPr>
          <w:p w:rsidR="0010643F" w:rsidRPr="00FD303F" w:rsidRDefault="0010643F" w:rsidP="00FD303F">
            <w:pPr>
              <w:spacing w:after="0" w:line="240" w:lineRule="auto"/>
              <w:rPr>
                <w:rFonts w:ascii="Times New Roman" w:eastAsia="Times New Roman" w:hAnsi="Times New Roman" w:cs="Times New Roman"/>
                <w:sz w:val="24"/>
                <w:szCs w:val="24"/>
                <w:lang w:eastAsia="hu-HU"/>
              </w:rPr>
            </w:pPr>
            <w:r w:rsidRPr="00FD303F">
              <w:rPr>
                <w:rFonts w:ascii="Times New Roman" w:eastAsia="Times New Roman" w:hAnsi="Times New Roman" w:cs="Times New Roman"/>
                <w:sz w:val="24"/>
                <w:szCs w:val="24"/>
                <w:lang w:eastAsia="hu-HU"/>
              </w:rPr>
              <w:t>HKHDTA34</w:t>
            </w:r>
          </w:p>
        </w:tc>
      </w:tr>
      <w:tr w:rsidR="0010643F" w:rsidRPr="0010643F" w:rsidTr="00FD303F">
        <w:trPr>
          <w:trHeight w:val="315"/>
          <w:jc w:val="center"/>
        </w:trPr>
        <w:tc>
          <w:tcPr>
            <w:tcW w:w="5671" w:type="dxa"/>
            <w:shd w:val="clear" w:color="auto" w:fill="FFFFFF" w:themeFill="background1"/>
            <w:noWrap/>
            <w:vAlign w:val="bottom"/>
            <w:hideMark/>
          </w:tcPr>
          <w:p w:rsidR="0010643F" w:rsidRPr="0010643F" w:rsidRDefault="0010643F" w:rsidP="0056665F">
            <w:pPr>
              <w:pStyle w:val="Listaszerbekezds"/>
              <w:numPr>
                <w:ilvl w:val="0"/>
                <w:numId w:val="9"/>
              </w:numPr>
              <w:spacing w:after="0" w:line="240" w:lineRule="auto"/>
              <w:ind w:left="640" w:hanging="425"/>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Szakmai szabályismeret PC</w:t>
            </w:r>
          </w:p>
        </w:tc>
        <w:tc>
          <w:tcPr>
            <w:tcW w:w="1984" w:type="dxa"/>
            <w:shd w:val="clear" w:color="auto" w:fill="FFFFFF" w:themeFill="background1"/>
            <w:vAlign w:val="center"/>
          </w:tcPr>
          <w:p w:rsidR="0010643F" w:rsidRPr="00FD303F" w:rsidRDefault="0010643F" w:rsidP="00FD303F">
            <w:pPr>
              <w:spacing w:after="0" w:line="240" w:lineRule="auto"/>
              <w:rPr>
                <w:rFonts w:ascii="Times New Roman" w:eastAsia="Times New Roman" w:hAnsi="Times New Roman" w:cs="Times New Roman"/>
                <w:sz w:val="24"/>
                <w:szCs w:val="24"/>
                <w:lang w:eastAsia="hu-HU"/>
              </w:rPr>
            </w:pPr>
            <w:r w:rsidRPr="00FD303F">
              <w:rPr>
                <w:rFonts w:ascii="Times New Roman" w:eastAsia="Times New Roman" w:hAnsi="Times New Roman" w:cs="Times New Roman"/>
                <w:sz w:val="24"/>
                <w:szCs w:val="24"/>
                <w:lang w:eastAsia="hu-HU"/>
              </w:rPr>
              <w:t>HKHDTA15</w:t>
            </w:r>
          </w:p>
        </w:tc>
      </w:tr>
      <w:tr w:rsidR="0010643F" w:rsidRPr="0010643F" w:rsidTr="00FD303F">
        <w:trPr>
          <w:trHeight w:val="330"/>
          <w:jc w:val="center"/>
        </w:trPr>
        <w:tc>
          <w:tcPr>
            <w:tcW w:w="5671" w:type="dxa"/>
            <w:shd w:val="clear" w:color="auto" w:fill="FFFFFF" w:themeFill="background1"/>
            <w:noWrap/>
            <w:vAlign w:val="bottom"/>
            <w:hideMark/>
          </w:tcPr>
          <w:p w:rsidR="0010643F" w:rsidRPr="0010643F" w:rsidRDefault="0010643F" w:rsidP="0056665F">
            <w:pPr>
              <w:pStyle w:val="Listaszerbekezds"/>
              <w:numPr>
                <w:ilvl w:val="0"/>
                <w:numId w:val="9"/>
              </w:numPr>
              <w:spacing w:after="0" w:line="240" w:lineRule="auto"/>
              <w:ind w:left="640" w:hanging="425"/>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Ballisztikai alapismeretek</w:t>
            </w:r>
          </w:p>
        </w:tc>
        <w:tc>
          <w:tcPr>
            <w:tcW w:w="1984" w:type="dxa"/>
            <w:shd w:val="clear" w:color="auto" w:fill="FFFFFF" w:themeFill="background1"/>
            <w:vAlign w:val="center"/>
          </w:tcPr>
          <w:p w:rsidR="0010643F" w:rsidRPr="00FD303F" w:rsidRDefault="0010643F" w:rsidP="00FD303F">
            <w:pPr>
              <w:spacing w:after="0" w:line="240" w:lineRule="auto"/>
              <w:rPr>
                <w:rFonts w:ascii="Times New Roman" w:eastAsia="Times New Roman" w:hAnsi="Times New Roman" w:cs="Times New Roman"/>
                <w:sz w:val="24"/>
                <w:szCs w:val="24"/>
                <w:lang w:eastAsia="hu-HU"/>
              </w:rPr>
            </w:pPr>
            <w:r w:rsidRPr="00FD303F">
              <w:rPr>
                <w:rFonts w:ascii="Times New Roman" w:eastAsia="Times New Roman" w:hAnsi="Times New Roman" w:cs="Times New Roman"/>
                <w:sz w:val="24"/>
                <w:szCs w:val="24"/>
                <w:lang w:eastAsia="hu-HU"/>
              </w:rPr>
              <w:t>HKHDTA23</w:t>
            </w:r>
          </w:p>
        </w:tc>
      </w:tr>
      <w:tr w:rsidR="0010643F" w:rsidRPr="0010643F" w:rsidTr="00FD303F">
        <w:trPr>
          <w:trHeight w:val="330"/>
          <w:jc w:val="center"/>
        </w:trPr>
        <w:tc>
          <w:tcPr>
            <w:tcW w:w="5671" w:type="dxa"/>
            <w:shd w:val="clear" w:color="auto" w:fill="FFFFFF" w:themeFill="background1"/>
            <w:noWrap/>
            <w:vAlign w:val="bottom"/>
            <w:hideMark/>
          </w:tcPr>
          <w:p w:rsidR="0010643F" w:rsidRPr="0010643F" w:rsidRDefault="0010643F" w:rsidP="0056665F">
            <w:pPr>
              <w:pStyle w:val="Listaszerbekezds"/>
              <w:numPr>
                <w:ilvl w:val="0"/>
                <w:numId w:val="9"/>
              </w:numPr>
              <w:spacing w:after="0" w:line="240" w:lineRule="auto"/>
              <w:ind w:left="640" w:hanging="425"/>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Gépjármű villamos berendezések</w:t>
            </w:r>
          </w:p>
        </w:tc>
        <w:tc>
          <w:tcPr>
            <w:tcW w:w="1984" w:type="dxa"/>
            <w:shd w:val="clear" w:color="auto" w:fill="FFFFFF" w:themeFill="background1"/>
            <w:vAlign w:val="center"/>
          </w:tcPr>
          <w:p w:rsidR="0010643F" w:rsidRPr="00FD303F" w:rsidRDefault="0010643F" w:rsidP="00FD303F">
            <w:pPr>
              <w:spacing w:after="0" w:line="240" w:lineRule="auto"/>
              <w:rPr>
                <w:rFonts w:ascii="Times New Roman" w:eastAsia="Times New Roman" w:hAnsi="Times New Roman" w:cs="Times New Roman"/>
                <w:sz w:val="24"/>
                <w:szCs w:val="24"/>
                <w:lang w:eastAsia="hu-HU"/>
              </w:rPr>
            </w:pPr>
            <w:r w:rsidRPr="00FD303F">
              <w:rPr>
                <w:rFonts w:ascii="Times New Roman" w:eastAsia="Times New Roman" w:hAnsi="Times New Roman" w:cs="Times New Roman"/>
                <w:sz w:val="24"/>
                <w:szCs w:val="24"/>
                <w:lang w:eastAsia="hu-HU"/>
              </w:rPr>
              <w:t>HKHDTA35</w:t>
            </w:r>
          </w:p>
        </w:tc>
      </w:tr>
      <w:tr w:rsidR="0010643F" w:rsidRPr="0010643F" w:rsidTr="00FD303F">
        <w:trPr>
          <w:trHeight w:val="315"/>
          <w:jc w:val="center"/>
        </w:trPr>
        <w:tc>
          <w:tcPr>
            <w:tcW w:w="5671" w:type="dxa"/>
            <w:shd w:val="clear" w:color="auto" w:fill="FFFFFF" w:themeFill="background1"/>
            <w:noWrap/>
            <w:vAlign w:val="bottom"/>
            <w:hideMark/>
          </w:tcPr>
          <w:p w:rsidR="0010643F" w:rsidRPr="0010643F" w:rsidRDefault="0010643F" w:rsidP="0056665F">
            <w:pPr>
              <w:pStyle w:val="Listaszerbekezds"/>
              <w:numPr>
                <w:ilvl w:val="0"/>
                <w:numId w:val="9"/>
              </w:numPr>
              <w:spacing w:after="0" w:line="240" w:lineRule="auto"/>
              <w:ind w:left="640" w:hanging="425"/>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Optika</w:t>
            </w:r>
          </w:p>
        </w:tc>
        <w:tc>
          <w:tcPr>
            <w:tcW w:w="1984" w:type="dxa"/>
            <w:shd w:val="clear" w:color="auto" w:fill="FFFFFF" w:themeFill="background1"/>
            <w:vAlign w:val="center"/>
          </w:tcPr>
          <w:p w:rsidR="0010643F" w:rsidRPr="00FD303F" w:rsidRDefault="0010643F" w:rsidP="00FD303F">
            <w:pPr>
              <w:spacing w:after="0" w:line="240" w:lineRule="auto"/>
              <w:rPr>
                <w:rFonts w:ascii="Times New Roman" w:eastAsia="Times New Roman" w:hAnsi="Times New Roman" w:cs="Times New Roman"/>
                <w:sz w:val="24"/>
                <w:szCs w:val="24"/>
                <w:lang w:eastAsia="hu-HU"/>
              </w:rPr>
            </w:pPr>
            <w:r w:rsidRPr="00FD303F">
              <w:rPr>
                <w:rFonts w:ascii="Times New Roman" w:eastAsia="Times New Roman" w:hAnsi="Times New Roman" w:cs="Times New Roman"/>
                <w:sz w:val="24"/>
                <w:szCs w:val="24"/>
                <w:lang w:eastAsia="hu-HU"/>
              </w:rPr>
              <w:t>HKHDTA36</w:t>
            </w:r>
          </w:p>
        </w:tc>
      </w:tr>
      <w:tr w:rsidR="0010643F" w:rsidRPr="0010643F" w:rsidTr="00FD303F">
        <w:trPr>
          <w:trHeight w:val="315"/>
          <w:jc w:val="center"/>
        </w:trPr>
        <w:tc>
          <w:tcPr>
            <w:tcW w:w="5671" w:type="dxa"/>
            <w:shd w:val="clear" w:color="auto" w:fill="FFFFFF" w:themeFill="background1"/>
            <w:noWrap/>
            <w:vAlign w:val="bottom"/>
            <w:hideMark/>
          </w:tcPr>
          <w:p w:rsidR="0010643F" w:rsidRPr="0010643F" w:rsidRDefault="0010643F" w:rsidP="0056665F">
            <w:pPr>
              <w:pStyle w:val="Listaszerbekezds"/>
              <w:numPr>
                <w:ilvl w:val="0"/>
                <w:numId w:val="9"/>
              </w:numPr>
              <w:spacing w:after="0" w:line="240" w:lineRule="auto"/>
              <w:ind w:left="640" w:hanging="425"/>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Gépjármű diagnosztika L</w:t>
            </w:r>
          </w:p>
        </w:tc>
        <w:tc>
          <w:tcPr>
            <w:tcW w:w="1984" w:type="dxa"/>
            <w:shd w:val="clear" w:color="auto" w:fill="FFFFFF" w:themeFill="background1"/>
            <w:vAlign w:val="center"/>
          </w:tcPr>
          <w:p w:rsidR="0010643F" w:rsidRPr="00FD303F" w:rsidRDefault="0010643F" w:rsidP="00FD303F">
            <w:pPr>
              <w:spacing w:after="0" w:line="240" w:lineRule="auto"/>
              <w:rPr>
                <w:rFonts w:ascii="Times New Roman" w:eastAsia="Times New Roman" w:hAnsi="Times New Roman" w:cs="Times New Roman"/>
                <w:sz w:val="24"/>
                <w:szCs w:val="24"/>
                <w:lang w:eastAsia="hu-HU"/>
              </w:rPr>
            </w:pPr>
            <w:r w:rsidRPr="00FD303F">
              <w:rPr>
                <w:rFonts w:ascii="Times New Roman" w:eastAsia="Times New Roman" w:hAnsi="Times New Roman" w:cs="Times New Roman"/>
                <w:sz w:val="24"/>
                <w:szCs w:val="24"/>
                <w:lang w:eastAsia="hu-HU"/>
              </w:rPr>
              <w:t>HKHDTA37</w:t>
            </w:r>
          </w:p>
        </w:tc>
      </w:tr>
      <w:tr w:rsidR="0010643F" w:rsidRPr="0010643F" w:rsidTr="00FD303F">
        <w:trPr>
          <w:trHeight w:val="315"/>
          <w:jc w:val="center"/>
        </w:trPr>
        <w:tc>
          <w:tcPr>
            <w:tcW w:w="5671" w:type="dxa"/>
            <w:shd w:val="clear" w:color="auto" w:fill="FFFFFF" w:themeFill="background1"/>
            <w:noWrap/>
            <w:vAlign w:val="bottom"/>
            <w:hideMark/>
          </w:tcPr>
          <w:p w:rsidR="0010643F" w:rsidRPr="0010643F" w:rsidRDefault="0010643F" w:rsidP="0056665F">
            <w:pPr>
              <w:pStyle w:val="Listaszerbekezds"/>
              <w:numPr>
                <w:ilvl w:val="0"/>
                <w:numId w:val="9"/>
              </w:numPr>
              <w:spacing w:after="0" w:line="240" w:lineRule="auto"/>
              <w:ind w:left="640" w:hanging="425"/>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Lőszer anyagismeret L</w:t>
            </w:r>
          </w:p>
        </w:tc>
        <w:tc>
          <w:tcPr>
            <w:tcW w:w="1984" w:type="dxa"/>
            <w:shd w:val="clear" w:color="auto" w:fill="FFFFFF" w:themeFill="background1"/>
            <w:vAlign w:val="center"/>
          </w:tcPr>
          <w:p w:rsidR="0010643F" w:rsidRPr="00FD303F" w:rsidRDefault="0010643F" w:rsidP="00FD303F">
            <w:pPr>
              <w:spacing w:after="0" w:line="240" w:lineRule="auto"/>
              <w:rPr>
                <w:rFonts w:ascii="Times New Roman" w:eastAsia="Times New Roman" w:hAnsi="Times New Roman" w:cs="Times New Roman"/>
                <w:sz w:val="24"/>
                <w:szCs w:val="24"/>
                <w:lang w:eastAsia="hu-HU"/>
              </w:rPr>
            </w:pPr>
            <w:r w:rsidRPr="00FD303F">
              <w:rPr>
                <w:rFonts w:ascii="Times New Roman" w:eastAsia="Times New Roman" w:hAnsi="Times New Roman" w:cs="Times New Roman"/>
                <w:sz w:val="24"/>
                <w:szCs w:val="24"/>
                <w:lang w:eastAsia="hu-HU"/>
              </w:rPr>
              <w:t>HKHDTA38</w:t>
            </w:r>
          </w:p>
        </w:tc>
      </w:tr>
      <w:tr w:rsidR="0010643F" w:rsidRPr="0010643F" w:rsidTr="00FD303F">
        <w:trPr>
          <w:trHeight w:val="315"/>
          <w:jc w:val="center"/>
        </w:trPr>
        <w:tc>
          <w:tcPr>
            <w:tcW w:w="5671" w:type="dxa"/>
            <w:shd w:val="clear" w:color="auto" w:fill="FFFFFF" w:themeFill="background1"/>
            <w:vAlign w:val="center"/>
            <w:hideMark/>
          </w:tcPr>
          <w:p w:rsidR="0010643F" w:rsidRPr="0010643F" w:rsidRDefault="0010643F" w:rsidP="0056665F">
            <w:pPr>
              <w:pStyle w:val="Listaszerbekezds"/>
              <w:numPr>
                <w:ilvl w:val="0"/>
                <w:numId w:val="9"/>
              </w:numPr>
              <w:spacing w:after="0" w:line="240" w:lineRule="auto"/>
              <w:ind w:left="640" w:hanging="425"/>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Korszerű harc- és gépjárművek a modern kor háborúiban</w:t>
            </w:r>
          </w:p>
        </w:tc>
        <w:tc>
          <w:tcPr>
            <w:tcW w:w="1984" w:type="dxa"/>
            <w:shd w:val="clear" w:color="auto" w:fill="FFFFFF" w:themeFill="background1"/>
            <w:vAlign w:val="center"/>
          </w:tcPr>
          <w:p w:rsidR="0010643F" w:rsidRPr="00FD303F" w:rsidRDefault="0010643F" w:rsidP="00FD303F">
            <w:pPr>
              <w:spacing w:after="0" w:line="240" w:lineRule="auto"/>
              <w:rPr>
                <w:rFonts w:ascii="Times New Roman" w:eastAsia="Times New Roman" w:hAnsi="Times New Roman" w:cs="Times New Roman"/>
                <w:sz w:val="24"/>
                <w:szCs w:val="24"/>
                <w:lang w:eastAsia="hu-HU"/>
              </w:rPr>
            </w:pPr>
            <w:r w:rsidRPr="00FD303F">
              <w:rPr>
                <w:rFonts w:ascii="Times New Roman" w:eastAsia="Times New Roman" w:hAnsi="Times New Roman" w:cs="Times New Roman"/>
                <w:sz w:val="24"/>
                <w:szCs w:val="24"/>
                <w:lang w:eastAsia="hu-HU"/>
              </w:rPr>
              <w:t>HKHDTA40</w:t>
            </w:r>
          </w:p>
        </w:tc>
      </w:tr>
      <w:tr w:rsidR="0010643F" w:rsidRPr="0010643F" w:rsidTr="00FD303F">
        <w:trPr>
          <w:trHeight w:val="315"/>
          <w:jc w:val="center"/>
        </w:trPr>
        <w:tc>
          <w:tcPr>
            <w:tcW w:w="5671" w:type="dxa"/>
            <w:shd w:val="clear" w:color="auto" w:fill="FFFFFF" w:themeFill="background1"/>
            <w:vAlign w:val="center"/>
            <w:hideMark/>
          </w:tcPr>
          <w:p w:rsidR="0010643F" w:rsidRPr="0010643F" w:rsidRDefault="0010643F" w:rsidP="0056665F">
            <w:pPr>
              <w:pStyle w:val="Listaszerbekezds"/>
              <w:numPr>
                <w:ilvl w:val="0"/>
                <w:numId w:val="9"/>
              </w:numPr>
              <w:spacing w:after="0" w:line="240" w:lineRule="auto"/>
              <w:ind w:left="640" w:hanging="425"/>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Korszerű lőfegyverek és tüzérség a modern kor háborúiban</w:t>
            </w:r>
          </w:p>
        </w:tc>
        <w:tc>
          <w:tcPr>
            <w:tcW w:w="1984" w:type="dxa"/>
            <w:shd w:val="clear" w:color="auto" w:fill="FFFFFF" w:themeFill="background1"/>
            <w:vAlign w:val="center"/>
          </w:tcPr>
          <w:p w:rsidR="0010643F" w:rsidRPr="00FD303F" w:rsidRDefault="0010643F" w:rsidP="00FD303F">
            <w:pPr>
              <w:spacing w:after="0" w:line="240" w:lineRule="auto"/>
              <w:rPr>
                <w:rFonts w:ascii="Times New Roman" w:eastAsia="Times New Roman" w:hAnsi="Times New Roman" w:cs="Times New Roman"/>
                <w:sz w:val="24"/>
                <w:szCs w:val="24"/>
                <w:lang w:eastAsia="hu-HU"/>
              </w:rPr>
            </w:pPr>
            <w:r w:rsidRPr="00FD303F">
              <w:rPr>
                <w:rFonts w:ascii="Times New Roman" w:eastAsia="Times New Roman" w:hAnsi="Times New Roman" w:cs="Times New Roman"/>
                <w:sz w:val="24"/>
                <w:szCs w:val="24"/>
                <w:lang w:eastAsia="hu-HU"/>
              </w:rPr>
              <w:t>HKHDTA41</w:t>
            </w:r>
          </w:p>
        </w:tc>
      </w:tr>
      <w:tr w:rsidR="0010643F" w:rsidRPr="0010643F" w:rsidTr="00FD303F">
        <w:trPr>
          <w:trHeight w:val="315"/>
          <w:jc w:val="center"/>
        </w:trPr>
        <w:tc>
          <w:tcPr>
            <w:tcW w:w="5671" w:type="dxa"/>
            <w:shd w:val="clear" w:color="auto" w:fill="FFFFFF" w:themeFill="background1"/>
            <w:vAlign w:val="center"/>
            <w:hideMark/>
          </w:tcPr>
          <w:p w:rsidR="0010643F" w:rsidRPr="0010643F" w:rsidRDefault="00943758" w:rsidP="0056665F">
            <w:pPr>
              <w:pStyle w:val="Listaszerbekezds"/>
              <w:numPr>
                <w:ilvl w:val="0"/>
                <w:numId w:val="9"/>
              </w:numPr>
              <w:spacing w:after="0" w:line="240" w:lineRule="auto"/>
              <w:ind w:left="640" w:hanging="425"/>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 xml:space="preserve">Korszerű </w:t>
            </w:r>
            <w:r w:rsidRPr="00815AEA">
              <w:rPr>
                <w:rFonts w:ascii="Times New Roman" w:eastAsia="Times New Roman" w:hAnsi="Times New Roman" w:cs="Times New Roman"/>
                <w:sz w:val="24"/>
                <w:szCs w:val="24"/>
                <w:lang w:eastAsia="hu-HU"/>
              </w:rPr>
              <w:t>repülőgépek</w:t>
            </w:r>
            <w:r w:rsidR="0010643F" w:rsidRPr="0010643F">
              <w:rPr>
                <w:rFonts w:ascii="Times New Roman" w:eastAsia="Times New Roman" w:hAnsi="Times New Roman" w:cs="Times New Roman"/>
                <w:sz w:val="24"/>
                <w:szCs w:val="24"/>
                <w:lang w:eastAsia="hu-HU"/>
              </w:rPr>
              <w:t xml:space="preserve"> a modern kor háborúiban</w:t>
            </w:r>
          </w:p>
        </w:tc>
        <w:tc>
          <w:tcPr>
            <w:tcW w:w="1984" w:type="dxa"/>
            <w:shd w:val="clear" w:color="auto" w:fill="FFFFFF" w:themeFill="background1"/>
            <w:vAlign w:val="center"/>
          </w:tcPr>
          <w:p w:rsidR="0010643F" w:rsidRPr="00FD303F" w:rsidRDefault="0010643F" w:rsidP="00FD303F">
            <w:pPr>
              <w:spacing w:after="0" w:line="240" w:lineRule="auto"/>
              <w:rPr>
                <w:rFonts w:ascii="Times New Roman" w:eastAsia="Times New Roman" w:hAnsi="Times New Roman" w:cs="Times New Roman"/>
                <w:sz w:val="24"/>
                <w:szCs w:val="24"/>
                <w:lang w:eastAsia="hu-HU"/>
              </w:rPr>
            </w:pPr>
            <w:r w:rsidRPr="00FD303F">
              <w:rPr>
                <w:rFonts w:ascii="Times New Roman" w:eastAsia="Times New Roman" w:hAnsi="Times New Roman" w:cs="Times New Roman"/>
                <w:sz w:val="24"/>
                <w:szCs w:val="24"/>
                <w:lang w:eastAsia="hu-HU"/>
              </w:rPr>
              <w:t>HKHDTA42</w:t>
            </w:r>
          </w:p>
        </w:tc>
      </w:tr>
      <w:tr w:rsidR="0010643F" w:rsidRPr="0010643F" w:rsidTr="00FD303F">
        <w:trPr>
          <w:trHeight w:val="330"/>
          <w:jc w:val="center"/>
        </w:trPr>
        <w:tc>
          <w:tcPr>
            <w:tcW w:w="5671" w:type="dxa"/>
            <w:shd w:val="clear" w:color="auto" w:fill="FFFFFF" w:themeFill="background1"/>
            <w:vAlign w:val="center"/>
            <w:hideMark/>
          </w:tcPr>
          <w:p w:rsidR="0010643F" w:rsidRPr="0010643F" w:rsidRDefault="0010643F" w:rsidP="0056665F">
            <w:pPr>
              <w:pStyle w:val="Listaszerbekezds"/>
              <w:numPr>
                <w:ilvl w:val="0"/>
                <w:numId w:val="9"/>
              </w:numPr>
              <w:spacing w:after="0" w:line="240" w:lineRule="auto"/>
              <w:ind w:left="640" w:hanging="425"/>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Korszerű robotok a modern kor háborúiban</w:t>
            </w:r>
          </w:p>
        </w:tc>
        <w:tc>
          <w:tcPr>
            <w:tcW w:w="1984" w:type="dxa"/>
            <w:shd w:val="clear" w:color="auto" w:fill="FFFFFF" w:themeFill="background1"/>
            <w:vAlign w:val="center"/>
          </w:tcPr>
          <w:p w:rsidR="0010643F" w:rsidRPr="00FD303F" w:rsidRDefault="0010643F" w:rsidP="00FD303F">
            <w:pPr>
              <w:spacing w:after="0" w:line="240" w:lineRule="auto"/>
              <w:rPr>
                <w:rFonts w:ascii="Times New Roman" w:eastAsia="Times New Roman" w:hAnsi="Times New Roman" w:cs="Times New Roman"/>
                <w:sz w:val="24"/>
                <w:szCs w:val="24"/>
                <w:lang w:eastAsia="hu-HU"/>
              </w:rPr>
            </w:pPr>
            <w:r w:rsidRPr="00FD303F">
              <w:rPr>
                <w:rFonts w:ascii="Times New Roman" w:eastAsia="Times New Roman" w:hAnsi="Times New Roman" w:cs="Times New Roman"/>
                <w:sz w:val="24"/>
                <w:szCs w:val="24"/>
                <w:lang w:eastAsia="hu-HU"/>
              </w:rPr>
              <w:t>HKHDTA43</w:t>
            </w:r>
          </w:p>
        </w:tc>
      </w:tr>
      <w:tr w:rsidR="0010643F" w:rsidRPr="0010643F" w:rsidTr="00FD303F">
        <w:trPr>
          <w:trHeight w:val="330"/>
          <w:jc w:val="center"/>
        </w:trPr>
        <w:tc>
          <w:tcPr>
            <w:tcW w:w="5671" w:type="dxa"/>
            <w:shd w:val="clear" w:color="auto" w:fill="FFFFFF" w:themeFill="background1"/>
            <w:noWrap/>
            <w:vAlign w:val="center"/>
            <w:hideMark/>
          </w:tcPr>
          <w:p w:rsidR="0010643F" w:rsidRPr="0010643F" w:rsidRDefault="0010643F" w:rsidP="0056665F">
            <w:pPr>
              <w:pStyle w:val="Listaszerbekezds"/>
              <w:numPr>
                <w:ilvl w:val="0"/>
                <w:numId w:val="9"/>
              </w:numPr>
              <w:spacing w:after="0" w:line="240" w:lineRule="auto"/>
              <w:ind w:left="640" w:hanging="425"/>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Valószínűségszámítás LOG</w:t>
            </w:r>
          </w:p>
        </w:tc>
        <w:tc>
          <w:tcPr>
            <w:tcW w:w="1984" w:type="dxa"/>
            <w:shd w:val="clear" w:color="auto" w:fill="FFFFFF" w:themeFill="background1"/>
            <w:vAlign w:val="center"/>
          </w:tcPr>
          <w:p w:rsidR="0010643F" w:rsidRPr="00FD303F" w:rsidRDefault="0010643F" w:rsidP="00FD303F">
            <w:pPr>
              <w:spacing w:after="0" w:line="240" w:lineRule="auto"/>
              <w:rPr>
                <w:rFonts w:ascii="Times New Roman" w:eastAsia="Times New Roman" w:hAnsi="Times New Roman" w:cs="Times New Roman"/>
                <w:sz w:val="24"/>
                <w:szCs w:val="24"/>
                <w:lang w:eastAsia="hu-HU"/>
              </w:rPr>
            </w:pPr>
            <w:r w:rsidRPr="00FD303F">
              <w:rPr>
                <w:rFonts w:ascii="Times New Roman" w:eastAsia="Times New Roman" w:hAnsi="Times New Roman" w:cs="Times New Roman"/>
                <w:sz w:val="24"/>
                <w:szCs w:val="24"/>
                <w:lang w:eastAsia="hu-HU"/>
              </w:rPr>
              <w:t>HK925A194</w:t>
            </w:r>
          </w:p>
        </w:tc>
      </w:tr>
      <w:tr w:rsidR="0010643F" w:rsidRPr="0010643F" w:rsidTr="00FD303F">
        <w:trPr>
          <w:trHeight w:val="315"/>
          <w:jc w:val="center"/>
        </w:trPr>
        <w:tc>
          <w:tcPr>
            <w:tcW w:w="5671" w:type="dxa"/>
            <w:shd w:val="clear" w:color="auto" w:fill="FFFFFF" w:themeFill="background1"/>
            <w:noWrap/>
            <w:vAlign w:val="center"/>
            <w:hideMark/>
          </w:tcPr>
          <w:p w:rsidR="0010643F" w:rsidRPr="0010643F" w:rsidRDefault="0010643F" w:rsidP="0056665F">
            <w:pPr>
              <w:pStyle w:val="Listaszerbekezds"/>
              <w:numPr>
                <w:ilvl w:val="0"/>
                <w:numId w:val="9"/>
              </w:numPr>
              <w:spacing w:after="0" w:line="240" w:lineRule="auto"/>
              <w:ind w:left="640" w:hanging="425"/>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Humán</w:t>
            </w:r>
            <w:r w:rsidR="00237F42">
              <w:rPr>
                <w:rFonts w:ascii="Times New Roman" w:eastAsia="Times New Roman" w:hAnsi="Times New Roman" w:cs="Times New Roman"/>
                <w:sz w:val="24"/>
                <w:szCs w:val="24"/>
                <w:lang w:eastAsia="hu-HU"/>
              </w:rPr>
              <w:t>-</w:t>
            </w:r>
            <w:r w:rsidRPr="0010643F">
              <w:rPr>
                <w:rFonts w:ascii="Times New Roman" w:eastAsia="Times New Roman" w:hAnsi="Times New Roman" w:cs="Times New Roman"/>
                <w:sz w:val="24"/>
                <w:szCs w:val="24"/>
                <w:lang w:eastAsia="hu-HU"/>
              </w:rPr>
              <w:t>erőforrás menedzsment</w:t>
            </w:r>
          </w:p>
        </w:tc>
        <w:tc>
          <w:tcPr>
            <w:tcW w:w="1984" w:type="dxa"/>
            <w:shd w:val="clear" w:color="auto" w:fill="FFFFFF" w:themeFill="background1"/>
            <w:vAlign w:val="center"/>
          </w:tcPr>
          <w:p w:rsidR="0010643F" w:rsidRPr="00FD303F" w:rsidRDefault="0010643F" w:rsidP="00FD303F">
            <w:pPr>
              <w:spacing w:after="0" w:line="240" w:lineRule="auto"/>
              <w:rPr>
                <w:rFonts w:ascii="Times New Roman" w:eastAsia="Times New Roman" w:hAnsi="Times New Roman" w:cs="Times New Roman"/>
                <w:sz w:val="24"/>
                <w:szCs w:val="24"/>
                <w:lang w:eastAsia="hu-HU"/>
              </w:rPr>
            </w:pPr>
            <w:r w:rsidRPr="00FD303F">
              <w:rPr>
                <w:rFonts w:ascii="Times New Roman" w:eastAsia="Times New Roman" w:hAnsi="Times New Roman" w:cs="Times New Roman"/>
                <w:sz w:val="24"/>
                <w:szCs w:val="24"/>
                <w:lang w:eastAsia="hu-HU"/>
              </w:rPr>
              <w:t>HKKVKA102</w:t>
            </w:r>
          </w:p>
        </w:tc>
      </w:tr>
      <w:tr w:rsidR="0010643F" w:rsidRPr="0010643F" w:rsidTr="00FD303F">
        <w:trPr>
          <w:trHeight w:val="315"/>
          <w:jc w:val="center"/>
        </w:trPr>
        <w:tc>
          <w:tcPr>
            <w:tcW w:w="5671" w:type="dxa"/>
            <w:shd w:val="clear" w:color="auto" w:fill="FFFFFF" w:themeFill="background1"/>
            <w:noWrap/>
            <w:vAlign w:val="center"/>
            <w:hideMark/>
          </w:tcPr>
          <w:p w:rsidR="0010643F" w:rsidRPr="0010643F" w:rsidRDefault="0010643F" w:rsidP="0056665F">
            <w:pPr>
              <w:pStyle w:val="Listaszerbekezds"/>
              <w:numPr>
                <w:ilvl w:val="0"/>
                <w:numId w:val="9"/>
              </w:numPr>
              <w:spacing w:after="0" w:line="240" w:lineRule="auto"/>
              <w:ind w:left="640" w:hanging="425"/>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Számvitel IV. (Pénzügyi számvitel I.)</w:t>
            </w:r>
          </w:p>
        </w:tc>
        <w:tc>
          <w:tcPr>
            <w:tcW w:w="1984" w:type="dxa"/>
            <w:shd w:val="clear" w:color="auto" w:fill="FFFFFF" w:themeFill="background1"/>
            <w:vAlign w:val="center"/>
          </w:tcPr>
          <w:p w:rsidR="0010643F" w:rsidRPr="00FD303F" w:rsidRDefault="0010643F" w:rsidP="00FD303F">
            <w:pPr>
              <w:spacing w:after="0" w:line="240" w:lineRule="auto"/>
              <w:rPr>
                <w:rFonts w:ascii="Times New Roman" w:eastAsia="Times New Roman" w:hAnsi="Times New Roman" w:cs="Times New Roman"/>
                <w:sz w:val="24"/>
                <w:szCs w:val="24"/>
                <w:lang w:eastAsia="hu-HU"/>
              </w:rPr>
            </w:pPr>
            <w:r w:rsidRPr="00FD303F">
              <w:rPr>
                <w:rFonts w:ascii="Times New Roman" w:eastAsia="Times New Roman" w:hAnsi="Times New Roman" w:cs="Times New Roman"/>
                <w:sz w:val="24"/>
                <w:szCs w:val="24"/>
                <w:lang w:eastAsia="hu-HU"/>
              </w:rPr>
              <w:t>HKHPKA527</w:t>
            </w:r>
          </w:p>
        </w:tc>
      </w:tr>
      <w:tr w:rsidR="0010643F" w:rsidRPr="0010643F" w:rsidTr="00FD303F">
        <w:trPr>
          <w:trHeight w:val="315"/>
          <w:jc w:val="center"/>
        </w:trPr>
        <w:tc>
          <w:tcPr>
            <w:tcW w:w="5671" w:type="dxa"/>
            <w:shd w:val="clear" w:color="auto" w:fill="FFFFFF" w:themeFill="background1"/>
            <w:noWrap/>
            <w:vAlign w:val="center"/>
            <w:hideMark/>
          </w:tcPr>
          <w:p w:rsidR="0010643F" w:rsidRPr="0010643F" w:rsidRDefault="0010643F" w:rsidP="0056665F">
            <w:pPr>
              <w:pStyle w:val="Listaszerbekezds"/>
              <w:numPr>
                <w:ilvl w:val="0"/>
                <w:numId w:val="9"/>
              </w:numPr>
              <w:spacing w:after="0" w:line="240" w:lineRule="auto"/>
              <w:ind w:left="640" w:hanging="425"/>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Pénzügyek II. (Vállalati pénzügyek I.)</w:t>
            </w:r>
          </w:p>
        </w:tc>
        <w:tc>
          <w:tcPr>
            <w:tcW w:w="1984" w:type="dxa"/>
            <w:shd w:val="clear" w:color="auto" w:fill="FFFFFF" w:themeFill="background1"/>
            <w:vAlign w:val="center"/>
          </w:tcPr>
          <w:p w:rsidR="0010643F" w:rsidRPr="00FD303F" w:rsidRDefault="0010643F" w:rsidP="00FD303F">
            <w:pPr>
              <w:spacing w:after="0" w:line="240" w:lineRule="auto"/>
              <w:rPr>
                <w:rFonts w:ascii="Times New Roman" w:eastAsia="Times New Roman" w:hAnsi="Times New Roman" w:cs="Times New Roman"/>
                <w:sz w:val="24"/>
                <w:szCs w:val="24"/>
                <w:lang w:eastAsia="hu-HU"/>
              </w:rPr>
            </w:pPr>
            <w:r w:rsidRPr="00FD303F">
              <w:rPr>
                <w:rFonts w:ascii="Times New Roman" w:eastAsia="Times New Roman" w:hAnsi="Times New Roman" w:cs="Times New Roman"/>
                <w:sz w:val="24"/>
                <w:szCs w:val="24"/>
                <w:lang w:eastAsia="hu-HU"/>
              </w:rPr>
              <w:t>HKHPKA524</w:t>
            </w:r>
          </w:p>
        </w:tc>
      </w:tr>
      <w:tr w:rsidR="0010643F" w:rsidRPr="0010643F" w:rsidTr="00FD303F">
        <w:trPr>
          <w:trHeight w:val="315"/>
          <w:jc w:val="center"/>
        </w:trPr>
        <w:tc>
          <w:tcPr>
            <w:tcW w:w="5671" w:type="dxa"/>
            <w:shd w:val="clear" w:color="auto" w:fill="FFFFFF" w:themeFill="background1"/>
            <w:noWrap/>
            <w:vAlign w:val="center"/>
            <w:hideMark/>
          </w:tcPr>
          <w:p w:rsidR="0010643F" w:rsidRPr="0010643F" w:rsidRDefault="0010643F" w:rsidP="0056665F">
            <w:pPr>
              <w:pStyle w:val="Listaszerbekezds"/>
              <w:numPr>
                <w:ilvl w:val="0"/>
                <w:numId w:val="9"/>
              </w:numPr>
              <w:spacing w:after="0" w:line="240" w:lineRule="auto"/>
              <w:ind w:left="640" w:hanging="425"/>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Vállalati információs rendszerek</w:t>
            </w:r>
          </w:p>
        </w:tc>
        <w:tc>
          <w:tcPr>
            <w:tcW w:w="1984" w:type="dxa"/>
            <w:shd w:val="clear" w:color="auto" w:fill="FFFFFF" w:themeFill="background1"/>
            <w:vAlign w:val="center"/>
          </w:tcPr>
          <w:p w:rsidR="0010643F" w:rsidRPr="00FD303F" w:rsidRDefault="0010643F" w:rsidP="00FD303F">
            <w:pPr>
              <w:spacing w:after="0" w:line="240" w:lineRule="auto"/>
              <w:rPr>
                <w:rFonts w:ascii="Times New Roman" w:eastAsia="Times New Roman" w:hAnsi="Times New Roman" w:cs="Times New Roman"/>
                <w:sz w:val="24"/>
                <w:szCs w:val="24"/>
                <w:lang w:eastAsia="hu-HU"/>
              </w:rPr>
            </w:pPr>
            <w:r w:rsidRPr="00FD303F">
              <w:rPr>
                <w:rFonts w:ascii="Times New Roman" w:eastAsia="Times New Roman" w:hAnsi="Times New Roman" w:cs="Times New Roman"/>
                <w:sz w:val="24"/>
                <w:szCs w:val="24"/>
                <w:lang w:eastAsia="hu-HU"/>
              </w:rPr>
              <w:t>HKHPKA529</w:t>
            </w:r>
          </w:p>
        </w:tc>
      </w:tr>
      <w:tr w:rsidR="0010643F" w:rsidRPr="0010643F" w:rsidTr="00FD303F">
        <w:trPr>
          <w:trHeight w:val="315"/>
          <w:jc w:val="center"/>
        </w:trPr>
        <w:tc>
          <w:tcPr>
            <w:tcW w:w="5671" w:type="dxa"/>
            <w:shd w:val="clear" w:color="auto" w:fill="FFFFFF" w:themeFill="background1"/>
            <w:noWrap/>
            <w:vAlign w:val="center"/>
            <w:hideMark/>
          </w:tcPr>
          <w:p w:rsidR="0010643F" w:rsidRPr="0010643F" w:rsidRDefault="0010643F" w:rsidP="0056665F">
            <w:pPr>
              <w:pStyle w:val="Listaszerbekezds"/>
              <w:numPr>
                <w:ilvl w:val="0"/>
                <w:numId w:val="9"/>
              </w:numPr>
              <w:spacing w:after="0" w:line="240" w:lineRule="auto"/>
              <w:ind w:left="640" w:hanging="425"/>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Pénzügyek III. (Vállalati pénzügyek II.)</w:t>
            </w:r>
          </w:p>
        </w:tc>
        <w:tc>
          <w:tcPr>
            <w:tcW w:w="1984" w:type="dxa"/>
            <w:shd w:val="clear" w:color="auto" w:fill="FFFFFF" w:themeFill="background1"/>
            <w:vAlign w:val="center"/>
          </w:tcPr>
          <w:p w:rsidR="0010643F" w:rsidRPr="00FD303F" w:rsidRDefault="0010643F" w:rsidP="00FD303F">
            <w:pPr>
              <w:spacing w:after="0" w:line="240" w:lineRule="auto"/>
              <w:rPr>
                <w:rFonts w:ascii="Times New Roman" w:eastAsia="Times New Roman" w:hAnsi="Times New Roman" w:cs="Times New Roman"/>
                <w:sz w:val="24"/>
                <w:szCs w:val="24"/>
                <w:lang w:eastAsia="hu-HU"/>
              </w:rPr>
            </w:pPr>
            <w:r w:rsidRPr="00FD303F">
              <w:rPr>
                <w:rFonts w:ascii="Times New Roman" w:eastAsia="Times New Roman" w:hAnsi="Times New Roman" w:cs="Times New Roman"/>
                <w:sz w:val="24"/>
                <w:szCs w:val="24"/>
                <w:lang w:eastAsia="hu-HU"/>
              </w:rPr>
              <w:t>HKHPKA525</w:t>
            </w:r>
          </w:p>
        </w:tc>
      </w:tr>
      <w:tr w:rsidR="0010643F" w:rsidRPr="0010643F" w:rsidTr="00FD303F">
        <w:trPr>
          <w:trHeight w:val="315"/>
          <w:jc w:val="center"/>
        </w:trPr>
        <w:tc>
          <w:tcPr>
            <w:tcW w:w="5671" w:type="dxa"/>
            <w:shd w:val="clear" w:color="auto" w:fill="FFFFFF" w:themeFill="background1"/>
            <w:noWrap/>
            <w:vAlign w:val="center"/>
            <w:hideMark/>
          </w:tcPr>
          <w:p w:rsidR="0010643F" w:rsidRPr="0010643F" w:rsidRDefault="0010643F" w:rsidP="0056665F">
            <w:pPr>
              <w:pStyle w:val="Listaszerbekezds"/>
              <w:numPr>
                <w:ilvl w:val="0"/>
                <w:numId w:val="9"/>
              </w:numPr>
              <w:spacing w:after="0" w:line="240" w:lineRule="auto"/>
              <w:ind w:left="640" w:hanging="425"/>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Számvitel V. (Pénzügyi számvitel II.)</w:t>
            </w:r>
          </w:p>
        </w:tc>
        <w:tc>
          <w:tcPr>
            <w:tcW w:w="1984" w:type="dxa"/>
            <w:shd w:val="clear" w:color="auto" w:fill="FFFFFF" w:themeFill="background1"/>
            <w:vAlign w:val="center"/>
          </w:tcPr>
          <w:p w:rsidR="0010643F" w:rsidRPr="00FD303F" w:rsidRDefault="0010643F" w:rsidP="00FD303F">
            <w:pPr>
              <w:spacing w:after="0" w:line="240" w:lineRule="auto"/>
              <w:rPr>
                <w:rFonts w:ascii="Times New Roman" w:eastAsia="Times New Roman" w:hAnsi="Times New Roman" w:cs="Times New Roman"/>
                <w:sz w:val="24"/>
                <w:szCs w:val="24"/>
                <w:lang w:eastAsia="hu-HU"/>
              </w:rPr>
            </w:pPr>
            <w:r w:rsidRPr="00FD303F">
              <w:rPr>
                <w:rFonts w:ascii="Times New Roman" w:eastAsia="Times New Roman" w:hAnsi="Times New Roman" w:cs="Times New Roman"/>
                <w:sz w:val="24"/>
                <w:szCs w:val="24"/>
                <w:lang w:eastAsia="hu-HU"/>
              </w:rPr>
              <w:t>HKHPKA528</w:t>
            </w:r>
          </w:p>
        </w:tc>
      </w:tr>
      <w:tr w:rsidR="0010643F" w:rsidRPr="0010643F" w:rsidTr="00FD303F">
        <w:trPr>
          <w:trHeight w:val="315"/>
          <w:jc w:val="center"/>
        </w:trPr>
        <w:tc>
          <w:tcPr>
            <w:tcW w:w="5671" w:type="dxa"/>
            <w:shd w:val="clear" w:color="auto" w:fill="FFFFFF" w:themeFill="background1"/>
            <w:noWrap/>
            <w:vAlign w:val="center"/>
            <w:hideMark/>
          </w:tcPr>
          <w:p w:rsidR="0010643F" w:rsidRPr="00815AEA" w:rsidRDefault="0010643F" w:rsidP="0056665F">
            <w:pPr>
              <w:pStyle w:val="Listaszerbekezds"/>
              <w:numPr>
                <w:ilvl w:val="0"/>
                <w:numId w:val="9"/>
              </w:numPr>
              <w:spacing w:after="0" w:line="240" w:lineRule="auto"/>
              <w:ind w:left="640" w:hanging="425"/>
              <w:rPr>
                <w:rFonts w:ascii="Times New Roman" w:eastAsia="Times New Roman" w:hAnsi="Times New Roman" w:cs="Times New Roman"/>
                <w:sz w:val="24"/>
                <w:szCs w:val="24"/>
                <w:highlight w:val="yellow"/>
                <w:lang w:eastAsia="hu-HU"/>
              </w:rPr>
            </w:pPr>
            <w:r w:rsidRPr="00815AEA">
              <w:rPr>
                <w:rFonts w:ascii="Times New Roman" w:eastAsia="Times New Roman" w:hAnsi="Times New Roman" w:cs="Times New Roman"/>
                <w:sz w:val="24"/>
                <w:szCs w:val="24"/>
                <w:highlight w:val="yellow"/>
                <w:lang w:eastAsia="hu-HU"/>
              </w:rPr>
              <w:lastRenderedPageBreak/>
              <w:t>Szakmai idegennyelv</w:t>
            </w:r>
            <w:r w:rsidR="00D34CF4">
              <w:rPr>
                <w:rFonts w:ascii="Times New Roman" w:eastAsia="Times New Roman" w:hAnsi="Times New Roman" w:cs="Times New Roman"/>
                <w:sz w:val="24"/>
                <w:szCs w:val="24"/>
                <w:highlight w:val="yellow"/>
                <w:lang w:eastAsia="hu-HU"/>
              </w:rPr>
              <w:t xml:space="preserve"> (Logisztika)</w:t>
            </w:r>
          </w:p>
        </w:tc>
        <w:tc>
          <w:tcPr>
            <w:tcW w:w="1984" w:type="dxa"/>
            <w:shd w:val="clear" w:color="auto" w:fill="FFFFFF" w:themeFill="background1"/>
            <w:vAlign w:val="center"/>
          </w:tcPr>
          <w:p w:rsidR="0010643F" w:rsidRPr="00815AEA" w:rsidRDefault="0010643F" w:rsidP="00FD303F">
            <w:pPr>
              <w:spacing w:after="0" w:line="240" w:lineRule="auto"/>
              <w:rPr>
                <w:rFonts w:ascii="Times New Roman" w:eastAsia="Times New Roman" w:hAnsi="Times New Roman" w:cs="Times New Roman"/>
                <w:sz w:val="24"/>
                <w:szCs w:val="24"/>
                <w:highlight w:val="yellow"/>
                <w:lang w:eastAsia="hu-HU"/>
              </w:rPr>
            </w:pPr>
            <w:r w:rsidRPr="00815AEA">
              <w:rPr>
                <w:rFonts w:ascii="Times New Roman" w:eastAsia="Times New Roman" w:hAnsi="Times New Roman" w:cs="Times New Roman"/>
                <w:sz w:val="24"/>
                <w:szCs w:val="24"/>
                <w:highlight w:val="yellow"/>
                <w:lang w:eastAsia="hu-HU"/>
              </w:rPr>
              <w:t>HKISZLA314</w:t>
            </w:r>
          </w:p>
        </w:tc>
      </w:tr>
      <w:tr w:rsidR="0010643F" w:rsidRPr="0010643F" w:rsidTr="00FD303F">
        <w:trPr>
          <w:trHeight w:val="330"/>
          <w:jc w:val="center"/>
        </w:trPr>
        <w:tc>
          <w:tcPr>
            <w:tcW w:w="5671" w:type="dxa"/>
            <w:shd w:val="clear" w:color="auto" w:fill="FFFFFF" w:themeFill="background1"/>
            <w:noWrap/>
            <w:vAlign w:val="center"/>
            <w:hideMark/>
          </w:tcPr>
          <w:p w:rsidR="0010643F" w:rsidRPr="0010643F" w:rsidRDefault="0010643F" w:rsidP="0056665F">
            <w:pPr>
              <w:pStyle w:val="Listaszerbekezds"/>
              <w:numPr>
                <w:ilvl w:val="0"/>
                <w:numId w:val="9"/>
              </w:numPr>
              <w:spacing w:after="0" w:line="240" w:lineRule="auto"/>
              <w:ind w:left="640" w:hanging="425"/>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Katonai logisztikai informatikai modulok</w:t>
            </w:r>
          </w:p>
        </w:tc>
        <w:tc>
          <w:tcPr>
            <w:tcW w:w="1984" w:type="dxa"/>
            <w:shd w:val="clear" w:color="auto" w:fill="FFFFFF" w:themeFill="background1"/>
            <w:vAlign w:val="center"/>
          </w:tcPr>
          <w:p w:rsidR="0010643F" w:rsidRPr="00FD303F" w:rsidRDefault="0010643F" w:rsidP="00FD303F">
            <w:pPr>
              <w:spacing w:after="0" w:line="240" w:lineRule="auto"/>
              <w:rPr>
                <w:rFonts w:ascii="Times New Roman" w:eastAsia="Times New Roman" w:hAnsi="Times New Roman" w:cs="Times New Roman"/>
                <w:sz w:val="24"/>
                <w:szCs w:val="24"/>
                <w:lang w:eastAsia="hu-HU"/>
              </w:rPr>
            </w:pPr>
            <w:r w:rsidRPr="00FD303F">
              <w:rPr>
                <w:rFonts w:ascii="Times New Roman" w:eastAsia="Times New Roman" w:hAnsi="Times New Roman" w:cs="Times New Roman"/>
                <w:sz w:val="24"/>
                <w:szCs w:val="24"/>
                <w:lang w:eastAsia="hu-HU"/>
              </w:rPr>
              <w:t>HKHPKA122</w:t>
            </w:r>
          </w:p>
        </w:tc>
      </w:tr>
      <w:tr w:rsidR="0010643F" w:rsidRPr="0010643F" w:rsidTr="00FD303F">
        <w:trPr>
          <w:trHeight w:val="330"/>
          <w:jc w:val="center"/>
        </w:trPr>
        <w:tc>
          <w:tcPr>
            <w:tcW w:w="5671" w:type="dxa"/>
            <w:shd w:val="clear" w:color="auto" w:fill="FFFFFF" w:themeFill="background1"/>
            <w:noWrap/>
            <w:vAlign w:val="center"/>
            <w:hideMark/>
          </w:tcPr>
          <w:p w:rsidR="0010643F" w:rsidRPr="0033760F" w:rsidRDefault="00A416DE" w:rsidP="0056665F">
            <w:pPr>
              <w:pStyle w:val="Listaszerbekezds"/>
              <w:numPr>
                <w:ilvl w:val="0"/>
                <w:numId w:val="9"/>
              </w:numPr>
              <w:spacing w:after="0" w:line="240" w:lineRule="auto"/>
              <w:ind w:left="640" w:hanging="425"/>
              <w:rPr>
                <w:rFonts w:ascii="Times New Roman" w:eastAsia="Times New Roman" w:hAnsi="Times New Roman" w:cs="Times New Roman"/>
                <w:sz w:val="24"/>
                <w:szCs w:val="24"/>
                <w:lang w:eastAsia="hu-HU"/>
              </w:rPr>
            </w:pPr>
            <w:r w:rsidRPr="0033760F">
              <w:rPr>
                <w:rFonts w:ascii="Times New Roman" w:eastAsia="Times New Roman" w:hAnsi="Times New Roman" w:cs="Times New Roman"/>
                <w:sz w:val="24"/>
                <w:szCs w:val="24"/>
                <w:lang w:eastAsia="hu-HU"/>
              </w:rPr>
              <w:t>Gazdasági- és pénzügyi jog alapjai</w:t>
            </w:r>
          </w:p>
        </w:tc>
        <w:tc>
          <w:tcPr>
            <w:tcW w:w="1984" w:type="dxa"/>
            <w:shd w:val="clear" w:color="auto" w:fill="FFFFFF" w:themeFill="background1"/>
            <w:vAlign w:val="center"/>
          </w:tcPr>
          <w:p w:rsidR="0010643F" w:rsidRPr="00FD303F" w:rsidRDefault="0010643F" w:rsidP="00FD303F">
            <w:pPr>
              <w:spacing w:after="0" w:line="240" w:lineRule="auto"/>
              <w:rPr>
                <w:rFonts w:ascii="Times New Roman" w:eastAsia="Times New Roman" w:hAnsi="Times New Roman" w:cs="Times New Roman"/>
                <w:sz w:val="24"/>
                <w:szCs w:val="24"/>
                <w:lang w:eastAsia="hu-HU"/>
              </w:rPr>
            </w:pPr>
            <w:r w:rsidRPr="0033760F">
              <w:rPr>
                <w:rFonts w:ascii="Times New Roman" w:eastAsia="Times New Roman" w:hAnsi="Times New Roman" w:cs="Times New Roman"/>
                <w:sz w:val="24"/>
                <w:szCs w:val="24"/>
                <w:lang w:eastAsia="hu-HU"/>
              </w:rPr>
              <w:t>HKHPKA523</w:t>
            </w:r>
          </w:p>
        </w:tc>
      </w:tr>
      <w:tr w:rsidR="0010643F" w:rsidRPr="0033760F" w:rsidTr="00FD303F">
        <w:trPr>
          <w:trHeight w:val="312"/>
          <w:jc w:val="center"/>
        </w:trPr>
        <w:tc>
          <w:tcPr>
            <w:tcW w:w="5671" w:type="dxa"/>
            <w:shd w:val="clear" w:color="auto" w:fill="FFFFFF" w:themeFill="background1"/>
            <w:noWrap/>
            <w:vAlign w:val="center"/>
            <w:hideMark/>
          </w:tcPr>
          <w:p w:rsidR="0010643F" w:rsidRPr="0033760F" w:rsidRDefault="0010643F" w:rsidP="0056665F">
            <w:pPr>
              <w:pStyle w:val="Listaszerbekezds"/>
              <w:numPr>
                <w:ilvl w:val="0"/>
                <w:numId w:val="9"/>
              </w:numPr>
              <w:spacing w:after="0" w:line="240" w:lineRule="auto"/>
              <w:ind w:left="640" w:hanging="425"/>
              <w:rPr>
                <w:rFonts w:ascii="Times New Roman" w:eastAsia="Times New Roman" w:hAnsi="Times New Roman" w:cs="Times New Roman"/>
                <w:sz w:val="24"/>
                <w:szCs w:val="24"/>
                <w:lang w:eastAsia="hu-HU"/>
              </w:rPr>
            </w:pPr>
            <w:r w:rsidRPr="0033760F">
              <w:rPr>
                <w:rFonts w:ascii="Times New Roman" w:eastAsia="Times New Roman" w:hAnsi="Times New Roman" w:cs="Times New Roman"/>
                <w:sz w:val="24"/>
                <w:szCs w:val="24"/>
                <w:lang w:eastAsia="hu-HU"/>
              </w:rPr>
              <w:t>Pénzügyek IV. (Adózás, társadalombiztosítás)</w:t>
            </w:r>
          </w:p>
        </w:tc>
        <w:tc>
          <w:tcPr>
            <w:tcW w:w="1984" w:type="dxa"/>
            <w:shd w:val="clear" w:color="auto" w:fill="FFFFFF" w:themeFill="background1"/>
            <w:vAlign w:val="center"/>
          </w:tcPr>
          <w:p w:rsidR="0010643F" w:rsidRPr="0033760F" w:rsidRDefault="0010643F" w:rsidP="00FD303F">
            <w:pPr>
              <w:spacing w:after="0" w:line="240" w:lineRule="auto"/>
              <w:rPr>
                <w:rFonts w:ascii="Times New Roman" w:eastAsia="Times New Roman" w:hAnsi="Times New Roman" w:cs="Times New Roman"/>
                <w:sz w:val="24"/>
                <w:szCs w:val="24"/>
                <w:lang w:eastAsia="hu-HU"/>
              </w:rPr>
            </w:pPr>
            <w:r w:rsidRPr="0033760F">
              <w:rPr>
                <w:rFonts w:ascii="Times New Roman" w:eastAsia="Times New Roman" w:hAnsi="Times New Roman" w:cs="Times New Roman"/>
                <w:sz w:val="24"/>
                <w:szCs w:val="24"/>
                <w:lang w:eastAsia="hu-HU"/>
              </w:rPr>
              <w:t>HKHPKA526</w:t>
            </w:r>
          </w:p>
        </w:tc>
      </w:tr>
      <w:tr w:rsidR="0010643F" w:rsidRPr="0010643F" w:rsidTr="00FD303F">
        <w:trPr>
          <w:trHeight w:val="315"/>
          <w:jc w:val="center"/>
        </w:trPr>
        <w:tc>
          <w:tcPr>
            <w:tcW w:w="5671" w:type="dxa"/>
            <w:shd w:val="clear" w:color="auto" w:fill="FFFFFF" w:themeFill="background1"/>
            <w:noWrap/>
            <w:vAlign w:val="center"/>
            <w:hideMark/>
          </w:tcPr>
          <w:p w:rsidR="0010643F" w:rsidRPr="0010643F" w:rsidRDefault="0010643F" w:rsidP="0056665F">
            <w:pPr>
              <w:pStyle w:val="Listaszerbekezds"/>
              <w:numPr>
                <w:ilvl w:val="0"/>
                <w:numId w:val="9"/>
              </w:numPr>
              <w:spacing w:after="0" w:line="240" w:lineRule="auto"/>
              <w:ind w:left="640" w:hanging="425"/>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Világgazdaság rendszerének működési alapjai</w:t>
            </w:r>
          </w:p>
        </w:tc>
        <w:tc>
          <w:tcPr>
            <w:tcW w:w="1984" w:type="dxa"/>
            <w:shd w:val="clear" w:color="auto" w:fill="FFFFFF" w:themeFill="background1"/>
            <w:vAlign w:val="center"/>
          </w:tcPr>
          <w:p w:rsidR="0010643F" w:rsidRPr="00FD303F" w:rsidRDefault="0010643F" w:rsidP="00FD303F">
            <w:pPr>
              <w:spacing w:after="0" w:line="240" w:lineRule="auto"/>
              <w:rPr>
                <w:rFonts w:ascii="Times New Roman" w:eastAsia="Times New Roman" w:hAnsi="Times New Roman" w:cs="Times New Roman"/>
                <w:sz w:val="24"/>
                <w:szCs w:val="24"/>
                <w:lang w:eastAsia="hu-HU"/>
              </w:rPr>
            </w:pPr>
            <w:r w:rsidRPr="00FD303F">
              <w:rPr>
                <w:rFonts w:ascii="Times New Roman" w:eastAsia="Times New Roman" w:hAnsi="Times New Roman" w:cs="Times New Roman"/>
                <w:sz w:val="24"/>
                <w:szCs w:val="24"/>
                <w:lang w:eastAsia="hu-HU"/>
              </w:rPr>
              <w:t>HKHPKA124</w:t>
            </w:r>
          </w:p>
        </w:tc>
      </w:tr>
      <w:tr w:rsidR="0010643F" w:rsidRPr="0010643F" w:rsidTr="00FD303F">
        <w:trPr>
          <w:trHeight w:val="315"/>
          <w:jc w:val="center"/>
        </w:trPr>
        <w:tc>
          <w:tcPr>
            <w:tcW w:w="5671" w:type="dxa"/>
            <w:shd w:val="clear" w:color="auto" w:fill="FFFFFF" w:themeFill="background1"/>
            <w:noWrap/>
            <w:vAlign w:val="center"/>
            <w:hideMark/>
          </w:tcPr>
          <w:p w:rsidR="0010643F" w:rsidRPr="0010643F" w:rsidRDefault="0010643F" w:rsidP="0056665F">
            <w:pPr>
              <w:pStyle w:val="Listaszerbekezds"/>
              <w:numPr>
                <w:ilvl w:val="0"/>
                <w:numId w:val="9"/>
              </w:numPr>
              <w:spacing w:after="0" w:line="240" w:lineRule="auto"/>
              <w:ind w:left="640" w:hanging="425"/>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 xml:space="preserve">Közlekedésbiztonság </w:t>
            </w:r>
          </w:p>
        </w:tc>
        <w:tc>
          <w:tcPr>
            <w:tcW w:w="1984" w:type="dxa"/>
            <w:shd w:val="clear" w:color="auto" w:fill="FFFFFF" w:themeFill="background1"/>
            <w:vAlign w:val="center"/>
          </w:tcPr>
          <w:p w:rsidR="0010643F" w:rsidRPr="00FD303F" w:rsidRDefault="0010643F" w:rsidP="00FD303F">
            <w:pPr>
              <w:spacing w:after="0" w:line="240" w:lineRule="auto"/>
              <w:rPr>
                <w:rFonts w:ascii="Times New Roman" w:eastAsia="Times New Roman" w:hAnsi="Times New Roman" w:cs="Times New Roman"/>
                <w:sz w:val="24"/>
                <w:szCs w:val="24"/>
                <w:lang w:eastAsia="hu-HU"/>
              </w:rPr>
            </w:pPr>
            <w:r w:rsidRPr="00FD303F">
              <w:rPr>
                <w:rFonts w:ascii="Times New Roman" w:eastAsia="Times New Roman" w:hAnsi="Times New Roman" w:cs="Times New Roman"/>
                <w:sz w:val="24"/>
                <w:szCs w:val="24"/>
                <w:lang w:eastAsia="hu-HU"/>
              </w:rPr>
              <w:t>HKHPKA380</w:t>
            </w:r>
          </w:p>
        </w:tc>
      </w:tr>
      <w:tr w:rsidR="0010643F" w:rsidRPr="0010643F" w:rsidTr="00FD303F">
        <w:trPr>
          <w:trHeight w:val="315"/>
          <w:jc w:val="center"/>
        </w:trPr>
        <w:tc>
          <w:tcPr>
            <w:tcW w:w="5671" w:type="dxa"/>
            <w:shd w:val="clear" w:color="auto" w:fill="FFFFFF" w:themeFill="background1"/>
            <w:noWrap/>
            <w:vAlign w:val="center"/>
            <w:hideMark/>
          </w:tcPr>
          <w:p w:rsidR="0010643F" w:rsidRPr="0010643F" w:rsidRDefault="0010643F" w:rsidP="0056665F">
            <w:pPr>
              <w:pStyle w:val="Listaszerbekezds"/>
              <w:numPr>
                <w:ilvl w:val="0"/>
                <w:numId w:val="9"/>
              </w:numPr>
              <w:spacing w:after="0" w:line="240" w:lineRule="auto"/>
              <w:ind w:left="640" w:hanging="425"/>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Fenntarthatóság a katonai logisztikában</w:t>
            </w:r>
          </w:p>
        </w:tc>
        <w:tc>
          <w:tcPr>
            <w:tcW w:w="1984" w:type="dxa"/>
            <w:shd w:val="clear" w:color="auto" w:fill="FFFFFF" w:themeFill="background1"/>
            <w:vAlign w:val="center"/>
          </w:tcPr>
          <w:p w:rsidR="0010643F" w:rsidRPr="00FD303F" w:rsidRDefault="0010643F" w:rsidP="00FD303F">
            <w:pPr>
              <w:spacing w:after="0" w:line="240" w:lineRule="auto"/>
              <w:rPr>
                <w:rFonts w:ascii="Times New Roman" w:eastAsia="Times New Roman" w:hAnsi="Times New Roman" w:cs="Times New Roman"/>
                <w:sz w:val="24"/>
                <w:szCs w:val="24"/>
                <w:lang w:eastAsia="hu-HU"/>
              </w:rPr>
            </w:pPr>
            <w:r w:rsidRPr="00FD303F">
              <w:rPr>
                <w:rFonts w:ascii="Times New Roman" w:eastAsia="Times New Roman" w:hAnsi="Times New Roman" w:cs="Times New Roman"/>
                <w:sz w:val="24"/>
                <w:szCs w:val="24"/>
                <w:lang w:eastAsia="hu-HU"/>
              </w:rPr>
              <w:t>HKHPKA381</w:t>
            </w:r>
          </w:p>
        </w:tc>
      </w:tr>
      <w:tr w:rsidR="0010643F" w:rsidRPr="0033760F" w:rsidTr="00FD303F">
        <w:trPr>
          <w:trHeight w:val="315"/>
          <w:jc w:val="center"/>
        </w:trPr>
        <w:tc>
          <w:tcPr>
            <w:tcW w:w="5671" w:type="dxa"/>
            <w:shd w:val="clear" w:color="auto" w:fill="FFFFFF" w:themeFill="background1"/>
            <w:noWrap/>
            <w:vAlign w:val="center"/>
            <w:hideMark/>
          </w:tcPr>
          <w:p w:rsidR="0010643F" w:rsidRPr="0033760F" w:rsidRDefault="0010643F" w:rsidP="0056665F">
            <w:pPr>
              <w:pStyle w:val="Listaszerbekezds"/>
              <w:numPr>
                <w:ilvl w:val="0"/>
                <w:numId w:val="9"/>
              </w:numPr>
              <w:spacing w:after="0" w:line="240" w:lineRule="auto"/>
              <w:ind w:left="640" w:hanging="425"/>
              <w:rPr>
                <w:rFonts w:ascii="Times New Roman" w:eastAsia="Times New Roman" w:hAnsi="Times New Roman" w:cs="Times New Roman"/>
                <w:sz w:val="24"/>
                <w:szCs w:val="24"/>
                <w:lang w:eastAsia="hu-HU"/>
              </w:rPr>
            </w:pPr>
            <w:r w:rsidRPr="0033760F">
              <w:rPr>
                <w:rFonts w:ascii="Times New Roman" w:eastAsia="Times New Roman" w:hAnsi="Times New Roman" w:cs="Times New Roman"/>
                <w:sz w:val="24"/>
                <w:szCs w:val="24"/>
                <w:lang w:eastAsia="hu-HU"/>
              </w:rPr>
              <w:t xml:space="preserve">Közlekedéspolitika </w:t>
            </w:r>
          </w:p>
        </w:tc>
        <w:tc>
          <w:tcPr>
            <w:tcW w:w="1984" w:type="dxa"/>
            <w:shd w:val="clear" w:color="auto" w:fill="FFFFFF" w:themeFill="background1"/>
            <w:vAlign w:val="center"/>
          </w:tcPr>
          <w:p w:rsidR="0010643F" w:rsidRPr="0033760F" w:rsidRDefault="0010643F" w:rsidP="00FD303F">
            <w:pPr>
              <w:spacing w:after="0" w:line="240" w:lineRule="auto"/>
              <w:rPr>
                <w:rFonts w:ascii="Times New Roman" w:eastAsia="Times New Roman" w:hAnsi="Times New Roman" w:cs="Times New Roman"/>
                <w:sz w:val="24"/>
                <w:szCs w:val="24"/>
                <w:lang w:eastAsia="hu-HU"/>
              </w:rPr>
            </w:pPr>
            <w:r w:rsidRPr="0033760F">
              <w:rPr>
                <w:rFonts w:ascii="Times New Roman" w:eastAsia="Times New Roman" w:hAnsi="Times New Roman" w:cs="Times New Roman"/>
                <w:sz w:val="24"/>
                <w:szCs w:val="24"/>
                <w:lang w:eastAsia="hu-HU"/>
              </w:rPr>
              <w:t>HKHPKA382</w:t>
            </w:r>
          </w:p>
        </w:tc>
      </w:tr>
      <w:tr w:rsidR="0010643F" w:rsidRPr="0010643F" w:rsidTr="00FD303F">
        <w:trPr>
          <w:trHeight w:val="330"/>
          <w:jc w:val="center"/>
        </w:trPr>
        <w:tc>
          <w:tcPr>
            <w:tcW w:w="5671" w:type="dxa"/>
            <w:shd w:val="clear" w:color="auto" w:fill="FFFFFF" w:themeFill="background1"/>
            <w:noWrap/>
            <w:vAlign w:val="center"/>
            <w:hideMark/>
          </w:tcPr>
          <w:p w:rsidR="0010643F" w:rsidRPr="0010643F" w:rsidRDefault="0010643F" w:rsidP="0056665F">
            <w:pPr>
              <w:pStyle w:val="Listaszerbekezds"/>
              <w:numPr>
                <w:ilvl w:val="0"/>
                <w:numId w:val="9"/>
              </w:numPr>
              <w:spacing w:after="0" w:line="240" w:lineRule="auto"/>
              <w:ind w:left="640" w:hanging="425"/>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Intelligens közlekedési rendszer</w:t>
            </w:r>
          </w:p>
        </w:tc>
        <w:tc>
          <w:tcPr>
            <w:tcW w:w="1984" w:type="dxa"/>
            <w:shd w:val="clear" w:color="auto" w:fill="FFFFFF" w:themeFill="background1"/>
            <w:vAlign w:val="center"/>
          </w:tcPr>
          <w:p w:rsidR="0010643F" w:rsidRPr="00FD303F" w:rsidRDefault="0010643F" w:rsidP="00FD303F">
            <w:pPr>
              <w:spacing w:after="0" w:line="240" w:lineRule="auto"/>
              <w:rPr>
                <w:rFonts w:ascii="Times New Roman" w:eastAsia="Times New Roman" w:hAnsi="Times New Roman" w:cs="Times New Roman"/>
                <w:sz w:val="24"/>
                <w:szCs w:val="24"/>
                <w:lang w:eastAsia="hu-HU"/>
              </w:rPr>
            </w:pPr>
            <w:r w:rsidRPr="00FD303F">
              <w:rPr>
                <w:rFonts w:ascii="Times New Roman" w:eastAsia="Times New Roman" w:hAnsi="Times New Roman" w:cs="Times New Roman"/>
                <w:sz w:val="24"/>
                <w:szCs w:val="24"/>
                <w:lang w:eastAsia="hu-HU"/>
              </w:rPr>
              <w:t>HKHPKA383</w:t>
            </w:r>
          </w:p>
        </w:tc>
      </w:tr>
      <w:tr w:rsidR="0010643F" w:rsidRPr="0010643F" w:rsidTr="00FD303F">
        <w:trPr>
          <w:trHeight w:val="330"/>
          <w:jc w:val="center"/>
        </w:trPr>
        <w:tc>
          <w:tcPr>
            <w:tcW w:w="5671" w:type="dxa"/>
            <w:shd w:val="clear" w:color="auto" w:fill="FFFFFF" w:themeFill="background1"/>
            <w:noWrap/>
            <w:vAlign w:val="center"/>
            <w:hideMark/>
          </w:tcPr>
          <w:p w:rsidR="0010643F" w:rsidRPr="0010643F" w:rsidRDefault="0010643F" w:rsidP="0056665F">
            <w:pPr>
              <w:pStyle w:val="Listaszerbekezds"/>
              <w:numPr>
                <w:ilvl w:val="0"/>
                <w:numId w:val="9"/>
              </w:numPr>
              <w:spacing w:after="0" w:line="240" w:lineRule="auto"/>
              <w:ind w:left="640" w:hanging="425"/>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Logisztikai műveletek tervezése</w:t>
            </w:r>
          </w:p>
        </w:tc>
        <w:tc>
          <w:tcPr>
            <w:tcW w:w="1984" w:type="dxa"/>
            <w:shd w:val="clear" w:color="auto" w:fill="FFFFFF" w:themeFill="background1"/>
            <w:vAlign w:val="center"/>
          </w:tcPr>
          <w:p w:rsidR="0010643F" w:rsidRPr="00FD303F" w:rsidRDefault="0010643F" w:rsidP="00FD303F">
            <w:pPr>
              <w:spacing w:after="0" w:line="240" w:lineRule="auto"/>
              <w:rPr>
                <w:rFonts w:ascii="Times New Roman" w:eastAsia="Times New Roman" w:hAnsi="Times New Roman" w:cs="Times New Roman"/>
                <w:sz w:val="24"/>
                <w:szCs w:val="24"/>
                <w:lang w:eastAsia="hu-HU"/>
              </w:rPr>
            </w:pPr>
            <w:r w:rsidRPr="00FD303F">
              <w:rPr>
                <w:rFonts w:ascii="Times New Roman" w:eastAsia="Times New Roman" w:hAnsi="Times New Roman" w:cs="Times New Roman"/>
                <w:sz w:val="24"/>
                <w:szCs w:val="24"/>
                <w:lang w:eastAsia="hu-HU"/>
              </w:rPr>
              <w:t>HKHPKA384</w:t>
            </w:r>
          </w:p>
        </w:tc>
      </w:tr>
      <w:tr w:rsidR="0010643F" w:rsidRPr="0010643F" w:rsidTr="00FD303F">
        <w:trPr>
          <w:trHeight w:val="315"/>
          <w:jc w:val="center"/>
        </w:trPr>
        <w:tc>
          <w:tcPr>
            <w:tcW w:w="5671" w:type="dxa"/>
            <w:shd w:val="clear" w:color="auto" w:fill="FFFFFF" w:themeFill="background1"/>
            <w:noWrap/>
            <w:vAlign w:val="center"/>
            <w:hideMark/>
          </w:tcPr>
          <w:p w:rsidR="0010643F" w:rsidRPr="0010643F" w:rsidRDefault="0010643F" w:rsidP="0056665F">
            <w:pPr>
              <w:pStyle w:val="Listaszerbekezds"/>
              <w:numPr>
                <w:ilvl w:val="0"/>
                <w:numId w:val="9"/>
              </w:numPr>
              <w:spacing w:after="0" w:line="240" w:lineRule="auto"/>
              <w:ind w:left="640" w:hanging="425"/>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NATO informatikai rendszerek</w:t>
            </w:r>
          </w:p>
        </w:tc>
        <w:tc>
          <w:tcPr>
            <w:tcW w:w="1984" w:type="dxa"/>
            <w:shd w:val="clear" w:color="auto" w:fill="FFFFFF" w:themeFill="background1"/>
            <w:vAlign w:val="center"/>
          </w:tcPr>
          <w:p w:rsidR="0010643F" w:rsidRPr="00FD303F" w:rsidRDefault="0010643F" w:rsidP="00FD303F">
            <w:pPr>
              <w:spacing w:after="0" w:line="240" w:lineRule="auto"/>
              <w:rPr>
                <w:rFonts w:ascii="Times New Roman" w:eastAsia="Times New Roman" w:hAnsi="Times New Roman" w:cs="Times New Roman"/>
                <w:sz w:val="24"/>
                <w:szCs w:val="24"/>
                <w:lang w:eastAsia="hu-HU"/>
              </w:rPr>
            </w:pPr>
            <w:r w:rsidRPr="00FD303F">
              <w:rPr>
                <w:rFonts w:ascii="Times New Roman" w:eastAsia="Times New Roman" w:hAnsi="Times New Roman" w:cs="Times New Roman"/>
                <w:sz w:val="24"/>
                <w:szCs w:val="24"/>
                <w:lang w:eastAsia="hu-HU"/>
              </w:rPr>
              <w:t>HKHPKA385</w:t>
            </w:r>
          </w:p>
        </w:tc>
      </w:tr>
      <w:tr w:rsidR="0010643F" w:rsidRPr="0010643F" w:rsidTr="00FD303F">
        <w:trPr>
          <w:trHeight w:val="315"/>
          <w:jc w:val="center"/>
        </w:trPr>
        <w:tc>
          <w:tcPr>
            <w:tcW w:w="5671" w:type="dxa"/>
            <w:shd w:val="clear" w:color="auto" w:fill="FFFFFF" w:themeFill="background1"/>
            <w:noWrap/>
            <w:vAlign w:val="center"/>
            <w:hideMark/>
          </w:tcPr>
          <w:p w:rsidR="0010643F" w:rsidRPr="0010643F" w:rsidRDefault="0010643F" w:rsidP="0056665F">
            <w:pPr>
              <w:pStyle w:val="Listaszerbekezds"/>
              <w:numPr>
                <w:ilvl w:val="0"/>
                <w:numId w:val="9"/>
              </w:numPr>
              <w:spacing w:after="0" w:line="240" w:lineRule="auto"/>
              <w:ind w:left="640" w:hanging="425"/>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Döntéselőkészítés matematikai alapjai LOG</w:t>
            </w:r>
          </w:p>
        </w:tc>
        <w:tc>
          <w:tcPr>
            <w:tcW w:w="1984" w:type="dxa"/>
            <w:shd w:val="clear" w:color="auto" w:fill="FFFFFF" w:themeFill="background1"/>
            <w:vAlign w:val="center"/>
          </w:tcPr>
          <w:p w:rsidR="0010643F" w:rsidRPr="00FD303F" w:rsidRDefault="0010643F" w:rsidP="00FD303F">
            <w:pPr>
              <w:spacing w:after="0" w:line="240" w:lineRule="auto"/>
              <w:rPr>
                <w:rFonts w:ascii="Times New Roman" w:eastAsia="Times New Roman" w:hAnsi="Times New Roman" w:cs="Times New Roman"/>
                <w:sz w:val="24"/>
                <w:szCs w:val="24"/>
                <w:lang w:eastAsia="hu-HU"/>
              </w:rPr>
            </w:pPr>
            <w:r w:rsidRPr="00FD303F">
              <w:rPr>
                <w:rFonts w:ascii="Times New Roman" w:eastAsia="Times New Roman" w:hAnsi="Times New Roman" w:cs="Times New Roman"/>
                <w:sz w:val="24"/>
                <w:szCs w:val="24"/>
                <w:lang w:eastAsia="hu-HU"/>
              </w:rPr>
              <w:t>HK925A190</w:t>
            </w:r>
          </w:p>
        </w:tc>
      </w:tr>
      <w:tr w:rsidR="0010643F" w:rsidRPr="0010643F" w:rsidTr="00FD303F">
        <w:trPr>
          <w:trHeight w:val="315"/>
          <w:jc w:val="center"/>
        </w:trPr>
        <w:tc>
          <w:tcPr>
            <w:tcW w:w="5671" w:type="dxa"/>
            <w:shd w:val="clear" w:color="auto" w:fill="FFFFFF" w:themeFill="background1"/>
            <w:noWrap/>
            <w:vAlign w:val="center"/>
            <w:hideMark/>
          </w:tcPr>
          <w:p w:rsidR="0010643F" w:rsidRPr="0010643F" w:rsidRDefault="0010643F" w:rsidP="0056665F">
            <w:pPr>
              <w:pStyle w:val="Listaszerbekezds"/>
              <w:numPr>
                <w:ilvl w:val="0"/>
                <w:numId w:val="9"/>
              </w:numPr>
              <w:spacing w:after="0" w:line="240" w:lineRule="auto"/>
              <w:ind w:left="640" w:hanging="425"/>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Mathematical Fundamentals of Decision Theory LOG</w:t>
            </w:r>
          </w:p>
        </w:tc>
        <w:tc>
          <w:tcPr>
            <w:tcW w:w="1984" w:type="dxa"/>
            <w:shd w:val="clear" w:color="auto" w:fill="FFFFFF" w:themeFill="background1"/>
            <w:vAlign w:val="center"/>
          </w:tcPr>
          <w:p w:rsidR="0010643F" w:rsidRPr="00FD303F" w:rsidRDefault="0010643F" w:rsidP="00FD303F">
            <w:pPr>
              <w:spacing w:after="0" w:line="240" w:lineRule="auto"/>
              <w:rPr>
                <w:rFonts w:ascii="Times New Roman" w:eastAsia="Times New Roman" w:hAnsi="Times New Roman" w:cs="Times New Roman"/>
                <w:sz w:val="24"/>
                <w:szCs w:val="24"/>
                <w:lang w:eastAsia="hu-HU"/>
              </w:rPr>
            </w:pPr>
            <w:r w:rsidRPr="00FD303F">
              <w:rPr>
                <w:rFonts w:ascii="Times New Roman" w:eastAsia="Times New Roman" w:hAnsi="Times New Roman" w:cs="Times New Roman"/>
                <w:sz w:val="24"/>
                <w:szCs w:val="24"/>
                <w:lang w:eastAsia="hu-HU"/>
              </w:rPr>
              <w:t>HK925A191</w:t>
            </w:r>
          </w:p>
        </w:tc>
      </w:tr>
      <w:tr w:rsidR="0010643F" w:rsidRPr="0010643F" w:rsidTr="00FD303F">
        <w:trPr>
          <w:trHeight w:val="330"/>
          <w:jc w:val="center"/>
        </w:trPr>
        <w:tc>
          <w:tcPr>
            <w:tcW w:w="5671" w:type="dxa"/>
            <w:shd w:val="clear" w:color="auto" w:fill="FFFFFF" w:themeFill="background1"/>
            <w:noWrap/>
            <w:vAlign w:val="center"/>
            <w:hideMark/>
          </w:tcPr>
          <w:p w:rsidR="0010643F" w:rsidRPr="0010643F" w:rsidRDefault="0010643F" w:rsidP="0056665F">
            <w:pPr>
              <w:pStyle w:val="Listaszerbekezds"/>
              <w:numPr>
                <w:ilvl w:val="0"/>
                <w:numId w:val="9"/>
              </w:numPr>
              <w:spacing w:after="0" w:line="240" w:lineRule="auto"/>
              <w:ind w:left="640" w:hanging="425"/>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Számítógépes vizualizáció és problémamegoldás LOG</w:t>
            </w:r>
          </w:p>
        </w:tc>
        <w:tc>
          <w:tcPr>
            <w:tcW w:w="1984" w:type="dxa"/>
            <w:shd w:val="clear" w:color="auto" w:fill="FFFFFF" w:themeFill="background1"/>
            <w:vAlign w:val="center"/>
          </w:tcPr>
          <w:p w:rsidR="0010643F" w:rsidRPr="00FD303F" w:rsidRDefault="0010643F" w:rsidP="00FD303F">
            <w:pPr>
              <w:spacing w:after="0" w:line="240" w:lineRule="auto"/>
              <w:rPr>
                <w:rFonts w:ascii="Times New Roman" w:eastAsia="Times New Roman" w:hAnsi="Times New Roman" w:cs="Times New Roman"/>
                <w:sz w:val="24"/>
                <w:szCs w:val="24"/>
                <w:lang w:eastAsia="hu-HU"/>
              </w:rPr>
            </w:pPr>
            <w:r w:rsidRPr="00FD303F">
              <w:rPr>
                <w:rFonts w:ascii="Times New Roman" w:eastAsia="Times New Roman" w:hAnsi="Times New Roman" w:cs="Times New Roman"/>
                <w:sz w:val="24"/>
                <w:szCs w:val="24"/>
                <w:lang w:eastAsia="hu-HU"/>
              </w:rPr>
              <w:t>HK925A192</w:t>
            </w:r>
          </w:p>
        </w:tc>
      </w:tr>
      <w:tr w:rsidR="0010643F" w:rsidRPr="0010643F" w:rsidTr="00FD303F">
        <w:trPr>
          <w:trHeight w:val="330"/>
          <w:jc w:val="center"/>
        </w:trPr>
        <w:tc>
          <w:tcPr>
            <w:tcW w:w="5671" w:type="dxa"/>
            <w:shd w:val="clear" w:color="auto" w:fill="FFFFFF" w:themeFill="background1"/>
            <w:noWrap/>
            <w:vAlign w:val="center"/>
            <w:hideMark/>
          </w:tcPr>
          <w:p w:rsidR="0010643F" w:rsidRPr="0010643F" w:rsidRDefault="0010643F" w:rsidP="0056665F">
            <w:pPr>
              <w:pStyle w:val="Listaszerbekezds"/>
              <w:numPr>
                <w:ilvl w:val="0"/>
                <w:numId w:val="9"/>
              </w:numPr>
              <w:spacing w:after="0" w:line="240" w:lineRule="auto"/>
              <w:ind w:left="640" w:hanging="425"/>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Computer visualisation and problem solving LOG</w:t>
            </w:r>
          </w:p>
        </w:tc>
        <w:tc>
          <w:tcPr>
            <w:tcW w:w="1984" w:type="dxa"/>
            <w:shd w:val="clear" w:color="auto" w:fill="FFFFFF" w:themeFill="background1"/>
            <w:vAlign w:val="center"/>
          </w:tcPr>
          <w:p w:rsidR="0010643F" w:rsidRPr="00FD303F" w:rsidRDefault="0010643F" w:rsidP="00FD303F">
            <w:pPr>
              <w:spacing w:after="0" w:line="240" w:lineRule="auto"/>
              <w:rPr>
                <w:rFonts w:ascii="Times New Roman" w:eastAsia="Times New Roman" w:hAnsi="Times New Roman" w:cs="Times New Roman"/>
                <w:sz w:val="24"/>
                <w:szCs w:val="24"/>
                <w:lang w:eastAsia="hu-HU"/>
              </w:rPr>
            </w:pPr>
            <w:r w:rsidRPr="00FD303F">
              <w:rPr>
                <w:rFonts w:ascii="Times New Roman" w:eastAsia="Times New Roman" w:hAnsi="Times New Roman" w:cs="Times New Roman"/>
                <w:sz w:val="24"/>
                <w:szCs w:val="24"/>
                <w:lang w:eastAsia="hu-HU"/>
              </w:rPr>
              <w:t>HK925A193</w:t>
            </w:r>
          </w:p>
        </w:tc>
      </w:tr>
      <w:tr w:rsidR="0010643F" w:rsidRPr="0010643F" w:rsidTr="00FD303F">
        <w:trPr>
          <w:trHeight w:val="312"/>
          <w:jc w:val="center"/>
        </w:trPr>
        <w:tc>
          <w:tcPr>
            <w:tcW w:w="5671" w:type="dxa"/>
            <w:shd w:val="clear" w:color="auto" w:fill="FFFFFF" w:themeFill="background1"/>
            <w:noWrap/>
            <w:vAlign w:val="center"/>
            <w:hideMark/>
          </w:tcPr>
          <w:p w:rsidR="0010643F" w:rsidRPr="0010643F" w:rsidRDefault="0010643F" w:rsidP="0056665F">
            <w:pPr>
              <w:pStyle w:val="Listaszerbekezds"/>
              <w:numPr>
                <w:ilvl w:val="0"/>
                <w:numId w:val="9"/>
              </w:numPr>
              <w:spacing w:after="0" w:line="240" w:lineRule="auto"/>
              <w:ind w:left="640" w:hanging="425"/>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Probability theory LOG</w:t>
            </w:r>
          </w:p>
        </w:tc>
        <w:tc>
          <w:tcPr>
            <w:tcW w:w="1984" w:type="dxa"/>
            <w:shd w:val="clear" w:color="auto" w:fill="FFFFFF" w:themeFill="background1"/>
            <w:vAlign w:val="center"/>
          </w:tcPr>
          <w:p w:rsidR="0010643F" w:rsidRPr="00FD303F" w:rsidRDefault="0010643F" w:rsidP="00FD303F">
            <w:pPr>
              <w:spacing w:after="0" w:line="240" w:lineRule="auto"/>
              <w:rPr>
                <w:rFonts w:ascii="Times New Roman" w:eastAsia="Times New Roman" w:hAnsi="Times New Roman" w:cs="Times New Roman"/>
                <w:sz w:val="24"/>
                <w:szCs w:val="24"/>
                <w:lang w:eastAsia="hu-HU"/>
              </w:rPr>
            </w:pPr>
            <w:r w:rsidRPr="00FD303F">
              <w:rPr>
                <w:rFonts w:ascii="Times New Roman" w:eastAsia="Times New Roman" w:hAnsi="Times New Roman" w:cs="Times New Roman"/>
                <w:sz w:val="24"/>
                <w:szCs w:val="24"/>
                <w:lang w:eastAsia="hu-HU"/>
              </w:rPr>
              <w:t>HK925A195</w:t>
            </w:r>
          </w:p>
        </w:tc>
      </w:tr>
      <w:tr w:rsidR="0010643F" w:rsidRPr="0010643F" w:rsidTr="00FD303F">
        <w:trPr>
          <w:trHeight w:val="315"/>
          <w:jc w:val="center"/>
        </w:trPr>
        <w:tc>
          <w:tcPr>
            <w:tcW w:w="5671" w:type="dxa"/>
            <w:shd w:val="clear" w:color="auto" w:fill="FFFFFF" w:themeFill="background1"/>
            <w:noWrap/>
            <w:vAlign w:val="center"/>
            <w:hideMark/>
          </w:tcPr>
          <w:p w:rsidR="0010643F" w:rsidRPr="0010643F" w:rsidRDefault="0010643F" w:rsidP="0056665F">
            <w:pPr>
              <w:pStyle w:val="Listaszerbekezds"/>
              <w:numPr>
                <w:ilvl w:val="0"/>
                <w:numId w:val="9"/>
              </w:numPr>
              <w:spacing w:after="0" w:line="240" w:lineRule="auto"/>
              <w:ind w:left="640" w:hanging="425"/>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Basic knowledge of world economic system</w:t>
            </w:r>
          </w:p>
        </w:tc>
        <w:tc>
          <w:tcPr>
            <w:tcW w:w="1984" w:type="dxa"/>
            <w:shd w:val="clear" w:color="auto" w:fill="FFFFFF" w:themeFill="background1"/>
            <w:vAlign w:val="center"/>
          </w:tcPr>
          <w:p w:rsidR="0010643F" w:rsidRPr="00FD303F" w:rsidRDefault="0010643F" w:rsidP="00FD303F">
            <w:pPr>
              <w:spacing w:after="0" w:line="240" w:lineRule="auto"/>
              <w:rPr>
                <w:rFonts w:ascii="Times New Roman" w:eastAsia="Times New Roman" w:hAnsi="Times New Roman" w:cs="Times New Roman"/>
                <w:sz w:val="24"/>
                <w:szCs w:val="24"/>
                <w:lang w:eastAsia="hu-HU"/>
              </w:rPr>
            </w:pPr>
            <w:r w:rsidRPr="00FD303F">
              <w:rPr>
                <w:rFonts w:ascii="Times New Roman" w:eastAsia="Times New Roman" w:hAnsi="Times New Roman" w:cs="Times New Roman"/>
                <w:sz w:val="24"/>
                <w:szCs w:val="24"/>
                <w:lang w:eastAsia="hu-HU"/>
              </w:rPr>
              <w:t>HKHPKA724</w:t>
            </w:r>
          </w:p>
        </w:tc>
      </w:tr>
      <w:tr w:rsidR="0010643F" w:rsidRPr="0010643F" w:rsidTr="00FD303F">
        <w:trPr>
          <w:trHeight w:val="315"/>
          <w:jc w:val="center"/>
        </w:trPr>
        <w:tc>
          <w:tcPr>
            <w:tcW w:w="5671" w:type="dxa"/>
            <w:shd w:val="clear" w:color="auto" w:fill="FFFFFF" w:themeFill="background1"/>
            <w:noWrap/>
            <w:vAlign w:val="center"/>
            <w:hideMark/>
          </w:tcPr>
          <w:p w:rsidR="0010643F" w:rsidRPr="0010643F" w:rsidRDefault="0010643F" w:rsidP="0056665F">
            <w:pPr>
              <w:pStyle w:val="Listaszerbekezds"/>
              <w:numPr>
                <w:ilvl w:val="0"/>
                <w:numId w:val="9"/>
              </w:numPr>
              <w:spacing w:after="0" w:line="240" w:lineRule="auto"/>
              <w:ind w:left="640" w:hanging="425"/>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Defense Economics</w:t>
            </w:r>
          </w:p>
        </w:tc>
        <w:tc>
          <w:tcPr>
            <w:tcW w:w="1984" w:type="dxa"/>
            <w:shd w:val="clear" w:color="auto" w:fill="FFFFFF" w:themeFill="background1"/>
            <w:vAlign w:val="center"/>
          </w:tcPr>
          <w:p w:rsidR="0010643F" w:rsidRPr="00FD303F" w:rsidRDefault="0010643F" w:rsidP="00FD303F">
            <w:pPr>
              <w:spacing w:after="0" w:line="240" w:lineRule="auto"/>
              <w:rPr>
                <w:rFonts w:ascii="Times New Roman" w:eastAsia="Times New Roman" w:hAnsi="Times New Roman" w:cs="Times New Roman"/>
                <w:sz w:val="24"/>
                <w:szCs w:val="24"/>
                <w:lang w:eastAsia="hu-HU"/>
              </w:rPr>
            </w:pPr>
            <w:r w:rsidRPr="00FD303F">
              <w:rPr>
                <w:rFonts w:ascii="Times New Roman" w:eastAsia="Times New Roman" w:hAnsi="Times New Roman" w:cs="Times New Roman"/>
                <w:sz w:val="24"/>
                <w:szCs w:val="24"/>
                <w:lang w:eastAsia="hu-HU"/>
              </w:rPr>
              <w:t>HKHPKA703</w:t>
            </w:r>
          </w:p>
        </w:tc>
      </w:tr>
      <w:tr w:rsidR="0010643F" w:rsidRPr="0010643F" w:rsidTr="00FD303F">
        <w:trPr>
          <w:trHeight w:val="315"/>
          <w:jc w:val="center"/>
        </w:trPr>
        <w:tc>
          <w:tcPr>
            <w:tcW w:w="5671" w:type="dxa"/>
            <w:shd w:val="clear" w:color="auto" w:fill="FFFFFF" w:themeFill="background1"/>
            <w:noWrap/>
            <w:vAlign w:val="center"/>
            <w:hideMark/>
          </w:tcPr>
          <w:p w:rsidR="0010643F" w:rsidRPr="0010643F" w:rsidRDefault="0010643F" w:rsidP="0056665F">
            <w:pPr>
              <w:pStyle w:val="Listaszerbekezds"/>
              <w:numPr>
                <w:ilvl w:val="0"/>
                <w:numId w:val="9"/>
              </w:numPr>
              <w:spacing w:after="0" w:line="240" w:lineRule="auto"/>
              <w:ind w:left="640" w:hanging="425"/>
              <w:rPr>
                <w:rFonts w:ascii="Times New Roman" w:eastAsia="Times New Roman" w:hAnsi="Times New Roman" w:cs="Times New Roman"/>
                <w:sz w:val="24"/>
                <w:szCs w:val="24"/>
                <w:lang w:eastAsia="hu-HU"/>
              </w:rPr>
            </w:pPr>
            <w:r w:rsidRPr="0010643F">
              <w:rPr>
                <w:rFonts w:ascii="Times New Roman" w:eastAsia="Times New Roman" w:hAnsi="Times New Roman" w:cs="Times New Roman"/>
                <w:sz w:val="24"/>
                <w:szCs w:val="24"/>
                <w:lang w:eastAsia="hu-HU"/>
              </w:rPr>
              <w:t>Basics of Finance</w:t>
            </w:r>
          </w:p>
        </w:tc>
        <w:tc>
          <w:tcPr>
            <w:tcW w:w="1984" w:type="dxa"/>
            <w:shd w:val="clear" w:color="auto" w:fill="FFFFFF" w:themeFill="background1"/>
            <w:vAlign w:val="center"/>
          </w:tcPr>
          <w:p w:rsidR="0010643F" w:rsidRPr="00FD303F" w:rsidRDefault="0010643F" w:rsidP="00FD303F">
            <w:pPr>
              <w:spacing w:after="0" w:line="240" w:lineRule="auto"/>
              <w:rPr>
                <w:rFonts w:ascii="Times New Roman" w:eastAsia="Times New Roman" w:hAnsi="Times New Roman" w:cs="Times New Roman"/>
                <w:sz w:val="24"/>
                <w:szCs w:val="24"/>
                <w:lang w:eastAsia="hu-HU"/>
              </w:rPr>
            </w:pPr>
            <w:r w:rsidRPr="00FD303F">
              <w:rPr>
                <w:rFonts w:ascii="Times New Roman" w:eastAsia="Times New Roman" w:hAnsi="Times New Roman" w:cs="Times New Roman"/>
                <w:sz w:val="24"/>
                <w:szCs w:val="24"/>
                <w:lang w:eastAsia="hu-HU"/>
              </w:rPr>
              <w:t>HKHPKA701</w:t>
            </w:r>
          </w:p>
        </w:tc>
      </w:tr>
      <w:tr w:rsidR="0081710D" w:rsidRPr="0010643F" w:rsidTr="00FD303F">
        <w:trPr>
          <w:trHeight w:val="315"/>
          <w:jc w:val="center"/>
        </w:trPr>
        <w:tc>
          <w:tcPr>
            <w:tcW w:w="5671" w:type="dxa"/>
            <w:shd w:val="clear" w:color="auto" w:fill="FFFFFF" w:themeFill="background1"/>
            <w:noWrap/>
            <w:vAlign w:val="center"/>
          </w:tcPr>
          <w:p w:rsidR="0081710D" w:rsidRPr="0010643F" w:rsidRDefault="0081710D" w:rsidP="0081710D">
            <w:pPr>
              <w:pStyle w:val="Listaszerbekezds"/>
              <w:numPr>
                <w:ilvl w:val="0"/>
                <w:numId w:val="9"/>
              </w:numPr>
              <w:spacing w:after="0" w:line="240" w:lineRule="auto"/>
              <w:ind w:left="640" w:hanging="425"/>
              <w:rPr>
                <w:rFonts w:ascii="Times New Roman" w:eastAsia="Times New Roman" w:hAnsi="Times New Roman" w:cs="Times New Roman"/>
                <w:sz w:val="24"/>
                <w:szCs w:val="24"/>
                <w:lang w:eastAsia="hu-HU"/>
              </w:rPr>
            </w:pPr>
            <w:r w:rsidRPr="0081710D">
              <w:rPr>
                <w:rFonts w:ascii="Times New Roman" w:eastAsia="Times New Roman" w:hAnsi="Times New Roman" w:cs="Times New Roman"/>
                <w:sz w:val="24"/>
                <w:szCs w:val="24"/>
                <w:lang w:eastAsia="hu-HU"/>
              </w:rPr>
              <w:t>Ludovika Szabadegyetem</w:t>
            </w:r>
          </w:p>
        </w:tc>
        <w:tc>
          <w:tcPr>
            <w:tcW w:w="1984" w:type="dxa"/>
            <w:shd w:val="clear" w:color="auto" w:fill="FFFFFF" w:themeFill="background1"/>
            <w:vAlign w:val="center"/>
          </w:tcPr>
          <w:p w:rsidR="0081710D" w:rsidRPr="00FD303F" w:rsidRDefault="0081710D" w:rsidP="00FD303F">
            <w:pPr>
              <w:spacing w:after="0" w:line="240" w:lineRule="auto"/>
              <w:rPr>
                <w:rFonts w:ascii="Times New Roman" w:eastAsia="Times New Roman" w:hAnsi="Times New Roman" w:cs="Times New Roman"/>
                <w:sz w:val="24"/>
                <w:szCs w:val="24"/>
                <w:lang w:eastAsia="hu-HU"/>
              </w:rPr>
            </w:pPr>
            <w:r w:rsidRPr="0081710D">
              <w:rPr>
                <w:rFonts w:ascii="Times New Roman" w:eastAsia="Times New Roman" w:hAnsi="Times New Roman" w:cs="Times New Roman"/>
                <w:sz w:val="24"/>
                <w:szCs w:val="24"/>
                <w:lang w:eastAsia="hu-HU"/>
              </w:rPr>
              <w:t>HKHFKTA08</w:t>
            </w:r>
          </w:p>
        </w:tc>
      </w:tr>
      <w:tr w:rsidR="0081710D" w:rsidRPr="0010643F" w:rsidTr="00FD303F">
        <w:trPr>
          <w:trHeight w:val="315"/>
          <w:jc w:val="center"/>
        </w:trPr>
        <w:tc>
          <w:tcPr>
            <w:tcW w:w="5671" w:type="dxa"/>
            <w:shd w:val="clear" w:color="auto" w:fill="FFFFFF" w:themeFill="background1"/>
            <w:noWrap/>
            <w:vAlign w:val="center"/>
          </w:tcPr>
          <w:p w:rsidR="0081710D" w:rsidRPr="0010643F" w:rsidRDefault="0081710D" w:rsidP="0081710D">
            <w:pPr>
              <w:pStyle w:val="Listaszerbekezds"/>
              <w:numPr>
                <w:ilvl w:val="0"/>
                <w:numId w:val="9"/>
              </w:numPr>
              <w:spacing w:after="0" w:line="240" w:lineRule="auto"/>
              <w:ind w:left="640" w:hanging="425"/>
              <w:rPr>
                <w:rFonts w:ascii="Times New Roman" w:eastAsia="Times New Roman" w:hAnsi="Times New Roman" w:cs="Times New Roman"/>
                <w:sz w:val="24"/>
                <w:szCs w:val="24"/>
                <w:lang w:eastAsia="hu-HU"/>
              </w:rPr>
            </w:pPr>
            <w:r w:rsidRPr="0081710D">
              <w:rPr>
                <w:rFonts w:ascii="Times New Roman" w:eastAsia="Times New Roman" w:hAnsi="Times New Roman" w:cs="Times New Roman"/>
                <w:sz w:val="24"/>
                <w:szCs w:val="24"/>
                <w:lang w:eastAsia="hu-HU"/>
              </w:rPr>
              <w:t>Military Logistics</w:t>
            </w:r>
          </w:p>
        </w:tc>
        <w:tc>
          <w:tcPr>
            <w:tcW w:w="1984" w:type="dxa"/>
            <w:shd w:val="clear" w:color="auto" w:fill="FFFFFF" w:themeFill="background1"/>
            <w:vAlign w:val="center"/>
          </w:tcPr>
          <w:p w:rsidR="0081710D" w:rsidRPr="00FD303F" w:rsidRDefault="0081710D" w:rsidP="00FD303F">
            <w:pPr>
              <w:spacing w:after="0" w:line="240" w:lineRule="auto"/>
              <w:rPr>
                <w:rFonts w:ascii="Times New Roman" w:eastAsia="Times New Roman" w:hAnsi="Times New Roman" w:cs="Times New Roman"/>
                <w:sz w:val="24"/>
                <w:szCs w:val="24"/>
                <w:lang w:eastAsia="hu-HU"/>
              </w:rPr>
            </w:pPr>
            <w:r w:rsidRPr="0081710D">
              <w:rPr>
                <w:rFonts w:ascii="Times New Roman" w:eastAsia="Times New Roman" w:hAnsi="Times New Roman" w:cs="Times New Roman"/>
                <w:sz w:val="24"/>
                <w:szCs w:val="24"/>
                <w:lang w:eastAsia="hu-HU"/>
              </w:rPr>
              <w:t>HKHPKA713</w:t>
            </w:r>
          </w:p>
        </w:tc>
      </w:tr>
      <w:tr w:rsidR="00AF75C7" w:rsidRPr="0010643F" w:rsidTr="00FD303F">
        <w:trPr>
          <w:trHeight w:val="315"/>
          <w:jc w:val="center"/>
        </w:trPr>
        <w:tc>
          <w:tcPr>
            <w:tcW w:w="5671" w:type="dxa"/>
            <w:shd w:val="clear" w:color="auto" w:fill="FFFFFF" w:themeFill="background1"/>
            <w:noWrap/>
            <w:vAlign w:val="center"/>
          </w:tcPr>
          <w:p w:rsidR="00AF75C7" w:rsidRPr="0081710D" w:rsidRDefault="00815AEA" w:rsidP="00815AEA">
            <w:pPr>
              <w:pStyle w:val="Listaszerbekezds"/>
              <w:numPr>
                <w:ilvl w:val="0"/>
                <w:numId w:val="9"/>
              </w:numPr>
              <w:spacing w:after="0" w:line="240" w:lineRule="auto"/>
              <w:ind w:left="640" w:hanging="425"/>
              <w:rPr>
                <w:rFonts w:ascii="Times New Roman" w:eastAsia="Times New Roman" w:hAnsi="Times New Roman" w:cs="Times New Roman"/>
                <w:sz w:val="24"/>
                <w:szCs w:val="24"/>
                <w:lang w:eastAsia="hu-HU"/>
              </w:rPr>
            </w:pPr>
            <w:r w:rsidRPr="00815AEA">
              <w:rPr>
                <w:rFonts w:ascii="Times New Roman" w:eastAsia="Times New Roman" w:hAnsi="Times New Roman" w:cs="Times New Roman"/>
                <w:sz w:val="24"/>
                <w:szCs w:val="24"/>
                <w:lang w:eastAsia="hu-HU"/>
              </w:rPr>
              <w:t>Alkotmányjog és a modern világ kihívásai</w:t>
            </w:r>
          </w:p>
        </w:tc>
        <w:tc>
          <w:tcPr>
            <w:tcW w:w="1984" w:type="dxa"/>
            <w:shd w:val="clear" w:color="auto" w:fill="FFFFFF" w:themeFill="background1"/>
            <w:vAlign w:val="center"/>
          </w:tcPr>
          <w:p w:rsidR="00AF75C7" w:rsidRPr="0081710D" w:rsidRDefault="00815AEA" w:rsidP="00FD303F">
            <w:pPr>
              <w:spacing w:after="0" w:line="240" w:lineRule="auto"/>
              <w:rPr>
                <w:rFonts w:ascii="Times New Roman" w:eastAsia="Times New Roman" w:hAnsi="Times New Roman" w:cs="Times New Roman"/>
                <w:sz w:val="24"/>
                <w:szCs w:val="24"/>
                <w:lang w:eastAsia="hu-HU"/>
              </w:rPr>
            </w:pPr>
            <w:r w:rsidRPr="00815AEA">
              <w:rPr>
                <w:rFonts w:ascii="Times New Roman" w:eastAsia="Times New Roman" w:hAnsi="Times New Roman" w:cs="Times New Roman"/>
                <w:sz w:val="24"/>
                <w:szCs w:val="24"/>
                <w:lang w:eastAsia="hu-HU"/>
              </w:rPr>
              <w:t>ÁAÖKTV31</w:t>
            </w:r>
          </w:p>
        </w:tc>
      </w:tr>
      <w:tr w:rsidR="00427C64" w:rsidRPr="009425AF" w:rsidTr="00FD303F">
        <w:trPr>
          <w:trHeight w:val="315"/>
          <w:jc w:val="center"/>
        </w:trPr>
        <w:tc>
          <w:tcPr>
            <w:tcW w:w="5671" w:type="dxa"/>
            <w:shd w:val="clear" w:color="auto" w:fill="FFFFFF" w:themeFill="background1"/>
            <w:noWrap/>
            <w:vAlign w:val="center"/>
          </w:tcPr>
          <w:p w:rsidR="00427C64" w:rsidRPr="009425AF" w:rsidRDefault="00427C64" w:rsidP="00815AEA">
            <w:pPr>
              <w:pStyle w:val="Listaszerbekezds"/>
              <w:numPr>
                <w:ilvl w:val="0"/>
                <w:numId w:val="9"/>
              </w:numPr>
              <w:spacing w:after="0" w:line="240" w:lineRule="auto"/>
              <w:ind w:left="640" w:hanging="425"/>
              <w:rPr>
                <w:rFonts w:ascii="Times New Roman" w:eastAsia="Times New Roman" w:hAnsi="Times New Roman" w:cs="Times New Roman"/>
                <w:sz w:val="24"/>
                <w:szCs w:val="24"/>
                <w:highlight w:val="yellow"/>
                <w:lang w:eastAsia="hu-HU"/>
              </w:rPr>
            </w:pPr>
            <w:r w:rsidRPr="009425AF">
              <w:rPr>
                <w:rFonts w:ascii="Times New Roman" w:hAnsi="Times New Roman" w:cs="Times New Roman"/>
                <w:sz w:val="24"/>
                <w:highlight w:val="yellow"/>
              </w:rPr>
              <w:t>Szakmai angol STANAG 3</w:t>
            </w:r>
          </w:p>
        </w:tc>
        <w:tc>
          <w:tcPr>
            <w:tcW w:w="1984" w:type="dxa"/>
            <w:shd w:val="clear" w:color="auto" w:fill="FFFFFF" w:themeFill="background1"/>
            <w:vAlign w:val="center"/>
          </w:tcPr>
          <w:p w:rsidR="00427C64" w:rsidRPr="009425AF" w:rsidRDefault="00427C64" w:rsidP="00FD303F">
            <w:pPr>
              <w:spacing w:after="0" w:line="240" w:lineRule="auto"/>
              <w:rPr>
                <w:rFonts w:ascii="Times New Roman" w:eastAsia="Times New Roman" w:hAnsi="Times New Roman" w:cs="Times New Roman"/>
                <w:sz w:val="24"/>
                <w:szCs w:val="24"/>
                <w:highlight w:val="yellow"/>
                <w:lang w:eastAsia="hu-HU"/>
              </w:rPr>
            </w:pPr>
            <w:r w:rsidRPr="009425AF">
              <w:rPr>
                <w:rFonts w:ascii="Times New Roman" w:hAnsi="Times New Roman" w:cs="Times New Roman"/>
                <w:sz w:val="24"/>
                <w:highlight w:val="yellow"/>
              </w:rPr>
              <w:t>HKISZLA311</w:t>
            </w:r>
          </w:p>
        </w:tc>
      </w:tr>
      <w:tr w:rsidR="00427C64" w:rsidRPr="009425AF" w:rsidTr="00FD303F">
        <w:trPr>
          <w:trHeight w:val="315"/>
          <w:jc w:val="center"/>
        </w:trPr>
        <w:tc>
          <w:tcPr>
            <w:tcW w:w="5671" w:type="dxa"/>
            <w:shd w:val="clear" w:color="auto" w:fill="FFFFFF" w:themeFill="background1"/>
            <w:noWrap/>
            <w:vAlign w:val="center"/>
          </w:tcPr>
          <w:p w:rsidR="00427C64" w:rsidRPr="009425AF" w:rsidRDefault="00427C64" w:rsidP="00815AEA">
            <w:pPr>
              <w:pStyle w:val="Listaszerbekezds"/>
              <w:numPr>
                <w:ilvl w:val="0"/>
                <w:numId w:val="9"/>
              </w:numPr>
              <w:spacing w:after="0" w:line="240" w:lineRule="auto"/>
              <w:ind w:left="640" w:hanging="425"/>
              <w:rPr>
                <w:rFonts w:ascii="Times New Roman" w:eastAsia="Times New Roman" w:hAnsi="Times New Roman" w:cs="Times New Roman"/>
                <w:sz w:val="24"/>
                <w:szCs w:val="24"/>
                <w:highlight w:val="yellow"/>
                <w:lang w:eastAsia="hu-HU"/>
              </w:rPr>
            </w:pPr>
            <w:r w:rsidRPr="009425AF">
              <w:rPr>
                <w:rFonts w:ascii="Times New Roman" w:hAnsi="Times New Roman" w:cs="Times New Roman"/>
                <w:sz w:val="24"/>
                <w:highlight w:val="yellow"/>
              </w:rPr>
              <w:t>Német középfokú kommunikációs készség fejlesztése</w:t>
            </w:r>
          </w:p>
        </w:tc>
        <w:tc>
          <w:tcPr>
            <w:tcW w:w="1984" w:type="dxa"/>
            <w:shd w:val="clear" w:color="auto" w:fill="FFFFFF" w:themeFill="background1"/>
            <w:vAlign w:val="center"/>
          </w:tcPr>
          <w:p w:rsidR="00427C64" w:rsidRPr="009425AF" w:rsidRDefault="00427C64" w:rsidP="00FD303F">
            <w:pPr>
              <w:spacing w:after="0" w:line="240" w:lineRule="auto"/>
              <w:rPr>
                <w:rFonts w:ascii="Times New Roman" w:eastAsia="Times New Roman" w:hAnsi="Times New Roman" w:cs="Times New Roman"/>
                <w:sz w:val="24"/>
                <w:szCs w:val="24"/>
                <w:highlight w:val="yellow"/>
                <w:lang w:eastAsia="hu-HU"/>
              </w:rPr>
            </w:pPr>
            <w:r w:rsidRPr="009425AF">
              <w:rPr>
                <w:rFonts w:ascii="Times New Roman" w:hAnsi="Times New Roman" w:cs="Times New Roman"/>
                <w:sz w:val="24"/>
                <w:highlight w:val="yellow"/>
              </w:rPr>
              <w:t>HKISZLA312</w:t>
            </w:r>
          </w:p>
        </w:tc>
      </w:tr>
      <w:tr w:rsidR="00427C64" w:rsidRPr="009425AF" w:rsidTr="00FD303F">
        <w:trPr>
          <w:trHeight w:val="315"/>
          <w:jc w:val="center"/>
        </w:trPr>
        <w:tc>
          <w:tcPr>
            <w:tcW w:w="5671" w:type="dxa"/>
            <w:shd w:val="clear" w:color="auto" w:fill="FFFFFF" w:themeFill="background1"/>
            <w:noWrap/>
            <w:vAlign w:val="center"/>
          </w:tcPr>
          <w:p w:rsidR="00427C64" w:rsidRPr="009425AF" w:rsidRDefault="00427C64" w:rsidP="00815AEA">
            <w:pPr>
              <w:pStyle w:val="Listaszerbekezds"/>
              <w:numPr>
                <w:ilvl w:val="0"/>
                <w:numId w:val="9"/>
              </w:numPr>
              <w:spacing w:after="0" w:line="240" w:lineRule="auto"/>
              <w:ind w:left="640" w:hanging="425"/>
              <w:rPr>
                <w:rFonts w:ascii="Times New Roman" w:eastAsia="Times New Roman" w:hAnsi="Times New Roman" w:cs="Times New Roman"/>
                <w:sz w:val="24"/>
                <w:szCs w:val="24"/>
                <w:highlight w:val="yellow"/>
                <w:lang w:eastAsia="hu-HU"/>
              </w:rPr>
            </w:pPr>
            <w:r w:rsidRPr="009425AF">
              <w:rPr>
                <w:rFonts w:ascii="Times New Roman" w:hAnsi="Times New Roman" w:cs="Times New Roman"/>
                <w:sz w:val="24"/>
                <w:highlight w:val="yellow"/>
              </w:rPr>
              <w:t>Francia középfokú kommunikációs készség fejlesztése</w:t>
            </w:r>
          </w:p>
        </w:tc>
        <w:tc>
          <w:tcPr>
            <w:tcW w:w="1984" w:type="dxa"/>
            <w:shd w:val="clear" w:color="auto" w:fill="FFFFFF" w:themeFill="background1"/>
            <w:vAlign w:val="center"/>
          </w:tcPr>
          <w:p w:rsidR="00427C64" w:rsidRPr="009425AF" w:rsidRDefault="00427C64" w:rsidP="00FD303F">
            <w:pPr>
              <w:spacing w:after="0" w:line="240" w:lineRule="auto"/>
              <w:rPr>
                <w:rFonts w:ascii="Times New Roman" w:eastAsia="Times New Roman" w:hAnsi="Times New Roman" w:cs="Times New Roman"/>
                <w:sz w:val="24"/>
                <w:szCs w:val="24"/>
                <w:highlight w:val="yellow"/>
                <w:lang w:eastAsia="hu-HU"/>
              </w:rPr>
            </w:pPr>
            <w:r w:rsidRPr="009425AF">
              <w:rPr>
                <w:rFonts w:ascii="Times New Roman" w:hAnsi="Times New Roman" w:cs="Times New Roman"/>
                <w:sz w:val="24"/>
                <w:highlight w:val="yellow"/>
              </w:rPr>
              <w:t>HKISZLA313</w:t>
            </w:r>
          </w:p>
        </w:tc>
      </w:tr>
    </w:tbl>
    <w:p w:rsidR="00E90EF1" w:rsidRDefault="00E90EF1" w:rsidP="00E90EF1">
      <w:pPr>
        <w:pStyle w:val="Listaszerbekezds"/>
        <w:ind w:left="1080"/>
        <w:rPr>
          <w:rFonts w:ascii="Times New Roman" w:hAnsi="Times New Roman" w:cs="Times New Roman"/>
          <w:sz w:val="24"/>
        </w:rPr>
      </w:pPr>
    </w:p>
    <w:p w:rsidR="00E90EF1" w:rsidRPr="008906FA" w:rsidRDefault="00E90EF1" w:rsidP="00E90EF1">
      <w:pPr>
        <w:pStyle w:val="Listaszerbekezds"/>
        <w:numPr>
          <w:ilvl w:val="0"/>
          <w:numId w:val="1"/>
        </w:numPr>
        <w:rPr>
          <w:rFonts w:ascii="Times New Roman" w:hAnsi="Times New Roman" w:cs="Times New Roman"/>
          <w:b/>
          <w:sz w:val="24"/>
        </w:rPr>
      </w:pPr>
      <w:r w:rsidRPr="008906FA">
        <w:rPr>
          <w:rFonts w:ascii="Times New Roman" w:hAnsi="Times New Roman" w:cs="Times New Roman"/>
          <w:b/>
          <w:sz w:val="24"/>
        </w:rPr>
        <w:t>Kritériumkövetelmények</w:t>
      </w:r>
    </w:p>
    <w:p w:rsidR="00E90EF1" w:rsidRDefault="00E90EF1" w:rsidP="00E90EF1">
      <w:pPr>
        <w:pStyle w:val="Listaszerbekezds"/>
        <w:ind w:left="1080"/>
        <w:rPr>
          <w:rFonts w:ascii="Times New Roman" w:hAnsi="Times New Roman" w:cs="Times New Roman"/>
          <w:sz w:val="24"/>
        </w:rPr>
      </w:pP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5671"/>
        <w:gridCol w:w="1984"/>
      </w:tblGrid>
      <w:tr w:rsidR="00C75B87" w:rsidRPr="0010643F" w:rsidTr="00FF016D">
        <w:trPr>
          <w:trHeight w:val="338"/>
          <w:jc w:val="center"/>
        </w:trPr>
        <w:tc>
          <w:tcPr>
            <w:tcW w:w="5671" w:type="dxa"/>
            <w:shd w:val="clear" w:color="auto" w:fill="FFFFFF" w:themeFill="background1"/>
            <w:noWrap/>
            <w:vAlign w:val="bottom"/>
          </w:tcPr>
          <w:p w:rsidR="00C75B87" w:rsidRPr="00C75B87" w:rsidRDefault="00C75B87" w:rsidP="0056665F">
            <w:pPr>
              <w:pStyle w:val="Listaszerbekezds"/>
              <w:numPr>
                <w:ilvl w:val="0"/>
                <w:numId w:val="10"/>
              </w:numPr>
              <w:spacing w:after="0" w:line="240" w:lineRule="auto"/>
              <w:ind w:left="640" w:hanging="425"/>
              <w:rPr>
                <w:rFonts w:ascii="Times New Roman" w:eastAsia="Times New Roman" w:hAnsi="Times New Roman" w:cs="Times New Roman"/>
                <w:sz w:val="24"/>
                <w:szCs w:val="24"/>
                <w:lang w:eastAsia="hu-HU"/>
              </w:rPr>
            </w:pPr>
            <w:r w:rsidRPr="00C75B87">
              <w:rPr>
                <w:rFonts w:ascii="Times New Roman" w:eastAsia="Times New Roman" w:hAnsi="Times New Roman" w:cs="Times New Roman"/>
                <w:sz w:val="24"/>
                <w:szCs w:val="24"/>
                <w:lang w:eastAsia="hu-HU"/>
              </w:rPr>
              <w:t>Katonai Testnevelés VIII.</w:t>
            </w:r>
          </w:p>
        </w:tc>
        <w:tc>
          <w:tcPr>
            <w:tcW w:w="1984" w:type="dxa"/>
            <w:shd w:val="clear" w:color="auto" w:fill="FFFFFF" w:themeFill="background1"/>
            <w:vAlign w:val="center"/>
          </w:tcPr>
          <w:p w:rsidR="00C75B87" w:rsidRPr="002B1446" w:rsidRDefault="002B1446" w:rsidP="00FF016D">
            <w:pPr>
              <w:spacing w:after="0" w:line="240" w:lineRule="auto"/>
              <w:rPr>
                <w:rFonts w:ascii="Times New Roman" w:eastAsia="Times New Roman" w:hAnsi="Times New Roman" w:cs="Times New Roman"/>
                <w:sz w:val="24"/>
                <w:szCs w:val="24"/>
                <w:highlight w:val="yellow"/>
                <w:lang w:eastAsia="hu-HU"/>
              </w:rPr>
            </w:pPr>
            <w:r w:rsidRPr="002B1446">
              <w:rPr>
                <w:rFonts w:ascii="Times New Roman" w:eastAsia="Times New Roman" w:hAnsi="Times New Roman" w:cs="Times New Roman"/>
                <w:sz w:val="24"/>
                <w:szCs w:val="24"/>
                <w:highlight w:val="yellow"/>
                <w:lang w:eastAsia="hu-HU"/>
              </w:rPr>
              <w:t>HKTSKA08</w:t>
            </w:r>
          </w:p>
        </w:tc>
      </w:tr>
      <w:tr w:rsidR="00C75B87" w:rsidRPr="0010643F" w:rsidTr="00FF016D">
        <w:trPr>
          <w:trHeight w:val="338"/>
          <w:jc w:val="center"/>
        </w:trPr>
        <w:tc>
          <w:tcPr>
            <w:tcW w:w="5671" w:type="dxa"/>
            <w:shd w:val="clear" w:color="auto" w:fill="FFFFFF" w:themeFill="background1"/>
            <w:noWrap/>
            <w:vAlign w:val="bottom"/>
          </w:tcPr>
          <w:p w:rsidR="00C75B87" w:rsidRPr="0081710D" w:rsidRDefault="0081710D" w:rsidP="0081710D">
            <w:pPr>
              <w:pStyle w:val="Listaszerbekezds"/>
              <w:numPr>
                <w:ilvl w:val="0"/>
                <w:numId w:val="10"/>
              </w:numPr>
              <w:spacing w:after="0" w:line="240" w:lineRule="auto"/>
              <w:ind w:left="640" w:hanging="425"/>
              <w:rPr>
                <w:rFonts w:ascii="Times New Roman" w:eastAsia="Times New Roman" w:hAnsi="Times New Roman" w:cs="Times New Roman"/>
                <w:sz w:val="24"/>
                <w:szCs w:val="24"/>
                <w:lang w:eastAsia="hu-HU"/>
              </w:rPr>
            </w:pPr>
            <w:r w:rsidRPr="0081710D">
              <w:rPr>
                <w:rFonts w:ascii="Times New Roman" w:eastAsia="Times New Roman" w:hAnsi="Times New Roman" w:cs="Times New Roman"/>
                <w:sz w:val="24"/>
                <w:szCs w:val="24"/>
                <w:lang w:eastAsia="hu-HU"/>
              </w:rPr>
              <w:t>Szakmai angol 1.</w:t>
            </w:r>
          </w:p>
        </w:tc>
        <w:tc>
          <w:tcPr>
            <w:tcW w:w="1984" w:type="dxa"/>
            <w:shd w:val="clear" w:color="auto" w:fill="FFFFFF" w:themeFill="background1"/>
            <w:vAlign w:val="center"/>
          </w:tcPr>
          <w:p w:rsidR="00C75B87" w:rsidRPr="00FF016D" w:rsidRDefault="0081710D" w:rsidP="00FF016D">
            <w:pPr>
              <w:spacing w:after="0" w:line="240" w:lineRule="auto"/>
              <w:rPr>
                <w:rFonts w:ascii="Times New Roman" w:eastAsia="Times New Roman" w:hAnsi="Times New Roman" w:cs="Times New Roman"/>
                <w:sz w:val="24"/>
                <w:szCs w:val="24"/>
                <w:lang w:eastAsia="hu-HU"/>
              </w:rPr>
            </w:pPr>
            <w:r w:rsidRPr="0081710D">
              <w:rPr>
                <w:rFonts w:ascii="Times New Roman" w:eastAsia="Times New Roman" w:hAnsi="Times New Roman" w:cs="Times New Roman"/>
                <w:sz w:val="24"/>
                <w:szCs w:val="24"/>
                <w:lang w:eastAsia="hu-HU"/>
              </w:rPr>
              <w:t>HKISZLA101</w:t>
            </w:r>
          </w:p>
        </w:tc>
      </w:tr>
      <w:tr w:rsidR="00C75B87" w:rsidRPr="0010643F" w:rsidTr="00FF016D">
        <w:trPr>
          <w:trHeight w:val="338"/>
          <w:jc w:val="center"/>
        </w:trPr>
        <w:tc>
          <w:tcPr>
            <w:tcW w:w="5671" w:type="dxa"/>
            <w:shd w:val="clear" w:color="auto" w:fill="FFFFFF" w:themeFill="background1"/>
            <w:noWrap/>
            <w:vAlign w:val="bottom"/>
          </w:tcPr>
          <w:p w:rsidR="00C75B87" w:rsidRPr="0081710D" w:rsidRDefault="0081710D" w:rsidP="0056665F">
            <w:pPr>
              <w:pStyle w:val="Listaszerbekezds"/>
              <w:numPr>
                <w:ilvl w:val="0"/>
                <w:numId w:val="10"/>
              </w:numPr>
              <w:spacing w:after="0" w:line="240" w:lineRule="auto"/>
              <w:ind w:left="640" w:hanging="425"/>
              <w:rPr>
                <w:rFonts w:ascii="Times New Roman" w:eastAsia="Times New Roman" w:hAnsi="Times New Roman" w:cs="Times New Roman"/>
                <w:sz w:val="24"/>
                <w:szCs w:val="24"/>
                <w:lang w:eastAsia="hu-HU"/>
              </w:rPr>
            </w:pPr>
            <w:r w:rsidRPr="0081710D">
              <w:rPr>
                <w:rFonts w:ascii="Times New Roman" w:eastAsia="Times New Roman" w:hAnsi="Times New Roman" w:cs="Times New Roman"/>
                <w:sz w:val="24"/>
                <w:szCs w:val="24"/>
                <w:lang w:eastAsia="hu-HU"/>
              </w:rPr>
              <w:t xml:space="preserve">Szakmai angol </w:t>
            </w:r>
            <w:r w:rsidR="00C75B87" w:rsidRPr="0081710D">
              <w:rPr>
                <w:rFonts w:ascii="Times New Roman" w:eastAsia="Times New Roman" w:hAnsi="Times New Roman" w:cs="Times New Roman"/>
                <w:sz w:val="24"/>
                <w:szCs w:val="24"/>
                <w:lang w:eastAsia="hu-HU"/>
              </w:rPr>
              <w:t>2.</w:t>
            </w:r>
          </w:p>
        </w:tc>
        <w:tc>
          <w:tcPr>
            <w:tcW w:w="1984" w:type="dxa"/>
            <w:shd w:val="clear" w:color="auto" w:fill="FFFFFF" w:themeFill="background1"/>
            <w:vAlign w:val="center"/>
          </w:tcPr>
          <w:p w:rsidR="00C75B87" w:rsidRPr="00FF016D" w:rsidRDefault="0081710D" w:rsidP="00FF016D">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HKISZLA102</w:t>
            </w:r>
          </w:p>
        </w:tc>
      </w:tr>
      <w:tr w:rsidR="00C75B87" w:rsidRPr="0010643F" w:rsidTr="00FF016D">
        <w:trPr>
          <w:trHeight w:val="338"/>
          <w:jc w:val="center"/>
        </w:trPr>
        <w:tc>
          <w:tcPr>
            <w:tcW w:w="5671" w:type="dxa"/>
            <w:shd w:val="clear" w:color="auto" w:fill="FFFFFF" w:themeFill="background1"/>
            <w:noWrap/>
            <w:vAlign w:val="bottom"/>
          </w:tcPr>
          <w:p w:rsidR="00C75B87" w:rsidRPr="0081710D" w:rsidRDefault="0081710D" w:rsidP="0056665F">
            <w:pPr>
              <w:pStyle w:val="Listaszerbekezds"/>
              <w:numPr>
                <w:ilvl w:val="0"/>
                <w:numId w:val="10"/>
              </w:numPr>
              <w:spacing w:after="0" w:line="240" w:lineRule="auto"/>
              <w:ind w:left="640" w:hanging="425"/>
              <w:rPr>
                <w:rFonts w:ascii="Times New Roman" w:eastAsia="Times New Roman" w:hAnsi="Times New Roman" w:cs="Times New Roman"/>
                <w:sz w:val="24"/>
                <w:szCs w:val="24"/>
                <w:lang w:eastAsia="hu-HU"/>
              </w:rPr>
            </w:pPr>
            <w:r w:rsidRPr="0081710D">
              <w:rPr>
                <w:rFonts w:ascii="Times New Roman" w:eastAsia="Times New Roman" w:hAnsi="Times New Roman" w:cs="Times New Roman"/>
                <w:sz w:val="24"/>
                <w:szCs w:val="24"/>
                <w:lang w:eastAsia="hu-HU"/>
              </w:rPr>
              <w:t xml:space="preserve">Szakmai angol </w:t>
            </w:r>
            <w:r w:rsidR="00C75B87" w:rsidRPr="0081710D">
              <w:rPr>
                <w:rFonts w:ascii="Times New Roman" w:eastAsia="Times New Roman" w:hAnsi="Times New Roman" w:cs="Times New Roman"/>
                <w:sz w:val="24"/>
                <w:szCs w:val="24"/>
                <w:lang w:eastAsia="hu-HU"/>
              </w:rPr>
              <w:t>3.</w:t>
            </w:r>
          </w:p>
        </w:tc>
        <w:tc>
          <w:tcPr>
            <w:tcW w:w="1984" w:type="dxa"/>
            <w:shd w:val="clear" w:color="auto" w:fill="FFFFFF" w:themeFill="background1"/>
            <w:vAlign w:val="center"/>
          </w:tcPr>
          <w:p w:rsidR="00C75B87" w:rsidRPr="00FF016D" w:rsidRDefault="0081710D" w:rsidP="00FF016D">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HKISZLA2</w:t>
            </w:r>
            <w:r w:rsidRPr="0081710D">
              <w:rPr>
                <w:rFonts w:ascii="Times New Roman" w:eastAsia="Times New Roman" w:hAnsi="Times New Roman" w:cs="Times New Roman"/>
                <w:sz w:val="24"/>
                <w:szCs w:val="24"/>
                <w:lang w:eastAsia="hu-HU"/>
              </w:rPr>
              <w:t>01</w:t>
            </w:r>
          </w:p>
        </w:tc>
      </w:tr>
      <w:tr w:rsidR="00C75B87" w:rsidRPr="0010643F" w:rsidTr="00FF016D">
        <w:trPr>
          <w:trHeight w:val="338"/>
          <w:jc w:val="center"/>
        </w:trPr>
        <w:tc>
          <w:tcPr>
            <w:tcW w:w="5671" w:type="dxa"/>
            <w:shd w:val="clear" w:color="auto" w:fill="FFFFFF" w:themeFill="background1"/>
            <w:noWrap/>
            <w:vAlign w:val="bottom"/>
          </w:tcPr>
          <w:p w:rsidR="00C75B87" w:rsidRPr="0081710D" w:rsidRDefault="0081710D" w:rsidP="0056665F">
            <w:pPr>
              <w:pStyle w:val="Listaszerbekezds"/>
              <w:numPr>
                <w:ilvl w:val="0"/>
                <w:numId w:val="10"/>
              </w:numPr>
              <w:spacing w:after="0" w:line="240" w:lineRule="auto"/>
              <w:ind w:left="640" w:hanging="425"/>
              <w:rPr>
                <w:rFonts w:ascii="Times New Roman" w:eastAsia="Times New Roman" w:hAnsi="Times New Roman" w:cs="Times New Roman"/>
                <w:sz w:val="24"/>
                <w:szCs w:val="24"/>
                <w:lang w:eastAsia="hu-HU"/>
              </w:rPr>
            </w:pPr>
            <w:r w:rsidRPr="0081710D">
              <w:rPr>
                <w:rFonts w:ascii="Times New Roman" w:eastAsia="Times New Roman" w:hAnsi="Times New Roman" w:cs="Times New Roman"/>
                <w:sz w:val="24"/>
                <w:szCs w:val="24"/>
                <w:lang w:eastAsia="hu-HU"/>
              </w:rPr>
              <w:t xml:space="preserve">Szakmai angol </w:t>
            </w:r>
            <w:r w:rsidR="00C75B87" w:rsidRPr="0081710D">
              <w:rPr>
                <w:rFonts w:ascii="Times New Roman" w:eastAsia="Times New Roman" w:hAnsi="Times New Roman" w:cs="Times New Roman"/>
                <w:sz w:val="24"/>
                <w:szCs w:val="24"/>
                <w:lang w:eastAsia="hu-HU"/>
              </w:rPr>
              <w:t xml:space="preserve">4. </w:t>
            </w:r>
          </w:p>
        </w:tc>
        <w:tc>
          <w:tcPr>
            <w:tcW w:w="1984" w:type="dxa"/>
            <w:shd w:val="clear" w:color="auto" w:fill="FFFFFF" w:themeFill="background1"/>
            <w:vAlign w:val="center"/>
          </w:tcPr>
          <w:p w:rsidR="00C75B87" w:rsidRPr="00FF016D" w:rsidRDefault="0081710D" w:rsidP="0081710D">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HKISZLA2</w:t>
            </w:r>
            <w:r w:rsidRPr="0081710D">
              <w:rPr>
                <w:rFonts w:ascii="Times New Roman" w:eastAsia="Times New Roman" w:hAnsi="Times New Roman" w:cs="Times New Roman"/>
                <w:sz w:val="24"/>
                <w:szCs w:val="24"/>
                <w:lang w:eastAsia="hu-HU"/>
              </w:rPr>
              <w:t>0</w:t>
            </w:r>
            <w:r>
              <w:rPr>
                <w:rFonts w:ascii="Times New Roman" w:eastAsia="Times New Roman" w:hAnsi="Times New Roman" w:cs="Times New Roman"/>
                <w:sz w:val="24"/>
                <w:szCs w:val="24"/>
                <w:lang w:eastAsia="hu-HU"/>
              </w:rPr>
              <w:t>2</w:t>
            </w:r>
          </w:p>
        </w:tc>
      </w:tr>
      <w:tr w:rsidR="00C75B87" w:rsidRPr="0010643F" w:rsidTr="00FF016D">
        <w:trPr>
          <w:trHeight w:val="338"/>
          <w:jc w:val="center"/>
        </w:trPr>
        <w:tc>
          <w:tcPr>
            <w:tcW w:w="5671" w:type="dxa"/>
            <w:shd w:val="clear" w:color="auto" w:fill="FFFFFF" w:themeFill="background1"/>
            <w:noWrap/>
            <w:vAlign w:val="bottom"/>
          </w:tcPr>
          <w:p w:rsidR="00C75B87" w:rsidRPr="0081710D" w:rsidRDefault="0081710D" w:rsidP="0056665F">
            <w:pPr>
              <w:pStyle w:val="Listaszerbekezds"/>
              <w:numPr>
                <w:ilvl w:val="0"/>
                <w:numId w:val="10"/>
              </w:numPr>
              <w:spacing w:after="0" w:line="240" w:lineRule="auto"/>
              <w:ind w:left="640" w:hanging="425"/>
              <w:rPr>
                <w:rFonts w:ascii="Times New Roman" w:eastAsia="Times New Roman" w:hAnsi="Times New Roman" w:cs="Times New Roman"/>
                <w:sz w:val="24"/>
                <w:szCs w:val="24"/>
                <w:lang w:eastAsia="hu-HU"/>
              </w:rPr>
            </w:pPr>
            <w:r w:rsidRPr="0081710D">
              <w:rPr>
                <w:rFonts w:ascii="Times New Roman" w:eastAsia="Times New Roman" w:hAnsi="Times New Roman" w:cs="Times New Roman"/>
                <w:sz w:val="24"/>
                <w:szCs w:val="24"/>
                <w:lang w:eastAsia="hu-HU"/>
              </w:rPr>
              <w:t xml:space="preserve">Szakmai angol </w:t>
            </w:r>
            <w:r w:rsidR="00C75B87" w:rsidRPr="0081710D">
              <w:rPr>
                <w:rFonts w:ascii="Times New Roman" w:eastAsia="Times New Roman" w:hAnsi="Times New Roman" w:cs="Times New Roman"/>
                <w:sz w:val="24"/>
                <w:szCs w:val="24"/>
                <w:lang w:eastAsia="hu-HU"/>
              </w:rPr>
              <w:t>5.</w:t>
            </w:r>
          </w:p>
        </w:tc>
        <w:tc>
          <w:tcPr>
            <w:tcW w:w="1984" w:type="dxa"/>
            <w:shd w:val="clear" w:color="auto" w:fill="FFFFFF" w:themeFill="background1"/>
            <w:vAlign w:val="center"/>
          </w:tcPr>
          <w:p w:rsidR="00C75B87" w:rsidRPr="00FF016D" w:rsidRDefault="0081710D" w:rsidP="00FF016D">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HKISZLA3</w:t>
            </w:r>
            <w:r w:rsidRPr="0081710D">
              <w:rPr>
                <w:rFonts w:ascii="Times New Roman" w:eastAsia="Times New Roman" w:hAnsi="Times New Roman" w:cs="Times New Roman"/>
                <w:sz w:val="24"/>
                <w:szCs w:val="24"/>
                <w:lang w:eastAsia="hu-HU"/>
              </w:rPr>
              <w:t>01</w:t>
            </w:r>
          </w:p>
        </w:tc>
      </w:tr>
      <w:tr w:rsidR="00C75B87" w:rsidRPr="0010643F" w:rsidTr="00FF016D">
        <w:trPr>
          <w:trHeight w:val="338"/>
          <w:jc w:val="center"/>
        </w:trPr>
        <w:tc>
          <w:tcPr>
            <w:tcW w:w="5671" w:type="dxa"/>
            <w:shd w:val="clear" w:color="auto" w:fill="FFFFFF" w:themeFill="background1"/>
            <w:noWrap/>
            <w:vAlign w:val="bottom"/>
          </w:tcPr>
          <w:p w:rsidR="00C75B87" w:rsidRPr="0081710D" w:rsidRDefault="0081710D" w:rsidP="0056665F">
            <w:pPr>
              <w:pStyle w:val="Listaszerbekezds"/>
              <w:numPr>
                <w:ilvl w:val="0"/>
                <w:numId w:val="10"/>
              </w:numPr>
              <w:spacing w:after="0" w:line="240" w:lineRule="auto"/>
              <w:ind w:left="640" w:hanging="425"/>
              <w:rPr>
                <w:rFonts w:ascii="Times New Roman" w:eastAsia="Times New Roman" w:hAnsi="Times New Roman" w:cs="Times New Roman"/>
                <w:sz w:val="24"/>
                <w:szCs w:val="24"/>
                <w:lang w:eastAsia="hu-HU"/>
              </w:rPr>
            </w:pPr>
            <w:r w:rsidRPr="0081710D">
              <w:rPr>
                <w:rFonts w:ascii="Times New Roman" w:eastAsia="Times New Roman" w:hAnsi="Times New Roman" w:cs="Times New Roman"/>
                <w:sz w:val="24"/>
                <w:szCs w:val="24"/>
                <w:lang w:eastAsia="hu-HU"/>
              </w:rPr>
              <w:t xml:space="preserve">Szakmai angol </w:t>
            </w:r>
            <w:r w:rsidR="00C75B87" w:rsidRPr="0081710D">
              <w:rPr>
                <w:rFonts w:ascii="Times New Roman" w:eastAsia="Times New Roman" w:hAnsi="Times New Roman" w:cs="Times New Roman"/>
                <w:sz w:val="24"/>
                <w:szCs w:val="24"/>
                <w:lang w:eastAsia="hu-HU"/>
              </w:rPr>
              <w:t>6.</w:t>
            </w:r>
          </w:p>
        </w:tc>
        <w:tc>
          <w:tcPr>
            <w:tcW w:w="1984" w:type="dxa"/>
            <w:shd w:val="clear" w:color="auto" w:fill="FFFFFF" w:themeFill="background1"/>
            <w:vAlign w:val="center"/>
          </w:tcPr>
          <w:p w:rsidR="00C75B87" w:rsidRPr="00FF016D" w:rsidRDefault="0081710D" w:rsidP="00FF016D">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HKISZLA302</w:t>
            </w:r>
          </w:p>
        </w:tc>
      </w:tr>
      <w:tr w:rsidR="0081710D" w:rsidRPr="0010643F" w:rsidTr="00FF016D">
        <w:trPr>
          <w:trHeight w:val="338"/>
          <w:jc w:val="center"/>
        </w:trPr>
        <w:tc>
          <w:tcPr>
            <w:tcW w:w="5671" w:type="dxa"/>
            <w:shd w:val="clear" w:color="auto" w:fill="FFFFFF" w:themeFill="background1"/>
            <w:noWrap/>
            <w:vAlign w:val="bottom"/>
          </w:tcPr>
          <w:p w:rsidR="0081710D" w:rsidRPr="0081710D" w:rsidRDefault="0081710D" w:rsidP="0056665F">
            <w:pPr>
              <w:pStyle w:val="Listaszerbekezds"/>
              <w:numPr>
                <w:ilvl w:val="0"/>
                <w:numId w:val="10"/>
              </w:numPr>
              <w:spacing w:after="0" w:line="240" w:lineRule="auto"/>
              <w:ind w:left="640" w:hanging="425"/>
              <w:rPr>
                <w:rFonts w:ascii="Times New Roman" w:eastAsia="Times New Roman" w:hAnsi="Times New Roman" w:cs="Times New Roman"/>
                <w:sz w:val="24"/>
                <w:szCs w:val="24"/>
                <w:lang w:eastAsia="hu-HU"/>
              </w:rPr>
            </w:pPr>
            <w:r w:rsidRPr="0081710D">
              <w:rPr>
                <w:rFonts w:ascii="Times New Roman" w:eastAsia="Times New Roman" w:hAnsi="Times New Roman" w:cs="Times New Roman"/>
                <w:sz w:val="24"/>
                <w:szCs w:val="24"/>
                <w:lang w:eastAsia="hu-HU"/>
              </w:rPr>
              <w:t>Szakmai Gyakorlat</w:t>
            </w:r>
          </w:p>
        </w:tc>
        <w:tc>
          <w:tcPr>
            <w:tcW w:w="1984" w:type="dxa"/>
            <w:shd w:val="clear" w:color="auto" w:fill="FFFFFF" w:themeFill="background1"/>
            <w:vAlign w:val="center"/>
          </w:tcPr>
          <w:p w:rsidR="0081710D" w:rsidRPr="00FF016D" w:rsidRDefault="0081710D" w:rsidP="00FF016D">
            <w:pPr>
              <w:spacing w:after="0" w:line="240" w:lineRule="auto"/>
              <w:rPr>
                <w:rFonts w:ascii="Times New Roman" w:eastAsia="Times New Roman" w:hAnsi="Times New Roman" w:cs="Times New Roman"/>
                <w:sz w:val="24"/>
                <w:szCs w:val="24"/>
                <w:lang w:eastAsia="hu-HU"/>
              </w:rPr>
            </w:pPr>
            <w:r w:rsidRPr="0081710D">
              <w:rPr>
                <w:rFonts w:ascii="Times New Roman" w:eastAsia="Times New Roman" w:hAnsi="Times New Roman" w:cs="Times New Roman"/>
                <w:sz w:val="24"/>
                <w:szCs w:val="24"/>
                <w:lang w:eastAsia="hu-HU"/>
              </w:rPr>
              <w:t>HKHPKA20</w:t>
            </w:r>
          </w:p>
        </w:tc>
      </w:tr>
      <w:tr w:rsidR="0081710D" w:rsidRPr="0010643F" w:rsidTr="00FF016D">
        <w:trPr>
          <w:trHeight w:val="338"/>
          <w:jc w:val="center"/>
        </w:trPr>
        <w:tc>
          <w:tcPr>
            <w:tcW w:w="5671" w:type="dxa"/>
            <w:shd w:val="clear" w:color="auto" w:fill="FFFFFF" w:themeFill="background1"/>
            <w:noWrap/>
            <w:vAlign w:val="bottom"/>
          </w:tcPr>
          <w:p w:rsidR="0081710D" w:rsidRPr="0081710D" w:rsidRDefault="0081710D" w:rsidP="0081710D">
            <w:pPr>
              <w:pStyle w:val="Listaszerbekezds"/>
              <w:numPr>
                <w:ilvl w:val="0"/>
                <w:numId w:val="10"/>
              </w:numPr>
              <w:spacing w:after="0" w:line="240" w:lineRule="auto"/>
              <w:ind w:left="640" w:hanging="425"/>
              <w:rPr>
                <w:rFonts w:ascii="Times New Roman" w:eastAsia="Times New Roman" w:hAnsi="Times New Roman" w:cs="Times New Roman"/>
                <w:sz w:val="24"/>
                <w:szCs w:val="24"/>
                <w:lang w:eastAsia="hu-HU"/>
              </w:rPr>
            </w:pPr>
            <w:r w:rsidRPr="0081710D">
              <w:rPr>
                <w:rFonts w:ascii="Times New Roman" w:eastAsia="Times New Roman" w:hAnsi="Times New Roman" w:cs="Times New Roman"/>
                <w:sz w:val="24"/>
                <w:szCs w:val="24"/>
                <w:lang w:eastAsia="hu-HU"/>
              </w:rPr>
              <w:t>Elsősegélynyújtás</w:t>
            </w:r>
          </w:p>
        </w:tc>
        <w:tc>
          <w:tcPr>
            <w:tcW w:w="1984" w:type="dxa"/>
            <w:shd w:val="clear" w:color="auto" w:fill="FFFFFF" w:themeFill="background1"/>
            <w:vAlign w:val="center"/>
          </w:tcPr>
          <w:p w:rsidR="0081710D" w:rsidRPr="0081710D" w:rsidRDefault="0081710D" w:rsidP="00FF016D">
            <w:pPr>
              <w:spacing w:after="0" w:line="240" w:lineRule="auto"/>
              <w:rPr>
                <w:rFonts w:ascii="Times New Roman" w:eastAsia="Times New Roman" w:hAnsi="Times New Roman" w:cs="Times New Roman"/>
                <w:sz w:val="24"/>
                <w:szCs w:val="24"/>
                <w:lang w:eastAsia="hu-HU"/>
              </w:rPr>
            </w:pPr>
            <w:r w:rsidRPr="0081710D">
              <w:rPr>
                <w:rFonts w:ascii="Times New Roman" w:eastAsia="Times New Roman" w:hAnsi="Times New Roman" w:cs="Times New Roman"/>
                <w:sz w:val="24"/>
                <w:szCs w:val="24"/>
                <w:lang w:eastAsia="hu-HU"/>
              </w:rPr>
              <w:t>VKMTB91</w:t>
            </w:r>
          </w:p>
        </w:tc>
      </w:tr>
    </w:tbl>
    <w:p w:rsidR="00E90EF1" w:rsidRDefault="00E90EF1" w:rsidP="00E90EF1">
      <w:pPr>
        <w:pStyle w:val="Listaszerbekezds"/>
        <w:ind w:left="1080"/>
        <w:rPr>
          <w:rFonts w:ascii="Times New Roman" w:hAnsi="Times New Roman" w:cs="Times New Roman"/>
          <w:sz w:val="24"/>
        </w:rPr>
      </w:pPr>
    </w:p>
    <w:p w:rsidR="00257A5B" w:rsidRDefault="00257A5B">
      <w:pPr>
        <w:spacing w:after="200" w:line="276" w:lineRule="auto"/>
        <w:rPr>
          <w:rFonts w:ascii="Times New Roman" w:hAnsi="Times New Roman" w:cs="Times New Roman"/>
          <w:sz w:val="24"/>
        </w:rPr>
      </w:pPr>
      <w:r>
        <w:rPr>
          <w:rFonts w:ascii="Times New Roman" w:hAnsi="Times New Roman" w:cs="Times New Roman"/>
          <w:sz w:val="24"/>
        </w:rPr>
        <w:br w:type="page"/>
      </w:r>
    </w:p>
    <w:p w:rsidR="004E3B59" w:rsidRDefault="004E3B59" w:rsidP="004E3B59">
      <w:pPr>
        <w:pStyle w:val="Cmsor1"/>
        <w:spacing w:before="2040"/>
        <w:jc w:val="center"/>
        <w:rPr>
          <w:rFonts w:eastAsia="Calibri"/>
          <w:i w:val="0"/>
          <w:szCs w:val="22"/>
          <w:u w:val="none"/>
        </w:rPr>
      </w:pPr>
    </w:p>
    <w:p w:rsidR="00F8748C" w:rsidRPr="000D7125" w:rsidRDefault="00F8748C" w:rsidP="004E3B59">
      <w:pPr>
        <w:pStyle w:val="Cmsor1"/>
        <w:spacing w:before="2040"/>
        <w:jc w:val="center"/>
        <w:rPr>
          <w:rFonts w:eastAsia="Calibri"/>
          <w:i w:val="0"/>
          <w:szCs w:val="22"/>
          <w:u w:val="none"/>
        </w:rPr>
      </w:pPr>
      <w:bookmarkStart w:id="49" w:name="_Toc37240845"/>
      <w:r w:rsidRPr="000D7125">
        <w:rPr>
          <w:rFonts w:eastAsia="Calibri"/>
          <w:i w:val="0"/>
          <w:szCs w:val="22"/>
          <w:u w:val="none"/>
        </w:rPr>
        <w:t>I. Törzsanyag</w:t>
      </w:r>
      <w:bookmarkEnd w:id="49"/>
    </w:p>
    <w:tbl>
      <w:tblPr>
        <w:tblW w:w="9072" w:type="dxa"/>
        <w:tblInd w:w="113" w:type="dxa"/>
        <w:tblLook w:val="01E0" w:firstRow="1" w:lastRow="1" w:firstColumn="1" w:lastColumn="1" w:noHBand="0" w:noVBand="0"/>
      </w:tblPr>
      <w:tblGrid>
        <w:gridCol w:w="4855"/>
        <w:gridCol w:w="1620"/>
        <w:gridCol w:w="2597"/>
      </w:tblGrid>
      <w:tr w:rsidR="00027CE5" w:rsidTr="00027CE5">
        <w:tc>
          <w:tcPr>
            <w:tcW w:w="4855" w:type="dxa"/>
            <w:tcBorders>
              <w:top w:val="nil"/>
              <w:left w:val="nil"/>
              <w:bottom w:val="single" w:sz="4" w:space="0" w:color="auto"/>
              <w:right w:val="nil"/>
            </w:tcBorders>
            <w:hideMark/>
          </w:tcPr>
          <w:p w:rsidR="00027CE5" w:rsidRDefault="00027CE5">
            <w:pPr>
              <w:pStyle w:val="Szvegtrzs"/>
              <w:pageBreakBefore/>
              <w:spacing w:line="254" w:lineRule="auto"/>
              <w:jc w:val="center"/>
              <w:rPr>
                <w:b/>
                <w:smallCaps/>
                <w:sz w:val="22"/>
                <w:szCs w:val="22"/>
                <w:lang w:eastAsia="en-US"/>
              </w:rPr>
            </w:pPr>
            <w:r>
              <w:rPr>
                <w:b/>
                <w:smallCaps/>
                <w:sz w:val="22"/>
                <w:szCs w:val="22"/>
                <w:lang w:eastAsia="en-US"/>
              </w:rPr>
              <w:lastRenderedPageBreak/>
              <w:t>Nemzeti Közszolgálati Egyetem</w:t>
            </w:r>
          </w:p>
        </w:tc>
        <w:tc>
          <w:tcPr>
            <w:tcW w:w="1620" w:type="dxa"/>
          </w:tcPr>
          <w:p w:rsidR="00027CE5" w:rsidRDefault="00027CE5">
            <w:pPr>
              <w:pStyle w:val="Szvegtrzs"/>
              <w:spacing w:line="254" w:lineRule="auto"/>
              <w:rPr>
                <w:sz w:val="22"/>
                <w:szCs w:val="22"/>
                <w:lang w:eastAsia="en-US"/>
              </w:rPr>
            </w:pPr>
          </w:p>
        </w:tc>
        <w:tc>
          <w:tcPr>
            <w:tcW w:w="2597" w:type="dxa"/>
          </w:tcPr>
          <w:p w:rsidR="00027CE5" w:rsidRDefault="00027CE5">
            <w:pPr>
              <w:pStyle w:val="Szvegtrzs"/>
              <w:spacing w:line="254" w:lineRule="auto"/>
              <w:jc w:val="right"/>
              <w:rPr>
                <w:sz w:val="22"/>
                <w:szCs w:val="22"/>
                <w:lang w:eastAsia="en-US"/>
              </w:rPr>
            </w:pPr>
          </w:p>
        </w:tc>
      </w:tr>
      <w:tr w:rsidR="00027CE5" w:rsidTr="00027CE5">
        <w:tc>
          <w:tcPr>
            <w:tcW w:w="4855" w:type="dxa"/>
            <w:tcBorders>
              <w:top w:val="single" w:sz="4" w:space="0" w:color="auto"/>
              <w:left w:val="nil"/>
              <w:bottom w:val="nil"/>
              <w:right w:val="nil"/>
            </w:tcBorders>
            <w:hideMark/>
          </w:tcPr>
          <w:p w:rsidR="00027CE5" w:rsidRDefault="00027CE5">
            <w:pPr>
              <w:pStyle w:val="Szvegtrzs"/>
              <w:spacing w:line="254" w:lineRule="auto"/>
              <w:jc w:val="center"/>
              <w:rPr>
                <w:b/>
                <w:sz w:val="22"/>
                <w:szCs w:val="22"/>
                <w:lang w:eastAsia="en-US"/>
              </w:rPr>
            </w:pPr>
            <w:r>
              <w:rPr>
                <w:b/>
                <w:sz w:val="22"/>
                <w:szCs w:val="22"/>
                <w:lang w:eastAsia="en-US"/>
              </w:rPr>
              <w:t>Hadtudományi és Honvédtiszképző Kar</w:t>
            </w:r>
          </w:p>
        </w:tc>
        <w:tc>
          <w:tcPr>
            <w:tcW w:w="1620" w:type="dxa"/>
          </w:tcPr>
          <w:p w:rsidR="00027CE5" w:rsidRDefault="00027CE5">
            <w:pPr>
              <w:pStyle w:val="Szvegtrzs"/>
              <w:spacing w:line="254" w:lineRule="auto"/>
              <w:rPr>
                <w:sz w:val="22"/>
                <w:szCs w:val="22"/>
                <w:lang w:eastAsia="en-US"/>
              </w:rPr>
            </w:pPr>
          </w:p>
        </w:tc>
        <w:tc>
          <w:tcPr>
            <w:tcW w:w="2597" w:type="dxa"/>
          </w:tcPr>
          <w:p w:rsidR="00027CE5" w:rsidRDefault="00027CE5">
            <w:pPr>
              <w:pStyle w:val="Szvegtrzs"/>
              <w:spacing w:line="254" w:lineRule="auto"/>
              <w:rPr>
                <w:sz w:val="22"/>
                <w:szCs w:val="22"/>
                <w:lang w:eastAsia="en-US"/>
              </w:rPr>
            </w:pPr>
          </w:p>
        </w:tc>
      </w:tr>
    </w:tbl>
    <w:p w:rsidR="00027CE5" w:rsidRDefault="00027CE5" w:rsidP="00027CE5">
      <w:pPr>
        <w:pStyle w:val="lfej1"/>
        <w:tabs>
          <w:tab w:val="right" w:pos="0"/>
        </w:tabs>
        <w:jc w:val="both"/>
        <w:rPr>
          <w:bCs/>
          <w:sz w:val="22"/>
          <w:szCs w:val="22"/>
        </w:rPr>
      </w:pPr>
    </w:p>
    <w:p w:rsidR="00027CE5" w:rsidRDefault="00027CE5" w:rsidP="00027CE5">
      <w:pPr>
        <w:jc w:val="center"/>
        <w:rPr>
          <w:rFonts w:ascii="Times New Roman" w:hAnsi="Times New Roman" w:cs="Times New Roman"/>
          <w:b/>
          <w:bCs/>
        </w:rPr>
      </w:pPr>
      <w:r>
        <w:rPr>
          <w:rFonts w:ascii="Times New Roman" w:hAnsi="Times New Roman" w:cs="Times New Roman"/>
          <w:b/>
          <w:bCs/>
        </w:rPr>
        <w:t>TANTÁRGYI PROGRAM</w:t>
      </w:r>
    </w:p>
    <w:p w:rsidR="00027CE5" w:rsidRDefault="00027CE5" w:rsidP="008B31E6">
      <w:pPr>
        <w:pStyle w:val="lfej1"/>
        <w:numPr>
          <w:ilvl w:val="0"/>
          <w:numId w:val="11"/>
        </w:numPr>
        <w:tabs>
          <w:tab w:val="clear" w:pos="360"/>
          <w:tab w:val="num" w:pos="644"/>
          <w:tab w:val="right" w:pos="900"/>
        </w:tabs>
        <w:spacing w:before="120"/>
        <w:ind w:left="644"/>
        <w:jc w:val="both"/>
        <w:rPr>
          <w:b/>
          <w:bCs/>
          <w:sz w:val="22"/>
          <w:szCs w:val="22"/>
        </w:rPr>
      </w:pPr>
      <w:r>
        <w:rPr>
          <w:b/>
          <w:bCs/>
          <w:sz w:val="22"/>
          <w:szCs w:val="22"/>
        </w:rPr>
        <w:t xml:space="preserve">A tantárgy kódja: </w:t>
      </w:r>
      <w:r>
        <w:rPr>
          <w:bCs/>
          <w:sz w:val="22"/>
          <w:szCs w:val="22"/>
        </w:rPr>
        <w:t>HKÖMTA800</w:t>
      </w:r>
    </w:p>
    <w:p w:rsidR="00027CE5" w:rsidRDefault="00027CE5" w:rsidP="008B31E6">
      <w:pPr>
        <w:pStyle w:val="lfej1"/>
        <w:numPr>
          <w:ilvl w:val="0"/>
          <w:numId w:val="11"/>
        </w:numPr>
        <w:tabs>
          <w:tab w:val="clear" w:pos="360"/>
          <w:tab w:val="num" w:pos="644"/>
          <w:tab w:val="right" w:pos="900"/>
        </w:tabs>
        <w:spacing w:before="120"/>
        <w:ind w:left="644"/>
        <w:jc w:val="both"/>
        <w:rPr>
          <w:b/>
          <w:bCs/>
          <w:sz w:val="22"/>
          <w:szCs w:val="22"/>
        </w:rPr>
      </w:pPr>
      <w:r>
        <w:rPr>
          <w:b/>
          <w:bCs/>
          <w:sz w:val="22"/>
          <w:szCs w:val="22"/>
        </w:rPr>
        <w:t xml:space="preserve">A tantárgy megnevezése (magyarul): </w:t>
      </w:r>
      <w:r>
        <w:rPr>
          <w:bCs/>
          <w:sz w:val="22"/>
          <w:szCs w:val="22"/>
        </w:rPr>
        <w:t>Katonai alapfelkészítés</w:t>
      </w:r>
    </w:p>
    <w:p w:rsidR="00027CE5" w:rsidRDefault="00027CE5" w:rsidP="008B31E6">
      <w:pPr>
        <w:pStyle w:val="lfej1"/>
        <w:numPr>
          <w:ilvl w:val="0"/>
          <w:numId w:val="11"/>
        </w:numPr>
        <w:tabs>
          <w:tab w:val="clear" w:pos="360"/>
          <w:tab w:val="num" w:pos="644"/>
          <w:tab w:val="right" w:pos="900"/>
        </w:tabs>
        <w:spacing w:before="120"/>
        <w:ind w:left="644"/>
        <w:jc w:val="both"/>
        <w:rPr>
          <w:b/>
          <w:bCs/>
          <w:sz w:val="22"/>
          <w:szCs w:val="22"/>
        </w:rPr>
      </w:pPr>
      <w:r>
        <w:rPr>
          <w:b/>
          <w:bCs/>
          <w:sz w:val="22"/>
          <w:szCs w:val="22"/>
        </w:rPr>
        <w:t xml:space="preserve">A tantárgy megnevezése (angolul): </w:t>
      </w:r>
      <w:r>
        <w:rPr>
          <w:bCs/>
          <w:sz w:val="22"/>
          <w:szCs w:val="22"/>
        </w:rPr>
        <w:t>Military Basic Training</w:t>
      </w:r>
    </w:p>
    <w:p w:rsidR="00027CE5" w:rsidRDefault="00027CE5" w:rsidP="008B31E6">
      <w:pPr>
        <w:pStyle w:val="lfej1"/>
        <w:numPr>
          <w:ilvl w:val="0"/>
          <w:numId w:val="11"/>
        </w:numPr>
        <w:tabs>
          <w:tab w:val="clear" w:pos="360"/>
          <w:tab w:val="num" w:pos="644"/>
          <w:tab w:val="right" w:pos="900"/>
        </w:tabs>
        <w:spacing w:before="120"/>
        <w:ind w:left="644"/>
        <w:jc w:val="both"/>
        <w:rPr>
          <w:b/>
          <w:bCs/>
          <w:sz w:val="22"/>
          <w:szCs w:val="22"/>
        </w:rPr>
      </w:pPr>
      <w:r>
        <w:rPr>
          <w:b/>
          <w:bCs/>
          <w:sz w:val="22"/>
          <w:szCs w:val="22"/>
        </w:rPr>
        <w:t xml:space="preserve">Kreditérték és képzési karakter: </w:t>
      </w:r>
    </w:p>
    <w:p w:rsidR="00027CE5" w:rsidRDefault="00027CE5" w:rsidP="008B31E6">
      <w:pPr>
        <w:pStyle w:val="Listaszerbekezds"/>
        <w:widowControl w:val="0"/>
        <w:numPr>
          <w:ilvl w:val="1"/>
          <w:numId w:val="11"/>
        </w:numPr>
        <w:spacing w:before="120" w:after="120" w:line="240" w:lineRule="auto"/>
        <w:jc w:val="both"/>
        <w:rPr>
          <w:rFonts w:ascii="Times New Roman" w:hAnsi="Times New Roman" w:cs="Times New Roman"/>
          <w:bCs/>
        </w:rPr>
      </w:pPr>
      <w:r>
        <w:rPr>
          <w:rFonts w:ascii="Times New Roman" w:hAnsi="Times New Roman" w:cs="Times New Roman"/>
          <w:bCs/>
        </w:rPr>
        <w:t>8 kredit</w:t>
      </w:r>
    </w:p>
    <w:p w:rsidR="00027CE5" w:rsidRDefault="00027CE5" w:rsidP="008B31E6">
      <w:pPr>
        <w:pStyle w:val="Listaszerbekezds"/>
        <w:widowControl w:val="0"/>
        <w:numPr>
          <w:ilvl w:val="1"/>
          <w:numId w:val="11"/>
        </w:numPr>
        <w:spacing w:before="120" w:after="120" w:line="240" w:lineRule="auto"/>
        <w:jc w:val="both"/>
        <w:rPr>
          <w:rFonts w:ascii="Times New Roman" w:hAnsi="Times New Roman" w:cs="Times New Roman"/>
          <w:bCs/>
        </w:rPr>
      </w:pPr>
      <w:r>
        <w:rPr>
          <w:rFonts w:ascii="Times New Roman" w:hAnsi="Times New Roman" w:cs="Times New Roman"/>
          <w:bCs/>
        </w:rPr>
        <w:t xml:space="preserve">a tantárgy elméleti vagy gyakorlati jellegének mértéke: 0 % elmélet, 100 % gyakorlat, </w:t>
      </w:r>
    </w:p>
    <w:p w:rsidR="00027CE5" w:rsidRDefault="00027CE5" w:rsidP="008B31E6">
      <w:pPr>
        <w:pStyle w:val="lfej1"/>
        <w:numPr>
          <w:ilvl w:val="0"/>
          <w:numId w:val="11"/>
        </w:numPr>
        <w:tabs>
          <w:tab w:val="clear" w:pos="360"/>
          <w:tab w:val="num" w:pos="644"/>
          <w:tab w:val="right" w:pos="900"/>
        </w:tabs>
        <w:spacing w:before="120"/>
        <w:ind w:left="644"/>
        <w:jc w:val="both"/>
        <w:rPr>
          <w:bCs/>
          <w:sz w:val="22"/>
          <w:szCs w:val="22"/>
        </w:rPr>
      </w:pPr>
      <w:r>
        <w:rPr>
          <w:b/>
          <w:bCs/>
          <w:sz w:val="22"/>
          <w:szCs w:val="22"/>
        </w:rPr>
        <w:t>A szak(ok), szakirányok megnevezése (ahol oktatják):</w:t>
      </w:r>
      <w:r>
        <w:rPr>
          <w:bCs/>
          <w:sz w:val="22"/>
          <w:szCs w:val="22"/>
        </w:rPr>
        <w:t xml:space="preserve"> </w:t>
      </w:r>
      <w:r>
        <w:rPr>
          <w:bCs/>
          <w:noProof/>
          <w:sz w:val="22"/>
          <w:szCs w:val="22"/>
        </w:rPr>
        <w:t>Katonai alapszakok</w:t>
      </w:r>
    </w:p>
    <w:p w:rsidR="00027CE5" w:rsidRDefault="00027CE5" w:rsidP="008B31E6">
      <w:pPr>
        <w:pStyle w:val="lfej1"/>
        <w:numPr>
          <w:ilvl w:val="0"/>
          <w:numId w:val="11"/>
        </w:numPr>
        <w:tabs>
          <w:tab w:val="clear" w:pos="360"/>
          <w:tab w:val="num" w:pos="644"/>
          <w:tab w:val="right" w:pos="900"/>
        </w:tabs>
        <w:spacing w:before="120"/>
        <w:ind w:left="644"/>
        <w:jc w:val="both"/>
        <w:rPr>
          <w:bCs/>
          <w:sz w:val="22"/>
          <w:szCs w:val="22"/>
        </w:rPr>
      </w:pPr>
      <w:r>
        <w:rPr>
          <w:b/>
          <w:bCs/>
          <w:sz w:val="22"/>
          <w:szCs w:val="22"/>
        </w:rPr>
        <w:t>Az oktatásért felelős oktatási szervezeti egység megnevezése:</w:t>
      </w:r>
      <w:r>
        <w:rPr>
          <w:bCs/>
          <w:sz w:val="22"/>
          <w:szCs w:val="22"/>
        </w:rPr>
        <w:t xml:space="preserve"> NKE Hadtudományi és Honvédtisztképző Kar, Összhaderőnemi Műveleti Tanszék</w:t>
      </w:r>
    </w:p>
    <w:p w:rsidR="00027CE5" w:rsidRDefault="00027CE5" w:rsidP="008B31E6">
      <w:pPr>
        <w:pStyle w:val="lfej1"/>
        <w:numPr>
          <w:ilvl w:val="0"/>
          <w:numId w:val="11"/>
        </w:numPr>
        <w:tabs>
          <w:tab w:val="clear" w:pos="360"/>
          <w:tab w:val="num" w:pos="644"/>
          <w:tab w:val="right" w:pos="900"/>
        </w:tabs>
        <w:spacing w:before="120"/>
        <w:ind w:left="644"/>
        <w:jc w:val="both"/>
        <w:rPr>
          <w:bCs/>
          <w:sz w:val="22"/>
          <w:szCs w:val="22"/>
        </w:rPr>
      </w:pPr>
      <w:r>
        <w:rPr>
          <w:b/>
          <w:bCs/>
          <w:sz w:val="22"/>
          <w:szCs w:val="22"/>
        </w:rPr>
        <w:t xml:space="preserve">A tantárgyfelelős oktató neve, beosztása, tudományos fokozata: </w:t>
      </w:r>
      <w:r>
        <w:rPr>
          <w:bCs/>
          <w:noProof/>
          <w:sz w:val="22"/>
          <w:szCs w:val="22"/>
        </w:rPr>
        <w:t>Dr. Komjáthy Lajos alezredes, adjunktus, PhD (hadtudomány)</w:t>
      </w:r>
    </w:p>
    <w:p w:rsidR="00027CE5" w:rsidRPr="002B02EF" w:rsidRDefault="00027CE5" w:rsidP="008B31E6">
      <w:pPr>
        <w:pStyle w:val="lfej1"/>
        <w:numPr>
          <w:ilvl w:val="0"/>
          <w:numId w:val="11"/>
        </w:numPr>
        <w:tabs>
          <w:tab w:val="clear" w:pos="360"/>
          <w:tab w:val="num" w:pos="644"/>
          <w:tab w:val="right" w:pos="900"/>
        </w:tabs>
        <w:spacing w:before="120"/>
        <w:ind w:left="644"/>
        <w:jc w:val="both"/>
        <w:rPr>
          <w:bCs/>
          <w:sz w:val="22"/>
          <w:szCs w:val="22"/>
        </w:rPr>
      </w:pPr>
      <w:r w:rsidRPr="002B02EF">
        <w:rPr>
          <w:b/>
          <w:bCs/>
          <w:sz w:val="22"/>
          <w:szCs w:val="22"/>
        </w:rPr>
        <w:t>A tanórák száma (előadás+gyakorlat)</w:t>
      </w:r>
    </w:p>
    <w:p w:rsidR="00027CE5" w:rsidRPr="002B02EF" w:rsidRDefault="00027CE5" w:rsidP="008B31E6">
      <w:pPr>
        <w:widowControl w:val="0"/>
        <w:numPr>
          <w:ilvl w:val="1"/>
          <w:numId w:val="11"/>
        </w:numPr>
        <w:tabs>
          <w:tab w:val="num" w:pos="2069"/>
        </w:tabs>
        <w:spacing w:before="120" w:after="120" w:line="240" w:lineRule="auto"/>
        <w:jc w:val="both"/>
        <w:rPr>
          <w:rFonts w:ascii="Times New Roman" w:hAnsi="Times New Roman" w:cs="Times New Roman"/>
          <w:bCs/>
        </w:rPr>
      </w:pPr>
      <w:r w:rsidRPr="002B02EF">
        <w:rPr>
          <w:rFonts w:ascii="Times New Roman" w:hAnsi="Times New Roman" w:cs="Times New Roman"/>
          <w:bCs/>
        </w:rPr>
        <w:t>össz óraszám/félév: 120</w:t>
      </w:r>
    </w:p>
    <w:p w:rsidR="00027CE5" w:rsidRPr="002B02EF" w:rsidRDefault="00027CE5" w:rsidP="008B31E6">
      <w:pPr>
        <w:widowControl w:val="0"/>
        <w:numPr>
          <w:ilvl w:val="2"/>
          <w:numId w:val="11"/>
        </w:numPr>
        <w:tabs>
          <w:tab w:val="num" w:pos="1134"/>
        </w:tabs>
        <w:spacing w:before="120" w:after="120" w:line="240" w:lineRule="auto"/>
        <w:jc w:val="both"/>
        <w:rPr>
          <w:rFonts w:ascii="Times New Roman" w:hAnsi="Times New Roman" w:cs="Times New Roman"/>
          <w:bCs/>
        </w:rPr>
      </w:pPr>
      <w:r w:rsidRPr="002B02EF">
        <w:rPr>
          <w:rFonts w:ascii="Times New Roman" w:hAnsi="Times New Roman" w:cs="Times New Roman"/>
          <w:bCs/>
        </w:rPr>
        <w:t>nappali munkarend: 120 (0 EA + 0 SZ + 120 GY)</w:t>
      </w:r>
    </w:p>
    <w:p w:rsidR="00027CE5" w:rsidRPr="002B02EF" w:rsidRDefault="00027CE5" w:rsidP="008B31E6">
      <w:pPr>
        <w:widowControl w:val="0"/>
        <w:numPr>
          <w:ilvl w:val="2"/>
          <w:numId w:val="11"/>
        </w:numPr>
        <w:tabs>
          <w:tab w:val="num" w:pos="1134"/>
        </w:tabs>
        <w:spacing w:before="120" w:after="120" w:line="240" w:lineRule="auto"/>
        <w:jc w:val="both"/>
        <w:rPr>
          <w:rFonts w:ascii="Times New Roman" w:hAnsi="Times New Roman" w:cs="Times New Roman"/>
          <w:bCs/>
        </w:rPr>
      </w:pPr>
      <w:r w:rsidRPr="002B02EF">
        <w:rPr>
          <w:rFonts w:ascii="Times New Roman" w:hAnsi="Times New Roman" w:cs="Times New Roman"/>
          <w:bCs/>
        </w:rPr>
        <w:t xml:space="preserve">levelező munkarend: - </w:t>
      </w:r>
    </w:p>
    <w:p w:rsidR="00027CE5" w:rsidRPr="002B02EF" w:rsidRDefault="00027CE5" w:rsidP="008B31E6">
      <w:pPr>
        <w:widowControl w:val="0"/>
        <w:numPr>
          <w:ilvl w:val="1"/>
          <w:numId w:val="11"/>
        </w:numPr>
        <w:tabs>
          <w:tab w:val="num" w:pos="2069"/>
        </w:tabs>
        <w:spacing w:before="120" w:after="120" w:line="240" w:lineRule="auto"/>
        <w:jc w:val="both"/>
        <w:rPr>
          <w:rFonts w:ascii="Times New Roman" w:hAnsi="Times New Roman" w:cs="Times New Roman"/>
          <w:bCs/>
        </w:rPr>
      </w:pPr>
      <w:r w:rsidRPr="002B02EF">
        <w:rPr>
          <w:rFonts w:ascii="Times New Roman" w:hAnsi="Times New Roman" w:cs="Times New Roman"/>
          <w:bCs/>
        </w:rPr>
        <w:t>heti óraszám - nappali munkarend: 8 (0+8)</w:t>
      </w:r>
    </w:p>
    <w:p w:rsidR="00027CE5" w:rsidRPr="002B02EF" w:rsidRDefault="00027CE5" w:rsidP="008B31E6">
      <w:pPr>
        <w:widowControl w:val="0"/>
        <w:numPr>
          <w:ilvl w:val="1"/>
          <w:numId w:val="11"/>
        </w:numPr>
        <w:tabs>
          <w:tab w:val="num" w:pos="2069"/>
        </w:tabs>
        <w:spacing w:before="120" w:after="120" w:line="240" w:lineRule="auto"/>
        <w:jc w:val="both"/>
        <w:rPr>
          <w:rFonts w:ascii="Times New Roman" w:hAnsi="Times New Roman" w:cs="Times New Roman"/>
          <w:bCs/>
        </w:rPr>
      </w:pPr>
      <w:r w:rsidRPr="002B02EF">
        <w:rPr>
          <w:rFonts w:ascii="Times New Roman" w:hAnsi="Times New Roman" w:cs="Times New Roman"/>
        </w:rPr>
        <w:t>Az ismeret átadásában alkalmazandó további sajátos módok, jellemzők: A tárgy a Magyar Honvédség alapkiképzések keretében, az NKE HHK oktatóinak felügyelete mellett kerül végrehajtásra.</w:t>
      </w:r>
    </w:p>
    <w:p w:rsidR="00027CE5" w:rsidRPr="002B02EF" w:rsidRDefault="00027CE5" w:rsidP="008B31E6">
      <w:pPr>
        <w:pStyle w:val="lfej1"/>
        <w:numPr>
          <w:ilvl w:val="0"/>
          <w:numId w:val="11"/>
        </w:numPr>
        <w:tabs>
          <w:tab w:val="clear" w:pos="360"/>
          <w:tab w:val="num" w:pos="644"/>
          <w:tab w:val="right" w:pos="900"/>
        </w:tabs>
        <w:spacing w:before="120"/>
        <w:ind w:left="644"/>
        <w:jc w:val="both"/>
        <w:rPr>
          <w:b/>
          <w:bCs/>
          <w:sz w:val="22"/>
          <w:szCs w:val="22"/>
        </w:rPr>
      </w:pPr>
      <w:r w:rsidRPr="002B02EF">
        <w:rPr>
          <w:b/>
          <w:bCs/>
          <w:sz w:val="22"/>
          <w:szCs w:val="22"/>
        </w:rPr>
        <w:t>A tantárgy szakmai tartalma (magyarul):</w:t>
      </w:r>
      <w:r w:rsidRPr="002B02EF">
        <w:rPr>
          <w:bCs/>
          <w:sz w:val="22"/>
          <w:szCs w:val="22"/>
        </w:rPr>
        <w:t xml:space="preserve"> A kurzus folyam</w:t>
      </w:r>
      <w:r w:rsidRPr="002B02EF">
        <w:rPr>
          <w:sz w:val="22"/>
          <w:szCs w:val="22"/>
        </w:rPr>
        <w:t>á</w:t>
      </w:r>
      <w:r w:rsidRPr="002B02EF">
        <w:rPr>
          <w:bCs/>
          <w:sz w:val="22"/>
          <w:szCs w:val="22"/>
        </w:rPr>
        <w:t>n a hallgatók megismerkedhetnek a katonai egyéni alapképzés legfontosabb szabályzatismereti, műszaki, vegyvédelmi, híradó, harcászati, lőkiképzési és fegyvezet-technikai elemeivel.</w:t>
      </w:r>
    </w:p>
    <w:p w:rsidR="00027CE5" w:rsidRPr="002B02EF" w:rsidRDefault="00027CE5" w:rsidP="00027CE5">
      <w:pPr>
        <w:pStyle w:val="lfej1"/>
        <w:tabs>
          <w:tab w:val="right" w:pos="900"/>
        </w:tabs>
        <w:spacing w:before="120"/>
        <w:ind w:left="644"/>
        <w:jc w:val="both"/>
        <w:rPr>
          <w:b/>
          <w:bCs/>
          <w:sz w:val="22"/>
          <w:szCs w:val="22"/>
          <w:lang w:val="en-US"/>
        </w:rPr>
      </w:pPr>
      <w:r w:rsidRPr="002B02EF">
        <w:rPr>
          <w:b/>
          <w:bCs/>
          <w:sz w:val="22"/>
          <w:szCs w:val="22"/>
          <w:lang w:val="en-US"/>
        </w:rPr>
        <w:t>A tantárgy szakmai tartalma (angolul):</w:t>
      </w:r>
      <w:r w:rsidRPr="002B02EF">
        <w:rPr>
          <w:bCs/>
          <w:sz w:val="22"/>
          <w:szCs w:val="22"/>
          <w:lang w:val="en-US"/>
        </w:rPr>
        <w:t xml:space="preserve"> </w:t>
      </w:r>
      <w:r w:rsidRPr="002B02EF">
        <w:rPr>
          <w:bCs/>
          <w:sz w:val="22"/>
          <w:szCs w:val="22"/>
        </w:rPr>
        <w:t>This introductory course will provide students with the basic understand of modern era (land) combined arms operations including theoretical knowledge of combat, combat service and combat service support activities throughout the full-spectrum of operations as well as the tactical application of the operations process</w:t>
      </w:r>
      <w:r w:rsidRPr="002B02EF">
        <w:rPr>
          <w:bCs/>
          <w:sz w:val="22"/>
          <w:szCs w:val="22"/>
          <w:lang w:val="en-US"/>
        </w:rPr>
        <w:t>.</w:t>
      </w:r>
    </w:p>
    <w:p w:rsidR="00027CE5" w:rsidRPr="002B02EF" w:rsidRDefault="00027CE5" w:rsidP="008B31E6">
      <w:pPr>
        <w:pStyle w:val="lfej1"/>
        <w:numPr>
          <w:ilvl w:val="0"/>
          <w:numId w:val="11"/>
        </w:numPr>
        <w:tabs>
          <w:tab w:val="clear" w:pos="360"/>
          <w:tab w:val="num" w:pos="644"/>
          <w:tab w:val="right" w:pos="900"/>
        </w:tabs>
        <w:spacing w:before="120"/>
        <w:ind w:left="644"/>
        <w:jc w:val="both"/>
        <w:rPr>
          <w:b/>
          <w:bCs/>
          <w:sz w:val="22"/>
          <w:szCs w:val="22"/>
        </w:rPr>
      </w:pPr>
      <w:r w:rsidRPr="002B02EF">
        <w:rPr>
          <w:b/>
          <w:bCs/>
          <w:sz w:val="22"/>
          <w:szCs w:val="22"/>
        </w:rPr>
        <w:t xml:space="preserve">Elérendő kompetenciák (magyarul): </w:t>
      </w:r>
    </w:p>
    <w:p w:rsidR="00027CE5" w:rsidRPr="002B02EF" w:rsidRDefault="00027CE5" w:rsidP="00027CE5">
      <w:pPr>
        <w:widowControl w:val="0"/>
        <w:spacing w:before="120" w:after="120"/>
        <w:ind w:left="426"/>
        <w:jc w:val="both"/>
        <w:rPr>
          <w:rFonts w:ascii="Times New Roman" w:hAnsi="Times New Roman" w:cs="Times New Roman"/>
          <w:bCs/>
        </w:rPr>
      </w:pPr>
      <w:r w:rsidRPr="002B02EF">
        <w:rPr>
          <w:rFonts w:ascii="Times New Roman" w:hAnsi="Times New Roman" w:cs="Times New Roman"/>
          <w:b/>
          <w:bCs/>
        </w:rPr>
        <w:t>Tudása:</w:t>
      </w:r>
      <w:r w:rsidRPr="002B02EF">
        <w:rPr>
          <w:rFonts w:ascii="Times New Roman" w:hAnsi="Times New Roman" w:cs="Times New Roman"/>
          <w:bCs/>
        </w:rPr>
        <w:t xml:space="preserve"> </w:t>
      </w:r>
    </w:p>
    <w:p w:rsidR="00027CE5" w:rsidRPr="002B02EF" w:rsidRDefault="00027CE5" w:rsidP="00980876">
      <w:pPr>
        <w:pStyle w:val="Listaszerbekezds"/>
        <w:widowControl w:val="0"/>
        <w:numPr>
          <w:ilvl w:val="0"/>
          <w:numId w:val="473"/>
        </w:numPr>
        <w:spacing w:after="0" w:line="240" w:lineRule="auto"/>
        <w:jc w:val="both"/>
        <w:rPr>
          <w:rFonts w:ascii="Times New Roman" w:hAnsi="Times New Roman" w:cs="Times New Roman"/>
          <w:bCs/>
        </w:rPr>
      </w:pPr>
      <w:r w:rsidRPr="002B02EF">
        <w:rPr>
          <w:rFonts w:ascii="Times New Roman" w:hAnsi="Times New Roman" w:cs="Times New Roman"/>
          <w:bCs/>
        </w:rPr>
        <w:t xml:space="preserve">Ismeri az alapvető katonai szabályok és előírások alkalmazását a napi feladatok végrehajtása során; </w:t>
      </w:r>
    </w:p>
    <w:p w:rsidR="00027CE5" w:rsidRPr="002B02EF" w:rsidRDefault="00027CE5" w:rsidP="00980876">
      <w:pPr>
        <w:pStyle w:val="Listaszerbekezds"/>
        <w:widowControl w:val="0"/>
        <w:numPr>
          <w:ilvl w:val="0"/>
          <w:numId w:val="473"/>
        </w:numPr>
        <w:spacing w:after="0" w:line="240" w:lineRule="auto"/>
        <w:jc w:val="both"/>
        <w:rPr>
          <w:rFonts w:ascii="Times New Roman" w:hAnsi="Times New Roman" w:cs="Times New Roman"/>
          <w:bCs/>
        </w:rPr>
      </w:pPr>
      <w:r w:rsidRPr="002B02EF">
        <w:rPr>
          <w:rFonts w:ascii="Times New Roman" w:hAnsi="Times New Roman" w:cs="Times New Roman"/>
          <w:bCs/>
        </w:rPr>
        <w:t>Ismerni és érti a Magyar Honvédség szerepét, feladatait, a katonai etikai elvárásokat;</w:t>
      </w:r>
    </w:p>
    <w:p w:rsidR="00027CE5" w:rsidRPr="002B02EF" w:rsidRDefault="00027CE5" w:rsidP="00980876">
      <w:pPr>
        <w:pStyle w:val="Listaszerbekezds"/>
        <w:widowControl w:val="0"/>
        <w:numPr>
          <w:ilvl w:val="0"/>
          <w:numId w:val="473"/>
        </w:numPr>
        <w:spacing w:after="0" w:line="240" w:lineRule="auto"/>
        <w:jc w:val="both"/>
        <w:rPr>
          <w:rFonts w:ascii="Times New Roman" w:hAnsi="Times New Roman" w:cs="Times New Roman"/>
          <w:bCs/>
        </w:rPr>
      </w:pPr>
      <w:r w:rsidRPr="002B02EF">
        <w:rPr>
          <w:rFonts w:ascii="Times New Roman" w:hAnsi="Times New Roman" w:cs="Times New Roman"/>
          <w:bCs/>
        </w:rPr>
        <w:t xml:space="preserve">Ismeri és alkalmazza az alaki fogásokat és mozdulatokat; </w:t>
      </w:r>
    </w:p>
    <w:p w:rsidR="00027CE5" w:rsidRPr="002B02EF" w:rsidRDefault="00027CE5" w:rsidP="00980876">
      <w:pPr>
        <w:pStyle w:val="Listaszerbekezds"/>
        <w:widowControl w:val="0"/>
        <w:numPr>
          <w:ilvl w:val="0"/>
          <w:numId w:val="473"/>
        </w:numPr>
        <w:spacing w:after="0" w:line="240" w:lineRule="auto"/>
        <w:jc w:val="both"/>
        <w:rPr>
          <w:rFonts w:ascii="Times New Roman" w:hAnsi="Times New Roman" w:cs="Times New Roman"/>
          <w:bCs/>
        </w:rPr>
      </w:pPr>
      <w:r w:rsidRPr="002B02EF">
        <w:rPr>
          <w:rFonts w:ascii="Times New Roman" w:hAnsi="Times New Roman" w:cs="Times New Roman"/>
          <w:bCs/>
        </w:rPr>
        <w:t xml:space="preserve">Ismerni a katonai szolgálat ellátására vonatkozó alapvető jogi előírásokat; </w:t>
      </w:r>
    </w:p>
    <w:p w:rsidR="00027CE5" w:rsidRPr="002B02EF" w:rsidRDefault="00027CE5" w:rsidP="00980876">
      <w:pPr>
        <w:pStyle w:val="Listaszerbekezds"/>
        <w:widowControl w:val="0"/>
        <w:numPr>
          <w:ilvl w:val="0"/>
          <w:numId w:val="473"/>
        </w:numPr>
        <w:spacing w:after="0" w:line="240" w:lineRule="auto"/>
        <w:jc w:val="both"/>
        <w:rPr>
          <w:rFonts w:ascii="Times New Roman" w:hAnsi="Times New Roman" w:cs="Times New Roman"/>
          <w:bCs/>
        </w:rPr>
      </w:pPr>
      <w:r w:rsidRPr="002B02EF">
        <w:rPr>
          <w:rFonts w:ascii="Times New Roman" w:hAnsi="Times New Roman" w:cs="Times New Roman"/>
          <w:bCs/>
        </w:rPr>
        <w:t>Ismerni az alapvető munka-, tűz-, környezet és balesetvédelem alapvető előírásit;</w:t>
      </w:r>
    </w:p>
    <w:p w:rsidR="00027CE5" w:rsidRPr="002B02EF" w:rsidRDefault="00027CE5" w:rsidP="00980876">
      <w:pPr>
        <w:pStyle w:val="Listaszerbekezds"/>
        <w:widowControl w:val="0"/>
        <w:numPr>
          <w:ilvl w:val="0"/>
          <w:numId w:val="473"/>
        </w:numPr>
        <w:spacing w:after="0" w:line="240" w:lineRule="auto"/>
        <w:jc w:val="both"/>
        <w:rPr>
          <w:rFonts w:ascii="Times New Roman" w:hAnsi="Times New Roman" w:cs="Times New Roman"/>
          <w:bCs/>
        </w:rPr>
      </w:pPr>
      <w:r w:rsidRPr="002B02EF">
        <w:rPr>
          <w:rFonts w:ascii="Times New Roman" w:hAnsi="Times New Roman" w:cs="Times New Roman"/>
          <w:bCs/>
        </w:rPr>
        <w:t>Ismeri a fegyvernemek és szakcsapatok feladatait, eszközeit.</w:t>
      </w:r>
    </w:p>
    <w:p w:rsidR="00027CE5" w:rsidRPr="002B02EF" w:rsidRDefault="00027CE5" w:rsidP="00027CE5">
      <w:pPr>
        <w:widowControl w:val="0"/>
        <w:spacing w:before="120" w:after="120"/>
        <w:ind w:left="426"/>
        <w:jc w:val="both"/>
        <w:rPr>
          <w:rFonts w:ascii="Times New Roman" w:hAnsi="Times New Roman" w:cs="Times New Roman"/>
          <w:bCs/>
        </w:rPr>
      </w:pPr>
      <w:r w:rsidRPr="002B02EF">
        <w:rPr>
          <w:rFonts w:ascii="Times New Roman" w:hAnsi="Times New Roman" w:cs="Times New Roman"/>
          <w:b/>
          <w:bCs/>
        </w:rPr>
        <w:t>Képességei:</w:t>
      </w:r>
      <w:r w:rsidRPr="002B02EF">
        <w:rPr>
          <w:rFonts w:ascii="Times New Roman" w:hAnsi="Times New Roman" w:cs="Times New Roman"/>
          <w:bCs/>
        </w:rPr>
        <w:t xml:space="preserve"> </w:t>
      </w:r>
    </w:p>
    <w:p w:rsidR="00027CE5" w:rsidRPr="002B02EF" w:rsidRDefault="00027CE5" w:rsidP="00980876">
      <w:pPr>
        <w:pStyle w:val="Listaszerbekezds"/>
        <w:widowControl w:val="0"/>
        <w:numPr>
          <w:ilvl w:val="0"/>
          <w:numId w:val="473"/>
        </w:numPr>
        <w:spacing w:after="0" w:line="240" w:lineRule="auto"/>
        <w:jc w:val="both"/>
        <w:rPr>
          <w:rFonts w:ascii="Times New Roman" w:eastAsia="Times New Roman" w:hAnsi="Times New Roman"/>
          <w:bCs/>
        </w:rPr>
      </w:pPr>
      <w:r w:rsidRPr="002B02EF">
        <w:rPr>
          <w:rFonts w:ascii="Times New Roman" w:eastAsia="Times New Roman" w:hAnsi="Times New Roman"/>
          <w:bCs/>
        </w:rPr>
        <w:t>Képes a megszerzett tudás alkalmazására és gyakorlati hasznosítására, a problémamegoldó technikák használatára.</w:t>
      </w:r>
    </w:p>
    <w:p w:rsidR="00027CE5" w:rsidRPr="002B02EF" w:rsidRDefault="00027CE5" w:rsidP="00980876">
      <w:pPr>
        <w:pStyle w:val="Listaszerbekezds"/>
        <w:widowControl w:val="0"/>
        <w:numPr>
          <w:ilvl w:val="0"/>
          <w:numId w:val="473"/>
        </w:numPr>
        <w:spacing w:after="0" w:line="240" w:lineRule="auto"/>
        <w:jc w:val="both"/>
        <w:rPr>
          <w:rFonts w:ascii="Times New Roman" w:hAnsi="Times New Roman" w:cs="Times New Roman"/>
          <w:bCs/>
        </w:rPr>
      </w:pPr>
      <w:r w:rsidRPr="002B02EF">
        <w:rPr>
          <w:rFonts w:ascii="Times New Roman" w:hAnsi="Times New Roman" w:cs="Times New Roman"/>
          <w:bCs/>
        </w:rPr>
        <w:t>Képes a megszerzett korszerű ismeretek birtokában a kialakult helyzet elemzésére, döntések előkészítésére és meghozatalára;</w:t>
      </w:r>
    </w:p>
    <w:p w:rsidR="00027CE5" w:rsidRPr="002B02EF" w:rsidRDefault="00027CE5" w:rsidP="00980876">
      <w:pPr>
        <w:pStyle w:val="Listaszerbekezds"/>
        <w:widowControl w:val="0"/>
        <w:numPr>
          <w:ilvl w:val="0"/>
          <w:numId w:val="473"/>
        </w:numPr>
        <w:spacing w:after="0" w:line="240" w:lineRule="auto"/>
        <w:jc w:val="both"/>
        <w:rPr>
          <w:rFonts w:ascii="Times New Roman" w:hAnsi="Times New Roman" w:cs="Times New Roman"/>
          <w:bCs/>
        </w:rPr>
      </w:pPr>
      <w:r w:rsidRPr="002B02EF">
        <w:rPr>
          <w:rFonts w:ascii="Times New Roman" w:hAnsi="Times New Roman" w:cs="Times New Roman"/>
          <w:bCs/>
        </w:rPr>
        <w:lastRenderedPageBreak/>
        <w:t>Elviseli a katonai szolgálattal együtt járó szellemi és fizikai terheléseket;</w:t>
      </w:r>
    </w:p>
    <w:p w:rsidR="00027CE5" w:rsidRPr="002B02EF" w:rsidRDefault="00027CE5" w:rsidP="00980876">
      <w:pPr>
        <w:pStyle w:val="Listaszerbekezds"/>
        <w:widowControl w:val="0"/>
        <w:numPr>
          <w:ilvl w:val="0"/>
          <w:numId w:val="473"/>
        </w:numPr>
        <w:spacing w:after="0" w:line="240" w:lineRule="auto"/>
        <w:jc w:val="both"/>
        <w:rPr>
          <w:rFonts w:ascii="Times New Roman" w:hAnsi="Times New Roman" w:cs="Times New Roman"/>
          <w:bCs/>
        </w:rPr>
      </w:pPr>
      <w:r w:rsidRPr="002B02EF">
        <w:rPr>
          <w:rFonts w:ascii="Times New Roman" w:hAnsi="Times New Roman" w:cs="Times New Roman"/>
          <w:bCs/>
        </w:rPr>
        <w:t>Alkalmas katonai szakértelme fejlesztésére, pozitív személyiségi jegyeinek erősítésére, rugalmasságának növelésére;</w:t>
      </w:r>
    </w:p>
    <w:p w:rsidR="00027CE5" w:rsidRPr="002B02EF" w:rsidRDefault="00027CE5" w:rsidP="00980876">
      <w:pPr>
        <w:pStyle w:val="Listaszerbekezds"/>
        <w:widowControl w:val="0"/>
        <w:numPr>
          <w:ilvl w:val="0"/>
          <w:numId w:val="473"/>
        </w:numPr>
        <w:spacing w:after="0" w:line="240" w:lineRule="auto"/>
        <w:jc w:val="both"/>
        <w:rPr>
          <w:rFonts w:ascii="Times New Roman" w:hAnsi="Times New Roman" w:cs="Times New Roman"/>
          <w:bCs/>
        </w:rPr>
      </w:pPr>
      <w:r w:rsidRPr="002B02EF">
        <w:rPr>
          <w:rFonts w:ascii="Times New Roman" w:hAnsi="Times New Roman" w:cs="Times New Roman"/>
          <w:bCs/>
        </w:rPr>
        <w:t>Képes testi épségét megóvni, a baleseteket, egészségkárosodásokat megelőzni, valamint a tűzvédelmi rendszabályokat alkalmazni;</w:t>
      </w:r>
    </w:p>
    <w:p w:rsidR="00027CE5" w:rsidRPr="002B02EF" w:rsidRDefault="00027CE5" w:rsidP="00980876">
      <w:pPr>
        <w:pStyle w:val="Listaszerbekezds"/>
        <w:widowControl w:val="0"/>
        <w:numPr>
          <w:ilvl w:val="0"/>
          <w:numId w:val="473"/>
        </w:numPr>
        <w:spacing w:after="0" w:line="240" w:lineRule="auto"/>
        <w:jc w:val="both"/>
        <w:rPr>
          <w:rFonts w:ascii="Times New Roman" w:hAnsi="Times New Roman" w:cs="Times New Roman"/>
          <w:bCs/>
        </w:rPr>
      </w:pPr>
      <w:r w:rsidRPr="002B02EF">
        <w:rPr>
          <w:rFonts w:ascii="Times New Roman" w:hAnsi="Times New Roman" w:cs="Times New Roman"/>
          <w:bCs/>
        </w:rPr>
        <w:t>Képes a katonai felszereléseket előírás szerint használni és karbantartani;</w:t>
      </w:r>
    </w:p>
    <w:p w:rsidR="00027CE5" w:rsidRPr="002B02EF" w:rsidRDefault="00027CE5" w:rsidP="00980876">
      <w:pPr>
        <w:pStyle w:val="Listaszerbekezds"/>
        <w:widowControl w:val="0"/>
        <w:numPr>
          <w:ilvl w:val="0"/>
          <w:numId w:val="473"/>
        </w:numPr>
        <w:spacing w:after="0" w:line="240" w:lineRule="auto"/>
        <w:jc w:val="both"/>
        <w:rPr>
          <w:rFonts w:ascii="Times New Roman" w:hAnsi="Times New Roman" w:cs="Times New Roman"/>
          <w:bCs/>
        </w:rPr>
      </w:pPr>
      <w:r w:rsidRPr="002B02EF">
        <w:rPr>
          <w:rFonts w:ascii="Times New Roman" w:hAnsi="Times New Roman" w:cs="Times New Roman"/>
          <w:bCs/>
        </w:rPr>
        <w:t>Képes alkalmazni a napi tevékenység során a szolgálati szabályzat előírásait;</w:t>
      </w:r>
    </w:p>
    <w:p w:rsidR="00027CE5" w:rsidRPr="002B02EF" w:rsidRDefault="00027CE5" w:rsidP="00980876">
      <w:pPr>
        <w:pStyle w:val="Listaszerbekezds"/>
        <w:widowControl w:val="0"/>
        <w:numPr>
          <w:ilvl w:val="0"/>
          <w:numId w:val="473"/>
        </w:numPr>
        <w:spacing w:after="0" w:line="240" w:lineRule="auto"/>
        <w:jc w:val="both"/>
        <w:rPr>
          <w:rFonts w:ascii="Times New Roman" w:hAnsi="Times New Roman" w:cs="Times New Roman"/>
          <w:bCs/>
        </w:rPr>
      </w:pPr>
      <w:r w:rsidRPr="002B02EF">
        <w:rPr>
          <w:rFonts w:ascii="Times New Roman" w:hAnsi="Times New Roman" w:cs="Times New Roman"/>
          <w:bCs/>
        </w:rPr>
        <w:t>Képes a harcmezőn helyet változtatni, mozogni, tüzet vezetni, tüzet helyesbíteni, a harcmezőn kommunikálni, a harcban túlélni, folyamatosan alkalmazkodni;</w:t>
      </w:r>
    </w:p>
    <w:p w:rsidR="00027CE5" w:rsidRPr="002B02EF" w:rsidRDefault="00027CE5" w:rsidP="00027CE5">
      <w:pPr>
        <w:widowControl w:val="0"/>
        <w:spacing w:before="120" w:after="120"/>
        <w:ind w:firstLine="426"/>
        <w:jc w:val="both"/>
        <w:rPr>
          <w:rFonts w:ascii="Times New Roman" w:hAnsi="Times New Roman" w:cs="Times New Roman"/>
          <w:b/>
          <w:bCs/>
        </w:rPr>
      </w:pPr>
      <w:r w:rsidRPr="002B02EF">
        <w:rPr>
          <w:rFonts w:ascii="Times New Roman" w:hAnsi="Times New Roman" w:cs="Times New Roman"/>
          <w:b/>
          <w:bCs/>
        </w:rPr>
        <w:t xml:space="preserve">Attitűdje: </w:t>
      </w:r>
    </w:p>
    <w:p w:rsidR="00027CE5" w:rsidRPr="002B02EF" w:rsidRDefault="00027CE5" w:rsidP="00980876">
      <w:pPr>
        <w:pStyle w:val="Listaszerbekezds"/>
        <w:widowControl w:val="0"/>
        <w:numPr>
          <w:ilvl w:val="0"/>
          <w:numId w:val="473"/>
        </w:numPr>
        <w:spacing w:after="0" w:line="240" w:lineRule="auto"/>
        <w:jc w:val="both"/>
        <w:rPr>
          <w:rFonts w:ascii="Times New Roman" w:hAnsi="Times New Roman" w:cs="Times New Roman"/>
          <w:bCs/>
        </w:rPr>
      </w:pPr>
      <w:r w:rsidRPr="002B02EF">
        <w:rPr>
          <w:rFonts w:ascii="Times New Roman" w:hAnsi="Times New Roman" w:cs="Times New Roman"/>
          <w:bCs/>
        </w:rPr>
        <w:t xml:space="preserve">Katonai szolgálat során a jogszabályok és etikai normák teljekörű figyelembevételével hozza meg döntéseit. </w:t>
      </w:r>
    </w:p>
    <w:p w:rsidR="00027CE5" w:rsidRPr="002B02EF" w:rsidRDefault="00027CE5" w:rsidP="00980876">
      <w:pPr>
        <w:pStyle w:val="Listaszerbekezds"/>
        <w:widowControl w:val="0"/>
        <w:numPr>
          <w:ilvl w:val="0"/>
          <w:numId w:val="473"/>
        </w:numPr>
        <w:spacing w:after="0" w:line="240" w:lineRule="auto"/>
        <w:jc w:val="both"/>
        <w:rPr>
          <w:rFonts w:ascii="Times New Roman" w:hAnsi="Times New Roman" w:cs="Times New Roman"/>
          <w:bCs/>
        </w:rPr>
      </w:pPr>
      <w:r w:rsidRPr="002B02EF">
        <w:rPr>
          <w:rFonts w:ascii="Times New Roman" w:hAnsi="Times New Roman" w:cs="Times New Roman"/>
          <w:bCs/>
        </w:rPr>
        <w:t>Érdeklődő a szakterülettel összefüggő új módszerek és eszközök iránt.</w:t>
      </w:r>
    </w:p>
    <w:p w:rsidR="00027CE5" w:rsidRPr="002B02EF" w:rsidRDefault="00027CE5" w:rsidP="00027CE5">
      <w:pPr>
        <w:widowControl w:val="0"/>
        <w:spacing w:before="120" w:after="120"/>
        <w:ind w:firstLine="426"/>
        <w:jc w:val="both"/>
        <w:rPr>
          <w:rFonts w:ascii="Times New Roman" w:hAnsi="Times New Roman" w:cs="Times New Roman"/>
          <w:b/>
          <w:bCs/>
        </w:rPr>
      </w:pPr>
      <w:r w:rsidRPr="002B02EF">
        <w:rPr>
          <w:rFonts w:ascii="Times New Roman" w:hAnsi="Times New Roman" w:cs="Times New Roman"/>
          <w:b/>
          <w:bCs/>
        </w:rPr>
        <w:t>Autonómiája és felelőssége:</w:t>
      </w:r>
    </w:p>
    <w:p w:rsidR="00027CE5" w:rsidRPr="002B02EF" w:rsidRDefault="00027CE5" w:rsidP="00980876">
      <w:pPr>
        <w:pStyle w:val="Listaszerbekezds"/>
        <w:widowControl w:val="0"/>
        <w:numPr>
          <w:ilvl w:val="0"/>
          <w:numId w:val="473"/>
        </w:numPr>
        <w:spacing w:after="0" w:line="240" w:lineRule="auto"/>
        <w:jc w:val="both"/>
        <w:rPr>
          <w:rFonts w:ascii="Times New Roman" w:hAnsi="Times New Roman" w:cs="Times New Roman"/>
        </w:rPr>
      </w:pPr>
      <w:r w:rsidRPr="002B02EF">
        <w:rPr>
          <w:rFonts w:ascii="Times New Roman" w:hAnsi="Times New Roman" w:cs="Times New Roman"/>
        </w:rPr>
        <w:t>Beosztásában, felelősségi és jogköréből adódóan önállóan tervezi és végzi szakmai tevékenységét;</w:t>
      </w:r>
    </w:p>
    <w:p w:rsidR="00027CE5" w:rsidRPr="002B02EF" w:rsidRDefault="00027CE5" w:rsidP="00980876">
      <w:pPr>
        <w:pStyle w:val="Listaszerbekezds"/>
        <w:widowControl w:val="0"/>
        <w:numPr>
          <w:ilvl w:val="0"/>
          <w:numId w:val="473"/>
        </w:numPr>
        <w:spacing w:after="0" w:line="240" w:lineRule="auto"/>
        <w:jc w:val="both"/>
        <w:rPr>
          <w:rFonts w:ascii="Times New Roman" w:hAnsi="Times New Roman" w:cs="Times New Roman"/>
        </w:rPr>
      </w:pPr>
      <w:r w:rsidRPr="002B02EF">
        <w:rPr>
          <w:rFonts w:ascii="Times New Roman" w:hAnsi="Times New Roman" w:cs="Times New Roman"/>
        </w:rPr>
        <w:t>Döntési helyzetekben felelősséget vállal az azok következtében kialakuló komplex hatásaiért;</w:t>
      </w:r>
    </w:p>
    <w:p w:rsidR="00027CE5" w:rsidRPr="002B02EF" w:rsidRDefault="00027CE5" w:rsidP="00980876">
      <w:pPr>
        <w:pStyle w:val="Listaszerbekezds"/>
        <w:widowControl w:val="0"/>
        <w:numPr>
          <w:ilvl w:val="0"/>
          <w:numId w:val="473"/>
        </w:numPr>
        <w:spacing w:after="0" w:line="240" w:lineRule="auto"/>
        <w:jc w:val="both"/>
        <w:rPr>
          <w:rFonts w:ascii="Times New Roman" w:eastAsia="Times New Roman" w:hAnsi="Times New Roman"/>
          <w:bCs/>
        </w:rPr>
      </w:pPr>
      <w:r w:rsidRPr="002B02EF">
        <w:rPr>
          <w:rFonts w:ascii="Times New Roman" w:eastAsia="Times New Roman" w:hAnsi="Times New Roman" w:cs="Times New Roman"/>
          <w:bCs/>
          <w:kern w:val="2"/>
        </w:rPr>
        <w:t>Beosztásából adódó önállósággal végzi az általános és speciális szakmai kérdések végig gondolását és adott tényezők és körülmények alapján történő kidolgozását, amely során széles látókörére, általános és szakmai műveltségére, valamint problémafelismerő és -megoldó készségére támaszkodik.</w:t>
      </w:r>
    </w:p>
    <w:p w:rsidR="00027CE5" w:rsidRPr="002B02EF" w:rsidRDefault="00027CE5" w:rsidP="00027CE5">
      <w:pPr>
        <w:spacing w:before="120" w:after="120"/>
        <w:rPr>
          <w:rFonts w:ascii="Times New Roman" w:hAnsi="Times New Roman" w:cs="Times New Roman"/>
          <w:b/>
          <w:bCs/>
          <w:lang w:val="en-US"/>
        </w:rPr>
      </w:pPr>
      <w:r w:rsidRPr="002B02EF">
        <w:rPr>
          <w:rFonts w:ascii="Times New Roman" w:hAnsi="Times New Roman" w:cs="Times New Roman"/>
          <w:b/>
          <w:bCs/>
        </w:rPr>
        <w:t>Elérendő kompetenciák (angolul) (</w:t>
      </w:r>
      <w:r w:rsidRPr="002B02EF">
        <w:rPr>
          <w:rFonts w:ascii="Times New Roman" w:hAnsi="Times New Roman" w:cs="Times New Roman"/>
          <w:b/>
          <w:bCs/>
          <w:lang w:val="en-US"/>
        </w:rPr>
        <w:t xml:space="preserve">Competences – English): </w:t>
      </w:r>
    </w:p>
    <w:p w:rsidR="00027CE5" w:rsidRPr="002B02EF" w:rsidRDefault="00027CE5" w:rsidP="00027CE5">
      <w:pPr>
        <w:widowControl w:val="0"/>
        <w:spacing w:before="120" w:after="120"/>
        <w:ind w:left="426"/>
        <w:jc w:val="both"/>
        <w:rPr>
          <w:rFonts w:ascii="Times New Roman" w:hAnsi="Times New Roman" w:cs="Times New Roman"/>
          <w:bCs/>
          <w:lang w:val="en-US"/>
        </w:rPr>
      </w:pPr>
      <w:r w:rsidRPr="002B02EF">
        <w:rPr>
          <w:rFonts w:ascii="Times New Roman" w:hAnsi="Times New Roman" w:cs="Times New Roman"/>
          <w:b/>
          <w:lang w:val="en-US"/>
        </w:rPr>
        <w:t>Knowledge</w:t>
      </w:r>
      <w:r w:rsidRPr="002B02EF">
        <w:rPr>
          <w:rFonts w:ascii="Times New Roman" w:hAnsi="Times New Roman" w:cs="Times New Roman"/>
          <w:lang w:val="en-US"/>
        </w:rPr>
        <w:t xml:space="preserve">: </w:t>
      </w:r>
    </w:p>
    <w:p w:rsidR="00027CE5" w:rsidRPr="002B02EF" w:rsidRDefault="00027CE5" w:rsidP="00980876">
      <w:pPr>
        <w:pStyle w:val="Listaszerbekezds"/>
        <w:widowControl w:val="0"/>
        <w:numPr>
          <w:ilvl w:val="0"/>
          <w:numId w:val="473"/>
        </w:numPr>
        <w:spacing w:after="0" w:line="240" w:lineRule="auto"/>
        <w:jc w:val="both"/>
        <w:rPr>
          <w:rFonts w:ascii="Times New Roman" w:hAnsi="Times New Roman" w:cs="Times New Roman"/>
          <w:bCs/>
          <w:lang w:val="en-US"/>
        </w:rPr>
      </w:pPr>
      <w:r w:rsidRPr="002B02EF">
        <w:rPr>
          <w:rFonts w:ascii="Times New Roman" w:hAnsi="Times New Roman" w:cs="Times New Roman"/>
          <w:bCs/>
          <w:lang w:val="en-US"/>
        </w:rPr>
        <w:t>Is familiar with the basic military rules and regulations in the use of daily tasks;</w:t>
      </w:r>
    </w:p>
    <w:p w:rsidR="00027CE5" w:rsidRPr="002B02EF" w:rsidRDefault="00027CE5" w:rsidP="00980876">
      <w:pPr>
        <w:pStyle w:val="Listaszerbekezds"/>
        <w:widowControl w:val="0"/>
        <w:numPr>
          <w:ilvl w:val="0"/>
          <w:numId w:val="473"/>
        </w:numPr>
        <w:spacing w:after="0" w:line="240" w:lineRule="auto"/>
        <w:jc w:val="both"/>
        <w:rPr>
          <w:rFonts w:ascii="Times New Roman" w:hAnsi="Times New Roman" w:cs="Times New Roman"/>
          <w:bCs/>
          <w:lang w:val="en-US"/>
        </w:rPr>
      </w:pPr>
      <w:r w:rsidRPr="002B02EF">
        <w:rPr>
          <w:rFonts w:ascii="Times New Roman" w:hAnsi="Times New Roman" w:cs="Times New Roman"/>
          <w:bCs/>
          <w:lang w:val="en-US"/>
        </w:rPr>
        <w:t>To know and understand the role, tasks and military ethical expectations of the Hungarian Defense Forces;</w:t>
      </w:r>
    </w:p>
    <w:p w:rsidR="00027CE5" w:rsidRPr="002B02EF" w:rsidRDefault="00027CE5" w:rsidP="00980876">
      <w:pPr>
        <w:pStyle w:val="Listaszerbekezds"/>
        <w:widowControl w:val="0"/>
        <w:numPr>
          <w:ilvl w:val="0"/>
          <w:numId w:val="473"/>
        </w:numPr>
        <w:spacing w:after="0" w:line="240" w:lineRule="auto"/>
        <w:jc w:val="both"/>
        <w:rPr>
          <w:rFonts w:ascii="Times New Roman" w:hAnsi="Times New Roman" w:cs="Times New Roman"/>
          <w:bCs/>
          <w:lang w:val="en-US"/>
        </w:rPr>
      </w:pPr>
      <w:r w:rsidRPr="002B02EF">
        <w:rPr>
          <w:rFonts w:ascii="Times New Roman" w:hAnsi="Times New Roman" w:cs="Times New Roman"/>
          <w:bCs/>
          <w:lang w:val="en-US"/>
        </w:rPr>
        <w:t>Knows and applies the drill and ceremony;</w:t>
      </w:r>
    </w:p>
    <w:p w:rsidR="00027CE5" w:rsidRPr="002B02EF" w:rsidRDefault="00027CE5" w:rsidP="00980876">
      <w:pPr>
        <w:pStyle w:val="Listaszerbekezds"/>
        <w:widowControl w:val="0"/>
        <w:numPr>
          <w:ilvl w:val="0"/>
          <w:numId w:val="473"/>
        </w:numPr>
        <w:spacing w:after="0" w:line="240" w:lineRule="auto"/>
        <w:jc w:val="both"/>
        <w:rPr>
          <w:rFonts w:ascii="Times New Roman" w:hAnsi="Times New Roman" w:cs="Times New Roman"/>
          <w:bCs/>
          <w:lang w:val="en-US"/>
        </w:rPr>
      </w:pPr>
      <w:r w:rsidRPr="002B02EF">
        <w:rPr>
          <w:rFonts w:ascii="Times New Roman" w:hAnsi="Times New Roman" w:cs="Times New Roman"/>
          <w:bCs/>
          <w:lang w:val="en-US"/>
        </w:rPr>
        <w:t>Know the basic legal requirements for military service;</w:t>
      </w:r>
    </w:p>
    <w:p w:rsidR="00027CE5" w:rsidRPr="002B02EF" w:rsidRDefault="00027CE5" w:rsidP="00980876">
      <w:pPr>
        <w:pStyle w:val="Listaszerbekezds"/>
        <w:widowControl w:val="0"/>
        <w:numPr>
          <w:ilvl w:val="0"/>
          <w:numId w:val="473"/>
        </w:numPr>
        <w:spacing w:after="0" w:line="240" w:lineRule="auto"/>
        <w:jc w:val="both"/>
        <w:rPr>
          <w:rFonts w:ascii="Times New Roman" w:hAnsi="Times New Roman" w:cs="Times New Roman"/>
          <w:bCs/>
          <w:lang w:val="en-US"/>
        </w:rPr>
      </w:pPr>
      <w:r w:rsidRPr="002B02EF">
        <w:rPr>
          <w:rFonts w:ascii="Times New Roman" w:hAnsi="Times New Roman" w:cs="Times New Roman"/>
          <w:bCs/>
          <w:lang w:val="en-US"/>
        </w:rPr>
        <w:t>Know the basic requirements for basic „work, fire, environment and accident” protection;</w:t>
      </w:r>
    </w:p>
    <w:p w:rsidR="00027CE5" w:rsidRPr="002B02EF" w:rsidRDefault="00027CE5" w:rsidP="00980876">
      <w:pPr>
        <w:pStyle w:val="Listaszerbekezds"/>
        <w:widowControl w:val="0"/>
        <w:numPr>
          <w:ilvl w:val="0"/>
          <w:numId w:val="473"/>
        </w:numPr>
        <w:spacing w:after="0" w:line="240" w:lineRule="auto"/>
        <w:jc w:val="both"/>
        <w:rPr>
          <w:rFonts w:ascii="Times New Roman" w:hAnsi="Times New Roman" w:cs="Times New Roman"/>
          <w:bCs/>
          <w:lang w:val="en-US"/>
        </w:rPr>
      </w:pPr>
      <w:r w:rsidRPr="002B02EF">
        <w:rPr>
          <w:rFonts w:ascii="Times New Roman" w:hAnsi="Times New Roman" w:cs="Times New Roman"/>
          <w:bCs/>
          <w:lang w:val="en-US"/>
        </w:rPr>
        <w:t>Knows the tasks and tools of combat arms and branches.</w:t>
      </w:r>
    </w:p>
    <w:p w:rsidR="00027CE5" w:rsidRPr="002B02EF" w:rsidRDefault="00027CE5" w:rsidP="00027CE5">
      <w:pPr>
        <w:widowControl w:val="0"/>
        <w:spacing w:before="120" w:after="120"/>
        <w:ind w:left="426"/>
        <w:jc w:val="both"/>
        <w:rPr>
          <w:rFonts w:ascii="Times New Roman" w:hAnsi="Times New Roman" w:cs="Times New Roman"/>
          <w:lang w:val="en-US"/>
        </w:rPr>
      </w:pPr>
      <w:r w:rsidRPr="002B02EF">
        <w:rPr>
          <w:rFonts w:ascii="Times New Roman" w:hAnsi="Times New Roman" w:cs="Times New Roman"/>
          <w:b/>
          <w:lang w:val="en-US"/>
        </w:rPr>
        <w:t>Capabilities</w:t>
      </w:r>
      <w:r w:rsidRPr="002B02EF">
        <w:rPr>
          <w:rFonts w:ascii="Times New Roman" w:hAnsi="Times New Roman" w:cs="Times New Roman"/>
          <w:lang w:val="en-US"/>
        </w:rPr>
        <w:t xml:space="preserve">: </w:t>
      </w:r>
    </w:p>
    <w:p w:rsidR="00027CE5" w:rsidRPr="002B02EF" w:rsidRDefault="00027CE5" w:rsidP="00980876">
      <w:pPr>
        <w:pStyle w:val="Listaszerbekezds"/>
        <w:widowControl w:val="0"/>
        <w:numPr>
          <w:ilvl w:val="0"/>
          <w:numId w:val="473"/>
        </w:numPr>
        <w:spacing w:after="0" w:line="240" w:lineRule="auto"/>
        <w:jc w:val="both"/>
        <w:rPr>
          <w:rFonts w:ascii="Times New Roman" w:hAnsi="Times New Roman" w:cs="Times New Roman"/>
          <w:bCs/>
          <w:lang w:val="en-US"/>
        </w:rPr>
      </w:pPr>
      <w:r w:rsidRPr="002B02EF">
        <w:rPr>
          <w:rFonts w:ascii="Times New Roman" w:hAnsi="Times New Roman" w:cs="Times New Roman"/>
          <w:bCs/>
          <w:lang w:val="en-US"/>
        </w:rPr>
        <w:t>Is able to apply the acquired knowledge and problem-solving techniques.</w:t>
      </w:r>
    </w:p>
    <w:p w:rsidR="00027CE5" w:rsidRPr="002B02EF" w:rsidRDefault="00027CE5" w:rsidP="00980876">
      <w:pPr>
        <w:pStyle w:val="Listaszerbekezds"/>
        <w:widowControl w:val="0"/>
        <w:numPr>
          <w:ilvl w:val="0"/>
          <w:numId w:val="473"/>
        </w:numPr>
        <w:spacing w:after="0" w:line="240" w:lineRule="auto"/>
        <w:jc w:val="both"/>
        <w:rPr>
          <w:rFonts w:ascii="Times New Roman" w:hAnsi="Times New Roman" w:cs="Times New Roman"/>
          <w:bCs/>
          <w:lang w:val="en-US"/>
        </w:rPr>
      </w:pPr>
      <w:r w:rsidRPr="002B02EF">
        <w:rPr>
          <w:rFonts w:ascii="Times New Roman" w:hAnsi="Times New Roman" w:cs="Times New Roman"/>
          <w:bCs/>
          <w:lang w:val="en-US"/>
        </w:rPr>
        <w:t>Ability to analyze the current situation, make decisions with the acquired modern knowledge;</w:t>
      </w:r>
    </w:p>
    <w:p w:rsidR="00027CE5" w:rsidRPr="002B02EF" w:rsidRDefault="00027CE5" w:rsidP="00980876">
      <w:pPr>
        <w:pStyle w:val="Listaszerbekezds"/>
        <w:widowControl w:val="0"/>
        <w:numPr>
          <w:ilvl w:val="0"/>
          <w:numId w:val="473"/>
        </w:numPr>
        <w:spacing w:after="0" w:line="240" w:lineRule="auto"/>
        <w:jc w:val="both"/>
        <w:rPr>
          <w:rFonts w:ascii="Times New Roman" w:hAnsi="Times New Roman" w:cs="Times New Roman"/>
          <w:bCs/>
          <w:lang w:val="en-US"/>
        </w:rPr>
      </w:pPr>
      <w:r w:rsidRPr="002B02EF">
        <w:rPr>
          <w:rFonts w:ascii="Times New Roman" w:hAnsi="Times New Roman" w:cs="Times New Roman"/>
          <w:bCs/>
          <w:lang w:val="en-US"/>
        </w:rPr>
        <w:t>Can tolerate mental and physical strains of military service;</w:t>
      </w:r>
    </w:p>
    <w:p w:rsidR="00027CE5" w:rsidRPr="002B02EF" w:rsidRDefault="00027CE5" w:rsidP="00980876">
      <w:pPr>
        <w:pStyle w:val="Listaszerbekezds"/>
        <w:widowControl w:val="0"/>
        <w:numPr>
          <w:ilvl w:val="0"/>
          <w:numId w:val="473"/>
        </w:numPr>
        <w:spacing w:after="0" w:line="240" w:lineRule="auto"/>
        <w:jc w:val="both"/>
        <w:rPr>
          <w:rFonts w:ascii="Times New Roman" w:hAnsi="Times New Roman" w:cs="Times New Roman"/>
          <w:bCs/>
          <w:lang w:val="en-US"/>
        </w:rPr>
      </w:pPr>
      <w:r w:rsidRPr="002B02EF">
        <w:rPr>
          <w:rFonts w:ascii="Times New Roman" w:hAnsi="Times New Roman" w:cs="Times New Roman"/>
          <w:bCs/>
          <w:lang w:val="en-US"/>
        </w:rPr>
        <w:t>Suitable for developing his / her military expertise, enhancing his / her positive personality traits and increasing his / her flexibility;</w:t>
      </w:r>
    </w:p>
    <w:p w:rsidR="00027CE5" w:rsidRPr="002B02EF" w:rsidRDefault="00027CE5" w:rsidP="00980876">
      <w:pPr>
        <w:pStyle w:val="Listaszerbekezds"/>
        <w:widowControl w:val="0"/>
        <w:numPr>
          <w:ilvl w:val="0"/>
          <w:numId w:val="473"/>
        </w:numPr>
        <w:spacing w:after="0" w:line="240" w:lineRule="auto"/>
        <w:jc w:val="both"/>
        <w:rPr>
          <w:rFonts w:ascii="Times New Roman" w:hAnsi="Times New Roman" w:cs="Times New Roman"/>
          <w:bCs/>
          <w:lang w:val="en-US"/>
        </w:rPr>
      </w:pPr>
      <w:r w:rsidRPr="002B02EF">
        <w:rPr>
          <w:rFonts w:ascii="Times New Roman" w:hAnsi="Times New Roman" w:cs="Times New Roman"/>
          <w:bCs/>
          <w:lang w:val="en-US"/>
        </w:rPr>
        <w:t>Able to protect his or her physical integrity, prevent accidents, damage to health and apply fire protection regulations;</w:t>
      </w:r>
    </w:p>
    <w:p w:rsidR="00027CE5" w:rsidRPr="002B02EF" w:rsidRDefault="00027CE5" w:rsidP="00980876">
      <w:pPr>
        <w:pStyle w:val="Listaszerbekezds"/>
        <w:widowControl w:val="0"/>
        <w:numPr>
          <w:ilvl w:val="0"/>
          <w:numId w:val="473"/>
        </w:numPr>
        <w:spacing w:after="0" w:line="240" w:lineRule="auto"/>
        <w:jc w:val="both"/>
        <w:rPr>
          <w:rFonts w:ascii="Times New Roman" w:hAnsi="Times New Roman" w:cs="Times New Roman"/>
          <w:bCs/>
          <w:lang w:val="en-US"/>
        </w:rPr>
      </w:pPr>
      <w:r w:rsidRPr="002B02EF">
        <w:rPr>
          <w:rFonts w:ascii="Times New Roman" w:hAnsi="Times New Roman" w:cs="Times New Roman"/>
          <w:bCs/>
          <w:lang w:val="en-US"/>
        </w:rPr>
        <w:t>Capable of operating and maintaining military equipment;</w:t>
      </w:r>
    </w:p>
    <w:p w:rsidR="00027CE5" w:rsidRPr="002B02EF" w:rsidRDefault="00027CE5" w:rsidP="00980876">
      <w:pPr>
        <w:pStyle w:val="Listaszerbekezds"/>
        <w:widowControl w:val="0"/>
        <w:numPr>
          <w:ilvl w:val="0"/>
          <w:numId w:val="473"/>
        </w:numPr>
        <w:spacing w:after="0" w:line="240" w:lineRule="auto"/>
        <w:jc w:val="both"/>
        <w:rPr>
          <w:rFonts w:ascii="Times New Roman" w:hAnsi="Times New Roman" w:cs="Times New Roman"/>
          <w:bCs/>
          <w:lang w:val="en-US"/>
        </w:rPr>
      </w:pPr>
      <w:r w:rsidRPr="002B02EF">
        <w:rPr>
          <w:rFonts w:ascii="Times New Roman" w:hAnsi="Times New Roman" w:cs="Times New Roman"/>
          <w:bCs/>
          <w:lang w:val="en-US"/>
        </w:rPr>
        <w:t>Is be able to apply the provisions of the Roles and Regulations in the course of his daily activities;</w:t>
      </w:r>
    </w:p>
    <w:p w:rsidR="00027CE5" w:rsidRPr="002B02EF" w:rsidRDefault="00027CE5" w:rsidP="00980876">
      <w:pPr>
        <w:pStyle w:val="Listaszerbekezds"/>
        <w:widowControl w:val="0"/>
        <w:numPr>
          <w:ilvl w:val="0"/>
          <w:numId w:val="473"/>
        </w:numPr>
        <w:spacing w:after="0" w:line="240" w:lineRule="auto"/>
        <w:jc w:val="both"/>
        <w:rPr>
          <w:rFonts w:ascii="Times New Roman" w:hAnsi="Times New Roman" w:cs="Times New Roman"/>
          <w:bCs/>
          <w:lang w:val="en-US"/>
        </w:rPr>
      </w:pPr>
      <w:r w:rsidRPr="002B02EF">
        <w:rPr>
          <w:rFonts w:ascii="Times New Roman" w:hAnsi="Times New Roman" w:cs="Times New Roman"/>
          <w:bCs/>
          <w:lang w:val="en-US"/>
        </w:rPr>
        <w:t>Able to change place on the battlefield, move, lead fire, correct fire, communicate on the battlefield, survive in combat and constantly adapt;</w:t>
      </w:r>
    </w:p>
    <w:p w:rsidR="00027CE5" w:rsidRPr="002B02EF" w:rsidRDefault="00027CE5" w:rsidP="00027CE5">
      <w:pPr>
        <w:widowControl w:val="0"/>
        <w:spacing w:before="120" w:after="120"/>
        <w:ind w:left="426"/>
        <w:jc w:val="both"/>
        <w:rPr>
          <w:rFonts w:ascii="Times New Roman" w:hAnsi="Times New Roman" w:cs="Times New Roman"/>
          <w:b/>
          <w:lang w:val="en-US"/>
        </w:rPr>
      </w:pPr>
      <w:r w:rsidRPr="002B02EF">
        <w:rPr>
          <w:rFonts w:ascii="Times New Roman" w:hAnsi="Times New Roman" w:cs="Times New Roman"/>
          <w:b/>
          <w:lang w:val="en-US"/>
        </w:rPr>
        <w:t xml:space="preserve">Attitude: </w:t>
      </w:r>
    </w:p>
    <w:p w:rsidR="00027CE5" w:rsidRPr="002B02EF" w:rsidRDefault="00027CE5" w:rsidP="00980876">
      <w:pPr>
        <w:pStyle w:val="Listaszerbekezds"/>
        <w:widowControl w:val="0"/>
        <w:numPr>
          <w:ilvl w:val="0"/>
          <w:numId w:val="473"/>
        </w:numPr>
        <w:spacing w:after="0" w:line="240" w:lineRule="auto"/>
        <w:jc w:val="both"/>
        <w:rPr>
          <w:rFonts w:ascii="Times New Roman" w:hAnsi="Times New Roman" w:cs="Times New Roman"/>
          <w:bCs/>
          <w:lang w:val="en-US"/>
        </w:rPr>
      </w:pPr>
      <w:r w:rsidRPr="002B02EF">
        <w:rPr>
          <w:rFonts w:ascii="Times New Roman" w:hAnsi="Times New Roman" w:cs="Times New Roman"/>
          <w:bCs/>
          <w:lang w:val="en-US"/>
        </w:rPr>
        <w:t>Make decisions in full compliance with legal and ethical standards during military service.</w:t>
      </w:r>
    </w:p>
    <w:p w:rsidR="00027CE5" w:rsidRPr="002B02EF" w:rsidRDefault="00027CE5" w:rsidP="00980876">
      <w:pPr>
        <w:pStyle w:val="Listaszerbekezds"/>
        <w:widowControl w:val="0"/>
        <w:numPr>
          <w:ilvl w:val="0"/>
          <w:numId w:val="473"/>
        </w:numPr>
        <w:spacing w:after="0" w:line="240" w:lineRule="auto"/>
        <w:jc w:val="both"/>
        <w:rPr>
          <w:rFonts w:ascii="Times New Roman" w:hAnsi="Times New Roman" w:cs="Times New Roman"/>
          <w:bCs/>
          <w:lang w:val="en-US"/>
        </w:rPr>
      </w:pPr>
      <w:r w:rsidRPr="002B02EF">
        <w:rPr>
          <w:rFonts w:ascii="Times New Roman" w:hAnsi="Times New Roman" w:cs="Times New Roman"/>
          <w:bCs/>
          <w:lang w:val="en-US"/>
        </w:rPr>
        <w:t>Interested in new methods and tools related to his /her professional field.</w:t>
      </w:r>
    </w:p>
    <w:p w:rsidR="00027CE5" w:rsidRPr="002B02EF" w:rsidRDefault="00027CE5" w:rsidP="00027CE5">
      <w:pPr>
        <w:widowControl w:val="0"/>
        <w:spacing w:before="120" w:after="120"/>
        <w:ind w:left="426"/>
        <w:jc w:val="both"/>
        <w:rPr>
          <w:rFonts w:ascii="Times New Roman" w:hAnsi="Times New Roman" w:cs="Times New Roman"/>
          <w:b/>
          <w:lang w:val="en-US"/>
        </w:rPr>
      </w:pPr>
      <w:r w:rsidRPr="002B02EF">
        <w:rPr>
          <w:rFonts w:ascii="Times New Roman" w:hAnsi="Times New Roman" w:cs="Times New Roman"/>
          <w:b/>
          <w:lang w:val="en-US"/>
        </w:rPr>
        <w:t xml:space="preserve">Autonomy and responsibility: </w:t>
      </w:r>
    </w:p>
    <w:p w:rsidR="00027CE5" w:rsidRPr="002B02EF" w:rsidRDefault="00027CE5" w:rsidP="00980876">
      <w:pPr>
        <w:pStyle w:val="Listaszerbekezds"/>
        <w:widowControl w:val="0"/>
        <w:numPr>
          <w:ilvl w:val="0"/>
          <w:numId w:val="473"/>
        </w:numPr>
        <w:spacing w:after="0" w:line="240" w:lineRule="auto"/>
        <w:jc w:val="both"/>
        <w:rPr>
          <w:rFonts w:ascii="Times New Roman" w:hAnsi="Times New Roman" w:cs="Times New Roman"/>
          <w:bCs/>
          <w:lang w:val="en-US"/>
        </w:rPr>
      </w:pPr>
      <w:r w:rsidRPr="002B02EF">
        <w:rPr>
          <w:rFonts w:ascii="Times New Roman" w:hAnsi="Times New Roman" w:cs="Times New Roman"/>
          <w:bCs/>
          <w:lang w:val="en-US"/>
        </w:rPr>
        <w:t>Plans and carries out his / her professional activities independently in his / her position;</w:t>
      </w:r>
    </w:p>
    <w:p w:rsidR="00027CE5" w:rsidRPr="002B02EF" w:rsidRDefault="00027CE5" w:rsidP="00980876">
      <w:pPr>
        <w:pStyle w:val="Listaszerbekezds"/>
        <w:widowControl w:val="0"/>
        <w:numPr>
          <w:ilvl w:val="0"/>
          <w:numId w:val="473"/>
        </w:numPr>
        <w:spacing w:after="0" w:line="240" w:lineRule="auto"/>
        <w:jc w:val="both"/>
        <w:rPr>
          <w:rFonts w:ascii="Times New Roman" w:hAnsi="Times New Roman" w:cs="Times New Roman"/>
          <w:bCs/>
          <w:lang w:val="en-US"/>
        </w:rPr>
      </w:pPr>
      <w:r w:rsidRPr="002B02EF">
        <w:rPr>
          <w:rFonts w:ascii="Times New Roman" w:hAnsi="Times New Roman" w:cs="Times New Roman"/>
          <w:bCs/>
          <w:lang w:val="en-US"/>
        </w:rPr>
        <w:lastRenderedPageBreak/>
        <w:t>Take responsibility in decision situations for the complex effects that result from them;</w:t>
      </w:r>
    </w:p>
    <w:p w:rsidR="00027CE5" w:rsidRPr="002B02EF" w:rsidRDefault="00027CE5" w:rsidP="00980876">
      <w:pPr>
        <w:pStyle w:val="Listaszerbekezds"/>
        <w:widowControl w:val="0"/>
        <w:numPr>
          <w:ilvl w:val="0"/>
          <w:numId w:val="473"/>
        </w:numPr>
        <w:spacing w:after="0" w:line="240" w:lineRule="auto"/>
        <w:jc w:val="both"/>
        <w:rPr>
          <w:rFonts w:ascii="Times New Roman" w:hAnsi="Times New Roman" w:cs="Times New Roman"/>
          <w:bCs/>
          <w:lang w:val="en-US"/>
        </w:rPr>
      </w:pPr>
      <w:r w:rsidRPr="002B02EF">
        <w:rPr>
          <w:rFonts w:ascii="Times New Roman" w:hAnsi="Times New Roman" w:cs="Times New Roman"/>
          <w:bCs/>
          <w:lang w:val="en-US"/>
        </w:rPr>
        <w:t>Has the autonomy of his position to think through and develop general and specific professional issues based on a wide range of horizons, general and professional literacy, and problem-solving and problem-solving skills.</w:t>
      </w:r>
    </w:p>
    <w:p w:rsidR="00027CE5" w:rsidRPr="002B02EF" w:rsidRDefault="00027CE5" w:rsidP="008B31E6">
      <w:pPr>
        <w:pStyle w:val="lfej1"/>
        <w:numPr>
          <w:ilvl w:val="0"/>
          <w:numId w:val="11"/>
        </w:numPr>
        <w:tabs>
          <w:tab w:val="clear" w:pos="360"/>
          <w:tab w:val="num" w:pos="644"/>
          <w:tab w:val="right" w:pos="900"/>
        </w:tabs>
        <w:spacing w:before="120"/>
        <w:ind w:left="644"/>
        <w:jc w:val="both"/>
        <w:rPr>
          <w:bCs/>
          <w:sz w:val="22"/>
          <w:szCs w:val="22"/>
        </w:rPr>
      </w:pPr>
      <w:r w:rsidRPr="002B02EF">
        <w:rPr>
          <w:b/>
          <w:bCs/>
          <w:sz w:val="22"/>
          <w:szCs w:val="22"/>
        </w:rPr>
        <w:t xml:space="preserve">Előtanulmányi kötelezettségek: </w:t>
      </w:r>
      <w:r w:rsidRPr="002B02EF">
        <w:rPr>
          <w:bCs/>
          <w:sz w:val="22"/>
          <w:szCs w:val="22"/>
        </w:rPr>
        <w:t>-</w:t>
      </w:r>
    </w:p>
    <w:p w:rsidR="00027CE5" w:rsidRPr="002B02EF" w:rsidRDefault="00027CE5" w:rsidP="008B31E6">
      <w:pPr>
        <w:pStyle w:val="lfej1"/>
        <w:numPr>
          <w:ilvl w:val="0"/>
          <w:numId w:val="11"/>
        </w:numPr>
        <w:tabs>
          <w:tab w:val="clear" w:pos="360"/>
          <w:tab w:val="num" w:pos="644"/>
          <w:tab w:val="right" w:pos="900"/>
        </w:tabs>
        <w:spacing w:before="120"/>
        <w:ind w:left="644"/>
        <w:jc w:val="both"/>
        <w:rPr>
          <w:b/>
          <w:sz w:val="22"/>
          <w:szCs w:val="22"/>
        </w:rPr>
      </w:pPr>
      <w:r w:rsidRPr="002B02EF">
        <w:rPr>
          <w:b/>
          <w:sz w:val="22"/>
          <w:szCs w:val="22"/>
        </w:rPr>
        <w:t xml:space="preserve">A </w:t>
      </w:r>
      <w:r w:rsidRPr="002B02EF">
        <w:rPr>
          <w:b/>
          <w:bCs/>
          <w:sz w:val="22"/>
          <w:szCs w:val="22"/>
        </w:rPr>
        <w:t>tantárgy</w:t>
      </w:r>
      <w:r w:rsidRPr="002B02EF">
        <w:rPr>
          <w:b/>
          <w:sz w:val="22"/>
          <w:szCs w:val="22"/>
        </w:rPr>
        <w:t xml:space="preserve"> tematikája:</w:t>
      </w:r>
    </w:p>
    <w:p w:rsidR="00027CE5" w:rsidRPr="002B02EF" w:rsidRDefault="00027CE5" w:rsidP="004E3B59">
      <w:pPr>
        <w:pStyle w:val="Listaszerbekezds"/>
        <w:numPr>
          <w:ilvl w:val="1"/>
          <w:numId w:val="12"/>
        </w:numPr>
        <w:spacing w:after="0" w:line="240" w:lineRule="auto"/>
        <w:ind w:left="1276" w:hanging="709"/>
        <w:jc w:val="both"/>
        <w:rPr>
          <w:rFonts w:ascii="Times New Roman" w:hAnsi="Times New Roman" w:cs="Times New Roman"/>
          <w:b/>
          <w:i/>
        </w:rPr>
      </w:pPr>
      <w:r w:rsidRPr="002B02EF">
        <w:rPr>
          <w:rFonts w:ascii="Times New Roman" w:hAnsi="Times New Roman" w:cs="Times New Roman"/>
        </w:rPr>
        <w:t xml:space="preserve">Honvédelmi ismeretek. A MH alkotmányos rendeltetése a társadalomban elfoglalt helye. </w:t>
      </w:r>
      <w:r w:rsidRPr="002B02EF">
        <w:rPr>
          <w:rFonts w:ascii="Times New Roman" w:hAnsi="Times New Roman" w:cs="Times New Roman"/>
          <w:i/>
        </w:rPr>
        <w:t xml:space="preserve"> (The </w:t>
      </w:r>
      <w:r w:rsidRPr="002B02EF">
        <w:rPr>
          <w:rFonts w:ascii="Times New Roman" w:hAnsi="Times New Roman" w:cs="Times New Roman"/>
          <w:i/>
          <w:color w:val="000000"/>
          <w:shd w:val="clear" w:color="auto" w:fill="FFFFFF"/>
        </w:rPr>
        <w:t>constitutional duties</w:t>
      </w:r>
      <w:r w:rsidRPr="002B02EF">
        <w:rPr>
          <w:rFonts w:ascii="Times New Roman" w:hAnsi="Times New Roman" w:cs="Times New Roman"/>
          <w:i/>
        </w:rPr>
        <w:t xml:space="preserve"> of the HDF.)</w:t>
      </w:r>
    </w:p>
    <w:p w:rsidR="00027CE5" w:rsidRPr="002B02EF" w:rsidRDefault="00027CE5" w:rsidP="004E3B59">
      <w:pPr>
        <w:pStyle w:val="Listaszerbekezds"/>
        <w:numPr>
          <w:ilvl w:val="1"/>
          <w:numId w:val="12"/>
        </w:numPr>
        <w:spacing w:after="0" w:line="240" w:lineRule="auto"/>
        <w:ind w:left="1276" w:hanging="709"/>
        <w:jc w:val="both"/>
        <w:rPr>
          <w:rFonts w:ascii="Times New Roman" w:hAnsi="Times New Roman" w:cs="Times New Roman"/>
        </w:rPr>
      </w:pPr>
      <w:r w:rsidRPr="002B02EF">
        <w:rPr>
          <w:rFonts w:ascii="Times New Roman" w:hAnsi="Times New Roman" w:cs="Times New Roman"/>
        </w:rPr>
        <w:t>Katonai testnevelés (</w:t>
      </w:r>
      <w:r w:rsidRPr="002B02EF">
        <w:rPr>
          <w:rFonts w:ascii="Times New Roman" w:hAnsi="Times New Roman" w:cs="Times New Roman"/>
          <w:i/>
        </w:rPr>
        <w:t>Military Physical Education)</w:t>
      </w:r>
    </w:p>
    <w:p w:rsidR="00027CE5" w:rsidRPr="002B02EF" w:rsidRDefault="00027CE5" w:rsidP="004E3B59">
      <w:pPr>
        <w:pStyle w:val="Listaszerbekezds"/>
        <w:numPr>
          <w:ilvl w:val="1"/>
          <w:numId w:val="12"/>
        </w:numPr>
        <w:spacing w:after="0" w:line="240" w:lineRule="auto"/>
        <w:ind w:left="1276" w:hanging="709"/>
        <w:jc w:val="both"/>
        <w:rPr>
          <w:rFonts w:ascii="Times New Roman" w:hAnsi="Times New Roman" w:cs="Times New Roman"/>
          <w:b/>
        </w:rPr>
      </w:pPr>
      <w:r w:rsidRPr="002B02EF">
        <w:rPr>
          <w:rFonts w:ascii="Times New Roman" w:hAnsi="Times New Roman" w:cs="Times New Roman"/>
        </w:rPr>
        <w:t xml:space="preserve">Alaki kiképzés. </w:t>
      </w:r>
      <w:r w:rsidRPr="002B02EF">
        <w:rPr>
          <w:rFonts w:ascii="Times New Roman" w:hAnsi="Times New Roman" w:cs="Times New Roman"/>
          <w:i/>
        </w:rPr>
        <w:t xml:space="preserve">(Military formal training) </w:t>
      </w:r>
    </w:p>
    <w:p w:rsidR="00027CE5" w:rsidRPr="002B02EF" w:rsidRDefault="00027CE5" w:rsidP="004E3B59">
      <w:pPr>
        <w:pStyle w:val="Listaszerbekezds"/>
        <w:numPr>
          <w:ilvl w:val="1"/>
          <w:numId w:val="12"/>
        </w:numPr>
        <w:spacing w:after="0" w:line="240" w:lineRule="auto"/>
        <w:ind w:left="1276" w:hanging="709"/>
        <w:jc w:val="both"/>
        <w:rPr>
          <w:rFonts w:ascii="Times New Roman" w:hAnsi="Times New Roman" w:cs="Times New Roman"/>
          <w:b/>
          <w:i/>
        </w:rPr>
      </w:pPr>
      <w:r w:rsidRPr="002B02EF">
        <w:rPr>
          <w:rFonts w:ascii="Times New Roman" w:hAnsi="Times New Roman" w:cs="Times New Roman"/>
        </w:rPr>
        <w:t xml:space="preserve">Jogi és hadijogi ismeretek. </w:t>
      </w:r>
      <w:r w:rsidRPr="002B02EF">
        <w:rPr>
          <w:rFonts w:ascii="Times New Roman" w:hAnsi="Times New Roman" w:cs="Times New Roman"/>
          <w:i/>
        </w:rPr>
        <w:t>(</w:t>
      </w:r>
      <w:r w:rsidRPr="002B02EF">
        <w:rPr>
          <w:rFonts w:ascii="Times New Roman" w:hAnsi="Times New Roman" w:cs="Times New Roman"/>
          <w:i/>
          <w:color w:val="000000"/>
          <w:shd w:val="clear" w:color="auto" w:fill="FFFFFF"/>
        </w:rPr>
        <w:t>Legal knowledge)</w:t>
      </w:r>
    </w:p>
    <w:p w:rsidR="00027CE5" w:rsidRPr="002B02EF" w:rsidRDefault="00027CE5" w:rsidP="004E3B59">
      <w:pPr>
        <w:pStyle w:val="Listaszerbekezds"/>
        <w:numPr>
          <w:ilvl w:val="1"/>
          <w:numId w:val="12"/>
        </w:numPr>
        <w:spacing w:after="0" w:line="240" w:lineRule="auto"/>
        <w:ind w:left="1276" w:hanging="709"/>
        <w:jc w:val="both"/>
        <w:rPr>
          <w:rFonts w:ascii="Times New Roman" w:hAnsi="Times New Roman" w:cs="Times New Roman"/>
        </w:rPr>
      </w:pPr>
      <w:r w:rsidRPr="002B02EF">
        <w:rPr>
          <w:rFonts w:ascii="Times New Roman" w:hAnsi="Times New Roman" w:cs="Times New Roman"/>
        </w:rPr>
        <w:t>Szolgálati szabályzatismeret, (</w:t>
      </w:r>
      <w:r w:rsidRPr="002B02EF">
        <w:rPr>
          <w:rFonts w:ascii="Times New Roman" w:hAnsi="Times New Roman" w:cs="Times New Roman"/>
          <w:i/>
          <w:shd w:val="clear" w:color="auto" w:fill="FFFFFF"/>
        </w:rPr>
        <w:t>Military laws, and rules and regulations for the Army)</w:t>
      </w:r>
    </w:p>
    <w:p w:rsidR="00027CE5" w:rsidRPr="002B02EF" w:rsidRDefault="00027CE5" w:rsidP="004E3B59">
      <w:pPr>
        <w:pStyle w:val="Listaszerbekezds"/>
        <w:numPr>
          <w:ilvl w:val="1"/>
          <w:numId w:val="12"/>
        </w:numPr>
        <w:spacing w:after="0" w:line="240" w:lineRule="auto"/>
        <w:ind w:left="1276" w:hanging="709"/>
        <w:jc w:val="both"/>
        <w:rPr>
          <w:rFonts w:ascii="Times New Roman" w:hAnsi="Times New Roman" w:cs="Times New Roman"/>
          <w:b/>
        </w:rPr>
      </w:pPr>
      <w:r w:rsidRPr="002B02EF">
        <w:rPr>
          <w:rFonts w:ascii="Times New Roman" w:hAnsi="Times New Roman" w:cs="Times New Roman"/>
        </w:rPr>
        <w:t xml:space="preserve">Munka-, tűz-, baleset és környezetvédelmi ismeretek. </w:t>
      </w:r>
      <w:r w:rsidRPr="002B02EF">
        <w:rPr>
          <w:rFonts w:ascii="Times New Roman" w:hAnsi="Times New Roman" w:cs="Times New Roman"/>
          <w:i/>
        </w:rPr>
        <w:t>(Fire, labour and enviromental safety)</w:t>
      </w:r>
      <w:r w:rsidRPr="002B02EF">
        <w:rPr>
          <w:rFonts w:ascii="Times New Roman" w:hAnsi="Times New Roman" w:cs="Times New Roman"/>
        </w:rPr>
        <w:t xml:space="preserve"> </w:t>
      </w:r>
    </w:p>
    <w:p w:rsidR="00027CE5" w:rsidRPr="002B02EF" w:rsidRDefault="00027CE5" w:rsidP="004E3B59">
      <w:pPr>
        <w:pStyle w:val="Listaszerbekezds"/>
        <w:numPr>
          <w:ilvl w:val="1"/>
          <w:numId w:val="12"/>
        </w:numPr>
        <w:spacing w:after="0" w:line="240" w:lineRule="auto"/>
        <w:ind w:left="1276" w:hanging="709"/>
        <w:jc w:val="both"/>
        <w:rPr>
          <w:rFonts w:ascii="Times New Roman" w:hAnsi="Times New Roman" w:cs="Times New Roman"/>
          <w:b/>
        </w:rPr>
      </w:pPr>
      <w:r w:rsidRPr="002B02EF">
        <w:rPr>
          <w:rFonts w:ascii="Times New Roman" w:hAnsi="Times New Roman" w:cs="Times New Roman"/>
        </w:rPr>
        <w:t xml:space="preserve">Nemzetbiztonsági ismeretek. A nemzeti és a katonai biztonság alapjai. </w:t>
      </w:r>
      <w:r w:rsidRPr="002B02EF">
        <w:rPr>
          <w:rFonts w:ascii="Times New Roman" w:hAnsi="Times New Roman" w:cs="Times New Roman"/>
          <w:i/>
          <w:color w:val="000000"/>
          <w:shd w:val="clear" w:color="auto" w:fill="FFFFFF"/>
        </w:rPr>
        <w:t>(Knowledge of national security)</w:t>
      </w:r>
    </w:p>
    <w:p w:rsidR="00027CE5" w:rsidRPr="002B02EF" w:rsidRDefault="00027CE5" w:rsidP="004E3B59">
      <w:pPr>
        <w:pStyle w:val="Listaszerbekezds"/>
        <w:numPr>
          <w:ilvl w:val="1"/>
          <w:numId w:val="12"/>
        </w:numPr>
        <w:spacing w:after="0" w:line="240" w:lineRule="auto"/>
        <w:ind w:left="1276" w:hanging="709"/>
        <w:jc w:val="both"/>
        <w:rPr>
          <w:rFonts w:ascii="Times New Roman" w:hAnsi="Times New Roman" w:cs="Times New Roman"/>
          <w:b/>
        </w:rPr>
      </w:pPr>
      <w:r w:rsidRPr="002B02EF">
        <w:rPr>
          <w:rFonts w:ascii="Times New Roman" w:hAnsi="Times New Roman" w:cs="Times New Roman"/>
        </w:rPr>
        <w:t xml:space="preserve">Műszaki kiképzés. </w:t>
      </w:r>
      <w:r w:rsidRPr="002B02EF">
        <w:rPr>
          <w:rFonts w:ascii="Times New Roman" w:hAnsi="Times New Roman" w:cs="Times New Roman"/>
          <w:i/>
        </w:rPr>
        <w:t>(</w:t>
      </w:r>
      <w:r w:rsidRPr="002B02EF">
        <w:rPr>
          <w:rFonts w:ascii="Times New Roman" w:hAnsi="Times New Roman" w:cs="Times New Roman"/>
          <w:i/>
          <w:color w:val="000000"/>
          <w:shd w:val="clear" w:color="auto" w:fill="FFFFFF"/>
        </w:rPr>
        <w:t>Engineering training)</w:t>
      </w:r>
    </w:p>
    <w:p w:rsidR="00027CE5" w:rsidRPr="002B02EF" w:rsidRDefault="00027CE5" w:rsidP="004E3B59">
      <w:pPr>
        <w:pStyle w:val="Listaszerbekezds"/>
        <w:numPr>
          <w:ilvl w:val="1"/>
          <w:numId w:val="12"/>
        </w:numPr>
        <w:spacing w:after="0" w:line="240" w:lineRule="auto"/>
        <w:ind w:left="1276" w:hanging="709"/>
        <w:jc w:val="both"/>
        <w:rPr>
          <w:rFonts w:ascii="Times New Roman" w:hAnsi="Times New Roman" w:cs="Times New Roman"/>
          <w:b/>
        </w:rPr>
      </w:pPr>
      <w:r w:rsidRPr="002B02EF">
        <w:rPr>
          <w:rFonts w:ascii="Times New Roman" w:eastAsia="Times New Roman" w:hAnsi="Times New Roman" w:cs="Times New Roman"/>
          <w:lang w:eastAsia="hu-HU"/>
        </w:rPr>
        <w:t xml:space="preserve">ABV védelmi kiképzés. </w:t>
      </w:r>
      <w:r w:rsidRPr="002B02EF">
        <w:rPr>
          <w:rFonts w:ascii="Times New Roman" w:eastAsia="Times New Roman" w:hAnsi="Times New Roman" w:cs="Times New Roman"/>
          <w:i/>
          <w:lang w:eastAsia="hu-HU"/>
        </w:rPr>
        <w:t>(CBRN training)</w:t>
      </w:r>
    </w:p>
    <w:p w:rsidR="00027CE5" w:rsidRPr="002B02EF" w:rsidRDefault="00027CE5" w:rsidP="004E3B59">
      <w:pPr>
        <w:pStyle w:val="Listaszerbekezds"/>
        <w:numPr>
          <w:ilvl w:val="1"/>
          <w:numId w:val="12"/>
        </w:numPr>
        <w:spacing w:after="0" w:line="240" w:lineRule="auto"/>
        <w:ind w:left="1276" w:hanging="709"/>
        <w:jc w:val="both"/>
        <w:rPr>
          <w:rFonts w:ascii="Times New Roman" w:hAnsi="Times New Roman" w:cs="Times New Roman"/>
        </w:rPr>
      </w:pPr>
      <w:r w:rsidRPr="002B02EF">
        <w:rPr>
          <w:rFonts w:ascii="Times New Roman" w:hAnsi="Times New Roman" w:cs="Times New Roman"/>
        </w:rPr>
        <w:t xml:space="preserve">Katonai tereptan. </w:t>
      </w:r>
      <w:r w:rsidRPr="002B02EF">
        <w:rPr>
          <w:rFonts w:ascii="Times New Roman" w:hAnsi="Times New Roman" w:cs="Times New Roman"/>
          <w:i/>
        </w:rPr>
        <w:t>(Tactical field training)</w:t>
      </w:r>
    </w:p>
    <w:p w:rsidR="00027CE5" w:rsidRPr="002B02EF" w:rsidRDefault="00027CE5" w:rsidP="004E3B59">
      <w:pPr>
        <w:pStyle w:val="Listaszerbekezds"/>
        <w:numPr>
          <w:ilvl w:val="1"/>
          <w:numId w:val="12"/>
        </w:numPr>
        <w:spacing w:after="0" w:line="240" w:lineRule="auto"/>
        <w:ind w:left="1276" w:hanging="709"/>
        <w:jc w:val="both"/>
        <w:rPr>
          <w:rFonts w:ascii="Times New Roman" w:hAnsi="Times New Roman" w:cs="Times New Roman"/>
          <w:b/>
        </w:rPr>
      </w:pPr>
      <w:r w:rsidRPr="002B02EF">
        <w:rPr>
          <w:rFonts w:ascii="Times New Roman" w:hAnsi="Times New Roman" w:cs="Times New Roman"/>
        </w:rPr>
        <w:t xml:space="preserve">Katonai logisztikai ismeretek. </w:t>
      </w:r>
      <w:r w:rsidRPr="002B02EF">
        <w:rPr>
          <w:rFonts w:ascii="Times New Roman" w:hAnsi="Times New Roman" w:cs="Times New Roman"/>
          <w:i/>
        </w:rPr>
        <w:t>(Military logistics skills)</w:t>
      </w:r>
    </w:p>
    <w:p w:rsidR="00027CE5" w:rsidRPr="002B02EF" w:rsidRDefault="00027CE5" w:rsidP="004E3B59">
      <w:pPr>
        <w:pStyle w:val="Listaszerbekezds"/>
        <w:numPr>
          <w:ilvl w:val="1"/>
          <w:numId w:val="12"/>
        </w:numPr>
        <w:spacing w:after="0" w:line="240" w:lineRule="auto"/>
        <w:ind w:left="1276" w:hanging="709"/>
        <w:jc w:val="both"/>
        <w:rPr>
          <w:rFonts w:ascii="Times New Roman" w:hAnsi="Times New Roman" w:cs="Times New Roman"/>
          <w:b/>
        </w:rPr>
      </w:pPr>
      <w:r w:rsidRPr="002B02EF">
        <w:rPr>
          <w:rFonts w:ascii="Times New Roman" w:hAnsi="Times New Roman" w:cs="Times New Roman"/>
        </w:rPr>
        <w:t xml:space="preserve">Egészségügyi kiképzés. </w:t>
      </w:r>
      <w:r w:rsidRPr="002B02EF">
        <w:rPr>
          <w:rFonts w:ascii="Times New Roman" w:hAnsi="Times New Roman" w:cs="Times New Roman"/>
          <w:i/>
        </w:rPr>
        <w:t>(Tactical Combat Casualty Care - TCCC).</w:t>
      </w:r>
      <w:r w:rsidRPr="002B02EF">
        <w:rPr>
          <w:rFonts w:ascii="Times New Roman" w:hAnsi="Times New Roman" w:cs="Times New Roman"/>
        </w:rPr>
        <w:t xml:space="preserve"> </w:t>
      </w:r>
    </w:p>
    <w:p w:rsidR="00027CE5" w:rsidRPr="002B02EF" w:rsidRDefault="00027CE5" w:rsidP="004E3B59">
      <w:pPr>
        <w:pStyle w:val="Listaszerbekezds"/>
        <w:numPr>
          <w:ilvl w:val="1"/>
          <w:numId w:val="12"/>
        </w:numPr>
        <w:spacing w:after="0" w:line="240" w:lineRule="auto"/>
        <w:ind w:left="1276" w:hanging="709"/>
        <w:jc w:val="both"/>
        <w:rPr>
          <w:rFonts w:ascii="Times New Roman" w:hAnsi="Times New Roman" w:cs="Times New Roman"/>
          <w:i/>
        </w:rPr>
      </w:pPr>
      <w:r w:rsidRPr="002B02EF">
        <w:rPr>
          <w:rFonts w:ascii="Times New Roman" w:hAnsi="Times New Roman" w:cs="Times New Roman"/>
        </w:rPr>
        <w:t xml:space="preserve">Híradó kiképzés. </w:t>
      </w:r>
      <w:r w:rsidRPr="002B02EF">
        <w:rPr>
          <w:rFonts w:ascii="Times New Roman" w:hAnsi="Times New Roman" w:cs="Times New Roman"/>
          <w:i/>
        </w:rPr>
        <w:t>(Signal training)</w:t>
      </w:r>
    </w:p>
    <w:p w:rsidR="00027CE5" w:rsidRPr="002B02EF" w:rsidRDefault="00027CE5" w:rsidP="004E3B59">
      <w:pPr>
        <w:pStyle w:val="Listaszerbekezds"/>
        <w:numPr>
          <w:ilvl w:val="1"/>
          <w:numId w:val="12"/>
        </w:numPr>
        <w:spacing w:after="0" w:line="240" w:lineRule="auto"/>
        <w:ind w:left="1276" w:hanging="709"/>
        <w:jc w:val="both"/>
        <w:rPr>
          <w:rFonts w:ascii="Times New Roman" w:hAnsi="Times New Roman" w:cs="Times New Roman"/>
          <w:i/>
        </w:rPr>
      </w:pPr>
      <w:r w:rsidRPr="002B02EF">
        <w:rPr>
          <w:rFonts w:ascii="Times New Roman" w:hAnsi="Times New Roman" w:cs="Times New Roman"/>
        </w:rPr>
        <w:t xml:space="preserve">Általános lőkiképzés </w:t>
      </w:r>
      <w:r w:rsidRPr="002B02EF">
        <w:rPr>
          <w:rFonts w:ascii="Times New Roman" w:eastAsia="Times New Roman" w:hAnsi="Times New Roman" w:cs="Times New Roman"/>
          <w:i/>
          <w:lang w:eastAsia="hu-HU"/>
        </w:rPr>
        <w:t>(Shooting training)</w:t>
      </w:r>
    </w:p>
    <w:p w:rsidR="00027CE5" w:rsidRPr="002B02EF" w:rsidRDefault="00027CE5" w:rsidP="004E3B59">
      <w:pPr>
        <w:pStyle w:val="Listaszerbekezds"/>
        <w:numPr>
          <w:ilvl w:val="1"/>
          <w:numId w:val="12"/>
        </w:numPr>
        <w:spacing w:after="0" w:line="240" w:lineRule="auto"/>
        <w:ind w:left="1276" w:hanging="709"/>
        <w:jc w:val="both"/>
        <w:rPr>
          <w:rFonts w:ascii="Times New Roman" w:hAnsi="Times New Roman" w:cs="Times New Roman"/>
          <w:i/>
        </w:rPr>
      </w:pPr>
      <w:r w:rsidRPr="002B02EF">
        <w:rPr>
          <w:rFonts w:ascii="Times New Roman" w:hAnsi="Times New Roman" w:cs="Times New Roman"/>
        </w:rPr>
        <w:t xml:space="preserve">Általános harcászat </w:t>
      </w:r>
      <w:r w:rsidRPr="002B02EF">
        <w:rPr>
          <w:rFonts w:ascii="Times New Roman" w:eastAsia="Times New Roman" w:hAnsi="Times New Roman" w:cs="Times New Roman"/>
          <w:i/>
          <w:lang w:eastAsia="hu-HU"/>
        </w:rPr>
        <w:t>(Basic tactical training)</w:t>
      </w:r>
    </w:p>
    <w:p w:rsidR="00027CE5" w:rsidRPr="002B02EF" w:rsidRDefault="00027CE5" w:rsidP="008B31E6">
      <w:pPr>
        <w:pStyle w:val="lfej1"/>
        <w:numPr>
          <w:ilvl w:val="0"/>
          <w:numId w:val="11"/>
        </w:numPr>
        <w:tabs>
          <w:tab w:val="clear" w:pos="360"/>
          <w:tab w:val="num" w:pos="644"/>
          <w:tab w:val="right" w:pos="900"/>
        </w:tabs>
        <w:spacing w:before="120"/>
        <w:ind w:left="644"/>
        <w:jc w:val="both"/>
        <w:rPr>
          <w:b/>
          <w:sz w:val="22"/>
          <w:szCs w:val="22"/>
        </w:rPr>
      </w:pPr>
      <w:r w:rsidRPr="002B02EF">
        <w:rPr>
          <w:b/>
          <w:sz w:val="22"/>
          <w:szCs w:val="22"/>
        </w:rPr>
        <w:tab/>
      </w:r>
      <w:r w:rsidRPr="002B02EF">
        <w:rPr>
          <w:b/>
          <w:bCs/>
          <w:sz w:val="22"/>
          <w:szCs w:val="22"/>
        </w:rPr>
        <w:t xml:space="preserve">A tantárgy meghirdetésének gyakorisága/a tantervben történő félévi elhelyezkedése: </w:t>
      </w:r>
      <w:r w:rsidRPr="002B02EF">
        <w:rPr>
          <w:bCs/>
          <w:sz w:val="22"/>
          <w:szCs w:val="22"/>
        </w:rPr>
        <w:t>1. félév</w:t>
      </w:r>
    </w:p>
    <w:p w:rsidR="00027CE5" w:rsidRPr="002B02EF" w:rsidRDefault="00027CE5" w:rsidP="008B31E6">
      <w:pPr>
        <w:pStyle w:val="lfej1"/>
        <w:numPr>
          <w:ilvl w:val="0"/>
          <w:numId w:val="11"/>
        </w:numPr>
        <w:tabs>
          <w:tab w:val="clear" w:pos="360"/>
          <w:tab w:val="num" w:pos="644"/>
          <w:tab w:val="right" w:pos="900"/>
        </w:tabs>
        <w:spacing w:before="120"/>
        <w:ind w:left="644"/>
        <w:jc w:val="both"/>
        <w:rPr>
          <w:bCs/>
          <w:sz w:val="22"/>
          <w:szCs w:val="22"/>
        </w:rPr>
      </w:pPr>
      <w:r w:rsidRPr="002B02EF">
        <w:rPr>
          <w:b/>
          <w:bCs/>
          <w:sz w:val="22"/>
          <w:szCs w:val="22"/>
        </w:rPr>
        <w:t xml:space="preserve">A foglalkozásokon való részvétel követelményei, elfogadható hiányzások mértéke, távolmaradás pótlásának lehetősége: </w:t>
      </w:r>
      <w:r w:rsidRPr="002B02EF">
        <w:rPr>
          <w:bCs/>
          <w:sz w:val="22"/>
          <w:szCs w:val="22"/>
        </w:rPr>
        <w:t>A hallgató köteles az alapkiképzési foglalkozások legalább 75%-án részt venni. Amennyiben a hallgató az elfogadható hiányzások mértékét túllépi, a hiányzás nem pótolható. Ebben az esetben a katonai alapkiképzést meg kell ismételni, tanulmányait tovább nem folytathatja.</w:t>
      </w:r>
    </w:p>
    <w:p w:rsidR="00027CE5" w:rsidRPr="002B02EF" w:rsidRDefault="00027CE5" w:rsidP="008B31E6">
      <w:pPr>
        <w:pStyle w:val="lfej1"/>
        <w:numPr>
          <w:ilvl w:val="0"/>
          <w:numId w:val="11"/>
        </w:numPr>
        <w:tabs>
          <w:tab w:val="clear" w:pos="360"/>
          <w:tab w:val="num" w:pos="644"/>
          <w:tab w:val="right" w:pos="900"/>
        </w:tabs>
        <w:spacing w:before="120"/>
        <w:ind w:left="644"/>
        <w:jc w:val="both"/>
        <w:rPr>
          <w:b/>
          <w:sz w:val="22"/>
          <w:szCs w:val="22"/>
        </w:rPr>
      </w:pPr>
      <w:r w:rsidRPr="002B02EF">
        <w:rPr>
          <w:b/>
          <w:sz w:val="22"/>
          <w:szCs w:val="22"/>
        </w:rPr>
        <w:t xml:space="preserve">Félévközi </w:t>
      </w:r>
      <w:r w:rsidRPr="002B02EF">
        <w:rPr>
          <w:b/>
          <w:bCs/>
          <w:sz w:val="22"/>
          <w:szCs w:val="22"/>
        </w:rPr>
        <w:t>feladatok</w:t>
      </w:r>
      <w:r w:rsidRPr="002B02EF">
        <w:rPr>
          <w:b/>
          <w:sz w:val="22"/>
          <w:szCs w:val="22"/>
        </w:rPr>
        <w:t xml:space="preserve">, ismeretek ellenőrzésének rendje: </w:t>
      </w:r>
    </w:p>
    <w:p w:rsidR="00027CE5" w:rsidRPr="002B02EF" w:rsidRDefault="00027CE5" w:rsidP="00027CE5">
      <w:pPr>
        <w:pStyle w:val="lfej1"/>
        <w:tabs>
          <w:tab w:val="right" w:pos="900"/>
        </w:tabs>
        <w:ind w:left="644"/>
        <w:jc w:val="both"/>
        <w:rPr>
          <w:bCs/>
          <w:sz w:val="22"/>
          <w:szCs w:val="22"/>
        </w:rPr>
      </w:pPr>
      <w:r w:rsidRPr="002B02EF">
        <w:rPr>
          <w:bCs/>
          <w:sz w:val="22"/>
          <w:szCs w:val="22"/>
        </w:rPr>
        <w:t>A tanulmányi munka alapja az alapkiképzésen történő részvétel (a 14. pont szerint). Az alapkiképzést vizsgáztatás nélkül megfelelő, illetve nem megfelelő minősítéssel kell zárni. A megfelelő értékeléshez szükséges minimálisan elvárt követelményként végre kell hajtani:</w:t>
      </w:r>
    </w:p>
    <w:p w:rsidR="00027CE5" w:rsidRPr="002B02EF" w:rsidRDefault="00027CE5" w:rsidP="00980876">
      <w:pPr>
        <w:pStyle w:val="lfej1"/>
        <w:numPr>
          <w:ilvl w:val="2"/>
          <w:numId w:val="474"/>
        </w:numPr>
        <w:tabs>
          <w:tab w:val="right" w:pos="900"/>
        </w:tabs>
        <w:jc w:val="both"/>
        <w:rPr>
          <w:bCs/>
          <w:sz w:val="22"/>
          <w:szCs w:val="22"/>
        </w:rPr>
      </w:pPr>
      <w:r w:rsidRPr="002B02EF">
        <w:rPr>
          <w:bCs/>
          <w:sz w:val="22"/>
          <w:szCs w:val="22"/>
        </w:rPr>
        <w:t>a lövészeteket,</w:t>
      </w:r>
    </w:p>
    <w:p w:rsidR="00027CE5" w:rsidRPr="002B02EF" w:rsidRDefault="00027CE5" w:rsidP="00980876">
      <w:pPr>
        <w:pStyle w:val="lfej1"/>
        <w:numPr>
          <w:ilvl w:val="2"/>
          <w:numId w:val="474"/>
        </w:numPr>
        <w:tabs>
          <w:tab w:val="right" w:pos="900"/>
        </w:tabs>
        <w:jc w:val="both"/>
        <w:rPr>
          <w:bCs/>
          <w:sz w:val="22"/>
          <w:szCs w:val="22"/>
        </w:rPr>
      </w:pPr>
      <w:r w:rsidRPr="002B02EF">
        <w:rPr>
          <w:bCs/>
          <w:sz w:val="22"/>
          <w:szCs w:val="22"/>
        </w:rPr>
        <w:t>a kézigránát dobó gyakorlatot,</w:t>
      </w:r>
    </w:p>
    <w:p w:rsidR="00027CE5" w:rsidRPr="002B02EF" w:rsidRDefault="00027CE5" w:rsidP="00980876">
      <w:pPr>
        <w:pStyle w:val="lfej1"/>
        <w:numPr>
          <w:ilvl w:val="2"/>
          <w:numId w:val="474"/>
        </w:numPr>
        <w:tabs>
          <w:tab w:val="right" w:pos="900"/>
        </w:tabs>
        <w:jc w:val="both"/>
        <w:rPr>
          <w:bCs/>
          <w:sz w:val="22"/>
          <w:szCs w:val="22"/>
        </w:rPr>
      </w:pPr>
      <w:r w:rsidRPr="002B02EF">
        <w:rPr>
          <w:bCs/>
          <w:sz w:val="22"/>
          <w:szCs w:val="22"/>
        </w:rPr>
        <w:t>az általános harcászatot és</w:t>
      </w:r>
    </w:p>
    <w:p w:rsidR="00027CE5" w:rsidRPr="002B02EF" w:rsidRDefault="00027CE5" w:rsidP="00980876">
      <w:pPr>
        <w:pStyle w:val="lfej1"/>
        <w:numPr>
          <w:ilvl w:val="2"/>
          <w:numId w:val="474"/>
        </w:numPr>
        <w:tabs>
          <w:tab w:val="right" w:pos="900"/>
        </w:tabs>
        <w:jc w:val="both"/>
        <w:rPr>
          <w:bCs/>
          <w:sz w:val="22"/>
          <w:szCs w:val="22"/>
        </w:rPr>
      </w:pPr>
      <w:r w:rsidRPr="002B02EF">
        <w:rPr>
          <w:bCs/>
          <w:sz w:val="22"/>
          <w:szCs w:val="22"/>
        </w:rPr>
        <w:t>a robbantást megfelelő eredménnyel.</w:t>
      </w:r>
    </w:p>
    <w:p w:rsidR="00027CE5" w:rsidRPr="002B02EF" w:rsidRDefault="00027CE5" w:rsidP="00027CE5">
      <w:pPr>
        <w:pStyle w:val="lfej1"/>
        <w:tabs>
          <w:tab w:val="right" w:pos="900"/>
        </w:tabs>
        <w:spacing w:before="120"/>
        <w:ind w:left="644"/>
        <w:jc w:val="both"/>
        <w:rPr>
          <w:bCs/>
          <w:sz w:val="22"/>
          <w:szCs w:val="22"/>
        </w:rPr>
      </w:pPr>
      <w:r w:rsidRPr="002B02EF">
        <w:rPr>
          <w:bCs/>
          <w:sz w:val="22"/>
          <w:szCs w:val="22"/>
        </w:rPr>
        <w:t xml:space="preserve">A fenti pontban meghatározott követelmény elmaradása esetén, illetve nem megfelelő értékelés esetén a honvéd tisztjelölt nem folytathatja tovább tanulmányait. </w:t>
      </w:r>
    </w:p>
    <w:p w:rsidR="00027CE5" w:rsidRPr="002B02EF" w:rsidRDefault="00027CE5" w:rsidP="00027CE5">
      <w:pPr>
        <w:pStyle w:val="lfej1"/>
        <w:tabs>
          <w:tab w:val="right" w:pos="900"/>
        </w:tabs>
        <w:ind w:left="646"/>
        <w:jc w:val="both"/>
        <w:rPr>
          <w:bCs/>
          <w:sz w:val="22"/>
          <w:szCs w:val="22"/>
        </w:rPr>
      </w:pPr>
      <w:r w:rsidRPr="002B02EF">
        <w:rPr>
          <w:bCs/>
          <w:sz w:val="22"/>
          <w:szCs w:val="22"/>
        </w:rPr>
        <w:t>A tanulmányi munka része a 12.1-12.15. foglalkozások anyagából a félév végén teszt jellegű ZH dolgozatok megírása az Ilias rendszer alkalmazásával. A zárthelyi dolgozat értékelése: ötfokozatú értékelés – (a helyes válaszok aránya 0-60% elégtelen; 61-70% elégséges; 71-80% közepes; 81-90% jó; 91-100% jeles osztályzat). Eredménytelen zárthelyi dolgozat kétszer javítható.</w:t>
      </w:r>
    </w:p>
    <w:p w:rsidR="00027CE5" w:rsidRPr="002B02EF" w:rsidRDefault="00027CE5" w:rsidP="008B31E6">
      <w:pPr>
        <w:pStyle w:val="lfej1"/>
        <w:numPr>
          <w:ilvl w:val="0"/>
          <w:numId w:val="11"/>
        </w:numPr>
        <w:tabs>
          <w:tab w:val="clear" w:pos="360"/>
          <w:tab w:val="num" w:pos="644"/>
          <w:tab w:val="right" w:pos="900"/>
        </w:tabs>
        <w:spacing w:before="120"/>
        <w:ind w:left="644"/>
        <w:jc w:val="both"/>
        <w:rPr>
          <w:sz w:val="22"/>
          <w:szCs w:val="22"/>
        </w:rPr>
      </w:pPr>
      <w:r w:rsidRPr="002B02EF">
        <w:rPr>
          <w:b/>
          <w:sz w:val="22"/>
          <w:szCs w:val="22"/>
        </w:rPr>
        <w:t xml:space="preserve">Az </w:t>
      </w:r>
      <w:r w:rsidRPr="002B02EF">
        <w:rPr>
          <w:b/>
          <w:bCs/>
          <w:sz w:val="22"/>
          <w:szCs w:val="22"/>
        </w:rPr>
        <w:t>aláírás</w:t>
      </w:r>
      <w:r w:rsidRPr="002B02EF">
        <w:rPr>
          <w:b/>
          <w:sz w:val="22"/>
          <w:szCs w:val="22"/>
        </w:rPr>
        <w:t xml:space="preserve"> és a kreditek megszerzésének pontos feltételei </w:t>
      </w:r>
      <w:r w:rsidRPr="002B02EF">
        <w:rPr>
          <w:sz w:val="22"/>
          <w:szCs w:val="22"/>
        </w:rPr>
        <w:t xml:space="preserve">a félév végi aláírás feltétele az előadások látogatása a pontban rögzített feltételek szerint. </w:t>
      </w:r>
    </w:p>
    <w:p w:rsidR="00027CE5" w:rsidRPr="002B02EF" w:rsidRDefault="00027CE5" w:rsidP="008B31E6">
      <w:pPr>
        <w:widowControl w:val="0"/>
        <w:numPr>
          <w:ilvl w:val="1"/>
          <w:numId w:val="13"/>
        </w:numPr>
        <w:tabs>
          <w:tab w:val="left" w:pos="709"/>
        </w:tabs>
        <w:spacing w:before="120" w:after="120" w:line="240" w:lineRule="auto"/>
        <w:ind w:left="1134" w:hanging="566"/>
        <w:jc w:val="both"/>
        <w:rPr>
          <w:rFonts w:ascii="Times New Roman" w:hAnsi="Times New Roman" w:cs="Times New Roman"/>
        </w:rPr>
      </w:pPr>
      <w:r w:rsidRPr="002B02EF">
        <w:rPr>
          <w:rFonts w:ascii="Times New Roman" w:hAnsi="Times New Roman" w:cs="Times New Roman"/>
          <w:b/>
        </w:rPr>
        <w:t xml:space="preserve">Az aláírás megszerzésének feltételei: </w:t>
      </w:r>
      <w:r w:rsidRPr="002B02EF">
        <w:rPr>
          <w:rFonts w:ascii="Times New Roman" w:hAnsi="Times New Roman" w:cs="Times New Roman"/>
        </w:rPr>
        <w:t>Az aláírás megszerzésének feltétele a 14. pontban meghatározott arányú részvétel a foglalkozásokon, illetve a 15 pontban meghatározott követelmények megfelelő szintű teljesítése és legalább elégséges ZH értékelés.</w:t>
      </w:r>
    </w:p>
    <w:p w:rsidR="00027CE5" w:rsidRPr="002B02EF" w:rsidRDefault="00027CE5" w:rsidP="008B31E6">
      <w:pPr>
        <w:widowControl w:val="0"/>
        <w:numPr>
          <w:ilvl w:val="1"/>
          <w:numId w:val="13"/>
        </w:numPr>
        <w:tabs>
          <w:tab w:val="left" w:pos="709"/>
        </w:tabs>
        <w:spacing w:before="120" w:after="120" w:line="240" w:lineRule="auto"/>
        <w:ind w:left="1134" w:hanging="566"/>
        <w:jc w:val="both"/>
        <w:rPr>
          <w:rFonts w:ascii="Times New Roman" w:hAnsi="Times New Roman" w:cs="Times New Roman"/>
        </w:rPr>
      </w:pPr>
      <w:r w:rsidRPr="002B02EF">
        <w:rPr>
          <w:rFonts w:ascii="Times New Roman" w:hAnsi="Times New Roman" w:cs="Times New Roman"/>
          <w:b/>
        </w:rPr>
        <w:lastRenderedPageBreak/>
        <w:t xml:space="preserve">Az értékelés: </w:t>
      </w:r>
      <w:r w:rsidRPr="002B02EF">
        <w:rPr>
          <w:rFonts w:ascii="Times New Roman" w:hAnsi="Times New Roman" w:cs="Times New Roman"/>
          <w:b/>
          <w:i/>
        </w:rPr>
        <w:t>Gyakorlati jegy</w:t>
      </w:r>
      <w:r w:rsidRPr="002B02EF">
        <w:rPr>
          <w:rFonts w:ascii="Times New Roman" w:hAnsi="Times New Roman" w:cs="Times New Roman"/>
        </w:rPr>
        <w:t xml:space="preserve"> ötfokozatú értékelés</w:t>
      </w:r>
      <w:r w:rsidRPr="002B02EF">
        <w:rPr>
          <w:rStyle w:val="Szvegtrzs1"/>
          <w:rFonts w:eastAsiaTheme="minorHAnsi"/>
          <w:b/>
        </w:rPr>
        <w:t xml:space="preserve">, </w:t>
      </w:r>
      <w:r w:rsidRPr="002B02EF">
        <w:rPr>
          <w:rStyle w:val="Szvegtrzs1"/>
          <w:rFonts w:eastAsiaTheme="minorHAnsi"/>
        </w:rPr>
        <w:t>amit</w:t>
      </w:r>
      <w:r w:rsidRPr="002B02EF">
        <w:rPr>
          <w:rStyle w:val="Szvegtrzs1"/>
          <w:rFonts w:eastAsiaTheme="minorHAnsi"/>
          <w:b/>
        </w:rPr>
        <w:t xml:space="preserve"> az alapkiképzés minősítése és a </w:t>
      </w:r>
      <w:r w:rsidRPr="002B02EF">
        <w:rPr>
          <w:rStyle w:val="Szvegtrzs1"/>
          <w:rFonts w:eastAsiaTheme="minorHAnsi"/>
        </w:rPr>
        <w:t>szorgalmi időszak végén</w:t>
      </w:r>
      <w:r w:rsidRPr="002B02EF">
        <w:rPr>
          <w:rFonts w:ascii="Times New Roman" w:hAnsi="Times New Roman" w:cs="Times New Roman"/>
        </w:rPr>
        <w:t xml:space="preserve"> írt ZH (teszt) eredménye adja. A ZH (írásbeli számonkérés) a kötelező irodalomra és az alapkiképzés keretében megtartott előadások anyagára épül.</w:t>
      </w:r>
    </w:p>
    <w:p w:rsidR="00027CE5" w:rsidRPr="002B02EF" w:rsidRDefault="00027CE5" w:rsidP="008B31E6">
      <w:pPr>
        <w:widowControl w:val="0"/>
        <w:numPr>
          <w:ilvl w:val="1"/>
          <w:numId w:val="13"/>
        </w:numPr>
        <w:tabs>
          <w:tab w:val="left" w:pos="709"/>
        </w:tabs>
        <w:spacing w:before="120" w:after="120" w:line="240" w:lineRule="auto"/>
        <w:ind w:left="1134" w:hanging="566"/>
        <w:jc w:val="both"/>
        <w:rPr>
          <w:rFonts w:ascii="Times New Roman" w:hAnsi="Times New Roman" w:cs="Times New Roman"/>
        </w:rPr>
      </w:pPr>
      <w:r w:rsidRPr="002B02EF">
        <w:rPr>
          <w:rFonts w:ascii="Times New Roman" w:hAnsi="Times New Roman" w:cs="Times New Roman"/>
          <w:b/>
        </w:rPr>
        <w:t>A kreditek megszerzésének feltételei:</w:t>
      </w:r>
      <w:r w:rsidRPr="002B02EF">
        <w:rPr>
          <w:rFonts w:ascii="Times New Roman" w:hAnsi="Times New Roman" w:cs="Times New Roman"/>
        </w:rPr>
        <w:t xml:space="preserve"> A kreditek megszerzésének feltétele az aláírás megszerzése és legalább elégséges gyakorlati jegy.</w:t>
      </w:r>
    </w:p>
    <w:p w:rsidR="00027CE5" w:rsidRDefault="00027CE5" w:rsidP="008B31E6">
      <w:pPr>
        <w:pStyle w:val="lfej1"/>
        <w:numPr>
          <w:ilvl w:val="0"/>
          <w:numId w:val="11"/>
        </w:numPr>
        <w:tabs>
          <w:tab w:val="clear" w:pos="360"/>
          <w:tab w:val="num" w:pos="644"/>
          <w:tab w:val="right" w:pos="900"/>
        </w:tabs>
        <w:spacing w:before="120"/>
        <w:ind w:left="644"/>
        <w:jc w:val="both"/>
        <w:rPr>
          <w:b/>
          <w:sz w:val="22"/>
          <w:szCs w:val="22"/>
        </w:rPr>
      </w:pPr>
      <w:r>
        <w:rPr>
          <w:b/>
          <w:sz w:val="22"/>
          <w:szCs w:val="22"/>
        </w:rPr>
        <w:tab/>
      </w:r>
      <w:r>
        <w:rPr>
          <w:b/>
          <w:bCs/>
          <w:sz w:val="22"/>
          <w:szCs w:val="22"/>
        </w:rPr>
        <w:t>Irodalomjegyzék</w:t>
      </w:r>
      <w:r>
        <w:rPr>
          <w:b/>
          <w:sz w:val="22"/>
          <w:szCs w:val="22"/>
        </w:rPr>
        <w:t>:</w:t>
      </w:r>
    </w:p>
    <w:p w:rsidR="00027CE5" w:rsidRDefault="00027CE5" w:rsidP="008B31E6">
      <w:pPr>
        <w:pStyle w:val="lfej1"/>
        <w:numPr>
          <w:ilvl w:val="1"/>
          <w:numId w:val="14"/>
        </w:numPr>
        <w:tabs>
          <w:tab w:val="clear" w:pos="792"/>
        </w:tabs>
        <w:spacing w:before="120"/>
        <w:ind w:left="1134" w:hanging="566"/>
        <w:jc w:val="both"/>
        <w:rPr>
          <w:b/>
          <w:sz w:val="22"/>
          <w:szCs w:val="22"/>
        </w:rPr>
      </w:pPr>
      <w:r>
        <w:rPr>
          <w:b/>
          <w:sz w:val="22"/>
          <w:szCs w:val="22"/>
        </w:rPr>
        <w:t>Kötelező irodalom:</w:t>
      </w:r>
    </w:p>
    <w:p w:rsidR="00027CE5" w:rsidRPr="002B02EF" w:rsidRDefault="00027CE5" w:rsidP="008B31E6">
      <w:pPr>
        <w:pStyle w:val="lfej1"/>
        <w:numPr>
          <w:ilvl w:val="0"/>
          <w:numId w:val="15"/>
        </w:numPr>
        <w:tabs>
          <w:tab w:val="clear" w:pos="360"/>
        </w:tabs>
        <w:ind w:left="992" w:hanging="357"/>
        <w:jc w:val="both"/>
        <w:rPr>
          <w:sz w:val="22"/>
          <w:szCs w:val="22"/>
          <w:highlight w:val="yellow"/>
        </w:rPr>
      </w:pPr>
      <w:r w:rsidRPr="002B02EF">
        <w:rPr>
          <w:sz w:val="22"/>
          <w:szCs w:val="22"/>
          <w:highlight w:val="yellow"/>
        </w:rPr>
        <w:t>Bakos Csaba Attila (2016): A szárazföldi csapatok harcászata. Budapest, NKE, ISBN 9786155680120;</w:t>
      </w:r>
    </w:p>
    <w:p w:rsidR="00027CE5" w:rsidRPr="002B02EF" w:rsidRDefault="00027CE5" w:rsidP="008B31E6">
      <w:pPr>
        <w:pStyle w:val="lfej1"/>
        <w:numPr>
          <w:ilvl w:val="0"/>
          <w:numId w:val="15"/>
        </w:numPr>
        <w:tabs>
          <w:tab w:val="clear" w:pos="360"/>
        </w:tabs>
        <w:ind w:left="992" w:hanging="357"/>
        <w:jc w:val="both"/>
        <w:rPr>
          <w:sz w:val="22"/>
          <w:szCs w:val="22"/>
          <w:highlight w:val="yellow"/>
        </w:rPr>
      </w:pPr>
      <w:r w:rsidRPr="002B02EF">
        <w:rPr>
          <w:sz w:val="22"/>
          <w:szCs w:val="22"/>
          <w:highlight w:val="yellow"/>
        </w:rPr>
        <w:t>Magyar Honvédség Szárazföldi Harcszabályzat II. rész, Budapest, MH, 2013;</w:t>
      </w:r>
    </w:p>
    <w:p w:rsidR="00027CE5" w:rsidRPr="002B02EF" w:rsidRDefault="00027CE5" w:rsidP="008B31E6">
      <w:pPr>
        <w:pStyle w:val="lfej1"/>
        <w:numPr>
          <w:ilvl w:val="0"/>
          <w:numId w:val="15"/>
        </w:numPr>
        <w:tabs>
          <w:tab w:val="clear" w:pos="360"/>
        </w:tabs>
        <w:ind w:left="992" w:hanging="357"/>
        <w:jc w:val="both"/>
        <w:rPr>
          <w:sz w:val="22"/>
          <w:szCs w:val="22"/>
          <w:highlight w:val="yellow"/>
        </w:rPr>
      </w:pPr>
      <w:r w:rsidRPr="002B02EF">
        <w:rPr>
          <w:sz w:val="22"/>
          <w:szCs w:val="22"/>
          <w:highlight w:val="yellow"/>
        </w:rPr>
        <w:t>Ált/23 A Magyar Honvédség Szolgálati Szabályzata, A Magyar Honvédség kiadványa 2007.</w:t>
      </w:r>
    </w:p>
    <w:p w:rsidR="00027CE5" w:rsidRPr="002B02EF" w:rsidRDefault="00027CE5" w:rsidP="008B31E6">
      <w:pPr>
        <w:pStyle w:val="lfej1"/>
        <w:numPr>
          <w:ilvl w:val="0"/>
          <w:numId w:val="15"/>
        </w:numPr>
        <w:tabs>
          <w:tab w:val="clear" w:pos="360"/>
        </w:tabs>
        <w:ind w:left="992" w:hanging="357"/>
        <w:jc w:val="both"/>
        <w:rPr>
          <w:sz w:val="22"/>
          <w:szCs w:val="22"/>
          <w:highlight w:val="yellow"/>
        </w:rPr>
      </w:pPr>
      <w:r w:rsidRPr="002B02EF">
        <w:rPr>
          <w:sz w:val="22"/>
          <w:szCs w:val="22"/>
          <w:highlight w:val="yellow"/>
        </w:rPr>
        <w:t xml:space="preserve">Ált/50 A Magyar Honvédség Alaki Szabályzata A Magyar Honvédség kiadványa 2010 </w:t>
      </w:r>
    </w:p>
    <w:p w:rsidR="00027CE5" w:rsidRPr="002B02EF" w:rsidRDefault="00027CE5" w:rsidP="008B31E6">
      <w:pPr>
        <w:pStyle w:val="lfej1"/>
        <w:numPr>
          <w:ilvl w:val="0"/>
          <w:numId w:val="15"/>
        </w:numPr>
        <w:tabs>
          <w:tab w:val="clear" w:pos="360"/>
        </w:tabs>
        <w:ind w:left="992" w:hanging="357"/>
        <w:jc w:val="both"/>
        <w:rPr>
          <w:sz w:val="22"/>
          <w:szCs w:val="22"/>
          <w:highlight w:val="yellow"/>
        </w:rPr>
      </w:pPr>
      <w:r w:rsidRPr="002B02EF">
        <w:rPr>
          <w:sz w:val="22"/>
          <w:szCs w:val="22"/>
          <w:highlight w:val="yellow"/>
        </w:rPr>
        <w:t>Ált/25 A Magyar Honvédség Öltözködési Szabályzata. A Magyar Honvédség kiadványa</w:t>
      </w:r>
    </w:p>
    <w:p w:rsidR="00027CE5" w:rsidRDefault="00027CE5" w:rsidP="008B31E6">
      <w:pPr>
        <w:pStyle w:val="lfej1"/>
        <w:numPr>
          <w:ilvl w:val="1"/>
          <w:numId w:val="14"/>
        </w:numPr>
        <w:tabs>
          <w:tab w:val="clear" w:pos="792"/>
        </w:tabs>
        <w:spacing w:before="120"/>
        <w:ind w:left="1134" w:hanging="566"/>
        <w:jc w:val="both"/>
        <w:rPr>
          <w:b/>
          <w:sz w:val="22"/>
          <w:szCs w:val="22"/>
        </w:rPr>
      </w:pPr>
      <w:r>
        <w:rPr>
          <w:b/>
          <w:sz w:val="22"/>
          <w:szCs w:val="22"/>
        </w:rPr>
        <w:t xml:space="preserve">Ajánlott irodalom: </w:t>
      </w:r>
    </w:p>
    <w:p w:rsidR="00027CE5" w:rsidRPr="002B02EF" w:rsidRDefault="00027CE5" w:rsidP="00980876">
      <w:pPr>
        <w:pStyle w:val="lfej1"/>
        <w:numPr>
          <w:ilvl w:val="0"/>
          <w:numId w:val="475"/>
        </w:numPr>
        <w:tabs>
          <w:tab w:val="clear" w:pos="360"/>
        </w:tabs>
        <w:ind w:left="992" w:hanging="357"/>
        <w:jc w:val="both"/>
        <w:rPr>
          <w:sz w:val="22"/>
          <w:szCs w:val="22"/>
          <w:highlight w:val="yellow"/>
        </w:rPr>
      </w:pPr>
      <w:r w:rsidRPr="002B02EF">
        <w:rPr>
          <w:sz w:val="22"/>
          <w:szCs w:val="22"/>
          <w:highlight w:val="yellow"/>
        </w:rPr>
        <w:t>Allied Land Tactics– ATP-3.2.1 NATO Standardization Agency, 2009;</w:t>
      </w:r>
    </w:p>
    <w:p w:rsidR="00027CE5" w:rsidRPr="002B02EF" w:rsidRDefault="00027CE5" w:rsidP="00980876">
      <w:pPr>
        <w:pStyle w:val="lfej1"/>
        <w:numPr>
          <w:ilvl w:val="0"/>
          <w:numId w:val="475"/>
        </w:numPr>
        <w:tabs>
          <w:tab w:val="clear" w:pos="360"/>
        </w:tabs>
        <w:ind w:left="992" w:hanging="357"/>
        <w:jc w:val="both"/>
        <w:rPr>
          <w:sz w:val="22"/>
          <w:szCs w:val="22"/>
          <w:highlight w:val="yellow"/>
        </w:rPr>
      </w:pPr>
      <w:r w:rsidRPr="002B02EF">
        <w:rPr>
          <w:sz w:val="22"/>
          <w:szCs w:val="22"/>
          <w:highlight w:val="yellow"/>
        </w:rPr>
        <w:t>Command and Control of Allied Land Forces– ATP-3.2.2 NATO Standardization Agency, 2009.</w:t>
      </w:r>
    </w:p>
    <w:p w:rsidR="00027CE5" w:rsidRPr="002B02EF" w:rsidRDefault="00027CE5" w:rsidP="00980876">
      <w:pPr>
        <w:pStyle w:val="lfej1"/>
        <w:numPr>
          <w:ilvl w:val="0"/>
          <w:numId w:val="475"/>
        </w:numPr>
        <w:tabs>
          <w:tab w:val="clear" w:pos="360"/>
        </w:tabs>
        <w:ind w:left="992" w:hanging="357"/>
        <w:jc w:val="both"/>
        <w:rPr>
          <w:sz w:val="22"/>
          <w:szCs w:val="22"/>
          <w:highlight w:val="yellow"/>
        </w:rPr>
      </w:pPr>
      <w:r w:rsidRPr="002B02EF">
        <w:rPr>
          <w:sz w:val="22"/>
          <w:szCs w:val="22"/>
          <w:highlight w:val="yellow"/>
        </w:rPr>
        <w:t>Mü/243 Műszaki szakutasítás a nem műszaki alegységek számára. Honvédelmi Minisztérium 1978</w:t>
      </w:r>
    </w:p>
    <w:p w:rsidR="002B02EF" w:rsidRPr="002B02EF" w:rsidRDefault="002B02EF" w:rsidP="00980876">
      <w:pPr>
        <w:pStyle w:val="lfej1"/>
        <w:numPr>
          <w:ilvl w:val="0"/>
          <w:numId w:val="475"/>
        </w:numPr>
        <w:tabs>
          <w:tab w:val="clear" w:pos="360"/>
        </w:tabs>
        <w:ind w:left="992" w:hanging="357"/>
        <w:jc w:val="both"/>
        <w:rPr>
          <w:sz w:val="22"/>
          <w:szCs w:val="22"/>
          <w:highlight w:val="yellow"/>
        </w:rPr>
      </w:pPr>
      <w:r w:rsidRPr="002B02EF">
        <w:rPr>
          <w:sz w:val="22"/>
          <w:szCs w:val="22"/>
          <w:highlight w:val="yellow"/>
        </w:rPr>
        <w:t>Magyar Honvédség Összhaderőnemi Doktrína 3. kiadás, Budapest, MH, 2012;</w:t>
      </w:r>
    </w:p>
    <w:p w:rsidR="00027CE5" w:rsidRDefault="00027CE5" w:rsidP="00027CE5">
      <w:pPr>
        <w:jc w:val="both"/>
        <w:rPr>
          <w:rFonts w:ascii="Times New Roman" w:hAnsi="Times New Roman" w:cs="Times New Roman"/>
        </w:rPr>
      </w:pPr>
    </w:p>
    <w:p w:rsidR="00027CE5" w:rsidRDefault="00027CE5" w:rsidP="004E3B59">
      <w:pPr>
        <w:spacing w:after="60"/>
        <w:ind w:firstLine="635"/>
        <w:rPr>
          <w:rFonts w:ascii="Times New Roman" w:hAnsi="Times New Roman" w:cs="Times New Roman"/>
          <w:color w:val="000000"/>
        </w:rPr>
      </w:pPr>
      <w:r>
        <w:rPr>
          <w:rFonts w:ascii="Times New Roman" w:hAnsi="Times New Roman" w:cs="Times New Roman"/>
          <w:color w:val="000000"/>
        </w:rPr>
        <w:t>Budapest, 2020. március 31.</w:t>
      </w:r>
    </w:p>
    <w:p w:rsidR="00027CE5" w:rsidRDefault="00027CE5" w:rsidP="00027CE5">
      <w:pPr>
        <w:spacing w:after="60"/>
        <w:rPr>
          <w:rFonts w:ascii="Times New Roman" w:hAnsi="Times New Roman" w:cs="Times New Roman"/>
          <w:color w:val="000000"/>
        </w:rPr>
      </w:pPr>
    </w:p>
    <w:p w:rsidR="00027CE5" w:rsidRDefault="00027CE5" w:rsidP="004E3B59">
      <w:pPr>
        <w:widowControl w:val="0"/>
        <w:tabs>
          <w:tab w:val="center" w:pos="6237"/>
        </w:tabs>
        <w:spacing w:after="0"/>
        <w:ind w:left="4536"/>
        <w:jc w:val="center"/>
        <w:rPr>
          <w:rFonts w:ascii="Times New Roman" w:hAnsi="Times New Roman" w:cs="Times New Roman"/>
          <w:b/>
          <w:color w:val="000000"/>
        </w:rPr>
      </w:pPr>
      <w:r>
        <w:rPr>
          <w:rFonts w:ascii="Times New Roman" w:hAnsi="Times New Roman" w:cs="Times New Roman"/>
          <w:b/>
          <w:color w:val="000000"/>
        </w:rPr>
        <w:t>Dr. Komjáthy Lajos alezredes sk.</w:t>
      </w:r>
    </w:p>
    <w:p w:rsidR="00027CE5" w:rsidRDefault="00027CE5" w:rsidP="004E3B59">
      <w:pPr>
        <w:widowControl w:val="0"/>
        <w:tabs>
          <w:tab w:val="center" w:pos="6237"/>
        </w:tabs>
        <w:ind w:left="4536"/>
        <w:jc w:val="center"/>
        <w:rPr>
          <w:rFonts w:ascii="Times New Roman" w:hAnsi="Times New Roman" w:cs="Times New Roman"/>
          <w:color w:val="000000"/>
        </w:rPr>
      </w:pPr>
      <w:r>
        <w:rPr>
          <w:rFonts w:ascii="Times New Roman" w:hAnsi="Times New Roman" w:cs="Times New Roman"/>
          <w:color w:val="000000"/>
        </w:rPr>
        <w:t>egyetemi adjunktus</w:t>
      </w:r>
      <w:r>
        <w:rPr>
          <w:rFonts w:ascii="Times New Roman" w:hAnsi="Times New Roman" w:cs="Times New Roman"/>
          <w:b/>
          <w:color w:val="000000"/>
        </w:rPr>
        <w:t xml:space="preserve"> </w:t>
      </w:r>
      <w:r>
        <w:rPr>
          <w:rFonts w:ascii="Times New Roman" w:hAnsi="Times New Roman" w:cs="Times New Roman"/>
          <w:color w:val="000000"/>
        </w:rPr>
        <w:t>PhD (hadtudomány)</w:t>
      </w:r>
    </w:p>
    <w:p w:rsidR="00257A5B" w:rsidRDefault="00257A5B">
      <w:pPr>
        <w:spacing w:after="200" w:line="276" w:lineRule="auto"/>
        <w:rPr>
          <w:rFonts w:ascii="Times New Roman" w:hAnsi="Times New Roman" w:cs="Times New Roman"/>
          <w:sz w:val="24"/>
        </w:rPr>
      </w:pPr>
      <w:r>
        <w:rPr>
          <w:rFonts w:ascii="Times New Roman" w:hAnsi="Times New Roman" w:cs="Times New Roman"/>
          <w:sz w:val="24"/>
        </w:rPr>
        <w:br w:type="page"/>
      </w:r>
    </w:p>
    <w:tbl>
      <w:tblPr>
        <w:tblW w:w="9072" w:type="dxa"/>
        <w:tblInd w:w="113" w:type="dxa"/>
        <w:tblLook w:val="01E0" w:firstRow="1" w:lastRow="1" w:firstColumn="1" w:lastColumn="1" w:noHBand="0" w:noVBand="0"/>
      </w:tblPr>
      <w:tblGrid>
        <w:gridCol w:w="4855"/>
        <w:gridCol w:w="1620"/>
        <w:gridCol w:w="2597"/>
      </w:tblGrid>
      <w:tr w:rsidR="00DF6002" w:rsidRPr="00DF6002" w:rsidTr="00DF6002">
        <w:tc>
          <w:tcPr>
            <w:tcW w:w="4855" w:type="dxa"/>
            <w:tcBorders>
              <w:top w:val="nil"/>
              <w:left w:val="nil"/>
              <w:bottom w:val="single" w:sz="4" w:space="0" w:color="auto"/>
              <w:right w:val="nil"/>
            </w:tcBorders>
            <w:hideMark/>
          </w:tcPr>
          <w:p w:rsidR="00DF6002" w:rsidRPr="00DF6002" w:rsidRDefault="00DF6002">
            <w:pPr>
              <w:spacing w:after="0" w:line="240" w:lineRule="auto"/>
              <w:jc w:val="center"/>
              <w:rPr>
                <w:rFonts w:ascii="Times New Roman" w:eastAsia="Times New Roman" w:hAnsi="Times New Roman" w:cs="Times New Roman"/>
                <w:b/>
                <w:smallCaps/>
                <w:lang w:eastAsia="hu-HU"/>
              </w:rPr>
            </w:pPr>
            <w:r w:rsidRPr="00DF6002">
              <w:rPr>
                <w:rFonts w:ascii="Times New Roman" w:eastAsia="Times New Roman" w:hAnsi="Times New Roman" w:cs="Times New Roman"/>
                <w:b/>
                <w:smallCaps/>
                <w:lang w:eastAsia="hu-HU"/>
              </w:rPr>
              <w:lastRenderedPageBreak/>
              <w:t>Nemzeti Közszolgálati Egyetem</w:t>
            </w:r>
          </w:p>
        </w:tc>
        <w:tc>
          <w:tcPr>
            <w:tcW w:w="1620" w:type="dxa"/>
          </w:tcPr>
          <w:p w:rsidR="00DF6002" w:rsidRPr="00DF6002" w:rsidRDefault="00DF6002">
            <w:pPr>
              <w:spacing w:after="0" w:line="240" w:lineRule="auto"/>
              <w:jc w:val="both"/>
              <w:rPr>
                <w:rFonts w:ascii="Times New Roman" w:eastAsia="Times New Roman" w:hAnsi="Times New Roman" w:cs="Times New Roman"/>
                <w:lang w:eastAsia="hu-HU"/>
              </w:rPr>
            </w:pPr>
          </w:p>
        </w:tc>
        <w:tc>
          <w:tcPr>
            <w:tcW w:w="2597" w:type="dxa"/>
          </w:tcPr>
          <w:p w:rsidR="00DF6002" w:rsidRPr="00DF6002" w:rsidRDefault="00DF6002">
            <w:pPr>
              <w:spacing w:after="0" w:line="240" w:lineRule="auto"/>
              <w:jc w:val="right"/>
              <w:rPr>
                <w:rFonts w:ascii="Times New Roman" w:eastAsia="Times New Roman" w:hAnsi="Times New Roman" w:cs="Times New Roman"/>
                <w:lang w:eastAsia="hu-HU"/>
              </w:rPr>
            </w:pPr>
          </w:p>
        </w:tc>
      </w:tr>
      <w:tr w:rsidR="00DF6002" w:rsidRPr="00DF6002" w:rsidTr="00DF6002">
        <w:tc>
          <w:tcPr>
            <w:tcW w:w="4855" w:type="dxa"/>
            <w:tcBorders>
              <w:top w:val="single" w:sz="4" w:space="0" w:color="auto"/>
              <w:left w:val="nil"/>
              <w:bottom w:val="nil"/>
              <w:right w:val="nil"/>
            </w:tcBorders>
            <w:hideMark/>
          </w:tcPr>
          <w:p w:rsidR="00DF6002" w:rsidRPr="00DF6002" w:rsidRDefault="00DF6002">
            <w:pPr>
              <w:spacing w:after="0" w:line="240" w:lineRule="auto"/>
              <w:jc w:val="center"/>
              <w:rPr>
                <w:rFonts w:ascii="Times New Roman" w:eastAsia="Times New Roman" w:hAnsi="Times New Roman" w:cs="Times New Roman"/>
                <w:b/>
                <w:lang w:eastAsia="hu-HU"/>
              </w:rPr>
            </w:pPr>
            <w:r w:rsidRPr="00DF6002">
              <w:rPr>
                <w:rFonts w:ascii="Times New Roman" w:eastAsia="Times New Roman" w:hAnsi="Times New Roman" w:cs="Times New Roman"/>
                <w:b/>
                <w:lang w:eastAsia="hu-HU"/>
              </w:rPr>
              <w:t>Hadtudományi és Honvédtisztképző Kar</w:t>
            </w:r>
          </w:p>
        </w:tc>
        <w:tc>
          <w:tcPr>
            <w:tcW w:w="1620" w:type="dxa"/>
          </w:tcPr>
          <w:p w:rsidR="00DF6002" w:rsidRPr="00DF6002" w:rsidRDefault="00DF6002">
            <w:pPr>
              <w:spacing w:after="0" w:line="240" w:lineRule="auto"/>
              <w:jc w:val="both"/>
              <w:rPr>
                <w:rFonts w:ascii="Times New Roman" w:eastAsia="Times New Roman" w:hAnsi="Times New Roman" w:cs="Times New Roman"/>
                <w:lang w:eastAsia="hu-HU"/>
              </w:rPr>
            </w:pPr>
          </w:p>
        </w:tc>
        <w:tc>
          <w:tcPr>
            <w:tcW w:w="2597" w:type="dxa"/>
          </w:tcPr>
          <w:p w:rsidR="00DF6002" w:rsidRPr="00DF6002" w:rsidRDefault="00DF6002">
            <w:pPr>
              <w:spacing w:after="0" w:line="240" w:lineRule="auto"/>
              <w:jc w:val="both"/>
              <w:rPr>
                <w:rFonts w:ascii="Times New Roman" w:eastAsia="Times New Roman" w:hAnsi="Times New Roman" w:cs="Times New Roman"/>
                <w:lang w:eastAsia="hu-HU"/>
              </w:rPr>
            </w:pPr>
          </w:p>
        </w:tc>
      </w:tr>
    </w:tbl>
    <w:p w:rsidR="00DF6002" w:rsidRPr="00DF6002" w:rsidRDefault="00DF6002" w:rsidP="00DF6002">
      <w:pPr>
        <w:widowControl w:val="0"/>
        <w:spacing w:before="120" w:after="120" w:line="240" w:lineRule="auto"/>
        <w:ind w:left="426" w:hanging="142"/>
        <w:jc w:val="center"/>
        <w:rPr>
          <w:rFonts w:ascii="Times New Roman" w:eastAsia="Times New Roman" w:hAnsi="Times New Roman" w:cs="Times New Roman"/>
          <w:b/>
          <w:bCs/>
        </w:rPr>
      </w:pPr>
    </w:p>
    <w:p w:rsidR="00DF6002" w:rsidRPr="00DF6002" w:rsidRDefault="00DF6002" w:rsidP="00DF6002">
      <w:pPr>
        <w:widowControl w:val="0"/>
        <w:spacing w:before="120" w:after="120" w:line="240" w:lineRule="auto"/>
        <w:ind w:left="426" w:hanging="142"/>
        <w:jc w:val="center"/>
        <w:rPr>
          <w:rFonts w:ascii="Times New Roman" w:eastAsia="Times New Roman" w:hAnsi="Times New Roman" w:cs="Times New Roman"/>
          <w:b/>
          <w:bCs/>
        </w:rPr>
      </w:pPr>
      <w:r w:rsidRPr="00DF6002">
        <w:rPr>
          <w:rFonts w:ascii="Times New Roman" w:eastAsia="Times New Roman" w:hAnsi="Times New Roman" w:cs="Times New Roman"/>
          <w:b/>
          <w:bCs/>
        </w:rPr>
        <w:t>TANTÁRGYI PROGRAM</w:t>
      </w:r>
    </w:p>
    <w:p w:rsidR="00DF6002" w:rsidRPr="00DF6002" w:rsidRDefault="00DF6002" w:rsidP="008B31E6">
      <w:pPr>
        <w:widowControl w:val="0"/>
        <w:numPr>
          <w:ilvl w:val="0"/>
          <w:numId w:val="16"/>
        </w:numPr>
        <w:tabs>
          <w:tab w:val="num" w:pos="567"/>
        </w:tabs>
        <w:spacing w:before="120" w:after="120" w:line="240" w:lineRule="auto"/>
        <w:ind w:left="426" w:hanging="142"/>
        <w:jc w:val="both"/>
        <w:rPr>
          <w:rFonts w:ascii="Times New Roman" w:eastAsia="Times New Roman" w:hAnsi="Times New Roman" w:cs="Times New Roman"/>
          <w:bCs/>
        </w:rPr>
      </w:pPr>
      <w:r w:rsidRPr="00DF6002">
        <w:rPr>
          <w:rFonts w:ascii="Times New Roman" w:eastAsia="Times New Roman" w:hAnsi="Times New Roman" w:cs="Times New Roman"/>
          <w:b/>
          <w:bCs/>
        </w:rPr>
        <w:t xml:space="preserve">A tantárgy kódja: </w:t>
      </w:r>
      <w:r w:rsidRPr="00DF6002">
        <w:rPr>
          <w:rFonts w:ascii="Times New Roman" w:eastAsia="Times New Roman" w:hAnsi="Times New Roman" w:cs="Times New Roman"/>
        </w:rPr>
        <w:t>HKKVKA01</w:t>
      </w:r>
    </w:p>
    <w:p w:rsidR="00DF6002" w:rsidRPr="00DF6002" w:rsidRDefault="00DF6002" w:rsidP="008B31E6">
      <w:pPr>
        <w:widowControl w:val="0"/>
        <w:numPr>
          <w:ilvl w:val="0"/>
          <w:numId w:val="16"/>
        </w:numPr>
        <w:tabs>
          <w:tab w:val="num" w:pos="567"/>
        </w:tabs>
        <w:spacing w:before="120" w:after="120" w:line="240" w:lineRule="auto"/>
        <w:ind w:left="426" w:hanging="142"/>
        <w:jc w:val="both"/>
        <w:rPr>
          <w:rFonts w:ascii="Times New Roman" w:eastAsia="Times New Roman" w:hAnsi="Times New Roman" w:cs="Times New Roman"/>
          <w:b/>
          <w:bCs/>
          <w:lang w:val="en-GB"/>
        </w:rPr>
      </w:pPr>
      <w:r w:rsidRPr="00DF6002">
        <w:rPr>
          <w:rFonts w:ascii="Times New Roman" w:eastAsia="Times New Roman" w:hAnsi="Times New Roman" w:cs="Times New Roman"/>
          <w:b/>
          <w:bCs/>
        </w:rPr>
        <w:t>A tantárgy megnevezése (magyarul):</w:t>
      </w:r>
      <w:r w:rsidRPr="00DF6002">
        <w:rPr>
          <w:rFonts w:ascii="Times New Roman" w:eastAsia="Times New Roman" w:hAnsi="Times New Roman" w:cs="Times New Roman"/>
          <w:bCs/>
        </w:rPr>
        <w:t xml:space="preserve"> Szociológia</w:t>
      </w:r>
    </w:p>
    <w:p w:rsidR="00DF6002" w:rsidRPr="00DF6002" w:rsidRDefault="00DF6002" w:rsidP="008B31E6">
      <w:pPr>
        <w:widowControl w:val="0"/>
        <w:numPr>
          <w:ilvl w:val="0"/>
          <w:numId w:val="16"/>
        </w:numPr>
        <w:tabs>
          <w:tab w:val="num" w:pos="360"/>
        </w:tabs>
        <w:spacing w:before="120" w:after="120" w:line="240" w:lineRule="auto"/>
        <w:ind w:hanging="436"/>
        <w:jc w:val="both"/>
        <w:rPr>
          <w:rFonts w:ascii="Times New Roman" w:eastAsia="Times New Roman" w:hAnsi="Times New Roman" w:cs="Times New Roman"/>
          <w:b/>
          <w:bCs/>
          <w:lang w:val="en-GB"/>
        </w:rPr>
      </w:pPr>
      <w:r w:rsidRPr="00DF6002">
        <w:rPr>
          <w:rFonts w:ascii="Times New Roman" w:eastAsia="Times New Roman" w:hAnsi="Times New Roman" w:cs="Times New Roman"/>
          <w:b/>
          <w:bCs/>
          <w:lang w:val="en-GB"/>
        </w:rPr>
        <w:t xml:space="preserve"> </w:t>
      </w:r>
      <w:r w:rsidRPr="00DF6002">
        <w:rPr>
          <w:rFonts w:ascii="Times New Roman" w:eastAsia="Times New Roman" w:hAnsi="Times New Roman" w:cs="Times New Roman"/>
          <w:b/>
          <w:bCs/>
        </w:rPr>
        <w:t xml:space="preserve">A tantárgy megnevezése (angolul): </w:t>
      </w:r>
      <w:r w:rsidRPr="00DF6002">
        <w:rPr>
          <w:rFonts w:ascii="Times New Roman" w:eastAsia="Times New Roman" w:hAnsi="Times New Roman" w:cs="Times New Roman"/>
          <w:bCs/>
          <w:lang w:val="en-AU"/>
        </w:rPr>
        <w:t>Sociology</w:t>
      </w:r>
    </w:p>
    <w:p w:rsidR="00DF6002" w:rsidRPr="00DF6002" w:rsidRDefault="00DF6002" w:rsidP="008B31E6">
      <w:pPr>
        <w:widowControl w:val="0"/>
        <w:numPr>
          <w:ilvl w:val="0"/>
          <w:numId w:val="16"/>
        </w:numPr>
        <w:tabs>
          <w:tab w:val="num" w:pos="567"/>
        </w:tabs>
        <w:spacing w:before="120" w:after="120" w:line="240" w:lineRule="auto"/>
        <w:ind w:left="426" w:hanging="142"/>
        <w:jc w:val="both"/>
        <w:rPr>
          <w:rFonts w:ascii="Times New Roman" w:eastAsia="Times New Roman" w:hAnsi="Times New Roman" w:cs="Times New Roman"/>
          <w:b/>
          <w:bCs/>
        </w:rPr>
      </w:pPr>
      <w:r w:rsidRPr="00DF6002">
        <w:rPr>
          <w:rFonts w:ascii="Times New Roman" w:eastAsia="Times New Roman" w:hAnsi="Times New Roman" w:cs="Times New Roman"/>
          <w:b/>
          <w:bCs/>
        </w:rPr>
        <w:t xml:space="preserve">Kreditérték és képzési karakter: </w:t>
      </w:r>
    </w:p>
    <w:p w:rsidR="00DF6002" w:rsidRPr="00DF6002" w:rsidRDefault="00DF6002" w:rsidP="008B31E6">
      <w:pPr>
        <w:pStyle w:val="Listaszerbekezds"/>
        <w:widowControl w:val="0"/>
        <w:numPr>
          <w:ilvl w:val="1"/>
          <w:numId w:val="16"/>
        </w:numPr>
        <w:tabs>
          <w:tab w:val="clear" w:pos="3977"/>
          <w:tab w:val="num" w:pos="857"/>
        </w:tabs>
        <w:spacing w:before="120" w:after="120" w:line="240" w:lineRule="auto"/>
        <w:ind w:left="993" w:hanging="426"/>
        <w:jc w:val="both"/>
        <w:rPr>
          <w:rFonts w:ascii="Times New Roman" w:eastAsia="Times New Roman" w:hAnsi="Times New Roman" w:cs="Times New Roman"/>
          <w:b/>
          <w:bCs/>
        </w:rPr>
      </w:pPr>
      <w:r w:rsidRPr="00DF6002">
        <w:rPr>
          <w:rFonts w:ascii="Times New Roman" w:eastAsia="Times New Roman" w:hAnsi="Times New Roman" w:cs="Times New Roman"/>
          <w:bCs/>
        </w:rPr>
        <w:t>2 kredit</w:t>
      </w:r>
    </w:p>
    <w:p w:rsidR="00DF6002" w:rsidRPr="00DF6002" w:rsidRDefault="00DF6002" w:rsidP="008B31E6">
      <w:pPr>
        <w:pStyle w:val="Listaszerbekezds"/>
        <w:widowControl w:val="0"/>
        <w:numPr>
          <w:ilvl w:val="1"/>
          <w:numId w:val="16"/>
        </w:numPr>
        <w:tabs>
          <w:tab w:val="clear" w:pos="3977"/>
          <w:tab w:val="num" w:pos="857"/>
        </w:tabs>
        <w:spacing w:before="120" w:after="120" w:line="240" w:lineRule="auto"/>
        <w:ind w:left="993" w:hanging="426"/>
        <w:jc w:val="both"/>
        <w:rPr>
          <w:rFonts w:ascii="Times New Roman" w:eastAsia="Times New Roman" w:hAnsi="Times New Roman" w:cs="Times New Roman"/>
          <w:b/>
          <w:bCs/>
        </w:rPr>
      </w:pPr>
      <w:r w:rsidRPr="00DF6002">
        <w:rPr>
          <w:rFonts w:ascii="Times New Roman" w:eastAsia="Times New Roman" w:hAnsi="Times New Roman" w:cs="Times New Roman"/>
          <w:bCs/>
        </w:rPr>
        <w:t>a tantárgy elméleti vagy gyakorlati jellegének mértéke: 0% gyakorlat, 100% elmélet</w:t>
      </w:r>
    </w:p>
    <w:p w:rsidR="00DF6002" w:rsidRPr="00DF6002" w:rsidRDefault="00DF6002" w:rsidP="008B31E6">
      <w:pPr>
        <w:widowControl w:val="0"/>
        <w:numPr>
          <w:ilvl w:val="0"/>
          <w:numId w:val="16"/>
        </w:numPr>
        <w:spacing w:before="120" w:after="120" w:line="240" w:lineRule="auto"/>
        <w:ind w:left="426" w:hanging="142"/>
        <w:jc w:val="both"/>
        <w:rPr>
          <w:rFonts w:ascii="Times New Roman" w:eastAsia="Times New Roman" w:hAnsi="Times New Roman" w:cs="Times New Roman"/>
          <w:bCs/>
        </w:rPr>
      </w:pPr>
      <w:r w:rsidRPr="00DF6002">
        <w:rPr>
          <w:rFonts w:ascii="Times New Roman" w:eastAsia="Times New Roman" w:hAnsi="Times New Roman" w:cs="Times New Roman"/>
          <w:b/>
          <w:bCs/>
        </w:rPr>
        <w:t>A szak(ok), szakirányok/specializációk megnevezése (ahol oktatják):</w:t>
      </w:r>
      <w:r w:rsidRPr="00DF6002">
        <w:rPr>
          <w:rFonts w:ascii="Times New Roman" w:eastAsia="Times New Roman" w:hAnsi="Times New Roman" w:cs="Times New Roman"/>
          <w:bCs/>
        </w:rPr>
        <w:t xml:space="preserve"> a Kar valamennyi alapképzési szakán</w:t>
      </w:r>
    </w:p>
    <w:p w:rsidR="00DF6002" w:rsidRPr="00DF6002" w:rsidRDefault="00DF6002" w:rsidP="008B31E6">
      <w:pPr>
        <w:widowControl w:val="0"/>
        <w:numPr>
          <w:ilvl w:val="0"/>
          <w:numId w:val="16"/>
        </w:numPr>
        <w:tabs>
          <w:tab w:val="num" w:pos="567"/>
        </w:tabs>
        <w:spacing w:before="120" w:after="120" w:line="240" w:lineRule="auto"/>
        <w:ind w:left="426" w:hanging="142"/>
        <w:jc w:val="both"/>
        <w:rPr>
          <w:rFonts w:ascii="Times New Roman" w:eastAsia="Times New Roman" w:hAnsi="Times New Roman" w:cs="Times New Roman"/>
          <w:bCs/>
        </w:rPr>
      </w:pPr>
      <w:r w:rsidRPr="00DF6002">
        <w:rPr>
          <w:rFonts w:ascii="Times New Roman" w:eastAsia="Times New Roman" w:hAnsi="Times New Roman" w:cs="Times New Roman"/>
          <w:b/>
          <w:bCs/>
        </w:rPr>
        <w:t xml:space="preserve">Az oktatásért felelős oktatási szervezeti egység megnevezése: </w:t>
      </w:r>
      <w:r w:rsidRPr="00DF6002">
        <w:rPr>
          <w:rFonts w:ascii="Times New Roman" w:eastAsia="Times New Roman" w:hAnsi="Times New Roman" w:cs="Times New Roman"/>
          <w:bCs/>
        </w:rPr>
        <w:t>NKE</w:t>
      </w:r>
      <w:r w:rsidRPr="00DF6002">
        <w:rPr>
          <w:rFonts w:ascii="Times New Roman" w:eastAsia="Times New Roman" w:hAnsi="Times New Roman" w:cs="Times New Roman"/>
          <w:b/>
          <w:bCs/>
        </w:rPr>
        <w:t xml:space="preserve"> </w:t>
      </w:r>
      <w:r w:rsidRPr="00DF6002">
        <w:rPr>
          <w:rFonts w:ascii="Times New Roman" w:eastAsia="Times New Roman" w:hAnsi="Times New Roman" w:cs="Times New Roman"/>
          <w:bCs/>
        </w:rPr>
        <w:t>HHK Katonai Vezetéstudományi és Közismereti Tanszék</w:t>
      </w:r>
    </w:p>
    <w:p w:rsidR="00DF6002" w:rsidRPr="00DF6002" w:rsidRDefault="00DF6002" w:rsidP="008B31E6">
      <w:pPr>
        <w:widowControl w:val="0"/>
        <w:numPr>
          <w:ilvl w:val="0"/>
          <w:numId w:val="16"/>
        </w:numPr>
        <w:tabs>
          <w:tab w:val="num" w:pos="567"/>
        </w:tabs>
        <w:spacing w:before="120" w:after="120" w:line="240" w:lineRule="auto"/>
        <w:ind w:left="426" w:hanging="142"/>
        <w:jc w:val="both"/>
        <w:rPr>
          <w:rFonts w:ascii="Times New Roman" w:eastAsia="Times New Roman" w:hAnsi="Times New Roman" w:cs="Times New Roman"/>
          <w:bCs/>
        </w:rPr>
      </w:pPr>
      <w:r w:rsidRPr="00DF6002">
        <w:rPr>
          <w:rFonts w:ascii="Times New Roman" w:eastAsia="Times New Roman" w:hAnsi="Times New Roman" w:cs="Times New Roman"/>
          <w:b/>
          <w:bCs/>
        </w:rPr>
        <w:t>A tantárgyfelelős oktató neve, beosztása, tudományos fokozata:</w:t>
      </w:r>
      <w:r w:rsidRPr="00DF6002">
        <w:rPr>
          <w:rFonts w:ascii="Times New Roman" w:eastAsia="Times New Roman" w:hAnsi="Times New Roman" w:cs="Times New Roman"/>
          <w:bCs/>
        </w:rPr>
        <w:t xml:space="preserve"> Szabó László István, tudományos főmunkatárs, PhD</w:t>
      </w:r>
    </w:p>
    <w:p w:rsidR="00DF6002" w:rsidRPr="00DF6002" w:rsidRDefault="00DF6002" w:rsidP="008B31E6">
      <w:pPr>
        <w:widowControl w:val="0"/>
        <w:numPr>
          <w:ilvl w:val="0"/>
          <w:numId w:val="16"/>
        </w:numPr>
        <w:spacing w:before="120" w:after="120" w:line="240" w:lineRule="auto"/>
        <w:ind w:left="426" w:hanging="142"/>
        <w:jc w:val="both"/>
        <w:rPr>
          <w:rFonts w:ascii="Times New Roman" w:eastAsia="Times New Roman" w:hAnsi="Times New Roman" w:cs="Times New Roman"/>
          <w:bCs/>
        </w:rPr>
      </w:pPr>
      <w:r w:rsidRPr="00DF6002">
        <w:rPr>
          <w:rFonts w:ascii="Times New Roman" w:eastAsia="Times New Roman" w:hAnsi="Times New Roman" w:cs="Times New Roman"/>
          <w:b/>
          <w:bCs/>
        </w:rPr>
        <w:t>A tanórák száma és típusa</w:t>
      </w:r>
    </w:p>
    <w:p w:rsidR="00DF6002" w:rsidRPr="00DF6002" w:rsidRDefault="00DF6002" w:rsidP="008B31E6">
      <w:pPr>
        <w:widowControl w:val="0"/>
        <w:numPr>
          <w:ilvl w:val="1"/>
          <w:numId w:val="16"/>
        </w:numPr>
        <w:tabs>
          <w:tab w:val="clear" w:pos="3977"/>
          <w:tab w:val="num" w:pos="709"/>
          <w:tab w:val="num" w:pos="857"/>
          <w:tab w:val="num" w:pos="2069"/>
        </w:tabs>
        <w:spacing w:before="120" w:after="120" w:line="240" w:lineRule="auto"/>
        <w:ind w:left="851" w:hanging="425"/>
        <w:jc w:val="both"/>
        <w:rPr>
          <w:rFonts w:ascii="Times New Roman" w:eastAsia="Times New Roman" w:hAnsi="Times New Roman" w:cs="Times New Roman"/>
          <w:bCs/>
        </w:rPr>
      </w:pPr>
      <w:r w:rsidRPr="00DF6002">
        <w:rPr>
          <w:rFonts w:ascii="Times New Roman" w:eastAsia="Times New Roman" w:hAnsi="Times New Roman" w:cs="Times New Roman"/>
          <w:bCs/>
        </w:rPr>
        <w:t xml:space="preserve">össz óraszám/félév: </w:t>
      </w:r>
    </w:p>
    <w:p w:rsidR="00DF6002" w:rsidRPr="00DF6002" w:rsidRDefault="00DF6002" w:rsidP="008B31E6">
      <w:pPr>
        <w:widowControl w:val="0"/>
        <w:numPr>
          <w:ilvl w:val="2"/>
          <w:numId w:val="16"/>
        </w:numPr>
        <w:tabs>
          <w:tab w:val="num" w:pos="709"/>
          <w:tab w:val="num" w:pos="1134"/>
        </w:tabs>
        <w:spacing w:before="120" w:after="120" w:line="240" w:lineRule="auto"/>
        <w:ind w:left="993" w:hanging="425"/>
        <w:jc w:val="both"/>
        <w:rPr>
          <w:rFonts w:ascii="Times New Roman" w:eastAsia="Times New Roman" w:hAnsi="Times New Roman" w:cs="Times New Roman"/>
          <w:bCs/>
        </w:rPr>
      </w:pPr>
      <w:r w:rsidRPr="00DF6002">
        <w:rPr>
          <w:rFonts w:ascii="Times New Roman" w:eastAsia="Times New Roman" w:hAnsi="Times New Roman" w:cs="Times New Roman"/>
          <w:bCs/>
        </w:rPr>
        <w:t>nappali munkarend: 28 (28 EA + 0 SZ + 0 GY)</w:t>
      </w:r>
    </w:p>
    <w:p w:rsidR="00DF6002" w:rsidRPr="00DF6002" w:rsidRDefault="00DF6002" w:rsidP="008B31E6">
      <w:pPr>
        <w:widowControl w:val="0"/>
        <w:numPr>
          <w:ilvl w:val="2"/>
          <w:numId w:val="16"/>
        </w:numPr>
        <w:tabs>
          <w:tab w:val="num" w:pos="709"/>
          <w:tab w:val="num" w:pos="1134"/>
        </w:tabs>
        <w:spacing w:before="120" w:after="120" w:line="240" w:lineRule="auto"/>
        <w:ind w:left="993" w:hanging="425"/>
        <w:jc w:val="both"/>
        <w:rPr>
          <w:rFonts w:ascii="Times New Roman" w:eastAsia="Times New Roman" w:hAnsi="Times New Roman" w:cs="Times New Roman"/>
          <w:bCs/>
        </w:rPr>
      </w:pPr>
      <w:r w:rsidRPr="00DF6002">
        <w:rPr>
          <w:rFonts w:ascii="Times New Roman" w:eastAsia="Times New Roman" w:hAnsi="Times New Roman" w:cs="Times New Roman"/>
          <w:bCs/>
        </w:rPr>
        <w:t>levelező munkarend: –</w:t>
      </w:r>
    </w:p>
    <w:p w:rsidR="00DF6002" w:rsidRPr="00DF6002" w:rsidRDefault="00DF6002" w:rsidP="008B31E6">
      <w:pPr>
        <w:widowControl w:val="0"/>
        <w:numPr>
          <w:ilvl w:val="1"/>
          <w:numId w:val="16"/>
        </w:numPr>
        <w:tabs>
          <w:tab w:val="clear" w:pos="3977"/>
          <w:tab w:val="num" w:pos="709"/>
          <w:tab w:val="num" w:pos="857"/>
          <w:tab w:val="num" w:pos="2069"/>
        </w:tabs>
        <w:spacing w:before="120" w:after="120" w:line="240" w:lineRule="auto"/>
        <w:ind w:left="851" w:hanging="425"/>
        <w:jc w:val="both"/>
        <w:rPr>
          <w:rFonts w:ascii="Times New Roman" w:eastAsia="Times New Roman" w:hAnsi="Times New Roman" w:cs="Times New Roman"/>
          <w:bCs/>
        </w:rPr>
      </w:pPr>
      <w:r w:rsidRPr="00DF6002">
        <w:rPr>
          <w:rFonts w:ascii="Times New Roman" w:eastAsia="Times New Roman" w:hAnsi="Times New Roman" w:cs="Times New Roman"/>
          <w:bCs/>
        </w:rPr>
        <w:t>heti óraszám – nappali munkarend: 2</w:t>
      </w:r>
    </w:p>
    <w:p w:rsidR="00DF6002" w:rsidRPr="00DF6002" w:rsidRDefault="00DF6002" w:rsidP="008B31E6">
      <w:pPr>
        <w:widowControl w:val="0"/>
        <w:numPr>
          <w:ilvl w:val="1"/>
          <w:numId w:val="16"/>
        </w:numPr>
        <w:tabs>
          <w:tab w:val="clear" w:pos="3977"/>
          <w:tab w:val="num" w:pos="857"/>
          <w:tab w:val="num" w:pos="2069"/>
        </w:tabs>
        <w:spacing w:before="120" w:after="120" w:line="240" w:lineRule="auto"/>
        <w:ind w:left="857"/>
        <w:jc w:val="both"/>
        <w:rPr>
          <w:rFonts w:ascii="Times New Roman" w:eastAsia="Times New Roman" w:hAnsi="Times New Roman" w:cs="Times New Roman"/>
          <w:bCs/>
        </w:rPr>
      </w:pPr>
      <w:r w:rsidRPr="00DF6002">
        <w:rPr>
          <w:rFonts w:ascii="Times New Roman" w:hAnsi="Times New Roman" w:cs="Times New Roman"/>
        </w:rPr>
        <w:t>Az ismeret átadásában alkalmazandó további sajátos módok, jellemzők: –</w:t>
      </w:r>
    </w:p>
    <w:p w:rsidR="00DF6002" w:rsidRPr="00DF6002" w:rsidRDefault="00DF6002" w:rsidP="008B31E6">
      <w:pPr>
        <w:widowControl w:val="0"/>
        <w:numPr>
          <w:ilvl w:val="0"/>
          <w:numId w:val="16"/>
        </w:numPr>
        <w:tabs>
          <w:tab w:val="num" w:pos="567"/>
        </w:tabs>
        <w:spacing w:before="120" w:after="120" w:line="240" w:lineRule="auto"/>
        <w:ind w:left="426" w:hanging="142"/>
        <w:jc w:val="both"/>
        <w:rPr>
          <w:rFonts w:ascii="Times New Roman" w:eastAsia="Times New Roman" w:hAnsi="Times New Roman" w:cs="Times New Roman"/>
          <w:b/>
          <w:bCs/>
        </w:rPr>
      </w:pPr>
      <w:r w:rsidRPr="00DF6002">
        <w:rPr>
          <w:rFonts w:ascii="Times New Roman" w:eastAsia="Times New Roman" w:hAnsi="Times New Roman" w:cs="Times New Roman"/>
          <w:b/>
          <w:bCs/>
        </w:rPr>
        <w:t xml:space="preserve">A tantárgy szakmai tartalma (magyarul): </w:t>
      </w:r>
    </w:p>
    <w:p w:rsidR="00DF6002" w:rsidRPr="00DF6002" w:rsidRDefault="00DF6002" w:rsidP="00DF6002">
      <w:pPr>
        <w:widowControl w:val="0"/>
        <w:spacing w:before="120" w:after="120" w:line="240" w:lineRule="auto"/>
        <w:ind w:left="426"/>
        <w:jc w:val="both"/>
        <w:rPr>
          <w:rFonts w:ascii="Times New Roman" w:eastAsia="Times New Roman" w:hAnsi="Times New Roman" w:cs="Times New Roman"/>
          <w:bCs/>
        </w:rPr>
      </w:pPr>
      <w:r w:rsidRPr="00DF6002">
        <w:rPr>
          <w:rFonts w:ascii="Times New Roman" w:eastAsia="Times New Roman" w:hAnsi="Times New Roman" w:cs="Times New Roman"/>
          <w:bCs/>
        </w:rPr>
        <w:t>A hallgatók rendszerezett ismereteket sajátítanak el a társas élet egyéni, csoportszintű és társadalmi viselkedési törvényszerűségeit leíró legfontosabb alapfogalmakról, elméletekről. Átfogóan elsajátítják a szociológia tudományág alapítóitól a kiemelkedő elméletalkotók tudományos tevékenységének főbb elemeit. Megismerik a premodern és a modern társadalmak szerkezeti és intézményi jellemzőit. Bemutatásra kerül, hogy mi különbözteti meg a modern nyugati társadalmakat a korábbi kultúráktól, és a világ többi civilizációs övezetétől. Kiemelésre kerülnek a világban és ezen belül Magyarországon az utóbbi évtizedekben bekövetkezett társadalomszerkezeti és kulturális változások. Ehhez kapcsolódva különösképpen a mobilitási, a demográfiai, a migrációs, az intézményi, az értékrendbeli és az egyenlőtlenségi viszonyokban bekövetkezett változások kerülnek a fókuszba. A hallgatók átfogó ismereteket szereznek a biztonsági szektor és szűkebben a katonai hivatás, a katonai szervezetek tevékenységét meghatározó szociológiai sajátosságokról.</w:t>
      </w:r>
    </w:p>
    <w:p w:rsidR="00DF6002" w:rsidRPr="00DF6002" w:rsidRDefault="00DF6002" w:rsidP="00DF6002">
      <w:pPr>
        <w:widowControl w:val="0"/>
        <w:spacing w:before="120" w:after="120" w:line="240" w:lineRule="auto"/>
        <w:ind w:firstLine="426"/>
        <w:jc w:val="both"/>
        <w:rPr>
          <w:rFonts w:ascii="Times New Roman" w:eastAsia="Times New Roman" w:hAnsi="Times New Roman" w:cs="Times New Roman"/>
          <w:b/>
          <w:bCs/>
        </w:rPr>
      </w:pPr>
      <w:r w:rsidRPr="00DF6002">
        <w:rPr>
          <w:rFonts w:ascii="Times New Roman" w:eastAsia="Times New Roman" w:hAnsi="Times New Roman" w:cs="Times New Roman"/>
          <w:b/>
          <w:bCs/>
        </w:rPr>
        <w:t>A tantárgy szakmai tartalma (angolul) (</w:t>
      </w:r>
      <w:r w:rsidRPr="00DF6002">
        <w:rPr>
          <w:rFonts w:ascii="Times New Roman" w:eastAsia="Times New Roman" w:hAnsi="Times New Roman" w:cs="Times New Roman"/>
          <w:b/>
          <w:bCs/>
          <w:lang w:val="en-US"/>
        </w:rPr>
        <w:t>Course description</w:t>
      </w:r>
      <w:r w:rsidRPr="00DF6002">
        <w:rPr>
          <w:rFonts w:ascii="Times New Roman" w:eastAsia="Times New Roman" w:hAnsi="Times New Roman" w:cs="Times New Roman"/>
          <w:b/>
          <w:bCs/>
        </w:rPr>
        <w:t xml:space="preserve">): </w:t>
      </w:r>
    </w:p>
    <w:p w:rsidR="00DF6002" w:rsidRPr="00DF6002" w:rsidRDefault="00DF6002" w:rsidP="00DF6002">
      <w:pPr>
        <w:widowControl w:val="0"/>
        <w:spacing w:before="120" w:after="120" w:line="240" w:lineRule="auto"/>
        <w:ind w:left="426"/>
        <w:jc w:val="both"/>
        <w:rPr>
          <w:rFonts w:ascii="Times New Roman" w:eastAsia="Times New Roman" w:hAnsi="Times New Roman" w:cs="Times New Roman"/>
          <w:bCs/>
          <w:lang w:val="en-AU"/>
        </w:rPr>
      </w:pPr>
      <w:r w:rsidRPr="00DF6002">
        <w:rPr>
          <w:rFonts w:ascii="Times New Roman" w:eastAsia="Times New Roman" w:hAnsi="Times New Roman" w:cs="Times New Roman"/>
          <w:bCs/>
          <w:lang w:val="en-AU"/>
        </w:rPr>
        <w:t xml:space="preserve">The students acquire systematic knowledge about the most important basic terms and theories describing the rules of behaviour in social life as individuals, as a member of a group and as a member of society. They expansively acquire the most important elements of scientific activity of outstanding theorists by the founders of social discipline. The distinctions between the modern western societies and former cultures as well as other areas of civilizations of the world are presented. The changes related to social structure and culture, experienced in the world and in Hungary in the last decades, are highlighted. Related to that, the focus is primarily on the changes among the relations of mobility, demography, migration, institutions, values and inequality. The students acquire knowledge about the characteristics of sociology determining the activity of </w:t>
      </w:r>
      <w:r w:rsidRPr="00DF6002">
        <w:rPr>
          <w:rFonts w:ascii="Times New Roman" w:eastAsia="Times New Roman" w:hAnsi="Times New Roman" w:cs="Times New Roman"/>
          <w:bCs/>
          <w:lang w:val="en-AU"/>
        </w:rPr>
        <w:lastRenderedPageBreak/>
        <w:t xml:space="preserve">military sector and military duty in the security sector. </w:t>
      </w:r>
    </w:p>
    <w:p w:rsidR="00DF6002" w:rsidRPr="00DF6002" w:rsidRDefault="00DF6002" w:rsidP="008B31E6">
      <w:pPr>
        <w:widowControl w:val="0"/>
        <w:numPr>
          <w:ilvl w:val="0"/>
          <w:numId w:val="16"/>
        </w:numPr>
        <w:tabs>
          <w:tab w:val="num" w:pos="567"/>
        </w:tabs>
        <w:spacing w:before="120" w:after="120" w:line="240" w:lineRule="auto"/>
        <w:ind w:left="426" w:hanging="142"/>
        <w:jc w:val="both"/>
        <w:rPr>
          <w:rFonts w:ascii="Times New Roman" w:eastAsia="Times New Roman" w:hAnsi="Times New Roman" w:cs="Times New Roman"/>
          <w:b/>
          <w:bCs/>
        </w:rPr>
      </w:pPr>
      <w:r w:rsidRPr="00DF6002">
        <w:rPr>
          <w:rFonts w:ascii="Times New Roman" w:eastAsia="Times New Roman" w:hAnsi="Times New Roman" w:cs="Times New Roman"/>
          <w:b/>
          <w:bCs/>
        </w:rPr>
        <w:t xml:space="preserve">Elérendő kompetenciák (magyarul): </w:t>
      </w:r>
    </w:p>
    <w:p w:rsidR="00DF6002" w:rsidRPr="00DF6002" w:rsidRDefault="00DF6002" w:rsidP="00DF6002">
      <w:pPr>
        <w:widowControl w:val="0"/>
        <w:spacing w:before="120" w:after="0" w:line="240" w:lineRule="auto"/>
        <w:ind w:left="425"/>
        <w:jc w:val="both"/>
        <w:rPr>
          <w:rFonts w:ascii="Times New Roman" w:eastAsia="Times New Roman" w:hAnsi="Times New Roman" w:cs="Times New Roman"/>
          <w:bCs/>
        </w:rPr>
      </w:pPr>
      <w:r w:rsidRPr="00DF6002">
        <w:rPr>
          <w:rFonts w:ascii="Times New Roman" w:eastAsia="Times New Roman" w:hAnsi="Times New Roman" w:cs="Times New Roman"/>
          <w:b/>
          <w:bCs/>
        </w:rPr>
        <w:t>Tudása:</w:t>
      </w:r>
      <w:r w:rsidRPr="00DF6002">
        <w:rPr>
          <w:rFonts w:ascii="Times New Roman" w:eastAsia="Times New Roman" w:hAnsi="Times New Roman" w:cs="Times New Roman"/>
          <w:bCs/>
        </w:rPr>
        <w:t xml:space="preserve"> </w:t>
      </w:r>
    </w:p>
    <w:p w:rsidR="00DF6002" w:rsidRPr="00DF6002" w:rsidRDefault="00DF6002" w:rsidP="008B31E6">
      <w:pPr>
        <w:pStyle w:val="Listaszerbekezds"/>
        <w:widowControl w:val="0"/>
        <w:numPr>
          <w:ilvl w:val="0"/>
          <w:numId w:val="20"/>
        </w:numPr>
        <w:spacing w:after="120" w:line="240" w:lineRule="auto"/>
        <w:ind w:left="782" w:hanging="357"/>
        <w:jc w:val="both"/>
        <w:rPr>
          <w:rFonts w:ascii="Times New Roman" w:eastAsia="Times New Roman" w:hAnsi="Times New Roman" w:cs="Times New Roman"/>
          <w:bCs/>
        </w:rPr>
      </w:pPr>
      <w:r w:rsidRPr="00DF6002">
        <w:rPr>
          <w:rFonts w:ascii="Times New Roman" w:eastAsia="Times New Roman" w:hAnsi="Times New Roman" w:cs="Times New Roman"/>
          <w:bCs/>
        </w:rPr>
        <w:t>Átfogóan ismeri a korszerű teljesítményértékelési és a beosztottakat motiváló eljárásokat.</w:t>
      </w:r>
    </w:p>
    <w:p w:rsidR="00DF6002" w:rsidRPr="00DF6002" w:rsidRDefault="00DF6002" w:rsidP="008B31E6">
      <w:pPr>
        <w:pStyle w:val="Listaszerbekezds"/>
        <w:widowControl w:val="0"/>
        <w:numPr>
          <w:ilvl w:val="0"/>
          <w:numId w:val="20"/>
        </w:numPr>
        <w:spacing w:before="120" w:after="120" w:line="240" w:lineRule="auto"/>
        <w:jc w:val="both"/>
        <w:rPr>
          <w:rFonts w:ascii="Times New Roman" w:eastAsia="Times New Roman" w:hAnsi="Times New Roman" w:cs="Times New Roman"/>
          <w:bCs/>
        </w:rPr>
      </w:pPr>
      <w:r w:rsidRPr="00DF6002">
        <w:rPr>
          <w:rFonts w:ascii="Times New Roman" w:eastAsia="Times New Roman" w:hAnsi="Times New Roman" w:cs="Times New Roman"/>
          <w:bCs/>
        </w:rPr>
        <w:t>Ismeri a magyar biztonság- és védelempolitikát meghatározó alapvető nemzetközi politikai, gazdasági, társadalmi és katonai folyamatokat, tényezőket, trendeket, valamint az ezek értelmezéséhez szükséges főbb elméleti iskolákat.</w:t>
      </w:r>
    </w:p>
    <w:p w:rsidR="00DF6002" w:rsidRPr="00DF6002" w:rsidRDefault="00DF6002" w:rsidP="00DF6002">
      <w:pPr>
        <w:widowControl w:val="0"/>
        <w:spacing w:before="120" w:after="0" w:line="240" w:lineRule="auto"/>
        <w:ind w:left="425"/>
        <w:jc w:val="both"/>
        <w:rPr>
          <w:rFonts w:ascii="Times New Roman" w:eastAsia="Times New Roman" w:hAnsi="Times New Roman" w:cs="Times New Roman"/>
          <w:b/>
          <w:bCs/>
        </w:rPr>
      </w:pPr>
      <w:r w:rsidRPr="00DF6002">
        <w:rPr>
          <w:rFonts w:ascii="Times New Roman" w:eastAsia="Times New Roman" w:hAnsi="Times New Roman" w:cs="Times New Roman"/>
          <w:b/>
          <w:bCs/>
        </w:rPr>
        <w:t xml:space="preserve">Képességei: </w:t>
      </w:r>
    </w:p>
    <w:p w:rsidR="00DF6002" w:rsidRPr="00DF6002" w:rsidRDefault="00DF6002" w:rsidP="008B31E6">
      <w:pPr>
        <w:pStyle w:val="Listaszerbekezds"/>
        <w:widowControl w:val="0"/>
        <w:numPr>
          <w:ilvl w:val="0"/>
          <w:numId w:val="20"/>
        </w:numPr>
        <w:spacing w:after="120" w:line="240" w:lineRule="auto"/>
        <w:ind w:left="782" w:hanging="357"/>
        <w:jc w:val="both"/>
        <w:rPr>
          <w:rFonts w:ascii="Times New Roman" w:eastAsia="Times New Roman" w:hAnsi="Times New Roman" w:cs="Times New Roman"/>
          <w:bCs/>
        </w:rPr>
      </w:pPr>
      <w:r w:rsidRPr="00DF6002">
        <w:rPr>
          <w:rFonts w:ascii="Times New Roman" w:eastAsia="Times New Roman" w:hAnsi="Times New Roman" w:cs="Times New Roman"/>
          <w:bCs/>
        </w:rPr>
        <w:t>Meghatározó módon rendelkezik a katonai alegység (szakasz) vezetésére alkalmas szakmai tudással.</w:t>
      </w:r>
    </w:p>
    <w:p w:rsidR="00DF6002" w:rsidRPr="00DF6002" w:rsidRDefault="00DF6002" w:rsidP="008B31E6">
      <w:pPr>
        <w:pStyle w:val="Listaszerbekezds"/>
        <w:widowControl w:val="0"/>
        <w:numPr>
          <w:ilvl w:val="0"/>
          <w:numId w:val="20"/>
        </w:numPr>
        <w:spacing w:before="120" w:after="120" w:line="240" w:lineRule="auto"/>
        <w:jc w:val="both"/>
        <w:rPr>
          <w:rFonts w:ascii="Times New Roman" w:eastAsia="Times New Roman" w:hAnsi="Times New Roman" w:cs="Times New Roman"/>
          <w:bCs/>
        </w:rPr>
      </w:pPr>
      <w:r w:rsidRPr="00DF6002">
        <w:rPr>
          <w:rFonts w:ascii="Times New Roman" w:eastAsia="Times New Roman" w:hAnsi="Times New Roman" w:cs="Times New Roman"/>
          <w:bCs/>
        </w:rPr>
        <w:t>Képes a feldolgozott információk alapján reális értékítéletre, a döntéshozatali eljárásban való aktív részvételre és önálló szakmai javaslat megfogalmazására.</w:t>
      </w:r>
    </w:p>
    <w:p w:rsidR="00DF6002" w:rsidRPr="00DF6002" w:rsidRDefault="00DF6002" w:rsidP="00DF6002">
      <w:pPr>
        <w:widowControl w:val="0"/>
        <w:spacing w:before="120" w:after="0" w:line="240" w:lineRule="auto"/>
        <w:ind w:left="425"/>
        <w:jc w:val="both"/>
        <w:rPr>
          <w:rFonts w:ascii="Times New Roman" w:eastAsia="Times New Roman" w:hAnsi="Times New Roman" w:cs="Times New Roman"/>
          <w:b/>
          <w:bCs/>
        </w:rPr>
      </w:pPr>
      <w:r w:rsidRPr="00DF6002">
        <w:rPr>
          <w:rFonts w:ascii="Times New Roman" w:eastAsia="Times New Roman" w:hAnsi="Times New Roman" w:cs="Times New Roman"/>
          <w:b/>
          <w:bCs/>
        </w:rPr>
        <w:t xml:space="preserve">Attitűdje: </w:t>
      </w:r>
    </w:p>
    <w:p w:rsidR="00DF6002" w:rsidRPr="00DF6002" w:rsidRDefault="00DF6002" w:rsidP="008B31E6">
      <w:pPr>
        <w:pStyle w:val="Listaszerbekezds"/>
        <w:widowControl w:val="0"/>
        <w:numPr>
          <w:ilvl w:val="0"/>
          <w:numId w:val="20"/>
        </w:numPr>
        <w:spacing w:after="120" w:line="240" w:lineRule="auto"/>
        <w:ind w:left="782" w:hanging="357"/>
        <w:jc w:val="both"/>
        <w:rPr>
          <w:rFonts w:ascii="Times New Roman" w:eastAsia="Times New Roman" w:hAnsi="Times New Roman" w:cs="Times New Roman"/>
          <w:bCs/>
        </w:rPr>
      </w:pPr>
      <w:r w:rsidRPr="00DF6002">
        <w:rPr>
          <w:rFonts w:ascii="Times New Roman" w:eastAsia="Times New Roman" w:hAnsi="Times New Roman" w:cs="Times New Roman"/>
          <w:bCs/>
        </w:rPr>
        <w:t>Vállalja és hitelesen képviseli szakterületét, a képesítése szerinti tevékenységeket és azok eredményeit.</w:t>
      </w:r>
    </w:p>
    <w:p w:rsidR="00DF6002" w:rsidRPr="00DF6002" w:rsidRDefault="00DF6002" w:rsidP="008B31E6">
      <w:pPr>
        <w:pStyle w:val="Listaszerbekezds"/>
        <w:widowControl w:val="0"/>
        <w:numPr>
          <w:ilvl w:val="0"/>
          <w:numId w:val="20"/>
        </w:numPr>
        <w:spacing w:before="120" w:after="120" w:line="240" w:lineRule="auto"/>
        <w:jc w:val="both"/>
        <w:rPr>
          <w:rFonts w:ascii="Times New Roman" w:eastAsia="Times New Roman" w:hAnsi="Times New Roman" w:cs="Times New Roman"/>
          <w:bCs/>
        </w:rPr>
      </w:pPr>
      <w:r w:rsidRPr="00DF6002">
        <w:rPr>
          <w:rFonts w:ascii="Times New Roman" w:eastAsia="Times New Roman" w:hAnsi="Times New Roman" w:cs="Times New Roman"/>
          <w:bCs/>
        </w:rPr>
        <w:t>Érzékeny és nyitott a társadalmi problémákra, szemléletét áthatja a szakmai és emberi szolidaritás.</w:t>
      </w:r>
    </w:p>
    <w:p w:rsidR="00DF6002" w:rsidRPr="00DF6002" w:rsidRDefault="00DF6002" w:rsidP="00DF6002">
      <w:pPr>
        <w:widowControl w:val="0"/>
        <w:spacing w:before="120" w:after="0" w:line="240" w:lineRule="auto"/>
        <w:ind w:left="425"/>
        <w:jc w:val="both"/>
        <w:rPr>
          <w:rFonts w:ascii="Times New Roman" w:eastAsia="Times New Roman" w:hAnsi="Times New Roman" w:cs="Times New Roman"/>
          <w:b/>
          <w:bCs/>
        </w:rPr>
      </w:pPr>
      <w:r w:rsidRPr="00DF6002">
        <w:rPr>
          <w:rFonts w:ascii="Times New Roman" w:eastAsia="Times New Roman" w:hAnsi="Times New Roman" w:cs="Times New Roman"/>
          <w:b/>
          <w:bCs/>
        </w:rPr>
        <w:t xml:space="preserve">Autonómiája és felelőssége: </w:t>
      </w:r>
    </w:p>
    <w:p w:rsidR="00DF6002" w:rsidRPr="00DF6002" w:rsidRDefault="00DF6002" w:rsidP="008B31E6">
      <w:pPr>
        <w:pStyle w:val="Listaszerbekezds"/>
        <w:widowControl w:val="0"/>
        <w:numPr>
          <w:ilvl w:val="0"/>
          <w:numId w:val="20"/>
        </w:numPr>
        <w:spacing w:after="120" w:line="240" w:lineRule="auto"/>
        <w:ind w:left="782" w:hanging="357"/>
        <w:jc w:val="both"/>
        <w:rPr>
          <w:rFonts w:ascii="Times New Roman" w:eastAsia="Times New Roman" w:hAnsi="Times New Roman" w:cs="Times New Roman"/>
          <w:bCs/>
        </w:rPr>
      </w:pPr>
      <w:r w:rsidRPr="00DF6002">
        <w:rPr>
          <w:rFonts w:ascii="Times New Roman" w:eastAsia="Times New Roman" w:hAnsi="Times New Roman" w:cs="Times New Roman"/>
          <w:bCs/>
        </w:rPr>
        <w:t>Beosztásából adódó önállósággal végzi az általános és speciális szakmai kérdések végig gondolását és adott tényezők és körülmények alapján történő kidolgozását, amely során széles látókörére, általános és szakmai műveltségére, valamint problémafelismerő és -megoldó készségére támaszkodik.</w:t>
      </w:r>
    </w:p>
    <w:p w:rsidR="00DF6002" w:rsidRPr="00DF6002" w:rsidRDefault="00DF6002" w:rsidP="008B31E6">
      <w:pPr>
        <w:pStyle w:val="Listaszerbekezds"/>
        <w:widowControl w:val="0"/>
        <w:numPr>
          <w:ilvl w:val="0"/>
          <w:numId w:val="20"/>
        </w:numPr>
        <w:spacing w:before="120" w:after="120" w:line="240" w:lineRule="auto"/>
        <w:jc w:val="both"/>
        <w:rPr>
          <w:rFonts w:ascii="Times New Roman" w:eastAsia="Times New Roman" w:hAnsi="Times New Roman" w:cs="Times New Roman"/>
          <w:bCs/>
        </w:rPr>
      </w:pPr>
      <w:r w:rsidRPr="00DF6002">
        <w:rPr>
          <w:rFonts w:ascii="Times New Roman" w:eastAsia="Times New Roman" w:hAnsi="Times New Roman" w:cs="Times New Roman"/>
          <w:bCs/>
        </w:rPr>
        <w:t>A szervezeti struktúrában elfoglalt helyétől függően képes hatékony és konstruktív tevékenységre, a szakmai álláspontok és érdekek érvényesítésére az intézményen belüli és kívüli együttműködési formákban.</w:t>
      </w:r>
    </w:p>
    <w:p w:rsidR="00DF6002" w:rsidRPr="00DF6002" w:rsidRDefault="00DF6002" w:rsidP="00DF6002">
      <w:pPr>
        <w:widowControl w:val="0"/>
        <w:spacing w:before="120" w:after="120" w:line="240" w:lineRule="auto"/>
        <w:ind w:left="426"/>
        <w:jc w:val="both"/>
        <w:rPr>
          <w:rFonts w:ascii="Times New Roman" w:eastAsia="Times New Roman" w:hAnsi="Times New Roman" w:cs="Times New Roman"/>
          <w:b/>
          <w:bCs/>
          <w:lang w:val="en-AU"/>
        </w:rPr>
      </w:pPr>
      <w:r w:rsidRPr="00DF6002">
        <w:rPr>
          <w:rFonts w:ascii="Times New Roman" w:eastAsia="Times New Roman" w:hAnsi="Times New Roman" w:cs="Times New Roman"/>
          <w:b/>
          <w:bCs/>
        </w:rPr>
        <w:t>Elérendő kompetenciák (angolul)</w:t>
      </w:r>
      <w:r w:rsidRPr="00DF6002">
        <w:rPr>
          <w:rFonts w:ascii="Times New Roman" w:eastAsia="Times New Roman" w:hAnsi="Times New Roman" w:cs="Times New Roman"/>
          <w:b/>
          <w:bCs/>
          <w:lang w:val="en-AU"/>
        </w:rPr>
        <w:t xml:space="preserve"> (Competences – English): </w:t>
      </w:r>
    </w:p>
    <w:p w:rsidR="00DF6002" w:rsidRPr="00DF6002" w:rsidRDefault="00DF6002" w:rsidP="00DF6002">
      <w:pPr>
        <w:widowControl w:val="0"/>
        <w:spacing w:before="120" w:after="0" w:line="240" w:lineRule="auto"/>
        <w:ind w:left="425"/>
        <w:jc w:val="both"/>
        <w:rPr>
          <w:rFonts w:ascii="Times New Roman" w:eastAsia="Times New Roman" w:hAnsi="Times New Roman" w:cs="Times New Roman"/>
          <w:b/>
          <w:bCs/>
        </w:rPr>
      </w:pPr>
      <w:r w:rsidRPr="00DF6002">
        <w:rPr>
          <w:rFonts w:ascii="Times New Roman" w:eastAsia="Times New Roman" w:hAnsi="Times New Roman" w:cs="Times New Roman"/>
          <w:b/>
          <w:bCs/>
        </w:rPr>
        <w:t xml:space="preserve">Knowledge: </w:t>
      </w:r>
    </w:p>
    <w:p w:rsidR="00DF6002" w:rsidRPr="00DF6002" w:rsidRDefault="00DF6002" w:rsidP="008B31E6">
      <w:pPr>
        <w:pStyle w:val="Listaszerbekezds"/>
        <w:widowControl w:val="0"/>
        <w:numPr>
          <w:ilvl w:val="0"/>
          <w:numId w:val="20"/>
        </w:numPr>
        <w:spacing w:after="120" w:line="240" w:lineRule="auto"/>
        <w:ind w:left="782" w:hanging="357"/>
        <w:jc w:val="both"/>
        <w:rPr>
          <w:rFonts w:ascii="Times New Roman" w:eastAsia="Times New Roman" w:hAnsi="Times New Roman" w:cs="Times New Roman"/>
          <w:bCs/>
          <w:lang w:val="en-AU"/>
        </w:rPr>
      </w:pPr>
      <w:r w:rsidRPr="00DF6002">
        <w:rPr>
          <w:rFonts w:ascii="Times New Roman" w:eastAsia="Times New Roman" w:hAnsi="Times New Roman" w:cs="Times New Roman"/>
          <w:bCs/>
        </w:rPr>
        <w:t>Students</w:t>
      </w:r>
      <w:r w:rsidRPr="00DF6002">
        <w:rPr>
          <w:rFonts w:ascii="Times New Roman" w:eastAsia="Times New Roman" w:hAnsi="Times New Roman" w:cs="Times New Roman"/>
          <w:bCs/>
          <w:lang w:val="en-AU"/>
        </w:rPr>
        <w:t xml:space="preserve"> will be well versed in advanced performance evaluation procedures and motivation methods of subordinates.</w:t>
      </w:r>
    </w:p>
    <w:p w:rsidR="00DF6002" w:rsidRPr="00DF6002" w:rsidRDefault="00DF6002" w:rsidP="008B31E6">
      <w:pPr>
        <w:pStyle w:val="Listaszerbekezds"/>
        <w:widowControl w:val="0"/>
        <w:numPr>
          <w:ilvl w:val="0"/>
          <w:numId w:val="20"/>
        </w:numPr>
        <w:spacing w:before="120" w:after="120" w:line="240" w:lineRule="auto"/>
        <w:jc w:val="both"/>
        <w:rPr>
          <w:rFonts w:ascii="Times New Roman" w:eastAsia="Times New Roman" w:hAnsi="Times New Roman" w:cs="Times New Roman"/>
          <w:bCs/>
          <w:lang w:val="en-AU"/>
        </w:rPr>
      </w:pPr>
      <w:r w:rsidRPr="00DF6002">
        <w:rPr>
          <w:rFonts w:ascii="Times New Roman" w:eastAsia="Times New Roman" w:hAnsi="Times New Roman" w:cs="Times New Roman"/>
          <w:bCs/>
          <w:lang w:val="en-AU"/>
        </w:rPr>
        <w:t>The student is familiar with the basic international political, economic, social and military procedures, factors and trends defining the Hungarian security and defence policy, as well as the main theoretical concepts required to understand those above.</w:t>
      </w:r>
    </w:p>
    <w:p w:rsidR="00DF6002" w:rsidRPr="00DF6002" w:rsidRDefault="00DF6002" w:rsidP="00DF6002">
      <w:pPr>
        <w:widowControl w:val="0"/>
        <w:spacing w:before="120" w:after="0" w:line="240" w:lineRule="auto"/>
        <w:ind w:left="425"/>
        <w:jc w:val="both"/>
        <w:rPr>
          <w:rFonts w:ascii="Times New Roman" w:eastAsia="Times New Roman" w:hAnsi="Times New Roman" w:cs="Times New Roman"/>
          <w:lang w:val="en-AU"/>
        </w:rPr>
      </w:pPr>
      <w:r w:rsidRPr="00DF6002">
        <w:rPr>
          <w:rFonts w:ascii="Times New Roman" w:eastAsia="Times New Roman" w:hAnsi="Times New Roman" w:cs="Times New Roman"/>
          <w:b/>
          <w:bCs/>
        </w:rPr>
        <w:t>Capabilities</w:t>
      </w:r>
      <w:r w:rsidRPr="00DF6002">
        <w:rPr>
          <w:rFonts w:ascii="Times New Roman" w:eastAsia="Times New Roman" w:hAnsi="Times New Roman" w:cs="Times New Roman"/>
          <w:lang w:val="en-AU"/>
        </w:rPr>
        <w:t xml:space="preserve">: </w:t>
      </w:r>
    </w:p>
    <w:p w:rsidR="00DF6002" w:rsidRPr="00DF6002" w:rsidRDefault="00DF6002" w:rsidP="008B31E6">
      <w:pPr>
        <w:pStyle w:val="Listaszerbekezds"/>
        <w:widowControl w:val="0"/>
        <w:numPr>
          <w:ilvl w:val="0"/>
          <w:numId w:val="20"/>
        </w:numPr>
        <w:spacing w:after="120" w:line="240" w:lineRule="auto"/>
        <w:ind w:left="782" w:hanging="357"/>
        <w:jc w:val="both"/>
        <w:rPr>
          <w:rFonts w:ascii="Times New Roman" w:eastAsia="Times New Roman" w:hAnsi="Times New Roman" w:cs="Times New Roman"/>
          <w:bCs/>
          <w:lang w:val="en-AU"/>
        </w:rPr>
      </w:pPr>
      <w:r w:rsidRPr="00DF6002">
        <w:rPr>
          <w:rFonts w:ascii="Times New Roman" w:eastAsia="Times New Roman" w:hAnsi="Times New Roman" w:cs="Times New Roman"/>
          <w:bCs/>
        </w:rPr>
        <w:t>Students</w:t>
      </w:r>
      <w:r w:rsidRPr="00DF6002">
        <w:rPr>
          <w:rFonts w:ascii="Times New Roman" w:eastAsia="Times New Roman" w:hAnsi="Times New Roman" w:cs="Times New Roman"/>
          <w:bCs/>
          <w:lang w:val="en-AU"/>
        </w:rPr>
        <w:t xml:space="preserve"> must have decisive professional knowledge to command a military subunit.</w:t>
      </w:r>
    </w:p>
    <w:p w:rsidR="00DF6002" w:rsidRPr="00DF6002" w:rsidRDefault="00DF6002" w:rsidP="008B31E6">
      <w:pPr>
        <w:pStyle w:val="Listaszerbekezds"/>
        <w:widowControl w:val="0"/>
        <w:numPr>
          <w:ilvl w:val="0"/>
          <w:numId w:val="20"/>
        </w:numPr>
        <w:spacing w:before="120" w:after="120" w:line="240" w:lineRule="auto"/>
        <w:jc w:val="both"/>
        <w:rPr>
          <w:rFonts w:ascii="Times New Roman" w:eastAsia="Times New Roman" w:hAnsi="Times New Roman" w:cs="Times New Roman"/>
          <w:bCs/>
          <w:lang w:val="en-AU"/>
        </w:rPr>
      </w:pPr>
      <w:r w:rsidRPr="00DF6002">
        <w:rPr>
          <w:rFonts w:ascii="Times New Roman" w:eastAsia="Times New Roman" w:hAnsi="Times New Roman" w:cs="Times New Roman"/>
          <w:bCs/>
          <w:lang w:val="en-AU"/>
        </w:rPr>
        <w:t>Based on the elaborated information, the student is capable of making objective judgements and actively taking part in decision-making procedures, furthermore the student is able to give independent professional recommendations.</w:t>
      </w:r>
    </w:p>
    <w:p w:rsidR="00DF6002" w:rsidRPr="00DF6002" w:rsidRDefault="00DF6002" w:rsidP="00DF6002">
      <w:pPr>
        <w:widowControl w:val="0"/>
        <w:spacing w:before="120" w:after="0" w:line="240" w:lineRule="auto"/>
        <w:ind w:left="425"/>
        <w:jc w:val="both"/>
        <w:rPr>
          <w:rFonts w:ascii="Times New Roman" w:eastAsia="Times New Roman" w:hAnsi="Times New Roman" w:cs="Times New Roman"/>
          <w:b/>
          <w:lang w:val="en-AU"/>
        </w:rPr>
      </w:pPr>
      <w:r w:rsidRPr="00DF6002">
        <w:rPr>
          <w:rFonts w:ascii="Times New Roman" w:eastAsia="Times New Roman" w:hAnsi="Times New Roman" w:cs="Times New Roman"/>
          <w:b/>
          <w:bCs/>
        </w:rPr>
        <w:t>Attitude</w:t>
      </w:r>
      <w:r w:rsidRPr="00DF6002">
        <w:rPr>
          <w:rFonts w:ascii="Times New Roman" w:eastAsia="Times New Roman" w:hAnsi="Times New Roman" w:cs="Times New Roman"/>
          <w:b/>
          <w:lang w:val="en-AU"/>
        </w:rPr>
        <w:t xml:space="preserve">: </w:t>
      </w:r>
    </w:p>
    <w:p w:rsidR="00DF6002" w:rsidRPr="00DF6002" w:rsidRDefault="00DF6002" w:rsidP="008B31E6">
      <w:pPr>
        <w:pStyle w:val="Listaszerbekezds"/>
        <w:widowControl w:val="0"/>
        <w:numPr>
          <w:ilvl w:val="0"/>
          <w:numId w:val="20"/>
        </w:numPr>
        <w:spacing w:after="120" w:line="240" w:lineRule="auto"/>
        <w:ind w:left="782" w:hanging="357"/>
        <w:jc w:val="both"/>
        <w:rPr>
          <w:rFonts w:ascii="Times New Roman" w:eastAsia="Times New Roman" w:hAnsi="Times New Roman" w:cs="Times New Roman"/>
          <w:bCs/>
          <w:lang w:val="en-AU"/>
        </w:rPr>
      </w:pPr>
      <w:r w:rsidRPr="00DF6002">
        <w:rPr>
          <w:rFonts w:ascii="Times New Roman" w:eastAsia="Times New Roman" w:hAnsi="Times New Roman" w:cs="Times New Roman"/>
          <w:bCs/>
          <w:lang w:val="en-AU"/>
        </w:rPr>
        <w:t>Students undertake and authentically represents his/her area of expertise and activities according to their qualifications as well as their results.</w:t>
      </w:r>
    </w:p>
    <w:p w:rsidR="00DF6002" w:rsidRPr="00DF6002" w:rsidRDefault="00DF6002" w:rsidP="008B31E6">
      <w:pPr>
        <w:pStyle w:val="Listaszerbekezds"/>
        <w:widowControl w:val="0"/>
        <w:numPr>
          <w:ilvl w:val="0"/>
          <w:numId w:val="20"/>
        </w:numPr>
        <w:spacing w:before="120" w:after="120" w:line="240" w:lineRule="auto"/>
        <w:jc w:val="both"/>
        <w:rPr>
          <w:rFonts w:ascii="Times New Roman" w:eastAsia="Times New Roman" w:hAnsi="Times New Roman" w:cs="Times New Roman"/>
          <w:bCs/>
          <w:lang w:val="en-AU"/>
        </w:rPr>
      </w:pPr>
      <w:r w:rsidRPr="00DF6002">
        <w:rPr>
          <w:rFonts w:ascii="Times New Roman" w:eastAsia="Times New Roman" w:hAnsi="Times New Roman" w:cs="Times New Roman"/>
          <w:bCs/>
          <w:lang w:val="en-AU"/>
        </w:rPr>
        <w:t>The student is sensitive and open to the problems of society, his/her perspective is defined by professional and human solidarity.</w:t>
      </w:r>
    </w:p>
    <w:p w:rsidR="00DF6002" w:rsidRPr="00DF6002" w:rsidRDefault="00DF6002" w:rsidP="00DF6002">
      <w:pPr>
        <w:widowControl w:val="0"/>
        <w:spacing w:before="120" w:after="0" w:line="240" w:lineRule="auto"/>
        <w:ind w:left="425"/>
        <w:jc w:val="both"/>
        <w:rPr>
          <w:rFonts w:ascii="Times New Roman" w:eastAsia="Times New Roman" w:hAnsi="Times New Roman" w:cs="Times New Roman"/>
          <w:b/>
          <w:lang w:val="en-AU"/>
        </w:rPr>
      </w:pPr>
      <w:r w:rsidRPr="00DF6002">
        <w:rPr>
          <w:rFonts w:ascii="Times New Roman" w:eastAsia="Times New Roman" w:hAnsi="Times New Roman" w:cs="Times New Roman"/>
          <w:b/>
          <w:lang w:val="en-AU"/>
        </w:rPr>
        <w:t xml:space="preserve">Autonomy and responsibility: </w:t>
      </w:r>
    </w:p>
    <w:p w:rsidR="00DF6002" w:rsidRPr="00DF6002" w:rsidRDefault="00DF6002" w:rsidP="008B31E6">
      <w:pPr>
        <w:pStyle w:val="Listaszerbekezds"/>
        <w:widowControl w:val="0"/>
        <w:numPr>
          <w:ilvl w:val="0"/>
          <w:numId w:val="20"/>
        </w:numPr>
        <w:spacing w:after="120" w:line="240" w:lineRule="auto"/>
        <w:ind w:left="782" w:hanging="357"/>
        <w:jc w:val="both"/>
        <w:rPr>
          <w:rFonts w:ascii="Times New Roman" w:eastAsia="Times New Roman" w:hAnsi="Times New Roman" w:cs="Times New Roman"/>
          <w:bCs/>
          <w:lang w:val="en-AU"/>
        </w:rPr>
      </w:pPr>
      <w:r w:rsidRPr="00DF6002">
        <w:rPr>
          <w:rFonts w:ascii="Times New Roman" w:eastAsia="Times New Roman" w:hAnsi="Times New Roman" w:cs="Times New Roman"/>
          <w:bCs/>
          <w:lang w:val="en-AU"/>
        </w:rPr>
        <w:t xml:space="preserve">Students </w:t>
      </w:r>
      <w:r w:rsidRPr="00DF6002">
        <w:rPr>
          <w:rFonts w:ascii="Times New Roman" w:eastAsia="Times New Roman" w:hAnsi="Times New Roman" w:cs="Times New Roman"/>
          <w:bCs/>
        </w:rPr>
        <w:t>think</w:t>
      </w:r>
      <w:r w:rsidRPr="00DF6002">
        <w:rPr>
          <w:rFonts w:ascii="Times New Roman" w:eastAsia="Times New Roman" w:hAnsi="Times New Roman" w:cs="Times New Roman"/>
          <w:bCs/>
          <w:lang w:val="en-AU"/>
        </w:rPr>
        <w:t xml:space="preserve"> through the general and professional questions with the independence of their position, taking into account all the factors and circumstances, whereby their leans on their wide-ranging attitude, general and professional education and their ability to identify and solve problems that arise.</w:t>
      </w:r>
    </w:p>
    <w:p w:rsidR="00DF6002" w:rsidRPr="00DF6002" w:rsidRDefault="00DF6002" w:rsidP="008B31E6">
      <w:pPr>
        <w:pStyle w:val="Listaszerbekezds"/>
        <w:widowControl w:val="0"/>
        <w:numPr>
          <w:ilvl w:val="0"/>
          <w:numId w:val="20"/>
        </w:numPr>
        <w:spacing w:before="120" w:after="120" w:line="240" w:lineRule="auto"/>
        <w:jc w:val="both"/>
        <w:rPr>
          <w:rFonts w:ascii="Times New Roman" w:eastAsia="Times New Roman" w:hAnsi="Times New Roman" w:cs="Times New Roman"/>
          <w:bCs/>
          <w:lang w:val="en-AU"/>
        </w:rPr>
      </w:pPr>
      <w:r w:rsidRPr="00DF6002">
        <w:rPr>
          <w:rFonts w:ascii="Times New Roman" w:eastAsia="Times New Roman" w:hAnsi="Times New Roman" w:cs="Times New Roman"/>
          <w:bCs/>
          <w:lang w:val="en-AU"/>
        </w:rPr>
        <w:t>Based on his position in the organizational structure, the student is capable of effective and constructive activity and is able to assert professional perspectives and interests among the cooperation within and outside of the institution.</w:t>
      </w:r>
    </w:p>
    <w:p w:rsidR="00DF6002" w:rsidRPr="00DF6002" w:rsidRDefault="00DF6002" w:rsidP="008B31E6">
      <w:pPr>
        <w:widowControl w:val="0"/>
        <w:numPr>
          <w:ilvl w:val="0"/>
          <w:numId w:val="16"/>
        </w:numPr>
        <w:spacing w:before="120" w:after="120" w:line="240" w:lineRule="auto"/>
        <w:ind w:left="426" w:hanging="143"/>
        <w:jc w:val="both"/>
        <w:rPr>
          <w:rFonts w:ascii="Times New Roman" w:eastAsia="Times New Roman" w:hAnsi="Times New Roman" w:cs="Times New Roman"/>
          <w:b/>
          <w:bCs/>
        </w:rPr>
      </w:pPr>
      <w:r w:rsidRPr="00DF6002">
        <w:rPr>
          <w:rFonts w:ascii="Times New Roman" w:eastAsia="Times New Roman" w:hAnsi="Times New Roman" w:cs="Times New Roman"/>
          <w:b/>
          <w:bCs/>
        </w:rPr>
        <w:lastRenderedPageBreak/>
        <w:t>Előtanulmányi követelmények:</w:t>
      </w:r>
      <w:r w:rsidRPr="00DF6002">
        <w:rPr>
          <w:rFonts w:ascii="Times New Roman" w:eastAsia="Times New Roman" w:hAnsi="Times New Roman" w:cs="Times New Roman"/>
          <w:bCs/>
        </w:rPr>
        <w:t xml:space="preserve"> nincs</w:t>
      </w:r>
    </w:p>
    <w:p w:rsidR="00DF6002" w:rsidRPr="00DF6002" w:rsidRDefault="00DF6002" w:rsidP="008B31E6">
      <w:pPr>
        <w:widowControl w:val="0"/>
        <w:numPr>
          <w:ilvl w:val="0"/>
          <w:numId w:val="16"/>
        </w:numPr>
        <w:spacing w:before="120" w:after="120" w:line="240" w:lineRule="auto"/>
        <w:ind w:left="426" w:hanging="142"/>
        <w:jc w:val="both"/>
        <w:rPr>
          <w:rFonts w:ascii="Times New Roman" w:eastAsia="Times New Roman" w:hAnsi="Times New Roman" w:cs="Times New Roman"/>
          <w:b/>
          <w:bCs/>
        </w:rPr>
      </w:pPr>
      <w:r w:rsidRPr="00DF6002">
        <w:rPr>
          <w:rFonts w:ascii="Times New Roman" w:eastAsia="Times New Roman" w:hAnsi="Times New Roman" w:cs="Times New Roman"/>
          <w:b/>
          <w:bCs/>
        </w:rPr>
        <w:t>A tantárgy tananyagának leírása, tematika. Description of the subject, curriculum (magyarul, angolul – English):</w:t>
      </w:r>
    </w:p>
    <w:p w:rsidR="00DF6002" w:rsidRPr="00DF6002" w:rsidRDefault="00DF6002" w:rsidP="00027CE5">
      <w:pPr>
        <w:widowControl w:val="0"/>
        <w:tabs>
          <w:tab w:val="left" w:pos="993"/>
        </w:tabs>
        <w:spacing w:before="120" w:after="120" w:line="240" w:lineRule="auto"/>
        <w:ind w:left="851" w:hanging="567"/>
        <w:jc w:val="both"/>
        <w:rPr>
          <w:rFonts w:ascii="Times New Roman" w:eastAsia="Times New Roman" w:hAnsi="Times New Roman" w:cs="Times New Roman"/>
        </w:rPr>
      </w:pPr>
      <w:r w:rsidRPr="00027CE5">
        <w:rPr>
          <w:rFonts w:ascii="Times New Roman" w:eastAsia="Times New Roman" w:hAnsi="Times New Roman" w:cs="Times New Roman"/>
          <w:b/>
        </w:rPr>
        <w:t>12.1.</w:t>
      </w:r>
      <w:r w:rsidRPr="00DF6002">
        <w:rPr>
          <w:rFonts w:ascii="Times New Roman" w:eastAsia="Times New Roman" w:hAnsi="Times New Roman" w:cs="Times New Roman"/>
        </w:rPr>
        <w:t xml:space="preserve"> A szociológia kialakulása, helye a tudományok rendszerében. A szociológia főbb fejlődési irányai, és iskolái. </w:t>
      </w:r>
      <w:r w:rsidRPr="00DF6002">
        <w:rPr>
          <w:rFonts w:ascii="Times New Roman" w:eastAsia="Times New Roman" w:hAnsi="Times New Roman" w:cs="Times New Roman"/>
          <w:i/>
          <w:iCs/>
        </w:rPr>
        <w:t>(</w:t>
      </w:r>
      <w:r w:rsidRPr="00DF6002">
        <w:rPr>
          <w:rFonts w:ascii="Times New Roman" w:eastAsia="Times New Roman" w:hAnsi="Times New Roman" w:cs="Times New Roman"/>
          <w:i/>
          <w:iCs/>
          <w:lang w:val="en-AU"/>
        </w:rPr>
        <w:t>The origins of sociology and its place among the system of sciences. The main directions of development and theoretical concepts in sociology.)</w:t>
      </w:r>
    </w:p>
    <w:p w:rsidR="00DF6002" w:rsidRPr="00DF6002" w:rsidRDefault="00DF6002" w:rsidP="00027CE5">
      <w:pPr>
        <w:widowControl w:val="0"/>
        <w:tabs>
          <w:tab w:val="left" w:pos="993"/>
        </w:tabs>
        <w:spacing w:before="120" w:after="120" w:line="240" w:lineRule="auto"/>
        <w:ind w:left="851" w:hanging="567"/>
        <w:jc w:val="both"/>
        <w:rPr>
          <w:rFonts w:ascii="Times New Roman" w:eastAsia="Times New Roman" w:hAnsi="Times New Roman" w:cs="Times New Roman"/>
          <w:i/>
          <w:iCs/>
          <w:lang w:val="en-AU"/>
        </w:rPr>
      </w:pPr>
      <w:r w:rsidRPr="00027CE5">
        <w:rPr>
          <w:rFonts w:ascii="Times New Roman" w:eastAsia="Times New Roman" w:hAnsi="Times New Roman" w:cs="Times New Roman"/>
          <w:b/>
        </w:rPr>
        <w:t>12.2.</w:t>
      </w:r>
      <w:r w:rsidRPr="00DF6002">
        <w:rPr>
          <w:rFonts w:ascii="Times New Roman" w:eastAsia="Times New Roman" w:hAnsi="Times New Roman" w:cs="Times New Roman"/>
        </w:rPr>
        <w:t xml:space="preserve"> A magyar szociológia kezdetei, napjaink kutatási irányai, teljesítménye. </w:t>
      </w:r>
      <w:r w:rsidRPr="00DF6002">
        <w:rPr>
          <w:rFonts w:ascii="Times New Roman" w:eastAsia="Times New Roman" w:hAnsi="Times New Roman" w:cs="Times New Roman"/>
          <w:i/>
          <w:iCs/>
        </w:rPr>
        <w:t>(</w:t>
      </w:r>
      <w:r w:rsidRPr="00DF6002">
        <w:rPr>
          <w:rFonts w:ascii="Times New Roman" w:eastAsia="Times New Roman" w:hAnsi="Times New Roman" w:cs="Times New Roman"/>
          <w:i/>
          <w:iCs/>
          <w:lang w:val="en-AU"/>
        </w:rPr>
        <w:t>The origins of Hungarian sociology, today’s research directions and accomplishments.)</w:t>
      </w:r>
    </w:p>
    <w:p w:rsidR="00DF6002" w:rsidRPr="00DF6002" w:rsidRDefault="00DF6002" w:rsidP="00027CE5">
      <w:pPr>
        <w:widowControl w:val="0"/>
        <w:tabs>
          <w:tab w:val="left" w:pos="993"/>
        </w:tabs>
        <w:spacing w:before="120" w:after="120" w:line="240" w:lineRule="auto"/>
        <w:ind w:left="851" w:hanging="567"/>
        <w:jc w:val="both"/>
        <w:rPr>
          <w:rFonts w:ascii="Times New Roman" w:eastAsia="Times New Roman" w:hAnsi="Times New Roman" w:cs="Times New Roman"/>
          <w:i/>
          <w:iCs/>
          <w:lang w:val="en-AU"/>
        </w:rPr>
      </w:pPr>
      <w:r w:rsidRPr="00027CE5">
        <w:rPr>
          <w:rFonts w:ascii="Times New Roman" w:eastAsia="Times New Roman" w:hAnsi="Times New Roman" w:cs="Times New Roman"/>
          <w:b/>
        </w:rPr>
        <w:t>12.3.</w:t>
      </w:r>
      <w:r w:rsidRPr="00DF6002">
        <w:rPr>
          <w:rFonts w:ascii="Times New Roman" w:eastAsia="Times New Roman" w:hAnsi="Times New Roman" w:cs="Times New Roman"/>
        </w:rPr>
        <w:t xml:space="preserve"> A szociológia alapítói: Karl Marx, Emile Durkheim. </w:t>
      </w:r>
      <w:r w:rsidRPr="00DF6002">
        <w:rPr>
          <w:rFonts w:ascii="Times New Roman" w:eastAsia="Times New Roman" w:hAnsi="Times New Roman" w:cs="Times New Roman"/>
          <w:i/>
          <w:iCs/>
        </w:rPr>
        <w:t>(</w:t>
      </w:r>
      <w:r w:rsidRPr="00DF6002">
        <w:rPr>
          <w:rFonts w:ascii="Times New Roman" w:eastAsia="Times New Roman" w:hAnsi="Times New Roman" w:cs="Times New Roman"/>
          <w:i/>
          <w:iCs/>
          <w:lang w:val="en-AU"/>
        </w:rPr>
        <w:t>The founders of sociology: Karl Marx, Emile Durkheim.)</w:t>
      </w:r>
    </w:p>
    <w:p w:rsidR="00DF6002" w:rsidRPr="00DF6002" w:rsidRDefault="00DF6002" w:rsidP="00027CE5">
      <w:pPr>
        <w:widowControl w:val="0"/>
        <w:tabs>
          <w:tab w:val="left" w:pos="993"/>
        </w:tabs>
        <w:spacing w:before="120" w:after="120" w:line="240" w:lineRule="auto"/>
        <w:ind w:left="851" w:hanging="567"/>
        <w:jc w:val="both"/>
        <w:rPr>
          <w:rFonts w:ascii="Times New Roman" w:eastAsia="Times New Roman" w:hAnsi="Times New Roman" w:cs="Times New Roman"/>
        </w:rPr>
      </w:pPr>
      <w:r w:rsidRPr="00027CE5">
        <w:rPr>
          <w:rFonts w:ascii="Times New Roman" w:eastAsia="Times New Roman" w:hAnsi="Times New Roman" w:cs="Times New Roman"/>
          <w:b/>
        </w:rPr>
        <w:t>12.4.</w:t>
      </w:r>
      <w:r w:rsidRPr="00DF6002">
        <w:rPr>
          <w:rFonts w:ascii="Times New Roman" w:eastAsia="Times New Roman" w:hAnsi="Times New Roman" w:cs="Times New Roman"/>
        </w:rPr>
        <w:t xml:space="preserve"> A szociológia alapítói: Max Weber. </w:t>
      </w:r>
      <w:r w:rsidRPr="00DF6002">
        <w:rPr>
          <w:rFonts w:ascii="Times New Roman" w:eastAsia="Times New Roman" w:hAnsi="Times New Roman" w:cs="Times New Roman"/>
          <w:i/>
          <w:iCs/>
        </w:rPr>
        <w:t>(</w:t>
      </w:r>
      <w:r w:rsidRPr="00DF6002">
        <w:rPr>
          <w:rFonts w:ascii="Times New Roman" w:eastAsia="Times New Roman" w:hAnsi="Times New Roman" w:cs="Times New Roman"/>
          <w:i/>
          <w:iCs/>
          <w:lang w:val="en-AU"/>
        </w:rPr>
        <w:t>The founders of sociology: Max Weber.)</w:t>
      </w:r>
    </w:p>
    <w:p w:rsidR="00DF6002" w:rsidRPr="00DF6002" w:rsidRDefault="00DF6002" w:rsidP="00027CE5">
      <w:pPr>
        <w:widowControl w:val="0"/>
        <w:tabs>
          <w:tab w:val="left" w:pos="993"/>
        </w:tabs>
        <w:spacing w:before="120" w:after="120" w:line="240" w:lineRule="auto"/>
        <w:ind w:left="851" w:hanging="567"/>
        <w:jc w:val="both"/>
        <w:rPr>
          <w:rFonts w:ascii="Times New Roman" w:eastAsia="Times New Roman" w:hAnsi="Times New Roman" w:cs="Times New Roman"/>
        </w:rPr>
      </w:pPr>
      <w:r w:rsidRPr="00027CE5">
        <w:rPr>
          <w:rFonts w:ascii="Times New Roman" w:eastAsia="Times New Roman" w:hAnsi="Times New Roman" w:cs="Times New Roman"/>
          <w:b/>
        </w:rPr>
        <w:t>12.5.</w:t>
      </w:r>
      <w:r w:rsidRPr="00DF6002">
        <w:rPr>
          <w:rFonts w:ascii="Times New Roman" w:eastAsia="Times New Roman" w:hAnsi="Times New Roman" w:cs="Times New Roman"/>
        </w:rPr>
        <w:t xml:space="preserve"> A szociológiai módszertan alapjai. </w:t>
      </w:r>
      <w:r w:rsidRPr="00DF6002">
        <w:rPr>
          <w:rFonts w:ascii="Times New Roman" w:eastAsia="Times New Roman" w:hAnsi="Times New Roman" w:cs="Times New Roman"/>
          <w:i/>
          <w:iCs/>
        </w:rPr>
        <w:t>(</w:t>
      </w:r>
      <w:r w:rsidRPr="00DF6002">
        <w:rPr>
          <w:rFonts w:ascii="Times New Roman" w:eastAsia="Times New Roman" w:hAnsi="Times New Roman" w:cs="Times New Roman"/>
          <w:i/>
          <w:iCs/>
          <w:lang w:val="en-AU"/>
        </w:rPr>
        <w:t>Methodological principles of sociology.)</w:t>
      </w:r>
    </w:p>
    <w:p w:rsidR="00DF6002" w:rsidRPr="00DF6002" w:rsidRDefault="00DF6002" w:rsidP="00027CE5">
      <w:pPr>
        <w:widowControl w:val="0"/>
        <w:tabs>
          <w:tab w:val="left" w:pos="993"/>
        </w:tabs>
        <w:spacing w:before="120" w:after="120" w:line="240" w:lineRule="auto"/>
        <w:ind w:left="851" w:hanging="567"/>
        <w:jc w:val="both"/>
        <w:rPr>
          <w:rFonts w:ascii="Times New Roman" w:eastAsia="Times New Roman" w:hAnsi="Times New Roman" w:cs="Times New Roman"/>
        </w:rPr>
      </w:pPr>
      <w:r w:rsidRPr="00027CE5">
        <w:rPr>
          <w:rFonts w:ascii="Times New Roman" w:eastAsia="Times New Roman" w:hAnsi="Times New Roman" w:cs="Times New Roman"/>
          <w:b/>
        </w:rPr>
        <w:t>12.6.</w:t>
      </w:r>
      <w:r w:rsidRPr="00DF6002">
        <w:rPr>
          <w:rFonts w:ascii="Times New Roman" w:eastAsia="Times New Roman" w:hAnsi="Times New Roman" w:cs="Times New Roman"/>
        </w:rPr>
        <w:t xml:space="preserve"> A társadalmi struktúra és rétegződés alapvető fogalmai. A nyugati társadalmak rétegződése. </w:t>
      </w:r>
      <w:r w:rsidRPr="00DF6002">
        <w:rPr>
          <w:rFonts w:ascii="Times New Roman" w:eastAsia="Times New Roman" w:hAnsi="Times New Roman" w:cs="Times New Roman"/>
          <w:i/>
          <w:iCs/>
        </w:rPr>
        <w:t>(</w:t>
      </w:r>
      <w:r w:rsidRPr="00DF6002">
        <w:rPr>
          <w:rFonts w:ascii="Times New Roman" w:eastAsia="Times New Roman" w:hAnsi="Times New Roman" w:cs="Times New Roman"/>
          <w:i/>
          <w:iCs/>
          <w:lang w:val="en-AU"/>
        </w:rPr>
        <w:t>Basic terms of social structure and its hierarchy. The hierarchy of Western societies.)</w:t>
      </w:r>
    </w:p>
    <w:p w:rsidR="00DF6002" w:rsidRPr="00DF6002" w:rsidRDefault="00DF6002" w:rsidP="00027CE5">
      <w:pPr>
        <w:widowControl w:val="0"/>
        <w:tabs>
          <w:tab w:val="left" w:pos="993"/>
        </w:tabs>
        <w:spacing w:before="120" w:after="120" w:line="240" w:lineRule="auto"/>
        <w:ind w:left="851" w:hanging="567"/>
        <w:jc w:val="both"/>
        <w:rPr>
          <w:rFonts w:ascii="Times New Roman" w:eastAsia="Times New Roman" w:hAnsi="Times New Roman" w:cs="Times New Roman"/>
        </w:rPr>
      </w:pPr>
      <w:r w:rsidRPr="00027CE5">
        <w:rPr>
          <w:rFonts w:ascii="Times New Roman" w:eastAsia="Times New Roman" w:hAnsi="Times New Roman" w:cs="Times New Roman"/>
          <w:b/>
        </w:rPr>
        <w:t>12.7.</w:t>
      </w:r>
      <w:r w:rsidRPr="00DF6002">
        <w:rPr>
          <w:rFonts w:ascii="Times New Roman" w:eastAsia="Times New Roman" w:hAnsi="Times New Roman" w:cs="Times New Roman"/>
        </w:rPr>
        <w:t xml:space="preserve"> A magyar társadalom szerkezetének történelmi meghatározottsága. Empirikus kutatások a magyar társadalom szerkezetéről. </w:t>
      </w:r>
      <w:r w:rsidRPr="00DF6002">
        <w:rPr>
          <w:rFonts w:ascii="Times New Roman" w:eastAsia="Times New Roman" w:hAnsi="Times New Roman" w:cs="Times New Roman"/>
          <w:i/>
          <w:iCs/>
        </w:rPr>
        <w:t>(</w:t>
      </w:r>
      <w:r w:rsidRPr="00DF6002">
        <w:rPr>
          <w:rFonts w:ascii="Times New Roman" w:eastAsia="Times New Roman" w:hAnsi="Times New Roman" w:cs="Times New Roman"/>
          <w:i/>
          <w:iCs/>
          <w:lang w:val="en-AU"/>
        </w:rPr>
        <w:t>Defining historical aspects of the structure of Hungarian society. Empirical studies on the structure of Hungarian society.)</w:t>
      </w:r>
    </w:p>
    <w:p w:rsidR="00DF6002" w:rsidRPr="00DF6002" w:rsidRDefault="00DF6002" w:rsidP="00027CE5">
      <w:pPr>
        <w:widowControl w:val="0"/>
        <w:tabs>
          <w:tab w:val="left" w:pos="993"/>
        </w:tabs>
        <w:spacing w:before="120" w:after="120" w:line="240" w:lineRule="auto"/>
        <w:ind w:left="851" w:hanging="567"/>
        <w:jc w:val="both"/>
        <w:rPr>
          <w:rFonts w:ascii="Times New Roman" w:eastAsia="Times New Roman" w:hAnsi="Times New Roman" w:cs="Times New Roman"/>
        </w:rPr>
      </w:pPr>
      <w:r w:rsidRPr="00027CE5">
        <w:rPr>
          <w:rFonts w:ascii="Times New Roman" w:eastAsia="Times New Roman" w:hAnsi="Times New Roman" w:cs="Times New Roman"/>
          <w:b/>
        </w:rPr>
        <w:t>12.8.</w:t>
      </w:r>
      <w:r w:rsidRPr="00DF6002">
        <w:rPr>
          <w:rFonts w:ascii="Times New Roman" w:eastAsia="Times New Roman" w:hAnsi="Times New Roman" w:cs="Times New Roman"/>
        </w:rPr>
        <w:t xml:space="preserve"> A társadalmi mobilitás szerepe, különféle formái, és jelentésük. Mobilitási csatornák. Demográfiai alapfogalmak, kiemelt demográfiai csoportok. </w:t>
      </w:r>
      <w:r w:rsidRPr="00DF6002">
        <w:rPr>
          <w:rFonts w:ascii="Times New Roman" w:eastAsia="Times New Roman" w:hAnsi="Times New Roman" w:cs="Times New Roman"/>
          <w:i/>
          <w:iCs/>
        </w:rPr>
        <w:t>(</w:t>
      </w:r>
      <w:r w:rsidRPr="00DF6002">
        <w:rPr>
          <w:rFonts w:ascii="Times New Roman" w:eastAsia="Times New Roman" w:hAnsi="Times New Roman" w:cs="Times New Roman"/>
          <w:i/>
          <w:iCs/>
          <w:lang w:val="en-AU"/>
        </w:rPr>
        <w:t>The role, forms and impacts of social mobility. Means of mobility. Basic principles of demography, important demographical groups.)</w:t>
      </w:r>
    </w:p>
    <w:p w:rsidR="00DF6002" w:rsidRPr="00DF6002" w:rsidRDefault="00DF6002" w:rsidP="00027CE5">
      <w:pPr>
        <w:widowControl w:val="0"/>
        <w:tabs>
          <w:tab w:val="left" w:pos="993"/>
        </w:tabs>
        <w:spacing w:before="120" w:after="120" w:line="240" w:lineRule="auto"/>
        <w:ind w:left="851" w:hanging="567"/>
        <w:jc w:val="both"/>
        <w:rPr>
          <w:rFonts w:ascii="Times New Roman" w:eastAsia="Times New Roman" w:hAnsi="Times New Roman" w:cs="Times New Roman"/>
          <w:i/>
          <w:iCs/>
          <w:lang w:val="en-AU"/>
        </w:rPr>
      </w:pPr>
      <w:r w:rsidRPr="00027CE5">
        <w:rPr>
          <w:rFonts w:ascii="Times New Roman" w:eastAsia="Times New Roman" w:hAnsi="Times New Roman" w:cs="Times New Roman"/>
          <w:b/>
        </w:rPr>
        <w:t>12.9.</w:t>
      </w:r>
      <w:r w:rsidRPr="00DF6002">
        <w:rPr>
          <w:rFonts w:ascii="Times New Roman" w:eastAsia="Times New Roman" w:hAnsi="Times New Roman" w:cs="Times New Roman"/>
        </w:rPr>
        <w:t xml:space="preserve"> Tudásszociológia, az értelmiség szerepe a társadalomban. </w:t>
      </w:r>
      <w:r w:rsidRPr="00DF6002">
        <w:rPr>
          <w:rFonts w:ascii="Times New Roman" w:eastAsia="Times New Roman" w:hAnsi="Times New Roman" w:cs="Times New Roman"/>
          <w:i/>
          <w:iCs/>
        </w:rPr>
        <w:t>(</w:t>
      </w:r>
      <w:r w:rsidRPr="00DF6002">
        <w:rPr>
          <w:rFonts w:ascii="Times New Roman" w:eastAsia="Times New Roman" w:hAnsi="Times New Roman" w:cs="Times New Roman"/>
          <w:i/>
          <w:iCs/>
          <w:lang w:val="en-AU"/>
        </w:rPr>
        <w:t>Sociology of knowledge, the role of intelligence in society.)</w:t>
      </w:r>
    </w:p>
    <w:p w:rsidR="00DF6002" w:rsidRPr="00DF6002" w:rsidRDefault="00DF6002" w:rsidP="00027CE5">
      <w:pPr>
        <w:widowControl w:val="0"/>
        <w:tabs>
          <w:tab w:val="left" w:pos="993"/>
        </w:tabs>
        <w:spacing w:before="120" w:after="120" w:line="240" w:lineRule="auto"/>
        <w:ind w:left="851" w:hanging="567"/>
        <w:jc w:val="both"/>
        <w:rPr>
          <w:rFonts w:ascii="Times New Roman" w:eastAsia="Times New Roman" w:hAnsi="Times New Roman" w:cs="Times New Roman"/>
        </w:rPr>
      </w:pPr>
      <w:r w:rsidRPr="00027CE5">
        <w:rPr>
          <w:rFonts w:ascii="Times New Roman" w:eastAsia="Times New Roman" w:hAnsi="Times New Roman" w:cs="Times New Roman"/>
          <w:b/>
        </w:rPr>
        <w:t>12.10.</w:t>
      </w:r>
      <w:r w:rsidRPr="00DF6002">
        <w:rPr>
          <w:rFonts w:ascii="Times New Roman" w:eastAsia="Times New Roman" w:hAnsi="Times New Roman" w:cs="Times New Roman"/>
        </w:rPr>
        <w:t xml:space="preserve"> A migráció szociológiai vonásai. </w:t>
      </w:r>
      <w:r w:rsidRPr="00DF6002">
        <w:rPr>
          <w:rFonts w:ascii="Times New Roman" w:eastAsia="Times New Roman" w:hAnsi="Times New Roman" w:cs="Times New Roman"/>
          <w:i/>
          <w:iCs/>
        </w:rPr>
        <w:t>(</w:t>
      </w:r>
      <w:r w:rsidRPr="00DF6002">
        <w:rPr>
          <w:rFonts w:ascii="Times New Roman" w:eastAsia="Times New Roman" w:hAnsi="Times New Roman" w:cs="Times New Roman"/>
          <w:i/>
          <w:iCs/>
          <w:lang w:val="en-AU"/>
        </w:rPr>
        <w:t>The sociological aspects of migration.</w:t>
      </w:r>
      <w:r w:rsidRPr="00DF6002">
        <w:rPr>
          <w:rFonts w:ascii="Times New Roman" w:eastAsia="Times New Roman" w:hAnsi="Times New Roman" w:cs="Times New Roman"/>
          <w:i/>
          <w:iCs/>
        </w:rPr>
        <w:t>)</w:t>
      </w:r>
    </w:p>
    <w:p w:rsidR="00DF6002" w:rsidRPr="00DF6002" w:rsidRDefault="00DF6002" w:rsidP="00027CE5">
      <w:pPr>
        <w:widowControl w:val="0"/>
        <w:tabs>
          <w:tab w:val="left" w:pos="993"/>
        </w:tabs>
        <w:spacing w:before="120" w:after="120" w:line="240" w:lineRule="auto"/>
        <w:ind w:left="851" w:hanging="567"/>
        <w:jc w:val="both"/>
        <w:rPr>
          <w:rFonts w:ascii="Times New Roman" w:eastAsia="Times New Roman" w:hAnsi="Times New Roman" w:cs="Times New Roman"/>
          <w:i/>
          <w:iCs/>
        </w:rPr>
      </w:pPr>
      <w:r w:rsidRPr="00027CE5">
        <w:rPr>
          <w:rFonts w:ascii="Times New Roman" w:eastAsia="Times New Roman" w:hAnsi="Times New Roman" w:cs="Times New Roman"/>
          <w:b/>
        </w:rPr>
        <w:t>12.11.</w:t>
      </w:r>
      <w:r w:rsidRPr="00DF6002">
        <w:rPr>
          <w:rFonts w:ascii="Times New Roman" w:eastAsia="Times New Roman" w:hAnsi="Times New Roman" w:cs="Times New Roman"/>
        </w:rPr>
        <w:t xml:space="preserve"> A biztonságiasítás szociológiai aspektusai. </w:t>
      </w:r>
      <w:r w:rsidRPr="00DF6002">
        <w:rPr>
          <w:rFonts w:ascii="Times New Roman" w:eastAsia="Times New Roman" w:hAnsi="Times New Roman" w:cs="Times New Roman"/>
          <w:i/>
          <w:iCs/>
        </w:rPr>
        <w:t>(</w:t>
      </w:r>
      <w:r w:rsidRPr="00DF6002">
        <w:rPr>
          <w:rFonts w:ascii="Times New Roman" w:eastAsia="Times New Roman" w:hAnsi="Times New Roman" w:cs="Times New Roman"/>
          <w:i/>
          <w:iCs/>
          <w:lang w:val="en-AU"/>
        </w:rPr>
        <w:t>Sociological aspects of providing security.)</w:t>
      </w:r>
    </w:p>
    <w:p w:rsidR="00DF6002" w:rsidRPr="00DF6002" w:rsidRDefault="00DF6002" w:rsidP="00027CE5">
      <w:pPr>
        <w:widowControl w:val="0"/>
        <w:tabs>
          <w:tab w:val="left" w:pos="993"/>
        </w:tabs>
        <w:spacing w:before="120" w:after="120" w:line="240" w:lineRule="auto"/>
        <w:ind w:left="851" w:hanging="567"/>
        <w:jc w:val="both"/>
        <w:rPr>
          <w:rFonts w:ascii="Times New Roman" w:eastAsia="Times New Roman" w:hAnsi="Times New Roman" w:cs="Times New Roman"/>
          <w:i/>
          <w:iCs/>
          <w:lang w:val="en-AU"/>
        </w:rPr>
      </w:pPr>
      <w:r w:rsidRPr="00027CE5">
        <w:rPr>
          <w:rFonts w:ascii="Times New Roman" w:eastAsia="Times New Roman" w:hAnsi="Times New Roman" w:cs="Times New Roman"/>
          <w:b/>
        </w:rPr>
        <w:t>12.12.</w:t>
      </w:r>
      <w:r w:rsidRPr="00DF6002">
        <w:rPr>
          <w:rFonts w:ascii="Times New Roman" w:eastAsia="Times New Roman" w:hAnsi="Times New Roman" w:cs="Times New Roman"/>
        </w:rPr>
        <w:t xml:space="preserve"> A rendvédelmi hivatások pozíciói a foglalkozások presztízs hierarchiájában. </w:t>
      </w:r>
      <w:r w:rsidRPr="00DF6002">
        <w:rPr>
          <w:rFonts w:ascii="Times New Roman" w:eastAsia="Times New Roman" w:hAnsi="Times New Roman" w:cs="Times New Roman"/>
          <w:i/>
          <w:iCs/>
        </w:rPr>
        <w:t>(</w:t>
      </w:r>
      <w:r w:rsidRPr="00DF6002">
        <w:rPr>
          <w:rFonts w:ascii="Times New Roman" w:eastAsia="Times New Roman" w:hAnsi="Times New Roman" w:cs="Times New Roman"/>
          <w:i/>
          <w:iCs/>
          <w:lang w:val="en-AU"/>
        </w:rPr>
        <w:t>The status of law enforcement jobs in the prestige hierarchy of employment.)</w:t>
      </w:r>
    </w:p>
    <w:p w:rsidR="00DF6002" w:rsidRPr="00DF6002" w:rsidRDefault="00DF6002" w:rsidP="00027CE5">
      <w:pPr>
        <w:widowControl w:val="0"/>
        <w:tabs>
          <w:tab w:val="left" w:pos="993"/>
        </w:tabs>
        <w:spacing w:before="120" w:after="120" w:line="240" w:lineRule="auto"/>
        <w:ind w:left="851" w:hanging="567"/>
        <w:jc w:val="both"/>
        <w:rPr>
          <w:rFonts w:ascii="Times New Roman" w:eastAsia="Times New Roman" w:hAnsi="Times New Roman" w:cs="Times New Roman"/>
        </w:rPr>
      </w:pPr>
      <w:r w:rsidRPr="00027CE5">
        <w:rPr>
          <w:rFonts w:ascii="Times New Roman" w:eastAsia="Times New Roman" w:hAnsi="Times New Roman" w:cs="Times New Roman"/>
          <w:b/>
        </w:rPr>
        <w:t>12.13.</w:t>
      </w:r>
      <w:r w:rsidRPr="00DF6002">
        <w:rPr>
          <w:rFonts w:ascii="Times New Roman" w:eastAsia="Times New Roman" w:hAnsi="Times New Roman" w:cs="Times New Roman"/>
        </w:rPr>
        <w:t xml:space="preserve"> A rendvédelmi szervek elhelyezkedése a társadalom intézményi, szervezeti bizalom struktúrájában. </w:t>
      </w:r>
      <w:r w:rsidRPr="00DF6002">
        <w:rPr>
          <w:rFonts w:ascii="Times New Roman" w:eastAsia="Times New Roman" w:hAnsi="Times New Roman" w:cs="Times New Roman"/>
          <w:i/>
          <w:iCs/>
        </w:rPr>
        <w:t>(</w:t>
      </w:r>
      <w:r w:rsidRPr="00DF6002">
        <w:rPr>
          <w:rFonts w:ascii="Times New Roman" w:eastAsia="Times New Roman" w:hAnsi="Times New Roman" w:cs="Times New Roman"/>
          <w:i/>
          <w:iCs/>
          <w:lang w:val="en-AU"/>
        </w:rPr>
        <w:t>The place of law enforcement organizations among the institutional and organizational trust structure of societies.</w:t>
      </w:r>
      <w:r w:rsidRPr="00DF6002">
        <w:rPr>
          <w:rFonts w:ascii="Times New Roman" w:eastAsia="Times New Roman" w:hAnsi="Times New Roman" w:cs="Times New Roman"/>
          <w:i/>
          <w:iCs/>
        </w:rPr>
        <w:t>)</w:t>
      </w:r>
    </w:p>
    <w:p w:rsidR="00DF6002" w:rsidRPr="00DF6002" w:rsidRDefault="00DF6002" w:rsidP="00027CE5">
      <w:pPr>
        <w:widowControl w:val="0"/>
        <w:tabs>
          <w:tab w:val="left" w:pos="993"/>
        </w:tabs>
        <w:spacing w:before="120" w:after="120" w:line="240" w:lineRule="auto"/>
        <w:ind w:left="851" w:hanging="567"/>
        <w:jc w:val="both"/>
        <w:rPr>
          <w:rFonts w:ascii="Times New Roman" w:eastAsia="Times New Roman" w:hAnsi="Times New Roman" w:cs="Times New Roman"/>
          <w:i/>
          <w:iCs/>
        </w:rPr>
      </w:pPr>
      <w:r w:rsidRPr="00027CE5">
        <w:rPr>
          <w:rFonts w:ascii="Times New Roman" w:eastAsia="Times New Roman" w:hAnsi="Times New Roman" w:cs="Times New Roman"/>
          <w:b/>
        </w:rPr>
        <w:t>12.14</w:t>
      </w:r>
      <w:r w:rsidRPr="00DF6002">
        <w:rPr>
          <w:rFonts w:ascii="Times New Roman" w:eastAsia="Times New Roman" w:hAnsi="Times New Roman" w:cs="Times New Roman"/>
        </w:rPr>
        <w:t xml:space="preserve"> Aktuális kutatási eredmények feldolgozása: depriváció, szegénység, munkanélküliség. </w:t>
      </w:r>
      <w:r w:rsidRPr="00DF6002">
        <w:rPr>
          <w:rFonts w:ascii="Times New Roman" w:eastAsia="Times New Roman" w:hAnsi="Times New Roman" w:cs="Times New Roman"/>
          <w:i/>
          <w:iCs/>
        </w:rPr>
        <w:t xml:space="preserve">(The </w:t>
      </w:r>
      <w:r w:rsidRPr="00DF6002">
        <w:rPr>
          <w:rFonts w:ascii="Times New Roman" w:eastAsia="Times New Roman" w:hAnsi="Times New Roman" w:cs="Times New Roman"/>
          <w:i/>
          <w:iCs/>
          <w:lang w:val="en-AU"/>
        </w:rPr>
        <w:t>elaboration of the current results of studies: deprivation, poverty, unemployment.</w:t>
      </w:r>
      <w:r w:rsidRPr="00DF6002">
        <w:rPr>
          <w:rFonts w:ascii="Times New Roman" w:eastAsia="Times New Roman" w:hAnsi="Times New Roman" w:cs="Times New Roman"/>
          <w:i/>
          <w:iCs/>
        </w:rPr>
        <w:t>)</w:t>
      </w:r>
    </w:p>
    <w:p w:rsidR="00DF6002" w:rsidRPr="00DF6002" w:rsidRDefault="00DF6002" w:rsidP="00027CE5">
      <w:pPr>
        <w:widowControl w:val="0"/>
        <w:tabs>
          <w:tab w:val="left" w:pos="993"/>
        </w:tabs>
        <w:spacing w:before="120" w:after="120" w:line="240" w:lineRule="auto"/>
        <w:ind w:left="851" w:hanging="567"/>
        <w:jc w:val="both"/>
        <w:rPr>
          <w:rFonts w:ascii="Times New Roman" w:eastAsia="Times New Roman" w:hAnsi="Times New Roman" w:cs="Times New Roman"/>
          <w:i/>
          <w:iCs/>
        </w:rPr>
      </w:pPr>
      <w:r w:rsidRPr="00027CE5">
        <w:rPr>
          <w:rFonts w:ascii="Times New Roman" w:eastAsia="Times New Roman" w:hAnsi="Times New Roman" w:cs="Times New Roman"/>
          <w:b/>
        </w:rPr>
        <w:t>12.15</w:t>
      </w:r>
      <w:r w:rsidRPr="00DF6002">
        <w:rPr>
          <w:rFonts w:ascii="Times New Roman" w:eastAsia="Times New Roman" w:hAnsi="Times New Roman" w:cs="Times New Roman"/>
        </w:rPr>
        <w:t xml:space="preserve"> Aktuális kutatási eredmények feldolgozása: lakáshelyzet, oktatás. </w:t>
      </w:r>
      <w:r w:rsidRPr="00DF6002">
        <w:rPr>
          <w:rFonts w:ascii="Times New Roman" w:eastAsia="Times New Roman" w:hAnsi="Times New Roman" w:cs="Times New Roman"/>
          <w:i/>
          <w:iCs/>
        </w:rPr>
        <w:t>(</w:t>
      </w:r>
      <w:r w:rsidRPr="00DF6002">
        <w:rPr>
          <w:rFonts w:ascii="Times New Roman" w:eastAsia="Times New Roman" w:hAnsi="Times New Roman" w:cs="Times New Roman"/>
          <w:i/>
          <w:iCs/>
          <w:lang w:val="en-AU"/>
        </w:rPr>
        <w:t>The elaboration of the current results of studies: housing, education.)</w:t>
      </w:r>
    </w:p>
    <w:p w:rsidR="00DF6002" w:rsidRPr="00DF6002" w:rsidRDefault="00DF6002" w:rsidP="008B31E6">
      <w:pPr>
        <w:widowControl w:val="0"/>
        <w:numPr>
          <w:ilvl w:val="0"/>
          <w:numId w:val="16"/>
        </w:numPr>
        <w:tabs>
          <w:tab w:val="clear" w:pos="720"/>
          <w:tab w:val="left" w:pos="993"/>
          <w:tab w:val="num" w:pos="2069"/>
        </w:tabs>
        <w:spacing w:before="120" w:after="120" w:line="240" w:lineRule="auto"/>
        <w:ind w:left="426" w:hanging="143"/>
        <w:jc w:val="both"/>
        <w:rPr>
          <w:rFonts w:ascii="Times New Roman" w:eastAsia="Times New Roman" w:hAnsi="Times New Roman" w:cs="Times New Roman"/>
          <w:bCs/>
        </w:rPr>
      </w:pPr>
      <w:r w:rsidRPr="00DF6002">
        <w:rPr>
          <w:rFonts w:ascii="Times New Roman" w:eastAsia="Times New Roman" w:hAnsi="Times New Roman" w:cs="Times New Roman"/>
          <w:b/>
          <w:bCs/>
        </w:rPr>
        <w:t>A tantárgy meghirdetésének gyakorisága/a tantervben történő félévi elhelyezkedése:</w:t>
      </w:r>
      <w:r w:rsidRPr="00DF6002">
        <w:rPr>
          <w:rFonts w:ascii="Times New Roman" w:eastAsia="Times New Roman" w:hAnsi="Times New Roman" w:cs="Times New Roman"/>
          <w:bCs/>
        </w:rPr>
        <w:t xml:space="preserve"> </w:t>
      </w:r>
    </w:p>
    <w:p w:rsidR="00DF6002" w:rsidRPr="00DF6002" w:rsidRDefault="00DF6002" w:rsidP="00DF6002">
      <w:pPr>
        <w:widowControl w:val="0"/>
        <w:spacing w:before="120" w:after="120" w:line="240" w:lineRule="auto"/>
        <w:ind w:left="426"/>
        <w:jc w:val="both"/>
        <w:rPr>
          <w:rFonts w:ascii="Times New Roman" w:eastAsia="Times New Roman" w:hAnsi="Times New Roman" w:cs="Times New Roman"/>
          <w:bCs/>
        </w:rPr>
      </w:pPr>
      <w:r w:rsidRPr="00DF6002">
        <w:rPr>
          <w:rFonts w:ascii="Times New Roman" w:eastAsia="Times New Roman" w:hAnsi="Times New Roman" w:cs="Times New Roman"/>
          <w:bCs/>
        </w:rPr>
        <w:t>évente / 1. félév</w:t>
      </w:r>
    </w:p>
    <w:p w:rsidR="00DF6002" w:rsidRPr="00DF6002" w:rsidRDefault="00DF6002" w:rsidP="008B31E6">
      <w:pPr>
        <w:widowControl w:val="0"/>
        <w:numPr>
          <w:ilvl w:val="0"/>
          <w:numId w:val="16"/>
        </w:numPr>
        <w:tabs>
          <w:tab w:val="num" w:pos="360"/>
        </w:tabs>
        <w:spacing w:before="120" w:after="120" w:line="240" w:lineRule="auto"/>
        <w:ind w:left="426" w:hanging="142"/>
        <w:jc w:val="both"/>
        <w:rPr>
          <w:rFonts w:ascii="Times New Roman" w:eastAsia="Times New Roman" w:hAnsi="Times New Roman" w:cs="Times New Roman"/>
          <w:bCs/>
        </w:rPr>
      </w:pPr>
      <w:r w:rsidRPr="00DF6002">
        <w:rPr>
          <w:rFonts w:ascii="Times New Roman" w:eastAsia="Times New Roman" w:hAnsi="Times New Roman" w:cs="Times New Roman"/>
          <w:b/>
          <w:bCs/>
        </w:rPr>
        <w:t>A tanórákon való részvétel követelményei, az elfogadható hiányzások mértéke, a távolmaradás pótlásának lehetősége:</w:t>
      </w:r>
      <w:r w:rsidRPr="00DF6002">
        <w:rPr>
          <w:rFonts w:ascii="Times New Roman" w:eastAsia="Times New Roman" w:hAnsi="Times New Roman" w:cs="Times New Roman"/>
          <w:bCs/>
        </w:rPr>
        <w:t xml:space="preserve"> </w:t>
      </w:r>
    </w:p>
    <w:p w:rsidR="00DF6002" w:rsidRPr="00DF6002" w:rsidRDefault="00DF6002" w:rsidP="00DF6002">
      <w:pPr>
        <w:widowControl w:val="0"/>
        <w:spacing w:before="120" w:after="120" w:line="240" w:lineRule="auto"/>
        <w:ind w:left="426"/>
        <w:jc w:val="both"/>
        <w:rPr>
          <w:rFonts w:ascii="Times New Roman" w:eastAsia="Times New Roman" w:hAnsi="Times New Roman" w:cs="Times New Roman"/>
          <w:bCs/>
        </w:rPr>
      </w:pPr>
      <w:r w:rsidRPr="00DF6002">
        <w:rPr>
          <w:rFonts w:ascii="Times New Roman" w:eastAsia="Times New Roman" w:hAnsi="Times New Roman" w:cs="Times New Roman"/>
          <w:bCs/>
        </w:rPr>
        <w:t xml:space="preserve">A hallgató köteles a foglalkozások legalább 75%-án részt venni. Amennyiben a hallgató az elfogadható hiányzások mértékét túllépi, a részvétel az oktatóval való egyeztetetés alapján meghatározott témában beadott, legalább elégségesre értékelt, házidolgozattal pótolható. </w:t>
      </w:r>
    </w:p>
    <w:p w:rsidR="00DF6002" w:rsidRPr="00DF6002" w:rsidRDefault="00DF6002" w:rsidP="008B31E6">
      <w:pPr>
        <w:pStyle w:val="Listaszerbekezds"/>
        <w:widowControl w:val="0"/>
        <w:numPr>
          <w:ilvl w:val="0"/>
          <w:numId w:val="16"/>
        </w:numPr>
        <w:spacing w:before="120" w:after="120" w:line="240" w:lineRule="auto"/>
        <w:ind w:left="426" w:hanging="142"/>
        <w:jc w:val="both"/>
        <w:rPr>
          <w:rFonts w:ascii="Times New Roman" w:eastAsia="Times New Roman" w:hAnsi="Times New Roman" w:cs="Times New Roman"/>
          <w:bCs/>
        </w:rPr>
      </w:pPr>
      <w:r w:rsidRPr="00DF6002">
        <w:rPr>
          <w:rFonts w:ascii="Times New Roman" w:eastAsia="Times New Roman" w:hAnsi="Times New Roman" w:cs="Times New Roman"/>
          <w:b/>
        </w:rPr>
        <w:t>Félévközi feladatok, ismeretek ellenőrzésének rendje:</w:t>
      </w:r>
    </w:p>
    <w:p w:rsidR="00DF6002" w:rsidRPr="00DF6002" w:rsidRDefault="00DF6002" w:rsidP="00DF6002">
      <w:pPr>
        <w:widowControl w:val="0"/>
        <w:tabs>
          <w:tab w:val="left" w:pos="993"/>
          <w:tab w:val="num" w:pos="2069"/>
        </w:tabs>
        <w:spacing w:before="120" w:after="120" w:line="240" w:lineRule="auto"/>
        <w:ind w:left="426"/>
        <w:jc w:val="both"/>
        <w:rPr>
          <w:rFonts w:ascii="Times New Roman" w:eastAsia="Times New Roman" w:hAnsi="Times New Roman" w:cs="Times New Roman"/>
          <w:bCs/>
        </w:rPr>
      </w:pPr>
      <w:r w:rsidRPr="00DF6002">
        <w:rPr>
          <w:rFonts w:ascii="Times New Roman" w:eastAsia="Times New Roman" w:hAnsi="Times New Roman" w:cs="Times New Roman"/>
          <w:bCs/>
        </w:rPr>
        <w:t xml:space="preserve">A </w:t>
      </w:r>
      <w:bookmarkStart w:id="50" w:name="_Hlk34122390"/>
      <w:r w:rsidRPr="00DF6002">
        <w:rPr>
          <w:rFonts w:ascii="Times New Roman" w:eastAsia="Times New Roman" w:hAnsi="Times New Roman" w:cs="Times New Roman"/>
          <w:bCs/>
        </w:rPr>
        <w:t>hallgató a félév során két zárthelyi dolgozatot ír. Az első zárthelyi dolgozatra a 7. foglalkozáson kerül sor, amelyeknek kérdései az 1–6. foglalkozások anyagából tevődnek össze:</w:t>
      </w:r>
      <w:bookmarkEnd w:id="50"/>
      <w:r w:rsidRPr="00DF6002">
        <w:rPr>
          <w:rFonts w:ascii="Times New Roman" w:eastAsia="Times New Roman" w:hAnsi="Times New Roman" w:cs="Times New Roman"/>
          <w:bCs/>
        </w:rPr>
        <w:t xml:space="preserve"> a </w:t>
      </w:r>
      <w:r w:rsidRPr="00DF6002">
        <w:rPr>
          <w:rFonts w:ascii="Times New Roman" w:eastAsia="Times New Roman" w:hAnsi="Times New Roman" w:cs="Times New Roman"/>
          <w:bCs/>
        </w:rPr>
        <w:lastRenderedPageBreak/>
        <w:t>szociológia tárgya, fogalma, emberképe; a konszenzuselmélet és a konfliktuselmélet főbb jellemzői; a társadalmi osztály jellemzői, az elidegenedés, a gondolkodás társadalmi és gazdasági meghatározottsága; a kollektív tudat, a mechanikus és az organikus szolidaritás; a cselekvés típusai, a hatalom, az uralom típusai; a kvalitatív és a kvantitatív módszerek; a rétegződés jellemzői. A második zárthelyi dolgozatra a 14. foglalkozáson kerül sor, amelyeknek kérdései a 7–13. foglalkozások anyagából tevődnek össze: a magyar társadalom szerkezete a két világháború között, az államszocialista rendszerben és napjainkban; a vertikális, a horizontális, az intergenerációs és az intragenerációs mobilitási formák; értelmiség felfogások; a migráció főbb társadalmi vonásai; a biztonságiasítás szociológiai aspektusai; a rendvédelmi hivatások foglalkozási presztízsét meghatározó tényezők; a rendvédelmi szervek helyzetét a társadalom bizalom struktúrájában meghatározó tényezők.</w:t>
      </w:r>
    </w:p>
    <w:p w:rsidR="00DF6002" w:rsidRPr="00DF6002" w:rsidRDefault="00DF6002" w:rsidP="00DF6002">
      <w:pPr>
        <w:widowControl w:val="0"/>
        <w:tabs>
          <w:tab w:val="left" w:pos="993"/>
          <w:tab w:val="num" w:pos="2069"/>
        </w:tabs>
        <w:spacing w:before="120" w:after="120" w:line="240" w:lineRule="auto"/>
        <w:ind w:left="426"/>
        <w:jc w:val="both"/>
        <w:rPr>
          <w:rFonts w:ascii="Times New Roman" w:eastAsia="Times New Roman" w:hAnsi="Times New Roman" w:cs="Times New Roman"/>
          <w:b/>
        </w:rPr>
      </w:pPr>
      <w:r w:rsidRPr="00DF6002">
        <w:rPr>
          <w:rFonts w:ascii="Times New Roman" w:eastAsia="Times New Roman" w:hAnsi="Times New Roman" w:cs="Times New Roman"/>
        </w:rPr>
        <w:t>A zárthelyi dolgozatok értékelése a dolgozatok összesített pontszáma alapján ötfokozatú skálán történik, 50% alatt elégtelen (1), 50–61% elégséges (2), 62–74% közepes (3), 75–87% jó (4), 88–100% jeles (5). A két zárthelyi dolgozatra kapott érdemjegy számtani átlaga határozza meg az évközi értékelést, amely ötfokozatú.</w:t>
      </w:r>
    </w:p>
    <w:p w:rsidR="00DF6002" w:rsidRPr="00DF6002" w:rsidRDefault="00DF6002" w:rsidP="00DF6002">
      <w:pPr>
        <w:widowControl w:val="0"/>
        <w:spacing w:before="120" w:after="120" w:line="240" w:lineRule="auto"/>
        <w:ind w:left="426"/>
        <w:jc w:val="both"/>
        <w:rPr>
          <w:rFonts w:ascii="Times New Roman" w:eastAsia="Times New Roman" w:hAnsi="Times New Roman" w:cs="Times New Roman"/>
          <w:bCs/>
          <w:highlight w:val="yellow"/>
        </w:rPr>
      </w:pPr>
      <w:r w:rsidRPr="00DF6002">
        <w:rPr>
          <w:rFonts w:ascii="Times New Roman" w:eastAsia="Times New Roman" w:hAnsi="Times New Roman" w:cs="Times New Roman"/>
          <w:bCs/>
        </w:rPr>
        <w:t xml:space="preserve">A félévközi feladatok pótlása, kijavítása a szorgalmi időszak végéig legfeljebb két alkalommal lehetséges, az oktatóval egyeztett időpontban. </w:t>
      </w:r>
    </w:p>
    <w:p w:rsidR="00DF6002" w:rsidRPr="00DF6002" w:rsidRDefault="00DF6002" w:rsidP="008B31E6">
      <w:pPr>
        <w:widowControl w:val="0"/>
        <w:numPr>
          <w:ilvl w:val="0"/>
          <w:numId w:val="16"/>
        </w:numPr>
        <w:spacing w:before="120" w:after="120" w:line="240" w:lineRule="auto"/>
        <w:ind w:left="426" w:hanging="142"/>
        <w:jc w:val="both"/>
        <w:rPr>
          <w:rFonts w:ascii="Times New Roman" w:eastAsia="Times New Roman" w:hAnsi="Times New Roman" w:cs="Times New Roman"/>
          <w:b/>
          <w:bCs/>
        </w:rPr>
      </w:pPr>
      <w:r w:rsidRPr="00DF6002">
        <w:rPr>
          <w:rFonts w:ascii="Times New Roman" w:eastAsia="Times New Roman" w:hAnsi="Times New Roman" w:cs="Times New Roman"/>
          <w:b/>
          <w:bCs/>
        </w:rPr>
        <w:t xml:space="preserve">Az értékelés, az aláírás és a kreditek megszerzésének pontos feltételei: </w:t>
      </w:r>
    </w:p>
    <w:p w:rsidR="00DF6002" w:rsidRPr="00DF6002" w:rsidRDefault="00DF6002" w:rsidP="008B31E6">
      <w:pPr>
        <w:widowControl w:val="0"/>
        <w:numPr>
          <w:ilvl w:val="1"/>
          <w:numId w:val="16"/>
        </w:numPr>
        <w:tabs>
          <w:tab w:val="clear" w:pos="3977"/>
          <w:tab w:val="left" w:pos="709"/>
          <w:tab w:val="num" w:pos="857"/>
          <w:tab w:val="left" w:pos="993"/>
          <w:tab w:val="num" w:pos="2069"/>
        </w:tabs>
        <w:spacing w:before="120" w:after="120" w:line="240" w:lineRule="auto"/>
        <w:ind w:left="426" w:firstLine="0"/>
        <w:jc w:val="both"/>
        <w:rPr>
          <w:rFonts w:ascii="Times New Roman" w:eastAsia="Times New Roman" w:hAnsi="Times New Roman" w:cs="Times New Roman"/>
        </w:rPr>
      </w:pPr>
      <w:r w:rsidRPr="00DF6002">
        <w:rPr>
          <w:rFonts w:ascii="Times New Roman" w:eastAsia="Times New Roman" w:hAnsi="Times New Roman" w:cs="Times New Roman"/>
          <w:b/>
        </w:rPr>
        <w:t>Az aláírás megszerzésének feltételei:</w:t>
      </w:r>
    </w:p>
    <w:p w:rsidR="00DF6002" w:rsidRPr="00DF6002" w:rsidRDefault="00DF6002" w:rsidP="00DF6002">
      <w:pPr>
        <w:widowControl w:val="0"/>
        <w:tabs>
          <w:tab w:val="left" w:pos="993"/>
        </w:tabs>
        <w:spacing w:before="120" w:after="120" w:line="240" w:lineRule="auto"/>
        <w:ind w:left="426"/>
        <w:jc w:val="both"/>
        <w:rPr>
          <w:rFonts w:ascii="Times New Roman" w:eastAsia="Times New Roman" w:hAnsi="Times New Roman" w:cs="Times New Roman"/>
        </w:rPr>
      </w:pPr>
      <w:r w:rsidRPr="00DF6002">
        <w:rPr>
          <w:rFonts w:ascii="Times New Roman" w:eastAsia="Times New Roman" w:hAnsi="Times New Roman" w:cs="Times New Roman"/>
        </w:rPr>
        <w:t xml:space="preserve">Az aláírás megszerzésének feltétele a 14. pontban meghatározott arányú részvétel a foglalkozásokon és a 15. pontban meghatározott zárthelyi dolgozatok legalább elégséges teljesítése. </w:t>
      </w:r>
    </w:p>
    <w:p w:rsidR="00DF6002" w:rsidRPr="00DF6002" w:rsidRDefault="00DF6002" w:rsidP="008B31E6">
      <w:pPr>
        <w:widowControl w:val="0"/>
        <w:numPr>
          <w:ilvl w:val="1"/>
          <w:numId w:val="16"/>
        </w:numPr>
        <w:tabs>
          <w:tab w:val="clear" w:pos="3977"/>
          <w:tab w:val="left" w:pos="709"/>
          <w:tab w:val="num" w:pos="857"/>
          <w:tab w:val="left" w:pos="993"/>
          <w:tab w:val="num" w:pos="2069"/>
        </w:tabs>
        <w:spacing w:before="120" w:after="120" w:line="240" w:lineRule="auto"/>
        <w:ind w:left="426" w:firstLine="0"/>
        <w:jc w:val="both"/>
        <w:rPr>
          <w:rFonts w:ascii="Times New Roman" w:eastAsia="Times New Roman" w:hAnsi="Times New Roman" w:cs="Times New Roman"/>
        </w:rPr>
      </w:pPr>
      <w:r w:rsidRPr="00DF6002">
        <w:rPr>
          <w:rFonts w:ascii="Times New Roman" w:eastAsia="Times New Roman" w:hAnsi="Times New Roman" w:cs="Times New Roman"/>
          <w:b/>
        </w:rPr>
        <w:t xml:space="preserve">Az értékelés: </w:t>
      </w:r>
      <w:r w:rsidRPr="00DF6002">
        <w:rPr>
          <w:rFonts w:ascii="Times New Roman" w:eastAsia="Times New Roman" w:hAnsi="Times New Roman" w:cs="Times New Roman"/>
          <w:b/>
          <w:i/>
        </w:rPr>
        <w:t>Évközi értékelés</w:t>
      </w:r>
      <w:r w:rsidRPr="00DF6002">
        <w:rPr>
          <w:rFonts w:ascii="Times New Roman" w:eastAsia="Times New Roman" w:hAnsi="Times New Roman" w:cs="Times New Roman"/>
        </w:rPr>
        <w:t xml:space="preserve"> (ötfokozatú) </w:t>
      </w:r>
      <w:r w:rsidRPr="00DF6002">
        <w:rPr>
          <w:rFonts w:ascii="Times New Roman" w:eastAsia="Times New Roman" w:hAnsi="Times New Roman" w:cs="Times New Roman"/>
          <w:bCs/>
        </w:rPr>
        <w:t>a 15. pontban meghatározottak szerint.</w:t>
      </w:r>
    </w:p>
    <w:p w:rsidR="00DF6002" w:rsidRPr="00DF6002" w:rsidRDefault="00DF6002" w:rsidP="008B31E6">
      <w:pPr>
        <w:widowControl w:val="0"/>
        <w:numPr>
          <w:ilvl w:val="1"/>
          <w:numId w:val="16"/>
        </w:numPr>
        <w:tabs>
          <w:tab w:val="clear" w:pos="3977"/>
          <w:tab w:val="left" w:pos="709"/>
          <w:tab w:val="num" w:pos="857"/>
          <w:tab w:val="left" w:pos="993"/>
          <w:tab w:val="num" w:pos="2069"/>
        </w:tabs>
        <w:spacing w:before="120" w:after="120" w:line="240" w:lineRule="auto"/>
        <w:ind w:left="426" w:firstLine="0"/>
        <w:jc w:val="both"/>
        <w:rPr>
          <w:rFonts w:ascii="Times New Roman" w:eastAsia="Times New Roman" w:hAnsi="Times New Roman" w:cs="Times New Roman"/>
        </w:rPr>
      </w:pPr>
      <w:r w:rsidRPr="00DF6002">
        <w:rPr>
          <w:rFonts w:ascii="Times New Roman" w:eastAsia="Times New Roman" w:hAnsi="Times New Roman" w:cs="Times New Roman"/>
          <w:b/>
        </w:rPr>
        <w:t>A kreditek megszerzésének feltételei:</w:t>
      </w:r>
      <w:r w:rsidRPr="00DF6002">
        <w:rPr>
          <w:rFonts w:ascii="Times New Roman" w:eastAsia="Times New Roman" w:hAnsi="Times New Roman" w:cs="Times New Roman"/>
        </w:rPr>
        <w:t xml:space="preserve"> </w:t>
      </w:r>
    </w:p>
    <w:p w:rsidR="00DF6002" w:rsidRPr="00DF6002" w:rsidRDefault="00DF6002" w:rsidP="00DF6002">
      <w:pPr>
        <w:widowControl w:val="0"/>
        <w:tabs>
          <w:tab w:val="left" w:pos="993"/>
        </w:tabs>
        <w:spacing w:before="120" w:after="120" w:line="240" w:lineRule="auto"/>
        <w:ind w:left="426"/>
        <w:jc w:val="both"/>
        <w:rPr>
          <w:rFonts w:ascii="Times New Roman" w:eastAsia="Times New Roman" w:hAnsi="Times New Roman" w:cs="Times New Roman"/>
        </w:rPr>
      </w:pPr>
      <w:r w:rsidRPr="00DF6002">
        <w:rPr>
          <w:rFonts w:ascii="Times New Roman" w:eastAsia="Times New Roman" w:hAnsi="Times New Roman" w:cs="Times New Roman"/>
        </w:rPr>
        <w:t>A kreditek megszerzésének feltétele az aláírás megszerzése és a legalább elégséges évközi értékelés.</w:t>
      </w:r>
    </w:p>
    <w:p w:rsidR="00DF6002" w:rsidRPr="00DF6002" w:rsidRDefault="00DF6002" w:rsidP="008B31E6">
      <w:pPr>
        <w:widowControl w:val="0"/>
        <w:numPr>
          <w:ilvl w:val="0"/>
          <w:numId w:val="16"/>
        </w:numPr>
        <w:tabs>
          <w:tab w:val="num" w:pos="360"/>
        </w:tabs>
        <w:spacing w:before="120" w:after="120" w:line="240" w:lineRule="auto"/>
        <w:ind w:left="426" w:hanging="142"/>
        <w:jc w:val="both"/>
        <w:rPr>
          <w:rFonts w:ascii="Times New Roman" w:eastAsia="Times New Roman" w:hAnsi="Times New Roman" w:cs="Times New Roman"/>
          <w:bCs/>
        </w:rPr>
      </w:pPr>
      <w:r w:rsidRPr="00DF6002">
        <w:rPr>
          <w:rFonts w:ascii="Times New Roman" w:eastAsia="Times New Roman" w:hAnsi="Times New Roman" w:cs="Times New Roman"/>
          <w:b/>
          <w:bCs/>
        </w:rPr>
        <w:t>Irodalomjegyzék:</w:t>
      </w:r>
    </w:p>
    <w:p w:rsidR="00DF6002" w:rsidRPr="00DF6002" w:rsidRDefault="00DF6002" w:rsidP="008B31E6">
      <w:pPr>
        <w:widowControl w:val="0"/>
        <w:numPr>
          <w:ilvl w:val="1"/>
          <w:numId w:val="16"/>
        </w:numPr>
        <w:tabs>
          <w:tab w:val="clear" w:pos="3977"/>
          <w:tab w:val="left" w:pos="567"/>
          <w:tab w:val="left" w:pos="851"/>
          <w:tab w:val="num" w:pos="2069"/>
        </w:tabs>
        <w:spacing w:before="120" w:after="120" w:line="240" w:lineRule="auto"/>
        <w:ind w:left="426" w:hanging="142"/>
        <w:jc w:val="both"/>
        <w:rPr>
          <w:rFonts w:ascii="Times New Roman" w:eastAsia="Times New Roman" w:hAnsi="Times New Roman" w:cs="Times New Roman"/>
          <w:bCs/>
        </w:rPr>
      </w:pPr>
      <w:r w:rsidRPr="00DF6002">
        <w:rPr>
          <w:rFonts w:ascii="Times New Roman" w:eastAsia="Times New Roman" w:hAnsi="Times New Roman" w:cs="Times New Roman"/>
          <w:b/>
          <w:bCs/>
        </w:rPr>
        <w:t>Kötelező irodalom:</w:t>
      </w:r>
    </w:p>
    <w:p w:rsidR="00DF6002" w:rsidRPr="00DF6002" w:rsidRDefault="00DF6002" w:rsidP="008B31E6">
      <w:pPr>
        <w:pStyle w:val="Listaszerbekezds"/>
        <w:widowControl w:val="0"/>
        <w:numPr>
          <w:ilvl w:val="0"/>
          <w:numId w:val="21"/>
        </w:numPr>
        <w:tabs>
          <w:tab w:val="left" w:pos="567"/>
          <w:tab w:val="left" w:pos="851"/>
        </w:tabs>
        <w:spacing w:before="120" w:after="120" w:line="240" w:lineRule="auto"/>
        <w:ind w:left="851" w:hanging="284"/>
        <w:jc w:val="both"/>
        <w:rPr>
          <w:rFonts w:ascii="Times New Roman" w:eastAsia="Times New Roman" w:hAnsi="Times New Roman" w:cs="Times New Roman"/>
          <w:bCs/>
        </w:rPr>
      </w:pPr>
      <w:r w:rsidRPr="00DF6002">
        <w:rPr>
          <w:rFonts w:ascii="Times New Roman" w:eastAsia="Times New Roman" w:hAnsi="Times New Roman" w:cs="Times New Roman"/>
          <w:bCs/>
        </w:rPr>
        <w:t>Andorka Rudolf: Bevezetés a szociológiába. Osiris Kiadó, Budapest, 2006. ISBN: 963389848X</w:t>
      </w:r>
    </w:p>
    <w:p w:rsidR="00DF6002" w:rsidRPr="00DF6002" w:rsidRDefault="00DF6002" w:rsidP="008B31E6">
      <w:pPr>
        <w:pStyle w:val="Listaszerbekezds"/>
        <w:widowControl w:val="0"/>
        <w:numPr>
          <w:ilvl w:val="0"/>
          <w:numId w:val="21"/>
        </w:numPr>
        <w:tabs>
          <w:tab w:val="left" w:pos="567"/>
          <w:tab w:val="left" w:pos="851"/>
        </w:tabs>
        <w:spacing w:before="120" w:after="120" w:line="240" w:lineRule="auto"/>
        <w:ind w:left="851" w:hanging="284"/>
        <w:jc w:val="both"/>
        <w:rPr>
          <w:rFonts w:ascii="Times New Roman" w:eastAsia="Times New Roman" w:hAnsi="Times New Roman" w:cs="Times New Roman"/>
          <w:bCs/>
        </w:rPr>
      </w:pPr>
      <w:r w:rsidRPr="00DF6002">
        <w:rPr>
          <w:rFonts w:ascii="Times New Roman" w:eastAsia="Times New Roman" w:hAnsi="Times New Roman" w:cs="Times New Roman"/>
          <w:bCs/>
        </w:rPr>
        <w:t>Giddens, Anthony: Szociológia. Második kiadás. Osiris Kiadó, Budapest, 2008. ISBN: 9789633899847</w:t>
      </w:r>
    </w:p>
    <w:p w:rsidR="00DF6002" w:rsidRPr="00DF6002" w:rsidRDefault="00DF6002" w:rsidP="008B31E6">
      <w:pPr>
        <w:widowControl w:val="0"/>
        <w:numPr>
          <w:ilvl w:val="1"/>
          <w:numId w:val="16"/>
        </w:numPr>
        <w:tabs>
          <w:tab w:val="clear" w:pos="3977"/>
          <w:tab w:val="left" w:pos="567"/>
          <w:tab w:val="left" w:pos="851"/>
          <w:tab w:val="num" w:pos="2069"/>
        </w:tabs>
        <w:spacing w:before="120" w:after="120" w:line="240" w:lineRule="auto"/>
        <w:ind w:left="426" w:hanging="142"/>
        <w:jc w:val="both"/>
        <w:rPr>
          <w:rFonts w:ascii="Times New Roman" w:eastAsia="Times New Roman" w:hAnsi="Times New Roman" w:cs="Times New Roman"/>
          <w:bCs/>
        </w:rPr>
      </w:pPr>
      <w:r w:rsidRPr="00DF6002">
        <w:rPr>
          <w:rFonts w:ascii="Times New Roman" w:eastAsia="Times New Roman" w:hAnsi="Times New Roman" w:cs="Times New Roman"/>
          <w:b/>
          <w:bCs/>
        </w:rPr>
        <w:t>Ajánlott irodalom:</w:t>
      </w:r>
    </w:p>
    <w:p w:rsidR="00DF6002" w:rsidRPr="00DF6002" w:rsidRDefault="00DF6002" w:rsidP="008B31E6">
      <w:pPr>
        <w:pStyle w:val="Listaszerbekezds"/>
        <w:widowControl w:val="0"/>
        <w:numPr>
          <w:ilvl w:val="0"/>
          <w:numId w:val="22"/>
        </w:numPr>
        <w:spacing w:before="120" w:after="120" w:line="240" w:lineRule="auto"/>
        <w:ind w:left="851"/>
        <w:jc w:val="both"/>
        <w:rPr>
          <w:rFonts w:ascii="Times New Roman" w:eastAsia="Times New Roman" w:hAnsi="Times New Roman" w:cs="Times New Roman"/>
        </w:rPr>
      </w:pPr>
      <w:r w:rsidRPr="00DF6002">
        <w:rPr>
          <w:rFonts w:ascii="Times New Roman" w:eastAsia="Times New Roman" w:hAnsi="Times New Roman" w:cs="Times New Roman"/>
        </w:rPr>
        <w:t>Angelusz Róbert – Tardos Róbert – Terestyéni Tamás (szerk.): Média, nyilvánosság, közvélemény</w:t>
      </w:r>
      <w:r w:rsidRPr="00DF6002">
        <w:t xml:space="preserve"> </w:t>
      </w:r>
      <w:r w:rsidRPr="00DF6002">
        <w:rPr>
          <w:rFonts w:ascii="Times New Roman" w:eastAsia="Times New Roman" w:hAnsi="Times New Roman" w:cs="Times New Roman"/>
        </w:rPr>
        <w:t>– Szöveggyűjtemény. Gondolat Kiadó, Budapest, 2007. ISBN: 9789639610934</w:t>
      </w:r>
    </w:p>
    <w:p w:rsidR="00DF6002" w:rsidRPr="00DF6002" w:rsidRDefault="00DF6002" w:rsidP="008B31E6">
      <w:pPr>
        <w:pStyle w:val="Listaszerbekezds"/>
        <w:widowControl w:val="0"/>
        <w:numPr>
          <w:ilvl w:val="0"/>
          <w:numId w:val="22"/>
        </w:numPr>
        <w:tabs>
          <w:tab w:val="num" w:pos="857"/>
          <w:tab w:val="num" w:pos="2069"/>
        </w:tabs>
        <w:spacing w:before="120" w:after="120" w:line="240" w:lineRule="auto"/>
        <w:ind w:left="851"/>
        <w:jc w:val="both"/>
        <w:rPr>
          <w:rFonts w:ascii="Times New Roman" w:eastAsia="Times New Roman" w:hAnsi="Times New Roman" w:cs="Times New Roman"/>
        </w:rPr>
      </w:pPr>
      <w:r w:rsidRPr="00DF6002">
        <w:rPr>
          <w:rFonts w:ascii="Times New Roman" w:eastAsia="Times New Roman" w:hAnsi="Times New Roman" w:cs="Times New Roman"/>
        </w:rPr>
        <w:t>Jakab András – Urbán László (szerk.): Hegymenet. Társadalmi és politikai kihívások Magyarországon. Osiris Kiadó, Budapest, 2017. ISBN: 9789632762869</w:t>
      </w:r>
    </w:p>
    <w:p w:rsidR="00DF6002" w:rsidRPr="00DF6002" w:rsidRDefault="00DF6002" w:rsidP="008B31E6">
      <w:pPr>
        <w:pStyle w:val="Listaszerbekezds"/>
        <w:numPr>
          <w:ilvl w:val="0"/>
          <w:numId w:val="22"/>
        </w:numPr>
        <w:spacing w:line="256" w:lineRule="auto"/>
        <w:ind w:left="851"/>
        <w:rPr>
          <w:rFonts w:ascii="Times New Roman" w:eastAsia="Times New Roman" w:hAnsi="Times New Roman" w:cs="Times New Roman"/>
        </w:rPr>
      </w:pPr>
      <w:r w:rsidRPr="00DF6002">
        <w:rPr>
          <w:rFonts w:ascii="Times New Roman" w:eastAsia="Times New Roman" w:hAnsi="Times New Roman" w:cs="Times New Roman"/>
        </w:rPr>
        <w:t>Valuch Tibor: A jelenkori magyar társadalom. Osiris Kiadó, Budapest, 2015. ISBN: 9789632762548</w:t>
      </w:r>
    </w:p>
    <w:p w:rsidR="00DF6002" w:rsidRPr="00DF6002" w:rsidRDefault="00DF6002" w:rsidP="004E3B59">
      <w:pPr>
        <w:widowControl w:val="0"/>
        <w:spacing w:before="120" w:after="120" w:line="240" w:lineRule="auto"/>
        <w:ind w:firstLine="491"/>
        <w:jc w:val="both"/>
        <w:rPr>
          <w:rFonts w:ascii="Times New Roman" w:eastAsia="Times New Roman" w:hAnsi="Times New Roman" w:cs="Times New Roman"/>
          <w:bCs/>
        </w:rPr>
      </w:pPr>
      <w:r w:rsidRPr="00DF6002">
        <w:rPr>
          <w:rFonts w:ascii="Times New Roman" w:eastAsia="Times New Roman" w:hAnsi="Times New Roman" w:cs="Times New Roman"/>
          <w:bCs/>
        </w:rPr>
        <w:t>Budapest, 2020. március 03.</w:t>
      </w:r>
    </w:p>
    <w:p w:rsidR="00DF6002" w:rsidRPr="00DF6002" w:rsidRDefault="00DF6002" w:rsidP="00DF6002">
      <w:pPr>
        <w:spacing w:after="0" w:line="240" w:lineRule="auto"/>
        <w:ind w:left="2835" w:firstLine="1134"/>
        <w:jc w:val="center"/>
        <w:rPr>
          <w:rFonts w:ascii="Times New Roman" w:eastAsia="Times New Roman" w:hAnsi="Times New Roman" w:cs="Times New Roman"/>
          <w:b/>
          <w:bCs/>
          <w:lang w:eastAsia="hu-HU"/>
        </w:rPr>
      </w:pPr>
      <w:r w:rsidRPr="00DF6002">
        <w:rPr>
          <w:rFonts w:ascii="Times New Roman" w:eastAsia="Times New Roman" w:hAnsi="Times New Roman" w:cs="Times New Roman"/>
          <w:b/>
          <w:bCs/>
          <w:lang w:eastAsia="hu-HU"/>
        </w:rPr>
        <w:t>Dr. Szabó László István, PhD s. k.</w:t>
      </w:r>
    </w:p>
    <w:p w:rsidR="00DF6002" w:rsidRPr="00DF6002" w:rsidRDefault="00DF6002" w:rsidP="00DF6002">
      <w:pPr>
        <w:spacing w:after="0" w:line="240" w:lineRule="auto"/>
        <w:ind w:left="2835" w:firstLine="1134"/>
        <w:jc w:val="center"/>
        <w:rPr>
          <w:rFonts w:ascii="Times New Roman" w:eastAsia="Times New Roman" w:hAnsi="Times New Roman" w:cs="Times New Roman"/>
          <w:bCs/>
          <w:lang w:eastAsia="hu-HU"/>
        </w:rPr>
      </w:pPr>
      <w:r w:rsidRPr="00DF6002">
        <w:rPr>
          <w:rFonts w:ascii="Times New Roman" w:eastAsia="Times New Roman" w:hAnsi="Times New Roman" w:cs="Times New Roman"/>
          <w:bCs/>
          <w:lang w:eastAsia="hu-HU"/>
        </w:rPr>
        <w:t>tudományos főmunkatárs</w:t>
      </w:r>
    </w:p>
    <w:p w:rsidR="00096F0E" w:rsidRDefault="00096F0E">
      <w:pPr>
        <w:spacing w:after="200" w:line="276" w:lineRule="auto"/>
        <w:rPr>
          <w:rFonts w:ascii="Times New Roman" w:hAnsi="Times New Roman" w:cs="Times New Roman"/>
          <w:sz w:val="24"/>
        </w:rPr>
      </w:pPr>
    </w:p>
    <w:p w:rsidR="00DF6002" w:rsidRDefault="00DF6002">
      <w:pPr>
        <w:spacing w:after="200" w:line="276" w:lineRule="auto"/>
        <w:rPr>
          <w:rFonts w:ascii="Times New Roman" w:hAnsi="Times New Roman" w:cs="Times New Roman"/>
          <w:sz w:val="24"/>
        </w:rPr>
      </w:pPr>
      <w:r>
        <w:rPr>
          <w:rFonts w:ascii="Times New Roman" w:hAnsi="Times New Roman" w:cs="Times New Roman"/>
          <w:sz w:val="24"/>
        </w:rPr>
        <w:br w:type="page"/>
      </w:r>
    </w:p>
    <w:tbl>
      <w:tblPr>
        <w:tblW w:w="9072" w:type="dxa"/>
        <w:tblInd w:w="113" w:type="dxa"/>
        <w:tblLook w:val="01E0" w:firstRow="1" w:lastRow="1" w:firstColumn="1" w:lastColumn="1" w:noHBand="0" w:noVBand="0"/>
      </w:tblPr>
      <w:tblGrid>
        <w:gridCol w:w="4855"/>
        <w:gridCol w:w="1620"/>
        <w:gridCol w:w="2597"/>
      </w:tblGrid>
      <w:tr w:rsidR="00666335" w:rsidRPr="00666335" w:rsidTr="00C57CA3">
        <w:tc>
          <w:tcPr>
            <w:tcW w:w="4855" w:type="dxa"/>
            <w:tcBorders>
              <w:bottom w:val="single" w:sz="4" w:space="0" w:color="auto"/>
            </w:tcBorders>
          </w:tcPr>
          <w:p w:rsidR="00666335" w:rsidRPr="00666335" w:rsidRDefault="00666335" w:rsidP="00C57CA3">
            <w:pPr>
              <w:pStyle w:val="Szvegtrzs"/>
              <w:jc w:val="center"/>
              <w:rPr>
                <w:b/>
                <w:smallCaps/>
                <w:sz w:val="22"/>
                <w:szCs w:val="22"/>
              </w:rPr>
            </w:pPr>
            <w:r w:rsidRPr="00666335">
              <w:rPr>
                <w:b/>
                <w:smallCaps/>
                <w:sz w:val="22"/>
                <w:szCs w:val="22"/>
              </w:rPr>
              <w:lastRenderedPageBreak/>
              <w:t>Nemzeti Közszolgálati Egyetem</w:t>
            </w:r>
          </w:p>
        </w:tc>
        <w:tc>
          <w:tcPr>
            <w:tcW w:w="1620" w:type="dxa"/>
          </w:tcPr>
          <w:p w:rsidR="00666335" w:rsidRPr="00666335" w:rsidRDefault="00666335" w:rsidP="00C57CA3">
            <w:pPr>
              <w:pStyle w:val="Szvegtrzs"/>
              <w:rPr>
                <w:sz w:val="22"/>
                <w:szCs w:val="22"/>
              </w:rPr>
            </w:pPr>
          </w:p>
        </w:tc>
        <w:tc>
          <w:tcPr>
            <w:tcW w:w="2597" w:type="dxa"/>
          </w:tcPr>
          <w:p w:rsidR="00666335" w:rsidRPr="00666335" w:rsidRDefault="00666335" w:rsidP="00C57CA3">
            <w:pPr>
              <w:pStyle w:val="Szvegtrzs"/>
              <w:jc w:val="right"/>
              <w:rPr>
                <w:sz w:val="22"/>
                <w:szCs w:val="22"/>
              </w:rPr>
            </w:pPr>
          </w:p>
        </w:tc>
      </w:tr>
      <w:tr w:rsidR="00666335" w:rsidRPr="00666335" w:rsidTr="00C57CA3">
        <w:tc>
          <w:tcPr>
            <w:tcW w:w="4855" w:type="dxa"/>
            <w:tcBorders>
              <w:top w:val="single" w:sz="4" w:space="0" w:color="auto"/>
            </w:tcBorders>
          </w:tcPr>
          <w:p w:rsidR="00666335" w:rsidRPr="00666335" w:rsidRDefault="00666335" w:rsidP="00C57CA3">
            <w:pPr>
              <w:pStyle w:val="Szvegtrzs"/>
              <w:jc w:val="center"/>
              <w:rPr>
                <w:b/>
                <w:sz w:val="22"/>
                <w:szCs w:val="22"/>
              </w:rPr>
            </w:pPr>
            <w:r w:rsidRPr="00666335">
              <w:rPr>
                <w:b/>
                <w:sz w:val="22"/>
                <w:szCs w:val="22"/>
              </w:rPr>
              <w:t>Államtudományi és Nemzetközi Tanulmányok Kar</w:t>
            </w:r>
          </w:p>
        </w:tc>
        <w:tc>
          <w:tcPr>
            <w:tcW w:w="1620" w:type="dxa"/>
          </w:tcPr>
          <w:p w:rsidR="00666335" w:rsidRPr="00666335" w:rsidRDefault="00666335" w:rsidP="00C57CA3">
            <w:pPr>
              <w:pStyle w:val="Szvegtrzs"/>
              <w:rPr>
                <w:sz w:val="22"/>
                <w:szCs w:val="22"/>
              </w:rPr>
            </w:pPr>
          </w:p>
        </w:tc>
        <w:tc>
          <w:tcPr>
            <w:tcW w:w="2597" w:type="dxa"/>
          </w:tcPr>
          <w:p w:rsidR="00666335" w:rsidRPr="00666335" w:rsidRDefault="00666335" w:rsidP="00C57CA3">
            <w:pPr>
              <w:pStyle w:val="Szvegtrzs"/>
              <w:rPr>
                <w:sz w:val="22"/>
                <w:szCs w:val="22"/>
              </w:rPr>
            </w:pPr>
          </w:p>
        </w:tc>
      </w:tr>
    </w:tbl>
    <w:p w:rsidR="00666335" w:rsidRPr="00666335" w:rsidRDefault="00666335" w:rsidP="00666335">
      <w:pPr>
        <w:pStyle w:val="lfej"/>
        <w:tabs>
          <w:tab w:val="clear" w:pos="4536"/>
          <w:tab w:val="clear" w:pos="9072"/>
          <w:tab w:val="right" w:pos="0"/>
        </w:tabs>
        <w:jc w:val="both"/>
        <w:rPr>
          <w:rFonts w:ascii="Times New Roman" w:hAnsi="Times New Roman" w:cs="Times New Roman"/>
          <w:bCs/>
        </w:rPr>
      </w:pPr>
    </w:p>
    <w:p w:rsidR="00666335" w:rsidRPr="00666335" w:rsidRDefault="00666335" w:rsidP="00666335">
      <w:pPr>
        <w:spacing w:after="0" w:line="240" w:lineRule="auto"/>
        <w:jc w:val="center"/>
        <w:rPr>
          <w:rFonts w:ascii="Times New Roman" w:hAnsi="Times New Roman" w:cs="Times New Roman"/>
          <w:b/>
          <w:bCs/>
        </w:rPr>
      </w:pPr>
      <w:r w:rsidRPr="00666335">
        <w:rPr>
          <w:rFonts w:ascii="Times New Roman" w:hAnsi="Times New Roman" w:cs="Times New Roman"/>
          <w:b/>
          <w:bCs/>
        </w:rPr>
        <w:t xml:space="preserve">TANTÁRGYI PROGRAM </w:t>
      </w:r>
    </w:p>
    <w:p w:rsidR="00666335" w:rsidRPr="00666335" w:rsidRDefault="00666335" w:rsidP="00980876">
      <w:pPr>
        <w:pStyle w:val="lfej"/>
        <w:numPr>
          <w:ilvl w:val="0"/>
          <w:numId w:val="811"/>
        </w:numPr>
        <w:tabs>
          <w:tab w:val="clear" w:pos="4536"/>
          <w:tab w:val="clear" w:pos="9072"/>
          <w:tab w:val="right" w:pos="900"/>
        </w:tabs>
        <w:spacing w:before="120"/>
        <w:jc w:val="both"/>
        <w:rPr>
          <w:rFonts w:ascii="Times New Roman" w:hAnsi="Times New Roman" w:cs="Times New Roman"/>
          <w:bCs/>
        </w:rPr>
      </w:pPr>
      <w:r w:rsidRPr="00666335">
        <w:rPr>
          <w:rFonts w:ascii="Times New Roman" w:hAnsi="Times New Roman" w:cs="Times New Roman"/>
          <w:b/>
          <w:bCs/>
        </w:rPr>
        <w:t xml:space="preserve">A tantárgy kódja: </w:t>
      </w:r>
      <w:r w:rsidRPr="00666335">
        <w:rPr>
          <w:rFonts w:ascii="Times New Roman" w:hAnsi="Times New Roman" w:cs="Times New Roman"/>
        </w:rPr>
        <w:t>ÁKKTB01</w:t>
      </w:r>
    </w:p>
    <w:p w:rsidR="00666335" w:rsidRPr="00666335" w:rsidRDefault="00666335" w:rsidP="00980876">
      <w:pPr>
        <w:pStyle w:val="lfej"/>
        <w:numPr>
          <w:ilvl w:val="0"/>
          <w:numId w:val="811"/>
        </w:numPr>
        <w:tabs>
          <w:tab w:val="clear" w:pos="4536"/>
          <w:tab w:val="clear" w:pos="9072"/>
          <w:tab w:val="num" w:pos="567"/>
          <w:tab w:val="right" w:pos="900"/>
        </w:tabs>
        <w:spacing w:before="120"/>
        <w:ind w:left="426" w:hanging="426"/>
        <w:jc w:val="both"/>
        <w:rPr>
          <w:rFonts w:ascii="Times New Roman" w:hAnsi="Times New Roman" w:cs="Times New Roman"/>
          <w:bCs/>
        </w:rPr>
      </w:pPr>
      <w:r w:rsidRPr="00666335">
        <w:rPr>
          <w:rFonts w:ascii="Times New Roman" w:hAnsi="Times New Roman" w:cs="Times New Roman"/>
          <w:b/>
          <w:bCs/>
        </w:rPr>
        <w:t>A tantárgy megnevezése (magyarul):</w:t>
      </w:r>
      <w:r w:rsidRPr="00666335">
        <w:rPr>
          <w:rFonts w:ascii="Times New Roman" w:hAnsi="Times New Roman" w:cs="Times New Roman"/>
          <w:bCs/>
        </w:rPr>
        <w:t xml:space="preserve"> Állam és kormányzás</w:t>
      </w:r>
    </w:p>
    <w:p w:rsidR="00666335" w:rsidRPr="00666335" w:rsidRDefault="00666335" w:rsidP="00980876">
      <w:pPr>
        <w:pStyle w:val="lfej"/>
        <w:numPr>
          <w:ilvl w:val="0"/>
          <w:numId w:val="811"/>
        </w:numPr>
        <w:tabs>
          <w:tab w:val="clear" w:pos="4536"/>
          <w:tab w:val="clear" w:pos="9072"/>
          <w:tab w:val="num" w:pos="567"/>
          <w:tab w:val="right" w:pos="900"/>
        </w:tabs>
        <w:spacing w:before="120"/>
        <w:ind w:left="426" w:hanging="426"/>
        <w:jc w:val="both"/>
        <w:rPr>
          <w:rFonts w:ascii="Times New Roman" w:hAnsi="Times New Roman" w:cs="Times New Roman"/>
          <w:b/>
          <w:bCs/>
        </w:rPr>
      </w:pPr>
      <w:r w:rsidRPr="00666335">
        <w:rPr>
          <w:rFonts w:ascii="Times New Roman" w:hAnsi="Times New Roman" w:cs="Times New Roman"/>
          <w:b/>
          <w:bCs/>
        </w:rPr>
        <w:t xml:space="preserve">A tantárgy megnevezése (angolul): </w:t>
      </w:r>
      <w:r w:rsidRPr="00666335">
        <w:rPr>
          <w:rFonts w:ascii="Times New Roman" w:hAnsi="Times New Roman" w:cs="Times New Roman"/>
          <w:bCs/>
        </w:rPr>
        <w:t>State and Governance</w:t>
      </w:r>
    </w:p>
    <w:p w:rsidR="00666335" w:rsidRPr="00666335" w:rsidRDefault="00666335" w:rsidP="00980876">
      <w:pPr>
        <w:pStyle w:val="lfej"/>
        <w:numPr>
          <w:ilvl w:val="0"/>
          <w:numId w:val="811"/>
        </w:numPr>
        <w:tabs>
          <w:tab w:val="clear" w:pos="4536"/>
          <w:tab w:val="clear" w:pos="9072"/>
          <w:tab w:val="num" w:pos="567"/>
          <w:tab w:val="right" w:pos="900"/>
        </w:tabs>
        <w:spacing w:before="120"/>
        <w:jc w:val="both"/>
        <w:rPr>
          <w:rFonts w:ascii="Times New Roman" w:hAnsi="Times New Roman" w:cs="Times New Roman"/>
          <w:b/>
          <w:bCs/>
        </w:rPr>
      </w:pPr>
      <w:r w:rsidRPr="00666335">
        <w:rPr>
          <w:rFonts w:ascii="Times New Roman" w:hAnsi="Times New Roman" w:cs="Times New Roman"/>
          <w:b/>
          <w:bCs/>
        </w:rPr>
        <w:t>Kreditérték</w:t>
      </w:r>
      <w:r w:rsidRPr="00666335">
        <w:rPr>
          <w:rFonts w:ascii="Times New Roman" w:hAnsi="Times New Roman" w:cs="Times New Roman"/>
          <w:bCs/>
        </w:rPr>
        <w:t>:</w:t>
      </w:r>
      <w:r w:rsidRPr="00666335">
        <w:rPr>
          <w:rFonts w:ascii="Times New Roman" w:hAnsi="Times New Roman" w:cs="Times New Roman"/>
          <w:b/>
          <w:bCs/>
        </w:rPr>
        <w:t xml:space="preserve"> </w:t>
      </w:r>
    </w:p>
    <w:p w:rsidR="00666335" w:rsidRPr="00666335" w:rsidRDefault="00666335" w:rsidP="00666335">
      <w:pPr>
        <w:pStyle w:val="lfej"/>
        <w:tabs>
          <w:tab w:val="num" w:pos="567"/>
          <w:tab w:val="right" w:pos="900"/>
        </w:tabs>
        <w:spacing w:before="120"/>
        <w:ind w:left="426"/>
        <w:jc w:val="both"/>
        <w:rPr>
          <w:rFonts w:ascii="Times New Roman" w:hAnsi="Times New Roman" w:cs="Times New Roman"/>
          <w:bCs/>
        </w:rPr>
      </w:pPr>
      <w:r w:rsidRPr="00666335">
        <w:rPr>
          <w:rFonts w:ascii="Times New Roman" w:hAnsi="Times New Roman" w:cs="Times New Roman"/>
          <w:bCs/>
        </w:rPr>
        <w:t>4.1. 2 kredit</w:t>
      </w:r>
    </w:p>
    <w:p w:rsidR="00666335" w:rsidRPr="00666335" w:rsidRDefault="00666335" w:rsidP="00666335">
      <w:pPr>
        <w:pStyle w:val="lfej"/>
        <w:spacing w:before="120"/>
        <w:ind w:left="426"/>
        <w:jc w:val="both"/>
        <w:rPr>
          <w:rFonts w:ascii="Times New Roman" w:hAnsi="Times New Roman" w:cs="Times New Roman"/>
          <w:bCs/>
        </w:rPr>
      </w:pPr>
      <w:r w:rsidRPr="00666335">
        <w:rPr>
          <w:rFonts w:ascii="Times New Roman" w:hAnsi="Times New Roman" w:cs="Times New Roman"/>
          <w:bCs/>
        </w:rPr>
        <w:t>4.2. a tantárgy elméleti vagy gyakorlati jellegének mértéke: 0 % gyakorlat, 100% elmélet</w:t>
      </w:r>
    </w:p>
    <w:p w:rsidR="00666335" w:rsidRPr="00666335" w:rsidRDefault="00666335" w:rsidP="00980876">
      <w:pPr>
        <w:pStyle w:val="lfej"/>
        <w:numPr>
          <w:ilvl w:val="0"/>
          <w:numId w:val="811"/>
        </w:numPr>
        <w:tabs>
          <w:tab w:val="clear" w:pos="4536"/>
          <w:tab w:val="clear" w:pos="9072"/>
          <w:tab w:val="right" w:pos="900"/>
        </w:tabs>
        <w:spacing w:before="120"/>
        <w:ind w:left="426" w:hanging="426"/>
        <w:jc w:val="both"/>
        <w:rPr>
          <w:rFonts w:ascii="Times New Roman" w:hAnsi="Times New Roman" w:cs="Times New Roman"/>
          <w:bCs/>
        </w:rPr>
      </w:pPr>
      <w:r w:rsidRPr="00666335">
        <w:rPr>
          <w:rFonts w:ascii="Times New Roman" w:hAnsi="Times New Roman" w:cs="Times New Roman"/>
          <w:b/>
          <w:bCs/>
        </w:rPr>
        <w:t>A szak(ok), szakirányok megnevezése (ahol oktatják):</w:t>
      </w:r>
      <w:r w:rsidRPr="00666335">
        <w:rPr>
          <w:rFonts w:ascii="Times New Roman" w:hAnsi="Times New Roman" w:cs="Times New Roman"/>
          <w:bCs/>
        </w:rPr>
        <w:t xml:space="preserve"> Az államtudományi képzési területen minden alapképzési szakon, nappali és levelező munkarendben</w:t>
      </w:r>
    </w:p>
    <w:p w:rsidR="00666335" w:rsidRPr="00666335" w:rsidRDefault="00666335" w:rsidP="00980876">
      <w:pPr>
        <w:pStyle w:val="lfej"/>
        <w:numPr>
          <w:ilvl w:val="0"/>
          <w:numId w:val="811"/>
        </w:numPr>
        <w:tabs>
          <w:tab w:val="clear" w:pos="4536"/>
          <w:tab w:val="clear" w:pos="9072"/>
          <w:tab w:val="right" w:pos="900"/>
        </w:tabs>
        <w:spacing w:before="120"/>
        <w:ind w:left="426" w:hanging="426"/>
        <w:jc w:val="both"/>
        <w:rPr>
          <w:rFonts w:ascii="Times New Roman" w:hAnsi="Times New Roman" w:cs="Times New Roman"/>
          <w:bCs/>
        </w:rPr>
      </w:pPr>
      <w:r w:rsidRPr="00666335">
        <w:rPr>
          <w:rFonts w:ascii="Times New Roman" w:hAnsi="Times New Roman" w:cs="Times New Roman"/>
          <w:b/>
          <w:bCs/>
        </w:rPr>
        <w:t>Az oktatásért felelős oktatási szervezeti egység megnevezése:</w:t>
      </w:r>
      <w:r w:rsidRPr="00666335">
        <w:rPr>
          <w:rFonts w:ascii="Times New Roman" w:hAnsi="Times New Roman" w:cs="Times New Roman"/>
          <w:bCs/>
        </w:rPr>
        <w:t xml:space="preserve"> Államtudományi Nemzetközi Tanulmányok Kar, Kormányzástani és Közpolitikai Tanszék</w:t>
      </w:r>
    </w:p>
    <w:p w:rsidR="00666335" w:rsidRPr="00666335" w:rsidRDefault="00666335" w:rsidP="00980876">
      <w:pPr>
        <w:pStyle w:val="lfej"/>
        <w:numPr>
          <w:ilvl w:val="0"/>
          <w:numId w:val="811"/>
        </w:numPr>
        <w:tabs>
          <w:tab w:val="clear" w:pos="4536"/>
          <w:tab w:val="clear" w:pos="9072"/>
        </w:tabs>
        <w:spacing w:before="120"/>
        <w:ind w:left="426" w:hanging="426"/>
        <w:jc w:val="both"/>
        <w:rPr>
          <w:rFonts w:ascii="Times New Roman" w:hAnsi="Times New Roman" w:cs="Times New Roman"/>
          <w:bCs/>
        </w:rPr>
      </w:pPr>
      <w:r w:rsidRPr="00666335">
        <w:rPr>
          <w:rFonts w:ascii="Times New Roman" w:hAnsi="Times New Roman" w:cs="Times New Roman"/>
          <w:b/>
          <w:bCs/>
        </w:rPr>
        <w:t>A tantárgyfelelős oktató neve, beosztása, tudományos fokozata:</w:t>
      </w:r>
      <w:r w:rsidRPr="00666335">
        <w:rPr>
          <w:rFonts w:ascii="Times New Roman" w:hAnsi="Times New Roman" w:cs="Times New Roman"/>
          <w:bCs/>
        </w:rPr>
        <w:t xml:space="preserve"> Kis Norbert, egyetemi tanár</w:t>
      </w:r>
    </w:p>
    <w:p w:rsidR="00666335" w:rsidRPr="00666335" w:rsidRDefault="00666335" w:rsidP="00980876">
      <w:pPr>
        <w:pStyle w:val="lfej"/>
        <w:numPr>
          <w:ilvl w:val="0"/>
          <w:numId w:val="811"/>
        </w:numPr>
        <w:tabs>
          <w:tab w:val="clear" w:pos="4536"/>
          <w:tab w:val="clear" w:pos="9072"/>
        </w:tabs>
        <w:spacing w:before="120"/>
        <w:ind w:left="426" w:hanging="426"/>
        <w:jc w:val="both"/>
        <w:rPr>
          <w:rFonts w:ascii="Times New Roman" w:hAnsi="Times New Roman" w:cs="Times New Roman"/>
          <w:bCs/>
        </w:rPr>
      </w:pPr>
      <w:r w:rsidRPr="00666335">
        <w:rPr>
          <w:rFonts w:ascii="Times New Roman" w:hAnsi="Times New Roman" w:cs="Times New Roman"/>
          <w:b/>
          <w:bCs/>
        </w:rPr>
        <w:t>A tanórák száma (előadás+szeminárium+gyakorlat)</w:t>
      </w:r>
    </w:p>
    <w:p w:rsidR="00666335" w:rsidRPr="00666335" w:rsidRDefault="00666335" w:rsidP="00980876">
      <w:pPr>
        <w:pStyle w:val="lfej"/>
        <w:numPr>
          <w:ilvl w:val="1"/>
          <w:numId w:val="811"/>
        </w:numPr>
        <w:tabs>
          <w:tab w:val="clear" w:pos="4536"/>
          <w:tab w:val="clear" w:pos="9072"/>
          <w:tab w:val="right" w:pos="900"/>
          <w:tab w:val="num" w:pos="1425"/>
          <w:tab w:val="num" w:pos="2069"/>
        </w:tabs>
        <w:spacing w:before="120"/>
        <w:ind w:left="1276" w:hanging="426"/>
        <w:jc w:val="both"/>
        <w:rPr>
          <w:rFonts w:ascii="Times New Roman" w:hAnsi="Times New Roman" w:cs="Times New Roman"/>
          <w:bCs/>
        </w:rPr>
      </w:pPr>
      <w:r w:rsidRPr="00666335">
        <w:rPr>
          <w:rFonts w:ascii="Times New Roman" w:hAnsi="Times New Roman" w:cs="Times New Roman"/>
          <w:bCs/>
        </w:rPr>
        <w:t xml:space="preserve">össz óraszám/félév: 28 </w:t>
      </w:r>
    </w:p>
    <w:p w:rsidR="00666335" w:rsidRPr="00666335" w:rsidRDefault="00666335" w:rsidP="00980876">
      <w:pPr>
        <w:pStyle w:val="lfej"/>
        <w:numPr>
          <w:ilvl w:val="2"/>
          <w:numId w:val="811"/>
        </w:numPr>
        <w:tabs>
          <w:tab w:val="clear" w:pos="4536"/>
          <w:tab w:val="clear" w:pos="9072"/>
        </w:tabs>
        <w:spacing w:before="120"/>
        <w:jc w:val="both"/>
        <w:rPr>
          <w:rFonts w:ascii="Times New Roman" w:hAnsi="Times New Roman" w:cs="Times New Roman"/>
          <w:bCs/>
        </w:rPr>
      </w:pPr>
      <w:r w:rsidRPr="00666335">
        <w:rPr>
          <w:rFonts w:ascii="Times New Roman" w:hAnsi="Times New Roman" w:cs="Times New Roman"/>
          <w:bCs/>
        </w:rPr>
        <w:t>Nappali munkarend: 28 (28 EA + - SZ + - GY)</w:t>
      </w:r>
    </w:p>
    <w:p w:rsidR="00666335" w:rsidRPr="00666335" w:rsidRDefault="00666335" w:rsidP="00980876">
      <w:pPr>
        <w:pStyle w:val="lfej"/>
        <w:numPr>
          <w:ilvl w:val="2"/>
          <w:numId w:val="811"/>
        </w:numPr>
        <w:tabs>
          <w:tab w:val="clear" w:pos="4536"/>
          <w:tab w:val="clear" w:pos="9072"/>
        </w:tabs>
        <w:spacing w:before="120"/>
        <w:jc w:val="both"/>
        <w:rPr>
          <w:rFonts w:ascii="Times New Roman" w:hAnsi="Times New Roman" w:cs="Times New Roman"/>
          <w:bCs/>
        </w:rPr>
      </w:pPr>
      <w:r w:rsidRPr="00666335">
        <w:rPr>
          <w:rFonts w:ascii="Times New Roman" w:hAnsi="Times New Roman" w:cs="Times New Roman"/>
          <w:bCs/>
        </w:rPr>
        <w:t>Levelező munkarend: 8 (8 EA + - SZ + - GY)</w:t>
      </w:r>
    </w:p>
    <w:p w:rsidR="00666335" w:rsidRPr="00666335" w:rsidRDefault="00666335" w:rsidP="00980876">
      <w:pPr>
        <w:pStyle w:val="lfej"/>
        <w:numPr>
          <w:ilvl w:val="1"/>
          <w:numId w:val="811"/>
        </w:numPr>
        <w:tabs>
          <w:tab w:val="clear" w:pos="4536"/>
          <w:tab w:val="clear" w:pos="9072"/>
          <w:tab w:val="right" w:pos="900"/>
          <w:tab w:val="num" w:pos="1425"/>
          <w:tab w:val="num" w:pos="2069"/>
        </w:tabs>
        <w:spacing w:before="120"/>
        <w:ind w:left="1276" w:hanging="426"/>
        <w:jc w:val="both"/>
        <w:rPr>
          <w:rFonts w:ascii="Times New Roman" w:hAnsi="Times New Roman" w:cs="Times New Roman"/>
          <w:bCs/>
        </w:rPr>
      </w:pPr>
      <w:r w:rsidRPr="00666335">
        <w:rPr>
          <w:rFonts w:ascii="Times New Roman" w:hAnsi="Times New Roman" w:cs="Times New Roman"/>
          <w:bCs/>
        </w:rPr>
        <w:t>heti óraszám nappali munkarend: 2</w:t>
      </w:r>
    </w:p>
    <w:p w:rsidR="00666335" w:rsidRPr="00666335" w:rsidRDefault="00666335" w:rsidP="00980876">
      <w:pPr>
        <w:pStyle w:val="lfej"/>
        <w:numPr>
          <w:ilvl w:val="0"/>
          <w:numId w:val="811"/>
        </w:numPr>
        <w:tabs>
          <w:tab w:val="clear" w:pos="4536"/>
          <w:tab w:val="clear" w:pos="9072"/>
        </w:tabs>
        <w:spacing w:before="120"/>
        <w:ind w:left="426" w:right="141" w:hanging="426"/>
        <w:jc w:val="both"/>
        <w:rPr>
          <w:rFonts w:ascii="Times New Roman" w:hAnsi="Times New Roman" w:cs="Times New Roman"/>
          <w:bCs/>
          <w:lang w:val="en-US"/>
        </w:rPr>
      </w:pPr>
      <w:r w:rsidRPr="00666335">
        <w:rPr>
          <w:rFonts w:ascii="Times New Roman" w:hAnsi="Times New Roman" w:cs="Times New Roman"/>
          <w:b/>
          <w:bCs/>
        </w:rPr>
        <w:t>A tantárgy szakmai tartalma (magyarul):</w:t>
      </w:r>
      <w:r w:rsidRPr="00666335">
        <w:rPr>
          <w:rFonts w:ascii="Times New Roman" w:hAnsi="Times New Roman" w:cs="Times New Roman"/>
          <w:bCs/>
        </w:rPr>
        <w:t xml:space="preserve"> </w:t>
      </w:r>
      <w:r w:rsidRPr="00666335">
        <w:rPr>
          <w:rFonts w:ascii="Times New Roman" w:hAnsi="Times New Roman" w:cs="Times New Roman"/>
        </w:rPr>
        <w:t xml:space="preserve">A tantárgy áttekintést ad a magyar állam - és a történeti alkotmány fejlődésének főbb állomásairól, az 1945 utáni magyar állam és politika változásairól az 1989-as rendszerváltozásig, elemzi a magyar rendszerváltás közjogi kérdéseit és az alkotmányos intézményrendszer fejlődése a magyar Alaptörvény bevezetését is átfogóan. A tárgy  bevezetést ad az állam – és kormányformák történeti és nemzetközi modelljeibe, az állami feladatok, kormányzati szerepek változataiba, a demokratikus kormányzás kihívásaiba, a kormányzás hatékonyságának és értékrendszerének dilemmáiba, a többszintű kormányzás, a jó közigazgatás és a digitalizáció problematikájába. </w:t>
      </w:r>
    </w:p>
    <w:p w:rsidR="00666335" w:rsidRPr="00666335" w:rsidRDefault="00666335" w:rsidP="00666335">
      <w:pPr>
        <w:pStyle w:val="lfej"/>
        <w:tabs>
          <w:tab w:val="clear" w:pos="4536"/>
          <w:tab w:val="clear" w:pos="9072"/>
        </w:tabs>
        <w:spacing w:before="120"/>
        <w:ind w:left="426" w:right="141"/>
        <w:jc w:val="both"/>
        <w:rPr>
          <w:rFonts w:ascii="Times New Roman" w:hAnsi="Times New Roman" w:cs="Times New Roman"/>
          <w:bCs/>
          <w:lang w:val="en-US"/>
        </w:rPr>
      </w:pPr>
      <w:r w:rsidRPr="00666335">
        <w:rPr>
          <w:rFonts w:ascii="Times New Roman" w:hAnsi="Times New Roman" w:cs="Times New Roman"/>
          <w:b/>
          <w:bCs/>
        </w:rPr>
        <w:t>A tantárgy szakmai tartalma (angolul) (</w:t>
      </w:r>
      <w:r w:rsidRPr="00666335">
        <w:rPr>
          <w:rFonts w:ascii="Times New Roman" w:hAnsi="Times New Roman" w:cs="Times New Roman"/>
          <w:b/>
          <w:bCs/>
          <w:lang w:val="en-US"/>
        </w:rPr>
        <w:t>Course description</w:t>
      </w:r>
      <w:r w:rsidRPr="00666335">
        <w:rPr>
          <w:rFonts w:ascii="Times New Roman" w:hAnsi="Times New Roman" w:cs="Times New Roman"/>
          <w:b/>
          <w:bCs/>
        </w:rPr>
        <w:t xml:space="preserve"> - English): </w:t>
      </w:r>
      <w:r w:rsidRPr="00666335">
        <w:rPr>
          <w:rFonts w:ascii="Times New Roman" w:hAnsi="Times New Roman" w:cs="Times New Roman"/>
          <w:bCs/>
          <w:lang w:val="en-US"/>
        </w:rPr>
        <w:t>The course gives a close insight into the developmental stages of the Hungarian State and Historical Constitution, also into the Hungarian state and political changes from 1945 to the Regime Change in 1989, moreover comprehensively analyzes the questions of public law of the Hungarian Regime Change and the development of the constitutional institutional system and the introduction of the Hungarian Constitution. The course introduces the historical and international models of the form of government and state, state duties, variations of governmental roles, challanges of democratic governance, dilemmas of governance efficiency and value-system, multi-level governance and the problem of good governance and digitalisation.</w:t>
      </w:r>
    </w:p>
    <w:p w:rsidR="00666335" w:rsidRPr="00666335" w:rsidRDefault="00666335" w:rsidP="00980876">
      <w:pPr>
        <w:pStyle w:val="Listaszerbekezds"/>
        <w:widowControl w:val="0"/>
        <w:numPr>
          <w:ilvl w:val="0"/>
          <w:numId w:val="811"/>
        </w:numPr>
        <w:spacing w:before="120" w:after="120" w:line="240" w:lineRule="auto"/>
        <w:jc w:val="both"/>
        <w:rPr>
          <w:rFonts w:ascii="Times New Roman" w:hAnsi="Times New Roman" w:cs="Times New Roman"/>
          <w:b/>
          <w:bCs/>
        </w:rPr>
      </w:pPr>
      <w:r w:rsidRPr="00666335">
        <w:rPr>
          <w:rFonts w:ascii="Times New Roman" w:hAnsi="Times New Roman" w:cs="Times New Roman"/>
          <w:b/>
          <w:bCs/>
        </w:rPr>
        <w:t xml:space="preserve">Elérendő kompetenciák (magyarul): </w:t>
      </w:r>
    </w:p>
    <w:p w:rsidR="00666335" w:rsidRPr="00666335" w:rsidRDefault="00666335" w:rsidP="00666335">
      <w:pPr>
        <w:widowControl w:val="0"/>
        <w:spacing w:before="120" w:after="120" w:line="240" w:lineRule="auto"/>
        <w:ind w:left="426"/>
        <w:jc w:val="both"/>
        <w:rPr>
          <w:rFonts w:ascii="Times New Roman" w:hAnsi="Times New Roman" w:cs="Times New Roman"/>
          <w:bCs/>
        </w:rPr>
      </w:pPr>
      <w:r w:rsidRPr="00666335">
        <w:rPr>
          <w:rFonts w:ascii="Times New Roman" w:hAnsi="Times New Roman" w:cs="Times New Roman"/>
          <w:b/>
          <w:bCs/>
        </w:rPr>
        <w:t>Tudása:</w:t>
      </w:r>
      <w:r w:rsidRPr="00666335">
        <w:rPr>
          <w:rFonts w:ascii="Times New Roman" w:hAnsi="Times New Roman" w:cs="Times New Roman"/>
          <w:bCs/>
        </w:rPr>
        <w:t xml:space="preserve"> átfogó tudással rendelkezik a magyar állam – és nemzetfejlődés történelmi modelljéről, a közjogi keretek és a kormányzati praktikum, a közpolitikai értékrend  és a modern kor kihívásaira adható válaszok lehetőségeiről. </w:t>
      </w:r>
    </w:p>
    <w:p w:rsidR="00666335" w:rsidRPr="00666335" w:rsidRDefault="00666335" w:rsidP="00666335">
      <w:pPr>
        <w:widowControl w:val="0"/>
        <w:spacing w:before="120" w:after="120" w:line="240" w:lineRule="auto"/>
        <w:ind w:left="426"/>
        <w:jc w:val="both"/>
        <w:rPr>
          <w:rFonts w:ascii="Times New Roman" w:hAnsi="Times New Roman" w:cs="Times New Roman"/>
          <w:bCs/>
        </w:rPr>
      </w:pPr>
      <w:r w:rsidRPr="00666335">
        <w:rPr>
          <w:rFonts w:ascii="Times New Roman" w:eastAsia="Calibri" w:hAnsi="Times New Roman" w:cs="Times New Roman"/>
          <w:b/>
        </w:rPr>
        <w:t>Képesség:</w:t>
      </w:r>
      <w:r w:rsidRPr="00666335">
        <w:rPr>
          <w:rFonts w:ascii="Times New Roman" w:eastAsia="Calibri" w:hAnsi="Times New Roman" w:cs="Times New Roman"/>
        </w:rPr>
        <w:t xml:space="preserve"> nemzetstratégiai szintű gondolkodás, lojalitás és felelősségérzet, rendszerszintű szemlélet, átfogó megközelítés, komplex problémakezelés.</w:t>
      </w:r>
    </w:p>
    <w:p w:rsidR="00666335" w:rsidRPr="00666335" w:rsidRDefault="00666335" w:rsidP="00666335">
      <w:pPr>
        <w:widowControl w:val="0"/>
        <w:spacing w:before="120" w:after="120" w:line="240" w:lineRule="auto"/>
        <w:ind w:left="426"/>
        <w:jc w:val="both"/>
        <w:rPr>
          <w:rFonts w:ascii="Times New Roman" w:hAnsi="Times New Roman" w:cs="Times New Roman"/>
          <w:bCs/>
        </w:rPr>
      </w:pPr>
      <w:r w:rsidRPr="00666335">
        <w:rPr>
          <w:rFonts w:ascii="Times New Roman" w:eastAsia="Calibri" w:hAnsi="Times New Roman" w:cs="Times New Roman"/>
          <w:b/>
        </w:rPr>
        <w:t xml:space="preserve">Attitűdje: </w:t>
      </w:r>
      <w:r w:rsidRPr="00666335">
        <w:rPr>
          <w:rFonts w:ascii="Times New Roman" w:eastAsia="Calibri" w:hAnsi="Times New Roman" w:cs="Times New Roman"/>
        </w:rPr>
        <w:t xml:space="preserve">nyitott és kritikus gondolkodás, ambíció és kíváncsiság, intuíció és módszeresség, </w:t>
      </w:r>
      <w:r w:rsidRPr="00666335">
        <w:rPr>
          <w:rFonts w:ascii="Times New Roman" w:eastAsia="Calibri" w:hAnsi="Times New Roman" w:cs="Times New Roman"/>
        </w:rPr>
        <w:lastRenderedPageBreak/>
        <w:t>közszolgálati elkötelezettség és igény a minőségi munkára, igény az élethosszig tartó továbbképzésre.</w:t>
      </w:r>
    </w:p>
    <w:p w:rsidR="00666335" w:rsidRPr="00666335" w:rsidRDefault="00666335" w:rsidP="00666335">
      <w:pPr>
        <w:pStyle w:val="lfej"/>
        <w:tabs>
          <w:tab w:val="clear" w:pos="4536"/>
          <w:tab w:val="clear" w:pos="9072"/>
        </w:tabs>
        <w:spacing w:before="120"/>
        <w:ind w:left="426" w:right="141"/>
        <w:jc w:val="both"/>
        <w:rPr>
          <w:rFonts w:ascii="Times New Roman" w:eastAsia="Calibri" w:hAnsi="Times New Roman" w:cs="Times New Roman"/>
        </w:rPr>
      </w:pPr>
      <w:r w:rsidRPr="00666335">
        <w:rPr>
          <w:rFonts w:ascii="Times New Roman" w:eastAsia="Calibri" w:hAnsi="Times New Roman" w:cs="Times New Roman"/>
          <w:b/>
        </w:rPr>
        <w:t xml:space="preserve">Autonómiája és felelőssége: </w:t>
      </w:r>
      <w:r w:rsidRPr="00666335">
        <w:rPr>
          <w:rFonts w:ascii="Times New Roman" w:eastAsia="Calibri" w:hAnsi="Times New Roman" w:cs="Times New Roman"/>
        </w:rPr>
        <w:t>munkáját az állam és a nemzet szolgálatának tekinti, a közösség iránti alázattal, az emberek iránti tisztelettel, őket szolgálva cselekszik.</w:t>
      </w:r>
      <w:r w:rsidRPr="00666335">
        <w:rPr>
          <w:rFonts w:ascii="Times New Roman" w:eastAsia="Calibri" w:hAnsi="Times New Roman" w:cs="Times New Roman"/>
          <w:b/>
        </w:rPr>
        <w:t xml:space="preserve"> </w:t>
      </w:r>
      <w:r w:rsidRPr="00666335">
        <w:rPr>
          <w:rFonts w:ascii="Times New Roman" w:eastAsia="Calibri" w:hAnsi="Times New Roman" w:cs="Times New Roman"/>
        </w:rPr>
        <w:t xml:space="preserve">Munkáját folyamatos tanulásnak tekinti, saját hibáiból tanul, képes tanácsot kérni és másokat meghallgatni. </w:t>
      </w:r>
    </w:p>
    <w:p w:rsidR="00666335" w:rsidRPr="00666335" w:rsidRDefault="00666335" w:rsidP="00666335">
      <w:pPr>
        <w:pStyle w:val="lfej"/>
        <w:tabs>
          <w:tab w:val="clear" w:pos="4536"/>
          <w:tab w:val="clear" w:pos="9072"/>
        </w:tabs>
        <w:spacing w:before="120"/>
        <w:ind w:right="141"/>
        <w:jc w:val="both"/>
        <w:rPr>
          <w:rFonts w:ascii="Times New Roman" w:hAnsi="Times New Roman" w:cs="Times New Roman"/>
          <w:b/>
          <w:bCs/>
          <w:lang w:val="en-US"/>
        </w:rPr>
      </w:pPr>
      <w:r w:rsidRPr="00666335">
        <w:rPr>
          <w:rFonts w:ascii="Times New Roman" w:hAnsi="Times New Roman" w:cs="Times New Roman"/>
          <w:b/>
          <w:bCs/>
        </w:rPr>
        <w:t>Elérendő kompetenciák (angolul) (</w:t>
      </w:r>
      <w:r w:rsidRPr="00666335">
        <w:rPr>
          <w:rFonts w:ascii="Times New Roman" w:hAnsi="Times New Roman" w:cs="Times New Roman"/>
          <w:b/>
          <w:bCs/>
          <w:lang w:val="en-US"/>
        </w:rPr>
        <w:t xml:space="preserve">Competences – English): </w:t>
      </w:r>
    </w:p>
    <w:p w:rsidR="00666335" w:rsidRPr="00666335" w:rsidRDefault="00666335" w:rsidP="00666335">
      <w:pPr>
        <w:pStyle w:val="HTML-kntformzott"/>
        <w:spacing w:before="120"/>
        <w:ind w:left="357"/>
        <w:jc w:val="both"/>
        <w:rPr>
          <w:rFonts w:ascii="Times New Roman" w:hAnsi="Times New Roman" w:cs="Times New Roman"/>
          <w:bCs/>
          <w:sz w:val="22"/>
          <w:szCs w:val="22"/>
          <w:lang w:val="en-US"/>
        </w:rPr>
      </w:pPr>
      <w:r w:rsidRPr="00666335">
        <w:rPr>
          <w:rFonts w:ascii="Times New Roman" w:hAnsi="Times New Roman" w:cs="Times New Roman"/>
          <w:b/>
          <w:sz w:val="22"/>
          <w:szCs w:val="22"/>
          <w:lang w:val="en-GB"/>
        </w:rPr>
        <w:t>Knowledge:</w:t>
      </w:r>
      <w:r w:rsidRPr="00666335">
        <w:rPr>
          <w:rFonts w:ascii="Times New Roman" w:hAnsi="Times New Roman" w:cs="Times New Roman"/>
          <w:sz w:val="22"/>
          <w:szCs w:val="22"/>
          <w:lang w:val="en-GB"/>
        </w:rPr>
        <w:t xml:space="preserve"> possesses comprehensive knowledge about the</w:t>
      </w:r>
      <w:r w:rsidRPr="00666335">
        <w:rPr>
          <w:rFonts w:ascii="Times New Roman" w:hAnsi="Times New Roman" w:cs="Times New Roman"/>
          <w:bCs/>
          <w:sz w:val="22"/>
          <w:szCs w:val="22"/>
          <w:lang w:val="en-US"/>
        </w:rPr>
        <w:t xml:space="preserve"> historical models of the development of Hungarian state and nation, frames of public law and practicality of governance, the value system of public policy, and possible answers to the challenges of modern age.</w:t>
      </w:r>
    </w:p>
    <w:p w:rsidR="00666335" w:rsidRPr="00666335" w:rsidRDefault="00666335" w:rsidP="00666335">
      <w:pPr>
        <w:pStyle w:val="HTML-kntformzott"/>
        <w:spacing w:before="120"/>
        <w:ind w:left="357"/>
        <w:jc w:val="both"/>
        <w:rPr>
          <w:rFonts w:ascii="Times New Roman" w:hAnsi="Times New Roman" w:cs="Times New Roman"/>
          <w:bCs/>
          <w:sz w:val="22"/>
          <w:szCs w:val="22"/>
          <w:lang w:val="en-US"/>
        </w:rPr>
      </w:pPr>
      <w:r w:rsidRPr="00666335">
        <w:rPr>
          <w:rFonts w:ascii="Times New Roman" w:hAnsi="Times New Roman" w:cs="Times New Roman"/>
          <w:b/>
          <w:bCs/>
          <w:sz w:val="22"/>
          <w:szCs w:val="22"/>
          <w:lang w:val="en-US"/>
        </w:rPr>
        <w:t>Skills:</w:t>
      </w:r>
      <w:r w:rsidRPr="00666335">
        <w:rPr>
          <w:rFonts w:ascii="Times New Roman" w:hAnsi="Times New Roman" w:cs="Times New Roman"/>
          <w:bCs/>
          <w:sz w:val="22"/>
          <w:szCs w:val="22"/>
          <w:lang w:val="en-US"/>
        </w:rPr>
        <w:t xml:space="preserve"> thinking on a level of national strategy, loyalty and sense of responsibility, system-wide perspective, overall approach and complex problem solving.</w:t>
      </w:r>
    </w:p>
    <w:p w:rsidR="00666335" w:rsidRPr="00666335" w:rsidRDefault="00666335" w:rsidP="00666335">
      <w:pPr>
        <w:pStyle w:val="HTML-kntformzott"/>
        <w:spacing w:before="120"/>
        <w:ind w:left="357"/>
        <w:jc w:val="both"/>
        <w:rPr>
          <w:rFonts w:ascii="Times New Roman" w:hAnsi="Times New Roman" w:cs="Times New Roman"/>
          <w:sz w:val="22"/>
          <w:szCs w:val="22"/>
          <w:lang w:val="en-GB"/>
        </w:rPr>
      </w:pPr>
      <w:r w:rsidRPr="00666335">
        <w:rPr>
          <w:rFonts w:ascii="Times New Roman" w:hAnsi="Times New Roman" w:cs="Times New Roman"/>
          <w:b/>
          <w:bCs/>
          <w:sz w:val="22"/>
          <w:szCs w:val="22"/>
          <w:lang w:val="en-US"/>
        </w:rPr>
        <w:t>Attitude:</w:t>
      </w:r>
      <w:r w:rsidRPr="00666335">
        <w:rPr>
          <w:rFonts w:ascii="Times New Roman" w:hAnsi="Times New Roman" w:cs="Times New Roman"/>
          <w:sz w:val="22"/>
          <w:szCs w:val="22"/>
          <w:lang w:val="en-GB"/>
        </w:rPr>
        <w:t xml:space="preserve"> open and critical thinking, ambition and curiosity, intuition and thoroughness, commitment to public governance, demand for quality work and lifelong learning.</w:t>
      </w:r>
    </w:p>
    <w:p w:rsidR="00666335" w:rsidRPr="00666335" w:rsidRDefault="00666335" w:rsidP="00666335">
      <w:pPr>
        <w:pStyle w:val="HTML-kntformzott"/>
        <w:spacing w:before="120"/>
        <w:ind w:left="357"/>
        <w:jc w:val="both"/>
        <w:rPr>
          <w:rFonts w:ascii="Times New Roman" w:hAnsi="Times New Roman" w:cs="Times New Roman"/>
          <w:sz w:val="22"/>
          <w:szCs w:val="22"/>
          <w:lang w:val="en-GB"/>
        </w:rPr>
      </w:pPr>
      <w:r w:rsidRPr="00666335">
        <w:rPr>
          <w:rFonts w:ascii="Times New Roman" w:hAnsi="Times New Roman" w:cs="Times New Roman"/>
          <w:b/>
          <w:bCs/>
          <w:sz w:val="22"/>
          <w:szCs w:val="22"/>
          <w:lang w:val="en-US"/>
        </w:rPr>
        <w:t>Autonomy and responsibility:</w:t>
      </w:r>
      <w:r w:rsidRPr="00666335">
        <w:rPr>
          <w:rFonts w:ascii="Times New Roman" w:hAnsi="Times New Roman" w:cs="Times New Roman"/>
          <w:sz w:val="22"/>
          <w:szCs w:val="22"/>
          <w:lang w:val="en-GB"/>
        </w:rPr>
        <w:t xml:space="preserve"> considers work in service of the state and nation, acting and serving with humility to community, with respect to people. Considers own work a constant learning act, learns from own mistakes, able to aks for advice and listens to others.</w:t>
      </w:r>
    </w:p>
    <w:p w:rsidR="00666335" w:rsidRPr="00666335" w:rsidRDefault="00666335" w:rsidP="00980876">
      <w:pPr>
        <w:pStyle w:val="lfej"/>
        <w:numPr>
          <w:ilvl w:val="0"/>
          <w:numId w:val="811"/>
        </w:numPr>
        <w:tabs>
          <w:tab w:val="clear" w:pos="4536"/>
          <w:tab w:val="clear" w:pos="9072"/>
          <w:tab w:val="right" w:pos="900"/>
        </w:tabs>
        <w:spacing w:before="120"/>
        <w:jc w:val="both"/>
        <w:rPr>
          <w:rFonts w:ascii="Times New Roman" w:hAnsi="Times New Roman" w:cs="Times New Roman"/>
          <w:bCs/>
        </w:rPr>
      </w:pPr>
      <w:r w:rsidRPr="00666335">
        <w:rPr>
          <w:rFonts w:ascii="Times New Roman" w:hAnsi="Times New Roman" w:cs="Times New Roman"/>
          <w:b/>
          <w:bCs/>
        </w:rPr>
        <w:t xml:space="preserve">Előtanulmányi kötelezettségek: </w:t>
      </w:r>
      <w:r w:rsidRPr="00666335">
        <w:rPr>
          <w:rFonts w:ascii="Times New Roman" w:hAnsi="Times New Roman" w:cs="Times New Roman"/>
          <w:bCs/>
        </w:rPr>
        <w:t>-</w:t>
      </w:r>
    </w:p>
    <w:p w:rsidR="00666335" w:rsidRPr="00666335" w:rsidRDefault="00666335" w:rsidP="00980876">
      <w:pPr>
        <w:pStyle w:val="lfej"/>
        <w:numPr>
          <w:ilvl w:val="0"/>
          <w:numId w:val="811"/>
        </w:numPr>
        <w:tabs>
          <w:tab w:val="clear" w:pos="4536"/>
          <w:tab w:val="clear" w:pos="9072"/>
        </w:tabs>
        <w:spacing w:before="120"/>
        <w:ind w:left="426" w:right="141" w:hanging="426"/>
        <w:jc w:val="both"/>
        <w:rPr>
          <w:rFonts w:ascii="Times New Roman" w:hAnsi="Times New Roman" w:cs="Times New Roman"/>
          <w:b/>
          <w:bCs/>
        </w:rPr>
      </w:pPr>
      <w:r w:rsidRPr="00666335">
        <w:rPr>
          <w:rFonts w:ascii="Times New Roman" w:hAnsi="Times New Roman" w:cs="Times New Roman"/>
          <w:b/>
          <w:bCs/>
        </w:rPr>
        <w:t>A tantárgy tananyagának leírása: (tematika)</w:t>
      </w:r>
    </w:p>
    <w:p w:rsidR="00666335" w:rsidRPr="00D435F9" w:rsidRDefault="00666335" w:rsidP="00F17BA1">
      <w:pPr>
        <w:numPr>
          <w:ilvl w:val="1"/>
          <w:numId w:val="811"/>
        </w:numPr>
        <w:tabs>
          <w:tab w:val="num" w:pos="1425"/>
        </w:tabs>
        <w:spacing w:before="120" w:after="0" w:line="240" w:lineRule="auto"/>
        <w:ind w:left="1134" w:right="142" w:hanging="567"/>
        <w:jc w:val="both"/>
        <w:rPr>
          <w:rFonts w:ascii="Times New Roman" w:hAnsi="Times New Roman" w:cs="Times New Roman"/>
        </w:rPr>
      </w:pPr>
      <w:r w:rsidRPr="00D435F9">
        <w:rPr>
          <w:rFonts w:ascii="Times New Roman" w:hAnsi="Times New Roman" w:cs="Times New Roman"/>
        </w:rPr>
        <w:t>Magyar államfejlődés és történeti alkotmány I.-II. (The Development of the Hungarian State and the Historical Constitution)</w:t>
      </w:r>
    </w:p>
    <w:p w:rsidR="00666335" w:rsidRPr="00D435F9" w:rsidRDefault="00666335" w:rsidP="00F17BA1">
      <w:pPr>
        <w:numPr>
          <w:ilvl w:val="1"/>
          <w:numId w:val="811"/>
        </w:numPr>
        <w:tabs>
          <w:tab w:val="num" w:pos="1425"/>
        </w:tabs>
        <w:spacing w:before="120" w:after="0" w:line="240" w:lineRule="auto"/>
        <w:ind w:left="1134" w:right="142" w:hanging="567"/>
        <w:jc w:val="both"/>
        <w:rPr>
          <w:rFonts w:ascii="Times New Roman" w:hAnsi="Times New Roman" w:cs="Times New Roman"/>
        </w:rPr>
      </w:pPr>
      <w:r w:rsidRPr="00D435F9">
        <w:rPr>
          <w:rFonts w:ascii="Times New Roman" w:hAnsi="Times New Roman" w:cs="Times New Roman"/>
        </w:rPr>
        <w:t>Magyar állam és politika 1945-1989 (The Hungarian State and Politics 1945-1989)</w:t>
      </w:r>
    </w:p>
    <w:p w:rsidR="00666335" w:rsidRPr="00D435F9" w:rsidRDefault="00666335" w:rsidP="00F17BA1">
      <w:pPr>
        <w:numPr>
          <w:ilvl w:val="1"/>
          <w:numId w:val="811"/>
        </w:numPr>
        <w:tabs>
          <w:tab w:val="num" w:pos="1425"/>
        </w:tabs>
        <w:spacing w:before="120" w:after="0" w:line="240" w:lineRule="auto"/>
        <w:ind w:left="1134" w:right="142" w:hanging="567"/>
        <w:jc w:val="both"/>
        <w:rPr>
          <w:rFonts w:ascii="Times New Roman" w:hAnsi="Times New Roman" w:cs="Times New Roman"/>
        </w:rPr>
      </w:pPr>
      <w:r w:rsidRPr="00D435F9">
        <w:rPr>
          <w:rFonts w:ascii="Times New Roman" w:hAnsi="Times New Roman" w:cs="Times New Roman"/>
        </w:rPr>
        <w:t>A magyar rendszerváltás közjogi kérdései</w:t>
      </w:r>
      <w:r w:rsidR="00D435F9" w:rsidRPr="00D435F9">
        <w:rPr>
          <w:rFonts w:ascii="Times New Roman" w:hAnsi="Times New Roman" w:cs="Times New Roman"/>
        </w:rPr>
        <w:t xml:space="preserve"> </w:t>
      </w:r>
      <w:r w:rsidRPr="00D435F9">
        <w:rPr>
          <w:rFonts w:ascii="Times New Roman" w:hAnsi="Times New Roman" w:cs="Times New Roman"/>
        </w:rPr>
        <w:t>(Legal Challenges of the Post-socialist Political Changes in Hungary)</w:t>
      </w:r>
    </w:p>
    <w:p w:rsidR="00666335" w:rsidRPr="00D435F9" w:rsidRDefault="00666335" w:rsidP="00F17BA1">
      <w:pPr>
        <w:numPr>
          <w:ilvl w:val="1"/>
          <w:numId w:val="811"/>
        </w:numPr>
        <w:tabs>
          <w:tab w:val="num" w:pos="1425"/>
        </w:tabs>
        <w:spacing w:before="120" w:after="0" w:line="240" w:lineRule="auto"/>
        <w:ind w:left="1134" w:right="142" w:hanging="567"/>
        <w:jc w:val="both"/>
        <w:rPr>
          <w:rFonts w:ascii="Times New Roman" w:hAnsi="Times New Roman" w:cs="Times New Roman"/>
        </w:rPr>
      </w:pPr>
      <w:r w:rsidRPr="00D435F9">
        <w:rPr>
          <w:rFonts w:ascii="Times New Roman" w:hAnsi="Times New Roman" w:cs="Times New Roman"/>
        </w:rPr>
        <w:t>Az alkotmányos intézményrendszer fejlődése 1989-től napjainkig</w:t>
      </w:r>
      <w:r w:rsidR="00D435F9" w:rsidRPr="00D435F9">
        <w:rPr>
          <w:rFonts w:ascii="Times New Roman" w:hAnsi="Times New Roman" w:cs="Times New Roman"/>
        </w:rPr>
        <w:t xml:space="preserve"> </w:t>
      </w:r>
      <w:r w:rsidRPr="00D435F9">
        <w:rPr>
          <w:rFonts w:ascii="Times New Roman" w:hAnsi="Times New Roman" w:cs="Times New Roman"/>
        </w:rPr>
        <w:t xml:space="preserve">(The Development of Constitutional Institutions since 1989) </w:t>
      </w:r>
    </w:p>
    <w:p w:rsidR="00666335" w:rsidRPr="00D435F9" w:rsidRDefault="00666335" w:rsidP="00F17BA1">
      <w:pPr>
        <w:numPr>
          <w:ilvl w:val="1"/>
          <w:numId w:val="811"/>
        </w:numPr>
        <w:tabs>
          <w:tab w:val="num" w:pos="1425"/>
        </w:tabs>
        <w:spacing w:before="120" w:after="0" w:line="240" w:lineRule="auto"/>
        <w:ind w:left="1134" w:right="142" w:hanging="567"/>
        <w:jc w:val="both"/>
        <w:rPr>
          <w:rFonts w:ascii="Times New Roman" w:hAnsi="Times New Roman" w:cs="Times New Roman"/>
        </w:rPr>
      </w:pPr>
      <w:r w:rsidRPr="00D435F9">
        <w:rPr>
          <w:rFonts w:ascii="Times New Roman" w:hAnsi="Times New Roman" w:cs="Times New Roman"/>
        </w:rPr>
        <w:t>A magyar Alaptörvény</w:t>
      </w:r>
      <w:r w:rsidR="00D435F9" w:rsidRPr="00D435F9">
        <w:rPr>
          <w:rFonts w:ascii="Times New Roman" w:hAnsi="Times New Roman" w:cs="Times New Roman"/>
        </w:rPr>
        <w:t xml:space="preserve"> </w:t>
      </w:r>
      <w:r w:rsidRPr="00D435F9">
        <w:rPr>
          <w:rFonts w:ascii="Times New Roman" w:hAnsi="Times New Roman" w:cs="Times New Roman"/>
        </w:rPr>
        <w:t>(The Hungarian Fundamental Law)</w:t>
      </w:r>
    </w:p>
    <w:p w:rsidR="00666335" w:rsidRPr="00D435F9" w:rsidRDefault="00666335" w:rsidP="00F17BA1">
      <w:pPr>
        <w:numPr>
          <w:ilvl w:val="1"/>
          <w:numId w:val="811"/>
        </w:numPr>
        <w:tabs>
          <w:tab w:val="num" w:pos="1425"/>
        </w:tabs>
        <w:spacing w:before="120" w:after="0" w:line="240" w:lineRule="auto"/>
        <w:ind w:left="1134" w:right="142" w:hanging="567"/>
        <w:jc w:val="both"/>
        <w:rPr>
          <w:rFonts w:ascii="Times New Roman" w:hAnsi="Times New Roman" w:cs="Times New Roman"/>
        </w:rPr>
      </w:pPr>
      <w:r w:rsidRPr="00D435F9">
        <w:rPr>
          <w:rFonts w:ascii="Times New Roman" w:hAnsi="Times New Roman" w:cs="Times New Roman"/>
        </w:rPr>
        <w:t xml:space="preserve">Állam – és kormányformák – történeti és nemzetközi modellek I.-II. </w:t>
      </w:r>
      <w:r w:rsidR="00D435F9" w:rsidRPr="00D435F9">
        <w:rPr>
          <w:rFonts w:ascii="Times New Roman" w:hAnsi="Times New Roman" w:cs="Times New Roman"/>
        </w:rPr>
        <w:t xml:space="preserve"> </w:t>
      </w:r>
      <w:r w:rsidRPr="00D435F9">
        <w:rPr>
          <w:rFonts w:ascii="Times New Roman" w:hAnsi="Times New Roman" w:cs="Times New Roman"/>
        </w:rPr>
        <w:t>(Regimes of State and Governement – Historical and Foreign Models)</w:t>
      </w:r>
    </w:p>
    <w:p w:rsidR="00666335" w:rsidRPr="00D435F9" w:rsidRDefault="00666335" w:rsidP="00F17BA1">
      <w:pPr>
        <w:numPr>
          <w:ilvl w:val="1"/>
          <w:numId w:val="811"/>
        </w:numPr>
        <w:tabs>
          <w:tab w:val="num" w:pos="1425"/>
        </w:tabs>
        <w:spacing w:before="120" w:after="0" w:line="240" w:lineRule="auto"/>
        <w:ind w:left="1134" w:right="142" w:hanging="567"/>
        <w:jc w:val="both"/>
        <w:rPr>
          <w:rFonts w:ascii="Times New Roman" w:hAnsi="Times New Roman" w:cs="Times New Roman"/>
        </w:rPr>
      </w:pPr>
      <w:r w:rsidRPr="00D435F9">
        <w:rPr>
          <w:rFonts w:ascii="Times New Roman" w:hAnsi="Times New Roman" w:cs="Times New Roman"/>
        </w:rPr>
        <w:t>Állami feladatok, kormányzati szerepek</w:t>
      </w:r>
      <w:r w:rsidR="00D435F9" w:rsidRPr="00D435F9">
        <w:rPr>
          <w:rFonts w:ascii="Times New Roman" w:hAnsi="Times New Roman" w:cs="Times New Roman"/>
        </w:rPr>
        <w:t xml:space="preserve"> </w:t>
      </w:r>
      <w:r w:rsidRPr="00D435F9">
        <w:rPr>
          <w:rFonts w:ascii="Times New Roman" w:hAnsi="Times New Roman" w:cs="Times New Roman"/>
        </w:rPr>
        <w:t>(Tasks and Roles of the State and the Government)</w:t>
      </w:r>
    </w:p>
    <w:p w:rsidR="00666335" w:rsidRPr="00D435F9" w:rsidRDefault="00666335" w:rsidP="00F17BA1">
      <w:pPr>
        <w:numPr>
          <w:ilvl w:val="1"/>
          <w:numId w:val="811"/>
        </w:numPr>
        <w:tabs>
          <w:tab w:val="num" w:pos="1425"/>
        </w:tabs>
        <w:spacing w:before="120" w:after="0" w:line="240" w:lineRule="auto"/>
        <w:ind w:left="1134" w:right="142" w:hanging="567"/>
        <w:jc w:val="both"/>
        <w:rPr>
          <w:rFonts w:ascii="Times New Roman" w:hAnsi="Times New Roman" w:cs="Times New Roman"/>
        </w:rPr>
      </w:pPr>
      <w:r w:rsidRPr="00D435F9">
        <w:rPr>
          <w:rFonts w:ascii="Times New Roman" w:hAnsi="Times New Roman" w:cs="Times New Roman"/>
        </w:rPr>
        <w:t>A demokratikus kormányzás gyakorlata és kihívásai</w:t>
      </w:r>
      <w:r w:rsidR="00D435F9" w:rsidRPr="00D435F9">
        <w:rPr>
          <w:rFonts w:ascii="Times New Roman" w:hAnsi="Times New Roman" w:cs="Times New Roman"/>
        </w:rPr>
        <w:t xml:space="preserve"> </w:t>
      </w:r>
      <w:r w:rsidRPr="00D435F9">
        <w:rPr>
          <w:rFonts w:ascii="Times New Roman" w:hAnsi="Times New Roman" w:cs="Times New Roman"/>
        </w:rPr>
        <w:t>(Practice and Challenges of Democratic Public Governance)</w:t>
      </w:r>
    </w:p>
    <w:p w:rsidR="00666335" w:rsidRPr="00D435F9" w:rsidRDefault="00666335" w:rsidP="00F17BA1">
      <w:pPr>
        <w:numPr>
          <w:ilvl w:val="1"/>
          <w:numId w:val="811"/>
        </w:numPr>
        <w:tabs>
          <w:tab w:val="num" w:pos="1425"/>
        </w:tabs>
        <w:spacing w:before="120" w:after="0" w:line="240" w:lineRule="auto"/>
        <w:ind w:left="1134" w:right="142" w:hanging="567"/>
        <w:jc w:val="both"/>
        <w:rPr>
          <w:rFonts w:ascii="Times New Roman" w:hAnsi="Times New Roman" w:cs="Times New Roman"/>
        </w:rPr>
      </w:pPr>
      <w:r w:rsidRPr="00D435F9">
        <w:rPr>
          <w:rFonts w:ascii="Times New Roman" w:hAnsi="Times New Roman" w:cs="Times New Roman"/>
        </w:rPr>
        <w:t xml:space="preserve">A kormányzás funkcionális kérdései és hatékonysága (The Operation and the Efficiency of Government) </w:t>
      </w:r>
    </w:p>
    <w:p w:rsidR="00666335" w:rsidRPr="00D435F9" w:rsidRDefault="00666335" w:rsidP="00F17BA1">
      <w:pPr>
        <w:numPr>
          <w:ilvl w:val="1"/>
          <w:numId w:val="811"/>
        </w:numPr>
        <w:tabs>
          <w:tab w:val="num" w:pos="1425"/>
        </w:tabs>
        <w:spacing w:before="120" w:after="0" w:line="240" w:lineRule="auto"/>
        <w:ind w:left="1134" w:right="142" w:hanging="567"/>
        <w:jc w:val="both"/>
        <w:rPr>
          <w:rFonts w:ascii="Times New Roman" w:hAnsi="Times New Roman" w:cs="Times New Roman"/>
        </w:rPr>
      </w:pPr>
      <w:r w:rsidRPr="00D435F9">
        <w:rPr>
          <w:rFonts w:ascii="Times New Roman" w:hAnsi="Times New Roman" w:cs="Times New Roman"/>
        </w:rPr>
        <w:t>A kormányzás értékrendszere és értékelése (The Values and the Assessment of Government)</w:t>
      </w:r>
    </w:p>
    <w:p w:rsidR="00666335" w:rsidRPr="00D435F9" w:rsidRDefault="00666335" w:rsidP="00F17BA1">
      <w:pPr>
        <w:numPr>
          <w:ilvl w:val="1"/>
          <w:numId w:val="811"/>
        </w:numPr>
        <w:tabs>
          <w:tab w:val="num" w:pos="1425"/>
        </w:tabs>
        <w:spacing w:before="120" w:after="0" w:line="240" w:lineRule="auto"/>
        <w:ind w:left="1134" w:right="142" w:hanging="567"/>
        <w:jc w:val="both"/>
        <w:rPr>
          <w:rFonts w:ascii="Times New Roman" w:hAnsi="Times New Roman" w:cs="Times New Roman"/>
        </w:rPr>
      </w:pPr>
      <w:r w:rsidRPr="00D435F9">
        <w:rPr>
          <w:rFonts w:ascii="Times New Roman" w:hAnsi="Times New Roman" w:cs="Times New Roman"/>
        </w:rPr>
        <w:t>A területi kormányzás és az önkormányzatok</w:t>
      </w:r>
      <w:r w:rsidR="00D435F9" w:rsidRPr="00D435F9">
        <w:rPr>
          <w:rFonts w:ascii="Times New Roman" w:hAnsi="Times New Roman" w:cs="Times New Roman"/>
        </w:rPr>
        <w:t xml:space="preserve"> </w:t>
      </w:r>
      <w:r w:rsidRPr="00D435F9">
        <w:rPr>
          <w:rFonts w:ascii="Times New Roman" w:hAnsi="Times New Roman" w:cs="Times New Roman"/>
        </w:rPr>
        <w:t>(Territorial and Local Governance )</w:t>
      </w:r>
    </w:p>
    <w:p w:rsidR="00666335" w:rsidRPr="00D435F9" w:rsidRDefault="00666335" w:rsidP="00F17BA1">
      <w:pPr>
        <w:numPr>
          <w:ilvl w:val="1"/>
          <w:numId w:val="811"/>
        </w:numPr>
        <w:tabs>
          <w:tab w:val="num" w:pos="1425"/>
        </w:tabs>
        <w:spacing w:before="120" w:after="0" w:line="240" w:lineRule="auto"/>
        <w:ind w:left="1134" w:right="142" w:hanging="567"/>
        <w:jc w:val="both"/>
        <w:rPr>
          <w:rFonts w:ascii="Times New Roman" w:hAnsi="Times New Roman" w:cs="Times New Roman"/>
        </w:rPr>
      </w:pPr>
      <w:r w:rsidRPr="00D435F9">
        <w:rPr>
          <w:rFonts w:ascii="Times New Roman" w:hAnsi="Times New Roman" w:cs="Times New Roman"/>
        </w:rPr>
        <w:t>A jó és hatékony közigazgatás (Good and Effective Governance)</w:t>
      </w:r>
    </w:p>
    <w:p w:rsidR="00666335" w:rsidRPr="00D435F9" w:rsidRDefault="00666335" w:rsidP="00F17BA1">
      <w:pPr>
        <w:numPr>
          <w:ilvl w:val="1"/>
          <w:numId w:val="811"/>
        </w:numPr>
        <w:tabs>
          <w:tab w:val="num" w:pos="1425"/>
        </w:tabs>
        <w:spacing w:before="120" w:after="0" w:line="240" w:lineRule="auto"/>
        <w:ind w:left="1134" w:right="142" w:hanging="567"/>
        <w:jc w:val="both"/>
        <w:rPr>
          <w:rFonts w:ascii="Times New Roman" w:hAnsi="Times New Roman" w:cs="Times New Roman"/>
        </w:rPr>
      </w:pPr>
      <w:r w:rsidRPr="00D435F9">
        <w:rPr>
          <w:rFonts w:ascii="Times New Roman" w:hAnsi="Times New Roman" w:cs="Times New Roman"/>
        </w:rPr>
        <w:t>A digitális állam</w:t>
      </w:r>
      <w:r w:rsidR="00D435F9" w:rsidRPr="00D435F9">
        <w:rPr>
          <w:rFonts w:ascii="Times New Roman" w:hAnsi="Times New Roman" w:cs="Times New Roman"/>
        </w:rPr>
        <w:t xml:space="preserve"> </w:t>
      </w:r>
      <w:r w:rsidRPr="00D435F9">
        <w:rPr>
          <w:rFonts w:ascii="Times New Roman" w:hAnsi="Times New Roman" w:cs="Times New Roman"/>
        </w:rPr>
        <w:t>(The Digital State)</w:t>
      </w:r>
    </w:p>
    <w:p w:rsidR="00666335" w:rsidRPr="00666335" w:rsidRDefault="00666335" w:rsidP="00980876">
      <w:pPr>
        <w:pStyle w:val="lfej"/>
        <w:numPr>
          <w:ilvl w:val="0"/>
          <w:numId w:val="811"/>
        </w:numPr>
        <w:tabs>
          <w:tab w:val="clear" w:pos="4536"/>
          <w:tab w:val="clear" w:pos="9072"/>
          <w:tab w:val="right" w:pos="900"/>
        </w:tabs>
        <w:spacing w:before="120"/>
        <w:jc w:val="both"/>
        <w:rPr>
          <w:rFonts w:ascii="Times New Roman" w:hAnsi="Times New Roman" w:cs="Times New Roman"/>
          <w:bCs/>
        </w:rPr>
      </w:pPr>
      <w:r w:rsidRPr="00666335">
        <w:rPr>
          <w:rFonts w:ascii="Times New Roman" w:hAnsi="Times New Roman" w:cs="Times New Roman"/>
          <w:b/>
          <w:bCs/>
        </w:rPr>
        <w:t xml:space="preserve">A tantárgy meghirdetésének gyakorisága/a tantervben történő félévi elhelyezkedése: </w:t>
      </w:r>
      <w:r w:rsidRPr="00666335">
        <w:rPr>
          <w:rFonts w:ascii="Times New Roman" w:hAnsi="Times New Roman" w:cs="Times New Roman"/>
          <w:bCs/>
        </w:rPr>
        <w:t>a mintatanterv szerint karonként változó</w:t>
      </w:r>
      <w:r w:rsidRPr="00666335">
        <w:rPr>
          <w:rFonts w:ascii="Times New Roman" w:hAnsi="Times New Roman" w:cs="Times New Roman"/>
          <w:b/>
          <w:bCs/>
        </w:rPr>
        <w:t xml:space="preserve"> </w:t>
      </w:r>
    </w:p>
    <w:p w:rsidR="00666335" w:rsidRPr="00666335" w:rsidRDefault="00666335" w:rsidP="00980876">
      <w:pPr>
        <w:pStyle w:val="lfej"/>
        <w:numPr>
          <w:ilvl w:val="0"/>
          <w:numId w:val="811"/>
        </w:numPr>
        <w:tabs>
          <w:tab w:val="clear" w:pos="4536"/>
          <w:tab w:val="clear" w:pos="9072"/>
          <w:tab w:val="right" w:pos="900"/>
        </w:tabs>
        <w:spacing w:before="120"/>
        <w:jc w:val="both"/>
        <w:rPr>
          <w:rFonts w:ascii="Times New Roman" w:hAnsi="Times New Roman" w:cs="Times New Roman"/>
          <w:bCs/>
        </w:rPr>
      </w:pPr>
      <w:r w:rsidRPr="00666335">
        <w:rPr>
          <w:rFonts w:ascii="Times New Roman" w:hAnsi="Times New Roman" w:cs="Times New Roman"/>
          <w:b/>
          <w:bCs/>
        </w:rPr>
        <w:t>A foglalkozásokon való részvétel követelményei, elfogadható hiányzások mértéke, távolmaradás pótlásának lehetősége:</w:t>
      </w:r>
      <w:r w:rsidRPr="00666335">
        <w:rPr>
          <w:rFonts w:ascii="Times New Roman" w:hAnsi="Times New Roman" w:cs="Times New Roman"/>
          <w:bCs/>
        </w:rPr>
        <w:t xml:space="preserve"> az előadások 75%-án a részvétel kötelező</w:t>
      </w:r>
    </w:p>
    <w:p w:rsidR="00666335" w:rsidRPr="00666335" w:rsidRDefault="00666335" w:rsidP="00980876">
      <w:pPr>
        <w:pStyle w:val="lfej"/>
        <w:numPr>
          <w:ilvl w:val="0"/>
          <w:numId w:val="811"/>
        </w:numPr>
        <w:tabs>
          <w:tab w:val="clear" w:pos="4536"/>
          <w:tab w:val="clear" w:pos="9072"/>
          <w:tab w:val="right" w:pos="900"/>
        </w:tabs>
        <w:spacing w:before="120"/>
        <w:jc w:val="both"/>
        <w:rPr>
          <w:rFonts w:ascii="Times New Roman" w:hAnsi="Times New Roman" w:cs="Times New Roman"/>
          <w:bCs/>
        </w:rPr>
      </w:pPr>
      <w:r w:rsidRPr="00666335">
        <w:rPr>
          <w:rFonts w:ascii="Times New Roman" w:hAnsi="Times New Roman" w:cs="Times New Roman"/>
          <w:b/>
        </w:rPr>
        <w:lastRenderedPageBreak/>
        <w:t>Félévközi feladatok, ismeretek ellenőrzésének rendje:</w:t>
      </w:r>
      <w:r w:rsidRPr="00666335">
        <w:rPr>
          <w:rFonts w:ascii="Times New Roman" w:hAnsi="Times New Roman" w:cs="Times New Roman"/>
          <w:bCs/>
        </w:rPr>
        <w:t xml:space="preserve"> </w:t>
      </w:r>
      <w:r w:rsidRPr="00666335">
        <w:rPr>
          <w:rFonts w:ascii="Times New Roman" w:hAnsi="Times New Roman" w:cs="Times New Roman"/>
        </w:rPr>
        <w:t>félévközi ellenőrző dolgozat</w:t>
      </w:r>
    </w:p>
    <w:p w:rsidR="00666335" w:rsidRPr="00666335" w:rsidRDefault="00666335" w:rsidP="00980876">
      <w:pPr>
        <w:pStyle w:val="lfej"/>
        <w:numPr>
          <w:ilvl w:val="0"/>
          <w:numId w:val="811"/>
        </w:numPr>
        <w:tabs>
          <w:tab w:val="clear" w:pos="4536"/>
          <w:tab w:val="clear" w:pos="9072"/>
        </w:tabs>
        <w:spacing w:before="120" w:after="120"/>
        <w:ind w:left="425" w:hanging="425"/>
        <w:jc w:val="both"/>
        <w:rPr>
          <w:rFonts w:ascii="Times New Roman" w:hAnsi="Times New Roman" w:cs="Times New Roman"/>
          <w:b/>
          <w:bCs/>
          <w:strike/>
        </w:rPr>
      </w:pPr>
      <w:r w:rsidRPr="00666335">
        <w:rPr>
          <w:rFonts w:ascii="Times New Roman" w:hAnsi="Times New Roman" w:cs="Times New Roman"/>
          <w:b/>
          <w:bCs/>
        </w:rPr>
        <w:t xml:space="preserve">Az értékelés az aláírás és a kreditek megszerzésének pontos feltételei </w:t>
      </w:r>
    </w:p>
    <w:p w:rsidR="00666335" w:rsidRPr="00666335" w:rsidRDefault="00666335" w:rsidP="00666335">
      <w:pPr>
        <w:pStyle w:val="Jegyzetszveg"/>
        <w:ind w:left="284"/>
        <w:jc w:val="both"/>
        <w:rPr>
          <w:rFonts w:ascii="Times New Roman" w:hAnsi="Times New Roman" w:cs="Times New Roman"/>
          <w:sz w:val="22"/>
          <w:szCs w:val="22"/>
        </w:rPr>
      </w:pPr>
      <w:r w:rsidRPr="00666335">
        <w:rPr>
          <w:rFonts w:ascii="Times New Roman" w:hAnsi="Times New Roman" w:cs="Times New Roman"/>
          <w:b/>
          <w:sz w:val="22"/>
          <w:szCs w:val="22"/>
        </w:rPr>
        <w:t xml:space="preserve">18.1. Az aláírás megszerzésének feltételei: </w:t>
      </w:r>
      <w:r w:rsidRPr="00666335">
        <w:rPr>
          <w:rFonts w:ascii="Times New Roman" w:hAnsi="Times New Roman" w:cs="Times New Roman"/>
          <w:sz w:val="22"/>
          <w:szCs w:val="22"/>
        </w:rPr>
        <w:t xml:space="preserve">a foglalkozásokon való részvétel a 14. pont szerint </w:t>
      </w:r>
    </w:p>
    <w:p w:rsidR="00666335" w:rsidRPr="00666335" w:rsidRDefault="00666335" w:rsidP="00666335">
      <w:pPr>
        <w:pStyle w:val="Jegyzetszveg"/>
        <w:ind w:left="284"/>
        <w:jc w:val="both"/>
        <w:rPr>
          <w:rFonts w:ascii="Times New Roman" w:hAnsi="Times New Roman" w:cs="Times New Roman"/>
          <w:sz w:val="22"/>
          <w:szCs w:val="22"/>
        </w:rPr>
      </w:pPr>
      <w:r w:rsidRPr="00666335">
        <w:rPr>
          <w:rFonts w:ascii="Times New Roman" w:hAnsi="Times New Roman" w:cs="Times New Roman"/>
          <w:b/>
          <w:sz w:val="22"/>
          <w:szCs w:val="22"/>
        </w:rPr>
        <w:t xml:space="preserve">18.2. Az értékelés: </w:t>
      </w:r>
      <w:r w:rsidRPr="00666335">
        <w:rPr>
          <w:rFonts w:ascii="Times New Roman" w:hAnsi="Times New Roman" w:cs="Times New Roman"/>
          <w:sz w:val="22"/>
          <w:szCs w:val="22"/>
        </w:rPr>
        <w:t>A vizsga írásbeli kollokvium, amely az előadók által az előadások elején megadott 3 kérdésből álló, a félév végére kialakuló, 45 kérdésből álló kérdéssorra épül</w:t>
      </w:r>
      <w:r w:rsidRPr="00666335">
        <w:rPr>
          <w:rFonts w:ascii="Times New Roman" w:hAnsi="Times New Roman" w:cs="Times New Roman"/>
          <w:bCs/>
          <w:i/>
          <w:sz w:val="22"/>
          <w:szCs w:val="22"/>
        </w:rPr>
        <w:t>.</w:t>
      </w:r>
      <w:r w:rsidRPr="00666335">
        <w:rPr>
          <w:rFonts w:ascii="Times New Roman" w:hAnsi="Times New Roman" w:cs="Times New Roman"/>
          <w:sz w:val="22"/>
          <w:szCs w:val="22"/>
        </w:rPr>
        <w:t xml:space="preserve"> </w:t>
      </w:r>
    </w:p>
    <w:p w:rsidR="00666335" w:rsidRPr="00666335" w:rsidRDefault="00666335" w:rsidP="00666335">
      <w:pPr>
        <w:pStyle w:val="Jegyzetszveg"/>
        <w:ind w:left="284"/>
        <w:jc w:val="both"/>
        <w:rPr>
          <w:rFonts w:ascii="Times New Roman" w:hAnsi="Times New Roman" w:cs="Times New Roman"/>
          <w:i/>
          <w:sz w:val="22"/>
          <w:szCs w:val="22"/>
        </w:rPr>
      </w:pPr>
      <w:r w:rsidRPr="00666335">
        <w:rPr>
          <w:rFonts w:ascii="Times New Roman" w:hAnsi="Times New Roman" w:cs="Times New Roman"/>
          <w:b/>
          <w:sz w:val="22"/>
          <w:szCs w:val="22"/>
        </w:rPr>
        <w:t xml:space="preserve">18.3. A kreditek megszerzésének feltételei: </w:t>
      </w:r>
      <w:r w:rsidRPr="00666335">
        <w:rPr>
          <w:rFonts w:ascii="Times New Roman" w:hAnsi="Times New Roman" w:cs="Times New Roman"/>
          <w:sz w:val="22"/>
          <w:szCs w:val="22"/>
        </w:rPr>
        <w:t>az aláírás megszerzése, valamint írásbeli kollokvium.</w:t>
      </w:r>
    </w:p>
    <w:p w:rsidR="00666335" w:rsidRPr="00666335" w:rsidRDefault="00666335" w:rsidP="00980876">
      <w:pPr>
        <w:pStyle w:val="lfej"/>
        <w:numPr>
          <w:ilvl w:val="0"/>
          <w:numId w:val="811"/>
        </w:numPr>
        <w:tabs>
          <w:tab w:val="clear" w:pos="4536"/>
          <w:tab w:val="clear" w:pos="9072"/>
        </w:tabs>
        <w:spacing w:before="120"/>
        <w:ind w:left="357" w:hanging="357"/>
        <w:jc w:val="both"/>
        <w:rPr>
          <w:rFonts w:ascii="Times New Roman" w:hAnsi="Times New Roman" w:cs="Times New Roman"/>
          <w:bCs/>
        </w:rPr>
      </w:pPr>
      <w:r w:rsidRPr="00666335">
        <w:rPr>
          <w:rFonts w:ascii="Times New Roman" w:hAnsi="Times New Roman" w:cs="Times New Roman"/>
          <w:b/>
          <w:bCs/>
        </w:rPr>
        <w:t>Irodalomjegyzék:</w:t>
      </w:r>
    </w:p>
    <w:p w:rsidR="00666335" w:rsidRPr="00666335" w:rsidRDefault="00666335" w:rsidP="00980876">
      <w:pPr>
        <w:pStyle w:val="lfej"/>
        <w:numPr>
          <w:ilvl w:val="1"/>
          <w:numId w:val="811"/>
        </w:numPr>
        <w:tabs>
          <w:tab w:val="clear" w:pos="4536"/>
          <w:tab w:val="clear" w:pos="9072"/>
          <w:tab w:val="right" w:pos="900"/>
          <w:tab w:val="num" w:pos="1425"/>
        </w:tabs>
        <w:spacing w:before="120"/>
        <w:ind w:left="426" w:hanging="426"/>
        <w:jc w:val="both"/>
        <w:rPr>
          <w:rFonts w:ascii="Times New Roman" w:hAnsi="Times New Roman" w:cs="Times New Roman"/>
          <w:bCs/>
        </w:rPr>
      </w:pPr>
      <w:r w:rsidRPr="00666335">
        <w:rPr>
          <w:rFonts w:ascii="Times New Roman" w:hAnsi="Times New Roman" w:cs="Times New Roman"/>
          <w:b/>
          <w:bCs/>
        </w:rPr>
        <w:t>Kötelező irodalom:</w:t>
      </w:r>
    </w:p>
    <w:p w:rsidR="00FF70E0" w:rsidRPr="00FF70E0" w:rsidRDefault="00666335" w:rsidP="00980876">
      <w:pPr>
        <w:pStyle w:val="lfej"/>
        <w:numPr>
          <w:ilvl w:val="0"/>
          <w:numId w:val="810"/>
        </w:numPr>
        <w:tabs>
          <w:tab w:val="right" w:pos="851"/>
        </w:tabs>
        <w:spacing w:before="120"/>
        <w:jc w:val="both"/>
        <w:rPr>
          <w:rFonts w:ascii="Times New Roman" w:hAnsi="Times New Roman" w:cs="Times New Roman"/>
        </w:rPr>
      </w:pPr>
      <w:r w:rsidRPr="00666335">
        <w:rPr>
          <w:rFonts w:ascii="Times New Roman" w:hAnsi="Times New Roman" w:cs="Times New Roman"/>
          <w:bCs/>
        </w:rPr>
        <w:t>Állam és kormányzás Szöveggyűjtemény (2020)</w:t>
      </w:r>
    </w:p>
    <w:p w:rsidR="00666335" w:rsidRPr="00666335" w:rsidRDefault="00666335" w:rsidP="00980876">
      <w:pPr>
        <w:pStyle w:val="lfej"/>
        <w:numPr>
          <w:ilvl w:val="1"/>
          <w:numId w:val="811"/>
        </w:numPr>
        <w:tabs>
          <w:tab w:val="clear" w:pos="4536"/>
          <w:tab w:val="clear" w:pos="9072"/>
        </w:tabs>
        <w:spacing w:before="120"/>
        <w:ind w:left="993" w:hanging="858"/>
        <w:jc w:val="both"/>
        <w:rPr>
          <w:rFonts w:ascii="Times New Roman" w:hAnsi="Times New Roman" w:cs="Times New Roman"/>
          <w:b/>
        </w:rPr>
      </w:pPr>
      <w:r w:rsidRPr="00666335">
        <w:rPr>
          <w:rFonts w:ascii="Times New Roman" w:hAnsi="Times New Roman" w:cs="Times New Roman"/>
          <w:b/>
        </w:rPr>
        <w:t>Ajánlott irodalom</w:t>
      </w:r>
    </w:p>
    <w:p w:rsidR="00FF70E0" w:rsidRDefault="00FF70E0" w:rsidP="00FF70E0">
      <w:pPr>
        <w:pStyle w:val="lfej"/>
        <w:numPr>
          <w:ilvl w:val="0"/>
          <w:numId w:val="855"/>
        </w:numPr>
        <w:tabs>
          <w:tab w:val="right" w:pos="851"/>
        </w:tabs>
        <w:spacing w:before="120"/>
        <w:jc w:val="both"/>
        <w:rPr>
          <w:rFonts w:ascii="Times New Roman" w:hAnsi="Times New Roman" w:cs="Times New Roman"/>
        </w:rPr>
      </w:pPr>
      <w:r w:rsidRPr="00335FC2">
        <w:rPr>
          <w:rFonts w:ascii="Times New Roman" w:hAnsi="Times New Roman"/>
          <w:sz w:val="24"/>
          <w:szCs w:val="24"/>
        </w:rPr>
        <w:t>Rendhagyó kommentár egy rendhagyó preambulumról - Magyarország Alaptörvénye, Nemzeti hitvallás</w:t>
      </w:r>
      <w:r>
        <w:rPr>
          <w:rFonts w:ascii="Times New Roman" w:hAnsi="Times New Roman"/>
          <w:sz w:val="24"/>
          <w:szCs w:val="24"/>
        </w:rPr>
        <w:t xml:space="preserve"> </w:t>
      </w:r>
      <w:r w:rsidRPr="00335FC2">
        <w:rPr>
          <w:rFonts w:ascii="Times New Roman" w:hAnsi="Times New Roman"/>
          <w:sz w:val="24"/>
          <w:szCs w:val="24"/>
        </w:rPr>
        <w:t>(szerk: Patyi András) Dialóg Campus 2019.</w:t>
      </w:r>
    </w:p>
    <w:p w:rsidR="00666335" w:rsidRPr="00666335" w:rsidRDefault="00666335" w:rsidP="00FF70E0">
      <w:pPr>
        <w:pStyle w:val="lfej"/>
        <w:numPr>
          <w:ilvl w:val="0"/>
          <w:numId w:val="855"/>
        </w:numPr>
        <w:tabs>
          <w:tab w:val="right" w:pos="851"/>
        </w:tabs>
        <w:spacing w:before="120"/>
        <w:jc w:val="both"/>
        <w:rPr>
          <w:rFonts w:ascii="Times New Roman" w:hAnsi="Times New Roman" w:cs="Times New Roman"/>
        </w:rPr>
      </w:pPr>
      <w:r w:rsidRPr="00666335">
        <w:rPr>
          <w:rFonts w:ascii="Times New Roman" w:hAnsi="Times New Roman" w:cs="Times New Roman"/>
        </w:rPr>
        <w:t>Bába Iván: Rendszerváltoztatás Magyarországon. Veritas, 2016.</w:t>
      </w:r>
    </w:p>
    <w:p w:rsidR="00F17BA1" w:rsidRPr="00FF70E0" w:rsidRDefault="00F17BA1" w:rsidP="00F17BA1">
      <w:pPr>
        <w:pStyle w:val="lfej"/>
        <w:numPr>
          <w:ilvl w:val="0"/>
          <w:numId w:val="855"/>
        </w:numPr>
        <w:tabs>
          <w:tab w:val="right" w:pos="851"/>
        </w:tabs>
        <w:spacing w:before="120"/>
        <w:jc w:val="both"/>
        <w:rPr>
          <w:rFonts w:ascii="Times New Roman" w:hAnsi="Times New Roman"/>
          <w:sz w:val="24"/>
          <w:szCs w:val="24"/>
        </w:rPr>
      </w:pPr>
      <w:r w:rsidRPr="00335FC2">
        <w:rPr>
          <w:rFonts w:ascii="Times New Roman" w:hAnsi="Times New Roman"/>
          <w:sz w:val="24"/>
          <w:szCs w:val="24"/>
        </w:rPr>
        <w:t>Szemelvények in.</w:t>
      </w:r>
      <w:r>
        <w:rPr>
          <w:rFonts w:ascii="Times New Roman" w:hAnsi="Times New Roman"/>
          <w:sz w:val="24"/>
          <w:szCs w:val="24"/>
        </w:rPr>
        <w:t xml:space="preserve"> </w:t>
      </w:r>
      <w:r w:rsidRPr="00335FC2">
        <w:rPr>
          <w:rFonts w:ascii="Times New Roman" w:hAnsi="Times New Roman"/>
          <w:sz w:val="24"/>
          <w:szCs w:val="24"/>
        </w:rPr>
        <w:t>Romsics Ignác: Magyarország története, Kossuth Kiadó 2017.</w:t>
      </w:r>
      <w:r w:rsidRPr="00FF70E0">
        <w:rPr>
          <w:rFonts w:ascii="Times New Roman" w:hAnsi="Times New Roman" w:cs="Times New Roman"/>
        </w:rPr>
        <w:t xml:space="preserve"> </w:t>
      </w:r>
    </w:p>
    <w:p w:rsidR="00666335" w:rsidRPr="00666335" w:rsidRDefault="00666335" w:rsidP="00666335">
      <w:pPr>
        <w:pStyle w:val="lfej"/>
        <w:tabs>
          <w:tab w:val="clear" w:pos="4536"/>
          <w:tab w:val="clear" w:pos="9072"/>
          <w:tab w:val="right" w:pos="900"/>
        </w:tabs>
        <w:spacing w:before="120"/>
        <w:ind w:left="284"/>
        <w:jc w:val="both"/>
        <w:rPr>
          <w:rFonts w:ascii="Times New Roman" w:hAnsi="Times New Roman" w:cs="Times New Roman"/>
          <w:b/>
          <w:bCs/>
        </w:rPr>
      </w:pPr>
    </w:p>
    <w:p w:rsidR="00666335" w:rsidRPr="00666335" w:rsidRDefault="00666335" w:rsidP="00666335">
      <w:pPr>
        <w:pStyle w:val="lfej"/>
        <w:tabs>
          <w:tab w:val="clear" w:pos="4536"/>
          <w:tab w:val="clear" w:pos="9072"/>
          <w:tab w:val="right" w:pos="900"/>
        </w:tabs>
        <w:spacing w:before="120"/>
        <w:jc w:val="both"/>
        <w:rPr>
          <w:rFonts w:ascii="Times New Roman" w:hAnsi="Times New Roman" w:cs="Times New Roman"/>
          <w:bCs/>
        </w:rPr>
      </w:pPr>
      <w:r w:rsidRPr="00666335">
        <w:rPr>
          <w:rFonts w:ascii="Times New Roman" w:hAnsi="Times New Roman" w:cs="Times New Roman"/>
          <w:bCs/>
        </w:rPr>
        <w:t>Budapest, 2020. április 30.</w:t>
      </w:r>
    </w:p>
    <w:p w:rsidR="00666335" w:rsidRPr="00666335" w:rsidRDefault="00666335" w:rsidP="00666335">
      <w:pPr>
        <w:pStyle w:val="lfej"/>
        <w:tabs>
          <w:tab w:val="clear" w:pos="4536"/>
          <w:tab w:val="clear" w:pos="9072"/>
          <w:tab w:val="right" w:pos="900"/>
        </w:tabs>
        <w:spacing w:before="120"/>
        <w:ind w:left="5670"/>
        <w:jc w:val="right"/>
        <w:rPr>
          <w:rFonts w:ascii="Times New Roman" w:hAnsi="Times New Roman" w:cs="Times New Roman"/>
          <w:bCs/>
        </w:rPr>
      </w:pPr>
      <w:r w:rsidRPr="00666335">
        <w:rPr>
          <w:rFonts w:ascii="Times New Roman" w:hAnsi="Times New Roman" w:cs="Times New Roman"/>
          <w:bCs/>
        </w:rPr>
        <w:t>Dr. Kis Norbert</w:t>
      </w:r>
    </w:p>
    <w:p w:rsidR="00666335" w:rsidRPr="00666335" w:rsidRDefault="00666335" w:rsidP="00666335">
      <w:pPr>
        <w:pStyle w:val="lfej"/>
        <w:tabs>
          <w:tab w:val="clear" w:pos="4536"/>
          <w:tab w:val="clear" w:pos="9072"/>
          <w:tab w:val="right" w:pos="900"/>
        </w:tabs>
        <w:ind w:left="5664"/>
        <w:jc w:val="right"/>
        <w:rPr>
          <w:rFonts w:ascii="Times New Roman" w:hAnsi="Times New Roman" w:cs="Times New Roman"/>
          <w:bCs/>
        </w:rPr>
      </w:pPr>
      <w:r w:rsidRPr="00666335">
        <w:rPr>
          <w:rFonts w:ascii="Times New Roman" w:hAnsi="Times New Roman" w:cs="Times New Roman"/>
          <w:bCs/>
        </w:rPr>
        <w:t>egyetemi tanár,</w:t>
      </w:r>
      <w:r w:rsidR="00F17BA1">
        <w:rPr>
          <w:rFonts w:ascii="Times New Roman" w:hAnsi="Times New Roman" w:cs="Times New Roman"/>
          <w:bCs/>
        </w:rPr>
        <w:t xml:space="preserve"> </w:t>
      </w:r>
      <w:r w:rsidRPr="00666335">
        <w:rPr>
          <w:rFonts w:ascii="Times New Roman" w:hAnsi="Times New Roman" w:cs="Times New Roman"/>
          <w:bCs/>
        </w:rPr>
        <w:t>sk..</w:t>
      </w:r>
    </w:p>
    <w:p w:rsidR="0056665F" w:rsidRDefault="0056665F">
      <w:pPr>
        <w:spacing w:after="200" w:line="276" w:lineRule="auto"/>
        <w:rPr>
          <w:rFonts w:ascii="Times New Roman" w:hAnsi="Times New Roman" w:cs="Times New Roman"/>
          <w:sz w:val="24"/>
        </w:rPr>
      </w:pPr>
      <w:r>
        <w:rPr>
          <w:rFonts w:ascii="Times New Roman" w:hAnsi="Times New Roman" w:cs="Times New Roman"/>
          <w:sz w:val="24"/>
        </w:rPr>
        <w:br w:type="page"/>
      </w:r>
    </w:p>
    <w:tbl>
      <w:tblPr>
        <w:tblW w:w="9072" w:type="dxa"/>
        <w:tblInd w:w="113" w:type="dxa"/>
        <w:tblLook w:val="01E0" w:firstRow="1" w:lastRow="1" w:firstColumn="1" w:lastColumn="1" w:noHBand="0" w:noVBand="0"/>
      </w:tblPr>
      <w:tblGrid>
        <w:gridCol w:w="4855"/>
        <w:gridCol w:w="1620"/>
        <w:gridCol w:w="2597"/>
      </w:tblGrid>
      <w:tr w:rsidR="00666335" w:rsidRPr="00666335" w:rsidTr="00C57CA3">
        <w:tc>
          <w:tcPr>
            <w:tcW w:w="4855" w:type="dxa"/>
            <w:tcBorders>
              <w:bottom w:val="single" w:sz="4" w:space="0" w:color="auto"/>
            </w:tcBorders>
          </w:tcPr>
          <w:p w:rsidR="00666335" w:rsidRPr="00666335" w:rsidRDefault="00666335" w:rsidP="00C57CA3">
            <w:pPr>
              <w:spacing w:after="0" w:line="240" w:lineRule="auto"/>
              <w:jc w:val="center"/>
              <w:rPr>
                <w:rFonts w:ascii="Times New Roman" w:hAnsi="Times New Roman" w:cs="Times New Roman"/>
                <w:b/>
                <w:smallCaps/>
                <w:lang w:eastAsia="hu-HU"/>
              </w:rPr>
            </w:pPr>
            <w:r w:rsidRPr="00666335">
              <w:rPr>
                <w:rFonts w:ascii="Times New Roman" w:hAnsi="Times New Roman" w:cs="Times New Roman"/>
                <w:b/>
                <w:smallCaps/>
                <w:lang w:eastAsia="hu-HU"/>
              </w:rPr>
              <w:lastRenderedPageBreak/>
              <w:t>Nemzeti Közszolgálati Egyetem</w:t>
            </w:r>
          </w:p>
        </w:tc>
        <w:tc>
          <w:tcPr>
            <w:tcW w:w="1620" w:type="dxa"/>
          </w:tcPr>
          <w:p w:rsidR="00666335" w:rsidRPr="00666335" w:rsidRDefault="00666335" w:rsidP="00C57CA3">
            <w:pPr>
              <w:spacing w:after="0" w:line="240" w:lineRule="auto"/>
              <w:jc w:val="both"/>
              <w:rPr>
                <w:rFonts w:ascii="Times New Roman" w:hAnsi="Times New Roman" w:cs="Times New Roman"/>
                <w:lang w:eastAsia="hu-HU"/>
              </w:rPr>
            </w:pPr>
          </w:p>
        </w:tc>
        <w:tc>
          <w:tcPr>
            <w:tcW w:w="2597" w:type="dxa"/>
          </w:tcPr>
          <w:p w:rsidR="00666335" w:rsidRPr="00666335" w:rsidRDefault="00666335" w:rsidP="00C57CA3">
            <w:pPr>
              <w:spacing w:after="0" w:line="240" w:lineRule="auto"/>
              <w:jc w:val="right"/>
              <w:rPr>
                <w:rFonts w:ascii="Times New Roman" w:hAnsi="Times New Roman" w:cs="Times New Roman"/>
                <w:lang w:eastAsia="hu-HU"/>
              </w:rPr>
            </w:pPr>
          </w:p>
        </w:tc>
      </w:tr>
      <w:tr w:rsidR="00666335" w:rsidRPr="00666335" w:rsidTr="00C57CA3">
        <w:tc>
          <w:tcPr>
            <w:tcW w:w="4855" w:type="dxa"/>
            <w:tcBorders>
              <w:top w:val="single" w:sz="4" w:space="0" w:color="auto"/>
            </w:tcBorders>
          </w:tcPr>
          <w:p w:rsidR="00666335" w:rsidRPr="00666335" w:rsidRDefault="00666335" w:rsidP="00C57CA3">
            <w:pPr>
              <w:spacing w:after="0" w:line="240" w:lineRule="auto"/>
              <w:jc w:val="center"/>
              <w:rPr>
                <w:rFonts w:ascii="Times New Roman" w:hAnsi="Times New Roman" w:cs="Times New Roman"/>
                <w:b/>
                <w:lang w:eastAsia="hu-HU"/>
              </w:rPr>
            </w:pPr>
            <w:r w:rsidRPr="00666335">
              <w:rPr>
                <w:rFonts w:ascii="Times New Roman" w:hAnsi="Times New Roman" w:cs="Times New Roman"/>
                <w:b/>
                <w:lang w:eastAsia="hu-HU"/>
              </w:rPr>
              <w:t>Rendészettudományi Kar</w:t>
            </w:r>
          </w:p>
        </w:tc>
        <w:tc>
          <w:tcPr>
            <w:tcW w:w="1620" w:type="dxa"/>
          </w:tcPr>
          <w:p w:rsidR="00666335" w:rsidRPr="00666335" w:rsidRDefault="00666335" w:rsidP="00C57CA3">
            <w:pPr>
              <w:spacing w:after="0" w:line="240" w:lineRule="auto"/>
              <w:jc w:val="both"/>
              <w:rPr>
                <w:rFonts w:ascii="Times New Roman" w:hAnsi="Times New Roman" w:cs="Times New Roman"/>
                <w:lang w:eastAsia="hu-HU"/>
              </w:rPr>
            </w:pPr>
          </w:p>
        </w:tc>
        <w:tc>
          <w:tcPr>
            <w:tcW w:w="2597" w:type="dxa"/>
          </w:tcPr>
          <w:p w:rsidR="00666335" w:rsidRPr="00666335" w:rsidRDefault="00666335" w:rsidP="00C57CA3">
            <w:pPr>
              <w:spacing w:after="0" w:line="240" w:lineRule="auto"/>
              <w:jc w:val="both"/>
              <w:rPr>
                <w:rFonts w:ascii="Times New Roman" w:hAnsi="Times New Roman" w:cs="Times New Roman"/>
                <w:lang w:eastAsia="hu-HU"/>
              </w:rPr>
            </w:pPr>
          </w:p>
        </w:tc>
      </w:tr>
    </w:tbl>
    <w:p w:rsidR="00666335" w:rsidRPr="00666335" w:rsidRDefault="00666335" w:rsidP="00666335">
      <w:pPr>
        <w:pStyle w:val="lfej"/>
        <w:tabs>
          <w:tab w:val="clear" w:pos="4536"/>
          <w:tab w:val="clear" w:pos="9072"/>
          <w:tab w:val="right" w:pos="0"/>
        </w:tabs>
        <w:jc w:val="both"/>
        <w:rPr>
          <w:rFonts w:ascii="Times New Roman" w:hAnsi="Times New Roman" w:cs="Times New Roman"/>
          <w:bCs/>
        </w:rPr>
      </w:pPr>
    </w:p>
    <w:p w:rsidR="00666335" w:rsidRPr="00666335" w:rsidRDefault="00666335" w:rsidP="00666335">
      <w:pPr>
        <w:spacing w:before="120" w:after="120" w:line="240" w:lineRule="auto"/>
        <w:jc w:val="center"/>
        <w:rPr>
          <w:rFonts w:ascii="Times New Roman" w:hAnsi="Times New Roman" w:cs="Times New Roman"/>
          <w:b/>
          <w:bCs/>
        </w:rPr>
      </w:pPr>
      <w:r w:rsidRPr="00666335">
        <w:rPr>
          <w:rFonts w:ascii="Times New Roman" w:hAnsi="Times New Roman" w:cs="Times New Roman"/>
          <w:b/>
          <w:bCs/>
        </w:rPr>
        <w:t xml:space="preserve">TANTÁRGYI PROGRAM </w:t>
      </w:r>
    </w:p>
    <w:p w:rsidR="00666335" w:rsidRPr="00666335" w:rsidRDefault="00666335" w:rsidP="00980876">
      <w:pPr>
        <w:pStyle w:val="lfej"/>
        <w:numPr>
          <w:ilvl w:val="0"/>
          <w:numId w:val="812"/>
        </w:numPr>
        <w:tabs>
          <w:tab w:val="clear" w:pos="786"/>
          <w:tab w:val="clear" w:pos="4536"/>
          <w:tab w:val="clear" w:pos="9072"/>
          <w:tab w:val="num" w:pos="567"/>
          <w:tab w:val="right" w:pos="900"/>
        </w:tabs>
        <w:spacing w:before="120" w:after="120"/>
        <w:ind w:left="284" w:hanging="284"/>
        <w:jc w:val="both"/>
        <w:rPr>
          <w:rFonts w:ascii="Times New Roman" w:hAnsi="Times New Roman" w:cs="Times New Roman"/>
          <w:bCs/>
        </w:rPr>
      </w:pPr>
      <w:r w:rsidRPr="00666335">
        <w:rPr>
          <w:rFonts w:ascii="Times New Roman" w:hAnsi="Times New Roman" w:cs="Times New Roman"/>
          <w:b/>
          <w:bCs/>
        </w:rPr>
        <w:t xml:space="preserve">A tantárgy kódja: </w:t>
      </w:r>
      <w:r w:rsidRPr="00666335">
        <w:rPr>
          <w:rFonts w:ascii="Times New Roman" w:hAnsi="Times New Roman" w:cs="Times New Roman"/>
          <w:bCs/>
        </w:rPr>
        <w:t>RRETB15</w:t>
      </w:r>
    </w:p>
    <w:p w:rsidR="00666335" w:rsidRPr="00666335" w:rsidRDefault="00666335" w:rsidP="00980876">
      <w:pPr>
        <w:pStyle w:val="lfej"/>
        <w:numPr>
          <w:ilvl w:val="0"/>
          <w:numId w:val="812"/>
        </w:numPr>
        <w:tabs>
          <w:tab w:val="clear" w:pos="786"/>
          <w:tab w:val="clear" w:pos="4536"/>
          <w:tab w:val="clear" w:pos="9072"/>
          <w:tab w:val="num" w:pos="360"/>
          <w:tab w:val="num" w:pos="567"/>
          <w:tab w:val="right" w:pos="900"/>
        </w:tabs>
        <w:spacing w:before="120" w:after="120"/>
        <w:ind w:left="284" w:hanging="284"/>
        <w:jc w:val="both"/>
        <w:rPr>
          <w:rFonts w:ascii="Times New Roman" w:hAnsi="Times New Roman" w:cs="Times New Roman"/>
          <w:bCs/>
        </w:rPr>
      </w:pPr>
      <w:r w:rsidRPr="00666335">
        <w:rPr>
          <w:rFonts w:ascii="Times New Roman" w:hAnsi="Times New Roman" w:cs="Times New Roman"/>
          <w:b/>
          <w:bCs/>
        </w:rPr>
        <w:t>A tantárgy megnevezése (magyarul):</w:t>
      </w:r>
      <w:r w:rsidRPr="00666335">
        <w:rPr>
          <w:rFonts w:ascii="Times New Roman" w:hAnsi="Times New Roman" w:cs="Times New Roman"/>
          <w:bCs/>
        </w:rPr>
        <w:t xml:space="preserve"> Rendészettudomány</w:t>
      </w:r>
    </w:p>
    <w:p w:rsidR="00666335" w:rsidRPr="00666335" w:rsidRDefault="00666335" w:rsidP="00980876">
      <w:pPr>
        <w:pStyle w:val="lfej"/>
        <w:numPr>
          <w:ilvl w:val="0"/>
          <w:numId w:val="812"/>
        </w:numPr>
        <w:tabs>
          <w:tab w:val="clear" w:pos="786"/>
          <w:tab w:val="clear" w:pos="4536"/>
          <w:tab w:val="clear" w:pos="9072"/>
          <w:tab w:val="num" w:pos="360"/>
          <w:tab w:val="num" w:pos="567"/>
          <w:tab w:val="right" w:pos="900"/>
        </w:tabs>
        <w:spacing w:before="120" w:after="120"/>
        <w:ind w:left="284" w:hanging="284"/>
        <w:jc w:val="both"/>
        <w:rPr>
          <w:rFonts w:ascii="Times New Roman" w:hAnsi="Times New Roman" w:cs="Times New Roman"/>
          <w:b/>
          <w:bCs/>
        </w:rPr>
      </w:pPr>
      <w:r w:rsidRPr="00666335">
        <w:rPr>
          <w:rFonts w:ascii="Times New Roman" w:hAnsi="Times New Roman" w:cs="Times New Roman"/>
          <w:b/>
          <w:bCs/>
        </w:rPr>
        <w:t xml:space="preserve">A tantárgy megnevezése (angolul): </w:t>
      </w:r>
      <w:r w:rsidRPr="00666335">
        <w:rPr>
          <w:rFonts w:ascii="Times New Roman" w:hAnsi="Times New Roman" w:cs="Times New Roman"/>
          <w:bCs/>
        </w:rPr>
        <w:t>Law Enforcement</w:t>
      </w:r>
    </w:p>
    <w:p w:rsidR="00666335" w:rsidRPr="00666335" w:rsidRDefault="00666335" w:rsidP="00980876">
      <w:pPr>
        <w:pStyle w:val="lfej"/>
        <w:numPr>
          <w:ilvl w:val="0"/>
          <w:numId w:val="812"/>
        </w:numPr>
        <w:tabs>
          <w:tab w:val="clear" w:pos="786"/>
          <w:tab w:val="clear" w:pos="4536"/>
          <w:tab w:val="clear" w:pos="9072"/>
          <w:tab w:val="num" w:pos="360"/>
          <w:tab w:val="num" w:pos="567"/>
          <w:tab w:val="right" w:pos="900"/>
        </w:tabs>
        <w:spacing w:before="120" w:after="120"/>
        <w:ind w:left="284" w:hanging="284"/>
        <w:jc w:val="both"/>
        <w:rPr>
          <w:rFonts w:ascii="Times New Roman" w:hAnsi="Times New Roman" w:cs="Times New Roman"/>
          <w:b/>
          <w:bCs/>
        </w:rPr>
      </w:pPr>
      <w:r w:rsidRPr="00666335">
        <w:rPr>
          <w:rFonts w:ascii="Times New Roman" w:hAnsi="Times New Roman" w:cs="Times New Roman"/>
          <w:b/>
          <w:bCs/>
        </w:rPr>
        <w:t>Kreditérték és képzési karakter</w:t>
      </w:r>
    </w:p>
    <w:p w:rsidR="00666335" w:rsidRPr="00666335" w:rsidRDefault="00666335" w:rsidP="00980876">
      <w:pPr>
        <w:pStyle w:val="Listaszerbekezds"/>
        <w:widowControl w:val="0"/>
        <w:numPr>
          <w:ilvl w:val="1"/>
          <w:numId w:val="812"/>
        </w:numPr>
        <w:tabs>
          <w:tab w:val="clear" w:pos="1851"/>
          <w:tab w:val="num" w:pos="1134"/>
        </w:tabs>
        <w:spacing w:before="120" w:after="120" w:line="240" w:lineRule="auto"/>
        <w:ind w:left="709"/>
        <w:jc w:val="both"/>
        <w:rPr>
          <w:rFonts w:ascii="Times New Roman" w:hAnsi="Times New Roman" w:cs="Times New Roman"/>
          <w:b/>
          <w:bCs/>
        </w:rPr>
      </w:pPr>
      <w:r w:rsidRPr="00666335">
        <w:rPr>
          <w:rFonts w:ascii="Times New Roman" w:hAnsi="Times New Roman" w:cs="Times New Roman"/>
          <w:bCs/>
        </w:rPr>
        <w:t>2 kredit</w:t>
      </w:r>
    </w:p>
    <w:p w:rsidR="00666335" w:rsidRPr="00666335" w:rsidRDefault="00666335" w:rsidP="00980876">
      <w:pPr>
        <w:pStyle w:val="Listaszerbekezds"/>
        <w:widowControl w:val="0"/>
        <w:numPr>
          <w:ilvl w:val="1"/>
          <w:numId w:val="812"/>
        </w:numPr>
        <w:tabs>
          <w:tab w:val="clear" w:pos="1851"/>
          <w:tab w:val="num" w:pos="1134"/>
        </w:tabs>
        <w:spacing w:before="120" w:after="120" w:line="240" w:lineRule="auto"/>
        <w:ind w:left="709"/>
        <w:jc w:val="both"/>
        <w:rPr>
          <w:rFonts w:ascii="Times New Roman" w:hAnsi="Times New Roman" w:cs="Times New Roman"/>
          <w:b/>
          <w:bCs/>
        </w:rPr>
      </w:pPr>
      <w:r w:rsidRPr="00666335">
        <w:rPr>
          <w:rFonts w:ascii="Times New Roman" w:hAnsi="Times New Roman" w:cs="Times New Roman"/>
          <w:bCs/>
        </w:rPr>
        <w:t>a tantárgy elméleti vagy gyakorlati jellege: 0 % gyakorlat, 100 % elmélet</w:t>
      </w:r>
    </w:p>
    <w:p w:rsidR="00666335" w:rsidRPr="00666335" w:rsidRDefault="00666335" w:rsidP="00980876">
      <w:pPr>
        <w:pStyle w:val="lfej"/>
        <w:numPr>
          <w:ilvl w:val="0"/>
          <w:numId w:val="812"/>
        </w:numPr>
        <w:tabs>
          <w:tab w:val="clear" w:pos="786"/>
          <w:tab w:val="clear" w:pos="4536"/>
          <w:tab w:val="clear" w:pos="9072"/>
          <w:tab w:val="num" w:pos="360"/>
          <w:tab w:val="num" w:pos="426"/>
          <w:tab w:val="right" w:pos="900"/>
        </w:tabs>
        <w:spacing w:before="120" w:after="120"/>
        <w:ind w:left="284" w:hanging="284"/>
        <w:jc w:val="both"/>
        <w:rPr>
          <w:rFonts w:ascii="Times New Roman" w:hAnsi="Times New Roman" w:cs="Times New Roman"/>
          <w:bCs/>
        </w:rPr>
      </w:pPr>
      <w:r w:rsidRPr="00666335">
        <w:rPr>
          <w:rFonts w:ascii="Times New Roman" w:hAnsi="Times New Roman" w:cs="Times New Roman"/>
          <w:b/>
          <w:bCs/>
        </w:rPr>
        <w:t>A szak(ok), szakirányok/specializációk megnevezése (ahol oktatják):</w:t>
      </w:r>
      <w:r w:rsidRPr="00666335">
        <w:rPr>
          <w:rFonts w:ascii="Times New Roman" w:hAnsi="Times New Roman" w:cs="Times New Roman"/>
          <w:bCs/>
        </w:rPr>
        <w:t xml:space="preserve"> A Nemzeti Közszolgálati Egyetem Államtudományi és Nemzetközi Tudományok Kar alapképzési szakok, a Hadtudományi és Honvédtisztképző Kar </w:t>
      </w:r>
      <w:r w:rsidRPr="004977B8">
        <w:rPr>
          <w:rFonts w:ascii="Times New Roman" w:hAnsi="Times New Roman" w:cs="Times New Roman"/>
          <w:bCs/>
          <w:highlight w:val="yellow"/>
        </w:rPr>
        <w:t>alapképzési szak</w:t>
      </w:r>
      <w:r w:rsidR="004977B8" w:rsidRPr="004977B8">
        <w:rPr>
          <w:rFonts w:ascii="Times New Roman" w:hAnsi="Times New Roman" w:cs="Times New Roman"/>
          <w:bCs/>
          <w:highlight w:val="yellow"/>
        </w:rPr>
        <w:t>ok</w:t>
      </w:r>
    </w:p>
    <w:p w:rsidR="00666335" w:rsidRPr="00666335" w:rsidRDefault="00666335" w:rsidP="00980876">
      <w:pPr>
        <w:pStyle w:val="lfej"/>
        <w:numPr>
          <w:ilvl w:val="0"/>
          <w:numId w:val="812"/>
        </w:numPr>
        <w:tabs>
          <w:tab w:val="clear" w:pos="786"/>
          <w:tab w:val="clear" w:pos="4536"/>
          <w:tab w:val="clear" w:pos="9072"/>
          <w:tab w:val="num" w:pos="360"/>
          <w:tab w:val="num" w:pos="426"/>
        </w:tabs>
        <w:spacing w:before="120" w:after="120"/>
        <w:ind w:left="284" w:hanging="284"/>
        <w:jc w:val="both"/>
        <w:rPr>
          <w:rFonts w:ascii="Times New Roman" w:hAnsi="Times New Roman" w:cs="Times New Roman"/>
          <w:bCs/>
        </w:rPr>
      </w:pPr>
      <w:r w:rsidRPr="00666335">
        <w:rPr>
          <w:rFonts w:ascii="Times New Roman" w:hAnsi="Times New Roman" w:cs="Times New Roman"/>
          <w:b/>
          <w:bCs/>
        </w:rPr>
        <w:t xml:space="preserve">Az oktatásért felelős oktatási szervezeti egység megnevezése: </w:t>
      </w:r>
      <w:r w:rsidRPr="00666335">
        <w:rPr>
          <w:rFonts w:ascii="Times New Roman" w:hAnsi="Times New Roman" w:cs="Times New Roman"/>
          <w:bCs/>
        </w:rPr>
        <w:t>Rendészettudományi Kar, Büntetés-végrehajtási Tanszék</w:t>
      </w:r>
    </w:p>
    <w:p w:rsidR="00666335" w:rsidRPr="00666335" w:rsidRDefault="00666335" w:rsidP="00980876">
      <w:pPr>
        <w:pStyle w:val="lfej"/>
        <w:numPr>
          <w:ilvl w:val="0"/>
          <w:numId w:val="812"/>
        </w:numPr>
        <w:tabs>
          <w:tab w:val="clear" w:pos="786"/>
          <w:tab w:val="clear" w:pos="4536"/>
          <w:tab w:val="clear" w:pos="9072"/>
          <w:tab w:val="num" w:pos="360"/>
          <w:tab w:val="right" w:pos="900"/>
        </w:tabs>
        <w:spacing w:before="120" w:after="120"/>
        <w:ind w:left="284" w:hanging="284"/>
        <w:jc w:val="both"/>
        <w:rPr>
          <w:rFonts w:ascii="Times New Roman" w:hAnsi="Times New Roman" w:cs="Times New Roman"/>
          <w:bCs/>
        </w:rPr>
      </w:pPr>
      <w:r w:rsidRPr="00666335">
        <w:rPr>
          <w:rFonts w:ascii="Times New Roman" w:hAnsi="Times New Roman" w:cs="Times New Roman"/>
          <w:b/>
          <w:bCs/>
        </w:rPr>
        <w:t>A tantárgyfelelős oktató neve, beosztása, tudományos fokozata:</w:t>
      </w:r>
      <w:r w:rsidRPr="00666335">
        <w:rPr>
          <w:rFonts w:ascii="Times New Roman" w:hAnsi="Times New Roman" w:cs="Times New Roman"/>
          <w:bCs/>
        </w:rPr>
        <w:t xml:space="preserve"> Dr. Pallo József bv. ezredes, egyetemi docens</w:t>
      </w:r>
    </w:p>
    <w:p w:rsidR="00666335" w:rsidRPr="00666335" w:rsidRDefault="00666335" w:rsidP="00980876">
      <w:pPr>
        <w:pStyle w:val="lfej"/>
        <w:numPr>
          <w:ilvl w:val="0"/>
          <w:numId w:val="812"/>
        </w:numPr>
        <w:tabs>
          <w:tab w:val="clear" w:pos="786"/>
          <w:tab w:val="clear" w:pos="4536"/>
          <w:tab w:val="clear" w:pos="9072"/>
          <w:tab w:val="num" w:pos="360"/>
        </w:tabs>
        <w:spacing w:before="120" w:after="120"/>
        <w:ind w:left="284" w:hanging="284"/>
        <w:jc w:val="both"/>
        <w:rPr>
          <w:rFonts w:ascii="Times New Roman" w:hAnsi="Times New Roman" w:cs="Times New Roman"/>
          <w:bCs/>
        </w:rPr>
      </w:pPr>
      <w:r w:rsidRPr="00666335">
        <w:rPr>
          <w:rFonts w:ascii="Times New Roman" w:hAnsi="Times New Roman" w:cs="Times New Roman"/>
          <w:b/>
          <w:bCs/>
        </w:rPr>
        <w:t>A tanórák száma (előadás)</w:t>
      </w:r>
    </w:p>
    <w:p w:rsidR="00666335" w:rsidRPr="00666335" w:rsidRDefault="00666335" w:rsidP="00980876">
      <w:pPr>
        <w:pStyle w:val="lfej"/>
        <w:numPr>
          <w:ilvl w:val="1"/>
          <w:numId w:val="812"/>
        </w:numPr>
        <w:tabs>
          <w:tab w:val="clear" w:pos="1851"/>
          <w:tab w:val="clear" w:pos="4536"/>
          <w:tab w:val="clear" w:pos="9072"/>
          <w:tab w:val="num" w:pos="851"/>
          <w:tab w:val="right" w:pos="900"/>
        </w:tabs>
        <w:spacing w:before="120" w:after="120"/>
        <w:ind w:left="567" w:hanging="284"/>
        <w:jc w:val="both"/>
        <w:rPr>
          <w:rFonts w:ascii="Times New Roman" w:hAnsi="Times New Roman" w:cs="Times New Roman"/>
          <w:bCs/>
        </w:rPr>
      </w:pPr>
      <w:r w:rsidRPr="00666335">
        <w:rPr>
          <w:rFonts w:ascii="Times New Roman" w:hAnsi="Times New Roman" w:cs="Times New Roman"/>
          <w:bCs/>
        </w:rPr>
        <w:t xml:space="preserve">össz óraszám/félév: 28 óra </w:t>
      </w:r>
    </w:p>
    <w:p w:rsidR="00666335" w:rsidRPr="00666335" w:rsidRDefault="00666335" w:rsidP="00980876">
      <w:pPr>
        <w:pStyle w:val="lfej"/>
        <w:numPr>
          <w:ilvl w:val="2"/>
          <w:numId w:val="812"/>
        </w:numPr>
        <w:tabs>
          <w:tab w:val="clear" w:pos="2226"/>
          <w:tab w:val="clear" w:pos="4536"/>
          <w:tab w:val="clear" w:pos="9072"/>
          <w:tab w:val="num" w:pos="851"/>
          <w:tab w:val="num" w:pos="1800"/>
        </w:tabs>
        <w:spacing w:before="120" w:after="120"/>
        <w:ind w:left="567" w:hanging="284"/>
        <w:jc w:val="both"/>
        <w:rPr>
          <w:rFonts w:ascii="Times New Roman" w:hAnsi="Times New Roman" w:cs="Times New Roman"/>
          <w:bCs/>
        </w:rPr>
      </w:pPr>
      <w:r w:rsidRPr="00666335">
        <w:rPr>
          <w:rFonts w:ascii="Times New Roman" w:hAnsi="Times New Roman" w:cs="Times New Roman"/>
          <w:bCs/>
        </w:rPr>
        <w:t>nappali munkarend: 28 (28 EA + 0 SZ + 0 GY)</w:t>
      </w:r>
    </w:p>
    <w:p w:rsidR="00666335" w:rsidRPr="00666335" w:rsidRDefault="00666335" w:rsidP="00980876">
      <w:pPr>
        <w:pStyle w:val="lfej"/>
        <w:numPr>
          <w:ilvl w:val="2"/>
          <w:numId w:val="812"/>
        </w:numPr>
        <w:tabs>
          <w:tab w:val="clear" w:pos="2226"/>
          <w:tab w:val="clear" w:pos="4536"/>
          <w:tab w:val="clear" w:pos="9072"/>
          <w:tab w:val="num" w:pos="851"/>
          <w:tab w:val="num" w:pos="1800"/>
        </w:tabs>
        <w:spacing w:before="120" w:after="120"/>
        <w:ind w:left="567" w:hanging="284"/>
        <w:jc w:val="both"/>
        <w:rPr>
          <w:rFonts w:ascii="Times New Roman" w:hAnsi="Times New Roman" w:cs="Times New Roman"/>
          <w:bCs/>
        </w:rPr>
      </w:pPr>
      <w:r w:rsidRPr="00666335">
        <w:rPr>
          <w:rFonts w:ascii="Times New Roman" w:hAnsi="Times New Roman" w:cs="Times New Roman"/>
          <w:bCs/>
        </w:rPr>
        <w:t>levelező munkarend: 8 (8 EA + 0 SZ + 0 GY)</w:t>
      </w:r>
    </w:p>
    <w:p w:rsidR="00666335" w:rsidRPr="00666335" w:rsidRDefault="00666335" w:rsidP="00980876">
      <w:pPr>
        <w:pStyle w:val="lfej"/>
        <w:numPr>
          <w:ilvl w:val="1"/>
          <w:numId w:val="812"/>
        </w:numPr>
        <w:tabs>
          <w:tab w:val="clear" w:pos="1851"/>
          <w:tab w:val="clear" w:pos="4536"/>
          <w:tab w:val="clear" w:pos="9072"/>
          <w:tab w:val="num" w:pos="851"/>
          <w:tab w:val="right" w:pos="900"/>
        </w:tabs>
        <w:spacing w:before="120" w:after="120"/>
        <w:ind w:left="567" w:hanging="284"/>
        <w:jc w:val="both"/>
        <w:rPr>
          <w:rFonts w:ascii="Times New Roman" w:hAnsi="Times New Roman" w:cs="Times New Roman"/>
          <w:bCs/>
        </w:rPr>
      </w:pPr>
      <w:r w:rsidRPr="00666335">
        <w:rPr>
          <w:rFonts w:ascii="Times New Roman" w:hAnsi="Times New Roman" w:cs="Times New Roman"/>
          <w:bCs/>
        </w:rPr>
        <w:t>heti óraszám - nappali munkarend: 2</w:t>
      </w:r>
    </w:p>
    <w:p w:rsidR="00666335" w:rsidRPr="00666335" w:rsidRDefault="00666335" w:rsidP="00980876">
      <w:pPr>
        <w:pStyle w:val="lfej"/>
        <w:numPr>
          <w:ilvl w:val="1"/>
          <w:numId w:val="812"/>
        </w:numPr>
        <w:tabs>
          <w:tab w:val="clear" w:pos="1851"/>
          <w:tab w:val="clear" w:pos="4536"/>
          <w:tab w:val="clear" w:pos="9072"/>
          <w:tab w:val="num" w:pos="851"/>
          <w:tab w:val="right" w:pos="900"/>
        </w:tabs>
        <w:spacing w:before="120" w:after="120"/>
        <w:ind w:left="567" w:hanging="284"/>
        <w:jc w:val="both"/>
        <w:rPr>
          <w:rFonts w:ascii="Times New Roman" w:hAnsi="Times New Roman" w:cs="Times New Roman"/>
          <w:bCs/>
        </w:rPr>
      </w:pPr>
      <w:r w:rsidRPr="00666335">
        <w:rPr>
          <w:rFonts w:ascii="Times New Roman" w:hAnsi="Times New Roman" w:cs="Times New Roman"/>
          <w:bCs/>
        </w:rPr>
        <w:t>Az ismeret átadásában további sajátos módok, jellemzők: -</w:t>
      </w:r>
    </w:p>
    <w:p w:rsidR="00666335" w:rsidRPr="00666335" w:rsidRDefault="00666335" w:rsidP="00980876">
      <w:pPr>
        <w:pStyle w:val="lfej"/>
        <w:numPr>
          <w:ilvl w:val="0"/>
          <w:numId w:val="812"/>
        </w:numPr>
        <w:tabs>
          <w:tab w:val="clear" w:pos="786"/>
          <w:tab w:val="clear" w:pos="4536"/>
          <w:tab w:val="clear" w:pos="9072"/>
          <w:tab w:val="num" w:pos="360"/>
        </w:tabs>
        <w:spacing w:before="120" w:after="120"/>
        <w:ind w:left="284" w:hanging="284"/>
        <w:jc w:val="both"/>
        <w:rPr>
          <w:rFonts w:ascii="Times New Roman" w:hAnsi="Times New Roman" w:cs="Times New Roman"/>
          <w:b/>
          <w:bCs/>
        </w:rPr>
      </w:pPr>
      <w:r w:rsidRPr="00666335">
        <w:rPr>
          <w:rFonts w:ascii="Times New Roman" w:hAnsi="Times New Roman" w:cs="Times New Roman"/>
          <w:b/>
          <w:bCs/>
        </w:rPr>
        <w:t xml:space="preserve">A tantárgy szakmai tartalma (magyarul): </w:t>
      </w:r>
      <w:r w:rsidRPr="00666335">
        <w:rPr>
          <w:rFonts w:ascii="Times New Roman" w:hAnsi="Times New Roman" w:cs="Times New Roman"/>
        </w:rPr>
        <w:t>A hallgatók strukturált és rendszerezett ismereteket szereznek a honi rendészeti szervek fejlődéséről, a jogi (szabályozási) beágyazottságáról, az aktuális helyzetéről, a szakmai feladatairól, (küldetéséről) és jövőképéről. A hallgatók komparatív és komplex módszerek alkalmazásával ismerik meg a rendészeti szerveket, hiszen a XXI. században már nem működhet a partikuláris, szeparatív gondolkodásmód.</w:t>
      </w:r>
      <w:r w:rsidRPr="00666335">
        <w:rPr>
          <w:rFonts w:ascii="Times New Roman" w:hAnsi="Times New Roman" w:cs="Times New Roman"/>
          <w:b/>
          <w:bCs/>
        </w:rPr>
        <w:t xml:space="preserve"> </w:t>
      </w:r>
    </w:p>
    <w:p w:rsidR="00666335" w:rsidRPr="00666335" w:rsidRDefault="00666335" w:rsidP="00666335">
      <w:pPr>
        <w:pStyle w:val="lfej"/>
        <w:tabs>
          <w:tab w:val="clear" w:pos="4536"/>
          <w:tab w:val="clear" w:pos="9072"/>
        </w:tabs>
        <w:spacing w:before="120" w:after="120"/>
        <w:ind w:left="284"/>
        <w:jc w:val="both"/>
        <w:rPr>
          <w:rFonts w:ascii="Times New Roman" w:hAnsi="Times New Roman" w:cs="Times New Roman"/>
          <w:b/>
          <w:bCs/>
        </w:rPr>
      </w:pPr>
      <w:r w:rsidRPr="00666335">
        <w:rPr>
          <w:rFonts w:ascii="Times New Roman" w:hAnsi="Times New Roman" w:cs="Times New Roman"/>
          <w:b/>
          <w:bCs/>
        </w:rPr>
        <w:t xml:space="preserve">A tantárgy szakmai tartalma (angolul) (Course description): </w:t>
      </w:r>
      <w:r w:rsidRPr="00666335">
        <w:rPr>
          <w:rFonts w:ascii="Times New Roman" w:hAnsi="Times New Roman" w:cs="Times New Roman"/>
          <w:bCs/>
        </w:rPr>
        <w:t>The students will be able to acquire structured and systematic knowledge related to the development of the national law enforcement agencies, their legislative background, current situation, professional tasks, (mission) and their future. They will be introduced to the characteristics and peculiarities of law enforcement agencies through comparative and complex methods.</w:t>
      </w:r>
    </w:p>
    <w:p w:rsidR="00666335" w:rsidRPr="00666335" w:rsidRDefault="00666335" w:rsidP="00980876">
      <w:pPr>
        <w:pStyle w:val="lfej"/>
        <w:numPr>
          <w:ilvl w:val="0"/>
          <w:numId w:val="812"/>
        </w:numPr>
        <w:tabs>
          <w:tab w:val="clear" w:pos="786"/>
          <w:tab w:val="clear" w:pos="4536"/>
          <w:tab w:val="clear" w:pos="9072"/>
          <w:tab w:val="num" w:pos="360"/>
        </w:tabs>
        <w:spacing w:before="120" w:after="120"/>
        <w:ind w:left="284" w:hanging="284"/>
        <w:jc w:val="both"/>
        <w:rPr>
          <w:rFonts w:ascii="Times New Roman" w:hAnsi="Times New Roman" w:cs="Times New Roman"/>
          <w:b/>
          <w:bCs/>
        </w:rPr>
      </w:pPr>
      <w:r w:rsidRPr="00666335">
        <w:rPr>
          <w:rFonts w:ascii="Times New Roman" w:hAnsi="Times New Roman" w:cs="Times New Roman"/>
          <w:b/>
          <w:bCs/>
        </w:rPr>
        <w:t xml:space="preserve">Elérendő kompetenciák (magyarul): </w:t>
      </w:r>
    </w:p>
    <w:p w:rsidR="00666335" w:rsidRPr="00666335" w:rsidRDefault="00666335" w:rsidP="00666335">
      <w:pPr>
        <w:pStyle w:val="lfej"/>
        <w:tabs>
          <w:tab w:val="clear" w:pos="4536"/>
          <w:tab w:val="clear" w:pos="9072"/>
        </w:tabs>
        <w:spacing w:before="120" w:after="120"/>
        <w:ind w:left="284"/>
        <w:jc w:val="both"/>
        <w:rPr>
          <w:rFonts w:ascii="Times New Roman" w:hAnsi="Times New Roman" w:cs="Times New Roman"/>
          <w:bCs/>
        </w:rPr>
      </w:pPr>
      <w:r w:rsidRPr="00666335">
        <w:rPr>
          <w:rFonts w:ascii="Times New Roman" w:hAnsi="Times New Roman" w:cs="Times New Roman"/>
          <w:b/>
          <w:bCs/>
        </w:rPr>
        <w:t>Tudása:</w:t>
      </w:r>
      <w:r w:rsidRPr="00666335">
        <w:rPr>
          <w:rFonts w:ascii="Times New Roman" w:hAnsi="Times New Roman" w:cs="Times New Roman"/>
          <w:bCs/>
        </w:rPr>
        <w:t xml:space="preserve"> </w:t>
      </w:r>
    </w:p>
    <w:p w:rsidR="00666335" w:rsidRPr="00666335" w:rsidRDefault="00666335" w:rsidP="00666335">
      <w:pPr>
        <w:pStyle w:val="lfej"/>
        <w:tabs>
          <w:tab w:val="clear" w:pos="4536"/>
          <w:tab w:val="clear" w:pos="9072"/>
        </w:tabs>
        <w:spacing w:before="120" w:after="120"/>
        <w:ind w:left="284"/>
        <w:jc w:val="both"/>
        <w:rPr>
          <w:rFonts w:ascii="Times New Roman" w:hAnsi="Times New Roman" w:cs="Times New Roman"/>
          <w:bCs/>
        </w:rPr>
      </w:pPr>
      <w:r w:rsidRPr="00666335">
        <w:rPr>
          <w:rFonts w:ascii="Times New Roman" w:hAnsi="Times New Roman" w:cs="Times New Roman"/>
          <w:bCs/>
        </w:rPr>
        <w:t xml:space="preserve">Az egyes rendészeti területek tekintetében szintetizált tudás megszerzése, amely alapját képezi a rendszerek közötti összehangolt, magas szintű és stratégiai szakmai gondolkodásnak. </w:t>
      </w:r>
    </w:p>
    <w:p w:rsidR="00666335" w:rsidRPr="00666335" w:rsidRDefault="00666335" w:rsidP="00666335">
      <w:pPr>
        <w:pStyle w:val="lfej"/>
        <w:tabs>
          <w:tab w:val="clear" w:pos="4536"/>
          <w:tab w:val="clear" w:pos="9072"/>
        </w:tabs>
        <w:spacing w:before="120" w:after="120"/>
        <w:ind w:left="284"/>
        <w:jc w:val="both"/>
        <w:rPr>
          <w:rFonts w:ascii="Times New Roman" w:hAnsi="Times New Roman" w:cs="Times New Roman"/>
          <w:bCs/>
        </w:rPr>
      </w:pPr>
      <w:r w:rsidRPr="00666335">
        <w:rPr>
          <w:rFonts w:ascii="Times New Roman" w:hAnsi="Times New Roman" w:cs="Times New Roman"/>
          <w:bCs/>
        </w:rPr>
        <w:t xml:space="preserve">A tantárgy ismereteinek elsajátítása után a jövő rendészeti szakemberei komplex tudással, magabiztos rendszerszintű szemlélettel megerősítve váljanak alkalmassá arra, hogy vezetői feladataikat egységes és a kor elvárásainak megfelelő szemléletmóddal legyenek képesek megvalósítani. Ismeri szakterülete fő elméleteinek ismeretszerzési és probléma-megoldási módszereit. </w:t>
      </w:r>
    </w:p>
    <w:p w:rsidR="00666335" w:rsidRPr="00666335" w:rsidRDefault="00666335" w:rsidP="00666335">
      <w:pPr>
        <w:pStyle w:val="lfej"/>
        <w:tabs>
          <w:tab w:val="clear" w:pos="4536"/>
          <w:tab w:val="clear" w:pos="9072"/>
        </w:tabs>
        <w:spacing w:before="120" w:after="120"/>
        <w:ind w:left="284"/>
        <w:jc w:val="both"/>
        <w:rPr>
          <w:rFonts w:ascii="Times New Roman" w:hAnsi="Times New Roman" w:cs="Times New Roman"/>
          <w:bCs/>
        </w:rPr>
      </w:pPr>
      <w:r w:rsidRPr="00666335">
        <w:rPr>
          <w:rFonts w:ascii="Times New Roman" w:hAnsi="Times New Roman" w:cs="Times New Roman"/>
          <w:bCs/>
        </w:rPr>
        <w:t>Birtokában van azon ismeretek körének, amelyek szükségesek az adott és más képzési területen folyó mesterképzésbe való belépéshez.</w:t>
      </w:r>
    </w:p>
    <w:p w:rsidR="00666335" w:rsidRPr="00666335" w:rsidRDefault="00666335" w:rsidP="00666335">
      <w:pPr>
        <w:pStyle w:val="lfej"/>
        <w:tabs>
          <w:tab w:val="clear" w:pos="4536"/>
          <w:tab w:val="clear" w:pos="9072"/>
        </w:tabs>
        <w:spacing w:before="120" w:after="120"/>
        <w:ind w:left="284"/>
        <w:jc w:val="both"/>
        <w:rPr>
          <w:rFonts w:ascii="Times New Roman" w:hAnsi="Times New Roman" w:cs="Times New Roman"/>
          <w:bCs/>
        </w:rPr>
      </w:pPr>
      <w:r w:rsidRPr="00666335">
        <w:rPr>
          <w:rFonts w:ascii="Times New Roman" w:hAnsi="Times New Roman" w:cs="Times New Roman"/>
          <w:b/>
          <w:bCs/>
        </w:rPr>
        <w:lastRenderedPageBreak/>
        <w:t>Képességei:</w:t>
      </w:r>
      <w:r w:rsidRPr="00666335">
        <w:rPr>
          <w:rFonts w:ascii="Times New Roman" w:hAnsi="Times New Roman" w:cs="Times New Roman"/>
          <w:bCs/>
        </w:rPr>
        <w:t xml:space="preserve"> </w:t>
      </w:r>
    </w:p>
    <w:p w:rsidR="00666335" w:rsidRPr="00666335" w:rsidRDefault="00666335" w:rsidP="00666335">
      <w:pPr>
        <w:pStyle w:val="lfej"/>
        <w:tabs>
          <w:tab w:val="clear" w:pos="4536"/>
          <w:tab w:val="clear" w:pos="9072"/>
        </w:tabs>
        <w:spacing w:before="120" w:after="120"/>
        <w:ind w:left="284"/>
        <w:jc w:val="both"/>
        <w:rPr>
          <w:rFonts w:ascii="Times New Roman" w:hAnsi="Times New Roman" w:cs="Times New Roman"/>
        </w:rPr>
      </w:pPr>
      <w:r w:rsidRPr="00666335">
        <w:rPr>
          <w:rFonts w:ascii="Times New Roman" w:hAnsi="Times New Roman" w:cs="Times New Roman"/>
          <w:bCs/>
        </w:rPr>
        <w:t>Cél, olyan korszerű szakmai és rendészeti szocializációs alapokon nyugvó vezetői magatartás kialakítása és annak fejlesztése, amelyek alkalmassá teszik a hallgatókat az elemző és értékelő szempontú, vezetői döntéshozatalban való cselekvő közreműködésre.</w:t>
      </w:r>
      <w:r w:rsidRPr="00666335">
        <w:rPr>
          <w:rFonts w:ascii="Times New Roman" w:hAnsi="Times New Roman" w:cs="Times New Roman"/>
        </w:rPr>
        <w:t xml:space="preserve"> </w:t>
      </w:r>
    </w:p>
    <w:p w:rsidR="00666335" w:rsidRPr="00666335" w:rsidRDefault="00666335" w:rsidP="00666335">
      <w:pPr>
        <w:pStyle w:val="lfej"/>
        <w:tabs>
          <w:tab w:val="clear" w:pos="4536"/>
          <w:tab w:val="clear" w:pos="9072"/>
        </w:tabs>
        <w:spacing w:before="120" w:after="120"/>
        <w:ind w:left="284"/>
        <w:jc w:val="both"/>
        <w:rPr>
          <w:rFonts w:ascii="Times New Roman" w:hAnsi="Times New Roman" w:cs="Times New Roman"/>
        </w:rPr>
      </w:pPr>
      <w:r w:rsidRPr="00666335">
        <w:rPr>
          <w:rFonts w:ascii="Times New Roman" w:hAnsi="Times New Roman" w:cs="Times New Roman"/>
        </w:rPr>
        <w:t xml:space="preserve">Fontos, hogy a saját tevékenységüket pontosan és biztosan el tudják helyezni a „nagy egészben” és ehhez igazítsák a vezetői magatartásukat. </w:t>
      </w:r>
    </w:p>
    <w:p w:rsidR="00666335" w:rsidRPr="00666335" w:rsidRDefault="00666335" w:rsidP="00666335">
      <w:pPr>
        <w:pStyle w:val="lfej"/>
        <w:tabs>
          <w:tab w:val="clear" w:pos="4536"/>
          <w:tab w:val="clear" w:pos="9072"/>
        </w:tabs>
        <w:spacing w:before="120" w:after="120"/>
        <w:ind w:left="284"/>
        <w:jc w:val="both"/>
        <w:rPr>
          <w:rFonts w:ascii="Times New Roman" w:hAnsi="Times New Roman" w:cs="Times New Roman"/>
          <w:bCs/>
        </w:rPr>
      </w:pPr>
      <w:r w:rsidRPr="00666335">
        <w:rPr>
          <w:rFonts w:ascii="Times New Roman" w:hAnsi="Times New Roman" w:cs="Times New Roman"/>
          <w:b/>
          <w:bCs/>
        </w:rPr>
        <w:t>Attitűdje:</w:t>
      </w:r>
      <w:r w:rsidRPr="00666335">
        <w:rPr>
          <w:rFonts w:ascii="Times New Roman" w:hAnsi="Times New Roman" w:cs="Times New Roman"/>
          <w:bCs/>
        </w:rPr>
        <w:t xml:space="preserve"> </w:t>
      </w:r>
    </w:p>
    <w:p w:rsidR="00666335" w:rsidRPr="00666335" w:rsidRDefault="00666335" w:rsidP="00666335">
      <w:pPr>
        <w:pStyle w:val="lfej"/>
        <w:tabs>
          <w:tab w:val="clear" w:pos="4536"/>
          <w:tab w:val="clear" w:pos="9072"/>
        </w:tabs>
        <w:spacing w:before="120" w:after="120"/>
        <w:ind w:left="284"/>
        <w:jc w:val="both"/>
        <w:rPr>
          <w:rFonts w:ascii="Times New Roman" w:hAnsi="Times New Roman" w:cs="Times New Roman"/>
          <w:bCs/>
        </w:rPr>
      </w:pPr>
      <w:r w:rsidRPr="00666335">
        <w:rPr>
          <w:rFonts w:ascii="Times New Roman" w:hAnsi="Times New Roman" w:cs="Times New Roman"/>
          <w:bCs/>
        </w:rPr>
        <w:t xml:space="preserve">A rendszerszintű szemléletmódból eredően a hallgató alkalmassá válik arra, hogy stratégiai gondolkodásmóddal, összefüggéseiben lássa a rendészeti szervek működését. </w:t>
      </w:r>
    </w:p>
    <w:p w:rsidR="00666335" w:rsidRPr="00666335" w:rsidRDefault="00666335" w:rsidP="00666335">
      <w:pPr>
        <w:pStyle w:val="lfej"/>
        <w:tabs>
          <w:tab w:val="clear" w:pos="4536"/>
          <w:tab w:val="clear" w:pos="9072"/>
        </w:tabs>
        <w:spacing w:before="120" w:after="120"/>
        <w:ind w:left="284"/>
        <w:jc w:val="both"/>
        <w:rPr>
          <w:rFonts w:ascii="Times New Roman" w:hAnsi="Times New Roman" w:cs="Times New Roman"/>
          <w:bCs/>
        </w:rPr>
      </w:pPr>
      <w:r w:rsidRPr="00666335">
        <w:rPr>
          <w:rFonts w:ascii="Times New Roman" w:hAnsi="Times New Roman" w:cs="Times New Roman"/>
          <w:bCs/>
        </w:rPr>
        <w:t>Pragmatikus alapokon érdekelt és képes a gyakorlati és elméleti problémák azonosításában és azok megoldásában. Közös közszolgálati érték- és fogalomkészlettel bír és nyitott a teljes közszolgálat egészére.</w:t>
      </w:r>
    </w:p>
    <w:p w:rsidR="00666335" w:rsidRPr="00666335" w:rsidRDefault="00666335" w:rsidP="00666335">
      <w:pPr>
        <w:pStyle w:val="lfej"/>
        <w:tabs>
          <w:tab w:val="clear" w:pos="4536"/>
          <w:tab w:val="clear" w:pos="9072"/>
        </w:tabs>
        <w:spacing w:before="120" w:after="120"/>
        <w:ind w:left="284"/>
        <w:jc w:val="both"/>
        <w:rPr>
          <w:rFonts w:ascii="Times New Roman" w:hAnsi="Times New Roman" w:cs="Times New Roman"/>
          <w:b/>
          <w:bCs/>
        </w:rPr>
      </w:pPr>
      <w:r w:rsidRPr="00666335">
        <w:rPr>
          <w:rFonts w:ascii="Times New Roman" w:hAnsi="Times New Roman" w:cs="Times New Roman"/>
          <w:b/>
          <w:bCs/>
        </w:rPr>
        <w:t xml:space="preserve">Autonómiája és felelőssége: </w:t>
      </w:r>
    </w:p>
    <w:p w:rsidR="00666335" w:rsidRPr="00666335" w:rsidRDefault="00666335" w:rsidP="00666335">
      <w:pPr>
        <w:pStyle w:val="lfej"/>
        <w:tabs>
          <w:tab w:val="clear" w:pos="4536"/>
          <w:tab w:val="clear" w:pos="9072"/>
        </w:tabs>
        <w:spacing w:before="120" w:after="120"/>
        <w:ind w:left="284"/>
        <w:jc w:val="both"/>
        <w:rPr>
          <w:rFonts w:ascii="Times New Roman" w:hAnsi="Times New Roman" w:cs="Times New Roman"/>
        </w:rPr>
      </w:pPr>
      <w:r w:rsidRPr="00666335">
        <w:rPr>
          <w:rFonts w:ascii="Times New Roman" w:hAnsi="Times New Roman" w:cs="Times New Roman"/>
          <w:bCs/>
        </w:rPr>
        <w:t>Az egységes és az egyes rendszerek között átjárható rendészeti vezetői filozófiához igazodóan képes feladatot meghatározni, azt végrehajtatni, ellenőrizni és értékelni.</w:t>
      </w:r>
      <w:r w:rsidRPr="00666335">
        <w:rPr>
          <w:rFonts w:ascii="Times New Roman" w:hAnsi="Times New Roman" w:cs="Times New Roman"/>
        </w:rPr>
        <w:t xml:space="preserve"> </w:t>
      </w:r>
    </w:p>
    <w:p w:rsidR="00666335" w:rsidRPr="00666335" w:rsidRDefault="00666335" w:rsidP="00666335">
      <w:pPr>
        <w:pStyle w:val="lfej"/>
        <w:tabs>
          <w:tab w:val="clear" w:pos="4536"/>
          <w:tab w:val="clear" w:pos="9072"/>
        </w:tabs>
        <w:spacing w:before="120" w:after="120"/>
        <w:ind w:left="284"/>
        <w:jc w:val="both"/>
        <w:rPr>
          <w:rFonts w:ascii="Times New Roman" w:hAnsi="Times New Roman" w:cs="Times New Roman"/>
          <w:bCs/>
        </w:rPr>
      </w:pPr>
      <w:r w:rsidRPr="00666335">
        <w:rPr>
          <w:rFonts w:ascii="Times New Roman" w:hAnsi="Times New Roman" w:cs="Times New Roman"/>
          <w:bCs/>
        </w:rPr>
        <w:t>Felismeri az általa irányított szervezet feladatait és lehetőségeit, együttműködik másokkal a különböző jellegű szakmai problémák megoldásában, saját és szervezete tevékenységével szemben kritikus, követelménytámasztó, munkatársaival szemben empatikus, de feladat- és eredménycentrikus, törekszik a kitűzött célok maradéktalan elérésére.</w:t>
      </w:r>
    </w:p>
    <w:p w:rsidR="00666335" w:rsidRPr="00666335" w:rsidRDefault="00666335" w:rsidP="00666335">
      <w:pPr>
        <w:pStyle w:val="lfej"/>
        <w:tabs>
          <w:tab w:val="clear" w:pos="4536"/>
          <w:tab w:val="clear" w:pos="9072"/>
        </w:tabs>
        <w:spacing w:before="120" w:after="120"/>
        <w:ind w:left="284"/>
        <w:jc w:val="both"/>
        <w:rPr>
          <w:rFonts w:ascii="Times New Roman" w:hAnsi="Times New Roman" w:cs="Times New Roman"/>
          <w:b/>
          <w:bCs/>
          <w:lang w:val="en-US"/>
        </w:rPr>
      </w:pPr>
      <w:r w:rsidRPr="00666335">
        <w:rPr>
          <w:rFonts w:ascii="Times New Roman" w:hAnsi="Times New Roman" w:cs="Times New Roman"/>
          <w:b/>
          <w:bCs/>
        </w:rPr>
        <w:t>Elérendő kompetenciák (angolul) (Competences –</w:t>
      </w:r>
      <w:r w:rsidRPr="00666335">
        <w:rPr>
          <w:rFonts w:ascii="Times New Roman" w:hAnsi="Times New Roman" w:cs="Times New Roman"/>
          <w:b/>
          <w:bCs/>
          <w:lang w:val="en-US"/>
        </w:rPr>
        <w:t xml:space="preserve"> English): </w:t>
      </w:r>
    </w:p>
    <w:p w:rsidR="00666335" w:rsidRPr="00666335" w:rsidRDefault="00666335" w:rsidP="00666335">
      <w:pPr>
        <w:pStyle w:val="lfej"/>
        <w:tabs>
          <w:tab w:val="clear" w:pos="4536"/>
          <w:tab w:val="clear" w:pos="9072"/>
        </w:tabs>
        <w:spacing w:before="120" w:after="120"/>
        <w:ind w:left="284"/>
        <w:jc w:val="both"/>
        <w:rPr>
          <w:rFonts w:ascii="Times New Roman" w:hAnsi="Times New Roman" w:cs="Times New Roman"/>
          <w:lang w:val="en-GB"/>
        </w:rPr>
      </w:pPr>
      <w:r w:rsidRPr="00666335">
        <w:rPr>
          <w:rFonts w:ascii="Times New Roman" w:hAnsi="Times New Roman" w:cs="Times New Roman"/>
          <w:b/>
          <w:lang w:val="en-GB"/>
        </w:rPr>
        <w:t>Knowledge</w:t>
      </w:r>
      <w:r w:rsidRPr="00666335">
        <w:rPr>
          <w:rFonts w:ascii="Times New Roman" w:hAnsi="Times New Roman" w:cs="Times New Roman"/>
          <w:lang w:val="en-GB"/>
        </w:rPr>
        <w:t xml:space="preserve">: </w:t>
      </w:r>
    </w:p>
    <w:p w:rsidR="00666335" w:rsidRPr="00666335" w:rsidRDefault="00666335" w:rsidP="00666335">
      <w:pPr>
        <w:pStyle w:val="lfej"/>
        <w:tabs>
          <w:tab w:val="clear" w:pos="4536"/>
          <w:tab w:val="clear" w:pos="9072"/>
        </w:tabs>
        <w:spacing w:before="120" w:after="120"/>
        <w:ind w:left="284"/>
        <w:jc w:val="both"/>
        <w:rPr>
          <w:rFonts w:ascii="Times New Roman" w:hAnsi="Times New Roman" w:cs="Times New Roman"/>
          <w:lang w:val="en-GB"/>
        </w:rPr>
      </w:pPr>
      <w:r w:rsidRPr="00666335">
        <w:rPr>
          <w:rFonts w:ascii="Times New Roman" w:hAnsi="Times New Roman" w:cs="Times New Roman"/>
          <w:lang w:val="en-GB"/>
        </w:rPr>
        <w:t xml:space="preserve">To acquire a synthesized knowledge related to the fields associated with law enforcement and which serves as the foundation for a high-standard, professional and strategic way of thinking between each system. </w:t>
      </w:r>
    </w:p>
    <w:p w:rsidR="00666335" w:rsidRPr="00666335" w:rsidRDefault="00666335" w:rsidP="00666335">
      <w:pPr>
        <w:pStyle w:val="lfej"/>
        <w:tabs>
          <w:tab w:val="clear" w:pos="4536"/>
          <w:tab w:val="clear" w:pos="9072"/>
        </w:tabs>
        <w:spacing w:before="120" w:after="120"/>
        <w:ind w:left="284"/>
        <w:jc w:val="both"/>
        <w:rPr>
          <w:rFonts w:ascii="Times New Roman" w:hAnsi="Times New Roman" w:cs="Times New Roman"/>
          <w:lang w:val="en-GB"/>
        </w:rPr>
      </w:pPr>
      <w:r w:rsidRPr="00666335">
        <w:rPr>
          <w:rFonts w:ascii="Times New Roman" w:hAnsi="Times New Roman" w:cs="Times New Roman"/>
          <w:lang w:val="en-GB"/>
        </w:rPr>
        <w:t xml:space="preserve">Following acquiring the knowledge related to the course, the law enforcement professionals of the future will boast complex knowledge and a systematic approach in order to become capable of carrying out their executive tasks and decisions in a unified manner, according to the expectations of the era. </w:t>
      </w:r>
    </w:p>
    <w:p w:rsidR="00666335" w:rsidRPr="00666335" w:rsidRDefault="00666335" w:rsidP="00666335">
      <w:pPr>
        <w:pStyle w:val="lfej"/>
        <w:tabs>
          <w:tab w:val="clear" w:pos="4536"/>
          <w:tab w:val="clear" w:pos="9072"/>
        </w:tabs>
        <w:spacing w:before="120" w:after="120"/>
        <w:ind w:left="284"/>
        <w:jc w:val="both"/>
        <w:rPr>
          <w:rFonts w:ascii="Times New Roman" w:hAnsi="Times New Roman" w:cs="Times New Roman"/>
          <w:lang w:val="en-GB"/>
        </w:rPr>
      </w:pPr>
      <w:r w:rsidRPr="00666335">
        <w:rPr>
          <w:rFonts w:ascii="Times New Roman" w:hAnsi="Times New Roman" w:cs="Times New Roman"/>
          <w:lang w:val="en-GB"/>
        </w:rPr>
        <w:t xml:space="preserve">They will become familiar with the methods of their fields of expertise and its theory. </w:t>
      </w:r>
    </w:p>
    <w:p w:rsidR="00666335" w:rsidRPr="00666335" w:rsidRDefault="00666335" w:rsidP="00666335">
      <w:pPr>
        <w:pStyle w:val="lfej"/>
        <w:tabs>
          <w:tab w:val="clear" w:pos="4536"/>
          <w:tab w:val="clear" w:pos="9072"/>
        </w:tabs>
        <w:spacing w:before="120" w:after="120"/>
        <w:ind w:left="284"/>
        <w:jc w:val="both"/>
        <w:rPr>
          <w:rFonts w:ascii="Times New Roman" w:hAnsi="Times New Roman" w:cs="Times New Roman"/>
          <w:lang w:val="en-GB"/>
        </w:rPr>
      </w:pPr>
      <w:r w:rsidRPr="00666335">
        <w:rPr>
          <w:rFonts w:ascii="Times New Roman" w:hAnsi="Times New Roman" w:cs="Times New Roman"/>
          <w:lang w:val="en-GB"/>
        </w:rPr>
        <w:t>They will possess the knowledge required to enter masters studies either on the same field or several others.</w:t>
      </w:r>
    </w:p>
    <w:p w:rsidR="00666335" w:rsidRPr="00666335" w:rsidRDefault="00666335" w:rsidP="00666335">
      <w:pPr>
        <w:pStyle w:val="lfej"/>
        <w:tabs>
          <w:tab w:val="clear" w:pos="4536"/>
          <w:tab w:val="clear" w:pos="9072"/>
        </w:tabs>
        <w:spacing w:before="120" w:after="120"/>
        <w:ind w:left="284"/>
        <w:jc w:val="both"/>
        <w:rPr>
          <w:rFonts w:ascii="Times New Roman" w:hAnsi="Times New Roman" w:cs="Times New Roman"/>
          <w:lang w:val="en-GB"/>
        </w:rPr>
      </w:pPr>
      <w:r w:rsidRPr="00666335">
        <w:rPr>
          <w:rFonts w:ascii="Times New Roman" w:hAnsi="Times New Roman" w:cs="Times New Roman"/>
          <w:b/>
          <w:lang w:val="en-GB"/>
        </w:rPr>
        <w:t>Capabilities</w:t>
      </w:r>
      <w:r w:rsidRPr="00666335">
        <w:rPr>
          <w:rFonts w:ascii="Times New Roman" w:hAnsi="Times New Roman" w:cs="Times New Roman"/>
          <w:lang w:val="en-GB"/>
        </w:rPr>
        <w:t xml:space="preserve">: </w:t>
      </w:r>
    </w:p>
    <w:p w:rsidR="00666335" w:rsidRPr="00666335" w:rsidRDefault="00666335" w:rsidP="00666335">
      <w:pPr>
        <w:pStyle w:val="lfej"/>
        <w:tabs>
          <w:tab w:val="clear" w:pos="4536"/>
          <w:tab w:val="clear" w:pos="9072"/>
        </w:tabs>
        <w:spacing w:before="120" w:after="120"/>
        <w:ind w:left="284"/>
        <w:jc w:val="both"/>
        <w:rPr>
          <w:rFonts w:ascii="Times New Roman" w:hAnsi="Times New Roman" w:cs="Times New Roman"/>
          <w:lang w:val="en-GB"/>
        </w:rPr>
      </w:pPr>
      <w:r w:rsidRPr="00666335">
        <w:rPr>
          <w:rFonts w:ascii="Times New Roman" w:hAnsi="Times New Roman" w:cs="Times New Roman"/>
          <w:lang w:val="en-GB"/>
        </w:rPr>
        <w:t>The goal is to establish and develop a professional conduct that would later make students capable of participating in executive decisions with an analytical mind. It is important to make sure that they can identify the role of their tasks in the “greater whole” and plan their executive conduct accordingly.</w:t>
      </w:r>
    </w:p>
    <w:p w:rsidR="00666335" w:rsidRPr="00666335" w:rsidRDefault="00666335" w:rsidP="00666335">
      <w:pPr>
        <w:pStyle w:val="lfej"/>
        <w:tabs>
          <w:tab w:val="clear" w:pos="4536"/>
          <w:tab w:val="clear" w:pos="9072"/>
        </w:tabs>
        <w:spacing w:before="120" w:after="120"/>
        <w:ind w:left="284"/>
        <w:jc w:val="both"/>
        <w:rPr>
          <w:rFonts w:ascii="Times New Roman" w:hAnsi="Times New Roman" w:cs="Times New Roman"/>
          <w:lang w:val="en-GB"/>
        </w:rPr>
      </w:pPr>
      <w:r w:rsidRPr="00666335">
        <w:rPr>
          <w:rFonts w:ascii="Times New Roman" w:hAnsi="Times New Roman" w:cs="Times New Roman"/>
          <w:b/>
          <w:lang w:val="en-GB"/>
        </w:rPr>
        <w:t>Attitude:</w:t>
      </w:r>
      <w:r w:rsidRPr="00666335">
        <w:rPr>
          <w:rFonts w:ascii="Times New Roman" w:hAnsi="Times New Roman" w:cs="Times New Roman"/>
          <w:lang w:val="en-GB"/>
        </w:rPr>
        <w:t xml:space="preserve"> </w:t>
      </w:r>
    </w:p>
    <w:p w:rsidR="00666335" w:rsidRPr="00666335" w:rsidRDefault="00666335" w:rsidP="00666335">
      <w:pPr>
        <w:pStyle w:val="lfej"/>
        <w:tabs>
          <w:tab w:val="clear" w:pos="4536"/>
          <w:tab w:val="clear" w:pos="9072"/>
        </w:tabs>
        <w:spacing w:before="120" w:after="120"/>
        <w:ind w:left="284"/>
        <w:jc w:val="both"/>
        <w:rPr>
          <w:rFonts w:ascii="Times New Roman" w:hAnsi="Times New Roman" w:cs="Times New Roman"/>
          <w:lang w:val="en-GB"/>
        </w:rPr>
      </w:pPr>
      <w:r w:rsidRPr="00666335">
        <w:rPr>
          <w:rFonts w:ascii="Times New Roman" w:hAnsi="Times New Roman" w:cs="Times New Roman"/>
          <w:lang w:val="en-GB"/>
        </w:rPr>
        <w:t xml:space="preserve">Do to the systematic approach, the students will become capable of examining the operation of law enforcement agencies in a strategic manner, identifying all the relevant connections. </w:t>
      </w:r>
    </w:p>
    <w:p w:rsidR="00666335" w:rsidRPr="00666335" w:rsidRDefault="00666335" w:rsidP="00666335">
      <w:pPr>
        <w:pStyle w:val="lfej"/>
        <w:tabs>
          <w:tab w:val="clear" w:pos="4536"/>
          <w:tab w:val="clear" w:pos="9072"/>
        </w:tabs>
        <w:spacing w:before="120" w:after="120"/>
        <w:ind w:left="284"/>
        <w:jc w:val="both"/>
        <w:rPr>
          <w:rFonts w:ascii="Times New Roman" w:hAnsi="Times New Roman" w:cs="Times New Roman"/>
          <w:lang w:val="en-GB"/>
        </w:rPr>
      </w:pPr>
      <w:r w:rsidRPr="00666335">
        <w:rPr>
          <w:rFonts w:ascii="Times New Roman" w:hAnsi="Times New Roman" w:cs="Times New Roman"/>
          <w:lang w:val="en-GB"/>
        </w:rPr>
        <w:t xml:space="preserve">In a pragmatic sense, they will be interested in and capable of identifying practical and theoretical issues and finding their solutions. </w:t>
      </w:r>
    </w:p>
    <w:p w:rsidR="00666335" w:rsidRPr="00666335" w:rsidRDefault="00666335" w:rsidP="00666335">
      <w:pPr>
        <w:pStyle w:val="lfej"/>
        <w:tabs>
          <w:tab w:val="clear" w:pos="4536"/>
          <w:tab w:val="clear" w:pos="9072"/>
        </w:tabs>
        <w:spacing w:before="120" w:after="120"/>
        <w:ind w:left="284"/>
        <w:jc w:val="both"/>
        <w:rPr>
          <w:rFonts w:ascii="Times New Roman" w:hAnsi="Times New Roman" w:cs="Times New Roman"/>
          <w:lang w:val="en-GB"/>
        </w:rPr>
      </w:pPr>
      <w:r w:rsidRPr="00666335">
        <w:rPr>
          <w:rFonts w:ascii="Times New Roman" w:hAnsi="Times New Roman" w:cs="Times New Roman"/>
          <w:lang w:val="en-GB"/>
        </w:rPr>
        <w:t>They will boast a set of values closely associated with public service and will become open to the field as a whole.</w:t>
      </w:r>
    </w:p>
    <w:p w:rsidR="00666335" w:rsidRDefault="00666335" w:rsidP="00666335">
      <w:pPr>
        <w:pStyle w:val="lfej"/>
        <w:tabs>
          <w:tab w:val="clear" w:pos="4536"/>
          <w:tab w:val="clear" w:pos="9072"/>
        </w:tabs>
        <w:spacing w:before="120" w:after="120"/>
        <w:ind w:left="284"/>
        <w:jc w:val="both"/>
        <w:rPr>
          <w:rFonts w:ascii="Times New Roman" w:hAnsi="Times New Roman" w:cs="Times New Roman"/>
          <w:b/>
          <w:lang w:val="en-GB"/>
        </w:rPr>
      </w:pPr>
    </w:p>
    <w:p w:rsidR="00666335" w:rsidRPr="00666335" w:rsidRDefault="00666335" w:rsidP="00666335">
      <w:pPr>
        <w:pStyle w:val="lfej"/>
        <w:tabs>
          <w:tab w:val="clear" w:pos="4536"/>
          <w:tab w:val="clear" w:pos="9072"/>
        </w:tabs>
        <w:spacing w:before="120" w:after="120"/>
        <w:ind w:left="284"/>
        <w:jc w:val="both"/>
        <w:rPr>
          <w:rFonts w:ascii="Times New Roman" w:hAnsi="Times New Roman" w:cs="Times New Roman"/>
          <w:b/>
          <w:lang w:val="en-GB"/>
        </w:rPr>
      </w:pPr>
      <w:r w:rsidRPr="00666335">
        <w:rPr>
          <w:rFonts w:ascii="Times New Roman" w:hAnsi="Times New Roman" w:cs="Times New Roman"/>
          <w:b/>
          <w:lang w:val="en-GB"/>
        </w:rPr>
        <w:lastRenderedPageBreak/>
        <w:t xml:space="preserve">Autonomy and responsibility: </w:t>
      </w:r>
    </w:p>
    <w:p w:rsidR="00666335" w:rsidRPr="00666335" w:rsidRDefault="00666335" w:rsidP="00666335">
      <w:pPr>
        <w:pStyle w:val="lfej"/>
        <w:tabs>
          <w:tab w:val="clear" w:pos="4536"/>
          <w:tab w:val="clear" w:pos="9072"/>
        </w:tabs>
        <w:spacing w:before="120" w:after="120"/>
        <w:ind w:left="284"/>
        <w:jc w:val="both"/>
        <w:rPr>
          <w:rFonts w:ascii="Times New Roman" w:hAnsi="Times New Roman" w:cs="Times New Roman"/>
          <w:lang w:val="en-GB"/>
        </w:rPr>
      </w:pPr>
      <w:r w:rsidRPr="00666335">
        <w:rPr>
          <w:rFonts w:ascii="Times New Roman" w:hAnsi="Times New Roman" w:cs="Times New Roman"/>
          <w:lang w:val="en-GB"/>
        </w:rPr>
        <w:t xml:space="preserve">They are capable of determining tasks with a uniform philosophy that overlaps between certain systems and possess the means for the execution, supervision and evaluation of these. </w:t>
      </w:r>
    </w:p>
    <w:p w:rsidR="00666335" w:rsidRPr="00666335" w:rsidRDefault="00666335" w:rsidP="00666335">
      <w:pPr>
        <w:pStyle w:val="lfej"/>
        <w:tabs>
          <w:tab w:val="clear" w:pos="4536"/>
          <w:tab w:val="clear" w:pos="9072"/>
        </w:tabs>
        <w:spacing w:before="120" w:after="120"/>
        <w:ind w:left="284"/>
        <w:jc w:val="both"/>
        <w:rPr>
          <w:rFonts w:ascii="Times New Roman" w:hAnsi="Times New Roman" w:cs="Times New Roman"/>
          <w:lang w:val="en-GB"/>
        </w:rPr>
      </w:pPr>
      <w:r w:rsidRPr="00666335">
        <w:rPr>
          <w:rFonts w:ascii="Times New Roman" w:hAnsi="Times New Roman" w:cs="Times New Roman"/>
          <w:lang w:val="en-GB"/>
        </w:rPr>
        <w:t xml:space="preserve">They will be able to recognize and identify the tasks and opportunities of the body under their command and will be capable of cooperating with others in order to solve various professional difficulties. </w:t>
      </w:r>
    </w:p>
    <w:p w:rsidR="00666335" w:rsidRPr="00666335" w:rsidRDefault="00666335" w:rsidP="00666335">
      <w:pPr>
        <w:pStyle w:val="lfej"/>
        <w:tabs>
          <w:tab w:val="clear" w:pos="4536"/>
          <w:tab w:val="clear" w:pos="9072"/>
        </w:tabs>
        <w:spacing w:before="120" w:after="120"/>
        <w:ind w:left="284"/>
        <w:jc w:val="both"/>
        <w:rPr>
          <w:rFonts w:ascii="Times New Roman" w:hAnsi="Times New Roman" w:cs="Times New Roman"/>
          <w:b/>
          <w:bCs/>
        </w:rPr>
      </w:pPr>
      <w:r w:rsidRPr="00666335">
        <w:rPr>
          <w:rFonts w:ascii="Times New Roman" w:hAnsi="Times New Roman" w:cs="Times New Roman"/>
          <w:lang w:val="en-GB"/>
        </w:rPr>
        <w:t>They will possess a critical, rationally demanding but also emphatic attitude which is problem and solution-oriented and thus will strive for due solution.</w:t>
      </w:r>
    </w:p>
    <w:p w:rsidR="00666335" w:rsidRPr="00666335" w:rsidRDefault="00666335" w:rsidP="00980876">
      <w:pPr>
        <w:pStyle w:val="lfej"/>
        <w:numPr>
          <w:ilvl w:val="0"/>
          <w:numId w:val="812"/>
        </w:numPr>
        <w:tabs>
          <w:tab w:val="clear" w:pos="786"/>
          <w:tab w:val="clear" w:pos="4536"/>
          <w:tab w:val="clear" w:pos="9072"/>
          <w:tab w:val="num" w:pos="360"/>
        </w:tabs>
        <w:spacing w:before="120" w:after="120"/>
        <w:ind w:left="284" w:hanging="284"/>
        <w:jc w:val="both"/>
        <w:rPr>
          <w:rFonts w:ascii="Times New Roman" w:hAnsi="Times New Roman" w:cs="Times New Roman"/>
          <w:b/>
          <w:bCs/>
        </w:rPr>
      </w:pPr>
      <w:r w:rsidRPr="00666335">
        <w:rPr>
          <w:rFonts w:ascii="Times New Roman" w:hAnsi="Times New Roman" w:cs="Times New Roman"/>
          <w:b/>
          <w:bCs/>
        </w:rPr>
        <w:t xml:space="preserve">Előtanulmányi kötelezettségek: </w:t>
      </w:r>
      <w:r w:rsidRPr="00666335">
        <w:rPr>
          <w:rFonts w:ascii="Times New Roman" w:hAnsi="Times New Roman" w:cs="Times New Roman"/>
          <w:bCs/>
        </w:rPr>
        <w:t>-</w:t>
      </w:r>
    </w:p>
    <w:p w:rsidR="00666335" w:rsidRPr="00666335" w:rsidRDefault="00666335" w:rsidP="00980876">
      <w:pPr>
        <w:pStyle w:val="lfej"/>
        <w:numPr>
          <w:ilvl w:val="0"/>
          <w:numId w:val="812"/>
        </w:numPr>
        <w:tabs>
          <w:tab w:val="clear" w:pos="786"/>
          <w:tab w:val="clear" w:pos="4536"/>
          <w:tab w:val="clear" w:pos="9072"/>
          <w:tab w:val="num" w:pos="360"/>
        </w:tabs>
        <w:spacing w:before="120" w:after="120"/>
        <w:ind w:left="284" w:hanging="284"/>
        <w:jc w:val="both"/>
        <w:rPr>
          <w:rFonts w:ascii="Times New Roman" w:hAnsi="Times New Roman" w:cs="Times New Roman"/>
          <w:b/>
          <w:bCs/>
        </w:rPr>
      </w:pPr>
      <w:r w:rsidRPr="00666335">
        <w:rPr>
          <w:rFonts w:ascii="Times New Roman" w:hAnsi="Times New Roman" w:cs="Times New Roman"/>
          <w:b/>
          <w:bCs/>
        </w:rPr>
        <w:t>A tantárgy tananyagának leírása, tematika. Description of the subject, curriculum (magyarul, angolul – English):</w:t>
      </w:r>
    </w:p>
    <w:p w:rsidR="00666335" w:rsidRPr="00666335" w:rsidRDefault="00666335" w:rsidP="00980876">
      <w:pPr>
        <w:pStyle w:val="Listaszerbekezds"/>
        <w:widowControl w:val="0"/>
        <w:numPr>
          <w:ilvl w:val="1"/>
          <w:numId w:val="812"/>
        </w:numPr>
        <w:tabs>
          <w:tab w:val="clear" w:pos="1851"/>
          <w:tab w:val="num" w:pos="851"/>
        </w:tabs>
        <w:spacing w:before="120" w:after="120" w:line="240" w:lineRule="auto"/>
        <w:ind w:left="851" w:hanging="574"/>
        <w:jc w:val="both"/>
        <w:rPr>
          <w:rFonts w:ascii="Times New Roman" w:hAnsi="Times New Roman" w:cs="Times New Roman"/>
          <w:bCs/>
        </w:rPr>
      </w:pPr>
      <w:r w:rsidRPr="00666335">
        <w:rPr>
          <w:rFonts w:ascii="Times New Roman" w:hAnsi="Times New Roman" w:cs="Times New Roman"/>
          <w:bCs/>
        </w:rPr>
        <w:t>Rendészetelméleti alapvetés (Fundamentals of policing theory)</w:t>
      </w:r>
    </w:p>
    <w:p w:rsidR="00666335" w:rsidRPr="00666335" w:rsidRDefault="00666335" w:rsidP="00980876">
      <w:pPr>
        <w:pStyle w:val="Listaszerbekezds"/>
        <w:widowControl w:val="0"/>
        <w:numPr>
          <w:ilvl w:val="1"/>
          <w:numId w:val="812"/>
        </w:numPr>
        <w:tabs>
          <w:tab w:val="clear" w:pos="1851"/>
          <w:tab w:val="num" w:pos="851"/>
        </w:tabs>
        <w:spacing w:before="120" w:after="120" w:line="240" w:lineRule="auto"/>
        <w:ind w:left="851" w:hanging="574"/>
        <w:jc w:val="both"/>
        <w:rPr>
          <w:rFonts w:ascii="Times New Roman" w:hAnsi="Times New Roman" w:cs="Times New Roman"/>
          <w:bCs/>
        </w:rPr>
      </w:pPr>
      <w:r w:rsidRPr="00666335">
        <w:rPr>
          <w:rFonts w:ascii="Times New Roman" w:hAnsi="Times New Roman" w:cs="Times New Roman"/>
          <w:bCs/>
        </w:rPr>
        <w:t>A modern magyar rendészet kialakulása, története I. (Development and history of modern Hungarian policing)</w:t>
      </w:r>
    </w:p>
    <w:p w:rsidR="00666335" w:rsidRPr="00666335" w:rsidRDefault="00666335" w:rsidP="00980876">
      <w:pPr>
        <w:pStyle w:val="Listaszerbekezds"/>
        <w:widowControl w:val="0"/>
        <w:numPr>
          <w:ilvl w:val="1"/>
          <w:numId w:val="812"/>
        </w:numPr>
        <w:tabs>
          <w:tab w:val="clear" w:pos="1851"/>
          <w:tab w:val="num" w:pos="851"/>
        </w:tabs>
        <w:spacing w:before="120" w:after="120" w:line="240" w:lineRule="auto"/>
        <w:ind w:left="851" w:hanging="574"/>
        <w:jc w:val="both"/>
        <w:rPr>
          <w:rFonts w:ascii="Times New Roman" w:hAnsi="Times New Roman" w:cs="Times New Roman"/>
          <w:bCs/>
        </w:rPr>
      </w:pPr>
      <w:r w:rsidRPr="00666335">
        <w:rPr>
          <w:rFonts w:ascii="Times New Roman" w:hAnsi="Times New Roman" w:cs="Times New Roman"/>
          <w:bCs/>
        </w:rPr>
        <w:t>A modern magyar rendészet kialakulása, története II: (Development and history of modern Hungarian policing</w:t>
      </w:r>
    </w:p>
    <w:p w:rsidR="00666335" w:rsidRPr="00666335" w:rsidRDefault="00666335" w:rsidP="00980876">
      <w:pPr>
        <w:pStyle w:val="Listaszerbekezds"/>
        <w:widowControl w:val="0"/>
        <w:numPr>
          <w:ilvl w:val="1"/>
          <w:numId w:val="812"/>
        </w:numPr>
        <w:tabs>
          <w:tab w:val="clear" w:pos="1851"/>
          <w:tab w:val="num" w:pos="851"/>
        </w:tabs>
        <w:spacing w:before="120" w:after="120" w:line="240" w:lineRule="auto"/>
        <w:ind w:left="851" w:hanging="574"/>
        <w:jc w:val="both"/>
        <w:rPr>
          <w:rFonts w:ascii="Times New Roman" w:hAnsi="Times New Roman" w:cs="Times New Roman"/>
          <w:bCs/>
        </w:rPr>
      </w:pPr>
      <w:r w:rsidRPr="00666335">
        <w:rPr>
          <w:rFonts w:ascii="Times New Roman" w:hAnsi="Times New Roman" w:cs="Times New Roman"/>
          <w:bCs/>
        </w:rPr>
        <w:t>Szeminárium (Seminar)</w:t>
      </w:r>
    </w:p>
    <w:p w:rsidR="00666335" w:rsidRPr="00666335" w:rsidRDefault="00666335" w:rsidP="00980876">
      <w:pPr>
        <w:pStyle w:val="Listaszerbekezds"/>
        <w:widowControl w:val="0"/>
        <w:numPr>
          <w:ilvl w:val="1"/>
          <w:numId w:val="812"/>
        </w:numPr>
        <w:tabs>
          <w:tab w:val="clear" w:pos="1851"/>
          <w:tab w:val="num" w:pos="851"/>
        </w:tabs>
        <w:spacing w:before="120" w:after="120" w:line="240" w:lineRule="auto"/>
        <w:ind w:left="851" w:hanging="574"/>
        <w:jc w:val="both"/>
        <w:rPr>
          <w:rFonts w:ascii="Times New Roman" w:hAnsi="Times New Roman" w:cs="Times New Roman"/>
          <w:bCs/>
        </w:rPr>
      </w:pPr>
      <w:r w:rsidRPr="00666335">
        <w:rPr>
          <w:rFonts w:ascii="Times New Roman" w:hAnsi="Times New Roman" w:cs="Times New Roman"/>
          <w:bCs/>
        </w:rPr>
        <w:t>A rendőrség felépítése, tagozódása, rendészeti és igazgatási profilja I. (The structure, division, law enforcement and administrative profile of the police)</w:t>
      </w:r>
    </w:p>
    <w:p w:rsidR="00666335" w:rsidRPr="00666335" w:rsidRDefault="00666335" w:rsidP="00980876">
      <w:pPr>
        <w:pStyle w:val="Listaszerbekezds"/>
        <w:widowControl w:val="0"/>
        <w:numPr>
          <w:ilvl w:val="1"/>
          <w:numId w:val="812"/>
        </w:numPr>
        <w:tabs>
          <w:tab w:val="clear" w:pos="1851"/>
          <w:tab w:val="num" w:pos="851"/>
        </w:tabs>
        <w:spacing w:before="120" w:after="120" w:line="240" w:lineRule="auto"/>
        <w:ind w:left="851" w:hanging="574"/>
        <w:jc w:val="both"/>
        <w:rPr>
          <w:rFonts w:ascii="Times New Roman" w:hAnsi="Times New Roman" w:cs="Times New Roman"/>
          <w:bCs/>
        </w:rPr>
      </w:pPr>
      <w:r w:rsidRPr="00666335">
        <w:rPr>
          <w:rFonts w:ascii="Times New Roman" w:hAnsi="Times New Roman" w:cs="Times New Roman"/>
          <w:bCs/>
        </w:rPr>
        <w:t>A rendőrség felépítése, ragozódása, rendészeti és igazgatási profilja II. (The structure, division,  law enforcement and administrative profile of the police)</w:t>
      </w:r>
    </w:p>
    <w:p w:rsidR="00666335" w:rsidRPr="00666335" w:rsidRDefault="00666335" w:rsidP="00980876">
      <w:pPr>
        <w:pStyle w:val="Listaszerbekezds"/>
        <w:widowControl w:val="0"/>
        <w:numPr>
          <w:ilvl w:val="1"/>
          <w:numId w:val="812"/>
        </w:numPr>
        <w:tabs>
          <w:tab w:val="clear" w:pos="1851"/>
          <w:tab w:val="num" w:pos="851"/>
        </w:tabs>
        <w:spacing w:before="120" w:after="120" w:line="240" w:lineRule="auto"/>
        <w:ind w:left="851" w:hanging="574"/>
        <w:jc w:val="both"/>
        <w:rPr>
          <w:rFonts w:ascii="Times New Roman" w:hAnsi="Times New Roman" w:cs="Times New Roman"/>
          <w:bCs/>
        </w:rPr>
      </w:pPr>
      <w:r w:rsidRPr="00666335">
        <w:rPr>
          <w:rFonts w:ascii="Times New Roman" w:hAnsi="Times New Roman" w:cs="Times New Roman"/>
          <w:bCs/>
        </w:rPr>
        <w:t>A rendőrség felépítése, tagozódása, rendészeti és igazgatási profilja III. (The structure, divison, law enforcement and administrative profile of the police)</w:t>
      </w:r>
    </w:p>
    <w:p w:rsidR="00666335" w:rsidRPr="00666335" w:rsidRDefault="00666335" w:rsidP="00980876">
      <w:pPr>
        <w:pStyle w:val="Listaszerbekezds"/>
        <w:widowControl w:val="0"/>
        <w:numPr>
          <w:ilvl w:val="1"/>
          <w:numId w:val="812"/>
        </w:numPr>
        <w:tabs>
          <w:tab w:val="clear" w:pos="1851"/>
          <w:tab w:val="num" w:pos="851"/>
        </w:tabs>
        <w:spacing w:before="120" w:after="120" w:line="240" w:lineRule="auto"/>
        <w:ind w:left="851" w:hanging="574"/>
        <w:jc w:val="both"/>
        <w:rPr>
          <w:rFonts w:ascii="Times New Roman" w:hAnsi="Times New Roman" w:cs="Times New Roman"/>
          <w:bCs/>
        </w:rPr>
      </w:pPr>
      <w:r w:rsidRPr="00666335">
        <w:rPr>
          <w:rFonts w:ascii="Times New Roman" w:hAnsi="Times New Roman" w:cs="Times New Roman"/>
          <w:bCs/>
        </w:rPr>
        <w:t xml:space="preserve">Szeminárium (Seminar) </w:t>
      </w:r>
    </w:p>
    <w:p w:rsidR="00666335" w:rsidRPr="00666335" w:rsidRDefault="00666335" w:rsidP="00980876">
      <w:pPr>
        <w:pStyle w:val="Listaszerbekezds"/>
        <w:widowControl w:val="0"/>
        <w:numPr>
          <w:ilvl w:val="1"/>
          <w:numId w:val="812"/>
        </w:numPr>
        <w:tabs>
          <w:tab w:val="clear" w:pos="1851"/>
          <w:tab w:val="num" w:pos="851"/>
        </w:tabs>
        <w:spacing w:before="120" w:after="120" w:line="240" w:lineRule="auto"/>
        <w:ind w:left="851" w:hanging="574"/>
        <w:jc w:val="both"/>
        <w:rPr>
          <w:rFonts w:ascii="Times New Roman" w:hAnsi="Times New Roman" w:cs="Times New Roman"/>
          <w:bCs/>
        </w:rPr>
      </w:pPr>
      <w:r w:rsidRPr="00666335">
        <w:rPr>
          <w:rFonts w:ascii="Times New Roman" w:hAnsi="Times New Roman" w:cs="Times New Roman"/>
          <w:bCs/>
        </w:rPr>
        <w:t>A büntetés-végrehajtási szervezet feladata és helye a rendészeti szervek között (The role and place of the penitentiary organization among law enforcement agencies)</w:t>
      </w:r>
    </w:p>
    <w:p w:rsidR="00666335" w:rsidRPr="00666335" w:rsidRDefault="00666335" w:rsidP="00980876">
      <w:pPr>
        <w:pStyle w:val="Listaszerbekezds"/>
        <w:widowControl w:val="0"/>
        <w:numPr>
          <w:ilvl w:val="1"/>
          <w:numId w:val="812"/>
        </w:numPr>
        <w:tabs>
          <w:tab w:val="clear" w:pos="1851"/>
          <w:tab w:val="num" w:pos="851"/>
        </w:tabs>
        <w:spacing w:before="120" w:after="120" w:line="240" w:lineRule="auto"/>
        <w:ind w:left="851" w:hanging="574"/>
        <w:jc w:val="both"/>
        <w:rPr>
          <w:rFonts w:ascii="Times New Roman" w:hAnsi="Times New Roman" w:cs="Times New Roman"/>
          <w:bCs/>
        </w:rPr>
      </w:pPr>
      <w:r w:rsidRPr="00666335">
        <w:rPr>
          <w:rFonts w:ascii="Times New Roman" w:hAnsi="Times New Roman" w:cs="Times New Roman"/>
          <w:bCs/>
        </w:rPr>
        <w:t>A katasztrófavédelem feladatai, helye és szerepe a rendészeti igazgatás rendszerében (Tasks, place and role of disaster management in the system of law enforcement administration)</w:t>
      </w:r>
    </w:p>
    <w:p w:rsidR="00666335" w:rsidRPr="00666335" w:rsidRDefault="00666335" w:rsidP="00980876">
      <w:pPr>
        <w:pStyle w:val="Listaszerbekezds"/>
        <w:widowControl w:val="0"/>
        <w:numPr>
          <w:ilvl w:val="1"/>
          <w:numId w:val="812"/>
        </w:numPr>
        <w:tabs>
          <w:tab w:val="clear" w:pos="1851"/>
          <w:tab w:val="num" w:pos="851"/>
        </w:tabs>
        <w:spacing w:before="120" w:after="120" w:line="240" w:lineRule="auto"/>
        <w:ind w:left="851" w:hanging="574"/>
        <w:jc w:val="both"/>
        <w:rPr>
          <w:rFonts w:ascii="Times New Roman" w:hAnsi="Times New Roman" w:cs="Times New Roman"/>
          <w:bCs/>
        </w:rPr>
      </w:pPr>
      <w:r w:rsidRPr="00666335">
        <w:rPr>
          <w:rFonts w:ascii="Times New Roman" w:hAnsi="Times New Roman" w:cs="Times New Roman"/>
          <w:bCs/>
        </w:rPr>
        <w:t>A polgári nemzetbiztonsági szolgálatok (Civilian national security services)</w:t>
      </w:r>
    </w:p>
    <w:p w:rsidR="00666335" w:rsidRPr="00666335" w:rsidRDefault="00666335" w:rsidP="00980876">
      <w:pPr>
        <w:pStyle w:val="Listaszerbekezds"/>
        <w:widowControl w:val="0"/>
        <w:numPr>
          <w:ilvl w:val="1"/>
          <w:numId w:val="812"/>
        </w:numPr>
        <w:tabs>
          <w:tab w:val="clear" w:pos="1851"/>
          <w:tab w:val="num" w:pos="851"/>
        </w:tabs>
        <w:spacing w:before="120" w:after="120" w:line="240" w:lineRule="auto"/>
        <w:ind w:left="851" w:hanging="574"/>
        <w:jc w:val="both"/>
        <w:rPr>
          <w:rFonts w:ascii="Times New Roman" w:hAnsi="Times New Roman" w:cs="Times New Roman"/>
          <w:bCs/>
        </w:rPr>
      </w:pPr>
      <w:r w:rsidRPr="00666335">
        <w:rPr>
          <w:rFonts w:ascii="Times New Roman" w:hAnsi="Times New Roman" w:cs="Times New Roman"/>
          <w:bCs/>
        </w:rPr>
        <w:t>Önkormányzati rendészet, Magánbiztonság, Polgárőrség I. (Municipal Police, Private Security, Civil Guard)</w:t>
      </w:r>
    </w:p>
    <w:p w:rsidR="00666335" w:rsidRPr="00666335" w:rsidRDefault="00666335" w:rsidP="00980876">
      <w:pPr>
        <w:pStyle w:val="Listaszerbekezds"/>
        <w:widowControl w:val="0"/>
        <w:numPr>
          <w:ilvl w:val="1"/>
          <w:numId w:val="812"/>
        </w:numPr>
        <w:tabs>
          <w:tab w:val="clear" w:pos="1851"/>
          <w:tab w:val="num" w:pos="851"/>
        </w:tabs>
        <w:spacing w:before="120" w:after="120" w:line="240" w:lineRule="auto"/>
        <w:ind w:left="851" w:hanging="574"/>
        <w:jc w:val="both"/>
        <w:rPr>
          <w:rFonts w:ascii="Times New Roman" w:hAnsi="Times New Roman" w:cs="Times New Roman"/>
          <w:bCs/>
        </w:rPr>
      </w:pPr>
      <w:r w:rsidRPr="00666335">
        <w:rPr>
          <w:rFonts w:ascii="Times New Roman" w:hAnsi="Times New Roman" w:cs="Times New Roman"/>
          <w:bCs/>
        </w:rPr>
        <w:t xml:space="preserve"> Önkormányzati rendészet, Magánbiztonság, Polgárőrség II. (Municipal Police, Private Security, Civil Guard) </w:t>
      </w:r>
    </w:p>
    <w:p w:rsidR="00666335" w:rsidRPr="00666335" w:rsidRDefault="00666335" w:rsidP="00980876">
      <w:pPr>
        <w:pStyle w:val="Listaszerbekezds"/>
        <w:widowControl w:val="0"/>
        <w:numPr>
          <w:ilvl w:val="1"/>
          <w:numId w:val="812"/>
        </w:numPr>
        <w:tabs>
          <w:tab w:val="clear" w:pos="1851"/>
          <w:tab w:val="num" w:pos="851"/>
        </w:tabs>
        <w:spacing w:before="120" w:after="120" w:line="240" w:lineRule="auto"/>
        <w:ind w:left="851" w:hanging="574"/>
        <w:jc w:val="both"/>
        <w:rPr>
          <w:rFonts w:ascii="Times New Roman" w:hAnsi="Times New Roman" w:cs="Times New Roman"/>
          <w:bCs/>
        </w:rPr>
      </w:pPr>
      <w:r w:rsidRPr="00666335">
        <w:rPr>
          <w:rFonts w:ascii="Times New Roman" w:hAnsi="Times New Roman" w:cs="Times New Roman"/>
          <w:bCs/>
        </w:rPr>
        <w:t xml:space="preserve">Szeminárium (Zárthelyi) (Seminar, Test) </w:t>
      </w:r>
    </w:p>
    <w:p w:rsidR="00666335" w:rsidRPr="00666335" w:rsidRDefault="00666335" w:rsidP="00980876">
      <w:pPr>
        <w:pStyle w:val="lfej"/>
        <w:numPr>
          <w:ilvl w:val="0"/>
          <w:numId w:val="812"/>
        </w:numPr>
        <w:tabs>
          <w:tab w:val="clear" w:pos="786"/>
          <w:tab w:val="clear" w:pos="4536"/>
          <w:tab w:val="clear" w:pos="9072"/>
          <w:tab w:val="num" w:pos="360"/>
          <w:tab w:val="num" w:pos="567"/>
          <w:tab w:val="right" w:pos="900"/>
        </w:tabs>
        <w:spacing w:before="120" w:after="120"/>
        <w:ind w:left="284" w:hanging="284"/>
        <w:jc w:val="both"/>
        <w:rPr>
          <w:rFonts w:ascii="Times New Roman" w:hAnsi="Times New Roman" w:cs="Times New Roman"/>
          <w:bCs/>
        </w:rPr>
      </w:pPr>
      <w:r w:rsidRPr="00666335">
        <w:rPr>
          <w:rFonts w:ascii="Times New Roman" w:hAnsi="Times New Roman" w:cs="Times New Roman"/>
          <w:b/>
          <w:bCs/>
        </w:rPr>
        <w:t xml:space="preserve">A tantárgy meghirdetésének gyakorisága/a tantervben történő félévi elhelyezkedése: </w:t>
      </w:r>
      <w:r w:rsidRPr="00666335">
        <w:rPr>
          <w:rFonts w:ascii="Times New Roman" w:hAnsi="Times New Roman" w:cs="Times New Roman"/>
          <w:bCs/>
        </w:rPr>
        <w:t>a mintatanterv szerint karonként változó.</w:t>
      </w:r>
    </w:p>
    <w:p w:rsidR="00666335" w:rsidRPr="00666335" w:rsidRDefault="00666335" w:rsidP="00980876">
      <w:pPr>
        <w:pStyle w:val="lfej"/>
        <w:numPr>
          <w:ilvl w:val="0"/>
          <w:numId w:val="812"/>
        </w:numPr>
        <w:tabs>
          <w:tab w:val="clear" w:pos="786"/>
          <w:tab w:val="clear" w:pos="4536"/>
          <w:tab w:val="clear" w:pos="9072"/>
          <w:tab w:val="num" w:pos="360"/>
          <w:tab w:val="num" w:pos="567"/>
          <w:tab w:val="right" w:pos="900"/>
        </w:tabs>
        <w:spacing w:before="120" w:after="120"/>
        <w:ind w:left="284" w:hanging="284"/>
        <w:jc w:val="both"/>
        <w:rPr>
          <w:rFonts w:ascii="Times New Roman" w:hAnsi="Times New Roman" w:cs="Times New Roman"/>
          <w:bCs/>
        </w:rPr>
      </w:pPr>
      <w:r w:rsidRPr="00666335">
        <w:rPr>
          <w:rFonts w:ascii="Times New Roman" w:hAnsi="Times New Roman" w:cs="Times New Roman"/>
          <w:b/>
          <w:bCs/>
        </w:rPr>
        <w:t>A foglalkozásokon való részvétel követelményei, elfogadható hiányzások mértéke, távolmaradás pótlásának lehetősége:</w:t>
      </w:r>
      <w:r w:rsidRPr="00666335">
        <w:rPr>
          <w:rFonts w:ascii="Times New Roman" w:hAnsi="Times New Roman" w:cs="Times New Roman"/>
          <w:bCs/>
        </w:rPr>
        <w:t xml:space="preserve"> A hallgatónak a tanórák legalább 70 %-án jelen kell lennie, 30 % ot meghaladó hiányzás esetén a félév teljesítését meg kell tagadni. Pótlásra az oktatóval egyeztetett módon van lehetőség.</w:t>
      </w:r>
    </w:p>
    <w:p w:rsidR="00666335" w:rsidRPr="00666335" w:rsidRDefault="00666335" w:rsidP="00980876">
      <w:pPr>
        <w:pStyle w:val="lfej"/>
        <w:numPr>
          <w:ilvl w:val="0"/>
          <w:numId w:val="812"/>
        </w:numPr>
        <w:tabs>
          <w:tab w:val="clear" w:pos="786"/>
          <w:tab w:val="clear" w:pos="4536"/>
          <w:tab w:val="clear" w:pos="9072"/>
          <w:tab w:val="num" w:pos="360"/>
          <w:tab w:val="right" w:pos="900"/>
        </w:tabs>
        <w:spacing w:before="120" w:after="120"/>
        <w:ind w:left="284" w:hanging="284"/>
        <w:jc w:val="both"/>
        <w:rPr>
          <w:rFonts w:ascii="Times New Roman" w:hAnsi="Times New Roman" w:cs="Times New Roman"/>
          <w:bCs/>
        </w:rPr>
      </w:pPr>
      <w:r w:rsidRPr="00666335">
        <w:rPr>
          <w:rFonts w:ascii="Times New Roman" w:hAnsi="Times New Roman" w:cs="Times New Roman"/>
          <w:b/>
        </w:rPr>
        <w:t>Félévközi feladatok, ismeretek ellenőrzésének rendje:</w:t>
      </w:r>
      <w:r w:rsidRPr="00666335">
        <w:rPr>
          <w:rFonts w:ascii="Times New Roman" w:hAnsi="Times New Roman" w:cs="Times New Roman"/>
          <w:bCs/>
        </w:rPr>
        <w:t xml:space="preserve"> </w:t>
      </w:r>
      <w:r w:rsidRPr="00666335">
        <w:rPr>
          <w:rFonts w:ascii="Times New Roman" w:hAnsi="Times New Roman" w:cs="Times New Roman"/>
        </w:rPr>
        <w:t>A foglakozás anyagainak és a kötelező irodalom feldolgozása az előadásokon való igazolt részvétel és a ZH dolgozat eredményes teljesítése.</w:t>
      </w:r>
    </w:p>
    <w:p w:rsidR="00666335" w:rsidRPr="00666335" w:rsidRDefault="00666335" w:rsidP="00980876">
      <w:pPr>
        <w:pStyle w:val="lfej"/>
        <w:numPr>
          <w:ilvl w:val="0"/>
          <w:numId w:val="812"/>
        </w:numPr>
        <w:tabs>
          <w:tab w:val="clear" w:pos="786"/>
          <w:tab w:val="clear" w:pos="4536"/>
          <w:tab w:val="clear" w:pos="9072"/>
          <w:tab w:val="num" w:pos="360"/>
        </w:tabs>
        <w:spacing w:before="120" w:after="120"/>
        <w:ind w:left="284" w:hanging="284"/>
        <w:jc w:val="both"/>
        <w:rPr>
          <w:rFonts w:ascii="Times New Roman" w:hAnsi="Times New Roman" w:cs="Times New Roman"/>
          <w:b/>
          <w:bCs/>
          <w:strike/>
        </w:rPr>
      </w:pPr>
      <w:r w:rsidRPr="00666335">
        <w:rPr>
          <w:rFonts w:ascii="Times New Roman" w:hAnsi="Times New Roman" w:cs="Times New Roman"/>
          <w:b/>
          <w:bCs/>
        </w:rPr>
        <w:t xml:space="preserve">Az értékelés az aláírás és a kreditek megszerzésének pontos feltételei </w:t>
      </w:r>
    </w:p>
    <w:p w:rsidR="00666335" w:rsidRPr="00666335" w:rsidRDefault="00666335" w:rsidP="00980876">
      <w:pPr>
        <w:pStyle w:val="lfej"/>
        <w:numPr>
          <w:ilvl w:val="1"/>
          <w:numId w:val="812"/>
        </w:numPr>
        <w:tabs>
          <w:tab w:val="clear" w:pos="1851"/>
          <w:tab w:val="clear" w:pos="4536"/>
          <w:tab w:val="clear" w:pos="9072"/>
          <w:tab w:val="num" w:pos="851"/>
        </w:tabs>
        <w:spacing w:before="120" w:after="120"/>
        <w:ind w:left="851" w:hanging="574"/>
        <w:jc w:val="both"/>
        <w:rPr>
          <w:rFonts w:ascii="Times New Roman" w:hAnsi="Times New Roman" w:cs="Times New Roman"/>
          <w:b/>
          <w:bCs/>
        </w:rPr>
      </w:pPr>
      <w:r w:rsidRPr="00666335">
        <w:rPr>
          <w:rFonts w:ascii="Times New Roman" w:hAnsi="Times New Roman" w:cs="Times New Roman"/>
          <w:b/>
        </w:rPr>
        <w:t xml:space="preserve">Az aláírás megszerzésének feltételei: </w:t>
      </w:r>
      <w:r w:rsidRPr="00666335">
        <w:rPr>
          <w:rFonts w:ascii="Times New Roman" w:hAnsi="Times New Roman" w:cs="Times New Roman"/>
        </w:rPr>
        <w:t>a 15. pontban meghatározott félévközi feladatok teljesítése, valamint a foglalkozásokon való részvétel a 14. pontban meghatározottak szerint.</w:t>
      </w:r>
    </w:p>
    <w:p w:rsidR="00666335" w:rsidRPr="00666335" w:rsidRDefault="00666335" w:rsidP="00980876">
      <w:pPr>
        <w:pStyle w:val="lfej"/>
        <w:numPr>
          <w:ilvl w:val="1"/>
          <w:numId w:val="812"/>
        </w:numPr>
        <w:tabs>
          <w:tab w:val="clear" w:pos="1851"/>
          <w:tab w:val="clear" w:pos="4536"/>
          <w:tab w:val="clear" w:pos="9072"/>
          <w:tab w:val="num" w:pos="851"/>
        </w:tabs>
        <w:spacing w:before="120" w:after="120"/>
        <w:ind w:left="851" w:hanging="574"/>
        <w:jc w:val="both"/>
        <w:rPr>
          <w:rFonts w:ascii="Times New Roman" w:hAnsi="Times New Roman" w:cs="Times New Roman"/>
          <w:b/>
          <w:bCs/>
        </w:rPr>
      </w:pPr>
      <w:r w:rsidRPr="00666335">
        <w:rPr>
          <w:rFonts w:ascii="Times New Roman" w:hAnsi="Times New Roman" w:cs="Times New Roman"/>
          <w:b/>
        </w:rPr>
        <w:t xml:space="preserve">Az értékelés: </w:t>
      </w:r>
      <w:r w:rsidRPr="00E47639">
        <w:rPr>
          <w:rFonts w:ascii="Times New Roman" w:hAnsi="Times New Roman" w:cs="Times New Roman"/>
          <w:highlight w:val="yellow"/>
        </w:rPr>
        <w:t xml:space="preserve">gyakorlati jegy, </w:t>
      </w:r>
      <w:r w:rsidRPr="00E47639">
        <w:rPr>
          <w:rFonts w:ascii="Times New Roman" w:hAnsi="Times New Roman" w:cs="Times New Roman"/>
          <w:bCs/>
          <w:highlight w:val="yellow"/>
        </w:rPr>
        <w:t>ötfokozatú értékelés</w:t>
      </w:r>
      <w:r w:rsidRPr="00666335">
        <w:rPr>
          <w:rFonts w:ascii="Times New Roman" w:hAnsi="Times New Roman" w:cs="Times New Roman"/>
          <w:bCs/>
        </w:rPr>
        <w:t>, a ZH eredménye (ötfokozatú értékelés - eredményes a dolgozat, ha a helyes válaszok elérik a több mint 60%-ot)</w:t>
      </w:r>
    </w:p>
    <w:p w:rsidR="00666335" w:rsidRPr="00666335" w:rsidRDefault="00666335" w:rsidP="00980876">
      <w:pPr>
        <w:pStyle w:val="lfej"/>
        <w:numPr>
          <w:ilvl w:val="1"/>
          <w:numId w:val="812"/>
        </w:numPr>
        <w:tabs>
          <w:tab w:val="clear" w:pos="1851"/>
          <w:tab w:val="clear" w:pos="4536"/>
          <w:tab w:val="clear" w:pos="9072"/>
          <w:tab w:val="num" w:pos="851"/>
        </w:tabs>
        <w:spacing w:before="120" w:after="120"/>
        <w:ind w:left="851" w:hanging="574"/>
        <w:jc w:val="both"/>
        <w:rPr>
          <w:rFonts w:ascii="Times New Roman" w:hAnsi="Times New Roman" w:cs="Times New Roman"/>
          <w:b/>
          <w:bCs/>
        </w:rPr>
      </w:pPr>
      <w:r w:rsidRPr="00666335">
        <w:rPr>
          <w:rFonts w:ascii="Times New Roman" w:hAnsi="Times New Roman" w:cs="Times New Roman"/>
          <w:b/>
        </w:rPr>
        <w:lastRenderedPageBreak/>
        <w:t xml:space="preserve">A kreditek megszerzésének feltételei: </w:t>
      </w:r>
      <w:r w:rsidRPr="00666335">
        <w:rPr>
          <w:rFonts w:ascii="Times New Roman" w:hAnsi="Times New Roman" w:cs="Times New Roman"/>
        </w:rPr>
        <w:t>az aláírás megszerzése, valamint a legalább elégséges gyakorlati jegy megszerzése.</w:t>
      </w:r>
    </w:p>
    <w:p w:rsidR="00DE13A3" w:rsidRPr="00DE13A3" w:rsidRDefault="00DE13A3" w:rsidP="00DE13A3">
      <w:pPr>
        <w:numPr>
          <w:ilvl w:val="0"/>
          <w:numId w:val="812"/>
        </w:numPr>
        <w:tabs>
          <w:tab w:val="clear" w:pos="786"/>
          <w:tab w:val="num" w:pos="360"/>
        </w:tabs>
        <w:spacing w:before="120" w:after="120" w:line="240" w:lineRule="auto"/>
        <w:ind w:left="284" w:hanging="284"/>
        <w:jc w:val="both"/>
        <w:rPr>
          <w:rFonts w:ascii="Times New Roman" w:eastAsia="Times New Roman" w:hAnsi="Times New Roman" w:cs="Times New Roman"/>
          <w:bCs/>
        </w:rPr>
      </w:pPr>
      <w:r w:rsidRPr="00DE13A3">
        <w:rPr>
          <w:rFonts w:ascii="Times New Roman" w:eastAsia="Times New Roman" w:hAnsi="Times New Roman" w:cs="Times New Roman"/>
          <w:b/>
          <w:bCs/>
        </w:rPr>
        <w:t>Irodalomjegyzék</w:t>
      </w:r>
    </w:p>
    <w:p w:rsidR="00DE13A3" w:rsidRPr="00DE13A3" w:rsidRDefault="00DE13A3" w:rsidP="00DE13A3">
      <w:pPr>
        <w:numPr>
          <w:ilvl w:val="1"/>
          <w:numId w:val="812"/>
        </w:numPr>
        <w:tabs>
          <w:tab w:val="clear" w:pos="1851"/>
          <w:tab w:val="num" w:pos="851"/>
          <w:tab w:val="num" w:pos="1425"/>
        </w:tabs>
        <w:spacing w:before="120" w:after="120" w:line="240" w:lineRule="auto"/>
        <w:ind w:left="709"/>
        <w:jc w:val="both"/>
        <w:rPr>
          <w:rFonts w:ascii="Times New Roman" w:eastAsia="Times New Roman" w:hAnsi="Times New Roman" w:cs="Times New Roman"/>
          <w:bCs/>
        </w:rPr>
      </w:pPr>
      <w:r w:rsidRPr="00DE13A3">
        <w:rPr>
          <w:rFonts w:ascii="Times New Roman" w:eastAsia="Times New Roman" w:hAnsi="Times New Roman" w:cs="Times New Roman"/>
          <w:b/>
          <w:bCs/>
        </w:rPr>
        <w:t>Kötelező irodalom:</w:t>
      </w:r>
    </w:p>
    <w:p w:rsidR="00DE13A3" w:rsidRPr="00DE13A3" w:rsidRDefault="00DE13A3" w:rsidP="00DE13A3">
      <w:pPr>
        <w:numPr>
          <w:ilvl w:val="0"/>
          <w:numId w:val="813"/>
        </w:numPr>
        <w:tabs>
          <w:tab w:val="num" w:pos="851"/>
          <w:tab w:val="right" w:pos="900"/>
        </w:tabs>
        <w:spacing w:before="120" w:after="120" w:line="240" w:lineRule="auto"/>
        <w:ind w:left="1134" w:hanging="284"/>
        <w:jc w:val="both"/>
        <w:rPr>
          <w:rFonts w:ascii="Times New Roman" w:eastAsia="Times New Roman" w:hAnsi="Times New Roman" w:cs="Times New Roman"/>
          <w:bCs/>
        </w:rPr>
      </w:pPr>
      <w:r w:rsidRPr="00DE13A3">
        <w:rPr>
          <w:rFonts w:ascii="Times New Roman" w:eastAsia="Times New Roman" w:hAnsi="Times New Roman" w:cs="Times New Roman"/>
          <w:bCs/>
        </w:rPr>
        <w:t xml:space="preserve">Finszter Géza: Rendészettan, Dialóg Campus Budapest 2018. ISBN 978-615-5845-93-2 </w:t>
      </w:r>
    </w:p>
    <w:p w:rsidR="00DE13A3" w:rsidRPr="00DE13A3" w:rsidRDefault="00DE13A3" w:rsidP="00DE13A3">
      <w:pPr>
        <w:numPr>
          <w:ilvl w:val="1"/>
          <w:numId w:val="812"/>
        </w:numPr>
        <w:tabs>
          <w:tab w:val="clear" w:pos="1851"/>
          <w:tab w:val="num" w:pos="851"/>
          <w:tab w:val="num" w:pos="1425"/>
        </w:tabs>
        <w:spacing w:before="120" w:after="120" w:line="240" w:lineRule="auto"/>
        <w:ind w:left="709"/>
        <w:jc w:val="both"/>
        <w:rPr>
          <w:rFonts w:ascii="Times New Roman" w:eastAsia="Times New Roman" w:hAnsi="Times New Roman" w:cs="Times New Roman"/>
          <w:bCs/>
        </w:rPr>
      </w:pPr>
      <w:r w:rsidRPr="00DE13A3">
        <w:rPr>
          <w:rFonts w:ascii="Times New Roman" w:eastAsia="Times New Roman" w:hAnsi="Times New Roman" w:cs="Times New Roman"/>
          <w:b/>
          <w:bCs/>
        </w:rPr>
        <w:t xml:space="preserve">Ajánlott irodalom </w:t>
      </w:r>
    </w:p>
    <w:p w:rsidR="00DE13A3" w:rsidRPr="00DE13A3" w:rsidRDefault="00DE13A3" w:rsidP="00DE13A3">
      <w:pPr>
        <w:numPr>
          <w:ilvl w:val="0"/>
          <w:numId w:val="814"/>
        </w:numPr>
        <w:spacing w:before="120" w:after="120" w:line="240" w:lineRule="auto"/>
        <w:ind w:left="1134" w:hanging="284"/>
        <w:contextualSpacing/>
        <w:jc w:val="both"/>
        <w:rPr>
          <w:rFonts w:ascii="Times New Roman" w:eastAsia="Times New Roman" w:hAnsi="Times New Roman" w:cs="Times New Roman"/>
          <w:bCs/>
        </w:rPr>
      </w:pPr>
      <w:r w:rsidRPr="00DE13A3">
        <w:rPr>
          <w:rFonts w:ascii="Times New Roman" w:eastAsia="Times New Roman" w:hAnsi="Times New Roman" w:cs="Times New Roman"/>
          <w:bCs/>
        </w:rPr>
        <w:t xml:space="preserve">Balla Zoltán: A rendészet alapjai és egyes ágazatai, Dialóg Campus, Budapest 2017.  ISBN 978-615-5680-75-5 </w:t>
      </w:r>
    </w:p>
    <w:p w:rsidR="00DE13A3" w:rsidRPr="00DE13A3" w:rsidRDefault="00DE13A3" w:rsidP="00DE13A3">
      <w:pPr>
        <w:numPr>
          <w:ilvl w:val="0"/>
          <w:numId w:val="814"/>
        </w:numPr>
        <w:spacing w:after="200" w:line="276" w:lineRule="auto"/>
        <w:ind w:left="1134" w:hanging="283"/>
        <w:contextualSpacing/>
        <w:rPr>
          <w:rFonts w:ascii="Times New Roman" w:eastAsia="Times New Roman" w:hAnsi="Times New Roman" w:cs="Times New Roman"/>
          <w:bCs/>
        </w:rPr>
      </w:pPr>
      <w:r w:rsidRPr="00DE13A3">
        <w:rPr>
          <w:rFonts w:ascii="Times New Roman" w:eastAsia="Times New Roman" w:hAnsi="Times New Roman" w:cs="Times New Roman"/>
          <w:bCs/>
        </w:rPr>
        <w:t>Pallo József: A magyar börtönügy kodifikációs csomópontjai, Dialóg Campus, Budapest 2019. ISBN 978-615-5920-79-0</w:t>
      </w:r>
    </w:p>
    <w:p w:rsidR="00DE13A3" w:rsidRPr="00DE13A3" w:rsidRDefault="00DE13A3" w:rsidP="00DE13A3">
      <w:pPr>
        <w:numPr>
          <w:ilvl w:val="0"/>
          <w:numId w:val="814"/>
        </w:numPr>
        <w:spacing w:before="120" w:after="120" w:line="240" w:lineRule="auto"/>
        <w:ind w:left="1134" w:hanging="284"/>
        <w:contextualSpacing/>
        <w:jc w:val="both"/>
        <w:rPr>
          <w:rFonts w:ascii="Times New Roman" w:eastAsia="Times New Roman" w:hAnsi="Times New Roman" w:cs="Times New Roman"/>
          <w:bCs/>
        </w:rPr>
      </w:pPr>
      <w:r w:rsidRPr="00DE13A3">
        <w:rPr>
          <w:rFonts w:ascii="Times New Roman" w:eastAsia="Times New Roman" w:hAnsi="Times New Roman" w:cs="Times New Roman"/>
          <w:bCs/>
        </w:rPr>
        <w:t xml:space="preserve">Bacsárdi József – Christián László: Önkormányzati Rendészet. Dialóg Campus, Budapest, 2018. ISBN 978-615-5889-07-3 </w:t>
      </w:r>
    </w:p>
    <w:p w:rsidR="00DE13A3" w:rsidRPr="00DE13A3" w:rsidRDefault="00DE13A3" w:rsidP="00DE13A3">
      <w:pPr>
        <w:numPr>
          <w:ilvl w:val="0"/>
          <w:numId w:val="814"/>
        </w:numPr>
        <w:tabs>
          <w:tab w:val="right" w:pos="900"/>
          <w:tab w:val="center" w:pos="4536"/>
          <w:tab w:val="right" w:pos="9072"/>
        </w:tabs>
        <w:spacing w:before="120" w:after="120" w:line="240" w:lineRule="auto"/>
        <w:ind w:left="1134" w:hanging="284"/>
        <w:jc w:val="both"/>
        <w:rPr>
          <w:rFonts w:ascii="Times New Roman" w:eastAsia="Times New Roman" w:hAnsi="Times New Roman" w:cs="Times New Roman"/>
          <w:bCs/>
        </w:rPr>
      </w:pPr>
      <w:r w:rsidRPr="00DE13A3">
        <w:rPr>
          <w:rFonts w:ascii="Times New Roman" w:eastAsia="Times New Roman" w:hAnsi="Times New Roman" w:cs="Times New Roman"/>
          <w:lang w:eastAsia="hu-HU"/>
        </w:rPr>
        <w:t xml:space="preserve">Ruzsonyi Péter: A c aritastól a fogvatartotti reintegrációig – a javítás eszméjének evolúciója. Dialóg Campus, Budapest, 2018. ISBN 978-615-5877-124 </w:t>
      </w:r>
    </w:p>
    <w:p w:rsidR="00DE13A3" w:rsidRDefault="00DE13A3" w:rsidP="00666335">
      <w:pPr>
        <w:pStyle w:val="lfej"/>
        <w:tabs>
          <w:tab w:val="clear" w:pos="4536"/>
          <w:tab w:val="clear" w:pos="9072"/>
          <w:tab w:val="right" w:pos="900"/>
        </w:tabs>
        <w:spacing w:before="120" w:after="120"/>
        <w:jc w:val="both"/>
        <w:rPr>
          <w:rFonts w:ascii="Times New Roman" w:hAnsi="Times New Roman" w:cs="Times New Roman"/>
          <w:bCs/>
        </w:rPr>
      </w:pPr>
    </w:p>
    <w:p w:rsidR="00666335" w:rsidRPr="00666335" w:rsidRDefault="00666335" w:rsidP="00666335">
      <w:pPr>
        <w:pStyle w:val="lfej"/>
        <w:tabs>
          <w:tab w:val="clear" w:pos="4536"/>
          <w:tab w:val="clear" w:pos="9072"/>
          <w:tab w:val="right" w:pos="900"/>
        </w:tabs>
        <w:spacing w:before="120" w:after="120"/>
        <w:jc w:val="both"/>
        <w:rPr>
          <w:rFonts w:ascii="Times New Roman" w:hAnsi="Times New Roman" w:cs="Times New Roman"/>
          <w:bCs/>
        </w:rPr>
      </w:pPr>
      <w:r w:rsidRPr="00666335">
        <w:rPr>
          <w:rFonts w:ascii="Times New Roman" w:hAnsi="Times New Roman" w:cs="Times New Roman"/>
          <w:bCs/>
        </w:rPr>
        <w:t>Budapest, 2020. április 29.</w:t>
      </w:r>
    </w:p>
    <w:p w:rsidR="00666335" w:rsidRPr="00666335" w:rsidRDefault="00666335" w:rsidP="00666335">
      <w:pPr>
        <w:pStyle w:val="lfej"/>
        <w:tabs>
          <w:tab w:val="clear" w:pos="4536"/>
          <w:tab w:val="clear" w:pos="9072"/>
          <w:tab w:val="right" w:pos="900"/>
        </w:tabs>
        <w:spacing w:before="120" w:after="120"/>
        <w:jc w:val="both"/>
        <w:rPr>
          <w:rFonts w:ascii="Times New Roman" w:hAnsi="Times New Roman" w:cs="Times New Roman"/>
          <w:bCs/>
        </w:rPr>
      </w:pPr>
    </w:p>
    <w:p w:rsidR="00666335" w:rsidRPr="00666335" w:rsidRDefault="00666335" w:rsidP="00666335">
      <w:pPr>
        <w:pStyle w:val="lfej"/>
        <w:tabs>
          <w:tab w:val="clear" w:pos="4536"/>
          <w:tab w:val="clear" w:pos="9072"/>
        </w:tabs>
        <w:ind w:left="4820"/>
        <w:jc w:val="right"/>
        <w:rPr>
          <w:rFonts w:ascii="Times New Roman" w:hAnsi="Times New Roman" w:cs="Times New Roman"/>
          <w:bCs/>
        </w:rPr>
      </w:pPr>
      <w:r w:rsidRPr="00666335">
        <w:rPr>
          <w:rFonts w:ascii="Times New Roman" w:hAnsi="Times New Roman" w:cs="Times New Roman"/>
          <w:bCs/>
        </w:rPr>
        <w:t>Dr. Pallo József bv. ezredes,</w:t>
      </w:r>
    </w:p>
    <w:p w:rsidR="00666335" w:rsidRPr="00666335" w:rsidRDefault="00666335" w:rsidP="00666335">
      <w:pPr>
        <w:pStyle w:val="lfej"/>
        <w:tabs>
          <w:tab w:val="clear" w:pos="4536"/>
          <w:tab w:val="clear" w:pos="9072"/>
        </w:tabs>
        <w:ind w:left="4820"/>
        <w:jc w:val="right"/>
        <w:rPr>
          <w:rFonts w:ascii="Times New Roman" w:hAnsi="Times New Roman" w:cs="Times New Roman"/>
        </w:rPr>
      </w:pPr>
      <w:r w:rsidRPr="00666335">
        <w:rPr>
          <w:rFonts w:ascii="Times New Roman" w:hAnsi="Times New Roman" w:cs="Times New Roman"/>
          <w:bCs/>
        </w:rPr>
        <w:t>egyetemi docens sk.</w:t>
      </w:r>
    </w:p>
    <w:p w:rsidR="0056665F" w:rsidRDefault="0056665F">
      <w:pPr>
        <w:spacing w:after="200" w:line="276" w:lineRule="auto"/>
        <w:rPr>
          <w:rFonts w:ascii="Times New Roman" w:hAnsi="Times New Roman" w:cs="Times New Roman"/>
          <w:sz w:val="24"/>
        </w:rPr>
      </w:pPr>
      <w:r>
        <w:rPr>
          <w:rFonts w:ascii="Times New Roman" w:hAnsi="Times New Roman" w:cs="Times New Roman"/>
          <w:sz w:val="24"/>
        </w:rPr>
        <w:br w:type="page"/>
      </w:r>
    </w:p>
    <w:tbl>
      <w:tblPr>
        <w:tblW w:w="9072" w:type="dxa"/>
        <w:tblInd w:w="113" w:type="dxa"/>
        <w:tblLook w:val="01E0" w:firstRow="1" w:lastRow="1" w:firstColumn="1" w:lastColumn="1" w:noHBand="0" w:noVBand="0"/>
      </w:tblPr>
      <w:tblGrid>
        <w:gridCol w:w="4855"/>
        <w:gridCol w:w="1620"/>
        <w:gridCol w:w="2597"/>
      </w:tblGrid>
      <w:tr w:rsidR="002871B0" w:rsidTr="002871B0">
        <w:tc>
          <w:tcPr>
            <w:tcW w:w="4855" w:type="dxa"/>
            <w:tcBorders>
              <w:top w:val="nil"/>
              <w:left w:val="nil"/>
              <w:bottom w:val="single" w:sz="4" w:space="0" w:color="auto"/>
              <w:right w:val="nil"/>
            </w:tcBorders>
            <w:hideMark/>
          </w:tcPr>
          <w:p w:rsidR="002871B0" w:rsidRDefault="002871B0">
            <w:pPr>
              <w:spacing w:after="0" w:line="240" w:lineRule="auto"/>
              <w:jc w:val="center"/>
              <w:rPr>
                <w:rFonts w:ascii="Times New Roman" w:eastAsia="Times New Roman" w:hAnsi="Times New Roman" w:cs="Times New Roman"/>
                <w:b/>
                <w:smallCaps/>
                <w:lang w:eastAsia="hu-HU"/>
              </w:rPr>
            </w:pPr>
            <w:r>
              <w:rPr>
                <w:rFonts w:ascii="Times New Roman" w:eastAsia="Times New Roman" w:hAnsi="Times New Roman" w:cs="Times New Roman"/>
                <w:b/>
                <w:smallCaps/>
                <w:lang w:eastAsia="hu-HU"/>
              </w:rPr>
              <w:lastRenderedPageBreak/>
              <w:t>Nemzeti Közszolgálati Egyetem</w:t>
            </w:r>
          </w:p>
        </w:tc>
        <w:tc>
          <w:tcPr>
            <w:tcW w:w="1620" w:type="dxa"/>
          </w:tcPr>
          <w:p w:rsidR="002871B0" w:rsidRDefault="002871B0">
            <w:pPr>
              <w:spacing w:after="0" w:line="240" w:lineRule="auto"/>
              <w:jc w:val="both"/>
              <w:rPr>
                <w:rFonts w:ascii="Times New Roman" w:eastAsia="Times New Roman" w:hAnsi="Times New Roman" w:cs="Times New Roman"/>
                <w:lang w:eastAsia="hu-HU"/>
              </w:rPr>
            </w:pPr>
          </w:p>
        </w:tc>
        <w:tc>
          <w:tcPr>
            <w:tcW w:w="2597" w:type="dxa"/>
          </w:tcPr>
          <w:p w:rsidR="002871B0" w:rsidRDefault="002871B0">
            <w:pPr>
              <w:spacing w:after="0" w:line="240" w:lineRule="auto"/>
              <w:jc w:val="right"/>
              <w:rPr>
                <w:rFonts w:ascii="Times New Roman" w:eastAsia="Times New Roman" w:hAnsi="Times New Roman" w:cs="Times New Roman"/>
                <w:lang w:eastAsia="hu-HU"/>
              </w:rPr>
            </w:pPr>
          </w:p>
        </w:tc>
      </w:tr>
      <w:tr w:rsidR="002871B0" w:rsidTr="002871B0">
        <w:tc>
          <w:tcPr>
            <w:tcW w:w="4855" w:type="dxa"/>
            <w:tcBorders>
              <w:top w:val="single" w:sz="4" w:space="0" w:color="auto"/>
              <w:left w:val="nil"/>
              <w:bottom w:val="nil"/>
              <w:right w:val="nil"/>
            </w:tcBorders>
            <w:hideMark/>
          </w:tcPr>
          <w:p w:rsidR="002871B0" w:rsidRDefault="002871B0">
            <w:pPr>
              <w:spacing w:after="0" w:line="240" w:lineRule="auto"/>
              <w:jc w:val="center"/>
              <w:rPr>
                <w:rFonts w:ascii="Times New Roman" w:eastAsia="Times New Roman" w:hAnsi="Times New Roman" w:cs="Times New Roman"/>
                <w:b/>
                <w:lang w:eastAsia="hu-HU"/>
              </w:rPr>
            </w:pPr>
            <w:r>
              <w:rPr>
                <w:rFonts w:ascii="Times New Roman" w:eastAsia="Times New Roman" w:hAnsi="Times New Roman" w:cs="Times New Roman"/>
                <w:b/>
                <w:lang w:eastAsia="hu-HU"/>
              </w:rPr>
              <w:t>Hadtudományi és Honvédtisztképző Kar</w:t>
            </w:r>
          </w:p>
        </w:tc>
        <w:tc>
          <w:tcPr>
            <w:tcW w:w="1620" w:type="dxa"/>
          </w:tcPr>
          <w:p w:rsidR="002871B0" w:rsidRDefault="002871B0">
            <w:pPr>
              <w:spacing w:after="0" w:line="240" w:lineRule="auto"/>
              <w:jc w:val="both"/>
              <w:rPr>
                <w:rFonts w:ascii="Times New Roman" w:eastAsia="Times New Roman" w:hAnsi="Times New Roman" w:cs="Times New Roman"/>
                <w:lang w:eastAsia="hu-HU"/>
              </w:rPr>
            </w:pPr>
          </w:p>
        </w:tc>
        <w:tc>
          <w:tcPr>
            <w:tcW w:w="2597" w:type="dxa"/>
          </w:tcPr>
          <w:p w:rsidR="002871B0" w:rsidRDefault="002871B0">
            <w:pPr>
              <w:spacing w:after="0" w:line="240" w:lineRule="auto"/>
              <w:jc w:val="both"/>
              <w:rPr>
                <w:rFonts w:ascii="Times New Roman" w:eastAsia="Times New Roman" w:hAnsi="Times New Roman" w:cs="Times New Roman"/>
                <w:lang w:eastAsia="hu-HU"/>
              </w:rPr>
            </w:pPr>
          </w:p>
        </w:tc>
      </w:tr>
    </w:tbl>
    <w:p w:rsidR="002871B0" w:rsidRDefault="002871B0" w:rsidP="002871B0">
      <w:pPr>
        <w:widowControl w:val="0"/>
        <w:spacing w:before="120" w:after="120" w:line="240" w:lineRule="auto"/>
        <w:ind w:left="426" w:hanging="142"/>
        <w:jc w:val="center"/>
        <w:rPr>
          <w:rFonts w:ascii="Times New Roman" w:eastAsia="Times New Roman" w:hAnsi="Times New Roman" w:cs="Times New Roman"/>
          <w:b/>
          <w:bCs/>
        </w:rPr>
      </w:pPr>
    </w:p>
    <w:p w:rsidR="002871B0" w:rsidRDefault="002871B0" w:rsidP="002871B0">
      <w:pPr>
        <w:widowControl w:val="0"/>
        <w:spacing w:before="120" w:after="120" w:line="240" w:lineRule="auto"/>
        <w:ind w:left="426" w:hanging="142"/>
        <w:jc w:val="center"/>
        <w:rPr>
          <w:rFonts w:ascii="Times New Roman" w:eastAsia="Times New Roman" w:hAnsi="Times New Roman" w:cs="Times New Roman"/>
          <w:b/>
          <w:bCs/>
        </w:rPr>
      </w:pPr>
      <w:r>
        <w:rPr>
          <w:rFonts w:ascii="Times New Roman" w:eastAsia="Times New Roman" w:hAnsi="Times New Roman" w:cs="Times New Roman"/>
          <w:b/>
          <w:bCs/>
        </w:rPr>
        <w:t>TANTÁRGYI PROGRAM</w:t>
      </w:r>
    </w:p>
    <w:p w:rsidR="002871B0" w:rsidRDefault="002871B0" w:rsidP="00666335">
      <w:pPr>
        <w:widowControl w:val="0"/>
        <w:numPr>
          <w:ilvl w:val="0"/>
          <w:numId w:val="23"/>
        </w:numPr>
        <w:tabs>
          <w:tab w:val="clear" w:pos="720"/>
          <w:tab w:val="num" w:pos="502"/>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 tantárgy kódja: </w:t>
      </w:r>
      <w:r>
        <w:rPr>
          <w:rFonts w:ascii="Times New Roman" w:eastAsia="Times New Roman" w:hAnsi="Times New Roman" w:cs="Times New Roman"/>
          <w:bCs/>
        </w:rPr>
        <w:t>HK925A010</w:t>
      </w:r>
    </w:p>
    <w:p w:rsidR="002871B0" w:rsidRDefault="002871B0" w:rsidP="00666335">
      <w:pPr>
        <w:widowControl w:val="0"/>
        <w:numPr>
          <w:ilvl w:val="0"/>
          <w:numId w:val="23"/>
        </w:numPr>
        <w:tabs>
          <w:tab w:val="clear" w:pos="720"/>
          <w:tab w:val="num" w:pos="502"/>
          <w:tab w:val="num" w:pos="567"/>
        </w:tabs>
        <w:spacing w:before="120" w:after="120" w:line="240" w:lineRule="auto"/>
        <w:ind w:left="426" w:hanging="142"/>
        <w:jc w:val="both"/>
        <w:rPr>
          <w:rFonts w:ascii="Times New Roman" w:eastAsia="Times New Roman" w:hAnsi="Times New Roman" w:cs="Times New Roman"/>
          <w:b/>
          <w:bCs/>
          <w:lang w:val="en-GB"/>
        </w:rPr>
      </w:pPr>
      <w:r>
        <w:rPr>
          <w:rFonts w:ascii="Times New Roman" w:eastAsia="Times New Roman" w:hAnsi="Times New Roman" w:cs="Times New Roman"/>
          <w:b/>
          <w:bCs/>
        </w:rPr>
        <w:t>A tantárgy megnevezése (magyarul):</w:t>
      </w:r>
      <w:r>
        <w:rPr>
          <w:rFonts w:ascii="Times New Roman" w:eastAsia="Times New Roman" w:hAnsi="Times New Roman" w:cs="Times New Roman"/>
          <w:bCs/>
        </w:rPr>
        <w:t xml:space="preserve"> Matematika előkészítő</w:t>
      </w:r>
    </w:p>
    <w:p w:rsidR="002871B0" w:rsidRDefault="002871B0" w:rsidP="00666335">
      <w:pPr>
        <w:widowControl w:val="0"/>
        <w:numPr>
          <w:ilvl w:val="0"/>
          <w:numId w:val="23"/>
        </w:numPr>
        <w:tabs>
          <w:tab w:val="clear" w:pos="720"/>
          <w:tab w:val="num" w:pos="502"/>
          <w:tab w:val="num" w:pos="567"/>
        </w:tabs>
        <w:spacing w:before="120" w:after="120" w:line="240" w:lineRule="auto"/>
        <w:ind w:left="426" w:hanging="142"/>
        <w:jc w:val="both"/>
        <w:rPr>
          <w:rFonts w:ascii="Times New Roman" w:eastAsia="Times New Roman" w:hAnsi="Times New Roman" w:cs="Times New Roman"/>
          <w:b/>
          <w:bCs/>
          <w:lang w:val="en-GB"/>
        </w:rPr>
      </w:pPr>
      <w:r>
        <w:rPr>
          <w:rFonts w:ascii="Times New Roman" w:eastAsia="Times New Roman" w:hAnsi="Times New Roman" w:cs="Times New Roman"/>
          <w:b/>
          <w:bCs/>
        </w:rPr>
        <w:t>A tantárgy megnevezése (angolul):</w:t>
      </w:r>
      <w:r>
        <w:rPr>
          <w:rFonts w:ascii="Times New Roman" w:eastAsia="Times New Roman" w:hAnsi="Times New Roman" w:cs="Times New Roman"/>
          <w:bCs/>
        </w:rPr>
        <w:t xml:space="preserve"> </w:t>
      </w:r>
      <w:r>
        <w:rPr>
          <w:rFonts w:ascii="Liberation Serif" w:hAnsi="Liberation Serif"/>
          <w:bCs/>
        </w:rPr>
        <w:t>Preliminary Mathematics</w:t>
      </w:r>
    </w:p>
    <w:p w:rsidR="002871B0" w:rsidRDefault="002871B0" w:rsidP="00666335">
      <w:pPr>
        <w:widowControl w:val="0"/>
        <w:numPr>
          <w:ilvl w:val="0"/>
          <w:numId w:val="23"/>
        </w:numPr>
        <w:tabs>
          <w:tab w:val="clear" w:pos="720"/>
          <w:tab w:val="num" w:pos="502"/>
          <w:tab w:val="num" w:pos="567"/>
        </w:tabs>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Kreditérték és képzési karakter: </w:t>
      </w:r>
    </w:p>
    <w:p w:rsidR="002871B0" w:rsidRDefault="002871B0" w:rsidP="00666335">
      <w:pPr>
        <w:pStyle w:val="Listaszerbekezds"/>
        <w:widowControl w:val="0"/>
        <w:numPr>
          <w:ilvl w:val="1"/>
          <w:numId w:val="23"/>
        </w:numPr>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2 kredit</w:t>
      </w:r>
    </w:p>
    <w:p w:rsidR="002871B0" w:rsidRDefault="002871B0" w:rsidP="00666335">
      <w:pPr>
        <w:pStyle w:val="Listaszerbekezds"/>
        <w:widowControl w:val="0"/>
        <w:numPr>
          <w:ilvl w:val="1"/>
          <w:numId w:val="23"/>
        </w:numPr>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a tantárgy elméleti vagy gyakorlati jellegének mértéke: 100 % gyakorlat, 0 % elmélet</w:t>
      </w:r>
    </w:p>
    <w:p w:rsidR="002871B0" w:rsidRDefault="002871B0" w:rsidP="00666335">
      <w:pPr>
        <w:widowControl w:val="0"/>
        <w:numPr>
          <w:ilvl w:val="0"/>
          <w:numId w:val="23"/>
        </w:numPr>
        <w:tabs>
          <w:tab w:val="clear" w:pos="720"/>
          <w:tab w:val="num" w:pos="502"/>
        </w:tabs>
        <w:spacing w:before="120" w:after="120" w:line="240" w:lineRule="auto"/>
        <w:ind w:left="426" w:hanging="142"/>
        <w:jc w:val="both"/>
        <w:rPr>
          <w:rFonts w:ascii="Times New Roman" w:eastAsia="Times New Roman" w:hAnsi="Times New Roman" w:cs="Times New Roman"/>
          <w:bCs/>
          <w:color w:val="92D050"/>
        </w:rPr>
      </w:pPr>
      <w:r>
        <w:rPr>
          <w:rFonts w:ascii="Times New Roman" w:eastAsia="Times New Roman" w:hAnsi="Times New Roman" w:cs="Times New Roman"/>
          <w:b/>
          <w:bCs/>
        </w:rPr>
        <w:t>A szak(ok), szakirányok/specializációk megnevezése (ahol oktatják):</w:t>
      </w:r>
      <w:r>
        <w:rPr>
          <w:rFonts w:ascii="Times New Roman" w:eastAsia="Times New Roman" w:hAnsi="Times New Roman" w:cs="Times New Roman"/>
          <w:bCs/>
        </w:rPr>
        <w:t xml:space="preserve"> </w:t>
      </w:r>
      <w:r>
        <w:rPr>
          <w:rFonts w:ascii="Liberation Serif" w:hAnsi="Liberation Serif"/>
          <w:bCs/>
        </w:rPr>
        <w:t>Katonai vezetői alapszak, Katonai üzemeltetési alapszak, Katonai logisztika alapszak</w:t>
      </w:r>
    </w:p>
    <w:p w:rsidR="002871B0" w:rsidRDefault="002871B0" w:rsidP="00666335">
      <w:pPr>
        <w:widowControl w:val="0"/>
        <w:numPr>
          <w:ilvl w:val="0"/>
          <w:numId w:val="23"/>
        </w:numPr>
        <w:tabs>
          <w:tab w:val="clear" w:pos="720"/>
          <w:tab w:val="num" w:pos="502"/>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Az oktatásért felelős oktatási szervezeti egység megnevezése: </w:t>
      </w:r>
      <w:r>
        <w:rPr>
          <w:rFonts w:ascii="Times New Roman" w:eastAsia="Times New Roman" w:hAnsi="Times New Roman" w:cs="Times New Roman"/>
          <w:bCs/>
        </w:rPr>
        <w:t>Természettudományi Tanszék</w:t>
      </w:r>
    </w:p>
    <w:p w:rsidR="002871B0" w:rsidRDefault="002871B0" w:rsidP="00666335">
      <w:pPr>
        <w:widowControl w:val="0"/>
        <w:numPr>
          <w:ilvl w:val="0"/>
          <w:numId w:val="23"/>
        </w:numPr>
        <w:tabs>
          <w:tab w:val="clear" w:pos="720"/>
          <w:tab w:val="num" w:pos="502"/>
          <w:tab w:val="num" w:pos="567"/>
        </w:tabs>
        <w:spacing w:before="120" w:after="120" w:line="240" w:lineRule="auto"/>
        <w:ind w:left="426" w:hanging="142"/>
        <w:jc w:val="both"/>
        <w:rPr>
          <w:rFonts w:ascii="Times New Roman" w:eastAsia="Times New Roman" w:hAnsi="Times New Roman" w:cs="Times New Roman"/>
          <w:bCs/>
          <w:spacing w:val="-2"/>
        </w:rPr>
      </w:pPr>
      <w:r>
        <w:rPr>
          <w:rFonts w:ascii="Times New Roman" w:eastAsia="Times New Roman" w:hAnsi="Times New Roman" w:cs="Times New Roman"/>
          <w:b/>
          <w:bCs/>
          <w:spacing w:val="-2"/>
        </w:rPr>
        <w:t>A tantárgyfelelős oktató neve, beosztása, tudományos fokozata:</w:t>
      </w:r>
      <w:r>
        <w:rPr>
          <w:rFonts w:ascii="Times New Roman" w:eastAsia="Times New Roman" w:hAnsi="Times New Roman" w:cs="Times New Roman"/>
          <w:bCs/>
          <w:spacing w:val="-2"/>
        </w:rPr>
        <w:t xml:space="preserve"> Dr. Tóth Bence, adjunktus, PhD</w:t>
      </w:r>
    </w:p>
    <w:p w:rsidR="002871B0" w:rsidRDefault="002871B0" w:rsidP="00666335">
      <w:pPr>
        <w:widowControl w:val="0"/>
        <w:numPr>
          <w:ilvl w:val="0"/>
          <w:numId w:val="23"/>
        </w:numPr>
        <w:tabs>
          <w:tab w:val="clear" w:pos="720"/>
          <w:tab w:val="num" w:pos="502"/>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tanórák száma és típusa</w:t>
      </w:r>
    </w:p>
    <w:p w:rsidR="002871B0" w:rsidRDefault="002871B0" w:rsidP="00666335">
      <w:pPr>
        <w:widowControl w:val="0"/>
        <w:numPr>
          <w:ilvl w:val="1"/>
          <w:numId w:val="23"/>
        </w:numPr>
        <w:tabs>
          <w:tab w:val="num" w:pos="709"/>
          <w:tab w:val="num" w:pos="2069"/>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össz óraszám/félév:</w:t>
      </w:r>
    </w:p>
    <w:p w:rsidR="002871B0" w:rsidRDefault="002871B0" w:rsidP="00666335">
      <w:pPr>
        <w:widowControl w:val="0"/>
        <w:numPr>
          <w:ilvl w:val="2"/>
          <w:numId w:val="23"/>
        </w:numPr>
        <w:tabs>
          <w:tab w:val="num" w:pos="709"/>
        </w:tabs>
        <w:spacing w:before="120" w:after="120" w:line="240" w:lineRule="auto"/>
        <w:ind w:left="1276" w:hanging="567"/>
        <w:jc w:val="both"/>
        <w:rPr>
          <w:rFonts w:ascii="Times New Roman" w:eastAsia="Times New Roman" w:hAnsi="Times New Roman" w:cs="Times New Roman"/>
          <w:bCs/>
        </w:rPr>
      </w:pPr>
      <w:r>
        <w:rPr>
          <w:rFonts w:ascii="Times New Roman" w:eastAsia="Times New Roman" w:hAnsi="Times New Roman" w:cs="Times New Roman"/>
          <w:bCs/>
        </w:rPr>
        <w:t>nappali munkarend: 28 (0 EA + 0 SZ + 28 GY)</w:t>
      </w:r>
    </w:p>
    <w:p w:rsidR="002871B0" w:rsidRDefault="002871B0" w:rsidP="00666335">
      <w:pPr>
        <w:widowControl w:val="0"/>
        <w:numPr>
          <w:ilvl w:val="2"/>
          <w:numId w:val="23"/>
        </w:numPr>
        <w:tabs>
          <w:tab w:val="num" w:pos="709"/>
        </w:tabs>
        <w:spacing w:before="120" w:after="120" w:line="240" w:lineRule="auto"/>
        <w:ind w:left="1276" w:hanging="567"/>
        <w:jc w:val="both"/>
        <w:rPr>
          <w:rFonts w:ascii="Times New Roman" w:eastAsia="Times New Roman" w:hAnsi="Times New Roman" w:cs="Times New Roman"/>
          <w:bCs/>
        </w:rPr>
      </w:pPr>
      <w:r>
        <w:rPr>
          <w:rFonts w:ascii="Times New Roman" w:eastAsia="Times New Roman" w:hAnsi="Times New Roman" w:cs="Times New Roman"/>
          <w:bCs/>
        </w:rPr>
        <w:t>levelező munkarend: 0 (0 EA + 0 SZ + 0 GY)</w:t>
      </w:r>
    </w:p>
    <w:p w:rsidR="002871B0" w:rsidRDefault="002871B0" w:rsidP="00666335">
      <w:pPr>
        <w:widowControl w:val="0"/>
        <w:numPr>
          <w:ilvl w:val="1"/>
          <w:numId w:val="23"/>
        </w:numPr>
        <w:tabs>
          <w:tab w:val="num" w:pos="709"/>
          <w:tab w:val="num" w:pos="2069"/>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heti óraszám - nappali munkarend: 0 + 2</w:t>
      </w:r>
    </w:p>
    <w:p w:rsidR="002871B0" w:rsidRDefault="002871B0" w:rsidP="00666335">
      <w:pPr>
        <w:widowControl w:val="0"/>
        <w:numPr>
          <w:ilvl w:val="1"/>
          <w:numId w:val="23"/>
        </w:numPr>
        <w:tabs>
          <w:tab w:val="num" w:pos="709"/>
          <w:tab w:val="num" w:pos="2069"/>
        </w:tabs>
        <w:spacing w:before="120" w:after="120" w:line="240" w:lineRule="auto"/>
        <w:ind w:left="851" w:hanging="425"/>
        <w:jc w:val="both"/>
        <w:rPr>
          <w:rFonts w:ascii="Times New Roman" w:eastAsia="Times New Roman" w:hAnsi="Times New Roman" w:cs="Times New Roman"/>
          <w:bCs/>
        </w:rPr>
      </w:pPr>
      <w:r>
        <w:rPr>
          <w:rFonts w:ascii="Times New Roman" w:hAnsi="Times New Roman" w:cs="Times New Roman"/>
        </w:rPr>
        <w:t>Az ismeret átadásában alkalmazandó további sajátos módok, jellemzők: nincsenek</w:t>
      </w:r>
    </w:p>
    <w:p w:rsidR="002871B0" w:rsidRDefault="002871B0" w:rsidP="00666335">
      <w:pPr>
        <w:widowControl w:val="0"/>
        <w:numPr>
          <w:ilvl w:val="0"/>
          <w:numId w:val="23"/>
        </w:numPr>
        <w:tabs>
          <w:tab w:val="clear" w:pos="720"/>
          <w:tab w:val="num" w:pos="502"/>
        </w:tabs>
        <w:spacing w:before="120" w:after="120" w:line="240" w:lineRule="auto"/>
        <w:ind w:left="502"/>
        <w:jc w:val="both"/>
        <w:rPr>
          <w:rFonts w:ascii="Times New Roman" w:eastAsia="Times New Roman" w:hAnsi="Times New Roman" w:cs="Times New Roman"/>
          <w:bCs/>
        </w:rPr>
      </w:pPr>
      <w:r>
        <w:rPr>
          <w:rFonts w:ascii="Times New Roman" w:eastAsia="Times New Roman" w:hAnsi="Times New Roman" w:cs="Times New Roman"/>
          <w:b/>
          <w:bCs/>
        </w:rPr>
        <w:t>A tantárgy szakmai tartalma (magyarul):</w:t>
      </w:r>
      <w:r>
        <w:rPr>
          <w:rFonts w:ascii="Times New Roman" w:eastAsia="Times New Roman" w:hAnsi="Times New Roman" w:cs="Times New Roman"/>
          <w:bCs/>
        </w:rPr>
        <w:t xml:space="preserve"> Nevezetes azonosságok. Hatványozás azonosságai, negatív kitevők, gyökvonás azonosságai, racionális kitevők. Abszolútérték kezelése, egyenletek és egyenlőtlenségek. Másodfokú egyenlet, megoldóképlet, gyöktényezős alak. Egyenletek, egyenletrendszerek, egyenlőtlenségek, egyenlőtlenség rendszerek megoldása. Racionális törtfüggvények előjelének vizsgálata gyöktényezős alakban. Exponenciális és logaritmus függvények, tulajdonságok, azonosságok. Exponenciális és logaritmikus egyenletek és egyenlőtlenségek. Polinomosztás. Résztörtekre bontás (alapgondolatok). A geometria alapjai (fogalmak, jelölések, néhány nevezetes tétel). Trigonometria, azonosságok. Koordinátageometria.</w:t>
      </w:r>
    </w:p>
    <w:p w:rsidR="002871B0" w:rsidRDefault="002871B0" w:rsidP="002871B0">
      <w:pPr>
        <w:widowControl w:val="0"/>
        <w:spacing w:before="120" w:after="120" w:line="240" w:lineRule="auto"/>
        <w:ind w:left="426"/>
        <w:jc w:val="both"/>
        <w:rPr>
          <w:rFonts w:ascii="Times New Roman" w:eastAsia="Times New Roman" w:hAnsi="Times New Roman" w:cs="Times New Roman"/>
          <w:bCs/>
          <w:lang w:val="en-GB"/>
        </w:rPr>
      </w:pPr>
      <w:r>
        <w:rPr>
          <w:rFonts w:ascii="Times New Roman" w:eastAsia="Times New Roman" w:hAnsi="Times New Roman" w:cs="Times New Roman"/>
          <w:b/>
          <w:bCs/>
        </w:rPr>
        <w:t>A tantárgy szakmai tartalma (angolul) (</w:t>
      </w:r>
      <w:r>
        <w:rPr>
          <w:rFonts w:ascii="Times New Roman" w:eastAsia="Times New Roman" w:hAnsi="Times New Roman" w:cs="Times New Roman"/>
          <w:b/>
          <w:bCs/>
          <w:lang w:val="en-US"/>
        </w:rPr>
        <w:t>Course description</w:t>
      </w:r>
      <w:r>
        <w:rPr>
          <w:rFonts w:ascii="Times New Roman" w:eastAsia="Times New Roman" w:hAnsi="Times New Roman" w:cs="Times New Roman"/>
          <w:b/>
          <w:bCs/>
        </w:rPr>
        <w:t>):</w:t>
      </w:r>
      <w:r>
        <w:rPr>
          <w:rFonts w:ascii="Times New Roman" w:eastAsia="Times New Roman" w:hAnsi="Times New Roman" w:cs="Times New Roman"/>
          <w:bCs/>
          <w:lang w:val="en-GB"/>
        </w:rPr>
        <w:t xml:space="preserve"> Algebraic identities. Identiteis of exponents and radicals, negative and rational exponents. Absolute value function (equations and inequalities). Quadratic equations. Solving basic equations, systems of equations, inequalities, and systems of inequalities. Determining the signs of rational functions. Exponential and logarithmic functions, properties and identities. Exponential and logarithmic equations and inequalities. Polinomial division.  Partial fraction expansion of a rational function (basic ideas). Basics of geometry (concepts, notations, some important theorems). Trigonometry and trigonometric identities. Coordinate geometry.</w:t>
      </w:r>
    </w:p>
    <w:p w:rsidR="002871B0" w:rsidRDefault="002871B0" w:rsidP="00666335">
      <w:pPr>
        <w:pStyle w:val="Listaszerbekezds"/>
        <w:widowControl w:val="0"/>
        <w:numPr>
          <w:ilvl w:val="0"/>
          <w:numId w:val="23"/>
        </w:numPr>
        <w:tabs>
          <w:tab w:val="clear" w:pos="720"/>
          <w:tab w:val="num" w:pos="426"/>
          <w:tab w:val="num" w:pos="502"/>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Elérendő kompetenciák (magyarul): </w:t>
      </w:r>
    </w:p>
    <w:p w:rsidR="002871B0" w:rsidRDefault="002871B0" w:rsidP="002871B0">
      <w:pPr>
        <w:widowControl w:val="0"/>
        <w:spacing w:before="120" w:after="120" w:line="240" w:lineRule="auto"/>
        <w:ind w:left="426"/>
        <w:jc w:val="both"/>
        <w:rPr>
          <w:rFonts w:ascii="Times New Roman" w:eastAsia="Times New Roman" w:hAnsi="Times New Roman" w:cs="Times New Roman"/>
          <w:bCs/>
        </w:rPr>
      </w:pPr>
      <w:r>
        <w:rPr>
          <w:rFonts w:ascii="Times New Roman" w:eastAsia="Times New Roman" w:hAnsi="Times New Roman" w:cs="Times New Roman"/>
          <w:b/>
          <w:bCs/>
        </w:rPr>
        <w:t>Tudása:</w:t>
      </w:r>
      <w:r>
        <w:rPr>
          <w:rFonts w:ascii="Times New Roman" w:eastAsia="Times New Roman" w:hAnsi="Times New Roman" w:cs="Times New Roman"/>
          <w:bCs/>
        </w:rPr>
        <w:t xml:space="preserve"> </w:t>
      </w:r>
    </w:p>
    <w:p w:rsidR="002871B0" w:rsidRDefault="002871B0" w:rsidP="002871B0">
      <w:pPr>
        <w:widowControl w:val="0"/>
        <w:spacing w:before="120" w:after="120" w:line="240" w:lineRule="auto"/>
        <w:ind w:left="426"/>
        <w:jc w:val="both"/>
        <w:rPr>
          <w:rFonts w:ascii="Times New Roman" w:eastAsia="Times New Roman" w:hAnsi="Times New Roman" w:cs="Times New Roman"/>
          <w:bCs/>
        </w:rPr>
      </w:pPr>
      <w:r>
        <w:rPr>
          <w:rFonts w:ascii="Times New Roman" w:eastAsia="Times New Roman" w:hAnsi="Times New Roman" w:cs="Times New Roman"/>
          <w:bCs/>
        </w:rPr>
        <w:t>-</w:t>
      </w:r>
      <w:r>
        <w:rPr>
          <w:rFonts w:ascii="Times New Roman" w:eastAsia="Times New Roman" w:hAnsi="Times New Roman" w:cs="Times New Roman"/>
          <w:bCs/>
        </w:rPr>
        <w:tab/>
        <w:t>Ismeri a matematika és a mechanika törvényszerűségeit, rendelkezik műszaki alapismeretekkel.</w:t>
      </w:r>
    </w:p>
    <w:p w:rsidR="002871B0" w:rsidRDefault="002871B0" w:rsidP="002871B0">
      <w:pPr>
        <w:widowControl w:val="0"/>
        <w:spacing w:before="120" w:after="120" w:line="240" w:lineRule="auto"/>
        <w:ind w:left="426"/>
        <w:jc w:val="both"/>
        <w:rPr>
          <w:rFonts w:ascii="Times New Roman" w:eastAsia="Times New Roman" w:hAnsi="Times New Roman" w:cs="Times New Roman"/>
          <w:bCs/>
        </w:rPr>
      </w:pPr>
      <w:r>
        <w:rPr>
          <w:rFonts w:ascii="Times New Roman" w:eastAsia="Times New Roman" w:hAnsi="Times New Roman" w:cs="Times New Roman"/>
          <w:b/>
          <w:bCs/>
        </w:rPr>
        <w:t>Képességei:</w:t>
      </w:r>
      <w:r>
        <w:rPr>
          <w:rFonts w:ascii="Times New Roman" w:eastAsia="Times New Roman" w:hAnsi="Times New Roman" w:cs="Times New Roman"/>
          <w:bCs/>
        </w:rPr>
        <w:t xml:space="preserve"> </w:t>
      </w:r>
    </w:p>
    <w:p w:rsidR="002871B0" w:rsidRDefault="002871B0" w:rsidP="002871B0">
      <w:pPr>
        <w:widowControl w:val="0"/>
        <w:spacing w:before="120" w:after="120" w:line="240" w:lineRule="auto"/>
        <w:ind w:left="426"/>
        <w:jc w:val="both"/>
        <w:rPr>
          <w:rFonts w:ascii="Times New Roman" w:eastAsia="Times New Roman" w:hAnsi="Times New Roman" w:cs="Times New Roman"/>
          <w:bCs/>
        </w:rPr>
      </w:pPr>
      <w:r>
        <w:rPr>
          <w:rFonts w:ascii="Times New Roman" w:eastAsia="Times New Roman" w:hAnsi="Times New Roman" w:cs="Times New Roman"/>
          <w:bCs/>
        </w:rPr>
        <w:t>-</w:t>
      </w:r>
      <w:r>
        <w:rPr>
          <w:rFonts w:ascii="Times New Roman" w:eastAsia="Times New Roman" w:hAnsi="Times New Roman" w:cs="Times New Roman"/>
          <w:bCs/>
        </w:rPr>
        <w:tab/>
        <w:t>Képes szakterületén újító és innovatív ötletek megfogalmazására.</w:t>
      </w:r>
    </w:p>
    <w:p w:rsidR="002871B0" w:rsidRDefault="002871B0" w:rsidP="002871B0">
      <w:pPr>
        <w:widowControl w:val="0"/>
        <w:spacing w:before="120" w:after="120" w:line="240" w:lineRule="auto"/>
        <w:ind w:left="426"/>
        <w:jc w:val="both"/>
        <w:rPr>
          <w:rFonts w:ascii="Times New Roman" w:eastAsia="Times New Roman" w:hAnsi="Times New Roman" w:cs="Times New Roman"/>
          <w:bCs/>
        </w:rPr>
      </w:pPr>
      <w:r>
        <w:rPr>
          <w:rFonts w:ascii="Times New Roman" w:eastAsia="Times New Roman" w:hAnsi="Times New Roman" w:cs="Times New Roman"/>
          <w:b/>
          <w:bCs/>
        </w:rPr>
        <w:lastRenderedPageBreak/>
        <w:t>Attitűdje:</w:t>
      </w:r>
      <w:r>
        <w:rPr>
          <w:rFonts w:ascii="Times New Roman" w:eastAsia="Times New Roman" w:hAnsi="Times New Roman" w:cs="Times New Roman"/>
          <w:bCs/>
        </w:rPr>
        <w:t xml:space="preserve"> </w:t>
      </w:r>
    </w:p>
    <w:p w:rsidR="002871B0" w:rsidRDefault="002871B0" w:rsidP="002871B0">
      <w:pPr>
        <w:widowControl w:val="0"/>
        <w:spacing w:before="120" w:after="120" w:line="240" w:lineRule="auto"/>
        <w:ind w:left="426"/>
        <w:jc w:val="both"/>
        <w:rPr>
          <w:rFonts w:ascii="Times New Roman" w:eastAsia="Times New Roman" w:hAnsi="Times New Roman" w:cs="Times New Roman"/>
          <w:bCs/>
        </w:rPr>
      </w:pPr>
      <w:r>
        <w:rPr>
          <w:rFonts w:ascii="Times New Roman" w:eastAsia="Times New Roman" w:hAnsi="Times New Roman" w:cs="Times New Roman"/>
          <w:bCs/>
        </w:rPr>
        <w:t>-</w:t>
      </w:r>
      <w:r>
        <w:rPr>
          <w:rFonts w:ascii="Times New Roman" w:eastAsia="Times New Roman" w:hAnsi="Times New Roman" w:cs="Times New Roman"/>
          <w:bCs/>
        </w:rPr>
        <w:tab/>
        <w:t>Nyitott szakterülete új eredményei, innovációi iránt, törekszik azok megismerésére, megértésére és alkalmazására, elkötelezett önmaga folyamatos képzésére.</w:t>
      </w:r>
    </w:p>
    <w:p w:rsidR="002871B0" w:rsidRDefault="002871B0" w:rsidP="002871B0">
      <w:pPr>
        <w:widowControl w:val="0"/>
        <w:spacing w:before="120" w:after="120" w:line="240" w:lineRule="auto"/>
        <w:ind w:left="426"/>
        <w:jc w:val="both"/>
        <w:rPr>
          <w:rFonts w:ascii="Times New Roman" w:eastAsia="Times New Roman" w:hAnsi="Times New Roman" w:cs="Times New Roman"/>
          <w:bCs/>
        </w:rPr>
      </w:pPr>
      <w:r>
        <w:rPr>
          <w:rFonts w:ascii="Times New Roman" w:eastAsia="Times New Roman" w:hAnsi="Times New Roman" w:cs="Times New Roman"/>
          <w:b/>
          <w:bCs/>
        </w:rPr>
        <w:t>Autonómiája és felelőssége:</w:t>
      </w:r>
      <w:r>
        <w:rPr>
          <w:rFonts w:ascii="Times New Roman" w:eastAsia="Times New Roman" w:hAnsi="Times New Roman" w:cs="Times New Roman"/>
          <w:bCs/>
        </w:rPr>
        <w:t xml:space="preserve"> </w:t>
      </w:r>
    </w:p>
    <w:p w:rsidR="002871B0" w:rsidRDefault="002871B0" w:rsidP="002871B0">
      <w:pPr>
        <w:widowControl w:val="0"/>
        <w:spacing w:before="120" w:after="120" w:line="240" w:lineRule="auto"/>
        <w:ind w:left="426"/>
        <w:jc w:val="both"/>
        <w:rPr>
          <w:rFonts w:ascii="Times New Roman" w:eastAsia="Calibri" w:hAnsi="Times New Roman" w:cs="Times New Roman"/>
        </w:rPr>
      </w:pPr>
      <w:r>
        <w:rPr>
          <w:rFonts w:ascii="Times New Roman" w:eastAsia="Times New Roman" w:hAnsi="Times New Roman" w:cs="Times New Roman"/>
          <w:bCs/>
        </w:rPr>
        <w:t>-</w:t>
      </w:r>
      <w:r>
        <w:rPr>
          <w:rFonts w:ascii="Times New Roman" w:eastAsia="Times New Roman" w:hAnsi="Times New Roman" w:cs="Times New Roman"/>
          <w:bCs/>
        </w:rPr>
        <w:tab/>
        <w:t>Az alegység, illetve egység szintű katonai logisztikai, valamint katonai gazdálkodási folyamatokban képes önállóan döntéseket hozni, azokat felelősséggel, a jogszabályi keretek figyelembevételével végrehajtani.</w:t>
      </w:r>
    </w:p>
    <w:p w:rsidR="002871B0" w:rsidRDefault="002871B0" w:rsidP="002871B0">
      <w:pPr>
        <w:widowControl w:val="0"/>
        <w:spacing w:before="120" w:after="120" w:line="240" w:lineRule="auto"/>
        <w:ind w:left="426"/>
        <w:jc w:val="both"/>
        <w:rPr>
          <w:rFonts w:ascii="Times New Roman" w:eastAsia="Times New Roman" w:hAnsi="Times New Roman" w:cs="Times New Roman"/>
          <w:b/>
          <w:bCs/>
          <w:lang w:val="en-US"/>
        </w:rPr>
      </w:pPr>
      <w:r>
        <w:rPr>
          <w:rFonts w:ascii="Times New Roman" w:eastAsia="Times New Roman" w:hAnsi="Times New Roman" w:cs="Times New Roman"/>
          <w:b/>
          <w:bCs/>
        </w:rPr>
        <w:t>Elérendő kompetenciák (angolul) (</w:t>
      </w:r>
      <w:r>
        <w:rPr>
          <w:rFonts w:ascii="Times New Roman" w:eastAsia="Times New Roman" w:hAnsi="Times New Roman" w:cs="Times New Roman"/>
          <w:b/>
          <w:bCs/>
          <w:lang w:val="en-US"/>
        </w:rPr>
        <w:t xml:space="preserve">Competences – English): </w:t>
      </w:r>
    </w:p>
    <w:p w:rsidR="002871B0" w:rsidRDefault="002871B0" w:rsidP="002871B0">
      <w:pPr>
        <w:widowControl w:val="0"/>
        <w:spacing w:before="120" w:after="120" w:line="240" w:lineRule="auto"/>
        <w:ind w:left="426"/>
        <w:jc w:val="both"/>
        <w:rPr>
          <w:rFonts w:ascii="Times New Roman" w:eastAsia="Times New Roman" w:hAnsi="Times New Roman" w:cs="Times New Roman"/>
          <w:lang w:val="en-GB"/>
        </w:rPr>
      </w:pPr>
      <w:r>
        <w:rPr>
          <w:rFonts w:ascii="Times New Roman" w:eastAsia="Times New Roman" w:hAnsi="Times New Roman" w:cs="Times New Roman"/>
          <w:b/>
          <w:lang w:val="en-GB"/>
        </w:rPr>
        <w:t>Knowledge</w:t>
      </w:r>
      <w:r>
        <w:rPr>
          <w:rFonts w:ascii="Times New Roman" w:eastAsia="Times New Roman" w:hAnsi="Times New Roman" w:cs="Times New Roman"/>
          <w:lang w:val="en-GB"/>
        </w:rPr>
        <w:t xml:space="preserve">: </w:t>
      </w:r>
    </w:p>
    <w:p w:rsidR="002871B0" w:rsidRDefault="002871B0" w:rsidP="002871B0">
      <w:pPr>
        <w:widowControl w:val="0"/>
        <w:spacing w:before="120" w:after="120" w:line="240" w:lineRule="auto"/>
        <w:ind w:left="426"/>
        <w:jc w:val="both"/>
        <w:rPr>
          <w:rFonts w:ascii="Times New Roman" w:eastAsia="Calibri" w:hAnsi="Times New Roman" w:cs="Times New Roman"/>
        </w:rPr>
      </w:pPr>
      <w:r>
        <w:rPr>
          <w:rFonts w:ascii="Times New Roman" w:eastAsia="Times New Roman" w:hAnsi="Times New Roman" w:cs="Times New Roman"/>
          <w:bCs/>
        </w:rPr>
        <w:t>-</w:t>
      </w:r>
      <w:r>
        <w:rPr>
          <w:rFonts w:ascii="Times New Roman" w:eastAsia="Times New Roman" w:hAnsi="Times New Roman" w:cs="Times New Roman"/>
          <w:bCs/>
        </w:rPr>
        <w:tab/>
        <w:t>Knows the laws of mathematics and mechanics, has basic technical knowledge.</w:t>
      </w:r>
    </w:p>
    <w:p w:rsidR="002871B0" w:rsidRDefault="002871B0" w:rsidP="002871B0">
      <w:pPr>
        <w:widowControl w:val="0"/>
        <w:spacing w:before="120" w:after="120" w:line="240" w:lineRule="auto"/>
        <w:ind w:left="426"/>
        <w:jc w:val="both"/>
        <w:rPr>
          <w:rFonts w:ascii="Times New Roman" w:eastAsia="Times New Roman" w:hAnsi="Times New Roman" w:cs="Times New Roman"/>
          <w:lang w:val="en-GB"/>
        </w:rPr>
      </w:pPr>
      <w:r>
        <w:rPr>
          <w:rFonts w:ascii="Times New Roman" w:eastAsia="Times New Roman" w:hAnsi="Times New Roman" w:cs="Times New Roman"/>
          <w:b/>
          <w:lang w:val="en-GB"/>
        </w:rPr>
        <w:t>Capabilities</w:t>
      </w:r>
      <w:r>
        <w:rPr>
          <w:rFonts w:ascii="Times New Roman" w:eastAsia="Times New Roman" w:hAnsi="Times New Roman" w:cs="Times New Roman"/>
          <w:lang w:val="en-GB"/>
        </w:rPr>
        <w:t xml:space="preserve">: </w:t>
      </w:r>
    </w:p>
    <w:p w:rsidR="002871B0" w:rsidRDefault="002871B0" w:rsidP="002871B0">
      <w:pPr>
        <w:widowControl w:val="0"/>
        <w:spacing w:before="120" w:after="120" w:line="240" w:lineRule="auto"/>
        <w:ind w:left="426"/>
        <w:jc w:val="both"/>
        <w:rPr>
          <w:rFonts w:ascii="Times New Roman" w:eastAsia="Calibri" w:hAnsi="Times New Roman" w:cs="Times New Roman"/>
        </w:rPr>
      </w:pPr>
      <w:r>
        <w:rPr>
          <w:rFonts w:ascii="Times New Roman" w:eastAsia="Times New Roman" w:hAnsi="Times New Roman" w:cs="Times New Roman"/>
          <w:bCs/>
        </w:rPr>
        <w:t>-</w:t>
      </w:r>
      <w:r>
        <w:rPr>
          <w:rFonts w:ascii="Times New Roman" w:eastAsia="Times New Roman" w:hAnsi="Times New Roman" w:cs="Times New Roman"/>
          <w:bCs/>
        </w:rPr>
        <w:tab/>
        <w:t>Able to formulate innovative ideas in their field.</w:t>
      </w:r>
    </w:p>
    <w:p w:rsidR="002871B0" w:rsidRDefault="002871B0" w:rsidP="002871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lang w:val="en-GB"/>
        </w:rPr>
      </w:pPr>
      <w:r>
        <w:rPr>
          <w:rFonts w:ascii="Times New Roman" w:eastAsia="Times New Roman" w:hAnsi="Times New Roman" w:cs="Times New Roman"/>
          <w:b/>
          <w:lang w:val="en-GB"/>
        </w:rPr>
        <w:t>Attitude:</w:t>
      </w:r>
      <w:r>
        <w:rPr>
          <w:rFonts w:ascii="Times New Roman" w:eastAsia="Times New Roman" w:hAnsi="Times New Roman" w:cs="Times New Roman"/>
          <w:lang w:val="en-GB"/>
        </w:rPr>
        <w:t xml:space="preserve"> </w:t>
      </w:r>
    </w:p>
    <w:p w:rsidR="002871B0" w:rsidRDefault="002871B0" w:rsidP="002871B0">
      <w:pPr>
        <w:widowControl w:val="0"/>
        <w:spacing w:before="120" w:after="120" w:line="240" w:lineRule="auto"/>
        <w:ind w:left="426"/>
        <w:jc w:val="both"/>
        <w:rPr>
          <w:rFonts w:ascii="Times New Roman" w:eastAsia="Calibri" w:hAnsi="Times New Roman" w:cs="Times New Roman"/>
        </w:rPr>
      </w:pPr>
      <w:r>
        <w:rPr>
          <w:rFonts w:ascii="Times New Roman" w:eastAsia="Times New Roman" w:hAnsi="Times New Roman" w:cs="Times New Roman"/>
          <w:bCs/>
        </w:rPr>
        <w:t>-</w:t>
      </w:r>
      <w:r>
        <w:rPr>
          <w:rFonts w:ascii="Times New Roman" w:eastAsia="Times New Roman" w:hAnsi="Times New Roman" w:cs="Times New Roman"/>
          <w:bCs/>
        </w:rPr>
        <w:tab/>
        <w:t>Open for the new achievements and innovations of their specialty, seeks to know, understand and apply them, and committed to continuous self-education.</w:t>
      </w:r>
    </w:p>
    <w:p w:rsidR="002871B0" w:rsidRDefault="002871B0" w:rsidP="002871B0">
      <w:pPr>
        <w:widowControl w:val="0"/>
        <w:spacing w:before="120" w:after="120" w:line="240" w:lineRule="auto"/>
        <w:ind w:left="426"/>
        <w:jc w:val="both"/>
        <w:rPr>
          <w:rFonts w:ascii="Times New Roman" w:eastAsia="Times New Roman" w:hAnsi="Times New Roman" w:cs="Times New Roman"/>
          <w:lang w:val="en-GB"/>
        </w:rPr>
      </w:pPr>
      <w:r>
        <w:rPr>
          <w:rFonts w:ascii="Times New Roman" w:eastAsia="Times New Roman" w:hAnsi="Times New Roman" w:cs="Times New Roman"/>
          <w:b/>
          <w:lang w:val="en-GB"/>
        </w:rPr>
        <w:t xml:space="preserve">Autonomy and responsibility: </w:t>
      </w:r>
    </w:p>
    <w:p w:rsidR="002871B0" w:rsidRDefault="002871B0" w:rsidP="002871B0">
      <w:pPr>
        <w:widowControl w:val="0"/>
        <w:spacing w:before="120" w:after="120" w:line="240" w:lineRule="auto"/>
        <w:ind w:left="426"/>
        <w:jc w:val="both"/>
        <w:rPr>
          <w:rFonts w:ascii="Times New Roman" w:eastAsia="Calibri" w:hAnsi="Times New Roman" w:cs="Times New Roman"/>
        </w:rPr>
      </w:pPr>
      <w:r>
        <w:rPr>
          <w:rFonts w:ascii="Times New Roman" w:eastAsia="Times New Roman" w:hAnsi="Times New Roman" w:cs="Times New Roman"/>
          <w:bCs/>
        </w:rPr>
        <w:t>-</w:t>
      </w:r>
      <w:r>
        <w:rPr>
          <w:rFonts w:ascii="Times New Roman" w:eastAsia="Times New Roman" w:hAnsi="Times New Roman" w:cs="Times New Roman"/>
          <w:bCs/>
        </w:rPr>
        <w:tab/>
        <w:t>At the subunit and unit level, it is able to make independent decisions in military logistics and military management processes, making them responsible and within the legal framework.</w:t>
      </w:r>
    </w:p>
    <w:p w:rsidR="002871B0" w:rsidRDefault="002871B0" w:rsidP="00666335">
      <w:pPr>
        <w:widowControl w:val="0"/>
        <w:numPr>
          <w:ilvl w:val="0"/>
          <w:numId w:val="23"/>
        </w:numPr>
        <w:tabs>
          <w:tab w:val="clear" w:pos="720"/>
          <w:tab w:val="num" w:pos="502"/>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Előtanulmányi követelmények: </w:t>
      </w:r>
      <w:r>
        <w:rPr>
          <w:rFonts w:ascii="Times New Roman" w:hAnsi="Times New Roman" w:cs="Times New Roman"/>
        </w:rPr>
        <w:t>nincs</w:t>
      </w:r>
    </w:p>
    <w:p w:rsidR="002871B0" w:rsidRDefault="002871B0" w:rsidP="00666335">
      <w:pPr>
        <w:widowControl w:val="0"/>
        <w:numPr>
          <w:ilvl w:val="0"/>
          <w:numId w:val="23"/>
        </w:numPr>
        <w:tabs>
          <w:tab w:val="clear" w:pos="720"/>
          <w:tab w:val="num" w:pos="502"/>
        </w:tabs>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A tantárgy tananyagának leírása, tematika. Description of the subject, curriculum (magyarul, angolul - English):</w:t>
      </w:r>
    </w:p>
    <w:p w:rsidR="002871B0" w:rsidRDefault="002871B0" w:rsidP="00666335">
      <w:pPr>
        <w:widowControl w:val="0"/>
        <w:numPr>
          <w:ilvl w:val="1"/>
          <w:numId w:val="23"/>
        </w:numPr>
        <w:tabs>
          <w:tab w:val="left" w:pos="709"/>
          <w:tab w:val="left" w:pos="993"/>
        </w:tabs>
        <w:spacing w:after="0" w:line="240" w:lineRule="auto"/>
        <w:ind w:left="425" w:firstLine="0"/>
        <w:jc w:val="both"/>
        <w:rPr>
          <w:rFonts w:ascii="Times New Roman" w:eastAsia="Times New Roman" w:hAnsi="Times New Roman" w:cs="Times New Roman"/>
          <w:b/>
        </w:rPr>
      </w:pPr>
      <w:r>
        <w:rPr>
          <w:rFonts w:ascii="Times New Roman" w:eastAsia="Times New Roman" w:hAnsi="Times New Roman" w:cs="Times New Roman"/>
          <w:bCs/>
          <w:lang w:val="en-GB"/>
        </w:rPr>
        <w:t>Nevezetes azonosságok. (</w:t>
      </w:r>
      <w:r>
        <w:rPr>
          <w:rFonts w:ascii="Times New Roman" w:eastAsia="Times New Roman" w:hAnsi="Times New Roman" w:cs="Times New Roman"/>
          <w:bCs/>
          <w:i/>
          <w:lang w:val="en-GB"/>
        </w:rPr>
        <w:t>Algebraic identities.</w:t>
      </w:r>
      <w:r>
        <w:rPr>
          <w:rFonts w:ascii="Times New Roman" w:eastAsia="Times New Roman" w:hAnsi="Times New Roman" w:cs="Times New Roman"/>
          <w:bCs/>
          <w:lang w:val="en-GB"/>
        </w:rPr>
        <w:t>)</w:t>
      </w:r>
    </w:p>
    <w:p w:rsidR="002871B0" w:rsidRDefault="002871B0" w:rsidP="00666335">
      <w:pPr>
        <w:widowControl w:val="0"/>
        <w:numPr>
          <w:ilvl w:val="1"/>
          <w:numId w:val="23"/>
        </w:numPr>
        <w:tabs>
          <w:tab w:val="left" w:pos="709"/>
          <w:tab w:val="left" w:pos="993"/>
        </w:tabs>
        <w:spacing w:after="0" w:line="240" w:lineRule="auto"/>
        <w:ind w:left="425" w:firstLine="0"/>
        <w:jc w:val="both"/>
        <w:rPr>
          <w:rFonts w:ascii="Times New Roman" w:eastAsia="Times New Roman" w:hAnsi="Times New Roman" w:cs="Times New Roman"/>
          <w:b/>
        </w:rPr>
      </w:pPr>
      <w:r>
        <w:rPr>
          <w:rFonts w:ascii="Times New Roman" w:eastAsia="Times New Roman" w:hAnsi="Times New Roman" w:cs="Times New Roman"/>
          <w:bCs/>
          <w:lang w:val="en-GB"/>
        </w:rPr>
        <w:t>Hatványozás azonosságai, negatív kitevők, gyökvonás azonosságai, racionális kitevők. (</w:t>
      </w:r>
      <w:r>
        <w:rPr>
          <w:rFonts w:ascii="Times New Roman" w:eastAsia="Times New Roman" w:hAnsi="Times New Roman" w:cs="Times New Roman"/>
          <w:bCs/>
          <w:i/>
          <w:lang w:val="en-GB"/>
        </w:rPr>
        <w:t>Identiteis of exponents and radicals, negative and rational exponents.</w:t>
      </w:r>
      <w:r>
        <w:rPr>
          <w:rFonts w:ascii="Times New Roman" w:eastAsia="Times New Roman" w:hAnsi="Times New Roman" w:cs="Times New Roman"/>
          <w:bCs/>
          <w:lang w:val="en-GB"/>
        </w:rPr>
        <w:t>)</w:t>
      </w:r>
    </w:p>
    <w:p w:rsidR="002871B0" w:rsidRDefault="002871B0" w:rsidP="00666335">
      <w:pPr>
        <w:widowControl w:val="0"/>
        <w:numPr>
          <w:ilvl w:val="1"/>
          <w:numId w:val="23"/>
        </w:numPr>
        <w:tabs>
          <w:tab w:val="left" w:pos="709"/>
          <w:tab w:val="left" w:pos="993"/>
        </w:tabs>
        <w:spacing w:after="0" w:line="240" w:lineRule="auto"/>
        <w:ind w:left="425" w:firstLine="0"/>
        <w:jc w:val="both"/>
        <w:rPr>
          <w:rFonts w:ascii="Times New Roman" w:eastAsia="Times New Roman" w:hAnsi="Times New Roman" w:cs="Times New Roman"/>
          <w:b/>
        </w:rPr>
      </w:pPr>
      <w:r>
        <w:rPr>
          <w:rFonts w:ascii="Times New Roman" w:eastAsia="Times New Roman" w:hAnsi="Times New Roman" w:cs="Times New Roman"/>
          <w:bCs/>
          <w:lang w:val="en-GB"/>
        </w:rPr>
        <w:t>Abszolútérték kezelése, egyenletek és egyenlőtlenségek. (</w:t>
      </w:r>
      <w:r>
        <w:rPr>
          <w:rFonts w:ascii="Times New Roman" w:eastAsia="Times New Roman" w:hAnsi="Times New Roman" w:cs="Times New Roman"/>
          <w:bCs/>
          <w:i/>
          <w:lang w:val="en-GB"/>
        </w:rPr>
        <w:t>Absolute value function, equations and inequalities.</w:t>
      </w:r>
      <w:r>
        <w:rPr>
          <w:rFonts w:ascii="Times New Roman" w:eastAsia="Times New Roman" w:hAnsi="Times New Roman" w:cs="Times New Roman"/>
          <w:bCs/>
          <w:lang w:val="en-GB"/>
        </w:rPr>
        <w:t>)</w:t>
      </w:r>
    </w:p>
    <w:p w:rsidR="002871B0" w:rsidRDefault="002871B0" w:rsidP="00666335">
      <w:pPr>
        <w:widowControl w:val="0"/>
        <w:numPr>
          <w:ilvl w:val="1"/>
          <w:numId w:val="23"/>
        </w:numPr>
        <w:tabs>
          <w:tab w:val="left" w:pos="709"/>
          <w:tab w:val="left" w:pos="993"/>
        </w:tabs>
        <w:spacing w:after="0" w:line="240" w:lineRule="auto"/>
        <w:ind w:left="425" w:firstLine="0"/>
        <w:jc w:val="both"/>
        <w:rPr>
          <w:rFonts w:ascii="Times New Roman" w:eastAsia="Times New Roman" w:hAnsi="Times New Roman" w:cs="Times New Roman"/>
          <w:b/>
        </w:rPr>
      </w:pPr>
      <w:r>
        <w:rPr>
          <w:rFonts w:ascii="Times New Roman" w:eastAsia="Times New Roman" w:hAnsi="Times New Roman" w:cs="Times New Roman"/>
          <w:bCs/>
          <w:lang w:val="en-GB"/>
        </w:rPr>
        <w:t>Másodfokú egyenlet, megoldóképlet, gyöktényezős alak. (</w:t>
      </w:r>
      <w:r>
        <w:rPr>
          <w:rFonts w:ascii="Times New Roman" w:eastAsia="Times New Roman" w:hAnsi="Times New Roman" w:cs="Times New Roman"/>
          <w:bCs/>
          <w:i/>
          <w:lang w:val="en-GB"/>
        </w:rPr>
        <w:t>Quadratic equations.</w:t>
      </w:r>
      <w:r>
        <w:rPr>
          <w:rFonts w:ascii="Times New Roman" w:eastAsia="Times New Roman" w:hAnsi="Times New Roman" w:cs="Times New Roman"/>
          <w:bCs/>
          <w:lang w:val="en-GB"/>
        </w:rPr>
        <w:t>)</w:t>
      </w:r>
    </w:p>
    <w:p w:rsidR="002871B0" w:rsidRDefault="002871B0" w:rsidP="00666335">
      <w:pPr>
        <w:widowControl w:val="0"/>
        <w:numPr>
          <w:ilvl w:val="1"/>
          <w:numId w:val="23"/>
        </w:numPr>
        <w:tabs>
          <w:tab w:val="left" w:pos="709"/>
          <w:tab w:val="left" w:pos="993"/>
        </w:tabs>
        <w:spacing w:after="0" w:line="240" w:lineRule="auto"/>
        <w:ind w:left="425" w:firstLine="0"/>
        <w:jc w:val="both"/>
        <w:rPr>
          <w:rFonts w:ascii="Times New Roman" w:eastAsia="Times New Roman" w:hAnsi="Times New Roman" w:cs="Times New Roman"/>
          <w:b/>
        </w:rPr>
      </w:pPr>
      <w:r>
        <w:rPr>
          <w:rFonts w:ascii="Times New Roman" w:eastAsia="Times New Roman" w:hAnsi="Times New Roman" w:cs="Times New Roman"/>
          <w:bCs/>
          <w:lang w:val="en-GB"/>
        </w:rPr>
        <w:t>Egyenletek, egyenletrendszerek, egyenlőtlenségek, egyenlőtlenség rendszerek megoldása. (</w:t>
      </w:r>
      <w:r>
        <w:rPr>
          <w:rFonts w:ascii="Times New Roman" w:eastAsia="Times New Roman" w:hAnsi="Times New Roman" w:cs="Times New Roman"/>
          <w:bCs/>
          <w:i/>
          <w:lang w:val="en-GB"/>
        </w:rPr>
        <w:t>Solving basic equations, systems of equations, inequalities, and systems of inequalities.</w:t>
      </w:r>
      <w:r>
        <w:rPr>
          <w:rFonts w:ascii="Times New Roman" w:eastAsia="Times New Roman" w:hAnsi="Times New Roman" w:cs="Times New Roman"/>
          <w:bCs/>
          <w:lang w:val="en-GB"/>
        </w:rPr>
        <w:t>)</w:t>
      </w:r>
    </w:p>
    <w:p w:rsidR="002871B0" w:rsidRDefault="002871B0" w:rsidP="00666335">
      <w:pPr>
        <w:widowControl w:val="0"/>
        <w:numPr>
          <w:ilvl w:val="1"/>
          <w:numId w:val="23"/>
        </w:numPr>
        <w:tabs>
          <w:tab w:val="left" w:pos="709"/>
          <w:tab w:val="left" w:pos="993"/>
        </w:tabs>
        <w:spacing w:after="0" w:line="240" w:lineRule="auto"/>
        <w:ind w:left="425" w:firstLine="0"/>
        <w:jc w:val="both"/>
        <w:rPr>
          <w:rFonts w:ascii="Times New Roman" w:eastAsia="Times New Roman" w:hAnsi="Times New Roman" w:cs="Times New Roman"/>
          <w:b/>
        </w:rPr>
      </w:pPr>
      <w:r>
        <w:rPr>
          <w:rFonts w:ascii="Times New Roman" w:eastAsia="Times New Roman" w:hAnsi="Times New Roman" w:cs="Times New Roman"/>
          <w:bCs/>
          <w:lang w:val="en-GB"/>
        </w:rPr>
        <w:t>Racionális törtfüggvények előjelének vizsgálata gyöktényezős alakban. (</w:t>
      </w:r>
      <w:r>
        <w:rPr>
          <w:rFonts w:ascii="Times New Roman" w:eastAsia="Times New Roman" w:hAnsi="Times New Roman" w:cs="Times New Roman"/>
          <w:bCs/>
          <w:i/>
          <w:lang w:val="en-GB"/>
        </w:rPr>
        <w:t>Determining the signs of rational functions.</w:t>
      </w:r>
      <w:r>
        <w:rPr>
          <w:rFonts w:ascii="Times New Roman" w:eastAsia="Times New Roman" w:hAnsi="Times New Roman" w:cs="Times New Roman"/>
          <w:bCs/>
          <w:lang w:val="en-GB"/>
        </w:rPr>
        <w:t>)</w:t>
      </w:r>
    </w:p>
    <w:p w:rsidR="002871B0" w:rsidRDefault="002871B0" w:rsidP="00666335">
      <w:pPr>
        <w:widowControl w:val="0"/>
        <w:numPr>
          <w:ilvl w:val="1"/>
          <w:numId w:val="23"/>
        </w:numPr>
        <w:tabs>
          <w:tab w:val="left" w:pos="709"/>
          <w:tab w:val="left" w:pos="993"/>
        </w:tabs>
        <w:spacing w:after="0" w:line="240" w:lineRule="auto"/>
        <w:ind w:left="425" w:firstLine="0"/>
        <w:jc w:val="both"/>
        <w:rPr>
          <w:rFonts w:ascii="Times New Roman" w:eastAsia="Times New Roman" w:hAnsi="Times New Roman" w:cs="Times New Roman"/>
          <w:b/>
        </w:rPr>
      </w:pPr>
      <w:r>
        <w:rPr>
          <w:rFonts w:ascii="Times New Roman" w:eastAsia="Times New Roman" w:hAnsi="Times New Roman" w:cs="Times New Roman"/>
          <w:bCs/>
          <w:lang w:val="en-GB"/>
        </w:rPr>
        <w:t>Exponenciális és logaritmus függvények, tulajdonságok, azonosságok. (</w:t>
      </w:r>
      <w:r>
        <w:rPr>
          <w:rFonts w:ascii="Times New Roman" w:eastAsia="Times New Roman" w:hAnsi="Times New Roman" w:cs="Times New Roman"/>
          <w:bCs/>
          <w:i/>
          <w:lang w:val="en-GB"/>
        </w:rPr>
        <w:t>Exponential and logarithmic functions, properties and identities.</w:t>
      </w:r>
      <w:r>
        <w:rPr>
          <w:rFonts w:ascii="Times New Roman" w:eastAsia="Times New Roman" w:hAnsi="Times New Roman" w:cs="Times New Roman"/>
          <w:bCs/>
          <w:lang w:val="en-GB"/>
        </w:rPr>
        <w:t>)</w:t>
      </w:r>
    </w:p>
    <w:p w:rsidR="002871B0" w:rsidRDefault="002871B0" w:rsidP="00666335">
      <w:pPr>
        <w:widowControl w:val="0"/>
        <w:numPr>
          <w:ilvl w:val="1"/>
          <w:numId w:val="23"/>
        </w:numPr>
        <w:tabs>
          <w:tab w:val="left" w:pos="709"/>
          <w:tab w:val="left" w:pos="993"/>
        </w:tabs>
        <w:spacing w:after="0" w:line="240" w:lineRule="auto"/>
        <w:ind w:left="425" w:firstLine="0"/>
        <w:jc w:val="both"/>
        <w:rPr>
          <w:rFonts w:ascii="Times New Roman" w:eastAsia="Times New Roman" w:hAnsi="Times New Roman" w:cs="Times New Roman"/>
          <w:b/>
        </w:rPr>
      </w:pPr>
      <w:r>
        <w:rPr>
          <w:rFonts w:ascii="Times New Roman" w:eastAsia="Times New Roman" w:hAnsi="Times New Roman" w:cs="Times New Roman"/>
          <w:bCs/>
          <w:lang w:val="en-GB"/>
        </w:rPr>
        <w:t>Exponenciális és logaritmikus egyenletek és egyenlőtlenségek. (</w:t>
      </w:r>
      <w:r>
        <w:rPr>
          <w:rFonts w:ascii="Times New Roman" w:eastAsia="Times New Roman" w:hAnsi="Times New Roman" w:cs="Times New Roman"/>
          <w:bCs/>
          <w:i/>
          <w:lang w:val="en-GB"/>
        </w:rPr>
        <w:t>Exponential and logarithmic equations and inequalities.</w:t>
      </w:r>
      <w:r>
        <w:rPr>
          <w:rFonts w:ascii="Times New Roman" w:eastAsia="Times New Roman" w:hAnsi="Times New Roman" w:cs="Times New Roman"/>
          <w:bCs/>
          <w:lang w:val="en-GB"/>
        </w:rPr>
        <w:t>)</w:t>
      </w:r>
    </w:p>
    <w:p w:rsidR="002871B0" w:rsidRDefault="002871B0" w:rsidP="00666335">
      <w:pPr>
        <w:widowControl w:val="0"/>
        <w:numPr>
          <w:ilvl w:val="1"/>
          <w:numId w:val="23"/>
        </w:numPr>
        <w:tabs>
          <w:tab w:val="left" w:pos="709"/>
          <w:tab w:val="left" w:pos="993"/>
        </w:tabs>
        <w:spacing w:after="0" w:line="240" w:lineRule="auto"/>
        <w:ind w:left="425" w:firstLine="0"/>
        <w:jc w:val="both"/>
        <w:rPr>
          <w:rFonts w:ascii="Times New Roman" w:eastAsia="Times New Roman" w:hAnsi="Times New Roman" w:cs="Times New Roman"/>
          <w:b/>
        </w:rPr>
      </w:pPr>
      <w:r>
        <w:rPr>
          <w:rFonts w:ascii="Times New Roman" w:eastAsia="Times New Roman" w:hAnsi="Times New Roman" w:cs="Times New Roman"/>
          <w:bCs/>
          <w:lang w:val="en-GB"/>
        </w:rPr>
        <w:t>Polinomosztás.  Résztörtekre bontás (alapgondolatok). (</w:t>
      </w:r>
      <w:r>
        <w:rPr>
          <w:rFonts w:ascii="Times New Roman" w:eastAsia="Times New Roman" w:hAnsi="Times New Roman" w:cs="Times New Roman"/>
          <w:bCs/>
          <w:i/>
          <w:lang w:val="en-GB"/>
        </w:rPr>
        <w:t>Polinomial division.  Partial fraction expansion of a rational function, basic ideas.</w:t>
      </w:r>
      <w:r>
        <w:rPr>
          <w:rFonts w:ascii="Times New Roman" w:eastAsia="Times New Roman" w:hAnsi="Times New Roman" w:cs="Times New Roman"/>
          <w:bCs/>
          <w:lang w:val="en-GB"/>
        </w:rPr>
        <w:t>)</w:t>
      </w:r>
    </w:p>
    <w:p w:rsidR="002871B0" w:rsidRDefault="002871B0" w:rsidP="00666335">
      <w:pPr>
        <w:widowControl w:val="0"/>
        <w:numPr>
          <w:ilvl w:val="1"/>
          <w:numId w:val="23"/>
        </w:numPr>
        <w:tabs>
          <w:tab w:val="left" w:pos="709"/>
          <w:tab w:val="left" w:pos="993"/>
        </w:tabs>
        <w:spacing w:after="0" w:line="240" w:lineRule="auto"/>
        <w:ind w:left="425" w:firstLine="0"/>
        <w:jc w:val="both"/>
        <w:rPr>
          <w:rFonts w:ascii="Times New Roman" w:eastAsia="Times New Roman" w:hAnsi="Times New Roman" w:cs="Times New Roman"/>
          <w:b/>
        </w:rPr>
      </w:pPr>
      <w:r>
        <w:rPr>
          <w:rFonts w:ascii="Times New Roman" w:eastAsia="Times New Roman" w:hAnsi="Times New Roman" w:cs="Times New Roman"/>
          <w:bCs/>
          <w:lang w:val="en-GB"/>
        </w:rPr>
        <w:t>A geometria alapjai (fogalmak, jelölések, néhány nevezetes tétel). (</w:t>
      </w:r>
      <w:r>
        <w:rPr>
          <w:rFonts w:ascii="Times New Roman" w:eastAsia="Times New Roman" w:hAnsi="Times New Roman" w:cs="Times New Roman"/>
          <w:bCs/>
          <w:i/>
          <w:lang w:val="en-GB"/>
        </w:rPr>
        <w:t>Basics of geometry, concepts, notations, some important theorems.</w:t>
      </w:r>
      <w:r>
        <w:rPr>
          <w:rFonts w:ascii="Times New Roman" w:eastAsia="Times New Roman" w:hAnsi="Times New Roman" w:cs="Times New Roman"/>
          <w:bCs/>
          <w:lang w:val="en-GB"/>
        </w:rPr>
        <w:t>)</w:t>
      </w:r>
    </w:p>
    <w:p w:rsidR="002871B0" w:rsidRDefault="002871B0" w:rsidP="00666335">
      <w:pPr>
        <w:widowControl w:val="0"/>
        <w:numPr>
          <w:ilvl w:val="1"/>
          <w:numId w:val="23"/>
        </w:numPr>
        <w:tabs>
          <w:tab w:val="left" w:pos="709"/>
          <w:tab w:val="left" w:pos="993"/>
        </w:tabs>
        <w:spacing w:after="0" w:line="240" w:lineRule="auto"/>
        <w:ind w:left="425" w:firstLine="0"/>
        <w:jc w:val="both"/>
        <w:rPr>
          <w:rFonts w:ascii="Times New Roman" w:eastAsia="Times New Roman" w:hAnsi="Times New Roman" w:cs="Times New Roman"/>
          <w:b/>
        </w:rPr>
      </w:pPr>
      <w:r>
        <w:rPr>
          <w:rFonts w:ascii="Times New Roman" w:eastAsia="Times New Roman" w:hAnsi="Times New Roman" w:cs="Times New Roman"/>
          <w:bCs/>
          <w:lang w:val="en-GB"/>
        </w:rPr>
        <w:t>Trigonometria, azonosságok. (</w:t>
      </w:r>
      <w:r>
        <w:rPr>
          <w:rFonts w:ascii="Times New Roman" w:eastAsia="Times New Roman" w:hAnsi="Times New Roman" w:cs="Times New Roman"/>
          <w:bCs/>
          <w:i/>
          <w:lang w:val="en-GB"/>
        </w:rPr>
        <w:t>Trigonometry and trigonometric identities.</w:t>
      </w:r>
      <w:r>
        <w:rPr>
          <w:rFonts w:ascii="Times New Roman" w:eastAsia="Times New Roman" w:hAnsi="Times New Roman" w:cs="Times New Roman"/>
          <w:bCs/>
          <w:lang w:val="en-GB"/>
        </w:rPr>
        <w:t>)</w:t>
      </w:r>
    </w:p>
    <w:p w:rsidR="002871B0" w:rsidRDefault="002871B0" w:rsidP="00666335">
      <w:pPr>
        <w:widowControl w:val="0"/>
        <w:numPr>
          <w:ilvl w:val="1"/>
          <w:numId w:val="23"/>
        </w:numPr>
        <w:tabs>
          <w:tab w:val="left" w:pos="709"/>
          <w:tab w:val="left" w:pos="993"/>
        </w:tabs>
        <w:spacing w:after="0" w:line="240" w:lineRule="auto"/>
        <w:ind w:left="425" w:firstLine="0"/>
        <w:jc w:val="both"/>
        <w:rPr>
          <w:rFonts w:ascii="Times New Roman" w:eastAsia="Times New Roman" w:hAnsi="Times New Roman" w:cs="Times New Roman"/>
          <w:b/>
        </w:rPr>
      </w:pPr>
      <w:r>
        <w:rPr>
          <w:rFonts w:ascii="Times New Roman" w:eastAsia="Times New Roman" w:hAnsi="Times New Roman" w:cs="Times New Roman"/>
          <w:bCs/>
          <w:lang w:val="en-GB"/>
        </w:rPr>
        <w:t>Koordinátageometria. (</w:t>
      </w:r>
      <w:r>
        <w:rPr>
          <w:rFonts w:ascii="Times New Roman" w:eastAsia="Times New Roman" w:hAnsi="Times New Roman" w:cs="Times New Roman"/>
          <w:bCs/>
          <w:i/>
          <w:lang w:val="en-GB"/>
        </w:rPr>
        <w:t>Coordinate geometry.</w:t>
      </w:r>
      <w:r>
        <w:rPr>
          <w:rFonts w:ascii="Times New Roman" w:eastAsia="Times New Roman" w:hAnsi="Times New Roman" w:cs="Times New Roman"/>
          <w:bCs/>
          <w:lang w:val="en-GB"/>
        </w:rPr>
        <w:t>)</w:t>
      </w:r>
    </w:p>
    <w:p w:rsidR="002871B0" w:rsidRDefault="002871B0" w:rsidP="00666335">
      <w:pPr>
        <w:widowControl w:val="0"/>
        <w:numPr>
          <w:ilvl w:val="0"/>
          <w:numId w:val="23"/>
        </w:numPr>
        <w:tabs>
          <w:tab w:val="clear" w:pos="720"/>
          <w:tab w:val="num" w:pos="360"/>
          <w:tab w:val="num" w:pos="502"/>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 tantárgy meghirdetésének gyakorisága/a tantervben történő félévi elhelyezkedése: </w:t>
      </w:r>
      <w:r>
        <w:rPr>
          <w:rFonts w:ascii="Times New Roman" w:eastAsia="Times New Roman" w:hAnsi="Times New Roman" w:cs="Times New Roman"/>
          <w:b/>
          <w:bCs/>
        </w:rPr>
        <w:br/>
      </w:r>
      <w:r>
        <w:rPr>
          <w:rFonts w:ascii="Times New Roman" w:hAnsi="Times New Roman" w:cs="Times New Roman"/>
        </w:rPr>
        <w:t>évente / 1. félév</w:t>
      </w:r>
    </w:p>
    <w:p w:rsidR="002871B0" w:rsidRDefault="002871B0" w:rsidP="00666335">
      <w:pPr>
        <w:widowControl w:val="0"/>
        <w:numPr>
          <w:ilvl w:val="0"/>
          <w:numId w:val="23"/>
        </w:numPr>
        <w:tabs>
          <w:tab w:val="clear" w:pos="720"/>
          <w:tab w:val="num" w:pos="502"/>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tanórákon való részvétel követelményei, az elfogadható hiányzások mértéke, a távolmaradás pótlásának lehetősége:</w:t>
      </w:r>
      <w:r>
        <w:rPr>
          <w:rFonts w:ascii="Times New Roman" w:eastAsia="Times New Roman" w:hAnsi="Times New Roman" w:cs="Times New Roman"/>
          <w:bCs/>
        </w:rPr>
        <w:t xml:space="preserve"> A tantárgy teljesítéséhez a tanórák legalább 70%-án jelen kell lennie a hallgatónak. Az ezt meghaladó mértékű hiányzás a féléves aláírás megtagadását </w:t>
      </w:r>
      <w:r>
        <w:rPr>
          <w:rFonts w:ascii="Times New Roman" w:eastAsia="Times New Roman" w:hAnsi="Times New Roman" w:cs="Times New Roman"/>
          <w:bCs/>
        </w:rPr>
        <w:lastRenderedPageBreak/>
        <w:t>vonja maga után. A távollétet a hiányzást követő első foglalkozáson kell igazolnia. A hallgató köteles a mulasztott tanóra anyagát beszerezni, abból önállóan felkészülni.</w:t>
      </w:r>
    </w:p>
    <w:p w:rsidR="002871B0" w:rsidRDefault="002871B0" w:rsidP="00666335">
      <w:pPr>
        <w:widowControl w:val="0"/>
        <w:numPr>
          <w:ilvl w:val="0"/>
          <w:numId w:val="23"/>
        </w:numPr>
        <w:tabs>
          <w:tab w:val="clear" w:pos="720"/>
          <w:tab w:val="num" w:pos="502"/>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rPr>
        <w:t>Félévközi feladatok, ismeretek ellenőrzésének rendje:</w:t>
      </w:r>
      <w:r>
        <w:rPr>
          <w:rFonts w:ascii="Times New Roman" w:eastAsia="Times New Roman" w:hAnsi="Times New Roman" w:cs="Times New Roman"/>
          <w:bCs/>
        </w:rPr>
        <w:t xml:space="preserve"> </w:t>
      </w:r>
    </w:p>
    <w:p w:rsidR="002871B0" w:rsidRDefault="002871B0" w:rsidP="002871B0">
      <w:pPr>
        <w:widowControl w:val="0"/>
        <w:spacing w:after="0" w:line="240" w:lineRule="auto"/>
        <w:ind w:left="425"/>
        <w:jc w:val="both"/>
        <w:rPr>
          <w:rFonts w:ascii="Times New Roman" w:eastAsia="Times New Roman" w:hAnsi="Times New Roman" w:cs="Times New Roman"/>
        </w:rPr>
      </w:pPr>
      <w:r>
        <w:rPr>
          <w:rFonts w:ascii="Times New Roman" w:eastAsia="Times New Roman" w:hAnsi="Times New Roman" w:cs="Times New Roman"/>
          <w:bCs/>
        </w:rPr>
        <w:t>A számonkérés a félév során egy zárthelyi dolgozat keretében történik.</w:t>
      </w:r>
    </w:p>
    <w:p w:rsidR="002871B0" w:rsidRDefault="002871B0" w:rsidP="002871B0">
      <w:pPr>
        <w:widowControl w:val="0"/>
        <w:spacing w:after="0" w:line="240" w:lineRule="auto"/>
        <w:ind w:left="425"/>
        <w:jc w:val="both"/>
        <w:rPr>
          <w:rFonts w:ascii="Times New Roman" w:eastAsia="Times New Roman" w:hAnsi="Times New Roman" w:cs="Times New Roman"/>
        </w:rPr>
      </w:pPr>
      <w:r>
        <w:rPr>
          <w:rFonts w:ascii="Times New Roman" w:eastAsia="Times New Roman" w:hAnsi="Times New Roman" w:cs="Times New Roman"/>
          <w:bCs/>
        </w:rPr>
        <w:t>A dolgozat pótlására, javítására egyszer van lehetőség egy pótdolgozat keretében.</w:t>
      </w:r>
    </w:p>
    <w:p w:rsidR="002871B0" w:rsidRDefault="002871B0" w:rsidP="002871B0">
      <w:pPr>
        <w:widowControl w:val="0"/>
        <w:spacing w:after="0" w:line="240" w:lineRule="auto"/>
        <w:ind w:left="425"/>
        <w:jc w:val="both"/>
        <w:rPr>
          <w:rFonts w:ascii="Times New Roman" w:eastAsia="Times New Roman" w:hAnsi="Times New Roman" w:cs="Times New Roman"/>
        </w:rPr>
      </w:pPr>
      <w:r>
        <w:rPr>
          <w:rFonts w:ascii="Times New Roman" w:eastAsia="Times New Roman" w:hAnsi="Times New Roman" w:cs="Times New Roman"/>
        </w:rPr>
        <w:t>Az érdemjegy megszerzéséhez a zárthelyi dolgozat pontszámának vagy a pótdolgozat pontszámának több mint 50%-a szükséges. Az elégséges érdemjegyhez a zárthelyi dolgozat pontszámának 51-60% szükséges, közepeshez 61-75%, jóhoz 76-90%, jeleshez 91-100%.</w:t>
      </w:r>
    </w:p>
    <w:p w:rsidR="002871B0" w:rsidRDefault="002871B0" w:rsidP="00666335">
      <w:pPr>
        <w:widowControl w:val="0"/>
        <w:numPr>
          <w:ilvl w:val="0"/>
          <w:numId w:val="23"/>
        </w:numPr>
        <w:tabs>
          <w:tab w:val="clear" w:pos="720"/>
          <w:tab w:val="num" w:pos="502"/>
        </w:tabs>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Az értékelés, az aláírás és a kreditek megszerzésének pontos feltételei: </w:t>
      </w:r>
    </w:p>
    <w:p w:rsidR="002871B0" w:rsidRDefault="002871B0" w:rsidP="00666335">
      <w:pPr>
        <w:widowControl w:val="0"/>
        <w:numPr>
          <w:ilvl w:val="1"/>
          <w:numId w:val="23"/>
        </w:numPr>
        <w:tabs>
          <w:tab w:val="left" w:pos="709"/>
          <w:tab w:val="left" w:pos="993"/>
        </w:tabs>
        <w:spacing w:before="120" w:after="120" w:line="240" w:lineRule="auto"/>
        <w:ind w:left="425" w:firstLine="0"/>
        <w:jc w:val="both"/>
        <w:rPr>
          <w:rFonts w:ascii="Times New Roman" w:eastAsia="Times New Roman" w:hAnsi="Times New Roman" w:cs="Times New Roman"/>
        </w:rPr>
      </w:pPr>
      <w:r>
        <w:rPr>
          <w:rFonts w:ascii="Times New Roman" w:eastAsia="Times New Roman" w:hAnsi="Times New Roman" w:cs="Times New Roman"/>
          <w:b/>
        </w:rPr>
        <w:t>Az aláírás megszerzésének feltételei:</w:t>
      </w:r>
      <w:r>
        <w:rPr>
          <w:rFonts w:ascii="Times New Roman" w:eastAsia="Times New Roman" w:hAnsi="Times New Roman" w:cs="Times New Roman"/>
        </w:rPr>
        <w:t xml:space="preserve"> Az aláírás megszerzésének feltétele a 14. pontban meghatározott arányú részvétel a foglalkozásokon valamint a 15. pontban meghatározott félévközi feladatok legalább elégséges teljesítése.</w:t>
      </w:r>
    </w:p>
    <w:p w:rsidR="002871B0" w:rsidRDefault="002871B0" w:rsidP="00666335">
      <w:pPr>
        <w:widowControl w:val="0"/>
        <w:numPr>
          <w:ilvl w:val="1"/>
          <w:numId w:val="23"/>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Az értékelés:</w:t>
      </w:r>
      <w:r>
        <w:rPr>
          <w:rFonts w:ascii="Times New Roman" w:eastAsia="Times New Roman" w:hAnsi="Times New Roman" w:cs="Times New Roman"/>
        </w:rPr>
        <w:t xml:space="preserve"> gyakorlati jegy</w:t>
      </w:r>
    </w:p>
    <w:p w:rsidR="002871B0" w:rsidRDefault="002871B0" w:rsidP="00666335">
      <w:pPr>
        <w:widowControl w:val="0"/>
        <w:numPr>
          <w:ilvl w:val="1"/>
          <w:numId w:val="23"/>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 kreditek megszerzésének feltételei:</w:t>
      </w:r>
      <w:r>
        <w:rPr>
          <w:rFonts w:ascii="Times New Roman" w:eastAsia="Times New Roman" w:hAnsi="Times New Roman" w:cs="Times New Roman"/>
        </w:rPr>
        <w:t xml:space="preserve"> A kreditek megszerzésének feltétele az aláírás megszerzése és legalább elégséges érdemjegy.</w:t>
      </w:r>
    </w:p>
    <w:p w:rsidR="002871B0" w:rsidRDefault="002871B0" w:rsidP="00666335">
      <w:pPr>
        <w:widowControl w:val="0"/>
        <w:numPr>
          <w:ilvl w:val="0"/>
          <w:numId w:val="23"/>
        </w:numPr>
        <w:tabs>
          <w:tab w:val="clear" w:pos="720"/>
          <w:tab w:val="num" w:pos="360"/>
          <w:tab w:val="num" w:pos="502"/>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Irodalomjegyzék:</w:t>
      </w:r>
    </w:p>
    <w:p w:rsidR="002871B0" w:rsidRDefault="002871B0" w:rsidP="00666335">
      <w:pPr>
        <w:widowControl w:val="0"/>
        <w:numPr>
          <w:ilvl w:val="1"/>
          <w:numId w:val="23"/>
        </w:numPr>
        <w:tabs>
          <w:tab w:val="left" w:pos="567"/>
          <w:tab w:val="left" w:pos="851"/>
          <w:tab w:val="num" w:pos="2069"/>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Kötelező irodalom:</w:t>
      </w:r>
    </w:p>
    <w:p w:rsidR="002871B0" w:rsidRDefault="002871B0" w:rsidP="008B31E6">
      <w:pPr>
        <w:widowControl w:val="0"/>
        <w:numPr>
          <w:ilvl w:val="0"/>
          <w:numId w:val="18"/>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Obádovics J. Gyula: Matematika. Scolar Kiadó. 2019. ISBN: 9789632449791</w:t>
      </w:r>
    </w:p>
    <w:p w:rsidR="002871B0" w:rsidRDefault="002871B0" w:rsidP="008B31E6">
      <w:pPr>
        <w:widowControl w:val="0"/>
        <w:numPr>
          <w:ilvl w:val="0"/>
          <w:numId w:val="18"/>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Reiman István: Matematika. Műszaki Kiadó, 2011. ISBN: 9789632793009</w:t>
      </w:r>
    </w:p>
    <w:p w:rsidR="002871B0" w:rsidRDefault="002871B0" w:rsidP="008B31E6">
      <w:pPr>
        <w:widowControl w:val="0"/>
        <w:numPr>
          <w:ilvl w:val="0"/>
          <w:numId w:val="18"/>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Obádovics J. Gyula: Felsőbb Matematikai Feladatgyűjtemény. Scolar Kiadó, 2011. ISBN: 9789632443072</w:t>
      </w:r>
    </w:p>
    <w:p w:rsidR="002871B0" w:rsidRDefault="002871B0" w:rsidP="00666335">
      <w:pPr>
        <w:widowControl w:val="0"/>
        <w:numPr>
          <w:ilvl w:val="1"/>
          <w:numId w:val="23"/>
        </w:numPr>
        <w:tabs>
          <w:tab w:val="num" w:pos="567"/>
          <w:tab w:val="num" w:pos="2069"/>
        </w:tabs>
        <w:spacing w:before="120" w:after="120" w:line="240" w:lineRule="auto"/>
        <w:ind w:left="993" w:hanging="709"/>
        <w:jc w:val="both"/>
        <w:rPr>
          <w:rFonts w:ascii="Times New Roman" w:eastAsia="Times New Roman" w:hAnsi="Times New Roman" w:cs="Times New Roman"/>
          <w:b/>
          <w:bCs/>
        </w:rPr>
      </w:pPr>
      <w:r>
        <w:rPr>
          <w:rFonts w:ascii="Times New Roman" w:eastAsia="Times New Roman" w:hAnsi="Times New Roman" w:cs="Times New Roman"/>
          <w:b/>
          <w:bCs/>
        </w:rPr>
        <w:t>Ajánlott irodalom:</w:t>
      </w:r>
    </w:p>
    <w:p w:rsidR="002871B0" w:rsidRDefault="002871B0" w:rsidP="008B31E6">
      <w:pPr>
        <w:pStyle w:val="Listaszerbekezds"/>
        <w:widowControl w:val="0"/>
        <w:numPr>
          <w:ilvl w:val="0"/>
          <w:numId w:val="19"/>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Obádovics J. Gyula, Szarka Zoltán: Felsőbb Matematika. Scolar Kiadó, 2009. ISBN: 9789632440583</w:t>
      </w:r>
    </w:p>
    <w:p w:rsidR="002871B0" w:rsidRDefault="002871B0" w:rsidP="002871B0">
      <w:pPr>
        <w:widowControl w:val="0"/>
        <w:spacing w:before="120" w:after="120" w:line="240" w:lineRule="auto"/>
        <w:jc w:val="both"/>
        <w:rPr>
          <w:rFonts w:ascii="Times New Roman" w:eastAsia="Times New Roman" w:hAnsi="Times New Roman" w:cs="Times New Roman"/>
          <w:bCs/>
        </w:rPr>
      </w:pPr>
      <w:r>
        <w:rPr>
          <w:rFonts w:ascii="Times New Roman" w:eastAsia="Times New Roman" w:hAnsi="Times New Roman" w:cs="Times New Roman"/>
          <w:bCs/>
        </w:rPr>
        <w:t>Budapest, 2020. január 31.</w:t>
      </w:r>
    </w:p>
    <w:p w:rsidR="002871B0" w:rsidRDefault="002871B0" w:rsidP="002871B0">
      <w:pPr>
        <w:widowControl w:val="0"/>
        <w:spacing w:before="120" w:after="120" w:line="240" w:lineRule="auto"/>
        <w:jc w:val="both"/>
        <w:rPr>
          <w:rFonts w:ascii="Times New Roman" w:eastAsia="Times New Roman" w:hAnsi="Times New Roman" w:cs="Times New Roman"/>
          <w:bCs/>
        </w:rPr>
      </w:pPr>
    </w:p>
    <w:p w:rsidR="002871B0" w:rsidRDefault="002871B0" w:rsidP="002871B0">
      <w:pPr>
        <w:widowControl w:val="0"/>
        <w:spacing w:after="0" w:line="240" w:lineRule="auto"/>
        <w:jc w:val="right"/>
        <w:rPr>
          <w:rFonts w:ascii="Times New Roman" w:eastAsia="Times New Roman" w:hAnsi="Times New Roman" w:cs="Times New Roman"/>
          <w:bCs/>
        </w:rPr>
      </w:pPr>
      <w:r>
        <w:rPr>
          <w:rFonts w:ascii="Times New Roman" w:eastAsia="Times New Roman" w:hAnsi="Times New Roman" w:cs="Times New Roman"/>
          <w:bCs/>
        </w:rPr>
        <w:t xml:space="preserve">Dr. Tóth Bence, PhD </w:t>
      </w:r>
    </w:p>
    <w:p w:rsidR="002871B0" w:rsidRDefault="002871B0" w:rsidP="002871B0">
      <w:pPr>
        <w:widowControl w:val="0"/>
        <w:spacing w:after="0" w:line="240" w:lineRule="auto"/>
        <w:jc w:val="right"/>
        <w:rPr>
          <w:rFonts w:ascii="Times New Roman" w:eastAsia="Times New Roman" w:hAnsi="Times New Roman" w:cs="Times New Roman"/>
          <w:bCs/>
        </w:rPr>
      </w:pPr>
      <w:r>
        <w:rPr>
          <w:rFonts w:ascii="Times New Roman" w:eastAsia="Times New Roman" w:hAnsi="Times New Roman" w:cs="Times New Roman"/>
          <w:bCs/>
        </w:rPr>
        <w:t>adjunktus, sk.</w:t>
      </w:r>
    </w:p>
    <w:p w:rsidR="0056665F" w:rsidRDefault="0056665F">
      <w:pPr>
        <w:spacing w:after="200" w:line="276" w:lineRule="auto"/>
        <w:rPr>
          <w:rFonts w:ascii="Times New Roman" w:hAnsi="Times New Roman" w:cs="Times New Roman"/>
          <w:sz w:val="24"/>
        </w:rPr>
      </w:pPr>
    </w:p>
    <w:p w:rsidR="005D4347" w:rsidRDefault="005D4347">
      <w:pPr>
        <w:spacing w:after="200" w:line="276" w:lineRule="auto"/>
        <w:rPr>
          <w:rFonts w:ascii="Times New Roman" w:hAnsi="Times New Roman" w:cs="Times New Roman"/>
          <w:sz w:val="24"/>
        </w:rPr>
      </w:pPr>
      <w:r>
        <w:rPr>
          <w:rFonts w:ascii="Times New Roman" w:hAnsi="Times New Roman" w:cs="Times New Roman"/>
          <w:sz w:val="24"/>
        </w:rPr>
        <w:br w:type="page"/>
      </w:r>
    </w:p>
    <w:tbl>
      <w:tblPr>
        <w:tblW w:w="9072" w:type="dxa"/>
        <w:tblInd w:w="113" w:type="dxa"/>
        <w:tblBorders>
          <w:bottom w:val="single" w:sz="4" w:space="0" w:color="00000A"/>
          <w:insideH w:val="single" w:sz="4" w:space="0" w:color="00000A"/>
        </w:tblBorders>
        <w:tblLook w:val="01E0" w:firstRow="1" w:lastRow="1" w:firstColumn="1" w:lastColumn="1" w:noHBand="0" w:noVBand="0"/>
      </w:tblPr>
      <w:tblGrid>
        <w:gridCol w:w="4853"/>
        <w:gridCol w:w="1620"/>
        <w:gridCol w:w="2599"/>
      </w:tblGrid>
      <w:tr w:rsidR="005D4347" w:rsidTr="005D4347">
        <w:tc>
          <w:tcPr>
            <w:tcW w:w="4853" w:type="dxa"/>
            <w:tcBorders>
              <w:top w:val="nil"/>
              <w:left w:val="nil"/>
              <w:bottom w:val="single" w:sz="4" w:space="0" w:color="00000A"/>
              <w:right w:val="nil"/>
            </w:tcBorders>
            <w:hideMark/>
          </w:tcPr>
          <w:p w:rsidR="005D4347" w:rsidRDefault="005D4347">
            <w:pPr>
              <w:spacing w:after="0" w:line="240" w:lineRule="auto"/>
              <w:jc w:val="center"/>
              <w:rPr>
                <w:rFonts w:ascii="Times New Roman" w:eastAsia="Times New Roman" w:hAnsi="Times New Roman" w:cs="Times New Roman"/>
                <w:b/>
                <w:smallCaps/>
                <w:color w:val="00000A"/>
                <w:lang w:eastAsia="hu-HU"/>
              </w:rPr>
            </w:pPr>
            <w:r>
              <w:rPr>
                <w:rFonts w:ascii="Times New Roman" w:eastAsia="Times New Roman" w:hAnsi="Times New Roman" w:cs="Times New Roman"/>
                <w:b/>
                <w:smallCaps/>
                <w:lang w:eastAsia="hu-HU"/>
              </w:rPr>
              <w:lastRenderedPageBreak/>
              <w:t>Nemzeti Közszolgálati Egyetem</w:t>
            </w:r>
          </w:p>
        </w:tc>
        <w:tc>
          <w:tcPr>
            <w:tcW w:w="1620" w:type="dxa"/>
            <w:tcBorders>
              <w:top w:val="nil"/>
              <w:left w:val="nil"/>
              <w:bottom w:val="single" w:sz="4" w:space="0" w:color="00000A"/>
              <w:right w:val="nil"/>
            </w:tcBorders>
          </w:tcPr>
          <w:p w:rsidR="005D4347" w:rsidRDefault="005D4347">
            <w:pPr>
              <w:spacing w:after="0" w:line="240" w:lineRule="auto"/>
              <w:jc w:val="both"/>
              <w:rPr>
                <w:rFonts w:ascii="Times New Roman" w:eastAsia="Times New Roman" w:hAnsi="Times New Roman" w:cs="Times New Roman"/>
                <w:color w:val="00000A"/>
                <w:lang w:eastAsia="hu-HU"/>
              </w:rPr>
            </w:pPr>
          </w:p>
        </w:tc>
        <w:tc>
          <w:tcPr>
            <w:tcW w:w="2599" w:type="dxa"/>
            <w:tcBorders>
              <w:top w:val="nil"/>
              <w:left w:val="nil"/>
              <w:bottom w:val="single" w:sz="4" w:space="0" w:color="00000A"/>
              <w:right w:val="nil"/>
            </w:tcBorders>
          </w:tcPr>
          <w:p w:rsidR="005D4347" w:rsidRDefault="005D4347">
            <w:pPr>
              <w:spacing w:after="0" w:line="240" w:lineRule="auto"/>
              <w:jc w:val="right"/>
              <w:rPr>
                <w:rFonts w:ascii="Times New Roman" w:eastAsia="Times New Roman" w:hAnsi="Times New Roman" w:cs="Times New Roman"/>
                <w:color w:val="00000A"/>
                <w:lang w:eastAsia="hu-HU"/>
              </w:rPr>
            </w:pPr>
          </w:p>
        </w:tc>
      </w:tr>
      <w:tr w:rsidR="005D4347" w:rsidTr="005D4347">
        <w:tc>
          <w:tcPr>
            <w:tcW w:w="4853" w:type="dxa"/>
            <w:tcBorders>
              <w:top w:val="single" w:sz="4" w:space="0" w:color="00000A"/>
              <w:left w:val="nil"/>
              <w:bottom w:val="single" w:sz="4" w:space="0" w:color="00000A"/>
              <w:right w:val="nil"/>
            </w:tcBorders>
            <w:hideMark/>
          </w:tcPr>
          <w:p w:rsidR="005D4347" w:rsidRDefault="005D4347">
            <w:pPr>
              <w:spacing w:after="0" w:line="240" w:lineRule="auto"/>
              <w:jc w:val="center"/>
              <w:rPr>
                <w:rFonts w:ascii="Times New Roman" w:eastAsia="Times New Roman" w:hAnsi="Times New Roman" w:cs="Times New Roman"/>
                <w:b/>
                <w:color w:val="00000A"/>
                <w:lang w:eastAsia="hu-HU"/>
              </w:rPr>
            </w:pPr>
            <w:r>
              <w:rPr>
                <w:rFonts w:ascii="Times New Roman" w:eastAsia="Times New Roman" w:hAnsi="Times New Roman" w:cs="Times New Roman"/>
                <w:b/>
                <w:lang w:eastAsia="hu-HU"/>
              </w:rPr>
              <w:t>Hadtudományi és Honvédtisztképző Kar</w:t>
            </w:r>
          </w:p>
        </w:tc>
        <w:tc>
          <w:tcPr>
            <w:tcW w:w="1620" w:type="dxa"/>
            <w:tcBorders>
              <w:top w:val="single" w:sz="4" w:space="0" w:color="00000A"/>
              <w:left w:val="nil"/>
              <w:bottom w:val="single" w:sz="4" w:space="0" w:color="00000A"/>
              <w:right w:val="nil"/>
            </w:tcBorders>
          </w:tcPr>
          <w:p w:rsidR="005D4347" w:rsidRDefault="005D4347">
            <w:pPr>
              <w:spacing w:after="0" w:line="240" w:lineRule="auto"/>
              <w:jc w:val="both"/>
              <w:rPr>
                <w:rFonts w:ascii="Times New Roman" w:eastAsia="Times New Roman" w:hAnsi="Times New Roman" w:cs="Times New Roman"/>
                <w:color w:val="00000A"/>
                <w:lang w:eastAsia="hu-HU"/>
              </w:rPr>
            </w:pPr>
          </w:p>
        </w:tc>
        <w:tc>
          <w:tcPr>
            <w:tcW w:w="2599" w:type="dxa"/>
            <w:tcBorders>
              <w:top w:val="single" w:sz="4" w:space="0" w:color="00000A"/>
              <w:left w:val="nil"/>
              <w:bottom w:val="single" w:sz="4" w:space="0" w:color="00000A"/>
              <w:right w:val="nil"/>
            </w:tcBorders>
          </w:tcPr>
          <w:p w:rsidR="005D4347" w:rsidRDefault="005D4347">
            <w:pPr>
              <w:spacing w:after="0" w:line="240" w:lineRule="auto"/>
              <w:jc w:val="both"/>
              <w:rPr>
                <w:rFonts w:ascii="Times New Roman" w:eastAsia="Times New Roman" w:hAnsi="Times New Roman" w:cs="Times New Roman"/>
                <w:color w:val="00000A"/>
                <w:lang w:eastAsia="hu-HU"/>
              </w:rPr>
            </w:pPr>
          </w:p>
        </w:tc>
      </w:tr>
    </w:tbl>
    <w:p w:rsidR="005D4347" w:rsidRDefault="005D4347" w:rsidP="005D4347">
      <w:pPr>
        <w:widowControl w:val="0"/>
        <w:spacing w:before="120" w:after="120" w:line="240" w:lineRule="auto"/>
        <w:ind w:left="426" w:hanging="142"/>
        <w:jc w:val="center"/>
        <w:rPr>
          <w:rFonts w:ascii="Times New Roman" w:eastAsia="Times New Roman" w:hAnsi="Times New Roman" w:cs="Times New Roman"/>
          <w:b/>
          <w:bCs/>
          <w:color w:val="00000A"/>
        </w:rPr>
      </w:pPr>
    </w:p>
    <w:p w:rsidR="005D4347" w:rsidRDefault="005D4347" w:rsidP="005D4347">
      <w:pPr>
        <w:widowControl w:val="0"/>
        <w:spacing w:before="120" w:after="120" w:line="240" w:lineRule="auto"/>
        <w:ind w:left="426" w:hanging="142"/>
        <w:jc w:val="center"/>
        <w:rPr>
          <w:rFonts w:ascii="Times New Roman" w:eastAsia="Times New Roman" w:hAnsi="Times New Roman" w:cs="Times New Roman"/>
          <w:b/>
          <w:bCs/>
        </w:rPr>
      </w:pPr>
      <w:r>
        <w:rPr>
          <w:rFonts w:ascii="Times New Roman" w:eastAsia="Times New Roman" w:hAnsi="Times New Roman" w:cs="Times New Roman"/>
          <w:b/>
          <w:bCs/>
        </w:rPr>
        <w:t>TANTÁRGYI PROGRAM</w:t>
      </w:r>
    </w:p>
    <w:p w:rsidR="005D4347" w:rsidRDefault="005D4347" w:rsidP="00666335">
      <w:pPr>
        <w:widowControl w:val="0"/>
        <w:numPr>
          <w:ilvl w:val="0"/>
          <w:numId w:val="24"/>
        </w:numPr>
        <w:tabs>
          <w:tab w:val="left" w:pos="567"/>
        </w:tabs>
        <w:spacing w:before="120" w:after="120" w:line="240" w:lineRule="auto"/>
        <w:ind w:left="426" w:hanging="142"/>
        <w:jc w:val="both"/>
      </w:pPr>
      <w:r>
        <w:rPr>
          <w:rFonts w:ascii="Times New Roman" w:eastAsia="Times New Roman" w:hAnsi="Times New Roman" w:cs="Times New Roman"/>
          <w:b/>
          <w:bCs/>
        </w:rPr>
        <w:t xml:space="preserve">A tantárgy kódja: </w:t>
      </w:r>
      <w:r>
        <w:rPr>
          <w:rFonts w:ascii="Times New Roman" w:eastAsia="Times New Roman" w:hAnsi="Times New Roman" w:cs="Times New Roman"/>
          <w:bCs/>
        </w:rPr>
        <w:t>HK925A110</w:t>
      </w:r>
    </w:p>
    <w:p w:rsidR="005D4347" w:rsidRDefault="005D4347" w:rsidP="00666335">
      <w:pPr>
        <w:widowControl w:val="0"/>
        <w:numPr>
          <w:ilvl w:val="0"/>
          <w:numId w:val="24"/>
        </w:numPr>
        <w:tabs>
          <w:tab w:val="left" w:pos="567"/>
        </w:tabs>
        <w:spacing w:before="120" w:after="120" w:line="240" w:lineRule="auto"/>
        <w:ind w:left="426" w:hanging="142"/>
        <w:jc w:val="both"/>
      </w:pPr>
      <w:r>
        <w:rPr>
          <w:rFonts w:ascii="Times New Roman" w:eastAsia="Times New Roman" w:hAnsi="Times New Roman" w:cs="Times New Roman"/>
          <w:b/>
          <w:bCs/>
        </w:rPr>
        <w:t>A tantárgy megnevezése (magyarul):</w:t>
      </w:r>
      <w:r>
        <w:rPr>
          <w:rFonts w:ascii="Times New Roman" w:eastAsia="Times New Roman" w:hAnsi="Times New Roman" w:cs="Times New Roman"/>
        </w:rPr>
        <w:t xml:space="preserve"> </w:t>
      </w:r>
      <w:r>
        <w:rPr>
          <w:rFonts w:ascii="Times New Roman" w:eastAsia="Times New Roman" w:hAnsi="Times New Roman" w:cs="Times New Roman"/>
          <w:lang w:val="en-GB"/>
        </w:rPr>
        <w:t>Matematika LOG 1</w:t>
      </w:r>
    </w:p>
    <w:p w:rsidR="005D4347" w:rsidRDefault="005D4347" w:rsidP="00666335">
      <w:pPr>
        <w:widowControl w:val="0"/>
        <w:numPr>
          <w:ilvl w:val="0"/>
          <w:numId w:val="24"/>
        </w:numPr>
        <w:tabs>
          <w:tab w:val="left" w:pos="567"/>
        </w:tabs>
        <w:spacing w:before="120" w:after="120" w:line="240" w:lineRule="auto"/>
        <w:ind w:left="426" w:hanging="142"/>
        <w:jc w:val="both"/>
      </w:pPr>
      <w:r>
        <w:rPr>
          <w:rFonts w:ascii="Times New Roman" w:eastAsia="Times New Roman" w:hAnsi="Times New Roman" w:cs="Times New Roman"/>
          <w:b/>
          <w:bCs/>
        </w:rPr>
        <w:t xml:space="preserve">A tantárgy megnevezése (angolul): </w:t>
      </w:r>
      <w:r>
        <w:rPr>
          <w:rFonts w:ascii="Times New Roman" w:eastAsia="Times New Roman" w:hAnsi="Times New Roman" w:cs="Times New Roman"/>
          <w:lang w:val="en-GB"/>
        </w:rPr>
        <w:t>Mathematics LOG 1</w:t>
      </w:r>
    </w:p>
    <w:p w:rsidR="005D4347" w:rsidRDefault="005D4347" w:rsidP="00666335">
      <w:pPr>
        <w:widowControl w:val="0"/>
        <w:numPr>
          <w:ilvl w:val="0"/>
          <w:numId w:val="24"/>
        </w:numPr>
        <w:tabs>
          <w:tab w:val="left" w:pos="567"/>
        </w:tabs>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Kreditérték és képzési karakter: </w:t>
      </w:r>
    </w:p>
    <w:p w:rsidR="005D4347" w:rsidRDefault="005D4347" w:rsidP="00666335">
      <w:pPr>
        <w:pStyle w:val="Listaszerbekezds"/>
        <w:widowControl w:val="0"/>
        <w:numPr>
          <w:ilvl w:val="1"/>
          <w:numId w:val="24"/>
        </w:numPr>
        <w:spacing w:before="120" w:after="120" w:line="240" w:lineRule="auto"/>
        <w:ind w:left="993" w:hanging="426"/>
        <w:jc w:val="both"/>
      </w:pPr>
      <w:r>
        <w:rPr>
          <w:rFonts w:ascii="Times New Roman" w:eastAsia="Times New Roman" w:hAnsi="Times New Roman" w:cs="Times New Roman"/>
          <w:bCs/>
        </w:rPr>
        <w:t>4 kredit</w:t>
      </w:r>
    </w:p>
    <w:p w:rsidR="005D4347" w:rsidRDefault="005D4347" w:rsidP="00666335">
      <w:pPr>
        <w:pStyle w:val="Listaszerbekezds"/>
        <w:widowControl w:val="0"/>
        <w:numPr>
          <w:ilvl w:val="1"/>
          <w:numId w:val="24"/>
        </w:numPr>
        <w:spacing w:before="120" w:after="120" w:line="240" w:lineRule="auto"/>
        <w:ind w:left="993" w:hanging="426"/>
        <w:jc w:val="both"/>
      </w:pPr>
      <w:r>
        <w:rPr>
          <w:rFonts w:ascii="Times New Roman" w:eastAsia="Times New Roman" w:hAnsi="Times New Roman" w:cs="Times New Roman"/>
          <w:bCs/>
        </w:rPr>
        <w:t>a tantárgy elméleti vagy gyakorlati jellegének mértéke: 75 % gyakorlat, 25 % elmélet</w:t>
      </w:r>
    </w:p>
    <w:p w:rsidR="005D4347" w:rsidRDefault="005D4347" w:rsidP="00666335">
      <w:pPr>
        <w:widowControl w:val="0"/>
        <w:numPr>
          <w:ilvl w:val="0"/>
          <w:numId w:val="24"/>
        </w:numPr>
        <w:spacing w:before="120" w:after="120" w:line="240" w:lineRule="auto"/>
        <w:ind w:left="426" w:hanging="142"/>
        <w:jc w:val="both"/>
      </w:pPr>
      <w:r>
        <w:rPr>
          <w:rFonts w:ascii="Times New Roman" w:eastAsia="Times New Roman" w:hAnsi="Times New Roman" w:cs="Times New Roman"/>
          <w:b/>
          <w:bCs/>
        </w:rPr>
        <w:t>A szak(ok), szakirányok/specializációk megnevezése (ahol oktatják):</w:t>
      </w:r>
      <w:r>
        <w:rPr>
          <w:rFonts w:ascii="Times New Roman" w:eastAsia="Times New Roman" w:hAnsi="Times New Roman" w:cs="Times New Roman"/>
          <w:bCs/>
        </w:rPr>
        <w:t xml:space="preserve"> Katonai logisztika alapszak</w:t>
      </w:r>
    </w:p>
    <w:p w:rsidR="005D4347" w:rsidRDefault="005D4347" w:rsidP="00666335">
      <w:pPr>
        <w:widowControl w:val="0"/>
        <w:numPr>
          <w:ilvl w:val="0"/>
          <w:numId w:val="24"/>
        </w:numPr>
        <w:tabs>
          <w:tab w:val="left"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Az oktatásért felelős oktatási szervezeti egység megnevezése: </w:t>
      </w:r>
      <w:r>
        <w:rPr>
          <w:rFonts w:ascii="Times New Roman" w:eastAsia="Times New Roman" w:hAnsi="Times New Roman" w:cs="Times New Roman"/>
          <w:bCs/>
        </w:rPr>
        <w:t>Természettudományi Tanszék</w:t>
      </w:r>
    </w:p>
    <w:p w:rsidR="005D4347" w:rsidRDefault="005D4347" w:rsidP="00666335">
      <w:pPr>
        <w:widowControl w:val="0"/>
        <w:numPr>
          <w:ilvl w:val="0"/>
          <w:numId w:val="24"/>
        </w:numPr>
        <w:tabs>
          <w:tab w:val="left" w:pos="567"/>
        </w:tabs>
        <w:spacing w:before="120" w:after="120" w:line="240" w:lineRule="auto"/>
        <w:ind w:left="426" w:hanging="142"/>
        <w:jc w:val="both"/>
      </w:pPr>
      <w:r>
        <w:rPr>
          <w:rFonts w:ascii="Times New Roman" w:eastAsia="Times New Roman" w:hAnsi="Times New Roman" w:cs="Times New Roman"/>
          <w:b/>
          <w:bCs/>
        </w:rPr>
        <w:t>A tantárgyfelelős oktató neve, beosztása, tudományos fokozata:</w:t>
      </w:r>
      <w:r>
        <w:rPr>
          <w:rFonts w:ascii="Times New Roman" w:eastAsia="Times New Roman" w:hAnsi="Times New Roman" w:cs="Times New Roman"/>
          <w:bCs/>
        </w:rPr>
        <w:t xml:space="preserve"> Dr. Nagy Imre adjunktus, PhD</w:t>
      </w:r>
    </w:p>
    <w:p w:rsidR="005D4347" w:rsidRDefault="005D4347" w:rsidP="00666335">
      <w:pPr>
        <w:widowControl w:val="0"/>
        <w:numPr>
          <w:ilvl w:val="0"/>
          <w:numId w:val="24"/>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tanórák száma és típusa</w:t>
      </w:r>
    </w:p>
    <w:p w:rsidR="005D4347" w:rsidRDefault="005D4347" w:rsidP="00666335">
      <w:pPr>
        <w:widowControl w:val="0"/>
        <w:numPr>
          <w:ilvl w:val="1"/>
          <w:numId w:val="24"/>
        </w:numPr>
        <w:tabs>
          <w:tab w:val="left" w:pos="709"/>
          <w:tab w:val="left" w:pos="2069"/>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össz óraszám/félév:</w:t>
      </w:r>
    </w:p>
    <w:p w:rsidR="005D4347" w:rsidRDefault="005D4347" w:rsidP="00666335">
      <w:pPr>
        <w:widowControl w:val="0"/>
        <w:numPr>
          <w:ilvl w:val="2"/>
          <w:numId w:val="24"/>
        </w:numPr>
        <w:tabs>
          <w:tab w:val="left" w:pos="709"/>
          <w:tab w:val="left" w:pos="1134"/>
        </w:tabs>
        <w:spacing w:before="120" w:after="120" w:line="240" w:lineRule="auto"/>
        <w:ind w:left="851" w:hanging="425"/>
        <w:jc w:val="both"/>
      </w:pPr>
      <w:r>
        <w:rPr>
          <w:rFonts w:ascii="Times New Roman" w:eastAsia="Times New Roman" w:hAnsi="Times New Roman" w:cs="Times New Roman"/>
          <w:bCs/>
        </w:rPr>
        <w:t>nappali munkarend: 56 (14 EA + 0 SZ + 42 GY)</w:t>
      </w:r>
    </w:p>
    <w:p w:rsidR="005D4347" w:rsidRDefault="005D4347" w:rsidP="00666335">
      <w:pPr>
        <w:widowControl w:val="0"/>
        <w:numPr>
          <w:ilvl w:val="2"/>
          <w:numId w:val="24"/>
        </w:numPr>
        <w:tabs>
          <w:tab w:val="left" w:pos="709"/>
          <w:tab w:val="left" w:pos="1134"/>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levelező munkarend: 0 (0 EA + 0 SZ + 0 GY)</w:t>
      </w:r>
    </w:p>
    <w:p w:rsidR="005D4347" w:rsidRDefault="005D4347" w:rsidP="00666335">
      <w:pPr>
        <w:widowControl w:val="0"/>
        <w:numPr>
          <w:ilvl w:val="1"/>
          <w:numId w:val="24"/>
        </w:numPr>
        <w:tabs>
          <w:tab w:val="left" w:pos="709"/>
          <w:tab w:val="left" w:pos="2069"/>
        </w:tabs>
        <w:spacing w:before="120" w:after="120" w:line="240" w:lineRule="auto"/>
        <w:ind w:left="851" w:hanging="425"/>
        <w:jc w:val="both"/>
      </w:pPr>
      <w:r>
        <w:rPr>
          <w:rFonts w:ascii="Times New Roman" w:eastAsia="Times New Roman" w:hAnsi="Times New Roman" w:cs="Times New Roman"/>
          <w:bCs/>
        </w:rPr>
        <w:t>heti óraszám - nappali munkarend: 1 + 3</w:t>
      </w:r>
    </w:p>
    <w:p w:rsidR="005D4347" w:rsidRDefault="005D4347" w:rsidP="00666335">
      <w:pPr>
        <w:widowControl w:val="0"/>
        <w:numPr>
          <w:ilvl w:val="1"/>
          <w:numId w:val="24"/>
        </w:numPr>
        <w:tabs>
          <w:tab w:val="left" w:pos="709"/>
          <w:tab w:val="left" w:pos="2069"/>
        </w:tabs>
        <w:spacing w:before="120" w:after="120" w:line="240" w:lineRule="auto"/>
        <w:ind w:left="851" w:hanging="425"/>
        <w:jc w:val="both"/>
        <w:rPr>
          <w:rFonts w:ascii="Times New Roman" w:eastAsia="Times New Roman" w:hAnsi="Times New Roman" w:cs="Times New Roman"/>
          <w:bCs/>
        </w:rPr>
      </w:pPr>
      <w:r>
        <w:rPr>
          <w:rFonts w:ascii="Times New Roman" w:hAnsi="Times New Roman" w:cs="Times New Roman"/>
        </w:rPr>
        <w:t>Az ismeret átadásában alkalmazandó további sajátos módok, jellemzők: nincsenek</w:t>
      </w:r>
    </w:p>
    <w:p w:rsidR="005D4347" w:rsidRDefault="005D4347" w:rsidP="00666335">
      <w:pPr>
        <w:widowControl w:val="0"/>
        <w:numPr>
          <w:ilvl w:val="0"/>
          <w:numId w:val="24"/>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 tantárgy szakmai tartalma (magyarul): </w:t>
      </w:r>
      <w:r>
        <w:rPr>
          <w:rFonts w:ascii="Times New Roman" w:eastAsia="Times New Roman" w:hAnsi="Times New Roman" w:cs="Times New Roman"/>
        </w:rPr>
        <w:t>Matematikai analízis alapjai és differenciálszámítás.</w:t>
      </w:r>
      <w:r>
        <w:rPr>
          <w:rFonts w:ascii="Times New Roman" w:eastAsia="Times New Roman" w:hAnsi="Times New Roman" w:cs="Times New Roman"/>
          <w:bCs/>
        </w:rPr>
        <w:t xml:space="preserve"> </w:t>
      </w:r>
    </w:p>
    <w:p w:rsidR="005D4347" w:rsidRDefault="005D4347" w:rsidP="005D4347">
      <w:pPr>
        <w:widowControl w:val="0"/>
        <w:spacing w:before="120" w:after="120" w:line="240" w:lineRule="auto"/>
        <w:ind w:left="426"/>
        <w:jc w:val="both"/>
      </w:pPr>
      <w:r>
        <w:rPr>
          <w:rFonts w:ascii="Times New Roman" w:eastAsia="Times New Roman" w:hAnsi="Times New Roman" w:cs="Times New Roman"/>
          <w:b/>
          <w:bCs/>
        </w:rPr>
        <w:t>A tantárgy szakmai tartalma (angolul) (</w:t>
      </w:r>
      <w:r>
        <w:rPr>
          <w:rFonts w:ascii="Times New Roman" w:eastAsia="Times New Roman" w:hAnsi="Times New Roman" w:cs="Times New Roman"/>
          <w:b/>
          <w:bCs/>
          <w:lang w:val="en-US"/>
        </w:rPr>
        <w:t>Course description</w:t>
      </w:r>
      <w:r>
        <w:rPr>
          <w:rFonts w:ascii="Times New Roman" w:eastAsia="Times New Roman" w:hAnsi="Times New Roman" w:cs="Times New Roman"/>
          <w:b/>
          <w:bCs/>
        </w:rPr>
        <w:t>):</w:t>
      </w:r>
      <w:r>
        <w:rPr>
          <w:rFonts w:ascii="Times New Roman" w:eastAsia="Times New Roman" w:hAnsi="Times New Roman" w:cs="Times New Roman"/>
          <w:bCs/>
          <w:lang w:val="en-GB"/>
        </w:rPr>
        <w:t xml:space="preserve"> Basics of mathematical analysis and differential calculus.</w:t>
      </w:r>
    </w:p>
    <w:p w:rsidR="005D4347" w:rsidRDefault="005D4347" w:rsidP="00666335">
      <w:pPr>
        <w:pStyle w:val="Listaszerbekezds"/>
        <w:widowControl w:val="0"/>
        <w:numPr>
          <w:ilvl w:val="0"/>
          <w:numId w:val="24"/>
        </w:numPr>
        <w:tabs>
          <w:tab w:val="left" w:pos="426"/>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Elérendő kompetenciák (magyarul): </w:t>
      </w:r>
    </w:p>
    <w:p w:rsidR="005D4347" w:rsidRDefault="005D4347" w:rsidP="005D4347">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Tudása:</w:t>
      </w:r>
      <w:r>
        <w:rPr>
          <w:rFonts w:ascii="Times New Roman" w:eastAsia="Times New Roman" w:hAnsi="Times New Roman" w:cs="Times New Roman"/>
          <w:bCs/>
        </w:rPr>
        <w:t xml:space="preserve"> </w:t>
      </w:r>
    </w:p>
    <w:p w:rsidR="005D4347" w:rsidRDefault="005D4347" w:rsidP="005D4347">
      <w:pPr>
        <w:widowControl w:val="0"/>
        <w:spacing w:after="120" w:line="240" w:lineRule="auto"/>
        <w:ind w:left="425"/>
        <w:jc w:val="both"/>
      </w:pPr>
      <w:r>
        <w:rPr>
          <w:rFonts w:ascii="Times New Roman" w:eastAsia="Times New Roman" w:hAnsi="Times New Roman" w:cs="Times New Roman"/>
          <w:bCs/>
        </w:rPr>
        <w:t>-</w:t>
      </w:r>
      <w:r>
        <w:rPr>
          <w:rFonts w:ascii="Times New Roman" w:eastAsia="Times New Roman" w:hAnsi="Times New Roman" w:cs="Times New Roman"/>
          <w:bCs/>
        </w:rPr>
        <w:tab/>
        <w:t>Ismeri a matematika és a mechanika törvényszerűségeit, rendelkezik műszaki alapismeretekkel.</w:t>
      </w:r>
    </w:p>
    <w:p w:rsidR="005D4347" w:rsidRPr="005D4347" w:rsidRDefault="005D4347" w:rsidP="005D4347">
      <w:pPr>
        <w:widowControl w:val="0"/>
        <w:spacing w:before="120" w:after="0" w:line="240" w:lineRule="auto"/>
        <w:ind w:left="425"/>
        <w:jc w:val="both"/>
        <w:rPr>
          <w:rFonts w:ascii="Times New Roman" w:eastAsia="Times New Roman" w:hAnsi="Times New Roman" w:cs="Times New Roman"/>
          <w:b/>
          <w:bCs/>
        </w:rPr>
      </w:pPr>
      <w:r>
        <w:rPr>
          <w:rFonts w:ascii="Times New Roman" w:eastAsia="Times New Roman" w:hAnsi="Times New Roman" w:cs="Times New Roman"/>
          <w:b/>
          <w:bCs/>
        </w:rPr>
        <w:t>Képességei:</w:t>
      </w:r>
      <w:r w:rsidRPr="005D4347">
        <w:rPr>
          <w:rFonts w:ascii="Times New Roman" w:eastAsia="Times New Roman" w:hAnsi="Times New Roman" w:cs="Times New Roman"/>
          <w:b/>
          <w:bCs/>
        </w:rPr>
        <w:t xml:space="preserve"> </w:t>
      </w:r>
    </w:p>
    <w:p w:rsidR="005D4347" w:rsidRDefault="005D4347" w:rsidP="005D4347">
      <w:pPr>
        <w:widowControl w:val="0"/>
        <w:spacing w:after="120" w:line="240" w:lineRule="auto"/>
        <w:ind w:left="425"/>
        <w:jc w:val="both"/>
      </w:pPr>
      <w:r>
        <w:rPr>
          <w:rFonts w:ascii="Times New Roman" w:eastAsia="Times New Roman" w:hAnsi="Times New Roman" w:cs="Times New Roman"/>
          <w:bCs/>
        </w:rPr>
        <w:t>-</w:t>
      </w:r>
      <w:r>
        <w:rPr>
          <w:rFonts w:ascii="Times New Roman" w:eastAsia="Times New Roman" w:hAnsi="Times New Roman" w:cs="Times New Roman"/>
          <w:bCs/>
        </w:rPr>
        <w:tab/>
        <w:t>Képes szakterületén újító és innovatív ötletek megfogalmazására.</w:t>
      </w:r>
    </w:p>
    <w:p w:rsidR="005D4347" w:rsidRDefault="005D4347" w:rsidP="005D4347">
      <w:pPr>
        <w:widowControl w:val="0"/>
        <w:spacing w:after="120" w:line="240" w:lineRule="auto"/>
        <w:ind w:left="425"/>
        <w:jc w:val="both"/>
      </w:pPr>
      <w:r>
        <w:rPr>
          <w:rFonts w:ascii="Times New Roman" w:eastAsia="Times New Roman" w:hAnsi="Times New Roman" w:cs="Times New Roman"/>
          <w:bCs/>
        </w:rPr>
        <w:t>-</w:t>
      </w:r>
      <w:r>
        <w:rPr>
          <w:rFonts w:ascii="Times New Roman" w:eastAsia="Times New Roman" w:hAnsi="Times New Roman" w:cs="Times New Roman"/>
          <w:bCs/>
        </w:rPr>
        <w:tab/>
        <w:t>Képes pontos és precíz logisztikai, illetve gazdálkodási számvetéseket készíteni.</w:t>
      </w:r>
    </w:p>
    <w:p w:rsidR="005D4347" w:rsidRPr="005D4347" w:rsidRDefault="005D4347" w:rsidP="005D4347">
      <w:pPr>
        <w:widowControl w:val="0"/>
        <w:spacing w:before="120" w:after="0" w:line="240" w:lineRule="auto"/>
        <w:ind w:left="425"/>
        <w:jc w:val="both"/>
        <w:rPr>
          <w:rFonts w:ascii="Times New Roman" w:eastAsia="Times New Roman" w:hAnsi="Times New Roman" w:cs="Times New Roman"/>
          <w:b/>
          <w:bCs/>
        </w:rPr>
      </w:pPr>
      <w:r>
        <w:rPr>
          <w:rFonts w:ascii="Times New Roman" w:eastAsia="Times New Roman" w:hAnsi="Times New Roman" w:cs="Times New Roman"/>
          <w:b/>
          <w:bCs/>
        </w:rPr>
        <w:t>Attitűdje:</w:t>
      </w:r>
      <w:r w:rsidRPr="005D4347">
        <w:rPr>
          <w:rFonts w:ascii="Times New Roman" w:eastAsia="Times New Roman" w:hAnsi="Times New Roman" w:cs="Times New Roman"/>
          <w:b/>
          <w:bCs/>
        </w:rPr>
        <w:t xml:space="preserve"> </w:t>
      </w:r>
    </w:p>
    <w:p w:rsidR="005D4347" w:rsidRDefault="005D4347" w:rsidP="005D4347">
      <w:pPr>
        <w:widowControl w:val="0"/>
        <w:spacing w:after="120" w:line="240" w:lineRule="auto"/>
        <w:ind w:left="425"/>
        <w:jc w:val="both"/>
      </w:pPr>
      <w:r>
        <w:rPr>
          <w:rFonts w:ascii="Times New Roman" w:eastAsia="Times New Roman" w:hAnsi="Times New Roman" w:cs="Times New Roman"/>
          <w:bCs/>
        </w:rPr>
        <w:t>-</w:t>
      </w:r>
      <w:r>
        <w:rPr>
          <w:rFonts w:ascii="Times New Roman" w:eastAsia="Times New Roman" w:hAnsi="Times New Roman" w:cs="Times New Roman"/>
          <w:bCs/>
        </w:rPr>
        <w:tab/>
        <w:t>Nyitott szakterülete új eredményei, innovációi iránt, törekszik azok megismerésére, megértésére és alkalmazására, elkötelezett önmaga folyamatos képzésére.</w:t>
      </w:r>
    </w:p>
    <w:p w:rsidR="005D4347" w:rsidRPr="005D4347" w:rsidRDefault="005D4347" w:rsidP="005D4347">
      <w:pPr>
        <w:widowControl w:val="0"/>
        <w:spacing w:before="120" w:after="0" w:line="240" w:lineRule="auto"/>
        <w:ind w:left="425"/>
        <w:jc w:val="both"/>
        <w:rPr>
          <w:rFonts w:ascii="Times New Roman" w:eastAsia="Times New Roman" w:hAnsi="Times New Roman" w:cs="Times New Roman"/>
          <w:b/>
          <w:bCs/>
        </w:rPr>
      </w:pPr>
      <w:r>
        <w:rPr>
          <w:rFonts w:ascii="Times New Roman" w:eastAsia="Times New Roman" w:hAnsi="Times New Roman" w:cs="Times New Roman"/>
          <w:b/>
          <w:bCs/>
        </w:rPr>
        <w:t>Autonómiája és felelőssége:</w:t>
      </w:r>
      <w:r w:rsidRPr="005D4347">
        <w:rPr>
          <w:rFonts w:ascii="Times New Roman" w:eastAsia="Times New Roman" w:hAnsi="Times New Roman" w:cs="Times New Roman"/>
          <w:b/>
          <w:bCs/>
        </w:rPr>
        <w:t xml:space="preserve"> </w:t>
      </w:r>
    </w:p>
    <w:p w:rsidR="005D4347" w:rsidRDefault="005D4347" w:rsidP="005D4347">
      <w:pPr>
        <w:widowControl w:val="0"/>
        <w:spacing w:after="120" w:line="240" w:lineRule="auto"/>
        <w:ind w:left="425"/>
        <w:jc w:val="both"/>
      </w:pPr>
      <w:r>
        <w:rPr>
          <w:rFonts w:ascii="Times New Roman" w:eastAsia="Times New Roman" w:hAnsi="Times New Roman" w:cs="Times New Roman"/>
          <w:bCs/>
        </w:rPr>
        <w:t>-</w:t>
      </w:r>
      <w:r>
        <w:rPr>
          <w:rFonts w:ascii="Times New Roman" w:eastAsia="Times New Roman" w:hAnsi="Times New Roman" w:cs="Times New Roman"/>
          <w:bCs/>
        </w:rPr>
        <w:tab/>
      </w:r>
      <w:r>
        <w:rPr>
          <w:rFonts w:ascii="Times New Roman" w:eastAsia="Calibri" w:hAnsi="Times New Roman" w:cs="Times New Roman"/>
          <w:bCs/>
        </w:rPr>
        <w:t xml:space="preserve">Az </w:t>
      </w:r>
      <w:r w:rsidRPr="005D4347">
        <w:rPr>
          <w:rFonts w:ascii="Times New Roman" w:eastAsia="Times New Roman" w:hAnsi="Times New Roman" w:cs="Times New Roman"/>
          <w:bCs/>
        </w:rPr>
        <w:t>alegység</w:t>
      </w:r>
      <w:r>
        <w:rPr>
          <w:rFonts w:ascii="Times New Roman" w:eastAsia="Calibri" w:hAnsi="Times New Roman" w:cs="Times New Roman"/>
          <w:bCs/>
        </w:rPr>
        <w:t>, illetve egység szintű katonai logisztikai, valamint katonai gazdálkodási folyamatokban képes önállóan döntéseket hozni, azokat felelősséggel, a jogszabályi keretek figyelembevételével végrehajtani.</w:t>
      </w:r>
    </w:p>
    <w:p w:rsidR="005D4347" w:rsidRDefault="005D4347" w:rsidP="005D4347">
      <w:pPr>
        <w:widowControl w:val="0"/>
        <w:spacing w:before="120" w:after="120" w:line="240" w:lineRule="auto"/>
        <w:ind w:left="426"/>
        <w:jc w:val="both"/>
        <w:rPr>
          <w:rFonts w:ascii="Times New Roman" w:eastAsia="Times New Roman" w:hAnsi="Times New Roman" w:cs="Times New Roman"/>
          <w:b/>
          <w:bCs/>
          <w:lang w:val="en-US"/>
        </w:rPr>
      </w:pPr>
      <w:r>
        <w:rPr>
          <w:rFonts w:ascii="Times New Roman" w:eastAsia="Times New Roman" w:hAnsi="Times New Roman" w:cs="Times New Roman"/>
          <w:b/>
          <w:bCs/>
        </w:rPr>
        <w:t>Elérendő kompetenciák (angolul) (</w:t>
      </w:r>
      <w:r>
        <w:rPr>
          <w:rFonts w:ascii="Times New Roman" w:eastAsia="Times New Roman" w:hAnsi="Times New Roman" w:cs="Times New Roman"/>
          <w:b/>
          <w:bCs/>
          <w:lang w:val="en-US"/>
        </w:rPr>
        <w:t xml:space="preserve">Competences – English): </w:t>
      </w:r>
    </w:p>
    <w:p w:rsidR="005D4347" w:rsidRPr="005D4347" w:rsidRDefault="005D4347" w:rsidP="005D4347">
      <w:pPr>
        <w:widowControl w:val="0"/>
        <w:spacing w:before="120" w:after="0" w:line="240" w:lineRule="auto"/>
        <w:ind w:left="425"/>
        <w:jc w:val="both"/>
        <w:rPr>
          <w:rFonts w:ascii="Times New Roman" w:eastAsia="Times New Roman" w:hAnsi="Times New Roman" w:cs="Times New Roman"/>
          <w:b/>
          <w:bCs/>
        </w:rPr>
      </w:pPr>
      <w:r w:rsidRPr="005D4347">
        <w:rPr>
          <w:rFonts w:ascii="Times New Roman" w:eastAsia="Times New Roman" w:hAnsi="Times New Roman" w:cs="Times New Roman"/>
          <w:b/>
          <w:bCs/>
        </w:rPr>
        <w:t xml:space="preserve">Knowledge: </w:t>
      </w:r>
    </w:p>
    <w:p w:rsidR="005D4347" w:rsidRDefault="005D4347" w:rsidP="005D4347">
      <w:pPr>
        <w:widowControl w:val="0"/>
        <w:spacing w:after="120" w:line="240" w:lineRule="auto"/>
        <w:ind w:left="425"/>
        <w:jc w:val="both"/>
      </w:pPr>
      <w:r>
        <w:rPr>
          <w:rFonts w:ascii="Times New Roman" w:eastAsia="Times New Roman" w:hAnsi="Times New Roman" w:cs="Times New Roman"/>
          <w:bCs/>
        </w:rPr>
        <w:t>-</w:t>
      </w:r>
      <w:r>
        <w:rPr>
          <w:rFonts w:ascii="Times New Roman" w:eastAsia="Times New Roman" w:hAnsi="Times New Roman" w:cs="Times New Roman"/>
          <w:bCs/>
        </w:rPr>
        <w:tab/>
      </w:r>
      <w:r>
        <w:rPr>
          <w:rStyle w:val="tlid-translation"/>
          <w:rFonts w:ascii="Times New Roman" w:eastAsia="Calibri" w:hAnsi="Times New Roman" w:cs="Times New Roman"/>
          <w:bCs/>
          <w:lang w:val="en"/>
        </w:rPr>
        <w:t>Knows the laws of mathematics and mechanics, has basic technical knowledge.</w:t>
      </w:r>
    </w:p>
    <w:p w:rsidR="005D4347" w:rsidRDefault="005D4347" w:rsidP="005D4347">
      <w:pPr>
        <w:widowControl w:val="0"/>
        <w:spacing w:before="120" w:after="120" w:line="240" w:lineRule="auto"/>
        <w:ind w:left="426"/>
        <w:jc w:val="both"/>
        <w:rPr>
          <w:rFonts w:ascii="Times New Roman" w:eastAsia="Times New Roman" w:hAnsi="Times New Roman" w:cs="Times New Roman"/>
          <w:lang w:val="en-GB"/>
        </w:rPr>
      </w:pPr>
      <w:r>
        <w:rPr>
          <w:rFonts w:ascii="Times New Roman" w:eastAsia="Times New Roman" w:hAnsi="Times New Roman" w:cs="Times New Roman"/>
          <w:b/>
          <w:lang w:val="en-GB"/>
        </w:rPr>
        <w:lastRenderedPageBreak/>
        <w:t>Capabilities</w:t>
      </w:r>
      <w:r>
        <w:rPr>
          <w:rFonts w:ascii="Times New Roman" w:eastAsia="Times New Roman" w:hAnsi="Times New Roman" w:cs="Times New Roman"/>
          <w:lang w:val="en-GB"/>
        </w:rPr>
        <w:t xml:space="preserve">: </w:t>
      </w:r>
    </w:p>
    <w:p w:rsidR="005D4347" w:rsidRDefault="005D4347" w:rsidP="005D4347">
      <w:pPr>
        <w:widowControl w:val="0"/>
        <w:spacing w:before="120" w:after="120" w:line="240" w:lineRule="auto"/>
        <w:ind w:left="426"/>
        <w:jc w:val="both"/>
      </w:pPr>
      <w:r>
        <w:rPr>
          <w:rFonts w:ascii="Times New Roman" w:eastAsia="Times New Roman" w:hAnsi="Times New Roman" w:cs="Times New Roman"/>
          <w:bCs/>
        </w:rPr>
        <w:t>-</w:t>
      </w:r>
      <w:r>
        <w:rPr>
          <w:rFonts w:ascii="Times New Roman" w:eastAsia="Times New Roman" w:hAnsi="Times New Roman" w:cs="Times New Roman"/>
          <w:bCs/>
        </w:rPr>
        <w:tab/>
      </w:r>
      <w:r>
        <w:rPr>
          <w:rStyle w:val="tlid-translation"/>
          <w:rFonts w:ascii="Times New Roman" w:eastAsia="Calibri" w:hAnsi="Times New Roman" w:cs="Times New Roman"/>
          <w:bCs/>
          <w:lang w:val="en"/>
        </w:rPr>
        <w:t>Able to formulate innovative ideas in their field.</w:t>
      </w:r>
    </w:p>
    <w:p w:rsidR="005D4347" w:rsidRDefault="005D4347" w:rsidP="005D4347">
      <w:pPr>
        <w:widowControl w:val="0"/>
        <w:spacing w:before="120" w:after="120" w:line="240" w:lineRule="auto"/>
        <w:ind w:left="426"/>
        <w:jc w:val="both"/>
      </w:pPr>
      <w:r>
        <w:rPr>
          <w:rStyle w:val="tlid-translation"/>
          <w:rFonts w:ascii="Times New Roman" w:eastAsia="Calibri" w:hAnsi="Times New Roman" w:cs="Times New Roman"/>
          <w:bCs/>
          <w:lang w:val="en"/>
        </w:rPr>
        <w:t>-</w:t>
      </w:r>
      <w:r>
        <w:rPr>
          <w:rStyle w:val="tlid-translation"/>
          <w:rFonts w:ascii="Times New Roman" w:eastAsia="Calibri" w:hAnsi="Times New Roman" w:cs="Times New Roman"/>
          <w:bCs/>
          <w:lang w:val="en"/>
        </w:rPr>
        <w:tab/>
        <w:t>Able to produce accurate logistic and management accounting.</w:t>
      </w:r>
    </w:p>
    <w:p w:rsidR="005D4347" w:rsidRDefault="005D4347" w:rsidP="005D43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lang w:val="en-GB"/>
        </w:rPr>
      </w:pPr>
      <w:r>
        <w:rPr>
          <w:rFonts w:ascii="Times New Roman" w:eastAsia="Times New Roman" w:hAnsi="Times New Roman" w:cs="Times New Roman"/>
          <w:b/>
          <w:lang w:val="en-GB"/>
        </w:rPr>
        <w:t>Attitude:</w:t>
      </w:r>
      <w:r>
        <w:rPr>
          <w:rFonts w:ascii="Times New Roman" w:eastAsia="Times New Roman" w:hAnsi="Times New Roman" w:cs="Times New Roman"/>
          <w:lang w:val="en-GB"/>
        </w:rPr>
        <w:t xml:space="preserve"> </w:t>
      </w:r>
    </w:p>
    <w:p w:rsidR="005D4347" w:rsidRDefault="005D4347" w:rsidP="005D4347">
      <w:pPr>
        <w:widowControl w:val="0"/>
        <w:spacing w:before="120" w:after="120" w:line="240" w:lineRule="auto"/>
        <w:ind w:left="426"/>
        <w:jc w:val="both"/>
      </w:pPr>
      <w:r>
        <w:rPr>
          <w:rFonts w:ascii="Times New Roman" w:eastAsia="Times New Roman" w:hAnsi="Times New Roman" w:cs="Times New Roman"/>
          <w:bCs/>
        </w:rPr>
        <w:t>-</w:t>
      </w:r>
      <w:r>
        <w:rPr>
          <w:rFonts w:ascii="Times New Roman" w:eastAsia="Times New Roman" w:hAnsi="Times New Roman" w:cs="Times New Roman"/>
          <w:bCs/>
        </w:rPr>
        <w:tab/>
      </w:r>
      <w:r>
        <w:rPr>
          <w:rStyle w:val="tlid-translation"/>
          <w:rFonts w:ascii="Times New Roman" w:eastAsia="Calibri" w:hAnsi="Times New Roman" w:cs="Times New Roman"/>
          <w:bCs/>
          <w:lang w:val="en"/>
        </w:rPr>
        <w:t>Open for the new achievements and innovations of their specialty, seeks to know, understand and apply them, and committed to continuous self-education.</w:t>
      </w:r>
    </w:p>
    <w:p w:rsidR="005D4347" w:rsidRDefault="005D4347" w:rsidP="005D4347">
      <w:pPr>
        <w:widowControl w:val="0"/>
        <w:spacing w:before="120" w:after="120" w:line="240" w:lineRule="auto"/>
        <w:ind w:left="426"/>
        <w:jc w:val="both"/>
        <w:rPr>
          <w:rFonts w:ascii="Times New Roman" w:eastAsia="Times New Roman" w:hAnsi="Times New Roman" w:cs="Times New Roman"/>
          <w:lang w:val="en-GB"/>
        </w:rPr>
      </w:pPr>
      <w:r>
        <w:rPr>
          <w:rFonts w:ascii="Times New Roman" w:eastAsia="Times New Roman" w:hAnsi="Times New Roman" w:cs="Times New Roman"/>
          <w:b/>
          <w:lang w:val="en-GB"/>
        </w:rPr>
        <w:t xml:space="preserve">Autonomy and responsibility: </w:t>
      </w:r>
    </w:p>
    <w:p w:rsidR="005D4347" w:rsidRDefault="005D4347" w:rsidP="005D4347">
      <w:pPr>
        <w:widowControl w:val="0"/>
        <w:spacing w:before="120" w:after="120" w:line="240" w:lineRule="auto"/>
        <w:ind w:left="426"/>
        <w:jc w:val="both"/>
      </w:pPr>
      <w:r>
        <w:rPr>
          <w:rFonts w:ascii="Times New Roman" w:eastAsia="Times New Roman" w:hAnsi="Times New Roman" w:cs="Times New Roman"/>
          <w:bCs/>
        </w:rPr>
        <w:t>-</w:t>
      </w:r>
      <w:r>
        <w:rPr>
          <w:rFonts w:ascii="Times New Roman" w:eastAsia="Times New Roman" w:hAnsi="Times New Roman" w:cs="Times New Roman"/>
          <w:bCs/>
        </w:rPr>
        <w:tab/>
      </w:r>
      <w:r>
        <w:rPr>
          <w:rStyle w:val="tlid-translation"/>
          <w:rFonts w:ascii="Times New Roman" w:eastAsia="Calibri" w:hAnsi="Times New Roman" w:cs="Times New Roman"/>
          <w:bCs/>
          <w:lang w:val="en"/>
        </w:rPr>
        <w:t>At the subunit and unit level, it is able to make independent decisions in military logistics and military management processes, making them responsible and within the legal framework.</w:t>
      </w:r>
    </w:p>
    <w:p w:rsidR="005D4347" w:rsidRDefault="005D4347" w:rsidP="00666335">
      <w:pPr>
        <w:widowControl w:val="0"/>
        <w:numPr>
          <w:ilvl w:val="0"/>
          <w:numId w:val="24"/>
        </w:numPr>
        <w:tabs>
          <w:tab w:val="left" w:pos="567"/>
        </w:tabs>
        <w:spacing w:before="120" w:after="120" w:line="240" w:lineRule="auto"/>
        <w:ind w:left="426" w:hanging="142"/>
        <w:jc w:val="both"/>
      </w:pPr>
      <w:r>
        <w:rPr>
          <w:rFonts w:ascii="Times New Roman" w:eastAsia="Times New Roman" w:hAnsi="Times New Roman" w:cs="Times New Roman"/>
          <w:b/>
          <w:bCs/>
        </w:rPr>
        <w:t xml:space="preserve">Előtanulmányi követelmények: </w:t>
      </w:r>
      <w:r>
        <w:rPr>
          <w:rFonts w:ascii="Times New Roman" w:eastAsia="Times New Roman" w:hAnsi="Times New Roman" w:cs="Times New Roman"/>
          <w:sz w:val="24"/>
          <w:szCs w:val="24"/>
        </w:rPr>
        <w:t>nincs</w:t>
      </w:r>
    </w:p>
    <w:p w:rsidR="005D4347" w:rsidRDefault="005D4347" w:rsidP="00666335">
      <w:pPr>
        <w:widowControl w:val="0"/>
        <w:numPr>
          <w:ilvl w:val="0"/>
          <w:numId w:val="24"/>
        </w:numPr>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A tantárgy tananyagának leírása, tematika. Description of the subject, curriculum (magyarul, angolul - English):</w:t>
      </w:r>
    </w:p>
    <w:p w:rsidR="005D4347" w:rsidRDefault="005D4347" w:rsidP="00666335">
      <w:pPr>
        <w:widowControl w:val="0"/>
        <w:numPr>
          <w:ilvl w:val="1"/>
          <w:numId w:val="24"/>
        </w:numPr>
        <w:tabs>
          <w:tab w:val="left" w:pos="709"/>
          <w:tab w:val="left" w:pos="993"/>
          <w:tab w:val="left" w:pos="2069"/>
        </w:tabs>
        <w:spacing w:before="120" w:after="120" w:line="240" w:lineRule="auto"/>
        <w:ind w:left="426" w:firstLine="0"/>
        <w:jc w:val="both"/>
      </w:pPr>
      <w:r>
        <w:rPr>
          <w:rFonts w:ascii="Times New Roman" w:eastAsia="Times New Roman" w:hAnsi="Times New Roman" w:cs="Times New Roman"/>
        </w:rPr>
        <w:t>Függvénytani alapfogalmak. (</w:t>
      </w:r>
      <w:r>
        <w:rPr>
          <w:rFonts w:ascii="Times New Roman" w:eastAsia="Times New Roman" w:hAnsi="Times New Roman" w:cs="Times New Roman"/>
          <w:i/>
          <w:lang w:val="en-US"/>
        </w:rPr>
        <w:t>Basic concepts of function.</w:t>
      </w:r>
      <w:r>
        <w:rPr>
          <w:rFonts w:ascii="Times New Roman" w:eastAsia="Times New Roman" w:hAnsi="Times New Roman" w:cs="Times New Roman"/>
        </w:rPr>
        <w:t>)</w:t>
      </w:r>
    </w:p>
    <w:p w:rsidR="005D4347" w:rsidRDefault="005D4347" w:rsidP="00666335">
      <w:pPr>
        <w:widowControl w:val="0"/>
        <w:numPr>
          <w:ilvl w:val="1"/>
          <w:numId w:val="24"/>
        </w:numPr>
        <w:tabs>
          <w:tab w:val="left" w:pos="709"/>
          <w:tab w:val="left" w:pos="993"/>
          <w:tab w:val="left" w:pos="2069"/>
        </w:tabs>
        <w:spacing w:before="120" w:after="120" w:line="240" w:lineRule="auto"/>
        <w:ind w:left="426" w:firstLine="0"/>
        <w:jc w:val="both"/>
      </w:pPr>
      <w:r>
        <w:rPr>
          <w:rFonts w:ascii="Times New Roman" w:eastAsia="Times New Roman" w:hAnsi="Times New Roman" w:cs="Times New Roman"/>
        </w:rPr>
        <w:t>Elemi függvények. (</w:t>
      </w:r>
      <w:r>
        <w:rPr>
          <w:rFonts w:ascii="Times New Roman" w:eastAsia="Times New Roman" w:hAnsi="Times New Roman" w:cs="Times New Roman"/>
          <w:i/>
        </w:rPr>
        <w:t>Basic functions.</w:t>
      </w:r>
      <w:r>
        <w:rPr>
          <w:rFonts w:ascii="Times New Roman" w:eastAsia="Times New Roman" w:hAnsi="Times New Roman" w:cs="Times New Roman"/>
        </w:rPr>
        <w:t>)</w:t>
      </w:r>
    </w:p>
    <w:p w:rsidR="005D4347" w:rsidRDefault="005D4347" w:rsidP="00666335">
      <w:pPr>
        <w:widowControl w:val="0"/>
        <w:numPr>
          <w:ilvl w:val="1"/>
          <w:numId w:val="24"/>
        </w:numPr>
        <w:tabs>
          <w:tab w:val="left" w:pos="709"/>
          <w:tab w:val="left" w:pos="993"/>
          <w:tab w:val="left" w:pos="2069"/>
        </w:tabs>
        <w:spacing w:before="120" w:after="120" w:line="240" w:lineRule="auto"/>
        <w:ind w:left="426" w:firstLine="0"/>
        <w:jc w:val="both"/>
      </w:pPr>
      <w:r>
        <w:rPr>
          <w:rFonts w:ascii="Times New Roman" w:eastAsia="Times New Roman" w:hAnsi="Times New Roman" w:cs="Times New Roman"/>
        </w:rPr>
        <w:t>Sorozatok és függvények monotonitása, korlátossága, és határértéke. (</w:t>
      </w:r>
      <w:r>
        <w:rPr>
          <w:rFonts w:ascii="Times New Roman" w:eastAsia="Times New Roman" w:hAnsi="Times New Roman" w:cs="Times New Roman"/>
          <w:i/>
          <w:lang w:val="en-US"/>
        </w:rPr>
        <w:t>Monotonicity, boundedness, and limit of series and functions.</w:t>
      </w:r>
      <w:r>
        <w:rPr>
          <w:rFonts w:ascii="Times New Roman" w:eastAsia="Times New Roman" w:hAnsi="Times New Roman" w:cs="Times New Roman"/>
        </w:rPr>
        <w:t>)</w:t>
      </w:r>
    </w:p>
    <w:p w:rsidR="005D4347" w:rsidRDefault="005D4347" w:rsidP="00666335">
      <w:pPr>
        <w:widowControl w:val="0"/>
        <w:numPr>
          <w:ilvl w:val="1"/>
          <w:numId w:val="24"/>
        </w:numPr>
        <w:tabs>
          <w:tab w:val="left" w:pos="709"/>
          <w:tab w:val="left" w:pos="993"/>
          <w:tab w:val="left" w:pos="2069"/>
        </w:tabs>
        <w:spacing w:before="120" w:after="120" w:line="240" w:lineRule="auto"/>
        <w:ind w:left="426" w:firstLine="0"/>
        <w:jc w:val="both"/>
      </w:pPr>
      <w:r>
        <w:rPr>
          <w:rFonts w:ascii="Times New Roman" w:eastAsia="Times New Roman" w:hAnsi="Times New Roman" w:cs="Times New Roman"/>
        </w:rPr>
        <w:t>Függvények folytonossága. (</w:t>
      </w:r>
      <w:r>
        <w:rPr>
          <w:rFonts w:ascii="Times New Roman" w:eastAsia="Times New Roman" w:hAnsi="Times New Roman" w:cs="Times New Roman"/>
          <w:i/>
          <w:lang w:val="en-US"/>
        </w:rPr>
        <w:t>Continuity of functions.</w:t>
      </w:r>
      <w:r>
        <w:rPr>
          <w:rFonts w:ascii="Times New Roman" w:eastAsia="Times New Roman" w:hAnsi="Times New Roman" w:cs="Times New Roman"/>
        </w:rPr>
        <w:t>)</w:t>
      </w:r>
    </w:p>
    <w:p w:rsidR="005D4347" w:rsidRDefault="005D4347" w:rsidP="00666335">
      <w:pPr>
        <w:widowControl w:val="0"/>
        <w:numPr>
          <w:ilvl w:val="1"/>
          <w:numId w:val="24"/>
        </w:numPr>
        <w:tabs>
          <w:tab w:val="left" w:pos="709"/>
          <w:tab w:val="left" w:pos="993"/>
          <w:tab w:val="left" w:pos="2069"/>
        </w:tabs>
        <w:spacing w:before="120" w:after="120" w:line="240" w:lineRule="auto"/>
        <w:ind w:left="426" w:firstLine="0"/>
        <w:jc w:val="both"/>
      </w:pPr>
      <w:r>
        <w:rPr>
          <w:rFonts w:ascii="Times New Roman" w:eastAsia="Times New Roman" w:hAnsi="Times New Roman" w:cs="Times New Roman"/>
        </w:rPr>
        <w:t>A differenciálhányados fogalma. (</w:t>
      </w:r>
      <w:r>
        <w:rPr>
          <w:rFonts w:ascii="Times New Roman" w:eastAsia="Times New Roman" w:hAnsi="Times New Roman" w:cs="Times New Roman"/>
          <w:i/>
          <w:lang w:val="en-US"/>
        </w:rPr>
        <w:t>The concept of differential.</w:t>
      </w:r>
      <w:r>
        <w:rPr>
          <w:rFonts w:ascii="Times New Roman" w:eastAsia="Times New Roman" w:hAnsi="Times New Roman" w:cs="Times New Roman"/>
        </w:rPr>
        <w:t>)</w:t>
      </w:r>
    </w:p>
    <w:p w:rsidR="005D4347" w:rsidRDefault="005D4347" w:rsidP="00666335">
      <w:pPr>
        <w:widowControl w:val="0"/>
        <w:numPr>
          <w:ilvl w:val="1"/>
          <w:numId w:val="24"/>
        </w:numPr>
        <w:tabs>
          <w:tab w:val="left" w:pos="709"/>
          <w:tab w:val="left" w:pos="993"/>
          <w:tab w:val="left" w:pos="2069"/>
        </w:tabs>
        <w:spacing w:before="120" w:after="120" w:line="240" w:lineRule="auto"/>
        <w:ind w:left="426" w:firstLine="0"/>
        <w:jc w:val="both"/>
      </w:pPr>
      <w:r>
        <w:rPr>
          <w:rFonts w:ascii="Times New Roman" w:eastAsia="Times New Roman" w:hAnsi="Times New Roman" w:cs="Times New Roman"/>
        </w:rPr>
        <w:t>Deriválási szabályok, alapderiváltak. (</w:t>
      </w:r>
      <w:r>
        <w:rPr>
          <w:rFonts w:ascii="Times New Roman" w:eastAsia="Times New Roman" w:hAnsi="Times New Roman" w:cs="Times New Roman"/>
          <w:i/>
          <w:lang w:val="en-US"/>
        </w:rPr>
        <w:t>Derivation rules, basic derivatives.</w:t>
      </w:r>
      <w:r>
        <w:rPr>
          <w:rFonts w:ascii="Times New Roman" w:eastAsia="Times New Roman" w:hAnsi="Times New Roman" w:cs="Times New Roman"/>
        </w:rPr>
        <w:t>)</w:t>
      </w:r>
    </w:p>
    <w:p w:rsidR="005D4347" w:rsidRDefault="005D4347" w:rsidP="00666335">
      <w:pPr>
        <w:widowControl w:val="0"/>
        <w:numPr>
          <w:ilvl w:val="1"/>
          <w:numId w:val="24"/>
        </w:numPr>
        <w:tabs>
          <w:tab w:val="left" w:pos="709"/>
          <w:tab w:val="left" w:pos="993"/>
          <w:tab w:val="left" w:pos="2069"/>
        </w:tabs>
        <w:spacing w:before="120" w:after="120" w:line="240" w:lineRule="auto"/>
        <w:ind w:left="426" w:firstLine="0"/>
        <w:jc w:val="both"/>
      </w:pPr>
      <w:r>
        <w:rPr>
          <w:rFonts w:ascii="Times New Roman" w:eastAsia="Times New Roman" w:hAnsi="Times New Roman" w:cs="Times New Roman"/>
        </w:rPr>
        <w:t>A differenciálhányados geometriai és fizikai jelentése. (</w:t>
      </w:r>
      <w:r>
        <w:rPr>
          <w:rFonts w:ascii="Times New Roman" w:eastAsia="Times New Roman" w:hAnsi="Times New Roman" w:cs="Times New Roman"/>
          <w:i/>
          <w:lang w:val="en-US"/>
        </w:rPr>
        <w:t>The geometric and physical meaning of the differential.</w:t>
      </w:r>
      <w:r>
        <w:rPr>
          <w:rFonts w:ascii="Times New Roman" w:eastAsia="Times New Roman" w:hAnsi="Times New Roman" w:cs="Times New Roman"/>
        </w:rPr>
        <w:t>)</w:t>
      </w:r>
    </w:p>
    <w:p w:rsidR="005D4347" w:rsidRDefault="005D4347" w:rsidP="00666335">
      <w:pPr>
        <w:widowControl w:val="0"/>
        <w:numPr>
          <w:ilvl w:val="1"/>
          <w:numId w:val="24"/>
        </w:numPr>
        <w:tabs>
          <w:tab w:val="left" w:pos="709"/>
          <w:tab w:val="left" w:pos="993"/>
          <w:tab w:val="left" w:pos="2069"/>
        </w:tabs>
        <w:spacing w:before="120" w:after="120" w:line="240" w:lineRule="auto"/>
        <w:ind w:left="426" w:firstLine="0"/>
        <w:jc w:val="both"/>
      </w:pPr>
      <w:r>
        <w:rPr>
          <w:rFonts w:ascii="Times New Roman" w:eastAsia="Times New Roman" w:hAnsi="Times New Roman" w:cs="Times New Roman"/>
        </w:rPr>
        <w:t>Érintőegyenes, lineáris közelítés. (</w:t>
      </w:r>
      <w:r>
        <w:rPr>
          <w:rFonts w:ascii="Times New Roman" w:eastAsia="Times New Roman" w:hAnsi="Times New Roman" w:cs="Times New Roman"/>
          <w:i/>
          <w:lang w:val="en-US"/>
        </w:rPr>
        <w:t>Tangent line, linear approximation.</w:t>
      </w:r>
      <w:r>
        <w:rPr>
          <w:rFonts w:ascii="Times New Roman" w:eastAsia="Times New Roman" w:hAnsi="Times New Roman" w:cs="Times New Roman"/>
        </w:rPr>
        <w:t>)</w:t>
      </w:r>
    </w:p>
    <w:p w:rsidR="005D4347" w:rsidRDefault="005D4347" w:rsidP="00666335">
      <w:pPr>
        <w:widowControl w:val="0"/>
        <w:numPr>
          <w:ilvl w:val="1"/>
          <w:numId w:val="24"/>
        </w:numPr>
        <w:tabs>
          <w:tab w:val="left" w:pos="709"/>
          <w:tab w:val="left" w:pos="993"/>
          <w:tab w:val="left" w:pos="2069"/>
        </w:tabs>
        <w:spacing w:before="120" w:after="120" w:line="240" w:lineRule="auto"/>
        <w:ind w:left="426" w:firstLine="0"/>
        <w:jc w:val="both"/>
      </w:pPr>
      <w:r>
        <w:rPr>
          <w:rFonts w:ascii="Times New Roman" w:eastAsia="Times New Roman" w:hAnsi="Times New Roman" w:cs="Times New Roman"/>
        </w:rPr>
        <w:t>Differenciálhányados alkalmazásai: szélsőértékek meghatározása, L'Hospital szabály, teljes függvényvizsgálat. (</w:t>
      </w:r>
      <w:r>
        <w:rPr>
          <w:rFonts w:ascii="Times New Roman" w:eastAsia="Times New Roman" w:hAnsi="Times New Roman" w:cs="Times New Roman"/>
          <w:i/>
          <w:lang w:val="en-US"/>
        </w:rPr>
        <w:t>Applications of Differential: Determining Extreme values, L'Hospital Rule, Complet analysis of a function.</w:t>
      </w:r>
      <w:r>
        <w:rPr>
          <w:rFonts w:ascii="Times New Roman" w:eastAsia="Times New Roman" w:hAnsi="Times New Roman" w:cs="Times New Roman"/>
        </w:rPr>
        <w:t>)</w:t>
      </w:r>
    </w:p>
    <w:p w:rsidR="005D4347" w:rsidRDefault="005D4347" w:rsidP="00666335">
      <w:pPr>
        <w:widowControl w:val="0"/>
        <w:numPr>
          <w:ilvl w:val="0"/>
          <w:numId w:val="24"/>
        </w:numPr>
        <w:tabs>
          <w:tab w:val="left" w:pos="360"/>
        </w:tabs>
        <w:spacing w:before="120" w:after="120" w:line="240" w:lineRule="auto"/>
        <w:ind w:left="426" w:hanging="142"/>
        <w:jc w:val="both"/>
      </w:pPr>
      <w:r>
        <w:rPr>
          <w:rFonts w:ascii="Times New Roman" w:eastAsia="Times New Roman" w:hAnsi="Times New Roman" w:cs="Times New Roman"/>
          <w:b/>
          <w:bCs/>
        </w:rPr>
        <w:t xml:space="preserve">A tantárgy meghirdetésének gyakorisága/a tantervben történő félévi elhelyezkedése: </w:t>
      </w:r>
      <w:r>
        <w:rPr>
          <w:rFonts w:ascii="Times New Roman" w:eastAsia="Times New Roman" w:hAnsi="Times New Roman" w:cs="Times New Roman"/>
          <w:b/>
          <w:bCs/>
        </w:rPr>
        <w:br/>
      </w:r>
      <w:r>
        <w:rPr>
          <w:rFonts w:ascii="Times New Roman" w:hAnsi="Times New Roman" w:cs="Times New Roman"/>
          <w:sz w:val="24"/>
          <w:szCs w:val="24"/>
        </w:rPr>
        <w:t>évente / 1. félév</w:t>
      </w:r>
    </w:p>
    <w:p w:rsidR="005D4347" w:rsidRDefault="005D4347" w:rsidP="00666335">
      <w:pPr>
        <w:widowControl w:val="0"/>
        <w:numPr>
          <w:ilvl w:val="0"/>
          <w:numId w:val="24"/>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tanórákon való részvétel követelményei, az elfogadható hiányzások mértéke, a távolmaradás pótlásának lehetősége:</w:t>
      </w:r>
      <w:r>
        <w:rPr>
          <w:rFonts w:ascii="Times New Roman" w:eastAsia="Times New Roman" w:hAnsi="Times New Roman" w:cs="Times New Roman"/>
          <w:bCs/>
        </w:rPr>
        <w:t xml:space="preserve"> A tantárgy teljesítéséhez a tanórák legalább 70%-án jelen kell lennie a hallgatónak. Az ezt meghaladó mértékű hiányzás a féléves aláírás megtagadását vonja maga után. A távollétet a hiányzást követő első foglalkozáson kell igazolnia. A hallgató köteles a mulasztott tanóra anyagát beszerezni, abból önállóan felkészülni.</w:t>
      </w:r>
    </w:p>
    <w:p w:rsidR="005D4347" w:rsidRDefault="005D4347" w:rsidP="00666335">
      <w:pPr>
        <w:widowControl w:val="0"/>
        <w:numPr>
          <w:ilvl w:val="0"/>
          <w:numId w:val="24"/>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rPr>
        <w:t>Félévközi feladatok, ismeretek ellenőrzésének rendje:</w:t>
      </w:r>
      <w:r>
        <w:rPr>
          <w:rFonts w:ascii="Times New Roman" w:eastAsia="Times New Roman" w:hAnsi="Times New Roman" w:cs="Times New Roman"/>
          <w:bCs/>
        </w:rPr>
        <w:t xml:space="preserve"> </w:t>
      </w:r>
    </w:p>
    <w:p w:rsidR="005D4347" w:rsidRDefault="005D4347" w:rsidP="005D4347">
      <w:pPr>
        <w:widowControl w:val="0"/>
        <w:spacing w:before="120" w:after="120" w:line="240" w:lineRule="auto"/>
        <w:ind w:left="426"/>
        <w:jc w:val="both"/>
      </w:pPr>
      <w:r>
        <w:rPr>
          <w:rFonts w:ascii="Times New Roman" w:eastAsia="Times New Roman" w:hAnsi="Times New Roman" w:cs="Times New Roman"/>
          <w:bCs/>
        </w:rPr>
        <w:t>A számonkérés a félév során két zárthelyi dolgozat keretében történik. Az első dolgozat a 12.1 - 12.4 anyagrészt, a második dolgozat a 12.5 - 12.9 anyagrészt kéri számon</w:t>
      </w:r>
      <w:r>
        <w:rPr>
          <w:rFonts w:ascii="Times New Roman" w:eastAsia="Times New Roman" w:hAnsi="Times New Roman" w:cs="Times New Roman"/>
        </w:rPr>
        <w:t xml:space="preserve">. </w:t>
      </w:r>
    </w:p>
    <w:p w:rsidR="005D4347" w:rsidRDefault="005D4347" w:rsidP="005D4347">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bCs/>
        </w:rPr>
        <w:t>A dolgozatok pótlására, javítására egyszer, a szorgalmi időszak utolsó hetében van lehetőség egy pótdolgozat keretében.</w:t>
      </w:r>
    </w:p>
    <w:p w:rsidR="005D4347" w:rsidRDefault="005D4347" w:rsidP="005D4347">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Az érdemjegy megszerzéséhez a zárthelyi dolgozat(ok) összpontszámának vagy a pótdolgozat pontszámának több mint 50%-a szükséges. Az elégséges érdemjegyhez 51-60% szükséges, közepeshez 61-75%, jóhoz 76-90%, jeleshez 91-100%.</w:t>
      </w:r>
    </w:p>
    <w:p w:rsidR="005D4347" w:rsidRDefault="005D4347" w:rsidP="00666335">
      <w:pPr>
        <w:widowControl w:val="0"/>
        <w:numPr>
          <w:ilvl w:val="0"/>
          <w:numId w:val="24"/>
        </w:numPr>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Az értékelés, az aláírás és a kreditek megszerzésének pontos feltételei: </w:t>
      </w:r>
    </w:p>
    <w:p w:rsidR="005D4347" w:rsidRDefault="005D4347" w:rsidP="00666335">
      <w:pPr>
        <w:widowControl w:val="0"/>
        <w:numPr>
          <w:ilvl w:val="1"/>
          <w:numId w:val="24"/>
        </w:numPr>
        <w:tabs>
          <w:tab w:val="left" w:pos="709"/>
          <w:tab w:val="left" w:pos="993"/>
        </w:tabs>
        <w:spacing w:before="120" w:after="120" w:line="240" w:lineRule="auto"/>
        <w:ind w:left="425" w:firstLine="0"/>
        <w:jc w:val="both"/>
        <w:rPr>
          <w:rFonts w:ascii="Times New Roman" w:eastAsia="Times New Roman" w:hAnsi="Times New Roman" w:cs="Times New Roman"/>
        </w:rPr>
      </w:pPr>
      <w:r>
        <w:rPr>
          <w:rFonts w:ascii="Times New Roman" w:eastAsia="Times New Roman" w:hAnsi="Times New Roman" w:cs="Times New Roman"/>
          <w:b/>
        </w:rPr>
        <w:t>Az aláírás megszerzésének feltételei:</w:t>
      </w:r>
      <w:r>
        <w:rPr>
          <w:rFonts w:ascii="Times New Roman" w:eastAsia="Times New Roman" w:hAnsi="Times New Roman" w:cs="Times New Roman"/>
        </w:rPr>
        <w:t xml:space="preserve"> Az aláírás megszerzésének feltétele a 14. pontban </w:t>
      </w:r>
      <w:r>
        <w:rPr>
          <w:rFonts w:ascii="Times New Roman" w:eastAsia="Times New Roman" w:hAnsi="Times New Roman" w:cs="Times New Roman"/>
        </w:rPr>
        <w:lastRenderedPageBreak/>
        <w:t>meghatározott arányú részvétel a foglalkozásokon valamint a 15. pontban meghatározott félévközi feladatok legalább elégséges teljesítése.</w:t>
      </w:r>
    </w:p>
    <w:p w:rsidR="005D4347" w:rsidRDefault="005D4347" w:rsidP="00666335">
      <w:pPr>
        <w:widowControl w:val="0"/>
        <w:numPr>
          <w:ilvl w:val="1"/>
          <w:numId w:val="24"/>
        </w:numPr>
        <w:tabs>
          <w:tab w:val="left" w:pos="709"/>
          <w:tab w:val="left" w:pos="993"/>
          <w:tab w:val="left" w:pos="2069"/>
        </w:tabs>
        <w:spacing w:before="120" w:after="120" w:line="240" w:lineRule="auto"/>
        <w:ind w:left="426" w:firstLine="0"/>
        <w:jc w:val="both"/>
      </w:pPr>
      <w:r>
        <w:rPr>
          <w:rFonts w:ascii="Times New Roman" w:eastAsia="Times New Roman" w:hAnsi="Times New Roman" w:cs="Times New Roman"/>
          <w:b/>
        </w:rPr>
        <w:t>Az értékelés:</w:t>
      </w:r>
      <w:r>
        <w:rPr>
          <w:rFonts w:ascii="Times New Roman" w:eastAsia="Times New Roman" w:hAnsi="Times New Roman" w:cs="Times New Roman"/>
        </w:rPr>
        <w:t xml:space="preserve"> gyakorlati jegy</w:t>
      </w:r>
    </w:p>
    <w:p w:rsidR="005D4347" w:rsidRDefault="005D4347" w:rsidP="00666335">
      <w:pPr>
        <w:widowControl w:val="0"/>
        <w:numPr>
          <w:ilvl w:val="1"/>
          <w:numId w:val="24"/>
        </w:numPr>
        <w:tabs>
          <w:tab w:val="left" w:pos="709"/>
          <w:tab w:val="left" w:pos="993"/>
          <w:tab w:val="left" w:pos="2069"/>
        </w:tabs>
        <w:spacing w:before="120" w:after="120" w:line="240" w:lineRule="auto"/>
        <w:ind w:left="426" w:firstLine="0"/>
        <w:jc w:val="both"/>
      </w:pPr>
      <w:r>
        <w:rPr>
          <w:rFonts w:ascii="Times New Roman" w:eastAsia="Times New Roman" w:hAnsi="Times New Roman" w:cs="Times New Roman"/>
          <w:b/>
        </w:rPr>
        <w:t>A kreditek megszerzésének feltételei:</w:t>
      </w:r>
      <w:r>
        <w:rPr>
          <w:rFonts w:ascii="Times New Roman" w:eastAsia="Times New Roman" w:hAnsi="Times New Roman" w:cs="Times New Roman"/>
        </w:rPr>
        <w:t xml:space="preserve"> A kreditek megszerzésének feltétele az aláírás megszerzése és legalább elégséges érdemjegy.</w:t>
      </w:r>
    </w:p>
    <w:p w:rsidR="005D4347" w:rsidRDefault="005D4347" w:rsidP="00666335">
      <w:pPr>
        <w:widowControl w:val="0"/>
        <w:numPr>
          <w:ilvl w:val="0"/>
          <w:numId w:val="24"/>
        </w:numPr>
        <w:tabs>
          <w:tab w:val="left"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Irodalomjegyzék:</w:t>
      </w:r>
    </w:p>
    <w:p w:rsidR="005D4347" w:rsidRDefault="005D4347" w:rsidP="00666335">
      <w:pPr>
        <w:widowControl w:val="0"/>
        <w:numPr>
          <w:ilvl w:val="1"/>
          <w:numId w:val="24"/>
        </w:numPr>
        <w:tabs>
          <w:tab w:val="left" w:pos="567"/>
          <w:tab w:val="left" w:pos="851"/>
          <w:tab w:val="left" w:pos="2069"/>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Kötelező irodalom:</w:t>
      </w:r>
    </w:p>
    <w:p w:rsidR="005D4347" w:rsidRDefault="005D4347" w:rsidP="00666335">
      <w:pPr>
        <w:pStyle w:val="Listaszerbekezds"/>
        <w:widowControl w:val="0"/>
        <w:numPr>
          <w:ilvl w:val="0"/>
          <w:numId w:val="25"/>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Kocsiné Fábián Margit: Függvénytan és differenciálszámítás, ZMNE, 2006.</w:t>
      </w:r>
    </w:p>
    <w:p w:rsidR="005D4347" w:rsidRDefault="005D4347" w:rsidP="00666335">
      <w:pPr>
        <w:pStyle w:val="Listaszerbekezds"/>
        <w:widowControl w:val="0"/>
        <w:numPr>
          <w:ilvl w:val="0"/>
          <w:numId w:val="25"/>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Szeitz Judit: Matematikai feladatgyűjtemény, ZMNE 2004.</w:t>
      </w:r>
    </w:p>
    <w:p w:rsidR="005D4347" w:rsidRDefault="005D4347" w:rsidP="00666335">
      <w:pPr>
        <w:pStyle w:val="Listaszerbekezds"/>
        <w:widowControl w:val="0"/>
        <w:numPr>
          <w:ilvl w:val="0"/>
          <w:numId w:val="25"/>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Bárczy Barnabás: Differenciálszámítás, Műszaki Könyvkiadó, 2007. ISBN: 9789631630381</w:t>
      </w:r>
    </w:p>
    <w:p w:rsidR="005D4347" w:rsidRDefault="005D4347" w:rsidP="00666335">
      <w:pPr>
        <w:widowControl w:val="0"/>
        <w:numPr>
          <w:ilvl w:val="1"/>
          <w:numId w:val="24"/>
        </w:numPr>
        <w:tabs>
          <w:tab w:val="left" w:pos="567"/>
          <w:tab w:val="left" w:pos="2069"/>
        </w:tabs>
        <w:spacing w:before="120" w:after="120" w:line="240" w:lineRule="auto"/>
        <w:ind w:left="993" w:hanging="709"/>
        <w:jc w:val="both"/>
        <w:rPr>
          <w:rFonts w:ascii="Times New Roman" w:eastAsia="Times New Roman" w:hAnsi="Times New Roman" w:cs="Times New Roman"/>
          <w:b/>
          <w:bCs/>
        </w:rPr>
      </w:pPr>
      <w:r>
        <w:rPr>
          <w:rFonts w:ascii="Times New Roman" w:eastAsia="Times New Roman" w:hAnsi="Times New Roman" w:cs="Times New Roman"/>
          <w:b/>
          <w:bCs/>
        </w:rPr>
        <w:t>Ajánlott irodalom:</w:t>
      </w:r>
    </w:p>
    <w:p w:rsidR="005D4347" w:rsidRDefault="005D4347" w:rsidP="00666335">
      <w:pPr>
        <w:pStyle w:val="Listaszerbekezds"/>
        <w:widowControl w:val="0"/>
        <w:numPr>
          <w:ilvl w:val="0"/>
          <w:numId w:val="26"/>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Joel R. Hass, Christopher E. Heil, Maurice D. Weir: Thomas’ Calculus, Pearson, 2017. ISBN: 9780134438986</w:t>
      </w:r>
    </w:p>
    <w:p w:rsidR="005D4347" w:rsidRDefault="005D4347" w:rsidP="00666335">
      <w:pPr>
        <w:pStyle w:val="Listaszerbekezds"/>
        <w:widowControl w:val="0"/>
        <w:numPr>
          <w:ilvl w:val="0"/>
          <w:numId w:val="26"/>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Kovács József, Takács Gábor, Takács Miklós: Analízis. Nemzeti Tankönyvkiadó, 2012. ISBN: 9789631954913</w:t>
      </w:r>
    </w:p>
    <w:p w:rsidR="005D4347" w:rsidRDefault="005D4347" w:rsidP="00666335">
      <w:pPr>
        <w:pStyle w:val="Listaszerbekezds"/>
        <w:widowControl w:val="0"/>
        <w:numPr>
          <w:ilvl w:val="0"/>
          <w:numId w:val="26"/>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Scharnitzky Viktor: Matematikai feladatok. Nemzeti Tankönyvkiadó, 2002. ISBN: 963193330X</w:t>
      </w:r>
    </w:p>
    <w:p w:rsidR="005D4347" w:rsidRDefault="005D4347" w:rsidP="005D4347">
      <w:pPr>
        <w:widowControl w:val="0"/>
        <w:spacing w:before="120" w:after="120" w:line="240" w:lineRule="auto"/>
        <w:jc w:val="both"/>
        <w:rPr>
          <w:rFonts w:ascii="Times New Roman" w:eastAsia="Times New Roman" w:hAnsi="Times New Roman" w:cs="Times New Roman"/>
          <w:bCs/>
        </w:rPr>
      </w:pPr>
      <w:r>
        <w:rPr>
          <w:rFonts w:ascii="Times New Roman" w:eastAsia="Times New Roman" w:hAnsi="Times New Roman" w:cs="Times New Roman"/>
          <w:bCs/>
        </w:rPr>
        <w:t>Budapest, 2020. január 31.</w:t>
      </w:r>
    </w:p>
    <w:p w:rsidR="005D4347" w:rsidRDefault="005D4347" w:rsidP="005D4347">
      <w:pPr>
        <w:widowControl w:val="0"/>
        <w:spacing w:before="120" w:after="120" w:line="240" w:lineRule="auto"/>
        <w:jc w:val="both"/>
        <w:rPr>
          <w:rFonts w:ascii="Times New Roman" w:eastAsia="Times New Roman" w:hAnsi="Times New Roman" w:cs="Times New Roman"/>
          <w:bCs/>
          <w:color w:val="00000A"/>
        </w:rPr>
      </w:pPr>
    </w:p>
    <w:p w:rsidR="005D4347" w:rsidRDefault="005D4347" w:rsidP="005D4347">
      <w:pPr>
        <w:widowControl w:val="0"/>
        <w:spacing w:after="0" w:line="240" w:lineRule="auto"/>
        <w:jc w:val="right"/>
      </w:pPr>
      <w:r>
        <w:rPr>
          <w:rFonts w:ascii="Times New Roman" w:eastAsia="Times New Roman" w:hAnsi="Times New Roman" w:cs="Times New Roman"/>
          <w:bCs/>
        </w:rPr>
        <w:t xml:space="preserve">Dr. Nagy Imre, PhD </w:t>
      </w:r>
    </w:p>
    <w:p w:rsidR="005D4347" w:rsidRDefault="005D4347" w:rsidP="005D4347">
      <w:pPr>
        <w:widowControl w:val="0"/>
        <w:spacing w:after="0" w:line="240" w:lineRule="auto"/>
        <w:jc w:val="right"/>
      </w:pPr>
      <w:r>
        <w:rPr>
          <w:rFonts w:ascii="Times New Roman" w:eastAsia="Times New Roman" w:hAnsi="Times New Roman" w:cs="Times New Roman"/>
          <w:bCs/>
        </w:rPr>
        <w:t>adjunktus, sk.</w:t>
      </w:r>
    </w:p>
    <w:p w:rsidR="005D4347" w:rsidRDefault="005D4347">
      <w:pPr>
        <w:spacing w:after="200" w:line="276" w:lineRule="auto"/>
        <w:rPr>
          <w:rFonts w:ascii="Times New Roman" w:hAnsi="Times New Roman" w:cs="Times New Roman"/>
          <w:sz w:val="24"/>
        </w:rPr>
      </w:pPr>
    </w:p>
    <w:p w:rsidR="005D4347" w:rsidRDefault="005D4347">
      <w:pPr>
        <w:spacing w:after="200" w:line="276" w:lineRule="auto"/>
        <w:rPr>
          <w:rFonts w:ascii="Times New Roman" w:hAnsi="Times New Roman" w:cs="Times New Roman"/>
          <w:sz w:val="24"/>
        </w:rPr>
      </w:pPr>
      <w:r>
        <w:rPr>
          <w:rFonts w:ascii="Times New Roman" w:hAnsi="Times New Roman" w:cs="Times New Roman"/>
          <w:sz w:val="24"/>
        </w:rPr>
        <w:br w:type="page"/>
      </w:r>
    </w:p>
    <w:tbl>
      <w:tblPr>
        <w:tblW w:w="9072" w:type="dxa"/>
        <w:tblInd w:w="113" w:type="dxa"/>
        <w:tblLook w:val="01E0" w:firstRow="1" w:lastRow="1" w:firstColumn="1" w:lastColumn="1" w:noHBand="0" w:noVBand="0"/>
      </w:tblPr>
      <w:tblGrid>
        <w:gridCol w:w="4855"/>
        <w:gridCol w:w="1620"/>
        <w:gridCol w:w="2597"/>
      </w:tblGrid>
      <w:tr w:rsidR="005D4347" w:rsidTr="005D4347">
        <w:tc>
          <w:tcPr>
            <w:tcW w:w="4855" w:type="dxa"/>
            <w:tcBorders>
              <w:top w:val="nil"/>
              <w:left w:val="nil"/>
              <w:bottom w:val="single" w:sz="4" w:space="0" w:color="auto"/>
              <w:right w:val="nil"/>
            </w:tcBorders>
            <w:hideMark/>
          </w:tcPr>
          <w:p w:rsidR="005D4347" w:rsidRDefault="005D4347">
            <w:pPr>
              <w:spacing w:after="0" w:line="240" w:lineRule="auto"/>
              <w:jc w:val="center"/>
              <w:rPr>
                <w:rFonts w:ascii="Times New Roman" w:eastAsia="Times New Roman" w:hAnsi="Times New Roman" w:cs="Times New Roman"/>
                <w:b/>
                <w:smallCaps/>
                <w:lang w:eastAsia="hu-HU"/>
              </w:rPr>
            </w:pPr>
            <w:r>
              <w:rPr>
                <w:rFonts w:ascii="Times New Roman" w:eastAsia="Times New Roman" w:hAnsi="Times New Roman" w:cs="Times New Roman"/>
                <w:b/>
                <w:smallCaps/>
                <w:lang w:eastAsia="hu-HU"/>
              </w:rPr>
              <w:lastRenderedPageBreak/>
              <w:t>Nemzeti Közszolgálati Egyetem</w:t>
            </w:r>
          </w:p>
        </w:tc>
        <w:tc>
          <w:tcPr>
            <w:tcW w:w="1620" w:type="dxa"/>
          </w:tcPr>
          <w:p w:rsidR="005D4347" w:rsidRDefault="005D4347">
            <w:pPr>
              <w:spacing w:after="0" w:line="240" w:lineRule="auto"/>
              <w:jc w:val="both"/>
              <w:rPr>
                <w:rFonts w:ascii="Times New Roman" w:eastAsia="Times New Roman" w:hAnsi="Times New Roman" w:cs="Times New Roman"/>
                <w:lang w:eastAsia="hu-HU"/>
              </w:rPr>
            </w:pPr>
          </w:p>
        </w:tc>
        <w:tc>
          <w:tcPr>
            <w:tcW w:w="2597" w:type="dxa"/>
          </w:tcPr>
          <w:p w:rsidR="005D4347" w:rsidRDefault="005D4347">
            <w:pPr>
              <w:spacing w:after="0" w:line="240" w:lineRule="auto"/>
              <w:jc w:val="right"/>
              <w:rPr>
                <w:rFonts w:ascii="Times New Roman" w:eastAsia="Times New Roman" w:hAnsi="Times New Roman" w:cs="Times New Roman"/>
                <w:lang w:eastAsia="hu-HU"/>
              </w:rPr>
            </w:pPr>
          </w:p>
        </w:tc>
      </w:tr>
      <w:tr w:rsidR="005D4347" w:rsidTr="005D4347">
        <w:tc>
          <w:tcPr>
            <w:tcW w:w="4855" w:type="dxa"/>
            <w:tcBorders>
              <w:top w:val="single" w:sz="4" w:space="0" w:color="auto"/>
              <w:left w:val="nil"/>
              <w:bottom w:val="nil"/>
              <w:right w:val="nil"/>
            </w:tcBorders>
            <w:hideMark/>
          </w:tcPr>
          <w:p w:rsidR="005D4347" w:rsidRDefault="005D4347">
            <w:pPr>
              <w:spacing w:after="0" w:line="240" w:lineRule="auto"/>
              <w:jc w:val="center"/>
              <w:rPr>
                <w:rFonts w:ascii="Times New Roman" w:eastAsia="Times New Roman" w:hAnsi="Times New Roman" w:cs="Times New Roman"/>
                <w:b/>
                <w:lang w:eastAsia="hu-HU"/>
              </w:rPr>
            </w:pPr>
            <w:r>
              <w:rPr>
                <w:rFonts w:ascii="Times New Roman" w:eastAsia="Times New Roman" w:hAnsi="Times New Roman" w:cs="Times New Roman"/>
                <w:b/>
                <w:lang w:eastAsia="hu-HU"/>
              </w:rPr>
              <w:t>Hadtudományi és Honvédtisztképző Kar</w:t>
            </w:r>
          </w:p>
        </w:tc>
        <w:tc>
          <w:tcPr>
            <w:tcW w:w="1620" w:type="dxa"/>
          </w:tcPr>
          <w:p w:rsidR="005D4347" w:rsidRDefault="005D4347">
            <w:pPr>
              <w:spacing w:after="0" w:line="240" w:lineRule="auto"/>
              <w:jc w:val="both"/>
              <w:rPr>
                <w:rFonts w:ascii="Times New Roman" w:eastAsia="Times New Roman" w:hAnsi="Times New Roman" w:cs="Times New Roman"/>
                <w:lang w:eastAsia="hu-HU"/>
              </w:rPr>
            </w:pPr>
          </w:p>
        </w:tc>
        <w:tc>
          <w:tcPr>
            <w:tcW w:w="2597" w:type="dxa"/>
          </w:tcPr>
          <w:p w:rsidR="005D4347" w:rsidRDefault="005D4347">
            <w:pPr>
              <w:spacing w:after="0" w:line="240" w:lineRule="auto"/>
              <w:jc w:val="both"/>
              <w:rPr>
                <w:rFonts w:ascii="Times New Roman" w:eastAsia="Times New Roman" w:hAnsi="Times New Roman" w:cs="Times New Roman"/>
                <w:lang w:eastAsia="hu-HU"/>
              </w:rPr>
            </w:pPr>
          </w:p>
        </w:tc>
      </w:tr>
    </w:tbl>
    <w:p w:rsidR="005D4347" w:rsidRDefault="005D4347" w:rsidP="005D4347">
      <w:pPr>
        <w:widowControl w:val="0"/>
        <w:spacing w:before="120" w:after="120" w:line="240" w:lineRule="auto"/>
        <w:ind w:left="426" w:hanging="142"/>
        <w:jc w:val="center"/>
        <w:rPr>
          <w:rFonts w:ascii="Times New Roman" w:eastAsia="Times New Roman" w:hAnsi="Times New Roman" w:cs="Times New Roman"/>
          <w:b/>
          <w:bCs/>
        </w:rPr>
      </w:pPr>
    </w:p>
    <w:p w:rsidR="005D4347" w:rsidRDefault="005D4347" w:rsidP="005D4347">
      <w:pPr>
        <w:widowControl w:val="0"/>
        <w:spacing w:before="120" w:after="120" w:line="240" w:lineRule="auto"/>
        <w:ind w:left="426" w:hanging="142"/>
        <w:jc w:val="center"/>
        <w:rPr>
          <w:rFonts w:ascii="Times New Roman" w:eastAsia="Times New Roman" w:hAnsi="Times New Roman" w:cs="Times New Roman"/>
          <w:b/>
          <w:bCs/>
        </w:rPr>
      </w:pPr>
      <w:r>
        <w:rPr>
          <w:rFonts w:ascii="Times New Roman" w:eastAsia="Times New Roman" w:hAnsi="Times New Roman" w:cs="Times New Roman"/>
          <w:b/>
          <w:bCs/>
        </w:rPr>
        <w:t>TANTÁRGYI PROGRAM</w:t>
      </w:r>
    </w:p>
    <w:p w:rsidR="005D4347" w:rsidRDefault="005D4347" w:rsidP="00666335">
      <w:pPr>
        <w:widowControl w:val="0"/>
        <w:numPr>
          <w:ilvl w:val="0"/>
          <w:numId w:val="35"/>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 tantárgy kódja: </w:t>
      </w:r>
      <w:r>
        <w:rPr>
          <w:rFonts w:ascii="Times New Roman" w:hAnsi="Times New Roman" w:cs="Times New Roman"/>
          <w:bCs/>
        </w:rPr>
        <w:t>HKHPKA100</w:t>
      </w:r>
    </w:p>
    <w:p w:rsidR="005D4347" w:rsidRDefault="005D4347" w:rsidP="00666335">
      <w:pPr>
        <w:widowControl w:val="0"/>
        <w:numPr>
          <w:ilvl w:val="0"/>
          <w:numId w:val="35"/>
        </w:numPr>
        <w:spacing w:before="120" w:after="120" w:line="240" w:lineRule="auto"/>
        <w:ind w:left="426" w:hanging="142"/>
        <w:jc w:val="both"/>
        <w:rPr>
          <w:rFonts w:ascii="Times New Roman" w:eastAsia="Times New Roman" w:hAnsi="Times New Roman" w:cs="Times New Roman"/>
          <w:b/>
          <w:bCs/>
          <w:lang w:val="en-GB"/>
        </w:rPr>
      </w:pPr>
      <w:r>
        <w:rPr>
          <w:rFonts w:ascii="Times New Roman" w:eastAsia="Times New Roman" w:hAnsi="Times New Roman" w:cs="Times New Roman"/>
          <w:b/>
          <w:bCs/>
        </w:rPr>
        <w:t>A tantárgy megnevezése (magyarul):</w:t>
      </w:r>
      <w:r>
        <w:rPr>
          <w:rFonts w:ascii="Times New Roman" w:eastAsia="Times New Roman" w:hAnsi="Times New Roman" w:cs="Times New Roman"/>
          <w:bCs/>
        </w:rPr>
        <w:t xml:space="preserve"> </w:t>
      </w:r>
      <w:r>
        <w:rPr>
          <w:rFonts w:ascii="Times New Roman" w:hAnsi="Times New Roman" w:cs="Times New Roman"/>
          <w:bCs/>
        </w:rPr>
        <w:t>Közgazdaságtan I.</w:t>
      </w:r>
    </w:p>
    <w:p w:rsidR="005D4347" w:rsidRDefault="005D4347" w:rsidP="00666335">
      <w:pPr>
        <w:widowControl w:val="0"/>
        <w:numPr>
          <w:ilvl w:val="0"/>
          <w:numId w:val="35"/>
        </w:numPr>
        <w:tabs>
          <w:tab w:val="num" w:pos="567"/>
        </w:tabs>
        <w:spacing w:before="120" w:after="120" w:line="240" w:lineRule="auto"/>
        <w:ind w:left="426" w:hanging="142"/>
        <w:jc w:val="both"/>
        <w:rPr>
          <w:rFonts w:ascii="Times New Roman" w:eastAsia="Times New Roman" w:hAnsi="Times New Roman" w:cs="Times New Roman"/>
          <w:b/>
          <w:bCs/>
          <w:lang w:val="en-GB"/>
        </w:rPr>
      </w:pPr>
      <w:r>
        <w:rPr>
          <w:rFonts w:ascii="Times New Roman" w:eastAsia="Times New Roman" w:hAnsi="Times New Roman" w:cs="Times New Roman"/>
          <w:b/>
          <w:bCs/>
        </w:rPr>
        <w:t xml:space="preserve">A tantárgy megnevezése (angolul): </w:t>
      </w:r>
      <w:r>
        <w:rPr>
          <w:rFonts w:ascii="Times New Roman" w:hAnsi="Times New Roman" w:cs="Times New Roman"/>
          <w:bCs/>
        </w:rPr>
        <w:t>Economics I.</w:t>
      </w:r>
    </w:p>
    <w:p w:rsidR="005D4347" w:rsidRDefault="005D4347" w:rsidP="00666335">
      <w:pPr>
        <w:widowControl w:val="0"/>
        <w:numPr>
          <w:ilvl w:val="0"/>
          <w:numId w:val="35"/>
        </w:numPr>
        <w:tabs>
          <w:tab w:val="num" w:pos="567"/>
        </w:tabs>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Kreditérték és képzési karakter: </w:t>
      </w:r>
    </w:p>
    <w:p w:rsidR="005D4347" w:rsidRDefault="005D4347" w:rsidP="00666335">
      <w:pPr>
        <w:pStyle w:val="Listaszerbekezds"/>
        <w:widowControl w:val="0"/>
        <w:numPr>
          <w:ilvl w:val="1"/>
          <w:numId w:val="35"/>
        </w:numPr>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2 kredit</w:t>
      </w:r>
    </w:p>
    <w:p w:rsidR="005D4347" w:rsidRDefault="005D4347" w:rsidP="00666335">
      <w:pPr>
        <w:pStyle w:val="Listaszerbekezds"/>
        <w:widowControl w:val="0"/>
        <w:numPr>
          <w:ilvl w:val="1"/>
          <w:numId w:val="35"/>
        </w:numPr>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a tantárgy elméleti vagy gyakorlati jellegének mértéke: 33</w:t>
      </w:r>
      <w:r>
        <w:rPr>
          <w:rFonts w:ascii="Times New Roman" w:eastAsia="Times New Roman" w:hAnsi="Times New Roman" w:cs="Times New Roman"/>
          <w:b/>
          <w:bCs/>
        </w:rPr>
        <w:t xml:space="preserve">. </w:t>
      </w:r>
      <w:r>
        <w:rPr>
          <w:rFonts w:ascii="Times New Roman" w:eastAsia="Times New Roman" w:hAnsi="Times New Roman" w:cs="Times New Roman"/>
          <w:bCs/>
        </w:rPr>
        <w:t>% gyakorlat, 67 % elmélet</w:t>
      </w:r>
    </w:p>
    <w:p w:rsidR="005D4347" w:rsidRDefault="005D4347" w:rsidP="00666335">
      <w:pPr>
        <w:widowControl w:val="0"/>
        <w:numPr>
          <w:ilvl w:val="0"/>
          <w:numId w:val="35"/>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szak(ok), szakirányok/specializációk megnevezése (ahol oktatják):</w:t>
      </w:r>
      <w:r>
        <w:rPr>
          <w:rFonts w:ascii="Times New Roman" w:eastAsia="Times New Roman" w:hAnsi="Times New Roman" w:cs="Times New Roman"/>
          <w:bCs/>
        </w:rPr>
        <w:t xml:space="preserve"> </w:t>
      </w:r>
      <w:r>
        <w:rPr>
          <w:rFonts w:ascii="Times New Roman" w:hAnsi="Times New Roman" w:cs="Times New Roman"/>
          <w:bCs/>
        </w:rPr>
        <w:t>Katonai logisztika alapképzési (</w:t>
      </w:r>
      <w:r w:rsidR="00137B8A">
        <w:rPr>
          <w:rFonts w:ascii="Times New Roman" w:hAnsi="Times New Roman" w:cs="Times New Roman"/>
          <w:bCs/>
        </w:rPr>
        <w:t>BSc</w:t>
      </w:r>
      <w:r>
        <w:rPr>
          <w:rFonts w:ascii="Times New Roman" w:hAnsi="Times New Roman" w:cs="Times New Roman"/>
          <w:bCs/>
        </w:rPr>
        <w:t>) szak</w:t>
      </w:r>
    </w:p>
    <w:p w:rsidR="005D4347" w:rsidRDefault="005D4347" w:rsidP="00666335">
      <w:pPr>
        <w:widowControl w:val="0"/>
        <w:numPr>
          <w:ilvl w:val="0"/>
          <w:numId w:val="35"/>
        </w:numPr>
        <w:tabs>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Az oktatásért felelős oktatási szervezeti egység megnevezése: </w:t>
      </w:r>
      <w:r>
        <w:rPr>
          <w:rFonts w:ascii="Times New Roman" w:hAnsi="Times New Roman" w:cs="Times New Roman"/>
          <w:bCs/>
        </w:rPr>
        <w:t>NKE HHK Hadtáp, Pénzügyi és Katonai Közlekedési Tanszék</w:t>
      </w:r>
    </w:p>
    <w:p w:rsidR="005D4347" w:rsidRDefault="005D4347" w:rsidP="00666335">
      <w:pPr>
        <w:widowControl w:val="0"/>
        <w:numPr>
          <w:ilvl w:val="0"/>
          <w:numId w:val="35"/>
        </w:numPr>
        <w:tabs>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tantárgyfelelős oktató neve, beosztása, tudományos fokozata:</w:t>
      </w:r>
      <w:r>
        <w:rPr>
          <w:rFonts w:ascii="Times New Roman" w:eastAsia="Times New Roman" w:hAnsi="Times New Roman" w:cs="Times New Roman"/>
          <w:bCs/>
        </w:rPr>
        <w:t xml:space="preserve"> </w:t>
      </w:r>
      <w:r>
        <w:rPr>
          <w:rFonts w:ascii="Times New Roman" w:hAnsi="Times New Roman" w:cs="Times New Roman"/>
          <w:bCs/>
        </w:rPr>
        <w:t>Dr. Fülöp Katalin, egyetemi docens, (PhD)</w:t>
      </w:r>
    </w:p>
    <w:p w:rsidR="005D4347" w:rsidRDefault="005D4347" w:rsidP="00666335">
      <w:pPr>
        <w:widowControl w:val="0"/>
        <w:numPr>
          <w:ilvl w:val="0"/>
          <w:numId w:val="35"/>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tanórák száma és típusa</w:t>
      </w:r>
    </w:p>
    <w:p w:rsidR="005D4347" w:rsidRDefault="005D4347" w:rsidP="00666335">
      <w:pPr>
        <w:widowControl w:val="0"/>
        <w:numPr>
          <w:ilvl w:val="1"/>
          <w:numId w:val="35"/>
        </w:numPr>
        <w:tabs>
          <w:tab w:val="num" w:pos="709"/>
          <w:tab w:val="num" w:pos="2069"/>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össz óraszám/félév:</w:t>
      </w:r>
    </w:p>
    <w:p w:rsidR="005D4347" w:rsidRDefault="005D4347" w:rsidP="00666335">
      <w:pPr>
        <w:widowControl w:val="0"/>
        <w:numPr>
          <w:ilvl w:val="2"/>
          <w:numId w:val="35"/>
        </w:numPr>
        <w:tabs>
          <w:tab w:val="num" w:pos="709"/>
          <w:tab w:val="num" w:pos="1134"/>
        </w:tabs>
        <w:spacing w:before="120" w:after="120" w:line="240" w:lineRule="auto"/>
        <w:ind w:left="993" w:hanging="425"/>
        <w:jc w:val="both"/>
        <w:rPr>
          <w:rFonts w:ascii="Times New Roman" w:eastAsia="Times New Roman" w:hAnsi="Times New Roman" w:cs="Times New Roman"/>
          <w:bCs/>
        </w:rPr>
      </w:pPr>
      <w:r>
        <w:rPr>
          <w:rFonts w:ascii="Times New Roman" w:eastAsia="Times New Roman" w:hAnsi="Times New Roman" w:cs="Times New Roman"/>
          <w:bCs/>
        </w:rPr>
        <w:t>nappali munkarend: 28 (14 EA + 0 SZ + 14 GY)</w:t>
      </w:r>
    </w:p>
    <w:p w:rsidR="005D4347" w:rsidRDefault="005D4347" w:rsidP="00666335">
      <w:pPr>
        <w:widowControl w:val="0"/>
        <w:numPr>
          <w:ilvl w:val="2"/>
          <w:numId w:val="35"/>
        </w:numPr>
        <w:tabs>
          <w:tab w:val="num" w:pos="709"/>
          <w:tab w:val="num" w:pos="1134"/>
        </w:tabs>
        <w:spacing w:before="120" w:after="120" w:line="240" w:lineRule="auto"/>
        <w:ind w:left="993" w:hanging="425"/>
        <w:jc w:val="both"/>
        <w:rPr>
          <w:rFonts w:ascii="Times New Roman" w:eastAsia="Times New Roman" w:hAnsi="Times New Roman" w:cs="Times New Roman"/>
          <w:bCs/>
        </w:rPr>
      </w:pPr>
      <w:r>
        <w:rPr>
          <w:rFonts w:ascii="Times New Roman" w:eastAsia="Times New Roman" w:hAnsi="Times New Roman" w:cs="Times New Roman"/>
          <w:bCs/>
        </w:rPr>
        <w:t>levelező munkarend: -</w:t>
      </w:r>
    </w:p>
    <w:p w:rsidR="005D4347" w:rsidRDefault="005D4347" w:rsidP="00666335">
      <w:pPr>
        <w:widowControl w:val="0"/>
        <w:numPr>
          <w:ilvl w:val="1"/>
          <w:numId w:val="35"/>
        </w:numPr>
        <w:tabs>
          <w:tab w:val="num" w:pos="709"/>
          <w:tab w:val="num" w:pos="2069"/>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heti óraszám - nappali munkarend: 2</w:t>
      </w:r>
    </w:p>
    <w:p w:rsidR="005D4347" w:rsidRDefault="005D4347" w:rsidP="00666335">
      <w:pPr>
        <w:widowControl w:val="0"/>
        <w:numPr>
          <w:ilvl w:val="1"/>
          <w:numId w:val="35"/>
        </w:numPr>
        <w:tabs>
          <w:tab w:val="num" w:pos="709"/>
          <w:tab w:val="num" w:pos="2069"/>
        </w:tabs>
        <w:spacing w:before="120" w:after="120" w:line="240" w:lineRule="auto"/>
        <w:ind w:left="851" w:hanging="425"/>
        <w:jc w:val="both"/>
        <w:rPr>
          <w:rFonts w:ascii="Times New Roman" w:eastAsia="Times New Roman" w:hAnsi="Times New Roman" w:cs="Times New Roman"/>
          <w:bCs/>
        </w:rPr>
      </w:pPr>
      <w:r>
        <w:rPr>
          <w:rFonts w:ascii="Times New Roman" w:hAnsi="Times New Roman" w:cs="Times New Roman"/>
        </w:rPr>
        <w:t>Az ismeret átadásában alkalmazandó további sajátos módok, jellemzők:</w:t>
      </w:r>
      <w:r>
        <w:rPr>
          <w:rFonts w:ascii="Times New Roman" w:hAnsi="Times New Roman" w:cs="Times New Roman"/>
          <w:i/>
        </w:rPr>
        <w:t xml:space="preserve"> –</w:t>
      </w:r>
    </w:p>
    <w:p w:rsidR="005D4347" w:rsidRDefault="005D4347" w:rsidP="00666335">
      <w:pPr>
        <w:widowControl w:val="0"/>
        <w:numPr>
          <w:ilvl w:val="0"/>
          <w:numId w:val="35"/>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tantárgy szakmai tartalma (magyarul):</w:t>
      </w:r>
      <w:r>
        <w:rPr>
          <w:rFonts w:ascii="Times New Roman" w:eastAsia="Times New Roman" w:hAnsi="Times New Roman" w:cs="Times New Roman"/>
          <w:bCs/>
        </w:rPr>
        <w:t xml:space="preserve"> </w:t>
      </w:r>
      <w:r>
        <w:rPr>
          <w:rFonts w:ascii="Times New Roman" w:hAnsi="Times New Roman" w:cs="Times New Roman"/>
          <w:bCs/>
        </w:rPr>
        <w:t>A tantárgy a közgazdaságtan mikorökonómiai területének alaptörvényszerűségeivel és összefüggéseivel foglalkozik.</w:t>
      </w:r>
    </w:p>
    <w:p w:rsidR="005D4347" w:rsidRDefault="005D4347" w:rsidP="005D4347">
      <w:pPr>
        <w:widowControl w:val="0"/>
        <w:spacing w:before="120" w:after="120" w:line="240" w:lineRule="auto"/>
        <w:ind w:left="426"/>
        <w:jc w:val="both"/>
        <w:rPr>
          <w:rFonts w:ascii="Times New Roman" w:eastAsia="Times New Roman" w:hAnsi="Times New Roman" w:cs="Times New Roman"/>
          <w:bCs/>
          <w:lang w:val="en-GB"/>
        </w:rPr>
      </w:pPr>
      <w:r>
        <w:rPr>
          <w:rFonts w:ascii="Times New Roman" w:eastAsia="Times New Roman" w:hAnsi="Times New Roman" w:cs="Times New Roman"/>
          <w:b/>
          <w:bCs/>
        </w:rPr>
        <w:t>A tantárgy szakmai tartalma (angolul) (</w:t>
      </w:r>
      <w:r>
        <w:rPr>
          <w:rFonts w:ascii="Times New Roman" w:eastAsia="Times New Roman" w:hAnsi="Times New Roman" w:cs="Times New Roman"/>
          <w:b/>
          <w:bCs/>
          <w:lang w:val="en-US"/>
        </w:rPr>
        <w:t>Course description</w:t>
      </w:r>
      <w:r>
        <w:rPr>
          <w:rFonts w:ascii="Times New Roman" w:eastAsia="Times New Roman" w:hAnsi="Times New Roman" w:cs="Times New Roman"/>
          <w:b/>
          <w:bCs/>
        </w:rPr>
        <w:t xml:space="preserve">): </w:t>
      </w:r>
      <w:r>
        <w:rPr>
          <w:rFonts w:ascii="Times New Roman" w:hAnsi="Times New Roman" w:cs="Times New Roman"/>
          <w:bCs/>
          <w:lang w:val="en-US"/>
        </w:rPr>
        <w:t>This subject deals with the basic principles and processes of microeconomics.</w:t>
      </w:r>
    </w:p>
    <w:p w:rsidR="005D4347" w:rsidRDefault="005D4347" w:rsidP="00666335">
      <w:pPr>
        <w:pStyle w:val="Listaszerbekezds"/>
        <w:widowControl w:val="0"/>
        <w:numPr>
          <w:ilvl w:val="0"/>
          <w:numId w:val="35"/>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Elérendő kompetenciák (magyarul):</w:t>
      </w:r>
      <w:r>
        <w:rPr>
          <w:rFonts w:ascii="Times New Roman" w:eastAsia="Times New Roman" w:hAnsi="Times New Roman" w:cs="Times New Roman"/>
          <w:bCs/>
        </w:rPr>
        <w:t xml:space="preserve"> </w:t>
      </w:r>
    </w:p>
    <w:p w:rsidR="005D4347" w:rsidRDefault="005D4347" w:rsidP="005D4347">
      <w:pPr>
        <w:widowControl w:val="0"/>
        <w:spacing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Tudása:</w:t>
      </w:r>
    </w:p>
    <w:p w:rsidR="005D4347" w:rsidRDefault="005D4347" w:rsidP="00666335">
      <w:pPr>
        <w:pStyle w:val="Listaszerbekezds"/>
        <w:widowControl w:val="0"/>
        <w:numPr>
          <w:ilvl w:val="0"/>
          <w:numId w:val="27"/>
        </w:numPr>
        <w:spacing w:after="0" w:line="240" w:lineRule="auto"/>
        <w:jc w:val="both"/>
        <w:rPr>
          <w:rFonts w:ascii="Times New Roman" w:eastAsia="Times New Roman" w:hAnsi="Times New Roman" w:cs="Times New Roman"/>
          <w:bCs/>
        </w:rPr>
      </w:pPr>
      <w:r>
        <w:rPr>
          <w:rFonts w:ascii="Times New Roman" w:hAnsi="Times New Roman" w:cs="Times New Roman"/>
        </w:rPr>
        <w:t>Ismeri a gazdaság és a piacok működésének alapjait</w:t>
      </w:r>
      <w:r>
        <w:rPr>
          <w:rFonts w:ascii="Times New Roman" w:eastAsia="Times New Roman" w:hAnsi="Times New Roman" w:cs="Times New Roman"/>
          <w:bCs/>
        </w:rPr>
        <w:t>.</w:t>
      </w:r>
    </w:p>
    <w:p w:rsidR="005D4347" w:rsidRDefault="005D4347" w:rsidP="005D4347">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Képességei:</w:t>
      </w:r>
      <w:r>
        <w:rPr>
          <w:rFonts w:ascii="Times New Roman" w:eastAsia="Times New Roman" w:hAnsi="Times New Roman" w:cs="Times New Roman"/>
          <w:bCs/>
        </w:rPr>
        <w:t xml:space="preserve"> </w:t>
      </w:r>
    </w:p>
    <w:p w:rsidR="005D4347" w:rsidRDefault="005D4347" w:rsidP="00666335">
      <w:pPr>
        <w:pStyle w:val="Listaszerbekezds"/>
        <w:widowControl w:val="0"/>
        <w:numPr>
          <w:ilvl w:val="0"/>
          <w:numId w:val="28"/>
        </w:numPr>
        <w:spacing w:after="0" w:line="240" w:lineRule="auto"/>
        <w:ind w:left="1134" w:hanging="283"/>
        <w:jc w:val="both"/>
        <w:rPr>
          <w:rFonts w:ascii="Times New Roman" w:hAnsi="Times New Roman" w:cs="Times New Roman"/>
        </w:rPr>
      </w:pPr>
      <w:r>
        <w:rPr>
          <w:rFonts w:ascii="Times New Roman" w:hAnsi="Times New Roman" w:cs="Times New Roman"/>
        </w:rPr>
        <w:t>Képes pontos és precíz logisztikai, illetve gazdálkodási számvetéseket készíteni.</w:t>
      </w:r>
    </w:p>
    <w:p w:rsidR="005D4347" w:rsidRDefault="005D4347" w:rsidP="00666335">
      <w:pPr>
        <w:pStyle w:val="Listaszerbekezds"/>
        <w:numPr>
          <w:ilvl w:val="0"/>
          <w:numId w:val="28"/>
        </w:numPr>
        <w:autoSpaceDE w:val="0"/>
        <w:autoSpaceDN w:val="0"/>
        <w:adjustRightInd w:val="0"/>
        <w:spacing w:after="0" w:line="240" w:lineRule="auto"/>
        <w:ind w:left="1134" w:hanging="283"/>
        <w:jc w:val="both"/>
        <w:rPr>
          <w:rFonts w:ascii="Times New Roman" w:hAnsi="Times New Roman" w:cs="Times New Roman"/>
        </w:rPr>
      </w:pPr>
      <w:r>
        <w:rPr>
          <w:rFonts w:ascii="Times New Roman" w:hAnsi="Times New Roman" w:cs="Times New Roman"/>
        </w:rPr>
        <w:t>Képes gazdálkodási feladatok alapszintű tervezésére, szervezésére, irányítására és az ebből adódó tevékenységek gazdasági elemzésinek végrehajtására.</w:t>
      </w:r>
    </w:p>
    <w:p w:rsidR="005D4347" w:rsidRDefault="005D4347" w:rsidP="00666335">
      <w:pPr>
        <w:pStyle w:val="Listaszerbekezds"/>
        <w:widowControl w:val="0"/>
        <w:numPr>
          <w:ilvl w:val="0"/>
          <w:numId w:val="28"/>
        </w:numPr>
        <w:spacing w:after="0" w:line="240" w:lineRule="auto"/>
        <w:ind w:left="1134" w:hanging="283"/>
        <w:jc w:val="both"/>
        <w:rPr>
          <w:rFonts w:ascii="Times New Roman" w:hAnsi="Times New Roman" w:cs="Times New Roman"/>
        </w:rPr>
      </w:pPr>
      <w:r>
        <w:rPr>
          <w:rFonts w:ascii="Times New Roman" w:hAnsi="Times New Roman" w:cs="Times New Roman"/>
        </w:rPr>
        <w:t>Képes egység szintű közbeszerzéseket lefolytatni.</w:t>
      </w:r>
    </w:p>
    <w:p w:rsidR="005D4347" w:rsidRDefault="005D4347" w:rsidP="005D4347">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Attitűdje:</w:t>
      </w:r>
      <w:r>
        <w:rPr>
          <w:rFonts w:ascii="Times New Roman" w:eastAsia="Times New Roman" w:hAnsi="Times New Roman" w:cs="Times New Roman"/>
          <w:bCs/>
        </w:rPr>
        <w:t xml:space="preserve"> </w:t>
      </w:r>
    </w:p>
    <w:p w:rsidR="005D4347" w:rsidRDefault="005D4347" w:rsidP="00666335">
      <w:pPr>
        <w:pStyle w:val="Listaszerbekezds"/>
        <w:numPr>
          <w:ilvl w:val="0"/>
          <w:numId w:val="29"/>
        </w:num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A minőségi szakmai munkavégzés iránt elkötelezett, azt a pontosságra való törekvés jellemzi.</w:t>
      </w:r>
    </w:p>
    <w:p w:rsidR="005D4347" w:rsidRDefault="005D4347" w:rsidP="00666335">
      <w:pPr>
        <w:pStyle w:val="Listaszerbekezds"/>
        <w:numPr>
          <w:ilvl w:val="0"/>
          <w:numId w:val="29"/>
        </w:num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Felismeri a rendszerszintű tevékenységben rejlő értékeket, törekszik a logisztikai tevékenységek közötti kapcsolatok értelmezésére.</w:t>
      </w:r>
    </w:p>
    <w:p w:rsidR="005D4347" w:rsidRDefault="005D4347" w:rsidP="00666335">
      <w:pPr>
        <w:pStyle w:val="Listaszerbekezds"/>
        <w:numPr>
          <w:ilvl w:val="0"/>
          <w:numId w:val="29"/>
        </w:num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Tevékenységét a hatékonyság központú szemlélet jellemzi.</w:t>
      </w:r>
    </w:p>
    <w:p w:rsidR="005D4347" w:rsidRDefault="005D4347" w:rsidP="005D4347">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Autonómiája és felelőssége:</w:t>
      </w:r>
    </w:p>
    <w:p w:rsidR="005D4347" w:rsidRDefault="005D4347" w:rsidP="00666335">
      <w:pPr>
        <w:pStyle w:val="Listaszerbekezds"/>
        <w:widowControl w:val="0"/>
        <w:numPr>
          <w:ilvl w:val="0"/>
          <w:numId w:val="3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Felelősséget vállal számvetéseinek pontosságáért.</w:t>
      </w:r>
    </w:p>
    <w:p w:rsidR="005D4347" w:rsidRDefault="005D4347" w:rsidP="005D4347">
      <w:pPr>
        <w:widowControl w:val="0"/>
        <w:spacing w:before="120" w:after="0" w:line="240" w:lineRule="auto"/>
        <w:ind w:left="425"/>
        <w:jc w:val="both"/>
        <w:rPr>
          <w:rFonts w:ascii="Times New Roman" w:eastAsia="Times New Roman" w:hAnsi="Times New Roman" w:cs="Times New Roman"/>
          <w:b/>
          <w:bCs/>
          <w:lang w:val="en-US"/>
        </w:rPr>
      </w:pPr>
      <w:r>
        <w:rPr>
          <w:rFonts w:ascii="Times New Roman" w:eastAsia="Times New Roman" w:hAnsi="Times New Roman" w:cs="Times New Roman"/>
          <w:b/>
          <w:bCs/>
        </w:rPr>
        <w:lastRenderedPageBreak/>
        <w:t>Elérendő kompetenciák (angolul) (</w:t>
      </w:r>
      <w:r>
        <w:rPr>
          <w:rFonts w:ascii="Times New Roman" w:eastAsia="Times New Roman" w:hAnsi="Times New Roman" w:cs="Times New Roman"/>
          <w:b/>
          <w:bCs/>
          <w:lang w:val="en-US"/>
        </w:rPr>
        <w:t xml:space="preserve">Competences – English): </w:t>
      </w:r>
    </w:p>
    <w:p w:rsidR="005D4347" w:rsidRDefault="005D4347" w:rsidP="005D4347">
      <w:pPr>
        <w:widowControl w:val="0"/>
        <w:spacing w:before="120" w:after="0" w:line="240" w:lineRule="auto"/>
        <w:ind w:left="425"/>
        <w:jc w:val="both"/>
        <w:rPr>
          <w:rFonts w:ascii="Times New Roman" w:eastAsia="Times New Roman" w:hAnsi="Times New Roman" w:cs="Times New Roman"/>
          <w:lang w:val="en-GB"/>
        </w:rPr>
      </w:pPr>
      <w:r>
        <w:rPr>
          <w:rFonts w:ascii="Times New Roman" w:eastAsia="Times New Roman" w:hAnsi="Times New Roman" w:cs="Times New Roman"/>
          <w:b/>
          <w:lang w:val="en-GB"/>
        </w:rPr>
        <w:t>Knowledge</w:t>
      </w:r>
      <w:r>
        <w:rPr>
          <w:rFonts w:ascii="Times New Roman" w:eastAsia="Times New Roman" w:hAnsi="Times New Roman" w:cs="Times New Roman"/>
          <w:lang w:val="en-GB"/>
        </w:rPr>
        <w:t xml:space="preserve">: </w:t>
      </w:r>
    </w:p>
    <w:p w:rsidR="005D4347" w:rsidRDefault="005D4347" w:rsidP="00666335">
      <w:pPr>
        <w:pStyle w:val="Listaszerbekezds"/>
        <w:widowControl w:val="0"/>
        <w:numPr>
          <w:ilvl w:val="0"/>
          <w:numId w:val="31"/>
        </w:numPr>
        <w:spacing w:after="0" w:line="24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To be familiar with market mechanism and the principles of economics.</w:t>
      </w:r>
    </w:p>
    <w:p w:rsidR="005D4347" w:rsidRDefault="005D4347" w:rsidP="005D4347">
      <w:pPr>
        <w:widowControl w:val="0"/>
        <w:spacing w:before="120" w:after="0" w:line="240" w:lineRule="auto"/>
        <w:ind w:left="425"/>
        <w:jc w:val="both"/>
        <w:rPr>
          <w:rFonts w:ascii="Times New Roman" w:eastAsia="Times New Roman" w:hAnsi="Times New Roman" w:cs="Times New Roman"/>
          <w:lang w:val="en-GB"/>
        </w:rPr>
      </w:pPr>
      <w:r>
        <w:rPr>
          <w:rFonts w:ascii="Times New Roman" w:eastAsia="Times New Roman" w:hAnsi="Times New Roman" w:cs="Times New Roman"/>
          <w:b/>
          <w:lang w:val="en-GB"/>
        </w:rPr>
        <w:t>Capabilities</w:t>
      </w:r>
      <w:r>
        <w:rPr>
          <w:rFonts w:ascii="Times New Roman" w:eastAsia="Times New Roman" w:hAnsi="Times New Roman" w:cs="Times New Roman"/>
          <w:lang w:val="en-GB"/>
        </w:rPr>
        <w:t xml:space="preserve">: </w:t>
      </w:r>
    </w:p>
    <w:p w:rsidR="005D4347" w:rsidRDefault="005D4347" w:rsidP="00666335">
      <w:pPr>
        <w:pStyle w:val="Listaszerbekezds"/>
        <w:widowControl w:val="0"/>
        <w:numPr>
          <w:ilvl w:val="0"/>
          <w:numId w:val="32"/>
        </w:numPr>
        <w:spacing w:after="0" w:line="24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To have ability to make accurate logistical and economic calculations.</w:t>
      </w:r>
    </w:p>
    <w:p w:rsidR="005D4347" w:rsidRDefault="005D4347" w:rsidP="00666335">
      <w:pPr>
        <w:pStyle w:val="Listaszerbekezds"/>
        <w:widowControl w:val="0"/>
        <w:numPr>
          <w:ilvl w:val="0"/>
          <w:numId w:val="32"/>
        </w:numPr>
        <w:spacing w:after="0" w:line="24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 xml:space="preserve">To be able to plan, organise, control and evaluate management and financial tasks. </w:t>
      </w:r>
    </w:p>
    <w:p w:rsidR="005D4347" w:rsidRDefault="005D4347" w:rsidP="00666335">
      <w:pPr>
        <w:pStyle w:val="Listaszerbekezds"/>
        <w:widowControl w:val="0"/>
        <w:numPr>
          <w:ilvl w:val="0"/>
          <w:numId w:val="32"/>
        </w:numPr>
        <w:spacing w:after="0" w:line="24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To be able to execute public procurements on unit level.</w:t>
      </w:r>
    </w:p>
    <w:p w:rsidR="005D4347" w:rsidRDefault="005D4347" w:rsidP="005D43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425"/>
        <w:jc w:val="both"/>
        <w:rPr>
          <w:rFonts w:ascii="Times New Roman" w:eastAsia="Times New Roman" w:hAnsi="Times New Roman" w:cs="Times New Roman"/>
          <w:lang w:val="en-GB"/>
        </w:rPr>
      </w:pPr>
      <w:r>
        <w:rPr>
          <w:rFonts w:ascii="Times New Roman" w:eastAsia="Times New Roman" w:hAnsi="Times New Roman" w:cs="Times New Roman"/>
          <w:b/>
          <w:lang w:val="en-GB"/>
        </w:rPr>
        <w:t>Attitude:</w:t>
      </w:r>
      <w:r>
        <w:rPr>
          <w:rFonts w:ascii="Times New Roman" w:eastAsia="Times New Roman" w:hAnsi="Times New Roman" w:cs="Times New Roman"/>
          <w:lang w:val="en-GB"/>
        </w:rPr>
        <w:t xml:space="preserve"> </w:t>
      </w:r>
    </w:p>
    <w:p w:rsidR="005D4347" w:rsidRDefault="005D4347" w:rsidP="00666335">
      <w:pPr>
        <w:pStyle w:val="Listaszerbekezds"/>
        <w:numPr>
          <w:ilvl w:val="0"/>
          <w:numId w:val="33"/>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To be committed to high standard work and accuracy.</w:t>
      </w:r>
    </w:p>
    <w:p w:rsidR="005D4347" w:rsidRDefault="005D4347" w:rsidP="00666335">
      <w:pPr>
        <w:pStyle w:val="Listaszerbekezds"/>
        <w:numPr>
          <w:ilvl w:val="0"/>
          <w:numId w:val="33"/>
        </w:numPr>
        <w:tabs>
          <w:tab w:val="left" w:pos="1134"/>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To be able to recognize the advantages and opportunities offered by well-structured activities and to be seeking to understand the logical connections among logistic activities.</w:t>
      </w:r>
    </w:p>
    <w:p w:rsidR="005D4347" w:rsidRDefault="005D4347" w:rsidP="00666335">
      <w:pPr>
        <w:pStyle w:val="Listaszerbekezds"/>
        <w:numPr>
          <w:ilvl w:val="0"/>
          <w:numId w:val="33"/>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 xml:space="preserve">To be characterized by efficiency-based attitude.    </w:t>
      </w:r>
    </w:p>
    <w:p w:rsidR="005D4347" w:rsidRDefault="005D4347" w:rsidP="005D4347">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lang w:val="en-GB"/>
        </w:rPr>
        <w:t xml:space="preserve">Autonomy and responsibility: </w:t>
      </w:r>
    </w:p>
    <w:p w:rsidR="005D4347" w:rsidRDefault="005D4347" w:rsidP="00666335">
      <w:pPr>
        <w:pStyle w:val="Listaszerbekezds"/>
        <w:widowControl w:val="0"/>
        <w:numPr>
          <w:ilvl w:val="0"/>
          <w:numId w:val="34"/>
        </w:numPr>
        <w:spacing w:after="0" w:line="240" w:lineRule="auto"/>
        <w:jc w:val="both"/>
        <w:rPr>
          <w:rFonts w:ascii="Times New Roman" w:eastAsia="Times New Roman" w:hAnsi="Times New Roman" w:cs="Times New Roman"/>
          <w:bCs/>
          <w:lang w:val="en-US"/>
        </w:rPr>
      </w:pPr>
      <w:r>
        <w:rPr>
          <w:rFonts w:ascii="Times New Roman" w:eastAsia="Times New Roman" w:hAnsi="Times New Roman" w:cs="Times New Roman"/>
          <w:bCs/>
          <w:lang w:val="en-US"/>
        </w:rPr>
        <w:t xml:space="preserve">Take responsibility for the accuracy of the calculations.  </w:t>
      </w:r>
    </w:p>
    <w:p w:rsidR="005D4347" w:rsidRDefault="005D4347" w:rsidP="00666335">
      <w:pPr>
        <w:widowControl w:val="0"/>
        <w:numPr>
          <w:ilvl w:val="0"/>
          <w:numId w:val="35"/>
        </w:numPr>
        <w:tabs>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Előtanulmányi követelmények: </w:t>
      </w:r>
      <w:r>
        <w:rPr>
          <w:rFonts w:ascii="Times New Roman" w:eastAsia="Times New Roman" w:hAnsi="Times New Roman" w:cs="Times New Roman"/>
          <w:bCs/>
        </w:rPr>
        <w:t>nincs</w:t>
      </w:r>
    </w:p>
    <w:p w:rsidR="005D4347" w:rsidRDefault="005D4347" w:rsidP="00666335">
      <w:pPr>
        <w:widowControl w:val="0"/>
        <w:numPr>
          <w:ilvl w:val="0"/>
          <w:numId w:val="35"/>
        </w:numPr>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A tantárgy tananyagának leírása, tematika. Description of the subject, curriculum (magyarul, angolul - English):</w:t>
      </w:r>
    </w:p>
    <w:p w:rsidR="005D4347" w:rsidRDefault="005D4347" w:rsidP="00666335">
      <w:pPr>
        <w:widowControl w:val="0"/>
        <w:numPr>
          <w:ilvl w:val="1"/>
          <w:numId w:val="35"/>
        </w:numPr>
        <w:tabs>
          <w:tab w:val="num" w:pos="2069"/>
        </w:tabs>
        <w:spacing w:before="120" w:after="120" w:line="240" w:lineRule="auto"/>
        <w:ind w:left="993" w:hanging="567"/>
        <w:jc w:val="both"/>
        <w:rPr>
          <w:rFonts w:ascii="Times New Roman" w:eastAsia="Times New Roman" w:hAnsi="Times New Roman" w:cs="Times New Roman"/>
          <w:lang w:val="en-US"/>
        </w:rPr>
      </w:pPr>
      <w:r>
        <w:rPr>
          <w:rFonts w:ascii="Times New Roman" w:hAnsi="Times New Roman"/>
          <w:bCs/>
          <w:lang w:val="en-US"/>
        </w:rPr>
        <w:t>Közgazdaságtan vizsgálati tárgya, területei. Piaci koordináció, bürokratikus koordináció. A piaci működés mechanizmusának törvényszerűségei</w:t>
      </w:r>
      <w:r>
        <w:rPr>
          <w:rFonts w:ascii="Times New Roman" w:hAnsi="Times New Roman"/>
          <w:lang w:val="en-US"/>
        </w:rPr>
        <w:t>.</w:t>
      </w:r>
      <w:r>
        <w:rPr>
          <w:rFonts w:ascii="Times New Roman" w:eastAsia="Times New Roman" w:hAnsi="Times New Roman" w:cs="Times New Roman"/>
          <w:lang w:val="en-US"/>
        </w:rPr>
        <w:t xml:space="preserve"> </w:t>
      </w:r>
      <w:r>
        <w:rPr>
          <w:rFonts w:ascii="Times New Roman" w:eastAsia="Times New Roman" w:hAnsi="Times New Roman" w:cs="Times New Roman"/>
          <w:i/>
          <w:lang w:val="en-US"/>
        </w:rPr>
        <w:t>(Subjects of economics. Market coordination, bureaucratic coordination. Demand, supply, price and the market mechanism.)</w:t>
      </w:r>
    </w:p>
    <w:p w:rsidR="005D4347" w:rsidRDefault="005D4347" w:rsidP="00666335">
      <w:pPr>
        <w:widowControl w:val="0"/>
        <w:numPr>
          <w:ilvl w:val="1"/>
          <w:numId w:val="35"/>
        </w:numPr>
        <w:tabs>
          <w:tab w:val="num" w:pos="2069"/>
        </w:tabs>
        <w:spacing w:before="120" w:after="120" w:line="240" w:lineRule="auto"/>
        <w:ind w:left="993" w:hanging="567"/>
        <w:jc w:val="both"/>
        <w:rPr>
          <w:rFonts w:ascii="Times New Roman" w:eastAsia="Times New Roman" w:hAnsi="Times New Roman" w:cs="Times New Roman"/>
          <w:lang w:val="en-US"/>
        </w:rPr>
      </w:pPr>
      <w:r>
        <w:rPr>
          <w:rFonts w:ascii="Times New Roman" w:eastAsia="Times New Roman" w:hAnsi="Times New Roman" w:cs="Times New Roman"/>
          <w:bCs/>
        </w:rPr>
        <w:t xml:space="preserve">Fogyasztói magatartás vizsgálata, a fogyasztás optimalizálása. Keresletre ható tényezők elemzése.  </w:t>
      </w:r>
      <w:r>
        <w:rPr>
          <w:rFonts w:ascii="Times New Roman" w:eastAsia="Times New Roman" w:hAnsi="Times New Roman" w:cs="Times New Roman"/>
          <w:bCs/>
          <w:i/>
        </w:rPr>
        <w:t>(</w:t>
      </w:r>
      <w:r>
        <w:rPr>
          <w:rFonts w:ascii="Times New Roman" w:eastAsia="Times New Roman" w:hAnsi="Times New Roman" w:cs="Times New Roman"/>
          <w:bCs/>
          <w:i/>
          <w:lang w:val="en-US"/>
        </w:rPr>
        <w:t>Consumer behavior and the optimization of consumption choice.</w:t>
      </w:r>
      <w:r>
        <w:rPr>
          <w:rFonts w:ascii="Times New Roman" w:eastAsia="Times New Roman" w:hAnsi="Times New Roman" w:cs="Times New Roman"/>
          <w:bCs/>
          <w:i/>
        </w:rPr>
        <w:t>)</w:t>
      </w:r>
    </w:p>
    <w:p w:rsidR="005D4347" w:rsidRDefault="005D4347" w:rsidP="00666335">
      <w:pPr>
        <w:widowControl w:val="0"/>
        <w:numPr>
          <w:ilvl w:val="1"/>
          <w:numId w:val="35"/>
        </w:numPr>
        <w:tabs>
          <w:tab w:val="num" w:pos="2069"/>
        </w:tabs>
        <w:spacing w:before="120" w:after="120" w:line="240" w:lineRule="auto"/>
        <w:ind w:left="993" w:hanging="567"/>
        <w:jc w:val="both"/>
        <w:rPr>
          <w:rFonts w:ascii="Times New Roman" w:eastAsia="Times New Roman" w:hAnsi="Times New Roman" w:cs="Times New Roman"/>
          <w:i/>
          <w:lang w:val="en-US"/>
        </w:rPr>
      </w:pPr>
      <w:r>
        <w:rPr>
          <w:rFonts w:ascii="Times New Roman" w:hAnsi="Times New Roman" w:cs="Times New Roman"/>
          <w:bCs/>
        </w:rPr>
        <w:t xml:space="preserve">Termelés matematikai modellezése. Vállalat piaci helyzete. Piaci formák, be- és kilépési korlátok. </w:t>
      </w:r>
      <w:r>
        <w:rPr>
          <w:rFonts w:ascii="Times New Roman" w:hAnsi="Times New Roman" w:cs="Times New Roman"/>
        </w:rPr>
        <w:t>Vállalati magatartás optimalizálása különböző piaci formákon. Termelési tényezők jellemzői és termelési tényezők piacai</w:t>
      </w:r>
      <w:r>
        <w:rPr>
          <w:rFonts w:ascii="Times New Roman" w:hAnsi="Times New Roman" w:cs="Times New Roman"/>
          <w:lang w:val="en-US"/>
        </w:rPr>
        <w:t xml:space="preserve"> </w:t>
      </w:r>
      <w:r>
        <w:rPr>
          <w:rFonts w:ascii="Times New Roman" w:eastAsia="Times New Roman" w:hAnsi="Times New Roman" w:cs="Times New Roman"/>
          <w:i/>
          <w:lang w:val="en-US"/>
        </w:rPr>
        <w:t>(</w:t>
      </w:r>
      <w:r>
        <w:rPr>
          <w:rFonts w:ascii="Times New Roman" w:eastAsia="Times New Roman" w:hAnsi="Times New Roman" w:cs="Times New Roman"/>
          <w:bCs/>
          <w:i/>
          <w:lang w:val="en-US"/>
        </w:rPr>
        <w:t xml:space="preserve">Corporation behavior and profit maximizing on different market forms. The characteristics of different production factor markets and the behavior of production factor owners. </w:t>
      </w:r>
      <w:r>
        <w:rPr>
          <w:rFonts w:ascii="Times New Roman" w:eastAsia="Times New Roman" w:hAnsi="Times New Roman" w:cs="Times New Roman"/>
          <w:i/>
          <w:lang w:val="en-US"/>
        </w:rPr>
        <w:t>)</w:t>
      </w:r>
    </w:p>
    <w:p w:rsidR="005D4347" w:rsidRDefault="005D4347" w:rsidP="00666335">
      <w:pPr>
        <w:widowControl w:val="0"/>
        <w:numPr>
          <w:ilvl w:val="1"/>
          <w:numId w:val="35"/>
        </w:numPr>
        <w:tabs>
          <w:tab w:val="num" w:pos="2069"/>
        </w:tabs>
        <w:spacing w:before="120" w:after="120" w:line="240" w:lineRule="auto"/>
        <w:ind w:left="993" w:hanging="567"/>
        <w:jc w:val="both"/>
        <w:rPr>
          <w:rFonts w:ascii="Times New Roman" w:eastAsia="Times New Roman" w:hAnsi="Times New Roman" w:cs="Times New Roman"/>
          <w:i/>
          <w:lang w:val="en-US"/>
        </w:rPr>
      </w:pPr>
      <w:r>
        <w:rPr>
          <w:rFonts w:ascii="Times New Roman" w:hAnsi="Times New Roman" w:cs="Times New Roman"/>
          <w:bCs/>
        </w:rPr>
        <w:t>Piaci elégtelenségek, állam szerepe a gazdaság mikroszereplőinek kapcsolatrendszerében</w:t>
      </w:r>
      <w:r>
        <w:rPr>
          <w:rFonts w:ascii="Times New Roman" w:hAnsi="Times New Roman" w:cs="Times New Roman"/>
          <w:lang w:val="en-US"/>
        </w:rPr>
        <w:t>.</w:t>
      </w:r>
      <w:r>
        <w:rPr>
          <w:rFonts w:ascii="Times New Roman" w:eastAsia="Times New Roman" w:hAnsi="Times New Roman" w:cs="Times New Roman"/>
          <w:lang w:val="en-US"/>
        </w:rPr>
        <w:t xml:space="preserve"> </w:t>
      </w:r>
      <w:r>
        <w:rPr>
          <w:rFonts w:ascii="Times New Roman" w:eastAsia="Times New Roman" w:hAnsi="Times New Roman" w:cs="Times New Roman"/>
          <w:i/>
          <w:lang w:val="en-US"/>
        </w:rPr>
        <w:t>(</w:t>
      </w:r>
      <w:r>
        <w:rPr>
          <w:rFonts w:ascii="Times New Roman" w:eastAsia="Times New Roman" w:hAnsi="Times New Roman" w:cs="Times New Roman"/>
          <w:bCs/>
          <w:i/>
          <w:lang w:val="en-US"/>
        </w:rPr>
        <w:t>Market failures and the role of the state-organizations in the micro economic environment.</w:t>
      </w:r>
      <w:r>
        <w:rPr>
          <w:rFonts w:ascii="Times New Roman" w:eastAsia="Times New Roman" w:hAnsi="Times New Roman" w:cs="Times New Roman"/>
          <w:i/>
          <w:lang w:val="en-US"/>
        </w:rPr>
        <w:t>)</w:t>
      </w:r>
    </w:p>
    <w:p w:rsidR="005D4347" w:rsidRDefault="005D4347" w:rsidP="00666335">
      <w:pPr>
        <w:widowControl w:val="0"/>
        <w:numPr>
          <w:ilvl w:val="0"/>
          <w:numId w:val="35"/>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 tantárgy meghirdetésének gyakorisága/a tantervben történő félévi elhelyezkedése: </w:t>
      </w:r>
      <w:r>
        <w:rPr>
          <w:rFonts w:ascii="Times New Roman" w:eastAsia="Times New Roman" w:hAnsi="Times New Roman" w:cs="Times New Roman"/>
          <w:bCs/>
        </w:rPr>
        <w:t>Minden őszi szemeszterben / 1. félév</w:t>
      </w:r>
    </w:p>
    <w:p w:rsidR="005D4347" w:rsidRDefault="005D4347" w:rsidP="00666335">
      <w:pPr>
        <w:widowControl w:val="0"/>
        <w:numPr>
          <w:ilvl w:val="0"/>
          <w:numId w:val="35"/>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tanórákon való részvétel követelményei, az elfogadható hiányzások mértéke, a távolmaradás pótlásának lehetősége:</w:t>
      </w:r>
      <w:r>
        <w:rPr>
          <w:rFonts w:ascii="Times New Roman" w:eastAsia="Times New Roman" w:hAnsi="Times New Roman" w:cs="Times New Roman"/>
          <w:bCs/>
        </w:rPr>
        <w:t xml:space="preserve"> A tanórákon való részvétel kötelező.</w:t>
      </w:r>
      <w:r>
        <w:rPr>
          <w:rFonts w:ascii="Times New Roman" w:eastAsia="Times New Roman" w:hAnsi="Times New Roman" w:cs="Times New Roman"/>
          <w:b/>
          <w:bCs/>
        </w:rPr>
        <w:t xml:space="preserve"> </w:t>
      </w:r>
      <w:r>
        <w:rPr>
          <w:rFonts w:ascii="Times New Roman" w:eastAsia="Times New Roman" w:hAnsi="Times New Roman" w:cs="Times New Roman"/>
          <w:bCs/>
        </w:rPr>
        <w:t>A félév elfogadásának feltétele a tanórák minimum 70%-án való részvétel. Ennél magasabb mértékű távolmaradás pótlása az oktató engedélyével történhet.</w:t>
      </w:r>
    </w:p>
    <w:p w:rsidR="005D4347" w:rsidRDefault="005D4347" w:rsidP="00666335">
      <w:pPr>
        <w:widowControl w:val="0"/>
        <w:numPr>
          <w:ilvl w:val="0"/>
          <w:numId w:val="35"/>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rPr>
        <w:t xml:space="preserve">Félévközi feladatok, ismeretek ellenőrzésének rendje: </w:t>
      </w:r>
      <w:r>
        <w:rPr>
          <w:rFonts w:ascii="Times New Roman" w:eastAsia="Times New Roman" w:hAnsi="Times New Roman" w:cs="Times New Roman"/>
        </w:rPr>
        <w:t>A honvéd tisztjelöltek a tanórákon egyéni vagy csoportos házi feladatot kapnak, melynek ellenőrzése a következő tanóra előtt megtörténik. A házi feladatok megoldása befolyásolja a zárthelyi dolgozat eredményét.</w:t>
      </w:r>
    </w:p>
    <w:p w:rsidR="005D4347" w:rsidRDefault="005D4347" w:rsidP="00666335">
      <w:pPr>
        <w:widowControl w:val="0"/>
        <w:numPr>
          <w:ilvl w:val="0"/>
          <w:numId w:val="35"/>
        </w:numPr>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Az értékelés, az aláírás és a kreditek megszerzésének pontos feltételei: </w:t>
      </w:r>
    </w:p>
    <w:p w:rsidR="005D4347" w:rsidRDefault="005D4347" w:rsidP="00666335">
      <w:pPr>
        <w:widowControl w:val="0"/>
        <w:numPr>
          <w:ilvl w:val="1"/>
          <w:numId w:val="35"/>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Az aláírás megszerzésének feltételei:</w:t>
      </w:r>
    </w:p>
    <w:p w:rsidR="005D4347" w:rsidRDefault="005D4347" w:rsidP="005D4347">
      <w:pPr>
        <w:widowControl w:val="0"/>
        <w:tabs>
          <w:tab w:val="left" w:pos="993"/>
        </w:tabs>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Az aláírás feltétele a tanórákon történő – 14. pontban meghatározott – részvétel, valamint a zárthelyi dolgozat sikeres megírása.</w:t>
      </w:r>
    </w:p>
    <w:p w:rsidR="00F8581B" w:rsidRDefault="00F8581B">
      <w:pPr>
        <w:spacing w:after="200" w:line="276" w:lineRule="auto"/>
        <w:rPr>
          <w:rFonts w:ascii="Times New Roman" w:eastAsia="Times New Roman" w:hAnsi="Times New Roman" w:cs="Times New Roman"/>
          <w:b/>
        </w:rPr>
      </w:pPr>
      <w:r>
        <w:rPr>
          <w:rFonts w:ascii="Times New Roman" w:eastAsia="Times New Roman" w:hAnsi="Times New Roman" w:cs="Times New Roman"/>
          <w:b/>
        </w:rPr>
        <w:br w:type="page"/>
      </w:r>
    </w:p>
    <w:p w:rsidR="005D4347" w:rsidRDefault="005D4347" w:rsidP="00666335">
      <w:pPr>
        <w:widowControl w:val="0"/>
        <w:numPr>
          <w:ilvl w:val="1"/>
          <w:numId w:val="35"/>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lastRenderedPageBreak/>
        <w:t>Az értékelés:</w:t>
      </w:r>
    </w:p>
    <w:p w:rsidR="005D4347" w:rsidRDefault="005D4347" w:rsidP="005D4347">
      <w:pPr>
        <w:widowControl w:val="0"/>
        <w:tabs>
          <w:tab w:val="left" w:pos="993"/>
        </w:tabs>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A zárthelyi dolgozat értékelése: megfelelt, nem megfelelt. A dolgozat eredményébe beleszámít a házi feladatok elkészítésének minősége. A szóbeli kollokvium értékelése ötfokozatú skálán történik.</w:t>
      </w:r>
    </w:p>
    <w:p w:rsidR="005D4347" w:rsidRDefault="005D4347" w:rsidP="00666335">
      <w:pPr>
        <w:widowControl w:val="0"/>
        <w:numPr>
          <w:ilvl w:val="1"/>
          <w:numId w:val="35"/>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 kreditek megszerzésének feltételei:</w:t>
      </w:r>
      <w:r>
        <w:rPr>
          <w:rFonts w:ascii="Times New Roman" w:eastAsia="Times New Roman" w:hAnsi="Times New Roman" w:cs="Times New Roman"/>
        </w:rPr>
        <w:t xml:space="preserve"> </w:t>
      </w:r>
    </w:p>
    <w:p w:rsidR="005D4347" w:rsidRDefault="005D4347" w:rsidP="005D4347">
      <w:pPr>
        <w:widowControl w:val="0"/>
        <w:tabs>
          <w:tab w:val="left" w:pos="993"/>
        </w:tabs>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A kreditek megszerzése szóbeli kollokviumon történik.</w:t>
      </w:r>
    </w:p>
    <w:p w:rsidR="005D4347" w:rsidRDefault="005D4347" w:rsidP="00666335">
      <w:pPr>
        <w:widowControl w:val="0"/>
        <w:numPr>
          <w:ilvl w:val="0"/>
          <w:numId w:val="35"/>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Irodalomjegyzék:</w:t>
      </w:r>
    </w:p>
    <w:p w:rsidR="005D4347" w:rsidRDefault="005D4347" w:rsidP="00666335">
      <w:pPr>
        <w:widowControl w:val="0"/>
        <w:numPr>
          <w:ilvl w:val="1"/>
          <w:numId w:val="35"/>
        </w:numPr>
        <w:tabs>
          <w:tab w:val="left" w:pos="567"/>
          <w:tab w:val="left" w:pos="851"/>
          <w:tab w:val="num" w:pos="2069"/>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Kötelező irodalom:</w:t>
      </w:r>
    </w:p>
    <w:p w:rsidR="005D4347" w:rsidRDefault="005D4347" w:rsidP="00980876">
      <w:pPr>
        <w:widowControl w:val="0"/>
        <w:numPr>
          <w:ilvl w:val="0"/>
          <w:numId w:val="815"/>
        </w:numPr>
        <w:spacing w:after="0" w:line="240" w:lineRule="auto"/>
        <w:jc w:val="both"/>
        <w:rPr>
          <w:rFonts w:ascii="Times New Roman" w:eastAsia="Times New Roman" w:hAnsi="Times New Roman" w:cs="Times New Roman"/>
        </w:rPr>
      </w:pPr>
      <w:r>
        <w:rPr>
          <w:rFonts w:ascii="Times New Roman" w:hAnsi="Times New Roman" w:cs="Times New Roman"/>
          <w:bCs/>
        </w:rPr>
        <w:t>Kopányi Mihály: Mikroökonómia Akadémia Kiadó Zrt. Budapest, 2009. ISBN: 9789630585675</w:t>
      </w:r>
    </w:p>
    <w:p w:rsidR="005D4347" w:rsidRDefault="005D4347" w:rsidP="00980876">
      <w:pPr>
        <w:widowControl w:val="0"/>
        <w:numPr>
          <w:ilvl w:val="0"/>
          <w:numId w:val="815"/>
        </w:numPr>
        <w:spacing w:after="0" w:line="240" w:lineRule="auto"/>
        <w:jc w:val="both"/>
        <w:rPr>
          <w:rFonts w:ascii="Times New Roman" w:eastAsia="Times New Roman" w:hAnsi="Times New Roman" w:cs="Times New Roman"/>
        </w:rPr>
      </w:pPr>
      <w:r>
        <w:rPr>
          <w:rFonts w:ascii="Times New Roman" w:eastAsia="Times New Roman" w:hAnsi="Times New Roman" w:cs="Times New Roman"/>
          <w:bCs/>
        </w:rPr>
        <w:t>Paul. A. Samuelson-William D. Nordhaus: Közgazdaságtan Akadémia Kiadó Zrt. Budapest, 2009. ISBN: 9789630582995</w:t>
      </w:r>
      <w:r>
        <w:rPr>
          <w:rFonts w:ascii="Times New Roman" w:eastAsia="Times New Roman" w:hAnsi="Times New Roman" w:cs="Times New Roman"/>
        </w:rPr>
        <w:t xml:space="preserve"> </w:t>
      </w:r>
    </w:p>
    <w:p w:rsidR="005D4347" w:rsidRDefault="005D4347" w:rsidP="00666335">
      <w:pPr>
        <w:widowControl w:val="0"/>
        <w:numPr>
          <w:ilvl w:val="1"/>
          <w:numId w:val="35"/>
        </w:numPr>
        <w:tabs>
          <w:tab w:val="num" w:pos="567"/>
          <w:tab w:val="num" w:pos="2069"/>
        </w:tabs>
        <w:spacing w:before="120" w:after="120" w:line="240" w:lineRule="auto"/>
        <w:ind w:left="993" w:hanging="709"/>
        <w:jc w:val="both"/>
        <w:rPr>
          <w:rFonts w:ascii="Times New Roman" w:eastAsia="Times New Roman" w:hAnsi="Times New Roman" w:cs="Times New Roman"/>
          <w:b/>
          <w:bCs/>
        </w:rPr>
      </w:pPr>
      <w:r>
        <w:rPr>
          <w:rFonts w:ascii="Times New Roman" w:eastAsia="Times New Roman" w:hAnsi="Times New Roman" w:cs="Times New Roman"/>
          <w:b/>
          <w:bCs/>
        </w:rPr>
        <w:t>Ajánlott irodalom:</w:t>
      </w:r>
    </w:p>
    <w:p w:rsidR="005D4347" w:rsidRDefault="005D4347" w:rsidP="00980876">
      <w:pPr>
        <w:pStyle w:val="Listaszerbekezds"/>
        <w:widowControl w:val="0"/>
        <w:numPr>
          <w:ilvl w:val="0"/>
          <w:numId w:val="816"/>
        </w:numPr>
        <w:spacing w:after="0" w:line="240" w:lineRule="auto"/>
        <w:jc w:val="both"/>
        <w:rPr>
          <w:rFonts w:ascii="Times New Roman" w:eastAsia="Times New Roman" w:hAnsi="Times New Roman" w:cs="Times New Roman"/>
        </w:rPr>
      </w:pPr>
      <w:r>
        <w:rPr>
          <w:rFonts w:ascii="Times New Roman" w:hAnsi="Times New Roman" w:cs="Times New Roman"/>
          <w:bCs/>
        </w:rPr>
        <w:t>Dennis W. Carlton – Jeffrey M. Perloff: Modern piacelmélet Panem Könyvkiadó Budapest, 2003. ISBN: 9635453418</w:t>
      </w:r>
    </w:p>
    <w:p w:rsidR="005D4347" w:rsidRDefault="005D4347" w:rsidP="005D4347">
      <w:pPr>
        <w:widowControl w:val="0"/>
        <w:spacing w:before="120" w:after="120" w:line="240" w:lineRule="auto"/>
        <w:jc w:val="both"/>
        <w:rPr>
          <w:rFonts w:ascii="Times New Roman" w:eastAsia="Times New Roman" w:hAnsi="Times New Roman" w:cs="Times New Roman"/>
          <w:bCs/>
        </w:rPr>
      </w:pPr>
    </w:p>
    <w:p w:rsidR="005D4347" w:rsidRDefault="005D4347" w:rsidP="005D4347">
      <w:pPr>
        <w:widowControl w:val="0"/>
        <w:spacing w:before="120" w:after="120" w:line="240" w:lineRule="auto"/>
        <w:jc w:val="both"/>
        <w:rPr>
          <w:rFonts w:ascii="Times New Roman" w:eastAsia="Times New Roman" w:hAnsi="Times New Roman" w:cs="Times New Roman"/>
          <w:bCs/>
        </w:rPr>
      </w:pPr>
      <w:r>
        <w:rPr>
          <w:rFonts w:ascii="Times New Roman" w:eastAsia="Times New Roman" w:hAnsi="Times New Roman" w:cs="Times New Roman"/>
          <w:bCs/>
        </w:rPr>
        <w:t>Budapest, 2020. január 22.</w:t>
      </w:r>
    </w:p>
    <w:p w:rsidR="005D4347" w:rsidRDefault="005D4347" w:rsidP="005D4347">
      <w:pPr>
        <w:widowControl w:val="0"/>
        <w:spacing w:before="120" w:after="120" w:line="240" w:lineRule="auto"/>
        <w:jc w:val="both"/>
        <w:rPr>
          <w:rFonts w:ascii="Times New Roman" w:eastAsia="Times New Roman" w:hAnsi="Times New Roman" w:cs="Times New Roman"/>
          <w:bCs/>
        </w:rPr>
      </w:pPr>
    </w:p>
    <w:p w:rsidR="005D4347" w:rsidRPr="00AD6AB8" w:rsidRDefault="005D4347" w:rsidP="005D4347">
      <w:pPr>
        <w:widowControl w:val="0"/>
        <w:spacing w:after="0" w:line="240" w:lineRule="auto"/>
        <w:jc w:val="right"/>
        <w:rPr>
          <w:rFonts w:ascii="Times New Roman" w:hAnsi="Times New Roman" w:cs="Times New Roman"/>
          <w:b/>
          <w:bCs/>
        </w:rPr>
      </w:pPr>
      <w:r w:rsidRPr="00AD6AB8">
        <w:rPr>
          <w:rFonts w:ascii="Times New Roman" w:hAnsi="Times New Roman" w:cs="Times New Roman"/>
          <w:b/>
          <w:bCs/>
        </w:rPr>
        <w:t>Dr. Fülöp Katalin PhD</w:t>
      </w:r>
    </w:p>
    <w:p w:rsidR="005D4347" w:rsidRDefault="005D4347" w:rsidP="005D4347">
      <w:pPr>
        <w:widowControl w:val="0"/>
        <w:spacing w:after="0" w:line="240" w:lineRule="auto"/>
        <w:jc w:val="center"/>
        <w:rPr>
          <w:rFonts w:ascii="Times New Roman" w:eastAsia="Times New Roman" w:hAnsi="Times New Roman" w:cs="Times New Roman"/>
          <w:bCs/>
        </w:rPr>
      </w:pPr>
      <w:r>
        <w:rPr>
          <w:rFonts w:ascii="Times New Roman" w:hAnsi="Times New Roman" w:cs="Times New Roman"/>
          <w:bCs/>
        </w:rPr>
        <w:t xml:space="preserve">                                                                                                                             egyetemi docens</w:t>
      </w:r>
    </w:p>
    <w:p w:rsidR="005D4347" w:rsidRDefault="005D4347">
      <w:pPr>
        <w:spacing w:after="200" w:line="276" w:lineRule="auto"/>
        <w:rPr>
          <w:rFonts w:ascii="Times New Roman" w:hAnsi="Times New Roman" w:cs="Times New Roman"/>
          <w:sz w:val="24"/>
        </w:rPr>
      </w:pPr>
    </w:p>
    <w:p w:rsidR="005D4347" w:rsidRDefault="005D4347">
      <w:pPr>
        <w:spacing w:after="200" w:line="276" w:lineRule="auto"/>
        <w:rPr>
          <w:rFonts w:ascii="Times New Roman" w:hAnsi="Times New Roman" w:cs="Times New Roman"/>
          <w:sz w:val="24"/>
        </w:rPr>
      </w:pPr>
      <w:r>
        <w:rPr>
          <w:rFonts w:ascii="Times New Roman" w:hAnsi="Times New Roman" w:cs="Times New Roman"/>
          <w:sz w:val="24"/>
        </w:rPr>
        <w:br w:type="page"/>
      </w:r>
    </w:p>
    <w:tbl>
      <w:tblPr>
        <w:tblW w:w="9072" w:type="dxa"/>
        <w:tblInd w:w="113" w:type="dxa"/>
        <w:tblLook w:val="01E0" w:firstRow="1" w:lastRow="1" w:firstColumn="1" w:lastColumn="1" w:noHBand="0" w:noVBand="0"/>
      </w:tblPr>
      <w:tblGrid>
        <w:gridCol w:w="4855"/>
        <w:gridCol w:w="1620"/>
        <w:gridCol w:w="2597"/>
      </w:tblGrid>
      <w:tr w:rsidR="005D4347" w:rsidTr="005D4347">
        <w:tc>
          <w:tcPr>
            <w:tcW w:w="4855" w:type="dxa"/>
            <w:tcBorders>
              <w:top w:val="nil"/>
              <w:left w:val="nil"/>
              <w:bottom w:val="single" w:sz="4" w:space="0" w:color="auto"/>
              <w:right w:val="nil"/>
            </w:tcBorders>
            <w:hideMark/>
          </w:tcPr>
          <w:p w:rsidR="005D4347" w:rsidRDefault="005D4347">
            <w:pPr>
              <w:spacing w:after="0" w:line="240" w:lineRule="auto"/>
              <w:jc w:val="center"/>
              <w:rPr>
                <w:rFonts w:ascii="Times New Roman" w:eastAsia="Times New Roman" w:hAnsi="Times New Roman" w:cs="Times New Roman"/>
                <w:b/>
                <w:smallCaps/>
                <w:lang w:eastAsia="hu-HU"/>
              </w:rPr>
            </w:pPr>
            <w:r>
              <w:rPr>
                <w:rFonts w:ascii="Times New Roman" w:eastAsia="Times New Roman" w:hAnsi="Times New Roman" w:cs="Times New Roman"/>
                <w:b/>
                <w:smallCaps/>
                <w:lang w:eastAsia="hu-HU"/>
              </w:rPr>
              <w:lastRenderedPageBreak/>
              <w:t>Nemzeti Közszolgálati Egyetem</w:t>
            </w:r>
          </w:p>
        </w:tc>
        <w:tc>
          <w:tcPr>
            <w:tcW w:w="1620" w:type="dxa"/>
          </w:tcPr>
          <w:p w:rsidR="005D4347" w:rsidRDefault="005D4347">
            <w:pPr>
              <w:spacing w:after="0" w:line="240" w:lineRule="auto"/>
              <w:jc w:val="both"/>
              <w:rPr>
                <w:rFonts w:ascii="Times New Roman" w:eastAsia="Times New Roman" w:hAnsi="Times New Roman" w:cs="Times New Roman"/>
                <w:lang w:eastAsia="hu-HU"/>
              </w:rPr>
            </w:pPr>
          </w:p>
        </w:tc>
        <w:tc>
          <w:tcPr>
            <w:tcW w:w="2597" w:type="dxa"/>
          </w:tcPr>
          <w:p w:rsidR="005D4347" w:rsidRDefault="005D4347">
            <w:pPr>
              <w:spacing w:after="0" w:line="240" w:lineRule="auto"/>
              <w:jc w:val="right"/>
              <w:rPr>
                <w:rFonts w:ascii="Times New Roman" w:eastAsia="Times New Roman" w:hAnsi="Times New Roman" w:cs="Times New Roman"/>
                <w:lang w:eastAsia="hu-HU"/>
              </w:rPr>
            </w:pPr>
          </w:p>
        </w:tc>
      </w:tr>
      <w:tr w:rsidR="005D4347" w:rsidTr="005D4347">
        <w:tc>
          <w:tcPr>
            <w:tcW w:w="4855" w:type="dxa"/>
            <w:tcBorders>
              <w:top w:val="single" w:sz="4" w:space="0" w:color="auto"/>
              <w:left w:val="nil"/>
              <w:bottom w:val="nil"/>
              <w:right w:val="nil"/>
            </w:tcBorders>
            <w:hideMark/>
          </w:tcPr>
          <w:p w:rsidR="005D4347" w:rsidRDefault="005D4347">
            <w:pPr>
              <w:spacing w:after="0" w:line="240" w:lineRule="auto"/>
              <w:jc w:val="center"/>
              <w:rPr>
                <w:rFonts w:ascii="Times New Roman" w:eastAsia="Times New Roman" w:hAnsi="Times New Roman" w:cs="Times New Roman"/>
                <w:b/>
                <w:lang w:eastAsia="hu-HU"/>
              </w:rPr>
            </w:pPr>
            <w:r>
              <w:rPr>
                <w:rFonts w:ascii="Times New Roman" w:eastAsia="Times New Roman" w:hAnsi="Times New Roman" w:cs="Times New Roman"/>
                <w:b/>
                <w:lang w:eastAsia="hu-HU"/>
              </w:rPr>
              <w:t>Hadtudományi és Honvédtisztképző Kar</w:t>
            </w:r>
          </w:p>
        </w:tc>
        <w:tc>
          <w:tcPr>
            <w:tcW w:w="1620" w:type="dxa"/>
          </w:tcPr>
          <w:p w:rsidR="005D4347" w:rsidRDefault="005D4347">
            <w:pPr>
              <w:spacing w:after="0" w:line="240" w:lineRule="auto"/>
              <w:jc w:val="both"/>
              <w:rPr>
                <w:rFonts w:ascii="Times New Roman" w:eastAsia="Times New Roman" w:hAnsi="Times New Roman" w:cs="Times New Roman"/>
                <w:lang w:eastAsia="hu-HU"/>
              </w:rPr>
            </w:pPr>
          </w:p>
        </w:tc>
        <w:tc>
          <w:tcPr>
            <w:tcW w:w="2597" w:type="dxa"/>
          </w:tcPr>
          <w:p w:rsidR="005D4347" w:rsidRDefault="005D4347">
            <w:pPr>
              <w:spacing w:after="0" w:line="240" w:lineRule="auto"/>
              <w:jc w:val="both"/>
              <w:rPr>
                <w:rFonts w:ascii="Times New Roman" w:eastAsia="Times New Roman" w:hAnsi="Times New Roman" w:cs="Times New Roman"/>
                <w:lang w:eastAsia="hu-HU"/>
              </w:rPr>
            </w:pPr>
          </w:p>
        </w:tc>
      </w:tr>
    </w:tbl>
    <w:p w:rsidR="005D4347" w:rsidRDefault="005D4347" w:rsidP="005D4347">
      <w:pPr>
        <w:widowControl w:val="0"/>
        <w:spacing w:before="120" w:after="120" w:line="240" w:lineRule="auto"/>
        <w:ind w:left="426" w:hanging="142"/>
        <w:jc w:val="center"/>
        <w:rPr>
          <w:rFonts w:ascii="Times New Roman" w:eastAsia="Times New Roman" w:hAnsi="Times New Roman" w:cs="Times New Roman"/>
          <w:b/>
          <w:bCs/>
        </w:rPr>
      </w:pPr>
    </w:p>
    <w:p w:rsidR="005D4347" w:rsidRDefault="005D4347" w:rsidP="005D4347">
      <w:pPr>
        <w:widowControl w:val="0"/>
        <w:spacing w:before="120" w:after="120" w:line="240" w:lineRule="auto"/>
        <w:ind w:left="426" w:hanging="142"/>
        <w:jc w:val="center"/>
        <w:rPr>
          <w:rFonts w:ascii="Times New Roman" w:eastAsia="Times New Roman" w:hAnsi="Times New Roman" w:cs="Times New Roman"/>
          <w:b/>
          <w:bCs/>
        </w:rPr>
      </w:pPr>
      <w:r>
        <w:rPr>
          <w:rFonts w:ascii="Times New Roman" w:eastAsia="Times New Roman" w:hAnsi="Times New Roman" w:cs="Times New Roman"/>
          <w:b/>
          <w:bCs/>
        </w:rPr>
        <w:t>TANTÁRGYI PROGRAM</w:t>
      </w:r>
    </w:p>
    <w:p w:rsidR="005D4347" w:rsidRDefault="005D4347" w:rsidP="00666335">
      <w:pPr>
        <w:widowControl w:val="0"/>
        <w:numPr>
          <w:ilvl w:val="0"/>
          <w:numId w:val="36"/>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 tantárgy kódja: </w:t>
      </w:r>
      <w:r>
        <w:rPr>
          <w:rFonts w:ascii="Times New Roman" w:eastAsia="Times New Roman" w:hAnsi="Times New Roman" w:cs="Times New Roman"/>
          <w:bCs/>
        </w:rPr>
        <w:t>HKINFB111</w:t>
      </w:r>
    </w:p>
    <w:p w:rsidR="005D4347" w:rsidRDefault="005D4347" w:rsidP="00666335">
      <w:pPr>
        <w:widowControl w:val="0"/>
        <w:numPr>
          <w:ilvl w:val="0"/>
          <w:numId w:val="36"/>
        </w:numPr>
        <w:spacing w:before="120" w:after="120" w:line="240" w:lineRule="auto"/>
        <w:ind w:left="426" w:hanging="142"/>
        <w:jc w:val="both"/>
        <w:rPr>
          <w:rFonts w:ascii="Times New Roman" w:eastAsia="Times New Roman" w:hAnsi="Times New Roman" w:cs="Times New Roman"/>
          <w:b/>
          <w:bCs/>
          <w:lang w:val="en-GB"/>
        </w:rPr>
      </w:pPr>
      <w:r>
        <w:rPr>
          <w:rFonts w:ascii="Times New Roman" w:eastAsia="Times New Roman" w:hAnsi="Times New Roman" w:cs="Times New Roman"/>
          <w:b/>
          <w:bCs/>
        </w:rPr>
        <w:t>A tantárgy megnevezése (magyarul):</w:t>
      </w:r>
      <w:r>
        <w:rPr>
          <w:rFonts w:ascii="Times New Roman" w:eastAsia="Times New Roman" w:hAnsi="Times New Roman" w:cs="Times New Roman"/>
          <w:bCs/>
        </w:rPr>
        <w:t xml:space="preserve"> </w:t>
      </w:r>
      <w:r>
        <w:rPr>
          <w:rFonts w:ascii="Times New Roman" w:eastAsia="Times New Roman" w:hAnsi="Times New Roman" w:cs="Times New Roman"/>
          <w:bCs/>
          <w:lang w:val="en-GB"/>
        </w:rPr>
        <w:t>Informatikai alapismeretek</w:t>
      </w:r>
    </w:p>
    <w:p w:rsidR="005D4347" w:rsidRDefault="005D4347" w:rsidP="00666335">
      <w:pPr>
        <w:widowControl w:val="0"/>
        <w:numPr>
          <w:ilvl w:val="0"/>
          <w:numId w:val="36"/>
        </w:numPr>
        <w:tabs>
          <w:tab w:val="num" w:pos="567"/>
        </w:tabs>
        <w:spacing w:before="120" w:after="120" w:line="240" w:lineRule="auto"/>
        <w:ind w:left="426" w:hanging="142"/>
        <w:jc w:val="both"/>
        <w:rPr>
          <w:rFonts w:ascii="Times New Roman" w:eastAsia="Times New Roman" w:hAnsi="Times New Roman" w:cs="Times New Roman"/>
          <w:bCs/>
          <w:lang w:val="en-GB"/>
        </w:rPr>
      </w:pPr>
      <w:r>
        <w:rPr>
          <w:rFonts w:ascii="Times New Roman" w:eastAsia="Times New Roman" w:hAnsi="Times New Roman" w:cs="Times New Roman"/>
          <w:b/>
          <w:bCs/>
        </w:rPr>
        <w:t xml:space="preserve">A tantárgy megnevezése (angolul): </w:t>
      </w:r>
      <w:r>
        <w:rPr>
          <w:rFonts w:ascii="Times New Roman" w:eastAsia="Times New Roman" w:hAnsi="Times New Roman" w:cs="Times New Roman"/>
          <w:bCs/>
          <w:lang w:val="en-GB"/>
        </w:rPr>
        <w:t>Basic IT skills</w:t>
      </w:r>
    </w:p>
    <w:p w:rsidR="005D4347" w:rsidRDefault="005D4347" w:rsidP="00666335">
      <w:pPr>
        <w:widowControl w:val="0"/>
        <w:numPr>
          <w:ilvl w:val="0"/>
          <w:numId w:val="36"/>
        </w:numPr>
        <w:tabs>
          <w:tab w:val="num" w:pos="567"/>
        </w:tabs>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Kreditérték és képzési karakter: </w:t>
      </w:r>
    </w:p>
    <w:p w:rsidR="005D4347" w:rsidRDefault="005D4347" w:rsidP="00666335">
      <w:pPr>
        <w:pStyle w:val="Listaszerbekezds"/>
        <w:widowControl w:val="0"/>
        <w:numPr>
          <w:ilvl w:val="1"/>
          <w:numId w:val="36"/>
        </w:numPr>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2 kredit</w:t>
      </w:r>
    </w:p>
    <w:p w:rsidR="005D4347" w:rsidRDefault="005D4347" w:rsidP="00666335">
      <w:pPr>
        <w:pStyle w:val="Listaszerbekezds"/>
        <w:widowControl w:val="0"/>
        <w:numPr>
          <w:ilvl w:val="1"/>
          <w:numId w:val="36"/>
        </w:numPr>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a tantárgy elméleti vagy gyakorlati jellegének mértéke: 100</w:t>
      </w:r>
      <w:r>
        <w:rPr>
          <w:rFonts w:ascii="Times New Roman" w:eastAsia="Times New Roman" w:hAnsi="Times New Roman" w:cs="Times New Roman"/>
          <w:b/>
          <w:bCs/>
        </w:rPr>
        <w:t xml:space="preserve"> </w:t>
      </w:r>
      <w:r>
        <w:rPr>
          <w:rFonts w:ascii="Times New Roman" w:eastAsia="Times New Roman" w:hAnsi="Times New Roman" w:cs="Times New Roman"/>
          <w:bCs/>
        </w:rPr>
        <w:t>% gyakorlat, 0 % elmélet</w:t>
      </w:r>
    </w:p>
    <w:p w:rsidR="005D4347" w:rsidRDefault="005D4347" w:rsidP="00666335">
      <w:pPr>
        <w:widowControl w:val="0"/>
        <w:numPr>
          <w:ilvl w:val="0"/>
          <w:numId w:val="36"/>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szak(ok), szakirányok/specializációk megnevezése (ahol oktatják):</w:t>
      </w:r>
      <w:r>
        <w:rPr>
          <w:rFonts w:ascii="Times New Roman" w:eastAsia="Times New Roman" w:hAnsi="Times New Roman" w:cs="Times New Roman"/>
          <w:bCs/>
        </w:rPr>
        <w:t xml:space="preserve"> </w:t>
      </w:r>
      <w:r>
        <w:rPr>
          <w:rFonts w:ascii="Times New Roman" w:hAnsi="Times New Roman" w:cs="Times New Roman"/>
          <w:bCs/>
        </w:rPr>
        <w:t>Katonai logisztika alapképzési szak</w:t>
      </w:r>
    </w:p>
    <w:p w:rsidR="005D4347" w:rsidRDefault="005D4347" w:rsidP="00666335">
      <w:pPr>
        <w:widowControl w:val="0"/>
        <w:numPr>
          <w:ilvl w:val="0"/>
          <w:numId w:val="36"/>
        </w:numPr>
        <w:tabs>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Az oktatásért felelős oktatási szervezeti egység megnevezése: </w:t>
      </w:r>
      <w:r>
        <w:rPr>
          <w:rFonts w:ascii="Times New Roman" w:hAnsi="Times New Roman" w:cs="Times New Roman"/>
          <w:bCs/>
        </w:rPr>
        <w:t>NKE HHK Informatikai Tanszék</w:t>
      </w:r>
    </w:p>
    <w:p w:rsidR="005D4347" w:rsidRDefault="005D4347" w:rsidP="00666335">
      <w:pPr>
        <w:widowControl w:val="0"/>
        <w:numPr>
          <w:ilvl w:val="0"/>
          <w:numId w:val="36"/>
        </w:numPr>
        <w:tabs>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tantárgyfelelős oktató neve, beosztása, tudományos fokozata:</w:t>
      </w:r>
      <w:r>
        <w:rPr>
          <w:rFonts w:ascii="Times New Roman" w:eastAsia="Times New Roman" w:hAnsi="Times New Roman" w:cs="Times New Roman"/>
          <w:bCs/>
        </w:rPr>
        <w:t xml:space="preserve"> </w:t>
      </w:r>
      <w:r>
        <w:rPr>
          <w:rFonts w:ascii="Times New Roman" w:hAnsi="Times New Roman" w:cs="Times New Roman"/>
          <w:bCs/>
        </w:rPr>
        <w:t>Dr. Négyesi Imre, tanszékvezető egyetemi docens (PhD)</w:t>
      </w:r>
    </w:p>
    <w:p w:rsidR="005D4347" w:rsidRDefault="005D4347" w:rsidP="00666335">
      <w:pPr>
        <w:widowControl w:val="0"/>
        <w:numPr>
          <w:ilvl w:val="0"/>
          <w:numId w:val="36"/>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tanórák száma és típusa</w:t>
      </w:r>
    </w:p>
    <w:p w:rsidR="005D4347" w:rsidRDefault="005D4347" w:rsidP="00666335">
      <w:pPr>
        <w:widowControl w:val="0"/>
        <w:numPr>
          <w:ilvl w:val="1"/>
          <w:numId w:val="36"/>
        </w:numPr>
        <w:tabs>
          <w:tab w:val="num" w:pos="709"/>
          <w:tab w:val="num" w:pos="2069"/>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össz óraszám/félév: 28</w:t>
      </w:r>
    </w:p>
    <w:p w:rsidR="005D4347" w:rsidRDefault="005D4347" w:rsidP="00666335">
      <w:pPr>
        <w:widowControl w:val="0"/>
        <w:numPr>
          <w:ilvl w:val="2"/>
          <w:numId w:val="36"/>
        </w:numPr>
        <w:tabs>
          <w:tab w:val="num" w:pos="709"/>
        </w:tabs>
        <w:spacing w:before="120" w:after="120" w:line="240" w:lineRule="auto"/>
        <w:ind w:left="1276" w:hanging="567"/>
        <w:jc w:val="both"/>
        <w:rPr>
          <w:rFonts w:ascii="Times New Roman" w:eastAsia="Times New Roman" w:hAnsi="Times New Roman" w:cs="Times New Roman"/>
          <w:bCs/>
        </w:rPr>
      </w:pPr>
      <w:r>
        <w:rPr>
          <w:rFonts w:ascii="Times New Roman" w:eastAsia="Times New Roman" w:hAnsi="Times New Roman" w:cs="Times New Roman"/>
          <w:bCs/>
        </w:rPr>
        <w:t>nappali munkarend: (0 EA + 0 SZ + 28 GY)</w:t>
      </w:r>
    </w:p>
    <w:p w:rsidR="005D4347" w:rsidRDefault="005D4347" w:rsidP="00666335">
      <w:pPr>
        <w:widowControl w:val="0"/>
        <w:numPr>
          <w:ilvl w:val="2"/>
          <w:numId w:val="36"/>
        </w:numPr>
        <w:tabs>
          <w:tab w:val="num" w:pos="709"/>
        </w:tabs>
        <w:spacing w:before="120" w:after="120" w:line="240" w:lineRule="auto"/>
        <w:ind w:left="1276" w:hanging="567"/>
        <w:jc w:val="both"/>
        <w:rPr>
          <w:rFonts w:ascii="Times New Roman" w:eastAsia="Times New Roman" w:hAnsi="Times New Roman" w:cs="Times New Roman"/>
          <w:bCs/>
        </w:rPr>
      </w:pPr>
      <w:r>
        <w:rPr>
          <w:rFonts w:ascii="Times New Roman" w:eastAsia="Times New Roman" w:hAnsi="Times New Roman" w:cs="Times New Roman"/>
          <w:bCs/>
        </w:rPr>
        <w:t>levelező munkarend: -</w:t>
      </w:r>
    </w:p>
    <w:p w:rsidR="005D4347" w:rsidRDefault="005D4347" w:rsidP="00666335">
      <w:pPr>
        <w:widowControl w:val="0"/>
        <w:numPr>
          <w:ilvl w:val="1"/>
          <w:numId w:val="36"/>
        </w:numPr>
        <w:tabs>
          <w:tab w:val="num" w:pos="709"/>
          <w:tab w:val="num" w:pos="2069"/>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heti óraszám - nappali munkarend: 2</w:t>
      </w:r>
    </w:p>
    <w:p w:rsidR="005D4347" w:rsidRDefault="005D4347" w:rsidP="00666335">
      <w:pPr>
        <w:widowControl w:val="0"/>
        <w:numPr>
          <w:ilvl w:val="1"/>
          <w:numId w:val="36"/>
        </w:numPr>
        <w:tabs>
          <w:tab w:val="num" w:pos="709"/>
          <w:tab w:val="num" w:pos="2069"/>
        </w:tabs>
        <w:spacing w:before="120" w:after="120" w:line="240" w:lineRule="auto"/>
        <w:ind w:left="851" w:hanging="425"/>
        <w:jc w:val="both"/>
        <w:rPr>
          <w:rFonts w:ascii="Times New Roman" w:eastAsia="Times New Roman" w:hAnsi="Times New Roman" w:cs="Times New Roman"/>
          <w:bCs/>
        </w:rPr>
      </w:pPr>
      <w:r>
        <w:rPr>
          <w:rFonts w:ascii="Times New Roman" w:hAnsi="Times New Roman" w:cs="Times New Roman"/>
        </w:rPr>
        <w:t>Az ismeret átadásában alkalmazandó további sajátos módok, jellemzők:</w:t>
      </w:r>
      <w:r>
        <w:rPr>
          <w:rFonts w:ascii="Times New Roman" w:hAnsi="Times New Roman" w:cs="Times New Roman"/>
          <w:i/>
        </w:rPr>
        <w:t xml:space="preserve"> –</w:t>
      </w:r>
    </w:p>
    <w:p w:rsidR="005D4347" w:rsidRDefault="005D4347" w:rsidP="00666335">
      <w:pPr>
        <w:widowControl w:val="0"/>
        <w:numPr>
          <w:ilvl w:val="0"/>
          <w:numId w:val="36"/>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tantárgy szakmai tartalma (magyarul):</w:t>
      </w:r>
      <w:r>
        <w:rPr>
          <w:rFonts w:ascii="Times New Roman" w:eastAsia="Times New Roman" w:hAnsi="Times New Roman" w:cs="Times New Roman"/>
          <w:bCs/>
        </w:rPr>
        <w:t xml:space="preserve"> Táblázatok készítése, kezelése. Függvények, képletek alkalmazása. Diagramok készítése táblázatkezelő program segítségével. A NATO-ban (EU-ban) alkalmazandó prezentáció készítés szabályai, az animációs beállítási lehetőségek ismerete. A bemutatók időzítése, levetítése.</w:t>
      </w:r>
    </w:p>
    <w:p w:rsidR="005D4347" w:rsidRDefault="005D4347" w:rsidP="005D4347">
      <w:pPr>
        <w:widowControl w:val="0"/>
        <w:spacing w:before="120" w:after="120" w:line="240" w:lineRule="auto"/>
        <w:ind w:left="426"/>
        <w:jc w:val="both"/>
        <w:rPr>
          <w:rFonts w:ascii="Times New Roman" w:eastAsia="Times New Roman" w:hAnsi="Times New Roman" w:cs="Times New Roman"/>
          <w:bCs/>
          <w:lang w:val="en-GB"/>
        </w:rPr>
      </w:pPr>
      <w:r>
        <w:rPr>
          <w:rFonts w:ascii="Times New Roman" w:eastAsia="Times New Roman" w:hAnsi="Times New Roman" w:cs="Times New Roman"/>
          <w:b/>
          <w:bCs/>
        </w:rPr>
        <w:t>A tantárgy szakmai tartalma (angolul) (</w:t>
      </w:r>
      <w:r>
        <w:rPr>
          <w:rFonts w:ascii="Times New Roman" w:eastAsia="Times New Roman" w:hAnsi="Times New Roman" w:cs="Times New Roman"/>
          <w:b/>
          <w:bCs/>
          <w:lang w:val="en-US"/>
        </w:rPr>
        <w:t>Course description</w:t>
      </w:r>
      <w:r>
        <w:rPr>
          <w:rFonts w:ascii="Times New Roman" w:eastAsia="Times New Roman" w:hAnsi="Times New Roman" w:cs="Times New Roman"/>
          <w:b/>
          <w:bCs/>
        </w:rPr>
        <w:t xml:space="preserve">): </w:t>
      </w:r>
      <w:r>
        <w:rPr>
          <w:rFonts w:ascii="Times New Roman" w:eastAsia="Times New Roman" w:hAnsi="Times New Roman" w:cs="Times New Roman"/>
          <w:bCs/>
        </w:rPr>
        <w:t>Creating and managing tables. Application of functions, formulas. Creating charts using a spreadsheet program. Rules of presentation in NATO (EU), knowledge of animation setup options. Timing and screening of presentations.</w:t>
      </w:r>
    </w:p>
    <w:p w:rsidR="005D4347" w:rsidRDefault="005D4347" w:rsidP="00666335">
      <w:pPr>
        <w:pStyle w:val="Listaszerbekezds"/>
        <w:widowControl w:val="0"/>
        <w:numPr>
          <w:ilvl w:val="0"/>
          <w:numId w:val="36"/>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Elérendő kompetenciák (magyarul):</w:t>
      </w:r>
      <w:r>
        <w:rPr>
          <w:rFonts w:ascii="Times New Roman" w:eastAsia="Times New Roman" w:hAnsi="Times New Roman" w:cs="Times New Roman"/>
          <w:bCs/>
        </w:rPr>
        <w:t xml:space="preserve"> </w:t>
      </w:r>
    </w:p>
    <w:p w:rsidR="005D4347" w:rsidRDefault="005D4347" w:rsidP="005D4347">
      <w:pPr>
        <w:widowControl w:val="0"/>
        <w:spacing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Tudása:</w:t>
      </w:r>
    </w:p>
    <w:p w:rsidR="005D4347" w:rsidRDefault="005D4347" w:rsidP="005D4347">
      <w:pPr>
        <w:widowControl w:val="0"/>
        <w:spacing w:before="120" w:after="120" w:line="240" w:lineRule="auto"/>
        <w:ind w:left="993" w:hanging="360"/>
        <w:contextualSpacing/>
        <w:jc w:val="both"/>
        <w:rPr>
          <w:rFonts w:ascii="Times New Roman" w:eastAsia="Times New Roman" w:hAnsi="Times New Roman" w:cs="Times New Roman"/>
          <w:bCs/>
        </w:rPr>
      </w:pPr>
      <w:r>
        <w:rPr>
          <w:rFonts w:ascii="Times New Roman" w:eastAsia="Times New Roman" w:hAnsi="Times New Roman" w:cs="Times New Roman"/>
          <w:bCs/>
        </w:rPr>
        <w:t>-</w:t>
      </w:r>
      <w:r>
        <w:rPr>
          <w:rFonts w:ascii="Times New Roman" w:eastAsia="Times New Roman" w:hAnsi="Times New Roman" w:cs="Times New Roman"/>
          <w:bCs/>
        </w:rPr>
        <w:tab/>
        <w:t>Korszerű ismeretekkel rendelkezik a táblázatok kezelése és a bemutatók létrehozásának területein.</w:t>
      </w:r>
    </w:p>
    <w:p w:rsidR="005D4347" w:rsidRDefault="005D4347" w:rsidP="005D4347">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Képességei:</w:t>
      </w:r>
      <w:r>
        <w:rPr>
          <w:rFonts w:ascii="Times New Roman" w:eastAsia="Times New Roman" w:hAnsi="Times New Roman" w:cs="Times New Roman"/>
          <w:bCs/>
        </w:rPr>
        <w:t xml:space="preserve"> </w:t>
      </w:r>
    </w:p>
    <w:p w:rsidR="005D4347" w:rsidRDefault="005D4347" w:rsidP="005D4347">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Képes használni a munkavégzéséhez szükséges mértékben a táblázatkezelő és a bemutató-készítő programokat.</w:t>
      </w:r>
    </w:p>
    <w:p w:rsidR="005D4347" w:rsidRDefault="005D4347" w:rsidP="005D4347">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Attitűdje:</w:t>
      </w:r>
      <w:r>
        <w:rPr>
          <w:rFonts w:ascii="Times New Roman" w:eastAsia="Times New Roman" w:hAnsi="Times New Roman" w:cs="Times New Roman"/>
          <w:bCs/>
        </w:rPr>
        <w:t xml:space="preserve"> </w:t>
      </w:r>
    </w:p>
    <w:p w:rsidR="005D4347" w:rsidRDefault="005D4347" w:rsidP="005D4347">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Nyitott más hasznos informatikai alkalmazások, valamint a NATO és EU vonatkozó szabványok megismerésére, elsajátítására.</w:t>
      </w:r>
    </w:p>
    <w:p w:rsidR="005D4347" w:rsidRDefault="005D4347" w:rsidP="005D4347">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Autonómiája és felelőssége:</w:t>
      </w:r>
    </w:p>
    <w:p w:rsidR="005D4347" w:rsidRDefault="005D4347" w:rsidP="005D4347">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Felelősséget érez saját szakmai fejlődéséért, a feladataihoz tartozó technikai típusú tudásanyag naprakész ismeretéért, folyamatos fejlesztéséért.</w:t>
      </w:r>
    </w:p>
    <w:p w:rsidR="005D4347" w:rsidRDefault="005D4347" w:rsidP="005D4347">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Szakfeladatait szakmai felelősséggel végzi.</w:t>
      </w:r>
    </w:p>
    <w:p w:rsidR="00911595" w:rsidRDefault="00911595" w:rsidP="005D4347">
      <w:pPr>
        <w:widowControl w:val="0"/>
        <w:spacing w:before="120" w:after="0" w:line="240" w:lineRule="auto"/>
        <w:ind w:left="425"/>
        <w:jc w:val="both"/>
        <w:rPr>
          <w:rFonts w:ascii="Times New Roman" w:eastAsia="Times New Roman" w:hAnsi="Times New Roman" w:cs="Times New Roman"/>
          <w:b/>
          <w:bCs/>
        </w:rPr>
      </w:pPr>
    </w:p>
    <w:p w:rsidR="005D4347" w:rsidRDefault="005D4347" w:rsidP="005D4347">
      <w:pPr>
        <w:widowControl w:val="0"/>
        <w:spacing w:before="120" w:after="0" w:line="240" w:lineRule="auto"/>
        <w:ind w:left="425"/>
        <w:jc w:val="both"/>
        <w:rPr>
          <w:rFonts w:ascii="Times New Roman" w:eastAsia="Times New Roman" w:hAnsi="Times New Roman" w:cs="Times New Roman"/>
          <w:b/>
          <w:bCs/>
          <w:lang w:val="en-US"/>
        </w:rPr>
      </w:pPr>
      <w:r>
        <w:rPr>
          <w:rFonts w:ascii="Times New Roman" w:eastAsia="Times New Roman" w:hAnsi="Times New Roman" w:cs="Times New Roman"/>
          <w:b/>
          <w:bCs/>
        </w:rPr>
        <w:lastRenderedPageBreak/>
        <w:t>Elérendő kompetenciák (angolul) (</w:t>
      </w:r>
      <w:r>
        <w:rPr>
          <w:rFonts w:ascii="Times New Roman" w:eastAsia="Times New Roman" w:hAnsi="Times New Roman" w:cs="Times New Roman"/>
          <w:b/>
          <w:bCs/>
          <w:lang w:val="en-US"/>
        </w:rPr>
        <w:t xml:space="preserve">Competences – English): </w:t>
      </w:r>
    </w:p>
    <w:p w:rsidR="005D4347" w:rsidRDefault="005D4347" w:rsidP="005D4347">
      <w:pPr>
        <w:widowControl w:val="0"/>
        <w:spacing w:before="120" w:after="0" w:line="240" w:lineRule="auto"/>
        <w:ind w:left="425"/>
        <w:jc w:val="both"/>
        <w:rPr>
          <w:rFonts w:ascii="Times New Roman" w:eastAsia="Times New Roman" w:hAnsi="Times New Roman" w:cs="Times New Roman"/>
          <w:lang w:val="en-GB"/>
        </w:rPr>
      </w:pPr>
      <w:r>
        <w:rPr>
          <w:rFonts w:ascii="Times New Roman" w:eastAsia="Times New Roman" w:hAnsi="Times New Roman" w:cs="Times New Roman"/>
          <w:b/>
          <w:lang w:val="en-GB"/>
        </w:rPr>
        <w:t>Knowledge</w:t>
      </w:r>
      <w:r>
        <w:rPr>
          <w:rFonts w:ascii="Times New Roman" w:eastAsia="Times New Roman" w:hAnsi="Times New Roman" w:cs="Times New Roman"/>
          <w:lang w:val="en-GB"/>
        </w:rPr>
        <w:t xml:space="preserve">: </w:t>
      </w:r>
    </w:p>
    <w:p w:rsidR="005D4347" w:rsidRDefault="005D4347" w:rsidP="005D4347">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Has advanced knowledge in spreadsheet management, and presentation presentations.</w:t>
      </w:r>
    </w:p>
    <w:p w:rsidR="005D4347" w:rsidRDefault="005D4347" w:rsidP="005D4347">
      <w:pPr>
        <w:widowControl w:val="0"/>
        <w:spacing w:before="120" w:after="0" w:line="240" w:lineRule="auto"/>
        <w:ind w:left="425"/>
        <w:jc w:val="both"/>
        <w:rPr>
          <w:rFonts w:ascii="Times New Roman" w:eastAsia="Times New Roman" w:hAnsi="Times New Roman" w:cs="Times New Roman"/>
          <w:lang w:val="en-GB"/>
        </w:rPr>
      </w:pPr>
      <w:r>
        <w:rPr>
          <w:rFonts w:ascii="Times New Roman" w:eastAsia="Times New Roman" w:hAnsi="Times New Roman" w:cs="Times New Roman"/>
          <w:b/>
          <w:lang w:val="en-GB"/>
        </w:rPr>
        <w:t>Capabilities</w:t>
      </w:r>
      <w:r>
        <w:rPr>
          <w:rFonts w:ascii="Times New Roman" w:eastAsia="Times New Roman" w:hAnsi="Times New Roman" w:cs="Times New Roman"/>
          <w:lang w:val="en-GB"/>
        </w:rPr>
        <w:t xml:space="preserve">: </w:t>
      </w:r>
    </w:p>
    <w:p w:rsidR="005D4347" w:rsidRDefault="005D4347" w:rsidP="005D4347">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Ability to use spreadsheet and presentation software to the extent necessary for the job.</w:t>
      </w:r>
    </w:p>
    <w:p w:rsidR="005D4347" w:rsidRDefault="005D4347" w:rsidP="005D43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425"/>
        <w:jc w:val="both"/>
        <w:rPr>
          <w:rFonts w:ascii="Times New Roman" w:eastAsia="Times New Roman" w:hAnsi="Times New Roman" w:cs="Times New Roman"/>
          <w:lang w:val="en-GB"/>
        </w:rPr>
      </w:pPr>
      <w:r>
        <w:rPr>
          <w:rFonts w:ascii="Times New Roman" w:eastAsia="Times New Roman" w:hAnsi="Times New Roman" w:cs="Times New Roman"/>
          <w:b/>
          <w:lang w:val="en-GB"/>
        </w:rPr>
        <w:t>Attitude:</w:t>
      </w:r>
      <w:r>
        <w:rPr>
          <w:rFonts w:ascii="Times New Roman" w:eastAsia="Times New Roman" w:hAnsi="Times New Roman" w:cs="Times New Roman"/>
          <w:lang w:val="en-GB"/>
        </w:rPr>
        <w:t xml:space="preserve"> </w:t>
      </w:r>
    </w:p>
    <w:p w:rsidR="005D4347" w:rsidRDefault="005D4347" w:rsidP="005D4347">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Open to learn about other useful IT applications and relevant NATO and EU standards.</w:t>
      </w:r>
    </w:p>
    <w:p w:rsidR="005D4347" w:rsidRDefault="005D4347" w:rsidP="005D4347">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lang w:val="en-GB"/>
        </w:rPr>
        <w:t xml:space="preserve">Autonomy and responsibility: </w:t>
      </w:r>
    </w:p>
    <w:p w:rsidR="005D4347" w:rsidRDefault="005D4347" w:rsidP="005D4347">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He / she feels responsible for his / her professional development, for the up-to-date knowledge and continuous improvement of the technical type of knowledge related to his / her tasks.</w:t>
      </w:r>
    </w:p>
    <w:p w:rsidR="005D4347" w:rsidRDefault="005D4347" w:rsidP="005D4347">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Performs professional duties with professional responsibility.</w:t>
      </w:r>
    </w:p>
    <w:p w:rsidR="005D4347" w:rsidRDefault="005D4347" w:rsidP="00666335">
      <w:pPr>
        <w:widowControl w:val="0"/>
        <w:numPr>
          <w:ilvl w:val="0"/>
          <w:numId w:val="36"/>
        </w:numPr>
        <w:tabs>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Előtanulmányi követelmények: </w:t>
      </w:r>
      <w:r>
        <w:rPr>
          <w:rFonts w:ascii="Times New Roman" w:eastAsia="Times New Roman" w:hAnsi="Times New Roman" w:cs="Times New Roman"/>
          <w:bCs/>
        </w:rPr>
        <w:t>Nincs</w:t>
      </w:r>
    </w:p>
    <w:p w:rsidR="005D4347" w:rsidRDefault="005D4347" w:rsidP="00666335">
      <w:pPr>
        <w:widowControl w:val="0"/>
        <w:numPr>
          <w:ilvl w:val="0"/>
          <w:numId w:val="36"/>
        </w:numPr>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A tantárgy tananyagának leírása, tematika. Description of the subject, curriculum (magyarul, angolul - English):</w:t>
      </w:r>
    </w:p>
    <w:p w:rsidR="005D4347" w:rsidRDefault="005D4347" w:rsidP="00666335">
      <w:pPr>
        <w:widowControl w:val="0"/>
        <w:numPr>
          <w:ilvl w:val="1"/>
          <w:numId w:val="36"/>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lang w:val="en-US"/>
        </w:rPr>
      </w:pPr>
      <w:r>
        <w:rPr>
          <w:rFonts w:ascii="Times New Roman" w:eastAsia="Times New Roman" w:hAnsi="Times New Roman" w:cs="Times New Roman"/>
          <w:bCs/>
        </w:rPr>
        <w:t xml:space="preserve">A táblázatok felépítése, az adatok szerkesztése. </w:t>
      </w:r>
      <w:r>
        <w:rPr>
          <w:rFonts w:ascii="Times New Roman" w:eastAsia="Times New Roman" w:hAnsi="Times New Roman" w:cs="Times New Roman"/>
          <w:bCs/>
          <w:i/>
        </w:rPr>
        <w:t>(Structure of tables, data editing.)</w:t>
      </w:r>
    </w:p>
    <w:p w:rsidR="005D4347" w:rsidRDefault="005D4347" w:rsidP="00666335">
      <w:pPr>
        <w:widowControl w:val="0"/>
        <w:numPr>
          <w:ilvl w:val="1"/>
          <w:numId w:val="36"/>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lang w:val="en-US"/>
        </w:rPr>
      </w:pPr>
      <w:r>
        <w:rPr>
          <w:rFonts w:ascii="Times New Roman" w:eastAsia="Times New Roman" w:hAnsi="Times New Roman" w:cs="Times New Roman"/>
          <w:bCs/>
        </w:rPr>
        <w:t xml:space="preserve">A táblázatok formázása. </w:t>
      </w:r>
      <w:r>
        <w:rPr>
          <w:rFonts w:ascii="Times New Roman" w:eastAsia="Times New Roman" w:hAnsi="Times New Roman" w:cs="Times New Roman"/>
          <w:bCs/>
          <w:i/>
        </w:rPr>
        <w:t>(Formatting tables.)</w:t>
      </w:r>
    </w:p>
    <w:p w:rsidR="005D4347" w:rsidRDefault="005D4347" w:rsidP="00666335">
      <w:pPr>
        <w:widowControl w:val="0"/>
        <w:numPr>
          <w:ilvl w:val="1"/>
          <w:numId w:val="36"/>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Adatok a táblázatban, adattípusok, cella- és tartományhivatkozások. </w:t>
      </w:r>
      <w:r>
        <w:rPr>
          <w:rFonts w:ascii="Times New Roman" w:eastAsia="Times New Roman" w:hAnsi="Times New Roman" w:cs="Times New Roman"/>
          <w:i/>
          <w:kern w:val="2"/>
        </w:rPr>
        <w:t>(Data in the table, data types, cell and domain references.)</w:t>
      </w:r>
    </w:p>
    <w:p w:rsidR="005D4347" w:rsidRDefault="005D4347" w:rsidP="00666335">
      <w:pPr>
        <w:widowControl w:val="0"/>
        <w:numPr>
          <w:ilvl w:val="1"/>
          <w:numId w:val="36"/>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lang w:val="en-US"/>
        </w:rPr>
      </w:pPr>
      <w:r>
        <w:rPr>
          <w:rFonts w:ascii="Times New Roman" w:eastAsia="Times New Roman" w:hAnsi="Times New Roman" w:cs="Times New Roman"/>
          <w:bCs/>
        </w:rPr>
        <w:t xml:space="preserve">Függvények használata. </w:t>
      </w:r>
      <w:r>
        <w:rPr>
          <w:rFonts w:ascii="Times New Roman" w:eastAsia="Times New Roman" w:hAnsi="Times New Roman" w:cs="Times New Roman"/>
          <w:bCs/>
          <w:i/>
        </w:rPr>
        <w:t>(Using Functions.)</w:t>
      </w:r>
    </w:p>
    <w:p w:rsidR="005D4347" w:rsidRDefault="005D4347" w:rsidP="00666335">
      <w:pPr>
        <w:widowControl w:val="0"/>
        <w:numPr>
          <w:ilvl w:val="1"/>
          <w:numId w:val="36"/>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lang w:val="en-US"/>
        </w:rPr>
      </w:pPr>
      <w:r>
        <w:rPr>
          <w:rFonts w:ascii="Times New Roman" w:eastAsia="Times New Roman" w:hAnsi="Times New Roman" w:cs="Times New Roman"/>
          <w:bCs/>
        </w:rPr>
        <w:t xml:space="preserve">Diagramok készítése. </w:t>
      </w:r>
      <w:r>
        <w:rPr>
          <w:rFonts w:ascii="Times New Roman" w:eastAsia="Times New Roman" w:hAnsi="Times New Roman" w:cs="Times New Roman"/>
          <w:bCs/>
          <w:i/>
        </w:rPr>
        <w:t>(Making diagrams.)</w:t>
      </w:r>
    </w:p>
    <w:p w:rsidR="005D4347" w:rsidRDefault="005D4347" w:rsidP="00666335">
      <w:pPr>
        <w:widowControl w:val="0"/>
        <w:numPr>
          <w:ilvl w:val="1"/>
          <w:numId w:val="36"/>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Szűrések és rendezések. Problémamegoldás táblázatkezelővel. </w:t>
      </w:r>
      <w:r>
        <w:rPr>
          <w:rFonts w:ascii="Times New Roman" w:eastAsia="Times New Roman" w:hAnsi="Times New Roman" w:cs="Times New Roman"/>
          <w:i/>
          <w:kern w:val="2"/>
        </w:rPr>
        <w:t>(Screening and sorting. Solve problems with spreadsheets.)</w:t>
      </w:r>
    </w:p>
    <w:p w:rsidR="005D4347" w:rsidRDefault="005D4347" w:rsidP="00666335">
      <w:pPr>
        <w:widowControl w:val="0"/>
        <w:numPr>
          <w:ilvl w:val="1"/>
          <w:numId w:val="36"/>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lang w:val="en-US"/>
        </w:rPr>
      </w:pPr>
      <w:r>
        <w:rPr>
          <w:rFonts w:ascii="Times New Roman" w:eastAsia="Times New Roman" w:hAnsi="Times New Roman" w:cs="Times New Roman"/>
        </w:rPr>
        <w:t xml:space="preserve">Zárthelyi dolgozat. </w:t>
      </w:r>
      <w:r>
        <w:rPr>
          <w:rFonts w:ascii="Times New Roman" w:eastAsia="Times New Roman" w:hAnsi="Times New Roman" w:cs="Times New Roman"/>
          <w:i/>
        </w:rPr>
        <w:t>(Closed thesis.)</w:t>
      </w:r>
    </w:p>
    <w:p w:rsidR="005D4347" w:rsidRDefault="005D4347" w:rsidP="00666335">
      <w:pPr>
        <w:widowControl w:val="0"/>
        <w:numPr>
          <w:ilvl w:val="1"/>
          <w:numId w:val="36"/>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 bemutató fogalma, alkalmazási területei. </w:t>
      </w:r>
      <w:r>
        <w:rPr>
          <w:rFonts w:ascii="Times New Roman" w:eastAsia="Times New Roman" w:hAnsi="Times New Roman" w:cs="Times New Roman"/>
          <w:i/>
          <w:kern w:val="2"/>
        </w:rPr>
        <w:t>(The concept of the presentation and its fields of application.)</w:t>
      </w:r>
    </w:p>
    <w:p w:rsidR="005D4347" w:rsidRDefault="005D4347" w:rsidP="00666335">
      <w:pPr>
        <w:widowControl w:val="0"/>
        <w:numPr>
          <w:ilvl w:val="1"/>
          <w:numId w:val="36"/>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lang w:val="en-US"/>
        </w:rPr>
      </w:pPr>
      <w:r>
        <w:rPr>
          <w:rFonts w:ascii="Times New Roman" w:eastAsia="Times New Roman" w:hAnsi="Times New Roman" w:cs="Times New Roman"/>
          <w:bCs/>
        </w:rPr>
        <w:t xml:space="preserve">Diák tervezésének feladatai. </w:t>
      </w:r>
      <w:r>
        <w:rPr>
          <w:rFonts w:ascii="Times New Roman" w:eastAsia="Times New Roman" w:hAnsi="Times New Roman" w:cs="Times New Roman"/>
          <w:bCs/>
          <w:i/>
        </w:rPr>
        <w:t>(Tasks of student design.)</w:t>
      </w:r>
    </w:p>
    <w:p w:rsidR="005D4347" w:rsidRDefault="005D4347" w:rsidP="00666335">
      <w:pPr>
        <w:widowControl w:val="0"/>
        <w:numPr>
          <w:ilvl w:val="1"/>
          <w:numId w:val="36"/>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Képek, ábrák, hang, táblázat beszúrása, pozícionálása és formázása. </w:t>
      </w:r>
      <w:r>
        <w:rPr>
          <w:rFonts w:ascii="Times New Roman" w:eastAsia="Times New Roman" w:hAnsi="Times New Roman" w:cs="Times New Roman"/>
          <w:i/>
          <w:kern w:val="2"/>
        </w:rPr>
        <w:t>(Insert, position and format images, graphics, sound, tables.)</w:t>
      </w:r>
    </w:p>
    <w:p w:rsidR="005D4347" w:rsidRDefault="005D4347" w:rsidP="00666335">
      <w:pPr>
        <w:widowControl w:val="0"/>
        <w:numPr>
          <w:ilvl w:val="1"/>
          <w:numId w:val="36"/>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Diagramok beszúrása, pozícionálása és formázása. </w:t>
      </w:r>
      <w:r>
        <w:rPr>
          <w:rFonts w:ascii="Times New Roman" w:eastAsia="Times New Roman" w:hAnsi="Times New Roman" w:cs="Times New Roman"/>
          <w:i/>
          <w:kern w:val="2"/>
        </w:rPr>
        <w:t>(Insert, position and format images, graphics, sound, tables.)</w:t>
      </w:r>
    </w:p>
    <w:p w:rsidR="005D4347" w:rsidRDefault="005D4347" w:rsidP="00666335">
      <w:pPr>
        <w:widowControl w:val="0"/>
        <w:numPr>
          <w:ilvl w:val="1"/>
          <w:numId w:val="36"/>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Több diából álló bemutató létrehozása. Diaminta használata. </w:t>
      </w:r>
      <w:r>
        <w:rPr>
          <w:rFonts w:ascii="Times New Roman" w:eastAsia="Times New Roman" w:hAnsi="Times New Roman" w:cs="Times New Roman"/>
          <w:i/>
          <w:kern w:val="2"/>
        </w:rPr>
        <w:t>(Create a multi-slide presentation. Using a Diameter.)</w:t>
      </w:r>
    </w:p>
    <w:p w:rsidR="005D4347" w:rsidRDefault="005D4347" w:rsidP="00666335">
      <w:pPr>
        <w:widowControl w:val="0"/>
        <w:numPr>
          <w:ilvl w:val="1"/>
          <w:numId w:val="36"/>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Bemutatók vetítése. Kirakati és élőszó melletti bemutató. </w:t>
      </w:r>
      <w:r>
        <w:rPr>
          <w:rFonts w:ascii="Times New Roman" w:eastAsia="Times New Roman" w:hAnsi="Times New Roman" w:cs="Times New Roman"/>
          <w:i/>
          <w:kern w:val="2"/>
        </w:rPr>
        <w:t>(Screening of presentations. Demonstration next to a storefront and a live word.)</w:t>
      </w:r>
    </w:p>
    <w:p w:rsidR="005D4347" w:rsidRDefault="005D4347" w:rsidP="00666335">
      <w:pPr>
        <w:widowControl w:val="0"/>
        <w:numPr>
          <w:ilvl w:val="1"/>
          <w:numId w:val="36"/>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lang w:val="en-US"/>
        </w:rPr>
      </w:pPr>
      <w:r>
        <w:rPr>
          <w:rFonts w:ascii="Times New Roman" w:eastAsia="Times New Roman" w:hAnsi="Times New Roman" w:cs="Times New Roman"/>
          <w:bCs/>
        </w:rPr>
        <w:t xml:space="preserve">Zárthelyi dolgozat. </w:t>
      </w:r>
      <w:r>
        <w:rPr>
          <w:rFonts w:ascii="Times New Roman" w:eastAsia="Times New Roman" w:hAnsi="Times New Roman" w:cs="Times New Roman"/>
          <w:bCs/>
          <w:i/>
        </w:rPr>
        <w:t>(Closed thesis.)</w:t>
      </w:r>
    </w:p>
    <w:p w:rsidR="005D4347" w:rsidRDefault="005D4347" w:rsidP="00666335">
      <w:pPr>
        <w:widowControl w:val="0"/>
        <w:numPr>
          <w:ilvl w:val="0"/>
          <w:numId w:val="36"/>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 tantárgy meghirdetésének gyakorisága/a tantervben történő félévi elhelyezkedése: </w:t>
      </w:r>
      <w:r>
        <w:rPr>
          <w:rFonts w:ascii="Times New Roman" w:eastAsia="Times New Roman" w:hAnsi="Times New Roman" w:cs="Times New Roman"/>
          <w:bCs/>
        </w:rPr>
        <w:t>Minden őszi szemeszterben / 1. félév</w:t>
      </w:r>
    </w:p>
    <w:p w:rsidR="005D4347" w:rsidRDefault="005D4347" w:rsidP="00666335">
      <w:pPr>
        <w:widowControl w:val="0"/>
        <w:numPr>
          <w:ilvl w:val="0"/>
          <w:numId w:val="36"/>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 tanórákon való részvétel követelményei, az elfogadható hiányzások mértéke, a távolmaradás pótlásának lehetősége: </w:t>
      </w:r>
      <w:r>
        <w:rPr>
          <w:rFonts w:ascii="Times New Roman" w:eastAsia="Times New Roman" w:hAnsi="Times New Roman" w:cs="Times New Roman"/>
          <w:bCs/>
        </w:rPr>
        <w:t>A foglalkozásokon való legalább 80 %-os részvétel ajánlott.</w:t>
      </w:r>
    </w:p>
    <w:p w:rsidR="005D4347" w:rsidRDefault="005D4347" w:rsidP="00666335">
      <w:pPr>
        <w:widowControl w:val="0"/>
        <w:numPr>
          <w:ilvl w:val="0"/>
          <w:numId w:val="36"/>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rPr>
        <w:t xml:space="preserve">Félévközi feladatok, ismeretek ellenőrzésének rendje: </w:t>
      </w:r>
      <w:r>
        <w:rPr>
          <w:rFonts w:ascii="Times New Roman" w:eastAsia="Times New Roman" w:hAnsi="Times New Roman" w:cs="Times New Roman"/>
          <w:bCs/>
        </w:rPr>
        <w:t xml:space="preserve">Az aláírás megszerzésének feltétele az eredményes zárthelyi dolgozatok megírása és az órákon való részvétel követelményének teljesítése. </w:t>
      </w:r>
      <w:r>
        <w:rPr>
          <w:rFonts w:ascii="Times New Roman" w:eastAsia="Times New Roman" w:hAnsi="Times New Roman" w:cs="Times New Roman"/>
        </w:rPr>
        <w:t>A hiányzó vagy elégtelen zárthelyi dolgozat eredménye elégtelen a pótlás vagy javítás a hatályos TVSZ alapján történhet.</w:t>
      </w:r>
    </w:p>
    <w:p w:rsidR="005D4347" w:rsidRDefault="005D4347" w:rsidP="00666335">
      <w:pPr>
        <w:widowControl w:val="0"/>
        <w:numPr>
          <w:ilvl w:val="0"/>
          <w:numId w:val="36"/>
        </w:numPr>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lastRenderedPageBreak/>
        <w:t xml:space="preserve">Az értékelés, az aláírás és a kreditek megszerzésének pontos feltételei: </w:t>
      </w:r>
    </w:p>
    <w:p w:rsidR="005D4347" w:rsidRDefault="005D4347" w:rsidP="00666335">
      <w:pPr>
        <w:widowControl w:val="0"/>
        <w:numPr>
          <w:ilvl w:val="1"/>
          <w:numId w:val="36"/>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Az aláírás megszerzésének feltételei:</w:t>
      </w:r>
    </w:p>
    <w:p w:rsidR="005D4347" w:rsidRDefault="005D4347" w:rsidP="005D4347">
      <w:pPr>
        <w:widowControl w:val="0"/>
        <w:tabs>
          <w:tab w:val="left" w:pos="993"/>
        </w:tabs>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A tanórák minimum 80%-án való részvétel kötelező, pótlás a TVSZ szerint.</w:t>
      </w:r>
    </w:p>
    <w:p w:rsidR="005D4347" w:rsidRDefault="005D4347" w:rsidP="00666335">
      <w:pPr>
        <w:widowControl w:val="0"/>
        <w:numPr>
          <w:ilvl w:val="1"/>
          <w:numId w:val="36"/>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Az értékelés:</w:t>
      </w:r>
    </w:p>
    <w:p w:rsidR="005D4347" w:rsidRDefault="005D4347" w:rsidP="005D4347">
      <w:pPr>
        <w:widowControl w:val="0"/>
        <w:tabs>
          <w:tab w:val="left" w:pos="993"/>
        </w:tabs>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bCs/>
        </w:rPr>
        <w:t>Az értékelés alapját a százalékos eredmény képezi. A ZH-k eredménye 60%-nál alacsonyabb eredmény esetén elégtelen. A gyakorlati jegy a ZH-k százalékos eredményének számtani átlaga alapján kerül meghatározásra a következők szerint: (0-59% = 1, 60-67% = 2, 68-74% = 3, 75-87% = 4, 88-100% = 5). Az eredménytelen zárthelyi dolgozatok pótlására a szorgalmi időszakban egyszer, az aláírás pótlására a vizsgaidőszakban szintén egyszer van lehetőség. Ha a két ZH eredményéből kettő elégtelen, javítási lehetőség nincs, a kurzust a következő félévek valamelyikében ismételni kell. A pótlási lehetőségek helyét és időpontját a kurzus oktatója határozza meg. A zárthelyi dolgozatok pótlására és a tantárgyi programban külön nem szabályozott kérdésekben az érvényben levő TVSZ vonatkozó pontjai az irányadóak.</w:t>
      </w:r>
    </w:p>
    <w:p w:rsidR="005D4347" w:rsidRDefault="005D4347" w:rsidP="00666335">
      <w:pPr>
        <w:widowControl w:val="0"/>
        <w:numPr>
          <w:ilvl w:val="1"/>
          <w:numId w:val="36"/>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 kreditek megszerzésének feltételei:</w:t>
      </w:r>
      <w:r>
        <w:rPr>
          <w:rFonts w:ascii="Times New Roman" w:eastAsia="Times New Roman" w:hAnsi="Times New Roman" w:cs="Times New Roman"/>
        </w:rPr>
        <w:t xml:space="preserve"> </w:t>
      </w:r>
    </w:p>
    <w:p w:rsidR="005D4347" w:rsidRDefault="005D4347" w:rsidP="005D4347">
      <w:pPr>
        <w:widowControl w:val="0"/>
        <w:tabs>
          <w:tab w:val="left" w:pos="993"/>
        </w:tabs>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A kreditek megszerzésének feltétele az aláírás megszerzése és a legalább elégséges gyakorlati jegy.</w:t>
      </w:r>
    </w:p>
    <w:p w:rsidR="005D4347" w:rsidRDefault="005D4347" w:rsidP="00666335">
      <w:pPr>
        <w:widowControl w:val="0"/>
        <w:numPr>
          <w:ilvl w:val="0"/>
          <w:numId w:val="36"/>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Irodalomjegyzék:</w:t>
      </w:r>
    </w:p>
    <w:p w:rsidR="005D4347" w:rsidRDefault="005D4347" w:rsidP="00666335">
      <w:pPr>
        <w:widowControl w:val="0"/>
        <w:numPr>
          <w:ilvl w:val="1"/>
          <w:numId w:val="36"/>
        </w:numPr>
        <w:tabs>
          <w:tab w:val="left" w:pos="567"/>
          <w:tab w:val="left" w:pos="851"/>
          <w:tab w:val="num" w:pos="2069"/>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Kötelező irodalom:</w:t>
      </w:r>
    </w:p>
    <w:p w:rsidR="005D4347" w:rsidRDefault="005D4347" w:rsidP="00980876">
      <w:pPr>
        <w:widowControl w:val="0"/>
        <w:numPr>
          <w:ilvl w:val="0"/>
          <w:numId w:val="783"/>
        </w:numPr>
        <w:spacing w:after="0" w:line="240" w:lineRule="auto"/>
        <w:jc w:val="both"/>
        <w:rPr>
          <w:rFonts w:ascii="Times New Roman" w:eastAsia="Times New Roman" w:hAnsi="Times New Roman" w:cs="Times New Roman"/>
        </w:rPr>
      </w:pPr>
      <w:r>
        <w:rPr>
          <w:rFonts w:ascii="Times New Roman" w:eastAsia="Times New Roman" w:hAnsi="Times New Roman" w:cs="Times New Roman"/>
          <w:bCs/>
        </w:rPr>
        <w:t>A tantárgy oktatója által az oktatott két modulhoz (táblázatkezelés, bemutató-készítés) kapcsolódó könyvek, jegyzetek.</w:t>
      </w:r>
      <w:r>
        <w:rPr>
          <w:rFonts w:ascii="Times New Roman" w:eastAsia="Times New Roman" w:hAnsi="Times New Roman" w:cs="Times New Roman"/>
        </w:rPr>
        <w:t>) (</w:t>
      </w:r>
      <w:r>
        <w:rPr>
          <w:rFonts w:ascii="Times New Roman" w:eastAsia="Times New Roman" w:hAnsi="Times New Roman" w:cs="Times New Roman"/>
          <w:bCs/>
        </w:rPr>
        <w:t>Az irodalmakat a használt szoftvereknek megfelelően a mindenkori oktatók pontosítják.)</w:t>
      </w:r>
    </w:p>
    <w:p w:rsidR="005D4347" w:rsidRDefault="005D4347" w:rsidP="00666335">
      <w:pPr>
        <w:widowControl w:val="0"/>
        <w:numPr>
          <w:ilvl w:val="1"/>
          <w:numId w:val="36"/>
        </w:numPr>
        <w:tabs>
          <w:tab w:val="num" w:pos="567"/>
          <w:tab w:val="num" w:pos="2069"/>
        </w:tabs>
        <w:spacing w:before="120" w:after="120" w:line="240" w:lineRule="auto"/>
        <w:ind w:left="993" w:hanging="709"/>
        <w:jc w:val="both"/>
        <w:rPr>
          <w:rFonts w:ascii="Times New Roman" w:eastAsia="Times New Roman" w:hAnsi="Times New Roman" w:cs="Times New Roman"/>
          <w:b/>
          <w:bCs/>
        </w:rPr>
      </w:pPr>
      <w:r>
        <w:rPr>
          <w:rFonts w:ascii="Times New Roman" w:eastAsia="Times New Roman" w:hAnsi="Times New Roman" w:cs="Times New Roman"/>
          <w:b/>
          <w:bCs/>
        </w:rPr>
        <w:t>Ajánlott irodalom:</w:t>
      </w:r>
    </w:p>
    <w:p w:rsidR="005D4347" w:rsidRDefault="005D4347" w:rsidP="00980876">
      <w:pPr>
        <w:pStyle w:val="Listaszerbekezds"/>
        <w:widowControl w:val="0"/>
        <w:numPr>
          <w:ilvl w:val="0"/>
          <w:numId w:val="784"/>
        </w:numPr>
        <w:spacing w:after="0" w:line="240" w:lineRule="auto"/>
        <w:jc w:val="both"/>
        <w:rPr>
          <w:rFonts w:ascii="Times New Roman" w:eastAsia="Times New Roman" w:hAnsi="Times New Roman" w:cs="Times New Roman"/>
        </w:rPr>
      </w:pPr>
      <w:r>
        <w:rPr>
          <w:rFonts w:ascii="Times New Roman" w:eastAsia="Times New Roman" w:hAnsi="Times New Roman" w:cs="Times New Roman"/>
          <w:bCs/>
        </w:rPr>
        <w:t>A tantárgy oktatója által az oktatott két modulhoz (táblázatkezelés, bemutató-készítés) kapcsolódó könyvek, jegyzetek. (Az irodalmakat a használt szoftvereknek megfelelően a mindenkori oktatók pontosítják.</w:t>
      </w:r>
    </w:p>
    <w:p w:rsidR="005D4347" w:rsidRDefault="005D4347" w:rsidP="005D4347">
      <w:pPr>
        <w:widowControl w:val="0"/>
        <w:spacing w:before="120" w:after="120" w:line="240" w:lineRule="auto"/>
        <w:jc w:val="both"/>
        <w:rPr>
          <w:rFonts w:ascii="Times New Roman" w:eastAsia="Times New Roman" w:hAnsi="Times New Roman" w:cs="Times New Roman"/>
          <w:bCs/>
        </w:rPr>
      </w:pPr>
    </w:p>
    <w:p w:rsidR="005D4347" w:rsidRDefault="005D4347" w:rsidP="005D4347">
      <w:pPr>
        <w:widowControl w:val="0"/>
        <w:spacing w:before="120" w:after="120" w:line="240" w:lineRule="auto"/>
        <w:jc w:val="both"/>
        <w:rPr>
          <w:rFonts w:ascii="Times New Roman" w:eastAsia="Times New Roman" w:hAnsi="Times New Roman" w:cs="Times New Roman"/>
          <w:bCs/>
        </w:rPr>
      </w:pPr>
      <w:r>
        <w:rPr>
          <w:rFonts w:ascii="Times New Roman" w:eastAsia="Times New Roman" w:hAnsi="Times New Roman" w:cs="Times New Roman"/>
          <w:bCs/>
        </w:rPr>
        <w:t>Budapest, 2020. január 16.</w:t>
      </w:r>
    </w:p>
    <w:p w:rsidR="005D4347" w:rsidRDefault="005D4347" w:rsidP="005D4347">
      <w:pPr>
        <w:widowControl w:val="0"/>
        <w:spacing w:before="120" w:after="120" w:line="240" w:lineRule="auto"/>
        <w:jc w:val="both"/>
        <w:rPr>
          <w:rFonts w:ascii="Times New Roman" w:eastAsia="Times New Roman" w:hAnsi="Times New Roman" w:cs="Times New Roman"/>
          <w:bCs/>
        </w:rPr>
      </w:pPr>
    </w:p>
    <w:p w:rsidR="005D4347" w:rsidRDefault="005D4347" w:rsidP="005D4347">
      <w:pPr>
        <w:widowControl w:val="0"/>
        <w:spacing w:after="0" w:line="240" w:lineRule="auto"/>
        <w:jc w:val="right"/>
        <w:rPr>
          <w:rFonts w:ascii="Times New Roman" w:hAnsi="Times New Roman" w:cs="Times New Roman"/>
          <w:b/>
          <w:bCs/>
        </w:rPr>
      </w:pPr>
      <w:r>
        <w:rPr>
          <w:rFonts w:ascii="Times New Roman" w:hAnsi="Times New Roman" w:cs="Times New Roman"/>
          <w:b/>
          <w:bCs/>
        </w:rPr>
        <w:t>Dr. Négyesi Imre alezredes (PhD)</w:t>
      </w:r>
    </w:p>
    <w:p w:rsidR="005D4347" w:rsidRDefault="005D4347" w:rsidP="005D4347">
      <w:pPr>
        <w:widowControl w:val="0"/>
        <w:spacing w:after="0" w:line="240" w:lineRule="auto"/>
        <w:jc w:val="both"/>
        <w:rPr>
          <w:rFonts w:ascii="Times New Roman" w:eastAsia="Times New Roman" w:hAnsi="Times New Roman" w:cs="Times New Roman"/>
          <w:bCs/>
        </w:rPr>
      </w:pP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 xml:space="preserve"> tanszékvezető, egyetemi docens s.k.</w:t>
      </w:r>
    </w:p>
    <w:p w:rsidR="005D4347" w:rsidRDefault="005D4347">
      <w:pPr>
        <w:spacing w:after="200" w:line="276" w:lineRule="auto"/>
        <w:rPr>
          <w:rFonts w:ascii="Times New Roman" w:hAnsi="Times New Roman" w:cs="Times New Roman"/>
          <w:sz w:val="24"/>
        </w:rPr>
      </w:pPr>
    </w:p>
    <w:p w:rsidR="005D4347" w:rsidRDefault="005D4347">
      <w:pPr>
        <w:spacing w:after="200" w:line="276" w:lineRule="auto"/>
        <w:rPr>
          <w:rFonts w:ascii="Times New Roman" w:hAnsi="Times New Roman" w:cs="Times New Roman"/>
          <w:sz w:val="24"/>
        </w:rPr>
      </w:pPr>
      <w:r>
        <w:rPr>
          <w:rFonts w:ascii="Times New Roman" w:hAnsi="Times New Roman" w:cs="Times New Roman"/>
          <w:sz w:val="24"/>
        </w:rPr>
        <w:br w:type="page"/>
      </w:r>
    </w:p>
    <w:tbl>
      <w:tblPr>
        <w:tblW w:w="9072" w:type="dxa"/>
        <w:tblInd w:w="113" w:type="dxa"/>
        <w:tblLook w:val="01E0" w:firstRow="1" w:lastRow="1" w:firstColumn="1" w:lastColumn="1" w:noHBand="0" w:noVBand="0"/>
      </w:tblPr>
      <w:tblGrid>
        <w:gridCol w:w="4855"/>
        <w:gridCol w:w="1620"/>
        <w:gridCol w:w="2597"/>
      </w:tblGrid>
      <w:tr w:rsidR="007E3A2E" w:rsidRPr="007E3A2E" w:rsidTr="007E3A2E">
        <w:tc>
          <w:tcPr>
            <w:tcW w:w="4855" w:type="dxa"/>
            <w:tcBorders>
              <w:bottom w:val="single" w:sz="4" w:space="0" w:color="auto"/>
            </w:tcBorders>
          </w:tcPr>
          <w:p w:rsidR="007E3A2E" w:rsidRPr="007E3A2E" w:rsidRDefault="007E3A2E" w:rsidP="007E3A2E">
            <w:pPr>
              <w:spacing w:after="0" w:line="240" w:lineRule="auto"/>
              <w:jc w:val="center"/>
              <w:rPr>
                <w:rFonts w:ascii="Times New Roman" w:eastAsia="Times New Roman" w:hAnsi="Times New Roman" w:cs="Times New Roman"/>
                <w:b/>
                <w:smallCaps/>
                <w:lang w:eastAsia="hu-HU"/>
              </w:rPr>
            </w:pPr>
            <w:r w:rsidRPr="007E3A2E">
              <w:rPr>
                <w:rFonts w:ascii="Times New Roman" w:eastAsia="Times New Roman" w:hAnsi="Times New Roman" w:cs="Times New Roman"/>
                <w:b/>
                <w:smallCaps/>
                <w:lang w:eastAsia="hu-HU"/>
              </w:rPr>
              <w:lastRenderedPageBreak/>
              <w:t>Nemzeti Közszolgálati Egyetem</w:t>
            </w:r>
          </w:p>
        </w:tc>
        <w:tc>
          <w:tcPr>
            <w:tcW w:w="1620" w:type="dxa"/>
          </w:tcPr>
          <w:p w:rsidR="007E3A2E" w:rsidRPr="007E3A2E" w:rsidRDefault="007E3A2E" w:rsidP="007E3A2E">
            <w:pPr>
              <w:spacing w:after="0" w:line="240" w:lineRule="auto"/>
              <w:jc w:val="both"/>
              <w:rPr>
                <w:rFonts w:ascii="Times New Roman" w:eastAsia="Times New Roman" w:hAnsi="Times New Roman" w:cs="Times New Roman"/>
                <w:lang w:eastAsia="hu-HU"/>
              </w:rPr>
            </w:pPr>
          </w:p>
        </w:tc>
        <w:tc>
          <w:tcPr>
            <w:tcW w:w="2597" w:type="dxa"/>
          </w:tcPr>
          <w:p w:rsidR="007E3A2E" w:rsidRPr="007E3A2E" w:rsidRDefault="007E3A2E" w:rsidP="007E3A2E">
            <w:pPr>
              <w:spacing w:after="0" w:line="240" w:lineRule="auto"/>
              <w:jc w:val="right"/>
              <w:rPr>
                <w:rFonts w:ascii="Times New Roman" w:eastAsia="Times New Roman" w:hAnsi="Times New Roman" w:cs="Times New Roman"/>
                <w:lang w:eastAsia="hu-HU"/>
              </w:rPr>
            </w:pPr>
          </w:p>
        </w:tc>
      </w:tr>
      <w:tr w:rsidR="007E3A2E" w:rsidRPr="007E3A2E" w:rsidTr="007E3A2E">
        <w:tc>
          <w:tcPr>
            <w:tcW w:w="4855" w:type="dxa"/>
            <w:tcBorders>
              <w:top w:val="single" w:sz="4" w:space="0" w:color="auto"/>
            </w:tcBorders>
          </w:tcPr>
          <w:p w:rsidR="007E3A2E" w:rsidRPr="007E3A2E" w:rsidRDefault="007E3A2E" w:rsidP="007E3A2E">
            <w:pPr>
              <w:spacing w:after="0" w:line="240" w:lineRule="auto"/>
              <w:jc w:val="center"/>
              <w:rPr>
                <w:rFonts w:ascii="Times New Roman" w:eastAsia="Times New Roman" w:hAnsi="Times New Roman" w:cs="Times New Roman"/>
                <w:b/>
                <w:lang w:eastAsia="hu-HU"/>
              </w:rPr>
            </w:pPr>
            <w:r w:rsidRPr="007E3A2E">
              <w:rPr>
                <w:rFonts w:ascii="Times New Roman" w:eastAsia="Times New Roman" w:hAnsi="Times New Roman" w:cs="Times New Roman"/>
                <w:b/>
                <w:lang w:eastAsia="hu-HU"/>
              </w:rPr>
              <w:t>Hadtudományi és Honvédtisztképző Kar</w:t>
            </w:r>
          </w:p>
        </w:tc>
        <w:tc>
          <w:tcPr>
            <w:tcW w:w="1620" w:type="dxa"/>
          </w:tcPr>
          <w:p w:rsidR="007E3A2E" w:rsidRPr="007E3A2E" w:rsidRDefault="007E3A2E" w:rsidP="007E3A2E">
            <w:pPr>
              <w:spacing w:after="0" w:line="240" w:lineRule="auto"/>
              <w:jc w:val="both"/>
              <w:rPr>
                <w:rFonts w:ascii="Times New Roman" w:eastAsia="Times New Roman" w:hAnsi="Times New Roman" w:cs="Times New Roman"/>
                <w:lang w:eastAsia="hu-HU"/>
              </w:rPr>
            </w:pPr>
          </w:p>
        </w:tc>
        <w:tc>
          <w:tcPr>
            <w:tcW w:w="2597" w:type="dxa"/>
          </w:tcPr>
          <w:p w:rsidR="007E3A2E" w:rsidRPr="007E3A2E" w:rsidRDefault="007E3A2E" w:rsidP="007E3A2E">
            <w:pPr>
              <w:spacing w:after="0" w:line="240" w:lineRule="auto"/>
              <w:jc w:val="both"/>
              <w:rPr>
                <w:rFonts w:ascii="Times New Roman" w:eastAsia="Times New Roman" w:hAnsi="Times New Roman" w:cs="Times New Roman"/>
                <w:lang w:eastAsia="hu-HU"/>
              </w:rPr>
            </w:pPr>
          </w:p>
        </w:tc>
      </w:tr>
    </w:tbl>
    <w:p w:rsidR="007E3A2E" w:rsidRPr="007E3A2E" w:rsidRDefault="007E3A2E" w:rsidP="007E3A2E">
      <w:pPr>
        <w:widowControl w:val="0"/>
        <w:spacing w:before="120" w:after="120" w:line="240" w:lineRule="auto"/>
        <w:ind w:left="426" w:hanging="142"/>
        <w:jc w:val="center"/>
        <w:rPr>
          <w:rFonts w:ascii="Times New Roman" w:eastAsia="Times New Roman" w:hAnsi="Times New Roman" w:cs="Times New Roman"/>
          <w:b/>
          <w:bCs/>
        </w:rPr>
      </w:pPr>
    </w:p>
    <w:p w:rsidR="007E3A2E" w:rsidRPr="007E3A2E" w:rsidRDefault="007E3A2E" w:rsidP="007E3A2E">
      <w:pPr>
        <w:widowControl w:val="0"/>
        <w:spacing w:before="120" w:after="120" w:line="240" w:lineRule="auto"/>
        <w:ind w:left="426" w:hanging="142"/>
        <w:jc w:val="center"/>
        <w:rPr>
          <w:rFonts w:ascii="Times New Roman" w:eastAsia="Times New Roman" w:hAnsi="Times New Roman" w:cs="Times New Roman"/>
          <w:b/>
          <w:bCs/>
        </w:rPr>
      </w:pPr>
      <w:r w:rsidRPr="007E3A2E">
        <w:rPr>
          <w:rFonts w:ascii="Times New Roman" w:eastAsia="Times New Roman" w:hAnsi="Times New Roman" w:cs="Times New Roman"/>
          <w:b/>
          <w:bCs/>
        </w:rPr>
        <w:t>TANTÁRGYI PROGRAM</w:t>
      </w:r>
    </w:p>
    <w:p w:rsidR="007E3A2E" w:rsidRPr="007E3A2E" w:rsidRDefault="007E3A2E" w:rsidP="00980876">
      <w:pPr>
        <w:widowControl w:val="0"/>
        <w:numPr>
          <w:ilvl w:val="0"/>
          <w:numId w:val="761"/>
        </w:numPr>
        <w:tabs>
          <w:tab w:val="num" w:pos="567"/>
        </w:tabs>
        <w:spacing w:before="120" w:after="120" w:line="240" w:lineRule="auto"/>
        <w:ind w:left="426" w:hanging="142"/>
        <w:jc w:val="both"/>
        <w:rPr>
          <w:rFonts w:ascii="Times New Roman" w:eastAsia="Times New Roman" w:hAnsi="Times New Roman" w:cs="Times New Roman"/>
          <w:bCs/>
        </w:rPr>
      </w:pPr>
      <w:r w:rsidRPr="007E3A2E">
        <w:rPr>
          <w:rFonts w:ascii="Times New Roman" w:eastAsia="Times New Roman" w:hAnsi="Times New Roman" w:cs="Times New Roman"/>
          <w:b/>
          <w:bCs/>
        </w:rPr>
        <w:t xml:space="preserve">A tantárgy kódja: </w:t>
      </w:r>
      <w:r w:rsidRPr="007E3A2E">
        <w:rPr>
          <w:rFonts w:ascii="Times New Roman" w:eastAsia="Calibri" w:hAnsi="Times New Roman" w:cs="Times New Roman"/>
        </w:rPr>
        <w:t>HKHPKA303</w:t>
      </w:r>
    </w:p>
    <w:p w:rsidR="007E3A2E" w:rsidRPr="007E3A2E" w:rsidRDefault="007E3A2E" w:rsidP="00980876">
      <w:pPr>
        <w:widowControl w:val="0"/>
        <w:numPr>
          <w:ilvl w:val="0"/>
          <w:numId w:val="761"/>
        </w:numPr>
        <w:tabs>
          <w:tab w:val="num" w:pos="567"/>
        </w:tabs>
        <w:spacing w:before="120" w:after="120" w:line="240" w:lineRule="auto"/>
        <w:ind w:left="426" w:hanging="142"/>
        <w:jc w:val="both"/>
        <w:rPr>
          <w:rFonts w:ascii="Times New Roman" w:eastAsia="Times New Roman" w:hAnsi="Times New Roman" w:cs="Times New Roman"/>
          <w:b/>
          <w:bCs/>
          <w:lang w:val="en-GB"/>
        </w:rPr>
      </w:pPr>
      <w:r w:rsidRPr="007E3A2E">
        <w:rPr>
          <w:rFonts w:ascii="Times New Roman" w:eastAsia="Times New Roman" w:hAnsi="Times New Roman" w:cs="Times New Roman"/>
          <w:b/>
          <w:bCs/>
        </w:rPr>
        <w:t>A tantárgy megnevezése (magyarul):</w:t>
      </w:r>
      <w:r w:rsidRPr="007E3A2E">
        <w:rPr>
          <w:rFonts w:ascii="Times New Roman" w:eastAsia="Times New Roman" w:hAnsi="Times New Roman" w:cs="Times New Roman"/>
          <w:bCs/>
        </w:rPr>
        <w:t xml:space="preserve"> </w:t>
      </w:r>
      <w:r w:rsidR="002B198C">
        <w:rPr>
          <w:rFonts w:ascii="Times New Roman" w:eastAsia="Calibri" w:hAnsi="Times New Roman" w:cs="Times New Roman"/>
          <w:bCs/>
        </w:rPr>
        <w:t>A logisztika</w:t>
      </w:r>
      <w:r w:rsidRPr="007E3A2E">
        <w:rPr>
          <w:rFonts w:ascii="Times New Roman" w:eastAsia="Calibri" w:hAnsi="Times New Roman" w:cs="Times New Roman"/>
          <w:bCs/>
        </w:rPr>
        <w:t xml:space="preserve"> alapjai</w:t>
      </w:r>
    </w:p>
    <w:p w:rsidR="007E3A2E" w:rsidRPr="007E3A2E" w:rsidRDefault="007E3A2E" w:rsidP="00980876">
      <w:pPr>
        <w:widowControl w:val="0"/>
        <w:numPr>
          <w:ilvl w:val="0"/>
          <w:numId w:val="761"/>
        </w:numPr>
        <w:tabs>
          <w:tab w:val="num" w:pos="567"/>
        </w:tabs>
        <w:spacing w:before="120" w:after="120" w:line="240" w:lineRule="auto"/>
        <w:ind w:left="426" w:hanging="142"/>
        <w:jc w:val="both"/>
        <w:rPr>
          <w:rFonts w:ascii="Times New Roman" w:eastAsia="Times New Roman" w:hAnsi="Times New Roman" w:cs="Times New Roman"/>
          <w:b/>
          <w:bCs/>
        </w:rPr>
      </w:pPr>
      <w:r w:rsidRPr="007E3A2E">
        <w:rPr>
          <w:rFonts w:ascii="Times New Roman" w:eastAsia="Times New Roman" w:hAnsi="Times New Roman" w:cs="Times New Roman"/>
          <w:b/>
          <w:bCs/>
        </w:rPr>
        <w:t xml:space="preserve">A tantárgy megnevezése (angolul): </w:t>
      </w:r>
      <w:r w:rsidRPr="007E3A2E">
        <w:rPr>
          <w:rFonts w:ascii="Times New Roman" w:eastAsia="Times New Roman" w:hAnsi="Times New Roman" w:cs="Times New Roman"/>
          <w:bCs/>
        </w:rPr>
        <w:t>Basics of Logistics</w:t>
      </w:r>
    </w:p>
    <w:p w:rsidR="007E3A2E" w:rsidRPr="007E3A2E" w:rsidRDefault="007E3A2E" w:rsidP="00980876">
      <w:pPr>
        <w:widowControl w:val="0"/>
        <w:numPr>
          <w:ilvl w:val="0"/>
          <w:numId w:val="761"/>
        </w:numPr>
        <w:tabs>
          <w:tab w:val="num" w:pos="567"/>
        </w:tabs>
        <w:spacing w:before="120" w:after="120" w:line="240" w:lineRule="auto"/>
        <w:ind w:left="426" w:hanging="142"/>
        <w:jc w:val="both"/>
        <w:rPr>
          <w:rFonts w:ascii="Times New Roman" w:eastAsia="Times New Roman" w:hAnsi="Times New Roman" w:cs="Times New Roman"/>
          <w:b/>
          <w:bCs/>
        </w:rPr>
      </w:pPr>
      <w:r w:rsidRPr="007E3A2E">
        <w:rPr>
          <w:rFonts w:ascii="Times New Roman" w:eastAsia="Times New Roman" w:hAnsi="Times New Roman" w:cs="Times New Roman"/>
          <w:b/>
          <w:bCs/>
        </w:rPr>
        <w:t xml:space="preserve">Kreditérték és képzési karakter: </w:t>
      </w:r>
    </w:p>
    <w:p w:rsidR="007E3A2E" w:rsidRPr="007E3A2E" w:rsidRDefault="007E3A2E" w:rsidP="00980876">
      <w:pPr>
        <w:widowControl w:val="0"/>
        <w:numPr>
          <w:ilvl w:val="1"/>
          <w:numId w:val="761"/>
        </w:numPr>
        <w:spacing w:before="120" w:after="120" w:line="240" w:lineRule="auto"/>
        <w:ind w:left="993" w:hanging="426"/>
        <w:contextualSpacing/>
        <w:jc w:val="both"/>
        <w:rPr>
          <w:rFonts w:ascii="Times New Roman" w:eastAsia="Times New Roman" w:hAnsi="Times New Roman" w:cs="Times New Roman"/>
          <w:b/>
          <w:bCs/>
        </w:rPr>
      </w:pPr>
      <w:r w:rsidRPr="007E3A2E">
        <w:rPr>
          <w:rFonts w:ascii="Times New Roman" w:eastAsia="Times New Roman" w:hAnsi="Times New Roman" w:cs="Times New Roman"/>
          <w:bCs/>
        </w:rPr>
        <w:t>2 kredit</w:t>
      </w:r>
    </w:p>
    <w:p w:rsidR="007E3A2E" w:rsidRPr="007E3A2E" w:rsidRDefault="007E3A2E" w:rsidP="00980876">
      <w:pPr>
        <w:widowControl w:val="0"/>
        <w:numPr>
          <w:ilvl w:val="1"/>
          <w:numId w:val="761"/>
        </w:numPr>
        <w:spacing w:before="120" w:after="120" w:line="240" w:lineRule="auto"/>
        <w:ind w:left="993" w:hanging="426"/>
        <w:contextualSpacing/>
        <w:jc w:val="both"/>
        <w:rPr>
          <w:rFonts w:ascii="Times New Roman" w:eastAsia="Times New Roman" w:hAnsi="Times New Roman" w:cs="Times New Roman"/>
          <w:b/>
          <w:bCs/>
        </w:rPr>
      </w:pPr>
      <w:r w:rsidRPr="007E3A2E">
        <w:rPr>
          <w:rFonts w:ascii="Times New Roman" w:eastAsia="Times New Roman" w:hAnsi="Times New Roman" w:cs="Times New Roman"/>
          <w:bCs/>
        </w:rPr>
        <w:t>a tantárgy elméleti vagy gyakorlati jellegének mértéke: 0</w:t>
      </w:r>
      <w:r w:rsidRPr="007E3A2E">
        <w:rPr>
          <w:rFonts w:ascii="Times New Roman" w:eastAsia="Times New Roman" w:hAnsi="Times New Roman" w:cs="Times New Roman"/>
          <w:b/>
          <w:bCs/>
        </w:rPr>
        <w:t xml:space="preserve"> </w:t>
      </w:r>
      <w:r w:rsidRPr="007E3A2E">
        <w:rPr>
          <w:rFonts w:ascii="Times New Roman" w:eastAsia="Times New Roman" w:hAnsi="Times New Roman" w:cs="Times New Roman"/>
          <w:bCs/>
        </w:rPr>
        <w:t>% gyakorlat, 100 % elmélet</w:t>
      </w:r>
    </w:p>
    <w:p w:rsidR="007E3A2E" w:rsidRPr="007E3A2E" w:rsidRDefault="007E3A2E" w:rsidP="00980876">
      <w:pPr>
        <w:widowControl w:val="0"/>
        <w:numPr>
          <w:ilvl w:val="0"/>
          <w:numId w:val="761"/>
        </w:numPr>
        <w:spacing w:before="120" w:after="120" w:line="240" w:lineRule="auto"/>
        <w:ind w:left="426" w:hanging="142"/>
        <w:jc w:val="both"/>
        <w:rPr>
          <w:rFonts w:ascii="Times New Roman" w:eastAsia="Times New Roman" w:hAnsi="Times New Roman" w:cs="Times New Roman"/>
          <w:bCs/>
        </w:rPr>
      </w:pPr>
      <w:r w:rsidRPr="007E3A2E">
        <w:rPr>
          <w:rFonts w:ascii="Times New Roman" w:eastAsia="Times New Roman" w:hAnsi="Times New Roman" w:cs="Times New Roman"/>
          <w:b/>
          <w:bCs/>
        </w:rPr>
        <w:t>A szak(ok), szakirányok/specializációk megnevezése (ahol oktatják):</w:t>
      </w:r>
      <w:r w:rsidRPr="007E3A2E">
        <w:rPr>
          <w:rFonts w:ascii="Times New Roman" w:eastAsia="Times New Roman" w:hAnsi="Times New Roman" w:cs="Times New Roman"/>
          <w:bCs/>
        </w:rPr>
        <w:t xml:space="preserve"> Katonai logisztika alapképzési szak</w:t>
      </w:r>
    </w:p>
    <w:p w:rsidR="007E3A2E" w:rsidRPr="007E3A2E" w:rsidRDefault="007E3A2E" w:rsidP="00980876">
      <w:pPr>
        <w:widowControl w:val="0"/>
        <w:numPr>
          <w:ilvl w:val="0"/>
          <w:numId w:val="761"/>
        </w:numPr>
        <w:tabs>
          <w:tab w:val="num" w:pos="567"/>
        </w:tabs>
        <w:spacing w:before="120" w:after="120" w:line="240" w:lineRule="auto"/>
        <w:ind w:left="426" w:hanging="142"/>
        <w:jc w:val="both"/>
        <w:rPr>
          <w:rFonts w:ascii="Times New Roman" w:eastAsia="Times New Roman" w:hAnsi="Times New Roman" w:cs="Times New Roman"/>
          <w:bCs/>
        </w:rPr>
      </w:pPr>
      <w:r w:rsidRPr="007E3A2E">
        <w:rPr>
          <w:rFonts w:ascii="Times New Roman" w:eastAsia="Times New Roman" w:hAnsi="Times New Roman" w:cs="Times New Roman"/>
          <w:b/>
          <w:bCs/>
        </w:rPr>
        <w:t xml:space="preserve">Az oktatásért felelős oktatási szervezeti egység megnevezése: </w:t>
      </w:r>
      <w:r w:rsidRPr="007E3A2E">
        <w:rPr>
          <w:rFonts w:ascii="Times New Roman" w:eastAsia="Times New Roman" w:hAnsi="Times New Roman" w:cs="Times New Roman"/>
          <w:bCs/>
        </w:rPr>
        <w:t>NKE HHK, Hadtáp, Pénzügyi és Katonai Közlekedési Tanszék</w:t>
      </w:r>
    </w:p>
    <w:p w:rsidR="007E3A2E" w:rsidRPr="007E3A2E" w:rsidRDefault="007E3A2E" w:rsidP="00980876">
      <w:pPr>
        <w:widowControl w:val="0"/>
        <w:numPr>
          <w:ilvl w:val="0"/>
          <w:numId w:val="761"/>
        </w:numPr>
        <w:tabs>
          <w:tab w:val="num" w:pos="567"/>
        </w:tabs>
        <w:spacing w:before="120" w:after="120" w:line="240" w:lineRule="auto"/>
        <w:ind w:left="426" w:hanging="142"/>
        <w:jc w:val="both"/>
        <w:rPr>
          <w:rFonts w:ascii="Times New Roman" w:eastAsia="Times New Roman" w:hAnsi="Times New Roman" w:cs="Times New Roman"/>
          <w:bCs/>
        </w:rPr>
      </w:pPr>
      <w:r w:rsidRPr="007E3A2E">
        <w:rPr>
          <w:rFonts w:ascii="Times New Roman" w:eastAsia="Times New Roman" w:hAnsi="Times New Roman" w:cs="Times New Roman"/>
          <w:b/>
          <w:bCs/>
        </w:rPr>
        <w:t>A tantárgyfelelős oktató neve, beosztása, tudományos fokozata:</w:t>
      </w:r>
      <w:r w:rsidRPr="007E3A2E">
        <w:rPr>
          <w:rFonts w:ascii="Times New Roman" w:eastAsia="Times New Roman" w:hAnsi="Times New Roman" w:cs="Times New Roman"/>
          <w:bCs/>
        </w:rPr>
        <w:t xml:space="preserve"> </w:t>
      </w:r>
      <w:r w:rsidRPr="007E3A2E">
        <w:rPr>
          <w:rFonts w:ascii="Times New Roman" w:eastAsia="Calibri" w:hAnsi="Times New Roman" w:cs="Times New Roman"/>
          <w:lang w:eastAsia="x-none"/>
        </w:rPr>
        <w:t>Dr. Szászi Gábor egyetemi docens, PhD</w:t>
      </w:r>
      <w:r w:rsidRPr="007E3A2E">
        <w:rPr>
          <w:rFonts w:ascii="Times New Roman" w:eastAsia="Times New Roman" w:hAnsi="Times New Roman" w:cs="Times New Roman"/>
          <w:bCs/>
        </w:rPr>
        <w:t xml:space="preserve"> </w:t>
      </w:r>
    </w:p>
    <w:p w:rsidR="007E3A2E" w:rsidRPr="007E3A2E" w:rsidRDefault="007E3A2E" w:rsidP="00980876">
      <w:pPr>
        <w:widowControl w:val="0"/>
        <w:numPr>
          <w:ilvl w:val="0"/>
          <w:numId w:val="761"/>
        </w:numPr>
        <w:tabs>
          <w:tab w:val="num" w:pos="567"/>
        </w:tabs>
        <w:spacing w:before="120" w:after="120" w:line="240" w:lineRule="auto"/>
        <w:ind w:left="426" w:hanging="142"/>
        <w:jc w:val="both"/>
        <w:rPr>
          <w:rFonts w:ascii="Times New Roman" w:eastAsia="Times New Roman" w:hAnsi="Times New Roman" w:cs="Times New Roman"/>
          <w:bCs/>
        </w:rPr>
      </w:pPr>
      <w:r w:rsidRPr="007E3A2E">
        <w:rPr>
          <w:rFonts w:ascii="Times New Roman" w:eastAsia="Times New Roman" w:hAnsi="Times New Roman" w:cs="Times New Roman"/>
          <w:b/>
          <w:bCs/>
        </w:rPr>
        <w:t>A tanórák száma és típusa</w:t>
      </w:r>
    </w:p>
    <w:p w:rsidR="007E3A2E" w:rsidRPr="007E3A2E" w:rsidRDefault="007E3A2E" w:rsidP="00980876">
      <w:pPr>
        <w:widowControl w:val="0"/>
        <w:numPr>
          <w:ilvl w:val="1"/>
          <w:numId w:val="761"/>
        </w:numPr>
        <w:tabs>
          <w:tab w:val="num" w:pos="709"/>
          <w:tab w:val="num" w:pos="2069"/>
        </w:tabs>
        <w:spacing w:before="120" w:after="120" w:line="240" w:lineRule="auto"/>
        <w:ind w:left="851" w:hanging="425"/>
        <w:jc w:val="both"/>
        <w:rPr>
          <w:rFonts w:ascii="Times New Roman" w:eastAsia="Times New Roman" w:hAnsi="Times New Roman" w:cs="Times New Roman"/>
          <w:bCs/>
        </w:rPr>
      </w:pPr>
      <w:r w:rsidRPr="007E3A2E">
        <w:rPr>
          <w:rFonts w:ascii="Times New Roman" w:eastAsia="Times New Roman" w:hAnsi="Times New Roman" w:cs="Times New Roman"/>
          <w:bCs/>
        </w:rPr>
        <w:t>össz óraszám/félév: 28</w:t>
      </w:r>
    </w:p>
    <w:p w:rsidR="007E3A2E" w:rsidRPr="007E3A2E" w:rsidRDefault="007E3A2E" w:rsidP="00980876">
      <w:pPr>
        <w:widowControl w:val="0"/>
        <w:numPr>
          <w:ilvl w:val="2"/>
          <w:numId w:val="761"/>
        </w:numPr>
        <w:tabs>
          <w:tab w:val="num" w:pos="709"/>
          <w:tab w:val="num" w:pos="1134"/>
        </w:tabs>
        <w:spacing w:before="120" w:after="120" w:line="240" w:lineRule="auto"/>
        <w:ind w:left="993" w:hanging="425"/>
        <w:jc w:val="both"/>
        <w:rPr>
          <w:rFonts w:ascii="Times New Roman" w:eastAsia="Times New Roman" w:hAnsi="Times New Roman" w:cs="Times New Roman"/>
          <w:bCs/>
        </w:rPr>
      </w:pPr>
      <w:r w:rsidRPr="007E3A2E">
        <w:rPr>
          <w:rFonts w:ascii="Times New Roman" w:eastAsia="Times New Roman" w:hAnsi="Times New Roman" w:cs="Times New Roman"/>
          <w:bCs/>
        </w:rPr>
        <w:t>nappali munkarend: 28 (28 EA + 0 SZ + 0 GY)</w:t>
      </w:r>
    </w:p>
    <w:p w:rsidR="007E3A2E" w:rsidRPr="007E3A2E" w:rsidRDefault="007E3A2E" w:rsidP="00980876">
      <w:pPr>
        <w:widowControl w:val="0"/>
        <w:numPr>
          <w:ilvl w:val="2"/>
          <w:numId w:val="761"/>
        </w:numPr>
        <w:tabs>
          <w:tab w:val="num" w:pos="709"/>
          <w:tab w:val="num" w:pos="1134"/>
        </w:tabs>
        <w:spacing w:before="120" w:after="120" w:line="240" w:lineRule="auto"/>
        <w:ind w:left="993" w:hanging="425"/>
        <w:jc w:val="both"/>
        <w:rPr>
          <w:rFonts w:ascii="Times New Roman" w:eastAsia="Times New Roman" w:hAnsi="Times New Roman" w:cs="Times New Roman"/>
          <w:bCs/>
        </w:rPr>
      </w:pPr>
      <w:r w:rsidRPr="007E3A2E">
        <w:rPr>
          <w:rFonts w:ascii="Times New Roman" w:eastAsia="Times New Roman" w:hAnsi="Times New Roman" w:cs="Times New Roman"/>
          <w:bCs/>
        </w:rPr>
        <w:t>levelező munkarend: 0 (0 EA + 0 SZ + 0 GY)</w:t>
      </w:r>
    </w:p>
    <w:p w:rsidR="007E3A2E" w:rsidRPr="007E3A2E" w:rsidRDefault="007E3A2E" w:rsidP="00980876">
      <w:pPr>
        <w:widowControl w:val="0"/>
        <w:numPr>
          <w:ilvl w:val="1"/>
          <w:numId w:val="761"/>
        </w:numPr>
        <w:tabs>
          <w:tab w:val="num" w:pos="709"/>
          <w:tab w:val="num" w:pos="2069"/>
        </w:tabs>
        <w:spacing w:before="120" w:after="120" w:line="240" w:lineRule="auto"/>
        <w:ind w:left="851" w:hanging="425"/>
        <w:jc w:val="both"/>
        <w:rPr>
          <w:rFonts w:ascii="Times New Roman" w:eastAsia="Times New Roman" w:hAnsi="Times New Roman" w:cs="Times New Roman"/>
          <w:bCs/>
        </w:rPr>
      </w:pPr>
      <w:r w:rsidRPr="007E3A2E">
        <w:rPr>
          <w:rFonts w:ascii="Times New Roman" w:eastAsia="Times New Roman" w:hAnsi="Times New Roman" w:cs="Times New Roman"/>
          <w:bCs/>
        </w:rPr>
        <w:t>heti óraszám - nappali munkarend: 2</w:t>
      </w:r>
    </w:p>
    <w:p w:rsidR="007E3A2E" w:rsidRPr="007E3A2E" w:rsidRDefault="007E3A2E" w:rsidP="00980876">
      <w:pPr>
        <w:widowControl w:val="0"/>
        <w:numPr>
          <w:ilvl w:val="1"/>
          <w:numId w:val="761"/>
        </w:numPr>
        <w:tabs>
          <w:tab w:val="num" w:pos="709"/>
          <w:tab w:val="num" w:pos="2069"/>
        </w:tabs>
        <w:spacing w:before="120" w:after="120" w:line="240" w:lineRule="auto"/>
        <w:ind w:left="851" w:hanging="425"/>
        <w:jc w:val="both"/>
        <w:rPr>
          <w:rFonts w:ascii="Times New Roman" w:eastAsia="Times New Roman" w:hAnsi="Times New Roman" w:cs="Times New Roman"/>
          <w:bCs/>
        </w:rPr>
      </w:pPr>
      <w:r w:rsidRPr="007E3A2E">
        <w:rPr>
          <w:rFonts w:ascii="Times New Roman" w:eastAsia="Calibri" w:hAnsi="Times New Roman" w:cs="Times New Roman"/>
        </w:rPr>
        <w:t>Az ismeret átadásában alkalmazandó további sajátos módok, jellemzők: -</w:t>
      </w:r>
    </w:p>
    <w:p w:rsidR="007E3A2E" w:rsidRPr="007E3A2E" w:rsidRDefault="007E3A2E" w:rsidP="00980876">
      <w:pPr>
        <w:numPr>
          <w:ilvl w:val="0"/>
          <w:numId w:val="761"/>
        </w:numPr>
        <w:tabs>
          <w:tab w:val="center" w:pos="4819"/>
        </w:tabs>
        <w:spacing w:before="120" w:after="0" w:line="240" w:lineRule="auto"/>
        <w:ind w:left="567" w:hanging="283"/>
        <w:jc w:val="both"/>
        <w:rPr>
          <w:rFonts w:ascii="Times New Roman" w:eastAsia="Times New Roman" w:hAnsi="Times New Roman" w:cs="Times New Roman"/>
          <w:bCs/>
        </w:rPr>
      </w:pPr>
      <w:r w:rsidRPr="007E3A2E">
        <w:rPr>
          <w:rFonts w:ascii="Times New Roman" w:eastAsia="Times New Roman" w:hAnsi="Times New Roman" w:cs="Times New Roman"/>
          <w:b/>
          <w:bCs/>
        </w:rPr>
        <w:t xml:space="preserve">A tantárgy szakmai tartalma (magyarul): </w:t>
      </w:r>
      <w:r w:rsidRPr="007E3A2E">
        <w:rPr>
          <w:rFonts w:ascii="Times New Roman" w:eastAsia="Calibri" w:hAnsi="Times New Roman" w:cs="Calibri"/>
          <w:bCs/>
        </w:rPr>
        <w:t>A logisztika fogalma, értelmezése, helye és szerepe a közszolgálatban. A logisztika küldetése, a megfelelőségi követelmények alapján, a közszolgálati logisztika sajátos követelményei. A logisztika funkcionális felosztása, az ellátási lánc értelmezése. Az anyagáramlást megvalósító és az anyagáramlással összefüggő információs folyamatok, valamint irányításuk jellemzői. A logisztikai rendszerek, szervezetek jellemzése és csoportosítása. A logisztikai folyamatok és szervezetek sajátosságai, valamint vezetésük a közszolgálat különböző területein.</w:t>
      </w:r>
    </w:p>
    <w:p w:rsidR="007E3A2E" w:rsidRPr="007E3A2E" w:rsidRDefault="007E3A2E" w:rsidP="007E3A2E">
      <w:pPr>
        <w:tabs>
          <w:tab w:val="center" w:pos="4819"/>
        </w:tabs>
        <w:spacing w:before="120" w:after="0" w:line="240" w:lineRule="auto"/>
        <w:ind w:left="567"/>
        <w:jc w:val="both"/>
        <w:rPr>
          <w:rFonts w:ascii="Times New Roman" w:eastAsia="Times New Roman" w:hAnsi="Times New Roman" w:cs="Times New Roman"/>
          <w:bCs/>
          <w:lang w:val="en-GB"/>
        </w:rPr>
      </w:pPr>
      <w:r w:rsidRPr="007E3A2E">
        <w:rPr>
          <w:rFonts w:ascii="Times New Roman" w:eastAsia="Times New Roman" w:hAnsi="Times New Roman" w:cs="Times New Roman"/>
          <w:b/>
          <w:bCs/>
        </w:rPr>
        <w:t>A tantárgy szakmai tartalma (angolul) (</w:t>
      </w:r>
      <w:r w:rsidRPr="007E3A2E">
        <w:rPr>
          <w:rFonts w:ascii="Times New Roman" w:eastAsia="Times New Roman" w:hAnsi="Times New Roman" w:cs="Times New Roman"/>
          <w:b/>
          <w:bCs/>
          <w:lang w:val="en-US"/>
        </w:rPr>
        <w:t>Course description</w:t>
      </w:r>
      <w:r w:rsidRPr="007E3A2E">
        <w:rPr>
          <w:rFonts w:ascii="Times New Roman" w:eastAsia="Times New Roman" w:hAnsi="Times New Roman" w:cs="Times New Roman"/>
          <w:b/>
          <w:bCs/>
        </w:rPr>
        <w:t xml:space="preserve">): </w:t>
      </w:r>
      <w:r w:rsidRPr="007E3A2E">
        <w:rPr>
          <w:rFonts w:ascii="Times New Roman" w:eastAsia="Calibri" w:hAnsi="Times New Roman" w:cs="Calibri"/>
          <w:bCs/>
        </w:rPr>
        <w:t>Concept, interpretation, place and role of logistics in public service. Mission of logistics based on compliance requirements; special requirements of public service logistics. Functional division of logistics; interpretation of the supply chain. Information processes implementing and related to the flow of materials and characteristics of their control. Characterisation and categorisation of logistics systems and organisations. Characteristics of logistics processes and organisations and their management in the different fields of public service.</w:t>
      </w:r>
    </w:p>
    <w:p w:rsidR="007E3A2E" w:rsidRPr="007E3A2E" w:rsidRDefault="007E3A2E" w:rsidP="00980876">
      <w:pPr>
        <w:widowControl w:val="0"/>
        <w:numPr>
          <w:ilvl w:val="0"/>
          <w:numId w:val="761"/>
        </w:numPr>
        <w:spacing w:before="120" w:after="120" w:line="240" w:lineRule="auto"/>
        <w:contextualSpacing/>
        <w:jc w:val="both"/>
        <w:rPr>
          <w:rFonts w:ascii="Times New Roman" w:eastAsia="Times New Roman" w:hAnsi="Times New Roman" w:cs="Times New Roman"/>
          <w:bCs/>
        </w:rPr>
      </w:pPr>
      <w:r w:rsidRPr="007E3A2E">
        <w:rPr>
          <w:rFonts w:ascii="Times New Roman" w:eastAsia="Times New Roman" w:hAnsi="Times New Roman" w:cs="Times New Roman"/>
          <w:b/>
          <w:bCs/>
        </w:rPr>
        <w:t xml:space="preserve">Elérendő kompetenciák (magyarul): </w:t>
      </w:r>
    </w:p>
    <w:p w:rsidR="007E3A2E" w:rsidRPr="007E3A2E" w:rsidRDefault="007E3A2E" w:rsidP="007E3A2E">
      <w:pPr>
        <w:autoSpaceDE w:val="0"/>
        <w:autoSpaceDN w:val="0"/>
        <w:adjustRightInd w:val="0"/>
        <w:spacing w:before="120" w:after="0" w:line="240" w:lineRule="auto"/>
        <w:ind w:left="425"/>
        <w:jc w:val="both"/>
        <w:rPr>
          <w:rFonts w:ascii="Times New Roman" w:eastAsia="Times New Roman" w:hAnsi="Times New Roman" w:cs="Times New Roman"/>
          <w:b/>
          <w:bCs/>
        </w:rPr>
      </w:pPr>
      <w:r w:rsidRPr="007E3A2E">
        <w:rPr>
          <w:rFonts w:ascii="Times New Roman" w:eastAsia="Times New Roman" w:hAnsi="Times New Roman" w:cs="Times New Roman"/>
          <w:b/>
          <w:bCs/>
        </w:rPr>
        <w:t xml:space="preserve">Tudása: </w:t>
      </w:r>
    </w:p>
    <w:p w:rsidR="00404DA5" w:rsidRDefault="00404DA5"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6B3BF3">
        <w:rPr>
          <w:rFonts w:ascii="Times New Roman" w:eastAsia="Calibri" w:hAnsi="Times New Roman" w:cs="Times New Roman"/>
        </w:rPr>
        <w:t>Ismeri a gazdaság és a piacok működésének alapjait, a nemzetgazdaság és a honvédelem kapcsolatrendszerét, a hadiipar működésének törvényszerűségeit.</w:t>
      </w:r>
    </w:p>
    <w:p w:rsidR="00404DA5" w:rsidRDefault="00404DA5"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6B3BF3">
        <w:rPr>
          <w:rFonts w:ascii="Times New Roman" w:eastAsia="Calibri" w:hAnsi="Times New Roman" w:cs="Times New Roman"/>
        </w:rPr>
        <w:t>Részletesen ismeri az általános logisztikai tevékenység egyes műveleteit, folyamatait.</w:t>
      </w:r>
    </w:p>
    <w:p w:rsidR="00404DA5" w:rsidRDefault="00404DA5"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6B3BF3">
        <w:rPr>
          <w:rFonts w:ascii="Times New Roman" w:eastAsia="Calibri" w:hAnsi="Times New Roman" w:cs="Times New Roman"/>
        </w:rPr>
        <w:t>Mélyrehatóan ismeri a katonai logisztikai gazdálkodás feladatait, valamint annak eszköz- és információs rendszerét.</w:t>
      </w:r>
    </w:p>
    <w:p w:rsidR="00404DA5" w:rsidRDefault="00404DA5"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6B3BF3">
        <w:rPr>
          <w:rFonts w:ascii="Times New Roman" w:eastAsia="Calibri" w:hAnsi="Times New Roman" w:cs="Times New Roman"/>
        </w:rPr>
        <w:t>Rendelkezik a logisztikai alegységek napi feladatainak ellátásához és kiképzéséhez szükséges szakmai és kiképzésmódszertani ismeretekkel.</w:t>
      </w:r>
    </w:p>
    <w:p w:rsidR="00404DA5" w:rsidRDefault="00404DA5"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6B3BF3">
        <w:rPr>
          <w:rFonts w:ascii="Times New Roman" w:eastAsia="Calibri" w:hAnsi="Times New Roman" w:cs="Times New Roman"/>
        </w:rPr>
        <w:lastRenderedPageBreak/>
        <w:t xml:space="preserve">Ismeri </w:t>
      </w:r>
      <w:r w:rsidRPr="00404DA5">
        <w:rPr>
          <w:rFonts w:ascii="Times New Roman" w:eastAsia="Calibri" w:hAnsi="Times New Roman" w:cs="Times New Roman"/>
        </w:rPr>
        <w:t xml:space="preserve">a Magyar Honvédség </w:t>
      </w:r>
      <w:r w:rsidRPr="006B3BF3">
        <w:rPr>
          <w:rFonts w:ascii="Times New Roman" w:eastAsia="Calibri" w:hAnsi="Times New Roman" w:cs="Times New Roman"/>
        </w:rPr>
        <w:t>logisztikai rendszerének felépítésében, a logisztikai szervezetek feladat- és hatásköreiben, az egységek és alegységek logisztikai szervezeteinek felépítésében és feladataiban.</w:t>
      </w:r>
    </w:p>
    <w:p w:rsidR="007E3A2E" w:rsidRPr="007E3A2E" w:rsidRDefault="007E3A2E" w:rsidP="007E3A2E">
      <w:pPr>
        <w:autoSpaceDE w:val="0"/>
        <w:autoSpaceDN w:val="0"/>
        <w:adjustRightInd w:val="0"/>
        <w:spacing w:before="120" w:after="0" w:line="240" w:lineRule="auto"/>
        <w:ind w:left="425"/>
        <w:jc w:val="both"/>
        <w:rPr>
          <w:rFonts w:ascii="Times New Roman" w:eastAsia="Times New Roman" w:hAnsi="Times New Roman" w:cs="Times New Roman"/>
          <w:bCs/>
        </w:rPr>
      </w:pPr>
      <w:r w:rsidRPr="007E3A2E">
        <w:rPr>
          <w:rFonts w:ascii="Times New Roman" w:eastAsia="Times New Roman" w:hAnsi="Times New Roman" w:cs="Times New Roman"/>
          <w:b/>
          <w:bCs/>
        </w:rPr>
        <w:t>Képességei:</w:t>
      </w:r>
      <w:r w:rsidRPr="007E3A2E">
        <w:rPr>
          <w:rFonts w:ascii="Times New Roman" w:eastAsia="Times New Roman" w:hAnsi="Times New Roman" w:cs="Times New Roman"/>
          <w:bCs/>
        </w:rPr>
        <w:t xml:space="preserve"> </w:t>
      </w:r>
    </w:p>
    <w:p w:rsidR="0091083A" w:rsidRDefault="0091083A" w:rsidP="00666335">
      <w:pPr>
        <w:widowControl w:val="0"/>
        <w:numPr>
          <w:ilvl w:val="0"/>
          <w:numId w:val="37"/>
        </w:numPr>
        <w:tabs>
          <w:tab w:val="left" w:pos="284"/>
        </w:tabs>
        <w:autoSpaceDE w:val="0"/>
        <w:autoSpaceDN w:val="0"/>
        <w:adjustRightInd w:val="0"/>
        <w:spacing w:after="0" w:line="240" w:lineRule="auto"/>
        <w:jc w:val="both"/>
        <w:rPr>
          <w:rFonts w:ascii="Times New Roman" w:eastAsia="Calibri" w:hAnsi="Times New Roman" w:cs="Times New Roman"/>
        </w:rPr>
      </w:pPr>
      <w:r w:rsidRPr="006B3BF3">
        <w:rPr>
          <w:rFonts w:ascii="Times New Roman" w:eastAsia="Calibri" w:hAnsi="Times New Roman" w:cs="Times New Roman"/>
        </w:rPr>
        <w:t>Képes a szakmai terminológia magyarul és idegen nyelven történő alkalmazására.</w:t>
      </w:r>
    </w:p>
    <w:p w:rsidR="0091083A" w:rsidRDefault="0091083A" w:rsidP="00666335">
      <w:pPr>
        <w:widowControl w:val="0"/>
        <w:numPr>
          <w:ilvl w:val="0"/>
          <w:numId w:val="37"/>
        </w:numPr>
        <w:tabs>
          <w:tab w:val="left" w:pos="284"/>
        </w:tabs>
        <w:autoSpaceDE w:val="0"/>
        <w:autoSpaceDN w:val="0"/>
        <w:adjustRightInd w:val="0"/>
        <w:spacing w:after="0" w:line="240" w:lineRule="auto"/>
        <w:jc w:val="both"/>
        <w:rPr>
          <w:rFonts w:ascii="Times New Roman" w:eastAsia="Calibri" w:hAnsi="Times New Roman" w:cs="Times New Roman"/>
        </w:rPr>
      </w:pPr>
      <w:r w:rsidRPr="006B3BF3">
        <w:rPr>
          <w:rFonts w:ascii="Times New Roman" w:eastAsia="Calibri" w:hAnsi="Times New Roman" w:cs="Times New Roman"/>
        </w:rPr>
        <w:t xml:space="preserve">Képes a munkaköréhez és feladataihoz kapcsolódó jogszabályi háttér értelmezésére és gyakorlati alkalmazására. </w:t>
      </w:r>
    </w:p>
    <w:p w:rsidR="0091083A" w:rsidRDefault="0091083A" w:rsidP="00666335">
      <w:pPr>
        <w:widowControl w:val="0"/>
        <w:numPr>
          <w:ilvl w:val="0"/>
          <w:numId w:val="37"/>
        </w:numPr>
        <w:tabs>
          <w:tab w:val="left" w:pos="284"/>
        </w:tabs>
        <w:autoSpaceDE w:val="0"/>
        <w:autoSpaceDN w:val="0"/>
        <w:adjustRightInd w:val="0"/>
        <w:spacing w:after="0" w:line="240" w:lineRule="auto"/>
        <w:jc w:val="both"/>
        <w:rPr>
          <w:rFonts w:ascii="Times New Roman" w:eastAsia="Calibri" w:hAnsi="Times New Roman" w:cs="Times New Roman"/>
        </w:rPr>
      </w:pPr>
      <w:r w:rsidRPr="006B3BF3">
        <w:rPr>
          <w:rFonts w:ascii="Times New Roman" w:eastAsia="Calibri" w:hAnsi="Times New Roman" w:cs="Times New Roman"/>
        </w:rPr>
        <w:t>Képes a csapatgazdálkodás tervezésére, szervezésére, irányítására és vezetésére.</w:t>
      </w:r>
    </w:p>
    <w:p w:rsidR="0091083A" w:rsidRDefault="0091083A" w:rsidP="00666335">
      <w:pPr>
        <w:widowControl w:val="0"/>
        <w:numPr>
          <w:ilvl w:val="0"/>
          <w:numId w:val="37"/>
        </w:numPr>
        <w:tabs>
          <w:tab w:val="left" w:pos="284"/>
        </w:tabs>
        <w:autoSpaceDE w:val="0"/>
        <w:autoSpaceDN w:val="0"/>
        <w:adjustRightInd w:val="0"/>
        <w:spacing w:after="0" w:line="240" w:lineRule="auto"/>
        <w:jc w:val="both"/>
        <w:rPr>
          <w:rFonts w:ascii="Times New Roman" w:eastAsia="Calibri" w:hAnsi="Times New Roman" w:cs="Times New Roman"/>
        </w:rPr>
      </w:pPr>
      <w:r w:rsidRPr="006B3BF3">
        <w:rPr>
          <w:rFonts w:ascii="Times New Roman" w:eastAsia="Calibri" w:hAnsi="Times New Roman" w:cs="Times New Roman"/>
        </w:rPr>
        <w:t xml:space="preserve">Képes a logisztikai folyamatok és </w:t>
      </w:r>
      <w:r w:rsidRPr="0091083A">
        <w:rPr>
          <w:rFonts w:ascii="Times New Roman" w:eastAsia="Calibri" w:hAnsi="Times New Roman" w:cs="Times New Roman"/>
        </w:rPr>
        <w:t>a Magyar Honvédség</w:t>
      </w:r>
      <w:r w:rsidRPr="006B3BF3" w:rsidDel="00F30C4C">
        <w:rPr>
          <w:rFonts w:ascii="Times New Roman" w:eastAsia="Calibri" w:hAnsi="Times New Roman" w:cs="Times New Roman"/>
        </w:rPr>
        <w:t xml:space="preserve"> </w:t>
      </w:r>
      <w:r w:rsidRPr="006B3BF3">
        <w:rPr>
          <w:rFonts w:ascii="Times New Roman" w:eastAsia="Calibri" w:hAnsi="Times New Roman" w:cs="Times New Roman"/>
        </w:rPr>
        <w:t>logisztikai rendszere közötti kapcsolatok, illetve összefüggések értelmezésére és azok a beosztottak felé történő átadására.</w:t>
      </w:r>
    </w:p>
    <w:p w:rsidR="0091083A" w:rsidRDefault="0091083A" w:rsidP="00666335">
      <w:pPr>
        <w:widowControl w:val="0"/>
        <w:numPr>
          <w:ilvl w:val="0"/>
          <w:numId w:val="37"/>
        </w:numPr>
        <w:tabs>
          <w:tab w:val="left" w:pos="284"/>
        </w:tabs>
        <w:autoSpaceDE w:val="0"/>
        <w:autoSpaceDN w:val="0"/>
        <w:adjustRightInd w:val="0"/>
        <w:spacing w:after="0" w:line="240" w:lineRule="auto"/>
        <w:jc w:val="both"/>
        <w:rPr>
          <w:rFonts w:ascii="Times New Roman" w:eastAsia="Calibri" w:hAnsi="Times New Roman" w:cs="Times New Roman"/>
        </w:rPr>
      </w:pPr>
      <w:r w:rsidRPr="006B3BF3">
        <w:rPr>
          <w:rFonts w:ascii="Times New Roman" w:eastAsia="Calibri" w:hAnsi="Times New Roman" w:cs="Times New Roman"/>
        </w:rPr>
        <w:t>Képes szakterületén újító és innovatív ötletek megfogalmazására.</w:t>
      </w:r>
    </w:p>
    <w:p w:rsidR="0091083A" w:rsidRDefault="0091083A" w:rsidP="00666335">
      <w:pPr>
        <w:widowControl w:val="0"/>
        <w:numPr>
          <w:ilvl w:val="0"/>
          <w:numId w:val="37"/>
        </w:numPr>
        <w:tabs>
          <w:tab w:val="left" w:pos="284"/>
        </w:tabs>
        <w:autoSpaceDE w:val="0"/>
        <w:autoSpaceDN w:val="0"/>
        <w:adjustRightInd w:val="0"/>
        <w:spacing w:after="0" w:line="240" w:lineRule="auto"/>
        <w:jc w:val="both"/>
        <w:rPr>
          <w:rFonts w:ascii="Times New Roman" w:eastAsia="Calibri" w:hAnsi="Times New Roman" w:cs="Times New Roman"/>
        </w:rPr>
      </w:pPr>
      <w:r w:rsidRPr="006B3BF3">
        <w:rPr>
          <w:rFonts w:ascii="Times New Roman" w:eastAsia="Calibri" w:hAnsi="Times New Roman" w:cs="Times New Roman"/>
        </w:rPr>
        <w:t>Képes pontos és precíz logisztikai, illetve gazdálkodási számvetéseket készíteni.</w:t>
      </w:r>
    </w:p>
    <w:p w:rsidR="0091083A" w:rsidRDefault="0091083A" w:rsidP="00666335">
      <w:pPr>
        <w:widowControl w:val="0"/>
        <w:numPr>
          <w:ilvl w:val="0"/>
          <w:numId w:val="37"/>
        </w:numPr>
        <w:tabs>
          <w:tab w:val="left" w:pos="284"/>
        </w:tabs>
        <w:autoSpaceDE w:val="0"/>
        <w:autoSpaceDN w:val="0"/>
        <w:adjustRightInd w:val="0"/>
        <w:spacing w:after="0" w:line="240" w:lineRule="auto"/>
        <w:jc w:val="both"/>
        <w:rPr>
          <w:rFonts w:ascii="Times New Roman" w:eastAsia="Calibri" w:hAnsi="Times New Roman" w:cs="Times New Roman"/>
        </w:rPr>
      </w:pPr>
      <w:r w:rsidRPr="006B3BF3">
        <w:rPr>
          <w:rFonts w:ascii="Times New Roman" w:eastAsia="Calibri" w:hAnsi="Times New Roman" w:cs="Times New Roman"/>
        </w:rPr>
        <w:t xml:space="preserve">Képes a szakterületén alkalmazott nyilvántartó és vezetéstámogató </w:t>
      </w:r>
      <w:r w:rsidRPr="0091083A">
        <w:rPr>
          <w:rFonts w:ascii="Times New Roman" w:eastAsia="Calibri" w:hAnsi="Times New Roman" w:cs="Times New Roman"/>
        </w:rPr>
        <w:t>informatikai</w:t>
      </w:r>
      <w:r w:rsidRPr="006B3BF3">
        <w:rPr>
          <w:rFonts w:ascii="Times New Roman" w:eastAsia="Calibri" w:hAnsi="Times New Roman" w:cs="Times New Roman"/>
        </w:rPr>
        <w:t xml:space="preserve"> rendszerek használatára.</w:t>
      </w:r>
    </w:p>
    <w:p w:rsidR="0091083A" w:rsidRDefault="0091083A" w:rsidP="00666335">
      <w:pPr>
        <w:widowControl w:val="0"/>
        <w:numPr>
          <w:ilvl w:val="0"/>
          <w:numId w:val="37"/>
        </w:numPr>
        <w:tabs>
          <w:tab w:val="left" w:pos="284"/>
        </w:tabs>
        <w:autoSpaceDE w:val="0"/>
        <w:autoSpaceDN w:val="0"/>
        <w:adjustRightInd w:val="0"/>
        <w:spacing w:after="0" w:line="240" w:lineRule="auto"/>
        <w:jc w:val="both"/>
        <w:rPr>
          <w:rFonts w:ascii="Times New Roman" w:eastAsia="Calibri" w:hAnsi="Times New Roman" w:cs="Times New Roman"/>
        </w:rPr>
      </w:pPr>
      <w:r w:rsidRPr="006B3BF3">
        <w:rPr>
          <w:rFonts w:ascii="Times New Roman" w:eastAsia="Calibri" w:hAnsi="Times New Roman" w:cs="Times New Roman"/>
        </w:rPr>
        <w:t>Képes beosztottjai általános katonai és szakmai vezetésére, munkájuk hatékony megszervezésére.</w:t>
      </w:r>
    </w:p>
    <w:p w:rsidR="0091083A" w:rsidRDefault="0091083A" w:rsidP="00666335">
      <w:pPr>
        <w:widowControl w:val="0"/>
        <w:numPr>
          <w:ilvl w:val="0"/>
          <w:numId w:val="37"/>
        </w:numPr>
        <w:tabs>
          <w:tab w:val="left" w:pos="284"/>
        </w:tabs>
        <w:autoSpaceDE w:val="0"/>
        <w:autoSpaceDN w:val="0"/>
        <w:adjustRightInd w:val="0"/>
        <w:spacing w:after="0" w:line="240" w:lineRule="auto"/>
        <w:jc w:val="both"/>
        <w:rPr>
          <w:rFonts w:ascii="Times New Roman" w:eastAsia="Calibri" w:hAnsi="Times New Roman" w:cs="Times New Roman"/>
        </w:rPr>
      </w:pPr>
      <w:r w:rsidRPr="006B3BF3">
        <w:rPr>
          <w:rFonts w:ascii="Times New Roman" w:eastAsia="Calibri" w:hAnsi="Times New Roman" w:cs="Times New Roman"/>
        </w:rPr>
        <w:t>Képes a honvédekkel szemben támasztott mindenkori fizikai és pszichikai követelményeknek megfelelni.</w:t>
      </w:r>
    </w:p>
    <w:p w:rsidR="007E3A2E" w:rsidRPr="007E3A2E" w:rsidRDefault="007E3A2E" w:rsidP="007E3A2E">
      <w:pPr>
        <w:autoSpaceDE w:val="0"/>
        <w:autoSpaceDN w:val="0"/>
        <w:adjustRightInd w:val="0"/>
        <w:spacing w:before="120" w:after="0" w:line="240" w:lineRule="auto"/>
        <w:ind w:left="425"/>
        <w:jc w:val="both"/>
        <w:rPr>
          <w:rFonts w:ascii="Times New Roman" w:eastAsia="Times New Roman" w:hAnsi="Times New Roman" w:cs="Times New Roman"/>
          <w:b/>
          <w:bCs/>
        </w:rPr>
      </w:pPr>
      <w:r w:rsidRPr="007E3A2E">
        <w:rPr>
          <w:rFonts w:ascii="Times New Roman" w:eastAsia="Times New Roman" w:hAnsi="Times New Roman" w:cs="Times New Roman"/>
          <w:b/>
          <w:bCs/>
        </w:rPr>
        <w:t xml:space="preserve">Attitűdje: </w:t>
      </w:r>
    </w:p>
    <w:p w:rsidR="007E3A2E" w:rsidRPr="007E3A2E" w:rsidRDefault="007E3A2E"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7E3A2E">
        <w:rPr>
          <w:rFonts w:ascii="Times New Roman" w:eastAsia="Calibri" w:hAnsi="Times New Roman" w:cs="Times New Roman"/>
        </w:rPr>
        <w:t>Nyitott a szakterületen zajló szakmai, technológiai fejlesztés és innováció megismerésére és elfogadására, hiteles közvetítésére és azok mindennapi munkájába való beillesztésére.</w:t>
      </w:r>
    </w:p>
    <w:p w:rsidR="007E3A2E" w:rsidRPr="007E3A2E" w:rsidRDefault="007E3A2E"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7E3A2E">
        <w:rPr>
          <w:rFonts w:ascii="Times New Roman" w:eastAsia="Calibri" w:hAnsi="Times New Roman" w:cs="Times New Roman"/>
        </w:rPr>
        <w:t>Törekszik arra, hogy önképzése a katonai közlekedési szakterületen folyamatos és szakmai céljaival megegyező legyen.</w:t>
      </w:r>
    </w:p>
    <w:p w:rsidR="007E3A2E" w:rsidRPr="007E3A2E" w:rsidRDefault="007E3A2E"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7E3A2E">
        <w:rPr>
          <w:rFonts w:ascii="Times New Roman" w:eastAsia="Calibri" w:hAnsi="Times New Roman" w:cs="Times New Roman"/>
        </w:rPr>
        <w:t>Elkötelezett a minő</w:t>
      </w:r>
      <w:r w:rsidR="0091083A">
        <w:rPr>
          <w:rFonts w:ascii="Times New Roman" w:eastAsia="Calibri" w:hAnsi="Times New Roman" w:cs="Times New Roman"/>
        </w:rPr>
        <w:t>ségi szakmai munkavégzés iránt</w:t>
      </w:r>
      <w:r w:rsidRPr="007E3A2E">
        <w:rPr>
          <w:rFonts w:ascii="Times New Roman" w:eastAsia="Calibri" w:hAnsi="Times New Roman" w:cs="Times New Roman"/>
        </w:rPr>
        <w:t>.</w:t>
      </w:r>
    </w:p>
    <w:p w:rsidR="007E3A2E" w:rsidRPr="007E3A2E" w:rsidRDefault="007E3A2E"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7E3A2E">
        <w:rPr>
          <w:rFonts w:ascii="Times New Roman" w:eastAsia="Calibri" w:hAnsi="Times New Roman" w:cs="Times New Roman"/>
        </w:rPr>
        <w:t>Figyel beosztottjai szakmai fejlődésének előmozdítására, ilyen irányú törekvéseik kezelésére és segítésére.</w:t>
      </w:r>
    </w:p>
    <w:p w:rsidR="007E3A2E" w:rsidRPr="007E3A2E" w:rsidRDefault="007E3A2E"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7E3A2E">
        <w:rPr>
          <w:rFonts w:ascii="Times New Roman" w:eastAsia="Calibri" w:hAnsi="Times New Roman" w:cs="Times New Roman"/>
        </w:rPr>
        <w:t>Megosztja tapasztalatait munkatársaival, így segítve fejlődésüket.</w:t>
      </w:r>
    </w:p>
    <w:p w:rsidR="007E3A2E" w:rsidRPr="007E3A2E" w:rsidRDefault="007E3A2E" w:rsidP="007E3A2E">
      <w:pPr>
        <w:autoSpaceDE w:val="0"/>
        <w:autoSpaceDN w:val="0"/>
        <w:adjustRightInd w:val="0"/>
        <w:spacing w:before="120" w:after="0" w:line="240" w:lineRule="auto"/>
        <w:ind w:left="425"/>
        <w:jc w:val="both"/>
        <w:rPr>
          <w:rFonts w:ascii="Times New Roman" w:eastAsia="Times New Roman" w:hAnsi="Times New Roman" w:cs="Times New Roman"/>
          <w:b/>
          <w:bCs/>
        </w:rPr>
      </w:pPr>
      <w:r w:rsidRPr="007E3A2E">
        <w:rPr>
          <w:rFonts w:ascii="Times New Roman" w:eastAsia="Times New Roman" w:hAnsi="Times New Roman" w:cs="Times New Roman"/>
          <w:b/>
          <w:bCs/>
        </w:rPr>
        <w:t xml:space="preserve">Autonómiája és felelőssége: </w:t>
      </w:r>
    </w:p>
    <w:p w:rsidR="007E3A2E" w:rsidRPr="007E3A2E" w:rsidRDefault="007E3A2E"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7E3A2E">
        <w:rPr>
          <w:rFonts w:ascii="Times New Roman" w:eastAsia="Calibri" w:hAnsi="Times New Roman" w:cs="Times New Roman"/>
        </w:rPr>
        <w:t>A szakterületén megjelenő folyamatokban képes önállóan döntéseket hozni, azokat felelősséggel, a jogszabályi keretek figyelembevételével végrehajtani.</w:t>
      </w:r>
    </w:p>
    <w:p w:rsidR="007E3A2E" w:rsidRPr="007E3A2E" w:rsidRDefault="007E3A2E"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7E3A2E">
        <w:rPr>
          <w:rFonts w:ascii="Times New Roman" w:eastAsia="Calibri" w:hAnsi="Times New Roman" w:cs="Times New Roman"/>
        </w:rPr>
        <w:t>Tisztában van döntéseinek, tevékenységének a katonai logisztikai folyamatok egészére gyakorolt hatásaival, következményeivel.</w:t>
      </w:r>
    </w:p>
    <w:p w:rsidR="007E3A2E" w:rsidRPr="007E3A2E" w:rsidRDefault="007E3A2E"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7E3A2E">
        <w:rPr>
          <w:rFonts w:ascii="Times New Roman" w:eastAsia="Calibri" w:hAnsi="Times New Roman" w:cs="Times New Roman"/>
        </w:rPr>
        <w:t>Szakmai feladatainak elvégzése során felelősségteljesen együttműködik más szakterület képzett szakembereivel is.</w:t>
      </w:r>
    </w:p>
    <w:p w:rsidR="007E3A2E" w:rsidRPr="007E3A2E" w:rsidRDefault="007E3A2E"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7E3A2E">
        <w:rPr>
          <w:rFonts w:ascii="Times New Roman" w:eastAsia="Calibri" w:hAnsi="Times New Roman" w:cs="Times New Roman"/>
        </w:rPr>
        <w:t>Feltárja az alkalmazott technológiák hiányosságait, a folyamatok kockázatait és kezdeményezi az ezeket csökkentő intézkedések megtételét.</w:t>
      </w:r>
    </w:p>
    <w:p w:rsidR="007E3A2E" w:rsidRPr="007E3A2E" w:rsidRDefault="007E3A2E"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7E3A2E">
        <w:rPr>
          <w:rFonts w:ascii="Times New Roman" w:eastAsia="Calibri" w:hAnsi="Times New Roman" w:cs="Times New Roman"/>
        </w:rPr>
        <w:t>Értékeli a beosztottak munkavégzésének hatékonyságát, eredményességét.</w:t>
      </w:r>
    </w:p>
    <w:p w:rsidR="007E3A2E" w:rsidRPr="007E3A2E" w:rsidRDefault="007E3A2E" w:rsidP="007E3A2E">
      <w:pPr>
        <w:widowControl w:val="0"/>
        <w:spacing w:before="120" w:after="120" w:line="240" w:lineRule="auto"/>
        <w:ind w:left="426"/>
        <w:jc w:val="both"/>
        <w:rPr>
          <w:rFonts w:ascii="Times New Roman" w:eastAsia="Times New Roman" w:hAnsi="Times New Roman" w:cs="Times New Roman"/>
          <w:b/>
          <w:bCs/>
          <w:lang w:val="en-US"/>
        </w:rPr>
      </w:pPr>
      <w:r w:rsidRPr="007E3A2E">
        <w:rPr>
          <w:rFonts w:ascii="Times New Roman" w:eastAsia="Times New Roman" w:hAnsi="Times New Roman" w:cs="Times New Roman"/>
          <w:b/>
          <w:bCs/>
        </w:rPr>
        <w:t>Elérendő kompetenciák (angolul) (</w:t>
      </w:r>
      <w:r w:rsidRPr="007E3A2E">
        <w:rPr>
          <w:rFonts w:ascii="Times New Roman" w:eastAsia="Times New Roman" w:hAnsi="Times New Roman" w:cs="Times New Roman"/>
          <w:b/>
          <w:bCs/>
          <w:lang w:val="en-US"/>
        </w:rPr>
        <w:t xml:space="preserve">Competences – English): </w:t>
      </w:r>
    </w:p>
    <w:p w:rsidR="007E3A2E" w:rsidRPr="007E3A2E" w:rsidRDefault="007E3A2E" w:rsidP="007E3A2E">
      <w:pPr>
        <w:widowControl w:val="0"/>
        <w:spacing w:before="120" w:after="120" w:line="240" w:lineRule="auto"/>
        <w:ind w:left="426"/>
        <w:jc w:val="both"/>
        <w:rPr>
          <w:rFonts w:ascii="Times New Roman" w:eastAsia="Times New Roman" w:hAnsi="Times New Roman" w:cs="Times New Roman"/>
          <w:lang w:val="en-GB"/>
        </w:rPr>
      </w:pPr>
      <w:r w:rsidRPr="007E3A2E">
        <w:rPr>
          <w:rFonts w:ascii="Times New Roman" w:eastAsia="Times New Roman" w:hAnsi="Times New Roman" w:cs="Times New Roman"/>
          <w:b/>
          <w:lang w:val="en-GB"/>
        </w:rPr>
        <w:t>Knowledge</w:t>
      </w:r>
      <w:r w:rsidRPr="007E3A2E">
        <w:rPr>
          <w:rFonts w:ascii="Times New Roman" w:eastAsia="Times New Roman" w:hAnsi="Times New Roman" w:cs="Times New Roman"/>
          <w:lang w:val="en-GB"/>
        </w:rPr>
        <w:t xml:space="preserve">: </w:t>
      </w:r>
    </w:p>
    <w:p w:rsidR="00404DA5" w:rsidRPr="00116C81" w:rsidRDefault="00404DA5"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116C81">
        <w:rPr>
          <w:rFonts w:ascii="Times New Roman" w:eastAsia="Calibri" w:hAnsi="Times New Roman" w:cs="Times New Roman"/>
        </w:rPr>
        <w:t>Knows the basics of the functioning of the economy and markets, the relationship between the national economy and national defence, the legal framework of the functioning of the defence industry.</w:t>
      </w:r>
    </w:p>
    <w:p w:rsidR="00404DA5" w:rsidRPr="00116C81" w:rsidRDefault="00404DA5"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116C81">
        <w:rPr>
          <w:rFonts w:ascii="Times New Roman" w:eastAsia="Calibri" w:hAnsi="Times New Roman" w:cs="Times New Roman"/>
        </w:rPr>
        <w:t>Has a thorough knowledge of the general logistic operations and processes.</w:t>
      </w:r>
    </w:p>
    <w:p w:rsidR="00404DA5" w:rsidRPr="00116C81" w:rsidRDefault="00404DA5"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116C81">
        <w:rPr>
          <w:rFonts w:ascii="Times New Roman" w:eastAsia="Calibri" w:hAnsi="Times New Roman" w:cs="Times New Roman"/>
        </w:rPr>
        <w:t>Has a profound knowledge of the tasks of military logistics management, its tools and information system.</w:t>
      </w:r>
    </w:p>
    <w:p w:rsidR="00404DA5" w:rsidRPr="00116C81" w:rsidRDefault="00404DA5"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116C81">
        <w:rPr>
          <w:rFonts w:ascii="Times New Roman" w:eastAsia="Calibri" w:hAnsi="Times New Roman" w:cs="Times New Roman"/>
        </w:rPr>
        <w:t>Has the appropriate professional and training-methodology skills necessary to carry out the day-to-day tasks and training of logistic subunits.</w:t>
      </w:r>
    </w:p>
    <w:p w:rsidR="00404DA5" w:rsidRPr="00116C81" w:rsidRDefault="00404DA5"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116C81">
        <w:rPr>
          <w:rFonts w:ascii="Times New Roman" w:eastAsia="Calibri" w:hAnsi="Times New Roman" w:cs="Times New Roman"/>
        </w:rPr>
        <w:t>Knows the structure of the Hungarian Defence Forces’ logistic organizations, their tasks and scope of authority, the structure and tasks of logistic units and subunits.</w:t>
      </w:r>
    </w:p>
    <w:p w:rsidR="007E3A2E" w:rsidRPr="007E3A2E" w:rsidRDefault="007E3A2E" w:rsidP="007E3A2E">
      <w:pPr>
        <w:widowControl w:val="0"/>
        <w:spacing w:before="120" w:after="120" w:line="240" w:lineRule="auto"/>
        <w:ind w:left="426"/>
        <w:jc w:val="both"/>
        <w:rPr>
          <w:rFonts w:ascii="Times New Roman" w:eastAsia="Times New Roman" w:hAnsi="Times New Roman" w:cs="Times New Roman"/>
          <w:lang w:val="en-GB"/>
        </w:rPr>
      </w:pPr>
      <w:r w:rsidRPr="007E3A2E">
        <w:rPr>
          <w:rFonts w:ascii="Times New Roman" w:eastAsia="Times New Roman" w:hAnsi="Times New Roman" w:cs="Times New Roman"/>
          <w:b/>
          <w:lang w:val="en-GB"/>
        </w:rPr>
        <w:t>Capabilities</w:t>
      </w:r>
      <w:r w:rsidRPr="007E3A2E">
        <w:rPr>
          <w:rFonts w:ascii="Times New Roman" w:eastAsia="Times New Roman" w:hAnsi="Times New Roman" w:cs="Times New Roman"/>
          <w:lang w:val="en-GB"/>
        </w:rPr>
        <w:t>:</w:t>
      </w:r>
    </w:p>
    <w:p w:rsidR="0091083A" w:rsidRPr="0091083A" w:rsidRDefault="0091083A"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A161D0">
        <w:rPr>
          <w:rFonts w:ascii="Times New Roman" w:hAnsi="Times New Roman" w:cs="Times New Roman"/>
          <w:sz w:val="24"/>
          <w:szCs w:val="24"/>
          <w:lang w:val="en-GB"/>
        </w:rPr>
        <w:t xml:space="preserve">is </w:t>
      </w:r>
      <w:r w:rsidRPr="0091083A">
        <w:rPr>
          <w:rFonts w:ascii="Times New Roman" w:eastAsia="Calibri" w:hAnsi="Times New Roman" w:cs="Times New Roman"/>
        </w:rPr>
        <w:t>capable of using the professional terminology both in Hungarian and foreign languages.</w:t>
      </w:r>
    </w:p>
    <w:p w:rsidR="0091083A" w:rsidRPr="0091083A" w:rsidRDefault="0091083A"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91083A">
        <w:rPr>
          <w:rFonts w:ascii="Times New Roman" w:eastAsia="Calibri" w:hAnsi="Times New Roman" w:cs="Times New Roman"/>
        </w:rPr>
        <w:lastRenderedPageBreak/>
        <w:t>is capable of interpreting and applying in practice the legal background related to his/her job and duties.</w:t>
      </w:r>
    </w:p>
    <w:p w:rsidR="0091083A" w:rsidRPr="0091083A" w:rsidRDefault="0091083A"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91083A">
        <w:rPr>
          <w:rFonts w:ascii="Times New Roman" w:eastAsia="Calibri" w:hAnsi="Times New Roman" w:cs="Times New Roman"/>
        </w:rPr>
        <w:t>is capable of planning, organizing, managing and leading the economic activities of a military unit.</w:t>
      </w:r>
    </w:p>
    <w:p w:rsidR="0091083A" w:rsidRPr="0091083A" w:rsidRDefault="0091083A"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91083A">
        <w:rPr>
          <w:rFonts w:ascii="Times New Roman" w:eastAsia="Calibri" w:hAnsi="Times New Roman" w:cs="Times New Roman"/>
        </w:rPr>
        <w:t>is capable of interpreting the relationships between the logistics processes and the logistics system of the Hungarian Defence Forces and passing it on to the subordinates.</w:t>
      </w:r>
    </w:p>
    <w:p w:rsidR="0091083A" w:rsidRPr="0091083A" w:rsidRDefault="0091083A"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91083A">
        <w:rPr>
          <w:rFonts w:ascii="Times New Roman" w:eastAsia="Calibri" w:hAnsi="Times New Roman" w:cs="Times New Roman"/>
        </w:rPr>
        <w:t>is capable of formulating innovative ideas in his/her specialization.</w:t>
      </w:r>
    </w:p>
    <w:p w:rsidR="0091083A" w:rsidRPr="0091083A" w:rsidRDefault="0091083A"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91083A">
        <w:rPr>
          <w:rFonts w:ascii="Times New Roman" w:eastAsia="Calibri" w:hAnsi="Times New Roman" w:cs="Times New Roman"/>
        </w:rPr>
        <w:t>is capable of making accurate and precise logistic and economic calculations.</w:t>
      </w:r>
    </w:p>
    <w:p w:rsidR="0091083A" w:rsidRPr="0091083A" w:rsidRDefault="0091083A"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91083A">
        <w:rPr>
          <w:rFonts w:ascii="Times New Roman" w:eastAsia="Calibri" w:hAnsi="Times New Roman" w:cs="Times New Roman"/>
        </w:rPr>
        <w:t>is capable of using the registration and command and control information in his/her specialization.</w:t>
      </w:r>
    </w:p>
    <w:p w:rsidR="0091083A" w:rsidRPr="0091083A" w:rsidRDefault="0091083A"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91083A">
        <w:rPr>
          <w:rFonts w:ascii="Times New Roman" w:eastAsia="Calibri" w:hAnsi="Times New Roman" w:cs="Times New Roman"/>
        </w:rPr>
        <w:t>is capable of providing both military and professional leadership for his/her subordinates and effectively and efficiently organizing their work.</w:t>
      </w:r>
    </w:p>
    <w:p w:rsidR="0091083A" w:rsidRPr="0091083A" w:rsidRDefault="0091083A"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91083A">
        <w:rPr>
          <w:rFonts w:ascii="Times New Roman" w:eastAsia="Calibri" w:hAnsi="Times New Roman" w:cs="Times New Roman"/>
        </w:rPr>
        <w:t>is capable of meeting the physical and psychological requirements for military personnel.</w:t>
      </w:r>
    </w:p>
    <w:p w:rsidR="007E3A2E" w:rsidRPr="0091083A" w:rsidRDefault="007E3A2E" w:rsidP="0091083A">
      <w:pPr>
        <w:widowControl w:val="0"/>
        <w:spacing w:before="120" w:after="120" w:line="240" w:lineRule="auto"/>
        <w:ind w:left="426"/>
        <w:jc w:val="both"/>
        <w:rPr>
          <w:rFonts w:ascii="Times New Roman" w:eastAsia="Times New Roman" w:hAnsi="Times New Roman" w:cs="Times New Roman"/>
          <w:b/>
          <w:lang w:val="en-GB"/>
        </w:rPr>
      </w:pPr>
      <w:r w:rsidRPr="007E3A2E">
        <w:rPr>
          <w:rFonts w:ascii="Times New Roman" w:eastAsia="Times New Roman" w:hAnsi="Times New Roman" w:cs="Times New Roman"/>
          <w:b/>
          <w:lang w:val="en-GB"/>
        </w:rPr>
        <w:t>Attitude:</w:t>
      </w:r>
    </w:p>
    <w:p w:rsidR="007E3A2E" w:rsidRPr="007E3A2E" w:rsidRDefault="007E3A2E"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7E3A2E">
        <w:rPr>
          <w:rFonts w:ascii="Times New Roman" w:eastAsia="Calibri" w:hAnsi="Times New Roman" w:cs="Times New Roman"/>
        </w:rPr>
        <w:t>He/She is ready to become familiar with and adopt the professional and technological development and innovation in the field, and also to pass it on and integrate it into his daily work.</w:t>
      </w:r>
    </w:p>
    <w:p w:rsidR="007E3A2E" w:rsidRPr="007E3A2E" w:rsidRDefault="007E3A2E"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7E3A2E">
        <w:rPr>
          <w:rFonts w:ascii="Times New Roman" w:eastAsia="Calibri" w:hAnsi="Times New Roman" w:cs="Times New Roman"/>
        </w:rPr>
        <w:t>He/She strives for continuous self-education in the field of military transportation which is consistent with his/her professional goals.</w:t>
      </w:r>
    </w:p>
    <w:p w:rsidR="007E3A2E" w:rsidRPr="007E3A2E" w:rsidRDefault="007E3A2E"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7E3A2E">
        <w:rPr>
          <w:rFonts w:ascii="Times New Roman" w:eastAsia="Calibri" w:hAnsi="Times New Roman" w:cs="Times New Roman"/>
        </w:rPr>
        <w:t>He/She is committed to high quali</w:t>
      </w:r>
      <w:r w:rsidR="0091083A">
        <w:rPr>
          <w:rFonts w:ascii="Times New Roman" w:eastAsia="Calibri" w:hAnsi="Times New Roman" w:cs="Times New Roman"/>
        </w:rPr>
        <w:t>ty in his/her professional work</w:t>
      </w:r>
      <w:r w:rsidRPr="007E3A2E">
        <w:rPr>
          <w:rFonts w:ascii="Times New Roman" w:eastAsia="Calibri" w:hAnsi="Times New Roman" w:cs="Times New Roman"/>
        </w:rPr>
        <w:t>.</w:t>
      </w:r>
    </w:p>
    <w:p w:rsidR="007E3A2E" w:rsidRPr="007E3A2E" w:rsidRDefault="007E3A2E"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7E3A2E">
        <w:rPr>
          <w:rFonts w:ascii="Times New Roman" w:eastAsia="Calibri" w:hAnsi="Times New Roman" w:cs="Times New Roman"/>
        </w:rPr>
        <w:t>He/She is interested in promoting the professional development of his/her subordinates, and provides assistance in their efforts.</w:t>
      </w:r>
    </w:p>
    <w:p w:rsidR="007E3A2E" w:rsidRPr="007E3A2E" w:rsidRDefault="007E3A2E"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7E3A2E">
        <w:rPr>
          <w:rFonts w:ascii="Times New Roman" w:eastAsia="Calibri" w:hAnsi="Times New Roman" w:cs="Times New Roman"/>
        </w:rPr>
        <w:t>He/she is willing to share his/her experience with his/her colleagues to further their professional development.</w:t>
      </w:r>
    </w:p>
    <w:p w:rsidR="007E3A2E" w:rsidRPr="007E3A2E" w:rsidRDefault="007E3A2E" w:rsidP="007E3A2E">
      <w:pPr>
        <w:widowControl w:val="0"/>
        <w:spacing w:before="120" w:after="120" w:line="240" w:lineRule="auto"/>
        <w:ind w:left="426"/>
        <w:jc w:val="both"/>
        <w:rPr>
          <w:rFonts w:ascii="Times New Roman" w:eastAsia="Times New Roman" w:hAnsi="Times New Roman" w:cs="Times New Roman"/>
          <w:b/>
          <w:lang w:val="en-GB"/>
        </w:rPr>
      </w:pPr>
      <w:r w:rsidRPr="007E3A2E">
        <w:rPr>
          <w:rFonts w:ascii="Times New Roman" w:eastAsia="Times New Roman" w:hAnsi="Times New Roman" w:cs="Times New Roman"/>
          <w:b/>
          <w:lang w:val="en-GB"/>
        </w:rPr>
        <w:t xml:space="preserve">Autonomy and responsibility: </w:t>
      </w:r>
    </w:p>
    <w:p w:rsidR="007E3A2E" w:rsidRPr="007E3A2E" w:rsidRDefault="007E3A2E"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7E3A2E">
        <w:rPr>
          <w:rFonts w:ascii="Times New Roman" w:eastAsia="Calibri" w:hAnsi="Times New Roman" w:cs="Times New Roman"/>
        </w:rPr>
        <w:t>He/She is able to make decisions independently in the processes arising in the field, and to implement them with responsibility and within the legal framework.</w:t>
      </w:r>
    </w:p>
    <w:p w:rsidR="007E3A2E" w:rsidRPr="007E3A2E" w:rsidRDefault="007E3A2E"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7E3A2E">
        <w:rPr>
          <w:rFonts w:ascii="Times New Roman" w:eastAsia="Calibri" w:hAnsi="Times New Roman" w:cs="Times New Roman"/>
        </w:rPr>
        <w:t>He/She is aware of the effects and consequences of his decisions and activities on the military logistic processes as a whole.</w:t>
      </w:r>
    </w:p>
    <w:p w:rsidR="007E3A2E" w:rsidRPr="007E3A2E" w:rsidRDefault="007E3A2E"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7E3A2E">
        <w:rPr>
          <w:rFonts w:ascii="Times New Roman" w:eastAsia="Calibri" w:hAnsi="Times New Roman" w:cs="Times New Roman"/>
        </w:rPr>
        <w:t xml:space="preserve">During his/her professional duties, he/she is willing to responsibly cooperate with specialists of other areas. </w:t>
      </w:r>
    </w:p>
    <w:p w:rsidR="007E3A2E" w:rsidRPr="007E3A2E" w:rsidRDefault="007E3A2E"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7E3A2E">
        <w:rPr>
          <w:rFonts w:ascii="Times New Roman" w:eastAsia="Calibri" w:hAnsi="Times New Roman" w:cs="Times New Roman"/>
        </w:rPr>
        <w:t>He/She can identify the deficiencies and risks in the applied technologies and initiates taking measures to reduce their impact.</w:t>
      </w:r>
    </w:p>
    <w:p w:rsidR="007E3A2E" w:rsidRPr="007E3A2E" w:rsidRDefault="007E3A2E"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7E3A2E">
        <w:rPr>
          <w:rFonts w:ascii="Times New Roman" w:eastAsia="Calibri" w:hAnsi="Times New Roman" w:cs="Times New Roman"/>
        </w:rPr>
        <w:t>He/She continuously evaluates the efficiency and effectiveness of his/her subordinates' work.</w:t>
      </w:r>
    </w:p>
    <w:p w:rsidR="007E3A2E" w:rsidRPr="007E3A2E" w:rsidRDefault="007E3A2E" w:rsidP="00980876">
      <w:pPr>
        <w:widowControl w:val="0"/>
        <w:numPr>
          <w:ilvl w:val="0"/>
          <w:numId w:val="761"/>
        </w:numPr>
        <w:tabs>
          <w:tab w:val="num" w:pos="567"/>
        </w:tabs>
        <w:spacing w:before="120" w:after="120" w:line="240" w:lineRule="auto"/>
        <w:ind w:left="426" w:hanging="142"/>
        <w:jc w:val="both"/>
        <w:rPr>
          <w:rFonts w:ascii="Times New Roman" w:eastAsia="Times New Roman" w:hAnsi="Times New Roman" w:cs="Times New Roman"/>
          <w:bCs/>
        </w:rPr>
      </w:pPr>
      <w:r w:rsidRPr="007E3A2E">
        <w:rPr>
          <w:rFonts w:ascii="Times New Roman" w:eastAsia="Times New Roman" w:hAnsi="Times New Roman" w:cs="Times New Roman"/>
          <w:b/>
          <w:bCs/>
        </w:rPr>
        <w:t xml:space="preserve">Előtanulmányi követelmények: </w:t>
      </w:r>
      <w:r w:rsidRPr="007E3A2E">
        <w:rPr>
          <w:rFonts w:ascii="Times New Roman" w:eastAsia="Calibri" w:hAnsi="Times New Roman" w:cs="Calibri"/>
        </w:rPr>
        <w:t>Nincs</w:t>
      </w:r>
    </w:p>
    <w:p w:rsidR="007E3A2E" w:rsidRPr="007E3A2E" w:rsidRDefault="007E3A2E" w:rsidP="00980876">
      <w:pPr>
        <w:widowControl w:val="0"/>
        <w:numPr>
          <w:ilvl w:val="0"/>
          <w:numId w:val="761"/>
        </w:numPr>
        <w:spacing w:before="120" w:after="120" w:line="240" w:lineRule="auto"/>
        <w:ind w:left="426" w:hanging="142"/>
        <w:jc w:val="both"/>
        <w:rPr>
          <w:rFonts w:ascii="Times New Roman" w:eastAsia="Times New Roman" w:hAnsi="Times New Roman" w:cs="Times New Roman"/>
          <w:b/>
          <w:bCs/>
        </w:rPr>
      </w:pPr>
      <w:r w:rsidRPr="007E3A2E">
        <w:rPr>
          <w:rFonts w:ascii="Times New Roman" w:eastAsia="Times New Roman" w:hAnsi="Times New Roman" w:cs="Times New Roman"/>
          <w:b/>
          <w:bCs/>
        </w:rPr>
        <w:t>A tantárgy tananyagának leírása, tematika. Description of the subject, curriculum (magyarul, angolul - English):</w:t>
      </w:r>
    </w:p>
    <w:p w:rsidR="007E3A2E" w:rsidRPr="007E3A2E" w:rsidRDefault="007E3A2E" w:rsidP="00980876">
      <w:pPr>
        <w:numPr>
          <w:ilvl w:val="1"/>
          <w:numId w:val="761"/>
        </w:numPr>
        <w:spacing w:before="60" w:after="0" w:line="240" w:lineRule="auto"/>
        <w:ind w:left="993" w:hanging="567"/>
        <w:jc w:val="both"/>
        <w:rPr>
          <w:rFonts w:ascii="Times New Roman" w:eastAsia="Calibri" w:hAnsi="Times New Roman" w:cs="Calibri"/>
        </w:rPr>
      </w:pPr>
      <w:r w:rsidRPr="007E3A2E">
        <w:rPr>
          <w:rFonts w:ascii="Times New Roman" w:eastAsia="Calibri" w:hAnsi="Times New Roman" w:cs="Calibri"/>
          <w:b/>
        </w:rPr>
        <w:t>A logisztika értelmezése, szemléletmódja, felértékelődése</w:t>
      </w:r>
      <w:r w:rsidRPr="007E3A2E">
        <w:rPr>
          <w:rFonts w:ascii="Times New Roman" w:eastAsia="Calibri" w:hAnsi="Times New Roman" w:cs="Calibri"/>
        </w:rPr>
        <w:t>. A logisztika eredete. A logisztika a gazdasági és társadalmi működés rendszerében. Az integrált logisztikai szemlélet- és költségkoncepció. (</w:t>
      </w:r>
      <w:r w:rsidRPr="007E3A2E">
        <w:rPr>
          <w:rFonts w:ascii="Times New Roman" w:eastAsia="Calibri" w:hAnsi="Times New Roman" w:cs="Calibri"/>
          <w:b/>
          <w:i/>
        </w:rPr>
        <w:t>Interpretation, Approach and Evaluation of Logistics</w:t>
      </w:r>
      <w:r w:rsidRPr="007E3A2E">
        <w:rPr>
          <w:rFonts w:ascii="Times New Roman" w:eastAsia="Calibri" w:hAnsi="Times New Roman" w:cs="Calibri"/>
          <w:i/>
        </w:rPr>
        <w:t>. The origin of logistics. Logistics in the system of economic and social functioning. Integrated approach of logistics and its cost concept.</w:t>
      </w:r>
      <w:r w:rsidRPr="007E3A2E">
        <w:rPr>
          <w:rFonts w:ascii="Times New Roman" w:eastAsia="Calibri" w:hAnsi="Times New Roman" w:cs="Calibri"/>
        </w:rPr>
        <w:t>)</w:t>
      </w:r>
    </w:p>
    <w:p w:rsidR="007E3A2E" w:rsidRPr="007E3A2E" w:rsidRDefault="007E3A2E" w:rsidP="00980876">
      <w:pPr>
        <w:numPr>
          <w:ilvl w:val="1"/>
          <w:numId w:val="761"/>
        </w:numPr>
        <w:tabs>
          <w:tab w:val="center" w:pos="4536"/>
          <w:tab w:val="right" w:pos="9072"/>
        </w:tabs>
        <w:spacing w:before="60" w:after="0" w:line="240" w:lineRule="auto"/>
        <w:ind w:left="993" w:hanging="567"/>
        <w:jc w:val="both"/>
        <w:rPr>
          <w:rFonts w:ascii="Times New Roman" w:eastAsia="Calibri" w:hAnsi="Times New Roman" w:cs="Calibri"/>
        </w:rPr>
      </w:pPr>
      <w:r w:rsidRPr="007E3A2E">
        <w:rPr>
          <w:rFonts w:ascii="Times New Roman" w:eastAsia="Calibri" w:hAnsi="Times New Roman" w:cs="Calibri"/>
          <w:b/>
        </w:rPr>
        <w:t>Logisztikai alrendszerek és folyamatok</w:t>
      </w:r>
      <w:r w:rsidRPr="007E3A2E">
        <w:rPr>
          <w:rFonts w:ascii="Times New Roman" w:eastAsia="Calibri" w:hAnsi="Times New Roman" w:cs="Calibri"/>
        </w:rPr>
        <w:t>. Az áruszállítási rendszerek. A beszerzés, mint logisztikai funkció. A készletek értelmezése, készletgazdálkodás. A raktározás szerepe, a raktári folyamatok irányítása. (</w:t>
      </w:r>
      <w:r w:rsidRPr="007E3A2E">
        <w:rPr>
          <w:rFonts w:ascii="Times New Roman" w:eastAsia="Calibri" w:hAnsi="Times New Roman" w:cs="Calibri"/>
          <w:b/>
          <w:i/>
        </w:rPr>
        <w:t>Logistics Subsystems and Processes.</w:t>
      </w:r>
      <w:r w:rsidRPr="007E3A2E">
        <w:rPr>
          <w:rFonts w:ascii="Times New Roman" w:eastAsia="Calibri" w:hAnsi="Times New Roman" w:cs="Calibri"/>
        </w:rPr>
        <w:t xml:space="preserve"> </w:t>
      </w:r>
      <w:r w:rsidRPr="007E3A2E">
        <w:rPr>
          <w:rFonts w:ascii="Times New Roman" w:eastAsia="Calibri" w:hAnsi="Times New Roman" w:cs="Calibri"/>
          <w:i/>
        </w:rPr>
        <w:t>Freight transport systems. Procurement as a logistics function. Interpretation of inventories, inventory management. Role of warehousing, management, warehouse processes.)</w:t>
      </w:r>
    </w:p>
    <w:p w:rsidR="007E3A2E" w:rsidRPr="007E3A2E" w:rsidRDefault="007E3A2E" w:rsidP="00980876">
      <w:pPr>
        <w:numPr>
          <w:ilvl w:val="1"/>
          <w:numId w:val="761"/>
        </w:numPr>
        <w:spacing w:before="60" w:after="0" w:line="240" w:lineRule="auto"/>
        <w:ind w:left="993" w:hanging="567"/>
        <w:jc w:val="both"/>
        <w:rPr>
          <w:rFonts w:ascii="Times New Roman" w:eastAsia="Calibri" w:hAnsi="Times New Roman" w:cs="Calibri"/>
          <w:b/>
          <w:i/>
        </w:rPr>
      </w:pPr>
      <w:r w:rsidRPr="007E3A2E">
        <w:rPr>
          <w:rFonts w:ascii="Times New Roman" w:eastAsia="Calibri" w:hAnsi="Times New Roman" w:cs="Calibri"/>
          <w:b/>
        </w:rPr>
        <w:t>A logisztika jövőbeni fejlesztési lehetőségei.</w:t>
      </w:r>
      <w:r w:rsidRPr="007E3A2E">
        <w:rPr>
          <w:rFonts w:ascii="Times New Roman" w:eastAsia="Calibri" w:hAnsi="Times New Roman" w:cs="Calibri"/>
        </w:rPr>
        <w:t xml:space="preserve"> Logisztikai szervezet és kiszervezés. Ellátási lánc menedzsment és partnerkapcsolatok. A logisztikai informatika és e-logisztika. Modern logisztika-szervezési módszerek. Logisztikai Szolgáltató Központok. </w:t>
      </w:r>
      <w:r w:rsidRPr="007E3A2E">
        <w:rPr>
          <w:rFonts w:ascii="Times New Roman" w:eastAsia="Calibri" w:hAnsi="Times New Roman" w:cs="Calibri"/>
          <w:i/>
        </w:rPr>
        <w:t>(</w:t>
      </w:r>
      <w:r w:rsidRPr="007E3A2E">
        <w:rPr>
          <w:rFonts w:ascii="Times New Roman" w:eastAsia="Calibri" w:hAnsi="Times New Roman" w:cs="Calibri"/>
          <w:b/>
          <w:i/>
        </w:rPr>
        <w:t xml:space="preserve">Future Opportunities for the Development of Logistics. </w:t>
      </w:r>
      <w:r w:rsidRPr="007E3A2E">
        <w:rPr>
          <w:rFonts w:ascii="Times New Roman" w:eastAsia="Calibri" w:hAnsi="Times New Roman" w:cs="Calibri"/>
          <w:i/>
        </w:rPr>
        <w:t>Logistics organization and outsourcing.</w:t>
      </w:r>
      <w:r w:rsidRPr="007E3A2E">
        <w:rPr>
          <w:rFonts w:ascii="Times New Roman" w:eastAsia="Calibri" w:hAnsi="Times New Roman" w:cs="Calibri"/>
          <w:b/>
          <w:i/>
        </w:rPr>
        <w:t xml:space="preserve"> </w:t>
      </w:r>
      <w:r w:rsidRPr="007E3A2E">
        <w:rPr>
          <w:rFonts w:ascii="Times New Roman" w:eastAsia="Calibri" w:hAnsi="Times New Roman" w:cs="Calibri"/>
          <w:i/>
        </w:rPr>
        <w:lastRenderedPageBreak/>
        <w:t>Supply chain management and partnerships. Logistics informatics and e-logistics. Modern methods of logistics organization. Logistics Service Centers.)</w:t>
      </w:r>
    </w:p>
    <w:p w:rsidR="007E3A2E" w:rsidRPr="007E3A2E" w:rsidRDefault="007E3A2E" w:rsidP="00980876">
      <w:pPr>
        <w:numPr>
          <w:ilvl w:val="1"/>
          <w:numId w:val="761"/>
        </w:numPr>
        <w:spacing w:before="60" w:after="0" w:line="240" w:lineRule="auto"/>
        <w:ind w:left="993" w:hanging="567"/>
        <w:jc w:val="both"/>
        <w:rPr>
          <w:rFonts w:ascii="Times New Roman" w:eastAsia="Calibri" w:hAnsi="Times New Roman" w:cs="Calibri"/>
          <w:i/>
        </w:rPr>
      </w:pPr>
      <w:r w:rsidRPr="007E3A2E">
        <w:rPr>
          <w:rFonts w:ascii="Times New Roman" w:eastAsia="Calibri" w:hAnsi="Times New Roman" w:cs="Calibri"/>
          <w:b/>
        </w:rPr>
        <w:t>Közigazgatási logisztika.</w:t>
      </w:r>
      <w:r w:rsidRPr="007E3A2E">
        <w:rPr>
          <w:rFonts w:ascii="Times New Roman" w:eastAsia="Calibri" w:hAnsi="Times New Roman" w:cs="Calibri"/>
        </w:rPr>
        <w:t xml:space="preserve"> A közigazgatási logisztikáról általában. A közigazgatás felépítése és annak logisztikai szervezetei. A közigazgatási logisztika lehetséges feladatai, működési elve, folyamatai. Lehetséges fejlesztési területek. A közigazgatási logisztika minősített időszakban (</w:t>
      </w:r>
      <w:r w:rsidRPr="007E3A2E">
        <w:rPr>
          <w:rFonts w:ascii="Times New Roman" w:eastAsia="Calibri" w:hAnsi="Times New Roman" w:cs="Calibri"/>
          <w:b/>
          <w:i/>
          <w:lang w:val="en"/>
        </w:rPr>
        <w:t>Logistics of Public Administration</w:t>
      </w:r>
      <w:r w:rsidRPr="007E3A2E">
        <w:rPr>
          <w:rFonts w:ascii="Times New Roman" w:eastAsia="Calibri" w:hAnsi="Times New Roman" w:cs="Calibri"/>
          <w:i/>
          <w:lang w:val="en"/>
        </w:rPr>
        <w:t>.</w:t>
      </w:r>
      <w:r w:rsidRPr="007E3A2E">
        <w:rPr>
          <w:rFonts w:ascii="Times New Roman" w:eastAsia="Calibri" w:hAnsi="Times New Roman" w:cs="Calibri"/>
          <w:i/>
        </w:rPr>
        <w:t xml:space="preserve"> </w:t>
      </w:r>
      <w:r w:rsidRPr="007E3A2E">
        <w:rPr>
          <w:rFonts w:ascii="Times New Roman" w:eastAsia="Calibri" w:hAnsi="Times New Roman" w:cs="Calibri"/>
          <w:i/>
          <w:lang w:val="en"/>
        </w:rPr>
        <w:t>Administrative logistics in general. The structure of public administration and its logistics organizations.</w:t>
      </w:r>
      <w:r w:rsidRPr="007E3A2E">
        <w:rPr>
          <w:rFonts w:ascii="Times New Roman" w:eastAsia="Calibri" w:hAnsi="Times New Roman" w:cs="Calibri"/>
          <w:i/>
        </w:rPr>
        <w:t xml:space="preserve"> </w:t>
      </w:r>
      <w:r w:rsidRPr="007E3A2E">
        <w:rPr>
          <w:rFonts w:ascii="Times New Roman" w:eastAsia="Calibri" w:hAnsi="Times New Roman" w:cs="Calibri"/>
          <w:i/>
          <w:lang w:val="en"/>
        </w:rPr>
        <w:t>Possible tasks, principles and processes of the logistics in public administration. Possible areas for improvement. Administrative logistics in a classified period.</w:t>
      </w:r>
      <w:r w:rsidRPr="007E3A2E">
        <w:rPr>
          <w:rFonts w:ascii="Times New Roman" w:eastAsia="Calibri" w:hAnsi="Times New Roman" w:cs="Calibri"/>
        </w:rPr>
        <w:t>)</w:t>
      </w:r>
    </w:p>
    <w:p w:rsidR="007E3A2E" w:rsidRPr="007E3A2E" w:rsidRDefault="007E3A2E" w:rsidP="00980876">
      <w:pPr>
        <w:numPr>
          <w:ilvl w:val="1"/>
          <w:numId w:val="761"/>
        </w:numPr>
        <w:spacing w:before="60" w:after="0" w:line="240" w:lineRule="auto"/>
        <w:ind w:left="993" w:hanging="567"/>
        <w:jc w:val="both"/>
        <w:rPr>
          <w:rFonts w:ascii="Times New Roman" w:eastAsia="Calibri" w:hAnsi="Times New Roman" w:cs="Calibri"/>
          <w:i/>
          <w:lang w:val="en"/>
        </w:rPr>
      </w:pPr>
      <w:r w:rsidRPr="007E3A2E">
        <w:rPr>
          <w:rFonts w:ascii="Times New Roman" w:eastAsia="Calibri" w:hAnsi="Times New Roman" w:cs="Calibri"/>
          <w:b/>
        </w:rPr>
        <w:t>Katonai logisztika.</w:t>
      </w:r>
      <w:r w:rsidRPr="007E3A2E">
        <w:rPr>
          <w:rFonts w:ascii="Times New Roman" w:eastAsia="Calibri" w:hAnsi="Times New Roman" w:cs="Calibri"/>
        </w:rPr>
        <w:t xml:space="preserve"> A katonai logisztika fogalma, tartalma, helye a hadsereg támogatási rendszerében. A logisztikai támogatás alrendszerei. A logisztikai támogatás helye a Magyar Honvédség támogatási rendszerében. A logisztikai támogatás alapelvei. A logisztikai támogatás erőforrásai, tagozati rendszere. A katonai logisztikai rendszer működése. A katonai logisztika vezetése és együttműködése. (</w:t>
      </w:r>
      <w:r w:rsidRPr="007E3A2E">
        <w:rPr>
          <w:rFonts w:ascii="Times New Roman" w:eastAsia="Calibri" w:hAnsi="Times New Roman" w:cs="Calibri"/>
          <w:b/>
          <w:i/>
          <w:lang w:val="en"/>
        </w:rPr>
        <w:t>Military Logistics</w:t>
      </w:r>
      <w:r w:rsidRPr="007E3A2E">
        <w:rPr>
          <w:rFonts w:ascii="Times New Roman" w:eastAsia="Calibri" w:hAnsi="Times New Roman" w:cs="Calibri"/>
          <w:i/>
          <w:lang w:val="en"/>
        </w:rPr>
        <w:t>. The concept, content and place of military logistics in the support system of the army.</w:t>
      </w:r>
      <w:r w:rsidRPr="007E3A2E">
        <w:rPr>
          <w:rFonts w:ascii="Times New Roman" w:eastAsia="Calibri" w:hAnsi="Times New Roman" w:cs="Calibri"/>
        </w:rPr>
        <w:t xml:space="preserve"> </w:t>
      </w:r>
      <w:r w:rsidRPr="007E3A2E">
        <w:rPr>
          <w:rFonts w:ascii="Times New Roman" w:eastAsia="Calibri" w:hAnsi="Times New Roman" w:cs="Calibri"/>
          <w:i/>
          <w:lang w:val="en"/>
        </w:rPr>
        <w:t>Subsystems of logistics support. The place of logistics support in the support system of the Hungarian Defense Forces. Principles of logistics support.</w:t>
      </w:r>
      <w:r w:rsidRPr="007E3A2E">
        <w:rPr>
          <w:rFonts w:ascii="Times New Roman" w:eastAsia="Calibri" w:hAnsi="Times New Roman" w:cs="Calibri"/>
        </w:rPr>
        <w:t xml:space="preserve"> </w:t>
      </w:r>
      <w:r w:rsidRPr="007E3A2E">
        <w:rPr>
          <w:rFonts w:ascii="Times New Roman" w:eastAsia="Calibri" w:hAnsi="Times New Roman" w:cs="Calibri"/>
          <w:i/>
          <w:lang w:val="en"/>
        </w:rPr>
        <w:t>Resources and system of classes of logistics support.</w:t>
      </w:r>
      <w:r w:rsidRPr="007E3A2E">
        <w:rPr>
          <w:rFonts w:ascii="Times New Roman" w:eastAsia="Calibri" w:hAnsi="Times New Roman" w:cs="Calibri"/>
        </w:rPr>
        <w:t xml:space="preserve"> </w:t>
      </w:r>
      <w:r w:rsidRPr="007E3A2E">
        <w:rPr>
          <w:rFonts w:ascii="Times New Roman" w:eastAsia="Calibri" w:hAnsi="Times New Roman" w:cs="Calibri"/>
          <w:i/>
          <w:lang w:val="en"/>
        </w:rPr>
        <w:t>Operation of the military logistics system. Management of the military logistics.</w:t>
      </w:r>
      <w:r w:rsidRPr="007E3A2E">
        <w:rPr>
          <w:rFonts w:ascii="Times New Roman" w:eastAsia="Calibri" w:hAnsi="Times New Roman" w:cs="Calibri"/>
        </w:rPr>
        <w:t>)</w:t>
      </w:r>
    </w:p>
    <w:p w:rsidR="007E3A2E" w:rsidRPr="007E3A2E" w:rsidRDefault="007E3A2E" w:rsidP="00980876">
      <w:pPr>
        <w:numPr>
          <w:ilvl w:val="1"/>
          <w:numId w:val="761"/>
        </w:numPr>
        <w:spacing w:before="60" w:after="0" w:line="240" w:lineRule="auto"/>
        <w:ind w:left="993" w:hanging="567"/>
        <w:jc w:val="both"/>
        <w:rPr>
          <w:rFonts w:ascii="Times New Roman" w:eastAsia="Calibri" w:hAnsi="Times New Roman" w:cs="Calibri"/>
          <w:i/>
        </w:rPr>
      </w:pPr>
      <w:r w:rsidRPr="007E3A2E">
        <w:rPr>
          <w:rFonts w:ascii="Times New Roman" w:eastAsia="Calibri" w:hAnsi="Times New Roman" w:cs="Calibri"/>
          <w:b/>
        </w:rPr>
        <w:t>A rendőrségi logisztika.</w:t>
      </w:r>
      <w:r w:rsidRPr="007E3A2E">
        <w:rPr>
          <w:rFonts w:ascii="Times New Roman" w:eastAsia="Calibri" w:hAnsi="Times New Roman" w:cs="Calibri"/>
        </w:rPr>
        <w:t xml:space="preserve"> A rendőrség felépítése és annak logisztikai szervezetei. A rendőrségi logisztika célja, lehetséges feladatai, működési elvei, folyamatai. A rendőrség logisztikai támogatási igényei rendkívüli időszakban. A rendőrség logisztikai képességei. A rendőrségi logisztika vezetése. (</w:t>
      </w:r>
      <w:r w:rsidRPr="007E3A2E">
        <w:rPr>
          <w:rFonts w:ascii="Times New Roman" w:eastAsia="Calibri" w:hAnsi="Times New Roman" w:cs="Calibri"/>
          <w:b/>
          <w:i/>
        </w:rPr>
        <w:t xml:space="preserve">Police Logistics. </w:t>
      </w:r>
      <w:r w:rsidRPr="007E3A2E">
        <w:rPr>
          <w:rFonts w:ascii="Times New Roman" w:eastAsia="Calibri" w:hAnsi="Times New Roman" w:cs="Calibri"/>
          <w:i/>
        </w:rPr>
        <w:t>Structure of the police and its logistics organizations.</w:t>
      </w:r>
      <w:r w:rsidRPr="007E3A2E">
        <w:rPr>
          <w:rFonts w:ascii="Times New Roman" w:eastAsia="Calibri" w:hAnsi="Times New Roman" w:cs="Calibri"/>
          <w:b/>
          <w:i/>
        </w:rPr>
        <w:t xml:space="preserve"> </w:t>
      </w:r>
      <w:r w:rsidRPr="007E3A2E">
        <w:rPr>
          <w:rFonts w:ascii="Times New Roman" w:eastAsia="Calibri" w:hAnsi="Times New Roman" w:cs="Calibri"/>
          <w:i/>
        </w:rPr>
        <w:t>The purpose, possible tasks, principles and processes of police logistics. The demands of the police for logistical support during extraordinary periods. The logistics capabilities of the police. Management of the police logistics.</w:t>
      </w:r>
      <w:r w:rsidRPr="007E3A2E">
        <w:rPr>
          <w:rFonts w:ascii="Times New Roman" w:eastAsia="Calibri" w:hAnsi="Times New Roman" w:cs="Calibri"/>
        </w:rPr>
        <w:t>)</w:t>
      </w:r>
    </w:p>
    <w:p w:rsidR="007E3A2E" w:rsidRPr="007E3A2E" w:rsidRDefault="007E3A2E" w:rsidP="00980876">
      <w:pPr>
        <w:numPr>
          <w:ilvl w:val="1"/>
          <w:numId w:val="761"/>
        </w:numPr>
        <w:spacing w:before="60" w:after="0" w:line="240" w:lineRule="auto"/>
        <w:ind w:left="993" w:hanging="567"/>
        <w:jc w:val="both"/>
        <w:rPr>
          <w:rFonts w:ascii="Times New Roman" w:eastAsia="Calibri" w:hAnsi="Times New Roman" w:cs="Calibri"/>
          <w:i/>
        </w:rPr>
      </w:pPr>
      <w:r w:rsidRPr="007E3A2E">
        <w:rPr>
          <w:rFonts w:ascii="Times New Roman" w:eastAsia="Calibri" w:hAnsi="Times New Roman" w:cs="Calibri"/>
          <w:b/>
        </w:rPr>
        <w:t>Katasztrófavédelmi logisztika</w:t>
      </w:r>
      <w:r w:rsidRPr="007E3A2E">
        <w:rPr>
          <w:rFonts w:ascii="Times New Roman" w:eastAsia="Calibri" w:hAnsi="Times New Roman" w:cs="Calibri"/>
        </w:rPr>
        <w:t>. Az egységes katasztrófavédelem rendszere. Katasztrófavédelmi logisztika értelmezése. A katasztrófavédelem logisztikai képességei. (</w:t>
      </w:r>
      <w:r w:rsidRPr="007E3A2E">
        <w:rPr>
          <w:rFonts w:ascii="Times New Roman" w:eastAsia="Calibri" w:hAnsi="Times New Roman" w:cs="Calibri"/>
          <w:b/>
          <w:i/>
        </w:rPr>
        <w:t xml:space="preserve">Logistics of Disaster Management. </w:t>
      </w:r>
      <w:r w:rsidRPr="007E3A2E">
        <w:rPr>
          <w:rFonts w:ascii="Times New Roman" w:eastAsia="Calibri" w:hAnsi="Times New Roman" w:cs="Calibri"/>
          <w:i/>
        </w:rPr>
        <w:t>The system of unified disaster management. Interpretation of logistics in disaster management. The logistic capabilities of disaster management.)</w:t>
      </w:r>
    </w:p>
    <w:p w:rsidR="007E3A2E" w:rsidRPr="007E3A2E" w:rsidRDefault="007E3A2E" w:rsidP="00980876">
      <w:pPr>
        <w:numPr>
          <w:ilvl w:val="1"/>
          <w:numId w:val="761"/>
        </w:numPr>
        <w:spacing w:before="60" w:after="0" w:line="240" w:lineRule="auto"/>
        <w:ind w:left="993" w:hanging="567"/>
        <w:jc w:val="both"/>
        <w:rPr>
          <w:rFonts w:ascii="Times New Roman" w:eastAsia="Calibri" w:hAnsi="Times New Roman" w:cs="Calibri"/>
          <w:b/>
        </w:rPr>
      </w:pPr>
      <w:r w:rsidRPr="007E3A2E">
        <w:rPr>
          <w:rFonts w:ascii="Times New Roman" w:eastAsia="Calibri" w:hAnsi="Times New Roman" w:cs="Calibri"/>
        </w:rPr>
        <w:t>Zárthelyi dolgozat.</w:t>
      </w:r>
      <w:r w:rsidRPr="007E3A2E">
        <w:rPr>
          <w:rFonts w:ascii="Times New Roman" w:eastAsia="Calibri" w:hAnsi="Times New Roman" w:cs="Calibri"/>
          <w:lang w:val="en"/>
        </w:rPr>
        <w:t xml:space="preserve"> </w:t>
      </w:r>
      <w:r w:rsidRPr="007E3A2E">
        <w:rPr>
          <w:rFonts w:ascii="Times New Roman" w:eastAsia="Calibri" w:hAnsi="Times New Roman" w:cs="Calibri"/>
          <w:i/>
        </w:rPr>
        <w:t>(Closed thesis.)</w:t>
      </w:r>
    </w:p>
    <w:p w:rsidR="007E3A2E" w:rsidRPr="007E3A2E" w:rsidRDefault="007E3A2E" w:rsidP="00980876">
      <w:pPr>
        <w:widowControl w:val="0"/>
        <w:numPr>
          <w:ilvl w:val="0"/>
          <w:numId w:val="761"/>
        </w:numPr>
        <w:tabs>
          <w:tab w:val="num" w:pos="360"/>
        </w:tabs>
        <w:spacing w:before="120" w:after="120" w:line="240" w:lineRule="auto"/>
        <w:ind w:left="426" w:hanging="142"/>
        <w:jc w:val="both"/>
        <w:rPr>
          <w:rFonts w:ascii="Times New Roman" w:eastAsia="Times New Roman" w:hAnsi="Times New Roman" w:cs="Times New Roman"/>
          <w:bCs/>
        </w:rPr>
      </w:pPr>
      <w:r w:rsidRPr="007E3A2E">
        <w:rPr>
          <w:rFonts w:ascii="Times New Roman" w:eastAsia="Times New Roman" w:hAnsi="Times New Roman" w:cs="Times New Roman"/>
          <w:b/>
          <w:bCs/>
        </w:rPr>
        <w:t xml:space="preserve">A tantárgy meghirdetésének gyakorisága/a tantervben történő félévi elhelyezkedése: </w:t>
      </w:r>
      <w:r w:rsidRPr="007E3A2E">
        <w:rPr>
          <w:rFonts w:ascii="Times New Roman" w:eastAsia="Times New Roman" w:hAnsi="Times New Roman" w:cs="Times New Roman"/>
          <w:bCs/>
        </w:rPr>
        <w:t>1. félév</w:t>
      </w:r>
    </w:p>
    <w:p w:rsidR="007E3A2E" w:rsidRPr="007E3A2E" w:rsidRDefault="007E3A2E" w:rsidP="00980876">
      <w:pPr>
        <w:widowControl w:val="0"/>
        <w:numPr>
          <w:ilvl w:val="0"/>
          <w:numId w:val="761"/>
        </w:numPr>
        <w:tabs>
          <w:tab w:val="num" w:pos="360"/>
        </w:tabs>
        <w:spacing w:before="120" w:after="120" w:line="240" w:lineRule="auto"/>
        <w:ind w:left="426" w:hanging="142"/>
        <w:jc w:val="both"/>
        <w:rPr>
          <w:rFonts w:ascii="Times New Roman" w:eastAsia="Times New Roman" w:hAnsi="Times New Roman" w:cs="Times New Roman"/>
          <w:bCs/>
          <w:highlight w:val="lightGray"/>
        </w:rPr>
      </w:pPr>
      <w:r w:rsidRPr="007E3A2E">
        <w:rPr>
          <w:rFonts w:ascii="Times New Roman" w:eastAsia="Times New Roman" w:hAnsi="Times New Roman" w:cs="Times New Roman"/>
          <w:b/>
          <w:bCs/>
        </w:rPr>
        <w:t>A tanórákon való részvétel követelményei, az elfogadható hiányzások mértéke, a távolmaradás pótlásának lehetősége:</w:t>
      </w:r>
      <w:r w:rsidRPr="007E3A2E">
        <w:rPr>
          <w:rFonts w:ascii="Times New Roman" w:eastAsia="Times New Roman" w:hAnsi="Times New Roman" w:cs="Times New Roman"/>
          <w:bCs/>
        </w:rPr>
        <w:t xml:space="preserve"> </w:t>
      </w:r>
      <w:r w:rsidRPr="007E3A2E">
        <w:rPr>
          <w:rFonts w:ascii="Times New Roman" w:eastAsia="Times New Roman" w:hAnsi="Times New Roman" w:cs="Times New Roman"/>
          <w:bCs/>
          <w:lang w:eastAsia="hu-HU"/>
        </w:rPr>
        <w:t>A tanórákon való részvétel kötelező, megengedett hiányzás mértéke 25%. Hiányzás esetén órapótlásra nincs lehetőség, a hallgató az előadás anyagát önállóan pótolja. A 25%-ot meghaladó hiányzás az aláírás megtagadását vonja maga után.</w:t>
      </w:r>
    </w:p>
    <w:p w:rsidR="007E3A2E" w:rsidRPr="007E3A2E" w:rsidRDefault="007E3A2E" w:rsidP="00980876">
      <w:pPr>
        <w:widowControl w:val="0"/>
        <w:numPr>
          <w:ilvl w:val="0"/>
          <w:numId w:val="761"/>
        </w:numPr>
        <w:tabs>
          <w:tab w:val="num" w:pos="360"/>
        </w:tabs>
        <w:spacing w:before="120" w:after="120" w:line="240" w:lineRule="auto"/>
        <w:ind w:left="360" w:hanging="142"/>
        <w:jc w:val="both"/>
        <w:rPr>
          <w:rFonts w:ascii="Calibri" w:eastAsia="Times New Roman" w:hAnsi="Calibri" w:cs="Times New Roman"/>
          <w:lang w:eastAsia="x-none"/>
        </w:rPr>
      </w:pPr>
      <w:r w:rsidRPr="007E3A2E">
        <w:rPr>
          <w:rFonts w:ascii="Times New Roman" w:eastAsia="Times New Roman" w:hAnsi="Times New Roman" w:cs="Times New Roman"/>
          <w:b/>
        </w:rPr>
        <w:t>Félévközi feladatok, ismeretek ellenőrzésének rendje:</w:t>
      </w:r>
      <w:r w:rsidRPr="007E3A2E">
        <w:rPr>
          <w:rFonts w:ascii="Times New Roman" w:eastAsia="Times New Roman" w:hAnsi="Times New Roman" w:cs="Times New Roman"/>
          <w:bCs/>
        </w:rPr>
        <w:t xml:space="preserve"> </w:t>
      </w:r>
      <w:r w:rsidRPr="007E3A2E">
        <w:rPr>
          <w:rFonts w:ascii="Times New Roman" w:eastAsia="Times New Roman" w:hAnsi="Times New Roman" w:cs="Times New Roman"/>
          <w:lang w:val="x-none" w:eastAsia="x-none"/>
        </w:rPr>
        <w:t>A félév során egy zárthelyi dolgozatot ke</w:t>
      </w:r>
      <w:r w:rsidRPr="007E3A2E">
        <w:rPr>
          <w:rFonts w:ascii="Times New Roman" w:eastAsia="Times New Roman" w:hAnsi="Times New Roman" w:cs="Times New Roman"/>
          <w:lang w:eastAsia="x-none"/>
        </w:rPr>
        <w:t>l</w:t>
      </w:r>
      <w:r w:rsidRPr="007E3A2E">
        <w:rPr>
          <w:rFonts w:ascii="Times New Roman" w:eastAsia="Times New Roman" w:hAnsi="Times New Roman" w:cs="Times New Roman"/>
          <w:lang w:val="x-none" w:eastAsia="x-none"/>
        </w:rPr>
        <w:t>l megír</w:t>
      </w:r>
      <w:r w:rsidRPr="007E3A2E">
        <w:rPr>
          <w:rFonts w:ascii="Times New Roman" w:eastAsia="Times New Roman" w:hAnsi="Times New Roman" w:cs="Times New Roman"/>
          <w:lang w:eastAsia="x-none"/>
        </w:rPr>
        <w:t>ni</w:t>
      </w:r>
      <w:r w:rsidRPr="007E3A2E">
        <w:rPr>
          <w:rFonts w:ascii="Times New Roman" w:eastAsia="Times New Roman" w:hAnsi="Times New Roman" w:cs="Times New Roman"/>
          <w:lang w:val="x-none" w:eastAsia="x-none"/>
        </w:rPr>
        <w:t xml:space="preserve">. </w:t>
      </w:r>
      <w:r w:rsidRPr="007E3A2E">
        <w:rPr>
          <w:rFonts w:ascii="Times New Roman" w:eastAsia="Times New Roman" w:hAnsi="Times New Roman" w:cs="Times New Roman"/>
          <w:lang w:eastAsia="x-none"/>
        </w:rPr>
        <w:t xml:space="preserve">A zárthelyi dolgozat ötfokozatú skálán értékelendő, 50%+1 pont elégséges, 60% közepes, 75% jó, 90% jeles. </w:t>
      </w:r>
      <w:r w:rsidRPr="007E3A2E">
        <w:rPr>
          <w:rFonts w:ascii="Times New Roman" w:eastAsia="Times New Roman" w:hAnsi="Times New Roman" w:cs="Times New Roman"/>
          <w:lang w:val="x-none" w:eastAsia="x-none"/>
        </w:rPr>
        <w:t>Az elégtelen osztályzatra értékelt dolgozatot a szorgalmi és a vizsgaidőszakban is egy-egy alkalommal lehet pótolni.</w:t>
      </w:r>
      <w:r w:rsidRPr="007E3A2E">
        <w:rPr>
          <w:rFonts w:ascii="Calibri" w:eastAsia="Times New Roman" w:hAnsi="Calibri" w:cs="Times New Roman"/>
          <w:lang w:eastAsia="x-none"/>
        </w:rPr>
        <w:t xml:space="preserve"> </w:t>
      </w:r>
    </w:p>
    <w:p w:rsidR="007E3A2E" w:rsidRPr="007E3A2E" w:rsidRDefault="007E3A2E" w:rsidP="007E3A2E">
      <w:pPr>
        <w:widowControl w:val="0"/>
        <w:spacing w:before="120" w:after="120" w:line="240" w:lineRule="auto"/>
        <w:ind w:left="360"/>
        <w:jc w:val="both"/>
        <w:rPr>
          <w:rFonts w:ascii="Calibri" w:eastAsia="Times New Roman" w:hAnsi="Calibri" w:cs="Times New Roman"/>
          <w:lang w:eastAsia="x-none"/>
        </w:rPr>
      </w:pPr>
      <w:r w:rsidRPr="007E3A2E">
        <w:rPr>
          <w:rFonts w:ascii="Times New Roman" w:eastAsia="Calibri" w:hAnsi="Times New Roman" w:cs="Calibri"/>
          <w:lang w:val="x-none" w:eastAsia="x-none"/>
        </w:rPr>
        <w:t xml:space="preserve">A félév során </w:t>
      </w:r>
      <w:r w:rsidRPr="007E3A2E">
        <w:rPr>
          <w:rFonts w:ascii="Times New Roman" w:eastAsia="Calibri" w:hAnsi="Times New Roman" w:cs="Calibri"/>
          <w:lang w:eastAsia="x-none"/>
        </w:rPr>
        <w:t>egy</w:t>
      </w:r>
      <w:r w:rsidRPr="007E3A2E">
        <w:rPr>
          <w:rFonts w:ascii="Times New Roman" w:eastAsia="Calibri" w:hAnsi="Times New Roman" w:cs="Calibri"/>
          <w:lang w:val="x-none" w:eastAsia="x-none"/>
        </w:rPr>
        <w:t xml:space="preserve"> házi feladatot kell elkészíteni minimálisan 10 oldal</w:t>
      </w:r>
      <w:r w:rsidRPr="007E3A2E">
        <w:rPr>
          <w:rFonts w:ascii="Times New Roman" w:eastAsia="Calibri" w:hAnsi="Times New Roman" w:cs="Calibri"/>
          <w:b/>
          <w:lang w:val="x-none" w:eastAsia="x-none"/>
        </w:rPr>
        <w:t xml:space="preserve"> </w:t>
      </w:r>
      <w:r w:rsidRPr="007E3A2E">
        <w:rPr>
          <w:rFonts w:ascii="Times New Roman" w:eastAsia="Calibri" w:hAnsi="Times New Roman" w:cs="Calibri"/>
          <w:lang w:val="x-none" w:eastAsia="x-none"/>
        </w:rPr>
        <w:t>terjedelemben, a szakdolgozatnak megfelelő formai követelményekkel</w:t>
      </w:r>
      <w:r w:rsidRPr="007E3A2E">
        <w:rPr>
          <w:rFonts w:ascii="Times New Roman" w:eastAsia="Calibri" w:hAnsi="Times New Roman" w:cs="Calibri"/>
          <w:lang w:eastAsia="x-none"/>
        </w:rPr>
        <w:t xml:space="preserve"> </w:t>
      </w:r>
      <w:r w:rsidRPr="007E3A2E">
        <w:rPr>
          <w:rFonts w:ascii="Times New Roman" w:eastAsia="Calibri" w:hAnsi="Times New Roman" w:cs="Calibri"/>
        </w:rPr>
        <w:t>(TVSZ 5. melléklet)</w:t>
      </w:r>
      <w:r w:rsidRPr="007E3A2E">
        <w:rPr>
          <w:rFonts w:ascii="Times New Roman" w:eastAsia="Calibri" w:hAnsi="Times New Roman" w:cs="Calibri"/>
          <w:lang w:val="x-none" w:eastAsia="x-none"/>
        </w:rPr>
        <w:t xml:space="preserve">. </w:t>
      </w:r>
      <w:r w:rsidRPr="007E3A2E">
        <w:rPr>
          <w:rFonts w:ascii="Times New Roman" w:eastAsia="Calibri" w:hAnsi="Times New Roman" w:cs="Calibri"/>
          <w:lang w:eastAsia="x-none"/>
        </w:rPr>
        <w:t xml:space="preserve">A 10 oldal terjedelembe a bevezető, a fő rész és a befejezés tartozik csak. </w:t>
      </w:r>
      <w:r w:rsidRPr="007E3A2E">
        <w:rPr>
          <w:rFonts w:ascii="Times New Roman" w:eastAsia="Calibri" w:hAnsi="Times New Roman" w:cs="Calibri"/>
          <w:lang w:val="x-none" w:eastAsia="x-none"/>
        </w:rPr>
        <w:t>Az írásbeli munka témáját a hallgató választja</w:t>
      </w:r>
      <w:r w:rsidRPr="007E3A2E">
        <w:rPr>
          <w:rFonts w:ascii="Times New Roman" w:eastAsia="Calibri" w:hAnsi="Times New Roman" w:cs="Calibri"/>
          <w:lang w:eastAsia="x-none"/>
        </w:rPr>
        <w:t>,</w:t>
      </w:r>
      <w:r w:rsidRPr="007E3A2E">
        <w:rPr>
          <w:rFonts w:ascii="Times New Roman" w:eastAsia="Calibri" w:hAnsi="Times New Roman" w:cs="Calibri"/>
          <w:lang w:val="x-none" w:eastAsia="x-none"/>
        </w:rPr>
        <w:t xml:space="preserve"> a kurzus oktatója </w:t>
      </w:r>
      <w:r w:rsidRPr="007E3A2E">
        <w:rPr>
          <w:rFonts w:ascii="Times New Roman" w:eastAsia="Calibri" w:hAnsi="Times New Roman" w:cs="Calibri"/>
          <w:lang w:eastAsia="x-none"/>
        </w:rPr>
        <w:t>jóváhagyja</w:t>
      </w:r>
      <w:r w:rsidRPr="007E3A2E">
        <w:rPr>
          <w:rFonts w:ascii="Times New Roman" w:eastAsia="Calibri" w:hAnsi="Times New Roman" w:cs="Calibri"/>
          <w:lang w:val="x-none" w:eastAsia="x-none"/>
        </w:rPr>
        <w:t xml:space="preserve">. A szorgalmi időszakban a beadási határidőig leadott feladat </w:t>
      </w:r>
      <w:r w:rsidRPr="007E3A2E">
        <w:rPr>
          <w:rFonts w:ascii="Times New Roman" w:eastAsia="Calibri" w:hAnsi="Times New Roman" w:cs="Calibri"/>
          <w:lang w:eastAsia="x-none"/>
        </w:rPr>
        <w:t>ötfokozatú skálán értékelendő</w:t>
      </w:r>
      <w:r w:rsidRPr="007E3A2E">
        <w:rPr>
          <w:rFonts w:ascii="Times New Roman" w:eastAsia="Calibri" w:hAnsi="Times New Roman" w:cs="Calibri"/>
          <w:lang w:val="x-none" w:eastAsia="x-none"/>
        </w:rPr>
        <w:t>, azt javítani a vizsgaidőszak első hetén egy alkalommal lehet.</w:t>
      </w:r>
    </w:p>
    <w:p w:rsidR="007E3A2E" w:rsidRPr="007E3A2E" w:rsidRDefault="007E3A2E" w:rsidP="00980876">
      <w:pPr>
        <w:widowControl w:val="0"/>
        <w:numPr>
          <w:ilvl w:val="0"/>
          <w:numId w:val="761"/>
        </w:numPr>
        <w:spacing w:before="120" w:after="120" w:line="240" w:lineRule="auto"/>
        <w:ind w:left="426" w:hanging="142"/>
        <w:jc w:val="both"/>
        <w:rPr>
          <w:rFonts w:ascii="Times New Roman" w:eastAsia="Times New Roman" w:hAnsi="Times New Roman" w:cs="Times New Roman"/>
          <w:b/>
          <w:bCs/>
        </w:rPr>
      </w:pPr>
      <w:r w:rsidRPr="007E3A2E">
        <w:rPr>
          <w:rFonts w:ascii="Times New Roman" w:eastAsia="Times New Roman" w:hAnsi="Times New Roman" w:cs="Times New Roman"/>
          <w:b/>
          <w:bCs/>
        </w:rPr>
        <w:t xml:space="preserve">Az értékelés, az aláírás és a kreditek megszerzésének pontos feltételei: </w:t>
      </w:r>
    </w:p>
    <w:p w:rsidR="007E3A2E" w:rsidRPr="007E3A2E" w:rsidRDefault="007E3A2E" w:rsidP="00980876">
      <w:pPr>
        <w:widowControl w:val="0"/>
        <w:numPr>
          <w:ilvl w:val="1"/>
          <w:numId w:val="761"/>
        </w:numPr>
        <w:tabs>
          <w:tab w:val="left" w:pos="709"/>
          <w:tab w:val="left" w:pos="993"/>
          <w:tab w:val="num" w:pos="2069"/>
        </w:tabs>
        <w:spacing w:before="120" w:after="120" w:line="240" w:lineRule="auto"/>
        <w:ind w:left="426" w:firstLine="0"/>
        <w:jc w:val="both"/>
        <w:rPr>
          <w:rFonts w:ascii="Times New Roman" w:eastAsia="Calibri" w:hAnsi="Times New Roman" w:cs="Calibri"/>
        </w:rPr>
      </w:pPr>
      <w:r w:rsidRPr="007E3A2E">
        <w:rPr>
          <w:rFonts w:ascii="Times New Roman" w:eastAsia="Times New Roman" w:hAnsi="Times New Roman" w:cs="Times New Roman"/>
          <w:b/>
        </w:rPr>
        <w:t>Az aláírás megszerzésének feltételei:</w:t>
      </w:r>
      <w:r w:rsidRPr="007E3A2E">
        <w:rPr>
          <w:rFonts w:ascii="Times New Roman" w:eastAsia="Times New Roman" w:hAnsi="Times New Roman" w:cs="Times New Roman"/>
        </w:rPr>
        <w:t xml:space="preserve"> </w:t>
      </w:r>
      <w:r w:rsidRPr="007E3A2E">
        <w:rPr>
          <w:rFonts w:ascii="Times New Roman" w:eastAsia="Calibri" w:hAnsi="Times New Roman" w:cs="Calibri"/>
        </w:rPr>
        <w:t>Az aláírás megszerzésének feltétele a 14. pontban meghatározott arányú részvétel a foglalkozásokon és a 15. pontban meghatározott félévközi feladatok legalább elégséges teljesítése, illetve a zárthelyi dolgozat legalább elégséges szinten történő teljesítése (min 50%+1 pont).</w:t>
      </w:r>
    </w:p>
    <w:p w:rsidR="007E3A2E" w:rsidRPr="007E3A2E" w:rsidRDefault="007E3A2E" w:rsidP="00980876">
      <w:pPr>
        <w:widowControl w:val="0"/>
        <w:numPr>
          <w:ilvl w:val="1"/>
          <w:numId w:val="761"/>
        </w:numPr>
        <w:tabs>
          <w:tab w:val="left" w:pos="709"/>
          <w:tab w:val="left" w:pos="993"/>
          <w:tab w:val="num" w:pos="2069"/>
        </w:tabs>
        <w:spacing w:before="120" w:after="120" w:line="240" w:lineRule="auto"/>
        <w:ind w:left="426" w:firstLine="0"/>
        <w:jc w:val="both"/>
        <w:rPr>
          <w:rFonts w:ascii="Times New Roman" w:eastAsia="Calibri" w:hAnsi="Times New Roman" w:cs="Calibri"/>
          <w:lang w:val="x-none" w:eastAsia="x-none"/>
        </w:rPr>
      </w:pPr>
      <w:r w:rsidRPr="007E3A2E">
        <w:rPr>
          <w:rFonts w:ascii="Times New Roman" w:eastAsia="Times New Roman" w:hAnsi="Times New Roman" w:cs="Times New Roman"/>
          <w:b/>
        </w:rPr>
        <w:lastRenderedPageBreak/>
        <w:t>Az értékelés:</w:t>
      </w:r>
      <w:r w:rsidRPr="007E3A2E">
        <w:rPr>
          <w:rFonts w:ascii="Times New Roman" w:eastAsia="Times New Roman" w:hAnsi="Times New Roman" w:cs="Times New Roman"/>
        </w:rPr>
        <w:t xml:space="preserve"> </w:t>
      </w:r>
      <w:r w:rsidRPr="007E3A2E">
        <w:rPr>
          <w:rFonts w:ascii="Times New Roman" w:eastAsia="Calibri" w:hAnsi="Times New Roman" w:cs="Calibri"/>
          <w:lang w:val="x-none" w:eastAsia="x-none"/>
        </w:rPr>
        <w:t>A félév értékelése kollokvium – írásbeli vizsga. A Tanszék felkészülési kérdéseket ad ki. A vizsga tartalmát az előadáson elhangzottak és az alább felsorolt kötelező és ajánlott irodalmak anyagai képezik. A vizsgadolgozat értékelése szummatív: 0-50% - elégtelen, 51-70% - elégséges, 71-80% - közepe, 81-90% - jó, 91-100% - jeles.</w:t>
      </w:r>
    </w:p>
    <w:p w:rsidR="007E3A2E" w:rsidRPr="007E3A2E" w:rsidRDefault="007E3A2E" w:rsidP="00980876">
      <w:pPr>
        <w:widowControl w:val="0"/>
        <w:numPr>
          <w:ilvl w:val="1"/>
          <w:numId w:val="761"/>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7E3A2E">
        <w:rPr>
          <w:rFonts w:ascii="Times New Roman" w:eastAsia="Times New Roman" w:hAnsi="Times New Roman" w:cs="Times New Roman"/>
          <w:b/>
        </w:rPr>
        <w:t>A kreditek megszerzésének feltételei:</w:t>
      </w:r>
      <w:r w:rsidRPr="007E3A2E">
        <w:rPr>
          <w:rFonts w:ascii="Times New Roman" w:eastAsia="Times New Roman" w:hAnsi="Times New Roman" w:cs="Times New Roman"/>
        </w:rPr>
        <w:t xml:space="preserve"> A kreditek megszerzésének feltétele az aláírás megszerzése és legalább elégséges kollokvium jegy.</w:t>
      </w:r>
    </w:p>
    <w:p w:rsidR="007E3A2E" w:rsidRPr="00885758" w:rsidRDefault="007E3A2E" w:rsidP="00980876">
      <w:pPr>
        <w:widowControl w:val="0"/>
        <w:numPr>
          <w:ilvl w:val="0"/>
          <w:numId w:val="761"/>
        </w:numPr>
        <w:tabs>
          <w:tab w:val="num" w:pos="360"/>
        </w:tabs>
        <w:spacing w:before="120" w:after="120" w:line="240" w:lineRule="auto"/>
        <w:ind w:left="426" w:hanging="142"/>
        <w:jc w:val="both"/>
        <w:rPr>
          <w:rFonts w:ascii="Times New Roman" w:eastAsia="Times New Roman" w:hAnsi="Times New Roman" w:cs="Times New Roman"/>
          <w:bCs/>
          <w:highlight w:val="yellow"/>
        </w:rPr>
      </w:pPr>
      <w:r w:rsidRPr="00885758">
        <w:rPr>
          <w:rFonts w:ascii="Times New Roman" w:eastAsia="Times New Roman" w:hAnsi="Times New Roman" w:cs="Times New Roman"/>
          <w:b/>
          <w:bCs/>
          <w:highlight w:val="yellow"/>
        </w:rPr>
        <w:t>Irodalomjegyzék:</w:t>
      </w:r>
    </w:p>
    <w:p w:rsidR="007E3A2E" w:rsidRPr="00885758" w:rsidRDefault="007E3A2E" w:rsidP="00980876">
      <w:pPr>
        <w:widowControl w:val="0"/>
        <w:numPr>
          <w:ilvl w:val="1"/>
          <w:numId w:val="761"/>
        </w:numPr>
        <w:tabs>
          <w:tab w:val="left" w:pos="567"/>
          <w:tab w:val="left" w:pos="851"/>
          <w:tab w:val="num" w:pos="2069"/>
        </w:tabs>
        <w:spacing w:before="120" w:after="120" w:line="240" w:lineRule="auto"/>
        <w:ind w:left="426" w:hanging="142"/>
        <w:jc w:val="both"/>
        <w:rPr>
          <w:rFonts w:ascii="Times New Roman" w:eastAsia="Times New Roman" w:hAnsi="Times New Roman" w:cs="Times New Roman"/>
          <w:bCs/>
          <w:highlight w:val="yellow"/>
        </w:rPr>
      </w:pPr>
      <w:r w:rsidRPr="00885758">
        <w:rPr>
          <w:rFonts w:ascii="Times New Roman" w:eastAsia="Times New Roman" w:hAnsi="Times New Roman" w:cs="Times New Roman"/>
          <w:b/>
          <w:bCs/>
          <w:highlight w:val="yellow"/>
        </w:rPr>
        <w:t>Kötelező irodalom:</w:t>
      </w:r>
    </w:p>
    <w:p w:rsidR="00911595" w:rsidRPr="00885758" w:rsidRDefault="00911595" w:rsidP="00980876">
      <w:pPr>
        <w:numPr>
          <w:ilvl w:val="0"/>
          <w:numId w:val="759"/>
        </w:numPr>
        <w:spacing w:after="0" w:line="240" w:lineRule="auto"/>
        <w:ind w:left="709"/>
        <w:contextualSpacing/>
        <w:jc w:val="both"/>
        <w:rPr>
          <w:rFonts w:ascii="Times New Roman" w:eastAsia="Calibri" w:hAnsi="Times New Roman" w:cs="Times New Roman"/>
          <w:highlight w:val="yellow"/>
        </w:rPr>
      </w:pPr>
      <w:r w:rsidRPr="00885758">
        <w:rPr>
          <w:rFonts w:ascii="Times New Roman" w:eastAsia="Calibri" w:hAnsi="Times New Roman" w:cs="Times New Roman"/>
          <w:highlight w:val="yellow"/>
        </w:rPr>
        <w:t>Lakatos Péter (szerk.): Logiszti</w:t>
      </w:r>
      <w:r w:rsidR="009549CB">
        <w:rPr>
          <w:rFonts w:ascii="Times New Roman" w:eastAsia="Calibri" w:hAnsi="Times New Roman" w:cs="Times New Roman"/>
          <w:highlight w:val="yellow"/>
        </w:rPr>
        <w:t xml:space="preserve">ka a közszolgálatban. Budapest: </w:t>
      </w:r>
      <w:r w:rsidRPr="00885758">
        <w:rPr>
          <w:rFonts w:ascii="Times New Roman" w:eastAsia="Calibri" w:hAnsi="Times New Roman" w:cs="Times New Roman"/>
          <w:highlight w:val="yellow"/>
        </w:rPr>
        <w:t>Dialóg Campus Kiadó, 2018. 318 p. ISBN 978-615-5764-54-7 (nyomtatott), ISBN 978-615-5764-55-4 (elektronikus)</w:t>
      </w:r>
    </w:p>
    <w:p w:rsidR="009549CB" w:rsidRDefault="007E3A2E" w:rsidP="00980876">
      <w:pPr>
        <w:numPr>
          <w:ilvl w:val="0"/>
          <w:numId w:val="759"/>
        </w:numPr>
        <w:spacing w:after="0" w:line="240" w:lineRule="auto"/>
        <w:ind w:left="709"/>
        <w:contextualSpacing/>
        <w:jc w:val="both"/>
        <w:rPr>
          <w:rFonts w:ascii="Times New Roman" w:eastAsia="Calibri" w:hAnsi="Times New Roman" w:cs="Times New Roman"/>
          <w:highlight w:val="yellow"/>
        </w:rPr>
      </w:pPr>
      <w:r w:rsidRPr="00885758">
        <w:rPr>
          <w:rFonts w:ascii="Times New Roman" w:eastAsia="Calibri" w:hAnsi="Times New Roman" w:cs="Times New Roman"/>
          <w:highlight w:val="yellow"/>
        </w:rPr>
        <w:t>Németh Gyula: A Rendőrség logisztikai támogatásának átalakítá</w:t>
      </w:r>
      <w:r w:rsidR="00911595" w:rsidRPr="00885758">
        <w:rPr>
          <w:rFonts w:ascii="Times New Roman" w:eastAsia="Calibri" w:hAnsi="Times New Roman" w:cs="Times New Roman"/>
          <w:highlight w:val="yellow"/>
        </w:rPr>
        <w:t xml:space="preserve">sa. </w:t>
      </w:r>
      <w:r w:rsidRPr="00885758">
        <w:rPr>
          <w:rFonts w:ascii="Times New Roman" w:eastAsia="Calibri" w:hAnsi="Times New Roman" w:cs="Times New Roman"/>
          <w:highlight w:val="yellow"/>
        </w:rPr>
        <w:t xml:space="preserve"> Doktori PhD értekezés. ZMNE, Budapest, 2011.)</w:t>
      </w:r>
      <w:r w:rsidR="009549CB" w:rsidRPr="009549CB">
        <w:rPr>
          <w:rFonts w:ascii="Times New Roman" w:eastAsia="Calibri" w:hAnsi="Times New Roman" w:cs="Times New Roman"/>
          <w:highlight w:val="yellow"/>
        </w:rPr>
        <w:t xml:space="preserve"> </w:t>
      </w:r>
    </w:p>
    <w:p w:rsidR="009549CB" w:rsidRPr="00885758" w:rsidRDefault="009549CB" w:rsidP="00980876">
      <w:pPr>
        <w:numPr>
          <w:ilvl w:val="0"/>
          <w:numId w:val="759"/>
        </w:numPr>
        <w:spacing w:after="0" w:line="240" w:lineRule="auto"/>
        <w:ind w:left="709"/>
        <w:contextualSpacing/>
        <w:jc w:val="both"/>
        <w:rPr>
          <w:rFonts w:ascii="Times New Roman" w:eastAsia="Calibri" w:hAnsi="Times New Roman" w:cs="Times New Roman"/>
          <w:highlight w:val="yellow"/>
        </w:rPr>
      </w:pPr>
      <w:r w:rsidRPr="00885758">
        <w:rPr>
          <w:rFonts w:ascii="Times New Roman" w:eastAsia="Calibri" w:hAnsi="Times New Roman" w:cs="Times New Roman"/>
          <w:highlight w:val="yellow"/>
        </w:rPr>
        <w:t>Báthy Sándor: Közszolgálati logisztika a különleges jogrend időszakában jegyzet (kiegészítés a Logisztika a közszolgálatban tankönyvhöz)</w:t>
      </w:r>
    </w:p>
    <w:p w:rsidR="007E3A2E" w:rsidRPr="00885758" w:rsidRDefault="007E3A2E" w:rsidP="009549CB">
      <w:pPr>
        <w:spacing w:after="0" w:line="240" w:lineRule="auto"/>
        <w:ind w:left="709"/>
        <w:contextualSpacing/>
        <w:jc w:val="both"/>
        <w:rPr>
          <w:rFonts w:ascii="Times New Roman" w:eastAsia="Calibri" w:hAnsi="Times New Roman" w:cs="Times New Roman"/>
          <w:highlight w:val="yellow"/>
        </w:rPr>
      </w:pPr>
    </w:p>
    <w:p w:rsidR="007E3A2E" w:rsidRPr="00885758" w:rsidRDefault="007E3A2E" w:rsidP="00980876">
      <w:pPr>
        <w:widowControl w:val="0"/>
        <w:numPr>
          <w:ilvl w:val="1"/>
          <w:numId w:val="761"/>
        </w:numPr>
        <w:tabs>
          <w:tab w:val="num" w:pos="567"/>
          <w:tab w:val="num" w:pos="2069"/>
        </w:tabs>
        <w:spacing w:before="120" w:after="120" w:line="240" w:lineRule="auto"/>
        <w:ind w:left="993" w:hanging="709"/>
        <w:jc w:val="both"/>
        <w:rPr>
          <w:rFonts w:ascii="Times New Roman" w:eastAsia="Times New Roman" w:hAnsi="Times New Roman" w:cs="Times New Roman"/>
          <w:b/>
          <w:bCs/>
          <w:highlight w:val="yellow"/>
        </w:rPr>
      </w:pPr>
      <w:r w:rsidRPr="00885758">
        <w:rPr>
          <w:rFonts w:ascii="Times New Roman" w:eastAsia="Times New Roman" w:hAnsi="Times New Roman" w:cs="Times New Roman"/>
          <w:b/>
          <w:bCs/>
          <w:highlight w:val="yellow"/>
        </w:rPr>
        <w:t>Ajánlott irodalom:</w:t>
      </w:r>
    </w:p>
    <w:p w:rsidR="007E3A2E" w:rsidRPr="00885758" w:rsidRDefault="007E3A2E" w:rsidP="00980876">
      <w:pPr>
        <w:numPr>
          <w:ilvl w:val="0"/>
          <w:numId w:val="760"/>
        </w:numPr>
        <w:spacing w:after="0" w:line="240" w:lineRule="auto"/>
        <w:ind w:left="709"/>
        <w:contextualSpacing/>
        <w:jc w:val="both"/>
        <w:rPr>
          <w:rFonts w:ascii="Times New Roman" w:eastAsia="Calibri" w:hAnsi="Times New Roman" w:cs="Times New Roman"/>
          <w:highlight w:val="yellow"/>
        </w:rPr>
      </w:pPr>
      <w:r w:rsidRPr="00885758">
        <w:rPr>
          <w:rFonts w:ascii="Times New Roman" w:eastAsia="Calibri" w:hAnsi="Times New Roman" w:cs="Times New Roman"/>
          <w:highlight w:val="yellow"/>
        </w:rPr>
        <w:t>Szegedi Zoltán - Prezenszki József: Logi</w:t>
      </w:r>
      <w:r w:rsidR="00885758" w:rsidRPr="00885758">
        <w:rPr>
          <w:rFonts w:ascii="Times New Roman" w:eastAsia="Calibri" w:hAnsi="Times New Roman" w:cs="Times New Roman"/>
          <w:highlight w:val="yellow"/>
        </w:rPr>
        <w:t>sztika menedzsment.</w:t>
      </w:r>
      <w:r w:rsidRPr="00885758">
        <w:rPr>
          <w:rFonts w:ascii="Times New Roman" w:eastAsia="Calibri" w:hAnsi="Times New Roman" w:cs="Times New Roman"/>
          <w:highlight w:val="yellow"/>
        </w:rPr>
        <w:t xml:space="preserve"> Kossuth Kiadó, negyedik javított, bővített kiadás. Budapest, 2010. ISBN szám: 9789630965699 (in Hungarian) </w:t>
      </w:r>
    </w:p>
    <w:p w:rsidR="007E3A2E" w:rsidRDefault="007E3A2E" w:rsidP="00980876">
      <w:pPr>
        <w:numPr>
          <w:ilvl w:val="0"/>
          <w:numId w:val="760"/>
        </w:numPr>
        <w:spacing w:after="0" w:line="240" w:lineRule="auto"/>
        <w:ind w:left="709"/>
        <w:contextualSpacing/>
        <w:jc w:val="both"/>
        <w:rPr>
          <w:rFonts w:ascii="Times New Roman" w:eastAsia="Calibri" w:hAnsi="Times New Roman" w:cs="Times New Roman"/>
          <w:highlight w:val="yellow"/>
        </w:rPr>
      </w:pPr>
      <w:r w:rsidRPr="00885758">
        <w:rPr>
          <w:rFonts w:ascii="Times New Roman" w:eastAsia="Calibri" w:hAnsi="Times New Roman" w:cs="Times New Roman"/>
          <w:highlight w:val="yellow"/>
        </w:rPr>
        <w:t>Szegedi Zolt</w:t>
      </w:r>
      <w:r w:rsidR="00885758" w:rsidRPr="00885758">
        <w:rPr>
          <w:rFonts w:ascii="Times New Roman" w:eastAsia="Calibri" w:hAnsi="Times New Roman" w:cs="Times New Roman"/>
          <w:highlight w:val="yellow"/>
        </w:rPr>
        <w:t>án: Ellátási lánc menedzsment.</w:t>
      </w:r>
      <w:r w:rsidRPr="00885758">
        <w:rPr>
          <w:rFonts w:ascii="Times New Roman" w:eastAsia="Calibri" w:hAnsi="Times New Roman" w:cs="Times New Roman"/>
          <w:highlight w:val="yellow"/>
        </w:rPr>
        <w:t xml:space="preserve"> Kossuth Kiadó. Budapest, 2012. ISB</w:t>
      </w:r>
      <w:r w:rsidR="00885758" w:rsidRPr="00885758">
        <w:rPr>
          <w:rFonts w:ascii="Times New Roman" w:eastAsia="Calibri" w:hAnsi="Times New Roman" w:cs="Times New Roman"/>
          <w:highlight w:val="yellow"/>
        </w:rPr>
        <w:t>N szám: 9789630968444</w:t>
      </w:r>
    </w:p>
    <w:p w:rsidR="009549CB" w:rsidRPr="00885758" w:rsidRDefault="009549CB" w:rsidP="00980876">
      <w:pPr>
        <w:numPr>
          <w:ilvl w:val="0"/>
          <w:numId w:val="760"/>
        </w:numPr>
        <w:spacing w:after="0" w:line="240" w:lineRule="auto"/>
        <w:ind w:left="709"/>
        <w:contextualSpacing/>
        <w:jc w:val="both"/>
        <w:rPr>
          <w:rFonts w:ascii="Times New Roman" w:eastAsia="Calibri" w:hAnsi="Times New Roman" w:cs="Times New Roman"/>
          <w:highlight w:val="yellow"/>
        </w:rPr>
      </w:pPr>
      <w:r w:rsidRPr="00885758">
        <w:rPr>
          <w:rFonts w:ascii="Times New Roman" w:eastAsia="Calibri" w:hAnsi="Times New Roman" w:cs="Times New Roman"/>
          <w:highlight w:val="yellow"/>
        </w:rPr>
        <w:t>Pohl Árpád, Szászi Gábor (szerk.): Közszolgálati Logisztika Budapest: Nemzeti Közszolgálati és Tankönyvkiadó, 2014.</w:t>
      </w:r>
      <w:r>
        <w:rPr>
          <w:rFonts w:ascii="Times New Roman" w:eastAsia="Calibri" w:hAnsi="Times New Roman" w:cs="Times New Roman"/>
          <w:highlight w:val="yellow"/>
        </w:rPr>
        <w:t xml:space="preserve"> </w:t>
      </w:r>
      <w:r w:rsidRPr="00885758">
        <w:rPr>
          <w:rFonts w:ascii="Times New Roman" w:eastAsia="Calibri" w:hAnsi="Times New Roman" w:cs="Times New Roman"/>
          <w:highlight w:val="yellow"/>
        </w:rPr>
        <w:t xml:space="preserve">208 p. (ISBN:978-615-5344-37-4) </w:t>
      </w:r>
    </w:p>
    <w:p w:rsidR="007E3A2E" w:rsidRPr="007E3A2E" w:rsidRDefault="007E3A2E" w:rsidP="007E3A2E">
      <w:pPr>
        <w:spacing w:after="0" w:line="240" w:lineRule="auto"/>
        <w:ind w:left="709"/>
        <w:contextualSpacing/>
        <w:jc w:val="both"/>
        <w:rPr>
          <w:rFonts w:ascii="Times New Roman" w:eastAsia="Calibri" w:hAnsi="Times New Roman" w:cs="Times New Roman"/>
        </w:rPr>
      </w:pPr>
    </w:p>
    <w:p w:rsidR="007E3A2E" w:rsidRPr="007E3A2E" w:rsidRDefault="007E3A2E" w:rsidP="007E3A2E">
      <w:pPr>
        <w:widowControl w:val="0"/>
        <w:spacing w:before="120" w:after="120" w:line="240" w:lineRule="auto"/>
        <w:jc w:val="both"/>
        <w:rPr>
          <w:rFonts w:ascii="Times New Roman" w:eastAsia="Times New Roman" w:hAnsi="Times New Roman" w:cs="Times New Roman"/>
          <w:bCs/>
        </w:rPr>
      </w:pPr>
      <w:r w:rsidRPr="007E3A2E">
        <w:rPr>
          <w:rFonts w:ascii="Times New Roman" w:eastAsia="Times New Roman" w:hAnsi="Times New Roman" w:cs="Times New Roman"/>
          <w:bCs/>
        </w:rPr>
        <w:t>Budapest, március 30.</w:t>
      </w:r>
    </w:p>
    <w:p w:rsidR="007E3A2E" w:rsidRPr="007E3A2E" w:rsidRDefault="007E3A2E" w:rsidP="007E3A2E">
      <w:pPr>
        <w:tabs>
          <w:tab w:val="right" w:pos="900"/>
        </w:tabs>
        <w:spacing w:before="120"/>
        <w:ind w:left="1985" w:hanging="1980"/>
        <w:jc w:val="both"/>
        <w:rPr>
          <w:rFonts w:ascii="Times New Roman" w:eastAsia="Calibri" w:hAnsi="Times New Roman" w:cs="Times New Roman"/>
          <w:bCs/>
          <w:lang w:eastAsia="x-none"/>
        </w:rPr>
      </w:pPr>
    </w:p>
    <w:p w:rsidR="007E3A2E" w:rsidRPr="007E3A2E" w:rsidRDefault="007E3A2E" w:rsidP="007E3A2E">
      <w:pPr>
        <w:tabs>
          <w:tab w:val="right" w:pos="900"/>
        </w:tabs>
        <w:spacing w:after="0"/>
        <w:rPr>
          <w:rFonts w:ascii="Times New Roman" w:eastAsia="Calibri" w:hAnsi="Times New Roman" w:cs="Times New Roman"/>
          <w:bCs/>
          <w:lang w:val="x-none" w:eastAsia="x-none"/>
        </w:rPr>
      </w:pPr>
      <w:r w:rsidRPr="007E3A2E">
        <w:rPr>
          <w:rFonts w:ascii="Times New Roman" w:eastAsia="Calibri" w:hAnsi="Times New Roman" w:cs="Times New Roman"/>
          <w:b/>
          <w:lang w:eastAsia="x-none"/>
        </w:rPr>
        <w:tab/>
      </w:r>
      <w:r w:rsidRPr="007E3A2E">
        <w:rPr>
          <w:rFonts w:ascii="Times New Roman" w:eastAsia="Calibri" w:hAnsi="Times New Roman" w:cs="Times New Roman"/>
          <w:b/>
          <w:lang w:eastAsia="x-none"/>
        </w:rPr>
        <w:tab/>
      </w:r>
      <w:r w:rsidRPr="007E3A2E">
        <w:rPr>
          <w:rFonts w:ascii="Times New Roman" w:eastAsia="Calibri" w:hAnsi="Times New Roman" w:cs="Times New Roman"/>
          <w:b/>
          <w:lang w:eastAsia="x-none"/>
        </w:rPr>
        <w:tab/>
      </w:r>
      <w:r w:rsidRPr="007E3A2E">
        <w:rPr>
          <w:rFonts w:ascii="Times New Roman" w:eastAsia="Calibri" w:hAnsi="Times New Roman" w:cs="Times New Roman"/>
          <w:b/>
          <w:lang w:eastAsia="x-none"/>
        </w:rPr>
        <w:tab/>
      </w:r>
      <w:r w:rsidRPr="007E3A2E">
        <w:rPr>
          <w:rFonts w:ascii="Times New Roman" w:eastAsia="Calibri" w:hAnsi="Times New Roman" w:cs="Times New Roman"/>
          <w:b/>
          <w:lang w:eastAsia="x-none"/>
        </w:rPr>
        <w:tab/>
      </w:r>
      <w:r w:rsidRPr="007E3A2E">
        <w:rPr>
          <w:rFonts w:ascii="Times New Roman" w:eastAsia="Calibri" w:hAnsi="Times New Roman" w:cs="Times New Roman"/>
          <w:b/>
          <w:lang w:eastAsia="x-none"/>
        </w:rPr>
        <w:tab/>
        <w:t xml:space="preserve">  </w:t>
      </w:r>
      <w:r w:rsidRPr="007E3A2E">
        <w:rPr>
          <w:rFonts w:ascii="Times New Roman" w:eastAsia="Calibri" w:hAnsi="Times New Roman" w:cs="Times New Roman"/>
          <w:b/>
          <w:lang w:eastAsia="x-none"/>
        </w:rPr>
        <w:tab/>
        <w:t xml:space="preserve">      Dr. Szászi Gábor egyetemi docens, PhD</w:t>
      </w:r>
    </w:p>
    <w:p w:rsidR="007E3A2E" w:rsidRPr="007E3A2E" w:rsidRDefault="007E3A2E" w:rsidP="007E3A2E">
      <w:pPr>
        <w:spacing w:after="0"/>
        <w:ind w:left="5672" w:firstLine="709"/>
        <w:rPr>
          <w:rFonts w:ascii="Times New Roman" w:eastAsia="Calibri" w:hAnsi="Times New Roman" w:cs="Calibri"/>
        </w:rPr>
      </w:pPr>
      <w:r w:rsidRPr="007E3A2E">
        <w:rPr>
          <w:rFonts w:ascii="Times New Roman" w:eastAsia="Calibri" w:hAnsi="Times New Roman" w:cs="Times New Roman"/>
          <w:bCs/>
        </w:rPr>
        <w:t>tantárgyfelelős</w:t>
      </w:r>
    </w:p>
    <w:p w:rsidR="00C06981" w:rsidRDefault="00C06981">
      <w:pPr>
        <w:spacing w:after="200" w:line="276" w:lineRule="auto"/>
        <w:rPr>
          <w:rFonts w:ascii="Times New Roman" w:hAnsi="Times New Roman" w:cs="Times New Roman"/>
          <w:sz w:val="24"/>
        </w:rPr>
      </w:pPr>
    </w:p>
    <w:p w:rsidR="00B936A0" w:rsidRDefault="00B936A0">
      <w:pPr>
        <w:spacing w:after="200" w:line="276" w:lineRule="auto"/>
        <w:rPr>
          <w:rFonts w:ascii="Times New Roman" w:hAnsi="Times New Roman" w:cs="Times New Roman"/>
          <w:sz w:val="24"/>
        </w:rPr>
      </w:pPr>
      <w:r>
        <w:rPr>
          <w:rFonts w:ascii="Times New Roman" w:hAnsi="Times New Roman" w:cs="Times New Roman"/>
          <w:sz w:val="24"/>
        </w:rPr>
        <w:br w:type="page"/>
      </w:r>
    </w:p>
    <w:tbl>
      <w:tblPr>
        <w:tblW w:w="9072" w:type="dxa"/>
        <w:tblInd w:w="113" w:type="dxa"/>
        <w:tblLook w:val="01E0" w:firstRow="1" w:lastRow="1" w:firstColumn="1" w:lastColumn="1" w:noHBand="0" w:noVBand="0"/>
      </w:tblPr>
      <w:tblGrid>
        <w:gridCol w:w="4855"/>
        <w:gridCol w:w="1620"/>
        <w:gridCol w:w="2597"/>
      </w:tblGrid>
      <w:tr w:rsidR="00B936A0" w:rsidRPr="00B936A0" w:rsidTr="00B936A0">
        <w:tc>
          <w:tcPr>
            <w:tcW w:w="4855" w:type="dxa"/>
            <w:tcBorders>
              <w:top w:val="nil"/>
              <w:left w:val="nil"/>
              <w:bottom w:val="single" w:sz="4" w:space="0" w:color="auto"/>
              <w:right w:val="nil"/>
            </w:tcBorders>
            <w:hideMark/>
          </w:tcPr>
          <w:p w:rsidR="00B936A0" w:rsidRPr="00B936A0" w:rsidRDefault="00B936A0">
            <w:pPr>
              <w:spacing w:after="0" w:line="240" w:lineRule="auto"/>
              <w:jc w:val="center"/>
              <w:rPr>
                <w:rFonts w:ascii="Times New Roman" w:eastAsia="Times New Roman" w:hAnsi="Times New Roman" w:cs="Times New Roman"/>
                <w:b/>
                <w:smallCaps/>
                <w:lang w:eastAsia="hu-HU"/>
              </w:rPr>
            </w:pPr>
            <w:r w:rsidRPr="00B936A0">
              <w:rPr>
                <w:rFonts w:ascii="Times New Roman" w:eastAsia="Times New Roman" w:hAnsi="Times New Roman" w:cs="Times New Roman"/>
                <w:b/>
                <w:smallCaps/>
                <w:lang w:eastAsia="hu-HU"/>
              </w:rPr>
              <w:lastRenderedPageBreak/>
              <w:t>Nemzeti Közszolgálati Egyetem</w:t>
            </w:r>
          </w:p>
        </w:tc>
        <w:tc>
          <w:tcPr>
            <w:tcW w:w="1620" w:type="dxa"/>
          </w:tcPr>
          <w:p w:rsidR="00B936A0" w:rsidRPr="00B936A0" w:rsidRDefault="00B936A0">
            <w:pPr>
              <w:spacing w:after="0" w:line="240" w:lineRule="auto"/>
              <w:jc w:val="both"/>
              <w:rPr>
                <w:rFonts w:ascii="Times New Roman" w:eastAsia="Times New Roman" w:hAnsi="Times New Roman" w:cs="Times New Roman"/>
                <w:lang w:eastAsia="hu-HU"/>
              </w:rPr>
            </w:pPr>
          </w:p>
        </w:tc>
        <w:tc>
          <w:tcPr>
            <w:tcW w:w="2597" w:type="dxa"/>
          </w:tcPr>
          <w:p w:rsidR="00B936A0" w:rsidRPr="00B936A0" w:rsidRDefault="00B936A0">
            <w:pPr>
              <w:spacing w:after="0" w:line="240" w:lineRule="auto"/>
              <w:jc w:val="right"/>
              <w:rPr>
                <w:rFonts w:ascii="Times New Roman" w:eastAsia="Times New Roman" w:hAnsi="Times New Roman" w:cs="Times New Roman"/>
                <w:lang w:eastAsia="hu-HU"/>
              </w:rPr>
            </w:pPr>
          </w:p>
        </w:tc>
      </w:tr>
      <w:tr w:rsidR="00B936A0" w:rsidRPr="00B936A0" w:rsidTr="00B936A0">
        <w:tc>
          <w:tcPr>
            <w:tcW w:w="4855" w:type="dxa"/>
            <w:tcBorders>
              <w:top w:val="single" w:sz="4" w:space="0" w:color="auto"/>
              <w:left w:val="nil"/>
              <w:bottom w:val="nil"/>
              <w:right w:val="nil"/>
            </w:tcBorders>
            <w:hideMark/>
          </w:tcPr>
          <w:p w:rsidR="00B936A0" w:rsidRPr="00B936A0" w:rsidRDefault="00B936A0">
            <w:pPr>
              <w:spacing w:after="0" w:line="240" w:lineRule="auto"/>
              <w:jc w:val="center"/>
              <w:rPr>
                <w:rFonts w:ascii="Times New Roman" w:eastAsia="Times New Roman" w:hAnsi="Times New Roman" w:cs="Times New Roman"/>
                <w:b/>
                <w:lang w:eastAsia="hu-HU"/>
              </w:rPr>
            </w:pPr>
            <w:r w:rsidRPr="00B936A0">
              <w:rPr>
                <w:rFonts w:ascii="Times New Roman" w:eastAsia="Times New Roman" w:hAnsi="Times New Roman" w:cs="Times New Roman"/>
                <w:b/>
                <w:lang w:eastAsia="hu-HU"/>
              </w:rPr>
              <w:t>Hadtudományi és Honvédtisztképző Kar</w:t>
            </w:r>
          </w:p>
        </w:tc>
        <w:tc>
          <w:tcPr>
            <w:tcW w:w="1620" w:type="dxa"/>
          </w:tcPr>
          <w:p w:rsidR="00B936A0" w:rsidRPr="00B936A0" w:rsidRDefault="00B936A0">
            <w:pPr>
              <w:spacing w:after="0" w:line="240" w:lineRule="auto"/>
              <w:jc w:val="both"/>
              <w:rPr>
                <w:rFonts w:ascii="Times New Roman" w:eastAsia="Times New Roman" w:hAnsi="Times New Roman" w:cs="Times New Roman"/>
                <w:lang w:eastAsia="hu-HU"/>
              </w:rPr>
            </w:pPr>
          </w:p>
        </w:tc>
        <w:tc>
          <w:tcPr>
            <w:tcW w:w="2597" w:type="dxa"/>
          </w:tcPr>
          <w:p w:rsidR="00B936A0" w:rsidRPr="00B936A0" w:rsidRDefault="00B936A0">
            <w:pPr>
              <w:spacing w:after="0" w:line="240" w:lineRule="auto"/>
              <w:jc w:val="both"/>
              <w:rPr>
                <w:rFonts w:ascii="Times New Roman" w:eastAsia="Times New Roman" w:hAnsi="Times New Roman" w:cs="Times New Roman"/>
                <w:lang w:eastAsia="hu-HU"/>
              </w:rPr>
            </w:pPr>
          </w:p>
        </w:tc>
      </w:tr>
    </w:tbl>
    <w:p w:rsidR="00B936A0" w:rsidRPr="00B936A0" w:rsidRDefault="00B936A0" w:rsidP="00B936A0">
      <w:pPr>
        <w:widowControl w:val="0"/>
        <w:spacing w:before="120" w:after="120" w:line="240" w:lineRule="auto"/>
        <w:ind w:left="426" w:hanging="142"/>
        <w:jc w:val="center"/>
        <w:rPr>
          <w:rFonts w:ascii="Times New Roman" w:eastAsia="Times New Roman" w:hAnsi="Times New Roman" w:cs="Times New Roman"/>
          <w:b/>
          <w:bCs/>
        </w:rPr>
      </w:pPr>
    </w:p>
    <w:p w:rsidR="00B936A0" w:rsidRPr="00B936A0" w:rsidRDefault="00B936A0" w:rsidP="00B936A0">
      <w:pPr>
        <w:widowControl w:val="0"/>
        <w:spacing w:before="120" w:after="120" w:line="240" w:lineRule="auto"/>
        <w:ind w:left="426" w:hanging="142"/>
        <w:jc w:val="center"/>
        <w:rPr>
          <w:rFonts w:ascii="Times New Roman" w:eastAsia="Times New Roman" w:hAnsi="Times New Roman" w:cs="Times New Roman"/>
          <w:b/>
          <w:bCs/>
        </w:rPr>
      </w:pPr>
      <w:r w:rsidRPr="00B936A0">
        <w:rPr>
          <w:rFonts w:ascii="Times New Roman" w:eastAsia="Times New Roman" w:hAnsi="Times New Roman" w:cs="Times New Roman"/>
          <w:b/>
          <w:bCs/>
        </w:rPr>
        <w:t>TANTÁRGYI PROGRAM</w:t>
      </w:r>
    </w:p>
    <w:p w:rsidR="00B936A0" w:rsidRPr="00B936A0" w:rsidRDefault="00B936A0" w:rsidP="00666335">
      <w:pPr>
        <w:widowControl w:val="0"/>
        <w:numPr>
          <w:ilvl w:val="0"/>
          <w:numId w:val="39"/>
        </w:numPr>
        <w:tabs>
          <w:tab w:val="num" w:pos="567"/>
        </w:tabs>
        <w:spacing w:before="120" w:after="120" w:line="240" w:lineRule="auto"/>
        <w:ind w:left="426" w:hanging="142"/>
        <w:jc w:val="both"/>
        <w:rPr>
          <w:rFonts w:ascii="Times New Roman" w:eastAsia="Times New Roman" w:hAnsi="Times New Roman" w:cs="Times New Roman"/>
          <w:bCs/>
        </w:rPr>
      </w:pPr>
      <w:r w:rsidRPr="00B936A0">
        <w:rPr>
          <w:rFonts w:ascii="Times New Roman" w:eastAsia="Times New Roman" w:hAnsi="Times New Roman" w:cs="Times New Roman"/>
          <w:b/>
          <w:bCs/>
        </w:rPr>
        <w:t xml:space="preserve">A tantárgy kódja: </w:t>
      </w:r>
      <w:r w:rsidRPr="00472829">
        <w:rPr>
          <w:rFonts w:ascii="Times New Roman" w:eastAsia="Times New Roman" w:hAnsi="Times New Roman" w:cs="Times New Roman"/>
          <w:bCs/>
        </w:rPr>
        <w:t>HKHFKTA01</w:t>
      </w:r>
    </w:p>
    <w:p w:rsidR="00B936A0" w:rsidRPr="00B936A0" w:rsidRDefault="00B936A0" w:rsidP="00666335">
      <w:pPr>
        <w:widowControl w:val="0"/>
        <w:numPr>
          <w:ilvl w:val="0"/>
          <w:numId w:val="39"/>
        </w:numPr>
        <w:tabs>
          <w:tab w:val="num" w:pos="567"/>
        </w:tabs>
        <w:spacing w:before="120" w:after="120" w:line="240" w:lineRule="auto"/>
        <w:ind w:left="426" w:hanging="142"/>
        <w:jc w:val="both"/>
        <w:rPr>
          <w:rFonts w:ascii="Times New Roman" w:eastAsia="Times New Roman" w:hAnsi="Times New Roman" w:cs="Times New Roman"/>
          <w:b/>
          <w:bCs/>
          <w:lang w:val="en-GB"/>
        </w:rPr>
      </w:pPr>
      <w:r w:rsidRPr="00B936A0">
        <w:rPr>
          <w:rFonts w:ascii="Times New Roman" w:eastAsia="Times New Roman" w:hAnsi="Times New Roman" w:cs="Times New Roman"/>
          <w:b/>
          <w:bCs/>
        </w:rPr>
        <w:t>A tantárgy megnevezése (magyarul):</w:t>
      </w:r>
      <w:r w:rsidRPr="00B936A0">
        <w:rPr>
          <w:rFonts w:ascii="Times New Roman" w:eastAsia="Times New Roman" w:hAnsi="Times New Roman" w:cs="Times New Roman"/>
          <w:bCs/>
        </w:rPr>
        <w:t xml:space="preserve"> Katonai etika és személyközi kommunikáció</w:t>
      </w:r>
    </w:p>
    <w:p w:rsidR="00B936A0" w:rsidRPr="00B936A0" w:rsidRDefault="00B936A0" w:rsidP="00666335">
      <w:pPr>
        <w:widowControl w:val="0"/>
        <w:numPr>
          <w:ilvl w:val="0"/>
          <w:numId w:val="39"/>
        </w:numPr>
        <w:tabs>
          <w:tab w:val="num" w:pos="567"/>
        </w:tabs>
        <w:spacing w:before="120" w:after="120" w:line="240" w:lineRule="auto"/>
        <w:ind w:left="426" w:hanging="142"/>
        <w:jc w:val="both"/>
        <w:rPr>
          <w:rFonts w:ascii="Times New Roman" w:eastAsia="Times New Roman" w:hAnsi="Times New Roman" w:cs="Times New Roman"/>
          <w:b/>
          <w:bCs/>
          <w:lang w:val="en-GB"/>
        </w:rPr>
      </w:pPr>
      <w:r w:rsidRPr="00B936A0">
        <w:rPr>
          <w:rFonts w:ascii="Times New Roman" w:eastAsia="Times New Roman" w:hAnsi="Times New Roman" w:cs="Times New Roman"/>
          <w:b/>
          <w:bCs/>
        </w:rPr>
        <w:t xml:space="preserve">A tantárgy megnevezése (angolul): </w:t>
      </w:r>
      <w:r w:rsidRPr="00B936A0">
        <w:rPr>
          <w:rFonts w:ascii="Times New Roman" w:eastAsia="Times New Roman" w:hAnsi="Times New Roman" w:cs="Times New Roman"/>
          <w:bCs/>
        </w:rPr>
        <w:t>Military Ethics and Communication among Persons</w:t>
      </w:r>
    </w:p>
    <w:p w:rsidR="00B936A0" w:rsidRPr="00B936A0" w:rsidRDefault="00B936A0" w:rsidP="00666335">
      <w:pPr>
        <w:widowControl w:val="0"/>
        <w:numPr>
          <w:ilvl w:val="0"/>
          <w:numId w:val="39"/>
        </w:numPr>
        <w:tabs>
          <w:tab w:val="num" w:pos="567"/>
        </w:tabs>
        <w:spacing w:before="120" w:after="120" w:line="240" w:lineRule="auto"/>
        <w:ind w:left="426" w:hanging="142"/>
        <w:jc w:val="both"/>
        <w:rPr>
          <w:rFonts w:ascii="Times New Roman" w:eastAsia="Times New Roman" w:hAnsi="Times New Roman" w:cs="Times New Roman"/>
          <w:b/>
          <w:bCs/>
        </w:rPr>
      </w:pPr>
      <w:r w:rsidRPr="00B936A0">
        <w:rPr>
          <w:rFonts w:ascii="Times New Roman" w:eastAsia="Times New Roman" w:hAnsi="Times New Roman" w:cs="Times New Roman"/>
          <w:b/>
          <w:bCs/>
        </w:rPr>
        <w:t xml:space="preserve">Kreditérték és képzési karakter: </w:t>
      </w:r>
    </w:p>
    <w:p w:rsidR="00B936A0" w:rsidRPr="00B936A0" w:rsidRDefault="00B936A0" w:rsidP="00666335">
      <w:pPr>
        <w:pStyle w:val="Listaszerbekezds"/>
        <w:widowControl w:val="0"/>
        <w:numPr>
          <w:ilvl w:val="1"/>
          <w:numId w:val="39"/>
        </w:numPr>
        <w:spacing w:before="120" w:after="120" w:line="240" w:lineRule="auto"/>
        <w:ind w:left="993" w:hanging="426"/>
        <w:jc w:val="both"/>
        <w:rPr>
          <w:rFonts w:ascii="Times New Roman" w:eastAsia="Times New Roman" w:hAnsi="Times New Roman" w:cs="Times New Roman"/>
          <w:b/>
          <w:bCs/>
        </w:rPr>
      </w:pPr>
      <w:r w:rsidRPr="00B936A0">
        <w:rPr>
          <w:rFonts w:ascii="Times New Roman" w:eastAsia="Times New Roman" w:hAnsi="Times New Roman" w:cs="Times New Roman"/>
          <w:bCs/>
        </w:rPr>
        <w:t>2 kredit</w:t>
      </w:r>
    </w:p>
    <w:p w:rsidR="00B936A0" w:rsidRPr="00B936A0" w:rsidRDefault="00B936A0" w:rsidP="00666335">
      <w:pPr>
        <w:pStyle w:val="Listaszerbekezds"/>
        <w:widowControl w:val="0"/>
        <w:numPr>
          <w:ilvl w:val="1"/>
          <w:numId w:val="39"/>
        </w:numPr>
        <w:spacing w:before="120" w:after="120" w:line="240" w:lineRule="auto"/>
        <w:ind w:left="993" w:hanging="426"/>
        <w:jc w:val="both"/>
        <w:rPr>
          <w:rFonts w:ascii="Times New Roman" w:eastAsia="Times New Roman" w:hAnsi="Times New Roman" w:cs="Times New Roman"/>
          <w:b/>
          <w:bCs/>
        </w:rPr>
      </w:pPr>
      <w:r w:rsidRPr="00B936A0">
        <w:rPr>
          <w:rFonts w:ascii="Times New Roman" w:eastAsia="Times New Roman" w:hAnsi="Times New Roman" w:cs="Times New Roman"/>
          <w:bCs/>
        </w:rPr>
        <w:t>a tantárgy elméleti vagy gyakorlati jellegének mértéke: 50</w:t>
      </w:r>
      <w:r w:rsidRPr="00B936A0">
        <w:rPr>
          <w:rFonts w:ascii="Times New Roman" w:eastAsia="Times New Roman" w:hAnsi="Times New Roman" w:cs="Times New Roman"/>
          <w:b/>
          <w:bCs/>
        </w:rPr>
        <w:t xml:space="preserve"> </w:t>
      </w:r>
      <w:r w:rsidRPr="00B936A0">
        <w:rPr>
          <w:rFonts w:ascii="Times New Roman" w:eastAsia="Times New Roman" w:hAnsi="Times New Roman" w:cs="Times New Roman"/>
          <w:bCs/>
        </w:rPr>
        <w:t>% gyakorlat, 50 % elmélet</w:t>
      </w:r>
    </w:p>
    <w:p w:rsidR="00B936A0" w:rsidRPr="00B936A0" w:rsidRDefault="00B936A0" w:rsidP="00666335">
      <w:pPr>
        <w:widowControl w:val="0"/>
        <w:numPr>
          <w:ilvl w:val="0"/>
          <w:numId w:val="39"/>
        </w:numPr>
        <w:spacing w:before="120" w:after="120" w:line="240" w:lineRule="auto"/>
        <w:ind w:left="426" w:hanging="142"/>
        <w:jc w:val="both"/>
        <w:rPr>
          <w:rFonts w:ascii="Times New Roman" w:eastAsia="Times New Roman" w:hAnsi="Times New Roman" w:cs="Times New Roman"/>
          <w:bCs/>
        </w:rPr>
      </w:pPr>
      <w:r w:rsidRPr="00B936A0">
        <w:rPr>
          <w:rFonts w:ascii="Times New Roman" w:eastAsia="Times New Roman" w:hAnsi="Times New Roman" w:cs="Times New Roman"/>
          <w:b/>
          <w:bCs/>
        </w:rPr>
        <w:t>A szak(ok), szakirányok/specializációk megnevezése (ahol oktatják):</w:t>
      </w:r>
      <w:r w:rsidRPr="00B936A0">
        <w:rPr>
          <w:rFonts w:ascii="Times New Roman" w:eastAsia="Times New Roman" w:hAnsi="Times New Roman" w:cs="Times New Roman"/>
          <w:bCs/>
        </w:rPr>
        <w:t xml:space="preserve"> Katonai vezető, Katonai logisztika, Katonai Üzemeltető, Állami légiközlekedés</w:t>
      </w:r>
    </w:p>
    <w:p w:rsidR="00B936A0" w:rsidRPr="00B936A0" w:rsidRDefault="00B936A0" w:rsidP="00666335">
      <w:pPr>
        <w:widowControl w:val="0"/>
        <w:numPr>
          <w:ilvl w:val="0"/>
          <w:numId w:val="39"/>
        </w:numPr>
        <w:tabs>
          <w:tab w:val="num" w:pos="567"/>
        </w:tabs>
        <w:spacing w:before="120" w:after="120" w:line="240" w:lineRule="auto"/>
        <w:ind w:left="426" w:hanging="142"/>
        <w:jc w:val="both"/>
        <w:rPr>
          <w:rFonts w:ascii="Times New Roman" w:eastAsia="Times New Roman" w:hAnsi="Times New Roman" w:cs="Times New Roman"/>
          <w:bCs/>
          <w:highlight w:val="lightGray"/>
        </w:rPr>
      </w:pPr>
      <w:r w:rsidRPr="00B936A0">
        <w:rPr>
          <w:rFonts w:ascii="Times New Roman" w:eastAsia="Times New Roman" w:hAnsi="Times New Roman" w:cs="Times New Roman"/>
          <w:b/>
          <w:bCs/>
        </w:rPr>
        <w:t xml:space="preserve">Az oktatásért felelős oktatási szervezeti egység megnevezése: </w:t>
      </w:r>
      <w:r w:rsidRPr="00B936A0">
        <w:rPr>
          <w:rFonts w:ascii="Times New Roman" w:eastAsia="Times New Roman" w:hAnsi="Times New Roman" w:cs="Times New Roman"/>
          <w:bCs/>
        </w:rPr>
        <w:t>Hadtörténelmi, Filozófiai és Kultúrtörténeti Tanszék</w:t>
      </w:r>
    </w:p>
    <w:p w:rsidR="00B936A0" w:rsidRPr="00B936A0" w:rsidRDefault="00B936A0" w:rsidP="00666335">
      <w:pPr>
        <w:widowControl w:val="0"/>
        <w:numPr>
          <w:ilvl w:val="0"/>
          <w:numId w:val="39"/>
        </w:numPr>
        <w:tabs>
          <w:tab w:val="num" w:pos="567"/>
        </w:tabs>
        <w:spacing w:before="120" w:after="120" w:line="240" w:lineRule="auto"/>
        <w:ind w:left="426" w:hanging="142"/>
        <w:jc w:val="both"/>
        <w:rPr>
          <w:rFonts w:ascii="Times New Roman" w:eastAsia="Times New Roman" w:hAnsi="Times New Roman" w:cs="Times New Roman"/>
          <w:bCs/>
          <w:highlight w:val="lightGray"/>
        </w:rPr>
      </w:pPr>
      <w:r w:rsidRPr="00B936A0">
        <w:rPr>
          <w:rFonts w:ascii="Times New Roman" w:eastAsia="Times New Roman" w:hAnsi="Times New Roman" w:cs="Times New Roman"/>
          <w:b/>
          <w:bCs/>
        </w:rPr>
        <w:t>A tantárgyfelelős oktató neve, beosztása, tudományos fokozata:</w:t>
      </w:r>
      <w:r w:rsidRPr="00B936A0">
        <w:rPr>
          <w:rFonts w:ascii="Times New Roman" w:eastAsia="Times New Roman" w:hAnsi="Times New Roman" w:cs="Times New Roman"/>
          <w:bCs/>
        </w:rPr>
        <w:t xml:space="preserve"> dr. Boda Mihály PhD, egyetemi docens</w:t>
      </w:r>
    </w:p>
    <w:p w:rsidR="00B936A0" w:rsidRPr="00B936A0" w:rsidRDefault="00B936A0" w:rsidP="00666335">
      <w:pPr>
        <w:widowControl w:val="0"/>
        <w:numPr>
          <w:ilvl w:val="0"/>
          <w:numId w:val="39"/>
        </w:numPr>
        <w:spacing w:before="120" w:after="120" w:line="240" w:lineRule="auto"/>
        <w:ind w:left="426" w:hanging="142"/>
        <w:jc w:val="both"/>
        <w:rPr>
          <w:rFonts w:ascii="Times New Roman" w:eastAsia="Times New Roman" w:hAnsi="Times New Roman" w:cs="Times New Roman"/>
          <w:bCs/>
        </w:rPr>
      </w:pPr>
      <w:r w:rsidRPr="00B936A0">
        <w:rPr>
          <w:rFonts w:ascii="Times New Roman" w:eastAsia="Times New Roman" w:hAnsi="Times New Roman" w:cs="Times New Roman"/>
          <w:b/>
          <w:bCs/>
        </w:rPr>
        <w:t>A tanórák száma és típusa</w:t>
      </w:r>
    </w:p>
    <w:p w:rsidR="00B936A0" w:rsidRPr="00B936A0" w:rsidRDefault="00B936A0" w:rsidP="00666335">
      <w:pPr>
        <w:widowControl w:val="0"/>
        <w:numPr>
          <w:ilvl w:val="1"/>
          <w:numId w:val="39"/>
        </w:numPr>
        <w:tabs>
          <w:tab w:val="num" w:pos="709"/>
          <w:tab w:val="num" w:pos="2069"/>
        </w:tabs>
        <w:spacing w:before="120" w:after="120" w:line="240" w:lineRule="auto"/>
        <w:ind w:left="851" w:hanging="425"/>
        <w:jc w:val="both"/>
        <w:rPr>
          <w:rFonts w:ascii="Times New Roman" w:eastAsia="Times New Roman" w:hAnsi="Times New Roman" w:cs="Times New Roman"/>
          <w:bCs/>
        </w:rPr>
      </w:pPr>
      <w:r w:rsidRPr="00B936A0">
        <w:rPr>
          <w:rFonts w:ascii="Times New Roman" w:eastAsia="Times New Roman" w:hAnsi="Times New Roman" w:cs="Times New Roman"/>
          <w:bCs/>
        </w:rPr>
        <w:t>össz óraszám/félév: 28</w:t>
      </w:r>
    </w:p>
    <w:p w:rsidR="00B936A0" w:rsidRPr="00B936A0" w:rsidRDefault="00B936A0" w:rsidP="00666335">
      <w:pPr>
        <w:widowControl w:val="0"/>
        <w:numPr>
          <w:ilvl w:val="2"/>
          <w:numId w:val="39"/>
        </w:numPr>
        <w:tabs>
          <w:tab w:val="num" w:pos="709"/>
          <w:tab w:val="num" w:pos="1134"/>
        </w:tabs>
        <w:spacing w:before="120" w:after="120" w:line="240" w:lineRule="auto"/>
        <w:ind w:left="851" w:hanging="425"/>
        <w:jc w:val="both"/>
        <w:rPr>
          <w:rFonts w:ascii="Times New Roman" w:eastAsia="Times New Roman" w:hAnsi="Times New Roman" w:cs="Times New Roman"/>
          <w:bCs/>
        </w:rPr>
      </w:pPr>
      <w:r w:rsidRPr="00B936A0">
        <w:rPr>
          <w:rFonts w:ascii="Times New Roman" w:eastAsia="Times New Roman" w:hAnsi="Times New Roman" w:cs="Times New Roman"/>
          <w:bCs/>
        </w:rPr>
        <w:t xml:space="preserve">nappali munkarend: 28 (14 EA + 14 SZ + </w:t>
      </w:r>
      <w:r w:rsidRPr="00B936A0">
        <w:rPr>
          <w:rFonts w:ascii="Times New Roman" w:eastAsia="Times New Roman" w:hAnsi="Times New Roman" w:cs="Times New Roman"/>
          <w:bCs/>
          <w:highlight w:val="lightGray"/>
        </w:rPr>
        <w:t>…</w:t>
      </w:r>
      <w:r w:rsidRPr="00B936A0">
        <w:rPr>
          <w:rFonts w:ascii="Times New Roman" w:eastAsia="Times New Roman" w:hAnsi="Times New Roman" w:cs="Times New Roman"/>
          <w:bCs/>
        </w:rPr>
        <w:t xml:space="preserve"> GY)</w:t>
      </w:r>
    </w:p>
    <w:p w:rsidR="00B936A0" w:rsidRPr="00B936A0" w:rsidRDefault="00B936A0" w:rsidP="00666335">
      <w:pPr>
        <w:widowControl w:val="0"/>
        <w:numPr>
          <w:ilvl w:val="2"/>
          <w:numId w:val="39"/>
        </w:numPr>
        <w:tabs>
          <w:tab w:val="num" w:pos="709"/>
          <w:tab w:val="num" w:pos="1134"/>
        </w:tabs>
        <w:spacing w:before="120" w:after="120" w:line="240" w:lineRule="auto"/>
        <w:ind w:left="851" w:hanging="425"/>
        <w:jc w:val="both"/>
        <w:rPr>
          <w:rFonts w:ascii="Times New Roman" w:eastAsia="Times New Roman" w:hAnsi="Times New Roman" w:cs="Times New Roman"/>
          <w:bCs/>
        </w:rPr>
      </w:pPr>
      <w:r w:rsidRPr="00B936A0">
        <w:rPr>
          <w:rFonts w:ascii="Times New Roman" w:eastAsia="Times New Roman" w:hAnsi="Times New Roman" w:cs="Times New Roman"/>
          <w:bCs/>
        </w:rPr>
        <w:t xml:space="preserve">levelező munkarend: </w:t>
      </w:r>
      <w:r w:rsidRPr="00B936A0">
        <w:rPr>
          <w:rFonts w:ascii="Times New Roman" w:eastAsia="Times New Roman" w:hAnsi="Times New Roman" w:cs="Times New Roman"/>
          <w:bCs/>
          <w:highlight w:val="lightGray"/>
        </w:rPr>
        <w:t>…</w:t>
      </w:r>
      <w:r w:rsidRPr="00B936A0">
        <w:rPr>
          <w:rFonts w:ascii="Times New Roman" w:eastAsia="Times New Roman" w:hAnsi="Times New Roman" w:cs="Times New Roman"/>
          <w:bCs/>
        </w:rPr>
        <w:t xml:space="preserve"> (</w:t>
      </w:r>
      <w:r w:rsidRPr="00B936A0">
        <w:rPr>
          <w:rFonts w:ascii="Times New Roman" w:eastAsia="Times New Roman" w:hAnsi="Times New Roman" w:cs="Times New Roman"/>
          <w:bCs/>
          <w:highlight w:val="lightGray"/>
        </w:rPr>
        <w:t>…</w:t>
      </w:r>
      <w:r w:rsidRPr="00B936A0">
        <w:rPr>
          <w:rFonts w:ascii="Times New Roman" w:eastAsia="Times New Roman" w:hAnsi="Times New Roman" w:cs="Times New Roman"/>
          <w:bCs/>
        </w:rPr>
        <w:t xml:space="preserve"> EA + </w:t>
      </w:r>
      <w:r w:rsidRPr="00B936A0">
        <w:rPr>
          <w:rFonts w:ascii="Times New Roman" w:eastAsia="Times New Roman" w:hAnsi="Times New Roman" w:cs="Times New Roman"/>
          <w:bCs/>
          <w:highlight w:val="lightGray"/>
        </w:rPr>
        <w:t>…</w:t>
      </w:r>
      <w:r w:rsidRPr="00B936A0">
        <w:rPr>
          <w:rFonts w:ascii="Times New Roman" w:eastAsia="Times New Roman" w:hAnsi="Times New Roman" w:cs="Times New Roman"/>
          <w:bCs/>
        </w:rPr>
        <w:t xml:space="preserve"> SZ + </w:t>
      </w:r>
      <w:r w:rsidRPr="00B936A0">
        <w:rPr>
          <w:rFonts w:ascii="Times New Roman" w:eastAsia="Times New Roman" w:hAnsi="Times New Roman" w:cs="Times New Roman"/>
          <w:bCs/>
          <w:highlight w:val="lightGray"/>
        </w:rPr>
        <w:t>…</w:t>
      </w:r>
      <w:r w:rsidRPr="00B936A0">
        <w:rPr>
          <w:rFonts w:ascii="Times New Roman" w:eastAsia="Times New Roman" w:hAnsi="Times New Roman" w:cs="Times New Roman"/>
          <w:bCs/>
        </w:rPr>
        <w:t xml:space="preserve"> GY)</w:t>
      </w:r>
    </w:p>
    <w:p w:rsidR="00B936A0" w:rsidRPr="00B936A0" w:rsidRDefault="00B936A0" w:rsidP="00666335">
      <w:pPr>
        <w:widowControl w:val="0"/>
        <w:numPr>
          <w:ilvl w:val="1"/>
          <w:numId w:val="39"/>
        </w:numPr>
        <w:tabs>
          <w:tab w:val="num" w:pos="709"/>
          <w:tab w:val="num" w:pos="2069"/>
        </w:tabs>
        <w:spacing w:before="120" w:after="120" w:line="240" w:lineRule="auto"/>
        <w:ind w:left="851" w:hanging="425"/>
        <w:jc w:val="both"/>
        <w:rPr>
          <w:rFonts w:ascii="Times New Roman" w:eastAsia="Times New Roman" w:hAnsi="Times New Roman" w:cs="Times New Roman"/>
          <w:bCs/>
        </w:rPr>
      </w:pPr>
      <w:r w:rsidRPr="00B936A0">
        <w:rPr>
          <w:rFonts w:ascii="Times New Roman" w:eastAsia="Times New Roman" w:hAnsi="Times New Roman" w:cs="Times New Roman"/>
          <w:bCs/>
        </w:rPr>
        <w:t xml:space="preserve">heti óraszám - nappali munkarend: </w:t>
      </w:r>
      <w:r w:rsidR="00C9612C">
        <w:rPr>
          <w:rFonts w:ascii="Times New Roman" w:eastAsia="Times New Roman" w:hAnsi="Times New Roman" w:cs="Times New Roman"/>
          <w:bCs/>
        </w:rPr>
        <w:t>2(1+1)</w:t>
      </w:r>
    </w:p>
    <w:p w:rsidR="00B936A0" w:rsidRPr="00B936A0" w:rsidRDefault="00B936A0" w:rsidP="00666335">
      <w:pPr>
        <w:widowControl w:val="0"/>
        <w:numPr>
          <w:ilvl w:val="1"/>
          <w:numId w:val="39"/>
        </w:numPr>
        <w:tabs>
          <w:tab w:val="num" w:pos="3545"/>
        </w:tabs>
        <w:spacing w:before="120" w:after="120" w:line="240" w:lineRule="auto"/>
        <w:ind w:left="851"/>
        <w:jc w:val="both"/>
        <w:rPr>
          <w:rFonts w:ascii="Times New Roman" w:eastAsia="Times New Roman" w:hAnsi="Times New Roman" w:cs="Times New Roman"/>
          <w:bCs/>
        </w:rPr>
      </w:pPr>
      <w:r w:rsidRPr="00B936A0">
        <w:rPr>
          <w:rFonts w:ascii="Times New Roman" w:hAnsi="Times New Roman" w:cs="Times New Roman"/>
        </w:rPr>
        <w:t>Az ismeret átadásában alkalmazandó további sajátos módok, jellemzők: az ismeretek feldolgozása vegyes tanulási program (blended learning) alapján történik.</w:t>
      </w:r>
    </w:p>
    <w:p w:rsidR="00B936A0" w:rsidRPr="00B936A0" w:rsidRDefault="00B936A0" w:rsidP="00666335">
      <w:pPr>
        <w:widowControl w:val="0"/>
        <w:numPr>
          <w:ilvl w:val="0"/>
          <w:numId w:val="39"/>
        </w:numPr>
        <w:spacing w:before="120" w:after="120" w:line="240" w:lineRule="auto"/>
        <w:ind w:left="426" w:hanging="142"/>
        <w:jc w:val="both"/>
        <w:rPr>
          <w:rFonts w:ascii="Times New Roman" w:eastAsia="Times New Roman" w:hAnsi="Times New Roman" w:cs="Times New Roman"/>
          <w:bCs/>
        </w:rPr>
      </w:pPr>
      <w:r w:rsidRPr="00B936A0">
        <w:rPr>
          <w:rFonts w:ascii="Times New Roman" w:eastAsia="Times New Roman" w:hAnsi="Times New Roman" w:cs="Times New Roman"/>
          <w:b/>
          <w:bCs/>
        </w:rPr>
        <w:t>A tantárgy szakmai tartalma (magyarul):</w:t>
      </w:r>
      <w:r w:rsidRPr="00B936A0">
        <w:rPr>
          <w:rFonts w:ascii="Times New Roman" w:eastAsia="Times New Roman" w:hAnsi="Times New Roman" w:cs="Times New Roman"/>
          <w:bCs/>
        </w:rPr>
        <w:t xml:space="preserve"> A tárgy keretében a hallgatók megismerkednek a katonatisztek erkölcsi és morális értékeivel, illetve a katonatisztek személyközi kommunikációjának jellemzőivel.</w:t>
      </w:r>
    </w:p>
    <w:p w:rsidR="00B936A0" w:rsidRPr="00B936A0" w:rsidRDefault="00B936A0" w:rsidP="00B936A0">
      <w:pPr>
        <w:widowControl w:val="0"/>
        <w:spacing w:before="120" w:after="120" w:line="240" w:lineRule="auto"/>
        <w:ind w:left="426"/>
        <w:jc w:val="both"/>
        <w:rPr>
          <w:rFonts w:ascii="Times New Roman" w:eastAsia="Times New Roman" w:hAnsi="Times New Roman" w:cs="Times New Roman"/>
          <w:bCs/>
          <w:lang w:val="en-GB"/>
        </w:rPr>
      </w:pPr>
      <w:r w:rsidRPr="00B936A0">
        <w:rPr>
          <w:rFonts w:ascii="Times New Roman" w:eastAsia="Times New Roman" w:hAnsi="Times New Roman" w:cs="Times New Roman"/>
          <w:b/>
          <w:bCs/>
        </w:rPr>
        <w:t>A tantárgy szakmai tartalma (angolul) (</w:t>
      </w:r>
      <w:r w:rsidRPr="00B936A0">
        <w:rPr>
          <w:rFonts w:ascii="Times New Roman" w:eastAsia="Times New Roman" w:hAnsi="Times New Roman" w:cs="Times New Roman"/>
          <w:b/>
          <w:bCs/>
          <w:lang w:val="en-US"/>
        </w:rPr>
        <w:t>Course description</w:t>
      </w:r>
      <w:r w:rsidRPr="00B936A0">
        <w:rPr>
          <w:rFonts w:ascii="Times New Roman" w:eastAsia="Times New Roman" w:hAnsi="Times New Roman" w:cs="Times New Roman"/>
          <w:b/>
          <w:bCs/>
        </w:rPr>
        <w:t xml:space="preserve">): </w:t>
      </w:r>
      <w:r w:rsidRPr="00B936A0">
        <w:rPr>
          <w:rFonts w:ascii="Times New Roman" w:eastAsia="Times New Roman" w:hAnsi="Times New Roman" w:cs="Times New Roman"/>
          <w:bCs/>
        </w:rPr>
        <w:t>The course gives insight into the ethical and moral values of Hungarian military officers, and into the characters of their communication ont he personal level.</w:t>
      </w:r>
    </w:p>
    <w:p w:rsidR="00B936A0" w:rsidRPr="00B936A0" w:rsidRDefault="00B936A0" w:rsidP="00666335">
      <w:pPr>
        <w:pStyle w:val="Listaszerbekezds"/>
        <w:widowControl w:val="0"/>
        <w:numPr>
          <w:ilvl w:val="0"/>
          <w:numId w:val="39"/>
        </w:numPr>
        <w:spacing w:before="120" w:after="120" w:line="240" w:lineRule="auto"/>
        <w:jc w:val="both"/>
        <w:rPr>
          <w:rFonts w:ascii="Times New Roman" w:eastAsia="Times New Roman" w:hAnsi="Times New Roman" w:cs="Times New Roman"/>
          <w:bCs/>
        </w:rPr>
      </w:pPr>
      <w:r w:rsidRPr="00B936A0">
        <w:rPr>
          <w:rFonts w:ascii="Times New Roman" w:eastAsia="Times New Roman" w:hAnsi="Times New Roman" w:cs="Times New Roman"/>
          <w:b/>
          <w:bCs/>
        </w:rPr>
        <w:t xml:space="preserve">Elérendő kompetenciák (magyarul): </w:t>
      </w:r>
    </w:p>
    <w:p w:rsidR="00B936A0" w:rsidRPr="00B936A0" w:rsidRDefault="00B936A0" w:rsidP="00B936A0">
      <w:pPr>
        <w:widowControl w:val="0"/>
        <w:spacing w:before="120" w:after="120" w:line="240" w:lineRule="auto"/>
        <w:ind w:left="426"/>
        <w:jc w:val="both"/>
        <w:rPr>
          <w:rFonts w:ascii="Times New Roman" w:eastAsia="Times New Roman" w:hAnsi="Times New Roman" w:cs="Times New Roman"/>
          <w:bCs/>
        </w:rPr>
      </w:pPr>
      <w:r w:rsidRPr="00B936A0">
        <w:rPr>
          <w:rFonts w:ascii="Times New Roman" w:eastAsia="Times New Roman" w:hAnsi="Times New Roman" w:cs="Times New Roman"/>
          <w:b/>
          <w:bCs/>
        </w:rPr>
        <w:t>Tudása:</w:t>
      </w:r>
      <w:r w:rsidRPr="00B936A0">
        <w:rPr>
          <w:rFonts w:ascii="Times New Roman" w:eastAsia="Times New Roman" w:hAnsi="Times New Roman" w:cs="Times New Roman"/>
          <w:bCs/>
        </w:rPr>
        <w:t xml:space="preserve"> </w:t>
      </w:r>
    </w:p>
    <w:p w:rsidR="00B936A0" w:rsidRPr="00B936A0" w:rsidRDefault="00B936A0" w:rsidP="00666335">
      <w:pPr>
        <w:pStyle w:val="Listaszerbekezds"/>
        <w:widowControl w:val="0"/>
        <w:numPr>
          <w:ilvl w:val="0"/>
          <w:numId w:val="38"/>
        </w:numPr>
        <w:spacing w:before="120" w:after="120" w:line="240" w:lineRule="auto"/>
        <w:jc w:val="both"/>
        <w:rPr>
          <w:rFonts w:ascii="Times New Roman" w:eastAsia="Times New Roman" w:hAnsi="Times New Roman" w:cs="Times New Roman"/>
          <w:bCs/>
        </w:rPr>
      </w:pPr>
      <w:r w:rsidRPr="00B936A0">
        <w:rPr>
          <w:rFonts w:ascii="Times New Roman" w:eastAsia="Times New Roman" w:hAnsi="Times New Roman" w:cs="Times New Roman"/>
          <w:bCs/>
        </w:rPr>
        <w:t xml:space="preserve">Olyan szintű ismeretek átadása és készségek kifejlesztése, amelyek biztosítják, hogy a hallgató megismerje és reálisan értékelje a magyar hadművészet történetét, ismerje a magyar katonai hagyományokat, azokat elhelyezhesse európai kontextusban. </w:t>
      </w:r>
    </w:p>
    <w:p w:rsidR="00B936A0" w:rsidRPr="00B936A0" w:rsidRDefault="00B936A0" w:rsidP="00666335">
      <w:pPr>
        <w:pStyle w:val="Listaszerbekezds"/>
        <w:widowControl w:val="0"/>
        <w:numPr>
          <w:ilvl w:val="0"/>
          <w:numId w:val="38"/>
        </w:numPr>
        <w:spacing w:before="120" w:after="120" w:line="240" w:lineRule="auto"/>
        <w:jc w:val="both"/>
        <w:rPr>
          <w:rFonts w:ascii="Times New Roman" w:eastAsia="Times New Roman" w:hAnsi="Times New Roman" w:cs="Times New Roman"/>
          <w:bCs/>
        </w:rPr>
      </w:pPr>
      <w:r w:rsidRPr="00B936A0">
        <w:rPr>
          <w:rFonts w:ascii="Times New Roman" w:eastAsia="Times New Roman" w:hAnsi="Times New Roman" w:cs="Times New Roman"/>
          <w:bCs/>
        </w:rPr>
        <w:t>A hadtudományi alapismeretek szerves részekét képező nemzeti katonai értékrend, hagyományok és az egyetemes és magyar hadtörténelem főbb eseményeit, jelenségeit ismeri.</w:t>
      </w:r>
    </w:p>
    <w:p w:rsidR="00B936A0" w:rsidRPr="00B936A0" w:rsidRDefault="00B936A0" w:rsidP="00666335">
      <w:pPr>
        <w:pStyle w:val="Listaszerbekezds"/>
        <w:widowControl w:val="0"/>
        <w:numPr>
          <w:ilvl w:val="0"/>
          <w:numId w:val="38"/>
        </w:numPr>
        <w:spacing w:before="120" w:after="120" w:line="240" w:lineRule="auto"/>
        <w:jc w:val="both"/>
        <w:rPr>
          <w:rFonts w:ascii="Times New Roman" w:eastAsia="Times New Roman" w:hAnsi="Times New Roman" w:cs="Times New Roman"/>
          <w:bCs/>
        </w:rPr>
      </w:pPr>
      <w:r w:rsidRPr="00B936A0">
        <w:rPr>
          <w:rFonts w:ascii="Times New Roman" w:eastAsia="Times New Roman" w:hAnsi="Times New Roman" w:cs="Times New Roman"/>
          <w:bCs/>
        </w:rPr>
        <w:t>Alapvetően ismeri a médiával kapcsolatos eljárásokat.</w:t>
      </w:r>
    </w:p>
    <w:p w:rsidR="00B936A0" w:rsidRPr="00B936A0" w:rsidRDefault="00B936A0" w:rsidP="00B936A0">
      <w:pPr>
        <w:widowControl w:val="0"/>
        <w:spacing w:before="120" w:after="120" w:line="240" w:lineRule="auto"/>
        <w:ind w:left="426"/>
        <w:jc w:val="both"/>
        <w:rPr>
          <w:rFonts w:ascii="Times New Roman" w:eastAsia="Times New Roman" w:hAnsi="Times New Roman" w:cs="Times New Roman"/>
          <w:bCs/>
        </w:rPr>
      </w:pPr>
      <w:r w:rsidRPr="00B936A0">
        <w:rPr>
          <w:rFonts w:ascii="Times New Roman" w:eastAsia="Times New Roman" w:hAnsi="Times New Roman" w:cs="Times New Roman"/>
          <w:b/>
          <w:bCs/>
        </w:rPr>
        <w:t>Képességei:</w:t>
      </w:r>
      <w:r w:rsidRPr="00B936A0">
        <w:rPr>
          <w:rFonts w:ascii="Times New Roman" w:eastAsia="Times New Roman" w:hAnsi="Times New Roman" w:cs="Times New Roman"/>
          <w:bCs/>
        </w:rPr>
        <w:t xml:space="preserve"> </w:t>
      </w:r>
    </w:p>
    <w:p w:rsidR="00B936A0" w:rsidRPr="00B936A0" w:rsidRDefault="00B936A0" w:rsidP="00666335">
      <w:pPr>
        <w:pStyle w:val="Listaszerbekezds"/>
        <w:widowControl w:val="0"/>
        <w:numPr>
          <w:ilvl w:val="0"/>
          <w:numId w:val="38"/>
        </w:numPr>
        <w:spacing w:before="120" w:after="120" w:line="240" w:lineRule="auto"/>
        <w:jc w:val="both"/>
        <w:rPr>
          <w:rFonts w:ascii="Times New Roman" w:eastAsia="Times New Roman" w:hAnsi="Times New Roman" w:cs="Times New Roman"/>
          <w:bCs/>
        </w:rPr>
      </w:pPr>
      <w:r w:rsidRPr="00B936A0">
        <w:rPr>
          <w:rFonts w:ascii="Times New Roman" w:eastAsia="Times New Roman" w:hAnsi="Times New Roman" w:cs="Times New Roman"/>
          <w:bCs/>
        </w:rPr>
        <w:t>Képes a rábízott alegység harc és harccal kapcsolatos tevékenységének megtervezésére, megszervezésére és vezetésére.</w:t>
      </w:r>
    </w:p>
    <w:p w:rsidR="00B936A0" w:rsidRPr="00B936A0" w:rsidRDefault="00B936A0" w:rsidP="00666335">
      <w:pPr>
        <w:pStyle w:val="Listaszerbekezds"/>
        <w:widowControl w:val="0"/>
        <w:numPr>
          <w:ilvl w:val="0"/>
          <w:numId w:val="38"/>
        </w:numPr>
        <w:spacing w:before="120" w:after="120" w:line="240" w:lineRule="auto"/>
        <w:jc w:val="both"/>
        <w:rPr>
          <w:rFonts w:ascii="Times New Roman" w:eastAsia="Times New Roman" w:hAnsi="Times New Roman" w:cs="Times New Roman"/>
          <w:bCs/>
        </w:rPr>
      </w:pPr>
      <w:r w:rsidRPr="00B936A0">
        <w:rPr>
          <w:rFonts w:ascii="Times New Roman" w:eastAsia="Times New Roman" w:hAnsi="Times New Roman" w:cs="Times New Roman"/>
          <w:bCs/>
        </w:rPr>
        <w:t>Képes a szakasz kiképzéséhez szükséges szakmódszertani ismeretek alkalmazására.</w:t>
      </w:r>
    </w:p>
    <w:p w:rsidR="00B936A0" w:rsidRPr="00B936A0" w:rsidRDefault="00B936A0" w:rsidP="00666335">
      <w:pPr>
        <w:pStyle w:val="Listaszerbekezds"/>
        <w:widowControl w:val="0"/>
        <w:numPr>
          <w:ilvl w:val="0"/>
          <w:numId w:val="38"/>
        </w:numPr>
        <w:spacing w:before="120" w:after="120" w:line="240" w:lineRule="auto"/>
        <w:jc w:val="both"/>
        <w:rPr>
          <w:rFonts w:ascii="Times New Roman" w:eastAsia="Times New Roman" w:hAnsi="Times New Roman" w:cs="Times New Roman"/>
          <w:bCs/>
        </w:rPr>
      </w:pPr>
      <w:r w:rsidRPr="00B936A0">
        <w:rPr>
          <w:rFonts w:ascii="Times New Roman" w:eastAsia="Times New Roman" w:hAnsi="Times New Roman" w:cs="Times New Roman"/>
          <w:bCs/>
        </w:rPr>
        <w:t>Képes más fegyvernemekkel és szakalegységekkel való együttműködésre.</w:t>
      </w:r>
    </w:p>
    <w:p w:rsidR="00472829" w:rsidRDefault="00472829">
      <w:pPr>
        <w:spacing w:after="200" w:line="276" w:lineRule="auto"/>
        <w:rPr>
          <w:rFonts w:ascii="Times New Roman" w:eastAsia="Times New Roman" w:hAnsi="Times New Roman" w:cs="Times New Roman"/>
          <w:b/>
          <w:bCs/>
        </w:rPr>
      </w:pPr>
      <w:r>
        <w:rPr>
          <w:rFonts w:ascii="Times New Roman" w:eastAsia="Times New Roman" w:hAnsi="Times New Roman" w:cs="Times New Roman"/>
          <w:b/>
          <w:bCs/>
        </w:rPr>
        <w:br w:type="page"/>
      </w:r>
    </w:p>
    <w:p w:rsidR="00B936A0" w:rsidRPr="00B936A0" w:rsidRDefault="00B936A0" w:rsidP="00B936A0">
      <w:pPr>
        <w:widowControl w:val="0"/>
        <w:spacing w:before="120" w:after="120" w:line="240" w:lineRule="auto"/>
        <w:ind w:left="426"/>
        <w:jc w:val="both"/>
        <w:rPr>
          <w:rFonts w:ascii="Times New Roman" w:eastAsia="Times New Roman" w:hAnsi="Times New Roman" w:cs="Times New Roman"/>
          <w:bCs/>
        </w:rPr>
      </w:pPr>
      <w:r w:rsidRPr="00B936A0">
        <w:rPr>
          <w:rFonts w:ascii="Times New Roman" w:eastAsia="Times New Roman" w:hAnsi="Times New Roman" w:cs="Times New Roman"/>
          <w:b/>
          <w:bCs/>
        </w:rPr>
        <w:lastRenderedPageBreak/>
        <w:t>Attitűdje:</w:t>
      </w:r>
      <w:r w:rsidRPr="00B936A0">
        <w:rPr>
          <w:rFonts w:ascii="Times New Roman" w:eastAsia="Times New Roman" w:hAnsi="Times New Roman" w:cs="Times New Roman"/>
          <w:bCs/>
        </w:rPr>
        <w:t xml:space="preserve"> </w:t>
      </w:r>
    </w:p>
    <w:p w:rsidR="00B936A0" w:rsidRPr="00B936A0" w:rsidRDefault="00B936A0" w:rsidP="00666335">
      <w:pPr>
        <w:pStyle w:val="Listaszerbekezds"/>
        <w:widowControl w:val="0"/>
        <w:numPr>
          <w:ilvl w:val="0"/>
          <w:numId w:val="38"/>
        </w:numPr>
        <w:spacing w:before="120" w:after="120" w:line="240" w:lineRule="auto"/>
        <w:jc w:val="both"/>
        <w:rPr>
          <w:rFonts w:ascii="Times New Roman" w:eastAsia="Times New Roman" w:hAnsi="Times New Roman" w:cs="Times New Roman"/>
          <w:bCs/>
        </w:rPr>
      </w:pPr>
      <w:r w:rsidRPr="00B936A0">
        <w:rPr>
          <w:rFonts w:ascii="Times New Roman" w:eastAsia="Times New Roman" w:hAnsi="Times New Roman" w:cs="Times New Roman"/>
          <w:bCs/>
        </w:rPr>
        <w:t>Megérti az élethosszig tartó tanulás jelentőségét, törekszik ennek megvalósítására, a folyamatos szakmai képzésre és általános önképzésre.</w:t>
      </w:r>
    </w:p>
    <w:p w:rsidR="00B936A0" w:rsidRPr="00B936A0" w:rsidRDefault="00B936A0" w:rsidP="00666335">
      <w:pPr>
        <w:pStyle w:val="Listaszerbekezds"/>
        <w:widowControl w:val="0"/>
        <w:numPr>
          <w:ilvl w:val="0"/>
          <w:numId w:val="38"/>
        </w:numPr>
        <w:spacing w:before="120" w:after="120" w:line="240" w:lineRule="auto"/>
        <w:jc w:val="both"/>
        <w:rPr>
          <w:rFonts w:ascii="Times New Roman" w:eastAsia="Times New Roman" w:hAnsi="Times New Roman" w:cs="Times New Roman"/>
          <w:bCs/>
        </w:rPr>
      </w:pPr>
      <w:r w:rsidRPr="00B936A0">
        <w:rPr>
          <w:rFonts w:ascii="Times New Roman" w:eastAsia="Times New Roman" w:hAnsi="Times New Roman" w:cs="Times New Roman"/>
          <w:bCs/>
        </w:rPr>
        <w:t>Elkötelezett szakterülete etikai és jogi szabályainak betartására.</w:t>
      </w:r>
    </w:p>
    <w:p w:rsidR="00B936A0" w:rsidRPr="00B936A0" w:rsidRDefault="00B936A0" w:rsidP="00B936A0">
      <w:pPr>
        <w:widowControl w:val="0"/>
        <w:spacing w:before="120" w:after="120" w:line="240" w:lineRule="auto"/>
        <w:ind w:left="426"/>
        <w:jc w:val="both"/>
        <w:rPr>
          <w:rFonts w:ascii="Times New Roman" w:eastAsia="Times New Roman" w:hAnsi="Times New Roman" w:cs="Times New Roman"/>
          <w:bCs/>
        </w:rPr>
      </w:pPr>
      <w:r w:rsidRPr="00B936A0">
        <w:rPr>
          <w:rFonts w:ascii="Times New Roman" w:eastAsia="Times New Roman" w:hAnsi="Times New Roman" w:cs="Times New Roman"/>
          <w:b/>
          <w:bCs/>
        </w:rPr>
        <w:t>Autonómiája és felelőssége:</w:t>
      </w:r>
      <w:r w:rsidRPr="00B936A0">
        <w:rPr>
          <w:rFonts w:ascii="Times New Roman" w:eastAsia="Times New Roman" w:hAnsi="Times New Roman" w:cs="Times New Roman"/>
          <w:bCs/>
        </w:rPr>
        <w:t xml:space="preserve"> </w:t>
      </w:r>
    </w:p>
    <w:p w:rsidR="00B936A0" w:rsidRPr="00B936A0" w:rsidRDefault="00B936A0" w:rsidP="00666335">
      <w:pPr>
        <w:pStyle w:val="Listaszerbekezds"/>
        <w:widowControl w:val="0"/>
        <w:numPr>
          <w:ilvl w:val="0"/>
          <w:numId w:val="38"/>
        </w:numPr>
        <w:spacing w:before="120" w:after="120" w:line="240" w:lineRule="auto"/>
        <w:jc w:val="both"/>
        <w:rPr>
          <w:rFonts w:ascii="Times New Roman" w:eastAsia="Times New Roman" w:hAnsi="Times New Roman" w:cs="Times New Roman"/>
          <w:bCs/>
        </w:rPr>
      </w:pPr>
      <w:r w:rsidRPr="00B936A0">
        <w:rPr>
          <w:rFonts w:ascii="Times New Roman" w:eastAsia="Times New Roman" w:hAnsi="Times New Roman" w:cs="Times New Roman"/>
          <w:bCs/>
        </w:rPr>
        <w:t>Beosztásából adódó önállósággal végzi az általános és speciális szakmai kérdések végig gondolását és adott tényezők és körülmények alapján történő kidolgozását, amely során széles látókörére, általános és szakmai műveltségére, valamint problémafelismerő és -megoldó készségére támaszkodik.</w:t>
      </w:r>
    </w:p>
    <w:p w:rsidR="00B936A0" w:rsidRPr="00B936A0" w:rsidRDefault="00B936A0" w:rsidP="00B936A0">
      <w:pPr>
        <w:widowControl w:val="0"/>
        <w:spacing w:before="120" w:after="120" w:line="240" w:lineRule="auto"/>
        <w:ind w:left="426"/>
        <w:jc w:val="both"/>
        <w:rPr>
          <w:rFonts w:ascii="Times New Roman" w:eastAsia="Times New Roman" w:hAnsi="Times New Roman" w:cs="Times New Roman"/>
          <w:b/>
          <w:bCs/>
          <w:lang w:val="en-US"/>
        </w:rPr>
      </w:pPr>
      <w:r w:rsidRPr="00B936A0">
        <w:rPr>
          <w:rFonts w:ascii="Times New Roman" w:eastAsia="Times New Roman" w:hAnsi="Times New Roman" w:cs="Times New Roman"/>
          <w:b/>
          <w:bCs/>
        </w:rPr>
        <w:t>Elérendő kompetenciák (angolul) (</w:t>
      </w:r>
      <w:r w:rsidRPr="00B936A0">
        <w:rPr>
          <w:rFonts w:ascii="Times New Roman" w:eastAsia="Times New Roman" w:hAnsi="Times New Roman" w:cs="Times New Roman"/>
          <w:b/>
          <w:bCs/>
          <w:lang w:val="en-US"/>
        </w:rPr>
        <w:t xml:space="preserve">Competences – English): </w:t>
      </w:r>
    </w:p>
    <w:p w:rsidR="00B936A0" w:rsidRPr="00B936A0" w:rsidRDefault="00B936A0" w:rsidP="00B936A0">
      <w:pPr>
        <w:widowControl w:val="0"/>
        <w:spacing w:before="120" w:after="120" w:line="240" w:lineRule="auto"/>
        <w:ind w:left="426"/>
        <w:jc w:val="both"/>
        <w:rPr>
          <w:rFonts w:ascii="Times New Roman" w:eastAsia="Times New Roman" w:hAnsi="Times New Roman" w:cs="Times New Roman"/>
          <w:lang w:val="en-GB"/>
        </w:rPr>
      </w:pPr>
      <w:r w:rsidRPr="00B936A0">
        <w:rPr>
          <w:rFonts w:ascii="Times New Roman" w:eastAsia="Times New Roman" w:hAnsi="Times New Roman" w:cs="Times New Roman"/>
          <w:b/>
          <w:lang w:val="en-GB"/>
        </w:rPr>
        <w:t>Knowledge</w:t>
      </w:r>
      <w:r w:rsidRPr="00B936A0">
        <w:rPr>
          <w:rFonts w:ascii="Times New Roman" w:eastAsia="Times New Roman" w:hAnsi="Times New Roman" w:cs="Times New Roman"/>
          <w:lang w:val="en-GB"/>
        </w:rPr>
        <w:t xml:space="preserve">: </w:t>
      </w:r>
    </w:p>
    <w:p w:rsidR="00B936A0" w:rsidRPr="00472829" w:rsidRDefault="00B936A0" w:rsidP="00666335">
      <w:pPr>
        <w:pStyle w:val="Listaszerbekezds"/>
        <w:widowControl w:val="0"/>
        <w:numPr>
          <w:ilvl w:val="0"/>
          <w:numId w:val="38"/>
        </w:numPr>
        <w:spacing w:before="120" w:after="120" w:line="240" w:lineRule="auto"/>
        <w:jc w:val="both"/>
        <w:rPr>
          <w:rFonts w:ascii="Times New Roman" w:eastAsia="Times New Roman" w:hAnsi="Times New Roman" w:cs="Times New Roman"/>
          <w:bCs/>
        </w:rPr>
      </w:pPr>
      <w:r w:rsidRPr="00472829">
        <w:rPr>
          <w:rFonts w:ascii="Times New Roman" w:eastAsia="Times New Roman" w:hAnsi="Times New Roman" w:cs="Times New Roman"/>
          <w:bCs/>
        </w:rPr>
        <w:t>Hungarian military tradition and officer’s values in European context.</w:t>
      </w:r>
    </w:p>
    <w:p w:rsidR="00B936A0" w:rsidRPr="00B936A0" w:rsidRDefault="00B936A0" w:rsidP="00666335">
      <w:pPr>
        <w:pStyle w:val="Listaszerbekezds"/>
        <w:widowControl w:val="0"/>
        <w:numPr>
          <w:ilvl w:val="0"/>
          <w:numId w:val="38"/>
        </w:numPr>
        <w:spacing w:before="120" w:after="120" w:line="240" w:lineRule="auto"/>
        <w:jc w:val="both"/>
        <w:rPr>
          <w:rFonts w:ascii="Times New Roman" w:eastAsia="Times New Roman" w:hAnsi="Times New Roman" w:cs="Times New Roman"/>
          <w:bCs/>
        </w:rPr>
      </w:pPr>
      <w:r w:rsidRPr="00472829">
        <w:rPr>
          <w:rFonts w:ascii="Times New Roman" w:eastAsia="Times New Roman" w:hAnsi="Times New Roman" w:cs="Times New Roman"/>
          <w:bCs/>
        </w:rPr>
        <w:t>Know the procedures of media.</w:t>
      </w:r>
    </w:p>
    <w:p w:rsidR="00B936A0" w:rsidRPr="00B936A0" w:rsidRDefault="00B936A0" w:rsidP="00B936A0">
      <w:pPr>
        <w:widowControl w:val="0"/>
        <w:spacing w:before="120" w:after="120" w:line="240" w:lineRule="auto"/>
        <w:ind w:left="426"/>
        <w:jc w:val="both"/>
        <w:rPr>
          <w:rFonts w:ascii="Times New Roman" w:eastAsia="Times New Roman" w:hAnsi="Times New Roman" w:cs="Times New Roman"/>
          <w:lang w:val="en-GB"/>
        </w:rPr>
      </w:pPr>
      <w:r w:rsidRPr="00B936A0">
        <w:rPr>
          <w:rFonts w:ascii="Times New Roman" w:eastAsia="Times New Roman" w:hAnsi="Times New Roman" w:cs="Times New Roman"/>
          <w:b/>
          <w:lang w:val="en-GB"/>
        </w:rPr>
        <w:t>Capabilities</w:t>
      </w:r>
      <w:r w:rsidRPr="00B936A0">
        <w:rPr>
          <w:rFonts w:ascii="Times New Roman" w:eastAsia="Times New Roman" w:hAnsi="Times New Roman" w:cs="Times New Roman"/>
          <w:lang w:val="en-GB"/>
        </w:rPr>
        <w:t>:</w:t>
      </w:r>
    </w:p>
    <w:p w:rsidR="00B936A0" w:rsidRPr="00B936A0" w:rsidRDefault="00B936A0" w:rsidP="00666335">
      <w:pPr>
        <w:pStyle w:val="Listaszerbekezds"/>
        <w:widowControl w:val="0"/>
        <w:numPr>
          <w:ilvl w:val="0"/>
          <w:numId w:val="38"/>
        </w:numPr>
        <w:spacing w:before="120" w:after="120" w:line="240" w:lineRule="auto"/>
        <w:jc w:val="both"/>
        <w:rPr>
          <w:rFonts w:ascii="Times New Roman" w:eastAsia="Times New Roman" w:hAnsi="Times New Roman" w:cs="Times New Roman"/>
          <w:bCs/>
        </w:rPr>
      </w:pPr>
      <w:r w:rsidRPr="00B936A0">
        <w:rPr>
          <w:rFonts w:ascii="Times New Roman" w:eastAsia="Times New Roman" w:hAnsi="Times New Roman" w:cs="Times New Roman"/>
          <w:bCs/>
        </w:rPr>
        <w:t>Ability to plan, organize and conduct combat and combat-related activities of the subordinate.</w:t>
      </w:r>
    </w:p>
    <w:p w:rsidR="00B936A0" w:rsidRPr="00B936A0" w:rsidRDefault="00B936A0" w:rsidP="00666335">
      <w:pPr>
        <w:pStyle w:val="Listaszerbekezds"/>
        <w:widowControl w:val="0"/>
        <w:numPr>
          <w:ilvl w:val="0"/>
          <w:numId w:val="38"/>
        </w:numPr>
        <w:spacing w:before="120" w:after="120" w:line="240" w:lineRule="auto"/>
        <w:jc w:val="both"/>
        <w:rPr>
          <w:rFonts w:ascii="Times New Roman" w:eastAsia="Times New Roman" w:hAnsi="Times New Roman" w:cs="Times New Roman"/>
          <w:lang w:val="en-GB"/>
        </w:rPr>
      </w:pPr>
      <w:r w:rsidRPr="00B936A0">
        <w:rPr>
          <w:rFonts w:ascii="Times New Roman" w:eastAsia="Times New Roman" w:hAnsi="Times New Roman" w:cs="Times New Roman"/>
          <w:lang w:val="en-GB"/>
        </w:rPr>
        <w:t>Is able to apply the necessary technical knowledge for the training of the platoon.</w:t>
      </w:r>
    </w:p>
    <w:p w:rsidR="00B936A0" w:rsidRPr="00B936A0" w:rsidRDefault="00B936A0" w:rsidP="00666335">
      <w:pPr>
        <w:pStyle w:val="Listaszerbekezds"/>
        <w:widowControl w:val="0"/>
        <w:numPr>
          <w:ilvl w:val="0"/>
          <w:numId w:val="38"/>
        </w:numPr>
        <w:spacing w:before="120" w:after="120" w:line="240" w:lineRule="auto"/>
        <w:jc w:val="both"/>
        <w:rPr>
          <w:rFonts w:ascii="Times New Roman" w:eastAsia="Times New Roman" w:hAnsi="Times New Roman" w:cs="Times New Roman"/>
          <w:lang w:val="en-GB"/>
        </w:rPr>
      </w:pPr>
      <w:r w:rsidRPr="00B936A0">
        <w:rPr>
          <w:rFonts w:ascii="Times New Roman" w:eastAsia="Times New Roman" w:hAnsi="Times New Roman" w:cs="Times New Roman"/>
          <w:lang w:val="en-GB"/>
        </w:rPr>
        <w:t>Cooperation in work with other branch.</w:t>
      </w:r>
    </w:p>
    <w:p w:rsidR="00B936A0" w:rsidRPr="00B936A0" w:rsidRDefault="00B936A0" w:rsidP="00B93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Times New Roman" w:eastAsia="Times New Roman" w:hAnsi="Times New Roman" w:cs="Times New Roman"/>
          <w:lang w:val="en-GB"/>
        </w:rPr>
      </w:pPr>
      <w:r w:rsidRPr="00B936A0">
        <w:rPr>
          <w:rFonts w:ascii="Times New Roman" w:eastAsia="Times New Roman" w:hAnsi="Times New Roman" w:cs="Times New Roman"/>
          <w:b/>
          <w:lang w:val="en-GB"/>
        </w:rPr>
        <w:t>Attitude:</w:t>
      </w:r>
      <w:r w:rsidRPr="00B936A0">
        <w:rPr>
          <w:rFonts w:ascii="Times New Roman" w:eastAsia="Times New Roman" w:hAnsi="Times New Roman" w:cs="Times New Roman"/>
          <w:lang w:val="en-GB"/>
        </w:rPr>
        <w:t xml:space="preserve"> </w:t>
      </w:r>
    </w:p>
    <w:p w:rsidR="00B936A0" w:rsidRPr="00B936A0" w:rsidRDefault="00B936A0" w:rsidP="00666335">
      <w:pPr>
        <w:pStyle w:val="Listaszerbekezds"/>
        <w:widowControl w:val="0"/>
        <w:numPr>
          <w:ilvl w:val="0"/>
          <w:numId w:val="38"/>
        </w:numPr>
        <w:spacing w:before="120" w:after="120" w:line="240" w:lineRule="auto"/>
        <w:jc w:val="both"/>
        <w:rPr>
          <w:rFonts w:ascii="Times New Roman" w:eastAsia="Times New Roman" w:hAnsi="Times New Roman" w:cs="Times New Roman"/>
          <w:bCs/>
          <w:lang w:val="en-GB"/>
        </w:rPr>
      </w:pPr>
      <w:r w:rsidRPr="00B936A0">
        <w:rPr>
          <w:rFonts w:ascii="Times New Roman" w:eastAsia="Times New Roman" w:hAnsi="Times New Roman" w:cs="Times New Roman"/>
          <w:bCs/>
          <w:lang w:val="en-GB"/>
        </w:rPr>
        <w:t xml:space="preserve">Understands the importance of life-long learning, he is keen on achieving this, with </w:t>
      </w:r>
      <w:r w:rsidRPr="00472829">
        <w:rPr>
          <w:rFonts w:ascii="Times New Roman" w:eastAsia="Times New Roman" w:hAnsi="Times New Roman" w:cs="Times New Roman"/>
          <w:bCs/>
        </w:rPr>
        <w:t>continuous</w:t>
      </w:r>
      <w:r w:rsidRPr="00B936A0">
        <w:rPr>
          <w:rFonts w:ascii="Times New Roman" w:eastAsia="Times New Roman" w:hAnsi="Times New Roman" w:cs="Times New Roman"/>
          <w:bCs/>
          <w:lang w:val="en-GB"/>
        </w:rPr>
        <w:t xml:space="preserve"> professional and self-personal development. </w:t>
      </w:r>
      <w:r w:rsidRPr="00B936A0">
        <w:rPr>
          <w:rFonts w:ascii="Times New Roman" w:eastAsia="Times New Roman" w:hAnsi="Times New Roman" w:cs="Times New Roman"/>
          <w:lang w:val="en-GB"/>
        </w:rPr>
        <w:t xml:space="preserve">Committed to the ethical and legal norms of her/his profession. </w:t>
      </w:r>
    </w:p>
    <w:p w:rsidR="00B936A0" w:rsidRPr="00B936A0" w:rsidRDefault="00B936A0" w:rsidP="00B936A0">
      <w:pPr>
        <w:widowControl w:val="0"/>
        <w:spacing w:before="120" w:after="120" w:line="240" w:lineRule="auto"/>
        <w:ind w:left="426"/>
        <w:jc w:val="both"/>
        <w:rPr>
          <w:rFonts w:ascii="Times New Roman" w:eastAsia="Times New Roman" w:hAnsi="Times New Roman" w:cs="Times New Roman"/>
          <w:b/>
          <w:lang w:val="en-GB"/>
        </w:rPr>
      </w:pPr>
      <w:r w:rsidRPr="00B936A0">
        <w:rPr>
          <w:rFonts w:ascii="Times New Roman" w:eastAsia="Times New Roman" w:hAnsi="Times New Roman" w:cs="Times New Roman"/>
          <w:b/>
          <w:lang w:val="en-GB"/>
        </w:rPr>
        <w:t xml:space="preserve">Autonomy and responsibility: </w:t>
      </w:r>
    </w:p>
    <w:p w:rsidR="00B936A0" w:rsidRPr="00B936A0" w:rsidRDefault="00B936A0" w:rsidP="00666335">
      <w:pPr>
        <w:pStyle w:val="Listaszerbekezds"/>
        <w:widowControl w:val="0"/>
        <w:numPr>
          <w:ilvl w:val="0"/>
          <w:numId w:val="38"/>
        </w:numPr>
        <w:spacing w:before="120" w:after="120" w:line="240" w:lineRule="auto"/>
        <w:jc w:val="both"/>
        <w:rPr>
          <w:rFonts w:ascii="Times New Roman" w:eastAsia="Times New Roman" w:hAnsi="Times New Roman" w:cs="Times New Roman"/>
          <w:lang w:val="en-GB"/>
        </w:rPr>
      </w:pPr>
      <w:r w:rsidRPr="00B936A0">
        <w:rPr>
          <w:rFonts w:ascii="Times New Roman" w:eastAsia="Times New Roman" w:hAnsi="Times New Roman" w:cs="Times New Roman"/>
          <w:bCs/>
          <w:lang w:val="en-GB"/>
        </w:rPr>
        <w:t xml:space="preserve">Thinks through the regular and special professional challenges and plans on basis of defined </w:t>
      </w:r>
      <w:r w:rsidRPr="00B936A0">
        <w:rPr>
          <w:rFonts w:ascii="Times New Roman" w:eastAsia="Times New Roman" w:hAnsi="Times New Roman" w:cs="Times New Roman"/>
          <w:bCs/>
        </w:rPr>
        <w:t>factors</w:t>
      </w:r>
      <w:r w:rsidRPr="00B936A0">
        <w:rPr>
          <w:rFonts w:ascii="Times New Roman" w:eastAsia="Times New Roman" w:hAnsi="Times New Roman" w:cs="Times New Roman"/>
          <w:bCs/>
          <w:lang w:val="en-GB"/>
        </w:rPr>
        <w:t xml:space="preserve"> and circumstances based on the independence originated from his assignment. His decisions </w:t>
      </w:r>
      <w:r w:rsidRPr="00472829">
        <w:rPr>
          <w:rFonts w:ascii="Times New Roman" w:eastAsia="Times New Roman" w:hAnsi="Times New Roman" w:cs="Times New Roman"/>
          <w:bCs/>
        </w:rPr>
        <w:t>are</w:t>
      </w:r>
      <w:r w:rsidRPr="00B936A0">
        <w:rPr>
          <w:rFonts w:ascii="Times New Roman" w:eastAsia="Times New Roman" w:hAnsi="Times New Roman" w:cs="Times New Roman"/>
          <w:bCs/>
          <w:lang w:val="en-GB"/>
        </w:rPr>
        <w:t xml:space="preserve"> supported with open-minded thinking, general and professional education, problem recognition and problem-solving capabilities.</w:t>
      </w:r>
    </w:p>
    <w:p w:rsidR="00B936A0" w:rsidRPr="00B936A0" w:rsidRDefault="00B936A0" w:rsidP="00666335">
      <w:pPr>
        <w:widowControl w:val="0"/>
        <w:numPr>
          <w:ilvl w:val="0"/>
          <w:numId w:val="39"/>
        </w:numPr>
        <w:tabs>
          <w:tab w:val="num" w:pos="567"/>
        </w:tabs>
        <w:spacing w:before="120" w:after="120" w:line="240" w:lineRule="auto"/>
        <w:ind w:left="426" w:hanging="142"/>
        <w:jc w:val="both"/>
        <w:rPr>
          <w:rFonts w:ascii="Times New Roman" w:eastAsia="Times New Roman" w:hAnsi="Times New Roman" w:cs="Times New Roman"/>
          <w:bCs/>
        </w:rPr>
      </w:pPr>
      <w:r w:rsidRPr="00B936A0">
        <w:rPr>
          <w:rFonts w:ascii="Times New Roman" w:eastAsia="Times New Roman" w:hAnsi="Times New Roman" w:cs="Times New Roman"/>
          <w:b/>
          <w:bCs/>
        </w:rPr>
        <w:t xml:space="preserve">Előtanulmányi követelmények: </w:t>
      </w:r>
      <w:r w:rsidRPr="00B936A0">
        <w:rPr>
          <w:rFonts w:ascii="Times New Roman" w:eastAsia="Times New Roman" w:hAnsi="Times New Roman" w:cs="Times New Roman"/>
          <w:bCs/>
        </w:rPr>
        <w:t>Nincs</w:t>
      </w:r>
    </w:p>
    <w:p w:rsidR="00B936A0" w:rsidRPr="00B936A0" w:rsidRDefault="00B936A0" w:rsidP="00666335">
      <w:pPr>
        <w:widowControl w:val="0"/>
        <w:numPr>
          <w:ilvl w:val="0"/>
          <w:numId w:val="39"/>
        </w:numPr>
        <w:spacing w:before="120" w:after="120" w:line="240" w:lineRule="auto"/>
        <w:ind w:left="426" w:hanging="142"/>
        <w:jc w:val="both"/>
        <w:rPr>
          <w:rFonts w:ascii="Times New Roman" w:eastAsia="Times New Roman" w:hAnsi="Times New Roman" w:cs="Times New Roman"/>
          <w:b/>
          <w:bCs/>
        </w:rPr>
      </w:pPr>
      <w:r w:rsidRPr="00B936A0">
        <w:rPr>
          <w:rFonts w:ascii="Times New Roman" w:eastAsia="Times New Roman" w:hAnsi="Times New Roman" w:cs="Times New Roman"/>
          <w:b/>
          <w:bCs/>
        </w:rPr>
        <w:t>A tantárgy tananyagának leírása, tematika. Description of the subject, curriculum (magyarul, angolul - English):</w:t>
      </w:r>
    </w:p>
    <w:p w:rsidR="00B936A0" w:rsidRPr="00B936A0" w:rsidRDefault="00B936A0" w:rsidP="00666335">
      <w:pPr>
        <w:widowControl w:val="0"/>
        <w:numPr>
          <w:ilvl w:val="1"/>
          <w:numId w:val="39"/>
        </w:numPr>
        <w:tabs>
          <w:tab w:val="left" w:pos="993"/>
          <w:tab w:val="num" w:pos="2069"/>
        </w:tabs>
        <w:spacing w:before="120" w:after="120" w:line="240" w:lineRule="auto"/>
        <w:ind w:left="993" w:hanging="567"/>
        <w:jc w:val="both"/>
        <w:rPr>
          <w:rFonts w:ascii="Times New Roman" w:eastAsia="Times New Roman" w:hAnsi="Times New Roman" w:cs="Times New Roman"/>
        </w:rPr>
      </w:pPr>
      <w:r w:rsidRPr="00B936A0">
        <w:rPr>
          <w:rFonts w:ascii="Times New Roman" w:eastAsia="Times New Roman" w:hAnsi="Times New Roman" w:cs="Times New Roman"/>
        </w:rPr>
        <w:t>Bevezetés az etikába (</w:t>
      </w:r>
      <w:r w:rsidRPr="00B936A0">
        <w:rPr>
          <w:rFonts w:ascii="Times New Roman" w:eastAsia="Times New Roman" w:hAnsi="Times New Roman" w:cs="Times New Roman"/>
          <w:i/>
        </w:rPr>
        <w:t>Introduction to Ethics</w:t>
      </w:r>
      <w:r w:rsidRPr="00B936A0">
        <w:rPr>
          <w:rFonts w:ascii="Times New Roman" w:eastAsia="Times New Roman" w:hAnsi="Times New Roman" w:cs="Times New Roman"/>
        </w:rPr>
        <w:t xml:space="preserve">). </w:t>
      </w:r>
    </w:p>
    <w:p w:rsidR="00B936A0" w:rsidRPr="00B936A0" w:rsidRDefault="00B936A0" w:rsidP="00666335">
      <w:pPr>
        <w:widowControl w:val="0"/>
        <w:numPr>
          <w:ilvl w:val="1"/>
          <w:numId w:val="39"/>
        </w:numPr>
        <w:tabs>
          <w:tab w:val="left" w:pos="993"/>
          <w:tab w:val="num" w:pos="2069"/>
        </w:tabs>
        <w:spacing w:before="120" w:after="120" w:line="240" w:lineRule="auto"/>
        <w:ind w:left="993" w:hanging="567"/>
        <w:jc w:val="both"/>
        <w:rPr>
          <w:rFonts w:ascii="Times New Roman" w:eastAsia="Times New Roman" w:hAnsi="Times New Roman" w:cs="Times New Roman"/>
        </w:rPr>
      </w:pPr>
      <w:r w:rsidRPr="00B936A0">
        <w:rPr>
          <w:rFonts w:ascii="Times New Roman" w:eastAsia="Times New Roman" w:hAnsi="Times New Roman" w:cs="Times New Roman"/>
        </w:rPr>
        <w:t>Bevezetés a katonai etikába. A katonai hivatás fogalma (</w:t>
      </w:r>
      <w:r w:rsidRPr="00B936A0">
        <w:rPr>
          <w:rFonts w:ascii="Times New Roman" w:eastAsia="Times New Roman" w:hAnsi="Times New Roman" w:cs="Times New Roman"/>
          <w:i/>
        </w:rPr>
        <w:t>Introduction to Military Ethics. Military Profession</w:t>
      </w:r>
      <w:r w:rsidRPr="00B936A0">
        <w:rPr>
          <w:rFonts w:ascii="Times New Roman" w:eastAsia="Times New Roman" w:hAnsi="Times New Roman" w:cs="Times New Roman"/>
        </w:rPr>
        <w:t>).</w:t>
      </w:r>
    </w:p>
    <w:p w:rsidR="00B936A0" w:rsidRPr="00B936A0" w:rsidRDefault="00B936A0" w:rsidP="00666335">
      <w:pPr>
        <w:widowControl w:val="0"/>
        <w:numPr>
          <w:ilvl w:val="1"/>
          <w:numId w:val="39"/>
        </w:numPr>
        <w:tabs>
          <w:tab w:val="left" w:pos="993"/>
          <w:tab w:val="num" w:pos="2069"/>
        </w:tabs>
        <w:spacing w:before="120" w:after="120" w:line="240" w:lineRule="auto"/>
        <w:ind w:left="993" w:hanging="567"/>
        <w:jc w:val="both"/>
        <w:rPr>
          <w:rFonts w:ascii="Times New Roman" w:eastAsia="Times New Roman" w:hAnsi="Times New Roman" w:cs="Times New Roman"/>
        </w:rPr>
      </w:pPr>
      <w:r w:rsidRPr="00B936A0">
        <w:rPr>
          <w:rFonts w:ascii="Times New Roman" w:eastAsia="Times New Roman" w:hAnsi="Times New Roman" w:cs="Times New Roman"/>
        </w:rPr>
        <w:t>Az igazságos háború elmélete: konvencionális háborúk (</w:t>
      </w:r>
      <w:r w:rsidRPr="00B936A0">
        <w:rPr>
          <w:rFonts w:ascii="Times New Roman" w:eastAsia="Times New Roman" w:hAnsi="Times New Roman" w:cs="Times New Roman"/>
          <w:i/>
        </w:rPr>
        <w:t>Just War Theoy: Conventional Wars</w:t>
      </w:r>
      <w:r w:rsidRPr="00B936A0">
        <w:rPr>
          <w:rFonts w:ascii="Times New Roman" w:eastAsia="Times New Roman" w:hAnsi="Times New Roman" w:cs="Times New Roman"/>
        </w:rPr>
        <w:t>).</w:t>
      </w:r>
    </w:p>
    <w:p w:rsidR="00B936A0" w:rsidRPr="00B936A0" w:rsidRDefault="00B936A0" w:rsidP="00666335">
      <w:pPr>
        <w:widowControl w:val="0"/>
        <w:numPr>
          <w:ilvl w:val="1"/>
          <w:numId w:val="39"/>
        </w:numPr>
        <w:tabs>
          <w:tab w:val="left" w:pos="993"/>
          <w:tab w:val="num" w:pos="2069"/>
        </w:tabs>
        <w:spacing w:before="120" w:after="120" w:line="240" w:lineRule="auto"/>
        <w:ind w:left="993" w:hanging="567"/>
        <w:jc w:val="both"/>
        <w:rPr>
          <w:rFonts w:ascii="Times New Roman" w:eastAsia="Times New Roman" w:hAnsi="Times New Roman" w:cs="Times New Roman"/>
        </w:rPr>
      </w:pPr>
      <w:r w:rsidRPr="00B936A0">
        <w:rPr>
          <w:rFonts w:ascii="Times New Roman" w:eastAsia="Times New Roman" w:hAnsi="Times New Roman" w:cs="Times New Roman"/>
        </w:rPr>
        <w:t>Az igazságos háború elmélete: nem-konvencionális háborúk (</w:t>
      </w:r>
      <w:r w:rsidRPr="00B936A0">
        <w:rPr>
          <w:rFonts w:ascii="Times New Roman" w:eastAsia="Times New Roman" w:hAnsi="Times New Roman" w:cs="Times New Roman"/>
          <w:i/>
        </w:rPr>
        <w:t>Just War Theoy: Non-Conventional Wars</w:t>
      </w:r>
      <w:r w:rsidRPr="00B936A0">
        <w:rPr>
          <w:rFonts w:ascii="Times New Roman" w:eastAsia="Times New Roman" w:hAnsi="Times New Roman" w:cs="Times New Roman"/>
        </w:rPr>
        <w:t>).</w:t>
      </w:r>
    </w:p>
    <w:p w:rsidR="00B936A0" w:rsidRPr="00B936A0" w:rsidRDefault="00B936A0" w:rsidP="00666335">
      <w:pPr>
        <w:widowControl w:val="0"/>
        <w:numPr>
          <w:ilvl w:val="1"/>
          <w:numId w:val="39"/>
        </w:numPr>
        <w:tabs>
          <w:tab w:val="left" w:pos="993"/>
          <w:tab w:val="num" w:pos="2069"/>
        </w:tabs>
        <w:spacing w:before="120" w:after="120" w:line="240" w:lineRule="auto"/>
        <w:ind w:left="993" w:hanging="567"/>
        <w:jc w:val="both"/>
        <w:rPr>
          <w:rFonts w:ascii="Times New Roman" w:eastAsia="Times New Roman" w:hAnsi="Times New Roman" w:cs="Times New Roman"/>
        </w:rPr>
      </w:pPr>
      <w:r w:rsidRPr="00B936A0">
        <w:rPr>
          <w:rFonts w:ascii="Times New Roman" w:eastAsia="Times New Roman" w:hAnsi="Times New Roman" w:cs="Times New Roman"/>
        </w:rPr>
        <w:t>A magyar nemzet és haza fogalmai, reprezentációi (</w:t>
      </w:r>
      <w:r w:rsidRPr="00B936A0">
        <w:rPr>
          <w:rFonts w:ascii="Times New Roman" w:eastAsia="Times New Roman" w:hAnsi="Times New Roman" w:cs="Times New Roman"/>
          <w:i/>
        </w:rPr>
        <w:t>Concepts and Representations of Hungarian Nation and Country</w:t>
      </w:r>
      <w:r w:rsidRPr="00B936A0">
        <w:rPr>
          <w:rFonts w:ascii="Times New Roman" w:eastAsia="Times New Roman" w:hAnsi="Times New Roman" w:cs="Times New Roman"/>
        </w:rPr>
        <w:t>).</w:t>
      </w:r>
    </w:p>
    <w:p w:rsidR="00B936A0" w:rsidRPr="00B936A0" w:rsidRDefault="00B936A0" w:rsidP="00666335">
      <w:pPr>
        <w:widowControl w:val="0"/>
        <w:numPr>
          <w:ilvl w:val="1"/>
          <w:numId w:val="39"/>
        </w:numPr>
        <w:tabs>
          <w:tab w:val="left" w:pos="993"/>
          <w:tab w:val="num" w:pos="2069"/>
        </w:tabs>
        <w:spacing w:before="120" w:after="120" w:line="240" w:lineRule="auto"/>
        <w:ind w:left="993" w:hanging="567"/>
        <w:jc w:val="both"/>
        <w:rPr>
          <w:rFonts w:ascii="Times New Roman" w:eastAsia="Times New Roman" w:hAnsi="Times New Roman" w:cs="Times New Roman"/>
        </w:rPr>
      </w:pPr>
      <w:r w:rsidRPr="00B936A0">
        <w:rPr>
          <w:rFonts w:ascii="Times New Roman" w:eastAsia="Times New Roman" w:hAnsi="Times New Roman" w:cs="Times New Roman"/>
        </w:rPr>
        <w:t>Alapvető katonai erények (</w:t>
      </w:r>
      <w:r w:rsidRPr="00B936A0">
        <w:rPr>
          <w:rFonts w:ascii="Times New Roman" w:eastAsia="Times New Roman" w:hAnsi="Times New Roman" w:cs="Times New Roman"/>
          <w:i/>
        </w:rPr>
        <w:t>Basic Military Virtues</w:t>
      </w:r>
      <w:r w:rsidRPr="00B936A0">
        <w:rPr>
          <w:rFonts w:ascii="Times New Roman" w:eastAsia="Times New Roman" w:hAnsi="Times New Roman" w:cs="Times New Roman"/>
        </w:rPr>
        <w:t>).</w:t>
      </w:r>
    </w:p>
    <w:p w:rsidR="00B936A0" w:rsidRPr="00B936A0" w:rsidRDefault="00B936A0" w:rsidP="00666335">
      <w:pPr>
        <w:widowControl w:val="0"/>
        <w:numPr>
          <w:ilvl w:val="1"/>
          <w:numId w:val="39"/>
        </w:numPr>
        <w:tabs>
          <w:tab w:val="left" w:pos="993"/>
          <w:tab w:val="num" w:pos="2069"/>
        </w:tabs>
        <w:spacing w:before="120" w:after="120" w:line="240" w:lineRule="auto"/>
        <w:ind w:left="993" w:hanging="567"/>
        <w:jc w:val="both"/>
        <w:rPr>
          <w:rFonts w:ascii="Times New Roman" w:eastAsia="Times New Roman" w:hAnsi="Times New Roman" w:cs="Times New Roman"/>
        </w:rPr>
      </w:pPr>
      <w:r w:rsidRPr="00B936A0">
        <w:rPr>
          <w:rFonts w:ascii="Times New Roman" w:eastAsia="Times New Roman" w:hAnsi="Times New Roman" w:cs="Times New Roman"/>
        </w:rPr>
        <w:t>ZH (</w:t>
      </w:r>
      <w:r w:rsidRPr="00B936A0">
        <w:rPr>
          <w:rFonts w:ascii="Times New Roman" w:eastAsia="Times New Roman" w:hAnsi="Times New Roman" w:cs="Times New Roman"/>
          <w:i/>
        </w:rPr>
        <w:t>Written Test</w:t>
      </w:r>
      <w:r w:rsidRPr="00B936A0">
        <w:rPr>
          <w:rFonts w:ascii="Times New Roman" w:eastAsia="Times New Roman" w:hAnsi="Times New Roman" w:cs="Times New Roman"/>
        </w:rPr>
        <w:t>).</w:t>
      </w:r>
    </w:p>
    <w:p w:rsidR="00B936A0" w:rsidRPr="00B936A0" w:rsidRDefault="00B936A0" w:rsidP="00666335">
      <w:pPr>
        <w:widowControl w:val="0"/>
        <w:numPr>
          <w:ilvl w:val="1"/>
          <w:numId w:val="39"/>
        </w:numPr>
        <w:tabs>
          <w:tab w:val="left" w:pos="993"/>
          <w:tab w:val="num" w:pos="3545"/>
        </w:tabs>
        <w:spacing w:before="120" w:after="120" w:line="240" w:lineRule="auto"/>
        <w:ind w:left="993" w:hanging="567"/>
        <w:jc w:val="both"/>
        <w:rPr>
          <w:rFonts w:ascii="Times New Roman" w:eastAsia="Times New Roman" w:hAnsi="Times New Roman" w:cs="Times New Roman"/>
        </w:rPr>
      </w:pPr>
      <w:r w:rsidRPr="00B936A0">
        <w:rPr>
          <w:rFonts w:ascii="Times New Roman" w:eastAsia="Times New Roman" w:hAnsi="Times New Roman" w:cs="Times New Roman"/>
        </w:rPr>
        <w:t>A kommunikáció, mint tudomány jelentősége, tanulmányozásának módszerei (</w:t>
      </w:r>
      <w:r w:rsidRPr="00B936A0">
        <w:rPr>
          <w:rFonts w:ascii="Times New Roman" w:eastAsia="Times New Roman" w:hAnsi="Times New Roman" w:cs="Times New Roman"/>
          <w:i/>
        </w:rPr>
        <w:t>Communication as Science, and its Methods</w:t>
      </w:r>
      <w:r w:rsidRPr="00B936A0">
        <w:rPr>
          <w:rFonts w:ascii="Times New Roman" w:eastAsia="Times New Roman" w:hAnsi="Times New Roman" w:cs="Times New Roman"/>
        </w:rPr>
        <w:t>).</w:t>
      </w:r>
    </w:p>
    <w:p w:rsidR="00B936A0" w:rsidRPr="00B936A0" w:rsidRDefault="00B936A0" w:rsidP="00666335">
      <w:pPr>
        <w:widowControl w:val="0"/>
        <w:numPr>
          <w:ilvl w:val="1"/>
          <w:numId w:val="39"/>
        </w:numPr>
        <w:tabs>
          <w:tab w:val="left" w:pos="993"/>
          <w:tab w:val="num" w:pos="3545"/>
        </w:tabs>
        <w:spacing w:before="120" w:after="120" w:line="240" w:lineRule="auto"/>
        <w:ind w:left="993" w:hanging="567"/>
        <w:jc w:val="both"/>
        <w:rPr>
          <w:rFonts w:ascii="Times New Roman" w:eastAsia="Times New Roman" w:hAnsi="Times New Roman" w:cs="Times New Roman"/>
        </w:rPr>
      </w:pPr>
      <w:r w:rsidRPr="00B936A0">
        <w:rPr>
          <w:rFonts w:ascii="Times New Roman" w:eastAsia="Times New Roman" w:hAnsi="Times New Roman" w:cs="Times New Roman"/>
        </w:rPr>
        <w:t>A személyközi kommunikáció alapjai (</w:t>
      </w:r>
      <w:r w:rsidRPr="00B936A0">
        <w:rPr>
          <w:rFonts w:ascii="Times New Roman" w:eastAsia="Times New Roman" w:hAnsi="Times New Roman" w:cs="Times New Roman"/>
          <w:i/>
        </w:rPr>
        <w:t>Basics of Personal Communication</w:t>
      </w:r>
      <w:r w:rsidRPr="00B936A0">
        <w:rPr>
          <w:rFonts w:ascii="Times New Roman" w:eastAsia="Times New Roman" w:hAnsi="Times New Roman" w:cs="Times New Roman"/>
        </w:rPr>
        <w:t xml:space="preserve">). </w:t>
      </w:r>
    </w:p>
    <w:p w:rsidR="00B936A0" w:rsidRPr="00B936A0" w:rsidRDefault="00B936A0" w:rsidP="00666335">
      <w:pPr>
        <w:widowControl w:val="0"/>
        <w:numPr>
          <w:ilvl w:val="1"/>
          <w:numId w:val="39"/>
        </w:numPr>
        <w:tabs>
          <w:tab w:val="left" w:pos="993"/>
          <w:tab w:val="num" w:pos="3545"/>
        </w:tabs>
        <w:spacing w:before="120" w:after="120" w:line="240" w:lineRule="auto"/>
        <w:ind w:left="993" w:hanging="567"/>
        <w:jc w:val="both"/>
        <w:rPr>
          <w:rFonts w:ascii="Times New Roman" w:eastAsia="Times New Roman" w:hAnsi="Times New Roman" w:cs="Times New Roman"/>
        </w:rPr>
      </w:pPr>
      <w:r w:rsidRPr="00B936A0">
        <w:rPr>
          <w:rFonts w:ascii="Times New Roman" w:eastAsia="Times New Roman" w:hAnsi="Times New Roman" w:cs="Times New Roman"/>
        </w:rPr>
        <w:lastRenderedPageBreak/>
        <w:t>A verbális és nonverbális (testnyelv, gesztusok, mimika, proxemika) elmélete és gyakorlata (</w:t>
      </w:r>
      <w:r w:rsidRPr="00B936A0">
        <w:rPr>
          <w:rFonts w:ascii="Times New Roman" w:eastAsia="Times New Roman" w:hAnsi="Times New Roman" w:cs="Times New Roman"/>
          <w:i/>
        </w:rPr>
        <w:t>Theory and Practice of Verbal and Nonverbal Communication</w:t>
      </w:r>
      <w:r w:rsidRPr="00B936A0">
        <w:rPr>
          <w:rFonts w:ascii="Times New Roman" w:eastAsia="Times New Roman" w:hAnsi="Times New Roman" w:cs="Times New Roman"/>
        </w:rPr>
        <w:t>).</w:t>
      </w:r>
    </w:p>
    <w:p w:rsidR="00B936A0" w:rsidRPr="00B936A0" w:rsidRDefault="00B936A0" w:rsidP="00666335">
      <w:pPr>
        <w:widowControl w:val="0"/>
        <w:numPr>
          <w:ilvl w:val="1"/>
          <w:numId w:val="39"/>
        </w:numPr>
        <w:tabs>
          <w:tab w:val="left" w:pos="993"/>
          <w:tab w:val="num" w:pos="3545"/>
        </w:tabs>
        <w:spacing w:before="120" w:after="120" w:line="240" w:lineRule="auto"/>
        <w:ind w:left="993" w:hanging="567"/>
        <w:jc w:val="both"/>
        <w:rPr>
          <w:rFonts w:ascii="Times New Roman" w:eastAsia="Times New Roman" w:hAnsi="Times New Roman" w:cs="Times New Roman"/>
        </w:rPr>
      </w:pPr>
      <w:r w:rsidRPr="00B936A0">
        <w:rPr>
          <w:rFonts w:ascii="Times New Roman" w:eastAsia="Times New Roman" w:hAnsi="Times New Roman" w:cs="Times New Roman"/>
        </w:rPr>
        <w:t xml:space="preserve"> Közszereplés módszertani felkészítése, retorika (</w:t>
      </w:r>
      <w:r w:rsidRPr="00B936A0">
        <w:rPr>
          <w:rFonts w:ascii="Times New Roman" w:eastAsia="Times New Roman" w:hAnsi="Times New Roman" w:cs="Times New Roman"/>
          <w:i/>
        </w:rPr>
        <w:t>Rhetorics, and the Methodology of Public Communication</w:t>
      </w:r>
      <w:r w:rsidRPr="00B936A0">
        <w:rPr>
          <w:rFonts w:ascii="Times New Roman" w:eastAsia="Times New Roman" w:hAnsi="Times New Roman" w:cs="Times New Roman"/>
        </w:rPr>
        <w:t>).</w:t>
      </w:r>
    </w:p>
    <w:p w:rsidR="00B936A0" w:rsidRPr="00B936A0" w:rsidRDefault="00B936A0" w:rsidP="00666335">
      <w:pPr>
        <w:widowControl w:val="0"/>
        <w:numPr>
          <w:ilvl w:val="1"/>
          <w:numId w:val="39"/>
        </w:numPr>
        <w:tabs>
          <w:tab w:val="left" w:pos="993"/>
          <w:tab w:val="num" w:pos="3545"/>
        </w:tabs>
        <w:spacing w:before="120" w:after="120" w:line="240" w:lineRule="auto"/>
        <w:ind w:left="993" w:hanging="567"/>
        <w:jc w:val="both"/>
        <w:rPr>
          <w:rFonts w:ascii="Times New Roman" w:eastAsia="Times New Roman" w:hAnsi="Times New Roman" w:cs="Times New Roman"/>
        </w:rPr>
      </w:pPr>
      <w:r w:rsidRPr="00B936A0">
        <w:rPr>
          <w:rFonts w:ascii="Times New Roman" w:eastAsia="Times New Roman" w:hAnsi="Times New Roman" w:cs="Times New Roman"/>
        </w:rPr>
        <w:t xml:space="preserve"> Kommunikáció idegen kultúrákban (</w:t>
      </w:r>
      <w:r w:rsidRPr="00B936A0">
        <w:rPr>
          <w:rFonts w:ascii="Times New Roman" w:eastAsia="Times New Roman" w:hAnsi="Times New Roman" w:cs="Times New Roman"/>
          <w:i/>
        </w:rPr>
        <w:t>Communication in other Cultures</w:t>
      </w:r>
      <w:r w:rsidRPr="00B936A0">
        <w:rPr>
          <w:rFonts w:ascii="Times New Roman" w:eastAsia="Times New Roman" w:hAnsi="Times New Roman" w:cs="Times New Roman"/>
        </w:rPr>
        <w:t>).</w:t>
      </w:r>
    </w:p>
    <w:p w:rsidR="00B936A0" w:rsidRPr="00B936A0" w:rsidRDefault="00B936A0" w:rsidP="00666335">
      <w:pPr>
        <w:widowControl w:val="0"/>
        <w:numPr>
          <w:ilvl w:val="1"/>
          <w:numId w:val="39"/>
        </w:numPr>
        <w:tabs>
          <w:tab w:val="left" w:pos="993"/>
          <w:tab w:val="num" w:pos="3545"/>
        </w:tabs>
        <w:spacing w:before="120" w:after="120" w:line="240" w:lineRule="auto"/>
        <w:ind w:left="993" w:hanging="567"/>
        <w:jc w:val="both"/>
        <w:rPr>
          <w:rFonts w:ascii="Times New Roman" w:eastAsia="Times New Roman" w:hAnsi="Times New Roman" w:cs="Times New Roman"/>
        </w:rPr>
      </w:pPr>
      <w:r w:rsidRPr="00B936A0">
        <w:rPr>
          <w:rFonts w:ascii="Times New Roman" w:eastAsia="Times New Roman" w:hAnsi="Times New Roman" w:cs="Times New Roman"/>
        </w:rPr>
        <w:t>Kommunikáció multikulturális környezetben (</w:t>
      </w:r>
      <w:r w:rsidRPr="00B936A0">
        <w:rPr>
          <w:rFonts w:ascii="Times New Roman" w:eastAsia="Times New Roman" w:hAnsi="Times New Roman" w:cs="Times New Roman"/>
          <w:i/>
        </w:rPr>
        <w:t>Communication in Multicultural Situatons</w:t>
      </w:r>
      <w:r w:rsidRPr="00B936A0">
        <w:rPr>
          <w:rFonts w:ascii="Times New Roman" w:eastAsia="Times New Roman" w:hAnsi="Times New Roman" w:cs="Times New Roman"/>
        </w:rPr>
        <w:t>).</w:t>
      </w:r>
    </w:p>
    <w:p w:rsidR="00B936A0" w:rsidRPr="00B936A0" w:rsidRDefault="00B936A0" w:rsidP="00666335">
      <w:pPr>
        <w:widowControl w:val="0"/>
        <w:numPr>
          <w:ilvl w:val="1"/>
          <w:numId w:val="39"/>
        </w:numPr>
        <w:tabs>
          <w:tab w:val="left" w:pos="993"/>
          <w:tab w:val="num" w:pos="3545"/>
        </w:tabs>
        <w:spacing w:before="120" w:after="120" w:line="240" w:lineRule="auto"/>
        <w:ind w:left="993" w:hanging="567"/>
        <w:jc w:val="both"/>
        <w:rPr>
          <w:rFonts w:ascii="Times New Roman" w:eastAsia="Times New Roman" w:hAnsi="Times New Roman" w:cs="Times New Roman"/>
        </w:rPr>
      </w:pPr>
      <w:r w:rsidRPr="00B936A0">
        <w:rPr>
          <w:rFonts w:ascii="Times New Roman" w:eastAsia="Times New Roman" w:hAnsi="Times New Roman" w:cs="Times New Roman"/>
        </w:rPr>
        <w:t>ZH (</w:t>
      </w:r>
      <w:r w:rsidRPr="00B936A0">
        <w:rPr>
          <w:rFonts w:ascii="Times New Roman" w:eastAsia="Times New Roman" w:hAnsi="Times New Roman" w:cs="Times New Roman"/>
          <w:i/>
        </w:rPr>
        <w:t>Written Test</w:t>
      </w:r>
      <w:r w:rsidRPr="00B936A0">
        <w:rPr>
          <w:rFonts w:ascii="Times New Roman" w:eastAsia="Times New Roman" w:hAnsi="Times New Roman" w:cs="Times New Roman"/>
        </w:rPr>
        <w:t>)</w:t>
      </w:r>
    </w:p>
    <w:p w:rsidR="00B936A0" w:rsidRPr="00B936A0" w:rsidRDefault="00B936A0" w:rsidP="00666335">
      <w:pPr>
        <w:widowControl w:val="0"/>
        <w:numPr>
          <w:ilvl w:val="0"/>
          <w:numId w:val="39"/>
        </w:numPr>
        <w:tabs>
          <w:tab w:val="num" w:pos="360"/>
        </w:tabs>
        <w:spacing w:before="120" w:after="120" w:line="240" w:lineRule="auto"/>
        <w:ind w:left="426" w:hanging="142"/>
        <w:jc w:val="both"/>
        <w:rPr>
          <w:rFonts w:ascii="Times New Roman" w:eastAsia="Times New Roman" w:hAnsi="Times New Roman" w:cs="Times New Roman"/>
          <w:bCs/>
        </w:rPr>
      </w:pPr>
      <w:r w:rsidRPr="00B936A0">
        <w:rPr>
          <w:rFonts w:ascii="Times New Roman" w:eastAsia="Times New Roman" w:hAnsi="Times New Roman" w:cs="Times New Roman"/>
          <w:b/>
          <w:bCs/>
        </w:rPr>
        <w:t xml:space="preserve">A tantárgy meghirdetésének gyakorisága/a tantervben történő félévi elhelyezkedése: </w:t>
      </w:r>
      <w:r w:rsidRPr="00B936A0">
        <w:rPr>
          <w:rFonts w:ascii="Times New Roman" w:eastAsia="Times New Roman" w:hAnsi="Times New Roman" w:cs="Times New Roman"/>
          <w:bCs/>
        </w:rPr>
        <w:t>I. félév</w:t>
      </w:r>
    </w:p>
    <w:p w:rsidR="00B936A0" w:rsidRPr="00B936A0" w:rsidRDefault="00B936A0" w:rsidP="00666335">
      <w:pPr>
        <w:widowControl w:val="0"/>
        <w:numPr>
          <w:ilvl w:val="0"/>
          <w:numId w:val="39"/>
        </w:numPr>
        <w:tabs>
          <w:tab w:val="num" w:pos="360"/>
        </w:tabs>
        <w:spacing w:before="120" w:after="120" w:line="240" w:lineRule="auto"/>
        <w:ind w:left="426" w:hanging="142"/>
        <w:jc w:val="both"/>
        <w:rPr>
          <w:rFonts w:ascii="Times New Roman" w:eastAsia="Times New Roman" w:hAnsi="Times New Roman" w:cs="Times New Roman"/>
          <w:bCs/>
        </w:rPr>
      </w:pPr>
      <w:r w:rsidRPr="00B936A0">
        <w:rPr>
          <w:rFonts w:ascii="Times New Roman" w:eastAsia="Times New Roman" w:hAnsi="Times New Roman" w:cs="Times New Roman"/>
          <w:b/>
          <w:bCs/>
        </w:rPr>
        <w:t>A tanórákon való részvétel követelményei, az elfogadható hiányzások mértéke, a távolmaradás pótlásának lehetősége:</w:t>
      </w:r>
      <w:r w:rsidRPr="00B936A0">
        <w:rPr>
          <w:rFonts w:ascii="Times New Roman" w:eastAsia="Times New Roman" w:hAnsi="Times New Roman" w:cs="Times New Roman"/>
          <w:bCs/>
        </w:rPr>
        <w:t xml:space="preserve"> </w:t>
      </w:r>
    </w:p>
    <w:p w:rsidR="00B936A0" w:rsidRPr="00B936A0" w:rsidRDefault="00B936A0" w:rsidP="00C9612C">
      <w:pPr>
        <w:widowControl w:val="0"/>
        <w:spacing w:before="120" w:after="120" w:line="240" w:lineRule="auto"/>
        <w:ind w:left="426"/>
        <w:jc w:val="both"/>
        <w:rPr>
          <w:rFonts w:ascii="Times New Roman" w:eastAsia="Times New Roman" w:hAnsi="Times New Roman" w:cs="Times New Roman"/>
          <w:bCs/>
        </w:rPr>
      </w:pPr>
      <w:r w:rsidRPr="00B936A0">
        <w:rPr>
          <w:rFonts w:ascii="Times New Roman" w:hAnsi="Times New Roman" w:cs="Times New Roman"/>
        </w:rPr>
        <w:t>3 hiányzás elfogadott, a távolmaradás pótlása az előadó által meghatározott témában, beadandó kritikai esszé megírásával teljesíthető. Az esszére a félévközi feladatként megírandó esszé követelményei vonatkoznak. A hallgató köteles az előadás és a gyakorlat anyagát beszerezni, abból önállóan felkészülni.</w:t>
      </w:r>
    </w:p>
    <w:p w:rsidR="00B936A0" w:rsidRPr="00B936A0" w:rsidRDefault="00B936A0" w:rsidP="00666335">
      <w:pPr>
        <w:widowControl w:val="0"/>
        <w:numPr>
          <w:ilvl w:val="0"/>
          <w:numId w:val="39"/>
        </w:numPr>
        <w:tabs>
          <w:tab w:val="num" w:pos="360"/>
        </w:tabs>
        <w:spacing w:before="120" w:after="120" w:line="240" w:lineRule="auto"/>
        <w:ind w:left="426" w:hanging="142"/>
        <w:jc w:val="both"/>
        <w:rPr>
          <w:rFonts w:ascii="Times New Roman" w:eastAsia="Times New Roman" w:hAnsi="Times New Roman" w:cs="Times New Roman"/>
          <w:bCs/>
        </w:rPr>
      </w:pPr>
      <w:r w:rsidRPr="00B936A0">
        <w:rPr>
          <w:rFonts w:ascii="Times New Roman" w:eastAsia="Times New Roman" w:hAnsi="Times New Roman" w:cs="Times New Roman"/>
          <w:b/>
        </w:rPr>
        <w:t>Félévközi feladatok, ismeretek ellenőrzésének rendje:</w:t>
      </w:r>
      <w:r w:rsidRPr="00B936A0">
        <w:rPr>
          <w:rFonts w:ascii="Times New Roman" w:eastAsia="Times New Roman" w:hAnsi="Times New Roman" w:cs="Times New Roman"/>
          <w:bCs/>
        </w:rPr>
        <w:t xml:space="preserve"> </w:t>
      </w:r>
    </w:p>
    <w:p w:rsidR="00B936A0" w:rsidRPr="00B936A0" w:rsidRDefault="00B936A0" w:rsidP="00C9612C">
      <w:pPr>
        <w:widowControl w:val="0"/>
        <w:spacing w:before="120" w:after="120" w:line="240" w:lineRule="auto"/>
        <w:ind w:left="426"/>
        <w:jc w:val="both"/>
        <w:rPr>
          <w:rFonts w:ascii="Times New Roman" w:eastAsia="Times New Roman" w:hAnsi="Times New Roman" w:cs="Times New Roman"/>
        </w:rPr>
      </w:pPr>
      <w:r w:rsidRPr="00B936A0">
        <w:rPr>
          <w:rFonts w:ascii="Times New Roman" w:eastAsia="Times New Roman" w:hAnsi="Times New Roman" w:cs="Times New Roman"/>
        </w:rPr>
        <w:t>A tanulmányi munka alapja az előadások rendszeres látogatása (a 14. pont szerint), és zárthelyi dolgozat megírása a 12.8. foglalkozáson az első hat, a 12.14. foglalkozáson a 8-13. foglalkozások anyagából. A dolgozatok 12 kérdésből állnak, mindegyik foglalkozás anyagából két kérdést tartalmaz. A kérdésekre adható pontszámot a dolgozatot összeállító állapítja meg, de mindegyik kérdést azonos súllyal kell figyelembe venni. Értékelése: 0-50% elégtelen, 51-60% elégséges, 61-75% közepes, 76-90% jó, 91-100% kitűnő. Igazolt távolmaradás esetén a zárthelyi dolgozat megírását egy másik alkalommal kell biztosítani. Eredménytelen zárthelyi dolgozat kétszer javítható, egyszer írásban, egyszer szóban.</w:t>
      </w:r>
    </w:p>
    <w:p w:rsidR="00B936A0" w:rsidRPr="00B936A0" w:rsidRDefault="00B936A0" w:rsidP="00C9612C">
      <w:pPr>
        <w:widowControl w:val="0"/>
        <w:spacing w:before="120" w:after="120" w:line="240" w:lineRule="auto"/>
        <w:ind w:left="426"/>
        <w:jc w:val="both"/>
        <w:rPr>
          <w:rFonts w:ascii="Times New Roman" w:eastAsia="Times New Roman" w:hAnsi="Times New Roman" w:cs="Times New Roman"/>
          <w:bCs/>
        </w:rPr>
      </w:pPr>
      <w:r w:rsidRPr="00B936A0">
        <w:rPr>
          <w:rFonts w:ascii="Times New Roman" w:eastAsia="Times New Roman" w:hAnsi="Times New Roman" w:cs="Times New Roman"/>
        </w:rPr>
        <w:t>Legalább három oldalas kritikai elemzés megírása a vizsgaidőszak kezdetéig, könyvészeti és elektronikus források felhasználásával az oktató által megadott katonai etikai vagy kommunikáció tárgyú témában, melynek tartalmaznia kell a vizsgált témához kapcsolódó legalább 5-5 tételből álló nyomtatott és elektronikus művek jegyzékét. Beadása elektronikus formában történik a hivatkozások követhető megjelenítésével</w:t>
      </w:r>
      <w:r w:rsidRPr="00B936A0">
        <w:rPr>
          <w:rFonts w:ascii="Times New Roman" w:eastAsia="Times New Roman" w:hAnsi="Times New Roman" w:cs="Times New Roman"/>
          <w:bCs/>
        </w:rPr>
        <w:t>.</w:t>
      </w:r>
    </w:p>
    <w:p w:rsidR="00B936A0" w:rsidRPr="00B936A0" w:rsidRDefault="00B936A0" w:rsidP="00666335">
      <w:pPr>
        <w:widowControl w:val="0"/>
        <w:numPr>
          <w:ilvl w:val="0"/>
          <w:numId w:val="39"/>
        </w:numPr>
        <w:spacing w:before="120" w:after="120" w:line="240" w:lineRule="auto"/>
        <w:ind w:left="426" w:hanging="142"/>
        <w:jc w:val="both"/>
        <w:rPr>
          <w:rFonts w:ascii="Times New Roman" w:eastAsia="Times New Roman" w:hAnsi="Times New Roman" w:cs="Times New Roman"/>
          <w:b/>
          <w:bCs/>
        </w:rPr>
      </w:pPr>
      <w:r w:rsidRPr="00B936A0">
        <w:rPr>
          <w:rFonts w:ascii="Times New Roman" w:eastAsia="Times New Roman" w:hAnsi="Times New Roman" w:cs="Times New Roman"/>
          <w:b/>
          <w:bCs/>
        </w:rPr>
        <w:t xml:space="preserve">Az értékelés, az aláírás és a kreditek megszerzésének pontos feltételei: </w:t>
      </w:r>
    </w:p>
    <w:p w:rsidR="00B936A0" w:rsidRPr="00B936A0" w:rsidRDefault="00B936A0" w:rsidP="00666335">
      <w:pPr>
        <w:widowControl w:val="0"/>
        <w:numPr>
          <w:ilvl w:val="1"/>
          <w:numId w:val="39"/>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B936A0">
        <w:rPr>
          <w:rFonts w:ascii="Times New Roman" w:eastAsia="Times New Roman" w:hAnsi="Times New Roman" w:cs="Times New Roman"/>
          <w:b/>
        </w:rPr>
        <w:t>Az aláírás megszerzésének feltételei:</w:t>
      </w:r>
      <w:r w:rsidRPr="00B936A0">
        <w:rPr>
          <w:rFonts w:ascii="Times New Roman" w:eastAsia="Times New Roman" w:hAnsi="Times New Roman" w:cs="Times New Roman"/>
        </w:rPr>
        <w:t xml:space="preserve"> </w:t>
      </w:r>
    </w:p>
    <w:p w:rsidR="00B936A0" w:rsidRPr="00B936A0" w:rsidRDefault="00B936A0" w:rsidP="00B936A0">
      <w:pPr>
        <w:widowControl w:val="0"/>
        <w:tabs>
          <w:tab w:val="left" w:pos="993"/>
        </w:tabs>
        <w:spacing w:before="120" w:after="120" w:line="240" w:lineRule="auto"/>
        <w:ind w:left="426"/>
        <w:jc w:val="both"/>
        <w:rPr>
          <w:rFonts w:ascii="Times New Roman" w:eastAsia="Times New Roman" w:hAnsi="Times New Roman" w:cs="Times New Roman"/>
        </w:rPr>
      </w:pPr>
      <w:r w:rsidRPr="00B936A0">
        <w:rPr>
          <w:rFonts w:ascii="Times New Roman" w:eastAsia="Times New Roman" w:hAnsi="Times New Roman" w:cs="Times New Roman"/>
        </w:rPr>
        <w:t>A tanórákon való részvétel, figyelembe véve az engedélyezett hiányzás mértékét, valamint a meghatározott követelmények szerinti esszé és a két zárthelyi eredményes (egyenként legalább elégséges) szintű megírását.</w:t>
      </w:r>
    </w:p>
    <w:p w:rsidR="00B936A0" w:rsidRPr="00B936A0" w:rsidRDefault="00B936A0" w:rsidP="00666335">
      <w:pPr>
        <w:widowControl w:val="0"/>
        <w:numPr>
          <w:ilvl w:val="1"/>
          <w:numId w:val="39"/>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B936A0">
        <w:rPr>
          <w:rFonts w:ascii="Times New Roman" w:eastAsia="Times New Roman" w:hAnsi="Times New Roman" w:cs="Times New Roman"/>
          <w:b/>
        </w:rPr>
        <w:t>Az értékelés:</w:t>
      </w:r>
      <w:r w:rsidRPr="00B936A0">
        <w:rPr>
          <w:rFonts w:ascii="Times New Roman" w:eastAsia="Times New Roman" w:hAnsi="Times New Roman" w:cs="Times New Roman"/>
        </w:rPr>
        <w:t xml:space="preserve"> </w:t>
      </w:r>
    </w:p>
    <w:p w:rsidR="00B936A0" w:rsidRPr="00B936A0" w:rsidRDefault="00B936A0" w:rsidP="00B936A0">
      <w:pPr>
        <w:widowControl w:val="0"/>
        <w:tabs>
          <w:tab w:val="left" w:pos="993"/>
        </w:tabs>
        <w:spacing w:before="120" w:after="120" w:line="240" w:lineRule="auto"/>
        <w:ind w:left="426"/>
        <w:jc w:val="both"/>
        <w:rPr>
          <w:rFonts w:ascii="Times New Roman" w:eastAsia="Times New Roman" w:hAnsi="Times New Roman" w:cs="Times New Roman"/>
        </w:rPr>
      </w:pPr>
      <w:r w:rsidRPr="00B936A0">
        <w:rPr>
          <w:rFonts w:ascii="Times New Roman" w:eastAsia="Times New Roman" w:hAnsi="Times New Roman" w:cs="Times New Roman"/>
        </w:rPr>
        <w:t>Félévközi étékelés, mely a zárthelyik és az esszé érdemjegyeinek átlaga, olyan módon, hogy a zárthelyik egyszeresen, az esszé kétszeresen számít.</w:t>
      </w:r>
    </w:p>
    <w:p w:rsidR="00B936A0" w:rsidRPr="00B936A0" w:rsidRDefault="00B936A0" w:rsidP="00666335">
      <w:pPr>
        <w:widowControl w:val="0"/>
        <w:numPr>
          <w:ilvl w:val="1"/>
          <w:numId w:val="39"/>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B936A0">
        <w:rPr>
          <w:rFonts w:ascii="Times New Roman" w:eastAsia="Times New Roman" w:hAnsi="Times New Roman" w:cs="Times New Roman"/>
          <w:b/>
        </w:rPr>
        <w:t>A kreditek megszerzésének feltételei:</w:t>
      </w:r>
      <w:r w:rsidRPr="00B936A0">
        <w:rPr>
          <w:rFonts w:ascii="Times New Roman" w:eastAsia="Times New Roman" w:hAnsi="Times New Roman" w:cs="Times New Roman"/>
        </w:rPr>
        <w:t xml:space="preserve"> </w:t>
      </w:r>
    </w:p>
    <w:p w:rsidR="00B936A0" w:rsidRPr="00B936A0" w:rsidRDefault="00C9612C" w:rsidP="00B936A0">
      <w:pPr>
        <w:widowControl w:val="0"/>
        <w:tabs>
          <w:tab w:val="left" w:pos="993"/>
        </w:tabs>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bCs/>
        </w:rPr>
        <w:t>Az aláírás és l</w:t>
      </w:r>
      <w:r w:rsidR="00B936A0" w:rsidRPr="00B936A0">
        <w:rPr>
          <w:rFonts w:ascii="Times New Roman" w:eastAsia="Times New Roman" w:hAnsi="Times New Roman" w:cs="Times New Roman"/>
          <w:bCs/>
        </w:rPr>
        <w:t>egalább elégséges szintű félévközi jegy megszerzése</w:t>
      </w:r>
      <w:r w:rsidR="00B936A0" w:rsidRPr="00B936A0">
        <w:rPr>
          <w:rFonts w:ascii="Times New Roman" w:eastAsia="Times New Roman" w:hAnsi="Times New Roman" w:cs="Times New Roman"/>
        </w:rPr>
        <w:t>.</w:t>
      </w:r>
    </w:p>
    <w:p w:rsidR="00B936A0" w:rsidRPr="00B936A0" w:rsidRDefault="00B936A0" w:rsidP="00666335">
      <w:pPr>
        <w:widowControl w:val="0"/>
        <w:numPr>
          <w:ilvl w:val="0"/>
          <w:numId w:val="39"/>
        </w:numPr>
        <w:tabs>
          <w:tab w:val="num" w:pos="360"/>
        </w:tabs>
        <w:spacing w:before="120" w:after="120" w:line="240" w:lineRule="auto"/>
        <w:ind w:left="426" w:hanging="142"/>
        <w:jc w:val="both"/>
        <w:rPr>
          <w:rFonts w:ascii="Times New Roman" w:eastAsia="Times New Roman" w:hAnsi="Times New Roman" w:cs="Times New Roman"/>
          <w:bCs/>
        </w:rPr>
      </w:pPr>
      <w:r w:rsidRPr="00B936A0">
        <w:rPr>
          <w:rFonts w:ascii="Times New Roman" w:eastAsia="Times New Roman" w:hAnsi="Times New Roman" w:cs="Times New Roman"/>
          <w:b/>
          <w:bCs/>
        </w:rPr>
        <w:t>Irodalomjegyzék:</w:t>
      </w:r>
    </w:p>
    <w:p w:rsidR="00B936A0" w:rsidRPr="00472829" w:rsidRDefault="00B936A0" w:rsidP="00666335">
      <w:pPr>
        <w:widowControl w:val="0"/>
        <w:numPr>
          <w:ilvl w:val="1"/>
          <w:numId w:val="39"/>
        </w:numPr>
        <w:tabs>
          <w:tab w:val="left" w:pos="567"/>
          <w:tab w:val="left" w:pos="851"/>
          <w:tab w:val="num" w:pos="2069"/>
        </w:tabs>
        <w:spacing w:before="120" w:after="120" w:line="240" w:lineRule="auto"/>
        <w:ind w:left="426" w:hanging="142"/>
        <w:jc w:val="both"/>
        <w:rPr>
          <w:rFonts w:ascii="Times New Roman" w:eastAsia="Times New Roman" w:hAnsi="Times New Roman" w:cs="Times New Roman"/>
          <w:bCs/>
          <w:highlight w:val="yellow"/>
        </w:rPr>
      </w:pPr>
      <w:r w:rsidRPr="00472829">
        <w:rPr>
          <w:rFonts w:ascii="Times New Roman" w:eastAsia="Times New Roman" w:hAnsi="Times New Roman" w:cs="Times New Roman"/>
          <w:b/>
          <w:bCs/>
          <w:highlight w:val="yellow"/>
        </w:rPr>
        <w:t>Kötelező irodalom:</w:t>
      </w:r>
    </w:p>
    <w:p w:rsidR="00885758" w:rsidRPr="00472829" w:rsidRDefault="00885758" w:rsidP="00980876">
      <w:pPr>
        <w:widowControl w:val="0"/>
        <w:numPr>
          <w:ilvl w:val="0"/>
          <w:numId w:val="767"/>
        </w:numPr>
        <w:spacing w:after="0" w:line="240" w:lineRule="auto"/>
        <w:jc w:val="both"/>
        <w:rPr>
          <w:rFonts w:ascii="Times New Roman" w:eastAsia="Times New Roman" w:hAnsi="Times New Roman" w:cs="Times New Roman"/>
          <w:highlight w:val="yellow"/>
        </w:rPr>
      </w:pPr>
      <w:r w:rsidRPr="00472829">
        <w:rPr>
          <w:rFonts w:ascii="Times New Roman" w:eastAsia="Times New Roman" w:hAnsi="Times New Roman" w:cs="Times New Roman"/>
          <w:highlight w:val="yellow"/>
        </w:rPr>
        <w:t>Szak Andrea: Társadalmi kommunikáció Bp., 2012. egyetemi jegyzet.</w:t>
      </w:r>
    </w:p>
    <w:p w:rsidR="00B936A0" w:rsidRPr="00472829" w:rsidRDefault="00B936A0" w:rsidP="00980876">
      <w:pPr>
        <w:widowControl w:val="0"/>
        <w:numPr>
          <w:ilvl w:val="0"/>
          <w:numId w:val="767"/>
        </w:numPr>
        <w:spacing w:after="0" w:line="240" w:lineRule="auto"/>
        <w:jc w:val="both"/>
        <w:rPr>
          <w:rFonts w:ascii="Times New Roman" w:eastAsia="Times New Roman" w:hAnsi="Times New Roman" w:cs="Times New Roman"/>
          <w:highlight w:val="yellow"/>
        </w:rPr>
      </w:pPr>
      <w:r w:rsidRPr="00472829">
        <w:rPr>
          <w:rFonts w:ascii="Times New Roman" w:eastAsia="Times New Roman" w:hAnsi="Times New Roman" w:cs="Times New Roman"/>
          <w:highlight w:val="yellow"/>
        </w:rPr>
        <w:t>Kommunikációkultúra, szerk.: Vincze Lajos, Bp., ZMNE, 2004.</w:t>
      </w:r>
    </w:p>
    <w:p w:rsidR="00B936A0" w:rsidRPr="00472829" w:rsidRDefault="00B936A0" w:rsidP="00980876">
      <w:pPr>
        <w:widowControl w:val="0"/>
        <w:numPr>
          <w:ilvl w:val="0"/>
          <w:numId w:val="767"/>
        </w:numPr>
        <w:spacing w:after="0" w:line="240" w:lineRule="auto"/>
        <w:jc w:val="both"/>
        <w:rPr>
          <w:rFonts w:ascii="Times New Roman" w:eastAsia="Times New Roman" w:hAnsi="Times New Roman" w:cs="Times New Roman"/>
          <w:highlight w:val="yellow"/>
        </w:rPr>
      </w:pPr>
      <w:r w:rsidRPr="00472829">
        <w:rPr>
          <w:rFonts w:ascii="Times New Roman" w:eastAsia="Times New Roman" w:hAnsi="Times New Roman" w:cs="Times New Roman"/>
          <w:highlight w:val="yellow"/>
        </w:rPr>
        <w:t xml:space="preserve">Kommunikációkultúra szöveggyűjtemény, szerk.: Vincze Lajos, ZMNE, 2006. </w:t>
      </w:r>
    </w:p>
    <w:p w:rsidR="00885758" w:rsidRPr="00472829" w:rsidRDefault="00885758">
      <w:pPr>
        <w:spacing w:after="200" w:line="276" w:lineRule="auto"/>
        <w:rPr>
          <w:rFonts w:ascii="Times New Roman" w:eastAsia="Times New Roman" w:hAnsi="Times New Roman" w:cs="Times New Roman"/>
          <w:b/>
          <w:bCs/>
          <w:highlight w:val="yellow"/>
        </w:rPr>
      </w:pPr>
      <w:r w:rsidRPr="00472829">
        <w:rPr>
          <w:rFonts w:ascii="Times New Roman" w:eastAsia="Times New Roman" w:hAnsi="Times New Roman" w:cs="Times New Roman"/>
          <w:b/>
          <w:bCs/>
          <w:highlight w:val="yellow"/>
        </w:rPr>
        <w:br w:type="page"/>
      </w:r>
    </w:p>
    <w:p w:rsidR="00B936A0" w:rsidRPr="00472829" w:rsidRDefault="00B936A0" w:rsidP="00666335">
      <w:pPr>
        <w:widowControl w:val="0"/>
        <w:numPr>
          <w:ilvl w:val="1"/>
          <w:numId w:val="39"/>
        </w:numPr>
        <w:tabs>
          <w:tab w:val="num" w:pos="567"/>
          <w:tab w:val="num" w:pos="2069"/>
        </w:tabs>
        <w:spacing w:before="120" w:after="120" w:line="240" w:lineRule="auto"/>
        <w:ind w:left="993" w:hanging="709"/>
        <w:jc w:val="both"/>
        <w:rPr>
          <w:rFonts w:ascii="Times New Roman" w:eastAsia="Times New Roman" w:hAnsi="Times New Roman" w:cs="Times New Roman"/>
          <w:b/>
          <w:bCs/>
          <w:highlight w:val="yellow"/>
        </w:rPr>
      </w:pPr>
      <w:r w:rsidRPr="00472829">
        <w:rPr>
          <w:rFonts w:ascii="Times New Roman" w:eastAsia="Times New Roman" w:hAnsi="Times New Roman" w:cs="Times New Roman"/>
          <w:b/>
          <w:bCs/>
          <w:highlight w:val="yellow"/>
        </w:rPr>
        <w:lastRenderedPageBreak/>
        <w:t>Ajánlott irodalom:</w:t>
      </w:r>
    </w:p>
    <w:p w:rsidR="00885758" w:rsidRPr="00472829" w:rsidRDefault="00885758" w:rsidP="00980876">
      <w:pPr>
        <w:widowControl w:val="0"/>
        <w:numPr>
          <w:ilvl w:val="0"/>
          <w:numId w:val="768"/>
        </w:numPr>
        <w:spacing w:after="0" w:line="240" w:lineRule="auto"/>
        <w:jc w:val="both"/>
        <w:rPr>
          <w:rFonts w:ascii="Times New Roman" w:eastAsia="Times New Roman" w:hAnsi="Times New Roman" w:cs="Times New Roman"/>
          <w:highlight w:val="yellow"/>
        </w:rPr>
      </w:pPr>
      <w:r w:rsidRPr="00472829">
        <w:rPr>
          <w:rFonts w:ascii="Times New Roman" w:eastAsia="Times New Roman" w:hAnsi="Times New Roman" w:cs="Times New Roman"/>
          <w:highlight w:val="yellow"/>
        </w:rPr>
        <w:t>Boda Mihály: Az erkölcs és a morál katonai jelentősége: Mire jó a katonai cselekvés erkölcsi és morális nézőpontja? In.: HONVÉDSÉGI SZEMLE 145 : 4 pp. 88-98. (2017).</w:t>
      </w:r>
    </w:p>
    <w:p w:rsidR="00885758" w:rsidRPr="00472829" w:rsidRDefault="00885758" w:rsidP="00980876">
      <w:pPr>
        <w:widowControl w:val="0"/>
        <w:numPr>
          <w:ilvl w:val="0"/>
          <w:numId w:val="768"/>
        </w:numPr>
        <w:spacing w:after="0" w:line="240" w:lineRule="auto"/>
        <w:jc w:val="both"/>
        <w:rPr>
          <w:rFonts w:ascii="Times New Roman" w:eastAsia="Times New Roman" w:hAnsi="Times New Roman" w:cs="Times New Roman"/>
          <w:highlight w:val="yellow"/>
        </w:rPr>
      </w:pPr>
      <w:r w:rsidRPr="00472829">
        <w:rPr>
          <w:rFonts w:ascii="Times New Roman" w:eastAsia="Times New Roman" w:hAnsi="Times New Roman" w:cs="Times New Roman"/>
          <w:highlight w:val="yellow"/>
        </w:rPr>
        <w:t>Boda Mihály: Bátorság és távolság. In.: HADTUDOMÁNY 26 : különszám pp. 44-58. (2016).</w:t>
      </w:r>
    </w:p>
    <w:p w:rsidR="00B936A0" w:rsidRPr="00472829" w:rsidRDefault="00B936A0" w:rsidP="00980876">
      <w:pPr>
        <w:widowControl w:val="0"/>
        <w:numPr>
          <w:ilvl w:val="0"/>
          <w:numId w:val="768"/>
        </w:numPr>
        <w:spacing w:after="0" w:line="240" w:lineRule="auto"/>
        <w:jc w:val="both"/>
        <w:rPr>
          <w:rFonts w:ascii="Times New Roman" w:eastAsia="Times New Roman" w:hAnsi="Times New Roman" w:cs="Times New Roman"/>
          <w:highlight w:val="yellow"/>
        </w:rPr>
      </w:pPr>
      <w:r w:rsidRPr="00472829">
        <w:rPr>
          <w:rFonts w:ascii="Times New Roman" w:eastAsia="Times New Roman" w:hAnsi="Times New Roman" w:cs="Times New Roman"/>
          <w:highlight w:val="yellow"/>
        </w:rPr>
        <w:t>Boda Mihály: Alapvető katonai erények 1-5. In HADTUDOMÁNY 28: 1 – 29: 3 (2018-2019).</w:t>
      </w:r>
    </w:p>
    <w:p w:rsidR="00B936A0" w:rsidRPr="00B936A0" w:rsidRDefault="00B936A0" w:rsidP="00B936A0">
      <w:pPr>
        <w:widowControl w:val="0"/>
        <w:spacing w:before="120" w:after="120" w:line="240" w:lineRule="auto"/>
        <w:jc w:val="both"/>
        <w:rPr>
          <w:rFonts w:ascii="Times New Roman" w:eastAsia="Times New Roman" w:hAnsi="Times New Roman" w:cs="Times New Roman"/>
          <w:bCs/>
        </w:rPr>
      </w:pPr>
    </w:p>
    <w:p w:rsidR="00B936A0" w:rsidRPr="00B936A0" w:rsidRDefault="00B936A0" w:rsidP="00B936A0">
      <w:pPr>
        <w:widowControl w:val="0"/>
        <w:spacing w:before="120" w:after="120" w:line="240" w:lineRule="auto"/>
        <w:jc w:val="both"/>
        <w:rPr>
          <w:rFonts w:ascii="Times New Roman" w:eastAsia="Times New Roman" w:hAnsi="Times New Roman" w:cs="Times New Roman"/>
          <w:bCs/>
        </w:rPr>
      </w:pPr>
      <w:r w:rsidRPr="00B936A0">
        <w:rPr>
          <w:rFonts w:ascii="Times New Roman" w:eastAsia="Times New Roman" w:hAnsi="Times New Roman" w:cs="Times New Roman"/>
          <w:bCs/>
        </w:rPr>
        <w:t>Budapest, 2020. 03. 02</w:t>
      </w:r>
    </w:p>
    <w:p w:rsidR="00B936A0" w:rsidRPr="00B936A0" w:rsidRDefault="00B936A0" w:rsidP="00472829">
      <w:pPr>
        <w:widowControl w:val="0"/>
        <w:spacing w:after="0" w:line="240" w:lineRule="auto"/>
        <w:ind w:left="5954"/>
        <w:jc w:val="center"/>
        <w:rPr>
          <w:rFonts w:ascii="Times New Roman" w:eastAsia="Times New Roman" w:hAnsi="Times New Roman" w:cs="Times New Roman"/>
          <w:bCs/>
        </w:rPr>
      </w:pPr>
      <w:r w:rsidRPr="00B936A0">
        <w:rPr>
          <w:rFonts w:ascii="Times New Roman" w:eastAsia="Times New Roman" w:hAnsi="Times New Roman" w:cs="Times New Roman"/>
          <w:bCs/>
        </w:rPr>
        <w:t>Dr. Boda Mihály PhD,</w:t>
      </w:r>
    </w:p>
    <w:p w:rsidR="00B936A0" w:rsidRPr="00B936A0" w:rsidRDefault="00B936A0" w:rsidP="00472829">
      <w:pPr>
        <w:widowControl w:val="0"/>
        <w:spacing w:after="0" w:line="240" w:lineRule="auto"/>
        <w:ind w:left="5954"/>
        <w:jc w:val="center"/>
        <w:rPr>
          <w:rFonts w:ascii="Times New Roman" w:eastAsia="Times New Roman" w:hAnsi="Times New Roman" w:cs="Times New Roman"/>
          <w:bCs/>
        </w:rPr>
      </w:pPr>
      <w:r w:rsidRPr="00B936A0">
        <w:rPr>
          <w:rFonts w:ascii="Times New Roman" w:eastAsia="Times New Roman" w:hAnsi="Times New Roman" w:cs="Times New Roman"/>
          <w:bCs/>
        </w:rPr>
        <w:t>egyetemi docens</w:t>
      </w:r>
      <w:r w:rsidR="00472829">
        <w:rPr>
          <w:rFonts w:ascii="Times New Roman" w:eastAsia="Times New Roman" w:hAnsi="Times New Roman" w:cs="Times New Roman"/>
          <w:bCs/>
        </w:rPr>
        <w:t xml:space="preserve"> </w:t>
      </w:r>
      <w:r w:rsidRPr="00B936A0">
        <w:rPr>
          <w:rFonts w:ascii="Times New Roman" w:eastAsia="Times New Roman" w:hAnsi="Times New Roman" w:cs="Times New Roman"/>
          <w:bCs/>
        </w:rPr>
        <w:t>sk.</w:t>
      </w:r>
    </w:p>
    <w:p w:rsidR="00B936A0" w:rsidRDefault="00B936A0">
      <w:pPr>
        <w:spacing w:after="200" w:line="276" w:lineRule="auto"/>
        <w:rPr>
          <w:rFonts w:ascii="Times New Roman" w:hAnsi="Times New Roman" w:cs="Times New Roman"/>
          <w:sz w:val="24"/>
        </w:rPr>
      </w:pPr>
    </w:p>
    <w:p w:rsidR="00B936A0" w:rsidRDefault="00B936A0">
      <w:pPr>
        <w:spacing w:after="200" w:line="276" w:lineRule="auto"/>
        <w:rPr>
          <w:rFonts w:ascii="Times New Roman" w:hAnsi="Times New Roman" w:cs="Times New Roman"/>
          <w:sz w:val="24"/>
        </w:rPr>
      </w:pPr>
      <w:r>
        <w:rPr>
          <w:rFonts w:ascii="Times New Roman" w:hAnsi="Times New Roman" w:cs="Times New Roman"/>
          <w:sz w:val="24"/>
        </w:rPr>
        <w:br w:type="page"/>
      </w:r>
    </w:p>
    <w:tbl>
      <w:tblPr>
        <w:tblW w:w="9072" w:type="dxa"/>
        <w:tblInd w:w="113" w:type="dxa"/>
        <w:tblLook w:val="01E0" w:firstRow="1" w:lastRow="1" w:firstColumn="1" w:lastColumn="1" w:noHBand="0" w:noVBand="0"/>
      </w:tblPr>
      <w:tblGrid>
        <w:gridCol w:w="4855"/>
        <w:gridCol w:w="1620"/>
        <w:gridCol w:w="2597"/>
      </w:tblGrid>
      <w:tr w:rsidR="00B87C3E" w:rsidRPr="00B87C3E" w:rsidTr="007E3A2E">
        <w:tc>
          <w:tcPr>
            <w:tcW w:w="4855" w:type="dxa"/>
            <w:tcBorders>
              <w:top w:val="nil"/>
              <w:left w:val="nil"/>
              <w:bottom w:val="single" w:sz="4" w:space="0" w:color="auto"/>
              <w:right w:val="nil"/>
            </w:tcBorders>
            <w:hideMark/>
          </w:tcPr>
          <w:p w:rsidR="00B87C3E" w:rsidRPr="00B87C3E" w:rsidRDefault="00B87C3E" w:rsidP="00B87C3E">
            <w:pPr>
              <w:pageBreakBefore/>
              <w:autoSpaceDE w:val="0"/>
              <w:autoSpaceDN w:val="0"/>
              <w:adjustRightInd w:val="0"/>
              <w:spacing w:after="0" w:line="240" w:lineRule="auto"/>
              <w:jc w:val="center"/>
              <w:rPr>
                <w:rFonts w:ascii="Times New Roman" w:eastAsia="Times New Roman" w:hAnsi="Times New Roman" w:cs="Times New Roman"/>
                <w:b/>
                <w:smallCaps/>
                <w:lang w:eastAsia="hu-HU"/>
              </w:rPr>
            </w:pPr>
            <w:r w:rsidRPr="00B87C3E">
              <w:rPr>
                <w:rFonts w:ascii="Times New Roman" w:eastAsia="Times New Roman" w:hAnsi="Times New Roman" w:cs="Times New Roman"/>
                <w:b/>
                <w:smallCaps/>
                <w:lang w:eastAsia="hu-HU"/>
              </w:rPr>
              <w:lastRenderedPageBreak/>
              <w:t>Nemzeti Közszolgálati Egyetem</w:t>
            </w:r>
          </w:p>
        </w:tc>
        <w:tc>
          <w:tcPr>
            <w:tcW w:w="1620" w:type="dxa"/>
          </w:tcPr>
          <w:p w:rsidR="00B87C3E" w:rsidRPr="00B87C3E" w:rsidRDefault="00B87C3E" w:rsidP="00B87C3E">
            <w:pPr>
              <w:autoSpaceDE w:val="0"/>
              <w:autoSpaceDN w:val="0"/>
              <w:adjustRightInd w:val="0"/>
              <w:spacing w:after="0" w:line="240" w:lineRule="auto"/>
              <w:jc w:val="both"/>
              <w:rPr>
                <w:rFonts w:ascii="Times New Roman" w:eastAsia="Times New Roman" w:hAnsi="Times New Roman" w:cs="Times New Roman"/>
                <w:lang w:eastAsia="hu-HU"/>
              </w:rPr>
            </w:pPr>
          </w:p>
        </w:tc>
        <w:tc>
          <w:tcPr>
            <w:tcW w:w="2597" w:type="dxa"/>
          </w:tcPr>
          <w:p w:rsidR="00B87C3E" w:rsidRPr="00B87C3E" w:rsidRDefault="00B87C3E" w:rsidP="00B87C3E">
            <w:pPr>
              <w:autoSpaceDE w:val="0"/>
              <w:autoSpaceDN w:val="0"/>
              <w:adjustRightInd w:val="0"/>
              <w:spacing w:after="0" w:line="240" w:lineRule="auto"/>
              <w:jc w:val="right"/>
              <w:rPr>
                <w:rFonts w:ascii="Times New Roman" w:eastAsia="Times New Roman" w:hAnsi="Times New Roman" w:cs="Times New Roman"/>
                <w:lang w:eastAsia="hu-HU"/>
              </w:rPr>
            </w:pPr>
          </w:p>
        </w:tc>
      </w:tr>
      <w:tr w:rsidR="00B87C3E" w:rsidRPr="00B87C3E" w:rsidTr="007E3A2E">
        <w:tc>
          <w:tcPr>
            <w:tcW w:w="4855" w:type="dxa"/>
            <w:tcBorders>
              <w:top w:val="single" w:sz="4" w:space="0" w:color="auto"/>
              <w:left w:val="nil"/>
              <w:bottom w:val="nil"/>
              <w:right w:val="nil"/>
            </w:tcBorders>
            <w:hideMark/>
          </w:tcPr>
          <w:p w:rsidR="00B87C3E" w:rsidRPr="00B87C3E" w:rsidRDefault="00B87C3E" w:rsidP="00B87C3E">
            <w:pPr>
              <w:autoSpaceDE w:val="0"/>
              <w:autoSpaceDN w:val="0"/>
              <w:adjustRightInd w:val="0"/>
              <w:spacing w:after="0" w:line="240" w:lineRule="auto"/>
              <w:jc w:val="center"/>
              <w:rPr>
                <w:rFonts w:ascii="Times New Roman" w:eastAsia="Times New Roman" w:hAnsi="Times New Roman" w:cs="Times New Roman"/>
                <w:b/>
                <w:lang w:eastAsia="hu-HU"/>
              </w:rPr>
            </w:pPr>
            <w:r w:rsidRPr="00B87C3E">
              <w:rPr>
                <w:rFonts w:ascii="Times New Roman" w:eastAsia="Times New Roman" w:hAnsi="Times New Roman" w:cs="Times New Roman"/>
                <w:b/>
                <w:lang w:eastAsia="hu-HU"/>
              </w:rPr>
              <w:t>Hadtudományi és Honvédtisztképző Kar</w:t>
            </w:r>
          </w:p>
        </w:tc>
        <w:tc>
          <w:tcPr>
            <w:tcW w:w="1620" w:type="dxa"/>
          </w:tcPr>
          <w:p w:rsidR="00B87C3E" w:rsidRPr="00B87C3E" w:rsidRDefault="00B87C3E" w:rsidP="00B87C3E">
            <w:pPr>
              <w:autoSpaceDE w:val="0"/>
              <w:autoSpaceDN w:val="0"/>
              <w:adjustRightInd w:val="0"/>
              <w:spacing w:after="0" w:line="240" w:lineRule="auto"/>
              <w:jc w:val="both"/>
              <w:rPr>
                <w:rFonts w:ascii="Times New Roman" w:eastAsia="Times New Roman" w:hAnsi="Times New Roman" w:cs="Times New Roman"/>
                <w:lang w:eastAsia="hu-HU"/>
              </w:rPr>
            </w:pPr>
          </w:p>
        </w:tc>
        <w:tc>
          <w:tcPr>
            <w:tcW w:w="2597" w:type="dxa"/>
          </w:tcPr>
          <w:p w:rsidR="00B87C3E" w:rsidRPr="00B87C3E" w:rsidRDefault="00B87C3E" w:rsidP="00B87C3E">
            <w:pPr>
              <w:autoSpaceDE w:val="0"/>
              <w:autoSpaceDN w:val="0"/>
              <w:adjustRightInd w:val="0"/>
              <w:spacing w:after="0" w:line="240" w:lineRule="auto"/>
              <w:jc w:val="both"/>
              <w:rPr>
                <w:rFonts w:ascii="Times New Roman" w:eastAsia="Times New Roman" w:hAnsi="Times New Roman" w:cs="Times New Roman"/>
                <w:lang w:eastAsia="hu-HU"/>
              </w:rPr>
            </w:pPr>
          </w:p>
        </w:tc>
      </w:tr>
    </w:tbl>
    <w:p w:rsidR="00B87C3E" w:rsidRPr="00B87C3E" w:rsidRDefault="00B87C3E" w:rsidP="00B87C3E">
      <w:pPr>
        <w:tabs>
          <w:tab w:val="right" w:pos="0"/>
          <w:tab w:val="center" w:pos="4536"/>
          <w:tab w:val="right" w:pos="9072"/>
        </w:tabs>
        <w:spacing w:after="0" w:line="240" w:lineRule="auto"/>
        <w:jc w:val="both"/>
        <w:rPr>
          <w:rFonts w:ascii="Times New Roman" w:eastAsia="Times New Roman" w:hAnsi="Times New Roman" w:cs="Times New Roman"/>
          <w:bCs/>
          <w:lang w:eastAsia="hu-HU"/>
        </w:rPr>
      </w:pPr>
    </w:p>
    <w:p w:rsidR="00B87C3E" w:rsidRPr="00B87C3E" w:rsidRDefault="00B87C3E" w:rsidP="00B87C3E">
      <w:pPr>
        <w:jc w:val="center"/>
        <w:rPr>
          <w:rFonts w:ascii="Times New Roman" w:eastAsia="Calibri" w:hAnsi="Times New Roman" w:cs="Times New Roman"/>
          <w:b/>
          <w:bCs/>
        </w:rPr>
      </w:pPr>
      <w:r w:rsidRPr="00B87C3E">
        <w:rPr>
          <w:rFonts w:ascii="Times New Roman" w:eastAsia="Calibri" w:hAnsi="Times New Roman" w:cs="Times New Roman"/>
          <w:b/>
          <w:bCs/>
        </w:rPr>
        <w:t>TANTÁRGYI PROGRAM</w:t>
      </w:r>
    </w:p>
    <w:p w:rsidR="00B87C3E" w:rsidRPr="00B87C3E" w:rsidRDefault="00B87C3E" w:rsidP="00980876">
      <w:pPr>
        <w:numPr>
          <w:ilvl w:val="0"/>
          <w:numId w:val="733"/>
        </w:numPr>
        <w:tabs>
          <w:tab w:val="right" w:pos="900"/>
          <w:tab w:val="center" w:pos="4536"/>
          <w:tab w:val="right" w:pos="9072"/>
        </w:tabs>
        <w:spacing w:before="120" w:after="0" w:line="240" w:lineRule="auto"/>
        <w:jc w:val="both"/>
        <w:rPr>
          <w:rFonts w:ascii="Times New Roman" w:eastAsia="Times New Roman" w:hAnsi="Times New Roman" w:cs="Times New Roman"/>
          <w:b/>
          <w:bCs/>
          <w:lang w:eastAsia="hu-HU"/>
        </w:rPr>
      </w:pPr>
      <w:r w:rsidRPr="00B87C3E">
        <w:rPr>
          <w:rFonts w:ascii="Times New Roman" w:eastAsia="Times New Roman" w:hAnsi="Times New Roman" w:cs="Times New Roman"/>
          <w:b/>
          <w:bCs/>
          <w:lang w:eastAsia="hu-HU"/>
        </w:rPr>
        <w:t xml:space="preserve">A tantárgy kódja: </w:t>
      </w:r>
      <w:r w:rsidR="00552389">
        <w:rPr>
          <w:rFonts w:ascii="Times New Roman" w:eastAsia="Times New Roman" w:hAnsi="Times New Roman" w:cs="Times New Roman"/>
          <w:bCs/>
          <w:lang w:eastAsia="hu-HU"/>
        </w:rPr>
        <w:t>HKÖMTA</w:t>
      </w:r>
      <w:r w:rsidRPr="00B87C3E">
        <w:rPr>
          <w:rFonts w:ascii="Times New Roman" w:eastAsia="Times New Roman" w:hAnsi="Times New Roman" w:cs="Times New Roman"/>
          <w:bCs/>
          <w:lang w:eastAsia="hu-HU"/>
        </w:rPr>
        <w:t>600</w:t>
      </w:r>
    </w:p>
    <w:p w:rsidR="00B87C3E" w:rsidRPr="00B87C3E" w:rsidRDefault="00B87C3E" w:rsidP="00980876">
      <w:pPr>
        <w:numPr>
          <w:ilvl w:val="0"/>
          <w:numId w:val="733"/>
        </w:numPr>
        <w:tabs>
          <w:tab w:val="num" w:pos="284"/>
          <w:tab w:val="right" w:pos="900"/>
          <w:tab w:val="center" w:pos="4536"/>
          <w:tab w:val="right" w:pos="9072"/>
        </w:tabs>
        <w:spacing w:before="120" w:after="0" w:line="240" w:lineRule="auto"/>
        <w:ind w:left="426" w:hanging="426"/>
        <w:jc w:val="both"/>
        <w:rPr>
          <w:rFonts w:ascii="Times New Roman" w:eastAsia="Times New Roman" w:hAnsi="Times New Roman" w:cs="Times New Roman"/>
          <w:b/>
          <w:bCs/>
          <w:lang w:eastAsia="hu-HU"/>
        </w:rPr>
      </w:pPr>
      <w:r w:rsidRPr="00B87C3E">
        <w:rPr>
          <w:rFonts w:ascii="Times New Roman" w:eastAsia="Times New Roman" w:hAnsi="Times New Roman" w:cs="Times New Roman"/>
          <w:b/>
          <w:bCs/>
          <w:lang w:eastAsia="hu-HU"/>
        </w:rPr>
        <w:t xml:space="preserve">A tantárgy megnevezése (magyarul): </w:t>
      </w:r>
      <w:r w:rsidRPr="00B87C3E">
        <w:rPr>
          <w:rFonts w:ascii="Times New Roman" w:eastAsia="Times New Roman" w:hAnsi="Times New Roman" w:cs="Times New Roman"/>
          <w:bCs/>
          <w:lang w:eastAsia="hu-HU"/>
        </w:rPr>
        <w:t>Rajparancsnoki felkészítés</w:t>
      </w:r>
    </w:p>
    <w:p w:rsidR="00B87C3E" w:rsidRPr="00B87C3E" w:rsidRDefault="00B87C3E" w:rsidP="00980876">
      <w:pPr>
        <w:numPr>
          <w:ilvl w:val="0"/>
          <w:numId w:val="733"/>
        </w:numPr>
        <w:tabs>
          <w:tab w:val="num" w:pos="284"/>
          <w:tab w:val="right" w:pos="900"/>
          <w:tab w:val="center" w:pos="4536"/>
          <w:tab w:val="right" w:pos="9072"/>
        </w:tabs>
        <w:spacing w:before="120" w:after="0" w:line="240" w:lineRule="auto"/>
        <w:ind w:left="426" w:hanging="426"/>
        <w:jc w:val="both"/>
        <w:rPr>
          <w:rFonts w:ascii="Times New Roman" w:eastAsia="Times New Roman" w:hAnsi="Times New Roman" w:cs="Times New Roman"/>
          <w:b/>
          <w:bCs/>
          <w:lang w:eastAsia="hu-HU"/>
        </w:rPr>
      </w:pPr>
      <w:r w:rsidRPr="00B87C3E">
        <w:rPr>
          <w:rFonts w:ascii="Times New Roman" w:eastAsia="Times New Roman" w:hAnsi="Times New Roman" w:cs="Times New Roman"/>
          <w:b/>
          <w:bCs/>
          <w:lang w:eastAsia="hu-HU"/>
        </w:rPr>
        <w:t xml:space="preserve">A tantárgy megnevezése (angolul): </w:t>
      </w:r>
      <w:r w:rsidRPr="00B87C3E">
        <w:rPr>
          <w:rFonts w:ascii="Times New Roman" w:eastAsia="Times New Roman" w:hAnsi="Times New Roman" w:cs="Times New Roman"/>
          <w:bCs/>
          <w:lang w:eastAsia="hu-HU"/>
        </w:rPr>
        <w:t>Squad Leader Training</w:t>
      </w:r>
    </w:p>
    <w:p w:rsidR="00B87C3E" w:rsidRPr="00B87C3E" w:rsidRDefault="00B87C3E" w:rsidP="00980876">
      <w:pPr>
        <w:widowControl w:val="0"/>
        <w:numPr>
          <w:ilvl w:val="0"/>
          <w:numId w:val="733"/>
        </w:numPr>
        <w:spacing w:before="120" w:after="120" w:line="240" w:lineRule="auto"/>
        <w:jc w:val="both"/>
        <w:rPr>
          <w:rFonts w:ascii="Times New Roman" w:eastAsia="Calibri" w:hAnsi="Times New Roman" w:cs="Times New Roman"/>
          <w:b/>
          <w:bCs/>
        </w:rPr>
      </w:pPr>
      <w:r w:rsidRPr="00B87C3E">
        <w:rPr>
          <w:rFonts w:ascii="Times New Roman" w:eastAsia="Calibri" w:hAnsi="Times New Roman" w:cs="Times New Roman"/>
          <w:b/>
          <w:bCs/>
        </w:rPr>
        <w:t xml:space="preserve">Kreditérték és képzési karakter: </w:t>
      </w:r>
    </w:p>
    <w:p w:rsidR="00B87C3E" w:rsidRPr="00B87C3E" w:rsidRDefault="00B87C3E" w:rsidP="00980876">
      <w:pPr>
        <w:widowControl w:val="0"/>
        <w:numPr>
          <w:ilvl w:val="1"/>
          <w:numId w:val="733"/>
        </w:numPr>
        <w:tabs>
          <w:tab w:val="num" w:pos="792"/>
        </w:tabs>
        <w:spacing w:before="120" w:after="120" w:line="240" w:lineRule="auto"/>
        <w:ind w:left="792"/>
        <w:contextualSpacing/>
        <w:jc w:val="both"/>
        <w:rPr>
          <w:rFonts w:ascii="Times New Roman" w:eastAsia="Calibri" w:hAnsi="Times New Roman" w:cs="Times New Roman"/>
          <w:bCs/>
        </w:rPr>
      </w:pPr>
      <w:r w:rsidRPr="00B87C3E">
        <w:rPr>
          <w:rFonts w:ascii="Times New Roman" w:eastAsia="Calibri" w:hAnsi="Times New Roman" w:cs="Times New Roman"/>
          <w:bCs/>
        </w:rPr>
        <w:t>6 kredit</w:t>
      </w:r>
    </w:p>
    <w:p w:rsidR="00B87C3E" w:rsidRPr="00B87C3E" w:rsidRDefault="00B87C3E" w:rsidP="00980876">
      <w:pPr>
        <w:widowControl w:val="0"/>
        <w:numPr>
          <w:ilvl w:val="1"/>
          <w:numId w:val="733"/>
        </w:numPr>
        <w:tabs>
          <w:tab w:val="num" w:pos="792"/>
        </w:tabs>
        <w:spacing w:before="120" w:after="120" w:line="240" w:lineRule="auto"/>
        <w:ind w:left="792"/>
        <w:contextualSpacing/>
        <w:jc w:val="both"/>
        <w:rPr>
          <w:rFonts w:ascii="Times New Roman" w:eastAsia="Calibri" w:hAnsi="Times New Roman" w:cs="Times New Roman"/>
          <w:bCs/>
        </w:rPr>
      </w:pPr>
      <w:r w:rsidRPr="00B87C3E">
        <w:rPr>
          <w:rFonts w:ascii="Times New Roman" w:eastAsia="Calibri" w:hAnsi="Times New Roman" w:cs="Times New Roman"/>
          <w:bCs/>
        </w:rPr>
        <w:t>a tantárgy elméleti vagy gyakorlati jellegének mértéke: 100% gyakorlat, 0% elmélet</w:t>
      </w:r>
    </w:p>
    <w:p w:rsidR="00B87C3E" w:rsidRPr="00B87C3E" w:rsidRDefault="00B87C3E" w:rsidP="00980876">
      <w:pPr>
        <w:widowControl w:val="0"/>
        <w:numPr>
          <w:ilvl w:val="0"/>
          <w:numId w:val="733"/>
        </w:numPr>
        <w:spacing w:before="120" w:after="120" w:line="240" w:lineRule="auto"/>
        <w:jc w:val="both"/>
        <w:rPr>
          <w:rFonts w:ascii="Times New Roman" w:eastAsia="Calibri" w:hAnsi="Times New Roman" w:cs="Times New Roman"/>
          <w:b/>
          <w:bCs/>
        </w:rPr>
      </w:pPr>
      <w:r w:rsidRPr="00B87C3E">
        <w:rPr>
          <w:rFonts w:ascii="Times New Roman" w:eastAsia="Calibri" w:hAnsi="Times New Roman" w:cs="Times New Roman"/>
          <w:b/>
          <w:bCs/>
        </w:rPr>
        <w:t xml:space="preserve">A szak(ok), szakirányok megnevezése (ahol oktatják): Katonai alapképzési szakok </w:t>
      </w:r>
    </w:p>
    <w:p w:rsidR="00B87C3E" w:rsidRPr="00B87C3E" w:rsidRDefault="00B87C3E" w:rsidP="00980876">
      <w:pPr>
        <w:numPr>
          <w:ilvl w:val="0"/>
          <w:numId w:val="733"/>
        </w:numPr>
        <w:tabs>
          <w:tab w:val="num" w:pos="851"/>
          <w:tab w:val="right" w:pos="900"/>
          <w:tab w:val="center" w:pos="4536"/>
          <w:tab w:val="right" w:pos="9072"/>
        </w:tabs>
        <w:spacing w:before="120" w:after="0" w:line="240" w:lineRule="auto"/>
        <w:ind w:left="284" w:hanging="284"/>
        <w:jc w:val="both"/>
        <w:rPr>
          <w:rFonts w:ascii="Times New Roman" w:eastAsia="Times New Roman" w:hAnsi="Times New Roman" w:cs="Times New Roman"/>
          <w:bCs/>
          <w:lang w:eastAsia="hu-HU"/>
        </w:rPr>
      </w:pPr>
      <w:r w:rsidRPr="00B87C3E">
        <w:rPr>
          <w:rFonts w:ascii="Times New Roman" w:eastAsia="Times New Roman" w:hAnsi="Times New Roman" w:cs="Times New Roman"/>
          <w:b/>
          <w:bCs/>
          <w:lang w:eastAsia="hu-HU"/>
        </w:rPr>
        <w:t>Az oktatásért felelős oktatási szervezeti egység megnevezése:</w:t>
      </w:r>
      <w:r w:rsidRPr="00B87C3E">
        <w:rPr>
          <w:rFonts w:ascii="Times New Roman" w:eastAsia="Times New Roman" w:hAnsi="Times New Roman" w:cs="Times New Roman"/>
          <w:bCs/>
          <w:lang w:eastAsia="hu-HU"/>
        </w:rPr>
        <w:t xml:space="preserve"> NKE Hadtudományi és Honvédtisztképző Kar, Összhaderőnemi Műveleti Tanszék</w:t>
      </w:r>
    </w:p>
    <w:p w:rsidR="00B87C3E" w:rsidRPr="00B87C3E" w:rsidRDefault="00B87C3E" w:rsidP="00980876">
      <w:pPr>
        <w:numPr>
          <w:ilvl w:val="0"/>
          <w:numId w:val="733"/>
        </w:numPr>
        <w:tabs>
          <w:tab w:val="num" w:pos="851"/>
          <w:tab w:val="right" w:pos="900"/>
          <w:tab w:val="center" w:pos="4536"/>
          <w:tab w:val="right" w:pos="9072"/>
        </w:tabs>
        <w:spacing w:before="120" w:after="0" w:line="240" w:lineRule="auto"/>
        <w:ind w:left="284" w:hanging="284"/>
        <w:jc w:val="both"/>
        <w:rPr>
          <w:rFonts w:ascii="Times New Roman" w:eastAsia="Times New Roman" w:hAnsi="Times New Roman" w:cs="Times New Roman"/>
          <w:bCs/>
          <w:lang w:eastAsia="hu-HU"/>
        </w:rPr>
      </w:pPr>
      <w:r w:rsidRPr="00B87C3E">
        <w:rPr>
          <w:rFonts w:ascii="Times New Roman" w:eastAsia="Times New Roman" w:hAnsi="Times New Roman" w:cs="Times New Roman"/>
          <w:b/>
          <w:bCs/>
          <w:lang w:eastAsia="hu-HU"/>
        </w:rPr>
        <w:t xml:space="preserve">A tantárgyfelelős oktató neve, beosztása, tudományos fokozata: </w:t>
      </w:r>
      <w:r w:rsidRPr="00B87C3E">
        <w:rPr>
          <w:rFonts w:ascii="Times New Roman" w:eastAsia="Times New Roman" w:hAnsi="Times New Roman" w:cs="Times New Roman"/>
          <w:bCs/>
          <w:noProof/>
          <w:lang w:eastAsia="hu-HU"/>
        </w:rPr>
        <w:t>Dr. Komjáthy Lajos, adjunktus, PhD</w:t>
      </w:r>
    </w:p>
    <w:p w:rsidR="00B87C3E" w:rsidRPr="00B87C3E" w:rsidRDefault="00B87C3E" w:rsidP="00980876">
      <w:pPr>
        <w:numPr>
          <w:ilvl w:val="0"/>
          <w:numId w:val="733"/>
        </w:numPr>
        <w:tabs>
          <w:tab w:val="num" w:pos="851"/>
          <w:tab w:val="right" w:pos="900"/>
          <w:tab w:val="center" w:pos="4536"/>
          <w:tab w:val="right" w:pos="9072"/>
        </w:tabs>
        <w:spacing w:before="120" w:after="0" w:line="240" w:lineRule="auto"/>
        <w:ind w:left="284" w:hanging="284"/>
        <w:jc w:val="both"/>
        <w:rPr>
          <w:rFonts w:ascii="Times New Roman" w:eastAsia="Times New Roman" w:hAnsi="Times New Roman" w:cs="Times New Roman"/>
          <w:bCs/>
          <w:lang w:eastAsia="hu-HU"/>
        </w:rPr>
      </w:pPr>
      <w:r w:rsidRPr="00B87C3E">
        <w:rPr>
          <w:rFonts w:ascii="Times New Roman" w:eastAsia="Times New Roman" w:hAnsi="Times New Roman" w:cs="Times New Roman"/>
          <w:b/>
          <w:bCs/>
          <w:lang w:eastAsia="hu-HU"/>
        </w:rPr>
        <w:t>A tanórák száma (előadás+gyakorlat)</w:t>
      </w:r>
    </w:p>
    <w:p w:rsidR="00B87C3E" w:rsidRPr="00B87C3E" w:rsidRDefault="00B87C3E" w:rsidP="00980876">
      <w:pPr>
        <w:widowControl w:val="0"/>
        <w:numPr>
          <w:ilvl w:val="1"/>
          <w:numId w:val="733"/>
        </w:numPr>
        <w:spacing w:before="120" w:after="120" w:line="240" w:lineRule="auto"/>
        <w:ind w:left="709" w:hanging="425"/>
        <w:jc w:val="both"/>
        <w:rPr>
          <w:rFonts w:ascii="Times New Roman" w:eastAsia="Calibri" w:hAnsi="Times New Roman" w:cs="Times New Roman"/>
          <w:bCs/>
        </w:rPr>
      </w:pPr>
      <w:r w:rsidRPr="00B87C3E">
        <w:rPr>
          <w:rFonts w:ascii="Times New Roman" w:eastAsia="Calibri" w:hAnsi="Times New Roman" w:cs="Times New Roman"/>
          <w:bCs/>
        </w:rPr>
        <w:t>össz óraszám/félév: 150</w:t>
      </w:r>
    </w:p>
    <w:p w:rsidR="00B87C3E" w:rsidRPr="00B87C3E" w:rsidRDefault="00B87C3E" w:rsidP="00980876">
      <w:pPr>
        <w:widowControl w:val="0"/>
        <w:numPr>
          <w:ilvl w:val="2"/>
          <w:numId w:val="733"/>
        </w:numPr>
        <w:tabs>
          <w:tab w:val="num" w:pos="1134"/>
          <w:tab w:val="num" w:pos="2138"/>
        </w:tabs>
        <w:spacing w:before="120" w:after="120" w:line="240" w:lineRule="auto"/>
        <w:ind w:left="851" w:hanging="283"/>
        <w:jc w:val="both"/>
        <w:rPr>
          <w:rFonts w:ascii="Times New Roman" w:eastAsia="Calibri" w:hAnsi="Times New Roman" w:cs="Times New Roman"/>
          <w:bCs/>
        </w:rPr>
      </w:pPr>
      <w:r w:rsidRPr="00B87C3E">
        <w:rPr>
          <w:rFonts w:ascii="Times New Roman" w:eastAsia="Calibri" w:hAnsi="Times New Roman" w:cs="Times New Roman"/>
          <w:bCs/>
        </w:rPr>
        <w:t>nappali munkarend: 150 óra/félév (0 EA + 0 SZ + 150 GY)</w:t>
      </w:r>
    </w:p>
    <w:p w:rsidR="00B87C3E" w:rsidRPr="00B87C3E" w:rsidRDefault="00B87C3E" w:rsidP="00980876">
      <w:pPr>
        <w:widowControl w:val="0"/>
        <w:numPr>
          <w:ilvl w:val="2"/>
          <w:numId w:val="733"/>
        </w:numPr>
        <w:tabs>
          <w:tab w:val="num" w:pos="1134"/>
          <w:tab w:val="num" w:pos="2138"/>
        </w:tabs>
        <w:spacing w:before="120" w:after="120" w:line="240" w:lineRule="auto"/>
        <w:ind w:left="851" w:hanging="283"/>
        <w:jc w:val="both"/>
        <w:rPr>
          <w:rFonts w:ascii="Times New Roman" w:eastAsia="Calibri" w:hAnsi="Times New Roman" w:cs="Times New Roman"/>
          <w:bCs/>
        </w:rPr>
      </w:pPr>
      <w:r w:rsidRPr="00B87C3E">
        <w:rPr>
          <w:rFonts w:ascii="Times New Roman" w:eastAsia="Calibri" w:hAnsi="Times New Roman" w:cs="Times New Roman"/>
          <w:bCs/>
        </w:rPr>
        <w:t xml:space="preserve">levelező munkarend: - </w:t>
      </w:r>
    </w:p>
    <w:p w:rsidR="00B87C3E" w:rsidRPr="00B87C3E" w:rsidRDefault="00B87C3E" w:rsidP="00980876">
      <w:pPr>
        <w:widowControl w:val="0"/>
        <w:numPr>
          <w:ilvl w:val="1"/>
          <w:numId w:val="733"/>
        </w:numPr>
        <w:spacing w:before="120" w:after="120" w:line="240" w:lineRule="auto"/>
        <w:ind w:left="709" w:hanging="425"/>
        <w:jc w:val="both"/>
        <w:rPr>
          <w:rFonts w:ascii="Times New Roman" w:eastAsia="Calibri" w:hAnsi="Times New Roman" w:cs="Times New Roman"/>
          <w:bCs/>
        </w:rPr>
      </w:pPr>
      <w:r w:rsidRPr="00B87C3E">
        <w:rPr>
          <w:rFonts w:ascii="Times New Roman" w:eastAsia="Calibri" w:hAnsi="Times New Roman" w:cs="Times New Roman"/>
          <w:bCs/>
        </w:rPr>
        <w:t>heti óraszám - nappali munkarend: 10 óra/hét (0+10)</w:t>
      </w:r>
    </w:p>
    <w:p w:rsidR="00B87C3E" w:rsidRPr="00B87C3E" w:rsidRDefault="00B87C3E" w:rsidP="00980876">
      <w:pPr>
        <w:widowControl w:val="0"/>
        <w:numPr>
          <w:ilvl w:val="1"/>
          <w:numId w:val="733"/>
        </w:numPr>
        <w:spacing w:before="120" w:after="120" w:line="240" w:lineRule="auto"/>
        <w:ind w:left="709" w:hanging="425"/>
        <w:jc w:val="both"/>
        <w:rPr>
          <w:rFonts w:ascii="Times New Roman" w:eastAsia="Calibri" w:hAnsi="Times New Roman" w:cs="Times New Roman"/>
          <w:bCs/>
        </w:rPr>
      </w:pPr>
      <w:r w:rsidRPr="00B87C3E">
        <w:rPr>
          <w:rFonts w:ascii="Times New Roman" w:eastAsia="Calibri" w:hAnsi="Times New Roman" w:cs="Times New Roman"/>
        </w:rPr>
        <w:t xml:space="preserve">Az </w:t>
      </w:r>
      <w:r w:rsidRPr="00B87C3E">
        <w:rPr>
          <w:rFonts w:ascii="Times New Roman" w:eastAsia="Calibri" w:hAnsi="Times New Roman" w:cs="Times New Roman"/>
          <w:bCs/>
        </w:rPr>
        <w:t>ismeret</w:t>
      </w:r>
      <w:r w:rsidRPr="00B87C3E">
        <w:rPr>
          <w:rFonts w:ascii="Times New Roman" w:eastAsia="Calibri" w:hAnsi="Times New Roman" w:cs="Times New Roman"/>
        </w:rPr>
        <w:t xml:space="preserve"> átadásában alkalmazandó további sajátos módok, jellemzők: a foglalkozások egybefüggő öt hetes időtartamban a Magyar Honvédség Ludovika Zászlóalj szervezeti keretében kerülnek levezetésre, a Zászlóalj szakembereinek szakmai mentorálásával.</w:t>
      </w:r>
    </w:p>
    <w:p w:rsidR="00B87C3E" w:rsidRPr="00B87C3E" w:rsidRDefault="00B87C3E" w:rsidP="00980876">
      <w:pPr>
        <w:numPr>
          <w:ilvl w:val="0"/>
          <w:numId w:val="733"/>
        </w:numPr>
        <w:tabs>
          <w:tab w:val="right" w:pos="900"/>
          <w:tab w:val="center" w:pos="4536"/>
          <w:tab w:val="right" w:pos="9072"/>
        </w:tabs>
        <w:spacing w:before="120" w:after="0" w:line="240" w:lineRule="auto"/>
        <w:ind w:left="426" w:hanging="426"/>
        <w:jc w:val="both"/>
        <w:rPr>
          <w:rFonts w:ascii="Times New Roman" w:eastAsia="Times New Roman" w:hAnsi="Times New Roman" w:cs="Times New Roman"/>
          <w:bCs/>
          <w:lang w:eastAsia="hu-HU"/>
        </w:rPr>
      </w:pPr>
      <w:r w:rsidRPr="00B87C3E">
        <w:rPr>
          <w:rFonts w:ascii="Times New Roman" w:eastAsia="Times New Roman" w:hAnsi="Times New Roman" w:cs="Times New Roman"/>
          <w:b/>
          <w:bCs/>
          <w:lang w:eastAsia="hu-HU"/>
        </w:rPr>
        <w:t xml:space="preserve">A tantárgy szakmai tartalma (magyarul): </w:t>
      </w:r>
      <w:r w:rsidRPr="00B87C3E">
        <w:rPr>
          <w:rFonts w:ascii="Times New Roman" w:eastAsia="Times New Roman" w:hAnsi="Times New Roman" w:cs="Times New Roman"/>
          <w:bCs/>
          <w:lang w:eastAsia="hu-HU"/>
        </w:rPr>
        <w:t>A kurzus folyamán a hallgatók megismerkedhetnek a rajparancsnok feladatrendszerével, a rajparancsnok békeidőszaki és békétől eltérő feladatok ellátásához szükséges jogok, kötelezettségek, parancsadási és fegyelmi jogkörök alapjaival, a raj készenlétének fenntartása, fokozásával kapcsolatos rendszabályokkal, a raj harc és harccal kapcsolatos tevékenységével, a rajkiképzés szakmódszertani ismereteivel, a raj rendszeresített fegyverzeti és fegyverzettechnikai eszközeinek alkalmazásával, üzemeltetésével, valamint a harcaszati szintű vezetés alapjaival.</w:t>
      </w:r>
    </w:p>
    <w:p w:rsidR="00B87C3E" w:rsidRPr="00B87C3E" w:rsidRDefault="00B87C3E" w:rsidP="00B87C3E">
      <w:pPr>
        <w:tabs>
          <w:tab w:val="right" w:pos="900"/>
          <w:tab w:val="center" w:pos="4536"/>
          <w:tab w:val="right" w:pos="9072"/>
        </w:tabs>
        <w:spacing w:before="120" w:after="0" w:line="240" w:lineRule="auto"/>
        <w:ind w:left="426"/>
        <w:jc w:val="both"/>
        <w:rPr>
          <w:rFonts w:ascii="Times New Roman" w:eastAsia="Times New Roman" w:hAnsi="Times New Roman" w:cs="Times New Roman"/>
          <w:bCs/>
          <w:lang w:eastAsia="hu-HU"/>
        </w:rPr>
      </w:pPr>
      <w:r w:rsidRPr="00B87C3E">
        <w:rPr>
          <w:rFonts w:ascii="Times New Roman" w:eastAsia="Times New Roman" w:hAnsi="Times New Roman" w:cs="Times New Roman"/>
          <w:b/>
          <w:bCs/>
          <w:lang w:val="en-US" w:eastAsia="hu-HU"/>
        </w:rPr>
        <w:t>A tantárgy szakmai tartalma (angolul):</w:t>
      </w:r>
      <w:r w:rsidRPr="00B87C3E">
        <w:rPr>
          <w:rFonts w:ascii="Times New Roman" w:eastAsia="Times New Roman" w:hAnsi="Times New Roman" w:cs="Times New Roman"/>
          <w:bCs/>
          <w:lang w:val="en-US" w:eastAsia="hu-HU"/>
        </w:rPr>
        <w:t xml:space="preserve"> Completing this course the students become familiar with the squad leader’s tasks in war and peacetime, its rights and duties, the fundamentals of rights to give orders. They will have a comprehensive understanding of the tasks related to the squad’s combat readiness, the squad’s combat activities and activities related to combat, the methodology of the squad’s training, using and maintaining the squad’s weapons and other equipment and the fundamentals of squad level tactical leadership.</w:t>
      </w:r>
    </w:p>
    <w:p w:rsidR="00B87C3E" w:rsidRPr="00B87C3E" w:rsidRDefault="00B87C3E" w:rsidP="00980876">
      <w:pPr>
        <w:numPr>
          <w:ilvl w:val="0"/>
          <w:numId w:val="733"/>
        </w:numPr>
        <w:tabs>
          <w:tab w:val="center" w:pos="4536"/>
          <w:tab w:val="right" w:pos="9072"/>
        </w:tabs>
        <w:spacing w:before="120" w:after="0" w:line="240" w:lineRule="auto"/>
        <w:jc w:val="both"/>
        <w:rPr>
          <w:rFonts w:ascii="Times New Roman" w:eastAsia="Times New Roman" w:hAnsi="Times New Roman" w:cs="Times New Roman"/>
          <w:b/>
          <w:bCs/>
          <w:lang w:eastAsia="hu-HU"/>
        </w:rPr>
      </w:pPr>
      <w:r w:rsidRPr="00B87C3E">
        <w:rPr>
          <w:rFonts w:ascii="Times New Roman" w:eastAsia="Times New Roman" w:hAnsi="Times New Roman" w:cs="Times New Roman"/>
          <w:b/>
          <w:bCs/>
          <w:lang w:eastAsia="hu-HU"/>
        </w:rPr>
        <w:t xml:space="preserve">Elérendő kompetenciák (magyarul): </w:t>
      </w:r>
    </w:p>
    <w:p w:rsidR="00B87C3E" w:rsidRPr="00B87C3E" w:rsidRDefault="00B87C3E" w:rsidP="00B87C3E">
      <w:pPr>
        <w:widowControl w:val="0"/>
        <w:spacing w:before="120" w:after="0"/>
        <w:ind w:left="425"/>
        <w:jc w:val="both"/>
        <w:rPr>
          <w:rFonts w:ascii="Times New Roman" w:eastAsia="Calibri" w:hAnsi="Times New Roman" w:cs="Times New Roman"/>
          <w:b/>
          <w:lang w:val="en-GB"/>
        </w:rPr>
      </w:pPr>
      <w:r w:rsidRPr="00B87C3E">
        <w:rPr>
          <w:rFonts w:ascii="Times New Roman" w:eastAsia="Calibri" w:hAnsi="Times New Roman" w:cs="Times New Roman"/>
          <w:b/>
          <w:lang w:val="en-GB"/>
        </w:rPr>
        <w:t xml:space="preserve">Tudása: </w:t>
      </w:r>
    </w:p>
    <w:p w:rsidR="00B87C3E" w:rsidRPr="00B87C3E" w:rsidRDefault="00B87C3E" w:rsidP="00980876">
      <w:pPr>
        <w:widowControl w:val="0"/>
        <w:numPr>
          <w:ilvl w:val="0"/>
          <w:numId w:val="728"/>
        </w:numPr>
        <w:spacing w:before="120" w:after="120" w:line="240" w:lineRule="auto"/>
        <w:ind w:left="782" w:hanging="357"/>
        <w:contextualSpacing/>
        <w:jc w:val="both"/>
        <w:rPr>
          <w:rFonts w:ascii="Times New Roman" w:eastAsia="Calibri" w:hAnsi="Times New Roman" w:cs="Times New Roman"/>
          <w:bCs/>
          <w:lang w:val="en-GB"/>
        </w:rPr>
      </w:pPr>
      <w:r w:rsidRPr="00B87C3E">
        <w:rPr>
          <w:rFonts w:ascii="Times New Roman" w:eastAsia="Calibri" w:hAnsi="Times New Roman" w:cs="Times New Roman"/>
          <w:bCs/>
          <w:lang w:val="en-GB"/>
        </w:rPr>
        <w:t xml:space="preserve">Ismeri a raj vezetésével kapcsolatos feladatok specifikus jellemzőit. </w:t>
      </w:r>
    </w:p>
    <w:p w:rsidR="00B87C3E" w:rsidRPr="00B87C3E" w:rsidRDefault="00B87C3E" w:rsidP="00980876">
      <w:pPr>
        <w:widowControl w:val="0"/>
        <w:numPr>
          <w:ilvl w:val="0"/>
          <w:numId w:val="728"/>
        </w:numPr>
        <w:spacing w:before="120" w:after="120" w:line="240" w:lineRule="auto"/>
        <w:ind w:left="782" w:hanging="357"/>
        <w:contextualSpacing/>
        <w:jc w:val="both"/>
        <w:rPr>
          <w:rFonts w:ascii="Times New Roman" w:eastAsia="Calibri" w:hAnsi="Times New Roman" w:cs="Times New Roman"/>
          <w:bCs/>
          <w:lang w:val="en-GB"/>
        </w:rPr>
      </w:pPr>
      <w:r w:rsidRPr="00B87C3E">
        <w:rPr>
          <w:rFonts w:ascii="Times New Roman" w:eastAsia="Calibri" w:hAnsi="Times New Roman" w:cs="Times New Roman"/>
          <w:bCs/>
          <w:lang w:val="en-GB"/>
        </w:rPr>
        <w:t>Behatóan ismeri a raj által végrehajtott harctevékenységi fajtákat, továbbá a harccal kapcsolatos tevékenységek feladatait.</w:t>
      </w:r>
    </w:p>
    <w:p w:rsidR="00B87C3E" w:rsidRPr="00B87C3E" w:rsidRDefault="00B87C3E" w:rsidP="00980876">
      <w:pPr>
        <w:widowControl w:val="0"/>
        <w:numPr>
          <w:ilvl w:val="0"/>
          <w:numId w:val="728"/>
        </w:numPr>
        <w:spacing w:before="120" w:after="120" w:line="240" w:lineRule="auto"/>
        <w:ind w:left="782" w:hanging="357"/>
        <w:contextualSpacing/>
        <w:jc w:val="both"/>
        <w:rPr>
          <w:rFonts w:ascii="Times New Roman" w:eastAsia="Calibri" w:hAnsi="Times New Roman" w:cs="Times New Roman"/>
          <w:bCs/>
          <w:lang w:val="en-GB"/>
        </w:rPr>
      </w:pPr>
      <w:r w:rsidRPr="00B87C3E">
        <w:rPr>
          <w:rFonts w:ascii="Times New Roman" w:eastAsia="Calibri" w:hAnsi="Times New Roman" w:cs="Times New Roman"/>
          <w:bCs/>
          <w:lang w:val="en-GB"/>
        </w:rPr>
        <w:t>Átfogóan ismeri a raj kiképzéséhez szükséges szakmódszertant.</w:t>
      </w:r>
    </w:p>
    <w:p w:rsidR="00B87C3E" w:rsidRPr="00B87C3E" w:rsidRDefault="00B87C3E" w:rsidP="00980876">
      <w:pPr>
        <w:widowControl w:val="0"/>
        <w:numPr>
          <w:ilvl w:val="0"/>
          <w:numId w:val="728"/>
        </w:numPr>
        <w:spacing w:before="120" w:after="120" w:line="240" w:lineRule="auto"/>
        <w:ind w:left="782" w:hanging="357"/>
        <w:contextualSpacing/>
        <w:jc w:val="both"/>
        <w:rPr>
          <w:rFonts w:ascii="Times New Roman" w:eastAsia="Calibri" w:hAnsi="Times New Roman" w:cs="Times New Roman"/>
          <w:bCs/>
          <w:lang w:val="en-GB"/>
        </w:rPr>
      </w:pPr>
      <w:r w:rsidRPr="00B87C3E">
        <w:rPr>
          <w:rFonts w:ascii="Times New Roman" w:eastAsia="Calibri" w:hAnsi="Times New Roman" w:cs="Times New Roman"/>
          <w:bCs/>
          <w:lang w:val="en-GB"/>
        </w:rPr>
        <w:t>Átfogóan rendelkezik a lövész raj rendszeresített fegyverzeti, haditechnikai eszközeinek és harcanyagainak ismeretével.</w:t>
      </w:r>
    </w:p>
    <w:p w:rsidR="00B87C3E" w:rsidRPr="00B87C3E" w:rsidRDefault="00B87C3E" w:rsidP="00980876">
      <w:pPr>
        <w:widowControl w:val="0"/>
        <w:numPr>
          <w:ilvl w:val="0"/>
          <w:numId w:val="728"/>
        </w:numPr>
        <w:spacing w:before="120" w:after="120" w:line="240" w:lineRule="auto"/>
        <w:ind w:left="782" w:hanging="357"/>
        <w:contextualSpacing/>
        <w:jc w:val="both"/>
        <w:rPr>
          <w:rFonts w:ascii="Times New Roman" w:eastAsia="Calibri" w:hAnsi="Times New Roman" w:cs="Times New Roman"/>
          <w:bCs/>
          <w:lang w:val="en-GB"/>
        </w:rPr>
      </w:pPr>
      <w:r w:rsidRPr="00B87C3E">
        <w:rPr>
          <w:rFonts w:ascii="Times New Roman" w:eastAsia="Calibri" w:hAnsi="Times New Roman" w:cs="Times New Roman"/>
          <w:bCs/>
          <w:lang w:val="en-GB"/>
        </w:rPr>
        <w:t>Részletekbe menően ismeri raj (szakasz) szinten a műszaki-zárási, az erődítési-álcázási, és a robbantási alapismereteket.</w:t>
      </w:r>
    </w:p>
    <w:p w:rsidR="00B87C3E" w:rsidRPr="00B87C3E" w:rsidRDefault="00B87C3E" w:rsidP="00980876">
      <w:pPr>
        <w:widowControl w:val="0"/>
        <w:numPr>
          <w:ilvl w:val="0"/>
          <w:numId w:val="728"/>
        </w:numPr>
        <w:spacing w:before="120" w:after="120" w:line="240" w:lineRule="auto"/>
        <w:ind w:left="782" w:hanging="357"/>
        <w:contextualSpacing/>
        <w:jc w:val="both"/>
        <w:rPr>
          <w:rFonts w:ascii="Times New Roman" w:eastAsia="Calibri" w:hAnsi="Times New Roman" w:cs="Times New Roman"/>
          <w:bCs/>
          <w:lang w:val="en-GB"/>
        </w:rPr>
      </w:pPr>
      <w:r w:rsidRPr="00B87C3E">
        <w:rPr>
          <w:rFonts w:ascii="Times New Roman" w:eastAsia="Calibri" w:hAnsi="Times New Roman" w:cs="Times New Roman"/>
          <w:bCs/>
          <w:lang w:val="en-GB"/>
        </w:rPr>
        <w:lastRenderedPageBreak/>
        <w:t>Rendelkezik korszerű katonai térképészeti, tereptani és katonaföldrajzi ismeretekkel.</w:t>
      </w:r>
    </w:p>
    <w:p w:rsidR="00B87C3E" w:rsidRPr="00B87C3E" w:rsidRDefault="00B87C3E" w:rsidP="00980876">
      <w:pPr>
        <w:widowControl w:val="0"/>
        <w:numPr>
          <w:ilvl w:val="0"/>
          <w:numId w:val="728"/>
        </w:numPr>
        <w:spacing w:before="120" w:after="120" w:line="240" w:lineRule="auto"/>
        <w:ind w:left="782" w:hanging="357"/>
        <w:contextualSpacing/>
        <w:jc w:val="both"/>
        <w:rPr>
          <w:rFonts w:ascii="Times New Roman" w:eastAsia="Calibri" w:hAnsi="Times New Roman" w:cs="Times New Roman"/>
          <w:bCs/>
          <w:lang w:val="en-GB"/>
        </w:rPr>
      </w:pPr>
      <w:r w:rsidRPr="00B87C3E">
        <w:rPr>
          <w:rFonts w:ascii="Times New Roman" w:eastAsia="Calibri" w:hAnsi="Times New Roman" w:cs="Times New Roman"/>
          <w:bCs/>
          <w:lang w:val="en-GB"/>
        </w:rPr>
        <w:t>Ismeri a szakasz (század) kommunikációs, híradó és informatikai eszközeit, informatikai alkalmazói feladatait.</w:t>
      </w:r>
    </w:p>
    <w:p w:rsidR="00B87C3E" w:rsidRPr="00B87C3E" w:rsidRDefault="00B87C3E" w:rsidP="00980876">
      <w:pPr>
        <w:widowControl w:val="0"/>
        <w:numPr>
          <w:ilvl w:val="0"/>
          <w:numId w:val="728"/>
        </w:numPr>
        <w:spacing w:before="120" w:after="120" w:line="240" w:lineRule="auto"/>
        <w:ind w:left="782" w:hanging="357"/>
        <w:contextualSpacing/>
        <w:jc w:val="both"/>
        <w:rPr>
          <w:rFonts w:ascii="Times New Roman" w:eastAsia="Calibri" w:hAnsi="Times New Roman" w:cs="Times New Roman"/>
          <w:bCs/>
          <w:lang w:val="en-GB"/>
        </w:rPr>
      </w:pPr>
      <w:r w:rsidRPr="00B87C3E">
        <w:rPr>
          <w:rFonts w:ascii="Times New Roman" w:eastAsia="Calibri" w:hAnsi="Times New Roman" w:cs="Times New Roman"/>
          <w:bCs/>
          <w:lang w:val="en-GB"/>
        </w:rPr>
        <w:t>Ismeri az alapvető egészség- és járványügyi, valamint sebesültellátási feladatokat.</w:t>
      </w:r>
    </w:p>
    <w:p w:rsidR="00B87C3E" w:rsidRPr="00B87C3E" w:rsidRDefault="00B87C3E" w:rsidP="00980876">
      <w:pPr>
        <w:widowControl w:val="0"/>
        <w:numPr>
          <w:ilvl w:val="0"/>
          <w:numId w:val="728"/>
        </w:numPr>
        <w:spacing w:before="120" w:after="120" w:line="240" w:lineRule="auto"/>
        <w:ind w:left="782" w:hanging="357"/>
        <w:contextualSpacing/>
        <w:jc w:val="both"/>
        <w:rPr>
          <w:rFonts w:ascii="Times New Roman" w:eastAsia="Calibri" w:hAnsi="Times New Roman" w:cs="Times New Roman"/>
          <w:bCs/>
          <w:lang w:val="en-GB"/>
        </w:rPr>
      </w:pPr>
      <w:r w:rsidRPr="00B87C3E">
        <w:rPr>
          <w:rFonts w:ascii="Times New Roman" w:eastAsia="Calibri" w:hAnsi="Times New Roman" w:cs="Times New Roman"/>
          <w:bCs/>
          <w:lang w:val="en-GB"/>
        </w:rPr>
        <w:t>Ismeri a korszerű teljesítményértékelési és a beosztottakat motiváló eljárásokat.</w:t>
      </w:r>
    </w:p>
    <w:p w:rsidR="00B87C3E" w:rsidRPr="00B87C3E" w:rsidRDefault="00B87C3E" w:rsidP="00B87C3E">
      <w:pPr>
        <w:widowControl w:val="0"/>
        <w:spacing w:before="120" w:after="0"/>
        <w:ind w:left="425"/>
        <w:jc w:val="both"/>
        <w:rPr>
          <w:rFonts w:ascii="Times New Roman" w:eastAsia="Calibri" w:hAnsi="Times New Roman" w:cs="Times New Roman"/>
          <w:b/>
          <w:lang w:val="en-GB"/>
        </w:rPr>
      </w:pPr>
      <w:r w:rsidRPr="00B87C3E">
        <w:rPr>
          <w:rFonts w:ascii="Times New Roman" w:eastAsia="Calibri" w:hAnsi="Times New Roman" w:cs="Times New Roman"/>
          <w:b/>
          <w:lang w:val="en-GB"/>
        </w:rPr>
        <w:t xml:space="preserve">Képességei: </w:t>
      </w:r>
    </w:p>
    <w:p w:rsidR="00B87C3E" w:rsidRPr="00B87C3E" w:rsidRDefault="00B87C3E" w:rsidP="00980876">
      <w:pPr>
        <w:widowControl w:val="0"/>
        <w:numPr>
          <w:ilvl w:val="0"/>
          <w:numId w:val="728"/>
        </w:numPr>
        <w:spacing w:before="120" w:after="120" w:line="240" w:lineRule="auto"/>
        <w:ind w:left="782" w:hanging="357"/>
        <w:contextualSpacing/>
        <w:jc w:val="both"/>
        <w:rPr>
          <w:rFonts w:ascii="Times New Roman" w:eastAsia="Calibri" w:hAnsi="Times New Roman" w:cs="Times New Roman"/>
          <w:bCs/>
          <w:lang w:val="en-GB"/>
        </w:rPr>
      </w:pPr>
      <w:r w:rsidRPr="00B87C3E">
        <w:rPr>
          <w:rFonts w:ascii="Times New Roman" w:eastAsia="Calibri" w:hAnsi="Times New Roman" w:cs="Times New Roman"/>
          <w:bCs/>
          <w:lang w:val="en-GB"/>
        </w:rPr>
        <w:t xml:space="preserve">A megszerzett korszerű harcászati ismeretek birtokában a kialakult helyzet elemzésére, döntések előkészítésére és meghozatalára. </w:t>
      </w:r>
    </w:p>
    <w:p w:rsidR="00B87C3E" w:rsidRPr="00B87C3E" w:rsidRDefault="00B87C3E" w:rsidP="00980876">
      <w:pPr>
        <w:widowControl w:val="0"/>
        <w:numPr>
          <w:ilvl w:val="0"/>
          <w:numId w:val="728"/>
        </w:numPr>
        <w:spacing w:before="120" w:after="120" w:line="240" w:lineRule="auto"/>
        <w:ind w:left="782" w:hanging="357"/>
        <w:contextualSpacing/>
        <w:jc w:val="both"/>
        <w:rPr>
          <w:rFonts w:ascii="Times New Roman" w:eastAsia="Calibri" w:hAnsi="Times New Roman" w:cs="Times New Roman"/>
          <w:bCs/>
          <w:lang w:val="en-GB"/>
        </w:rPr>
      </w:pPr>
      <w:r w:rsidRPr="00B87C3E">
        <w:rPr>
          <w:rFonts w:ascii="Times New Roman" w:eastAsia="Calibri" w:hAnsi="Times New Roman" w:cs="Times New Roman"/>
          <w:bCs/>
          <w:lang w:val="en-GB"/>
        </w:rPr>
        <w:t>Képes a raj kiképzéséhez szükséges szakmódszertani ismeretek alkalmazására.</w:t>
      </w:r>
    </w:p>
    <w:p w:rsidR="00B87C3E" w:rsidRPr="00B87C3E" w:rsidRDefault="00B87C3E" w:rsidP="00980876">
      <w:pPr>
        <w:widowControl w:val="0"/>
        <w:numPr>
          <w:ilvl w:val="0"/>
          <w:numId w:val="728"/>
        </w:numPr>
        <w:spacing w:before="120" w:after="120" w:line="240" w:lineRule="auto"/>
        <w:ind w:left="782" w:hanging="357"/>
        <w:contextualSpacing/>
        <w:jc w:val="both"/>
        <w:rPr>
          <w:rFonts w:ascii="Times New Roman" w:eastAsia="Calibri" w:hAnsi="Times New Roman" w:cs="Times New Roman"/>
          <w:bCs/>
          <w:lang w:val="en-GB"/>
        </w:rPr>
      </w:pPr>
      <w:r w:rsidRPr="00B87C3E">
        <w:rPr>
          <w:rFonts w:ascii="Times New Roman" w:eastAsia="Calibri" w:hAnsi="Times New Roman" w:cs="Times New Roman"/>
          <w:bCs/>
          <w:lang w:val="en-GB"/>
        </w:rPr>
        <w:t xml:space="preserve"> Képes a szakasznál rendszeresített fegyverzeti és fegyverzettechnikai eszközök alkalmazására és üzemeltetésére.</w:t>
      </w:r>
    </w:p>
    <w:p w:rsidR="00B87C3E" w:rsidRPr="00B87C3E" w:rsidRDefault="00B87C3E" w:rsidP="00980876">
      <w:pPr>
        <w:widowControl w:val="0"/>
        <w:numPr>
          <w:ilvl w:val="0"/>
          <w:numId w:val="728"/>
        </w:numPr>
        <w:spacing w:before="120" w:after="120" w:line="240" w:lineRule="auto"/>
        <w:ind w:left="782" w:hanging="357"/>
        <w:contextualSpacing/>
        <w:jc w:val="both"/>
        <w:rPr>
          <w:rFonts w:ascii="Times New Roman" w:eastAsia="Calibri" w:hAnsi="Times New Roman" w:cs="Times New Roman"/>
          <w:bCs/>
          <w:lang w:val="en-GB"/>
        </w:rPr>
      </w:pPr>
      <w:r w:rsidRPr="00B87C3E">
        <w:rPr>
          <w:rFonts w:ascii="Times New Roman" w:eastAsia="Calibri" w:hAnsi="Times New Roman" w:cs="Times New Roman"/>
          <w:bCs/>
          <w:lang w:val="en-GB"/>
        </w:rPr>
        <w:t>Képes a terepen való tájékozódásra és a tájékozódást segítő eszközök alkalmazására.</w:t>
      </w:r>
    </w:p>
    <w:p w:rsidR="00B87C3E" w:rsidRPr="00B87C3E" w:rsidRDefault="00B87C3E" w:rsidP="00980876">
      <w:pPr>
        <w:widowControl w:val="0"/>
        <w:numPr>
          <w:ilvl w:val="0"/>
          <w:numId w:val="728"/>
        </w:numPr>
        <w:spacing w:before="120" w:after="120" w:line="240" w:lineRule="auto"/>
        <w:ind w:left="782" w:hanging="357"/>
        <w:contextualSpacing/>
        <w:jc w:val="both"/>
        <w:rPr>
          <w:rFonts w:ascii="Times New Roman" w:eastAsia="Calibri" w:hAnsi="Times New Roman" w:cs="Times New Roman"/>
          <w:bCs/>
          <w:lang w:val="en-GB"/>
        </w:rPr>
      </w:pPr>
      <w:r w:rsidRPr="00B87C3E">
        <w:rPr>
          <w:rFonts w:ascii="Times New Roman" w:eastAsia="Calibri" w:hAnsi="Times New Roman" w:cs="Times New Roman"/>
          <w:bCs/>
          <w:lang w:val="en-GB"/>
        </w:rPr>
        <w:t>Képes más fegyvernemekkel és szakalegységekkel való együttműködésre</w:t>
      </w:r>
    </w:p>
    <w:p w:rsidR="00B87C3E" w:rsidRPr="00B87C3E" w:rsidRDefault="00B87C3E" w:rsidP="00B87C3E">
      <w:pPr>
        <w:widowControl w:val="0"/>
        <w:spacing w:before="120" w:after="0"/>
        <w:ind w:left="425"/>
        <w:jc w:val="both"/>
        <w:rPr>
          <w:rFonts w:ascii="Times New Roman" w:eastAsia="Calibri" w:hAnsi="Times New Roman" w:cs="Times New Roman"/>
          <w:b/>
          <w:lang w:val="en-GB"/>
        </w:rPr>
      </w:pPr>
      <w:r w:rsidRPr="00B87C3E">
        <w:rPr>
          <w:rFonts w:ascii="Times New Roman" w:eastAsia="Calibri" w:hAnsi="Times New Roman" w:cs="Times New Roman"/>
          <w:b/>
          <w:lang w:val="en-GB"/>
        </w:rPr>
        <w:t xml:space="preserve">Attitűdje: </w:t>
      </w:r>
    </w:p>
    <w:p w:rsidR="00B87C3E" w:rsidRPr="00B87C3E" w:rsidRDefault="00B87C3E" w:rsidP="00980876">
      <w:pPr>
        <w:widowControl w:val="0"/>
        <w:numPr>
          <w:ilvl w:val="0"/>
          <w:numId w:val="728"/>
        </w:numPr>
        <w:spacing w:before="120" w:after="120" w:line="240" w:lineRule="auto"/>
        <w:ind w:left="782" w:hanging="357"/>
        <w:contextualSpacing/>
        <w:jc w:val="both"/>
        <w:rPr>
          <w:rFonts w:ascii="Times New Roman" w:eastAsia="Calibri" w:hAnsi="Times New Roman" w:cs="Times New Roman"/>
          <w:bCs/>
          <w:lang w:val="en-GB"/>
        </w:rPr>
      </w:pPr>
      <w:r w:rsidRPr="00B87C3E">
        <w:rPr>
          <w:rFonts w:ascii="Times New Roman" w:eastAsia="Calibri" w:hAnsi="Times New Roman" w:cs="Times New Roman"/>
          <w:bCs/>
          <w:lang w:val="en-GB"/>
        </w:rPr>
        <w:t>Vállalja raj vezetői feladatait és hitelesen képviseli szakterületét, a képesítése szerinti tevékenységeket és azok eredményeit.</w:t>
      </w:r>
    </w:p>
    <w:p w:rsidR="00B87C3E" w:rsidRPr="00B87C3E" w:rsidRDefault="00B87C3E" w:rsidP="00980876">
      <w:pPr>
        <w:widowControl w:val="0"/>
        <w:numPr>
          <w:ilvl w:val="0"/>
          <w:numId w:val="728"/>
        </w:numPr>
        <w:spacing w:before="120" w:after="120" w:line="240" w:lineRule="auto"/>
        <w:ind w:left="782" w:hanging="357"/>
        <w:contextualSpacing/>
        <w:jc w:val="both"/>
        <w:rPr>
          <w:rFonts w:ascii="Times New Roman" w:eastAsia="Calibri" w:hAnsi="Times New Roman" w:cs="Times New Roman"/>
          <w:bCs/>
          <w:lang w:val="en-GB"/>
        </w:rPr>
      </w:pPr>
      <w:r w:rsidRPr="00B87C3E">
        <w:rPr>
          <w:rFonts w:ascii="Times New Roman" w:eastAsia="Calibri" w:hAnsi="Times New Roman" w:cs="Times New Roman"/>
          <w:bCs/>
          <w:lang w:val="en-GB"/>
        </w:rPr>
        <w:t>Elkötelezett fegyvernemi munkája eredményessége, hatékonysága iránt.</w:t>
      </w:r>
    </w:p>
    <w:p w:rsidR="00B87C3E" w:rsidRPr="00B87C3E" w:rsidRDefault="00B87C3E" w:rsidP="00980876">
      <w:pPr>
        <w:widowControl w:val="0"/>
        <w:numPr>
          <w:ilvl w:val="0"/>
          <w:numId w:val="728"/>
        </w:numPr>
        <w:spacing w:before="120" w:after="120" w:line="240" w:lineRule="auto"/>
        <w:ind w:left="782" w:hanging="357"/>
        <w:contextualSpacing/>
        <w:jc w:val="both"/>
        <w:rPr>
          <w:rFonts w:ascii="Times New Roman" w:eastAsia="Calibri" w:hAnsi="Times New Roman" w:cs="Times New Roman"/>
          <w:bCs/>
          <w:lang w:val="en-GB"/>
        </w:rPr>
      </w:pPr>
      <w:r w:rsidRPr="00B87C3E">
        <w:rPr>
          <w:rFonts w:ascii="Times New Roman" w:eastAsia="Calibri" w:hAnsi="Times New Roman" w:cs="Times New Roman"/>
          <w:bCs/>
          <w:lang w:val="en-GB"/>
        </w:rPr>
        <w:t>Érdeklődő a szakterülettel összefüggő új módszerek és eszközök iránt.</w:t>
      </w:r>
    </w:p>
    <w:p w:rsidR="00B87C3E" w:rsidRPr="00B87C3E" w:rsidRDefault="00B87C3E" w:rsidP="00980876">
      <w:pPr>
        <w:widowControl w:val="0"/>
        <w:numPr>
          <w:ilvl w:val="0"/>
          <w:numId w:val="728"/>
        </w:numPr>
        <w:spacing w:before="120" w:after="120" w:line="240" w:lineRule="auto"/>
        <w:ind w:left="782" w:hanging="357"/>
        <w:contextualSpacing/>
        <w:jc w:val="both"/>
        <w:rPr>
          <w:rFonts w:ascii="Times New Roman" w:eastAsia="Calibri" w:hAnsi="Times New Roman" w:cs="Times New Roman"/>
          <w:bCs/>
          <w:lang w:val="en-GB"/>
        </w:rPr>
      </w:pPr>
      <w:r w:rsidRPr="00B87C3E">
        <w:rPr>
          <w:rFonts w:ascii="Times New Roman" w:eastAsia="Calibri" w:hAnsi="Times New Roman" w:cs="Times New Roman"/>
          <w:bCs/>
          <w:lang w:val="en-GB"/>
        </w:rPr>
        <w:t xml:space="preserve">Az összfegyvernemi harcokban a jogszabályok és etikai normák teljeskörű figyelembevételével hozza meg döntéseit. </w:t>
      </w:r>
    </w:p>
    <w:p w:rsidR="00B87C3E" w:rsidRPr="00B87C3E" w:rsidRDefault="00B87C3E" w:rsidP="00980876">
      <w:pPr>
        <w:widowControl w:val="0"/>
        <w:numPr>
          <w:ilvl w:val="0"/>
          <w:numId w:val="728"/>
        </w:numPr>
        <w:spacing w:before="120" w:after="120" w:line="240" w:lineRule="auto"/>
        <w:ind w:left="782" w:hanging="357"/>
        <w:contextualSpacing/>
        <w:jc w:val="both"/>
        <w:rPr>
          <w:rFonts w:ascii="Times New Roman" w:eastAsia="Calibri" w:hAnsi="Times New Roman" w:cs="Times New Roman"/>
          <w:bCs/>
          <w:lang w:val="en-GB"/>
        </w:rPr>
      </w:pPr>
      <w:r w:rsidRPr="00B87C3E">
        <w:rPr>
          <w:rFonts w:ascii="Times New Roman" w:eastAsia="Calibri" w:hAnsi="Times New Roman" w:cs="Times New Roman"/>
          <w:bCs/>
          <w:lang w:val="en-GB"/>
        </w:rPr>
        <w:t>Megérti az élethosszig tartó tanulás jelentőségét, törekszik ennek megvalósítására, a folyamatos szakmai képzésre és általános önképzésre.</w:t>
      </w:r>
    </w:p>
    <w:p w:rsidR="00B87C3E" w:rsidRPr="00B87C3E" w:rsidRDefault="00B87C3E" w:rsidP="00472829">
      <w:pPr>
        <w:widowControl w:val="0"/>
        <w:spacing w:before="120" w:after="0"/>
        <w:ind w:left="425"/>
        <w:jc w:val="both"/>
        <w:rPr>
          <w:rFonts w:ascii="Times New Roman" w:eastAsia="Calibri" w:hAnsi="Times New Roman" w:cs="Times New Roman"/>
          <w:b/>
          <w:lang w:val="en-GB"/>
        </w:rPr>
      </w:pPr>
      <w:r w:rsidRPr="00B87C3E">
        <w:rPr>
          <w:rFonts w:ascii="Times New Roman" w:eastAsia="Calibri" w:hAnsi="Times New Roman" w:cs="Times New Roman"/>
          <w:b/>
          <w:lang w:val="en-GB"/>
        </w:rPr>
        <w:t>Autonómiája és felelőssége:</w:t>
      </w:r>
    </w:p>
    <w:p w:rsidR="00B87C3E" w:rsidRPr="00B87C3E" w:rsidRDefault="00B87C3E" w:rsidP="00980876">
      <w:pPr>
        <w:widowControl w:val="0"/>
        <w:numPr>
          <w:ilvl w:val="0"/>
          <w:numId w:val="728"/>
        </w:numPr>
        <w:spacing w:before="120" w:after="120" w:line="240" w:lineRule="auto"/>
        <w:ind w:left="782" w:hanging="357"/>
        <w:contextualSpacing/>
        <w:jc w:val="both"/>
        <w:rPr>
          <w:rFonts w:ascii="Times New Roman" w:eastAsia="Calibri" w:hAnsi="Times New Roman" w:cs="Times New Roman"/>
          <w:bCs/>
          <w:lang w:val="en-GB"/>
        </w:rPr>
      </w:pPr>
      <w:r w:rsidRPr="00B87C3E">
        <w:rPr>
          <w:rFonts w:ascii="Times New Roman" w:eastAsia="Calibri" w:hAnsi="Times New Roman" w:cs="Times New Roman"/>
          <w:bCs/>
          <w:lang w:val="en-GB"/>
        </w:rPr>
        <w:t>Beosztásában, felelősségi és jogköréből adódóan önállóan tervezi és végzi szakmai tevékenységét.</w:t>
      </w:r>
    </w:p>
    <w:p w:rsidR="00B87C3E" w:rsidRPr="00B87C3E" w:rsidRDefault="00B87C3E" w:rsidP="00980876">
      <w:pPr>
        <w:widowControl w:val="0"/>
        <w:numPr>
          <w:ilvl w:val="0"/>
          <w:numId w:val="728"/>
        </w:numPr>
        <w:spacing w:before="120" w:after="120" w:line="240" w:lineRule="auto"/>
        <w:ind w:left="782" w:hanging="357"/>
        <w:contextualSpacing/>
        <w:jc w:val="both"/>
        <w:rPr>
          <w:rFonts w:ascii="Times New Roman" w:eastAsia="Calibri" w:hAnsi="Times New Roman" w:cs="Times New Roman"/>
          <w:bCs/>
          <w:lang w:val="en-GB"/>
        </w:rPr>
      </w:pPr>
      <w:r w:rsidRPr="00B87C3E">
        <w:rPr>
          <w:rFonts w:ascii="Times New Roman" w:eastAsia="Calibri" w:hAnsi="Times New Roman" w:cs="Times New Roman"/>
          <w:bCs/>
          <w:lang w:val="en-GB"/>
        </w:rPr>
        <w:t>Döntési helyzetekben felelősséget vállal az azok következtében kialakuló komplex hatásaiért.</w:t>
      </w:r>
    </w:p>
    <w:p w:rsidR="00B87C3E" w:rsidRPr="00B87C3E" w:rsidRDefault="00B87C3E" w:rsidP="00B87C3E">
      <w:pPr>
        <w:spacing w:before="240" w:after="0"/>
        <w:rPr>
          <w:rFonts w:ascii="Times New Roman" w:eastAsia="Calibri" w:hAnsi="Times New Roman" w:cs="Times New Roman"/>
          <w:b/>
          <w:bCs/>
          <w:lang w:val="en-US"/>
        </w:rPr>
      </w:pPr>
      <w:r w:rsidRPr="00B87C3E">
        <w:rPr>
          <w:rFonts w:ascii="Times New Roman" w:eastAsia="Calibri" w:hAnsi="Times New Roman" w:cs="Times New Roman"/>
          <w:b/>
          <w:bCs/>
        </w:rPr>
        <w:t>Elérendő kompetenciák (angolul) (</w:t>
      </w:r>
      <w:r w:rsidRPr="00B87C3E">
        <w:rPr>
          <w:rFonts w:ascii="Times New Roman" w:eastAsia="Calibri" w:hAnsi="Times New Roman" w:cs="Times New Roman"/>
          <w:b/>
          <w:bCs/>
          <w:lang w:val="en-US"/>
        </w:rPr>
        <w:t xml:space="preserve">Competences – English): </w:t>
      </w:r>
    </w:p>
    <w:p w:rsidR="00B87C3E" w:rsidRPr="00B87C3E" w:rsidRDefault="00B87C3E" w:rsidP="00B87C3E">
      <w:pPr>
        <w:widowControl w:val="0"/>
        <w:spacing w:before="120" w:after="0"/>
        <w:ind w:left="425"/>
        <w:jc w:val="both"/>
        <w:rPr>
          <w:rFonts w:ascii="Times New Roman" w:eastAsia="Calibri" w:hAnsi="Times New Roman" w:cs="Times New Roman"/>
          <w:bCs/>
        </w:rPr>
      </w:pPr>
      <w:r w:rsidRPr="00B87C3E">
        <w:rPr>
          <w:rFonts w:ascii="Times New Roman" w:eastAsia="Calibri" w:hAnsi="Times New Roman" w:cs="Times New Roman"/>
          <w:b/>
          <w:lang w:val="en-GB"/>
        </w:rPr>
        <w:t>Knowledge</w:t>
      </w:r>
      <w:r w:rsidRPr="00B87C3E">
        <w:rPr>
          <w:rFonts w:ascii="Times New Roman" w:eastAsia="Calibri" w:hAnsi="Times New Roman" w:cs="Times New Roman"/>
          <w:lang w:val="en-GB"/>
        </w:rPr>
        <w:t xml:space="preserve">: </w:t>
      </w:r>
    </w:p>
    <w:p w:rsidR="00B87C3E" w:rsidRPr="00B87C3E" w:rsidRDefault="00B87C3E" w:rsidP="00980876">
      <w:pPr>
        <w:widowControl w:val="0"/>
        <w:numPr>
          <w:ilvl w:val="0"/>
          <w:numId w:val="728"/>
        </w:numPr>
        <w:spacing w:before="120" w:after="120" w:line="240" w:lineRule="auto"/>
        <w:ind w:left="782" w:hanging="357"/>
        <w:contextualSpacing/>
        <w:jc w:val="both"/>
        <w:rPr>
          <w:rFonts w:ascii="Times New Roman" w:eastAsia="Calibri" w:hAnsi="Times New Roman" w:cs="Times New Roman"/>
          <w:bCs/>
          <w:lang w:val="en-GB"/>
        </w:rPr>
      </w:pPr>
      <w:r w:rsidRPr="00B87C3E">
        <w:rPr>
          <w:rFonts w:ascii="Times New Roman" w:eastAsia="Calibri" w:hAnsi="Times New Roman" w:cs="Times New Roman"/>
          <w:bCs/>
          <w:lang w:val="en-GB"/>
        </w:rPr>
        <w:t>Knows the specific tasks of the command of the squad.</w:t>
      </w:r>
    </w:p>
    <w:p w:rsidR="00B87C3E" w:rsidRPr="00B87C3E" w:rsidRDefault="00B87C3E" w:rsidP="00980876">
      <w:pPr>
        <w:widowControl w:val="0"/>
        <w:numPr>
          <w:ilvl w:val="0"/>
          <w:numId w:val="728"/>
        </w:numPr>
        <w:spacing w:before="120" w:after="120" w:line="240" w:lineRule="auto"/>
        <w:ind w:left="782" w:hanging="357"/>
        <w:contextualSpacing/>
        <w:jc w:val="both"/>
        <w:rPr>
          <w:rFonts w:ascii="Times New Roman" w:eastAsia="Calibri" w:hAnsi="Times New Roman" w:cs="Times New Roman"/>
          <w:bCs/>
          <w:lang w:val="en-GB"/>
        </w:rPr>
      </w:pPr>
      <w:r w:rsidRPr="00B87C3E">
        <w:rPr>
          <w:rFonts w:ascii="Times New Roman" w:eastAsia="Calibri" w:hAnsi="Times New Roman" w:cs="Times New Roman"/>
          <w:bCs/>
          <w:lang w:val="en-GB"/>
        </w:rPr>
        <w:t>He / She is familiar with the types of squad’s combat as well as the tasks of the combat activities.</w:t>
      </w:r>
    </w:p>
    <w:p w:rsidR="00B87C3E" w:rsidRPr="00B87C3E" w:rsidRDefault="00B87C3E" w:rsidP="00980876">
      <w:pPr>
        <w:widowControl w:val="0"/>
        <w:numPr>
          <w:ilvl w:val="0"/>
          <w:numId w:val="728"/>
        </w:numPr>
        <w:spacing w:before="120" w:after="120" w:line="240" w:lineRule="auto"/>
        <w:ind w:left="782" w:hanging="357"/>
        <w:contextualSpacing/>
        <w:jc w:val="both"/>
        <w:rPr>
          <w:rFonts w:ascii="Times New Roman" w:eastAsia="Calibri" w:hAnsi="Times New Roman" w:cs="Times New Roman"/>
          <w:bCs/>
          <w:lang w:val="en-GB"/>
        </w:rPr>
      </w:pPr>
      <w:r w:rsidRPr="00B87C3E">
        <w:rPr>
          <w:rFonts w:ascii="Times New Roman" w:eastAsia="Calibri" w:hAnsi="Times New Roman" w:cs="Times New Roman"/>
          <w:bCs/>
          <w:lang w:val="en-GB"/>
        </w:rPr>
        <w:t>He / She knows of the methodology of the training of the squad.</w:t>
      </w:r>
    </w:p>
    <w:p w:rsidR="00B87C3E" w:rsidRPr="00B87C3E" w:rsidRDefault="00B87C3E" w:rsidP="00980876">
      <w:pPr>
        <w:widowControl w:val="0"/>
        <w:numPr>
          <w:ilvl w:val="0"/>
          <w:numId w:val="728"/>
        </w:numPr>
        <w:spacing w:before="120" w:after="120" w:line="240" w:lineRule="auto"/>
        <w:ind w:left="782" w:hanging="357"/>
        <w:contextualSpacing/>
        <w:jc w:val="both"/>
        <w:rPr>
          <w:rFonts w:ascii="Times New Roman" w:eastAsia="Calibri" w:hAnsi="Times New Roman" w:cs="Times New Roman"/>
          <w:bCs/>
          <w:lang w:val="en-GB"/>
        </w:rPr>
      </w:pPr>
      <w:r w:rsidRPr="00B87C3E">
        <w:rPr>
          <w:rFonts w:ascii="Times New Roman" w:eastAsia="Calibri" w:hAnsi="Times New Roman" w:cs="Times New Roman"/>
          <w:bCs/>
          <w:lang w:val="en-GB"/>
        </w:rPr>
        <w:t>He / She is familiar with the weapons, military equipment and other combat materials of the infantry squad.</w:t>
      </w:r>
    </w:p>
    <w:p w:rsidR="00B87C3E" w:rsidRPr="00B87C3E" w:rsidRDefault="00B87C3E" w:rsidP="00980876">
      <w:pPr>
        <w:widowControl w:val="0"/>
        <w:numPr>
          <w:ilvl w:val="0"/>
          <w:numId w:val="728"/>
        </w:numPr>
        <w:spacing w:before="120" w:after="120" w:line="240" w:lineRule="auto"/>
        <w:ind w:left="782" w:hanging="357"/>
        <w:contextualSpacing/>
        <w:jc w:val="both"/>
        <w:rPr>
          <w:rFonts w:ascii="Times New Roman" w:eastAsia="Calibri" w:hAnsi="Times New Roman" w:cs="Times New Roman"/>
          <w:bCs/>
          <w:lang w:val="en-GB"/>
        </w:rPr>
      </w:pPr>
      <w:r w:rsidRPr="00B87C3E">
        <w:rPr>
          <w:rFonts w:ascii="Times New Roman" w:eastAsia="Calibri" w:hAnsi="Times New Roman" w:cs="Times New Roman"/>
          <w:bCs/>
          <w:lang w:val="en-GB"/>
        </w:rPr>
        <w:t>He / She has comprehensive knowledge about the military barrier, fortifications, camouflage, explosive and blasting at the squad and platoon level.</w:t>
      </w:r>
    </w:p>
    <w:p w:rsidR="00B87C3E" w:rsidRPr="00B87C3E" w:rsidRDefault="00B87C3E" w:rsidP="00980876">
      <w:pPr>
        <w:widowControl w:val="0"/>
        <w:numPr>
          <w:ilvl w:val="0"/>
          <w:numId w:val="728"/>
        </w:numPr>
        <w:spacing w:before="120" w:after="120" w:line="240" w:lineRule="auto"/>
        <w:ind w:left="782" w:hanging="357"/>
        <w:contextualSpacing/>
        <w:jc w:val="both"/>
        <w:rPr>
          <w:rFonts w:ascii="Times New Roman" w:eastAsia="Calibri" w:hAnsi="Times New Roman" w:cs="Times New Roman"/>
          <w:bCs/>
          <w:lang w:val="en-GB"/>
        </w:rPr>
      </w:pPr>
      <w:r w:rsidRPr="00B87C3E">
        <w:rPr>
          <w:rFonts w:ascii="Times New Roman" w:eastAsia="Calibri" w:hAnsi="Times New Roman" w:cs="Times New Roman"/>
          <w:bCs/>
          <w:lang w:val="en-GB"/>
        </w:rPr>
        <w:t>He / She has up-to-date knowledge of military cartography, military geography.</w:t>
      </w:r>
    </w:p>
    <w:p w:rsidR="00B87C3E" w:rsidRPr="00B87C3E" w:rsidRDefault="00B87C3E" w:rsidP="00980876">
      <w:pPr>
        <w:widowControl w:val="0"/>
        <w:numPr>
          <w:ilvl w:val="0"/>
          <w:numId w:val="728"/>
        </w:numPr>
        <w:spacing w:before="120" w:after="120" w:line="240" w:lineRule="auto"/>
        <w:ind w:left="782" w:hanging="357"/>
        <w:contextualSpacing/>
        <w:jc w:val="both"/>
        <w:rPr>
          <w:rFonts w:ascii="Times New Roman" w:eastAsia="Calibri" w:hAnsi="Times New Roman" w:cs="Times New Roman"/>
          <w:bCs/>
          <w:lang w:val="en-GB"/>
        </w:rPr>
      </w:pPr>
      <w:r w:rsidRPr="00B87C3E">
        <w:rPr>
          <w:rFonts w:ascii="Times New Roman" w:eastAsia="Calibri" w:hAnsi="Times New Roman" w:cs="Times New Roman"/>
          <w:bCs/>
          <w:lang w:val="en-GB"/>
        </w:rPr>
        <w:t>He / She is familiar with the communication and information equipment and IT tools of the platoon and company.</w:t>
      </w:r>
    </w:p>
    <w:p w:rsidR="00B87C3E" w:rsidRPr="00B87C3E" w:rsidRDefault="00B87C3E" w:rsidP="00980876">
      <w:pPr>
        <w:widowControl w:val="0"/>
        <w:numPr>
          <w:ilvl w:val="0"/>
          <w:numId w:val="728"/>
        </w:numPr>
        <w:spacing w:before="120" w:after="120" w:line="240" w:lineRule="auto"/>
        <w:ind w:left="782" w:hanging="357"/>
        <w:contextualSpacing/>
        <w:jc w:val="both"/>
        <w:rPr>
          <w:rFonts w:ascii="Times New Roman" w:eastAsia="Calibri" w:hAnsi="Times New Roman" w:cs="Times New Roman"/>
          <w:bCs/>
          <w:lang w:val="en-GB"/>
        </w:rPr>
      </w:pPr>
      <w:r w:rsidRPr="00B87C3E">
        <w:rPr>
          <w:rFonts w:ascii="Times New Roman" w:eastAsia="Calibri" w:hAnsi="Times New Roman" w:cs="Times New Roman"/>
          <w:bCs/>
          <w:lang w:val="en-GB"/>
        </w:rPr>
        <w:t>He / She knows the basic health and epidemiological tasks as well as the medical supply.</w:t>
      </w:r>
    </w:p>
    <w:p w:rsidR="00B87C3E" w:rsidRPr="00B87C3E" w:rsidRDefault="00B87C3E" w:rsidP="00980876">
      <w:pPr>
        <w:widowControl w:val="0"/>
        <w:numPr>
          <w:ilvl w:val="0"/>
          <w:numId w:val="728"/>
        </w:numPr>
        <w:spacing w:before="120" w:after="120" w:line="240" w:lineRule="auto"/>
        <w:ind w:left="782" w:hanging="357"/>
        <w:contextualSpacing/>
        <w:jc w:val="both"/>
        <w:rPr>
          <w:rFonts w:ascii="Times New Roman" w:eastAsia="Calibri" w:hAnsi="Times New Roman" w:cs="Times New Roman"/>
          <w:bCs/>
          <w:lang w:val="en-GB"/>
        </w:rPr>
      </w:pPr>
      <w:r w:rsidRPr="00B87C3E">
        <w:rPr>
          <w:rFonts w:ascii="Times New Roman" w:eastAsia="Calibri" w:hAnsi="Times New Roman" w:cs="Times New Roman"/>
          <w:bCs/>
          <w:lang w:val="en-GB"/>
        </w:rPr>
        <w:t>He /She knows the performance evaluation and motivation process of the subordinates.</w:t>
      </w:r>
    </w:p>
    <w:p w:rsidR="00B87C3E" w:rsidRPr="00B87C3E" w:rsidRDefault="00B87C3E" w:rsidP="00B87C3E">
      <w:pPr>
        <w:widowControl w:val="0"/>
        <w:spacing w:before="240" w:after="0"/>
        <w:ind w:left="425"/>
        <w:jc w:val="both"/>
        <w:rPr>
          <w:rFonts w:ascii="Times New Roman" w:eastAsia="Calibri" w:hAnsi="Times New Roman" w:cs="Times New Roman"/>
          <w:lang w:val="en-GB"/>
        </w:rPr>
      </w:pPr>
      <w:r w:rsidRPr="00B87C3E">
        <w:rPr>
          <w:rFonts w:ascii="Times New Roman" w:eastAsia="Calibri" w:hAnsi="Times New Roman" w:cs="Times New Roman"/>
          <w:b/>
          <w:lang w:val="en-GB"/>
        </w:rPr>
        <w:t>Capabilities</w:t>
      </w:r>
      <w:r w:rsidRPr="00B87C3E">
        <w:rPr>
          <w:rFonts w:ascii="Times New Roman" w:eastAsia="Calibri" w:hAnsi="Times New Roman" w:cs="Times New Roman"/>
          <w:lang w:val="en-GB"/>
        </w:rPr>
        <w:t xml:space="preserve">: </w:t>
      </w:r>
    </w:p>
    <w:p w:rsidR="00B87C3E" w:rsidRPr="00B87C3E" w:rsidRDefault="00B87C3E" w:rsidP="00980876">
      <w:pPr>
        <w:widowControl w:val="0"/>
        <w:numPr>
          <w:ilvl w:val="0"/>
          <w:numId w:val="728"/>
        </w:numPr>
        <w:spacing w:before="120" w:after="120" w:line="240" w:lineRule="auto"/>
        <w:contextualSpacing/>
        <w:jc w:val="both"/>
        <w:rPr>
          <w:rFonts w:ascii="Times New Roman" w:eastAsia="Calibri" w:hAnsi="Times New Roman" w:cs="Times New Roman"/>
          <w:bCs/>
          <w:lang w:val="en-GB"/>
        </w:rPr>
      </w:pPr>
      <w:r w:rsidRPr="00B87C3E">
        <w:rPr>
          <w:rFonts w:ascii="Times New Roman" w:eastAsia="Calibri" w:hAnsi="Times New Roman" w:cs="Times New Roman"/>
          <w:bCs/>
          <w:lang w:val="en-GB"/>
        </w:rPr>
        <w:t>Ability to analyse the current situation, make decisions with the acquired modern knowledge.</w:t>
      </w:r>
    </w:p>
    <w:p w:rsidR="00B87C3E" w:rsidRPr="00B87C3E" w:rsidRDefault="00B87C3E" w:rsidP="00980876">
      <w:pPr>
        <w:widowControl w:val="0"/>
        <w:numPr>
          <w:ilvl w:val="0"/>
          <w:numId w:val="728"/>
        </w:numPr>
        <w:spacing w:before="120" w:after="120" w:line="240" w:lineRule="auto"/>
        <w:contextualSpacing/>
        <w:jc w:val="both"/>
        <w:rPr>
          <w:rFonts w:ascii="Times New Roman" w:eastAsia="Calibri" w:hAnsi="Times New Roman" w:cs="Times New Roman"/>
          <w:bCs/>
          <w:lang w:val="en-GB"/>
        </w:rPr>
      </w:pPr>
      <w:r w:rsidRPr="00B87C3E">
        <w:rPr>
          <w:rFonts w:ascii="Times New Roman" w:eastAsia="Calibri" w:hAnsi="Times New Roman" w:cs="Times New Roman"/>
          <w:bCs/>
          <w:lang w:val="en-GB"/>
        </w:rPr>
        <w:t>Able to apply the methodological knowledge for the training of a person.</w:t>
      </w:r>
    </w:p>
    <w:p w:rsidR="00B87C3E" w:rsidRPr="00B87C3E" w:rsidRDefault="00B87C3E" w:rsidP="00980876">
      <w:pPr>
        <w:widowControl w:val="0"/>
        <w:numPr>
          <w:ilvl w:val="0"/>
          <w:numId w:val="728"/>
        </w:numPr>
        <w:spacing w:before="120" w:after="120" w:line="240" w:lineRule="auto"/>
        <w:contextualSpacing/>
        <w:jc w:val="both"/>
        <w:rPr>
          <w:rFonts w:ascii="Times New Roman" w:eastAsia="Calibri" w:hAnsi="Times New Roman" w:cs="Times New Roman"/>
          <w:bCs/>
          <w:lang w:val="en-GB"/>
        </w:rPr>
      </w:pPr>
      <w:r w:rsidRPr="00B87C3E">
        <w:rPr>
          <w:rFonts w:ascii="Times New Roman" w:eastAsia="Calibri" w:hAnsi="Times New Roman" w:cs="Times New Roman"/>
          <w:bCs/>
          <w:lang w:val="en-GB"/>
        </w:rPr>
        <w:t>Ability to apply and maintain the weapons and technical equipment of the platoon.</w:t>
      </w:r>
    </w:p>
    <w:p w:rsidR="00B87C3E" w:rsidRPr="00B87C3E" w:rsidRDefault="00B87C3E" w:rsidP="00980876">
      <w:pPr>
        <w:widowControl w:val="0"/>
        <w:numPr>
          <w:ilvl w:val="0"/>
          <w:numId w:val="728"/>
        </w:numPr>
        <w:spacing w:before="120" w:after="120" w:line="240" w:lineRule="auto"/>
        <w:contextualSpacing/>
        <w:jc w:val="both"/>
        <w:rPr>
          <w:rFonts w:ascii="Times New Roman" w:eastAsia="Calibri" w:hAnsi="Times New Roman" w:cs="Times New Roman"/>
          <w:bCs/>
          <w:lang w:val="en-GB"/>
        </w:rPr>
      </w:pPr>
      <w:r w:rsidRPr="00B87C3E">
        <w:rPr>
          <w:rFonts w:ascii="Times New Roman" w:eastAsia="Calibri" w:hAnsi="Times New Roman" w:cs="Times New Roman"/>
          <w:bCs/>
          <w:lang w:val="en-GB"/>
        </w:rPr>
        <w:t>Able to navigate /orient on the field, and use the navigation tools.</w:t>
      </w:r>
    </w:p>
    <w:p w:rsidR="00B87C3E" w:rsidRPr="00B87C3E" w:rsidRDefault="00B87C3E" w:rsidP="00980876">
      <w:pPr>
        <w:widowControl w:val="0"/>
        <w:numPr>
          <w:ilvl w:val="0"/>
          <w:numId w:val="728"/>
        </w:numPr>
        <w:spacing w:before="120" w:after="120" w:line="240" w:lineRule="auto"/>
        <w:contextualSpacing/>
        <w:jc w:val="both"/>
        <w:rPr>
          <w:rFonts w:ascii="Times New Roman" w:eastAsia="Calibri" w:hAnsi="Times New Roman" w:cs="Times New Roman"/>
          <w:bCs/>
          <w:lang w:val="en-GB"/>
        </w:rPr>
      </w:pPr>
      <w:r w:rsidRPr="00B87C3E">
        <w:rPr>
          <w:rFonts w:ascii="Times New Roman" w:eastAsia="Calibri" w:hAnsi="Times New Roman" w:cs="Times New Roman"/>
          <w:bCs/>
          <w:lang w:val="en-GB"/>
        </w:rPr>
        <w:t>Able to cooperate with other arms and branches.</w:t>
      </w:r>
    </w:p>
    <w:p w:rsidR="00B87C3E" w:rsidRPr="00B87C3E" w:rsidRDefault="00B87C3E" w:rsidP="00B87C3E">
      <w:pPr>
        <w:widowControl w:val="0"/>
        <w:spacing w:before="240" w:after="0"/>
        <w:ind w:left="425"/>
        <w:jc w:val="both"/>
        <w:rPr>
          <w:rFonts w:ascii="Times New Roman" w:eastAsia="Calibri" w:hAnsi="Times New Roman" w:cs="Times New Roman"/>
          <w:b/>
          <w:lang w:val="en-GB"/>
        </w:rPr>
      </w:pPr>
      <w:r w:rsidRPr="00B87C3E">
        <w:rPr>
          <w:rFonts w:ascii="Times New Roman" w:eastAsia="Calibri" w:hAnsi="Times New Roman" w:cs="Times New Roman"/>
          <w:b/>
          <w:lang w:val="en-GB"/>
        </w:rPr>
        <w:t xml:space="preserve">Attitude: </w:t>
      </w:r>
    </w:p>
    <w:p w:rsidR="00B87C3E" w:rsidRPr="00B87C3E" w:rsidRDefault="00B87C3E" w:rsidP="00980876">
      <w:pPr>
        <w:widowControl w:val="0"/>
        <w:numPr>
          <w:ilvl w:val="0"/>
          <w:numId w:val="473"/>
        </w:numPr>
        <w:spacing w:after="0" w:line="240" w:lineRule="auto"/>
        <w:jc w:val="both"/>
        <w:rPr>
          <w:rFonts w:ascii="Times New Roman" w:eastAsia="Calibri" w:hAnsi="Times New Roman" w:cs="Times New Roman"/>
          <w:bCs/>
          <w:lang w:val="en-GB"/>
        </w:rPr>
      </w:pPr>
      <w:r w:rsidRPr="00B87C3E">
        <w:rPr>
          <w:rFonts w:ascii="Times New Roman" w:eastAsia="Calibri" w:hAnsi="Times New Roman" w:cs="Times New Roman"/>
          <w:bCs/>
          <w:lang w:val="en-GB"/>
        </w:rPr>
        <w:t>Takes on the role of squad commander/leader, and authentically represents his / her field of expertise, the activities according to his / her qualification and their results.</w:t>
      </w:r>
    </w:p>
    <w:p w:rsidR="00B87C3E" w:rsidRPr="00B87C3E" w:rsidRDefault="00B87C3E" w:rsidP="00980876">
      <w:pPr>
        <w:widowControl w:val="0"/>
        <w:numPr>
          <w:ilvl w:val="0"/>
          <w:numId w:val="473"/>
        </w:numPr>
        <w:spacing w:after="0" w:line="240" w:lineRule="auto"/>
        <w:jc w:val="both"/>
        <w:rPr>
          <w:rFonts w:ascii="Times New Roman" w:eastAsia="Calibri" w:hAnsi="Times New Roman" w:cs="Times New Roman"/>
          <w:bCs/>
          <w:lang w:val="en-GB"/>
        </w:rPr>
      </w:pPr>
      <w:r w:rsidRPr="00B87C3E">
        <w:rPr>
          <w:rFonts w:ascii="Times New Roman" w:eastAsia="Calibri" w:hAnsi="Times New Roman" w:cs="Times New Roman"/>
          <w:bCs/>
          <w:lang w:val="en-GB"/>
        </w:rPr>
        <w:t>He is committed to the effectiveness and efficiency of his military work</w:t>
      </w:r>
    </w:p>
    <w:p w:rsidR="00B87C3E" w:rsidRPr="00B87C3E" w:rsidRDefault="00B87C3E" w:rsidP="00980876">
      <w:pPr>
        <w:widowControl w:val="0"/>
        <w:numPr>
          <w:ilvl w:val="0"/>
          <w:numId w:val="473"/>
        </w:numPr>
        <w:spacing w:after="0" w:line="240" w:lineRule="auto"/>
        <w:jc w:val="both"/>
        <w:rPr>
          <w:rFonts w:ascii="Times New Roman" w:eastAsia="Calibri" w:hAnsi="Times New Roman" w:cs="Times New Roman"/>
          <w:bCs/>
          <w:lang w:val="en-GB"/>
        </w:rPr>
      </w:pPr>
      <w:r w:rsidRPr="00B87C3E">
        <w:rPr>
          <w:rFonts w:ascii="Times New Roman" w:eastAsia="Calibri" w:hAnsi="Times New Roman" w:cs="Times New Roman"/>
          <w:bCs/>
          <w:lang w:val="en-GB"/>
        </w:rPr>
        <w:t>Interested in new methods and tools related to his / her work.</w:t>
      </w:r>
    </w:p>
    <w:p w:rsidR="00B87C3E" w:rsidRPr="00B87C3E" w:rsidRDefault="00B87C3E" w:rsidP="00980876">
      <w:pPr>
        <w:widowControl w:val="0"/>
        <w:numPr>
          <w:ilvl w:val="0"/>
          <w:numId w:val="473"/>
        </w:numPr>
        <w:spacing w:after="0" w:line="240" w:lineRule="auto"/>
        <w:jc w:val="both"/>
        <w:rPr>
          <w:rFonts w:ascii="Times New Roman" w:eastAsia="Calibri" w:hAnsi="Times New Roman" w:cs="Times New Roman"/>
          <w:bCs/>
          <w:lang w:val="en-GB"/>
        </w:rPr>
      </w:pPr>
      <w:r w:rsidRPr="00B87C3E">
        <w:rPr>
          <w:rFonts w:ascii="Times New Roman" w:eastAsia="Calibri" w:hAnsi="Times New Roman" w:cs="Times New Roman"/>
          <w:bCs/>
          <w:lang w:val="en-GB"/>
        </w:rPr>
        <w:lastRenderedPageBreak/>
        <w:t>Make decision with the law and ethical norms during the joint combats.</w:t>
      </w:r>
    </w:p>
    <w:p w:rsidR="00B87C3E" w:rsidRPr="00B87C3E" w:rsidRDefault="00B87C3E" w:rsidP="00980876">
      <w:pPr>
        <w:widowControl w:val="0"/>
        <w:numPr>
          <w:ilvl w:val="0"/>
          <w:numId w:val="473"/>
        </w:numPr>
        <w:spacing w:after="0" w:line="240" w:lineRule="auto"/>
        <w:jc w:val="both"/>
        <w:rPr>
          <w:rFonts w:ascii="Times New Roman" w:eastAsia="Calibri" w:hAnsi="Times New Roman" w:cs="Times New Roman"/>
          <w:bCs/>
          <w:lang w:val="en-GB"/>
        </w:rPr>
      </w:pPr>
      <w:r w:rsidRPr="00B87C3E">
        <w:rPr>
          <w:rFonts w:ascii="Times New Roman" w:eastAsia="Calibri" w:hAnsi="Times New Roman" w:cs="Times New Roman"/>
          <w:bCs/>
          <w:lang w:val="en-GB"/>
        </w:rPr>
        <w:t>Understands the importance of lifelong learning and its implementation, and also inportant for him the self-education and the continuous training.</w:t>
      </w:r>
    </w:p>
    <w:p w:rsidR="00B87C3E" w:rsidRPr="00B87C3E" w:rsidRDefault="00B87C3E" w:rsidP="00472829">
      <w:pPr>
        <w:widowControl w:val="0"/>
        <w:spacing w:before="120" w:after="0"/>
        <w:ind w:left="425"/>
        <w:jc w:val="both"/>
        <w:rPr>
          <w:rFonts w:ascii="Times New Roman" w:eastAsia="Calibri" w:hAnsi="Times New Roman" w:cs="Times New Roman"/>
          <w:b/>
          <w:lang w:val="en-GB"/>
        </w:rPr>
      </w:pPr>
      <w:r w:rsidRPr="00B87C3E">
        <w:rPr>
          <w:rFonts w:ascii="Times New Roman" w:eastAsia="Calibri" w:hAnsi="Times New Roman" w:cs="Times New Roman"/>
          <w:b/>
          <w:lang w:val="en-GB"/>
        </w:rPr>
        <w:t xml:space="preserve">Autonomy and responsibility: </w:t>
      </w:r>
    </w:p>
    <w:p w:rsidR="00B87C3E" w:rsidRPr="00B87C3E" w:rsidRDefault="00B87C3E" w:rsidP="00980876">
      <w:pPr>
        <w:widowControl w:val="0"/>
        <w:numPr>
          <w:ilvl w:val="0"/>
          <w:numId w:val="473"/>
        </w:numPr>
        <w:spacing w:after="0" w:line="240" w:lineRule="auto"/>
        <w:jc w:val="both"/>
        <w:rPr>
          <w:rFonts w:ascii="Times New Roman" w:eastAsia="Calibri" w:hAnsi="Times New Roman" w:cs="Times New Roman"/>
          <w:bCs/>
          <w:lang w:val="en-GB"/>
        </w:rPr>
      </w:pPr>
      <w:r w:rsidRPr="00B87C3E">
        <w:rPr>
          <w:rFonts w:ascii="Times New Roman" w:eastAsia="Calibri" w:hAnsi="Times New Roman" w:cs="Times New Roman"/>
          <w:bCs/>
          <w:lang w:val="en-GB"/>
        </w:rPr>
        <w:t>Plans and carries out his / her professional activities independently in his / her position.</w:t>
      </w:r>
    </w:p>
    <w:p w:rsidR="00B87C3E" w:rsidRPr="00B87C3E" w:rsidRDefault="00B87C3E" w:rsidP="00980876">
      <w:pPr>
        <w:widowControl w:val="0"/>
        <w:numPr>
          <w:ilvl w:val="0"/>
          <w:numId w:val="473"/>
        </w:numPr>
        <w:spacing w:after="0" w:line="240" w:lineRule="auto"/>
        <w:jc w:val="both"/>
        <w:rPr>
          <w:rFonts w:ascii="Times New Roman" w:eastAsia="Calibri" w:hAnsi="Times New Roman" w:cs="Times New Roman"/>
          <w:bCs/>
          <w:lang w:val="en-GB"/>
        </w:rPr>
      </w:pPr>
      <w:r w:rsidRPr="00B87C3E">
        <w:rPr>
          <w:rFonts w:ascii="Times New Roman" w:eastAsia="Calibri" w:hAnsi="Times New Roman" w:cs="Times New Roman"/>
          <w:bCs/>
          <w:lang w:val="en-GB"/>
        </w:rPr>
        <w:t>Take responsibility in decision situations for the complex effects that result from them.</w:t>
      </w:r>
    </w:p>
    <w:p w:rsidR="00B87C3E" w:rsidRPr="00B87C3E" w:rsidRDefault="00B87C3E" w:rsidP="00980876">
      <w:pPr>
        <w:numPr>
          <w:ilvl w:val="0"/>
          <w:numId w:val="734"/>
        </w:numPr>
        <w:tabs>
          <w:tab w:val="right" w:pos="900"/>
          <w:tab w:val="center" w:pos="4536"/>
          <w:tab w:val="right" w:pos="9072"/>
        </w:tabs>
        <w:spacing w:before="120" w:after="0" w:line="240" w:lineRule="auto"/>
        <w:jc w:val="both"/>
        <w:rPr>
          <w:rFonts w:ascii="Times New Roman" w:eastAsia="Times New Roman" w:hAnsi="Times New Roman" w:cs="Times New Roman"/>
          <w:bCs/>
          <w:lang w:eastAsia="hu-HU"/>
        </w:rPr>
      </w:pPr>
      <w:r w:rsidRPr="00B87C3E">
        <w:rPr>
          <w:rFonts w:ascii="Times New Roman" w:eastAsia="Times New Roman" w:hAnsi="Times New Roman" w:cs="Times New Roman"/>
          <w:b/>
          <w:bCs/>
          <w:lang w:eastAsia="hu-HU"/>
        </w:rPr>
        <w:t xml:space="preserve">Előtanulmányi kötelezettségek: </w:t>
      </w:r>
      <w:r w:rsidRPr="00B87C3E">
        <w:rPr>
          <w:rFonts w:ascii="Times New Roman" w:eastAsia="Times New Roman" w:hAnsi="Times New Roman" w:cs="Times New Roman"/>
          <w:bCs/>
          <w:lang w:eastAsia="hu-HU"/>
        </w:rPr>
        <w:t>-</w:t>
      </w:r>
    </w:p>
    <w:p w:rsidR="00B87C3E" w:rsidRPr="00B87C3E" w:rsidRDefault="00B87C3E" w:rsidP="00980876">
      <w:pPr>
        <w:numPr>
          <w:ilvl w:val="0"/>
          <w:numId w:val="732"/>
        </w:numPr>
        <w:spacing w:before="120" w:after="0" w:line="240" w:lineRule="auto"/>
        <w:jc w:val="both"/>
        <w:rPr>
          <w:rFonts w:ascii="Times New Roman" w:eastAsia="Calibri" w:hAnsi="Times New Roman" w:cs="Times New Roman"/>
          <w:b/>
        </w:rPr>
      </w:pPr>
      <w:r w:rsidRPr="00B87C3E">
        <w:rPr>
          <w:rFonts w:ascii="Times New Roman" w:eastAsia="Calibri" w:hAnsi="Times New Roman" w:cs="Times New Roman"/>
          <w:b/>
        </w:rPr>
        <w:t>A tantárgy tananyagának leírása, tematika. Description of the subject, curriculum (magyarul, angolul – English):</w:t>
      </w:r>
    </w:p>
    <w:p w:rsidR="00B87C3E" w:rsidRPr="00B87C3E" w:rsidRDefault="00B87C3E" w:rsidP="00980876">
      <w:pPr>
        <w:numPr>
          <w:ilvl w:val="1"/>
          <w:numId w:val="732"/>
        </w:numPr>
        <w:tabs>
          <w:tab w:val="clear" w:pos="792"/>
        </w:tabs>
        <w:spacing w:after="0" w:line="240" w:lineRule="auto"/>
        <w:ind w:left="1134" w:hanging="567"/>
        <w:jc w:val="both"/>
        <w:rPr>
          <w:rFonts w:ascii="Times New Roman" w:eastAsia="Calibri" w:hAnsi="Times New Roman" w:cs="Times New Roman"/>
          <w:b/>
        </w:rPr>
      </w:pPr>
      <w:r w:rsidRPr="00B87C3E">
        <w:rPr>
          <w:rFonts w:ascii="Times New Roman" w:eastAsia="Calibri" w:hAnsi="Times New Roman" w:cs="Times New Roman"/>
        </w:rPr>
        <w:t>A harcászat fogalma, helye, szerepe.</w:t>
      </w:r>
      <w:r w:rsidRPr="00B87C3E">
        <w:rPr>
          <w:rFonts w:ascii="Times New Roman" w:eastAsia="Calibri" w:hAnsi="Times New Roman" w:cs="Times New Roman"/>
          <w:i/>
        </w:rPr>
        <w:t xml:space="preserve"> (The Tactics)</w:t>
      </w:r>
    </w:p>
    <w:p w:rsidR="00B87C3E" w:rsidRPr="00B87C3E" w:rsidRDefault="00B87C3E" w:rsidP="00980876">
      <w:pPr>
        <w:numPr>
          <w:ilvl w:val="1"/>
          <w:numId w:val="732"/>
        </w:numPr>
        <w:tabs>
          <w:tab w:val="clear" w:pos="792"/>
        </w:tabs>
        <w:spacing w:after="0" w:line="240" w:lineRule="auto"/>
        <w:ind w:left="1134" w:hanging="567"/>
        <w:jc w:val="both"/>
        <w:rPr>
          <w:rFonts w:ascii="Times New Roman" w:eastAsia="Calibri" w:hAnsi="Times New Roman" w:cs="Times New Roman"/>
          <w:b/>
          <w:i/>
        </w:rPr>
      </w:pPr>
      <w:r w:rsidRPr="00B87C3E">
        <w:rPr>
          <w:rFonts w:ascii="Times New Roman" w:eastAsia="Calibri" w:hAnsi="Times New Roman" w:cs="Times New Roman"/>
        </w:rPr>
        <w:t xml:space="preserve">A szárazföldi (összfegyvernemi) harcászat helye, szerepe az összhaderőnemi műveletek rendszerében. A NATO katonai jelei és azok alkalmazásának szabályai. </w:t>
      </w:r>
      <w:r w:rsidRPr="00B87C3E">
        <w:rPr>
          <w:rFonts w:ascii="Times New Roman" w:eastAsia="Calibri" w:hAnsi="Times New Roman" w:cs="Times New Roman"/>
          <w:i/>
        </w:rPr>
        <w:t>(The place of combat and its role in the system of all-force operations)</w:t>
      </w:r>
    </w:p>
    <w:p w:rsidR="00B87C3E" w:rsidRPr="00B87C3E" w:rsidRDefault="00B87C3E" w:rsidP="00980876">
      <w:pPr>
        <w:numPr>
          <w:ilvl w:val="1"/>
          <w:numId w:val="732"/>
        </w:numPr>
        <w:tabs>
          <w:tab w:val="clear" w:pos="792"/>
        </w:tabs>
        <w:spacing w:after="0" w:line="240" w:lineRule="auto"/>
        <w:ind w:left="1134" w:hanging="567"/>
        <w:jc w:val="both"/>
        <w:rPr>
          <w:rFonts w:ascii="Times New Roman" w:eastAsia="Calibri" w:hAnsi="Times New Roman" w:cs="Times New Roman"/>
          <w:b/>
          <w:i/>
        </w:rPr>
      </w:pPr>
      <w:r w:rsidRPr="00B87C3E">
        <w:rPr>
          <w:rFonts w:ascii="Times New Roman" w:eastAsia="Calibri" w:hAnsi="Times New Roman" w:cs="Times New Roman"/>
        </w:rPr>
        <w:t>A szárazföldi (összfegyvernemi) harc alapjai, a csapatok tevékenységének osztályozása, a harc elvei</w:t>
      </w:r>
      <w:r w:rsidRPr="00B87C3E">
        <w:rPr>
          <w:rFonts w:ascii="Times New Roman" w:eastAsia="Calibri" w:hAnsi="Times New Roman" w:cs="Times New Roman"/>
          <w:i/>
          <w:color w:val="FF0000"/>
        </w:rPr>
        <w:t xml:space="preserve"> </w:t>
      </w:r>
      <w:r w:rsidRPr="00B87C3E">
        <w:rPr>
          <w:rFonts w:ascii="Times New Roman" w:eastAsia="Calibri" w:hAnsi="Times New Roman" w:cs="Times New Roman"/>
          <w:i/>
        </w:rPr>
        <w:t>(Basics of combat, classification of team activities, principles of combat)</w:t>
      </w:r>
    </w:p>
    <w:p w:rsidR="00B87C3E" w:rsidRPr="00B87C3E" w:rsidRDefault="00B87C3E" w:rsidP="00980876">
      <w:pPr>
        <w:numPr>
          <w:ilvl w:val="1"/>
          <w:numId w:val="732"/>
        </w:numPr>
        <w:tabs>
          <w:tab w:val="clear" w:pos="792"/>
        </w:tabs>
        <w:spacing w:after="0" w:line="240" w:lineRule="auto"/>
        <w:ind w:left="1134" w:hanging="567"/>
        <w:jc w:val="both"/>
        <w:rPr>
          <w:rFonts w:ascii="Times New Roman" w:eastAsia="Calibri" w:hAnsi="Times New Roman" w:cs="Times New Roman"/>
          <w:b/>
          <w:i/>
        </w:rPr>
      </w:pPr>
      <w:r w:rsidRPr="00B87C3E">
        <w:rPr>
          <w:rFonts w:ascii="Times New Roman" w:eastAsia="Calibri" w:hAnsi="Times New Roman" w:cs="Times New Roman"/>
        </w:rPr>
        <w:t>Harc</w:t>
      </w:r>
      <w:r w:rsidRPr="00B87C3E">
        <w:rPr>
          <w:rFonts w:ascii="Times New Roman" w:eastAsia="Calibri" w:hAnsi="Times New Roman" w:cs="Times New Roman"/>
          <w:bCs/>
        </w:rPr>
        <w:t>ászati szint</w:t>
      </w:r>
      <w:r w:rsidRPr="00B87C3E">
        <w:rPr>
          <w:rFonts w:ascii="Times New Roman" w:eastAsia="Calibri" w:hAnsi="Times New Roman" w:cs="Times New Roman"/>
        </w:rPr>
        <w:t>ű</w:t>
      </w:r>
      <w:r w:rsidRPr="00B87C3E">
        <w:rPr>
          <w:rFonts w:ascii="Times New Roman" w:eastAsia="Calibri" w:hAnsi="Times New Roman" w:cs="Times New Roman"/>
          <w:bCs/>
        </w:rPr>
        <w:t xml:space="preserve"> vezet</w:t>
      </w:r>
      <w:r w:rsidRPr="00B87C3E">
        <w:rPr>
          <w:rFonts w:ascii="Times New Roman" w:eastAsia="Calibri" w:hAnsi="Times New Roman" w:cs="Times New Roman"/>
        </w:rPr>
        <w:t>é</w:t>
      </w:r>
      <w:r w:rsidRPr="00B87C3E">
        <w:rPr>
          <w:rFonts w:ascii="Times New Roman" w:eastAsia="Calibri" w:hAnsi="Times New Roman" w:cs="Times New Roman"/>
          <w:bCs/>
        </w:rPr>
        <w:t xml:space="preserve">s-irányítás, a harctéri környezet </w:t>
      </w:r>
      <w:r w:rsidRPr="00B87C3E">
        <w:rPr>
          <w:rFonts w:ascii="Times New Roman" w:eastAsia="Calibri" w:hAnsi="Times New Roman" w:cs="Times New Roman"/>
          <w:bCs/>
          <w:i/>
        </w:rPr>
        <w:t>(Environment of the battlefield)</w:t>
      </w:r>
    </w:p>
    <w:p w:rsidR="00B87C3E" w:rsidRPr="00B87C3E" w:rsidRDefault="00B87C3E" w:rsidP="00980876">
      <w:pPr>
        <w:numPr>
          <w:ilvl w:val="1"/>
          <w:numId w:val="732"/>
        </w:numPr>
        <w:tabs>
          <w:tab w:val="clear" w:pos="792"/>
        </w:tabs>
        <w:spacing w:after="0" w:line="240" w:lineRule="auto"/>
        <w:ind w:left="1134" w:hanging="567"/>
        <w:jc w:val="both"/>
        <w:rPr>
          <w:rFonts w:ascii="Times New Roman" w:eastAsia="Calibri" w:hAnsi="Times New Roman" w:cs="Times New Roman"/>
          <w:b/>
        </w:rPr>
      </w:pPr>
      <w:r w:rsidRPr="00B87C3E">
        <w:rPr>
          <w:rFonts w:ascii="Times New Roman" w:eastAsia="Calibri" w:hAnsi="Times New Roman" w:cs="Times New Roman"/>
        </w:rPr>
        <w:t>A katonák általános kötelmei harcban, a hírvivő, a biztosítási feladatokat ellátó katona és a figyelő kötelmei</w:t>
      </w:r>
      <w:r w:rsidRPr="00B87C3E">
        <w:rPr>
          <w:rFonts w:ascii="Times New Roman" w:eastAsia="Calibri" w:hAnsi="Times New Roman" w:cs="Times New Roman"/>
          <w:i/>
        </w:rPr>
        <w:t>.(Soldier’s obligation in the battle)</w:t>
      </w:r>
    </w:p>
    <w:p w:rsidR="00B87C3E" w:rsidRPr="00B87C3E" w:rsidRDefault="00B87C3E" w:rsidP="00980876">
      <w:pPr>
        <w:numPr>
          <w:ilvl w:val="1"/>
          <w:numId w:val="732"/>
        </w:numPr>
        <w:tabs>
          <w:tab w:val="clear" w:pos="792"/>
        </w:tabs>
        <w:spacing w:after="0" w:line="240" w:lineRule="auto"/>
        <w:ind w:left="1134" w:hanging="567"/>
        <w:jc w:val="both"/>
        <w:rPr>
          <w:rFonts w:ascii="Times New Roman" w:eastAsia="Calibri" w:hAnsi="Times New Roman" w:cs="Times New Roman"/>
          <w:i/>
        </w:rPr>
      </w:pPr>
      <w:r w:rsidRPr="00B87C3E">
        <w:rPr>
          <w:rFonts w:ascii="Times New Roman" w:eastAsia="Calibri" w:hAnsi="Times New Roman" w:cs="Times New Roman"/>
        </w:rPr>
        <w:t xml:space="preserve">A katona tevékenysége védelemben </w:t>
      </w:r>
      <w:r w:rsidRPr="00B87C3E">
        <w:rPr>
          <w:rFonts w:ascii="Times New Roman" w:eastAsia="Calibri" w:hAnsi="Times New Roman" w:cs="Times New Roman"/>
          <w:i/>
        </w:rPr>
        <w:t>(Soldier’s activities in defense)</w:t>
      </w:r>
    </w:p>
    <w:p w:rsidR="00B87C3E" w:rsidRPr="00B87C3E" w:rsidRDefault="00B87C3E" w:rsidP="00980876">
      <w:pPr>
        <w:numPr>
          <w:ilvl w:val="1"/>
          <w:numId w:val="732"/>
        </w:numPr>
        <w:tabs>
          <w:tab w:val="clear" w:pos="792"/>
        </w:tabs>
        <w:spacing w:after="0" w:line="240" w:lineRule="auto"/>
        <w:ind w:left="1134" w:hanging="567"/>
        <w:jc w:val="both"/>
        <w:rPr>
          <w:rFonts w:ascii="Times New Roman" w:eastAsia="Calibri" w:hAnsi="Times New Roman" w:cs="Times New Roman"/>
        </w:rPr>
      </w:pPr>
      <w:r w:rsidRPr="00B87C3E">
        <w:rPr>
          <w:rFonts w:ascii="Times New Roman" w:eastAsia="Calibri" w:hAnsi="Times New Roman" w:cs="Times New Roman"/>
        </w:rPr>
        <w:t xml:space="preserve">A katona tevékenysége támadásban </w:t>
      </w:r>
      <w:r w:rsidRPr="00B87C3E">
        <w:rPr>
          <w:rFonts w:ascii="Times New Roman" w:eastAsia="Calibri" w:hAnsi="Times New Roman" w:cs="Times New Roman"/>
          <w:i/>
        </w:rPr>
        <w:t>(Soldier’s activities in attack)</w:t>
      </w:r>
    </w:p>
    <w:p w:rsidR="00B87C3E" w:rsidRPr="00B87C3E" w:rsidRDefault="00B87C3E" w:rsidP="00980876">
      <w:pPr>
        <w:numPr>
          <w:ilvl w:val="1"/>
          <w:numId w:val="732"/>
        </w:numPr>
        <w:tabs>
          <w:tab w:val="clear" w:pos="792"/>
        </w:tabs>
        <w:spacing w:after="0" w:line="240" w:lineRule="auto"/>
        <w:ind w:left="1134" w:hanging="567"/>
        <w:jc w:val="both"/>
        <w:rPr>
          <w:rFonts w:ascii="Times New Roman" w:eastAsia="Calibri" w:hAnsi="Times New Roman" w:cs="Times New Roman"/>
        </w:rPr>
      </w:pPr>
      <w:r w:rsidRPr="00B87C3E">
        <w:rPr>
          <w:rFonts w:ascii="Times New Roman" w:eastAsia="Calibri" w:hAnsi="Times New Roman" w:cs="Times New Roman"/>
        </w:rPr>
        <w:t>A terepen való mozgás, álcázás, biztosítás és vezetési jelek gyakorlása nappal.</w:t>
      </w:r>
      <w:r w:rsidRPr="00B87C3E">
        <w:rPr>
          <w:rFonts w:ascii="Times New Roman" w:eastAsia="Calibri" w:hAnsi="Times New Roman" w:cs="Times New Roman"/>
          <w:color w:val="000000"/>
          <w:shd w:val="clear" w:color="auto" w:fill="FFFFFF"/>
        </w:rPr>
        <w:t xml:space="preserve"> </w:t>
      </w:r>
      <w:r w:rsidRPr="00B87C3E">
        <w:rPr>
          <w:rFonts w:ascii="Times New Roman" w:eastAsia="Calibri" w:hAnsi="Times New Roman" w:cs="Times New Roman"/>
          <w:i/>
          <w:color w:val="000000"/>
          <w:shd w:val="clear" w:color="auto" w:fill="FFFFFF"/>
        </w:rPr>
        <w:t>(Movement in the field, discipline of camouflage )</w:t>
      </w:r>
    </w:p>
    <w:p w:rsidR="00B87C3E" w:rsidRPr="00B87C3E" w:rsidRDefault="00B87C3E" w:rsidP="00980876">
      <w:pPr>
        <w:numPr>
          <w:ilvl w:val="1"/>
          <w:numId w:val="732"/>
        </w:numPr>
        <w:tabs>
          <w:tab w:val="clear" w:pos="792"/>
        </w:tabs>
        <w:spacing w:after="0" w:line="240" w:lineRule="auto"/>
        <w:ind w:left="1134" w:hanging="567"/>
        <w:jc w:val="both"/>
        <w:rPr>
          <w:rFonts w:ascii="Times New Roman" w:eastAsia="Calibri" w:hAnsi="Times New Roman" w:cs="Times New Roman"/>
          <w:i/>
        </w:rPr>
      </w:pPr>
      <w:r w:rsidRPr="00B87C3E">
        <w:rPr>
          <w:rFonts w:ascii="Times New Roman" w:eastAsia="Calibri" w:hAnsi="Times New Roman" w:cs="Times New Roman"/>
        </w:rPr>
        <w:t xml:space="preserve">A raj komplex felkészítése. Felderítés, a figyelő őrs erői, eszközei. Raj védelemben nappal és éjszaka. Raj támadásban nappal és éjszaka. </w:t>
      </w:r>
      <w:r w:rsidRPr="00B87C3E">
        <w:rPr>
          <w:rFonts w:ascii="Times New Roman" w:eastAsia="Calibri" w:hAnsi="Times New Roman" w:cs="Times New Roman"/>
          <w:i/>
        </w:rPr>
        <w:t>(Task of the squad in attack and defense)</w:t>
      </w:r>
    </w:p>
    <w:p w:rsidR="00B87C3E" w:rsidRPr="00B87C3E" w:rsidRDefault="00B87C3E" w:rsidP="00980876">
      <w:pPr>
        <w:numPr>
          <w:ilvl w:val="1"/>
          <w:numId w:val="732"/>
        </w:numPr>
        <w:tabs>
          <w:tab w:val="clear" w:pos="792"/>
        </w:tabs>
        <w:spacing w:after="0" w:line="240" w:lineRule="auto"/>
        <w:ind w:left="1134" w:hanging="567"/>
        <w:jc w:val="both"/>
        <w:rPr>
          <w:rFonts w:ascii="Times New Roman" w:eastAsia="Calibri" w:hAnsi="Times New Roman" w:cs="Times New Roman"/>
          <w:i/>
        </w:rPr>
      </w:pPr>
      <w:r w:rsidRPr="00B87C3E">
        <w:rPr>
          <w:rFonts w:ascii="Times New Roman" w:eastAsia="Calibri" w:hAnsi="Times New Roman" w:cs="Times New Roman"/>
        </w:rPr>
        <w:t xml:space="preserve">A parancsnoki munka és a katonai döntéshozatali folyamat tartalma. </w:t>
      </w:r>
      <w:r w:rsidRPr="00B87C3E">
        <w:rPr>
          <w:rFonts w:ascii="Times New Roman" w:eastAsia="Calibri" w:hAnsi="Times New Roman" w:cs="Times New Roman"/>
          <w:i/>
        </w:rPr>
        <w:t>(Troop leading procedures)</w:t>
      </w:r>
    </w:p>
    <w:p w:rsidR="00B87C3E" w:rsidRPr="00B87C3E" w:rsidRDefault="00B87C3E" w:rsidP="00980876">
      <w:pPr>
        <w:numPr>
          <w:ilvl w:val="1"/>
          <w:numId w:val="732"/>
        </w:numPr>
        <w:tabs>
          <w:tab w:val="clear" w:pos="792"/>
        </w:tabs>
        <w:spacing w:after="0" w:line="240" w:lineRule="auto"/>
        <w:ind w:left="1134" w:hanging="567"/>
        <w:jc w:val="both"/>
        <w:rPr>
          <w:rFonts w:ascii="Times New Roman" w:eastAsia="Calibri" w:hAnsi="Times New Roman" w:cs="Times New Roman"/>
          <w:i/>
        </w:rPr>
      </w:pPr>
      <w:r w:rsidRPr="00B87C3E">
        <w:rPr>
          <w:rFonts w:ascii="Times New Roman" w:eastAsia="Calibri" w:hAnsi="Times New Roman" w:cs="Times New Roman"/>
        </w:rPr>
        <w:t xml:space="preserve">A vezetés gyakorlata, módszerei, a vezetési funkciók. Szervezeti formák. A szervezetek strukturális jellemzői. A munkamegosztás alapján osztályozott szervezeti formák. </w:t>
      </w:r>
      <w:r w:rsidRPr="00B87C3E">
        <w:rPr>
          <w:rFonts w:ascii="Times New Roman" w:eastAsia="Calibri" w:hAnsi="Times New Roman" w:cs="Times New Roman"/>
          <w:i/>
        </w:rPr>
        <w:t>(Practise of the military leadership)</w:t>
      </w:r>
    </w:p>
    <w:p w:rsidR="00B87C3E" w:rsidRPr="00B87C3E" w:rsidRDefault="00B87C3E" w:rsidP="00980876">
      <w:pPr>
        <w:numPr>
          <w:ilvl w:val="1"/>
          <w:numId w:val="732"/>
        </w:numPr>
        <w:tabs>
          <w:tab w:val="clear" w:pos="792"/>
        </w:tabs>
        <w:spacing w:after="0" w:line="240" w:lineRule="auto"/>
        <w:ind w:left="1134" w:hanging="567"/>
        <w:jc w:val="both"/>
        <w:rPr>
          <w:rFonts w:ascii="Times New Roman" w:eastAsia="Calibri" w:hAnsi="Times New Roman" w:cs="Times New Roman"/>
        </w:rPr>
      </w:pPr>
      <w:r w:rsidRPr="00B87C3E">
        <w:rPr>
          <w:rFonts w:ascii="Times New Roman" w:eastAsia="Calibri" w:hAnsi="Times New Roman" w:cs="Times New Roman"/>
        </w:rPr>
        <w:t>A lőelmélet alapjai. A lövéssel kapcsolatos alapfogalmak. A röppálya elemei, a célzás irányzás szabályai, a lövés pontossága.</w:t>
      </w:r>
      <w:r w:rsidRPr="00B87C3E">
        <w:rPr>
          <w:rFonts w:ascii="Times New Roman" w:eastAsia="Calibri" w:hAnsi="Times New Roman" w:cs="Times New Roman"/>
          <w:i/>
        </w:rPr>
        <w:t xml:space="preserve"> (Basic of the ballistics)</w:t>
      </w:r>
    </w:p>
    <w:p w:rsidR="00B87C3E" w:rsidRPr="00B87C3E" w:rsidRDefault="00B87C3E" w:rsidP="00980876">
      <w:pPr>
        <w:numPr>
          <w:ilvl w:val="1"/>
          <w:numId w:val="732"/>
        </w:numPr>
        <w:tabs>
          <w:tab w:val="clear" w:pos="792"/>
        </w:tabs>
        <w:spacing w:after="0" w:line="240" w:lineRule="auto"/>
        <w:ind w:left="1134" w:hanging="567"/>
        <w:jc w:val="both"/>
        <w:rPr>
          <w:rFonts w:ascii="Times New Roman" w:eastAsia="Calibri" w:hAnsi="Times New Roman" w:cs="Times New Roman"/>
        </w:rPr>
      </w:pPr>
      <w:r w:rsidRPr="00B87C3E">
        <w:rPr>
          <w:rFonts w:ascii="Times New Roman" w:eastAsia="Calibri" w:hAnsi="Times New Roman" w:cs="Times New Roman"/>
        </w:rPr>
        <w:t xml:space="preserve">Gyalogsági fegyverekkel lőtt tűznemek. A tűzfegyelem. Raj kollektív fegyvereinek harcászati alkalmazása. </w:t>
      </w:r>
      <w:r w:rsidRPr="00B87C3E">
        <w:rPr>
          <w:rFonts w:ascii="Times New Roman" w:eastAsia="Calibri" w:hAnsi="Times New Roman" w:cs="Times New Roman"/>
          <w:i/>
        </w:rPr>
        <w:t>(Using of the collective weapons)</w:t>
      </w:r>
    </w:p>
    <w:p w:rsidR="00B87C3E" w:rsidRPr="00B87C3E" w:rsidRDefault="00B87C3E" w:rsidP="00980876">
      <w:pPr>
        <w:numPr>
          <w:ilvl w:val="1"/>
          <w:numId w:val="732"/>
        </w:numPr>
        <w:tabs>
          <w:tab w:val="clear" w:pos="792"/>
        </w:tabs>
        <w:spacing w:after="0" w:line="240" w:lineRule="auto"/>
        <w:ind w:left="1134" w:hanging="567"/>
        <w:jc w:val="both"/>
        <w:rPr>
          <w:rFonts w:ascii="Times New Roman" w:eastAsia="Calibri" w:hAnsi="Times New Roman" w:cs="Times New Roman"/>
          <w:i/>
        </w:rPr>
      </w:pPr>
      <w:r w:rsidRPr="00B87C3E">
        <w:rPr>
          <w:rFonts w:ascii="Times New Roman" w:eastAsia="Calibri" w:hAnsi="Times New Roman" w:cs="Times New Roman"/>
        </w:rPr>
        <w:t xml:space="preserve">A lőgyakorlatok biztonsági rendszabályai. A lőtér szolgálati személyei. A lőgyakorlatok általános rendje. A lőterek igénybevételének általános előírásai. </w:t>
      </w:r>
      <w:r w:rsidRPr="00B87C3E">
        <w:rPr>
          <w:rFonts w:ascii="Times New Roman" w:eastAsia="Calibri" w:hAnsi="Times New Roman" w:cs="Times New Roman"/>
          <w:i/>
        </w:rPr>
        <w:t>(Safety regulations of the shooting range)</w:t>
      </w:r>
    </w:p>
    <w:p w:rsidR="00B87C3E" w:rsidRPr="00B87C3E" w:rsidRDefault="00B87C3E" w:rsidP="00980876">
      <w:pPr>
        <w:numPr>
          <w:ilvl w:val="1"/>
          <w:numId w:val="732"/>
        </w:numPr>
        <w:tabs>
          <w:tab w:val="clear" w:pos="792"/>
        </w:tabs>
        <w:spacing w:after="0" w:line="240" w:lineRule="auto"/>
        <w:ind w:left="1134" w:hanging="567"/>
        <w:jc w:val="both"/>
        <w:rPr>
          <w:rFonts w:ascii="Times New Roman" w:eastAsia="Calibri" w:hAnsi="Times New Roman" w:cs="Times New Roman"/>
        </w:rPr>
      </w:pPr>
      <w:r w:rsidRPr="00B87C3E">
        <w:rPr>
          <w:rFonts w:ascii="Times New Roman" w:eastAsia="Calibri" w:hAnsi="Times New Roman" w:cs="Times New Roman"/>
        </w:rPr>
        <w:t xml:space="preserve">Szakalap és 1. sz. lőgyakorlat. </w:t>
      </w:r>
      <w:r w:rsidRPr="00B87C3E">
        <w:rPr>
          <w:rFonts w:ascii="Times New Roman" w:eastAsia="Calibri" w:hAnsi="Times New Roman" w:cs="Times New Roman"/>
          <w:i/>
        </w:rPr>
        <w:t>(Practise-firing.)</w:t>
      </w:r>
    </w:p>
    <w:p w:rsidR="00B87C3E" w:rsidRPr="00B87C3E" w:rsidRDefault="00B87C3E" w:rsidP="00980876">
      <w:pPr>
        <w:numPr>
          <w:ilvl w:val="0"/>
          <w:numId w:val="732"/>
        </w:numPr>
        <w:tabs>
          <w:tab w:val="num" w:pos="426"/>
          <w:tab w:val="right" w:pos="900"/>
          <w:tab w:val="center" w:pos="4536"/>
          <w:tab w:val="right" w:pos="9072"/>
        </w:tabs>
        <w:spacing w:before="120" w:after="0" w:line="240" w:lineRule="auto"/>
        <w:ind w:left="426" w:hanging="426"/>
        <w:jc w:val="both"/>
        <w:rPr>
          <w:rFonts w:ascii="Times New Roman" w:eastAsia="Times New Roman" w:hAnsi="Times New Roman" w:cs="Times New Roman"/>
          <w:b/>
          <w:lang w:eastAsia="hu-HU"/>
        </w:rPr>
      </w:pPr>
      <w:r w:rsidRPr="00B87C3E">
        <w:rPr>
          <w:rFonts w:ascii="Times New Roman" w:eastAsia="Times New Roman" w:hAnsi="Times New Roman" w:cs="Times New Roman"/>
          <w:b/>
          <w:lang w:eastAsia="hu-HU"/>
        </w:rPr>
        <w:tab/>
      </w:r>
      <w:r w:rsidRPr="00B87C3E">
        <w:rPr>
          <w:rFonts w:ascii="Times New Roman" w:eastAsia="Times New Roman" w:hAnsi="Times New Roman" w:cs="Times New Roman"/>
          <w:b/>
          <w:bCs/>
          <w:lang w:eastAsia="hu-HU"/>
        </w:rPr>
        <w:t xml:space="preserve">A tantárgy meghirdetésének gyakorisága/a tantervben történő félévi elhelyezkedése: </w:t>
      </w:r>
      <w:r w:rsidRPr="00B87C3E">
        <w:rPr>
          <w:rFonts w:ascii="Times New Roman" w:eastAsia="Times New Roman" w:hAnsi="Times New Roman" w:cs="Times New Roman"/>
          <w:bCs/>
          <w:lang w:eastAsia="hu-HU"/>
        </w:rPr>
        <w:t>tavaszi</w:t>
      </w:r>
      <w:r w:rsidRPr="00B87C3E">
        <w:rPr>
          <w:rFonts w:ascii="Times New Roman" w:eastAsia="Times New Roman" w:hAnsi="Times New Roman" w:cs="Times New Roman"/>
          <w:b/>
          <w:bCs/>
          <w:lang w:eastAsia="hu-HU"/>
        </w:rPr>
        <w:t xml:space="preserve"> / </w:t>
      </w:r>
      <w:r w:rsidRPr="00B87C3E">
        <w:rPr>
          <w:rFonts w:ascii="Times New Roman" w:eastAsia="Times New Roman" w:hAnsi="Times New Roman" w:cs="Times New Roman"/>
          <w:bCs/>
          <w:lang w:eastAsia="hu-HU"/>
        </w:rPr>
        <w:t>2. félév</w:t>
      </w:r>
    </w:p>
    <w:p w:rsidR="00B87C3E" w:rsidRPr="00B87C3E" w:rsidRDefault="00B87C3E" w:rsidP="00980876">
      <w:pPr>
        <w:numPr>
          <w:ilvl w:val="0"/>
          <w:numId w:val="732"/>
        </w:numPr>
        <w:tabs>
          <w:tab w:val="num" w:pos="426"/>
          <w:tab w:val="right" w:pos="900"/>
          <w:tab w:val="center" w:pos="4536"/>
          <w:tab w:val="right" w:pos="9072"/>
        </w:tabs>
        <w:spacing w:before="120" w:after="0" w:line="240" w:lineRule="auto"/>
        <w:ind w:left="426" w:hanging="426"/>
        <w:jc w:val="both"/>
        <w:rPr>
          <w:rFonts w:ascii="Times New Roman" w:eastAsia="Times New Roman" w:hAnsi="Times New Roman" w:cs="Times New Roman"/>
          <w:b/>
          <w:lang w:eastAsia="hu-HU"/>
        </w:rPr>
      </w:pPr>
      <w:r w:rsidRPr="00B87C3E">
        <w:rPr>
          <w:rFonts w:ascii="Times New Roman" w:eastAsia="Times New Roman" w:hAnsi="Times New Roman" w:cs="Times New Roman"/>
          <w:b/>
          <w:bCs/>
          <w:lang w:eastAsia="hu-HU"/>
        </w:rPr>
        <w:t xml:space="preserve">A foglalkozásokon való részvétel követelményei, elfogadható hiányzások mértéke, távolmaradás pótlásának lehetősége: </w:t>
      </w:r>
      <w:r w:rsidRPr="00B87C3E">
        <w:rPr>
          <w:rFonts w:ascii="Times New Roman" w:eastAsia="Times New Roman" w:hAnsi="Times New Roman" w:cs="Times New Roman"/>
          <w:bCs/>
          <w:lang w:eastAsia="hu-HU"/>
        </w:rPr>
        <w:t>a tanórák minimum 75%-án való részvétel. A képzés gyakorlati jellegéből adódóan a hiányzások nem pótolhatók, a megengedett mértéknél nagyobb hiányzás az aláírás megtagadását vonja maga után.</w:t>
      </w:r>
    </w:p>
    <w:p w:rsidR="00B87C3E" w:rsidRPr="00B87C3E" w:rsidRDefault="00B87C3E" w:rsidP="00980876">
      <w:pPr>
        <w:numPr>
          <w:ilvl w:val="0"/>
          <w:numId w:val="732"/>
        </w:numPr>
        <w:tabs>
          <w:tab w:val="num" w:pos="426"/>
          <w:tab w:val="right" w:pos="900"/>
          <w:tab w:val="center" w:pos="4536"/>
          <w:tab w:val="right" w:pos="9072"/>
        </w:tabs>
        <w:spacing w:before="120" w:after="0" w:line="240" w:lineRule="auto"/>
        <w:ind w:left="426" w:hanging="426"/>
        <w:jc w:val="both"/>
        <w:rPr>
          <w:rFonts w:ascii="Times New Roman" w:eastAsia="Calibri" w:hAnsi="Times New Roman" w:cs="Times New Roman"/>
        </w:rPr>
      </w:pPr>
      <w:r w:rsidRPr="00B87C3E">
        <w:rPr>
          <w:rFonts w:ascii="Times New Roman" w:eastAsia="Calibri" w:hAnsi="Times New Roman" w:cs="Times New Roman"/>
          <w:b/>
        </w:rPr>
        <w:t xml:space="preserve">Félévközi feladatok, ismeretek ellenőrzésének rendje: </w:t>
      </w:r>
      <w:r w:rsidRPr="00B87C3E">
        <w:rPr>
          <w:rFonts w:ascii="Times New Roman" w:eastAsia="Calibri" w:hAnsi="Times New Roman" w:cs="Times New Roman"/>
        </w:rPr>
        <w:t xml:space="preserve">Az egybefüggő öt hetes felkészítés során a kijelölt mentor szakmai értékelést készít, aminek alapja a tantárgyfelelős által kiadott Gyakorlati Feladatlap értékelési követelménye, valamint a harcászati gyakorlatok és a lőgyakorlatok eredményes végrehajtása. </w:t>
      </w:r>
    </w:p>
    <w:p w:rsidR="00B87C3E" w:rsidRDefault="00B87C3E" w:rsidP="00472829">
      <w:pPr>
        <w:widowControl w:val="0"/>
        <w:tabs>
          <w:tab w:val="left" w:pos="709"/>
        </w:tabs>
        <w:spacing w:after="0" w:line="240" w:lineRule="auto"/>
        <w:ind w:left="357"/>
        <w:jc w:val="both"/>
        <w:rPr>
          <w:rFonts w:ascii="Times New Roman" w:eastAsia="Calibri" w:hAnsi="Times New Roman" w:cs="Times New Roman"/>
        </w:rPr>
      </w:pPr>
      <w:r w:rsidRPr="00B87C3E">
        <w:rPr>
          <w:rFonts w:ascii="Times New Roman" w:eastAsia="Calibri" w:hAnsi="Times New Roman" w:cs="Times New Roman"/>
        </w:rPr>
        <w:t>A tanulmányi munka része a 12.1-12.15. foglalkozások anyagából a félév végén teszt jellegű ZH dolgozatok megírása az Ilias rendszer alkalmazásával. A zárthelyi dolgozat értékelése: ötfokozatú értékelés – (a helyes válaszok aránya 0-60% elégtelen; 61-70% elégséges; 71-80% közepes; 81-90% jó; 91-100% jeles osztályzat). Eredménytelen zárthelyi dolgozat kétszer javítható.</w:t>
      </w:r>
    </w:p>
    <w:p w:rsidR="00B87C3E" w:rsidRPr="00B87C3E" w:rsidRDefault="00B87C3E" w:rsidP="00980876">
      <w:pPr>
        <w:numPr>
          <w:ilvl w:val="0"/>
          <w:numId w:val="732"/>
        </w:numPr>
        <w:tabs>
          <w:tab w:val="num" w:pos="426"/>
          <w:tab w:val="right" w:pos="900"/>
          <w:tab w:val="center" w:pos="4536"/>
          <w:tab w:val="right" w:pos="9072"/>
        </w:tabs>
        <w:spacing w:before="120" w:after="0" w:line="240" w:lineRule="auto"/>
        <w:ind w:left="426" w:hanging="426"/>
        <w:jc w:val="both"/>
        <w:rPr>
          <w:rFonts w:ascii="Times New Roman" w:eastAsia="Calibri" w:hAnsi="Times New Roman" w:cs="Times New Roman"/>
        </w:rPr>
      </w:pPr>
      <w:r w:rsidRPr="00B87C3E">
        <w:rPr>
          <w:rFonts w:ascii="Times New Roman" w:eastAsia="Calibri" w:hAnsi="Times New Roman" w:cs="Times New Roman"/>
          <w:b/>
        </w:rPr>
        <w:lastRenderedPageBreak/>
        <w:t xml:space="preserve">Az aláírás és a kreditek megszerzésének pontos feltételei: </w:t>
      </w:r>
    </w:p>
    <w:p w:rsidR="00B87C3E" w:rsidRPr="00B87C3E" w:rsidRDefault="00B87C3E" w:rsidP="00980876">
      <w:pPr>
        <w:widowControl w:val="0"/>
        <w:numPr>
          <w:ilvl w:val="1"/>
          <w:numId w:val="769"/>
        </w:numPr>
        <w:tabs>
          <w:tab w:val="clear" w:pos="1000"/>
        </w:tabs>
        <w:spacing w:before="120" w:after="120" w:line="240" w:lineRule="auto"/>
        <w:ind w:left="851" w:hanging="574"/>
        <w:jc w:val="both"/>
        <w:rPr>
          <w:rFonts w:ascii="Times New Roman" w:eastAsia="Times New Roman" w:hAnsi="Times New Roman" w:cs="Times New Roman"/>
          <w:lang w:eastAsia="hu-HU"/>
        </w:rPr>
      </w:pPr>
      <w:r w:rsidRPr="00B87C3E">
        <w:rPr>
          <w:rFonts w:ascii="Times New Roman" w:eastAsia="Calibri" w:hAnsi="Times New Roman" w:cs="Times New Roman"/>
          <w:b/>
        </w:rPr>
        <w:t xml:space="preserve">Az aláírás megszerzésének feltételei: </w:t>
      </w:r>
      <w:r w:rsidRPr="00B87C3E">
        <w:rPr>
          <w:rFonts w:ascii="Times New Roman" w:eastAsia="Calibri" w:hAnsi="Times New Roman" w:cs="Times New Roman"/>
        </w:rPr>
        <w:t xml:space="preserve">Az aláírás megszerzésének feltétele a 14. pontban meghatározott arányú részvétel a foglalkozásokon </w:t>
      </w:r>
      <w:r w:rsidRPr="00B87C3E">
        <w:rPr>
          <w:rFonts w:ascii="Times New Roman" w:eastAsia="Times New Roman" w:hAnsi="Times New Roman" w:cs="Times New Roman"/>
          <w:lang w:eastAsia="hu-HU"/>
        </w:rPr>
        <w:t>és a 15. pontban meghatározott félévközi feladatok legalább elégséges teljesítése.</w:t>
      </w:r>
    </w:p>
    <w:p w:rsidR="00B87C3E" w:rsidRPr="00B87C3E" w:rsidRDefault="00B87C3E" w:rsidP="00980876">
      <w:pPr>
        <w:widowControl w:val="0"/>
        <w:numPr>
          <w:ilvl w:val="1"/>
          <w:numId w:val="769"/>
        </w:numPr>
        <w:tabs>
          <w:tab w:val="clear" w:pos="1000"/>
        </w:tabs>
        <w:spacing w:before="120" w:after="120" w:line="240" w:lineRule="auto"/>
        <w:ind w:left="851" w:hanging="574"/>
        <w:jc w:val="both"/>
        <w:rPr>
          <w:rFonts w:ascii="Times New Roman" w:eastAsia="Calibri" w:hAnsi="Times New Roman" w:cs="Times New Roman"/>
        </w:rPr>
      </w:pPr>
      <w:r w:rsidRPr="00B87C3E">
        <w:rPr>
          <w:rFonts w:ascii="Times New Roman" w:eastAsia="Calibri" w:hAnsi="Times New Roman" w:cs="Times New Roman"/>
          <w:b/>
        </w:rPr>
        <w:t xml:space="preserve">Az értékelés: </w:t>
      </w:r>
      <w:r w:rsidRPr="00B87C3E">
        <w:rPr>
          <w:rFonts w:ascii="Times New Roman" w:eastAsia="Times New Roman" w:hAnsi="Times New Roman" w:cs="Times New Roman"/>
          <w:lang w:eastAsia="hu-HU"/>
        </w:rPr>
        <w:t xml:space="preserve">A számonkérés módja </w:t>
      </w:r>
      <w:r w:rsidRPr="00B87C3E">
        <w:rPr>
          <w:rFonts w:ascii="Times New Roman" w:eastAsia="Calibri" w:hAnsi="Times New Roman" w:cs="Times New Roman"/>
          <w:b/>
          <w:i/>
        </w:rPr>
        <w:t>Gyakorlati jegy</w:t>
      </w:r>
      <w:r w:rsidRPr="00B87C3E">
        <w:rPr>
          <w:rFonts w:ascii="Times New Roman" w:eastAsia="Calibri" w:hAnsi="Times New Roman" w:cs="Times New Roman"/>
        </w:rPr>
        <w:t xml:space="preserve"> ötfokozatú értékelés</w:t>
      </w:r>
      <w:r w:rsidRPr="00B87C3E">
        <w:rPr>
          <w:rFonts w:ascii="Times New Roman" w:eastAsia="Calibri" w:hAnsi="Times New Roman" w:cs="Times New Roman"/>
          <w:b/>
          <w:sz w:val="23"/>
          <w:szCs w:val="23"/>
        </w:rPr>
        <w:t xml:space="preserve">, </w:t>
      </w:r>
      <w:r w:rsidRPr="00B87C3E">
        <w:rPr>
          <w:rFonts w:ascii="Times New Roman" w:eastAsia="Calibri" w:hAnsi="Times New Roman" w:cs="Times New Roman"/>
          <w:sz w:val="23"/>
          <w:szCs w:val="23"/>
        </w:rPr>
        <w:t>amit</w:t>
      </w:r>
      <w:r w:rsidRPr="00B87C3E">
        <w:rPr>
          <w:rFonts w:ascii="Times New Roman" w:eastAsia="Calibri" w:hAnsi="Times New Roman" w:cs="Times New Roman"/>
          <w:b/>
          <w:sz w:val="23"/>
          <w:szCs w:val="23"/>
        </w:rPr>
        <w:t xml:space="preserve"> </w:t>
      </w:r>
      <w:r w:rsidRPr="00B87C3E">
        <w:rPr>
          <w:rFonts w:ascii="Times New Roman" w:eastAsia="Calibri" w:hAnsi="Times New Roman" w:cs="Times New Roman"/>
          <w:sz w:val="23"/>
          <w:szCs w:val="23"/>
        </w:rPr>
        <w:t>a rajparancsnoki gyakorlati felkészítés parancsnoki minősítése és a szorgalmi időszak végén</w:t>
      </w:r>
      <w:r w:rsidRPr="00B87C3E">
        <w:rPr>
          <w:rFonts w:ascii="Times New Roman" w:eastAsia="Calibri" w:hAnsi="Times New Roman" w:cs="Times New Roman"/>
        </w:rPr>
        <w:t xml:space="preserve"> írt ZH (teszt) átlageredménye adja. </w:t>
      </w:r>
      <w:r w:rsidRPr="00B87C3E">
        <w:rPr>
          <w:rFonts w:ascii="Times New Roman" w:eastAsia="Calibri" w:hAnsi="Times New Roman" w:cs="Times New Roman"/>
          <w:sz w:val="23"/>
          <w:szCs w:val="23"/>
        </w:rPr>
        <w:t>A gyakorlati jegy értékelése szummatív: 0-50% - elégtelen, 51-70% - elégséges, 71-80% - közepe, 81-90% - jó, 91-100% - jeles.</w:t>
      </w:r>
    </w:p>
    <w:p w:rsidR="00B87C3E" w:rsidRPr="00B87C3E" w:rsidRDefault="00B87C3E" w:rsidP="00980876">
      <w:pPr>
        <w:widowControl w:val="0"/>
        <w:numPr>
          <w:ilvl w:val="1"/>
          <w:numId w:val="769"/>
        </w:numPr>
        <w:spacing w:before="120" w:after="120" w:line="240" w:lineRule="auto"/>
        <w:ind w:left="851" w:hanging="574"/>
        <w:jc w:val="both"/>
        <w:rPr>
          <w:rFonts w:ascii="Times New Roman" w:eastAsia="Calibri" w:hAnsi="Times New Roman" w:cs="Times New Roman"/>
        </w:rPr>
      </w:pPr>
      <w:r w:rsidRPr="00B87C3E">
        <w:rPr>
          <w:rFonts w:ascii="Times New Roman" w:eastAsia="Calibri" w:hAnsi="Times New Roman" w:cs="Times New Roman"/>
          <w:b/>
        </w:rPr>
        <w:t>A kreditek megszerzésének feltételei:</w:t>
      </w:r>
      <w:r w:rsidRPr="00B87C3E">
        <w:rPr>
          <w:rFonts w:ascii="Times New Roman" w:eastAsia="Calibri" w:hAnsi="Times New Roman" w:cs="Times New Roman"/>
        </w:rPr>
        <w:t xml:space="preserve"> A kreditek megszerzésének feltétele az aláírás megszerzése és legalább elégséges GYJ.</w:t>
      </w:r>
    </w:p>
    <w:p w:rsidR="00B87C3E" w:rsidRPr="00B87C3E" w:rsidRDefault="00B87C3E" w:rsidP="00980876">
      <w:pPr>
        <w:numPr>
          <w:ilvl w:val="0"/>
          <w:numId w:val="729"/>
        </w:numPr>
        <w:tabs>
          <w:tab w:val="left" w:pos="284"/>
        </w:tabs>
        <w:spacing w:before="120" w:after="0" w:line="240" w:lineRule="auto"/>
        <w:rPr>
          <w:rFonts w:ascii="Times New Roman" w:eastAsia="Calibri" w:hAnsi="Times New Roman" w:cs="Times New Roman"/>
          <w:b/>
        </w:rPr>
      </w:pPr>
      <w:r w:rsidRPr="00B87C3E">
        <w:rPr>
          <w:rFonts w:ascii="Times New Roman" w:eastAsia="Calibri" w:hAnsi="Times New Roman" w:cs="Times New Roman"/>
          <w:b/>
        </w:rPr>
        <w:tab/>
        <w:t>Irodalomjegyzék :</w:t>
      </w:r>
    </w:p>
    <w:p w:rsidR="00B87C3E" w:rsidRPr="00B87C3E" w:rsidRDefault="00B87C3E" w:rsidP="00980876">
      <w:pPr>
        <w:numPr>
          <w:ilvl w:val="1"/>
          <w:numId w:val="729"/>
        </w:numPr>
        <w:tabs>
          <w:tab w:val="clear" w:pos="792"/>
        </w:tabs>
        <w:spacing w:before="120" w:after="0" w:line="240" w:lineRule="auto"/>
        <w:ind w:left="1134" w:hanging="566"/>
        <w:jc w:val="both"/>
        <w:rPr>
          <w:rFonts w:ascii="Times New Roman" w:eastAsia="Times New Roman" w:hAnsi="Times New Roman" w:cs="Times New Roman"/>
          <w:b/>
          <w:lang w:eastAsia="hu-HU"/>
        </w:rPr>
      </w:pPr>
      <w:r w:rsidRPr="00B87C3E">
        <w:rPr>
          <w:rFonts w:ascii="Times New Roman" w:eastAsia="Times New Roman" w:hAnsi="Times New Roman" w:cs="Times New Roman"/>
          <w:b/>
          <w:lang w:eastAsia="hu-HU"/>
        </w:rPr>
        <w:t>Kötelező irodalom:</w:t>
      </w:r>
    </w:p>
    <w:p w:rsidR="00B87C3E" w:rsidRPr="00B87C3E" w:rsidRDefault="00B87C3E" w:rsidP="00980876">
      <w:pPr>
        <w:numPr>
          <w:ilvl w:val="0"/>
          <w:numId w:val="730"/>
        </w:numPr>
        <w:spacing w:before="120" w:after="0" w:line="240" w:lineRule="auto"/>
        <w:ind w:left="1134" w:hanging="357"/>
        <w:contextualSpacing/>
        <w:jc w:val="both"/>
        <w:rPr>
          <w:rFonts w:ascii="Times New Roman" w:eastAsia="Times New Roman" w:hAnsi="Times New Roman" w:cs="Times New Roman"/>
          <w:lang w:eastAsia="hu-HU"/>
        </w:rPr>
      </w:pPr>
      <w:r w:rsidRPr="00B87C3E">
        <w:rPr>
          <w:rFonts w:ascii="Times New Roman" w:eastAsia="Times New Roman" w:hAnsi="Times New Roman" w:cs="Times New Roman"/>
          <w:lang w:eastAsia="hu-HU"/>
        </w:rPr>
        <w:t>Bakos Csaba Attila (2016): A szárazföldi csapatok harcászata. Budapest, NKE, ISBN 9786155680120;</w:t>
      </w:r>
    </w:p>
    <w:p w:rsidR="00B87C3E" w:rsidRPr="00B87C3E" w:rsidRDefault="00B87C3E" w:rsidP="00980876">
      <w:pPr>
        <w:numPr>
          <w:ilvl w:val="0"/>
          <w:numId w:val="730"/>
        </w:numPr>
        <w:spacing w:before="120" w:after="0" w:line="240" w:lineRule="auto"/>
        <w:ind w:left="1134" w:hanging="357"/>
        <w:contextualSpacing/>
        <w:jc w:val="both"/>
        <w:rPr>
          <w:rFonts w:ascii="Times New Roman" w:eastAsia="Times New Roman" w:hAnsi="Times New Roman" w:cs="Times New Roman"/>
          <w:lang w:eastAsia="hu-HU"/>
        </w:rPr>
      </w:pPr>
      <w:r w:rsidRPr="00B87C3E">
        <w:rPr>
          <w:rFonts w:ascii="Times New Roman" w:eastAsia="Times New Roman" w:hAnsi="Times New Roman" w:cs="Times New Roman"/>
          <w:lang w:eastAsia="hu-HU"/>
        </w:rPr>
        <w:t>Magyar Honvédség Összhaderőnemi Doktrina 3. kiadás, Budapest, MH, 2012;</w:t>
      </w:r>
    </w:p>
    <w:p w:rsidR="00B87C3E" w:rsidRPr="00B87C3E" w:rsidRDefault="00B87C3E" w:rsidP="00980876">
      <w:pPr>
        <w:numPr>
          <w:ilvl w:val="0"/>
          <w:numId w:val="730"/>
        </w:numPr>
        <w:spacing w:before="120" w:after="0" w:line="240" w:lineRule="auto"/>
        <w:ind w:left="1134" w:hanging="357"/>
        <w:contextualSpacing/>
        <w:jc w:val="both"/>
        <w:rPr>
          <w:rFonts w:ascii="Times New Roman" w:eastAsia="Times New Roman" w:hAnsi="Times New Roman" w:cs="Times New Roman"/>
          <w:lang w:eastAsia="hu-HU"/>
        </w:rPr>
      </w:pPr>
      <w:r w:rsidRPr="00B87C3E">
        <w:rPr>
          <w:rFonts w:ascii="Times New Roman" w:eastAsia="Times New Roman" w:hAnsi="Times New Roman" w:cs="Times New Roman"/>
          <w:lang w:eastAsia="hu-HU"/>
        </w:rPr>
        <w:t>Magyar Honvédség Szárazföldi Harcszabályzat II. rész, Budapest, MH, 2013;</w:t>
      </w:r>
    </w:p>
    <w:p w:rsidR="00B87C3E" w:rsidRPr="00B87C3E" w:rsidRDefault="00B87C3E" w:rsidP="00980876">
      <w:pPr>
        <w:numPr>
          <w:ilvl w:val="0"/>
          <w:numId w:val="730"/>
        </w:numPr>
        <w:spacing w:before="120" w:after="0" w:line="240" w:lineRule="auto"/>
        <w:ind w:left="1134" w:hanging="357"/>
        <w:contextualSpacing/>
        <w:jc w:val="both"/>
        <w:rPr>
          <w:rFonts w:ascii="Times New Roman" w:eastAsia="Times New Roman" w:hAnsi="Times New Roman" w:cs="Times New Roman"/>
          <w:lang w:eastAsia="hu-HU"/>
        </w:rPr>
      </w:pPr>
      <w:r w:rsidRPr="00B87C3E">
        <w:rPr>
          <w:rFonts w:ascii="Times New Roman" w:eastAsia="Times New Roman" w:hAnsi="Times New Roman" w:cs="Times New Roman"/>
          <w:lang w:eastAsia="hu-HU"/>
        </w:rPr>
        <w:t>Egységes Lövészeti Szakutasítás (a gyalogsági-, a harcjármű-, a harckocsi fegyverekhez, valamint a támogató szakasz aknavető és páncéltörő fegyvereihez). A Honvédelmi Minisztérium Hadműveleti és Kiképzési Főosztály kiadványa. Bp., 2010. (Nyt.sz.: 4/312).</w:t>
      </w:r>
    </w:p>
    <w:p w:rsidR="00B87C3E" w:rsidRPr="00B87C3E" w:rsidRDefault="00B87C3E" w:rsidP="00980876">
      <w:pPr>
        <w:numPr>
          <w:ilvl w:val="0"/>
          <w:numId w:val="730"/>
        </w:numPr>
        <w:spacing w:before="120" w:after="0" w:line="240" w:lineRule="auto"/>
        <w:ind w:left="1134" w:hanging="357"/>
        <w:contextualSpacing/>
        <w:jc w:val="both"/>
        <w:rPr>
          <w:rFonts w:ascii="Times New Roman" w:eastAsia="Times New Roman" w:hAnsi="Times New Roman" w:cs="Times New Roman"/>
          <w:lang w:eastAsia="hu-HU"/>
        </w:rPr>
      </w:pPr>
      <w:r w:rsidRPr="00B87C3E">
        <w:rPr>
          <w:rFonts w:ascii="Times New Roman" w:eastAsia="Times New Roman" w:hAnsi="Times New Roman" w:cs="Times New Roman"/>
          <w:lang w:eastAsia="hu-HU"/>
        </w:rPr>
        <w:t>Az Általános Katonai Kiképzés Kézikönyve. I. kötet. A Honvédelmi Minisztérium Hadműveleti és Kiképzési Főosztály Kiadványa. Bp., 2008. (Nyt.sz.: 4/244.). </w:t>
      </w:r>
    </w:p>
    <w:p w:rsidR="00B87C3E" w:rsidRPr="00B87C3E" w:rsidRDefault="00B87C3E" w:rsidP="00980876">
      <w:pPr>
        <w:numPr>
          <w:ilvl w:val="1"/>
          <w:numId w:val="729"/>
        </w:numPr>
        <w:tabs>
          <w:tab w:val="clear" w:pos="792"/>
        </w:tabs>
        <w:spacing w:before="120" w:after="0" w:line="240" w:lineRule="auto"/>
        <w:ind w:left="1134" w:hanging="566"/>
        <w:jc w:val="both"/>
        <w:rPr>
          <w:rFonts w:ascii="Times New Roman" w:eastAsia="Times New Roman" w:hAnsi="Times New Roman" w:cs="Times New Roman"/>
          <w:lang w:eastAsia="hu-HU"/>
        </w:rPr>
      </w:pPr>
      <w:r w:rsidRPr="00B87C3E">
        <w:rPr>
          <w:rFonts w:ascii="Times New Roman" w:eastAsia="Times New Roman" w:hAnsi="Times New Roman" w:cs="Times New Roman"/>
          <w:b/>
          <w:lang w:eastAsia="hu-HU"/>
        </w:rPr>
        <w:t>Ajánlott irodalom</w:t>
      </w:r>
      <w:r w:rsidRPr="00B87C3E">
        <w:rPr>
          <w:rFonts w:ascii="Times New Roman" w:eastAsia="Times New Roman" w:hAnsi="Times New Roman" w:cs="Times New Roman"/>
          <w:lang w:eastAsia="hu-HU"/>
        </w:rPr>
        <w:t xml:space="preserve">: </w:t>
      </w:r>
    </w:p>
    <w:p w:rsidR="00B87C3E" w:rsidRPr="00B87C3E" w:rsidRDefault="00B87C3E" w:rsidP="00980876">
      <w:pPr>
        <w:numPr>
          <w:ilvl w:val="0"/>
          <w:numId w:val="731"/>
        </w:numPr>
        <w:spacing w:before="120" w:after="0" w:line="240" w:lineRule="auto"/>
        <w:ind w:left="1134" w:hanging="357"/>
        <w:contextualSpacing/>
        <w:jc w:val="both"/>
        <w:rPr>
          <w:rFonts w:ascii="Times New Roman" w:eastAsia="Times New Roman" w:hAnsi="Times New Roman" w:cs="Times New Roman"/>
          <w:lang w:eastAsia="hu-HU"/>
        </w:rPr>
      </w:pPr>
      <w:r w:rsidRPr="00B87C3E">
        <w:rPr>
          <w:rFonts w:ascii="Times New Roman" w:eastAsia="Times New Roman" w:hAnsi="Times New Roman" w:cs="Times New Roman"/>
          <w:lang w:eastAsia="hu-HU"/>
        </w:rPr>
        <w:t>Allied Land Tactics  – ATP-3.2.1 NATO Standardization Agency, 2009;</w:t>
      </w:r>
    </w:p>
    <w:p w:rsidR="00B87C3E" w:rsidRPr="00B87C3E" w:rsidRDefault="00B87C3E" w:rsidP="00980876">
      <w:pPr>
        <w:numPr>
          <w:ilvl w:val="0"/>
          <w:numId w:val="731"/>
        </w:numPr>
        <w:spacing w:before="120" w:after="0" w:line="240" w:lineRule="auto"/>
        <w:ind w:left="1134" w:hanging="357"/>
        <w:contextualSpacing/>
        <w:jc w:val="both"/>
        <w:rPr>
          <w:rFonts w:ascii="Times New Roman" w:eastAsia="Times New Roman" w:hAnsi="Times New Roman" w:cs="Times New Roman"/>
          <w:lang w:eastAsia="hu-HU"/>
        </w:rPr>
      </w:pPr>
      <w:r w:rsidRPr="00B87C3E">
        <w:rPr>
          <w:rFonts w:ascii="Times New Roman" w:eastAsia="Times New Roman" w:hAnsi="Times New Roman" w:cs="Times New Roman"/>
          <w:lang w:eastAsia="hu-HU"/>
        </w:rPr>
        <w:t>Command and Control of Allied Land Forces– ATP-3.2.2 NATO Standardization Agency, 2009.</w:t>
      </w:r>
    </w:p>
    <w:p w:rsidR="00B87C3E" w:rsidRPr="00B87C3E" w:rsidRDefault="00B87C3E" w:rsidP="00B87C3E">
      <w:pPr>
        <w:spacing w:after="60"/>
        <w:rPr>
          <w:rFonts w:ascii="Times New Roman" w:eastAsia="Calibri" w:hAnsi="Times New Roman" w:cs="Times New Roman"/>
          <w:color w:val="000000"/>
        </w:rPr>
      </w:pPr>
    </w:p>
    <w:p w:rsidR="00B87C3E" w:rsidRPr="00B87C3E" w:rsidRDefault="00B87C3E" w:rsidP="00B87C3E">
      <w:pPr>
        <w:spacing w:after="60"/>
        <w:ind w:firstLine="708"/>
        <w:rPr>
          <w:rFonts w:ascii="Times New Roman" w:eastAsia="Calibri" w:hAnsi="Times New Roman" w:cs="Times New Roman"/>
          <w:color w:val="000000"/>
        </w:rPr>
      </w:pPr>
      <w:r w:rsidRPr="00B87C3E">
        <w:rPr>
          <w:rFonts w:ascii="Times New Roman" w:eastAsia="Calibri" w:hAnsi="Times New Roman" w:cs="Times New Roman"/>
          <w:color w:val="000000"/>
        </w:rPr>
        <w:t>Budapest, 2020. március 31.</w:t>
      </w:r>
    </w:p>
    <w:p w:rsidR="00B87C3E" w:rsidRPr="00B87C3E" w:rsidRDefault="00B87C3E" w:rsidP="00B87C3E">
      <w:pPr>
        <w:widowControl w:val="0"/>
        <w:tabs>
          <w:tab w:val="center" w:pos="6237"/>
        </w:tabs>
        <w:spacing w:after="0" w:line="240" w:lineRule="auto"/>
        <w:ind w:left="4820"/>
        <w:jc w:val="center"/>
        <w:rPr>
          <w:rFonts w:ascii="Times New Roman" w:eastAsia="Calibri" w:hAnsi="Times New Roman" w:cs="Times New Roman"/>
          <w:color w:val="000000"/>
        </w:rPr>
      </w:pPr>
    </w:p>
    <w:p w:rsidR="00B87C3E" w:rsidRPr="00B87C3E" w:rsidRDefault="00B87C3E" w:rsidP="00B87C3E">
      <w:pPr>
        <w:widowControl w:val="0"/>
        <w:tabs>
          <w:tab w:val="center" w:pos="6237"/>
        </w:tabs>
        <w:spacing w:after="0" w:line="240" w:lineRule="auto"/>
        <w:ind w:left="4111"/>
        <w:jc w:val="center"/>
        <w:rPr>
          <w:rFonts w:ascii="Times New Roman" w:eastAsia="Calibri" w:hAnsi="Times New Roman" w:cs="Times New Roman"/>
          <w:b/>
          <w:color w:val="000000"/>
        </w:rPr>
      </w:pPr>
      <w:r w:rsidRPr="00B87C3E">
        <w:rPr>
          <w:rFonts w:ascii="Times New Roman" w:eastAsia="Calibri" w:hAnsi="Times New Roman" w:cs="Times New Roman"/>
          <w:b/>
          <w:color w:val="000000"/>
        </w:rPr>
        <w:t>Dr. Komjáthy Lajos, PhD sk.</w:t>
      </w:r>
    </w:p>
    <w:p w:rsidR="00B87C3E" w:rsidRPr="00B87C3E" w:rsidRDefault="00B87C3E" w:rsidP="00B87C3E">
      <w:pPr>
        <w:ind w:left="4111"/>
        <w:jc w:val="center"/>
        <w:rPr>
          <w:rFonts w:ascii="Calibri" w:eastAsia="Calibri" w:hAnsi="Calibri" w:cs="Times New Roman"/>
        </w:rPr>
      </w:pPr>
      <w:r w:rsidRPr="00B87C3E">
        <w:rPr>
          <w:rFonts w:ascii="Times New Roman" w:eastAsia="Calibri" w:hAnsi="Times New Roman" w:cs="Times New Roman"/>
          <w:color w:val="000000"/>
        </w:rPr>
        <w:t>egyetemi adjunktus</w:t>
      </w:r>
    </w:p>
    <w:p w:rsidR="006C203D" w:rsidRDefault="006C203D" w:rsidP="00BB5098">
      <w:pPr>
        <w:spacing w:after="200" w:line="276" w:lineRule="auto"/>
        <w:ind w:left="4820"/>
        <w:jc w:val="center"/>
        <w:rPr>
          <w:rFonts w:ascii="Times New Roman" w:hAnsi="Times New Roman" w:cs="Times New Roman"/>
          <w:sz w:val="24"/>
        </w:rPr>
      </w:pPr>
      <w:r>
        <w:rPr>
          <w:rFonts w:ascii="Times New Roman" w:hAnsi="Times New Roman" w:cs="Times New Roman"/>
          <w:sz w:val="24"/>
        </w:rPr>
        <w:br w:type="page"/>
      </w:r>
    </w:p>
    <w:tbl>
      <w:tblPr>
        <w:tblW w:w="9072" w:type="dxa"/>
        <w:tblInd w:w="113" w:type="dxa"/>
        <w:tblLook w:val="01E0" w:firstRow="1" w:lastRow="1" w:firstColumn="1" w:lastColumn="1" w:noHBand="0" w:noVBand="0"/>
      </w:tblPr>
      <w:tblGrid>
        <w:gridCol w:w="4855"/>
        <w:gridCol w:w="1620"/>
        <w:gridCol w:w="2597"/>
      </w:tblGrid>
      <w:tr w:rsidR="00A1178A" w:rsidRPr="00A1178A" w:rsidTr="004B298F">
        <w:tc>
          <w:tcPr>
            <w:tcW w:w="4855" w:type="dxa"/>
            <w:tcBorders>
              <w:bottom w:val="single" w:sz="4" w:space="0" w:color="auto"/>
            </w:tcBorders>
          </w:tcPr>
          <w:p w:rsidR="00A1178A" w:rsidRPr="00A1178A" w:rsidRDefault="00A1178A" w:rsidP="00A1178A">
            <w:pPr>
              <w:spacing w:after="0" w:line="240" w:lineRule="auto"/>
              <w:jc w:val="center"/>
              <w:rPr>
                <w:rFonts w:ascii="Times New Roman" w:eastAsia="Times New Roman" w:hAnsi="Times New Roman" w:cs="Times New Roman"/>
                <w:b/>
                <w:smallCaps/>
                <w:lang w:eastAsia="hu-HU"/>
              </w:rPr>
            </w:pPr>
            <w:r w:rsidRPr="00A1178A">
              <w:rPr>
                <w:rFonts w:ascii="Times New Roman" w:eastAsia="Times New Roman" w:hAnsi="Times New Roman" w:cs="Times New Roman"/>
                <w:b/>
                <w:smallCaps/>
                <w:lang w:eastAsia="hu-HU"/>
              </w:rPr>
              <w:lastRenderedPageBreak/>
              <w:t>Nemzeti Közszolgálati Egyetem</w:t>
            </w:r>
          </w:p>
        </w:tc>
        <w:tc>
          <w:tcPr>
            <w:tcW w:w="1620" w:type="dxa"/>
          </w:tcPr>
          <w:p w:rsidR="00A1178A" w:rsidRPr="00A1178A" w:rsidRDefault="00A1178A" w:rsidP="00A1178A">
            <w:pPr>
              <w:spacing w:after="0" w:line="240" w:lineRule="auto"/>
              <w:jc w:val="both"/>
              <w:rPr>
                <w:rFonts w:ascii="Times New Roman" w:eastAsia="Times New Roman" w:hAnsi="Times New Roman" w:cs="Times New Roman"/>
                <w:lang w:eastAsia="hu-HU"/>
              </w:rPr>
            </w:pPr>
          </w:p>
        </w:tc>
        <w:tc>
          <w:tcPr>
            <w:tcW w:w="2597" w:type="dxa"/>
          </w:tcPr>
          <w:p w:rsidR="00A1178A" w:rsidRPr="00A1178A" w:rsidRDefault="00A1178A" w:rsidP="00A1178A">
            <w:pPr>
              <w:spacing w:after="0" w:line="240" w:lineRule="auto"/>
              <w:jc w:val="right"/>
              <w:rPr>
                <w:rFonts w:ascii="Times New Roman" w:eastAsia="Times New Roman" w:hAnsi="Times New Roman" w:cs="Times New Roman"/>
                <w:lang w:eastAsia="hu-HU"/>
              </w:rPr>
            </w:pPr>
          </w:p>
        </w:tc>
      </w:tr>
      <w:tr w:rsidR="00A1178A" w:rsidRPr="00A1178A" w:rsidTr="004B298F">
        <w:trPr>
          <w:trHeight w:val="314"/>
        </w:trPr>
        <w:tc>
          <w:tcPr>
            <w:tcW w:w="4855" w:type="dxa"/>
            <w:tcBorders>
              <w:top w:val="single" w:sz="4" w:space="0" w:color="auto"/>
            </w:tcBorders>
          </w:tcPr>
          <w:p w:rsidR="00A1178A" w:rsidRPr="00A1178A" w:rsidRDefault="00A1178A" w:rsidP="00A1178A">
            <w:pPr>
              <w:spacing w:after="0" w:line="240" w:lineRule="auto"/>
              <w:jc w:val="center"/>
              <w:rPr>
                <w:rFonts w:ascii="Times New Roman" w:eastAsia="Times New Roman" w:hAnsi="Times New Roman" w:cs="Times New Roman"/>
                <w:b/>
                <w:lang w:eastAsia="hu-HU"/>
              </w:rPr>
            </w:pPr>
            <w:r w:rsidRPr="00A1178A">
              <w:rPr>
                <w:rFonts w:ascii="Times New Roman" w:eastAsia="Times New Roman" w:hAnsi="Times New Roman" w:cs="Times New Roman"/>
                <w:b/>
                <w:lang w:eastAsia="hu-HU"/>
              </w:rPr>
              <w:t>Államtudományi és Nemzetközi Tanulmányok Kar</w:t>
            </w:r>
          </w:p>
        </w:tc>
        <w:tc>
          <w:tcPr>
            <w:tcW w:w="1620" w:type="dxa"/>
          </w:tcPr>
          <w:p w:rsidR="00A1178A" w:rsidRPr="00A1178A" w:rsidRDefault="00A1178A" w:rsidP="00A1178A">
            <w:pPr>
              <w:spacing w:after="0" w:line="240" w:lineRule="auto"/>
              <w:jc w:val="both"/>
              <w:rPr>
                <w:rFonts w:ascii="Times New Roman" w:eastAsia="Times New Roman" w:hAnsi="Times New Roman" w:cs="Times New Roman"/>
                <w:lang w:eastAsia="hu-HU"/>
              </w:rPr>
            </w:pPr>
          </w:p>
        </w:tc>
        <w:tc>
          <w:tcPr>
            <w:tcW w:w="2597" w:type="dxa"/>
          </w:tcPr>
          <w:p w:rsidR="00A1178A" w:rsidRPr="00A1178A" w:rsidRDefault="00A1178A" w:rsidP="00A1178A">
            <w:pPr>
              <w:spacing w:after="0" w:line="240" w:lineRule="auto"/>
              <w:jc w:val="both"/>
              <w:rPr>
                <w:rFonts w:ascii="Times New Roman" w:eastAsia="Times New Roman" w:hAnsi="Times New Roman" w:cs="Times New Roman"/>
                <w:lang w:eastAsia="hu-HU"/>
              </w:rPr>
            </w:pPr>
          </w:p>
        </w:tc>
      </w:tr>
    </w:tbl>
    <w:p w:rsidR="00A1178A" w:rsidRPr="00A1178A" w:rsidRDefault="00A1178A" w:rsidP="00A1178A">
      <w:pPr>
        <w:widowControl w:val="0"/>
        <w:spacing w:before="120" w:after="120" w:line="240" w:lineRule="auto"/>
        <w:ind w:left="426" w:hanging="142"/>
        <w:jc w:val="center"/>
        <w:rPr>
          <w:rFonts w:ascii="Times New Roman" w:eastAsia="Times New Roman" w:hAnsi="Times New Roman" w:cs="Times New Roman"/>
          <w:b/>
          <w:bCs/>
        </w:rPr>
      </w:pPr>
    </w:p>
    <w:p w:rsidR="00A1178A" w:rsidRPr="00A1178A" w:rsidRDefault="00A1178A" w:rsidP="00A1178A">
      <w:pPr>
        <w:widowControl w:val="0"/>
        <w:spacing w:before="120" w:after="120" w:line="240" w:lineRule="auto"/>
        <w:ind w:left="426" w:hanging="142"/>
        <w:jc w:val="center"/>
        <w:rPr>
          <w:rFonts w:ascii="Times New Roman" w:eastAsia="Times New Roman" w:hAnsi="Times New Roman" w:cs="Times New Roman"/>
          <w:b/>
          <w:bCs/>
        </w:rPr>
      </w:pPr>
      <w:r w:rsidRPr="00A1178A">
        <w:rPr>
          <w:rFonts w:ascii="Times New Roman" w:eastAsia="Times New Roman" w:hAnsi="Times New Roman" w:cs="Times New Roman"/>
          <w:b/>
          <w:bCs/>
        </w:rPr>
        <w:t>TANTÁRGYI PROGRAM</w:t>
      </w:r>
    </w:p>
    <w:p w:rsidR="00A1178A" w:rsidRPr="00A1178A" w:rsidRDefault="00A1178A" w:rsidP="00980876">
      <w:pPr>
        <w:widowControl w:val="0"/>
        <w:numPr>
          <w:ilvl w:val="0"/>
          <w:numId w:val="817"/>
        </w:numPr>
        <w:spacing w:before="120" w:after="120" w:line="240" w:lineRule="auto"/>
        <w:ind w:left="720"/>
        <w:jc w:val="both"/>
        <w:rPr>
          <w:rFonts w:ascii="Times New Roman" w:eastAsia="Times New Roman" w:hAnsi="Times New Roman" w:cs="Times New Roman"/>
          <w:b/>
          <w:bCs/>
        </w:rPr>
      </w:pPr>
      <w:r w:rsidRPr="00A1178A">
        <w:rPr>
          <w:rFonts w:ascii="Times New Roman" w:eastAsia="Times New Roman" w:hAnsi="Times New Roman" w:cs="Times New Roman"/>
          <w:b/>
          <w:bCs/>
        </w:rPr>
        <w:t xml:space="preserve">A tantárgy kódja: </w:t>
      </w:r>
      <w:r w:rsidRPr="00A1178A">
        <w:rPr>
          <w:rFonts w:ascii="Times New Roman" w:eastAsia="Times New Roman" w:hAnsi="Times New Roman" w:cs="Times New Roman"/>
          <w:bCs/>
        </w:rPr>
        <w:t>ÁKKTB02</w:t>
      </w:r>
    </w:p>
    <w:p w:rsidR="00A1178A" w:rsidRPr="00A1178A" w:rsidRDefault="00A1178A" w:rsidP="00980876">
      <w:pPr>
        <w:widowControl w:val="0"/>
        <w:numPr>
          <w:ilvl w:val="0"/>
          <w:numId w:val="817"/>
        </w:numPr>
        <w:spacing w:before="120" w:after="120" w:line="240" w:lineRule="auto"/>
        <w:ind w:left="720"/>
        <w:jc w:val="both"/>
        <w:rPr>
          <w:rFonts w:ascii="Times New Roman" w:eastAsia="Times New Roman" w:hAnsi="Times New Roman" w:cs="Times New Roman"/>
          <w:bCs/>
        </w:rPr>
      </w:pPr>
      <w:r w:rsidRPr="00A1178A">
        <w:rPr>
          <w:rFonts w:ascii="Times New Roman" w:eastAsia="Times New Roman" w:hAnsi="Times New Roman" w:cs="Times New Roman"/>
          <w:b/>
          <w:bCs/>
        </w:rPr>
        <w:t>A tantárgy megnevezése (magyarul):</w:t>
      </w:r>
      <w:r w:rsidRPr="00A1178A">
        <w:rPr>
          <w:rFonts w:ascii="Times New Roman" w:eastAsia="Times New Roman" w:hAnsi="Times New Roman" w:cs="Times New Roman"/>
          <w:bCs/>
        </w:rPr>
        <w:t xml:space="preserve"> Anthologia Philosophico- Politica (Fejezetek a politikai gondolkodás történetéből)</w:t>
      </w:r>
    </w:p>
    <w:p w:rsidR="00A1178A" w:rsidRPr="00A1178A" w:rsidRDefault="00A1178A" w:rsidP="00980876">
      <w:pPr>
        <w:widowControl w:val="0"/>
        <w:numPr>
          <w:ilvl w:val="0"/>
          <w:numId w:val="817"/>
        </w:numPr>
        <w:spacing w:before="120" w:after="120" w:line="240" w:lineRule="auto"/>
        <w:ind w:left="720"/>
        <w:jc w:val="both"/>
        <w:rPr>
          <w:rFonts w:ascii="Times New Roman" w:eastAsia="Times New Roman" w:hAnsi="Times New Roman" w:cs="Times New Roman"/>
          <w:bCs/>
          <w:lang w:val="en-GB"/>
        </w:rPr>
      </w:pPr>
      <w:r w:rsidRPr="00A1178A">
        <w:rPr>
          <w:rFonts w:ascii="Times New Roman" w:eastAsia="Times New Roman" w:hAnsi="Times New Roman" w:cs="Times New Roman"/>
          <w:b/>
          <w:bCs/>
        </w:rPr>
        <w:t>A tantárgy megnevezése (angolul):</w:t>
      </w:r>
      <w:r w:rsidRPr="00A1178A">
        <w:rPr>
          <w:rFonts w:ascii="Times New Roman" w:eastAsia="Times New Roman" w:hAnsi="Times New Roman" w:cs="Times New Roman"/>
          <w:bCs/>
        </w:rPr>
        <w:t xml:space="preserve"> Anthologia Philosophico- Politica (</w:t>
      </w:r>
      <w:r w:rsidRPr="00A1178A">
        <w:rPr>
          <w:rFonts w:ascii="Times New Roman" w:eastAsia="Times New Roman" w:hAnsi="Times New Roman" w:cs="Times New Roman"/>
          <w:bCs/>
          <w:lang w:val="en-GB"/>
        </w:rPr>
        <w:t>Introduction to the History of Political Thought)</w:t>
      </w:r>
    </w:p>
    <w:p w:rsidR="00A1178A" w:rsidRPr="00A1178A" w:rsidRDefault="00A1178A" w:rsidP="00980876">
      <w:pPr>
        <w:widowControl w:val="0"/>
        <w:numPr>
          <w:ilvl w:val="0"/>
          <w:numId w:val="817"/>
        </w:numPr>
        <w:spacing w:before="120" w:after="120" w:line="240" w:lineRule="auto"/>
        <w:ind w:left="426" w:hanging="142"/>
        <w:jc w:val="both"/>
        <w:rPr>
          <w:rFonts w:ascii="Times New Roman" w:eastAsia="Times New Roman" w:hAnsi="Times New Roman" w:cs="Times New Roman"/>
          <w:b/>
          <w:bCs/>
        </w:rPr>
      </w:pPr>
      <w:r w:rsidRPr="00A1178A">
        <w:rPr>
          <w:rFonts w:ascii="Times New Roman" w:eastAsia="Times New Roman" w:hAnsi="Times New Roman" w:cs="Times New Roman"/>
          <w:b/>
          <w:bCs/>
        </w:rPr>
        <w:t xml:space="preserve">Kreditérték és képzési karakter: </w:t>
      </w:r>
    </w:p>
    <w:p w:rsidR="00A1178A" w:rsidRPr="00A1178A" w:rsidRDefault="00A1178A" w:rsidP="00980876">
      <w:pPr>
        <w:widowControl w:val="0"/>
        <w:numPr>
          <w:ilvl w:val="1"/>
          <w:numId w:val="817"/>
        </w:numPr>
        <w:spacing w:before="120" w:after="120" w:line="240" w:lineRule="auto"/>
        <w:ind w:left="993" w:hanging="426"/>
        <w:contextualSpacing/>
        <w:jc w:val="both"/>
        <w:rPr>
          <w:rFonts w:ascii="Times New Roman" w:eastAsia="Times New Roman" w:hAnsi="Times New Roman" w:cs="Times New Roman"/>
          <w:b/>
          <w:bCs/>
        </w:rPr>
      </w:pPr>
      <w:r w:rsidRPr="00A1178A">
        <w:rPr>
          <w:rFonts w:ascii="Times New Roman" w:eastAsia="Times New Roman" w:hAnsi="Times New Roman" w:cs="Times New Roman"/>
          <w:bCs/>
        </w:rPr>
        <w:t>2 kredit</w:t>
      </w:r>
    </w:p>
    <w:p w:rsidR="00A1178A" w:rsidRPr="00A1178A" w:rsidRDefault="00A1178A" w:rsidP="00980876">
      <w:pPr>
        <w:widowControl w:val="0"/>
        <w:numPr>
          <w:ilvl w:val="1"/>
          <w:numId w:val="817"/>
        </w:numPr>
        <w:spacing w:before="120" w:after="120" w:line="240" w:lineRule="auto"/>
        <w:ind w:left="993" w:hanging="426"/>
        <w:contextualSpacing/>
        <w:jc w:val="both"/>
        <w:rPr>
          <w:rFonts w:ascii="Times New Roman" w:eastAsia="Times New Roman" w:hAnsi="Times New Roman" w:cs="Times New Roman"/>
          <w:b/>
          <w:bCs/>
        </w:rPr>
      </w:pPr>
      <w:r w:rsidRPr="00A1178A">
        <w:rPr>
          <w:rFonts w:ascii="Times New Roman" w:eastAsia="Times New Roman" w:hAnsi="Times New Roman" w:cs="Times New Roman"/>
          <w:bCs/>
        </w:rPr>
        <w:t>a tantárgy elméleti vagy gyakorlati jellegének mértéke: 100</w:t>
      </w:r>
      <w:r w:rsidRPr="00A1178A">
        <w:rPr>
          <w:rFonts w:ascii="Times New Roman" w:eastAsia="Times New Roman" w:hAnsi="Times New Roman" w:cs="Times New Roman"/>
          <w:b/>
          <w:bCs/>
        </w:rPr>
        <w:t xml:space="preserve"> </w:t>
      </w:r>
      <w:r w:rsidRPr="00A1178A">
        <w:rPr>
          <w:rFonts w:ascii="Times New Roman" w:eastAsia="Times New Roman" w:hAnsi="Times New Roman" w:cs="Times New Roman"/>
          <w:bCs/>
        </w:rPr>
        <w:t>% gyakorlat, 0 % elmélet</w:t>
      </w:r>
    </w:p>
    <w:p w:rsidR="00A1178A" w:rsidRPr="00A1178A" w:rsidRDefault="00A1178A" w:rsidP="00980876">
      <w:pPr>
        <w:widowControl w:val="0"/>
        <w:numPr>
          <w:ilvl w:val="0"/>
          <w:numId w:val="817"/>
        </w:numPr>
        <w:spacing w:before="120" w:after="120" w:line="240" w:lineRule="auto"/>
        <w:ind w:left="426" w:hanging="142"/>
        <w:jc w:val="both"/>
        <w:rPr>
          <w:rFonts w:ascii="Times New Roman" w:eastAsia="Times New Roman" w:hAnsi="Times New Roman" w:cs="Times New Roman"/>
          <w:bCs/>
        </w:rPr>
      </w:pPr>
      <w:r w:rsidRPr="00A1178A">
        <w:rPr>
          <w:rFonts w:ascii="Times New Roman" w:eastAsia="Times New Roman" w:hAnsi="Times New Roman" w:cs="Times New Roman"/>
          <w:b/>
          <w:bCs/>
        </w:rPr>
        <w:t>A szak(ok), szakirányok/specializációk megnevezése (ahol oktatják):</w:t>
      </w:r>
      <w:r w:rsidRPr="00A1178A">
        <w:rPr>
          <w:rFonts w:ascii="Times New Roman" w:eastAsia="Times New Roman" w:hAnsi="Times New Roman" w:cs="Times New Roman"/>
          <w:bCs/>
        </w:rPr>
        <w:t xml:space="preserve"> A Nemzeti Közszolgálati Egyetem szakjai </w:t>
      </w:r>
    </w:p>
    <w:p w:rsidR="00A1178A" w:rsidRPr="00A1178A" w:rsidRDefault="00A1178A" w:rsidP="00980876">
      <w:pPr>
        <w:widowControl w:val="0"/>
        <w:numPr>
          <w:ilvl w:val="0"/>
          <w:numId w:val="817"/>
        </w:numPr>
        <w:spacing w:before="120" w:after="120" w:line="240" w:lineRule="auto"/>
        <w:jc w:val="both"/>
        <w:rPr>
          <w:rFonts w:ascii="Times New Roman" w:eastAsia="Times New Roman" w:hAnsi="Times New Roman" w:cs="Times New Roman"/>
          <w:bCs/>
        </w:rPr>
      </w:pPr>
      <w:r w:rsidRPr="00A1178A">
        <w:rPr>
          <w:rFonts w:ascii="Times New Roman" w:eastAsia="Times New Roman" w:hAnsi="Times New Roman" w:cs="Times New Roman"/>
          <w:b/>
          <w:bCs/>
        </w:rPr>
        <w:t xml:space="preserve">Az oktatásért felelős oktatási szervezeti egység megnevezése: </w:t>
      </w:r>
      <w:r w:rsidRPr="00A1178A">
        <w:rPr>
          <w:rFonts w:ascii="Times New Roman" w:eastAsia="Times New Roman" w:hAnsi="Times New Roman" w:cs="Times New Roman"/>
          <w:bCs/>
        </w:rPr>
        <w:t>Nemzeti Közszolgálati Egyetem Eötvös József Kutatóközpont, Politika- és Államelméleti Kutatóintézet</w:t>
      </w:r>
    </w:p>
    <w:p w:rsidR="00A1178A" w:rsidRPr="00A1178A" w:rsidRDefault="00A1178A" w:rsidP="00980876">
      <w:pPr>
        <w:widowControl w:val="0"/>
        <w:numPr>
          <w:ilvl w:val="0"/>
          <w:numId w:val="817"/>
        </w:numPr>
        <w:spacing w:before="120" w:after="120" w:line="240" w:lineRule="auto"/>
        <w:jc w:val="both"/>
        <w:rPr>
          <w:rFonts w:ascii="Times New Roman" w:eastAsia="Times New Roman" w:hAnsi="Times New Roman" w:cs="Times New Roman"/>
          <w:bCs/>
        </w:rPr>
      </w:pPr>
      <w:r w:rsidRPr="00A1178A">
        <w:rPr>
          <w:rFonts w:ascii="Times New Roman" w:eastAsia="Times New Roman" w:hAnsi="Times New Roman" w:cs="Times New Roman"/>
          <w:b/>
          <w:bCs/>
        </w:rPr>
        <w:t>A tantárgyfelelős oktató neve, beosztása, tudományos fokozata:</w:t>
      </w:r>
      <w:r w:rsidRPr="00A1178A">
        <w:rPr>
          <w:rFonts w:ascii="Times New Roman" w:eastAsia="Times New Roman" w:hAnsi="Times New Roman" w:cs="Times New Roman"/>
          <w:bCs/>
        </w:rPr>
        <w:t xml:space="preserve"> Dr. Hörcher Ferenc DsC., egyetemi tanár</w:t>
      </w:r>
    </w:p>
    <w:p w:rsidR="00A1178A" w:rsidRPr="00A1178A" w:rsidRDefault="00A1178A" w:rsidP="00980876">
      <w:pPr>
        <w:widowControl w:val="0"/>
        <w:numPr>
          <w:ilvl w:val="0"/>
          <w:numId w:val="817"/>
        </w:numPr>
        <w:spacing w:before="120" w:after="120" w:line="240" w:lineRule="auto"/>
        <w:ind w:left="426" w:hanging="142"/>
        <w:jc w:val="both"/>
        <w:rPr>
          <w:rFonts w:ascii="Times New Roman" w:eastAsia="Times New Roman" w:hAnsi="Times New Roman" w:cs="Times New Roman"/>
          <w:bCs/>
        </w:rPr>
      </w:pPr>
      <w:r w:rsidRPr="00A1178A">
        <w:rPr>
          <w:rFonts w:ascii="Times New Roman" w:eastAsia="Times New Roman" w:hAnsi="Times New Roman" w:cs="Times New Roman"/>
          <w:b/>
          <w:bCs/>
        </w:rPr>
        <w:t>A tanórák száma és típusa</w:t>
      </w:r>
    </w:p>
    <w:p w:rsidR="00A1178A" w:rsidRPr="00A1178A" w:rsidRDefault="00A1178A" w:rsidP="00980876">
      <w:pPr>
        <w:widowControl w:val="0"/>
        <w:numPr>
          <w:ilvl w:val="1"/>
          <w:numId w:val="817"/>
        </w:numPr>
        <w:spacing w:before="120" w:after="120" w:line="240" w:lineRule="auto"/>
        <w:ind w:left="851" w:hanging="425"/>
        <w:jc w:val="both"/>
        <w:rPr>
          <w:rFonts w:ascii="Times New Roman" w:eastAsia="Times New Roman" w:hAnsi="Times New Roman" w:cs="Times New Roman"/>
          <w:bCs/>
        </w:rPr>
      </w:pPr>
      <w:r w:rsidRPr="00A1178A">
        <w:rPr>
          <w:rFonts w:ascii="Times New Roman" w:eastAsia="Times New Roman" w:hAnsi="Times New Roman" w:cs="Times New Roman"/>
          <w:bCs/>
        </w:rPr>
        <w:t xml:space="preserve">össz óraszám/félév: </w:t>
      </w:r>
    </w:p>
    <w:p w:rsidR="00A1178A" w:rsidRPr="00A1178A" w:rsidRDefault="00A1178A" w:rsidP="00980876">
      <w:pPr>
        <w:widowControl w:val="0"/>
        <w:numPr>
          <w:ilvl w:val="2"/>
          <w:numId w:val="817"/>
        </w:numPr>
        <w:spacing w:before="120" w:after="120" w:line="240" w:lineRule="auto"/>
        <w:ind w:left="851" w:hanging="425"/>
        <w:jc w:val="both"/>
        <w:rPr>
          <w:rFonts w:ascii="Times New Roman" w:eastAsia="Times New Roman" w:hAnsi="Times New Roman" w:cs="Times New Roman"/>
          <w:bCs/>
        </w:rPr>
      </w:pPr>
      <w:r w:rsidRPr="00A1178A">
        <w:rPr>
          <w:rFonts w:ascii="Times New Roman" w:eastAsia="Times New Roman" w:hAnsi="Times New Roman" w:cs="Times New Roman"/>
          <w:bCs/>
        </w:rPr>
        <w:t>nappali munkarend: 28 (0 EA + … SZ + 28 GY)</w:t>
      </w:r>
    </w:p>
    <w:p w:rsidR="00A1178A" w:rsidRPr="00A1178A" w:rsidRDefault="00A1178A" w:rsidP="00980876">
      <w:pPr>
        <w:widowControl w:val="0"/>
        <w:numPr>
          <w:ilvl w:val="2"/>
          <w:numId w:val="817"/>
        </w:numPr>
        <w:spacing w:before="120" w:after="120" w:line="240" w:lineRule="auto"/>
        <w:ind w:left="851" w:hanging="425"/>
        <w:jc w:val="both"/>
        <w:rPr>
          <w:rFonts w:ascii="Times New Roman" w:eastAsia="Times New Roman" w:hAnsi="Times New Roman" w:cs="Times New Roman"/>
          <w:bCs/>
        </w:rPr>
      </w:pPr>
      <w:r w:rsidRPr="00A1178A">
        <w:rPr>
          <w:rFonts w:ascii="Times New Roman" w:eastAsia="Times New Roman" w:hAnsi="Times New Roman" w:cs="Times New Roman"/>
          <w:bCs/>
        </w:rPr>
        <w:t>levelező munkarend: 8 (0 EA + … SZ + 8 GY)</w:t>
      </w:r>
    </w:p>
    <w:p w:rsidR="00A1178A" w:rsidRPr="00A1178A" w:rsidRDefault="00A1178A" w:rsidP="00980876">
      <w:pPr>
        <w:widowControl w:val="0"/>
        <w:numPr>
          <w:ilvl w:val="1"/>
          <w:numId w:val="817"/>
        </w:numPr>
        <w:spacing w:before="120" w:after="120" w:line="240" w:lineRule="auto"/>
        <w:ind w:left="851" w:hanging="425"/>
        <w:jc w:val="both"/>
        <w:rPr>
          <w:rFonts w:ascii="Times New Roman" w:eastAsia="Times New Roman" w:hAnsi="Times New Roman" w:cs="Times New Roman"/>
          <w:bCs/>
        </w:rPr>
      </w:pPr>
      <w:r w:rsidRPr="00A1178A">
        <w:rPr>
          <w:rFonts w:ascii="Times New Roman" w:eastAsia="Times New Roman" w:hAnsi="Times New Roman" w:cs="Times New Roman"/>
          <w:bCs/>
        </w:rPr>
        <w:t>heti óraszám - nappali munkarend: 2</w:t>
      </w:r>
    </w:p>
    <w:p w:rsidR="00A1178A" w:rsidRPr="00A1178A" w:rsidRDefault="00A1178A" w:rsidP="00980876">
      <w:pPr>
        <w:widowControl w:val="0"/>
        <w:numPr>
          <w:ilvl w:val="1"/>
          <w:numId w:val="817"/>
        </w:numPr>
        <w:spacing w:before="120" w:after="120" w:line="240" w:lineRule="auto"/>
        <w:ind w:left="851" w:hanging="425"/>
        <w:jc w:val="both"/>
        <w:rPr>
          <w:rFonts w:ascii="Times New Roman" w:eastAsia="Times New Roman" w:hAnsi="Times New Roman" w:cs="Times New Roman"/>
          <w:bCs/>
        </w:rPr>
      </w:pPr>
      <w:r w:rsidRPr="00A1178A">
        <w:rPr>
          <w:rFonts w:ascii="Times New Roman" w:eastAsia="Calibri" w:hAnsi="Times New Roman" w:cs="Times New Roman"/>
        </w:rPr>
        <w:t>Az ismeret átadásában alkalmazandó további sajátos módok, jellemzők: -</w:t>
      </w:r>
    </w:p>
    <w:p w:rsidR="00A1178A" w:rsidRPr="00A1178A" w:rsidRDefault="00A1178A" w:rsidP="00980876">
      <w:pPr>
        <w:widowControl w:val="0"/>
        <w:numPr>
          <w:ilvl w:val="0"/>
          <w:numId w:val="817"/>
        </w:numPr>
        <w:spacing w:before="120" w:after="120" w:line="240" w:lineRule="auto"/>
        <w:ind w:left="720"/>
        <w:jc w:val="both"/>
        <w:rPr>
          <w:rFonts w:ascii="Times New Roman" w:eastAsia="Times New Roman" w:hAnsi="Times New Roman" w:cs="Times New Roman"/>
          <w:bCs/>
        </w:rPr>
      </w:pPr>
      <w:r w:rsidRPr="00A1178A">
        <w:rPr>
          <w:rFonts w:ascii="Times New Roman" w:eastAsia="Times New Roman" w:hAnsi="Times New Roman" w:cs="Times New Roman"/>
          <w:b/>
          <w:bCs/>
        </w:rPr>
        <w:t>A tantárgy szakmai tartalma (magyarul):</w:t>
      </w:r>
      <w:r w:rsidRPr="00A1178A">
        <w:rPr>
          <w:rFonts w:ascii="Times New Roman" w:eastAsia="Times New Roman" w:hAnsi="Times New Roman" w:cs="Times New Roman"/>
          <w:bCs/>
        </w:rPr>
        <w:t xml:space="preserve"> A képzésben résztvevő hallgatók átfogó módon ismerkedhetnek meg az egyetemes (európai) és magyar politikai gondolkodás múltjával, alapfogalmaival, alapeszméivel, legfontosabb irányzataival, valamint kiemelkedő művelőivel. Az eszmetörténeti ismeretek elsajátítása a szövegolvasásra és szövegmegbeszélésre koncentráló, interaktív jellegű szemináriumi foglalkozásokon keresztül valósul meg. A szemináriumi foglalkozások alkalmával megbeszélendő irodalmi szemelvények, különösen az újkortól, az egyetemes (európai) és magyar politikai gondolkodás lehetséges kapcsolódási pontjaira is rámutatnak. A kurzust múzeumlátogatás egészíti ki, egy politikai eszmerendszert és hatásait illusztráló kiállítóhely megtekintésével.</w:t>
      </w:r>
    </w:p>
    <w:p w:rsidR="00A1178A" w:rsidRPr="00A1178A" w:rsidRDefault="00A1178A" w:rsidP="00A1178A">
      <w:pPr>
        <w:widowControl w:val="0"/>
        <w:spacing w:before="120" w:after="120" w:line="240" w:lineRule="auto"/>
        <w:ind w:left="709"/>
        <w:jc w:val="both"/>
        <w:rPr>
          <w:rFonts w:ascii="Times New Roman" w:eastAsia="Times New Roman" w:hAnsi="Times New Roman" w:cs="Times New Roman"/>
          <w:bCs/>
        </w:rPr>
      </w:pPr>
      <w:r w:rsidRPr="00A1178A">
        <w:rPr>
          <w:rFonts w:ascii="Times New Roman" w:eastAsia="Times New Roman" w:hAnsi="Times New Roman" w:cs="Times New Roman"/>
          <w:b/>
          <w:bCs/>
        </w:rPr>
        <w:t>A tantárgy szakmai tartalma (angolul) (</w:t>
      </w:r>
      <w:r w:rsidRPr="00A1178A">
        <w:rPr>
          <w:rFonts w:ascii="Times New Roman" w:eastAsia="Times New Roman" w:hAnsi="Times New Roman" w:cs="Times New Roman"/>
          <w:b/>
          <w:bCs/>
          <w:lang w:val="en-US"/>
        </w:rPr>
        <w:t>Course description</w:t>
      </w:r>
      <w:r w:rsidRPr="00A1178A">
        <w:rPr>
          <w:rFonts w:ascii="Times New Roman" w:eastAsia="Times New Roman" w:hAnsi="Times New Roman" w:cs="Times New Roman"/>
          <w:b/>
          <w:bCs/>
        </w:rPr>
        <w:t xml:space="preserve">): </w:t>
      </w:r>
      <w:r w:rsidRPr="00A1178A">
        <w:rPr>
          <w:rFonts w:ascii="Times New Roman" w:eastAsia="Times New Roman" w:hAnsi="Times New Roman" w:cs="Times New Roman"/>
          <w:bCs/>
        </w:rPr>
        <w:t>Students get a wide overview of Hungarian and Western (European) political thought during the course. The history of political thought is introduced with its leading concepts and the most important schools and thinkers. To let them acquire a basic knowledge of intellectual history interactive seminaries will initiate students into reading and interpreting the texts. Light will be shed on connections between European and Hungarian political thought as well, through the excerpts taken from te history of political thought to be analysed during the meetings of the discussion groups, especially in case of those since the early modern period. The course is complemented by a visit to a museum with a relevant exhibition.</w:t>
      </w:r>
    </w:p>
    <w:p w:rsidR="00A1178A" w:rsidRPr="00A1178A" w:rsidRDefault="00A1178A" w:rsidP="00980876">
      <w:pPr>
        <w:widowControl w:val="0"/>
        <w:numPr>
          <w:ilvl w:val="0"/>
          <w:numId w:val="817"/>
        </w:numPr>
        <w:spacing w:before="120" w:after="120" w:line="240" w:lineRule="auto"/>
        <w:ind w:left="720"/>
        <w:contextualSpacing/>
        <w:jc w:val="both"/>
        <w:rPr>
          <w:rFonts w:ascii="Times New Roman" w:eastAsia="Times New Roman" w:hAnsi="Times New Roman" w:cs="Times New Roman"/>
          <w:bCs/>
        </w:rPr>
      </w:pPr>
      <w:r w:rsidRPr="00A1178A">
        <w:rPr>
          <w:rFonts w:ascii="Times New Roman" w:eastAsia="Times New Roman" w:hAnsi="Times New Roman" w:cs="Times New Roman"/>
          <w:b/>
          <w:bCs/>
        </w:rPr>
        <w:t xml:space="preserve">Elérendő kompetenciák (magyarul): </w:t>
      </w:r>
    </w:p>
    <w:p w:rsidR="00A1178A" w:rsidRPr="00A1178A" w:rsidRDefault="00A1178A" w:rsidP="00A1178A">
      <w:pPr>
        <w:widowControl w:val="0"/>
        <w:spacing w:before="120" w:after="120" w:line="240" w:lineRule="auto"/>
        <w:ind w:left="426"/>
        <w:jc w:val="both"/>
        <w:rPr>
          <w:rFonts w:ascii="Times New Roman" w:eastAsia="Times New Roman" w:hAnsi="Times New Roman" w:cs="Times New Roman"/>
          <w:bCs/>
        </w:rPr>
      </w:pPr>
      <w:r w:rsidRPr="00A1178A">
        <w:rPr>
          <w:rFonts w:ascii="Times New Roman" w:eastAsia="Times New Roman" w:hAnsi="Times New Roman" w:cs="Times New Roman"/>
          <w:b/>
          <w:bCs/>
        </w:rPr>
        <w:t>Tudása:</w:t>
      </w:r>
      <w:r w:rsidRPr="00A1178A">
        <w:rPr>
          <w:rFonts w:ascii="Times New Roman" w:eastAsia="Times New Roman" w:hAnsi="Times New Roman" w:cs="Times New Roman"/>
          <w:bCs/>
        </w:rPr>
        <w:t xml:space="preserve"> A hallgatók tájékozottak lesznek az európai és magyar politikai gondolkodás legfontosabb irányzatait illetően. Be tudnak számolni a politikai gondolkodás fontosabb </w:t>
      </w:r>
      <w:r w:rsidRPr="00A1178A">
        <w:rPr>
          <w:rFonts w:ascii="Times New Roman" w:eastAsia="Times New Roman" w:hAnsi="Times New Roman" w:cs="Times New Roman"/>
          <w:bCs/>
        </w:rPr>
        <w:lastRenderedPageBreak/>
        <w:t>művelőinek főbb eszméiről.</w:t>
      </w:r>
    </w:p>
    <w:p w:rsidR="00A1178A" w:rsidRPr="00A1178A" w:rsidRDefault="00A1178A" w:rsidP="00A1178A">
      <w:pPr>
        <w:widowControl w:val="0"/>
        <w:spacing w:before="120" w:after="120" w:line="240" w:lineRule="auto"/>
        <w:ind w:left="426"/>
        <w:jc w:val="both"/>
        <w:rPr>
          <w:rFonts w:ascii="Times New Roman" w:eastAsia="Times New Roman" w:hAnsi="Times New Roman" w:cs="Times New Roman"/>
          <w:bCs/>
        </w:rPr>
      </w:pPr>
      <w:r w:rsidRPr="00A1178A">
        <w:rPr>
          <w:rFonts w:ascii="Times New Roman" w:eastAsia="Times New Roman" w:hAnsi="Times New Roman" w:cs="Times New Roman"/>
          <w:b/>
          <w:bCs/>
        </w:rPr>
        <w:t>Képességei:</w:t>
      </w:r>
      <w:r w:rsidRPr="00A1178A">
        <w:rPr>
          <w:rFonts w:ascii="Times New Roman" w:eastAsia="Times New Roman" w:hAnsi="Times New Roman" w:cs="Times New Roman"/>
          <w:bCs/>
        </w:rPr>
        <w:t xml:space="preserve"> Kulturális önértékelésük és magabiztosságuk nemzetközi szinten nő. Fejlődik a kritikai és elfogadási készségük. Képessé válnak komplex problémák megértésére, személyes világnézet kialakítására. A politika-filozófiai ismereteket alkalmazott tudásként kezelik.</w:t>
      </w:r>
    </w:p>
    <w:p w:rsidR="00A1178A" w:rsidRPr="00A1178A" w:rsidRDefault="00A1178A" w:rsidP="00A1178A">
      <w:pPr>
        <w:widowControl w:val="0"/>
        <w:spacing w:before="120" w:after="120" w:line="240" w:lineRule="auto"/>
        <w:ind w:left="426"/>
        <w:jc w:val="both"/>
        <w:rPr>
          <w:rFonts w:ascii="Times New Roman" w:eastAsia="Times New Roman" w:hAnsi="Times New Roman" w:cs="Times New Roman"/>
          <w:bCs/>
        </w:rPr>
      </w:pPr>
      <w:r w:rsidRPr="00A1178A">
        <w:rPr>
          <w:rFonts w:ascii="Times New Roman" w:eastAsia="Times New Roman" w:hAnsi="Times New Roman" w:cs="Times New Roman"/>
          <w:b/>
          <w:bCs/>
        </w:rPr>
        <w:t>Attitűdje:</w:t>
      </w:r>
      <w:r w:rsidRPr="00A1178A">
        <w:rPr>
          <w:rFonts w:ascii="Times New Roman" w:eastAsia="Times New Roman" w:hAnsi="Times New Roman" w:cs="Times New Roman"/>
          <w:bCs/>
        </w:rPr>
        <w:t xml:space="preserve"> A kurzus elvégzése után határozottabb világszemlélettel fognak rendelkezni. Megértően, figyelmesen és tisztelettel fogadnak újabb eszméket. Közszolgálatot végző személyekként is továbbadják a megismert gondolatokat. Érdeklődésük megnő a szakterületük intellektuális fejlesztésére.</w:t>
      </w:r>
    </w:p>
    <w:p w:rsidR="00A1178A" w:rsidRPr="00A1178A" w:rsidRDefault="00A1178A" w:rsidP="00A1178A">
      <w:pPr>
        <w:widowControl w:val="0"/>
        <w:spacing w:before="120" w:after="120" w:line="240" w:lineRule="auto"/>
        <w:ind w:left="426"/>
        <w:jc w:val="both"/>
        <w:rPr>
          <w:rFonts w:ascii="Times New Roman" w:eastAsia="Times New Roman" w:hAnsi="Times New Roman" w:cs="Times New Roman"/>
          <w:bCs/>
        </w:rPr>
      </w:pPr>
      <w:r w:rsidRPr="00A1178A">
        <w:rPr>
          <w:rFonts w:ascii="Times New Roman" w:eastAsia="Times New Roman" w:hAnsi="Times New Roman" w:cs="Times New Roman"/>
          <w:b/>
          <w:bCs/>
        </w:rPr>
        <w:t>Autonómiája és felelőssége:</w:t>
      </w:r>
      <w:r w:rsidRPr="00A1178A">
        <w:rPr>
          <w:rFonts w:ascii="Times New Roman" w:eastAsia="Times New Roman" w:hAnsi="Times New Roman" w:cs="Times New Roman"/>
          <w:bCs/>
        </w:rPr>
        <w:t xml:space="preserve"> A politikai gondolkodás tanulmányozása révén felismerik saját koruk társadalmi-politikai közösségeinek eszmei alapon való összetartozását. Látják kortárs nemzedék felelősségét és felismerik az egyéni hozzájárulás jelentőségét a társadalmi életben. Önállóan végzik a problémák végiggondolását és az adatok objektív értékelését. Felelősséggel vesznek részt a közéletben.</w:t>
      </w:r>
    </w:p>
    <w:p w:rsidR="00A1178A" w:rsidRPr="00A1178A" w:rsidRDefault="00A1178A" w:rsidP="00A1178A">
      <w:pPr>
        <w:widowControl w:val="0"/>
        <w:spacing w:before="120" w:after="120" w:line="240" w:lineRule="auto"/>
        <w:ind w:left="426"/>
        <w:jc w:val="both"/>
        <w:rPr>
          <w:rFonts w:ascii="Times New Roman" w:eastAsia="Times New Roman" w:hAnsi="Times New Roman" w:cs="Times New Roman"/>
          <w:b/>
          <w:bCs/>
          <w:lang w:val="en-US"/>
        </w:rPr>
      </w:pPr>
      <w:r w:rsidRPr="00A1178A">
        <w:rPr>
          <w:rFonts w:ascii="Times New Roman" w:eastAsia="Times New Roman" w:hAnsi="Times New Roman" w:cs="Times New Roman"/>
          <w:b/>
          <w:bCs/>
        </w:rPr>
        <w:t>Elérendő kompetenciák (angolul) (</w:t>
      </w:r>
      <w:r w:rsidRPr="00A1178A">
        <w:rPr>
          <w:rFonts w:ascii="Times New Roman" w:eastAsia="Times New Roman" w:hAnsi="Times New Roman" w:cs="Times New Roman"/>
          <w:b/>
          <w:bCs/>
          <w:lang w:val="en-US"/>
        </w:rPr>
        <w:t xml:space="preserve">Competences – English): </w:t>
      </w:r>
    </w:p>
    <w:p w:rsidR="00A1178A" w:rsidRPr="00A1178A" w:rsidRDefault="00A1178A" w:rsidP="00A1178A">
      <w:pPr>
        <w:widowControl w:val="0"/>
        <w:spacing w:before="120" w:after="120" w:line="240" w:lineRule="auto"/>
        <w:ind w:left="426"/>
        <w:jc w:val="both"/>
        <w:rPr>
          <w:rFonts w:ascii="Times New Roman" w:eastAsia="Times New Roman" w:hAnsi="Times New Roman" w:cs="Times New Roman"/>
          <w:lang w:val="en-GB"/>
        </w:rPr>
      </w:pPr>
      <w:r w:rsidRPr="00A1178A">
        <w:rPr>
          <w:rFonts w:ascii="Times New Roman" w:eastAsia="Times New Roman" w:hAnsi="Times New Roman" w:cs="Times New Roman"/>
          <w:b/>
          <w:lang w:val="en-GB"/>
        </w:rPr>
        <w:t>Knowledge</w:t>
      </w:r>
      <w:r w:rsidRPr="00A1178A">
        <w:rPr>
          <w:rFonts w:ascii="Times New Roman" w:eastAsia="Times New Roman" w:hAnsi="Times New Roman" w:cs="Times New Roman"/>
          <w:lang w:val="en-GB"/>
        </w:rPr>
        <w:t>: The students will be aware of the most important movements of European and Hungarian political thought. They will be able to talk about the main ideas of fthe oremost representatives of political thought.</w:t>
      </w:r>
    </w:p>
    <w:p w:rsidR="00A1178A" w:rsidRPr="00A1178A" w:rsidRDefault="00A1178A" w:rsidP="00A1178A">
      <w:pPr>
        <w:widowControl w:val="0"/>
        <w:spacing w:before="120" w:after="120" w:line="240" w:lineRule="auto"/>
        <w:ind w:left="426"/>
        <w:jc w:val="both"/>
        <w:rPr>
          <w:rFonts w:ascii="Times New Roman" w:eastAsia="Times New Roman" w:hAnsi="Times New Roman" w:cs="Times New Roman"/>
          <w:lang w:val="en-GB"/>
        </w:rPr>
      </w:pPr>
      <w:r w:rsidRPr="00A1178A">
        <w:rPr>
          <w:rFonts w:ascii="Times New Roman" w:eastAsia="Times New Roman" w:hAnsi="Times New Roman" w:cs="Times New Roman"/>
          <w:b/>
          <w:lang w:val="en-GB"/>
        </w:rPr>
        <w:t>Capabilities</w:t>
      </w:r>
      <w:r w:rsidRPr="00A1178A">
        <w:rPr>
          <w:rFonts w:ascii="Times New Roman" w:eastAsia="Times New Roman" w:hAnsi="Times New Roman" w:cs="Times New Roman"/>
          <w:lang w:val="en-GB"/>
        </w:rPr>
        <w:t>: Their cultural self-esteem and self-awareness will increase. They will improve skills in critical thinking and in the tolerance of differing views. They will be able to interpret complex issues, also able to form their own original views. They will be able to use the learnt politico-philosophical thougths as part of their practical knowledge.</w:t>
      </w:r>
    </w:p>
    <w:p w:rsidR="00A1178A" w:rsidRPr="00A1178A" w:rsidRDefault="00A1178A" w:rsidP="00A117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lang w:val="en-GB"/>
        </w:rPr>
      </w:pPr>
      <w:r w:rsidRPr="00A1178A">
        <w:rPr>
          <w:rFonts w:ascii="Times New Roman" w:eastAsia="Times New Roman" w:hAnsi="Times New Roman" w:cs="Times New Roman"/>
          <w:b/>
          <w:lang w:val="en-GB"/>
        </w:rPr>
        <w:t>Attitude:</w:t>
      </w:r>
      <w:r w:rsidRPr="00A1178A">
        <w:rPr>
          <w:rFonts w:ascii="Times New Roman" w:eastAsia="Times New Roman" w:hAnsi="Times New Roman" w:cs="Times New Roman"/>
          <w:lang w:val="en-GB"/>
        </w:rPr>
        <w:t xml:space="preserve"> After completing the course, the students’ world view becomes more well-defined. Their ability of understanding and acceptance improves as they become more attentive and considerate towards new conceptions. They are able to express their thoughts as potential employees in public service. Their interest in intellectual development and in their own profession increases.</w:t>
      </w:r>
    </w:p>
    <w:p w:rsidR="00A1178A" w:rsidRPr="00A1178A" w:rsidRDefault="00A1178A" w:rsidP="00A1178A">
      <w:pPr>
        <w:widowControl w:val="0"/>
        <w:spacing w:before="120" w:after="120" w:line="240" w:lineRule="auto"/>
        <w:ind w:left="426"/>
        <w:jc w:val="both"/>
        <w:rPr>
          <w:rFonts w:ascii="Times New Roman" w:eastAsia="Times New Roman" w:hAnsi="Times New Roman" w:cs="Times New Roman"/>
          <w:lang w:val="en-GB"/>
        </w:rPr>
      </w:pPr>
      <w:r w:rsidRPr="00A1178A">
        <w:rPr>
          <w:rFonts w:ascii="Times New Roman" w:eastAsia="Times New Roman" w:hAnsi="Times New Roman" w:cs="Times New Roman"/>
          <w:b/>
          <w:lang w:val="en-GB"/>
        </w:rPr>
        <w:t xml:space="preserve">Autonomy and responsibility: </w:t>
      </w:r>
      <w:r w:rsidRPr="00A1178A">
        <w:rPr>
          <w:rFonts w:ascii="Times New Roman" w:eastAsia="Times New Roman" w:hAnsi="Times New Roman" w:cs="Times New Roman"/>
          <w:lang w:val="en-GB"/>
        </w:rPr>
        <w:t>Having studied the history of political thought, students are able to recognise the intellectual roots of the ideological paradigms of different contemporary socio-political communities. They can realise the responsibility of their own generation and see the importance of individual contribution to the common good. They are able to think about problems independently and they can study information in a verifiable way. They become responsible agents in the public sphere.</w:t>
      </w:r>
    </w:p>
    <w:p w:rsidR="00A1178A" w:rsidRPr="00A1178A" w:rsidRDefault="00A1178A" w:rsidP="00980876">
      <w:pPr>
        <w:widowControl w:val="0"/>
        <w:numPr>
          <w:ilvl w:val="0"/>
          <w:numId w:val="817"/>
        </w:numPr>
        <w:spacing w:before="120" w:after="120" w:line="240" w:lineRule="auto"/>
        <w:ind w:left="426" w:hanging="142"/>
        <w:jc w:val="both"/>
        <w:rPr>
          <w:rFonts w:ascii="Times New Roman" w:eastAsia="Times New Roman" w:hAnsi="Times New Roman" w:cs="Times New Roman"/>
          <w:bCs/>
        </w:rPr>
      </w:pPr>
      <w:r w:rsidRPr="00A1178A">
        <w:rPr>
          <w:rFonts w:ascii="Times New Roman" w:eastAsia="Times New Roman" w:hAnsi="Times New Roman" w:cs="Times New Roman"/>
          <w:b/>
          <w:bCs/>
        </w:rPr>
        <w:t>Előtanulmányi követelmények: -</w:t>
      </w:r>
      <w:r w:rsidRPr="00A1178A">
        <w:rPr>
          <w:rFonts w:ascii="Times New Roman" w:eastAsia="Times New Roman" w:hAnsi="Times New Roman" w:cs="Times New Roman"/>
          <w:bCs/>
        </w:rPr>
        <w:t xml:space="preserve"> </w:t>
      </w:r>
    </w:p>
    <w:p w:rsidR="00A1178A" w:rsidRPr="00A1178A" w:rsidRDefault="00A1178A" w:rsidP="00980876">
      <w:pPr>
        <w:widowControl w:val="0"/>
        <w:numPr>
          <w:ilvl w:val="0"/>
          <w:numId w:val="817"/>
        </w:numPr>
        <w:spacing w:before="120" w:after="120" w:line="240" w:lineRule="auto"/>
        <w:ind w:left="426" w:hanging="142"/>
        <w:jc w:val="both"/>
        <w:rPr>
          <w:rFonts w:ascii="Times New Roman" w:eastAsia="Times New Roman" w:hAnsi="Times New Roman" w:cs="Times New Roman"/>
          <w:b/>
          <w:bCs/>
        </w:rPr>
      </w:pPr>
      <w:r w:rsidRPr="00A1178A">
        <w:rPr>
          <w:rFonts w:ascii="Times New Roman" w:eastAsia="Times New Roman" w:hAnsi="Times New Roman" w:cs="Times New Roman"/>
          <w:b/>
          <w:bCs/>
        </w:rPr>
        <w:t>A tantárgy tananyagának leírása, tematika. Description of the subject, curriculum (magyarul, angolul - English):</w:t>
      </w:r>
    </w:p>
    <w:p w:rsidR="00A1178A" w:rsidRPr="00A1178A" w:rsidRDefault="00A1178A" w:rsidP="00980876">
      <w:pPr>
        <w:widowControl w:val="0"/>
        <w:numPr>
          <w:ilvl w:val="1"/>
          <w:numId w:val="817"/>
        </w:numPr>
        <w:tabs>
          <w:tab w:val="left" w:pos="709"/>
          <w:tab w:val="left" w:pos="993"/>
        </w:tabs>
        <w:spacing w:before="120" w:after="120" w:line="240" w:lineRule="auto"/>
        <w:ind w:left="426" w:firstLine="0"/>
        <w:jc w:val="both"/>
        <w:rPr>
          <w:rFonts w:ascii="Times New Roman" w:eastAsia="Times New Roman" w:hAnsi="Times New Roman" w:cs="Times New Roman"/>
          <w:b/>
        </w:rPr>
      </w:pPr>
      <w:r w:rsidRPr="00A1178A">
        <w:rPr>
          <w:rFonts w:ascii="Times New Roman" w:eastAsia="Calibri" w:hAnsi="Times New Roman" w:cs="Times New Roman"/>
        </w:rPr>
        <w:t xml:space="preserve">A klasszikus ókor politikai gondolkodása - Áttekintés a politikai gondolkodás alapfogalmairól, alapeszméiről, legfontosabb irányzatairól és korszakairól: Platón; Szent Ágoston </w:t>
      </w:r>
    </w:p>
    <w:p w:rsidR="00A1178A" w:rsidRPr="00A1178A" w:rsidRDefault="00A1178A" w:rsidP="00980876">
      <w:pPr>
        <w:widowControl w:val="0"/>
        <w:numPr>
          <w:ilvl w:val="1"/>
          <w:numId w:val="817"/>
        </w:numPr>
        <w:tabs>
          <w:tab w:val="left" w:pos="709"/>
          <w:tab w:val="left" w:pos="993"/>
        </w:tabs>
        <w:spacing w:before="120" w:after="120" w:line="240" w:lineRule="auto"/>
        <w:ind w:left="426" w:firstLine="0"/>
        <w:jc w:val="both"/>
        <w:rPr>
          <w:rFonts w:ascii="Times New Roman" w:eastAsia="Times New Roman" w:hAnsi="Times New Roman" w:cs="Times New Roman"/>
          <w:b/>
        </w:rPr>
      </w:pPr>
      <w:r w:rsidRPr="00A1178A">
        <w:rPr>
          <w:rFonts w:ascii="Times New Roman" w:eastAsia="Calibri" w:hAnsi="Times New Roman" w:cs="Times New Roman"/>
        </w:rPr>
        <w:t>A középkor eszmevilága - Bíborbanszületett Konstantin; Szent István király; Aquinói Szent Tamás</w:t>
      </w:r>
    </w:p>
    <w:p w:rsidR="00A1178A" w:rsidRPr="00A1178A" w:rsidRDefault="00A1178A" w:rsidP="00980876">
      <w:pPr>
        <w:widowControl w:val="0"/>
        <w:numPr>
          <w:ilvl w:val="1"/>
          <w:numId w:val="817"/>
        </w:numPr>
        <w:tabs>
          <w:tab w:val="left" w:pos="709"/>
          <w:tab w:val="left" w:pos="993"/>
        </w:tabs>
        <w:spacing w:before="120" w:after="120" w:line="240" w:lineRule="auto"/>
        <w:ind w:left="426" w:firstLine="0"/>
        <w:jc w:val="both"/>
        <w:rPr>
          <w:rFonts w:ascii="Times New Roman" w:eastAsia="Times New Roman" w:hAnsi="Times New Roman" w:cs="Times New Roman"/>
          <w:b/>
        </w:rPr>
      </w:pPr>
      <w:r w:rsidRPr="00A1178A">
        <w:rPr>
          <w:rFonts w:ascii="Times New Roman" w:eastAsia="Calibri" w:hAnsi="Times New Roman" w:cs="Times New Roman"/>
        </w:rPr>
        <w:t>A reneszánsz politikai eszmevilága - Dante Alighieri; Niccoló Macchiavelli; Filofej szerzetes</w:t>
      </w:r>
    </w:p>
    <w:p w:rsidR="00A1178A" w:rsidRPr="00A1178A" w:rsidRDefault="00A1178A" w:rsidP="00980876">
      <w:pPr>
        <w:widowControl w:val="0"/>
        <w:numPr>
          <w:ilvl w:val="1"/>
          <w:numId w:val="817"/>
        </w:numPr>
        <w:tabs>
          <w:tab w:val="left" w:pos="709"/>
          <w:tab w:val="left" w:pos="993"/>
        </w:tabs>
        <w:spacing w:before="120" w:after="120" w:line="240" w:lineRule="auto"/>
        <w:ind w:left="426" w:firstLine="0"/>
        <w:jc w:val="both"/>
        <w:rPr>
          <w:rFonts w:ascii="Times New Roman" w:eastAsia="Times New Roman" w:hAnsi="Times New Roman" w:cs="Times New Roman"/>
          <w:b/>
        </w:rPr>
      </w:pPr>
      <w:r w:rsidRPr="00A1178A">
        <w:rPr>
          <w:rFonts w:ascii="Times New Roman" w:eastAsia="Calibri" w:hAnsi="Times New Roman" w:cs="Times New Roman"/>
        </w:rPr>
        <w:t>Abszolutizmus, polgári forradalom és dicsőséges forradalom Angliában – Thomas Hobbes és John Locke az állam kialakulásáról és működéséről, valamint a polgári kormányzatról</w:t>
      </w:r>
    </w:p>
    <w:p w:rsidR="00A1178A" w:rsidRPr="00A1178A" w:rsidRDefault="00A1178A" w:rsidP="00980876">
      <w:pPr>
        <w:widowControl w:val="0"/>
        <w:numPr>
          <w:ilvl w:val="1"/>
          <w:numId w:val="817"/>
        </w:numPr>
        <w:tabs>
          <w:tab w:val="left" w:pos="709"/>
          <w:tab w:val="left" w:pos="993"/>
        </w:tabs>
        <w:spacing w:before="120" w:after="120" w:line="240" w:lineRule="auto"/>
        <w:ind w:left="426" w:firstLine="0"/>
        <w:jc w:val="both"/>
        <w:rPr>
          <w:rFonts w:ascii="Times New Roman" w:eastAsia="Times New Roman" w:hAnsi="Times New Roman" w:cs="Times New Roman"/>
          <w:b/>
        </w:rPr>
      </w:pPr>
      <w:r w:rsidRPr="00A1178A">
        <w:rPr>
          <w:rFonts w:ascii="Times New Roman" w:eastAsia="Calibri" w:hAnsi="Times New Roman" w:cs="Times New Roman"/>
        </w:rPr>
        <w:t>Politikai gondolkodás a 16-18. századi Magyarországon – Werbőczy István, Bethlen Gábor és II. Rákóczi Ferenc politikai eszméi és nézetei</w:t>
      </w:r>
    </w:p>
    <w:p w:rsidR="00A1178A" w:rsidRPr="00A1178A" w:rsidRDefault="00A1178A" w:rsidP="00980876">
      <w:pPr>
        <w:widowControl w:val="0"/>
        <w:numPr>
          <w:ilvl w:val="1"/>
          <w:numId w:val="817"/>
        </w:numPr>
        <w:tabs>
          <w:tab w:val="left" w:pos="709"/>
          <w:tab w:val="left" w:pos="993"/>
        </w:tabs>
        <w:spacing w:before="120" w:after="120" w:line="240" w:lineRule="auto"/>
        <w:ind w:left="426" w:firstLine="0"/>
        <w:jc w:val="both"/>
        <w:rPr>
          <w:rFonts w:ascii="Times New Roman" w:eastAsia="Times New Roman" w:hAnsi="Times New Roman" w:cs="Times New Roman"/>
          <w:b/>
        </w:rPr>
      </w:pPr>
      <w:r w:rsidRPr="00A1178A">
        <w:rPr>
          <w:rFonts w:ascii="Times New Roman" w:eastAsia="Calibri" w:hAnsi="Times New Roman" w:cs="Times New Roman"/>
        </w:rPr>
        <w:t xml:space="preserve">A francia felvilágosodás és a francia forradalom kora. Az amerikai demokrácia. – A törvények szelleme és a hatalmi ágak megosztása Montesquieu-nél. Politikai gondolkodás a </w:t>
      </w:r>
      <w:r w:rsidRPr="00A1178A">
        <w:rPr>
          <w:rFonts w:ascii="Times New Roman" w:eastAsia="Calibri" w:hAnsi="Times New Roman" w:cs="Times New Roman"/>
        </w:rPr>
        <w:lastRenderedPageBreak/>
        <w:t>függetlenné váló USA-ban: föderalizmus és republikanizmus. Alexander Hamilton, James Madison és John Jay</w:t>
      </w:r>
    </w:p>
    <w:p w:rsidR="00A1178A" w:rsidRPr="00A1178A" w:rsidRDefault="00A1178A" w:rsidP="00980876">
      <w:pPr>
        <w:widowControl w:val="0"/>
        <w:numPr>
          <w:ilvl w:val="1"/>
          <w:numId w:val="817"/>
        </w:numPr>
        <w:tabs>
          <w:tab w:val="left" w:pos="709"/>
          <w:tab w:val="left" w:pos="993"/>
        </w:tabs>
        <w:spacing w:before="120" w:after="120" w:line="240" w:lineRule="auto"/>
        <w:ind w:left="426" w:firstLine="0"/>
        <w:jc w:val="both"/>
        <w:rPr>
          <w:rFonts w:ascii="Times New Roman" w:eastAsia="Times New Roman" w:hAnsi="Times New Roman" w:cs="Times New Roman"/>
          <w:b/>
        </w:rPr>
      </w:pPr>
      <w:r w:rsidRPr="00A1178A">
        <w:rPr>
          <w:rFonts w:ascii="Times New Roman" w:eastAsia="Calibri" w:hAnsi="Times New Roman" w:cs="Times New Roman"/>
        </w:rPr>
        <w:t>Reflexiók a francia forradalomról – Edmund Burke és a konzervatív gondolkodás kialakulása</w:t>
      </w:r>
    </w:p>
    <w:p w:rsidR="00A1178A" w:rsidRPr="00A1178A" w:rsidRDefault="00A1178A" w:rsidP="00980876">
      <w:pPr>
        <w:widowControl w:val="0"/>
        <w:numPr>
          <w:ilvl w:val="1"/>
          <w:numId w:val="817"/>
        </w:numPr>
        <w:tabs>
          <w:tab w:val="left" w:pos="709"/>
          <w:tab w:val="left" w:pos="993"/>
        </w:tabs>
        <w:spacing w:before="120" w:after="120" w:line="240" w:lineRule="auto"/>
        <w:ind w:left="426" w:firstLine="0"/>
        <w:jc w:val="both"/>
        <w:rPr>
          <w:rFonts w:ascii="Times New Roman" w:eastAsia="Times New Roman" w:hAnsi="Times New Roman" w:cs="Times New Roman"/>
          <w:b/>
        </w:rPr>
      </w:pPr>
      <w:r w:rsidRPr="00A1178A">
        <w:rPr>
          <w:rFonts w:ascii="Times New Roman" w:eastAsia="Calibri" w:hAnsi="Times New Roman" w:cs="Times New Roman"/>
        </w:rPr>
        <w:t>Az amerikai politikai gondolkodás kezdetei – Az amerikai demokrácia és alkotmány egy 19. századi európai gondolkodó szemével (Alexis de Tocqueville)</w:t>
      </w:r>
    </w:p>
    <w:p w:rsidR="00A1178A" w:rsidRPr="00A1178A" w:rsidRDefault="00A1178A" w:rsidP="00980876">
      <w:pPr>
        <w:widowControl w:val="0"/>
        <w:numPr>
          <w:ilvl w:val="1"/>
          <w:numId w:val="817"/>
        </w:numPr>
        <w:tabs>
          <w:tab w:val="left" w:pos="709"/>
          <w:tab w:val="left" w:pos="993"/>
        </w:tabs>
        <w:spacing w:before="120" w:after="120" w:line="240" w:lineRule="auto"/>
        <w:ind w:left="426" w:firstLine="0"/>
        <w:jc w:val="both"/>
        <w:rPr>
          <w:rFonts w:ascii="Times New Roman" w:eastAsia="Times New Roman" w:hAnsi="Times New Roman" w:cs="Times New Roman"/>
          <w:b/>
        </w:rPr>
      </w:pPr>
      <w:r w:rsidRPr="00A1178A">
        <w:rPr>
          <w:rFonts w:ascii="Times New Roman" w:eastAsia="Calibri" w:hAnsi="Times New Roman" w:cs="Times New Roman"/>
        </w:rPr>
        <w:t>Politikai gondolkodás a 18-19. századi német kultúrában – felvilágosodás, klasszikus német filozófia, szocializmus: Immanuel Kant, Karl Marx, Friedrich Engels</w:t>
      </w:r>
    </w:p>
    <w:p w:rsidR="00A1178A" w:rsidRPr="00A1178A" w:rsidRDefault="00A1178A" w:rsidP="00980876">
      <w:pPr>
        <w:widowControl w:val="0"/>
        <w:numPr>
          <w:ilvl w:val="1"/>
          <w:numId w:val="817"/>
        </w:numPr>
        <w:tabs>
          <w:tab w:val="left" w:pos="709"/>
          <w:tab w:val="left" w:pos="993"/>
        </w:tabs>
        <w:spacing w:before="120" w:after="120" w:line="240" w:lineRule="auto"/>
        <w:ind w:left="426" w:firstLine="0"/>
        <w:jc w:val="both"/>
        <w:rPr>
          <w:rFonts w:ascii="Times New Roman" w:eastAsia="Times New Roman" w:hAnsi="Times New Roman" w:cs="Times New Roman"/>
          <w:b/>
        </w:rPr>
      </w:pPr>
      <w:r w:rsidRPr="00A1178A">
        <w:rPr>
          <w:rFonts w:ascii="Times New Roman" w:eastAsia="Calibri" w:hAnsi="Times New Roman" w:cs="Times New Roman"/>
        </w:rPr>
        <w:t xml:space="preserve"> Liberális és konzervatív politikai gondolkodók a 19. századi Magyarországon - Széchenyi István, Kossuth Lajos</w:t>
      </w:r>
    </w:p>
    <w:p w:rsidR="00A1178A" w:rsidRPr="00A1178A" w:rsidRDefault="00A1178A" w:rsidP="00980876">
      <w:pPr>
        <w:widowControl w:val="0"/>
        <w:numPr>
          <w:ilvl w:val="1"/>
          <w:numId w:val="817"/>
        </w:numPr>
        <w:tabs>
          <w:tab w:val="left" w:pos="709"/>
          <w:tab w:val="left" w:pos="993"/>
        </w:tabs>
        <w:spacing w:before="120" w:after="120" w:line="240" w:lineRule="auto"/>
        <w:ind w:left="426" w:firstLine="0"/>
        <w:jc w:val="both"/>
        <w:rPr>
          <w:rFonts w:ascii="Times New Roman" w:eastAsia="Times New Roman" w:hAnsi="Times New Roman" w:cs="Times New Roman"/>
          <w:b/>
        </w:rPr>
      </w:pPr>
      <w:r w:rsidRPr="00A1178A">
        <w:rPr>
          <w:rFonts w:ascii="Times New Roman" w:eastAsia="Calibri" w:hAnsi="Times New Roman" w:cs="Times New Roman"/>
        </w:rPr>
        <w:t>A 20. századi politikai gondolkodás fő irányai – Michael Oakeshott</w:t>
      </w:r>
    </w:p>
    <w:p w:rsidR="00A1178A" w:rsidRPr="00A1178A" w:rsidRDefault="00A1178A" w:rsidP="00980876">
      <w:pPr>
        <w:widowControl w:val="0"/>
        <w:numPr>
          <w:ilvl w:val="1"/>
          <w:numId w:val="817"/>
        </w:numPr>
        <w:tabs>
          <w:tab w:val="left" w:pos="709"/>
          <w:tab w:val="left" w:pos="993"/>
        </w:tabs>
        <w:spacing w:before="120" w:after="120" w:line="240" w:lineRule="auto"/>
        <w:ind w:left="426" w:firstLine="0"/>
        <w:jc w:val="both"/>
        <w:rPr>
          <w:rFonts w:ascii="Times New Roman" w:eastAsia="Times New Roman" w:hAnsi="Times New Roman" w:cs="Times New Roman"/>
          <w:b/>
        </w:rPr>
      </w:pPr>
      <w:r w:rsidRPr="00A1178A">
        <w:rPr>
          <w:rFonts w:ascii="Times New Roman" w:eastAsia="Calibri" w:hAnsi="Times New Roman" w:cs="Times New Roman"/>
        </w:rPr>
        <w:t>A 20. századi magyar politikai és társadalmi kihívásai és a magyar politikai gondolkodás 1. - Prohászka Lajos, Márai Sándor</w:t>
      </w:r>
    </w:p>
    <w:p w:rsidR="00A1178A" w:rsidRPr="00A1178A" w:rsidRDefault="00A1178A" w:rsidP="00980876">
      <w:pPr>
        <w:widowControl w:val="0"/>
        <w:numPr>
          <w:ilvl w:val="1"/>
          <w:numId w:val="817"/>
        </w:numPr>
        <w:tabs>
          <w:tab w:val="left" w:pos="709"/>
          <w:tab w:val="left" w:pos="993"/>
        </w:tabs>
        <w:spacing w:before="120" w:after="120" w:line="240" w:lineRule="auto"/>
        <w:ind w:left="426" w:firstLine="0"/>
        <w:jc w:val="both"/>
        <w:rPr>
          <w:rFonts w:ascii="Times New Roman" w:eastAsia="Times New Roman" w:hAnsi="Times New Roman" w:cs="Times New Roman"/>
          <w:b/>
        </w:rPr>
      </w:pPr>
      <w:r w:rsidRPr="00A1178A">
        <w:rPr>
          <w:rFonts w:ascii="Times New Roman" w:eastAsia="Calibri" w:hAnsi="Times New Roman" w:cs="Times New Roman"/>
        </w:rPr>
        <w:t>A 20. századi magyar politikai és társadalmi kihívásai és a magyar politikai gondolkodás 2. - Bibó István</w:t>
      </w:r>
    </w:p>
    <w:p w:rsidR="00A1178A" w:rsidRPr="00A1178A" w:rsidRDefault="00A1178A" w:rsidP="00980876">
      <w:pPr>
        <w:widowControl w:val="0"/>
        <w:numPr>
          <w:ilvl w:val="1"/>
          <w:numId w:val="817"/>
        </w:numPr>
        <w:tabs>
          <w:tab w:val="left" w:pos="709"/>
          <w:tab w:val="left" w:pos="993"/>
        </w:tabs>
        <w:spacing w:before="120" w:after="120" w:line="240" w:lineRule="auto"/>
        <w:ind w:left="426" w:firstLine="0"/>
        <w:jc w:val="both"/>
        <w:rPr>
          <w:rFonts w:ascii="Times New Roman" w:eastAsia="Times New Roman" w:hAnsi="Times New Roman" w:cs="Times New Roman"/>
          <w:b/>
        </w:rPr>
      </w:pPr>
      <w:r w:rsidRPr="00A1178A">
        <w:rPr>
          <w:rFonts w:ascii="Times New Roman" w:eastAsia="Calibri" w:hAnsi="Times New Roman" w:cs="Times New Roman"/>
        </w:rPr>
        <w:t xml:space="preserve"> Antiszemitizmus - előítéletmotivált cselekmények feldolgozása. Nádas Sándor, Teleki Pál. Plusz Múzeumlátogatás: A Holokauszt Emlékmúzeum vagy a Terror Háza Múzeum meglátogatása (tömbösítve a félév során, például a 15. póthéten).</w:t>
      </w:r>
    </w:p>
    <w:p w:rsidR="00A1178A" w:rsidRPr="00A1178A" w:rsidRDefault="00A1178A" w:rsidP="00980876">
      <w:pPr>
        <w:widowControl w:val="0"/>
        <w:numPr>
          <w:ilvl w:val="1"/>
          <w:numId w:val="817"/>
        </w:numPr>
        <w:tabs>
          <w:tab w:val="left" w:pos="709"/>
          <w:tab w:val="left" w:pos="993"/>
        </w:tabs>
        <w:spacing w:before="120" w:after="120" w:line="240" w:lineRule="auto"/>
        <w:ind w:left="426" w:firstLine="0"/>
        <w:jc w:val="both"/>
        <w:rPr>
          <w:rFonts w:ascii="Times New Roman" w:eastAsia="Times New Roman" w:hAnsi="Times New Roman" w:cs="Times New Roman"/>
          <w:b/>
        </w:rPr>
      </w:pPr>
      <w:r w:rsidRPr="00A1178A">
        <w:rPr>
          <w:rFonts w:ascii="Times New Roman" w:eastAsia="Times New Roman" w:hAnsi="Times New Roman" w:cs="Times New Roman"/>
          <w:lang w:val="en-GB"/>
        </w:rPr>
        <w:t>The political thought of the classic antiquity – Plato; St. Augustine.</w:t>
      </w:r>
    </w:p>
    <w:p w:rsidR="00A1178A" w:rsidRPr="00A1178A" w:rsidRDefault="00A1178A" w:rsidP="00980876">
      <w:pPr>
        <w:widowControl w:val="0"/>
        <w:numPr>
          <w:ilvl w:val="1"/>
          <w:numId w:val="817"/>
        </w:numPr>
        <w:tabs>
          <w:tab w:val="left" w:pos="709"/>
          <w:tab w:val="left" w:pos="993"/>
        </w:tabs>
        <w:spacing w:before="120" w:after="120" w:line="240" w:lineRule="auto"/>
        <w:ind w:left="426" w:firstLine="0"/>
        <w:jc w:val="both"/>
        <w:rPr>
          <w:rFonts w:ascii="Times New Roman" w:eastAsia="Times New Roman" w:hAnsi="Times New Roman" w:cs="Times New Roman"/>
          <w:b/>
        </w:rPr>
      </w:pPr>
      <w:r w:rsidRPr="00A1178A">
        <w:rPr>
          <w:rFonts w:ascii="Times New Roman" w:eastAsia="Times New Roman" w:hAnsi="Times New Roman" w:cs="Times New Roman"/>
          <w:lang w:val="en-GB"/>
        </w:rPr>
        <w:t xml:space="preserve">The idealism of the middle ages – Constantine VII Porphyrogenitus, King St Stephen of Hungary, St Thomas Aquinas </w:t>
      </w:r>
    </w:p>
    <w:p w:rsidR="00A1178A" w:rsidRPr="00A1178A" w:rsidRDefault="00A1178A" w:rsidP="00980876">
      <w:pPr>
        <w:widowControl w:val="0"/>
        <w:numPr>
          <w:ilvl w:val="1"/>
          <w:numId w:val="817"/>
        </w:numPr>
        <w:tabs>
          <w:tab w:val="left" w:pos="709"/>
          <w:tab w:val="left" w:pos="993"/>
        </w:tabs>
        <w:spacing w:before="120" w:after="120" w:line="240" w:lineRule="auto"/>
        <w:ind w:left="426" w:firstLine="0"/>
        <w:jc w:val="both"/>
        <w:rPr>
          <w:rFonts w:ascii="Times New Roman" w:eastAsia="Times New Roman" w:hAnsi="Times New Roman" w:cs="Times New Roman"/>
          <w:b/>
        </w:rPr>
      </w:pPr>
      <w:r w:rsidRPr="00A1178A">
        <w:rPr>
          <w:rFonts w:ascii="Times New Roman" w:eastAsia="Times New Roman" w:hAnsi="Times New Roman" w:cs="Times New Roman"/>
          <w:lang w:val="en-GB"/>
        </w:rPr>
        <w:t xml:space="preserve">The idealism of the renaissance – Dante Alighieri, Niccoló Machiavelli, Philotheus of Pskov. </w:t>
      </w:r>
    </w:p>
    <w:p w:rsidR="00A1178A" w:rsidRPr="00A1178A" w:rsidRDefault="00A1178A" w:rsidP="00980876">
      <w:pPr>
        <w:widowControl w:val="0"/>
        <w:numPr>
          <w:ilvl w:val="1"/>
          <w:numId w:val="817"/>
        </w:numPr>
        <w:tabs>
          <w:tab w:val="left" w:pos="709"/>
          <w:tab w:val="left" w:pos="993"/>
        </w:tabs>
        <w:spacing w:before="120" w:after="120" w:line="240" w:lineRule="auto"/>
        <w:ind w:left="426" w:firstLine="0"/>
        <w:jc w:val="both"/>
        <w:rPr>
          <w:rFonts w:ascii="Times New Roman" w:eastAsia="Times New Roman" w:hAnsi="Times New Roman" w:cs="Times New Roman"/>
          <w:b/>
        </w:rPr>
      </w:pPr>
      <w:r w:rsidRPr="00A1178A">
        <w:rPr>
          <w:rFonts w:ascii="Times New Roman" w:eastAsia="Times New Roman" w:hAnsi="Times New Roman" w:cs="Times New Roman"/>
          <w:lang w:val="en-GB"/>
        </w:rPr>
        <w:t>Absolutism, English Revolution, Civil Wars and the Glorious Revolution in England – Thomas Hobbes and John Locke about the emergence and the function of the state. The Civil Government.</w:t>
      </w:r>
    </w:p>
    <w:p w:rsidR="00A1178A" w:rsidRPr="00A1178A" w:rsidRDefault="00A1178A" w:rsidP="00980876">
      <w:pPr>
        <w:widowControl w:val="0"/>
        <w:numPr>
          <w:ilvl w:val="1"/>
          <w:numId w:val="817"/>
        </w:numPr>
        <w:tabs>
          <w:tab w:val="left" w:pos="709"/>
          <w:tab w:val="left" w:pos="993"/>
        </w:tabs>
        <w:spacing w:before="120" w:after="120" w:line="240" w:lineRule="auto"/>
        <w:ind w:left="426" w:firstLine="0"/>
        <w:jc w:val="both"/>
        <w:rPr>
          <w:rFonts w:ascii="Times New Roman" w:eastAsia="Times New Roman" w:hAnsi="Times New Roman" w:cs="Times New Roman"/>
          <w:b/>
        </w:rPr>
      </w:pPr>
      <w:r w:rsidRPr="00A1178A">
        <w:rPr>
          <w:rFonts w:ascii="Times New Roman" w:eastAsia="Times New Roman" w:hAnsi="Times New Roman" w:cs="Times New Roman"/>
          <w:lang w:val="en-GB"/>
        </w:rPr>
        <w:t>Political thought in Hungary between the 16</w:t>
      </w:r>
      <w:r w:rsidRPr="00A1178A">
        <w:rPr>
          <w:rFonts w:ascii="Times New Roman" w:eastAsia="Times New Roman" w:hAnsi="Times New Roman" w:cs="Times New Roman"/>
          <w:vertAlign w:val="superscript"/>
          <w:lang w:val="en-GB"/>
        </w:rPr>
        <w:t>th</w:t>
      </w:r>
      <w:r w:rsidRPr="00A1178A">
        <w:rPr>
          <w:rFonts w:ascii="Times New Roman" w:eastAsia="Times New Roman" w:hAnsi="Times New Roman" w:cs="Times New Roman"/>
          <w:lang w:val="en-GB"/>
        </w:rPr>
        <w:t xml:space="preserve"> and 18</w:t>
      </w:r>
      <w:r w:rsidRPr="00A1178A">
        <w:rPr>
          <w:rFonts w:ascii="Times New Roman" w:eastAsia="Times New Roman" w:hAnsi="Times New Roman" w:cs="Times New Roman"/>
          <w:vertAlign w:val="superscript"/>
          <w:lang w:val="en-GB"/>
        </w:rPr>
        <w:t>th</w:t>
      </w:r>
      <w:r w:rsidRPr="00A1178A">
        <w:rPr>
          <w:rFonts w:ascii="Times New Roman" w:eastAsia="Times New Roman" w:hAnsi="Times New Roman" w:cs="Times New Roman"/>
          <w:lang w:val="en-GB"/>
        </w:rPr>
        <w:t xml:space="preserve"> century – the political theories of Stephen Werbőcz, Gabriel Bethlen and Francis II Rákóczi. </w:t>
      </w:r>
    </w:p>
    <w:p w:rsidR="00A1178A" w:rsidRPr="00A1178A" w:rsidRDefault="00A1178A" w:rsidP="00980876">
      <w:pPr>
        <w:widowControl w:val="0"/>
        <w:numPr>
          <w:ilvl w:val="1"/>
          <w:numId w:val="817"/>
        </w:numPr>
        <w:tabs>
          <w:tab w:val="left" w:pos="709"/>
          <w:tab w:val="left" w:pos="993"/>
        </w:tabs>
        <w:spacing w:before="120" w:after="120" w:line="240" w:lineRule="auto"/>
        <w:ind w:left="426" w:firstLine="0"/>
        <w:jc w:val="both"/>
        <w:rPr>
          <w:rFonts w:ascii="Times New Roman" w:eastAsia="Times New Roman" w:hAnsi="Times New Roman" w:cs="Times New Roman"/>
          <w:b/>
        </w:rPr>
      </w:pPr>
      <w:r w:rsidRPr="00A1178A">
        <w:rPr>
          <w:rFonts w:ascii="Times New Roman" w:eastAsia="Times New Roman" w:hAnsi="Times New Roman" w:cs="Times New Roman"/>
          <w:lang w:val="en-GB"/>
        </w:rPr>
        <w:t xml:space="preserve">The age of the Enlightenment and the French Revolution. The American Democracy. The Spirit of Law and the separation of state powers: Montesquieu. </w:t>
      </w:r>
    </w:p>
    <w:p w:rsidR="00A1178A" w:rsidRPr="00A1178A" w:rsidRDefault="00A1178A" w:rsidP="00980876">
      <w:pPr>
        <w:widowControl w:val="0"/>
        <w:numPr>
          <w:ilvl w:val="1"/>
          <w:numId w:val="817"/>
        </w:numPr>
        <w:tabs>
          <w:tab w:val="left" w:pos="709"/>
          <w:tab w:val="left" w:pos="993"/>
        </w:tabs>
        <w:spacing w:before="120" w:after="120" w:line="240" w:lineRule="auto"/>
        <w:ind w:left="426" w:firstLine="0"/>
        <w:jc w:val="both"/>
        <w:rPr>
          <w:rFonts w:ascii="Times New Roman" w:eastAsia="Times New Roman" w:hAnsi="Times New Roman" w:cs="Times New Roman"/>
          <w:b/>
        </w:rPr>
      </w:pPr>
      <w:r w:rsidRPr="00A1178A">
        <w:rPr>
          <w:rFonts w:ascii="Times New Roman" w:eastAsia="Times New Roman" w:hAnsi="Times New Roman" w:cs="Times New Roman"/>
          <w:lang w:val="en-GB"/>
        </w:rPr>
        <w:t xml:space="preserve">Political thought in the independent USA: federalism and republicanism. Alexander Hamilton, James Madison and John Jay. </w:t>
      </w:r>
    </w:p>
    <w:p w:rsidR="00A1178A" w:rsidRPr="00A1178A" w:rsidRDefault="00A1178A" w:rsidP="00980876">
      <w:pPr>
        <w:widowControl w:val="0"/>
        <w:numPr>
          <w:ilvl w:val="1"/>
          <w:numId w:val="817"/>
        </w:numPr>
        <w:tabs>
          <w:tab w:val="left" w:pos="709"/>
          <w:tab w:val="left" w:pos="993"/>
        </w:tabs>
        <w:spacing w:before="120" w:after="120" w:line="240" w:lineRule="auto"/>
        <w:ind w:left="426" w:firstLine="0"/>
        <w:jc w:val="both"/>
        <w:rPr>
          <w:rFonts w:ascii="Times New Roman" w:eastAsia="Times New Roman" w:hAnsi="Times New Roman" w:cs="Times New Roman"/>
          <w:b/>
        </w:rPr>
      </w:pPr>
      <w:r w:rsidRPr="00A1178A">
        <w:rPr>
          <w:rFonts w:ascii="Times New Roman" w:eastAsia="Times New Roman" w:hAnsi="Times New Roman" w:cs="Times New Roman"/>
          <w:lang w:val="en-GB"/>
        </w:rPr>
        <w:t xml:space="preserve">Reflections on the Revolution in France: Edmund Burke and the evolution of the conservative thought. </w:t>
      </w:r>
    </w:p>
    <w:p w:rsidR="00A1178A" w:rsidRPr="00A1178A" w:rsidRDefault="00A1178A" w:rsidP="00980876">
      <w:pPr>
        <w:widowControl w:val="0"/>
        <w:numPr>
          <w:ilvl w:val="1"/>
          <w:numId w:val="817"/>
        </w:numPr>
        <w:tabs>
          <w:tab w:val="left" w:pos="709"/>
          <w:tab w:val="left" w:pos="993"/>
        </w:tabs>
        <w:spacing w:before="120" w:after="120" w:line="240" w:lineRule="auto"/>
        <w:ind w:left="426" w:firstLine="0"/>
        <w:jc w:val="both"/>
        <w:rPr>
          <w:rFonts w:ascii="Times New Roman" w:eastAsia="Times New Roman" w:hAnsi="Times New Roman" w:cs="Times New Roman"/>
          <w:b/>
        </w:rPr>
      </w:pPr>
      <w:r w:rsidRPr="00A1178A">
        <w:rPr>
          <w:rFonts w:ascii="Times New Roman" w:eastAsia="Times New Roman" w:hAnsi="Times New Roman" w:cs="Times New Roman"/>
          <w:lang w:val="en-GB"/>
        </w:rPr>
        <w:t xml:space="preserve">The beginning of the American political thought. The American democracy and the constitution in the light of Alexis de Tocqueville. </w:t>
      </w:r>
    </w:p>
    <w:p w:rsidR="00A1178A" w:rsidRPr="00A1178A" w:rsidRDefault="00A1178A" w:rsidP="00980876">
      <w:pPr>
        <w:widowControl w:val="0"/>
        <w:numPr>
          <w:ilvl w:val="1"/>
          <w:numId w:val="817"/>
        </w:numPr>
        <w:tabs>
          <w:tab w:val="left" w:pos="709"/>
          <w:tab w:val="left" w:pos="993"/>
        </w:tabs>
        <w:spacing w:before="120" w:after="120" w:line="240" w:lineRule="auto"/>
        <w:ind w:left="426" w:firstLine="0"/>
        <w:jc w:val="both"/>
        <w:rPr>
          <w:rFonts w:ascii="Times New Roman" w:eastAsia="Times New Roman" w:hAnsi="Times New Roman" w:cs="Times New Roman"/>
          <w:b/>
        </w:rPr>
      </w:pPr>
      <w:r w:rsidRPr="00A1178A">
        <w:rPr>
          <w:rFonts w:ascii="Times New Roman" w:eastAsia="Times New Roman" w:hAnsi="Times New Roman" w:cs="Times New Roman"/>
          <w:lang w:val="en-GB"/>
        </w:rPr>
        <w:t>Political thought in the German culture in the 18-19</w:t>
      </w:r>
      <w:r w:rsidRPr="00A1178A">
        <w:rPr>
          <w:rFonts w:ascii="Times New Roman" w:eastAsia="Times New Roman" w:hAnsi="Times New Roman" w:cs="Times New Roman"/>
          <w:vertAlign w:val="superscript"/>
          <w:lang w:val="en-GB"/>
        </w:rPr>
        <w:t>th</w:t>
      </w:r>
      <w:r w:rsidRPr="00A1178A">
        <w:rPr>
          <w:rFonts w:ascii="Times New Roman" w:eastAsia="Times New Roman" w:hAnsi="Times New Roman" w:cs="Times New Roman"/>
          <w:lang w:val="en-GB"/>
        </w:rPr>
        <w:t xml:space="preserve">: enlightenment, classic German philosophy, socialism: Immanuel Kant, Karl Marx and Friedrich Engels. </w:t>
      </w:r>
    </w:p>
    <w:p w:rsidR="00A1178A" w:rsidRPr="00A1178A" w:rsidRDefault="00A1178A" w:rsidP="00980876">
      <w:pPr>
        <w:widowControl w:val="0"/>
        <w:numPr>
          <w:ilvl w:val="1"/>
          <w:numId w:val="817"/>
        </w:numPr>
        <w:tabs>
          <w:tab w:val="left" w:pos="709"/>
          <w:tab w:val="left" w:pos="993"/>
        </w:tabs>
        <w:spacing w:before="120" w:after="120" w:line="240" w:lineRule="auto"/>
        <w:ind w:left="426" w:firstLine="0"/>
        <w:jc w:val="both"/>
        <w:rPr>
          <w:rFonts w:ascii="Times New Roman" w:eastAsia="Times New Roman" w:hAnsi="Times New Roman" w:cs="Times New Roman"/>
          <w:b/>
        </w:rPr>
      </w:pPr>
      <w:r w:rsidRPr="00A1178A">
        <w:rPr>
          <w:rFonts w:ascii="Times New Roman" w:eastAsia="Times New Roman" w:hAnsi="Times New Roman" w:cs="Times New Roman"/>
          <w:lang w:val="en-GB"/>
        </w:rPr>
        <w:t>Liberal and conservative thinkers in Hungary in the 19</w:t>
      </w:r>
      <w:r w:rsidRPr="00A1178A">
        <w:rPr>
          <w:rFonts w:ascii="Times New Roman" w:eastAsia="Times New Roman" w:hAnsi="Times New Roman" w:cs="Times New Roman"/>
          <w:vertAlign w:val="superscript"/>
          <w:lang w:val="en-GB"/>
        </w:rPr>
        <w:t>th</w:t>
      </w:r>
      <w:r w:rsidRPr="00A1178A">
        <w:rPr>
          <w:rFonts w:ascii="Times New Roman" w:eastAsia="Times New Roman" w:hAnsi="Times New Roman" w:cs="Times New Roman"/>
          <w:lang w:val="en-GB"/>
        </w:rPr>
        <w:t xml:space="preserve"> century: Stephen Széchenyi, Louis Kossuth.</w:t>
      </w:r>
    </w:p>
    <w:p w:rsidR="00A1178A" w:rsidRPr="00A1178A" w:rsidRDefault="00A1178A" w:rsidP="00980876">
      <w:pPr>
        <w:widowControl w:val="0"/>
        <w:numPr>
          <w:ilvl w:val="1"/>
          <w:numId w:val="817"/>
        </w:numPr>
        <w:tabs>
          <w:tab w:val="left" w:pos="709"/>
          <w:tab w:val="left" w:pos="993"/>
        </w:tabs>
        <w:spacing w:before="120" w:after="120" w:line="240" w:lineRule="auto"/>
        <w:ind w:left="426" w:firstLine="0"/>
        <w:jc w:val="both"/>
        <w:rPr>
          <w:rFonts w:ascii="Times New Roman" w:eastAsia="Times New Roman" w:hAnsi="Times New Roman" w:cs="Times New Roman"/>
          <w:b/>
        </w:rPr>
      </w:pPr>
      <w:r w:rsidRPr="00A1178A">
        <w:rPr>
          <w:rFonts w:ascii="Times New Roman" w:eastAsia="Times New Roman" w:hAnsi="Times New Roman" w:cs="Times New Roman"/>
          <w:lang w:val="en-GB"/>
        </w:rPr>
        <w:t>The main trends of the political thought in the 20</w:t>
      </w:r>
      <w:r w:rsidRPr="00A1178A">
        <w:rPr>
          <w:rFonts w:ascii="Times New Roman" w:eastAsia="Times New Roman" w:hAnsi="Times New Roman" w:cs="Times New Roman"/>
          <w:vertAlign w:val="superscript"/>
          <w:lang w:val="en-GB"/>
        </w:rPr>
        <w:t>th</w:t>
      </w:r>
      <w:r w:rsidRPr="00A1178A">
        <w:rPr>
          <w:rFonts w:ascii="Times New Roman" w:eastAsia="Times New Roman" w:hAnsi="Times New Roman" w:cs="Times New Roman"/>
          <w:lang w:val="en-GB"/>
        </w:rPr>
        <w:t xml:space="preserve"> century: Michael Oakeshott. </w:t>
      </w:r>
    </w:p>
    <w:p w:rsidR="00A1178A" w:rsidRPr="00A1178A" w:rsidRDefault="00A1178A" w:rsidP="00980876">
      <w:pPr>
        <w:widowControl w:val="0"/>
        <w:numPr>
          <w:ilvl w:val="1"/>
          <w:numId w:val="817"/>
        </w:numPr>
        <w:tabs>
          <w:tab w:val="left" w:pos="709"/>
          <w:tab w:val="left" w:pos="993"/>
        </w:tabs>
        <w:spacing w:before="120" w:after="120" w:line="240" w:lineRule="auto"/>
        <w:ind w:left="426" w:firstLine="0"/>
        <w:jc w:val="both"/>
        <w:rPr>
          <w:rFonts w:ascii="Times New Roman" w:eastAsia="Times New Roman" w:hAnsi="Times New Roman" w:cs="Times New Roman"/>
          <w:b/>
        </w:rPr>
      </w:pPr>
      <w:r w:rsidRPr="00A1178A">
        <w:rPr>
          <w:rFonts w:ascii="Times New Roman" w:eastAsia="Times New Roman" w:hAnsi="Times New Roman" w:cs="Times New Roman"/>
          <w:lang w:val="en-GB"/>
        </w:rPr>
        <w:t>The political and social challenges of the Hungarian 20</w:t>
      </w:r>
      <w:r w:rsidRPr="00A1178A">
        <w:rPr>
          <w:rFonts w:ascii="Times New Roman" w:eastAsia="Times New Roman" w:hAnsi="Times New Roman" w:cs="Times New Roman"/>
          <w:vertAlign w:val="superscript"/>
          <w:lang w:val="en-GB"/>
        </w:rPr>
        <w:t>th</w:t>
      </w:r>
      <w:r w:rsidRPr="00A1178A">
        <w:rPr>
          <w:rFonts w:ascii="Times New Roman" w:eastAsia="Times New Roman" w:hAnsi="Times New Roman" w:cs="Times New Roman"/>
          <w:lang w:val="en-GB"/>
        </w:rPr>
        <w:t xml:space="preserve"> century and the Hungarian political thought: Louis Prohászka, Alexander Márai.</w:t>
      </w:r>
    </w:p>
    <w:p w:rsidR="00A1178A" w:rsidRPr="00A1178A" w:rsidRDefault="00A1178A" w:rsidP="00980876">
      <w:pPr>
        <w:widowControl w:val="0"/>
        <w:numPr>
          <w:ilvl w:val="1"/>
          <w:numId w:val="817"/>
        </w:numPr>
        <w:tabs>
          <w:tab w:val="left" w:pos="709"/>
          <w:tab w:val="left" w:pos="993"/>
        </w:tabs>
        <w:spacing w:before="120" w:after="120" w:line="240" w:lineRule="auto"/>
        <w:ind w:left="426" w:firstLine="0"/>
        <w:jc w:val="both"/>
        <w:rPr>
          <w:rFonts w:ascii="Times New Roman" w:eastAsia="Times New Roman" w:hAnsi="Times New Roman" w:cs="Times New Roman"/>
          <w:b/>
        </w:rPr>
      </w:pPr>
      <w:r w:rsidRPr="00A1178A">
        <w:rPr>
          <w:rFonts w:ascii="Times New Roman" w:eastAsia="Times New Roman" w:hAnsi="Times New Roman" w:cs="Times New Roman"/>
          <w:lang w:val="en-GB"/>
        </w:rPr>
        <w:t>The political and social challenges of the Hungarian 20</w:t>
      </w:r>
      <w:r w:rsidRPr="00A1178A">
        <w:rPr>
          <w:rFonts w:ascii="Times New Roman" w:eastAsia="Times New Roman" w:hAnsi="Times New Roman" w:cs="Times New Roman"/>
          <w:vertAlign w:val="superscript"/>
          <w:lang w:val="en-GB"/>
        </w:rPr>
        <w:t>th</w:t>
      </w:r>
      <w:r w:rsidRPr="00A1178A">
        <w:rPr>
          <w:rFonts w:ascii="Times New Roman" w:eastAsia="Times New Roman" w:hAnsi="Times New Roman" w:cs="Times New Roman"/>
          <w:lang w:val="en-GB"/>
        </w:rPr>
        <w:t xml:space="preserve"> century and the Hungarian </w:t>
      </w:r>
      <w:r w:rsidRPr="00A1178A">
        <w:rPr>
          <w:rFonts w:ascii="Times New Roman" w:eastAsia="Times New Roman" w:hAnsi="Times New Roman" w:cs="Times New Roman"/>
          <w:lang w:val="en-GB"/>
        </w:rPr>
        <w:lastRenderedPageBreak/>
        <w:t>political thought: Stephen Bibó.</w:t>
      </w:r>
    </w:p>
    <w:p w:rsidR="00A1178A" w:rsidRPr="00A1178A" w:rsidRDefault="00A1178A" w:rsidP="00980876">
      <w:pPr>
        <w:widowControl w:val="0"/>
        <w:numPr>
          <w:ilvl w:val="1"/>
          <w:numId w:val="817"/>
        </w:numPr>
        <w:tabs>
          <w:tab w:val="left" w:pos="709"/>
          <w:tab w:val="left" w:pos="993"/>
        </w:tabs>
        <w:spacing w:before="120" w:after="120" w:line="240" w:lineRule="auto"/>
        <w:ind w:left="426" w:firstLine="0"/>
        <w:jc w:val="both"/>
        <w:rPr>
          <w:rFonts w:ascii="Times New Roman" w:eastAsia="Times New Roman" w:hAnsi="Times New Roman" w:cs="Times New Roman"/>
          <w:b/>
        </w:rPr>
      </w:pPr>
      <w:r w:rsidRPr="00A1178A">
        <w:rPr>
          <w:rFonts w:ascii="Times New Roman" w:eastAsia="Times New Roman" w:hAnsi="Times New Roman" w:cs="Times New Roman"/>
          <w:lang w:val="en-GB"/>
        </w:rPr>
        <w:t xml:space="preserve">Anti-Semitism – preconceited acts. Alexander Nádas, Pál Teleki. </w:t>
      </w:r>
    </w:p>
    <w:p w:rsidR="00A1178A" w:rsidRPr="00A1178A" w:rsidRDefault="00A1178A" w:rsidP="00980876">
      <w:pPr>
        <w:widowControl w:val="0"/>
        <w:numPr>
          <w:ilvl w:val="1"/>
          <w:numId w:val="817"/>
        </w:numPr>
        <w:tabs>
          <w:tab w:val="left" w:pos="709"/>
          <w:tab w:val="left" w:pos="993"/>
        </w:tabs>
        <w:spacing w:before="120" w:after="120" w:line="240" w:lineRule="auto"/>
        <w:ind w:left="426" w:firstLine="0"/>
        <w:jc w:val="both"/>
        <w:rPr>
          <w:rFonts w:ascii="Times New Roman" w:eastAsia="Times New Roman" w:hAnsi="Times New Roman" w:cs="Times New Roman"/>
          <w:b/>
        </w:rPr>
      </w:pPr>
      <w:r w:rsidRPr="00A1178A">
        <w:rPr>
          <w:rFonts w:ascii="Times New Roman" w:eastAsia="Times New Roman" w:hAnsi="Times New Roman" w:cs="Times New Roman"/>
          <w:lang w:val="en-GB"/>
        </w:rPr>
        <w:t>Museum visit (The Holocaust Memorial Museum or the House of Terror)</w:t>
      </w:r>
    </w:p>
    <w:p w:rsidR="00A1178A" w:rsidRPr="00A1178A" w:rsidRDefault="00A1178A" w:rsidP="00980876">
      <w:pPr>
        <w:widowControl w:val="0"/>
        <w:numPr>
          <w:ilvl w:val="0"/>
          <w:numId w:val="817"/>
        </w:numPr>
        <w:spacing w:before="120" w:after="120" w:line="240" w:lineRule="auto"/>
        <w:ind w:left="426" w:hanging="142"/>
        <w:jc w:val="both"/>
        <w:rPr>
          <w:rFonts w:ascii="Times New Roman" w:eastAsia="Times New Roman" w:hAnsi="Times New Roman" w:cs="Times New Roman"/>
          <w:bCs/>
        </w:rPr>
      </w:pPr>
      <w:r w:rsidRPr="00A1178A">
        <w:rPr>
          <w:rFonts w:ascii="Times New Roman" w:eastAsia="Times New Roman" w:hAnsi="Times New Roman" w:cs="Times New Roman"/>
          <w:b/>
          <w:bCs/>
        </w:rPr>
        <w:t xml:space="preserve">A tantárgy meghirdetésének gyakorisága/a tantervben történő félévi elhelyezkedése: </w:t>
      </w:r>
      <w:r w:rsidRPr="00A1178A">
        <w:rPr>
          <w:rFonts w:ascii="Times New Roman" w:eastAsia="Times New Roman" w:hAnsi="Times New Roman" w:cs="Times New Roman"/>
        </w:rPr>
        <w:t>őszi és tavaszi félév</w:t>
      </w:r>
    </w:p>
    <w:p w:rsidR="00A1178A" w:rsidRPr="00A1178A" w:rsidRDefault="00A1178A" w:rsidP="00980876">
      <w:pPr>
        <w:widowControl w:val="0"/>
        <w:numPr>
          <w:ilvl w:val="0"/>
          <w:numId w:val="817"/>
        </w:numPr>
        <w:spacing w:before="120" w:after="120" w:line="240" w:lineRule="auto"/>
        <w:ind w:left="426" w:hanging="142"/>
        <w:jc w:val="both"/>
        <w:rPr>
          <w:rFonts w:ascii="Times New Roman" w:eastAsia="Times New Roman" w:hAnsi="Times New Roman" w:cs="Times New Roman"/>
          <w:bCs/>
        </w:rPr>
      </w:pPr>
      <w:r w:rsidRPr="00A1178A">
        <w:rPr>
          <w:rFonts w:ascii="Times New Roman" w:eastAsia="Times New Roman" w:hAnsi="Times New Roman" w:cs="Times New Roman"/>
          <w:b/>
          <w:bCs/>
        </w:rPr>
        <w:t>A tanórákon való részvétel követelményei, az elfogadható hiányzások mértéke, a távolmaradás pótlásának lehetősége:</w:t>
      </w:r>
      <w:r w:rsidRPr="00A1178A">
        <w:rPr>
          <w:rFonts w:ascii="Times New Roman" w:eastAsia="Times New Roman" w:hAnsi="Times New Roman" w:cs="Times New Roman"/>
          <w:bCs/>
        </w:rPr>
        <w:t xml:space="preserve"> </w:t>
      </w:r>
    </w:p>
    <w:p w:rsidR="00A1178A" w:rsidRPr="00A1178A" w:rsidRDefault="00A1178A" w:rsidP="00A1178A">
      <w:pPr>
        <w:widowControl w:val="0"/>
        <w:spacing w:before="120" w:after="120" w:line="240" w:lineRule="auto"/>
        <w:ind w:left="426"/>
        <w:jc w:val="both"/>
        <w:rPr>
          <w:rFonts w:ascii="Times New Roman" w:eastAsia="Times New Roman" w:hAnsi="Times New Roman" w:cs="Times New Roman"/>
          <w:bCs/>
        </w:rPr>
      </w:pPr>
      <w:r w:rsidRPr="00A1178A">
        <w:rPr>
          <w:rFonts w:ascii="Times New Roman" w:eastAsia="Times New Roman" w:hAnsi="Times New Roman" w:cs="Times New Roman"/>
          <w:noProof/>
        </w:rPr>
        <w:t>A félévi aláírás megszerzésének feltétele az órák legalább 75 százalékán – legalább tizenegy foglalkozáson – való részvétel, a véleménycserében való aktív és értékelhető részvétel, legalább egy referátum tartása, valamint a  kurzust záró 42 pontos feleletválasztós teszt eredményes, legalább elégségesre értékelt kitöltés, továbbá a múzeumlátogatás igazolt teljesítése.</w:t>
      </w:r>
      <w:r w:rsidRPr="00A1178A">
        <w:rPr>
          <w:rFonts w:ascii="Times New Roman" w:eastAsia="Times New Roman" w:hAnsi="Times New Roman" w:cs="Times New Roman"/>
          <w:bCs/>
        </w:rPr>
        <w:t xml:space="preserve"> A referátumok és az órai aktivitás alapján jelesre értékelt hallgatók mentesülnek a zárthelyi megírása alól.</w:t>
      </w:r>
    </w:p>
    <w:p w:rsidR="00A1178A" w:rsidRPr="00A1178A" w:rsidRDefault="00A1178A" w:rsidP="00980876">
      <w:pPr>
        <w:widowControl w:val="0"/>
        <w:numPr>
          <w:ilvl w:val="0"/>
          <w:numId w:val="817"/>
        </w:numPr>
        <w:spacing w:before="120" w:after="120" w:line="240" w:lineRule="auto"/>
        <w:ind w:left="426" w:hanging="142"/>
        <w:jc w:val="both"/>
        <w:rPr>
          <w:rFonts w:ascii="Times New Roman" w:eastAsia="Times New Roman" w:hAnsi="Times New Roman" w:cs="Times New Roman"/>
          <w:bCs/>
        </w:rPr>
      </w:pPr>
      <w:r w:rsidRPr="00A1178A">
        <w:rPr>
          <w:rFonts w:ascii="Times New Roman" w:eastAsia="Times New Roman" w:hAnsi="Times New Roman" w:cs="Times New Roman"/>
          <w:b/>
        </w:rPr>
        <w:t>Félévközi feladatok, ismeretek ellenőrzésének rendje:</w:t>
      </w:r>
      <w:r w:rsidRPr="00A1178A">
        <w:rPr>
          <w:rFonts w:ascii="Times New Roman" w:eastAsia="Times New Roman" w:hAnsi="Times New Roman" w:cs="Times New Roman"/>
          <w:bCs/>
        </w:rPr>
        <w:t xml:space="preserve"> </w:t>
      </w:r>
    </w:p>
    <w:p w:rsidR="00A1178A" w:rsidRPr="00A1178A" w:rsidRDefault="00A1178A" w:rsidP="00A1178A">
      <w:pPr>
        <w:widowControl w:val="0"/>
        <w:spacing w:before="120" w:after="120" w:line="240" w:lineRule="auto"/>
        <w:ind w:left="426"/>
        <w:jc w:val="both"/>
        <w:rPr>
          <w:rFonts w:ascii="Times New Roman" w:eastAsia="Times New Roman" w:hAnsi="Times New Roman" w:cs="Times New Roman"/>
          <w:bCs/>
        </w:rPr>
      </w:pPr>
      <w:r w:rsidRPr="00A1178A">
        <w:rPr>
          <w:rFonts w:ascii="Times New Roman" w:eastAsia="Times New Roman" w:hAnsi="Times New Roman" w:cs="Times New Roman"/>
          <w:bCs/>
        </w:rPr>
        <w:t>Referátum tartása, aktív órai részvétel, a kötelező félév közbeni zárthelyi dolgozat legalább elégséges érdemjegyre történő teljesítése, a kijelölt múzeum meglátogatása.</w:t>
      </w:r>
    </w:p>
    <w:p w:rsidR="00A1178A" w:rsidRPr="00A1178A" w:rsidRDefault="00A1178A" w:rsidP="00980876">
      <w:pPr>
        <w:widowControl w:val="0"/>
        <w:numPr>
          <w:ilvl w:val="0"/>
          <w:numId w:val="817"/>
        </w:numPr>
        <w:spacing w:before="120" w:after="120" w:line="240" w:lineRule="auto"/>
        <w:ind w:left="426" w:hanging="142"/>
        <w:jc w:val="both"/>
        <w:rPr>
          <w:rFonts w:ascii="Times New Roman" w:eastAsia="Times New Roman" w:hAnsi="Times New Roman" w:cs="Times New Roman"/>
          <w:b/>
          <w:bCs/>
        </w:rPr>
      </w:pPr>
      <w:r w:rsidRPr="00A1178A">
        <w:rPr>
          <w:rFonts w:ascii="Times New Roman" w:eastAsia="Times New Roman" w:hAnsi="Times New Roman" w:cs="Times New Roman"/>
          <w:b/>
          <w:bCs/>
        </w:rPr>
        <w:t xml:space="preserve">Az értékelés, az aláírás és a kreditek megszerzésének pontos feltételei: </w:t>
      </w:r>
    </w:p>
    <w:p w:rsidR="00A1178A" w:rsidRPr="00A1178A" w:rsidRDefault="00A1178A" w:rsidP="00980876">
      <w:pPr>
        <w:widowControl w:val="0"/>
        <w:numPr>
          <w:ilvl w:val="1"/>
          <w:numId w:val="817"/>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A1178A">
        <w:rPr>
          <w:rFonts w:ascii="Times New Roman" w:eastAsia="Times New Roman" w:hAnsi="Times New Roman" w:cs="Times New Roman"/>
          <w:b/>
        </w:rPr>
        <w:t>Az aláírás megszerzésének feltételei:</w:t>
      </w:r>
      <w:r w:rsidRPr="00A1178A">
        <w:rPr>
          <w:rFonts w:ascii="Times New Roman" w:eastAsia="Times New Roman" w:hAnsi="Times New Roman" w:cs="Times New Roman"/>
        </w:rPr>
        <w:t xml:space="preserve"> </w:t>
      </w:r>
      <w:r w:rsidRPr="00A1178A">
        <w:rPr>
          <w:rFonts w:ascii="Times New Roman" w:eastAsia="Calibri" w:hAnsi="Times New Roman" w:cs="Times New Roman"/>
        </w:rPr>
        <w:t>Az aláírás megszerzéséhez legalább tizenegy órán kötelező megjelenni. A foglalkozásokon elvárt az aktív részvétel. Az aláírás megszerzésének feltétele továbbá a múzeumlátogatás igazolt teljesítése.</w:t>
      </w:r>
    </w:p>
    <w:p w:rsidR="00A1178A" w:rsidRPr="00A1178A" w:rsidRDefault="00A1178A" w:rsidP="00980876">
      <w:pPr>
        <w:widowControl w:val="0"/>
        <w:numPr>
          <w:ilvl w:val="1"/>
          <w:numId w:val="817"/>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A1178A">
        <w:rPr>
          <w:rFonts w:ascii="Times New Roman" w:eastAsia="Times New Roman" w:hAnsi="Times New Roman" w:cs="Times New Roman"/>
          <w:b/>
        </w:rPr>
        <w:t>Az értékelés:</w:t>
      </w:r>
      <w:r w:rsidRPr="00A1178A">
        <w:rPr>
          <w:rFonts w:ascii="Times New Roman" w:eastAsia="Times New Roman" w:hAnsi="Times New Roman" w:cs="Times New Roman"/>
        </w:rPr>
        <w:t xml:space="preserve"> </w:t>
      </w:r>
      <w:r w:rsidRPr="00A1178A">
        <w:rPr>
          <w:rFonts w:ascii="Times New Roman" w:eastAsia="Calibri" w:hAnsi="Times New Roman" w:cs="Times New Roman"/>
        </w:rPr>
        <w:t xml:space="preserve">A kreditek megszerzéséhez kötelező a félév közbeni zárthelyi dolgozat legalább elégséges érdemjegyre történő teljesítése. </w:t>
      </w:r>
    </w:p>
    <w:p w:rsidR="00A1178A" w:rsidRPr="00A1178A" w:rsidRDefault="00A1178A" w:rsidP="00980876">
      <w:pPr>
        <w:widowControl w:val="0"/>
        <w:numPr>
          <w:ilvl w:val="1"/>
          <w:numId w:val="817"/>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A1178A">
        <w:rPr>
          <w:rFonts w:ascii="Times New Roman" w:eastAsia="Times New Roman" w:hAnsi="Times New Roman" w:cs="Times New Roman"/>
          <w:b/>
        </w:rPr>
        <w:t>A kreditek megszerzésének feltételei:</w:t>
      </w:r>
      <w:r w:rsidRPr="00A1178A">
        <w:rPr>
          <w:rFonts w:ascii="Times New Roman" w:eastAsia="Times New Roman" w:hAnsi="Times New Roman" w:cs="Times New Roman"/>
        </w:rPr>
        <w:t xml:space="preserve"> </w:t>
      </w:r>
      <w:r w:rsidRPr="00A1178A">
        <w:rPr>
          <w:rFonts w:ascii="Times New Roman" w:eastAsia="Calibri" w:hAnsi="Times New Roman" w:cs="Times New Roman"/>
        </w:rPr>
        <w:t>A kreditek megszerzésének feltétele az aláírás megszerzése és a félév közbeni zárthelyi dolgozat legalább elégséges érdemjegyre történő teljesítése. A referátumok és az órai aktivitás alapján jelesre értékelt hallgatók mentesülnek a zárthelyi megírása alól.</w:t>
      </w:r>
    </w:p>
    <w:p w:rsidR="00A1178A" w:rsidRPr="00A1178A" w:rsidRDefault="00A1178A" w:rsidP="00980876">
      <w:pPr>
        <w:widowControl w:val="0"/>
        <w:numPr>
          <w:ilvl w:val="0"/>
          <w:numId w:val="817"/>
        </w:numPr>
        <w:spacing w:before="120" w:after="120" w:line="240" w:lineRule="auto"/>
        <w:ind w:left="426" w:hanging="142"/>
        <w:jc w:val="both"/>
        <w:rPr>
          <w:rFonts w:ascii="Times New Roman" w:eastAsia="Times New Roman" w:hAnsi="Times New Roman" w:cs="Times New Roman"/>
          <w:bCs/>
        </w:rPr>
      </w:pPr>
      <w:r w:rsidRPr="00A1178A">
        <w:rPr>
          <w:rFonts w:ascii="Times New Roman" w:eastAsia="Times New Roman" w:hAnsi="Times New Roman" w:cs="Times New Roman"/>
          <w:b/>
          <w:bCs/>
        </w:rPr>
        <w:t>Irodalomjegyzék:</w:t>
      </w:r>
    </w:p>
    <w:p w:rsidR="00A1178A" w:rsidRPr="00A1178A" w:rsidRDefault="00A1178A" w:rsidP="00980876">
      <w:pPr>
        <w:widowControl w:val="0"/>
        <w:numPr>
          <w:ilvl w:val="1"/>
          <w:numId w:val="817"/>
        </w:numPr>
        <w:tabs>
          <w:tab w:val="left" w:pos="567"/>
          <w:tab w:val="left" w:pos="851"/>
        </w:tabs>
        <w:spacing w:before="120" w:after="120" w:line="240" w:lineRule="auto"/>
        <w:ind w:left="426" w:hanging="142"/>
        <w:jc w:val="both"/>
        <w:rPr>
          <w:rFonts w:ascii="Times New Roman" w:eastAsia="Times New Roman" w:hAnsi="Times New Roman" w:cs="Times New Roman"/>
          <w:bCs/>
        </w:rPr>
      </w:pPr>
      <w:r w:rsidRPr="00A1178A">
        <w:rPr>
          <w:rFonts w:ascii="Times New Roman" w:eastAsia="Times New Roman" w:hAnsi="Times New Roman" w:cs="Times New Roman"/>
          <w:b/>
          <w:bCs/>
        </w:rPr>
        <w:t>Kötelező irodalom:</w:t>
      </w:r>
    </w:p>
    <w:p w:rsidR="00A1178A" w:rsidRPr="00A1178A" w:rsidRDefault="00A1178A" w:rsidP="00980876">
      <w:pPr>
        <w:widowControl w:val="0"/>
        <w:numPr>
          <w:ilvl w:val="0"/>
          <w:numId w:val="818"/>
        </w:numPr>
        <w:spacing w:after="0" w:line="240" w:lineRule="auto"/>
        <w:jc w:val="both"/>
        <w:rPr>
          <w:rFonts w:ascii="Times New Roman" w:eastAsia="Times New Roman" w:hAnsi="Times New Roman" w:cs="Times New Roman"/>
        </w:rPr>
      </w:pPr>
      <w:r w:rsidRPr="00A1178A">
        <w:rPr>
          <w:rFonts w:ascii="Times New Roman" w:eastAsia="Calibri" w:hAnsi="Times New Roman" w:cs="Times New Roman"/>
        </w:rPr>
        <w:t xml:space="preserve">Hörcher Ferenc – Pongrácz Alex (szerk.): Ludoviceum I. Anthologia Philosophico-Politica. Fejezetek a politikai gondolkodás történetéből. Nemzeti Közszolgálati Egyetem Közigazgatási Továbbképzési Intézet, Budapest, 2020. ISBN: </w:t>
      </w:r>
      <w:hyperlink r:id="rId8" w:tgtFrame="_blank" w:tooltip="9789634982555" w:history="1">
        <w:r w:rsidRPr="00A1178A">
          <w:rPr>
            <w:rFonts w:ascii="Times New Roman" w:eastAsia="Calibri" w:hAnsi="Times New Roman" w:cs="Times New Roman"/>
            <w:color w:val="000000"/>
            <w:u w:val="single"/>
          </w:rPr>
          <w:t>978-963-498-255-5</w:t>
        </w:r>
      </w:hyperlink>
    </w:p>
    <w:p w:rsidR="00A1178A" w:rsidRPr="00A1178A" w:rsidRDefault="00A1178A" w:rsidP="00980876">
      <w:pPr>
        <w:widowControl w:val="0"/>
        <w:numPr>
          <w:ilvl w:val="1"/>
          <w:numId w:val="817"/>
        </w:numPr>
        <w:spacing w:before="120" w:after="120" w:line="240" w:lineRule="auto"/>
        <w:ind w:left="993" w:hanging="709"/>
        <w:jc w:val="both"/>
        <w:rPr>
          <w:rFonts w:ascii="Times New Roman" w:eastAsia="Times New Roman" w:hAnsi="Times New Roman" w:cs="Times New Roman"/>
          <w:b/>
          <w:bCs/>
        </w:rPr>
      </w:pPr>
      <w:r w:rsidRPr="00A1178A">
        <w:rPr>
          <w:rFonts w:ascii="Times New Roman" w:eastAsia="Times New Roman" w:hAnsi="Times New Roman" w:cs="Times New Roman"/>
          <w:b/>
          <w:bCs/>
        </w:rPr>
        <w:t>Ajánlott irodalom:</w:t>
      </w:r>
    </w:p>
    <w:p w:rsidR="00A1178A" w:rsidRPr="00A1178A" w:rsidRDefault="00A1178A" w:rsidP="00980876">
      <w:pPr>
        <w:widowControl w:val="0"/>
        <w:numPr>
          <w:ilvl w:val="0"/>
          <w:numId w:val="819"/>
        </w:numPr>
        <w:spacing w:after="0" w:line="240" w:lineRule="auto"/>
        <w:contextualSpacing/>
        <w:jc w:val="both"/>
        <w:rPr>
          <w:rFonts w:ascii="Times New Roman" w:eastAsia="Times New Roman" w:hAnsi="Times New Roman" w:cs="Times New Roman"/>
        </w:rPr>
      </w:pPr>
      <w:r w:rsidRPr="00A1178A">
        <w:rPr>
          <w:rFonts w:ascii="Times New Roman" w:eastAsia="Times New Roman" w:hAnsi="Times New Roman" w:cs="Times New Roman"/>
        </w:rPr>
        <w:t xml:space="preserve">Takáts József: Modern magyar politikai eszmetörténet. Osiris Kiadó, Budapest, 2007. ISBN </w:t>
      </w:r>
      <w:r w:rsidRPr="00A1178A">
        <w:rPr>
          <w:rFonts w:ascii="Times New Roman" w:eastAsia="Calibri" w:hAnsi="Times New Roman" w:cs="Times New Roman"/>
        </w:rPr>
        <w:t>9789633899168.</w:t>
      </w:r>
    </w:p>
    <w:p w:rsidR="00A1178A" w:rsidRPr="00A1178A" w:rsidRDefault="00A1178A" w:rsidP="00980876">
      <w:pPr>
        <w:widowControl w:val="0"/>
        <w:numPr>
          <w:ilvl w:val="0"/>
          <w:numId w:val="819"/>
        </w:numPr>
        <w:spacing w:after="0" w:line="240" w:lineRule="auto"/>
        <w:contextualSpacing/>
        <w:jc w:val="both"/>
        <w:rPr>
          <w:rFonts w:ascii="Times New Roman" w:eastAsia="Times New Roman" w:hAnsi="Times New Roman" w:cs="Times New Roman"/>
        </w:rPr>
      </w:pPr>
      <w:r w:rsidRPr="00A1178A">
        <w:rPr>
          <w:rFonts w:ascii="Times New Roman" w:eastAsia="Times New Roman" w:hAnsi="Times New Roman" w:cs="Times New Roman"/>
          <w:noProof/>
        </w:rPr>
        <w:t>Schlett István: A politikai gondolkodás története Magyarországon I-III. Századvég, Budapest, 2009-2018. ISBN: 9786155164378</w:t>
      </w:r>
    </w:p>
    <w:p w:rsidR="00A1178A" w:rsidRPr="00A1178A" w:rsidRDefault="00A1178A" w:rsidP="00A1178A">
      <w:pPr>
        <w:widowControl w:val="0"/>
        <w:spacing w:after="0" w:line="240" w:lineRule="auto"/>
        <w:ind w:left="720"/>
        <w:contextualSpacing/>
        <w:jc w:val="both"/>
        <w:rPr>
          <w:rFonts w:ascii="Times New Roman" w:eastAsia="Times New Roman" w:hAnsi="Times New Roman" w:cs="Times New Roman"/>
          <w:highlight w:val="lightGray"/>
        </w:rPr>
      </w:pPr>
    </w:p>
    <w:p w:rsidR="00A1178A" w:rsidRPr="00A1178A" w:rsidRDefault="00A1178A" w:rsidP="00A1178A">
      <w:pPr>
        <w:widowControl w:val="0"/>
        <w:spacing w:after="0" w:line="240" w:lineRule="auto"/>
        <w:ind w:left="142"/>
        <w:jc w:val="both"/>
        <w:rPr>
          <w:rFonts w:ascii="Times New Roman" w:eastAsia="Times New Roman" w:hAnsi="Times New Roman" w:cs="Times New Roman"/>
        </w:rPr>
      </w:pPr>
      <w:r w:rsidRPr="00A1178A">
        <w:rPr>
          <w:rFonts w:ascii="Times New Roman" w:eastAsia="Times New Roman" w:hAnsi="Times New Roman" w:cs="Times New Roman"/>
          <w:bCs/>
        </w:rPr>
        <w:t xml:space="preserve">Budapest, 2020. április 28.  </w:t>
      </w:r>
    </w:p>
    <w:p w:rsidR="00A1178A" w:rsidRPr="00A1178A" w:rsidRDefault="00A1178A" w:rsidP="00A1178A">
      <w:pPr>
        <w:widowControl w:val="0"/>
        <w:spacing w:before="120" w:after="120" w:line="240" w:lineRule="auto"/>
        <w:jc w:val="both"/>
        <w:rPr>
          <w:rFonts w:ascii="Times New Roman" w:eastAsia="Times New Roman" w:hAnsi="Times New Roman" w:cs="Times New Roman"/>
          <w:bCs/>
        </w:rPr>
      </w:pPr>
    </w:p>
    <w:p w:rsidR="00A1178A" w:rsidRPr="00A1178A" w:rsidRDefault="00A1178A" w:rsidP="00A1178A">
      <w:pPr>
        <w:widowControl w:val="0"/>
        <w:spacing w:after="0" w:line="240" w:lineRule="auto"/>
        <w:jc w:val="right"/>
        <w:rPr>
          <w:rFonts w:ascii="Times New Roman" w:eastAsia="Times New Roman" w:hAnsi="Times New Roman" w:cs="Times New Roman"/>
          <w:bCs/>
        </w:rPr>
      </w:pPr>
      <w:r w:rsidRPr="00A1178A">
        <w:rPr>
          <w:rFonts w:ascii="Times New Roman" w:eastAsia="Times New Roman" w:hAnsi="Times New Roman" w:cs="Times New Roman"/>
          <w:bCs/>
        </w:rPr>
        <w:t xml:space="preserve">Dr. Hörcher Ferenc s. k. </w:t>
      </w:r>
    </w:p>
    <w:p w:rsidR="0084355D" w:rsidRDefault="0084355D">
      <w:r>
        <w:br w:type="page"/>
      </w:r>
    </w:p>
    <w:tbl>
      <w:tblPr>
        <w:tblW w:w="9072" w:type="dxa"/>
        <w:tblInd w:w="113" w:type="dxa"/>
        <w:tblLook w:val="01E0" w:firstRow="1" w:lastRow="1" w:firstColumn="1" w:lastColumn="1" w:noHBand="0" w:noVBand="0"/>
      </w:tblPr>
      <w:tblGrid>
        <w:gridCol w:w="5694"/>
        <w:gridCol w:w="781"/>
        <w:gridCol w:w="2597"/>
      </w:tblGrid>
      <w:tr w:rsidR="009F402C" w:rsidRPr="009F402C" w:rsidTr="004B298F">
        <w:tc>
          <w:tcPr>
            <w:tcW w:w="5694" w:type="dxa"/>
          </w:tcPr>
          <w:p w:rsidR="009F402C" w:rsidRPr="009F402C" w:rsidRDefault="009F402C" w:rsidP="009F402C">
            <w:pPr>
              <w:autoSpaceDE w:val="0"/>
              <w:autoSpaceDN w:val="0"/>
              <w:adjustRightInd w:val="0"/>
              <w:spacing w:after="0" w:line="240" w:lineRule="auto"/>
              <w:jc w:val="center"/>
              <w:rPr>
                <w:rFonts w:ascii="Times New Roman" w:eastAsia="Times New Roman" w:hAnsi="Times New Roman" w:cs="Times New Roman"/>
                <w:b/>
                <w:smallCaps/>
                <w:lang w:eastAsia="hu-HU"/>
              </w:rPr>
            </w:pPr>
            <w:r w:rsidRPr="009F402C">
              <w:rPr>
                <w:rFonts w:ascii="Times New Roman" w:eastAsia="Times New Roman" w:hAnsi="Times New Roman" w:cs="Times New Roman"/>
                <w:b/>
                <w:smallCaps/>
                <w:lang w:eastAsia="hu-HU"/>
              </w:rPr>
              <w:lastRenderedPageBreak/>
              <w:t>Nemzeti Közszolgálati Egyetem</w:t>
            </w:r>
          </w:p>
        </w:tc>
        <w:tc>
          <w:tcPr>
            <w:tcW w:w="781" w:type="dxa"/>
            <w:tcBorders>
              <w:left w:val="nil"/>
            </w:tcBorders>
          </w:tcPr>
          <w:p w:rsidR="009F402C" w:rsidRPr="009F402C" w:rsidRDefault="009F402C" w:rsidP="009F402C">
            <w:pPr>
              <w:autoSpaceDE w:val="0"/>
              <w:autoSpaceDN w:val="0"/>
              <w:adjustRightInd w:val="0"/>
              <w:spacing w:after="0" w:line="240" w:lineRule="auto"/>
              <w:jc w:val="both"/>
              <w:rPr>
                <w:rFonts w:ascii="Times New Roman" w:eastAsia="Times New Roman" w:hAnsi="Times New Roman" w:cs="Times New Roman"/>
                <w:lang w:eastAsia="hu-HU"/>
              </w:rPr>
            </w:pPr>
          </w:p>
        </w:tc>
        <w:tc>
          <w:tcPr>
            <w:tcW w:w="2597" w:type="dxa"/>
          </w:tcPr>
          <w:p w:rsidR="009F402C" w:rsidRPr="009F402C" w:rsidRDefault="009F402C" w:rsidP="009F402C">
            <w:pPr>
              <w:autoSpaceDE w:val="0"/>
              <w:autoSpaceDN w:val="0"/>
              <w:adjustRightInd w:val="0"/>
              <w:spacing w:after="0" w:line="240" w:lineRule="auto"/>
              <w:jc w:val="right"/>
              <w:rPr>
                <w:rFonts w:ascii="Times New Roman" w:eastAsia="Times New Roman" w:hAnsi="Times New Roman" w:cs="Times New Roman"/>
                <w:lang w:eastAsia="hu-HU"/>
              </w:rPr>
            </w:pPr>
          </w:p>
        </w:tc>
      </w:tr>
      <w:tr w:rsidR="009F402C" w:rsidRPr="009F402C" w:rsidTr="004B298F">
        <w:tc>
          <w:tcPr>
            <w:tcW w:w="5694" w:type="dxa"/>
          </w:tcPr>
          <w:p w:rsidR="009F402C" w:rsidRPr="009F402C" w:rsidRDefault="009F402C" w:rsidP="009F402C">
            <w:pPr>
              <w:autoSpaceDE w:val="0"/>
              <w:autoSpaceDN w:val="0"/>
              <w:adjustRightInd w:val="0"/>
              <w:spacing w:after="0" w:line="240" w:lineRule="auto"/>
              <w:jc w:val="center"/>
              <w:rPr>
                <w:rFonts w:ascii="Times New Roman" w:eastAsia="Times New Roman" w:hAnsi="Times New Roman" w:cs="Times New Roman"/>
                <w:b/>
                <w:lang w:eastAsia="hu-HU"/>
              </w:rPr>
            </w:pPr>
            <w:r w:rsidRPr="009F402C">
              <w:rPr>
                <w:rFonts w:ascii="Times New Roman" w:eastAsia="Times New Roman" w:hAnsi="Times New Roman" w:cs="Times New Roman"/>
                <w:b/>
                <w:bCs/>
                <w:lang w:eastAsia="hu-HU"/>
              </w:rPr>
              <w:t>Államtudományi és Nemzetközi Tanulmányok Kar</w:t>
            </w:r>
          </w:p>
        </w:tc>
        <w:tc>
          <w:tcPr>
            <w:tcW w:w="781" w:type="dxa"/>
            <w:tcBorders>
              <w:left w:val="nil"/>
            </w:tcBorders>
          </w:tcPr>
          <w:p w:rsidR="009F402C" w:rsidRPr="009F402C" w:rsidRDefault="009F402C" w:rsidP="009F402C">
            <w:pPr>
              <w:autoSpaceDE w:val="0"/>
              <w:autoSpaceDN w:val="0"/>
              <w:adjustRightInd w:val="0"/>
              <w:spacing w:after="0" w:line="240" w:lineRule="auto"/>
              <w:jc w:val="both"/>
              <w:rPr>
                <w:rFonts w:ascii="Times New Roman" w:eastAsia="Times New Roman" w:hAnsi="Times New Roman" w:cs="Times New Roman"/>
                <w:lang w:eastAsia="hu-HU"/>
              </w:rPr>
            </w:pPr>
          </w:p>
        </w:tc>
        <w:tc>
          <w:tcPr>
            <w:tcW w:w="2597" w:type="dxa"/>
          </w:tcPr>
          <w:p w:rsidR="009F402C" w:rsidRPr="009F402C" w:rsidRDefault="009F402C" w:rsidP="009F402C">
            <w:pPr>
              <w:autoSpaceDE w:val="0"/>
              <w:autoSpaceDN w:val="0"/>
              <w:adjustRightInd w:val="0"/>
              <w:spacing w:after="0" w:line="240" w:lineRule="auto"/>
              <w:jc w:val="both"/>
              <w:rPr>
                <w:rFonts w:ascii="Times New Roman" w:eastAsia="Times New Roman" w:hAnsi="Times New Roman" w:cs="Times New Roman"/>
                <w:lang w:eastAsia="hu-HU"/>
              </w:rPr>
            </w:pPr>
          </w:p>
        </w:tc>
      </w:tr>
    </w:tbl>
    <w:p w:rsidR="009F402C" w:rsidRPr="009F402C" w:rsidRDefault="009F402C" w:rsidP="009F402C">
      <w:pPr>
        <w:widowControl w:val="0"/>
        <w:ind w:left="426" w:hanging="142"/>
        <w:jc w:val="center"/>
        <w:rPr>
          <w:rFonts w:ascii="Times New Roman" w:eastAsia="Calibri" w:hAnsi="Times New Roman" w:cs="Times New Roman"/>
          <w:b/>
          <w:bCs/>
        </w:rPr>
      </w:pPr>
    </w:p>
    <w:p w:rsidR="009F402C" w:rsidRPr="009F402C" w:rsidRDefault="009F402C" w:rsidP="009F402C">
      <w:pPr>
        <w:widowControl w:val="0"/>
        <w:ind w:left="426" w:hanging="142"/>
        <w:jc w:val="center"/>
        <w:rPr>
          <w:rFonts w:ascii="Times New Roman" w:eastAsia="Calibri" w:hAnsi="Times New Roman" w:cs="Times New Roman"/>
          <w:b/>
          <w:bCs/>
        </w:rPr>
      </w:pPr>
      <w:r w:rsidRPr="009F402C">
        <w:rPr>
          <w:rFonts w:ascii="Times New Roman" w:eastAsia="Calibri" w:hAnsi="Times New Roman" w:cs="Times New Roman"/>
          <w:b/>
          <w:bCs/>
        </w:rPr>
        <w:t>TANTÁRGYI PROGRAM</w:t>
      </w:r>
    </w:p>
    <w:p w:rsidR="009F402C" w:rsidRPr="009F402C" w:rsidRDefault="009F402C" w:rsidP="009F402C">
      <w:pPr>
        <w:widowControl w:val="0"/>
        <w:ind w:left="426" w:hanging="142"/>
        <w:jc w:val="center"/>
        <w:rPr>
          <w:rFonts w:ascii="Times New Roman" w:eastAsia="Calibri" w:hAnsi="Times New Roman" w:cs="Times New Roman"/>
          <w:b/>
          <w:bCs/>
        </w:rPr>
      </w:pPr>
    </w:p>
    <w:p w:rsidR="009F402C" w:rsidRPr="009F402C" w:rsidRDefault="009F402C" w:rsidP="00980876">
      <w:pPr>
        <w:widowControl w:val="0"/>
        <w:numPr>
          <w:ilvl w:val="0"/>
          <w:numId w:val="821"/>
        </w:numPr>
        <w:tabs>
          <w:tab w:val="num" w:pos="360"/>
        </w:tabs>
        <w:spacing w:before="120" w:after="120" w:line="240" w:lineRule="auto"/>
        <w:ind w:left="426" w:hanging="142"/>
        <w:jc w:val="both"/>
        <w:rPr>
          <w:rFonts w:ascii="Times New Roman" w:eastAsia="Calibri" w:hAnsi="Times New Roman" w:cs="Times New Roman"/>
          <w:b/>
          <w:bCs/>
        </w:rPr>
      </w:pPr>
      <w:r w:rsidRPr="009F402C">
        <w:rPr>
          <w:rFonts w:ascii="Times New Roman" w:eastAsia="Calibri" w:hAnsi="Times New Roman" w:cs="Times New Roman"/>
          <w:b/>
          <w:bCs/>
        </w:rPr>
        <w:t xml:space="preserve">A tantárgy kódja: </w:t>
      </w:r>
      <w:r w:rsidRPr="009F402C">
        <w:rPr>
          <w:rFonts w:ascii="Times New Roman" w:eastAsia="Calibri" w:hAnsi="Times New Roman" w:cs="Times New Roman"/>
          <w:bCs/>
        </w:rPr>
        <w:t>ÁEUTTB01</w:t>
      </w:r>
    </w:p>
    <w:p w:rsidR="009F402C" w:rsidRPr="009F402C" w:rsidRDefault="009F402C" w:rsidP="00980876">
      <w:pPr>
        <w:widowControl w:val="0"/>
        <w:numPr>
          <w:ilvl w:val="0"/>
          <w:numId w:val="821"/>
        </w:numPr>
        <w:tabs>
          <w:tab w:val="num" w:pos="360"/>
        </w:tabs>
        <w:spacing w:before="120" w:after="120" w:line="240" w:lineRule="auto"/>
        <w:ind w:left="426" w:hanging="142"/>
        <w:jc w:val="both"/>
        <w:rPr>
          <w:rFonts w:ascii="Times New Roman" w:eastAsia="Calibri" w:hAnsi="Times New Roman" w:cs="Times New Roman"/>
          <w:bCs/>
        </w:rPr>
      </w:pPr>
      <w:r w:rsidRPr="009F402C">
        <w:rPr>
          <w:rFonts w:ascii="Times New Roman" w:eastAsia="Calibri" w:hAnsi="Times New Roman" w:cs="Times New Roman"/>
          <w:b/>
          <w:bCs/>
        </w:rPr>
        <w:t>A tantárgy megnevezése (magyarul):</w:t>
      </w:r>
      <w:r w:rsidRPr="009F402C">
        <w:rPr>
          <w:rFonts w:ascii="Times New Roman" w:eastAsia="Calibri" w:hAnsi="Times New Roman" w:cs="Times New Roman"/>
          <w:bCs/>
        </w:rPr>
        <w:t xml:space="preserve"> Európa-tanulmányok</w:t>
      </w:r>
    </w:p>
    <w:p w:rsidR="009F402C" w:rsidRPr="009F402C" w:rsidRDefault="009F402C" w:rsidP="00980876">
      <w:pPr>
        <w:widowControl w:val="0"/>
        <w:numPr>
          <w:ilvl w:val="0"/>
          <w:numId w:val="821"/>
        </w:numPr>
        <w:tabs>
          <w:tab w:val="num" w:pos="360"/>
        </w:tabs>
        <w:spacing w:before="120" w:after="120" w:line="240" w:lineRule="auto"/>
        <w:ind w:left="426" w:hanging="142"/>
        <w:jc w:val="both"/>
        <w:rPr>
          <w:rFonts w:ascii="Times New Roman" w:eastAsia="Calibri" w:hAnsi="Times New Roman" w:cs="Times New Roman"/>
          <w:b/>
          <w:bCs/>
        </w:rPr>
      </w:pPr>
      <w:r w:rsidRPr="009F402C">
        <w:rPr>
          <w:rFonts w:ascii="Times New Roman" w:eastAsia="Calibri" w:hAnsi="Times New Roman" w:cs="Times New Roman"/>
          <w:b/>
          <w:bCs/>
        </w:rPr>
        <w:t xml:space="preserve">A tantárgy megnevezése (angolul): </w:t>
      </w:r>
      <w:r w:rsidRPr="009F402C">
        <w:rPr>
          <w:rFonts w:ascii="Times New Roman" w:eastAsia="Calibri" w:hAnsi="Times New Roman" w:cs="Times New Roman"/>
          <w:bCs/>
        </w:rPr>
        <w:t>European Studies</w:t>
      </w:r>
    </w:p>
    <w:p w:rsidR="009F402C" w:rsidRPr="009F402C" w:rsidRDefault="009F402C" w:rsidP="00980876">
      <w:pPr>
        <w:widowControl w:val="0"/>
        <w:numPr>
          <w:ilvl w:val="0"/>
          <w:numId w:val="821"/>
        </w:numPr>
        <w:tabs>
          <w:tab w:val="num" w:pos="360"/>
        </w:tabs>
        <w:spacing w:before="120" w:after="120" w:line="240" w:lineRule="auto"/>
        <w:ind w:left="426" w:hanging="142"/>
        <w:jc w:val="both"/>
        <w:rPr>
          <w:rFonts w:ascii="Times New Roman" w:eastAsia="Calibri" w:hAnsi="Times New Roman" w:cs="Times New Roman"/>
          <w:b/>
          <w:bCs/>
        </w:rPr>
      </w:pPr>
      <w:r w:rsidRPr="009F402C">
        <w:rPr>
          <w:rFonts w:ascii="Times New Roman" w:eastAsia="Calibri" w:hAnsi="Times New Roman" w:cs="Times New Roman"/>
          <w:b/>
          <w:bCs/>
        </w:rPr>
        <w:t>Kreditérték és képzési karakter:</w:t>
      </w:r>
    </w:p>
    <w:p w:rsidR="009F402C" w:rsidRPr="009F402C" w:rsidRDefault="009F402C" w:rsidP="009F402C">
      <w:pPr>
        <w:widowControl w:val="0"/>
        <w:tabs>
          <w:tab w:val="num" w:pos="567"/>
        </w:tabs>
        <w:spacing w:before="120" w:after="120" w:line="240" w:lineRule="auto"/>
        <w:ind w:left="426"/>
        <w:jc w:val="both"/>
        <w:rPr>
          <w:rFonts w:ascii="Times New Roman" w:eastAsia="Calibri" w:hAnsi="Times New Roman" w:cs="Times New Roman"/>
          <w:bCs/>
        </w:rPr>
      </w:pPr>
      <w:r w:rsidRPr="009F402C">
        <w:rPr>
          <w:rFonts w:ascii="Times New Roman" w:eastAsia="Calibri" w:hAnsi="Times New Roman" w:cs="Times New Roman"/>
          <w:b/>
          <w:bCs/>
        </w:rPr>
        <w:t xml:space="preserve">4.1. </w:t>
      </w:r>
      <w:r w:rsidRPr="009F402C">
        <w:rPr>
          <w:rFonts w:ascii="Times New Roman" w:eastAsia="Calibri" w:hAnsi="Times New Roman" w:cs="Times New Roman"/>
          <w:bCs/>
        </w:rPr>
        <w:t>2 kredit</w:t>
      </w:r>
    </w:p>
    <w:p w:rsidR="009F402C" w:rsidRPr="009F402C" w:rsidRDefault="009F402C" w:rsidP="009F402C">
      <w:pPr>
        <w:widowControl w:val="0"/>
        <w:tabs>
          <w:tab w:val="num" w:pos="567"/>
        </w:tabs>
        <w:spacing w:before="120" w:after="120" w:line="240" w:lineRule="auto"/>
        <w:ind w:left="426"/>
        <w:jc w:val="both"/>
        <w:rPr>
          <w:rFonts w:ascii="Times New Roman" w:eastAsia="Calibri" w:hAnsi="Times New Roman" w:cs="Times New Roman"/>
          <w:b/>
          <w:bCs/>
        </w:rPr>
      </w:pPr>
      <w:r w:rsidRPr="009F402C">
        <w:rPr>
          <w:rFonts w:ascii="Times New Roman" w:eastAsia="Calibri" w:hAnsi="Times New Roman" w:cs="Times New Roman"/>
          <w:b/>
          <w:bCs/>
        </w:rPr>
        <w:t>4.2.</w:t>
      </w:r>
      <w:r w:rsidRPr="009F402C">
        <w:rPr>
          <w:rFonts w:ascii="Times New Roman" w:eastAsia="Calibri" w:hAnsi="Times New Roman" w:cs="Times New Roman"/>
          <w:bCs/>
        </w:rPr>
        <w:t xml:space="preserve"> a tantárgy elméleti vagy gyakorlati jellegének mértéke : 0 % gyakorlat, 100 % elmélet</w:t>
      </w:r>
    </w:p>
    <w:p w:rsidR="009F402C" w:rsidRPr="009F402C" w:rsidRDefault="009F402C" w:rsidP="00980876">
      <w:pPr>
        <w:widowControl w:val="0"/>
        <w:numPr>
          <w:ilvl w:val="0"/>
          <w:numId w:val="821"/>
        </w:numPr>
        <w:tabs>
          <w:tab w:val="num" w:pos="360"/>
        </w:tabs>
        <w:spacing w:before="120" w:after="120" w:line="240" w:lineRule="auto"/>
        <w:ind w:left="426" w:hanging="142"/>
        <w:jc w:val="both"/>
        <w:rPr>
          <w:rFonts w:ascii="Times New Roman" w:eastAsia="Calibri" w:hAnsi="Times New Roman" w:cs="Times New Roman"/>
          <w:bCs/>
        </w:rPr>
      </w:pPr>
      <w:r w:rsidRPr="009F402C">
        <w:rPr>
          <w:rFonts w:ascii="Times New Roman" w:eastAsia="Calibri" w:hAnsi="Times New Roman" w:cs="Times New Roman"/>
          <w:b/>
          <w:bCs/>
        </w:rPr>
        <w:t>A szak(ok), szakirányok/specializációk megnevezése (ahol oktatják):</w:t>
      </w:r>
      <w:r w:rsidRPr="009F402C">
        <w:rPr>
          <w:rFonts w:ascii="Times New Roman" w:eastAsia="Calibri" w:hAnsi="Times New Roman" w:cs="Times New Roman"/>
          <w:bCs/>
        </w:rPr>
        <w:t xml:space="preserve"> Minden államtudományi képzési területhez tartozó alapképzési szakon nappali és levelező munkarendben.</w:t>
      </w:r>
    </w:p>
    <w:p w:rsidR="009F402C" w:rsidRPr="009F402C" w:rsidRDefault="009F402C" w:rsidP="00980876">
      <w:pPr>
        <w:widowControl w:val="0"/>
        <w:numPr>
          <w:ilvl w:val="0"/>
          <w:numId w:val="821"/>
        </w:numPr>
        <w:tabs>
          <w:tab w:val="num" w:pos="360"/>
        </w:tabs>
        <w:spacing w:before="120" w:after="120" w:line="240" w:lineRule="auto"/>
        <w:ind w:left="426" w:hanging="142"/>
        <w:jc w:val="both"/>
        <w:rPr>
          <w:rFonts w:ascii="Times New Roman" w:eastAsia="Calibri" w:hAnsi="Times New Roman" w:cs="Times New Roman"/>
          <w:bCs/>
        </w:rPr>
      </w:pPr>
      <w:r w:rsidRPr="009F402C">
        <w:rPr>
          <w:rFonts w:ascii="Times New Roman" w:eastAsia="Calibri" w:hAnsi="Times New Roman" w:cs="Times New Roman"/>
          <w:b/>
          <w:bCs/>
        </w:rPr>
        <w:t xml:space="preserve">Az oktatásért felelős oktatási szervezeti egység megnevezése: </w:t>
      </w:r>
      <w:r w:rsidRPr="009F402C">
        <w:rPr>
          <w:rFonts w:ascii="Times New Roman" w:eastAsia="Calibri" w:hAnsi="Times New Roman" w:cs="Times New Roman"/>
          <w:bCs/>
        </w:rPr>
        <w:t>Nemzetközi és Európai Tanulmányok Kar</w:t>
      </w:r>
      <w:r w:rsidRPr="009F402C" w:rsidDel="00E97831">
        <w:rPr>
          <w:rFonts w:ascii="Times New Roman" w:eastAsia="Calibri" w:hAnsi="Times New Roman" w:cs="Times New Roman"/>
          <w:bCs/>
        </w:rPr>
        <w:t xml:space="preserve"> </w:t>
      </w:r>
      <w:r w:rsidRPr="009F402C">
        <w:rPr>
          <w:rFonts w:ascii="Times New Roman" w:eastAsia="Calibri" w:hAnsi="Times New Roman" w:cs="Times New Roman"/>
          <w:bCs/>
        </w:rPr>
        <w:t>, Európa-tanulmányok Tanszék</w:t>
      </w:r>
    </w:p>
    <w:p w:rsidR="009F402C" w:rsidRPr="009F402C" w:rsidRDefault="009F402C" w:rsidP="00980876">
      <w:pPr>
        <w:widowControl w:val="0"/>
        <w:numPr>
          <w:ilvl w:val="0"/>
          <w:numId w:val="821"/>
        </w:numPr>
        <w:tabs>
          <w:tab w:val="num" w:pos="360"/>
        </w:tabs>
        <w:spacing w:before="120" w:after="120" w:line="240" w:lineRule="auto"/>
        <w:ind w:left="426" w:hanging="142"/>
        <w:jc w:val="both"/>
        <w:rPr>
          <w:rFonts w:ascii="Times New Roman" w:eastAsia="Calibri" w:hAnsi="Times New Roman" w:cs="Times New Roman"/>
          <w:bCs/>
        </w:rPr>
      </w:pPr>
      <w:r w:rsidRPr="009F402C">
        <w:rPr>
          <w:rFonts w:ascii="Times New Roman" w:eastAsia="Calibri" w:hAnsi="Times New Roman" w:cs="Times New Roman"/>
          <w:b/>
          <w:bCs/>
        </w:rPr>
        <w:t>A tantárgyfelelős oktató neve, beosztása, tudományos fokozata:</w:t>
      </w:r>
      <w:r w:rsidRPr="009F402C">
        <w:rPr>
          <w:rFonts w:ascii="Times New Roman" w:eastAsia="Calibri" w:hAnsi="Times New Roman" w:cs="Times New Roman"/>
          <w:bCs/>
        </w:rPr>
        <w:t xml:space="preserve"> Dr. Ördögh Tibor, adjunktus, PhD.</w:t>
      </w:r>
    </w:p>
    <w:p w:rsidR="009F402C" w:rsidRPr="009F402C" w:rsidRDefault="009F402C" w:rsidP="00980876">
      <w:pPr>
        <w:widowControl w:val="0"/>
        <w:numPr>
          <w:ilvl w:val="0"/>
          <w:numId w:val="821"/>
        </w:numPr>
        <w:tabs>
          <w:tab w:val="num" w:pos="360"/>
        </w:tabs>
        <w:spacing w:before="120" w:after="120" w:line="240" w:lineRule="auto"/>
        <w:ind w:left="426" w:hanging="142"/>
        <w:jc w:val="both"/>
        <w:rPr>
          <w:rFonts w:ascii="Times New Roman" w:eastAsia="Calibri" w:hAnsi="Times New Roman" w:cs="Times New Roman"/>
          <w:bCs/>
        </w:rPr>
      </w:pPr>
      <w:r w:rsidRPr="009F402C">
        <w:rPr>
          <w:rFonts w:ascii="Times New Roman" w:eastAsia="Calibri" w:hAnsi="Times New Roman" w:cs="Times New Roman"/>
          <w:b/>
          <w:bCs/>
        </w:rPr>
        <w:t xml:space="preserve">A tanórák száma és típusa </w:t>
      </w:r>
      <w:r w:rsidRPr="009F402C">
        <w:rPr>
          <w:rFonts w:ascii="Times New Roman" w:eastAsia="Calibri" w:hAnsi="Times New Roman" w:cs="Times New Roman"/>
          <w:b/>
          <w:bCs/>
          <w:i/>
        </w:rPr>
        <w:t>(előadás+szeminárium+gyakorlat)</w:t>
      </w:r>
    </w:p>
    <w:p w:rsidR="009F402C" w:rsidRPr="009F402C" w:rsidRDefault="009F402C" w:rsidP="00980876">
      <w:pPr>
        <w:widowControl w:val="0"/>
        <w:numPr>
          <w:ilvl w:val="1"/>
          <w:numId w:val="821"/>
        </w:numPr>
        <w:spacing w:before="120" w:after="120" w:line="240" w:lineRule="auto"/>
        <w:ind w:left="851" w:hanging="425"/>
        <w:jc w:val="both"/>
        <w:rPr>
          <w:rFonts w:ascii="Times New Roman" w:eastAsia="Calibri" w:hAnsi="Times New Roman" w:cs="Times New Roman"/>
          <w:bCs/>
        </w:rPr>
      </w:pPr>
      <w:r w:rsidRPr="009F402C">
        <w:rPr>
          <w:rFonts w:ascii="Times New Roman" w:eastAsia="Calibri" w:hAnsi="Times New Roman" w:cs="Times New Roman"/>
          <w:bCs/>
        </w:rPr>
        <w:t xml:space="preserve">össz óraszám/félév: 28 </w:t>
      </w:r>
    </w:p>
    <w:p w:rsidR="009F402C" w:rsidRPr="009F402C" w:rsidRDefault="009F402C" w:rsidP="00980876">
      <w:pPr>
        <w:widowControl w:val="0"/>
        <w:numPr>
          <w:ilvl w:val="2"/>
          <w:numId w:val="821"/>
        </w:numPr>
        <w:spacing w:before="120" w:after="120" w:line="240" w:lineRule="auto"/>
        <w:ind w:left="1418"/>
        <w:jc w:val="both"/>
        <w:rPr>
          <w:rFonts w:ascii="Times New Roman" w:eastAsia="Calibri" w:hAnsi="Times New Roman" w:cs="Times New Roman"/>
          <w:bCs/>
        </w:rPr>
      </w:pPr>
      <w:r w:rsidRPr="009F402C">
        <w:rPr>
          <w:rFonts w:ascii="Times New Roman" w:eastAsia="Calibri" w:hAnsi="Times New Roman" w:cs="Times New Roman"/>
          <w:bCs/>
        </w:rPr>
        <w:t>nappali munkarend: 28 (28 EA + 0 SZ + 0 GY)</w:t>
      </w:r>
    </w:p>
    <w:p w:rsidR="009F402C" w:rsidRPr="009F402C" w:rsidRDefault="009F402C" w:rsidP="00980876">
      <w:pPr>
        <w:widowControl w:val="0"/>
        <w:numPr>
          <w:ilvl w:val="2"/>
          <w:numId w:val="821"/>
        </w:numPr>
        <w:spacing w:before="120" w:after="120" w:line="240" w:lineRule="auto"/>
        <w:ind w:left="1418"/>
        <w:jc w:val="both"/>
        <w:rPr>
          <w:rFonts w:ascii="Times New Roman" w:eastAsia="Calibri" w:hAnsi="Times New Roman" w:cs="Times New Roman"/>
          <w:bCs/>
        </w:rPr>
      </w:pPr>
      <w:r w:rsidRPr="009F402C">
        <w:rPr>
          <w:rFonts w:ascii="Times New Roman" w:eastAsia="Calibri" w:hAnsi="Times New Roman" w:cs="Times New Roman"/>
          <w:bCs/>
        </w:rPr>
        <w:t>levelező munkarend: 8 (8 EA + 0 SZ + 0 GY)</w:t>
      </w:r>
    </w:p>
    <w:p w:rsidR="009F402C" w:rsidRPr="009F402C" w:rsidRDefault="009F402C" w:rsidP="00980876">
      <w:pPr>
        <w:widowControl w:val="0"/>
        <w:numPr>
          <w:ilvl w:val="1"/>
          <w:numId w:val="821"/>
        </w:numPr>
        <w:spacing w:before="120" w:after="120" w:line="240" w:lineRule="auto"/>
        <w:ind w:left="851" w:hanging="425"/>
        <w:jc w:val="both"/>
        <w:rPr>
          <w:rFonts w:ascii="Times New Roman" w:eastAsia="Calibri" w:hAnsi="Times New Roman" w:cs="Times New Roman"/>
          <w:bCs/>
        </w:rPr>
      </w:pPr>
      <w:r w:rsidRPr="009F402C">
        <w:rPr>
          <w:rFonts w:ascii="Times New Roman" w:eastAsia="Calibri" w:hAnsi="Times New Roman" w:cs="Times New Roman"/>
          <w:bCs/>
        </w:rPr>
        <w:t>heti óraszám - nappali munkarend: 2</w:t>
      </w:r>
    </w:p>
    <w:p w:rsidR="009F402C" w:rsidRPr="009F402C" w:rsidRDefault="009F402C" w:rsidP="00980876">
      <w:pPr>
        <w:numPr>
          <w:ilvl w:val="1"/>
          <w:numId w:val="821"/>
        </w:numPr>
        <w:spacing w:before="120" w:after="120" w:line="240" w:lineRule="auto"/>
        <w:ind w:left="851"/>
        <w:rPr>
          <w:rFonts w:ascii="Times New Roman" w:eastAsia="Calibri" w:hAnsi="Times New Roman" w:cs="Times New Roman"/>
          <w:bCs/>
        </w:rPr>
      </w:pPr>
      <w:r w:rsidRPr="009F402C">
        <w:rPr>
          <w:rFonts w:ascii="Times New Roman" w:eastAsia="Calibri" w:hAnsi="Times New Roman" w:cs="Times New Roman"/>
          <w:bCs/>
        </w:rPr>
        <w:t>Az ismeret átadásában alkalmazandó további sajátos módok, jellemz</w:t>
      </w:r>
      <w:r w:rsidRPr="009F402C">
        <w:rPr>
          <w:rFonts w:ascii="Times New Roman" w:eastAsia="Calibri" w:hAnsi="Times New Roman" w:cs="Times New Roman" w:hint="eastAsia"/>
          <w:bCs/>
        </w:rPr>
        <w:t>ő</w:t>
      </w:r>
      <w:r w:rsidRPr="009F402C">
        <w:rPr>
          <w:rFonts w:ascii="Times New Roman" w:eastAsia="Calibri" w:hAnsi="Times New Roman" w:cs="Times New Roman"/>
          <w:bCs/>
        </w:rPr>
        <w:t>k: ha vannak</w:t>
      </w:r>
    </w:p>
    <w:p w:rsidR="009F402C" w:rsidRPr="009F402C" w:rsidRDefault="009F402C" w:rsidP="00980876">
      <w:pPr>
        <w:numPr>
          <w:ilvl w:val="0"/>
          <w:numId w:val="821"/>
        </w:numPr>
        <w:tabs>
          <w:tab w:val="num" w:pos="360"/>
        </w:tabs>
        <w:spacing w:before="120" w:after="120" w:line="240" w:lineRule="auto"/>
        <w:ind w:left="426" w:hanging="142"/>
        <w:jc w:val="both"/>
        <w:rPr>
          <w:rFonts w:ascii="Times New Roman" w:eastAsia="Times New Roman" w:hAnsi="Times New Roman" w:cs="Times New Roman"/>
          <w:bCs/>
          <w:lang w:eastAsia="hu-HU"/>
        </w:rPr>
      </w:pPr>
      <w:r w:rsidRPr="009F402C">
        <w:rPr>
          <w:rFonts w:ascii="Times New Roman" w:eastAsia="Times New Roman" w:hAnsi="Times New Roman" w:cs="Times New Roman"/>
          <w:b/>
          <w:bCs/>
          <w:lang w:eastAsia="hu-HU"/>
        </w:rPr>
        <w:t>A tantárgy szakmai tartalma (magyarul):</w:t>
      </w:r>
      <w:r w:rsidRPr="009F402C">
        <w:rPr>
          <w:rFonts w:ascii="Times New Roman" w:eastAsia="Times New Roman" w:hAnsi="Times New Roman" w:cs="Times New Roman"/>
          <w:bCs/>
          <w:lang w:eastAsia="hu-HU"/>
        </w:rPr>
        <w:t xml:space="preserve"> </w:t>
      </w:r>
      <w:r w:rsidRPr="009F402C">
        <w:rPr>
          <w:rFonts w:ascii="Times New Roman" w:eastAsia="Calibri" w:hAnsi="Times New Roman" w:cs="Times New Roman"/>
          <w:bCs/>
          <w:lang w:eastAsia="hu-HU"/>
        </w:rPr>
        <w:t>A tantárgy fő célja, hogy a hallgatók elsajátítsák az európai integrációra vonatkozó alapvető ismereteket, az egységgondolat megjelenésétől a korai együttműködési kísérleteken át egészen az EU elődszervezeteinek megszületéséig, valamint az Európai Unió mai formájának kialakulásáig. A kurzus az integrációtörténet mellett részletesen kitér az intézményrendszer működésére és a szakpolitikák működésére is. Ugyancsak a kurzus anyagát képezi a tagállami Európa-politikák rövid vizsgálata, valamint az integrációt érintő aktuális problémák rövid ismertetése. A kurzus alapvető célja az európai egységfolyamatról és az Európai Unióról olyan alapvető ismeretek átadása, melyre a hallgatók a további tanulmányaik során alapozhatnak és esetleges kutatási irányaikat megtalálhatják.</w:t>
      </w:r>
    </w:p>
    <w:p w:rsidR="009F402C" w:rsidRPr="009F402C" w:rsidRDefault="009F402C" w:rsidP="009F402C">
      <w:pPr>
        <w:widowControl w:val="0"/>
        <w:spacing w:before="120" w:after="120" w:line="240" w:lineRule="auto"/>
        <w:ind w:left="426"/>
        <w:jc w:val="both"/>
        <w:rPr>
          <w:rFonts w:ascii="Times New Roman" w:eastAsia="Calibri" w:hAnsi="Times New Roman" w:cs="Times New Roman"/>
          <w:bCs/>
          <w:lang w:val="en-US"/>
        </w:rPr>
      </w:pPr>
      <w:r w:rsidRPr="009F402C">
        <w:rPr>
          <w:rFonts w:ascii="Times New Roman" w:eastAsia="Calibri" w:hAnsi="Times New Roman" w:cs="Times New Roman"/>
          <w:b/>
          <w:bCs/>
        </w:rPr>
        <w:t>A tantárgy szakmai tartalma (angolul) (</w:t>
      </w:r>
      <w:r w:rsidRPr="009F402C">
        <w:rPr>
          <w:rFonts w:ascii="Times New Roman" w:eastAsia="Calibri" w:hAnsi="Times New Roman" w:cs="Times New Roman"/>
          <w:b/>
          <w:bCs/>
          <w:lang w:val="en-US"/>
        </w:rPr>
        <w:t>Course description</w:t>
      </w:r>
      <w:r w:rsidRPr="009F402C">
        <w:rPr>
          <w:rFonts w:ascii="Times New Roman" w:eastAsia="Calibri" w:hAnsi="Times New Roman" w:cs="Times New Roman"/>
          <w:b/>
          <w:bCs/>
        </w:rPr>
        <w:t xml:space="preserve"> - English): </w:t>
      </w:r>
      <w:r w:rsidRPr="009F402C">
        <w:rPr>
          <w:rFonts w:ascii="Times New Roman" w:eastAsia="Calibri" w:hAnsi="Times New Roman" w:cs="Times New Roman"/>
          <w:bCs/>
          <w:lang w:val="en-GB"/>
        </w:rPr>
        <w:t>The aim of the course is to acquire sufficient knowledge on European integration, from the appearance of the idea of unity through early steps, up to the birth of the EU's predecessor organizations, as well as the current structure of the EU. The course discusses the functioning of the institutions, politics and policies in addition to telling the story of integration. Students also get acquainted with Member States' policies and gain insights into the current problems affecting integration. The course is a basis for further studies in EU affairs.</w:t>
      </w:r>
    </w:p>
    <w:p w:rsidR="009F402C" w:rsidRPr="009F402C" w:rsidRDefault="009F402C" w:rsidP="00980876">
      <w:pPr>
        <w:widowControl w:val="0"/>
        <w:numPr>
          <w:ilvl w:val="0"/>
          <w:numId w:val="821"/>
        </w:numPr>
        <w:tabs>
          <w:tab w:val="num" w:pos="360"/>
        </w:tabs>
        <w:spacing w:before="120" w:after="120" w:line="240" w:lineRule="auto"/>
        <w:ind w:left="426" w:hanging="142"/>
        <w:jc w:val="both"/>
        <w:rPr>
          <w:rFonts w:ascii="Times New Roman" w:eastAsia="Calibri" w:hAnsi="Times New Roman" w:cs="Times New Roman"/>
          <w:bCs/>
        </w:rPr>
      </w:pPr>
      <w:r w:rsidRPr="009F402C">
        <w:rPr>
          <w:rFonts w:ascii="Times New Roman" w:eastAsia="Calibri" w:hAnsi="Times New Roman" w:cs="Times New Roman"/>
          <w:b/>
          <w:bCs/>
        </w:rPr>
        <w:t xml:space="preserve">Elérendő kompetenciák (magyarul): </w:t>
      </w:r>
    </w:p>
    <w:p w:rsidR="009F402C" w:rsidRPr="009F402C" w:rsidRDefault="009F402C" w:rsidP="009F402C">
      <w:pPr>
        <w:widowControl w:val="0"/>
        <w:spacing w:before="120" w:after="120" w:line="240" w:lineRule="auto"/>
        <w:ind w:left="426"/>
        <w:jc w:val="both"/>
        <w:rPr>
          <w:rFonts w:ascii="Times New Roman" w:eastAsia="Calibri" w:hAnsi="Times New Roman" w:cs="Times New Roman"/>
          <w:bCs/>
        </w:rPr>
      </w:pPr>
      <w:r w:rsidRPr="009F402C">
        <w:rPr>
          <w:rFonts w:ascii="Times New Roman" w:eastAsia="Calibri" w:hAnsi="Times New Roman" w:cs="Times New Roman"/>
          <w:b/>
          <w:bCs/>
        </w:rPr>
        <w:t>Tudása:</w:t>
      </w:r>
      <w:r w:rsidRPr="009F402C">
        <w:rPr>
          <w:rFonts w:ascii="Times New Roman" w:eastAsia="Calibri" w:hAnsi="Times New Roman" w:cs="Times New Roman"/>
          <w:bCs/>
        </w:rPr>
        <w:t xml:space="preserve"> Összességében a hallgató ismeri, érti, áttekintéssel rendelkezik az európai integráció történetével. Birtokában van az európai integráció működésének ismeretkörével.</w:t>
      </w:r>
      <w:r w:rsidRPr="009F402C">
        <w:rPr>
          <w:rFonts w:ascii="Times New Roman" w:eastAsia="Calibri" w:hAnsi="Times New Roman" w:cs="Times New Roman"/>
          <w:lang w:eastAsia="ar-SA"/>
        </w:rPr>
        <w:t xml:space="preserve"> Ismeri az Európai Unió történetét, intézményeit és jogrendszerét.</w:t>
      </w:r>
    </w:p>
    <w:p w:rsidR="009F402C" w:rsidRPr="009F402C" w:rsidRDefault="009F402C" w:rsidP="009F402C">
      <w:pPr>
        <w:widowControl w:val="0"/>
        <w:spacing w:before="120" w:after="120" w:line="240" w:lineRule="auto"/>
        <w:ind w:left="426"/>
        <w:jc w:val="both"/>
        <w:rPr>
          <w:rFonts w:ascii="Times New Roman" w:eastAsia="Calibri" w:hAnsi="Times New Roman" w:cs="Times New Roman"/>
          <w:bCs/>
        </w:rPr>
      </w:pPr>
      <w:r w:rsidRPr="009F402C">
        <w:rPr>
          <w:rFonts w:ascii="Times New Roman" w:eastAsia="Calibri" w:hAnsi="Times New Roman" w:cs="Times New Roman"/>
          <w:b/>
          <w:bCs/>
        </w:rPr>
        <w:lastRenderedPageBreak/>
        <w:t>Képességei:</w:t>
      </w:r>
      <w:r w:rsidRPr="009F402C">
        <w:rPr>
          <w:rFonts w:ascii="Times New Roman" w:eastAsia="Calibri" w:hAnsi="Times New Roman" w:cs="Times New Roman"/>
          <w:bCs/>
        </w:rPr>
        <w:t xml:space="preserve"> Képes különbséget tenni az európai uniós szerződések változásai között. Az európai integrációval kapcsolatban megfelelő áttekintő-, rendszerező-, rendszerszemléletű képességgel rendelkezik.</w:t>
      </w:r>
    </w:p>
    <w:p w:rsidR="009F402C" w:rsidRPr="009F402C" w:rsidRDefault="009F402C" w:rsidP="009F402C">
      <w:pPr>
        <w:spacing w:before="120" w:after="120" w:line="240" w:lineRule="auto"/>
        <w:ind w:left="426"/>
        <w:jc w:val="both"/>
        <w:rPr>
          <w:rFonts w:ascii="Times New Roman" w:eastAsia="Calibri" w:hAnsi="Times New Roman" w:cs="Times New Roman"/>
          <w:b/>
          <w:bCs/>
        </w:rPr>
      </w:pPr>
      <w:r w:rsidRPr="009F402C">
        <w:rPr>
          <w:rFonts w:ascii="Times New Roman" w:eastAsia="Calibri" w:hAnsi="Times New Roman" w:cs="Times New Roman"/>
          <w:b/>
          <w:bCs/>
        </w:rPr>
        <w:t>Attitűdje:</w:t>
      </w:r>
      <w:r w:rsidRPr="009F402C">
        <w:rPr>
          <w:rFonts w:ascii="Times New Roman" w:eastAsia="Calibri" w:hAnsi="Times New Roman" w:cs="Times New Roman"/>
          <w:bCs/>
        </w:rPr>
        <w:t xml:space="preserve"> Felismeri az Európai Unió működési mechanizmusait, az intézmények egyes hatásköreit.</w:t>
      </w:r>
      <w:r w:rsidRPr="009F402C">
        <w:rPr>
          <w:rFonts w:ascii="Times New Roman" w:eastAsia="Calibri" w:hAnsi="Times New Roman" w:cs="Times New Roman"/>
          <w:lang w:eastAsia="ar-SA"/>
        </w:rPr>
        <w:t xml:space="preserve"> Kritikus gondolkodásmóddal rendelkezik.</w:t>
      </w:r>
    </w:p>
    <w:p w:rsidR="009F402C" w:rsidRPr="009F402C" w:rsidRDefault="009F402C" w:rsidP="009F402C">
      <w:pPr>
        <w:widowControl w:val="0"/>
        <w:spacing w:before="120" w:after="120" w:line="240" w:lineRule="auto"/>
        <w:ind w:left="426"/>
        <w:jc w:val="both"/>
        <w:rPr>
          <w:rFonts w:ascii="Times New Roman" w:eastAsia="Calibri" w:hAnsi="Times New Roman" w:cs="Times New Roman"/>
          <w:bCs/>
        </w:rPr>
      </w:pPr>
      <w:r w:rsidRPr="009F402C">
        <w:rPr>
          <w:rFonts w:ascii="Times New Roman" w:eastAsia="Calibri" w:hAnsi="Times New Roman" w:cs="Times New Roman"/>
          <w:b/>
          <w:bCs/>
        </w:rPr>
        <w:t>Autonómiája és felelőssége:</w:t>
      </w:r>
      <w:r w:rsidRPr="009F402C">
        <w:rPr>
          <w:rFonts w:ascii="Times New Roman" w:eastAsia="Calibri" w:hAnsi="Times New Roman" w:cs="Times New Roman"/>
          <w:bCs/>
        </w:rPr>
        <w:t xml:space="preserve"> Saját, mások és az általa irányított szervezet munkáját önállóan, kellő felelősséggel tervezi, szervezi, irányítja, ellenőrzi.</w:t>
      </w:r>
    </w:p>
    <w:p w:rsidR="009F402C" w:rsidRPr="009F402C" w:rsidRDefault="009F402C" w:rsidP="009F402C">
      <w:pPr>
        <w:widowControl w:val="0"/>
        <w:tabs>
          <w:tab w:val="left" w:pos="426"/>
        </w:tabs>
        <w:spacing w:before="120" w:after="120" w:line="240" w:lineRule="auto"/>
        <w:ind w:left="426"/>
        <w:jc w:val="both"/>
        <w:rPr>
          <w:rFonts w:ascii="Times New Roman" w:eastAsia="Calibri" w:hAnsi="Times New Roman" w:cs="Times New Roman"/>
          <w:b/>
          <w:bCs/>
        </w:rPr>
      </w:pPr>
      <w:r w:rsidRPr="009F402C">
        <w:rPr>
          <w:rFonts w:ascii="Times New Roman" w:eastAsia="Calibri" w:hAnsi="Times New Roman" w:cs="Times New Roman"/>
          <w:b/>
          <w:bCs/>
        </w:rPr>
        <w:t xml:space="preserve">Elérendő kompetenciák (angolul) (Competences – English): </w:t>
      </w:r>
    </w:p>
    <w:p w:rsidR="009F402C" w:rsidRPr="009F402C" w:rsidRDefault="009F402C" w:rsidP="009F402C">
      <w:pPr>
        <w:widowControl w:val="0"/>
        <w:spacing w:before="120" w:after="120" w:line="240" w:lineRule="auto"/>
        <w:ind w:left="426"/>
        <w:jc w:val="both"/>
        <w:rPr>
          <w:rFonts w:ascii="Times New Roman" w:eastAsia="Calibri" w:hAnsi="Times New Roman" w:cs="Times New Roman"/>
          <w:lang w:val="en-GB"/>
        </w:rPr>
      </w:pPr>
      <w:r w:rsidRPr="009F402C">
        <w:rPr>
          <w:rFonts w:ascii="Times New Roman" w:eastAsia="Calibri" w:hAnsi="Times New Roman" w:cs="Times New Roman"/>
          <w:b/>
          <w:lang w:val="en-GB"/>
        </w:rPr>
        <w:t>Knowledge</w:t>
      </w:r>
      <w:r w:rsidRPr="009F402C">
        <w:rPr>
          <w:rFonts w:ascii="Times New Roman" w:eastAsia="Calibri" w:hAnsi="Times New Roman" w:cs="Times New Roman"/>
          <w:lang w:val="en-GB"/>
        </w:rPr>
        <w:t>: In general, the student knows, understands and has an overview about the history of European integration. He/she has knowledge of European integration. He knows the history, institutions and legal system of the European Union.</w:t>
      </w:r>
    </w:p>
    <w:p w:rsidR="009F402C" w:rsidRPr="009F402C" w:rsidRDefault="009F402C" w:rsidP="009F402C">
      <w:pPr>
        <w:widowControl w:val="0"/>
        <w:spacing w:before="120" w:after="120" w:line="240" w:lineRule="auto"/>
        <w:ind w:left="426"/>
        <w:jc w:val="both"/>
        <w:rPr>
          <w:rFonts w:ascii="Times New Roman" w:eastAsia="Calibri" w:hAnsi="Times New Roman" w:cs="Times New Roman"/>
          <w:lang w:val="en-GB"/>
        </w:rPr>
      </w:pPr>
      <w:r w:rsidRPr="009F402C">
        <w:rPr>
          <w:rFonts w:ascii="Times New Roman" w:eastAsia="Calibri" w:hAnsi="Times New Roman" w:cs="Times New Roman"/>
          <w:b/>
          <w:lang w:val="en-GB"/>
        </w:rPr>
        <w:t>Capabilities</w:t>
      </w:r>
      <w:r w:rsidRPr="009F402C">
        <w:rPr>
          <w:rFonts w:ascii="Times New Roman" w:eastAsia="Calibri" w:hAnsi="Times New Roman" w:cs="Times New Roman"/>
          <w:lang w:val="en-GB"/>
        </w:rPr>
        <w:t>: It is able to distinguish between the changes in the EU treaties. He/she has a proper overview, systematic and systemic ability in relation to European integration.</w:t>
      </w:r>
    </w:p>
    <w:p w:rsidR="009F402C" w:rsidRPr="009F402C" w:rsidRDefault="009F402C" w:rsidP="009F402C">
      <w:pPr>
        <w:widowControl w:val="0"/>
        <w:spacing w:before="120" w:after="120" w:line="240" w:lineRule="auto"/>
        <w:ind w:left="426"/>
        <w:jc w:val="both"/>
        <w:rPr>
          <w:rFonts w:ascii="Times New Roman" w:eastAsia="Calibri" w:hAnsi="Times New Roman" w:cs="Times New Roman"/>
          <w:lang w:val="en-GB"/>
        </w:rPr>
      </w:pPr>
      <w:r w:rsidRPr="009F402C">
        <w:rPr>
          <w:rFonts w:ascii="Times New Roman" w:eastAsia="Calibri" w:hAnsi="Times New Roman" w:cs="Times New Roman"/>
          <w:b/>
          <w:lang w:val="en-GB"/>
        </w:rPr>
        <w:t>Attitude:</w:t>
      </w:r>
      <w:r w:rsidRPr="009F402C">
        <w:rPr>
          <w:rFonts w:ascii="Times New Roman" w:eastAsia="Calibri" w:hAnsi="Times New Roman" w:cs="Times New Roman"/>
          <w:lang w:val="en-GB"/>
        </w:rPr>
        <w:t xml:space="preserve"> He/she recognizes the mechanisms of action of the European Union and the powers of the institutions. Has a critical perspective.</w:t>
      </w:r>
    </w:p>
    <w:p w:rsidR="009F402C" w:rsidRPr="009F402C" w:rsidRDefault="009F402C" w:rsidP="009F402C">
      <w:pPr>
        <w:widowControl w:val="0"/>
        <w:spacing w:before="120" w:after="120" w:line="240" w:lineRule="auto"/>
        <w:ind w:left="426"/>
        <w:jc w:val="both"/>
        <w:rPr>
          <w:rFonts w:ascii="Times New Roman" w:eastAsia="Calibri" w:hAnsi="Times New Roman" w:cs="Times New Roman"/>
          <w:lang w:val="en-GB"/>
        </w:rPr>
      </w:pPr>
      <w:r w:rsidRPr="009F402C">
        <w:rPr>
          <w:rFonts w:ascii="Times New Roman" w:eastAsia="Calibri" w:hAnsi="Times New Roman" w:cs="Times New Roman"/>
          <w:b/>
          <w:lang w:val="en-GB"/>
        </w:rPr>
        <w:t xml:space="preserve">Autonomy and responsibility: </w:t>
      </w:r>
      <w:r w:rsidRPr="009F402C">
        <w:rPr>
          <w:rFonts w:ascii="Times New Roman" w:eastAsia="Calibri" w:hAnsi="Times New Roman" w:cs="Times New Roman"/>
          <w:lang w:val="en-GB"/>
        </w:rPr>
        <w:t>He/she designs, organizes, directs and controls the work of his own, others and the organization he manages, with due responsibility.</w:t>
      </w:r>
    </w:p>
    <w:p w:rsidR="009F402C" w:rsidRPr="009F402C" w:rsidRDefault="009F402C" w:rsidP="00980876">
      <w:pPr>
        <w:widowControl w:val="0"/>
        <w:numPr>
          <w:ilvl w:val="0"/>
          <w:numId w:val="821"/>
        </w:numPr>
        <w:tabs>
          <w:tab w:val="num" w:pos="360"/>
        </w:tabs>
        <w:spacing w:before="120" w:after="120" w:line="240" w:lineRule="auto"/>
        <w:ind w:left="426" w:hanging="142"/>
        <w:jc w:val="both"/>
        <w:rPr>
          <w:rFonts w:ascii="Times New Roman" w:eastAsia="Calibri" w:hAnsi="Times New Roman" w:cs="Times New Roman"/>
          <w:bCs/>
        </w:rPr>
      </w:pPr>
      <w:r w:rsidRPr="009F402C">
        <w:rPr>
          <w:rFonts w:ascii="Times New Roman" w:eastAsia="Calibri" w:hAnsi="Times New Roman" w:cs="Times New Roman"/>
          <w:b/>
          <w:bCs/>
        </w:rPr>
        <w:t>Előtanulmányi követelmények: -</w:t>
      </w:r>
    </w:p>
    <w:p w:rsidR="009F402C" w:rsidRPr="009F402C" w:rsidRDefault="009F402C" w:rsidP="00980876">
      <w:pPr>
        <w:widowControl w:val="0"/>
        <w:numPr>
          <w:ilvl w:val="0"/>
          <w:numId w:val="821"/>
        </w:numPr>
        <w:tabs>
          <w:tab w:val="num" w:pos="360"/>
        </w:tabs>
        <w:spacing w:before="120" w:after="120" w:line="240" w:lineRule="auto"/>
        <w:ind w:left="426" w:hanging="142"/>
        <w:jc w:val="both"/>
        <w:rPr>
          <w:rFonts w:ascii="Times New Roman" w:eastAsia="Calibri" w:hAnsi="Times New Roman" w:cs="Times New Roman"/>
          <w:b/>
          <w:bCs/>
        </w:rPr>
      </w:pPr>
      <w:r w:rsidRPr="009F402C">
        <w:rPr>
          <w:rFonts w:ascii="Times New Roman" w:eastAsia="Calibri" w:hAnsi="Times New Roman" w:cs="Times New Roman"/>
          <w:b/>
          <w:bCs/>
        </w:rPr>
        <w:t>A tantárgy tananyagának leírása, tematika. Description of the subject, curriculum (magyarul, angolul - English):</w:t>
      </w:r>
    </w:p>
    <w:p w:rsidR="009F402C" w:rsidRPr="009F402C" w:rsidRDefault="009F402C" w:rsidP="00980876">
      <w:pPr>
        <w:numPr>
          <w:ilvl w:val="1"/>
          <w:numId w:val="821"/>
        </w:numPr>
        <w:spacing w:before="120" w:after="120" w:line="240" w:lineRule="auto"/>
        <w:ind w:left="1418" w:right="142" w:hanging="716"/>
        <w:jc w:val="both"/>
        <w:rPr>
          <w:rFonts w:ascii="Times New Roman" w:eastAsia="Calibri" w:hAnsi="Times New Roman" w:cs="Times New Roman"/>
          <w:lang w:val="en-US"/>
        </w:rPr>
      </w:pPr>
      <w:r w:rsidRPr="009F402C">
        <w:rPr>
          <w:rFonts w:ascii="Times New Roman" w:eastAsia="Calibri" w:hAnsi="Times New Roman" w:cs="Times New Roman"/>
        </w:rPr>
        <w:t>Egységgondolat és Európa önértelmezése a 14. századtól</w:t>
      </w:r>
      <w:r w:rsidR="00131DA1" w:rsidRPr="00131DA1">
        <w:rPr>
          <w:rFonts w:ascii="Times New Roman" w:eastAsia="Calibri" w:hAnsi="Times New Roman" w:cs="Times New Roman"/>
        </w:rPr>
        <w:t xml:space="preserve"> </w:t>
      </w:r>
      <w:r w:rsidRPr="009F402C">
        <w:rPr>
          <w:rFonts w:ascii="Times New Roman" w:eastAsia="Calibri" w:hAnsi="Times New Roman" w:cs="Times New Roman"/>
          <w:lang w:val="en-US"/>
        </w:rPr>
        <w:t>(</w:t>
      </w:r>
      <w:r w:rsidRPr="009F402C">
        <w:rPr>
          <w:rFonts w:ascii="Times New Roman" w:eastAsia="Calibri" w:hAnsi="Times New Roman" w:cs="Times New Roman"/>
          <w:noProof/>
          <w:lang w:val="en-GB"/>
        </w:rPr>
        <w:t>The thought of European unity and Europe’s self-understanding from the 14th century</w:t>
      </w:r>
      <w:r w:rsidRPr="009F402C">
        <w:rPr>
          <w:rFonts w:ascii="Times New Roman" w:eastAsia="Calibri" w:hAnsi="Times New Roman" w:cs="Times New Roman"/>
          <w:lang w:val="en-US"/>
        </w:rPr>
        <w:t>)</w:t>
      </w:r>
    </w:p>
    <w:p w:rsidR="009F402C" w:rsidRPr="009F402C" w:rsidRDefault="009F402C" w:rsidP="00980876">
      <w:pPr>
        <w:numPr>
          <w:ilvl w:val="1"/>
          <w:numId w:val="821"/>
        </w:numPr>
        <w:spacing w:before="120" w:after="120" w:line="240" w:lineRule="auto"/>
        <w:ind w:left="1418" w:right="142" w:hanging="716"/>
        <w:jc w:val="both"/>
        <w:rPr>
          <w:rFonts w:ascii="Times New Roman" w:eastAsia="Calibri" w:hAnsi="Times New Roman" w:cs="Times New Roman"/>
          <w:noProof/>
          <w:lang w:val="en-GB"/>
        </w:rPr>
      </w:pPr>
      <w:r w:rsidRPr="009F402C">
        <w:rPr>
          <w:rFonts w:ascii="Times New Roman" w:eastAsia="Calibri" w:hAnsi="Times New Roman" w:cs="Times New Roman"/>
        </w:rPr>
        <w:t>Európai integrációs elmélet a második világháború után</w:t>
      </w:r>
      <w:r w:rsidR="00131DA1" w:rsidRPr="00131DA1">
        <w:rPr>
          <w:rFonts w:ascii="Times New Roman" w:eastAsia="Calibri" w:hAnsi="Times New Roman" w:cs="Times New Roman"/>
        </w:rPr>
        <w:t xml:space="preserve"> </w:t>
      </w:r>
      <w:r w:rsidRPr="009F402C">
        <w:rPr>
          <w:rFonts w:ascii="Times New Roman" w:eastAsia="Calibri" w:hAnsi="Times New Roman" w:cs="Times New Roman"/>
          <w:lang w:val="en-US"/>
        </w:rPr>
        <w:t>(</w:t>
      </w:r>
      <w:r w:rsidRPr="009F402C">
        <w:rPr>
          <w:rFonts w:ascii="Times New Roman" w:eastAsia="Calibri" w:hAnsi="Times New Roman" w:cs="Times New Roman"/>
          <w:noProof/>
          <w:lang w:val="en-GB"/>
        </w:rPr>
        <w:t>European integration theories after World War II</w:t>
      </w:r>
      <w:r w:rsidRPr="009F402C">
        <w:rPr>
          <w:rFonts w:ascii="Times New Roman" w:eastAsia="Calibri" w:hAnsi="Times New Roman" w:cs="Times New Roman"/>
          <w:lang w:val="en-US"/>
        </w:rPr>
        <w:t>)</w:t>
      </w:r>
    </w:p>
    <w:p w:rsidR="009F402C" w:rsidRPr="009F402C" w:rsidRDefault="009F402C" w:rsidP="00980876">
      <w:pPr>
        <w:numPr>
          <w:ilvl w:val="1"/>
          <w:numId w:val="821"/>
        </w:numPr>
        <w:spacing w:before="120" w:after="120" w:line="240" w:lineRule="auto"/>
        <w:ind w:left="1418" w:right="142" w:hanging="716"/>
        <w:jc w:val="both"/>
        <w:rPr>
          <w:rFonts w:ascii="Times New Roman" w:eastAsia="Calibri" w:hAnsi="Times New Roman" w:cs="Times New Roman"/>
          <w:noProof/>
          <w:lang w:val="en-GB"/>
        </w:rPr>
      </w:pPr>
      <w:r w:rsidRPr="009F402C">
        <w:rPr>
          <w:rFonts w:ascii="Times New Roman" w:eastAsia="Calibri" w:hAnsi="Times New Roman" w:cs="Times New Roman"/>
        </w:rPr>
        <w:t>Az európai integráció közvetlen előzményei a 20. században</w:t>
      </w:r>
      <w:r w:rsidR="00131DA1" w:rsidRPr="00131DA1">
        <w:rPr>
          <w:rFonts w:ascii="Times New Roman" w:eastAsia="Calibri" w:hAnsi="Times New Roman" w:cs="Times New Roman"/>
        </w:rPr>
        <w:t xml:space="preserve"> </w:t>
      </w:r>
      <w:r w:rsidRPr="009F402C">
        <w:rPr>
          <w:rFonts w:ascii="Times New Roman" w:eastAsia="Calibri" w:hAnsi="Times New Roman" w:cs="Times New Roman"/>
          <w:lang w:val="en-US"/>
        </w:rPr>
        <w:t>(</w:t>
      </w:r>
      <w:r w:rsidRPr="009F402C">
        <w:rPr>
          <w:rFonts w:ascii="Times New Roman" w:eastAsia="Calibri" w:hAnsi="Times New Roman" w:cs="Times New Roman"/>
          <w:noProof/>
          <w:lang w:val="en-GB"/>
        </w:rPr>
        <w:t>The direct antecedents of European integration in the 20th century</w:t>
      </w:r>
      <w:r w:rsidRPr="009F402C">
        <w:rPr>
          <w:rFonts w:ascii="Times New Roman" w:eastAsia="Calibri" w:hAnsi="Times New Roman" w:cs="Times New Roman"/>
          <w:lang w:val="en-US"/>
        </w:rPr>
        <w:t>)</w:t>
      </w:r>
    </w:p>
    <w:p w:rsidR="009F402C" w:rsidRPr="009F402C" w:rsidRDefault="009F402C" w:rsidP="00980876">
      <w:pPr>
        <w:numPr>
          <w:ilvl w:val="1"/>
          <w:numId w:val="821"/>
        </w:numPr>
        <w:spacing w:before="120" w:after="120" w:line="240" w:lineRule="auto"/>
        <w:ind w:left="1418" w:right="142" w:hanging="716"/>
        <w:jc w:val="both"/>
        <w:rPr>
          <w:rFonts w:ascii="Times New Roman" w:eastAsia="Calibri" w:hAnsi="Times New Roman" w:cs="Times New Roman"/>
          <w:lang w:val="en-US"/>
        </w:rPr>
      </w:pPr>
      <w:r w:rsidRPr="009F402C">
        <w:rPr>
          <w:rFonts w:ascii="Times New Roman" w:eastAsia="Calibri" w:hAnsi="Times New Roman" w:cs="Times New Roman"/>
        </w:rPr>
        <w:t>A II. világháború utáni világpolitikai helyzet és annak hatása az európai egységesülési folyamatra</w:t>
      </w:r>
      <w:r w:rsidR="00131DA1" w:rsidRPr="00131DA1">
        <w:rPr>
          <w:rFonts w:ascii="Times New Roman" w:eastAsia="Calibri" w:hAnsi="Times New Roman" w:cs="Times New Roman"/>
        </w:rPr>
        <w:t xml:space="preserve"> </w:t>
      </w:r>
      <w:r w:rsidRPr="009F402C">
        <w:rPr>
          <w:rFonts w:ascii="Times New Roman" w:eastAsia="Calibri" w:hAnsi="Times New Roman" w:cs="Times New Roman"/>
          <w:lang w:val="en-US"/>
        </w:rPr>
        <w:t>(</w:t>
      </w:r>
      <w:r w:rsidRPr="009F402C">
        <w:rPr>
          <w:rFonts w:ascii="Times New Roman" w:eastAsia="Calibri" w:hAnsi="Times New Roman" w:cs="Times New Roman"/>
          <w:noProof/>
          <w:lang w:val="en-GB"/>
        </w:rPr>
        <w:t>The Post-World War II political situation and its impact on the European unification process</w:t>
      </w:r>
      <w:r w:rsidRPr="009F402C">
        <w:rPr>
          <w:rFonts w:ascii="Times New Roman" w:eastAsia="Calibri" w:hAnsi="Times New Roman" w:cs="Times New Roman"/>
          <w:lang w:val="en-US"/>
        </w:rPr>
        <w:t>)</w:t>
      </w:r>
    </w:p>
    <w:p w:rsidR="009F402C" w:rsidRPr="009F402C" w:rsidRDefault="009F402C" w:rsidP="00980876">
      <w:pPr>
        <w:numPr>
          <w:ilvl w:val="1"/>
          <w:numId w:val="821"/>
        </w:numPr>
        <w:spacing w:before="120" w:after="120" w:line="240" w:lineRule="auto"/>
        <w:ind w:left="1418" w:right="142" w:hanging="716"/>
        <w:jc w:val="both"/>
        <w:rPr>
          <w:rFonts w:ascii="Times New Roman" w:eastAsia="Calibri" w:hAnsi="Times New Roman" w:cs="Times New Roman"/>
          <w:lang w:val="en-US"/>
        </w:rPr>
      </w:pPr>
      <w:r w:rsidRPr="009F402C">
        <w:rPr>
          <w:rFonts w:ascii="Times New Roman" w:eastAsia="Calibri" w:hAnsi="Times New Roman" w:cs="Times New Roman"/>
        </w:rPr>
        <w:t>Az ESZAK és a Római Szerződések</w:t>
      </w:r>
      <w:r w:rsidR="00131DA1" w:rsidRPr="00131DA1">
        <w:rPr>
          <w:rFonts w:ascii="Times New Roman" w:eastAsia="Calibri" w:hAnsi="Times New Roman" w:cs="Times New Roman"/>
        </w:rPr>
        <w:t xml:space="preserve"> </w:t>
      </w:r>
      <w:r w:rsidRPr="009F402C">
        <w:rPr>
          <w:rFonts w:ascii="Times New Roman" w:eastAsia="Calibri" w:hAnsi="Times New Roman" w:cs="Times New Roman"/>
          <w:lang w:val="en-US"/>
        </w:rPr>
        <w:t xml:space="preserve">(The </w:t>
      </w:r>
      <w:r w:rsidRPr="009F402C">
        <w:rPr>
          <w:rFonts w:ascii="Times New Roman" w:eastAsia="Calibri" w:hAnsi="Times New Roman" w:cs="Times New Roman"/>
          <w:shd w:val="clear" w:color="auto" w:fill="FFFFFF"/>
          <w:lang w:val="en-US"/>
        </w:rPr>
        <w:t>European Coal and Steel Community and the Treaties of Rome)</w:t>
      </w:r>
    </w:p>
    <w:p w:rsidR="009F402C" w:rsidRPr="009F402C" w:rsidRDefault="009F402C" w:rsidP="00980876">
      <w:pPr>
        <w:numPr>
          <w:ilvl w:val="1"/>
          <w:numId w:val="821"/>
        </w:numPr>
        <w:spacing w:before="120" w:after="120" w:line="240" w:lineRule="auto"/>
        <w:ind w:left="1418" w:right="142" w:hanging="716"/>
        <w:jc w:val="both"/>
        <w:rPr>
          <w:rFonts w:ascii="Times New Roman" w:eastAsia="Calibri" w:hAnsi="Times New Roman" w:cs="Times New Roman"/>
          <w:noProof/>
          <w:lang w:val="en-GB"/>
        </w:rPr>
      </w:pPr>
      <w:r w:rsidRPr="009F402C">
        <w:rPr>
          <w:rFonts w:ascii="Times New Roman" w:eastAsia="Calibri" w:hAnsi="Times New Roman" w:cs="Times New Roman"/>
        </w:rPr>
        <w:t>A hatvanas évek európai integrációtörténetének sikerei és kudarcai</w:t>
      </w:r>
      <w:r w:rsidR="00131DA1" w:rsidRPr="00131DA1">
        <w:rPr>
          <w:rFonts w:ascii="Times New Roman" w:eastAsia="Calibri" w:hAnsi="Times New Roman" w:cs="Times New Roman"/>
        </w:rPr>
        <w:t xml:space="preserve"> </w:t>
      </w:r>
      <w:r w:rsidRPr="009F402C">
        <w:rPr>
          <w:rFonts w:ascii="Times New Roman" w:eastAsia="Calibri" w:hAnsi="Times New Roman" w:cs="Times New Roman"/>
          <w:lang w:val="en-US"/>
        </w:rPr>
        <w:t>(</w:t>
      </w:r>
      <w:r w:rsidRPr="009F402C">
        <w:rPr>
          <w:rFonts w:ascii="Times New Roman" w:eastAsia="Calibri" w:hAnsi="Times New Roman" w:cs="Times New Roman"/>
          <w:noProof/>
          <w:lang w:val="en-GB"/>
        </w:rPr>
        <w:t>Successes and failures in the history of European integration in the 1960s</w:t>
      </w:r>
      <w:r w:rsidRPr="009F402C">
        <w:rPr>
          <w:rFonts w:ascii="Times New Roman" w:eastAsia="Calibri" w:hAnsi="Times New Roman" w:cs="Times New Roman"/>
          <w:lang w:val="en-US"/>
        </w:rPr>
        <w:t>)</w:t>
      </w:r>
    </w:p>
    <w:p w:rsidR="009F402C" w:rsidRPr="009F402C" w:rsidRDefault="009F402C" w:rsidP="00980876">
      <w:pPr>
        <w:numPr>
          <w:ilvl w:val="1"/>
          <w:numId w:val="821"/>
        </w:numPr>
        <w:spacing w:before="120" w:after="120" w:line="240" w:lineRule="auto"/>
        <w:ind w:left="1418" w:right="142" w:hanging="716"/>
        <w:jc w:val="both"/>
        <w:rPr>
          <w:rFonts w:ascii="Times New Roman" w:eastAsia="Calibri" w:hAnsi="Times New Roman" w:cs="Times New Roman"/>
          <w:noProof/>
          <w:lang w:val="en-GB"/>
        </w:rPr>
      </w:pPr>
      <w:r w:rsidRPr="009F402C">
        <w:rPr>
          <w:rFonts w:ascii="Times New Roman" w:eastAsia="Calibri" w:hAnsi="Times New Roman" w:cs="Times New Roman"/>
        </w:rPr>
        <w:t>Európai integráció az 1970-es években</w:t>
      </w:r>
      <w:r w:rsidR="00131DA1" w:rsidRPr="00131DA1">
        <w:rPr>
          <w:rFonts w:ascii="Times New Roman" w:eastAsia="Calibri" w:hAnsi="Times New Roman" w:cs="Times New Roman"/>
        </w:rPr>
        <w:t xml:space="preserve"> </w:t>
      </w:r>
      <w:r w:rsidRPr="009F402C">
        <w:rPr>
          <w:rFonts w:ascii="Times New Roman" w:eastAsia="Calibri" w:hAnsi="Times New Roman" w:cs="Times New Roman"/>
          <w:lang w:val="en-US"/>
        </w:rPr>
        <w:t>(</w:t>
      </w:r>
      <w:r w:rsidRPr="009F402C">
        <w:rPr>
          <w:rFonts w:ascii="Times New Roman" w:eastAsia="Calibri" w:hAnsi="Times New Roman" w:cs="Times New Roman"/>
          <w:noProof/>
          <w:lang w:val="en-GB"/>
        </w:rPr>
        <w:t>European integration in the 1970s</w:t>
      </w:r>
      <w:r w:rsidRPr="009F402C">
        <w:rPr>
          <w:rFonts w:ascii="Times New Roman" w:eastAsia="Calibri" w:hAnsi="Times New Roman" w:cs="Times New Roman"/>
          <w:lang w:val="en-US"/>
        </w:rPr>
        <w:t>)</w:t>
      </w:r>
    </w:p>
    <w:p w:rsidR="009F402C" w:rsidRPr="009F402C" w:rsidRDefault="009F402C" w:rsidP="00980876">
      <w:pPr>
        <w:numPr>
          <w:ilvl w:val="1"/>
          <w:numId w:val="821"/>
        </w:numPr>
        <w:spacing w:before="120" w:after="120" w:line="240" w:lineRule="auto"/>
        <w:ind w:left="1418" w:right="142" w:hanging="716"/>
        <w:jc w:val="both"/>
        <w:rPr>
          <w:rFonts w:ascii="Times New Roman" w:eastAsia="Calibri" w:hAnsi="Times New Roman" w:cs="Times New Roman"/>
          <w:lang w:val="en-US"/>
        </w:rPr>
      </w:pPr>
      <w:r w:rsidRPr="009F402C">
        <w:rPr>
          <w:rFonts w:ascii="Times New Roman" w:eastAsia="Calibri" w:hAnsi="Times New Roman" w:cs="Times New Roman"/>
        </w:rPr>
        <w:t>A megtorpanó, majd új lendületre kapó integráció a nyolcvanas években</w:t>
      </w:r>
      <w:r w:rsidR="00131DA1" w:rsidRPr="00131DA1">
        <w:rPr>
          <w:rFonts w:ascii="Times New Roman" w:eastAsia="Calibri" w:hAnsi="Times New Roman" w:cs="Times New Roman"/>
        </w:rPr>
        <w:t xml:space="preserve"> </w:t>
      </w:r>
      <w:r w:rsidRPr="009F402C">
        <w:rPr>
          <w:rFonts w:ascii="Times New Roman" w:eastAsia="Calibri" w:hAnsi="Times New Roman" w:cs="Times New Roman"/>
          <w:lang w:val="en-US"/>
        </w:rPr>
        <w:t>(The stagnation and the new impetus in the 1980s)</w:t>
      </w:r>
    </w:p>
    <w:p w:rsidR="009F402C" w:rsidRPr="009F402C" w:rsidRDefault="009F402C" w:rsidP="00980876">
      <w:pPr>
        <w:numPr>
          <w:ilvl w:val="1"/>
          <w:numId w:val="821"/>
        </w:numPr>
        <w:spacing w:before="120" w:after="120" w:line="240" w:lineRule="auto"/>
        <w:ind w:left="1418" w:right="142" w:hanging="716"/>
        <w:jc w:val="both"/>
        <w:rPr>
          <w:rFonts w:ascii="Times New Roman" w:eastAsia="Calibri" w:hAnsi="Times New Roman" w:cs="Times New Roman"/>
          <w:lang w:val="en-US"/>
        </w:rPr>
      </w:pPr>
      <w:r w:rsidRPr="009F402C">
        <w:rPr>
          <w:rFonts w:ascii="Times New Roman" w:eastAsia="Calibri" w:hAnsi="Times New Roman" w:cs="Times New Roman"/>
        </w:rPr>
        <w:t>Az Európai Unió születése a kilencvenes években</w:t>
      </w:r>
      <w:r w:rsidR="00131DA1" w:rsidRPr="00131DA1">
        <w:rPr>
          <w:rFonts w:ascii="Times New Roman" w:eastAsia="Calibri" w:hAnsi="Times New Roman" w:cs="Times New Roman"/>
        </w:rPr>
        <w:t xml:space="preserve"> </w:t>
      </w:r>
      <w:r w:rsidRPr="009F402C">
        <w:rPr>
          <w:rFonts w:ascii="Times New Roman" w:eastAsia="Calibri" w:hAnsi="Times New Roman" w:cs="Times New Roman"/>
          <w:lang w:val="en-US"/>
        </w:rPr>
        <w:t>(The birth of the European Union in the 1990s)</w:t>
      </w:r>
    </w:p>
    <w:p w:rsidR="009F402C" w:rsidRPr="009F402C" w:rsidRDefault="009F402C" w:rsidP="00980876">
      <w:pPr>
        <w:numPr>
          <w:ilvl w:val="1"/>
          <w:numId w:val="821"/>
        </w:numPr>
        <w:spacing w:before="120" w:after="120" w:line="240" w:lineRule="auto"/>
        <w:ind w:left="1418" w:right="142" w:hanging="716"/>
        <w:jc w:val="both"/>
        <w:rPr>
          <w:rFonts w:ascii="Times New Roman" w:eastAsia="Calibri" w:hAnsi="Times New Roman" w:cs="Times New Roman"/>
          <w:lang w:val="en-US"/>
        </w:rPr>
      </w:pPr>
      <w:r w:rsidRPr="009F402C">
        <w:rPr>
          <w:rFonts w:ascii="Times New Roman" w:eastAsia="Calibri" w:hAnsi="Times New Roman" w:cs="Times New Roman"/>
        </w:rPr>
        <w:t>Keleti bővítés</w:t>
      </w:r>
      <w:r w:rsidR="00131DA1" w:rsidRPr="00131DA1">
        <w:rPr>
          <w:rFonts w:ascii="Times New Roman" w:eastAsia="Calibri" w:hAnsi="Times New Roman" w:cs="Times New Roman"/>
        </w:rPr>
        <w:t xml:space="preserve"> </w:t>
      </w:r>
      <w:r w:rsidRPr="009F402C">
        <w:rPr>
          <w:rFonts w:ascii="Times New Roman" w:eastAsia="Calibri" w:hAnsi="Times New Roman" w:cs="Times New Roman"/>
          <w:lang w:val="en-US"/>
        </w:rPr>
        <w:t>(Eastern enlargement)</w:t>
      </w:r>
    </w:p>
    <w:p w:rsidR="009F402C" w:rsidRPr="009F402C" w:rsidRDefault="009F402C" w:rsidP="00980876">
      <w:pPr>
        <w:numPr>
          <w:ilvl w:val="1"/>
          <w:numId w:val="821"/>
        </w:numPr>
        <w:spacing w:before="120" w:after="120" w:line="240" w:lineRule="auto"/>
        <w:ind w:left="1418" w:right="142" w:hanging="716"/>
        <w:jc w:val="both"/>
        <w:rPr>
          <w:rFonts w:ascii="Times New Roman" w:eastAsia="Calibri" w:hAnsi="Times New Roman" w:cs="Times New Roman"/>
          <w:lang w:val="en-US"/>
        </w:rPr>
      </w:pPr>
      <w:r w:rsidRPr="009F402C">
        <w:rPr>
          <w:rFonts w:ascii="Times New Roman" w:eastAsia="Calibri" w:hAnsi="Times New Roman" w:cs="Times New Roman"/>
        </w:rPr>
        <w:t>Az integráció az új évezredben: alkotmányozás, bukás és a lisszaboni kiút</w:t>
      </w:r>
      <w:r w:rsidR="00131DA1" w:rsidRPr="00131DA1">
        <w:rPr>
          <w:rFonts w:ascii="Times New Roman" w:eastAsia="Calibri" w:hAnsi="Times New Roman" w:cs="Times New Roman"/>
        </w:rPr>
        <w:t xml:space="preserve"> </w:t>
      </w:r>
      <w:r w:rsidRPr="009F402C">
        <w:rPr>
          <w:rFonts w:ascii="Times New Roman" w:eastAsia="Calibri" w:hAnsi="Times New Roman" w:cs="Times New Roman"/>
          <w:lang w:val="en-US"/>
        </w:rPr>
        <w:t>(Integration in the new millennium: Constitution, fall and Treaty of Lisbon)</w:t>
      </w:r>
    </w:p>
    <w:p w:rsidR="009F402C" w:rsidRPr="009F402C" w:rsidRDefault="009F402C" w:rsidP="00980876">
      <w:pPr>
        <w:numPr>
          <w:ilvl w:val="1"/>
          <w:numId w:val="821"/>
        </w:numPr>
        <w:spacing w:before="120" w:after="120" w:line="240" w:lineRule="auto"/>
        <w:ind w:left="1418" w:right="142" w:hanging="716"/>
        <w:jc w:val="both"/>
        <w:rPr>
          <w:rFonts w:ascii="Times New Roman" w:eastAsia="Calibri" w:hAnsi="Times New Roman" w:cs="Times New Roman"/>
          <w:lang w:val="en-US"/>
        </w:rPr>
      </w:pPr>
      <w:r w:rsidRPr="009F402C">
        <w:rPr>
          <w:rFonts w:ascii="Times New Roman" w:eastAsia="Calibri" w:hAnsi="Times New Roman" w:cs="Times New Roman"/>
        </w:rPr>
        <w:t>Gazdasági válság és menedzsment az Unióban</w:t>
      </w:r>
      <w:r w:rsidR="00131DA1" w:rsidRPr="00131DA1">
        <w:rPr>
          <w:rFonts w:ascii="Times New Roman" w:eastAsia="Calibri" w:hAnsi="Times New Roman" w:cs="Times New Roman"/>
        </w:rPr>
        <w:t xml:space="preserve"> </w:t>
      </w:r>
      <w:r w:rsidRPr="009F402C">
        <w:rPr>
          <w:rFonts w:ascii="Times New Roman" w:eastAsia="Calibri" w:hAnsi="Times New Roman" w:cs="Times New Roman"/>
          <w:lang w:val="en-US"/>
        </w:rPr>
        <w:t>(Economic crisis and management in the EU)</w:t>
      </w:r>
    </w:p>
    <w:p w:rsidR="009F402C" w:rsidRPr="009F402C" w:rsidRDefault="009F402C" w:rsidP="00980876">
      <w:pPr>
        <w:numPr>
          <w:ilvl w:val="1"/>
          <w:numId w:val="821"/>
        </w:numPr>
        <w:spacing w:before="120" w:after="120" w:line="240" w:lineRule="auto"/>
        <w:ind w:left="1418" w:right="142" w:hanging="716"/>
        <w:jc w:val="both"/>
        <w:rPr>
          <w:rFonts w:ascii="Times New Roman" w:eastAsia="Calibri" w:hAnsi="Times New Roman" w:cs="Times New Roman"/>
          <w:lang w:val="en-US"/>
        </w:rPr>
      </w:pPr>
      <w:r w:rsidRPr="009F402C">
        <w:rPr>
          <w:rFonts w:ascii="Times New Roman" w:eastAsia="Calibri" w:hAnsi="Times New Roman" w:cs="Times New Roman"/>
        </w:rPr>
        <w:t>Az Egyesült Királyság kiválása az EU-ból (Brexit)</w:t>
      </w:r>
    </w:p>
    <w:p w:rsidR="009F402C" w:rsidRPr="009F402C" w:rsidRDefault="009F402C" w:rsidP="00980876">
      <w:pPr>
        <w:numPr>
          <w:ilvl w:val="1"/>
          <w:numId w:val="821"/>
        </w:numPr>
        <w:spacing w:before="120" w:after="120" w:line="240" w:lineRule="auto"/>
        <w:ind w:left="1418" w:right="142" w:hanging="716"/>
        <w:jc w:val="both"/>
        <w:rPr>
          <w:rFonts w:ascii="Times New Roman" w:eastAsia="Calibri" w:hAnsi="Times New Roman" w:cs="Times New Roman"/>
          <w:lang w:val="en-US"/>
        </w:rPr>
      </w:pPr>
      <w:r w:rsidRPr="009F402C">
        <w:rPr>
          <w:rFonts w:ascii="Times New Roman" w:eastAsia="Calibri" w:hAnsi="Times New Roman" w:cs="Times New Roman"/>
        </w:rPr>
        <w:lastRenderedPageBreak/>
        <w:t>Differenciált integráció az EU-ban</w:t>
      </w:r>
      <w:r w:rsidR="00131DA1" w:rsidRPr="00131DA1">
        <w:rPr>
          <w:rFonts w:ascii="Times New Roman" w:eastAsia="Calibri" w:hAnsi="Times New Roman" w:cs="Times New Roman"/>
        </w:rPr>
        <w:t xml:space="preserve"> </w:t>
      </w:r>
      <w:r w:rsidRPr="009F402C">
        <w:rPr>
          <w:rFonts w:ascii="Times New Roman" w:eastAsia="Calibri" w:hAnsi="Times New Roman" w:cs="Times New Roman"/>
          <w:lang w:val="en-US"/>
        </w:rPr>
        <w:t>(Differentiated integration in the EU)</w:t>
      </w:r>
    </w:p>
    <w:p w:rsidR="009F402C" w:rsidRPr="009F402C" w:rsidRDefault="009F402C" w:rsidP="00980876">
      <w:pPr>
        <w:widowControl w:val="0"/>
        <w:numPr>
          <w:ilvl w:val="0"/>
          <w:numId w:val="821"/>
        </w:numPr>
        <w:tabs>
          <w:tab w:val="num" w:pos="360"/>
        </w:tabs>
        <w:spacing w:before="120" w:after="120" w:line="240" w:lineRule="auto"/>
        <w:ind w:left="426" w:hanging="142"/>
        <w:jc w:val="both"/>
        <w:rPr>
          <w:rFonts w:ascii="Times New Roman" w:eastAsia="Calibri" w:hAnsi="Times New Roman" w:cs="Times New Roman"/>
          <w:bCs/>
        </w:rPr>
      </w:pPr>
      <w:r w:rsidRPr="009F402C">
        <w:rPr>
          <w:rFonts w:ascii="Times New Roman" w:eastAsia="Calibri" w:hAnsi="Times New Roman" w:cs="Times New Roman"/>
          <w:b/>
          <w:bCs/>
          <w:spacing w:val="-8"/>
        </w:rPr>
        <w:t xml:space="preserve">A tantárgy meghirdetésének gyakorisága/a tantervben történő félévi elhelyezkedése: </w:t>
      </w:r>
      <w:r w:rsidRPr="009F402C">
        <w:rPr>
          <w:rFonts w:ascii="Times New Roman" w:eastAsia="Calibri" w:hAnsi="Times New Roman" w:cs="Times New Roman"/>
          <w:bCs/>
        </w:rPr>
        <w:t>a mintatanterv szerint karonként változó</w:t>
      </w:r>
      <w:r w:rsidRPr="009F402C">
        <w:rPr>
          <w:rFonts w:ascii="Times New Roman" w:eastAsia="Calibri" w:hAnsi="Times New Roman" w:cs="Times New Roman"/>
          <w:b/>
          <w:bCs/>
        </w:rPr>
        <w:t>.</w:t>
      </w:r>
    </w:p>
    <w:p w:rsidR="009F402C" w:rsidRPr="009F402C" w:rsidRDefault="009F402C" w:rsidP="00980876">
      <w:pPr>
        <w:widowControl w:val="0"/>
        <w:numPr>
          <w:ilvl w:val="0"/>
          <w:numId w:val="821"/>
        </w:numPr>
        <w:tabs>
          <w:tab w:val="num" w:pos="360"/>
        </w:tabs>
        <w:spacing w:before="120" w:after="120" w:line="240" w:lineRule="auto"/>
        <w:ind w:left="426" w:hanging="142"/>
        <w:jc w:val="both"/>
        <w:rPr>
          <w:rFonts w:ascii="Times New Roman" w:eastAsia="Calibri" w:hAnsi="Times New Roman" w:cs="Times New Roman"/>
          <w:bCs/>
        </w:rPr>
      </w:pPr>
      <w:r w:rsidRPr="009F402C">
        <w:rPr>
          <w:rFonts w:ascii="Times New Roman" w:eastAsia="Calibri" w:hAnsi="Times New Roman" w:cs="Times New Roman"/>
          <w:b/>
          <w:bCs/>
        </w:rPr>
        <w:t>A tanórákon való részvétel követelményei, az elfogadható hiányzások mértéke, a távolmaradás pótlásának lehetősége:</w:t>
      </w:r>
      <w:r w:rsidRPr="009F402C">
        <w:rPr>
          <w:rFonts w:ascii="Times New Roman" w:eastAsia="Calibri" w:hAnsi="Times New Roman" w:cs="Times New Roman"/>
          <w:bCs/>
        </w:rPr>
        <w:t xml:space="preserve"> A tantárgy elfogadásához a tanórák legalább 75 %-án jelen kell lennie a hallgatónak. A távollét igazolását elektronikusan kell megküldeni a tárgyfelelős számára. A hallgató köteles az előadás anyagát beszerezni, abból önállóan felkészülni.</w:t>
      </w:r>
      <w:r w:rsidRPr="009F402C">
        <w:rPr>
          <w:rFonts w:ascii="Times New Roman" w:eastAsia="Calibri" w:hAnsi="Times New Roman" w:cs="Times New Roman"/>
        </w:rPr>
        <w:t xml:space="preserve"> Az elfogadható hiányzások mértékének túllépése esetén következményként az aláírás megtagadásra kerül és a hallgató nem bocsátható vizsgára.</w:t>
      </w:r>
    </w:p>
    <w:p w:rsidR="009F402C" w:rsidRPr="009F402C" w:rsidRDefault="009F402C" w:rsidP="00980876">
      <w:pPr>
        <w:widowControl w:val="0"/>
        <w:numPr>
          <w:ilvl w:val="0"/>
          <w:numId w:val="821"/>
        </w:numPr>
        <w:tabs>
          <w:tab w:val="num" w:pos="360"/>
        </w:tabs>
        <w:spacing w:before="120" w:after="120" w:line="240" w:lineRule="auto"/>
        <w:ind w:left="426" w:hanging="142"/>
        <w:jc w:val="both"/>
        <w:rPr>
          <w:rFonts w:ascii="Times New Roman" w:eastAsia="Calibri" w:hAnsi="Times New Roman" w:cs="Times New Roman"/>
          <w:bCs/>
        </w:rPr>
      </w:pPr>
      <w:r w:rsidRPr="009F402C">
        <w:rPr>
          <w:rFonts w:ascii="Times New Roman" w:eastAsia="Calibri" w:hAnsi="Times New Roman" w:cs="Times New Roman"/>
          <w:b/>
        </w:rPr>
        <w:t>Félévközi feladatok, ismeretek ellenőrzésének rendje:</w:t>
      </w:r>
      <w:r w:rsidRPr="009F402C">
        <w:rPr>
          <w:rFonts w:ascii="Times New Roman" w:eastAsia="Calibri" w:hAnsi="Times New Roman" w:cs="Times New Roman"/>
          <w:bCs/>
        </w:rPr>
        <w:t xml:space="preserve"> </w:t>
      </w:r>
      <w:r w:rsidRPr="009F402C">
        <w:rPr>
          <w:rFonts w:ascii="Times New Roman" w:eastAsia="Calibri" w:hAnsi="Times New Roman" w:cs="Times New Roman"/>
        </w:rPr>
        <w:t>-</w:t>
      </w:r>
    </w:p>
    <w:p w:rsidR="009F402C" w:rsidRPr="009F402C" w:rsidRDefault="009F402C" w:rsidP="00980876">
      <w:pPr>
        <w:widowControl w:val="0"/>
        <w:numPr>
          <w:ilvl w:val="0"/>
          <w:numId w:val="821"/>
        </w:numPr>
        <w:tabs>
          <w:tab w:val="num" w:pos="360"/>
        </w:tabs>
        <w:spacing w:before="120" w:after="120" w:line="240" w:lineRule="auto"/>
        <w:ind w:left="426" w:hanging="142"/>
        <w:jc w:val="both"/>
        <w:rPr>
          <w:rFonts w:ascii="Times New Roman" w:eastAsia="Calibri" w:hAnsi="Times New Roman" w:cs="Times New Roman"/>
          <w:b/>
          <w:bCs/>
        </w:rPr>
      </w:pPr>
      <w:r w:rsidRPr="009F402C">
        <w:rPr>
          <w:rFonts w:ascii="Times New Roman" w:eastAsia="Calibri" w:hAnsi="Times New Roman" w:cs="Times New Roman"/>
          <w:b/>
          <w:bCs/>
        </w:rPr>
        <w:t xml:space="preserve">Az értékelés, az aláírás és a kreditek megszerzésének pontos feltételei: </w:t>
      </w:r>
    </w:p>
    <w:p w:rsidR="009F402C" w:rsidRPr="009F402C" w:rsidRDefault="009F402C" w:rsidP="00980876">
      <w:pPr>
        <w:widowControl w:val="0"/>
        <w:numPr>
          <w:ilvl w:val="1"/>
          <w:numId w:val="821"/>
        </w:numPr>
        <w:tabs>
          <w:tab w:val="left" w:pos="709"/>
          <w:tab w:val="left" w:pos="993"/>
        </w:tabs>
        <w:spacing w:before="120" w:after="120" w:line="240" w:lineRule="auto"/>
        <w:ind w:left="426" w:firstLine="0"/>
        <w:jc w:val="both"/>
        <w:rPr>
          <w:rFonts w:ascii="Times New Roman" w:eastAsia="Calibri" w:hAnsi="Times New Roman" w:cs="Times New Roman"/>
        </w:rPr>
      </w:pPr>
      <w:r w:rsidRPr="009F402C">
        <w:rPr>
          <w:rFonts w:ascii="Times New Roman" w:eastAsia="Calibri" w:hAnsi="Times New Roman" w:cs="Times New Roman"/>
          <w:b/>
        </w:rPr>
        <w:t>Az aláírás megszerzésének feltételei:</w:t>
      </w:r>
      <w:r w:rsidRPr="009F402C">
        <w:rPr>
          <w:rFonts w:ascii="Times New Roman" w:eastAsia="Calibri" w:hAnsi="Times New Roman" w:cs="Times New Roman"/>
        </w:rPr>
        <w:t xml:space="preserve"> Az aláírás megszerzésének feltétele a 14. pontban meghatározott arányú részvétel a foglalkozásokon.</w:t>
      </w:r>
    </w:p>
    <w:p w:rsidR="009F402C" w:rsidRPr="009F402C" w:rsidRDefault="009F402C" w:rsidP="00980876">
      <w:pPr>
        <w:widowControl w:val="0"/>
        <w:numPr>
          <w:ilvl w:val="1"/>
          <w:numId w:val="821"/>
        </w:numPr>
        <w:tabs>
          <w:tab w:val="left" w:pos="709"/>
          <w:tab w:val="left" w:pos="993"/>
        </w:tabs>
        <w:spacing w:before="120" w:after="120" w:line="240" w:lineRule="auto"/>
        <w:ind w:left="426" w:firstLine="0"/>
        <w:jc w:val="both"/>
        <w:rPr>
          <w:rFonts w:ascii="Times New Roman" w:eastAsia="Calibri" w:hAnsi="Times New Roman" w:cs="Times New Roman"/>
        </w:rPr>
      </w:pPr>
      <w:r w:rsidRPr="009F402C">
        <w:rPr>
          <w:rFonts w:ascii="Times New Roman" w:eastAsia="Calibri" w:hAnsi="Times New Roman" w:cs="Times New Roman"/>
          <w:b/>
        </w:rPr>
        <w:t>Az értékelés:</w:t>
      </w:r>
      <w:r w:rsidRPr="009F402C">
        <w:rPr>
          <w:rFonts w:ascii="Times New Roman" w:eastAsia="Calibri" w:hAnsi="Times New Roman" w:cs="Times New Roman"/>
        </w:rPr>
        <w:t xml:space="preserve"> vizsga: írásbeli kollokvium</w:t>
      </w:r>
    </w:p>
    <w:p w:rsidR="009F402C" w:rsidRPr="009F402C" w:rsidRDefault="009F402C" w:rsidP="00980876">
      <w:pPr>
        <w:widowControl w:val="0"/>
        <w:numPr>
          <w:ilvl w:val="1"/>
          <w:numId w:val="821"/>
        </w:numPr>
        <w:tabs>
          <w:tab w:val="left" w:pos="709"/>
          <w:tab w:val="left" w:pos="993"/>
        </w:tabs>
        <w:spacing w:before="120" w:after="120" w:line="240" w:lineRule="auto"/>
        <w:ind w:left="426" w:firstLine="0"/>
        <w:jc w:val="both"/>
        <w:rPr>
          <w:rFonts w:ascii="Times New Roman" w:eastAsia="Calibri" w:hAnsi="Times New Roman" w:cs="Times New Roman"/>
          <w:spacing w:val="-8"/>
        </w:rPr>
      </w:pPr>
      <w:r w:rsidRPr="009F402C">
        <w:rPr>
          <w:rFonts w:ascii="Times New Roman" w:eastAsia="Calibri" w:hAnsi="Times New Roman" w:cs="Times New Roman"/>
          <w:b/>
          <w:spacing w:val="-8"/>
        </w:rPr>
        <w:t>A kreditek megszerzésének feltételei:</w:t>
      </w:r>
      <w:r w:rsidRPr="009F402C">
        <w:rPr>
          <w:rFonts w:ascii="Times New Roman" w:eastAsia="Calibri" w:hAnsi="Times New Roman" w:cs="Times New Roman"/>
          <w:spacing w:val="-8"/>
        </w:rPr>
        <w:t xml:space="preserve"> az aláírás megszerzése és legalább elégséges jegy.</w:t>
      </w:r>
    </w:p>
    <w:p w:rsidR="009F402C" w:rsidRPr="009F402C" w:rsidRDefault="009F402C" w:rsidP="00980876">
      <w:pPr>
        <w:widowControl w:val="0"/>
        <w:numPr>
          <w:ilvl w:val="0"/>
          <w:numId w:val="821"/>
        </w:numPr>
        <w:tabs>
          <w:tab w:val="num" w:pos="360"/>
        </w:tabs>
        <w:spacing w:before="120" w:after="120" w:line="240" w:lineRule="auto"/>
        <w:ind w:left="426" w:hanging="142"/>
        <w:jc w:val="both"/>
        <w:rPr>
          <w:rFonts w:ascii="Times New Roman" w:eastAsia="Calibri" w:hAnsi="Times New Roman" w:cs="Times New Roman"/>
          <w:bCs/>
        </w:rPr>
      </w:pPr>
      <w:r w:rsidRPr="009F402C">
        <w:rPr>
          <w:rFonts w:ascii="Times New Roman" w:eastAsia="Calibri" w:hAnsi="Times New Roman" w:cs="Times New Roman"/>
          <w:b/>
          <w:bCs/>
        </w:rPr>
        <w:t>Irodalomjegyzék:</w:t>
      </w:r>
    </w:p>
    <w:p w:rsidR="009F402C" w:rsidRPr="009F402C" w:rsidRDefault="009F402C" w:rsidP="00980876">
      <w:pPr>
        <w:widowControl w:val="0"/>
        <w:numPr>
          <w:ilvl w:val="1"/>
          <w:numId w:val="821"/>
        </w:numPr>
        <w:tabs>
          <w:tab w:val="left" w:pos="567"/>
          <w:tab w:val="left" w:pos="851"/>
        </w:tabs>
        <w:spacing w:before="120" w:after="120" w:line="240" w:lineRule="auto"/>
        <w:ind w:left="426" w:hanging="142"/>
        <w:jc w:val="both"/>
        <w:rPr>
          <w:rFonts w:ascii="Times New Roman" w:eastAsia="Calibri" w:hAnsi="Times New Roman" w:cs="Times New Roman"/>
          <w:bCs/>
        </w:rPr>
      </w:pPr>
      <w:r w:rsidRPr="009F402C">
        <w:rPr>
          <w:rFonts w:ascii="Times New Roman" w:eastAsia="Calibri" w:hAnsi="Times New Roman" w:cs="Times New Roman"/>
          <w:b/>
          <w:bCs/>
        </w:rPr>
        <w:t>Kötelező irodalom:</w:t>
      </w:r>
    </w:p>
    <w:p w:rsidR="009F402C" w:rsidRPr="009F402C" w:rsidRDefault="009F402C" w:rsidP="00980876">
      <w:pPr>
        <w:numPr>
          <w:ilvl w:val="0"/>
          <w:numId w:val="822"/>
        </w:numPr>
        <w:tabs>
          <w:tab w:val="right" w:pos="851"/>
          <w:tab w:val="center" w:pos="4536"/>
          <w:tab w:val="right" w:pos="9072"/>
        </w:tabs>
        <w:spacing w:before="120" w:after="120" w:line="240" w:lineRule="auto"/>
        <w:jc w:val="both"/>
        <w:rPr>
          <w:rFonts w:ascii="Times New Roman" w:eastAsia="Times New Roman" w:hAnsi="Times New Roman" w:cs="Times New Roman"/>
          <w:bCs/>
          <w:lang w:eastAsia="hu-HU"/>
        </w:rPr>
      </w:pPr>
      <w:r w:rsidRPr="009F402C">
        <w:rPr>
          <w:rFonts w:ascii="Times New Roman" w:eastAsia="Times New Roman" w:hAnsi="Times New Roman" w:cs="Times New Roman"/>
          <w:bCs/>
          <w:lang w:eastAsia="hu-HU"/>
        </w:rPr>
        <w:t xml:space="preserve">Arató Krisztina – Koller Boglárka: Európa utazása. Integrációtörténet. Gondolat, Budapest, 2015. ISBN: </w:t>
      </w:r>
      <w:r w:rsidRPr="009F402C">
        <w:rPr>
          <w:rFonts w:ascii="Times New Roman" w:eastAsia="Times New Roman" w:hAnsi="Times New Roman" w:cs="Times New Roman"/>
          <w:shd w:val="clear" w:color="auto" w:fill="FFFFFF"/>
          <w:lang w:eastAsia="hu-HU"/>
        </w:rPr>
        <w:t>789636936150</w:t>
      </w:r>
    </w:p>
    <w:p w:rsidR="009F402C" w:rsidRPr="009F402C" w:rsidRDefault="009F402C" w:rsidP="00980876">
      <w:pPr>
        <w:numPr>
          <w:ilvl w:val="0"/>
          <w:numId w:val="822"/>
        </w:numPr>
        <w:tabs>
          <w:tab w:val="right" w:pos="851"/>
          <w:tab w:val="center" w:pos="4536"/>
          <w:tab w:val="right" w:pos="9072"/>
        </w:tabs>
        <w:spacing w:before="120" w:after="120" w:line="240" w:lineRule="auto"/>
        <w:jc w:val="both"/>
        <w:rPr>
          <w:rFonts w:ascii="Times New Roman" w:eastAsia="Times New Roman" w:hAnsi="Times New Roman" w:cs="Times New Roman"/>
          <w:lang w:eastAsia="hu-HU"/>
        </w:rPr>
      </w:pPr>
      <w:r w:rsidRPr="009F402C">
        <w:rPr>
          <w:rFonts w:ascii="Times New Roman" w:eastAsia="Times New Roman" w:hAnsi="Times New Roman" w:cs="Times New Roman"/>
          <w:bCs/>
          <w:lang w:eastAsia="hu-HU"/>
        </w:rPr>
        <w:t>Arató Krisztina – Koller Boglárka: Az Európai Unió politikai rendszere. Dialóg Campus, Budapest, 2019.</w:t>
      </w:r>
    </w:p>
    <w:p w:rsidR="009F402C" w:rsidRPr="009F402C" w:rsidRDefault="009F402C" w:rsidP="00980876">
      <w:pPr>
        <w:widowControl w:val="0"/>
        <w:numPr>
          <w:ilvl w:val="1"/>
          <w:numId w:val="821"/>
        </w:numPr>
        <w:spacing w:before="120" w:after="120" w:line="240" w:lineRule="auto"/>
        <w:ind w:left="993" w:hanging="709"/>
        <w:jc w:val="both"/>
        <w:rPr>
          <w:rFonts w:ascii="Times New Roman" w:eastAsia="Calibri" w:hAnsi="Times New Roman" w:cs="Times New Roman"/>
          <w:b/>
          <w:bCs/>
        </w:rPr>
      </w:pPr>
      <w:r w:rsidRPr="009F402C">
        <w:rPr>
          <w:rFonts w:ascii="Times New Roman" w:eastAsia="Calibri" w:hAnsi="Times New Roman" w:cs="Times New Roman"/>
          <w:b/>
          <w:bCs/>
        </w:rPr>
        <w:t>Ajánlott irodalom:</w:t>
      </w:r>
    </w:p>
    <w:p w:rsidR="009F402C" w:rsidRPr="009F402C" w:rsidRDefault="009F402C" w:rsidP="00980876">
      <w:pPr>
        <w:numPr>
          <w:ilvl w:val="0"/>
          <w:numId w:val="820"/>
        </w:numPr>
        <w:tabs>
          <w:tab w:val="right" w:pos="851"/>
          <w:tab w:val="center" w:pos="4536"/>
          <w:tab w:val="right" w:pos="9072"/>
        </w:tabs>
        <w:spacing w:before="120" w:after="120" w:line="240" w:lineRule="auto"/>
        <w:ind w:left="709"/>
        <w:jc w:val="both"/>
        <w:rPr>
          <w:rFonts w:ascii="Times New Roman" w:eastAsia="Times New Roman" w:hAnsi="Times New Roman" w:cs="Times New Roman"/>
          <w:bCs/>
          <w:lang w:eastAsia="hu-HU"/>
        </w:rPr>
      </w:pPr>
      <w:r w:rsidRPr="009F402C">
        <w:rPr>
          <w:rFonts w:ascii="Times New Roman" w:eastAsia="Times New Roman" w:hAnsi="Times New Roman" w:cs="Times New Roman"/>
          <w:bCs/>
          <w:lang w:eastAsia="hu-HU"/>
        </w:rPr>
        <w:t xml:space="preserve">Nugent, Neill: The Government and Politics of the European Union. 8th Edition. Palgrave Macmillan, 2017. ISBN: </w:t>
      </w:r>
      <w:r w:rsidRPr="009F402C">
        <w:rPr>
          <w:rFonts w:ascii="Times New Roman" w:eastAsia="Times New Roman" w:hAnsi="Times New Roman" w:cs="Times New Roman"/>
          <w:shd w:val="clear" w:color="auto" w:fill="FFFFFF"/>
          <w:lang w:eastAsia="hu-HU"/>
        </w:rPr>
        <w:t>9781137454089</w:t>
      </w:r>
    </w:p>
    <w:p w:rsidR="009F402C" w:rsidRPr="009F402C" w:rsidRDefault="009F402C" w:rsidP="00980876">
      <w:pPr>
        <w:numPr>
          <w:ilvl w:val="0"/>
          <w:numId w:val="820"/>
        </w:numPr>
        <w:tabs>
          <w:tab w:val="right" w:pos="851"/>
          <w:tab w:val="center" w:pos="4536"/>
          <w:tab w:val="right" w:pos="9072"/>
        </w:tabs>
        <w:spacing w:before="120" w:after="120" w:line="240" w:lineRule="auto"/>
        <w:ind w:left="709"/>
        <w:jc w:val="both"/>
        <w:rPr>
          <w:rFonts w:ascii="Times New Roman" w:eastAsia="Times New Roman" w:hAnsi="Times New Roman" w:cs="Times New Roman"/>
          <w:bCs/>
          <w:lang w:eastAsia="hu-HU"/>
        </w:rPr>
      </w:pPr>
      <w:r w:rsidRPr="009F402C">
        <w:rPr>
          <w:rFonts w:ascii="Times New Roman" w:eastAsia="Times New Roman" w:hAnsi="Times New Roman" w:cs="Times New Roman"/>
          <w:bCs/>
          <w:lang w:eastAsia="hu-HU"/>
        </w:rPr>
        <w:t xml:space="preserve">Dinan, Desmond: Europe Recast: A History of European Union, 2nd edition, Palgrave Macmillan, 2014. ISBN: </w:t>
      </w:r>
      <w:r w:rsidRPr="009F402C">
        <w:rPr>
          <w:rFonts w:ascii="Times New Roman" w:eastAsia="Times New Roman" w:hAnsi="Times New Roman" w:cs="Times New Roman"/>
          <w:shd w:val="clear" w:color="auto" w:fill="FFFFFF"/>
          <w:lang w:eastAsia="hu-HU"/>
        </w:rPr>
        <w:t>9781137436443</w:t>
      </w:r>
    </w:p>
    <w:p w:rsidR="009F402C" w:rsidRPr="009F402C" w:rsidRDefault="009F402C" w:rsidP="009F402C">
      <w:pPr>
        <w:tabs>
          <w:tab w:val="right" w:pos="900"/>
          <w:tab w:val="center" w:pos="4536"/>
        </w:tabs>
        <w:spacing w:before="120" w:after="120" w:line="240" w:lineRule="auto"/>
        <w:jc w:val="both"/>
        <w:rPr>
          <w:rFonts w:ascii="Times New Roman" w:eastAsia="Times New Roman" w:hAnsi="Times New Roman" w:cs="Times New Roman"/>
          <w:bCs/>
          <w:lang w:eastAsia="hu-HU"/>
        </w:rPr>
      </w:pPr>
    </w:p>
    <w:p w:rsidR="009F402C" w:rsidRPr="009F402C" w:rsidRDefault="009F402C" w:rsidP="009F402C">
      <w:pPr>
        <w:tabs>
          <w:tab w:val="right" w:pos="900"/>
          <w:tab w:val="center" w:pos="4536"/>
        </w:tabs>
        <w:spacing w:before="120" w:after="120" w:line="240" w:lineRule="auto"/>
        <w:jc w:val="both"/>
        <w:rPr>
          <w:rFonts w:ascii="Times New Roman" w:eastAsia="Times New Roman" w:hAnsi="Times New Roman" w:cs="Times New Roman"/>
          <w:bCs/>
          <w:lang w:eastAsia="hu-HU"/>
        </w:rPr>
      </w:pPr>
      <w:r w:rsidRPr="009F402C">
        <w:rPr>
          <w:rFonts w:ascii="Times New Roman" w:eastAsia="Times New Roman" w:hAnsi="Times New Roman" w:cs="Times New Roman"/>
          <w:bCs/>
          <w:lang w:eastAsia="hu-HU"/>
        </w:rPr>
        <w:t>Budapest, 2020. április 30.</w:t>
      </w:r>
    </w:p>
    <w:p w:rsidR="009F402C" w:rsidRPr="009F402C" w:rsidRDefault="009F402C" w:rsidP="009F402C">
      <w:pPr>
        <w:widowControl w:val="0"/>
        <w:spacing w:after="0" w:line="240" w:lineRule="auto"/>
        <w:jc w:val="right"/>
        <w:rPr>
          <w:rFonts w:ascii="Times New Roman" w:eastAsia="Calibri" w:hAnsi="Times New Roman" w:cs="Times New Roman"/>
          <w:bCs/>
        </w:rPr>
      </w:pPr>
    </w:p>
    <w:p w:rsidR="00F80CE7" w:rsidRPr="00423888" w:rsidRDefault="00F80CE7" w:rsidP="00F80CE7">
      <w:pPr>
        <w:widowControl w:val="0"/>
        <w:spacing w:after="0" w:line="240" w:lineRule="auto"/>
        <w:jc w:val="right"/>
        <w:rPr>
          <w:rFonts w:ascii="Times New Roman" w:hAnsi="Times New Roman" w:cs="Times New Roman"/>
          <w:bCs/>
        </w:rPr>
      </w:pPr>
      <w:r w:rsidRPr="00423888">
        <w:rPr>
          <w:rFonts w:ascii="Times New Roman" w:hAnsi="Times New Roman" w:cs="Times New Roman"/>
          <w:bCs/>
        </w:rPr>
        <w:t>Dr. Ördögh Tibor sk.</w:t>
      </w:r>
    </w:p>
    <w:p w:rsidR="00F80CE7" w:rsidRPr="00423888" w:rsidRDefault="00F80CE7" w:rsidP="00F80CE7">
      <w:pPr>
        <w:widowControl w:val="0"/>
        <w:spacing w:after="0" w:line="240" w:lineRule="auto"/>
        <w:jc w:val="right"/>
        <w:rPr>
          <w:rFonts w:ascii="Times New Roman" w:hAnsi="Times New Roman" w:cs="Times New Roman"/>
        </w:rPr>
      </w:pPr>
      <w:r w:rsidRPr="00423888">
        <w:rPr>
          <w:rFonts w:ascii="Times New Roman" w:hAnsi="Times New Roman" w:cs="Times New Roman"/>
          <w:bCs/>
        </w:rPr>
        <w:t>adjunktus</w:t>
      </w:r>
    </w:p>
    <w:p w:rsidR="00423888" w:rsidRDefault="00423888">
      <w:pPr>
        <w:spacing w:after="200" w:line="276" w:lineRule="auto"/>
        <w:rPr>
          <w:rFonts w:ascii="Times New Roman" w:hAnsi="Times New Roman" w:cs="Times New Roman"/>
        </w:rPr>
      </w:pPr>
      <w:r>
        <w:rPr>
          <w:rFonts w:ascii="Times New Roman" w:hAnsi="Times New Roman" w:cs="Times New Roman"/>
        </w:rPr>
        <w:br w:type="page"/>
      </w:r>
    </w:p>
    <w:tbl>
      <w:tblPr>
        <w:tblW w:w="9072" w:type="dxa"/>
        <w:tblInd w:w="113" w:type="dxa"/>
        <w:tblLook w:val="01E0" w:firstRow="1" w:lastRow="1" w:firstColumn="1" w:lastColumn="1" w:noHBand="0" w:noVBand="0"/>
      </w:tblPr>
      <w:tblGrid>
        <w:gridCol w:w="4855"/>
        <w:gridCol w:w="1620"/>
        <w:gridCol w:w="2597"/>
      </w:tblGrid>
      <w:tr w:rsidR="008665AD" w:rsidTr="008665AD">
        <w:tc>
          <w:tcPr>
            <w:tcW w:w="4855" w:type="dxa"/>
            <w:tcBorders>
              <w:top w:val="nil"/>
              <w:left w:val="nil"/>
              <w:bottom w:val="single" w:sz="4" w:space="0" w:color="auto"/>
              <w:right w:val="nil"/>
            </w:tcBorders>
            <w:hideMark/>
          </w:tcPr>
          <w:p w:rsidR="008665AD" w:rsidRDefault="008665AD">
            <w:pPr>
              <w:spacing w:after="0" w:line="240" w:lineRule="auto"/>
              <w:jc w:val="center"/>
              <w:rPr>
                <w:rFonts w:ascii="Times New Roman" w:eastAsia="Times New Roman" w:hAnsi="Times New Roman" w:cs="Times New Roman"/>
                <w:b/>
                <w:smallCaps/>
                <w:lang w:eastAsia="hu-HU"/>
              </w:rPr>
            </w:pPr>
            <w:r>
              <w:rPr>
                <w:rFonts w:ascii="Times New Roman" w:eastAsia="Times New Roman" w:hAnsi="Times New Roman" w:cs="Times New Roman"/>
                <w:b/>
                <w:smallCaps/>
                <w:lang w:eastAsia="hu-HU"/>
              </w:rPr>
              <w:lastRenderedPageBreak/>
              <w:t>Nemzeti Közszolgálati Egyetem</w:t>
            </w:r>
          </w:p>
        </w:tc>
        <w:tc>
          <w:tcPr>
            <w:tcW w:w="1620" w:type="dxa"/>
          </w:tcPr>
          <w:p w:rsidR="008665AD" w:rsidRDefault="008665AD">
            <w:pPr>
              <w:spacing w:after="0" w:line="240" w:lineRule="auto"/>
              <w:jc w:val="both"/>
              <w:rPr>
                <w:rFonts w:ascii="Times New Roman" w:eastAsia="Times New Roman" w:hAnsi="Times New Roman" w:cs="Times New Roman"/>
                <w:lang w:eastAsia="hu-HU"/>
              </w:rPr>
            </w:pPr>
          </w:p>
        </w:tc>
        <w:tc>
          <w:tcPr>
            <w:tcW w:w="2597" w:type="dxa"/>
          </w:tcPr>
          <w:p w:rsidR="008665AD" w:rsidRDefault="008665AD">
            <w:pPr>
              <w:spacing w:after="0" w:line="240" w:lineRule="auto"/>
              <w:jc w:val="right"/>
              <w:rPr>
                <w:rFonts w:ascii="Times New Roman" w:eastAsia="Times New Roman" w:hAnsi="Times New Roman" w:cs="Times New Roman"/>
                <w:lang w:eastAsia="hu-HU"/>
              </w:rPr>
            </w:pPr>
          </w:p>
        </w:tc>
      </w:tr>
      <w:tr w:rsidR="008665AD" w:rsidTr="008665AD">
        <w:tc>
          <w:tcPr>
            <w:tcW w:w="4855" w:type="dxa"/>
            <w:tcBorders>
              <w:top w:val="single" w:sz="4" w:space="0" w:color="auto"/>
              <w:left w:val="nil"/>
              <w:bottom w:val="nil"/>
              <w:right w:val="nil"/>
            </w:tcBorders>
            <w:hideMark/>
          </w:tcPr>
          <w:p w:rsidR="008665AD" w:rsidRDefault="008665AD">
            <w:pPr>
              <w:spacing w:after="0" w:line="240" w:lineRule="auto"/>
              <w:jc w:val="center"/>
              <w:rPr>
                <w:rFonts w:ascii="Times New Roman" w:eastAsia="Times New Roman" w:hAnsi="Times New Roman" w:cs="Times New Roman"/>
                <w:b/>
                <w:lang w:eastAsia="hu-HU"/>
              </w:rPr>
            </w:pPr>
            <w:r>
              <w:rPr>
                <w:rFonts w:ascii="Times New Roman" w:eastAsia="Times New Roman" w:hAnsi="Times New Roman" w:cs="Times New Roman"/>
                <w:b/>
                <w:lang w:eastAsia="hu-HU"/>
              </w:rPr>
              <w:t>Hadtudományi és Honvédtisztképző Kar</w:t>
            </w:r>
          </w:p>
        </w:tc>
        <w:tc>
          <w:tcPr>
            <w:tcW w:w="1620" w:type="dxa"/>
          </w:tcPr>
          <w:p w:rsidR="008665AD" w:rsidRDefault="008665AD">
            <w:pPr>
              <w:spacing w:after="0" w:line="240" w:lineRule="auto"/>
              <w:jc w:val="both"/>
              <w:rPr>
                <w:rFonts w:ascii="Times New Roman" w:eastAsia="Times New Roman" w:hAnsi="Times New Roman" w:cs="Times New Roman"/>
                <w:lang w:eastAsia="hu-HU"/>
              </w:rPr>
            </w:pPr>
          </w:p>
        </w:tc>
        <w:tc>
          <w:tcPr>
            <w:tcW w:w="2597" w:type="dxa"/>
          </w:tcPr>
          <w:p w:rsidR="008665AD" w:rsidRDefault="008665AD">
            <w:pPr>
              <w:spacing w:after="0" w:line="240" w:lineRule="auto"/>
              <w:jc w:val="both"/>
              <w:rPr>
                <w:rFonts w:ascii="Times New Roman" w:eastAsia="Times New Roman" w:hAnsi="Times New Roman" w:cs="Times New Roman"/>
                <w:lang w:eastAsia="hu-HU"/>
              </w:rPr>
            </w:pPr>
          </w:p>
        </w:tc>
      </w:tr>
    </w:tbl>
    <w:p w:rsidR="008665AD" w:rsidRDefault="008665AD" w:rsidP="008665AD">
      <w:pPr>
        <w:widowControl w:val="0"/>
        <w:spacing w:before="120" w:after="120" w:line="240" w:lineRule="auto"/>
        <w:ind w:left="426" w:hanging="142"/>
        <w:jc w:val="center"/>
        <w:rPr>
          <w:rFonts w:ascii="Times New Roman" w:eastAsia="Times New Roman" w:hAnsi="Times New Roman" w:cs="Times New Roman"/>
          <w:b/>
          <w:bCs/>
        </w:rPr>
      </w:pPr>
    </w:p>
    <w:p w:rsidR="008665AD" w:rsidRDefault="008665AD" w:rsidP="008665AD">
      <w:pPr>
        <w:widowControl w:val="0"/>
        <w:spacing w:before="120" w:after="120" w:line="240" w:lineRule="auto"/>
        <w:ind w:left="426" w:hanging="142"/>
        <w:jc w:val="center"/>
        <w:rPr>
          <w:rFonts w:ascii="Times New Roman" w:eastAsia="Times New Roman" w:hAnsi="Times New Roman" w:cs="Times New Roman"/>
          <w:b/>
          <w:bCs/>
        </w:rPr>
      </w:pPr>
      <w:r>
        <w:rPr>
          <w:rFonts w:ascii="Times New Roman" w:eastAsia="Times New Roman" w:hAnsi="Times New Roman" w:cs="Times New Roman"/>
          <w:b/>
          <w:bCs/>
        </w:rPr>
        <w:t>TANTÁRGYI PROGRAM</w:t>
      </w:r>
    </w:p>
    <w:p w:rsidR="008665AD" w:rsidRDefault="008665AD" w:rsidP="00C2057B">
      <w:pPr>
        <w:widowControl w:val="0"/>
        <w:numPr>
          <w:ilvl w:val="0"/>
          <w:numId w:val="46"/>
        </w:numPr>
        <w:tabs>
          <w:tab w:val="num" w:pos="567"/>
        </w:tabs>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A tantárgy kódja: </w:t>
      </w:r>
      <w:r>
        <w:rPr>
          <w:rFonts w:ascii="Times New Roman" w:eastAsia="Times New Roman" w:hAnsi="Times New Roman" w:cs="Times New Roman"/>
          <w:bCs/>
        </w:rPr>
        <w:t>HKKVKA02</w:t>
      </w:r>
    </w:p>
    <w:p w:rsidR="008665AD" w:rsidRDefault="008665AD" w:rsidP="00C2057B">
      <w:pPr>
        <w:widowControl w:val="0"/>
        <w:numPr>
          <w:ilvl w:val="0"/>
          <w:numId w:val="46"/>
        </w:numPr>
        <w:tabs>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tantárgy megnevezése (magyarul):</w:t>
      </w:r>
      <w:r>
        <w:rPr>
          <w:rFonts w:ascii="Times New Roman" w:eastAsia="Times New Roman" w:hAnsi="Times New Roman" w:cs="Times New Roman"/>
          <w:bCs/>
        </w:rPr>
        <w:t xml:space="preserve"> Alkalmazott katonapszichológia és -pedagógia alapjai</w:t>
      </w:r>
    </w:p>
    <w:p w:rsidR="008665AD" w:rsidRDefault="008665AD" w:rsidP="00C2057B">
      <w:pPr>
        <w:widowControl w:val="0"/>
        <w:numPr>
          <w:ilvl w:val="0"/>
          <w:numId w:val="46"/>
        </w:numPr>
        <w:tabs>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 tantárgy megnevezése (angolul): </w:t>
      </w:r>
      <w:r>
        <w:rPr>
          <w:rFonts w:ascii="Times New Roman" w:eastAsia="Times New Roman" w:hAnsi="Times New Roman" w:cs="Times New Roman"/>
          <w:bCs/>
          <w:lang w:val="en-AU"/>
        </w:rPr>
        <w:t>Introduction to Applied Military Psychology and Pedagogy</w:t>
      </w:r>
    </w:p>
    <w:p w:rsidR="008665AD" w:rsidRDefault="008665AD" w:rsidP="00C2057B">
      <w:pPr>
        <w:widowControl w:val="0"/>
        <w:numPr>
          <w:ilvl w:val="0"/>
          <w:numId w:val="46"/>
        </w:numPr>
        <w:tabs>
          <w:tab w:val="num" w:pos="567"/>
        </w:tabs>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Kreditérték és képzési karakter: </w:t>
      </w:r>
    </w:p>
    <w:p w:rsidR="008665AD" w:rsidRDefault="008665AD" w:rsidP="00C2057B">
      <w:pPr>
        <w:pStyle w:val="Listaszerbekezds"/>
        <w:widowControl w:val="0"/>
        <w:numPr>
          <w:ilvl w:val="1"/>
          <w:numId w:val="46"/>
        </w:numPr>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2 kredit</w:t>
      </w:r>
    </w:p>
    <w:p w:rsidR="008665AD" w:rsidRDefault="008665AD" w:rsidP="00C2057B">
      <w:pPr>
        <w:pStyle w:val="Listaszerbekezds"/>
        <w:widowControl w:val="0"/>
        <w:numPr>
          <w:ilvl w:val="1"/>
          <w:numId w:val="46"/>
        </w:numPr>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a tantárgy elméleti vagy gyakorlati jellegének mértéke: 0% gyakorlat, 100% elmélet</w:t>
      </w:r>
    </w:p>
    <w:p w:rsidR="008665AD" w:rsidRDefault="008665AD" w:rsidP="00C2057B">
      <w:pPr>
        <w:numPr>
          <w:ilvl w:val="0"/>
          <w:numId w:val="40"/>
        </w:numPr>
        <w:tabs>
          <w:tab w:val="right" w:pos="900"/>
        </w:tabs>
        <w:spacing w:line="276" w:lineRule="auto"/>
        <w:jc w:val="both"/>
        <w:rPr>
          <w:rFonts w:ascii="Times New Roman" w:eastAsia="Times New Roman" w:hAnsi="Times New Roman" w:cs="Times New Roman"/>
          <w:bCs/>
          <w:lang w:eastAsia="hu-HU"/>
        </w:rPr>
      </w:pPr>
      <w:r>
        <w:rPr>
          <w:rFonts w:ascii="Times New Roman" w:eastAsia="Times New Roman" w:hAnsi="Times New Roman" w:cs="Times New Roman"/>
          <w:b/>
          <w:bCs/>
        </w:rPr>
        <w:t>A szak(ok), szakirányok/specializációk megnevezése (ahol oktatják):</w:t>
      </w:r>
      <w:r>
        <w:rPr>
          <w:rFonts w:ascii="Times New Roman" w:eastAsia="Times New Roman" w:hAnsi="Times New Roman" w:cs="Times New Roman"/>
          <w:bCs/>
        </w:rPr>
        <w:t xml:space="preserve"> </w:t>
      </w:r>
      <w:r>
        <w:rPr>
          <w:rFonts w:ascii="Times New Roman" w:eastAsia="Times New Roman" w:hAnsi="Times New Roman" w:cs="Times New Roman"/>
          <w:bCs/>
          <w:lang w:eastAsia="hu-HU"/>
        </w:rPr>
        <w:t>A Kar valamennyi alapképzési szakán</w:t>
      </w:r>
    </w:p>
    <w:p w:rsidR="008665AD" w:rsidRDefault="008665AD" w:rsidP="00C2057B">
      <w:pPr>
        <w:numPr>
          <w:ilvl w:val="0"/>
          <w:numId w:val="40"/>
        </w:numPr>
        <w:tabs>
          <w:tab w:val="right" w:pos="900"/>
        </w:tabs>
        <w:spacing w:line="276" w:lineRule="auto"/>
        <w:jc w:val="both"/>
        <w:rPr>
          <w:rFonts w:ascii="Times New Roman" w:eastAsia="Times New Roman" w:hAnsi="Times New Roman" w:cs="Times New Roman"/>
          <w:bCs/>
          <w:lang w:eastAsia="hu-HU"/>
        </w:rPr>
      </w:pPr>
      <w:r>
        <w:rPr>
          <w:rFonts w:ascii="Times New Roman" w:eastAsia="Times New Roman" w:hAnsi="Times New Roman" w:cs="Times New Roman"/>
          <w:b/>
          <w:bCs/>
        </w:rPr>
        <w:t xml:space="preserve">Az oktatásért felelős oktatási szervezeti egység megnevezése: </w:t>
      </w:r>
      <w:r>
        <w:rPr>
          <w:rFonts w:ascii="Times New Roman" w:eastAsia="Times New Roman" w:hAnsi="Times New Roman" w:cs="Times New Roman"/>
          <w:bCs/>
        </w:rPr>
        <w:t>NKE HHK Katonai</w:t>
      </w:r>
      <w:r>
        <w:rPr>
          <w:rFonts w:ascii="Times New Roman" w:eastAsia="Times New Roman" w:hAnsi="Times New Roman" w:cs="Times New Roman"/>
          <w:bCs/>
          <w:lang w:eastAsia="hu-HU"/>
        </w:rPr>
        <w:t xml:space="preserve"> Vezetéstudományi és Közismereti Tanszék</w:t>
      </w:r>
    </w:p>
    <w:p w:rsidR="008665AD" w:rsidRDefault="008665AD" w:rsidP="00C2057B">
      <w:pPr>
        <w:widowControl w:val="0"/>
        <w:numPr>
          <w:ilvl w:val="0"/>
          <w:numId w:val="41"/>
        </w:numPr>
        <w:tabs>
          <w:tab w:val="left" w:pos="284"/>
          <w:tab w:val="num" w:pos="426"/>
        </w:tabs>
        <w:spacing w:before="120" w:after="120" w:line="240" w:lineRule="auto"/>
        <w:ind w:left="426" w:hanging="284"/>
        <w:jc w:val="both"/>
        <w:rPr>
          <w:rFonts w:ascii="Times New Roman" w:eastAsia="Times New Roman" w:hAnsi="Times New Roman" w:cs="Times New Roman"/>
          <w:bCs/>
        </w:rPr>
      </w:pPr>
      <w:r>
        <w:rPr>
          <w:rFonts w:ascii="Times New Roman" w:eastAsia="Times New Roman" w:hAnsi="Times New Roman" w:cs="Times New Roman"/>
          <w:b/>
          <w:bCs/>
        </w:rPr>
        <w:t>A tantárgyfelelős oktató neve, beosztása, tudományos fokozata:</w:t>
      </w:r>
      <w:r>
        <w:rPr>
          <w:rFonts w:ascii="Times New Roman" w:eastAsia="Times New Roman" w:hAnsi="Times New Roman" w:cs="Times New Roman"/>
          <w:bCs/>
        </w:rPr>
        <w:t xml:space="preserve"> Dr. Szelei Ildikó alezredes, egyetemi docens, PhD</w:t>
      </w:r>
    </w:p>
    <w:p w:rsidR="008665AD" w:rsidRDefault="008665AD" w:rsidP="00C2057B">
      <w:pPr>
        <w:widowControl w:val="0"/>
        <w:numPr>
          <w:ilvl w:val="0"/>
          <w:numId w:val="41"/>
        </w:numPr>
        <w:spacing w:before="120" w:after="120" w:line="240" w:lineRule="auto"/>
        <w:ind w:left="284" w:hanging="142"/>
        <w:jc w:val="both"/>
        <w:rPr>
          <w:rFonts w:ascii="Times New Roman" w:eastAsia="Times New Roman" w:hAnsi="Times New Roman" w:cs="Times New Roman"/>
          <w:bCs/>
        </w:rPr>
      </w:pPr>
      <w:r>
        <w:rPr>
          <w:rFonts w:ascii="Times New Roman" w:eastAsia="Times New Roman" w:hAnsi="Times New Roman" w:cs="Times New Roman"/>
          <w:b/>
          <w:bCs/>
        </w:rPr>
        <w:t>A tanórák száma és típusa</w:t>
      </w:r>
    </w:p>
    <w:p w:rsidR="008665AD" w:rsidRDefault="008665AD" w:rsidP="00C2057B">
      <w:pPr>
        <w:widowControl w:val="0"/>
        <w:numPr>
          <w:ilvl w:val="1"/>
          <w:numId w:val="41"/>
        </w:numPr>
        <w:tabs>
          <w:tab w:val="num" w:pos="2069"/>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össz óraszám/félév: 28</w:t>
      </w:r>
    </w:p>
    <w:p w:rsidR="008665AD" w:rsidRDefault="008665AD" w:rsidP="00C2057B">
      <w:pPr>
        <w:widowControl w:val="0"/>
        <w:numPr>
          <w:ilvl w:val="2"/>
          <w:numId w:val="41"/>
        </w:numPr>
        <w:tabs>
          <w:tab w:val="num" w:pos="1134"/>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nappali munkarend: 28 (28 EA + 0 SZ)</w:t>
      </w:r>
    </w:p>
    <w:p w:rsidR="008665AD" w:rsidRDefault="008665AD" w:rsidP="00C2057B">
      <w:pPr>
        <w:widowControl w:val="0"/>
        <w:numPr>
          <w:ilvl w:val="2"/>
          <w:numId w:val="41"/>
        </w:numPr>
        <w:tabs>
          <w:tab w:val="num" w:pos="1134"/>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levelező munkarend: –</w:t>
      </w:r>
    </w:p>
    <w:p w:rsidR="008665AD" w:rsidRDefault="008665AD" w:rsidP="00C2057B">
      <w:pPr>
        <w:widowControl w:val="0"/>
        <w:numPr>
          <w:ilvl w:val="1"/>
          <w:numId w:val="41"/>
        </w:numPr>
        <w:tabs>
          <w:tab w:val="num" w:pos="2069"/>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heti óraszám – nappali munkarend: 2</w:t>
      </w:r>
    </w:p>
    <w:p w:rsidR="008665AD" w:rsidRDefault="008665AD" w:rsidP="00C2057B">
      <w:pPr>
        <w:widowControl w:val="0"/>
        <w:numPr>
          <w:ilvl w:val="1"/>
          <w:numId w:val="41"/>
        </w:numPr>
        <w:tabs>
          <w:tab w:val="num" w:pos="2069"/>
        </w:tabs>
        <w:spacing w:before="120" w:after="120" w:line="240" w:lineRule="auto"/>
        <w:ind w:left="851" w:hanging="425"/>
        <w:jc w:val="both"/>
        <w:rPr>
          <w:rFonts w:ascii="Times New Roman" w:eastAsia="Times New Roman" w:hAnsi="Times New Roman" w:cs="Times New Roman"/>
          <w:bCs/>
        </w:rPr>
      </w:pPr>
      <w:r>
        <w:rPr>
          <w:rFonts w:ascii="Times New Roman" w:hAnsi="Times New Roman" w:cs="Times New Roman"/>
        </w:rPr>
        <w:t xml:space="preserve">Az ismeret átadásában alkalmazandó további sajátos módok, jellemzők: </w:t>
      </w:r>
      <w:r>
        <w:rPr>
          <w:rFonts w:ascii="Times New Roman" w:hAnsi="Times New Roman" w:cs="Times New Roman"/>
          <w:bCs/>
        </w:rPr>
        <w:t>–</w:t>
      </w:r>
    </w:p>
    <w:p w:rsidR="008665AD" w:rsidRDefault="008665AD" w:rsidP="00C2057B">
      <w:pPr>
        <w:widowControl w:val="0"/>
        <w:numPr>
          <w:ilvl w:val="0"/>
          <w:numId w:val="41"/>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tantárgy szakmai tartalma (magyarul):</w:t>
      </w:r>
      <w:r>
        <w:rPr>
          <w:rFonts w:ascii="Times New Roman" w:eastAsia="Times New Roman" w:hAnsi="Times New Roman" w:cs="Times New Roman"/>
          <w:bCs/>
        </w:rPr>
        <w:t xml:space="preserve"> </w:t>
      </w:r>
    </w:p>
    <w:p w:rsidR="008665AD" w:rsidRDefault="008665AD" w:rsidP="008665AD">
      <w:pPr>
        <w:tabs>
          <w:tab w:val="right" w:pos="900"/>
        </w:tabs>
        <w:spacing w:line="276" w:lineRule="auto"/>
        <w:ind w:left="357"/>
        <w:jc w:val="both"/>
        <w:rPr>
          <w:rFonts w:ascii="Times New Roman" w:eastAsia="Times New Roman" w:hAnsi="Times New Roman" w:cs="Times New Roman"/>
          <w:bCs/>
          <w:lang w:eastAsia="hu-HU"/>
        </w:rPr>
      </w:pPr>
      <w:r>
        <w:rPr>
          <w:rFonts w:ascii="Times New Roman" w:eastAsia="Times New Roman" w:hAnsi="Times New Roman" w:cs="Times New Roman"/>
          <w:lang w:eastAsia="hu-HU"/>
        </w:rPr>
        <w:t>Az emberi magatartás jellemzőinek és mozgatórugóinak megismerése szervezeti körülmények között, elsősorban pedagógiai és viselkedéslélektani aspektusból. A tantárgy a következő témakörökben ad elméleti és gyakorlatias alapismereteket: az önismeret, emberismeret pszichológiai alapjai: az észlelés megismerés lélektana; érzelmek és motiváció a magatartás alakításában.  Szervezeti magatartás és kultúra; a pályaszocializáció pedagógiai és pszichológiai kérdései, különös tekintettel az erkölcsi fejlődésre. Az ösztönzés szerepe a magatartás formálásában; konfliktus- és játszmahelyzet a személyközi kapcsolatokban; a hivatásmagatartás kialakításának pedagógiai-pszichológiai kérdései. A foglalkozási stressz jellemzői, megküzdési stratégiák, stressz kezelés autogén módszerekkel. Olyan alapvető pedagógiai, nevelés- és oktatáselméleti kérdéseknek, összefüggéseknek feltárása, amelyek lehetővé teszik a nevelés meghatározó sajátosságainak megértését. A pedagógiai tudomány-rendszertani kérdései; a nevelés sajátosságai, funkciói, formái, területei. A nevelés színterei, szervezési formái, módszerei. Az új típusú generációk megjelenése. Az oktatás fogalma, az előadás mint oktatási módszer. A vezető mentálhigiénés kihívásai.</w:t>
      </w:r>
    </w:p>
    <w:p w:rsidR="008665AD" w:rsidRDefault="008665AD" w:rsidP="008665AD">
      <w:pPr>
        <w:widowControl w:val="0"/>
        <w:spacing w:before="120" w:after="120" w:line="240" w:lineRule="auto"/>
        <w:ind w:left="426"/>
        <w:jc w:val="both"/>
        <w:rPr>
          <w:rFonts w:ascii="Times New Roman" w:eastAsia="Times New Roman" w:hAnsi="Times New Roman" w:cs="Times New Roman"/>
          <w:b/>
          <w:bCs/>
        </w:rPr>
      </w:pPr>
      <w:r>
        <w:rPr>
          <w:rFonts w:ascii="Times New Roman" w:eastAsia="Times New Roman" w:hAnsi="Times New Roman" w:cs="Times New Roman"/>
          <w:b/>
          <w:bCs/>
        </w:rPr>
        <w:t>A tantárgy szakmai tartalma (angolul) (</w:t>
      </w:r>
      <w:r>
        <w:rPr>
          <w:rFonts w:ascii="Times New Roman" w:eastAsia="Times New Roman" w:hAnsi="Times New Roman" w:cs="Times New Roman"/>
          <w:b/>
          <w:bCs/>
          <w:lang w:val="en-US"/>
        </w:rPr>
        <w:t>Course description</w:t>
      </w:r>
      <w:r>
        <w:rPr>
          <w:rFonts w:ascii="Times New Roman" w:eastAsia="Times New Roman" w:hAnsi="Times New Roman" w:cs="Times New Roman"/>
          <w:b/>
          <w:bCs/>
        </w:rPr>
        <w:t>):</w:t>
      </w:r>
    </w:p>
    <w:p w:rsidR="008665AD" w:rsidRDefault="008665AD" w:rsidP="008665AD">
      <w:pPr>
        <w:tabs>
          <w:tab w:val="right" w:pos="900"/>
        </w:tabs>
        <w:ind w:left="357"/>
        <w:jc w:val="both"/>
        <w:rPr>
          <w:rFonts w:ascii="Times New Roman" w:eastAsia="Times New Roman" w:hAnsi="Times New Roman" w:cs="Times New Roman"/>
          <w:bCs/>
        </w:rPr>
      </w:pPr>
      <w:r>
        <w:rPr>
          <w:rFonts w:ascii="Times New Roman" w:eastAsia="Times New Roman" w:hAnsi="Times New Roman" w:cs="Times New Roman"/>
          <w:lang w:val="en-GB"/>
        </w:rPr>
        <w:t xml:space="preserve">Understanding the characteristics and drivers of human behaviour within the organization, primarily from pedagogical and behavioural-psychological aspects. The course offers theoretical and practical knowledge in the following topics: psychological background of self-knowledge and </w:t>
      </w:r>
      <w:r>
        <w:rPr>
          <w:rFonts w:ascii="Times New Roman" w:eastAsia="Times New Roman" w:hAnsi="Times New Roman" w:cs="Times New Roman"/>
          <w:lang w:val="en-GB"/>
        </w:rPr>
        <w:lastRenderedPageBreak/>
        <w:t>people management; cognition and perception; impacts of emotions and motivation on behaviour. Organizational behaviour and culture; pedagogical and psychological issues of professional orientation with special attention to moral development. The role of motivation in shaping behaviour; conflict and manipulation in interpersonal relationships; pedagogical-psychological issues in the development of professional behaviour. Characteristics of occupational stress, coping strategies, stress management with autogenic methods. Exploring basic pedagogical, educational and relationship theory issues that allow the understanding of key education features. Taxonomy questions of pedagogy; characteristics, functions, forms and areas of pedagogy. Scenes, forms and organizational methods of education. The emergence of new generation types. The concept of education, lecture as an educational method. Mental health challenges of leaders.</w:t>
      </w:r>
    </w:p>
    <w:p w:rsidR="008665AD" w:rsidRDefault="008665AD" w:rsidP="00C2057B">
      <w:pPr>
        <w:widowControl w:val="0"/>
        <w:numPr>
          <w:ilvl w:val="0"/>
          <w:numId w:val="41"/>
        </w:numPr>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Elérendő kompetenciák (magyarul): </w:t>
      </w:r>
    </w:p>
    <w:p w:rsidR="008665AD" w:rsidRDefault="008665AD" w:rsidP="008665AD">
      <w:pPr>
        <w:widowControl w:val="0"/>
        <w:spacing w:before="120" w:after="120" w:line="240" w:lineRule="auto"/>
        <w:ind w:left="426"/>
        <w:jc w:val="both"/>
        <w:rPr>
          <w:rFonts w:ascii="Times New Roman" w:eastAsia="Times New Roman" w:hAnsi="Times New Roman" w:cs="Times New Roman"/>
          <w:bCs/>
        </w:rPr>
      </w:pPr>
      <w:r>
        <w:rPr>
          <w:rFonts w:ascii="Times New Roman" w:eastAsia="Times New Roman" w:hAnsi="Times New Roman" w:cs="Times New Roman"/>
          <w:b/>
          <w:bCs/>
        </w:rPr>
        <w:t>Tudása:</w:t>
      </w:r>
      <w:r>
        <w:rPr>
          <w:rFonts w:ascii="Times New Roman" w:eastAsia="Times New Roman" w:hAnsi="Times New Roman" w:cs="Times New Roman"/>
          <w:bCs/>
        </w:rPr>
        <w:t xml:space="preserve"> </w:t>
      </w:r>
    </w:p>
    <w:p w:rsidR="008665AD" w:rsidRDefault="008665AD" w:rsidP="00C2057B">
      <w:pPr>
        <w:pStyle w:val="Listaszerbekezds"/>
        <w:widowControl w:val="0"/>
        <w:numPr>
          <w:ilvl w:val="0"/>
          <w:numId w:val="42"/>
        </w:numPr>
        <w:spacing w:after="0" w:line="240" w:lineRule="auto"/>
        <w:ind w:hanging="219"/>
        <w:jc w:val="both"/>
        <w:rPr>
          <w:rFonts w:ascii="Times New Roman" w:eastAsia="Times New Roman" w:hAnsi="Times New Roman" w:cs="Times New Roman"/>
        </w:rPr>
      </w:pPr>
      <w:r>
        <w:rPr>
          <w:rFonts w:ascii="Times New Roman" w:eastAsia="Times New Roman" w:hAnsi="Times New Roman" w:cs="Times New Roman"/>
        </w:rPr>
        <w:t>Átfogó módon rendelkezik az első tiszti beosztás ellátásához szükséges pszichológiai, pedagógiai ismeretekkel.</w:t>
      </w:r>
    </w:p>
    <w:p w:rsidR="008665AD" w:rsidRDefault="008665AD" w:rsidP="00C2057B">
      <w:pPr>
        <w:pStyle w:val="Listaszerbekezds"/>
        <w:widowControl w:val="0"/>
        <w:numPr>
          <w:ilvl w:val="0"/>
          <w:numId w:val="42"/>
        </w:numPr>
        <w:spacing w:after="0" w:line="240" w:lineRule="auto"/>
        <w:ind w:hanging="219"/>
        <w:jc w:val="both"/>
        <w:rPr>
          <w:rFonts w:ascii="Times New Roman" w:eastAsia="Times New Roman" w:hAnsi="Times New Roman" w:cs="Times New Roman"/>
        </w:rPr>
      </w:pPr>
      <w:r>
        <w:rPr>
          <w:rFonts w:ascii="Times New Roman" w:eastAsia="Times New Roman" w:hAnsi="Times New Roman" w:cs="Times New Roman"/>
        </w:rPr>
        <w:t>Átfogóan ismeri a szakasz (század) kiképzéséhez szükséges pedagógiai, pszichológiai módszertani ismereteket.</w:t>
      </w:r>
    </w:p>
    <w:p w:rsidR="008665AD" w:rsidRDefault="008665AD" w:rsidP="00C2057B">
      <w:pPr>
        <w:pStyle w:val="Listaszerbekezds"/>
        <w:widowControl w:val="0"/>
        <w:numPr>
          <w:ilvl w:val="0"/>
          <w:numId w:val="42"/>
        </w:numPr>
        <w:spacing w:after="0" w:line="240" w:lineRule="auto"/>
        <w:ind w:hanging="219"/>
        <w:jc w:val="both"/>
        <w:rPr>
          <w:rFonts w:ascii="Times New Roman" w:eastAsia="Times New Roman" w:hAnsi="Times New Roman" w:cs="Times New Roman"/>
        </w:rPr>
      </w:pPr>
      <w:r>
        <w:rPr>
          <w:rFonts w:ascii="Times New Roman" w:eastAsia="Times New Roman" w:hAnsi="Times New Roman" w:cs="Times New Roman"/>
        </w:rPr>
        <w:t>Átfogóan ismeri a korszerű teljesítményértékelési és a beosztottakat motiváló eljárásokat.</w:t>
      </w:r>
    </w:p>
    <w:p w:rsidR="008665AD" w:rsidRDefault="008665AD" w:rsidP="008665AD">
      <w:pPr>
        <w:widowControl w:val="0"/>
        <w:spacing w:before="120" w:after="120" w:line="240" w:lineRule="auto"/>
        <w:ind w:left="426"/>
        <w:jc w:val="both"/>
        <w:rPr>
          <w:rFonts w:ascii="Times New Roman" w:eastAsia="Times New Roman" w:hAnsi="Times New Roman" w:cs="Times New Roman"/>
          <w:bCs/>
        </w:rPr>
      </w:pPr>
      <w:r>
        <w:rPr>
          <w:rFonts w:ascii="Times New Roman" w:eastAsia="Times New Roman" w:hAnsi="Times New Roman" w:cs="Times New Roman"/>
          <w:b/>
          <w:bCs/>
        </w:rPr>
        <w:t>Képességei:</w:t>
      </w:r>
      <w:r>
        <w:rPr>
          <w:rFonts w:ascii="Times New Roman" w:eastAsia="Times New Roman" w:hAnsi="Times New Roman" w:cs="Times New Roman"/>
          <w:bCs/>
        </w:rPr>
        <w:t xml:space="preserve"> </w:t>
      </w:r>
    </w:p>
    <w:p w:rsidR="008665AD" w:rsidRDefault="008665AD" w:rsidP="00C2057B">
      <w:pPr>
        <w:pStyle w:val="Listaszerbekezds"/>
        <w:widowControl w:val="0"/>
        <w:numPr>
          <w:ilvl w:val="0"/>
          <w:numId w:val="42"/>
        </w:numPr>
        <w:spacing w:after="0" w:line="240" w:lineRule="auto"/>
        <w:ind w:hanging="219"/>
        <w:jc w:val="both"/>
        <w:rPr>
          <w:rFonts w:ascii="Times New Roman" w:eastAsia="Times New Roman" w:hAnsi="Times New Roman" w:cs="Times New Roman"/>
        </w:rPr>
      </w:pPr>
      <w:r>
        <w:rPr>
          <w:rFonts w:ascii="Times New Roman" w:eastAsia="Times New Roman" w:hAnsi="Times New Roman" w:cs="Times New Roman"/>
        </w:rPr>
        <w:t>Képes a pedagógiai-pszichológiai ismereteinek, a szakasz és századszintű gyakorlati alkalmazására.</w:t>
      </w:r>
    </w:p>
    <w:p w:rsidR="008665AD" w:rsidRDefault="008665AD" w:rsidP="00C2057B">
      <w:pPr>
        <w:pStyle w:val="Listaszerbekezds"/>
        <w:widowControl w:val="0"/>
        <w:numPr>
          <w:ilvl w:val="0"/>
          <w:numId w:val="42"/>
        </w:numPr>
        <w:spacing w:after="0" w:line="240" w:lineRule="auto"/>
        <w:ind w:hanging="219"/>
        <w:jc w:val="both"/>
        <w:rPr>
          <w:rFonts w:ascii="Times New Roman" w:eastAsia="Times New Roman" w:hAnsi="Times New Roman" w:cs="Times New Roman"/>
        </w:rPr>
      </w:pPr>
      <w:r>
        <w:rPr>
          <w:rFonts w:ascii="Times New Roman" w:eastAsia="Times New Roman" w:hAnsi="Times New Roman" w:cs="Times New Roman"/>
        </w:rPr>
        <w:t>Meghatározó módon rendelkezik a katonai alegység (szakasz) vezetésére alkalmas szakmai tudással.</w:t>
      </w:r>
    </w:p>
    <w:p w:rsidR="008665AD" w:rsidRDefault="008665AD" w:rsidP="00C2057B">
      <w:pPr>
        <w:pStyle w:val="Listaszerbekezds"/>
        <w:widowControl w:val="0"/>
        <w:numPr>
          <w:ilvl w:val="0"/>
          <w:numId w:val="42"/>
        </w:numPr>
        <w:spacing w:after="0" w:line="240" w:lineRule="auto"/>
        <w:ind w:hanging="219"/>
        <w:jc w:val="both"/>
        <w:rPr>
          <w:rFonts w:ascii="Times New Roman" w:eastAsia="Times New Roman" w:hAnsi="Times New Roman" w:cs="Times New Roman"/>
        </w:rPr>
      </w:pPr>
      <w:r>
        <w:rPr>
          <w:rFonts w:ascii="Times New Roman" w:eastAsia="Times New Roman" w:hAnsi="Times New Roman" w:cs="Times New Roman"/>
        </w:rPr>
        <w:t>Képes a rábízott alegység békeidőszaki és békétől eltérő körülmények közötti vezetésére.</w:t>
      </w:r>
    </w:p>
    <w:p w:rsidR="008665AD" w:rsidRDefault="008665AD" w:rsidP="008665AD">
      <w:pPr>
        <w:widowControl w:val="0"/>
        <w:spacing w:before="120" w:after="120" w:line="240" w:lineRule="auto"/>
        <w:ind w:left="426"/>
        <w:jc w:val="both"/>
        <w:rPr>
          <w:rFonts w:ascii="Times New Roman" w:eastAsia="Times New Roman" w:hAnsi="Times New Roman" w:cs="Times New Roman"/>
          <w:bCs/>
        </w:rPr>
      </w:pPr>
      <w:r>
        <w:rPr>
          <w:rFonts w:ascii="Times New Roman" w:eastAsia="Times New Roman" w:hAnsi="Times New Roman" w:cs="Times New Roman"/>
          <w:b/>
          <w:bCs/>
        </w:rPr>
        <w:t>Attitűdje:</w:t>
      </w:r>
    </w:p>
    <w:p w:rsidR="008665AD" w:rsidRDefault="008665AD" w:rsidP="00C2057B">
      <w:pPr>
        <w:pStyle w:val="Listaszerbekezds"/>
        <w:widowControl w:val="0"/>
        <w:numPr>
          <w:ilvl w:val="0"/>
          <w:numId w:val="42"/>
        </w:numPr>
        <w:spacing w:after="0" w:line="240" w:lineRule="auto"/>
        <w:ind w:hanging="219"/>
        <w:jc w:val="both"/>
        <w:rPr>
          <w:rFonts w:ascii="Times New Roman" w:eastAsia="Times New Roman" w:hAnsi="Times New Roman" w:cs="Times New Roman"/>
        </w:rPr>
      </w:pPr>
      <w:r>
        <w:rPr>
          <w:rFonts w:ascii="Times New Roman" w:eastAsia="Times New Roman" w:hAnsi="Times New Roman" w:cs="Times New Roman"/>
        </w:rPr>
        <w:t>Nyitott a képesítésével, szakterületével kapcsolatos új pedagógiai, pszichológiai technológiai, eredmények megismerésére, befogadására, és törekszik saját tudásának megosztására.</w:t>
      </w:r>
    </w:p>
    <w:p w:rsidR="008665AD" w:rsidRDefault="008665AD" w:rsidP="008665AD">
      <w:pPr>
        <w:widowControl w:val="0"/>
        <w:spacing w:before="120" w:after="120" w:line="240" w:lineRule="auto"/>
        <w:ind w:left="426"/>
        <w:jc w:val="both"/>
        <w:rPr>
          <w:rFonts w:ascii="Times New Roman" w:eastAsia="Times New Roman" w:hAnsi="Times New Roman" w:cs="Times New Roman"/>
          <w:bCs/>
        </w:rPr>
      </w:pPr>
      <w:r>
        <w:rPr>
          <w:rFonts w:ascii="Times New Roman" w:eastAsia="Times New Roman" w:hAnsi="Times New Roman" w:cs="Times New Roman"/>
          <w:b/>
          <w:bCs/>
        </w:rPr>
        <w:t>Autonómiája és felelőssége:</w:t>
      </w:r>
    </w:p>
    <w:p w:rsidR="008665AD" w:rsidRDefault="008665AD" w:rsidP="00C2057B">
      <w:pPr>
        <w:pStyle w:val="Listaszerbekezds"/>
        <w:widowControl w:val="0"/>
        <w:numPr>
          <w:ilvl w:val="0"/>
          <w:numId w:val="42"/>
        </w:numPr>
        <w:spacing w:after="0" w:line="240" w:lineRule="auto"/>
        <w:ind w:hanging="219"/>
        <w:jc w:val="both"/>
        <w:rPr>
          <w:rFonts w:ascii="Times New Roman" w:eastAsia="Times New Roman" w:hAnsi="Times New Roman" w:cs="Times New Roman"/>
        </w:rPr>
      </w:pPr>
      <w:r>
        <w:rPr>
          <w:rFonts w:ascii="Times New Roman" w:eastAsia="Times New Roman" w:hAnsi="Times New Roman" w:cs="Times New Roman"/>
        </w:rPr>
        <w:t>Beosztásából adódó önállósággal végzi az általános és speciális szakmai kérdések végig gondolását és adott tényezők, körülmények alapján történő kidolgozását, amely során széles látókörére, általános és szakmai műveltségére, valamint problémafelismerő és -megoldó készségére támaszkodik.</w:t>
      </w:r>
    </w:p>
    <w:p w:rsidR="008665AD" w:rsidRDefault="008665AD" w:rsidP="00C2057B">
      <w:pPr>
        <w:pStyle w:val="Listaszerbekezds"/>
        <w:widowControl w:val="0"/>
        <w:numPr>
          <w:ilvl w:val="0"/>
          <w:numId w:val="42"/>
        </w:numPr>
        <w:spacing w:after="0" w:line="240" w:lineRule="auto"/>
        <w:ind w:hanging="219"/>
        <w:jc w:val="both"/>
        <w:rPr>
          <w:rFonts w:ascii="Times New Roman" w:eastAsia="Times New Roman" w:hAnsi="Times New Roman" w:cs="Times New Roman"/>
        </w:rPr>
      </w:pPr>
      <w:r>
        <w:rPr>
          <w:rFonts w:ascii="Times New Roman" w:eastAsia="Times New Roman" w:hAnsi="Times New Roman" w:cs="Times New Roman"/>
        </w:rPr>
        <w:t>Beosztásában, felelősségi és jogköréből adódóan önállóan tervezi és végzi szakmai tevékenységét.</w:t>
      </w:r>
    </w:p>
    <w:p w:rsidR="008665AD" w:rsidRDefault="008665AD" w:rsidP="008665AD">
      <w:pPr>
        <w:widowControl w:val="0"/>
        <w:spacing w:before="120" w:after="120" w:line="240" w:lineRule="auto"/>
        <w:ind w:left="426"/>
        <w:jc w:val="both"/>
        <w:rPr>
          <w:rFonts w:ascii="Times New Roman" w:eastAsia="Times New Roman" w:hAnsi="Times New Roman" w:cs="Times New Roman"/>
          <w:b/>
          <w:bCs/>
          <w:lang w:val="en-AU"/>
        </w:rPr>
      </w:pPr>
      <w:r>
        <w:rPr>
          <w:rFonts w:ascii="Times New Roman" w:eastAsia="Times New Roman" w:hAnsi="Times New Roman" w:cs="Times New Roman"/>
          <w:b/>
          <w:bCs/>
        </w:rPr>
        <w:t>Elérendő kompetenciák (angolul) (</w:t>
      </w:r>
      <w:r>
        <w:rPr>
          <w:rFonts w:ascii="Times New Roman" w:eastAsia="Times New Roman" w:hAnsi="Times New Roman" w:cs="Times New Roman"/>
          <w:b/>
          <w:bCs/>
          <w:lang w:val="en-AU"/>
        </w:rPr>
        <w:t xml:space="preserve">Competences – English): </w:t>
      </w:r>
    </w:p>
    <w:p w:rsidR="008665AD" w:rsidRDefault="008665AD" w:rsidP="008665AD">
      <w:pPr>
        <w:widowControl w:val="0"/>
        <w:spacing w:before="120" w:after="120" w:line="240" w:lineRule="auto"/>
        <w:ind w:left="426"/>
        <w:jc w:val="both"/>
        <w:rPr>
          <w:rFonts w:ascii="Times New Roman" w:eastAsia="Times New Roman" w:hAnsi="Times New Roman" w:cs="Times New Roman"/>
          <w:bCs/>
        </w:rPr>
      </w:pPr>
      <w:r>
        <w:rPr>
          <w:rFonts w:ascii="Times New Roman" w:eastAsia="Times New Roman" w:hAnsi="Times New Roman" w:cs="Times New Roman"/>
          <w:b/>
          <w:bCs/>
          <w:lang w:val="en-GB"/>
        </w:rPr>
        <w:t>Knowledge:</w:t>
      </w:r>
      <w:r>
        <w:rPr>
          <w:rFonts w:ascii="Times New Roman" w:eastAsia="Times New Roman" w:hAnsi="Times New Roman" w:cs="Times New Roman"/>
          <w:lang w:val="en-GB"/>
        </w:rPr>
        <w:t xml:space="preserve"> </w:t>
      </w:r>
    </w:p>
    <w:p w:rsidR="008665AD" w:rsidRDefault="008665AD" w:rsidP="00C2057B">
      <w:pPr>
        <w:pStyle w:val="Listaszerbekezds"/>
        <w:widowControl w:val="0"/>
        <w:numPr>
          <w:ilvl w:val="0"/>
          <w:numId w:val="42"/>
        </w:numPr>
        <w:spacing w:after="0" w:line="240" w:lineRule="auto"/>
        <w:ind w:hanging="219"/>
        <w:jc w:val="both"/>
        <w:rPr>
          <w:rFonts w:ascii="Times New Roman" w:eastAsia="Times New Roman" w:hAnsi="Times New Roman" w:cs="Times New Roman"/>
          <w:lang w:val="en-GB"/>
        </w:rPr>
      </w:pPr>
      <w:r>
        <w:rPr>
          <w:rFonts w:ascii="Times New Roman" w:eastAsia="Times New Roman" w:hAnsi="Times New Roman" w:cs="Times New Roman"/>
          <w:lang w:val="en-GB"/>
        </w:rPr>
        <w:t>Has acquired a comprehensive psychological and pedagogical knowledge necessary to perform in the first officer assignment.</w:t>
      </w:r>
    </w:p>
    <w:p w:rsidR="008665AD" w:rsidRDefault="008665AD" w:rsidP="00C2057B">
      <w:pPr>
        <w:pStyle w:val="Listaszerbekezds"/>
        <w:widowControl w:val="0"/>
        <w:numPr>
          <w:ilvl w:val="0"/>
          <w:numId w:val="42"/>
        </w:numPr>
        <w:spacing w:after="0" w:line="240" w:lineRule="auto"/>
        <w:ind w:hanging="219"/>
        <w:jc w:val="both"/>
        <w:rPr>
          <w:rFonts w:ascii="Times New Roman" w:eastAsia="Times New Roman" w:hAnsi="Times New Roman" w:cs="Times New Roman"/>
          <w:lang w:val="en-GB"/>
        </w:rPr>
      </w:pPr>
      <w:r>
        <w:rPr>
          <w:rFonts w:ascii="Times New Roman" w:eastAsia="Times New Roman" w:hAnsi="Times New Roman" w:cs="Times New Roman"/>
          <w:lang w:val="en-GB"/>
        </w:rPr>
        <w:t>Has a thorough knowledge on pedagogical and psychological methodologies related to the training of a platoon (company).</w:t>
      </w:r>
    </w:p>
    <w:p w:rsidR="008665AD" w:rsidRDefault="008665AD" w:rsidP="00C2057B">
      <w:pPr>
        <w:pStyle w:val="Listaszerbekezds"/>
        <w:widowControl w:val="0"/>
        <w:numPr>
          <w:ilvl w:val="0"/>
          <w:numId w:val="42"/>
        </w:numPr>
        <w:spacing w:after="0" w:line="240" w:lineRule="auto"/>
        <w:ind w:hanging="219"/>
        <w:jc w:val="both"/>
        <w:rPr>
          <w:rFonts w:ascii="Times New Roman" w:eastAsia="Times New Roman" w:hAnsi="Times New Roman" w:cs="Times New Roman"/>
          <w:lang w:val="en-GB"/>
        </w:rPr>
      </w:pPr>
      <w:r>
        <w:rPr>
          <w:rFonts w:ascii="Times New Roman" w:eastAsia="Times New Roman" w:hAnsi="Times New Roman" w:cs="Times New Roman"/>
          <w:lang w:val="en-GB"/>
        </w:rPr>
        <w:t xml:space="preserve">Is familiar with the most recent performance assessment and subordinate motivational processes and tools. </w:t>
      </w:r>
    </w:p>
    <w:p w:rsidR="008665AD" w:rsidRDefault="008665AD" w:rsidP="008665AD">
      <w:pPr>
        <w:widowControl w:val="0"/>
        <w:spacing w:before="120" w:after="120" w:line="240" w:lineRule="auto"/>
        <w:ind w:left="426"/>
        <w:jc w:val="both"/>
        <w:rPr>
          <w:rFonts w:ascii="Times New Roman" w:eastAsia="Times New Roman" w:hAnsi="Times New Roman" w:cs="Times New Roman"/>
          <w:bCs/>
        </w:rPr>
      </w:pPr>
      <w:r>
        <w:rPr>
          <w:rFonts w:ascii="Times New Roman" w:eastAsia="Times New Roman" w:hAnsi="Times New Roman" w:cs="Times New Roman"/>
          <w:b/>
          <w:bCs/>
          <w:lang w:val="en-GB"/>
        </w:rPr>
        <w:t>Skills:</w:t>
      </w:r>
      <w:r>
        <w:rPr>
          <w:rFonts w:ascii="Times New Roman" w:eastAsia="Times New Roman" w:hAnsi="Times New Roman" w:cs="Times New Roman"/>
          <w:lang w:val="en-GB"/>
        </w:rPr>
        <w:t xml:space="preserve"> </w:t>
      </w:r>
    </w:p>
    <w:p w:rsidR="008665AD" w:rsidRDefault="008665AD" w:rsidP="00C2057B">
      <w:pPr>
        <w:pStyle w:val="Listaszerbekezds"/>
        <w:widowControl w:val="0"/>
        <w:numPr>
          <w:ilvl w:val="0"/>
          <w:numId w:val="42"/>
        </w:numPr>
        <w:spacing w:after="0" w:line="240" w:lineRule="auto"/>
        <w:ind w:hanging="219"/>
        <w:jc w:val="both"/>
        <w:rPr>
          <w:rFonts w:ascii="Times New Roman" w:eastAsia="Times New Roman" w:hAnsi="Times New Roman" w:cs="Times New Roman"/>
          <w:lang w:val="en-GB"/>
        </w:rPr>
      </w:pPr>
      <w:r>
        <w:rPr>
          <w:rFonts w:ascii="Times New Roman" w:eastAsia="Times New Roman" w:hAnsi="Times New Roman" w:cs="Times New Roman"/>
          <w:lang w:val="en-GB"/>
        </w:rPr>
        <w:t>Capable of applying the acquired pedagogical and psychological knowledge on both platoon and company levels.</w:t>
      </w:r>
    </w:p>
    <w:p w:rsidR="008665AD" w:rsidRDefault="008665AD" w:rsidP="00C2057B">
      <w:pPr>
        <w:pStyle w:val="Listaszerbekezds"/>
        <w:widowControl w:val="0"/>
        <w:numPr>
          <w:ilvl w:val="0"/>
          <w:numId w:val="42"/>
        </w:numPr>
        <w:spacing w:after="0" w:line="240" w:lineRule="auto"/>
        <w:ind w:hanging="219"/>
        <w:jc w:val="both"/>
        <w:rPr>
          <w:rFonts w:ascii="Times New Roman" w:eastAsia="Times New Roman" w:hAnsi="Times New Roman" w:cs="Times New Roman"/>
          <w:lang w:val="en-GB"/>
        </w:rPr>
      </w:pPr>
      <w:r>
        <w:rPr>
          <w:rFonts w:ascii="Times New Roman" w:eastAsia="Times New Roman" w:hAnsi="Times New Roman" w:cs="Times New Roman"/>
          <w:lang w:val="en-GB"/>
        </w:rPr>
        <w:t>Possesses a decisive knowledge on leading military units (companies).</w:t>
      </w:r>
    </w:p>
    <w:p w:rsidR="008665AD" w:rsidRDefault="008665AD" w:rsidP="00C2057B">
      <w:pPr>
        <w:pStyle w:val="Listaszerbekezds"/>
        <w:widowControl w:val="0"/>
        <w:numPr>
          <w:ilvl w:val="0"/>
          <w:numId w:val="42"/>
        </w:numPr>
        <w:spacing w:after="0" w:line="240" w:lineRule="auto"/>
        <w:ind w:hanging="219"/>
        <w:jc w:val="both"/>
        <w:rPr>
          <w:rFonts w:ascii="Times New Roman" w:eastAsia="Times New Roman" w:hAnsi="Times New Roman" w:cs="Times New Roman"/>
          <w:lang w:val="en-GB"/>
        </w:rPr>
      </w:pPr>
      <w:r>
        <w:rPr>
          <w:rFonts w:ascii="Times New Roman" w:eastAsia="Times New Roman" w:hAnsi="Times New Roman" w:cs="Times New Roman"/>
          <w:lang w:val="en-GB"/>
        </w:rPr>
        <w:t>Capable of leading the entrusted unit both in peacetime and under non-peaceful conditions.</w:t>
      </w:r>
    </w:p>
    <w:p w:rsidR="008665AD" w:rsidRDefault="008665AD" w:rsidP="008665AD">
      <w:pPr>
        <w:widowControl w:val="0"/>
        <w:spacing w:before="120" w:after="120" w:line="240" w:lineRule="auto"/>
        <w:ind w:left="426"/>
        <w:jc w:val="both"/>
        <w:rPr>
          <w:rFonts w:ascii="Times New Roman" w:eastAsia="Times New Roman" w:hAnsi="Times New Roman" w:cs="Times New Roman"/>
          <w:bCs/>
        </w:rPr>
      </w:pPr>
      <w:r>
        <w:rPr>
          <w:rFonts w:ascii="Times New Roman" w:eastAsia="Times New Roman" w:hAnsi="Times New Roman" w:cs="Times New Roman"/>
          <w:b/>
          <w:bCs/>
          <w:lang w:val="en-GB"/>
        </w:rPr>
        <w:t>Attitude:</w:t>
      </w:r>
    </w:p>
    <w:p w:rsidR="008665AD" w:rsidRDefault="008665AD" w:rsidP="00C2057B">
      <w:pPr>
        <w:pStyle w:val="Listaszerbekezds"/>
        <w:widowControl w:val="0"/>
        <w:numPr>
          <w:ilvl w:val="0"/>
          <w:numId w:val="42"/>
        </w:numPr>
        <w:spacing w:after="0" w:line="240" w:lineRule="auto"/>
        <w:ind w:hanging="219"/>
        <w:jc w:val="both"/>
        <w:rPr>
          <w:rFonts w:ascii="Times New Roman" w:eastAsia="Times New Roman" w:hAnsi="Times New Roman" w:cs="Times New Roman"/>
          <w:lang w:val="en-GB"/>
        </w:rPr>
      </w:pPr>
      <w:r>
        <w:rPr>
          <w:rFonts w:ascii="Times New Roman" w:eastAsia="Times New Roman" w:hAnsi="Times New Roman" w:cs="Times New Roman"/>
          <w:lang w:val="en-GB"/>
        </w:rPr>
        <w:lastRenderedPageBreak/>
        <w:t>Open to continuously study and adopt new pedagogical, psychological and technological scientific research results and actively seeks to share the acquired knowledge.</w:t>
      </w:r>
    </w:p>
    <w:p w:rsidR="008665AD" w:rsidRDefault="008665AD" w:rsidP="008665AD">
      <w:pPr>
        <w:widowControl w:val="0"/>
        <w:spacing w:before="120" w:after="120" w:line="240" w:lineRule="auto"/>
        <w:ind w:left="426"/>
        <w:jc w:val="both"/>
        <w:rPr>
          <w:rFonts w:ascii="Times New Roman" w:eastAsia="Times New Roman" w:hAnsi="Times New Roman" w:cs="Times New Roman"/>
          <w:bCs/>
        </w:rPr>
      </w:pPr>
      <w:r>
        <w:rPr>
          <w:rFonts w:ascii="Times New Roman" w:eastAsia="Times New Roman" w:hAnsi="Times New Roman" w:cs="Times New Roman"/>
          <w:b/>
          <w:bCs/>
          <w:lang w:val="en-GB"/>
        </w:rPr>
        <w:t>Autonomy and responsibility:</w:t>
      </w:r>
    </w:p>
    <w:p w:rsidR="008665AD" w:rsidRDefault="008665AD" w:rsidP="00C2057B">
      <w:pPr>
        <w:pStyle w:val="Listaszerbekezds"/>
        <w:widowControl w:val="0"/>
        <w:numPr>
          <w:ilvl w:val="0"/>
          <w:numId w:val="42"/>
        </w:numPr>
        <w:spacing w:after="0" w:line="240" w:lineRule="auto"/>
        <w:ind w:hanging="219"/>
        <w:jc w:val="both"/>
        <w:rPr>
          <w:rFonts w:ascii="Times New Roman" w:eastAsia="Times New Roman" w:hAnsi="Times New Roman" w:cs="Times New Roman"/>
          <w:lang w:val="en-GB"/>
        </w:rPr>
      </w:pPr>
      <w:r>
        <w:rPr>
          <w:rFonts w:ascii="Times New Roman" w:eastAsia="Times New Roman" w:hAnsi="Times New Roman" w:cs="Times New Roman"/>
          <w:lang w:val="en-GB"/>
        </w:rPr>
        <w:t>Capable of independently analysing general and specific professional questions and solving those issues under given circumstances while relying on one’s broad general and professional knowledge and problems solving skills.</w:t>
      </w:r>
    </w:p>
    <w:p w:rsidR="008665AD" w:rsidRDefault="008665AD" w:rsidP="00C2057B">
      <w:pPr>
        <w:pStyle w:val="Listaszerbekezds"/>
        <w:widowControl w:val="0"/>
        <w:numPr>
          <w:ilvl w:val="0"/>
          <w:numId w:val="42"/>
        </w:numPr>
        <w:spacing w:after="0" w:line="240" w:lineRule="auto"/>
        <w:ind w:hanging="219"/>
        <w:jc w:val="both"/>
        <w:rPr>
          <w:rFonts w:ascii="Times New Roman" w:eastAsia="Times New Roman" w:hAnsi="Times New Roman" w:cs="Times New Roman"/>
          <w:lang w:val="en-GB"/>
        </w:rPr>
      </w:pPr>
      <w:r>
        <w:rPr>
          <w:rFonts w:ascii="Times New Roman" w:eastAsia="Times New Roman" w:hAnsi="Times New Roman" w:cs="Times New Roman"/>
          <w:lang w:val="en-GB"/>
        </w:rPr>
        <w:t>Within the scope of the position and due to responsibilities, plans and carries out professional activities independently.</w:t>
      </w:r>
    </w:p>
    <w:p w:rsidR="008665AD" w:rsidRDefault="008665AD" w:rsidP="00C2057B">
      <w:pPr>
        <w:widowControl w:val="0"/>
        <w:numPr>
          <w:ilvl w:val="0"/>
          <w:numId w:val="41"/>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Előtanulmányi követelmények: </w:t>
      </w:r>
      <w:r>
        <w:rPr>
          <w:rFonts w:ascii="Times New Roman" w:eastAsia="Times New Roman" w:hAnsi="Times New Roman" w:cs="Times New Roman"/>
          <w:bCs/>
        </w:rPr>
        <w:t>nincs</w:t>
      </w:r>
    </w:p>
    <w:p w:rsidR="008665AD" w:rsidRDefault="008665AD" w:rsidP="00C2057B">
      <w:pPr>
        <w:widowControl w:val="0"/>
        <w:numPr>
          <w:ilvl w:val="0"/>
          <w:numId w:val="41"/>
        </w:numPr>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A tantárgy tananyagának leírása, tematika. Description of the subject, curriculum (magyarul, angolul - English):</w:t>
      </w:r>
    </w:p>
    <w:p w:rsidR="008665AD" w:rsidRPr="00472829" w:rsidRDefault="008665AD" w:rsidP="00C2057B">
      <w:pPr>
        <w:pStyle w:val="Listaszerbekezds"/>
        <w:widowControl w:val="0"/>
        <w:numPr>
          <w:ilvl w:val="1"/>
          <w:numId w:val="43"/>
        </w:numPr>
        <w:spacing w:after="0" w:line="240" w:lineRule="auto"/>
        <w:ind w:left="1134"/>
        <w:jc w:val="both"/>
        <w:rPr>
          <w:rFonts w:ascii="Times New Roman" w:eastAsia="Times New Roman" w:hAnsi="Times New Roman" w:cs="Times New Roman"/>
          <w:bCs/>
          <w:lang w:eastAsia="hu-HU"/>
        </w:rPr>
      </w:pPr>
      <w:r>
        <w:rPr>
          <w:rFonts w:ascii="Times New Roman" w:eastAsia="Times New Roman" w:hAnsi="Times New Roman" w:cs="Times New Roman"/>
          <w:bCs/>
          <w:lang w:eastAsia="hu-HU"/>
        </w:rPr>
        <w:t xml:space="preserve">A nevelhetőség paradigmái. A nevelés, mint értékközvetítés </w:t>
      </w:r>
      <w:r w:rsidRPr="00472829">
        <w:rPr>
          <w:rFonts w:ascii="Times New Roman" w:eastAsia="Times New Roman" w:hAnsi="Times New Roman" w:cs="Times New Roman"/>
          <w:bCs/>
          <w:lang w:eastAsia="hu-HU"/>
        </w:rPr>
        <w:t>(Educational paradigms.  Education as a transmission of values).</w:t>
      </w:r>
    </w:p>
    <w:p w:rsidR="008665AD" w:rsidRPr="00472829" w:rsidRDefault="008665AD" w:rsidP="00C2057B">
      <w:pPr>
        <w:pStyle w:val="Listaszerbekezds"/>
        <w:widowControl w:val="0"/>
        <w:numPr>
          <w:ilvl w:val="1"/>
          <w:numId w:val="43"/>
        </w:numPr>
        <w:spacing w:after="0" w:line="240" w:lineRule="auto"/>
        <w:ind w:left="1134"/>
        <w:jc w:val="both"/>
        <w:rPr>
          <w:rFonts w:ascii="Times New Roman" w:eastAsia="Times New Roman" w:hAnsi="Times New Roman" w:cs="Times New Roman"/>
          <w:bCs/>
          <w:lang w:eastAsia="hu-HU"/>
        </w:rPr>
      </w:pPr>
      <w:r w:rsidRPr="00472829">
        <w:rPr>
          <w:rFonts w:ascii="Times New Roman" w:eastAsia="Times New Roman" w:hAnsi="Times New Roman" w:cs="Times New Roman"/>
          <w:bCs/>
          <w:lang w:eastAsia="hu-HU"/>
        </w:rPr>
        <w:t>Generációs különbségekből fakadó kihívások (Multi-generational challenges).</w:t>
      </w:r>
    </w:p>
    <w:p w:rsidR="008665AD" w:rsidRPr="00472829" w:rsidRDefault="008665AD" w:rsidP="00C2057B">
      <w:pPr>
        <w:pStyle w:val="Listaszerbekezds"/>
        <w:widowControl w:val="0"/>
        <w:numPr>
          <w:ilvl w:val="1"/>
          <w:numId w:val="43"/>
        </w:numPr>
        <w:spacing w:after="0" w:line="240" w:lineRule="auto"/>
        <w:ind w:left="1134"/>
        <w:jc w:val="both"/>
        <w:rPr>
          <w:rFonts w:ascii="Times New Roman" w:eastAsia="Times New Roman" w:hAnsi="Times New Roman" w:cs="Times New Roman"/>
          <w:bCs/>
          <w:lang w:eastAsia="hu-HU"/>
        </w:rPr>
      </w:pPr>
      <w:r>
        <w:rPr>
          <w:rFonts w:ascii="Times New Roman" w:eastAsia="Times New Roman" w:hAnsi="Times New Roman" w:cs="Times New Roman"/>
          <w:bCs/>
          <w:lang w:eastAsia="hu-HU"/>
        </w:rPr>
        <w:t xml:space="preserve">A nevelői szerep. </w:t>
      </w:r>
      <w:r w:rsidRPr="00472829">
        <w:rPr>
          <w:rFonts w:ascii="Times New Roman" w:eastAsia="Times New Roman" w:hAnsi="Times New Roman" w:cs="Times New Roman"/>
          <w:bCs/>
          <w:lang w:eastAsia="hu-HU"/>
        </w:rPr>
        <w:t xml:space="preserve">A jutalmazás és a büntetés motivációs hatásai </w:t>
      </w:r>
      <w:r w:rsidRPr="00472829">
        <w:rPr>
          <w:rFonts w:ascii="Times New Roman" w:eastAsia="Times New Roman" w:hAnsi="Times New Roman" w:cs="Times New Roman"/>
          <w:bCs/>
          <w:lang w:eastAsia="hu-HU"/>
        </w:rPr>
        <w:br/>
        <w:t>(The educational role. Motivational impacts of reward and punishment).</w:t>
      </w:r>
    </w:p>
    <w:p w:rsidR="008665AD" w:rsidRPr="00472829" w:rsidRDefault="008665AD" w:rsidP="00C2057B">
      <w:pPr>
        <w:pStyle w:val="Listaszerbekezds"/>
        <w:widowControl w:val="0"/>
        <w:numPr>
          <w:ilvl w:val="1"/>
          <w:numId w:val="43"/>
        </w:numPr>
        <w:spacing w:after="0" w:line="240" w:lineRule="auto"/>
        <w:ind w:left="1134"/>
        <w:jc w:val="both"/>
        <w:rPr>
          <w:rFonts w:ascii="Times New Roman" w:eastAsia="Times New Roman" w:hAnsi="Times New Roman" w:cs="Times New Roman"/>
          <w:bCs/>
          <w:lang w:eastAsia="hu-HU"/>
        </w:rPr>
      </w:pPr>
      <w:r w:rsidRPr="00472829">
        <w:rPr>
          <w:rFonts w:ascii="Times New Roman" w:eastAsia="Times New Roman" w:hAnsi="Times New Roman" w:cs="Times New Roman"/>
          <w:bCs/>
          <w:lang w:eastAsia="hu-HU"/>
        </w:rPr>
        <w:t>Szeminárium: Ellenőrző foglalkozás – zárthelyi dolgozat írása a leadott anyagrészekből</w:t>
      </w:r>
      <w:r w:rsidR="00472829">
        <w:rPr>
          <w:rFonts w:ascii="Times New Roman" w:eastAsia="Times New Roman" w:hAnsi="Times New Roman" w:cs="Times New Roman"/>
          <w:bCs/>
          <w:lang w:eastAsia="hu-HU"/>
        </w:rPr>
        <w:t xml:space="preserve"> </w:t>
      </w:r>
      <w:r w:rsidRPr="00472829">
        <w:rPr>
          <w:rFonts w:ascii="Times New Roman" w:eastAsia="Times New Roman" w:hAnsi="Times New Roman" w:cs="Times New Roman"/>
          <w:bCs/>
          <w:lang w:eastAsia="hu-HU"/>
        </w:rPr>
        <w:t>(Seminar: Written exam).</w:t>
      </w:r>
    </w:p>
    <w:p w:rsidR="008665AD" w:rsidRPr="00472829" w:rsidRDefault="008665AD" w:rsidP="00C2057B">
      <w:pPr>
        <w:pStyle w:val="Listaszerbekezds"/>
        <w:widowControl w:val="0"/>
        <w:numPr>
          <w:ilvl w:val="1"/>
          <w:numId w:val="43"/>
        </w:numPr>
        <w:spacing w:after="0" w:line="240" w:lineRule="auto"/>
        <w:ind w:left="1134"/>
        <w:jc w:val="both"/>
        <w:rPr>
          <w:rFonts w:ascii="Times New Roman" w:eastAsia="Times New Roman" w:hAnsi="Times New Roman" w:cs="Times New Roman"/>
          <w:bCs/>
          <w:lang w:eastAsia="hu-HU"/>
        </w:rPr>
      </w:pPr>
      <w:r w:rsidRPr="00472829">
        <w:rPr>
          <w:rFonts w:ascii="Times New Roman" w:eastAsia="Times New Roman" w:hAnsi="Times New Roman" w:cs="Times New Roman"/>
          <w:bCs/>
          <w:lang w:eastAsia="hu-HU"/>
        </w:rPr>
        <w:t xml:space="preserve">Az oktatás, képzés fogalma. Az előadás, mint oktatási módszer </w:t>
      </w:r>
      <w:r w:rsidRPr="00472829">
        <w:rPr>
          <w:rFonts w:ascii="Times New Roman" w:eastAsia="Times New Roman" w:hAnsi="Times New Roman" w:cs="Times New Roman"/>
          <w:bCs/>
          <w:lang w:eastAsia="hu-HU"/>
        </w:rPr>
        <w:br/>
        <w:t>(Definition of education and training. Lecture as an educational method).</w:t>
      </w:r>
    </w:p>
    <w:p w:rsidR="008665AD" w:rsidRPr="00472829" w:rsidRDefault="008665AD" w:rsidP="00C2057B">
      <w:pPr>
        <w:pStyle w:val="Listaszerbekezds"/>
        <w:widowControl w:val="0"/>
        <w:numPr>
          <w:ilvl w:val="1"/>
          <w:numId w:val="43"/>
        </w:numPr>
        <w:spacing w:after="0" w:line="240" w:lineRule="auto"/>
        <w:ind w:left="1134"/>
        <w:jc w:val="both"/>
        <w:rPr>
          <w:rFonts w:ascii="Times New Roman" w:eastAsia="Times New Roman" w:hAnsi="Times New Roman" w:cs="Times New Roman"/>
          <w:bCs/>
          <w:lang w:eastAsia="hu-HU"/>
        </w:rPr>
      </w:pPr>
      <w:r w:rsidRPr="00472829">
        <w:rPr>
          <w:rFonts w:ascii="Times New Roman" w:eastAsia="Times New Roman" w:hAnsi="Times New Roman" w:cs="Times New Roman"/>
          <w:bCs/>
          <w:lang w:eastAsia="hu-HU"/>
        </w:rPr>
        <w:t>Az egészségpedagógia főbb kérdései (Main issues of health education).</w:t>
      </w:r>
    </w:p>
    <w:p w:rsidR="008665AD" w:rsidRPr="00472829" w:rsidRDefault="008665AD" w:rsidP="00C2057B">
      <w:pPr>
        <w:pStyle w:val="Listaszerbekezds"/>
        <w:widowControl w:val="0"/>
        <w:numPr>
          <w:ilvl w:val="1"/>
          <w:numId w:val="43"/>
        </w:numPr>
        <w:spacing w:after="0" w:line="240" w:lineRule="auto"/>
        <w:ind w:left="1134"/>
        <w:jc w:val="both"/>
        <w:rPr>
          <w:rFonts w:ascii="Times New Roman" w:eastAsia="Times New Roman" w:hAnsi="Times New Roman" w:cs="Times New Roman"/>
          <w:bCs/>
          <w:lang w:eastAsia="hu-HU"/>
        </w:rPr>
      </w:pPr>
      <w:r w:rsidRPr="00472829">
        <w:rPr>
          <w:rFonts w:ascii="Times New Roman" w:eastAsia="Times New Roman" w:hAnsi="Times New Roman" w:cs="Times New Roman"/>
          <w:bCs/>
          <w:lang w:eastAsia="hu-HU"/>
        </w:rPr>
        <w:t>S</w:t>
      </w:r>
      <w:r>
        <w:rPr>
          <w:rFonts w:ascii="Times New Roman" w:eastAsia="Times New Roman" w:hAnsi="Times New Roman" w:cs="Times New Roman"/>
          <w:bCs/>
          <w:lang w:eastAsia="hu-HU"/>
        </w:rPr>
        <w:t>zeminárium:</w:t>
      </w:r>
      <w:r w:rsidRPr="00472829">
        <w:rPr>
          <w:rFonts w:ascii="Times New Roman" w:eastAsia="Times New Roman" w:hAnsi="Times New Roman" w:cs="Times New Roman"/>
          <w:bCs/>
          <w:lang w:eastAsia="hu-HU"/>
        </w:rPr>
        <w:t xml:space="preserve"> Ellenőrző foglalkozás – zárthelyi dolgozat írása a leadott anyagrészekből (Seminar: Written exam).</w:t>
      </w:r>
    </w:p>
    <w:p w:rsidR="008665AD" w:rsidRPr="00472829" w:rsidRDefault="008665AD" w:rsidP="00C2057B">
      <w:pPr>
        <w:pStyle w:val="Listaszerbekezds"/>
        <w:widowControl w:val="0"/>
        <w:numPr>
          <w:ilvl w:val="1"/>
          <w:numId w:val="43"/>
        </w:numPr>
        <w:spacing w:after="0" w:line="240" w:lineRule="auto"/>
        <w:ind w:left="1134"/>
        <w:jc w:val="both"/>
        <w:rPr>
          <w:rFonts w:ascii="Times New Roman" w:eastAsia="Times New Roman" w:hAnsi="Times New Roman" w:cs="Times New Roman"/>
          <w:bCs/>
          <w:lang w:eastAsia="hu-HU"/>
        </w:rPr>
      </w:pPr>
      <w:r>
        <w:rPr>
          <w:rFonts w:ascii="Times New Roman" w:eastAsia="Times New Roman" w:hAnsi="Times New Roman" w:cs="Times New Roman"/>
          <w:bCs/>
          <w:lang w:eastAsia="hu-HU"/>
        </w:rPr>
        <w:t xml:space="preserve">A megismerés és az önismeret lélektani alapjai </w:t>
      </w:r>
      <w:r w:rsidRPr="00472829">
        <w:rPr>
          <w:rFonts w:ascii="Times New Roman" w:eastAsia="Times New Roman" w:hAnsi="Times New Roman" w:cs="Times New Roman"/>
          <w:bCs/>
          <w:lang w:eastAsia="hu-HU"/>
        </w:rPr>
        <w:t>(Foundations of cognitive psychology and self-knowledge).</w:t>
      </w:r>
    </w:p>
    <w:p w:rsidR="008665AD" w:rsidRPr="00472829" w:rsidRDefault="008665AD" w:rsidP="00C2057B">
      <w:pPr>
        <w:pStyle w:val="Listaszerbekezds"/>
        <w:widowControl w:val="0"/>
        <w:numPr>
          <w:ilvl w:val="1"/>
          <w:numId w:val="43"/>
        </w:numPr>
        <w:spacing w:after="0" w:line="240" w:lineRule="auto"/>
        <w:ind w:left="1134"/>
        <w:jc w:val="both"/>
        <w:rPr>
          <w:rFonts w:ascii="Times New Roman" w:eastAsia="Times New Roman" w:hAnsi="Times New Roman" w:cs="Times New Roman"/>
          <w:bCs/>
          <w:lang w:eastAsia="hu-HU"/>
        </w:rPr>
      </w:pPr>
      <w:r>
        <w:rPr>
          <w:rFonts w:ascii="Times New Roman" w:eastAsia="Times New Roman" w:hAnsi="Times New Roman" w:cs="Times New Roman"/>
          <w:bCs/>
          <w:lang w:eastAsia="hu-HU"/>
        </w:rPr>
        <w:t>Az érzelmek és a motiváció szerepe a megismerésben és a viselkedés alakításában</w:t>
      </w:r>
      <w:r>
        <w:rPr>
          <w:rFonts w:ascii="Times New Roman" w:eastAsia="Times New Roman" w:hAnsi="Times New Roman" w:cs="Times New Roman"/>
          <w:bCs/>
          <w:lang w:eastAsia="hu-HU"/>
        </w:rPr>
        <w:br/>
      </w:r>
      <w:r w:rsidRPr="00472829">
        <w:rPr>
          <w:rFonts w:ascii="Times New Roman" w:eastAsia="Times New Roman" w:hAnsi="Times New Roman" w:cs="Times New Roman"/>
          <w:bCs/>
          <w:lang w:eastAsia="hu-HU"/>
        </w:rPr>
        <w:t>(The role of emotions and motivation in cognition and behaviour).</w:t>
      </w:r>
    </w:p>
    <w:p w:rsidR="008665AD" w:rsidRPr="00472829" w:rsidRDefault="008665AD" w:rsidP="00C2057B">
      <w:pPr>
        <w:pStyle w:val="Listaszerbekezds"/>
        <w:widowControl w:val="0"/>
        <w:numPr>
          <w:ilvl w:val="1"/>
          <w:numId w:val="43"/>
        </w:numPr>
        <w:spacing w:after="0" w:line="240" w:lineRule="auto"/>
        <w:ind w:left="1134"/>
        <w:jc w:val="both"/>
        <w:rPr>
          <w:rFonts w:ascii="Times New Roman" w:eastAsia="Times New Roman" w:hAnsi="Times New Roman" w:cs="Times New Roman"/>
          <w:bCs/>
          <w:lang w:eastAsia="hu-HU"/>
        </w:rPr>
      </w:pPr>
      <w:r>
        <w:rPr>
          <w:rFonts w:ascii="Times New Roman" w:eastAsia="Times New Roman" w:hAnsi="Times New Roman" w:cs="Times New Roman"/>
          <w:bCs/>
          <w:lang w:eastAsia="hu-HU"/>
        </w:rPr>
        <w:t xml:space="preserve">A gondolkodás, érzelmek és a motiváció szerepe az önismeret alakításában </w:t>
      </w:r>
      <w:r w:rsidRPr="00472829">
        <w:rPr>
          <w:rFonts w:ascii="Times New Roman" w:eastAsia="Times New Roman" w:hAnsi="Times New Roman" w:cs="Times New Roman"/>
          <w:bCs/>
          <w:lang w:eastAsia="hu-HU"/>
        </w:rPr>
        <w:t>(The role of thinking, emotions and motivation in self-awareness).</w:t>
      </w:r>
    </w:p>
    <w:p w:rsidR="008665AD" w:rsidRPr="00472829" w:rsidRDefault="008665AD" w:rsidP="00C2057B">
      <w:pPr>
        <w:pStyle w:val="Listaszerbekezds"/>
        <w:widowControl w:val="0"/>
        <w:numPr>
          <w:ilvl w:val="1"/>
          <w:numId w:val="43"/>
        </w:numPr>
        <w:spacing w:after="0" w:line="240" w:lineRule="auto"/>
        <w:ind w:left="1134"/>
        <w:jc w:val="both"/>
        <w:rPr>
          <w:rFonts w:ascii="Times New Roman" w:eastAsia="Times New Roman" w:hAnsi="Times New Roman" w:cs="Times New Roman"/>
          <w:bCs/>
          <w:lang w:eastAsia="hu-HU"/>
        </w:rPr>
      </w:pPr>
      <w:r w:rsidRPr="00472829">
        <w:rPr>
          <w:rFonts w:ascii="Times New Roman" w:eastAsia="Times New Roman" w:hAnsi="Times New Roman" w:cs="Times New Roman"/>
          <w:bCs/>
          <w:lang w:eastAsia="hu-HU"/>
        </w:rPr>
        <w:t>S</w:t>
      </w:r>
      <w:r>
        <w:rPr>
          <w:rFonts w:ascii="Times New Roman" w:eastAsia="Times New Roman" w:hAnsi="Times New Roman" w:cs="Times New Roman"/>
          <w:bCs/>
          <w:lang w:eastAsia="hu-HU"/>
        </w:rPr>
        <w:t>zeminárium:</w:t>
      </w:r>
      <w:r w:rsidRPr="00472829">
        <w:rPr>
          <w:rFonts w:ascii="Times New Roman" w:eastAsia="Times New Roman" w:hAnsi="Times New Roman" w:cs="Times New Roman"/>
          <w:bCs/>
          <w:lang w:eastAsia="hu-HU"/>
        </w:rPr>
        <w:t xml:space="preserve"> Ellenőrző foglalkozás – zárthelyi dolgozat írása a leadott anyagrészekből (Seminar: Written exam).</w:t>
      </w:r>
    </w:p>
    <w:p w:rsidR="008665AD" w:rsidRPr="00472829" w:rsidRDefault="008665AD" w:rsidP="00C2057B">
      <w:pPr>
        <w:pStyle w:val="Listaszerbekezds"/>
        <w:widowControl w:val="0"/>
        <w:numPr>
          <w:ilvl w:val="1"/>
          <w:numId w:val="43"/>
        </w:numPr>
        <w:spacing w:after="0" w:line="240" w:lineRule="auto"/>
        <w:ind w:left="1134"/>
        <w:jc w:val="both"/>
        <w:rPr>
          <w:rFonts w:ascii="Times New Roman" w:eastAsia="Times New Roman" w:hAnsi="Times New Roman" w:cs="Times New Roman"/>
          <w:bCs/>
          <w:lang w:eastAsia="hu-HU"/>
        </w:rPr>
      </w:pPr>
      <w:r>
        <w:rPr>
          <w:rFonts w:ascii="Times New Roman" w:eastAsia="Times New Roman" w:hAnsi="Times New Roman" w:cs="Times New Roman"/>
          <w:bCs/>
          <w:lang w:eastAsia="hu-HU"/>
        </w:rPr>
        <w:t>A foglalkozási stressz pszichológiája. A harctéri stressz. Kulturális sokk</w:t>
      </w:r>
      <w:r>
        <w:rPr>
          <w:rFonts w:ascii="Times New Roman" w:eastAsia="Times New Roman" w:hAnsi="Times New Roman" w:cs="Times New Roman"/>
          <w:bCs/>
          <w:lang w:eastAsia="hu-HU"/>
        </w:rPr>
        <w:br/>
      </w:r>
      <w:r w:rsidRPr="00472829">
        <w:rPr>
          <w:rFonts w:ascii="Times New Roman" w:eastAsia="Times New Roman" w:hAnsi="Times New Roman" w:cs="Times New Roman"/>
          <w:bCs/>
          <w:lang w:eastAsia="hu-HU"/>
        </w:rPr>
        <w:t>(Psychology of workplace stress. Stress on the battlefield. Cultural shock).</w:t>
      </w:r>
    </w:p>
    <w:p w:rsidR="008665AD" w:rsidRPr="00472829" w:rsidRDefault="008665AD" w:rsidP="00C2057B">
      <w:pPr>
        <w:pStyle w:val="Listaszerbekezds"/>
        <w:widowControl w:val="0"/>
        <w:numPr>
          <w:ilvl w:val="1"/>
          <w:numId w:val="43"/>
        </w:numPr>
        <w:spacing w:after="0" w:line="240" w:lineRule="auto"/>
        <w:ind w:left="1134"/>
        <w:jc w:val="both"/>
        <w:rPr>
          <w:rFonts w:ascii="Times New Roman" w:eastAsia="Times New Roman" w:hAnsi="Times New Roman" w:cs="Times New Roman"/>
          <w:bCs/>
          <w:lang w:eastAsia="hu-HU"/>
        </w:rPr>
      </w:pPr>
      <w:r>
        <w:rPr>
          <w:rFonts w:ascii="Times New Roman" w:eastAsia="Times New Roman" w:hAnsi="Times New Roman" w:cs="Times New Roman"/>
          <w:bCs/>
          <w:lang w:eastAsia="hu-HU"/>
        </w:rPr>
        <w:t xml:space="preserve">Szervezeti magatartás, pályaszocializáció </w:t>
      </w:r>
      <w:r w:rsidRPr="00472829">
        <w:rPr>
          <w:rFonts w:ascii="Times New Roman" w:eastAsia="Times New Roman" w:hAnsi="Times New Roman" w:cs="Times New Roman"/>
          <w:bCs/>
          <w:lang w:eastAsia="hu-HU"/>
        </w:rPr>
        <w:t>(Organizational behaviour, career socialization).</w:t>
      </w:r>
    </w:p>
    <w:p w:rsidR="008665AD" w:rsidRDefault="008665AD" w:rsidP="00C2057B">
      <w:pPr>
        <w:pStyle w:val="Listaszerbekezds"/>
        <w:widowControl w:val="0"/>
        <w:numPr>
          <w:ilvl w:val="1"/>
          <w:numId w:val="43"/>
        </w:numPr>
        <w:spacing w:after="0" w:line="240" w:lineRule="auto"/>
        <w:ind w:left="1134"/>
        <w:jc w:val="both"/>
        <w:rPr>
          <w:rFonts w:ascii="Times New Roman" w:eastAsia="Times New Roman" w:hAnsi="Times New Roman" w:cs="Times New Roman"/>
          <w:i/>
        </w:rPr>
      </w:pPr>
      <w:r>
        <w:rPr>
          <w:rFonts w:ascii="Times New Roman" w:eastAsia="Times New Roman" w:hAnsi="Times New Roman" w:cs="Times New Roman"/>
          <w:bCs/>
          <w:lang w:eastAsia="hu-HU"/>
        </w:rPr>
        <w:t xml:space="preserve">Szeminárium: </w:t>
      </w:r>
      <w:r>
        <w:rPr>
          <w:rFonts w:ascii="Times New Roman" w:eastAsia="Times New Roman" w:hAnsi="Times New Roman" w:cs="Times New Roman"/>
          <w:lang w:eastAsia="hu-HU"/>
        </w:rPr>
        <w:t>Ellenőrző foglalkozás – zárthelyi dolgozatírása leadott anyagrészekből</w:t>
      </w:r>
      <w:r>
        <w:rPr>
          <w:rFonts w:ascii="Times New Roman" w:eastAsia="Times New Roman" w:hAnsi="Times New Roman" w:cs="Times New Roman"/>
          <w:lang w:eastAsia="hu-HU"/>
        </w:rPr>
        <w:br/>
      </w:r>
      <w:r>
        <w:rPr>
          <w:rFonts w:ascii="Times New Roman" w:eastAsia="Times New Roman" w:hAnsi="Times New Roman" w:cs="Times New Roman"/>
          <w:i/>
          <w:lang w:val="en-GB"/>
        </w:rPr>
        <w:t>(Seminar: Written exam).</w:t>
      </w:r>
    </w:p>
    <w:p w:rsidR="008665AD" w:rsidRPr="00C06C3C" w:rsidRDefault="008665AD" w:rsidP="00C2057B">
      <w:pPr>
        <w:widowControl w:val="0"/>
        <w:numPr>
          <w:ilvl w:val="0"/>
          <w:numId w:val="41"/>
        </w:numPr>
        <w:spacing w:before="120" w:after="120" w:line="240" w:lineRule="auto"/>
        <w:ind w:left="426" w:firstLine="283"/>
        <w:jc w:val="both"/>
        <w:rPr>
          <w:rFonts w:ascii="Times New Roman" w:eastAsia="Times New Roman" w:hAnsi="Times New Roman" w:cs="Times New Roman"/>
          <w:bCs/>
        </w:rPr>
      </w:pPr>
      <w:r w:rsidRPr="00C06C3C">
        <w:rPr>
          <w:rFonts w:ascii="Times New Roman" w:eastAsia="Times New Roman" w:hAnsi="Times New Roman" w:cs="Times New Roman"/>
          <w:b/>
          <w:bCs/>
        </w:rPr>
        <w:t xml:space="preserve">A tantárgy meghirdetésének gyakorisága/a tantervben történő félévi elhelyezkedése: </w:t>
      </w:r>
      <w:r w:rsidRPr="00C06C3C">
        <w:rPr>
          <w:rFonts w:ascii="Times New Roman" w:eastAsia="Times New Roman" w:hAnsi="Times New Roman" w:cs="Times New Roman"/>
          <w:bCs/>
        </w:rPr>
        <w:t>évente / 2. félév</w:t>
      </w:r>
    </w:p>
    <w:p w:rsidR="008665AD" w:rsidRDefault="008665AD" w:rsidP="00C2057B">
      <w:pPr>
        <w:widowControl w:val="0"/>
        <w:numPr>
          <w:ilvl w:val="0"/>
          <w:numId w:val="41"/>
        </w:numPr>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A tanórákon való részvétel követelményei, az elfogadható hiányzások mértéke, a távolmaradás pótlásának lehetősége: </w:t>
      </w:r>
    </w:p>
    <w:p w:rsidR="008665AD" w:rsidRDefault="008665AD" w:rsidP="008665AD">
      <w:pPr>
        <w:widowControl w:val="0"/>
        <w:spacing w:before="120" w:after="120" w:line="240" w:lineRule="auto"/>
        <w:ind w:left="426"/>
        <w:jc w:val="both"/>
        <w:rPr>
          <w:rFonts w:ascii="Times New Roman" w:eastAsia="Times New Roman" w:hAnsi="Times New Roman" w:cs="Times New Roman"/>
          <w:bCs/>
          <w:color w:val="FF0000"/>
        </w:rPr>
      </w:pPr>
      <w:r>
        <w:rPr>
          <w:rFonts w:ascii="Times New Roman" w:eastAsia="Times New Roman" w:hAnsi="Times New Roman" w:cs="Times New Roman"/>
          <w:bCs/>
        </w:rPr>
        <w:t xml:space="preserve">A hallgató köteles a tanórák legalább 75%-án részt venni. Amennyiben a hallgató az elfogadható hiányzások mértékét túllépi, a részvétel, az oktatóval való egyeztetés alapján, meghatározott házi dolgozat készítésével pótolható. </w:t>
      </w:r>
    </w:p>
    <w:p w:rsidR="008665AD" w:rsidRDefault="008665AD" w:rsidP="00C2057B">
      <w:pPr>
        <w:widowControl w:val="0"/>
        <w:numPr>
          <w:ilvl w:val="0"/>
          <w:numId w:val="41"/>
        </w:numPr>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Félévközi feladatok, ismeretek ellenőrzésének rendje:</w:t>
      </w:r>
    </w:p>
    <w:p w:rsidR="008665AD" w:rsidRDefault="008665AD" w:rsidP="008665AD">
      <w:pPr>
        <w:widowControl w:val="0"/>
        <w:spacing w:before="120" w:after="120" w:line="240" w:lineRule="auto"/>
        <w:ind w:left="426"/>
        <w:jc w:val="both"/>
        <w:rPr>
          <w:rFonts w:ascii="Times New Roman" w:eastAsia="Times New Roman" w:hAnsi="Times New Roman" w:cs="Times New Roman"/>
          <w:bCs/>
        </w:rPr>
      </w:pPr>
      <w:r>
        <w:rPr>
          <w:rFonts w:ascii="Times New Roman" w:eastAsia="Times New Roman" w:hAnsi="Times New Roman" w:cs="Times New Roman"/>
          <w:bCs/>
        </w:rPr>
        <w:t>A hallgatónak a félév során két, legalább elégséges szintű, zárthelyi dolgozatot kell megírnia (1 pszichológia tárgykörből, 1 pedagógia tárgykörből). A két érdemjegy számtani átlaga határozza meg az évközi értékelést, amely ötfokozatú.</w:t>
      </w:r>
    </w:p>
    <w:p w:rsidR="008665AD" w:rsidRDefault="008665AD" w:rsidP="008665AD">
      <w:pPr>
        <w:widowControl w:val="0"/>
        <w:spacing w:before="120" w:after="120" w:line="240" w:lineRule="auto"/>
        <w:ind w:left="426"/>
        <w:jc w:val="both"/>
        <w:rPr>
          <w:rFonts w:ascii="Times New Roman" w:eastAsia="Times New Roman" w:hAnsi="Times New Roman" w:cs="Times New Roman"/>
          <w:bCs/>
          <w:highlight w:val="lightGray"/>
        </w:rPr>
      </w:pPr>
      <w:r>
        <w:rPr>
          <w:rFonts w:ascii="Times New Roman" w:eastAsia="Times New Roman" w:hAnsi="Times New Roman" w:cs="Times New Roman"/>
          <w:bCs/>
        </w:rPr>
        <w:t>A zárthelyi dolgozatok értékelése:</w:t>
      </w:r>
      <w:r>
        <w:rPr>
          <w:rFonts w:ascii="Times New Roman" w:eastAsia="Times New Roman" w:hAnsi="Times New Roman" w:cs="Times New Roman"/>
          <w:bCs/>
          <w:highlight w:val="lightGray"/>
        </w:rPr>
        <w:t xml:space="preserve"> </w:t>
      </w:r>
    </w:p>
    <w:p w:rsidR="008665AD" w:rsidRDefault="008665AD" w:rsidP="008665AD">
      <w:pPr>
        <w:widowControl w:val="0"/>
        <w:spacing w:after="0" w:line="240" w:lineRule="auto"/>
        <w:ind w:left="1418"/>
        <w:jc w:val="both"/>
        <w:rPr>
          <w:rFonts w:ascii="Times New Roman" w:eastAsia="Times New Roman" w:hAnsi="Times New Roman" w:cs="Times New Roman"/>
          <w:bCs/>
        </w:rPr>
      </w:pPr>
      <w:r>
        <w:rPr>
          <w:rFonts w:ascii="Times New Roman" w:eastAsia="Times New Roman" w:hAnsi="Times New Roman" w:cs="Times New Roman"/>
          <w:bCs/>
        </w:rPr>
        <w:lastRenderedPageBreak/>
        <w:t>60%-ig = elégtelen</w:t>
      </w:r>
    </w:p>
    <w:p w:rsidR="008665AD" w:rsidRDefault="008665AD" w:rsidP="008665AD">
      <w:pPr>
        <w:widowControl w:val="0"/>
        <w:spacing w:after="0" w:line="240" w:lineRule="auto"/>
        <w:ind w:left="1418"/>
        <w:jc w:val="both"/>
        <w:rPr>
          <w:rFonts w:ascii="Times New Roman" w:eastAsia="Times New Roman" w:hAnsi="Times New Roman" w:cs="Times New Roman"/>
          <w:bCs/>
        </w:rPr>
      </w:pPr>
      <w:r>
        <w:rPr>
          <w:rFonts w:ascii="Times New Roman" w:eastAsia="Times New Roman" w:hAnsi="Times New Roman" w:cs="Times New Roman"/>
          <w:bCs/>
        </w:rPr>
        <w:t xml:space="preserve">61%-tól -70%-ig = elégséges </w:t>
      </w:r>
    </w:p>
    <w:p w:rsidR="008665AD" w:rsidRDefault="008665AD" w:rsidP="008665AD">
      <w:pPr>
        <w:widowControl w:val="0"/>
        <w:spacing w:after="0" w:line="240" w:lineRule="auto"/>
        <w:ind w:left="1418"/>
        <w:jc w:val="both"/>
        <w:rPr>
          <w:rFonts w:ascii="Times New Roman" w:eastAsia="Times New Roman" w:hAnsi="Times New Roman" w:cs="Times New Roman"/>
          <w:bCs/>
        </w:rPr>
      </w:pPr>
      <w:r>
        <w:rPr>
          <w:rFonts w:ascii="Times New Roman" w:eastAsia="Times New Roman" w:hAnsi="Times New Roman" w:cs="Times New Roman"/>
          <w:bCs/>
        </w:rPr>
        <w:t xml:space="preserve">71%-tól 80% -ig= közepes, </w:t>
      </w:r>
    </w:p>
    <w:p w:rsidR="008665AD" w:rsidRDefault="008665AD" w:rsidP="008665AD">
      <w:pPr>
        <w:widowControl w:val="0"/>
        <w:spacing w:after="0" w:line="240" w:lineRule="auto"/>
        <w:ind w:left="1418"/>
        <w:jc w:val="both"/>
        <w:rPr>
          <w:rFonts w:ascii="Times New Roman" w:eastAsia="Times New Roman" w:hAnsi="Times New Roman" w:cs="Times New Roman"/>
          <w:bCs/>
        </w:rPr>
      </w:pPr>
      <w:r>
        <w:rPr>
          <w:rFonts w:ascii="Times New Roman" w:eastAsia="Times New Roman" w:hAnsi="Times New Roman" w:cs="Times New Roman"/>
          <w:bCs/>
        </w:rPr>
        <w:t>81%-tól 90%-ig = jó</w:t>
      </w:r>
    </w:p>
    <w:p w:rsidR="008665AD" w:rsidRDefault="008665AD" w:rsidP="008665AD">
      <w:pPr>
        <w:widowControl w:val="0"/>
        <w:spacing w:after="0" w:line="240" w:lineRule="auto"/>
        <w:ind w:left="1418"/>
        <w:jc w:val="both"/>
        <w:rPr>
          <w:rFonts w:ascii="Times New Roman" w:eastAsia="Times New Roman" w:hAnsi="Times New Roman" w:cs="Times New Roman"/>
          <w:bCs/>
        </w:rPr>
      </w:pPr>
      <w:r>
        <w:rPr>
          <w:rFonts w:ascii="Times New Roman" w:eastAsia="Times New Roman" w:hAnsi="Times New Roman" w:cs="Times New Roman"/>
          <w:bCs/>
        </w:rPr>
        <w:t>91%-tól-100%-ig= jeles</w:t>
      </w:r>
    </w:p>
    <w:p w:rsidR="008665AD" w:rsidRDefault="008665AD" w:rsidP="008665AD">
      <w:pPr>
        <w:widowControl w:val="0"/>
        <w:spacing w:after="0" w:line="240" w:lineRule="auto"/>
        <w:ind w:left="425"/>
        <w:jc w:val="both"/>
        <w:rPr>
          <w:rFonts w:ascii="Times New Roman" w:eastAsia="Times New Roman" w:hAnsi="Times New Roman" w:cs="Times New Roman"/>
          <w:bCs/>
        </w:rPr>
      </w:pPr>
    </w:p>
    <w:p w:rsidR="008665AD" w:rsidRDefault="008665AD" w:rsidP="008665AD">
      <w:pPr>
        <w:widowControl w:val="0"/>
        <w:spacing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Cs/>
        </w:rPr>
        <w:t>A zárthelyi dolgozatok pótlására témakörönként egy lehetőség van. A zárthelyi dolgozatok témakörei a 12. pontban olvashatók.</w:t>
      </w:r>
    </w:p>
    <w:p w:rsidR="008665AD" w:rsidRDefault="008665AD" w:rsidP="00C2057B">
      <w:pPr>
        <w:widowControl w:val="0"/>
        <w:numPr>
          <w:ilvl w:val="0"/>
          <w:numId w:val="41"/>
        </w:numPr>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Az értékelés, az aláírás és a kreditek megszerzésének pontos feltételei: </w:t>
      </w:r>
    </w:p>
    <w:p w:rsidR="008665AD" w:rsidRDefault="008665AD" w:rsidP="00C2057B">
      <w:pPr>
        <w:widowControl w:val="0"/>
        <w:numPr>
          <w:ilvl w:val="1"/>
          <w:numId w:val="41"/>
        </w:numPr>
        <w:tabs>
          <w:tab w:val="left" w:pos="567"/>
          <w:tab w:val="left" w:pos="851"/>
          <w:tab w:val="num" w:pos="2069"/>
        </w:tabs>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Az aláírás megszerzésének feltételei:</w:t>
      </w:r>
    </w:p>
    <w:p w:rsidR="008665AD" w:rsidRDefault="008665AD" w:rsidP="008665AD">
      <w:pPr>
        <w:widowControl w:val="0"/>
        <w:tabs>
          <w:tab w:val="left" w:pos="709"/>
          <w:tab w:val="left" w:pos="993"/>
        </w:tabs>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A tanórákon való részvétel a 14. pontban meghatározott arányban, két eredményes, legalább elégséges szintű zárthelyi megírása a 15. pontban meghatározottak szerint.</w:t>
      </w:r>
    </w:p>
    <w:p w:rsidR="008665AD" w:rsidRDefault="008665AD" w:rsidP="00C2057B">
      <w:pPr>
        <w:widowControl w:val="0"/>
        <w:numPr>
          <w:ilvl w:val="1"/>
          <w:numId w:val="41"/>
        </w:numPr>
        <w:tabs>
          <w:tab w:val="left" w:pos="567"/>
          <w:tab w:val="left" w:pos="851"/>
          <w:tab w:val="num" w:pos="2069"/>
        </w:tabs>
        <w:spacing w:before="120" w:after="120" w:line="240" w:lineRule="auto"/>
        <w:ind w:left="426" w:hanging="142"/>
        <w:jc w:val="both"/>
        <w:rPr>
          <w:rFonts w:ascii="Times New Roman" w:eastAsia="Times New Roman" w:hAnsi="Times New Roman" w:cs="Times New Roman"/>
        </w:rPr>
      </w:pPr>
      <w:r>
        <w:rPr>
          <w:rFonts w:ascii="Times New Roman" w:eastAsia="Times New Roman" w:hAnsi="Times New Roman" w:cs="Times New Roman"/>
          <w:b/>
          <w:bCs/>
        </w:rPr>
        <w:t xml:space="preserve">Az értékelés: </w:t>
      </w:r>
      <w:r>
        <w:rPr>
          <w:rFonts w:ascii="Times New Roman" w:eastAsia="Times New Roman" w:hAnsi="Times New Roman" w:cs="Times New Roman"/>
          <w:b/>
          <w:i/>
        </w:rPr>
        <w:t>Évközi értékelés</w:t>
      </w:r>
      <w:r>
        <w:rPr>
          <w:rFonts w:ascii="Times New Roman" w:eastAsia="Times New Roman" w:hAnsi="Times New Roman" w:cs="Times New Roman"/>
        </w:rPr>
        <w:t xml:space="preserve"> (ötfokozatú) a 15. pontban meghatározottak szerint.</w:t>
      </w:r>
    </w:p>
    <w:p w:rsidR="008665AD" w:rsidRDefault="008665AD" w:rsidP="00C2057B">
      <w:pPr>
        <w:widowControl w:val="0"/>
        <w:numPr>
          <w:ilvl w:val="1"/>
          <w:numId w:val="41"/>
        </w:numPr>
        <w:tabs>
          <w:tab w:val="left" w:pos="567"/>
          <w:tab w:val="left" w:pos="851"/>
          <w:tab w:val="num" w:pos="2069"/>
        </w:tabs>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A kreditek megszerzésének feltételei: </w:t>
      </w:r>
    </w:p>
    <w:p w:rsidR="008665AD" w:rsidRDefault="008665AD" w:rsidP="008665AD">
      <w:pPr>
        <w:widowControl w:val="0"/>
        <w:tabs>
          <w:tab w:val="left" w:pos="709"/>
          <w:tab w:val="left" w:pos="993"/>
        </w:tabs>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A kreditek</w:t>
      </w:r>
      <w:r>
        <w:rPr>
          <w:rFonts w:ascii="Times New Roman" w:eastAsia="Times New Roman" w:hAnsi="Times New Roman" w:cs="Times New Roman"/>
          <w:bCs/>
        </w:rPr>
        <w:t xml:space="preserve"> megszerzésének feltétele a 14. pontban meghatározott arányú részvétel a foglalkozásokon és a 15. pontban meghatározott feladatok legalább elégséges teljesítése.</w:t>
      </w:r>
    </w:p>
    <w:p w:rsidR="008665AD" w:rsidRDefault="008665AD" w:rsidP="00C2057B">
      <w:pPr>
        <w:widowControl w:val="0"/>
        <w:numPr>
          <w:ilvl w:val="0"/>
          <w:numId w:val="41"/>
        </w:numPr>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Irodalomjegyzék:</w:t>
      </w:r>
    </w:p>
    <w:p w:rsidR="008665AD" w:rsidRDefault="008665AD" w:rsidP="00C2057B">
      <w:pPr>
        <w:widowControl w:val="0"/>
        <w:numPr>
          <w:ilvl w:val="1"/>
          <w:numId w:val="41"/>
        </w:numPr>
        <w:tabs>
          <w:tab w:val="left" w:pos="567"/>
          <w:tab w:val="left" w:pos="851"/>
          <w:tab w:val="num" w:pos="2069"/>
        </w:tabs>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Kötelező irodalom:</w:t>
      </w:r>
    </w:p>
    <w:p w:rsidR="008665AD" w:rsidRDefault="008665AD" w:rsidP="00C2057B">
      <w:pPr>
        <w:pStyle w:val="Listaszerbekezds"/>
        <w:widowControl w:val="0"/>
        <w:numPr>
          <w:ilvl w:val="0"/>
          <w:numId w:val="44"/>
        </w:numPr>
        <w:tabs>
          <w:tab w:val="left" w:pos="709"/>
          <w:tab w:val="left" w:pos="851"/>
        </w:tabs>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Atkinson, Richard – Hilgard, Ernest: Pszichológia. Osiris Kiadó, Budapest, 2005. ISBN: 9789633897133</w:t>
      </w:r>
    </w:p>
    <w:p w:rsidR="008665AD" w:rsidRDefault="008665AD" w:rsidP="00C2057B">
      <w:pPr>
        <w:pStyle w:val="Listaszerbekezds"/>
        <w:widowControl w:val="0"/>
        <w:numPr>
          <w:ilvl w:val="0"/>
          <w:numId w:val="44"/>
        </w:numPr>
        <w:tabs>
          <w:tab w:val="left" w:pos="709"/>
          <w:tab w:val="left" w:pos="851"/>
        </w:tabs>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Eysenck, Michael – Keane,</w:t>
      </w:r>
      <w:r>
        <w:t xml:space="preserve"> </w:t>
      </w:r>
      <w:r>
        <w:rPr>
          <w:rFonts w:ascii="Times New Roman" w:eastAsia="Times New Roman" w:hAnsi="Times New Roman" w:cs="Times New Roman"/>
          <w:bCs/>
        </w:rPr>
        <w:t>Mark: Kognitív pszichológia –</w:t>
      </w:r>
      <w:r>
        <w:t xml:space="preserve"> </w:t>
      </w:r>
      <w:r>
        <w:rPr>
          <w:rFonts w:ascii="Times New Roman" w:eastAsia="Times New Roman" w:hAnsi="Times New Roman" w:cs="Times New Roman"/>
          <w:bCs/>
        </w:rPr>
        <w:t>Hallgatói kézikönyv. Nemzedékek Tudása Tankönyvkiadó, Budapest, 2003. ISBN: 9789631945232</w:t>
      </w:r>
    </w:p>
    <w:p w:rsidR="008665AD" w:rsidRDefault="008665AD" w:rsidP="00C2057B">
      <w:pPr>
        <w:pStyle w:val="Listaszerbekezds"/>
        <w:widowControl w:val="0"/>
        <w:numPr>
          <w:ilvl w:val="0"/>
          <w:numId w:val="44"/>
        </w:numPr>
        <w:tabs>
          <w:tab w:val="left" w:pos="709"/>
          <w:tab w:val="left" w:pos="851"/>
        </w:tabs>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Mészáros László (szerk.): Pedagógia I. Zrínyi Miklós Nemzetvédelmi Egyetem Egyetemi Kiadó, Budapest, 2004. ISBN: –</w:t>
      </w:r>
    </w:p>
    <w:p w:rsidR="008665AD" w:rsidRDefault="008665AD" w:rsidP="00C2057B">
      <w:pPr>
        <w:widowControl w:val="0"/>
        <w:numPr>
          <w:ilvl w:val="1"/>
          <w:numId w:val="41"/>
        </w:numPr>
        <w:tabs>
          <w:tab w:val="left" w:pos="567"/>
          <w:tab w:val="left" w:pos="851"/>
          <w:tab w:val="num" w:pos="2069"/>
        </w:tabs>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Ajánlott irodalom:</w:t>
      </w:r>
    </w:p>
    <w:p w:rsidR="008665AD" w:rsidRDefault="008665AD" w:rsidP="00C2057B">
      <w:pPr>
        <w:pStyle w:val="Listaszerbekezds"/>
        <w:widowControl w:val="0"/>
        <w:numPr>
          <w:ilvl w:val="0"/>
          <w:numId w:val="45"/>
        </w:numPr>
        <w:tabs>
          <w:tab w:val="left" w:pos="709"/>
          <w:tab w:val="left" w:pos="851"/>
        </w:tabs>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Falus Iván – Szivák Judit: Didaktika. Comenius Bt., Pécs, 2004. ISBN: 9789638671189 </w:t>
      </w:r>
    </w:p>
    <w:p w:rsidR="008665AD" w:rsidRDefault="008665AD" w:rsidP="00C2057B">
      <w:pPr>
        <w:pStyle w:val="Listaszerbekezds"/>
        <w:widowControl w:val="0"/>
        <w:numPr>
          <w:ilvl w:val="0"/>
          <w:numId w:val="45"/>
        </w:numPr>
        <w:tabs>
          <w:tab w:val="left" w:pos="709"/>
          <w:tab w:val="left" w:pos="851"/>
        </w:tabs>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Pavlina, Zelemir – Komar, Zoran (szerk): Katonapszichológia. Zrínyi Kiadó, Budapest, 2007. ISBN: 9789633274385 </w:t>
      </w:r>
    </w:p>
    <w:p w:rsidR="008665AD" w:rsidRDefault="008665AD" w:rsidP="008665AD">
      <w:pPr>
        <w:widowControl w:val="0"/>
        <w:spacing w:before="120" w:after="120" w:line="240" w:lineRule="auto"/>
        <w:ind w:left="1702" w:hanging="709"/>
        <w:jc w:val="both"/>
        <w:rPr>
          <w:rFonts w:ascii="Times New Roman" w:eastAsia="Times New Roman" w:hAnsi="Times New Roman" w:cs="Times New Roman"/>
          <w:bCs/>
        </w:rPr>
      </w:pPr>
    </w:p>
    <w:p w:rsidR="008665AD" w:rsidRDefault="008665AD" w:rsidP="008665AD">
      <w:pPr>
        <w:widowControl w:val="0"/>
        <w:spacing w:before="120" w:after="120" w:line="240" w:lineRule="auto"/>
        <w:jc w:val="both"/>
        <w:rPr>
          <w:rFonts w:ascii="Times New Roman" w:eastAsia="Times New Roman" w:hAnsi="Times New Roman" w:cs="Times New Roman"/>
          <w:bCs/>
        </w:rPr>
      </w:pPr>
      <w:r>
        <w:rPr>
          <w:rFonts w:ascii="Times New Roman" w:eastAsia="Times New Roman" w:hAnsi="Times New Roman" w:cs="Times New Roman"/>
          <w:bCs/>
        </w:rPr>
        <w:t>Budapest, 2020. március 03.</w:t>
      </w:r>
    </w:p>
    <w:p w:rsidR="008665AD" w:rsidRPr="008665AD" w:rsidRDefault="008665AD" w:rsidP="008665AD">
      <w:pPr>
        <w:widowControl w:val="0"/>
        <w:spacing w:before="120" w:after="120" w:line="240" w:lineRule="auto"/>
        <w:jc w:val="both"/>
        <w:rPr>
          <w:rFonts w:ascii="Times New Roman" w:eastAsia="Times New Roman" w:hAnsi="Times New Roman" w:cs="Times New Roman"/>
          <w:bCs/>
          <w:sz w:val="20"/>
        </w:rPr>
      </w:pPr>
    </w:p>
    <w:p w:rsidR="008665AD" w:rsidRPr="008665AD" w:rsidRDefault="008665AD" w:rsidP="008665AD">
      <w:pPr>
        <w:spacing w:after="0" w:line="240" w:lineRule="auto"/>
        <w:ind w:left="2835" w:firstLine="1134"/>
        <w:jc w:val="center"/>
        <w:rPr>
          <w:rFonts w:ascii="Times New Roman" w:eastAsia="Times New Roman" w:hAnsi="Times New Roman" w:cs="Times New Roman"/>
          <w:b/>
          <w:bCs/>
          <w:lang w:eastAsia="hu-HU"/>
        </w:rPr>
      </w:pPr>
      <w:r w:rsidRPr="008665AD">
        <w:rPr>
          <w:rFonts w:ascii="Times New Roman" w:eastAsia="Times New Roman" w:hAnsi="Times New Roman" w:cs="Times New Roman"/>
          <w:b/>
          <w:bCs/>
          <w:lang w:eastAsia="hu-HU"/>
        </w:rPr>
        <w:t>Dr. Szelei Ildikó alezredes</w:t>
      </w:r>
    </w:p>
    <w:p w:rsidR="008665AD" w:rsidRPr="008665AD" w:rsidRDefault="008665AD" w:rsidP="008665AD">
      <w:pPr>
        <w:spacing w:after="0" w:line="240" w:lineRule="auto"/>
        <w:ind w:left="2835" w:firstLine="1134"/>
        <w:jc w:val="center"/>
        <w:rPr>
          <w:rFonts w:ascii="Times New Roman" w:eastAsia="Times New Roman" w:hAnsi="Times New Roman" w:cs="Times New Roman"/>
          <w:bCs/>
          <w:lang w:eastAsia="hu-HU"/>
        </w:rPr>
      </w:pPr>
      <w:r w:rsidRPr="008665AD">
        <w:rPr>
          <w:rFonts w:ascii="Times New Roman" w:eastAsia="Times New Roman" w:hAnsi="Times New Roman" w:cs="Times New Roman"/>
          <w:bCs/>
          <w:lang w:eastAsia="hu-HU"/>
        </w:rPr>
        <w:t>egyetemi docens</w:t>
      </w:r>
    </w:p>
    <w:p w:rsidR="00423888" w:rsidRDefault="00423888">
      <w:pPr>
        <w:spacing w:after="200" w:line="276" w:lineRule="auto"/>
        <w:rPr>
          <w:rFonts w:ascii="Times New Roman" w:hAnsi="Times New Roman" w:cs="Times New Roman"/>
        </w:rPr>
      </w:pPr>
    </w:p>
    <w:p w:rsidR="008665AD" w:rsidRDefault="008665AD">
      <w:pPr>
        <w:spacing w:after="200" w:line="276" w:lineRule="auto"/>
        <w:rPr>
          <w:rFonts w:ascii="Times New Roman" w:hAnsi="Times New Roman" w:cs="Times New Roman"/>
        </w:rPr>
      </w:pPr>
      <w:r>
        <w:rPr>
          <w:rFonts w:ascii="Times New Roman" w:hAnsi="Times New Roman" w:cs="Times New Roman"/>
        </w:rPr>
        <w:br w:type="page"/>
      </w:r>
    </w:p>
    <w:tbl>
      <w:tblPr>
        <w:tblW w:w="9072" w:type="dxa"/>
        <w:tblInd w:w="113" w:type="dxa"/>
        <w:tblLook w:val="01E0" w:firstRow="1" w:lastRow="1" w:firstColumn="1" w:lastColumn="1" w:noHBand="0" w:noVBand="0"/>
      </w:tblPr>
      <w:tblGrid>
        <w:gridCol w:w="4855"/>
        <w:gridCol w:w="1620"/>
        <w:gridCol w:w="2597"/>
      </w:tblGrid>
      <w:tr w:rsidR="00BC66D7" w:rsidTr="00BC66D7">
        <w:tc>
          <w:tcPr>
            <w:tcW w:w="4855" w:type="dxa"/>
            <w:tcBorders>
              <w:top w:val="nil"/>
              <w:left w:val="nil"/>
              <w:bottom w:val="single" w:sz="4" w:space="0" w:color="auto"/>
              <w:right w:val="nil"/>
            </w:tcBorders>
            <w:hideMark/>
          </w:tcPr>
          <w:p w:rsidR="00BC66D7" w:rsidRDefault="00BC66D7">
            <w:pPr>
              <w:spacing w:after="0" w:line="240" w:lineRule="auto"/>
              <w:jc w:val="center"/>
              <w:rPr>
                <w:rFonts w:ascii="Times New Roman" w:eastAsia="Times New Roman" w:hAnsi="Times New Roman" w:cs="Times New Roman"/>
                <w:b/>
                <w:smallCaps/>
                <w:lang w:eastAsia="hu-HU"/>
              </w:rPr>
            </w:pPr>
            <w:r>
              <w:rPr>
                <w:rFonts w:ascii="Times New Roman" w:eastAsia="Times New Roman" w:hAnsi="Times New Roman" w:cs="Times New Roman"/>
                <w:b/>
                <w:smallCaps/>
                <w:lang w:eastAsia="hu-HU"/>
              </w:rPr>
              <w:lastRenderedPageBreak/>
              <w:t>Nemzeti Közszolgálati Egyetem</w:t>
            </w:r>
          </w:p>
        </w:tc>
        <w:tc>
          <w:tcPr>
            <w:tcW w:w="1620" w:type="dxa"/>
          </w:tcPr>
          <w:p w:rsidR="00BC66D7" w:rsidRDefault="00BC66D7">
            <w:pPr>
              <w:spacing w:after="0" w:line="240" w:lineRule="auto"/>
              <w:jc w:val="both"/>
              <w:rPr>
                <w:rFonts w:ascii="Times New Roman" w:eastAsia="Times New Roman" w:hAnsi="Times New Roman" w:cs="Times New Roman"/>
                <w:lang w:eastAsia="hu-HU"/>
              </w:rPr>
            </w:pPr>
          </w:p>
        </w:tc>
        <w:tc>
          <w:tcPr>
            <w:tcW w:w="2597" w:type="dxa"/>
          </w:tcPr>
          <w:p w:rsidR="00BC66D7" w:rsidRDefault="00BC66D7">
            <w:pPr>
              <w:spacing w:after="0" w:line="240" w:lineRule="auto"/>
              <w:jc w:val="right"/>
              <w:rPr>
                <w:rFonts w:ascii="Times New Roman" w:eastAsia="Times New Roman" w:hAnsi="Times New Roman" w:cs="Times New Roman"/>
                <w:lang w:eastAsia="hu-HU"/>
              </w:rPr>
            </w:pPr>
          </w:p>
        </w:tc>
      </w:tr>
      <w:tr w:rsidR="00BC66D7" w:rsidTr="00BC66D7">
        <w:tc>
          <w:tcPr>
            <w:tcW w:w="4855" w:type="dxa"/>
            <w:tcBorders>
              <w:top w:val="single" w:sz="4" w:space="0" w:color="auto"/>
              <w:left w:val="nil"/>
              <w:bottom w:val="nil"/>
              <w:right w:val="nil"/>
            </w:tcBorders>
            <w:hideMark/>
          </w:tcPr>
          <w:p w:rsidR="00BC66D7" w:rsidRDefault="00BC66D7">
            <w:pPr>
              <w:spacing w:after="0" w:line="240" w:lineRule="auto"/>
              <w:jc w:val="center"/>
              <w:rPr>
                <w:rFonts w:ascii="Times New Roman" w:eastAsia="Times New Roman" w:hAnsi="Times New Roman" w:cs="Times New Roman"/>
                <w:b/>
                <w:lang w:eastAsia="hu-HU"/>
              </w:rPr>
            </w:pPr>
            <w:r>
              <w:rPr>
                <w:rFonts w:ascii="Times New Roman" w:eastAsia="Times New Roman" w:hAnsi="Times New Roman" w:cs="Times New Roman"/>
                <w:b/>
                <w:lang w:eastAsia="hu-HU"/>
              </w:rPr>
              <w:t>Hadtudományi és Honvédtisztképző Kar</w:t>
            </w:r>
          </w:p>
        </w:tc>
        <w:tc>
          <w:tcPr>
            <w:tcW w:w="1620" w:type="dxa"/>
          </w:tcPr>
          <w:p w:rsidR="00BC66D7" w:rsidRDefault="00BC66D7">
            <w:pPr>
              <w:spacing w:after="0" w:line="240" w:lineRule="auto"/>
              <w:jc w:val="both"/>
              <w:rPr>
                <w:rFonts w:ascii="Times New Roman" w:eastAsia="Times New Roman" w:hAnsi="Times New Roman" w:cs="Times New Roman"/>
                <w:lang w:eastAsia="hu-HU"/>
              </w:rPr>
            </w:pPr>
          </w:p>
        </w:tc>
        <w:tc>
          <w:tcPr>
            <w:tcW w:w="2597" w:type="dxa"/>
          </w:tcPr>
          <w:p w:rsidR="00BC66D7" w:rsidRDefault="00BC66D7">
            <w:pPr>
              <w:spacing w:after="0" w:line="240" w:lineRule="auto"/>
              <w:jc w:val="both"/>
              <w:rPr>
                <w:rFonts w:ascii="Times New Roman" w:eastAsia="Times New Roman" w:hAnsi="Times New Roman" w:cs="Times New Roman"/>
                <w:lang w:eastAsia="hu-HU"/>
              </w:rPr>
            </w:pPr>
          </w:p>
        </w:tc>
      </w:tr>
    </w:tbl>
    <w:p w:rsidR="00BC66D7" w:rsidRDefault="00BC66D7" w:rsidP="00BC66D7">
      <w:pPr>
        <w:widowControl w:val="0"/>
        <w:spacing w:before="120" w:after="120" w:line="240" w:lineRule="auto"/>
        <w:ind w:left="426" w:hanging="142"/>
        <w:jc w:val="center"/>
        <w:rPr>
          <w:rFonts w:ascii="Times New Roman" w:eastAsia="Times New Roman" w:hAnsi="Times New Roman" w:cs="Times New Roman"/>
          <w:b/>
          <w:bCs/>
        </w:rPr>
      </w:pPr>
    </w:p>
    <w:p w:rsidR="00BC66D7" w:rsidRDefault="00BC66D7" w:rsidP="00BC66D7">
      <w:pPr>
        <w:widowControl w:val="0"/>
        <w:spacing w:before="120" w:after="120" w:line="240" w:lineRule="auto"/>
        <w:ind w:left="426" w:hanging="142"/>
        <w:jc w:val="center"/>
        <w:rPr>
          <w:rFonts w:ascii="Times New Roman" w:eastAsia="Times New Roman" w:hAnsi="Times New Roman" w:cs="Times New Roman"/>
          <w:b/>
          <w:bCs/>
        </w:rPr>
      </w:pPr>
      <w:r>
        <w:rPr>
          <w:rFonts w:ascii="Times New Roman" w:eastAsia="Times New Roman" w:hAnsi="Times New Roman" w:cs="Times New Roman"/>
          <w:b/>
          <w:bCs/>
        </w:rPr>
        <w:t>TANTÁRGYI PROGRAM</w:t>
      </w:r>
    </w:p>
    <w:p w:rsidR="00BC66D7" w:rsidRDefault="00BC66D7" w:rsidP="00980876">
      <w:pPr>
        <w:widowControl w:val="0"/>
        <w:numPr>
          <w:ilvl w:val="0"/>
          <w:numId w:val="765"/>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 tantárgy kódja: </w:t>
      </w:r>
      <w:r>
        <w:rPr>
          <w:rFonts w:ascii="Times New Roman" w:eastAsia="Times New Roman" w:hAnsi="Times New Roman" w:cs="Times New Roman"/>
          <w:bCs/>
        </w:rPr>
        <w:t>HKHIRA01</w:t>
      </w:r>
    </w:p>
    <w:p w:rsidR="00BC66D7" w:rsidRDefault="00BC66D7" w:rsidP="00980876">
      <w:pPr>
        <w:widowControl w:val="0"/>
        <w:numPr>
          <w:ilvl w:val="0"/>
          <w:numId w:val="765"/>
        </w:numPr>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A tantárgy megnevezése (magyarul):</w:t>
      </w:r>
      <w:r>
        <w:rPr>
          <w:rFonts w:ascii="Times New Roman" w:eastAsia="Times New Roman" w:hAnsi="Times New Roman" w:cs="Times New Roman"/>
          <w:bCs/>
        </w:rPr>
        <w:t xml:space="preserve"> Rádióforgalmazás és az információbiztonság alapjai</w:t>
      </w:r>
    </w:p>
    <w:p w:rsidR="00BC66D7" w:rsidRDefault="00BC66D7" w:rsidP="00980876">
      <w:pPr>
        <w:widowControl w:val="0"/>
        <w:numPr>
          <w:ilvl w:val="0"/>
          <w:numId w:val="765"/>
        </w:numPr>
        <w:spacing w:before="120" w:after="120" w:line="240" w:lineRule="auto"/>
        <w:ind w:left="426" w:hanging="142"/>
        <w:jc w:val="both"/>
        <w:rPr>
          <w:rFonts w:ascii="Times New Roman" w:eastAsia="Times New Roman" w:hAnsi="Times New Roman" w:cs="Times New Roman"/>
          <w:b/>
          <w:bCs/>
          <w:lang w:val="en-GB"/>
        </w:rPr>
      </w:pPr>
      <w:r>
        <w:rPr>
          <w:rFonts w:ascii="Times New Roman" w:eastAsia="Times New Roman" w:hAnsi="Times New Roman" w:cs="Times New Roman"/>
          <w:b/>
          <w:bCs/>
        </w:rPr>
        <w:t xml:space="preserve">A tantárgy megnevezése (angolul): </w:t>
      </w:r>
      <w:r>
        <w:rPr>
          <w:rFonts w:ascii="Times New Roman" w:eastAsia="Times New Roman" w:hAnsi="Times New Roman" w:cs="Times New Roman"/>
          <w:bCs/>
          <w:lang w:val="en-GB"/>
        </w:rPr>
        <w:t>Basics</w:t>
      </w:r>
      <w:r>
        <w:rPr>
          <w:rFonts w:ascii="Times New Roman" w:eastAsia="Times New Roman" w:hAnsi="Times New Roman" w:cs="Times New Roman"/>
          <w:bCs/>
        </w:rPr>
        <w:t xml:space="preserve"> of radiocommunication and INFOSEC</w:t>
      </w:r>
    </w:p>
    <w:p w:rsidR="00BC66D7" w:rsidRDefault="00BC66D7" w:rsidP="00980876">
      <w:pPr>
        <w:widowControl w:val="0"/>
        <w:numPr>
          <w:ilvl w:val="0"/>
          <w:numId w:val="765"/>
        </w:numPr>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Kreditérték és képzési karakter: </w:t>
      </w:r>
    </w:p>
    <w:p w:rsidR="00BC66D7" w:rsidRDefault="00BC66D7" w:rsidP="00980876">
      <w:pPr>
        <w:pStyle w:val="Listaszerbekezds"/>
        <w:widowControl w:val="0"/>
        <w:numPr>
          <w:ilvl w:val="1"/>
          <w:numId w:val="765"/>
        </w:numPr>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2 kredit</w:t>
      </w:r>
    </w:p>
    <w:p w:rsidR="00BC66D7" w:rsidRDefault="00BC66D7" w:rsidP="00980876">
      <w:pPr>
        <w:pStyle w:val="Listaszerbekezds"/>
        <w:widowControl w:val="0"/>
        <w:numPr>
          <w:ilvl w:val="1"/>
          <w:numId w:val="765"/>
        </w:numPr>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a tantárgy elméleti vagy gyakorlati jellegének mértéke: 50</w:t>
      </w:r>
      <w:r>
        <w:rPr>
          <w:rFonts w:ascii="Times New Roman" w:eastAsia="Times New Roman" w:hAnsi="Times New Roman" w:cs="Times New Roman"/>
          <w:b/>
          <w:bCs/>
        </w:rPr>
        <w:t xml:space="preserve"> </w:t>
      </w:r>
      <w:r>
        <w:rPr>
          <w:rFonts w:ascii="Times New Roman" w:eastAsia="Times New Roman" w:hAnsi="Times New Roman" w:cs="Times New Roman"/>
          <w:bCs/>
        </w:rPr>
        <w:t xml:space="preserve">% gyakorlat, 50 % elmélet </w:t>
      </w:r>
    </w:p>
    <w:p w:rsidR="00BC66D7" w:rsidRDefault="00BC66D7" w:rsidP="00980876">
      <w:pPr>
        <w:widowControl w:val="0"/>
        <w:numPr>
          <w:ilvl w:val="0"/>
          <w:numId w:val="765"/>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szak(ok), szakirányok/specializációk megnevezése (ahol oktatják):</w:t>
      </w:r>
      <w:r>
        <w:rPr>
          <w:rFonts w:ascii="Times New Roman" w:eastAsia="Times New Roman" w:hAnsi="Times New Roman" w:cs="Times New Roman"/>
          <w:bCs/>
        </w:rPr>
        <w:t xml:space="preserve"> Az NKE HHK katonai alapképzési szakokon</w:t>
      </w:r>
    </w:p>
    <w:p w:rsidR="00BC66D7" w:rsidRDefault="00BC66D7" w:rsidP="00980876">
      <w:pPr>
        <w:widowControl w:val="0"/>
        <w:numPr>
          <w:ilvl w:val="0"/>
          <w:numId w:val="765"/>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Az oktatásért felelős oktatási szervezeti egység megnevezése: </w:t>
      </w:r>
      <w:r>
        <w:rPr>
          <w:rFonts w:ascii="Times New Roman" w:eastAsia="Times New Roman" w:hAnsi="Times New Roman" w:cs="Times New Roman"/>
          <w:bCs/>
        </w:rPr>
        <w:t>NKE HHK Híradó Tanszék</w:t>
      </w:r>
    </w:p>
    <w:p w:rsidR="00BC66D7" w:rsidRDefault="00BC66D7" w:rsidP="00980876">
      <w:pPr>
        <w:widowControl w:val="0"/>
        <w:numPr>
          <w:ilvl w:val="0"/>
          <w:numId w:val="765"/>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tantárgyfelelős oktató neve, beosztása, tudományos fokozata:</w:t>
      </w:r>
      <w:r>
        <w:rPr>
          <w:rFonts w:ascii="Times New Roman" w:eastAsia="Times New Roman" w:hAnsi="Times New Roman" w:cs="Times New Roman"/>
          <w:bCs/>
        </w:rPr>
        <w:t xml:space="preserve"> Dr. Farkas Tibor, egyetemi docens, PhD</w:t>
      </w:r>
    </w:p>
    <w:p w:rsidR="00BC66D7" w:rsidRDefault="00BC66D7" w:rsidP="00980876">
      <w:pPr>
        <w:widowControl w:val="0"/>
        <w:numPr>
          <w:ilvl w:val="0"/>
          <w:numId w:val="765"/>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tanórák száma és típusa</w:t>
      </w:r>
    </w:p>
    <w:p w:rsidR="00BC66D7" w:rsidRDefault="00BC66D7" w:rsidP="00980876">
      <w:pPr>
        <w:widowControl w:val="0"/>
        <w:numPr>
          <w:ilvl w:val="1"/>
          <w:numId w:val="765"/>
        </w:numPr>
        <w:tabs>
          <w:tab w:val="num" w:pos="2069"/>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össz óraszám/félév:</w:t>
      </w:r>
    </w:p>
    <w:p w:rsidR="00BC66D7" w:rsidRDefault="00BC66D7" w:rsidP="00980876">
      <w:pPr>
        <w:widowControl w:val="0"/>
        <w:numPr>
          <w:ilvl w:val="2"/>
          <w:numId w:val="765"/>
        </w:numPr>
        <w:tabs>
          <w:tab w:val="num" w:pos="1134"/>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 xml:space="preserve">nappali munkarend: 28 (14 EA + - SZ + 14 GY) </w:t>
      </w:r>
    </w:p>
    <w:p w:rsidR="00BC66D7" w:rsidRDefault="00BC66D7" w:rsidP="00980876">
      <w:pPr>
        <w:widowControl w:val="0"/>
        <w:numPr>
          <w:ilvl w:val="2"/>
          <w:numId w:val="765"/>
        </w:numPr>
        <w:tabs>
          <w:tab w:val="num" w:pos="1134"/>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levelező munkarend: -</w:t>
      </w:r>
    </w:p>
    <w:p w:rsidR="00BC66D7" w:rsidRDefault="00BC66D7" w:rsidP="00980876">
      <w:pPr>
        <w:widowControl w:val="0"/>
        <w:numPr>
          <w:ilvl w:val="1"/>
          <w:numId w:val="765"/>
        </w:numPr>
        <w:tabs>
          <w:tab w:val="num" w:pos="2069"/>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heti óraszám - nappali munkarend: 2</w:t>
      </w:r>
    </w:p>
    <w:p w:rsidR="00BC66D7" w:rsidRDefault="00BC66D7" w:rsidP="00980876">
      <w:pPr>
        <w:widowControl w:val="0"/>
        <w:numPr>
          <w:ilvl w:val="1"/>
          <w:numId w:val="765"/>
        </w:numPr>
        <w:tabs>
          <w:tab w:val="num" w:pos="2069"/>
        </w:tabs>
        <w:spacing w:before="120" w:after="120" w:line="240" w:lineRule="auto"/>
        <w:ind w:left="851" w:hanging="425"/>
        <w:jc w:val="both"/>
        <w:rPr>
          <w:rFonts w:ascii="Times New Roman" w:eastAsia="Times New Roman" w:hAnsi="Times New Roman" w:cs="Times New Roman"/>
          <w:bCs/>
        </w:rPr>
      </w:pPr>
      <w:r>
        <w:rPr>
          <w:rFonts w:ascii="Times New Roman" w:hAnsi="Times New Roman" w:cs="Times New Roman"/>
        </w:rPr>
        <w:t>Az ismeret átadásában alkalmazandó további sajátos módok, jellemzők: -</w:t>
      </w:r>
    </w:p>
    <w:p w:rsidR="00BC66D7" w:rsidRDefault="00BC66D7" w:rsidP="00980876">
      <w:pPr>
        <w:widowControl w:val="0"/>
        <w:numPr>
          <w:ilvl w:val="0"/>
          <w:numId w:val="765"/>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tantárgy szakmai tartalma (magyarul):</w:t>
      </w:r>
      <w:r>
        <w:rPr>
          <w:rFonts w:ascii="Times New Roman" w:eastAsia="Times New Roman" w:hAnsi="Times New Roman" w:cs="Times New Roman"/>
          <w:bCs/>
        </w:rPr>
        <w:t xml:space="preserve"> A hallgatókkal megismertetni a Magyar Honvédségben rendszeresített rádiókészülékekkel létesített rádióhíradás során alkalmazásra kerülő hírváltási rendszabályokat, a nemzetközi környezetben betartandó rádióforgalmazás szabályait, valamint az adatok fizikai, adminisztratív és személyi biztonság alapjait.</w:t>
      </w:r>
    </w:p>
    <w:p w:rsidR="00BC66D7" w:rsidRDefault="00BC66D7" w:rsidP="00BC66D7">
      <w:pPr>
        <w:widowControl w:val="0"/>
        <w:spacing w:before="120" w:after="120" w:line="240" w:lineRule="auto"/>
        <w:ind w:left="426"/>
        <w:jc w:val="both"/>
        <w:rPr>
          <w:rFonts w:ascii="Times New Roman" w:eastAsia="Times New Roman" w:hAnsi="Times New Roman" w:cs="Times New Roman"/>
          <w:bCs/>
          <w:lang w:val="en-GB"/>
        </w:rPr>
      </w:pPr>
      <w:r>
        <w:rPr>
          <w:rFonts w:ascii="Times New Roman" w:eastAsia="Times New Roman" w:hAnsi="Times New Roman" w:cs="Times New Roman"/>
          <w:b/>
          <w:bCs/>
        </w:rPr>
        <w:t xml:space="preserve">A tantárgy szakmai tartalma (angolul) (Course description): </w:t>
      </w:r>
      <w:r>
        <w:rPr>
          <w:rFonts w:ascii="Times New Roman" w:eastAsia="Times New Roman" w:hAnsi="Times New Roman" w:cs="Times New Roman"/>
          <w:bCs/>
          <w:lang w:val="en-US"/>
        </w:rPr>
        <w:t xml:space="preserve">To give information for the students about the </w:t>
      </w:r>
      <w:r>
        <w:rPr>
          <w:rFonts w:ascii="Times New Roman" w:eastAsia="Times New Roman" w:hAnsi="Times New Roman" w:cs="Times New Roman"/>
          <w:bCs/>
          <w:lang w:val="en-GB"/>
        </w:rPr>
        <w:t xml:space="preserve">rules of radio communications and </w:t>
      </w:r>
      <w:r>
        <w:rPr>
          <w:rFonts w:ascii="Times New Roman" w:eastAsia="Times New Roman" w:hAnsi="Times New Roman" w:cs="Times New Roman"/>
          <w:bCs/>
          <w:lang w:val="en-US"/>
        </w:rPr>
        <w:t xml:space="preserve">the military radios </w:t>
      </w:r>
      <w:r>
        <w:rPr>
          <w:rFonts w:ascii="Times New Roman" w:eastAsia="Times New Roman" w:hAnsi="Times New Roman" w:cs="Times New Roman"/>
          <w:bCs/>
          <w:lang w:val="en-GB"/>
        </w:rPr>
        <w:t>used by the Hungarian Defence Forces in Homeland and international environment, and to present the physical, administrative and personal security of information.</w:t>
      </w:r>
    </w:p>
    <w:p w:rsidR="00BC66D7" w:rsidRDefault="00BC66D7" w:rsidP="00980876">
      <w:pPr>
        <w:pStyle w:val="Listaszerbekezds"/>
        <w:widowControl w:val="0"/>
        <w:numPr>
          <w:ilvl w:val="0"/>
          <w:numId w:val="765"/>
        </w:numPr>
        <w:spacing w:before="120" w:after="120" w:line="240" w:lineRule="auto"/>
        <w:ind w:left="426" w:hanging="66"/>
        <w:jc w:val="both"/>
        <w:rPr>
          <w:rFonts w:ascii="Times New Roman" w:eastAsia="Times New Roman" w:hAnsi="Times New Roman" w:cs="Times New Roman"/>
          <w:bCs/>
        </w:rPr>
      </w:pPr>
      <w:r>
        <w:rPr>
          <w:rFonts w:ascii="Times New Roman" w:eastAsia="Times New Roman" w:hAnsi="Times New Roman" w:cs="Times New Roman"/>
          <w:b/>
          <w:bCs/>
        </w:rPr>
        <w:t xml:space="preserve">Elérendő kompetenciák (magyarul): </w:t>
      </w:r>
    </w:p>
    <w:p w:rsidR="00BC66D7" w:rsidRDefault="00BC66D7" w:rsidP="00BC66D7">
      <w:pPr>
        <w:widowControl w:val="0"/>
        <w:spacing w:before="120" w:after="120" w:line="240" w:lineRule="auto"/>
        <w:ind w:left="426"/>
        <w:jc w:val="both"/>
        <w:rPr>
          <w:rFonts w:ascii="Times New Roman" w:eastAsia="Times New Roman" w:hAnsi="Times New Roman" w:cs="Times New Roman"/>
          <w:bCs/>
        </w:rPr>
      </w:pPr>
      <w:r>
        <w:rPr>
          <w:rFonts w:ascii="Times New Roman" w:eastAsia="Times New Roman" w:hAnsi="Times New Roman" w:cs="Times New Roman"/>
          <w:b/>
          <w:bCs/>
        </w:rPr>
        <w:t>Tudása:</w:t>
      </w:r>
    </w:p>
    <w:p w:rsidR="00BC66D7" w:rsidRDefault="00BC66D7" w:rsidP="00980876">
      <w:pPr>
        <w:pStyle w:val="Listaszerbekezds"/>
        <w:widowControl w:val="0"/>
        <w:numPr>
          <w:ilvl w:val="0"/>
          <w:numId w:val="766"/>
        </w:numPr>
        <w:spacing w:before="120" w:after="120" w:line="240" w:lineRule="auto"/>
        <w:ind w:left="993" w:hanging="284"/>
        <w:jc w:val="both"/>
        <w:rPr>
          <w:rFonts w:ascii="Times New Roman" w:eastAsia="Times New Roman" w:hAnsi="Times New Roman" w:cs="Times New Roman"/>
          <w:bCs/>
        </w:rPr>
      </w:pPr>
      <w:r>
        <w:rPr>
          <w:rFonts w:ascii="Times New Roman" w:eastAsia="Times New Roman" w:hAnsi="Times New Roman" w:cs="Times New Roman"/>
          <w:bCs/>
        </w:rPr>
        <w:t>Rendelkezik alapvető vezetői alapismeretekkel, tisztában van a vezetői kompetenciákkal és a beosztottak eredményes irányításához szükséges alapvető ismeretekkel, valamint a beosztottakat motiváló képességekkel.</w:t>
      </w:r>
    </w:p>
    <w:p w:rsidR="00BC66D7" w:rsidRDefault="00BC66D7" w:rsidP="00980876">
      <w:pPr>
        <w:pStyle w:val="Listaszerbekezds"/>
        <w:widowControl w:val="0"/>
        <w:numPr>
          <w:ilvl w:val="0"/>
          <w:numId w:val="766"/>
        </w:numPr>
        <w:spacing w:before="120" w:after="120" w:line="240" w:lineRule="auto"/>
        <w:ind w:left="993" w:hanging="284"/>
        <w:jc w:val="both"/>
        <w:rPr>
          <w:rFonts w:ascii="Times New Roman" w:eastAsia="Times New Roman" w:hAnsi="Times New Roman" w:cs="Times New Roman"/>
          <w:color w:val="000000"/>
          <w:lang w:eastAsia="hu-HU"/>
        </w:rPr>
      </w:pPr>
      <w:r>
        <w:rPr>
          <w:rFonts w:ascii="Times New Roman" w:eastAsia="Times New Roman" w:hAnsi="Times New Roman" w:cs="Times New Roman"/>
          <w:bCs/>
        </w:rPr>
        <w:t>Ismeri</w:t>
      </w:r>
      <w:r>
        <w:rPr>
          <w:rFonts w:ascii="Times New Roman" w:eastAsia="Times New Roman" w:hAnsi="Times New Roman" w:cs="Times New Roman"/>
          <w:color w:val="000000"/>
          <w:lang w:eastAsia="hu-HU"/>
        </w:rPr>
        <w:t xml:space="preserve"> a szakasz, század (zászlóalj) békevezetési okmányait és azok vezetésének rendjét.</w:t>
      </w:r>
    </w:p>
    <w:p w:rsidR="00BC66D7" w:rsidRDefault="00BC66D7" w:rsidP="00980876">
      <w:pPr>
        <w:pStyle w:val="Listaszerbekezds"/>
        <w:widowControl w:val="0"/>
        <w:numPr>
          <w:ilvl w:val="0"/>
          <w:numId w:val="766"/>
        </w:numPr>
        <w:spacing w:before="120" w:after="120" w:line="240" w:lineRule="auto"/>
        <w:ind w:left="993" w:hanging="284"/>
        <w:jc w:val="both"/>
        <w:rPr>
          <w:rFonts w:ascii="Times New Roman" w:eastAsia="Times New Roman" w:hAnsi="Times New Roman" w:cs="Times New Roman"/>
          <w:color w:val="000000"/>
          <w:lang w:eastAsia="hu-HU"/>
        </w:rPr>
      </w:pPr>
      <w:r>
        <w:rPr>
          <w:rFonts w:ascii="Times New Roman" w:eastAsia="Times New Roman" w:hAnsi="Times New Roman" w:cs="Times New Roman"/>
          <w:color w:val="000000"/>
          <w:lang w:eastAsia="hu-HU"/>
        </w:rPr>
        <w:t>Ismeri a szakasz, század (zászlóalj) infokommunikációs eszközeit és azok alkalmazását.</w:t>
      </w:r>
    </w:p>
    <w:p w:rsidR="00BC66D7" w:rsidRDefault="00BC66D7" w:rsidP="00BC66D7">
      <w:pPr>
        <w:widowControl w:val="0"/>
        <w:spacing w:before="120" w:after="120" w:line="240" w:lineRule="auto"/>
        <w:ind w:left="426"/>
        <w:jc w:val="both"/>
        <w:rPr>
          <w:rFonts w:ascii="Times New Roman" w:eastAsia="Times New Roman" w:hAnsi="Times New Roman" w:cs="Times New Roman"/>
          <w:bCs/>
        </w:rPr>
      </w:pPr>
      <w:r>
        <w:rPr>
          <w:rFonts w:ascii="Times New Roman" w:eastAsia="Times New Roman" w:hAnsi="Times New Roman" w:cs="Times New Roman"/>
          <w:b/>
          <w:bCs/>
        </w:rPr>
        <w:t>Képességei:</w:t>
      </w:r>
    </w:p>
    <w:p w:rsidR="00BC66D7" w:rsidRDefault="00BC66D7" w:rsidP="00980876">
      <w:pPr>
        <w:pStyle w:val="Listaszerbekezds"/>
        <w:widowControl w:val="0"/>
        <w:numPr>
          <w:ilvl w:val="0"/>
          <w:numId w:val="766"/>
        </w:numPr>
        <w:spacing w:before="120" w:after="120" w:line="240" w:lineRule="auto"/>
        <w:ind w:left="993" w:hanging="284"/>
        <w:jc w:val="both"/>
        <w:rPr>
          <w:rFonts w:ascii="Times New Roman" w:eastAsia="Times New Roman" w:hAnsi="Times New Roman" w:cs="Times New Roman"/>
          <w:bCs/>
        </w:rPr>
      </w:pPr>
      <w:r>
        <w:rPr>
          <w:rFonts w:ascii="Times New Roman" w:eastAsia="Times New Roman" w:hAnsi="Times New Roman" w:cs="Times New Roman"/>
          <w:bCs/>
        </w:rPr>
        <w:t>Képes magas szinten alkalmazni a szakterminológiát magyarul és angolul is.</w:t>
      </w:r>
    </w:p>
    <w:p w:rsidR="00BC66D7" w:rsidRDefault="00BC66D7" w:rsidP="00980876">
      <w:pPr>
        <w:pStyle w:val="Listaszerbekezds"/>
        <w:widowControl w:val="0"/>
        <w:numPr>
          <w:ilvl w:val="0"/>
          <w:numId w:val="766"/>
        </w:numPr>
        <w:spacing w:before="120" w:after="120" w:line="240" w:lineRule="auto"/>
        <w:ind w:left="993" w:hanging="284"/>
        <w:jc w:val="both"/>
        <w:rPr>
          <w:rFonts w:ascii="Times New Roman" w:eastAsia="Times New Roman" w:hAnsi="Times New Roman" w:cs="Times New Roman"/>
          <w:bCs/>
        </w:rPr>
      </w:pPr>
      <w:r>
        <w:rPr>
          <w:rFonts w:ascii="Times New Roman" w:eastAsia="Times New Roman" w:hAnsi="Times New Roman" w:cs="Times New Roman"/>
          <w:bCs/>
        </w:rPr>
        <w:t>Meghatározó módon rendelkezik a katonai alegység (szakasz) vezetésére alkalmas szakmai tudással.</w:t>
      </w:r>
    </w:p>
    <w:p w:rsidR="00BC66D7" w:rsidRDefault="00BC66D7" w:rsidP="00980876">
      <w:pPr>
        <w:pStyle w:val="Listaszerbekezds"/>
        <w:widowControl w:val="0"/>
        <w:numPr>
          <w:ilvl w:val="0"/>
          <w:numId w:val="766"/>
        </w:numPr>
        <w:spacing w:before="120" w:after="120" w:line="240" w:lineRule="auto"/>
        <w:ind w:left="993" w:hanging="284"/>
        <w:jc w:val="both"/>
        <w:rPr>
          <w:rFonts w:ascii="Times New Roman" w:eastAsia="Times New Roman" w:hAnsi="Times New Roman" w:cs="Times New Roman"/>
          <w:bCs/>
        </w:rPr>
      </w:pPr>
      <w:r>
        <w:rPr>
          <w:rFonts w:ascii="Times New Roman" w:eastAsia="Times New Roman" w:hAnsi="Times New Roman" w:cs="Times New Roman"/>
          <w:bCs/>
        </w:rPr>
        <w:t>Képes az együttműködésben folyó munkavégzésre.</w:t>
      </w:r>
    </w:p>
    <w:p w:rsidR="00BC66D7" w:rsidRDefault="00BC66D7" w:rsidP="00980876">
      <w:pPr>
        <w:pStyle w:val="Listaszerbekezds"/>
        <w:widowControl w:val="0"/>
        <w:numPr>
          <w:ilvl w:val="0"/>
          <w:numId w:val="766"/>
        </w:numPr>
        <w:spacing w:before="120" w:after="120" w:line="240" w:lineRule="auto"/>
        <w:ind w:left="993" w:hanging="284"/>
        <w:jc w:val="both"/>
        <w:rPr>
          <w:rFonts w:ascii="Times New Roman" w:eastAsia="Times New Roman" w:hAnsi="Times New Roman" w:cs="Times New Roman"/>
          <w:bCs/>
        </w:rPr>
      </w:pPr>
      <w:r>
        <w:rPr>
          <w:rFonts w:ascii="Times New Roman" w:eastAsia="Times New Roman" w:hAnsi="Times New Roman" w:cs="Times New Roman"/>
          <w:bCs/>
        </w:rPr>
        <w:t>Képes az angol nyelvű rádióforgalmazásra.</w:t>
      </w:r>
    </w:p>
    <w:p w:rsidR="00BC66D7" w:rsidRDefault="00BC66D7" w:rsidP="00BC66D7">
      <w:pPr>
        <w:widowControl w:val="0"/>
        <w:spacing w:before="120" w:after="120" w:line="240" w:lineRule="auto"/>
        <w:ind w:left="426"/>
        <w:jc w:val="both"/>
        <w:rPr>
          <w:rFonts w:ascii="Times New Roman" w:eastAsia="Times New Roman" w:hAnsi="Times New Roman" w:cs="Times New Roman"/>
          <w:b/>
          <w:bCs/>
        </w:rPr>
      </w:pPr>
    </w:p>
    <w:p w:rsidR="00BC66D7" w:rsidRDefault="00BC66D7" w:rsidP="00BC66D7">
      <w:pPr>
        <w:widowControl w:val="0"/>
        <w:spacing w:before="120" w:after="120" w:line="240" w:lineRule="auto"/>
        <w:ind w:left="426"/>
        <w:jc w:val="both"/>
        <w:rPr>
          <w:rFonts w:ascii="Times New Roman" w:eastAsia="Times New Roman" w:hAnsi="Times New Roman" w:cs="Times New Roman"/>
          <w:bCs/>
          <w:highlight w:val="lightGray"/>
        </w:rPr>
      </w:pPr>
      <w:r>
        <w:rPr>
          <w:rFonts w:ascii="Times New Roman" w:eastAsia="Times New Roman" w:hAnsi="Times New Roman" w:cs="Times New Roman"/>
          <w:b/>
          <w:bCs/>
        </w:rPr>
        <w:lastRenderedPageBreak/>
        <w:t>Attitűdje:</w:t>
      </w:r>
      <w:r>
        <w:rPr>
          <w:rFonts w:ascii="Times New Roman" w:eastAsia="Times New Roman" w:hAnsi="Times New Roman" w:cs="Times New Roman"/>
          <w:bCs/>
        </w:rPr>
        <w:t xml:space="preserve"> </w:t>
      </w:r>
    </w:p>
    <w:p w:rsidR="00BC66D7" w:rsidRDefault="00BC66D7" w:rsidP="00980876">
      <w:pPr>
        <w:pStyle w:val="Listaszerbekezds"/>
        <w:widowControl w:val="0"/>
        <w:numPr>
          <w:ilvl w:val="0"/>
          <w:numId w:val="766"/>
        </w:numPr>
        <w:spacing w:before="120" w:after="120" w:line="240" w:lineRule="auto"/>
        <w:ind w:left="993" w:hanging="284"/>
        <w:jc w:val="both"/>
        <w:rPr>
          <w:rFonts w:ascii="Times New Roman" w:eastAsia="Times New Roman" w:hAnsi="Times New Roman" w:cs="Times New Roman"/>
          <w:bCs/>
        </w:rPr>
      </w:pPr>
      <w:r>
        <w:rPr>
          <w:rFonts w:ascii="Times New Roman" w:eastAsia="Times New Roman" w:hAnsi="Times New Roman" w:cs="Times New Roman"/>
          <w:bCs/>
        </w:rPr>
        <w:t>Nyitott ismereteinek gyarapítása iránt.</w:t>
      </w:r>
    </w:p>
    <w:p w:rsidR="00BC66D7" w:rsidRDefault="00BC66D7" w:rsidP="00980876">
      <w:pPr>
        <w:pStyle w:val="Listaszerbekezds"/>
        <w:widowControl w:val="0"/>
        <w:numPr>
          <w:ilvl w:val="0"/>
          <w:numId w:val="766"/>
        </w:numPr>
        <w:spacing w:before="120" w:after="120" w:line="240" w:lineRule="auto"/>
        <w:ind w:left="993" w:hanging="284"/>
        <w:jc w:val="both"/>
        <w:rPr>
          <w:rFonts w:ascii="Times New Roman" w:eastAsia="Times New Roman" w:hAnsi="Times New Roman" w:cs="Times New Roman"/>
          <w:bCs/>
        </w:rPr>
      </w:pPr>
      <w:r>
        <w:rPr>
          <w:rFonts w:ascii="Times New Roman" w:eastAsia="Times New Roman" w:hAnsi="Times New Roman" w:cs="Times New Roman"/>
          <w:bCs/>
        </w:rPr>
        <w:t>Nyitott szakterülete új eredményei, innovációi iránt, törekszik azok megismerésére, megértésére és alkalmazására, elkötelezett önmaga folyamatos képzésére.</w:t>
      </w:r>
    </w:p>
    <w:p w:rsidR="00BC66D7" w:rsidRDefault="00BC66D7" w:rsidP="00BC66D7">
      <w:pPr>
        <w:widowControl w:val="0"/>
        <w:spacing w:before="120" w:after="120" w:line="240" w:lineRule="auto"/>
        <w:ind w:left="426"/>
        <w:jc w:val="both"/>
        <w:rPr>
          <w:rFonts w:ascii="Times New Roman" w:eastAsia="Times New Roman" w:hAnsi="Times New Roman" w:cs="Times New Roman"/>
          <w:bCs/>
        </w:rPr>
      </w:pPr>
      <w:r>
        <w:rPr>
          <w:rFonts w:ascii="Times New Roman" w:eastAsia="Times New Roman" w:hAnsi="Times New Roman" w:cs="Times New Roman"/>
          <w:b/>
          <w:bCs/>
        </w:rPr>
        <w:t>Autonómiája és felelőssége:</w:t>
      </w:r>
      <w:r>
        <w:rPr>
          <w:rFonts w:ascii="Times New Roman" w:eastAsia="Times New Roman" w:hAnsi="Times New Roman" w:cs="Times New Roman"/>
          <w:bCs/>
        </w:rPr>
        <w:t xml:space="preserve"> </w:t>
      </w:r>
    </w:p>
    <w:p w:rsidR="00BC66D7" w:rsidRDefault="00BC66D7" w:rsidP="00980876">
      <w:pPr>
        <w:pStyle w:val="Listaszerbekezds"/>
        <w:widowControl w:val="0"/>
        <w:numPr>
          <w:ilvl w:val="0"/>
          <w:numId w:val="766"/>
        </w:numPr>
        <w:spacing w:before="120" w:after="120" w:line="240" w:lineRule="auto"/>
        <w:ind w:left="993" w:hanging="284"/>
        <w:jc w:val="both"/>
        <w:rPr>
          <w:rFonts w:ascii="Times New Roman" w:eastAsia="Times New Roman" w:hAnsi="Times New Roman" w:cs="Times New Roman"/>
          <w:bCs/>
        </w:rPr>
      </w:pPr>
      <w:r>
        <w:rPr>
          <w:rFonts w:ascii="Times New Roman" w:eastAsia="Times New Roman" w:hAnsi="Times New Roman" w:cs="Times New Roman"/>
          <w:bCs/>
        </w:rPr>
        <w:t>A szakterületén megjelenő folyamatokban képes önállóan döntéseket hozni, azokat felelősséggel, a jogszabályi keretek figyelembevételével végrehajtani.</w:t>
      </w:r>
    </w:p>
    <w:p w:rsidR="00BC66D7" w:rsidRDefault="00BC66D7" w:rsidP="00980876">
      <w:pPr>
        <w:pStyle w:val="Listaszerbekezds"/>
        <w:widowControl w:val="0"/>
        <w:numPr>
          <w:ilvl w:val="0"/>
          <w:numId w:val="766"/>
        </w:numPr>
        <w:spacing w:before="120" w:after="120" w:line="240" w:lineRule="auto"/>
        <w:ind w:left="993" w:hanging="284"/>
        <w:jc w:val="both"/>
        <w:rPr>
          <w:rFonts w:ascii="Times New Roman" w:eastAsia="Times New Roman" w:hAnsi="Times New Roman" w:cs="Times New Roman"/>
          <w:bCs/>
        </w:rPr>
      </w:pPr>
      <w:r>
        <w:rPr>
          <w:rFonts w:ascii="Times New Roman" w:eastAsia="Times New Roman" w:hAnsi="Times New Roman" w:cs="Times New Roman"/>
          <w:bCs/>
        </w:rPr>
        <w:t>Tisztában van döntéseinek, tevékenységének az alegységének egészére gyakorolt hatásaival, következményeivel.</w:t>
      </w:r>
    </w:p>
    <w:p w:rsidR="00BC66D7" w:rsidRDefault="00BC66D7" w:rsidP="00BC66D7">
      <w:pPr>
        <w:widowControl w:val="0"/>
        <w:spacing w:before="120" w:after="120" w:line="240" w:lineRule="auto"/>
        <w:ind w:left="426"/>
        <w:jc w:val="both"/>
        <w:rPr>
          <w:rFonts w:ascii="Times New Roman" w:eastAsia="Times New Roman" w:hAnsi="Times New Roman" w:cs="Times New Roman"/>
          <w:b/>
          <w:bCs/>
          <w:lang w:val="en-US"/>
        </w:rPr>
      </w:pPr>
      <w:r>
        <w:rPr>
          <w:rFonts w:ascii="Times New Roman" w:eastAsia="Times New Roman" w:hAnsi="Times New Roman" w:cs="Times New Roman"/>
          <w:b/>
          <w:bCs/>
        </w:rPr>
        <w:t>Elérendő kompetenciák (angolul) (</w:t>
      </w:r>
      <w:r>
        <w:rPr>
          <w:rFonts w:ascii="Times New Roman" w:eastAsia="Times New Roman" w:hAnsi="Times New Roman" w:cs="Times New Roman"/>
          <w:b/>
          <w:bCs/>
          <w:lang w:val="en-US"/>
        </w:rPr>
        <w:t xml:space="preserve">Competences – English): </w:t>
      </w:r>
    </w:p>
    <w:p w:rsidR="00BC66D7" w:rsidRDefault="00BC66D7" w:rsidP="00BC66D7">
      <w:pPr>
        <w:widowControl w:val="0"/>
        <w:spacing w:before="120" w:after="120" w:line="240" w:lineRule="auto"/>
        <w:ind w:left="426"/>
        <w:jc w:val="both"/>
        <w:rPr>
          <w:rFonts w:ascii="Times New Roman" w:eastAsia="Times New Roman" w:hAnsi="Times New Roman" w:cs="Times New Roman"/>
          <w:lang w:val="en-GB"/>
        </w:rPr>
      </w:pPr>
      <w:r>
        <w:rPr>
          <w:rFonts w:ascii="Times New Roman" w:eastAsia="Times New Roman" w:hAnsi="Times New Roman" w:cs="Times New Roman"/>
          <w:b/>
          <w:lang w:val="en-GB"/>
        </w:rPr>
        <w:t>Knowledge</w:t>
      </w:r>
      <w:r>
        <w:rPr>
          <w:rFonts w:ascii="Times New Roman" w:eastAsia="Times New Roman" w:hAnsi="Times New Roman" w:cs="Times New Roman"/>
          <w:lang w:val="en-GB"/>
        </w:rPr>
        <w:t>:</w:t>
      </w:r>
    </w:p>
    <w:p w:rsidR="00BC66D7" w:rsidRDefault="00BC66D7" w:rsidP="00980876">
      <w:pPr>
        <w:pStyle w:val="Listaszerbekezds"/>
        <w:widowControl w:val="0"/>
        <w:numPr>
          <w:ilvl w:val="0"/>
          <w:numId w:val="766"/>
        </w:numPr>
        <w:spacing w:before="120" w:after="120" w:line="240" w:lineRule="auto"/>
        <w:ind w:left="993" w:hanging="284"/>
        <w:jc w:val="both"/>
        <w:rPr>
          <w:rFonts w:ascii="Times New Roman" w:eastAsia="Times New Roman" w:hAnsi="Times New Roman" w:cs="Times New Roman"/>
          <w:bCs/>
          <w:lang w:val="en-GB"/>
        </w:rPr>
      </w:pPr>
      <w:r>
        <w:rPr>
          <w:rFonts w:ascii="Times New Roman" w:eastAsia="Times New Roman" w:hAnsi="Times New Roman" w:cs="Times New Roman"/>
          <w:bCs/>
          <w:lang w:val="en-GB"/>
        </w:rPr>
        <w:t>Deal with basic leadership skills, has competences of leadership, fundamental knowledge for leading the underlings and motivational ability</w:t>
      </w:r>
    </w:p>
    <w:p w:rsidR="00BC66D7" w:rsidRDefault="00BC66D7" w:rsidP="00980876">
      <w:pPr>
        <w:pStyle w:val="Listaszerbekezds"/>
        <w:widowControl w:val="0"/>
        <w:numPr>
          <w:ilvl w:val="0"/>
          <w:numId w:val="766"/>
        </w:numPr>
        <w:spacing w:before="120" w:after="120" w:line="240" w:lineRule="auto"/>
        <w:ind w:left="993" w:hanging="284"/>
        <w:jc w:val="both"/>
        <w:rPr>
          <w:rStyle w:val="tlid-translation"/>
        </w:rPr>
      </w:pPr>
      <w:r>
        <w:rPr>
          <w:rStyle w:val="tlid-translation"/>
          <w:rFonts w:ascii="Times New Roman" w:hAnsi="Times New Roman" w:cs="Times New Roman"/>
          <w:lang w:val="en"/>
        </w:rPr>
        <w:t>Knows the command documents (in peacetime) of the platoon, the company and the battalion.</w:t>
      </w:r>
    </w:p>
    <w:p w:rsidR="00BC66D7" w:rsidRDefault="00BC66D7" w:rsidP="00980876">
      <w:pPr>
        <w:pStyle w:val="Listaszerbekezds"/>
        <w:widowControl w:val="0"/>
        <w:numPr>
          <w:ilvl w:val="0"/>
          <w:numId w:val="766"/>
        </w:numPr>
        <w:spacing w:before="120" w:after="120" w:line="240" w:lineRule="auto"/>
        <w:ind w:left="993" w:hanging="284"/>
        <w:jc w:val="both"/>
        <w:rPr>
          <w:rStyle w:val="tlid-translation"/>
          <w:rFonts w:ascii="Times New Roman" w:eastAsia="Times New Roman" w:hAnsi="Times New Roman" w:cs="Times New Roman"/>
          <w:bCs/>
        </w:rPr>
      </w:pPr>
      <w:r>
        <w:rPr>
          <w:rStyle w:val="tlid-translation"/>
          <w:rFonts w:ascii="Times New Roman" w:hAnsi="Times New Roman" w:cs="Times New Roman"/>
          <w:lang w:val="en"/>
        </w:rPr>
        <w:t>Knows the infocommunication equipment of the platoon, the company and the battalion, knows their application.</w:t>
      </w:r>
    </w:p>
    <w:p w:rsidR="00BC66D7" w:rsidRDefault="00BC66D7" w:rsidP="00BC66D7">
      <w:pPr>
        <w:widowControl w:val="0"/>
        <w:spacing w:before="120" w:after="120" w:line="240" w:lineRule="auto"/>
        <w:ind w:left="426"/>
        <w:jc w:val="both"/>
        <w:rPr>
          <w:lang w:val="en-GB"/>
        </w:rPr>
      </w:pPr>
      <w:r>
        <w:rPr>
          <w:rFonts w:ascii="Times New Roman" w:eastAsia="Times New Roman" w:hAnsi="Times New Roman" w:cs="Times New Roman"/>
          <w:b/>
          <w:lang w:val="en-GB"/>
        </w:rPr>
        <w:t>Capabilities</w:t>
      </w:r>
      <w:r>
        <w:rPr>
          <w:rFonts w:ascii="Times New Roman" w:eastAsia="Times New Roman" w:hAnsi="Times New Roman" w:cs="Times New Roman"/>
          <w:lang w:val="en-GB"/>
        </w:rPr>
        <w:t>:</w:t>
      </w:r>
    </w:p>
    <w:p w:rsidR="00BC66D7" w:rsidRDefault="00BC66D7" w:rsidP="00980876">
      <w:pPr>
        <w:pStyle w:val="Listaszerbekezds"/>
        <w:widowControl w:val="0"/>
        <w:numPr>
          <w:ilvl w:val="0"/>
          <w:numId w:val="766"/>
        </w:numPr>
        <w:spacing w:before="120" w:after="120" w:line="240" w:lineRule="auto"/>
        <w:ind w:left="993" w:hanging="284"/>
        <w:jc w:val="both"/>
        <w:rPr>
          <w:rFonts w:ascii="Times New Roman" w:eastAsia="Times New Roman" w:hAnsi="Times New Roman" w:cs="Times New Roman"/>
          <w:bCs/>
          <w:lang w:val="en-GB"/>
        </w:rPr>
      </w:pPr>
      <w:r>
        <w:rPr>
          <w:rFonts w:ascii="Times New Roman" w:eastAsia="Times New Roman" w:hAnsi="Times New Roman" w:cs="Times New Roman"/>
          <w:bCs/>
          <w:lang w:val="en-GB"/>
        </w:rPr>
        <w:t>Can apply in high-level the terminology in Hungarian and English.</w:t>
      </w:r>
    </w:p>
    <w:p w:rsidR="00BC66D7" w:rsidRDefault="00BC66D7" w:rsidP="00980876">
      <w:pPr>
        <w:pStyle w:val="Listaszerbekezds"/>
        <w:widowControl w:val="0"/>
        <w:numPr>
          <w:ilvl w:val="0"/>
          <w:numId w:val="766"/>
        </w:numPr>
        <w:spacing w:before="120" w:after="120" w:line="240" w:lineRule="auto"/>
        <w:ind w:left="993" w:hanging="284"/>
        <w:jc w:val="both"/>
        <w:rPr>
          <w:rFonts w:ascii="Times New Roman" w:eastAsia="Times New Roman" w:hAnsi="Times New Roman" w:cs="Times New Roman"/>
          <w:bCs/>
          <w:lang w:val="en-US"/>
        </w:rPr>
      </w:pPr>
      <w:r>
        <w:rPr>
          <w:rFonts w:ascii="Times New Roman" w:eastAsia="Times New Roman" w:hAnsi="Times New Roman" w:cs="Times New Roman"/>
          <w:bCs/>
          <w:lang w:val="en-US"/>
        </w:rPr>
        <w:t>Have the professional knowledge for leading (commanding) a military unit.</w:t>
      </w:r>
    </w:p>
    <w:p w:rsidR="00BC66D7" w:rsidRDefault="00BC66D7" w:rsidP="00980876">
      <w:pPr>
        <w:pStyle w:val="Listaszerbekezds"/>
        <w:widowControl w:val="0"/>
        <w:numPr>
          <w:ilvl w:val="0"/>
          <w:numId w:val="766"/>
        </w:numPr>
        <w:spacing w:before="120" w:after="120" w:line="240" w:lineRule="auto"/>
        <w:ind w:left="993" w:hanging="284"/>
        <w:jc w:val="both"/>
        <w:rPr>
          <w:rFonts w:ascii="Times New Roman" w:eastAsia="Times New Roman" w:hAnsi="Times New Roman" w:cs="Times New Roman"/>
          <w:bCs/>
          <w:lang w:val="en-GB"/>
        </w:rPr>
      </w:pPr>
      <w:r>
        <w:rPr>
          <w:rFonts w:ascii="Times New Roman" w:eastAsia="Times New Roman" w:hAnsi="Times New Roman" w:cs="Times New Roman"/>
          <w:bCs/>
          <w:lang w:val="en-GB"/>
        </w:rPr>
        <w:t>Able to work collaboratively (teamwork).</w:t>
      </w:r>
    </w:p>
    <w:p w:rsidR="00BC66D7" w:rsidRDefault="00BC66D7" w:rsidP="00980876">
      <w:pPr>
        <w:pStyle w:val="Listaszerbekezds"/>
        <w:widowControl w:val="0"/>
        <w:numPr>
          <w:ilvl w:val="0"/>
          <w:numId w:val="766"/>
        </w:numPr>
        <w:spacing w:before="120" w:after="120" w:line="240" w:lineRule="auto"/>
        <w:ind w:left="993" w:hanging="284"/>
        <w:jc w:val="both"/>
        <w:rPr>
          <w:rFonts w:ascii="Times New Roman" w:eastAsia="Times New Roman" w:hAnsi="Times New Roman" w:cs="Times New Roman"/>
          <w:bCs/>
          <w:lang w:val="en-GB"/>
        </w:rPr>
      </w:pPr>
      <w:r>
        <w:rPr>
          <w:rFonts w:ascii="Times New Roman" w:eastAsia="Times New Roman" w:hAnsi="Times New Roman" w:cs="Times New Roman"/>
          <w:bCs/>
          <w:lang w:val="en-GB"/>
        </w:rPr>
        <w:t>Able to radio communication in English</w:t>
      </w:r>
    </w:p>
    <w:p w:rsidR="00BC66D7" w:rsidRDefault="00BC66D7" w:rsidP="00BC66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bCs/>
          <w:highlight w:val="lightGray"/>
        </w:rPr>
      </w:pPr>
      <w:r>
        <w:rPr>
          <w:rFonts w:ascii="Times New Roman" w:eastAsia="Times New Roman" w:hAnsi="Times New Roman" w:cs="Times New Roman"/>
          <w:b/>
          <w:lang w:val="en-GB"/>
        </w:rPr>
        <w:t>Attitude:</w:t>
      </w:r>
      <w:r>
        <w:rPr>
          <w:rFonts w:ascii="Times New Roman" w:eastAsia="Times New Roman" w:hAnsi="Times New Roman" w:cs="Times New Roman"/>
          <w:lang w:val="en-GB"/>
        </w:rPr>
        <w:t xml:space="preserve"> </w:t>
      </w:r>
    </w:p>
    <w:p w:rsidR="00BC66D7" w:rsidRDefault="00BC66D7" w:rsidP="00980876">
      <w:pPr>
        <w:pStyle w:val="Listaszerbekezds"/>
        <w:widowControl w:val="0"/>
        <w:numPr>
          <w:ilvl w:val="0"/>
          <w:numId w:val="766"/>
        </w:numPr>
        <w:spacing w:before="120" w:after="120" w:line="240" w:lineRule="auto"/>
        <w:ind w:left="993" w:hanging="284"/>
        <w:jc w:val="both"/>
        <w:rPr>
          <w:rFonts w:ascii="Times New Roman" w:eastAsia="Times New Roman" w:hAnsi="Times New Roman" w:cs="Times New Roman"/>
          <w:bCs/>
          <w:lang w:val="en-GB"/>
        </w:rPr>
      </w:pPr>
      <w:r>
        <w:rPr>
          <w:rFonts w:ascii="Times New Roman" w:eastAsia="Times New Roman" w:hAnsi="Times New Roman" w:cs="Times New Roman"/>
          <w:bCs/>
          <w:lang w:val="en-GB"/>
        </w:rPr>
        <w:t>Open to increase his knowledge</w:t>
      </w:r>
    </w:p>
    <w:p w:rsidR="00BC66D7" w:rsidRDefault="00BC66D7" w:rsidP="00980876">
      <w:pPr>
        <w:pStyle w:val="Listaszerbekezds"/>
        <w:widowControl w:val="0"/>
        <w:numPr>
          <w:ilvl w:val="0"/>
          <w:numId w:val="766"/>
        </w:numPr>
        <w:spacing w:before="120" w:after="120" w:line="240" w:lineRule="auto"/>
        <w:ind w:left="993" w:hanging="284"/>
        <w:jc w:val="both"/>
        <w:rPr>
          <w:rFonts w:ascii="Times New Roman" w:eastAsia="Times New Roman" w:hAnsi="Times New Roman" w:cs="Times New Roman"/>
          <w:bCs/>
          <w:lang w:val="en-GB"/>
        </w:rPr>
      </w:pPr>
      <w:r>
        <w:rPr>
          <w:rFonts w:ascii="Times New Roman" w:eastAsia="Times New Roman" w:hAnsi="Times New Roman" w:cs="Times New Roman"/>
          <w:bCs/>
          <w:lang w:val="en-GB"/>
        </w:rPr>
        <w:t>Aim to get acquainted with the innovation, the new results and try for self-education</w:t>
      </w:r>
    </w:p>
    <w:p w:rsidR="00BC66D7" w:rsidRDefault="00BC66D7" w:rsidP="00BC66D7">
      <w:pPr>
        <w:widowControl w:val="0"/>
        <w:spacing w:before="120" w:after="120" w:line="240" w:lineRule="auto"/>
        <w:ind w:left="426"/>
        <w:jc w:val="both"/>
        <w:rPr>
          <w:rFonts w:ascii="Times New Roman" w:eastAsia="Times New Roman" w:hAnsi="Times New Roman" w:cs="Times New Roman"/>
          <w:b/>
          <w:lang w:val="en-GB"/>
        </w:rPr>
      </w:pPr>
      <w:r>
        <w:rPr>
          <w:rFonts w:ascii="Times New Roman" w:eastAsia="Times New Roman" w:hAnsi="Times New Roman" w:cs="Times New Roman"/>
          <w:b/>
          <w:lang w:val="en-GB"/>
        </w:rPr>
        <w:t xml:space="preserve">Autonomy and responsibility: </w:t>
      </w:r>
    </w:p>
    <w:p w:rsidR="00BC66D7" w:rsidRDefault="00BC66D7" w:rsidP="00980876">
      <w:pPr>
        <w:pStyle w:val="Listaszerbekezds"/>
        <w:widowControl w:val="0"/>
        <w:numPr>
          <w:ilvl w:val="0"/>
          <w:numId w:val="766"/>
        </w:numPr>
        <w:spacing w:before="120" w:after="120" w:line="240" w:lineRule="auto"/>
        <w:ind w:left="993" w:hanging="284"/>
        <w:jc w:val="both"/>
        <w:rPr>
          <w:rFonts w:ascii="Times New Roman" w:eastAsia="Times New Roman" w:hAnsi="Times New Roman" w:cs="Times New Roman"/>
          <w:bCs/>
          <w:lang w:val="en-GB"/>
        </w:rPr>
      </w:pPr>
      <w:r>
        <w:rPr>
          <w:rFonts w:ascii="Times New Roman" w:eastAsia="Times New Roman" w:hAnsi="Times New Roman" w:cs="Times New Roman"/>
          <w:bCs/>
          <w:lang w:val="en-GB"/>
        </w:rPr>
        <w:t>Able to make decisions independently in the processes appearing in his specialty, and to implement them with responsibility.</w:t>
      </w:r>
    </w:p>
    <w:p w:rsidR="00BC66D7" w:rsidRDefault="00BC66D7" w:rsidP="00980876">
      <w:pPr>
        <w:pStyle w:val="Listaszerbekezds"/>
        <w:widowControl w:val="0"/>
        <w:numPr>
          <w:ilvl w:val="0"/>
          <w:numId w:val="766"/>
        </w:numPr>
        <w:spacing w:before="120" w:after="120" w:line="240" w:lineRule="auto"/>
        <w:ind w:left="993" w:hanging="284"/>
        <w:jc w:val="both"/>
        <w:rPr>
          <w:rFonts w:ascii="Times New Roman" w:eastAsia="Times New Roman" w:hAnsi="Times New Roman" w:cs="Times New Roman"/>
          <w:bCs/>
          <w:lang w:val="en-GB"/>
        </w:rPr>
      </w:pPr>
      <w:r>
        <w:rPr>
          <w:rFonts w:ascii="Times New Roman" w:eastAsia="Times New Roman" w:hAnsi="Times New Roman" w:cs="Times New Roman"/>
          <w:bCs/>
          <w:lang w:val="en-GB"/>
        </w:rPr>
        <w:t>Is aware of the effects and consequences of his decisions and activities on the whole subunit.</w:t>
      </w:r>
    </w:p>
    <w:p w:rsidR="00BC66D7" w:rsidRDefault="00BC66D7" w:rsidP="00980876">
      <w:pPr>
        <w:widowControl w:val="0"/>
        <w:numPr>
          <w:ilvl w:val="0"/>
          <w:numId w:val="765"/>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Előtanulmányi követelmények: </w:t>
      </w:r>
      <w:r>
        <w:rPr>
          <w:rFonts w:ascii="Times New Roman" w:eastAsia="Times New Roman" w:hAnsi="Times New Roman" w:cs="Times New Roman"/>
          <w:bCs/>
        </w:rPr>
        <w:t>nincs</w:t>
      </w:r>
    </w:p>
    <w:p w:rsidR="00BC66D7" w:rsidRDefault="00BC66D7" w:rsidP="00980876">
      <w:pPr>
        <w:widowControl w:val="0"/>
        <w:numPr>
          <w:ilvl w:val="0"/>
          <w:numId w:val="765"/>
        </w:numPr>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A tantárgy tananyagának leírása, tematika. </w:t>
      </w:r>
      <w:r>
        <w:rPr>
          <w:rFonts w:ascii="Times New Roman" w:eastAsia="Times New Roman" w:hAnsi="Times New Roman" w:cs="Times New Roman"/>
          <w:b/>
          <w:bCs/>
          <w:lang w:val="en-GB"/>
        </w:rPr>
        <w:t>Description of the subject, curriculum</w:t>
      </w:r>
      <w:r>
        <w:rPr>
          <w:rFonts w:ascii="Times New Roman" w:eastAsia="Times New Roman" w:hAnsi="Times New Roman" w:cs="Times New Roman"/>
          <w:b/>
          <w:bCs/>
        </w:rPr>
        <w:t xml:space="preserve"> (magyarul, angolul - English):</w:t>
      </w:r>
    </w:p>
    <w:p w:rsidR="00BC66D7" w:rsidRDefault="00BC66D7" w:rsidP="00980876">
      <w:pPr>
        <w:widowControl w:val="0"/>
        <w:numPr>
          <w:ilvl w:val="1"/>
          <w:numId w:val="765"/>
        </w:numPr>
        <w:spacing w:before="120" w:after="120" w:line="240" w:lineRule="auto"/>
        <w:ind w:left="993" w:hanging="567"/>
        <w:jc w:val="both"/>
        <w:rPr>
          <w:rFonts w:ascii="Times New Roman" w:eastAsia="Times New Roman" w:hAnsi="Times New Roman" w:cs="Times New Roman"/>
          <w:lang w:val="en-GB"/>
        </w:rPr>
      </w:pPr>
      <w:r>
        <w:rPr>
          <w:rFonts w:ascii="Times New Roman" w:eastAsia="Times New Roman" w:hAnsi="Times New Roman" w:cs="Times New Roman"/>
        </w:rPr>
        <w:t xml:space="preserve">A rádióhíradás alapfogalmai, technikai, technológiai alapjai </w:t>
      </w:r>
      <w:r>
        <w:rPr>
          <w:rFonts w:ascii="Times New Roman" w:eastAsia="Times New Roman" w:hAnsi="Times New Roman" w:cs="Times New Roman"/>
          <w:i/>
          <w:lang w:val="en-GB"/>
        </w:rPr>
        <w:t>(Basic concepts of radio communication, technical and technological basics)</w:t>
      </w:r>
    </w:p>
    <w:p w:rsidR="00BC66D7" w:rsidRDefault="00BC66D7" w:rsidP="00980876">
      <w:pPr>
        <w:widowControl w:val="0"/>
        <w:numPr>
          <w:ilvl w:val="1"/>
          <w:numId w:val="765"/>
        </w:numPr>
        <w:spacing w:before="120" w:after="120" w:line="240" w:lineRule="auto"/>
        <w:ind w:left="993" w:hanging="567"/>
        <w:jc w:val="both"/>
        <w:rPr>
          <w:rFonts w:ascii="Times New Roman" w:eastAsia="Times New Roman" w:hAnsi="Times New Roman" w:cs="Times New Roman"/>
        </w:rPr>
      </w:pPr>
      <w:r>
        <w:rPr>
          <w:rFonts w:ascii="Times New Roman" w:eastAsia="Times New Roman" w:hAnsi="Times New Roman" w:cs="Times New Roman"/>
        </w:rPr>
        <w:t xml:space="preserve">A Magyar Honvédségben rendszeresített rádiókészülékek </w:t>
      </w:r>
      <w:r>
        <w:rPr>
          <w:rFonts w:ascii="Times New Roman" w:eastAsia="Times New Roman" w:hAnsi="Times New Roman" w:cs="Times New Roman"/>
          <w:i/>
        </w:rPr>
        <w:t>(Military Radios in the Hungarian Defence Forces)</w:t>
      </w:r>
    </w:p>
    <w:p w:rsidR="00BC66D7" w:rsidRDefault="00BC66D7" w:rsidP="00980876">
      <w:pPr>
        <w:widowControl w:val="0"/>
        <w:numPr>
          <w:ilvl w:val="1"/>
          <w:numId w:val="765"/>
        </w:numPr>
        <w:spacing w:before="120" w:after="120" w:line="240" w:lineRule="auto"/>
        <w:ind w:left="993" w:hanging="567"/>
        <w:jc w:val="both"/>
        <w:rPr>
          <w:rFonts w:ascii="Times New Roman" w:eastAsia="Times New Roman" w:hAnsi="Times New Roman" w:cs="Times New Roman"/>
        </w:rPr>
      </w:pPr>
      <w:r>
        <w:rPr>
          <w:rFonts w:ascii="Times New Roman" w:eastAsia="Times New Roman" w:hAnsi="Times New Roman" w:cs="Times New Roman"/>
        </w:rPr>
        <w:t xml:space="preserve">Általános előírások, a rádióhíradás létesítésének szabályai </w:t>
      </w:r>
      <w:r>
        <w:rPr>
          <w:rFonts w:ascii="Times New Roman" w:eastAsia="Times New Roman" w:hAnsi="Times New Roman" w:cs="Times New Roman"/>
          <w:i/>
        </w:rPr>
        <w:t>(General regulations, rules for establishing radio communications)</w:t>
      </w:r>
      <w:r>
        <w:rPr>
          <w:rFonts w:ascii="Times New Roman" w:eastAsia="Times New Roman" w:hAnsi="Times New Roman" w:cs="Times New Roman"/>
        </w:rPr>
        <w:t>.</w:t>
      </w:r>
    </w:p>
    <w:p w:rsidR="00BC66D7" w:rsidRDefault="00BC66D7" w:rsidP="00980876">
      <w:pPr>
        <w:widowControl w:val="0"/>
        <w:numPr>
          <w:ilvl w:val="1"/>
          <w:numId w:val="765"/>
        </w:numPr>
        <w:spacing w:before="120" w:after="120" w:line="240" w:lineRule="auto"/>
        <w:ind w:left="993" w:hanging="567"/>
        <w:jc w:val="both"/>
        <w:rPr>
          <w:rFonts w:ascii="Times New Roman" w:hAnsi="Times New Roman" w:cs="Times New Roman"/>
        </w:rPr>
      </w:pPr>
      <w:r>
        <w:rPr>
          <w:rFonts w:ascii="Times New Roman" w:eastAsia="Times New Roman" w:hAnsi="Times New Roman" w:cs="Times New Roman"/>
        </w:rPr>
        <w:t xml:space="preserve">Rádióhíradás fenntartásának szabályai </w:t>
      </w:r>
      <w:r>
        <w:rPr>
          <w:rFonts w:ascii="Times New Roman" w:eastAsia="Times New Roman" w:hAnsi="Times New Roman" w:cs="Times New Roman"/>
          <w:i/>
        </w:rPr>
        <w:t>(</w:t>
      </w:r>
      <w:r>
        <w:rPr>
          <w:rFonts w:ascii="Times New Roman" w:eastAsia="Times New Roman" w:hAnsi="Times New Roman" w:cs="Times New Roman"/>
          <w:i/>
          <w:lang w:val="en"/>
        </w:rPr>
        <w:t>Rules for maintaining radio communications)</w:t>
      </w:r>
    </w:p>
    <w:p w:rsidR="00BC66D7" w:rsidRDefault="00BC66D7" w:rsidP="00980876">
      <w:pPr>
        <w:widowControl w:val="0"/>
        <w:numPr>
          <w:ilvl w:val="1"/>
          <w:numId w:val="765"/>
        </w:numPr>
        <w:spacing w:before="120" w:after="120" w:line="240" w:lineRule="auto"/>
        <w:ind w:left="993" w:hanging="567"/>
        <w:jc w:val="both"/>
        <w:rPr>
          <w:rFonts w:ascii="Times New Roman" w:eastAsia="Times New Roman" w:hAnsi="Times New Roman" w:cs="Times New Roman"/>
          <w:lang w:val="en-GB"/>
        </w:rPr>
      </w:pPr>
      <w:r>
        <w:rPr>
          <w:rFonts w:ascii="Times New Roman" w:eastAsia="Times New Roman" w:hAnsi="Times New Roman" w:cs="Times New Roman"/>
        </w:rPr>
        <w:t xml:space="preserve">Rádióforgalmi szolgálat szabályai rádiótávbeszélő üzemmódban. </w:t>
      </w:r>
      <w:r>
        <w:rPr>
          <w:rFonts w:ascii="Times New Roman" w:eastAsia="Times New Roman" w:hAnsi="Times New Roman" w:cs="Times New Roman"/>
          <w:i/>
          <w:lang w:val="en-GB"/>
        </w:rPr>
        <w:t>(Radio communication rules in voice communication mode.)</w:t>
      </w:r>
    </w:p>
    <w:p w:rsidR="00BC66D7" w:rsidRDefault="00BC66D7" w:rsidP="00980876">
      <w:pPr>
        <w:widowControl w:val="0"/>
        <w:numPr>
          <w:ilvl w:val="1"/>
          <w:numId w:val="765"/>
        </w:numPr>
        <w:spacing w:before="120" w:after="120" w:line="240" w:lineRule="auto"/>
        <w:ind w:left="993" w:hanging="567"/>
        <w:jc w:val="both"/>
        <w:rPr>
          <w:rFonts w:ascii="Times New Roman" w:eastAsia="Times New Roman" w:hAnsi="Times New Roman" w:cs="Times New Roman"/>
          <w:lang w:val="fr-FR"/>
        </w:rPr>
      </w:pPr>
      <w:r>
        <w:rPr>
          <w:rFonts w:ascii="Times New Roman" w:eastAsia="Times New Roman" w:hAnsi="Times New Roman" w:cs="Times New Roman"/>
        </w:rPr>
        <w:t xml:space="preserve">Ellenséges rádiófelderítés elleni védelem </w:t>
      </w:r>
      <w:r>
        <w:rPr>
          <w:rFonts w:ascii="Times New Roman" w:eastAsia="Times New Roman" w:hAnsi="Times New Roman" w:cs="Times New Roman"/>
          <w:i/>
        </w:rPr>
        <w:t>(</w:t>
      </w:r>
      <w:r>
        <w:rPr>
          <w:rFonts w:ascii="Times New Roman" w:eastAsia="Times New Roman" w:hAnsi="Times New Roman" w:cs="Times New Roman"/>
          <w:i/>
          <w:lang w:val="fr-FR"/>
        </w:rPr>
        <w:t>Protection against hostile Communications Intelligence)</w:t>
      </w:r>
    </w:p>
    <w:p w:rsidR="00BC66D7" w:rsidRDefault="00BC66D7" w:rsidP="00980876">
      <w:pPr>
        <w:widowControl w:val="0"/>
        <w:numPr>
          <w:ilvl w:val="1"/>
          <w:numId w:val="765"/>
        </w:numPr>
        <w:spacing w:before="120" w:after="120" w:line="240" w:lineRule="auto"/>
        <w:ind w:left="993" w:hanging="567"/>
        <w:jc w:val="both"/>
        <w:rPr>
          <w:rFonts w:ascii="Times New Roman" w:eastAsia="Times New Roman" w:hAnsi="Times New Roman" w:cs="Times New Roman"/>
        </w:rPr>
      </w:pPr>
      <w:r>
        <w:rPr>
          <w:rFonts w:ascii="Times New Roman" w:eastAsia="Times New Roman" w:hAnsi="Times New Roman" w:cs="Times New Roman"/>
        </w:rPr>
        <w:t xml:space="preserve">Rádióforgalmazás nemzetközi környezetben </w:t>
      </w:r>
      <w:r>
        <w:rPr>
          <w:rFonts w:ascii="Times New Roman" w:eastAsia="Times New Roman" w:hAnsi="Times New Roman" w:cs="Times New Roman"/>
          <w:i/>
        </w:rPr>
        <w:t>(</w:t>
      </w:r>
      <w:r>
        <w:rPr>
          <w:rFonts w:ascii="Times New Roman" w:eastAsia="Times New Roman" w:hAnsi="Times New Roman" w:cs="Times New Roman"/>
          <w:i/>
          <w:lang w:val="en"/>
        </w:rPr>
        <w:t xml:space="preserve">Radio communication in international </w:t>
      </w:r>
      <w:r>
        <w:rPr>
          <w:rFonts w:ascii="Times New Roman" w:eastAsia="Times New Roman" w:hAnsi="Times New Roman" w:cs="Times New Roman"/>
          <w:i/>
          <w:lang w:val="en"/>
        </w:rPr>
        <w:lastRenderedPageBreak/>
        <w:t>environment)</w:t>
      </w:r>
    </w:p>
    <w:p w:rsidR="00BC66D7" w:rsidRDefault="00BC66D7" w:rsidP="00980876">
      <w:pPr>
        <w:widowControl w:val="0"/>
        <w:numPr>
          <w:ilvl w:val="1"/>
          <w:numId w:val="765"/>
        </w:numPr>
        <w:spacing w:before="120" w:after="120" w:line="240" w:lineRule="auto"/>
        <w:ind w:left="993" w:hanging="567"/>
        <w:jc w:val="both"/>
        <w:rPr>
          <w:rFonts w:ascii="Times New Roman" w:eastAsia="Times New Roman" w:hAnsi="Times New Roman" w:cs="Times New Roman"/>
        </w:rPr>
      </w:pPr>
      <w:r>
        <w:rPr>
          <w:rFonts w:ascii="Times New Roman" w:eastAsia="Times New Roman" w:hAnsi="Times New Roman" w:cs="Times New Roman"/>
        </w:rPr>
        <w:t xml:space="preserve">A rádióforgalmazás okmányrendszere </w:t>
      </w:r>
      <w:r>
        <w:rPr>
          <w:rFonts w:ascii="Times New Roman" w:eastAsia="Times New Roman" w:hAnsi="Times New Roman" w:cs="Times New Roman"/>
          <w:i/>
          <w:lang w:val="en-GB"/>
        </w:rPr>
        <w:t>(Documentation of radio communication)</w:t>
      </w:r>
    </w:p>
    <w:p w:rsidR="00BC66D7" w:rsidRDefault="00BC66D7" w:rsidP="00980876">
      <w:pPr>
        <w:widowControl w:val="0"/>
        <w:numPr>
          <w:ilvl w:val="1"/>
          <w:numId w:val="765"/>
        </w:numPr>
        <w:spacing w:before="120" w:after="120" w:line="240" w:lineRule="auto"/>
        <w:ind w:left="993" w:hanging="567"/>
        <w:jc w:val="both"/>
        <w:rPr>
          <w:rFonts w:ascii="Times New Roman" w:eastAsia="Times New Roman" w:hAnsi="Times New Roman" w:cs="Times New Roman"/>
          <w:lang w:val="en-US"/>
        </w:rPr>
      </w:pPr>
      <w:r>
        <w:rPr>
          <w:rFonts w:ascii="Times New Roman" w:eastAsia="Times New Roman" w:hAnsi="Times New Roman" w:cs="Times New Roman"/>
        </w:rPr>
        <w:t xml:space="preserve">A rádióforgalmazás elméleti ismereteinek ellenőrzése a gyakorlatban </w:t>
      </w:r>
      <w:r>
        <w:rPr>
          <w:rFonts w:ascii="Times New Roman" w:eastAsia="Times New Roman" w:hAnsi="Times New Roman" w:cs="Times New Roman"/>
          <w:i/>
        </w:rPr>
        <w:t>(</w:t>
      </w:r>
      <w:r>
        <w:rPr>
          <w:rFonts w:ascii="Times New Roman" w:eastAsia="Times New Roman" w:hAnsi="Times New Roman" w:cs="Times New Roman"/>
          <w:i/>
          <w:lang w:val="en-US"/>
        </w:rPr>
        <w:t>Radio communication in practice)</w:t>
      </w:r>
    </w:p>
    <w:p w:rsidR="00BC66D7" w:rsidRDefault="00BC66D7" w:rsidP="00980876">
      <w:pPr>
        <w:widowControl w:val="0"/>
        <w:numPr>
          <w:ilvl w:val="1"/>
          <w:numId w:val="765"/>
        </w:numPr>
        <w:spacing w:before="120" w:after="120" w:line="240" w:lineRule="auto"/>
        <w:ind w:left="993" w:hanging="567"/>
        <w:jc w:val="both"/>
        <w:rPr>
          <w:rFonts w:ascii="Times New Roman" w:eastAsia="Times New Roman" w:hAnsi="Times New Roman" w:cs="Times New Roman"/>
        </w:rPr>
      </w:pPr>
      <w:r>
        <w:rPr>
          <w:rFonts w:ascii="Times New Roman" w:eastAsia="Times New Roman" w:hAnsi="Times New Roman" w:cs="Times New Roman"/>
          <w:lang w:val="en-US"/>
        </w:rPr>
        <w:t xml:space="preserve"> </w:t>
      </w:r>
      <w:r>
        <w:rPr>
          <w:rFonts w:ascii="Times New Roman" w:eastAsia="Times New Roman" w:hAnsi="Times New Roman" w:cs="Times New Roman"/>
        </w:rPr>
        <w:t xml:space="preserve">Az információbiztonság területei, alapfogalmak, definíciók </w:t>
      </w:r>
      <w:r>
        <w:rPr>
          <w:rFonts w:ascii="Times New Roman" w:eastAsia="Times New Roman" w:hAnsi="Times New Roman" w:cs="Times New Roman"/>
          <w:i/>
        </w:rPr>
        <w:t xml:space="preserve">(Areas of INFOSEC, </w:t>
      </w:r>
      <w:r>
        <w:rPr>
          <w:rFonts w:ascii="Times New Roman" w:eastAsia="Times New Roman" w:hAnsi="Times New Roman" w:cs="Times New Roman"/>
          <w:i/>
          <w:lang w:val="en-GB"/>
        </w:rPr>
        <w:t>definitions</w:t>
      </w:r>
      <w:r>
        <w:rPr>
          <w:rFonts w:ascii="Times New Roman" w:eastAsia="Times New Roman" w:hAnsi="Times New Roman" w:cs="Times New Roman"/>
          <w:i/>
        </w:rPr>
        <w:t>)</w:t>
      </w:r>
    </w:p>
    <w:p w:rsidR="00BC66D7" w:rsidRDefault="00BC66D7" w:rsidP="00980876">
      <w:pPr>
        <w:widowControl w:val="0"/>
        <w:numPr>
          <w:ilvl w:val="1"/>
          <w:numId w:val="765"/>
        </w:numPr>
        <w:spacing w:before="120" w:after="120" w:line="240" w:lineRule="auto"/>
        <w:ind w:left="993" w:hanging="567"/>
        <w:jc w:val="both"/>
        <w:rPr>
          <w:rFonts w:ascii="Times New Roman" w:eastAsia="Times New Roman" w:hAnsi="Times New Roman" w:cs="Times New Roman"/>
          <w:lang w:val="en-US"/>
        </w:rPr>
      </w:pPr>
      <w:r>
        <w:rPr>
          <w:rFonts w:ascii="Times New Roman" w:eastAsia="Times New Roman" w:hAnsi="Times New Roman" w:cs="Times New Roman"/>
        </w:rPr>
        <w:t xml:space="preserve"> </w:t>
      </w:r>
      <w:r>
        <w:rPr>
          <w:rFonts w:ascii="Times New Roman" w:eastAsia="Times New Roman" w:hAnsi="Times New Roman" w:cs="Times New Roman"/>
          <w:lang w:val="en-US"/>
        </w:rPr>
        <w:t xml:space="preserve">Az </w:t>
      </w:r>
      <w:r>
        <w:rPr>
          <w:rFonts w:ascii="Times New Roman" w:eastAsia="Times New Roman" w:hAnsi="Times New Roman" w:cs="Times New Roman"/>
        </w:rPr>
        <w:t xml:space="preserve">információbiztonsági veszélyek, fenyegetések </w:t>
      </w:r>
      <w:r>
        <w:rPr>
          <w:rFonts w:ascii="Times New Roman" w:eastAsia="Times New Roman" w:hAnsi="Times New Roman" w:cs="Times New Roman"/>
          <w:i/>
          <w:lang w:val="en-GB"/>
        </w:rPr>
        <w:t>(Threats of information security)</w:t>
      </w:r>
    </w:p>
    <w:p w:rsidR="00BC66D7" w:rsidRDefault="00BC66D7" w:rsidP="00980876">
      <w:pPr>
        <w:widowControl w:val="0"/>
        <w:numPr>
          <w:ilvl w:val="1"/>
          <w:numId w:val="765"/>
        </w:numPr>
        <w:spacing w:before="120" w:after="120" w:line="240" w:lineRule="auto"/>
        <w:ind w:left="993" w:hanging="567"/>
        <w:jc w:val="both"/>
        <w:rPr>
          <w:rFonts w:ascii="Times New Roman" w:eastAsia="Times New Roman" w:hAnsi="Times New Roman" w:cs="Times New Roman"/>
        </w:rPr>
      </w:pPr>
      <w:r>
        <w:rPr>
          <w:rFonts w:ascii="Times New Roman" w:eastAsia="Times New Roman" w:hAnsi="Times New Roman" w:cs="Times New Roman"/>
        </w:rPr>
        <w:t>A minősített adatfeldolgozást meghatározó jogszabályi előírások (</w:t>
      </w:r>
      <w:r>
        <w:rPr>
          <w:rFonts w:ascii="Times New Roman" w:eastAsia="Times New Roman" w:hAnsi="Times New Roman" w:cs="Times New Roman"/>
          <w:i/>
          <w:lang w:val="en"/>
        </w:rPr>
        <w:t>The legal requirements of the processing of classified data)</w:t>
      </w:r>
    </w:p>
    <w:p w:rsidR="00BC66D7" w:rsidRDefault="00BC66D7" w:rsidP="00980876">
      <w:pPr>
        <w:widowControl w:val="0"/>
        <w:numPr>
          <w:ilvl w:val="1"/>
          <w:numId w:val="765"/>
        </w:numPr>
        <w:spacing w:before="120" w:after="120" w:line="240" w:lineRule="auto"/>
        <w:ind w:left="993" w:hanging="567"/>
        <w:jc w:val="both"/>
        <w:rPr>
          <w:rFonts w:ascii="Times New Roman" w:eastAsia="Times New Roman" w:hAnsi="Times New Roman" w:cs="Times New Roman"/>
        </w:rPr>
      </w:pPr>
      <w:r>
        <w:rPr>
          <w:rFonts w:ascii="Times New Roman" w:eastAsia="Times New Roman" w:hAnsi="Times New Roman" w:cs="Times New Roman"/>
        </w:rPr>
        <w:t xml:space="preserve">A komplex információbiztonság rendje, kialakítása </w:t>
      </w:r>
      <w:r>
        <w:rPr>
          <w:rFonts w:ascii="Times New Roman" w:eastAsia="Times New Roman" w:hAnsi="Times New Roman" w:cs="Times New Roman"/>
          <w:i/>
        </w:rPr>
        <w:t>(</w:t>
      </w:r>
      <w:r>
        <w:rPr>
          <w:rFonts w:ascii="Times New Roman" w:eastAsia="Times New Roman" w:hAnsi="Times New Roman" w:cs="Times New Roman"/>
          <w:i/>
          <w:lang w:val="en-US"/>
        </w:rPr>
        <w:t>Basics of complex information security)</w:t>
      </w:r>
    </w:p>
    <w:p w:rsidR="00BC66D7" w:rsidRDefault="00BC66D7" w:rsidP="00980876">
      <w:pPr>
        <w:widowControl w:val="0"/>
        <w:numPr>
          <w:ilvl w:val="1"/>
          <w:numId w:val="765"/>
        </w:numPr>
        <w:spacing w:before="120" w:after="120" w:line="240" w:lineRule="auto"/>
        <w:ind w:left="993" w:hanging="567"/>
        <w:jc w:val="both"/>
        <w:rPr>
          <w:rFonts w:ascii="Times New Roman" w:eastAsia="Times New Roman" w:hAnsi="Times New Roman" w:cs="Times New Roman"/>
          <w:lang w:val="en-US"/>
        </w:rPr>
      </w:pPr>
      <w:r>
        <w:rPr>
          <w:rFonts w:ascii="Times New Roman" w:eastAsia="Times New Roman" w:hAnsi="Times New Roman" w:cs="Times New Roman"/>
        </w:rPr>
        <w:t xml:space="preserve">Az iratkezelés szabályai, folyamata </w:t>
      </w:r>
      <w:r>
        <w:rPr>
          <w:rFonts w:ascii="Times New Roman" w:eastAsia="Times New Roman" w:hAnsi="Times New Roman" w:cs="Times New Roman"/>
          <w:i/>
        </w:rPr>
        <w:t>(</w:t>
      </w:r>
      <w:r>
        <w:rPr>
          <w:rFonts w:ascii="Times New Roman" w:eastAsia="Times New Roman" w:hAnsi="Times New Roman" w:cs="Times New Roman"/>
          <w:i/>
          <w:lang w:val="en-US"/>
        </w:rPr>
        <w:t>Rules and procedures of data)</w:t>
      </w:r>
    </w:p>
    <w:p w:rsidR="00BC66D7" w:rsidRDefault="00BC66D7" w:rsidP="00980876">
      <w:pPr>
        <w:widowControl w:val="0"/>
        <w:numPr>
          <w:ilvl w:val="0"/>
          <w:numId w:val="765"/>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 tantárgy meghirdetésének gyakorisága/a tantervben történő félévi elhelyezkedése: </w:t>
      </w:r>
      <w:r>
        <w:rPr>
          <w:rFonts w:ascii="Times New Roman" w:eastAsia="Times New Roman" w:hAnsi="Times New Roman" w:cs="Times New Roman"/>
          <w:bCs/>
        </w:rPr>
        <w:t>A katonai alapképzési szakok tanterveinek megfelelően.</w:t>
      </w:r>
    </w:p>
    <w:p w:rsidR="00BC66D7" w:rsidRDefault="00BC66D7" w:rsidP="00980876">
      <w:pPr>
        <w:widowControl w:val="0"/>
        <w:numPr>
          <w:ilvl w:val="0"/>
          <w:numId w:val="765"/>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tanórákon való részvétel követelményei, az elfogadható hiányzások mértéke, a távolmaradás pótlásának lehetősége:</w:t>
      </w:r>
      <w:r>
        <w:rPr>
          <w:rFonts w:ascii="Times New Roman" w:eastAsia="Times New Roman" w:hAnsi="Times New Roman" w:cs="Times New Roman"/>
          <w:bCs/>
        </w:rPr>
        <w:t xml:space="preserve"> </w:t>
      </w:r>
    </w:p>
    <w:p w:rsidR="00BC66D7" w:rsidRDefault="00BC66D7" w:rsidP="00BC66D7">
      <w:pPr>
        <w:widowControl w:val="0"/>
        <w:spacing w:before="120" w:after="120" w:line="240" w:lineRule="auto"/>
        <w:ind w:left="425"/>
        <w:jc w:val="both"/>
        <w:rPr>
          <w:rFonts w:ascii="Times New Roman" w:eastAsia="Times New Roman" w:hAnsi="Times New Roman" w:cs="Times New Roman"/>
          <w:bCs/>
        </w:rPr>
      </w:pPr>
      <w:r>
        <w:rPr>
          <w:rFonts w:ascii="Times New Roman" w:eastAsia="Times New Roman" w:hAnsi="Times New Roman" w:cs="Times New Roman"/>
          <w:bCs/>
        </w:rPr>
        <w:t>A tanórák minimum 70%-án való részvétel kötelező. A gyakorlati foglalkozások minimum 70%-án való részvétel kötelező. Amennyiben a hallgató az elfogadható hiányzások mértékét túllépi, az aláírás megtagadásra kerül. A távolmaradás következtében elmaradt óra, az oktatóval egyeztetett időpontban, valamint meghatározott, a témakörhöz kapcsolódó gyakorlati feladat végrehajtásával pótolható.</w:t>
      </w:r>
    </w:p>
    <w:p w:rsidR="00BC66D7" w:rsidRDefault="00BC66D7" w:rsidP="00980876">
      <w:pPr>
        <w:widowControl w:val="0"/>
        <w:numPr>
          <w:ilvl w:val="0"/>
          <w:numId w:val="765"/>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rPr>
        <w:t>Félévközi feladatok, ismeretek ellenőrzésének rendje:</w:t>
      </w:r>
    </w:p>
    <w:p w:rsidR="00BC66D7" w:rsidRDefault="00BC66D7" w:rsidP="00BC66D7">
      <w:pPr>
        <w:widowControl w:val="0"/>
        <w:spacing w:before="120" w:after="120" w:line="240" w:lineRule="auto"/>
        <w:ind w:left="426"/>
        <w:jc w:val="both"/>
        <w:rPr>
          <w:rFonts w:ascii="Times New Roman" w:eastAsia="Times New Roman" w:hAnsi="Times New Roman" w:cs="Times New Roman"/>
          <w:bCs/>
        </w:rPr>
      </w:pPr>
      <w:r>
        <w:rPr>
          <w:rFonts w:ascii="Times New Roman" w:eastAsia="Times New Roman" w:hAnsi="Times New Roman" w:cs="Times New Roman"/>
          <w:bCs/>
        </w:rPr>
        <w:t xml:space="preserve">A tantárgy során szerzett ismeretek ellenőrzése két zárthelyi dolgozat megírásával történik, amelyeknek legalább elégséges szintű teljesítése a feltétele a tantárgy lezárásának. Az első ZH a tantárgyi program 12. pontjában felsorolt témakörök közül a 12.1-12.9, a második ZH pedig a 12.10-12.14. témakörökből kerül összeállításra. A zárthelyi dolgozatok értékelése ötfokozatú skálán történik, az elégséges szint eléréséhez legalább 60%-ot kell teljesíteni. (60 %-tól elégséges, 70 %-tól közepes, 80-tól % jó, 90 %-tól jeles) A hiányzás miatt meg nem írt és az elégtelen zárthelyik egy alkalommal pótolhatók/javíthatók. </w:t>
      </w:r>
    </w:p>
    <w:p w:rsidR="00BC66D7" w:rsidRDefault="00BC66D7" w:rsidP="00980876">
      <w:pPr>
        <w:widowControl w:val="0"/>
        <w:numPr>
          <w:ilvl w:val="0"/>
          <w:numId w:val="765"/>
        </w:numPr>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Az értékelés, az aláírás és a kreditek megszerzésének pontos feltételei: </w:t>
      </w:r>
    </w:p>
    <w:p w:rsidR="00BC66D7" w:rsidRDefault="00BC66D7" w:rsidP="00980876">
      <w:pPr>
        <w:widowControl w:val="0"/>
        <w:numPr>
          <w:ilvl w:val="1"/>
          <w:numId w:val="765"/>
        </w:numPr>
        <w:tabs>
          <w:tab w:val="left" w:pos="709"/>
          <w:tab w:val="left" w:pos="993"/>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Az aláírás megszerzésének feltételei:</w:t>
      </w:r>
      <w:r>
        <w:rPr>
          <w:rFonts w:ascii="Times New Roman" w:eastAsia="Times New Roman" w:hAnsi="Times New Roman" w:cs="Times New Roman"/>
        </w:rPr>
        <w:t xml:space="preserve"> </w:t>
      </w:r>
    </w:p>
    <w:p w:rsidR="00BC66D7" w:rsidRDefault="00BC66D7" w:rsidP="00BC66D7">
      <w:pPr>
        <w:widowControl w:val="0"/>
        <w:spacing w:before="120" w:after="120" w:line="240" w:lineRule="auto"/>
        <w:ind w:left="426"/>
        <w:jc w:val="both"/>
        <w:rPr>
          <w:rFonts w:ascii="Times New Roman" w:eastAsia="Times New Roman" w:hAnsi="Times New Roman" w:cs="Times New Roman"/>
          <w:bCs/>
        </w:rPr>
      </w:pPr>
      <w:r>
        <w:rPr>
          <w:rFonts w:ascii="Times New Roman" w:eastAsia="Times New Roman" w:hAnsi="Times New Roman" w:cs="Times New Roman"/>
          <w:bCs/>
        </w:rPr>
        <w:t>Az aláírás megszerzésének feltétele a 14. pontban meghatározott arányú részvétel a foglalkozásokon, és a 15. pontban meghatározott ismeretellenőrzés legalább elégséges teljesítése.</w:t>
      </w:r>
    </w:p>
    <w:p w:rsidR="00BC66D7" w:rsidRDefault="00BC66D7" w:rsidP="00980876">
      <w:pPr>
        <w:widowControl w:val="0"/>
        <w:numPr>
          <w:ilvl w:val="1"/>
          <w:numId w:val="765"/>
        </w:numPr>
        <w:tabs>
          <w:tab w:val="left" w:pos="709"/>
          <w:tab w:val="left" w:pos="993"/>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Az értékelés:</w:t>
      </w:r>
    </w:p>
    <w:p w:rsidR="00BC66D7" w:rsidRDefault="00BC66D7" w:rsidP="00BC66D7">
      <w:pPr>
        <w:widowControl w:val="0"/>
        <w:spacing w:before="120" w:after="120" w:line="240" w:lineRule="auto"/>
        <w:ind w:left="426"/>
        <w:jc w:val="both"/>
        <w:rPr>
          <w:rFonts w:ascii="Times New Roman" w:eastAsia="Times New Roman" w:hAnsi="Times New Roman" w:cs="Times New Roman"/>
          <w:bCs/>
        </w:rPr>
      </w:pPr>
      <w:r>
        <w:rPr>
          <w:rFonts w:ascii="Times New Roman" w:eastAsia="Times New Roman" w:hAnsi="Times New Roman" w:cs="Times New Roman"/>
          <w:bCs/>
        </w:rPr>
        <w:t xml:space="preserve">A tantárgy érétkelése </w:t>
      </w:r>
      <w:r>
        <w:rPr>
          <w:rFonts w:ascii="Times New Roman" w:eastAsia="Times New Roman" w:hAnsi="Times New Roman" w:cs="Times New Roman"/>
          <w:b/>
          <w:bCs/>
        </w:rPr>
        <w:t>gyakorlati jeggyel</w:t>
      </w:r>
      <w:r>
        <w:rPr>
          <w:rFonts w:ascii="Times New Roman" w:eastAsia="Times New Roman" w:hAnsi="Times New Roman" w:cs="Times New Roman"/>
          <w:bCs/>
        </w:rPr>
        <w:t xml:space="preserve"> zárul, amely a hallgató által megírt két sikeres zárthelyi dolgozat érétkeléséből, azok számtani átlaga alapján kerül meghatározásra.</w:t>
      </w:r>
    </w:p>
    <w:p w:rsidR="00BC66D7" w:rsidRDefault="00BC66D7" w:rsidP="00980876">
      <w:pPr>
        <w:widowControl w:val="0"/>
        <w:numPr>
          <w:ilvl w:val="1"/>
          <w:numId w:val="765"/>
        </w:numPr>
        <w:tabs>
          <w:tab w:val="left" w:pos="709"/>
          <w:tab w:val="left" w:pos="993"/>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 kreditek megszerzésének feltételei:</w:t>
      </w:r>
      <w:r>
        <w:rPr>
          <w:rFonts w:ascii="Times New Roman" w:eastAsia="Times New Roman" w:hAnsi="Times New Roman" w:cs="Times New Roman"/>
        </w:rPr>
        <w:t xml:space="preserve"> </w:t>
      </w:r>
    </w:p>
    <w:p w:rsidR="00BC66D7" w:rsidRDefault="00BC66D7" w:rsidP="00BC66D7">
      <w:pPr>
        <w:widowControl w:val="0"/>
        <w:spacing w:before="120" w:after="120" w:line="240" w:lineRule="auto"/>
        <w:ind w:left="426"/>
        <w:jc w:val="both"/>
        <w:rPr>
          <w:rFonts w:ascii="Times New Roman" w:eastAsia="Times New Roman" w:hAnsi="Times New Roman" w:cs="Times New Roman"/>
          <w:bCs/>
        </w:rPr>
      </w:pPr>
      <w:r>
        <w:rPr>
          <w:rFonts w:ascii="Times New Roman" w:eastAsia="Times New Roman" w:hAnsi="Times New Roman" w:cs="Times New Roman"/>
          <w:bCs/>
        </w:rPr>
        <w:t>A kreditek megszerzésének feltétele az aláírás megszerzése és a legalább elégséges gyakorlati jegy elérése.</w:t>
      </w:r>
    </w:p>
    <w:p w:rsidR="00BC66D7" w:rsidRDefault="00BC66D7" w:rsidP="00980876">
      <w:pPr>
        <w:widowControl w:val="0"/>
        <w:numPr>
          <w:ilvl w:val="0"/>
          <w:numId w:val="765"/>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Irodalomjegyzék:</w:t>
      </w:r>
    </w:p>
    <w:p w:rsidR="00BC66D7" w:rsidRDefault="00BC66D7" w:rsidP="00980876">
      <w:pPr>
        <w:widowControl w:val="0"/>
        <w:numPr>
          <w:ilvl w:val="1"/>
          <w:numId w:val="765"/>
        </w:numPr>
        <w:tabs>
          <w:tab w:val="left" w:pos="567"/>
          <w:tab w:val="left" w:pos="851"/>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Kötelező irodalom:</w:t>
      </w:r>
    </w:p>
    <w:p w:rsidR="00BC66D7" w:rsidRDefault="00BC66D7" w:rsidP="00980876">
      <w:pPr>
        <w:widowControl w:val="0"/>
        <w:numPr>
          <w:ilvl w:val="0"/>
          <w:numId w:val="246"/>
        </w:numPr>
        <w:spacing w:after="0" w:line="240" w:lineRule="auto"/>
        <w:ind w:left="709" w:hanging="425"/>
        <w:jc w:val="both"/>
        <w:rPr>
          <w:rFonts w:ascii="Times New Roman" w:eastAsia="Times New Roman" w:hAnsi="Times New Roman" w:cs="Times New Roman"/>
          <w:bCs/>
        </w:rPr>
      </w:pPr>
      <w:r>
        <w:rPr>
          <w:rFonts w:ascii="Times New Roman" w:hAnsi="Times New Roman" w:cs="Times New Roman"/>
          <w:bCs/>
        </w:rPr>
        <w:t>Sándor M. – Farkas T. – Jobbágy Sz.: Híradásszervezés. egyetemi jegyzet, ZMNE Budapest, 2009.</w:t>
      </w:r>
    </w:p>
    <w:p w:rsidR="00BC66D7" w:rsidRDefault="00BC66D7" w:rsidP="00980876">
      <w:pPr>
        <w:widowControl w:val="0"/>
        <w:numPr>
          <w:ilvl w:val="0"/>
          <w:numId w:val="246"/>
        </w:numPr>
        <w:spacing w:after="0" w:line="240" w:lineRule="auto"/>
        <w:ind w:left="709" w:hanging="425"/>
        <w:jc w:val="both"/>
        <w:rPr>
          <w:rFonts w:ascii="Times New Roman" w:eastAsia="Times New Roman" w:hAnsi="Times New Roman" w:cs="Times New Roman"/>
          <w:bCs/>
        </w:rPr>
      </w:pPr>
      <w:r>
        <w:rPr>
          <w:rFonts w:ascii="Times New Roman" w:eastAsia="Times New Roman" w:hAnsi="Times New Roman" w:cs="Times New Roman"/>
          <w:bCs/>
        </w:rPr>
        <w:t xml:space="preserve">A Magyar Honvédség Összhaderőnemi Híradó és Informatikai Doktrína 1. kiadás. Hír/4; </w:t>
      </w:r>
      <w:r>
        <w:rPr>
          <w:rFonts w:ascii="Times New Roman" w:eastAsia="Times New Roman" w:hAnsi="Times New Roman" w:cs="Times New Roman"/>
          <w:bCs/>
        </w:rPr>
        <w:lastRenderedPageBreak/>
        <w:t xml:space="preserve">Magyar Honvédség, 2013. </w:t>
      </w:r>
    </w:p>
    <w:p w:rsidR="00BC66D7" w:rsidRDefault="00BC66D7" w:rsidP="00980876">
      <w:pPr>
        <w:widowControl w:val="0"/>
        <w:numPr>
          <w:ilvl w:val="0"/>
          <w:numId w:val="246"/>
        </w:numPr>
        <w:spacing w:after="0" w:line="240" w:lineRule="auto"/>
        <w:ind w:left="709" w:hanging="425"/>
        <w:jc w:val="both"/>
        <w:rPr>
          <w:rFonts w:ascii="Times New Roman" w:eastAsia="Times New Roman" w:hAnsi="Times New Roman" w:cs="Times New Roman"/>
          <w:bCs/>
        </w:rPr>
      </w:pPr>
      <w:r>
        <w:rPr>
          <w:rFonts w:ascii="Times New Roman" w:eastAsia="Times New Roman" w:hAnsi="Times New Roman" w:cs="Times New Roman"/>
          <w:bCs/>
        </w:rPr>
        <w:t>A Magyar Honvédség Rádióforgalmi Szakutasítása. Hír/3.; Magyar Honvédség, 2004.</w:t>
      </w:r>
    </w:p>
    <w:p w:rsidR="00BC66D7" w:rsidRDefault="00BC66D7" w:rsidP="00980876">
      <w:pPr>
        <w:widowControl w:val="0"/>
        <w:numPr>
          <w:ilvl w:val="0"/>
          <w:numId w:val="246"/>
        </w:numPr>
        <w:spacing w:after="0" w:line="240" w:lineRule="auto"/>
        <w:ind w:left="709" w:hanging="425"/>
        <w:jc w:val="both"/>
        <w:rPr>
          <w:rFonts w:ascii="Times New Roman" w:eastAsia="Times New Roman" w:hAnsi="Times New Roman" w:cs="Times New Roman"/>
          <w:bCs/>
        </w:rPr>
      </w:pPr>
      <w:r>
        <w:rPr>
          <w:rFonts w:ascii="Times New Roman" w:hAnsi="Times New Roman" w:cs="Times New Roman"/>
        </w:rPr>
        <w:t>A Honvédelmi minisztérium és a Magyar Honvédség Titokvédelmi Szabályzata Ált/3., Magyar Honvédség</w:t>
      </w:r>
    </w:p>
    <w:p w:rsidR="00BC66D7" w:rsidRDefault="00BC66D7" w:rsidP="00980876">
      <w:pPr>
        <w:widowControl w:val="0"/>
        <w:numPr>
          <w:ilvl w:val="1"/>
          <w:numId w:val="765"/>
        </w:numPr>
        <w:tabs>
          <w:tab w:val="num" w:pos="2069"/>
        </w:tabs>
        <w:spacing w:before="120" w:after="120" w:line="240" w:lineRule="auto"/>
        <w:ind w:left="993" w:hanging="709"/>
        <w:jc w:val="both"/>
        <w:rPr>
          <w:rFonts w:ascii="Times New Roman" w:eastAsia="Times New Roman" w:hAnsi="Times New Roman" w:cs="Times New Roman"/>
          <w:b/>
          <w:bCs/>
        </w:rPr>
      </w:pPr>
      <w:r>
        <w:rPr>
          <w:rFonts w:ascii="Times New Roman" w:eastAsia="Times New Roman" w:hAnsi="Times New Roman" w:cs="Times New Roman"/>
          <w:b/>
          <w:bCs/>
        </w:rPr>
        <w:t>Ajánlott irodalom:</w:t>
      </w:r>
    </w:p>
    <w:p w:rsidR="00BC66D7" w:rsidRDefault="00BC66D7" w:rsidP="00C2057B">
      <w:pPr>
        <w:widowControl w:val="0"/>
        <w:numPr>
          <w:ilvl w:val="0"/>
          <w:numId w:val="47"/>
        </w:num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C-M(2002)49 Security Within The North Atlantic Treaty Organisation. NATO, 2002.</w:t>
      </w:r>
    </w:p>
    <w:p w:rsidR="00BC66D7" w:rsidRDefault="00BC66D7" w:rsidP="00C2057B">
      <w:pPr>
        <w:widowControl w:val="0"/>
        <w:numPr>
          <w:ilvl w:val="0"/>
          <w:numId w:val="47"/>
        </w:num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Allied Joint Doctrine for Communication and Information System AJP-6; NATO, 2011.</w:t>
      </w:r>
    </w:p>
    <w:p w:rsidR="00BC66D7" w:rsidRDefault="00BC66D7" w:rsidP="00C2057B">
      <w:pPr>
        <w:widowControl w:val="0"/>
        <w:numPr>
          <w:ilvl w:val="0"/>
          <w:numId w:val="47"/>
        </w:num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FM 6-02.53, Tactical radio operations, Headquarters, Department of the Army, Washington DC, 2009</w:t>
      </w:r>
    </w:p>
    <w:p w:rsidR="00BC66D7" w:rsidRDefault="00BC66D7" w:rsidP="00BC66D7">
      <w:pPr>
        <w:pStyle w:val="Listaszerbekezds"/>
        <w:widowControl w:val="0"/>
        <w:spacing w:after="0" w:line="240" w:lineRule="auto"/>
        <w:jc w:val="both"/>
        <w:rPr>
          <w:rFonts w:ascii="Times New Roman" w:eastAsia="Times New Roman" w:hAnsi="Times New Roman" w:cs="Times New Roman"/>
          <w:highlight w:val="lightGray"/>
        </w:rPr>
      </w:pPr>
    </w:p>
    <w:p w:rsidR="00BC66D7" w:rsidRDefault="00BC66D7" w:rsidP="00BC66D7">
      <w:pPr>
        <w:widowControl w:val="0"/>
        <w:spacing w:before="120" w:after="120" w:line="240" w:lineRule="auto"/>
        <w:jc w:val="both"/>
        <w:rPr>
          <w:rFonts w:ascii="Times New Roman" w:eastAsia="Times New Roman" w:hAnsi="Times New Roman" w:cs="Times New Roman"/>
          <w:bCs/>
        </w:rPr>
      </w:pPr>
      <w:r>
        <w:rPr>
          <w:rFonts w:ascii="Times New Roman" w:eastAsia="Times New Roman" w:hAnsi="Times New Roman" w:cs="Times New Roman"/>
          <w:bCs/>
        </w:rPr>
        <w:t>Budapest, 2020.02.03.</w:t>
      </w:r>
    </w:p>
    <w:p w:rsidR="00BC66D7" w:rsidRDefault="00BC66D7" w:rsidP="00BC66D7">
      <w:pPr>
        <w:widowControl w:val="0"/>
        <w:spacing w:before="120" w:after="120" w:line="240" w:lineRule="auto"/>
        <w:jc w:val="both"/>
        <w:rPr>
          <w:rFonts w:ascii="Times New Roman" w:eastAsia="Times New Roman" w:hAnsi="Times New Roman" w:cs="Times New Roman"/>
          <w:bCs/>
        </w:rPr>
      </w:pPr>
    </w:p>
    <w:p w:rsidR="00BC66D7" w:rsidRDefault="00BC66D7" w:rsidP="00BC66D7">
      <w:pPr>
        <w:widowControl w:val="0"/>
        <w:spacing w:after="0" w:line="240" w:lineRule="auto"/>
        <w:ind w:left="6521"/>
        <w:jc w:val="center"/>
        <w:rPr>
          <w:rFonts w:ascii="Times New Roman" w:eastAsia="Times New Roman" w:hAnsi="Times New Roman" w:cs="Times New Roman"/>
          <w:b/>
          <w:bCs/>
        </w:rPr>
      </w:pPr>
      <w:r>
        <w:rPr>
          <w:rFonts w:ascii="Times New Roman" w:eastAsia="Times New Roman" w:hAnsi="Times New Roman" w:cs="Times New Roman"/>
          <w:b/>
          <w:bCs/>
        </w:rPr>
        <w:t>Dr. Farkas Tibor</w:t>
      </w:r>
    </w:p>
    <w:p w:rsidR="00BC66D7" w:rsidRDefault="00BC66D7" w:rsidP="00BC66D7">
      <w:pPr>
        <w:widowControl w:val="0"/>
        <w:spacing w:after="0" w:line="240" w:lineRule="auto"/>
        <w:ind w:left="6521"/>
        <w:jc w:val="center"/>
        <w:rPr>
          <w:rFonts w:ascii="Times New Roman" w:eastAsia="Times New Roman" w:hAnsi="Times New Roman" w:cs="Times New Roman"/>
          <w:bCs/>
        </w:rPr>
      </w:pPr>
      <w:r>
        <w:rPr>
          <w:rFonts w:ascii="Times New Roman" w:eastAsia="Times New Roman" w:hAnsi="Times New Roman" w:cs="Times New Roman"/>
          <w:bCs/>
        </w:rPr>
        <w:t>egyetemi docens</w:t>
      </w:r>
    </w:p>
    <w:p w:rsidR="00BC66D7" w:rsidRDefault="00BC66D7" w:rsidP="00BC66D7">
      <w:pPr>
        <w:widowControl w:val="0"/>
        <w:spacing w:after="0" w:line="240" w:lineRule="auto"/>
        <w:ind w:left="6521"/>
        <w:jc w:val="center"/>
        <w:rPr>
          <w:rFonts w:ascii="Times New Roman" w:eastAsia="Times New Roman" w:hAnsi="Times New Roman" w:cs="Times New Roman"/>
          <w:bCs/>
        </w:rPr>
      </w:pPr>
      <w:r>
        <w:rPr>
          <w:rFonts w:ascii="Times New Roman" w:eastAsia="Times New Roman" w:hAnsi="Times New Roman" w:cs="Times New Roman"/>
          <w:bCs/>
        </w:rPr>
        <w:t>sk</w:t>
      </w:r>
    </w:p>
    <w:p w:rsidR="008665AD" w:rsidRDefault="008665AD">
      <w:pPr>
        <w:spacing w:after="200" w:line="276" w:lineRule="auto"/>
        <w:rPr>
          <w:rFonts w:ascii="Times New Roman" w:hAnsi="Times New Roman" w:cs="Times New Roman"/>
        </w:rPr>
      </w:pPr>
    </w:p>
    <w:p w:rsidR="00A24034" w:rsidRDefault="00A24034">
      <w:pPr>
        <w:spacing w:after="200" w:line="276" w:lineRule="auto"/>
        <w:rPr>
          <w:rFonts w:ascii="Times New Roman" w:hAnsi="Times New Roman" w:cs="Times New Roman"/>
        </w:rPr>
      </w:pPr>
      <w:r>
        <w:rPr>
          <w:rFonts w:ascii="Times New Roman" w:hAnsi="Times New Roman" w:cs="Times New Roman"/>
        </w:rPr>
        <w:br w:type="page"/>
      </w:r>
    </w:p>
    <w:tbl>
      <w:tblPr>
        <w:tblW w:w="9072" w:type="dxa"/>
        <w:tblInd w:w="113" w:type="dxa"/>
        <w:tblLook w:val="01E0" w:firstRow="1" w:lastRow="1" w:firstColumn="1" w:lastColumn="1" w:noHBand="0" w:noVBand="0"/>
      </w:tblPr>
      <w:tblGrid>
        <w:gridCol w:w="4855"/>
        <w:gridCol w:w="1620"/>
        <w:gridCol w:w="2597"/>
      </w:tblGrid>
      <w:tr w:rsidR="00F80CE7" w:rsidTr="00F80CE7">
        <w:tc>
          <w:tcPr>
            <w:tcW w:w="4855" w:type="dxa"/>
            <w:tcBorders>
              <w:top w:val="nil"/>
              <w:left w:val="nil"/>
              <w:bottom w:val="single" w:sz="4" w:space="0" w:color="auto"/>
              <w:right w:val="nil"/>
            </w:tcBorders>
            <w:hideMark/>
          </w:tcPr>
          <w:p w:rsidR="00F80CE7" w:rsidRDefault="00F80CE7">
            <w:pPr>
              <w:spacing w:after="0" w:line="240" w:lineRule="auto"/>
              <w:jc w:val="center"/>
              <w:rPr>
                <w:rFonts w:ascii="Times New Roman" w:eastAsia="Times New Roman" w:hAnsi="Times New Roman" w:cs="Times New Roman"/>
                <w:b/>
                <w:smallCaps/>
                <w:spacing w:val="8"/>
                <w:kern w:val="2"/>
                <w:lang w:eastAsia="hu-HU"/>
              </w:rPr>
            </w:pPr>
            <w:r>
              <w:rPr>
                <w:rFonts w:ascii="Times New Roman" w:eastAsia="Times New Roman" w:hAnsi="Times New Roman" w:cs="Times New Roman"/>
                <w:b/>
                <w:smallCaps/>
                <w:spacing w:val="8"/>
                <w:kern w:val="2"/>
                <w:lang w:eastAsia="hu-HU"/>
              </w:rPr>
              <w:lastRenderedPageBreak/>
              <w:t>Nemzeti Közszolgálati Egyetem</w:t>
            </w:r>
          </w:p>
        </w:tc>
        <w:tc>
          <w:tcPr>
            <w:tcW w:w="1620" w:type="dxa"/>
          </w:tcPr>
          <w:p w:rsidR="00F80CE7" w:rsidRDefault="00F80CE7">
            <w:pPr>
              <w:spacing w:after="0" w:line="240" w:lineRule="auto"/>
              <w:jc w:val="both"/>
              <w:rPr>
                <w:rFonts w:ascii="Times New Roman" w:eastAsia="Times New Roman" w:hAnsi="Times New Roman" w:cs="Times New Roman"/>
                <w:kern w:val="2"/>
                <w:lang w:eastAsia="hu-HU"/>
              </w:rPr>
            </w:pPr>
          </w:p>
        </w:tc>
        <w:tc>
          <w:tcPr>
            <w:tcW w:w="2597" w:type="dxa"/>
          </w:tcPr>
          <w:p w:rsidR="00F80CE7" w:rsidRDefault="00F80CE7">
            <w:pPr>
              <w:spacing w:after="0" w:line="240" w:lineRule="auto"/>
              <w:jc w:val="right"/>
              <w:rPr>
                <w:rFonts w:ascii="Times New Roman" w:eastAsia="Times New Roman" w:hAnsi="Times New Roman" w:cs="Times New Roman"/>
                <w:kern w:val="2"/>
                <w:lang w:eastAsia="hu-HU"/>
              </w:rPr>
            </w:pPr>
          </w:p>
        </w:tc>
      </w:tr>
      <w:tr w:rsidR="00F80CE7" w:rsidTr="00F80CE7">
        <w:tc>
          <w:tcPr>
            <w:tcW w:w="4855" w:type="dxa"/>
            <w:tcBorders>
              <w:top w:val="single" w:sz="4" w:space="0" w:color="auto"/>
              <w:left w:val="nil"/>
              <w:bottom w:val="nil"/>
              <w:right w:val="nil"/>
            </w:tcBorders>
            <w:hideMark/>
          </w:tcPr>
          <w:p w:rsidR="00F80CE7" w:rsidRDefault="00F80CE7">
            <w:pPr>
              <w:spacing w:after="0" w:line="240" w:lineRule="auto"/>
              <w:jc w:val="center"/>
              <w:rPr>
                <w:rFonts w:ascii="Times New Roman" w:eastAsia="Times New Roman" w:hAnsi="Times New Roman" w:cs="Times New Roman"/>
                <w:b/>
                <w:kern w:val="2"/>
                <w:lang w:eastAsia="hu-HU"/>
              </w:rPr>
            </w:pPr>
            <w:r>
              <w:rPr>
                <w:rFonts w:ascii="Times New Roman" w:eastAsia="Times New Roman" w:hAnsi="Times New Roman" w:cs="Times New Roman"/>
                <w:b/>
                <w:kern w:val="2"/>
                <w:lang w:eastAsia="hu-HU"/>
              </w:rPr>
              <w:t>Hadtudományi és Honvédtisztképző Kar</w:t>
            </w:r>
          </w:p>
        </w:tc>
        <w:tc>
          <w:tcPr>
            <w:tcW w:w="1620" w:type="dxa"/>
          </w:tcPr>
          <w:p w:rsidR="00F80CE7" w:rsidRDefault="00F80CE7">
            <w:pPr>
              <w:spacing w:after="0" w:line="240" w:lineRule="auto"/>
              <w:jc w:val="both"/>
              <w:rPr>
                <w:rFonts w:ascii="Times New Roman" w:eastAsia="Times New Roman" w:hAnsi="Times New Roman" w:cs="Times New Roman"/>
                <w:kern w:val="2"/>
                <w:lang w:eastAsia="hu-HU"/>
              </w:rPr>
            </w:pPr>
          </w:p>
        </w:tc>
        <w:tc>
          <w:tcPr>
            <w:tcW w:w="2597" w:type="dxa"/>
          </w:tcPr>
          <w:p w:rsidR="00F80CE7" w:rsidRDefault="00F80CE7">
            <w:pPr>
              <w:spacing w:after="0" w:line="240" w:lineRule="auto"/>
              <w:jc w:val="both"/>
              <w:rPr>
                <w:rFonts w:ascii="Times New Roman" w:eastAsia="Times New Roman" w:hAnsi="Times New Roman" w:cs="Times New Roman"/>
                <w:kern w:val="2"/>
                <w:lang w:eastAsia="hu-HU"/>
              </w:rPr>
            </w:pPr>
          </w:p>
        </w:tc>
      </w:tr>
    </w:tbl>
    <w:p w:rsidR="00F80CE7" w:rsidRDefault="00F80CE7" w:rsidP="00F80CE7">
      <w:pPr>
        <w:widowControl w:val="0"/>
        <w:spacing w:before="120" w:after="120" w:line="240" w:lineRule="auto"/>
        <w:ind w:left="426" w:hanging="142"/>
        <w:jc w:val="center"/>
        <w:rPr>
          <w:rFonts w:ascii="Times New Roman" w:eastAsia="Times New Roman" w:hAnsi="Times New Roman" w:cs="Times New Roman"/>
          <w:b/>
          <w:bCs/>
          <w:kern w:val="2"/>
        </w:rPr>
      </w:pPr>
    </w:p>
    <w:p w:rsidR="00F80CE7" w:rsidRDefault="00F80CE7" w:rsidP="00F80CE7">
      <w:pPr>
        <w:widowControl w:val="0"/>
        <w:spacing w:before="120" w:after="240" w:line="240" w:lineRule="auto"/>
        <w:ind w:left="426" w:hanging="142"/>
        <w:jc w:val="center"/>
        <w:rPr>
          <w:rFonts w:ascii="Times New Roman" w:eastAsia="Times New Roman" w:hAnsi="Times New Roman" w:cs="Times New Roman"/>
          <w:b/>
          <w:bCs/>
          <w:kern w:val="2"/>
        </w:rPr>
      </w:pPr>
      <w:r>
        <w:rPr>
          <w:rFonts w:ascii="Times New Roman" w:eastAsia="Times New Roman" w:hAnsi="Times New Roman" w:cs="Times New Roman"/>
          <w:b/>
          <w:bCs/>
          <w:kern w:val="2"/>
        </w:rPr>
        <w:t>TANTÁRGYI PROGRAM</w:t>
      </w:r>
    </w:p>
    <w:p w:rsidR="00F80CE7" w:rsidRDefault="00F80CE7" w:rsidP="00C2057B">
      <w:pPr>
        <w:widowControl w:val="0"/>
        <w:numPr>
          <w:ilvl w:val="0"/>
          <w:numId w:val="50"/>
        </w:numPr>
        <w:tabs>
          <w:tab w:val="num" w:pos="567"/>
        </w:tabs>
        <w:spacing w:before="120" w:after="120" w:line="240" w:lineRule="auto"/>
        <w:ind w:left="426" w:hanging="142"/>
        <w:jc w:val="both"/>
        <w:rPr>
          <w:rFonts w:ascii="Times New Roman" w:eastAsia="Times New Roman" w:hAnsi="Times New Roman" w:cs="Times New Roman"/>
          <w:b/>
          <w:bCs/>
          <w:kern w:val="2"/>
        </w:rPr>
      </w:pPr>
      <w:r>
        <w:rPr>
          <w:rFonts w:ascii="Times New Roman" w:eastAsia="Times New Roman" w:hAnsi="Times New Roman" w:cs="Times New Roman"/>
          <w:b/>
          <w:bCs/>
          <w:kern w:val="2"/>
        </w:rPr>
        <w:t xml:space="preserve">A tantárgy kódja: </w:t>
      </w:r>
      <w:r>
        <w:rPr>
          <w:rFonts w:ascii="Times New Roman" w:eastAsia="Times New Roman" w:hAnsi="Times New Roman" w:cs="Times New Roman"/>
          <w:bCs/>
        </w:rPr>
        <w:t>HKMTTA01</w:t>
      </w:r>
    </w:p>
    <w:p w:rsidR="00F80CE7" w:rsidRDefault="00F80CE7" w:rsidP="00C2057B">
      <w:pPr>
        <w:widowControl w:val="0"/>
        <w:numPr>
          <w:ilvl w:val="0"/>
          <w:numId w:val="50"/>
        </w:numPr>
        <w:tabs>
          <w:tab w:val="num" w:pos="567"/>
        </w:tabs>
        <w:spacing w:before="120" w:after="120" w:line="240" w:lineRule="auto"/>
        <w:ind w:left="426" w:hanging="142"/>
        <w:jc w:val="both"/>
        <w:rPr>
          <w:rFonts w:ascii="Times New Roman" w:eastAsia="Times New Roman" w:hAnsi="Times New Roman" w:cs="Times New Roman"/>
          <w:b/>
          <w:bCs/>
          <w:kern w:val="2"/>
        </w:rPr>
      </w:pPr>
      <w:r>
        <w:rPr>
          <w:rFonts w:ascii="Times New Roman" w:eastAsia="Times New Roman" w:hAnsi="Times New Roman" w:cs="Times New Roman"/>
          <w:b/>
          <w:bCs/>
          <w:kern w:val="2"/>
        </w:rPr>
        <w:t xml:space="preserve">A tantárgy megnevezése (magyarul): </w:t>
      </w:r>
      <w:r>
        <w:rPr>
          <w:rFonts w:ascii="Times New Roman" w:eastAsia="Times New Roman" w:hAnsi="Times New Roman" w:cs="Times New Roman"/>
          <w:bCs/>
        </w:rPr>
        <w:t>Katonai tereptan és geoinformációs ismeretek</w:t>
      </w:r>
    </w:p>
    <w:p w:rsidR="00F80CE7" w:rsidRDefault="00F80CE7" w:rsidP="00C2057B">
      <w:pPr>
        <w:widowControl w:val="0"/>
        <w:numPr>
          <w:ilvl w:val="0"/>
          <w:numId w:val="50"/>
        </w:numPr>
        <w:tabs>
          <w:tab w:val="num" w:pos="567"/>
        </w:tabs>
        <w:spacing w:before="120" w:after="120" w:line="240" w:lineRule="auto"/>
        <w:ind w:left="426" w:hanging="142"/>
        <w:jc w:val="both"/>
        <w:rPr>
          <w:rFonts w:ascii="Times New Roman" w:eastAsia="Times New Roman" w:hAnsi="Times New Roman" w:cs="Times New Roman"/>
          <w:b/>
          <w:bCs/>
          <w:kern w:val="2"/>
        </w:rPr>
      </w:pPr>
      <w:r>
        <w:rPr>
          <w:rFonts w:ascii="Times New Roman" w:eastAsia="Times New Roman" w:hAnsi="Times New Roman" w:cs="Times New Roman"/>
          <w:b/>
          <w:bCs/>
          <w:kern w:val="2"/>
        </w:rPr>
        <w:t xml:space="preserve">A tantárgy megnevezése (angolul): </w:t>
      </w:r>
      <w:r>
        <w:rPr>
          <w:rFonts w:ascii="Times New Roman" w:eastAsia="Times New Roman" w:hAnsi="Times New Roman" w:cs="Times New Roman"/>
          <w:bCs/>
          <w:lang w:val="en-US"/>
        </w:rPr>
        <w:t>Military Topography and Geoinformatics</w:t>
      </w:r>
    </w:p>
    <w:p w:rsidR="00F80CE7" w:rsidRDefault="00F80CE7" w:rsidP="00C2057B">
      <w:pPr>
        <w:widowControl w:val="0"/>
        <w:numPr>
          <w:ilvl w:val="0"/>
          <w:numId w:val="50"/>
        </w:numPr>
        <w:tabs>
          <w:tab w:val="num" w:pos="567"/>
        </w:tabs>
        <w:spacing w:before="120" w:after="120" w:line="240" w:lineRule="auto"/>
        <w:ind w:left="426" w:hanging="142"/>
        <w:jc w:val="both"/>
        <w:rPr>
          <w:rFonts w:ascii="Times New Roman" w:eastAsia="Times New Roman" w:hAnsi="Times New Roman" w:cs="Times New Roman"/>
          <w:b/>
          <w:bCs/>
          <w:kern w:val="2"/>
        </w:rPr>
      </w:pPr>
      <w:r>
        <w:rPr>
          <w:rFonts w:ascii="Times New Roman" w:eastAsia="Times New Roman" w:hAnsi="Times New Roman" w:cs="Times New Roman"/>
          <w:b/>
          <w:bCs/>
          <w:kern w:val="2"/>
        </w:rPr>
        <w:t xml:space="preserve">Kreditérték és képzési karakter: </w:t>
      </w:r>
    </w:p>
    <w:p w:rsidR="00F80CE7" w:rsidRDefault="00F80CE7" w:rsidP="00C2057B">
      <w:pPr>
        <w:pStyle w:val="Listaszerbekezds"/>
        <w:widowControl w:val="0"/>
        <w:numPr>
          <w:ilvl w:val="1"/>
          <w:numId w:val="50"/>
        </w:numPr>
        <w:spacing w:before="120" w:after="120" w:line="240" w:lineRule="auto"/>
        <w:ind w:left="993" w:hanging="426"/>
        <w:jc w:val="both"/>
        <w:rPr>
          <w:rFonts w:ascii="Times New Roman" w:eastAsia="Times New Roman" w:hAnsi="Times New Roman" w:cs="Times New Roman"/>
          <w:b/>
          <w:bCs/>
          <w:kern w:val="2"/>
        </w:rPr>
      </w:pPr>
      <w:r>
        <w:rPr>
          <w:rFonts w:ascii="Times New Roman" w:eastAsia="Times New Roman" w:hAnsi="Times New Roman" w:cs="Times New Roman"/>
          <w:bCs/>
          <w:kern w:val="2"/>
        </w:rPr>
        <w:t>2 kredit</w:t>
      </w:r>
    </w:p>
    <w:p w:rsidR="00F80CE7" w:rsidRDefault="00F80CE7" w:rsidP="00C2057B">
      <w:pPr>
        <w:pStyle w:val="Listaszerbekezds"/>
        <w:widowControl w:val="0"/>
        <w:numPr>
          <w:ilvl w:val="1"/>
          <w:numId w:val="50"/>
        </w:numPr>
        <w:spacing w:before="120" w:after="120" w:line="240" w:lineRule="auto"/>
        <w:ind w:left="993" w:hanging="426"/>
        <w:jc w:val="both"/>
        <w:rPr>
          <w:rFonts w:ascii="Times New Roman" w:eastAsia="Times New Roman" w:hAnsi="Times New Roman" w:cs="Times New Roman"/>
          <w:b/>
          <w:bCs/>
          <w:kern w:val="2"/>
        </w:rPr>
      </w:pPr>
      <w:r>
        <w:rPr>
          <w:rFonts w:ascii="Times New Roman" w:eastAsia="Times New Roman" w:hAnsi="Times New Roman" w:cs="Times New Roman"/>
          <w:bCs/>
          <w:kern w:val="2"/>
        </w:rPr>
        <w:t>a tantárgy elméleti vagy gyakorlati jellegének mértéke: 50</w:t>
      </w:r>
      <w:r>
        <w:rPr>
          <w:rFonts w:ascii="Times New Roman" w:eastAsia="Times New Roman" w:hAnsi="Times New Roman" w:cs="Times New Roman"/>
          <w:b/>
          <w:bCs/>
          <w:kern w:val="2"/>
        </w:rPr>
        <w:t xml:space="preserve"> </w:t>
      </w:r>
      <w:r>
        <w:rPr>
          <w:rFonts w:ascii="Times New Roman" w:eastAsia="Times New Roman" w:hAnsi="Times New Roman" w:cs="Times New Roman"/>
          <w:bCs/>
          <w:kern w:val="2"/>
        </w:rPr>
        <w:t>% gyakorlat, 50 % elmélet</w:t>
      </w:r>
    </w:p>
    <w:p w:rsidR="00F80CE7" w:rsidRDefault="00F80CE7" w:rsidP="00C2057B">
      <w:pPr>
        <w:widowControl w:val="0"/>
        <w:numPr>
          <w:ilvl w:val="0"/>
          <w:numId w:val="50"/>
        </w:numPr>
        <w:tabs>
          <w:tab w:val="num" w:pos="567"/>
        </w:tabs>
        <w:spacing w:before="120" w:after="120" w:line="240" w:lineRule="auto"/>
        <w:ind w:left="426" w:hanging="142"/>
        <w:jc w:val="both"/>
        <w:rPr>
          <w:rFonts w:ascii="Times New Roman" w:eastAsia="Times New Roman" w:hAnsi="Times New Roman" w:cs="Times New Roman"/>
          <w:bCs/>
          <w:kern w:val="2"/>
        </w:rPr>
      </w:pPr>
      <w:r>
        <w:rPr>
          <w:rFonts w:ascii="Times New Roman" w:eastAsia="Times New Roman" w:hAnsi="Times New Roman" w:cs="Times New Roman"/>
          <w:b/>
          <w:bCs/>
          <w:kern w:val="2"/>
        </w:rPr>
        <w:t>A szak(ok), szakirányok/specializációk megnevezése (ahol oktatják):</w:t>
      </w:r>
      <w:r>
        <w:rPr>
          <w:rFonts w:ascii="Times New Roman" w:eastAsia="Times New Roman" w:hAnsi="Times New Roman" w:cs="Times New Roman"/>
          <w:bCs/>
          <w:kern w:val="2"/>
        </w:rPr>
        <w:t xml:space="preserve"> Állami légiközlekedési alapképzési szak, Katonai logisztika alapképzési szak, Katonai üzemeltetés alapképzési szak, Katonai vezetői alapképzési szak</w:t>
      </w:r>
    </w:p>
    <w:p w:rsidR="00F80CE7" w:rsidRDefault="00F80CE7" w:rsidP="00C2057B">
      <w:pPr>
        <w:widowControl w:val="0"/>
        <w:numPr>
          <w:ilvl w:val="0"/>
          <w:numId w:val="50"/>
        </w:numPr>
        <w:tabs>
          <w:tab w:val="num" w:pos="567"/>
        </w:tabs>
        <w:spacing w:before="120" w:after="120" w:line="240" w:lineRule="auto"/>
        <w:ind w:left="426" w:hanging="142"/>
        <w:jc w:val="both"/>
        <w:rPr>
          <w:rFonts w:ascii="Times New Roman" w:eastAsia="Times New Roman" w:hAnsi="Times New Roman" w:cs="Times New Roman"/>
          <w:bCs/>
          <w:kern w:val="2"/>
        </w:rPr>
      </w:pPr>
      <w:r>
        <w:rPr>
          <w:rFonts w:ascii="Times New Roman" w:eastAsia="Times New Roman" w:hAnsi="Times New Roman" w:cs="Times New Roman"/>
          <w:b/>
          <w:bCs/>
          <w:kern w:val="2"/>
        </w:rPr>
        <w:t xml:space="preserve">Az oktatásért felelős oktatási szervezeti egység megnevezése: </w:t>
      </w:r>
      <w:r>
        <w:rPr>
          <w:rFonts w:ascii="Times New Roman" w:hAnsi="Times New Roman" w:cs="Times New Roman"/>
          <w:bCs/>
          <w:kern w:val="2"/>
        </w:rPr>
        <w:t>Hadtudományi és Honvédtisztképző Kar, Műveleti Támogató Tanszék</w:t>
      </w:r>
    </w:p>
    <w:p w:rsidR="00F80CE7" w:rsidRDefault="00F80CE7" w:rsidP="00C2057B">
      <w:pPr>
        <w:widowControl w:val="0"/>
        <w:numPr>
          <w:ilvl w:val="0"/>
          <w:numId w:val="50"/>
        </w:numPr>
        <w:tabs>
          <w:tab w:val="num" w:pos="567"/>
        </w:tabs>
        <w:spacing w:before="120" w:after="120" w:line="240" w:lineRule="auto"/>
        <w:ind w:left="426" w:hanging="142"/>
        <w:jc w:val="both"/>
        <w:rPr>
          <w:rFonts w:ascii="Times New Roman" w:eastAsia="Times New Roman" w:hAnsi="Times New Roman" w:cs="Times New Roman"/>
          <w:bCs/>
          <w:kern w:val="2"/>
        </w:rPr>
      </w:pPr>
      <w:r>
        <w:rPr>
          <w:rFonts w:ascii="Times New Roman" w:eastAsia="Times New Roman" w:hAnsi="Times New Roman" w:cs="Times New Roman"/>
          <w:b/>
          <w:bCs/>
          <w:kern w:val="2"/>
        </w:rPr>
        <w:t>A tantárgyfelelős oktató neve, beosztása, tudományos fokozata:</w:t>
      </w:r>
      <w:r>
        <w:rPr>
          <w:rFonts w:ascii="Times New Roman" w:eastAsia="Times New Roman" w:hAnsi="Times New Roman" w:cs="Times New Roman"/>
          <w:bCs/>
          <w:kern w:val="2"/>
        </w:rPr>
        <w:t xml:space="preserve"> </w:t>
      </w:r>
      <w:r>
        <w:rPr>
          <w:rFonts w:ascii="Times New Roman" w:hAnsi="Times New Roman" w:cs="Times New Roman"/>
          <w:kern w:val="2"/>
        </w:rPr>
        <w:t>Dr. Kállai Attila, egyetemi docens, PhD</w:t>
      </w:r>
    </w:p>
    <w:p w:rsidR="00F80CE7" w:rsidRDefault="00F80CE7" w:rsidP="00C2057B">
      <w:pPr>
        <w:widowControl w:val="0"/>
        <w:numPr>
          <w:ilvl w:val="0"/>
          <w:numId w:val="50"/>
        </w:numPr>
        <w:tabs>
          <w:tab w:val="num" w:pos="567"/>
        </w:tabs>
        <w:spacing w:before="120" w:after="120" w:line="240" w:lineRule="auto"/>
        <w:ind w:left="426" w:hanging="142"/>
        <w:jc w:val="both"/>
        <w:rPr>
          <w:rFonts w:ascii="Times New Roman" w:eastAsia="Times New Roman" w:hAnsi="Times New Roman" w:cs="Times New Roman"/>
          <w:bCs/>
          <w:kern w:val="2"/>
        </w:rPr>
      </w:pPr>
      <w:r>
        <w:rPr>
          <w:rFonts w:ascii="Times New Roman" w:eastAsia="Times New Roman" w:hAnsi="Times New Roman" w:cs="Times New Roman"/>
          <w:b/>
          <w:bCs/>
          <w:kern w:val="2"/>
        </w:rPr>
        <w:t>A tanórák száma és típusa</w:t>
      </w:r>
    </w:p>
    <w:p w:rsidR="00F80CE7" w:rsidRDefault="00F80CE7" w:rsidP="00C2057B">
      <w:pPr>
        <w:widowControl w:val="0"/>
        <w:numPr>
          <w:ilvl w:val="1"/>
          <w:numId w:val="50"/>
        </w:numPr>
        <w:tabs>
          <w:tab w:val="num" w:pos="709"/>
          <w:tab w:val="num" w:pos="2069"/>
        </w:tabs>
        <w:spacing w:after="60" w:line="240" w:lineRule="auto"/>
        <w:ind w:left="850" w:hanging="425"/>
        <w:jc w:val="both"/>
        <w:rPr>
          <w:rFonts w:ascii="Times New Roman" w:eastAsia="Times New Roman" w:hAnsi="Times New Roman" w:cs="Times New Roman"/>
          <w:bCs/>
          <w:kern w:val="2"/>
        </w:rPr>
      </w:pPr>
      <w:r>
        <w:rPr>
          <w:rFonts w:ascii="Times New Roman" w:eastAsia="Times New Roman" w:hAnsi="Times New Roman" w:cs="Times New Roman"/>
          <w:bCs/>
          <w:kern w:val="2"/>
        </w:rPr>
        <w:t>össz óraszám/félév:</w:t>
      </w:r>
    </w:p>
    <w:p w:rsidR="00F80CE7" w:rsidRDefault="00F80CE7" w:rsidP="00C2057B">
      <w:pPr>
        <w:widowControl w:val="0"/>
        <w:numPr>
          <w:ilvl w:val="2"/>
          <w:numId w:val="50"/>
        </w:numPr>
        <w:tabs>
          <w:tab w:val="num" w:pos="709"/>
          <w:tab w:val="num" w:pos="1134"/>
        </w:tabs>
        <w:spacing w:after="60" w:line="240" w:lineRule="auto"/>
        <w:ind w:left="993" w:hanging="425"/>
        <w:jc w:val="both"/>
        <w:rPr>
          <w:rFonts w:ascii="Times New Roman" w:eastAsia="Times New Roman" w:hAnsi="Times New Roman" w:cs="Times New Roman"/>
          <w:bCs/>
          <w:kern w:val="2"/>
        </w:rPr>
      </w:pPr>
      <w:r>
        <w:rPr>
          <w:rFonts w:ascii="Times New Roman" w:eastAsia="Times New Roman" w:hAnsi="Times New Roman" w:cs="Times New Roman"/>
          <w:bCs/>
          <w:kern w:val="2"/>
        </w:rPr>
        <w:t>nappali munkarend: 28 (14 EA + 0 SZ + 14 GY)</w:t>
      </w:r>
    </w:p>
    <w:p w:rsidR="00F80CE7" w:rsidRDefault="00F80CE7" w:rsidP="00C2057B">
      <w:pPr>
        <w:widowControl w:val="0"/>
        <w:numPr>
          <w:ilvl w:val="2"/>
          <w:numId w:val="50"/>
        </w:numPr>
        <w:tabs>
          <w:tab w:val="num" w:pos="709"/>
          <w:tab w:val="num" w:pos="1134"/>
        </w:tabs>
        <w:spacing w:after="60" w:line="240" w:lineRule="auto"/>
        <w:ind w:left="993" w:hanging="425"/>
        <w:jc w:val="both"/>
        <w:rPr>
          <w:rFonts w:ascii="Times New Roman" w:eastAsia="Times New Roman" w:hAnsi="Times New Roman" w:cs="Times New Roman"/>
          <w:bCs/>
          <w:kern w:val="2"/>
        </w:rPr>
      </w:pPr>
      <w:r>
        <w:rPr>
          <w:rFonts w:ascii="Times New Roman" w:eastAsia="Times New Roman" w:hAnsi="Times New Roman" w:cs="Times New Roman"/>
          <w:bCs/>
          <w:kern w:val="2"/>
        </w:rPr>
        <w:t>levelező munkarend: —</w:t>
      </w:r>
    </w:p>
    <w:p w:rsidR="00F80CE7" w:rsidRDefault="00F80CE7" w:rsidP="00C2057B">
      <w:pPr>
        <w:widowControl w:val="0"/>
        <w:numPr>
          <w:ilvl w:val="1"/>
          <w:numId w:val="50"/>
        </w:numPr>
        <w:tabs>
          <w:tab w:val="num" w:pos="709"/>
          <w:tab w:val="num" w:pos="2069"/>
        </w:tabs>
        <w:spacing w:after="60" w:line="240" w:lineRule="auto"/>
        <w:ind w:left="850" w:hanging="425"/>
        <w:jc w:val="both"/>
        <w:rPr>
          <w:rFonts w:ascii="Times New Roman" w:eastAsia="Times New Roman" w:hAnsi="Times New Roman" w:cs="Times New Roman"/>
          <w:bCs/>
          <w:kern w:val="2"/>
        </w:rPr>
      </w:pPr>
      <w:r>
        <w:rPr>
          <w:rFonts w:ascii="Times New Roman" w:eastAsia="Times New Roman" w:hAnsi="Times New Roman" w:cs="Times New Roman"/>
          <w:bCs/>
          <w:kern w:val="2"/>
        </w:rPr>
        <w:t>heti óraszám - nappali munkarend: 2 (1 + 1)</w:t>
      </w:r>
    </w:p>
    <w:p w:rsidR="00F80CE7" w:rsidRDefault="00F80CE7" w:rsidP="00C2057B">
      <w:pPr>
        <w:widowControl w:val="0"/>
        <w:numPr>
          <w:ilvl w:val="1"/>
          <w:numId w:val="50"/>
        </w:numPr>
        <w:tabs>
          <w:tab w:val="num" w:pos="709"/>
          <w:tab w:val="num" w:pos="2069"/>
        </w:tabs>
        <w:spacing w:after="60" w:line="240" w:lineRule="auto"/>
        <w:ind w:left="850" w:hanging="425"/>
        <w:jc w:val="both"/>
        <w:rPr>
          <w:rFonts w:ascii="Times New Roman" w:eastAsia="Times New Roman" w:hAnsi="Times New Roman" w:cs="Times New Roman"/>
          <w:bCs/>
          <w:kern w:val="2"/>
        </w:rPr>
      </w:pPr>
      <w:r>
        <w:rPr>
          <w:rFonts w:ascii="Times New Roman" w:hAnsi="Times New Roman" w:cs="Times New Roman"/>
          <w:kern w:val="2"/>
        </w:rPr>
        <w:t xml:space="preserve">Az </w:t>
      </w:r>
      <w:r>
        <w:rPr>
          <w:rFonts w:ascii="Times New Roman" w:eastAsia="Times New Roman" w:hAnsi="Times New Roman" w:cs="Times New Roman"/>
          <w:bCs/>
          <w:kern w:val="2"/>
        </w:rPr>
        <w:t>ismeret</w:t>
      </w:r>
      <w:r>
        <w:rPr>
          <w:rFonts w:ascii="Times New Roman" w:hAnsi="Times New Roman" w:cs="Times New Roman"/>
          <w:kern w:val="2"/>
        </w:rPr>
        <w:t xml:space="preserve"> átadásában alkalmazandó további sajátos módok, jellemzők: vegyes tanulási program (</w:t>
      </w:r>
      <w:r>
        <w:rPr>
          <w:rFonts w:ascii="Times New Roman" w:hAnsi="Times New Roman" w:cs="Times New Roman"/>
          <w:i/>
          <w:kern w:val="2"/>
        </w:rPr>
        <w:t>blended learning</w:t>
      </w:r>
      <w:r>
        <w:rPr>
          <w:rFonts w:ascii="Times New Roman" w:hAnsi="Times New Roman" w:cs="Times New Roman"/>
          <w:kern w:val="2"/>
        </w:rPr>
        <w:t>)</w:t>
      </w:r>
    </w:p>
    <w:p w:rsidR="00F80CE7" w:rsidRDefault="00F80CE7" w:rsidP="00C2057B">
      <w:pPr>
        <w:widowControl w:val="0"/>
        <w:numPr>
          <w:ilvl w:val="0"/>
          <w:numId w:val="50"/>
        </w:numPr>
        <w:tabs>
          <w:tab w:val="num" w:pos="567"/>
        </w:tabs>
        <w:spacing w:before="120" w:after="120" w:line="240" w:lineRule="auto"/>
        <w:ind w:left="426" w:hanging="142"/>
        <w:jc w:val="both"/>
        <w:rPr>
          <w:rFonts w:ascii="Times New Roman" w:eastAsia="Times New Roman" w:hAnsi="Times New Roman" w:cs="Times New Roman"/>
          <w:bCs/>
          <w:kern w:val="2"/>
        </w:rPr>
      </w:pPr>
      <w:r>
        <w:rPr>
          <w:rFonts w:ascii="Times New Roman" w:eastAsia="Times New Roman" w:hAnsi="Times New Roman" w:cs="Times New Roman"/>
          <w:b/>
          <w:bCs/>
          <w:kern w:val="2"/>
        </w:rPr>
        <w:t>A tantárgy szakmai tartalma (magyarul):</w:t>
      </w:r>
      <w:r>
        <w:rPr>
          <w:rFonts w:ascii="Times New Roman" w:eastAsia="Times New Roman" w:hAnsi="Times New Roman" w:cs="Times New Roman"/>
          <w:bCs/>
          <w:kern w:val="2"/>
        </w:rPr>
        <w:t xml:space="preserve"> </w:t>
      </w:r>
      <w:r>
        <w:rPr>
          <w:rFonts w:ascii="Times New Roman" w:eastAsia="Times New Roman" w:hAnsi="Times New Roman" w:cs="Times New Roman"/>
        </w:rPr>
        <w:t xml:space="preserve">A tantárgy célja, hogy a honvéd tisztjelöltek </w:t>
      </w:r>
      <w:r>
        <w:rPr>
          <w:rFonts w:ascii="Times New Roman" w:eastAsia="Times New Roman" w:hAnsi="Times New Roman" w:cs="Times New Roman"/>
          <w:bCs/>
          <w:spacing w:val="-4"/>
          <w:kern w:val="24"/>
        </w:rPr>
        <w:t>megismerjék a katonai gyakorlatban alkalmazott térképek,</w:t>
      </w:r>
      <w:r>
        <w:rPr>
          <w:rFonts w:ascii="Times New Roman" w:hAnsi="Times New Roman" w:cs="Times New Roman"/>
          <w:bCs/>
          <w:spacing w:val="-4"/>
          <w:kern w:val="2"/>
        </w:rPr>
        <w:t xml:space="preserve"> geoinformációs adatok és anyagok jellemző tulajdonságait, felhasználásuk módjait</w:t>
      </w:r>
      <w:r>
        <w:rPr>
          <w:rFonts w:ascii="Times New Roman" w:eastAsia="Times New Roman" w:hAnsi="Times New Roman" w:cs="Times New Roman"/>
          <w:bCs/>
          <w:kern w:val="2"/>
        </w:rPr>
        <w:t xml:space="preserve">; </w:t>
      </w:r>
      <w:r>
        <w:rPr>
          <w:rFonts w:ascii="Times New Roman" w:eastAsia="Times New Roman" w:hAnsi="Times New Roman" w:cs="Times New Roman"/>
          <w:bCs/>
          <w:spacing w:val="-4"/>
          <w:kern w:val="24"/>
        </w:rPr>
        <w:t xml:space="preserve">a terep fogalmát, típusait és harcászati jellemzőit; a terepi tájékozódás módszereit és szabályait; a terepi tájékozódás eszközeit és feladatait; </w:t>
      </w:r>
      <w:r>
        <w:rPr>
          <w:rFonts w:ascii="Times New Roman" w:hAnsi="Times New Roman" w:cs="Times New Roman"/>
          <w:bCs/>
          <w:spacing w:val="-4"/>
          <w:kern w:val="2"/>
        </w:rPr>
        <w:t>terep tanulmányozásának és értékelésének feladatait és végrehajtását; a katonaföldrajzi tényezők hatásainak értékelési jellemzőit.</w:t>
      </w:r>
    </w:p>
    <w:p w:rsidR="00F80CE7" w:rsidRDefault="00F80CE7" w:rsidP="00F80CE7">
      <w:pPr>
        <w:widowControl w:val="0"/>
        <w:spacing w:before="120" w:after="120" w:line="240" w:lineRule="auto"/>
        <w:ind w:left="426"/>
        <w:jc w:val="both"/>
        <w:rPr>
          <w:rFonts w:ascii="Times New Roman" w:hAnsi="Times New Roman" w:cs="Times New Roman"/>
          <w:bCs/>
          <w:kern w:val="2"/>
          <w:lang w:val="en-US"/>
        </w:rPr>
      </w:pPr>
      <w:r>
        <w:rPr>
          <w:rFonts w:ascii="Times New Roman" w:hAnsi="Times New Roman" w:cs="Times New Roman"/>
          <w:b/>
          <w:bCs/>
          <w:kern w:val="2"/>
          <w:lang w:val="en-US"/>
        </w:rPr>
        <w:t>A tantárgy szakmai tartalma (angolul) (Course description):</w:t>
      </w:r>
      <w:r>
        <w:rPr>
          <w:rFonts w:ascii="Times New Roman" w:hAnsi="Times New Roman" w:cs="Times New Roman"/>
          <w:bCs/>
          <w:kern w:val="2"/>
          <w:lang w:val="en-US"/>
        </w:rPr>
        <w:t xml:space="preserve"> The aim of the subject is to make cadets familiar with characteristics and uses of </w:t>
      </w:r>
      <w:r>
        <w:rPr>
          <w:rStyle w:val="tlid-translation"/>
          <w:rFonts w:ascii="Times New Roman" w:hAnsi="Times New Roman" w:cs="Times New Roman"/>
          <w:lang w:val="en"/>
        </w:rPr>
        <w:t xml:space="preserve">maps, GIS data and products in military practice; the essence, types and combat characteristics of the terrain; methods, rules, tools and tasks of land navigation; </w:t>
      </w:r>
      <w:r>
        <w:rPr>
          <w:rFonts w:ascii="Times New Roman" w:hAnsi="Times New Roman" w:cs="Times New Roman"/>
          <w:bCs/>
          <w:kern w:val="2"/>
          <w:lang w:val="en-US"/>
        </w:rPr>
        <w:t xml:space="preserve">the procedures and tasks of terrain analysis and evaluation; as well as with effects of </w:t>
      </w:r>
      <w:r>
        <w:rPr>
          <w:rStyle w:val="alt-edited"/>
          <w:rFonts w:ascii="Times New Roman" w:hAnsi="Times New Roman" w:cs="Times New Roman"/>
          <w:lang w:val="en"/>
        </w:rPr>
        <w:t>assessment features</w:t>
      </w:r>
      <w:r>
        <w:rPr>
          <w:rFonts w:ascii="Times New Roman" w:hAnsi="Times New Roman" w:cs="Times New Roman"/>
          <w:bCs/>
          <w:kern w:val="2"/>
          <w:lang w:val="en-US"/>
        </w:rPr>
        <w:t xml:space="preserve"> of military geographic factors.</w:t>
      </w:r>
    </w:p>
    <w:p w:rsidR="00F80CE7" w:rsidRDefault="00F80CE7" w:rsidP="00C2057B">
      <w:pPr>
        <w:widowControl w:val="0"/>
        <w:numPr>
          <w:ilvl w:val="0"/>
          <w:numId w:val="50"/>
        </w:numPr>
        <w:tabs>
          <w:tab w:val="num" w:pos="567"/>
        </w:tabs>
        <w:spacing w:before="120" w:after="120" w:line="240" w:lineRule="auto"/>
        <w:ind w:left="426" w:hanging="142"/>
        <w:jc w:val="both"/>
        <w:rPr>
          <w:rFonts w:ascii="Times New Roman" w:eastAsia="Times New Roman" w:hAnsi="Times New Roman" w:cs="Times New Roman"/>
          <w:bCs/>
          <w:kern w:val="2"/>
        </w:rPr>
      </w:pPr>
      <w:r>
        <w:rPr>
          <w:rFonts w:ascii="Times New Roman" w:eastAsia="Times New Roman" w:hAnsi="Times New Roman" w:cs="Times New Roman"/>
          <w:b/>
          <w:bCs/>
          <w:kern w:val="2"/>
        </w:rPr>
        <w:t xml:space="preserve">Elérendő kompetenciák (magyarul): </w:t>
      </w:r>
    </w:p>
    <w:p w:rsidR="00F80CE7" w:rsidRDefault="00F80CE7" w:rsidP="00F80CE7">
      <w:pPr>
        <w:widowControl w:val="0"/>
        <w:spacing w:before="120" w:after="0" w:line="240" w:lineRule="auto"/>
        <w:ind w:left="425"/>
        <w:jc w:val="both"/>
        <w:rPr>
          <w:rFonts w:ascii="Times New Roman" w:eastAsia="Times New Roman" w:hAnsi="Times New Roman" w:cs="Times New Roman"/>
          <w:bCs/>
          <w:kern w:val="2"/>
        </w:rPr>
      </w:pPr>
      <w:r>
        <w:rPr>
          <w:rFonts w:ascii="Times New Roman" w:eastAsia="Times New Roman" w:hAnsi="Times New Roman" w:cs="Times New Roman"/>
          <w:b/>
          <w:bCs/>
          <w:kern w:val="2"/>
        </w:rPr>
        <w:t>Tudása:</w:t>
      </w:r>
      <w:r>
        <w:rPr>
          <w:rFonts w:ascii="Times New Roman" w:eastAsia="Times New Roman" w:hAnsi="Times New Roman" w:cs="Times New Roman"/>
          <w:bCs/>
          <w:kern w:val="2"/>
        </w:rPr>
        <w:t xml:space="preserve"> </w:t>
      </w:r>
    </w:p>
    <w:p w:rsidR="00F80CE7" w:rsidRDefault="00F80CE7" w:rsidP="00C2057B">
      <w:pPr>
        <w:pStyle w:val="Listaszerbekezds"/>
        <w:widowControl w:val="0"/>
        <w:numPr>
          <w:ilvl w:val="0"/>
          <w:numId w:val="51"/>
        </w:numPr>
        <w:spacing w:before="120" w:after="120" w:line="240" w:lineRule="auto"/>
        <w:jc w:val="both"/>
        <w:rPr>
          <w:rFonts w:ascii="Times New Roman" w:eastAsia="Times New Roman" w:hAnsi="Times New Roman" w:cs="Times New Roman"/>
          <w:bCs/>
          <w:kern w:val="2"/>
        </w:rPr>
      </w:pPr>
      <w:r>
        <w:rPr>
          <w:rFonts w:ascii="Times New Roman" w:eastAsia="Times New Roman" w:hAnsi="Times New Roman" w:cs="Times New Roman"/>
          <w:bCs/>
          <w:kern w:val="2"/>
        </w:rPr>
        <w:t>Ismeri az összfegyvernemi harc támogatásának és kiszolgáló támogatásának alapvető feladatait.</w:t>
      </w:r>
    </w:p>
    <w:p w:rsidR="00F80CE7" w:rsidRDefault="00F80CE7" w:rsidP="00C2057B">
      <w:pPr>
        <w:pStyle w:val="Listaszerbekezds"/>
        <w:widowControl w:val="0"/>
        <w:numPr>
          <w:ilvl w:val="0"/>
          <w:numId w:val="51"/>
        </w:numPr>
        <w:spacing w:before="120" w:after="120" w:line="240" w:lineRule="auto"/>
        <w:jc w:val="both"/>
        <w:rPr>
          <w:rFonts w:ascii="Times New Roman" w:eastAsia="Times New Roman" w:hAnsi="Times New Roman" w:cs="Times New Roman"/>
          <w:bCs/>
          <w:kern w:val="2"/>
        </w:rPr>
      </w:pPr>
      <w:r>
        <w:rPr>
          <w:rFonts w:ascii="Times New Roman" w:eastAsia="Times New Roman" w:hAnsi="Times New Roman" w:cs="Times New Roman"/>
          <w:bCs/>
          <w:kern w:val="2"/>
        </w:rPr>
        <w:t>Rendelkezik korszerű katonai térképészeti, tereptani és katonaföldrajzi ismeretekkel.</w:t>
      </w:r>
    </w:p>
    <w:p w:rsidR="00F80CE7" w:rsidRDefault="00F80CE7" w:rsidP="00F80CE7">
      <w:pPr>
        <w:widowControl w:val="0"/>
        <w:spacing w:before="120" w:after="120" w:line="240" w:lineRule="auto"/>
        <w:ind w:left="426"/>
        <w:jc w:val="both"/>
        <w:rPr>
          <w:rFonts w:ascii="Times New Roman" w:hAnsi="Times New Roman" w:cs="Times New Roman"/>
        </w:rPr>
      </w:pPr>
      <w:r>
        <w:rPr>
          <w:rFonts w:ascii="Times New Roman" w:eastAsia="Times New Roman" w:hAnsi="Times New Roman" w:cs="Times New Roman"/>
          <w:b/>
          <w:bCs/>
          <w:kern w:val="2"/>
        </w:rPr>
        <w:t>Képességei:</w:t>
      </w:r>
    </w:p>
    <w:p w:rsidR="00F80CE7" w:rsidRDefault="00F80CE7" w:rsidP="00C2057B">
      <w:pPr>
        <w:pStyle w:val="Listaszerbekezds"/>
        <w:widowControl w:val="0"/>
        <w:numPr>
          <w:ilvl w:val="0"/>
          <w:numId w:val="51"/>
        </w:numPr>
        <w:spacing w:before="120" w:after="120" w:line="240" w:lineRule="auto"/>
        <w:jc w:val="both"/>
        <w:rPr>
          <w:rFonts w:ascii="Times New Roman" w:eastAsia="Times New Roman" w:hAnsi="Times New Roman" w:cs="Times New Roman"/>
          <w:bCs/>
          <w:kern w:val="2"/>
        </w:rPr>
      </w:pPr>
      <w:r>
        <w:rPr>
          <w:rFonts w:ascii="Times New Roman" w:eastAsia="Times New Roman" w:hAnsi="Times New Roman" w:cs="Times New Roman"/>
          <w:bCs/>
          <w:kern w:val="2"/>
        </w:rPr>
        <w:t xml:space="preserve">Képes a rábízott alegység harc és harccal kapcsolatos tevékenységének megtervezésére, megszervezésére és vezetésére. </w:t>
      </w:r>
    </w:p>
    <w:p w:rsidR="00F80CE7" w:rsidRDefault="00F80CE7" w:rsidP="00C2057B">
      <w:pPr>
        <w:pStyle w:val="Listaszerbekezds"/>
        <w:widowControl w:val="0"/>
        <w:numPr>
          <w:ilvl w:val="0"/>
          <w:numId w:val="51"/>
        </w:numPr>
        <w:spacing w:before="120" w:after="120" w:line="240" w:lineRule="auto"/>
        <w:jc w:val="both"/>
        <w:rPr>
          <w:rFonts w:ascii="Times New Roman" w:eastAsia="Times New Roman" w:hAnsi="Times New Roman" w:cs="Times New Roman"/>
          <w:bCs/>
          <w:kern w:val="2"/>
        </w:rPr>
      </w:pPr>
      <w:r>
        <w:rPr>
          <w:rFonts w:ascii="Times New Roman" w:eastAsia="Times New Roman" w:hAnsi="Times New Roman" w:cs="Times New Roman"/>
          <w:bCs/>
          <w:kern w:val="2"/>
        </w:rPr>
        <w:t>Képes a terepen való tájékozódásra és a tájékozódást segítő eszközök alkalmazására.</w:t>
      </w:r>
    </w:p>
    <w:p w:rsidR="00F80CE7" w:rsidRDefault="00F80CE7" w:rsidP="00F80CE7">
      <w:pPr>
        <w:widowControl w:val="0"/>
        <w:spacing w:before="120" w:after="120" w:line="240" w:lineRule="auto"/>
        <w:ind w:left="426"/>
        <w:jc w:val="both"/>
        <w:rPr>
          <w:rFonts w:ascii="Times New Roman" w:eastAsia="Times New Roman" w:hAnsi="Times New Roman" w:cs="Times New Roman"/>
          <w:bCs/>
          <w:kern w:val="2"/>
        </w:rPr>
      </w:pPr>
      <w:r>
        <w:rPr>
          <w:rFonts w:ascii="Times New Roman" w:hAnsi="Times New Roman" w:cs="Times New Roman"/>
          <w:b/>
          <w:kern w:val="2"/>
        </w:rPr>
        <w:lastRenderedPageBreak/>
        <w:t>Attitűdje</w:t>
      </w:r>
      <w:r>
        <w:rPr>
          <w:rFonts w:ascii="Times New Roman" w:eastAsia="Times New Roman" w:hAnsi="Times New Roman" w:cs="Times New Roman"/>
          <w:b/>
          <w:bCs/>
          <w:kern w:val="2"/>
        </w:rPr>
        <w:t>:</w:t>
      </w:r>
      <w:r>
        <w:rPr>
          <w:rFonts w:ascii="Times New Roman" w:eastAsia="Times New Roman" w:hAnsi="Times New Roman" w:cs="Times New Roman"/>
          <w:bCs/>
          <w:kern w:val="2"/>
        </w:rPr>
        <w:t xml:space="preserve"> </w:t>
      </w:r>
    </w:p>
    <w:p w:rsidR="00F80CE7" w:rsidRDefault="00F80CE7" w:rsidP="00C2057B">
      <w:pPr>
        <w:pStyle w:val="Listaszerbekezds"/>
        <w:widowControl w:val="0"/>
        <w:numPr>
          <w:ilvl w:val="0"/>
          <w:numId w:val="51"/>
        </w:numPr>
        <w:spacing w:before="120" w:after="120" w:line="240" w:lineRule="auto"/>
        <w:jc w:val="both"/>
        <w:rPr>
          <w:rFonts w:ascii="Times New Roman" w:eastAsia="Times New Roman" w:hAnsi="Times New Roman" w:cs="Times New Roman"/>
          <w:bCs/>
          <w:kern w:val="2"/>
        </w:rPr>
      </w:pPr>
      <w:r>
        <w:rPr>
          <w:rFonts w:ascii="Times New Roman" w:eastAsia="Times New Roman" w:hAnsi="Times New Roman" w:cs="Times New Roman"/>
          <w:bCs/>
          <w:kern w:val="2"/>
        </w:rPr>
        <w:t xml:space="preserve">Nyitott a képesítésével, szakterületével kapcsolatos szakmai, technológiai, fejlesztési eredmények megismerésére, befogadására, és törekszik saját tudásának megosztására. </w:t>
      </w:r>
    </w:p>
    <w:p w:rsidR="00F80CE7" w:rsidRDefault="00F80CE7" w:rsidP="00C2057B">
      <w:pPr>
        <w:pStyle w:val="Listaszerbekezds"/>
        <w:widowControl w:val="0"/>
        <w:numPr>
          <w:ilvl w:val="0"/>
          <w:numId w:val="51"/>
        </w:numPr>
        <w:spacing w:before="120" w:after="120" w:line="240" w:lineRule="auto"/>
        <w:jc w:val="both"/>
        <w:rPr>
          <w:rFonts w:ascii="Times New Roman" w:eastAsia="Times New Roman" w:hAnsi="Times New Roman" w:cs="Times New Roman"/>
          <w:bCs/>
          <w:kern w:val="2"/>
        </w:rPr>
      </w:pPr>
      <w:r>
        <w:rPr>
          <w:rFonts w:ascii="Times New Roman" w:eastAsia="Times New Roman" w:hAnsi="Times New Roman" w:cs="Times New Roman"/>
          <w:bCs/>
          <w:kern w:val="2"/>
        </w:rPr>
        <w:t>Érdeklődő a szakterülettel összefüggő új módszerek és eszközök iránt.</w:t>
      </w:r>
    </w:p>
    <w:p w:rsidR="00F80CE7" w:rsidRDefault="00F80CE7" w:rsidP="00F80CE7">
      <w:pPr>
        <w:widowControl w:val="0"/>
        <w:spacing w:before="120" w:after="120" w:line="240" w:lineRule="auto"/>
        <w:ind w:left="426"/>
        <w:jc w:val="both"/>
        <w:rPr>
          <w:rFonts w:ascii="Times New Roman" w:hAnsi="Times New Roman" w:cs="Times New Roman"/>
        </w:rPr>
      </w:pPr>
      <w:r>
        <w:rPr>
          <w:rFonts w:ascii="Times New Roman" w:eastAsia="Times New Roman" w:hAnsi="Times New Roman" w:cs="Times New Roman"/>
          <w:b/>
          <w:bCs/>
          <w:kern w:val="2"/>
        </w:rPr>
        <w:t>Autonómiája és felelőssége:</w:t>
      </w:r>
    </w:p>
    <w:p w:rsidR="00F80CE7" w:rsidRDefault="00F80CE7" w:rsidP="00C2057B">
      <w:pPr>
        <w:pStyle w:val="Listaszerbekezds"/>
        <w:widowControl w:val="0"/>
        <w:numPr>
          <w:ilvl w:val="0"/>
          <w:numId w:val="51"/>
        </w:numPr>
        <w:spacing w:before="120" w:after="120" w:line="240" w:lineRule="auto"/>
        <w:jc w:val="both"/>
        <w:rPr>
          <w:rFonts w:ascii="Times New Roman" w:eastAsia="Times New Roman" w:hAnsi="Times New Roman" w:cs="Times New Roman"/>
          <w:bCs/>
          <w:kern w:val="2"/>
        </w:rPr>
      </w:pPr>
      <w:r>
        <w:rPr>
          <w:rFonts w:ascii="Times New Roman" w:eastAsia="Times New Roman" w:hAnsi="Times New Roman" w:cs="Times New Roman"/>
          <w:bCs/>
          <w:kern w:val="2"/>
        </w:rPr>
        <w:t>Beosztásából adódó önállósággal végzi az általános és speciális szakmai kérdések végig gondolását és adott tényezők és körülmények alapján történő kidolgozását, amely során széles látókörére, általános és szakmai műveltségére, valamint problémafelismerő és -megoldó készségére támaszkodik.</w:t>
      </w:r>
    </w:p>
    <w:p w:rsidR="00F80CE7" w:rsidRDefault="00F80CE7" w:rsidP="00F80CE7">
      <w:pPr>
        <w:widowControl w:val="0"/>
        <w:spacing w:before="120" w:after="120" w:line="240" w:lineRule="auto"/>
        <w:ind w:left="426"/>
        <w:jc w:val="both"/>
        <w:rPr>
          <w:rFonts w:ascii="Times New Roman" w:eastAsia="Times New Roman" w:hAnsi="Times New Roman" w:cs="Times New Roman"/>
          <w:b/>
          <w:bCs/>
          <w:kern w:val="2"/>
          <w:lang w:val="en-US"/>
        </w:rPr>
      </w:pPr>
      <w:r>
        <w:rPr>
          <w:rFonts w:ascii="Times New Roman" w:eastAsia="Times New Roman" w:hAnsi="Times New Roman" w:cs="Times New Roman"/>
          <w:b/>
          <w:bCs/>
          <w:kern w:val="2"/>
        </w:rPr>
        <w:t>Elérendő kompetenciák (angolul) (</w:t>
      </w:r>
      <w:r>
        <w:rPr>
          <w:rFonts w:ascii="Times New Roman" w:eastAsia="Times New Roman" w:hAnsi="Times New Roman" w:cs="Times New Roman"/>
          <w:b/>
          <w:bCs/>
          <w:kern w:val="2"/>
          <w:lang w:val="en-US"/>
        </w:rPr>
        <w:t xml:space="preserve">Competences – English): </w:t>
      </w:r>
    </w:p>
    <w:p w:rsidR="00F80CE7" w:rsidRDefault="00F80CE7" w:rsidP="00F80CE7">
      <w:pPr>
        <w:widowControl w:val="0"/>
        <w:spacing w:before="120" w:after="120" w:line="240" w:lineRule="auto"/>
        <w:ind w:left="426"/>
        <w:jc w:val="both"/>
        <w:rPr>
          <w:rFonts w:ascii="Times New Roman" w:eastAsia="Times New Roman" w:hAnsi="Times New Roman" w:cs="Times New Roman"/>
          <w:kern w:val="2"/>
          <w:lang w:val="en-US"/>
        </w:rPr>
      </w:pPr>
      <w:r>
        <w:rPr>
          <w:rFonts w:ascii="Times New Roman" w:eastAsia="Times New Roman" w:hAnsi="Times New Roman" w:cs="Times New Roman"/>
          <w:b/>
          <w:kern w:val="2"/>
          <w:lang w:val="en-US"/>
        </w:rPr>
        <w:t>Knowledge</w:t>
      </w:r>
      <w:r>
        <w:rPr>
          <w:rFonts w:ascii="Times New Roman" w:eastAsia="Times New Roman" w:hAnsi="Times New Roman" w:cs="Times New Roman"/>
          <w:kern w:val="2"/>
          <w:lang w:val="en-US"/>
        </w:rPr>
        <w:t xml:space="preserve">: </w:t>
      </w:r>
    </w:p>
    <w:p w:rsidR="00F80CE7" w:rsidRPr="00F80CE7" w:rsidRDefault="00F80CE7" w:rsidP="00C2057B">
      <w:pPr>
        <w:pStyle w:val="Listaszerbekezds"/>
        <w:widowControl w:val="0"/>
        <w:numPr>
          <w:ilvl w:val="0"/>
          <w:numId w:val="51"/>
        </w:numPr>
        <w:spacing w:before="120" w:after="120" w:line="240" w:lineRule="auto"/>
        <w:jc w:val="both"/>
        <w:rPr>
          <w:rStyle w:val="tlid-translation"/>
          <w:rFonts w:ascii="Times New Roman" w:hAnsi="Times New Roman" w:cs="Times New Roman"/>
          <w:lang w:val="en"/>
        </w:rPr>
      </w:pPr>
      <w:r w:rsidRPr="00F80CE7">
        <w:rPr>
          <w:rStyle w:val="tlid-translation"/>
          <w:rFonts w:ascii="Times New Roman" w:hAnsi="Times New Roman" w:cs="Times New Roman"/>
          <w:lang w:val="en"/>
        </w:rPr>
        <w:t>Having knowledge of basic tasks in combat support and combat service support for combined arms combat.</w:t>
      </w:r>
    </w:p>
    <w:p w:rsidR="00F80CE7" w:rsidRPr="00F80CE7" w:rsidRDefault="00F80CE7" w:rsidP="00C2057B">
      <w:pPr>
        <w:pStyle w:val="Listaszerbekezds"/>
        <w:widowControl w:val="0"/>
        <w:numPr>
          <w:ilvl w:val="0"/>
          <w:numId w:val="51"/>
        </w:numPr>
        <w:spacing w:before="120" w:after="120" w:line="240" w:lineRule="auto"/>
        <w:jc w:val="both"/>
        <w:rPr>
          <w:rStyle w:val="tlid-translation"/>
          <w:rFonts w:ascii="Times New Roman" w:hAnsi="Times New Roman" w:cs="Times New Roman"/>
          <w:lang w:val="en"/>
        </w:rPr>
      </w:pPr>
      <w:r w:rsidRPr="00F80CE7">
        <w:rPr>
          <w:rStyle w:val="tlid-translation"/>
          <w:rFonts w:ascii="Times New Roman" w:hAnsi="Times New Roman" w:cs="Times New Roman"/>
          <w:lang w:val="en"/>
        </w:rPr>
        <w:t xml:space="preserve">Having advanced knowledge in areas of military map reading, land navigation, terrain analysis, and military geography. </w:t>
      </w:r>
    </w:p>
    <w:p w:rsidR="00F80CE7" w:rsidRDefault="00F80CE7" w:rsidP="00F80CE7">
      <w:pPr>
        <w:widowControl w:val="0"/>
        <w:spacing w:before="120" w:after="120" w:line="240" w:lineRule="auto"/>
        <w:ind w:left="426"/>
        <w:jc w:val="both"/>
        <w:rPr>
          <w:rFonts w:eastAsia="Times New Roman"/>
        </w:rPr>
      </w:pPr>
      <w:r>
        <w:rPr>
          <w:rFonts w:ascii="Times New Roman" w:eastAsia="Times New Roman" w:hAnsi="Times New Roman" w:cs="Times New Roman"/>
          <w:b/>
          <w:kern w:val="2"/>
          <w:lang w:val="en-US"/>
        </w:rPr>
        <w:t>Capabilities</w:t>
      </w:r>
      <w:r>
        <w:rPr>
          <w:rFonts w:ascii="Times New Roman" w:eastAsia="Times New Roman" w:hAnsi="Times New Roman" w:cs="Times New Roman"/>
          <w:kern w:val="2"/>
          <w:lang w:val="en-US"/>
        </w:rPr>
        <w:t xml:space="preserve">: </w:t>
      </w:r>
    </w:p>
    <w:p w:rsidR="00F80CE7" w:rsidRPr="00F80CE7" w:rsidRDefault="00F80CE7" w:rsidP="00C2057B">
      <w:pPr>
        <w:pStyle w:val="Listaszerbekezds"/>
        <w:widowControl w:val="0"/>
        <w:numPr>
          <w:ilvl w:val="0"/>
          <w:numId w:val="51"/>
        </w:numPr>
        <w:spacing w:before="120" w:after="120" w:line="240" w:lineRule="auto"/>
        <w:jc w:val="both"/>
        <w:rPr>
          <w:rFonts w:ascii="Times New Roman" w:eastAsia="Times New Roman" w:hAnsi="Times New Roman" w:cs="Times New Roman"/>
          <w:bCs/>
          <w:kern w:val="2"/>
        </w:rPr>
      </w:pPr>
      <w:r w:rsidRPr="00F80CE7">
        <w:rPr>
          <w:rFonts w:ascii="Times New Roman" w:eastAsia="Times New Roman" w:hAnsi="Times New Roman" w:cs="Times New Roman"/>
          <w:bCs/>
        </w:rPr>
        <w:t>Ability to</w:t>
      </w:r>
      <w:r w:rsidRPr="00F80CE7">
        <w:rPr>
          <w:rFonts w:ascii="Times New Roman" w:eastAsia="Times New Roman" w:hAnsi="Times New Roman" w:cs="Times New Roman"/>
          <w:bCs/>
          <w:kern w:val="2"/>
        </w:rPr>
        <w:t xml:space="preserve"> plan, </w:t>
      </w:r>
      <w:r w:rsidRPr="00F80CE7">
        <w:rPr>
          <w:rFonts w:ascii="Times New Roman" w:eastAsia="Times New Roman" w:hAnsi="Times New Roman" w:cs="Times New Roman"/>
          <w:bCs/>
        </w:rPr>
        <w:t>organize</w:t>
      </w:r>
      <w:r w:rsidRPr="00F80CE7">
        <w:rPr>
          <w:rFonts w:ascii="Times New Roman" w:eastAsia="Times New Roman" w:hAnsi="Times New Roman" w:cs="Times New Roman"/>
          <w:bCs/>
          <w:kern w:val="2"/>
        </w:rPr>
        <w:t xml:space="preserve"> and manage combat and combat related activities of assigned subunits. </w:t>
      </w:r>
    </w:p>
    <w:p w:rsidR="00F80CE7" w:rsidRPr="00F80CE7" w:rsidRDefault="00F80CE7" w:rsidP="00C2057B">
      <w:pPr>
        <w:pStyle w:val="Listaszerbekezds"/>
        <w:widowControl w:val="0"/>
        <w:numPr>
          <w:ilvl w:val="0"/>
          <w:numId w:val="51"/>
        </w:numPr>
        <w:spacing w:before="120" w:after="120" w:line="240" w:lineRule="auto"/>
        <w:jc w:val="both"/>
        <w:rPr>
          <w:rFonts w:ascii="Times New Roman" w:eastAsia="Times New Roman" w:hAnsi="Times New Roman" w:cs="Times New Roman"/>
          <w:bCs/>
          <w:kern w:val="2"/>
        </w:rPr>
      </w:pPr>
      <w:r w:rsidRPr="00F80CE7">
        <w:rPr>
          <w:rFonts w:ascii="Times New Roman" w:eastAsia="Times New Roman" w:hAnsi="Times New Roman" w:cs="Times New Roman"/>
          <w:bCs/>
          <w:kern w:val="2"/>
        </w:rPr>
        <w:t xml:space="preserve">Ability to navigate on the field, and to use equipment and </w:t>
      </w:r>
      <w:r w:rsidRPr="00F80CE7">
        <w:rPr>
          <w:rFonts w:ascii="Times New Roman" w:eastAsia="Times New Roman" w:hAnsi="Times New Roman" w:cs="Times New Roman"/>
          <w:bCs/>
          <w:i/>
          <w:iCs/>
          <w:kern w:val="2"/>
        </w:rPr>
        <w:t>tools</w:t>
      </w:r>
      <w:r w:rsidRPr="00F80CE7">
        <w:rPr>
          <w:rFonts w:ascii="Times New Roman" w:eastAsia="Times New Roman" w:hAnsi="Times New Roman" w:cs="Times New Roman"/>
          <w:bCs/>
          <w:kern w:val="2"/>
        </w:rPr>
        <w:t xml:space="preserve"> for </w:t>
      </w:r>
      <w:r w:rsidRPr="00F80CE7">
        <w:rPr>
          <w:rFonts w:ascii="Times New Roman" w:eastAsia="Times New Roman" w:hAnsi="Times New Roman" w:cs="Times New Roman"/>
          <w:bCs/>
          <w:i/>
          <w:iCs/>
          <w:kern w:val="2"/>
        </w:rPr>
        <w:t>navigation</w:t>
      </w:r>
      <w:r w:rsidRPr="00F80CE7">
        <w:rPr>
          <w:rFonts w:ascii="Times New Roman" w:eastAsia="Times New Roman" w:hAnsi="Times New Roman" w:cs="Times New Roman"/>
          <w:bCs/>
          <w:kern w:val="2"/>
        </w:rPr>
        <w:t xml:space="preserve">. </w:t>
      </w:r>
    </w:p>
    <w:p w:rsidR="00F80CE7" w:rsidRDefault="00F80CE7" w:rsidP="00F80C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eastAsia="Times New Roman"/>
          <w:lang w:val="en-GB"/>
        </w:rPr>
      </w:pPr>
      <w:r>
        <w:rPr>
          <w:rFonts w:ascii="Times New Roman" w:eastAsia="Times New Roman" w:hAnsi="Times New Roman" w:cs="Times New Roman"/>
          <w:b/>
          <w:kern w:val="2"/>
          <w:lang w:val="en-GB"/>
        </w:rPr>
        <w:t>Attitude:</w:t>
      </w:r>
      <w:r>
        <w:rPr>
          <w:rFonts w:ascii="Times New Roman" w:eastAsia="Times New Roman" w:hAnsi="Times New Roman" w:cs="Times New Roman"/>
          <w:kern w:val="2"/>
          <w:lang w:val="en-GB"/>
        </w:rPr>
        <w:t xml:space="preserve"> </w:t>
      </w:r>
    </w:p>
    <w:p w:rsidR="00F80CE7" w:rsidRPr="00F80CE7" w:rsidRDefault="00F80CE7" w:rsidP="00C2057B">
      <w:pPr>
        <w:pStyle w:val="Listaszerbekezds"/>
        <w:widowControl w:val="0"/>
        <w:numPr>
          <w:ilvl w:val="0"/>
          <w:numId w:val="51"/>
        </w:numPr>
        <w:spacing w:before="120" w:after="120" w:line="240" w:lineRule="auto"/>
        <w:jc w:val="both"/>
        <w:rPr>
          <w:rFonts w:ascii="Times New Roman" w:eastAsia="Times New Roman" w:hAnsi="Times New Roman" w:cs="Times New Roman"/>
          <w:bCs/>
        </w:rPr>
      </w:pPr>
      <w:r w:rsidRPr="00F80CE7">
        <w:rPr>
          <w:rFonts w:ascii="Times New Roman" w:eastAsia="Times New Roman" w:hAnsi="Times New Roman" w:cs="Times New Roman"/>
          <w:bCs/>
        </w:rPr>
        <w:t xml:space="preserve">Susceptibility to cognition and understanding all professional, technological and development results related to the special field, and pursuit of knowledge dissemination. </w:t>
      </w:r>
    </w:p>
    <w:p w:rsidR="00F80CE7" w:rsidRPr="00F80CE7" w:rsidRDefault="00F80CE7" w:rsidP="00C2057B">
      <w:pPr>
        <w:pStyle w:val="Listaszerbekezds"/>
        <w:widowControl w:val="0"/>
        <w:numPr>
          <w:ilvl w:val="0"/>
          <w:numId w:val="51"/>
        </w:numPr>
        <w:spacing w:before="120" w:after="120" w:line="240" w:lineRule="auto"/>
        <w:jc w:val="both"/>
        <w:rPr>
          <w:rFonts w:ascii="Times New Roman" w:eastAsia="Times New Roman" w:hAnsi="Times New Roman" w:cs="Times New Roman"/>
          <w:bCs/>
        </w:rPr>
      </w:pPr>
      <w:r w:rsidRPr="00F80CE7">
        <w:rPr>
          <w:rFonts w:ascii="Times New Roman" w:eastAsia="Times New Roman" w:hAnsi="Times New Roman" w:cs="Times New Roman"/>
          <w:bCs/>
        </w:rPr>
        <w:t>Interest in new methods and techniques related to the special field.</w:t>
      </w:r>
    </w:p>
    <w:p w:rsidR="00F80CE7" w:rsidRDefault="00F80CE7" w:rsidP="00F80CE7">
      <w:pPr>
        <w:widowControl w:val="0"/>
        <w:spacing w:before="120" w:after="120" w:line="240" w:lineRule="auto"/>
        <w:ind w:left="426"/>
        <w:jc w:val="both"/>
        <w:rPr>
          <w:rFonts w:ascii="Times New Roman" w:eastAsia="Times New Roman" w:hAnsi="Times New Roman" w:cs="Times New Roman"/>
          <w:b/>
          <w:kern w:val="2"/>
          <w:lang w:val="en-GB"/>
        </w:rPr>
      </w:pPr>
      <w:r>
        <w:rPr>
          <w:rFonts w:ascii="Times New Roman" w:eastAsia="Times New Roman" w:hAnsi="Times New Roman" w:cs="Times New Roman"/>
          <w:b/>
          <w:kern w:val="2"/>
          <w:lang w:val="en-GB"/>
        </w:rPr>
        <w:t xml:space="preserve">Autonomy and responsibility: </w:t>
      </w:r>
    </w:p>
    <w:p w:rsidR="00F80CE7" w:rsidRPr="00F80CE7" w:rsidRDefault="00F80CE7" w:rsidP="00C2057B">
      <w:pPr>
        <w:pStyle w:val="Listaszerbekezds"/>
        <w:widowControl w:val="0"/>
        <w:numPr>
          <w:ilvl w:val="0"/>
          <w:numId w:val="51"/>
        </w:numPr>
        <w:spacing w:before="120" w:after="120" w:line="240" w:lineRule="auto"/>
        <w:jc w:val="both"/>
        <w:rPr>
          <w:rFonts w:ascii="Times New Roman" w:eastAsia="Times New Roman" w:hAnsi="Times New Roman" w:cs="Times New Roman"/>
          <w:b/>
          <w:kern w:val="2"/>
          <w:lang w:val="en-GB"/>
        </w:rPr>
      </w:pPr>
      <w:r w:rsidRPr="00F80CE7">
        <w:rPr>
          <w:rStyle w:val="tlid-translation"/>
          <w:rFonts w:ascii="Times New Roman" w:hAnsi="Times New Roman" w:cs="Times New Roman"/>
          <w:lang w:val="en"/>
        </w:rPr>
        <w:t xml:space="preserve">With </w:t>
      </w:r>
      <w:r w:rsidRPr="00F80CE7">
        <w:rPr>
          <w:rFonts w:ascii="Times New Roman" w:eastAsia="Times New Roman" w:hAnsi="Times New Roman" w:cs="Times New Roman"/>
          <w:bCs/>
        </w:rPr>
        <w:t>the</w:t>
      </w:r>
      <w:r w:rsidRPr="00F80CE7">
        <w:rPr>
          <w:rStyle w:val="tlid-translation"/>
          <w:rFonts w:ascii="Times New Roman" w:hAnsi="Times New Roman" w:cs="Times New Roman"/>
          <w:lang w:val="en"/>
        </w:rPr>
        <w:t xml:space="preserve"> autonomy of the position, consideration of general and special professional issues and elaboration based on specific factors and circumstances, relying on a broad perspective, general and professional literacy, and as well on problem recognition and problem solving skills.</w:t>
      </w:r>
    </w:p>
    <w:p w:rsidR="00F80CE7" w:rsidRDefault="00F80CE7" w:rsidP="00C2057B">
      <w:pPr>
        <w:widowControl w:val="0"/>
        <w:numPr>
          <w:ilvl w:val="0"/>
          <w:numId w:val="50"/>
        </w:numPr>
        <w:tabs>
          <w:tab w:val="num" w:pos="567"/>
        </w:tabs>
        <w:spacing w:before="120" w:after="120" w:line="240" w:lineRule="auto"/>
        <w:ind w:left="426" w:hanging="142"/>
        <w:jc w:val="both"/>
        <w:rPr>
          <w:rFonts w:ascii="Times New Roman" w:eastAsia="Times New Roman" w:hAnsi="Times New Roman" w:cs="Times New Roman"/>
          <w:bCs/>
          <w:kern w:val="2"/>
        </w:rPr>
      </w:pPr>
      <w:r>
        <w:rPr>
          <w:rFonts w:ascii="Times New Roman" w:eastAsia="Times New Roman" w:hAnsi="Times New Roman" w:cs="Times New Roman"/>
          <w:b/>
          <w:bCs/>
          <w:kern w:val="2"/>
        </w:rPr>
        <w:t xml:space="preserve">Előtanulmányi követelmények: </w:t>
      </w:r>
      <w:r>
        <w:rPr>
          <w:rFonts w:ascii="Times New Roman" w:hAnsi="Times New Roman" w:cs="Times New Roman"/>
          <w:kern w:val="2"/>
        </w:rPr>
        <w:t>nincs</w:t>
      </w:r>
    </w:p>
    <w:p w:rsidR="00F80CE7" w:rsidRDefault="00F80CE7" w:rsidP="00C2057B">
      <w:pPr>
        <w:widowControl w:val="0"/>
        <w:numPr>
          <w:ilvl w:val="0"/>
          <w:numId w:val="50"/>
        </w:numPr>
        <w:spacing w:before="120" w:after="120" w:line="240" w:lineRule="auto"/>
        <w:ind w:left="426" w:hanging="142"/>
        <w:jc w:val="both"/>
        <w:rPr>
          <w:rFonts w:ascii="Times New Roman" w:eastAsia="Times New Roman" w:hAnsi="Times New Roman" w:cs="Times New Roman"/>
          <w:b/>
          <w:bCs/>
          <w:kern w:val="2"/>
          <w:lang w:val="en-US"/>
        </w:rPr>
      </w:pPr>
      <w:r>
        <w:rPr>
          <w:rFonts w:ascii="Times New Roman" w:eastAsia="Times New Roman" w:hAnsi="Times New Roman" w:cs="Times New Roman"/>
          <w:b/>
          <w:bCs/>
          <w:kern w:val="2"/>
        </w:rPr>
        <w:t xml:space="preserve">A tantárgy tananyagának leírása, tematika. </w:t>
      </w:r>
      <w:r>
        <w:rPr>
          <w:rFonts w:ascii="Times New Roman" w:eastAsia="Times New Roman" w:hAnsi="Times New Roman" w:cs="Times New Roman"/>
          <w:b/>
          <w:bCs/>
          <w:kern w:val="2"/>
          <w:lang w:val="en-US"/>
        </w:rPr>
        <w:t>Description of the subject, curriculum (</w:t>
      </w:r>
      <w:r>
        <w:rPr>
          <w:rFonts w:ascii="Times New Roman" w:eastAsia="Times New Roman" w:hAnsi="Times New Roman" w:cs="Times New Roman"/>
          <w:b/>
          <w:bCs/>
          <w:kern w:val="2"/>
        </w:rPr>
        <w:t>magyarul, angolul</w:t>
      </w:r>
      <w:r>
        <w:rPr>
          <w:rFonts w:ascii="Times New Roman" w:eastAsia="Times New Roman" w:hAnsi="Times New Roman" w:cs="Times New Roman"/>
          <w:b/>
          <w:bCs/>
          <w:kern w:val="2"/>
          <w:lang w:val="en-US"/>
        </w:rPr>
        <w:t xml:space="preserve"> - English):</w:t>
      </w:r>
    </w:p>
    <w:p w:rsidR="00F80CE7" w:rsidRDefault="00F80CE7" w:rsidP="00C2057B">
      <w:pPr>
        <w:widowControl w:val="0"/>
        <w:numPr>
          <w:ilvl w:val="1"/>
          <w:numId w:val="50"/>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kern w:val="2"/>
          <w:lang w:val="en-US"/>
        </w:rPr>
      </w:pPr>
      <w:r>
        <w:rPr>
          <w:rFonts w:ascii="Times New Roman" w:eastAsia="Times New Roman" w:hAnsi="Times New Roman" w:cs="Times New Roman"/>
          <w:kern w:val="2"/>
        </w:rPr>
        <w:t>A térkép fogalma, kereten belüli és kereten kívüli információtartalma</w:t>
      </w:r>
      <w:r>
        <w:rPr>
          <w:rFonts w:ascii="Times New Roman" w:eastAsia="Times New Roman" w:hAnsi="Times New Roman" w:cs="Times New Roman"/>
          <w:kern w:val="2"/>
          <w:lang w:val="en-US"/>
        </w:rPr>
        <w:t>. (</w:t>
      </w:r>
      <w:r>
        <w:rPr>
          <w:rFonts w:ascii="Times New Roman" w:eastAsia="Times New Roman" w:hAnsi="Times New Roman" w:cs="Times New Roman"/>
          <w:i/>
          <w:kern w:val="2"/>
          <w:lang w:val="en-US"/>
        </w:rPr>
        <w:t>Definition of map, depicted land features and marginal information</w:t>
      </w:r>
      <w:r>
        <w:rPr>
          <w:rFonts w:ascii="Times New Roman" w:eastAsia="Times New Roman" w:hAnsi="Times New Roman" w:cs="Times New Roman"/>
          <w:kern w:val="2"/>
          <w:lang w:val="en-US"/>
        </w:rPr>
        <w:t>)</w:t>
      </w:r>
    </w:p>
    <w:p w:rsidR="00F80CE7" w:rsidRDefault="00F80CE7" w:rsidP="00C2057B">
      <w:pPr>
        <w:widowControl w:val="0"/>
        <w:numPr>
          <w:ilvl w:val="1"/>
          <w:numId w:val="50"/>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kern w:val="2"/>
          <w:lang w:val="en-US"/>
        </w:rPr>
      </w:pPr>
      <w:r>
        <w:rPr>
          <w:rFonts w:ascii="Times New Roman" w:eastAsia="Times New Roman" w:hAnsi="Times New Roman" w:cs="Times New Roman"/>
          <w:kern w:val="2"/>
        </w:rPr>
        <w:t>Térképi jelek alkalmazása, jelkulcsismeret</w:t>
      </w:r>
      <w:r>
        <w:rPr>
          <w:rFonts w:ascii="Times New Roman" w:eastAsia="Times New Roman" w:hAnsi="Times New Roman" w:cs="Times New Roman"/>
          <w:kern w:val="2"/>
          <w:lang w:val="en-US"/>
        </w:rPr>
        <w:t xml:space="preserve"> (</w:t>
      </w:r>
      <w:r>
        <w:rPr>
          <w:rFonts w:ascii="Times New Roman" w:eastAsia="Times New Roman" w:hAnsi="Times New Roman" w:cs="Times New Roman"/>
          <w:i/>
          <w:kern w:val="2"/>
          <w:lang w:val="en-US"/>
        </w:rPr>
        <w:t>Reading and understanding map symbols</w:t>
      </w:r>
      <w:r>
        <w:rPr>
          <w:rFonts w:ascii="Times New Roman" w:eastAsia="Times New Roman" w:hAnsi="Times New Roman" w:cs="Times New Roman"/>
          <w:kern w:val="2"/>
          <w:lang w:val="en-US"/>
        </w:rPr>
        <w:t>)</w:t>
      </w:r>
    </w:p>
    <w:p w:rsidR="00F80CE7" w:rsidRDefault="00F80CE7" w:rsidP="00C2057B">
      <w:pPr>
        <w:widowControl w:val="0"/>
        <w:numPr>
          <w:ilvl w:val="1"/>
          <w:numId w:val="50"/>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kern w:val="2"/>
          <w:lang w:val="en-US"/>
        </w:rPr>
      </w:pPr>
      <w:r>
        <w:rPr>
          <w:rFonts w:ascii="Times New Roman" w:eastAsia="Times New Roman" w:hAnsi="Times New Roman" w:cs="Times New Roman"/>
          <w:kern w:val="2"/>
        </w:rPr>
        <w:t>Térképszelvényezési rendszerek</w:t>
      </w:r>
      <w:r>
        <w:rPr>
          <w:rFonts w:ascii="Times New Roman" w:eastAsia="Times New Roman" w:hAnsi="Times New Roman" w:cs="Times New Roman"/>
          <w:kern w:val="2"/>
          <w:lang w:val="en-US"/>
        </w:rPr>
        <w:t xml:space="preserve"> (</w:t>
      </w:r>
      <w:r>
        <w:rPr>
          <w:rFonts w:ascii="Times New Roman" w:eastAsia="Times New Roman" w:hAnsi="Times New Roman" w:cs="Times New Roman"/>
          <w:i/>
          <w:kern w:val="2"/>
          <w:lang w:val="en-US"/>
        </w:rPr>
        <w:t>Sheet networks of map series</w:t>
      </w:r>
      <w:r>
        <w:rPr>
          <w:rFonts w:ascii="Times New Roman" w:eastAsia="Times New Roman" w:hAnsi="Times New Roman" w:cs="Times New Roman"/>
          <w:kern w:val="2"/>
          <w:lang w:val="en-US"/>
        </w:rPr>
        <w:t>)</w:t>
      </w:r>
    </w:p>
    <w:p w:rsidR="00F80CE7" w:rsidRDefault="00F80CE7" w:rsidP="00C2057B">
      <w:pPr>
        <w:widowControl w:val="0"/>
        <w:numPr>
          <w:ilvl w:val="1"/>
          <w:numId w:val="50"/>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kern w:val="2"/>
          <w:lang w:val="en-US"/>
        </w:rPr>
      </w:pPr>
      <w:r>
        <w:rPr>
          <w:rFonts w:ascii="Times New Roman" w:eastAsia="Times New Roman" w:hAnsi="Times New Roman" w:cs="Times New Roman"/>
          <w:kern w:val="2"/>
        </w:rPr>
        <w:t>Célmegjelölés, koordináta-meghatározás a térképen földrajzi és vetületi síkkoordináták alapján</w:t>
      </w:r>
      <w:r>
        <w:rPr>
          <w:rFonts w:ascii="Times New Roman" w:eastAsia="Times New Roman" w:hAnsi="Times New Roman" w:cs="Times New Roman"/>
          <w:kern w:val="2"/>
          <w:lang w:val="en-US"/>
        </w:rPr>
        <w:t xml:space="preserve"> (</w:t>
      </w:r>
      <w:r>
        <w:rPr>
          <w:rFonts w:ascii="Times New Roman" w:eastAsia="Times New Roman" w:hAnsi="Times New Roman" w:cs="Times New Roman"/>
          <w:i/>
          <w:kern w:val="2"/>
          <w:lang w:val="en-US"/>
        </w:rPr>
        <w:t>Location of points using grid coordinates and geographic coordinates</w:t>
      </w:r>
      <w:r>
        <w:rPr>
          <w:rFonts w:ascii="Times New Roman" w:eastAsia="Times New Roman" w:hAnsi="Times New Roman" w:cs="Times New Roman"/>
          <w:kern w:val="2"/>
          <w:lang w:val="en-US"/>
        </w:rPr>
        <w:t>)</w:t>
      </w:r>
    </w:p>
    <w:p w:rsidR="00F80CE7" w:rsidRDefault="00F80CE7" w:rsidP="00C2057B">
      <w:pPr>
        <w:widowControl w:val="0"/>
        <w:numPr>
          <w:ilvl w:val="1"/>
          <w:numId w:val="50"/>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kern w:val="2"/>
          <w:lang w:val="en-US"/>
        </w:rPr>
      </w:pPr>
      <w:r>
        <w:rPr>
          <w:rFonts w:ascii="Times New Roman" w:eastAsia="Times New Roman" w:hAnsi="Times New Roman" w:cs="Times New Roman"/>
          <w:kern w:val="2"/>
        </w:rPr>
        <w:t>Katonai helyazonosító rendszerek</w:t>
      </w:r>
      <w:r>
        <w:rPr>
          <w:rFonts w:ascii="Times New Roman" w:eastAsia="Times New Roman" w:hAnsi="Times New Roman" w:cs="Times New Roman"/>
          <w:kern w:val="2"/>
          <w:lang w:val="en-US"/>
        </w:rPr>
        <w:t xml:space="preserve"> (</w:t>
      </w:r>
      <w:r>
        <w:rPr>
          <w:rFonts w:ascii="Times New Roman" w:eastAsia="Times New Roman" w:hAnsi="Times New Roman" w:cs="Times New Roman"/>
          <w:i/>
          <w:kern w:val="2"/>
          <w:lang w:val="en-US"/>
        </w:rPr>
        <w:t>MGRS – Military Grid Reference System, GEOREF – Geographic Reference System</w:t>
      </w:r>
      <w:r>
        <w:rPr>
          <w:rFonts w:ascii="Times New Roman" w:eastAsia="Times New Roman" w:hAnsi="Times New Roman" w:cs="Times New Roman"/>
          <w:kern w:val="2"/>
          <w:lang w:val="en-US"/>
        </w:rPr>
        <w:t>)</w:t>
      </w:r>
    </w:p>
    <w:p w:rsidR="00F80CE7" w:rsidRDefault="00F80CE7" w:rsidP="00C2057B">
      <w:pPr>
        <w:widowControl w:val="0"/>
        <w:numPr>
          <w:ilvl w:val="1"/>
          <w:numId w:val="50"/>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kern w:val="2"/>
          <w:lang w:val="en-US"/>
        </w:rPr>
      </w:pPr>
      <w:r>
        <w:rPr>
          <w:rFonts w:ascii="Times New Roman" w:eastAsia="Times New Roman" w:hAnsi="Times New Roman" w:cs="Times New Roman"/>
          <w:kern w:val="2"/>
        </w:rPr>
        <w:t>A geoinformációs támogatás fogalma, célja, tartalma, szervezetei</w:t>
      </w:r>
      <w:r>
        <w:rPr>
          <w:rFonts w:ascii="Times New Roman" w:eastAsia="Times New Roman" w:hAnsi="Times New Roman" w:cs="Times New Roman"/>
          <w:kern w:val="2"/>
          <w:lang w:val="en-US"/>
        </w:rPr>
        <w:t xml:space="preserve"> (</w:t>
      </w:r>
      <w:r>
        <w:rPr>
          <w:rFonts w:ascii="Times New Roman" w:eastAsia="Times New Roman" w:hAnsi="Times New Roman" w:cs="Times New Roman"/>
          <w:i/>
          <w:kern w:val="2"/>
          <w:lang w:val="en-US"/>
        </w:rPr>
        <w:t>The concept, purpose, content and organizations of geoinformation support</w:t>
      </w:r>
      <w:r>
        <w:rPr>
          <w:rFonts w:ascii="Times New Roman" w:eastAsia="Times New Roman" w:hAnsi="Times New Roman" w:cs="Times New Roman"/>
          <w:kern w:val="2"/>
          <w:lang w:val="en-US"/>
        </w:rPr>
        <w:t>)</w:t>
      </w:r>
    </w:p>
    <w:p w:rsidR="00F80CE7" w:rsidRDefault="00F80CE7" w:rsidP="00C2057B">
      <w:pPr>
        <w:widowControl w:val="0"/>
        <w:numPr>
          <w:ilvl w:val="1"/>
          <w:numId w:val="50"/>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kern w:val="2"/>
          <w:lang w:val="en-US"/>
        </w:rPr>
      </w:pPr>
      <w:r>
        <w:rPr>
          <w:rFonts w:ascii="Times New Roman" w:eastAsia="Times New Roman" w:hAnsi="Times New Roman" w:cs="Times New Roman"/>
          <w:kern w:val="2"/>
        </w:rPr>
        <w:t>Az MH ellátási rendszerében elérhető térképészeti anyagok és geoinformációs adatbázisok sajátosságai</w:t>
      </w:r>
      <w:r>
        <w:rPr>
          <w:rFonts w:ascii="Times New Roman" w:eastAsia="Times New Roman" w:hAnsi="Times New Roman" w:cs="Times New Roman"/>
          <w:kern w:val="2"/>
          <w:lang w:val="en-US"/>
        </w:rPr>
        <w:t xml:space="preserve"> (</w:t>
      </w:r>
      <w:r>
        <w:rPr>
          <w:rFonts w:ascii="Times New Roman" w:eastAsia="Times New Roman" w:hAnsi="Times New Roman" w:cs="Times New Roman"/>
          <w:i/>
          <w:kern w:val="2"/>
          <w:lang w:val="en-US"/>
        </w:rPr>
        <w:t>Types and characteristics of map products and GIS database available in map supply system of HDF</w:t>
      </w:r>
      <w:r>
        <w:rPr>
          <w:rFonts w:ascii="Times New Roman" w:eastAsia="Times New Roman" w:hAnsi="Times New Roman" w:cs="Times New Roman"/>
          <w:kern w:val="2"/>
          <w:lang w:val="en-US"/>
        </w:rPr>
        <w:t>)</w:t>
      </w:r>
    </w:p>
    <w:p w:rsidR="00F80CE7" w:rsidRDefault="00F80CE7" w:rsidP="00C2057B">
      <w:pPr>
        <w:widowControl w:val="0"/>
        <w:numPr>
          <w:ilvl w:val="1"/>
          <w:numId w:val="50"/>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kern w:val="2"/>
          <w:lang w:val="en-US"/>
        </w:rPr>
      </w:pPr>
      <w:r>
        <w:rPr>
          <w:rFonts w:ascii="Times New Roman" w:eastAsia="Times New Roman" w:hAnsi="Times New Roman" w:cs="Times New Roman"/>
          <w:kern w:val="2"/>
        </w:rPr>
        <w:lastRenderedPageBreak/>
        <w:t>Terep fogalma, osztályozása, elemei</w:t>
      </w:r>
      <w:r>
        <w:rPr>
          <w:rFonts w:ascii="Times New Roman" w:eastAsia="Times New Roman" w:hAnsi="Times New Roman" w:cs="Times New Roman"/>
          <w:kern w:val="2"/>
          <w:lang w:val="en-US"/>
        </w:rPr>
        <w:t xml:space="preserve"> (</w:t>
      </w:r>
      <w:r>
        <w:rPr>
          <w:rFonts w:ascii="Times New Roman" w:eastAsia="Times New Roman" w:hAnsi="Times New Roman" w:cs="Times New Roman"/>
          <w:i/>
          <w:kern w:val="2"/>
          <w:lang w:val="en-US"/>
        </w:rPr>
        <w:t>Definition, classification and elements of terrain</w:t>
      </w:r>
      <w:r>
        <w:rPr>
          <w:rFonts w:ascii="Times New Roman" w:eastAsia="Times New Roman" w:hAnsi="Times New Roman" w:cs="Times New Roman"/>
          <w:kern w:val="2"/>
          <w:lang w:val="en-US"/>
        </w:rPr>
        <w:t>)</w:t>
      </w:r>
    </w:p>
    <w:p w:rsidR="00F80CE7" w:rsidRDefault="00F80CE7" w:rsidP="00C2057B">
      <w:pPr>
        <w:widowControl w:val="0"/>
        <w:numPr>
          <w:ilvl w:val="1"/>
          <w:numId w:val="50"/>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kern w:val="2"/>
          <w:lang w:val="en-US"/>
        </w:rPr>
      </w:pPr>
      <w:r>
        <w:rPr>
          <w:rFonts w:ascii="Times New Roman" w:eastAsia="Times New Roman" w:hAnsi="Times New Roman" w:cs="Times New Roman"/>
          <w:kern w:val="2"/>
        </w:rPr>
        <w:t>A terep tanulmányozásának és értékelésének eszközei</w:t>
      </w:r>
      <w:r>
        <w:rPr>
          <w:rFonts w:ascii="Times New Roman" w:eastAsia="Times New Roman" w:hAnsi="Times New Roman" w:cs="Times New Roman"/>
          <w:kern w:val="2"/>
          <w:lang w:val="en-US"/>
        </w:rPr>
        <w:t xml:space="preserve"> (</w:t>
      </w:r>
      <w:r>
        <w:rPr>
          <w:rFonts w:ascii="Times New Roman" w:eastAsia="Times New Roman" w:hAnsi="Times New Roman" w:cs="Times New Roman"/>
          <w:i/>
          <w:kern w:val="2"/>
          <w:lang w:val="en-US"/>
        </w:rPr>
        <w:t>Tools for analyzing and assessment of terrain</w:t>
      </w:r>
      <w:r>
        <w:rPr>
          <w:rFonts w:ascii="Times New Roman" w:eastAsia="Times New Roman" w:hAnsi="Times New Roman" w:cs="Times New Roman"/>
          <w:kern w:val="2"/>
          <w:lang w:val="en-US"/>
        </w:rPr>
        <w:t>)</w:t>
      </w:r>
    </w:p>
    <w:p w:rsidR="00F80CE7" w:rsidRDefault="00F80CE7" w:rsidP="00C2057B">
      <w:pPr>
        <w:widowControl w:val="0"/>
        <w:numPr>
          <w:ilvl w:val="1"/>
          <w:numId w:val="50"/>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kern w:val="2"/>
          <w:lang w:val="en-US"/>
        </w:rPr>
      </w:pPr>
      <w:r>
        <w:rPr>
          <w:rFonts w:ascii="Times New Roman" w:eastAsia="Times New Roman" w:hAnsi="Times New Roman" w:cs="Times New Roman"/>
          <w:kern w:val="2"/>
        </w:rPr>
        <w:t>A földrajzi tényezők hatása a katonai tevékenységekre</w:t>
      </w:r>
      <w:r>
        <w:rPr>
          <w:rFonts w:ascii="Times New Roman" w:eastAsia="Times New Roman" w:hAnsi="Times New Roman" w:cs="Times New Roman"/>
          <w:kern w:val="2"/>
          <w:lang w:val="en-US"/>
        </w:rPr>
        <w:t xml:space="preserve"> (</w:t>
      </w:r>
      <w:r>
        <w:rPr>
          <w:rFonts w:ascii="Times New Roman" w:eastAsia="Times New Roman" w:hAnsi="Times New Roman" w:cs="Times New Roman"/>
          <w:i/>
          <w:kern w:val="2"/>
          <w:lang w:val="en-US"/>
        </w:rPr>
        <w:t>Impact of geographical factors on military activities</w:t>
      </w:r>
      <w:r>
        <w:rPr>
          <w:rFonts w:ascii="Times New Roman" w:eastAsia="Times New Roman" w:hAnsi="Times New Roman" w:cs="Times New Roman"/>
          <w:kern w:val="2"/>
          <w:lang w:val="en-US"/>
        </w:rPr>
        <w:t>)</w:t>
      </w:r>
    </w:p>
    <w:p w:rsidR="00F80CE7" w:rsidRDefault="00F80CE7" w:rsidP="00C2057B">
      <w:pPr>
        <w:widowControl w:val="0"/>
        <w:numPr>
          <w:ilvl w:val="1"/>
          <w:numId w:val="50"/>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kern w:val="2"/>
          <w:lang w:val="en-US"/>
        </w:rPr>
      </w:pPr>
      <w:r>
        <w:rPr>
          <w:rFonts w:ascii="Times New Roman" w:eastAsia="Times New Roman" w:hAnsi="Times New Roman" w:cs="Times New Roman"/>
          <w:kern w:val="2"/>
        </w:rPr>
        <w:t>A terepi tájékozódás módszerei és eszközei</w:t>
      </w:r>
      <w:r>
        <w:rPr>
          <w:rFonts w:ascii="Times New Roman" w:eastAsia="Times New Roman" w:hAnsi="Times New Roman" w:cs="Times New Roman"/>
          <w:kern w:val="2"/>
          <w:lang w:val="en-US"/>
        </w:rPr>
        <w:t xml:space="preserve"> (</w:t>
      </w:r>
      <w:r>
        <w:rPr>
          <w:rFonts w:ascii="Times New Roman" w:eastAsia="Times New Roman" w:hAnsi="Times New Roman" w:cs="Times New Roman"/>
          <w:i/>
          <w:kern w:val="2"/>
          <w:lang w:val="en-US"/>
        </w:rPr>
        <w:t>Methods and tools of land navigation</w:t>
      </w:r>
      <w:r>
        <w:rPr>
          <w:rFonts w:ascii="Times New Roman" w:eastAsia="Times New Roman" w:hAnsi="Times New Roman" w:cs="Times New Roman"/>
          <w:kern w:val="2"/>
          <w:lang w:val="en-US"/>
        </w:rPr>
        <w:t>)</w:t>
      </w:r>
    </w:p>
    <w:p w:rsidR="00F80CE7" w:rsidRDefault="00F80CE7" w:rsidP="00C2057B">
      <w:pPr>
        <w:widowControl w:val="0"/>
        <w:numPr>
          <w:ilvl w:val="0"/>
          <w:numId w:val="50"/>
        </w:numPr>
        <w:tabs>
          <w:tab w:val="num" w:pos="360"/>
        </w:tabs>
        <w:spacing w:before="120" w:after="120" w:line="240" w:lineRule="auto"/>
        <w:ind w:left="426" w:hanging="142"/>
        <w:jc w:val="both"/>
        <w:rPr>
          <w:rFonts w:ascii="Times New Roman" w:eastAsia="Times New Roman" w:hAnsi="Times New Roman" w:cs="Times New Roman"/>
          <w:bCs/>
          <w:kern w:val="2"/>
        </w:rPr>
      </w:pPr>
      <w:r>
        <w:rPr>
          <w:rFonts w:ascii="Times New Roman" w:eastAsia="Times New Roman" w:hAnsi="Times New Roman" w:cs="Times New Roman"/>
          <w:b/>
          <w:bCs/>
          <w:kern w:val="2"/>
        </w:rPr>
        <w:t xml:space="preserve">A tantárgy meghirdetésének gyakorisága/a tantervben történő félévi elhelyezkedése: </w:t>
      </w:r>
      <w:r>
        <w:rPr>
          <w:rFonts w:ascii="Times New Roman" w:eastAsia="Times New Roman" w:hAnsi="Times New Roman" w:cs="Times New Roman"/>
          <w:bCs/>
          <w:kern w:val="2"/>
        </w:rPr>
        <w:t>2. félév</w:t>
      </w:r>
    </w:p>
    <w:p w:rsidR="00F80CE7" w:rsidRDefault="00F80CE7" w:rsidP="00C2057B">
      <w:pPr>
        <w:widowControl w:val="0"/>
        <w:numPr>
          <w:ilvl w:val="0"/>
          <w:numId w:val="50"/>
        </w:numPr>
        <w:tabs>
          <w:tab w:val="num" w:pos="360"/>
        </w:tabs>
        <w:spacing w:before="120" w:after="120" w:line="240" w:lineRule="auto"/>
        <w:ind w:left="426" w:hanging="142"/>
        <w:jc w:val="both"/>
        <w:rPr>
          <w:rFonts w:ascii="Times New Roman" w:eastAsia="Times New Roman" w:hAnsi="Times New Roman" w:cs="Times New Roman"/>
          <w:bCs/>
          <w:kern w:val="2"/>
        </w:rPr>
      </w:pPr>
      <w:r>
        <w:rPr>
          <w:rFonts w:ascii="Times New Roman" w:eastAsia="Times New Roman" w:hAnsi="Times New Roman" w:cs="Times New Roman"/>
          <w:b/>
          <w:bCs/>
          <w:kern w:val="2"/>
        </w:rPr>
        <w:t>A tanórákon való részvétel követelményei, az elfogadható hiányzások mértéke, a távolmaradás pótlásának lehetősége:</w:t>
      </w:r>
    </w:p>
    <w:p w:rsidR="00F80CE7" w:rsidRDefault="00F80CE7" w:rsidP="00F80CE7">
      <w:pPr>
        <w:widowControl w:val="0"/>
        <w:spacing w:before="120" w:after="120" w:line="240" w:lineRule="auto"/>
        <w:ind w:left="360"/>
        <w:jc w:val="both"/>
        <w:rPr>
          <w:rFonts w:ascii="Times New Roman" w:eastAsia="Times New Roman" w:hAnsi="Times New Roman" w:cs="Times New Roman"/>
          <w:bCs/>
          <w:kern w:val="2"/>
          <w:highlight w:val="lightGray"/>
        </w:rPr>
      </w:pPr>
      <w:r>
        <w:rPr>
          <w:rFonts w:ascii="Times New Roman" w:eastAsia="Times New Roman" w:hAnsi="Times New Roman" w:cs="Times New Roman"/>
          <w:bCs/>
          <w:kern w:val="2"/>
        </w:rPr>
        <w:t xml:space="preserve">A hallgató köteles a foglalkozásokon aktívan részt venni, különös tekintettel az ismeretszintfelmérő, a </w:t>
      </w:r>
      <w:r>
        <w:rPr>
          <w:rFonts w:ascii="Times New Roman" w:hAnsi="Times New Roman" w:cs="Times New Roman"/>
        </w:rPr>
        <w:t>szemináriumi</w:t>
      </w:r>
      <w:r>
        <w:rPr>
          <w:rFonts w:ascii="Times New Roman" w:eastAsia="Times New Roman" w:hAnsi="Times New Roman" w:cs="Times New Roman"/>
          <w:bCs/>
          <w:kern w:val="2"/>
        </w:rPr>
        <w:t xml:space="preserve"> és a gyakorlati foglalkozásokra. A hallgató igazolt okkal (egészségügyi, külföldi képzési, vezénylési) az összes foglalkozás legfeljebb egyharmadáról hiányozhat. Az ezt meghaladó mértékű hiányzások a féléves aláírás megtagadását vonják maguk után. Az igazolt hiányzás következtében elmaradt foglalkozások a tantárgy oktatója által kijelölt témakörben beadott, legalább elégségesre értékelt házidolgozattal pótolhatók.</w:t>
      </w:r>
    </w:p>
    <w:p w:rsidR="00F80CE7" w:rsidRDefault="00F80CE7" w:rsidP="00C2057B">
      <w:pPr>
        <w:widowControl w:val="0"/>
        <w:numPr>
          <w:ilvl w:val="0"/>
          <w:numId w:val="50"/>
        </w:numPr>
        <w:tabs>
          <w:tab w:val="num" w:pos="360"/>
        </w:tabs>
        <w:spacing w:before="120" w:after="120" w:line="240" w:lineRule="auto"/>
        <w:ind w:left="426" w:hanging="142"/>
        <w:jc w:val="both"/>
        <w:rPr>
          <w:rFonts w:ascii="Times New Roman" w:eastAsia="Times New Roman" w:hAnsi="Times New Roman" w:cs="Times New Roman"/>
          <w:bCs/>
          <w:kern w:val="2"/>
        </w:rPr>
      </w:pPr>
      <w:r>
        <w:rPr>
          <w:rFonts w:ascii="Times New Roman" w:eastAsia="Times New Roman" w:hAnsi="Times New Roman" w:cs="Times New Roman"/>
          <w:b/>
          <w:kern w:val="2"/>
        </w:rPr>
        <w:t>Félévközi feladatok, ismeretek ellenőrzésének rendje:</w:t>
      </w:r>
      <w:r>
        <w:rPr>
          <w:rFonts w:ascii="Times New Roman" w:eastAsia="Times New Roman" w:hAnsi="Times New Roman" w:cs="Times New Roman"/>
          <w:bCs/>
          <w:kern w:val="2"/>
        </w:rPr>
        <w:t xml:space="preserve"> </w:t>
      </w:r>
    </w:p>
    <w:p w:rsidR="00F80CE7" w:rsidRDefault="00F80CE7" w:rsidP="00F80CE7">
      <w:pPr>
        <w:widowControl w:val="0"/>
        <w:spacing w:before="120" w:after="120" w:line="240" w:lineRule="auto"/>
        <w:ind w:left="360"/>
        <w:jc w:val="both"/>
        <w:rPr>
          <w:rFonts w:ascii="Times New Roman" w:eastAsia="Times New Roman" w:hAnsi="Times New Roman" w:cs="Times New Roman"/>
          <w:bCs/>
          <w:kern w:val="2"/>
        </w:rPr>
      </w:pPr>
      <w:r>
        <w:rPr>
          <w:rFonts w:ascii="Times New Roman" w:eastAsia="Times New Roman" w:hAnsi="Times New Roman" w:cs="Times New Roman"/>
          <w:bCs/>
          <w:kern w:val="2"/>
        </w:rPr>
        <w:t xml:space="preserve">Az elsajátított elméleti ismeretanyag szintfelmérése a szorgalmi időszakban egy alkalommal zárthelyi írásbeli feleletválasztó kérdéssorral történik. Az írásbeli ismeretszint felmérő pótlására, illetve elégtelen osztályzatról történő javítására a szorgalmi időszak végéig kettő alkalommal van lehetőség az oktatóval egyeztetett időpontokban. A zárthelyi írásbeli dolgozat értékelése az elért maximális pontszám 60%-ig elégtelen; 61-70%-a között elégséges; 71-80%-a között közepes; 81-90%-a között jó; e felett jeles. </w:t>
      </w:r>
      <w:r>
        <w:rPr>
          <w:rFonts w:ascii="Times New Roman" w:eastAsia="Times New Roman" w:hAnsi="Times New Roman" w:cs="Times New Roman"/>
          <w:bCs/>
        </w:rPr>
        <w:t>A gyakorlati munka értékelése a végrehajtott részfeladatok és a hibák előjeles pontszámainak összegeként határozandó meg, az írásbeli értékelésnél alkalmazott osztályozással. A gyakorlati feladat pontos paramétereit a tantárgy oktatója határozza meg az első foglalkozáson. Az összetett feladat megoldásához a tantárgyi tematikában részletezett ismeretanyag elsajátítása szükséges. Az ismeretanyag eredményes elsajátításához a hallgató a kötelező és az ajánlott szakirodalmat használhatja fel.</w:t>
      </w:r>
    </w:p>
    <w:p w:rsidR="00F80CE7" w:rsidRDefault="00F80CE7" w:rsidP="00C2057B">
      <w:pPr>
        <w:widowControl w:val="0"/>
        <w:numPr>
          <w:ilvl w:val="0"/>
          <w:numId w:val="50"/>
        </w:numPr>
        <w:spacing w:before="120" w:after="120" w:line="240" w:lineRule="auto"/>
        <w:ind w:left="426" w:hanging="142"/>
        <w:jc w:val="both"/>
        <w:rPr>
          <w:rFonts w:ascii="Times New Roman" w:eastAsia="Times New Roman" w:hAnsi="Times New Roman" w:cs="Times New Roman"/>
          <w:b/>
          <w:bCs/>
          <w:kern w:val="2"/>
        </w:rPr>
      </w:pPr>
      <w:r>
        <w:rPr>
          <w:rFonts w:ascii="Times New Roman" w:eastAsia="Times New Roman" w:hAnsi="Times New Roman" w:cs="Times New Roman"/>
          <w:b/>
          <w:bCs/>
          <w:kern w:val="2"/>
        </w:rPr>
        <w:t xml:space="preserve">Az értékelés, az aláírás és a kreditek megszerzésének pontos feltételei: </w:t>
      </w:r>
    </w:p>
    <w:p w:rsidR="00F80CE7" w:rsidRDefault="00F80CE7" w:rsidP="00C2057B">
      <w:pPr>
        <w:widowControl w:val="0"/>
        <w:numPr>
          <w:ilvl w:val="1"/>
          <w:numId w:val="50"/>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kern w:val="2"/>
        </w:rPr>
      </w:pPr>
      <w:r>
        <w:rPr>
          <w:rFonts w:ascii="Times New Roman" w:eastAsia="Times New Roman" w:hAnsi="Times New Roman" w:cs="Times New Roman"/>
          <w:b/>
          <w:kern w:val="2"/>
        </w:rPr>
        <w:t>Az aláírás megszerzésének feltételei:</w:t>
      </w:r>
      <w:r>
        <w:rPr>
          <w:rFonts w:ascii="Times New Roman" w:eastAsia="Times New Roman" w:hAnsi="Times New Roman" w:cs="Times New Roman"/>
          <w:kern w:val="2"/>
        </w:rPr>
        <w:t xml:space="preserve"> </w:t>
      </w:r>
      <w:r>
        <w:rPr>
          <w:rFonts w:ascii="Times New Roman" w:eastAsia="Times New Roman" w:hAnsi="Times New Roman" w:cs="Times New Roman"/>
          <w:bCs/>
          <w:kern w:val="2"/>
        </w:rPr>
        <w:t>A kurzus teljesítését igazoló aláírás megszerzésének feltétele a tanórákon való részvétel követelményeinek teljesítése, a zárthelyi írásbeli dolgozat és a komplex gyakorlati feladatmegoldás legalább elégséges szintű teljesítése.</w:t>
      </w:r>
    </w:p>
    <w:p w:rsidR="00F80CE7" w:rsidRDefault="00F80CE7" w:rsidP="00C2057B">
      <w:pPr>
        <w:widowControl w:val="0"/>
        <w:numPr>
          <w:ilvl w:val="1"/>
          <w:numId w:val="50"/>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bCs/>
          <w:kern w:val="2"/>
        </w:rPr>
      </w:pPr>
      <w:r>
        <w:rPr>
          <w:rFonts w:ascii="Times New Roman" w:eastAsia="Times New Roman" w:hAnsi="Times New Roman" w:cs="Times New Roman"/>
          <w:b/>
          <w:kern w:val="2"/>
        </w:rPr>
        <w:t>Az értékelés:</w:t>
      </w:r>
      <w:r>
        <w:rPr>
          <w:rFonts w:ascii="Times New Roman" w:eastAsia="Times New Roman" w:hAnsi="Times New Roman" w:cs="Times New Roman"/>
          <w:kern w:val="2"/>
        </w:rPr>
        <w:t xml:space="preserve"> </w:t>
      </w:r>
      <w:r>
        <w:rPr>
          <w:rFonts w:ascii="Times New Roman" w:eastAsia="Times New Roman" w:hAnsi="Times New Roman" w:cs="Times New Roman"/>
          <w:bCs/>
        </w:rPr>
        <w:t xml:space="preserve">A gyakorlati jegy a tantárgy elméleti anyagának gyakorlati alkalmazását és az alkalmazási készség értékelését teszi lehetővé. Kialakítására a szorgalmi időszak folyamán a tantárgy oktatójának bemutatott (leadott) önállóan végrehajtott komplex gyakorlati feladatmegoldás és az írásbeli ismeretszintfelmérő eredményei szolgálnak. </w:t>
      </w:r>
      <w:r>
        <w:rPr>
          <w:rFonts w:ascii="Times New Roman" w:eastAsia="Times New Roman" w:hAnsi="Times New Roman" w:cs="Times New Roman"/>
        </w:rPr>
        <w:t>A gyakorlati jegy kialakítása ötfokozatú értékeléssel történik.</w:t>
      </w:r>
    </w:p>
    <w:p w:rsidR="00F80CE7" w:rsidRDefault="00F80CE7" w:rsidP="00C2057B">
      <w:pPr>
        <w:widowControl w:val="0"/>
        <w:numPr>
          <w:ilvl w:val="1"/>
          <w:numId w:val="50"/>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kern w:val="2"/>
        </w:rPr>
        <w:t>A kreditek megszerzésének feltételei:</w:t>
      </w:r>
      <w:r>
        <w:rPr>
          <w:rFonts w:ascii="Times New Roman" w:eastAsia="Times New Roman" w:hAnsi="Times New Roman" w:cs="Times New Roman"/>
          <w:kern w:val="2"/>
        </w:rPr>
        <w:t xml:space="preserve"> </w:t>
      </w:r>
      <w:r>
        <w:rPr>
          <w:rFonts w:ascii="Times New Roman" w:eastAsia="Times New Roman" w:hAnsi="Times New Roman" w:cs="Times New Roman"/>
        </w:rPr>
        <w:t>A tantárgyhoz rendelt kreditek megszerzésének feltétele az aláírás megszerzése és a legalább elégséges (2) gyakorlati jegy. Sikeres (elégtelennél jobb) gyakorlati jegy javítására nincs lehetőség.</w:t>
      </w:r>
    </w:p>
    <w:p w:rsidR="00F80CE7" w:rsidRDefault="00F80CE7" w:rsidP="00C2057B">
      <w:pPr>
        <w:widowControl w:val="0"/>
        <w:numPr>
          <w:ilvl w:val="0"/>
          <w:numId w:val="50"/>
        </w:numPr>
        <w:tabs>
          <w:tab w:val="num" w:pos="360"/>
        </w:tabs>
        <w:spacing w:before="120" w:after="120" w:line="240" w:lineRule="auto"/>
        <w:ind w:left="426" w:hanging="142"/>
        <w:jc w:val="both"/>
        <w:rPr>
          <w:rFonts w:ascii="Times New Roman" w:eastAsia="Times New Roman" w:hAnsi="Times New Roman" w:cs="Times New Roman"/>
          <w:bCs/>
          <w:kern w:val="2"/>
        </w:rPr>
      </w:pPr>
      <w:r>
        <w:rPr>
          <w:rFonts w:ascii="Times New Roman" w:eastAsia="Times New Roman" w:hAnsi="Times New Roman" w:cs="Times New Roman"/>
          <w:b/>
          <w:bCs/>
          <w:kern w:val="2"/>
        </w:rPr>
        <w:t>Irodalomjegyzék:</w:t>
      </w:r>
    </w:p>
    <w:p w:rsidR="00F80CE7" w:rsidRDefault="00F80CE7" w:rsidP="00C2057B">
      <w:pPr>
        <w:widowControl w:val="0"/>
        <w:numPr>
          <w:ilvl w:val="1"/>
          <w:numId w:val="50"/>
        </w:numPr>
        <w:tabs>
          <w:tab w:val="left" w:pos="567"/>
          <w:tab w:val="left" w:pos="851"/>
          <w:tab w:val="num" w:pos="2069"/>
        </w:tabs>
        <w:spacing w:before="120" w:after="120" w:line="240" w:lineRule="auto"/>
        <w:ind w:left="426" w:hanging="142"/>
        <w:jc w:val="both"/>
        <w:rPr>
          <w:rFonts w:ascii="Times New Roman" w:eastAsia="Times New Roman" w:hAnsi="Times New Roman" w:cs="Times New Roman"/>
          <w:bCs/>
          <w:kern w:val="2"/>
        </w:rPr>
      </w:pPr>
      <w:r>
        <w:rPr>
          <w:rFonts w:ascii="Times New Roman" w:eastAsia="Times New Roman" w:hAnsi="Times New Roman" w:cs="Times New Roman"/>
          <w:b/>
          <w:bCs/>
          <w:kern w:val="2"/>
        </w:rPr>
        <w:t>Kötelező irodalom:</w:t>
      </w:r>
    </w:p>
    <w:p w:rsidR="00F80CE7" w:rsidRDefault="009549CB" w:rsidP="00C2057B">
      <w:pPr>
        <w:pStyle w:val="Listaszerbekezds"/>
        <w:widowControl w:val="0"/>
        <w:numPr>
          <w:ilvl w:val="0"/>
          <w:numId w:val="48"/>
        </w:numPr>
        <w:spacing w:after="0" w:line="240" w:lineRule="auto"/>
        <w:jc w:val="both"/>
        <w:rPr>
          <w:rFonts w:ascii="Times New Roman" w:eastAsia="Times New Roman" w:hAnsi="Times New Roman" w:cs="Times New Roman"/>
          <w:kern w:val="2"/>
        </w:rPr>
      </w:pPr>
      <w:r>
        <w:rPr>
          <w:rFonts w:ascii="Times New Roman" w:hAnsi="Times New Roman" w:cs="Times New Roman"/>
          <w:kern w:val="2"/>
        </w:rPr>
        <w:t xml:space="preserve">Kállai Attila: </w:t>
      </w:r>
      <w:r w:rsidR="00F80CE7">
        <w:rPr>
          <w:rFonts w:ascii="Times New Roman" w:hAnsi="Times New Roman" w:cs="Times New Roman"/>
          <w:kern w:val="2"/>
        </w:rPr>
        <w:t>Térkép- és tereptani alapismeretek. In: Czank László (szerk.) Katonai alapismeretek (tankönyv). Budapest, Zrínyi Kiadó, 2009. ISBN 978-963-327-490-3 (pp. 98-173.)</w:t>
      </w:r>
    </w:p>
    <w:p w:rsidR="00F80CE7" w:rsidRDefault="00F80CE7" w:rsidP="00C2057B">
      <w:pPr>
        <w:pStyle w:val="Listaszerbekezds"/>
        <w:widowControl w:val="0"/>
        <w:numPr>
          <w:ilvl w:val="0"/>
          <w:numId w:val="48"/>
        </w:numPr>
        <w:spacing w:after="0" w:line="240" w:lineRule="auto"/>
        <w:jc w:val="both"/>
        <w:rPr>
          <w:rFonts w:ascii="Times New Roman" w:eastAsia="Times New Roman" w:hAnsi="Times New Roman" w:cs="Times New Roman"/>
          <w:kern w:val="2"/>
        </w:rPr>
      </w:pPr>
      <w:r>
        <w:rPr>
          <w:rFonts w:ascii="Times New Roman" w:eastAsia="Times New Roman" w:hAnsi="Times New Roman" w:cs="Times New Roman"/>
          <w:kern w:val="2"/>
        </w:rPr>
        <w:t>Kállai Attila (geoinformációs támogatás); Siposné Kecskeméthy Klára (katonaföldrajz) szócikkek in Krajnc Zoltán (et al.): Hadtudományi lexikon — Új kötet. Dialóg Campus, Budapest, 2019.</w:t>
      </w:r>
    </w:p>
    <w:p w:rsidR="00F80CE7" w:rsidRDefault="00F80CE7" w:rsidP="00C2057B">
      <w:pPr>
        <w:pStyle w:val="Listaszerbekezds"/>
        <w:widowControl w:val="0"/>
        <w:numPr>
          <w:ilvl w:val="0"/>
          <w:numId w:val="48"/>
        </w:numPr>
        <w:spacing w:after="0" w:line="240" w:lineRule="auto"/>
        <w:jc w:val="both"/>
        <w:rPr>
          <w:rFonts w:ascii="Times New Roman" w:eastAsia="Times New Roman" w:hAnsi="Times New Roman" w:cs="Times New Roman"/>
          <w:kern w:val="2"/>
        </w:rPr>
      </w:pPr>
      <w:r>
        <w:rPr>
          <w:rFonts w:ascii="Times New Roman" w:eastAsia="Times New Roman" w:hAnsi="Times New Roman" w:cs="Times New Roman"/>
          <w:kern w:val="2"/>
        </w:rPr>
        <w:lastRenderedPageBreak/>
        <w:t>A Magyar Honvédségben rendszeresített NATO szabványos és egyéb speciális térképek jelkulcsa. A Magyar Honvédség Geoinformációs Szolgálat kiadványa, 2008.</w:t>
      </w:r>
    </w:p>
    <w:p w:rsidR="00F80CE7" w:rsidRDefault="00F80CE7" w:rsidP="00C2057B">
      <w:pPr>
        <w:widowControl w:val="0"/>
        <w:numPr>
          <w:ilvl w:val="1"/>
          <w:numId w:val="50"/>
        </w:numPr>
        <w:tabs>
          <w:tab w:val="num" w:pos="567"/>
          <w:tab w:val="num" w:pos="2069"/>
        </w:tabs>
        <w:spacing w:before="120" w:after="120" w:line="240" w:lineRule="auto"/>
        <w:ind w:left="993" w:hanging="709"/>
        <w:jc w:val="both"/>
        <w:rPr>
          <w:rFonts w:ascii="Times New Roman" w:eastAsia="Times New Roman" w:hAnsi="Times New Roman" w:cs="Times New Roman"/>
          <w:b/>
          <w:bCs/>
          <w:kern w:val="2"/>
        </w:rPr>
      </w:pPr>
      <w:r>
        <w:rPr>
          <w:rFonts w:ascii="Times New Roman" w:eastAsia="Times New Roman" w:hAnsi="Times New Roman" w:cs="Times New Roman"/>
          <w:b/>
          <w:bCs/>
          <w:kern w:val="2"/>
        </w:rPr>
        <w:t>Ajánlott irodalom:</w:t>
      </w:r>
    </w:p>
    <w:p w:rsidR="00F80CE7" w:rsidRDefault="00F80CE7" w:rsidP="00C2057B">
      <w:pPr>
        <w:pStyle w:val="Listaszerbekezds"/>
        <w:widowControl w:val="0"/>
        <w:numPr>
          <w:ilvl w:val="0"/>
          <w:numId w:val="49"/>
        </w:numPr>
        <w:spacing w:after="0" w:line="240" w:lineRule="auto"/>
        <w:jc w:val="both"/>
        <w:rPr>
          <w:rFonts w:ascii="Times New Roman" w:eastAsia="Times New Roman" w:hAnsi="Times New Roman" w:cs="Times New Roman"/>
          <w:kern w:val="2"/>
        </w:rPr>
      </w:pPr>
      <w:r>
        <w:rPr>
          <w:rFonts w:ascii="Times New Roman" w:eastAsia="Times New Roman" w:hAnsi="Times New Roman" w:cs="Times New Roman"/>
          <w:kern w:val="2"/>
        </w:rPr>
        <w:t>Balatoni Béla (szer.): Katonai tereptan (Ált/204), Magyar Honvédség Parancsnoksága, 1991.</w:t>
      </w:r>
    </w:p>
    <w:p w:rsidR="00F80CE7" w:rsidRDefault="00F80CE7" w:rsidP="00C2057B">
      <w:pPr>
        <w:pStyle w:val="Listaszerbekezds"/>
        <w:widowControl w:val="0"/>
        <w:numPr>
          <w:ilvl w:val="0"/>
          <w:numId w:val="49"/>
        </w:numPr>
        <w:spacing w:after="0" w:line="240" w:lineRule="auto"/>
        <w:jc w:val="both"/>
        <w:rPr>
          <w:rFonts w:ascii="Times New Roman" w:eastAsia="Times New Roman" w:hAnsi="Times New Roman" w:cs="Times New Roman"/>
          <w:kern w:val="2"/>
        </w:rPr>
      </w:pPr>
      <w:r>
        <w:rPr>
          <w:rFonts w:ascii="Times New Roman" w:eastAsia="Times New Roman" w:hAnsi="Times New Roman" w:cs="Times New Roman"/>
          <w:kern w:val="2"/>
        </w:rPr>
        <w:t>Für Gáspár – Miskolczi Erzsébet: NATO térképészeti ismeretek. Budapest, ZMNE, 2003.</w:t>
      </w:r>
    </w:p>
    <w:p w:rsidR="00F80CE7" w:rsidRDefault="00F80CE7" w:rsidP="00C2057B">
      <w:pPr>
        <w:pStyle w:val="Listaszerbekezds"/>
        <w:widowControl w:val="0"/>
        <w:numPr>
          <w:ilvl w:val="0"/>
          <w:numId w:val="49"/>
        </w:numPr>
        <w:spacing w:after="0" w:line="240" w:lineRule="auto"/>
        <w:jc w:val="both"/>
        <w:rPr>
          <w:rFonts w:ascii="Times New Roman" w:eastAsia="Times New Roman" w:hAnsi="Times New Roman" w:cs="Times New Roman"/>
          <w:kern w:val="2"/>
        </w:rPr>
      </w:pPr>
      <w:r>
        <w:rPr>
          <w:rFonts w:ascii="Times New Roman" w:eastAsia="Times New Roman" w:hAnsi="Times New Roman" w:cs="Times New Roman"/>
          <w:kern w:val="2"/>
        </w:rPr>
        <w:t>Kállai Attila: Globális helymeghatározó rendszerek (egyetemi jegyzet). ZMNE, 2004.</w:t>
      </w:r>
    </w:p>
    <w:p w:rsidR="00F80CE7" w:rsidRDefault="00F80CE7" w:rsidP="00C2057B">
      <w:pPr>
        <w:numPr>
          <w:ilvl w:val="0"/>
          <w:numId w:val="49"/>
        </w:numPr>
        <w:tabs>
          <w:tab w:val="center" w:pos="4536"/>
          <w:tab w:val="right" w:pos="9072"/>
        </w:tabs>
        <w:spacing w:after="0" w:line="256" w:lineRule="auto"/>
        <w:ind w:left="714" w:hanging="357"/>
        <w:jc w:val="both"/>
        <w:rPr>
          <w:rFonts w:ascii="Times New Roman" w:eastAsia="Times New Roman" w:hAnsi="Times New Roman" w:cs="Times New Roman"/>
          <w:bCs/>
          <w:lang w:val="en-US" w:eastAsia="hu-HU"/>
        </w:rPr>
      </w:pPr>
      <w:r>
        <w:rPr>
          <w:rFonts w:ascii="Times New Roman" w:eastAsia="Times New Roman" w:hAnsi="Times New Roman" w:cs="Times New Roman"/>
          <w:bCs/>
          <w:lang w:val="en-US" w:eastAsia="hu-HU"/>
        </w:rPr>
        <w:t>Formats for Orders and Designation of Timings, Locations and Boundaries (STANAG 2014, Edition 9) – Military Agency for Standardization (MAS), Brussels, 2000.</w:t>
      </w:r>
    </w:p>
    <w:p w:rsidR="00F80CE7" w:rsidRDefault="00F80CE7" w:rsidP="00C2057B">
      <w:pPr>
        <w:pStyle w:val="Listaszerbekezds"/>
        <w:widowControl w:val="0"/>
        <w:numPr>
          <w:ilvl w:val="0"/>
          <w:numId w:val="49"/>
        </w:numPr>
        <w:spacing w:after="0" w:line="240" w:lineRule="auto"/>
        <w:ind w:left="714" w:hanging="357"/>
        <w:jc w:val="both"/>
        <w:rPr>
          <w:rFonts w:ascii="Times New Roman" w:eastAsia="Times New Roman" w:hAnsi="Times New Roman" w:cs="Times New Roman"/>
          <w:kern w:val="2"/>
          <w:lang w:val="en-US"/>
        </w:rPr>
      </w:pPr>
      <w:r>
        <w:rPr>
          <w:rFonts w:ascii="Times New Roman" w:eastAsia="Times New Roman" w:hAnsi="Times New Roman" w:cs="Times New Roman"/>
          <w:kern w:val="2"/>
          <w:lang w:val="en-US"/>
        </w:rPr>
        <w:t>Map Reading and Land Navigation Field Manual 3-25.26 (FM 21-26) Headquarters, Department of the Army, Washington, DC, 20 July 2001.</w:t>
      </w:r>
    </w:p>
    <w:p w:rsidR="00F80CE7" w:rsidRDefault="00F80CE7" w:rsidP="00F80CE7">
      <w:pPr>
        <w:widowControl w:val="0"/>
        <w:spacing w:before="120" w:after="120" w:line="240" w:lineRule="auto"/>
        <w:jc w:val="right"/>
        <w:rPr>
          <w:rFonts w:ascii="Times New Roman" w:eastAsia="Times New Roman" w:hAnsi="Times New Roman" w:cs="Times New Roman"/>
          <w:bCs/>
          <w:kern w:val="2"/>
        </w:rPr>
      </w:pPr>
    </w:p>
    <w:p w:rsidR="00F80CE7" w:rsidRDefault="00F80CE7" w:rsidP="00F80CE7">
      <w:pPr>
        <w:widowControl w:val="0"/>
        <w:spacing w:before="120" w:after="120" w:line="240" w:lineRule="auto"/>
        <w:jc w:val="both"/>
        <w:rPr>
          <w:rFonts w:ascii="Times New Roman" w:eastAsia="Times New Roman" w:hAnsi="Times New Roman" w:cs="Times New Roman"/>
          <w:bCs/>
          <w:kern w:val="2"/>
        </w:rPr>
      </w:pPr>
      <w:r>
        <w:rPr>
          <w:rFonts w:ascii="Times New Roman" w:eastAsia="Times New Roman" w:hAnsi="Times New Roman" w:cs="Times New Roman"/>
          <w:bCs/>
          <w:kern w:val="2"/>
        </w:rPr>
        <w:t>Budapest, 2020. március 10.</w:t>
      </w:r>
    </w:p>
    <w:p w:rsidR="00F80CE7" w:rsidRPr="00F80CE7" w:rsidRDefault="00F80CE7" w:rsidP="00F80CE7">
      <w:pPr>
        <w:widowControl w:val="0"/>
        <w:spacing w:after="0" w:line="240" w:lineRule="auto"/>
        <w:ind w:left="5954"/>
        <w:jc w:val="center"/>
        <w:rPr>
          <w:rFonts w:ascii="Times New Roman" w:eastAsia="Times New Roman" w:hAnsi="Times New Roman" w:cs="Times New Roman"/>
          <w:b/>
          <w:bCs/>
          <w:kern w:val="2"/>
        </w:rPr>
      </w:pPr>
      <w:r w:rsidRPr="00F80CE7">
        <w:rPr>
          <w:rFonts w:ascii="Times New Roman" w:eastAsia="Times New Roman" w:hAnsi="Times New Roman" w:cs="Times New Roman"/>
          <w:b/>
          <w:bCs/>
          <w:kern w:val="2"/>
        </w:rPr>
        <w:t>Dr. Kállai Attila alezredes (PhD)</w:t>
      </w:r>
    </w:p>
    <w:p w:rsidR="00F80CE7" w:rsidRDefault="00F80CE7" w:rsidP="00F80CE7">
      <w:pPr>
        <w:widowControl w:val="0"/>
        <w:spacing w:after="0" w:line="240" w:lineRule="auto"/>
        <w:ind w:left="5954"/>
        <w:jc w:val="center"/>
        <w:rPr>
          <w:rFonts w:ascii="Times New Roman" w:eastAsia="Times New Roman" w:hAnsi="Times New Roman" w:cs="Times New Roman"/>
          <w:bCs/>
          <w:kern w:val="2"/>
        </w:rPr>
      </w:pPr>
      <w:r>
        <w:rPr>
          <w:rFonts w:ascii="Times New Roman" w:eastAsia="Times New Roman" w:hAnsi="Times New Roman" w:cs="Times New Roman"/>
          <w:bCs/>
          <w:kern w:val="2"/>
        </w:rPr>
        <w:t>egyetemi docens</w:t>
      </w:r>
    </w:p>
    <w:p w:rsidR="00F80CE7" w:rsidRDefault="00F80CE7" w:rsidP="00F80CE7">
      <w:pPr>
        <w:widowControl w:val="0"/>
        <w:spacing w:after="0" w:line="240" w:lineRule="auto"/>
        <w:ind w:left="5954"/>
        <w:jc w:val="center"/>
        <w:rPr>
          <w:rFonts w:ascii="Times New Roman" w:eastAsia="Times New Roman" w:hAnsi="Times New Roman" w:cs="Times New Roman"/>
          <w:bCs/>
          <w:kern w:val="2"/>
        </w:rPr>
      </w:pPr>
      <w:r>
        <w:rPr>
          <w:rFonts w:ascii="Times New Roman" w:eastAsia="Times New Roman" w:hAnsi="Times New Roman" w:cs="Times New Roman"/>
          <w:bCs/>
          <w:kern w:val="2"/>
        </w:rPr>
        <w:t>sk.</w:t>
      </w:r>
    </w:p>
    <w:p w:rsidR="00A24034" w:rsidRDefault="00A24034">
      <w:pPr>
        <w:spacing w:after="200" w:line="276" w:lineRule="auto"/>
        <w:rPr>
          <w:rFonts w:ascii="Times New Roman" w:hAnsi="Times New Roman" w:cs="Times New Roman"/>
        </w:rPr>
      </w:pPr>
    </w:p>
    <w:p w:rsidR="00F80CE7" w:rsidRDefault="00F80CE7">
      <w:pPr>
        <w:spacing w:after="200" w:line="276" w:lineRule="auto"/>
        <w:rPr>
          <w:rFonts w:ascii="Times New Roman" w:hAnsi="Times New Roman" w:cs="Times New Roman"/>
        </w:rPr>
      </w:pPr>
      <w:r>
        <w:rPr>
          <w:rFonts w:ascii="Times New Roman" w:hAnsi="Times New Roman" w:cs="Times New Roman"/>
        </w:rPr>
        <w:br w:type="page"/>
      </w:r>
    </w:p>
    <w:tbl>
      <w:tblPr>
        <w:tblW w:w="9072" w:type="dxa"/>
        <w:tblInd w:w="113" w:type="dxa"/>
        <w:tblLook w:val="01E0" w:firstRow="1" w:lastRow="1" w:firstColumn="1" w:lastColumn="1" w:noHBand="0" w:noVBand="0"/>
      </w:tblPr>
      <w:tblGrid>
        <w:gridCol w:w="4855"/>
        <w:gridCol w:w="1620"/>
        <w:gridCol w:w="2597"/>
      </w:tblGrid>
      <w:tr w:rsidR="00950D47" w:rsidTr="00950D47">
        <w:tc>
          <w:tcPr>
            <w:tcW w:w="4855" w:type="dxa"/>
            <w:tcBorders>
              <w:top w:val="nil"/>
              <w:left w:val="nil"/>
              <w:bottom w:val="single" w:sz="4" w:space="0" w:color="auto"/>
              <w:right w:val="nil"/>
            </w:tcBorders>
            <w:hideMark/>
          </w:tcPr>
          <w:p w:rsidR="00950D47" w:rsidRDefault="00950D47">
            <w:pPr>
              <w:spacing w:after="0" w:line="240" w:lineRule="auto"/>
              <w:jc w:val="center"/>
              <w:rPr>
                <w:rFonts w:ascii="Times New Roman" w:eastAsia="Times New Roman" w:hAnsi="Times New Roman" w:cs="Times New Roman"/>
                <w:b/>
                <w:smallCaps/>
                <w:lang w:eastAsia="hu-HU"/>
              </w:rPr>
            </w:pPr>
            <w:r>
              <w:rPr>
                <w:rFonts w:ascii="Times New Roman" w:eastAsia="Times New Roman" w:hAnsi="Times New Roman" w:cs="Times New Roman"/>
                <w:b/>
                <w:smallCaps/>
                <w:lang w:eastAsia="hu-HU"/>
              </w:rPr>
              <w:lastRenderedPageBreak/>
              <w:t>Nemzeti Közszolgálati Egyetem</w:t>
            </w:r>
          </w:p>
        </w:tc>
        <w:tc>
          <w:tcPr>
            <w:tcW w:w="1620" w:type="dxa"/>
          </w:tcPr>
          <w:p w:rsidR="00950D47" w:rsidRDefault="00950D47">
            <w:pPr>
              <w:spacing w:after="0" w:line="240" w:lineRule="auto"/>
              <w:jc w:val="both"/>
              <w:rPr>
                <w:rFonts w:ascii="Times New Roman" w:eastAsia="Times New Roman" w:hAnsi="Times New Roman" w:cs="Times New Roman"/>
                <w:lang w:eastAsia="hu-HU"/>
              </w:rPr>
            </w:pPr>
          </w:p>
        </w:tc>
        <w:tc>
          <w:tcPr>
            <w:tcW w:w="2597" w:type="dxa"/>
          </w:tcPr>
          <w:p w:rsidR="00950D47" w:rsidRDefault="00950D47">
            <w:pPr>
              <w:spacing w:after="0" w:line="240" w:lineRule="auto"/>
              <w:jc w:val="right"/>
              <w:rPr>
                <w:rFonts w:ascii="Times New Roman" w:eastAsia="Times New Roman" w:hAnsi="Times New Roman" w:cs="Times New Roman"/>
                <w:lang w:eastAsia="hu-HU"/>
              </w:rPr>
            </w:pPr>
          </w:p>
        </w:tc>
      </w:tr>
      <w:tr w:rsidR="00950D47" w:rsidTr="00950D47">
        <w:tc>
          <w:tcPr>
            <w:tcW w:w="4855" w:type="dxa"/>
            <w:tcBorders>
              <w:top w:val="single" w:sz="4" w:space="0" w:color="auto"/>
              <w:left w:val="nil"/>
              <w:bottom w:val="nil"/>
              <w:right w:val="nil"/>
            </w:tcBorders>
            <w:hideMark/>
          </w:tcPr>
          <w:p w:rsidR="00950D47" w:rsidRDefault="00950D47">
            <w:pPr>
              <w:spacing w:after="0" w:line="240" w:lineRule="auto"/>
              <w:jc w:val="center"/>
              <w:rPr>
                <w:rFonts w:ascii="Times New Roman" w:eastAsia="Times New Roman" w:hAnsi="Times New Roman" w:cs="Times New Roman"/>
                <w:b/>
                <w:lang w:eastAsia="hu-HU"/>
              </w:rPr>
            </w:pPr>
            <w:r>
              <w:rPr>
                <w:rFonts w:ascii="Times New Roman" w:eastAsia="Times New Roman" w:hAnsi="Times New Roman" w:cs="Times New Roman"/>
                <w:b/>
                <w:lang w:eastAsia="hu-HU"/>
              </w:rPr>
              <w:t>Hadtudományi és Honvédtisztképző Kar</w:t>
            </w:r>
          </w:p>
        </w:tc>
        <w:tc>
          <w:tcPr>
            <w:tcW w:w="1620" w:type="dxa"/>
          </w:tcPr>
          <w:p w:rsidR="00950D47" w:rsidRDefault="00950D47">
            <w:pPr>
              <w:spacing w:after="0" w:line="240" w:lineRule="auto"/>
              <w:jc w:val="both"/>
              <w:rPr>
                <w:rFonts w:ascii="Times New Roman" w:eastAsia="Times New Roman" w:hAnsi="Times New Roman" w:cs="Times New Roman"/>
                <w:lang w:eastAsia="hu-HU"/>
              </w:rPr>
            </w:pPr>
          </w:p>
        </w:tc>
        <w:tc>
          <w:tcPr>
            <w:tcW w:w="2597" w:type="dxa"/>
          </w:tcPr>
          <w:p w:rsidR="00950D47" w:rsidRDefault="00950D47">
            <w:pPr>
              <w:spacing w:after="0" w:line="240" w:lineRule="auto"/>
              <w:jc w:val="both"/>
              <w:rPr>
                <w:rFonts w:ascii="Times New Roman" w:eastAsia="Times New Roman" w:hAnsi="Times New Roman" w:cs="Times New Roman"/>
                <w:lang w:eastAsia="hu-HU"/>
              </w:rPr>
            </w:pPr>
          </w:p>
        </w:tc>
      </w:tr>
    </w:tbl>
    <w:p w:rsidR="00950D47" w:rsidRDefault="00950D47" w:rsidP="00950D47">
      <w:pPr>
        <w:widowControl w:val="0"/>
        <w:spacing w:before="120" w:after="120" w:line="240" w:lineRule="auto"/>
        <w:ind w:left="426" w:hanging="142"/>
        <w:jc w:val="center"/>
        <w:rPr>
          <w:rFonts w:ascii="Times New Roman" w:eastAsia="Times New Roman" w:hAnsi="Times New Roman" w:cs="Times New Roman"/>
          <w:b/>
          <w:bCs/>
        </w:rPr>
      </w:pPr>
    </w:p>
    <w:p w:rsidR="00950D47" w:rsidRDefault="00950D47" w:rsidP="00950D47">
      <w:pPr>
        <w:widowControl w:val="0"/>
        <w:spacing w:before="120" w:after="120" w:line="240" w:lineRule="auto"/>
        <w:ind w:left="426" w:hanging="142"/>
        <w:jc w:val="center"/>
        <w:rPr>
          <w:rFonts w:ascii="Times New Roman" w:eastAsia="Times New Roman" w:hAnsi="Times New Roman" w:cs="Times New Roman"/>
          <w:b/>
          <w:bCs/>
        </w:rPr>
      </w:pPr>
      <w:r>
        <w:rPr>
          <w:rFonts w:ascii="Times New Roman" w:eastAsia="Times New Roman" w:hAnsi="Times New Roman" w:cs="Times New Roman"/>
          <w:b/>
          <w:bCs/>
        </w:rPr>
        <w:t>TANTÁRGYI PROGRAM</w:t>
      </w:r>
    </w:p>
    <w:p w:rsidR="00950D47" w:rsidRDefault="00950D47" w:rsidP="00C2057B">
      <w:pPr>
        <w:widowControl w:val="0"/>
        <w:numPr>
          <w:ilvl w:val="0"/>
          <w:numId w:val="52"/>
        </w:numPr>
        <w:tabs>
          <w:tab w:val="clear" w:pos="720"/>
          <w:tab w:val="num" w:pos="502"/>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 tantárgy kódja: </w:t>
      </w:r>
      <w:r>
        <w:rPr>
          <w:rFonts w:ascii="Times New Roman" w:eastAsia="Times New Roman" w:hAnsi="Times New Roman" w:cs="Times New Roman"/>
          <w:bCs/>
        </w:rPr>
        <w:t>HK925A120</w:t>
      </w:r>
    </w:p>
    <w:p w:rsidR="00950D47" w:rsidRDefault="00950D47" w:rsidP="00C2057B">
      <w:pPr>
        <w:widowControl w:val="0"/>
        <w:numPr>
          <w:ilvl w:val="0"/>
          <w:numId w:val="52"/>
        </w:numPr>
        <w:tabs>
          <w:tab w:val="clear" w:pos="720"/>
          <w:tab w:val="num" w:pos="502"/>
          <w:tab w:val="num" w:pos="567"/>
        </w:tabs>
        <w:spacing w:before="120" w:after="120" w:line="240" w:lineRule="auto"/>
        <w:ind w:left="426" w:hanging="142"/>
        <w:jc w:val="both"/>
        <w:rPr>
          <w:rFonts w:ascii="Times New Roman" w:eastAsia="Times New Roman" w:hAnsi="Times New Roman" w:cs="Times New Roman"/>
          <w:b/>
          <w:bCs/>
          <w:lang w:val="en-GB"/>
        </w:rPr>
      </w:pPr>
      <w:r>
        <w:rPr>
          <w:rFonts w:ascii="Times New Roman" w:eastAsia="Times New Roman" w:hAnsi="Times New Roman" w:cs="Times New Roman"/>
          <w:b/>
          <w:bCs/>
        </w:rPr>
        <w:t>A tantárgy megnevezése (magyarul):</w:t>
      </w:r>
      <w:r>
        <w:rPr>
          <w:rFonts w:ascii="Times New Roman" w:eastAsia="Times New Roman" w:hAnsi="Times New Roman" w:cs="Times New Roman"/>
          <w:bCs/>
        </w:rPr>
        <w:t xml:space="preserve"> Matematika LOG 2</w:t>
      </w:r>
    </w:p>
    <w:p w:rsidR="00950D47" w:rsidRDefault="00950D47" w:rsidP="00C2057B">
      <w:pPr>
        <w:widowControl w:val="0"/>
        <w:numPr>
          <w:ilvl w:val="0"/>
          <w:numId w:val="52"/>
        </w:numPr>
        <w:tabs>
          <w:tab w:val="clear" w:pos="720"/>
          <w:tab w:val="num" w:pos="502"/>
          <w:tab w:val="num" w:pos="567"/>
        </w:tabs>
        <w:spacing w:before="120" w:after="120" w:line="240" w:lineRule="auto"/>
        <w:ind w:left="426" w:hanging="142"/>
        <w:jc w:val="both"/>
        <w:rPr>
          <w:rFonts w:ascii="Times New Roman" w:eastAsia="Times New Roman" w:hAnsi="Times New Roman" w:cs="Times New Roman"/>
          <w:b/>
          <w:bCs/>
          <w:lang w:val="en-GB"/>
        </w:rPr>
      </w:pPr>
      <w:r>
        <w:rPr>
          <w:rFonts w:ascii="Times New Roman" w:eastAsia="Times New Roman" w:hAnsi="Times New Roman" w:cs="Times New Roman"/>
          <w:b/>
          <w:bCs/>
        </w:rPr>
        <w:t>A tantárgy megnevezése (angolul):</w:t>
      </w:r>
      <w:r>
        <w:rPr>
          <w:rFonts w:ascii="Times New Roman" w:eastAsia="Times New Roman" w:hAnsi="Times New Roman" w:cs="Times New Roman"/>
          <w:bCs/>
        </w:rPr>
        <w:t xml:space="preserve"> Mathematics LOG 2</w:t>
      </w:r>
    </w:p>
    <w:p w:rsidR="00950D47" w:rsidRDefault="00950D47" w:rsidP="00C2057B">
      <w:pPr>
        <w:widowControl w:val="0"/>
        <w:numPr>
          <w:ilvl w:val="0"/>
          <w:numId w:val="52"/>
        </w:numPr>
        <w:tabs>
          <w:tab w:val="clear" w:pos="720"/>
          <w:tab w:val="num" w:pos="502"/>
          <w:tab w:val="num" w:pos="567"/>
        </w:tabs>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Kreditérték és képzési karakter: </w:t>
      </w:r>
    </w:p>
    <w:p w:rsidR="00950D47" w:rsidRDefault="00950D47" w:rsidP="00C2057B">
      <w:pPr>
        <w:pStyle w:val="Listaszerbekezds"/>
        <w:widowControl w:val="0"/>
        <w:numPr>
          <w:ilvl w:val="1"/>
          <w:numId w:val="52"/>
        </w:numPr>
        <w:tabs>
          <w:tab w:val="clear" w:pos="3977"/>
        </w:tabs>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4 kredit</w:t>
      </w:r>
    </w:p>
    <w:p w:rsidR="00950D47" w:rsidRDefault="00950D47" w:rsidP="00C2057B">
      <w:pPr>
        <w:pStyle w:val="Listaszerbekezds"/>
        <w:widowControl w:val="0"/>
        <w:numPr>
          <w:ilvl w:val="1"/>
          <w:numId w:val="52"/>
        </w:numPr>
        <w:tabs>
          <w:tab w:val="clear" w:pos="3977"/>
        </w:tabs>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a tantárgy elméleti vagy gyakorlati jellegének mértéke: 33 % gyakorlat, 67 % elmélet</w:t>
      </w:r>
    </w:p>
    <w:p w:rsidR="00950D47" w:rsidRDefault="00950D47" w:rsidP="00C2057B">
      <w:pPr>
        <w:widowControl w:val="0"/>
        <w:numPr>
          <w:ilvl w:val="0"/>
          <w:numId w:val="52"/>
        </w:numPr>
        <w:tabs>
          <w:tab w:val="clear" w:pos="720"/>
          <w:tab w:val="num" w:pos="502"/>
        </w:tabs>
        <w:spacing w:before="120" w:after="120" w:line="240" w:lineRule="auto"/>
        <w:ind w:left="426" w:hanging="142"/>
        <w:jc w:val="both"/>
        <w:rPr>
          <w:rFonts w:ascii="Times New Roman" w:eastAsia="Times New Roman" w:hAnsi="Times New Roman" w:cs="Times New Roman"/>
          <w:bCs/>
          <w:color w:val="92D050"/>
        </w:rPr>
      </w:pPr>
      <w:r>
        <w:rPr>
          <w:rFonts w:ascii="Times New Roman" w:eastAsia="Times New Roman" w:hAnsi="Times New Roman" w:cs="Times New Roman"/>
          <w:b/>
          <w:bCs/>
        </w:rPr>
        <w:t>A szak(ok), szakirányok/specializációk megnevezése (ahol oktatják):</w:t>
      </w:r>
      <w:r>
        <w:rPr>
          <w:rFonts w:ascii="Times New Roman" w:eastAsia="Times New Roman" w:hAnsi="Times New Roman" w:cs="Times New Roman"/>
          <w:bCs/>
        </w:rPr>
        <w:t xml:space="preserve"> Katonai logisztika alapszak</w:t>
      </w:r>
    </w:p>
    <w:p w:rsidR="00950D47" w:rsidRDefault="00950D47" w:rsidP="00C2057B">
      <w:pPr>
        <w:widowControl w:val="0"/>
        <w:numPr>
          <w:ilvl w:val="0"/>
          <w:numId w:val="52"/>
        </w:numPr>
        <w:tabs>
          <w:tab w:val="clear" w:pos="720"/>
          <w:tab w:val="num" w:pos="502"/>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Az oktatásért felelős oktatási szervezeti egység megnevezése: </w:t>
      </w:r>
      <w:r>
        <w:rPr>
          <w:rFonts w:ascii="Times New Roman" w:eastAsia="Times New Roman" w:hAnsi="Times New Roman" w:cs="Times New Roman"/>
          <w:bCs/>
        </w:rPr>
        <w:t>Természettudományi Tanszék</w:t>
      </w:r>
    </w:p>
    <w:p w:rsidR="00950D47" w:rsidRDefault="00950D47" w:rsidP="00C2057B">
      <w:pPr>
        <w:widowControl w:val="0"/>
        <w:numPr>
          <w:ilvl w:val="0"/>
          <w:numId w:val="52"/>
        </w:numPr>
        <w:tabs>
          <w:tab w:val="clear" w:pos="720"/>
          <w:tab w:val="num" w:pos="502"/>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tantárgyfelelős oktató neve, beosztása, tudományos fokozata:</w:t>
      </w:r>
      <w:r>
        <w:rPr>
          <w:rFonts w:ascii="Times New Roman" w:eastAsia="Times New Roman" w:hAnsi="Times New Roman" w:cs="Times New Roman"/>
          <w:bCs/>
        </w:rPr>
        <w:t xml:space="preserve"> Dr. Horváth István, egyetemi tanár, PhD, DSc</w:t>
      </w:r>
    </w:p>
    <w:p w:rsidR="00950D47" w:rsidRDefault="00950D47" w:rsidP="00C2057B">
      <w:pPr>
        <w:widowControl w:val="0"/>
        <w:numPr>
          <w:ilvl w:val="0"/>
          <w:numId w:val="52"/>
        </w:numPr>
        <w:tabs>
          <w:tab w:val="clear" w:pos="720"/>
          <w:tab w:val="num" w:pos="502"/>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tanórák száma és típusa</w:t>
      </w:r>
    </w:p>
    <w:p w:rsidR="00950D47" w:rsidRDefault="00950D47" w:rsidP="00C2057B">
      <w:pPr>
        <w:widowControl w:val="0"/>
        <w:numPr>
          <w:ilvl w:val="1"/>
          <w:numId w:val="52"/>
        </w:numPr>
        <w:tabs>
          <w:tab w:val="num" w:pos="709"/>
          <w:tab w:val="num" w:pos="2069"/>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össz óraszám/félév:</w:t>
      </w:r>
    </w:p>
    <w:p w:rsidR="00950D47" w:rsidRDefault="00950D47" w:rsidP="00C2057B">
      <w:pPr>
        <w:widowControl w:val="0"/>
        <w:numPr>
          <w:ilvl w:val="2"/>
          <w:numId w:val="52"/>
        </w:numPr>
        <w:tabs>
          <w:tab w:val="num" w:pos="709"/>
          <w:tab w:val="num" w:pos="1134"/>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nappali munkarend: 42 (28 EA + 0 SZ + 14 GY)</w:t>
      </w:r>
    </w:p>
    <w:p w:rsidR="00950D47" w:rsidRDefault="00950D47" w:rsidP="00C2057B">
      <w:pPr>
        <w:widowControl w:val="0"/>
        <w:numPr>
          <w:ilvl w:val="2"/>
          <w:numId w:val="52"/>
        </w:numPr>
        <w:tabs>
          <w:tab w:val="num" w:pos="709"/>
          <w:tab w:val="num" w:pos="1134"/>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levelező munkarend: 0 (0 EA + 0 SZ + 0 GY)</w:t>
      </w:r>
    </w:p>
    <w:p w:rsidR="00950D47" w:rsidRDefault="00950D47" w:rsidP="00C2057B">
      <w:pPr>
        <w:widowControl w:val="0"/>
        <w:numPr>
          <w:ilvl w:val="1"/>
          <w:numId w:val="52"/>
        </w:numPr>
        <w:tabs>
          <w:tab w:val="num" w:pos="709"/>
          <w:tab w:val="num" w:pos="2069"/>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heti óraszám - nappali munkarend: 2 + 1</w:t>
      </w:r>
    </w:p>
    <w:p w:rsidR="00950D47" w:rsidRDefault="00950D47" w:rsidP="00C2057B">
      <w:pPr>
        <w:widowControl w:val="0"/>
        <w:numPr>
          <w:ilvl w:val="1"/>
          <w:numId w:val="52"/>
        </w:numPr>
        <w:tabs>
          <w:tab w:val="num" w:pos="709"/>
          <w:tab w:val="num" w:pos="2069"/>
        </w:tabs>
        <w:spacing w:before="120" w:after="120" w:line="240" w:lineRule="auto"/>
        <w:ind w:left="851" w:hanging="425"/>
        <w:jc w:val="both"/>
        <w:rPr>
          <w:rFonts w:ascii="Times New Roman" w:eastAsia="Times New Roman" w:hAnsi="Times New Roman" w:cs="Times New Roman"/>
          <w:bCs/>
        </w:rPr>
      </w:pPr>
      <w:r>
        <w:rPr>
          <w:rFonts w:ascii="Times New Roman" w:hAnsi="Times New Roman" w:cs="Times New Roman"/>
        </w:rPr>
        <w:t>Az ismeret átadásában alkalmazandó további sajátos módok, jellemzők: nincsenek</w:t>
      </w:r>
    </w:p>
    <w:p w:rsidR="00950D47" w:rsidRDefault="00950D47" w:rsidP="00C2057B">
      <w:pPr>
        <w:widowControl w:val="0"/>
        <w:numPr>
          <w:ilvl w:val="0"/>
          <w:numId w:val="52"/>
        </w:numPr>
        <w:tabs>
          <w:tab w:val="clear" w:pos="720"/>
          <w:tab w:val="num" w:pos="502"/>
        </w:tabs>
        <w:spacing w:before="120" w:after="120" w:line="240" w:lineRule="auto"/>
        <w:ind w:left="502"/>
        <w:jc w:val="both"/>
        <w:rPr>
          <w:rFonts w:ascii="Times New Roman" w:eastAsia="Times New Roman" w:hAnsi="Times New Roman" w:cs="Times New Roman"/>
          <w:bCs/>
        </w:rPr>
      </w:pPr>
      <w:r>
        <w:rPr>
          <w:rFonts w:ascii="Times New Roman" w:eastAsia="Times New Roman" w:hAnsi="Times New Roman" w:cs="Times New Roman"/>
          <w:b/>
          <w:bCs/>
        </w:rPr>
        <w:t>A tantárgy szakmai tartalma (magyarul):</w:t>
      </w:r>
      <w:r>
        <w:rPr>
          <w:rFonts w:ascii="Times New Roman" w:eastAsia="Times New Roman" w:hAnsi="Times New Roman" w:cs="Times New Roman"/>
          <w:bCs/>
        </w:rPr>
        <w:t xml:space="preserve"> A primitív függvény és a határozatlan integrál fogalma. Integrálási szabályok és eljárások: alapintegrálok, parciális integrálás, helyettesítéses integrálás, racionális törtfüggvények integrálása. A határozott integrál fogalma és kiszámítása, Newton-Leibniz tétel. Improprius integrálás. Határozott integrálás alkalmazásai: terület, ívhossz, forgástestek felszínének és térfogatának kiszámítása.</w:t>
      </w:r>
    </w:p>
    <w:p w:rsidR="00950D47" w:rsidRDefault="00950D47" w:rsidP="00950D47">
      <w:pPr>
        <w:widowControl w:val="0"/>
        <w:spacing w:before="120" w:after="120" w:line="240" w:lineRule="auto"/>
        <w:ind w:left="426"/>
        <w:jc w:val="both"/>
        <w:rPr>
          <w:rFonts w:ascii="Times New Roman" w:eastAsia="Times New Roman" w:hAnsi="Times New Roman" w:cs="Times New Roman"/>
          <w:bCs/>
          <w:lang w:val="en-GB"/>
        </w:rPr>
      </w:pPr>
      <w:r>
        <w:rPr>
          <w:rFonts w:ascii="Times New Roman" w:eastAsia="Times New Roman" w:hAnsi="Times New Roman" w:cs="Times New Roman"/>
          <w:b/>
          <w:bCs/>
        </w:rPr>
        <w:t>A tantárgy szakmai tartalma (angolul) (</w:t>
      </w:r>
      <w:r>
        <w:rPr>
          <w:rFonts w:ascii="Times New Roman" w:eastAsia="Times New Roman" w:hAnsi="Times New Roman" w:cs="Times New Roman"/>
          <w:b/>
          <w:bCs/>
          <w:lang w:val="en-US"/>
        </w:rPr>
        <w:t>Course description</w:t>
      </w:r>
      <w:r>
        <w:rPr>
          <w:rFonts w:ascii="Times New Roman" w:eastAsia="Times New Roman" w:hAnsi="Times New Roman" w:cs="Times New Roman"/>
          <w:b/>
          <w:bCs/>
        </w:rPr>
        <w:t>):</w:t>
      </w:r>
      <w:r>
        <w:rPr>
          <w:rFonts w:ascii="Times New Roman" w:eastAsia="Times New Roman" w:hAnsi="Times New Roman" w:cs="Times New Roman"/>
          <w:bCs/>
          <w:lang w:val="en-GB"/>
        </w:rPr>
        <w:t xml:space="preserve"> Definition of primitive function and indefinite integral. Integration rules and procedures: basic integrals, partial integrations, substitution integrations, rational fractional functions. Definition and calculation of definite integral, Newton-Leibniz theorem. Improper integral. Applications of definite integration: area, arc length, volume and circumference of rotational bodies.</w:t>
      </w:r>
    </w:p>
    <w:p w:rsidR="00950D47" w:rsidRDefault="00950D47" w:rsidP="00C2057B">
      <w:pPr>
        <w:pStyle w:val="Listaszerbekezds"/>
        <w:widowControl w:val="0"/>
        <w:numPr>
          <w:ilvl w:val="0"/>
          <w:numId w:val="52"/>
        </w:numPr>
        <w:tabs>
          <w:tab w:val="clear" w:pos="720"/>
          <w:tab w:val="num" w:pos="426"/>
          <w:tab w:val="num" w:pos="502"/>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Elérendő kompetenciák (magyarul): </w:t>
      </w:r>
    </w:p>
    <w:p w:rsidR="00950D47" w:rsidRDefault="00950D47" w:rsidP="00950D47">
      <w:pPr>
        <w:widowControl w:val="0"/>
        <w:spacing w:before="120" w:after="120" w:line="240" w:lineRule="auto"/>
        <w:ind w:left="426"/>
        <w:jc w:val="both"/>
        <w:rPr>
          <w:rFonts w:ascii="Times New Roman" w:eastAsia="Times New Roman" w:hAnsi="Times New Roman" w:cs="Times New Roman"/>
          <w:bCs/>
        </w:rPr>
      </w:pPr>
      <w:r>
        <w:rPr>
          <w:rFonts w:ascii="Times New Roman" w:eastAsia="Times New Roman" w:hAnsi="Times New Roman" w:cs="Times New Roman"/>
          <w:b/>
          <w:bCs/>
        </w:rPr>
        <w:t>Tudása:</w:t>
      </w:r>
      <w:r>
        <w:rPr>
          <w:rFonts w:ascii="Times New Roman" w:eastAsia="Times New Roman" w:hAnsi="Times New Roman" w:cs="Times New Roman"/>
          <w:bCs/>
        </w:rPr>
        <w:t xml:space="preserve"> </w:t>
      </w:r>
    </w:p>
    <w:p w:rsidR="00950D47" w:rsidRPr="005B4AC4" w:rsidRDefault="00950D47" w:rsidP="00C2057B">
      <w:pPr>
        <w:pStyle w:val="Listaszerbekezds"/>
        <w:widowControl w:val="0"/>
        <w:numPr>
          <w:ilvl w:val="0"/>
          <w:numId w:val="51"/>
        </w:numPr>
        <w:spacing w:before="120" w:after="120" w:line="240" w:lineRule="auto"/>
        <w:jc w:val="both"/>
        <w:rPr>
          <w:rFonts w:ascii="Times New Roman" w:eastAsia="Times New Roman" w:hAnsi="Times New Roman" w:cs="Times New Roman"/>
          <w:bCs/>
        </w:rPr>
      </w:pPr>
      <w:r w:rsidRPr="005B4AC4">
        <w:rPr>
          <w:rFonts w:ascii="Times New Roman" w:eastAsia="Times New Roman" w:hAnsi="Times New Roman" w:cs="Times New Roman"/>
          <w:bCs/>
        </w:rPr>
        <w:t>Ismeri a matematika és a mechanika törvényszerűségeit, rendelkezik műszaki alapismeretekkel.</w:t>
      </w:r>
    </w:p>
    <w:p w:rsidR="00950D47" w:rsidRDefault="00950D47" w:rsidP="00950D47">
      <w:pPr>
        <w:widowControl w:val="0"/>
        <w:spacing w:before="120" w:after="120" w:line="240" w:lineRule="auto"/>
        <w:ind w:left="426"/>
        <w:jc w:val="both"/>
        <w:rPr>
          <w:rFonts w:ascii="Times New Roman" w:eastAsia="Times New Roman" w:hAnsi="Times New Roman" w:cs="Times New Roman"/>
          <w:bCs/>
        </w:rPr>
      </w:pPr>
      <w:r>
        <w:rPr>
          <w:rFonts w:ascii="Times New Roman" w:eastAsia="Times New Roman" w:hAnsi="Times New Roman" w:cs="Times New Roman"/>
          <w:b/>
          <w:bCs/>
        </w:rPr>
        <w:t>Képességei:</w:t>
      </w:r>
      <w:r>
        <w:rPr>
          <w:rFonts w:ascii="Times New Roman" w:eastAsia="Times New Roman" w:hAnsi="Times New Roman" w:cs="Times New Roman"/>
          <w:bCs/>
        </w:rPr>
        <w:t xml:space="preserve"> </w:t>
      </w:r>
    </w:p>
    <w:p w:rsidR="00950D47" w:rsidRDefault="00950D47" w:rsidP="00C2057B">
      <w:pPr>
        <w:pStyle w:val="Listaszerbekezds"/>
        <w:widowControl w:val="0"/>
        <w:numPr>
          <w:ilvl w:val="0"/>
          <w:numId w:val="51"/>
        </w:numPr>
        <w:spacing w:before="120" w:after="120" w:line="240" w:lineRule="auto"/>
        <w:jc w:val="both"/>
        <w:rPr>
          <w:rFonts w:ascii="Times New Roman" w:eastAsia="Times New Roman" w:hAnsi="Times New Roman" w:cs="Times New Roman"/>
          <w:bCs/>
        </w:rPr>
      </w:pPr>
      <w:r>
        <w:rPr>
          <w:rFonts w:ascii="Times New Roman" w:eastAsia="Times New Roman" w:hAnsi="Times New Roman" w:cs="Times New Roman"/>
          <w:bCs/>
        </w:rPr>
        <w:t>Képes szakterületén újító és innovatív ötletek megfogalmazására.</w:t>
      </w:r>
    </w:p>
    <w:p w:rsidR="00950D47" w:rsidRDefault="00950D47" w:rsidP="00950D47">
      <w:pPr>
        <w:widowControl w:val="0"/>
        <w:spacing w:before="120" w:after="120" w:line="240" w:lineRule="auto"/>
        <w:ind w:left="426"/>
        <w:jc w:val="both"/>
        <w:rPr>
          <w:rFonts w:ascii="Times New Roman" w:eastAsia="Times New Roman" w:hAnsi="Times New Roman" w:cs="Times New Roman"/>
          <w:bCs/>
        </w:rPr>
      </w:pPr>
      <w:r>
        <w:rPr>
          <w:rFonts w:ascii="Times New Roman" w:eastAsia="Times New Roman" w:hAnsi="Times New Roman" w:cs="Times New Roman"/>
          <w:b/>
          <w:bCs/>
        </w:rPr>
        <w:t>Attitűdje:</w:t>
      </w:r>
      <w:r>
        <w:rPr>
          <w:rFonts w:ascii="Times New Roman" w:eastAsia="Times New Roman" w:hAnsi="Times New Roman" w:cs="Times New Roman"/>
          <w:bCs/>
        </w:rPr>
        <w:t xml:space="preserve"> </w:t>
      </w:r>
    </w:p>
    <w:p w:rsidR="00950D47" w:rsidRDefault="00950D47" w:rsidP="00C2057B">
      <w:pPr>
        <w:pStyle w:val="Listaszerbekezds"/>
        <w:widowControl w:val="0"/>
        <w:numPr>
          <w:ilvl w:val="0"/>
          <w:numId w:val="51"/>
        </w:numPr>
        <w:spacing w:before="120" w:after="120" w:line="240" w:lineRule="auto"/>
        <w:jc w:val="both"/>
        <w:rPr>
          <w:rFonts w:ascii="Times New Roman" w:eastAsia="Times New Roman" w:hAnsi="Times New Roman" w:cs="Times New Roman"/>
          <w:bCs/>
        </w:rPr>
      </w:pPr>
      <w:r>
        <w:rPr>
          <w:rFonts w:ascii="Times New Roman" w:eastAsia="Times New Roman" w:hAnsi="Times New Roman" w:cs="Times New Roman"/>
          <w:bCs/>
        </w:rPr>
        <w:t>Nyitott szakterülete új eredményei, innovációi iránt, törekszik azok megismerésére, megértésére és alkalmazására, elkötelezett önmaga folyamatos képzésére.</w:t>
      </w:r>
    </w:p>
    <w:p w:rsidR="00950D47" w:rsidRDefault="00950D47" w:rsidP="00950D47">
      <w:pPr>
        <w:widowControl w:val="0"/>
        <w:spacing w:before="120" w:after="120" w:line="240" w:lineRule="auto"/>
        <w:ind w:left="426"/>
        <w:jc w:val="both"/>
        <w:rPr>
          <w:rFonts w:ascii="Times New Roman" w:eastAsia="Times New Roman" w:hAnsi="Times New Roman" w:cs="Times New Roman"/>
          <w:bCs/>
        </w:rPr>
      </w:pPr>
      <w:r>
        <w:rPr>
          <w:rFonts w:ascii="Times New Roman" w:eastAsia="Times New Roman" w:hAnsi="Times New Roman" w:cs="Times New Roman"/>
          <w:b/>
          <w:bCs/>
        </w:rPr>
        <w:t>Autonómiája és felelőssége:</w:t>
      </w:r>
      <w:r>
        <w:rPr>
          <w:rFonts w:ascii="Times New Roman" w:eastAsia="Times New Roman" w:hAnsi="Times New Roman" w:cs="Times New Roman"/>
          <w:bCs/>
        </w:rPr>
        <w:t xml:space="preserve"> </w:t>
      </w:r>
    </w:p>
    <w:p w:rsidR="00950D47" w:rsidRPr="005B4AC4" w:rsidRDefault="00950D47" w:rsidP="00C2057B">
      <w:pPr>
        <w:pStyle w:val="Listaszerbekezds"/>
        <w:widowControl w:val="0"/>
        <w:numPr>
          <w:ilvl w:val="0"/>
          <w:numId w:val="51"/>
        </w:numPr>
        <w:spacing w:before="120" w:after="120" w:line="240" w:lineRule="auto"/>
        <w:jc w:val="both"/>
        <w:rPr>
          <w:rFonts w:ascii="Times New Roman" w:eastAsia="Calibri" w:hAnsi="Times New Roman" w:cs="Times New Roman"/>
        </w:rPr>
      </w:pPr>
      <w:r w:rsidRPr="005B4AC4">
        <w:rPr>
          <w:rFonts w:ascii="Times New Roman" w:eastAsia="Times New Roman" w:hAnsi="Times New Roman" w:cs="Times New Roman"/>
          <w:bCs/>
        </w:rPr>
        <w:lastRenderedPageBreak/>
        <w:t>Az alegység, illetve egység szintű katonai logisztikai, valamint katonai gazdálkodási folyamatokban képes önállóan döntéseket hozni, azokat felelősséggel, a jogszabályi keretek figyelembevételével végrehajtani.</w:t>
      </w:r>
    </w:p>
    <w:p w:rsidR="00950D47" w:rsidRDefault="00950D47" w:rsidP="00950D47">
      <w:pPr>
        <w:widowControl w:val="0"/>
        <w:spacing w:before="120" w:after="120" w:line="240" w:lineRule="auto"/>
        <w:ind w:left="426"/>
        <w:jc w:val="both"/>
        <w:rPr>
          <w:rFonts w:ascii="Times New Roman" w:eastAsia="Times New Roman" w:hAnsi="Times New Roman" w:cs="Times New Roman"/>
          <w:b/>
          <w:bCs/>
          <w:lang w:val="en-US"/>
        </w:rPr>
      </w:pPr>
      <w:r>
        <w:rPr>
          <w:rFonts w:ascii="Times New Roman" w:eastAsia="Times New Roman" w:hAnsi="Times New Roman" w:cs="Times New Roman"/>
          <w:b/>
          <w:bCs/>
        </w:rPr>
        <w:t>Elérendő kompetenciák (angolul) (</w:t>
      </w:r>
      <w:r>
        <w:rPr>
          <w:rFonts w:ascii="Times New Roman" w:eastAsia="Times New Roman" w:hAnsi="Times New Roman" w:cs="Times New Roman"/>
          <w:b/>
          <w:bCs/>
          <w:lang w:val="en-US"/>
        </w:rPr>
        <w:t xml:space="preserve">Competences – English): </w:t>
      </w:r>
    </w:p>
    <w:p w:rsidR="00950D47" w:rsidRDefault="00950D47" w:rsidP="00950D47">
      <w:pPr>
        <w:widowControl w:val="0"/>
        <w:spacing w:before="120" w:after="120" w:line="240" w:lineRule="auto"/>
        <w:ind w:left="426"/>
        <w:jc w:val="both"/>
        <w:rPr>
          <w:rFonts w:ascii="Times New Roman" w:eastAsia="Times New Roman" w:hAnsi="Times New Roman" w:cs="Times New Roman"/>
          <w:lang w:val="en-GB"/>
        </w:rPr>
      </w:pPr>
      <w:r>
        <w:rPr>
          <w:rFonts w:ascii="Times New Roman" w:eastAsia="Times New Roman" w:hAnsi="Times New Roman" w:cs="Times New Roman"/>
          <w:b/>
          <w:lang w:val="en-GB"/>
        </w:rPr>
        <w:t>Knowledge</w:t>
      </w:r>
      <w:r>
        <w:rPr>
          <w:rFonts w:ascii="Times New Roman" w:eastAsia="Times New Roman" w:hAnsi="Times New Roman" w:cs="Times New Roman"/>
          <w:lang w:val="en-GB"/>
        </w:rPr>
        <w:t xml:space="preserve">: </w:t>
      </w:r>
    </w:p>
    <w:p w:rsidR="00950D47" w:rsidRPr="005B4AC4" w:rsidRDefault="00950D47" w:rsidP="00C2057B">
      <w:pPr>
        <w:pStyle w:val="Listaszerbekezds"/>
        <w:widowControl w:val="0"/>
        <w:numPr>
          <w:ilvl w:val="0"/>
          <w:numId w:val="51"/>
        </w:numPr>
        <w:spacing w:before="120" w:after="120" w:line="240" w:lineRule="auto"/>
        <w:jc w:val="both"/>
        <w:rPr>
          <w:rFonts w:ascii="Times New Roman" w:eastAsia="Calibri" w:hAnsi="Times New Roman" w:cs="Times New Roman"/>
        </w:rPr>
      </w:pPr>
      <w:r w:rsidRPr="005B4AC4">
        <w:rPr>
          <w:rFonts w:ascii="Times New Roman" w:eastAsia="Times New Roman" w:hAnsi="Times New Roman" w:cs="Times New Roman"/>
          <w:bCs/>
        </w:rPr>
        <w:t>Knows the laws of mathematics and mechanics, has basic technical knowledge.</w:t>
      </w:r>
    </w:p>
    <w:p w:rsidR="00950D47" w:rsidRDefault="00950D47" w:rsidP="00950D47">
      <w:pPr>
        <w:widowControl w:val="0"/>
        <w:spacing w:before="120" w:after="120" w:line="240" w:lineRule="auto"/>
        <w:ind w:left="426"/>
        <w:jc w:val="both"/>
        <w:rPr>
          <w:rFonts w:ascii="Times New Roman" w:eastAsia="Times New Roman" w:hAnsi="Times New Roman" w:cs="Times New Roman"/>
          <w:lang w:val="en-GB"/>
        </w:rPr>
      </w:pPr>
      <w:r>
        <w:rPr>
          <w:rFonts w:ascii="Times New Roman" w:eastAsia="Times New Roman" w:hAnsi="Times New Roman" w:cs="Times New Roman"/>
          <w:b/>
          <w:lang w:val="en-GB"/>
        </w:rPr>
        <w:t>Capabilities</w:t>
      </w:r>
      <w:r>
        <w:rPr>
          <w:rFonts w:ascii="Times New Roman" w:eastAsia="Times New Roman" w:hAnsi="Times New Roman" w:cs="Times New Roman"/>
          <w:lang w:val="en-GB"/>
        </w:rPr>
        <w:t xml:space="preserve">: </w:t>
      </w:r>
    </w:p>
    <w:p w:rsidR="00950D47" w:rsidRPr="005B4AC4" w:rsidRDefault="00950D47" w:rsidP="00C2057B">
      <w:pPr>
        <w:pStyle w:val="Listaszerbekezds"/>
        <w:widowControl w:val="0"/>
        <w:numPr>
          <w:ilvl w:val="0"/>
          <w:numId w:val="51"/>
        </w:numPr>
        <w:spacing w:before="120" w:after="120" w:line="240" w:lineRule="auto"/>
        <w:jc w:val="both"/>
        <w:rPr>
          <w:rFonts w:ascii="Times New Roman" w:eastAsia="Calibri" w:hAnsi="Times New Roman" w:cs="Times New Roman"/>
        </w:rPr>
      </w:pPr>
      <w:r w:rsidRPr="005B4AC4">
        <w:rPr>
          <w:rFonts w:ascii="Times New Roman" w:eastAsia="Times New Roman" w:hAnsi="Times New Roman" w:cs="Times New Roman"/>
          <w:bCs/>
        </w:rPr>
        <w:t>Able to formulate innovative ideas in their field.</w:t>
      </w:r>
    </w:p>
    <w:p w:rsidR="00950D47" w:rsidRDefault="00950D47" w:rsidP="00950D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lang w:val="en-GB"/>
        </w:rPr>
      </w:pPr>
      <w:r>
        <w:rPr>
          <w:rFonts w:ascii="Times New Roman" w:eastAsia="Times New Roman" w:hAnsi="Times New Roman" w:cs="Times New Roman"/>
          <w:b/>
          <w:lang w:val="en-GB"/>
        </w:rPr>
        <w:t>Attitude:</w:t>
      </w:r>
      <w:r>
        <w:rPr>
          <w:rFonts w:ascii="Times New Roman" w:eastAsia="Times New Roman" w:hAnsi="Times New Roman" w:cs="Times New Roman"/>
          <w:lang w:val="en-GB"/>
        </w:rPr>
        <w:t xml:space="preserve"> </w:t>
      </w:r>
    </w:p>
    <w:p w:rsidR="00950D47" w:rsidRPr="005B4AC4" w:rsidRDefault="00950D47" w:rsidP="00C2057B">
      <w:pPr>
        <w:pStyle w:val="Listaszerbekezds"/>
        <w:widowControl w:val="0"/>
        <w:numPr>
          <w:ilvl w:val="0"/>
          <w:numId w:val="51"/>
        </w:numPr>
        <w:spacing w:before="120" w:after="120" w:line="240" w:lineRule="auto"/>
        <w:jc w:val="both"/>
        <w:rPr>
          <w:rFonts w:ascii="Times New Roman" w:eastAsia="Calibri" w:hAnsi="Times New Roman" w:cs="Times New Roman"/>
        </w:rPr>
      </w:pPr>
      <w:r w:rsidRPr="005B4AC4">
        <w:rPr>
          <w:rFonts w:ascii="Times New Roman" w:eastAsia="Times New Roman" w:hAnsi="Times New Roman" w:cs="Times New Roman"/>
          <w:bCs/>
        </w:rPr>
        <w:t>Open for the new achievements and innovations of their specialty, seeks to know, understand and apply them, and committed to continuous self-education.</w:t>
      </w:r>
    </w:p>
    <w:p w:rsidR="00950D47" w:rsidRDefault="00950D47" w:rsidP="00950D47">
      <w:pPr>
        <w:widowControl w:val="0"/>
        <w:spacing w:before="120" w:after="120" w:line="240" w:lineRule="auto"/>
        <w:ind w:left="426"/>
        <w:jc w:val="both"/>
        <w:rPr>
          <w:rFonts w:ascii="Times New Roman" w:eastAsia="Times New Roman" w:hAnsi="Times New Roman" w:cs="Times New Roman"/>
          <w:lang w:val="en-GB"/>
        </w:rPr>
      </w:pPr>
      <w:r>
        <w:rPr>
          <w:rFonts w:ascii="Times New Roman" w:eastAsia="Times New Roman" w:hAnsi="Times New Roman" w:cs="Times New Roman"/>
          <w:b/>
          <w:lang w:val="en-GB"/>
        </w:rPr>
        <w:t xml:space="preserve">Autonomy and responsibility: </w:t>
      </w:r>
    </w:p>
    <w:p w:rsidR="00950D47" w:rsidRPr="005B4AC4" w:rsidRDefault="00950D47" w:rsidP="00C2057B">
      <w:pPr>
        <w:pStyle w:val="Listaszerbekezds"/>
        <w:widowControl w:val="0"/>
        <w:numPr>
          <w:ilvl w:val="0"/>
          <w:numId w:val="51"/>
        </w:numPr>
        <w:spacing w:before="120" w:after="120" w:line="240" w:lineRule="auto"/>
        <w:jc w:val="both"/>
        <w:rPr>
          <w:rFonts w:ascii="Times New Roman" w:eastAsia="Calibri" w:hAnsi="Times New Roman" w:cs="Times New Roman"/>
        </w:rPr>
      </w:pPr>
      <w:r w:rsidRPr="005B4AC4">
        <w:rPr>
          <w:rFonts w:ascii="Times New Roman" w:eastAsia="Times New Roman" w:hAnsi="Times New Roman" w:cs="Times New Roman"/>
          <w:bCs/>
        </w:rPr>
        <w:t>At the subunit and unit level, it is able to make independent decisions in military logistics and military management processes, making them responsible and within the legal framework.</w:t>
      </w:r>
    </w:p>
    <w:p w:rsidR="00950D47" w:rsidRDefault="00950D47" w:rsidP="00C2057B">
      <w:pPr>
        <w:widowControl w:val="0"/>
        <w:numPr>
          <w:ilvl w:val="0"/>
          <w:numId w:val="52"/>
        </w:numPr>
        <w:tabs>
          <w:tab w:val="clear" w:pos="720"/>
          <w:tab w:val="num" w:pos="502"/>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Előtanulmányi követelmények: </w:t>
      </w:r>
      <w:r>
        <w:rPr>
          <w:rFonts w:ascii="Times New Roman" w:hAnsi="Times New Roman" w:cs="Times New Roman"/>
        </w:rPr>
        <w:t>Matematika LOG 1 (HK925A110)</w:t>
      </w:r>
    </w:p>
    <w:p w:rsidR="00950D47" w:rsidRDefault="00950D47" w:rsidP="00C2057B">
      <w:pPr>
        <w:widowControl w:val="0"/>
        <w:numPr>
          <w:ilvl w:val="0"/>
          <w:numId w:val="52"/>
        </w:numPr>
        <w:tabs>
          <w:tab w:val="clear" w:pos="720"/>
          <w:tab w:val="num" w:pos="502"/>
        </w:tabs>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A tantárgy tananyagának leírása, tematika. Description of the subject, curriculum (magyarul, angolul - English):</w:t>
      </w:r>
    </w:p>
    <w:p w:rsidR="00950D47" w:rsidRDefault="00950D47" w:rsidP="00C2057B">
      <w:pPr>
        <w:widowControl w:val="0"/>
        <w:numPr>
          <w:ilvl w:val="1"/>
          <w:numId w:val="52"/>
        </w:numPr>
        <w:tabs>
          <w:tab w:val="left" w:pos="709"/>
          <w:tab w:val="left" w:pos="993"/>
        </w:tabs>
        <w:spacing w:before="120" w:after="120" w:line="240" w:lineRule="auto"/>
        <w:ind w:left="993" w:hanging="567"/>
        <w:jc w:val="both"/>
        <w:rPr>
          <w:rFonts w:ascii="Times New Roman" w:eastAsia="Times New Roman" w:hAnsi="Times New Roman" w:cs="Times New Roman"/>
          <w:b/>
        </w:rPr>
      </w:pPr>
      <w:r>
        <w:rPr>
          <w:rFonts w:ascii="Times New Roman" w:eastAsia="Times New Roman" w:hAnsi="Times New Roman" w:cs="Times New Roman"/>
          <w:bCs/>
        </w:rPr>
        <w:t>A primitív függvény és a határozatlan integrál fogalma. (</w:t>
      </w:r>
      <w:r>
        <w:rPr>
          <w:rFonts w:ascii="Times New Roman" w:eastAsia="Times New Roman" w:hAnsi="Times New Roman" w:cs="Times New Roman"/>
          <w:i/>
        </w:rPr>
        <w:t>Definition of primitive function and indefinite integral.</w:t>
      </w:r>
      <w:r>
        <w:rPr>
          <w:rFonts w:ascii="Times New Roman" w:eastAsia="Times New Roman" w:hAnsi="Times New Roman" w:cs="Times New Roman"/>
          <w:bCs/>
        </w:rPr>
        <w:t>)</w:t>
      </w:r>
    </w:p>
    <w:p w:rsidR="00950D47" w:rsidRDefault="00950D47" w:rsidP="00C2057B">
      <w:pPr>
        <w:widowControl w:val="0"/>
        <w:numPr>
          <w:ilvl w:val="1"/>
          <w:numId w:val="52"/>
        </w:numPr>
        <w:tabs>
          <w:tab w:val="left" w:pos="709"/>
          <w:tab w:val="left" w:pos="993"/>
        </w:tabs>
        <w:spacing w:before="120" w:after="120" w:line="240" w:lineRule="auto"/>
        <w:ind w:left="993" w:hanging="567"/>
        <w:jc w:val="both"/>
        <w:rPr>
          <w:rFonts w:ascii="Times New Roman" w:eastAsia="Times New Roman" w:hAnsi="Times New Roman" w:cs="Times New Roman"/>
          <w:b/>
        </w:rPr>
      </w:pPr>
      <w:r>
        <w:rPr>
          <w:rFonts w:ascii="Times New Roman" w:eastAsia="Times New Roman" w:hAnsi="Times New Roman" w:cs="Times New Roman"/>
          <w:bCs/>
        </w:rPr>
        <w:t>Integrálási szabályok és eljárások: alapintegrálok, parciális integrálás, helyettesítéses integrálás, racionális törtfüggvények integrálása. (</w:t>
      </w:r>
      <w:r>
        <w:rPr>
          <w:rFonts w:ascii="Times New Roman" w:eastAsia="Times New Roman" w:hAnsi="Times New Roman" w:cs="Times New Roman"/>
          <w:i/>
        </w:rPr>
        <w:t>Integration rules and procedures: basic integrals, partial integrations, substitution integrations, rational fractional functions.</w:t>
      </w:r>
      <w:r>
        <w:rPr>
          <w:rFonts w:ascii="Times New Roman" w:eastAsia="Times New Roman" w:hAnsi="Times New Roman" w:cs="Times New Roman"/>
          <w:bCs/>
        </w:rPr>
        <w:t>)</w:t>
      </w:r>
    </w:p>
    <w:p w:rsidR="00950D47" w:rsidRDefault="00950D47" w:rsidP="00C2057B">
      <w:pPr>
        <w:widowControl w:val="0"/>
        <w:numPr>
          <w:ilvl w:val="1"/>
          <w:numId w:val="52"/>
        </w:numPr>
        <w:tabs>
          <w:tab w:val="left" w:pos="709"/>
          <w:tab w:val="left" w:pos="993"/>
        </w:tabs>
        <w:spacing w:before="120" w:after="120" w:line="240" w:lineRule="auto"/>
        <w:ind w:left="993" w:hanging="567"/>
        <w:jc w:val="both"/>
        <w:rPr>
          <w:rFonts w:ascii="Times New Roman" w:eastAsia="Times New Roman" w:hAnsi="Times New Roman" w:cs="Times New Roman"/>
          <w:b/>
        </w:rPr>
      </w:pPr>
      <w:r>
        <w:rPr>
          <w:rFonts w:ascii="Times New Roman" w:eastAsia="Times New Roman" w:hAnsi="Times New Roman" w:cs="Times New Roman"/>
          <w:bCs/>
        </w:rPr>
        <w:t>A határozott integrál fogalma és kiszámítása, Newton-Leibniz tétel. (</w:t>
      </w:r>
      <w:r>
        <w:rPr>
          <w:rFonts w:ascii="Times New Roman" w:eastAsia="Times New Roman" w:hAnsi="Times New Roman" w:cs="Times New Roman"/>
          <w:i/>
        </w:rPr>
        <w:t>Definition and calculation of definite integral, Newton-Leibniz theorem.</w:t>
      </w:r>
      <w:r>
        <w:rPr>
          <w:rFonts w:ascii="Times New Roman" w:eastAsia="Times New Roman" w:hAnsi="Times New Roman" w:cs="Times New Roman"/>
          <w:bCs/>
        </w:rPr>
        <w:t>)</w:t>
      </w:r>
    </w:p>
    <w:p w:rsidR="00950D47" w:rsidRDefault="00950D47" w:rsidP="00C2057B">
      <w:pPr>
        <w:widowControl w:val="0"/>
        <w:numPr>
          <w:ilvl w:val="1"/>
          <w:numId w:val="52"/>
        </w:numPr>
        <w:tabs>
          <w:tab w:val="left" w:pos="709"/>
          <w:tab w:val="left" w:pos="993"/>
        </w:tabs>
        <w:spacing w:before="120" w:after="120" w:line="240" w:lineRule="auto"/>
        <w:ind w:left="993" w:hanging="567"/>
        <w:jc w:val="both"/>
        <w:rPr>
          <w:rFonts w:ascii="Times New Roman" w:eastAsia="Times New Roman" w:hAnsi="Times New Roman" w:cs="Times New Roman"/>
          <w:b/>
        </w:rPr>
      </w:pPr>
      <w:r>
        <w:rPr>
          <w:rFonts w:ascii="Times New Roman" w:eastAsia="Times New Roman" w:hAnsi="Times New Roman" w:cs="Times New Roman"/>
          <w:bCs/>
        </w:rPr>
        <w:t>Improprius integrálás. (</w:t>
      </w:r>
      <w:r>
        <w:rPr>
          <w:rFonts w:ascii="Times New Roman" w:eastAsia="Times New Roman" w:hAnsi="Times New Roman" w:cs="Times New Roman"/>
          <w:bCs/>
          <w:i/>
        </w:rPr>
        <w:t>Improper integral.</w:t>
      </w:r>
      <w:r>
        <w:rPr>
          <w:rFonts w:ascii="Times New Roman" w:eastAsia="Times New Roman" w:hAnsi="Times New Roman" w:cs="Times New Roman"/>
          <w:bCs/>
        </w:rPr>
        <w:t>)</w:t>
      </w:r>
    </w:p>
    <w:p w:rsidR="00950D47" w:rsidRDefault="00950D47" w:rsidP="00C2057B">
      <w:pPr>
        <w:widowControl w:val="0"/>
        <w:numPr>
          <w:ilvl w:val="1"/>
          <w:numId w:val="52"/>
        </w:numPr>
        <w:tabs>
          <w:tab w:val="left" w:pos="709"/>
          <w:tab w:val="left" w:pos="993"/>
        </w:tabs>
        <w:spacing w:before="120" w:after="120" w:line="240" w:lineRule="auto"/>
        <w:ind w:left="993" w:hanging="567"/>
        <w:jc w:val="both"/>
        <w:rPr>
          <w:rFonts w:ascii="Times New Roman" w:eastAsia="Times New Roman" w:hAnsi="Times New Roman" w:cs="Times New Roman"/>
          <w:b/>
        </w:rPr>
      </w:pPr>
      <w:r>
        <w:rPr>
          <w:rFonts w:ascii="Times New Roman" w:eastAsia="Times New Roman" w:hAnsi="Times New Roman" w:cs="Times New Roman"/>
          <w:bCs/>
        </w:rPr>
        <w:t>Határozott integrálás alkalmazásai: terület, ívhossz, forgástestek felszínének és térfogatának kiszámítása. (</w:t>
      </w:r>
      <w:r>
        <w:rPr>
          <w:rFonts w:ascii="Times New Roman" w:eastAsia="Times New Roman" w:hAnsi="Times New Roman" w:cs="Times New Roman"/>
          <w:i/>
        </w:rPr>
        <w:t>Applications of definite integration: area, arc length, volume and circumference of rotational bodies.</w:t>
      </w:r>
      <w:r>
        <w:rPr>
          <w:rFonts w:ascii="Times New Roman" w:eastAsia="Times New Roman" w:hAnsi="Times New Roman" w:cs="Times New Roman"/>
          <w:bCs/>
        </w:rPr>
        <w:t>)</w:t>
      </w:r>
    </w:p>
    <w:p w:rsidR="00950D47" w:rsidRDefault="00950D47" w:rsidP="00C2057B">
      <w:pPr>
        <w:widowControl w:val="0"/>
        <w:numPr>
          <w:ilvl w:val="0"/>
          <w:numId w:val="52"/>
        </w:numPr>
        <w:tabs>
          <w:tab w:val="clear" w:pos="720"/>
          <w:tab w:val="num" w:pos="360"/>
          <w:tab w:val="num" w:pos="502"/>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 tantárgy meghirdetésének gyakorisága/a tantervben történő félévi elhelyezkedése: </w:t>
      </w:r>
      <w:r>
        <w:rPr>
          <w:rFonts w:ascii="Times New Roman" w:eastAsia="Times New Roman" w:hAnsi="Times New Roman" w:cs="Times New Roman"/>
          <w:b/>
          <w:bCs/>
        </w:rPr>
        <w:br/>
      </w:r>
      <w:r>
        <w:rPr>
          <w:rFonts w:ascii="Times New Roman" w:hAnsi="Times New Roman" w:cs="Times New Roman"/>
        </w:rPr>
        <w:t>évente / 2. félév</w:t>
      </w:r>
    </w:p>
    <w:p w:rsidR="00950D47" w:rsidRDefault="00950D47" w:rsidP="00C2057B">
      <w:pPr>
        <w:widowControl w:val="0"/>
        <w:numPr>
          <w:ilvl w:val="0"/>
          <w:numId w:val="52"/>
        </w:numPr>
        <w:tabs>
          <w:tab w:val="clear" w:pos="720"/>
          <w:tab w:val="num" w:pos="502"/>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tanórákon való részvétel követelményei, az elfogadható hiányzások mértéke, a távolmaradás pótlásának lehetősége:</w:t>
      </w:r>
      <w:r>
        <w:rPr>
          <w:rFonts w:ascii="Times New Roman" w:eastAsia="Times New Roman" w:hAnsi="Times New Roman" w:cs="Times New Roman"/>
          <w:bCs/>
        </w:rPr>
        <w:t xml:space="preserve"> A tantárgy teljesítéséhez a tanórák legalább 70%-án jelen kell lennie a hallgatónak. Az ezt meghaladó mértékű hiányzás a féléves aláírás megtagadását vonja maga után. A távollétet a hiányzást követő első foglalkozáson kell igazolnia. A hallgató köteles a mulasztott tanóra anyagát beszerezni, abból önállóan felkészülni.</w:t>
      </w:r>
    </w:p>
    <w:p w:rsidR="00950D47" w:rsidRDefault="00950D47" w:rsidP="00C2057B">
      <w:pPr>
        <w:widowControl w:val="0"/>
        <w:numPr>
          <w:ilvl w:val="0"/>
          <w:numId w:val="52"/>
        </w:numPr>
        <w:tabs>
          <w:tab w:val="clear" w:pos="720"/>
          <w:tab w:val="num" w:pos="502"/>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rPr>
        <w:t>Félévközi feladatok, ismeretek ellenőrzésének rendje:</w:t>
      </w:r>
      <w:r>
        <w:rPr>
          <w:rFonts w:ascii="Times New Roman" w:eastAsia="Times New Roman" w:hAnsi="Times New Roman" w:cs="Times New Roman"/>
          <w:bCs/>
        </w:rPr>
        <w:t xml:space="preserve"> </w:t>
      </w:r>
    </w:p>
    <w:p w:rsidR="00950D47" w:rsidRDefault="00950D47" w:rsidP="00950D47">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bCs/>
        </w:rPr>
        <w:t>A számonkérés a félév során két zárthelyi dolgozat keretében történik. Az első dolgozat a 12.1-12.2 anyagrészeket, a második dolgozat a 12.3-12.5 anyagrészeket kéri számon</w:t>
      </w:r>
      <w:r>
        <w:rPr>
          <w:rFonts w:ascii="Times New Roman" w:eastAsia="Times New Roman" w:hAnsi="Times New Roman" w:cs="Times New Roman"/>
        </w:rPr>
        <w:t xml:space="preserve">. </w:t>
      </w:r>
    </w:p>
    <w:p w:rsidR="00950D47" w:rsidRDefault="00950D47" w:rsidP="00950D47">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bCs/>
        </w:rPr>
        <w:t>A dolgozatok pótlására, javítására egyszer van lehetőség egy pótdolgozat keretében.</w:t>
      </w:r>
    </w:p>
    <w:p w:rsidR="00950D47" w:rsidRDefault="00950D47" w:rsidP="00950D47">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Az aláírás megszerzéséhez a zárthelyi dolgozatok összpontszámának vagy a pótdolgozat pontszámának több mint 40%-a.</w:t>
      </w:r>
    </w:p>
    <w:p w:rsidR="00950D47" w:rsidRDefault="00950D47" w:rsidP="00950D47">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 xml:space="preserve">A vizsgajegy az írásbeli rész jegye és a szóbeli rész jegyének számtani átlaga, a matematika kerekítési szabályai szerint. Bármelyik részjegy elégtelen teljesítése elégtelen vizsgajegyet eredményez. Az elégséges írásbeli részjegyhez a vizsgadolgozat pontszámának 51-60% </w:t>
      </w:r>
      <w:r>
        <w:rPr>
          <w:rFonts w:ascii="Times New Roman" w:eastAsia="Times New Roman" w:hAnsi="Times New Roman" w:cs="Times New Roman"/>
        </w:rPr>
        <w:lastRenderedPageBreak/>
        <w:t>szükséges, közepeshez 61-75%, jóhoz 76-90%, jeleshez 91-100%.</w:t>
      </w:r>
    </w:p>
    <w:p w:rsidR="00950D47" w:rsidRDefault="00950D47" w:rsidP="00C2057B">
      <w:pPr>
        <w:widowControl w:val="0"/>
        <w:numPr>
          <w:ilvl w:val="0"/>
          <w:numId w:val="52"/>
        </w:numPr>
        <w:tabs>
          <w:tab w:val="clear" w:pos="720"/>
          <w:tab w:val="num" w:pos="502"/>
        </w:tabs>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Az értékelés, az aláírás és a kreditek megszerzésének pontos feltételei: </w:t>
      </w:r>
    </w:p>
    <w:p w:rsidR="00950D47" w:rsidRDefault="00950D47" w:rsidP="00C2057B">
      <w:pPr>
        <w:widowControl w:val="0"/>
        <w:numPr>
          <w:ilvl w:val="1"/>
          <w:numId w:val="52"/>
        </w:numPr>
        <w:tabs>
          <w:tab w:val="left" w:pos="709"/>
          <w:tab w:val="left" w:pos="993"/>
        </w:tabs>
        <w:spacing w:before="120" w:after="120" w:line="240" w:lineRule="auto"/>
        <w:ind w:left="425" w:firstLine="0"/>
        <w:jc w:val="both"/>
        <w:rPr>
          <w:rFonts w:ascii="Times New Roman" w:eastAsia="Times New Roman" w:hAnsi="Times New Roman" w:cs="Times New Roman"/>
        </w:rPr>
      </w:pPr>
      <w:r>
        <w:rPr>
          <w:rFonts w:ascii="Times New Roman" w:eastAsia="Times New Roman" w:hAnsi="Times New Roman" w:cs="Times New Roman"/>
          <w:b/>
        </w:rPr>
        <w:t>Az aláírás megszerzésének feltételei:</w:t>
      </w:r>
      <w:r>
        <w:rPr>
          <w:rFonts w:ascii="Times New Roman" w:eastAsia="Times New Roman" w:hAnsi="Times New Roman" w:cs="Times New Roman"/>
        </w:rPr>
        <w:t xml:space="preserve"> Az aláírás megszerzésének feltétele a 14. pontban meghatározott arányú részvétel a foglalkozásokon valamint a 15. pontban meghatározott félévközi feladatok legalább elégséges teljesítése.</w:t>
      </w:r>
    </w:p>
    <w:p w:rsidR="00950D47" w:rsidRDefault="00950D47" w:rsidP="00C2057B">
      <w:pPr>
        <w:widowControl w:val="0"/>
        <w:numPr>
          <w:ilvl w:val="1"/>
          <w:numId w:val="52"/>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Az értékelés:</w:t>
      </w:r>
      <w:r>
        <w:rPr>
          <w:rFonts w:ascii="Times New Roman" w:eastAsia="Times New Roman" w:hAnsi="Times New Roman" w:cs="Times New Roman"/>
        </w:rPr>
        <w:t xml:space="preserve"> kollokvium</w:t>
      </w:r>
      <w:r w:rsidR="00F12E81">
        <w:rPr>
          <w:rFonts w:ascii="Times New Roman" w:eastAsia="Times New Roman" w:hAnsi="Times New Roman" w:cs="Times New Roman"/>
        </w:rPr>
        <w:t xml:space="preserve"> </w:t>
      </w:r>
    </w:p>
    <w:p w:rsidR="00950D47" w:rsidRDefault="00950D47" w:rsidP="00C2057B">
      <w:pPr>
        <w:widowControl w:val="0"/>
        <w:numPr>
          <w:ilvl w:val="1"/>
          <w:numId w:val="52"/>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 kreditek megszerzésének feltételei:</w:t>
      </w:r>
      <w:r>
        <w:rPr>
          <w:rFonts w:ascii="Times New Roman" w:eastAsia="Times New Roman" w:hAnsi="Times New Roman" w:cs="Times New Roman"/>
        </w:rPr>
        <w:t xml:space="preserve"> A kreditek megszerzésének feltétele az aláírás megszerzése és legalább elégséges érdemjegy.</w:t>
      </w:r>
    </w:p>
    <w:p w:rsidR="00950D47" w:rsidRDefault="00950D47" w:rsidP="00C2057B">
      <w:pPr>
        <w:widowControl w:val="0"/>
        <w:numPr>
          <w:ilvl w:val="0"/>
          <w:numId w:val="52"/>
        </w:numPr>
        <w:tabs>
          <w:tab w:val="clear" w:pos="720"/>
          <w:tab w:val="num" w:pos="360"/>
          <w:tab w:val="num" w:pos="502"/>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Irodalomjegyzék:</w:t>
      </w:r>
    </w:p>
    <w:p w:rsidR="00950D47" w:rsidRDefault="00950D47" w:rsidP="00C2057B">
      <w:pPr>
        <w:widowControl w:val="0"/>
        <w:numPr>
          <w:ilvl w:val="1"/>
          <w:numId w:val="52"/>
        </w:numPr>
        <w:tabs>
          <w:tab w:val="left" w:pos="567"/>
          <w:tab w:val="left" w:pos="851"/>
          <w:tab w:val="num" w:pos="2069"/>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Kötelező irodalom:</w:t>
      </w:r>
    </w:p>
    <w:p w:rsidR="00950D47" w:rsidRDefault="00950D47" w:rsidP="00C2057B">
      <w:pPr>
        <w:widowControl w:val="0"/>
        <w:numPr>
          <w:ilvl w:val="0"/>
          <w:numId w:val="53"/>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Kocsiné Fábián Margit: Intergálszámítás. ZMNE, 2003.</w:t>
      </w:r>
    </w:p>
    <w:p w:rsidR="00950D47" w:rsidRDefault="00950D47" w:rsidP="00C2057B">
      <w:pPr>
        <w:widowControl w:val="0"/>
        <w:numPr>
          <w:ilvl w:val="0"/>
          <w:numId w:val="53"/>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Kocsiné Fábián Margit: Integrálszámítás feladatgyűjtemény. NKE, 2016. ISBN: 9786155527722</w:t>
      </w:r>
    </w:p>
    <w:p w:rsidR="00950D47" w:rsidRDefault="00950D47" w:rsidP="00C2057B">
      <w:pPr>
        <w:widowControl w:val="0"/>
        <w:numPr>
          <w:ilvl w:val="1"/>
          <w:numId w:val="52"/>
        </w:numPr>
        <w:tabs>
          <w:tab w:val="num" w:pos="567"/>
          <w:tab w:val="num" w:pos="2069"/>
        </w:tabs>
        <w:spacing w:before="120" w:after="120" w:line="240" w:lineRule="auto"/>
        <w:ind w:left="993" w:hanging="709"/>
        <w:jc w:val="both"/>
        <w:rPr>
          <w:rFonts w:ascii="Times New Roman" w:eastAsia="Times New Roman" w:hAnsi="Times New Roman" w:cs="Times New Roman"/>
          <w:b/>
          <w:bCs/>
        </w:rPr>
      </w:pPr>
      <w:r>
        <w:rPr>
          <w:rFonts w:ascii="Times New Roman" w:eastAsia="Times New Roman" w:hAnsi="Times New Roman" w:cs="Times New Roman"/>
          <w:b/>
          <w:bCs/>
        </w:rPr>
        <w:t>Ajánlott irodalom:</w:t>
      </w:r>
    </w:p>
    <w:p w:rsidR="00950D47" w:rsidRDefault="00950D47" w:rsidP="00C2057B">
      <w:pPr>
        <w:widowControl w:val="0"/>
        <w:numPr>
          <w:ilvl w:val="0"/>
          <w:numId w:val="54"/>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Joel R. Hass, Christopher E. Heil, Maurice D. Weir: Thomas’ Calculus, Pearson, 2017. ISBN: 9780134438986</w:t>
      </w:r>
    </w:p>
    <w:p w:rsidR="00950D47" w:rsidRDefault="00950D47" w:rsidP="00C2057B">
      <w:pPr>
        <w:widowControl w:val="0"/>
        <w:numPr>
          <w:ilvl w:val="0"/>
          <w:numId w:val="54"/>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Kovács József, Takács Gábor, Takács Miklós: Analízis. Nemzeti Tankönyvkiadó, 2012. ISBN: 9789631954913</w:t>
      </w:r>
    </w:p>
    <w:p w:rsidR="00950D47" w:rsidRDefault="00950D47" w:rsidP="00C2057B">
      <w:pPr>
        <w:widowControl w:val="0"/>
        <w:numPr>
          <w:ilvl w:val="0"/>
          <w:numId w:val="54"/>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Scharnitzky Viktor: Matematikai feladatok. Nemzeti Tankönyvkiadó, 2002. ISBN: 963193330X</w:t>
      </w:r>
    </w:p>
    <w:p w:rsidR="00950D47" w:rsidRDefault="00950D47" w:rsidP="00950D47">
      <w:pPr>
        <w:widowControl w:val="0"/>
        <w:spacing w:before="120" w:after="120" w:line="240" w:lineRule="auto"/>
        <w:jc w:val="both"/>
        <w:rPr>
          <w:rFonts w:ascii="Times New Roman" w:eastAsia="Times New Roman" w:hAnsi="Times New Roman" w:cs="Times New Roman"/>
          <w:bCs/>
        </w:rPr>
      </w:pPr>
      <w:r>
        <w:rPr>
          <w:rFonts w:ascii="Times New Roman" w:eastAsia="Times New Roman" w:hAnsi="Times New Roman" w:cs="Times New Roman"/>
          <w:bCs/>
        </w:rPr>
        <w:t>Budapest, 2020. január 31.</w:t>
      </w:r>
    </w:p>
    <w:p w:rsidR="00950D47" w:rsidRDefault="00950D47" w:rsidP="00950D47">
      <w:pPr>
        <w:widowControl w:val="0"/>
        <w:spacing w:before="120" w:after="120" w:line="240" w:lineRule="auto"/>
        <w:jc w:val="both"/>
        <w:rPr>
          <w:rFonts w:ascii="Times New Roman" w:eastAsia="Times New Roman" w:hAnsi="Times New Roman" w:cs="Times New Roman"/>
          <w:bCs/>
        </w:rPr>
      </w:pPr>
    </w:p>
    <w:p w:rsidR="00950D47" w:rsidRPr="00950D47" w:rsidRDefault="00950D47" w:rsidP="00950D47">
      <w:pPr>
        <w:widowControl w:val="0"/>
        <w:spacing w:after="0" w:line="240" w:lineRule="auto"/>
        <w:jc w:val="right"/>
        <w:rPr>
          <w:rFonts w:ascii="Times New Roman" w:eastAsia="Times New Roman" w:hAnsi="Times New Roman" w:cs="Times New Roman"/>
          <w:b/>
          <w:bCs/>
        </w:rPr>
      </w:pPr>
      <w:r w:rsidRPr="00950D47">
        <w:rPr>
          <w:rFonts w:ascii="Times New Roman" w:eastAsia="Times New Roman" w:hAnsi="Times New Roman" w:cs="Times New Roman"/>
          <w:b/>
          <w:bCs/>
        </w:rPr>
        <w:t xml:space="preserve">Dr. Horváth István, PhD </w:t>
      </w:r>
    </w:p>
    <w:p w:rsidR="00950D47" w:rsidRDefault="00950D47" w:rsidP="00950D47">
      <w:pPr>
        <w:widowControl w:val="0"/>
        <w:spacing w:after="0" w:line="240" w:lineRule="auto"/>
        <w:jc w:val="right"/>
        <w:rPr>
          <w:rFonts w:ascii="Times New Roman" w:eastAsia="Times New Roman" w:hAnsi="Times New Roman" w:cs="Times New Roman"/>
          <w:bCs/>
        </w:rPr>
      </w:pPr>
      <w:r>
        <w:rPr>
          <w:rFonts w:ascii="Times New Roman" w:eastAsia="Times New Roman" w:hAnsi="Times New Roman" w:cs="Times New Roman"/>
          <w:bCs/>
        </w:rPr>
        <w:t>egyetemi tanár, sk.</w:t>
      </w:r>
    </w:p>
    <w:p w:rsidR="00F80CE7" w:rsidRDefault="00F80CE7">
      <w:pPr>
        <w:spacing w:after="200" w:line="276" w:lineRule="auto"/>
        <w:rPr>
          <w:rFonts w:ascii="Times New Roman" w:hAnsi="Times New Roman" w:cs="Times New Roman"/>
        </w:rPr>
      </w:pPr>
    </w:p>
    <w:p w:rsidR="00423888" w:rsidRPr="00423888" w:rsidRDefault="00423888">
      <w:pPr>
        <w:spacing w:after="200" w:line="276" w:lineRule="auto"/>
        <w:rPr>
          <w:rFonts w:ascii="Times New Roman" w:hAnsi="Times New Roman" w:cs="Times New Roman"/>
        </w:rPr>
      </w:pPr>
      <w:r w:rsidRPr="00423888">
        <w:rPr>
          <w:rFonts w:ascii="Times New Roman" w:hAnsi="Times New Roman" w:cs="Times New Roman"/>
        </w:rPr>
        <w:br w:type="page"/>
      </w:r>
    </w:p>
    <w:tbl>
      <w:tblPr>
        <w:tblW w:w="9072" w:type="dxa"/>
        <w:tblInd w:w="113" w:type="dxa"/>
        <w:tblLook w:val="01E0" w:firstRow="1" w:lastRow="1" w:firstColumn="1" w:lastColumn="1" w:noHBand="0" w:noVBand="0"/>
      </w:tblPr>
      <w:tblGrid>
        <w:gridCol w:w="4855"/>
        <w:gridCol w:w="1620"/>
        <w:gridCol w:w="2597"/>
      </w:tblGrid>
      <w:tr w:rsidR="00F12E81" w:rsidTr="00F12E81">
        <w:tc>
          <w:tcPr>
            <w:tcW w:w="4855" w:type="dxa"/>
            <w:tcBorders>
              <w:top w:val="nil"/>
              <w:left w:val="nil"/>
              <w:bottom w:val="single" w:sz="4" w:space="0" w:color="auto"/>
              <w:right w:val="nil"/>
            </w:tcBorders>
            <w:hideMark/>
          </w:tcPr>
          <w:p w:rsidR="00F12E81" w:rsidRDefault="00F12E81">
            <w:pPr>
              <w:spacing w:after="0" w:line="240" w:lineRule="auto"/>
              <w:jc w:val="center"/>
              <w:rPr>
                <w:rFonts w:ascii="Times New Roman" w:eastAsia="Times New Roman" w:hAnsi="Times New Roman" w:cs="Times New Roman"/>
                <w:b/>
                <w:smallCaps/>
                <w:lang w:eastAsia="hu-HU"/>
              </w:rPr>
            </w:pPr>
            <w:r>
              <w:rPr>
                <w:rFonts w:ascii="Times New Roman" w:eastAsia="Times New Roman" w:hAnsi="Times New Roman" w:cs="Times New Roman"/>
                <w:b/>
                <w:smallCaps/>
                <w:lang w:eastAsia="hu-HU"/>
              </w:rPr>
              <w:lastRenderedPageBreak/>
              <w:t>Nemzeti Közszolgálati Egyetem</w:t>
            </w:r>
          </w:p>
        </w:tc>
        <w:tc>
          <w:tcPr>
            <w:tcW w:w="1620" w:type="dxa"/>
          </w:tcPr>
          <w:p w:rsidR="00F12E81" w:rsidRDefault="00F12E81">
            <w:pPr>
              <w:spacing w:after="0" w:line="240" w:lineRule="auto"/>
              <w:jc w:val="both"/>
              <w:rPr>
                <w:rFonts w:ascii="Times New Roman" w:eastAsia="Times New Roman" w:hAnsi="Times New Roman" w:cs="Times New Roman"/>
                <w:lang w:eastAsia="hu-HU"/>
              </w:rPr>
            </w:pPr>
          </w:p>
        </w:tc>
        <w:tc>
          <w:tcPr>
            <w:tcW w:w="2597" w:type="dxa"/>
          </w:tcPr>
          <w:p w:rsidR="00F12E81" w:rsidRDefault="00F12E81">
            <w:pPr>
              <w:spacing w:after="0" w:line="240" w:lineRule="auto"/>
              <w:jc w:val="right"/>
              <w:rPr>
                <w:rFonts w:ascii="Times New Roman" w:eastAsia="Times New Roman" w:hAnsi="Times New Roman" w:cs="Times New Roman"/>
                <w:lang w:eastAsia="hu-HU"/>
              </w:rPr>
            </w:pPr>
          </w:p>
        </w:tc>
      </w:tr>
      <w:tr w:rsidR="00F12E81" w:rsidTr="00F12E81">
        <w:tc>
          <w:tcPr>
            <w:tcW w:w="4855" w:type="dxa"/>
            <w:tcBorders>
              <w:top w:val="single" w:sz="4" w:space="0" w:color="auto"/>
              <w:left w:val="nil"/>
              <w:bottom w:val="nil"/>
              <w:right w:val="nil"/>
            </w:tcBorders>
            <w:hideMark/>
          </w:tcPr>
          <w:p w:rsidR="00F12E81" w:rsidRDefault="00F12E81">
            <w:pPr>
              <w:spacing w:after="0" w:line="240" w:lineRule="auto"/>
              <w:jc w:val="center"/>
              <w:rPr>
                <w:rFonts w:ascii="Times New Roman" w:eastAsia="Times New Roman" w:hAnsi="Times New Roman" w:cs="Times New Roman"/>
                <w:b/>
                <w:lang w:eastAsia="hu-HU"/>
              </w:rPr>
            </w:pPr>
            <w:r>
              <w:rPr>
                <w:rFonts w:ascii="Times New Roman" w:eastAsia="Times New Roman" w:hAnsi="Times New Roman" w:cs="Times New Roman"/>
                <w:b/>
                <w:lang w:eastAsia="hu-HU"/>
              </w:rPr>
              <w:t>Hadtudományi és Honvédtisztképző Kar</w:t>
            </w:r>
          </w:p>
        </w:tc>
        <w:tc>
          <w:tcPr>
            <w:tcW w:w="1620" w:type="dxa"/>
          </w:tcPr>
          <w:p w:rsidR="00F12E81" w:rsidRDefault="00F12E81">
            <w:pPr>
              <w:spacing w:after="0" w:line="240" w:lineRule="auto"/>
              <w:jc w:val="both"/>
              <w:rPr>
                <w:rFonts w:ascii="Times New Roman" w:eastAsia="Times New Roman" w:hAnsi="Times New Roman" w:cs="Times New Roman"/>
                <w:lang w:eastAsia="hu-HU"/>
              </w:rPr>
            </w:pPr>
          </w:p>
        </w:tc>
        <w:tc>
          <w:tcPr>
            <w:tcW w:w="2597" w:type="dxa"/>
          </w:tcPr>
          <w:p w:rsidR="00F12E81" w:rsidRDefault="00F12E81">
            <w:pPr>
              <w:spacing w:after="0" w:line="240" w:lineRule="auto"/>
              <w:jc w:val="both"/>
              <w:rPr>
                <w:rFonts w:ascii="Times New Roman" w:eastAsia="Times New Roman" w:hAnsi="Times New Roman" w:cs="Times New Roman"/>
                <w:lang w:eastAsia="hu-HU"/>
              </w:rPr>
            </w:pPr>
          </w:p>
        </w:tc>
      </w:tr>
    </w:tbl>
    <w:p w:rsidR="00F12E81" w:rsidRDefault="00F12E81" w:rsidP="00F12E81">
      <w:pPr>
        <w:widowControl w:val="0"/>
        <w:spacing w:before="120" w:after="120" w:line="240" w:lineRule="auto"/>
        <w:ind w:left="426" w:hanging="142"/>
        <w:jc w:val="center"/>
        <w:rPr>
          <w:rFonts w:ascii="Times New Roman" w:eastAsia="Times New Roman" w:hAnsi="Times New Roman" w:cs="Times New Roman"/>
          <w:b/>
          <w:bCs/>
        </w:rPr>
      </w:pPr>
    </w:p>
    <w:p w:rsidR="00F12E81" w:rsidRDefault="00F12E81" w:rsidP="00F12E81">
      <w:pPr>
        <w:widowControl w:val="0"/>
        <w:spacing w:before="120" w:after="120" w:line="240" w:lineRule="auto"/>
        <w:ind w:left="426" w:hanging="142"/>
        <w:jc w:val="center"/>
        <w:rPr>
          <w:rFonts w:ascii="Times New Roman" w:eastAsia="Times New Roman" w:hAnsi="Times New Roman" w:cs="Times New Roman"/>
          <w:b/>
          <w:bCs/>
        </w:rPr>
      </w:pPr>
      <w:r>
        <w:rPr>
          <w:rFonts w:ascii="Times New Roman" w:eastAsia="Times New Roman" w:hAnsi="Times New Roman" w:cs="Times New Roman"/>
          <w:b/>
          <w:bCs/>
        </w:rPr>
        <w:t>TANTÁRGYI PROGRAM</w:t>
      </w:r>
    </w:p>
    <w:p w:rsidR="00F12E81" w:rsidRDefault="00F12E81" w:rsidP="00C2057B">
      <w:pPr>
        <w:widowControl w:val="0"/>
        <w:numPr>
          <w:ilvl w:val="0"/>
          <w:numId w:val="63"/>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 tantárgy kódja: </w:t>
      </w:r>
      <w:r>
        <w:rPr>
          <w:rFonts w:ascii="Times New Roman" w:hAnsi="Times New Roman" w:cs="Times New Roman"/>
          <w:bCs/>
        </w:rPr>
        <w:t>HKHPKA101</w:t>
      </w:r>
    </w:p>
    <w:p w:rsidR="00F12E81" w:rsidRDefault="00F12E81" w:rsidP="00C2057B">
      <w:pPr>
        <w:widowControl w:val="0"/>
        <w:numPr>
          <w:ilvl w:val="0"/>
          <w:numId w:val="63"/>
        </w:numPr>
        <w:spacing w:before="120" w:after="120" w:line="240" w:lineRule="auto"/>
        <w:ind w:left="426" w:hanging="142"/>
        <w:jc w:val="both"/>
        <w:rPr>
          <w:rFonts w:ascii="Times New Roman" w:eastAsia="Times New Roman" w:hAnsi="Times New Roman" w:cs="Times New Roman"/>
          <w:b/>
          <w:bCs/>
          <w:lang w:val="en-GB"/>
        </w:rPr>
      </w:pPr>
      <w:r>
        <w:rPr>
          <w:rFonts w:ascii="Times New Roman" w:eastAsia="Times New Roman" w:hAnsi="Times New Roman" w:cs="Times New Roman"/>
          <w:b/>
          <w:bCs/>
        </w:rPr>
        <w:t>A tantárgy megnevezése (magyarul):</w:t>
      </w:r>
      <w:r>
        <w:rPr>
          <w:rFonts w:ascii="Times New Roman" w:eastAsia="Times New Roman" w:hAnsi="Times New Roman" w:cs="Times New Roman"/>
          <w:bCs/>
        </w:rPr>
        <w:t xml:space="preserve"> </w:t>
      </w:r>
      <w:r>
        <w:rPr>
          <w:rFonts w:ascii="Times New Roman" w:hAnsi="Times New Roman" w:cs="Times New Roman"/>
          <w:bCs/>
        </w:rPr>
        <w:t>Közgazdaságtan II.</w:t>
      </w:r>
    </w:p>
    <w:p w:rsidR="00F12E81" w:rsidRDefault="00F12E81" w:rsidP="00C2057B">
      <w:pPr>
        <w:widowControl w:val="0"/>
        <w:numPr>
          <w:ilvl w:val="0"/>
          <w:numId w:val="63"/>
        </w:numPr>
        <w:tabs>
          <w:tab w:val="num" w:pos="567"/>
        </w:tabs>
        <w:spacing w:before="120" w:after="120" w:line="240" w:lineRule="auto"/>
        <w:ind w:left="426" w:hanging="142"/>
        <w:jc w:val="both"/>
        <w:rPr>
          <w:rFonts w:ascii="Times New Roman" w:eastAsia="Times New Roman" w:hAnsi="Times New Roman" w:cs="Times New Roman"/>
          <w:b/>
          <w:bCs/>
          <w:lang w:val="en-GB"/>
        </w:rPr>
      </w:pPr>
      <w:r>
        <w:rPr>
          <w:rFonts w:ascii="Times New Roman" w:eastAsia="Times New Roman" w:hAnsi="Times New Roman" w:cs="Times New Roman"/>
          <w:b/>
          <w:bCs/>
        </w:rPr>
        <w:t xml:space="preserve">A tantárgy megnevezése (angolul): </w:t>
      </w:r>
      <w:r>
        <w:rPr>
          <w:rFonts w:ascii="Times New Roman" w:hAnsi="Times New Roman" w:cs="Times New Roman"/>
          <w:bCs/>
        </w:rPr>
        <w:t>Economics II.</w:t>
      </w:r>
    </w:p>
    <w:p w:rsidR="00F12E81" w:rsidRDefault="00F12E81" w:rsidP="00C2057B">
      <w:pPr>
        <w:widowControl w:val="0"/>
        <w:numPr>
          <w:ilvl w:val="0"/>
          <w:numId w:val="63"/>
        </w:numPr>
        <w:tabs>
          <w:tab w:val="num" w:pos="567"/>
        </w:tabs>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Kreditérték és képzési karakter: </w:t>
      </w:r>
    </w:p>
    <w:p w:rsidR="00F12E81" w:rsidRPr="00E47639" w:rsidRDefault="00E47639" w:rsidP="00C2057B">
      <w:pPr>
        <w:pStyle w:val="Listaszerbekezds"/>
        <w:widowControl w:val="0"/>
        <w:numPr>
          <w:ilvl w:val="1"/>
          <w:numId w:val="63"/>
        </w:numPr>
        <w:spacing w:before="120" w:after="120" w:line="240" w:lineRule="auto"/>
        <w:ind w:left="993" w:hanging="426"/>
        <w:jc w:val="both"/>
        <w:rPr>
          <w:rFonts w:ascii="Times New Roman" w:eastAsia="Times New Roman" w:hAnsi="Times New Roman" w:cs="Times New Roman"/>
          <w:b/>
          <w:bCs/>
          <w:highlight w:val="yellow"/>
        </w:rPr>
      </w:pPr>
      <w:r w:rsidRPr="00E47639">
        <w:rPr>
          <w:rFonts w:ascii="Times New Roman" w:eastAsia="Times New Roman" w:hAnsi="Times New Roman" w:cs="Times New Roman"/>
          <w:bCs/>
          <w:highlight w:val="yellow"/>
        </w:rPr>
        <w:t>2</w:t>
      </w:r>
      <w:r w:rsidR="00F12E81" w:rsidRPr="00E47639">
        <w:rPr>
          <w:rFonts w:ascii="Times New Roman" w:eastAsia="Times New Roman" w:hAnsi="Times New Roman" w:cs="Times New Roman"/>
          <w:bCs/>
          <w:highlight w:val="yellow"/>
        </w:rPr>
        <w:t xml:space="preserve"> kredit</w:t>
      </w:r>
    </w:p>
    <w:p w:rsidR="00F12E81" w:rsidRDefault="00F12E81" w:rsidP="00C2057B">
      <w:pPr>
        <w:pStyle w:val="Listaszerbekezds"/>
        <w:widowControl w:val="0"/>
        <w:numPr>
          <w:ilvl w:val="1"/>
          <w:numId w:val="63"/>
        </w:numPr>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a tantárgy elméleti vagy gyakorlati jellegének mértéke: 50</w:t>
      </w:r>
      <w:r>
        <w:rPr>
          <w:rFonts w:ascii="Times New Roman" w:eastAsia="Times New Roman" w:hAnsi="Times New Roman" w:cs="Times New Roman"/>
          <w:b/>
          <w:bCs/>
        </w:rPr>
        <w:t xml:space="preserve"> </w:t>
      </w:r>
      <w:r>
        <w:rPr>
          <w:rFonts w:ascii="Times New Roman" w:eastAsia="Times New Roman" w:hAnsi="Times New Roman" w:cs="Times New Roman"/>
          <w:bCs/>
        </w:rPr>
        <w:t>% gyakorlat, 50 % elmélet</w:t>
      </w:r>
    </w:p>
    <w:p w:rsidR="00F12E81" w:rsidRDefault="00F12E81" w:rsidP="00C2057B">
      <w:pPr>
        <w:widowControl w:val="0"/>
        <w:numPr>
          <w:ilvl w:val="0"/>
          <w:numId w:val="63"/>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szak(ok), szakirányok/specializációk megnevezése (ahol oktatják):</w:t>
      </w:r>
      <w:r>
        <w:rPr>
          <w:rFonts w:ascii="Times New Roman" w:eastAsia="Times New Roman" w:hAnsi="Times New Roman" w:cs="Times New Roman"/>
          <w:bCs/>
        </w:rPr>
        <w:t xml:space="preserve"> </w:t>
      </w:r>
      <w:r>
        <w:rPr>
          <w:rFonts w:ascii="Times New Roman" w:hAnsi="Times New Roman" w:cs="Times New Roman"/>
          <w:bCs/>
        </w:rPr>
        <w:t>Katonai logisztika alapképzési (</w:t>
      </w:r>
      <w:r w:rsidR="00137B8A">
        <w:rPr>
          <w:rFonts w:ascii="Times New Roman" w:hAnsi="Times New Roman" w:cs="Times New Roman"/>
          <w:bCs/>
        </w:rPr>
        <w:t>BSc</w:t>
      </w:r>
      <w:r>
        <w:rPr>
          <w:rFonts w:ascii="Times New Roman" w:hAnsi="Times New Roman" w:cs="Times New Roman"/>
          <w:bCs/>
        </w:rPr>
        <w:t>) szak</w:t>
      </w:r>
    </w:p>
    <w:p w:rsidR="00F12E81" w:rsidRDefault="00F12E81" w:rsidP="00C2057B">
      <w:pPr>
        <w:widowControl w:val="0"/>
        <w:numPr>
          <w:ilvl w:val="0"/>
          <w:numId w:val="63"/>
        </w:numPr>
        <w:tabs>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Az oktatásért felelős oktatási szervezeti egység megnevezése: </w:t>
      </w:r>
      <w:r>
        <w:rPr>
          <w:rFonts w:ascii="Times New Roman" w:hAnsi="Times New Roman" w:cs="Times New Roman"/>
          <w:bCs/>
        </w:rPr>
        <w:t>NKE HHK Hadtáp, Pénzügyi és Katonai Közlekedési Tanszék</w:t>
      </w:r>
    </w:p>
    <w:p w:rsidR="00F12E81" w:rsidRDefault="00F12E81" w:rsidP="00C2057B">
      <w:pPr>
        <w:widowControl w:val="0"/>
        <w:numPr>
          <w:ilvl w:val="0"/>
          <w:numId w:val="63"/>
        </w:numPr>
        <w:tabs>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tantárgyfelelős oktató neve, beosztása, tudományos fokozata:</w:t>
      </w:r>
      <w:r>
        <w:rPr>
          <w:rFonts w:ascii="Times New Roman" w:eastAsia="Times New Roman" w:hAnsi="Times New Roman" w:cs="Times New Roman"/>
          <w:bCs/>
        </w:rPr>
        <w:t xml:space="preserve"> </w:t>
      </w:r>
      <w:r>
        <w:rPr>
          <w:rFonts w:ascii="Times New Roman" w:hAnsi="Times New Roman" w:cs="Times New Roman"/>
          <w:bCs/>
        </w:rPr>
        <w:t>Dr. Fülöp Katalin, egyetemi docens, (PhD)</w:t>
      </w:r>
    </w:p>
    <w:p w:rsidR="00F12E81" w:rsidRDefault="00F12E81" w:rsidP="00C2057B">
      <w:pPr>
        <w:widowControl w:val="0"/>
        <w:numPr>
          <w:ilvl w:val="0"/>
          <w:numId w:val="63"/>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tanórák száma és típusa</w:t>
      </w:r>
    </w:p>
    <w:p w:rsidR="00F12E81" w:rsidRDefault="00F12E81" w:rsidP="00C2057B">
      <w:pPr>
        <w:widowControl w:val="0"/>
        <w:numPr>
          <w:ilvl w:val="1"/>
          <w:numId w:val="63"/>
        </w:numPr>
        <w:tabs>
          <w:tab w:val="num" w:pos="709"/>
          <w:tab w:val="num" w:pos="2069"/>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össz óraszám/félév:</w:t>
      </w:r>
    </w:p>
    <w:p w:rsidR="00F12E81" w:rsidRDefault="00F12E81" w:rsidP="00C2057B">
      <w:pPr>
        <w:widowControl w:val="0"/>
        <w:numPr>
          <w:ilvl w:val="2"/>
          <w:numId w:val="63"/>
        </w:numPr>
        <w:tabs>
          <w:tab w:val="num" w:pos="709"/>
          <w:tab w:val="num" w:pos="1134"/>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nappali munkarend: 28 (14 EA + 0 SZ + 14 GY)</w:t>
      </w:r>
    </w:p>
    <w:p w:rsidR="00F12E81" w:rsidRDefault="00F12E81" w:rsidP="00C2057B">
      <w:pPr>
        <w:widowControl w:val="0"/>
        <w:numPr>
          <w:ilvl w:val="2"/>
          <w:numId w:val="63"/>
        </w:numPr>
        <w:tabs>
          <w:tab w:val="num" w:pos="709"/>
          <w:tab w:val="num" w:pos="1134"/>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levelező munkarend: -</w:t>
      </w:r>
    </w:p>
    <w:p w:rsidR="00F12E81" w:rsidRDefault="00F12E81" w:rsidP="00C2057B">
      <w:pPr>
        <w:widowControl w:val="0"/>
        <w:numPr>
          <w:ilvl w:val="1"/>
          <w:numId w:val="63"/>
        </w:numPr>
        <w:tabs>
          <w:tab w:val="num" w:pos="709"/>
          <w:tab w:val="num" w:pos="2069"/>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heti óraszám - nappali munkarend: 2</w:t>
      </w:r>
    </w:p>
    <w:p w:rsidR="00F12E81" w:rsidRDefault="00F12E81" w:rsidP="00C2057B">
      <w:pPr>
        <w:widowControl w:val="0"/>
        <w:numPr>
          <w:ilvl w:val="1"/>
          <w:numId w:val="63"/>
        </w:numPr>
        <w:tabs>
          <w:tab w:val="num" w:pos="709"/>
          <w:tab w:val="num" w:pos="2069"/>
        </w:tabs>
        <w:spacing w:before="120" w:after="120" w:line="240" w:lineRule="auto"/>
        <w:ind w:left="851" w:hanging="425"/>
        <w:jc w:val="both"/>
        <w:rPr>
          <w:rFonts w:ascii="Times New Roman" w:eastAsia="Times New Roman" w:hAnsi="Times New Roman" w:cs="Times New Roman"/>
          <w:bCs/>
        </w:rPr>
      </w:pPr>
      <w:r>
        <w:rPr>
          <w:rFonts w:ascii="Times New Roman" w:hAnsi="Times New Roman" w:cs="Times New Roman"/>
        </w:rPr>
        <w:t>Az ismeret átadásában alkalmazandó további sajátos módok, jellemzők:</w:t>
      </w:r>
      <w:r>
        <w:rPr>
          <w:rFonts w:ascii="Times New Roman" w:hAnsi="Times New Roman" w:cs="Times New Roman"/>
          <w:i/>
        </w:rPr>
        <w:t xml:space="preserve"> –</w:t>
      </w:r>
    </w:p>
    <w:p w:rsidR="00F12E81" w:rsidRDefault="00F12E81" w:rsidP="00C2057B">
      <w:pPr>
        <w:widowControl w:val="0"/>
        <w:numPr>
          <w:ilvl w:val="0"/>
          <w:numId w:val="63"/>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tantárgy szakmai tartalma (magyarul):</w:t>
      </w:r>
      <w:r>
        <w:rPr>
          <w:rFonts w:ascii="Times New Roman" w:eastAsia="Times New Roman" w:hAnsi="Times New Roman" w:cs="Times New Roman"/>
          <w:bCs/>
        </w:rPr>
        <w:t xml:space="preserve"> </w:t>
      </w:r>
      <w:r>
        <w:rPr>
          <w:rFonts w:ascii="Times New Roman" w:hAnsi="Times New Roman" w:cs="Times New Roman"/>
          <w:bCs/>
        </w:rPr>
        <w:t>A tantárgy a közgazdaságtan a nemzetgazdaság működésének törvényszerűségeivel és összefüggéseivel foglalkozik.</w:t>
      </w:r>
    </w:p>
    <w:p w:rsidR="00F12E81" w:rsidRDefault="00F12E81" w:rsidP="00F12E81">
      <w:pPr>
        <w:widowControl w:val="0"/>
        <w:spacing w:before="120" w:after="120" w:line="240" w:lineRule="auto"/>
        <w:ind w:left="426"/>
        <w:jc w:val="both"/>
        <w:rPr>
          <w:rFonts w:ascii="Times New Roman" w:eastAsia="Times New Roman" w:hAnsi="Times New Roman" w:cs="Times New Roman"/>
          <w:bCs/>
          <w:lang w:val="en-GB"/>
        </w:rPr>
      </w:pPr>
      <w:r>
        <w:rPr>
          <w:rFonts w:ascii="Times New Roman" w:eastAsia="Times New Roman" w:hAnsi="Times New Roman" w:cs="Times New Roman"/>
          <w:b/>
          <w:bCs/>
        </w:rPr>
        <w:t>A tantárgy szakmai tartalma (angolul) (</w:t>
      </w:r>
      <w:r>
        <w:rPr>
          <w:rFonts w:ascii="Times New Roman" w:eastAsia="Times New Roman" w:hAnsi="Times New Roman" w:cs="Times New Roman"/>
          <w:b/>
          <w:bCs/>
          <w:lang w:val="en-US"/>
        </w:rPr>
        <w:t>Course description</w:t>
      </w:r>
      <w:r>
        <w:rPr>
          <w:rFonts w:ascii="Times New Roman" w:eastAsia="Times New Roman" w:hAnsi="Times New Roman" w:cs="Times New Roman"/>
          <w:b/>
          <w:bCs/>
        </w:rPr>
        <w:t xml:space="preserve">): </w:t>
      </w:r>
      <w:r>
        <w:rPr>
          <w:rFonts w:ascii="Times New Roman" w:hAnsi="Times New Roman" w:cs="Times New Roman"/>
          <w:bCs/>
          <w:lang w:val="en-US"/>
        </w:rPr>
        <w:t>This subject deals with the functioning principles and processes of national economies</w:t>
      </w:r>
    </w:p>
    <w:p w:rsidR="00F12E81" w:rsidRDefault="00F12E81" w:rsidP="00C2057B">
      <w:pPr>
        <w:pStyle w:val="Listaszerbekezds"/>
        <w:widowControl w:val="0"/>
        <w:numPr>
          <w:ilvl w:val="0"/>
          <w:numId w:val="63"/>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Elérendő kompetenciák (magyarul):</w:t>
      </w:r>
      <w:r>
        <w:rPr>
          <w:rFonts w:ascii="Times New Roman" w:eastAsia="Times New Roman" w:hAnsi="Times New Roman" w:cs="Times New Roman"/>
          <w:bCs/>
        </w:rPr>
        <w:t xml:space="preserve"> </w:t>
      </w:r>
    </w:p>
    <w:p w:rsidR="00F12E81" w:rsidRDefault="00F12E81" w:rsidP="00F12E81">
      <w:pPr>
        <w:widowControl w:val="0"/>
        <w:spacing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Tudása:</w:t>
      </w:r>
    </w:p>
    <w:p w:rsidR="00F12E81" w:rsidRDefault="00F12E81" w:rsidP="00C2057B">
      <w:pPr>
        <w:pStyle w:val="Listaszerbekezds"/>
        <w:widowControl w:val="0"/>
        <w:numPr>
          <w:ilvl w:val="0"/>
          <w:numId w:val="55"/>
        </w:numPr>
        <w:spacing w:after="0" w:line="240" w:lineRule="auto"/>
        <w:jc w:val="both"/>
        <w:rPr>
          <w:rFonts w:ascii="Times New Roman" w:eastAsia="Times New Roman" w:hAnsi="Times New Roman" w:cs="Times New Roman"/>
          <w:bCs/>
        </w:rPr>
      </w:pPr>
      <w:r>
        <w:rPr>
          <w:rFonts w:ascii="Times New Roman" w:hAnsi="Times New Roman" w:cs="Times New Roman"/>
        </w:rPr>
        <w:t>Ismeri a gazdaság és a piacok működésének alapjait, a nemzetgazdaság és a honvédelem kapcsolatrendszerét.</w:t>
      </w:r>
    </w:p>
    <w:p w:rsidR="00F12E81" w:rsidRDefault="00F12E81" w:rsidP="00F12E81">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Képességei:</w:t>
      </w:r>
      <w:r>
        <w:rPr>
          <w:rFonts w:ascii="Times New Roman" w:eastAsia="Times New Roman" w:hAnsi="Times New Roman" w:cs="Times New Roman"/>
          <w:bCs/>
        </w:rPr>
        <w:t xml:space="preserve"> </w:t>
      </w:r>
    </w:p>
    <w:p w:rsidR="00F12E81" w:rsidRDefault="00F12E81" w:rsidP="00C2057B">
      <w:pPr>
        <w:pStyle w:val="Listaszerbekezds"/>
        <w:numPr>
          <w:ilvl w:val="0"/>
          <w:numId w:val="56"/>
        </w:numPr>
        <w:autoSpaceDE w:val="0"/>
        <w:autoSpaceDN w:val="0"/>
        <w:adjustRightInd w:val="0"/>
        <w:spacing w:after="0" w:line="240" w:lineRule="auto"/>
        <w:ind w:left="1134" w:hanging="425"/>
        <w:jc w:val="both"/>
        <w:rPr>
          <w:rFonts w:ascii="Times New Roman" w:hAnsi="Times New Roman" w:cs="Times New Roman"/>
        </w:rPr>
      </w:pPr>
      <w:r>
        <w:rPr>
          <w:rFonts w:ascii="Times New Roman" w:hAnsi="Times New Roman" w:cs="Times New Roman"/>
        </w:rPr>
        <w:t>Képes valós és megbízható képet alkotni a gazdálkodó szervezetek vagyonáról, pénzügyi helyzetéről, gazdálkodásának szabályszerűségéről.</w:t>
      </w:r>
    </w:p>
    <w:p w:rsidR="00F12E81" w:rsidRDefault="00F12E81" w:rsidP="00C2057B">
      <w:pPr>
        <w:pStyle w:val="Listaszerbekezds"/>
        <w:widowControl w:val="0"/>
        <w:numPr>
          <w:ilvl w:val="0"/>
          <w:numId w:val="56"/>
        </w:numPr>
        <w:spacing w:after="0" w:line="240" w:lineRule="auto"/>
        <w:ind w:left="1134" w:hanging="425"/>
        <w:jc w:val="both"/>
        <w:rPr>
          <w:rFonts w:ascii="Times New Roman" w:hAnsi="Times New Roman" w:cs="Times New Roman"/>
        </w:rPr>
      </w:pPr>
      <w:r>
        <w:rPr>
          <w:rFonts w:ascii="Times New Roman" w:hAnsi="Times New Roman" w:cs="Times New Roman"/>
        </w:rPr>
        <w:t>Képes pontos és precíz logisztikai, illetve gazdálkodási számvetéseket készíteni.</w:t>
      </w:r>
    </w:p>
    <w:p w:rsidR="00F12E81" w:rsidRDefault="00F12E81" w:rsidP="00F12E81">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Attitűdje:</w:t>
      </w:r>
      <w:r>
        <w:rPr>
          <w:rFonts w:ascii="Times New Roman" w:eastAsia="Times New Roman" w:hAnsi="Times New Roman" w:cs="Times New Roman"/>
          <w:bCs/>
        </w:rPr>
        <w:t xml:space="preserve"> </w:t>
      </w:r>
    </w:p>
    <w:p w:rsidR="00F12E81" w:rsidRDefault="00F12E81" w:rsidP="00C2057B">
      <w:pPr>
        <w:pStyle w:val="Listaszerbekezds"/>
        <w:numPr>
          <w:ilvl w:val="0"/>
          <w:numId w:val="57"/>
        </w:num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A minőségi szakmai munkavégzés iránt elkötelezett, azt a pontosságra való törekvés jellemzi.</w:t>
      </w:r>
    </w:p>
    <w:p w:rsidR="00F12E81" w:rsidRDefault="00F12E81" w:rsidP="00C2057B">
      <w:pPr>
        <w:pStyle w:val="Listaszerbekezds"/>
        <w:numPr>
          <w:ilvl w:val="0"/>
          <w:numId w:val="57"/>
        </w:num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Felismeri a rendszerszintű tevékenységben rejlő értékeket, törekszik a logisztikai tevékenységek közötti kapcsolatok értelmezésére.</w:t>
      </w:r>
    </w:p>
    <w:p w:rsidR="00F12E81" w:rsidRDefault="00F12E81" w:rsidP="00C2057B">
      <w:pPr>
        <w:pStyle w:val="Listaszerbekezds"/>
        <w:numPr>
          <w:ilvl w:val="0"/>
          <w:numId w:val="57"/>
        </w:num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Tevékenységét a hatékonyság központú szemlélet jellemzi.</w:t>
      </w:r>
    </w:p>
    <w:p w:rsidR="00F12E81" w:rsidRDefault="00F12E81" w:rsidP="00F12E81">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Autonómiája és felelőssége:</w:t>
      </w:r>
    </w:p>
    <w:p w:rsidR="00F12E81" w:rsidRDefault="00F12E81" w:rsidP="00C2057B">
      <w:pPr>
        <w:pStyle w:val="Listaszerbekezds"/>
        <w:widowControl w:val="0"/>
        <w:numPr>
          <w:ilvl w:val="0"/>
          <w:numId w:val="58"/>
        </w:numPr>
        <w:spacing w:after="0" w:line="240" w:lineRule="auto"/>
        <w:jc w:val="both"/>
        <w:rPr>
          <w:rFonts w:ascii="Times New Roman" w:hAnsi="Times New Roman" w:cs="Times New Roman"/>
        </w:rPr>
      </w:pPr>
      <w:r>
        <w:rPr>
          <w:rFonts w:ascii="Times New Roman" w:hAnsi="Times New Roman" w:cs="Times New Roman"/>
        </w:rPr>
        <w:t>Felelősséget vállal számvetéseinek pontosságáért.</w:t>
      </w:r>
    </w:p>
    <w:p w:rsidR="00F12E81" w:rsidRDefault="00F12E81" w:rsidP="00F12E81">
      <w:pPr>
        <w:widowControl w:val="0"/>
        <w:spacing w:before="120" w:after="0" w:line="240" w:lineRule="auto"/>
        <w:ind w:left="425"/>
        <w:jc w:val="both"/>
        <w:rPr>
          <w:rFonts w:ascii="Times New Roman" w:eastAsia="Times New Roman" w:hAnsi="Times New Roman" w:cs="Times New Roman"/>
          <w:b/>
          <w:bCs/>
          <w:lang w:val="en-US"/>
        </w:rPr>
      </w:pPr>
      <w:r>
        <w:rPr>
          <w:rFonts w:ascii="Times New Roman" w:eastAsia="Times New Roman" w:hAnsi="Times New Roman" w:cs="Times New Roman"/>
          <w:b/>
          <w:bCs/>
        </w:rPr>
        <w:lastRenderedPageBreak/>
        <w:t>Elérendő kompetenciák (angolul) (</w:t>
      </w:r>
      <w:r>
        <w:rPr>
          <w:rFonts w:ascii="Times New Roman" w:eastAsia="Times New Roman" w:hAnsi="Times New Roman" w:cs="Times New Roman"/>
          <w:b/>
          <w:bCs/>
          <w:lang w:val="en-US"/>
        </w:rPr>
        <w:t xml:space="preserve">Competences – English): </w:t>
      </w:r>
    </w:p>
    <w:p w:rsidR="00F12E81" w:rsidRDefault="00F12E81" w:rsidP="00F12E81">
      <w:pPr>
        <w:widowControl w:val="0"/>
        <w:spacing w:before="120" w:after="0" w:line="240" w:lineRule="auto"/>
        <w:ind w:left="425"/>
        <w:jc w:val="both"/>
        <w:rPr>
          <w:rFonts w:ascii="Times New Roman" w:eastAsia="Times New Roman" w:hAnsi="Times New Roman" w:cs="Times New Roman"/>
          <w:lang w:val="en-GB"/>
        </w:rPr>
      </w:pPr>
      <w:r>
        <w:rPr>
          <w:rFonts w:ascii="Times New Roman" w:eastAsia="Times New Roman" w:hAnsi="Times New Roman" w:cs="Times New Roman"/>
          <w:b/>
          <w:lang w:val="en-GB"/>
        </w:rPr>
        <w:t>Knowledge</w:t>
      </w:r>
      <w:r>
        <w:rPr>
          <w:rFonts w:ascii="Times New Roman" w:eastAsia="Times New Roman" w:hAnsi="Times New Roman" w:cs="Times New Roman"/>
          <w:lang w:val="en-GB"/>
        </w:rPr>
        <w:t xml:space="preserve">: </w:t>
      </w:r>
    </w:p>
    <w:p w:rsidR="00F12E81" w:rsidRDefault="00F12E81" w:rsidP="00C2057B">
      <w:pPr>
        <w:pStyle w:val="Listaszerbekezds"/>
        <w:widowControl w:val="0"/>
        <w:numPr>
          <w:ilvl w:val="0"/>
          <w:numId w:val="59"/>
        </w:numPr>
        <w:spacing w:after="0" w:line="24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To be familiar with market mechanisms, the principles of economics and the relation between national economy and defense.</w:t>
      </w:r>
    </w:p>
    <w:p w:rsidR="00F12E81" w:rsidRDefault="00F12E81" w:rsidP="00F12E81">
      <w:pPr>
        <w:widowControl w:val="0"/>
        <w:spacing w:before="120" w:after="0" w:line="240" w:lineRule="auto"/>
        <w:ind w:left="425"/>
        <w:jc w:val="both"/>
        <w:rPr>
          <w:rFonts w:ascii="Times New Roman" w:eastAsia="Times New Roman" w:hAnsi="Times New Roman" w:cs="Times New Roman"/>
          <w:lang w:val="en-GB"/>
        </w:rPr>
      </w:pPr>
      <w:r>
        <w:rPr>
          <w:rFonts w:ascii="Times New Roman" w:eastAsia="Times New Roman" w:hAnsi="Times New Roman" w:cs="Times New Roman"/>
          <w:b/>
          <w:lang w:val="en-GB"/>
        </w:rPr>
        <w:t>Capabilities</w:t>
      </w:r>
      <w:r>
        <w:rPr>
          <w:rFonts w:ascii="Times New Roman" w:eastAsia="Times New Roman" w:hAnsi="Times New Roman" w:cs="Times New Roman"/>
          <w:lang w:val="en-GB"/>
        </w:rPr>
        <w:t xml:space="preserve">: </w:t>
      </w:r>
    </w:p>
    <w:p w:rsidR="00F12E81" w:rsidRDefault="00F12E81" w:rsidP="00C2057B">
      <w:pPr>
        <w:pStyle w:val="Listaszerbekezds"/>
        <w:widowControl w:val="0"/>
        <w:numPr>
          <w:ilvl w:val="0"/>
          <w:numId w:val="60"/>
        </w:numPr>
        <w:spacing w:after="0" w:line="24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 xml:space="preserve">To be able to create a complete and reliable picture of the financial situation of government and non-government entities. </w:t>
      </w:r>
    </w:p>
    <w:p w:rsidR="00F12E81" w:rsidRDefault="00F12E81" w:rsidP="00C2057B">
      <w:pPr>
        <w:pStyle w:val="Listaszerbekezds"/>
        <w:widowControl w:val="0"/>
        <w:numPr>
          <w:ilvl w:val="0"/>
          <w:numId w:val="60"/>
        </w:numPr>
        <w:spacing w:after="0" w:line="24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To have ability to make accurate logistical and economic calculations.</w:t>
      </w:r>
    </w:p>
    <w:p w:rsidR="00F12E81" w:rsidRDefault="00F12E81" w:rsidP="00F12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425"/>
        <w:jc w:val="both"/>
        <w:rPr>
          <w:rFonts w:ascii="Times New Roman" w:eastAsia="Times New Roman" w:hAnsi="Times New Roman" w:cs="Times New Roman"/>
          <w:lang w:val="en-GB"/>
        </w:rPr>
      </w:pPr>
      <w:r>
        <w:rPr>
          <w:rFonts w:ascii="Times New Roman" w:eastAsia="Times New Roman" w:hAnsi="Times New Roman" w:cs="Times New Roman"/>
          <w:b/>
          <w:lang w:val="en-GB"/>
        </w:rPr>
        <w:t>Attitude:</w:t>
      </w:r>
      <w:r>
        <w:rPr>
          <w:rFonts w:ascii="Times New Roman" w:eastAsia="Times New Roman" w:hAnsi="Times New Roman" w:cs="Times New Roman"/>
          <w:lang w:val="en-GB"/>
        </w:rPr>
        <w:t xml:space="preserve"> </w:t>
      </w:r>
    </w:p>
    <w:p w:rsidR="00F12E81" w:rsidRDefault="00F12E81" w:rsidP="00C2057B">
      <w:pPr>
        <w:pStyle w:val="Listaszerbekezds"/>
        <w:numPr>
          <w:ilvl w:val="0"/>
          <w:numId w:val="61"/>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To be committed to high standard work and accuracy.</w:t>
      </w:r>
    </w:p>
    <w:p w:rsidR="00F12E81" w:rsidRDefault="00F12E81" w:rsidP="00C2057B">
      <w:pPr>
        <w:pStyle w:val="Listaszerbekezds"/>
        <w:numPr>
          <w:ilvl w:val="0"/>
          <w:numId w:val="61"/>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To be able to recognize the advantages and opportunities offered by well-structured activities and to be seeking to understand the logical connections among logistic activities.</w:t>
      </w:r>
    </w:p>
    <w:p w:rsidR="00F12E81" w:rsidRDefault="00F12E81" w:rsidP="00C2057B">
      <w:pPr>
        <w:pStyle w:val="Listaszerbekezds"/>
        <w:numPr>
          <w:ilvl w:val="0"/>
          <w:numId w:val="61"/>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 xml:space="preserve">To be characterized by efficiency-based attitude.    </w:t>
      </w:r>
    </w:p>
    <w:p w:rsidR="00F12E81" w:rsidRDefault="00F12E81" w:rsidP="00F12E81">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lang w:val="en-GB"/>
        </w:rPr>
        <w:t xml:space="preserve">Autonomy and responsibility: </w:t>
      </w:r>
    </w:p>
    <w:p w:rsidR="00F12E81" w:rsidRDefault="00F12E81" w:rsidP="00C2057B">
      <w:pPr>
        <w:pStyle w:val="Listaszerbekezds"/>
        <w:widowControl w:val="0"/>
        <w:numPr>
          <w:ilvl w:val="0"/>
          <w:numId w:val="62"/>
        </w:numPr>
        <w:spacing w:after="0" w:line="240" w:lineRule="auto"/>
        <w:jc w:val="both"/>
        <w:rPr>
          <w:rFonts w:ascii="Times New Roman" w:eastAsia="Times New Roman" w:hAnsi="Times New Roman" w:cs="Times New Roman"/>
          <w:bCs/>
          <w:lang w:val="en-US"/>
        </w:rPr>
      </w:pPr>
      <w:r>
        <w:rPr>
          <w:rFonts w:ascii="Times New Roman" w:eastAsia="Times New Roman" w:hAnsi="Times New Roman" w:cs="Times New Roman"/>
          <w:bCs/>
          <w:lang w:val="en-US"/>
        </w:rPr>
        <w:t xml:space="preserve">Take responsibility for the accuracy of the calculations.  </w:t>
      </w:r>
    </w:p>
    <w:p w:rsidR="00F12E81" w:rsidRDefault="00F12E81" w:rsidP="00C2057B">
      <w:pPr>
        <w:widowControl w:val="0"/>
        <w:numPr>
          <w:ilvl w:val="0"/>
          <w:numId w:val="63"/>
        </w:numPr>
        <w:tabs>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Előtanulmányi követelmények: </w:t>
      </w:r>
      <w:r>
        <w:rPr>
          <w:rFonts w:ascii="Times New Roman" w:hAnsi="Times New Roman" w:cs="Times New Roman"/>
          <w:bCs/>
        </w:rPr>
        <w:t xml:space="preserve">HKHPKA100 </w:t>
      </w:r>
      <w:r>
        <w:rPr>
          <w:rFonts w:ascii="Times New Roman" w:eastAsia="Times New Roman" w:hAnsi="Times New Roman" w:cs="Times New Roman"/>
          <w:bCs/>
        </w:rPr>
        <w:t>Közgazdaságtan I.</w:t>
      </w:r>
    </w:p>
    <w:p w:rsidR="00F12E81" w:rsidRDefault="00F12E81" w:rsidP="00C2057B">
      <w:pPr>
        <w:widowControl w:val="0"/>
        <w:numPr>
          <w:ilvl w:val="0"/>
          <w:numId w:val="63"/>
        </w:numPr>
        <w:spacing w:before="120" w:after="120" w:line="240" w:lineRule="auto"/>
        <w:ind w:left="426" w:hanging="142"/>
        <w:jc w:val="both"/>
        <w:rPr>
          <w:rFonts w:ascii="Times New Roman" w:eastAsia="Times New Roman" w:hAnsi="Times New Roman" w:cs="Times New Roman"/>
          <w:b/>
          <w:bCs/>
          <w:lang w:val="en-US"/>
        </w:rPr>
      </w:pPr>
      <w:r>
        <w:rPr>
          <w:rFonts w:ascii="Times New Roman" w:eastAsia="Times New Roman" w:hAnsi="Times New Roman" w:cs="Times New Roman"/>
          <w:b/>
          <w:bCs/>
          <w:lang w:val="en-US"/>
        </w:rPr>
        <w:t>A tantárgy tananyagának leírása, tematika. Description of the subject, curriculum (magyarul, angolul - English):</w:t>
      </w:r>
    </w:p>
    <w:p w:rsidR="00F12E81" w:rsidRDefault="00F12E81" w:rsidP="00C2057B">
      <w:pPr>
        <w:widowControl w:val="0"/>
        <w:numPr>
          <w:ilvl w:val="1"/>
          <w:numId w:val="63"/>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i/>
          <w:lang w:val="en-US"/>
        </w:rPr>
      </w:pPr>
      <w:r>
        <w:rPr>
          <w:rFonts w:ascii="Times New Roman" w:hAnsi="Times New Roman"/>
          <w:bCs/>
          <w:lang w:val="en-US"/>
        </w:rPr>
        <w:t>Makroökonómiai szektorok és piacok kapcsolatai</w:t>
      </w:r>
      <w:r>
        <w:rPr>
          <w:rFonts w:ascii="Times New Roman" w:hAnsi="Times New Roman"/>
          <w:lang w:val="en-US"/>
        </w:rPr>
        <w:t>.</w:t>
      </w:r>
      <w:r>
        <w:rPr>
          <w:rFonts w:ascii="Times New Roman" w:eastAsia="Times New Roman" w:hAnsi="Times New Roman" w:cs="Times New Roman"/>
          <w:lang w:val="en-US"/>
        </w:rPr>
        <w:t xml:space="preserve"> </w:t>
      </w:r>
      <w:r>
        <w:rPr>
          <w:rFonts w:ascii="Times New Roman" w:eastAsia="Times New Roman" w:hAnsi="Times New Roman" w:cs="Times New Roman"/>
          <w:i/>
          <w:lang w:val="en-US"/>
        </w:rPr>
        <w:t>(Sectors and markets of the national economy.)</w:t>
      </w:r>
    </w:p>
    <w:p w:rsidR="00F12E81" w:rsidRDefault="00F12E81" w:rsidP="00C2057B">
      <w:pPr>
        <w:widowControl w:val="0"/>
        <w:numPr>
          <w:ilvl w:val="1"/>
          <w:numId w:val="63"/>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i/>
          <w:lang w:val="en-US"/>
        </w:rPr>
      </w:pPr>
      <w:r>
        <w:rPr>
          <w:rFonts w:ascii="Times New Roman" w:eastAsia="Times New Roman" w:hAnsi="Times New Roman" w:cs="Times New Roman"/>
          <w:bCs/>
          <w:lang w:val="en-US"/>
        </w:rPr>
        <w:t xml:space="preserve">Makroökonómia alapfogalmai és mutatói. </w:t>
      </w:r>
      <w:r>
        <w:rPr>
          <w:rFonts w:ascii="Times New Roman" w:eastAsia="Times New Roman" w:hAnsi="Times New Roman" w:cs="Times New Roman"/>
          <w:bCs/>
          <w:i/>
          <w:lang w:val="en-US"/>
        </w:rPr>
        <w:t>(Macroeconomic indicators)</w:t>
      </w:r>
    </w:p>
    <w:p w:rsidR="00F12E81" w:rsidRDefault="00F12E81" w:rsidP="00C2057B">
      <w:pPr>
        <w:widowControl w:val="0"/>
        <w:numPr>
          <w:ilvl w:val="1"/>
          <w:numId w:val="63"/>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lang w:val="en-US"/>
        </w:rPr>
      </w:pPr>
      <w:r>
        <w:rPr>
          <w:rFonts w:ascii="Times New Roman" w:hAnsi="Times New Roman" w:cs="Times New Roman"/>
          <w:bCs/>
          <w:lang w:val="en-US"/>
        </w:rPr>
        <w:t>Általános makrogazdasági egyensúly kérdései.</w:t>
      </w:r>
      <w:r>
        <w:rPr>
          <w:rFonts w:ascii="Times New Roman" w:hAnsi="Times New Roman" w:cs="Times New Roman"/>
          <w:lang w:val="en-US"/>
        </w:rPr>
        <w:t xml:space="preserve"> </w:t>
      </w:r>
      <w:r>
        <w:rPr>
          <w:rFonts w:ascii="Times New Roman" w:eastAsia="Times New Roman" w:hAnsi="Times New Roman" w:cs="Times New Roman"/>
          <w:i/>
          <w:lang w:val="en-US"/>
        </w:rPr>
        <w:t>(</w:t>
      </w:r>
      <w:r>
        <w:rPr>
          <w:rFonts w:ascii="Times New Roman" w:eastAsia="Times New Roman" w:hAnsi="Times New Roman" w:cs="Times New Roman"/>
          <w:bCs/>
          <w:i/>
          <w:lang w:val="en-US"/>
        </w:rPr>
        <w:t>Balance of the macro level markets.</w:t>
      </w:r>
      <w:r>
        <w:rPr>
          <w:rFonts w:ascii="Times New Roman" w:eastAsia="Times New Roman" w:hAnsi="Times New Roman" w:cs="Times New Roman"/>
          <w:i/>
          <w:lang w:val="en-US"/>
        </w:rPr>
        <w:t>)</w:t>
      </w:r>
    </w:p>
    <w:p w:rsidR="00F12E81" w:rsidRDefault="00F12E81" w:rsidP="00C2057B">
      <w:pPr>
        <w:widowControl w:val="0"/>
        <w:numPr>
          <w:ilvl w:val="1"/>
          <w:numId w:val="63"/>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i/>
          <w:lang w:val="en-US"/>
        </w:rPr>
      </w:pPr>
      <w:r>
        <w:rPr>
          <w:rFonts w:ascii="Times New Roman" w:hAnsi="Times New Roman" w:cs="Times New Roman"/>
          <w:bCs/>
          <w:lang w:val="en-US"/>
        </w:rPr>
        <w:t>Nemzetgazdaság működésének törvényszerűségei hosszú távon. Hosszú távú gazdasági növekedés tényezői</w:t>
      </w:r>
      <w:r>
        <w:rPr>
          <w:rFonts w:ascii="Times New Roman" w:hAnsi="Times New Roman" w:cs="Times New Roman"/>
          <w:lang w:val="en-US"/>
        </w:rPr>
        <w:t xml:space="preserve">. </w:t>
      </w:r>
      <w:r>
        <w:rPr>
          <w:rFonts w:ascii="Times New Roman" w:eastAsia="Times New Roman" w:hAnsi="Times New Roman" w:cs="Times New Roman"/>
          <w:lang w:val="en-US"/>
        </w:rPr>
        <w:t xml:space="preserve"> </w:t>
      </w:r>
      <w:r>
        <w:rPr>
          <w:rFonts w:ascii="Times New Roman" w:eastAsia="Times New Roman" w:hAnsi="Times New Roman" w:cs="Times New Roman"/>
          <w:i/>
          <w:lang w:val="en-US"/>
        </w:rPr>
        <w:t>(Economic growth models</w:t>
      </w:r>
      <w:r>
        <w:rPr>
          <w:rFonts w:ascii="Times New Roman" w:eastAsia="Times New Roman" w:hAnsi="Times New Roman" w:cs="Times New Roman"/>
          <w:bCs/>
          <w:i/>
          <w:lang w:val="en-US"/>
        </w:rPr>
        <w:t>. Main factors of long term economic development.</w:t>
      </w:r>
      <w:r>
        <w:rPr>
          <w:rFonts w:ascii="Times New Roman" w:eastAsia="Times New Roman" w:hAnsi="Times New Roman" w:cs="Times New Roman"/>
          <w:i/>
          <w:lang w:val="en-US"/>
        </w:rPr>
        <w:t>)</w:t>
      </w:r>
    </w:p>
    <w:p w:rsidR="00F12E81" w:rsidRDefault="00F12E81" w:rsidP="00C2057B">
      <w:pPr>
        <w:widowControl w:val="0"/>
        <w:numPr>
          <w:ilvl w:val="1"/>
          <w:numId w:val="63"/>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lang w:val="en-US"/>
        </w:rPr>
      </w:pPr>
      <w:r>
        <w:rPr>
          <w:rFonts w:ascii="Times New Roman" w:eastAsia="Times New Roman" w:hAnsi="Times New Roman" w:cs="Times New Roman"/>
          <w:lang w:val="en-US"/>
        </w:rPr>
        <w:t xml:space="preserve">Versenyképesség. </w:t>
      </w:r>
      <w:r>
        <w:rPr>
          <w:rFonts w:ascii="Times New Roman" w:eastAsia="Times New Roman" w:hAnsi="Times New Roman" w:cs="Times New Roman"/>
          <w:i/>
          <w:lang w:val="en-US"/>
        </w:rPr>
        <w:t>(Competitiveness.)</w:t>
      </w:r>
    </w:p>
    <w:p w:rsidR="00F12E81" w:rsidRDefault="00F12E81" w:rsidP="00C2057B">
      <w:pPr>
        <w:widowControl w:val="0"/>
        <w:numPr>
          <w:ilvl w:val="1"/>
          <w:numId w:val="63"/>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lang w:val="en-US"/>
        </w:rPr>
      </w:pPr>
      <w:r>
        <w:rPr>
          <w:rFonts w:ascii="Times New Roman" w:eastAsia="Times New Roman" w:hAnsi="Times New Roman" w:cs="Times New Roman"/>
          <w:lang w:val="en-US"/>
        </w:rPr>
        <w:t xml:space="preserve">Munkaerőpiac és munkanélküliség. </w:t>
      </w:r>
      <w:r>
        <w:rPr>
          <w:rFonts w:ascii="Times New Roman" w:eastAsia="Times New Roman" w:hAnsi="Times New Roman" w:cs="Times New Roman"/>
          <w:i/>
          <w:lang w:val="en-US"/>
        </w:rPr>
        <w:t>(Labor market and unemployment.)</w:t>
      </w:r>
    </w:p>
    <w:p w:rsidR="00F12E81" w:rsidRDefault="00F12E81" w:rsidP="00C2057B">
      <w:pPr>
        <w:widowControl w:val="0"/>
        <w:numPr>
          <w:ilvl w:val="1"/>
          <w:numId w:val="63"/>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lang w:val="en-US"/>
        </w:rPr>
      </w:pPr>
      <w:r>
        <w:rPr>
          <w:rFonts w:ascii="Times New Roman" w:eastAsia="Times New Roman" w:hAnsi="Times New Roman" w:cs="Times New Roman"/>
          <w:lang w:val="en-US"/>
        </w:rPr>
        <w:t xml:space="preserve">Pénzpiac és infláció. </w:t>
      </w:r>
      <w:r>
        <w:rPr>
          <w:rFonts w:ascii="Times New Roman" w:eastAsia="Times New Roman" w:hAnsi="Times New Roman" w:cs="Times New Roman"/>
          <w:i/>
          <w:lang w:val="en-US"/>
        </w:rPr>
        <w:t>(Money market and inflation.)</w:t>
      </w:r>
    </w:p>
    <w:p w:rsidR="00F12E81" w:rsidRDefault="00F12E81" w:rsidP="00C2057B">
      <w:pPr>
        <w:widowControl w:val="0"/>
        <w:numPr>
          <w:ilvl w:val="1"/>
          <w:numId w:val="63"/>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lang w:val="en-US"/>
        </w:rPr>
      </w:pPr>
      <w:r>
        <w:rPr>
          <w:rFonts w:ascii="Times New Roman" w:eastAsia="Times New Roman" w:hAnsi="Times New Roman" w:cs="Times New Roman"/>
          <w:lang w:val="en-US"/>
        </w:rPr>
        <w:t xml:space="preserve">Gazdasági ciklusok. </w:t>
      </w:r>
      <w:r>
        <w:rPr>
          <w:rFonts w:ascii="Times New Roman" w:eastAsia="Times New Roman" w:hAnsi="Times New Roman" w:cs="Times New Roman"/>
          <w:i/>
          <w:lang w:val="en-US"/>
        </w:rPr>
        <w:t>(Economic cycles.)</w:t>
      </w:r>
    </w:p>
    <w:p w:rsidR="00F12E81" w:rsidRDefault="00F12E81" w:rsidP="00C2057B">
      <w:pPr>
        <w:widowControl w:val="0"/>
        <w:numPr>
          <w:ilvl w:val="1"/>
          <w:numId w:val="63"/>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lang w:val="en-US"/>
        </w:rPr>
      </w:pPr>
      <w:r>
        <w:rPr>
          <w:rFonts w:ascii="Times New Roman" w:eastAsia="Times New Roman" w:hAnsi="Times New Roman" w:cs="Times New Roman"/>
          <w:lang w:val="en-US"/>
        </w:rPr>
        <w:t xml:space="preserve">A gazdaság rövid távú ingadozásainak vizsgálata. Keresleti és kínálati sokkhatások.  </w:t>
      </w:r>
      <w:r>
        <w:rPr>
          <w:rFonts w:ascii="Times New Roman" w:eastAsia="Times New Roman" w:hAnsi="Times New Roman" w:cs="Times New Roman"/>
          <w:i/>
          <w:lang w:val="en-US"/>
        </w:rPr>
        <w:t>(Short-term economic</w:t>
      </w:r>
      <w:r>
        <w:rPr>
          <w:i/>
          <w:lang w:val="en-US"/>
        </w:rPr>
        <w:t xml:space="preserve"> </w:t>
      </w:r>
      <w:r>
        <w:rPr>
          <w:rFonts w:ascii="Times New Roman" w:eastAsia="Times New Roman" w:hAnsi="Times New Roman" w:cs="Times New Roman"/>
          <w:i/>
          <w:lang w:val="en-US"/>
        </w:rPr>
        <w:t>fluctuations.)</w:t>
      </w:r>
    </w:p>
    <w:p w:rsidR="00F12E81" w:rsidRDefault="00F12E81" w:rsidP="00C2057B">
      <w:pPr>
        <w:widowControl w:val="0"/>
        <w:numPr>
          <w:ilvl w:val="1"/>
          <w:numId w:val="63"/>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i/>
          <w:lang w:val="en-US"/>
        </w:rPr>
      </w:pPr>
      <w:r>
        <w:rPr>
          <w:rFonts w:ascii="Times New Roman" w:eastAsia="Times New Roman" w:hAnsi="Times New Roman" w:cs="Times New Roman"/>
          <w:lang w:val="en-US"/>
        </w:rPr>
        <w:t xml:space="preserve"> Munkanélküliség és infláció kapcsolata rövidtávon. </w:t>
      </w:r>
      <w:r>
        <w:rPr>
          <w:rFonts w:ascii="Times New Roman" w:eastAsia="Times New Roman" w:hAnsi="Times New Roman" w:cs="Times New Roman"/>
          <w:i/>
          <w:lang w:val="en-US"/>
        </w:rPr>
        <w:t>(Relation between unemployment and inflation in short term.)</w:t>
      </w:r>
    </w:p>
    <w:p w:rsidR="00F12E81" w:rsidRDefault="00F12E81" w:rsidP="00C2057B">
      <w:pPr>
        <w:widowControl w:val="0"/>
        <w:numPr>
          <w:ilvl w:val="1"/>
          <w:numId w:val="63"/>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lang w:val="en-US"/>
        </w:rPr>
      </w:pPr>
      <w:r>
        <w:rPr>
          <w:rFonts w:ascii="Times New Roman" w:eastAsia="Times New Roman" w:hAnsi="Times New Roman" w:cs="Times New Roman"/>
          <w:bCs/>
        </w:rPr>
        <w:t>Gazdaságpolitikai alapok. Adótípusok, jövedelem-újraelosztási csatornák</w:t>
      </w:r>
      <w:r>
        <w:rPr>
          <w:rFonts w:ascii="Times New Roman" w:eastAsia="Times New Roman" w:hAnsi="Times New Roman" w:cs="Times New Roman"/>
          <w:bCs/>
          <w:lang w:val="en-US"/>
        </w:rPr>
        <w:t xml:space="preserve">. </w:t>
      </w:r>
      <w:r>
        <w:rPr>
          <w:rFonts w:ascii="Times New Roman" w:eastAsia="Times New Roman" w:hAnsi="Times New Roman" w:cs="Times New Roman"/>
          <w:bCs/>
          <w:i/>
          <w:lang w:val="en-US"/>
        </w:rPr>
        <w:t>(Basics of the economic policy. Tax types and income redistribution channels.)</w:t>
      </w:r>
    </w:p>
    <w:p w:rsidR="00F12E81" w:rsidRDefault="00F12E81" w:rsidP="00C2057B">
      <w:pPr>
        <w:widowControl w:val="0"/>
        <w:numPr>
          <w:ilvl w:val="0"/>
          <w:numId w:val="63"/>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 tantárgy meghirdetésének gyakorisága/a tantervben történő félévi elhelyezkedése: </w:t>
      </w:r>
      <w:r>
        <w:rPr>
          <w:rFonts w:ascii="Times New Roman" w:eastAsia="Times New Roman" w:hAnsi="Times New Roman" w:cs="Times New Roman"/>
          <w:bCs/>
        </w:rPr>
        <w:t>Minden tavaszi szemeszterben / 2. félév</w:t>
      </w:r>
    </w:p>
    <w:p w:rsidR="00F12E81" w:rsidRDefault="00F12E81" w:rsidP="00C2057B">
      <w:pPr>
        <w:widowControl w:val="0"/>
        <w:numPr>
          <w:ilvl w:val="0"/>
          <w:numId w:val="63"/>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tanórákon való részvétel követelményei, az elfogadható hiányzások mértéke, a távolmaradás pótlásának lehetősége:</w:t>
      </w:r>
      <w:r>
        <w:rPr>
          <w:rFonts w:ascii="Times New Roman" w:eastAsia="Times New Roman" w:hAnsi="Times New Roman" w:cs="Times New Roman"/>
          <w:bCs/>
        </w:rPr>
        <w:t xml:space="preserve"> A tanórákon való részvétel kötelező.</w:t>
      </w:r>
      <w:r>
        <w:rPr>
          <w:rFonts w:ascii="Times New Roman" w:eastAsia="Times New Roman" w:hAnsi="Times New Roman" w:cs="Times New Roman"/>
          <w:b/>
          <w:bCs/>
        </w:rPr>
        <w:t xml:space="preserve"> </w:t>
      </w:r>
      <w:r>
        <w:rPr>
          <w:rFonts w:ascii="Times New Roman" w:eastAsia="Times New Roman" w:hAnsi="Times New Roman" w:cs="Times New Roman"/>
          <w:bCs/>
        </w:rPr>
        <w:t>A félév elfogadásának feltétele a tanórák minimum 70%-án való részvétel. Ennél magasabb mértékű távolmaradás pótlása az oktató engedélyével történhet, egyéni feladat kidolgozásával.</w:t>
      </w:r>
    </w:p>
    <w:p w:rsidR="00F12E81" w:rsidRDefault="00F12E81" w:rsidP="00C2057B">
      <w:pPr>
        <w:widowControl w:val="0"/>
        <w:numPr>
          <w:ilvl w:val="0"/>
          <w:numId w:val="63"/>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rPr>
        <w:t xml:space="preserve">Félévközi feladatok, ismeretek ellenőrzésének rendje: </w:t>
      </w:r>
      <w:r w:rsidRPr="00F12E81">
        <w:rPr>
          <w:rFonts w:ascii="Times New Roman" w:eastAsia="Times New Roman" w:hAnsi="Times New Roman" w:cs="Times New Roman"/>
          <w:bCs/>
        </w:rPr>
        <w:t>A honvéd tisztjelöltek a tanórákon egyéni vagy csoportos házi feladatot kapnak, melynek ellenőrzése a következő tanóra előtt megtörténik. A házi feladatok megoldása befolyásolja a zárthelyi dolgozat eredményét.</w:t>
      </w:r>
      <w:r>
        <w:rPr>
          <w:rFonts w:ascii="Times New Roman" w:eastAsia="Times New Roman" w:hAnsi="Times New Roman" w:cs="Times New Roman"/>
          <w:bCs/>
        </w:rPr>
        <w:t xml:space="preserve"> </w:t>
      </w:r>
    </w:p>
    <w:p w:rsidR="00F12E81" w:rsidRDefault="00F12E81" w:rsidP="00C2057B">
      <w:pPr>
        <w:widowControl w:val="0"/>
        <w:numPr>
          <w:ilvl w:val="0"/>
          <w:numId w:val="63"/>
        </w:numPr>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lastRenderedPageBreak/>
        <w:t xml:space="preserve">Az értékelés, az aláírás és a kreditek megszerzésének pontos feltételei: </w:t>
      </w:r>
    </w:p>
    <w:p w:rsidR="00F12E81" w:rsidRPr="00F12E81" w:rsidRDefault="00F12E81" w:rsidP="00C2057B">
      <w:pPr>
        <w:widowControl w:val="0"/>
        <w:numPr>
          <w:ilvl w:val="1"/>
          <w:numId w:val="63"/>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F12E81">
        <w:rPr>
          <w:rFonts w:ascii="Times New Roman" w:eastAsia="Times New Roman" w:hAnsi="Times New Roman" w:cs="Times New Roman"/>
          <w:b/>
        </w:rPr>
        <w:t xml:space="preserve">Az aláírás megszerzésének feltételei: </w:t>
      </w:r>
      <w:r w:rsidRPr="00F12E81">
        <w:rPr>
          <w:rFonts w:ascii="Times New Roman" w:eastAsia="Times New Roman" w:hAnsi="Times New Roman" w:cs="Times New Roman"/>
        </w:rPr>
        <w:t>Az aláírás feltétele a tanórákon történő – 14. pontban meghatározott – részvétel, valamint a zárthelyi dolgozat megfelelő megírása.</w:t>
      </w:r>
    </w:p>
    <w:p w:rsidR="00F12E81" w:rsidRPr="00F12E81" w:rsidRDefault="00F12E81" w:rsidP="00C2057B">
      <w:pPr>
        <w:widowControl w:val="0"/>
        <w:numPr>
          <w:ilvl w:val="1"/>
          <w:numId w:val="63"/>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F12E81">
        <w:rPr>
          <w:rFonts w:ascii="Times New Roman" w:eastAsia="Times New Roman" w:hAnsi="Times New Roman" w:cs="Times New Roman"/>
          <w:b/>
        </w:rPr>
        <w:t xml:space="preserve">Az értékelés: </w:t>
      </w:r>
      <w:r w:rsidRPr="00F12E81">
        <w:rPr>
          <w:rFonts w:ascii="Times New Roman" w:eastAsia="Times New Roman" w:hAnsi="Times New Roman" w:cs="Times New Roman"/>
        </w:rPr>
        <w:t xml:space="preserve">A félév értékelése </w:t>
      </w:r>
      <w:r w:rsidRPr="00F12E81">
        <w:rPr>
          <w:rFonts w:ascii="Times New Roman" w:eastAsia="Times New Roman" w:hAnsi="Times New Roman" w:cs="Times New Roman"/>
          <w:b/>
        </w:rPr>
        <w:t>kollokvium</w:t>
      </w:r>
      <w:r w:rsidRPr="00F12E81">
        <w:rPr>
          <w:rFonts w:ascii="Times New Roman" w:eastAsia="Times New Roman" w:hAnsi="Times New Roman" w:cs="Times New Roman"/>
        </w:rPr>
        <w:t>. A Tanszék felkészülési kérdéseket ad ki. A vizsga tartalmát az előadáson elhangzottak és az alább felsorolt kötelező és ajánlott irodalmak anyagai képezik.</w:t>
      </w:r>
    </w:p>
    <w:p w:rsidR="00F12E81" w:rsidRPr="00F12E81" w:rsidRDefault="00F12E81" w:rsidP="00C2057B">
      <w:pPr>
        <w:widowControl w:val="0"/>
        <w:numPr>
          <w:ilvl w:val="1"/>
          <w:numId w:val="63"/>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F12E81">
        <w:rPr>
          <w:rFonts w:ascii="Times New Roman" w:eastAsia="Times New Roman" w:hAnsi="Times New Roman" w:cs="Times New Roman"/>
          <w:b/>
        </w:rPr>
        <w:t>A kreditek megszerzésének feltételei:</w:t>
      </w:r>
      <w:r w:rsidRPr="00F12E81">
        <w:rPr>
          <w:rFonts w:ascii="Times New Roman" w:eastAsia="Times New Roman" w:hAnsi="Times New Roman" w:cs="Times New Roman"/>
        </w:rPr>
        <w:t xml:space="preserve"> A kreditek megszerzése ötfokozatú értékeléssel záródó szóbeli vizsgán történik.</w:t>
      </w:r>
    </w:p>
    <w:p w:rsidR="00F12E81" w:rsidRDefault="00F12E81" w:rsidP="00C2057B">
      <w:pPr>
        <w:widowControl w:val="0"/>
        <w:numPr>
          <w:ilvl w:val="0"/>
          <w:numId w:val="63"/>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Irodalomjegyzék:</w:t>
      </w:r>
    </w:p>
    <w:p w:rsidR="00F12E81" w:rsidRDefault="00F12E81" w:rsidP="00C2057B">
      <w:pPr>
        <w:widowControl w:val="0"/>
        <w:numPr>
          <w:ilvl w:val="1"/>
          <w:numId w:val="63"/>
        </w:numPr>
        <w:tabs>
          <w:tab w:val="left" w:pos="567"/>
          <w:tab w:val="left" w:pos="851"/>
          <w:tab w:val="num" w:pos="2069"/>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Kötelező irodalom:</w:t>
      </w:r>
    </w:p>
    <w:p w:rsidR="00F12E81" w:rsidRDefault="00F12E81" w:rsidP="00980876">
      <w:pPr>
        <w:widowControl w:val="0"/>
        <w:numPr>
          <w:ilvl w:val="0"/>
          <w:numId w:val="770"/>
        </w:numPr>
        <w:spacing w:after="0" w:line="240" w:lineRule="auto"/>
        <w:jc w:val="both"/>
        <w:rPr>
          <w:rFonts w:ascii="Times New Roman" w:eastAsia="Times New Roman" w:hAnsi="Times New Roman" w:cs="Times New Roman"/>
        </w:rPr>
      </w:pPr>
      <w:r>
        <w:rPr>
          <w:rFonts w:ascii="Times New Roman" w:hAnsi="Times New Roman" w:cs="Times New Roman"/>
          <w:bCs/>
        </w:rPr>
        <w:t>N. Gregory Mankiw: Makroökonónia Osiris Kiadó Kft. Budapest, 2005. ISBN: 9789633898253</w:t>
      </w:r>
    </w:p>
    <w:p w:rsidR="00F12E81" w:rsidRDefault="00F12E81" w:rsidP="00980876">
      <w:pPr>
        <w:widowControl w:val="0"/>
        <w:numPr>
          <w:ilvl w:val="0"/>
          <w:numId w:val="770"/>
        </w:numPr>
        <w:spacing w:after="0" w:line="240" w:lineRule="auto"/>
        <w:jc w:val="both"/>
        <w:rPr>
          <w:rFonts w:ascii="Times New Roman" w:eastAsia="Times New Roman" w:hAnsi="Times New Roman" w:cs="Times New Roman"/>
        </w:rPr>
      </w:pPr>
      <w:r>
        <w:rPr>
          <w:rFonts w:ascii="Times New Roman" w:eastAsia="Times New Roman" w:hAnsi="Times New Roman" w:cs="Times New Roman"/>
          <w:bCs/>
        </w:rPr>
        <w:t>Paul. A. Samuelson-William D. Nordhaus: Közgazdaságtan Akadémia Kiadó Zrt. Budapest, 2009. ISBN: 9789630582995</w:t>
      </w:r>
      <w:r>
        <w:rPr>
          <w:rFonts w:ascii="Times New Roman" w:eastAsia="Times New Roman" w:hAnsi="Times New Roman" w:cs="Times New Roman"/>
        </w:rPr>
        <w:t xml:space="preserve"> </w:t>
      </w:r>
    </w:p>
    <w:p w:rsidR="00F12E81" w:rsidRDefault="00F12E81" w:rsidP="00C2057B">
      <w:pPr>
        <w:widowControl w:val="0"/>
        <w:numPr>
          <w:ilvl w:val="1"/>
          <w:numId w:val="63"/>
        </w:numPr>
        <w:tabs>
          <w:tab w:val="num" w:pos="567"/>
          <w:tab w:val="num" w:pos="2069"/>
        </w:tabs>
        <w:spacing w:before="120" w:after="120" w:line="240" w:lineRule="auto"/>
        <w:ind w:left="993" w:hanging="709"/>
        <w:jc w:val="both"/>
        <w:rPr>
          <w:rFonts w:ascii="Times New Roman" w:eastAsia="Times New Roman" w:hAnsi="Times New Roman" w:cs="Times New Roman"/>
          <w:b/>
          <w:bCs/>
        </w:rPr>
      </w:pPr>
      <w:r>
        <w:rPr>
          <w:rFonts w:ascii="Times New Roman" w:eastAsia="Times New Roman" w:hAnsi="Times New Roman" w:cs="Times New Roman"/>
          <w:b/>
          <w:bCs/>
        </w:rPr>
        <w:t>Ajánlott irodalom:</w:t>
      </w:r>
    </w:p>
    <w:p w:rsidR="00F12E81" w:rsidRDefault="00F12E81" w:rsidP="00980876">
      <w:pPr>
        <w:pStyle w:val="Listaszerbekezds"/>
        <w:widowControl w:val="0"/>
        <w:numPr>
          <w:ilvl w:val="0"/>
          <w:numId w:val="771"/>
        </w:numPr>
        <w:spacing w:after="0" w:line="240" w:lineRule="auto"/>
        <w:jc w:val="both"/>
        <w:rPr>
          <w:rFonts w:ascii="Times New Roman" w:eastAsia="Times New Roman" w:hAnsi="Times New Roman" w:cs="Times New Roman"/>
          <w:bCs/>
        </w:rPr>
      </w:pPr>
      <w:r>
        <w:rPr>
          <w:rFonts w:ascii="Times New Roman" w:hAnsi="Times New Roman" w:cs="Times New Roman"/>
          <w:bCs/>
        </w:rPr>
        <w:t>Aktuális versenyképességi jelentések (WEF, IMD, SolAbility, FEEM stb.)</w:t>
      </w:r>
    </w:p>
    <w:p w:rsidR="00F12E81" w:rsidRDefault="00F12E81" w:rsidP="00980876">
      <w:pPr>
        <w:pStyle w:val="Listaszerbekezds"/>
        <w:widowControl w:val="0"/>
        <w:numPr>
          <w:ilvl w:val="0"/>
          <w:numId w:val="771"/>
        </w:numPr>
        <w:spacing w:after="0" w:line="240" w:lineRule="auto"/>
        <w:jc w:val="both"/>
        <w:rPr>
          <w:rFonts w:ascii="Times New Roman" w:eastAsia="Times New Roman" w:hAnsi="Times New Roman" w:cs="Times New Roman"/>
          <w:bCs/>
        </w:rPr>
      </w:pPr>
      <w:r>
        <w:rPr>
          <w:rFonts w:ascii="Times New Roman" w:hAnsi="Times New Roman" w:cs="Times New Roman"/>
        </w:rPr>
        <w:t>Aktuális OECD jelentések</w:t>
      </w:r>
      <w:r>
        <w:rPr>
          <w:rFonts w:ascii="Times New Roman" w:eastAsia="Times New Roman" w:hAnsi="Times New Roman" w:cs="Times New Roman"/>
          <w:bCs/>
        </w:rPr>
        <w:t xml:space="preserve"> </w:t>
      </w:r>
    </w:p>
    <w:p w:rsidR="005B4AC4" w:rsidRDefault="005B4AC4" w:rsidP="00F12E81">
      <w:pPr>
        <w:widowControl w:val="0"/>
        <w:spacing w:before="120" w:after="120" w:line="240" w:lineRule="auto"/>
        <w:jc w:val="both"/>
        <w:rPr>
          <w:rFonts w:ascii="Times New Roman" w:eastAsia="Times New Roman" w:hAnsi="Times New Roman" w:cs="Times New Roman"/>
          <w:bCs/>
        </w:rPr>
      </w:pPr>
    </w:p>
    <w:p w:rsidR="00F12E81" w:rsidRDefault="008313D9" w:rsidP="00F12E81">
      <w:pPr>
        <w:widowControl w:val="0"/>
        <w:spacing w:before="120" w:after="120" w:line="240" w:lineRule="auto"/>
        <w:jc w:val="both"/>
        <w:rPr>
          <w:rFonts w:ascii="Times New Roman" w:eastAsia="Times New Roman" w:hAnsi="Times New Roman" w:cs="Times New Roman"/>
          <w:bCs/>
        </w:rPr>
      </w:pPr>
      <w:r>
        <w:rPr>
          <w:rFonts w:ascii="Times New Roman" w:eastAsia="Times New Roman" w:hAnsi="Times New Roman" w:cs="Times New Roman"/>
          <w:bCs/>
        </w:rPr>
        <w:t>Budapest, 2020. j</w:t>
      </w:r>
      <w:r w:rsidR="00F12E81">
        <w:rPr>
          <w:rFonts w:ascii="Times New Roman" w:eastAsia="Times New Roman" w:hAnsi="Times New Roman" w:cs="Times New Roman"/>
          <w:bCs/>
        </w:rPr>
        <w:t>anuár 22.</w:t>
      </w:r>
    </w:p>
    <w:p w:rsidR="00F12E81" w:rsidRDefault="00F12E81" w:rsidP="00F12E81">
      <w:pPr>
        <w:widowControl w:val="0"/>
        <w:spacing w:before="120" w:after="120" w:line="240" w:lineRule="auto"/>
        <w:jc w:val="both"/>
        <w:rPr>
          <w:rFonts w:ascii="Times New Roman" w:eastAsia="Times New Roman" w:hAnsi="Times New Roman" w:cs="Times New Roman"/>
          <w:bCs/>
        </w:rPr>
      </w:pPr>
    </w:p>
    <w:p w:rsidR="00F12E81" w:rsidRPr="00F12E81" w:rsidRDefault="00F12E81" w:rsidP="00F12E81">
      <w:pPr>
        <w:widowControl w:val="0"/>
        <w:spacing w:after="0" w:line="240" w:lineRule="auto"/>
        <w:jc w:val="right"/>
        <w:rPr>
          <w:rFonts w:ascii="Times New Roman" w:hAnsi="Times New Roman" w:cs="Times New Roman"/>
          <w:b/>
          <w:bCs/>
        </w:rPr>
      </w:pPr>
      <w:r w:rsidRPr="00F12E81">
        <w:rPr>
          <w:rFonts w:ascii="Times New Roman" w:hAnsi="Times New Roman" w:cs="Times New Roman"/>
          <w:b/>
          <w:bCs/>
        </w:rPr>
        <w:t>Dr. Fülöp Katalin PhD</w:t>
      </w:r>
    </w:p>
    <w:p w:rsidR="00F12E81" w:rsidRDefault="00F12E81" w:rsidP="00F12E81">
      <w:pPr>
        <w:widowControl w:val="0"/>
        <w:spacing w:after="0" w:line="240" w:lineRule="auto"/>
        <w:jc w:val="center"/>
        <w:rPr>
          <w:rFonts w:ascii="Times New Roman" w:eastAsia="Times New Roman" w:hAnsi="Times New Roman" w:cs="Times New Roman"/>
          <w:bCs/>
        </w:rPr>
      </w:pPr>
      <w:r>
        <w:rPr>
          <w:rFonts w:ascii="Times New Roman" w:hAnsi="Times New Roman" w:cs="Times New Roman"/>
          <w:bCs/>
        </w:rPr>
        <w:t xml:space="preserve">                                                                                                                             egyetemi docens</w:t>
      </w:r>
    </w:p>
    <w:p w:rsidR="00F12E81" w:rsidRDefault="00F12E81" w:rsidP="00F12E81">
      <w:pPr>
        <w:rPr>
          <w:rFonts w:ascii="Times New Roman" w:hAnsi="Times New Roman" w:cs="Times New Roman"/>
        </w:rPr>
      </w:pPr>
    </w:p>
    <w:p w:rsidR="00423888" w:rsidRDefault="00423888">
      <w:pPr>
        <w:spacing w:after="200" w:line="276" w:lineRule="auto"/>
        <w:rPr>
          <w:rFonts w:ascii="Times New Roman" w:hAnsi="Times New Roman" w:cs="Times New Roman"/>
          <w:sz w:val="24"/>
        </w:rPr>
      </w:pPr>
    </w:p>
    <w:p w:rsidR="00F80CE7" w:rsidRDefault="00F80CE7">
      <w:pPr>
        <w:spacing w:after="200" w:line="276" w:lineRule="auto"/>
        <w:rPr>
          <w:rFonts w:ascii="Times New Roman" w:hAnsi="Times New Roman" w:cs="Times New Roman"/>
          <w:sz w:val="24"/>
        </w:rPr>
      </w:pPr>
      <w:r>
        <w:rPr>
          <w:rFonts w:ascii="Times New Roman" w:hAnsi="Times New Roman" w:cs="Times New Roman"/>
          <w:sz w:val="24"/>
        </w:rPr>
        <w:br w:type="page"/>
      </w:r>
    </w:p>
    <w:tbl>
      <w:tblPr>
        <w:tblW w:w="9072" w:type="dxa"/>
        <w:tblInd w:w="113" w:type="dxa"/>
        <w:tblLook w:val="01E0" w:firstRow="1" w:lastRow="1" w:firstColumn="1" w:lastColumn="1" w:noHBand="0" w:noVBand="0"/>
      </w:tblPr>
      <w:tblGrid>
        <w:gridCol w:w="4855"/>
        <w:gridCol w:w="1620"/>
        <w:gridCol w:w="2597"/>
      </w:tblGrid>
      <w:tr w:rsidR="00F12E81" w:rsidTr="00F12E81">
        <w:tc>
          <w:tcPr>
            <w:tcW w:w="4855" w:type="dxa"/>
            <w:tcBorders>
              <w:top w:val="nil"/>
              <w:left w:val="nil"/>
              <w:bottom w:val="single" w:sz="4" w:space="0" w:color="auto"/>
              <w:right w:val="nil"/>
            </w:tcBorders>
            <w:hideMark/>
          </w:tcPr>
          <w:p w:rsidR="00F12E81" w:rsidRDefault="00F12E81">
            <w:pPr>
              <w:spacing w:after="0" w:line="240" w:lineRule="auto"/>
              <w:jc w:val="center"/>
              <w:rPr>
                <w:rFonts w:ascii="Times New Roman" w:eastAsia="Times New Roman" w:hAnsi="Times New Roman" w:cs="Times New Roman"/>
                <w:b/>
                <w:smallCaps/>
                <w:lang w:eastAsia="hu-HU"/>
              </w:rPr>
            </w:pPr>
            <w:r>
              <w:rPr>
                <w:rFonts w:ascii="Times New Roman" w:eastAsia="Times New Roman" w:hAnsi="Times New Roman" w:cs="Times New Roman"/>
                <w:b/>
                <w:smallCaps/>
                <w:lang w:eastAsia="hu-HU"/>
              </w:rPr>
              <w:lastRenderedPageBreak/>
              <w:t>Nemzeti Közszolgálati Egyetem</w:t>
            </w:r>
          </w:p>
        </w:tc>
        <w:tc>
          <w:tcPr>
            <w:tcW w:w="1620" w:type="dxa"/>
          </w:tcPr>
          <w:p w:rsidR="00F12E81" w:rsidRDefault="00F12E81">
            <w:pPr>
              <w:spacing w:after="0" w:line="240" w:lineRule="auto"/>
              <w:jc w:val="both"/>
              <w:rPr>
                <w:rFonts w:ascii="Times New Roman" w:eastAsia="Times New Roman" w:hAnsi="Times New Roman" w:cs="Times New Roman"/>
                <w:lang w:eastAsia="hu-HU"/>
              </w:rPr>
            </w:pPr>
          </w:p>
        </w:tc>
        <w:tc>
          <w:tcPr>
            <w:tcW w:w="2597" w:type="dxa"/>
          </w:tcPr>
          <w:p w:rsidR="00F12E81" w:rsidRDefault="00F12E81">
            <w:pPr>
              <w:spacing w:after="0" w:line="240" w:lineRule="auto"/>
              <w:jc w:val="right"/>
              <w:rPr>
                <w:rFonts w:ascii="Times New Roman" w:eastAsia="Times New Roman" w:hAnsi="Times New Roman" w:cs="Times New Roman"/>
                <w:lang w:eastAsia="hu-HU"/>
              </w:rPr>
            </w:pPr>
          </w:p>
        </w:tc>
      </w:tr>
      <w:tr w:rsidR="00F12E81" w:rsidTr="00F12E81">
        <w:tc>
          <w:tcPr>
            <w:tcW w:w="4855" w:type="dxa"/>
            <w:tcBorders>
              <w:top w:val="single" w:sz="4" w:space="0" w:color="auto"/>
              <w:left w:val="nil"/>
              <w:bottom w:val="nil"/>
              <w:right w:val="nil"/>
            </w:tcBorders>
            <w:hideMark/>
          </w:tcPr>
          <w:p w:rsidR="00F12E81" w:rsidRDefault="00F12E81">
            <w:pPr>
              <w:spacing w:after="0" w:line="240" w:lineRule="auto"/>
              <w:jc w:val="center"/>
              <w:rPr>
                <w:rFonts w:ascii="Times New Roman" w:eastAsia="Times New Roman" w:hAnsi="Times New Roman" w:cs="Times New Roman"/>
                <w:b/>
                <w:lang w:eastAsia="hu-HU"/>
              </w:rPr>
            </w:pPr>
            <w:r>
              <w:rPr>
                <w:rFonts w:ascii="Times New Roman" w:eastAsia="Times New Roman" w:hAnsi="Times New Roman" w:cs="Times New Roman"/>
                <w:b/>
                <w:lang w:eastAsia="hu-HU"/>
              </w:rPr>
              <w:t>Hadtudományi és Honvédtisztképző Kar</w:t>
            </w:r>
          </w:p>
        </w:tc>
        <w:tc>
          <w:tcPr>
            <w:tcW w:w="1620" w:type="dxa"/>
          </w:tcPr>
          <w:p w:rsidR="00F12E81" w:rsidRDefault="00F12E81">
            <w:pPr>
              <w:spacing w:after="0" w:line="240" w:lineRule="auto"/>
              <w:jc w:val="both"/>
              <w:rPr>
                <w:rFonts w:ascii="Times New Roman" w:eastAsia="Times New Roman" w:hAnsi="Times New Roman" w:cs="Times New Roman"/>
                <w:lang w:eastAsia="hu-HU"/>
              </w:rPr>
            </w:pPr>
          </w:p>
        </w:tc>
        <w:tc>
          <w:tcPr>
            <w:tcW w:w="2597" w:type="dxa"/>
          </w:tcPr>
          <w:p w:rsidR="00F12E81" w:rsidRDefault="00F12E81">
            <w:pPr>
              <w:spacing w:after="0" w:line="240" w:lineRule="auto"/>
              <w:jc w:val="both"/>
              <w:rPr>
                <w:rFonts w:ascii="Times New Roman" w:eastAsia="Times New Roman" w:hAnsi="Times New Roman" w:cs="Times New Roman"/>
                <w:lang w:eastAsia="hu-HU"/>
              </w:rPr>
            </w:pPr>
          </w:p>
        </w:tc>
      </w:tr>
    </w:tbl>
    <w:p w:rsidR="00F12E81" w:rsidRDefault="00F12E81" w:rsidP="00F12E81">
      <w:pPr>
        <w:widowControl w:val="0"/>
        <w:spacing w:before="120" w:after="120" w:line="240" w:lineRule="auto"/>
        <w:ind w:left="426" w:hanging="142"/>
        <w:jc w:val="center"/>
        <w:rPr>
          <w:rFonts w:ascii="Times New Roman" w:eastAsia="Times New Roman" w:hAnsi="Times New Roman" w:cs="Times New Roman"/>
          <w:b/>
          <w:bCs/>
        </w:rPr>
      </w:pPr>
    </w:p>
    <w:p w:rsidR="00F12E81" w:rsidRPr="008313D9" w:rsidRDefault="00F12E81" w:rsidP="00F12E81">
      <w:pPr>
        <w:widowControl w:val="0"/>
        <w:spacing w:before="120" w:after="120" w:line="240" w:lineRule="auto"/>
        <w:ind w:left="426" w:hanging="142"/>
        <w:jc w:val="center"/>
        <w:rPr>
          <w:rFonts w:ascii="Times New Roman" w:eastAsia="Times New Roman" w:hAnsi="Times New Roman" w:cs="Times New Roman"/>
          <w:b/>
          <w:bCs/>
        </w:rPr>
      </w:pPr>
      <w:r w:rsidRPr="008313D9">
        <w:rPr>
          <w:rFonts w:ascii="Times New Roman" w:eastAsia="Times New Roman" w:hAnsi="Times New Roman" w:cs="Times New Roman"/>
          <w:b/>
          <w:bCs/>
        </w:rPr>
        <w:t>TANTÁRGYI PROGRAM</w:t>
      </w:r>
    </w:p>
    <w:p w:rsidR="00F12E81" w:rsidRPr="008313D9" w:rsidRDefault="00F12E81" w:rsidP="00C2057B">
      <w:pPr>
        <w:widowControl w:val="0"/>
        <w:numPr>
          <w:ilvl w:val="0"/>
          <w:numId w:val="73"/>
        </w:numPr>
        <w:spacing w:before="120" w:after="120" w:line="240" w:lineRule="auto"/>
        <w:ind w:left="426" w:hanging="142"/>
        <w:jc w:val="both"/>
        <w:rPr>
          <w:rFonts w:ascii="Times New Roman" w:eastAsia="Times New Roman" w:hAnsi="Times New Roman" w:cs="Times New Roman"/>
          <w:bCs/>
        </w:rPr>
      </w:pPr>
      <w:r w:rsidRPr="008313D9">
        <w:rPr>
          <w:rFonts w:ascii="Times New Roman" w:eastAsia="Times New Roman" w:hAnsi="Times New Roman" w:cs="Times New Roman"/>
          <w:b/>
          <w:bCs/>
        </w:rPr>
        <w:t xml:space="preserve">A tantárgy kódja: </w:t>
      </w:r>
      <w:r w:rsidRPr="008313D9">
        <w:rPr>
          <w:rFonts w:ascii="Times New Roman" w:hAnsi="Times New Roman" w:cs="Times New Roman"/>
          <w:bCs/>
        </w:rPr>
        <w:t>HKHPKA102</w:t>
      </w:r>
    </w:p>
    <w:p w:rsidR="00F12E81" w:rsidRPr="008313D9" w:rsidRDefault="00F12E81" w:rsidP="00C2057B">
      <w:pPr>
        <w:widowControl w:val="0"/>
        <w:numPr>
          <w:ilvl w:val="0"/>
          <w:numId w:val="73"/>
        </w:numPr>
        <w:spacing w:before="120" w:after="120" w:line="240" w:lineRule="auto"/>
        <w:ind w:left="426" w:hanging="142"/>
        <w:jc w:val="both"/>
        <w:rPr>
          <w:rFonts w:ascii="Times New Roman" w:eastAsia="Times New Roman" w:hAnsi="Times New Roman" w:cs="Times New Roman"/>
          <w:b/>
          <w:bCs/>
          <w:lang w:val="en-GB"/>
        </w:rPr>
      </w:pPr>
      <w:r w:rsidRPr="008313D9">
        <w:rPr>
          <w:rFonts w:ascii="Times New Roman" w:eastAsia="Times New Roman" w:hAnsi="Times New Roman" w:cs="Times New Roman"/>
          <w:b/>
          <w:bCs/>
        </w:rPr>
        <w:t>A tantárgy megnevezése (magyarul):</w:t>
      </w:r>
      <w:r w:rsidRPr="008313D9">
        <w:rPr>
          <w:rFonts w:ascii="Times New Roman" w:eastAsia="Times New Roman" w:hAnsi="Times New Roman" w:cs="Times New Roman"/>
          <w:bCs/>
        </w:rPr>
        <w:t xml:space="preserve"> </w:t>
      </w:r>
      <w:r w:rsidRPr="008313D9">
        <w:rPr>
          <w:rFonts w:ascii="Times New Roman" w:hAnsi="Times New Roman" w:cs="Times New Roman"/>
          <w:bCs/>
        </w:rPr>
        <w:t>Statisztika</w:t>
      </w:r>
    </w:p>
    <w:p w:rsidR="00F12E81" w:rsidRPr="008313D9" w:rsidRDefault="00F12E81" w:rsidP="00C2057B">
      <w:pPr>
        <w:widowControl w:val="0"/>
        <w:numPr>
          <w:ilvl w:val="0"/>
          <w:numId w:val="73"/>
        </w:numPr>
        <w:tabs>
          <w:tab w:val="num" w:pos="567"/>
        </w:tabs>
        <w:spacing w:before="120" w:after="120" w:line="240" w:lineRule="auto"/>
        <w:ind w:left="426" w:hanging="142"/>
        <w:jc w:val="both"/>
        <w:rPr>
          <w:rFonts w:ascii="Times New Roman" w:eastAsia="Times New Roman" w:hAnsi="Times New Roman" w:cs="Times New Roman"/>
          <w:b/>
          <w:bCs/>
          <w:lang w:val="en-GB"/>
        </w:rPr>
      </w:pPr>
      <w:r w:rsidRPr="008313D9">
        <w:rPr>
          <w:rFonts w:ascii="Times New Roman" w:eastAsia="Times New Roman" w:hAnsi="Times New Roman" w:cs="Times New Roman"/>
          <w:b/>
          <w:bCs/>
        </w:rPr>
        <w:t xml:space="preserve">A tantárgy megnevezése (angolul): </w:t>
      </w:r>
      <w:r w:rsidRPr="008313D9">
        <w:rPr>
          <w:rFonts w:ascii="Times New Roman" w:hAnsi="Times New Roman" w:cs="Times New Roman"/>
          <w:bCs/>
        </w:rPr>
        <w:t>Statistics</w:t>
      </w:r>
    </w:p>
    <w:p w:rsidR="00F12E81" w:rsidRPr="008313D9" w:rsidRDefault="00F12E81" w:rsidP="00C2057B">
      <w:pPr>
        <w:widowControl w:val="0"/>
        <w:numPr>
          <w:ilvl w:val="0"/>
          <w:numId w:val="73"/>
        </w:numPr>
        <w:tabs>
          <w:tab w:val="num" w:pos="567"/>
        </w:tabs>
        <w:spacing w:before="120" w:after="120" w:line="240" w:lineRule="auto"/>
        <w:ind w:left="426" w:hanging="142"/>
        <w:jc w:val="both"/>
        <w:rPr>
          <w:rFonts w:ascii="Times New Roman" w:eastAsia="Times New Roman" w:hAnsi="Times New Roman" w:cs="Times New Roman"/>
          <w:b/>
          <w:bCs/>
        </w:rPr>
      </w:pPr>
      <w:r w:rsidRPr="008313D9">
        <w:rPr>
          <w:rFonts w:ascii="Times New Roman" w:eastAsia="Times New Roman" w:hAnsi="Times New Roman" w:cs="Times New Roman"/>
          <w:b/>
          <w:bCs/>
        </w:rPr>
        <w:t xml:space="preserve">Kreditérték és képzési karakter: </w:t>
      </w:r>
    </w:p>
    <w:p w:rsidR="00F12E81" w:rsidRPr="008313D9" w:rsidRDefault="00F12E81" w:rsidP="00C2057B">
      <w:pPr>
        <w:pStyle w:val="Listaszerbekezds"/>
        <w:widowControl w:val="0"/>
        <w:numPr>
          <w:ilvl w:val="1"/>
          <w:numId w:val="73"/>
        </w:numPr>
        <w:spacing w:before="120" w:after="120" w:line="240" w:lineRule="auto"/>
        <w:ind w:left="993" w:hanging="426"/>
        <w:jc w:val="both"/>
        <w:rPr>
          <w:rFonts w:ascii="Times New Roman" w:eastAsia="Times New Roman" w:hAnsi="Times New Roman" w:cs="Times New Roman"/>
          <w:b/>
          <w:bCs/>
        </w:rPr>
      </w:pPr>
      <w:r w:rsidRPr="008313D9">
        <w:rPr>
          <w:rFonts w:ascii="Times New Roman" w:eastAsia="Times New Roman" w:hAnsi="Times New Roman" w:cs="Times New Roman"/>
          <w:bCs/>
        </w:rPr>
        <w:t>4 kredit</w:t>
      </w:r>
    </w:p>
    <w:p w:rsidR="00F12E81" w:rsidRPr="008313D9" w:rsidRDefault="00F12E81" w:rsidP="00C2057B">
      <w:pPr>
        <w:pStyle w:val="Listaszerbekezds"/>
        <w:widowControl w:val="0"/>
        <w:numPr>
          <w:ilvl w:val="1"/>
          <w:numId w:val="73"/>
        </w:numPr>
        <w:spacing w:before="120" w:after="120" w:line="240" w:lineRule="auto"/>
        <w:ind w:left="993" w:hanging="426"/>
        <w:jc w:val="both"/>
        <w:rPr>
          <w:rFonts w:ascii="Times New Roman" w:eastAsia="Times New Roman" w:hAnsi="Times New Roman" w:cs="Times New Roman"/>
          <w:b/>
          <w:bCs/>
        </w:rPr>
      </w:pPr>
      <w:r w:rsidRPr="008313D9">
        <w:rPr>
          <w:rFonts w:ascii="Times New Roman" w:eastAsia="Times New Roman" w:hAnsi="Times New Roman" w:cs="Times New Roman"/>
          <w:bCs/>
        </w:rPr>
        <w:t>a tantárgy elméleti vagy gyakorlati jellegének mértéke: 75</w:t>
      </w:r>
      <w:r w:rsidRPr="008313D9">
        <w:rPr>
          <w:rFonts w:ascii="Times New Roman" w:eastAsia="Times New Roman" w:hAnsi="Times New Roman" w:cs="Times New Roman"/>
          <w:b/>
          <w:bCs/>
        </w:rPr>
        <w:t xml:space="preserve"> </w:t>
      </w:r>
      <w:r w:rsidRPr="008313D9">
        <w:rPr>
          <w:rFonts w:ascii="Times New Roman" w:eastAsia="Times New Roman" w:hAnsi="Times New Roman" w:cs="Times New Roman"/>
          <w:bCs/>
        </w:rPr>
        <w:t>% gyakorlat, 25 % elmélet</w:t>
      </w:r>
    </w:p>
    <w:p w:rsidR="00F12E81" w:rsidRPr="008313D9" w:rsidRDefault="00F12E81" w:rsidP="00C2057B">
      <w:pPr>
        <w:widowControl w:val="0"/>
        <w:numPr>
          <w:ilvl w:val="0"/>
          <w:numId w:val="73"/>
        </w:numPr>
        <w:spacing w:before="120" w:after="120" w:line="240" w:lineRule="auto"/>
        <w:ind w:left="426" w:hanging="142"/>
        <w:jc w:val="both"/>
        <w:rPr>
          <w:rFonts w:ascii="Times New Roman" w:eastAsia="Times New Roman" w:hAnsi="Times New Roman" w:cs="Times New Roman"/>
          <w:bCs/>
        </w:rPr>
      </w:pPr>
      <w:r w:rsidRPr="008313D9">
        <w:rPr>
          <w:rFonts w:ascii="Times New Roman" w:eastAsia="Times New Roman" w:hAnsi="Times New Roman" w:cs="Times New Roman"/>
          <w:b/>
          <w:bCs/>
        </w:rPr>
        <w:t>A szak(ok), szakirányok/specializációk megnevezése (ahol oktatják):</w:t>
      </w:r>
      <w:r w:rsidRPr="008313D9">
        <w:rPr>
          <w:rFonts w:ascii="Times New Roman" w:eastAsia="Times New Roman" w:hAnsi="Times New Roman" w:cs="Times New Roman"/>
          <w:bCs/>
        </w:rPr>
        <w:t xml:space="preserve"> </w:t>
      </w:r>
      <w:r w:rsidRPr="008313D9">
        <w:rPr>
          <w:rFonts w:ascii="Times New Roman" w:hAnsi="Times New Roman" w:cs="Times New Roman"/>
          <w:bCs/>
        </w:rPr>
        <w:t>Katonai logisztika alapképzési (</w:t>
      </w:r>
      <w:r w:rsidR="00137B8A">
        <w:rPr>
          <w:rFonts w:ascii="Times New Roman" w:hAnsi="Times New Roman" w:cs="Times New Roman"/>
          <w:bCs/>
        </w:rPr>
        <w:t>BSc</w:t>
      </w:r>
      <w:r w:rsidRPr="008313D9">
        <w:rPr>
          <w:rFonts w:ascii="Times New Roman" w:hAnsi="Times New Roman" w:cs="Times New Roman"/>
          <w:bCs/>
        </w:rPr>
        <w:t>) szak</w:t>
      </w:r>
    </w:p>
    <w:p w:rsidR="00F12E81" w:rsidRPr="008313D9" w:rsidRDefault="00F12E81" w:rsidP="00C2057B">
      <w:pPr>
        <w:widowControl w:val="0"/>
        <w:numPr>
          <w:ilvl w:val="0"/>
          <w:numId w:val="73"/>
        </w:numPr>
        <w:tabs>
          <w:tab w:val="num" w:pos="567"/>
        </w:tabs>
        <w:spacing w:before="120" w:after="120" w:line="240" w:lineRule="auto"/>
        <w:ind w:left="426" w:hanging="142"/>
        <w:jc w:val="both"/>
        <w:rPr>
          <w:rFonts w:ascii="Times New Roman" w:eastAsia="Times New Roman" w:hAnsi="Times New Roman" w:cs="Times New Roman"/>
          <w:bCs/>
        </w:rPr>
      </w:pPr>
      <w:r w:rsidRPr="008313D9">
        <w:rPr>
          <w:rFonts w:ascii="Times New Roman" w:eastAsia="Times New Roman" w:hAnsi="Times New Roman" w:cs="Times New Roman"/>
          <w:b/>
          <w:bCs/>
        </w:rPr>
        <w:t xml:space="preserve">Az oktatásért felelős oktatási szervezeti egység megnevezése: </w:t>
      </w:r>
      <w:r w:rsidRPr="008313D9">
        <w:rPr>
          <w:rFonts w:ascii="Times New Roman" w:hAnsi="Times New Roman" w:cs="Times New Roman"/>
          <w:bCs/>
        </w:rPr>
        <w:t>NKE HHK Hadtáp, Pénzügyi és Katonai Közlekedési Tanszék</w:t>
      </w:r>
    </w:p>
    <w:p w:rsidR="00F12E81" w:rsidRPr="008313D9" w:rsidRDefault="00F12E81" w:rsidP="00C2057B">
      <w:pPr>
        <w:widowControl w:val="0"/>
        <w:numPr>
          <w:ilvl w:val="0"/>
          <w:numId w:val="73"/>
        </w:numPr>
        <w:tabs>
          <w:tab w:val="num" w:pos="567"/>
        </w:tabs>
        <w:spacing w:before="120" w:after="120" w:line="240" w:lineRule="auto"/>
        <w:ind w:left="426" w:hanging="142"/>
        <w:jc w:val="both"/>
        <w:rPr>
          <w:rFonts w:ascii="Times New Roman" w:eastAsia="Times New Roman" w:hAnsi="Times New Roman" w:cs="Times New Roman"/>
          <w:bCs/>
        </w:rPr>
      </w:pPr>
      <w:r w:rsidRPr="008313D9">
        <w:rPr>
          <w:rFonts w:ascii="Times New Roman" w:eastAsia="Times New Roman" w:hAnsi="Times New Roman" w:cs="Times New Roman"/>
          <w:b/>
          <w:bCs/>
        </w:rPr>
        <w:t>A tantárgyfelelős oktató neve, beosztása, tudományos fokozata:</w:t>
      </w:r>
      <w:r w:rsidRPr="008313D9">
        <w:rPr>
          <w:rFonts w:ascii="Times New Roman" w:eastAsia="Times New Roman" w:hAnsi="Times New Roman" w:cs="Times New Roman"/>
          <w:bCs/>
        </w:rPr>
        <w:t xml:space="preserve"> </w:t>
      </w:r>
      <w:r w:rsidRPr="008313D9">
        <w:rPr>
          <w:rFonts w:ascii="Times New Roman" w:hAnsi="Times New Roman" w:cs="Times New Roman"/>
          <w:bCs/>
        </w:rPr>
        <w:t>Győrfyné Dr. Kukoda Andrea egyetemi docens (PhD)</w:t>
      </w:r>
    </w:p>
    <w:p w:rsidR="00F12E81" w:rsidRPr="008313D9" w:rsidRDefault="00F12E81" w:rsidP="00C2057B">
      <w:pPr>
        <w:widowControl w:val="0"/>
        <w:numPr>
          <w:ilvl w:val="0"/>
          <w:numId w:val="73"/>
        </w:numPr>
        <w:spacing w:before="120" w:after="120" w:line="240" w:lineRule="auto"/>
        <w:ind w:left="426" w:hanging="142"/>
        <w:jc w:val="both"/>
        <w:rPr>
          <w:rFonts w:ascii="Times New Roman" w:eastAsia="Times New Roman" w:hAnsi="Times New Roman" w:cs="Times New Roman"/>
          <w:bCs/>
        </w:rPr>
      </w:pPr>
      <w:r w:rsidRPr="008313D9">
        <w:rPr>
          <w:rFonts w:ascii="Times New Roman" w:eastAsia="Times New Roman" w:hAnsi="Times New Roman" w:cs="Times New Roman"/>
          <w:b/>
          <w:bCs/>
        </w:rPr>
        <w:t>A tanórák száma és típusa</w:t>
      </w:r>
    </w:p>
    <w:p w:rsidR="00F12E81" w:rsidRPr="008313D9" w:rsidRDefault="00F12E81" w:rsidP="00C2057B">
      <w:pPr>
        <w:widowControl w:val="0"/>
        <w:numPr>
          <w:ilvl w:val="1"/>
          <w:numId w:val="73"/>
        </w:numPr>
        <w:tabs>
          <w:tab w:val="num" w:pos="709"/>
          <w:tab w:val="num" w:pos="2069"/>
        </w:tabs>
        <w:spacing w:before="120" w:after="120" w:line="240" w:lineRule="auto"/>
        <w:ind w:left="851" w:hanging="425"/>
        <w:jc w:val="both"/>
        <w:rPr>
          <w:rFonts w:ascii="Times New Roman" w:eastAsia="Times New Roman" w:hAnsi="Times New Roman" w:cs="Times New Roman"/>
          <w:bCs/>
        </w:rPr>
      </w:pPr>
      <w:r w:rsidRPr="008313D9">
        <w:rPr>
          <w:rFonts w:ascii="Times New Roman" w:eastAsia="Times New Roman" w:hAnsi="Times New Roman" w:cs="Times New Roman"/>
          <w:bCs/>
        </w:rPr>
        <w:t>össz óraszám/félév:</w:t>
      </w:r>
    </w:p>
    <w:p w:rsidR="00F12E81" w:rsidRPr="008313D9" w:rsidRDefault="00F12E81" w:rsidP="00C2057B">
      <w:pPr>
        <w:widowControl w:val="0"/>
        <w:numPr>
          <w:ilvl w:val="2"/>
          <w:numId w:val="73"/>
        </w:numPr>
        <w:tabs>
          <w:tab w:val="num" w:pos="709"/>
          <w:tab w:val="num" w:pos="1134"/>
        </w:tabs>
        <w:spacing w:before="120" w:after="120" w:line="240" w:lineRule="auto"/>
        <w:ind w:left="851" w:hanging="425"/>
        <w:jc w:val="both"/>
        <w:rPr>
          <w:rFonts w:ascii="Times New Roman" w:eastAsia="Times New Roman" w:hAnsi="Times New Roman" w:cs="Times New Roman"/>
          <w:bCs/>
        </w:rPr>
      </w:pPr>
      <w:r w:rsidRPr="008313D9">
        <w:rPr>
          <w:rFonts w:ascii="Times New Roman" w:eastAsia="Times New Roman" w:hAnsi="Times New Roman" w:cs="Times New Roman"/>
          <w:bCs/>
        </w:rPr>
        <w:t>nappali munkarend: 56 (14 EA + 0 SZ + 42 GY)</w:t>
      </w:r>
    </w:p>
    <w:p w:rsidR="00F12E81" w:rsidRPr="008313D9" w:rsidRDefault="00F12E81" w:rsidP="00C2057B">
      <w:pPr>
        <w:widowControl w:val="0"/>
        <w:numPr>
          <w:ilvl w:val="2"/>
          <w:numId w:val="73"/>
        </w:numPr>
        <w:tabs>
          <w:tab w:val="num" w:pos="709"/>
          <w:tab w:val="num" w:pos="1134"/>
        </w:tabs>
        <w:spacing w:before="120" w:after="120" w:line="240" w:lineRule="auto"/>
        <w:ind w:left="851" w:hanging="425"/>
        <w:jc w:val="both"/>
        <w:rPr>
          <w:rFonts w:ascii="Times New Roman" w:eastAsia="Times New Roman" w:hAnsi="Times New Roman" w:cs="Times New Roman"/>
          <w:bCs/>
        </w:rPr>
      </w:pPr>
      <w:r w:rsidRPr="008313D9">
        <w:rPr>
          <w:rFonts w:ascii="Times New Roman" w:eastAsia="Times New Roman" w:hAnsi="Times New Roman" w:cs="Times New Roman"/>
          <w:bCs/>
        </w:rPr>
        <w:t>levelező munkarend: -</w:t>
      </w:r>
    </w:p>
    <w:p w:rsidR="00F12E81" w:rsidRPr="008313D9" w:rsidRDefault="00F12E81" w:rsidP="00C2057B">
      <w:pPr>
        <w:widowControl w:val="0"/>
        <w:numPr>
          <w:ilvl w:val="1"/>
          <w:numId w:val="73"/>
        </w:numPr>
        <w:tabs>
          <w:tab w:val="num" w:pos="709"/>
          <w:tab w:val="num" w:pos="2069"/>
        </w:tabs>
        <w:spacing w:before="120" w:after="120" w:line="240" w:lineRule="auto"/>
        <w:ind w:left="851" w:hanging="425"/>
        <w:jc w:val="both"/>
        <w:rPr>
          <w:rFonts w:ascii="Times New Roman" w:eastAsia="Times New Roman" w:hAnsi="Times New Roman" w:cs="Times New Roman"/>
          <w:bCs/>
        </w:rPr>
      </w:pPr>
      <w:r w:rsidRPr="008313D9">
        <w:rPr>
          <w:rFonts w:ascii="Times New Roman" w:eastAsia="Times New Roman" w:hAnsi="Times New Roman" w:cs="Times New Roman"/>
          <w:bCs/>
        </w:rPr>
        <w:t>heti óraszám - nappali munkarend: 4</w:t>
      </w:r>
    </w:p>
    <w:p w:rsidR="00F12E81" w:rsidRPr="008313D9" w:rsidRDefault="00F12E81" w:rsidP="00C2057B">
      <w:pPr>
        <w:widowControl w:val="0"/>
        <w:numPr>
          <w:ilvl w:val="1"/>
          <w:numId w:val="73"/>
        </w:numPr>
        <w:tabs>
          <w:tab w:val="num" w:pos="709"/>
          <w:tab w:val="num" w:pos="2069"/>
        </w:tabs>
        <w:spacing w:before="120" w:after="120" w:line="240" w:lineRule="auto"/>
        <w:ind w:left="851" w:hanging="425"/>
        <w:jc w:val="both"/>
        <w:rPr>
          <w:rFonts w:ascii="Times New Roman" w:eastAsia="Times New Roman" w:hAnsi="Times New Roman" w:cs="Times New Roman"/>
          <w:bCs/>
        </w:rPr>
      </w:pPr>
      <w:r w:rsidRPr="008313D9">
        <w:rPr>
          <w:rFonts w:ascii="Times New Roman" w:hAnsi="Times New Roman" w:cs="Times New Roman"/>
        </w:rPr>
        <w:t>Az ismeret átadásában alkalmazandó további sajátos módok, jellemzők:</w:t>
      </w:r>
      <w:r w:rsidRPr="008313D9">
        <w:rPr>
          <w:rFonts w:ascii="Times New Roman" w:hAnsi="Times New Roman" w:cs="Times New Roman"/>
          <w:i/>
        </w:rPr>
        <w:t xml:space="preserve"> –</w:t>
      </w:r>
    </w:p>
    <w:p w:rsidR="00F12E81" w:rsidRPr="008313D9" w:rsidRDefault="00F12E81" w:rsidP="00C2057B">
      <w:pPr>
        <w:widowControl w:val="0"/>
        <w:numPr>
          <w:ilvl w:val="0"/>
          <w:numId w:val="73"/>
        </w:numPr>
        <w:spacing w:before="120" w:after="120" w:line="240" w:lineRule="auto"/>
        <w:ind w:left="426" w:hanging="142"/>
        <w:jc w:val="both"/>
        <w:rPr>
          <w:rFonts w:ascii="Times New Roman" w:eastAsia="Times New Roman" w:hAnsi="Times New Roman" w:cs="Times New Roman"/>
          <w:bCs/>
        </w:rPr>
      </w:pPr>
      <w:r w:rsidRPr="008313D9">
        <w:rPr>
          <w:rFonts w:ascii="Times New Roman" w:eastAsia="Times New Roman" w:hAnsi="Times New Roman" w:cs="Times New Roman"/>
          <w:b/>
          <w:bCs/>
        </w:rPr>
        <w:t>A tantárgy szakmai tartalma (magyarul):</w:t>
      </w:r>
      <w:r w:rsidRPr="008313D9">
        <w:rPr>
          <w:rFonts w:ascii="Times New Roman" w:eastAsia="Times New Roman" w:hAnsi="Times New Roman" w:cs="Times New Roman"/>
          <w:bCs/>
        </w:rPr>
        <w:t xml:space="preserve"> </w:t>
      </w:r>
      <w:r w:rsidRPr="008313D9">
        <w:rPr>
          <w:rFonts w:ascii="Times New Roman" w:hAnsi="Times New Roman" w:cs="Times New Roman"/>
          <w:bCs/>
        </w:rPr>
        <w:t xml:space="preserve">Alapfogalmak. Grafikus ábrázolás. Viszonyszámok. Mennyiségi sorok elemzése. Idősorok elemzése. Standardizálás. </w:t>
      </w:r>
      <w:r w:rsidRPr="008313D9">
        <w:rPr>
          <w:rFonts w:ascii="Times New Roman" w:eastAsia="Times New Roman" w:hAnsi="Times New Roman" w:cs="Times New Roman"/>
          <w:lang w:val="en-US"/>
        </w:rPr>
        <w:t>Indexszámítás (értékindex, volumenindex, árindex)</w:t>
      </w:r>
      <w:r w:rsidRPr="008313D9">
        <w:rPr>
          <w:rFonts w:ascii="Times New Roman" w:eastAsia="Times New Roman" w:hAnsi="Times New Roman" w:cs="Times New Roman"/>
          <w:bCs/>
        </w:rPr>
        <w:t>. Kérdőívek készítésének elmélete és gyakorlata.</w:t>
      </w:r>
    </w:p>
    <w:p w:rsidR="00F12E81" w:rsidRPr="008313D9" w:rsidRDefault="00F12E81" w:rsidP="00F12E81">
      <w:pPr>
        <w:widowControl w:val="0"/>
        <w:spacing w:before="120" w:after="120" w:line="240" w:lineRule="auto"/>
        <w:ind w:left="426"/>
        <w:jc w:val="both"/>
        <w:rPr>
          <w:rFonts w:ascii="Times New Roman" w:eastAsia="Times New Roman" w:hAnsi="Times New Roman" w:cs="Times New Roman"/>
          <w:bCs/>
          <w:lang w:val="en-US"/>
        </w:rPr>
      </w:pPr>
      <w:r w:rsidRPr="008313D9">
        <w:rPr>
          <w:rFonts w:ascii="Times New Roman" w:eastAsia="Times New Roman" w:hAnsi="Times New Roman" w:cs="Times New Roman"/>
          <w:b/>
          <w:bCs/>
        </w:rPr>
        <w:t>A tantárgy szakmai tartalma (angolul) (</w:t>
      </w:r>
      <w:r w:rsidRPr="008313D9">
        <w:rPr>
          <w:rFonts w:ascii="Times New Roman" w:eastAsia="Times New Roman" w:hAnsi="Times New Roman" w:cs="Times New Roman"/>
          <w:b/>
          <w:bCs/>
          <w:lang w:val="en-US"/>
        </w:rPr>
        <w:t>Course description</w:t>
      </w:r>
      <w:r w:rsidRPr="008313D9">
        <w:rPr>
          <w:rFonts w:ascii="Times New Roman" w:eastAsia="Times New Roman" w:hAnsi="Times New Roman" w:cs="Times New Roman"/>
          <w:b/>
          <w:bCs/>
        </w:rPr>
        <w:t xml:space="preserve">): </w:t>
      </w:r>
      <w:r w:rsidRPr="008313D9">
        <w:rPr>
          <w:rFonts w:ascii="Times New Roman" w:hAnsi="Times New Roman" w:cs="Times New Roman"/>
          <w:bCs/>
          <w:lang w:val="en-US"/>
        </w:rPr>
        <w:t xml:space="preserve">Basic definitions. Tabular and graphical presentations. Different types of ratio numbers. Analysis of quantitative samples. Analysis of time series. Analysis of statistical tables. (Simple tables, complex tables.) </w:t>
      </w:r>
      <w:r w:rsidRPr="008313D9">
        <w:rPr>
          <w:rFonts w:ascii="Times New Roman" w:eastAsia="Times New Roman" w:hAnsi="Times New Roman" w:cs="Times New Roman"/>
          <w:bCs/>
        </w:rPr>
        <w:t xml:space="preserve">Standardization. </w:t>
      </w:r>
      <w:r w:rsidRPr="008313D9">
        <w:rPr>
          <w:rFonts w:ascii="Times New Roman" w:eastAsia="Times New Roman" w:hAnsi="Times New Roman" w:cs="Times New Roman"/>
          <w:lang w:val="en-US"/>
        </w:rPr>
        <w:t>Value, volume and price indexes. Methods of creating questionnaires.</w:t>
      </w:r>
    </w:p>
    <w:p w:rsidR="00F12E81" w:rsidRPr="008313D9" w:rsidRDefault="00F12E81" w:rsidP="00C2057B">
      <w:pPr>
        <w:pStyle w:val="Listaszerbekezds"/>
        <w:widowControl w:val="0"/>
        <w:numPr>
          <w:ilvl w:val="0"/>
          <w:numId w:val="73"/>
        </w:numPr>
        <w:spacing w:before="120" w:after="120" w:line="240" w:lineRule="auto"/>
        <w:ind w:left="426" w:hanging="142"/>
        <w:jc w:val="both"/>
        <w:rPr>
          <w:rFonts w:ascii="Times New Roman" w:eastAsia="Times New Roman" w:hAnsi="Times New Roman" w:cs="Times New Roman"/>
          <w:bCs/>
        </w:rPr>
      </w:pPr>
      <w:r w:rsidRPr="008313D9">
        <w:rPr>
          <w:rFonts w:ascii="Times New Roman" w:eastAsia="Times New Roman" w:hAnsi="Times New Roman" w:cs="Times New Roman"/>
          <w:b/>
          <w:bCs/>
        </w:rPr>
        <w:t>Elérendő kompetenciák (magyarul):</w:t>
      </w:r>
      <w:r w:rsidRPr="008313D9">
        <w:rPr>
          <w:rFonts w:ascii="Times New Roman" w:eastAsia="Times New Roman" w:hAnsi="Times New Roman" w:cs="Times New Roman"/>
          <w:bCs/>
        </w:rPr>
        <w:t xml:space="preserve"> </w:t>
      </w:r>
    </w:p>
    <w:p w:rsidR="00F12E81" w:rsidRPr="008313D9" w:rsidRDefault="00F12E81" w:rsidP="00F12E81">
      <w:pPr>
        <w:widowControl w:val="0"/>
        <w:spacing w:after="0" w:line="240" w:lineRule="auto"/>
        <w:ind w:left="425"/>
        <w:jc w:val="both"/>
        <w:rPr>
          <w:rFonts w:ascii="Times New Roman" w:eastAsia="Times New Roman" w:hAnsi="Times New Roman" w:cs="Times New Roman"/>
          <w:bCs/>
        </w:rPr>
      </w:pPr>
      <w:r w:rsidRPr="008313D9">
        <w:rPr>
          <w:rFonts w:ascii="Times New Roman" w:eastAsia="Times New Roman" w:hAnsi="Times New Roman" w:cs="Times New Roman"/>
          <w:b/>
          <w:bCs/>
        </w:rPr>
        <w:t>Tudása:</w:t>
      </w:r>
    </w:p>
    <w:p w:rsidR="00F12E81" w:rsidRPr="008313D9" w:rsidRDefault="00F12E81" w:rsidP="00C2057B">
      <w:pPr>
        <w:pStyle w:val="Listaszerbekezds"/>
        <w:widowControl w:val="0"/>
        <w:numPr>
          <w:ilvl w:val="0"/>
          <w:numId w:val="64"/>
        </w:numPr>
        <w:spacing w:after="0" w:line="240" w:lineRule="auto"/>
        <w:jc w:val="both"/>
        <w:rPr>
          <w:rFonts w:ascii="Times New Roman" w:hAnsi="Times New Roman" w:cs="Times New Roman"/>
        </w:rPr>
      </w:pPr>
      <w:r w:rsidRPr="008313D9">
        <w:rPr>
          <w:rFonts w:ascii="Times New Roman" w:hAnsi="Times New Roman" w:cs="Times New Roman"/>
        </w:rPr>
        <w:t>Ismeri a matematika törvényszerűségeit.</w:t>
      </w:r>
    </w:p>
    <w:p w:rsidR="00F12E81" w:rsidRPr="008313D9" w:rsidRDefault="00F12E81" w:rsidP="00C2057B">
      <w:pPr>
        <w:pStyle w:val="Listaszerbekezds"/>
        <w:widowControl w:val="0"/>
        <w:numPr>
          <w:ilvl w:val="0"/>
          <w:numId w:val="64"/>
        </w:numPr>
        <w:spacing w:after="0" w:line="240" w:lineRule="auto"/>
        <w:jc w:val="both"/>
        <w:rPr>
          <w:rFonts w:ascii="Times New Roman" w:hAnsi="Times New Roman" w:cs="Times New Roman"/>
        </w:rPr>
      </w:pPr>
      <w:r w:rsidRPr="008313D9">
        <w:rPr>
          <w:rFonts w:ascii="Times New Roman" w:hAnsi="Times New Roman" w:cs="Times New Roman"/>
        </w:rPr>
        <w:t>Mélyrehatóan ismeri a katonai logisztikai gazdálkodás feladatait, valamint annak eszköz- és információs rendszerét.</w:t>
      </w:r>
    </w:p>
    <w:p w:rsidR="00F12E81" w:rsidRPr="008313D9" w:rsidRDefault="00F12E81" w:rsidP="00F12E81">
      <w:pPr>
        <w:widowControl w:val="0"/>
        <w:spacing w:before="120" w:after="0" w:line="240" w:lineRule="auto"/>
        <w:ind w:left="425"/>
        <w:jc w:val="both"/>
        <w:rPr>
          <w:rFonts w:ascii="Times New Roman" w:eastAsia="Times New Roman" w:hAnsi="Times New Roman" w:cs="Times New Roman"/>
          <w:bCs/>
        </w:rPr>
      </w:pPr>
      <w:r w:rsidRPr="008313D9">
        <w:rPr>
          <w:rFonts w:ascii="Times New Roman" w:eastAsia="Times New Roman" w:hAnsi="Times New Roman" w:cs="Times New Roman"/>
          <w:b/>
          <w:bCs/>
        </w:rPr>
        <w:t>Képességei:</w:t>
      </w:r>
      <w:r w:rsidRPr="008313D9">
        <w:rPr>
          <w:rFonts w:ascii="Times New Roman" w:eastAsia="Times New Roman" w:hAnsi="Times New Roman" w:cs="Times New Roman"/>
          <w:bCs/>
        </w:rPr>
        <w:t xml:space="preserve"> </w:t>
      </w:r>
    </w:p>
    <w:p w:rsidR="00F12E81" w:rsidRPr="008313D9" w:rsidRDefault="00F12E81" w:rsidP="00C2057B">
      <w:pPr>
        <w:pStyle w:val="Listaszerbekezds"/>
        <w:numPr>
          <w:ilvl w:val="0"/>
          <w:numId w:val="65"/>
        </w:numPr>
        <w:autoSpaceDE w:val="0"/>
        <w:autoSpaceDN w:val="0"/>
        <w:adjustRightInd w:val="0"/>
        <w:spacing w:after="0" w:line="240" w:lineRule="auto"/>
        <w:ind w:left="1134" w:hanging="283"/>
        <w:jc w:val="both"/>
        <w:rPr>
          <w:rFonts w:ascii="Times New Roman" w:hAnsi="Times New Roman" w:cs="Times New Roman"/>
        </w:rPr>
      </w:pPr>
      <w:r w:rsidRPr="008313D9">
        <w:rPr>
          <w:rFonts w:ascii="Times New Roman" w:hAnsi="Times New Roman" w:cs="Times New Roman"/>
        </w:rPr>
        <w:t>Képes valós és megbízható képet alkotni a gazdálkodó szervezetek vagyonáról, pénzügyi helyzetéről, gazdálkodásának szabályszerűségéről.</w:t>
      </w:r>
    </w:p>
    <w:p w:rsidR="00F12E81" w:rsidRPr="008313D9" w:rsidRDefault="00F12E81" w:rsidP="00C2057B">
      <w:pPr>
        <w:pStyle w:val="Listaszerbekezds"/>
        <w:widowControl w:val="0"/>
        <w:numPr>
          <w:ilvl w:val="0"/>
          <w:numId w:val="65"/>
        </w:numPr>
        <w:spacing w:after="0" w:line="240" w:lineRule="auto"/>
        <w:ind w:left="1134" w:hanging="283"/>
        <w:jc w:val="both"/>
        <w:rPr>
          <w:rFonts w:ascii="Times New Roman" w:hAnsi="Times New Roman" w:cs="Times New Roman"/>
        </w:rPr>
      </w:pPr>
      <w:r w:rsidRPr="008313D9">
        <w:rPr>
          <w:rFonts w:ascii="Times New Roman" w:hAnsi="Times New Roman" w:cs="Times New Roman"/>
        </w:rPr>
        <w:t>Képes pontos és precíz logisztikai, illetve gazdálkodási számvetéseket készíteni.</w:t>
      </w:r>
    </w:p>
    <w:p w:rsidR="00F12E81" w:rsidRPr="008313D9" w:rsidRDefault="00F12E81" w:rsidP="00C2057B">
      <w:pPr>
        <w:pStyle w:val="Listaszerbekezds"/>
        <w:numPr>
          <w:ilvl w:val="0"/>
          <w:numId w:val="65"/>
        </w:numPr>
        <w:autoSpaceDE w:val="0"/>
        <w:autoSpaceDN w:val="0"/>
        <w:adjustRightInd w:val="0"/>
        <w:spacing w:after="0" w:line="240" w:lineRule="auto"/>
        <w:ind w:left="1134" w:hanging="283"/>
        <w:jc w:val="both"/>
        <w:rPr>
          <w:rFonts w:ascii="Times New Roman" w:hAnsi="Times New Roman" w:cs="Times New Roman"/>
        </w:rPr>
      </w:pPr>
      <w:r w:rsidRPr="008313D9">
        <w:rPr>
          <w:rFonts w:ascii="Times New Roman" w:hAnsi="Times New Roman" w:cs="Times New Roman"/>
        </w:rPr>
        <w:t>Képes gazdálkodási feladatok alapszintű tervezésére, szervezésére, irányítására és az ebből adódó tevékenységek gazdasági elemzésinek végrehajtására.</w:t>
      </w:r>
    </w:p>
    <w:p w:rsidR="00F12E81" w:rsidRPr="008313D9" w:rsidRDefault="00F12E81" w:rsidP="00F12E81">
      <w:pPr>
        <w:widowControl w:val="0"/>
        <w:spacing w:before="120" w:after="0" w:line="240" w:lineRule="auto"/>
        <w:ind w:left="425"/>
        <w:jc w:val="both"/>
        <w:rPr>
          <w:rFonts w:ascii="Times New Roman" w:eastAsia="Times New Roman" w:hAnsi="Times New Roman" w:cs="Times New Roman"/>
          <w:bCs/>
        </w:rPr>
      </w:pPr>
      <w:r w:rsidRPr="008313D9">
        <w:rPr>
          <w:rFonts w:ascii="Times New Roman" w:eastAsia="Times New Roman" w:hAnsi="Times New Roman" w:cs="Times New Roman"/>
          <w:b/>
          <w:bCs/>
        </w:rPr>
        <w:t>Attitűdje:</w:t>
      </w:r>
      <w:r w:rsidRPr="008313D9">
        <w:rPr>
          <w:rFonts w:ascii="Times New Roman" w:eastAsia="Times New Roman" w:hAnsi="Times New Roman" w:cs="Times New Roman"/>
          <w:bCs/>
        </w:rPr>
        <w:t xml:space="preserve"> </w:t>
      </w:r>
    </w:p>
    <w:p w:rsidR="00F12E81" w:rsidRPr="008313D9" w:rsidRDefault="00F12E81" w:rsidP="00C2057B">
      <w:pPr>
        <w:pStyle w:val="Listaszerbekezds"/>
        <w:numPr>
          <w:ilvl w:val="0"/>
          <w:numId w:val="66"/>
        </w:numPr>
        <w:autoSpaceDE w:val="0"/>
        <w:autoSpaceDN w:val="0"/>
        <w:adjustRightInd w:val="0"/>
        <w:spacing w:after="0" w:line="240" w:lineRule="auto"/>
        <w:jc w:val="both"/>
        <w:rPr>
          <w:rFonts w:ascii="Times New Roman" w:hAnsi="Times New Roman" w:cs="Times New Roman"/>
        </w:rPr>
      </w:pPr>
      <w:r w:rsidRPr="008313D9">
        <w:rPr>
          <w:rFonts w:ascii="Times New Roman" w:hAnsi="Times New Roman" w:cs="Times New Roman"/>
        </w:rPr>
        <w:t>A minőségi szakmai munkavégzés iránt elkötelezett, azt a pontosságra való törekvés jellemzi.</w:t>
      </w:r>
    </w:p>
    <w:p w:rsidR="00F12E81" w:rsidRPr="008313D9" w:rsidRDefault="00F12E81" w:rsidP="00C2057B">
      <w:pPr>
        <w:pStyle w:val="Listaszerbekezds"/>
        <w:numPr>
          <w:ilvl w:val="0"/>
          <w:numId w:val="67"/>
        </w:numPr>
        <w:autoSpaceDE w:val="0"/>
        <w:autoSpaceDN w:val="0"/>
        <w:adjustRightInd w:val="0"/>
        <w:spacing w:after="0" w:line="240" w:lineRule="auto"/>
        <w:jc w:val="both"/>
        <w:rPr>
          <w:rFonts w:ascii="Times New Roman" w:hAnsi="Times New Roman" w:cs="Times New Roman"/>
        </w:rPr>
      </w:pPr>
      <w:r w:rsidRPr="008313D9">
        <w:rPr>
          <w:rFonts w:ascii="Times New Roman" w:hAnsi="Times New Roman" w:cs="Times New Roman"/>
        </w:rPr>
        <w:lastRenderedPageBreak/>
        <w:t>Felismeri a rendszerszintű tevékenységben rejlő értékeket, törekszik a logisztikai tevékenységek közötti kapcsolatok értelmezésére.</w:t>
      </w:r>
    </w:p>
    <w:p w:rsidR="00F12E81" w:rsidRPr="008313D9" w:rsidRDefault="00F12E81" w:rsidP="00C2057B">
      <w:pPr>
        <w:pStyle w:val="Listaszerbekezds"/>
        <w:numPr>
          <w:ilvl w:val="0"/>
          <w:numId w:val="67"/>
        </w:numPr>
        <w:autoSpaceDE w:val="0"/>
        <w:autoSpaceDN w:val="0"/>
        <w:adjustRightInd w:val="0"/>
        <w:spacing w:after="0" w:line="240" w:lineRule="auto"/>
        <w:jc w:val="both"/>
        <w:rPr>
          <w:rFonts w:ascii="Times New Roman" w:hAnsi="Times New Roman" w:cs="Times New Roman"/>
        </w:rPr>
      </w:pPr>
      <w:r w:rsidRPr="008313D9">
        <w:rPr>
          <w:rFonts w:ascii="Times New Roman" w:hAnsi="Times New Roman" w:cs="Times New Roman"/>
        </w:rPr>
        <w:t>Tevékenységét a hatékonyság központú szemlélet jellemzi.</w:t>
      </w:r>
    </w:p>
    <w:p w:rsidR="00F12E81" w:rsidRPr="008313D9" w:rsidRDefault="00F12E81" w:rsidP="00F12E81">
      <w:pPr>
        <w:widowControl w:val="0"/>
        <w:spacing w:before="120" w:after="0" w:line="240" w:lineRule="auto"/>
        <w:ind w:left="425"/>
        <w:jc w:val="both"/>
        <w:rPr>
          <w:rFonts w:ascii="Times New Roman" w:eastAsia="Times New Roman" w:hAnsi="Times New Roman" w:cs="Times New Roman"/>
          <w:bCs/>
        </w:rPr>
      </w:pPr>
      <w:r w:rsidRPr="008313D9">
        <w:rPr>
          <w:rFonts w:ascii="Times New Roman" w:eastAsia="Times New Roman" w:hAnsi="Times New Roman" w:cs="Times New Roman"/>
          <w:b/>
          <w:bCs/>
        </w:rPr>
        <w:t>Autonómiája és felelőssége:</w:t>
      </w:r>
    </w:p>
    <w:p w:rsidR="00F12E81" w:rsidRPr="008313D9" w:rsidRDefault="00F12E81" w:rsidP="00C2057B">
      <w:pPr>
        <w:pStyle w:val="Listaszerbekezds"/>
        <w:widowControl w:val="0"/>
        <w:numPr>
          <w:ilvl w:val="0"/>
          <w:numId w:val="68"/>
        </w:numPr>
        <w:spacing w:after="0" w:line="240" w:lineRule="auto"/>
        <w:jc w:val="both"/>
        <w:rPr>
          <w:rFonts w:ascii="Times New Roman" w:hAnsi="Times New Roman" w:cs="Times New Roman"/>
        </w:rPr>
      </w:pPr>
      <w:r w:rsidRPr="008313D9">
        <w:rPr>
          <w:rFonts w:ascii="Times New Roman" w:hAnsi="Times New Roman" w:cs="Times New Roman"/>
        </w:rPr>
        <w:t>Felelősséget vállal számvetéseinek pontosságáért.</w:t>
      </w:r>
    </w:p>
    <w:p w:rsidR="00F12E81" w:rsidRPr="008313D9" w:rsidRDefault="00F12E81" w:rsidP="00F12E81">
      <w:pPr>
        <w:widowControl w:val="0"/>
        <w:spacing w:before="120" w:after="0" w:line="240" w:lineRule="auto"/>
        <w:ind w:left="425"/>
        <w:jc w:val="both"/>
        <w:rPr>
          <w:rFonts w:ascii="Times New Roman" w:eastAsia="Times New Roman" w:hAnsi="Times New Roman" w:cs="Times New Roman"/>
          <w:b/>
          <w:bCs/>
          <w:lang w:val="en-US"/>
        </w:rPr>
      </w:pPr>
      <w:r w:rsidRPr="008313D9">
        <w:rPr>
          <w:rFonts w:ascii="Times New Roman" w:eastAsia="Times New Roman" w:hAnsi="Times New Roman" w:cs="Times New Roman"/>
          <w:b/>
          <w:bCs/>
        </w:rPr>
        <w:t>Elérendő kompetenciák (angolul) (</w:t>
      </w:r>
      <w:r w:rsidRPr="008313D9">
        <w:rPr>
          <w:rFonts w:ascii="Times New Roman" w:eastAsia="Times New Roman" w:hAnsi="Times New Roman" w:cs="Times New Roman"/>
          <w:b/>
          <w:bCs/>
          <w:lang w:val="en-US"/>
        </w:rPr>
        <w:t xml:space="preserve">Competences – English): </w:t>
      </w:r>
    </w:p>
    <w:p w:rsidR="00F12E81" w:rsidRPr="008313D9" w:rsidRDefault="00F12E81" w:rsidP="00F12E81">
      <w:pPr>
        <w:widowControl w:val="0"/>
        <w:spacing w:before="120" w:after="0" w:line="240" w:lineRule="auto"/>
        <w:ind w:left="425"/>
        <w:jc w:val="both"/>
        <w:rPr>
          <w:rFonts w:ascii="Times New Roman" w:eastAsia="Times New Roman" w:hAnsi="Times New Roman" w:cs="Times New Roman"/>
          <w:lang w:val="en-GB"/>
        </w:rPr>
      </w:pPr>
      <w:r w:rsidRPr="008313D9">
        <w:rPr>
          <w:rFonts w:ascii="Times New Roman" w:eastAsia="Times New Roman" w:hAnsi="Times New Roman" w:cs="Times New Roman"/>
          <w:b/>
          <w:lang w:val="en-GB"/>
        </w:rPr>
        <w:t>Knowledge</w:t>
      </w:r>
      <w:r w:rsidRPr="008313D9">
        <w:rPr>
          <w:rFonts w:ascii="Times New Roman" w:eastAsia="Times New Roman" w:hAnsi="Times New Roman" w:cs="Times New Roman"/>
          <w:lang w:val="en-GB"/>
        </w:rPr>
        <w:t xml:space="preserve">: </w:t>
      </w:r>
    </w:p>
    <w:p w:rsidR="00F12E81" w:rsidRPr="008313D9" w:rsidRDefault="00F12E81" w:rsidP="00C2057B">
      <w:pPr>
        <w:pStyle w:val="Listaszerbekezds"/>
        <w:widowControl w:val="0"/>
        <w:numPr>
          <w:ilvl w:val="0"/>
          <w:numId w:val="69"/>
        </w:numPr>
        <w:spacing w:after="0" w:line="240" w:lineRule="auto"/>
        <w:jc w:val="both"/>
        <w:rPr>
          <w:rFonts w:ascii="Times New Roman" w:eastAsia="Times New Roman" w:hAnsi="Times New Roman" w:cs="Times New Roman"/>
          <w:lang w:val="en-GB"/>
        </w:rPr>
      </w:pPr>
      <w:r w:rsidRPr="008313D9">
        <w:rPr>
          <w:rFonts w:ascii="Times New Roman" w:eastAsia="Times New Roman" w:hAnsi="Times New Roman" w:cs="Times New Roman"/>
          <w:lang w:val="en-GB"/>
        </w:rPr>
        <w:t>To be familiar with principles of mathematics.</w:t>
      </w:r>
    </w:p>
    <w:p w:rsidR="00F12E81" w:rsidRPr="008313D9" w:rsidRDefault="00F12E81" w:rsidP="00C2057B">
      <w:pPr>
        <w:pStyle w:val="Listaszerbekezds"/>
        <w:widowControl w:val="0"/>
        <w:numPr>
          <w:ilvl w:val="0"/>
          <w:numId w:val="69"/>
        </w:numPr>
        <w:spacing w:after="0" w:line="240" w:lineRule="auto"/>
        <w:jc w:val="both"/>
        <w:rPr>
          <w:rFonts w:ascii="Times New Roman" w:eastAsia="Times New Roman" w:hAnsi="Times New Roman" w:cs="Times New Roman"/>
          <w:lang w:val="en-GB"/>
        </w:rPr>
      </w:pPr>
      <w:r w:rsidRPr="008313D9">
        <w:rPr>
          <w:rFonts w:ascii="Times New Roman" w:eastAsia="Times New Roman" w:hAnsi="Times New Roman" w:cs="Times New Roman"/>
          <w:lang w:val="en-GB"/>
        </w:rPr>
        <w:t>To be deeply familiar with the tasks of military management and the used methods and information systems.</w:t>
      </w:r>
    </w:p>
    <w:p w:rsidR="00F12E81" w:rsidRPr="008313D9" w:rsidRDefault="00F12E81" w:rsidP="00F12E81">
      <w:pPr>
        <w:widowControl w:val="0"/>
        <w:spacing w:before="120" w:after="0" w:line="240" w:lineRule="auto"/>
        <w:ind w:left="425"/>
        <w:jc w:val="both"/>
        <w:rPr>
          <w:rFonts w:ascii="Times New Roman" w:eastAsia="Times New Roman" w:hAnsi="Times New Roman" w:cs="Times New Roman"/>
          <w:lang w:val="en-GB"/>
        </w:rPr>
      </w:pPr>
      <w:r w:rsidRPr="008313D9">
        <w:rPr>
          <w:rFonts w:ascii="Times New Roman" w:eastAsia="Times New Roman" w:hAnsi="Times New Roman" w:cs="Times New Roman"/>
          <w:b/>
          <w:lang w:val="en-GB"/>
        </w:rPr>
        <w:t>Capabilities</w:t>
      </w:r>
      <w:r w:rsidRPr="008313D9">
        <w:rPr>
          <w:rFonts w:ascii="Times New Roman" w:eastAsia="Times New Roman" w:hAnsi="Times New Roman" w:cs="Times New Roman"/>
          <w:lang w:val="en-GB"/>
        </w:rPr>
        <w:t xml:space="preserve">: </w:t>
      </w:r>
    </w:p>
    <w:p w:rsidR="00F12E81" w:rsidRPr="008313D9" w:rsidRDefault="00F12E81" w:rsidP="00C2057B">
      <w:pPr>
        <w:pStyle w:val="Listaszerbekezds"/>
        <w:widowControl w:val="0"/>
        <w:numPr>
          <w:ilvl w:val="0"/>
          <w:numId w:val="70"/>
        </w:numPr>
        <w:spacing w:after="0" w:line="240" w:lineRule="auto"/>
        <w:jc w:val="both"/>
        <w:rPr>
          <w:rFonts w:ascii="Times New Roman" w:eastAsia="Times New Roman" w:hAnsi="Times New Roman" w:cs="Times New Roman"/>
          <w:lang w:val="en-GB"/>
        </w:rPr>
      </w:pPr>
      <w:r w:rsidRPr="008313D9">
        <w:rPr>
          <w:rFonts w:ascii="Times New Roman" w:eastAsia="Times New Roman" w:hAnsi="Times New Roman" w:cs="Times New Roman"/>
          <w:lang w:val="en-GB"/>
        </w:rPr>
        <w:t xml:space="preserve">To be able to create a complete and reliable picture of the financial situation of government and non-government entities. </w:t>
      </w:r>
    </w:p>
    <w:p w:rsidR="00F12E81" w:rsidRPr="008313D9" w:rsidRDefault="00F12E81" w:rsidP="00C2057B">
      <w:pPr>
        <w:pStyle w:val="Listaszerbekezds"/>
        <w:widowControl w:val="0"/>
        <w:numPr>
          <w:ilvl w:val="0"/>
          <w:numId w:val="70"/>
        </w:numPr>
        <w:spacing w:after="0" w:line="240" w:lineRule="auto"/>
        <w:jc w:val="both"/>
        <w:rPr>
          <w:rFonts w:ascii="Times New Roman" w:eastAsia="Times New Roman" w:hAnsi="Times New Roman" w:cs="Times New Roman"/>
          <w:lang w:val="en-GB"/>
        </w:rPr>
      </w:pPr>
      <w:r w:rsidRPr="008313D9">
        <w:rPr>
          <w:rFonts w:ascii="Times New Roman" w:eastAsia="Times New Roman" w:hAnsi="Times New Roman" w:cs="Times New Roman"/>
          <w:lang w:val="en-GB"/>
        </w:rPr>
        <w:t>To have ability to make accurate logistical and economic calculations.</w:t>
      </w:r>
    </w:p>
    <w:p w:rsidR="00F12E81" w:rsidRPr="008313D9" w:rsidRDefault="00F12E81" w:rsidP="00C2057B">
      <w:pPr>
        <w:pStyle w:val="Listaszerbekezds"/>
        <w:widowControl w:val="0"/>
        <w:numPr>
          <w:ilvl w:val="0"/>
          <w:numId w:val="70"/>
        </w:numPr>
        <w:spacing w:after="0" w:line="240" w:lineRule="auto"/>
        <w:jc w:val="both"/>
        <w:rPr>
          <w:rFonts w:ascii="Times New Roman" w:eastAsia="Times New Roman" w:hAnsi="Times New Roman" w:cs="Times New Roman"/>
          <w:lang w:val="en-GB"/>
        </w:rPr>
      </w:pPr>
      <w:r w:rsidRPr="008313D9">
        <w:rPr>
          <w:rFonts w:ascii="Times New Roman" w:eastAsia="Times New Roman" w:hAnsi="Times New Roman" w:cs="Times New Roman"/>
          <w:lang w:val="en-GB"/>
        </w:rPr>
        <w:t>To be able to plan, organise, control and evaluate management and financial tasks.</w:t>
      </w:r>
    </w:p>
    <w:p w:rsidR="00F12E81" w:rsidRPr="008313D9" w:rsidRDefault="00F12E81" w:rsidP="00F12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425"/>
        <w:jc w:val="both"/>
        <w:rPr>
          <w:rFonts w:ascii="Times New Roman" w:eastAsia="Times New Roman" w:hAnsi="Times New Roman" w:cs="Times New Roman"/>
          <w:lang w:val="en-GB"/>
        </w:rPr>
      </w:pPr>
      <w:r w:rsidRPr="008313D9">
        <w:rPr>
          <w:rFonts w:ascii="Times New Roman" w:eastAsia="Times New Roman" w:hAnsi="Times New Roman" w:cs="Times New Roman"/>
          <w:b/>
          <w:lang w:val="en-GB"/>
        </w:rPr>
        <w:t>Attitude:</w:t>
      </w:r>
      <w:r w:rsidRPr="008313D9">
        <w:rPr>
          <w:rFonts w:ascii="Times New Roman" w:eastAsia="Times New Roman" w:hAnsi="Times New Roman" w:cs="Times New Roman"/>
          <w:lang w:val="en-GB"/>
        </w:rPr>
        <w:t xml:space="preserve"> </w:t>
      </w:r>
    </w:p>
    <w:p w:rsidR="00F12E81" w:rsidRPr="008313D9" w:rsidRDefault="00F12E81" w:rsidP="00C2057B">
      <w:pPr>
        <w:pStyle w:val="Listaszerbekezds"/>
        <w:numPr>
          <w:ilvl w:val="0"/>
          <w:numId w:val="71"/>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val="en-GB"/>
        </w:rPr>
      </w:pPr>
      <w:r w:rsidRPr="008313D9">
        <w:rPr>
          <w:rFonts w:ascii="Times New Roman" w:eastAsia="Times New Roman" w:hAnsi="Times New Roman" w:cs="Times New Roman"/>
          <w:lang w:val="en-GB"/>
        </w:rPr>
        <w:t>To be committed to high standard work and accuracy.</w:t>
      </w:r>
    </w:p>
    <w:p w:rsidR="00F12E81" w:rsidRPr="008313D9" w:rsidRDefault="00F12E81" w:rsidP="00C2057B">
      <w:pPr>
        <w:pStyle w:val="Listaszerbekezds"/>
        <w:numPr>
          <w:ilvl w:val="0"/>
          <w:numId w:val="71"/>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val="en-GB"/>
        </w:rPr>
      </w:pPr>
      <w:r w:rsidRPr="008313D9">
        <w:rPr>
          <w:rFonts w:ascii="Times New Roman" w:eastAsia="Times New Roman" w:hAnsi="Times New Roman" w:cs="Times New Roman"/>
          <w:lang w:val="en-GB"/>
        </w:rPr>
        <w:t>To be able to recognize the advantages and opportunities offered by well-structured activities and to be seeking to understand the logical connections among logistic activities.</w:t>
      </w:r>
    </w:p>
    <w:p w:rsidR="00F12E81" w:rsidRPr="008313D9" w:rsidRDefault="00F12E81" w:rsidP="00C2057B">
      <w:pPr>
        <w:pStyle w:val="Listaszerbekezds"/>
        <w:numPr>
          <w:ilvl w:val="0"/>
          <w:numId w:val="71"/>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val="en-GB"/>
        </w:rPr>
      </w:pPr>
      <w:r w:rsidRPr="008313D9">
        <w:rPr>
          <w:rFonts w:ascii="Times New Roman" w:eastAsia="Times New Roman" w:hAnsi="Times New Roman" w:cs="Times New Roman"/>
          <w:lang w:val="en-GB"/>
        </w:rPr>
        <w:t xml:space="preserve">To be characterized by efficiency-based attitude.    </w:t>
      </w:r>
    </w:p>
    <w:p w:rsidR="00F12E81" w:rsidRPr="008313D9" w:rsidRDefault="00F12E81" w:rsidP="00F12E81">
      <w:pPr>
        <w:widowControl w:val="0"/>
        <w:spacing w:before="120" w:after="0" w:line="240" w:lineRule="auto"/>
        <w:ind w:left="425"/>
        <w:jc w:val="both"/>
        <w:rPr>
          <w:rFonts w:ascii="Times New Roman" w:eastAsia="Times New Roman" w:hAnsi="Times New Roman" w:cs="Times New Roman"/>
          <w:bCs/>
        </w:rPr>
      </w:pPr>
      <w:r w:rsidRPr="008313D9">
        <w:rPr>
          <w:rFonts w:ascii="Times New Roman" w:eastAsia="Times New Roman" w:hAnsi="Times New Roman" w:cs="Times New Roman"/>
          <w:b/>
          <w:lang w:val="en-GB"/>
        </w:rPr>
        <w:t xml:space="preserve">Autonomy and responsibility: </w:t>
      </w:r>
    </w:p>
    <w:p w:rsidR="00F12E81" w:rsidRPr="008313D9" w:rsidRDefault="00F12E81" w:rsidP="00C2057B">
      <w:pPr>
        <w:pStyle w:val="Listaszerbekezds"/>
        <w:widowControl w:val="0"/>
        <w:numPr>
          <w:ilvl w:val="0"/>
          <w:numId w:val="72"/>
        </w:numPr>
        <w:spacing w:after="0" w:line="240" w:lineRule="auto"/>
        <w:jc w:val="both"/>
        <w:rPr>
          <w:rFonts w:ascii="Times New Roman" w:eastAsia="Times New Roman" w:hAnsi="Times New Roman" w:cs="Times New Roman"/>
          <w:bCs/>
          <w:lang w:val="en-US"/>
        </w:rPr>
      </w:pPr>
      <w:r w:rsidRPr="008313D9">
        <w:rPr>
          <w:rFonts w:ascii="Times New Roman" w:eastAsia="Times New Roman" w:hAnsi="Times New Roman" w:cs="Times New Roman"/>
          <w:bCs/>
          <w:lang w:val="en-US"/>
        </w:rPr>
        <w:t xml:space="preserve">Take responsibility for the accuracy of the calculations.  </w:t>
      </w:r>
    </w:p>
    <w:p w:rsidR="00F12E81" w:rsidRPr="008313D9" w:rsidRDefault="00F12E81" w:rsidP="00C2057B">
      <w:pPr>
        <w:widowControl w:val="0"/>
        <w:numPr>
          <w:ilvl w:val="0"/>
          <w:numId w:val="73"/>
        </w:numPr>
        <w:tabs>
          <w:tab w:val="num" w:pos="567"/>
        </w:tabs>
        <w:spacing w:before="120" w:after="120" w:line="240" w:lineRule="auto"/>
        <w:ind w:left="426" w:hanging="142"/>
        <w:jc w:val="both"/>
        <w:rPr>
          <w:rFonts w:ascii="Times New Roman" w:eastAsia="Times New Roman" w:hAnsi="Times New Roman" w:cs="Times New Roman"/>
          <w:bCs/>
        </w:rPr>
      </w:pPr>
      <w:r w:rsidRPr="008313D9">
        <w:rPr>
          <w:rFonts w:ascii="Times New Roman" w:eastAsia="Times New Roman" w:hAnsi="Times New Roman" w:cs="Times New Roman"/>
          <w:b/>
          <w:bCs/>
        </w:rPr>
        <w:t xml:space="preserve">Előtanulmányi követelmények: </w:t>
      </w:r>
      <w:r w:rsidRPr="008313D9">
        <w:rPr>
          <w:rFonts w:ascii="Times New Roman" w:eastAsia="Times New Roman" w:hAnsi="Times New Roman" w:cs="Times New Roman"/>
          <w:bCs/>
        </w:rPr>
        <w:t>-</w:t>
      </w:r>
    </w:p>
    <w:p w:rsidR="00F12E81" w:rsidRPr="008313D9" w:rsidRDefault="00F12E81" w:rsidP="00C2057B">
      <w:pPr>
        <w:widowControl w:val="0"/>
        <w:numPr>
          <w:ilvl w:val="0"/>
          <w:numId w:val="73"/>
        </w:numPr>
        <w:spacing w:before="120" w:after="120" w:line="240" w:lineRule="auto"/>
        <w:ind w:left="426" w:hanging="142"/>
        <w:jc w:val="both"/>
        <w:rPr>
          <w:rFonts w:ascii="Times New Roman" w:eastAsia="Times New Roman" w:hAnsi="Times New Roman" w:cs="Times New Roman"/>
          <w:b/>
          <w:bCs/>
          <w:lang w:val="en-US"/>
        </w:rPr>
      </w:pPr>
      <w:r w:rsidRPr="008313D9">
        <w:rPr>
          <w:rFonts w:ascii="Times New Roman" w:eastAsia="Times New Roman" w:hAnsi="Times New Roman" w:cs="Times New Roman"/>
          <w:b/>
          <w:bCs/>
          <w:lang w:val="en-US"/>
        </w:rPr>
        <w:t>A tantárgy tananyagának leírása, tematika. Description of the subject, curriculum (magyarul, angolul - English):</w:t>
      </w:r>
    </w:p>
    <w:p w:rsidR="00F12E81" w:rsidRPr="008313D9" w:rsidRDefault="00F12E81" w:rsidP="00C2057B">
      <w:pPr>
        <w:widowControl w:val="0"/>
        <w:numPr>
          <w:ilvl w:val="1"/>
          <w:numId w:val="73"/>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i/>
          <w:lang w:val="en-US"/>
        </w:rPr>
      </w:pPr>
      <w:r w:rsidRPr="008313D9">
        <w:rPr>
          <w:rFonts w:ascii="Times New Roman" w:hAnsi="Times New Roman" w:cs="Times New Roman"/>
          <w:bCs/>
        </w:rPr>
        <w:t>Statisztika funkciói, hazai és nemzetközi intézményrendszere</w:t>
      </w:r>
      <w:r w:rsidRPr="008313D9">
        <w:rPr>
          <w:rFonts w:ascii="Times New Roman" w:hAnsi="Times New Roman" w:cs="Times New Roman"/>
          <w:lang w:val="en-US"/>
        </w:rPr>
        <w:t xml:space="preserve">. </w:t>
      </w:r>
      <w:r w:rsidRPr="008313D9">
        <w:rPr>
          <w:rFonts w:ascii="Times New Roman" w:eastAsia="Times New Roman" w:hAnsi="Times New Roman" w:cs="Times New Roman"/>
          <w:lang w:val="en-US"/>
        </w:rPr>
        <w:t xml:space="preserve"> </w:t>
      </w:r>
      <w:r w:rsidRPr="008313D9">
        <w:rPr>
          <w:rFonts w:ascii="Times New Roman" w:eastAsia="Times New Roman" w:hAnsi="Times New Roman" w:cs="Times New Roman"/>
          <w:i/>
          <w:lang w:val="en-US"/>
        </w:rPr>
        <w:t>(Functions and institutional background of statistics.)</w:t>
      </w:r>
    </w:p>
    <w:p w:rsidR="00F12E81" w:rsidRPr="008313D9" w:rsidRDefault="00F12E81" w:rsidP="00C2057B">
      <w:pPr>
        <w:widowControl w:val="0"/>
        <w:numPr>
          <w:ilvl w:val="1"/>
          <w:numId w:val="73"/>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i/>
          <w:lang w:val="en-US"/>
        </w:rPr>
      </w:pPr>
      <w:r w:rsidRPr="008313D9">
        <w:rPr>
          <w:rFonts w:ascii="Times New Roman" w:eastAsia="Times New Roman" w:hAnsi="Times New Roman" w:cs="Times New Roman"/>
          <w:bCs/>
        </w:rPr>
        <w:t>Alapfogalmak: sokaság, ismérv, adat, statisztikai sorok</w:t>
      </w:r>
      <w:r w:rsidRPr="008313D9">
        <w:rPr>
          <w:rFonts w:ascii="Times New Roman" w:eastAsia="Times New Roman" w:hAnsi="Times New Roman" w:cs="Times New Roman"/>
          <w:bCs/>
          <w:lang w:val="en-US"/>
        </w:rPr>
        <w:t xml:space="preserve">. </w:t>
      </w:r>
      <w:r w:rsidRPr="008313D9">
        <w:rPr>
          <w:rFonts w:ascii="Times New Roman" w:eastAsia="Times New Roman" w:hAnsi="Times New Roman" w:cs="Times New Roman"/>
          <w:bCs/>
          <w:i/>
          <w:lang w:val="en-US"/>
        </w:rPr>
        <w:t>(Basic definitions.)</w:t>
      </w:r>
    </w:p>
    <w:p w:rsidR="00F12E81" w:rsidRPr="008313D9" w:rsidRDefault="00F12E81" w:rsidP="00C2057B">
      <w:pPr>
        <w:widowControl w:val="0"/>
        <w:numPr>
          <w:ilvl w:val="1"/>
          <w:numId w:val="73"/>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lang w:val="en-US"/>
        </w:rPr>
      </w:pPr>
      <w:r w:rsidRPr="008313D9">
        <w:rPr>
          <w:rFonts w:ascii="Times New Roman" w:hAnsi="Times New Roman" w:cs="Times New Roman"/>
          <w:bCs/>
        </w:rPr>
        <w:t>Viszonyszámok: csoportosító, összehasonlító és leíró sorból képezett viszonyszámok. Az egyes viszonyszámok közötti összefüggések</w:t>
      </w:r>
      <w:r w:rsidRPr="008313D9">
        <w:rPr>
          <w:rFonts w:ascii="Times New Roman" w:hAnsi="Times New Roman" w:cs="Times New Roman"/>
          <w:bCs/>
          <w:lang w:val="en-US"/>
        </w:rPr>
        <w:t>.</w:t>
      </w:r>
      <w:r w:rsidRPr="008313D9">
        <w:rPr>
          <w:rFonts w:ascii="Times New Roman" w:hAnsi="Times New Roman" w:cs="Times New Roman"/>
          <w:lang w:val="en-US"/>
        </w:rPr>
        <w:t xml:space="preserve"> </w:t>
      </w:r>
      <w:r w:rsidRPr="008313D9">
        <w:rPr>
          <w:rFonts w:ascii="Times New Roman" w:eastAsia="Times New Roman" w:hAnsi="Times New Roman" w:cs="Times New Roman"/>
          <w:i/>
          <w:lang w:val="en-US"/>
        </w:rPr>
        <w:t>(Different types of r</w:t>
      </w:r>
      <w:r w:rsidRPr="008313D9">
        <w:rPr>
          <w:rFonts w:ascii="Times New Roman" w:eastAsia="Times New Roman" w:hAnsi="Times New Roman" w:cs="Times New Roman"/>
          <w:bCs/>
          <w:i/>
          <w:lang w:val="en-US"/>
        </w:rPr>
        <w:t>atio numbers.</w:t>
      </w:r>
      <w:r w:rsidRPr="008313D9">
        <w:rPr>
          <w:rFonts w:ascii="Times New Roman" w:eastAsia="Times New Roman" w:hAnsi="Times New Roman" w:cs="Times New Roman"/>
          <w:i/>
          <w:lang w:val="en-US"/>
        </w:rPr>
        <w:t>)</w:t>
      </w:r>
    </w:p>
    <w:p w:rsidR="00F12E81" w:rsidRPr="008313D9" w:rsidRDefault="00F12E81" w:rsidP="00C2057B">
      <w:pPr>
        <w:widowControl w:val="0"/>
        <w:numPr>
          <w:ilvl w:val="1"/>
          <w:numId w:val="73"/>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lang w:val="en-US"/>
        </w:rPr>
      </w:pPr>
      <w:r w:rsidRPr="008313D9">
        <w:rPr>
          <w:rFonts w:ascii="Times New Roman" w:hAnsi="Times New Roman" w:cs="Times New Roman"/>
          <w:bCs/>
          <w:lang w:val="en-US"/>
        </w:rPr>
        <w:t>Statisztikai adatok grafikus ábrázolása</w:t>
      </w:r>
      <w:r w:rsidRPr="008313D9">
        <w:rPr>
          <w:rFonts w:ascii="Times New Roman" w:hAnsi="Times New Roman" w:cs="Times New Roman"/>
          <w:lang w:val="en-US"/>
        </w:rPr>
        <w:t xml:space="preserve">. </w:t>
      </w:r>
      <w:r w:rsidRPr="008313D9">
        <w:rPr>
          <w:rFonts w:ascii="Times New Roman" w:eastAsia="Times New Roman" w:hAnsi="Times New Roman" w:cs="Times New Roman"/>
          <w:lang w:val="en-US"/>
        </w:rPr>
        <w:t xml:space="preserve"> </w:t>
      </w:r>
      <w:r w:rsidRPr="008313D9">
        <w:rPr>
          <w:rFonts w:ascii="Times New Roman" w:eastAsia="Times New Roman" w:hAnsi="Times New Roman" w:cs="Times New Roman"/>
          <w:i/>
          <w:lang w:val="en-US"/>
        </w:rPr>
        <w:t>(Graphical presentations of statistical data</w:t>
      </w:r>
      <w:r w:rsidRPr="008313D9">
        <w:rPr>
          <w:rFonts w:ascii="Times New Roman" w:eastAsia="Times New Roman" w:hAnsi="Times New Roman" w:cs="Times New Roman"/>
          <w:bCs/>
          <w:i/>
          <w:lang w:val="en-US"/>
        </w:rPr>
        <w:t>.</w:t>
      </w:r>
      <w:r w:rsidRPr="008313D9">
        <w:rPr>
          <w:rFonts w:ascii="Times New Roman" w:eastAsia="Times New Roman" w:hAnsi="Times New Roman" w:cs="Times New Roman"/>
          <w:i/>
          <w:lang w:val="en-US"/>
        </w:rPr>
        <w:t>)</w:t>
      </w:r>
    </w:p>
    <w:p w:rsidR="00F12E81" w:rsidRPr="008313D9" w:rsidRDefault="00F12E81" w:rsidP="00C2057B">
      <w:pPr>
        <w:widowControl w:val="0"/>
        <w:numPr>
          <w:ilvl w:val="1"/>
          <w:numId w:val="73"/>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i/>
          <w:lang w:val="en-US"/>
        </w:rPr>
      </w:pPr>
      <w:r w:rsidRPr="008313D9">
        <w:rPr>
          <w:rFonts w:ascii="Times New Roman" w:eastAsia="Times New Roman" w:hAnsi="Times New Roman" w:cs="Times New Roman"/>
          <w:bCs/>
        </w:rPr>
        <w:t>Mennyiségi sorok elemzése: középérték, szóródás, aszimmetria</w:t>
      </w:r>
      <w:r w:rsidRPr="008313D9">
        <w:rPr>
          <w:rFonts w:ascii="Times New Roman" w:eastAsia="Times New Roman" w:hAnsi="Times New Roman" w:cs="Times New Roman"/>
          <w:lang w:val="en-US"/>
        </w:rPr>
        <w:t xml:space="preserve">. </w:t>
      </w:r>
      <w:r w:rsidRPr="008313D9">
        <w:rPr>
          <w:rFonts w:ascii="Times New Roman" w:eastAsia="Times New Roman" w:hAnsi="Times New Roman" w:cs="Times New Roman"/>
          <w:i/>
          <w:lang w:val="en-US"/>
        </w:rPr>
        <w:t xml:space="preserve">(Description and analysis of quantitative samples: common and middle numbers, variability, asymmetric.) </w:t>
      </w:r>
    </w:p>
    <w:p w:rsidR="00F12E81" w:rsidRPr="008313D9" w:rsidRDefault="00F12E81" w:rsidP="00C2057B">
      <w:pPr>
        <w:widowControl w:val="0"/>
        <w:numPr>
          <w:ilvl w:val="1"/>
          <w:numId w:val="73"/>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i/>
          <w:lang w:val="en-US"/>
        </w:rPr>
      </w:pPr>
      <w:r w:rsidRPr="008313D9">
        <w:rPr>
          <w:rFonts w:ascii="Times New Roman" w:eastAsia="Times New Roman" w:hAnsi="Times New Roman" w:cs="Times New Roman"/>
          <w:bCs/>
        </w:rPr>
        <w:t>Idősorok elemzése: idősorok elemzése viszonyszámokkal, átlagokkal</w:t>
      </w:r>
      <w:r w:rsidRPr="008313D9">
        <w:rPr>
          <w:rFonts w:ascii="Times New Roman" w:eastAsia="Times New Roman" w:hAnsi="Times New Roman" w:cs="Times New Roman"/>
          <w:lang w:val="en-US"/>
        </w:rPr>
        <w:t xml:space="preserve">. </w:t>
      </w:r>
      <w:r w:rsidRPr="008313D9">
        <w:rPr>
          <w:rFonts w:ascii="Times New Roman" w:eastAsia="Times New Roman" w:hAnsi="Times New Roman" w:cs="Times New Roman"/>
          <w:i/>
          <w:lang w:val="en-US"/>
        </w:rPr>
        <w:t>(Description and analysis of time series.)</w:t>
      </w:r>
    </w:p>
    <w:p w:rsidR="00F12E81" w:rsidRPr="008313D9" w:rsidRDefault="00F12E81" w:rsidP="00C2057B">
      <w:pPr>
        <w:widowControl w:val="0"/>
        <w:numPr>
          <w:ilvl w:val="1"/>
          <w:numId w:val="73"/>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i/>
          <w:lang w:val="en-US"/>
        </w:rPr>
      </w:pPr>
      <w:r w:rsidRPr="008313D9">
        <w:rPr>
          <w:rFonts w:ascii="Times New Roman" w:eastAsia="Times New Roman" w:hAnsi="Times New Roman" w:cs="Times New Roman"/>
          <w:bCs/>
        </w:rPr>
        <w:t>Statisztikai táblák készítése. Az egyszerű táblák elemzése</w:t>
      </w:r>
      <w:r w:rsidRPr="008313D9">
        <w:rPr>
          <w:rFonts w:ascii="Times New Roman" w:eastAsia="Times New Roman" w:hAnsi="Times New Roman" w:cs="Times New Roman"/>
          <w:lang w:val="en-US"/>
        </w:rPr>
        <w:t xml:space="preserve">. </w:t>
      </w:r>
      <w:r w:rsidRPr="008313D9">
        <w:rPr>
          <w:rFonts w:ascii="Times New Roman" w:eastAsia="Times New Roman" w:hAnsi="Times New Roman" w:cs="Times New Roman"/>
          <w:i/>
          <w:lang w:val="en-US"/>
        </w:rPr>
        <w:t>(Statistical tables. Analysis of simple tables.)</w:t>
      </w:r>
    </w:p>
    <w:p w:rsidR="00F12E81" w:rsidRPr="008313D9" w:rsidRDefault="00F12E81" w:rsidP="00C2057B">
      <w:pPr>
        <w:widowControl w:val="0"/>
        <w:numPr>
          <w:ilvl w:val="1"/>
          <w:numId w:val="73"/>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i/>
          <w:lang w:val="en-US"/>
        </w:rPr>
      </w:pPr>
      <w:r w:rsidRPr="008313D9">
        <w:rPr>
          <w:rFonts w:ascii="Times New Roman" w:eastAsia="Times New Roman" w:hAnsi="Times New Roman" w:cs="Times New Roman"/>
          <w:lang w:val="en-US"/>
        </w:rPr>
        <w:t xml:space="preserve">Csoportosító táblák elemzése: az asszociációs kapcsolat szorossága, a vegyes kapcsolat szorossága, </w:t>
      </w:r>
      <w:r w:rsidRPr="008313D9">
        <w:rPr>
          <w:rFonts w:ascii="Times New Roman" w:eastAsia="Times New Roman" w:hAnsi="Times New Roman" w:cs="Times New Roman"/>
          <w:bCs/>
        </w:rPr>
        <w:t>korrelációs kapcsolat szorossága.</w:t>
      </w:r>
      <w:r w:rsidRPr="008313D9">
        <w:rPr>
          <w:rFonts w:ascii="Times New Roman" w:eastAsia="Times New Roman" w:hAnsi="Times New Roman" w:cs="Times New Roman"/>
          <w:lang w:val="en-US"/>
        </w:rPr>
        <w:t xml:space="preserve"> </w:t>
      </w:r>
      <w:r w:rsidRPr="008313D9">
        <w:rPr>
          <w:rFonts w:ascii="Times New Roman" w:eastAsia="Times New Roman" w:hAnsi="Times New Roman" w:cs="Times New Roman"/>
          <w:i/>
          <w:lang w:val="en-US"/>
        </w:rPr>
        <w:t>(Analysis of complex tables and dependence: association, correlation.)</w:t>
      </w:r>
    </w:p>
    <w:p w:rsidR="00F12E81" w:rsidRPr="008313D9" w:rsidRDefault="00F12E81" w:rsidP="00C2057B">
      <w:pPr>
        <w:widowControl w:val="0"/>
        <w:numPr>
          <w:ilvl w:val="1"/>
          <w:numId w:val="73"/>
        </w:numPr>
        <w:tabs>
          <w:tab w:val="clear" w:pos="3977"/>
          <w:tab w:val="left" w:pos="709"/>
          <w:tab w:val="left" w:pos="993"/>
          <w:tab w:val="num" w:pos="2069"/>
          <w:tab w:val="num" w:pos="7661"/>
        </w:tabs>
        <w:spacing w:before="120" w:after="120" w:line="240" w:lineRule="auto"/>
        <w:ind w:left="993" w:hanging="567"/>
        <w:jc w:val="both"/>
        <w:rPr>
          <w:rFonts w:ascii="Times New Roman" w:eastAsia="Times New Roman" w:hAnsi="Times New Roman" w:cs="Times New Roman"/>
          <w:i/>
          <w:lang w:val="en-US"/>
        </w:rPr>
      </w:pPr>
      <w:r w:rsidRPr="008313D9">
        <w:rPr>
          <w:rFonts w:ascii="Times New Roman" w:eastAsia="Times New Roman" w:hAnsi="Times New Roman" w:cs="Times New Roman"/>
          <w:bCs/>
        </w:rPr>
        <w:t>Standardizálás, főátlag és részátlag indexek számítása.</w:t>
      </w:r>
      <w:r w:rsidRPr="008313D9">
        <w:rPr>
          <w:rFonts w:ascii="Times New Roman" w:eastAsia="Times New Roman" w:hAnsi="Times New Roman" w:cs="Times New Roman"/>
          <w:lang w:val="en-US"/>
        </w:rPr>
        <w:t xml:space="preserve"> </w:t>
      </w:r>
      <w:r w:rsidRPr="008313D9">
        <w:rPr>
          <w:rFonts w:ascii="Times New Roman" w:eastAsia="Times New Roman" w:hAnsi="Times New Roman" w:cs="Times New Roman"/>
          <w:i/>
          <w:lang w:val="en-US"/>
        </w:rPr>
        <w:t>(Standardization.)</w:t>
      </w:r>
    </w:p>
    <w:p w:rsidR="00F12E81" w:rsidRPr="008313D9" w:rsidRDefault="00F12E81" w:rsidP="00C2057B">
      <w:pPr>
        <w:widowControl w:val="0"/>
        <w:numPr>
          <w:ilvl w:val="1"/>
          <w:numId w:val="73"/>
        </w:numPr>
        <w:tabs>
          <w:tab w:val="clear" w:pos="3977"/>
          <w:tab w:val="left" w:pos="709"/>
          <w:tab w:val="left" w:pos="993"/>
          <w:tab w:val="num" w:pos="2069"/>
          <w:tab w:val="num" w:pos="7661"/>
        </w:tabs>
        <w:spacing w:before="120" w:after="120" w:line="240" w:lineRule="auto"/>
        <w:ind w:left="993" w:hanging="567"/>
        <w:jc w:val="both"/>
        <w:rPr>
          <w:rFonts w:ascii="Times New Roman" w:eastAsia="Times New Roman" w:hAnsi="Times New Roman" w:cs="Times New Roman"/>
          <w:i/>
          <w:lang w:val="en-US"/>
        </w:rPr>
      </w:pPr>
      <w:r w:rsidRPr="008313D9">
        <w:rPr>
          <w:rFonts w:ascii="Times New Roman" w:eastAsia="Times New Roman" w:hAnsi="Times New Roman" w:cs="Times New Roman"/>
          <w:lang w:val="en-US"/>
        </w:rPr>
        <w:t>Indexszámítás (értékindex, volumenindex, árindex)</w:t>
      </w:r>
      <w:r w:rsidRPr="008313D9">
        <w:rPr>
          <w:rFonts w:ascii="Times New Roman" w:eastAsia="Times New Roman" w:hAnsi="Times New Roman" w:cs="Times New Roman"/>
          <w:bCs/>
        </w:rPr>
        <w:t>.</w:t>
      </w:r>
      <w:r w:rsidRPr="008313D9">
        <w:rPr>
          <w:rFonts w:ascii="Times New Roman" w:eastAsia="Times New Roman" w:hAnsi="Times New Roman" w:cs="Times New Roman"/>
          <w:lang w:val="en-US"/>
        </w:rPr>
        <w:t xml:space="preserve"> </w:t>
      </w:r>
      <w:r w:rsidRPr="008313D9">
        <w:rPr>
          <w:rFonts w:ascii="Times New Roman" w:eastAsia="Times New Roman" w:hAnsi="Times New Roman" w:cs="Times New Roman"/>
          <w:i/>
          <w:lang w:val="en-US"/>
        </w:rPr>
        <w:t>(Value, volume and price indexes.)</w:t>
      </w:r>
    </w:p>
    <w:p w:rsidR="00F12E81" w:rsidRPr="008313D9" w:rsidRDefault="00F12E81" w:rsidP="00C2057B">
      <w:pPr>
        <w:widowControl w:val="0"/>
        <w:numPr>
          <w:ilvl w:val="1"/>
          <w:numId w:val="73"/>
        </w:numPr>
        <w:tabs>
          <w:tab w:val="clear" w:pos="3977"/>
          <w:tab w:val="left" w:pos="709"/>
          <w:tab w:val="left" w:pos="993"/>
          <w:tab w:val="num" w:pos="2069"/>
          <w:tab w:val="num" w:pos="7661"/>
        </w:tabs>
        <w:spacing w:before="120" w:after="120" w:line="240" w:lineRule="auto"/>
        <w:ind w:left="993" w:hanging="567"/>
        <w:jc w:val="both"/>
        <w:rPr>
          <w:rFonts w:ascii="Times New Roman" w:eastAsia="Times New Roman" w:hAnsi="Times New Roman" w:cs="Times New Roman"/>
          <w:lang w:val="en-US"/>
        </w:rPr>
      </w:pPr>
      <w:r w:rsidRPr="008313D9">
        <w:rPr>
          <w:rFonts w:ascii="Times New Roman" w:hAnsi="Times New Roman" w:cs="Times New Roman"/>
          <w:bCs/>
        </w:rPr>
        <w:t>Adatfelvétel: kérdőívek készítése.</w:t>
      </w:r>
      <w:r w:rsidRPr="008313D9">
        <w:rPr>
          <w:rFonts w:ascii="Times New Roman" w:eastAsia="Times New Roman" w:hAnsi="Times New Roman" w:cs="Times New Roman"/>
          <w:lang w:val="en-US"/>
        </w:rPr>
        <w:t xml:space="preserve"> </w:t>
      </w:r>
      <w:r w:rsidRPr="008313D9">
        <w:rPr>
          <w:rFonts w:ascii="Times New Roman" w:eastAsia="Times New Roman" w:hAnsi="Times New Roman" w:cs="Times New Roman"/>
          <w:i/>
          <w:lang w:val="en-US"/>
        </w:rPr>
        <w:t>(</w:t>
      </w:r>
      <w:r w:rsidRPr="008313D9">
        <w:rPr>
          <w:rFonts w:ascii="Times New Roman" w:hAnsi="Times New Roman" w:cs="Times New Roman"/>
          <w:bCs/>
          <w:i/>
          <w:lang w:val="en-US"/>
        </w:rPr>
        <w:t>Creating questionnaires.)</w:t>
      </w:r>
    </w:p>
    <w:p w:rsidR="00F12E81" w:rsidRPr="008313D9" w:rsidRDefault="00F12E81" w:rsidP="00C2057B">
      <w:pPr>
        <w:widowControl w:val="0"/>
        <w:numPr>
          <w:ilvl w:val="0"/>
          <w:numId w:val="73"/>
        </w:numPr>
        <w:tabs>
          <w:tab w:val="num" w:pos="360"/>
        </w:tabs>
        <w:spacing w:before="120" w:after="120" w:line="240" w:lineRule="auto"/>
        <w:ind w:left="426" w:hanging="142"/>
        <w:jc w:val="both"/>
        <w:rPr>
          <w:rFonts w:ascii="Times New Roman" w:eastAsia="Times New Roman" w:hAnsi="Times New Roman" w:cs="Times New Roman"/>
          <w:bCs/>
        </w:rPr>
      </w:pPr>
      <w:r w:rsidRPr="008313D9">
        <w:rPr>
          <w:rFonts w:ascii="Times New Roman" w:eastAsia="Times New Roman" w:hAnsi="Times New Roman" w:cs="Times New Roman"/>
          <w:b/>
          <w:bCs/>
        </w:rPr>
        <w:lastRenderedPageBreak/>
        <w:t xml:space="preserve">A tantárgy meghirdetésének gyakorisága/a tantervben történő félévi elhelyezkedése: </w:t>
      </w:r>
      <w:r w:rsidRPr="008313D9">
        <w:rPr>
          <w:rFonts w:ascii="Times New Roman" w:eastAsia="Times New Roman" w:hAnsi="Times New Roman" w:cs="Times New Roman"/>
          <w:bCs/>
        </w:rPr>
        <w:t>Minden tavaszi szemeszterben/2. félév</w:t>
      </w:r>
    </w:p>
    <w:p w:rsidR="00F12E81" w:rsidRPr="008313D9" w:rsidRDefault="00F12E81" w:rsidP="00C2057B">
      <w:pPr>
        <w:widowControl w:val="0"/>
        <w:numPr>
          <w:ilvl w:val="0"/>
          <w:numId w:val="73"/>
        </w:numPr>
        <w:tabs>
          <w:tab w:val="num" w:pos="360"/>
        </w:tabs>
        <w:spacing w:before="120" w:after="120" w:line="240" w:lineRule="auto"/>
        <w:ind w:left="426" w:hanging="142"/>
        <w:jc w:val="both"/>
        <w:rPr>
          <w:rFonts w:ascii="Times New Roman" w:eastAsia="Times New Roman" w:hAnsi="Times New Roman" w:cs="Times New Roman"/>
          <w:bCs/>
        </w:rPr>
      </w:pPr>
      <w:r w:rsidRPr="008313D9">
        <w:rPr>
          <w:rFonts w:ascii="Times New Roman" w:eastAsia="Times New Roman" w:hAnsi="Times New Roman" w:cs="Times New Roman"/>
          <w:b/>
          <w:bCs/>
        </w:rPr>
        <w:t>A tanórákon való részvétel követelményei, az elfogadható hiányzások mértéke, a távolmaradás pótlásának lehetősége:</w:t>
      </w:r>
      <w:r w:rsidRPr="008313D9">
        <w:rPr>
          <w:rFonts w:ascii="Times New Roman" w:eastAsia="Times New Roman" w:hAnsi="Times New Roman" w:cs="Times New Roman"/>
          <w:bCs/>
        </w:rPr>
        <w:t xml:space="preserve"> A tanórákon való részvétel kötelező.</w:t>
      </w:r>
      <w:r w:rsidRPr="008313D9">
        <w:rPr>
          <w:rFonts w:ascii="Times New Roman" w:eastAsia="Times New Roman" w:hAnsi="Times New Roman" w:cs="Times New Roman"/>
          <w:b/>
          <w:bCs/>
        </w:rPr>
        <w:t xml:space="preserve"> </w:t>
      </w:r>
      <w:r w:rsidRPr="008313D9">
        <w:rPr>
          <w:rFonts w:ascii="Times New Roman" w:eastAsia="Times New Roman" w:hAnsi="Times New Roman" w:cs="Times New Roman"/>
          <w:bCs/>
        </w:rPr>
        <w:t>A félév elfogadásának feltétele a tanórák minimum 70%-án való részvétel. Ennél magasabb mértékű távolmaradás pótlása az oktató engedélyével történhet.</w:t>
      </w:r>
    </w:p>
    <w:p w:rsidR="00F12E81" w:rsidRPr="008313D9" w:rsidRDefault="00F12E81" w:rsidP="00C2057B">
      <w:pPr>
        <w:widowControl w:val="0"/>
        <w:numPr>
          <w:ilvl w:val="0"/>
          <w:numId w:val="73"/>
        </w:numPr>
        <w:tabs>
          <w:tab w:val="num" w:pos="360"/>
        </w:tabs>
        <w:spacing w:before="120" w:after="120" w:line="240" w:lineRule="auto"/>
        <w:ind w:left="426" w:hanging="142"/>
        <w:jc w:val="both"/>
        <w:rPr>
          <w:rFonts w:ascii="Times New Roman" w:eastAsia="Times New Roman" w:hAnsi="Times New Roman" w:cs="Times New Roman"/>
          <w:bCs/>
        </w:rPr>
      </w:pPr>
      <w:r w:rsidRPr="008313D9">
        <w:rPr>
          <w:rFonts w:ascii="Times New Roman" w:eastAsia="Times New Roman" w:hAnsi="Times New Roman" w:cs="Times New Roman"/>
          <w:b/>
        </w:rPr>
        <w:t xml:space="preserve">Félévközi feladatok, ismeretek ellenőrzésének rendje: </w:t>
      </w:r>
      <w:r w:rsidRPr="008313D9">
        <w:rPr>
          <w:rFonts w:ascii="Times New Roman" w:hAnsi="Times New Roman" w:cs="Times New Roman"/>
        </w:rPr>
        <w:t>A 12.1-6. témakörökből zárthelyi dolgozat írására kerül sor a témakörök befejezése után. Ezen kívül a honvéd tisztjelöltek a félév során egy komplex házifeladat sort kapnak, amelynek beadási határidejét az oktatók határozzák meg az első tanórán.</w:t>
      </w:r>
      <w:r w:rsidR="008313D9" w:rsidRPr="008313D9">
        <w:rPr>
          <w:rFonts w:ascii="Times New Roman" w:hAnsi="Times New Roman" w:cs="Times New Roman"/>
        </w:rPr>
        <w:t xml:space="preserve"> A zárthelyi dolgozat értékelése: ötfokozatú értékelés</w:t>
      </w:r>
      <w:r w:rsidR="008313D9">
        <w:rPr>
          <w:rFonts w:ascii="Times New Roman" w:hAnsi="Times New Roman" w:cs="Times New Roman"/>
        </w:rPr>
        <w:t xml:space="preserve"> – (a helyes válaszok aránya 0-50% elégtelen; 5</w:t>
      </w:r>
      <w:r w:rsidR="008313D9" w:rsidRPr="008313D9">
        <w:rPr>
          <w:rFonts w:ascii="Times New Roman" w:hAnsi="Times New Roman" w:cs="Times New Roman"/>
        </w:rPr>
        <w:t>1-70% elégséges; 71-80% közepes; 81-90% jó; 91-100% jeles osztályzat). Eredménytelen zárth</w:t>
      </w:r>
      <w:r w:rsidR="008313D9">
        <w:rPr>
          <w:rFonts w:ascii="Times New Roman" w:hAnsi="Times New Roman" w:cs="Times New Roman"/>
        </w:rPr>
        <w:t>elyi dolgozat kétszer javítható</w:t>
      </w:r>
      <w:r w:rsidR="008313D9" w:rsidRPr="008313D9">
        <w:rPr>
          <w:rFonts w:ascii="Times New Roman" w:hAnsi="Times New Roman" w:cs="Times New Roman"/>
        </w:rPr>
        <w:t>.</w:t>
      </w:r>
    </w:p>
    <w:p w:rsidR="00F12E81" w:rsidRPr="008313D9" w:rsidRDefault="00F12E81" w:rsidP="00C2057B">
      <w:pPr>
        <w:widowControl w:val="0"/>
        <w:numPr>
          <w:ilvl w:val="0"/>
          <w:numId w:val="73"/>
        </w:numPr>
        <w:spacing w:before="120" w:after="120" w:line="240" w:lineRule="auto"/>
        <w:ind w:left="426" w:hanging="142"/>
        <w:jc w:val="both"/>
        <w:rPr>
          <w:rFonts w:ascii="Times New Roman" w:eastAsia="Times New Roman" w:hAnsi="Times New Roman" w:cs="Times New Roman"/>
          <w:b/>
          <w:bCs/>
        </w:rPr>
      </w:pPr>
      <w:r w:rsidRPr="008313D9">
        <w:rPr>
          <w:rFonts w:ascii="Times New Roman" w:eastAsia="Times New Roman" w:hAnsi="Times New Roman" w:cs="Times New Roman"/>
          <w:b/>
          <w:bCs/>
        </w:rPr>
        <w:t xml:space="preserve">Az értékelés, az aláírás és a kreditek megszerzésének pontos feltételei: </w:t>
      </w:r>
    </w:p>
    <w:p w:rsidR="00F12E81" w:rsidRPr="008313D9" w:rsidRDefault="00F12E81" w:rsidP="00C2057B">
      <w:pPr>
        <w:widowControl w:val="0"/>
        <w:numPr>
          <w:ilvl w:val="1"/>
          <w:numId w:val="73"/>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8313D9">
        <w:rPr>
          <w:rFonts w:ascii="Times New Roman" w:eastAsia="Times New Roman" w:hAnsi="Times New Roman" w:cs="Times New Roman"/>
          <w:b/>
        </w:rPr>
        <w:t>Az aláírás megszerzésének feltételei:</w:t>
      </w:r>
    </w:p>
    <w:p w:rsidR="00F12E81" w:rsidRPr="008313D9" w:rsidRDefault="00F12E81" w:rsidP="00F12E81">
      <w:pPr>
        <w:widowControl w:val="0"/>
        <w:tabs>
          <w:tab w:val="left" w:pos="993"/>
        </w:tabs>
        <w:spacing w:before="120" w:after="120" w:line="240" w:lineRule="auto"/>
        <w:ind w:left="426"/>
        <w:jc w:val="both"/>
        <w:rPr>
          <w:rFonts w:ascii="Times New Roman" w:eastAsia="Times New Roman" w:hAnsi="Times New Roman" w:cs="Times New Roman"/>
        </w:rPr>
      </w:pPr>
      <w:r w:rsidRPr="008313D9">
        <w:rPr>
          <w:rFonts w:ascii="Times New Roman" w:eastAsia="Times New Roman" w:hAnsi="Times New Roman" w:cs="Times New Roman"/>
        </w:rPr>
        <w:t>Az aláírás feltétele a tanórákon történő – 14. pontban meghatározott – részvétel, a zárthelyi dolgozat megfelelő megírása, valamint a komplex házifeladat megfelelő minőségű beadása.</w:t>
      </w:r>
    </w:p>
    <w:p w:rsidR="00F12E81" w:rsidRPr="008313D9" w:rsidRDefault="00F12E81" w:rsidP="00C2057B">
      <w:pPr>
        <w:widowControl w:val="0"/>
        <w:numPr>
          <w:ilvl w:val="1"/>
          <w:numId w:val="73"/>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8313D9">
        <w:rPr>
          <w:rFonts w:ascii="Times New Roman" w:eastAsia="Times New Roman" w:hAnsi="Times New Roman" w:cs="Times New Roman"/>
          <w:b/>
        </w:rPr>
        <w:t>Az értékelés:</w:t>
      </w:r>
      <w:r w:rsidR="008313D9">
        <w:rPr>
          <w:rFonts w:ascii="Times New Roman" w:eastAsia="Times New Roman" w:hAnsi="Times New Roman" w:cs="Times New Roman"/>
          <w:b/>
        </w:rPr>
        <w:t xml:space="preserve"> </w:t>
      </w:r>
      <w:r w:rsidR="008313D9" w:rsidRPr="008313D9">
        <w:rPr>
          <w:rFonts w:ascii="Times New Roman" w:eastAsia="Times New Roman" w:hAnsi="Times New Roman" w:cs="Times New Roman"/>
        </w:rPr>
        <w:t xml:space="preserve">A félév értékelése </w:t>
      </w:r>
      <w:r w:rsidR="008313D9" w:rsidRPr="008313D9">
        <w:rPr>
          <w:rFonts w:ascii="Times New Roman" w:eastAsia="Times New Roman" w:hAnsi="Times New Roman" w:cs="Times New Roman"/>
          <w:b/>
        </w:rPr>
        <w:t>kollokvium</w:t>
      </w:r>
      <w:r w:rsidR="008313D9" w:rsidRPr="008313D9">
        <w:rPr>
          <w:rFonts w:ascii="Times New Roman" w:eastAsia="Times New Roman" w:hAnsi="Times New Roman" w:cs="Times New Roman"/>
        </w:rPr>
        <w:t xml:space="preserve"> – írásbeli vizsga. A Tanszék felkészülési kérdéseket ad ki. A vizsga tartalmát az előadáson elhangzottak és az alább felsorolt kötelező és ajánlott irodalmak anyagai képezik. A vizsgadolgozat értékelése szummatív: 0-50% - elégtelen, 51-70% - elégséges, 71-80% - közepe, 81-90% - jó, 91-100% - jeles.</w:t>
      </w:r>
    </w:p>
    <w:p w:rsidR="00F12E81" w:rsidRPr="008313D9" w:rsidRDefault="00F12E81" w:rsidP="00C2057B">
      <w:pPr>
        <w:widowControl w:val="0"/>
        <w:numPr>
          <w:ilvl w:val="1"/>
          <w:numId w:val="73"/>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8313D9">
        <w:rPr>
          <w:rFonts w:ascii="Times New Roman" w:eastAsia="Times New Roman" w:hAnsi="Times New Roman" w:cs="Times New Roman"/>
          <w:b/>
        </w:rPr>
        <w:t>A kreditek megszerzésének feltételei:</w:t>
      </w:r>
      <w:r w:rsidRPr="008313D9">
        <w:rPr>
          <w:rFonts w:ascii="Times New Roman" w:eastAsia="Times New Roman" w:hAnsi="Times New Roman" w:cs="Times New Roman"/>
        </w:rPr>
        <w:t xml:space="preserve"> </w:t>
      </w:r>
      <w:r w:rsidR="008313D9" w:rsidRPr="008313D9">
        <w:rPr>
          <w:rFonts w:ascii="Times New Roman" w:eastAsia="Times New Roman" w:hAnsi="Times New Roman" w:cs="Times New Roman"/>
        </w:rPr>
        <w:t>A kreditek megszerzésének feltétele az aláírás megszerzése és a kollokviumi írásbeli vizsga legalább elégséges szintű megírása.</w:t>
      </w:r>
    </w:p>
    <w:p w:rsidR="00F12E81" w:rsidRPr="008313D9" w:rsidRDefault="00F12E81" w:rsidP="00C2057B">
      <w:pPr>
        <w:widowControl w:val="0"/>
        <w:numPr>
          <w:ilvl w:val="0"/>
          <w:numId w:val="73"/>
        </w:numPr>
        <w:tabs>
          <w:tab w:val="num" w:pos="360"/>
        </w:tabs>
        <w:spacing w:before="120" w:after="120" w:line="240" w:lineRule="auto"/>
        <w:ind w:left="426" w:hanging="142"/>
        <w:jc w:val="both"/>
        <w:rPr>
          <w:rFonts w:ascii="Times New Roman" w:eastAsia="Times New Roman" w:hAnsi="Times New Roman" w:cs="Times New Roman"/>
          <w:bCs/>
        </w:rPr>
      </w:pPr>
      <w:r w:rsidRPr="008313D9">
        <w:rPr>
          <w:rFonts w:ascii="Times New Roman" w:eastAsia="Times New Roman" w:hAnsi="Times New Roman" w:cs="Times New Roman"/>
          <w:b/>
          <w:bCs/>
        </w:rPr>
        <w:t>Irodalomjegyzék:</w:t>
      </w:r>
    </w:p>
    <w:p w:rsidR="00F12E81" w:rsidRPr="008313D9" w:rsidRDefault="00F12E81" w:rsidP="00C2057B">
      <w:pPr>
        <w:widowControl w:val="0"/>
        <w:numPr>
          <w:ilvl w:val="1"/>
          <w:numId w:val="73"/>
        </w:numPr>
        <w:tabs>
          <w:tab w:val="left" w:pos="567"/>
          <w:tab w:val="left" w:pos="851"/>
          <w:tab w:val="num" w:pos="2069"/>
        </w:tabs>
        <w:spacing w:before="120" w:after="120" w:line="240" w:lineRule="auto"/>
        <w:ind w:left="426" w:hanging="142"/>
        <w:jc w:val="both"/>
        <w:rPr>
          <w:rFonts w:ascii="Times New Roman" w:eastAsia="Times New Roman" w:hAnsi="Times New Roman" w:cs="Times New Roman"/>
          <w:bCs/>
        </w:rPr>
      </w:pPr>
      <w:r w:rsidRPr="008313D9">
        <w:rPr>
          <w:rFonts w:ascii="Times New Roman" w:eastAsia="Times New Roman" w:hAnsi="Times New Roman" w:cs="Times New Roman"/>
          <w:b/>
          <w:bCs/>
        </w:rPr>
        <w:t>Kötelező irodalom:</w:t>
      </w:r>
    </w:p>
    <w:p w:rsidR="00F12E81" w:rsidRPr="008313D9" w:rsidRDefault="00F12E81" w:rsidP="00980876">
      <w:pPr>
        <w:widowControl w:val="0"/>
        <w:numPr>
          <w:ilvl w:val="0"/>
          <w:numId w:val="785"/>
        </w:numPr>
        <w:spacing w:after="0" w:line="240" w:lineRule="auto"/>
        <w:jc w:val="both"/>
        <w:rPr>
          <w:rFonts w:ascii="Times New Roman" w:eastAsia="Times New Roman" w:hAnsi="Times New Roman" w:cs="Times New Roman"/>
        </w:rPr>
      </w:pPr>
      <w:r w:rsidRPr="008313D9">
        <w:rPr>
          <w:rFonts w:ascii="Times New Roman" w:hAnsi="Times New Roman" w:cs="Times New Roman"/>
          <w:bCs/>
        </w:rPr>
        <w:t xml:space="preserve">Hunyadi László – Vita László: Statisztika I. Aula Kiadó, 2008. ISBN: 9789639698239 </w:t>
      </w:r>
    </w:p>
    <w:p w:rsidR="00F12E81" w:rsidRPr="008313D9" w:rsidRDefault="00F12E81" w:rsidP="00980876">
      <w:pPr>
        <w:widowControl w:val="0"/>
        <w:numPr>
          <w:ilvl w:val="0"/>
          <w:numId w:val="785"/>
        </w:numPr>
        <w:spacing w:after="0" w:line="240" w:lineRule="auto"/>
        <w:jc w:val="both"/>
        <w:rPr>
          <w:rFonts w:ascii="Times New Roman" w:eastAsia="Times New Roman" w:hAnsi="Times New Roman" w:cs="Times New Roman"/>
        </w:rPr>
      </w:pPr>
      <w:r w:rsidRPr="008313D9">
        <w:rPr>
          <w:rFonts w:ascii="Times New Roman" w:hAnsi="Times New Roman" w:cs="Times New Roman"/>
        </w:rPr>
        <w:t>Korpás Attiláné – Molnár Máténé – Varga Edit: Általános statisztika példatár I. Nemzeti Tankönyvkiadó, Budapest, 2001. ISBN: 9789631952797</w:t>
      </w:r>
      <w:r w:rsidRPr="008313D9">
        <w:rPr>
          <w:rFonts w:ascii="Times New Roman" w:eastAsia="Times New Roman" w:hAnsi="Times New Roman" w:cs="Times New Roman"/>
        </w:rPr>
        <w:t xml:space="preserve"> </w:t>
      </w:r>
    </w:p>
    <w:p w:rsidR="00F12E81" w:rsidRPr="008313D9" w:rsidRDefault="00F12E81" w:rsidP="00C2057B">
      <w:pPr>
        <w:widowControl w:val="0"/>
        <w:numPr>
          <w:ilvl w:val="1"/>
          <w:numId w:val="73"/>
        </w:numPr>
        <w:tabs>
          <w:tab w:val="num" w:pos="567"/>
          <w:tab w:val="num" w:pos="2069"/>
        </w:tabs>
        <w:spacing w:before="120" w:after="120" w:line="240" w:lineRule="auto"/>
        <w:ind w:left="993" w:hanging="709"/>
        <w:jc w:val="both"/>
        <w:rPr>
          <w:rFonts w:ascii="Times New Roman" w:eastAsia="Times New Roman" w:hAnsi="Times New Roman" w:cs="Times New Roman"/>
          <w:b/>
          <w:bCs/>
        </w:rPr>
      </w:pPr>
      <w:r w:rsidRPr="008313D9">
        <w:rPr>
          <w:rFonts w:ascii="Times New Roman" w:eastAsia="Times New Roman" w:hAnsi="Times New Roman" w:cs="Times New Roman"/>
          <w:b/>
          <w:bCs/>
        </w:rPr>
        <w:t>Ajánlott irodalom:</w:t>
      </w:r>
    </w:p>
    <w:p w:rsidR="00F12E81" w:rsidRPr="008313D9" w:rsidRDefault="00F12E81" w:rsidP="00980876">
      <w:pPr>
        <w:pStyle w:val="Listaszerbekezds"/>
        <w:widowControl w:val="0"/>
        <w:numPr>
          <w:ilvl w:val="0"/>
          <w:numId w:val="786"/>
        </w:numPr>
        <w:spacing w:after="0" w:line="240" w:lineRule="auto"/>
        <w:jc w:val="both"/>
        <w:rPr>
          <w:rFonts w:ascii="Times New Roman" w:eastAsia="Times New Roman" w:hAnsi="Times New Roman" w:cs="Times New Roman"/>
          <w:bCs/>
        </w:rPr>
      </w:pPr>
      <w:r w:rsidRPr="008313D9">
        <w:rPr>
          <w:rFonts w:ascii="Times New Roman" w:hAnsi="Times New Roman" w:cs="Times New Roman"/>
          <w:bCs/>
        </w:rPr>
        <w:t>Korpás Attiláné dr.: Általános statisztika I. Nemzeti Tankönyvkiadó Budapest, 1996. ISBN: 9631955079</w:t>
      </w:r>
    </w:p>
    <w:p w:rsidR="00F12E81" w:rsidRPr="008313D9" w:rsidRDefault="00F12E81" w:rsidP="00F12E81">
      <w:pPr>
        <w:widowControl w:val="0"/>
        <w:spacing w:before="120" w:after="120" w:line="240" w:lineRule="auto"/>
        <w:jc w:val="both"/>
        <w:rPr>
          <w:rFonts w:ascii="Times New Roman" w:eastAsia="Times New Roman" w:hAnsi="Times New Roman" w:cs="Times New Roman"/>
          <w:bCs/>
        </w:rPr>
      </w:pPr>
    </w:p>
    <w:p w:rsidR="00F12E81" w:rsidRPr="008313D9" w:rsidRDefault="00F12E81" w:rsidP="00F12E81">
      <w:pPr>
        <w:widowControl w:val="0"/>
        <w:spacing w:before="120" w:after="120" w:line="240" w:lineRule="auto"/>
        <w:jc w:val="both"/>
        <w:rPr>
          <w:rFonts w:ascii="Times New Roman" w:eastAsia="Times New Roman" w:hAnsi="Times New Roman" w:cs="Times New Roman"/>
          <w:bCs/>
        </w:rPr>
      </w:pPr>
      <w:r w:rsidRPr="008313D9">
        <w:rPr>
          <w:rFonts w:ascii="Times New Roman" w:eastAsia="Times New Roman" w:hAnsi="Times New Roman" w:cs="Times New Roman"/>
          <w:bCs/>
        </w:rPr>
        <w:t>Budapest, 2020. január 21.</w:t>
      </w:r>
    </w:p>
    <w:p w:rsidR="00F12E81" w:rsidRPr="008313D9" w:rsidRDefault="00F12E81" w:rsidP="00F12E81">
      <w:pPr>
        <w:widowControl w:val="0"/>
        <w:spacing w:before="120" w:after="120" w:line="240" w:lineRule="auto"/>
        <w:jc w:val="both"/>
        <w:rPr>
          <w:rFonts w:ascii="Times New Roman" w:eastAsia="Times New Roman" w:hAnsi="Times New Roman" w:cs="Times New Roman"/>
          <w:bCs/>
        </w:rPr>
      </w:pPr>
    </w:p>
    <w:p w:rsidR="00F12E81" w:rsidRPr="008313D9" w:rsidRDefault="00F12E81" w:rsidP="00F12E81">
      <w:pPr>
        <w:widowControl w:val="0"/>
        <w:spacing w:after="0" w:line="240" w:lineRule="auto"/>
        <w:jc w:val="right"/>
        <w:rPr>
          <w:rFonts w:ascii="Times New Roman" w:hAnsi="Times New Roman" w:cs="Times New Roman"/>
          <w:b/>
          <w:bCs/>
        </w:rPr>
      </w:pPr>
      <w:r w:rsidRPr="008313D9">
        <w:rPr>
          <w:rFonts w:ascii="Times New Roman" w:hAnsi="Times New Roman" w:cs="Times New Roman"/>
          <w:b/>
          <w:bCs/>
        </w:rPr>
        <w:t>Győrfyné Dr. Kukoda Andrea PhD</w:t>
      </w:r>
    </w:p>
    <w:p w:rsidR="00F12E81" w:rsidRPr="008313D9" w:rsidRDefault="00F12E81" w:rsidP="00F12E81">
      <w:pPr>
        <w:widowControl w:val="0"/>
        <w:spacing w:after="0" w:line="240" w:lineRule="auto"/>
        <w:jc w:val="center"/>
        <w:rPr>
          <w:rFonts w:ascii="Times New Roman" w:eastAsia="Times New Roman" w:hAnsi="Times New Roman" w:cs="Times New Roman"/>
          <w:bCs/>
        </w:rPr>
      </w:pPr>
      <w:r w:rsidRPr="008313D9">
        <w:rPr>
          <w:rFonts w:ascii="Times New Roman" w:hAnsi="Times New Roman" w:cs="Times New Roman"/>
          <w:bCs/>
        </w:rPr>
        <w:t xml:space="preserve">                                                                                                              egyetemi docens</w:t>
      </w:r>
    </w:p>
    <w:p w:rsidR="00F80CE7" w:rsidRDefault="00F80CE7">
      <w:pPr>
        <w:spacing w:after="200" w:line="276" w:lineRule="auto"/>
        <w:rPr>
          <w:rFonts w:ascii="Times New Roman" w:hAnsi="Times New Roman" w:cs="Times New Roman"/>
          <w:sz w:val="24"/>
        </w:rPr>
      </w:pPr>
    </w:p>
    <w:p w:rsidR="008313D9" w:rsidRDefault="008313D9">
      <w:pPr>
        <w:spacing w:after="200" w:line="276" w:lineRule="auto"/>
        <w:rPr>
          <w:rFonts w:ascii="Times New Roman" w:hAnsi="Times New Roman" w:cs="Times New Roman"/>
          <w:sz w:val="24"/>
        </w:rPr>
      </w:pPr>
      <w:r>
        <w:rPr>
          <w:rFonts w:ascii="Times New Roman" w:hAnsi="Times New Roman" w:cs="Times New Roman"/>
          <w:sz w:val="24"/>
        </w:rPr>
        <w:br w:type="page"/>
      </w:r>
    </w:p>
    <w:tbl>
      <w:tblPr>
        <w:tblW w:w="9072" w:type="dxa"/>
        <w:tblInd w:w="113" w:type="dxa"/>
        <w:tblLook w:val="01E0" w:firstRow="1" w:lastRow="1" w:firstColumn="1" w:lastColumn="1" w:noHBand="0" w:noVBand="0"/>
      </w:tblPr>
      <w:tblGrid>
        <w:gridCol w:w="4855"/>
        <w:gridCol w:w="1620"/>
        <w:gridCol w:w="2597"/>
      </w:tblGrid>
      <w:tr w:rsidR="00B87C3E" w:rsidRPr="00B87C3E" w:rsidTr="007E3A2E">
        <w:tc>
          <w:tcPr>
            <w:tcW w:w="4855" w:type="dxa"/>
            <w:tcBorders>
              <w:top w:val="nil"/>
              <w:left w:val="nil"/>
              <w:bottom w:val="single" w:sz="4" w:space="0" w:color="auto"/>
              <w:right w:val="nil"/>
            </w:tcBorders>
            <w:hideMark/>
          </w:tcPr>
          <w:p w:rsidR="00B87C3E" w:rsidRPr="00B87C3E" w:rsidRDefault="00B87C3E" w:rsidP="00B87C3E">
            <w:pPr>
              <w:pageBreakBefore/>
              <w:autoSpaceDE w:val="0"/>
              <w:autoSpaceDN w:val="0"/>
              <w:adjustRightInd w:val="0"/>
              <w:spacing w:after="0" w:line="240" w:lineRule="auto"/>
              <w:jc w:val="center"/>
              <w:rPr>
                <w:rFonts w:ascii="Times New Roman" w:eastAsia="Times New Roman" w:hAnsi="Times New Roman" w:cs="Times New Roman"/>
                <w:b/>
                <w:smallCaps/>
                <w:lang w:eastAsia="hu-HU"/>
              </w:rPr>
            </w:pPr>
            <w:r w:rsidRPr="00B87C3E">
              <w:rPr>
                <w:rFonts w:ascii="Times New Roman" w:eastAsia="Times New Roman" w:hAnsi="Times New Roman" w:cs="Times New Roman"/>
                <w:b/>
                <w:smallCaps/>
                <w:lang w:eastAsia="hu-HU"/>
              </w:rPr>
              <w:lastRenderedPageBreak/>
              <w:t>Nemzeti Közszolgálati Egyetem</w:t>
            </w:r>
          </w:p>
        </w:tc>
        <w:tc>
          <w:tcPr>
            <w:tcW w:w="1620" w:type="dxa"/>
          </w:tcPr>
          <w:p w:rsidR="00B87C3E" w:rsidRPr="00B87C3E" w:rsidRDefault="00B87C3E" w:rsidP="00B87C3E">
            <w:pPr>
              <w:autoSpaceDE w:val="0"/>
              <w:autoSpaceDN w:val="0"/>
              <w:adjustRightInd w:val="0"/>
              <w:spacing w:after="0" w:line="240" w:lineRule="auto"/>
              <w:jc w:val="both"/>
              <w:rPr>
                <w:rFonts w:ascii="Times New Roman" w:eastAsia="Times New Roman" w:hAnsi="Times New Roman" w:cs="Times New Roman"/>
                <w:lang w:eastAsia="hu-HU"/>
              </w:rPr>
            </w:pPr>
          </w:p>
        </w:tc>
        <w:tc>
          <w:tcPr>
            <w:tcW w:w="2597" w:type="dxa"/>
          </w:tcPr>
          <w:p w:rsidR="00B87C3E" w:rsidRPr="00B87C3E" w:rsidRDefault="00B87C3E" w:rsidP="00B87C3E">
            <w:pPr>
              <w:autoSpaceDE w:val="0"/>
              <w:autoSpaceDN w:val="0"/>
              <w:adjustRightInd w:val="0"/>
              <w:spacing w:after="0" w:line="240" w:lineRule="auto"/>
              <w:jc w:val="right"/>
              <w:rPr>
                <w:rFonts w:ascii="Times New Roman" w:eastAsia="Times New Roman" w:hAnsi="Times New Roman" w:cs="Times New Roman"/>
                <w:lang w:eastAsia="hu-HU"/>
              </w:rPr>
            </w:pPr>
          </w:p>
        </w:tc>
      </w:tr>
      <w:tr w:rsidR="00B87C3E" w:rsidRPr="00B87C3E" w:rsidTr="007E3A2E">
        <w:tc>
          <w:tcPr>
            <w:tcW w:w="4855" w:type="dxa"/>
            <w:tcBorders>
              <w:top w:val="single" w:sz="4" w:space="0" w:color="auto"/>
              <w:left w:val="nil"/>
              <w:bottom w:val="nil"/>
              <w:right w:val="nil"/>
            </w:tcBorders>
            <w:hideMark/>
          </w:tcPr>
          <w:p w:rsidR="00B87C3E" w:rsidRPr="00B87C3E" w:rsidRDefault="00B87C3E" w:rsidP="00B87C3E">
            <w:pPr>
              <w:autoSpaceDE w:val="0"/>
              <w:autoSpaceDN w:val="0"/>
              <w:adjustRightInd w:val="0"/>
              <w:spacing w:after="0" w:line="240" w:lineRule="auto"/>
              <w:jc w:val="center"/>
              <w:rPr>
                <w:rFonts w:ascii="Times New Roman" w:eastAsia="Times New Roman" w:hAnsi="Times New Roman" w:cs="Times New Roman"/>
                <w:b/>
                <w:lang w:eastAsia="hu-HU"/>
              </w:rPr>
            </w:pPr>
            <w:r w:rsidRPr="00B87C3E">
              <w:rPr>
                <w:rFonts w:ascii="Times New Roman" w:eastAsia="Times New Roman" w:hAnsi="Times New Roman" w:cs="Times New Roman"/>
                <w:b/>
                <w:lang w:eastAsia="hu-HU"/>
              </w:rPr>
              <w:t>Hadtudományi és Honvédtiszképző Kar</w:t>
            </w:r>
          </w:p>
        </w:tc>
        <w:tc>
          <w:tcPr>
            <w:tcW w:w="1620" w:type="dxa"/>
          </w:tcPr>
          <w:p w:rsidR="00B87C3E" w:rsidRPr="00B87C3E" w:rsidRDefault="00B87C3E" w:rsidP="00B87C3E">
            <w:pPr>
              <w:autoSpaceDE w:val="0"/>
              <w:autoSpaceDN w:val="0"/>
              <w:adjustRightInd w:val="0"/>
              <w:spacing w:after="0" w:line="240" w:lineRule="auto"/>
              <w:jc w:val="both"/>
              <w:rPr>
                <w:rFonts w:ascii="Times New Roman" w:eastAsia="Times New Roman" w:hAnsi="Times New Roman" w:cs="Times New Roman"/>
                <w:lang w:eastAsia="hu-HU"/>
              </w:rPr>
            </w:pPr>
          </w:p>
        </w:tc>
        <w:tc>
          <w:tcPr>
            <w:tcW w:w="2597" w:type="dxa"/>
          </w:tcPr>
          <w:p w:rsidR="00B87C3E" w:rsidRPr="00B87C3E" w:rsidRDefault="00B87C3E" w:rsidP="00B87C3E">
            <w:pPr>
              <w:autoSpaceDE w:val="0"/>
              <w:autoSpaceDN w:val="0"/>
              <w:adjustRightInd w:val="0"/>
              <w:spacing w:after="0" w:line="240" w:lineRule="auto"/>
              <w:jc w:val="both"/>
              <w:rPr>
                <w:rFonts w:ascii="Times New Roman" w:eastAsia="Times New Roman" w:hAnsi="Times New Roman" w:cs="Times New Roman"/>
                <w:lang w:eastAsia="hu-HU"/>
              </w:rPr>
            </w:pPr>
          </w:p>
        </w:tc>
      </w:tr>
    </w:tbl>
    <w:p w:rsidR="00B87C3E" w:rsidRPr="00B87C3E" w:rsidRDefault="00B87C3E" w:rsidP="00B87C3E">
      <w:pPr>
        <w:tabs>
          <w:tab w:val="right" w:pos="0"/>
          <w:tab w:val="center" w:pos="4536"/>
          <w:tab w:val="right" w:pos="9072"/>
        </w:tabs>
        <w:spacing w:after="0" w:line="240" w:lineRule="auto"/>
        <w:jc w:val="both"/>
        <w:rPr>
          <w:rFonts w:ascii="Times New Roman" w:eastAsia="Times New Roman" w:hAnsi="Times New Roman" w:cs="Times New Roman"/>
          <w:bCs/>
          <w:lang w:eastAsia="hu-HU"/>
        </w:rPr>
      </w:pPr>
    </w:p>
    <w:p w:rsidR="00B87C3E" w:rsidRPr="00B87C3E" w:rsidRDefault="00B87C3E" w:rsidP="00B87C3E">
      <w:pPr>
        <w:spacing w:after="0" w:line="240" w:lineRule="auto"/>
        <w:jc w:val="center"/>
        <w:rPr>
          <w:rFonts w:ascii="Times New Roman" w:eastAsia="Times New Roman" w:hAnsi="Times New Roman" w:cs="Times New Roman"/>
          <w:b/>
          <w:bCs/>
          <w:lang w:eastAsia="hu-HU"/>
        </w:rPr>
      </w:pPr>
      <w:r w:rsidRPr="00B87C3E">
        <w:rPr>
          <w:rFonts w:ascii="Times New Roman" w:eastAsia="Times New Roman" w:hAnsi="Times New Roman" w:cs="Times New Roman"/>
          <w:b/>
          <w:bCs/>
          <w:lang w:eastAsia="hu-HU"/>
        </w:rPr>
        <w:t>TANTÁRGYI PROGRAM</w:t>
      </w:r>
    </w:p>
    <w:p w:rsidR="00B87C3E" w:rsidRPr="00B87C3E" w:rsidRDefault="00B87C3E" w:rsidP="00980876">
      <w:pPr>
        <w:numPr>
          <w:ilvl w:val="0"/>
          <w:numId w:val="736"/>
        </w:numPr>
        <w:tabs>
          <w:tab w:val="center" w:pos="4536"/>
          <w:tab w:val="right" w:pos="9072"/>
        </w:tabs>
        <w:spacing w:before="120" w:after="0" w:line="240" w:lineRule="auto"/>
        <w:ind w:left="284" w:hanging="284"/>
        <w:jc w:val="both"/>
        <w:rPr>
          <w:rFonts w:ascii="Times New Roman" w:eastAsia="Times New Roman" w:hAnsi="Times New Roman" w:cs="Times New Roman"/>
          <w:b/>
          <w:bCs/>
          <w:lang w:eastAsia="hu-HU"/>
        </w:rPr>
      </w:pPr>
      <w:r w:rsidRPr="00B87C3E">
        <w:rPr>
          <w:rFonts w:ascii="Times New Roman" w:eastAsia="Times New Roman" w:hAnsi="Times New Roman" w:cs="Times New Roman"/>
          <w:b/>
          <w:bCs/>
          <w:lang w:eastAsia="hu-HU"/>
        </w:rPr>
        <w:t xml:space="preserve">A tantárgy kódja: </w:t>
      </w:r>
      <w:r w:rsidRPr="00B87C3E">
        <w:rPr>
          <w:rFonts w:ascii="Times New Roman" w:eastAsia="Times New Roman" w:hAnsi="Times New Roman" w:cs="Times New Roman"/>
          <w:bCs/>
          <w:lang w:eastAsia="hu-HU"/>
        </w:rPr>
        <w:t>HKÖMTA611</w:t>
      </w:r>
    </w:p>
    <w:p w:rsidR="00B87C3E" w:rsidRPr="00B87C3E" w:rsidRDefault="00B87C3E" w:rsidP="00980876">
      <w:pPr>
        <w:numPr>
          <w:ilvl w:val="0"/>
          <w:numId w:val="736"/>
        </w:numPr>
        <w:tabs>
          <w:tab w:val="center" w:pos="4536"/>
          <w:tab w:val="right" w:pos="9072"/>
        </w:tabs>
        <w:spacing w:before="120" w:after="0" w:line="240" w:lineRule="auto"/>
        <w:ind w:left="284" w:hanging="284"/>
        <w:jc w:val="both"/>
        <w:rPr>
          <w:rFonts w:ascii="Times New Roman" w:eastAsia="Times New Roman" w:hAnsi="Times New Roman" w:cs="Times New Roman"/>
          <w:b/>
          <w:bCs/>
          <w:lang w:eastAsia="hu-HU"/>
        </w:rPr>
      </w:pPr>
      <w:r w:rsidRPr="00B87C3E">
        <w:rPr>
          <w:rFonts w:ascii="Times New Roman" w:eastAsia="Times New Roman" w:hAnsi="Times New Roman" w:cs="Times New Roman"/>
          <w:b/>
          <w:bCs/>
          <w:lang w:eastAsia="hu-HU"/>
        </w:rPr>
        <w:t xml:space="preserve">A tantárgy megnevezése (magyarul): </w:t>
      </w:r>
      <w:r w:rsidRPr="00B87C3E">
        <w:rPr>
          <w:rFonts w:ascii="Times New Roman" w:eastAsia="Times New Roman" w:hAnsi="Times New Roman" w:cs="Times New Roman"/>
          <w:bCs/>
          <w:lang w:eastAsia="hu-HU"/>
        </w:rPr>
        <w:t>Alapkiképzés módszertana</w:t>
      </w:r>
    </w:p>
    <w:p w:rsidR="00B87C3E" w:rsidRPr="00B87C3E" w:rsidRDefault="00B87C3E" w:rsidP="00980876">
      <w:pPr>
        <w:numPr>
          <w:ilvl w:val="0"/>
          <w:numId w:val="736"/>
        </w:numPr>
        <w:tabs>
          <w:tab w:val="center" w:pos="4536"/>
          <w:tab w:val="right" w:pos="9072"/>
        </w:tabs>
        <w:spacing w:before="120" w:after="0" w:line="240" w:lineRule="auto"/>
        <w:ind w:left="284" w:hanging="284"/>
        <w:jc w:val="both"/>
        <w:rPr>
          <w:rFonts w:ascii="Times New Roman" w:eastAsia="Times New Roman" w:hAnsi="Times New Roman" w:cs="Times New Roman"/>
          <w:b/>
          <w:bCs/>
          <w:lang w:eastAsia="hu-HU"/>
        </w:rPr>
      </w:pPr>
      <w:r w:rsidRPr="00B87C3E">
        <w:rPr>
          <w:rFonts w:ascii="Times New Roman" w:eastAsia="Times New Roman" w:hAnsi="Times New Roman" w:cs="Times New Roman"/>
          <w:b/>
          <w:bCs/>
          <w:lang w:eastAsia="hu-HU"/>
        </w:rPr>
        <w:t xml:space="preserve">A tantárgy megnevezése (angolul): </w:t>
      </w:r>
      <w:r w:rsidRPr="00B87C3E">
        <w:rPr>
          <w:rFonts w:ascii="Times New Roman" w:eastAsia="Times New Roman" w:hAnsi="Times New Roman" w:cs="Times New Roman"/>
          <w:bCs/>
          <w:lang w:eastAsia="hu-HU"/>
        </w:rPr>
        <w:t>Military methodology of the basic training</w:t>
      </w:r>
    </w:p>
    <w:p w:rsidR="00B87C3E" w:rsidRPr="00B87C3E" w:rsidRDefault="00B87C3E" w:rsidP="00980876">
      <w:pPr>
        <w:numPr>
          <w:ilvl w:val="0"/>
          <w:numId w:val="736"/>
        </w:numPr>
        <w:tabs>
          <w:tab w:val="center" w:pos="4536"/>
          <w:tab w:val="right" w:pos="9072"/>
        </w:tabs>
        <w:spacing w:before="120" w:after="0" w:line="240" w:lineRule="auto"/>
        <w:ind w:left="284" w:hanging="284"/>
        <w:jc w:val="both"/>
        <w:rPr>
          <w:rFonts w:ascii="Times New Roman" w:eastAsia="Times New Roman" w:hAnsi="Times New Roman" w:cs="Times New Roman"/>
          <w:b/>
          <w:bCs/>
          <w:lang w:eastAsia="hu-HU"/>
        </w:rPr>
      </w:pPr>
      <w:r w:rsidRPr="00B87C3E">
        <w:rPr>
          <w:rFonts w:ascii="Times New Roman" w:eastAsia="Times New Roman" w:hAnsi="Times New Roman" w:cs="Times New Roman"/>
          <w:b/>
          <w:bCs/>
          <w:lang w:eastAsia="hu-HU"/>
        </w:rPr>
        <w:t xml:space="preserve">Kreditérték és képzési karakter: </w:t>
      </w:r>
    </w:p>
    <w:p w:rsidR="00B87C3E" w:rsidRPr="00B87C3E" w:rsidRDefault="00B87C3E" w:rsidP="00980876">
      <w:pPr>
        <w:widowControl w:val="0"/>
        <w:numPr>
          <w:ilvl w:val="1"/>
          <w:numId w:val="736"/>
        </w:numPr>
        <w:tabs>
          <w:tab w:val="num" w:pos="1425"/>
        </w:tabs>
        <w:spacing w:before="120" w:after="120" w:line="240" w:lineRule="auto"/>
        <w:ind w:left="1425"/>
        <w:contextualSpacing/>
        <w:jc w:val="both"/>
        <w:rPr>
          <w:rFonts w:ascii="Times New Roman" w:eastAsia="Times New Roman" w:hAnsi="Times New Roman" w:cs="Times New Roman"/>
          <w:bCs/>
          <w:lang w:eastAsia="hu-HU"/>
        </w:rPr>
      </w:pPr>
      <w:r w:rsidRPr="00B87C3E">
        <w:rPr>
          <w:rFonts w:ascii="Times New Roman" w:eastAsia="Times New Roman" w:hAnsi="Times New Roman" w:cs="Times New Roman"/>
          <w:bCs/>
          <w:lang w:eastAsia="hu-HU"/>
        </w:rPr>
        <w:t>8 kredit</w:t>
      </w:r>
    </w:p>
    <w:p w:rsidR="00B87C3E" w:rsidRPr="00B87C3E" w:rsidRDefault="00B87C3E" w:rsidP="00980876">
      <w:pPr>
        <w:widowControl w:val="0"/>
        <w:numPr>
          <w:ilvl w:val="1"/>
          <w:numId w:val="736"/>
        </w:numPr>
        <w:tabs>
          <w:tab w:val="num" w:pos="1425"/>
        </w:tabs>
        <w:spacing w:before="120" w:after="120" w:line="240" w:lineRule="auto"/>
        <w:ind w:left="1425"/>
        <w:contextualSpacing/>
        <w:jc w:val="both"/>
        <w:rPr>
          <w:rFonts w:ascii="Times New Roman" w:eastAsia="Times New Roman" w:hAnsi="Times New Roman" w:cs="Times New Roman"/>
          <w:bCs/>
          <w:lang w:eastAsia="hu-HU"/>
        </w:rPr>
      </w:pPr>
      <w:r w:rsidRPr="00B87C3E">
        <w:rPr>
          <w:rFonts w:ascii="Times New Roman" w:eastAsia="Times New Roman" w:hAnsi="Times New Roman" w:cs="Times New Roman"/>
          <w:bCs/>
          <w:lang w:eastAsia="hu-HU"/>
        </w:rPr>
        <w:t xml:space="preserve">a tantárgy elméleti vagy gyakorlati jellegének mértéke: 0% elmélet, 100% gyakorlat, </w:t>
      </w:r>
    </w:p>
    <w:p w:rsidR="00B87C3E" w:rsidRPr="00B87C3E" w:rsidRDefault="00B87C3E" w:rsidP="00980876">
      <w:pPr>
        <w:numPr>
          <w:ilvl w:val="0"/>
          <w:numId w:val="736"/>
        </w:numPr>
        <w:tabs>
          <w:tab w:val="center" w:pos="4536"/>
          <w:tab w:val="right" w:pos="9072"/>
        </w:tabs>
        <w:spacing w:before="120" w:after="0" w:line="240" w:lineRule="auto"/>
        <w:ind w:left="284" w:hanging="284"/>
        <w:jc w:val="both"/>
        <w:rPr>
          <w:rFonts w:ascii="Times New Roman" w:eastAsia="Times New Roman" w:hAnsi="Times New Roman" w:cs="Times New Roman"/>
          <w:bCs/>
          <w:lang w:eastAsia="hu-HU"/>
        </w:rPr>
      </w:pPr>
      <w:r w:rsidRPr="00B87C3E">
        <w:rPr>
          <w:rFonts w:ascii="Times New Roman" w:eastAsia="Times New Roman" w:hAnsi="Times New Roman" w:cs="Times New Roman"/>
          <w:b/>
          <w:bCs/>
          <w:lang w:eastAsia="hu-HU"/>
        </w:rPr>
        <w:t>A szak(ok), szakirányok megnevezése (ahol oktatják):</w:t>
      </w:r>
      <w:r w:rsidRPr="00B87C3E">
        <w:rPr>
          <w:rFonts w:ascii="Times New Roman" w:eastAsia="Times New Roman" w:hAnsi="Times New Roman" w:cs="Times New Roman"/>
          <w:bCs/>
          <w:lang w:eastAsia="hu-HU"/>
        </w:rPr>
        <w:t xml:space="preserve"> </w:t>
      </w:r>
      <w:r w:rsidRPr="00B87C3E">
        <w:rPr>
          <w:rFonts w:ascii="Times New Roman" w:eastAsia="Times New Roman" w:hAnsi="Times New Roman" w:cs="Times New Roman"/>
          <w:bCs/>
          <w:noProof/>
          <w:lang w:eastAsia="hu-HU"/>
        </w:rPr>
        <w:t>Katonai alapképzési szakok</w:t>
      </w:r>
    </w:p>
    <w:p w:rsidR="00B87C3E" w:rsidRPr="00B87C3E" w:rsidRDefault="00B87C3E" w:rsidP="00980876">
      <w:pPr>
        <w:numPr>
          <w:ilvl w:val="0"/>
          <w:numId w:val="736"/>
        </w:numPr>
        <w:tabs>
          <w:tab w:val="center" w:pos="4536"/>
          <w:tab w:val="right" w:pos="9072"/>
        </w:tabs>
        <w:spacing w:before="120" w:after="0" w:line="240" w:lineRule="auto"/>
        <w:ind w:left="284" w:hanging="284"/>
        <w:jc w:val="both"/>
        <w:rPr>
          <w:rFonts w:ascii="Times New Roman" w:eastAsia="Times New Roman" w:hAnsi="Times New Roman" w:cs="Times New Roman"/>
          <w:bCs/>
          <w:lang w:eastAsia="hu-HU"/>
        </w:rPr>
      </w:pPr>
      <w:r w:rsidRPr="00B87C3E">
        <w:rPr>
          <w:rFonts w:ascii="Times New Roman" w:eastAsia="Times New Roman" w:hAnsi="Times New Roman" w:cs="Times New Roman"/>
          <w:b/>
          <w:bCs/>
          <w:lang w:eastAsia="hu-HU"/>
        </w:rPr>
        <w:t>Az oktatásért felelős oktatási szervezeti egység megnevezése:</w:t>
      </w:r>
      <w:r w:rsidRPr="00B87C3E">
        <w:rPr>
          <w:rFonts w:ascii="Times New Roman" w:eastAsia="Times New Roman" w:hAnsi="Times New Roman" w:cs="Times New Roman"/>
          <w:bCs/>
          <w:lang w:eastAsia="hu-HU"/>
        </w:rPr>
        <w:t xml:space="preserve"> NKE Hadtudományi és Honvédtisztképző Kar, Összhaderőnemi Műveleti Tanszék</w:t>
      </w:r>
    </w:p>
    <w:p w:rsidR="00B87C3E" w:rsidRPr="00B87C3E" w:rsidRDefault="00B87C3E" w:rsidP="00980876">
      <w:pPr>
        <w:numPr>
          <w:ilvl w:val="0"/>
          <w:numId w:val="736"/>
        </w:numPr>
        <w:tabs>
          <w:tab w:val="center" w:pos="4536"/>
          <w:tab w:val="right" w:pos="9072"/>
        </w:tabs>
        <w:spacing w:before="120" w:after="0" w:line="240" w:lineRule="auto"/>
        <w:ind w:left="284" w:hanging="284"/>
        <w:jc w:val="both"/>
        <w:rPr>
          <w:rFonts w:ascii="Times New Roman" w:eastAsia="Times New Roman" w:hAnsi="Times New Roman" w:cs="Times New Roman"/>
          <w:bCs/>
          <w:lang w:eastAsia="hu-HU"/>
        </w:rPr>
      </w:pPr>
      <w:r w:rsidRPr="00B87C3E">
        <w:rPr>
          <w:rFonts w:ascii="Times New Roman" w:eastAsia="Times New Roman" w:hAnsi="Times New Roman" w:cs="Times New Roman"/>
          <w:b/>
          <w:bCs/>
          <w:lang w:eastAsia="hu-HU"/>
        </w:rPr>
        <w:t xml:space="preserve">A tantárgyfelelős oktató neve, beosztása, tudományos fokozata: </w:t>
      </w:r>
      <w:r w:rsidRPr="00B87C3E">
        <w:rPr>
          <w:rFonts w:ascii="Times New Roman" w:eastAsia="Times New Roman" w:hAnsi="Times New Roman" w:cs="Times New Roman"/>
          <w:bCs/>
          <w:noProof/>
          <w:lang w:eastAsia="hu-HU"/>
        </w:rPr>
        <w:t>Dr. Komjáthy Lajos, adjunktus, PhD</w:t>
      </w:r>
    </w:p>
    <w:p w:rsidR="00B87C3E" w:rsidRPr="00B87C3E" w:rsidRDefault="00B87C3E" w:rsidP="00980876">
      <w:pPr>
        <w:numPr>
          <w:ilvl w:val="0"/>
          <w:numId w:val="736"/>
        </w:numPr>
        <w:tabs>
          <w:tab w:val="center" w:pos="4536"/>
          <w:tab w:val="right" w:pos="9072"/>
        </w:tabs>
        <w:spacing w:before="120" w:after="0" w:line="240" w:lineRule="auto"/>
        <w:ind w:left="284" w:hanging="284"/>
        <w:jc w:val="both"/>
        <w:rPr>
          <w:rFonts w:ascii="Times New Roman" w:eastAsia="Times New Roman" w:hAnsi="Times New Roman" w:cs="Times New Roman"/>
          <w:bCs/>
          <w:lang w:eastAsia="hu-HU"/>
        </w:rPr>
      </w:pPr>
      <w:r w:rsidRPr="00B87C3E">
        <w:rPr>
          <w:rFonts w:ascii="Times New Roman" w:eastAsia="Times New Roman" w:hAnsi="Times New Roman" w:cs="Times New Roman"/>
          <w:b/>
          <w:bCs/>
          <w:lang w:eastAsia="hu-HU"/>
        </w:rPr>
        <w:t>A tanórák száma (előadás+gyakorlat)</w:t>
      </w:r>
    </w:p>
    <w:p w:rsidR="00B87C3E" w:rsidRPr="00B87C3E" w:rsidRDefault="00B87C3E" w:rsidP="00980876">
      <w:pPr>
        <w:widowControl w:val="0"/>
        <w:numPr>
          <w:ilvl w:val="1"/>
          <w:numId w:val="736"/>
        </w:numPr>
        <w:tabs>
          <w:tab w:val="num" w:pos="2069"/>
        </w:tabs>
        <w:spacing w:before="120" w:after="120" w:line="240" w:lineRule="auto"/>
        <w:ind w:left="993"/>
        <w:jc w:val="both"/>
        <w:rPr>
          <w:rFonts w:ascii="Times New Roman" w:eastAsia="Times New Roman" w:hAnsi="Times New Roman" w:cs="Times New Roman"/>
          <w:bCs/>
          <w:lang w:eastAsia="hu-HU"/>
        </w:rPr>
      </w:pPr>
      <w:r w:rsidRPr="00B87C3E">
        <w:rPr>
          <w:rFonts w:ascii="Times New Roman" w:eastAsia="Times New Roman" w:hAnsi="Times New Roman" w:cs="Times New Roman"/>
          <w:bCs/>
          <w:lang w:eastAsia="hu-HU"/>
        </w:rPr>
        <w:t>össz óraszám/félév: 120</w:t>
      </w:r>
    </w:p>
    <w:p w:rsidR="00B87C3E" w:rsidRPr="00B87C3E" w:rsidRDefault="00B87C3E" w:rsidP="00980876">
      <w:pPr>
        <w:widowControl w:val="0"/>
        <w:numPr>
          <w:ilvl w:val="2"/>
          <w:numId w:val="736"/>
        </w:numPr>
        <w:tabs>
          <w:tab w:val="num" w:pos="2138"/>
        </w:tabs>
        <w:spacing w:after="0" w:line="240" w:lineRule="auto"/>
        <w:ind w:left="1276" w:hanging="505"/>
        <w:jc w:val="both"/>
        <w:rPr>
          <w:rFonts w:ascii="Times New Roman" w:eastAsia="Times New Roman" w:hAnsi="Times New Roman" w:cs="Times New Roman"/>
          <w:bCs/>
          <w:lang w:eastAsia="hu-HU"/>
        </w:rPr>
      </w:pPr>
      <w:r w:rsidRPr="00B87C3E">
        <w:rPr>
          <w:rFonts w:ascii="Times New Roman" w:eastAsia="Times New Roman" w:hAnsi="Times New Roman" w:cs="Times New Roman"/>
          <w:bCs/>
          <w:lang w:eastAsia="hu-HU"/>
        </w:rPr>
        <w:t>nappali munkarend: 120 óra/félév (0 EA + 0 SZ + 120 GY)</w:t>
      </w:r>
    </w:p>
    <w:p w:rsidR="00B87C3E" w:rsidRPr="00B87C3E" w:rsidRDefault="00B87C3E" w:rsidP="00980876">
      <w:pPr>
        <w:widowControl w:val="0"/>
        <w:numPr>
          <w:ilvl w:val="2"/>
          <w:numId w:val="736"/>
        </w:numPr>
        <w:tabs>
          <w:tab w:val="num" w:pos="2138"/>
        </w:tabs>
        <w:spacing w:after="0" w:line="240" w:lineRule="auto"/>
        <w:ind w:left="1276" w:hanging="505"/>
        <w:jc w:val="both"/>
        <w:rPr>
          <w:rFonts w:ascii="Times New Roman" w:eastAsia="Times New Roman" w:hAnsi="Times New Roman" w:cs="Times New Roman"/>
          <w:bCs/>
          <w:lang w:eastAsia="hu-HU"/>
        </w:rPr>
      </w:pPr>
      <w:r w:rsidRPr="00B87C3E">
        <w:rPr>
          <w:rFonts w:ascii="Times New Roman" w:eastAsia="Times New Roman" w:hAnsi="Times New Roman" w:cs="Times New Roman"/>
          <w:bCs/>
          <w:lang w:eastAsia="hu-HU"/>
        </w:rPr>
        <w:t xml:space="preserve">levelező munkarend: - </w:t>
      </w:r>
    </w:p>
    <w:p w:rsidR="00B87C3E" w:rsidRPr="00B87C3E" w:rsidRDefault="00B87C3E" w:rsidP="00980876">
      <w:pPr>
        <w:widowControl w:val="0"/>
        <w:numPr>
          <w:ilvl w:val="1"/>
          <w:numId w:val="736"/>
        </w:numPr>
        <w:tabs>
          <w:tab w:val="num" w:pos="2069"/>
        </w:tabs>
        <w:spacing w:before="120" w:after="120" w:line="240" w:lineRule="auto"/>
        <w:ind w:left="993"/>
        <w:jc w:val="both"/>
        <w:rPr>
          <w:rFonts w:ascii="Times New Roman" w:eastAsia="Times New Roman" w:hAnsi="Times New Roman" w:cs="Times New Roman"/>
          <w:bCs/>
          <w:lang w:eastAsia="hu-HU"/>
        </w:rPr>
      </w:pPr>
      <w:r w:rsidRPr="00B87C3E">
        <w:rPr>
          <w:rFonts w:ascii="Times New Roman" w:eastAsia="Times New Roman" w:hAnsi="Times New Roman" w:cs="Times New Roman"/>
          <w:bCs/>
          <w:lang w:eastAsia="hu-HU"/>
        </w:rPr>
        <w:t>heti óraszám - nappali munkarend: 8 óra/hét (0+8)</w:t>
      </w:r>
    </w:p>
    <w:p w:rsidR="00B87C3E" w:rsidRPr="00B87C3E" w:rsidRDefault="00B87C3E" w:rsidP="00980876">
      <w:pPr>
        <w:widowControl w:val="0"/>
        <w:numPr>
          <w:ilvl w:val="1"/>
          <w:numId w:val="736"/>
        </w:numPr>
        <w:tabs>
          <w:tab w:val="num" w:pos="2069"/>
        </w:tabs>
        <w:spacing w:before="120" w:after="120" w:line="240" w:lineRule="auto"/>
        <w:ind w:left="993"/>
        <w:jc w:val="both"/>
        <w:rPr>
          <w:rFonts w:ascii="Times New Roman" w:eastAsia="Calibri" w:hAnsi="Times New Roman" w:cs="Times New Roman"/>
          <w:bCs/>
        </w:rPr>
      </w:pPr>
      <w:r w:rsidRPr="00B87C3E">
        <w:rPr>
          <w:rFonts w:ascii="Times New Roman" w:eastAsia="Calibri" w:hAnsi="Times New Roman" w:cs="Times New Roman"/>
        </w:rPr>
        <w:t xml:space="preserve">Az </w:t>
      </w:r>
      <w:r w:rsidRPr="00B87C3E">
        <w:rPr>
          <w:rFonts w:ascii="Times New Roman" w:eastAsia="Times New Roman" w:hAnsi="Times New Roman" w:cs="Times New Roman"/>
          <w:lang w:eastAsia="hu-HU"/>
        </w:rPr>
        <w:t>ismeret</w:t>
      </w:r>
      <w:r w:rsidRPr="00B87C3E">
        <w:rPr>
          <w:rFonts w:ascii="Times New Roman" w:eastAsia="Calibri" w:hAnsi="Times New Roman" w:cs="Times New Roman"/>
        </w:rPr>
        <w:t xml:space="preserve"> átadásában alkalmazandó további sajátos módok, jellemzők: a foglalkozások egybefüggő öt hetes időtartamban, a Magyar Honvédség Parancsnoksága kijelölt alakulatainál kerülnek levezetésre, az adott alakulat szakembereinek szakmai mentorálásával.</w:t>
      </w:r>
    </w:p>
    <w:p w:rsidR="00B87C3E" w:rsidRPr="00B87C3E" w:rsidRDefault="00B87C3E" w:rsidP="00980876">
      <w:pPr>
        <w:numPr>
          <w:ilvl w:val="0"/>
          <w:numId w:val="736"/>
        </w:numPr>
        <w:tabs>
          <w:tab w:val="center" w:pos="4536"/>
          <w:tab w:val="right" w:pos="9072"/>
        </w:tabs>
        <w:spacing w:before="120" w:after="0" w:line="240" w:lineRule="auto"/>
        <w:ind w:left="284" w:hanging="284"/>
        <w:jc w:val="both"/>
        <w:rPr>
          <w:rFonts w:ascii="Times New Roman" w:eastAsia="Times New Roman" w:hAnsi="Times New Roman" w:cs="Times New Roman"/>
          <w:b/>
          <w:bCs/>
          <w:lang w:eastAsia="hu-HU"/>
        </w:rPr>
      </w:pPr>
      <w:r w:rsidRPr="00B87C3E">
        <w:rPr>
          <w:rFonts w:ascii="Times New Roman" w:eastAsia="Times New Roman" w:hAnsi="Times New Roman" w:cs="Times New Roman"/>
          <w:b/>
          <w:bCs/>
          <w:lang w:eastAsia="hu-HU"/>
        </w:rPr>
        <w:t>A tantárgy szakmai tartalma (magyarul):</w:t>
      </w:r>
      <w:r w:rsidRPr="00B87C3E">
        <w:rPr>
          <w:rFonts w:ascii="Times New Roman" w:eastAsia="Times New Roman" w:hAnsi="Times New Roman" w:cs="Times New Roman"/>
          <w:bCs/>
          <w:lang w:eastAsia="hu-HU"/>
        </w:rPr>
        <w:t xml:space="preserve"> A kurzus folyam</w:t>
      </w:r>
      <w:r w:rsidRPr="00B87C3E">
        <w:rPr>
          <w:rFonts w:ascii="Times New Roman" w:eastAsia="Times New Roman" w:hAnsi="Times New Roman" w:cs="Times New Roman"/>
          <w:lang w:eastAsia="hu-HU"/>
        </w:rPr>
        <w:t>á</w:t>
      </w:r>
      <w:r w:rsidRPr="00B87C3E">
        <w:rPr>
          <w:rFonts w:ascii="Times New Roman" w:eastAsia="Times New Roman" w:hAnsi="Times New Roman" w:cs="Times New Roman"/>
          <w:bCs/>
          <w:lang w:eastAsia="hu-HU"/>
        </w:rPr>
        <w:t>n a hallgatók megismerkedhetik a korszer</w:t>
      </w:r>
      <w:r w:rsidRPr="00B87C3E">
        <w:rPr>
          <w:rFonts w:ascii="Times New Roman" w:eastAsia="Times New Roman" w:hAnsi="Times New Roman" w:cs="Times New Roman"/>
          <w:lang w:eastAsia="hu-HU"/>
        </w:rPr>
        <w:t>ű</w:t>
      </w:r>
      <w:r w:rsidRPr="00B87C3E">
        <w:rPr>
          <w:rFonts w:ascii="Times New Roman" w:eastAsia="Times New Roman" w:hAnsi="Times New Roman" w:cs="Times New Roman"/>
          <w:bCs/>
          <w:lang w:eastAsia="hu-HU"/>
        </w:rPr>
        <w:t xml:space="preserve"> </w:t>
      </w:r>
      <w:r w:rsidRPr="00B87C3E">
        <w:rPr>
          <w:rFonts w:ascii="Times New Roman" w:eastAsia="Times New Roman" w:hAnsi="Times New Roman" w:cs="Times New Roman"/>
          <w:lang w:eastAsia="hu-HU"/>
        </w:rPr>
        <w:t>katonai kiképzés módszer- és eszköz rendszerét; a kiképzési ágak tartalmát és a tervezés alapokmányait; az alapkiképzés foglalkozásaira történő felkészülés folyamatát, azok előkészítését és levezetését.</w:t>
      </w:r>
    </w:p>
    <w:p w:rsidR="00B87C3E" w:rsidRPr="00B87C3E" w:rsidRDefault="00B87C3E" w:rsidP="00B87C3E">
      <w:pPr>
        <w:tabs>
          <w:tab w:val="center" w:pos="4536"/>
          <w:tab w:val="right" w:pos="9072"/>
        </w:tabs>
        <w:spacing w:before="120" w:after="0" w:line="240" w:lineRule="auto"/>
        <w:ind w:left="284"/>
        <w:jc w:val="both"/>
        <w:rPr>
          <w:rFonts w:ascii="Times New Roman" w:eastAsia="Times New Roman" w:hAnsi="Times New Roman" w:cs="Times New Roman"/>
          <w:b/>
          <w:bCs/>
          <w:lang w:val="en-US" w:eastAsia="hu-HU"/>
        </w:rPr>
      </w:pPr>
      <w:r w:rsidRPr="00B87C3E">
        <w:rPr>
          <w:rFonts w:ascii="Times New Roman" w:eastAsia="Times New Roman" w:hAnsi="Times New Roman" w:cs="Times New Roman"/>
          <w:b/>
          <w:bCs/>
          <w:lang w:val="en-US" w:eastAsia="hu-HU"/>
        </w:rPr>
        <w:t>A tantárgy szakmai tartalma (angolul):</w:t>
      </w:r>
      <w:r w:rsidRPr="00B87C3E">
        <w:rPr>
          <w:rFonts w:ascii="Times New Roman" w:eastAsia="Times New Roman" w:hAnsi="Times New Roman" w:cs="Times New Roman"/>
          <w:bCs/>
          <w:lang w:val="en-US" w:eastAsia="hu-HU"/>
        </w:rPr>
        <w:t xml:space="preserve"> </w:t>
      </w:r>
      <w:r w:rsidRPr="00B87C3E">
        <w:rPr>
          <w:rFonts w:ascii="Times New Roman" w:eastAsia="Times New Roman" w:hAnsi="Times New Roman" w:cs="Times New Roman"/>
          <w:bCs/>
          <w:lang w:eastAsia="hu-HU"/>
        </w:rPr>
        <w:t>This introductory course will provide students with the basic understand of modern era (land) combined arms operations including theoretical knowledge of combat, combat service and combat service support activities throughout the full-spectrum of operations as well as the tactical application of the operations process</w:t>
      </w:r>
      <w:r w:rsidRPr="00B87C3E">
        <w:rPr>
          <w:rFonts w:ascii="Times New Roman" w:eastAsia="Times New Roman" w:hAnsi="Times New Roman" w:cs="Times New Roman"/>
          <w:bCs/>
          <w:lang w:val="en-US" w:eastAsia="hu-HU"/>
        </w:rPr>
        <w:t>.</w:t>
      </w:r>
    </w:p>
    <w:p w:rsidR="00B87C3E" w:rsidRPr="00B87C3E" w:rsidRDefault="00B87C3E" w:rsidP="00980876">
      <w:pPr>
        <w:widowControl w:val="0"/>
        <w:numPr>
          <w:ilvl w:val="0"/>
          <w:numId w:val="735"/>
        </w:numPr>
        <w:tabs>
          <w:tab w:val="num" w:pos="567"/>
        </w:tabs>
        <w:spacing w:before="120" w:after="120" w:line="240" w:lineRule="auto"/>
        <w:jc w:val="both"/>
        <w:rPr>
          <w:rFonts w:ascii="Times New Roman" w:eastAsia="Times New Roman" w:hAnsi="Times New Roman" w:cs="Times New Roman"/>
          <w:b/>
          <w:bCs/>
          <w:lang w:eastAsia="hu-HU"/>
        </w:rPr>
      </w:pPr>
      <w:r w:rsidRPr="00B87C3E">
        <w:rPr>
          <w:rFonts w:ascii="Times New Roman" w:eastAsia="Times New Roman" w:hAnsi="Times New Roman" w:cs="Times New Roman"/>
          <w:b/>
          <w:bCs/>
          <w:lang w:eastAsia="hu-HU"/>
        </w:rPr>
        <w:t xml:space="preserve">Elérendő kompetenciák (magyarul): </w:t>
      </w:r>
    </w:p>
    <w:p w:rsidR="00B87C3E" w:rsidRPr="00B87C3E" w:rsidRDefault="00B87C3E" w:rsidP="00B87C3E">
      <w:pPr>
        <w:widowControl w:val="0"/>
        <w:spacing w:before="120" w:after="0" w:line="240" w:lineRule="auto"/>
        <w:ind w:left="425"/>
        <w:jc w:val="both"/>
        <w:rPr>
          <w:rFonts w:ascii="Times New Roman" w:eastAsia="Times New Roman" w:hAnsi="Times New Roman" w:cs="Times New Roman"/>
          <w:b/>
          <w:bCs/>
          <w:lang w:eastAsia="hu-HU"/>
        </w:rPr>
      </w:pPr>
      <w:r w:rsidRPr="00B87C3E">
        <w:rPr>
          <w:rFonts w:ascii="Times New Roman" w:eastAsia="Times New Roman" w:hAnsi="Times New Roman" w:cs="Times New Roman"/>
          <w:b/>
          <w:bCs/>
          <w:lang w:eastAsia="hu-HU"/>
        </w:rPr>
        <w:t xml:space="preserve">Tudása: </w:t>
      </w:r>
    </w:p>
    <w:p w:rsidR="00B87C3E" w:rsidRPr="00B87C3E" w:rsidRDefault="00B87C3E" w:rsidP="00980876">
      <w:pPr>
        <w:widowControl w:val="0"/>
        <w:numPr>
          <w:ilvl w:val="0"/>
          <w:numId w:val="473"/>
        </w:numPr>
        <w:spacing w:after="0" w:line="240" w:lineRule="auto"/>
        <w:jc w:val="both"/>
        <w:rPr>
          <w:rFonts w:ascii="Times New Roman" w:eastAsia="Times New Roman" w:hAnsi="Times New Roman" w:cs="Times New Roman"/>
          <w:bCs/>
          <w:lang w:eastAsia="hu-HU"/>
        </w:rPr>
      </w:pPr>
      <w:r w:rsidRPr="00B87C3E">
        <w:rPr>
          <w:rFonts w:ascii="Times New Roman" w:eastAsia="Times New Roman" w:hAnsi="Times New Roman" w:cs="Times New Roman"/>
          <w:bCs/>
          <w:lang w:eastAsia="hu-HU"/>
        </w:rPr>
        <w:t xml:space="preserve">Ismeri szakterülete társadalomtudományi és hadtudományi elméleti és gyakorlati általános és specifikus jellemzőit, legfontosabb fejlődési irányait, a hadtudomány interdiszciplináris kapcsolódásait. </w:t>
      </w:r>
    </w:p>
    <w:p w:rsidR="00B87C3E" w:rsidRPr="00B87C3E" w:rsidRDefault="00B87C3E" w:rsidP="00980876">
      <w:pPr>
        <w:widowControl w:val="0"/>
        <w:numPr>
          <w:ilvl w:val="0"/>
          <w:numId w:val="473"/>
        </w:numPr>
        <w:spacing w:before="120" w:after="120" w:line="240" w:lineRule="auto"/>
        <w:contextualSpacing/>
        <w:jc w:val="both"/>
        <w:rPr>
          <w:rFonts w:ascii="Times New Roman" w:eastAsia="Times New Roman" w:hAnsi="Times New Roman" w:cs="Times New Roman"/>
          <w:bCs/>
          <w:lang w:eastAsia="hu-HU"/>
        </w:rPr>
      </w:pPr>
      <w:r w:rsidRPr="00B87C3E">
        <w:rPr>
          <w:rFonts w:ascii="Times New Roman" w:eastAsia="Times New Roman" w:hAnsi="Times New Roman" w:cs="Times New Roman"/>
          <w:bCs/>
          <w:lang w:eastAsia="hu-HU"/>
        </w:rPr>
        <w:t>Ismeri az elmélet és gyakorlat sajátos kutatási módszereit, absztrakciós technikáit az elvi kérdések gyakorlati vonatkozásainak kidolgozási módjait.</w:t>
      </w:r>
    </w:p>
    <w:p w:rsidR="00B87C3E" w:rsidRPr="00B87C3E" w:rsidRDefault="00B87C3E" w:rsidP="00980876">
      <w:pPr>
        <w:widowControl w:val="0"/>
        <w:numPr>
          <w:ilvl w:val="0"/>
          <w:numId w:val="473"/>
        </w:numPr>
        <w:spacing w:before="120" w:after="120" w:line="240" w:lineRule="auto"/>
        <w:ind w:left="782" w:hanging="357"/>
        <w:contextualSpacing/>
        <w:jc w:val="both"/>
        <w:rPr>
          <w:rFonts w:ascii="Times New Roman" w:eastAsia="Times New Roman" w:hAnsi="Times New Roman" w:cs="Times New Roman"/>
          <w:bCs/>
          <w:lang w:eastAsia="hu-HU"/>
        </w:rPr>
      </w:pPr>
      <w:r w:rsidRPr="00B87C3E">
        <w:rPr>
          <w:rFonts w:ascii="Times New Roman" w:eastAsia="Times New Roman" w:hAnsi="Times New Roman" w:cs="Times New Roman"/>
          <w:lang w:eastAsia="hu-HU"/>
        </w:rPr>
        <w:t>Ismeri az oktatási metodikákat és technikákat;</w:t>
      </w:r>
    </w:p>
    <w:p w:rsidR="00B87C3E" w:rsidRPr="00B87C3E" w:rsidRDefault="00B87C3E" w:rsidP="00B87C3E">
      <w:pPr>
        <w:widowControl w:val="0"/>
        <w:spacing w:before="120" w:after="0" w:line="240" w:lineRule="auto"/>
        <w:ind w:left="425"/>
        <w:jc w:val="both"/>
        <w:rPr>
          <w:rFonts w:ascii="Times New Roman" w:eastAsia="Times New Roman" w:hAnsi="Times New Roman" w:cs="Times New Roman"/>
          <w:b/>
          <w:bCs/>
          <w:lang w:eastAsia="hu-HU"/>
        </w:rPr>
      </w:pPr>
      <w:r w:rsidRPr="00B87C3E">
        <w:rPr>
          <w:rFonts w:ascii="Times New Roman" w:eastAsia="Times New Roman" w:hAnsi="Times New Roman" w:cs="Times New Roman"/>
          <w:b/>
          <w:bCs/>
          <w:lang w:eastAsia="hu-HU"/>
        </w:rPr>
        <w:t xml:space="preserve">Képességei: </w:t>
      </w:r>
    </w:p>
    <w:p w:rsidR="00B87C3E" w:rsidRPr="00B87C3E" w:rsidRDefault="00B87C3E" w:rsidP="00980876">
      <w:pPr>
        <w:widowControl w:val="0"/>
        <w:numPr>
          <w:ilvl w:val="0"/>
          <w:numId w:val="473"/>
        </w:numPr>
        <w:spacing w:after="0" w:line="240" w:lineRule="auto"/>
        <w:jc w:val="both"/>
        <w:rPr>
          <w:rFonts w:ascii="Times New Roman" w:eastAsia="Times New Roman" w:hAnsi="Times New Roman" w:cs="Times New Roman"/>
          <w:bCs/>
          <w:lang w:eastAsia="hu-HU"/>
        </w:rPr>
      </w:pPr>
      <w:r w:rsidRPr="00B87C3E">
        <w:rPr>
          <w:rFonts w:ascii="Times New Roman" w:eastAsia="Times New Roman" w:hAnsi="Times New Roman" w:cs="Times New Roman"/>
          <w:bCs/>
          <w:lang w:eastAsia="hu-HU"/>
        </w:rPr>
        <w:t xml:space="preserve">A megszerzett korszerű módszertani ismeretek birtokában az alapkiképzés foglalkozásainak vezetése. </w:t>
      </w:r>
    </w:p>
    <w:p w:rsidR="00B87C3E" w:rsidRPr="00B87C3E" w:rsidRDefault="00B87C3E" w:rsidP="00980876">
      <w:pPr>
        <w:widowControl w:val="0"/>
        <w:numPr>
          <w:ilvl w:val="0"/>
          <w:numId w:val="473"/>
        </w:numPr>
        <w:spacing w:after="0" w:line="240" w:lineRule="auto"/>
        <w:jc w:val="both"/>
        <w:rPr>
          <w:rFonts w:ascii="Times New Roman" w:eastAsia="Times New Roman" w:hAnsi="Times New Roman" w:cs="Times New Roman"/>
          <w:bCs/>
          <w:lang w:eastAsia="hu-HU"/>
        </w:rPr>
      </w:pPr>
      <w:r w:rsidRPr="00B87C3E">
        <w:rPr>
          <w:rFonts w:ascii="Times New Roman" w:eastAsia="Times New Roman" w:hAnsi="Times New Roman" w:cs="Times New Roman"/>
          <w:bCs/>
          <w:lang w:eastAsia="hu-HU"/>
        </w:rPr>
        <w:t xml:space="preserve">Képesek a foglalkozások magas színvonalú megtervezésére, levezetésére; </w:t>
      </w:r>
    </w:p>
    <w:p w:rsidR="00B87C3E" w:rsidRPr="00B87C3E" w:rsidRDefault="00B87C3E" w:rsidP="00980876">
      <w:pPr>
        <w:widowControl w:val="0"/>
        <w:numPr>
          <w:ilvl w:val="0"/>
          <w:numId w:val="473"/>
        </w:numPr>
        <w:spacing w:after="0" w:line="240" w:lineRule="auto"/>
        <w:jc w:val="both"/>
        <w:rPr>
          <w:rFonts w:ascii="Times New Roman" w:eastAsia="Times New Roman" w:hAnsi="Times New Roman" w:cs="Times New Roman"/>
          <w:bCs/>
          <w:lang w:eastAsia="hu-HU"/>
        </w:rPr>
      </w:pPr>
      <w:r w:rsidRPr="00B87C3E">
        <w:rPr>
          <w:rFonts w:ascii="Times New Roman" w:eastAsia="Times New Roman" w:hAnsi="Times New Roman" w:cs="Times New Roman"/>
          <w:bCs/>
          <w:lang w:eastAsia="hu-HU"/>
        </w:rPr>
        <w:t>Képes a kiképzési ágban tanultak alkotó módon történő alkalmazására, mint az elméleti-, mint a gyakorlati oktatásban</w:t>
      </w:r>
    </w:p>
    <w:p w:rsidR="00B87C3E" w:rsidRPr="00B87C3E" w:rsidRDefault="00B87C3E" w:rsidP="00B87C3E">
      <w:pPr>
        <w:widowControl w:val="0"/>
        <w:spacing w:before="120" w:after="0" w:line="240" w:lineRule="auto"/>
        <w:ind w:left="425"/>
        <w:jc w:val="both"/>
        <w:rPr>
          <w:rFonts w:ascii="Times New Roman" w:eastAsia="Times New Roman" w:hAnsi="Times New Roman" w:cs="Times New Roman"/>
          <w:b/>
          <w:bCs/>
          <w:lang w:eastAsia="hu-HU"/>
        </w:rPr>
      </w:pPr>
      <w:r w:rsidRPr="00B87C3E">
        <w:rPr>
          <w:rFonts w:ascii="Times New Roman" w:eastAsia="Times New Roman" w:hAnsi="Times New Roman" w:cs="Times New Roman"/>
          <w:b/>
          <w:bCs/>
          <w:lang w:eastAsia="hu-HU"/>
        </w:rPr>
        <w:lastRenderedPageBreak/>
        <w:t xml:space="preserve">Attitűdje: </w:t>
      </w:r>
    </w:p>
    <w:p w:rsidR="00B87C3E" w:rsidRPr="00B87C3E" w:rsidRDefault="00B87C3E" w:rsidP="00980876">
      <w:pPr>
        <w:widowControl w:val="0"/>
        <w:numPr>
          <w:ilvl w:val="0"/>
          <w:numId w:val="473"/>
        </w:numPr>
        <w:spacing w:after="0" w:line="240" w:lineRule="auto"/>
        <w:jc w:val="both"/>
        <w:rPr>
          <w:rFonts w:ascii="Times New Roman" w:eastAsia="Times New Roman" w:hAnsi="Times New Roman" w:cs="Times New Roman"/>
          <w:bCs/>
          <w:lang w:eastAsia="hu-HU"/>
        </w:rPr>
      </w:pPr>
      <w:r w:rsidRPr="00B87C3E">
        <w:rPr>
          <w:rFonts w:ascii="Times New Roman" w:eastAsia="Times New Roman" w:hAnsi="Times New Roman" w:cs="Times New Roman"/>
          <w:bCs/>
          <w:lang w:eastAsia="hu-HU"/>
        </w:rPr>
        <w:t xml:space="preserve">A kiképzés tervezése, szervezése és irányítása vonatkozásában kezdeményező szerepet vállal. </w:t>
      </w:r>
    </w:p>
    <w:p w:rsidR="00B87C3E" w:rsidRPr="00B87C3E" w:rsidRDefault="00B87C3E" w:rsidP="00980876">
      <w:pPr>
        <w:widowControl w:val="0"/>
        <w:numPr>
          <w:ilvl w:val="0"/>
          <w:numId w:val="473"/>
        </w:numPr>
        <w:spacing w:after="0" w:line="240" w:lineRule="auto"/>
        <w:jc w:val="both"/>
        <w:rPr>
          <w:rFonts w:ascii="Times New Roman" w:eastAsia="Times New Roman" w:hAnsi="Times New Roman" w:cs="Times New Roman"/>
          <w:bCs/>
          <w:lang w:eastAsia="hu-HU"/>
        </w:rPr>
      </w:pPr>
      <w:r w:rsidRPr="00B87C3E">
        <w:rPr>
          <w:rFonts w:ascii="Times New Roman" w:eastAsia="Times New Roman" w:hAnsi="Times New Roman" w:cs="Times New Roman"/>
          <w:bCs/>
          <w:lang w:eastAsia="hu-HU"/>
        </w:rPr>
        <w:t xml:space="preserve">A kiképzés során a jogszabályok és etikai normák teljekörű figyelembevételével hozza meg döntéseit. </w:t>
      </w:r>
    </w:p>
    <w:p w:rsidR="00B87C3E" w:rsidRPr="00B87C3E" w:rsidRDefault="00B87C3E" w:rsidP="00B87C3E">
      <w:pPr>
        <w:widowControl w:val="0"/>
        <w:spacing w:before="120" w:after="0" w:line="240" w:lineRule="auto"/>
        <w:ind w:left="425"/>
        <w:jc w:val="both"/>
        <w:rPr>
          <w:rFonts w:ascii="Times New Roman" w:eastAsia="Times New Roman" w:hAnsi="Times New Roman" w:cs="Times New Roman"/>
          <w:b/>
          <w:bCs/>
          <w:lang w:eastAsia="hu-HU"/>
        </w:rPr>
      </w:pPr>
      <w:r w:rsidRPr="00B87C3E">
        <w:rPr>
          <w:rFonts w:ascii="Times New Roman" w:eastAsia="Times New Roman" w:hAnsi="Times New Roman" w:cs="Times New Roman"/>
          <w:b/>
          <w:bCs/>
          <w:lang w:eastAsia="hu-HU"/>
        </w:rPr>
        <w:t>Autonómiája és felelőssége:</w:t>
      </w:r>
    </w:p>
    <w:p w:rsidR="00B87C3E" w:rsidRPr="00B87C3E" w:rsidRDefault="00B87C3E" w:rsidP="00980876">
      <w:pPr>
        <w:widowControl w:val="0"/>
        <w:numPr>
          <w:ilvl w:val="0"/>
          <w:numId w:val="728"/>
        </w:numPr>
        <w:spacing w:after="0" w:line="240" w:lineRule="auto"/>
        <w:jc w:val="both"/>
        <w:rPr>
          <w:rFonts w:ascii="Times New Roman" w:eastAsia="Times New Roman" w:hAnsi="Times New Roman" w:cs="Times New Roman"/>
          <w:bCs/>
          <w:lang w:eastAsia="hu-HU"/>
        </w:rPr>
      </w:pPr>
      <w:r w:rsidRPr="00B87C3E">
        <w:rPr>
          <w:rFonts w:ascii="Times New Roman" w:eastAsia="Times New Roman" w:hAnsi="Times New Roman" w:cs="Times New Roman"/>
          <w:bCs/>
          <w:lang w:eastAsia="hu-HU"/>
        </w:rPr>
        <w:t>Beosztásában, felelősségi és jogköréből adódóan önállóan tervezi és végzi szakmai tevékenységét.</w:t>
      </w:r>
    </w:p>
    <w:p w:rsidR="00B87C3E" w:rsidRPr="00B87C3E" w:rsidRDefault="00B87C3E" w:rsidP="00980876">
      <w:pPr>
        <w:widowControl w:val="0"/>
        <w:numPr>
          <w:ilvl w:val="0"/>
          <w:numId w:val="728"/>
        </w:numPr>
        <w:spacing w:before="120" w:after="120" w:line="240" w:lineRule="auto"/>
        <w:contextualSpacing/>
        <w:jc w:val="both"/>
        <w:rPr>
          <w:rFonts w:ascii="Times New Roman" w:eastAsia="Times New Roman" w:hAnsi="Times New Roman" w:cs="Times New Roman"/>
          <w:bCs/>
          <w:lang w:eastAsia="hu-HU"/>
        </w:rPr>
      </w:pPr>
      <w:r w:rsidRPr="00B87C3E">
        <w:rPr>
          <w:rFonts w:ascii="Times New Roman" w:eastAsia="Times New Roman" w:hAnsi="Times New Roman" w:cs="Times New Roman"/>
          <w:bCs/>
          <w:lang w:eastAsia="hu-HU"/>
        </w:rPr>
        <w:t>Döntési helyzetekben felelősséget vállal az azok következtében kialakuló komplex hatásaiért.</w:t>
      </w:r>
    </w:p>
    <w:p w:rsidR="00B87C3E" w:rsidRPr="00B87C3E" w:rsidRDefault="00B87C3E" w:rsidP="00B87C3E">
      <w:pPr>
        <w:spacing w:before="240" w:after="0" w:line="240" w:lineRule="auto"/>
        <w:rPr>
          <w:rFonts w:ascii="Times New Roman" w:eastAsia="Times New Roman" w:hAnsi="Times New Roman" w:cs="Times New Roman"/>
          <w:b/>
          <w:bCs/>
          <w:lang w:val="en-US" w:eastAsia="hu-HU"/>
        </w:rPr>
      </w:pPr>
      <w:r w:rsidRPr="00B87C3E">
        <w:rPr>
          <w:rFonts w:ascii="Times New Roman" w:eastAsia="Times New Roman" w:hAnsi="Times New Roman" w:cs="Times New Roman"/>
          <w:b/>
          <w:bCs/>
          <w:lang w:eastAsia="hu-HU"/>
        </w:rPr>
        <w:t>Elérendő kompetenciák (angolul) (</w:t>
      </w:r>
      <w:r w:rsidRPr="00B87C3E">
        <w:rPr>
          <w:rFonts w:ascii="Times New Roman" w:eastAsia="Times New Roman" w:hAnsi="Times New Roman" w:cs="Times New Roman"/>
          <w:b/>
          <w:bCs/>
          <w:lang w:val="en-US" w:eastAsia="hu-HU"/>
        </w:rPr>
        <w:t xml:space="preserve">Competences – English): </w:t>
      </w:r>
    </w:p>
    <w:p w:rsidR="00B87C3E" w:rsidRPr="00B87C3E" w:rsidRDefault="00B87C3E" w:rsidP="00B87C3E">
      <w:pPr>
        <w:widowControl w:val="0"/>
        <w:spacing w:before="120" w:after="0" w:line="240" w:lineRule="auto"/>
        <w:ind w:left="425"/>
        <w:jc w:val="both"/>
        <w:rPr>
          <w:rFonts w:ascii="Times New Roman" w:eastAsia="Times New Roman" w:hAnsi="Times New Roman" w:cs="Times New Roman"/>
          <w:b/>
          <w:bCs/>
          <w:lang w:eastAsia="hu-HU"/>
        </w:rPr>
      </w:pPr>
      <w:r w:rsidRPr="00B87C3E">
        <w:rPr>
          <w:rFonts w:ascii="Times New Roman" w:eastAsia="Times New Roman" w:hAnsi="Times New Roman" w:cs="Times New Roman"/>
          <w:b/>
          <w:bCs/>
          <w:lang w:eastAsia="hu-HU"/>
        </w:rPr>
        <w:t xml:space="preserve">Knowledge: </w:t>
      </w:r>
    </w:p>
    <w:p w:rsidR="00B87C3E" w:rsidRPr="00B87C3E" w:rsidRDefault="00B87C3E" w:rsidP="00980876">
      <w:pPr>
        <w:widowControl w:val="0"/>
        <w:numPr>
          <w:ilvl w:val="0"/>
          <w:numId w:val="728"/>
        </w:numPr>
        <w:spacing w:before="120" w:after="120" w:line="240" w:lineRule="auto"/>
        <w:contextualSpacing/>
        <w:jc w:val="both"/>
        <w:rPr>
          <w:rFonts w:ascii="Times New Roman" w:eastAsia="Times New Roman" w:hAnsi="Times New Roman" w:cs="Times New Roman"/>
          <w:bCs/>
          <w:lang w:val="en-GB" w:eastAsia="hu-HU"/>
        </w:rPr>
      </w:pPr>
      <w:r w:rsidRPr="00B87C3E">
        <w:rPr>
          <w:rFonts w:ascii="Times New Roman" w:eastAsia="Times New Roman" w:hAnsi="Times New Roman" w:cs="Times New Roman"/>
          <w:bCs/>
          <w:lang w:val="en-GB" w:eastAsia="hu-HU"/>
        </w:rPr>
        <w:t>He / she is familiar with the general and specific features, main directions of development and interdisciplinary connections of military science.</w:t>
      </w:r>
    </w:p>
    <w:p w:rsidR="00B87C3E" w:rsidRPr="00B87C3E" w:rsidRDefault="00B87C3E" w:rsidP="00980876">
      <w:pPr>
        <w:widowControl w:val="0"/>
        <w:numPr>
          <w:ilvl w:val="0"/>
          <w:numId w:val="473"/>
        </w:numPr>
        <w:spacing w:before="120" w:after="120" w:line="240" w:lineRule="auto"/>
        <w:contextualSpacing/>
        <w:jc w:val="both"/>
        <w:rPr>
          <w:rFonts w:ascii="Times New Roman" w:eastAsia="Times New Roman" w:hAnsi="Times New Roman" w:cs="Times New Roman"/>
          <w:bCs/>
          <w:lang w:val="en-GB" w:eastAsia="hu-HU"/>
        </w:rPr>
      </w:pPr>
      <w:r w:rsidRPr="00B87C3E">
        <w:rPr>
          <w:rFonts w:ascii="Times New Roman" w:eastAsia="Times New Roman" w:hAnsi="Times New Roman" w:cs="Times New Roman"/>
          <w:bCs/>
          <w:lang w:val="en-GB" w:eastAsia="hu-HU"/>
        </w:rPr>
        <w:t>Knows the specific research methods and abstraction techniques of military theory and practice and the ways of developing practical aspects of theoretical questions.</w:t>
      </w:r>
    </w:p>
    <w:p w:rsidR="00B87C3E" w:rsidRPr="00B87C3E" w:rsidRDefault="00B87C3E" w:rsidP="00980876">
      <w:pPr>
        <w:widowControl w:val="0"/>
        <w:numPr>
          <w:ilvl w:val="0"/>
          <w:numId w:val="473"/>
        </w:numPr>
        <w:spacing w:before="120" w:after="120" w:line="240" w:lineRule="auto"/>
        <w:contextualSpacing/>
        <w:jc w:val="both"/>
        <w:rPr>
          <w:rFonts w:ascii="Times New Roman" w:eastAsia="Times New Roman" w:hAnsi="Times New Roman" w:cs="Times New Roman"/>
          <w:bCs/>
          <w:lang w:val="en-GB" w:eastAsia="hu-HU"/>
        </w:rPr>
      </w:pPr>
      <w:r w:rsidRPr="00B87C3E">
        <w:rPr>
          <w:rFonts w:ascii="Times New Roman" w:eastAsia="Times New Roman" w:hAnsi="Times New Roman" w:cs="Times New Roman"/>
          <w:bCs/>
          <w:lang w:val="en-GB" w:eastAsia="hu-HU"/>
        </w:rPr>
        <w:t>Knows the methodology and technics of education and teaching.</w:t>
      </w:r>
    </w:p>
    <w:p w:rsidR="00B87C3E" w:rsidRPr="00B87C3E" w:rsidRDefault="00B87C3E" w:rsidP="00B87C3E">
      <w:pPr>
        <w:widowControl w:val="0"/>
        <w:spacing w:before="120" w:after="0" w:line="240" w:lineRule="auto"/>
        <w:ind w:left="425"/>
        <w:jc w:val="both"/>
        <w:rPr>
          <w:rFonts w:ascii="Times New Roman" w:eastAsia="Times New Roman" w:hAnsi="Times New Roman" w:cs="Times New Roman"/>
          <w:b/>
          <w:bCs/>
          <w:lang w:eastAsia="hu-HU"/>
        </w:rPr>
      </w:pPr>
      <w:r w:rsidRPr="00B87C3E">
        <w:rPr>
          <w:rFonts w:ascii="Times New Roman" w:eastAsia="Times New Roman" w:hAnsi="Times New Roman" w:cs="Times New Roman"/>
          <w:b/>
          <w:bCs/>
          <w:lang w:eastAsia="hu-HU"/>
        </w:rPr>
        <w:t xml:space="preserve">Capabilities: </w:t>
      </w:r>
    </w:p>
    <w:p w:rsidR="00B87C3E" w:rsidRPr="00B87C3E" w:rsidRDefault="00B87C3E" w:rsidP="00980876">
      <w:pPr>
        <w:widowControl w:val="0"/>
        <w:numPr>
          <w:ilvl w:val="0"/>
          <w:numId w:val="728"/>
        </w:numPr>
        <w:spacing w:before="120" w:after="120" w:line="240" w:lineRule="auto"/>
        <w:contextualSpacing/>
        <w:jc w:val="both"/>
        <w:rPr>
          <w:rFonts w:ascii="Times New Roman" w:eastAsia="Times New Roman" w:hAnsi="Times New Roman" w:cs="Times New Roman"/>
          <w:bCs/>
          <w:lang w:val="en-GB" w:eastAsia="hu-HU"/>
        </w:rPr>
      </w:pPr>
      <w:r w:rsidRPr="00B87C3E">
        <w:rPr>
          <w:rFonts w:ascii="Times New Roman" w:eastAsia="Times New Roman" w:hAnsi="Times New Roman" w:cs="Times New Roman"/>
          <w:bCs/>
          <w:lang w:val="en-GB" w:eastAsia="hu-HU"/>
        </w:rPr>
        <w:t>Able to lead basic military training with the acquired modern methodological knowledge</w:t>
      </w:r>
    </w:p>
    <w:p w:rsidR="00B87C3E" w:rsidRPr="00B87C3E" w:rsidRDefault="00B87C3E" w:rsidP="00980876">
      <w:pPr>
        <w:widowControl w:val="0"/>
        <w:numPr>
          <w:ilvl w:val="0"/>
          <w:numId w:val="728"/>
        </w:numPr>
        <w:spacing w:before="120" w:after="120" w:line="240" w:lineRule="auto"/>
        <w:contextualSpacing/>
        <w:jc w:val="both"/>
        <w:rPr>
          <w:rFonts w:ascii="Times New Roman" w:eastAsia="Times New Roman" w:hAnsi="Times New Roman" w:cs="Times New Roman"/>
          <w:bCs/>
          <w:lang w:val="en-GB" w:eastAsia="hu-HU"/>
        </w:rPr>
      </w:pPr>
      <w:r w:rsidRPr="00B87C3E">
        <w:rPr>
          <w:rFonts w:ascii="Times New Roman" w:eastAsia="Times New Roman" w:hAnsi="Times New Roman" w:cs="Times New Roman"/>
          <w:bCs/>
          <w:lang w:val="en-GB" w:eastAsia="hu-HU"/>
        </w:rPr>
        <w:t>Able to plan and conduct of trainings in high quality</w:t>
      </w:r>
    </w:p>
    <w:p w:rsidR="00B87C3E" w:rsidRPr="00B87C3E" w:rsidRDefault="00B87C3E" w:rsidP="00980876">
      <w:pPr>
        <w:widowControl w:val="0"/>
        <w:numPr>
          <w:ilvl w:val="0"/>
          <w:numId w:val="728"/>
        </w:numPr>
        <w:spacing w:before="120" w:after="120" w:line="240" w:lineRule="auto"/>
        <w:contextualSpacing/>
        <w:jc w:val="both"/>
        <w:rPr>
          <w:rFonts w:ascii="Times New Roman" w:eastAsia="Times New Roman" w:hAnsi="Times New Roman" w:cs="Times New Roman"/>
          <w:b/>
          <w:lang w:val="en-GB" w:eastAsia="hu-HU"/>
        </w:rPr>
      </w:pPr>
      <w:r w:rsidRPr="00B87C3E">
        <w:rPr>
          <w:rFonts w:ascii="Times New Roman" w:eastAsia="Times New Roman" w:hAnsi="Times New Roman" w:cs="Times New Roman"/>
          <w:bCs/>
          <w:lang w:val="en-GB" w:eastAsia="hu-HU"/>
        </w:rPr>
        <w:t>Able to apply what has been learned both in theoretical and practical education/training</w:t>
      </w:r>
    </w:p>
    <w:p w:rsidR="00B87C3E" w:rsidRPr="00B87C3E" w:rsidRDefault="00B87C3E" w:rsidP="00B87C3E">
      <w:pPr>
        <w:widowControl w:val="0"/>
        <w:spacing w:before="120" w:after="0" w:line="240" w:lineRule="auto"/>
        <w:ind w:left="425"/>
        <w:jc w:val="both"/>
        <w:rPr>
          <w:rFonts w:ascii="Times New Roman" w:eastAsia="Times New Roman" w:hAnsi="Times New Roman" w:cs="Times New Roman"/>
          <w:b/>
          <w:bCs/>
          <w:lang w:eastAsia="hu-HU"/>
        </w:rPr>
      </w:pPr>
      <w:r w:rsidRPr="00B87C3E">
        <w:rPr>
          <w:rFonts w:ascii="Times New Roman" w:eastAsia="Times New Roman" w:hAnsi="Times New Roman" w:cs="Times New Roman"/>
          <w:b/>
          <w:bCs/>
          <w:lang w:eastAsia="hu-HU"/>
        </w:rPr>
        <w:t xml:space="preserve">Attitude: </w:t>
      </w:r>
    </w:p>
    <w:p w:rsidR="00B87C3E" w:rsidRPr="00B87C3E" w:rsidRDefault="00B87C3E" w:rsidP="00980876">
      <w:pPr>
        <w:widowControl w:val="0"/>
        <w:numPr>
          <w:ilvl w:val="0"/>
          <w:numId w:val="473"/>
        </w:numPr>
        <w:spacing w:before="120" w:after="120" w:line="240" w:lineRule="auto"/>
        <w:contextualSpacing/>
        <w:jc w:val="both"/>
        <w:rPr>
          <w:rFonts w:ascii="Times New Roman" w:eastAsia="Times New Roman" w:hAnsi="Times New Roman" w:cs="Times New Roman"/>
          <w:bCs/>
          <w:lang w:val="en-GB" w:eastAsia="hu-HU"/>
        </w:rPr>
      </w:pPr>
      <w:r w:rsidRPr="00B87C3E">
        <w:rPr>
          <w:rFonts w:ascii="Times New Roman" w:eastAsia="Times New Roman" w:hAnsi="Times New Roman" w:cs="Times New Roman"/>
          <w:bCs/>
          <w:lang w:val="en-GB" w:eastAsia="hu-HU"/>
        </w:rPr>
        <w:t>He / She is initiative in planning, organizing and managing trainings and activities.</w:t>
      </w:r>
    </w:p>
    <w:p w:rsidR="00B87C3E" w:rsidRPr="00B87C3E" w:rsidRDefault="00B87C3E" w:rsidP="00980876">
      <w:pPr>
        <w:widowControl w:val="0"/>
        <w:numPr>
          <w:ilvl w:val="0"/>
          <w:numId w:val="473"/>
        </w:numPr>
        <w:spacing w:before="120" w:after="120" w:line="240" w:lineRule="auto"/>
        <w:contextualSpacing/>
        <w:jc w:val="both"/>
        <w:rPr>
          <w:rFonts w:ascii="Times New Roman" w:eastAsia="Times New Roman" w:hAnsi="Times New Roman" w:cs="Times New Roman"/>
          <w:bCs/>
          <w:lang w:val="en-GB" w:eastAsia="hu-HU"/>
        </w:rPr>
      </w:pPr>
      <w:r w:rsidRPr="00B87C3E">
        <w:rPr>
          <w:rFonts w:ascii="Times New Roman" w:eastAsia="Times New Roman" w:hAnsi="Times New Roman" w:cs="Times New Roman"/>
          <w:bCs/>
          <w:lang w:val="en-GB" w:eastAsia="hu-HU"/>
        </w:rPr>
        <w:t>Make decisions in full compliance with legal and ethical standards during military service.</w:t>
      </w:r>
    </w:p>
    <w:p w:rsidR="00B87C3E" w:rsidRPr="00B87C3E" w:rsidRDefault="00B87C3E" w:rsidP="00B87C3E">
      <w:pPr>
        <w:widowControl w:val="0"/>
        <w:spacing w:before="120" w:after="0" w:line="240" w:lineRule="auto"/>
        <w:ind w:left="425"/>
        <w:jc w:val="both"/>
        <w:rPr>
          <w:rFonts w:ascii="Times New Roman" w:eastAsia="Times New Roman" w:hAnsi="Times New Roman" w:cs="Times New Roman"/>
          <w:b/>
          <w:bCs/>
          <w:lang w:eastAsia="hu-HU"/>
        </w:rPr>
      </w:pPr>
      <w:r w:rsidRPr="00B87C3E">
        <w:rPr>
          <w:rFonts w:ascii="Times New Roman" w:eastAsia="Times New Roman" w:hAnsi="Times New Roman" w:cs="Times New Roman"/>
          <w:b/>
          <w:bCs/>
          <w:lang w:eastAsia="hu-HU"/>
        </w:rPr>
        <w:t xml:space="preserve">Autonomy and responsibility: </w:t>
      </w:r>
    </w:p>
    <w:p w:rsidR="00B87C3E" w:rsidRPr="00B87C3E" w:rsidRDefault="00B87C3E" w:rsidP="00980876">
      <w:pPr>
        <w:widowControl w:val="0"/>
        <w:numPr>
          <w:ilvl w:val="0"/>
          <w:numId w:val="473"/>
        </w:numPr>
        <w:spacing w:before="120" w:after="120" w:line="240" w:lineRule="auto"/>
        <w:contextualSpacing/>
        <w:jc w:val="both"/>
        <w:rPr>
          <w:rFonts w:ascii="Times New Roman" w:eastAsia="Times New Roman" w:hAnsi="Times New Roman" w:cs="Times New Roman"/>
          <w:bCs/>
          <w:lang w:val="en-GB" w:eastAsia="hu-HU"/>
        </w:rPr>
      </w:pPr>
      <w:r w:rsidRPr="00B87C3E">
        <w:rPr>
          <w:rFonts w:ascii="Times New Roman" w:eastAsia="Times New Roman" w:hAnsi="Times New Roman" w:cs="Times New Roman"/>
          <w:bCs/>
          <w:lang w:val="en-GB" w:eastAsia="hu-HU"/>
        </w:rPr>
        <w:t>Due to his position, responsibilities and powers of its own planning and carrying out his professional activities</w:t>
      </w:r>
    </w:p>
    <w:p w:rsidR="00B87C3E" w:rsidRPr="00B87C3E" w:rsidRDefault="00B87C3E" w:rsidP="00980876">
      <w:pPr>
        <w:widowControl w:val="0"/>
        <w:numPr>
          <w:ilvl w:val="0"/>
          <w:numId w:val="473"/>
        </w:numPr>
        <w:spacing w:before="120" w:after="120" w:line="240" w:lineRule="auto"/>
        <w:contextualSpacing/>
        <w:jc w:val="both"/>
        <w:rPr>
          <w:rFonts w:ascii="Times New Roman" w:eastAsia="Times New Roman" w:hAnsi="Times New Roman" w:cs="Times New Roman"/>
          <w:bCs/>
          <w:lang w:val="en-GB" w:eastAsia="hu-HU"/>
        </w:rPr>
      </w:pPr>
      <w:r w:rsidRPr="00B87C3E">
        <w:rPr>
          <w:rFonts w:ascii="Times New Roman" w:eastAsia="Times New Roman" w:hAnsi="Times New Roman" w:cs="Times New Roman"/>
          <w:bCs/>
          <w:lang w:val="en-GB" w:eastAsia="hu-HU"/>
        </w:rPr>
        <w:t>Responsible for the complex formed as a result of their effects of decision situations.</w:t>
      </w:r>
    </w:p>
    <w:p w:rsidR="00B87C3E" w:rsidRPr="00B87C3E" w:rsidRDefault="00B87C3E" w:rsidP="00980876">
      <w:pPr>
        <w:numPr>
          <w:ilvl w:val="0"/>
          <w:numId w:val="737"/>
        </w:numPr>
        <w:tabs>
          <w:tab w:val="right" w:pos="900"/>
          <w:tab w:val="center" w:pos="4536"/>
          <w:tab w:val="right" w:pos="9072"/>
        </w:tabs>
        <w:spacing w:before="120" w:after="0" w:line="240" w:lineRule="auto"/>
        <w:jc w:val="both"/>
        <w:rPr>
          <w:rFonts w:ascii="Times New Roman" w:eastAsia="Times New Roman" w:hAnsi="Times New Roman" w:cs="Times New Roman"/>
          <w:bCs/>
          <w:lang w:eastAsia="hu-HU"/>
        </w:rPr>
      </w:pPr>
      <w:r w:rsidRPr="00B87C3E">
        <w:rPr>
          <w:rFonts w:ascii="Times New Roman" w:eastAsia="Times New Roman" w:hAnsi="Times New Roman" w:cs="Times New Roman"/>
          <w:b/>
          <w:bCs/>
          <w:lang w:eastAsia="hu-HU"/>
        </w:rPr>
        <w:t xml:space="preserve">Előtanulmányi követelmények: </w:t>
      </w:r>
      <w:r w:rsidRPr="00B87C3E">
        <w:rPr>
          <w:rFonts w:ascii="Times New Roman" w:eastAsia="Times New Roman" w:hAnsi="Times New Roman" w:cs="Times New Roman"/>
          <w:bCs/>
          <w:lang w:eastAsia="hu-HU"/>
        </w:rPr>
        <w:t>-</w:t>
      </w:r>
    </w:p>
    <w:p w:rsidR="00B87C3E" w:rsidRPr="00B87C3E" w:rsidRDefault="00B87C3E" w:rsidP="00980876">
      <w:pPr>
        <w:numPr>
          <w:ilvl w:val="0"/>
          <w:numId w:val="738"/>
        </w:numPr>
        <w:spacing w:before="120" w:after="0" w:line="240" w:lineRule="auto"/>
        <w:jc w:val="both"/>
        <w:rPr>
          <w:rFonts w:ascii="Times New Roman" w:eastAsia="Times New Roman" w:hAnsi="Times New Roman" w:cs="Times New Roman"/>
          <w:b/>
          <w:lang w:eastAsia="hu-HU"/>
        </w:rPr>
      </w:pPr>
      <w:r w:rsidRPr="00B87C3E">
        <w:rPr>
          <w:rFonts w:ascii="Times New Roman" w:eastAsia="Times New Roman" w:hAnsi="Times New Roman" w:cs="Times New Roman"/>
          <w:b/>
          <w:lang w:eastAsia="hu-HU"/>
        </w:rPr>
        <w:t>A tantárgy tananyagának leírása, tematika. Description of the subject, curriculum (magyarul, angolul – English):</w:t>
      </w:r>
    </w:p>
    <w:p w:rsidR="00B87C3E" w:rsidRPr="00B87C3E" w:rsidRDefault="00B87C3E" w:rsidP="00980876">
      <w:pPr>
        <w:numPr>
          <w:ilvl w:val="1"/>
          <w:numId w:val="738"/>
        </w:numPr>
        <w:spacing w:after="0" w:line="240" w:lineRule="auto"/>
        <w:ind w:left="993" w:hanging="633"/>
        <w:jc w:val="both"/>
        <w:rPr>
          <w:rFonts w:ascii="Times New Roman" w:eastAsia="Times New Roman" w:hAnsi="Times New Roman" w:cs="Times New Roman"/>
          <w:b/>
          <w:i/>
          <w:lang w:eastAsia="hu-HU"/>
        </w:rPr>
      </w:pPr>
      <w:r w:rsidRPr="00B87C3E">
        <w:rPr>
          <w:rFonts w:ascii="Times New Roman" w:eastAsia="Times New Roman" w:hAnsi="Times New Roman" w:cs="Times New Roman"/>
          <w:lang w:eastAsia="hu-HU"/>
        </w:rPr>
        <w:t xml:space="preserve">A Magyar Honvédség kiképzési rendszerének oktatása.  Az alapkiképzés metodikai elvei, tervezése és végrehajtása a Magyar Honvédségben. </w:t>
      </w:r>
      <w:r w:rsidRPr="00B87C3E">
        <w:rPr>
          <w:rFonts w:ascii="Times New Roman" w:eastAsia="Times New Roman" w:hAnsi="Times New Roman" w:cs="Times New Roman"/>
          <w:i/>
          <w:lang w:eastAsia="hu-HU"/>
        </w:rPr>
        <w:t>(Military training system in HDF, Basic military training)</w:t>
      </w:r>
    </w:p>
    <w:p w:rsidR="00B87C3E" w:rsidRPr="00B87C3E" w:rsidRDefault="00B87C3E" w:rsidP="00980876">
      <w:pPr>
        <w:numPr>
          <w:ilvl w:val="1"/>
          <w:numId w:val="738"/>
        </w:numPr>
        <w:spacing w:after="0" w:line="240" w:lineRule="auto"/>
        <w:ind w:left="993" w:hanging="633"/>
        <w:jc w:val="both"/>
        <w:rPr>
          <w:rFonts w:ascii="Times New Roman" w:eastAsia="Times New Roman" w:hAnsi="Times New Roman" w:cs="Times New Roman"/>
          <w:i/>
          <w:lang w:eastAsia="hu-HU"/>
        </w:rPr>
      </w:pPr>
      <w:r w:rsidRPr="00B87C3E">
        <w:rPr>
          <w:rFonts w:ascii="Times New Roman" w:eastAsia="Times New Roman" w:hAnsi="Times New Roman" w:cs="Times New Roman"/>
          <w:lang w:eastAsia="hu-HU"/>
        </w:rPr>
        <w:t xml:space="preserve">Az MH Alaptörvényben foglalt feladatainak és a katonai etikai alapismeretek oktatása. </w:t>
      </w:r>
      <w:r w:rsidRPr="00B87C3E">
        <w:rPr>
          <w:rFonts w:ascii="Times New Roman" w:eastAsia="Times New Roman" w:hAnsi="Times New Roman" w:cs="Times New Roman"/>
          <w:i/>
          <w:lang w:eastAsia="hu-HU"/>
        </w:rPr>
        <w:t>HDF basic Task, basic military ethics,</w:t>
      </w:r>
    </w:p>
    <w:p w:rsidR="00B87C3E" w:rsidRPr="00B87C3E" w:rsidRDefault="00B87C3E" w:rsidP="00980876">
      <w:pPr>
        <w:numPr>
          <w:ilvl w:val="1"/>
          <w:numId w:val="738"/>
        </w:numPr>
        <w:spacing w:after="0" w:line="240" w:lineRule="auto"/>
        <w:ind w:left="993" w:hanging="633"/>
        <w:jc w:val="both"/>
        <w:rPr>
          <w:rFonts w:ascii="Times New Roman" w:eastAsia="Times New Roman" w:hAnsi="Times New Roman" w:cs="Times New Roman"/>
          <w:b/>
          <w:i/>
          <w:lang w:eastAsia="hu-HU"/>
        </w:rPr>
      </w:pPr>
      <w:r w:rsidRPr="00B87C3E">
        <w:rPr>
          <w:rFonts w:ascii="Times New Roman" w:eastAsia="Times New Roman" w:hAnsi="Times New Roman" w:cs="Times New Roman"/>
          <w:lang w:eastAsia="hu-HU"/>
        </w:rPr>
        <w:t xml:space="preserve">Az alapkiképzés katonai testnevelés foglalkozásainak vezetése (Akadályok leküzdése, menetgyakorlat, katonai kézitusa). </w:t>
      </w:r>
      <w:r w:rsidRPr="00B87C3E">
        <w:rPr>
          <w:rFonts w:ascii="Times New Roman" w:eastAsia="Times New Roman" w:hAnsi="Times New Roman" w:cs="Times New Roman"/>
          <w:i/>
          <w:lang w:eastAsia="hu-HU"/>
        </w:rPr>
        <w:t>(Conducting of Military physical education)</w:t>
      </w:r>
    </w:p>
    <w:p w:rsidR="00B87C3E" w:rsidRPr="00B87C3E" w:rsidRDefault="00B87C3E" w:rsidP="00980876">
      <w:pPr>
        <w:numPr>
          <w:ilvl w:val="1"/>
          <w:numId w:val="738"/>
        </w:numPr>
        <w:spacing w:after="0" w:line="240" w:lineRule="auto"/>
        <w:ind w:left="993" w:hanging="633"/>
        <w:jc w:val="both"/>
        <w:rPr>
          <w:rFonts w:ascii="Times New Roman" w:eastAsia="Times New Roman" w:hAnsi="Times New Roman" w:cs="Times New Roman"/>
          <w:b/>
          <w:i/>
          <w:lang w:eastAsia="hu-HU"/>
        </w:rPr>
      </w:pPr>
      <w:r w:rsidRPr="00B87C3E">
        <w:rPr>
          <w:rFonts w:ascii="Times New Roman" w:eastAsia="Times New Roman" w:hAnsi="Times New Roman" w:cs="Times New Roman"/>
          <w:lang w:eastAsia="hu-HU"/>
        </w:rPr>
        <w:t xml:space="preserve">Az alapkiképzés alaki kiképzés foglalkozásainak vezetése. </w:t>
      </w:r>
      <w:r w:rsidRPr="00B87C3E">
        <w:rPr>
          <w:rFonts w:ascii="Times New Roman" w:eastAsia="Times New Roman" w:hAnsi="Times New Roman" w:cs="Times New Roman"/>
          <w:i/>
          <w:lang w:eastAsia="hu-HU"/>
        </w:rPr>
        <w:t>(Conducting of military basic training)</w:t>
      </w:r>
    </w:p>
    <w:p w:rsidR="00B87C3E" w:rsidRPr="00B87C3E" w:rsidRDefault="00B87C3E" w:rsidP="00980876">
      <w:pPr>
        <w:numPr>
          <w:ilvl w:val="1"/>
          <w:numId w:val="738"/>
        </w:numPr>
        <w:spacing w:after="0" w:line="240" w:lineRule="auto"/>
        <w:ind w:left="993" w:hanging="633"/>
        <w:jc w:val="both"/>
        <w:rPr>
          <w:rFonts w:ascii="Times New Roman" w:eastAsia="Times New Roman" w:hAnsi="Times New Roman" w:cs="Times New Roman"/>
          <w:b/>
          <w:i/>
          <w:lang w:eastAsia="hu-HU"/>
        </w:rPr>
      </w:pPr>
      <w:r w:rsidRPr="00B87C3E">
        <w:rPr>
          <w:rFonts w:ascii="Times New Roman" w:eastAsia="Times New Roman" w:hAnsi="Times New Roman" w:cs="Times New Roman"/>
          <w:lang w:eastAsia="hu-HU"/>
        </w:rPr>
        <w:t xml:space="preserve">Az alapkiképzés jogi és hadijogi ismeretek foglalkozásainak vezetése részfoglalkozásvezetőként </w:t>
      </w:r>
      <w:r w:rsidRPr="00B87C3E">
        <w:rPr>
          <w:rFonts w:ascii="Times New Roman" w:eastAsia="Times New Roman" w:hAnsi="Times New Roman" w:cs="Times New Roman"/>
          <w:i/>
          <w:lang w:eastAsia="hu-HU"/>
        </w:rPr>
        <w:t>(Conducting of military legal Education)</w:t>
      </w:r>
    </w:p>
    <w:p w:rsidR="00B87C3E" w:rsidRPr="00B87C3E" w:rsidRDefault="00B87C3E" w:rsidP="00980876">
      <w:pPr>
        <w:numPr>
          <w:ilvl w:val="1"/>
          <w:numId w:val="738"/>
        </w:numPr>
        <w:spacing w:after="0" w:line="240" w:lineRule="auto"/>
        <w:ind w:left="993" w:hanging="633"/>
        <w:jc w:val="both"/>
        <w:rPr>
          <w:rFonts w:ascii="Times New Roman" w:eastAsia="Times New Roman" w:hAnsi="Times New Roman" w:cs="Times New Roman"/>
          <w:i/>
          <w:lang w:eastAsia="hu-HU"/>
        </w:rPr>
      </w:pPr>
      <w:r w:rsidRPr="00B87C3E">
        <w:rPr>
          <w:rFonts w:ascii="Times New Roman" w:eastAsia="Times New Roman" w:hAnsi="Times New Roman" w:cs="Times New Roman"/>
          <w:lang w:eastAsia="hu-HU"/>
        </w:rPr>
        <w:t xml:space="preserve">Az alapkiképzés alaki kiképzés foglalkozásainak vezetése. </w:t>
      </w:r>
      <w:r w:rsidRPr="00B87C3E">
        <w:rPr>
          <w:rFonts w:ascii="Times New Roman" w:eastAsia="Times New Roman" w:hAnsi="Times New Roman" w:cs="Times New Roman"/>
          <w:i/>
          <w:lang w:eastAsia="hu-HU"/>
        </w:rPr>
        <w:t>(Conducting of formal training)</w:t>
      </w:r>
    </w:p>
    <w:p w:rsidR="00B87C3E" w:rsidRPr="00B87C3E" w:rsidRDefault="00B87C3E" w:rsidP="00980876">
      <w:pPr>
        <w:numPr>
          <w:ilvl w:val="1"/>
          <w:numId w:val="738"/>
        </w:numPr>
        <w:spacing w:after="0" w:line="240" w:lineRule="auto"/>
        <w:ind w:left="993" w:hanging="633"/>
        <w:jc w:val="both"/>
        <w:rPr>
          <w:rFonts w:ascii="Times New Roman" w:eastAsia="Times New Roman" w:hAnsi="Times New Roman" w:cs="Times New Roman"/>
          <w:b/>
          <w:i/>
          <w:lang w:eastAsia="hu-HU"/>
        </w:rPr>
      </w:pPr>
      <w:r w:rsidRPr="00B87C3E">
        <w:rPr>
          <w:rFonts w:ascii="Times New Roman" w:eastAsia="Times New Roman" w:hAnsi="Times New Roman" w:cs="Times New Roman"/>
          <w:lang w:eastAsia="hu-HU"/>
        </w:rPr>
        <w:t xml:space="preserve">Az alapkiképzés szabályzat ismeret foglalkozásainak vezetése részfoglalkozásvezetőként. </w:t>
      </w:r>
      <w:r w:rsidRPr="00B87C3E">
        <w:rPr>
          <w:rFonts w:ascii="Times New Roman" w:eastAsia="Times New Roman" w:hAnsi="Times New Roman" w:cs="Times New Roman"/>
          <w:i/>
          <w:lang w:eastAsia="hu-HU"/>
        </w:rPr>
        <w:t>(Conducting of knowledge’s rules)</w:t>
      </w:r>
    </w:p>
    <w:p w:rsidR="00B87C3E" w:rsidRPr="00B87C3E" w:rsidRDefault="00B87C3E" w:rsidP="00980876">
      <w:pPr>
        <w:numPr>
          <w:ilvl w:val="1"/>
          <w:numId w:val="738"/>
        </w:numPr>
        <w:spacing w:after="0" w:line="240" w:lineRule="auto"/>
        <w:ind w:left="993" w:hanging="633"/>
        <w:jc w:val="both"/>
        <w:rPr>
          <w:rFonts w:ascii="Times New Roman" w:eastAsia="Times New Roman" w:hAnsi="Times New Roman" w:cs="Times New Roman"/>
          <w:i/>
          <w:lang w:eastAsia="hu-HU"/>
        </w:rPr>
      </w:pPr>
      <w:r w:rsidRPr="00B87C3E">
        <w:rPr>
          <w:rFonts w:ascii="Times New Roman" w:eastAsia="Times New Roman" w:hAnsi="Times New Roman" w:cs="Times New Roman"/>
          <w:lang w:eastAsia="hu-HU"/>
        </w:rPr>
        <w:t>Az alapkiképzés műszaki kiképzés foglalkozásainak vezetése részfoglalkozásvezetőként,</w:t>
      </w:r>
      <w:r w:rsidRPr="00B87C3E">
        <w:rPr>
          <w:rFonts w:ascii="Times New Roman" w:eastAsia="Times New Roman" w:hAnsi="Times New Roman" w:cs="Times New Roman"/>
          <w:i/>
          <w:lang w:eastAsia="hu-HU"/>
        </w:rPr>
        <w:t xml:space="preserve"> (Conducting of engineer training)</w:t>
      </w:r>
    </w:p>
    <w:p w:rsidR="00B87C3E" w:rsidRPr="00B87C3E" w:rsidRDefault="00B87C3E" w:rsidP="00980876">
      <w:pPr>
        <w:numPr>
          <w:ilvl w:val="1"/>
          <w:numId w:val="738"/>
        </w:numPr>
        <w:spacing w:after="0" w:line="240" w:lineRule="auto"/>
        <w:ind w:left="993" w:hanging="633"/>
        <w:jc w:val="both"/>
        <w:rPr>
          <w:rFonts w:ascii="Times New Roman" w:eastAsia="Times New Roman" w:hAnsi="Times New Roman" w:cs="Times New Roman"/>
          <w:i/>
          <w:lang w:eastAsia="hu-HU"/>
        </w:rPr>
      </w:pPr>
      <w:r w:rsidRPr="00B87C3E">
        <w:rPr>
          <w:rFonts w:ascii="Times New Roman" w:eastAsia="Times New Roman" w:hAnsi="Times New Roman" w:cs="Times New Roman"/>
          <w:lang w:eastAsia="hu-HU"/>
        </w:rPr>
        <w:t xml:space="preserve">Az alapkiképzés ABV védelmi kiképzés foglalkozásainak vezetése részfoglalkozásvezetőként. </w:t>
      </w:r>
      <w:r w:rsidRPr="00B87C3E">
        <w:rPr>
          <w:rFonts w:ascii="Times New Roman" w:eastAsia="Times New Roman" w:hAnsi="Times New Roman" w:cs="Times New Roman"/>
          <w:i/>
          <w:lang w:eastAsia="hu-HU"/>
        </w:rPr>
        <w:t>(Conducting of CBRN training)</w:t>
      </w:r>
    </w:p>
    <w:p w:rsidR="00B87C3E" w:rsidRPr="00B87C3E" w:rsidRDefault="00B87C3E" w:rsidP="00980876">
      <w:pPr>
        <w:numPr>
          <w:ilvl w:val="1"/>
          <w:numId w:val="738"/>
        </w:numPr>
        <w:spacing w:after="0" w:line="240" w:lineRule="auto"/>
        <w:ind w:left="993" w:hanging="633"/>
        <w:jc w:val="both"/>
        <w:rPr>
          <w:rFonts w:ascii="Times New Roman" w:eastAsia="Times New Roman" w:hAnsi="Times New Roman" w:cs="Times New Roman"/>
          <w:i/>
          <w:lang w:eastAsia="hu-HU"/>
        </w:rPr>
      </w:pPr>
      <w:r w:rsidRPr="00B87C3E">
        <w:rPr>
          <w:rFonts w:ascii="Times New Roman" w:eastAsia="Times New Roman" w:hAnsi="Times New Roman" w:cs="Times New Roman"/>
          <w:lang w:eastAsia="hu-HU"/>
        </w:rPr>
        <w:t xml:space="preserve">Az alapkiképzés katonai tereptan ismeretek foglalkozásainak vezetése részfoglalkozásvezetőként. </w:t>
      </w:r>
      <w:r w:rsidRPr="00B87C3E">
        <w:rPr>
          <w:rFonts w:ascii="Times New Roman" w:eastAsia="Times New Roman" w:hAnsi="Times New Roman" w:cs="Times New Roman"/>
          <w:i/>
          <w:lang w:eastAsia="hu-HU"/>
        </w:rPr>
        <w:t>(Conducting of tactical field training)</w:t>
      </w:r>
    </w:p>
    <w:p w:rsidR="00B87C3E" w:rsidRPr="00B87C3E" w:rsidRDefault="00B87C3E" w:rsidP="00980876">
      <w:pPr>
        <w:numPr>
          <w:ilvl w:val="1"/>
          <w:numId w:val="738"/>
        </w:numPr>
        <w:spacing w:after="0" w:line="240" w:lineRule="auto"/>
        <w:ind w:left="993" w:hanging="633"/>
        <w:jc w:val="both"/>
        <w:rPr>
          <w:rFonts w:ascii="Times New Roman" w:eastAsia="Times New Roman" w:hAnsi="Times New Roman" w:cs="Times New Roman"/>
          <w:i/>
          <w:lang w:eastAsia="hu-HU"/>
        </w:rPr>
      </w:pPr>
      <w:r w:rsidRPr="00B87C3E">
        <w:rPr>
          <w:rFonts w:ascii="Times New Roman" w:eastAsia="Times New Roman" w:hAnsi="Times New Roman" w:cs="Times New Roman"/>
          <w:lang w:eastAsia="hu-HU"/>
        </w:rPr>
        <w:t xml:space="preserve">Az alapkiképzés logisztikai ismeretek foglalkozásainak vezetése részfoglalkozásvezetőként. </w:t>
      </w:r>
      <w:r w:rsidRPr="00B87C3E">
        <w:rPr>
          <w:rFonts w:ascii="Times New Roman" w:eastAsia="Times New Roman" w:hAnsi="Times New Roman" w:cs="Times New Roman"/>
          <w:i/>
          <w:lang w:eastAsia="hu-HU"/>
        </w:rPr>
        <w:t>(Conducting of logistic training)</w:t>
      </w:r>
    </w:p>
    <w:p w:rsidR="00B87C3E" w:rsidRPr="00B87C3E" w:rsidRDefault="00B87C3E" w:rsidP="00980876">
      <w:pPr>
        <w:numPr>
          <w:ilvl w:val="1"/>
          <w:numId w:val="738"/>
        </w:numPr>
        <w:spacing w:after="0" w:line="240" w:lineRule="auto"/>
        <w:ind w:left="993" w:hanging="633"/>
        <w:jc w:val="both"/>
        <w:rPr>
          <w:rFonts w:ascii="Times New Roman" w:eastAsia="Times New Roman" w:hAnsi="Times New Roman" w:cs="Times New Roman"/>
          <w:i/>
          <w:lang w:eastAsia="hu-HU"/>
        </w:rPr>
      </w:pPr>
      <w:r w:rsidRPr="00B87C3E">
        <w:rPr>
          <w:rFonts w:ascii="Times New Roman" w:eastAsia="Times New Roman" w:hAnsi="Times New Roman" w:cs="Times New Roman"/>
          <w:lang w:eastAsia="hu-HU"/>
        </w:rPr>
        <w:t xml:space="preserve">Az alapkiképzés egészségügyi kiképzés foglalkozásainak vezetése részfoglalkozásvezetőként. </w:t>
      </w:r>
      <w:r w:rsidRPr="00B87C3E">
        <w:rPr>
          <w:rFonts w:ascii="Times New Roman" w:eastAsia="Times New Roman" w:hAnsi="Times New Roman" w:cs="Times New Roman"/>
          <w:i/>
          <w:lang w:eastAsia="hu-HU"/>
        </w:rPr>
        <w:t>(Conducting of healthcare training)</w:t>
      </w:r>
    </w:p>
    <w:p w:rsidR="00B87C3E" w:rsidRPr="00B87C3E" w:rsidRDefault="00B87C3E" w:rsidP="00980876">
      <w:pPr>
        <w:numPr>
          <w:ilvl w:val="1"/>
          <w:numId w:val="738"/>
        </w:numPr>
        <w:spacing w:after="0" w:line="240" w:lineRule="auto"/>
        <w:ind w:left="993" w:hanging="633"/>
        <w:jc w:val="both"/>
        <w:rPr>
          <w:rFonts w:ascii="Times New Roman" w:eastAsia="Times New Roman" w:hAnsi="Times New Roman" w:cs="Times New Roman"/>
          <w:i/>
          <w:lang w:eastAsia="hu-HU"/>
        </w:rPr>
      </w:pPr>
      <w:r w:rsidRPr="00B87C3E">
        <w:rPr>
          <w:rFonts w:ascii="Times New Roman" w:eastAsia="Times New Roman" w:hAnsi="Times New Roman" w:cs="Times New Roman"/>
          <w:lang w:eastAsia="hu-HU"/>
        </w:rPr>
        <w:lastRenderedPageBreak/>
        <w:t xml:space="preserve">Az alapkiképzés híradó kiképzés foglalkozásainak vezetése részfoglalkozásvezetőként. </w:t>
      </w:r>
      <w:r w:rsidRPr="00B87C3E">
        <w:rPr>
          <w:rFonts w:ascii="Times New Roman" w:eastAsia="Times New Roman" w:hAnsi="Times New Roman" w:cs="Times New Roman"/>
          <w:i/>
          <w:lang w:eastAsia="hu-HU"/>
        </w:rPr>
        <w:t>(Conducting of signal training)</w:t>
      </w:r>
    </w:p>
    <w:p w:rsidR="00B87C3E" w:rsidRPr="00B87C3E" w:rsidRDefault="00B87C3E" w:rsidP="00980876">
      <w:pPr>
        <w:numPr>
          <w:ilvl w:val="1"/>
          <w:numId w:val="738"/>
        </w:numPr>
        <w:spacing w:after="0" w:line="240" w:lineRule="auto"/>
        <w:ind w:left="993" w:hanging="633"/>
        <w:jc w:val="both"/>
        <w:rPr>
          <w:rFonts w:ascii="Times New Roman" w:eastAsia="Times New Roman" w:hAnsi="Times New Roman" w:cs="Times New Roman"/>
          <w:b/>
          <w:i/>
          <w:lang w:eastAsia="hu-HU"/>
        </w:rPr>
      </w:pPr>
      <w:r w:rsidRPr="00B87C3E">
        <w:rPr>
          <w:rFonts w:ascii="Times New Roman" w:eastAsia="Times New Roman" w:hAnsi="Times New Roman" w:cs="Times New Roman"/>
          <w:lang w:eastAsia="hu-HU"/>
        </w:rPr>
        <w:t xml:space="preserve">Az alapkiképzés általános lőkiképzés foglalkozásainak vezetése részfoglalkozásvezetőként </w:t>
      </w:r>
      <w:r w:rsidRPr="00B87C3E">
        <w:rPr>
          <w:rFonts w:ascii="Times New Roman" w:eastAsia="Times New Roman" w:hAnsi="Times New Roman" w:cs="Times New Roman"/>
          <w:i/>
          <w:lang w:eastAsia="hu-HU"/>
        </w:rPr>
        <w:t>Conducting of shooting training.</w:t>
      </w:r>
    </w:p>
    <w:p w:rsidR="00B87C3E" w:rsidRPr="00B87C3E" w:rsidRDefault="00B87C3E" w:rsidP="00980876">
      <w:pPr>
        <w:numPr>
          <w:ilvl w:val="1"/>
          <w:numId w:val="738"/>
        </w:numPr>
        <w:spacing w:after="0" w:line="240" w:lineRule="auto"/>
        <w:ind w:left="993" w:hanging="633"/>
        <w:jc w:val="both"/>
        <w:rPr>
          <w:rFonts w:ascii="Times New Roman" w:eastAsia="Times New Roman" w:hAnsi="Times New Roman" w:cs="Times New Roman"/>
          <w:i/>
          <w:lang w:eastAsia="hu-HU"/>
        </w:rPr>
      </w:pPr>
      <w:r w:rsidRPr="00B87C3E">
        <w:rPr>
          <w:rFonts w:ascii="Times New Roman" w:eastAsia="Times New Roman" w:hAnsi="Times New Roman" w:cs="Times New Roman"/>
          <w:lang w:eastAsia="hu-HU"/>
        </w:rPr>
        <w:t xml:space="preserve">Az alapkiképzés általános harcászati kiképzés foglalkozásainak vezetése részfoglalkozásvezetőként. </w:t>
      </w:r>
      <w:r w:rsidRPr="00B87C3E">
        <w:rPr>
          <w:rFonts w:ascii="Times New Roman" w:eastAsia="Times New Roman" w:hAnsi="Times New Roman" w:cs="Times New Roman"/>
          <w:i/>
          <w:lang w:eastAsia="hu-HU"/>
        </w:rPr>
        <w:t>(Conducting of basic tactical training)</w:t>
      </w:r>
    </w:p>
    <w:p w:rsidR="00B87C3E" w:rsidRPr="00B87C3E" w:rsidRDefault="00B87C3E" w:rsidP="00980876">
      <w:pPr>
        <w:numPr>
          <w:ilvl w:val="0"/>
          <w:numId w:val="738"/>
        </w:numPr>
        <w:spacing w:before="120" w:after="0" w:line="240" w:lineRule="auto"/>
        <w:jc w:val="both"/>
        <w:rPr>
          <w:rFonts w:ascii="Times New Roman" w:eastAsia="Times New Roman" w:hAnsi="Times New Roman" w:cs="Times New Roman"/>
          <w:b/>
          <w:lang w:eastAsia="hu-HU"/>
        </w:rPr>
      </w:pPr>
      <w:r w:rsidRPr="00B87C3E">
        <w:rPr>
          <w:rFonts w:ascii="Times New Roman" w:eastAsia="Times New Roman" w:hAnsi="Times New Roman" w:cs="Times New Roman"/>
          <w:b/>
          <w:bCs/>
          <w:lang w:eastAsia="hu-HU"/>
        </w:rPr>
        <w:t xml:space="preserve">A </w:t>
      </w:r>
      <w:r w:rsidRPr="00B87C3E">
        <w:rPr>
          <w:rFonts w:ascii="Times New Roman" w:eastAsia="Times New Roman" w:hAnsi="Times New Roman" w:cs="Times New Roman"/>
          <w:b/>
          <w:lang w:eastAsia="hu-HU"/>
        </w:rPr>
        <w:t>tantárgy</w:t>
      </w:r>
      <w:r w:rsidRPr="00B87C3E">
        <w:rPr>
          <w:rFonts w:ascii="Times New Roman" w:eastAsia="Times New Roman" w:hAnsi="Times New Roman" w:cs="Times New Roman"/>
          <w:b/>
          <w:bCs/>
          <w:lang w:eastAsia="hu-HU"/>
        </w:rPr>
        <w:t xml:space="preserve"> meghirdetésének gyakorisága/a tantervben történő félévi elhelyezkedése: </w:t>
      </w:r>
      <w:r w:rsidRPr="00B87C3E">
        <w:rPr>
          <w:rFonts w:ascii="Times New Roman" w:eastAsia="Times New Roman" w:hAnsi="Times New Roman" w:cs="Times New Roman"/>
          <w:bCs/>
          <w:lang w:eastAsia="hu-HU"/>
        </w:rPr>
        <w:t>3. félév</w:t>
      </w:r>
    </w:p>
    <w:p w:rsidR="00B87C3E" w:rsidRPr="00B87C3E" w:rsidRDefault="00B87C3E" w:rsidP="00980876">
      <w:pPr>
        <w:numPr>
          <w:ilvl w:val="0"/>
          <w:numId w:val="738"/>
        </w:numPr>
        <w:spacing w:before="120" w:after="0" w:line="240" w:lineRule="auto"/>
        <w:jc w:val="both"/>
        <w:rPr>
          <w:rFonts w:ascii="Times New Roman" w:eastAsia="Times New Roman" w:hAnsi="Times New Roman" w:cs="Times New Roman"/>
          <w:b/>
          <w:lang w:eastAsia="hu-HU"/>
        </w:rPr>
      </w:pPr>
      <w:r w:rsidRPr="00B87C3E">
        <w:rPr>
          <w:rFonts w:ascii="Times New Roman" w:eastAsia="Times New Roman" w:hAnsi="Times New Roman" w:cs="Times New Roman"/>
          <w:b/>
          <w:bCs/>
          <w:lang w:eastAsia="hu-HU"/>
        </w:rPr>
        <w:t xml:space="preserve">A </w:t>
      </w:r>
      <w:r w:rsidRPr="00B87C3E">
        <w:rPr>
          <w:rFonts w:ascii="Times New Roman" w:eastAsia="Times New Roman" w:hAnsi="Times New Roman" w:cs="Times New Roman"/>
          <w:b/>
          <w:lang w:eastAsia="hu-HU"/>
        </w:rPr>
        <w:t>foglalkozásokon</w:t>
      </w:r>
      <w:r w:rsidRPr="00B87C3E">
        <w:rPr>
          <w:rFonts w:ascii="Times New Roman" w:eastAsia="Times New Roman" w:hAnsi="Times New Roman" w:cs="Times New Roman"/>
          <w:b/>
          <w:bCs/>
          <w:lang w:eastAsia="hu-HU"/>
        </w:rPr>
        <w:t xml:space="preserve"> való részvétel követelményei, elfogadható hiányzások mértéke, távolmaradás pótlásának lehetősége: </w:t>
      </w:r>
      <w:r w:rsidRPr="00B87C3E">
        <w:rPr>
          <w:rFonts w:ascii="Times New Roman" w:eastAsia="Times New Roman" w:hAnsi="Times New Roman" w:cs="Times New Roman"/>
          <w:bCs/>
          <w:lang w:eastAsia="hu-HU"/>
        </w:rPr>
        <w:t>a tanórák minimum 75%-án való részvétel. A képzés gyakorlati jellegéből adódóan a hiányzások nem pótolhatók, a megengedett mértéknél nagyobb hiányzás az aláírás megtagadását vonja maga után.</w:t>
      </w:r>
    </w:p>
    <w:p w:rsidR="00B87C3E" w:rsidRPr="00B87C3E" w:rsidRDefault="00B87C3E" w:rsidP="00980876">
      <w:pPr>
        <w:widowControl w:val="0"/>
        <w:numPr>
          <w:ilvl w:val="0"/>
          <w:numId w:val="738"/>
        </w:numPr>
        <w:tabs>
          <w:tab w:val="left" w:pos="709"/>
        </w:tabs>
        <w:spacing w:before="120" w:after="0" w:line="240" w:lineRule="auto"/>
        <w:jc w:val="both"/>
        <w:rPr>
          <w:rFonts w:ascii="Times New Roman" w:eastAsia="Times New Roman" w:hAnsi="Times New Roman" w:cs="Times New Roman"/>
          <w:b/>
          <w:lang w:eastAsia="hu-HU"/>
        </w:rPr>
      </w:pPr>
      <w:r w:rsidRPr="00B87C3E">
        <w:rPr>
          <w:rFonts w:ascii="Times New Roman" w:eastAsia="Times New Roman" w:hAnsi="Times New Roman" w:cs="Times New Roman"/>
          <w:b/>
          <w:lang w:eastAsia="hu-HU"/>
        </w:rPr>
        <w:t xml:space="preserve">Félévközi feladatok, ismeretek ellenőrzésének rendje: </w:t>
      </w:r>
      <w:r w:rsidRPr="00B87C3E">
        <w:rPr>
          <w:rFonts w:ascii="Times New Roman" w:eastAsia="Calibri" w:hAnsi="Times New Roman" w:cs="Times New Roman"/>
        </w:rPr>
        <w:t>Az egybefüggő öt hetes felkészítés során a kijelölt mentor szakmai értékelést készít, aminek alapja a tantárgyfelelős által kiadott Gyakorlati Feladatlap értékelési követelménye.</w:t>
      </w:r>
    </w:p>
    <w:p w:rsidR="00B87C3E" w:rsidRPr="00B87C3E" w:rsidRDefault="00B87C3E" w:rsidP="00B87C3E">
      <w:pPr>
        <w:widowControl w:val="0"/>
        <w:tabs>
          <w:tab w:val="left" w:pos="709"/>
        </w:tabs>
        <w:spacing w:before="120" w:after="0" w:line="240" w:lineRule="auto"/>
        <w:ind w:left="360"/>
        <w:jc w:val="both"/>
        <w:rPr>
          <w:rFonts w:ascii="Times New Roman" w:eastAsia="Times New Roman" w:hAnsi="Times New Roman" w:cs="Times New Roman"/>
          <w:b/>
          <w:lang w:eastAsia="hu-HU"/>
        </w:rPr>
      </w:pPr>
      <w:r w:rsidRPr="00B87C3E">
        <w:rPr>
          <w:rFonts w:ascii="Times New Roman" w:eastAsia="Calibri" w:hAnsi="Times New Roman" w:cs="Times New Roman"/>
        </w:rPr>
        <w:t>A tanulmányi munka része a 12.1-12.15. foglalkozások anyagából a félév végén teszt jellegű ZH dolgozatok megírása az Ilias rendszer alkalmazásával. A zárthelyi dolgozat értékelése: ötfokozatú értékelés – (a helyes válaszok aránya 0-60% elégtelen; 61-70% elégséges; 71-80% közepes; 81-90% jó; 91-100% jeles osztályzat). Eredménytelen zárthelyi dolgozat kétszer javítható.</w:t>
      </w:r>
    </w:p>
    <w:p w:rsidR="00B87C3E" w:rsidRPr="00B87C3E" w:rsidRDefault="00B87C3E" w:rsidP="00980876">
      <w:pPr>
        <w:numPr>
          <w:ilvl w:val="0"/>
          <w:numId w:val="738"/>
        </w:numPr>
        <w:spacing w:before="120" w:after="0" w:line="240" w:lineRule="auto"/>
        <w:jc w:val="both"/>
        <w:rPr>
          <w:rFonts w:ascii="Times New Roman" w:eastAsia="Times New Roman" w:hAnsi="Times New Roman" w:cs="Times New Roman"/>
          <w:lang w:eastAsia="hu-HU"/>
        </w:rPr>
      </w:pPr>
      <w:r w:rsidRPr="00B87C3E">
        <w:rPr>
          <w:rFonts w:ascii="Times New Roman" w:eastAsia="Times New Roman" w:hAnsi="Times New Roman" w:cs="Times New Roman"/>
          <w:b/>
          <w:lang w:eastAsia="hu-HU"/>
        </w:rPr>
        <w:t xml:space="preserve">Az aláírás és a kreditek megszerzésének pontos feltételei: </w:t>
      </w:r>
      <w:r w:rsidRPr="00B87C3E">
        <w:rPr>
          <w:rFonts w:ascii="Times New Roman" w:eastAsia="Times New Roman" w:hAnsi="Times New Roman" w:cs="Times New Roman"/>
          <w:lang w:eastAsia="hu-HU"/>
        </w:rPr>
        <w:t xml:space="preserve"> </w:t>
      </w:r>
    </w:p>
    <w:p w:rsidR="00B87C3E" w:rsidRPr="00B87C3E" w:rsidRDefault="00B87C3E" w:rsidP="00980876">
      <w:pPr>
        <w:widowControl w:val="0"/>
        <w:numPr>
          <w:ilvl w:val="1"/>
          <w:numId w:val="758"/>
        </w:numPr>
        <w:spacing w:before="120" w:after="0" w:line="240" w:lineRule="auto"/>
        <w:ind w:left="851" w:hanging="574"/>
        <w:jc w:val="both"/>
        <w:rPr>
          <w:rFonts w:ascii="Times New Roman" w:eastAsia="Times New Roman" w:hAnsi="Times New Roman" w:cs="Times New Roman"/>
          <w:lang w:eastAsia="hu-HU"/>
        </w:rPr>
      </w:pPr>
      <w:r w:rsidRPr="00B87C3E">
        <w:rPr>
          <w:rFonts w:ascii="Times New Roman" w:eastAsia="Times New Roman" w:hAnsi="Times New Roman" w:cs="Times New Roman"/>
          <w:b/>
          <w:lang w:eastAsia="hu-HU"/>
        </w:rPr>
        <w:t>Az aláírás megszerzésének feltételei:</w:t>
      </w:r>
      <w:r w:rsidRPr="00B87C3E">
        <w:rPr>
          <w:rFonts w:ascii="Times New Roman" w:eastAsia="Times New Roman" w:hAnsi="Times New Roman" w:cs="Times New Roman"/>
          <w:lang w:eastAsia="hu-HU"/>
        </w:rPr>
        <w:t xml:space="preserve"> Az aláírás megszerzésének feltétele a 14. pontban meghatározott arányú részvétel a foglalkozásokon és a 15. pontban meghatározott félévközi feladatok legalább elégséges teljesítése.</w:t>
      </w:r>
    </w:p>
    <w:p w:rsidR="00B87C3E" w:rsidRPr="00B87C3E" w:rsidRDefault="00B87C3E" w:rsidP="00980876">
      <w:pPr>
        <w:widowControl w:val="0"/>
        <w:numPr>
          <w:ilvl w:val="1"/>
          <w:numId w:val="758"/>
        </w:numPr>
        <w:spacing w:before="120" w:after="0" w:line="240" w:lineRule="auto"/>
        <w:ind w:left="851" w:hanging="574"/>
        <w:jc w:val="both"/>
        <w:rPr>
          <w:rFonts w:ascii="Times New Roman" w:eastAsia="Calibri" w:hAnsi="Times New Roman" w:cs="Times New Roman"/>
        </w:rPr>
      </w:pPr>
      <w:r w:rsidRPr="00B87C3E">
        <w:rPr>
          <w:rFonts w:ascii="Times New Roman" w:eastAsia="Times New Roman" w:hAnsi="Times New Roman" w:cs="Times New Roman"/>
          <w:b/>
          <w:lang w:eastAsia="hu-HU"/>
        </w:rPr>
        <w:t xml:space="preserve">Az értékelés: </w:t>
      </w:r>
      <w:r w:rsidRPr="00B87C3E">
        <w:rPr>
          <w:rFonts w:ascii="Times New Roman" w:eastAsia="Times New Roman" w:hAnsi="Times New Roman" w:cs="Times New Roman"/>
          <w:lang w:eastAsia="hu-HU"/>
        </w:rPr>
        <w:t xml:space="preserve">A számonkérés módja </w:t>
      </w:r>
      <w:r w:rsidRPr="00B87C3E">
        <w:rPr>
          <w:rFonts w:ascii="Times New Roman" w:eastAsia="Calibri" w:hAnsi="Times New Roman" w:cs="Times New Roman"/>
          <w:b/>
          <w:i/>
        </w:rPr>
        <w:t>Gyakorlati jegy</w:t>
      </w:r>
      <w:r w:rsidRPr="00B87C3E">
        <w:rPr>
          <w:rFonts w:ascii="Times New Roman" w:eastAsia="Calibri" w:hAnsi="Times New Roman" w:cs="Times New Roman"/>
        </w:rPr>
        <w:t xml:space="preserve"> ötfokozatú értékelés</w:t>
      </w:r>
      <w:r w:rsidRPr="00B87C3E">
        <w:rPr>
          <w:rFonts w:ascii="Times New Roman" w:eastAsia="Calibri" w:hAnsi="Times New Roman" w:cs="Times New Roman"/>
          <w:b/>
          <w:sz w:val="23"/>
          <w:szCs w:val="23"/>
        </w:rPr>
        <w:t xml:space="preserve">, </w:t>
      </w:r>
      <w:r w:rsidRPr="00B87C3E">
        <w:rPr>
          <w:rFonts w:ascii="Times New Roman" w:eastAsia="Calibri" w:hAnsi="Times New Roman" w:cs="Times New Roman"/>
          <w:sz w:val="23"/>
          <w:szCs w:val="23"/>
        </w:rPr>
        <w:t>amit</w:t>
      </w:r>
      <w:r w:rsidRPr="00B87C3E">
        <w:rPr>
          <w:rFonts w:ascii="Times New Roman" w:eastAsia="Calibri" w:hAnsi="Times New Roman" w:cs="Times New Roman"/>
          <w:b/>
          <w:sz w:val="23"/>
          <w:szCs w:val="23"/>
        </w:rPr>
        <w:t xml:space="preserve"> </w:t>
      </w:r>
      <w:r w:rsidRPr="00B87C3E">
        <w:rPr>
          <w:rFonts w:ascii="Times New Roman" w:eastAsia="Calibri" w:hAnsi="Times New Roman" w:cs="Times New Roman"/>
          <w:sz w:val="23"/>
          <w:szCs w:val="23"/>
        </w:rPr>
        <w:t>az alapkiképzés módszertana gyakorlati felkészítés parancsnoki minősítése és a szorgalmi időszak végén</w:t>
      </w:r>
      <w:r w:rsidRPr="00B87C3E">
        <w:rPr>
          <w:rFonts w:ascii="Times New Roman" w:eastAsia="Calibri" w:hAnsi="Times New Roman" w:cs="Times New Roman"/>
        </w:rPr>
        <w:t xml:space="preserve"> írt ZH (teszt) eredménye adja. </w:t>
      </w:r>
      <w:r w:rsidRPr="00B87C3E">
        <w:rPr>
          <w:rFonts w:ascii="Times New Roman" w:eastAsia="Calibri" w:hAnsi="Times New Roman" w:cs="Times New Roman"/>
          <w:sz w:val="23"/>
          <w:szCs w:val="23"/>
        </w:rPr>
        <w:t>A gyakorlati jegy értékelése szummatív: 0-50% - elégtelen, 51-70% - elégséges, 71-80% - közepe, 81-90% - jó, 91-100% - jeles.</w:t>
      </w:r>
    </w:p>
    <w:p w:rsidR="00B87C3E" w:rsidRPr="00B87C3E" w:rsidRDefault="00B87C3E" w:rsidP="00980876">
      <w:pPr>
        <w:widowControl w:val="0"/>
        <w:numPr>
          <w:ilvl w:val="1"/>
          <w:numId w:val="758"/>
        </w:numPr>
        <w:spacing w:before="120" w:after="120" w:line="240" w:lineRule="auto"/>
        <w:ind w:left="851" w:hanging="574"/>
        <w:jc w:val="both"/>
        <w:rPr>
          <w:rFonts w:ascii="Times New Roman" w:eastAsia="Times New Roman" w:hAnsi="Times New Roman" w:cs="Times New Roman"/>
          <w:lang w:eastAsia="hu-HU"/>
        </w:rPr>
      </w:pPr>
      <w:r w:rsidRPr="00B87C3E">
        <w:rPr>
          <w:rFonts w:ascii="Times New Roman" w:eastAsia="Times New Roman" w:hAnsi="Times New Roman" w:cs="Times New Roman"/>
          <w:b/>
          <w:lang w:eastAsia="hu-HU"/>
        </w:rPr>
        <w:t>A kreditek megszerzésének feltételei:</w:t>
      </w:r>
      <w:r w:rsidRPr="00B87C3E">
        <w:rPr>
          <w:rFonts w:ascii="Times New Roman" w:eastAsia="Times New Roman" w:hAnsi="Times New Roman" w:cs="Times New Roman"/>
          <w:lang w:eastAsia="hu-HU"/>
        </w:rPr>
        <w:t xml:space="preserve"> A kreditek megszerzésének feltétele az aláírás megszerzése és legalább elégséges gyakorlati jegy.</w:t>
      </w:r>
    </w:p>
    <w:p w:rsidR="00B87C3E" w:rsidRPr="00B87C3E" w:rsidRDefault="00B87C3E" w:rsidP="00980876">
      <w:pPr>
        <w:numPr>
          <w:ilvl w:val="0"/>
          <w:numId w:val="739"/>
        </w:numPr>
        <w:tabs>
          <w:tab w:val="left" w:pos="284"/>
        </w:tabs>
        <w:spacing w:before="120" w:after="0" w:line="240" w:lineRule="auto"/>
        <w:rPr>
          <w:rFonts w:ascii="Times New Roman" w:eastAsia="Times New Roman" w:hAnsi="Times New Roman" w:cs="Times New Roman"/>
          <w:b/>
          <w:lang w:eastAsia="hu-HU"/>
        </w:rPr>
      </w:pPr>
      <w:r w:rsidRPr="00B87C3E">
        <w:rPr>
          <w:rFonts w:ascii="Times New Roman" w:eastAsia="Times New Roman" w:hAnsi="Times New Roman" w:cs="Times New Roman"/>
          <w:b/>
          <w:lang w:eastAsia="hu-HU"/>
        </w:rPr>
        <w:tab/>
        <w:t>Irodalomjegyzék (magyarul, angolul):</w:t>
      </w:r>
    </w:p>
    <w:p w:rsidR="00B87C3E" w:rsidRPr="00B87C3E" w:rsidRDefault="00B87C3E" w:rsidP="00980876">
      <w:pPr>
        <w:numPr>
          <w:ilvl w:val="1"/>
          <w:numId w:val="739"/>
        </w:numPr>
        <w:spacing w:before="120" w:after="0" w:line="240" w:lineRule="auto"/>
        <w:ind w:left="1134" w:hanging="566"/>
        <w:jc w:val="both"/>
        <w:rPr>
          <w:rFonts w:ascii="Times New Roman" w:eastAsia="Times New Roman" w:hAnsi="Times New Roman" w:cs="Times New Roman"/>
          <w:b/>
          <w:lang w:eastAsia="hu-HU"/>
        </w:rPr>
      </w:pPr>
      <w:r w:rsidRPr="00B87C3E">
        <w:rPr>
          <w:rFonts w:ascii="Times New Roman" w:eastAsia="Times New Roman" w:hAnsi="Times New Roman" w:cs="Times New Roman"/>
          <w:b/>
          <w:lang w:eastAsia="hu-HU"/>
        </w:rPr>
        <w:t>Kötelező irodalom:</w:t>
      </w:r>
    </w:p>
    <w:p w:rsidR="00B87C3E" w:rsidRPr="00B87C3E" w:rsidRDefault="00B87C3E" w:rsidP="00980876">
      <w:pPr>
        <w:numPr>
          <w:ilvl w:val="0"/>
          <w:numId w:val="740"/>
        </w:numPr>
        <w:spacing w:before="60" w:after="0" w:line="240" w:lineRule="auto"/>
        <w:ind w:left="1287" w:hanging="357"/>
        <w:jc w:val="both"/>
        <w:rPr>
          <w:rFonts w:ascii="Times New Roman" w:eastAsia="Times New Roman" w:hAnsi="Times New Roman" w:cs="Times New Roman"/>
          <w:lang w:eastAsia="hu-HU"/>
        </w:rPr>
      </w:pPr>
      <w:r w:rsidRPr="00B87C3E">
        <w:rPr>
          <w:rFonts w:ascii="Times New Roman" w:eastAsia="Times New Roman" w:hAnsi="Times New Roman" w:cs="Times New Roman"/>
          <w:lang w:eastAsia="hu-HU"/>
        </w:rPr>
        <w:t>Magyar Honvédség Kiképzési Doktrína. A Magyar Honvédség Kiadványa. Budapest, 2012.</w:t>
      </w:r>
    </w:p>
    <w:p w:rsidR="00B87C3E" w:rsidRPr="00B87C3E" w:rsidRDefault="00B87C3E" w:rsidP="00980876">
      <w:pPr>
        <w:numPr>
          <w:ilvl w:val="0"/>
          <w:numId w:val="740"/>
        </w:numPr>
        <w:spacing w:before="60" w:after="0" w:line="240" w:lineRule="auto"/>
        <w:ind w:left="1287" w:hanging="357"/>
        <w:jc w:val="both"/>
        <w:rPr>
          <w:rFonts w:ascii="Times New Roman" w:eastAsia="Times New Roman" w:hAnsi="Times New Roman" w:cs="Times New Roman"/>
          <w:lang w:eastAsia="hu-HU"/>
        </w:rPr>
      </w:pPr>
      <w:r w:rsidRPr="00B87C3E">
        <w:rPr>
          <w:rFonts w:ascii="Times New Roman" w:eastAsia="Times New Roman" w:hAnsi="Times New Roman" w:cs="Times New Roman"/>
          <w:lang w:eastAsia="hu-HU"/>
        </w:rPr>
        <w:t>Bakos Csaba Attila (2016): A szárazföldi csapatok harcászata. Budapest, NKE, ISBN 9786155680120;</w:t>
      </w:r>
    </w:p>
    <w:p w:rsidR="00B87C3E" w:rsidRPr="00B87C3E" w:rsidRDefault="00B87C3E" w:rsidP="00980876">
      <w:pPr>
        <w:numPr>
          <w:ilvl w:val="0"/>
          <w:numId w:val="740"/>
        </w:numPr>
        <w:spacing w:before="60" w:after="0" w:line="240" w:lineRule="auto"/>
        <w:ind w:left="1287" w:hanging="357"/>
        <w:jc w:val="both"/>
        <w:rPr>
          <w:rFonts w:ascii="Times New Roman" w:eastAsia="Times New Roman" w:hAnsi="Times New Roman" w:cs="Times New Roman"/>
          <w:lang w:eastAsia="hu-HU"/>
        </w:rPr>
      </w:pPr>
      <w:r w:rsidRPr="00B87C3E">
        <w:rPr>
          <w:rFonts w:ascii="Times New Roman" w:eastAsia="Times New Roman" w:hAnsi="Times New Roman" w:cs="Times New Roman"/>
          <w:lang w:eastAsia="hu-HU"/>
        </w:rPr>
        <w:t>Magyar Honvédség Összhaderőnemi Doktrína 3. kiadás, Budapest, MH, 2012;</w:t>
      </w:r>
    </w:p>
    <w:p w:rsidR="00B87C3E" w:rsidRPr="00B87C3E" w:rsidRDefault="00B87C3E" w:rsidP="00980876">
      <w:pPr>
        <w:numPr>
          <w:ilvl w:val="0"/>
          <w:numId w:val="740"/>
        </w:numPr>
        <w:spacing w:before="60" w:after="0" w:line="240" w:lineRule="auto"/>
        <w:ind w:left="1287" w:hanging="357"/>
        <w:jc w:val="both"/>
        <w:rPr>
          <w:rFonts w:ascii="Times New Roman" w:eastAsia="Times New Roman" w:hAnsi="Times New Roman" w:cs="Times New Roman"/>
          <w:lang w:eastAsia="hu-HU"/>
        </w:rPr>
      </w:pPr>
      <w:r w:rsidRPr="00B87C3E">
        <w:rPr>
          <w:rFonts w:ascii="Times New Roman" w:eastAsia="Times New Roman" w:hAnsi="Times New Roman" w:cs="Times New Roman"/>
          <w:lang w:eastAsia="hu-HU"/>
        </w:rPr>
        <w:t>Magyar Honvédség Szárazföldi Harcszabályzat II. rész, Budapest, MH, 2013;</w:t>
      </w:r>
    </w:p>
    <w:p w:rsidR="00B87C3E" w:rsidRPr="00B87C3E" w:rsidRDefault="00B87C3E" w:rsidP="00980876">
      <w:pPr>
        <w:numPr>
          <w:ilvl w:val="0"/>
          <w:numId w:val="740"/>
        </w:numPr>
        <w:spacing w:before="60" w:after="0" w:line="240" w:lineRule="auto"/>
        <w:ind w:left="1287" w:hanging="357"/>
        <w:jc w:val="both"/>
        <w:rPr>
          <w:rFonts w:ascii="Times New Roman" w:eastAsia="Times New Roman" w:hAnsi="Times New Roman" w:cs="Times New Roman"/>
          <w:lang w:eastAsia="hu-HU"/>
        </w:rPr>
      </w:pPr>
      <w:r w:rsidRPr="00B87C3E">
        <w:rPr>
          <w:rFonts w:ascii="Times New Roman" w:eastAsia="Times New Roman" w:hAnsi="Times New Roman" w:cs="Times New Roman"/>
          <w:lang w:eastAsia="hu-HU"/>
        </w:rPr>
        <w:t>Magyar Honvédség Törzsszolgálati Szabályzata II. rész, Budapest, MH, 2015.</w:t>
      </w:r>
    </w:p>
    <w:p w:rsidR="00B87C3E" w:rsidRPr="00B87C3E" w:rsidRDefault="00B87C3E" w:rsidP="00980876">
      <w:pPr>
        <w:numPr>
          <w:ilvl w:val="1"/>
          <w:numId w:val="739"/>
        </w:numPr>
        <w:spacing w:before="120" w:after="0" w:line="240" w:lineRule="auto"/>
        <w:ind w:left="1134" w:hanging="566"/>
        <w:jc w:val="both"/>
        <w:rPr>
          <w:rFonts w:ascii="Times New Roman" w:eastAsia="Times New Roman" w:hAnsi="Times New Roman" w:cs="Times New Roman"/>
          <w:lang w:eastAsia="hu-HU"/>
        </w:rPr>
      </w:pPr>
      <w:r w:rsidRPr="00B87C3E">
        <w:rPr>
          <w:rFonts w:ascii="Times New Roman" w:eastAsia="Times New Roman" w:hAnsi="Times New Roman" w:cs="Times New Roman"/>
          <w:b/>
          <w:lang w:eastAsia="hu-HU"/>
        </w:rPr>
        <w:t>Ajánlott irodalom</w:t>
      </w:r>
      <w:r w:rsidRPr="00B87C3E">
        <w:rPr>
          <w:rFonts w:ascii="Times New Roman" w:eastAsia="Times New Roman" w:hAnsi="Times New Roman" w:cs="Times New Roman"/>
          <w:lang w:eastAsia="hu-HU"/>
        </w:rPr>
        <w:t xml:space="preserve">: </w:t>
      </w:r>
    </w:p>
    <w:p w:rsidR="00B87C3E" w:rsidRPr="00B87C3E" w:rsidRDefault="00B87C3E" w:rsidP="00980876">
      <w:pPr>
        <w:numPr>
          <w:ilvl w:val="0"/>
          <w:numId w:val="741"/>
        </w:numPr>
        <w:tabs>
          <w:tab w:val="num" w:pos="1276"/>
        </w:tabs>
        <w:spacing w:before="60" w:after="0" w:line="240" w:lineRule="auto"/>
        <w:ind w:left="1276" w:hanging="284"/>
        <w:jc w:val="both"/>
        <w:rPr>
          <w:rFonts w:ascii="Times New Roman" w:eastAsia="Times New Roman" w:hAnsi="Times New Roman" w:cs="Times New Roman"/>
          <w:lang w:eastAsia="hu-HU"/>
        </w:rPr>
      </w:pPr>
      <w:r w:rsidRPr="00B87C3E">
        <w:rPr>
          <w:rFonts w:ascii="Times New Roman" w:eastAsia="Times New Roman" w:hAnsi="Times New Roman" w:cs="Times New Roman"/>
          <w:lang w:eastAsia="hu-HU"/>
        </w:rPr>
        <w:t>Allied Land Tactics [Szövetségi Szárazföldi Harcászat] – ATP-3.2.1 NATO Standardization Agency, 2009;</w:t>
      </w:r>
    </w:p>
    <w:p w:rsidR="00B87C3E" w:rsidRPr="00B87C3E" w:rsidRDefault="00B87C3E" w:rsidP="00980876">
      <w:pPr>
        <w:numPr>
          <w:ilvl w:val="0"/>
          <w:numId w:val="741"/>
        </w:numPr>
        <w:tabs>
          <w:tab w:val="num" w:pos="1276"/>
        </w:tabs>
        <w:spacing w:before="60" w:after="0" w:line="240" w:lineRule="auto"/>
        <w:ind w:left="1276" w:hanging="284"/>
        <w:jc w:val="both"/>
        <w:rPr>
          <w:rFonts w:ascii="Times New Roman" w:eastAsia="Times New Roman" w:hAnsi="Times New Roman" w:cs="Times New Roman"/>
          <w:lang w:eastAsia="hu-HU"/>
        </w:rPr>
      </w:pPr>
      <w:r w:rsidRPr="00B87C3E">
        <w:rPr>
          <w:rFonts w:ascii="Times New Roman" w:eastAsia="Times New Roman" w:hAnsi="Times New Roman" w:cs="Times New Roman"/>
          <w:lang w:eastAsia="hu-HU"/>
        </w:rPr>
        <w:t>Command and Control of Allied Land Forces – ATP-3.2.2 NATO Standardization Agency, 2009.</w:t>
      </w:r>
    </w:p>
    <w:p w:rsidR="00B87C3E" w:rsidRPr="00B87C3E" w:rsidRDefault="00B87C3E" w:rsidP="00B87C3E">
      <w:pPr>
        <w:tabs>
          <w:tab w:val="num" w:pos="1276"/>
        </w:tabs>
        <w:spacing w:before="60" w:after="0" w:line="240" w:lineRule="auto"/>
        <w:ind w:left="1276" w:hanging="284"/>
        <w:contextualSpacing/>
        <w:jc w:val="both"/>
        <w:rPr>
          <w:rFonts w:ascii="Times New Roman" w:eastAsia="Times New Roman" w:hAnsi="Times New Roman" w:cs="Times New Roman"/>
          <w:lang w:eastAsia="hu-HU"/>
        </w:rPr>
      </w:pPr>
    </w:p>
    <w:p w:rsidR="00B87C3E" w:rsidRPr="00B87C3E" w:rsidRDefault="00B87C3E" w:rsidP="00B87C3E">
      <w:pPr>
        <w:spacing w:after="60" w:line="240" w:lineRule="auto"/>
        <w:ind w:firstLine="708"/>
        <w:rPr>
          <w:rFonts w:ascii="Times New Roman" w:eastAsia="Times New Roman" w:hAnsi="Times New Roman" w:cs="Times New Roman"/>
          <w:color w:val="000000"/>
          <w:lang w:eastAsia="hu-HU"/>
        </w:rPr>
      </w:pPr>
      <w:r w:rsidRPr="00B87C3E">
        <w:rPr>
          <w:rFonts w:ascii="Times New Roman" w:eastAsia="Times New Roman" w:hAnsi="Times New Roman" w:cs="Times New Roman"/>
          <w:color w:val="000000"/>
          <w:lang w:eastAsia="hu-HU"/>
        </w:rPr>
        <w:t>Budapest, 2020. március 31.</w:t>
      </w:r>
    </w:p>
    <w:p w:rsidR="00B87C3E" w:rsidRPr="00B87C3E" w:rsidRDefault="00B87C3E" w:rsidP="00B87C3E">
      <w:pPr>
        <w:spacing w:after="60" w:line="240" w:lineRule="auto"/>
        <w:rPr>
          <w:rFonts w:ascii="Times New Roman" w:eastAsia="Times New Roman" w:hAnsi="Times New Roman" w:cs="Times New Roman"/>
          <w:color w:val="000000"/>
          <w:lang w:eastAsia="hu-HU"/>
        </w:rPr>
      </w:pPr>
    </w:p>
    <w:p w:rsidR="00B87C3E" w:rsidRPr="00B87C3E" w:rsidRDefault="00B87C3E" w:rsidP="00B87C3E">
      <w:pPr>
        <w:widowControl w:val="0"/>
        <w:tabs>
          <w:tab w:val="center" w:pos="6237"/>
        </w:tabs>
        <w:spacing w:after="0" w:line="240" w:lineRule="auto"/>
        <w:ind w:left="5103"/>
        <w:jc w:val="right"/>
        <w:rPr>
          <w:rFonts w:ascii="Times New Roman" w:eastAsia="Times New Roman" w:hAnsi="Times New Roman" w:cs="Times New Roman"/>
          <w:b/>
          <w:color w:val="000000"/>
          <w:lang w:eastAsia="hu-HU"/>
        </w:rPr>
      </w:pPr>
      <w:r w:rsidRPr="00B87C3E">
        <w:rPr>
          <w:rFonts w:ascii="Times New Roman" w:eastAsia="Times New Roman" w:hAnsi="Times New Roman" w:cs="Times New Roman"/>
          <w:b/>
          <w:color w:val="000000"/>
          <w:lang w:eastAsia="hu-HU"/>
        </w:rPr>
        <w:t>Dr. Komjáthy Lajos PhD</w:t>
      </w:r>
    </w:p>
    <w:p w:rsidR="00B87C3E" w:rsidRPr="00B87C3E" w:rsidRDefault="00B87C3E" w:rsidP="00B87C3E">
      <w:pPr>
        <w:widowControl w:val="0"/>
        <w:tabs>
          <w:tab w:val="center" w:pos="6237"/>
        </w:tabs>
        <w:spacing w:after="0" w:line="240" w:lineRule="auto"/>
        <w:ind w:left="5103"/>
        <w:jc w:val="right"/>
        <w:rPr>
          <w:rFonts w:ascii="Calibri" w:eastAsia="Calibri" w:hAnsi="Calibri" w:cs="Times New Roman"/>
        </w:rPr>
      </w:pPr>
      <w:r w:rsidRPr="00B87C3E">
        <w:rPr>
          <w:rFonts w:ascii="Times New Roman" w:eastAsia="Times New Roman" w:hAnsi="Times New Roman" w:cs="Times New Roman"/>
          <w:color w:val="000000"/>
          <w:lang w:eastAsia="hu-HU"/>
        </w:rPr>
        <w:t>egyetemi adjunktus sk.</w:t>
      </w:r>
    </w:p>
    <w:tbl>
      <w:tblPr>
        <w:tblStyle w:val="1"/>
        <w:tblW w:w="9075" w:type="dxa"/>
        <w:tblInd w:w="-1" w:type="dxa"/>
        <w:tblLayout w:type="fixed"/>
        <w:tblLook w:val="04A0" w:firstRow="1" w:lastRow="0" w:firstColumn="1" w:lastColumn="0" w:noHBand="0" w:noVBand="1"/>
      </w:tblPr>
      <w:tblGrid>
        <w:gridCol w:w="4856"/>
        <w:gridCol w:w="1621"/>
        <w:gridCol w:w="2598"/>
      </w:tblGrid>
      <w:tr w:rsidR="008313D9" w:rsidRPr="008313D9" w:rsidTr="00B87C3E">
        <w:tc>
          <w:tcPr>
            <w:tcW w:w="4856" w:type="dxa"/>
            <w:tcBorders>
              <w:top w:val="nil"/>
              <w:left w:val="nil"/>
              <w:bottom w:val="single" w:sz="4" w:space="0" w:color="000000"/>
              <w:right w:val="nil"/>
            </w:tcBorders>
            <w:hideMark/>
          </w:tcPr>
          <w:p w:rsidR="008313D9" w:rsidRPr="008313D9" w:rsidRDefault="008313D9">
            <w:pPr>
              <w:spacing w:after="0" w:line="240" w:lineRule="auto"/>
              <w:jc w:val="center"/>
              <w:rPr>
                <w:b/>
                <w:smallCaps/>
                <w:sz w:val="22"/>
                <w:szCs w:val="22"/>
                <w:lang w:eastAsia="hu-HU"/>
              </w:rPr>
            </w:pPr>
            <w:r w:rsidRPr="008313D9">
              <w:rPr>
                <w:b/>
                <w:smallCaps/>
                <w:sz w:val="22"/>
                <w:szCs w:val="22"/>
                <w:lang w:eastAsia="hu-HU"/>
              </w:rPr>
              <w:lastRenderedPageBreak/>
              <w:t>Nemzeti Közszolgálati Egyetem</w:t>
            </w:r>
          </w:p>
        </w:tc>
        <w:tc>
          <w:tcPr>
            <w:tcW w:w="1621" w:type="dxa"/>
          </w:tcPr>
          <w:p w:rsidR="008313D9" w:rsidRPr="008313D9" w:rsidRDefault="008313D9">
            <w:pPr>
              <w:spacing w:after="0" w:line="240" w:lineRule="auto"/>
              <w:jc w:val="both"/>
              <w:rPr>
                <w:sz w:val="22"/>
                <w:szCs w:val="22"/>
                <w:lang w:eastAsia="hu-HU"/>
              </w:rPr>
            </w:pPr>
          </w:p>
        </w:tc>
        <w:tc>
          <w:tcPr>
            <w:tcW w:w="2598" w:type="dxa"/>
          </w:tcPr>
          <w:p w:rsidR="008313D9" w:rsidRPr="008313D9" w:rsidRDefault="008313D9">
            <w:pPr>
              <w:spacing w:after="0" w:line="240" w:lineRule="auto"/>
              <w:jc w:val="right"/>
              <w:rPr>
                <w:sz w:val="22"/>
                <w:szCs w:val="22"/>
                <w:lang w:eastAsia="hu-HU"/>
              </w:rPr>
            </w:pPr>
          </w:p>
        </w:tc>
      </w:tr>
      <w:tr w:rsidR="008313D9" w:rsidRPr="008313D9" w:rsidTr="00B87C3E">
        <w:tc>
          <w:tcPr>
            <w:tcW w:w="4856" w:type="dxa"/>
            <w:tcBorders>
              <w:top w:val="single" w:sz="4" w:space="0" w:color="000000"/>
              <w:left w:val="nil"/>
              <w:bottom w:val="nil"/>
              <w:right w:val="nil"/>
            </w:tcBorders>
            <w:hideMark/>
          </w:tcPr>
          <w:p w:rsidR="008313D9" w:rsidRPr="008313D9" w:rsidRDefault="008313D9">
            <w:pPr>
              <w:spacing w:after="0" w:line="240" w:lineRule="auto"/>
              <w:jc w:val="center"/>
              <w:rPr>
                <w:b/>
                <w:sz w:val="22"/>
                <w:szCs w:val="22"/>
                <w:lang w:eastAsia="hu-HU"/>
              </w:rPr>
            </w:pPr>
            <w:r w:rsidRPr="008313D9">
              <w:rPr>
                <w:b/>
                <w:sz w:val="22"/>
                <w:szCs w:val="22"/>
                <w:lang w:eastAsia="hu-HU"/>
              </w:rPr>
              <w:t>Hadtudományi és Honvédtisztképző Kar</w:t>
            </w:r>
          </w:p>
        </w:tc>
        <w:tc>
          <w:tcPr>
            <w:tcW w:w="1621" w:type="dxa"/>
          </w:tcPr>
          <w:p w:rsidR="008313D9" w:rsidRPr="008313D9" w:rsidRDefault="008313D9">
            <w:pPr>
              <w:spacing w:after="0" w:line="240" w:lineRule="auto"/>
              <w:jc w:val="both"/>
              <w:rPr>
                <w:sz w:val="22"/>
                <w:szCs w:val="22"/>
                <w:lang w:eastAsia="hu-HU"/>
              </w:rPr>
            </w:pPr>
          </w:p>
        </w:tc>
        <w:tc>
          <w:tcPr>
            <w:tcW w:w="2598" w:type="dxa"/>
          </w:tcPr>
          <w:p w:rsidR="008313D9" w:rsidRPr="008313D9" w:rsidRDefault="008313D9">
            <w:pPr>
              <w:spacing w:after="0" w:line="240" w:lineRule="auto"/>
              <w:jc w:val="both"/>
              <w:rPr>
                <w:sz w:val="22"/>
                <w:szCs w:val="22"/>
                <w:lang w:eastAsia="hu-HU"/>
              </w:rPr>
            </w:pPr>
          </w:p>
        </w:tc>
      </w:tr>
    </w:tbl>
    <w:p w:rsidR="008313D9" w:rsidRPr="008313D9" w:rsidRDefault="008313D9" w:rsidP="008313D9">
      <w:pPr>
        <w:tabs>
          <w:tab w:val="right" w:pos="0"/>
          <w:tab w:val="center" w:pos="4819"/>
          <w:tab w:val="right" w:pos="9071"/>
        </w:tabs>
        <w:jc w:val="both"/>
        <w:rPr>
          <w:rFonts w:ascii="Times New Roman" w:hAnsi="Times New Roman" w:cs="Times New Roman"/>
        </w:rPr>
      </w:pPr>
    </w:p>
    <w:p w:rsidR="008313D9" w:rsidRPr="008313D9" w:rsidRDefault="008313D9" w:rsidP="008313D9">
      <w:pPr>
        <w:jc w:val="center"/>
        <w:rPr>
          <w:rFonts w:ascii="Times New Roman" w:eastAsia="CG Times" w:hAnsi="Times New Roman" w:cs="Times New Roman"/>
          <w:b/>
        </w:rPr>
      </w:pPr>
      <w:r w:rsidRPr="008313D9">
        <w:rPr>
          <w:rFonts w:ascii="Times New Roman" w:eastAsia="CG Times" w:hAnsi="Times New Roman" w:cs="Times New Roman"/>
          <w:b/>
        </w:rPr>
        <w:t>TANTÁRGYI PROGRAM</w:t>
      </w:r>
    </w:p>
    <w:p w:rsidR="008313D9" w:rsidRPr="008313D9" w:rsidRDefault="008313D9" w:rsidP="00C2057B">
      <w:pPr>
        <w:widowControl w:val="0"/>
        <w:numPr>
          <w:ilvl w:val="0"/>
          <w:numId w:val="74"/>
        </w:numPr>
        <w:tabs>
          <w:tab w:val="right" w:pos="900"/>
          <w:tab w:val="center" w:pos="4536"/>
          <w:tab w:val="right" w:pos="9071"/>
        </w:tabs>
        <w:spacing w:before="120" w:after="0" w:line="240" w:lineRule="auto"/>
        <w:ind w:hanging="360"/>
        <w:jc w:val="both"/>
        <w:rPr>
          <w:rFonts w:ascii="Times New Roman" w:hAnsi="Times New Roman" w:cs="Times New Roman"/>
        </w:rPr>
      </w:pPr>
      <w:r w:rsidRPr="008313D9">
        <w:rPr>
          <w:rFonts w:ascii="Times New Roman" w:hAnsi="Times New Roman" w:cs="Times New Roman"/>
          <w:b/>
        </w:rPr>
        <w:t xml:space="preserve">A tantárgy kódja: </w:t>
      </w:r>
      <w:r w:rsidRPr="008313D9">
        <w:rPr>
          <w:rFonts w:ascii="Times New Roman" w:hAnsi="Times New Roman" w:cs="Times New Roman"/>
        </w:rPr>
        <w:t>HKÖMTA812</w:t>
      </w:r>
    </w:p>
    <w:p w:rsidR="008313D9" w:rsidRPr="008313D9" w:rsidRDefault="008313D9" w:rsidP="00C2057B">
      <w:pPr>
        <w:pStyle w:val="lfej"/>
        <w:numPr>
          <w:ilvl w:val="0"/>
          <w:numId w:val="75"/>
        </w:numPr>
        <w:tabs>
          <w:tab w:val="clear" w:pos="720"/>
          <w:tab w:val="num" w:pos="644"/>
          <w:tab w:val="right" w:pos="900"/>
        </w:tabs>
        <w:spacing w:before="120"/>
        <w:ind w:left="644"/>
        <w:jc w:val="both"/>
        <w:rPr>
          <w:rFonts w:ascii="Times New Roman" w:hAnsi="Times New Roman" w:cs="Times New Roman"/>
        </w:rPr>
      </w:pPr>
      <w:bookmarkStart w:id="51" w:name="_gjdgxs"/>
      <w:bookmarkEnd w:id="51"/>
      <w:r w:rsidRPr="008313D9">
        <w:rPr>
          <w:rFonts w:ascii="Times New Roman" w:hAnsi="Times New Roman" w:cs="Times New Roman"/>
          <w:b/>
          <w:bCs/>
        </w:rPr>
        <w:t xml:space="preserve">A tantárgy megnevezése (magyarul): </w:t>
      </w:r>
      <w:r w:rsidRPr="008313D9">
        <w:rPr>
          <w:rFonts w:ascii="Times New Roman" w:hAnsi="Times New Roman" w:cs="Times New Roman"/>
          <w:bCs/>
          <w:noProof/>
        </w:rPr>
        <w:t>Harcászat és katonai műveletek elmélete és gyakorlata</w:t>
      </w:r>
    </w:p>
    <w:p w:rsidR="008313D9" w:rsidRPr="008313D9" w:rsidRDefault="008313D9" w:rsidP="00C2057B">
      <w:pPr>
        <w:pStyle w:val="lfej"/>
        <w:numPr>
          <w:ilvl w:val="0"/>
          <w:numId w:val="75"/>
        </w:numPr>
        <w:tabs>
          <w:tab w:val="clear" w:pos="720"/>
          <w:tab w:val="num" w:pos="644"/>
          <w:tab w:val="right" w:pos="900"/>
        </w:tabs>
        <w:spacing w:before="120"/>
        <w:ind w:left="644"/>
        <w:jc w:val="both"/>
        <w:rPr>
          <w:rFonts w:ascii="Times New Roman" w:hAnsi="Times New Roman" w:cs="Times New Roman"/>
          <w:bCs/>
        </w:rPr>
      </w:pPr>
      <w:r w:rsidRPr="008313D9">
        <w:rPr>
          <w:rFonts w:ascii="Times New Roman" w:hAnsi="Times New Roman" w:cs="Times New Roman"/>
          <w:b/>
          <w:bCs/>
        </w:rPr>
        <w:t>A tantárgy megnevezése (angolul):</w:t>
      </w:r>
      <w:r w:rsidRPr="008313D9">
        <w:rPr>
          <w:rFonts w:ascii="Times New Roman" w:hAnsi="Times New Roman" w:cs="Times New Roman"/>
          <w:bCs/>
        </w:rPr>
        <w:t xml:space="preserve"> Tactics and </w:t>
      </w:r>
      <w:r w:rsidRPr="008313D9">
        <w:rPr>
          <w:rFonts w:ascii="Times New Roman" w:hAnsi="Times New Roman" w:cs="Times New Roman"/>
        </w:rPr>
        <w:t>theory and practice of military operations</w:t>
      </w:r>
    </w:p>
    <w:p w:rsidR="008313D9" w:rsidRPr="008313D9" w:rsidRDefault="008313D9" w:rsidP="00C2057B">
      <w:pPr>
        <w:pStyle w:val="lfej"/>
        <w:numPr>
          <w:ilvl w:val="0"/>
          <w:numId w:val="75"/>
        </w:numPr>
        <w:tabs>
          <w:tab w:val="clear" w:pos="720"/>
          <w:tab w:val="num" w:pos="644"/>
          <w:tab w:val="right" w:pos="900"/>
        </w:tabs>
        <w:spacing w:before="120"/>
        <w:ind w:left="644"/>
        <w:jc w:val="both"/>
        <w:rPr>
          <w:rFonts w:ascii="Times New Roman" w:hAnsi="Times New Roman" w:cs="Times New Roman"/>
          <w:bCs/>
        </w:rPr>
      </w:pPr>
      <w:r w:rsidRPr="008313D9">
        <w:rPr>
          <w:rFonts w:ascii="Times New Roman" w:hAnsi="Times New Roman" w:cs="Times New Roman"/>
          <w:b/>
          <w:bCs/>
        </w:rPr>
        <w:t xml:space="preserve">Kreditérték és képzési karakter: </w:t>
      </w:r>
    </w:p>
    <w:p w:rsidR="008313D9" w:rsidRPr="00E47639" w:rsidRDefault="008313D9" w:rsidP="00C2057B">
      <w:pPr>
        <w:pStyle w:val="Listaszerbekezds"/>
        <w:widowControl w:val="0"/>
        <w:numPr>
          <w:ilvl w:val="1"/>
          <w:numId w:val="76"/>
        </w:numPr>
        <w:spacing w:before="120" w:after="120" w:line="240" w:lineRule="auto"/>
        <w:ind w:hanging="10"/>
        <w:jc w:val="both"/>
        <w:rPr>
          <w:rFonts w:ascii="Times New Roman" w:hAnsi="Times New Roman" w:cs="Times New Roman"/>
          <w:b/>
          <w:bCs/>
          <w:color w:val="FF0000"/>
          <w:highlight w:val="yellow"/>
        </w:rPr>
      </w:pPr>
      <w:r w:rsidRPr="00E47639">
        <w:rPr>
          <w:rFonts w:ascii="Times New Roman" w:hAnsi="Times New Roman" w:cs="Times New Roman"/>
          <w:b/>
          <w:bCs/>
          <w:color w:val="FF0000"/>
          <w:highlight w:val="yellow"/>
        </w:rPr>
        <w:t xml:space="preserve">Kreditérték: </w:t>
      </w:r>
      <w:r w:rsidR="00E47639" w:rsidRPr="00E47639">
        <w:rPr>
          <w:rFonts w:ascii="Times New Roman" w:hAnsi="Times New Roman" w:cs="Times New Roman"/>
          <w:bCs/>
          <w:color w:val="FF0000"/>
          <w:highlight w:val="yellow"/>
        </w:rPr>
        <w:t>4</w:t>
      </w:r>
      <w:r w:rsidRPr="00E47639">
        <w:rPr>
          <w:rFonts w:ascii="Times New Roman" w:hAnsi="Times New Roman" w:cs="Times New Roman"/>
          <w:bCs/>
          <w:color w:val="FF0000"/>
          <w:highlight w:val="yellow"/>
        </w:rPr>
        <w:t xml:space="preserve"> kredit</w:t>
      </w:r>
    </w:p>
    <w:p w:rsidR="008313D9" w:rsidRPr="008313D9" w:rsidRDefault="008313D9" w:rsidP="00C2057B">
      <w:pPr>
        <w:pStyle w:val="Listaszerbekezds"/>
        <w:widowControl w:val="0"/>
        <w:numPr>
          <w:ilvl w:val="1"/>
          <w:numId w:val="76"/>
        </w:numPr>
        <w:spacing w:before="120" w:after="120" w:line="240" w:lineRule="auto"/>
        <w:ind w:left="792" w:hanging="432"/>
        <w:jc w:val="both"/>
        <w:rPr>
          <w:rFonts w:ascii="Times New Roman" w:hAnsi="Times New Roman" w:cs="Times New Roman"/>
          <w:b/>
          <w:bCs/>
        </w:rPr>
      </w:pPr>
      <w:r w:rsidRPr="008313D9">
        <w:rPr>
          <w:rFonts w:ascii="Times New Roman" w:hAnsi="Times New Roman" w:cs="Times New Roman"/>
          <w:b/>
          <w:bCs/>
        </w:rPr>
        <w:t xml:space="preserve">A tantárgy elméleti vagy gyakorlati jellegének mértéke: </w:t>
      </w:r>
      <w:r w:rsidRPr="008313D9">
        <w:rPr>
          <w:rFonts w:ascii="Times New Roman" w:hAnsi="Times New Roman" w:cs="Times New Roman"/>
          <w:bCs/>
        </w:rPr>
        <w:t>33 % elmélet 67 % gyakorlat</w:t>
      </w:r>
    </w:p>
    <w:p w:rsidR="008313D9" w:rsidRPr="008313D9" w:rsidRDefault="008313D9" w:rsidP="00C2057B">
      <w:pPr>
        <w:pStyle w:val="Listaszerbekezds"/>
        <w:widowControl w:val="0"/>
        <w:numPr>
          <w:ilvl w:val="0"/>
          <w:numId w:val="75"/>
        </w:numPr>
        <w:tabs>
          <w:tab w:val="clear" w:pos="720"/>
          <w:tab w:val="num" w:pos="644"/>
          <w:tab w:val="right" w:pos="900"/>
          <w:tab w:val="center" w:pos="4536"/>
          <w:tab w:val="right" w:pos="9071"/>
        </w:tabs>
        <w:spacing w:before="120" w:after="0" w:line="240" w:lineRule="auto"/>
        <w:ind w:left="644"/>
        <w:jc w:val="both"/>
        <w:rPr>
          <w:rFonts w:ascii="Times New Roman" w:hAnsi="Times New Roman" w:cs="Times New Roman"/>
        </w:rPr>
      </w:pPr>
      <w:r w:rsidRPr="008313D9">
        <w:rPr>
          <w:rFonts w:ascii="Times New Roman" w:hAnsi="Times New Roman" w:cs="Times New Roman"/>
          <w:b/>
        </w:rPr>
        <w:t xml:space="preserve">A szak(ok), szakirányok megnevezése (ahol oktatják): </w:t>
      </w:r>
      <w:r w:rsidR="002F415D" w:rsidRPr="002F415D">
        <w:rPr>
          <w:rFonts w:ascii="Times New Roman" w:hAnsi="Times New Roman" w:cs="Times New Roman"/>
          <w:highlight w:val="yellow"/>
        </w:rPr>
        <w:t xml:space="preserve">HHK katonai </w:t>
      </w:r>
      <w:r w:rsidRPr="002F415D">
        <w:rPr>
          <w:rFonts w:ascii="Times New Roman" w:hAnsi="Times New Roman" w:cs="Times New Roman"/>
          <w:highlight w:val="yellow"/>
        </w:rPr>
        <w:t>alapképzési szak</w:t>
      </w:r>
      <w:r w:rsidR="002F415D" w:rsidRPr="002F415D">
        <w:rPr>
          <w:rFonts w:ascii="Times New Roman" w:hAnsi="Times New Roman" w:cs="Times New Roman"/>
          <w:highlight w:val="yellow"/>
        </w:rPr>
        <w:t>ok</w:t>
      </w:r>
    </w:p>
    <w:p w:rsidR="008313D9" w:rsidRPr="008313D9" w:rsidRDefault="008313D9" w:rsidP="00C2057B">
      <w:pPr>
        <w:widowControl w:val="0"/>
        <w:numPr>
          <w:ilvl w:val="0"/>
          <w:numId w:val="75"/>
        </w:numPr>
        <w:tabs>
          <w:tab w:val="clear" w:pos="720"/>
          <w:tab w:val="num" w:pos="644"/>
          <w:tab w:val="right" w:pos="900"/>
          <w:tab w:val="center" w:pos="4536"/>
          <w:tab w:val="right" w:pos="9071"/>
        </w:tabs>
        <w:spacing w:before="120" w:after="0" w:line="240" w:lineRule="auto"/>
        <w:ind w:left="644"/>
        <w:jc w:val="both"/>
        <w:rPr>
          <w:rFonts w:ascii="Times New Roman" w:hAnsi="Times New Roman" w:cs="Times New Roman"/>
        </w:rPr>
      </w:pPr>
      <w:r w:rsidRPr="008313D9">
        <w:rPr>
          <w:rFonts w:ascii="Times New Roman" w:hAnsi="Times New Roman" w:cs="Times New Roman"/>
          <w:b/>
        </w:rPr>
        <w:t xml:space="preserve">Az oktatásért felelős oktatási szervezeti egység megnevezése: </w:t>
      </w:r>
      <w:r w:rsidRPr="008313D9">
        <w:rPr>
          <w:rFonts w:ascii="Times New Roman" w:hAnsi="Times New Roman" w:cs="Times New Roman"/>
        </w:rPr>
        <w:t>Hadtudományi és Honvédtisztképző Kar, Összhaderőnemi Műveleti Tanszék</w:t>
      </w:r>
    </w:p>
    <w:p w:rsidR="008313D9" w:rsidRPr="008313D9" w:rsidRDefault="008313D9" w:rsidP="00C2057B">
      <w:pPr>
        <w:widowControl w:val="0"/>
        <w:numPr>
          <w:ilvl w:val="0"/>
          <w:numId w:val="75"/>
        </w:numPr>
        <w:tabs>
          <w:tab w:val="clear" w:pos="720"/>
          <w:tab w:val="num" w:pos="644"/>
          <w:tab w:val="right" w:pos="900"/>
          <w:tab w:val="center" w:pos="4536"/>
          <w:tab w:val="right" w:pos="9071"/>
        </w:tabs>
        <w:spacing w:before="120" w:after="0" w:line="240" w:lineRule="auto"/>
        <w:ind w:left="644"/>
        <w:jc w:val="both"/>
        <w:rPr>
          <w:rFonts w:ascii="Times New Roman" w:hAnsi="Times New Roman" w:cs="Times New Roman"/>
        </w:rPr>
      </w:pPr>
      <w:r w:rsidRPr="008313D9">
        <w:rPr>
          <w:rFonts w:ascii="Times New Roman" w:hAnsi="Times New Roman" w:cs="Times New Roman"/>
          <w:b/>
        </w:rPr>
        <w:t xml:space="preserve">A tantárgyfelelős oktató neve, beosztása, tudományos fokozata: </w:t>
      </w:r>
      <w:r w:rsidRPr="008313D9">
        <w:rPr>
          <w:rFonts w:ascii="Times New Roman" w:hAnsi="Times New Roman" w:cs="Times New Roman"/>
        </w:rPr>
        <w:t>Dr. Komjáthy Lajos alezredes, PhD (hadtudomány), egyetemi adjunktus</w:t>
      </w:r>
    </w:p>
    <w:p w:rsidR="008313D9" w:rsidRPr="008313D9" w:rsidRDefault="008313D9" w:rsidP="00C2057B">
      <w:pPr>
        <w:widowControl w:val="0"/>
        <w:numPr>
          <w:ilvl w:val="0"/>
          <w:numId w:val="75"/>
        </w:numPr>
        <w:tabs>
          <w:tab w:val="clear" w:pos="720"/>
          <w:tab w:val="num" w:pos="644"/>
          <w:tab w:val="right" w:pos="900"/>
          <w:tab w:val="center" w:pos="4536"/>
          <w:tab w:val="right" w:pos="9071"/>
        </w:tabs>
        <w:spacing w:before="120" w:after="0" w:line="240" w:lineRule="auto"/>
        <w:ind w:left="644"/>
        <w:jc w:val="both"/>
        <w:rPr>
          <w:rFonts w:ascii="Times New Roman" w:hAnsi="Times New Roman" w:cs="Times New Roman"/>
        </w:rPr>
      </w:pPr>
      <w:r w:rsidRPr="008313D9">
        <w:rPr>
          <w:rFonts w:ascii="Times New Roman" w:hAnsi="Times New Roman" w:cs="Times New Roman"/>
          <w:b/>
        </w:rPr>
        <w:t>A tanórák száma (előadás)</w:t>
      </w:r>
    </w:p>
    <w:p w:rsidR="008313D9" w:rsidRPr="008313D9" w:rsidRDefault="008313D9" w:rsidP="00C2057B">
      <w:pPr>
        <w:widowControl w:val="0"/>
        <w:numPr>
          <w:ilvl w:val="1"/>
          <w:numId w:val="75"/>
        </w:numPr>
        <w:tabs>
          <w:tab w:val="clear" w:pos="3977"/>
          <w:tab w:val="num" w:pos="1000"/>
        </w:tabs>
        <w:spacing w:before="120" w:after="0" w:line="240" w:lineRule="auto"/>
        <w:ind w:left="1000"/>
        <w:jc w:val="both"/>
        <w:rPr>
          <w:rFonts w:ascii="Times New Roman" w:hAnsi="Times New Roman" w:cs="Times New Roman"/>
        </w:rPr>
      </w:pPr>
      <w:r w:rsidRPr="008313D9">
        <w:rPr>
          <w:rFonts w:ascii="Times New Roman" w:hAnsi="Times New Roman" w:cs="Times New Roman"/>
        </w:rPr>
        <w:t>összes óraszám: 42</w:t>
      </w:r>
    </w:p>
    <w:p w:rsidR="008313D9" w:rsidRPr="008313D9" w:rsidRDefault="008313D9" w:rsidP="00C2057B">
      <w:pPr>
        <w:widowControl w:val="0"/>
        <w:numPr>
          <w:ilvl w:val="2"/>
          <w:numId w:val="75"/>
        </w:numPr>
        <w:tabs>
          <w:tab w:val="clear" w:pos="1800"/>
          <w:tab w:val="right" w:pos="900"/>
          <w:tab w:val="num" w:pos="1724"/>
        </w:tabs>
        <w:spacing w:before="120" w:after="0" w:line="240" w:lineRule="auto"/>
        <w:ind w:left="1508"/>
        <w:jc w:val="both"/>
        <w:rPr>
          <w:rFonts w:ascii="Times New Roman" w:hAnsi="Times New Roman" w:cs="Times New Roman"/>
        </w:rPr>
      </w:pPr>
      <w:r w:rsidRPr="008313D9">
        <w:rPr>
          <w:rFonts w:ascii="Times New Roman" w:hAnsi="Times New Roman" w:cs="Times New Roman"/>
        </w:rPr>
        <w:t>Nappali munkarend: 42 (14 EA + 0 SZ + 28GY)</w:t>
      </w:r>
    </w:p>
    <w:p w:rsidR="008313D9" w:rsidRPr="008313D9" w:rsidRDefault="008313D9" w:rsidP="00C2057B">
      <w:pPr>
        <w:widowControl w:val="0"/>
        <w:numPr>
          <w:ilvl w:val="2"/>
          <w:numId w:val="75"/>
        </w:numPr>
        <w:tabs>
          <w:tab w:val="clear" w:pos="1800"/>
          <w:tab w:val="right" w:pos="900"/>
          <w:tab w:val="num" w:pos="1724"/>
        </w:tabs>
        <w:spacing w:before="120" w:after="0" w:line="240" w:lineRule="auto"/>
        <w:ind w:left="1508"/>
        <w:jc w:val="both"/>
        <w:rPr>
          <w:rFonts w:ascii="Times New Roman" w:hAnsi="Times New Roman" w:cs="Times New Roman"/>
        </w:rPr>
      </w:pPr>
      <w:r w:rsidRPr="008313D9">
        <w:rPr>
          <w:rFonts w:ascii="Times New Roman" w:hAnsi="Times New Roman" w:cs="Times New Roman"/>
        </w:rPr>
        <w:t>Levelező munkarend</w:t>
      </w:r>
    </w:p>
    <w:p w:rsidR="008313D9" w:rsidRPr="008313D9" w:rsidRDefault="008313D9" w:rsidP="00C2057B">
      <w:pPr>
        <w:widowControl w:val="0"/>
        <w:numPr>
          <w:ilvl w:val="1"/>
          <w:numId w:val="75"/>
        </w:numPr>
        <w:tabs>
          <w:tab w:val="clear" w:pos="3977"/>
          <w:tab w:val="right" w:pos="900"/>
          <w:tab w:val="num" w:pos="1000"/>
        </w:tabs>
        <w:spacing w:before="120" w:after="0" w:line="240" w:lineRule="auto"/>
        <w:ind w:left="1000"/>
        <w:jc w:val="both"/>
        <w:rPr>
          <w:rFonts w:ascii="Times New Roman" w:hAnsi="Times New Roman" w:cs="Times New Roman"/>
        </w:rPr>
      </w:pPr>
      <w:r w:rsidRPr="008313D9">
        <w:rPr>
          <w:rFonts w:ascii="Times New Roman" w:hAnsi="Times New Roman" w:cs="Times New Roman"/>
        </w:rPr>
        <w:t>heti óraszám nappali munkarend: 1+2</w:t>
      </w:r>
    </w:p>
    <w:p w:rsidR="008313D9" w:rsidRPr="008313D9" w:rsidRDefault="008313D9" w:rsidP="00C2057B">
      <w:pPr>
        <w:widowControl w:val="0"/>
        <w:numPr>
          <w:ilvl w:val="1"/>
          <w:numId w:val="75"/>
        </w:numPr>
        <w:tabs>
          <w:tab w:val="clear" w:pos="3977"/>
          <w:tab w:val="right" w:pos="900"/>
          <w:tab w:val="num" w:pos="1000"/>
        </w:tabs>
        <w:spacing w:before="120" w:after="0" w:line="240" w:lineRule="auto"/>
        <w:ind w:left="1000"/>
        <w:jc w:val="both"/>
        <w:rPr>
          <w:rFonts w:ascii="Times New Roman" w:hAnsi="Times New Roman" w:cs="Times New Roman"/>
        </w:rPr>
      </w:pPr>
      <w:r w:rsidRPr="008313D9">
        <w:rPr>
          <w:rFonts w:ascii="Times New Roman" w:hAnsi="Times New Roman" w:cs="Times New Roman"/>
        </w:rPr>
        <w:t>Az ismeret átadásában alkalmazandó további sajátos módok, jellemzők: a speciális témák ismertetésére a Magyar Honvédség szakértői is bevonásra kerülnek.</w:t>
      </w:r>
    </w:p>
    <w:p w:rsidR="008313D9" w:rsidRPr="008313D9" w:rsidRDefault="008313D9" w:rsidP="00C2057B">
      <w:pPr>
        <w:pStyle w:val="Listaszerbekezds"/>
        <w:numPr>
          <w:ilvl w:val="0"/>
          <w:numId w:val="77"/>
        </w:numPr>
        <w:spacing w:line="256" w:lineRule="auto"/>
        <w:jc w:val="both"/>
        <w:rPr>
          <w:rFonts w:ascii="Times New Roman" w:hAnsi="Times New Roman" w:cs="Times New Roman"/>
        </w:rPr>
      </w:pPr>
      <w:r w:rsidRPr="008313D9">
        <w:rPr>
          <w:rFonts w:ascii="Times New Roman" w:hAnsi="Times New Roman" w:cs="Times New Roman"/>
          <w:b/>
        </w:rPr>
        <w:t xml:space="preserve">A tantárgy szakmai tartalma (magyarul): </w:t>
      </w:r>
      <w:r w:rsidRPr="008313D9">
        <w:rPr>
          <w:rFonts w:ascii="Times New Roman" w:hAnsi="Times New Roman" w:cs="Times New Roman"/>
        </w:rPr>
        <w:t>A kurzus folyamán a hallgatók megismerkedhetnek a harcászat és katonai műveletek elmélete és gyakorlata alapjaival, a korszerű összfegyvernemi harc elméletével, annak támogatása és támogató kiszolgálásának lehetőségeivel a katonai műveletek rendszerének keretein belül, valamint a harcaszati szintű vezetés alapjaival.</w:t>
      </w:r>
    </w:p>
    <w:p w:rsidR="008313D9" w:rsidRPr="008313D9" w:rsidRDefault="008313D9" w:rsidP="008313D9">
      <w:pPr>
        <w:pStyle w:val="lfej"/>
        <w:tabs>
          <w:tab w:val="right" w:pos="900"/>
        </w:tabs>
        <w:spacing w:before="120"/>
        <w:ind w:left="709"/>
        <w:jc w:val="both"/>
        <w:rPr>
          <w:rFonts w:ascii="Times New Roman" w:hAnsi="Times New Roman" w:cs="Times New Roman"/>
        </w:rPr>
      </w:pPr>
      <w:r w:rsidRPr="008313D9">
        <w:rPr>
          <w:rFonts w:ascii="Times New Roman" w:hAnsi="Times New Roman" w:cs="Times New Roman"/>
          <w:b/>
        </w:rPr>
        <w:t>A tantárgy szakmai tartalma (angolul):</w:t>
      </w:r>
      <w:r w:rsidRPr="008313D9">
        <w:rPr>
          <w:rFonts w:ascii="Times New Roman" w:hAnsi="Times New Roman" w:cs="Times New Roman"/>
          <w:lang w:val="en-GB"/>
        </w:rPr>
        <w:t xml:space="preserve"> </w:t>
      </w:r>
      <w:r w:rsidRPr="008313D9">
        <w:rPr>
          <w:rFonts w:ascii="Times New Roman" w:hAnsi="Times New Roman" w:cs="Times New Roman"/>
        </w:rPr>
        <w:t>This introductory course will provide students with the basic understand of modern era (land) combined arms operations including theoretical knowledge of combat, combat service and combat service support activities throughout the full-spectrum of operations as well as the tactical application of the operations process.</w:t>
      </w:r>
    </w:p>
    <w:p w:rsidR="008313D9" w:rsidRPr="008313D9" w:rsidRDefault="008313D9" w:rsidP="00C2057B">
      <w:pPr>
        <w:pStyle w:val="lfej"/>
        <w:numPr>
          <w:ilvl w:val="0"/>
          <w:numId w:val="78"/>
        </w:numPr>
        <w:tabs>
          <w:tab w:val="right" w:pos="900"/>
        </w:tabs>
        <w:spacing w:before="120"/>
        <w:jc w:val="both"/>
        <w:rPr>
          <w:rFonts w:ascii="Times New Roman" w:hAnsi="Times New Roman" w:cs="Times New Roman"/>
          <w:b/>
          <w:bCs/>
        </w:rPr>
      </w:pPr>
      <w:r w:rsidRPr="008313D9">
        <w:rPr>
          <w:rFonts w:ascii="Times New Roman" w:hAnsi="Times New Roman" w:cs="Times New Roman"/>
          <w:b/>
          <w:bCs/>
        </w:rPr>
        <w:t>Elérendő kompetenciák (magyarul):</w:t>
      </w:r>
    </w:p>
    <w:p w:rsidR="008313D9" w:rsidRPr="008313D9" w:rsidRDefault="008313D9" w:rsidP="008313D9">
      <w:pPr>
        <w:tabs>
          <w:tab w:val="right" w:pos="900"/>
          <w:tab w:val="center" w:pos="4536"/>
          <w:tab w:val="right" w:pos="9071"/>
        </w:tabs>
        <w:spacing w:before="120" w:after="0"/>
        <w:ind w:left="646"/>
        <w:jc w:val="both"/>
        <w:rPr>
          <w:rFonts w:ascii="Times New Roman" w:hAnsi="Times New Roman" w:cs="Times New Roman"/>
          <w:b/>
        </w:rPr>
      </w:pPr>
      <w:r w:rsidRPr="008313D9">
        <w:rPr>
          <w:rFonts w:ascii="Times New Roman" w:hAnsi="Times New Roman" w:cs="Times New Roman"/>
          <w:b/>
        </w:rPr>
        <w:t>Tudás:</w:t>
      </w:r>
    </w:p>
    <w:p w:rsidR="008313D9" w:rsidRPr="008313D9" w:rsidRDefault="008313D9" w:rsidP="00C2057B">
      <w:pPr>
        <w:pStyle w:val="Listaszerbekezds"/>
        <w:widowControl w:val="0"/>
        <w:numPr>
          <w:ilvl w:val="0"/>
          <w:numId w:val="79"/>
        </w:numPr>
        <w:tabs>
          <w:tab w:val="center" w:pos="4536"/>
          <w:tab w:val="right" w:pos="9071"/>
        </w:tabs>
        <w:spacing w:before="120" w:after="0" w:line="240" w:lineRule="auto"/>
        <w:ind w:left="993"/>
        <w:jc w:val="both"/>
        <w:rPr>
          <w:rFonts w:ascii="Times New Roman" w:hAnsi="Times New Roman" w:cs="Times New Roman"/>
        </w:rPr>
      </w:pPr>
      <w:r w:rsidRPr="008313D9">
        <w:rPr>
          <w:rFonts w:ascii="Times New Roman" w:hAnsi="Times New Roman" w:cs="Times New Roman"/>
        </w:rPr>
        <w:t>Ismeri a magyar biztonság- és védelempolitikát meghatározó alapvető nemzetközi politikai, gazdasági, társadalmi és katonai folyamatokat, tényezőket, trendeket, ezek hatását a haderő fejlesztésére és alkalmazására.</w:t>
      </w:r>
    </w:p>
    <w:p w:rsidR="008313D9" w:rsidRPr="008313D9" w:rsidRDefault="008313D9" w:rsidP="00C2057B">
      <w:pPr>
        <w:pStyle w:val="Listaszerbekezds"/>
        <w:widowControl w:val="0"/>
        <w:numPr>
          <w:ilvl w:val="0"/>
          <w:numId w:val="79"/>
        </w:numPr>
        <w:tabs>
          <w:tab w:val="center" w:pos="4536"/>
          <w:tab w:val="right" w:pos="9071"/>
        </w:tabs>
        <w:spacing w:before="120" w:after="0" w:line="240" w:lineRule="auto"/>
        <w:ind w:left="993"/>
        <w:jc w:val="both"/>
        <w:rPr>
          <w:rFonts w:ascii="Times New Roman" w:hAnsi="Times New Roman" w:cs="Times New Roman"/>
        </w:rPr>
      </w:pPr>
      <w:r w:rsidRPr="008313D9">
        <w:rPr>
          <w:rFonts w:ascii="Times New Roman" w:hAnsi="Times New Roman" w:cs="Times New Roman"/>
        </w:rPr>
        <w:t>Ismeri a 20. és a 21. század nemzetközi konfliktusainak napjaink biztonságpolitikájára gyakorolt általános hatásait, az aktuális nemzetközi konfliktusok szárazföldi és légi műveleteinek, harcának jellemzőit.</w:t>
      </w:r>
    </w:p>
    <w:p w:rsidR="008313D9" w:rsidRPr="008313D9" w:rsidRDefault="008313D9" w:rsidP="00C2057B">
      <w:pPr>
        <w:pStyle w:val="Listaszerbekezds"/>
        <w:widowControl w:val="0"/>
        <w:numPr>
          <w:ilvl w:val="0"/>
          <w:numId w:val="79"/>
        </w:numPr>
        <w:tabs>
          <w:tab w:val="center" w:pos="4536"/>
          <w:tab w:val="right" w:pos="9071"/>
        </w:tabs>
        <w:spacing w:before="120" w:after="0" w:line="240" w:lineRule="auto"/>
        <w:ind w:left="993"/>
        <w:jc w:val="both"/>
        <w:rPr>
          <w:rFonts w:ascii="Times New Roman" w:hAnsi="Times New Roman" w:cs="Times New Roman"/>
        </w:rPr>
      </w:pPr>
      <w:r w:rsidRPr="008313D9">
        <w:rPr>
          <w:rFonts w:ascii="Times New Roman" w:hAnsi="Times New Roman" w:cs="Times New Roman"/>
        </w:rPr>
        <w:t>Részleteiben ismeri a magyar biztonság- és védelempolitikai intézményrendszer felépítését, szervezeteit, szabályozását és működését, valamint olyan, Magyarország számára releváns nemzetközi biztonsági szervezetek, mint az ENSZ, a NATO, az Európai Biztonsági és Együttműködési Szervezet (a továbbiakban: EBESZ) és az Európai Unió felépítését és működését.</w:t>
      </w:r>
    </w:p>
    <w:p w:rsidR="008313D9" w:rsidRPr="008313D9" w:rsidRDefault="008313D9" w:rsidP="00C2057B">
      <w:pPr>
        <w:pStyle w:val="Listaszerbekezds"/>
        <w:widowControl w:val="0"/>
        <w:numPr>
          <w:ilvl w:val="0"/>
          <w:numId w:val="79"/>
        </w:numPr>
        <w:tabs>
          <w:tab w:val="center" w:pos="4536"/>
          <w:tab w:val="right" w:pos="9071"/>
        </w:tabs>
        <w:spacing w:before="120" w:after="0" w:line="240" w:lineRule="auto"/>
        <w:ind w:left="993"/>
        <w:jc w:val="both"/>
        <w:rPr>
          <w:rFonts w:ascii="Times New Roman" w:hAnsi="Times New Roman" w:cs="Times New Roman"/>
        </w:rPr>
      </w:pPr>
      <w:r w:rsidRPr="008313D9">
        <w:rPr>
          <w:rFonts w:ascii="Times New Roman" w:hAnsi="Times New Roman" w:cs="Times New Roman"/>
        </w:rPr>
        <w:t xml:space="preserve">Alapjaiban ismeri a Magyar Honvédség csapatainak képességeit, szervezését és nemzetközi </w:t>
      </w:r>
      <w:r w:rsidRPr="008313D9">
        <w:rPr>
          <w:rFonts w:ascii="Times New Roman" w:hAnsi="Times New Roman" w:cs="Times New Roman"/>
        </w:rPr>
        <w:lastRenderedPageBreak/>
        <w:t>szerepvállalásait.</w:t>
      </w:r>
    </w:p>
    <w:p w:rsidR="008313D9" w:rsidRPr="008313D9" w:rsidRDefault="008313D9" w:rsidP="008313D9">
      <w:pPr>
        <w:tabs>
          <w:tab w:val="right" w:pos="900"/>
          <w:tab w:val="center" w:pos="4536"/>
          <w:tab w:val="right" w:pos="9071"/>
        </w:tabs>
        <w:spacing w:before="120" w:after="0"/>
        <w:ind w:left="646"/>
        <w:jc w:val="both"/>
        <w:rPr>
          <w:rFonts w:ascii="Times New Roman" w:hAnsi="Times New Roman" w:cs="Times New Roman"/>
          <w:b/>
        </w:rPr>
      </w:pPr>
      <w:r w:rsidRPr="008313D9">
        <w:rPr>
          <w:rFonts w:ascii="Times New Roman" w:hAnsi="Times New Roman" w:cs="Times New Roman"/>
          <w:b/>
        </w:rPr>
        <w:t>Képesség:</w:t>
      </w:r>
    </w:p>
    <w:p w:rsidR="008313D9" w:rsidRPr="008313D9" w:rsidRDefault="008313D9" w:rsidP="00C2057B">
      <w:pPr>
        <w:pStyle w:val="Listaszerbekezds"/>
        <w:widowControl w:val="0"/>
        <w:numPr>
          <w:ilvl w:val="0"/>
          <w:numId w:val="79"/>
        </w:numPr>
        <w:tabs>
          <w:tab w:val="center" w:pos="4536"/>
          <w:tab w:val="right" w:pos="9071"/>
        </w:tabs>
        <w:spacing w:before="120" w:after="0" w:line="240" w:lineRule="auto"/>
        <w:ind w:left="993"/>
        <w:jc w:val="both"/>
        <w:rPr>
          <w:rFonts w:ascii="Times New Roman" w:hAnsi="Times New Roman" w:cs="Times New Roman"/>
        </w:rPr>
      </w:pPr>
      <w:r w:rsidRPr="008313D9">
        <w:rPr>
          <w:rFonts w:ascii="Times New Roman" w:hAnsi="Times New Roman" w:cs="Times New Roman"/>
        </w:rPr>
        <w:t>Képes a nemzetközi és hazai biztonságot fenyegető kihívások, veszélyek és fenyegetések elemzésére és értékelésére, a haderőt érintő jelenségek elemzésére.</w:t>
      </w:r>
    </w:p>
    <w:p w:rsidR="008313D9" w:rsidRPr="008313D9" w:rsidRDefault="008313D9" w:rsidP="00C2057B">
      <w:pPr>
        <w:pStyle w:val="Listaszerbekezds"/>
        <w:widowControl w:val="0"/>
        <w:numPr>
          <w:ilvl w:val="0"/>
          <w:numId w:val="79"/>
        </w:numPr>
        <w:tabs>
          <w:tab w:val="center" w:pos="4536"/>
          <w:tab w:val="right" w:pos="9071"/>
        </w:tabs>
        <w:spacing w:before="120" w:after="0" w:line="240" w:lineRule="auto"/>
        <w:ind w:left="993"/>
        <w:jc w:val="both"/>
        <w:rPr>
          <w:rFonts w:ascii="Times New Roman" w:hAnsi="Times New Roman" w:cs="Times New Roman"/>
        </w:rPr>
      </w:pPr>
      <w:r w:rsidRPr="008313D9">
        <w:rPr>
          <w:rFonts w:ascii="Times New Roman" w:hAnsi="Times New Roman" w:cs="Times New Roman"/>
        </w:rPr>
        <w:t>Képes a nemzetközi tagságokból, partnerkapcsolatokból, egyéb szervezeti kapcsolatokból következő honvédelmi kötelességek, feladatok, folyamatok értelmezésére, ezek beépítésére a biztonság- és védelempolitikai szervezetek döntési folyamataiba.</w:t>
      </w:r>
    </w:p>
    <w:p w:rsidR="008313D9" w:rsidRPr="008313D9" w:rsidRDefault="008313D9" w:rsidP="00C2057B">
      <w:pPr>
        <w:pStyle w:val="Listaszerbekezds"/>
        <w:widowControl w:val="0"/>
        <w:numPr>
          <w:ilvl w:val="0"/>
          <w:numId w:val="79"/>
        </w:numPr>
        <w:tabs>
          <w:tab w:val="center" w:pos="4536"/>
          <w:tab w:val="right" w:pos="9071"/>
        </w:tabs>
        <w:spacing w:before="120" w:after="0" w:line="240" w:lineRule="auto"/>
        <w:ind w:left="993"/>
        <w:jc w:val="both"/>
        <w:rPr>
          <w:rFonts w:ascii="Times New Roman" w:hAnsi="Times New Roman" w:cs="Times New Roman"/>
        </w:rPr>
      </w:pPr>
      <w:r w:rsidRPr="008313D9">
        <w:rPr>
          <w:rFonts w:ascii="Times New Roman" w:hAnsi="Times New Roman" w:cs="Times New Roman"/>
        </w:rPr>
        <w:t xml:space="preserve">Képes a biztonsággal foglalkozó harcászati tervezési, elemzési, értékelési módszerek alkalmazására, </w:t>
      </w:r>
    </w:p>
    <w:p w:rsidR="008313D9" w:rsidRPr="008313D9" w:rsidRDefault="008313D9" w:rsidP="008313D9">
      <w:pPr>
        <w:tabs>
          <w:tab w:val="right" w:pos="900"/>
          <w:tab w:val="center" w:pos="4536"/>
          <w:tab w:val="right" w:pos="9071"/>
        </w:tabs>
        <w:spacing w:before="120" w:after="0"/>
        <w:ind w:left="646"/>
        <w:jc w:val="both"/>
        <w:rPr>
          <w:rFonts w:ascii="Times New Roman" w:hAnsi="Times New Roman" w:cs="Times New Roman"/>
          <w:b/>
        </w:rPr>
      </w:pPr>
      <w:r w:rsidRPr="008313D9">
        <w:rPr>
          <w:rFonts w:ascii="Times New Roman" w:hAnsi="Times New Roman" w:cs="Times New Roman"/>
          <w:b/>
        </w:rPr>
        <w:t>Attitűd:</w:t>
      </w:r>
    </w:p>
    <w:p w:rsidR="008313D9" w:rsidRPr="008313D9" w:rsidRDefault="008313D9" w:rsidP="00C2057B">
      <w:pPr>
        <w:pStyle w:val="Listaszerbekezds"/>
        <w:widowControl w:val="0"/>
        <w:numPr>
          <w:ilvl w:val="0"/>
          <w:numId w:val="79"/>
        </w:numPr>
        <w:tabs>
          <w:tab w:val="center" w:pos="4536"/>
          <w:tab w:val="right" w:pos="9071"/>
        </w:tabs>
        <w:spacing w:before="120" w:after="0" w:line="240" w:lineRule="auto"/>
        <w:ind w:left="993"/>
        <w:jc w:val="both"/>
        <w:rPr>
          <w:rFonts w:ascii="Times New Roman" w:hAnsi="Times New Roman" w:cs="Times New Roman"/>
        </w:rPr>
      </w:pPr>
      <w:r w:rsidRPr="008313D9">
        <w:rPr>
          <w:rFonts w:ascii="Times New Roman" w:hAnsi="Times New Roman" w:cs="Times New Roman"/>
        </w:rPr>
        <w:t>Alkalmas munkakörének megfelelő egyéni munkavégzésre és csoportmunkára.</w:t>
      </w:r>
    </w:p>
    <w:p w:rsidR="008313D9" w:rsidRPr="008313D9" w:rsidRDefault="008313D9" w:rsidP="00C2057B">
      <w:pPr>
        <w:pStyle w:val="Listaszerbekezds"/>
        <w:widowControl w:val="0"/>
        <w:numPr>
          <w:ilvl w:val="0"/>
          <w:numId w:val="79"/>
        </w:numPr>
        <w:tabs>
          <w:tab w:val="center" w:pos="4536"/>
          <w:tab w:val="right" w:pos="9071"/>
        </w:tabs>
        <w:spacing w:before="120" w:after="0" w:line="240" w:lineRule="auto"/>
        <w:ind w:left="993"/>
        <w:jc w:val="both"/>
        <w:rPr>
          <w:rFonts w:ascii="Times New Roman" w:hAnsi="Times New Roman" w:cs="Times New Roman"/>
        </w:rPr>
      </w:pPr>
      <w:r w:rsidRPr="008313D9">
        <w:rPr>
          <w:rFonts w:ascii="Times New Roman" w:hAnsi="Times New Roman" w:cs="Times New Roman"/>
        </w:rPr>
        <w:t xml:space="preserve">Kritikai gondolkodásmóddal rendelkezik, mások véleményét tiszteletben tartja, álláspontját hitelesen képviseli, ugyanakkor munkáltatójához lojális. </w:t>
      </w:r>
    </w:p>
    <w:p w:rsidR="008313D9" w:rsidRPr="008313D9" w:rsidRDefault="008313D9" w:rsidP="00C2057B">
      <w:pPr>
        <w:pStyle w:val="Listaszerbekezds"/>
        <w:widowControl w:val="0"/>
        <w:numPr>
          <w:ilvl w:val="0"/>
          <w:numId w:val="79"/>
        </w:numPr>
        <w:tabs>
          <w:tab w:val="center" w:pos="4536"/>
          <w:tab w:val="right" w:pos="9071"/>
        </w:tabs>
        <w:spacing w:before="120" w:after="0" w:line="240" w:lineRule="auto"/>
        <w:ind w:left="993"/>
        <w:jc w:val="both"/>
        <w:rPr>
          <w:rFonts w:ascii="Times New Roman" w:hAnsi="Times New Roman" w:cs="Times New Roman"/>
        </w:rPr>
      </w:pPr>
      <w:r w:rsidRPr="008313D9">
        <w:rPr>
          <w:rFonts w:ascii="Times New Roman" w:hAnsi="Times New Roman" w:cs="Times New Roman"/>
        </w:rPr>
        <w:t>Elkötelezett és lojális a közszolgálat iránt, képes felelősségteljes munkavégzésére és magatartásra.</w:t>
      </w:r>
    </w:p>
    <w:p w:rsidR="008313D9" w:rsidRPr="008313D9" w:rsidRDefault="008313D9" w:rsidP="00C2057B">
      <w:pPr>
        <w:pStyle w:val="Listaszerbekezds"/>
        <w:widowControl w:val="0"/>
        <w:numPr>
          <w:ilvl w:val="0"/>
          <w:numId w:val="79"/>
        </w:numPr>
        <w:tabs>
          <w:tab w:val="center" w:pos="4536"/>
          <w:tab w:val="right" w:pos="9071"/>
        </w:tabs>
        <w:spacing w:before="120" w:after="0" w:line="240" w:lineRule="auto"/>
        <w:ind w:left="993"/>
        <w:jc w:val="both"/>
        <w:rPr>
          <w:rFonts w:ascii="Times New Roman" w:hAnsi="Times New Roman" w:cs="Times New Roman"/>
        </w:rPr>
      </w:pPr>
      <w:r w:rsidRPr="008313D9">
        <w:rPr>
          <w:rFonts w:ascii="Times New Roman" w:hAnsi="Times New Roman" w:cs="Times New Roman"/>
        </w:rPr>
        <w:t>Megosztja tudását és tapasztalatait a társaival.</w:t>
      </w:r>
    </w:p>
    <w:p w:rsidR="008313D9" w:rsidRPr="008313D9" w:rsidRDefault="008313D9" w:rsidP="008313D9">
      <w:pPr>
        <w:tabs>
          <w:tab w:val="right" w:pos="900"/>
          <w:tab w:val="center" w:pos="4536"/>
          <w:tab w:val="right" w:pos="9071"/>
        </w:tabs>
        <w:spacing w:before="120" w:after="0"/>
        <w:ind w:left="646"/>
        <w:jc w:val="both"/>
        <w:rPr>
          <w:rFonts w:ascii="Times New Roman" w:hAnsi="Times New Roman" w:cs="Times New Roman"/>
          <w:b/>
        </w:rPr>
      </w:pPr>
      <w:r w:rsidRPr="008313D9">
        <w:rPr>
          <w:rFonts w:ascii="Times New Roman" w:hAnsi="Times New Roman" w:cs="Times New Roman"/>
          <w:b/>
        </w:rPr>
        <w:t>Autonómiája és felelőssége:</w:t>
      </w:r>
    </w:p>
    <w:p w:rsidR="008313D9" w:rsidRPr="008313D9" w:rsidRDefault="008313D9" w:rsidP="00C2057B">
      <w:pPr>
        <w:pStyle w:val="Listaszerbekezds"/>
        <w:widowControl w:val="0"/>
        <w:numPr>
          <w:ilvl w:val="0"/>
          <w:numId w:val="79"/>
        </w:numPr>
        <w:tabs>
          <w:tab w:val="center" w:pos="4536"/>
          <w:tab w:val="right" w:pos="9071"/>
        </w:tabs>
        <w:spacing w:before="120" w:after="0" w:line="240" w:lineRule="auto"/>
        <w:ind w:left="993"/>
        <w:jc w:val="both"/>
        <w:rPr>
          <w:rFonts w:ascii="Times New Roman" w:hAnsi="Times New Roman" w:cs="Times New Roman"/>
        </w:rPr>
      </w:pPr>
      <w:r w:rsidRPr="008313D9">
        <w:rPr>
          <w:rFonts w:ascii="Times New Roman" w:hAnsi="Times New Roman" w:cs="Times New Roman"/>
        </w:rPr>
        <w:t>Kezdeményező és agilis az egyéni szakmai tevékenységben és a csoportmunkában egyaránt.</w:t>
      </w:r>
    </w:p>
    <w:p w:rsidR="008313D9" w:rsidRPr="008313D9" w:rsidRDefault="008313D9" w:rsidP="00C2057B">
      <w:pPr>
        <w:pStyle w:val="Listaszerbekezds"/>
        <w:widowControl w:val="0"/>
        <w:numPr>
          <w:ilvl w:val="0"/>
          <w:numId w:val="79"/>
        </w:numPr>
        <w:tabs>
          <w:tab w:val="center" w:pos="4536"/>
          <w:tab w:val="right" w:pos="9071"/>
        </w:tabs>
        <w:spacing w:before="120" w:after="0" w:line="240" w:lineRule="auto"/>
        <w:ind w:left="993"/>
        <w:jc w:val="both"/>
        <w:rPr>
          <w:rFonts w:ascii="Times New Roman" w:hAnsi="Times New Roman" w:cs="Times New Roman"/>
        </w:rPr>
      </w:pPr>
      <w:r w:rsidRPr="008313D9">
        <w:rPr>
          <w:rFonts w:ascii="Times New Roman" w:hAnsi="Times New Roman" w:cs="Times New Roman"/>
        </w:rPr>
        <w:t>Elkötelezett a közszolgálat és a honvédelem ügye iránt, képes felelősségteljes munkavégzésére és magatartásra.</w:t>
      </w:r>
    </w:p>
    <w:p w:rsidR="008313D9" w:rsidRPr="008313D9" w:rsidRDefault="008313D9" w:rsidP="00C2057B">
      <w:pPr>
        <w:pStyle w:val="Listaszerbekezds"/>
        <w:widowControl w:val="0"/>
        <w:numPr>
          <w:ilvl w:val="0"/>
          <w:numId w:val="79"/>
        </w:numPr>
        <w:tabs>
          <w:tab w:val="center" w:pos="4536"/>
          <w:tab w:val="right" w:pos="9071"/>
        </w:tabs>
        <w:spacing w:before="120" w:after="0" w:line="240" w:lineRule="auto"/>
        <w:ind w:left="993"/>
        <w:jc w:val="both"/>
        <w:rPr>
          <w:rFonts w:ascii="Times New Roman" w:hAnsi="Times New Roman" w:cs="Times New Roman"/>
        </w:rPr>
      </w:pPr>
      <w:r w:rsidRPr="008313D9">
        <w:rPr>
          <w:rFonts w:ascii="Times New Roman" w:hAnsi="Times New Roman" w:cs="Times New Roman"/>
        </w:rPr>
        <w:t>Elkötelezett Magyarország érdekei, továbbá a társadalmi szolidaritás és az esélyegyenlőség, a demokratikus értékek, a jogállamiság, az európai és a szövetségi értékközösség eszméi mellett.</w:t>
      </w:r>
    </w:p>
    <w:p w:rsidR="008313D9" w:rsidRPr="008313D9" w:rsidRDefault="008313D9" w:rsidP="00C2057B">
      <w:pPr>
        <w:pStyle w:val="Listaszerbekezds"/>
        <w:widowControl w:val="0"/>
        <w:numPr>
          <w:ilvl w:val="0"/>
          <w:numId w:val="79"/>
        </w:numPr>
        <w:tabs>
          <w:tab w:val="center" w:pos="4536"/>
          <w:tab w:val="right" w:pos="9071"/>
        </w:tabs>
        <w:spacing w:before="120" w:after="0" w:line="240" w:lineRule="auto"/>
        <w:ind w:left="993"/>
        <w:jc w:val="both"/>
        <w:rPr>
          <w:rFonts w:ascii="Times New Roman" w:hAnsi="Times New Roman" w:cs="Times New Roman"/>
        </w:rPr>
      </w:pPr>
      <w:r w:rsidRPr="008313D9">
        <w:rPr>
          <w:rFonts w:ascii="Times New Roman" w:hAnsi="Times New Roman" w:cs="Times New Roman"/>
        </w:rPr>
        <w:t>Nemzetközi szervezetben való munkavégzés esetén elkötelezett az adott szervezett céljai és érdekei mellett.</w:t>
      </w:r>
    </w:p>
    <w:p w:rsidR="008313D9" w:rsidRPr="008313D9" w:rsidRDefault="008313D9" w:rsidP="00C2057B">
      <w:pPr>
        <w:pStyle w:val="Listaszerbekezds"/>
        <w:widowControl w:val="0"/>
        <w:numPr>
          <w:ilvl w:val="0"/>
          <w:numId w:val="79"/>
        </w:numPr>
        <w:tabs>
          <w:tab w:val="center" w:pos="4536"/>
          <w:tab w:val="right" w:pos="9071"/>
        </w:tabs>
        <w:spacing w:before="120" w:after="0" w:line="240" w:lineRule="auto"/>
        <w:ind w:left="993"/>
        <w:jc w:val="both"/>
        <w:rPr>
          <w:rFonts w:ascii="Times New Roman" w:hAnsi="Times New Roman" w:cs="Times New Roman"/>
        </w:rPr>
      </w:pPr>
      <w:r w:rsidRPr="008313D9">
        <w:rPr>
          <w:rFonts w:ascii="Times New Roman" w:hAnsi="Times New Roman" w:cs="Times New Roman"/>
        </w:rPr>
        <w:t>Szervezeti struktúrában elfoglalt helyének megfelelő önállósággal, szakmai felkészültséggel és felelősséggel végzi munkáját, a hivatali utat betartja.</w:t>
      </w:r>
    </w:p>
    <w:p w:rsidR="008313D9" w:rsidRPr="008313D9" w:rsidRDefault="008313D9" w:rsidP="00C2057B">
      <w:pPr>
        <w:pStyle w:val="Listaszerbekezds"/>
        <w:widowControl w:val="0"/>
        <w:numPr>
          <w:ilvl w:val="0"/>
          <w:numId w:val="79"/>
        </w:numPr>
        <w:tabs>
          <w:tab w:val="center" w:pos="4536"/>
          <w:tab w:val="right" w:pos="9071"/>
        </w:tabs>
        <w:spacing w:before="120" w:after="0" w:line="240" w:lineRule="auto"/>
        <w:ind w:left="993"/>
        <w:jc w:val="both"/>
        <w:rPr>
          <w:rFonts w:ascii="Times New Roman" w:hAnsi="Times New Roman" w:cs="Times New Roman"/>
        </w:rPr>
      </w:pPr>
      <w:r w:rsidRPr="008313D9">
        <w:rPr>
          <w:rFonts w:ascii="Times New Roman" w:hAnsi="Times New Roman" w:cs="Times New Roman"/>
        </w:rPr>
        <w:t>Vezetői vagy koordinációs hatáskör esetén képes szervezni a hozzá tartozó munkatársak tevékenységét.</w:t>
      </w:r>
    </w:p>
    <w:p w:rsidR="008313D9" w:rsidRPr="008313D9" w:rsidRDefault="008313D9" w:rsidP="008313D9">
      <w:pPr>
        <w:spacing w:before="120"/>
        <w:ind w:left="641"/>
        <w:jc w:val="both"/>
        <w:rPr>
          <w:rFonts w:ascii="Times New Roman" w:hAnsi="Times New Roman" w:cs="Times New Roman"/>
        </w:rPr>
      </w:pPr>
      <w:r w:rsidRPr="008313D9">
        <w:rPr>
          <w:rFonts w:ascii="Times New Roman" w:hAnsi="Times New Roman" w:cs="Times New Roman"/>
          <w:b/>
        </w:rPr>
        <w:t>Elérendő kompetenciák (angolul):</w:t>
      </w:r>
    </w:p>
    <w:p w:rsidR="008313D9" w:rsidRPr="008313D9" w:rsidRDefault="008313D9" w:rsidP="008313D9">
      <w:pPr>
        <w:tabs>
          <w:tab w:val="right" w:pos="900"/>
          <w:tab w:val="center" w:pos="4536"/>
          <w:tab w:val="right" w:pos="9071"/>
        </w:tabs>
        <w:spacing w:before="120" w:after="0"/>
        <w:ind w:left="646"/>
        <w:jc w:val="both"/>
        <w:rPr>
          <w:rFonts w:ascii="Times New Roman" w:hAnsi="Times New Roman" w:cs="Times New Roman"/>
          <w:b/>
        </w:rPr>
      </w:pPr>
      <w:r w:rsidRPr="008313D9">
        <w:rPr>
          <w:rFonts w:ascii="Times New Roman" w:hAnsi="Times New Roman" w:cs="Times New Roman"/>
          <w:b/>
        </w:rPr>
        <w:t>Knowledge:</w:t>
      </w:r>
    </w:p>
    <w:p w:rsidR="008313D9" w:rsidRPr="008313D9" w:rsidRDefault="008313D9" w:rsidP="00C2057B">
      <w:pPr>
        <w:pStyle w:val="Listaszerbekezds"/>
        <w:widowControl w:val="0"/>
        <w:numPr>
          <w:ilvl w:val="0"/>
          <w:numId w:val="79"/>
        </w:numPr>
        <w:tabs>
          <w:tab w:val="center" w:pos="4536"/>
          <w:tab w:val="right" w:pos="9071"/>
        </w:tabs>
        <w:spacing w:before="120" w:after="0" w:line="240" w:lineRule="auto"/>
        <w:ind w:left="993"/>
        <w:jc w:val="both"/>
        <w:rPr>
          <w:rFonts w:ascii="Times New Roman" w:hAnsi="Times New Roman" w:cs="Times New Roman"/>
        </w:rPr>
      </w:pPr>
      <w:r w:rsidRPr="008313D9">
        <w:rPr>
          <w:rFonts w:ascii="Times New Roman" w:hAnsi="Times New Roman" w:cs="Times New Roman"/>
        </w:rPr>
        <w:t>Is familiar with Hungary's priorities in foreign affairs, trade and national policy and their development; the geopolitical characteristics of the scope of Hungarian foreign policy; international legislation and legislation of the European union; realities and prospects of international and European union economies; priorities and atmosphere of Hungary's defence policy, and the correlations of the above.</w:t>
      </w:r>
    </w:p>
    <w:p w:rsidR="008313D9" w:rsidRPr="008313D9" w:rsidRDefault="008313D9" w:rsidP="00C2057B">
      <w:pPr>
        <w:pStyle w:val="Listaszerbekezds"/>
        <w:widowControl w:val="0"/>
        <w:numPr>
          <w:ilvl w:val="0"/>
          <w:numId w:val="79"/>
        </w:numPr>
        <w:tabs>
          <w:tab w:val="center" w:pos="4536"/>
          <w:tab w:val="right" w:pos="9071"/>
        </w:tabs>
        <w:spacing w:before="120" w:after="0" w:line="240" w:lineRule="auto"/>
        <w:ind w:left="993"/>
        <w:jc w:val="both"/>
        <w:rPr>
          <w:rFonts w:ascii="Times New Roman" w:hAnsi="Times New Roman" w:cs="Times New Roman"/>
        </w:rPr>
      </w:pPr>
      <w:r w:rsidRPr="008313D9">
        <w:rPr>
          <w:rFonts w:ascii="Times New Roman" w:hAnsi="Times New Roman" w:cs="Times New Roman"/>
        </w:rPr>
        <w:t>Is familiar with the emphasis of the 20th and 21st century’s armed conflicts on nowadays international relations. Is familiar with the characteristics of the ongoing ground forces combat.</w:t>
      </w:r>
    </w:p>
    <w:p w:rsidR="008313D9" w:rsidRPr="008313D9" w:rsidRDefault="008313D9" w:rsidP="00C2057B">
      <w:pPr>
        <w:pStyle w:val="Listaszerbekezds"/>
        <w:widowControl w:val="0"/>
        <w:numPr>
          <w:ilvl w:val="0"/>
          <w:numId w:val="79"/>
        </w:numPr>
        <w:tabs>
          <w:tab w:val="center" w:pos="4536"/>
          <w:tab w:val="right" w:pos="9071"/>
        </w:tabs>
        <w:spacing w:before="120" w:after="0" w:line="240" w:lineRule="auto"/>
        <w:ind w:left="993"/>
        <w:jc w:val="both"/>
        <w:rPr>
          <w:rFonts w:ascii="Times New Roman" w:hAnsi="Times New Roman" w:cs="Times New Roman"/>
        </w:rPr>
      </w:pPr>
      <w:r w:rsidRPr="008313D9">
        <w:rPr>
          <w:rFonts w:ascii="Times New Roman" w:hAnsi="Times New Roman" w:cs="Times New Roman"/>
        </w:rPr>
        <w:t>Fully understands the structure of the Hungarian security and defense policy system and the EU and NATO security and defense policy processes.</w:t>
      </w:r>
    </w:p>
    <w:p w:rsidR="008313D9" w:rsidRPr="008313D9" w:rsidRDefault="008313D9" w:rsidP="008313D9">
      <w:pPr>
        <w:tabs>
          <w:tab w:val="right" w:pos="900"/>
          <w:tab w:val="center" w:pos="4536"/>
          <w:tab w:val="right" w:pos="9071"/>
        </w:tabs>
        <w:spacing w:before="120" w:after="0"/>
        <w:ind w:left="646"/>
        <w:jc w:val="both"/>
        <w:rPr>
          <w:rFonts w:ascii="Times New Roman" w:hAnsi="Times New Roman" w:cs="Times New Roman"/>
          <w:b/>
        </w:rPr>
      </w:pPr>
      <w:r w:rsidRPr="008313D9">
        <w:rPr>
          <w:rFonts w:ascii="Times New Roman" w:hAnsi="Times New Roman" w:cs="Times New Roman"/>
          <w:b/>
        </w:rPr>
        <w:t>Capabilities:</w:t>
      </w:r>
    </w:p>
    <w:p w:rsidR="008313D9" w:rsidRPr="008313D9" w:rsidRDefault="008313D9" w:rsidP="00C2057B">
      <w:pPr>
        <w:pStyle w:val="Listaszerbekezds"/>
        <w:widowControl w:val="0"/>
        <w:numPr>
          <w:ilvl w:val="0"/>
          <w:numId w:val="79"/>
        </w:numPr>
        <w:tabs>
          <w:tab w:val="center" w:pos="4536"/>
          <w:tab w:val="right" w:pos="9071"/>
        </w:tabs>
        <w:spacing w:before="120" w:after="0" w:line="240" w:lineRule="auto"/>
        <w:ind w:left="993"/>
        <w:jc w:val="both"/>
        <w:rPr>
          <w:rFonts w:ascii="Times New Roman" w:hAnsi="Times New Roman" w:cs="Times New Roman"/>
        </w:rPr>
      </w:pPr>
      <w:r w:rsidRPr="008313D9">
        <w:rPr>
          <w:rFonts w:ascii="Times New Roman" w:hAnsi="Times New Roman" w:cs="Times New Roman"/>
        </w:rPr>
        <w:t>Analysing and assessing challenges, risks and threats threatening the international and home security.</w:t>
      </w:r>
    </w:p>
    <w:p w:rsidR="008313D9" w:rsidRPr="008313D9" w:rsidRDefault="008313D9" w:rsidP="00C2057B">
      <w:pPr>
        <w:pStyle w:val="Listaszerbekezds"/>
        <w:widowControl w:val="0"/>
        <w:numPr>
          <w:ilvl w:val="0"/>
          <w:numId w:val="79"/>
        </w:numPr>
        <w:tabs>
          <w:tab w:val="center" w:pos="4536"/>
          <w:tab w:val="right" w:pos="9071"/>
        </w:tabs>
        <w:spacing w:before="120" w:after="0" w:line="240" w:lineRule="auto"/>
        <w:ind w:left="993"/>
        <w:jc w:val="both"/>
        <w:rPr>
          <w:rFonts w:ascii="Times New Roman" w:hAnsi="Times New Roman" w:cs="Times New Roman"/>
        </w:rPr>
      </w:pPr>
      <w:r w:rsidRPr="008313D9">
        <w:rPr>
          <w:rFonts w:ascii="Times New Roman" w:hAnsi="Times New Roman" w:cs="Times New Roman"/>
        </w:rPr>
        <w:t xml:space="preserve">Interpreting defence duties, tasks and processes following from international memberships, partnerships or other relationships, and incorporating them in the decision-making processes of security- and defence policy organs. </w:t>
      </w:r>
    </w:p>
    <w:p w:rsidR="008313D9" w:rsidRPr="008313D9" w:rsidRDefault="008313D9" w:rsidP="00C2057B">
      <w:pPr>
        <w:pStyle w:val="Listaszerbekezds"/>
        <w:widowControl w:val="0"/>
        <w:numPr>
          <w:ilvl w:val="0"/>
          <w:numId w:val="79"/>
        </w:numPr>
        <w:tabs>
          <w:tab w:val="center" w:pos="4536"/>
          <w:tab w:val="right" w:pos="9071"/>
        </w:tabs>
        <w:spacing w:before="120" w:after="0" w:line="240" w:lineRule="auto"/>
        <w:ind w:left="993"/>
        <w:jc w:val="both"/>
        <w:rPr>
          <w:rFonts w:ascii="Times New Roman" w:hAnsi="Times New Roman" w:cs="Times New Roman"/>
        </w:rPr>
      </w:pPr>
      <w:r w:rsidRPr="008313D9">
        <w:rPr>
          <w:rFonts w:ascii="Times New Roman" w:hAnsi="Times New Roman" w:cs="Times New Roman"/>
        </w:rPr>
        <w:t xml:space="preserve">Applying tactical planning, analytical and assessment methods used for security, </w:t>
      </w:r>
    </w:p>
    <w:p w:rsidR="008313D9" w:rsidRPr="008313D9" w:rsidRDefault="008313D9" w:rsidP="008313D9">
      <w:pPr>
        <w:tabs>
          <w:tab w:val="right" w:pos="900"/>
          <w:tab w:val="center" w:pos="4536"/>
          <w:tab w:val="right" w:pos="9071"/>
        </w:tabs>
        <w:spacing w:before="120" w:after="0"/>
        <w:ind w:left="646"/>
        <w:jc w:val="both"/>
        <w:rPr>
          <w:rFonts w:ascii="Times New Roman" w:hAnsi="Times New Roman" w:cs="Times New Roman"/>
          <w:b/>
        </w:rPr>
      </w:pPr>
      <w:r w:rsidRPr="008313D9">
        <w:rPr>
          <w:rFonts w:ascii="Times New Roman" w:hAnsi="Times New Roman" w:cs="Times New Roman"/>
          <w:b/>
        </w:rPr>
        <w:lastRenderedPageBreak/>
        <w:t>Attitudes:</w:t>
      </w:r>
    </w:p>
    <w:p w:rsidR="008313D9" w:rsidRPr="008313D9" w:rsidRDefault="008313D9" w:rsidP="00C2057B">
      <w:pPr>
        <w:pStyle w:val="Listaszerbekezds"/>
        <w:widowControl w:val="0"/>
        <w:numPr>
          <w:ilvl w:val="0"/>
          <w:numId w:val="79"/>
        </w:numPr>
        <w:tabs>
          <w:tab w:val="center" w:pos="4536"/>
          <w:tab w:val="right" w:pos="9071"/>
        </w:tabs>
        <w:spacing w:before="120" w:after="0" w:line="240" w:lineRule="auto"/>
        <w:ind w:left="993"/>
        <w:jc w:val="both"/>
        <w:rPr>
          <w:rFonts w:ascii="Times New Roman" w:hAnsi="Times New Roman" w:cs="Times New Roman"/>
        </w:rPr>
      </w:pPr>
      <w:r w:rsidRPr="008313D9">
        <w:rPr>
          <w:rFonts w:ascii="Times New Roman" w:hAnsi="Times New Roman" w:cs="Times New Roman"/>
        </w:rPr>
        <w:t>Commitment to public service and home defence, capability of responsible work and behaviour.</w:t>
      </w:r>
    </w:p>
    <w:p w:rsidR="008313D9" w:rsidRPr="008313D9" w:rsidRDefault="008313D9" w:rsidP="00C2057B">
      <w:pPr>
        <w:pStyle w:val="Listaszerbekezds"/>
        <w:widowControl w:val="0"/>
        <w:numPr>
          <w:ilvl w:val="0"/>
          <w:numId w:val="79"/>
        </w:numPr>
        <w:tabs>
          <w:tab w:val="center" w:pos="4536"/>
          <w:tab w:val="right" w:pos="9071"/>
        </w:tabs>
        <w:spacing w:before="120" w:after="0" w:line="240" w:lineRule="auto"/>
        <w:ind w:left="993"/>
        <w:jc w:val="both"/>
        <w:rPr>
          <w:rFonts w:ascii="Times New Roman" w:hAnsi="Times New Roman" w:cs="Times New Roman"/>
        </w:rPr>
      </w:pPr>
      <w:r w:rsidRPr="008313D9">
        <w:rPr>
          <w:rFonts w:ascii="Times New Roman" w:hAnsi="Times New Roman" w:cs="Times New Roman"/>
        </w:rPr>
        <w:t xml:space="preserve">A commitment to the interests of Hungary, social solidarity and equal opportunity, democratic values, the rule of law, the common ideals of Europe and the allies. </w:t>
      </w:r>
    </w:p>
    <w:p w:rsidR="008313D9" w:rsidRPr="008313D9" w:rsidRDefault="008313D9" w:rsidP="00C2057B">
      <w:pPr>
        <w:pStyle w:val="Listaszerbekezds"/>
        <w:widowControl w:val="0"/>
        <w:numPr>
          <w:ilvl w:val="0"/>
          <w:numId w:val="79"/>
        </w:numPr>
        <w:tabs>
          <w:tab w:val="center" w:pos="4536"/>
          <w:tab w:val="right" w:pos="9071"/>
        </w:tabs>
        <w:spacing w:before="120" w:after="0" w:line="240" w:lineRule="auto"/>
        <w:ind w:left="993"/>
        <w:jc w:val="both"/>
        <w:rPr>
          <w:rFonts w:ascii="Times New Roman" w:hAnsi="Times New Roman" w:cs="Times New Roman"/>
        </w:rPr>
      </w:pPr>
      <w:r w:rsidRPr="008313D9">
        <w:rPr>
          <w:rFonts w:ascii="Times New Roman" w:hAnsi="Times New Roman" w:cs="Times New Roman"/>
        </w:rPr>
        <w:t>A commitment to the objectives and interests of the international organization, if employed by any.</w:t>
      </w:r>
    </w:p>
    <w:p w:rsidR="008313D9" w:rsidRPr="008313D9" w:rsidRDefault="008313D9" w:rsidP="00C2057B">
      <w:pPr>
        <w:pStyle w:val="Listaszerbekezds"/>
        <w:widowControl w:val="0"/>
        <w:numPr>
          <w:ilvl w:val="0"/>
          <w:numId w:val="79"/>
        </w:numPr>
        <w:tabs>
          <w:tab w:val="center" w:pos="4536"/>
          <w:tab w:val="right" w:pos="9071"/>
        </w:tabs>
        <w:spacing w:before="120" w:after="0" w:line="240" w:lineRule="auto"/>
        <w:ind w:left="993"/>
        <w:jc w:val="both"/>
        <w:rPr>
          <w:rFonts w:ascii="Times New Roman" w:hAnsi="Times New Roman" w:cs="Times New Roman"/>
        </w:rPr>
      </w:pPr>
      <w:r w:rsidRPr="008313D9">
        <w:rPr>
          <w:rFonts w:ascii="Times New Roman" w:hAnsi="Times New Roman" w:cs="Times New Roman"/>
        </w:rPr>
        <w:t>Openness and being receptive to customers' problems.</w:t>
      </w:r>
    </w:p>
    <w:p w:rsidR="008313D9" w:rsidRPr="008313D9" w:rsidRDefault="008313D9" w:rsidP="00C2057B">
      <w:pPr>
        <w:pStyle w:val="Listaszerbekezds"/>
        <w:widowControl w:val="0"/>
        <w:numPr>
          <w:ilvl w:val="0"/>
          <w:numId w:val="79"/>
        </w:numPr>
        <w:tabs>
          <w:tab w:val="center" w:pos="4536"/>
          <w:tab w:val="right" w:pos="9071"/>
        </w:tabs>
        <w:spacing w:before="120" w:after="0" w:line="240" w:lineRule="auto"/>
        <w:ind w:left="993"/>
        <w:jc w:val="both"/>
        <w:rPr>
          <w:rFonts w:ascii="Times New Roman" w:hAnsi="Times New Roman" w:cs="Times New Roman"/>
        </w:rPr>
      </w:pPr>
      <w:r w:rsidRPr="008313D9">
        <w:rPr>
          <w:rFonts w:ascii="Times New Roman" w:hAnsi="Times New Roman" w:cs="Times New Roman"/>
        </w:rPr>
        <w:t>Students share their knowledge and experiences with their mates.</w:t>
      </w:r>
    </w:p>
    <w:p w:rsidR="008313D9" w:rsidRPr="008313D9" w:rsidRDefault="008313D9" w:rsidP="008313D9">
      <w:pPr>
        <w:tabs>
          <w:tab w:val="right" w:pos="900"/>
          <w:tab w:val="center" w:pos="4536"/>
          <w:tab w:val="right" w:pos="9071"/>
        </w:tabs>
        <w:spacing w:before="120" w:after="0"/>
        <w:ind w:left="646"/>
        <w:jc w:val="both"/>
        <w:rPr>
          <w:rFonts w:ascii="Times New Roman" w:hAnsi="Times New Roman" w:cs="Times New Roman"/>
          <w:b/>
        </w:rPr>
      </w:pPr>
      <w:r w:rsidRPr="008313D9">
        <w:rPr>
          <w:rFonts w:ascii="Times New Roman" w:hAnsi="Times New Roman" w:cs="Times New Roman"/>
          <w:b/>
        </w:rPr>
        <w:t>Autonomy and responsibility:</w:t>
      </w:r>
    </w:p>
    <w:p w:rsidR="008313D9" w:rsidRPr="008313D9" w:rsidRDefault="008313D9" w:rsidP="00C2057B">
      <w:pPr>
        <w:pStyle w:val="Listaszerbekezds"/>
        <w:widowControl w:val="0"/>
        <w:numPr>
          <w:ilvl w:val="0"/>
          <w:numId w:val="79"/>
        </w:numPr>
        <w:tabs>
          <w:tab w:val="center" w:pos="4536"/>
          <w:tab w:val="right" w:pos="9071"/>
        </w:tabs>
        <w:spacing w:before="120" w:after="0" w:line="240" w:lineRule="auto"/>
        <w:ind w:left="993"/>
        <w:jc w:val="both"/>
        <w:rPr>
          <w:rFonts w:ascii="Times New Roman" w:hAnsi="Times New Roman" w:cs="Times New Roman"/>
        </w:rPr>
      </w:pPr>
      <w:r w:rsidRPr="008313D9">
        <w:rPr>
          <w:rFonts w:ascii="Times New Roman" w:hAnsi="Times New Roman" w:cs="Times New Roman"/>
        </w:rPr>
        <w:t>Proactive and agile in both individual and group projects.</w:t>
      </w:r>
    </w:p>
    <w:p w:rsidR="008313D9" w:rsidRPr="008313D9" w:rsidRDefault="008313D9" w:rsidP="00C2057B">
      <w:pPr>
        <w:pStyle w:val="Listaszerbekezds"/>
        <w:widowControl w:val="0"/>
        <w:numPr>
          <w:ilvl w:val="0"/>
          <w:numId w:val="79"/>
        </w:numPr>
        <w:tabs>
          <w:tab w:val="center" w:pos="4536"/>
          <w:tab w:val="right" w:pos="9071"/>
        </w:tabs>
        <w:spacing w:before="120" w:after="0" w:line="240" w:lineRule="auto"/>
        <w:ind w:left="993"/>
        <w:jc w:val="both"/>
        <w:rPr>
          <w:rFonts w:ascii="Times New Roman" w:hAnsi="Times New Roman" w:cs="Times New Roman"/>
        </w:rPr>
      </w:pPr>
      <w:r w:rsidRPr="008313D9">
        <w:rPr>
          <w:rFonts w:ascii="Times New Roman" w:hAnsi="Times New Roman" w:cs="Times New Roman"/>
        </w:rPr>
        <w:t>Contributed to the cause of home defense, to the public service and able to act and behave responsibly.</w:t>
      </w:r>
    </w:p>
    <w:p w:rsidR="008313D9" w:rsidRPr="008313D9" w:rsidRDefault="008313D9" w:rsidP="00C2057B">
      <w:pPr>
        <w:pStyle w:val="Listaszerbekezds"/>
        <w:widowControl w:val="0"/>
        <w:numPr>
          <w:ilvl w:val="0"/>
          <w:numId w:val="79"/>
        </w:numPr>
        <w:tabs>
          <w:tab w:val="center" w:pos="4536"/>
          <w:tab w:val="right" w:pos="9071"/>
        </w:tabs>
        <w:spacing w:before="120" w:after="0" w:line="240" w:lineRule="auto"/>
        <w:ind w:left="993"/>
        <w:jc w:val="both"/>
        <w:rPr>
          <w:rFonts w:ascii="Times New Roman" w:hAnsi="Times New Roman" w:cs="Times New Roman"/>
        </w:rPr>
      </w:pPr>
      <w:r w:rsidRPr="008313D9">
        <w:rPr>
          <w:rFonts w:ascii="Times New Roman" w:hAnsi="Times New Roman" w:cs="Times New Roman"/>
        </w:rPr>
        <w:t>Contributed to the core values of Hungary and to the human rights, solidarity, equal opportunities, democratic values.</w:t>
      </w:r>
    </w:p>
    <w:p w:rsidR="008313D9" w:rsidRPr="008313D9" w:rsidRDefault="008313D9" w:rsidP="00C2057B">
      <w:pPr>
        <w:pStyle w:val="Listaszerbekezds"/>
        <w:widowControl w:val="0"/>
        <w:numPr>
          <w:ilvl w:val="0"/>
          <w:numId w:val="79"/>
        </w:numPr>
        <w:tabs>
          <w:tab w:val="center" w:pos="4536"/>
          <w:tab w:val="right" w:pos="9071"/>
        </w:tabs>
        <w:spacing w:before="120" w:after="0" w:line="240" w:lineRule="auto"/>
        <w:ind w:left="993"/>
        <w:jc w:val="both"/>
        <w:rPr>
          <w:rFonts w:ascii="Times New Roman" w:hAnsi="Times New Roman" w:cs="Times New Roman"/>
        </w:rPr>
      </w:pPr>
      <w:r w:rsidRPr="008313D9">
        <w:rPr>
          <w:rFonts w:ascii="Times New Roman" w:hAnsi="Times New Roman" w:cs="Times New Roman"/>
        </w:rPr>
        <w:t>In case of working for on international organization, he/she contributed to the organization’s values.</w:t>
      </w:r>
    </w:p>
    <w:p w:rsidR="008313D9" w:rsidRPr="008313D9" w:rsidRDefault="008313D9" w:rsidP="00C2057B">
      <w:pPr>
        <w:pStyle w:val="Listaszerbekezds"/>
        <w:widowControl w:val="0"/>
        <w:numPr>
          <w:ilvl w:val="0"/>
          <w:numId w:val="79"/>
        </w:numPr>
        <w:tabs>
          <w:tab w:val="center" w:pos="4536"/>
          <w:tab w:val="right" w:pos="9071"/>
        </w:tabs>
        <w:spacing w:before="120" w:after="0" w:line="240" w:lineRule="auto"/>
        <w:ind w:left="993"/>
        <w:jc w:val="both"/>
        <w:rPr>
          <w:rFonts w:ascii="Times New Roman" w:hAnsi="Times New Roman" w:cs="Times New Roman"/>
        </w:rPr>
      </w:pPr>
      <w:r w:rsidRPr="008313D9">
        <w:rPr>
          <w:rFonts w:ascii="Times New Roman" w:hAnsi="Times New Roman" w:cs="Times New Roman"/>
        </w:rPr>
        <w:t>Has the authority and self-sufficiency to work in his/her organization’s structure.</w:t>
      </w:r>
    </w:p>
    <w:p w:rsidR="008313D9" w:rsidRPr="008313D9" w:rsidRDefault="008313D9" w:rsidP="00C2057B">
      <w:pPr>
        <w:pStyle w:val="Listaszerbekezds"/>
        <w:widowControl w:val="0"/>
        <w:numPr>
          <w:ilvl w:val="0"/>
          <w:numId w:val="79"/>
        </w:numPr>
        <w:tabs>
          <w:tab w:val="center" w:pos="4536"/>
          <w:tab w:val="right" w:pos="9071"/>
        </w:tabs>
        <w:spacing w:before="120" w:after="0" w:line="240" w:lineRule="auto"/>
        <w:ind w:left="993"/>
        <w:jc w:val="both"/>
        <w:rPr>
          <w:rFonts w:ascii="Times New Roman" w:hAnsi="Times New Roman" w:cs="Times New Roman"/>
        </w:rPr>
      </w:pPr>
      <w:r w:rsidRPr="008313D9">
        <w:rPr>
          <w:rFonts w:ascii="Times New Roman" w:hAnsi="Times New Roman" w:cs="Times New Roman"/>
        </w:rPr>
        <w:t>In leader rule has the capability to lead and control the subordinates’ work.</w:t>
      </w:r>
    </w:p>
    <w:p w:rsidR="008313D9" w:rsidRPr="008313D9" w:rsidRDefault="008313D9" w:rsidP="00C2057B">
      <w:pPr>
        <w:widowControl w:val="0"/>
        <w:numPr>
          <w:ilvl w:val="0"/>
          <w:numId w:val="80"/>
        </w:numPr>
        <w:tabs>
          <w:tab w:val="right" w:pos="900"/>
          <w:tab w:val="center" w:pos="4536"/>
          <w:tab w:val="right" w:pos="9071"/>
        </w:tabs>
        <w:spacing w:before="120" w:after="0" w:line="240" w:lineRule="auto"/>
        <w:ind w:hanging="360"/>
        <w:jc w:val="both"/>
        <w:rPr>
          <w:rFonts w:ascii="Times New Roman" w:hAnsi="Times New Roman" w:cs="Times New Roman"/>
        </w:rPr>
      </w:pPr>
      <w:r w:rsidRPr="008313D9">
        <w:rPr>
          <w:rFonts w:ascii="Times New Roman" w:hAnsi="Times New Roman" w:cs="Times New Roman"/>
          <w:b/>
        </w:rPr>
        <w:t>Előtanulmányi kötelezettségek:</w:t>
      </w:r>
      <w:r w:rsidRPr="008313D9">
        <w:rPr>
          <w:rFonts w:ascii="Times New Roman" w:hAnsi="Times New Roman" w:cs="Times New Roman"/>
        </w:rPr>
        <w:t xml:space="preserve"> nincsenek</w:t>
      </w:r>
    </w:p>
    <w:p w:rsidR="008313D9" w:rsidRPr="008313D9" w:rsidRDefault="008313D9" w:rsidP="00C2057B">
      <w:pPr>
        <w:widowControl w:val="0"/>
        <w:numPr>
          <w:ilvl w:val="0"/>
          <w:numId w:val="80"/>
        </w:numPr>
        <w:spacing w:before="120" w:after="0" w:line="240" w:lineRule="auto"/>
        <w:ind w:left="641" w:hanging="357"/>
        <w:jc w:val="both"/>
        <w:rPr>
          <w:rFonts w:ascii="Times New Roman" w:hAnsi="Times New Roman" w:cs="Times New Roman"/>
          <w:b/>
        </w:rPr>
      </w:pPr>
      <w:r w:rsidRPr="008313D9">
        <w:rPr>
          <w:rFonts w:ascii="Times New Roman" w:hAnsi="Times New Roman" w:cs="Times New Roman"/>
          <w:b/>
        </w:rPr>
        <w:t>A tantárgy tematikája:</w:t>
      </w:r>
    </w:p>
    <w:p w:rsidR="008313D9" w:rsidRPr="008313D9" w:rsidRDefault="008313D9" w:rsidP="00C2057B">
      <w:pPr>
        <w:pStyle w:val="Listaszerbekezds"/>
        <w:numPr>
          <w:ilvl w:val="1"/>
          <w:numId w:val="80"/>
        </w:numPr>
        <w:spacing w:after="0" w:line="240" w:lineRule="auto"/>
        <w:ind w:left="1276" w:hanging="709"/>
        <w:jc w:val="both"/>
        <w:rPr>
          <w:rFonts w:ascii="Times New Roman" w:hAnsi="Times New Roman" w:cs="Times New Roman"/>
          <w:b/>
          <w:i/>
          <w:lang w:val="en-US"/>
        </w:rPr>
      </w:pPr>
      <w:r w:rsidRPr="008313D9">
        <w:rPr>
          <w:rFonts w:ascii="Times New Roman" w:hAnsi="Times New Roman" w:cs="Times New Roman"/>
        </w:rPr>
        <w:t xml:space="preserve">A harcászat fogalma, helye, szerepe a hadművészetben. </w:t>
      </w:r>
      <w:r w:rsidRPr="008313D9">
        <w:rPr>
          <w:rFonts w:ascii="Times New Roman" w:hAnsi="Times New Roman" w:cs="Times New Roman"/>
          <w:i/>
          <w:lang w:val="en-US"/>
        </w:rPr>
        <w:t>(The definition of Tactics, its place and role in the operational art of war)</w:t>
      </w:r>
    </w:p>
    <w:p w:rsidR="008313D9" w:rsidRPr="008313D9" w:rsidRDefault="008313D9" w:rsidP="00C2057B">
      <w:pPr>
        <w:pStyle w:val="Listaszerbekezds"/>
        <w:numPr>
          <w:ilvl w:val="1"/>
          <w:numId w:val="80"/>
        </w:numPr>
        <w:spacing w:after="0" w:line="240" w:lineRule="auto"/>
        <w:ind w:left="1276" w:hanging="709"/>
        <w:jc w:val="both"/>
        <w:rPr>
          <w:rFonts w:ascii="Times New Roman" w:hAnsi="Times New Roman" w:cs="Times New Roman"/>
          <w:b/>
          <w:i/>
          <w:lang w:val="en-US"/>
        </w:rPr>
      </w:pPr>
      <w:r w:rsidRPr="008313D9">
        <w:rPr>
          <w:rFonts w:ascii="Times New Roman" w:hAnsi="Times New Roman" w:cs="Times New Roman"/>
        </w:rPr>
        <w:t xml:space="preserve">A szárazföldi (összfegyvernemi) harcászat helye, szerepe az összhaderőnemi műveletek rendszerében. </w:t>
      </w:r>
      <w:r w:rsidRPr="008313D9">
        <w:rPr>
          <w:rFonts w:ascii="Times New Roman" w:hAnsi="Times New Roman" w:cs="Times New Roman"/>
          <w:i/>
          <w:lang w:val="en-US"/>
        </w:rPr>
        <w:t>(The role of the ground (combined arms) tactics in the system of joint operations).</w:t>
      </w:r>
    </w:p>
    <w:p w:rsidR="008313D9" w:rsidRPr="008313D9" w:rsidRDefault="008313D9" w:rsidP="00C2057B">
      <w:pPr>
        <w:pStyle w:val="Listaszerbekezds"/>
        <w:numPr>
          <w:ilvl w:val="1"/>
          <w:numId w:val="80"/>
        </w:numPr>
        <w:spacing w:after="0" w:line="240" w:lineRule="auto"/>
        <w:ind w:left="1276" w:hanging="709"/>
        <w:jc w:val="both"/>
        <w:rPr>
          <w:rFonts w:ascii="Times New Roman" w:hAnsi="Times New Roman" w:cs="Times New Roman"/>
          <w:b/>
          <w:i/>
          <w:lang w:val="en-US"/>
        </w:rPr>
      </w:pPr>
      <w:r w:rsidRPr="008313D9">
        <w:rPr>
          <w:rFonts w:ascii="Times New Roman" w:hAnsi="Times New Roman" w:cs="Times New Roman"/>
        </w:rPr>
        <w:t xml:space="preserve">A szárazföldi (összfegyvernemi) harc alapjai, a csapatok tevékenységének osztályozása, a harc elvei </w:t>
      </w:r>
      <w:r w:rsidRPr="008313D9">
        <w:rPr>
          <w:rFonts w:ascii="Times New Roman" w:hAnsi="Times New Roman" w:cs="Times New Roman"/>
          <w:i/>
          <w:lang w:val="en-US"/>
        </w:rPr>
        <w:t>(Fundamentals of ground (combined arms) combat, categorizing of the troops’ activities, fundamentals of combat).</w:t>
      </w:r>
    </w:p>
    <w:p w:rsidR="008313D9" w:rsidRPr="008313D9" w:rsidRDefault="008313D9" w:rsidP="00C2057B">
      <w:pPr>
        <w:pStyle w:val="Listaszerbekezds"/>
        <w:numPr>
          <w:ilvl w:val="1"/>
          <w:numId w:val="80"/>
        </w:numPr>
        <w:spacing w:after="0" w:line="240" w:lineRule="auto"/>
        <w:ind w:left="1276" w:hanging="709"/>
        <w:jc w:val="both"/>
        <w:rPr>
          <w:rFonts w:ascii="Times New Roman" w:hAnsi="Times New Roman" w:cs="Times New Roman"/>
          <w:b/>
          <w:i/>
          <w:lang w:val="en-US"/>
        </w:rPr>
      </w:pPr>
      <w:r w:rsidRPr="008313D9">
        <w:rPr>
          <w:rFonts w:ascii="Times New Roman" w:hAnsi="Times New Roman" w:cs="Times New Roman"/>
        </w:rPr>
        <w:t>Harc</w:t>
      </w:r>
      <w:r w:rsidRPr="008313D9">
        <w:rPr>
          <w:rFonts w:ascii="Times New Roman" w:hAnsi="Times New Roman" w:cs="Times New Roman"/>
          <w:bCs/>
        </w:rPr>
        <w:t>ászati szint</w:t>
      </w:r>
      <w:r w:rsidRPr="008313D9">
        <w:rPr>
          <w:rFonts w:ascii="Times New Roman" w:hAnsi="Times New Roman" w:cs="Times New Roman"/>
        </w:rPr>
        <w:t>ű</w:t>
      </w:r>
      <w:r w:rsidRPr="008313D9">
        <w:rPr>
          <w:rFonts w:ascii="Times New Roman" w:hAnsi="Times New Roman" w:cs="Times New Roman"/>
          <w:bCs/>
        </w:rPr>
        <w:t xml:space="preserve"> vezet</w:t>
      </w:r>
      <w:r w:rsidRPr="008313D9">
        <w:rPr>
          <w:rFonts w:ascii="Times New Roman" w:hAnsi="Times New Roman" w:cs="Times New Roman"/>
        </w:rPr>
        <w:t>é</w:t>
      </w:r>
      <w:r w:rsidRPr="008313D9">
        <w:rPr>
          <w:rFonts w:ascii="Times New Roman" w:hAnsi="Times New Roman" w:cs="Times New Roman"/>
          <w:bCs/>
        </w:rPr>
        <w:t>s: a csapatvezet</w:t>
      </w:r>
      <w:r w:rsidRPr="008313D9">
        <w:rPr>
          <w:rFonts w:ascii="Times New Roman" w:hAnsi="Times New Roman" w:cs="Times New Roman"/>
        </w:rPr>
        <w:t>é</w:t>
      </w:r>
      <w:r w:rsidRPr="008313D9">
        <w:rPr>
          <w:rFonts w:ascii="Times New Roman" w:hAnsi="Times New Roman" w:cs="Times New Roman"/>
          <w:bCs/>
        </w:rPr>
        <w:t xml:space="preserve">s </w:t>
      </w:r>
      <w:r w:rsidRPr="008313D9">
        <w:rPr>
          <w:rFonts w:ascii="Times New Roman" w:hAnsi="Times New Roman" w:cs="Times New Roman"/>
          <w:bCs/>
          <w:i/>
          <w:lang w:val="en-US"/>
        </w:rPr>
        <w:t>(Tactical-level leadership: Troop Leading Procedures)</w:t>
      </w:r>
    </w:p>
    <w:p w:rsidR="008313D9" w:rsidRPr="008313D9" w:rsidRDefault="008313D9" w:rsidP="00C2057B">
      <w:pPr>
        <w:pStyle w:val="Listaszerbekezds"/>
        <w:numPr>
          <w:ilvl w:val="1"/>
          <w:numId w:val="80"/>
        </w:numPr>
        <w:spacing w:after="0" w:line="240" w:lineRule="auto"/>
        <w:ind w:left="1276" w:hanging="709"/>
        <w:jc w:val="both"/>
        <w:rPr>
          <w:rFonts w:ascii="Times New Roman" w:hAnsi="Times New Roman" w:cs="Times New Roman"/>
          <w:b/>
          <w:i/>
          <w:lang w:val="en-US"/>
        </w:rPr>
      </w:pPr>
      <w:r w:rsidRPr="008313D9">
        <w:rPr>
          <w:rFonts w:ascii="Times New Roman" w:hAnsi="Times New Roman" w:cs="Times New Roman"/>
        </w:rPr>
        <w:t>Harc</w:t>
      </w:r>
      <w:r w:rsidRPr="008313D9">
        <w:rPr>
          <w:rFonts w:ascii="Times New Roman" w:hAnsi="Times New Roman" w:cs="Times New Roman"/>
          <w:bCs/>
        </w:rPr>
        <w:t>ászati szint</w:t>
      </w:r>
      <w:r w:rsidRPr="008313D9">
        <w:rPr>
          <w:rFonts w:ascii="Times New Roman" w:hAnsi="Times New Roman" w:cs="Times New Roman"/>
        </w:rPr>
        <w:t>ű</w:t>
      </w:r>
      <w:r w:rsidRPr="008313D9">
        <w:rPr>
          <w:rFonts w:ascii="Times New Roman" w:hAnsi="Times New Roman" w:cs="Times New Roman"/>
          <w:bCs/>
        </w:rPr>
        <w:t xml:space="preserve"> vezet</w:t>
      </w:r>
      <w:r w:rsidRPr="008313D9">
        <w:rPr>
          <w:rFonts w:ascii="Times New Roman" w:hAnsi="Times New Roman" w:cs="Times New Roman"/>
        </w:rPr>
        <w:t>é</w:t>
      </w:r>
      <w:r w:rsidRPr="008313D9">
        <w:rPr>
          <w:rFonts w:ascii="Times New Roman" w:hAnsi="Times New Roman" w:cs="Times New Roman"/>
          <w:bCs/>
        </w:rPr>
        <w:t xml:space="preserve">s: a </w:t>
      </w:r>
      <w:r w:rsidRPr="008313D9">
        <w:rPr>
          <w:rFonts w:ascii="Times New Roman" w:eastAsia="MinionPro-Regular" w:hAnsi="Times New Roman" w:cs="Times New Roman"/>
        </w:rPr>
        <w:t>t</w:t>
      </w:r>
      <w:r w:rsidRPr="008313D9">
        <w:rPr>
          <w:rFonts w:ascii="Times New Roman" w:hAnsi="Times New Roman" w:cs="Times New Roman"/>
        </w:rPr>
        <w:t>ö</w:t>
      </w:r>
      <w:r w:rsidRPr="008313D9">
        <w:rPr>
          <w:rFonts w:ascii="Times New Roman" w:eastAsia="MinionPro-Regular" w:hAnsi="Times New Roman" w:cs="Times New Roman"/>
        </w:rPr>
        <w:t>rzsszolg</w:t>
      </w:r>
      <w:r w:rsidRPr="008313D9">
        <w:rPr>
          <w:rFonts w:ascii="Times New Roman" w:hAnsi="Times New Roman" w:cs="Times New Roman"/>
        </w:rPr>
        <w:t>á</w:t>
      </w:r>
      <w:r w:rsidRPr="008313D9">
        <w:rPr>
          <w:rFonts w:ascii="Times New Roman" w:eastAsia="MinionPro-Regular" w:hAnsi="Times New Roman" w:cs="Times New Roman"/>
        </w:rPr>
        <w:t xml:space="preserve">lat </w:t>
      </w:r>
      <w:r w:rsidRPr="008313D9">
        <w:rPr>
          <w:rFonts w:ascii="Times New Roman" w:eastAsia="MinionPro-Regular" w:hAnsi="Times New Roman" w:cs="Times New Roman"/>
          <w:i/>
          <w:lang w:val="en-US"/>
        </w:rPr>
        <w:t>(Tactical-level leadership: staff work)</w:t>
      </w:r>
    </w:p>
    <w:p w:rsidR="008313D9" w:rsidRPr="008313D9" w:rsidRDefault="008313D9" w:rsidP="00C2057B">
      <w:pPr>
        <w:pStyle w:val="Listaszerbekezds"/>
        <w:numPr>
          <w:ilvl w:val="1"/>
          <w:numId w:val="80"/>
        </w:numPr>
        <w:spacing w:after="0" w:line="240" w:lineRule="auto"/>
        <w:ind w:left="1276" w:hanging="709"/>
        <w:jc w:val="both"/>
        <w:rPr>
          <w:rFonts w:ascii="Times New Roman" w:hAnsi="Times New Roman" w:cs="Times New Roman"/>
          <w:b/>
          <w:i/>
          <w:lang w:val="en-US"/>
        </w:rPr>
      </w:pPr>
      <w:r w:rsidRPr="008313D9">
        <w:rPr>
          <w:rFonts w:ascii="Times New Roman" w:hAnsi="Times New Roman" w:cs="Times New Roman"/>
        </w:rPr>
        <w:t xml:space="preserve">A harcászati döntéshozatal folyamata </w:t>
      </w:r>
      <w:r w:rsidRPr="008313D9">
        <w:rPr>
          <w:rFonts w:ascii="Times New Roman" w:hAnsi="Times New Roman" w:cs="Times New Roman"/>
          <w:i/>
          <w:lang w:val="en-US"/>
        </w:rPr>
        <w:t>(The process of tactical-level decision-making)</w:t>
      </w:r>
    </w:p>
    <w:p w:rsidR="008313D9" w:rsidRPr="008313D9" w:rsidRDefault="008313D9" w:rsidP="00C2057B">
      <w:pPr>
        <w:pStyle w:val="Listaszerbekezds"/>
        <w:numPr>
          <w:ilvl w:val="1"/>
          <w:numId w:val="80"/>
        </w:numPr>
        <w:spacing w:after="0" w:line="240" w:lineRule="auto"/>
        <w:ind w:left="1276" w:hanging="709"/>
        <w:jc w:val="both"/>
        <w:rPr>
          <w:rFonts w:ascii="Times New Roman" w:hAnsi="Times New Roman" w:cs="Times New Roman"/>
          <w:b/>
          <w:i/>
          <w:lang w:val="en-US"/>
        </w:rPr>
      </w:pPr>
      <w:r w:rsidRPr="008313D9">
        <w:rPr>
          <w:rFonts w:ascii="Times New Roman" w:hAnsi="Times New Roman" w:cs="Times New Roman"/>
        </w:rPr>
        <w:t xml:space="preserve">Harctevékenységek: a támadás alapelvei </w:t>
      </w:r>
      <w:r w:rsidRPr="008313D9">
        <w:rPr>
          <w:rFonts w:ascii="Times New Roman" w:hAnsi="Times New Roman" w:cs="Times New Roman"/>
          <w:i/>
          <w:lang w:val="en-US"/>
        </w:rPr>
        <w:t>(Combat activities: the fundamentals of the offense)</w:t>
      </w:r>
    </w:p>
    <w:p w:rsidR="008313D9" w:rsidRPr="008313D9" w:rsidRDefault="008313D9" w:rsidP="00C2057B">
      <w:pPr>
        <w:pStyle w:val="Listaszerbekezds"/>
        <w:numPr>
          <w:ilvl w:val="1"/>
          <w:numId w:val="80"/>
        </w:numPr>
        <w:spacing w:after="0" w:line="240" w:lineRule="auto"/>
        <w:ind w:left="1276" w:hanging="709"/>
        <w:jc w:val="both"/>
        <w:rPr>
          <w:rFonts w:ascii="Times New Roman" w:hAnsi="Times New Roman" w:cs="Times New Roman"/>
          <w:b/>
          <w:i/>
          <w:lang w:val="en-US"/>
        </w:rPr>
      </w:pPr>
      <w:r w:rsidRPr="008313D9">
        <w:rPr>
          <w:rFonts w:ascii="Times New Roman" w:hAnsi="Times New Roman" w:cs="Times New Roman"/>
        </w:rPr>
        <w:t xml:space="preserve">Harctevékenységek: a védelem alapelvei </w:t>
      </w:r>
      <w:r w:rsidRPr="008313D9">
        <w:rPr>
          <w:rFonts w:ascii="Times New Roman" w:hAnsi="Times New Roman" w:cs="Times New Roman"/>
          <w:i/>
          <w:lang w:val="en-US"/>
        </w:rPr>
        <w:t>(Combat activities: the fundamentals of the defense)</w:t>
      </w:r>
    </w:p>
    <w:p w:rsidR="008313D9" w:rsidRPr="008313D9" w:rsidRDefault="008313D9" w:rsidP="00C2057B">
      <w:pPr>
        <w:pStyle w:val="Listaszerbekezds"/>
        <w:numPr>
          <w:ilvl w:val="1"/>
          <w:numId w:val="80"/>
        </w:numPr>
        <w:spacing w:after="0" w:line="240" w:lineRule="auto"/>
        <w:ind w:left="1276" w:hanging="709"/>
        <w:jc w:val="both"/>
        <w:rPr>
          <w:rFonts w:ascii="Times New Roman" w:hAnsi="Times New Roman" w:cs="Times New Roman"/>
          <w:b/>
          <w:i/>
          <w:lang w:val="en-US"/>
        </w:rPr>
      </w:pPr>
      <w:r w:rsidRPr="008313D9">
        <w:rPr>
          <w:rFonts w:ascii="Times New Roman" w:hAnsi="Times New Roman" w:cs="Times New Roman"/>
        </w:rPr>
        <w:t xml:space="preserve">Harccal kapcsolatos tevékenységek </w:t>
      </w:r>
      <w:r w:rsidRPr="008313D9">
        <w:rPr>
          <w:rFonts w:ascii="Times New Roman" w:hAnsi="Times New Roman" w:cs="Times New Roman"/>
          <w:i/>
          <w:lang w:val="en-US"/>
        </w:rPr>
        <w:t>(Activities related to combat)</w:t>
      </w:r>
    </w:p>
    <w:p w:rsidR="008313D9" w:rsidRPr="008313D9" w:rsidRDefault="008313D9" w:rsidP="00C2057B">
      <w:pPr>
        <w:pStyle w:val="Listaszerbekezds"/>
        <w:numPr>
          <w:ilvl w:val="1"/>
          <w:numId w:val="80"/>
        </w:numPr>
        <w:spacing w:after="0" w:line="240" w:lineRule="auto"/>
        <w:ind w:left="1276" w:hanging="709"/>
        <w:jc w:val="both"/>
        <w:rPr>
          <w:rFonts w:ascii="Times New Roman" w:hAnsi="Times New Roman" w:cs="Times New Roman"/>
          <w:b/>
          <w:i/>
          <w:lang w:val="en-US"/>
        </w:rPr>
      </w:pPr>
      <w:r w:rsidRPr="008313D9">
        <w:rPr>
          <w:rFonts w:ascii="Times New Roman" w:hAnsi="Times New Roman" w:cs="Times New Roman"/>
        </w:rPr>
        <w:t>Stabiliz</w:t>
      </w:r>
      <w:r w:rsidRPr="008313D9">
        <w:rPr>
          <w:rFonts w:ascii="Times New Roman" w:hAnsi="Times New Roman" w:cs="Times New Roman"/>
          <w:bCs/>
        </w:rPr>
        <w:t>á</w:t>
      </w:r>
      <w:r w:rsidRPr="008313D9">
        <w:rPr>
          <w:rFonts w:ascii="Times New Roman" w:hAnsi="Times New Roman" w:cs="Times New Roman"/>
        </w:rPr>
        <w:t xml:space="preserve">ciós tevékenységek </w:t>
      </w:r>
      <w:r w:rsidRPr="008313D9">
        <w:rPr>
          <w:rFonts w:ascii="Times New Roman" w:hAnsi="Times New Roman" w:cs="Times New Roman"/>
          <w:i/>
          <w:lang w:val="en-US"/>
        </w:rPr>
        <w:t>(Stabilization activities)</w:t>
      </w:r>
    </w:p>
    <w:p w:rsidR="008313D9" w:rsidRPr="008313D9" w:rsidRDefault="008313D9" w:rsidP="00C2057B">
      <w:pPr>
        <w:pStyle w:val="Listaszerbekezds"/>
        <w:numPr>
          <w:ilvl w:val="1"/>
          <w:numId w:val="80"/>
        </w:numPr>
        <w:spacing w:after="0" w:line="240" w:lineRule="auto"/>
        <w:ind w:left="1276" w:hanging="709"/>
        <w:jc w:val="both"/>
        <w:rPr>
          <w:rFonts w:ascii="Times New Roman" w:hAnsi="Times New Roman" w:cs="Times New Roman"/>
          <w:lang w:val="en-US"/>
        </w:rPr>
      </w:pPr>
      <w:r w:rsidRPr="008313D9">
        <w:rPr>
          <w:rFonts w:ascii="Times New Roman" w:hAnsi="Times New Roman" w:cs="Times New Roman"/>
        </w:rPr>
        <w:t xml:space="preserve">Harc különleges viszonyok között </w:t>
      </w:r>
      <w:r w:rsidRPr="008313D9">
        <w:rPr>
          <w:rFonts w:ascii="Times New Roman" w:hAnsi="Times New Roman" w:cs="Times New Roman"/>
          <w:i/>
          <w:lang w:val="en-US"/>
        </w:rPr>
        <w:t>(Combat in special circumstances</w:t>
      </w:r>
      <w:r w:rsidRPr="008313D9">
        <w:rPr>
          <w:rFonts w:ascii="Times New Roman" w:hAnsi="Times New Roman" w:cs="Times New Roman"/>
          <w:lang w:val="en-US"/>
        </w:rPr>
        <w:t>.)</w:t>
      </w:r>
    </w:p>
    <w:p w:rsidR="008313D9" w:rsidRPr="008313D9" w:rsidRDefault="008313D9" w:rsidP="00C2057B">
      <w:pPr>
        <w:pStyle w:val="Listaszerbekezds"/>
        <w:numPr>
          <w:ilvl w:val="1"/>
          <w:numId w:val="80"/>
        </w:numPr>
        <w:spacing w:after="0" w:line="240" w:lineRule="auto"/>
        <w:ind w:left="1276" w:hanging="709"/>
        <w:jc w:val="both"/>
        <w:rPr>
          <w:rFonts w:ascii="Times New Roman" w:hAnsi="Times New Roman" w:cs="Times New Roman"/>
          <w:i/>
          <w:lang w:val="en-US"/>
        </w:rPr>
      </w:pPr>
      <w:r w:rsidRPr="008313D9">
        <w:rPr>
          <w:rFonts w:ascii="Times New Roman" w:hAnsi="Times New Roman" w:cs="Times New Roman"/>
        </w:rPr>
        <w:t xml:space="preserve">Harctámogatás </w:t>
      </w:r>
      <w:r w:rsidRPr="008313D9">
        <w:rPr>
          <w:rFonts w:ascii="Times New Roman" w:hAnsi="Times New Roman" w:cs="Times New Roman"/>
          <w:i/>
          <w:lang w:val="en-US"/>
        </w:rPr>
        <w:t>(Combat support)</w:t>
      </w:r>
    </w:p>
    <w:p w:rsidR="008313D9" w:rsidRPr="008313D9" w:rsidRDefault="008313D9" w:rsidP="00C2057B">
      <w:pPr>
        <w:pStyle w:val="Listaszerbekezds"/>
        <w:numPr>
          <w:ilvl w:val="1"/>
          <w:numId w:val="80"/>
        </w:numPr>
        <w:spacing w:after="0" w:line="240" w:lineRule="auto"/>
        <w:ind w:left="1276" w:hanging="709"/>
        <w:jc w:val="both"/>
        <w:rPr>
          <w:rFonts w:ascii="Times New Roman" w:hAnsi="Times New Roman" w:cs="Times New Roman"/>
          <w:i/>
          <w:lang w:val="en-US"/>
        </w:rPr>
      </w:pPr>
      <w:r w:rsidRPr="008313D9">
        <w:rPr>
          <w:rFonts w:ascii="Times New Roman" w:hAnsi="Times New Roman" w:cs="Times New Roman"/>
        </w:rPr>
        <w:t xml:space="preserve">Harci kiszolgáló támogatás </w:t>
      </w:r>
      <w:r w:rsidRPr="008313D9">
        <w:rPr>
          <w:rFonts w:ascii="Times New Roman" w:hAnsi="Times New Roman" w:cs="Times New Roman"/>
          <w:i/>
          <w:lang w:val="en-US"/>
        </w:rPr>
        <w:t>(Combat service support)</w:t>
      </w:r>
    </w:p>
    <w:p w:rsidR="008313D9" w:rsidRPr="008313D9" w:rsidRDefault="008313D9" w:rsidP="00C2057B">
      <w:pPr>
        <w:pStyle w:val="Listaszerbekezds"/>
        <w:numPr>
          <w:ilvl w:val="1"/>
          <w:numId w:val="80"/>
        </w:numPr>
        <w:spacing w:after="0" w:line="240" w:lineRule="auto"/>
        <w:ind w:left="1276" w:hanging="709"/>
        <w:jc w:val="both"/>
        <w:rPr>
          <w:rFonts w:ascii="Times New Roman" w:hAnsi="Times New Roman" w:cs="Times New Roman"/>
          <w:i/>
          <w:lang w:val="en-US"/>
        </w:rPr>
      </w:pPr>
      <w:r w:rsidRPr="008313D9">
        <w:rPr>
          <w:rFonts w:ascii="Times New Roman" w:hAnsi="Times New Roman" w:cs="Times New Roman"/>
        </w:rPr>
        <w:t xml:space="preserve">A harcászati alegységek, egységek és magasabb egységek szervezete, rendeltetése, általános feladatai </w:t>
      </w:r>
      <w:r w:rsidRPr="008313D9">
        <w:rPr>
          <w:rFonts w:ascii="Times New Roman" w:hAnsi="Times New Roman" w:cs="Times New Roman"/>
          <w:i/>
          <w:lang w:val="en-US"/>
        </w:rPr>
        <w:t>(Organization of tactical units and subunits, their task and purpose.)</w:t>
      </w:r>
    </w:p>
    <w:p w:rsidR="008313D9" w:rsidRPr="008313D9" w:rsidRDefault="008313D9" w:rsidP="00C2057B">
      <w:pPr>
        <w:pStyle w:val="Listaszerbekezds"/>
        <w:numPr>
          <w:ilvl w:val="1"/>
          <w:numId w:val="80"/>
        </w:numPr>
        <w:spacing w:after="0" w:line="240" w:lineRule="auto"/>
        <w:ind w:left="1276" w:hanging="709"/>
        <w:jc w:val="both"/>
        <w:rPr>
          <w:rFonts w:ascii="Times New Roman" w:hAnsi="Times New Roman" w:cs="Times New Roman"/>
          <w:i/>
        </w:rPr>
      </w:pPr>
      <w:r w:rsidRPr="008313D9">
        <w:rPr>
          <w:rFonts w:ascii="Times New Roman" w:hAnsi="Times New Roman" w:cs="Times New Roman"/>
        </w:rPr>
        <w:t xml:space="preserve">Szeminárium </w:t>
      </w:r>
      <w:r w:rsidRPr="008313D9">
        <w:rPr>
          <w:rFonts w:ascii="Times New Roman" w:hAnsi="Times New Roman" w:cs="Times New Roman"/>
          <w:i/>
        </w:rPr>
        <w:t>(Seminar)</w:t>
      </w:r>
    </w:p>
    <w:p w:rsidR="008313D9" w:rsidRPr="007D2087" w:rsidRDefault="008313D9" w:rsidP="00C2057B">
      <w:pPr>
        <w:widowControl w:val="0"/>
        <w:numPr>
          <w:ilvl w:val="0"/>
          <w:numId w:val="80"/>
        </w:numPr>
        <w:tabs>
          <w:tab w:val="right" w:pos="900"/>
          <w:tab w:val="center" w:pos="4536"/>
          <w:tab w:val="right" w:pos="9071"/>
        </w:tabs>
        <w:spacing w:before="120" w:after="0" w:line="240" w:lineRule="auto"/>
        <w:ind w:left="641" w:hanging="357"/>
        <w:jc w:val="both"/>
        <w:rPr>
          <w:rFonts w:ascii="Times New Roman" w:hAnsi="Times New Roman" w:cs="Times New Roman"/>
          <w:highlight w:val="yellow"/>
        </w:rPr>
      </w:pPr>
      <w:r w:rsidRPr="008313D9">
        <w:rPr>
          <w:rFonts w:ascii="Times New Roman" w:hAnsi="Times New Roman" w:cs="Times New Roman"/>
          <w:b/>
        </w:rPr>
        <w:tab/>
        <w:t xml:space="preserve">A tantárgy meghirdetésének gyakorisága/a tantervben történő félévi elhelyezkedése: </w:t>
      </w:r>
      <w:r w:rsidR="007D2087">
        <w:rPr>
          <w:rFonts w:ascii="Times New Roman" w:hAnsi="Times New Roman" w:cs="Times New Roman"/>
          <w:b/>
        </w:rPr>
        <w:br/>
      </w:r>
      <w:r w:rsidR="007D2087" w:rsidRPr="007D2087">
        <w:rPr>
          <w:rFonts w:ascii="Times New Roman" w:hAnsi="Times New Roman" w:cs="Times New Roman"/>
          <w:highlight w:val="yellow"/>
        </w:rPr>
        <w:t>3.</w:t>
      </w:r>
      <w:r w:rsidRPr="007D2087">
        <w:rPr>
          <w:rFonts w:ascii="Times New Roman" w:hAnsi="Times New Roman" w:cs="Times New Roman"/>
          <w:highlight w:val="yellow"/>
        </w:rPr>
        <w:t xml:space="preserve"> félév</w:t>
      </w:r>
    </w:p>
    <w:p w:rsidR="008313D9" w:rsidRPr="008313D9" w:rsidRDefault="008313D9" w:rsidP="00C2057B">
      <w:pPr>
        <w:widowControl w:val="0"/>
        <w:numPr>
          <w:ilvl w:val="0"/>
          <w:numId w:val="80"/>
        </w:numPr>
        <w:tabs>
          <w:tab w:val="right" w:pos="900"/>
          <w:tab w:val="center" w:pos="4536"/>
          <w:tab w:val="right" w:pos="9071"/>
        </w:tabs>
        <w:spacing w:before="120" w:after="0" w:line="240" w:lineRule="auto"/>
        <w:ind w:left="641" w:hanging="357"/>
        <w:jc w:val="both"/>
        <w:rPr>
          <w:rFonts w:ascii="Times New Roman" w:hAnsi="Times New Roman" w:cs="Times New Roman"/>
        </w:rPr>
      </w:pPr>
      <w:r w:rsidRPr="008313D9">
        <w:rPr>
          <w:rFonts w:ascii="Times New Roman" w:hAnsi="Times New Roman" w:cs="Times New Roman"/>
          <w:b/>
        </w:rPr>
        <w:t>A foglalkozásokon való részvétel követelményei, elfogadható hiányzások mértéke, távolmaradás pótlásának lehetősége:</w:t>
      </w:r>
      <w:r w:rsidRPr="008313D9">
        <w:rPr>
          <w:rFonts w:ascii="Times New Roman" w:hAnsi="Times New Roman" w:cs="Times New Roman"/>
        </w:rPr>
        <w:t xml:space="preserve"> 3 alkalom (6 kontaktóra) hiányzás elfogadott, a távolmaradás pótlása az előadó által meghatározott feladattal teljesíthető.</w:t>
      </w:r>
    </w:p>
    <w:p w:rsidR="008313D9" w:rsidRPr="008313D9" w:rsidRDefault="008313D9" w:rsidP="00C2057B">
      <w:pPr>
        <w:widowControl w:val="0"/>
        <w:numPr>
          <w:ilvl w:val="0"/>
          <w:numId w:val="80"/>
        </w:numPr>
        <w:tabs>
          <w:tab w:val="right" w:pos="900"/>
          <w:tab w:val="center" w:pos="4536"/>
          <w:tab w:val="right" w:pos="9071"/>
        </w:tabs>
        <w:spacing w:before="120" w:after="0" w:line="240" w:lineRule="auto"/>
        <w:ind w:left="641" w:hanging="357"/>
        <w:jc w:val="both"/>
        <w:rPr>
          <w:rFonts w:ascii="Times New Roman" w:hAnsi="Times New Roman" w:cs="Times New Roman"/>
        </w:rPr>
      </w:pPr>
      <w:r w:rsidRPr="008313D9">
        <w:rPr>
          <w:rFonts w:ascii="Times New Roman" w:hAnsi="Times New Roman" w:cs="Times New Roman"/>
          <w:b/>
        </w:rPr>
        <w:lastRenderedPageBreak/>
        <w:t xml:space="preserve">Félévközi feladatok, ismeretek ellenőrzésének rendje: </w:t>
      </w:r>
      <w:r w:rsidRPr="008313D9">
        <w:rPr>
          <w:rFonts w:ascii="Times New Roman" w:hAnsi="Times New Roman" w:cs="Times New Roman"/>
        </w:rPr>
        <w:t>A foglakozás anyagának és a kötelező irodalom feldolgozásának a visszaellenőrzése folyamatos szóbeli visszakérdezés, ill. röpdolgozat formájában. Két ZH dolgozatot kell teljesíteni (12.6 és 12.15 foglalkozásokon). eredményes teljesítése. A zárthelyi időtartama 45 perc. A ZH-k elméleti beugróval (alapvető definíciók) kezdődnek, és 50%-os átlageredménytől számítanak elfogadottnak.</w:t>
      </w:r>
    </w:p>
    <w:p w:rsidR="008313D9" w:rsidRPr="008313D9" w:rsidRDefault="008313D9" w:rsidP="008313D9">
      <w:pPr>
        <w:widowControl w:val="0"/>
        <w:tabs>
          <w:tab w:val="right" w:pos="900"/>
          <w:tab w:val="center" w:pos="4536"/>
          <w:tab w:val="right" w:pos="9071"/>
        </w:tabs>
        <w:spacing w:before="120" w:after="0" w:line="240" w:lineRule="auto"/>
        <w:ind w:left="641"/>
        <w:jc w:val="both"/>
        <w:rPr>
          <w:rFonts w:ascii="Times New Roman" w:hAnsi="Times New Roman" w:cs="Times New Roman"/>
        </w:rPr>
      </w:pPr>
      <w:r w:rsidRPr="008313D9">
        <w:rPr>
          <w:rFonts w:ascii="Times New Roman" w:hAnsi="Times New Roman" w:cs="Times New Roman"/>
        </w:rPr>
        <w:t>Értékelés rendje:</w:t>
      </w:r>
    </w:p>
    <w:p w:rsidR="008313D9" w:rsidRPr="008313D9" w:rsidRDefault="008313D9" w:rsidP="008313D9">
      <w:pPr>
        <w:widowControl w:val="0"/>
        <w:tabs>
          <w:tab w:val="right" w:pos="900"/>
          <w:tab w:val="center" w:pos="4536"/>
          <w:tab w:val="right" w:pos="9071"/>
        </w:tabs>
        <w:spacing w:after="0" w:line="240" w:lineRule="auto"/>
        <w:ind w:left="900"/>
        <w:jc w:val="both"/>
        <w:rPr>
          <w:rFonts w:ascii="Times New Roman" w:hAnsi="Times New Roman" w:cs="Times New Roman"/>
        </w:rPr>
      </w:pPr>
      <w:r w:rsidRPr="008313D9">
        <w:rPr>
          <w:rFonts w:ascii="Times New Roman" w:hAnsi="Times New Roman" w:cs="Times New Roman"/>
        </w:rPr>
        <w:t>0-49 % Elégtelen (1);</w:t>
      </w:r>
    </w:p>
    <w:p w:rsidR="008313D9" w:rsidRPr="008313D9" w:rsidRDefault="008313D9" w:rsidP="008313D9">
      <w:pPr>
        <w:widowControl w:val="0"/>
        <w:tabs>
          <w:tab w:val="right" w:pos="900"/>
          <w:tab w:val="center" w:pos="4536"/>
          <w:tab w:val="right" w:pos="9071"/>
        </w:tabs>
        <w:spacing w:after="0" w:line="240" w:lineRule="auto"/>
        <w:ind w:left="900"/>
        <w:jc w:val="both"/>
        <w:rPr>
          <w:rFonts w:ascii="Times New Roman" w:hAnsi="Times New Roman" w:cs="Times New Roman"/>
        </w:rPr>
      </w:pPr>
      <w:r w:rsidRPr="008313D9">
        <w:rPr>
          <w:rFonts w:ascii="Times New Roman" w:hAnsi="Times New Roman" w:cs="Times New Roman"/>
        </w:rPr>
        <w:t>50-60 % Elégséges (2);</w:t>
      </w:r>
    </w:p>
    <w:p w:rsidR="008313D9" w:rsidRPr="008313D9" w:rsidRDefault="008313D9" w:rsidP="008313D9">
      <w:pPr>
        <w:widowControl w:val="0"/>
        <w:tabs>
          <w:tab w:val="right" w:pos="900"/>
          <w:tab w:val="center" w:pos="4536"/>
          <w:tab w:val="right" w:pos="9071"/>
        </w:tabs>
        <w:spacing w:after="0" w:line="240" w:lineRule="auto"/>
        <w:ind w:left="900"/>
        <w:jc w:val="both"/>
        <w:rPr>
          <w:rFonts w:ascii="Times New Roman" w:hAnsi="Times New Roman" w:cs="Times New Roman"/>
        </w:rPr>
      </w:pPr>
      <w:r w:rsidRPr="008313D9">
        <w:rPr>
          <w:rFonts w:ascii="Times New Roman" w:hAnsi="Times New Roman" w:cs="Times New Roman"/>
        </w:rPr>
        <w:t>61-70 % Közepes (3);</w:t>
      </w:r>
    </w:p>
    <w:p w:rsidR="008313D9" w:rsidRPr="008313D9" w:rsidRDefault="008313D9" w:rsidP="008313D9">
      <w:pPr>
        <w:widowControl w:val="0"/>
        <w:tabs>
          <w:tab w:val="right" w:pos="900"/>
          <w:tab w:val="center" w:pos="4536"/>
          <w:tab w:val="right" w:pos="9071"/>
        </w:tabs>
        <w:spacing w:after="0" w:line="240" w:lineRule="auto"/>
        <w:ind w:left="900"/>
        <w:jc w:val="both"/>
        <w:rPr>
          <w:rFonts w:ascii="Times New Roman" w:hAnsi="Times New Roman" w:cs="Times New Roman"/>
        </w:rPr>
      </w:pPr>
      <w:r w:rsidRPr="008313D9">
        <w:rPr>
          <w:rFonts w:ascii="Times New Roman" w:hAnsi="Times New Roman" w:cs="Times New Roman"/>
        </w:rPr>
        <w:t>71-80 % Jó (4)</w:t>
      </w:r>
    </w:p>
    <w:p w:rsidR="008313D9" w:rsidRPr="008313D9" w:rsidRDefault="008313D9" w:rsidP="008313D9">
      <w:pPr>
        <w:widowControl w:val="0"/>
        <w:tabs>
          <w:tab w:val="right" w:pos="900"/>
          <w:tab w:val="center" w:pos="4536"/>
          <w:tab w:val="right" w:pos="9071"/>
        </w:tabs>
        <w:spacing w:after="0" w:line="240" w:lineRule="auto"/>
        <w:ind w:left="900"/>
        <w:jc w:val="both"/>
        <w:rPr>
          <w:rFonts w:ascii="Times New Roman" w:hAnsi="Times New Roman" w:cs="Times New Roman"/>
        </w:rPr>
      </w:pPr>
      <w:r w:rsidRPr="008313D9">
        <w:rPr>
          <w:rFonts w:ascii="Times New Roman" w:hAnsi="Times New Roman" w:cs="Times New Roman"/>
        </w:rPr>
        <w:t>81 – 100 % Jeles (5)</w:t>
      </w:r>
    </w:p>
    <w:p w:rsidR="008313D9" w:rsidRPr="008313D9" w:rsidRDefault="008313D9" w:rsidP="008313D9">
      <w:pPr>
        <w:widowControl w:val="0"/>
        <w:tabs>
          <w:tab w:val="right" w:pos="900"/>
          <w:tab w:val="center" w:pos="4536"/>
          <w:tab w:val="right" w:pos="9071"/>
        </w:tabs>
        <w:spacing w:before="120" w:after="0" w:line="240" w:lineRule="auto"/>
        <w:ind w:left="641"/>
        <w:jc w:val="both"/>
        <w:rPr>
          <w:rFonts w:ascii="Times New Roman" w:hAnsi="Times New Roman" w:cs="Times New Roman"/>
        </w:rPr>
      </w:pPr>
      <w:r w:rsidRPr="008313D9">
        <w:rPr>
          <w:rFonts w:ascii="Times New Roman" w:hAnsi="Times New Roman" w:cs="Times New Roman"/>
        </w:rPr>
        <w:t>Javításra és pótlásra a szorgalmi időszak utolsó hetében, egyeztetett délutáni időben van lehetőség.</w:t>
      </w:r>
    </w:p>
    <w:p w:rsidR="008313D9" w:rsidRPr="008313D9" w:rsidRDefault="008313D9" w:rsidP="00C2057B">
      <w:pPr>
        <w:widowControl w:val="0"/>
        <w:numPr>
          <w:ilvl w:val="0"/>
          <w:numId w:val="80"/>
        </w:numPr>
        <w:spacing w:before="120" w:after="0" w:line="240" w:lineRule="auto"/>
        <w:ind w:left="641" w:hanging="357"/>
        <w:jc w:val="both"/>
        <w:rPr>
          <w:rFonts w:ascii="Times New Roman" w:hAnsi="Times New Roman" w:cs="Times New Roman"/>
        </w:rPr>
      </w:pPr>
      <w:r w:rsidRPr="008313D9">
        <w:rPr>
          <w:rFonts w:ascii="Times New Roman" w:hAnsi="Times New Roman" w:cs="Times New Roman"/>
          <w:b/>
        </w:rPr>
        <w:t>Az aláírás és a kreditek megszerzésének pontos feltételei:</w:t>
      </w:r>
    </w:p>
    <w:p w:rsidR="008313D9" w:rsidRPr="008313D9" w:rsidRDefault="008313D9" w:rsidP="00C2057B">
      <w:pPr>
        <w:pStyle w:val="lfej"/>
        <w:numPr>
          <w:ilvl w:val="1"/>
          <w:numId w:val="80"/>
        </w:numPr>
        <w:tabs>
          <w:tab w:val="right" w:pos="900"/>
        </w:tabs>
        <w:spacing w:before="120"/>
        <w:ind w:hanging="574"/>
        <w:jc w:val="both"/>
        <w:rPr>
          <w:rFonts w:ascii="Times New Roman" w:hAnsi="Times New Roman" w:cs="Times New Roman"/>
          <w:bCs/>
        </w:rPr>
      </w:pPr>
      <w:r w:rsidRPr="008313D9">
        <w:rPr>
          <w:rFonts w:ascii="Times New Roman" w:hAnsi="Times New Roman" w:cs="Times New Roman"/>
          <w:b/>
        </w:rPr>
        <w:t xml:space="preserve">Az aláírás megszerzésének feltételei: </w:t>
      </w:r>
      <w:r w:rsidRPr="008313D9">
        <w:rPr>
          <w:rFonts w:ascii="Times New Roman" w:hAnsi="Times New Roman" w:cs="Times New Roman"/>
        </w:rPr>
        <w:t>a félév végi aláírás feltétele az előadások látogatása a 14. pontban rögzített feltételek szerint.</w:t>
      </w:r>
    </w:p>
    <w:p w:rsidR="008313D9" w:rsidRPr="008313D9" w:rsidRDefault="008313D9" w:rsidP="00C2057B">
      <w:pPr>
        <w:pStyle w:val="lfej"/>
        <w:numPr>
          <w:ilvl w:val="1"/>
          <w:numId w:val="80"/>
        </w:numPr>
        <w:tabs>
          <w:tab w:val="right" w:pos="900"/>
        </w:tabs>
        <w:spacing w:before="120"/>
        <w:ind w:hanging="574"/>
        <w:jc w:val="both"/>
        <w:rPr>
          <w:rFonts w:ascii="Times New Roman" w:hAnsi="Times New Roman" w:cs="Times New Roman"/>
          <w:bCs/>
        </w:rPr>
      </w:pPr>
      <w:r w:rsidRPr="008313D9">
        <w:rPr>
          <w:rFonts w:ascii="Times New Roman" w:hAnsi="Times New Roman" w:cs="Times New Roman"/>
          <w:b/>
        </w:rPr>
        <w:t>Az értékelés:</w:t>
      </w:r>
      <w:r w:rsidRPr="008313D9">
        <w:rPr>
          <w:rFonts w:ascii="Times New Roman" w:hAnsi="Times New Roman" w:cs="Times New Roman"/>
          <w:bCs/>
        </w:rPr>
        <w:t xml:space="preserve"> </w:t>
      </w:r>
      <w:r w:rsidRPr="008313D9">
        <w:rPr>
          <w:rFonts w:ascii="Times New Roman" w:hAnsi="Times New Roman" w:cs="Times New Roman"/>
          <w:b/>
          <w:u w:val="single"/>
        </w:rPr>
        <w:t>évközi értékelés</w:t>
      </w:r>
      <w:r w:rsidRPr="008313D9">
        <w:rPr>
          <w:rFonts w:ascii="Times New Roman" w:hAnsi="Times New Roman" w:cs="Times New Roman"/>
        </w:rPr>
        <w:t>, ahol az érdemjegyet a két ZH eredményének egyszerű matematikai átlagának kerekített értéke adja.</w:t>
      </w:r>
    </w:p>
    <w:p w:rsidR="008313D9" w:rsidRPr="008313D9" w:rsidRDefault="008313D9" w:rsidP="00C2057B">
      <w:pPr>
        <w:pStyle w:val="lfej"/>
        <w:numPr>
          <w:ilvl w:val="1"/>
          <w:numId w:val="80"/>
        </w:numPr>
        <w:tabs>
          <w:tab w:val="right" w:pos="900"/>
        </w:tabs>
        <w:spacing w:before="120"/>
        <w:ind w:hanging="574"/>
        <w:jc w:val="both"/>
        <w:rPr>
          <w:rFonts w:ascii="Times New Roman" w:hAnsi="Times New Roman" w:cs="Times New Roman"/>
          <w:bCs/>
        </w:rPr>
      </w:pPr>
      <w:r w:rsidRPr="008313D9">
        <w:rPr>
          <w:rFonts w:ascii="Times New Roman" w:hAnsi="Times New Roman" w:cs="Times New Roman"/>
          <w:b/>
        </w:rPr>
        <w:t xml:space="preserve">A kreditek megszerzésének feltételei: </w:t>
      </w:r>
      <w:r w:rsidRPr="008313D9">
        <w:rPr>
          <w:rFonts w:ascii="Times New Roman" w:hAnsi="Times New Roman" w:cs="Times New Roman"/>
        </w:rPr>
        <w:t>az aláírás megszerzése, valamint a legalább elégséges értékelés megszerzése.</w:t>
      </w:r>
    </w:p>
    <w:p w:rsidR="008313D9" w:rsidRPr="008313D9" w:rsidRDefault="008313D9" w:rsidP="00C2057B">
      <w:pPr>
        <w:widowControl w:val="0"/>
        <w:numPr>
          <w:ilvl w:val="0"/>
          <w:numId w:val="80"/>
        </w:numPr>
        <w:tabs>
          <w:tab w:val="left" w:pos="284"/>
        </w:tabs>
        <w:spacing w:before="120" w:after="0" w:line="240" w:lineRule="auto"/>
        <w:ind w:left="641" w:hanging="357"/>
        <w:rPr>
          <w:rFonts w:ascii="Times New Roman" w:hAnsi="Times New Roman" w:cs="Times New Roman"/>
        </w:rPr>
      </w:pPr>
      <w:r w:rsidRPr="008313D9">
        <w:rPr>
          <w:rFonts w:ascii="Times New Roman" w:hAnsi="Times New Roman" w:cs="Times New Roman"/>
          <w:b/>
        </w:rPr>
        <w:tab/>
        <w:t>Irodalomjegyzék:</w:t>
      </w:r>
    </w:p>
    <w:p w:rsidR="008313D9" w:rsidRPr="005B4AC4" w:rsidRDefault="008313D9" w:rsidP="00C2057B">
      <w:pPr>
        <w:widowControl w:val="0"/>
        <w:numPr>
          <w:ilvl w:val="1"/>
          <w:numId w:val="80"/>
        </w:numPr>
        <w:spacing w:before="120" w:after="0" w:line="240" w:lineRule="auto"/>
        <w:ind w:left="1134" w:hanging="566"/>
        <w:jc w:val="both"/>
        <w:rPr>
          <w:rFonts w:ascii="Times New Roman" w:hAnsi="Times New Roman" w:cs="Times New Roman"/>
          <w:highlight w:val="yellow"/>
        </w:rPr>
      </w:pPr>
      <w:r w:rsidRPr="005B4AC4">
        <w:rPr>
          <w:rFonts w:ascii="Times New Roman" w:hAnsi="Times New Roman" w:cs="Times New Roman"/>
          <w:b/>
          <w:highlight w:val="yellow"/>
        </w:rPr>
        <w:t>Kötelező irodalom:</w:t>
      </w:r>
    </w:p>
    <w:p w:rsidR="008313D9" w:rsidRPr="005B4AC4" w:rsidRDefault="008313D9" w:rsidP="00C2057B">
      <w:pPr>
        <w:pStyle w:val="lfej"/>
        <w:numPr>
          <w:ilvl w:val="0"/>
          <w:numId w:val="81"/>
        </w:numPr>
        <w:ind w:left="1134" w:hanging="357"/>
        <w:jc w:val="both"/>
        <w:rPr>
          <w:rFonts w:ascii="Times New Roman" w:hAnsi="Times New Roman" w:cs="Times New Roman"/>
          <w:highlight w:val="yellow"/>
        </w:rPr>
      </w:pPr>
      <w:r w:rsidRPr="005B4AC4">
        <w:rPr>
          <w:rFonts w:ascii="Times New Roman" w:hAnsi="Times New Roman" w:cs="Times New Roman"/>
          <w:highlight w:val="yellow"/>
        </w:rPr>
        <w:t>Bakos Csaba Attila (2016): A szárazföldi csapatok harcászata, Budapest, NKE, ISBN 978 615 568 012 0</w:t>
      </w:r>
    </w:p>
    <w:p w:rsidR="008313D9" w:rsidRPr="005B4AC4" w:rsidRDefault="008313D9" w:rsidP="00C2057B">
      <w:pPr>
        <w:pStyle w:val="lfej"/>
        <w:numPr>
          <w:ilvl w:val="0"/>
          <w:numId w:val="81"/>
        </w:numPr>
        <w:ind w:left="1134" w:hanging="357"/>
        <w:jc w:val="both"/>
        <w:rPr>
          <w:rFonts w:ascii="Times New Roman" w:hAnsi="Times New Roman" w:cs="Times New Roman"/>
          <w:highlight w:val="yellow"/>
        </w:rPr>
      </w:pPr>
      <w:r w:rsidRPr="005B4AC4">
        <w:rPr>
          <w:rFonts w:ascii="Times New Roman" w:hAnsi="Times New Roman" w:cs="Times New Roman"/>
          <w:highlight w:val="yellow"/>
        </w:rPr>
        <w:t>Magyar Honvédség Összhaderőnemi Doktrina 3. kiadás, Budapest, MH, 2012</w:t>
      </w:r>
    </w:p>
    <w:p w:rsidR="008313D9" w:rsidRPr="005B4AC4" w:rsidRDefault="008313D9" w:rsidP="00C2057B">
      <w:pPr>
        <w:pStyle w:val="lfej"/>
        <w:numPr>
          <w:ilvl w:val="0"/>
          <w:numId w:val="81"/>
        </w:numPr>
        <w:ind w:left="1134" w:hanging="357"/>
        <w:jc w:val="both"/>
        <w:rPr>
          <w:rFonts w:ascii="Times New Roman" w:hAnsi="Times New Roman" w:cs="Times New Roman"/>
          <w:highlight w:val="yellow"/>
        </w:rPr>
      </w:pPr>
      <w:r w:rsidRPr="005B4AC4">
        <w:rPr>
          <w:rFonts w:ascii="Times New Roman" w:hAnsi="Times New Roman" w:cs="Times New Roman"/>
          <w:highlight w:val="yellow"/>
        </w:rPr>
        <w:t>Magyar Honvédség Szárazföldi Harcszabályzat IV. rész, Budapest, MH, 2013</w:t>
      </w:r>
    </w:p>
    <w:p w:rsidR="008313D9" w:rsidRPr="008313D9" w:rsidRDefault="008313D9" w:rsidP="00C2057B">
      <w:pPr>
        <w:widowControl w:val="0"/>
        <w:numPr>
          <w:ilvl w:val="1"/>
          <w:numId w:val="80"/>
        </w:numPr>
        <w:spacing w:before="120" w:after="0" w:line="240" w:lineRule="auto"/>
        <w:ind w:left="1134" w:hanging="566"/>
        <w:jc w:val="both"/>
        <w:rPr>
          <w:rFonts w:ascii="Times New Roman" w:hAnsi="Times New Roman" w:cs="Times New Roman"/>
          <w:b/>
        </w:rPr>
      </w:pPr>
      <w:r w:rsidRPr="008313D9">
        <w:rPr>
          <w:rFonts w:ascii="Times New Roman" w:hAnsi="Times New Roman" w:cs="Times New Roman"/>
          <w:b/>
        </w:rPr>
        <w:t xml:space="preserve">Ajánlott irodalom: </w:t>
      </w:r>
    </w:p>
    <w:p w:rsidR="008313D9" w:rsidRPr="008313D9" w:rsidRDefault="008313D9" w:rsidP="00C2057B">
      <w:pPr>
        <w:pStyle w:val="lfej"/>
        <w:numPr>
          <w:ilvl w:val="0"/>
          <w:numId w:val="82"/>
        </w:numPr>
        <w:ind w:left="1134" w:hanging="357"/>
        <w:jc w:val="both"/>
        <w:rPr>
          <w:rFonts w:ascii="Times New Roman" w:hAnsi="Times New Roman" w:cs="Times New Roman"/>
        </w:rPr>
      </w:pPr>
      <w:r w:rsidRPr="008313D9">
        <w:rPr>
          <w:rFonts w:ascii="Times New Roman" w:hAnsi="Times New Roman" w:cs="Times New Roman"/>
        </w:rPr>
        <w:t>Allied Land Tactics – ATP-3.2.1 NATO Standardization Agency, 2009</w:t>
      </w:r>
    </w:p>
    <w:p w:rsidR="008313D9" w:rsidRPr="008313D9" w:rsidRDefault="008313D9" w:rsidP="00C2057B">
      <w:pPr>
        <w:pStyle w:val="lfej"/>
        <w:numPr>
          <w:ilvl w:val="0"/>
          <w:numId w:val="82"/>
        </w:numPr>
        <w:ind w:left="1134" w:hanging="357"/>
        <w:jc w:val="both"/>
        <w:rPr>
          <w:rFonts w:ascii="Times New Roman" w:hAnsi="Times New Roman" w:cs="Times New Roman"/>
        </w:rPr>
      </w:pPr>
      <w:r w:rsidRPr="008313D9">
        <w:rPr>
          <w:rFonts w:ascii="Times New Roman" w:hAnsi="Times New Roman" w:cs="Times New Roman"/>
        </w:rPr>
        <w:t>Command and Control of Allied land Forces – ATP-3.2.2 NATO Standardization Agency, 2009</w:t>
      </w:r>
    </w:p>
    <w:p w:rsidR="008313D9" w:rsidRPr="008313D9" w:rsidRDefault="008313D9" w:rsidP="00C2057B">
      <w:pPr>
        <w:pStyle w:val="lfej"/>
        <w:numPr>
          <w:ilvl w:val="0"/>
          <w:numId w:val="82"/>
        </w:numPr>
        <w:ind w:left="1134" w:hanging="357"/>
        <w:jc w:val="both"/>
        <w:rPr>
          <w:rFonts w:ascii="Times New Roman" w:hAnsi="Times New Roman" w:cs="Times New Roman"/>
        </w:rPr>
      </w:pPr>
      <w:r w:rsidRPr="008313D9">
        <w:rPr>
          <w:rFonts w:ascii="Times New Roman" w:hAnsi="Times New Roman" w:cs="Times New Roman"/>
        </w:rPr>
        <w:t>Allied Land Tactics – ATP-3.2.1 NATO Standardization Agency, 2009</w:t>
      </w:r>
    </w:p>
    <w:p w:rsidR="008313D9" w:rsidRPr="008313D9" w:rsidRDefault="008313D9" w:rsidP="00C2057B">
      <w:pPr>
        <w:pStyle w:val="lfej"/>
        <w:numPr>
          <w:ilvl w:val="0"/>
          <w:numId w:val="82"/>
        </w:numPr>
        <w:ind w:left="1134" w:hanging="357"/>
        <w:jc w:val="both"/>
        <w:rPr>
          <w:rFonts w:ascii="Times New Roman" w:hAnsi="Times New Roman" w:cs="Times New Roman"/>
        </w:rPr>
      </w:pPr>
      <w:r w:rsidRPr="008313D9">
        <w:rPr>
          <w:rFonts w:ascii="Times New Roman" w:hAnsi="Times New Roman" w:cs="Times New Roman"/>
        </w:rPr>
        <w:t>Command and Control of Allied land Forces – ATP-3.2.2 NATO Standardization Agency, 2009</w:t>
      </w:r>
    </w:p>
    <w:p w:rsidR="008313D9" w:rsidRPr="008313D9" w:rsidRDefault="008313D9" w:rsidP="008313D9">
      <w:pPr>
        <w:widowControl w:val="0"/>
        <w:spacing w:before="120" w:after="0" w:line="240" w:lineRule="auto"/>
        <w:jc w:val="both"/>
        <w:rPr>
          <w:rFonts w:ascii="Times New Roman" w:hAnsi="Times New Roman" w:cs="Times New Roman"/>
        </w:rPr>
      </w:pPr>
    </w:p>
    <w:p w:rsidR="008313D9" w:rsidRPr="008313D9" w:rsidRDefault="008313D9" w:rsidP="008313D9">
      <w:pPr>
        <w:ind w:left="2835" w:hanging="2268"/>
        <w:rPr>
          <w:rFonts w:ascii="Times New Roman" w:hAnsi="Times New Roman" w:cs="Times New Roman"/>
          <w:bCs/>
        </w:rPr>
      </w:pPr>
      <w:r w:rsidRPr="008313D9">
        <w:rPr>
          <w:rFonts w:ascii="Times New Roman" w:hAnsi="Times New Roman" w:cs="Times New Roman"/>
          <w:bCs/>
        </w:rPr>
        <w:t xml:space="preserve">Budapest, </w:t>
      </w:r>
      <w:r w:rsidRPr="008313D9">
        <w:rPr>
          <w:rFonts w:ascii="Times New Roman" w:hAnsi="Times New Roman" w:cs="Times New Roman"/>
        </w:rPr>
        <w:t>2020. január 26.</w:t>
      </w:r>
    </w:p>
    <w:p w:rsidR="008313D9" w:rsidRPr="008313D9" w:rsidRDefault="008313D9" w:rsidP="008313D9">
      <w:pPr>
        <w:spacing w:after="0" w:line="240" w:lineRule="auto"/>
        <w:ind w:firstLine="3686"/>
        <w:jc w:val="center"/>
        <w:rPr>
          <w:rFonts w:ascii="Times New Roman" w:hAnsi="Times New Roman" w:cs="Times New Roman"/>
          <w:b/>
          <w:bCs/>
        </w:rPr>
      </w:pPr>
      <w:r w:rsidRPr="008313D9">
        <w:rPr>
          <w:rFonts w:ascii="Times New Roman" w:hAnsi="Times New Roman" w:cs="Times New Roman"/>
          <w:b/>
          <w:bCs/>
        </w:rPr>
        <w:t>Dr. Komjáthy Lajos</w:t>
      </w:r>
    </w:p>
    <w:p w:rsidR="008313D9" w:rsidRPr="008313D9" w:rsidRDefault="008313D9" w:rsidP="008313D9">
      <w:pPr>
        <w:spacing w:after="0" w:line="240" w:lineRule="auto"/>
        <w:ind w:firstLine="3686"/>
        <w:jc w:val="center"/>
        <w:rPr>
          <w:rFonts w:ascii="Times New Roman" w:hAnsi="Times New Roman" w:cs="Times New Roman"/>
          <w:b/>
          <w:bCs/>
        </w:rPr>
      </w:pPr>
      <w:r w:rsidRPr="008313D9">
        <w:rPr>
          <w:rFonts w:ascii="Times New Roman" w:hAnsi="Times New Roman" w:cs="Times New Roman"/>
          <w:bCs/>
        </w:rPr>
        <w:t>tantárgyfelelős</w:t>
      </w:r>
    </w:p>
    <w:p w:rsidR="008313D9" w:rsidRDefault="008313D9">
      <w:pPr>
        <w:spacing w:after="200" w:line="276" w:lineRule="auto"/>
        <w:rPr>
          <w:rFonts w:ascii="Times New Roman" w:hAnsi="Times New Roman" w:cs="Times New Roman"/>
          <w:sz w:val="24"/>
        </w:rPr>
      </w:pPr>
      <w:r>
        <w:rPr>
          <w:rFonts w:ascii="Times New Roman" w:hAnsi="Times New Roman" w:cs="Times New Roman"/>
          <w:sz w:val="24"/>
        </w:rPr>
        <w:br w:type="page"/>
      </w:r>
    </w:p>
    <w:tbl>
      <w:tblPr>
        <w:tblW w:w="9349" w:type="dxa"/>
        <w:tblInd w:w="113" w:type="dxa"/>
        <w:tblLook w:val="01E0" w:firstRow="1" w:lastRow="1" w:firstColumn="1" w:lastColumn="1" w:noHBand="0" w:noVBand="0"/>
      </w:tblPr>
      <w:tblGrid>
        <w:gridCol w:w="5132"/>
        <w:gridCol w:w="1620"/>
        <w:gridCol w:w="2597"/>
      </w:tblGrid>
      <w:tr w:rsidR="00D81655" w:rsidRPr="00D81655" w:rsidTr="003A1562">
        <w:tc>
          <w:tcPr>
            <w:tcW w:w="5132" w:type="dxa"/>
            <w:tcBorders>
              <w:bottom w:val="single" w:sz="4" w:space="0" w:color="auto"/>
            </w:tcBorders>
          </w:tcPr>
          <w:p w:rsidR="00D81655" w:rsidRPr="00D81655" w:rsidRDefault="00D81655" w:rsidP="00D81655">
            <w:pPr>
              <w:spacing w:after="0" w:line="240" w:lineRule="auto"/>
              <w:jc w:val="center"/>
              <w:rPr>
                <w:rFonts w:ascii="Times New Roman" w:eastAsia="Times New Roman" w:hAnsi="Times New Roman" w:cs="Times New Roman"/>
                <w:b/>
                <w:smallCaps/>
                <w:lang w:eastAsia="hu-HU"/>
              </w:rPr>
            </w:pPr>
            <w:r w:rsidRPr="00D81655">
              <w:rPr>
                <w:rFonts w:ascii="Times New Roman" w:eastAsia="Times New Roman" w:hAnsi="Times New Roman" w:cs="Times New Roman"/>
                <w:b/>
                <w:smallCaps/>
                <w:lang w:eastAsia="hu-HU"/>
              </w:rPr>
              <w:lastRenderedPageBreak/>
              <w:t>Nemzeti Közszolgálati Egyetem</w:t>
            </w:r>
          </w:p>
        </w:tc>
        <w:tc>
          <w:tcPr>
            <w:tcW w:w="1620" w:type="dxa"/>
          </w:tcPr>
          <w:p w:rsidR="00D81655" w:rsidRPr="00D81655" w:rsidRDefault="00D81655" w:rsidP="00D81655">
            <w:pPr>
              <w:spacing w:after="0" w:line="240" w:lineRule="auto"/>
              <w:jc w:val="both"/>
              <w:rPr>
                <w:rFonts w:ascii="Times New Roman" w:eastAsia="Times New Roman" w:hAnsi="Times New Roman" w:cs="Times New Roman"/>
                <w:lang w:eastAsia="hu-HU"/>
              </w:rPr>
            </w:pPr>
          </w:p>
        </w:tc>
        <w:tc>
          <w:tcPr>
            <w:tcW w:w="2597" w:type="dxa"/>
          </w:tcPr>
          <w:p w:rsidR="00D81655" w:rsidRPr="00D81655" w:rsidRDefault="00D81655" w:rsidP="00D81655">
            <w:pPr>
              <w:spacing w:after="0" w:line="240" w:lineRule="auto"/>
              <w:jc w:val="right"/>
              <w:rPr>
                <w:rFonts w:ascii="Times New Roman" w:eastAsia="Times New Roman" w:hAnsi="Times New Roman" w:cs="Times New Roman"/>
                <w:lang w:eastAsia="hu-HU"/>
              </w:rPr>
            </w:pPr>
          </w:p>
        </w:tc>
      </w:tr>
      <w:tr w:rsidR="00D81655" w:rsidRPr="00D81655" w:rsidTr="003A1562">
        <w:tc>
          <w:tcPr>
            <w:tcW w:w="5132" w:type="dxa"/>
            <w:tcBorders>
              <w:top w:val="single" w:sz="4" w:space="0" w:color="auto"/>
            </w:tcBorders>
          </w:tcPr>
          <w:p w:rsidR="00D81655" w:rsidRPr="00D81655" w:rsidRDefault="00D81655" w:rsidP="00D81655">
            <w:pPr>
              <w:spacing w:after="0" w:line="240" w:lineRule="auto"/>
              <w:jc w:val="center"/>
              <w:rPr>
                <w:rFonts w:ascii="Times New Roman" w:eastAsia="Times New Roman" w:hAnsi="Times New Roman" w:cs="Times New Roman"/>
                <w:b/>
                <w:lang w:eastAsia="hu-HU"/>
              </w:rPr>
            </w:pPr>
            <w:r w:rsidRPr="00D81655">
              <w:rPr>
                <w:rFonts w:ascii="Times New Roman" w:eastAsia="Times New Roman" w:hAnsi="Times New Roman" w:cs="Times New Roman"/>
                <w:b/>
                <w:noProof/>
                <w:lang w:eastAsia="hu-HU"/>
              </w:rPr>
              <w:t>Államtudományi és Nemzetközi Tanulmányok Kar</w:t>
            </w:r>
          </w:p>
        </w:tc>
        <w:tc>
          <w:tcPr>
            <w:tcW w:w="1620" w:type="dxa"/>
          </w:tcPr>
          <w:p w:rsidR="00D81655" w:rsidRPr="00D81655" w:rsidRDefault="00D81655" w:rsidP="00D81655">
            <w:pPr>
              <w:spacing w:after="0" w:line="240" w:lineRule="auto"/>
              <w:jc w:val="both"/>
              <w:rPr>
                <w:rFonts w:ascii="Times New Roman" w:eastAsia="Times New Roman" w:hAnsi="Times New Roman" w:cs="Times New Roman"/>
                <w:lang w:eastAsia="hu-HU"/>
              </w:rPr>
            </w:pPr>
          </w:p>
        </w:tc>
        <w:tc>
          <w:tcPr>
            <w:tcW w:w="2597" w:type="dxa"/>
          </w:tcPr>
          <w:p w:rsidR="00D81655" w:rsidRPr="00D81655" w:rsidRDefault="00D81655" w:rsidP="00D81655">
            <w:pPr>
              <w:spacing w:after="0" w:line="240" w:lineRule="auto"/>
              <w:jc w:val="both"/>
              <w:rPr>
                <w:rFonts w:ascii="Times New Roman" w:eastAsia="Times New Roman" w:hAnsi="Times New Roman" w:cs="Times New Roman"/>
                <w:lang w:eastAsia="hu-HU"/>
              </w:rPr>
            </w:pPr>
          </w:p>
        </w:tc>
      </w:tr>
    </w:tbl>
    <w:p w:rsidR="00D81655" w:rsidRPr="00D81655" w:rsidRDefault="00D81655" w:rsidP="00D81655">
      <w:pPr>
        <w:widowControl w:val="0"/>
        <w:spacing w:before="120" w:after="120" w:line="240" w:lineRule="auto"/>
        <w:ind w:left="426" w:hanging="142"/>
        <w:jc w:val="center"/>
        <w:rPr>
          <w:rFonts w:ascii="Times New Roman" w:eastAsia="Times New Roman" w:hAnsi="Times New Roman" w:cs="Times New Roman"/>
          <w:b/>
          <w:bCs/>
        </w:rPr>
      </w:pPr>
    </w:p>
    <w:p w:rsidR="00D81655" w:rsidRPr="00D81655" w:rsidRDefault="00D81655" w:rsidP="00D81655">
      <w:pPr>
        <w:widowControl w:val="0"/>
        <w:spacing w:before="120" w:after="120" w:line="240" w:lineRule="auto"/>
        <w:ind w:left="426" w:hanging="142"/>
        <w:jc w:val="center"/>
        <w:rPr>
          <w:rFonts w:ascii="Times New Roman" w:eastAsia="Times New Roman" w:hAnsi="Times New Roman" w:cs="Times New Roman"/>
          <w:b/>
          <w:bCs/>
        </w:rPr>
      </w:pPr>
      <w:r w:rsidRPr="00D81655">
        <w:rPr>
          <w:rFonts w:ascii="Times New Roman" w:eastAsia="Times New Roman" w:hAnsi="Times New Roman" w:cs="Times New Roman"/>
          <w:b/>
          <w:bCs/>
        </w:rPr>
        <w:t>TANTÁRGYI PROGRAM</w:t>
      </w:r>
    </w:p>
    <w:p w:rsidR="00D81655" w:rsidRPr="00D81655" w:rsidRDefault="00D81655" w:rsidP="00980876">
      <w:pPr>
        <w:widowControl w:val="0"/>
        <w:numPr>
          <w:ilvl w:val="0"/>
          <w:numId w:val="823"/>
        </w:numPr>
        <w:tabs>
          <w:tab w:val="num" w:pos="567"/>
        </w:tabs>
        <w:spacing w:before="120" w:after="120" w:line="240" w:lineRule="auto"/>
        <w:ind w:hanging="218"/>
        <w:jc w:val="both"/>
        <w:rPr>
          <w:rFonts w:ascii="Times New Roman" w:eastAsia="Times New Roman" w:hAnsi="Times New Roman" w:cs="Times New Roman"/>
          <w:bCs/>
        </w:rPr>
      </w:pPr>
      <w:r w:rsidRPr="00D81655">
        <w:rPr>
          <w:rFonts w:ascii="Times New Roman" w:eastAsia="Times New Roman" w:hAnsi="Times New Roman" w:cs="Times New Roman"/>
          <w:b/>
          <w:bCs/>
        </w:rPr>
        <w:t xml:space="preserve">A tantárgy kódja: </w:t>
      </w:r>
      <w:r w:rsidRPr="00D81655">
        <w:rPr>
          <w:rFonts w:ascii="Times New Roman" w:eastAsia="Times New Roman" w:hAnsi="Times New Roman" w:cs="Times New Roman"/>
          <w:bCs/>
          <w:noProof/>
        </w:rPr>
        <w:t>ÁÁJTB01</w:t>
      </w:r>
    </w:p>
    <w:p w:rsidR="00D81655" w:rsidRPr="00D81655" w:rsidRDefault="00D81655" w:rsidP="00980876">
      <w:pPr>
        <w:widowControl w:val="0"/>
        <w:numPr>
          <w:ilvl w:val="0"/>
          <w:numId w:val="823"/>
        </w:numPr>
        <w:tabs>
          <w:tab w:val="num" w:pos="567"/>
          <w:tab w:val="num" w:pos="720"/>
        </w:tabs>
        <w:spacing w:before="120" w:after="120" w:line="240" w:lineRule="auto"/>
        <w:ind w:left="426" w:hanging="142"/>
        <w:jc w:val="both"/>
        <w:rPr>
          <w:rFonts w:ascii="Times New Roman" w:eastAsia="Times New Roman" w:hAnsi="Times New Roman" w:cs="Times New Roman"/>
          <w:b/>
          <w:bCs/>
          <w:lang w:val="en-GB"/>
        </w:rPr>
      </w:pPr>
      <w:r w:rsidRPr="00D81655">
        <w:rPr>
          <w:rFonts w:ascii="Times New Roman" w:eastAsia="Times New Roman" w:hAnsi="Times New Roman" w:cs="Times New Roman"/>
          <w:b/>
          <w:bCs/>
        </w:rPr>
        <w:t>A tantárgy megnevezése (magyarul):</w:t>
      </w:r>
      <w:r w:rsidRPr="00D81655">
        <w:rPr>
          <w:rFonts w:ascii="Times New Roman" w:eastAsia="Times New Roman" w:hAnsi="Times New Roman" w:cs="Times New Roman"/>
          <w:bCs/>
        </w:rPr>
        <w:t xml:space="preserve"> </w:t>
      </w:r>
      <w:r w:rsidRPr="00D81655">
        <w:rPr>
          <w:rFonts w:ascii="Times New Roman" w:eastAsia="Times New Roman" w:hAnsi="Times New Roman" w:cs="Times New Roman"/>
          <w:bCs/>
          <w:noProof/>
        </w:rPr>
        <w:t>Anthologia Historica (Szakaszok az újkori egyetemes és magyar történelemből)</w:t>
      </w:r>
    </w:p>
    <w:p w:rsidR="00D81655" w:rsidRPr="00D81655" w:rsidRDefault="00D81655" w:rsidP="00980876">
      <w:pPr>
        <w:widowControl w:val="0"/>
        <w:numPr>
          <w:ilvl w:val="0"/>
          <w:numId w:val="823"/>
        </w:numPr>
        <w:tabs>
          <w:tab w:val="num" w:pos="567"/>
          <w:tab w:val="num" w:pos="720"/>
        </w:tabs>
        <w:spacing w:before="120" w:after="120" w:line="240" w:lineRule="auto"/>
        <w:ind w:left="426" w:hanging="142"/>
        <w:jc w:val="both"/>
        <w:rPr>
          <w:rFonts w:ascii="Times New Roman" w:eastAsia="Times New Roman" w:hAnsi="Times New Roman" w:cs="Times New Roman"/>
          <w:b/>
          <w:bCs/>
          <w:lang w:val="en-GB"/>
        </w:rPr>
      </w:pPr>
      <w:r w:rsidRPr="00D81655">
        <w:rPr>
          <w:rFonts w:ascii="Times New Roman" w:eastAsia="Times New Roman" w:hAnsi="Times New Roman" w:cs="Times New Roman"/>
          <w:b/>
          <w:bCs/>
        </w:rPr>
        <w:t xml:space="preserve">A tantárgy megnevezése (angolul): </w:t>
      </w:r>
      <w:r w:rsidRPr="00D81655">
        <w:rPr>
          <w:rFonts w:ascii="Times New Roman" w:eastAsia="Times New Roman" w:hAnsi="Times New Roman" w:cs="Times New Roman"/>
          <w:bCs/>
          <w:noProof/>
        </w:rPr>
        <w:t>Anthologia Historica (Phases from the History of Hungary and Europe)</w:t>
      </w:r>
    </w:p>
    <w:p w:rsidR="00D81655" w:rsidRPr="00D81655" w:rsidRDefault="00D81655" w:rsidP="00980876">
      <w:pPr>
        <w:widowControl w:val="0"/>
        <w:numPr>
          <w:ilvl w:val="0"/>
          <w:numId w:val="823"/>
        </w:numPr>
        <w:tabs>
          <w:tab w:val="num" w:pos="567"/>
          <w:tab w:val="num" w:pos="720"/>
        </w:tabs>
        <w:spacing w:before="120" w:after="120" w:line="240" w:lineRule="auto"/>
        <w:ind w:left="426" w:hanging="142"/>
        <w:jc w:val="both"/>
        <w:rPr>
          <w:rFonts w:ascii="Times New Roman" w:eastAsia="Times New Roman" w:hAnsi="Times New Roman" w:cs="Times New Roman"/>
          <w:b/>
          <w:bCs/>
        </w:rPr>
      </w:pPr>
      <w:r w:rsidRPr="00D81655">
        <w:rPr>
          <w:rFonts w:ascii="Times New Roman" w:eastAsia="Times New Roman" w:hAnsi="Times New Roman" w:cs="Times New Roman"/>
          <w:b/>
          <w:bCs/>
        </w:rPr>
        <w:t xml:space="preserve">Kreditérték és képzési karakter: </w:t>
      </w:r>
    </w:p>
    <w:p w:rsidR="00D81655" w:rsidRPr="00D81655" w:rsidRDefault="00D81655" w:rsidP="00980876">
      <w:pPr>
        <w:widowControl w:val="0"/>
        <w:numPr>
          <w:ilvl w:val="1"/>
          <w:numId w:val="823"/>
        </w:numPr>
        <w:spacing w:before="120" w:after="120" w:line="240" w:lineRule="auto"/>
        <w:ind w:left="993" w:hanging="426"/>
        <w:contextualSpacing/>
        <w:jc w:val="both"/>
        <w:rPr>
          <w:rFonts w:ascii="Times New Roman" w:eastAsia="Times New Roman" w:hAnsi="Times New Roman" w:cs="Times New Roman"/>
          <w:b/>
          <w:bCs/>
        </w:rPr>
      </w:pPr>
      <w:r w:rsidRPr="00D81655">
        <w:rPr>
          <w:rFonts w:ascii="Times New Roman" w:eastAsia="Times New Roman" w:hAnsi="Times New Roman" w:cs="Times New Roman"/>
          <w:bCs/>
          <w:noProof/>
        </w:rPr>
        <w:t>2</w:t>
      </w:r>
      <w:r w:rsidRPr="00D81655">
        <w:rPr>
          <w:rFonts w:ascii="Times New Roman" w:eastAsia="Times New Roman" w:hAnsi="Times New Roman" w:cs="Times New Roman"/>
          <w:bCs/>
        </w:rPr>
        <w:t xml:space="preserve"> kredit</w:t>
      </w:r>
    </w:p>
    <w:p w:rsidR="00D81655" w:rsidRPr="00D81655" w:rsidRDefault="00D81655" w:rsidP="00980876">
      <w:pPr>
        <w:widowControl w:val="0"/>
        <w:numPr>
          <w:ilvl w:val="1"/>
          <w:numId w:val="823"/>
        </w:numPr>
        <w:spacing w:before="120" w:after="120" w:line="240" w:lineRule="auto"/>
        <w:ind w:left="993" w:hanging="426"/>
        <w:contextualSpacing/>
        <w:jc w:val="both"/>
        <w:rPr>
          <w:rFonts w:ascii="Times New Roman" w:eastAsia="Times New Roman" w:hAnsi="Times New Roman" w:cs="Times New Roman"/>
          <w:b/>
          <w:bCs/>
        </w:rPr>
      </w:pPr>
      <w:r w:rsidRPr="00D81655">
        <w:rPr>
          <w:rFonts w:ascii="Times New Roman" w:eastAsia="Times New Roman" w:hAnsi="Times New Roman" w:cs="Times New Roman"/>
          <w:bCs/>
        </w:rPr>
        <w:t xml:space="preserve">a tantárgy elméleti vagy gyakorlati jellegének mértéke: </w:t>
      </w:r>
      <w:r w:rsidRPr="00D81655">
        <w:rPr>
          <w:rFonts w:ascii="Times New Roman" w:eastAsia="Times New Roman" w:hAnsi="Times New Roman" w:cs="Times New Roman"/>
          <w:bCs/>
          <w:noProof/>
        </w:rPr>
        <w:t>100</w:t>
      </w:r>
      <w:r w:rsidRPr="00D81655">
        <w:rPr>
          <w:rFonts w:ascii="Times New Roman" w:eastAsia="Times New Roman" w:hAnsi="Times New Roman" w:cs="Times New Roman"/>
          <w:bCs/>
        </w:rPr>
        <w:t xml:space="preserve">% gyakorlat, </w:t>
      </w:r>
      <w:r w:rsidRPr="00D81655">
        <w:rPr>
          <w:rFonts w:ascii="Times New Roman" w:eastAsia="Times New Roman" w:hAnsi="Times New Roman" w:cs="Times New Roman"/>
          <w:bCs/>
          <w:noProof/>
        </w:rPr>
        <w:t>0</w:t>
      </w:r>
      <w:r w:rsidRPr="00D81655">
        <w:rPr>
          <w:rFonts w:ascii="Times New Roman" w:eastAsia="Times New Roman" w:hAnsi="Times New Roman" w:cs="Times New Roman"/>
          <w:bCs/>
        </w:rPr>
        <w:t>% elmélet</w:t>
      </w:r>
    </w:p>
    <w:p w:rsidR="00D81655" w:rsidRPr="00D81655" w:rsidRDefault="00D81655" w:rsidP="00980876">
      <w:pPr>
        <w:widowControl w:val="0"/>
        <w:numPr>
          <w:ilvl w:val="0"/>
          <w:numId w:val="823"/>
        </w:numPr>
        <w:tabs>
          <w:tab w:val="num" w:pos="720"/>
        </w:tabs>
        <w:spacing w:before="120" w:after="120" w:line="240" w:lineRule="auto"/>
        <w:ind w:left="426" w:hanging="142"/>
        <w:jc w:val="both"/>
        <w:rPr>
          <w:rFonts w:ascii="Times New Roman" w:eastAsia="Times New Roman" w:hAnsi="Times New Roman" w:cs="Times New Roman"/>
          <w:bCs/>
        </w:rPr>
      </w:pPr>
      <w:r w:rsidRPr="00D81655">
        <w:rPr>
          <w:rFonts w:ascii="Times New Roman" w:eastAsia="Times New Roman" w:hAnsi="Times New Roman" w:cs="Times New Roman"/>
          <w:b/>
          <w:bCs/>
        </w:rPr>
        <w:t>A szak(ok), szakirányok/specializációk megnevezése (ahol oktatják):</w:t>
      </w:r>
      <w:r w:rsidRPr="00D81655">
        <w:rPr>
          <w:rFonts w:ascii="Times New Roman" w:eastAsia="Times New Roman" w:hAnsi="Times New Roman" w:cs="Times New Roman"/>
          <w:bCs/>
        </w:rPr>
        <w:t xml:space="preserve"> </w:t>
      </w:r>
      <w:r w:rsidRPr="00D81655">
        <w:rPr>
          <w:rFonts w:ascii="Times New Roman" w:eastAsia="Times New Roman" w:hAnsi="Times New Roman" w:cs="Times New Roman"/>
          <w:bCs/>
          <w:noProof/>
        </w:rPr>
        <w:t>A Nemzeti Közszolgálati Egyetem minden alapképzési szakán</w:t>
      </w:r>
      <w:r w:rsidRPr="00D81655">
        <w:rPr>
          <w:rFonts w:ascii="Times New Roman" w:eastAsia="Times New Roman" w:hAnsi="Times New Roman" w:cs="Times New Roman"/>
          <w:bCs/>
        </w:rPr>
        <w:t xml:space="preserve"> </w:t>
      </w:r>
    </w:p>
    <w:p w:rsidR="00D81655" w:rsidRPr="00D81655" w:rsidRDefault="00D81655" w:rsidP="00980876">
      <w:pPr>
        <w:widowControl w:val="0"/>
        <w:numPr>
          <w:ilvl w:val="0"/>
          <w:numId w:val="823"/>
        </w:numPr>
        <w:tabs>
          <w:tab w:val="num" w:pos="567"/>
          <w:tab w:val="num" w:pos="720"/>
        </w:tabs>
        <w:spacing w:before="120" w:after="120" w:line="240" w:lineRule="auto"/>
        <w:ind w:left="426" w:hanging="142"/>
        <w:jc w:val="both"/>
        <w:rPr>
          <w:rFonts w:ascii="Times New Roman" w:eastAsia="Times New Roman" w:hAnsi="Times New Roman" w:cs="Times New Roman"/>
          <w:bCs/>
        </w:rPr>
      </w:pPr>
      <w:r w:rsidRPr="00D81655">
        <w:rPr>
          <w:rFonts w:ascii="Times New Roman" w:eastAsia="Times New Roman" w:hAnsi="Times New Roman" w:cs="Times New Roman"/>
          <w:b/>
          <w:bCs/>
        </w:rPr>
        <w:t xml:space="preserve">Az oktatásért felelős oktatási szervezeti egység megnevezése: </w:t>
      </w:r>
      <w:r w:rsidRPr="00D81655">
        <w:rPr>
          <w:rFonts w:ascii="Times New Roman" w:eastAsia="Times New Roman" w:hAnsi="Times New Roman" w:cs="Times New Roman"/>
          <w:bCs/>
          <w:noProof/>
        </w:rPr>
        <w:t>Államtudományi és Nemzetközi Tanulmányok Kar</w:t>
      </w:r>
      <w:r w:rsidRPr="00D81655">
        <w:rPr>
          <w:rFonts w:ascii="Times New Roman" w:eastAsia="Times New Roman" w:hAnsi="Times New Roman" w:cs="Times New Roman"/>
          <w:bCs/>
        </w:rPr>
        <w:t xml:space="preserve">, </w:t>
      </w:r>
      <w:r w:rsidRPr="00D81655">
        <w:rPr>
          <w:rFonts w:ascii="Times New Roman" w:eastAsia="Times New Roman" w:hAnsi="Times New Roman" w:cs="Times New Roman"/>
          <w:bCs/>
          <w:noProof/>
        </w:rPr>
        <w:t>Állam- és Jogtörténeti Tanszék</w:t>
      </w:r>
    </w:p>
    <w:p w:rsidR="00D81655" w:rsidRPr="00D81655" w:rsidRDefault="00D81655" w:rsidP="00980876">
      <w:pPr>
        <w:widowControl w:val="0"/>
        <w:numPr>
          <w:ilvl w:val="0"/>
          <w:numId w:val="823"/>
        </w:numPr>
        <w:tabs>
          <w:tab w:val="num" w:pos="567"/>
          <w:tab w:val="num" w:pos="720"/>
        </w:tabs>
        <w:spacing w:before="120" w:after="120" w:line="240" w:lineRule="auto"/>
        <w:ind w:left="426" w:hanging="142"/>
        <w:jc w:val="both"/>
        <w:rPr>
          <w:rFonts w:ascii="Times New Roman" w:eastAsia="Times New Roman" w:hAnsi="Times New Roman" w:cs="Times New Roman"/>
          <w:bCs/>
        </w:rPr>
      </w:pPr>
      <w:r w:rsidRPr="00D81655">
        <w:rPr>
          <w:rFonts w:ascii="Times New Roman" w:eastAsia="Times New Roman" w:hAnsi="Times New Roman" w:cs="Times New Roman"/>
          <w:b/>
          <w:bCs/>
        </w:rPr>
        <w:t>A tantárgyfelelős oktató neve, beosztása, tudományos fokozata:</w:t>
      </w:r>
      <w:r w:rsidRPr="00D81655">
        <w:rPr>
          <w:rFonts w:ascii="Times New Roman" w:eastAsia="Times New Roman" w:hAnsi="Times New Roman" w:cs="Times New Roman"/>
          <w:bCs/>
        </w:rPr>
        <w:t xml:space="preserve"> </w:t>
      </w:r>
      <w:r w:rsidRPr="00D81655">
        <w:rPr>
          <w:rFonts w:ascii="Times New Roman" w:eastAsia="Times New Roman" w:hAnsi="Times New Roman" w:cs="Times New Roman"/>
          <w:bCs/>
          <w:noProof/>
        </w:rPr>
        <w:t>Dr. Barna Attila</w:t>
      </w:r>
      <w:r w:rsidRPr="00D81655">
        <w:rPr>
          <w:rFonts w:ascii="Times New Roman" w:eastAsia="Times New Roman" w:hAnsi="Times New Roman" w:cs="Times New Roman"/>
          <w:bCs/>
        </w:rPr>
        <w:t xml:space="preserve">, </w:t>
      </w:r>
      <w:r w:rsidRPr="00D81655">
        <w:rPr>
          <w:rFonts w:ascii="Times New Roman" w:eastAsia="Times New Roman" w:hAnsi="Times New Roman" w:cs="Times New Roman"/>
          <w:bCs/>
          <w:noProof/>
        </w:rPr>
        <w:t>PhD</w:t>
      </w:r>
      <w:r w:rsidRPr="00D81655">
        <w:rPr>
          <w:rFonts w:ascii="Times New Roman" w:eastAsia="Times New Roman" w:hAnsi="Times New Roman" w:cs="Times New Roman"/>
          <w:bCs/>
        </w:rPr>
        <w:t xml:space="preserve">, </w:t>
      </w:r>
      <w:r w:rsidRPr="00D81655">
        <w:rPr>
          <w:rFonts w:ascii="Times New Roman" w:eastAsia="Times New Roman" w:hAnsi="Times New Roman" w:cs="Times New Roman"/>
          <w:bCs/>
          <w:noProof/>
        </w:rPr>
        <w:t>egyetemi docens</w:t>
      </w:r>
    </w:p>
    <w:p w:rsidR="00D81655" w:rsidRPr="00D81655" w:rsidRDefault="00D81655" w:rsidP="00980876">
      <w:pPr>
        <w:widowControl w:val="0"/>
        <w:numPr>
          <w:ilvl w:val="0"/>
          <w:numId w:val="823"/>
        </w:numPr>
        <w:tabs>
          <w:tab w:val="num" w:pos="720"/>
        </w:tabs>
        <w:spacing w:before="120" w:after="120" w:line="240" w:lineRule="auto"/>
        <w:ind w:left="426" w:hanging="142"/>
        <w:jc w:val="both"/>
        <w:rPr>
          <w:rFonts w:ascii="Times New Roman" w:eastAsia="Times New Roman" w:hAnsi="Times New Roman" w:cs="Times New Roman"/>
          <w:bCs/>
        </w:rPr>
      </w:pPr>
      <w:r w:rsidRPr="00D81655">
        <w:rPr>
          <w:rFonts w:ascii="Times New Roman" w:eastAsia="Times New Roman" w:hAnsi="Times New Roman" w:cs="Times New Roman"/>
          <w:b/>
          <w:bCs/>
        </w:rPr>
        <w:t>A tanórák száma és típusa</w:t>
      </w:r>
    </w:p>
    <w:p w:rsidR="00D81655" w:rsidRPr="00D81655" w:rsidRDefault="00D81655" w:rsidP="00980876">
      <w:pPr>
        <w:widowControl w:val="0"/>
        <w:numPr>
          <w:ilvl w:val="1"/>
          <w:numId w:val="823"/>
        </w:numPr>
        <w:tabs>
          <w:tab w:val="num" w:pos="2069"/>
        </w:tabs>
        <w:spacing w:before="120" w:after="120" w:line="240" w:lineRule="auto"/>
        <w:ind w:left="851" w:hanging="425"/>
        <w:jc w:val="both"/>
        <w:rPr>
          <w:rFonts w:ascii="Times New Roman" w:eastAsia="Times New Roman" w:hAnsi="Times New Roman" w:cs="Times New Roman"/>
          <w:bCs/>
        </w:rPr>
      </w:pPr>
      <w:r w:rsidRPr="00D81655">
        <w:rPr>
          <w:rFonts w:ascii="Times New Roman" w:eastAsia="Times New Roman" w:hAnsi="Times New Roman" w:cs="Times New Roman"/>
          <w:bCs/>
        </w:rPr>
        <w:t>össz óraszám/félév:</w:t>
      </w:r>
    </w:p>
    <w:p w:rsidR="00D81655" w:rsidRPr="00D81655" w:rsidRDefault="00D81655" w:rsidP="00980876">
      <w:pPr>
        <w:widowControl w:val="0"/>
        <w:numPr>
          <w:ilvl w:val="2"/>
          <w:numId w:val="823"/>
        </w:numPr>
        <w:tabs>
          <w:tab w:val="num" w:pos="1134"/>
        </w:tabs>
        <w:spacing w:before="120" w:after="120" w:line="240" w:lineRule="auto"/>
        <w:ind w:left="851" w:hanging="425"/>
        <w:jc w:val="both"/>
        <w:rPr>
          <w:rFonts w:ascii="Times New Roman" w:eastAsia="Times New Roman" w:hAnsi="Times New Roman" w:cs="Times New Roman"/>
          <w:bCs/>
        </w:rPr>
      </w:pPr>
      <w:r w:rsidRPr="00D81655">
        <w:rPr>
          <w:rFonts w:ascii="Times New Roman" w:eastAsia="Times New Roman" w:hAnsi="Times New Roman" w:cs="Times New Roman"/>
          <w:bCs/>
        </w:rPr>
        <w:t xml:space="preserve">nappali munkarend: </w:t>
      </w:r>
      <w:r w:rsidRPr="00D81655">
        <w:rPr>
          <w:rFonts w:ascii="Times New Roman" w:eastAsia="Times New Roman" w:hAnsi="Times New Roman" w:cs="Times New Roman"/>
          <w:bCs/>
          <w:noProof/>
        </w:rPr>
        <w:t>28</w:t>
      </w:r>
      <w:r w:rsidRPr="00D81655">
        <w:rPr>
          <w:rFonts w:ascii="Times New Roman" w:eastAsia="Times New Roman" w:hAnsi="Times New Roman" w:cs="Times New Roman"/>
          <w:bCs/>
        </w:rPr>
        <w:t xml:space="preserve"> (</w:t>
      </w:r>
      <w:r w:rsidRPr="00D81655">
        <w:rPr>
          <w:rFonts w:ascii="Times New Roman" w:eastAsia="Times New Roman" w:hAnsi="Times New Roman" w:cs="Times New Roman"/>
          <w:bCs/>
          <w:noProof/>
        </w:rPr>
        <w:t>0</w:t>
      </w:r>
      <w:r w:rsidRPr="00D81655">
        <w:rPr>
          <w:rFonts w:ascii="Times New Roman" w:eastAsia="Times New Roman" w:hAnsi="Times New Roman" w:cs="Times New Roman"/>
          <w:bCs/>
        </w:rPr>
        <w:t xml:space="preserve"> EA + </w:t>
      </w:r>
      <w:r w:rsidRPr="00D81655">
        <w:rPr>
          <w:rFonts w:ascii="Times New Roman" w:eastAsia="Times New Roman" w:hAnsi="Times New Roman" w:cs="Times New Roman"/>
          <w:bCs/>
          <w:noProof/>
        </w:rPr>
        <w:t>28</w:t>
      </w:r>
      <w:r w:rsidRPr="00D81655">
        <w:rPr>
          <w:rFonts w:ascii="Times New Roman" w:eastAsia="Times New Roman" w:hAnsi="Times New Roman" w:cs="Times New Roman"/>
          <w:bCs/>
        </w:rPr>
        <w:t xml:space="preserve"> GY)</w:t>
      </w:r>
    </w:p>
    <w:p w:rsidR="00D81655" w:rsidRPr="00D81655" w:rsidRDefault="00D81655" w:rsidP="00980876">
      <w:pPr>
        <w:widowControl w:val="0"/>
        <w:numPr>
          <w:ilvl w:val="2"/>
          <w:numId w:val="823"/>
        </w:numPr>
        <w:tabs>
          <w:tab w:val="num" w:pos="1134"/>
        </w:tabs>
        <w:spacing w:before="120" w:after="120" w:line="240" w:lineRule="auto"/>
        <w:ind w:left="851" w:hanging="425"/>
        <w:jc w:val="both"/>
        <w:rPr>
          <w:rFonts w:ascii="Times New Roman" w:eastAsia="Times New Roman" w:hAnsi="Times New Roman" w:cs="Times New Roman"/>
          <w:bCs/>
        </w:rPr>
      </w:pPr>
      <w:r w:rsidRPr="00D81655">
        <w:rPr>
          <w:rFonts w:ascii="Times New Roman" w:eastAsia="Times New Roman" w:hAnsi="Times New Roman" w:cs="Times New Roman"/>
          <w:bCs/>
        </w:rPr>
        <w:t xml:space="preserve">levelező munkarend: </w:t>
      </w:r>
      <w:r w:rsidRPr="00D81655">
        <w:rPr>
          <w:rFonts w:ascii="Times New Roman" w:eastAsia="Times New Roman" w:hAnsi="Times New Roman" w:cs="Times New Roman"/>
          <w:bCs/>
          <w:noProof/>
        </w:rPr>
        <w:t>8</w:t>
      </w:r>
      <w:r w:rsidRPr="00D81655">
        <w:rPr>
          <w:rFonts w:ascii="Times New Roman" w:eastAsia="Times New Roman" w:hAnsi="Times New Roman" w:cs="Times New Roman"/>
          <w:bCs/>
        </w:rPr>
        <w:t xml:space="preserve"> (</w:t>
      </w:r>
      <w:r w:rsidRPr="00D81655">
        <w:rPr>
          <w:rFonts w:ascii="Times New Roman" w:eastAsia="Times New Roman" w:hAnsi="Times New Roman" w:cs="Times New Roman"/>
          <w:bCs/>
          <w:noProof/>
        </w:rPr>
        <w:t>0</w:t>
      </w:r>
      <w:r w:rsidRPr="00D81655">
        <w:rPr>
          <w:rFonts w:ascii="Times New Roman" w:eastAsia="Times New Roman" w:hAnsi="Times New Roman" w:cs="Times New Roman"/>
          <w:bCs/>
        </w:rPr>
        <w:t xml:space="preserve"> EA + </w:t>
      </w:r>
      <w:r w:rsidRPr="00D81655">
        <w:rPr>
          <w:rFonts w:ascii="Times New Roman" w:eastAsia="Times New Roman" w:hAnsi="Times New Roman" w:cs="Times New Roman"/>
          <w:bCs/>
          <w:noProof/>
        </w:rPr>
        <w:t>8</w:t>
      </w:r>
      <w:r w:rsidRPr="00D81655">
        <w:rPr>
          <w:rFonts w:ascii="Times New Roman" w:eastAsia="Times New Roman" w:hAnsi="Times New Roman" w:cs="Times New Roman"/>
          <w:bCs/>
        </w:rPr>
        <w:t xml:space="preserve"> GY)</w:t>
      </w:r>
    </w:p>
    <w:p w:rsidR="00D81655" w:rsidRPr="00D81655" w:rsidRDefault="00D81655" w:rsidP="00980876">
      <w:pPr>
        <w:widowControl w:val="0"/>
        <w:numPr>
          <w:ilvl w:val="1"/>
          <w:numId w:val="823"/>
        </w:numPr>
        <w:tabs>
          <w:tab w:val="num" w:pos="2069"/>
        </w:tabs>
        <w:spacing w:before="120" w:after="120" w:line="240" w:lineRule="auto"/>
        <w:ind w:left="851" w:hanging="425"/>
        <w:jc w:val="both"/>
        <w:rPr>
          <w:rFonts w:ascii="Times New Roman" w:eastAsia="Times New Roman" w:hAnsi="Times New Roman" w:cs="Times New Roman"/>
          <w:bCs/>
        </w:rPr>
      </w:pPr>
      <w:r w:rsidRPr="00D81655">
        <w:rPr>
          <w:rFonts w:ascii="Times New Roman" w:eastAsia="Times New Roman" w:hAnsi="Times New Roman" w:cs="Times New Roman"/>
          <w:bCs/>
        </w:rPr>
        <w:t xml:space="preserve">heti óraszám - nappali munkarend: </w:t>
      </w:r>
      <w:r w:rsidRPr="00D81655">
        <w:rPr>
          <w:rFonts w:ascii="Times New Roman" w:eastAsia="Times New Roman" w:hAnsi="Times New Roman" w:cs="Times New Roman"/>
          <w:bCs/>
          <w:noProof/>
        </w:rPr>
        <w:t>2</w:t>
      </w:r>
      <w:r w:rsidRPr="00D81655">
        <w:rPr>
          <w:rFonts w:ascii="Times New Roman" w:eastAsia="Times New Roman" w:hAnsi="Times New Roman" w:cs="Times New Roman"/>
          <w:bCs/>
        </w:rPr>
        <w:t xml:space="preserve"> (</w:t>
      </w:r>
      <w:r w:rsidRPr="00D81655">
        <w:rPr>
          <w:rFonts w:ascii="Times New Roman" w:eastAsia="Times New Roman" w:hAnsi="Times New Roman" w:cs="Times New Roman"/>
          <w:bCs/>
          <w:noProof/>
        </w:rPr>
        <w:t>0</w:t>
      </w:r>
      <w:r w:rsidRPr="00D81655">
        <w:rPr>
          <w:rFonts w:ascii="Times New Roman" w:eastAsia="Times New Roman" w:hAnsi="Times New Roman" w:cs="Times New Roman"/>
          <w:bCs/>
        </w:rPr>
        <w:t xml:space="preserve"> EA + </w:t>
      </w:r>
      <w:r w:rsidRPr="00D81655">
        <w:rPr>
          <w:rFonts w:ascii="Times New Roman" w:eastAsia="Times New Roman" w:hAnsi="Times New Roman" w:cs="Times New Roman"/>
          <w:bCs/>
          <w:noProof/>
        </w:rPr>
        <w:t>2</w:t>
      </w:r>
      <w:r w:rsidRPr="00D81655">
        <w:rPr>
          <w:rFonts w:ascii="Times New Roman" w:eastAsia="Times New Roman" w:hAnsi="Times New Roman" w:cs="Times New Roman"/>
          <w:bCs/>
        </w:rPr>
        <w:t xml:space="preserve"> GY)</w:t>
      </w:r>
    </w:p>
    <w:p w:rsidR="00D81655" w:rsidRPr="00D81655" w:rsidRDefault="00D81655" w:rsidP="00980876">
      <w:pPr>
        <w:widowControl w:val="0"/>
        <w:numPr>
          <w:ilvl w:val="1"/>
          <w:numId w:val="823"/>
        </w:numPr>
        <w:tabs>
          <w:tab w:val="num" w:pos="2069"/>
        </w:tabs>
        <w:spacing w:before="120" w:after="120" w:line="240" w:lineRule="auto"/>
        <w:ind w:left="851" w:hanging="425"/>
        <w:jc w:val="both"/>
        <w:rPr>
          <w:rFonts w:ascii="Times New Roman" w:eastAsia="Times New Roman" w:hAnsi="Times New Roman" w:cs="Times New Roman"/>
          <w:bCs/>
        </w:rPr>
      </w:pPr>
      <w:r w:rsidRPr="00D81655">
        <w:rPr>
          <w:rFonts w:ascii="Times New Roman" w:eastAsia="Calibri" w:hAnsi="Times New Roman" w:cs="Times New Roman"/>
        </w:rPr>
        <w:t xml:space="preserve">Az ismeret átadásában alkalmazandó további sajátos módok, jellemzők: </w:t>
      </w:r>
      <w:r w:rsidRPr="00D81655">
        <w:rPr>
          <w:rFonts w:ascii="Times New Roman" w:eastAsia="Calibri" w:hAnsi="Times New Roman" w:cs="Times New Roman"/>
          <w:noProof/>
        </w:rPr>
        <w:t>-</w:t>
      </w:r>
      <w:r w:rsidRPr="00D81655">
        <w:rPr>
          <w:rFonts w:ascii="Times New Roman" w:eastAsia="Calibri" w:hAnsi="Times New Roman" w:cs="Times New Roman"/>
        </w:rPr>
        <w:t xml:space="preserve"> </w:t>
      </w:r>
    </w:p>
    <w:p w:rsidR="00D81655" w:rsidRPr="00D81655" w:rsidRDefault="00D81655" w:rsidP="00980876">
      <w:pPr>
        <w:widowControl w:val="0"/>
        <w:numPr>
          <w:ilvl w:val="0"/>
          <w:numId w:val="823"/>
        </w:numPr>
        <w:tabs>
          <w:tab w:val="num" w:pos="720"/>
        </w:tabs>
        <w:spacing w:before="120" w:after="120" w:line="240" w:lineRule="auto"/>
        <w:ind w:left="426" w:hanging="142"/>
        <w:jc w:val="both"/>
        <w:rPr>
          <w:rFonts w:ascii="Times New Roman" w:eastAsia="Times New Roman" w:hAnsi="Times New Roman" w:cs="Times New Roman"/>
          <w:bCs/>
        </w:rPr>
      </w:pPr>
      <w:r w:rsidRPr="00D81655">
        <w:rPr>
          <w:rFonts w:ascii="Times New Roman" w:eastAsia="Times New Roman" w:hAnsi="Times New Roman" w:cs="Times New Roman"/>
          <w:b/>
          <w:bCs/>
        </w:rPr>
        <w:t>A tantárgy szakmai tartalma (magyarul):</w:t>
      </w:r>
      <w:r w:rsidRPr="00D81655">
        <w:rPr>
          <w:rFonts w:ascii="Times New Roman" w:eastAsia="Times New Roman" w:hAnsi="Times New Roman" w:cs="Times New Roman"/>
          <w:bCs/>
        </w:rPr>
        <w:t xml:space="preserve"> </w:t>
      </w:r>
      <w:r w:rsidRPr="00D81655">
        <w:rPr>
          <w:rFonts w:ascii="Times New Roman" w:eastAsia="Times New Roman" w:hAnsi="Times New Roman" w:cs="Times New Roman"/>
          <w:bCs/>
          <w:noProof/>
        </w:rPr>
        <w:t>A képzésben résztvevő hallgatók átfogó módon ismerkedhetnek meg a magyar történelem legfontosabb történelmi problémáival s ezek egyetemes történeti kontextusaival. Bár az európai történelem és a hozzá ezer év óta folyamatos állami léttel szervesen kapcsolódó magyar történelem rendkívüli gazdagsága nem ragadható meg még a legfelkészültebb történészek számára sem, viszont élményszerűvé tehető, ha kalauzul valóban mesterműveket, illetve a történelmi szereplőket emberközelbe állító és/vagy mítoszokon felül emelkedő olvasmányokat választunk. Elérendő cél: világos ismeretek megszerzése a történetírók lehetőségeiről, a legfontosabb egyetemes- és magyar történelmi problémákról, a magyar történetírás kiválasztott klasszikus szerzőinek megismerése, a legfontosabb egyetemes és magyar történelmi személyiségek dilemmáinak megismertetése. A válogatás szándékosan Nyugat-központú, a Keletről jött magyar nép Szent István államalapítása óta a nyugati, keresztény kultúrkör tagja. Az elsődlegesen politika- és hangsúlyosan hadtörténeti ismeretek átadására is irányuló szemináriumok, szövegolvasásra és szövegmegbeszélésre koncentráló, interaktív jellegű gyakorlati foglalkozások. A tematikához tartozó ajánlott olvasmányok, az európai és magyar történelem szerves egybefonódására is rámutatnak. A kurzust múzeumlátogatás egészíti ki, egyik nemzeti történelem szempontjából fontos múzeum kiállításainak megtekintésével.</w:t>
      </w:r>
    </w:p>
    <w:p w:rsidR="00D81655" w:rsidRPr="00D81655" w:rsidRDefault="00D81655" w:rsidP="00D81655">
      <w:pPr>
        <w:widowControl w:val="0"/>
        <w:spacing w:before="120" w:after="120" w:line="240" w:lineRule="auto"/>
        <w:ind w:left="426"/>
        <w:jc w:val="both"/>
        <w:rPr>
          <w:rFonts w:ascii="Times New Roman" w:eastAsia="Times New Roman" w:hAnsi="Times New Roman" w:cs="Times New Roman"/>
          <w:bCs/>
          <w:lang w:val="en-GB"/>
        </w:rPr>
      </w:pPr>
      <w:r w:rsidRPr="00D81655">
        <w:rPr>
          <w:rFonts w:ascii="Times New Roman" w:eastAsia="Times New Roman" w:hAnsi="Times New Roman" w:cs="Times New Roman"/>
          <w:b/>
          <w:bCs/>
        </w:rPr>
        <w:t>A tantárgy szakmai tartalma (angolul) (</w:t>
      </w:r>
      <w:r w:rsidRPr="00D81655">
        <w:rPr>
          <w:rFonts w:ascii="Times New Roman" w:eastAsia="Times New Roman" w:hAnsi="Times New Roman" w:cs="Times New Roman"/>
          <w:b/>
          <w:bCs/>
          <w:lang w:val="en-US"/>
        </w:rPr>
        <w:t>Course description</w:t>
      </w:r>
      <w:r w:rsidRPr="00D81655">
        <w:rPr>
          <w:rFonts w:ascii="Times New Roman" w:eastAsia="Times New Roman" w:hAnsi="Times New Roman" w:cs="Times New Roman"/>
          <w:b/>
          <w:bCs/>
        </w:rPr>
        <w:t xml:space="preserve">): </w:t>
      </w:r>
      <w:r w:rsidRPr="00D81655">
        <w:rPr>
          <w:rFonts w:ascii="Times New Roman" w:eastAsia="Times New Roman" w:hAnsi="Times New Roman" w:cs="Times New Roman"/>
          <w:bCs/>
          <w:noProof/>
        </w:rPr>
        <w:t xml:space="preserve">In order to give an insightful introduction to the most relevant thematic problems and questions of European and Hungarian history we will read chosen excerpts of some of the key masterpieces of Hungarian and European historiography. The aim is to demonstrate the millenium old intertwining of European and Hungarian history departing from the chief narratives of Hungarian political history i.e the fundamental experience of continuous statehood through one thousand year of national history with and within Europe. We also pay strong attention to the different discourses of the Asian or </w:t>
      </w:r>
      <w:r w:rsidRPr="00D81655">
        <w:rPr>
          <w:rFonts w:ascii="Times New Roman" w:eastAsia="Times New Roman" w:hAnsi="Times New Roman" w:cs="Times New Roman"/>
          <w:bCs/>
          <w:noProof/>
        </w:rPr>
        <w:lastRenderedPageBreak/>
        <w:t>“oriental” origin of the Hungarians and to the tensions arising from the geopolitical - and also deep-rooted cognitive - situation of being “between” East and West, never abandoning the narratives of timeless ancestral nomadic heritage while aspiring to establish an authentic Christian civilization outside the borders of the Holy Roman Empire. We will not omit the important aspects of frequent regional wars of Central Europe and the turbulent war – and civil war - history of Hungary and the Hungarians especially in modern times. The course is complemented by visit of one museum which is important from the point of wiew of the national history.</w:t>
      </w:r>
      <w:r w:rsidRPr="00D81655">
        <w:rPr>
          <w:rFonts w:ascii="Times New Roman" w:eastAsia="Times New Roman" w:hAnsi="Times New Roman" w:cs="Times New Roman"/>
          <w:bCs/>
          <w:lang w:val="en-GB"/>
        </w:rPr>
        <w:t xml:space="preserve"> </w:t>
      </w:r>
    </w:p>
    <w:p w:rsidR="00D81655" w:rsidRPr="00D81655" w:rsidRDefault="00D81655" w:rsidP="00980876">
      <w:pPr>
        <w:widowControl w:val="0"/>
        <w:numPr>
          <w:ilvl w:val="0"/>
          <w:numId w:val="823"/>
        </w:numPr>
        <w:tabs>
          <w:tab w:val="num" w:pos="720"/>
        </w:tabs>
        <w:spacing w:before="120" w:after="120" w:line="240" w:lineRule="auto"/>
        <w:contextualSpacing/>
        <w:jc w:val="both"/>
        <w:rPr>
          <w:rFonts w:ascii="Times New Roman" w:eastAsia="Times New Roman" w:hAnsi="Times New Roman" w:cs="Times New Roman"/>
          <w:bCs/>
        </w:rPr>
      </w:pPr>
      <w:r w:rsidRPr="00D81655">
        <w:rPr>
          <w:rFonts w:ascii="Times New Roman" w:eastAsia="Times New Roman" w:hAnsi="Times New Roman" w:cs="Times New Roman"/>
          <w:b/>
          <w:bCs/>
        </w:rPr>
        <w:t xml:space="preserve">Elérendő kompetenciák (magyarul): </w:t>
      </w:r>
    </w:p>
    <w:p w:rsidR="00D81655" w:rsidRPr="00D81655" w:rsidRDefault="00D81655" w:rsidP="00D81655">
      <w:pPr>
        <w:widowControl w:val="0"/>
        <w:spacing w:before="120" w:after="120" w:line="240" w:lineRule="auto"/>
        <w:ind w:left="425"/>
        <w:jc w:val="both"/>
        <w:rPr>
          <w:rFonts w:ascii="Times New Roman" w:eastAsia="Times New Roman" w:hAnsi="Times New Roman" w:cs="Times New Roman"/>
          <w:bCs/>
        </w:rPr>
      </w:pPr>
      <w:r w:rsidRPr="00D81655">
        <w:rPr>
          <w:rFonts w:ascii="Times New Roman" w:eastAsia="Times New Roman" w:hAnsi="Times New Roman" w:cs="Times New Roman"/>
          <w:b/>
          <w:bCs/>
        </w:rPr>
        <w:t>Tudása:</w:t>
      </w:r>
      <w:r w:rsidRPr="00D81655">
        <w:rPr>
          <w:rFonts w:ascii="Times New Roman" w:eastAsia="Times New Roman" w:hAnsi="Times New Roman" w:cs="Times New Roman"/>
          <w:bCs/>
        </w:rPr>
        <w:t xml:space="preserve"> </w:t>
      </w:r>
      <w:r w:rsidRPr="00D81655">
        <w:rPr>
          <w:rFonts w:ascii="Times New Roman" w:eastAsia="Times New Roman" w:hAnsi="Times New Roman" w:cs="Times New Roman"/>
          <w:bCs/>
          <w:noProof/>
        </w:rPr>
        <w:t>A hallgatók a tantárgy elvégzésével megfelelő tudással rendelkeznek a magyar és európai történelem sajátosságairól, a magyarság kulturális teljesítményeiről, a társadalmi-politikai közösség önazonosságát kifejező tényezőkről. Általános műveltségük erőteljesen bővül, megértik a különböző hátterű jelenségek kapcsolatát.</w:t>
      </w:r>
    </w:p>
    <w:p w:rsidR="00D81655" w:rsidRPr="00D81655" w:rsidRDefault="00D81655" w:rsidP="00D81655">
      <w:pPr>
        <w:widowControl w:val="0"/>
        <w:spacing w:before="120" w:after="120" w:line="240" w:lineRule="auto"/>
        <w:ind w:left="426"/>
        <w:jc w:val="both"/>
        <w:rPr>
          <w:rFonts w:ascii="Times New Roman" w:eastAsia="Times New Roman" w:hAnsi="Times New Roman" w:cs="Times New Roman"/>
          <w:bCs/>
        </w:rPr>
      </w:pPr>
      <w:r w:rsidRPr="00D81655">
        <w:rPr>
          <w:rFonts w:ascii="Times New Roman" w:eastAsia="Times New Roman" w:hAnsi="Times New Roman" w:cs="Times New Roman"/>
          <w:b/>
          <w:bCs/>
        </w:rPr>
        <w:t>Képességei:</w:t>
      </w:r>
      <w:r w:rsidRPr="00D81655">
        <w:rPr>
          <w:rFonts w:ascii="Times New Roman" w:eastAsia="Times New Roman" w:hAnsi="Times New Roman" w:cs="Times New Roman"/>
          <w:bCs/>
        </w:rPr>
        <w:t xml:space="preserve"> </w:t>
      </w:r>
      <w:r w:rsidRPr="00D81655">
        <w:rPr>
          <w:rFonts w:ascii="Times New Roman" w:eastAsia="Times New Roman" w:hAnsi="Times New Roman" w:cs="Times New Roman"/>
          <w:bCs/>
          <w:noProof/>
        </w:rPr>
        <w:t>Képesek azonosulni a magyar nemzeti hagyománnyal, kulturális önértékelésük és magabiztosságuk nemzetközi szinten is nő. Felismerik nemzeti és európai identitással összefüggésben álló erősségeiket és gyengéiket, fejlődik a kritikai és elfogadási készségük. Felismerik európai és magyar történelem sajátos mintázatait. Képessé válnak komplex problémák megértésére, összefüggések észrevételére, következtetések megfogalmazására. Képessé válnak személyes világnézet kialakítására úgy, nemzeti és európai identitásuk alapján. Megszerzett történelmi ismereteiket alkalmazott tudásként kezelik.</w:t>
      </w:r>
      <w:r w:rsidRPr="00D81655">
        <w:rPr>
          <w:rFonts w:ascii="Times New Roman" w:eastAsia="Times New Roman" w:hAnsi="Times New Roman" w:cs="Times New Roman"/>
          <w:bCs/>
        </w:rPr>
        <w:t xml:space="preserve"> </w:t>
      </w:r>
    </w:p>
    <w:p w:rsidR="00D81655" w:rsidRPr="00D81655" w:rsidRDefault="00D81655" w:rsidP="00D81655">
      <w:pPr>
        <w:widowControl w:val="0"/>
        <w:spacing w:before="120" w:after="120" w:line="240" w:lineRule="auto"/>
        <w:ind w:left="426"/>
        <w:jc w:val="both"/>
        <w:rPr>
          <w:rFonts w:ascii="Times New Roman" w:eastAsia="Times New Roman" w:hAnsi="Times New Roman" w:cs="Times New Roman"/>
          <w:bCs/>
        </w:rPr>
      </w:pPr>
      <w:r w:rsidRPr="00D81655">
        <w:rPr>
          <w:rFonts w:ascii="Times New Roman" w:eastAsia="Times New Roman" w:hAnsi="Times New Roman" w:cs="Times New Roman"/>
          <w:b/>
          <w:bCs/>
        </w:rPr>
        <w:t>Attitűdje:</w:t>
      </w:r>
      <w:r w:rsidRPr="00D81655">
        <w:rPr>
          <w:rFonts w:ascii="Times New Roman" w:eastAsia="Times New Roman" w:hAnsi="Times New Roman" w:cs="Times New Roman"/>
          <w:bCs/>
        </w:rPr>
        <w:t xml:space="preserve"> </w:t>
      </w:r>
      <w:r w:rsidRPr="00D81655">
        <w:rPr>
          <w:rFonts w:ascii="Times New Roman" w:eastAsia="Times New Roman" w:hAnsi="Times New Roman" w:cs="Times New Roman"/>
          <w:bCs/>
          <w:noProof/>
        </w:rPr>
        <w:t>A kurzus elvégzése után világosabb önismerettel és határozotabb világszemlélettel, az történelmi múltra nyitottan vesznek részt a közösségi életben. Megértően, figyelmesen és tisztelettel viselkednek a társadalom különböző tagjaival szemben. Sajátjuknak tudják, megőrzik, képviselik és közszolgálatot végző személyekként is továbbadják a megismert érték- és fogalomkészletet. Érdeklődésük megnő a szakterületükkel kapcsolatos újító és megőrző feladatok ellátására, a szakmai kíhvások komplex szemléletű kezelésére.</w:t>
      </w:r>
    </w:p>
    <w:p w:rsidR="00D81655" w:rsidRPr="00D81655" w:rsidRDefault="00D81655" w:rsidP="00D81655">
      <w:pPr>
        <w:widowControl w:val="0"/>
        <w:spacing w:before="120" w:after="120" w:line="240" w:lineRule="auto"/>
        <w:ind w:left="426"/>
        <w:jc w:val="both"/>
        <w:rPr>
          <w:rFonts w:ascii="Times New Roman" w:eastAsia="Times New Roman" w:hAnsi="Times New Roman" w:cs="Times New Roman"/>
          <w:bCs/>
        </w:rPr>
      </w:pPr>
      <w:r w:rsidRPr="00D81655">
        <w:rPr>
          <w:rFonts w:ascii="Times New Roman" w:eastAsia="Times New Roman" w:hAnsi="Times New Roman" w:cs="Times New Roman"/>
          <w:b/>
          <w:bCs/>
        </w:rPr>
        <w:t>Autonómiája és felelőssége:</w:t>
      </w:r>
      <w:r w:rsidRPr="00D81655">
        <w:rPr>
          <w:rFonts w:ascii="Times New Roman" w:eastAsia="Times New Roman" w:hAnsi="Times New Roman" w:cs="Times New Roman"/>
          <w:bCs/>
        </w:rPr>
        <w:t xml:space="preserve"> </w:t>
      </w:r>
      <w:r w:rsidRPr="00D81655">
        <w:rPr>
          <w:rFonts w:ascii="Times New Roman" w:eastAsia="Times New Roman" w:hAnsi="Times New Roman" w:cs="Times New Roman"/>
          <w:bCs/>
          <w:noProof/>
        </w:rPr>
        <w:t>A magyar és európai múlt tanulmányozása révén felismerik saját jelenük mélységes történeti meghatározottságát. Látják a kortárs nemzedékekek történeti felelősségét. Nagyra értékelik a hivatástudatot és felismerik az egyéni hozzájárulás jelentőségét a közösség életében. Új értelmet nyer az elköteleződés fogalma. Önállóan végzik a problémák végiggondolását és a rendelkezésre álló adatok objektiv értékelését, elemzését. Felelősséggel részt vesznek a szakmai közéletben, véleményformálásban, döntésekben. Képesek rangsorolni a problémákat és felismerni saját pozíciójukat adott helyzetekben.</w:t>
      </w:r>
    </w:p>
    <w:p w:rsidR="00D81655" w:rsidRPr="00D81655" w:rsidRDefault="00D81655" w:rsidP="00D81655">
      <w:pPr>
        <w:widowControl w:val="0"/>
        <w:spacing w:before="120" w:after="120" w:line="240" w:lineRule="auto"/>
        <w:ind w:left="426"/>
        <w:jc w:val="both"/>
        <w:rPr>
          <w:rFonts w:ascii="Times New Roman" w:eastAsia="Times New Roman" w:hAnsi="Times New Roman" w:cs="Times New Roman"/>
          <w:b/>
          <w:bCs/>
          <w:lang w:val="en-US"/>
        </w:rPr>
      </w:pPr>
      <w:r w:rsidRPr="00D81655">
        <w:rPr>
          <w:rFonts w:ascii="Times New Roman" w:eastAsia="Times New Roman" w:hAnsi="Times New Roman" w:cs="Times New Roman"/>
          <w:b/>
          <w:bCs/>
        </w:rPr>
        <w:t>Elérendő kompetenciák (angolul) (</w:t>
      </w:r>
      <w:r w:rsidRPr="00D81655">
        <w:rPr>
          <w:rFonts w:ascii="Times New Roman" w:eastAsia="Times New Roman" w:hAnsi="Times New Roman" w:cs="Times New Roman"/>
          <w:b/>
          <w:bCs/>
          <w:lang w:val="en-US"/>
        </w:rPr>
        <w:t xml:space="preserve">Competences – English): </w:t>
      </w:r>
    </w:p>
    <w:p w:rsidR="00D81655" w:rsidRPr="00D81655" w:rsidRDefault="00D81655" w:rsidP="00D81655">
      <w:pPr>
        <w:widowControl w:val="0"/>
        <w:spacing w:before="120" w:after="120" w:line="240" w:lineRule="auto"/>
        <w:ind w:left="426"/>
        <w:jc w:val="both"/>
        <w:rPr>
          <w:rFonts w:ascii="Times New Roman" w:eastAsia="Times New Roman" w:hAnsi="Times New Roman" w:cs="Times New Roman"/>
          <w:lang w:val="en-GB"/>
        </w:rPr>
      </w:pPr>
      <w:r w:rsidRPr="00D81655">
        <w:rPr>
          <w:rFonts w:ascii="Times New Roman" w:eastAsia="Times New Roman" w:hAnsi="Times New Roman" w:cs="Times New Roman"/>
          <w:b/>
          <w:lang w:val="en-GB"/>
        </w:rPr>
        <w:t>Knowledge</w:t>
      </w:r>
      <w:r w:rsidRPr="00D81655">
        <w:rPr>
          <w:rFonts w:ascii="Times New Roman" w:eastAsia="Times New Roman" w:hAnsi="Times New Roman" w:cs="Times New Roman"/>
          <w:lang w:val="en-GB"/>
        </w:rPr>
        <w:t xml:space="preserve">: </w:t>
      </w:r>
      <w:r w:rsidRPr="00D81655">
        <w:rPr>
          <w:rFonts w:ascii="Times New Roman" w:eastAsia="Times New Roman" w:hAnsi="Times New Roman" w:cs="Times New Roman"/>
          <w:bCs/>
          <w:noProof/>
        </w:rPr>
        <w:t>Students will have sufficient knowledge about the main drives of their national and European history after completing the course. They will be familiar with Hungarian and European historical accomplishments and with the aspects expressing the identity of socio-cultural communities. Generally, their overall knowledge is expected to be broadened, so that they will be able to map and understand the complicated connections between different phenomena.</w:t>
      </w:r>
    </w:p>
    <w:p w:rsidR="00D81655" w:rsidRPr="00D81655" w:rsidRDefault="00D81655" w:rsidP="00D81655">
      <w:pPr>
        <w:widowControl w:val="0"/>
        <w:spacing w:before="120" w:after="120" w:line="240" w:lineRule="auto"/>
        <w:ind w:left="426"/>
        <w:jc w:val="both"/>
        <w:rPr>
          <w:rFonts w:ascii="Times New Roman" w:eastAsia="Times New Roman" w:hAnsi="Times New Roman" w:cs="Times New Roman"/>
          <w:lang w:val="en-GB"/>
        </w:rPr>
      </w:pPr>
      <w:r w:rsidRPr="00D81655">
        <w:rPr>
          <w:rFonts w:ascii="Times New Roman" w:eastAsia="Times New Roman" w:hAnsi="Times New Roman" w:cs="Times New Roman"/>
          <w:b/>
          <w:lang w:val="en-GB"/>
        </w:rPr>
        <w:t>Capabilities</w:t>
      </w:r>
      <w:r w:rsidRPr="00D81655">
        <w:rPr>
          <w:rFonts w:ascii="Times New Roman" w:eastAsia="Times New Roman" w:hAnsi="Times New Roman" w:cs="Times New Roman"/>
          <w:lang w:val="en-GB"/>
        </w:rPr>
        <w:t xml:space="preserve">: </w:t>
      </w:r>
      <w:r w:rsidRPr="00D81655">
        <w:rPr>
          <w:rFonts w:ascii="Times New Roman" w:eastAsia="Times New Roman" w:hAnsi="Times New Roman" w:cs="Times New Roman"/>
          <w:bCs/>
          <w:noProof/>
        </w:rPr>
        <w:t>Students will be able to identify with the national and European traditions and heritage; their cultural self-esteem and self-awareness will increase on an international level as well. They will recognise their strengths and weaknesses regarding their national and European historical identity and they will also improve skills in critical thinking and acceptance. Students will attain the ability to realise historic events both on national and European level, and similarly, they will be able to interpret complex historical issues, notice correlations and draw conclusions. Hence, they will be able to form a adequate worldview while maintaining/preserving their national and European identity, as they use the attained historical and cultural knowledge as part of their everyday, practical knowledge.</w:t>
      </w:r>
    </w:p>
    <w:p w:rsidR="00D81655" w:rsidRPr="00D81655" w:rsidRDefault="00D81655" w:rsidP="00D816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425"/>
        <w:jc w:val="both"/>
        <w:rPr>
          <w:rFonts w:ascii="Times New Roman" w:eastAsia="Times New Roman" w:hAnsi="Times New Roman" w:cs="Times New Roman"/>
          <w:lang w:val="en-GB"/>
        </w:rPr>
      </w:pPr>
      <w:r w:rsidRPr="00D81655">
        <w:rPr>
          <w:rFonts w:ascii="Times New Roman" w:eastAsia="Times New Roman" w:hAnsi="Times New Roman" w:cs="Times New Roman"/>
          <w:b/>
          <w:lang w:val="en-GB"/>
        </w:rPr>
        <w:t>Attitude:</w:t>
      </w:r>
      <w:r w:rsidRPr="00D81655">
        <w:rPr>
          <w:rFonts w:ascii="Times New Roman" w:eastAsia="Times New Roman" w:hAnsi="Times New Roman" w:cs="Times New Roman"/>
          <w:lang w:val="en-GB"/>
        </w:rPr>
        <w:t xml:space="preserve"> </w:t>
      </w:r>
      <w:r w:rsidRPr="00D81655">
        <w:rPr>
          <w:rFonts w:ascii="Times New Roman" w:eastAsia="Times New Roman" w:hAnsi="Times New Roman" w:cs="Times New Roman"/>
          <w:bCs/>
          <w:noProof/>
        </w:rPr>
        <w:t xml:space="preserve">After completing the seminar, students’ self-awareness increases, as well as their historical senses becomes more well-defined – they are able to participate openly in different social and political environments. Their ability of understanding and acceptance improves as they become more attentive and considerate towards the complex reality of the past. They regard and </w:t>
      </w:r>
      <w:r w:rsidRPr="00D81655">
        <w:rPr>
          <w:rFonts w:ascii="Times New Roman" w:eastAsia="Times New Roman" w:hAnsi="Times New Roman" w:cs="Times New Roman"/>
          <w:bCs/>
          <w:noProof/>
        </w:rPr>
        <w:lastRenderedPageBreak/>
        <w:t>maintain the attained values and knowledge as their own and are able to express themselves as representatives of public services. Their interest in developing their own profession increases and they are willing to learn and acknowledge innovations in their fields.</w:t>
      </w:r>
    </w:p>
    <w:p w:rsidR="00D81655" w:rsidRPr="00D81655" w:rsidRDefault="00D81655" w:rsidP="00D81655">
      <w:pPr>
        <w:widowControl w:val="0"/>
        <w:spacing w:before="120" w:after="120" w:line="240" w:lineRule="auto"/>
        <w:ind w:left="426"/>
        <w:jc w:val="both"/>
        <w:rPr>
          <w:rFonts w:ascii="Times New Roman" w:eastAsia="Times New Roman" w:hAnsi="Times New Roman" w:cs="Times New Roman"/>
          <w:lang w:val="en-GB"/>
        </w:rPr>
      </w:pPr>
      <w:r w:rsidRPr="00D81655">
        <w:rPr>
          <w:rFonts w:ascii="Times New Roman" w:eastAsia="Times New Roman" w:hAnsi="Times New Roman" w:cs="Times New Roman"/>
          <w:b/>
          <w:lang w:val="en-GB"/>
        </w:rPr>
        <w:t xml:space="preserve">Autonomy and responsibility: </w:t>
      </w:r>
      <w:r w:rsidRPr="00D81655">
        <w:rPr>
          <w:rFonts w:ascii="Times New Roman" w:eastAsia="Times New Roman" w:hAnsi="Times New Roman" w:cs="Times New Roman"/>
          <w:bCs/>
          <w:noProof/>
        </w:rPr>
        <w:t>Having studied the historical past, students are able to recognise the historical roots of contemporary socio-political communities. They can realise the responsibility of present-day generations, value their vocation and see the need and importance of individual contribution in the society. They are willing to take on commitments and are able to think about problems independently. Correspondingly, they can judge and study information in an objective, impartial way. They take on responsibility in the public sphere, as well as in forming opinions and making decisions. Finally, they can classify and rank problems as well as identify their own position in certain situations.</w:t>
      </w:r>
    </w:p>
    <w:p w:rsidR="00D81655" w:rsidRPr="00D81655" w:rsidRDefault="00D81655" w:rsidP="00980876">
      <w:pPr>
        <w:widowControl w:val="0"/>
        <w:numPr>
          <w:ilvl w:val="0"/>
          <w:numId w:val="823"/>
        </w:numPr>
        <w:tabs>
          <w:tab w:val="num" w:pos="567"/>
          <w:tab w:val="num" w:pos="720"/>
        </w:tabs>
        <w:spacing w:before="120" w:after="120" w:line="240" w:lineRule="auto"/>
        <w:ind w:left="426" w:hanging="142"/>
        <w:jc w:val="both"/>
        <w:rPr>
          <w:rFonts w:ascii="Times New Roman" w:eastAsia="Times New Roman" w:hAnsi="Times New Roman" w:cs="Times New Roman"/>
          <w:bCs/>
        </w:rPr>
      </w:pPr>
      <w:r w:rsidRPr="00D81655">
        <w:rPr>
          <w:rFonts w:ascii="Times New Roman" w:eastAsia="Times New Roman" w:hAnsi="Times New Roman" w:cs="Times New Roman"/>
          <w:b/>
          <w:bCs/>
        </w:rPr>
        <w:t xml:space="preserve">Előtanulmányi követelmények: </w:t>
      </w:r>
      <w:r w:rsidRPr="00D81655">
        <w:rPr>
          <w:rFonts w:ascii="Times New Roman" w:eastAsia="Times New Roman" w:hAnsi="Times New Roman" w:cs="Times New Roman"/>
          <w:bCs/>
        </w:rPr>
        <w:t xml:space="preserve"> </w:t>
      </w:r>
    </w:p>
    <w:p w:rsidR="00D81655" w:rsidRPr="00D81655" w:rsidRDefault="00D81655" w:rsidP="00980876">
      <w:pPr>
        <w:widowControl w:val="0"/>
        <w:numPr>
          <w:ilvl w:val="0"/>
          <w:numId w:val="823"/>
        </w:numPr>
        <w:tabs>
          <w:tab w:val="num" w:pos="720"/>
        </w:tabs>
        <w:spacing w:before="120" w:after="120" w:line="240" w:lineRule="auto"/>
        <w:ind w:left="426" w:hanging="142"/>
        <w:jc w:val="both"/>
        <w:rPr>
          <w:rFonts w:ascii="Times New Roman" w:eastAsia="Times New Roman" w:hAnsi="Times New Roman" w:cs="Times New Roman"/>
          <w:b/>
          <w:bCs/>
        </w:rPr>
      </w:pPr>
      <w:r w:rsidRPr="00D81655">
        <w:rPr>
          <w:rFonts w:ascii="Times New Roman" w:eastAsia="Times New Roman" w:hAnsi="Times New Roman" w:cs="Times New Roman"/>
          <w:b/>
          <w:bCs/>
        </w:rPr>
        <w:t>A tantárgy tananyagának leírása, tematika. Description of the subject, curriculum:</w:t>
      </w:r>
    </w:p>
    <w:p w:rsidR="00D81655" w:rsidRPr="00D81655" w:rsidRDefault="00D81655" w:rsidP="00980876">
      <w:pPr>
        <w:widowControl w:val="0"/>
        <w:numPr>
          <w:ilvl w:val="1"/>
          <w:numId w:val="823"/>
        </w:numPr>
        <w:tabs>
          <w:tab w:val="left" w:pos="709"/>
          <w:tab w:val="left" w:pos="993"/>
        </w:tabs>
        <w:spacing w:before="120" w:after="120" w:line="240" w:lineRule="auto"/>
        <w:ind w:left="426"/>
        <w:jc w:val="both"/>
        <w:rPr>
          <w:rFonts w:ascii="Times New Roman" w:eastAsia="Times New Roman" w:hAnsi="Times New Roman" w:cs="Times New Roman"/>
          <w:b/>
          <w:bCs/>
        </w:rPr>
      </w:pPr>
      <w:r w:rsidRPr="00D81655">
        <w:rPr>
          <w:rFonts w:ascii="Times New Roman" w:eastAsia="Times New Roman" w:hAnsi="Times New Roman" w:cs="Times New Roman"/>
          <w:b/>
          <w:bCs/>
          <w:noProof/>
        </w:rPr>
        <w:t>Magyarul</w:t>
      </w:r>
      <w:r w:rsidRPr="00D81655">
        <w:rPr>
          <w:rFonts w:ascii="Times New Roman" w:eastAsia="Times New Roman" w:hAnsi="Times New Roman" w:cs="Times New Roman"/>
          <w:b/>
          <w:bCs/>
        </w:rPr>
        <w:t>:</w:t>
      </w:r>
    </w:p>
    <w:p w:rsidR="00D81655" w:rsidRPr="00D81655" w:rsidRDefault="00D81655" w:rsidP="00980876">
      <w:pPr>
        <w:widowControl w:val="0"/>
        <w:numPr>
          <w:ilvl w:val="2"/>
          <w:numId w:val="823"/>
        </w:numPr>
        <w:tabs>
          <w:tab w:val="left" w:pos="993"/>
        </w:tabs>
        <w:spacing w:before="120" w:after="120" w:line="240" w:lineRule="auto"/>
        <w:ind w:left="993" w:hanging="993"/>
        <w:jc w:val="both"/>
        <w:rPr>
          <w:rFonts w:ascii="Times New Roman" w:eastAsia="Times New Roman" w:hAnsi="Times New Roman" w:cs="Times New Roman"/>
          <w:bCs/>
          <w:noProof/>
        </w:rPr>
      </w:pPr>
      <w:r w:rsidRPr="00D81655">
        <w:rPr>
          <w:rFonts w:ascii="Times New Roman" w:eastAsia="Times New Roman" w:hAnsi="Times New Roman" w:cs="Times New Roman"/>
          <w:bCs/>
          <w:noProof/>
        </w:rPr>
        <w:t>Bevezetés: Az antikvitás öröksége - az ókori geopolitikai struktúrák felbomlása és a középkori világ kialakulása</w:t>
      </w:r>
    </w:p>
    <w:p w:rsidR="00D81655" w:rsidRPr="00D81655" w:rsidRDefault="00D81655" w:rsidP="00980876">
      <w:pPr>
        <w:widowControl w:val="0"/>
        <w:numPr>
          <w:ilvl w:val="2"/>
          <w:numId w:val="823"/>
        </w:numPr>
        <w:tabs>
          <w:tab w:val="left" w:pos="993"/>
        </w:tabs>
        <w:spacing w:before="120" w:after="120" w:line="240" w:lineRule="auto"/>
        <w:ind w:left="993" w:hanging="993"/>
        <w:jc w:val="both"/>
        <w:rPr>
          <w:rFonts w:ascii="Times New Roman" w:eastAsia="Times New Roman" w:hAnsi="Times New Roman" w:cs="Times New Roman"/>
          <w:bCs/>
          <w:noProof/>
        </w:rPr>
      </w:pPr>
      <w:r w:rsidRPr="00D81655">
        <w:rPr>
          <w:rFonts w:ascii="Times New Roman" w:eastAsia="Times New Roman" w:hAnsi="Times New Roman" w:cs="Times New Roman"/>
          <w:bCs/>
          <w:noProof/>
        </w:rPr>
        <w:t>Mítoszból a történelembe - az Árpád ház Európában</w:t>
      </w:r>
    </w:p>
    <w:p w:rsidR="00D81655" w:rsidRPr="00D81655" w:rsidRDefault="00D81655" w:rsidP="00980876">
      <w:pPr>
        <w:widowControl w:val="0"/>
        <w:numPr>
          <w:ilvl w:val="2"/>
          <w:numId w:val="823"/>
        </w:numPr>
        <w:tabs>
          <w:tab w:val="left" w:pos="993"/>
        </w:tabs>
        <w:spacing w:before="120" w:after="120" w:line="240" w:lineRule="auto"/>
        <w:ind w:left="993" w:hanging="993"/>
        <w:jc w:val="both"/>
        <w:rPr>
          <w:rFonts w:ascii="Times New Roman" w:eastAsia="Times New Roman" w:hAnsi="Times New Roman" w:cs="Times New Roman"/>
          <w:bCs/>
          <w:noProof/>
        </w:rPr>
      </w:pPr>
      <w:r w:rsidRPr="00D81655">
        <w:rPr>
          <w:rFonts w:ascii="Times New Roman" w:eastAsia="Times New Roman" w:hAnsi="Times New Roman" w:cs="Times New Roman"/>
          <w:bCs/>
          <w:noProof/>
        </w:rPr>
        <w:t>A középkorból a reneszánsz felé - az Anjouk közép-európai befolyása, a visegrádi királytalálkozó és Zsigmond Német-Római császársága</w:t>
      </w:r>
    </w:p>
    <w:p w:rsidR="00D81655" w:rsidRPr="00D81655" w:rsidRDefault="00D81655" w:rsidP="00980876">
      <w:pPr>
        <w:widowControl w:val="0"/>
        <w:numPr>
          <w:ilvl w:val="2"/>
          <w:numId w:val="823"/>
        </w:numPr>
        <w:tabs>
          <w:tab w:val="left" w:pos="993"/>
        </w:tabs>
        <w:spacing w:before="120" w:after="120" w:line="240" w:lineRule="auto"/>
        <w:ind w:left="993" w:hanging="993"/>
        <w:jc w:val="both"/>
        <w:rPr>
          <w:rFonts w:ascii="Times New Roman" w:eastAsia="Times New Roman" w:hAnsi="Times New Roman" w:cs="Times New Roman"/>
          <w:bCs/>
          <w:noProof/>
        </w:rPr>
      </w:pPr>
      <w:r w:rsidRPr="00D81655">
        <w:rPr>
          <w:rFonts w:ascii="Times New Roman" w:eastAsia="Times New Roman" w:hAnsi="Times New Roman" w:cs="Times New Roman"/>
          <w:bCs/>
          <w:noProof/>
        </w:rPr>
        <w:t>A reneszánsz Magyarországa és Európa - Hunyadi tervek és Jagelló kudarcok</w:t>
      </w:r>
    </w:p>
    <w:p w:rsidR="00D81655" w:rsidRPr="00D81655" w:rsidRDefault="00D81655" w:rsidP="00980876">
      <w:pPr>
        <w:widowControl w:val="0"/>
        <w:numPr>
          <w:ilvl w:val="2"/>
          <w:numId w:val="823"/>
        </w:numPr>
        <w:tabs>
          <w:tab w:val="left" w:pos="993"/>
        </w:tabs>
        <w:spacing w:before="120" w:after="120" w:line="240" w:lineRule="auto"/>
        <w:ind w:left="993" w:hanging="993"/>
        <w:jc w:val="both"/>
        <w:rPr>
          <w:rFonts w:ascii="Times New Roman" w:eastAsia="Times New Roman" w:hAnsi="Times New Roman" w:cs="Times New Roman"/>
          <w:bCs/>
          <w:noProof/>
        </w:rPr>
      </w:pPr>
      <w:r w:rsidRPr="00D81655">
        <w:rPr>
          <w:rFonts w:ascii="Times New Roman" w:eastAsia="Times New Roman" w:hAnsi="Times New Roman" w:cs="Times New Roman"/>
          <w:bCs/>
          <w:noProof/>
        </w:rPr>
        <w:t>A három felé szakadt ország - mit jelentett a 150 éves török uralom?</w:t>
      </w:r>
    </w:p>
    <w:p w:rsidR="00D81655" w:rsidRPr="00D81655" w:rsidRDefault="00D81655" w:rsidP="00980876">
      <w:pPr>
        <w:widowControl w:val="0"/>
        <w:numPr>
          <w:ilvl w:val="2"/>
          <w:numId w:val="823"/>
        </w:numPr>
        <w:tabs>
          <w:tab w:val="left" w:pos="993"/>
        </w:tabs>
        <w:spacing w:before="120" w:after="120" w:line="240" w:lineRule="auto"/>
        <w:ind w:left="993" w:hanging="993"/>
        <w:jc w:val="both"/>
        <w:rPr>
          <w:rFonts w:ascii="Times New Roman" w:eastAsia="Times New Roman" w:hAnsi="Times New Roman" w:cs="Times New Roman"/>
          <w:bCs/>
          <w:noProof/>
        </w:rPr>
      </w:pPr>
      <w:r w:rsidRPr="00D81655">
        <w:rPr>
          <w:rFonts w:ascii="Times New Roman" w:eastAsia="Times New Roman" w:hAnsi="Times New Roman" w:cs="Times New Roman"/>
          <w:bCs/>
          <w:noProof/>
        </w:rPr>
        <w:t>Kuruc vagy labanc? - A Rákóczi-szabadságharc története és utóhatásai</w:t>
      </w:r>
    </w:p>
    <w:p w:rsidR="00D81655" w:rsidRPr="00D81655" w:rsidRDefault="00D81655" w:rsidP="00980876">
      <w:pPr>
        <w:widowControl w:val="0"/>
        <w:numPr>
          <w:ilvl w:val="2"/>
          <w:numId w:val="823"/>
        </w:numPr>
        <w:tabs>
          <w:tab w:val="left" w:pos="993"/>
        </w:tabs>
        <w:spacing w:before="120" w:after="120" w:line="240" w:lineRule="auto"/>
        <w:ind w:left="993" w:hanging="993"/>
        <w:jc w:val="both"/>
        <w:rPr>
          <w:rFonts w:ascii="Times New Roman" w:eastAsia="Times New Roman" w:hAnsi="Times New Roman" w:cs="Times New Roman"/>
          <w:bCs/>
          <w:noProof/>
        </w:rPr>
      </w:pPr>
      <w:r w:rsidRPr="00D81655">
        <w:rPr>
          <w:rFonts w:ascii="Times New Roman" w:eastAsia="Times New Roman" w:hAnsi="Times New Roman" w:cs="Times New Roman"/>
          <w:bCs/>
          <w:noProof/>
        </w:rPr>
        <w:t>Az 1789-es francia forradalom után - az európai politikai színpad átalakulása</w:t>
      </w:r>
    </w:p>
    <w:p w:rsidR="00D81655" w:rsidRPr="00D81655" w:rsidRDefault="00D81655" w:rsidP="00980876">
      <w:pPr>
        <w:widowControl w:val="0"/>
        <w:numPr>
          <w:ilvl w:val="2"/>
          <w:numId w:val="823"/>
        </w:numPr>
        <w:tabs>
          <w:tab w:val="left" w:pos="993"/>
        </w:tabs>
        <w:spacing w:before="120" w:after="120" w:line="240" w:lineRule="auto"/>
        <w:ind w:left="993" w:hanging="993"/>
        <w:jc w:val="both"/>
        <w:rPr>
          <w:rFonts w:ascii="Times New Roman" w:eastAsia="Times New Roman" w:hAnsi="Times New Roman" w:cs="Times New Roman"/>
          <w:bCs/>
          <w:noProof/>
        </w:rPr>
      </w:pPr>
      <w:r w:rsidRPr="00D81655">
        <w:rPr>
          <w:rFonts w:ascii="Times New Roman" w:eastAsia="Times New Roman" w:hAnsi="Times New Roman" w:cs="Times New Roman"/>
          <w:bCs/>
          <w:noProof/>
        </w:rPr>
        <w:t>Széchenyi vagy Kossuth? - reformkor a 19. század első felében Magyarországon</w:t>
      </w:r>
    </w:p>
    <w:p w:rsidR="00D81655" w:rsidRPr="00D81655" w:rsidRDefault="00D81655" w:rsidP="00980876">
      <w:pPr>
        <w:widowControl w:val="0"/>
        <w:numPr>
          <w:ilvl w:val="2"/>
          <w:numId w:val="823"/>
        </w:numPr>
        <w:tabs>
          <w:tab w:val="left" w:pos="993"/>
        </w:tabs>
        <w:spacing w:before="120" w:after="120" w:line="240" w:lineRule="auto"/>
        <w:ind w:left="993" w:hanging="993"/>
        <w:jc w:val="both"/>
        <w:rPr>
          <w:rFonts w:ascii="Times New Roman" w:eastAsia="Times New Roman" w:hAnsi="Times New Roman" w:cs="Times New Roman"/>
          <w:bCs/>
          <w:noProof/>
        </w:rPr>
      </w:pPr>
      <w:r w:rsidRPr="00D81655">
        <w:rPr>
          <w:rFonts w:ascii="Times New Roman" w:eastAsia="Times New Roman" w:hAnsi="Times New Roman" w:cs="Times New Roman"/>
          <w:bCs/>
          <w:noProof/>
        </w:rPr>
        <w:t>Görgei Artúr a hadvezér - az 1848-1849-es szabadságharc hadtörténete</w:t>
      </w:r>
    </w:p>
    <w:p w:rsidR="00D81655" w:rsidRPr="00D81655" w:rsidRDefault="00D81655" w:rsidP="00980876">
      <w:pPr>
        <w:widowControl w:val="0"/>
        <w:numPr>
          <w:ilvl w:val="2"/>
          <w:numId w:val="823"/>
        </w:numPr>
        <w:tabs>
          <w:tab w:val="left" w:pos="993"/>
        </w:tabs>
        <w:spacing w:before="120" w:after="120" w:line="240" w:lineRule="auto"/>
        <w:ind w:left="993" w:hanging="993"/>
        <w:jc w:val="both"/>
        <w:rPr>
          <w:rFonts w:ascii="Times New Roman" w:eastAsia="Times New Roman" w:hAnsi="Times New Roman" w:cs="Times New Roman"/>
          <w:bCs/>
          <w:noProof/>
        </w:rPr>
      </w:pPr>
      <w:r w:rsidRPr="00D81655">
        <w:rPr>
          <w:rFonts w:ascii="Times New Roman" w:eastAsia="Times New Roman" w:hAnsi="Times New Roman" w:cs="Times New Roman"/>
          <w:bCs/>
          <w:noProof/>
        </w:rPr>
        <w:t>A kiegyezés kora - a dualista rendszer Magyarországa 1867-1914 között</w:t>
      </w:r>
    </w:p>
    <w:p w:rsidR="00D81655" w:rsidRPr="00D81655" w:rsidRDefault="00D81655" w:rsidP="00980876">
      <w:pPr>
        <w:widowControl w:val="0"/>
        <w:numPr>
          <w:ilvl w:val="2"/>
          <w:numId w:val="823"/>
        </w:numPr>
        <w:tabs>
          <w:tab w:val="left" w:pos="993"/>
        </w:tabs>
        <w:spacing w:before="120" w:after="120" w:line="240" w:lineRule="auto"/>
        <w:ind w:left="993" w:hanging="993"/>
        <w:jc w:val="both"/>
        <w:rPr>
          <w:rFonts w:ascii="Times New Roman" w:eastAsia="Times New Roman" w:hAnsi="Times New Roman" w:cs="Times New Roman"/>
          <w:bCs/>
          <w:noProof/>
        </w:rPr>
      </w:pPr>
      <w:r w:rsidRPr="00D81655">
        <w:rPr>
          <w:rFonts w:ascii="Times New Roman" w:eastAsia="Times New Roman" w:hAnsi="Times New Roman" w:cs="Times New Roman"/>
          <w:bCs/>
          <w:noProof/>
        </w:rPr>
        <w:t>Az első világháború és Trianon 1914-1920 - Tisza István kormányzása és a forradalmak kora; a trianoni trauma</w:t>
      </w:r>
    </w:p>
    <w:p w:rsidR="00D81655" w:rsidRPr="00D81655" w:rsidRDefault="00D81655" w:rsidP="00980876">
      <w:pPr>
        <w:widowControl w:val="0"/>
        <w:numPr>
          <w:ilvl w:val="2"/>
          <w:numId w:val="823"/>
        </w:numPr>
        <w:tabs>
          <w:tab w:val="left" w:pos="993"/>
        </w:tabs>
        <w:spacing w:before="120" w:after="120" w:line="240" w:lineRule="auto"/>
        <w:ind w:left="993" w:hanging="993"/>
        <w:jc w:val="both"/>
        <w:rPr>
          <w:rFonts w:ascii="Times New Roman" w:eastAsia="Times New Roman" w:hAnsi="Times New Roman" w:cs="Times New Roman"/>
          <w:bCs/>
          <w:noProof/>
        </w:rPr>
      </w:pPr>
      <w:r w:rsidRPr="00D81655">
        <w:rPr>
          <w:rFonts w:ascii="Times New Roman" w:eastAsia="Times New Roman" w:hAnsi="Times New Roman" w:cs="Times New Roman"/>
          <w:bCs/>
          <w:noProof/>
        </w:rPr>
        <w:t>A második világháború Magyarországa - a háború okai, lefolyása és következményei Magyarországon</w:t>
      </w:r>
    </w:p>
    <w:p w:rsidR="00D81655" w:rsidRPr="00D81655" w:rsidRDefault="00D81655" w:rsidP="00980876">
      <w:pPr>
        <w:widowControl w:val="0"/>
        <w:numPr>
          <w:ilvl w:val="2"/>
          <w:numId w:val="823"/>
        </w:numPr>
        <w:tabs>
          <w:tab w:val="left" w:pos="993"/>
        </w:tabs>
        <w:spacing w:before="120" w:after="120" w:line="240" w:lineRule="auto"/>
        <w:ind w:left="993" w:hanging="993"/>
        <w:jc w:val="both"/>
        <w:rPr>
          <w:rFonts w:ascii="Times New Roman" w:eastAsia="Times New Roman" w:hAnsi="Times New Roman" w:cs="Times New Roman"/>
          <w:bCs/>
          <w:noProof/>
        </w:rPr>
      </w:pPr>
      <w:r w:rsidRPr="00D81655">
        <w:rPr>
          <w:rFonts w:ascii="Times New Roman" w:eastAsia="Times New Roman" w:hAnsi="Times New Roman" w:cs="Times New Roman"/>
          <w:bCs/>
          <w:noProof/>
        </w:rPr>
        <w:t xml:space="preserve">1956 - a forradalom és eszmeisége </w:t>
      </w:r>
    </w:p>
    <w:p w:rsidR="00D81655" w:rsidRPr="00D81655" w:rsidRDefault="00D81655" w:rsidP="00980876">
      <w:pPr>
        <w:widowControl w:val="0"/>
        <w:numPr>
          <w:ilvl w:val="2"/>
          <w:numId w:val="823"/>
        </w:numPr>
        <w:tabs>
          <w:tab w:val="left" w:pos="993"/>
        </w:tabs>
        <w:spacing w:before="120" w:after="120" w:line="240" w:lineRule="auto"/>
        <w:ind w:left="993" w:hanging="993"/>
        <w:jc w:val="both"/>
        <w:rPr>
          <w:rFonts w:ascii="Times New Roman" w:eastAsia="Times New Roman" w:hAnsi="Times New Roman" w:cs="Times New Roman"/>
          <w:bCs/>
          <w:noProof/>
        </w:rPr>
      </w:pPr>
      <w:r w:rsidRPr="00D81655">
        <w:rPr>
          <w:rFonts w:ascii="Times New Roman" w:eastAsia="Times New Roman" w:hAnsi="Times New Roman" w:cs="Times New Roman"/>
          <w:bCs/>
          <w:noProof/>
        </w:rPr>
        <w:t>A hidegháború és a rendszerváltás kora - Európa és Magyarország történelme 1945-2010 között</w:t>
      </w:r>
    </w:p>
    <w:p w:rsidR="00D81655" w:rsidRPr="00D81655" w:rsidRDefault="00D81655" w:rsidP="00980876">
      <w:pPr>
        <w:widowControl w:val="0"/>
        <w:numPr>
          <w:ilvl w:val="2"/>
          <w:numId w:val="823"/>
        </w:numPr>
        <w:tabs>
          <w:tab w:val="left" w:pos="993"/>
        </w:tabs>
        <w:spacing w:before="120" w:after="120" w:line="240" w:lineRule="auto"/>
        <w:ind w:left="993" w:hanging="993"/>
        <w:jc w:val="both"/>
        <w:rPr>
          <w:rFonts w:ascii="Times New Roman" w:eastAsia="Times New Roman" w:hAnsi="Times New Roman" w:cs="Times New Roman"/>
          <w:bCs/>
          <w:noProof/>
        </w:rPr>
      </w:pPr>
      <w:r w:rsidRPr="00D81655">
        <w:rPr>
          <w:rFonts w:ascii="Times New Roman" w:eastAsia="Times New Roman" w:hAnsi="Times New Roman" w:cs="Times New Roman"/>
          <w:bCs/>
          <w:noProof/>
        </w:rPr>
        <w:t xml:space="preserve">Múzeumlátogatás: A Magyar Nemzeti Múzeum vagy a Hadtörténeti Múzeum meglátogatása </w:t>
      </w:r>
    </w:p>
    <w:p w:rsidR="00D81655" w:rsidRPr="00D81655" w:rsidRDefault="00D81655" w:rsidP="00980876">
      <w:pPr>
        <w:widowControl w:val="0"/>
        <w:numPr>
          <w:ilvl w:val="1"/>
          <w:numId w:val="823"/>
        </w:numPr>
        <w:tabs>
          <w:tab w:val="left" w:pos="709"/>
          <w:tab w:val="left" w:pos="993"/>
        </w:tabs>
        <w:spacing w:before="120" w:after="120" w:line="240" w:lineRule="auto"/>
        <w:ind w:left="426"/>
        <w:jc w:val="both"/>
        <w:rPr>
          <w:rFonts w:ascii="Times New Roman" w:eastAsia="Times New Roman" w:hAnsi="Times New Roman" w:cs="Times New Roman"/>
          <w:b/>
          <w:bCs/>
          <w:noProof/>
        </w:rPr>
      </w:pPr>
      <w:r w:rsidRPr="00D81655">
        <w:rPr>
          <w:rFonts w:ascii="Times New Roman" w:eastAsia="Times New Roman" w:hAnsi="Times New Roman" w:cs="Times New Roman"/>
          <w:b/>
          <w:bCs/>
          <w:noProof/>
        </w:rPr>
        <w:t>Angolul – English:</w:t>
      </w:r>
    </w:p>
    <w:p w:rsidR="00D81655" w:rsidRPr="00D81655" w:rsidRDefault="00D81655" w:rsidP="00980876">
      <w:pPr>
        <w:widowControl w:val="0"/>
        <w:numPr>
          <w:ilvl w:val="0"/>
          <w:numId w:val="823"/>
        </w:numPr>
        <w:tabs>
          <w:tab w:val="num" w:pos="720"/>
        </w:tabs>
        <w:spacing w:before="120" w:after="120" w:line="240" w:lineRule="auto"/>
        <w:ind w:left="426" w:hanging="142"/>
        <w:jc w:val="both"/>
        <w:rPr>
          <w:rFonts w:ascii="Times New Roman" w:eastAsia="Times New Roman" w:hAnsi="Times New Roman" w:cs="Times New Roman"/>
          <w:bCs/>
        </w:rPr>
      </w:pPr>
      <w:r w:rsidRPr="00D81655">
        <w:rPr>
          <w:rFonts w:ascii="Times New Roman" w:eastAsia="Times New Roman" w:hAnsi="Times New Roman" w:cs="Times New Roman"/>
          <w:b/>
          <w:bCs/>
        </w:rPr>
        <w:t xml:space="preserve">A tantárgy meghirdetésének gyakorisága/a tantervben történő félévi elhelyezkedése: </w:t>
      </w:r>
      <w:r w:rsidR="005D7980" w:rsidRPr="005D7980">
        <w:rPr>
          <w:rFonts w:ascii="Times New Roman" w:eastAsia="Times New Roman" w:hAnsi="Times New Roman" w:cs="Times New Roman"/>
          <w:bCs/>
          <w:noProof/>
          <w:color w:val="FF0000"/>
          <w:highlight w:val="yellow"/>
        </w:rPr>
        <w:t>3</w:t>
      </w:r>
      <w:r w:rsidRPr="005D7980">
        <w:rPr>
          <w:rFonts w:ascii="Times New Roman" w:eastAsia="Times New Roman" w:hAnsi="Times New Roman" w:cs="Times New Roman"/>
          <w:bCs/>
          <w:noProof/>
          <w:color w:val="FF0000"/>
          <w:highlight w:val="yellow"/>
        </w:rPr>
        <w:t>.</w:t>
      </w:r>
      <w:r w:rsidRPr="005D7980">
        <w:rPr>
          <w:rFonts w:ascii="Times New Roman" w:eastAsia="Times New Roman" w:hAnsi="Times New Roman" w:cs="Times New Roman"/>
          <w:bCs/>
          <w:color w:val="FF0000"/>
          <w:highlight w:val="yellow"/>
        </w:rPr>
        <w:t xml:space="preserve"> félév</w:t>
      </w:r>
    </w:p>
    <w:p w:rsidR="00D81655" w:rsidRPr="00D81655" w:rsidRDefault="00D81655" w:rsidP="00980876">
      <w:pPr>
        <w:widowControl w:val="0"/>
        <w:numPr>
          <w:ilvl w:val="0"/>
          <w:numId w:val="823"/>
        </w:numPr>
        <w:tabs>
          <w:tab w:val="num" w:pos="720"/>
        </w:tabs>
        <w:spacing w:before="120" w:after="120" w:line="240" w:lineRule="auto"/>
        <w:ind w:left="426" w:hanging="142"/>
        <w:jc w:val="both"/>
        <w:rPr>
          <w:rFonts w:ascii="Times New Roman" w:eastAsia="Times New Roman" w:hAnsi="Times New Roman" w:cs="Times New Roman"/>
          <w:bCs/>
        </w:rPr>
      </w:pPr>
      <w:r w:rsidRPr="00D81655">
        <w:rPr>
          <w:rFonts w:ascii="Times New Roman" w:eastAsia="Times New Roman" w:hAnsi="Times New Roman" w:cs="Times New Roman"/>
          <w:b/>
          <w:bCs/>
        </w:rPr>
        <w:t>A tanórákon való részvétel követelményei, az elfogadható hiányzások mértéke, a távolmaradás pótlásának lehetősége:</w:t>
      </w:r>
    </w:p>
    <w:p w:rsidR="00D81655" w:rsidRPr="00D81655" w:rsidRDefault="00D81655" w:rsidP="00D81655">
      <w:pPr>
        <w:widowControl w:val="0"/>
        <w:spacing w:before="120" w:after="120" w:line="240" w:lineRule="auto"/>
        <w:ind w:left="426"/>
        <w:jc w:val="both"/>
        <w:rPr>
          <w:rFonts w:ascii="Times New Roman" w:eastAsia="Times New Roman" w:hAnsi="Times New Roman" w:cs="Times New Roman"/>
          <w:bCs/>
        </w:rPr>
      </w:pPr>
      <w:r w:rsidRPr="00D81655">
        <w:rPr>
          <w:rFonts w:ascii="Times New Roman" w:eastAsia="Times New Roman" w:hAnsi="Times New Roman" w:cs="Times New Roman"/>
          <w:bCs/>
          <w:noProof/>
        </w:rPr>
        <w:t>A tantárgy elfogadásához a tanórák legalább 70 %-án jelen kell lennie a hallgatónak. A távollétet a hiányzást követő első foglalkozáson kell igazolnia. A hallgató köteles az előadás anyagát beszerezni, abból önállóan felkészülni.</w:t>
      </w:r>
    </w:p>
    <w:p w:rsidR="00D81655" w:rsidRPr="00D81655" w:rsidRDefault="00D81655" w:rsidP="00980876">
      <w:pPr>
        <w:widowControl w:val="0"/>
        <w:numPr>
          <w:ilvl w:val="0"/>
          <w:numId w:val="823"/>
        </w:numPr>
        <w:tabs>
          <w:tab w:val="num" w:pos="720"/>
        </w:tabs>
        <w:spacing w:before="120" w:after="120" w:line="240" w:lineRule="auto"/>
        <w:ind w:left="426" w:hanging="142"/>
        <w:jc w:val="both"/>
        <w:rPr>
          <w:rFonts w:ascii="Times New Roman" w:eastAsia="Times New Roman" w:hAnsi="Times New Roman" w:cs="Times New Roman"/>
          <w:bCs/>
        </w:rPr>
      </w:pPr>
      <w:r w:rsidRPr="00D81655">
        <w:rPr>
          <w:rFonts w:ascii="Times New Roman" w:eastAsia="Times New Roman" w:hAnsi="Times New Roman" w:cs="Times New Roman"/>
          <w:b/>
        </w:rPr>
        <w:t>Félévközi feladatok, ismeretek ellenőrzésének rendje:</w:t>
      </w:r>
    </w:p>
    <w:p w:rsidR="00D81655" w:rsidRPr="00D81655" w:rsidRDefault="00D81655" w:rsidP="00D81655">
      <w:pPr>
        <w:widowControl w:val="0"/>
        <w:spacing w:before="120" w:after="120" w:line="240" w:lineRule="auto"/>
        <w:ind w:left="426"/>
        <w:jc w:val="both"/>
        <w:rPr>
          <w:rFonts w:ascii="Times New Roman" w:eastAsia="Times New Roman" w:hAnsi="Times New Roman" w:cs="Times New Roman"/>
          <w:bCs/>
        </w:rPr>
      </w:pPr>
      <w:r w:rsidRPr="00D81655">
        <w:rPr>
          <w:rFonts w:ascii="Times New Roman" w:eastAsia="Times New Roman" w:hAnsi="Times New Roman" w:cs="Times New Roman"/>
          <w:bCs/>
          <w:noProof/>
        </w:rPr>
        <w:lastRenderedPageBreak/>
        <w:t>A tanulmányi munka alapja a szemináriumok látogatása, az előírt olvasmányok ismerete, aktiv órai részvétel és egy ajánlott múzeum megtekintése.</w:t>
      </w:r>
    </w:p>
    <w:p w:rsidR="00D81655" w:rsidRPr="00D81655" w:rsidRDefault="00D81655" w:rsidP="00980876">
      <w:pPr>
        <w:widowControl w:val="0"/>
        <w:numPr>
          <w:ilvl w:val="0"/>
          <w:numId w:val="823"/>
        </w:numPr>
        <w:tabs>
          <w:tab w:val="num" w:pos="720"/>
        </w:tabs>
        <w:spacing w:before="120" w:after="120" w:line="240" w:lineRule="auto"/>
        <w:ind w:left="426" w:hanging="142"/>
        <w:jc w:val="both"/>
        <w:rPr>
          <w:rFonts w:ascii="Times New Roman" w:eastAsia="Times New Roman" w:hAnsi="Times New Roman" w:cs="Times New Roman"/>
          <w:b/>
          <w:bCs/>
        </w:rPr>
      </w:pPr>
      <w:r w:rsidRPr="00D81655">
        <w:rPr>
          <w:rFonts w:ascii="Times New Roman" w:eastAsia="Times New Roman" w:hAnsi="Times New Roman" w:cs="Times New Roman"/>
          <w:b/>
          <w:bCs/>
        </w:rPr>
        <w:t xml:space="preserve">Az értékelés, az aláírás és a kreditek megszerzésének pontos feltételei: </w:t>
      </w:r>
    </w:p>
    <w:p w:rsidR="00D81655" w:rsidRPr="00D81655" w:rsidRDefault="00D81655" w:rsidP="00980876">
      <w:pPr>
        <w:widowControl w:val="0"/>
        <w:numPr>
          <w:ilvl w:val="1"/>
          <w:numId w:val="823"/>
        </w:numPr>
        <w:tabs>
          <w:tab w:val="left" w:pos="709"/>
          <w:tab w:val="left" w:pos="993"/>
        </w:tabs>
        <w:spacing w:before="120" w:after="120" w:line="240" w:lineRule="auto"/>
        <w:ind w:left="426"/>
        <w:jc w:val="both"/>
        <w:rPr>
          <w:rFonts w:ascii="Times New Roman" w:eastAsia="Times New Roman" w:hAnsi="Times New Roman" w:cs="Times New Roman"/>
        </w:rPr>
      </w:pPr>
      <w:r w:rsidRPr="00D81655">
        <w:rPr>
          <w:rFonts w:ascii="Times New Roman" w:eastAsia="Times New Roman" w:hAnsi="Times New Roman" w:cs="Times New Roman"/>
          <w:b/>
        </w:rPr>
        <w:t>Az aláírás megszerzésének feltételei:</w:t>
      </w:r>
    </w:p>
    <w:p w:rsidR="00D81655" w:rsidRPr="00D81655" w:rsidRDefault="00D81655" w:rsidP="00D81655">
      <w:pPr>
        <w:widowControl w:val="0"/>
        <w:tabs>
          <w:tab w:val="left" w:pos="993"/>
        </w:tabs>
        <w:spacing w:before="120" w:after="120" w:line="240" w:lineRule="auto"/>
        <w:ind w:left="426"/>
        <w:jc w:val="both"/>
        <w:rPr>
          <w:rFonts w:ascii="Times New Roman" w:eastAsia="Times New Roman" w:hAnsi="Times New Roman" w:cs="Times New Roman"/>
        </w:rPr>
      </w:pPr>
      <w:r w:rsidRPr="00D81655">
        <w:rPr>
          <w:rFonts w:ascii="Times New Roman" w:eastAsia="Times New Roman" w:hAnsi="Times New Roman" w:cs="Times New Roman"/>
          <w:noProof/>
        </w:rPr>
        <w:t>Gyakorlati jegy - A félévi aláírás megszerzésének feltétele a kurzust záró 42 pontos feleletválasztós teszt kitöltése.</w:t>
      </w:r>
    </w:p>
    <w:p w:rsidR="00D81655" w:rsidRPr="00D81655" w:rsidRDefault="00D81655" w:rsidP="00980876">
      <w:pPr>
        <w:widowControl w:val="0"/>
        <w:numPr>
          <w:ilvl w:val="1"/>
          <w:numId w:val="823"/>
        </w:numPr>
        <w:tabs>
          <w:tab w:val="left" w:pos="709"/>
          <w:tab w:val="left" w:pos="993"/>
        </w:tabs>
        <w:spacing w:before="120" w:after="120" w:line="240" w:lineRule="auto"/>
        <w:ind w:left="426"/>
        <w:jc w:val="both"/>
        <w:rPr>
          <w:rFonts w:ascii="Times New Roman" w:eastAsia="Times New Roman" w:hAnsi="Times New Roman" w:cs="Times New Roman"/>
        </w:rPr>
      </w:pPr>
      <w:r w:rsidRPr="00D81655">
        <w:rPr>
          <w:rFonts w:ascii="Times New Roman" w:eastAsia="Times New Roman" w:hAnsi="Times New Roman" w:cs="Times New Roman"/>
          <w:b/>
        </w:rPr>
        <w:t>Az értékelés:</w:t>
      </w:r>
    </w:p>
    <w:p w:rsidR="00D81655" w:rsidRPr="00D81655" w:rsidRDefault="00D81655" w:rsidP="00D81655">
      <w:pPr>
        <w:widowControl w:val="0"/>
        <w:tabs>
          <w:tab w:val="left" w:pos="993"/>
        </w:tabs>
        <w:spacing w:before="120" w:after="120" w:line="240" w:lineRule="auto"/>
        <w:ind w:left="426"/>
        <w:jc w:val="both"/>
        <w:rPr>
          <w:rFonts w:ascii="Times New Roman" w:eastAsia="Times New Roman" w:hAnsi="Times New Roman" w:cs="Times New Roman"/>
        </w:rPr>
      </w:pPr>
      <w:r w:rsidRPr="00D81655">
        <w:rPr>
          <w:rFonts w:ascii="Times New Roman" w:eastAsia="Times New Roman" w:hAnsi="Times New Roman" w:cs="Times New Roman"/>
          <w:noProof/>
        </w:rPr>
        <w:t>Legalább elégséges gyakorlati jegy (GYJ) megszerzése a 14. és 15. pontban foglaltak szerint.</w:t>
      </w:r>
    </w:p>
    <w:p w:rsidR="00D81655" w:rsidRPr="00D81655" w:rsidRDefault="00D81655" w:rsidP="00980876">
      <w:pPr>
        <w:widowControl w:val="0"/>
        <w:numPr>
          <w:ilvl w:val="1"/>
          <w:numId w:val="823"/>
        </w:numPr>
        <w:tabs>
          <w:tab w:val="left" w:pos="709"/>
          <w:tab w:val="left" w:pos="993"/>
        </w:tabs>
        <w:spacing w:before="120" w:after="120" w:line="240" w:lineRule="auto"/>
        <w:ind w:left="426"/>
        <w:jc w:val="both"/>
        <w:rPr>
          <w:rFonts w:ascii="Times New Roman" w:eastAsia="Times New Roman" w:hAnsi="Times New Roman" w:cs="Times New Roman"/>
        </w:rPr>
      </w:pPr>
      <w:r w:rsidRPr="00D81655">
        <w:rPr>
          <w:rFonts w:ascii="Times New Roman" w:eastAsia="Times New Roman" w:hAnsi="Times New Roman" w:cs="Times New Roman"/>
          <w:b/>
        </w:rPr>
        <w:t>A kreditek megszerzésének feltételei:</w:t>
      </w:r>
      <w:r w:rsidRPr="00D81655">
        <w:rPr>
          <w:rFonts w:ascii="Times New Roman" w:eastAsia="Times New Roman" w:hAnsi="Times New Roman" w:cs="Times New Roman"/>
        </w:rPr>
        <w:t xml:space="preserve"> </w:t>
      </w:r>
    </w:p>
    <w:p w:rsidR="00D81655" w:rsidRPr="00D81655" w:rsidRDefault="00D81655" w:rsidP="00D81655">
      <w:pPr>
        <w:widowControl w:val="0"/>
        <w:tabs>
          <w:tab w:val="left" w:pos="993"/>
        </w:tabs>
        <w:spacing w:before="120" w:after="120" w:line="240" w:lineRule="auto"/>
        <w:ind w:left="426"/>
        <w:jc w:val="both"/>
        <w:rPr>
          <w:rFonts w:ascii="Times New Roman" w:eastAsia="Times New Roman" w:hAnsi="Times New Roman" w:cs="Times New Roman"/>
        </w:rPr>
      </w:pPr>
      <w:r w:rsidRPr="00D81655">
        <w:rPr>
          <w:rFonts w:ascii="Times New Roman" w:eastAsia="Times New Roman" w:hAnsi="Times New Roman" w:cs="Times New Roman"/>
        </w:rPr>
        <w:t xml:space="preserve">A kreditek megszerzésének feltétele az aláírás megszerzése és legalább elégséges </w:t>
      </w:r>
      <w:r w:rsidRPr="00D81655">
        <w:rPr>
          <w:rFonts w:ascii="Times New Roman" w:eastAsia="Times New Roman" w:hAnsi="Times New Roman" w:cs="Times New Roman"/>
          <w:noProof/>
        </w:rPr>
        <w:t>gyakorlati jegy (GYJ)</w:t>
      </w:r>
      <w:r w:rsidRPr="00D81655">
        <w:rPr>
          <w:rFonts w:ascii="Times New Roman" w:eastAsia="Times New Roman" w:hAnsi="Times New Roman" w:cs="Times New Roman"/>
        </w:rPr>
        <w:t>.</w:t>
      </w:r>
    </w:p>
    <w:p w:rsidR="00D81655" w:rsidRPr="00D81655" w:rsidRDefault="00D81655" w:rsidP="00980876">
      <w:pPr>
        <w:widowControl w:val="0"/>
        <w:numPr>
          <w:ilvl w:val="0"/>
          <w:numId w:val="823"/>
        </w:numPr>
        <w:tabs>
          <w:tab w:val="num" w:pos="720"/>
        </w:tabs>
        <w:spacing w:before="120" w:after="120" w:line="240" w:lineRule="auto"/>
        <w:ind w:left="426" w:hanging="142"/>
        <w:jc w:val="both"/>
        <w:rPr>
          <w:rFonts w:ascii="Times New Roman" w:eastAsia="Times New Roman" w:hAnsi="Times New Roman" w:cs="Times New Roman"/>
          <w:bCs/>
        </w:rPr>
      </w:pPr>
      <w:r w:rsidRPr="00D81655">
        <w:rPr>
          <w:rFonts w:ascii="Times New Roman" w:eastAsia="Times New Roman" w:hAnsi="Times New Roman" w:cs="Times New Roman"/>
          <w:b/>
          <w:bCs/>
        </w:rPr>
        <w:t>Irodalomjegyzék:</w:t>
      </w:r>
    </w:p>
    <w:p w:rsidR="00D81655" w:rsidRPr="00D81655" w:rsidRDefault="00D81655" w:rsidP="00980876">
      <w:pPr>
        <w:widowControl w:val="0"/>
        <w:numPr>
          <w:ilvl w:val="1"/>
          <w:numId w:val="823"/>
        </w:numPr>
        <w:tabs>
          <w:tab w:val="left" w:pos="993"/>
        </w:tabs>
        <w:spacing w:before="120" w:after="120" w:line="240" w:lineRule="auto"/>
        <w:ind w:left="426" w:hanging="142"/>
        <w:jc w:val="both"/>
        <w:rPr>
          <w:rFonts w:ascii="Times New Roman" w:eastAsia="Times New Roman" w:hAnsi="Times New Roman" w:cs="Times New Roman"/>
          <w:bCs/>
        </w:rPr>
      </w:pPr>
      <w:r w:rsidRPr="00D81655">
        <w:rPr>
          <w:rFonts w:ascii="Times New Roman" w:eastAsia="Times New Roman" w:hAnsi="Times New Roman" w:cs="Times New Roman"/>
          <w:b/>
          <w:bCs/>
        </w:rPr>
        <w:t>Kötelező irodalom:</w:t>
      </w:r>
    </w:p>
    <w:p w:rsidR="00D81655" w:rsidRPr="00D81655" w:rsidRDefault="00D81655" w:rsidP="00980876">
      <w:pPr>
        <w:widowControl w:val="0"/>
        <w:numPr>
          <w:ilvl w:val="0"/>
          <w:numId w:val="824"/>
        </w:numPr>
        <w:spacing w:after="0" w:line="240" w:lineRule="auto"/>
        <w:jc w:val="both"/>
        <w:rPr>
          <w:rFonts w:ascii="Times New Roman" w:eastAsia="Times New Roman" w:hAnsi="Times New Roman" w:cs="Times New Roman"/>
        </w:rPr>
      </w:pPr>
      <w:r w:rsidRPr="00D81655">
        <w:rPr>
          <w:rFonts w:ascii="Times New Roman" w:eastAsia="Times New Roman" w:hAnsi="Times New Roman" w:cs="Times New Roman"/>
          <w:noProof/>
        </w:rPr>
        <w:t>Barna Attila – Szabó Ádám (szerk): Ludoviceum I. Anthologia Historica Szakaszok Magyarország és Európ történelméből. Nemzeti Közszolgálati Egyetem – Közigazgatási Továbbképzési Intézet, Budapest, 2020. ISBN 978-963-498-256-2</w:t>
      </w:r>
    </w:p>
    <w:p w:rsidR="00D81655" w:rsidRPr="00D81655" w:rsidRDefault="00D81655" w:rsidP="00980876">
      <w:pPr>
        <w:widowControl w:val="0"/>
        <w:numPr>
          <w:ilvl w:val="1"/>
          <w:numId w:val="823"/>
        </w:numPr>
        <w:tabs>
          <w:tab w:val="left" w:pos="993"/>
        </w:tabs>
        <w:spacing w:before="120" w:after="120" w:line="240" w:lineRule="auto"/>
        <w:ind w:left="426" w:hanging="142"/>
        <w:jc w:val="both"/>
        <w:rPr>
          <w:rFonts w:ascii="Times New Roman" w:eastAsia="Times New Roman" w:hAnsi="Times New Roman" w:cs="Times New Roman"/>
          <w:b/>
          <w:bCs/>
        </w:rPr>
      </w:pPr>
      <w:r w:rsidRPr="00D81655">
        <w:rPr>
          <w:rFonts w:ascii="Times New Roman" w:eastAsia="Times New Roman" w:hAnsi="Times New Roman" w:cs="Times New Roman"/>
          <w:b/>
          <w:bCs/>
        </w:rPr>
        <w:t>Ajánlott irodalom:</w:t>
      </w:r>
    </w:p>
    <w:p w:rsidR="00D81655" w:rsidRPr="00D81655" w:rsidRDefault="00D81655" w:rsidP="00980876">
      <w:pPr>
        <w:widowControl w:val="0"/>
        <w:numPr>
          <w:ilvl w:val="0"/>
          <w:numId w:val="427"/>
        </w:numPr>
        <w:spacing w:after="0" w:line="240" w:lineRule="auto"/>
        <w:ind w:left="709" w:hanging="425"/>
        <w:jc w:val="both"/>
        <w:rPr>
          <w:rFonts w:ascii="Times New Roman" w:eastAsia="Times New Roman" w:hAnsi="Times New Roman" w:cs="Times New Roman"/>
          <w:noProof/>
        </w:rPr>
      </w:pPr>
      <w:r w:rsidRPr="00D81655">
        <w:rPr>
          <w:rFonts w:ascii="Times New Roman" w:eastAsia="Times New Roman" w:hAnsi="Times New Roman" w:cs="Times New Roman"/>
          <w:noProof/>
        </w:rPr>
        <w:t xml:space="preserve">Glatz Ferenc (szerk.): Magyarok Európában I-III., Budapest 1990: Engel Pál: Beilleszkedés Európába a kezdetektől 1440-ig; Szakály Ferenc: Virágkor és hanyatlás 1440-1711; Kosáry Domokos: Újjáépítés és polgárosodás 1711-1867. </w:t>
      </w:r>
    </w:p>
    <w:p w:rsidR="00D81655" w:rsidRPr="00D81655" w:rsidRDefault="00D81655" w:rsidP="00980876">
      <w:pPr>
        <w:widowControl w:val="0"/>
        <w:numPr>
          <w:ilvl w:val="0"/>
          <w:numId w:val="427"/>
        </w:numPr>
        <w:spacing w:after="0" w:line="240" w:lineRule="auto"/>
        <w:ind w:left="709" w:hanging="425"/>
        <w:jc w:val="both"/>
        <w:rPr>
          <w:rFonts w:ascii="Times New Roman" w:eastAsia="Times New Roman" w:hAnsi="Times New Roman" w:cs="Times New Roman"/>
          <w:noProof/>
        </w:rPr>
      </w:pPr>
      <w:r w:rsidRPr="00D81655">
        <w:rPr>
          <w:rFonts w:ascii="Times New Roman" w:eastAsia="Times New Roman" w:hAnsi="Times New Roman" w:cs="Times New Roman"/>
          <w:noProof/>
        </w:rPr>
        <w:t>Bihari Péter: A Nyugat felemelkedése 1450-1789, Budapest, 2003.</w:t>
      </w:r>
    </w:p>
    <w:p w:rsidR="00D81655" w:rsidRPr="00D81655" w:rsidRDefault="00D81655" w:rsidP="00980876">
      <w:pPr>
        <w:widowControl w:val="0"/>
        <w:numPr>
          <w:ilvl w:val="0"/>
          <w:numId w:val="427"/>
        </w:numPr>
        <w:spacing w:after="0" w:line="240" w:lineRule="auto"/>
        <w:ind w:left="709" w:hanging="425"/>
        <w:jc w:val="both"/>
        <w:rPr>
          <w:rFonts w:ascii="Times New Roman" w:eastAsia="Times New Roman" w:hAnsi="Times New Roman" w:cs="Times New Roman"/>
        </w:rPr>
      </w:pPr>
      <w:r w:rsidRPr="00D81655">
        <w:rPr>
          <w:rFonts w:ascii="Times New Roman" w:eastAsia="Times New Roman" w:hAnsi="Times New Roman" w:cs="Times New Roman"/>
          <w:noProof/>
        </w:rPr>
        <w:t>Mezei Géza: Európa kettészakítása és a kétpólusú nemzetközi rend születése, Budapest, Új Mandátum Könyvkiadó, 2001.</w:t>
      </w:r>
      <w:r w:rsidRPr="00D81655">
        <w:rPr>
          <w:rFonts w:ascii="Times New Roman" w:eastAsia="Times New Roman" w:hAnsi="Times New Roman" w:cs="Times New Roman"/>
        </w:rPr>
        <w:t xml:space="preserve"> </w:t>
      </w:r>
    </w:p>
    <w:p w:rsidR="00D81655" w:rsidRPr="00D81655" w:rsidRDefault="00D81655" w:rsidP="00D81655">
      <w:pPr>
        <w:widowControl w:val="0"/>
        <w:spacing w:before="120" w:after="120" w:line="240" w:lineRule="auto"/>
        <w:jc w:val="both"/>
        <w:rPr>
          <w:rFonts w:ascii="Times New Roman" w:eastAsia="Times New Roman" w:hAnsi="Times New Roman" w:cs="Times New Roman"/>
          <w:bCs/>
        </w:rPr>
      </w:pPr>
    </w:p>
    <w:p w:rsidR="00D81655" w:rsidRPr="00D81655" w:rsidRDefault="00D81655" w:rsidP="00D81655">
      <w:pPr>
        <w:widowControl w:val="0"/>
        <w:spacing w:before="120" w:after="120" w:line="240" w:lineRule="auto"/>
        <w:jc w:val="both"/>
        <w:rPr>
          <w:rFonts w:ascii="Times New Roman" w:eastAsia="Times New Roman" w:hAnsi="Times New Roman" w:cs="Times New Roman"/>
          <w:bCs/>
        </w:rPr>
      </w:pPr>
      <w:r w:rsidRPr="00D81655">
        <w:rPr>
          <w:rFonts w:ascii="Times New Roman" w:eastAsia="Times New Roman" w:hAnsi="Times New Roman" w:cs="Times New Roman"/>
          <w:bCs/>
        </w:rPr>
        <w:t xml:space="preserve">Budapest, </w:t>
      </w:r>
      <w:r w:rsidRPr="00D81655">
        <w:rPr>
          <w:rFonts w:ascii="Times New Roman" w:eastAsia="Times New Roman" w:hAnsi="Times New Roman" w:cs="Times New Roman"/>
          <w:bCs/>
        </w:rPr>
        <w:fldChar w:fldCharType="begin"/>
      </w:r>
      <w:r w:rsidRPr="00D81655">
        <w:rPr>
          <w:rFonts w:ascii="Times New Roman" w:eastAsia="Times New Roman" w:hAnsi="Times New Roman" w:cs="Times New Roman"/>
          <w:bCs/>
        </w:rPr>
        <w:instrText xml:space="preserve"> TIME \@ "yyyy.MM.dd." </w:instrText>
      </w:r>
      <w:r w:rsidRPr="00D81655">
        <w:rPr>
          <w:rFonts w:ascii="Times New Roman" w:eastAsia="Times New Roman" w:hAnsi="Times New Roman" w:cs="Times New Roman"/>
          <w:bCs/>
        </w:rPr>
        <w:fldChar w:fldCharType="separate"/>
      </w:r>
      <w:r w:rsidR="004D708E">
        <w:rPr>
          <w:rFonts w:ascii="Times New Roman" w:eastAsia="Times New Roman" w:hAnsi="Times New Roman" w:cs="Times New Roman"/>
          <w:bCs/>
          <w:noProof/>
        </w:rPr>
        <w:t>2020.09.16.</w:t>
      </w:r>
      <w:r w:rsidRPr="00D81655">
        <w:rPr>
          <w:rFonts w:ascii="Times New Roman" w:eastAsia="Times New Roman" w:hAnsi="Times New Roman" w:cs="Times New Roman"/>
          <w:bCs/>
        </w:rPr>
        <w:fldChar w:fldCharType="end"/>
      </w:r>
    </w:p>
    <w:p w:rsidR="00D81655" w:rsidRPr="00D81655" w:rsidRDefault="00D81655" w:rsidP="00D81655">
      <w:pPr>
        <w:widowControl w:val="0"/>
        <w:spacing w:before="120" w:after="120" w:line="240" w:lineRule="auto"/>
        <w:jc w:val="both"/>
        <w:rPr>
          <w:rFonts w:ascii="Times New Roman" w:eastAsia="Times New Roman" w:hAnsi="Times New Roman" w:cs="Times New Roman"/>
          <w:bCs/>
        </w:rPr>
      </w:pPr>
    </w:p>
    <w:p w:rsidR="00D81655" w:rsidRPr="00D81655" w:rsidRDefault="00D81655" w:rsidP="00D81655">
      <w:pPr>
        <w:widowControl w:val="0"/>
        <w:spacing w:after="0" w:line="240" w:lineRule="auto"/>
        <w:jc w:val="right"/>
        <w:rPr>
          <w:rFonts w:ascii="Times New Roman" w:eastAsia="Times New Roman" w:hAnsi="Times New Roman" w:cs="Times New Roman"/>
          <w:bCs/>
        </w:rPr>
      </w:pPr>
      <w:r w:rsidRPr="00D81655">
        <w:rPr>
          <w:rFonts w:ascii="Times New Roman" w:eastAsia="Times New Roman" w:hAnsi="Times New Roman" w:cs="Times New Roman"/>
          <w:bCs/>
          <w:noProof/>
        </w:rPr>
        <w:t>Dr. Barna Attila</w:t>
      </w:r>
      <w:r w:rsidRPr="00D81655">
        <w:rPr>
          <w:rFonts w:ascii="Times New Roman" w:eastAsia="Times New Roman" w:hAnsi="Times New Roman" w:cs="Times New Roman"/>
          <w:bCs/>
        </w:rPr>
        <w:t xml:space="preserve">, </w:t>
      </w:r>
      <w:r w:rsidRPr="00D81655">
        <w:rPr>
          <w:rFonts w:ascii="Times New Roman" w:eastAsia="Times New Roman" w:hAnsi="Times New Roman" w:cs="Times New Roman"/>
          <w:bCs/>
          <w:noProof/>
        </w:rPr>
        <w:t>PhD</w:t>
      </w:r>
    </w:p>
    <w:p w:rsidR="00D81655" w:rsidRPr="00D81655" w:rsidRDefault="00D81655" w:rsidP="00D81655">
      <w:pPr>
        <w:widowControl w:val="0"/>
        <w:spacing w:after="0" w:line="240" w:lineRule="auto"/>
        <w:jc w:val="right"/>
        <w:rPr>
          <w:rFonts w:ascii="Times New Roman" w:eastAsia="Times New Roman" w:hAnsi="Times New Roman" w:cs="Times New Roman"/>
          <w:bCs/>
        </w:rPr>
      </w:pPr>
      <w:r w:rsidRPr="00D81655">
        <w:rPr>
          <w:rFonts w:ascii="Times New Roman" w:eastAsia="Times New Roman" w:hAnsi="Times New Roman" w:cs="Times New Roman"/>
          <w:bCs/>
          <w:noProof/>
        </w:rPr>
        <w:t>egyetemi docens</w:t>
      </w:r>
      <w:r w:rsidRPr="00D81655">
        <w:rPr>
          <w:rFonts w:ascii="Times New Roman" w:eastAsia="Times New Roman" w:hAnsi="Times New Roman" w:cs="Times New Roman"/>
          <w:bCs/>
        </w:rPr>
        <w:t xml:space="preserve"> sk.</w:t>
      </w:r>
    </w:p>
    <w:p w:rsidR="00D97886" w:rsidRDefault="00D97886" w:rsidP="00D97886">
      <w:pPr>
        <w:jc w:val="right"/>
        <w:rPr>
          <w:rFonts w:ascii="Times New Roman" w:hAnsi="Times New Roman"/>
          <w:bCs/>
          <w:sz w:val="24"/>
          <w:szCs w:val="24"/>
        </w:rPr>
      </w:pPr>
    </w:p>
    <w:p w:rsidR="00DF75F8" w:rsidRDefault="00DF75F8">
      <w:pPr>
        <w:spacing w:after="200" w:line="276" w:lineRule="auto"/>
        <w:rPr>
          <w:rFonts w:ascii="Times New Roman" w:hAnsi="Times New Roman" w:cs="Times New Roman"/>
          <w:sz w:val="24"/>
        </w:rPr>
      </w:pPr>
      <w:r>
        <w:rPr>
          <w:rFonts w:ascii="Times New Roman" w:hAnsi="Times New Roman" w:cs="Times New Roman"/>
          <w:sz w:val="24"/>
        </w:rPr>
        <w:br w:type="page"/>
      </w:r>
    </w:p>
    <w:tbl>
      <w:tblPr>
        <w:tblW w:w="10024" w:type="dxa"/>
        <w:tblInd w:w="113" w:type="dxa"/>
        <w:tblLook w:val="01E0" w:firstRow="1" w:lastRow="1" w:firstColumn="1" w:lastColumn="1" w:noHBand="0" w:noVBand="0"/>
      </w:tblPr>
      <w:tblGrid>
        <w:gridCol w:w="5807"/>
        <w:gridCol w:w="1620"/>
        <w:gridCol w:w="2597"/>
      </w:tblGrid>
      <w:tr w:rsidR="00DF75F8" w:rsidRPr="00DF75F8" w:rsidTr="00DF75F8">
        <w:tc>
          <w:tcPr>
            <w:tcW w:w="5807" w:type="dxa"/>
            <w:tcBorders>
              <w:top w:val="nil"/>
              <w:left w:val="nil"/>
              <w:bottom w:val="single" w:sz="4" w:space="0" w:color="auto"/>
              <w:right w:val="nil"/>
            </w:tcBorders>
            <w:hideMark/>
          </w:tcPr>
          <w:p w:rsidR="00DF75F8" w:rsidRPr="00DF75F8" w:rsidRDefault="00DF75F8">
            <w:pPr>
              <w:spacing w:after="0" w:line="240" w:lineRule="auto"/>
              <w:jc w:val="center"/>
              <w:rPr>
                <w:rFonts w:ascii="Times New Roman" w:eastAsia="Times New Roman" w:hAnsi="Times New Roman" w:cs="Times New Roman"/>
                <w:b/>
                <w:smallCaps/>
                <w:lang w:eastAsia="hu-HU"/>
              </w:rPr>
            </w:pPr>
            <w:r w:rsidRPr="00DF75F8">
              <w:rPr>
                <w:rFonts w:ascii="Times New Roman" w:eastAsia="Times New Roman" w:hAnsi="Times New Roman" w:cs="Times New Roman"/>
                <w:b/>
                <w:smallCaps/>
                <w:lang w:eastAsia="hu-HU"/>
              </w:rPr>
              <w:lastRenderedPageBreak/>
              <w:t>Nemzeti Közszolgálati Egyetem</w:t>
            </w:r>
          </w:p>
        </w:tc>
        <w:tc>
          <w:tcPr>
            <w:tcW w:w="1620" w:type="dxa"/>
          </w:tcPr>
          <w:p w:rsidR="00DF75F8" w:rsidRPr="00DF75F8" w:rsidRDefault="00DF75F8">
            <w:pPr>
              <w:spacing w:after="0" w:line="240" w:lineRule="auto"/>
              <w:jc w:val="both"/>
              <w:rPr>
                <w:rFonts w:ascii="Times New Roman" w:eastAsia="Times New Roman" w:hAnsi="Times New Roman" w:cs="Times New Roman"/>
                <w:lang w:eastAsia="hu-HU"/>
              </w:rPr>
            </w:pPr>
          </w:p>
        </w:tc>
        <w:tc>
          <w:tcPr>
            <w:tcW w:w="2597" w:type="dxa"/>
          </w:tcPr>
          <w:p w:rsidR="00DF75F8" w:rsidRPr="00DF75F8" w:rsidRDefault="00DF75F8">
            <w:pPr>
              <w:spacing w:after="0" w:line="240" w:lineRule="auto"/>
              <w:jc w:val="right"/>
              <w:rPr>
                <w:rFonts w:ascii="Times New Roman" w:eastAsia="Times New Roman" w:hAnsi="Times New Roman" w:cs="Times New Roman"/>
                <w:lang w:eastAsia="hu-HU"/>
              </w:rPr>
            </w:pPr>
          </w:p>
        </w:tc>
      </w:tr>
      <w:tr w:rsidR="00DF75F8" w:rsidRPr="00DF75F8" w:rsidTr="00DF75F8">
        <w:trPr>
          <w:trHeight w:val="173"/>
        </w:trPr>
        <w:tc>
          <w:tcPr>
            <w:tcW w:w="5807" w:type="dxa"/>
            <w:tcBorders>
              <w:top w:val="single" w:sz="4" w:space="0" w:color="auto"/>
              <w:left w:val="nil"/>
              <w:bottom w:val="nil"/>
              <w:right w:val="nil"/>
            </w:tcBorders>
            <w:hideMark/>
          </w:tcPr>
          <w:p w:rsidR="00DF75F8" w:rsidRPr="00DF75F8" w:rsidRDefault="00DF75F8">
            <w:pPr>
              <w:spacing w:after="0" w:line="240" w:lineRule="auto"/>
              <w:jc w:val="center"/>
              <w:rPr>
                <w:rFonts w:ascii="Times New Roman" w:eastAsia="Times New Roman" w:hAnsi="Times New Roman" w:cs="Times New Roman"/>
                <w:b/>
                <w:lang w:eastAsia="hu-HU"/>
              </w:rPr>
            </w:pPr>
            <w:r w:rsidRPr="00DF75F8">
              <w:rPr>
                <w:rFonts w:ascii="Times New Roman" w:eastAsia="Times New Roman" w:hAnsi="Times New Roman" w:cs="Times New Roman"/>
                <w:b/>
                <w:lang w:eastAsia="hu-HU"/>
              </w:rPr>
              <w:t>Hadtudományi és Honvédtisztképző Kar</w:t>
            </w:r>
          </w:p>
        </w:tc>
        <w:tc>
          <w:tcPr>
            <w:tcW w:w="1620" w:type="dxa"/>
          </w:tcPr>
          <w:p w:rsidR="00DF75F8" w:rsidRPr="00DF75F8" w:rsidRDefault="00DF75F8">
            <w:pPr>
              <w:spacing w:after="0" w:line="240" w:lineRule="auto"/>
              <w:jc w:val="both"/>
              <w:rPr>
                <w:rFonts w:ascii="Times New Roman" w:eastAsia="Times New Roman" w:hAnsi="Times New Roman" w:cs="Times New Roman"/>
                <w:lang w:eastAsia="hu-HU"/>
              </w:rPr>
            </w:pPr>
          </w:p>
        </w:tc>
        <w:tc>
          <w:tcPr>
            <w:tcW w:w="2597" w:type="dxa"/>
          </w:tcPr>
          <w:p w:rsidR="00DF75F8" w:rsidRPr="00DF75F8" w:rsidRDefault="00DF75F8">
            <w:pPr>
              <w:spacing w:after="0" w:line="240" w:lineRule="auto"/>
              <w:jc w:val="both"/>
              <w:rPr>
                <w:rFonts w:ascii="Times New Roman" w:eastAsia="Times New Roman" w:hAnsi="Times New Roman" w:cs="Times New Roman"/>
                <w:lang w:eastAsia="hu-HU"/>
              </w:rPr>
            </w:pPr>
          </w:p>
        </w:tc>
      </w:tr>
    </w:tbl>
    <w:p w:rsidR="00DF75F8" w:rsidRPr="00DF75F8" w:rsidRDefault="00DF75F8" w:rsidP="00DF75F8">
      <w:pPr>
        <w:widowControl w:val="0"/>
        <w:spacing w:before="120" w:after="120" w:line="240" w:lineRule="auto"/>
        <w:ind w:left="426" w:hanging="142"/>
        <w:jc w:val="center"/>
        <w:rPr>
          <w:rFonts w:ascii="Times New Roman" w:eastAsia="Times New Roman" w:hAnsi="Times New Roman" w:cs="Times New Roman"/>
          <w:b/>
          <w:bCs/>
        </w:rPr>
      </w:pPr>
    </w:p>
    <w:p w:rsidR="00DF75F8" w:rsidRPr="00DF75F8" w:rsidRDefault="00DF75F8" w:rsidP="00DF75F8">
      <w:pPr>
        <w:widowControl w:val="0"/>
        <w:spacing w:before="120" w:after="120" w:line="240" w:lineRule="auto"/>
        <w:ind w:left="426" w:hanging="142"/>
        <w:jc w:val="center"/>
        <w:rPr>
          <w:rFonts w:ascii="Times New Roman" w:eastAsia="Times New Roman" w:hAnsi="Times New Roman" w:cs="Times New Roman"/>
          <w:b/>
          <w:bCs/>
        </w:rPr>
      </w:pPr>
      <w:r w:rsidRPr="00DF75F8">
        <w:rPr>
          <w:rFonts w:ascii="Times New Roman" w:eastAsia="Times New Roman" w:hAnsi="Times New Roman" w:cs="Times New Roman"/>
          <w:b/>
          <w:bCs/>
        </w:rPr>
        <w:t>TANTÁRGYI PROGRAM</w:t>
      </w:r>
    </w:p>
    <w:p w:rsidR="00DF75F8" w:rsidRPr="00DF75F8" w:rsidRDefault="00DF75F8" w:rsidP="00C2057B">
      <w:pPr>
        <w:widowControl w:val="0"/>
        <w:numPr>
          <w:ilvl w:val="0"/>
          <w:numId w:val="86"/>
        </w:numPr>
        <w:tabs>
          <w:tab w:val="num" w:pos="567"/>
        </w:tabs>
        <w:spacing w:before="120" w:after="120" w:line="240" w:lineRule="auto"/>
        <w:ind w:left="426" w:hanging="142"/>
        <w:jc w:val="both"/>
        <w:rPr>
          <w:rFonts w:ascii="Times New Roman" w:eastAsia="Times New Roman" w:hAnsi="Times New Roman" w:cs="Times New Roman"/>
          <w:b/>
          <w:bCs/>
        </w:rPr>
      </w:pPr>
      <w:r w:rsidRPr="00DF75F8">
        <w:rPr>
          <w:rFonts w:ascii="Times New Roman" w:eastAsia="Times New Roman" w:hAnsi="Times New Roman" w:cs="Times New Roman"/>
          <w:b/>
          <w:bCs/>
        </w:rPr>
        <w:t xml:space="preserve">A tantárgy kódja: </w:t>
      </w:r>
      <w:r w:rsidRPr="00DF75F8">
        <w:rPr>
          <w:rFonts w:ascii="Times New Roman" w:eastAsia="Times New Roman" w:hAnsi="Times New Roman" w:cs="Times New Roman"/>
          <w:bCs/>
        </w:rPr>
        <w:t>HKKVKA03</w:t>
      </w:r>
    </w:p>
    <w:p w:rsidR="00DF75F8" w:rsidRPr="00DF75F8" w:rsidRDefault="00DF75F8" w:rsidP="00C2057B">
      <w:pPr>
        <w:widowControl w:val="0"/>
        <w:numPr>
          <w:ilvl w:val="0"/>
          <w:numId w:val="86"/>
        </w:numPr>
        <w:tabs>
          <w:tab w:val="num" w:pos="567"/>
        </w:tabs>
        <w:spacing w:before="120" w:after="120" w:line="240" w:lineRule="auto"/>
        <w:ind w:left="426" w:hanging="142"/>
        <w:jc w:val="both"/>
        <w:rPr>
          <w:rFonts w:ascii="Times New Roman" w:eastAsia="Times New Roman" w:hAnsi="Times New Roman" w:cs="Times New Roman"/>
          <w:b/>
          <w:bCs/>
          <w:lang w:val="en-GB"/>
        </w:rPr>
      </w:pPr>
      <w:r w:rsidRPr="00DF75F8">
        <w:rPr>
          <w:rFonts w:ascii="Times New Roman" w:eastAsia="Times New Roman" w:hAnsi="Times New Roman" w:cs="Times New Roman"/>
          <w:b/>
          <w:bCs/>
        </w:rPr>
        <w:t>A tantárgy megnevezése (magyarul):</w:t>
      </w:r>
      <w:r w:rsidRPr="00DF75F8">
        <w:rPr>
          <w:rFonts w:ascii="Times New Roman" w:eastAsia="Times New Roman" w:hAnsi="Times New Roman" w:cs="Times New Roman"/>
          <w:bCs/>
          <w:lang w:eastAsia="hu-HU"/>
        </w:rPr>
        <w:t xml:space="preserve"> Vezetés- és szervezéselmélet </w:t>
      </w:r>
    </w:p>
    <w:p w:rsidR="00DF75F8" w:rsidRPr="00DF75F8" w:rsidRDefault="00DF75F8" w:rsidP="00C2057B">
      <w:pPr>
        <w:widowControl w:val="0"/>
        <w:numPr>
          <w:ilvl w:val="0"/>
          <w:numId w:val="86"/>
        </w:numPr>
        <w:tabs>
          <w:tab w:val="num" w:pos="567"/>
        </w:tabs>
        <w:spacing w:before="120" w:after="120" w:line="240" w:lineRule="auto"/>
        <w:ind w:left="426" w:hanging="142"/>
        <w:jc w:val="both"/>
        <w:rPr>
          <w:rFonts w:ascii="Times New Roman" w:eastAsia="Times New Roman" w:hAnsi="Times New Roman" w:cs="Times New Roman"/>
          <w:b/>
          <w:bCs/>
          <w:lang w:val="en-GB"/>
        </w:rPr>
      </w:pPr>
      <w:r w:rsidRPr="00DF75F8">
        <w:rPr>
          <w:rFonts w:ascii="Times New Roman" w:eastAsia="Times New Roman" w:hAnsi="Times New Roman" w:cs="Times New Roman"/>
          <w:b/>
          <w:bCs/>
        </w:rPr>
        <w:t>A tantárgy megnevezése (angolul):</w:t>
      </w:r>
      <w:r w:rsidRPr="00DF75F8">
        <w:rPr>
          <w:rFonts w:ascii="Times New Roman" w:eastAsia="Times New Roman" w:hAnsi="Times New Roman" w:cs="Times New Roman"/>
          <w:bCs/>
          <w:lang w:eastAsia="hu-HU"/>
        </w:rPr>
        <w:t xml:space="preserve"> </w:t>
      </w:r>
      <w:r w:rsidRPr="00DF75F8">
        <w:rPr>
          <w:rFonts w:ascii="Times New Roman" w:eastAsia="Times New Roman" w:hAnsi="Times New Roman" w:cs="Times New Roman"/>
          <w:bCs/>
          <w:lang w:val="en-AU" w:eastAsia="hu-HU"/>
        </w:rPr>
        <w:t>Leadership and Organization Theory</w:t>
      </w:r>
    </w:p>
    <w:p w:rsidR="00DF75F8" w:rsidRPr="00DF75F8" w:rsidRDefault="00DF75F8" w:rsidP="00C2057B">
      <w:pPr>
        <w:widowControl w:val="0"/>
        <w:numPr>
          <w:ilvl w:val="0"/>
          <w:numId w:val="86"/>
        </w:numPr>
        <w:tabs>
          <w:tab w:val="num" w:pos="567"/>
        </w:tabs>
        <w:spacing w:before="120" w:after="120" w:line="240" w:lineRule="auto"/>
        <w:ind w:left="426" w:hanging="142"/>
        <w:jc w:val="both"/>
        <w:rPr>
          <w:rFonts w:ascii="Times New Roman" w:eastAsia="Times New Roman" w:hAnsi="Times New Roman" w:cs="Times New Roman"/>
          <w:b/>
          <w:bCs/>
        </w:rPr>
      </w:pPr>
      <w:r w:rsidRPr="00DF75F8">
        <w:rPr>
          <w:rFonts w:ascii="Times New Roman" w:eastAsia="Times New Roman" w:hAnsi="Times New Roman" w:cs="Times New Roman"/>
          <w:b/>
          <w:bCs/>
        </w:rPr>
        <w:t xml:space="preserve">Kreditérték és képzési karakter: </w:t>
      </w:r>
    </w:p>
    <w:p w:rsidR="00DF75F8" w:rsidRPr="00DF75F8" w:rsidRDefault="00DF75F8" w:rsidP="00C2057B">
      <w:pPr>
        <w:pStyle w:val="Listaszerbekezds"/>
        <w:widowControl w:val="0"/>
        <w:numPr>
          <w:ilvl w:val="1"/>
          <w:numId w:val="86"/>
        </w:numPr>
        <w:tabs>
          <w:tab w:val="clear" w:pos="3977"/>
          <w:tab w:val="num" w:pos="824"/>
        </w:tabs>
        <w:spacing w:before="120" w:after="120" w:line="240" w:lineRule="auto"/>
        <w:ind w:left="993" w:hanging="426"/>
        <w:jc w:val="both"/>
        <w:rPr>
          <w:rFonts w:ascii="Times New Roman" w:eastAsia="Times New Roman" w:hAnsi="Times New Roman" w:cs="Times New Roman"/>
          <w:b/>
          <w:bCs/>
        </w:rPr>
      </w:pPr>
      <w:r w:rsidRPr="00DF75F8">
        <w:rPr>
          <w:rFonts w:ascii="Times New Roman" w:eastAsia="Times New Roman" w:hAnsi="Times New Roman" w:cs="Times New Roman"/>
          <w:bCs/>
          <w:lang w:eastAsia="hu-HU"/>
        </w:rPr>
        <w:t xml:space="preserve">2 </w:t>
      </w:r>
      <w:r w:rsidRPr="00DF75F8">
        <w:rPr>
          <w:rFonts w:ascii="Times New Roman" w:eastAsia="Times New Roman" w:hAnsi="Times New Roman" w:cs="Times New Roman"/>
          <w:bCs/>
        </w:rPr>
        <w:t>kredit</w:t>
      </w:r>
    </w:p>
    <w:p w:rsidR="00DF75F8" w:rsidRPr="00DF75F8" w:rsidRDefault="00DF75F8" w:rsidP="00C2057B">
      <w:pPr>
        <w:pStyle w:val="Listaszerbekezds"/>
        <w:widowControl w:val="0"/>
        <w:numPr>
          <w:ilvl w:val="1"/>
          <w:numId w:val="86"/>
        </w:numPr>
        <w:tabs>
          <w:tab w:val="clear" w:pos="3977"/>
          <w:tab w:val="num" w:pos="824"/>
        </w:tabs>
        <w:spacing w:before="120" w:after="120" w:line="240" w:lineRule="auto"/>
        <w:ind w:left="993" w:hanging="426"/>
        <w:jc w:val="both"/>
        <w:rPr>
          <w:rFonts w:ascii="Times New Roman" w:eastAsia="Times New Roman" w:hAnsi="Times New Roman" w:cs="Times New Roman"/>
          <w:b/>
          <w:bCs/>
        </w:rPr>
      </w:pPr>
      <w:r w:rsidRPr="00DF75F8">
        <w:rPr>
          <w:rFonts w:ascii="Times New Roman" w:eastAsia="Times New Roman" w:hAnsi="Times New Roman" w:cs="Times New Roman"/>
          <w:bCs/>
        </w:rPr>
        <w:t>a tantárgy elméleti vagy gyakorlati jellegének mértéke: 0% gyakorlat, 100% elmélet</w:t>
      </w:r>
    </w:p>
    <w:p w:rsidR="00DF75F8" w:rsidRPr="00DF75F8" w:rsidRDefault="00DF75F8" w:rsidP="00C2057B">
      <w:pPr>
        <w:widowControl w:val="0"/>
        <w:numPr>
          <w:ilvl w:val="0"/>
          <w:numId w:val="86"/>
        </w:numPr>
        <w:spacing w:before="120" w:after="120" w:line="240" w:lineRule="auto"/>
        <w:ind w:left="426" w:hanging="142"/>
        <w:jc w:val="both"/>
        <w:rPr>
          <w:rFonts w:ascii="Times New Roman" w:eastAsia="Times New Roman" w:hAnsi="Times New Roman" w:cs="Times New Roman"/>
          <w:bCs/>
        </w:rPr>
      </w:pPr>
      <w:r w:rsidRPr="00DF75F8">
        <w:rPr>
          <w:rFonts w:ascii="Times New Roman" w:eastAsia="Times New Roman" w:hAnsi="Times New Roman" w:cs="Times New Roman"/>
          <w:b/>
          <w:bCs/>
        </w:rPr>
        <w:t xml:space="preserve">A szak(ok), szakirányok/specializációk megnevezése (ahol oktatják): </w:t>
      </w:r>
      <w:r w:rsidRPr="00DF75F8">
        <w:rPr>
          <w:rFonts w:ascii="Times New Roman" w:eastAsia="Times New Roman" w:hAnsi="Times New Roman" w:cs="Times New Roman"/>
          <w:bCs/>
        </w:rPr>
        <w:t>a Kar valamennyi alapképzési szakán</w:t>
      </w:r>
    </w:p>
    <w:p w:rsidR="00DF75F8" w:rsidRPr="00DF75F8" w:rsidRDefault="00DF75F8" w:rsidP="00C2057B">
      <w:pPr>
        <w:widowControl w:val="0"/>
        <w:numPr>
          <w:ilvl w:val="0"/>
          <w:numId w:val="86"/>
        </w:numPr>
        <w:spacing w:before="120" w:after="120" w:line="240" w:lineRule="auto"/>
        <w:ind w:left="426" w:hanging="142"/>
        <w:jc w:val="both"/>
        <w:rPr>
          <w:rFonts w:ascii="Times New Roman" w:eastAsia="Times New Roman" w:hAnsi="Times New Roman" w:cs="Times New Roman"/>
          <w:bCs/>
        </w:rPr>
      </w:pPr>
      <w:r w:rsidRPr="00DF75F8">
        <w:rPr>
          <w:rFonts w:ascii="Times New Roman" w:eastAsia="Times New Roman" w:hAnsi="Times New Roman" w:cs="Times New Roman"/>
          <w:b/>
          <w:bCs/>
        </w:rPr>
        <w:t xml:space="preserve">Az oktatásért felelős oktatási szervezeti egység megnevezése: </w:t>
      </w:r>
      <w:r w:rsidRPr="00DF75F8">
        <w:rPr>
          <w:rFonts w:ascii="Times New Roman" w:eastAsia="Times New Roman" w:hAnsi="Times New Roman" w:cs="Times New Roman"/>
          <w:bCs/>
        </w:rPr>
        <w:t>NKE</w:t>
      </w:r>
      <w:r w:rsidRPr="00DF75F8">
        <w:rPr>
          <w:rFonts w:ascii="Times New Roman" w:eastAsia="Times New Roman" w:hAnsi="Times New Roman" w:cs="Times New Roman"/>
          <w:b/>
          <w:bCs/>
        </w:rPr>
        <w:t xml:space="preserve"> </w:t>
      </w:r>
      <w:r w:rsidRPr="00DF75F8">
        <w:rPr>
          <w:rFonts w:ascii="Times New Roman" w:eastAsia="Times New Roman" w:hAnsi="Times New Roman" w:cs="Times New Roman"/>
          <w:bCs/>
          <w:lang w:eastAsia="hu-HU"/>
        </w:rPr>
        <w:t>HHK Katonai Vezetéstudományi és Közismereti Tanszék</w:t>
      </w:r>
    </w:p>
    <w:p w:rsidR="00DF75F8" w:rsidRPr="00DF75F8" w:rsidRDefault="00DF75F8" w:rsidP="00C2057B">
      <w:pPr>
        <w:widowControl w:val="0"/>
        <w:numPr>
          <w:ilvl w:val="0"/>
          <w:numId w:val="86"/>
        </w:numPr>
        <w:tabs>
          <w:tab w:val="num" w:pos="567"/>
        </w:tabs>
        <w:spacing w:before="120" w:after="120" w:line="240" w:lineRule="auto"/>
        <w:ind w:left="426" w:hanging="142"/>
        <w:jc w:val="both"/>
        <w:rPr>
          <w:rFonts w:ascii="Times New Roman" w:eastAsia="Times New Roman" w:hAnsi="Times New Roman" w:cs="Times New Roman"/>
          <w:bCs/>
        </w:rPr>
      </w:pPr>
      <w:r w:rsidRPr="00DF75F8">
        <w:rPr>
          <w:rFonts w:ascii="Times New Roman" w:eastAsia="Times New Roman" w:hAnsi="Times New Roman" w:cs="Times New Roman"/>
          <w:b/>
          <w:bCs/>
        </w:rPr>
        <w:t>A tantárgyfelelős oktató neve, beosztása, tudományos fokozata:</w:t>
      </w:r>
      <w:r w:rsidRPr="00DF75F8">
        <w:rPr>
          <w:rFonts w:ascii="Times New Roman" w:eastAsia="Times New Roman" w:hAnsi="Times New Roman" w:cs="Times New Roman"/>
          <w:bCs/>
        </w:rPr>
        <w:t xml:space="preserve"> </w:t>
      </w:r>
      <w:r w:rsidRPr="00DF75F8">
        <w:rPr>
          <w:rFonts w:ascii="Times New Roman" w:eastAsia="Times New Roman" w:hAnsi="Times New Roman" w:cs="Times New Roman"/>
          <w:bCs/>
          <w:lang w:eastAsia="hu-HU"/>
        </w:rPr>
        <w:t>Dr. Ujházy László alezredes, tanszékvezető, egyetemi docens, PhD</w:t>
      </w:r>
    </w:p>
    <w:p w:rsidR="00DF75F8" w:rsidRPr="00DF75F8" w:rsidRDefault="00DF75F8" w:rsidP="00C2057B">
      <w:pPr>
        <w:widowControl w:val="0"/>
        <w:numPr>
          <w:ilvl w:val="0"/>
          <w:numId w:val="86"/>
        </w:numPr>
        <w:spacing w:before="120" w:after="120" w:line="240" w:lineRule="auto"/>
        <w:ind w:left="426" w:hanging="142"/>
        <w:jc w:val="both"/>
        <w:rPr>
          <w:rFonts w:ascii="Times New Roman" w:eastAsia="Times New Roman" w:hAnsi="Times New Roman" w:cs="Times New Roman"/>
          <w:bCs/>
        </w:rPr>
      </w:pPr>
      <w:r w:rsidRPr="00DF75F8">
        <w:rPr>
          <w:rFonts w:ascii="Times New Roman" w:eastAsia="Times New Roman" w:hAnsi="Times New Roman" w:cs="Times New Roman"/>
          <w:b/>
          <w:bCs/>
        </w:rPr>
        <w:t>A tanórák száma és típusa</w:t>
      </w:r>
    </w:p>
    <w:p w:rsidR="00DF75F8" w:rsidRPr="00DF75F8" w:rsidRDefault="00DF75F8" w:rsidP="00C2057B">
      <w:pPr>
        <w:widowControl w:val="0"/>
        <w:numPr>
          <w:ilvl w:val="1"/>
          <w:numId w:val="86"/>
        </w:numPr>
        <w:tabs>
          <w:tab w:val="clear" w:pos="3977"/>
          <w:tab w:val="num" w:pos="709"/>
          <w:tab w:val="num" w:pos="824"/>
        </w:tabs>
        <w:spacing w:before="120" w:after="120" w:line="240" w:lineRule="auto"/>
        <w:ind w:left="851" w:hanging="425"/>
        <w:jc w:val="both"/>
        <w:rPr>
          <w:rFonts w:ascii="Times New Roman" w:eastAsia="Times New Roman" w:hAnsi="Times New Roman" w:cs="Times New Roman"/>
          <w:bCs/>
        </w:rPr>
      </w:pPr>
      <w:r w:rsidRPr="00DF75F8">
        <w:rPr>
          <w:rFonts w:ascii="Times New Roman" w:eastAsia="Times New Roman" w:hAnsi="Times New Roman" w:cs="Times New Roman"/>
          <w:bCs/>
        </w:rPr>
        <w:t xml:space="preserve">    össz óraszám/félév:</w:t>
      </w:r>
    </w:p>
    <w:p w:rsidR="00DF75F8" w:rsidRPr="00DF75F8" w:rsidRDefault="00DF75F8" w:rsidP="00C2057B">
      <w:pPr>
        <w:widowControl w:val="0"/>
        <w:numPr>
          <w:ilvl w:val="2"/>
          <w:numId w:val="86"/>
        </w:numPr>
        <w:tabs>
          <w:tab w:val="num" w:pos="709"/>
          <w:tab w:val="num" w:pos="1134"/>
        </w:tabs>
        <w:spacing w:before="120" w:after="120" w:line="240" w:lineRule="auto"/>
        <w:ind w:left="851" w:hanging="425"/>
        <w:jc w:val="both"/>
        <w:rPr>
          <w:rFonts w:ascii="Times New Roman" w:eastAsia="Times New Roman" w:hAnsi="Times New Roman" w:cs="Times New Roman"/>
          <w:bCs/>
        </w:rPr>
      </w:pPr>
      <w:r w:rsidRPr="00DF75F8">
        <w:rPr>
          <w:rFonts w:ascii="Times New Roman" w:eastAsia="Times New Roman" w:hAnsi="Times New Roman" w:cs="Times New Roman"/>
          <w:bCs/>
        </w:rPr>
        <w:t>nappali munkarend: 28 (28 EA + 0 SZ +0 GY)</w:t>
      </w:r>
    </w:p>
    <w:p w:rsidR="00DF75F8" w:rsidRPr="00DF75F8" w:rsidRDefault="00DF75F8" w:rsidP="00C2057B">
      <w:pPr>
        <w:widowControl w:val="0"/>
        <w:numPr>
          <w:ilvl w:val="2"/>
          <w:numId w:val="86"/>
        </w:numPr>
        <w:tabs>
          <w:tab w:val="num" w:pos="709"/>
          <w:tab w:val="num" w:pos="1134"/>
        </w:tabs>
        <w:spacing w:before="120" w:after="120" w:line="240" w:lineRule="auto"/>
        <w:ind w:left="851" w:hanging="425"/>
        <w:jc w:val="both"/>
        <w:rPr>
          <w:rFonts w:ascii="Times New Roman" w:eastAsia="Times New Roman" w:hAnsi="Times New Roman" w:cs="Times New Roman"/>
          <w:bCs/>
        </w:rPr>
      </w:pPr>
      <w:r w:rsidRPr="00DF75F8">
        <w:rPr>
          <w:rFonts w:ascii="Times New Roman" w:eastAsia="Times New Roman" w:hAnsi="Times New Roman" w:cs="Times New Roman"/>
          <w:bCs/>
        </w:rPr>
        <w:t>levelező munkarend: –</w:t>
      </w:r>
    </w:p>
    <w:p w:rsidR="00DF75F8" w:rsidRPr="00DF75F8" w:rsidRDefault="00DF75F8" w:rsidP="00C2057B">
      <w:pPr>
        <w:widowControl w:val="0"/>
        <w:numPr>
          <w:ilvl w:val="1"/>
          <w:numId w:val="86"/>
        </w:numPr>
        <w:tabs>
          <w:tab w:val="clear" w:pos="3977"/>
          <w:tab w:val="num" w:pos="709"/>
          <w:tab w:val="num" w:pos="824"/>
          <w:tab w:val="num" w:pos="1134"/>
        </w:tabs>
        <w:spacing w:before="120" w:after="120" w:line="240" w:lineRule="auto"/>
        <w:ind w:left="851" w:hanging="425"/>
        <w:jc w:val="both"/>
        <w:rPr>
          <w:rFonts w:ascii="Times New Roman" w:eastAsia="Times New Roman" w:hAnsi="Times New Roman" w:cs="Times New Roman"/>
          <w:bCs/>
        </w:rPr>
      </w:pPr>
      <w:r w:rsidRPr="00DF75F8">
        <w:rPr>
          <w:rFonts w:ascii="Times New Roman" w:eastAsia="Times New Roman" w:hAnsi="Times New Roman" w:cs="Times New Roman"/>
          <w:bCs/>
        </w:rPr>
        <w:t>heti óraszám – nappali munkarend: 2</w:t>
      </w:r>
    </w:p>
    <w:p w:rsidR="00DF75F8" w:rsidRPr="00DF75F8" w:rsidRDefault="00DF75F8" w:rsidP="00C2057B">
      <w:pPr>
        <w:widowControl w:val="0"/>
        <w:numPr>
          <w:ilvl w:val="1"/>
          <w:numId w:val="86"/>
        </w:numPr>
        <w:tabs>
          <w:tab w:val="clear" w:pos="3977"/>
          <w:tab w:val="num" w:pos="709"/>
          <w:tab w:val="num" w:pos="824"/>
          <w:tab w:val="num" w:pos="1134"/>
        </w:tabs>
        <w:spacing w:before="120" w:after="120" w:line="240" w:lineRule="auto"/>
        <w:ind w:left="851" w:hanging="425"/>
        <w:jc w:val="both"/>
        <w:rPr>
          <w:rFonts w:ascii="Times New Roman" w:eastAsia="Times New Roman" w:hAnsi="Times New Roman" w:cs="Times New Roman"/>
          <w:bCs/>
        </w:rPr>
      </w:pPr>
      <w:r w:rsidRPr="00DF75F8">
        <w:rPr>
          <w:rFonts w:ascii="Times New Roman" w:eastAsia="Times New Roman" w:hAnsi="Times New Roman" w:cs="Times New Roman"/>
          <w:bCs/>
        </w:rPr>
        <w:t>Az ismeret átadásában alkalmazandó további sajátos módok, jellemzők: –</w:t>
      </w:r>
    </w:p>
    <w:p w:rsidR="00DF75F8" w:rsidRPr="00DF75F8" w:rsidRDefault="00DF75F8" w:rsidP="00C2057B">
      <w:pPr>
        <w:widowControl w:val="0"/>
        <w:numPr>
          <w:ilvl w:val="0"/>
          <w:numId w:val="86"/>
        </w:numPr>
        <w:spacing w:before="120" w:after="120" w:line="240" w:lineRule="auto"/>
        <w:ind w:left="426" w:hanging="142"/>
        <w:jc w:val="both"/>
        <w:rPr>
          <w:rFonts w:ascii="Times New Roman" w:eastAsia="Times New Roman" w:hAnsi="Times New Roman" w:cs="Times New Roman"/>
          <w:bCs/>
        </w:rPr>
      </w:pPr>
      <w:r w:rsidRPr="00DF75F8">
        <w:rPr>
          <w:rFonts w:ascii="Times New Roman" w:eastAsia="Times New Roman" w:hAnsi="Times New Roman" w:cs="Times New Roman"/>
          <w:b/>
          <w:bCs/>
        </w:rPr>
        <w:t>A tantárgy szakmai tartalma (magyarul):</w:t>
      </w:r>
      <w:r w:rsidRPr="00DF75F8">
        <w:rPr>
          <w:rFonts w:ascii="Times New Roman" w:eastAsia="Times New Roman" w:hAnsi="Times New Roman" w:cs="Times New Roman"/>
          <w:bCs/>
          <w:lang w:eastAsia="hu-HU"/>
        </w:rPr>
        <w:t xml:space="preserve"> </w:t>
      </w:r>
    </w:p>
    <w:p w:rsidR="00DF75F8" w:rsidRPr="00DF75F8" w:rsidRDefault="00DF75F8" w:rsidP="00DF75F8">
      <w:pPr>
        <w:widowControl w:val="0"/>
        <w:spacing w:before="120" w:after="120" w:line="240" w:lineRule="auto"/>
        <w:ind w:left="426"/>
        <w:jc w:val="both"/>
        <w:rPr>
          <w:rFonts w:ascii="Times New Roman" w:eastAsia="Times New Roman" w:hAnsi="Times New Roman" w:cs="Times New Roman"/>
          <w:bCs/>
        </w:rPr>
      </w:pPr>
      <w:r w:rsidRPr="00DF75F8">
        <w:rPr>
          <w:rFonts w:ascii="Times New Roman" w:eastAsia="Times New Roman" w:hAnsi="Times New Roman" w:cs="Times New Roman"/>
          <w:bCs/>
          <w:lang w:eastAsia="hu-HU"/>
        </w:rPr>
        <w:t>A hallgatók megismerik a vezetés fejlődését, tudományos megalapozását és a legfontosabb elméleti irányzatait, továbbá az alárendeltek befolyásolásának elméleti alapjait. Megismerik a vezetési eszközök, módszerek alkalmazhatóságának lehetőségeit és a vezetési folyamatmegoldás főbb megoldási módjait. Rendszerezett ismereteket sajátítanak el a vezetés megvalósításáról a haderő területén.</w:t>
      </w:r>
    </w:p>
    <w:p w:rsidR="00DF75F8" w:rsidRPr="00DF75F8" w:rsidRDefault="00DF75F8" w:rsidP="00DF75F8">
      <w:pPr>
        <w:widowControl w:val="0"/>
        <w:spacing w:before="120" w:after="120" w:line="240" w:lineRule="auto"/>
        <w:ind w:left="426"/>
        <w:jc w:val="both"/>
        <w:rPr>
          <w:rFonts w:ascii="Times New Roman" w:eastAsia="Times New Roman" w:hAnsi="Times New Roman" w:cs="Times New Roman"/>
          <w:b/>
          <w:bCs/>
        </w:rPr>
      </w:pPr>
      <w:r w:rsidRPr="00DF75F8">
        <w:rPr>
          <w:rFonts w:ascii="Times New Roman" w:eastAsia="Times New Roman" w:hAnsi="Times New Roman" w:cs="Times New Roman"/>
          <w:b/>
          <w:bCs/>
        </w:rPr>
        <w:t>A tantárgy szakmai tartalma (angolul) (</w:t>
      </w:r>
      <w:r w:rsidRPr="00DF75F8">
        <w:rPr>
          <w:rFonts w:ascii="Times New Roman" w:eastAsia="Times New Roman" w:hAnsi="Times New Roman" w:cs="Times New Roman"/>
          <w:b/>
          <w:bCs/>
          <w:lang w:val="en-US"/>
        </w:rPr>
        <w:t>Course description</w:t>
      </w:r>
      <w:r w:rsidRPr="00DF75F8">
        <w:rPr>
          <w:rFonts w:ascii="Times New Roman" w:eastAsia="Times New Roman" w:hAnsi="Times New Roman" w:cs="Times New Roman"/>
          <w:b/>
          <w:bCs/>
        </w:rPr>
        <w:t xml:space="preserve">): </w:t>
      </w:r>
    </w:p>
    <w:p w:rsidR="00DF75F8" w:rsidRPr="00DF75F8" w:rsidRDefault="00DF75F8" w:rsidP="00DF75F8">
      <w:pPr>
        <w:widowControl w:val="0"/>
        <w:spacing w:before="120" w:after="120" w:line="240" w:lineRule="auto"/>
        <w:ind w:left="426"/>
        <w:jc w:val="both"/>
        <w:rPr>
          <w:rFonts w:ascii="Times New Roman" w:eastAsia="Times New Roman" w:hAnsi="Times New Roman" w:cs="Times New Roman"/>
          <w:bCs/>
          <w:lang w:val="en-GB"/>
        </w:rPr>
      </w:pPr>
      <w:r w:rsidRPr="00DF75F8">
        <w:rPr>
          <w:rFonts w:ascii="Times New Roman" w:eastAsia="Times New Roman" w:hAnsi="Times New Roman" w:cs="Times New Roman"/>
          <w:bCs/>
          <w:lang w:val="en" w:eastAsia="hu-HU"/>
        </w:rPr>
        <w:t>Students will learn about the development of</w:t>
      </w:r>
      <w:r w:rsidRPr="00DF75F8">
        <w:rPr>
          <w:rFonts w:ascii="Times New Roman" w:hAnsi="Times New Roman" w:cs="Times New Roman"/>
          <w:lang w:val="en"/>
        </w:rPr>
        <w:t xml:space="preserve"> </w:t>
      </w:r>
      <w:r w:rsidRPr="00DF75F8">
        <w:rPr>
          <w:rFonts w:ascii="Times New Roman" w:eastAsia="Times New Roman" w:hAnsi="Times New Roman" w:cs="Times New Roman"/>
          <w:bCs/>
          <w:lang w:val="en" w:eastAsia="hu-HU"/>
        </w:rPr>
        <w:t>leadership, its scientific foundation and its most important theoretical trends, as well as the theoretical foundations for influencing subordinates. They learn about the applicability of management tools and methods and the main solutions of the management process. They acquire systematic knowledge of the implementation of leadership in the armed forces.</w:t>
      </w:r>
    </w:p>
    <w:p w:rsidR="00DF75F8" w:rsidRPr="00DF75F8" w:rsidRDefault="00DF75F8" w:rsidP="00C2057B">
      <w:pPr>
        <w:pStyle w:val="Listaszerbekezds"/>
        <w:widowControl w:val="0"/>
        <w:numPr>
          <w:ilvl w:val="0"/>
          <w:numId w:val="86"/>
        </w:numPr>
        <w:spacing w:before="120" w:after="120" w:line="240" w:lineRule="auto"/>
        <w:jc w:val="both"/>
        <w:rPr>
          <w:rFonts w:ascii="Times New Roman" w:eastAsia="Times New Roman" w:hAnsi="Times New Roman" w:cs="Times New Roman"/>
          <w:bCs/>
        </w:rPr>
      </w:pPr>
      <w:r w:rsidRPr="00DF75F8">
        <w:rPr>
          <w:rFonts w:ascii="Times New Roman" w:eastAsia="Times New Roman" w:hAnsi="Times New Roman" w:cs="Times New Roman"/>
          <w:b/>
          <w:bCs/>
        </w:rPr>
        <w:t xml:space="preserve">Elérendő kompetenciák (magyarul): </w:t>
      </w:r>
    </w:p>
    <w:p w:rsidR="00DF75F8" w:rsidRPr="00DF75F8" w:rsidRDefault="00DF75F8" w:rsidP="00DF75F8">
      <w:pPr>
        <w:widowControl w:val="0"/>
        <w:spacing w:before="120" w:after="120" w:line="240" w:lineRule="auto"/>
        <w:ind w:left="426"/>
        <w:jc w:val="both"/>
        <w:rPr>
          <w:rFonts w:ascii="Times New Roman" w:eastAsia="Times New Roman" w:hAnsi="Times New Roman" w:cs="Times New Roman"/>
          <w:bCs/>
        </w:rPr>
      </w:pPr>
      <w:r w:rsidRPr="00DF75F8">
        <w:rPr>
          <w:rFonts w:ascii="Times New Roman" w:eastAsia="Times New Roman" w:hAnsi="Times New Roman" w:cs="Times New Roman"/>
          <w:b/>
          <w:bCs/>
        </w:rPr>
        <w:t>Tudása:</w:t>
      </w:r>
      <w:r w:rsidRPr="00DF75F8">
        <w:rPr>
          <w:rFonts w:ascii="Times New Roman" w:eastAsia="Times New Roman" w:hAnsi="Times New Roman" w:cs="Times New Roman"/>
          <w:bCs/>
        </w:rPr>
        <w:t xml:space="preserve"> </w:t>
      </w:r>
    </w:p>
    <w:p w:rsidR="00DF75F8" w:rsidRPr="00DF75F8" w:rsidRDefault="00DF75F8" w:rsidP="00C2057B">
      <w:pPr>
        <w:pStyle w:val="Listaszerbekezds"/>
        <w:numPr>
          <w:ilvl w:val="0"/>
          <w:numId w:val="83"/>
        </w:numPr>
        <w:spacing w:after="0" w:line="240" w:lineRule="auto"/>
        <w:jc w:val="both"/>
        <w:rPr>
          <w:rFonts w:ascii="Times New Roman" w:eastAsia="Times New Roman" w:hAnsi="Times New Roman" w:cs="Times New Roman"/>
        </w:rPr>
      </w:pPr>
      <w:r w:rsidRPr="00DF75F8">
        <w:rPr>
          <w:rFonts w:ascii="Times New Roman" w:eastAsia="Times New Roman" w:hAnsi="Times New Roman" w:cs="Times New Roman"/>
        </w:rPr>
        <w:t>Rendelkezik alapvető vezetői ismeretekkel, tisztában van a vezetői kompetenciákkal és a beosztottak eredményes irányításához szükséges alapvető ismeretekkel, valamint a beosztottakat motiváló képességekkel.</w:t>
      </w:r>
    </w:p>
    <w:p w:rsidR="00DF75F8" w:rsidRPr="00DF75F8" w:rsidRDefault="00DF75F8" w:rsidP="00C2057B">
      <w:pPr>
        <w:pStyle w:val="Listaszerbekezds"/>
        <w:numPr>
          <w:ilvl w:val="0"/>
          <w:numId w:val="83"/>
        </w:numPr>
        <w:spacing w:after="0" w:line="240" w:lineRule="auto"/>
        <w:jc w:val="both"/>
        <w:rPr>
          <w:rFonts w:ascii="Times New Roman" w:eastAsia="Times New Roman" w:hAnsi="Times New Roman" w:cs="Times New Roman"/>
        </w:rPr>
      </w:pPr>
      <w:r w:rsidRPr="00DF75F8">
        <w:rPr>
          <w:rFonts w:ascii="Times New Roman" w:eastAsia="Times New Roman" w:hAnsi="Times New Roman" w:cs="Times New Roman"/>
        </w:rPr>
        <w:t>Ismeri a szakalegységek alaprendeltetéséből fakadó vezetési munkák végrehajtásának feladatait a békeidőszaki honvédelmi, a béketámogató, valamint háborús tevékenységekben.</w:t>
      </w:r>
    </w:p>
    <w:p w:rsidR="003A1562" w:rsidRDefault="003A1562" w:rsidP="005B4AC4">
      <w:pPr>
        <w:widowControl w:val="0"/>
        <w:spacing w:before="120" w:after="120" w:line="240" w:lineRule="auto"/>
        <w:ind w:left="426"/>
        <w:jc w:val="both"/>
        <w:rPr>
          <w:rFonts w:ascii="Times New Roman" w:eastAsia="Times New Roman" w:hAnsi="Times New Roman" w:cs="Times New Roman"/>
          <w:b/>
          <w:bCs/>
        </w:rPr>
      </w:pPr>
    </w:p>
    <w:p w:rsidR="00DF75F8" w:rsidRPr="00DF75F8" w:rsidRDefault="00DF75F8" w:rsidP="005B4AC4">
      <w:pPr>
        <w:widowControl w:val="0"/>
        <w:spacing w:before="120" w:after="120" w:line="240" w:lineRule="auto"/>
        <w:ind w:left="426"/>
        <w:jc w:val="both"/>
        <w:rPr>
          <w:rFonts w:ascii="Times New Roman" w:eastAsia="Times New Roman" w:hAnsi="Times New Roman" w:cs="Times New Roman"/>
          <w:bCs/>
        </w:rPr>
      </w:pPr>
      <w:r w:rsidRPr="00DF75F8">
        <w:rPr>
          <w:rFonts w:ascii="Times New Roman" w:eastAsia="Times New Roman" w:hAnsi="Times New Roman" w:cs="Times New Roman"/>
          <w:b/>
          <w:bCs/>
        </w:rPr>
        <w:lastRenderedPageBreak/>
        <w:t>Képességei:</w:t>
      </w:r>
    </w:p>
    <w:p w:rsidR="00DF75F8" w:rsidRPr="00DF75F8" w:rsidRDefault="00DF75F8" w:rsidP="00C2057B">
      <w:pPr>
        <w:pStyle w:val="Listaszerbekezds"/>
        <w:numPr>
          <w:ilvl w:val="0"/>
          <w:numId w:val="83"/>
        </w:numPr>
        <w:spacing w:line="240" w:lineRule="auto"/>
        <w:jc w:val="both"/>
        <w:rPr>
          <w:rFonts w:ascii="Times New Roman" w:eastAsia="Calibri" w:hAnsi="Times New Roman" w:cs="Times New Roman"/>
        </w:rPr>
      </w:pPr>
      <w:r w:rsidRPr="00DF75F8">
        <w:rPr>
          <w:rFonts w:ascii="Times New Roman" w:hAnsi="Times New Roman" w:cs="Times New Roman"/>
        </w:rPr>
        <w:t>Képes a rábízott alegység békeidőszaki és békétől eltérő körülmények közötti vezetésére.</w:t>
      </w:r>
    </w:p>
    <w:p w:rsidR="00DF75F8" w:rsidRPr="00DF75F8" w:rsidRDefault="00DF75F8" w:rsidP="00C2057B">
      <w:pPr>
        <w:pStyle w:val="Listaszerbekezds"/>
        <w:numPr>
          <w:ilvl w:val="0"/>
          <w:numId w:val="83"/>
        </w:numPr>
        <w:spacing w:line="240" w:lineRule="auto"/>
        <w:jc w:val="both"/>
        <w:rPr>
          <w:rFonts w:ascii="Times New Roman" w:hAnsi="Times New Roman" w:cs="Times New Roman"/>
        </w:rPr>
      </w:pPr>
      <w:r w:rsidRPr="00DF75F8">
        <w:rPr>
          <w:rFonts w:ascii="Times New Roman" w:hAnsi="Times New Roman" w:cs="Times New Roman"/>
        </w:rPr>
        <w:t>Képes a vezetéselméleti ismeretek elsajátítására, alkalmazására és beosztottjainak történő átadására.</w:t>
      </w:r>
    </w:p>
    <w:p w:rsidR="00DF75F8" w:rsidRPr="00DF75F8" w:rsidRDefault="00DF75F8" w:rsidP="00C2057B">
      <w:pPr>
        <w:pStyle w:val="Listaszerbekezds"/>
        <w:numPr>
          <w:ilvl w:val="0"/>
          <w:numId w:val="83"/>
        </w:numPr>
        <w:spacing w:line="240" w:lineRule="auto"/>
        <w:jc w:val="both"/>
        <w:rPr>
          <w:rFonts w:ascii="Times New Roman" w:hAnsi="Times New Roman" w:cs="Times New Roman"/>
        </w:rPr>
      </w:pPr>
      <w:r w:rsidRPr="00DF75F8">
        <w:rPr>
          <w:rFonts w:ascii="Times New Roman" w:hAnsi="Times New Roman" w:cs="Times New Roman"/>
        </w:rPr>
        <w:t>Képes beosztottjai általános katonai és szakmai vezetésére, munkájuk hatékony megszervezésére, a végrehajtás ellenőrzésére.</w:t>
      </w:r>
    </w:p>
    <w:p w:rsidR="00DF75F8" w:rsidRPr="00DF75F8" w:rsidRDefault="00DF75F8" w:rsidP="005B4AC4">
      <w:pPr>
        <w:widowControl w:val="0"/>
        <w:spacing w:before="120" w:after="120" w:line="240" w:lineRule="auto"/>
        <w:ind w:left="426"/>
        <w:jc w:val="both"/>
        <w:rPr>
          <w:rFonts w:ascii="Times New Roman" w:eastAsia="Times New Roman" w:hAnsi="Times New Roman" w:cs="Times New Roman"/>
          <w:bCs/>
        </w:rPr>
      </w:pPr>
      <w:r w:rsidRPr="00DF75F8">
        <w:rPr>
          <w:rFonts w:ascii="Times New Roman" w:eastAsia="Times New Roman" w:hAnsi="Times New Roman" w:cs="Times New Roman"/>
          <w:b/>
          <w:bCs/>
        </w:rPr>
        <w:t>Attitűdje:</w:t>
      </w:r>
    </w:p>
    <w:p w:rsidR="00DF75F8" w:rsidRPr="00DF75F8" w:rsidRDefault="00DF75F8" w:rsidP="00C2057B">
      <w:pPr>
        <w:pStyle w:val="Listaszerbekezds"/>
        <w:numPr>
          <w:ilvl w:val="0"/>
          <w:numId w:val="83"/>
        </w:numPr>
        <w:spacing w:line="240" w:lineRule="auto"/>
        <w:jc w:val="both"/>
        <w:rPr>
          <w:rFonts w:ascii="Times New Roman" w:eastAsia="Calibri" w:hAnsi="Times New Roman" w:cs="Times New Roman"/>
        </w:rPr>
      </w:pPr>
      <w:r w:rsidRPr="00DF75F8">
        <w:rPr>
          <w:rFonts w:ascii="Times New Roman" w:hAnsi="Times New Roman" w:cs="Times New Roman"/>
        </w:rPr>
        <w:t>Nyitott az új ismeretek, illetve tudása gyarapítása iránt.</w:t>
      </w:r>
    </w:p>
    <w:p w:rsidR="00DF75F8" w:rsidRPr="00DF75F8" w:rsidRDefault="00DF75F8" w:rsidP="00C2057B">
      <w:pPr>
        <w:pStyle w:val="Listaszerbekezds"/>
        <w:numPr>
          <w:ilvl w:val="0"/>
          <w:numId w:val="83"/>
        </w:numPr>
        <w:spacing w:line="240" w:lineRule="auto"/>
        <w:jc w:val="both"/>
        <w:rPr>
          <w:rFonts w:ascii="Times New Roman" w:hAnsi="Times New Roman" w:cs="Times New Roman"/>
        </w:rPr>
      </w:pPr>
      <w:r w:rsidRPr="00DF75F8">
        <w:rPr>
          <w:rFonts w:ascii="Times New Roman" w:hAnsi="Times New Roman" w:cs="Times New Roman"/>
        </w:rPr>
        <w:t>Feladatai ellátása során együttműködési készség jellemzi, törekszik a beosztottak bevonására a döntési folyamatokba.</w:t>
      </w:r>
    </w:p>
    <w:p w:rsidR="00DF75F8" w:rsidRPr="00DF75F8" w:rsidRDefault="00DF75F8" w:rsidP="00C2057B">
      <w:pPr>
        <w:pStyle w:val="Listaszerbekezds"/>
        <w:numPr>
          <w:ilvl w:val="0"/>
          <w:numId w:val="83"/>
        </w:numPr>
        <w:spacing w:line="240" w:lineRule="auto"/>
        <w:jc w:val="both"/>
        <w:rPr>
          <w:rFonts w:ascii="Times New Roman" w:hAnsi="Times New Roman" w:cs="Times New Roman"/>
        </w:rPr>
      </w:pPr>
      <w:r w:rsidRPr="00DF75F8">
        <w:rPr>
          <w:rFonts w:ascii="Times New Roman" w:hAnsi="Times New Roman" w:cs="Times New Roman"/>
        </w:rPr>
        <w:t>Törekszik feladatellátása során a megfelelő önkontroll, tolerancia, empátia és az előítéletektől mentes gondolkodás és viselkedés tanúsítására.</w:t>
      </w:r>
    </w:p>
    <w:p w:rsidR="00DF75F8" w:rsidRPr="00DF75F8" w:rsidRDefault="00DF75F8" w:rsidP="00C2057B">
      <w:pPr>
        <w:pStyle w:val="Listaszerbekezds"/>
        <w:numPr>
          <w:ilvl w:val="0"/>
          <w:numId w:val="83"/>
        </w:numPr>
        <w:spacing w:line="240" w:lineRule="auto"/>
        <w:jc w:val="both"/>
        <w:rPr>
          <w:rFonts w:ascii="Times New Roman" w:hAnsi="Times New Roman" w:cs="Times New Roman"/>
        </w:rPr>
      </w:pPr>
      <w:r w:rsidRPr="00DF75F8">
        <w:rPr>
          <w:rFonts w:ascii="Times New Roman" w:hAnsi="Times New Roman" w:cs="Times New Roman"/>
        </w:rPr>
        <w:t>Munkájában és emberi kapcsolataiban megbízhatóság jellemzi.</w:t>
      </w:r>
    </w:p>
    <w:p w:rsidR="00DF75F8" w:rsidRPr="00DF75F8" w:rsidRDefault="00DF75F8" w:rsidP="00C2057B">
      <w:pPr>
        <w:pStyle w:val="Listaszerbekezds"/>
        <w:numPr>
          <w:ilvl w:val="0"/>
          <w:numId w:val="83"/>
        </w:numPr>
        <w:spacing w:line="240" w:lineRule="auto"/>
        <w:jc w:val="both"/>
        <w:rPr>
          <w:rFonts w:ascii="Times New Roman" w:hAnsi="Times New Roman" w:cs="Times New Roman"/>
        </w:rPr>
      </w:pPr>
      <w:r w:rsidRPr="00DF75F8">
        <w:rPr>
          <w:rFonts w:ascii="Times New Roman" w:hAnsi="Times New Roman" w:cs="Times New Roman"/>
        </w:rPr>
        <w:t>Elkötelezett a minőségi szakmai munkavégzés iránt, a pontosságra való törekvés jellemzi.</w:t>
      </w:r>
    </w:p>
    <w:p w:rsidR="00DF75F8" w:rsidRPr="00DF75F8" w:rsidRDefault="00DF75F8" w:rsidP="00C2057B">
      <w:pPr>
        <w:pStyle w:val="Listaszerbekezds"/>
        <w:numPr>
          <w:ilvl w:val="0"/>
          <w:numId w:val="83"/>
        </w:numPr>
        <w:spacing w:line="240" w:lineRule="auto"/>
        <w:jc w:val="both"/>
        <w:rPr>
          <w:rFonts w:ascii="Times New Roman" w:hAnsi="Times New Roman" w:cs="Times New Roman"/>
        </w:rPr>
      </w:pPr>
      <w:r w:rsidRPr="00DF75F8">
        <w:rPr>
          <w:rFonts w:ascii="Times New Roman" w:hAnsi="Times New Roman" w:cs="Times New Roman"/>
        </w:rPr>
        <w:t>Jó szervezőkészség jellemzi.</w:t>
      </w:r>
    </w:p>
    <w:p w:rsidR="00DF75F8" w:rsidRPr="00DF75F8" w:rsidRDefault="00DF75F8" w:rsidP="00C2057B">
      <w:pPr>
        <w:pStyle w:val="Listaszerbekezds"/>
        <w:numPr>
          <w:ilvl w:val="0"/>
          <w:numId w:val="83"/>
        </w:numPr>
        <w:spacing w:line="240" w:lineRule="auto"/>
        <w:jc w:val="both"/>
        <w:rPr>
          <w:rFonts w:ascii="Times New Roman" w:hAnsi="Times New Roman" w:cs="Times New Roman"/>
        </w:rPr>
      </w:pPr>
      <w:r w:rsidRPr="00DF75F8">
        <w:rPr>
          <w:rFonts w:ascii="Times New Roman" w:hAnsi="Times New Roman" w:cs="Times New Roman"/>
        </w:rPr>
        <w:t>Jól kiismeri és otthonosan érzi magát a katonai hierarchiában.</w:t>
      </w:r>
    </w:p>
    <w:p w:rsidR="00DF75F8" w:rsidRPr="00DF75F8" w:rsidRDefault="00DF75F8" w:rsidP="00C2057B">
      <w:pPr>
        <w:pStyle w:val="Listaszerbekezds"/>
        <w:numPr>
          <w:ilvl w:val="0"/>
          <w:numId w:val="83"/>
        </w:numPr>
        <w:spacing w:line="240" w:lineRule="auto"/>
        <w:jc w:val="both"/>
        <w:rPr>
          <w:rFonts w:ascii="Times New Roman" w:hAnsi="Times New Roman" w:cs="Times New Roman"/>
        </w:rPr>
      </w:pPr>
      <w:r w:rsidRPr="00DF75F8">
        <w:rPr>
          <w:rFonts w:ascii="Times New Roman" w:hAnsi="Times New Roman" w:cs="Times New Roman"/>
        </w:rPr>
        <w:t>Nyitott szakterülete új eredményei, innovációi iránt, törekszik azok megismerésére, megértésére és alkalmazására, elkötelezett önmaga folyamatos képzésére.</w:t>
      </w:r>
    </w:p>
    <w:p w:rsidR="00DF75F8" w:rsidRPr="00DF75F8" w:rsidRDefault="00DF75F8" w:rsidP="005B4AC4">
      <w:pPr>
        <w:widowControl w:val="0"/>
        <w:spacing w:before="120" w:after="120" w:line="240" w:lineRule="auto"/>
        <w:ind w:left="426"/>
        <w:jc w:val="both"/>
        <w:rPr>
          <w:rFonts w:ascii="Times New Roman" w:eastAsia="Times New Roman" w:hAnsi="Times New Roman" w:cs="Times New Roman"/>
          <w:bCs/>
        </w:rPr>
      </w:pPr>
      <w:r w:rsidRPr="00DF75F8">
        <w:rPr>
          <w:rFonts w:ascii="Times New Roman" w:eastAsia="Times New Roman" w:hAnsi="Times New Roman" w:cs="Times New Roman"/>
          <w:b/>
          <w:bCs/>
        </w:rPr>
        <w:t>Autonómiája és felelőssége:</w:t>
      </w:r>
    </w:p>
    <w:p w:rsidR="00DF75F8" w:rsidRPr="00DF75F8" w:rsidRDefault="00DF75F8" w:rsidP="00C2057B">
      <w:pPr>
        <w:pStyle w:val="Listaszerbekezds"/>
        <w:numPr>
          <w:ilvl w:val="0"/>
          <w:numId w:val="83"/>
        </w:numPr>
        <w:spacing w:line="240" w:lineRule="auto"/>
        <w:jc w:val="both"/>
        <w:rPr>
          <w:rFonts w:ascii="Times New Roman" w:eastAsia="Calibri" w:hAnsi="Times New Roman" w:cs="Times New Roman"/>
        </w:rPr>
      </w:pPr>
      <w:r w:rsidRPr="00DF75F8">
        <w:rPr>
          <w:rFonts w:ascii="Times New Roman" w:hAnsi="Times New Roman" w:cs="Times New Roman"/>
        </w:rPr>
        <w:t>Képes önállóan döntéseket hozni, azokat felelősséggel, a jogszabályi keretek figyelembevételével végrehajtani.</w:t>
      </w:r>
    </w:p>
    <w:p w:rsidR="00DF75F8" w:rsidRPr="00DF75F8" w:rsidRDefault="00DF75F8" w:rsidP="00C2057B">
      <w:pPr>
        <w:pStyle w:val="Listaszerbekezds"/>
        <w:numPr>
          <w:ilvl w:val="0"/>
          <w:numId w:val="83"/>
        </w:numPr>
        <w:spacing w:line="240" w:lineRule="auto"/>
        <w:jc w:val="both"/>
        <w:rPr>
          <w:rFonts w:ascii="Times New Roman" w:hAnsi="Times New Roman" w:cs="Times New Roman"/>
        </w:rPr>
      </w:pPr>
      <w:r w:rsidRPr="00DF75F8">
        <w:rPr>
          <w:rFonts w:ascii="Times New Roman" w:hAnsi="Times New Roman" w:cs="Times New Roman"/>
        </w:rPr>
        <w:t>Tisztában van döntéseinek hatásaival, következményeivel.</w:t>
      </w:r>
    </w:p>
    <w:p w:rsidR="00DF75F8" w:rsidRPr="00DF75F8" w:rsidRDefault="00DF75F8" w:rsidP="00C2057B">
      <w:pPr>
        <w:pStyle w:val="Listaszerbekezds"/>
        <w:numPr>
          <w:ilvl w:val="0"/>
          <w:numId w:val="83"/>
        </w:numPr>
        <w:spacing w:line="240" w:lineRule="auto"/>
        <w:jc w:val="both"/>
        <w:rPr>
          <w:rFonts w:ascii="Times New Roman" w:hAnsi="Times New Roman" w:cs="Times New Roman"/>
        </w:rPr>
      </w:pPr>
      <w:r w:rsidRPr="00DF75F8">
        <w:rPr>
          <w:rFonts w:ascii="Times New Roman" w:hAnsi="Times New Roman" w:cs="Times New Roman"/>
        </w:rPr>
        <w:t>Felelősséget vállal a vezetése alatt álló beosztottjainak szakmai tevékenységéért.</w:t>
      </w:r>
    </w:p>
    <w:p w:rsidR="00DF75F8" w:rsidRPr="00DF75F8" w:rsidRDefault="00DF75F8" w:rsidP="005B4AC4">
      <w:pPr>
        <w:widowControl w:val="0"/>
        <w:spacing w:before="120" w:after="120" w:line="240" w:lineRule="auto"/>
        <w:ind w:left="426"/>
        <w:jc w:val="both"/>
        <w:rPr>
          <w:rFonts w:ascii="Times New Roman" w:eastAsia="Times New Roman" w:hAnsi="Times New Roman" w:cs="Times New Roman"/>
          <w:b/>
          <w:bCs/>
          <w:lang w:val="en-AU"/>
        </w:rPr>
      </w:pPr>
      <w:r w:rsidRPr="00DF75F8">
        <w:rPr>
          <w:rFonts w:ascii="Times New Roman" w:eastAsia="Times New Roman" w:hAnsi="Times New Roman" w:cs="Times New Roman"/>
          <w:b/>
          <w:bCs/>
        </w:rPr>
        <w:t>Elérendő kompetenciák (angolul) (</w:t>
      </w:r>
      <w:r w:rsidRPr="00DF75F8">
        <w:rPr>
          <w:rFonts w:ascii="Times New Roman" w:eastAsia="Times New Roman" w:hAnsi="Times New Roman" w:cs="Times New Roman"/>
          <w:b/>
          <w:bCs/>
          <w:lang w:val="en-AU"/>
        </w:rPr>
        <w:t xml:space="preserve">Competences – English): </w:t>
      </w:r>
    </w:p>
    <w:p w:rsidR="00DF75F8" w:rsidRPr="00DF75F8" w:rsidRDefault="00DF75F8" w:rsidP="005B4AC4">
      <w:pPr>
        <w:widowControl w:val="0"/>
        <w:spacing w:before="120" w:after="120" w:line="240" w:lineRule="auto"/>
        <w:ind w:left="426"/>
        <w:jc w:val="both"/>
        <w:rPr>
          <w:rFonts w:ascii="Times New Roman" w:eastAsia="Times New Roman" w:hAnsi="Times New Roman" w:cs="Times New Roman"/>
          <w:lang w:val="en-AU"/>
        </w:rPr>
      </w:pPr>
      <w:r w:rsidRPr="00DF75F8">
        <w:rPr>
          <w:rFonts w:ascii="Times New Roman" w:eastAsia="Times New Roman" w:hAnsi="Times New Roman" w:cs="Times New Roman"/>
          <w:b/>
          <w:lang w:val="en-AU"/>
        </w:rPr>
        <w:t>Knowledge</w:t>
      </w:r>
      <w:r w:rsidRPr="00DF75F8">
        <w:rPr>
          <w:rFonts w:ascii="Times New Roman" w:eastAsia="Times New Roman" w:hAnsi="Times New Roman" w:cs="Times New Roman"/>
          <w:lang w:val="en-AU"/>
        </w:rPr>
        <w:t>:</w:t>
      </w:r>
    </w:p>
    <w:p w:rsidR="00DF75F8" w:rsidRPr="00DF75F8" w:rsidRDefault="00DF75F8" w:rsidP="00C2057B">
      <w:pPr>
        <w:pStyle w:val="Listaszerbekezds"/>
        <w:numPr>
          <w:ilvl w:val="0"/>
          <w:numId w:val="83"/>
        </w:numPr>
        <w:spacing w:line="240" w:lineRule="auto"/>
        <w:jc w:val="both"/>
        <w:rPr>
          <w:rFonts w:ascii="Times New Roman" w:eastAsia="Calibri" w:hAnsi="Times New Roman" w:cs="Times New Roman"/>
          <w:lang w:val="en-AU"/>
        </w:rPr>
      </w:pPr>
      <w:r w:rsidRPr="00DF75F8">
        <w:rPr>
          <w:rFonts w:ascii="Times New Roman" w:hAnsi="Times New Roman" w:cs="Times New Roman"/>
          <w:lang w:val="en"/>
        </w:rPr>
        <w:t>Has basic leadership skills, is aware of leadership competencies and the basic knowledge needed to lead subordinates effectively, and has the ability to motivate them.</w:t>
      </w:r>
    </w:p>
    <w:p w:rsidR="00DF75F8" w:rsidRPr="00DF75F8" w:rsidRDefault="00DF75F8" w:rsidP="00C2057B">
      <w:pPr>
        <w:pStyle w:val="Listaszerbekezds"/>
        <w:numPr>
          <w:ilvl w:val="0"/>
          <w:numId w:val="83"/>
        </w:numPr>
        <w:spacing w:line="240" w:lineRule="auto"/>
        <w:jc w:val="both"/>
        <w:rPr>
          <w:rFonts w:ascii="Times New Roman" w:hAnsi="Times New Roman" w:cs="Times New Roman"/>
          <w:lang w:val="en-AU"/>
        </w:rPr>
      </w:pPr>
      <w:r w:rsidRPr="00DF75F8">
        <w:rPr>
          <w:rFonts w:ascii="Times New Roman" w:hAnsi="Times New Roman" w:cs="Times New Roman"/>
          <w:lang w:val="en-AU"/>
        </w:rPr>
        <w:t>Is familiar with executing the leadership tasks of the specialized units in peacetime, peace support and war activities.</w:t>
      </w:r>
    </w:p>
    <w:p w:rsidR="00DF75F8" w:rsidRPr="00DF75F8" w:rsidRDefault="00DF75F8" w:rsidP="005B4AC4">
      <w:pPr>
        <w:widowControl w:val="0"/>
        <w:spacing w:before="120" w:after="120" w:line="240" w:lineRule="auto"/>
        <w:ind w:left="426"/>
        <w:jc w:val="both"/>
        <w:rPr>
          <w:rFonts w:ascii="Times New Roman" w:eastAsia="Times New Roman" w:hAnsi="Times New Roman" w:cs="Times New Roman"/>
          <w:lang w:val="en-AU"/>
        </w:rPr>
      </w:pPr>
      <w:r w:rsidRPr="00DF75F8">
        <w:rPr>
          <w:rFonts w:ascii="Times New Roman" w:eastAsia="Times New Roman" w:hAnsi="Times New Roman" w:cs="Times New Roman"/>
          <w:b/>
          <w:lang w:val="en-AU"/>
        </w:rPr>
        <w:t>Capabilities</w:t>
      </w:r>
      <w:r w:rsidRPr="00DF75F8">
        <w:rPr>
          <w:rFonts w:ascii="Times New Roman" w:eastAsia="Times New Roman" w:hAnsi="Times New Roman" w:cs="Times New Roman"/>
          <w:lang w:val="en-AU"/>
        </w:rPr>
        <w:t>:</w:t>
      </w:r>
    </w:p>
    <w:p w:rsidR="00DF75F8" w:rsidRPr="00DF75F8" w:rsidRDefault="00DF75F8" w:rsidP="00C2057B">
      <w:pPr>
        <w:pStyle w:val="Listaszerbekezds"/>
        <w:numPr>
          <w:ilvl w:val="0"/>
          <w:numId w:val="83"/>
        </w:numPr>
        <w:spacing w:line="240" w:lineRule="auto"/>
        <w:jc w:val="both"/>
        <w:rPr>
          <w:rFonts w:ascii="Times New Roman" w:eastAsia="Calibri" w:hAnsi="Times New Roman" w:cs="Times New Roman"/>
          <w:lang w:val="en-AU"/>
        </w:rPr>
      </w:pPr>
      <w:r w:rsidRPr="00DF75F8">
        <w:rPr>
          <w:rFonts w:ascii="Times New Roman" w:hAnsi="Times New Roman" w:cs="Times New Roman"/>
          <w:lang w:val="en-AU"/>
        </w:rPr>
        <w:t>Capable of the leadership of a subunit in peacetime and under non-peaceful conditions.</w:t>
      </w:r>
    </w:p>
    <w:p w:rsidR="00DF75F8" w:rsidRPr="00DF75F8" w:rsidRDefault="00DF75F8" w:rsidP="00C2057B">
      <w:pPr>
        <w:pStyle w:val="Listaszerbekezds"/>
        <w:numPr>
          <w:ilvl w:val="0"/>
          <w:numId w:val="83"/>
        </w:numPr>
        <w:spacing w:line="240" w:lineRule="auto"/>
        <w:jc w:val="both"/>
        <w:rPr>
          <w:rFonts w:ascii="Times New Roman" w:hAnsi="Times New Roman" w:cs="Times New Roman"/>
          <w:lang w:val="en-AU"/>
        </w:rPr>
      </w:pPr>
      <w:r w:rsidRPr="00DF75F8">
        <w:rPr>
          <w:rFonts w:ascii="Times New Roman" w:hAnsi="Times New Roman" w:cs="Times New Roman"/>
          <w:lang w:val="en-AU"/>
        </w:rPr>
        <w:t>Capable of acquiring, applying and transferring leadership knowledge to subordinates.</w:t>
      </w:r>
    </w:p>
    <w:p w:rsidR="00DF75F8" w:rsidRPr="00DF75F8" w:rsidRDefault="00DF75F8" w:rsidP="00C2057B">
      <w:pPr>
        <w:pStyle w:val="Listaszerbekezds"/>
        <w:numPr>
          <w:ilvl w:val="0"/>
          <w:numId w:val="83"/>
        </w:numPr>
        <w:spacing w:line="240" w:lineRule="auto"/>
        <w:jc w:val="both"/>
        <w:rPr>
          <w:rFonts w:ascii="Times New Roman" w:hAnsi="Times New Roman" w:cs="Times New Roman"/>
          <w:lang w:val="en-AU"/>
        </w:rPr>
      </w:pPr>
      <w:r w:rsidRPr="00DF75F8">
        <w:rPr>
          <w:rFonts w:ascii="Times New Roman" w:hAnsi="Times New Roman" w:cs="Times New Roman"/>
          <w:lang w:val="en-AU"/>
        </w:rPr>
        <w:t>Capable of commanding his/her subordinates and organizing their work efficiently.</w:t>
      </w:r>
    </w:p>
    <w:p w:rsidR="00DF75F8" w:rsidRPr="00DF75F8" w:rsidRDefault="00DF75F8" w:rsidP="005B4AC4">
      <w:pPr>
        <w:widowControl w:val="0"/>
        <w:spacing w:before="120" w:after="120" w:line="240" w:lineRule="auto"/>
        <w:ind w:left="426"/>
        <w:jc w:val="both"/>
        <w:rPr>
          <w:rFonts w:ascii="Times New Roman" w:eastAsia="Times New Roman" w:hAnsi="Times New Roman" w:cs="Times New Roman"/>
          <w:b/>
          <w:lang w:val="en-AU"/>
        </w:rPr>
      </w:pPr>
      <w:r w:rsidRPr="00DF75F8">
        <w:rPr>
          <w:rFonts w:ascii="Times New Roman" w:eastAsia="Times New Roman" w:hAnsi="Times New Roman" w:cs="Times New Roman"/>
          <w:b/>
          <w:lang w:val="en-AU"/>
        </w:rPr>
        <w:t>Attitude:</w:t>
      </w:r>
    </w:p>
    <w:p w:rsidR="00DF75F8" w:rsidRPr="00DF75F8" w:rsidRDefault="00DF75F8" w:rsidP="00C2057B">
      <w:pPr>
        <w:pStyle w:val="Listaszerbekezds"/>
        <w:numPr>
          <w:ilvl w:val="0"/>
          <w:numId w:val="83"/>
        </w:numPr>
        <w:spacing w:line="240" w:lineRule="auto"/>
        <w:jc w:val="both"/>
        <w:rPr>
          <w:rFonts w:ascii="Times New Roman" w:eastAsia="Times New Roman" w:hAnsi="Times New Roman" w:cs="Times New Roman"/>
          <w:lang w:val="en-AU"/>
        </w:rPr>
      </w:pPr>
      <w:r w:rsidRPr="00DF75F8">
        <w:rPr>
          <w:rFonts w:ascii="Times New Roman" w:eastAsia="Times New Roman" w:hAnsi="Times New Roman" w:cs="Times New Roman"/>
          <w:lang w:val="en-AU"/>
        </w:rPr>
        <w:t>Open to new knowledge.</w:t>
      </w:r>
    </w:p>
    <w:p w:rsidR="00DF75F8" w:rsidRPr="00DF75F8" w:rsidRDefault="00DF75F8" w:rsidP="00C2057B">
      <w:pPr>
        <w:pStyle w:val="Listaszerbekezds"/>
        <w:numPr>
          <w:ilvl w:val="0"/>
          <w:numId w:val="83"/>
        </w:numPr>
        <w:spacing w:line="240" w:lineRule="auto"/>
        <w:jc w:val="both"/>
        <w:rPr>
          <w:rFonts w:ascii="Times New Roman" w:eastAsia="Times New Roman" w:hAnsi="Times New Roman" w:cs="Times New Roman"/>
          <w:lang w:val="en-AU"/>
        </w:rPr>
      </w:pPr>
      <w:r w:rsidRPr="00DF75F8">
        <w:rPr>
          <w:rFonts w:ascii="Times New Roman" w:eastAsia="Times New Roman" w:hAnsi="Times New Roman" w:cs="Times New Roman"/>
          <w:lang w:val="en-AU"/>
        </w:rPr>
        <w:t>Characterized by a willingness to cooperate and strives to involve subordinates in decision-making processes.</w:t>
      </w:r>
    </w:p>
    <w:p w:rsidR="00DF75F8" w:rsidRPr="00DF75F8" w:rsidRDefault="00DF75F8" w:rsidP="00C2057B">
      <w:pPr>
        <w:pStyle w:val="Listaszerbekezds"/>
        <w:numPr>
          <w:ilvl w:val="0"/>
          <w:numId w:val="83"/>
        </w:numPr>
        <w:spacing w:line="240" w:lineRule="auto"/>
        <w:jc w:val="both"/>
        <w:rPr>
          <w:rFonts w:ascii="Times New Roman" w:eastAsia="Times New Roman" w:hAnsi="Times New Roman" w:cs="Times New Roman"/>
          <w:lang w:val="en-AU"/>
        </w:rPr>
      </w:pPr>
      <w:r w:rsidRPr="00DF75F8">
        <w:rPr>
          <w:rFonts w:ascii="Times New Roman" w:eastAsia="Times New Roman" w:hAnsi="Times New Roman" w:cs="Times New Roman"/>
          <w:lang w:val="en-AU"/>
        </w:rPr>
        <w:t>Exhibits appropriate self-control, tolerance, empathy, and non-biased thinking and behaviour.</w:t>
      </w:r>
    </w:p>
    <w:p w:rsidR="00DF75F8" w:rsidRPr="00DF75F8" w:rsidRDefault="00DF75F8" w:rsidP="00C2057B">
      <w:pPr>
        <w:pStyle w:val="Listaszerbekezds"/>
        <w:numPr>
          <w:ilvl w:val="0"/>
          <w:numId w:val="83"/>
        </w:numPr>
        <w:spacing w:line="240" w:lineRule="auto"/>
        <w:jc w:val="both"/>
        <w:rPr>
          <w:rFonts w:ascii="Times New Roman" w:eastAsia="Times New Roman" w:hAnsi="Times New Roman" w:cs="Times New Roman"/>
          <w:lang w:val="en-AU"/>
        </w:rPr>
      </w:pPr>
      <w:r w:rsidRPr="00DF75F8">
        <w:rPr>
          <w:rFonts w:ascii="Times New Roman" w:eastAsia="Times New Roman" w:hAnsi="Times New Roman" w:cs="Times New Roman"/>
          <w:lang w:val="en-AU"/>
        </w:rPr>
        <w:t>Characterized by reliability in his/her work and human relationships.</w:t>
      </w:r>
    </w:p>
    <w:p w:rsidR="00DF75F8" w:rsidRPr="00DF75F8" w:rsidRDefault="00DF75F8" w:rsidP="00C2057B">
      <w:pPr>
        <w:pStyle w:val="Listaszerbekezds"/>
        <w:numPr>
          <w:ilvl w:val="0"/>
          <w:numId w:val="83"/>
        </w:numPr>
        <w:spacing w:line="240" w:lineRule="auto"/>
        <w:jc w:val="both"/>
        <w:rPr>
          <w:rFonts w:ascii="Times New Roman" w:eastAsia="Times New Roman" w:hAnsi="Times New Roman" w:cs="Times New Roman"/>
          <w:lang w:val="en-AU"/>
        </w:rPr>
      </w:pPr>
      <w:r w:rsidRPr="00DF75F8">
        <w:rPr>
          <w:rFonts w:ascii="Times New Roman" w:eastAsia="Times New Roman" w:hAnsi="Times New Roman" w:cs="Times New Roman"/>
          <w:lang w:val="en-AU"/>
        </w:rPr>
        <w:t>Committed to quality professional work and strives for accuracy.</w:t>
      </w:r>
    </w:p>
    <w:p w:rsidR="00DF75F8" w:rsidRPr="00DF75F8" w:rsidRDefault="00DF75F8" w:rsidP="00C2057B">
      <w:pPr>
        <w:pStyle w:val="Listaszerbekezds"/>
        <w:numPr>
          <w:ilvl w:val="0"/>
          <w:numId w:val="83"/>
        </w:numPr>
        <w:spacing w:line="240" w:lineRule="auto"/>
        <w:jc w:val="both"/>
        <w:rPr>
          <w:rFonts w:ascii="Times New Roman" w:eastAsia="Times New Roman" w:hAnsi="Times New Roman" w:cs="Times New Roman"/>
          <w:lang w:val="en-AU"/>
        </w:rPr>
      </w:pPr>
      <w:r w:rsidRPr="00DF75F8">
        <w:rPr>
          <w:rFonts w:ascii="Times New Roman" w:eastAsia="Times New Roman" w:hAnsi="Times New Roman" w:cs="Times New Roman"/>
          <w:lang w:val="en-AU"/>
        </w:rPr>
        <w:t>Has good organizing skills.</w:t>
      </w:r>
    </w:p>
    <w:p w:rsidR="00DF75F8" w:rsidRPr="00DF75F8" w:rsidRDefault="00DF75F8" w:rsidP="00C2057B">
      <w:pPr>
        <w:pStyle w:val="Listaszerbekezds"/>
        <w:numPr>
          <w:ilvl w:val="0"/>
          <w:numId w:val="83"/>
        </w:numPr>
        <w:spacing w:line="240" w:lineRule="auto"/>
        <w:jc w:val="both"/>
        <w:rPr>
          <w:rFonts w:ascii="Times New Roman" w:eastAsia="Times New Roman" w:hAnsi="Times New Roman" w:cs="Times New Roman"/>
          <w:lang w:val="en-AU"/>
        </w:rPr>
      </w:pPr>
      <w:r w:rsidRPr="00DF75F8">
        <w:rPr>
          <w:rFonts w:ascii="Times New Roman" w:eastAsia="Times New Roman" w:hAnsi="Times New Roman" w:cs="Times New Roman"/>
          <w:lang w:val="en-AU"/>
        </w:rPr>
        <w:t>Is aware and feels at home in the military hierarchy.</w:t>
      </w:r>
    </w:p>
    <w:p w:rsidR="00DF75F8" w:rsidRPr="00DF75F8" w:rsidRDefault="00DF75F8" w:rsidP="00C2057B">
      <w:pPr>
        <w:pStyle w:val="Listaszerbekezds"/>
        <w:numPr>
          <w:ilvl w:val="0"/>
          <w:numId w:val="83"/>
        </w:numPr>
        <w:spacing w:line="240" w:lineRule="auto"/>
        <w:jc w:val="both"/>
        <w:rPr>
          <w:rFonts w:ascii="Times New Roman" w:eastAsia="Times New Roman" w:hAnsi="Times New Roman" w:cs="Times New Roman"/>
          <w:lang w:val="en-AU"/>
        </w:rPr>
      </w:pPr>
      <w:r w:rsidRPr="00DF75F8">
        <w:rPr>
          <w:rFonts w:ascii="Times New Roman" w:eastAsia="Times New Roman" w:hAnsi="Times New Roman" w:cs="Times New Roman"/>
          <w:lang w:val="en-AU"/>
        </w:rPr>
        <w:t>Open-minded in his/her new achievements, innovations, strives to know, understand and apply them, and is committed to continuous self-education.</w:t>
      </w:r>
    </w:p>
    <w:p w:rsidR="00DF75F8" w:rsidRPr="00DF75F8" w:rsidRDefault="00DF75F8" w:rsidP="005B4AC4">
      <w:pPr>
        <w:widowControl w:val="0"/>
        <w:spacing w:before="120" w:after="120" w:line="240" w:lineRule="auto"/>
        <w:ind w:left="426"/>
        <w:jc w:val="both"/>
        <w:rPr>
          <w:rFonts w:ascii="Times New Roman" w:eastAsia="Times New Roman" w:hAnsi="Times New Roman" w:cs="Times New Roman"/>
          <w:b/>
          <w:lang w:val="en-AU"/>
        </w:rPr>
      </w:pPr>
      <w:r w:rsidRPr="00DF75F8">
        <w:rPr>
          <w:rFonts w:ascii="Times New Roman" w:eastAsia="Times New Roman" w:hAnsi="Times New Roman" w:cs="Times New Roman"/>
          <w:b/>
          <w:lang w:val="en-AU"/>
        </w:rPr>
        <w:t>Autonomy and responsibility:</w:t>
      </w:r>
    </w:p>
    <w:p w:rsidR="00DF75F8" w:rsidRPr="00DF75F8" w:rsidRDefault="00DF75F8" w:rsidP="00C2057B">
      <w:pPr>
        <w:pStyle w:val="Listaszerbekezds"/>
        <w:numPr>
          <w:ilvl w:val="0"/>
          <w:numId w:val="83"/>
        </w:numPr>
        <w:spacing w:line="240" w:lineRule="auto"/>
        <w:jc w:val="both"/>
        <w:rPr>
          <w:rFonts w:ascii="Times New Roman" w:eastAsia="Times New Roman" w:hAnsi="Times New Roman" w:cs="Times New Roman"/>
          <w:lang w:val="en-AU"/>
        </w:rPr>
      </w:pPr>
      <w:r w:rsidRPr="00DF75F8">
        <w:rPr>
          <w:rFonts w:ascii="Times New Roman" w:eastAsia="Times New Roman" w:hAnsi="Times New Roman" w:cs="Times New Roman"/>
          <w:lang w:val="en-AU"/>
        </w:rPr>
        <w:t>Able to make decisions independently, to implement them with responsibility and within the legal framework.</w:t>
      </w:r>
    </w:p>
    <w:p w:rsidR="00DF75F8" w:rsidRPr="00DF75F8" w:rsidRDefault="00DF75F8" w:rsidP="00C2057B">
      <w:pPr>
        <w:pStyle w:val="Listaszerbekezds"/>
        <w:numPr>
          <w:ilvl w:val="0"/>
          <w:numId w:val="83"/>
        </w:numPr>
        <w:spacing w:line="240" w:lineRule="auto"/>
        <w:jc w:val="both"/>
        <w:rPr>
          <w:rFonts w:ascii="Times New Roman" w:eastAsia="Times New Roman" w:hAnsi="Times New Roman" w:cs="Times New Roman"/>
          <w:lang w:val="en-AU"/>
        </w:rPr>
      </w:pPr>
      <w:r w:rsidRPr="00DF75F8">
        <w:rPr>
          <w:rFonts w:ascii="Times New Roman" w:eastAsia="Times New Roman" w:hAnsi="Times New Roman" w:cs="Times New Roman"/>
          <w:lang w:val="en-AU"/>
        </w:rPr>
        <w:lastRenderedPageBreak/>
        <w:t>Aware of the effects and consequences of his/her decisions.</w:t>
      </w:r>
    </w:p>
    <w:p w:rsidR="00DF75F8" w:rsidRPr="00DF75F8" w:rsidRDefault="00DF75F8" w:rsidP="00C2057B">
      <w:pPr>
        <w:pStyle w:val="Listaszerbekezds"/>
        <w:numPr>
          <w:ilvl w:val="0"/>
          <w:numId w:val="83"/>
        </w:numPr>
        <w:spacing w:line="240" w:lineRule="auto"/>
        <w:jc w:val="both"/>
        <w:rPr>
          <w:rFonts w:ascii="Times New Roman" w:eastAsia="Times New Roman" w:hAnsi="Times New Roman" w:cs="Times New Roman"/>
          <w:lang w:val="en-AU"/>
        </w:rPr>
      </w:pPr>
      <w:r w:rsidRPr="00DF75F8">
        <w:rPr>
          <w:rFonts w:ascii="Times New Roman" w:eastAsia="Times New Roman" w:hAnsi="Times New Roman" w:cs="Times New Roman"/>
          <w:lang w:val="en-AU"/>
        </w:rPr>
        <w:t>Takes responsibility for the professional activities of his/her subordinates.</w:t>
      </w:r>
    </w:p>
    <w:p w:rsidR="00DF75F8" w:rsidRPr="00DF75F8" w:rsidRDefault="00DF75F8" w:rsidP="00C2057B">
      <w:pPr>
        <w:widowControl w:val="0"/>
        <w:numPr>
          <w:ilvl w:val="0"/>
          <w:numId w:val="86"/>
        </w:numPr>
        <w:tabs>
          <w:tab w:val="num" w:pos="567"/>
        </w:tabs>
        <w:spacing w:before="120" w:after="120" w:line="240" w:lineRule="auto"/>
        <w:ind w:left="426" w:hanging="142"/>
        <w:jc w:val="both"/>
        <w:rPr>
          <w:rFonts w:ascii="Times New Roman" w:eastAsia="Times New Roman" w:hAnsi="Times New Roman" w:cs="Times New Roman"/>
          <w:bCs/>
        </w:rPr>
      </w:pPr>
      <w:r w:rsidRPr="00DF75F8">
        <w:rPr>
          <w:rFonts w:ascii="Times New Roman" w:eastAsia="Times New Roman" w:hAnsi="Times New Roman" w:cs="Times New Roman"/>
          <w:b/>
          <w:bCs/>
        </w:rPr>
        <w:t xml:space="preserve">Előtanulmányi követelmények: </w:t>
      </w:r>
      <w:r w:rsidRPr="00DF75F8">
        <w:rPr>
          <w:rFonts w:ascii="Times New Roman" w:eastAsia="Times New Roman" w:hAnsi="Times New Roman" w:cs="Times New Roman"/>
          <w:bCs/>
        </w:rPr>
        <w:t>nincs</w:t>
      </w:r>
    </w:p>
    <w:p w:rsidR="00DF75F8" w:rsidRPr="00DF75F8" w:rsidRDefault="00DF75F8" w:rsidP="00C2057B">
      <w:pPr>
        <w:widowControl w:val="0"/>
        <w:numPr>
          <w:ilvl w:val="0"/>
          <w:numId w:val="86"/>
        </w:numPr>
        <w:tabs>
          <w:tab w:val="num" w:pos="567"/>
        </w:tabs>
        <w:spacing w:before="120" w:after="120" w:line="240" w:lineRule="auto"/>
        <w:ind w:left="426" w:hanging="142"/>
        <w:jc w:val="both"/>
        <w:rPr>
          <w:rFonts w:ascii="Times New Roman" w:eastAsia="Times New Roman" w:hAnsi="Times New Roman" w:cs="Times New Roman"/>
          <w:b/>
          <w:bCs/>
        </w:rPr>
      </w:pPr>
      <w:r w:rsidRPr="00DF75F8">
        <w:rPr>
          <w:rFonts w:ascii="Times New Roman" w:eastAsia="Times New Roman" w:hAnsi="Times New Roman" w:cs="Times New Roman"/>
          <w:b/>
          <w:bCs/>
        </w:rPr>
        <w:t xml:space="preserve">A tantárgy tananyagának leírása, tematika. Description of the subject, curriculum </w:t>
      </w:r>
    </w:p>
    <w:p w:rsidR="00DF75F8" w:rsidRPr="00DF75F8" w:rsidRDefault="00DF75F8" w:rsidP="005B4AC4">
      <w:pPr>
        <w:widowControl w:val="0"/>
        <w:spacing w:before="120" w:after="120" w:line="240" w:lineRule="auto"/>
        <w:ind w:left="426"/>
        <w:jc w:val="both"/>
        <w:rPr>
          <w:rFonts w:ascii="Times New Roman" w:eastAsia="Times New Roman" w:hAnsi="Times New Roman" w:cs="Times New Roman"/>
          <w:b/>
          <w:bCs/>
        </w:rPr>
      </w:pPr>
      <w:r w:rsidRPr="00DF75F8">
        <w:rPr>
          <w:rFonts w:ascii="Times New Roman" w:eastAsia="Times New Roman" w:hAnsi="Times New Roman" w:cs="Times New Roman"/>
          <w:b/>
          <w:bCs/>
        </w:rPr>
        <w:t>(magyarul, angolul – English):</w:t>
      </w:r>
    </w:p>
    <w:p w:rsidR="00DF75F8" w:rsidRPr="00DF75F8" w:rsidRDefault="00DF75F8" w:rsidP="00C2057B">
      <w:pPr>
        <w:widowControl w:val="0"/>
        <w:numPr>
          <w:ilvl w:val="1"/>
          <w:numId w:val="86"/>
        </w:numPr>
        <w:shd w:val="clear" w:color="auto" w:fill="FFFFFF"/>
        <w:tabs>
          <w:tab w:val="clear" w:pos="3977"/>
          <w:tab w:val="left" w:pos="709"/>
          <w:tab w:val="num" w:pos="824"/>
          <w:tab w:val="left" w:pos="993"/>
          <w:tab w:val="num" w:pos="2069"/>
        </w:tabs>
        <w:spacing w:before="120" w:after="120" w:line="240" w:lineRule="auto"/>
        <w:ind w:left="851" w:hanging="567"/>
        <w:jc w:val="both"/>
        <w:rPr>
          <w:rFonts w:ascii="Times New Roman" w:eastAsia="Times New Roman" w:hAnsi="Times New Roman" w:cs="Times New Roman"/>
          <w:bCs/>
          <w:lang w:val="en-AU"/>
        </w:rPr>
      </w:pPr>
      <w:r w:rsidRPr="00DF75F8">
        <w:rPr>
          <w:rFonts w:ascii="Times New Roman" w:eastAsia="Times New Roman" w:hAnsi="Times New Roman" w:cs="Times New Roman"/>
          <w:bCs/>
        </w:rPr>
        <w:t xml:space="preserve">Bevezetés – követelmények – a vezetés fogalmi rendszere, fejlődése 20 századig </w:t>
      </w:r>
      <w:r w:rsidRPr="00DF75F8">
        <w:rPr>
          <w:rFonts w:ascii="Times New Roman" w:eastAsia="Times New Roman" w:hAnsi="Times New Roman" w:cs="Times New Roman"/>
          <w:bCs/>
          <w:i/>
        </w:rPr>
        <w:t>(</w:t>
      </w:r>
      <w:r w:rsidRPr="00DF75F8">
        <w:rPr>
          <w:rFonts w:ascii="Times New Roman" w:eastAsia="Times New Roman" w:hAnsi="Times New Roman" w:cs="Times New Roman"/>
          <w:bCs/>
          <w:i/>
          <w:lang w:val="en"/>
        </w:rPr>
        <w:t>Introduction – requirements – the conceptual system of management and its development to the 20</w:t>
      </w:r>
      <w:r w:rsidRPr="00DF75F8">
        <w:rPr>
          <w:rFonts w:ascii="Times New Roman" w:eastAsia="Times New Roman" w:hAnsi="Times New Roman" w:cs="Times New Roman"/>
          <w:bCs/>
          <w:i/>
          <w:vertAlign w:val="superscript"/>
          <w:lang w:val="en"/>
        </w:rPr>
        <w:t>th</w:t>
      </w:r>
      <w:r w:rsidRPr="00DF75F8">
        <w:rPr>
          <w:rFonts w:ascii="Times New Roman" w:eastAsia="Times New Roman" w:hAnsi="Times New Roman" w:cs="Times New Roman"/>
          <w:bCs/>
          <w:i/>
          <w:lang w:val="en"/>
        </w:rPr>
        <w:t xml:space="preserve"> century)</w:t>
      </w:r>
      <w:r w:rsidRPr="00DF75F8">
        <w:rPr>
          <w:rFonts w:ascii="Times New Roman" w:eastAsia="Times New Roman" w:hAnsi="Times New Roman" w:cs="Times New Roman"/>
          <w:bCs/>
          <w:lang w:val="en"/>
        </w:rPr>
        <w:t xml:space="preserve"> </w:t>
      </w:r>
    </w:p>
    <w:p w:rsidR="00DF75F8" w:rsidRPr="00DF75F8" w:rsidRDefault="00DF75F8" w:rsidP="00C2057B">
      <w:pPr>
        <w:widowControl w:val="0"/>
        <w:numPr>
          <w:ilvl w:val="1"/>
          <w:numId w:val="86"/>
        </w:numPr>
        <w:shd w:val="clear" w:color="auto" w:fill="FFFFFF"/>
        <w:tabs>
          <w:tab w:val="clear" w:pos="3977"/>
          <w:tab w:val="left" w:pos="709"/>
          <w:tab w:val="num" w:pos="824"/>
          <w:tab w:val="left" w:pos="993"/>
          <w:tab w:val="num" w:pos="2069"/>
        </w:tabs>
        <w:spacing w:before="120" w:after="120" w:line="240" w:lineRule="auto"/>
        <w:ind w:left="851" w:hanging="567"/>
        <w:jc w:val="both"/>
        <w:rPr>
          <w:rFonts w:ascii="Times New Roman" w:eastAsia="Times New Roman" w:hAnsi="Times New Roman" w:cs="Times New Roman"/>
          <w:bCs/>
          <w:i/>
          <w:lang w:val="en-AU" w:eastAsia="hu-HU"/>
        </w:rPr>
      </w:pPr>
      <w:r w:rsidRPr="00DF75F8">
        <w:rPr>
          <w:rFonts w:ascii="Times New Roman" w:eastAsia="Times New Roman" w:hAnsi="Times New Roman" w:cs="Times New Roman"/>
          <w:bCs/>
          <w:lang w:eastAsia="hu-HU"/>
        </w:rPr>
        <w:t xml:space="preserve">A vezetési gondolkodás fejlődése napjainkig </w:t>
      </w:r>
      <w:r w:rsidRPr="00DF75F8">
        <w:rPr>
          <w:rFonts w:ascii="Times New Roman" w:eastAsia="Times New Roman" w:hAnsi="Times New Roman" w:cs="Times New Roman"/>
          <w:bCs/>
          <w:i/>
          <w:lang w:val="en-AU" w:eastAsia="hu-HU"/>
        </w:rPr>
        <w:t>(</w:t>
      </w:r>
      <w:r w:rsidRPr="00DF75F8">
        <w:rPr>
          <w:rFonts w:ascii="Times New Roman" w:eastAsia="Times New Roman" w:hAnsi="Times New Roman" w:cs="Times New Roman"/>
          <w:bCs/>
          <w:i/>
          <w:lang w:val="en" w:eastAsia="hu-HU"/>
        </w:rPr>
        <w:t>Development of leadership thinking to the present day)</w:t>
      </w:r>
    </w:p>
    <w:p w:rsidR="00DF75F8" w:rsidRPr="00DF75F8" w:rsidRDefault="00DF75F8" w:rsidP="00C2057B">
      <w:pPr>
        <w:widowControl w:val="0"/>
        <w:numPr>
          <w:ilvl w:val="1"/>
          <w:numId w:val="86"/>
        </w:numPr>
        <w:shd w:val="clear" w:color="auto" w:fill="FFFFFF"/>
        <w:tabs>
          <w:tab w:val="clear" w:pos="3977"/>
          <w:tab w:val="left" w:pos="709"/>
          <w:tab w:val="num" w:pos="824"/>
          <w:tab w:val="left" w:pos="993"/>
          <w:tab w:val="num" w:pos="2069"/>
        </w:tabs>
        <w:spacing w:before="120" w:after="120" w:line="240" w:lineRule="auto"/>
        <w:ind w:left="851" w:hanging="567"/>
        <w:jc w:val="both"/>
        <w:rPr>
          <w:rFonts w:ascii="Times New Roman" w:eastAsia="Times New Roman" w:hAnsi="Times New Roman" w:cs="Times New Roman"/>
          <w:bCs/>
          <w:lang w:eastAsia="hu-HU"/>
        </w:rPr>
      </w:pPr>
      <w:r w:rsidRPr="00DF75F8">
        <w:rPr>
          <w:rFonts w:ascii="Times New Roman" w:eastAsia="Times New Roman" w:hAnsi="Times New Roman" w:cs="Times New Roman"/>
          <w:bCs/>
          <w:lang w:eastAsia="hu-HU"/>
        </w:rPr>
        <w:t xml:space="preserve">A vezető, vezetési stílusok </w:t>
      </w:r>
      <w:r w:rsidRPr="00DF75F8">
        <w:rPr>
          <w:rFonts w:ascii="Times New Roman" w:eastAsia="Times New Roman" w:hAnsi="Times New Roman" w:cs="Times New Roman"/>
          <w:bCs/>
          <w:i/>
          <w:lang w:eastAsia="hu-HU"/>
        </w:rPr>
        <w:t>(</w:t>
      </w:r>
      <w:r w:rsidRPr="00DF75F8">
        <w:rPr>
          <w:rFonts w:ascii="Times New Roman" w:eastAsia="Times New Roman" w:hAnsi="Times New Roman" w:cs="Times New Roman"/>
          <w:bCs/>
          <w:i/>
          <w:lang w:val="en" w:eastAsia="hu-HU"/>
        </w:rPr>
        <w:t>The leader, leadership styles)</w:t>
      </w:r>
    </w:p>
    <w:p w:rsidR="00DF75F8" w:rsidRPr="00DF75F8" w:rsidRDefault="00DF75F8" w:rsidP="00C2057B">
      <w:pPr>
        <w:widowControl w:val="0"/>
        <w:numPr>
          <w:ilvl w:val="1"/>
          <w:numId w:val="86"/>
        </w:numPr>
        <w:shd w:val="clear" w:color="auto" w:fill="FFFFFF"/>
        <w:tabs>
          <w:tab w:val="clear" w:pos="3977"/>
          <w:tab w:val="left" w:pos="709"/>
          <w:tab w:val="num" w:pos="824"/>
          <w:tab w:val="left" w:pos="993"/>
          <w:tab w:val="num" w:pos="2069"/>
        </w:tabs>
        <w:spacing w:before="120" w:after="120" w:line="240" w:lineRule="auto"/>
        <w:ind w:left="851" w:hanging="567"/>
        <w:jc w:val="both"/>
        <w:rPr>
          <w:rFonts w:ascii="Times New Roman" w:eastAsia="Times New Roman" w:hAnsi="Times New Roman" w:cs="Times New Roman"/>
          <w:bCs/>
          <w:lang w:eastAsia="hu-HU"/>
        </w:rPr>
      </w:pPr>
      <w:r w:rsidRPr="00DF75F8">
        <w:rPr>
          <w:rFonts w:ascii="Times New Roman" w:eastAsia="Times New Roman" w:hAnsi="Times New Roman" w:cs="Times New Roman"/>
          <w:bCs/>
          <w:lang w:eastAsia="hu-HU"/>
        </w:rPr>
        <w:t xml:space="preserve">A vezetői kommunikáció </w:t>
      </w:r>
      <w:r w:rsidRPr="00DF75F8">
        <w:rPr>
          <w:rFonts w:ascii="Times New Roman" w:eastAsia="Times New Roman" w:hAnsi="Times New Roman" w:cs="Times New Roman"/>
          <w:bCs/>
          <w:i/>
          <w:lang w:eastAsia="hu-HU"/>
        </w:rPr>
        <w:t>(</w:t>
      </w:r>
      <w:r w:rsidRPr="00DF75F8">
        <w:rPr>
          <w:rFonts w:ascii="Times New Roman" w:eastAsia="Times New Roman" w:hAnsi="Times New Roman" w:cs="Times New Roman"/>
          <w:bCs/>
          <w:i/>
          <w:lang w:val="en" w:eastAsia="hu-HU"/>
        </w:rPr>
        <w:t>Management communication)</w:t>
      </w:r>
    </w:p>
    <w:p w:rsidR="00DF75F8" w:rsidRPr="00DF75F8" w:rsidRDefault="00DF75F8" w:rsidP="00C2057B">
      <w:pPr>
        <w:widowControl w:val="0"/>
        <w:numPr>
          <w:ilvl w:val="1"/>
          <w:numId w:val="86"/>
        </w:numPr>
        <w:shd w:val="clear" w:color="auto" w:fill="FFFFFF"/>
        <w:tabs>
          <w:tab w:val="clear" w:pos="3977"/>
          <w:tab w:val="left" w:pos="709"/>
          <w:tab w:val="num" w:pos="824"/>
          <w:tab w:val="left" w:pos="993"/>
          <w:tab w:val="num" w:pos="2069"/>
        </w:tabs>
        <w:spacing w:before="120" w:after="120" w:line="240" w:lineRule="auto"/>
        <w:ind w:left="851" w:hanging="567"/>
        <w:jc w:val="both"/>
        <w:rPr>
          <w:rFonts w:ascii="Times New Roman" w:eastAsia="Times New Roman" w:hAnsi="Times New Roman" w:cs="Times New Roman"/>
          <w:bCs/>
          <w:lang w:eastAsia="hu-HU"/>
        </w:rPr>
      </w:pPr>
      <w:r w:rsidRPr="00DF75F8">
        <w:rPr>
          <w:rFonts w:ascii="Times New Roman" w:eastAsia="Times New Roman" w:hAnsi="Times New Roman" w:cs="Times New Roman"/>
          <w:bCs/>
          <w:lang w:eastAsia="hu-HU"/>
        </w:rPr>
        <w:t>A vezetési rendszer struktúrája, a szervezetvezetés elvei, követelményei</w:t>
      </w:r>
      <w:r w:rsidRPr="00DF75F8">
        <w:rPr>
          <w:rFonts w:ascii="Times New Roman" w:eastAsia="Times New Roman" w:hAnsi="Times New Roman" w:cs="Times New Roman"/>
          <w:bCs/>
          <w:i/>
          <w:lang w:eastAsia="hu-HU"/>
        </w:rPr>
        <w:t xml:space="preserve"> (</w:t>
      </w:r>
      <w:r w:rsidRPr="00DF75F8">
        <w:rPr>
          <w:rFonts w:ascii="Times New Roman" w:eastAsia="Times New Roman" w:hAnsi="Times New Roman" w:cs="Times New Roman"/>
          <w:bCs/>
          <w:i/>
          <w:lang w:val="en" w:eastAsia="hu-HU"/>
        </w:rPr>
        <w:t>Structure of the management system, principles and requirements of organizational management)</w:t>
      </w:r>
    </w:p>
    <w:p w:rsidR="00DF75F8" w:rsidRPr="00DF75F8" w:rsidRDefault="00DF75F8" w:rsidP="00C2057B">
      <w:pPr>
        <w:widowControl w:val="0"/>
        <w:numPr>
          <w:ilvl w:val="1"/>
          <w:numId w:val="86"/>
        </w:numPr>
        <w:shd w:val="clear" w:color="auto" w:fill="FFFFFF"/>
        <w:tabs>
          <w:tab w:val="clear" w:pos="3977"/>
          <w:tab w:val="left" w:pos="709"/>
          <w:tab w:val="num" w:pos="824"/>
          <w:tab w:val="left" w:pos="993"/>
          <w:tab w:val="num" w:pos="2069"/>
        </w:tabs>
        <w:spacing w:before="120" w:after="120" w:line="240" w:lineRule="auto"/>
        <w:ind w:left="851" w:hanging="567"/>
        <w:jc w:val="both"/>
        <w:rPr>
          <w:rFonts w:ascii="Times New Roman" w:eastAsia="Times New Roman" w:hAnsi="Times New Roman" w:cs="Times New Roman"/>
          <w:bCs/>
          <w:lang w:eastAsia="hu-HU"/>
        </w:rPr>
      </w:pPr>
      <w:r w:rsidRPr="00DF75F8">
        <w:rPr>
          <w:rFonts w:ascii="Times New Roman" w:eastAsia="Times New Roman" w:hAnsi="Times New Roman" w:cs="Times New Roman"/>
          <w:bCs/>
          <w:lang w:eastAsia="hu-HU"/>
        </w:rPr>
        <w:t xml:space="preserve">Szeminárium – kiselőadások </w:t>
      </w:r>
      <w:r w:rsidRPr="00DF75F8">
        <w:rPr>
          <w:rFonts w:ascii="Times New Roman" w:eastAsia="Times New Roman" w:hAnsi="Times New Roman" w:cs="Times New Roman"/>
          <w:bCs/>
          <w:i/>
          <w:lang w:eastAsia="hu-HU"/>
        </w:rPr>
        <w:t>(</w:t>
      </w:r>
      <w:r w:rsidRPr="00DF75F8">
        <w:rPr>
          <w:rFonts w:ascii="Times New Roman" w:eastAsia="Times New Roman" w:hAnsi="Times New Roman" w:cs="Times New Roman"/>
          <w:bCs/>
          <w:i/>
          <w:lang w:val="en" w:eastAsia="hu-HU"/>
        </w:rPr>
        <w:t>Seminar – short presentations)</w:t>
      </w:r>
    </w:p>
    <w:p w:rsidR="00DF75F8" w:rsidRPr="00DF75F8" w:rsidRDefault="00DF75F8" w:rsidP="00C2057B">
      <w:pPr>
        <w:widowControl w:val="0"/>
        <w:numPr>
          <w:ilvl w:val="1"/>
          <w:numId w:val="86"/>
        </w:numPr>
        <w:shd w:val="clear" w:color="auto" w:fill="FFFFFF"/>
        <w:tabs>
          <w:tab w:val="clear" w:pos="3977"/>
          <w:tab w:val="left" w:pos="709"/>
          <w:tab w:val="num" w:pos="824"/>
          <w:tab w:val="left" w:pos="993"/>
          <w:tab w:val="num" w:pos="2069"/>
        </w:tabs>
        <w:spacing w:before="120" w:after="120" w:line="240" w:lineRule="auto"/>
        <w:ind w:left="851" w:hanging="567"/>
        <w:jc w:val="both"/>
        <w:rPr>
          <w:rFonts w:ascii="Times New Roman" w:eastAsia="Times New Roman" w:hAnsi="Times New Roman" w:cs="Times New Roman"/>
          <w:bCs/>
          <w:i/>
          <w:lang w:eastAsia="hu-HU"/>
        </w:rPr>
      </w:pPr>
      <w:r w:rsidRPr="00DF75F8">
        <w:rPr>
          <w:rFonts w:ascii="Times New Roman" w:eastAsia="Times New Roman" w:hAnsi="Times New Roman" w:cs="Times New Roman"/>
          <w:bCs/>
          <w:lang w:eastAsia="hu-HU"/>
        </w:rPr>
        <w:t xml:space="preserve">A szervezeti vezetés műveleteinek megoldási módjai </w:t>
      </w:r>
      <w:r w:rsidRPr="00DF75F8">
        <w:rPr>
          <w:rFonts w:ascii="Times New Roman" w:eastAsia="Times New Roman" w:hAnsi="Times New Roman" w:cs="Times New Roman"/>
          <w:bCs/>
          <w:i/>
          <w:lang w:eastAsia="hu-HU"/>
        </w:rPr>
        <w:t>(</w:t>
      </w:r>
      <w:r w:rsidRPr="00DF75F8">
        <w:rPr>
          <w:rFonts w:ascii="Times New Roman" w:eastAsia="Times New Roman" w:hAnsi="Times New Roman" w:cs="Times New Roman"/>
          <w:bCs/>
          <w:i/>
          <w:lang w:val="en" w:eastAsia="hu-HU"/>
        </w:rPr>
        <w:t>Methods of solving organizational leadership actions)</w:t>
      </w:r>
    </w:p>
    <w:p w:rsidR="00DF75F8" w:rsidRPr="00DF75F8" w:rsidRDefault="00DF75F8" w:rsidP="00C2057B">
      <w:pPr>
        <w:widowControl w:val="0"/>
        <w:numPr>
          <w:ilvl w:val="1"/>
          <w:numId w:val="86"/>
        </w:numPr>
        <w:shd w:val="clear" w:color="auto" w:fill="FFFFFF"/>
        <w:tabs>
          <w:tab w:val="clear" w:pos="3977"/>
          <w:tab w:val="left" w:pos="709"/>
          <w:tab w:val="num" w:pos="824"/>
          <w:tab w:val="left" w:pos="993"/>
          <w:tab w:val="num" w:pos="2069"/>
        </w:tabs>
        <w:spacing w:before="120" w:after="120" w:line="240" w:lineRule="auto"/>
        <w:ind w:left="851" w:hanging="567"/>
        <w:jc w:val="both"/>
        <w:rPr>
          <w:rFonts w:ascii="Times New Roman" w:eastAsia="Times New Roman" w:hAnsi="Times New Roman" w:cs="Times New Roman"/>
          <w:bCs/>
          <w:i/>
          <w:lang w:eastAsia="hu-HU"/>
        </w:rPr>
      </w:pPr>
      <w:r w:rsidRPr="00DF75F8">
        <w:rPr>
          <w:rFonts w:ascii="Times New Roman" w:eastAsia="Times New Roman" w:hAnsi="Times New Roman" w:cs="Times New Roman"/>
          <w:bCs/>
          <w:lang w:eastAsia="hu-HU"/>
        </w:rPr>
        <w:t xml:space="preserve">A közszolgálati szervezetek típusai és főbb jellemzői </w:t>
      </w:r>
      <w:r w:rsidRPr="00DF75F8">
        <w:rPr>
          <w:rFonts w:ascii="Times New Roman" w:eastAsia="Times New Roman" w:hAnsi="Times New Roman" w:cs="Times New Roman"/>
          <w:bCs/>
          <w:i/>
          <w:lang w:eastAsia="hu-HU"/>
        </w:rPr>
        <w:t>(</w:t>
      </w:r>
      <w:r w:rsidRPr="00DF75F8">
        <w:rPr>
          <w:rFonts w:ascii="Times New Roman" w:eastAsia="Times New Roman" w:hAnsi="Times New Roman" w:cs="Times New Roman"/>
          <w:bCs/>
          <w:i/>
          <w:lang w:val="en" w:eastAsia="hu-HU"/>
        </w:rPr>
        <w:t>Types and main characteristics of public service organizations)</w:t>
      </w:r>
    </w:p>
    <w:p w:rsidR="00DF75F8" w:rsidRPr="00DF75F8" w:rsidRDefault="00DF75F8" w:rsidP="00C2057B">
      <w:pPr>
        <w:widowControl w:val="0"/>
        <w:numPr>
          <w:ilvl w:val="1"/>
          <w:numId w:val="86"/>
        </w:numPr>
        <w:shd w:val="clear" w:color="auto" w:fill="FFFFFF"/>
        <w:tabs>
          <w:tab w:val="clear" w:pos="3977"/>
          <w:tab w:val="left" w:pos="709"/>
          <w:tab w:val="num" w:pos="824"/>
          <w:tab w:val="left" w:pos="993"/>
          <w:tab w:val="num" w:pos="2069"/>
        </w:tabs>
        <w:spacing w:before="120" w:after="120" w:line="240" w:lineRule="auto"/>
        <w:ind w:left="851" w:hanging="567"/>
        <w:jc w:val="both"/>
        <w:rPr>
          <w:rFonts w:ascii="Times New Roman" w:eastAsia="Times New Roman" w:hAnsi="Times New Roman" w:cs="Times New Roman"/>
          <w:bCs/>
          <w:lang w:eastAsia="hu-HU"/>
        </w:rPr>
      </w:pPr>
      <w:r w:rsidRPr="00DF75F8">
        <w:rPr>
          <w:rFonts w:ascii="Times New Roman" w:eastAsia="Times New Roman" w:hAnsi="Times New Roman" w:cs="Times New Roman"/>
          <w:bCs/>
          <w:lang w:eastAsia="hu-HU"/>
        </w:rPr>
        <w:t xml:space="preserve">Szervezeti kultúra, az egyének és a csoportok a szervezetben, a szervezeti hatalom </w:t>
      </w:r>
      <w:r w:rsidRPr="00DF75F8">
        <w:rPr>
          <w:rFonts w:ascii="Times New Roman" w:eastAsia="Times New Roman" w:hAnsi="Times New Roman" w:cs="Times New Roman"/>
          <w:bCs/>
          <w:i/>
          <w:lang w:eastAsia="hu-HU"/>
        </w:rPr>
        <w:t>(</w:t>
      </w:r>
      <w:r w:rsidRPr="00DF75F8">
        <w:rPr>
          <w:rFonts w:ascii="Times New Roman" w:eastAsia="Times New Roman" w:hAnsi="Times New Roman" w:cs="Times New Roman"/>
          <w:bCs/>
          <w:i/>
          <w:lang w:val="en" w:eastAsia="hu-HU"/>
        </w:rPr>
        <w:t>Organizational culture, individuals and groups within the organization, organizational power)</w:t>
      </w:r>
    </w:p>
    <w:p w:rsidR="00DF75F8" w:rsidRPr="00DF75F8" w:rsidRDefault="00DF75F8" w:rsidP="00C2057B">
      <w:pPr>
        <w:widowControl w:val="0"/>
        <w:numPr>
          <w:ilvl w:val="1"/>
          <w:numId w:val="86"/>
        </w:numPr>
        <w:shd w:val="clear" w:color="auto" w:fill="FFFFFF"/>
        <w:tabs>
          <w:tab w:val="clear" w:pos="3977"/>
          <w:tab w:val="left" w:pos="709"/>
          <w:tab w:val="num" w:pos="824"/>
          <w:tab w:val="left" w:pos="993"/>
          <w:tab w:val="num" w:pos="2069"/>
        </w:tabs>
        <w:spacing w:before="120" w:after="120" w:line="240" w:lineRule="auto"/>
        <w:ind w:left="851" w:hanging="567"/>
        <w:jc w:val="both"/>
        <w:rPr>
          <w:rFonts w:ascii="Times New Roman" w:eastAsia="Times New Roman" w:hAnsi="Times New Roman" w:cs="Times New Roman"/>
          <w:bCs/>
          <w:lang w:eastAsia="hu-HU"/>
        </w:rPr>
      </w:pPr>
      <w:r w:rsidRPr="00DF75F8">
        <w:rPr>
          <w:rFonts w:ascii="Times New Roman" w:eastAsia="Times New Roman" w:hAnsi="Times New Roman" w:cs="Times New Roman"/>
          <w:bCs/>
          <w:lang w:eastAsia="hu-HU"/>
        </w:rPr>
        <w:t xml:space="preserve">Szeminárium – kiselőadások </w:t>
      </w:r>
      <w:r w:rsidRPr="00DF75F8">
        <w:rPr>
          <w:rFonts w:ascii="Times New Roman" w:eastAsia="Times New Roman" w:hAnsi="Times New Roman" w:cs="Times New Roman"/>
          <w:bCs/>
          <w:i/>
          <w:lang w:eastAsia="hu-HU"/>
        </w:rPr>
        <w:t>(</w:t>
      </w:r>
      <w:r w:rsidRPr="00DF75F8">
        <w:rPr>
          <w:rFonts w:ascii="Times New Roman" w:eastAsia="Times New Roman" w:hAnsi="Times New Roman" w:cs="Times New Roman"/>
          <w:bCs/>
          <w:i/>
          <w:lang w:val="en" w:eastAsia="hu-HU"/>
        </w:rPr>
        <w:t>Seminar – short presentations)</w:t>
      </w:r>
    </w:p>
    <w:p w:rsidR="00DF75F8" w:rsidRPr="00DF75F8" w:rsidRDefault="00DF75F8" w:rsidP="00C2057B">
      <w:pPr>
        <w:widowControl w:val="0"/>
        <w:numPr>
          <w:ilvl w:val="1"/>
          <w:numId w:val="86"/>
        </w:numPr>
        <w:shd w:val="clear" w:color="auto" w:fill="FFFFFF"/>
        <w:tabs>
          <w:tab w:val="clear" w:pos="3977"/>
          <w:tab w:val="left" w:pos="709"/>
          <w:tab w:val="num" w:pos="824"/>
          <w:tab w:val="left" w:pos="993"/>
          <w:tab w:val="num" w:pos="2069"/>
        </w:tabs>
        <w:spacing w:before="120" w:after="120" w:line="240" w:lineRule="auto"/>
        <w:ind w:left="851" w:hanging="567"/>
        <w:jc w:val="both"/>
        <w:rPr>
          <w:rFonts w:ascii="Times New Roman" w:eastAsia="Times New Roman" w:hAnsi="Times New Roman" w:cs="Times New Roman"/>
          <w:bCs/>
          <w:lang w:eastAsia="hu-HU"/>
        </w:rPr>
      </w:pPr>
      <w:r w:rsidRPr="00DF75F8">
        <w:rPr>
          <w:rFonts w:ascii="Times New Roman" w:eastAsia="Times New Roman" w:hAnsi="Times New Roman" w:cs="Times New Roman"/>
          <w:bCs/>
          <w:lang w:eastAsia="hu-HU"/>
        </w:rPr>
        <w:t xml:space="preserve">Szeminárium – kiselőadások </w:t>
      </w:r>
      <w:r w:rsidRPr="00DF75F8">
        <w:rPr>
          <w:rFonts w:ascii="Times New Roman" w:eastAsia="Times New Roman" w:hAnsi="Times New Roman" w:cs="Times New Roman"/>
          <w:bCs/>
          <w:i/>
          <w:lang w:eastAsia="hu-HU"/>
        </w:rPr>
        <w:t>(</w:t>
      </w:r>
      <w:r w:rsidRPr="00DF75F8">
        <w:rPr>
          <w:rFonts w:ascii="Times New Roman" w:eastAsia="Times New Roman" w:hAnsi="Times New Roman" w:cs="Times New Roman"/>
          <w:bCs/>
          <w:i/>
          <w:lang w:val="en" w:eastAsia="hu-HU"/>
        </w:rPr>
        <w:t>Seminar – short presentations)</w:t>
      </w:r>
    </w:p>
    <w:p w:rsidR="00DF75F8" w:rsidRPr="00DF75F8" w:rsidRDefault="00DF75F8" w:rsidP="00C2057B">
      <w:pPr>
        <w:widowControl w:val="0"/>
        <w:numPr>
          <w:ilvl w:val="1"/>
          <w:numId w:val="86"/>
        </w:numPr>
        <w:shd w:val="clear" w:color="auto" w:fill="FFFFFF"/>
        <w:tabs>
          <w:tab w:val="clear" w:pos="3977"/>
          <w:tab w:val="left" w:pos="709"/>
          <w:tab w:val="num" w:pos="824"/>
          <w:tab w:val="left" w:pos="993"/>
          <w:tab w:val="num" w:pos="2069"/>
        </w:tabs>
        <w:spacing w:before="120" w:after="120" w:line="240" w:lineRule="auto"/>
        <w:ind w:left="851" w:hanging="567"/>
        <w:jc w:val="both"/>
        <w:rPr>
          <w:rFonts w:ascii="Times New Roman" w:eastAsia="Times New Roman" w:hAnsi="Times New Roman" w:cs="Times New Roman"/>
          <w:bCs/>
          <w:i/>
          <w:lang w:val="en-AU" w:eastAsia="hu-HU"/>
        </w:rPr>
      </w:pPr>
      <w:r w:rsidRPr="00DF75F8">
        <w:rPr>
          <w:rFonts w:ascii="Times New Roman" w:eastAsia="Times New Roman" w:hAnsi="Times New Roman" w:cs="Times New Roman"/>
          <w:bCs/>
          <w:lang w:eastAsia="hu-HU"/>
        </w:rPr>
        <w:t xml:space="preserve">A szervezeti teljesítmény fokozásának lehetőségei </w:t>
      </w:r>
      <w:r w:rsidRPr="00DF75F8">
        <w:rPr>
          <w:rFonts w:ascii="Times New Roman" w:eastAsia="Times New Roman" w:hAnsi="Times New Roman" w:cs="Times New Roman"/>
          <w:bCs/>
          <w:i/>
          <w:lang w:eastAsia="hu-HU"/>
        </w:rPr>
        <w:t>(</w:t>
      </w:r>
      <w:r w:rsidRPr="00DF75F8">
        <w:rPr>
          <w:rFonts w:ascii="Times New Roman" w:eastAsia="Times New Roman" w:hAnsi="Times New Roman" w:cs="Times New Roman"/>
          <w:bCs/>
          <w:i/>
          <w:lang w:val="en" w:eastAsia="hu-HU"/>
        </w:rPr>
        <w:t>Possibilities to improve organizational performance)</w:t>
      </w:r>
    </w:p>
    <w:p w:rsidR="00DF75F8" w:rsidRPr="00DF75F8" w:rsidRDefault="00DF75F8" w:rsidP="00C2057B">
      <w:pPr>
        <w:widowControl w:val="0"/>
        <w:numPr>
          <w:ilvl w:val="1"/>
          <w:numId w:val="86"/>
        </w:numPr>
        <w:shd w:val="clear" w:color="auto" w:fill="FFFFFF"/>
        <w:tabs>
          <w:tab w:val="clear" w:pos="3977"/>
          <w:tab w:val="left" w:pos="709"/>
          <w:tab w:val="num" w:pos="824"/>
          <w:tab w:val="left" w:pos="993"/>
          <w:tab w:val="num" w:pos="2069"/>
        </w:tabs>
        <w:spacing w:before="120" w:after="120" w:line="240" w:lineRule="auto"/>
        <w:ind w:left="851" w:hanging="567"/>
        <w:jc w:val="both"/>
        <w:rPr>
          <w:rFonts w:ascii="Times New Roman" w:eastAsia="Times New Roman" w:hAnsi="Times New Roman" w:cs="Times New Roman"/>
          <w:bCs/>
          <w:i/>
          <w:lang w:val="en-AU" w:eastAsia="hu-HU"/>
        </w:rPr>
      </w:pPr>
      <w:r w:rsidRPr="00DF75F8">
        <w:rPr>
          <w:rFonts w:ascii="Times New Roman" w:eastAsia="Times New Roman" w:hAnsi="Times New Roman" w:cs="Times New Roman"/>
          <w:bCs/>
          <w:lang w:eastAsia="hu-HU"/>
        </w:rPr>
        <w:t xml:space="preserve">Vezetői fórumok általános rendje és tartalma </w:t>
      </w:r>
      <w:r w:rsidRPr="00DF75F8">
        <w:rPr>
          <w:rFonts w:ascii="Times New Roman" w:eastAsia="Times New Roman" w:hAnsi="Times New Roman" w:cs="Times New Roman"/>
          <w:bCs/>
          <w:i/>
          <w:lang w:eastAsia="hu-HU"/>
        </w:rPr>
        <w:t>(</w:t>
      </w:r>
      <w:r w:rsidRPr="00DF75F8">
        <w:rPr>
          <w:rFonts w:ascii="Times New Roman" w:eastAsia="Times New Roman" w:hAnsi="Times New Roman" w:cs="Times New Roman"/>
          <w:bCs/>
          <w:i/>
          <w:lang w:val="en" w:eastAsia="hu-HU"/>
        </w:rPr>
        <w:t>General order and content of management forums)</w:t>
      </w:r>
    </w:p>
    <w:p w:rsidR="00DF75F8" w:rsidRPr="00DF75F8" w:rsidRDefault="00DF75F8" w:rsidP="00C2057B">
      <w:pPr>
        <w:widowControl w:val="0"/>
        <w:numPr>
          <w:ilvl w:val="1"/>
          <w:numId w:val="86"/>
        </w:numPr>
        <w:shd w:val="clear" w:color="auto" w:fill="FFFFFF"/>
        <w:tabs>
          <w:tab w:val="clear" w:pos="3977"/>
          <w:tab w:val="left" w:pos="709"/>
          <w:tab w:val="num" w:pos="824"/>
          <w:tab w:val="left" w:pos="993"/>
          <w:tab w:val="num" w:pos="2069"/>
        </w:tabs>
        <w:spacing w:before="120" w:after="120" w:line="240" w:lineRule="auto"/>
        <w:ind w:left="851" w:hanging="567"/>
        <w:jc w:val="both"/>
        <w:rPr>
          <w:rFonts w:ascii="Times New Roman" w:eastAsia="Times New Roman" w:hAnsi="Times New Roman" w:cs="Times New Roman"/>
          <w:bCs/>
          <w:lang w:eastAsia="hu-HU"/>
        </w:rPr>
      </w:pPr>
      <w:r w:rsidRPr="00DF75F8">
        <w:rPr>
          <w:rFonts w:ascii="Times New Roman" w:eastAsia="Times New Roman" w:hAnsi="Times New Roman" w:cs="Times New Roman"/>
          <w:bCs/>
          <w:lang w:eastAsia="hu-HU"/>
        </w:rPr>
        <w:t xml:space="preserve">Ellenőrző foglalkozás, írásbeli dolgozat </w:t>
      </w:r>
      <w:r w:rsidRPr="00DF75F8">
        <w:rPr>
          <w:rFonts w:ascii="Times New Roman" w:eastAsia="Times New Roman" w:hAnsi="Times New Roman" w:cs="Times New Roman"/>
          <w:bCs/>
          <w:i/>
          <w:lang w:eastAsia="hu-HU"/>
        </w:rPr>
        <w:t>(</w:t>
      </w:r>
      <w:r w:rsidRPr="00DF75F8">
        <w:rPr>
          <w:rFonts w:ascii="Times New Roman" w:eastAsia="Times New Roman" w:hAnsi="Times New Roman" w:cs="Times New Roman"/>
          <w:bCs/>
          <w:i/>
          <w:lang w:val="en-AU" w:eastAsia="hu-HU"/>
        </w:rPr>
        <w:t>Final test</w:t>
      </w:r>
      <w:r w:rsidRPr="00DF75F8">
        <w:rPr>
          <w:rFonts w:ascii="Times New Roman" w:eastAsia="Times New Roman" w:hAnsi="Times New Roman" w:cs="Times New Roman"/>
          <w:bCs/>
          <w:i/>
          <w:lang w:eastAsia="hu-HU"/>
        </w:rPr>
        <w:t>)</w:t>
      </w:r>
    </w:p>
    <w:p w:rsidR="00DF75F8" w:rsidRPr="00DF75F8" w:rsidRDefault="00DF75F8" w:rsidP="00C2057B">
      <w:pPr>
        <w:widowControl w:val="0"/>
        <w:numPr>
          <w:ilvl w:val="0"/>
          <w:numId w:val="86"/>
        </w:numPr>
        <w:tabs>
          <w:tab w:val="num" w:pos="360"/>
        </w:tabs>
        <w:spacing w:before="120" w:after="120" w:line="240" w:lineRule="auto"/>
        <w:ind w:left="426" w:hanging="142"/>
        <w:jc w:val="both"/>
        <w:rPr>
          <w:rFonts w:ascii="Times New Roman" w:eastAsia="Times New Roman" w:hAnsi="Times New Roman" w:cs="Times New Roman"/>
          <w:bCs/>
        </w:rPr>
      </w:pPr>
      <w:r w:rsidRPr="00DF75F8">
        <w:rPr>
          <w:rFonts w:ascii="Times New Roman" w:eastAsia="Times New Roman" w:hAnsi="Times New Roman" w:cs="Times New Roman"/>
          <w:b/>
          <w:bCs/>
        </w:rPr>
        <w:t xml:space="preserve">A tantárgy meghirdetésének gyakorisága/a tantervben történő félévi elhelyezkedése: </w:t>
      </w:r>
    </w:p>
    <w:p w:rsidR="00DF75F8" w:rsidRPr="00DF75F8" w:rsidRDefault="00DF75F8" w:rsidP="005B4AC4">
      <w:pPr>
        <w:widowControl w:val="0"/>
        <w:spacing w:before="120" w:after="120" w:line="240" w:lineRule="auto"/>
        <w:ind w:left="426"/>
        <w:jc w:val="both"/>
        <w:rPr>
          <w:rFonts w:ascii="Times New Roman" w:eastAsia="Times New Roman" w:hAnsi="Times New Roman" w:cs="Times New Roman"/>
          <w:bCs/>
        </w:rPr>
      </w:pPr>
      <w:r w:rsidRPr="00DF75F8">
        <w:rPr>
          <w:rFonts w:ascii="Times New Roman" w:eastAsia="Times New Roman" w:hAnsi="Times New Roman" w:cs="Times New Roman"/>
          <w:bCs/>
          <w:lang w:eastAsia="hu-HU"/>
        </w:rPr>
        <w:t>évente / 3. félév</w:t>
      </w:r>
      <w:r w:rsidRPr="00DF75F8">
        <w:rPr>
          <w:rFonts w:ascii="Times New Roman" w:eastAsia="Times New Roman" w:hAnsi="Times New Roman" w:cs="Times New Roman"/>
          <w:b/>
          <w:bCs/>
        </w:rPr>
        <w:t xml:space="preserve"> </w:t>
      </w:r>
    </w:p>
    <w:p w:rsidR="00DF75F8" w:rsidRPr="00DF75F8" w:rsidRDefault="00DF75F8" w:rsidP="00C2057B">
      <w:pPr>
        <w:widowControl w:val="0"/>
        <w:numPr>
          <w:ilvl w:val="0"/>
          <w:numId w:val="86"/>
        </w:numPr>
        <w:tabs>
          <w:tab w:val="num" w:pos="360"/>
        </w:tabs>
        <w:spacing w:before="120" w:after="120" w:line="240" w:lineRule="auto"/>
        <w:ind w:left="426" w:hanging="142"/>
        <w:jc w:val="both"/>
        <w:rPr>
          <w:rFonts w:ascii="Times New Roman" w:eastAsia="Times New Roman" w:hAnsi="Times New Roman" w:cs="Times New Roman"/>
          <w:bCs/>
        </w:rPr>
      </w:pPr>
      <w:r w:rsidRPr="00DF75F8">
        <w:rPr>
          <w:rFonts w:ascii="Times New Roman" w:eastAsia="Times New Roman" w:hAnsi="Times New Roman" w:cs="Times New Roman"/>
          <w:b/>
          <w:bCs/>
        </w:rPr>
        <w:t>A tanórákon való részvétel követelményei, az elfogadható hiányzások mértéke, a távolmaradás pótlásának lehetősége:</w:t>
      </w:r>
    </w:p>
    <w:p w:rsidR="00DF75F8" w:rsidRPr="00DF75F8" w:rsidRDefault="00DF75F8" w:rsidP="005B4AC4">
      <w:pPr>
        <w:widowControl w:val="0"/>
        <w:tabs>
          <w:tab w:val="num" w:pos="360"/>
        </w:tabs>
        <w:spacing w:before="120" w:after="120" w:line="240" w:lineRule="auto"/>
        <w:ind w:left="426"/>
        <w:jc w:val="both"/>
        <w:rPr>
          <w:rFonts w:ascii="Times New Roman" w:eastAsia="Times New Roman" w:hAnsi="Times New Roman" w:cs="Times New Roman"/>
          <w:bCs/>
          <w:lang w:eastAsia="hu-HU"/>
        </w:rPr>
      </w:pPr>
      <w:r w:rsidRPr="00DF75F8">
        <w:rPr>
          <w:rFonts w:ascii="Times New Roman" w:eastAsia="Times New Roman" w:hAnsi="Times New Roman" w:cs="Times New Roman"/>
          <w:bCs/>
          <w:lang w:eastAsia="hu-HU"/>
        </w:rPr>
        <w:t>A</w:t>
      </w:r>
      <w:r w:rsidRPr="00DF75F8">
        <w:rPr>
          <w:rFonts w:ascii="Times New Roman" w:hAnsi="Times New Roman" w:cs="Times New Roman"/>
        </w:rPr>
        <w:t xml:space="preserve"> </w:t>
      </w:r>
      <w:r w:rsidRPr="00DF75F8">
        <w:rPr>
          <w:rFonts w:ascii="Times New Roman" w:eastAsia="Times New Roman" w:hAnsi="Times New Roman" w:cs="Times New Roman"/>
          <w:bCs/>
          <w:lang w:eastAsia="hu-HU"/>
        </w:rPr>
        <w:t>hallgató köteles a foglalkozások legalább 80%-án részt venni. Amennyiben a hallgató az elfogadható hiányzások mértékét túllépi, a részvétel az oktatóval való egyeztetetés alapján meghatározott témában beadott, legalább elégségesre értékelt, házidolgozattal pótolható.</w:t>
      </w:r>
    </w:p>
    <w:p w:rsidR="00DF75F8" w:rsidRPr="00DF75F8" w:rsidRDefault="00DF75F8" w:rsidP="00C2057B">
      <w:pPr>
        <w:widowControl w:val="0"/>
        <w:numPr>
          <w:ilvl w:val="0"/>
          <w:numId w:val="86"/>
        </w:numPr>
        <w:tabs>
          <w:tab w:val="num" w:pos="360"/>
        </w:tabs>
        <w:spacing w:before="120" w:after="120" w:line="240" w:lineRule="auto"/>
        <w:ind w:left="426" w:hanging="142"/>
        <w:jc w:val="both"/>
        <w:rPr>
          <w:rFonts w:ascii="Times New Roman" w:eastAsia="Times New Roman" w:hAnsi="Times New Roman" w:cs="Times New Roman"/>
          <w:bCs/>
        </w:rPr>
      </w:pPr>
      <w:r w:rsidRPr="00DF75F8">
        <w:rPr>
          <w:rFonts w:ascii="Times New Roman" w:eastAsia="Times New Roman" w:hAnsi="Times New Roman" w:cs="Times New Roman"/>
          <w:b/>
        </w:rPr>
        <w:t>Félévközi feladatok, ismeretek ellenőrzésének rendje:</w:t>
      </w:r>
    </w:p>
    <w:p w:rsidR="00DF75F8" w:rsidRPr="00DF75F8" w:rsidRDefault="00DF75F8" w:rsidP="005B4AC4">
      <w:pPr>
        <w:widowControl w:val="0"/>
        <w:spacing w:before="120" w:after="120" w:line="240" w:lineRule="auto"/>
        <w:ind w:left="426"/>
        <w:jc w:val="both"/>
        <w:rPr>
          <w:rFonts w:ascii="Times New Roman" w:eastAsia="Times New Roman" w:hAnsi="Times New Roman" w:cs="Times New Roman"/>
          <w:lang w:eastAsia="hu-HU"/>
        </w:rPr>
      </w:pPr>
      <w:r w:rsidRPr="00DF75F8">
        <w:rPr>
          <w:rFonts w:ascii="Times New Roman" w:eastAsia="Times New Roman" w:hAnsi="Times New Roman" w:cs="Times New Roman"/>
          <w:lang w:eastAsia="hu-HU"/>
        </w:rPr>
        <w:t xml:space="preserve">A tantárgy elméleti anyagából egy darab zárthelyi dolgozat és a szemináriumokon </w:t>
      </w:r>
      <w:r w:rsidRPr="00DF75F8">
        <w:rPr>
          <w:rFonts w:ascii="Times New Roman" w:eastAsia="Times New Roman" w:hAnsi="Times New Roman" w:cs="Times New Roman"/>
          <w:bCs/>
          <w:lang w:eastAsia="hu-HU"/>
        </w:rPr>
        <w:t>egy kiselőadás megtartása, meghatározott témából</w:t>
      </w:r>
      <w:r w:rsidRPr="00DF75F8">
        <w:rPr>
          <w:rFonts w:ascii="Times New Roman" w:eastAsia="Times New Roman" w:hAnsi="Times New Roman" w:cs="Times New Roman"/>
          <w:lang w:eastAsia="hu-HU"/>
        </w:rPr>
        <w:t xml:space="preserve">. A zárthelyi dolgozatra és a kiselőadásra kapott érdemjegy számtani átlaga határozza meg az évközi értékelést. A zárthelyi dolgozat és a kiselőadás értékelése ötfokozatú skálán történik (51%-tól elégséges, 70%-tól közepes, 80%-tól jó, 90%-tól jeles). A zárthelyi dolgozatban esszéjellegű kérdések szerepelnek. A zárthelyi dolgozat témakörei a 12. pontban olvashatók. A félévközi feladatok pótlása, kijavítása a szorgalmi időszak végéig </w:t>
      </w:r>
      <w:r w:rsidRPr="00DF75F8">
        <w:rPr>
          <w:rFonts w:ascii="Times New Roman" w:eastAsia="Times New Roman" w:hAnsi="Times New Roman" w:cs="Times New Roman"/>
          <w:lang w:eastAsia="hu-HU"/>
        </w:rPr>
        <w:lastRenderedPageBreak/>
        <w:t>legfeljebb két alkalommal lehetséges, az oktatóval egyeztett időpontban.</w:t>
      </w:r>
    </w:p>
    <w:p w:rsidR="00DF75F8" w:rsidRPr="00DF75F8" w:rsidRDefault="00DF75F8" w:rsidP="00C2057B">
      <w:pPr>
        <w:widowControl w:val="0"/>
        <w:numPr>
          <w:ilvl w:val="0"/>
          <w:numId w:val="86"/>
        </w:numPr>
        <w:tabs>
          <w:tab w:val="num" w:pos="360"/>
        </w:tabs>
        <w:spacing w:before="120" w:after="120" w:line="240" w:lineRule="auto"/>
        <w:ind w:left="426" w:hanging="142"/>
        <w:jc w:val="both"/>
        <w:rPr>
          <w:rFonts w:ascii="Times New Roman" w:eastAsia="Times New Roman" w:hAnsi="Times New Roman" w:cs="Times New Roman"/>
          <w:b/>
        </w:rPr>
      </w:pPr>
      <w:r w:rsidRPr="00DF75F8">
        <w:rPr>
          <w:rFonts w:ascii="Times New Roman" w:eastAsia="Times New Roman" w:hAnsi="Times New Roman" w:cs="Times New Roman"/>
          <w:b/>
        </w:rPr>
        <w:t xml:space="preserve">Az értékelés, az aláírás és a kreditek megszerzésének pontos feltételei: </w:t>
      </w:r>
    </w:p>
    <w:p w:rsidR="00DF75F8" w:rsidRPr="00DF75F8" w:rsidRDefault="00DF75F8" w:rsidP="00C2057B">
      <w:pPr>
        <w:widowControl w:val="0"/>
        <w:numPr>
          <w:ilvl w:val="1"/>
          <w:numId w:val="86"/>
        </w:numPr>
        <w:tabs>
          <w:tab w:val="clear" w:pos="3977"/>
          <w:tab w:val="left" w:pos="709"/>
          <w:tab w:val="num" w:pos="824"/>
          <w:tab w:val="left" w:pos="993"/>
          <w:tab w:val="num" w:pos="2069"/>
        </w:tabs>
        <w:spacing w:before="120" w:after="120" w:line="240" w:lineRule="auto"/>
        <w:ind w:left="426" w:firstLine="0"/>
        <w:jc w:val="both"/>
        <w:rPr>
          <w:rFonts w:ascii="Times New Roman" w:eastAsia="Times New Roman" w:hAnsi="Times New Roman" w:cs="Times New Roman"/>
        </w:rPr>
      </w:pPr>
      <w:r w:rsidRPr="00DF75F8">
        <w:rPr>
          <w:rFonts w:ascii="Times New Roman" w:eastAsia="Times New Roman" w:hAnsi="Times New Roman" w:cs="Times New Roman"/>
          <w:b/>
        </w:rPr>
        <w:t>Az aláírás megszerzésének feltételei:</w:t>
      </w:r>
    </w:p>
    <w:p w:rsidR="00DF75F8" w:rsidRPr="00DF75F8" w:rsidRDefault="00DF75F8" w:rsidP="005B4AC4">
      <w:pPr>
        <w:widowControl w:val="0"/>
        <w:tabs>
          <w:tab w:val="left" w:pos="709"/>
          <w:tab w:val="left" w:pos="993"/>
        </w:tabs>
        <w:spacing w:before="120" w:after="120" w:line="240" w:lineRule="auto"/>
        <w:ind w:left="426"/>
        <w:jc w:val="both"/>
        <w:rPr>
          <w:rFonts w:ascii="Times New Roman" w:eastAsia="Times New Roman" w:hAnsi="Times New Roman" w:cs="Times New Roman"/>
          <w:lang w:eastAsia="hu-HU"/>
        </w:rPr>
      </w:pPr>
      <w:r w:rsidRPr="00DF75F8">
        <w:rPr>
          <w:rFonts w:ascii="Times New Roman" w:eastAsia="Times New Roman" w:hAnsi="Times New Roman" w:cs="Times New Roman"/>
          <w:lang w:eastAsia="hu-HU"/>
        </w:rPr>
        <w:t>Az aláírás megszerzésének feltétele a 14. pontban meghatározott arányú részvétel a foglalkozásokon és a 15. pontban meghatározott félévközi feladatok legalább elégséges teljesítése.</w:t>
      </w:r>
    </w:p>
    <w:p w:rsidR="00DF75F8" w:rsidRPr="00DF75F8" w:rsidRDefault="00DF75F8" w:rsidP="00C2057B">
      <w:pPr>
        <w:widowControl w:val="0"/>
        <w:numPr>
          <w:ilvl w:val="1"/>
          <w:numId w:val="86"/>
        </w:numPr>
        <w:tabs>
          <w:tab w:val="clear" w:pos="3977"/>
          <w:tab w:val="num" w:pos="824"/>
          <w:tab w:val="num" w:pos="858"/>
          <w:tab w:val="left" w:pos="993"/>
          <w:tab w:val="num" w:pos="2069"/>
        </w:tabs>
        <w:spacing w:before="120" w:after="120" w:line="240" w:lineRule="auto"/>
        <w:ind w:left="426" w:firstLine="0"/>
        <w:jc w:val="both"/>
        <w:rPr>
          <w:rFonts w:ascii="Times New Roman" w:eastAsia="Times New Roman" w:hAnsi="Times New Roman" w:cs="Times New Roman"/>
          <w:bCs/>
          <w:lang w:eastAsia="hu-HU"/>
        </w:rPr>
      </w:pPr>
      <w:r w:rsidRPr="00DF75F8">
        <w:rPr>
          <w:rFonts w:ascii="Times New Roman" w:eastAsia="Times New Roman" w:hAnsi="Times New Roman" w:cs="Times New Roman"/>
          <w:b/>
        </w:rPr>
        <w:t xml:space="preserve">Az értékelés: </w:t>
      </w:r>
      <w:r w:rsidRPr="00DF75F8">
        <w:rPr>
          <w:rFonts w:ascii="Times New Roman" w:eastAsia="Times New Roman" w:hAnsi="Times New Roman" w:cs="Times New Roman"/>
          <w:b/>
          <w:bCs/>
          <w:i/>
          <w:lang w:eastAsia="hu-HU"/>
        </w:rPr>
        <w:t>Évközi értékelés</w:t>
      </w:r>
      <w:r w:rsidRPr="00DF75F8">
        <w:rPr>
          <w:rFonts w:ascii="Times New Roman" w:eastAsia="Times New Roman" w:hAnsi="Times New Roman" w:cs="Times New Roman"/>
          <w:bCs/>
          <w:lang w:eastAsia="hu-HU"/>
        </w:rPr>
        <w:t xml:space="preserve"> (ötfokozatú) a 15. pontban meghatározottak szerint.</w:t>
      </w:r>
    </w:p>
    <w:p w:rsidR="00DF75F8" w:rsidRPr="00DF75F8" w:rsidRDefault="00DF75F8" w:rsidP="00C2057B">
      <w:pPr>
        <w:widowControl w:val="0"/>
        <w:numPr>
          <w:ilvl w:val="1"/>
          <w:numId w:val="86"/>
        </w:numPr>
        <w:tabs>
          <w:tab w:val="clear" w:pos="3977"/>
          <w:tab w:val="num" w:pos="824"/>
          <w:tab w:val="num" w:pos="858"/>
          <w:tab w:val="left" w:pos="993"/>
          <w:tab w:val="num" w:pos="2069"/>
        </w:tabs>
        <w:spacing w:before="120" w:after="120" w:line="240" w:lineRule="auto"/>
        <w:ind w:left="426" w:firstLine="0"/>
        <w:jc w:val="both"/>
        <w:rPr>
          <w:rFonts w:ascii="Times New Roman" w:eastAsia="Times New Roman" w:hAnsi="Times New Roman" w:cs="Times New Roman"/>
          <w:b/>
        </w:rPr>
      </w:pPr>
      <w:r w:rsidRPr="00DF75F8">
        <w:rPr>
          <w:rFonts w:ascii="Times New Roman" w:eastAsia="Times New Roman" w:hAnsi="Times New Roman" w:cs="Times New Roman"/>
          <w:b/>
        </w:rPr>
        <w:t xml:space="preserve">A kreditek megszerzésének feltételei: </w:t>
      </w:r>
    </w:p>
    <w:p w:rsidR="00DF75F8" w:rsidRPr="00DF75F8" w:rsidRDefault="00DF75F8" w:rsidP="005B4AC4">
      <w:pPr>
        <w:widowControl w:val="0"/>
        <w:tabs>
          <w:tab w:val="left" w:pos="993"/>
          <w:tab w:val="num" w:pos="2069"/>
        </w:tabs>
        <w:spacing w:before="120" w:after="120" w:line="240" w:lineRule="auto"/>
        <w:ind w:left="426"/>
        <w:jc w:val="both"/>
        <w:rPr>
          <w:rFonts w:ascii="Times New Roman" w:eastAsia="Times New Roman" w:hAnsi="Times New Roman" w:cs="Times New Roman"/>
        </w:rPr>
      </w:pPr>
      <w:r w:rsidRPr="00DF75F8">
        <w:rPr>
          <w:rFonts w:ascii="Times New Roman" w:eastAsia="Times New Roman" w:hAnsi="Times New Roman" w:cs="Times New Roman"/>
          <w:bCs/>
        </w:rPr>
        <w:t>A kreditek megszerzésének feltétele az aláírás megszerzése és a legalább elégséges évközi értékelés.</w:t>
      </w:r>
    </w:p>
    <w:p w:rsidR="00DF75F8" w:rsidRPr="00DF75F8" w:rsidRDefault="00DF75F8" w:rsidP="00C2057B">
      <w:pPr>
        <w:widowControl w:val="0"/>
        <w:numPr>
          <w:ilvl w:val="0"/>
          <w:numId w:val="86"/>
        </w:numPr>
        <w:tabs>
          <w:tab w:val="num" w:pos="360"/>
        </w:tabs>
        <w:spacing w:before="120" w:after="120" w:line="240" w:lineRule="auto"/>
        <w:ind w:left="426" w:hanging="142"/>
        <w:jc w:val="both"/>
        <w:rPr>
          <w:rFonts w:ascii="Times New Roman" w:eastAsia="Times New Roman" w:hAnsi="Times New Roman" w:cs="Times New Roman"/>
          <w:bCs/>
        </w:rPr>
      </w:pPr>
      <w:r w:rsidRPr="00DF75F8">
        <w:rPr>
          <w:rFonts w:ascii="Times New Roman" w:eastAsia="Times New Roman" w:hAnsi="Times New Roman" w:cs="Times New Roman"/>
          <w:b/>
          <w:bCs/>
        </w:rPr>
        <w:t>Irodalomjegyzék:</w:t>
      </w:r>
    </w:p>
    <w:p w:rsidR="00DF75F8" w:rsidRPr="005B4AC4" w:rsidRDefault="00DF75F8" w:rsidP="00C2057B">
      <w:pPr>
        <w:widowControl w:val="0"/>
        <w:numPr>
          <w:ilvl w:val="1"/>
          <w:numId w:val="86"/>
        </w:numPr>
        <w:tabs>
          <w:tab w:val="clear" w:pos="3977"/>
          <w:tab w:val="left" w:pos="567"/>
          <w:tab w:val="num" w:pos="824"/>
          <w:tab w:val="left" w:pos="851"/>
          <w:tab w:val="num" w:pos="2069"/>
        </w:tabs>
        <w:spacing w:before="120" w:after="120" w:line="240" w:lineRule="auto"/>
        <w:ind w:left="426" w:hanging="142"/>
        <w:jc w:val="both"/>
        <w:rPr>
          <w:rFonts w:ascii="Times New Roman" w:eastAsia="Times New Roman" w:hAnsi="Times New Roman" w:cs="Times New Roman"/>
          <w:bCs/>
          <w:highlight w:val="yellow"/>
        </w:rPr>
      </w:pPr>
      <w:r w:rsidRPr="005B4AC4">
        <w:rPr>
          <w:rFonts w:ascii="Times New Roman" w:eastAsia="Times New Roman" w:hAnsi="Times New Roman" w:cs="Times New Roman"/>
          <w:b/>
          <w:bCs/>
          <w:highlight w:val="yellow"/>
        </w:rPr>
        <w:t>Kötelező irodalom:</w:t>
      </w:r>
    </w:p>
    <w:p w:rsidR="00DF75F8" w:rsidRPr="005B4AC4" w:rsidRDefault="00DF75F8" w:rsidP="00C2057B">
      <w:pPr>
        <w:pStyle w:val="Listaszerbekezds"/>
        <w:widowControl w:val="0"/>
        <w:numPr>
          <w:ilvl w:val="0"/>
          <w:numId w:val="84"/>
        </w:numPr>
        <w:tabs>
          <w:tab w:val="left" w:pos="709"/>
          <w:tab w:val="left" w:pos="851"/>
        </w:tabs>
        <w:spacing w:after="0" w:line="240" w:lineRule="auto"/>
        <w:ind w:left="720"/>
        <w:jc w:val="both"/>
        <w:rPr>
          <w:rFonts w:ascii="Times New Roman" w:eastAsia="Times New Roman" w:hAnsi="Times New Roman" w:cs="Times New Roman"/>
          <w:bCs/>
          <w:highlight w:val="yellow"/>
        </w:rPr>
      </w:pPr>
      <w:r w:rsidRPr="005B4AC4">
        <w:rPr>
          <w:rFonts w:ascii="Times New Roman" w:eastAsia="Times New Roman" w:hAnsi="Times New Roman" w:cs="Times New Roman"/>
          <w:bCs/>
          <w:highlight w:val="yellow"/>
        </w:rPr>
        <w:t xml:space="preserve">Czuprák Ottó – Kovács Gábor: A szervezetvezetés elmélete: A közszolgálati szervezetek vezetésének elméleti alapjai. Dialóg Campus Kiadó, Budapest, 2017. ISBN: 9786155764424 </w:t>
      </w:r>
      <w:hyperlink r:id="rId9" w:history="1"/>
    </w:p>
    <w:p w:rsidR="00DF75F8" w:rsidRPr="00DF75F8" w:rsidRDefault="00DF75F8" w:rsidP="00C2057B">
      <w:pPr>
        <w:widowControl w:val="0"/>
        <w:numPr>
          <w:ilvl w:val="1"/>
          <w:numId w:val="86"/>
        </w:numPr>
        <w:tabs>
          <w:tab w:val="clear" w:pos="3977"/>
          <w:tab w:val="left" w:pos="567"/>
          <w:tab w:val="num" w:pos="824"/>
          <w:tab w:val="left" w:pos="851"/>
          <w:tab w:val="num" w:pos="2069"/>
        </w:tabs>
        <w:spacing w:before="120" w:after="120" w:line="240" w:lineRule="auto"/>
        <w:ind w:left="426" w:hanging="142"/>
        <w:jc w:val="both"/>
        <w:rPr>
          <w:rFonts w:ascii="Times New Roman" w:eastAsia="Times New Roman" w:hAnsi="Times New Roman" w:cs="Times New Roman"/>
          <w:b/>
          <w:bCs/>
        </w:rPr>
      </w:pPr>
      <w:r w:rsidRPr="00DF75F8">
        <w:rPr>
          <w:rFonts w:ascii="Times New Roman" w:eastAsia="Times New Roman" w:hAnsi="Times New Roman" w:cs="Times New Roman"/>
          <w:b/>
          <w:bCs/>
        </w:rPr>
        <w:t>Ajánlott irodalom:</w:t>
      </w:r>
    </w:p>
    <w:p w:rsidR="00DF75F8" w:rsidRPr="00DF75F8" w:rsidRDefault="00DF75F8" w:rsidP="00C2057B">
      <w:pPr>
        <w:pStyle w:val="Listaszerbekezds"/>
        <w:widowControl w:val="0"/>
        <w:numPr>
          <w:ilvl w:val="0"/>
          <w:numId w:val="85"/>
        </w:numPr>
        <w:tabs>
          <w:tab w:val="left" w:pos="709"/>
          <w:tab w:val="left" w:pos="851"/>
        </w:tabs>
        <w:spacing w:after="0" w:line="240" w:lineRule="auto"/>
        <w:ind w:left="720"/>
        <w:jc w:val="both"/>
        <w:rPr>
          <w:rFonts w:ascii="Times New Roman" w:eastAsia="Times New Roman" w:hAnsi="Times New Roman" w:cs="Times New Roman"/>
          <w:bCs/>
        </w:rPr>
      </w:pPr>
      <w:r w:rsidRPr="00DF75F8">
        <w:rPr>
          <w:rFonts w:ascii="Times New Roman" w:eastAsia="Times New Roman" w:hAnsi="Times New Roman" w:cs="Times New Roman"/>
          <w:bCs/>
        </w:rPr>
        <w:t>Bakacsi Gyula: Szervezeti magatartás és vezetés. Aula Kiadó, Budapest. 2004. ISBN: 9789639585492</w:t>
      </w:r>
    </w:p>
    <w:p w:rsidR="00DF75F8" w:rsidRPr="00DF75F8" w:rsidRDefault="00DF75F8" w:rsidP="00C2057B">
      <w:pPr>
        <w:pStyle w:val="Listaszerbekezds"/>
        <w:widowControl w:val="0"/>
        <w:numPr>
          <w:ilvl w:val="0"/>
          <w:numId w:val="85"/>
        </w:numPr>
        <w:tabs>
          <w:tab w:val="left" w:pos="709"/>
          <w:tab w:val="left" w:pos="851"/>
        </w:tabs>
        <w:spacing w:after="0" w:line="240" w:lineRule="auto"/>
        <w:ind w:left="720"/>
        <w:jc w:val="both"/>
        <w:rPr>
          <w:rFonts w:ascii="Times New Roman" w:eastAsia="Times New Roman" w:hAnsi="Times New Roman" w:cs="Times New Roman"/>
          <w:bCs/>
        </w:rPr>
      </w:pPr>
      <w:r w:rsidRPr="00DF75F8">
        <w:rPr>
          <w:rFonts w:ascii="Times New Roman" w:eastAsia="Times New Roman" w:hAnsi="Times New Roman" w:cs="Times New Roman"/>
          <w:bCs/>
        </w:rPr>
        <w:t xml:space="preserve">Czuprák Ottó: Katonai szervezetvezetés. Egyetemi jegyzet, Zrínyi Miklós Nemzetvédelmi </w:t>
      </w:r>
      <w:r w:rsidR="005B4AC4">
        <w:rPr>
          <w:rFonts w:ascii="Times New Roman" w:eastAsia="Times New Roman" w:hAnsi="Times New Roman" w:cs="Times New Roman"/>
          <w:bCs/>
        </w:rPr>
        <w:t xml:space="preserve">Egyetem, Budapest, 2004. </w:t>
      </w:r>
    </w:p>
    <w:p w:rsidR="00DF75F8" w:rsidRPr="00DF75F8" w:rsidRDefault="004D708E" w:rsidP="00C2057B">
      <w:pPr>
        <w:pStyle w:val="Listaszerbekezds"/>
        <w:widowControl w:val="0"/>
        <w:numPr>
          <w:ilvl w:val="0"/>
          <w:numId w:val="85"/>
        </w:numPr>
        <w:tabs>
          <w:tab w:val="left" w:pos="709"/>
          <w:tab w:val="left" w:pos="851"/>
        </w:tabs>
        <w:spacing w:after="0" w:line="240" w:lineRule="auto"/>
        <w:ind w:left="720"/>
        <w:jc w:val="both"/>
        <w:rPr>
          <w:rFonts w:ascii="Times New Roman" w:eastAsia="Times New Roman" w:hAnsi="Times New Roman" w:cs="Times New Roman"/>
          <w:bCs/>
        </w:rPr>
      </w:pPr>
      <w:hyperlink r:id="rId10" w:history="1">
        <w:r w:rsidR="00DF75F8" w:rsidRPr="005B4AC4">
          <w:rPr>
            <w:rFonts w:ascii="Times New Roman" w:eastAsia="Times New Roman" w:hAnsi="Times New Roman" w:cs="Times New Roman"/>
            <w:bCs/>
          </w:rPr>
          <w:t>Dobák Miklós</w:t>
        </w:r>
      </w:hyperlink>
      <w:r w:rsidR="00DF75F8" w:rsidRPr="00DF75F8">
        <w:rPr>
          <w:rFonts w:ascii="Times New Roman" w:eastAsia="Times New Roman" w:hAnsi="Times New Roman" w:cs="Times New Roman"/>
          <w:bCs/>
        </w:rPr>
        <w:t xml:space="preserve">: Szervezeti formák és vezetés. </w:t>
      </w:r>
      <w:hyperlink r:id="rId11" w:history="1">
        <w:r w:rsidR="00DF75F8" w:rsidRPr="005B4AC4">
          <w:rPr>
            <w:rFonts w:ascii="Times New Roman" w:eastAsia="Times New Roman" w:hAnsi="Times New Roman" w:cs="Times New Roman"/>
            <w:bCs/>
          </w:rPr>
          <w:t>Akadémiai</w:t>
        </w:r>
      </w:hyperlink>
      <w:r w:rsidR="00DF75F8" w:rsidRPr="00DF75F8">
        <w:rPr>
          <w:rFonts w:ascii="Times New Roman" w:eastAsia="Times New Roman" w:hAnsi="Times New Roman" w:cs="Times New Roman"/>
          <w:bCs/>
        </w:rPr>
        <w:t xml:space="preserve"> Kiadó, Budapest, 2008. ISBN: 9630583402</w:t>
      </w:r>
    </w:p>
    <w:p w:rsidR="00137B8A" w:rsidRDefault="00137B8A" w:rsidP="00DF75F8">
      <w:pPr>
        <w:widowControl w:val="0"/>
        <w:spacing w:before="120" w:after="120" w:line="240" w:lineRule="auto"/>
        <w:jc w:val="both"/>
        <w:rPr>
          <w:rFonts w:ascii="Times New Roman" w:eastAsia="Times New Roman" w:hAnsi="Times New Roman" w:cs="Times New Roman"/>
          <w:bCs/>
        </w:rPr>
      </w:pPr>
    </w:p>
    <w:p w:rsidR="00DF75F8" w:rsidRPr="00DF75F8" w:rsidRDefault="00DF75F8" w:rsidP="00137B8A">
      <w:pPr>
        <w:widowControl w:val="0"/>
        <w:spacing w:before="120" w:after="120" w:line="240" w:lineRule="auto"/>
        <w:ind w:firstLine="360"/>
        <w:jc w:val="both"/>
        <w:rPr>
          <w:rFonts w:ascii="Times New Roman" w:eastAsia="Times New Roman" w:hAnsi="Times New Roman" w:cs="Times New Roman"/>
          <w:bCs/>
        </w:rPr>
      </w:pPr>
      <w:r w:rsidRPr="00DF75F8">
        <w:rPr>
          <w:rFonts w:ascii="Times New Roman" w:eastAsia="Times New Roman" w:hAnsi="Times New Roman" w:cs="Times New Roman"/>
          <w:bCs/>
        </w:rPr>
        <w:t>Budapest, 2020. március 03.</w:t>
      </w:r>
    </w:p>
    <w:p w:rsidR="00DF75F8" w:rsidRPr="00DF75F8" w:rsidRDefault="00DF75F8" w:rsidP="00DF75F8">
      <w:pPr>
        <w:widowControl w:val="0"/>
        <w:spacing w:before="120" w:after="120" w:line="240" w:lineRule="auto"/>
        <w:jc w:val="both"/>
        <w:rPr>
          <w:rFonts w:ascii="Times New Roman" w:eastAsia="Times New Roman" w:hAnsi="Times New Roman" w:cs="Times New Roman"/>
          <w:bCs/>
        </w:rPr>
      </w:pPr>
    </w:p>
    <w:p w:rsidR="00DF75F8" w:rsidRPr="00DF75F8" w:rsidRDefault="00DF75F8" w:rsidP="00DF75F8">
      <w:pPr>
        <w:spacing w:after="0" w:line="240" w:lineRule="auto"/>
        <w:ind w:left="2835" w:firstLine="1134"/>
        <w:jc w:val="center"/>
        <w:rPr>
          <w:rFonts w:ascii="Times New Roman" w:eastAsia="Times New Roman" w:hAnsi="Times New Roman" w:cs="Times New Roman"/>
          <w:b/>
          <w:bCs/>
          <w:lang w:eastAsia="hu-HU"/>
        </w:rPr>
      </w:pPr>
      <w:r w:rsidRPr="00DF75F8">
        <w:rPr>
          <w:rFonts w:ascii="Times New Roman" w:eastAsia="Times New Roman" w:hAnsi="Times New Roman" w:cs="Times New Roman"/>
          <w:b/>
          <w:bCs/>
          <w:lang w:eastAsia="hu-HU"/>
        </w:rPr>
        <w:t>Dr. Ujházy László alezredes, PhD s. k.</w:t>
      </w:r>
    </w:p>
    <w:p w:rsidR="00DF75F8" w:rsidRPr="00DF75F8" w:rsidRDefault="00DF75F8" w:rsidP="00DF75F8">
      <w:pPr>
        <w:spacing w:after="0" w:line="240" w:lineRule="auto"/>
        <w:ind w:left="2835" w:firstLine="1134"/>
        <w:jc w:val="center"/>
        <w:rPr>
          <w:rFonts w:ascii="Times New Roman" w:eastAsia="Times New Roman" w:hAnsi="Times New Roman" w:cs="Times New Roman"/>
          <w:bCs/>
          <w:lang w:eastAsia="hu-HU"/>
        </w:rPr>
      </w:pPr>
      <w:r w:rsidRPr="00DF75F8">
        <w:rPr>
          <w:rFonts w:ascii="Times New Roman" w:eastAsia="Times New Roman" w:hAnsi="Times New Roman" w:cs="Times New Roman"/>
          <w:bCs/>
          <w:lang w:eastAsia="hu-HU"/>
        </w:rPr>
        <w:t>tanszékvezető, egyetemi docens</w:t>
      </w:r>
    </w:p>
    <w:p w:rsidR="008313D9" w:rsidRDefault="008313D9">
      <w:pPr>
        <w:spacing w:after="200" w:line="276" w:lineRule="auto"/>
        <w:rPr>
          <w:rFonts w:ascii="Times New Roman" w:hAnsi="Times New Roman" w:cs="Times New Roman"/>
          <w:sz w:val="24"/>
        </w:rPr>
      </w:pPr>
    </w:p>
    <w:p w:rsidR="00DF75F8" w:rsidRDefault="00DF75F8">
      <w:pPr>
        <w:spacing w:after="200" w:line="276" w:lineRule="auto"/>
        <w:rPr>
          <w:rFonts w:ascii="Times New Roman" w:hAnsi="Times New Roman" w:cs="Times New Roman"/>
          <w:sz w:val="24"/>
        </w:rPr>
      </w:pPr>
      <w:r>
        <w:rPr>
          <w:rFonts w:ascii="Times New Roman" w:hAnsi="Times New Roman" w:cs="Times New Roman"/>
          <w:sz w:val="24"/>
        </w:rPr>
        <w:br w:type="page"/>
      </w:r>
    </w:p>
    <w:tbl>
      <w:tblPr>
        <w:tblW w:w="9349" w:type="dxa"/>
        <w:tblInd w:w="113" w:type="dxa"/>
        <w:tblLook w:val="01E0" w:firstRow="1" w:lastRow="1" w:firstColumn="1" w:lastColumn="1" w:noHBand="0" w:noVBand="0"/>
      </w:tblPr>
      <w:tblGrid>
        <w:gridCol w:w="5132"/>
        <w:gridCol w:w="1620"/>
        <w:gridCol w:w="2597"/>
      </w:tblGrid>
      <w:tr w:rsidR="003A1562" w:rsidRPr="003A1562" w:rsidTr="003A1562">
        <w:tc>
          <w:tcPr>
            <w:tcW w:w="5132" w:type="dxa"/>
            <w:tcBorders>
              <w:bottom w:val="single" w:sz="4" w:space="0" w:color="auto"/>
            </w:tcBorders>
          </w:tcPr>
          <w:p w:rsidR="003A1562" w:rsidRPr="003A1562" w:rsidRDefault="003A1562" w:rsidP="003A1562">
            <w:pPr>
              <w:spacing w:after="0" w:line="240" w:lineRule="auto"/>
              <w:jc w:val="center"/>
              <w:rPr>
                <w:rFonts w:ascii="Times New Roman" w:eastAsia="Times New Roman" w:hAnsi="Times New Roman" w:cs="Times New Roman"/>
                <w:b/>
                <w:smallCaps/>
                <w:lang w:eastAsia="hu-HU"/>
              </w:rPr>
            </w:pPr>
            <w:r w:rsidRPr="003A1562">
              <w:rPr>
                <w:rFonts w:ascii="Times New Roman" w:eastAsia="Times New Roman" w:hAnsi="Times New Roman" w:cs="Times New Roman"/>
                <w:b/>
                <w:smallCaps/>
                <w:lang w:eastAsia="hu-HU"/>
              </w:rPr>
              <w:lastRenderedPageBreak/>
              <w:t>Nemzeti Közszolgálati Egyetem</w:t>
            </w:r>
          </w:p>
        </w:tc>
        <w:tc>
          <w:tcPr>
            <w:tcW w:w="1620" w:type="dxa"/>
          </w:tcPr>
          <w:p w:rsidR="003A1562" w:rsidRPr="003A1562" w:rsidRDefault="003A1562" w:rsidP="003A1562">
            <w:pPr>
              <w:spacing w:after="0" w:line="240" w:lineRule="auto"/>
              <w:jc w:val="both"/>
              <w:rPr>
                <w:rFonts w:ascii="Times New Roman" w:eastAsia="Times New Roman" w:hAnsi="Times New Roman" w:cs="Times New Roman"/>
                <w:lang w:eastAsia="hu-HU"/>
              </w:rPr>
            </w:pPr>
          </w:p>
        </w:tc>
        <w:tc>
          <w:tcPr>
            <w:tcW w:w="2597" w:type="dxa"/>
          </w:tcPr>
          <w:p w:rsidR="003A1562" w:rsidRPr="003A1562" w:rsidRDefault="003A1562" w:rsidP="003A1562">
            <w:pPr>
              <w:spacing w:after="0" w:line="240" w:lineRule="auto"/>
              <w:jc w:val="right"/>
              <w:rPr>
                <w:rFonts w:ascii="Times New Roman" w:eastAsia="Times New Roman" w:hAnsi="Times New Roman" w:cs="Times New Roman"/>
                <w:lang w:eastAsia="hu-HU"/>
              </w:rPr>
            </w:pPr>
          </w:p>
        </w:tc>
      </w:tr>
      <w:tr w:rsidR="003A1562" w:rsidRPr="003A1562" w:rsidTr="003A1562">
        <w:tc>
          <w:tcPr>
            <w:tcW w:w="5132" w:type="dxa"/>
            <w:tcBorders>
              <w:top w:val="single" w:sz="4" w:space="0" w:color="auto"/>
            </w:tcBorders>
          </w:tcPr>
          <w:p w:rsidR="003A1562" w:rsidRPr="003A1562" w:rsidRDefault="003A1562" w:rsidP="003A1562">
            <w:pPr>
              <w:spacing w:after="0" w:line="240" w:lineRule="auto"/>
              <w:jc w:val="center"/>
              <w:rPr>
                <w:rFonts w:ascii="Times New Roman" w:eastAsia="Times New Roman" w:hAnsi="Times New Roman" w:cs="Times New Roman"/>
                <w:b/>
                <w:lang w:eastAsia="hu-HU"/>
              </w:rPr>
            </w:pPr>
            <w:r w:rsidRPr="003A1562">
              <w:rPr>
                <w:rFonts w:ascii="Times New Roman" w:eastAsia="Times New Roman" w:hAnsi="Times New Roman" w:cs="Times New Roman"/>
                <w:b/>
                <w:noProof/>
                <w:lang w:eastAsia="hu-HU"/>
              </w:rPr>
              <w:t>Hadtudományi és Honvédtisztképző Kar</w:t>
            </w:r>
          </w:p>
        </w:tc>
        <w:tc>
          <w:tcPr>
            <w:tcW w:w="1620" w:type="dxa"/>
          </w:tcPr>
          <w:p w:rsidR="003A1562" w:rsidRPr="003A1562" w:rsidRDefault="003A1562" w:rsidP="003A1562">
            <w:pPr>
              <w:spacing w:after="0" w:line="240" w:lineRule="auto"/>
              <w:jc w:val="both"/>
              <w:rPr>
                <w:rFonts w:ascii="Times New Roman" w:eastAsia="Times New Roman" w:hAnsi="Times New Roman" w:cs="Times New Roman"/>
                <w:lang w:eastAsia="hu-HU"/>
              </w:rPr>
            </w:pPr>
          </w:p>
        </w:tc>
        <w:tc>
          <w:tcPr>
            <w:tcW w:w="2597" w:type="dxa"/>
          </w:tcPr>
          <w:p w:rsidR="003A1562" w:rsidRPr="003A1562" w:rsidRDefault="003A1562" w:rsidP="003A1562">
            <w:pPr>
              <w:spacing w:after="0" w:line="240" w:lineRule="auto"/>
              <w:jc w:val="both"/>
              <w:rPr>
                <w:rFonts w:ascii="Times New Roman" w:eastAsia="Times New Roman" w:hAnsi="Times New Roman" w:cs="Times New Roman"/>
                <w:lang w:eastAsia="hu-HU"/>
              </w:rPr>
            </w:pPr>
          </w:p>
        </w:tc>
      </w:tr>
    </w:tbl>
    <w:p w:rsidR="003A1562" w:rsidRPr="003A1562" w:rsidRDefault="003A1562" w:rsidP="003A1562">
      <w:pPr>
        <w:widowControl w:val="0"/>
        <w:spacing w:before="120" w:after="120" w:line="240" w:lineRule="auto"/>
        <w:ind w:left="426" w:hanging="142"/>
        <w:jc w:val="center"/>
        <w:rPr>
          <w:rFonts w:ascii="Times New Roman" w:eastAsia="Times New Roman" w:hAnsi="Times New Roman" w:cs="Times New Roman"/>
          <w:b/>
          <w:bCs/>
        </w:rPr>
      </w:pPr>
    </w:p>
    <w:p w:rsidR="003A1562" w:rsidRPr="003A1562" w:rsidRDefault="003A1562" w:rsidP="003A1562">
      <w:pPr>
        <w:widowControl w:val="0"/>
        <w:spacing w:before="120" w:after="120" w:line="240" w:lineRule="auto"/>
        <w:ind w:left="426" w:hanging="142"/>
        <w:jc w:val="center"/>
        <w:rPr>
          <w:rFonts w:ascii="Times New Roman" w:eastAsia="Times New Roman" w:hAnsi="Times New Roman" w:cs="Times New Roman"/>
          <w:b/>
          <w:bCs/>
        </w:rPr>
      </w:pPr>
      <w:r w:rsidRPr="003A1562">
        <w:rPr>
          <w:rFonts w:ascii="Times New Roman" w:eastAsia="Times New Roman" w:hAnsi="Times New Roman" w:cs="Times New Roman"/>
          <w:b/>
          <w:bCs/>
        </w:rPr>
        <w:t>TANTÁRGYI PROGRAM</w:t>
      </w:r>
    </w:p>
    <w:p w:rsidR="003A1562" w:rsidRPr="003A1562" w:rsidRDefault="003A1562" w:rsidP="00980876">
      <w:pPr>
        <w:widowControl w:val="0"/>
        <w:numPr>
          <w:ilvl w:val="0"/>
          <w:numId w:val="825"/>
        </w:numPr>
        <w:tabs>
          <w:tab w:val="num" w:pos="426"/>
        </w:tabs>
        <w:spacing w:before="120" w:after="120" w:line="240" w:lineRule="auto"/>
        <w:jc w:val="both"/>
        <w:rPr>
          <w:rFonts w:ascii="Times New Roman" w:eastAsia="Times New Roman" w:hAnsi="Times New Roman" w:cs="Times New Roman"/>
          <w:bCs/>
        </w:rPr>
      </w:pPr>
      <w:r w:rsidRPr="003A1562">
        <w:rPr>
          <w:rFonts w:ascii="Times New Roman" w:eastAsia="Times New Roman" w:hAnsi="Times New Roman" w:cs="Times New Roman"/>
          <w:b/>
          <w:bCs/>
        </w:rPr>
        <w:t xml:space="preserve">A tantárgy kódja: </w:t>
      </w:r>
      <w:r w:rsidRPr="003A1562">
        <w:rPr>
          <w:rFonts w:ascii="Times New Roman" w:eastAsia="Times New Roman" w:hAnsi="Times New Roman" w:cs="Times New Roman"/>
          <w:bCs/>
          <w:noProof/>
        </w:rPr>
        <w:t>HNBTTB03</w:t>
      </w:r>
    </w:p>
    <w:p w:rsidR="003A1562" w:rsidRPr="003A1562" w:rsidRDefault="003A1562" w:rsidP="00980876">
      <w:pPr>
        <w:widowControl w:val="0"/>
        <w:numPr>
          <w:ilvl w:val="0"/>
          <w:numId w:val="825"/>
        </w:numPr>
        <w:tabs>
          <w:tab w:val="num" w:pos="567"/>
          <w:tab w:val="num" w:pos="720"/>
        </w:tabs>
        <w:spacing w:before="120" w:after="120" w:line="240" w:lineRule="auto"/>
        <w:ind w:left="426" w:hanging="142"/>
        <w:jc w:val="both"/>
        <w:rPr>
          <w:rFonts w:ascii="Times New Roman" w:eastAsia="Times New Roman" w:hAnsi="Times New Roman" w:cs="Times New Roman"/>
          <w:b/>
          <w:bCs/>
          <w:lang w:val="en-GB"/>
        </w:rPr>
      </w:pPr>
      <w:r w:rsidRPr="003A1562">
        <w:rPr>
          <w:rFonts w:ascii="Times New Roman" w:eastAsia="Times New Roman" w:hAnsi="Times New Roman" w:cs="Times New Roman"/>
          <w:b/>
          <w:bCs/>
        </w:rPr>
        <w:t>A tantárgy megnevezése (magyarul):</w:t>
      </w:r>
      <w:r w:rsidRPr="003A1562">
        <w:rPr>
          <w:rFonts w:ascii="Times New Roman" w:eastAsia="Times New Roman" w:hAnsi="Times New Roman" w:cs="Times New Roman"/>
          <w:bCs/>
        </w:rPr>
        <w:t xml:space="preserve"> </w:t>
      </w:r>
      <w:r w:rsidRPr="003A1562">
        <w:rPr>
          <w:rFonts w:ascii="Times New Roman" w:eastAsia="Times New Roman" w:hAnsi="Times New Roman" w:cs="Times New Roman"/>
          <w:bCs/>
          <w:noProof/>
        </w:rPr>
        <w:t>Nemzetközi politika és biztonság</w:t>
      </w:r>
    </w:p>
    <w:p w:rsidR="003A1562" w:rsidRPr="003A1562" w:rsidRDefault="003A1562" w:rsidP="00980876">
      <w:pPr>
        <w:widowControl w:val="0"/>
        <w:numPr>
          <w:ilvl w:val="0"/>
          <w:numId w:val="825"/>
        </w:numPr>
        <w:tabs>
          <w:tab w:val="num" w:pos="567"/>
          <w:tab w:val="num" w:pos="720"/>
        </w:tabs>
        <w:spacing w:before="120" w:after="120" w:line="240" w:lineRule="auto"/>
        <w:ind w:left="426" w:hanging="142"/>
        <w:jc w:val="both"/>
        <w:rPr>
          <w:rFonts w:ascii="Times New Roman" w:eastAsia="Times New Roman" w:hAnsi="Times New Roman" w:cs="Times New Roman"/>
          <w:b/>
          <w:bCs/>
          <w:lang w:val="en-GB"/>
        </w:rPr>
      </w:pPr>
      <w:r w:rsidRPr="003A1562">
        <w:rPr>
          <w:rFonts w:ascii="Times New Roman" w:eastAsia="Times New Roman" w:hAnsi="Times New Roman" w:cs="Times New Roman"/>
          <w:b/>
          <w:bCs/>
        </w:rPr>
        <w:t xml:space="preserve">A tantárgy megnevezése (angolul): </w:t>
      </w:r>
      <w:r w:rsidRPr="003A1562">
        <w:rPr>
          <w:rFonts w:ascii="Times New Roman" w:eastAsia="Times New Roman" w:hAnsi="Times New Roman" w:cs="Times New Roman"/>
          <w:bCs/>
          <w:noProof/>
        </w:rPr>
        <w:t>International Politics and Security</w:t>
      </w:r>
    </w:p>
    <w:p w:rsidR="003A1562" w:rsidRPr="003A1562" w:rsidRDefault="003A1562" w:rsidP="00980876">
      <w:pPr>
        <w:widowControl w:val="0"/>
        <w:numPr>
          <w:ilvl w:val="0"/>
          <w:numId w:val="825"/>
        </w:numPr>
        <w:tabs>
          <w:tab w:val="num" w:pos="567"/>
          <w:tab w:val="num" w:pos="720"/>
        </w:tabs>
        <w:spacing w:before="120" w:after="120" w:line="240" w:lineRule="auto"/>
        <w:ind w:left="426" w:hanging="142"/>
        <w:jc w:val="both"/>
        <w:rPr>
          <w:rFonts w:ascii="Times New Roman" w:eastAsia="Times New Roman" w:hAnsi="Times New Roman" w:cs="Times New Roman"/>
          <w:b/>
          <w:bCs/>
        </w:rPr>
      </w:pPr>
      <w:r w:rsidRPr="003A1562">
        <w:rPr>
          <w:rFonts w:ascii="Times New Roman" w:eastAsia="Times New Roman" w:hAnsi="Times New Roman" w:cs="Times New Roman"/>
          <w:b/>
          <w:bCs/>
        </w:rPr>
        <w:t xml:space="preserve">Kreditérték és képzési karakter: </w:t>
      </w:r>
    </w:p>
    <w:p w:rsidR="003A1562" w:rsidRPr="003A1562" w:rsidRDefault="003A1562" w:rsidP="00980876">
      <w:pPr>
        <w:widowControl w:val="0"/>
        <w:numPr>
          <w:ilvl w:val="1"/>
          <w:numId w:val="825"/>
        </w:numPr>
        <w:spacing w:before="120" w:after="120" w:line="240" w:lineRule="auto"/>
        <w:ind w:left="993" w:hanging="426"/>
        <w:contextualSpacing/>
        <w:jc w:val="both"/>
        <w:rPr>
          <w:rFonts w:ascii="Times New Roman" w:eastAsia="Times New Roman" w:hAnsi="Times New Roman" w:cs="Times New Roman"/>
          <w:b/>
          <w:bCs/>
        </w:rPr>
      </w:pPr>
      <w:r w:rsidRPr="003A1562">
        <w:rPr>
          <w:rFonts w:ascii="Times New Roman" w:eastAsia="Times New Roman" w:hAnsi="Times New Roman" w:cs="Times New Roman"/>
          <w:bCs/>
          <w:noProof/>
        </w:rPr>
        <w:t>2</w:t>
      </w:r>
      <w:r w:rsidRPr="003A1562">
        <w:rPr>
          <w:rFonts w:ascii="Times New Roman" w:eastAsia="Times New Roman" w:hAnsi="Times New Roman" w:cs="Times New Roman"/>
          <w:bCs/>
        </w:rPr>
        <w:t xml:space="preserve"> kredit</w:t>
      </w:r>
    </w:p>
    <w:p w:rsidR="003A1562" w:rsidRPr="003A1562" w:rsidRDefault="003A1562" w:rsidP="00980876">
      <w:pPr>
        <w:widowControl w:val="0"/>
        <w:numPr>
          <w:ilvl w:val="1"/>
          <w:numId w:val="825"/>
        </w:numPr>
        <w:spacing w:before="120" w:after="120" w:line="240" w:lineRule="auto"/>
        <w:ind w:left="993" w:hanging="426"/>
        <w:contextualSpacing/>
        <w:jc w:val="both"/>
        <w:rPr>
          <w:rFonts w:ascii="Times New Roman" w:eastAsia="Times New Roman" w:hAnsi="Times New Roman" w:cs="Times New Roman"/>
          <w:b/>
          <w:bCs/>
        </w:rPr>
      </w:pPr>
      <w:r w:rsidRPr="003A1562">
        <w:rPr>
          <w:rFonts w:ascii="Times New Roman" w:eastAsia="Times New Roman" w:hAnsi="Times New Roman" w:cs="Times New Roman"/>
          <w:bCs/>
        </w:rPr>
        <w:t xml:space="preserve">a tantárgy elméleti vagy gyakorlati jellegének mértéke: </w:t>
      </w:r>
      <w:r w:rsidRPr="003A1562">
        <w:rPr>
          <w:rFonts w:ascii="Times New Roman" w:eastAsia="Times New Roman" w:hAnsi="Times New Roman" w:cs="Times New Roman"/>
          <w:bCs/>
          <w:noProof/>
        </w:rPr>
        <w:t>0</w:t>
      </w:r>
      <w:r w:rsidRPr="003A1562">
        <w:rPr>
          <w:rFonts w:ascii="Times New Roman" w:eastAsia="Times New Roman" w:hAnsi="Times New Roman" w:cs="Times New Roman"/>
          <w:bCs/>
        </w:rPr>
        <w:t xml:space="preserve">% gyakorlat, </w:t>
      </w:r>
      <w:r w:rsidRPr="003A1562">
        <w:rPr>
          <w:rFonts w:ascii="Times New Roman" w:eastAsia="Times New Roman" w:hAnsi="Times New Roman" w:cs="Times New Roman"/>
          <w:bCs/>
          <w:noProof/>
        </w:rPr>
        <w:t>100</w:t>
      </w:r>
      <w:r w:rsidRPr="003A1562">
        <w:rPr>
          <w:rFonts w:ascii="Times New Roman" w:eastAsia="Times New Roman" w:hAnsi="Times New Roman" w:cs="Times New Roman"/>
          <w:bCs/>
        </w:rPr>
        <w:t>% elmélet</w:t>
      </w:r>
    </w:p>
    <w:p w:rsidR="003A1562" w:rsidRPr="003A1562" w:rsidRDefault="003A1562" w:rsidP="00980876">
      <w:pPr>
        <w:widowControl w:val="0"/>
        <w:numPr>
          <w:ilvl w:val="0"/>
          <w:numId w:val="825"/>
        </w:numPr>
        <w:tabs>
          <w:tab w:val="num" w:pos="720"/>
        </w:tabs>
        <w:spacing w:before="120" w:after="120" w:line="240" w:lineRule="auto"/>
        <w:ind w:left="426" w:hanging="142"/>
        <w:jc w:val="both"/>
        <w:rPr>
          <w:rFonts w:ascii="Times New Roman" w:eastAsia="Times New Roman" w:hAnsi="Times New Roman" w:cs="Times New Roman"/>
          <w:bCs/>
          <w:sz w:val="20"/>
        </w:rPr>
      </w:pPr>
      <w:r w:rsidRPr="003A1562">
        <w:rPr>
          <w:rFonts w:ascii="Times New Roman" w:eastAsia="Times New Roman" w:hAnsi="Times New Roman" w:cs="Times New Roman"/>
          <w:b/>
          <w:bCs/>
        </w:rPr>
        <w:t>A szak(ok), szakirányok/specializációk megnevezése (ahol oktatják):</w:t>
      </w:r>
      <w:r w:rsidRPr="003A1562">
        <w:rPr>
          <w:rFonts w:ascii="Times New Roman" w:eastAsia="Times New Roman" w:hAnsi="Times New Roman" w:cs="Times New Roman"/>
          <w:bCs/>
        </w:rPr>
        <w:t xml:space="preserve"> </w:t>
      </w:r>
      <w:r w:rsidRPr="003A1562">
        <w:rPr>
          <w:rFonts w:ascii="Times New Roman" w:eastAsia="Calibri" w:hAnsi="Times New Roman" w:cs="Times New Roman"/>
          <w:bCs/>
          <w:szCs w:val="24"/>
        </w:rPr>
        <w:t>Minden államtudományi képzési területhez tartozó alapképzési szakon nappali és levelező munkarendben</w:t>
      </w:r>
    </w:p>
    <w:p w:rsidR="003A1562" w:rsidRPr="003A1562" w:rsidRDefault="003A1562" w:rsidP="00980876">
      <w:pPr>
        <w:widowControl w:val="0"/>
        <w:numPr>
          <w:ilvl w:val="0"/>
          <w:numId w:val="825"/>
        </w:numPr>
        <w:tabs>
          <w:tab w:val="num" w:pos="567"/>
          <w:tab w:val="num" w:pos="720"/>
        </w:tabs>
        <w:spacing w:before="120" w:after="120" w:line="240" w:lineRule="auto"/>
        <w:ind w:left="426" w:hanging="142"/>
        <w:jc w:val="both"/>
        <w:rPr>
          <w:rFonts w:ascii="Times New Roman" w:eastAsia="Times New Roman" w:hAnsi="Times New Roman" w:cs="Times New Roman"/>
          <w:bCs/>
        </w:rPr>
      </w:pPr>
      <w:r w:rsidRPr="003A1562">
        <w:rPr>
          <w:rFonts w:ascii="Times New Roman" w:eastAsia="Times New Roman" w:hAnsi="Times New Roman" w:cs="Times New Roman"/>
          <w:b/>
          <w:bCs/>
        </w:rPr>
        <w:t xml:space="preserve">Az oktatásért felelős oktatási szervezeti egység megnevezése: </w:t>
      </w:r>
      <w:r w:rsidRPr="003A1562">
        <w:rPr>
          <w:rFonts w:ascii="Times New Roman" w:eastAsia="Times New Roman" w:hAnsi="Times New Roman" w:cs="Times New Roman"/>
          <w:bCs/>
          <w:noProof/>
        </w:rPr>
        <w:t>Hadtudományi és Honvédtisztképző Kar</w:t>
      </w:r>
      <w:r w:rsidRPr="003A1562">
        <w:rPr>
          <w:rFonts w:ascii="Times New Roman" w:eastAsia="Times New Roman" w:hAnsi="Times New Roman" w:cs="Times New Roman"/>
          <w:bCs/>
        </w:rPr>
        <w:t xml:space="preserve">, </w:t>
      </w:r>
      <w:r w:rsidRPr="003A1562">
        <w:rPr>
          <w:rFonts w:ascii="Times New Roman" w:eastAsia="Times New Roman" w:hAnsi="Times New Roman" w:cs="Times New Roman"/>
          <w:bCs/>
          <w:noProof/>
        </w:rPr>
        <w:t>Nemzetközi Biztonsági Tanulmányok Tanszék</w:t>
      </w:r>
    </w:p>
    <w:p w:rsidR="003A1562" w:rsidRPr="003A1562" w:rsidRDefault="003A1562" w:rsidP="00980876">
      <w:pPr>
        <w:widowControl w:val="0"/>
        <w:numPr>
          <w:ilvl w:val="0"/>
          <w:numId w:val="825"/>
        </w:numPr>
        <w:tabs>
          <w:tab w:val="num" w:pos="567"/>
          <w:tab w:val="num" w:pos="720"/>
        </w:tabs>
        <w:spacing w:before="120" w:after="120" w:line="240" w:lineRule="auto"/>
        <w:ind w:left="426" w:hanging="142"/>
        <w:jc w:val="both"/>
        <w:rPr>
          <w:rFonts w:ascii="Times New Roman" w:eastAsia="Times New Roman" w:hAnsi="Times New Roman" w:cs="Times New Roman"/>
          <w:bCs/>
        </w:rPr>
      </w:pPr>
      <w:r w:rsidRPr="003A1562">
        <w:rPr>
          <w:rFonts w:ascii="Times New Roman" w:eastAsia="Times New Roman" w:hAnsi="Times New Roman" w:cs="Times New Roman"/>
          <w:b/>
          <w:bCs/>
        </w:rPr>
        <w:t>A tantárgyfelelős oktató neve, beosztása, tudományos fokozata:</w:t>
      </w:r>
      <w:r w:rsidRPr="003A1562">
        <w:rPr>
          <w:rFonts w:ascii="Times New Roman" w:eastAsia="Times New Roman" w:hAnsi="Times New Roman" w:cs="Times New Roman"/>
          <w:bCs/>
        </w:rPr>
        <w:t xml:space="preserve"> </w:t>
      </w:r>
      <w:r w:rsidRPr="003A1562">
        <w:rPr>
          <w:rFonts w:ascii="Times New Roman" w:eastAsia="Times New Roman" w:hAnsi="Times New Roman" w:cs="Times New Roman"/>
          <w:bCs/>
          <w:noProof/>
        </w:rPr>
        <w:t>Dr. Remek Éva</w:t>
      </w:r>
      <w:r w:rsidRPr="003A1562">
        <w:rPr>
          <w:rFonts w:ascii="Times New Roman" w:eastAsia="Times New Roman" w:hAnsi="Times New Roman" w:cs="Times New Roman"/>
          <w:bCs/>
        </w:rPr>
        <w:t xml:space="preserve">, </w:t>
      </w:r>
      <w:r w:rsidRPr="003A1562">
        <w:rPr>
          <w:rFonts w:ascii="Times New Roman" w:eastAsia="Times New Roman" w:hAnsi="Times New Roman" w:cs="Times New Roman"/>
          <w:bCs/>
          <w:noProof/>
        </w:rPr>
        <w:t>PhD</w:t>
      </w:r>
      <w:r w:rsidRPr="003A1562">
        <w:rPr>
          <w:rFonts w:ascii="Times New Roman" w:eastAsia="Times New Roman" w:hAnsi="Times New Roman" w:cs="Times New Roman"/>
          <w:bCs/>
        </w:rPr>
        <w:t xml:space="preserve">, </w:t>
      </w:r>
      <w:r w:rsidRPr="003A1562">
        <w:rPr>
          <w:rFonts w:ascii="Times New Roman" w:eastAsia="Times New Roman" w:hAnsi="Times New Roman" w:cs="Times New Roman"/>
          <w:bCs/>
          <w:noProof/>
        </w:rPr>
        <w:t>egyetemi docens</w:t>
      </w:r>
    </w:p>
    <w:p w:rsidR="003A1562" w:rsidRPr="003A1562" w:rsidRDefault="003A1562" w:rsidP="00980876">
      <w:pPr>
        <w:widowControl w:val="0"/>
        <w:numPr>
          <w:ilvl w:val="0"/>
          <w:numId w:val="825"/>
        </w:numPr>
        <w:tabs>
          <w:tab w:val="num" w:pos="720"/>
        </w:tabs>
        <w:spacing w:before="120" w:after="120" w:line="240" w:lineRule="auto"/>
        <w:ind w:left="426" w:hanging="142"/>
        <w:jc w:val="both"/>
        <w:rPr>
          <w:rFonts w:ascii="Times New Roman" w:eastAsia="Times New Roman" w:hAnsi="Times New Roman" w:cs="Times New Roman"/>
          <w:bCs/>
        </w:rPr>
      </w:pPr>
      <w:r w:rsidRPr="003A1562">
        <w:rPr>
          <w:rFonts w:ascii="Times New Roman" w:eastAsia="Times New Roman" w:hAnsi="Times New Roman" w:cs="Times New Roman"/>
          <w:b/>
          <w:bCs/>
        </w:rPr>
        <w:t>A tanórák száma és típusa</w:t>
      </w:r>
    </w:p>
    <w:p w:rsidR="003A1562" w:rsidRPr="003A1562" w:rsidRDefault="003A1562" w:rsidP="00980876">
      <w:pPr>
        <w:widowControl w:val="0"/>
        <w:numPr>
          <w:ilvl w:val="1"/>
          <w:numId w:val="825"/>
        </w:numPr>
        <w:tabs>
          <w:tab w:val="num" w:pos="2069"/>
          <w:tab w:val="num" w:pos="3977"/>
        </w:tabs>
        <w:spacing w:before="120" w:after="120" w:line="240" w:lineRule="auto"/>
        <w:ind w:left="851" w:hanging="425"/>
        <w:jc w:val="both"/>
        <w:rPr>
          <w:rFonts w:ascii="Times New Roman" w:eastAsia="Times New Roman" w:hAnsi="Times New Roman" w:cs="Times New Roman"/>
          <w:bCs/>
        </w:rPr>
      </w:pPr>
      <w:r w:rsidRPr="003A1562">
        <w:rPr>
          <w:rFonts w:ascii="Times New Roman" w:eastAsia="Times New Roman" w:hAnsi="Times New Roman" w:cs="Times New Roman"/>
          <w:bCs/>
        </w:rPr>
        <w:t>össz óraszám/félév:</w:t>
      </w:r>
    </w:p>
    <w:p w:rsidR="003A1562" w:rsidRPr="003A1562" w:rsidRDefault="003A1562" w:rsidP="00980876">
      <w:pPr>
        <w:widowControl w:val="0"/>
        <w:numPr>
          <w:ilvl w:val="2"/>
          <w:numId w:val="825"/>
        </w:numPr>
        <w:tabs>
          <w:tab w:val="num" w:pos="1134"/>
          <w:tab w:val="num" w:pos="1800"/>
        </w:tabs>
        <w:spacing w:before="120" w:after="120" w:line="240" w:lineRule="auto"/>
        <w:ind w:left="851" w:hanging="425"/>
        <w:jc w:val="both"/>
        <w:rPr>
          <w:rFonts w:ascii="Times New Roman" w:eastAsia="Times New Roman" w:hAnsi="Times New Roman" w:cs="Times New Roman"/>
          <w:bCs/>
        </w:rPr>
      </w:pPr>
      <w:r w:rsidRPr="003A1562">
        <w:rPr>
          <w:rFonts w:ascii="Times New Roman" w:eastAsia="Times New Roman" w:hAnsi="Times New Roman" w:cs="Times New Roman"/>
          <w:bCs/>
        </w:rPr>
        <w:t xml:space="preserve">nappali munkarend: </w:t>
      </w:r>
      <w:r w:rsidRPr="003A1562">
        <w:rPr>
          <w:rFonts w:ascii="Times New Roman" w:eastAsia="Times New Roman" w:hAnsi="Times New Roman" w:cs="Times New Roman"/>
          <w:bCs/>
          <w:noProof/>
        </w:rPr>
        <w:t>28</w:t>
      </w:r>
      <w:r w:rsidRPr="003A1562">
        <w:rPr>
          <w:rFonts w:ascii="Times New Roman" w:eastAsia="Times New Roman" w:hAnsi="Times New Roman" w:cs="Times New Roman"/>
          <w:bCs/>
        </w:rPr>
        <w:t xml:space="preserve"> (</w:t>
      </w:r>
      <w:r w:rsidRPr="003A1562">
        <w:rPr>
          <w:rFonts w:ascii="Times New Roman" w:eastAsia="Times New Roman" w:hAnsi="Times New Roman" w:cs="Times New Roman"/>
          <w:bCs/>
          <w:noProof/>
        </w:rPr>
        <w:t>28</w:t>
      </w:r>
      <w:r w:rsidRPr="003A1562">
        <w:rPr>
          <w:rFonts w:ascii="Times New Roman" w:eastAsia="Times New Roman" w:hAnsi="Times New Roman" w:cs="Times New Roman"/>
          <w:bCs/>
        </w:rPr>
        <w:t xml:space="preserve"> EA + </w:t>
      </w:r>
      <w:r w:rsidRPr="003A1562">
        <w:rPr>
          <w:rFonts w:ascii="Times New Roman" w:eastAsia="Times New Roman" w:hAnsi="Times New Roman" w:cs="Times New Roman"/>
          <w:bCs/>
          <w:noProof/>
        </w:rPr>
        <w:t>0</w:t>
      </w:r>
      <w:r w:rsidRPr="003A1562">
        <w:rPr>
          <w:rFonts w:ascii="Times New Roman" w:eastAsia="Times New Roman" w:hAnsi="Times New Roman" w:cs="Times New Roman"/>
          <w:bCs/>
        </w:rPr>
        <w:t xml:space="preserve"> GY)</w:t>
      </w:r>
    </w:p>
    <w:p w:rsidR="003A1562" w:rsidRPr="003A1562" w:rsidRDefault="003A1562" w:rsidP="00980876">
      <w:pPr>
        <w:widowControl w:val="0"/>
        <w:numPr>
          <w:ilvl w:val="2"/>
          <w:numId w:val="825"/>
        </w:numPr>
        <w:tabs>
          <w:tab w:val="num" w:pos="1134"/>
          <w:tab w:val="num" w:pos="1800"/>
        </w:tabs>
        <w:spacing w:before="120" w:after="120" w:line="240" w:lineRule="auto"/>
        <w:ind w:left="851" w:hanging="425"/>
        <w:jc w:val="both"/>
        <w:rPr>
          <w:rFonts w:ascii="Times New Roman" w:eastAsia="Times New Roman" w:hAnsi="Times New Roman" w:cs="Times New Roman"/>
          <w:bCs/>
        </w:rPr>
      </w:pPr>
      <w:r w:rsidRPr="003A1562">
        <w:rPr>
          <w:rFonts w:ascii="Times New Roman" w:eastAsia="Times New Roman" w:hAnsi="Times New Roman" w:cs="Times New Roman"/>
          <w:bCs/>
        </w:rPr>
        <w:t xml:space="preserve">levelező munkarend: </w:t>
      </w:r>
      <w:r w:rsidRPr="003A1562">
        <w:rPr>
          <w:rFonts w:ascii="Times New Roman" w:eastAsia="Times New Roman" w:hAnsi="Times New Roman" w:cs="Times New Roman"/>
          <w:bCs/>
          <w:noProof/>
        </w:rPr>
        <w:t>8</w:t>
      </w:r>
      <w:r w:rsidRPr="003A1562">
        <w:rPr>
          <w:rFonts w:ascii="Times New Roman" w:eastAsia="Times New Roman" w:hAnsi="Times New Roman" w:cs="Times New Roman"/>
          <w:bCs/>
        </w:rPr>
        <w:t xml:space="preserve"> (</w:t>
      </w:r>
      <w:r w:rsidRPr="003A1562">
        <w:rPr>
          <w:rFonts w:ascii="Times New Roman" w:eastAsia="Times New Roman" w:hAnsi="Times New Roman" w:cs="Times New Roman"/>
          <w:bCs/>
          <w:noProof/>
        </w:rPr>
        <w:t>8</w:t>
      </w:r>
      <w:r w:rsidRPr="003A1562">
        <w:rPr>
          <w:rFonts w:ascii="Times New Roman" w:eastAsia="Times New Roman" w:hAnsi="Times New Roman" w:cs="Times New Roman"/>
          <w:bCs/>
        </w:rPr>
        <w:t xml:space="preserve"> EA + </w:t>
      </w:r>
      <w:r w:rsidRPr="003A1562">
        <w:rPr>
          <w:rFonts w:ascii="Times New Roman" w:eastAsia="Times New Roman" w:hAnsi="Times New Roman" w:cs="Times New Roman"/>
          <w:bCs/>
          <w:noProof/>
        </w:rPr>
        <w:t>0</w:t>
      </w:r>
      <w:r w:rsidRPr="003A1562">
        <w:rPr>
          <w:rFonts w:ascii="Times New Roman" w:eastAsia="Times New Roman" w:hAnsi="Times New Roman" w:cs="Times New Roman"/>
          <w:bCs/>
        </w:rPr>
        <w:t xml:space="preserve"> GY)</w:t>
      </w:r>
    </w:p>
    <w:p w:rsidR="003A1562" w:rsidRPr="003A1562" w:rsidRDefault="003A1562" w:rsidP="00980876">
      <w:pPr>
        <w:widowControl w:val="0"/>
        <w:numPr>
          <w:ilvl w:val="1"/>
          <w:numId w:val="825"/>
        </w:numPr>
        <w:tabs>
          <w:tab w:val="num" w:pos="2069"/>
          <w:tab w:val="num" w:pos="3977"/>
        </w:tabs>
        <w:spacing w:before="120" w:after="120" w:line="240" w:lineRule="auto"/>
        <w:ind w:left="851" w:hanging="425"/>
        <w:jc w:val="both"/>
        <w:rPr>
          <w:rFonts w:ascii="Times New Roman" w:eastAsia="Times New Roman" w:hAnsi="Times New Roman" w:cs="Times New Roman"/>
          <w:bCs/>
        </w:rPr>
      </w:pPr>
      <w:r w:rsidRPr="003A1562">
        <w:rPr>
          <w:rFonts w:ascii="Times New Roman" w:eastAsia="Times New Roman" w:hAnsi="Times New Roman" w:cs="Times New Roman"/>
          <w:bCs/>
        </w:rPr>
        <w:t xml:space="preserve">heti óraszám - nappali munkarend: </w:t>
      </w:r>
      <w:r w:rsidRPr="003A1562">
        <w:rPr>
          <w:rFonts w:ascii="Times New Roman" w:eastAsia="Times New Roman" w:hAnsi="Times New Roman" w:cs="Times New Roman"/>
          <w:bCs/>
          <w:noProof/>
        </w:rPr>
        <w:t>2</w:t>
      </w:r>
      <w:r w:rsidRPr="003A1562">
        <w:rPr>
          <w:rFonts w:ascii="Times New Roman" w:eastAsia="Times New Roman" w:hAnsi="Times New Roman" w:cs="Times New Roman"/>
          <w:bCs/>
        </w:rPr>
        <w:t xml:space="preserve"> (</w:t>
      </w:r>
      <w:r w:rsidRPr="003A1562">
        <w:rPr>
          <w:rFonts w:ascii="Times New Roman" w:eastAsia="Times New Roman" w:hAnsi="Times New Roman" w:cs="Times New Roman"/>
          <w:bCs/>
          <w:noProof/>
        </w:rPr>
        <w:t>2</w:t>
      </w:r>
      <w:r w:rsidRPr="003A1562">
        <w:rPr>
          <w:rFonts w:ascii="Times New Roman" w:eastAsia="Times New Roman" w:hAnsi="Times New Roman" w:cs="Times New Roman"/>
          <w:bCs/>
        </w:rPr>
        <w:t xml:space="preserve"> EA + </w:t>
      </w:r>
      <w:r w:rsidRPr="003A1562">
        <w:rPr>
          <w:rFonts w:ascii="Times New Roman" w:eastAsia="Times New Roman" w:hAnsi="Times New Roman" w:cs="Times New Roman"/>
          <w:bCs/>
          <w:noProof/>
        </w:rPr>
        <w:t>0</w:t>
      </w:r>
      <w:r w:rsidRPr="003A1562">
        <w:rPr>
          <w:rFonts w:ascii="Times New Roman" w:eastAsia="Times New Roman" w:hAnsi="Times New Roman" w:cs="Times New Roman"/>
          <w:bCs/>
        </w:rPr>
        <w:t xml:space="preserve"> GY)</w:t>
      </w:r>
    </w:p>
    <w:p w:rsidR="003A1562" w:rsidRPr="003A1562" w:rsidRDefault="003A1562" w:rsidP="00980876">
      <w:pPr>
        <w:widowControl w:val="0"/>
        <w:numPr>
          <w:ilvl w:val="1"/>
          <w:numId w:val="825"/>
        </w:numPr>
        <w:tabs>
          <w:tab w:val="num" w:pos="2069"/>
          <w:tab w:val="num" w:pos="3977"/>
        </w:tabs>
        <w:spacing w:before="120" w:after="120" w:line="240" w:lineRule="auto"/>
        <w:ind w:left="851" w:hanging="425"/>
        <w:jc w:val="both"/>
        <w:rPr>
          <w:rFonts w:ascii="Times New Roman" w:eastAsia="Times New Roman" w:hAnsi="Times New Roman" w:cs="Times New Roman"/>
          <w:bCs/>
        </w:rPr>
      </w:pPr>
      <w:r w:rsidRPr="003A1562">
        <w:rPr>
          <w:rFonts w:ascii="Times New Roman" w:eastAsia="Calibri" w:hAnsi="Times New Roman" w:cs="Times New Roman"/>
        </w:rPr>
        <w:t xml:space="preserve">Az ismeret átadásában alkalmazandó további sajátos módok, jellemzők: </w:t>
      </w:r>
      <w:r w:rsidRPr="003A1562">
        <w:rPr>
          <w:rFonts w:ascii="Times New Roman" w:eastAsia="Calibri" w:hAnsi="Times New Roman" w:cs="Times New Roman"/>
          <w:noProof/>
        </w:rPr>
        <w:t>-</w:t>
      </w:r>
      <w:r w:rsidRPr="003A1562">
        <w:rPr>
          <w:rFonts w:ascii="Times New Roman" w:eastAsia="Calibri" w:hAnsi="Times New Roman" w:cs="Times New Roman"/>
        </w:rPr>
        <w:t xml:space="preserve"> </w:t>
      </w:r>
    </w:p>
    <w:p w:rsidR="003A1562" w:rsidRPr="003A1562" w:rsidRDefault="003A1562" w:rsidP="00980876">
      <w:pPr>
        <w:widowControl w:val="0"/>
        <w:numPr>
          <w:ilvl w:val="0"/>
          <w:numId w:val="825"/>
        </w:numPr>
        <w:tabs>
          <w:tab w:val="num" w:pos="720"/>
        </w:tabs>
        <w:spacing w:before="120" w:after="120" w:line="240" w:lineRule="auto"/>
        <w:ind w:left="426" w:hanging="142"/>
        <w:jc w:val="both"/>
        <w:rPr>
          <w:rFonts w:ascii="Times New Roman" w:eastAsia="Times New Roman" w:hAnsi="Times New Roman" w:cs="Times New Roman"/>
          <w:bCs/>
        </w:rPr>
      </w:pPr>
      <w:r w:rsidRPr="003A1562">
        <w:rPr>
          <w:rFonts w:ascii="Times New Roman" w:eastAsia="Times New Roman" w:hAnsi="Times New Roman" w:cs="Times New Roman"/>
          <w:b/>
          <w:bCs/>
        </w:rPr>
        <w:t>A tantárgy szakmai tartalma (magyarul):</w:t>
      </w:r>
      <w:r w:rsidRPr="003A1562">
        <w:rPr>
          <w:rFonts w:ascii="Times New Roman" w:eastAsia="Times New Roman" w:hAnsi="Times New Roman" w:cs="Times New Roman"/>
          <w:bCs/>
        </w:rPr>
        <w:t xml:space="preserve"> </w:t>
      </w:r>
      <w:r w:rsidRPr="003A1562">
        <w:rPr>
          <w:rFonts w:ascii="Times New Roman" w:eastAsia="Times New Roman" w:hAnsi="Times New Roman" w:cs="Times New Roman"/>
          <w:bCs/>
          <w:noProof/>
        </w:rPr>
        <w:t>A tantárgy oktatásának célja, hogy a Nemzeti Közszolgálati Egyetem alapképzésében részt vevő hallgatók számára megfelelő alapismeretek elsajátítását biztosítsa a nemzetközi politika, a biztonságpolitika, a biztonsági tanulmányok területén. A hallgatók ismereteket szereznek a kül- és biztonságpolitika, a nemzetközi kapcsolatok és a nemzetbiztonság intézményrendszeréről. Előadásokat hallgatnak az ENSZ, a NATO, az EBESZ és az EU tevékenységéről és a nemzetközi válságok kezeléséről. Tájékozódnak a nemzetközi kapcsolatokkal, a háborúkkal, a lokális, a regionális és a globális biztonság tartalmi és intézményi vonatkozásairól. Megismerik a kihívások és kockázatok, a fenyegetések és veszélyek tényezőit. A kurzus során képet kapnak a magyar kül- és biztonságpolitika alakulásáról a rendszerváltástól napjainkig.</w:t>
      </w:r>
    </w:p>
    <w:p w:rsidR="003A1562" w:rsidRPr="003A1562" w:rsidRDefault="003A1562" w:rsidP="003A1562">
      <w:pPr>
        <w:widowControl w:val="0"/>
        <w:spacing w:before="120" w:after="120" w:line="240" w:lineRule="auto"/>
        <w:ind w:left="426"/>
        <w:jc w:val="both"/>
        <w:rPr>
          <w:rFonts w:ascii="Times New Roman" w:eastAsia="Times New Roman" w:hAnsi="Times New Roman" w:cs="Times New Roman"/>
          <w:bCs/>
          <w:lang w:val="en-GB"/>
        </w:rPr>
      </w:pPr>
      <w:r w:rsidRPr="003A1562">
        <w:rPr>
          <w:rFonts w:ascii="Times New Roman" w:eastAsia="Times New Roman" w:hAnsi="Times New Roman" w:cs="Times New Roman"/>
          <w:b/>
          <w:bCs/>
        </w:rPr>
        <w:t>A tantárgy szakmai tartalma (angolul) (</w:t>
      </w:r>
      <w:r w:rsidRPr="003A1562">
        <w:rPr>
          <w:rFonts w:ascii="Times New Roman" w:eastAsia="Times New Roman" w:hAnsi="Times New Roman" w:cs="Times New Roman"/>
          <w:b/>
          <w:bCs/>
          <w:lang w:val="en-US"/>
        </w:rPr>
        <w:t>Course description</w:t>
      </w:r>
      <w:r w:rsidRPr="003A1562">
        <w:rPr>
          <w:rFonts w:ascii="Times New Roman" w:eastAsia="Times New Roman" w:hAnsi="Times New Roman" w:cs="Times New Roman"/>
          <w:b/>
          <w:bCs/>
        </w:rPr>
        <w:t xml:space="preserve">): </w:t>
      </w:r>
      <w:r w:rsidRPr="003A1562">
        <w:rPr>
          <w:rFonts w:ascii="Times New Roman" w:eastAsia="Times New Roman" w:hAnsi="Times New Roman" w:cs="Times New Roman"/>
          <w:bCs/>
          <w:noProof/>
        </w:rPr>
        <w:t>The aim of the subject is to provide the basic theoretical knowledge in the field of international relations and security policy for the students in bachelor programme of National University of Public Service. The students acquire knowledge about the foreign and security policy, and all important international institutions as UN, NATO, OSCE and EU. Lectures are provided of the international crisis management and security activity of the UN, the NATO and the EU. Students are introduced to the regional, global and institutional aspects of international relations and wars. They learn the challenge, risk, threat and danger factors. During the course, the Hungarian foreign and security policy changes are presented from the transition until today.</w:t>
      </w:r>
      <w:r w:rsidRPr="003A1562">
        <w:rPr>
          <w:rFonts w:ascii="Times New Roman" w:eastAsia="Times New Roman" w:hAnsi="Times New Roman" w:cs="Times New Roman"/>
          <w:bCs/>
          <w:lang w:val="en-GB"/>
        </w:rPr>
        <w:t xml:space="preserve"> </w:t>
      </w:r>
    </w:p>
    <w:p w:rsidR="003A1562" w:rsidRPr="003A1562" w:rsidRDefault="003A1562" w:rsidP="00980876">
      <w:pPr>
        <w:widowControl w:val="0"/>
        <w:numPr>
          <w:ilvl w:val="0"/>
          <w:numId w:val="825"/>
        </w:numPr>
        <w:tabs>
          <w:tab w:val="num" w:pos="720"/>
        </w:tabs>
        <w:spacing w:before="120" w:after="120" w:line="240" w:lineRule="auto"/>
        <w:ind w:left="720"/>
        <w:contextualSpacing/>
        <w:jc w:val="both"/>
        <w:rPr>
          <w:rFonts w:ascii="Times New Roman" w:eastAsia="Times New Roman" w:hAnsi="Times New Roman" w:cs="Times New Roman"/>
          <w:bCs/>
        </w:rPr>
      </w:pPr>
      <w:r w:rsidRPr="003A1562">
        <w:rPr>
          <w:rFonts w:ascii="Times New Roman" w:eastAsia="Times New Roman" w:hAnsi="Times New Roman" w:cs="Times New Roman"/>
          <w:b/>
          <w:bCs/>
        </w:rPr>
        <w:t xml:space="preserve">Elérendő kompetenciák (magyarul): </w:t>
      </w:r>
    </w:p>
    <w:p w:rsidR="003A1562" w:rsidRPr="003A1562" w:rsidRDefault="003A1562" w:rsidP="003A1562">
      <w:pPr>
        <w:widowControl w:val="0"/>
        <w:spacing w:before="120" w:after="120" w:line="240" w:lineRule="auto"/>
        <w:ind w:left="425"/>
        <w:jc w:val="both"/>
        <w:rPr>
          <w:rFonts w:ascii="Times New Roman" w:eastAsia="Times New Roman" w:hAnsi="Times New Roman" w:cs="Times New Roman"/>
          <w:bCs/>
        </w:rPr>
      </w:pPr>
      <w:r w:rsidRPr="003A1562">
        <w:rPr>
          <w:rFonts w:ascii="Times New Roman" w:eastAsia="Times New Roman" w:hAnsi="Times New Roman" w:cs="Times New Roman"/>
          <w:b/>
          <w:bCs/>
        </w:rPr>
        <w:t>Tudása:</w:t>
      </w:r>
      <w:r w:rsidRPr="003A1562">
        <w:rPr>
          <w:rFonts w:ascii="Times New Roman" w:eastAsia="Times New Roman" w:hAnsi="Times New Roman" w:cs="Times New Roman"/>
          <w:bCs/>
        </w:rPr>
        <w:t xml:space="preserve"> </w:t>
      </w:r>
      <w:r w:rsidRPr="003A1562">
        <w:rPr>
          <w:rFonts w:ascii="Times New Roman" w:eastAsia="Times New Roman" w:hAnsi="Times New Roman" w:cs="Times New Roman"/>
          <w:bCs/>
          <w:noProof/>
        </w:rPr>
        <w:t xml:space="preserve">Összességében átfogóan ismeri, illetve érti is a nemzetközi politika, biztonság tárgykör alapvető szereplőit, tényeit, irányait, és kellően tájékozott napjaink hazai és nemzetközi történéseiben. Ismeri a vonatkozó törvényi és állami dokumentumokat, parlamenti és kormányzati stratégiákat. Tisztában van a kurrens nemzetközi politika történéseivel, azok régiónkra és </w:t>
      </w:r>
      <w:r w:rsidRPr="003A1562">
        <w:rPr>
          <w:rFonts w:ascii="Times New Roman" w:eastAsia="Times New Roman" w:hAnsi="Times New Roman" w:cs="Times New Roman"/>
          <w:bCs/>
          <w:noProof/>
        </w:rPr>
        <w:lastRenderedPageBreak/>
        <w:t>hazánkra gyakorolt hatásaival.</w:t>
      </w:r>
    </w:p>
    <w:p w:rsidR="003A1562" w:rsidRPr="003A1562" w:rsidRDefault="003A1562" w:rsidP="003A1562">
      <w:pPr>
        <w:widowControl w:val="0"/>
        <w:spacing w:before="120" w:after="120" w:line="240" w:lineRule="auto"/>
        <w:ind w:left="426"/>
        <w:jc w:val="both"/>
        <w:rPr>
          <w:rFonts w:ascii="Times New Roman" w:eastAsia="Times New Roman" w:hAnsi="Times New Roman" w:cs="Times New Roman"/>
          <w:bCs/>
        </w:rPr>
      </w:pPr>
      <w:r w:rsidRPr="003A1562">
        <w:rPr>
          <w:rFonts w:ascii="Times New Roman" w:eastAsia="Times New Roman" w:hAnsi="Times New Roman" w:cs="Times New Roman"/>
          <w:b/>
          <w:bCs/>
        </w:rPr>
        <w:t>Képességei:</w:t>
      </w:r>
      <w:r w:rsidRPr="003A1562">
        <w:rPr>
          <w:rFonts w:ascii="Times New Roman" w:eastAsia="Times New Roman" w:hAnsi="Times New Roman" w:cs="Times New Roman"/>
          <w:bCs/>
        </w:rPr>
        <w:t xml:space="preserve"> </w:t>
      </w:r>
      <w:r w:rsidRPr="003A1562">
        <w:rPr>
          <w:rFonts w:ascii="Times New Roman" w:eastAsia="Times New Roman" w:hAnsi="Times New Roman" w:cs="Times New Roman"/>
          <w:bCs/>
          <w:noProof/>
        </w:rPr>
        <w:t>Képes önálló és független munkára, tudása gyakorlati alkalmazására a nemzeti és nemzetközi biztonság területének témáit felhasználva, saját képességei továbbfejlesztésére, illetve további ismeretanyag befogadására. Képes a biztonságpolitikai folyamatok komplex módon történő elemzésére és értékelésére, összefüggések feltárására. Tudja elemezni a nemzetközi politika történéseit, a nagyhatalmi politikák folyamatait, az európai és a magyar politikák nemzetközi elhelyezkedését.</w:t>
      </w:r>
      <w:r w:rsidRPr="003A1562">
        <w:rPr>
          <w:rFonts w:ascii="Times New Roman" w:eastAsia="Times New Roman" w:hAnsi="Times New Roman" w:cs="Times New Roman"/>
          <w:bCs/>
        </w:rPr>
        <w:t xml:space="preserve"> </w:t>
      </w:r>
    </w:p>
    <w:p w:rsidR="003A1562" w:rsidRPr="003A1562" w:rsidRDefault="003A1562" w:rsidP="003A1562">
      <w:pPr>
        <w:widowControl w:val="0"/>
        <w:spacing w:before="120" w:after="120" w:line="240" w:lineRule="auto"/>
        <w:ind w:left="426"/>
        <w:jc w:val="both"/>
        <w:rPr>
          <w:rFonts w:ascii="Times New Roman" w:eastAsia="Times New Roman" w:hAnsi="Times New Roman" w:cs="Times New Roman"/>
          <w:bCs/>
        </w:rPr>
      </w:pPr>
      <w:r w:rsidRPr="003A1562">
        <w:rPr>
          <w:rFonts w:ascii="Times New Roman" w:eastAsia="Times New Roman" w:hAnsi="Times New Roman" w:cs="Times New Roman"/>
          <w:b/>
          <w:bCs/>
        </w:rPr>
        <w:t>Attitűdje:</w:t>
      </w:r>
      <w:r w:rsidRPr="003A1562">
        <w:rPr>
          <w:rFonts w:ascii="Times New Roman" w:eastAsia="Times New Roman" w:hAnsi="Times New Roman" w:cs="Times New Roman"/>
          <w:bCs/>
        </w:rPr>
        <w:t xml:space="preserve"> </w:t>
      </w:r>
      <w:r w:rsidRPr="003A1562">
        <w:rPr>
          <w:rFonts w:ascii="Times New Roman" w:eastAsia="Times New Roman" w:hAnsi="Times New Roman" w:cs="Times New Roman"/>
          <w:bCs/>
          <w:noProof/>
        </w:rPr>
        <w:t>Szakmai szabályokat figyelemebe vesz, de önállóan végzi munkáját. Saját szervezete tevékenységével szemben kritikus, követelménytámasztó, törekszik a kitűzött célok maradéktalan elérésére. Nyitott a szakmai ismeretei folyamatos bővítésére, önálló tanulásra és önfejlesztésre.</w:t>
      </w:r>
    </w:p>
    <w:p w:rsidR="003A1562" w:rsidRPr="003A1562" w:rsidRDefault="003A1562" w:rsidP="003A1562">
      <w:pPr>
        <w:widowControl w:val="0"/>
        <w:spacing w:before="120" w:after="120" w:line="240" w:lineRule="auto"/>
        <w:ind w:left="426"/>
        <w:jc w:val="both"/>
        <w:rPr>
          <w:rFonts w:ascii="Times New Roman" w:eastAsia="Times New Roman" w:hAnsi="Times New Roman" w:cs="Times New Roman"/>
          <w:bCs/>
        </w:rPr>
      </w:pPr>
      <w:r w:rsidRPr="003A1562">
        <w:rPr>
          <w:rFonts w:ascii="Times New Roman" w:eastAsia="Times New Roman" w:hAnsi="Times New Roman" w:cs="Times New Roman"/>
          <w:b/>
          <w:bCs/>
        </w:rPr>
        <w:t>Autonómiája és felelőssége:</w:t>
      </w:r>
      <w:r w:rsidRPr="003A1562">
        <w:rPr>
          <w:rFonts w:ascii="Times New Roman" w:eastAsia="Times New Roman" w:hAnsi="Times New Roman" w:cs="Times New Roman"/>
          <w:bCs/>
        </w:rPr>
        <w:t xml:space="preserve"> </w:t>
      </w:r>
      <w:r w:rsidRPr="003A1562">
        <w:rPr>
          <w:rFonts w:ascii="Times New Roman" w:eastAsia="Times New Roman" w:hAnsi="Times New Roman" w:cs="Times New Roman"/>
          <w:bCs/>
          <w:noProof/>
        </w:rPr>
        <w:t>Nyitott a körülötte lévő világ változásaira. A szakterületéhez kapcsolódóan megfelelő rendszerszemléletű képességgel rendelkezik, illetve képes önálló elemzések készítésére, felelős vitára .</w:t>
      </w:r>
    </w:p>
    <w:p w:rsidR="003A1562" w:rsidRPr="003A1562" w:rsidRDefault="003A1562" w:rsidP="003A1562">
      <w:pPr>
        <w:widowControl w:val="0"/>
        <w:spacing w:before="120" w:after="120" w:line="240" w:lineRule="auto"/>
        <w:ind w:left="426"/>
        <w:jc w:val="both"/>
        <w:rPr>
          <w:rFonts w:ascii="Times New Roman" w:eastAsia="Times New Roman" w:hAnsi="Times New Roman" w:cs="Times New Roman"/>
          <w:b/>
          <w:bCs/>
          <w:lang w:val="en-US"/>
        </w:rPr>
      </w:pPr>
      <w:r w:rsidRPr="003A1562">
        <w:rPr>
          <w:rFonts w:ascii="Times New Roman" w:eastAsia="Times New Roman" w:hAnsi="Times New Roman" w:cs="Times New Roman"/>
          <w:b/>
          <w:bCs/>
        </w:rPr>
        <w:t>Elérendő kompetenciák (angolul) (</w:t>
      </w:r>
      <w:r w:rsidRPr="003A1562">
        <w:rPr>
          <w:rFonts w:ascii="Times New Roman" w:eastAsia="Times New Roman" w:hAnsi="Times New Roman" w:cs="Times New Roman"/>
          <w:b/>
          <w:bCs/>
          <w:lang w:val="en-US"/>
        </w:rPr>
        <w:t xml:space="preserve">Competences – English): </w:t>
      </w:r>
    </w:p>
    <w:p w:rsidR="003A1562" w:rsidRPr="003A1562" w:rsidRDefault="003A1562" w:rsidP="003A1562">
      <w:pPr>
        <w:widowControl w:val="0"/>
        <w:spacing w:before="120" w:after="120" w:line="240" w:lineRule="auto"/>
        <w:ind w:left="426"/>
        <w:jc w:val="both"/>
        <w:rPr>
          <w:rFonts w:ascii="Times New Roman" w:eastAsia="Times New Roman" w:hAnsi="Times New Roman" w:cs="Times New Roman"/>
          <w:lang w:val="en-GB"/>
        </w:rPr>
      </w:pPr>
      <w:r w:rsidRPr="003A1562">
        <w:rPr>
          <w:rFonts w:ascii="Times New Roman" w:eastAsia="Times New Roman" w:hAnsi="Times New Roman" w:cs="Times New Roman"/>
          <w:b/>
          <w:lang w:val="en-GB"/>
        </w:rPr>
        <w:t>Knowledge</w:t>
      </w:r>
      <w:r w:rsidRPr="003A1562">
        <w:rPr>
          <w:rFonts w:ascii="Times New Roman" w:eastAsia="Times New Roman" w:hAnsi="Times New Roman" w:cs="Times New Roman"/>
          <w:lang w:val="en-GB"/>
        </w:rPr>
        <w:t xml:space="preserve">: </w:t>
      </w:r>
      <w:r w:rsidRPr="003A1562">
        <w:rPr>
          <w:rFonts w:ascii="Times New Roman" w:eastAsia="Times New Roman" w:hAnsi="Times New Roman" w:cs="Times New Roman"/>
          <w:bCs/>
          <w:noProof/>
        </w:rPr>
        <w:t>In general, he/she knows, and understands the fundamental actors, facts, directions of international politics and security, and is well informed about national and international current events. Has an overview of official documents, laws, strategies of governments. See distinctly events and process of international politics and their effect on Hungary.</w:t>
      </w:r>
    </w:p>
    <w:p w:rsidR="003A1562" w:rsidRPr="003A1562" w:rsidRDefault="003A1562" w:rsidP="003A1562">
      <w:pPr>
        <w:widowControl w:val="0"/>
        <w:spacing w:before="120" w:after="120" w:line="240" w:lineRule="auto"/>
        <w:ind w:left="426"/>
        <w:jc w:val="both"/>
        <w:rPr>
          <w:rFonts w:ascii="Times New Roman" w:eastAsia="Times New Roman" w:hAnsi="Times New Roman" w:cs="Times New Roman"/>
          <w:lang w:val="en-GB"/>
        </w:rPr>
      </w:pPr>
      <w:r w:rsidRPr="003A1562">
        <w:rPr>
          <w:rFonts w:ascii="Times New Roman" w:eastAsia="Times New Roman" w:hAnsi="Times New Roman" w:cs="Times New Roman"/>
          <w:b/>
          <w:lang w:val="en-GB"/>
        </w:rPr>
        <w:t>Capabilities</w:t>
      </w:r>
      <w:r w:rsidRPr="003A1562">
        <w:rPr>
          <w:rFonts w:ascii="Times New Roman" w:eastAsia="Times New Roman" w:hAnsi="Times New Roman" w:cs="Times New Roman"/>
          <w:lang w:val="en-GB"/>
        </w:rPr>
        <w:t xml:space="preserve">: </w:t>
      </w:r>
      <w:r w:rsidRPr="003A1562">
        <w:rPr>
          <w:rFonts w:ascii="Times New Roman" w:eastAsia="Times New Roman" w:hAnsi="Times New Roman" w:cs="Times New Roman"/>
          <w:bCs/>
          <w:noProof/>
        </w:rPr>
        <w:t>He/she demonstrates the ability to take responsibility for his/her studies and work independently to show his/her knowledge on topics within the field of national, and international security, furthermore he develops personal skills applicable to further study. The student has a capability to analyse security policies process, to find connections and understanding among different factors and fields of international security.</w:t>
      </w:r>
    </w:p>
    <w:p w:rsidR="003A1562" w:rsidRPr="003A1562" w:rsidRDefault="003A1562" w:rsidP="003A1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425"/>
        <w:jc w:val="both"/>
        <w:rPr>
          <w:rFonts w:ascii="Times New Roman" w:eastAsia="Times New Roman" w:hAnsi="Times New Roman" w:cs="Times New Roman"/>
          <w:lang w:val="en-GB"/>
        </w:rPr>
      </w:pPr>
      <w:r w:rsidRPr="003A1562">
        <w:rPr>
          <w:rFonts w:ascii="Times New Roman" w:eastAsia="Times New Roman" w:hAnsi="Times New Roman" w:cs="Times New Roman"/>
          <w:b/>
          <w:lang w:val="en-GB"/>
        </w:rPr>
        <w:t>Attitude:</w:t>
      </w:r>
      <w:r w:rsidRPr="003A1562">
        <w:rPr>
          <w:rFonts w:ascii="Times New Roman" w:eastAsia="Times New Roman" w:hAnsi="Times New Roman" w:cs="Times New Roman"/>
          <w:lang w:val="en-GB"/>
        </w:rPr>
        <w:t xml:space="preserve"> </w:t>
      </w:r>
      <w:r w:rsidRPr="003A1562">
        <w:rPr>
          <w:rFonts w:ascii="Times New Roman" w:eastAsia="Times New Roman" w:hAnsi="Times New Roman" w:cs="Times New Roman"/>
          <w:bCs/>
          <w:noProof/>
        </w:rPr>
        <w:t>He/she takes professional rules into consideration, but he works independently. He/she is a critical and supportive person in the relation of his/her organization, but supportive, and he strives to achieve its goals. Should be open to enlarge his/her knowledge and competences.</w:t>
      </w:r>
    </w:p>
    <w:p w:rsidR="003A1562" w:rsidRPr="003A1562" w:rsidRDefault="003A1562" w:rsidP="003A1562">
      <w:pPr>
        <w:widowControl w:val="0"/>
        <w:spacing w:before="120" w:after="120" w:line="240" w:lineRule="auto"/>
        <w:ind w:left="426"/>
        <w:jc w:val="both"/>
        <w:rPr>
          <w:rFonts w:ascii="Times New Roman" w:eastAsia="Times New Roman" w:hAnsi="Times New Roman" w:cs="Times New Roman"/>
          <w:lang w:val="en-GB"/>
        </w:rPr>
      </w:pPr>
      <w:r w:rsidRPr="003A1562">
        <w:rPr>
          <w:rFonts w:ascii="Times New Roman" w:eastAsia="Times New Roman" w:hAnsi="Times New Roman" w:cs="Times New Roman"/>
          <w:b/>
          <w:lang w:val="en-GB"/>
        </w:rPr>
        <w:t xml:space="preserve">Autonomy and responsibility: </w:t>
      </w:r>
      <w:r w:rsidRPr="003A1562">
        <w:rPr>
          <w:rFonts w:ascii="Times New Roman" w:eastAsia="Times New Roman" w:hAnsi="Times New Roman" w:cs="Times New Roman"/>
          <w:bCs/>
          <w:noProof/>
        </w:rPr>
        <w:t>Open personality for changes in the world around him. He/she has a systemic overview ability in relation to his field. He/she will be able to discuss, analyse security events by the end of after his/her studies.</w:t>
      </w:r>
    </w:p>
    <w:p w:rsidR="003A1562" w:rsidRPr="003A1562" w:rsidRDefault="003A1562" w:rsidP="00980876">
      <w:pPr>
        <w:widowControl w:val="0"/>
        <w:numPr>
          <w:ilvl w:val="0"/>
          <w:numId w:val="825"/>
        </w:numPr>
        <w:tabs>
          <w:tab w:val="num" w:pos="567"/>
          <w:tab w:val="num" w:pos="720"/>
        </w:tabs>
        <w:spacing w:before="120" w:after="120" w:line="240" w:lineRule="auto"/>
        <w:ind w:left="426" w:hanging="142"/>
        <w:jc w:val="both"/>
        <w:rPr>
          <w:rFonts w:ascii="Times New Roman" w:eastAsia="Times New Roman" w:hAnsi="Times New Roman" w:cs="Times New Roman"/>
          <w:bCs/>
        </w:rPr>
      </w:pPr>
      <w:r w:rsidRPr="003A1562">
        <w:rPr>
          <w:rFonts w:ascii="Times New Roman" w:eastAsia="Times New Roman" w:hAnsi="Times New Roman" w:cs="Times New Roman"/>
          <w:b/>
          <w:bCs/>
        </w:rPr>
        <w:t xml:space="preserve">Előtanulmányi követelmények: </w:t>
      </w:r>
      <w:r w:rsidRPr="003A1562">
        <w:rPr>
          <w:rFonts w:ascii="Times New Roman" w:eastAsia="Times New Roman" w:hAnsi="Times New Roman" w:cs="Times New Roman"/>
          <w:bCs/>
          <w:noProof/>
        </w:rPr>
        <w:t>-</w:t>
      </w:r>
      <w:r w:rsidRPr="003A1562">
        <w:rPr>
          <w:rFonts w:ascii="Times New Roman" w:eastAsia="Times New Roman" w:hAnsi="Times New Roman" w:cs="Times New Roman"/>
          <w:bCs/>
        </w:rPr>
        <w:t xml:space="preserve"> </w:t>
      </w:r>
    </w:p>
    <w:p w:rsidR="003A1562" w:rsidRPr="003A1562" w:rsidRDefault="003A1562" w:rsidP="00980876">
      <w:pPr>
        <w:widowControl w:val="0"/>
        <w:numPr>
          <w:ilvl w:val="0"/>
          <w:numId w:val="825"/>
        </w:numPr>
        <w:tabs>
          <w:tab w:val="num" w:pos="720"/>
        </w:tabs>
        <w:spacing w:before="120" w:after="120" w:line="240" w:lineRule="auto"/>
        <w:ind w:left="426" w:hanging="142"/>
        <w:jc w:val="both"/>
        <w:rPr>
          <w:rFonts w:ascii="Times New Roman" w:eastAsia="Times New Roman" w:hAnsi="Times New Roman" w:cs="Times New Roman"/>
          <w:b/>
          <w:bCs/>
        </w:rPr>
      </w:pPr>
      <w:r w:rsidRPr="003A1562">
        <w:rPr>
          <w:rFonts w:ascii="Times New Roman" w:eastAsia="Times New Roman" w:hAnsi="Times New Roman" w:cs="Times New Roman"/>
          <w:b/>
          <w:bCs/>
        </w:rPr>
        <w:t>A tantárgy tananyagának leírása, tematika. Description of the subject, curriculum (magyarul, angolul - English):</w:t>
      </w:r>
    </w:p>
    <w:p w:rsidR="003A1562" w:rsidRPr="003A1562" w:rsidRDefault="003A1562" w:rsidP="00980876">
      <w:pPr>
        <w:widowControl w:val="0"/>
        <w:numPr>
          <w:ilvl w:val="1"/>
          <w:numId w:val="825"/>
        </w:numPr>
        <w:tabs>
          <w:tab w:val="left" w:pos="709"/>
          <w:tab w:val="left" w:pos="993"/>
          <w:tab w:val="num" w:pos="3977"/>
        </w:tabs>
        <w:spacing w:before="120" w:after="120" w:line="240" w:lineRule="auto"/>
        <w:ind w:left="567" w:hanging="573"/>
        <w:jc w:val="both"/>
        <w:rPr>
          <w:rFonts w:ascii="Times New Roman" w:eastAsia="Times New Roman" w:hAnsi="Times New Roman" w:cs="Times New Roman"/>
          <w:bCs/>
          <w:noProof/>
        </w:rPr>
      </w:pPr>
      <w:r w:rsidRPr="003A1562">
        <w:rPr>
          <w:rFonts w:ascii="Times New Roman" w:eastAsia="Times New Roman" w:hAnsi="Times New Roman" w:cs="Times New Roman"/>
          <w:bCs/>
          <w:noProof/>
        </w:rPr>
        <w:t>Bevezetés a nemzetközi kapcsolatokba (Introduction to international relations). A nemzetközi kapcsolatok alapjai. Alapfogalmak, a nemzetközi kapcsolatok diszciplína fejlődésének áttekintése. A fontosabb elméleti iskolák. (Basic components of international relations. Basic concepts, overview of international relations’s  development. The major theoretical schools.)</w:t>
      </w:r>
    </w:p>
    <w:p w:rsidR="003A1562" w:rsidRPr="003A1562" w:rsidRDefault="003A1562" w:rsidP="00980876">
      <w:pPr>
        <w:widowControl w:val="0"/>
        <w:numPr>
          <w:ilvl w:val="1"/>
          <w:numId w:val="825"/>
        </w:numPr>
        <w:tabs>
          <w:tab w:val="left" w:pos="709"/>
          <w:tab w:val="left" w:pos="993"/>
          <w:tab w:val="num" w:pos="3977"/>
        </w:tabs>
        <w:spacing w:before="120" w:after="120" w:line="240" w:lineRule="auto"/>
        <w:ind w:left="567" w:hanging="573"/>
        <w:jc w:val="both"/>
        <w:rPr>
          <w:rFonts w:ascii="Times New Roman" w:eastAsia="Times New Roman" w:hAnsi="Times New Roman" w:cs="Times New Roman"/>
          <w:bCs/>
          <w:noProof/>
        </w:rPr>
      </w:pPr>
      <w:r w:rsidRPr="003A1562">
        <w:rPr>
          <w:rFonts w:ascii="Times New Roman" w:eastAsia="Times New Roman" w:hAnsi="Times New Roman" w:cs="Times New Roman"/>
          <w:bCs/>
          <w:noProof/>
        </w:rPr>
        <w:t>A nemzetközi rendszer. A külpolitika eszközei (International system. Tools of foreign policy). A posztbipoláris világrend. A nemzetközi politika szereplői. Stratégiák. (Seminar: The post-bipolar world order. Actors in international politics. Strategies.)</w:t>
      </w:r>
    </w:p>
    <w:p w:rsidR="003A1562" w:rsidRPr="003A1562" w:rsidRDefault="003A1562" w:rsidP="00980876">
      <w:pPr>
        <w:widowControl w:val="0"/>
        <w:numPr>
          <w:ilvl w:val="1"/>
          <w:numId w:val="825"/>
        </w:numPr>
        <w:tabs>
          <w:tab w:val="left" w:pos="709"/>
          <w:tab w:val="left" w:pos="993"/>
          <w:tab w:val="num" w:pos="3977"/>
        </w:tabs>
        <w:spacing w:before="120" w:after="120" w:line="240" w:lineRule="auto"/>
        <w:ind w:left="567" w:hanging="573"/>
        <w:jc w:val="both"/>
        <w:rPr>
          <w:rFonts w:ascii="Times New Roman" w:eastAsia="Times New Roman" w:hAnsi="Times New Roman" w:cs="Times New Roman"/>
          <w:bCs/>
          <w:noProof/>
        </w:rPr>
      </w:pPr>
      <w:r w:rsidRPr="003A1562">
        <w:rPr>
          <w:rFonts w:ascii="Times New Roman" w:eastAsia="Times New Roman" w:hAnsi="Times New Roman" w:cs="Times New Roman"/>
          <w:bCs/>
          <w:noProof/>
        </w:rPr>
        <w:t>A biztonsági tanulmányok és a nemzetközi biztonság 1. (Security Studies and the international security 1.). A biztonsági tanulmányok fejlődése. A biztonság és a biztonságpolitika. Alapfogalmak, értelmezési keretek. (Development of Security Studies. Security and safety policy. Basic concepts, frameworks of interpretation.)</w:t>
      </w:r>
    </w:p>
    <w:p w:rsidR="003A1562" w:rsidRPr="003A1562" w:rsidRDefault="003A1562" w:rsidP="00980876">
      <w:pPr>
        <w:widowControl w:val="0"/>
        <w:numPr>
          <w:ilvl w:val="1"/>
          <w:numId w:val="825"/>
        </w:numPr>
        <w:tabs>
          <w:tab w:val="left" w:pos="709"/>
          <w:tab w:val="left" w:pos="993"/>
          <w:tab w:val="num" w:pos="3977"/>
        </w:tabs>
        <w:spacing w:before="120" w:after="120" w:line="240" w:lineRule="auto"/>
        <w:ind w:left="567" w:hanging="573"/>
        <w:jc w:val="both"/>
        <w:rPr>
          <w:rFonts w:ascii="Times New Roman" w:eastAsia="Times New Roman" w:hAnsi="Times New Roman" w:cs="Times New Roman"/>
          <w:bCs/>
          <w:noProof/>
        </w:rPr>
      </w:pPr>
      <w:r w:rsidRPr="003A1562">
        <w:rPr>
          <w:rFonts w:ascii="Times New Roman" w:eastAsia="Times New Roman" w:hAnsi="Times New Roman" w:cs="Times New Roman"/>
          <w:bCs/>
          <w:noProof/>
        </w:rPr>
        <w:t>A biztonsági tanulmányok és a nemzetközi biztonság 2. (Security Studies and the international security 2.). Fegyverkezés és a biztonság. A nemzetközi biztonság architektúrája. Biztonsági rezsimek és integrációk.  (Seminar: Arms and security. The architecture of international security. Security regimes and integrations.)</w:t>
      </w:r>
    </w:p>
    <w:p w:rsidR="003A1562" w:rsidRPr="003A1562" w:rsidRDefault="003A1562" w:rsidP="003A1562">
      <w:pPr>
        <w:ind w:left="567" w:hanging="573"/>
        <w:rPr>
          <w:rFonts w:ascii="Times New Roman" w:eastAsia="Times New Roman" w:hAnsi="Times New Roman" w:cs="Times New Roman"/>
          <w:bCs/>
          <w:noProof/>
        </w:rPr>
      </w:pPr>
      <w:r w:rsidRPr="003A1562">
        <w:rPr>
          <w:rFonts w:ascii="Times New Roman" w:eastAsia="Times New Roman" w:hAnsi="Times New Roman" w:cs="Times New Roman"/>
          <w:bCs/>
          <w:noProof/>
        </w:rPr>
        <w:br w:type="page"/>
      </w:r>
    </w:p>
    <w:p w:rsidR="003A1562" w:rsidRPr="003A1562" w:rsidRDefault="003A1562" w:rsidP="00980876">
      <w:pPr>
        <w:widowControl w:val="0"/>
        <w:numPr>
          <w:ilvl w:val="1"/>
          <w:numId w:val="825"/>
        </w:numPr>
        <w:tabs>
          <w:tab w:val="left" w:pos="709"/>
          <w:tab w:val="left" w:pos="993"/>
          <w:tab w:val="num" w:pos="3977"/>
        </w:tabs>
        <w:spacing w:before="120" w:after="120" w:line="240" w:lineRule="auto"/>
        <w:ind w:left="567" w:hanging="573"/>
        <w:jc w:val="both"/>
        <w:rPr>
          <w:rFonts w:ascii="Times New Roman" w:eastAsia="Times New Roman" w:hAnsi="Times New Roman" w:cs="Times New Roman"/>
          <w:bCs/>
          <w:noProof/>
        </w:rPr>
      </w:pPr>
      <w:r w:rsidRPr="003A1562">
        <w:rPr>
          <w:rFonts w:ascii="Times New Roman" w:eastAsia="Times New Roman" w:hAnsi="Times New Roman" w:cs="Times New Roman"/>
          <w:bCs/>
          <w:noProof/>
        </w:rPr>
        <w:lastRenderedPageBreak/>
        <w:t>A kollektív biztonság intézménye és az ENSZ 1. (Collective security institutions: the UN 1.). A kollektív és a kooperatív biztonság. Az ENSZ szerepe a nemzeti és nemzetközi biztonság megteremtésében. (Collective and cooperative security. The role of the United Nations in providing national and international security.)</w:t>
      </w:r>
    </w:p>
    <w:p w:rsidR="003A1562" w:rsidRPr="003A1562" w:rsidRDefault="003A1562" w:rsidP="00980876">
      <w:pPr>
        <w:widowControl w:val="0"/>
        <w:numPr>
          <w:ilvl w:val="1"/>
          <w:numId w:val="825"/>
        </w:numPr>
        <w:tabs>
          <w:tab w:val="left" w:pos="709"/>
          <w:tab w:val="left" w:pos="993"/>
          <w:tab w:val="num" w:pos="3977"/>
        </w:tabs>
        <w:spacing w:before="120" w:after="120" w:line="240" w:lineRule="auto"/>
        <w:ind w:left="567" w:hanging="573"/>
        <w:jc w:val="both"/>
        <w:rPr>
          <w:rFonts w:ascii="Times New Roman" w:eastAsia="Times New Roman" w:hAnsi="Times New Roman" w:cs="Times New Roman"/>
          <w:bCs/>
          <w:noProof/>
        </w:rPr>
      </w:pPr>
      <w:r w:rsidRPr="003A1562">
        <w:rPr>
          <w:rFonts w:ascii="Times New Roman" w:eastAsia="Times New Roman" w:hAnsi="Times New Roman" w:cs="Times New Roman"/>
          <w:bCs/>
          <w:noProof/>
        </w:rPr>
        <w:t>A kollektív biztonság intézménye és az ENSZ 2. (Collective security institutions: the UN 2.). Az ENSZ válságkezelése és békeműveletei. Missziók. (UN crisis management and peace operations. Missions.)</w:t>
      </w:r>
    </w:p>
    <w:p w:rsidR="003A1562" w:rsidRPr="003A1562" w:rsidRDefault="003A1562" w:rsidP="00980876">
      <w:pPr>
        <w:widowControl w:val="0"/>
        <w:numPr>
          <w:ilvl w:val="1"/>
          <w:numId w:val="825"/>
        </w:numPr>
        <w:tabs>
          <w:tab w:val="left" w:pos="709"/>
          <w:tab w:val="left" w:pos="993"/>
          <w:tab w:val="num" w:pos="3977"/>
        </w:tabs>
        <w:spacing w:before="120" w:after="120" w:line="240" w:lineRule="auto"/>
        <w:ind w:left="567" w:hanging="573"/>
        <w:jc w:val="both"/>
        <w:rPr>
          <w:rFonts w:ascii="Times New Roman" w:eastAsia="Times New Roman" w:hAnsi="Times New Roman" w:cs="Times New Roman"/>
          <w:bCs/>
          <w:noProof/>
        </w:rPr>
      </w:pPr>
      <w:r w:rsidRPr="003A1562">
        <w:rPr>
          <w:rFonts w:ascii="Times New Roman" w:eastAsia="Times New Roman" w:hAnsi="Times New Roman" w:cs="Times New Roman"/>
          <w:bCs/>
          <w:noProof/>
        </w:rPr>
        <w:t>A kollektív biztonság intézménye és az ENSZ 3. Részösszegzés. (Collective security institutions: the UN 3. Part summary.)</w:t>
      </w:r>
    </w:p>
    <w:p w:rsidR="003A1562" w:rsidRPr="003A1562" w:rsidRDefault="003A1562" w:rsidP="00980876">
      <w:pPr>
        <w:widowControl w:val="0"/>
        <w:numPr>
          <w:ilvl w:val="1"/>
          <w:numId w:val="825"/>
        </w:numPr>
        <w:tabs>
          <w:tab w:val="left" w:pos="709"/>
          <w:tab w:val="left" w:pos="993"/>
          <w:tab w:val="num" w:pos="3977"/>
        </w:tabs>
        <w:spacing w:before="120" w:after="120" w:line="240" w:lineRule="auto"/>
        <w:ind w:left="567" w:hanging="573"/>
        <w:jc w:val="both"/>
        <w:rPr>
          <w:rFonts w:ascii="Times New Roman" w:eastAsia="Times New Roman" w:hAnsi="Times New Roman" w:cs="Times New Roman"/>
          <w:bCs/>
          <w:noProof/>
        </w:rPr>
      </w:pPr>
      <w:r w:rsidRPr="003A1562">
        <w:rPr>
          <w:rFonts w:ascii="Times New Roman" w:eastAsia="Times New Roman" w:hAnsi="Times New Roman" w:cs="Times New Roman"/>
          <w:bCs/>
          <w:noProof/>
        </w:rPr>
        <w:t>A regionális biztonság intézményrendszere 1. (Institutions of the regional security 1.). A NATO mint a kollektív védelem szervezete. A szervezet tevékenysége a nemzetközi béke is biztonság megteremtésében. (NATO as a collective defense organization. The organization is also committed to international peace and security.)</w:t>
      </w:r>
    </w:p>
    <w:p w:rsidR="003A1562" w:rsidRPr="003A1562" w:rsidRDefault="003A1562" w:rsidP="00980876">
      <w:pPr>
        <w:widowControl w:val="0"/>
        <w:numPr>
          <w:ilvl w:val="1"/>
          <w:numId w:val="825"/>
        </w:numPr>
        <w:tabs>
          <w:tab w:val="left" w:pos="709"/>
          <w:tab w:val="left" w:pos="993"/>
          <w:tab w:val="num" w:pos="3977"/>
        </w:tabs>
        <w:spacing w:before="120" w:after="120" w:line="240" w:lineRule="auto"/>
        <w:ind w:left="567" w:hanging="573"/>
        <w:jc w:val="both"/>
        <w:rPr>
          <w:rFonts w:ascii="Times New Roman" w:eastAsia="Times New Roman" w:hAnsi="Times New Roman" w:cs="Times New Roman"/>
          <w:bCs/>
          <w:noProof/>
        </w:rPr>
      </w:pPr>
      <w:r w:rsidRPr="003A1562">
        <w:rPr>
          <w:rFonts w:ascii="Times New Roman" w:eastAsia="Times New Roman" w:hAnsi="Times New Roman" w:cs="Times New Roman"/>
          <w:bCs/>
          <w:noProof/>
        </w:rPr>
        <w:t>A regionális biztonság intézményrendszere 2. (Institutions of the regional security 2.). Az EBESZ – jellemzői, tevékenysége. (OSCE – characteristics and activities.)</w:t>
      </w:r>
    </w:p>
    <w:p w:rsidR="003A1562" w:rsidRPr="003A1562" w:rsidRDefault="003A1562" w:rsidP="00980876">
      <w:pPr>
        <w:widowControl w:val="0"/>
        <w:numPr>
          <w:ilvl w:val="1"/>
          <w:numId w:val="825"/>
        </w:numPr>
        <w:tabs>
          <w:tab w:val="left" w:pos="709"/>
          <w:tab w:val="left" w:pos="993"/>
          <w:tab w:val="num" w:pos="3977"/>
        </w:tabs>
        <w:spacing w:before="120" w:after="120" w:line="240" w:lineRule="auto"/>
        <w:ind w:left="567" w:hanging="573"/>
        <w:jc w:val="both"/>
        <w:rPr>
          <w:rFonts w:ascii="Times New Roman" w:eastAsia="Times New Roman" w:hAnsi="Times New Roman" w:cs="Times New Roman"/>
          <w:bCs/>
          <w:noProof/>
        </w:rPr>
      </w:pPr>
      <w:r w:rsidRPr="003A1562">
        <w:rPr>
          <w:rFonts w:ascii="Times New Roman" w:eastAsia="Times New Roman" w:hAnsi="Times New Roman" w:cs="Times New Roman"/>
          <w:bCs/>
          <w:noProof/>
        </w:rPr>
        <w:t>A regionális biztonság intézményrendszere 3. (Institutions of the regional security 3.).   Az EU közös biztonság – és védelempolitikája. Missziói. (Seminar: EU CSDP – missions.)</w:t>
      </w:r>
    </w:p>
    <w:p w:rsidR="003A1562" w:rsidRPr="003A1562" w:rsidRDefault="003A1562" w:rsidP="00980876">
      <w:pPr>
        <w:widowControl w:val="0"/>
        <w:numPr>
          <w:ilvl w:val="1"/>
          <w:numId w:val="825"/>
        </w:numPr>
        <w:tabs>
          <w:tab w:val="left" w:pos="709"/>
          <w:tab w:val="left" w:pos="993"/>
          <w:tab w:val="num" w:pos="3977"/>
        </w:tabs>
        <w:spacing w:before="120" w:after="120" w:line="240" w:lineRule="auto"/>
        <w:ind w:left="567" w:hanging="573"/>
        <w:jc w:val="both"/>
        <w:rPr>
          <w:rFonts w:ascii="Times New Roman" w:eastAsia="Times New Roman" w:hAnsi="Times New Roman" w:cs="Times New Roman"/>
          <w:bCs/>
          <w:noProof/>
        </w:rPr>
      </w:pPr>
      <w:r w:rsidRPr="003A1562">
        <w:rPr>
          <w:rFonts w:ascii="Times New Roman" w:eastAsia="Times New Roman" w:hAnsi="Times New Roman" w:cs="Times New Roman"/>
          <w:bCs/>
          <w:noProof/>
        </w:rPr>
        <w:t>A regionális biztonság intézményrendszere 4. (Institutions of the regional security 4.). A NATO és az EU válságkezelői tevékenysége. (NATO and the EU - crisis management activities.)</w:t>
      </w:r>
    </w:p>
    <w:p w:rsidR="003A1562" w:rsidRPr="003A1562" w:rsidRDefault="003A1562" w:rsidP="00980876">
      <w:pPr>
        <w:widowControl w:val="0"/>
        <w:numPr>
          <w:ilvl w:val="1"/>
          <w:numId w:val="825"/>
        </w:numPr>
        <w:tabs>
          <w:tab w:val="left" w:pos="709"/>
          <w:tab w:val="left" w:pos="993"/>
          <w:tab w:val="num" w:pos="3977"/>
        </w:tabs>
        <w:spacing w:before="120" w:after="120" w:line="240" w:lineRule="auto"/>
        <w:ind w:left="567" w:hanging="573"/>
        <w:jc w:val="both"/>
        <w:rPr>
          <w:rFonts w:ascii="Times New Roman" w:eastAsia="Times New Roman" w:hAnsi="Times New Roman" w:cs="Times New Roman"/>
          <w:bCs/>
          <w:noProof/>
        </w:rPr>
      </w:pPr>
      <w:r w:rsidRPr="003A1562">
        <w:rPr>
          <w:rFonts w:ascii="Times New Roman" w:eastAsia="Times New Roman" w:hAnsi="Times New Roman" w:cs="Times New Roman"/>
          <w:bCs/>
          <w:noProof/>
        </w:rPr>
        <w:t>Részösszegzés és a kötelező teszt. (Part summary and the compulsory test writing.)</w:t>
      </w:r>
    </w:p>
    <w:p w:rsidR="003A1562" w:rsidRPr="003A1562" w:rsidRDefault="003A1562" w:rsidP="00980876">
      <w:pPr>
        <w:widowControl w:val="0"/>
        <w:numPr>
          <w:ilvl w:val="1"/>
          <w:numId w:val="825"/>
        </w:numPr>
        <w:tabs>
          <w:tab w:val="left" w:pos="709"/>
          <w:tab w:val="left" w:pos="993"/>
          <w:tab w:val="num" w:pos="3977"/>
        </w:tabs>
        <w:spacing w:before="120" w:after="120" w:line="240" w:lineRule="auto"/>
        <w:ind w:left="567" w:hanging="573"/>
        <w:jc w:val="both"/>
        <w:rPr>
          <w:rFonts w:ascii="Times New Roman" w:eastAsia="Times New Roman" w:hAnsi="Times New Roman" w:cs="Times New Roman"/>
          <w:bCs/>
          <w:noProof/>
        </w:rPr>
      </w:pPr>
      <w:r w:rsidRPr="003A1562">
        <w:rPr>
          <w:rFonts w:ascii="Times New Roman" w:eastAsia="Times New Roman" w:hAnsi="Times New Roman" w:cs="Times New Roman"/>
          <w:bCs/>
          <w:noProof/>
        </w:rPr>
        <w:t>Magyar kül- és biztonságpolitika 1. (Hungarian foreign and security policy 1.) Az euro-atlanti integráció folyamata és kihívásai 1990-2004. A hármas prioritás dinamikája. (The process and challenges of Euro-Atlantic Integration 1990-2004. Dynamics of three priorities);</w:t>
      </w:r>
    </w:p>
    <w:p w:rsidR="003A1562" w:rsidRPr="003A1562" w:rsidRDefault="003A1562" w:rsidP="00980876">
      <w:pPr>
        <w:widowControl w:val="0"/>
        <w:numPr>
          <w:ilvl w:val="1"/>
          <w:numId w:val="825"/>
        </w:numPr>
        <w:tabs>
          <w:tab w:val="left" w:pos="709"/>
          <w:tab w:val="left" w:pos="993"/>
          <w:tab w:val="num" w:pos="3977"/>
        </w:tabs>
        <w:spacing w:before="120" w:after="120" w:line="240" w:lineRule="auto"/>
        <w:ind w:left="567" w:hanging="573"/>
        <w:jc w:val="both"/>
        <w:rPr>
          <w:rFonts w:ascii="Times New Roman" w:eastAsia="Times New Roman" w:hAnsi="Times New Roman" w:cs="Times New Roman"/>
          <w:b/>
        </w:rPr>
      </w:pPr>
      <w:r w:rsidRPr="003A1562">
        <w:rPr>
          <w:rFonts w:ascii="Times New Roman" w:eastAsia="Times New Roman" w:hAnsi="Times New Roman" w:cs="Times New Roman"/>
          <w:bCs/>
          <w:noProof/>
        </w:rPr>
        <w:t>Magyar kül- és biztonságpolitika 2. (Hungarian foreign and security policy 2.) Magyar kül- és biztonságpolitika a NATO és az EU keretei között. Kül- és biztonsági stratégiák. Missziók. (Hungarian foreign and security policy within framework of NATO and the EU. External and security strategies. Missions).</w:t>
      </w:r>
      <w:r w:rsidRPr="003A1562">
        <w:rPr>
          <w:rFonts w:ascii="Times New Roman" w:eastAsia="Times New Roman" w:hAnsi="Times New Roman" w:cs="Times New Roman"/>
          <w:b/>
        </w:rPr>
        <w:t xml:space="preserve"> </w:t>
      </w:r>
    </w:p>
    <w:p w:rsidR="003A1562" w:rsidRPr="003A1562" w:rsidRDefault="003A1562" w:rsidP="00980876">
      <w:pPr>
        <w:widowControl w:val="0"/>
        <w:numPr>
          <w:ilvl w:val="0"/>
          <w:numId w:val="825"/>
        </w:numPr>
        <w:tabs>
          <w:tab w:val="num" w:pos="720"/>
        </w:tabs>
        <w:spacing w:before="120" w:after="120" w:line="240" w:lineRule="auto"/>
        <w:ind w:left="426" w:hanging="142"/>
        <w:jc w:val="both"/>
        <w:rPr>
          <w:rFonts w:ascii="Times New Roman" w:eastAsia="Times New Roman" w:hAnsi="Times New Roman" w:cs="Times New Roman"/>
          <w:bCs/>
        </w:rPr>
      </w:pPr>
      <w:r w:rsidRPr="003A1562">
        <w:rPr>
          <w:rFonts w:ascii="Times New Roman" w:eastAsia="Times New Roman" w:hAnsi="Times New Roman" w:cs="Times New Roman"/>
          <w:b/>
          <w:bCs/>
        </w:rPr>
        <w:t xml:space="preserve">A tantárgy meghirdetésének gyakorisága/a tantervben történő félévi elhelyezkedése: </w:t>
      </w:r>
      <w:r w:rsidRPr="003A1562">
        <w:rPr>
          <w:rFonts w:ascii="Times New Roman" w:eastAsia="Times New Roman" w:hAnsi="Times New Roman" w:cs="Times New Roman"/>
          <w:bCs/>
          <w:noProof/>
        </w:rPr>
        <w:t>3.</w:t>
      </w:r>
      <w:r w:rsidRPr="003A1562">
        <w:rPr>
          <w:rFonts w:ascii="Times New Roman" w:eastAsia="Times New Roman" w:hAnsi="Times New Roman" w:cs="Times New Roman"/>
          <w:bCs/>
        </w:rPr>
        <w:t xml:space="preserve"> félév</w:t>
      </w:r>
    </w:p>
    <w:p w:rsidR="003A1562" w:rsidRPr="003A1562" w:rsidRDefault="003A1562" w:rsidP="00980876">
      <w:pPr>
        <w:widowControl w:val="0"/>
        <w:numPr>
          <w:ilvl w:val="0"/>
          <w:numId w:val="825"/>
        </w:numPr>
        <w:tabs>
          <w:tab w:val="num" w:pos="720"/>
        </w:tabs>
        <w:spacing w:before="120" w:after="120" w:line="240" w:lineRule="auto"/>
        <w:ind w:left="426" w:hanging="142"/>
        <w:jc w:val="both"/>
        <w:rPr>
          <w:rFonts w:ascii="Times New Roman" w:eastAsia="Times New Roman" w:hAnsi="Times New Roman" w:cs="Times New Roman"/>
          <w:bCs/>
        </w:rPr>
      </w:pPr>
      <w:r w:rsidRPr="003A1562">
        <w:rPr>
          <w:rFonts w:ascii="Times New Roman" w:eastAsia="Times New Roman" w:hAnsi="Times New Roman" w:cs="Times New Roman"/>
          <w:b/>
          <w:bCs/>
        </w:rPr>
        <w:t>A tanórákon való részvétel követelményei, az elfogadható hiányzások mértéke, a távolmaradás pótlásának lehetősége:</w:t>
      </w:r>
    </w:p>
    <w:p w:rsidR="003A1562" w:rsidRPr="003A1562" w:rsidRDefault="003A1562" w:rsidP="003A1562">
      <w:pPr>
        <w:widowControl w:val="0"/>
        <w:spacing w:before="120" w:after="120" w:line="240" w:lineRule="auto"/>
        <w:ind w:left="426"/>
        <w:jc w:val="both"/>
        <w:rPr>
          <w:rFonts w:ascii="Times New Roman" w:eastAsia="Times New Roman" w:hAnsi="Times New Roman" w:cs="Times New Roman"/>
          <w:bCs/>
        </w:rPr>
      </w:pPr>
      <w:r w:rsidRPr="003A1562">
        <w:rPr>
          <w:rFonts w:ascii="Times New Roman" w:eastAsia="Times New Roman" w:hAnsi="Times New Roman" w:cs="Times New Roman"/>
          <w:bCs/>
          <w:noProof/>
        </w:rPr>
        <w:t>A hallgató köteles a tanórák 75%-án jelen lenni (21 kontaktóra). 25%-ot meghaladó hiányzás esetén (7 kontaktóra) a félév teljesítése nem írható alá. Fel nem róható ok (egészségügyi, szolgálati, vezénylési) miatti hiányzás, és annak igazolása esetén a hallgatói hiányzás igazoltnak tekintendő (minden eset egyedi elbírálás alá esik). Ebben az esetben egyrészt a hallgató köteles az előadás anyagát beszerezni, abból önállóan felkészülni. Másrészt a kiesett időszak az oktató által kijelölt témakörben (formai és tartalmi feladatszabásnak megfelelően) beadott, legalább elégségesre értékelt házidolgozattal pótolható. Ennek a határidejét is minden egyes esetben az oktatóval kell egyeztetni.</w:t>
      </w:r>
    </w:p>
    <w:p w:rsidR="003A1562" w:rsidRPr="003A1562" w:rsidRDefault="003A1562" w:rsidP="00980876">
      <w:pPr>
        <w:widowControl w:val="0"/>
        <w:numPr>
          <w:ilvl w:val="0"/>
          <w:numId w:val="825"/>
        </w:numPr>
        <w:tabs>
          <w:tab w:val="num" w:pos="720"/>
        </w:tabs>
        <w:spacing w:before="120" w:after="120" w:line="240" w:lineRule="auto"/>
        <w:ind w:left="426" w:hanging="142"/>
        <w:jc w:val="both"/>
        <w:rPr>
          <w:rFonts w:ascii="Times New Roman" w:eastAsia="Times New Roman" w:hAnsi="Times New Roman" w:cs="Times New Roman"/>
          <w:bCs/>
        </w:rPr>
      </w:pPr>
      <w:r w:rsidRPr="003A1562">
        <w:rPr>
          <w:rFonts w:ascii="Times New Roman" w:eastAsia="Times New Roman" w:hAnsi="Times New Roman" w:cs="Times New Roman"/>
          <w:b/>
        </w:rPr>
        <w:t>Félévközi feladatok, ismeretek ellenőrzésének rendje:</w:t>
      </w:r>
    </w:p>
    <w:p w:rsidR="003A1562" w:rsidRPr="003A1562" w:rsidRDefault="003A1562" w:rsidP="003A1562">
      <w:pPr>
        <w:widowControl w:val="0"/>
        <w:spacing w:before="120" w:after="120" w:line="240" w:lineRule="auto"/>
        <w:ind w:left="426"/>
        <w:jc w:val="both"/>
        <w:rPr>
          <w:rFonts w:ascii="Times New Roman" w:eastAsia="Times New Roman" w:hAnsi="Times New Roman" w:cs="Times New Roman"/>
          <w:bCs/>
        </w:rPr>
      </w:pPr>
      <w:r w:rsidRPr="003A1562">
        <w:rPr>
          <w:rFonts w:ascii="Times New Roman" w:eastAsia="Times New Roman" w:hAnsi="Times New Roman" w:cs="Times New Roman"/>
          <w:bCs/>
          <w:noProof/>
        </w:rPr>
        <w:t>A tanulmányi munka elsődleges meghatározója az előadásokon való részvétel (a tematikában meghatározttak szerint). Az aláírás megszerzéséhez azonban kötelező egy teszt kitöltése is két héttel a félév vége előtt. Ennek eredményességi minimuma: 510%. Eredménytelen (csak elégtelen) teszt esetén egy héttel a félév vége előtt a teszt megismételhető. Abban az esetben, ha ez sem éri el az 51%-ot, akkor a félév nem írható alá. Az írásbeli teszt és majd az írásbeli kollokvium szummatív értékelésének alakulása a következő: Eredményességi minimum: 51%. 51-69% esetén elégséges, 70-80% esetén közepes (3), 81-90% esetén jó (4), illetve, ha 91-100% közötti az eredmény jeles (5) osztályzat. Jó (4) és jeles (5) érdemjegy esetén jegy ajánlható meg.</w:t>
      </w:r>
    </w:p>
    <w:p w:rsidR="003A1562" w:rsidRPr="003A1562" w:rsidRDefault="003A1562" w:rsidP="003A1562">
      <w:pPr>
        <w:rPr>
          <w:rFonts w:ascii="Times New Roman" w:eastAsia="Times New Roman" w:hAnsi="Times New Roman" w:cs="Times New Roman"/>
          <w:b/>
          <w:bCs/>
        </w:rPr>
      </w:pPr>
      <w:r w:rsidRPr="003A1562">
        <w:rPr>
          <w:rFonts w:ascii="Times New Roman" w:eastAsia="Times New Roman" w:hAnsi="Times New Roman" w:cs="Times New Roman"/>
          <w:b/>
          <w:bCs/>
        </w:rPr>
        <w:br w:type="page"/>
      </w:r>
    </w:p>
    <w:p w:rsidR="003A1562" w:rsidRPr="003A1562" w:rsidRDefault="003A1562" w:rsidP="00980876">
      <w:pPr>
        <w:widowControl w:val="0"/>
        <w:numPr>
          <w:ilvl w:val="0"/>
          <w:numId w:val="825"/>
        </w:numPr>
        <w:tabs>
          <w:tab w:val="num" w:pos="720"/>
        </w:tabs>
        <w:spacing w:before="120" w:after="120" w:line="240" w:lineRule="auto"/>
        <w:ind w:left="426" w:hanging="142"/>
        <w:jc w:val="both"/>
        <w:rPr>
          <w:rFonts w:ascii="Times New Roman" w:eastAsia="Times New Roman" w:hAnsi="Times New Roman" w:cs="Times New Roman"/>
          <w:b/>
          <w:bCs/>
        </w:rPr>
      </w:pPr>
      <w:r w:rsidRPr="003A1562">
        <w:rPr>
          <w:rFonts w:ascii="Times New Roman" w:eastAsia="Times New Roman" w:hAnsi="Times New Roman" w:cs="Times New Roman"/>
          <w:b/>
          <w:bCs/>
        </w:rPr>
        <w:lastRenderedPageBreak/>
        <w:t xml:space="preserve">Az értékelés, az aláírás és a kreditek megszerzésének pontos feltételei: </w:t>
      </w:r>
    </w:p>
    <w:p w:rsidR="003A1562" w:rsidRPr="003A1562" w:rsidRDefault="003A1562" w:rsidP="00980876">
      <w:pPr>
        <w:widowControl w:val="0"/>
        <w:numPr>
          <w:ilvl w:val="1"/>
          <w:numId w:val="825"/>
        </w:numPr>
        <w:tabs>
          <w:tab w:val="left" w:pos="709"/>
          <w:tab w:val="left" w:pos="993"/>
          <w:tab w:val="num" w:pos="3977"/>
        </w:tabs>
        <w:spacing w:before="120" w:after="120" w:line="240" w:lineRule="auto"/>
        <w:ind w:left="426"/>
        <w:jc w:val="both"/>
        <w:rPr>
          <w:rFonts w:ascii="Times New Roman" w:eastAsia="Times New Roman" w:hAnsi="Times New Roman" w:cs="Times New Roman"/>
        </w:rPr>
      </w:pPr>
      <w:r w:rsidRPr="003A1562">
        <w:rPr>
          <w:rFonts w:ascii="Times New Roman" w:eastAsia="Times New Roman" w:hAnsi="Times New Roman" w:cs="Times New Roman"/>
          <w:b/>
        </w:rPr>
        <w:t>Az aláírás megszerzésének feltételei:</w:t>
      </w:r>
    </w:p>
    <w:p w:rsidR="003A1562" w:rsidRPr="003A1562" w:rsidRDefault="003A1562" w:rsidP="003A1562">
      <w:pPr>
        <w:widowControl w:val="0"/>
        <w:tabs>
          <w:tab w:val="left" w:pos="993"/>
        </w:tabs>
        <w:spacing w:before="120" w:after="120" w:line="240" w:lineRule="auto"/>
        <w:ind w:left="426"/>
        <w:jc w:val="both"/>
        <w:rPr>
          <w:rFonts w:ascii="Times New Roman" w:eastAsia="Times New Roman" w:hAnsi="Times New Roman" w:cs="Times New Roman"/>
        </w:rPr>
      </w:pPr>
      <w:r w:rsidRPr="003A1562">
        <w:rPr>
          <w:rFonts w:ascii="Times New Roman" w:eastAsia="Times New Roman" w:hAnsi="Times New Roman" w:cs="Times New Roman"/>
          <w:noProof/>
        </w:rPr>
        <w:t>A tematikában meghatározottak (14. és 15. pont) alapján az órai jelenlét és a félévközi feladat (teszt) együttes teljesítése esetén a félév aláírható.</w:t>
      </w:r>
    </w:p>
    <w:p w:rsidR="003A1562" w:rsidRPr="003A1562" w:rsidRDefault="003A1562" w:rsidP="00980876">
      <w:pPr>
        <w:widowControl w:val="0"/>
        <w:numPr>
          <w:ilvl w:val="1"/>
          <w:numId w:val="825"/>
        </w:numPr>
        <w:tabs>
          <w:tab w:val="left" w:pos="709"/>
          <w:tab w:val="left" w:pos="993"/>
          <w:tab w:val="num" w:pos="3977"/>
        </w:tabs>
        <w:spacing w:before="120" w:after="120" w:line="240" w:lineRule="auto"/>
        <w:ind w:left="426"/>
        <w:jc w:val="both"/>
        <w:rPr>
          <w:rFonts w:ascii="Times New Roman" w:eastAsia="Times New Roman" w:hAnsi="Times New Roman" w:cs="Times New Roman"/>
        </w:rPr>
      </w:pPr>
      <w:r w:rsidRPr="003A1562">
        <w:rPr>
          <w:rFonts w:ascii="Times New Roman" w:eastAsia="Times New Roman" w:hAnsi="Times New Roman" w:cs="Times New Roman"/>
          <w:b/>
        </w:rPr>
        <w:t>Az értékelés:</w:t>
      </w:r>
    </w:p>
    <w:p w:rsidR="003A1562" w:rsidRPr="003A1562" w:rsidRDefault="003A1562" w:rsidP="003A1562">
      <w:pPr>
        <w:widowControl w:val="0"/>
        <w:tabs>
          <w:tab w:val="left" w:pos="993"/>
        </w:tabs>
        <w:spacing w:before="120" w:after="120" w:line="240" w:lineRule="auto"/>
        <w:ind w:left="426"/>
        <w:jc w:val="both"/>
        <w:rPr>
          <w:rFonts w:ascii="Times New Roman" w:eastAsia="Times New Roman" w:hAnsi="Times New Roman" w:cs="Times New Roman"/>
        </w:rPr>
      </w:pPr>
      <w:r w:rsidRPr="003A1562">
        <w:rPr>
          <w:rFonts w:ascii="Times New Roman" w:eastAsia="Times New Roman" w:hAnsi="Times New Roman" w:cs="Times New Roman"/>
          <w:noProof/>
        </w:rPr>
        <w:t>Írásbeli kollokvium, ötfokozatú értékelés (lásd 15. pont). Vizsgakövetelmény a tematikában megadott tárgykörök, témák, az órai előadások anyaga, illetve a kötelező és az ajánlott irodalom ismerete.</w:t>
      </w:r>
    </w:p>
    <w:p w:rsidR="003A1562" w:rsidRPr="003A1562" w:rsidRDefault="003A1562" w:rsidP="00980876">
      <w:pPr>
        <w:widowControl w:val="0"/>
        <w:numPr>
          <w:ilvl w:val="1"/>
          <w:numId w:val="825"/>
        </w:numPr>
        <w:tabs>
          <w:tab w:val="left" w:pos="709"/>
          <w:tab w:val="left" w:pos="993"/>
          <w:tab w:val="num" w:pos="3977"/>
        </w:tabs>
        <w:spacing w:before="120" w:after="120" w:line="240" w:lineRule="auto"/>
        <w:ind w:left="426"/>
        <w:jc w:val="both"/>
        <w:rPr>
          <w:rFonts w:ascii="Times New Roman" w:eastAsia="Times New Roman" w:hAnsi="Times New Roman" w:cs="Times New Roman"/>
        </w:rPr>
      </w:pPr>
      <w:r w:rsidRPr="003A1562">
        <w:rPr>
          <w:rFonts w:ascii="Times New Roman" w:eastAsia="Times New Roman" w:hAnsi="Times New Roman" w:cs="Times New Roman"/>
          <w:b/>
        </w:rPr>
        <w:t>A kreditek megszerzésének feltételei:</w:t>
      </w:r>
      <w:r w:rsidRPr="003A1562">
        <w:rPr>
          <w:rFonts w:ascii="Times New Roman" w:eastAsia="Times New Roman" w:hAnsi="Times New Roman" w:cs="Times New Roman"/>
        </w:rPr>
        <w:t xml:space="preserve"> </w:t>
      </w:r>
    </w:p>
    <w:p w:rsidR="003A1562" w:rsidRPr="003A1562" w:rsidRDefault="003A1562" w:rsidP="003A1562">
      <w:pPr>
        <w:widowControl w:val="0"/>
        <w:tabs>
          <w:tab w:val="left" w:pos="993"/>
        </w:tabs>
        <w:spacing w:before="120" w:after="120" w:line="240" w:lineRule="auto"/>
        <w:ind w:left="426"/>
        <w:jc w:val="both"/>
        <w:rPr>
          <w:rFonts w:ascii="Times New Roman" w:eastAsia="Times New Roman" w:hAnsi="Times New Roman" w:cs="Times New Roman"/>
        </w:rPr>
      </w:pPr>
      <w:r w:rsidRPr="003A1562">
        <w:rPr>
          <w:rFonts w:ascii="Times New Roman" w:eastAsia="Times New Roman" w:hAnsi="Times New Roman" w:cs="Times New Roman"/>
        </w:rPr>
        <w:t xml:space="preserve">A kreditek megszerzésének feltétele az aláírás megszerzése és legalább elégséges </w:t>
      </w:r>
      <w:r w:rsidRPr="003A1562">
        <w:rPr>
          <w:rFonts w:ascii="Times New Roman" w:eastAsia="Times New Roman" w:hAnsi="Times New Roman" w:cs="Times New Roman"/>
          <w:noProof/>
        </w:rPr>
        <w:t>kollokvium (K)</w:t>
      </w:r>
      <w:r w:rsidRPr="003A1562">
        <w:rPr>
          <w:rFonts w:ascii="Times New Roman" w:eastAsia="Times New Roman" w:hAnsi="Times New Roman" w:cs="Times New Roman"/>
        </w:rPr>
        <w:t>.</w:t>
      </w:r>
    </w:p>
    <w:p w:rsidR="003A1562" w:rsidRPr="003A1562" w:rsidRDefault="003A1562" w:rsidP="00980876">
      <w:pPr>
        <w:widowControl w:val="0"/>
        <w:numPr>
          <w:ilvl w:val="0"/>
          <w:numId w:val="825"/>
        </w:numPr>
        <w:tabs>
          <w:tab w:val="num" w:pos="720"/>
        </w:tabs>
        <w:spacing w:before="120" w:after="120" w:line="240" w:lineRule="auto"/>
        <w:ind w:left="426" w:hanging="142"/>
        <w:jc w:val="both"/>
        <w:rPr>
          <w:rFonts w:ascii="Times New Roman" w:eastAsia="Times New Roman" w:hAnsi="Times New Roman" w:cs="Times New Roman"/>
          <w:bCs/>
        </w:rPr>
      </w:pPr>
      <w:r w:rsidRPr="003A1562">
        <w:rPr>
          <w:rFonts w:ascii="Times New Roman" w:eastAsia="Times New Roman" w:hAnsi="Times New Roman" w:cs="Times New Roman"/>
          <w:b/>
          <w:bCs/>
        </w:rPr>
        <w:t>Irodalomjegyzék:</w:t>
      </w:r>
    </w:p>
    <w:p w:rsidR="003A1562" w:rsidRPr="003A1562" w:rsidRDefault="003A1562" w:rsidP="00980876">
      <w:pPr>
        <w:widowControl w:val="0"/>
        <w:numPr>
          <w:ilvl w:val="1"/>
          <w:numId w:val="825"/>
        </w:numPr>
        <w:tabs>
          <w:tab w:val="left" w:pos="993"/>
          <w:tab w:val="num" w:pos="3977"/>
        </w:tabs>
        <w:spacing w:before="120" w:after="120" w:line="240" w:lineRule="auto"/>
        <w:ind w:left="426" w:hanging="142"/>
        <w:jc w:val="both"/>
        <w:rPr>
          <w:rFonts w:ascii="Times New Roman" w:eastAsia="Times New Roman" w:hAnsi="Times New Roman" w:cs="Times New Roman"/>
          <w:bCs/>
        </w:rPr>
      </w:pPr>
      <w:r w:rsidRPr="003A1562">
        <w:rPr>
          <w:rFonts w:ascii="Times New Roman" w:eastAsia="Times New Roman" w:hAnsi="Times New Roman" w:cs="Times New Roman"/>
          <w:b/>
          <w:bCs/>
        </w:rPr>
        <w:t>Kötelező irodalom:</w:t>
      </w:r>
    </w:p>
    <w:p w:rsidR="003A1562" w:rsidRPr="003A1562" w:rsidRDefault="003A1562" w:rsidP="00980876">
      <w:pPr>
        <w:widowControl w:val="0"/>
        <w:numPr>
          <w:ilvl w:val="0"/>
          <w:numId w:val="826"/>
        </w:numPr>
        <w:spacing w:after="0" w:line="240" w:lineRule="auto"/>
        <w:jc w:val="both"/>
        <w:rPr>
          <w:rFonts w:ascii="Times New Roman" w:eastAsia="Times New Roman" w:hAnsi="Times New Roman" w:cs="Times New Roman"/>
          <w:noProof/>
        </w:rPr>
      </w:pPr>
      <w:r w:rsidRPr="003A1562">
        <w:rPr>
          <w:rFonts w:ascii="Times New Roman" w:eastAsia="Times New Roman" w:hAnsi="Times New Roman" w:cs="Times New Roman"/>
          <w:noProof/>
        </w:rPr>
        <w:t>Egedy Gergely: Bevezetés a nemzetközi kapcsolatok elméletébe. Budapest. HVG-ORAC, Budapest,. 2011. ISBN 9789632581361;</w:t>
      </w:r>
    </w:p>
    <w:p w:rsidR="003A1562" w:rsidRPr="003A1562" w:rsidRDefault="003A1562" w:rsidP="00980876">
      <w:pPr>
        <w:widowControl w:val="0"/>
        <w:numPr>
          <w:ilvl w:val="0"/>
          <w:numId w:val="826"/>
        </w:numPr>
        <w:spacing w:after="0" w:line="240" w:lineRule="auto"/>
        <w:ind w:left="709" w:hanging="425"/>
        <w:jc w:val="both"/>
        <w:rPr>
          <w:rFonts w:ascii="Times New Roman" w:eastAsia="Times New Roman" w:hAnsi="Times New Roman" w:cs="Times New Roman"/>
        </w:rPr>
      </w:pPr>
      <w:r w:rsidRPr="003A1562">
        <w:rPr>
          <w:rFonts w:ascii="Times New Roman" w:eastAsia="Times New Roman" w:hAnsi="Times New Roman" w:cs="Times New Roman"/>
          <w:noProof/>
        </w:rPr>
        <w:t>Gazdag Ferenc – Remek Éva: A biztonsági tanulmányok alapjai.  Budapest. Dialóg Campus  Kiadó. 2018. ISBN 9786155845871 (nyomtatott) és ISBN 9786155845888 (elektronikus).</w:t>
      </w:r>
    </w:p>
    <w:p w:rsidR="003A1562" w:rsidRPr="003A1562" w:rsidRDefault="003A1562" w:rsidP="00980876">
      <w:pPr>
        <w:widowControl w:val="0"/>
        <w:numPr>
          <w:ilvl w:val="1"/>
          <w:numId w:val="825"/>
        </w:numPr>
        <w:tabs>
          <w:tab w:val="left" w:pos="993"/>
          <w:tab w:val="num" w:pos="3977"/>
        </w:tabs>
        <w:spacing w:before="120" w:after="120" w:line="240" w:lineRule="auto"/>
        <w:ind w:left="426" w:hanging="142"/>
        <w:jc w:val="both"/>
        <w:rPr>
          <w:rFonts w:ascii="Times New Roman" w:eastAsia="Times New Roman" w:hAnsi="Times New Roman" w:cs="Times New Roman"/>
          <w:b/>
          <w:bCs/>
        </w:rPr>
      </w:pPr>
      <w:r w:rsidRPr="003A1562">
        <w:rPr>
          <w:rFonts w:ascii="Times New Roman" w:eastAsia="Times New Roman" w:hAnsi="Times New Roman" w:cs="Times New Roman"/>
          <w:b/>
          <w:bCs/>
        </w:rPr>
        <w:t>Ajánlott irodalom:</w:t>
      </w:r>
    </w:p>
    <w:p w:rsidR="003A1562" w:rsidRPr="003A1562" w:rsidRDefault="003A1562" w:rsidP="00980876">
      <w:pPr>
        <w:widowControl w:val="0"/>
        <w:numPr>
          <w:ilvl w:val="0"/>
          <w:numId w:val="827"/>
        </w:numPr>
        <w:spacing w:after="0" w:line="240" w:lineRule="auto"/>
        <w:jc w:val="both"/>
        <w:rPr>
          <w:rFonts w:ascii="Times New Roman" w:eastAsia="Times New Roman" w:hAnsi="Times New Roman" w:cs="Times New Roman"/>
          <w:noProof/>
        </w:rPr>
      </w:pPr>
      <w:r w:rsidRPr="003A1562">
        <w:rPr>
          <w:rFonts w:ascii="Times New Roman" w:eastAsia="Times New Roman" w:hAnsi="Times New Roman" w:cs="Times New Roman"/>
          <w:noProof/>
        </w:rPr>
        <w:t>Steve Tulliu, Steve – Thomas Schmalberger: A biztonság megértése felé.UNIDIR-SVKK, Genf-Budapest,. 2003. ISBN 9638117907;</w:t>
      </w:r>
    </w:p>
    <w:p w:rsidR="003A1562" w:rsidRPr="003A1562" w:rsidRDefault="003A1562" w:rsidP="00980876">
      <w:pPr>
        <w:widowControl w:val="0"/>
        <w:numPr>
          <w:ilvl w:val="0"/>
          <w:numId w:val="827"/>
        </w:numPr>
        <w:spacing w:after="0" w:line="240" w:lineRule="auto"/>
        <w:ind w:left="709" w:hanging="425"/>
        <w:jc w:val="both"/>
        <w:rPr>
          <w:rFonts w:ascii="Times New Roman" w:eastAsia="Times New Roman" w:hAnsi="Times New Roman" w:cs="Times New Roman"/>
          <w:noProof/>
        </w:rPr>
      </w:pPr>
      <w:r w:rsidRPr="003A1562">
        <w:rPr>
          <w:rFonts w:ascii="Times New Roman" w:eastAsia="Times New Roman" w:hAnsi="Times New Roman" w:cs="Times New Roman"/>
          <w:noProof/>
        </w:rPr>
        <w:t>Bába Iván (főszerk.) – Sáringer János (szerk.): Diplomáciai lexikon, A nemzetközi kapcsolatok kézikönyve. Éghajlat Könyvkiadó, Budapest,. 2018. ISBN 9789639862142;</w:t>
      </w:r>
    </w:p>
    <w:p w:rsidR="003A1562" w:rsidRPr="003A1562" w:rsidRDefault="003A1562" w:rsidP="00980876">
      <w:pPr>
        <w:widowControl w:val="0"/>
        <w:numPr>
          <w:ilvl w:val="0"/>
          <w:numId w:val="827"/>
        </w:numPr>
        <w:spacing w:after="0" w:line="240" w:lineRule="auto"/>
        <w:ind w:left="709" w:hanging="425"/>
        <w:jc w:val="both"/>
        <w:rPr>
          <w:rFonts w:ascii="Times New Roman" w:eastAsia="Times New Roman" w:hAnsi="Times New Roman" w:cs="Times New Roman"/>
        </w:rPr>
      </w:pPr>
      <w:r w:rsidRPr="003A1562">
        <w:rPr>
          <w:rFonts w:ascii="Times New Roman" w:eastAsia="Times New Roman" w:hAnsi="Times New Roman" w:cs="Times New Roman"/>
          <w:noProof/>
        </w:rPr>
        <w:t>Nemzet és biztonság. SVKK Kiadvány. ISSN 1789-5286.</w:t>
      </w:r>
      <w:r w:rsidRPr="003A1562">
        <w:rPr>
          <w:rFonts w:ascii="Times New Roman" w:eastAsia="Times New Roman" w:hAnsi="Times New Roman" w:cs="Times New Roman"/>
        </w:rPr>
        <w:t xml:space="preserve"> </w:t>
      </w:r>
    </w:p>
    <w:p w:rsidR="003A1562" w:rsidRPr="003A1562" w:rsidRDefault="003A1562" w:rsidP="003A1562">
      <w:pPr>
        <w:widowControl w:val="0"/>
        <w:spacing w:before="120" w:after="120" w:line="240" w:lineRule="auto"/>
        <w:jc w:val="both"/>
        <w:rPr>
          <w:rFonts w:ascii="Times New Roman" w:eastAsia="Times New Roman" w:hAnsi="Times New Roman" w:cs="Times New Roman"/>
          <w:bCs/>
        </w:rPr>
      </w:pPr>
    </w:p>
    <w:p w:rsidR="003A1562" w:rsidRPr="003A1562" w:rsidRDefault="003A1562" w:rsidP="003A1562">
      <w:pPr>
        <w:widowControl w:val="0"/>
        <w:spacing w:before="120" w:after="120" w:line="240" w:lineRule="auto"/>
        <w:jc w:val="both"/>
        <w:rPr>
          <w:rFonts w:ascii="Times New Roman" w:eastAsia="Times New Roman" w:hAnsi="Times New Roman" w:cs="Times New Roman"/>
          <w:bCs/>
        </w:rPr>
      </w:pPr>
      <w:r w:rsidRPr="003A1562">
        <w:rPr>
          <w:rFonts w:ascii="Times New Roman" w:eastAsia="Times New Roman" w:hAnsi="Times New Roman" w:cs="Times New Roman"/>
          <w:bCs/>
        </w:rPr>
        <w:t xml:space="preserve">Budapest, </w:t>
      </w:r>
      <w:r w:rsidRPr="003A1562">
        <w:rPr>
          <w:rFonts w:ascii="Times New Roman" w:eastAsia="Times New Roman" w:hAnsi="Times New Roman" w:cs="Times New Roman"/>
          <w:bCs/>
        </w:rPr>
        <w:fldChar w:fldCharType="begin"/>
      </w:r>
      <w:r w:rsidRPr="003A1562">
        <w:rPr>
          <w:rFonts w:ascii="Times New Roman" w:eastAsia="Times New Roman" w:hAnsi="Times New Roman" w:cs="Times New Roman"/>
          <w:bCs/>
        </w:rPr>
        <w:instrText xml:space="preserve"> TIME \@ "yyyy.MM.dd." </w:instrText>
      </w:r>
      <w:r w:rsidRPr="003A1562">
        <w:rPr>
          <w:rFonts w:ascii="Times New Roman" w:eastAsia="Times New Roman" w:hAnsi="Times New Roman" w:cs="Times New Roman"/>
          <w:bCs/>
        </w:rPr>
        <w:fldChar w:fldCharType="separate"/>
      </w:r>
      <w:r w:rsidR="004D708E">
        <w:rPr>
          <w:rFonts w:ascii="Times New Roman" w:eastAsia="Times New Roman" w:hAnsi="Times New Roman" w:cs="Times New Roman"/>
          <w:bCs/>
          <w:noProof/>
        </w:rPr>
        <w:t>2020.09.16.</w:t>
      </w:r>
      <w:r w:rsidRPr="003A1562">
        <w:rPr>
          <w:rFonts w:ascii="Times New Roman" w:eastAsia="Times New Roman" w:hAnsi="Times New Roman" w:cs="Times New Roman"/>
          <w:bCs/>
        </w:rPr>
        <w:fldChar w:fldCharType="end"/>
      </w:r>
    </w:p>
    <w:p w:rsidR="003A1562" w:rsidRPr="003A1562" w:rsidRDefault="003A1562" w:rsidP="003A1562">
      <w:pPr>
        <w:widowControl w:val="0"/>
        <w:spacing w:before="120" w:after="120" w:line="240" w:lineRule="auto"/>
        <w:jc w:val="both"/>
        <w:rPr>
          <w:rFonts w:ascii="Times New Roman" w:eastAsia="Times New Roman" w:hAnsi="Times New Roman" w:cs="Times New Roman"/>
          <w:bCs/>
        </w:rPr>
      </w:pPr>
    </w:p>
    <w:p w:rsidR="003A1562" w:rsidRPr="003A1562" w:rsidRDefault="003A1562" w:rsidP="003A1562">
      <w:pPr>
        <w:widowControl w:val="0"/>
        <w:spacing w:after="0" w:line="240" w:lineRule="auto"/>
        <w:jc w:val="right"/>
        <w:rPr>
          <w:rFonts w:ascii="Times New Roman" w:eastAsia="Times New Roman" w:hAnsi="Times New Roman" w:cs="Times New Roman"/>
          <w:b/>
          <w:bCs/>
        </w:rPr>
      </w:pPr>
      <w:r w:rsidRPr="003A1562">
        <w:rPr>
          <w:rFonts w:ascii="Times New Roman" w:eastAsia="Times New Roman" w:hAnsi="Times New Roman" w:cs="Times New Roman"/>
          <w:b/>
          <w:bCs/>
          <w:noProof/>
        </w:rPr>
        <w:t>Dr. Remek Éva</w:t>
      </w:r>
      <w:r w:rsidRPr="003A1562">
        <w:rPr>
          <w:rFonts w:ascii="Times New Roman" w:eastAsia="Times New Roman" w:hAnsi="Times New Roman" w:cs="Times New Roman"/>
          <w:b/>
          <w:bCs/>
        </w:rPr>
        <w:t xml:space="preserve">, </w:t>
      </w:r>
      <w:r w:rsidRPr="003A1562">
        <w:rPr>
          <w:rFonts w:ascii="Times New Roman" w:eastAsia="Times New Roman" w:hAnsi="Times New Roman" w:cs="Times New Roman"/>
          <w:b/>
          <w:bCs/>
          <w:noProof/>
        </w:rPr>
        <w:t>PhD</w:t>
      </w:r>
    </w:p>
    <w:p w:rsidR="003A1562" w:rsidRPr="003A1562" w:rsidRDefault="003A1562" w:rsidP="003A1562">
      <w:pPr>
        <w:widowControl w:val="0"/>
        <w:spacing w:after="0" w:line="240" w:lineRule="auto"/>
        <w:jc w:val="right"/>
        <w:rPr>
          <w:rFonts w:ascii="Times New Roman" w:eastAsia="Times New Roman" w:hAnsi="Times New Roman" w:cs="Times New Roman"/>
          <w:bCs/>
        </w:rPr>
      </w:pPr>
      <w:r w:rsidRPr="003A1562">
        <w:rPr>
          <w:rFonts w:ascii="Times New Roman" w:eastAsia="Times New Roman" w:hAnsi="Times New Roman" w:cs="Times New Roman"/>
          <w:bCs/>
          <w:noProof/>
        </w:rPr>
        <w:t>egyetemi docens</w:t>
      </w:r>
      <w:r w:rsidRPr="003A1562">
        <w:rPr>
          <w:rFonts w:ascii="Times New Roman" w:eastAsia="Times New Roman" w:hAnsi="Times New Roman" w:cs="Times New Roman"/>
          <w:bCs/>
        </w:rPr>
        <w:t xml:space="preserve"> sk.</w:t>
      </w:r>
    </w:p>
    <w:p w:rsidR="00DF75F8" w:rsidRDefault="00DF75F8">
      <w:pPr>
        <w:spacing w:after="200" w:line="276" w:lineRule="auto"/>
        <w:rPr>
          <w:rFonts w:ascii="Times New Roman" w:hAnsi="Times New Roman" w:cs="Times New Roman"/>
          <w:sz w:val="24"/>
        </w:rPr>
      </w:pPr>
    </w:p>
    <w:p w:rsidR="00DF75F8" w:rsidRDefault="00DF75F8">
      <w:pPr>
        <w:spacing w:after="200" w:line="276" w:lineRule="auto"/>
        <w:rPr>
          <w:rFonts w:ascii="Times New Roman" w:hAnsi="Times New Roman" w:cs="Times New Roman"/>
          <w:sz w:val="24"/>
        </w:rPr>
      </w:pPr>
      <w:r>
        <w:rPr>
          <w:rFonts w:ascii="Times New Roman" w:hAnsi="Times New Roman" w:cs="Times New Roman"/>
          <w:sz w:val="24"/>
        </w:rPr>
        <w:br w:type="page"/>
      </w:r>
    </w:p>
    <w:tbl>
      <w:tblPr>
        <w:tblW w:w="9072" w:type="dxa"/>
        <w:tblInd w:w="113" w:type="dxa"/>
        <w:tblLook w:val="01E0" w:firstRow="1" w:lastRow="1" w:firstColumn="1" w:lastColumn="1" w:noHBand="0" w:noVBand="0"/>
      </w:tblPr>
      <w:tblGrid>
        <w:gridCol w:w="4855"/>
        <w:gridCol w:w="1620"/>
        <w:gridCol w:w="2597"/>
      </w:tblGrid>
      <w:tr w:rsidR="00082CA1" w:rsidTr="00082CA1">
        <w:tc>
          <w:tcPr>
            <w:tcW w:w="4855" w:type="dxa"/>
            <w:tcBorders>
              <w:top w:val="nil"/>
              <w:left w:val="nil"/>
              <w:bottom w:val="single" w:sz="4" w:space="0" w:color="auto"/>
              <w:right w:val="nil"/>
            </w:tcBorders>
            <w:hideMark/>
          </w:tcPr>
          <w:p w:rsidR="00082CA1" w:rsidRDefault="00082CA1">
            <w:pPr>
              <w:spacing w:after="0" w:line="240" w:lineRule="auto"/>
              <w:jc w:val="center"/>
              <w:rPr>
                <w:rFonts w:ascii="Times New Roman" w:eastAsia="Times New Roman" w:hAnsi="Times New Roman" w:cs="Times New Roman"/>
                <w:b/>
                <w:smallCaps/>
                <w:lang w:eastAsia="hu-HU"/>
              </w:rPr>
            </w:pPr>
            <w:r>
              <w:rPr>
                <w:rFonts w:ascii="Times New Roman" w:eastAsia="Times New Roman" w:hAnsi="Times New Roman" w:cs="Times New Roman"/>
                <w:b/>
                <w:smallCaps/>
                <w:lang w:eastAsia="hu-HU"/>
              </w:rPr>
              <w:lastRenderedPageBreak/>
              <w:t>Nemzeti Közszolgálati Egyetem</w:t>
            </w:r>
          </w:p>
        </w:tc>
        <w:tc>
          <w:tcPr>
            <w:tcW w:w="1620" w:type="dxa"/>
          </w:tcPr>
          <w:p w:rsidR="00082CA1" w:rsidRDefault="00082CA1">
            <w:pPr>
              <w:spacing w:after="0" w:line="240" w:lineRule="auto"/>
              <w:jc w:val="both"/>
              <w:rPr>
                <w:rFonts w:ascii="Times New Roman" w:eastAsia="Times New Roman" w:hAnsi="Times New Roman" w:cs="Times New Roman"/>
                <w:lang w:eastAsia="hu-HU"/>
              </w:rPr>
            </w:pPr>
          </w:p>
        </w:tc>
        <w:tc>
          <w:tcPr>
            <w:tcW w:w="2597" w:type="dxa"/>
          </w:tcPr>
          <w:p w:rsidR="00082CA1" w:rsidRDefault="00082CA1">
            <w:pPr>
              <w:spacing w:after="0" w:line="240" w:lineRule="auto"/>
              <w:jc w:val="right"/>
              <w:rPr>
                <w:rFonts w:ascii="Times New Roman" w:eastAsia="Times New Roman" w:hAnsi="Times New Roman" w:cs="Times New Roman"/>
                <w:lang w:eastAsia="hu-HU"/>
              </w:rPr>
            </w:pPr>
          </w:p>
        </w:tc>
      </w:tr>
      <w:tr w:rsidR="00082CA1" w:rsidTr="00082CA1">
        <w:tc>
          <w:tcPr>
            <w:tcW w:w="4855" w:type="dxa"/>
            <w:tcBorders>
              <w:top w:val="single" w:sz="4" w:space="0" w:color="auto"/>
              <w:left w:val="nil"/>
              <w:bottom w:val="nil"/>
              <w:right w:val="nil"/>
            </w:tcBorders>
            <w:hideMark/>
          </w:tcPr>
          <w:p w:rsidR="00082CA1" w:rsidRDefault="00082CA1">
            <w:pPr>
              <w:spacing w:after="0" w:line="240" w:lineRule="auto"/>
              <w:jc w:val="center"/>
              <w:rPr>
                <w:rFonts w:ascii="Times New Roman" w:eastAsia="Times New Roman" w:hAnsi="Times New Roman" w:cs="Times New Roman"/>
                <w:b/>
                <w:lang w:eastAsia="hu-HU"/>
              </w:rPr>
            </w:pPr>
            <w:r>
              <w:rPr>
                <w:rFonts w:ascii="Times New Roman" w:eastAsia="Times New Roman" w:hAnsi="Times New Roman" w:cs="Times New Roman"/>
                <w:b/>
                <w:lang w:eastAsia="hu-HU"/>
              </w:rPr>
              <w:t>Hadtudományi és Honvédtisztképző Kar</w:t>
            </w:r>
          </w:p>
        </w:tc>
        <w:tc>
          <w:tcPr>
            <w:tcW w:w="1620" w:type="dxa"/>
          </w:tcPr>
          <w:p w:rsidR="00082CA1" w:rsidRDefault="00082CA1">
            <w:pPr>
              <w:spacing w:after="0" w:line="240" w:lineRule="auto"/>
              <w:jc w:val="both"/>
              <w:rPr>
                <w:rFonts w:ascii="Times New Roman" w:eastAsia="Times New Roman" w:hAnsi="Times New Roman" w:cs="Times New Roman"/>
                <w:lang w:eastAsia="hu-HU"/>
              </w:rPr>
            </w:pPr>
          </w:p>
        </w:tc>
        <w:tc>
          <w:tcPr>
            <w:tcW w:w="2597" w:type="dxa"/>
          </w:tcPr>
          <w:p w:rsidR="00082CA1" w:rsidRDefault="00082CA1">
            <w:pPr>
              <w:spacing w:after="0" w:line="240" w:lineRule="auto"/>
              <w:jc w:val="both"/>
              <w:rPr>
                <w:rFonts w:ascii="Times New Roman" w:eastAsia="Times New Roman" w:hAnsi="Times New Roman" w:cs="Times New Roman"/>
                <w:lang w:eastAsia="hu-HU"/>
              </w:rPr>
            </w:pPr>
          </w:p>
        </w:tc>
      </w:tr>
    </w:tbl>
    <w:p w:rsidR="00082CA1" w:rsidRDefault="00082CA1" w:rsidP="00082CA1">
      <w:pPr>
        <w:widowControl w:val="0"/>
        <w:spacing w:before="120" w:after="120" w:line="240" w:lineRule="auto"/>
        <w:ind w:left="426" w:hanging="142"/>
        <w:jc w:val="center"/>
        <w:rPr>
          <w:rFonts w:ascii="Times New Roman" w:eastAsia="Times New Roman" w:hAnsi="Times New Roman" w:cs="Times New Roman"/>
          <w:b/>
          <w:bCs/>
        </w:rPr>
      </w:pPr>
    </w:p>
    <w:p w:rsidR="00082CA1" w:rsidRDefault="00082CA1" w:rsidP="00082CA1">
      <w:pPr>
        <w:widowControl w:val="0"/>
        <w:spacing w:before="120" w:after="120" w:line="240" w:lineRule="auto"/>
        <w:ind w:left="426" w:hanging="142"/>
        <w:jc w:val="center"/>
        <w:rPr>
          <w:rFonts w:ascii="Times New Roman" w:eastAsia="Times New Roman" w:hAnsi="Times New Roman" w:cs="Times New Roman"/>
          <w:b/>
          <w:bCs/>
        </w:rPr>
      </w:pPr>
      <w:r>
        <w:rPr>
          <w:rFonts w:ascii="Times New Roman" w:eastAsia="Times New Roman" w:hAnsi="Times New Roman" w:cs="Times New Roman"/>
          <w:b/>
          <w:bCs/>
        </w:rPr>
        <w:t>TANTÁRGYI PROGRAM</w:t>
      </w:r>
    </w:p>
    <w:p w:rsidR="00082CA1" w:rsidRDefault="00082CA1" w:rsidP="00C2057B">
      <w:pPr>
        <w:widowControl w:val="0"/>
        <w:numPr>
          <w:ilvl w:val="0"/>
          <w:numId w:val="87"/>
        </w:numPr>
        <w:tabs>
          <w:tab w:val="clear" w:pos="720"/>
          <w:tab w:val="num" w:pos="502"/>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 tantárgy kódja: </w:t>
      </w:r>
      <w:r>
        <w:rPr>
          <w:rFonts w:ascii="Times New Roman" w:eastAsia="Times New Roman" w:hAnsi="Times New Roman" w:cs="Times New Roman"/>
          <w:bCs/>
        </w:rPr>
        <w:t>HK925A130</w:t>
      </w:r>
    </w:p>
    <w:p w:rsidR="00082CA1" w:rsidRDefault="00082CA1" w:rsidP="00C2057B">
      <w:pPr>
        <w:widowControl w:val="0"/>
        <w:numPr>
          <w:ilvl w:val="0"/>
          <w:numId w:val="87"/>
        </w:numPr>
        <w:tabs>
          <w:tab w:val="clear" w:pos="720"/>
          <w:tab w:val="num" w:pos="502"/>
          <w:tab w:val="num" w:pos="567"/>
        </w:tabs>
        <w:spacing w:before="120" w:after="120" w:line="240" w:lineRule="auto"/>
        <w:ind w:left="426" w:hanging="142"/>
        <w:jc w:val="both"/>
        <w:rPr>
          <w:rFonts w:ascii="Times New Roman" w:eastAsia="Times New Roman" w:hAnsi="Times New Roman" w:cs="Times New Roman"/>
          <w:b/>
          <w:bCs/>
          <w:lang w:val="en-GB"/>
        </w:rPr>
      </w:pPr>
      <w:r>
        <w:rPr>
          <w:rFonts w:ascii="Times New Roman" w:eastAsia="Times New Roman" w:hAnsi="Times New Roman" w:cs="Times New Roman"/>
          <w:b/>
          <w:bCs/>
        </w:rPr>
        <w:t>A tantárgy megnevezése (magyarul):</w:t>
      </w:r>
      <w:r>
        <w:rPr>
          <w:rFonts w:ascii="Times New Roman" w:eastAsia="Times New Roman" w:hAnsi="Times New Roman" w:cs="Times New Roman"/>
          <w:bCs/>
        </w:rPr>
        <w:t xml:space="preserve"> Lineáris algebra LOG</w:t>
      </w:r>
    </w:p>
    <w:p w:rsidR="00082CA1" w:rsidRDefault="00082CA1" w:rsidP="00C2057B">
      <w:pPr>
        <w:widowControl w:val="0"/>
        <w:numPr>
          <w:ilvl w:val="0"/>
          <w:numId w:val="87"/>
        </w:numPr>
        <w:tabs>
          <w:tab w:val="clear" w:pos="720"/>
          <w:tab w:val="num" w:pos="502"/>
          <w:tab w:val="num" w:pos="567"/>
        </w:tabs>
        <w:spacing w:before="120" w:after="120" w:line="240" w:lineRule="auto"/>
        <w:ind w:left="426" w:hanging="142"/>
        <w:jc w:val="both"/>
        <w:rPr>
          <w:rFonts w:ascii="Times New Roman" w:eastAsia="Times New Roman" w:hAnsi="Times New Roman" w:cs="Times New Roman"/>
          <w:b/>
          <w:bCs/>
          <w:lang w:val="en-GB"/>
        </w:rPr>
      </w:pPr>
      <w:r>
        <w:rPr>
          <w:rFonts w:ascii="Times New Roman" w:eastAsia="Times New Roman" w:hAnsi="Times New Roman" w:cs="Times New Roman"/>
          <w:b/>
          <w:bCs/>
        </w:rPr>
        <w:t>A tantárgy megnevezése (angolul):</w:t>
      </w:r>
      <w:r>
        <w:rPr>
          <w:rFonts w:ascii="Times New Roman" w:eastAsia="Times New Roman" w:hAnsi="Times New Roman" w:cs="Times New Roman"/>
          <w:bCs/>
        </w:rPr>
        <w:t xml:space="preserve"> Linear algebra LOG</w:t>
      </w:r>
    </w:p>
    <w:p w:rsidR="00082CA1" w:rsidRDefault="00082CA1" w:rsidP="00C2057B">
      <w:pPr>
        <w:widowControl w:val="0"/>
        <w:numPr>
          <w:ilvl w:val="0"/>
          <w:numId w:val="87"/>
        </w:numPr>
        <w:tabs>
          <w:tab w:val="clear" w:pos="720"/>
          <w:tab w:val="num" w:pos="502"/>
          <w:tab w:val="num" w:pos="567"/>
        </w:tabs>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Kreditérték és képzési karakter: </w:t>
      </w:r>
    </w:p>
    <w:p w:rsidR="00082CA1" w:rsidRDefault="00082CA1" w:rsidP="00C2057B">
      <w:pPr>
        <w:pStyle w:val="Listaszerbekezds"/>
        <w:widowControl w:val="0"/>
        <w:numPr>
          <w:ilvl w:val="1"/>
          <w:numId w:val="87"/>
        </w:numPr>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2 kredit</w:t>
      </w:r>
    </w:p>
    <w:p w:rsidR="00082CA1" w:rsidRDefault="00082CA1" w:rsidP="00C2057B">
      <w:pPr>
        <w:pStyle w:val="Listaszerbekezds"/>
        <w:widowControl w:val="0"/>
        <w:numPr>
          <w:ilvl w:val="1"/>
          <w:numId w:val="87"/>
        </w:numPr>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a tantárgy elméleti vagy gyakorlati jellegének mértéke: 50 % gyakorlat, 50 % elmélet</w:t>
      </w:r>
    </w:p>
    <w:p w:rsidR="00082CA1" w:rsidRDefault="00082CA1" w:rsidP="00C2057B">
      <w:pPr>
        <w:widowControl w:val="0"/>
        <w:numPr>
          <w:ilvl w:val="0"/>
          <w:numId w:val="87"/>
        </w:numPr>
        <w:tabs>
          <w:tab w:val="clear" w:pos="720"/>
          <w:tab w:val="num" w:pos="502"/>
        </w:tabs>
        <w:spacing w:before="120" w:after="120" w:line="240" w:lineRule="auto"/>
        <w:ind w:left="426" w:hanging="142"/>
        <w:jc w:val="both"/>
        <w:rPr>
          <w:rFonts w:ascii="Times New Roman" w:eastAsia="Times New Roman" w:hAnsi="Times New Roman" w:cs="Times New Roman"/>
          <w:bCs/>
          <w:color w:val="92D050"/>
        </w:rPr>
      </w:pPr>
      <w:r>
        <w:rPr>
          <w:rFonts w:ascii="Times New Roman" w:eastAsia="Times New Roman" w:hAnsi="Times New Roman" w:cs="Times New Roman"/>
          <w:b/>
          <w:bCs/>
        </w:rPr>
        <w:t>A szak(ok), szakirányok/specializációk megnevezése (ahol oktatják):</w:t>
      </w:r>
      <w:r>
        <w:rPr>
          <w:rFonts w:ascii="Times New Roman" w:eastAsia="Times New Roman" w:hAnsi="Times New Roman" w:cs="Times New Roman"/>
          <w:bCs/>
        </w:rPr>
        <w:t xml:space="preserve"> Katonai logisztika alapszak</w:t>
      </w:r>
    </w:p>
    <w:p w:rsidR="00082CA1" w:rsidRDefault="00082CA1" w:rsidP="00C2057B">
      <w:pPr>
        <w:widowControl w:val="0"/>
        <w:numPr>
          <w:ilvl w:val="0"/>
          <w:numId w:val="87"/>
        </w:numPr>
        <w:tabs>
          <w:tab w:val="clear" w:pos="720"/>
          <w:tab w:val="num" w:pos="502"/>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Az oktatásért felelős oktatási szervezeti egység megnevezése: </w:t>
      </w:r>
      <w:r>
        <w:rPr>
          <w:rFonts w:ascii="Times New Roman" w:eastAsia="Times New Roman" w:hAnsi="Times New Roman" w:cs="Times New Roman"/>
          <w:bCs/>
        </w:rPr>
        <w:t>Természettudományi Tanszék</w:t>
      </w:r>
    </w:p>
    <w:p w:rsidR="00082CA1" w:rsidRDefault="00082CA1" w:rsidP="00C2057B">
      <w:pPr>
        <w:widowControl w:val="0"/>
        <w:numPr>
          <w:ilvl w:val="0"/>
          <w:numId w:val="87"/>
        </w:numPr>
        <w:tabs>
          <w:tab w:val="clear" w:pos="720"/>
          <w:tab w:val="num" w:pos="502"/>
          <w:tab w:val="num" w:pos="567"/>
        </w:tabs>
        <w:spacing w:before="120" w:after="120" w:line="240" w:lineRule="auto"/>
        <w:ind w:left="426" w:hanging="142"/>
        <w:jc w:val="both"/>
        <w:rPr>
          <w:rFonts w:ascii="Times New Roman" w:eastAsia="Times New Roman" w:hAnsi="Times New Roman" w:cs="Times New Roman"/>
          <w:bCs/>
          <w:spacing w:val="-2"/>
        </w:rPr>
      </w:pPr>
      <w:r>
        <w:rPr>
          <w:rFonts w:ascii="Times New Roman" w:eastAsia="Times New Roman" w:hAnsi="Times New Roman" w:cs="Times New Roman"/>
          <w:b/>
          <w:bCs/>
          <w:spacing w:val="-2"/>
        </w:rPr>
        <w:t>A tantárgyfelelős oktató neve, beosztása, tudományos fokozata:</w:t>
      </w:r>
      <w:r>
        <w:rPr>
          <w:rFonts w:ascii="Times New Roman" w:eastAsia="Times New Roman" w:hAnsi="Times New Roman" w:cs="Times New Roman"/>
          <w:bCs/>
          <w:spacing w:val="-2"/>
        </w:rPr>
        <w:t xml:space="preserve"> Dr. Tóth Bence, adjunktus, PhD</w:t>
      </w:r>
    </w:p>
    <w:p w:rsidR="00082CA1" w:rsidRDefault="00082CA1" w:rsidP="00C2057B">
      <w:pPr>
        <w:widowControl w:val="0"/>
        <w:numPr>
          <w:ilvl w:val="0"/>
          <w:numId w:val="87"/>
        </w:numPr>
        <w:tabs>
          <w:tab w:val="clear" w:pos="720"/>
          <w:tab w:val="num" w:pos="502"/>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tanórák száma és típusa</w:t>
      </w:r>
    </w:p>
    <w:p w:rsidR="00082CA1" w:rsidRDefault="00082CA1" w:rsidP="00C2057B">
      <w:pPr>
        <w:widowControl w:val="0"/>
        <w:numPr>
          <w:ilvl w:val="1"/>
          <w:numId w:val="87"/>
        </w:numPr>
        <w:tabs>
          <w:tab w:val="num" w:pos="709"/>
          <w:tab w:val="num" w:pos="2069"/>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össz óraszám/félév:</w:t>
      </w:r>
    </w:p>
    <w:p w:rsidR="00082CA1" w:rsidRDefault="00082CA1" w:rsidP="00C2057B">
      <w:pPr>
        <w:widowControl w:val="0"/>
        <w:numPr>
          <w:ilvl w:val="2"/>
          <w:numId w:val="87"/>
        </w:numPr>
        <w:tabs>
          <w:tab w:val="num" w:pos="709"/>
          <w:tab w:val="num" w:pos="1134"/>
        </w:tabs>
        <w:spacing w:after="0" w:line="240" w:lineRule="auto"/>
        <w:ind w:left="1134" w:hanging="425"/>
        <w:jc w:val="both"/>
        <w:rPr>
          <w:rFonts w:ascii="Times New Roman" w:eastAsia="Times New Roman" w:hAnsi="Times New Roman" w:cs="Times New Roman"/>
          <w:bCs/>
        </w:rPr>
      </w:pPr>
      <w:r>
        <w:rPr>
          <w:rFonts w:ascii="Times New Roman" w:eastAsia="Times New Roman" w:hAnsi="Times New Roman" w:cs="Times New Roman"/>
          <w:bCs/>
        </w:rPr>
        <w:t>nappali munkarend: 28 (14 EA + 0 SZ + 14 GY)</w:t>
      </w:r>
    </w:p>
    <w:p w:rsidR="00082CA1" w:rsidRDefault="00082CA1" w:rsidP="00C2057B">
      <w:pPr>
        <w:widowControl w:val="0"/>
        <w:numPr>
          <w:ilvl w:val="2"/>
          <w:numId w:val="87"/>
        </w:numPr>
        <w:tabs>
          <w:tab w:val="num" w:pos="709"/>
          <w:tab w:val="num" w:pos="1134"/>
        </w:tabs>
        <w:spacing w:after="0" w:line="240" w:lineRule="auto"/>
        <w:ind w:left="1134" w:hanging="425"/>
        <w:jc w:val="both"/>
        <w:rPr>
          <w:rFonts w:ascii="Times New Roman" w:eastAsia="Times New Roman" w:hAnsi="Times New Roman" w:cs="Times New Roman"/>
          <w:bCs/>
        </w:rPr>
      </w:pPr>
      <w:r>
        <w:rPr>
          <w:rFonts w:ascii="Times New Roman" w:eastAsia="Times New Roman" w:hAnsi="Times New Roman" w:cs="Times New Roman"/>
          <w:bCs/>
        </w:rPr>
        <w:t>levelező munkarend: 0 (0 EA + 0 SZ + 0 GY)</w:t>
      </w:r>
    </w:p>
    <w:p w:rsidR="00082CA1" w:rsidRDefault="00082CA1" w:rsidP="00C2057B">
      <w:pPr>
        <w:widowControl w:val="0"/>
        <w:numPr>
          <w:ilvl w:val="1"/>
          <w:numId w:val="87"/>
        </w:numPr>
        <w:tabs>
          <w:tab w:val="num" w:pos="709"/>
          <w:tab w:val="num" w:pos="2069"/>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heti óraszám - nappali munkarend: 1 + 1</w:t>
      </w:r>
    </w:p>
    <w:p w:rsidR="00082CA1" w:rsidRDefault="00082CA1" w:rsidP="00C2057B">
      <w:pPr>
        <w:widowControl w:val="0"/>
        <w:numPr>
          <w:ilvl w:val="1"/>
          <w:numId w:val="87"/>
        </w:numPr>
        <w:tabs>
          <w:tab w:val="num" w:pos="709"/>
          <w:tab w:val="num" w:pos="2069"/>
        </w:tabs>
        <w:spacing w:before="120" w:after="120" w:line="240" w:lineRule="auto"/>
        <w:ind w:left="851" w:hanging="425"/>
        <w:jc w:val="both"/>
        <w:rPr>
          <w:rFonts w:ascii="Times New Roman" w:eastAsia="Times New Roman" w:hAnsi="Times New Roman" w:cs="Times New Roman"/>
          <w:bCs/>
        </w:rPr>
      </w:pPr>
      <w:r>
        <w:rPr>
          <w:rFonts w:ascii="Times New Roman" w:hAnsi="Times New Roman" w:cs="Times New Roman"/>
        </w:rPr>
        <w:t>Az ismeret átadásában alkalmazandó további sajátos módok, jellemzők: nincsenek</w:t>
      </w:r>
    </w:p>
    <w:p w:rsidR="00082CA1" w:rsidRDefault="00082CA1" w:rsidP="00C2057B">
      <w:pPr>
        <w:widowControl w:val="0"/>
        <w:numPr>
          <w:ilvl w:val="0"/>
          <w:numId w:val="87"/>
        </w:numPr>
        <w:tabs>
          <w:tab w:val="clear" w:pos="720"/>
          <w:tab w:val="num" w:pos="502"/>
        </w:tabs>
        <w:spacing w:before="120" w:after="120" w:line="240" w:lineRule="auto"/>
        <w:ind w:left="502"/>
        <w:jc w:val="both"/>
        <w:rPr>
          <w:rFonts w:ascii="Times New Roman" w:eastAsia="Times New Roman" w:hAnsi="Times New Roman" w:cs="Times New Roman"/>
          <w:bCs/>
        </w:rPr>
      </w:pPr>
      <w:r>
        <w:rPr>
          <w:rFonts w:ascii="Times New Roman" w:eastAsia="Times New Roman" w:hAnsi="Times New Roman" w:cs="Times New Roman"/>
          <w:b/>
          <w:bCs/>
        </w:rPr>
        <w:t>A tantárgy szakmai tartalma (magyarul):</w:t>
      </w:r>
      <w:r>
        <w:rPr>
          <w:rFonts w:ascii="Times New Roman" w:eastAsia="Times New Roman" w:hAnsi="Times New Roman" w:cs="Times New Roman"/>
          <w:bCs/>
        </w:rPr>
        <w:t xml:space="preserve"> Vektor fogalma, műveletek. Vektor koordinátái, műveletek koordinátás alakban. Vektortér fogalma, lineáris függetlenség, bázis, dimenzió. Vektorok skaláris-, vektoriális-, vegyes- és diadikus szorzata. Vektorok alkalmazásai, térelemek (egyenes, sík egyenlete). Mátrix fogalma, speciális mátrixok, mátrix-műveletek, mátrix rangja és inverze. Determinánsok fogalma és tulajdonságai. Lineáris egyenletrendszerek megoldása. Lineáris függetlenség. Bázistranszformáció.</w:t>
      </w:r>
    </w:p>
    <w:p w:rsidR="00082CA1" w:rsidRDefault="00082CA1" w:rsidP="00082CA1">
      <w:pPr>
        <w:widowControl w:val="0"/>
        <w:spacing w:before="120" w:after="120" w:line="240" w:lineRule="auto"/>
        <w:ind w:left="426"/>
        <w:jc w:val="both"/>
        <w:rPr>
          <w:rFonts w:ascii="Times New Roman" w:eastAsia="Times New Roman" w:hAnsi="Times New Roman" w:cs="Times New Roman"/>
          <w:bCs/>
          <w:lang w:val="en-GB"/>
        </w:rPr>
      </w:pPr>
      <w:r>
        <w:rPr>
          <w:rFonts w:ascii="Times New Roman" w:eastAsia="Times New Roman" w:hAnsi="Times New Roman" w:cs="Times New Roman"/>
          <w:b/>
          <w:bCs/>
        </w:rPr>
        <w:t>A tantárgy szakmai tartalma (angolul) (</w:t>
      </w:r>
      <w:r>
        <w:rPr>
          <w:rFonts w:ascii="Times New Roman" w:eastAsia="Times New Roman" w:hAnsi="Times New Roman" w:cs="Times New Roman"/>
          <w:b/>
          <w:bCs/>
          <w:lang w:val="en-US"/>
        </w:rPr>
        <w:t>Course description</w:t>
      </w:r>
      <w:r>
        <w:rPr>
          <w:rFonts w:ascii="Times New Roman" w:eastAsia="Times New Roman" w:hAnsi="Times New Roman" w:cs="Times New Roman"/>
          <w:b/>
          <w:bCs/>
        </w:rPr>
        <w:t>):</w:t>
      </w:r>
      <w:r>
        <w:rPr>
          <w:rFonts w:ascii="Times New Roman" w:eastAsia="Times New Roman" w:hAnsi="Times New Roman" w:cs="Times New Roman"/>
          <w:bCs/>
          <w:lang w:val="en-GB"/>
        </w:rPr>
        <w:t xml:space="preserve"> Definition, operations with vectors. Representation in coordinate form, operations in coordinate form. Vector space, linear independence, basis, dimension. Dot product, cross product, triple product, dyadic product. Applications, equation of a line, equation of a plane. Definition, special matrices, operations with matrices, rank, inverse. Determinants, properties of determinants. Solution of systems of linear equations. Linear independence. Change of basis.</w:t>
      </w:r>
    </w:p>
    <w:p w:rsidR="00082CA1" w:rsidRDefault="00082CA1" w:rsidP="00C2057B">
      <w:pPr>
        <w:pStyle w:val="Listaszerbekezds"/>
        <w:widowControl w:val="0"/>
        <w:numPr>
          <w:ilvl w:val="0"/>
          <w:numId w:val="87"/>
        </w:numPr>
        <w:tabs>
          <w:tab w:val="clear" w:pos="720"/>
          <w:tab w:val="num" w:pos="426"/>
          <w:tab w:val="num" w:pos="502"/>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Elérendő kompetenciák (magyarul): </w:t>
      </w:r>
    </w:p>
    <w:p w:rsidR="00082CA1" w:rsidRDefault="00082CA1" w:rsidP="00082CA1">
      <w:pPr>
        <w:widowControl w:val="0"/>
        <w:spacing w:before="120" w:after="120" w:line="240" w:lineRule="auto"/>
        <w:ind w:left="426"/>
        <w:jc w:val="both"/>
        <w:rPr>
          <w:rFonts w:ascii="Times New Roman" w:eastAsia="Times New Roman" w:hAnsi="Times New Roman" w:cs="Times New Roman"/>
          <w:bCs/>
        </w:rPr>
      </w:pPr>
      <w:r>
        <w:rPr>
          <w:rFonts w:ascii="Times New Roman" w:eastAsia="Times New Roman" w:hAnsi="Times New Roman" w:cs="Times New Roman"/>
          <w:b/>
          <w:bCs/>
        </w:rPr>
        <w:t>Tudása:</w:t>
      </w:r>
      <w:r>
        <w:rPr>
          <w:rFonts w:ascii="Times New Roman" w:eastAsia="Times New Roman" w:hAnsi="Times New Roman" w:cs="Times New Roman"/>
          <w:bCs/>
        </w:rPr>
        <w:t xml:space="preserve"> </w:t>
      </w:r>
    </w:p>
    <w:p w:rsidR="00082CA1" w:rsidRDefault="00082CA1" w:rsidP="00082CA1">
      <w:pPr>
        <w:widowControl w:val="0"/>
        <w:spacing w:before="120" w:after="120" w:line="240" w:lineRule="auto"/>
        <w:ind w:left="426"/>
        <w:jc w:val="both"/>
        <w:rPr>
          <w:rFonts w:ascii="Times New Roman" w:eastAsia="Times New Roman" w:hAnsi="Times New Roman" w:cs="Times New Roman"/>
          <w:bCs/>
        </w:rPr>
      </w:pPr>
      <w:r>
        <w:rPr>
          <w:rFonts w:ascii="Times New Roman" w:eastAsia="Times New Roman" w:hAnsi="Times New Roman" w:cs="Times New Roman"/>
          <w:bCs/>
        </w:rPr>
        <w:t>-</w:t>
      </w:r>
      <w:r>
        <w:rPr>
          <w:rFonts w:ascii="Times New Roman" w:eastAsia="Times New Roman" w:hAnsi="Times New Roman" w:cs="Times New Roman"/>
          <w:bCs/>
        </w:rPr>
        <w:tab/>
        <w:t>Ismeri a matematika és a mechanika törvényszerűségeit, rendelkezik műszaki alapismeretekkel.</w:t>
      </w:r>
    </w:p>
    <w:p w:rsidR="00082CA1" w:rsidRDefault="00082CA1" w:rsidP="00082CA1">
      <w:pPr>
        <w:widowControl w:val="0"/>
        <w:spacing w:before="120" w:after="120" w:line="240" w:lineRule="auto"/>
        <w:ind w:left="426"/>
        <w:jc w:val="both"/>
        <w:rPr>
          <w:rFonts w:ascii="Times New Roman" w:eastAsia="Times New Roman" w:hAnsi="Times New Roman" w:cs="Times New Roman"/>
          <w:bCs/>
        </w:rPr>
      </w:pPr>
      <w:r>
        <w:rPr>
          <w:rFonts w:ascii="Times New Roman" w:eastAsia="Times New Roman" w:hAnsi="Times New Roman" w:cs="Times New Roman"/>
          <w:b/>
          <w:bCs/>
        </w:rPr>
        <w:t>Képességei:</w:t>
      </w:r>
      <w:r>
        <w:rPr>
          <w:rFonts w:ascii="Times New Roman" w:eastAsia="Times New Roman" w:hAnsi="Times New Roman" w:cs="Times New Roman"/>
          <w:bCs/>
        </w:rPr>
        <w:t xml:space="preserve"> </w:t>
      </w:r>
    </w:p>
    <w:p w:rsidR="00082CA1" w:rsidRDefault="00082CA1" w:rsidP="00082CA1">
      <w:pPr>
        <w:widowControl w:val="0"/>
        <w:spacing w:before="120" w:after="120" w:line="240" w:lineRule="auto"/>
        <w:ind w:left="426"/>
        <w:jc w:val="both"/>
        <w:rPr>
          <w:rFonts w:ascii="Times New Roman" w:eastAsia="Times New Roman" w:hAnsi="Times New Roman" w:cs="Times New Roman"/>
          <w:bCs/>
        </w:rPr>
      </w:pPr>
      <w:r>
        <w:rPr>
          <w:rFonts w:ascii="Times New Roman" w:eastAsia="Times New Roman" w:hAnsi="Times New Roman" w:cs="Times New Roman"/>
          <w:bCs/>
        </w:rPr>
        <w:t>-</w:t>
      </w:r>
      <w:r>
        <w:rPr>
          <w:rFonts w:ascii="Times New Roman" w:eastAsia="Times New Roman" w:hAnsi="Times New Roman" w:cs="Times New Roman"/>
          <w:bCs/>
        </w:rPr>
        <w:tab/>
        <w:t>Képes szakterületén újító és innovatív ötletek megfogalmazására.</w:t>
      </w:r>
    </w:p>
    <w:p w:rsidR="00082CA1" w:rsidRDefault="00082CA1" w:rsidP="00082CA1">
      <w:pPr>
        <w:widowControl w:val="0"/>
        <w:spacing w:before="120" w:after="120" w:line="240" w:lineRule="auto"/>
        <w:ind w:left="426"/>
        <w:jc w:val="both"/>
        <w:rPr>
          <w:rFonts w:ascii="Times New Roman" w:eastAsia="Times New Roman" w:hAnsi="Times New Roman" w:cs="Times New Roman"/>
          <w:bCs/>
        </w:rPr>
      </w:pPr>
      <w:r>
        <w:rPr>
          <w:rFonts w:ascii="Times New Roman" w:eastAsia="Times New Roman" w:hAnsi="Times New Roman" w:cs="Times New Roman"/>
          <w:b/>
          <w:bCs/>
        </w:rPr>
        <w:t>Attitűdje:</w:t>
      </w:r>
      <w:r>
        <w:rPr>
          <w:rFonts w:ascii="Times New Roman" w:eastAsia="Times New Roman" w:hAnsi="Times New Roman" w:cs="Times New Roman"/>
          <w:bCs/>
        </w:rPr>
        <w:t xml:space="preserve"> </w:t>
      </w:r>
    </w:p>
    <w:p w:rsidR="00082CA1" w:rsidRDefault="00082CA1" w:rsidP="00082CA1">
      <w:pPr>
        <w:widowControl w:val="0"/>
        <w:spacing w:before="120" w:after="120" w:line="240" w:lineRule="auto"/>
        <w:ind w:left="426"/>
        <w:jc w:val="both"/>
        <w:rPr>
          <w:rFonts w:ascii="Times New Roman" w:eastAsia="Times New Roman" w:hAnsi="Times New Roman" w:cs="Times New Roman"/>
          <w:bCs/>
        </w:rPr>
      </w:pPr>
      <w:r>
        <w:rPr>
          <w:rFonts w:ascii="Times New Roman" w:eastAsia="Times New Roman" w:hAnsi="Times New Roman" w:cs="Times New Roman"/>
          <w:bCs/>
        </w:rPr>
        <w:t>-</w:t>
      </w:r>
      <w:r>
        <w:rPr>
          <w:rFonts w:ascii="Times New Roman" w:eastAsia="Times New Roman" w:hAnsi="Times New Roman" w:cs="Times New Roman"/>
          <w:bCs/>
        </w:rPr>
        <w:tab/>
        <w:t>Nyitott szakterülete új eredményei, innovációi iránt, törekszik azok megismerésére, megértésére és alkalmazására, elkötelezett önmaga folyamatos képzésére.</w:t>
      </w:r>
    </w:p>
    <w:p w:rsidR="00082CA1" w:rsidRDefault="00082CA1" w:rsidP="00082CA1">
      <w:pPr>
        <w:widowControl w:val="0"/>
        <w:spacing w:before="120" w:after="120" w:line="240" w:lineRule="auto"/>
        <w:ind w:left="426"/>
        <w:jc w:val="both"/>
        <w:rPr>
          <w:rFonts w:ascii="Times New Roman" w:eastAsia="Times New Roman" w:hAnsi="Times New Roman" w:cs="Times New Roman"/>
          <w:bCs/>
        </w:rPr>
      </w:pPr>
      <w:r>
        <w:rPr>
          <w:rFonts w:ascii="Times New Roman" w:eastAsia="Times New Roman" w:hAnsi="Times New Roman" w:cs="Times New Roman"/>
          <w:b/>
          <w:bCs/>
        </w:rPr>
        <w:t>Autonómiája és felelőssége:</w:t>
      </w:r>
      <w:r>
        <w:rPr>
          <w:rFonts w:ascii="Times New Roman" w:eastAsia="Times New Roman" w:hAnsi="Times New Roman" w:cs="Times New Roman"/>
          <w:bCs/>
        </w:rPr>
        <w:t xml:space="preserve"> </w:t>
      </w:r>
    </w:p>
    <w:p w:rsidR="00082CA1" w:rsidRDefault="00082CA1" w:rsidP="00082CA1">
      <w:pPr>
        <w:widowControl w:val="0"/>
        <w:spacing w:before="120" w:after="120" w:line="240" w:lineRule="auto"/>
        <w:ind w:left="426"/>
        <w:jc w:val="both"/>
        <w:rPr>
          <w:rFonts w:ascii="Times New Roman" w:eastAsia="Calibri" w:hAnsi="Times New Roman" w:cs="Times New Roman"/>
        </w:rPr>
      </w:pPr>
      <w:r>
        <w:rPr>
          <w:rFonts w:ascii="Times New Roman" w:eastAsia="Times New Roman" w:hAnsi="Times New Roman" w:cs="Times New Roman"/>
          <w:bCs/>
        </w:rPr>
        <w:lastRenderedPageBreak/>
        <w:t>-</w:t>
      </w:r>
      <w:r>
        <w:rPr>
          <w:rFonts w:ascii="Times New Roman" w:eastAsia="Times New Roman" w:hAnsi="Times New Roman" w:cs="Times New Roman"/>
          <w:bCs/>
        </w:rPr>
        <w:tab/>
        <w:t>Az alegység, illetve egység szintű katonai logisztikai, valamint katonai gazdálkodási folyamatokban képes önállóan döntéseket hozni, azokat felelősséggel, a jogszabályi keretek figyelembevételével végrehajtani.</w:t>
      </w:r>
    </w:p>
    <w:p w:rsidR="00082CA1" w:rsidRDefault="00082CA1" w:rsidP="00082CA1">
      <w:pPr>
        <w:widowControl w:val="0"/>
        <w:spacing w:before="120" w:after="120" w:line="240" w:lineRule="auto"/>
        <w:ind w:left="426"/>
        <w:jc w:val="both"/>
        <w:rPr>
          <w:rFonts w:ascii="Times New Roman" w:eastAsia="Times New Roman" w:hAnsi="Times New Roman" w:cs="Times New Roman"/>
          <w:b/>
          <w:bCs/>
          <w:lang w:val="en-US"/>
        </w:rPr>
      </w:pPr>
      <w:r>
        <w:rPr>
          <w:rFonts w:ascii="Times New Roman" w:eastAsia="Times New Roman" w:hAnsi="Times New Roman" w:cs="Times New Roman"/>
          <w:b/>
          <w:bCs/>
        </w:rPr>
        <w:t>Elérendő kompetenciák (angolul) (</w:t>
      </w:r>
      <w:r>
        <w:rPr>
          <w:rFonts w:ascii="Times New Roman" w:eastAsia="Times New Roman" w:hAnsi="Times New Roman" w:cs="Times New Roman"/>
          <w:b/>
          <w:bCs/>
          <w:lang w:val="en-US"/>
        </w:rPr>
        <w:t xml:space="preserve">Competences – English): </w:t>
      </w:r>
    </w:p>
    <w:p w:rsidR="00082CA1" w:rsidRDefault="00082CA1" w:rsidP="00082CA1">
      <w:pPr>
        <w:widowControl w:val="0"/>
        <w:spacing w:before="120" w:after="120" w:line="240" w:lineRule="auto"/>
        <w:ind w:left="426"/>
        <w:jc w:val="both"/>
        <w:rPr>
          <w:rFonts w:ascii="Times New Roman" w:eastAsia="Times New Roman" w:hAnsi="Times New Roman" w:cs="Times New Roman"/>
          <w:lang w:val="en-GB"/>
        </w:rPr>
      </w:pPr>
      <w:r>
        <w:rPr>
          <w:rFonts w:ascii="Times New Roman" w:eastAsia="Times New Roman" w:hAnsi="Times New Roman" w:cs="Times New Roman"/>
          <w:b/>
          <w:lang w:val="en-GB"/>
        </w:rPr>
        <w:t>Knowledge</w:t>
      </w:r>
      <w:r>
        <w:rPr>
          <w:rFonts w:ascii="Times New Roman" w:eastAsia="Times New Roman" w:hAnsi="Times New Roman" w:cs="Times New Roman"/>
          <w:lang w:val="en-GB"/>
        </w:rPr>
        <w:t xml:space="preserve">: </w:t>
      </w:r>
    </w:p>
    <w:p w:rsidR="00082CA1" w:rsidRDefault="00082CA1" w:rsidP="00082CA1">
      <w:pPr>
        <w:widowControl w:val="0"/>
        <w:spacing w:before="120" w:after="120" w:line="240" w:lineRule="auto"/>
        <w:ind w:left="426"/>
        <w:jc w:val="both"/>
        <w:rPr>
          <w:rFonts w:ascii="Times New Roman" w:eastAsia="Calibri" w:hAnsi="Times New Roman" w:cs="Times New Roman"/>
        </w:rPr>
      </w:pPr>
      <w:r>
        <w:rPr>
          <w:rFonts w:ascii="Times New Roman" w:eastAsia="Times New Roman" w:hAnsi="Times New Roman" w:cs="Times New Roman"/>
          <w:bCs/>
        </w:rPr>
        <w:t>-</w:t>
      </w:r>
      <w:r>
        <w:rPr>
          <w:rFonts w:ascii="Times New Roman" w:eastAsia="Times New Roman" w:hAnsi="Times New Roman" w:cs="Times New Roman"/>
          <w:bCs/>
        </w:rPr>
        <w:tab/>
        <w:t>Knows the laws of mathematics and mechanics, has basic technical knowledge.</w:t>
      </w:r>
    </w:p>
    <w:p w:rsidR="00082CA1" w:rsidRDefault="00082CA1" w:rsidP="00082CA1">
      <w:pPr>
        <w:widowControl w:val="0"/>
        <w:spacing w:before="120" w:after="120" w:line="240" w:lineRule="auto"/>
        <w:ind w:left="426"/>
        <w:jc w:val="both"/>
        <w:rPr>
          <w:rFonts w:ascii="Times New Roman" w:eastAsia="Times New Roman" w:hAnsi="Times New Roman" w:cs="Times New Roman"/>
          <w:lang w:val="en-GB"/>
        </w:rPr>
      </w:pPr>
      <w:r>
        <w:rPr>
          <w:rFonts w:ascii="Times New Roman" w:eastAsia="Times New Roman" w:hAnsi="Times New Roman" w:cs="Times New Roman"/>
          <w:b/>
          <w:lang w:val="en-GB"/>
        </w:rPr>
        <w:t>Capabilities</w:t>
      </w:r>
      <w:r>
        <w:rPr>
          <w:rFonts w:ascii="Times New Roman" w:eastAsia="Times New Roman" w:hAnsi="Times New Roman" w:cs="Times New Roman"/>
          <w:lang w:val="en-GB"/>
        </w:rPr>
        <w:t xml:space="preserve">: </w:t>
      </w:r>
    </w:p>
    <w:p w:rsidR="00082CA1" w:rsidRDefault="00082CA1" w:rsidP="00082CA1">
      <w:pPr>
        <w:widowControl w:val="0"/>
        <w:spacing w:before="120" w:after="120" w:line="240" w:lineRule="auto"/>
        <w:ind w:left="426"/>
        <w:jc w:val="both"/>
        <w:rPr>
          <w:rFonts w:ascii="Times New Roman" w:eastAsia="Calibri" w:hAnsi="Times New Roman" w:cs="Times New Roman"/>
        </w:rPr>
      </w:pPr>
      <w:r>
        <w:rPr>
          <w:rFonts w:ascii="Times New Roman" w:eastAsia="Times New Roman" w:hAnsi="Times New Roman" w:cs="Times New Roman"/>
          <w:bCs/>
        </w:rPr>
        <w:t>-</w:t>
      </w:r>
      <w:r>
        <w:rPr>
          <w:rFonts w:ascii="Times New Roman" w:eastAsia="Times New Roman" w:hAnsi="Times New Roman" w:cs="Times New Roman"/>
          <w:bCs/>
        </w:rPr>
        <w:tab/>
        <w:t>Able to formulate innovative ideas in their field.</w:t>
      </w:r>
    </w:p>
    <w:p w:rsidR="00082CA1" w:rsidRDefault="00082CA1" w:rsidP="00082C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lang w:val="en-GB"/>
        </w:rPr>
      </w:pPr>
      <w:r>
        <w:rPr>
          <w:rFonts w:ascii="Times New Roman" w:eastAsia="Times New Roman" w:hAnsi="Times New Roman" w:cs="Times New Roman"/>
          <w:b/>
          <w:lang w:val="en-GB"/>
        </w:rPr>
        <w:t>Attitude:</w:t>
      </w:r>
      <w:r>
        <w:rPr>
          <w:rFonts w:ascii="Times New Roman" w:eastAsia="Times New Roman" w:hAnsi="Times New Roman" w:cs="Times New Roman"/>
          <w:lang w:val="en-GB"/>
        </w:rPr>
        <w:t xml:space="preserve"> </w:t>
      </w:r>
    </w:p>
    <w:p w:rsidR="00082CA1" w:rsidRDefault="00082CA1" w:rsidP="00082CA1">
      <w:pPr>
        <w:widowControl w:val="0"/>
        <w:spacing w:before="120" w:after="120" w:line="240" w:lineRule="auto"/>
        <w:ind w:left="426"/>
        <w:jc w:val="both"/>
        <w:rPr>
          <w:rFonts w:ascii="Times New Roman" w:eastAsia="Calibri" w:hAnsi="Times New Roman" w:cs="Times New Roman"/>
        </w:rPr>
      </w:pPr>
      <w:r>
        <w:rPr>
          <w:rFonts w:ascii="Times New Roman" w:eastAsia="Times New Roman" w:hAnsi="Times New Roman" w:cs="Times New Roman"/>
          <w:bCs/>
        </w:rPr>
        <w:t>-</w:t>
      </w:r>
      <w:r>
        <w:rPr>
          <w:rFonts w:ascii="Times New Roman" w:eastAsia="Times New Roman" w:hAnsi="Times New Roman" w:cs="Times New Roman"/>
          <w:bCs/>
        </w:rPr>
        <w:tab/>
        <w:t>Open for the new achievements and innovations of their specialty, seeks to know, understand and apply them, and committed to continuous self-education.</w:t>
      </w:r>
    </w:p>
    <w:p w:rsidR="00082CA1" w:rsidRDefault="00082CA1" w:rsidP="00082CA1">
      <w:pPr>
        <w:widowControl w:val="0"/>
        <w:spacing w:before="120" w:after="120" w:line="240" w:lineRule="auto"/>
        <w:ind w:left="426"/>
        <w:jc w:val="both"/>
        <w:rPr>
          <w:rFonts w:ascii="Times New Roman" w:eastAsia="Times New Roman" w:hAnsi="Times New Roman" w:cs="Times New Roman"/>
          <w:lang w:val="en-GB"/>
        </w:rPr>
      </w:pPr>
      <w:r>
        <w:rPr>
          <w:rFonts w:ascii="Times New Roman" w:eastAsia="Times New Roman" w:hAnsi="Times New Roman" w:cs="Times New Roman"/>
          <w:b/>
          <w:lang w:val="en-GB"/>
        </w:rPr>
        <w:t xml:space="preserve">Autonomy and responsibility: </w:t>
      </w:r>
    </w:p>
    <w:p w:rsidR="00082CA1" w:rsidRDefault="00082CA1" w:rsidP="00082CA1">
      <w:pPr>
        <w:widowControl w:val="0"/>
        <w:spacing w:before="120" w:after="120" w:line="240" w:lineRule="auto"/>
        <w:ind w:left="426"/>
        <w:jc w:val="both"/>
        <w:rPr>
          <w:rFonts w:ascii="Times New Roman" w:eastAsia="Calibri" w:hAnsi="Times New Roman" w:cs="Times New Roman"/>
        </w:rPr>
      </w:pPr>
      <w:r>
        <w:rPr>
          <w:rFonts w:ascii="Times New Roman" w:eastAsia="Times New Roman" w:hAnsi="Times New Roman" w:cs="Times New Roman"/>
          <w:bCs/>
        </w:rPr>
        <w:t>-</w:t>
      </w:r>
      <w:r>
        <w:rPr>
          <w:rFonts w:ascii="Times New Roman" w:eastAsia="Times New Roman" w:hAnsi="Times New Roman" w:cs="Times New Roman"/>
          <w:bCs/>
        </w:rPr>
        <w:tab/>
        <w:t>At the subunit and unit level, it is able to make independent decisions in military logistics and military management processes, making them responsible and within the legal framework.</w:t>
      </w:r>
    </w:p>
    <w:p w:rsidR="00082CA1" w:rsidRDefault="00082CA1" w:rsidP="00C2057B">
      <w:pPr>
        <w:widowControl w:val="0"/>
        <w:numPr>
          <w:ilvl w:val="0"/>
          <w:numId w:val="87"/>
        </w:numPr>
        <w:tabs>
          <w:tab w:val="clear" w:pos="720"/>
          <w:tab w:val="num" w:pos="502"/>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Előtanulmányi követelmények: </w:t>
      </w:r>
      <w:r>
        <w:rPr>
          <w:rFonts w:ascii="Times New Roman" w:hAnsi="Times New Roman" w:cs="Times New Roman"/>
        </w:rPr>
        <w:t>nincs</w:t>
      </w:r>
    </w:p>
    <w:p w:rsidR="00082CA1" w:rsidRDefault="00082CA1" w:rsidP="00C2057B">
      <w:pPr>
        <w:widowControl w:val="0"/>
        <w:numPr>
          <w:ilvl w:val="0"/>
          <w:numId w:val="87"/>
        </w:numPr>
        <w:tabs>
          <w:tab w:val="clear" w:pos="720"/>
          <w:tab w:val="num" w:pos="502"/>
        </w:tabs>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A tantárgy tananyagának leírása, tematika. Description of the subject, curriculum (magyarul, angolul - English):</w:t>
      </w:r>
    </w:p>
    <w:p w:rsidR="00082CA1" w:rsidRDefault="00082CA1" w:rsidP="00C2057B">
      <w:pPr>
        <w:widowControl w:val="0"/>
        <w:numPr>
          <w:ilvl w:val="1"/>
          <w:numId w:val="87"/>
        </w:numPr>
        <w:tabs>
          <w:tab w:val="left" w:pos="709"/>
          <w:tab w:val="left" w:pos="993"/>
        </w:tabs>
        <w:spacing w:before="120" w:after="120" w:line="240" w:lineRule="auto"/>
        <w:ind w:left="993" w:hanging="567"/>
        <w:jc w:val="both"/>
        <w:rPr>
          <w:rFonts w:ascii="Times New Roman" w:eastAsia="Times New Roman" w:hAnsi="Times New Roman" w:cs="Times New Roman"/>
          <w:b/>
        </w:rPr>
      </w:pPr>
      <w:r>
        <w:rPr>
          <w:rFonts w:ascii="Times New Roman" w:eastAsia="Times New Roman" w:hAnsi="Times New Roman" w:cs="Times New Roman"/>
          <w:bCs/>
          <w:lang w:val="en-GB"/>
        </w:rPr>
        <w:t>Vektor fogalma, műveletek. Vektor koordinátái, műveletek koordinátás alakban. (</w:t>
      </w:r>
      <w:r>
        <w:rPr>
          <w:rFonts w:ascii="Times New Roman" w:eastAsia="Times New Roman" w:hAnsi="Times New Roman" w:cs="Times New Roman"/>
          <w:bCs/>
          <w:i/>
          <w:lang w:val="en-GB"/>
        </w:rPr>
        <w:t>Definition of vector, operations with vectors. Representation in coordinate form, operations in coordinate form.</w:t>
      </w:r>
      <w:r>
        <w:rPr>
          <w:rFonts w:ascii="Times New Roman" w:eastAsia="Times New Roman" w:hAnsi="Times New Roman" w:cs="Times New Roman"/>
          <w:bCs/>
          <w:lang w:val="en-GB"/>
        </w:rPr>
        <w:t>)</w:t>
      </w:r>
    </w:p>
    <w:p w:rsidR="00082CA1" w:rsidRDefault="00082CA1" w:rsidP="00C2057B">
      <w:pPr>
        <w:widowControl w:val="0"/>
        <w:numPr>
          <w:ilvl w:val="1"/>
          <w:numId w:val="87"/>
        </w:numPr>
        <w:tabs>
          <w:tab w:val="left" w:pos="709"/>
          <w:tab w:val="left" w:pos="993"/>
        </w:tabs>
        <w:spacing w:before="120" w:after="120" w:line="240" w:lineRule="auto"/>
        <w:ind w:left="993" w:hanging="567"/>
        <w:jc w:val="both"/>
        <w:rPr>
          <w:rFonts w:ascii="Times New Roman" w:eastAsia="Times New Roman" w:hAnsi="Times New Roman" w:cs="Times New Roman"/>
          <w:b/>
        </w:rPr>
      </w:pPr>
      <w:r>
        <w:rPr>
          <w:rFonts w:ascii="Times New Roman" w:eastAsia="Times New Roman" w:hAnsi="Times New Roman" w:cs="Times New Roman"/>
          <w:bCs/>
          <w:lang w:val="en-GB"/>
        </w:rPr>
        <w:t>Vektortér fogalma, lineáris függetlenség, bázis, dimenzió. (</w:t>
      </w:r>
      <w:r>
        <w:rPr>
          <w:rFonts w:ascii="Times New Roman" w:eastAsia="Times New Roman" w:hAnsi="Times New Roman" w:cs="Times New Roman"/>
          <w:bCs/>
          <w:i/>
          <w:lang w:val="en-GB"/>
        </w:rPr>
        <w:t>Vector space, linear independence, basis, dimension.</w:t>
      </w:r>
      <w:r>
        <w:rPr>
          <w:rFonts w:ascii="Times New Roman" w:eastAsia="Times New Roman" w:hAnsi="Times New Roman" w:cs="Times New Roman"/>
          <w:bCs/>
          <w:lang w:val="en-GB"/>
        </w:rPr>
        <w:t>)</w:t>
      </w:r>
    </w:p>
    <w:p w:rsidR="00082CA1" w:rsidRDefault="00082CA1" w:rsidP="00C2057B">
      <w:pPr>
        <w:widowControl w:val="0"/>
        <w:numPr>
          <w:ilvl w:val="1"/>
          <w:numId w:val="87"/>
        </w:numPr>
        <w:tabs>
          <w:tab w:val="left" w:pos="709"/>
          <w:tab w:val="left" w:pos="993"/>
        </w:tabs>
        <w:spacing w:before="120" w:after="120" w:line="240" w:lineRule="auto"/>
        <w:ind w:left="993" w:hanging="567"/>
        <w:jc w:val="both"/>
        <w:rPr>
          <w:rFonts w:ascii="Times New Roman" w:eastAsia="Times New Roman" w:hAnsi="Times New Roman" w:cs="Times New Roman"/>
          <w:b/>
        </w:rPr>
      </w:pPr>
      <w:r>
        <w:rPr>
          <w:rFonts w:ascii="Times New Roman" w:eastAsia="Times New Roman" w:hAnsi="Times New Roman" w:cs="Times New Roman"/>
          <w:bCs/>
          <w:lang w:val="en-GB"/>
        </w:rPr>
        <w:t>Vektorok skaláris-, vektoriális-, vegyes- és diadikus szorzata. (</w:t>
      </w:r>
      <w:r>
        <w:rPr>
          <w:rFonts w:ascii="Times New Roman" w:eastAsia="Times New Roman" w:hAnsi="Times New Roman" w:cs="Times New Roman"/>
          <w:bCs/>
          <w:i/>
          <w:lang w:val="en-GB"/>
        </w:rPr>
        <w:t>Dot product, cross product, triple product, dyadic product.</w:t>
      </w:r>
      <w:r>
        <w:rPr>
          <w:rFonts w:ascii="Times New Roman" w:eastAsia="Times New Roman" w:hAnsi="Times New Roman" w:cs="Times New Roman"/>
          <w:bCs/>
          <w:lang w:val="en-GB"/>
        </w:rPr>
        <w:t>)</w:t>
      </w:r>
    </w:p>
    <w:p w:rsidR="00082CA1" w:rsidRDefault="00082CA1" w:rsidP="00C2057B">
      <w:pPr>
        <w:widowControl w:val="0"/>
        <w:numPr>
          <w:ilvl w:val="1"/>
          <w:numId w:val="87"/>
        </w:numPr>
        <w:tabs>
          <w:tab w:val="left" w:pos="709"/>
          <w:tab w:val="left" w:pos="993"/>
        </w:tabs>
        <w:spacing w:before="120" w:after="120" w:line="240" w:lineRule="auto"/>
        <w:ind w:left="993" w:hanging="567"/>
        <w:jc w:val="both"/>
        <w:rPr>
          <w:rFonts w:ascii="Times New Roman" w:eastAsia="Times New Roman" w:hAnsi="Times New Roman" w:cs="Times New Roman"/>
          <w:b/>
        </w:rPr>
      </w:pPr>
      <w:r>
        <w:rPr>
          <w:rFonts w:ascii="Times New Roman" w:eastAsia="Times New Roman" w:hAnsi="Times New Roman" w:cs="Times New Roman"/>
          <w:bCs/>
          <w:lang w:val="en-GB"/>
        </w:rPr>
        <w:t>Vektorok alkalmazásai, térelemek (egyenes, sík egyenlete). (</w:t>
      </w:r>
      <w:r>
        <w:rPr>
          <w:rFonts w:ascii="Times New Roman" w:eastAsia="Times New Roman" w:hAnsi="Times New Roman" w:cs="Times New Roman"/>
          <w:bCs/>
          <w:i/>
          <w:lang w:val="en-GB"/>
        </w:rPr>
        <w:t>Applications, equation of a line, equation of a plane.</w:t>
      </w:r>
      <w:r>
        <w:rPr>
          <w:rFonts w:ascii="Times New Roman" w:eastAsia="Times New Roman" w:hAnsi="Times New Roman" w:cs="Times New Roman"/>
          <w:bCs/>
          <w:lang w:val="en-GB"/>
        </w:rPr>
        <w:t>)</w:t>
      </w:r>
    </w:p>
    <w:p w:rsidR="00082CA1" w:rsidRDefault="00082CA1" w:rsidP="00C2057B">
      <w:pPr>
        <w:widowControl w:val="0"/>
        <w:numPr>
          <w:ilvl w:val="1"/>
          <w:numId w:val="87"/>
        </w:numPr>
        <w:tabs>
          <w:tab w:val="left" w:pos="709"/>
          <w:tab w:val="left" w:pos="993"/>
        </w:tabs>
        <w:spacing w:before="120" w:after="120" w:line="240" w:lineRule="auto"/>
        <w:ind w:left="993" w:hanging="567"/>
        <w:jc w:val="both"/>
        <w:rPr>
          <w:rFonts w:ascii="Times New Roman" w:eastAsia="Times New Roman" w:hAnsi="Times New Roman" w:cs="Times New Roman"/>
          <w:b/>
        </w:rPr>
      </w:pPr>
      <w:r>
        <w:rPr>
          <w:rFonts w:ascii="Times New Roman" w:eastAsia="Times New Roman" w:hAnsi="Times New Roman" w:cs="Times New Roman"/>
          <w:bCs/>
          <w:lang w:val="en-GB"/>
        </w:rPr>
        <w:t xml:space="preserve">Mátrix fogalma, speciális mátrixok, mátrix-műveletek, mátrix rangja és inverze. </w:t>
      </w:r>
      <w:r>
        <w:rPr>
          <w:rFonts w:ascii="Times New Roman" w:eastAsia="Times New Roman" w:hAnsi="Times New Roman" w:cs="Times New Roman"/>
          <w:bCs/>
          <w:i/>
          <w:lang w:val="en-GB"/>
        </w:rPr>
        <w:t>(Definition of matrix, special matrices, operations with matrices, rank, inverse.</w:t>
      </w:r>
      <w:r>
        <w:rPr>
          <w:rFonts w:ascii="Times New Roman" w:eastAsia="Times New Roman" w:hAnsi="Times New Roman" w:cs="Times New Roman"/>
          <w:bCs/>
          <w:lang w:val="en-GB"/>
        </w:rPr>
        <w:t>)</w:t>
      </w:r>
    </w:p>
    <w:p w:rsidR="00082CA1" w:rsidRDefault="00082CA1" w:rsidP="00C2057B">
      <w:pPr>
        <w:widowControl w:val="0"/>
        <w:numPr>
          <w:ilvl w:val="1"/>
          <w:numId w:val="87"/>
        </w:numPr>
        <w:tabs>
          <w:tab w:val="left" w:pos="709"/>
          <w:tab w:val="left" w:pos="993"/>
        </w:tabs>
        <w:spacing w:before="120" w:after="120" w:line="240" w:lineRule="auto"/>
        <w:ind w:left="993" w:hanging="567"/>
        <w:jc w:val="both"/>
        <w:rPr>
          <w:rFonts w:ascii="Times New Roman" w:eastAsia="Times New Roman" w:hAnsi="Times New Roman" w:cs="Times New Roman"/>
          <w:b/>
        </w:rPr>
      </w:pPr>
      <w:r>
        <w:rPr>
          <w:rFonts w:ascii="Times New Roman" w:eastAsia="Times New Roman" w:hAnsi="Times New Roman" w:cs="Times New Roman"/>
          <w:bCs/>
          <w:lang w:val="en-GB"/>
        </w:rPr>
        <w:t>Determinánsok fogalma és tulajdonságai. (</w:t>
      </w:r>
      <w:r>
        <w:rPr>
          <w:rFonts w:ascii="Times New Roman" w:eastAsia="Times New Roman" w:hAnsi="Times New Roman" w:cs="Times New Roman"/>
          <w:bCs/>
          <w:i/>
          <w:lang w:val="en-GB"/>
        </w:rPr>
        <w:t>Determinants, properties of determinants.</w:t>
      </w:r>
      <w:r>
        <w:rPr>
          <w:rFonts w:ascii="Times New Roman" w:eastAsia="Times New Roman" w:hAnsi="Times New Roman" w:cs="Times New Roman"/>
          <w:bCs/>
          <w:lang w:val="en-GB"/>
        </w:rPr>
        <w:t>)</w:t>
      </w:r>
    </w:p>
    <w:p w:rsidR="00082CA1" w:rsidRDefault="00082CA1" w:rsidP="00C2057B">
      <w:pPr>
        <w:widowControl w:val="0"/>
        <w:numPr>
          <w:ilvl w:val="1"/>
          <w:numId w:val="87"/>
        </w:numPr>
        <w:tabs>
          <w:tab w:val="left" w:pos="709"/>
          <w:tab w:val="left" w:pos="993"/>
        </w:tabs>
        <w:spacing w:before="120" w:after="120" w:line="240" w:lineRule="auto"/>
        <w:ind w:left="993" w:hanging="567"/>
        <w:jc w:val="both"/>
        <w:rPr>
          <w:rFonts w:ascii="Times New Roman" w:eastAsia="Times New Roman" w:hAnsi="Times New Roman" w:cs="Times New Roman"/>
          <w:b/>
        </w:rPr>
      </w:pPr>
      <w:r>
        <w:rPr>
          <w:rFonts w:ascii="Times New Roman" w:eastAsia="Times New Roman" w:hAnsi="Times New Roman" w:cs="Times New Roman"/>
          <w:bCs/>
          <w:lang w:val="en-GB"/>
        </w:rPr>
        <w:t>Lineáris egyenletrendszerek megoldása. (</w:t>
      </w:r>
      <w:r>
        <w:rPr>
          <w:rFonts w:ascii="Times New Roman" w:eastAsia="Times New Roman" w:hAnsi="Times New Roman" w:cs="Times New Roman"/>
          <w:bCs/>
          <w:i/>
          <w:lang w:val="en-GB"/>
        </w:rPr>
        <w:t>Solution of systems of linear equations.</w:t>
      </w:r>
      <w:r>
        <w:rPr>
          <w:rFonts w:ascii="Times New Roman" w:eastAsia="Times New Roman" w:hAnsi="Times New Roman" w:cs="Times New Roman"/>
          <w:bCs/>
          <w:lang w:val="en-GB"/>
        </w:rPr>
        <w:t>)</w:t>
      </w:r>
    </w:p>
    <w:p w:rsidR="00082CA1" w:rsidRDefault="00082CA1" w:rsidP="00C2057B">
      <w:pPr>
        <w:widowControl w:val="0"/>
        <w:numPr>
          <w:ilvl w:val="1"/>
          <w:numId w:val="87"/>
        </w:numPr>
        <w:tabs>
          <w:tab w:val="left" w:pos="709"/>
          <w:tab w:val="left" w:pos="993"/>
        </w:tabs>
        <w:spacing w:before="120" w:after="120" w:line="240" w:lineRule="auto"/>
        <w:ind w:left="993" w:hanging="567"/>
        <w:jc w:val="both"/>
        <w:rPr>
          <w:rFonts w:ascii="Times New Roman" w:eastAsia="Times New Roman" w:hAnsi="Times New Roman" w:cs="Times New Roman"/>
          <w:b/>
        </w:rPr>
      </w:pPr>
      <w:r>
        <w:rPr>
          <w:rFonts w:ascii="Times New Roman" w:eastAsia="Times New Roman" w:hAnsi="Times New Roman" w:cs="Times New Roman"/>
        </w:rPr>
        <w:t>Bázistranszformáció. (</w:t>
      </w:r>
      <w:r>
        <w:rPr>
          <w:rFonts w:ascii="Times New Roman" w:eastAsia="Times New Roman" w:hAnsi="Times New Roman" w:cs="Times New Roman"/>
          <w:i/>
        </w:rPr>
        <w:t>Change of basis.</w:t>
      </w:r>
      <w:r>
        <w:rPr>
          <w:rFonts w:ascii="Times New Roman" w:eastAsia="Times New Roman" w:hAnsi="Times New Roman" w:cs="Times New Roman"/>
        </w:rPr>
        <w:t>)</w:t>
      </w:r>
    </w:p>
    <w:p w:rsidR="00082CA1" w:rsidRDefault="00082CA1" w:rsidP="00C2057B">
      <w:pPr>
        <w:widowControl w:val="0"/>
        <w:numPr>
          <w:ilvl w:val="0"/>
          <w:numId w:val="87"/>
        </w:numPr>
        <w:tabs>
          <w:tab w:val="clear" w:pos="720"/>
          <w:tab w:val="num" w:pos="360"/>
          <w:tab w:val="num" w:pos="502"/>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 tantárgy meghirdetésének gyakorisága/a tantervben történő félévi elhelyezkedése: </w:t>
      </w:r>
      <w:r>
        <w:rPr>
          <w:rFonts w:ascii="Times New Roman" w:eastAsia="Times New Roman" w:hAnsi="Times New Roman" w:cs="Times New Roman"/>
          <w:b/>
          <w:bCs/>
        </w:rPr>
        <w:br/>
      </w:r>
      <w:r>
        <w:rPr>
          <w:rFonts w:ascii="Times New Roman" w:hAnsi="Times New Roman" w:cs="Times New Roman"/>
        </w:rPr>
        <w:t>évente / 3. félév</w:t>
      </w:r>
    </w:p>
    <w:p w:rsidR="00082CA1" w:rsidRDefault="00082CA1" w:rsidP="00C2057B">
      <w:pPr>
        <w:widowControl w:val="0"/>
        <w:numPr>
          <w:ilvl w:val="0"/>
          <w:numId w:val="87"/>
        </w:numPr>
        <w:tabs>
          <w:tab w:val="clear" w:pos="720"/>
          <w:tab w:val="num" w:pos="502"/>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tanórákon való részvétel követelményei, az elfogadható hiányzások mértéke, a távolmaradás pótlásának lehetősége:</w:t>
      </w:r>
      <w:r>
        <w:rPr>
          <w:rFonts w:ascii="Times New Roman" w:eastAsia="Times New Roman" w:hAnsi="Times New Roman" w:cs="Times New Roman"/>
          <w:bCs/>
        </w:rPr>
        <w:t xml:space="preserve"> A tantárgy teljesítéséhez a tanórák legalább 70%-án jelen kell lennie a hallgatónak. Az ezt meghaladó mértékű hiányzás a féléves aláírás megtagadását vonja maga után. A távollétet a hiányzást követő első foglalkozáson kell igazolnia. A hallgató köteles a mulasztott tanóra anyagát beszerezni, abból önállóan felkészülni.</w:t>
      </w:r>
    </w:p>
    <w:p w:rsidR="00082CA1" w:rsidRDefault="00082CA1" w:rsidP="00C2057B">
      <w:pPr>
        <w:widowControl w:val="0"/>
        <w:numPr>
          <w:ilvl w:val="0"/>
          <w:numId w:val="87"/>
        </w:numPr>
        <w:tabs>
          <w:tab w:val="clear" w:pos="720"/>
          <w:tab w:val="num" w:pos="502"/>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rPr>
        <w:t>Félévközi feladatok, ismeretek ellenőrzésének rendje:</w:t>
      </w:r>
      <w:r>
        <w:rPr>
          <w:rFonts w:ascii="Times New Roman" w:eastAsia="Times New Roman" w:hAnsi="Times New Roman" w:cs="Times New Roman"/>
          <w:bCs/>
        </w:rPr>
        <w:t xml:space="preserve"> </w:t>
      </w:r>
    </w:p>
    <w:p w:rsidR="00082CA1" w:rsidRDefault="00082CA1" w:rsidP="00082CA1">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bCs/>
        </w:rPr>
        <w:t>A számonkérés a félév során két zárthelyi dolgozat keretében történik. Az első dolgozat a 12.1-12.4 anyagrészeket, a második dolgozat a 12.5-12.8 anyagrészeket kéri számon</w:t>
      </w:r>
    </w:p>
    <w:p w:rsidR="00082CA1" w:rsidRDefault="00082CA1" w:rsidP="00082CA1">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bCs/>
        </w:rPr>
        <w:t>A dolgozatok pótlására, javítására egyszer van lehetőség egy pótdolgozat keretében.</w:t>
      </w:r>
    </w:p>
    <w:p w:rsidR="00082CA1" w:rsidRDefault="00082CA1" w:rsidP="00082CA1">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 xml:space="preserve">Az érdemjegy megszerzéséhez a zárthelyi dolgozatok összpontszámának vagy a pótdolgozat </w:t>
      </w:r>
      <w:r>
        <w:rPr>
          <w:rFonts w:ascii="Times New Roman" w:eastAsia="Times New Roman" w:hAnsi="Times New Roman" w:cs="Times New Roman"/>
        </w:rPr>
        <w:lastRenderedPageBreak/>
        <w:t>pontszámának több mint 50%-a szükséges. Az elégséges érdemjegyhez a zárthelyi dolgozat(ok) összpontszámának 51-60% szükséges, közepeshez 61-75%, jóhoz 76-90%, jeleshez 91-100%.</w:t>
      </w:r>
    </w:p>
    <w:p w:rsidR="00082CA1" w:rsidRDefault="00082CA1" w:rsidP="00C2057B">
      <w:pPr>
        <w:widowControl w:val="0"/>
        <w:numPr>
          <w:ilvl w:val="0"/>
          <w:numId w:val="87"/>
        </w:numPr>
        <w:tabs>
          <w:tab w:val="clear" w:pos="720"/>
          <w:tab w:val="num" w:pos="502"/>
        </w:tabs>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Az értékelés, az aláírás és a kreditek megszerzésének pontos feltételei: </w:t>
      </w:r>
    </w:p>
    <w:p w:rsidR="00082CA1" w:rsidRDefault="00082CA1" w:rsidP="00C2057B">
      <w:pPr>
        <w:widowControl w:val="0"/>
        <w:numPr>
          <w:ilvl w:val="1"/>
          <w:numId w:val="87"/>
        </w:numPr>
        <w:tabs>
          <w:tab w:val="left" w:pos="709"/>
          <w:tab w:val="left" w:pos="993"/>
        </w:tabs>
        <w:spacing w:before="120" w:after="120" w:line="240" w:lineRule="auto"/>
        <w:ind w:left="425" w:firstLine="0"/>
        <w:jc w:val="both"/>
        <w:rPr>
          <w:rFonts w:ascii="Times New Roman" w:eastAsia="Times New Roman" w:hAnsi="Times New Roman" w:cs="Times New Roman"/>
        </w:rPr>
      </w:pPr>
      <w:r>
        <w:rPr>
          <w:rFonts w:ascii="Times New Roman" w:eastAsia="Times New Roman" w:hAnsi="Times New Roman" w:cs="Times New Roman"/>
          <w:b/>
        </w:rPr>
        <w:t>Az aláírás megszerzésének feltételei:</w:t>
      </w:r>
      <w:r>
        <w:rPr>
          <w:rFonts w:ascii="Times New Roman" w:eastAsia="Times New Roman" w:hAnsi="Times New Roman" w:cs="Times New Roman"/>
        </w:rPr>
        <w:t xml:space="preserve"> Az aláírás megszerzésének feltétele a 14. pontban meghatározott arányú részvétel a foglalkozásokon valamint a 15. pontban meghatározott félévközi feladatok legalább elégséges teljesítése.</w:t>
      </w:r>
    </w:p>
    <w:p w:rsidR="00082CA1" w:rsidRDefault="00082CA1" w:rsidP="00C2057B">
      <w:pPr>
        <w:widowControl w:val="0"/>
        <w:numPr>
          <w:ilvl w:val="1"/>
          <w:numId w:val="87"/>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Az értékelés:</w:t>
      </w:r>
      <w:r>
        <w:rPr>
          <w:rFonts w:ascii="Times New Roman" w:eastAsia="Times New Roman" w:hAnsi="Times New Roman" w:cs="Times New Roman"/>
        </w:rPr>
        <w:t xml:space="preserve"> gyakorlati jegy</w:t>
      </w:r>
    </w:p>
    <w:p w:rsidR="00082CA1" w:rsidRDefault="00082CA1" w:rsidP="00C2057B">
      <w:pPr>
        <w:widowControl w:val="0"/>
        <w:numPr>
          <w:ilvl w:val="1"/>
          <w:numId w:val="87"/>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 kreditek megszerzésének feltételei:</w:t>
      </w:r>
      <w:r>
        <w:rPr>
          <w:rFonts w:ascii="Times New Roman" w:eastAsia="Times New Roman" w:hAnsi="Times New Roman" w:cs="Times New Roman"/>
        </w:rPr>
        <w:t xml:space="preserve"> A kreditek megszerzésének feltétele az aláírás megszerzése és legalább elégséges érdemjegy.</w:t>
      </w:r>
    </w:p>
    <w:p w:rsidR="00082CA1" w:rsidRDefault="00082CA1" w:rsidP="00C2057B">
      <w:pPr>
        <w:widowControl w:val="0"/>
        <w:numPr>
          <w:ilvl w:val="0"/>
          <w:numId w:val="87"/>
        </w:numPr>
        <w:tabs>
          <w:tab w:val="clear" w:pos="720"/>
          <w:tab w:val="num" w:pos="360"/>
          <w:tab w:val="num" w:pos="502"/>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Irodalomjegyzék:</w:t>
      </w:r>
    </w:p>
    <w:p w:rsidR="00082CA1" w:rsidRDefault="00082CA1" w:rsidP="00C2057B">
      <w:pPr>
        <w:widowControl w:val="0"/>
        <w:numPr>
          <w:ilvl w:val="1"/>
          <w:numId w:val="87"/>
        </w:numPr>
        <w:tabs>
          <w:tab w:val="left" w:pos="567"/>
          <w:tab w:val="left" w:pos="851"/>
          <w:tab w:val="num" w:pos="2069"/>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Kötelező irodalom:</w:t>
      </w:r>
    </w:p>
    <w:p w:rsidR="00082CA1" w:rsidRDefault="00082CA1" w:rsidP="00980876">
      <w:pPr>
        <w:widowControl w:val="0"/>
        <w:numPr>
          <w:ilvl w:val="0"/>
          <w:numId w:val="742"/>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Szeitz Judit: Vektoralgebra. Bolyai János Katonai Műszaki Főiskola, Budapest, 1998.</w:t>
      </w:r>
    </w:p>
    <w:p w:rsidR="00082CA1" w:rsidRDefault="00082CA1" w:rsidP="00980876">
      <w:pPr>
        <w:widowControl w:val="0"/>
        <w:numPr>
          <w:ilvl w:val="0"/>
          <w:numId w:val="742"/>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Lengyel László: Lineáris algebra. Bolyai János Katonai Műszaki Főiskola, Budapest, 1999.</w:t>
      </w:r>
    </w:p>
    <w:p w:rsidR="00082CA1" w:rsidRDefault="00082CA1" w:rsidP="00980876">
      <w:pPr>
        <w:pStyle w:val="Listaszerbekezds"/>
        <w:widowControl w:val="0"/>
        <w:numPr>
          <w:ilvl w:val="0"/>
          <w:numId w:val="742"/>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Obádovics J. Gyula: Vektoralgebra, mátrixok, determinánsok, többváltozós függvények. Scolar, Budapest, 2019. ISBN: 9789632445717</w:t>
      </w:r>
    </w:p>
    <w:p w:rsidR="00082CA1" w:rsidRDefault="00082CA1" w:rsidP="00C2057B">
      <w:pPr>
        <w:widowControl w:val="0"/>
        <w:numPr>
          <w:ilvl w:val="1"/>
          <w:numId w:val="87"/>
        </w:numPr>
        <w:tabs>
          <w:tab w:val="num" w:pos="567"/>
          <w:tab w:val="num" w:pos="2069"/>
        </w:tabs>
        <w:spacing w:before="120" w:after="120" w:line="240" w:lineRule="auto"/>
        <w:ind w:left="993" w:hanging="709"/>
        <w:jc w:val="both"/>
        <w:rPr>
          <w:rFonts w:ascii="Times New Roman" w:eastAsia="Times New Roman" w:hAnsi="Times New Roman" w:cs="Times New Roman"/>
          <w:b/>
          <w:bCs/>
        </w:rPr>
      </w:pPr>
      <w:r>
        <w:rPr>
          <w:rFonts w:ascii="Times New Roman" w:eastAsia="Times New Roman" w:hAnsi="Times New Roman" w:cs="Times New Roman"/>
          <w:b/>
          <w:bCs/>
        </w:rPr>
        <w:t>Ajánlott irodalom:</w:t>
      </w:r>
    </w:p>
    <w:p w:rsidR="00082CA1" w:rsidRDefault="00082CA1" w:rsidP="00980876">
      <w:pPr>
        <w:pStyle w:val="Listaszerbekezds"/>
        <w:numPr>
          <w:ilvl w:val="0"/>
          <w:numId w:val="743"/>
        </w:numPr>
        <w:spacing w:line="256" w:lineRule="auto"/>
        <w:rPr>
          <w:rFonts w:ascii="Times New Roman" w:eastAsia="Times New Roman" w:hAnsi="Times New Roman" w:cs="Times New Roman"/>
        </w:rPr>
      </w:pPr>
      <w:r>
        <w:rPr>
          <w:rFonts w:ascii="Times New Roman" w:eastAsia="Times New Roman" w:hAnsi="Times New Roman" w:cs="Times New Roman"/>
        </w:rPr>
        <w:t>Obádovics J. Gyula: Lineáris algebra. Scolar, Budapest, 2010. ISBN: 9789632441689</w:t>
      </w:r>
    </w:p>
    <w:p w:rsidR="00082CA1" w:rsidRDefault="00082CA1" w:rsidP="00980876">
      <w:pPr>
        <w:pStyle w:val="Listaszerbekezds"/>
        <w:widowControl w:val="0"/>
        <w:numPr>
          <w:ilvl w:val="0"/>
          <w:numId w:val="743"/>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Pogáts Ferenc: Vektorgeometria. Műszaki Könyvkiadó, Budapest, 1972. ISBN: 0489005028422</w:t>
      </w:r>
    </w:p>
    <w:p w:rsidR="00082CA1" w:rsidRDefault="00082CA1" w:rsidP="00980876">
      <w:pPr>
        <w:pStyle w:val="Listaszerbekezds"/>
        <w:widowControl w:val="0"/>
        <w:numPr>
          <w:ilvl w:val="0"/>
          <w:numId w:val="743"/>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Scharnitzky Viktor: Mátrixszámítás. Műszaki Könyvkiadó, 2008. ISBN: 9789631630053</w:t>
      </w:r>
    </w:p>
    <w:p w:rsidR="003073B7" w:rsidRDefault="003073B7" w:rsidP="00082CA1">
      <w:pPr>
        <w:widowControl w:val="0"/>
        <w:spacing w:before="120" w:after="120" w:line="240" w:lineRule="auto"/>
        <w:jc w:val="both"/>
        <w:rPr>
          <w:rFonts w:ascii="Times New Roman" w:eastAsia="Times New Roman" w:hAnsi="Times New Roman" w:cs="Times New Roman"/>
          <w:bCs/>
        </w:rPr>
      </w:pPr>
    </w:p>
    <w:p w:rsidR="00082CA1" w:rsidRDefault="00082CA1" w:rsidP="003073B7">
      <w:pPr>
        <w:widowControl w:val="0"/>
        <w:spacing w:before="120" w:after="120" w:line="240" w:lineRule="auto"/>
        <w:ind w:firstLine="360"/>
        <w:jc w:val="both"/>
        <w:rPr>
          <w:rFonts w:ascii="Times New Roman" w:eastAsia="Times New Roman" w:hAnsi="Times New Roman" w:cs="Times New Roman"/>
          <w:bCs/>
        </w:rPr>
      </w:pPr>
      <w:r>
        <w:rPr>
          <w:rFonts w:ascii="Times New Roman" w:eastAsia="Times New Roman" w:hAnsi="Times New Roman" w:cs="Times New Roman"/>
          <w:bCs/>
        </w:rPr>
        <w:t>Budapest, 2020. január 31.</w:t>
      </w:r>
    </w:p>
    <w:p w:rsidR="00082CA1" w:rsidRPr="00082CA1" w:rsidRDefault="00082CA1" w:rsidP="00082CA1">
      <w:pPr>
        <w:widowControl w:val="0"/>
        <w:spacing w:before="120" w:after="120" w:line="240" w:lineRule="auto"/>
        <w:jc w:val="both"/>
        <w:rPr>
          <w:rFonts w:ascii="Times New Roman" w:eastAsia="Times New Roman" w:hAnsi="Times New Roman" w:cs="Times New Roman"/>
          <w:b/>
          <w:bCs/>
        </w:rPr>
      </w:pPr>
    </w:p>
    <w:p w:rsidR="00082CA1" w:rsidRPr="00082CA1" w:rsidRDefault="00082CA1" w:rsidP="00082CA1">
      <w:pPr>
        <w:widowControl w:val="0"/>
        <w:spacing w:after="0" w:line="240" w:lineRule="auto"/>
        <w:jc w:val="right"/>
        <w:rPr>
          <w:rFonts w:ascii="Times New Roman" w:eastAsia="Times New Roman" w:hAnsi="Times New Roman" w:cs="Times New Roman"/>
          <w:b/>
          <w:bCs/>
        </w:rPr>
      </w:pPr>
      <w:r w:rsidRPr="00082CA1">
        <w:rPr>
          <w:rFonts w:ascii="Times New Roman" w:eastAsia="Times New Roman" w:hAnsi="Times New Roman" w:cs="Times New Roman"/>
          <w:b/>
          <w:bCs/>
        </w:rPr>
        <w:t xml:space="preserve">Dr. Tóth Bence, PhD </w:t>
      </w:r>
    </w:p>
    <w:p w:rsidR="00082CA1" w:rsidRDefault="00082CA1" w:rsidP="00082CA1">
      <w:pPr>
        <w:widowControl w:val="0"/>
        <w:spacing w:after="0" w:line="240" w:lineRule="auto"/>
        <w:jc w:val="right"/>
        <w:rPr>
          <w:rFonts w:ascii="Times New Roman" w:eastAsia="Times New Roman" w:hAnsi="Times New Roman" w:cs="Times New Roman"/>
          <w:bCs/>
        </w:rPr>
      </w:pPr>
      <w:r>
        <w:rPr>
          <w:rFonts w:ascii="Times New Roman" w:eastAsia="Times New Roman" w:hAnsi="Times New Roman" w:cs="Times New Roman"/>
          <w:bCs/>
        </w:rPr>
        <w:t>adjunktus, sk.</w:t>
      </w:r>
    </w:p>
    <w:p w:rsidR="00DF75F8" w:rsidRDefault="00DF75F8">
      <w:pPr>
        <w:spacing w:after="200" w:line="276" w:lineRule="auto"/>
        <w:rPr>
          <w:rFonts w:ascii="Times New Roman" w:hAnsi="Times New Roman" w:cs="Times New Roman"/>
          <w:sz w:val="24"/>
        </w:rPr>
      </w:pPr>
    </w:p>
    <w:p w:rsidR="00082CA1" w:rsidRDefault="00082CA1">
      <w:pPr>
        <w:spacing w:after="200" w:line="276" w:lineRule="auto"/>
        <w:rPr>
          <w:rFonts w:ascii="Times New Roman" w:hAnsi="Times New Roman" w:cs="Times New Roman"/>
          <w:sz w:val="24"/>
        </w:rPr>
      </w:pPr>
      <w:r>
        <w:rPr>
          <w:rFonts w:ascii="Times New Roman" w:hAnsi="Times New Roman" w:cs="Times New Roman"/>
          <w:sz w:val="24"/>
        </w:rPr>
        <w:br w:type="page"/>
      </w:r>
    </w:p>
    <w:tbl>
      <w:tblPr>
        <w:tblW w:w="9072" w:type="dxa"/>
        <w:tblInd w:w="113" w:type="dxa"/>
        <w:tblLook w:val="01E0" w:firstRow="1" w:lastRow="1" w:firstColumn="1" w:lastColumn="1" w:noHBand="0" w:noVBand="0"/>
      </w:tblPr>
      <w:tblGrid>
        <w:gridCol w:w="4855"/>
        <w:gridCol w:w="1620"/>
        <w:gridCol w:w="2597"/>
      </w:tblGrid>
      <w:tr w:rsidR="005552D5" w:rsidTr="005552D5">
        <w:tc>
          <w:tcPr>
            <w:tcW w:w="4855" w:type="dxa"/>
            <w:tcBorders>
              <w:top w:val="nil"/>
              <w:left w:val="nil"/>
              <w:bottom w:val="single" w:sz="4" w:space="0" w:color="auto"/>
              <w:right w:val="nil"/>
            </w:tcBorders>
            <w:hideMark/>
          </w:tcPr>
          <w:p w:rsidR="005552D5" w:rsidRDefault="005552D5">
            <w:pPr>
              <w:spacing w:after="0" w:line="240" w:lineRule="auto"/>
              <w:jc w:val="center"/>
              <w:rPr>
                <w:rFonts w:ascii="Times New Roman" w:eastAsia="Times New Roman" w:hAnsi="Times New Roman" w:cs="Times New Roman"/>
                <w:b/>
                <w:smallCaps/>
                <w:lang w:eastAsia="hu-HU"/>
              </w:rPr>
            </w:pPr>
            <w:r>
              <w:rPr>
                <w:rFonts w:ascii="Times New Roman" w:eastAsia="Times New Roman" w:hAnsi="Times New Roman" w:cs="Times New Roman"/>
                <w:b/>
                <w:smallCaps/>
                <w:lang w:eastAsia="hu-HU"/>
              </w:rPr>
              <w:lastRenderedPageBreak/>
              <w:t>Nemzeti Közszolgálati Egyetem</w:t>
            </w:r>
          </w:p>
        </w:tc>
        <w:tc>
          <w:tcPr>
            <w:tcW w:w="1620" w:type="dxa"/>
          </w:tcPr>
          <w:p w:rsidR="005552D5" w:rsidRDefault="005552D5">
            <w:pPr>
              <w:spacing w:after="0" w:line="240" w:lineRule="auto"/>
              <w:jc w:val="both"/>
              <w:rPr>
                <w:rFonts w:ascii="Times New Roman" w:eastAsia="Times New Roman" w:hAnsi="Times New Roman" w:cs="Times New Roman"/>
                <w:lang w:eastAsia="hu-HU"/>
              </w:rPr>
            </w:pPr>
          </w:p>
        </w:tc>
        <w:tc>
          <w:tcPr>
            <w:tcW w:w="2597" w:type="dxa"/>
          </w:tcPr>
          <w:p w:rsidR="005552D5" w:rsidRDefault="005552D5">
            <w:pPr>
              <w:spacing w:after="0" w:line="240" w:lineRule="auto"/>
              <w:jc w:val="right"/>
              <w:rPr>
                <w:rFonts w:ascii="Times New Roman" w:eastAsia="Times New Roman" w:hAnsi="Times New Roman" w:cs="Times New Roman"/>
                <w:lang w:eastAsia="hu-HU"/>
              </w:rPr>
            </w:pPr>
          </w:p>
        </w:tc>
      </w:tr>
      <w:tr w:rsidR="005552D5" w:rsidTr="005552D5">
        <w:tc>
          <w:tcPr>
            <w:tcW w:w="4855" w:type="dxa"/>
            <w:tcBorders>
              <w:top w:val="single" w:sz="4" w:space="0" w:color="auto"/>
              <w:left w:val="nil"/>
              <w:bottom w:val="nil"/>
              <w:right w:val="nil"/>
            </w:tcBorders>
            <w:hideMark/>
          </w:tcPr>
          <w:p w:rsidR="005552D5" w:rsidRDefault="005552D5">
            <w:pPr>
              <w:spacing w:after="0" w:line="240" w:lineRule="auto"/>
              <w:jc w:val="center"/>
              <w:rPr>
                <w:rFonts w:ascii="Times New Roman" w:eastAsia="Times New Roman" w:hAnsi="Times New Roman" w:cs="Times New Roman"/>
                <w:b/>
                <w:lang w:eastAsia="hu-HU"/>
              </w:rPr>
            </w:pPr>
            <w:r>
              <w:rPr>
                <w:rFonts w:ascii="Times New Roman" w:eastAsia="Times New Roman" w:hAnsi="Times New Roman" w:cs="Times New Roman"/>
                <w:b/>
                <w:lang w:eastAsia="hu-HU"/>
              </w:rPr>
              <w:t>Hadtudományi és Honvédtisztképző Kar</w:t>
            </w:r>
          </w:p>
        </w:tc>
        <w:tc>
          <w:tcPr>
            <w:tcW w:w="1620" w:type="dxa"/>
          </w:tcPr>
          <w:p w:rsidR="005552D5" w:rsidRDefault="005552D5">
            <w:pPr>
              <w:spacing w:after="0" w:line="240" w:lineRule="auto"/>
              <w:jc w:val="both"/>
              <w:rPr>
                <w:rFonts w:ascii="Times New Roman" w:eastAsia="Times New Roman" w:hAnsi="Times New Roman" w:cs="Times New Roman"/>
                <w:lang w:eastAsia="hu-HU"/>
              </w:rPr>
            </w:pPr>
          </w:p>
        </w:tc>
        <w:tc>
          <w:tcPr>
            <w:tcW w:w="2597" w:type="dxa"/>
          </w:tcPr>
          <w:p w:rsidR="005552D5" w:rsidRDefault="005552D5">
            <w:pPr>
              <w:spacing w:after="0" w:line="240" w:lineRule="auto"/>
              <w:jc w:val="both"/>
              <w:rPr>
                <w:rFonts w:ascii="Times New Roman" w:eastAsia="Times New Roman" w:hAnsi="Times New Roman" w:cs="Times New Roman"/>
                <w:lang w:eastAsia="hu-HU"/>
              </w:rPr>
            </w:pPr>
          </w:p>
        </w:tc>
      </w:tr>
    </w:tbl>
    <w:p w:rsidR="005552D5" w:rsidRDefault="005552D5" w:rsidP="005552D5">
      <w:pPr>
        <w:widowControl w:val="0"/>
        <w:spacing w:before="120" w:after="120" w:line="240" w:lineRule="auto"/>
        <w:ind w:left="426" w:hanging="142"/>
        <w:jc w:val="center"/>
        <w:rPr>
          <w:rFonts w:ascii="Times New Roman" w:eastAsia="Times New Roman" w:hAnsi="Times New Roman" w:cs="Times New Roman"/>
          <w:b/>
          <w:bCs/>
        </w:rPr>
      </w:pPr>
    </w:p>
    <w:p w:rsidR="005552D5" w:rsidRDefault="005552D5" w:rsidP="005552D5">
      <w:pPr>
        <w:widowControl w:val="0"/>
        <w:spacing w:before="120" w:after="120" w:line="240" w:lineRule="auto"/>
        <w:ind w:left="426" w:hanging="142"/>
        <w:jc w:val="center"/>
        <w:rPr>
          <w:rFonts w:ascii="Times New Roman" w:eastAsia="Times New Roman" w:hAnsi="Times New Roman" w:cs="Times New Roman"/>
          <w:b/>
          <w:bCs/>
        </w:rPr>
      </w:pPr>
      <w:r>
        <w:rPr>
          <w:rFonts w:ascii="Times New Roman" w:eastAsia="Times New Roman" w:hAnsi="Times New Roman" w:cs="Times New Roman"/>
          <w:b/>
          <w:bCs/>
        </w:rPr>
        <w:t>TANTÁRGYI PROGRAM</w:t>
      </w:r>
    </w:p>
    <w:p w:rsidR="005552D5" w:rsidRDefault="005552D5" w:rsidP="00C2057B">
      <w:pPr>
        <w:widowControl w:val="0"/>
        <w:numPr>
          <w:ilvl w:val="0"/>
          <w:numId w:val="96"/>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 tantárgy kódja: </w:t>
      </w:r>
      <w:r>
        <w:rPr>
          <w:rFonts w:ascii="Times New Roman" w:hAnsi="Times New Roman" w:cs="Times New Roman"/>
          <w:bCs/>
        </w:rPr>
        <w:t>HKHPKA103</w:t>
      </w:r>
    </w:p>
    <w:p w:rsidR="005552D5" w:rsidRDefault="005552D5" w:rsidP="00C2057B">
      <w:pPr>
        <w:widowControl w:val="0"/>
        <w:numPr>
          <w:ilvl w:val="0"/>
          <w:numId w:val="96"/>
        </w:numPr>
        <w:spacing w:before="120" w:after="120" w:line="240" w:lineRule="auto"/>
        <w:ind w:left="426" w:hanging="142"/>
        <w:jc w:val="both"/>
        <w:rPr>
          <w:rFonts w:ascii="Times New Roman" w:eastAsia="Times New Roman" w:hAnsi="Times New Roman" w:cs="Times New Roman"/>
          <w:b/>
          <w:bCs/>
          <w:lang w:val="en-GB"/>
        </w:rPr>
      </w:pPr>
      <w:r>
        <w:rPr>
          <w:rFonts w:ascii="Times New Roman" w:eastAsia="Times New Roman" w:hAnsi="Times New Roman" w:cs="Times New Roman"/>
          <w:b/>
          <w:bCs/>
        </w:rPr>
        <w:t>A tantárgy megnevezése (magyarul):</w:t>
      </w:r>
      <w:r>
        <w:rPr>
          <w:rFonts w:ascii="Times New Roman" w:eastAsia="Times New Roman" w:hAnsi="Times New Roman" w:cs="Times New Roman"/>
          <w:bCs/>
        </w:rPr>
        <w:t xml:space="preserve"> </w:t>
      </w:r>
      <w:r w:rsidR="009E5D6C">
        <w:rPr>
          <w:rFonts w:ascii="Times New Roman" w:hAnsi="Times New Roman" w:cs="Times New Roman"/>
          <w:bCs/>
        </w:rPr>
        <w:t>Védelemgazdaságtan-</w:t>
      </w:r>
      <w:r>
        <w:rPr>
          <w:rFonts w:ascii="Times New Roman" w:hAnsi="Times New Roman" w:cs="Times New Roman"/>
          <w:bCs/>
        </w:rPr>
        <w:t>BKL</w:t>
      </w:r>
    </w:p>
    <w:p w:rsidR="005552D5" w:rsidRDefault="005552D5" w:rsidP="00C2057B">
      <w:pPr>
        <w:widowControl w:val="0"/>
        <w:numPr>
          <w:ilvl w:val="0"/>
          <w:numId w:val="96"/>
        </w:numPr>
        <w:spacing w:before="120" w:after="120" w:line="240" w:lineRule="auto"/>
        <w:ind w:left="426" w:hanging="142"/>
        <w:jc w:val="both"/>
        <w:rPr>
          <w:rFonts w:ascii="Times New Roman" w:eastAsia="Times New Roman" w:hAnsi="Times New Roman" w:cs="Times New Roman"/>
          <w:b/>
          <w:bCs/>
          <w:lang w:val="en-GB"/>
        </w:rPr>
      </w:pPr>
      <w:r>
        <w:rPr>
          <w:rFonts w:ascii="Times New Roman" w:eastAsia="Times New Roman" w:hAnsi="Times New Roman" w:cs="Times New Roman"/>
          <w:b/>
          <w:bCs/>
        </w:rPr>
        <w:t xml:space="preserve">A tantárgy megnevezése (angolul): </w:t>
      </w:r>
      <w:r w:rsidR="009E5D6C">
        <w:rPr>
          <w:rFonts w:ascii="Times New Roman" w:hAnsi="Times New Roman" w:cs="Times New Roman"/>
          <w:bCs/>
        </w:rPr>
        <w:t>Defense Economics-</w:t>
      </w:r>
      <w:r>
        <w:rPr>
          <w:rFonts w:ascii="Times New Roman" w:hAnsi="Times New Roman" w:cs="Times New Roman"/>
          <w:bCs/>
        </w:rPr>
        <w:t>BKL</w:t>
      </w:r>
    </w:p>
    <w:p w:rsidR="005552D5" w:rsidRDefault="005552D5" w:rsidP="00C2057B">
      <w:pPr>
        <w:widowControl w:val="0"/>
        <w:numPr>
          <w:ilvl w:val="0"/>
          <w:numId w:val="96"/>
        </w:numPr>
        <w:tabs>
          <w:tab w:val="num" w:pos="567"/>
        </w:tabs>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Kreditérték és képzési karakter: </w:t>
      </w:r>
    </w:p>
    <w:p w:rsidR="005552D5" w:rsidRDefault="005552D5" w:rsidP="00C2057B">
      <w:pPr>
        <w:pStyle w:val="Listaszerbekezds"/>
        <w:widowControl w:val="0"/>
        <w:numPr>
          <w:ilvl w:val="1"/>
          <w:numId w:val="96"/>
        </w:numPr>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2 kredit</w:t>
      </w:r>
    </w:p>
    <w:p w:rsidR="005552D5" w:rsidRDefault="005552D5" w:rsidP="00C2057B">
      <w:pPr>
        <w:pStyle w:val="Listaszerbekezds"/>
        <w:widowControl w:val="0"/>
        <w:numPr>
          <w:ilvl w:val="1"/>
          <w:numId w:val="96"/>
        </w:numPr>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a tantárgy elméleti vagy gyakorlati jellegének mértéke: 50</w:t>
      </w:r>
      <w:r>
        <w:rPr>
          <w:rFonts w:ascii="Times New Roman" w:eastAsia="Times New Roman" w:hAnsi="Times New Roman" w:cs="Times New Roman"/>
          <w:b/>
          <w:bCs/>
        </w:rPr>
        <w:t xml:space="preserve"> </w:t>
      </w:r>
      <w:r>
        <w:rPr>
          <w:rFonts w:ascii="Times New Roman" w:eastAsia="Times New Roman" w:hAnsi="Times New Roman" w:cs="Times New Roman"/>
          <w:bCs/>
        </w:rPr>
        <w:t>% gyakorlat,50 % elmélet</w:t>
      </w:r>
    </w:p>
    <w:p w:rsidR="005552D5" w:rsidRDefault="005552D5" w:rsidP="00C2057B">
      <w:pPr>
        <w:widowControl w:val="0"/>
        <w:numPr>
          <w:ilvl w:val="0"/>
          <w:numId w:val="96"/>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szak(ok), szakirányok/specializációk megnevezése (ahol oktatják):</w:t>
      </w:r>
      <w:r>
        <w:rPr>
          <w:rFonts w:ascii="Times New Roman" w:eastAsia="Times New Roman" w:hAnsi="Times New Roman" w:cs="Times New Roman"/>
          <w:bCs/>
        </w:rPr>
        <w:t xml:space="preserve"> </w:t>
      </w:r>
      <w:r>
        <w:rPr>
          <w:rFonts w:ascii="Times New Roman" w:hAnsi="Times New Roman" w:cs="Times New Roman"/>
          <w:bCs/>
        </w:rPr>
        <w:t>Katonai logisztika alapképzési (</w:t>
      </w:r>
      <w:r w:rsidR="00137B8A">
        <w:rPr>
          <w:rFonts w:ascii="Times New Roman" w:hAnsi="Times New Roman" w:cs="Times New Roman"/>
          <w:bCs/>
        </w:rPr>
        <w:t>BSc</w:t>
      </w:r>
      <w:r>
        <w:rPr>
          <w:rFonts w:ascii="Times New Roman" w:hAnsi="Times New Roman" w:cs="Times New Roman"/>
          <w:bCs/>
        </w:rPr>
        <w:t>) szak</w:t>
      </w:r>
    </w:p>
    <w:p w:rsidR="005552D5" w:rsidRDefault="005552D5" w:rsidP="00C2057B">
      <w:pPr>
        <w:widowControl w:val="0"/>
        <w:numPr>
          <w:ilvl w:val="0"/>
          <w:numId w:val="96"/>
        </w:numPr>
        <w:tabs>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Az oktatásért felelős oktatási szervezeti egység megnevezése: </w:t>
      </w:r>
      <w:r>
        <w:rPr>
          <w:rFonts w:ascii="Times New Roman" w:hAnsi="Times New Roman" w:cs="Times New Roman"/>
          <w:bCs/>
        </w:rPr>
        <w:t>NKE HHK Hadtáp, Pénzügyi és Katonai Közlekedési Tanszék</w:t>
      </w:r>
    </w:p>
    <w:p w:rsidR="005552D5" w:rsidRDefault="005552D5" w:rsidP="00C2057B">
      <w:pPr>
        <w:widowControl w:val="0"/>
        <w:numPr>
          <w:ilvl w:val="0"/>
          <w:numId w:val="96"/>
        </w:numPr>
        <w:tabs>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tantárgyfelelős oktató neve, beosztása, tudományos fokozata:</w:t>
      </w:r>
      <w:r>
        <w:rPr>
          <w:rFonts w:ascii="Times New Roman" w:eastAsia="Times New Roman" w:hAnsi="Times New Roman" w:cs="Times New Roman"/>
          <w:bCs/>
        </w:rPr>
        <w:t xml:space="preserve"> </w:t>
      </w:r>
      <w:r>
        <w:rPr>
          <w:rFonts w:ascii="Times New Roman" w:hAnsi="Times New Roman" w:cs="Times New Roman"/>
          <w:bCs/>
        </w:rPr>
        <w:t>Dr. Taksás Balázs százados, egyetemi docens, PhD</w:t>
      </w:r>
    </w:p>
    <w:p w:rsidR="005552D5" w:rsidRDefault="005552D5" w:rsidP="00C2057B">
      <w:pPr>
        <w:widowControl w:val="0"/>
        <w:numPr>
          <w:ilvl w:val="0"/>
          <w:numId w:val="96"/>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tanórák száma és típusa</w:t>
      </w:r>
    </w:p>
    <w:p w:rsidR="005552D5" w:rsidRDefault="005552D5" w:rsidP="00C2057B">
      <w:pPr>
        <w:widowControl w:val="0"/>
        <w:numPr>
          <w:ilvl w:val="1"/>
          <w:numId w:val="96"/>
        </w:numPr>
        <w:tabs>
          <w:tab w:val="num" w:pos="709"/>
          <w:tab w:val="num" w:pos="2069"/>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össz óraszám/félév:</w:t>
      </w:r>
    </w:p>
    <w:p w:rsidR="005552D5" w:rsidRDefault="005552D5" w:rsidP="00C2057B">
      <w:pPr>
        <w:widowControl w:val="0"/>
        <w:numPr>
          <w:ilvl w:val="2"/>
          <w:numId w:val="96"/>
        </w:numPr>
        <w:tabs>
          <w:tab w:val="num" w:pos="709"/>
          <w:tab w:val="num" w:pos="1134"/>
        </w:tabs>
        <w:spacing w:before="120" w:after="120" w:line="240" w:lineRule="auto"/>
        <w:ind w:left="993" w:hanging="425"/>
        <w:jc w:val="both"/>
        <w:rPr>
          <w:rFonts w:ascii="Times New Roman" w:eastAsia="Times New Roman" w:hAnsi="Times New Roman" w:cs="Times New Roman"/>
          <w:bCs/>
        </w:rPr>
      </w:pPr>
      <w:r>
        <w:rPr>
          <w:rFonts w:ascii="Times New Roman" w:eastAsia="Times New Roman" w:hAnsi="Times New Roman" w:cs="Times New Roman"/>
          <w:bCs/>
        </w:rPr>
        <w:t>nappali munkarend: 28 (14 EA + 0 SZ + 14 GY)</w:t>
      </w:r>
    </w:p>
    <w:p w:rsidR="005552D5" w:rsidRDefault="005552D5" w:rsidP="00C2057B">
      <w:pPr>
        <w:widowControl w:val="0"/>
        <w:numPr>
          <w:ilvl w:val="2"/>
          <w:numId w:val="96"/>
        </w:numPr>
        <w:tabs>
          <w:tab w:val="num" w:pos="709"/>
          <w:tab w:val="num" w:pos="1134"/>
        </w:tabs>
        <w:spacing w:before="120" w:after="120" w:line="240" w:lineRule="auto"/>
        <w:ind w:left="993" w:hanging="425"/>
        <w:jc w:val="both"/>
        <w:rPr>
          <w:rFonts w:ascii="Times New Roman" w:eastAsia="Times New Roman" w:hAnsi="Times New Roman" w:cs="Times New Roman"/>
          <w:bCs/>
        </w:rPr>
      </w:pPr>
      <w:r>
        <w:rPr>
          <w:rFonts w:ascii="Times New Roman" w:eastAsia="Times New Roman" w:hAnsi="Times New Roman" w:cs="Times New Roman"/>
          <w:bCs/>
        </w:rPr>
        <w:t>levelező munkarend: -</w:t>
      </w:r>
    </w:p>
    <w:p w:rsidR="005552D5" w:rsidRDefault="005552D5" w:rsidP="00C2057B">
      <w:pPr>
        <w:widowControl w:val="0"/>
        <w:numPr>
          <w:ilvl w:val="1"/>
          <w:numId w:val="96"/>
        </w:numPr>
        <w:tabs>
          <w:tab w:val="num" w:pos="709"/>
          <w:tab w:val="num" w:pos="2069"/>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heti óraszám - nappali munkarend: 2</w:t>
      </w:r>
    </w:p>
    <w:p w:rsidR="005552D5" w:rsidRDefault="005552D5" w:rsidP="00C2057B">
      <w:pPr>
        <w:widowControl w:val="0"/>
        <w:numPr>
          <w:ilvl w:val="1"/>
          <w:numId w:val="96"/>
        </w:numPr>
        <w:tabs>
          <w:tab w:val="num" w:pos="709"/>
          <w:tab w:val="num" w:pos="2069"/>
        </w:tabs>
        <w:spacing w:before="120" w:after="120" w:line="240" w:lineRule="auto"/>
        <w:ind w:left="851" w:hanging="425"/>
        <w:jc w:val="both"/>
        <w:rPr>
          <w:rFonts w:ascii="Times New Roman" w:eastAsia="Times New Roman" w:hAnsi="Times New Roman" w:cs="Times New Roman"/>
          <w:bCs/>
        </w:rPr>
      </w:pPr>
      <w:r>
        <w:rPr>
          <w:rFonts w:ascii="Times New Roman" w:hAnsi="Times New Roman" w:cs="Times New Roman"/>
        </w:rPr>
        <w:t>Az ismeret átadásában alkalmazandó további sajátos módok, jellemzők:</w:t>
      </w:r>
      <w:r>
        <w:rPr>
          <w:rFonts w:ascii="Times New Roman" w:hAnsi="Times New Roman" w:cs="Times New Roman"/>
          <w:i/>
        </w:rPr>
        <w:t xml:space="preserve"> –</w:t>
      </w:r>
    </w:p>
    <w:p w:rsidR="005552D5" w:rsidRDefault="005552D5" w:rsidP="00C2057B">
      <w:pPr>
        <w:widowControl w:val="0"/>
        <w:numPr>
          <w:ilvl w:val="0"/>
          <w:numId w:val="96"/>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tantárgy szakmai tartalma (magyarul):</w:t>
      </w:r>
      <w:r>
        <w:rPr>
          <w:rFonts w:ascii="Times New Roman" w:eastAsia="Times New Roman" w:hAnsi="Times New Roman" w:cs="Times New Roman"/>
          <w:bCs/>
        </w:rPr>
        <w:t xml:space="preserve"> </w:t>
      </w:r>
      <w:r>
        <w:rPr>
          <w:rFonts w:ascii="Times New Roman" w:hAnsi="Times New Roman" w:cs="Times New Roman"/>
          <w:bCs/>
        </w:rPr>
        <w:t>Gazdasági biztonság komplex értelmezése, egyes alrendszereinek működése. Hadiipar és haditechnikai külkereskedelem. Haditechnikai kutatás-fejlesztés, innováció. Védelmi költségvetés. Védelmi tervezés. A gazdaság védelmi felkészítése és a gazdaságmozgósítás rendszere.</w:t>
      </w:r>
    </w:p>
    <w:p w:rsidR="005552D5" w:rsidRDefault="005552D5" w:rsidP="005552D5">
      <w:pPr>
        <w:widowControl w:val="0"/>
        <w:spacing w:before="120" w:after="120" w:line="240" w:lineRule="auto"/>
        <w:ind w:left="426"/>
        <w:jc w:val="both"/>
        <w:rPr>
          <w:rFonts w:ascii="Times New Roman" w:eastAsia="Times New Roman" w:hAnsi="Times New Roman" w:cs="Times New Roman"/>
          <w:bCs/>
          <w:lang w:val="en-GB"/>
        </w:rPr>
      </w:pPr>
      <w:r>
        <w:rPr>
          <w:rFonts w:ascii="Times New Roman" w:eastAsia="Times New Roman" w:hAnsi="Times New Roman" w:cs="Times New Roman"/>
          <w:b/>
          <w:bCs/>
        </w:rPr>
        <w:t>A tantárgy szakmai tartalma (angolul) (</w:t>
      </w:r>
      <w:r>
        <w:rPr>
          <w:rFonts w:ascii="Times New Roman" w:eastAsia="Times New Roman" w:hAnsi="Times New Roman" w:cs="Times New Roman"/>
          <w:b/>
          <w:bCs/>
          <w:lang w:val="en-US"/>
        </w:rPr>
        <w:t>Course description</w:t>
      </w:r>
      <w:r>
        <w:rPr>
          <w:rFonts w:ascii="Times New Roman" w:eastAsia="Times New Roman" w:hAnsi="Times New Roman" w:cs="Times New Roman"/>
          <w:b/>
          <w:bCs/>
        </w:rPr>
        <w:t xml:space="preserve">): </w:t>
      </w:r>
      <w:r>
        <w:rPr>
          <w:rFonts w:ascii="Times New Roman" w:hAnsi="Times New Roman" w:cs="Times New Roman"/>
          <w:bCs/>
          <w:lang w:val="en-US"/>
        </w:rPr>
        <w:t xml:space="preserve">The economic dimension of security and its subsystems. Newest trends in defense industry, defense R&amp;D&amp;I and arms trade. Defense budget. Defense planning. Methods of economic preparation for crisis periods (disasters, wars etc.) and the system of economic mobilization. </w:t>
      </w:r>
    </w:p>
    <w:p w:rsidR="005552D5" w:rsidRDefault="005552D5" w:rsidP="00C2057B">
      <w:pPr>
        <w:pStyle w:val="Listaszerbekezds"/>
        <w:widowControl w:val="0"/>
        <w:numPr>
          <w:ilvl w:val="0"/>
          <w:numId w:val="96"/>
        </w:numPr>
        <w:spacing w:before="120" w:after="120" w:line="240" w:lineRule="auto"/>
        <w:ind w:left="499" w:hanging="142"/>
        <w:jc w:val="both"/>
        <w:rPr>
          <w:rFonts w:ascii="Times New Roman" w:eastAsia="Times New Roman" w:hAnsi="Times New Roman" w:cs="Times New Roman"/>
          <w:bCs/>
        </w:rPr>
      </w:pPr>
      <w:r>
        <w:rPr>
          <w:rFonts w:ascii="Times New Roman" w:eastAsia="Times New Roman" w:hAnsi="Times New Roman" w:cs="Times New Roman"/>
          <w:b/>
          <w:bCs/>
        </w:rPr>
        <w:t>Elérendő kompetenciák (magyarul):</w:t>
      </w:r>
      <w:r>
        <w:rPr>
          <w:rFonts w:ascii="Times New Roman" w:eastAsia="Times New Roman" w:hAnsi="Times New Roman" w:cs="Times New Roman"/>
          <w:bCs/>
        </w:rPr>
        <w:t xml:space="preserve"> </w:t>
      </w:r>
    </w:p>
    <w:p w:rsidR="005552D5" w:rsidRDefault="005552D5" w:rsidP="005552D5">
      <w:pPr>
        <w:widowControl w:val="0"/>
        <w:spacing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Tudása:</w:t>
      </w:r>
    </w:p>
    <w:p w:rsidR="005552D5" w:rsidRDefault="005552D5" w:rsidP="00C2057B">
      <w:pPr>
        <w:pStyle w:val="Listaszerbekezds"/>
        <w:widowControl w:val="0"/>
        <w:numPr>
          <w:ilvl w:val="0"/>
          <w:numId w:val="88"/>
        </w:numPr>
        <w:spacing w:after="0" w:line="240" w:lineRule="auto"/>
        <w:jc w:val="both"/>
        <w:rPr>
          <w:rFonts w:ascii="Times New Roman" w:hAnsi="Times New Roman" w:cs="Times New Roman"/>
        </w:rPr>
      </w:pPr>
      <w:r>
        <w:rPr>
          <w:rFonts w:ascii="Times New Roman" w:hAnsi="Times New Roman" w:cs="Times New Roman"/>
        </w:rPr>
        <w:t>Ismeri a gazdaság és a piacok működésének alapjait, a nemzetgazdaság és a honvédelem kapcsolatrendszerét, a hadiipar működésének törvényszerűségeit.</w:t>
      </w:r>
    </w:p>
    <w:p w:rsidR="005552D5" w:rsidRDefault="005552D5" w:rsidP="005552D5">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Képességei:</w:t>
      </w:r>
      <w:r>
        <w:rPr>
          <w:rFonts w:ascii="Times New Roman" w:eastAsia="Times New Roman" w:hAnsi="Times New Roman" w:cs="Times New Roman"/>
          <w:bCs/>
        </w:rPr>
        <w:t xml:space="preserve"> </w:t>
      </w:r>
    </w:p>
    <w:p w:rsidR="005552D5" w:rsidRDefault="005552D5" w:rsidP="00C2057B">
      <w:pPr>
        <w:pStyle w:val="Listaszerbekezds"/>
        <w:widowControl w:val="0"/>
        <w:numPr>
          <w:ilvl w:val="0"/>
          <w:numId w:val="89"/>
        </w:numPr>
        <w:spacing w:after="0" w:line="240" w:lineRule="auto"/>
        <w:jc w:val="both"/>
        <w:rPr>
          <w:rFonts w:ascii="Times New Roman" w:hAnsi="Times New Roman" w:cs="Times New Roman"/>
        </w:rPr>
      </w:pPr>
      <w:r>
        <w:rPr>
          <w:rFonts w:ascii="Times New Roman" w:hAnsi="Times New Roman" w:cs="Times New Roman"/>
        </w:rPr>
        <w:t>Képes a logisztikai folyamatok és a Magyar Honvédség logisztikai rendszere közötti kapcsolatok, illetve összefüggések értelmezésére.</w:t>
      </w:r>
    </w:p>
    <w:p w:rsidR="005552D5" w:rsidRDefault="005552D5" w:rsidP="00C2057B">
      <w:pPr>
        <w:pStyle w:val="Listaszerbekezds"/>
        <w:widowControl w:val="0"/>
        <w:numPr>
          <w:ilvl w:val="0"/>
          <w:numId w:val="89"/>
        </w:numPr>
        <w:spacing w:after="0" w:line="240" w:lineRule="auto"/>
        <w:jc w:val="both"/>
        <w:rPr>
          <w:rFonts w:ascii="Times New Roman" w:hAnsi="Times New Roman" w:cs="Times New Roman"/>
        </w:rPr>
      </w:pPr>
      <w:r>
        <w:rPr>
          <w:rFonts w:ascii="Times New Roman" w:hAnsi="Times New Roman" w:cs="Times New Roman"/>
        </w:rPr>
        <w:t>Képes szakterületén újító és innovatív ötletek megfogalmazására.</w:t>
      </w:r>
    </w:p>
    <w:p w:rsidR="005552D5" w:rsidRDefault="005552D5" w:rsidP="00C2057B">
      <w:pPr>
        <w:pStyle w:val="Listaszerbekezds"/>
        <w:widowControl w:val="0"/>
        <w:numPr>
          <w:ilvl w:val="0"/>
          <w:numId w:val="89"/>
        </w:numPr>
        <w:spacing w:after="0" w:line="240" w:lineRule="auto"/>
        <w:jc w:val="both"/>
        <w:rPr>
          <w:rFonts w:ascii="Times New Roman" w:hAnsi="Times New Roman" w:cs="Times New Roman"/>
        </w:rPr>
      </w:pPr>
      <w:r>
        <w:rPr>
          <w:rFonts w:ascii="Times New Roman" w:hAnsi="Times New Roman" w:cs="Times New Roman"/>
        </w:rPr>
        <w:t>Képes alegység szintű ellátási feladatok végrehajtására, vezetésére békében, különleges jogrendi időszakban, többnemzeti és nemzetközi környezetben végrehajtandó béketámogató műveletekben.</w:t>
      </w:r>
    </w:p>
    <w:p w:rsidR="005552D5" w:rsidRDefault="005552D5" w:rsidP="00C2057B">
      <w:pPr>
        <w:pStyle w:val="Listaszerbekezds"/>
        <w:widowControl w:val="0"/>
        <w:numPr>
          <w:ilvl w:val="0"/>
          <w:numId w:val="89"/>
        </w:numPr>
        <w:spacing w:after="0" w:line="240" w:lineRule="auto"/>
        <w:jc w:val="both"/>
        <w:rPr>
          <w:rFonts w:ascii="Times New Roman" w:hAnsi="Times New Roman" w:cs="Times New Roman"/>
        </w:rPr>
      </w:pPr>
      <w:r>
        <w:rPr>
          <w:rFonts w:ascii="Times New Roman" w:hAnsi="Times New Roman" w:cs="Times New Roman"/>
        </w:rPr>
        <w:t>Képes a közlekedési hálózatok katonai célú alkalmazásának tervezésére, szervezésére és végrehajtására.</w:t>
      </w:r>
    </w:p>
    <w:p w:rsidR="005552D5" w:rsidRDefault="005552D5" w:rsidP="005552D5">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lastRenderedPageBreak/>
        <w:t>Attitűdje:</w:t>
      </w:r>
      <w:r>
        <w:rPr>
          <w:rFonts w:ascii="Times New Roman" w:eastAsia="Times New Roman" w:hAnsi="Times New Roman" w:cs="Times New Roman"/>
          <w:bCs/>
        </w:rPr>
        <w:t xml:space="preserve"> </w:t>
      </w:r>
    </w:p>
    <w:p w:rsidR="005552D5" w:rsidRDefault="005552D5" w:rsidP="00C2057B">
      <w:pPr>
        <w:pStyle w:val="Listaszerbekezds"/>
        <w:numPr>
          <w:ilvl w:val="0"/>
          <w:numId w:val="90"/>
        </w:num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A minőségi szakmai munkavégzés iránt elkötelezett, azt a pontosságra való törekvés jellemzi.</w:t>
      </w:r>
    </w:p>
    <w:p w:rsidR="005552D5" w:rsidRDefault="005552D5" w:rsidP="00C2057B">
      <w:pPr>
        <w:pStyle w:val="Listaszerbekezds"/>
        <w:numPr>
          <w:ilvl w:val="0"/>
          <w:numId w:val="90"/>
        </w:num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Felismeri a rendszerszintű tevékenységben rejlő értékeket, törekszik a logisztikai tevékenységek közötti kapcsolatok értelmezésére.</w:t>
      </w:r>
    </w:p>
    <w:p w:rsidR="005552D5" w:rsidRDefault="005552D5" w:rsidP="00C2057B">
      <w:pPr>
        <w:pStyle w:val="Listaszerbekezds"/>
        <w:numPr>
          <w:ilvl w:val="0"/>
          <w:numId w:val="90"/>
        </w:num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Tevékenységét a hatékonyság központú szemlélet jellemzi.</w:t>
      </w:r>
    </w:p>
    <w:p w:rsidR="005552D5" w:rsidRDefault="005552D5" w:rsidP="005552D5">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Autonómiája és felelőssége:</w:t>
      </w:r>
    </w:p>
    <w:p w:rsidR="005552D5" w:rsidRDefault="005552D5" w:rsidP="00C2057B">
      <w:pPr>
        <w:pStyle w:val="Listaszerbekezds"/>
        <w:widowControl w:val="0"/>
        <w:numPr>
          <w:ilvl w:val="0"/>
          <w:numId w:val="91"/>
        </w:numPr>
        <w:spacing w:after="0" w:line="240" w:lineRule="auto"/>
        <w:jc w:val="both"/>
        <w:rPr>
          <w:rFonts w:ascii="Times New Roman" w:hAnsi="Times New Roman" w:cs="Times New Roman"/>
        </w:rPr>
      </w:pPr>
      <w:r>
        <w:rPr>
          <w:rFonts w:ascii="Times New Roman" w:hAnsi="Times New Roman" w:cs="Times New Roman"/>
        </w:rPr>
        <w:t>Szakmai feladatainak elvégzése során felelősségteljesen együttműködik más szakterület képzett szakembereivel is.</w:t>
      </w:r>
    </w:p>
    <w:p w:rsidR="005552D5" w:rsidRDefault="005552D5" w:rsidP="00C2057B">
      <w:pPr>
        <w:pStyle w:val="Listaszerbekezds"/>
        <w:widowControl w:val="0"/>
        <w:numPr>
          <w:ilvl w:val="0"/>
          <w:numId w:val="91"/>
        </w:numPr>
        <w:spacing w:after="0" w:line="240" w:lineRule="auto"/>
        <w:jc w:val="both"/>
        <w:rPr>
          <w:rFonts w:ascii="Times New Roman" w:hAnsi="Times New Roman" w:cs="Times New Roman"/>
        </w:rPr>
      </w:pPr>
      <w:r>
        <w:rPr>
          <w:rFonts w:ascii="Times New Roman" w:hAnsi="Times New Roman" w:cs="Times New Roman"/>
        </w:rPr>
        <w:t>Szakterületén belül képes rendszer-szemléletűen gondolkodni.</w:t>
      </w:r>
    </w:p>
    <w:p w:rsidR="005552D5" w:rsidRDefault="005552D5" w:rsidP="005552D5">
      <w:pPr>
        <w:widowControl w:val="0"/>
        <w:spacing w:before="120" w:after="0" w:line="240" w:lineRule="auto"/>
        <w:ind w:left="425"/>
        <w:jc w:val="both"/>
        <w:rPr>
          <w:rFonts w:ascii="Times New Roman" w:eastAsia="Times New Roman" w:hAnsi="Times New Roman" w:cs="Times New Roman"/>
          <w:b/>
          <w:bCs/>
          <w:lang w:val="en-US"/>
        </w:rPr>
      </w:pPr>
      <w:r>
        <w:rPr>
          <w:rFonts w:ascii="Times New Roman" w:eastAsia="Times New Roman" w:hAnsi="Times New Roman" w:cs="Times New Roman"/>
          <w:b/>
          <w:bCs/>
        </w:rPr>
        <w:t>Elérendő kompetenciák (angolul) (</w:t>
      </w:r>
      <w:r>
        <w:rPr>
          <w:rFonts w:ascii="Times New Roman" w:eastAsia="Times New Roman" w:hAnsi="Times New Roman" w:cs="Times New Roman"/>
          <w:b/>
          <w:bCs/>
          <w:lang w:val="en-US"/>
        </w:rPr>
        <w:t xml:space="preserve">Competences – English): </w:t>
      </w:r>
    </w:p>
    <w:p w:rsidR="005552D5" w:rsidRDefault="005552D5" w:rsidP="005552D5">
      <w:pPr>
        <w:widowControl w:val="0"/>
        <w:spacing w:before="120" w:after="0" w:line="240" w:lineRule="auto"/>
        <w:ind w:left="425"/>
        <w:jc w:val="both"/>
        <w:rPr>
          <w:rFonts w:ascii="Times New Roman" w:eastAsia="Times New Roman" w:hAnsi="Times New Roman" w:cs="Times New Roman"/>
          <w:lang w:val="en-GB"/>
        </w:rPr>
      </w:pPr>
      <w:r>
        <w:rPr>
          <w:rFonts w:ascii="Times New Roman" w:eastAsia="Times New Roman" w:hAnsi="Times New Roman" w:cs="Times New Roman"/>
          <w:b/>
          <w:lang w:val="en-GB"/>
        </w:rPr>
        <w:t>Knowledge</w:t>
      </w:r>
      <w:r>
        <w:rPr>
          <w:rFonts w:ascii="Times New Roman" w:eastAsia="Times New Roman" w:hAnsi="Times New Roman" w:cs="Times New Roman"/>
          <w:lang w:val="en-GB"/>
        </w:rPr>
        <w:t xml:space="preserve">: </w:t>
      </w:r>
    </w:p>
    <w:p w:rsidR="005552D5" w:rsidRDefault="005552D5" w:rsidP="00C2057B">
      <w:pPr>
        <w:pStyle w:val="Listaszerbekezds"/>
        <w:widowControl w:val="0"/>
        <w:numPr>
          <w:ilvl w:val="0"/>
          <w:numId w:val="92"/>
        </w:numPr>
        <w:spacing w:after="0" w:line="24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 xml:space="preserve">To be familiar with market mechanisms, the principles of economics, the relation between national economy and defense and the functioning of defense industry. </w:t>
      </w:r>
    </w:p>
    <w:p w:rsidR="005552D5" w:rsidRDefault="005552D5" w:rsidP="005552D5">
      <w:pPr>
        <w:widowControl w:val="0"/>
        <w:spacing w:before="120" w:after="0" w:line="240" w:lineRule="auto"/>
        <w:ind w:left="425"/>
        <w:jc w:val="both"/>
        <w:rPr>
          <w:rFonts w:ascii="Times New Roman" w:eastAsia="Times New Roman" w:hAnsi="Times New Roman" w:cs="Times New Roman"/>
          <w:lang w:val="en-GB"/>
        </w:rPr>
      </w:pPr>
      <w:r>
        <w:rPr>
          <w:rFonts w:ascii="Times New Roman" w:eastAsia="Times New Roman" w:hAnsi="Times New Roman" w:cs="Times New Roman"/>
          <w:b/>
          <w:lang w:val="en-GB"/>
        </w:rPr>
        <w:t>Capabilities</w:t>
      </w:r>
      <w:r>
        <w:rPr>
          <w:rFonts w:ascii="Times New Roman" w:eastAsia="Times New Roman" w:hAnsi="Times New Roman" w:cs="Times New Roman"/>
          <w:lang w:val="en-GB"/>
        </w:rPr>
        <w:t xml:space="preserve">: </w:t>
      </w:r>
    </w:p>
    <w:p w:rsidR="005552D5" w:rsidRDefault="005552D5" w:rsidP="00C2057B">
      <w:pPr>
        <w:pStyle w:val="Listaszerbekezds"/>
        <w:widowControl w:val="0"/>
        <w:numPr>
          <w:ilvl w:val="0"/>
          <w:numId w:val="93"/>
        </w:numPr>
        <w:spacing w:after="0" w:line="24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 xml:space="preserve">To be able to understand the connections in logistic field between the national economy and the HDF. </w:t>
      </w:r>
    </w:p>
    <w:p w:rsidR="005552D5" w:rsidRDefault="005552D5" w:rsidP="00C2057B">
      <w:pPr>
        <w:pStyle w:val="Listaszerbekezds"/>
        <w:widowControl w:val="0"/>
        <w:numPr>
          <w:ilvl w:val="0"/>
          <w:numId w:val="93"/>
        </w:numPr>
        <w:spacing w:after="0" w:line="24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To have ability to create new, innovative ideas in his/her professional field.</w:t>
      </w:r>
    </w:p>
    <w:p w:rsidR="005552D5" w:rsidRDefault="005552D5" w:rsidP="00C2057B">
      <w:pPr>
        <w:pStyle w:val="Listaszerbekezds"/>
        <w:widowControl w:val="0"/>
        <w:numPr>
          <w:ilvl w:val="0"/>
          <w:numId w:val="93"/>
        </w:numPr>
        <w:spacing w:after="0" w:line="24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To have ability to lead and execute supply tasks both in peace and crisis time even in joint peace support operations.</w:t>
      </w:r>
    </w:p>
    <w:p w:rsidR="005552D5" w:rsidRDefault="005552D5" w:rsidP="00C2057B">
      <w:pPr>
        <w:pStyle w:val="Listaszerbekezds"/>
        <w:widowControl w:val="0"/>
        <w:numPr>
          <w:ilvl w:val="0"/>
          <w:numId w:val="93"/>
        </w:numPr>
        <w:spacing w:after="0" w:line="24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To have ability to use the transportation infrastructure for military purposes.</w:t>
      </w:r>
    </w:p>
    <w:p w:rsidR="005552D5" w:rsidRDefault="005552D5" w:rsidP="005552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425"/>
        <w:jc w:val="both"/>
        <w:rPr>
          <w:rFonts w:ascii="Times New Roman" w:eastAsia="Times New Roman" w:hAnsi="Times New Roman" w:cs="Times New Roman"/>
          <w:lang w:val="en-GB"/>
        </w:rPr>
      </w:pPr>
      <w:r>
        <w:rPr>
          <w:rFonts w:ascii="Times New Roman" w:eastAsia="Times New Roman" w:hAnsi="Times New Roman" w:cs="Times New Roman"/>
          <w:b/>
          <w:lang w:val="en-GB"/>
        </w:rPr>
        <w:t>Attitude:</w:t>
      </w:r>
      <w:r>
        <w:rPr>
          <w:rFonts w:ascii="Times New Roman" w:eastAsia="Times New Roman" w:hAnsi="Times New Roman" w:cs="Times New Roman"/>
          <w:lang w:val="en-GB"/>
        </w:rPr>
        <w:t xml:space="preserve"> </w:t>
      </w:r>
    </w:p>
    <w:p w:rsidR="005552D5" w:rsidRDefault="005552D5" w:rsidP="00C2057B">
      <w:pPr>
        <w:pStyle w:val="Listaszerbekezds"/>
        <w:numPr>
          <w:ilvl w:val="0"/>
          <w:numId w:val="94"/>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To be committed to high standard work and accuracy.</w:t>
      </w:r>
    </w:p>
    <w:p w:rsidR="005552D5" w:rsidRDefault="005552D5" w:rsidP="00C2057B">
      <w:pPr>
        <w:pStyle w:val="Listaszerbekezds"/>
        <w:numPr>
          <w:ilvl w:val="0"/>
          <w:numId w:val="94"/>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To be able to recognize the advantages and opportunities offered by well-structured activities and to be seeking to understand the logical connections among logistic activities.</w:t>
      </w:r>
    </w:p>
    <w:p w:rsidR="005552D5" w:rsidRDefault="005552D5" w:rsidP="00C2057B">
      <w:pPr>
        <w:pStyle w:val="Listaszerbekezds"/>
        <w:numPr>
          <w:ilvl w:val="0"/>
          <w:numId w:val="94"/>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 xml:space="preserve">To be characterized by efficiency-based attitude.    </w:t>
      </w:r>
    </w:p>
    <w:p w:rsidR="005552D5" w:rsidRDefault="005552D5" w:rsidP="005552D5">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lang w:val="en-GB"/>
        </w:rPr>
        <w:t xml:space="preserve">Autonomy and responsibility: </w:t>
      </w:r>
    </w:p>
    <w:p w:rsidR="005552D5" w:rsidRDefault="005552D5" w:rsidP="00C2057B">
      <w:pPr>
        <w:pStyle w:val="Listaszerbekezds"/>
        <w:widowControl w:val="0"/>
        <w:numPr>
          <w:ilvl w:val="0"/>
          <w:numId w:val="95"/>
        </w:numPr>
        <w:spacing w:after="0" w:line="240" w:lineRule="auto"/>
        <w:jc w:val="both"/>
        <w:rPr>
          <w:rFonts w:ascii="Times New Roman" w:eastAsia="Times New Roman" w:hAnsi="Times New Roman" w:cs="Times New Roman"/>
          <w:bCs/>
          <w:lang w:val="en-US"/>
        </w:rPr>
      </w:pPr>
      <w:r>
        <w:rPr>
          <w:rFonts w:ascii="Times New Roman" w:eastAsia="Times New Roman" w:hAnsi="Times New Roman" w:cs="Times New Roman"/>
          <w:bCs/>
          <w:lang w:val="en-US"/>
        </w:rPr>
        <w:t>To have intention to cooperate and coordinate with other professions in the daily tasks.</w:t>
      </w:r>
    </w:p>
    <w:p w:rsidR="005552D5" w:rsidRDefault="005552D5" w:rsidP="00C2057B">
      <w:pPr>
        <w:pStyle w:val="Listaszerbekezds"/>
        <w:widowControl w:val="0"/>
        <w:numPr>
          <w:ilvl w:val="0"/>
          <w:numId w:val="95"/>
        </w:numPr>
        <w:spacing w:after="0" w:line="240" w:lineRule="auto"/>
        <w:jc w:val="both"/>
        <w:rPr>
          <w:rFonts w:ascii="Times New Roman" w:eastAsia="Times New Roman" w:hAnsi="Times New Roman" w:cs="Times New Roman"/>
          <w:bCs/>
          <w:lang w:val="en-US"/>
        </w:rPr>
      </w:pPr>
      <w:r>
        <w:rPr>
          <w:rFonts w:ascii="Times New Roman" w:eastAsia="Times New Roman" w:hAnsi="Times New Roman" w:cs="Times New Roman"/>
          <w:bCs/>
          <w:lang w:val="en-US"/>
        </w:rPr>
        <w:t xml:space="preserve">To possess system-based approach towards professional tasks and challenges. </w:t>
      </w:r>
    </w:p>
    <w:p w:rsidR="005552D5" w:rsidRDefault="005552D5" w:rsidP="00C2057B">
      <w:pPr>
        <w:widowControl w:val="0"/>
        <w:numPr>
          <w:ilvl w:val="0"/>
          <w:numId w:val="96"/>
        </w:numPr>
        <w:tabs>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Előtanulmányi követelmények: </w:t>
      </w:r>
      <w:r>
        <w:rPr>
          <w:rFonts w:ascii="Times New Roman" w:hAnsi="Times New Roman" w:cs="Times New Roman"/>
          <w:bCs/>
        </w:rPr>
        <w:t xml:space="preserve">HKHPKA101 </w:t>
      </w:r>
      <w:r>
        <w:rPr>
          <w:rFonts w:ascii="Times New Roman" w:eastAsia="Times New Roman" w:hAnsi="Times New Roman" w:cs="Times New Roman"/>
          <w:bCs/>
        </w:rPr>
        <w:t>Közgazdaságtan II.</w:t>
      </w:r>
    </w:p>
    <w:p w:rsidR="005552D5" w:rsidRDefault="005552D5" w:rsidP="00C2057B">
      <w:pPr>
        <w:widowControl w:val="0"/>
        <w:numPr>
          <w:ilvl w:val="0"/>
          <w:numId w:val="96"/>
        </w:numPr>
        <w:spacing w:before="120" w:after="120" w:line="240" w:lineRule="auto"/>
        <w:ind w:left="426" w:hanging="142"/>
        <w:jc w:val="both"/>
        <w:rPr>
          <w:rFonts w:ascii="Times New Roman" w:eastAsia="Times New Roman" w:hAnsi="Times New Roman" w:cs="Times New Roman"/>
          <w:b/>
          <w:bCs/>
          <w:lang w:val="en-US"/>
        </w:rPr>
      </w:pPr>
      <w:r>
        <w:rPr>
          <w:rFonts w:ascii="Times New Roman" w:eastAsia="Times New Roman" w:hAnsi="Times New Roman" w:cs="Times New Roman"/>
          <w:b/>
          <w:bCs/>
          <w:lang w:val="en-US"/>
        </w:rPr>
        <w:t>A tantárgy tananyagának leírása, tematika. Description of the subject, curriculum (magyarul, angolul - English):</w:t>
      </w:r>
    </w:p>
    <w:p w:rsidR="005552D5" w:rsidRDefault="005552D5" w:rsidP="00C2057B">
      <w:pPr>
        <w:widowControl w:val="0"/>
        <w:numPr>
          <w:ilvl w:val="1"/>
          <w:numId w:val="96"/>
        </w:numPr>
        <w:tabs>
          <w:tab w:val="num" w:pos="2069"/>
        </w:tabs>
        <w:spacing w:before="120" w:after="120" w:line="240" w:lineRule="auto"/>
        <w:ind w:left="993" w:hanging="567"/>
        <w:jc w:val="both"/>
        <w:rPr>
          <w:rFonts w:ascii="Times New Roman" w:eastAsia="Times New Roman" w:hAnsi="Times New Roman" w:cs="Times New Roman"/>
          <w:lang w:val="en-US"/>
        </w:rPr>
      </w:pPr>
      <w:r>
        <w:rPr>
          <w:rFonts w:ascii="Times New Roman" w:hAnsi="Times New Roman"/>
          <w:bCs/>
        </w:rPr>
        <w:t>Nemzetgazdaság és védelem kapcsolatrendszere</w:t>
      </w:r>
      <w:r>
        <w:rPr>
          <w:rFonts w:ascii="Times New Roman" w:hAnsi="Times New Roman"/>
          <w:lang w:val="en-US"/>
        </w:rPr>
        <w:t>.</w:t>
      </w:r>
      <w:r>
        <w:rPr>
          <w:rFonts w:ascii="Times New Roman" w:eastAsia="Times New Roman" w:hAnsi="Times New Roman" w:cs="Times New Roman"/>
          <w:lang w:val="en-US"/>
        </w:rPr>
        <w:t xml:space="preserve"> </w:t>
      </w:r>
      <w:r>
        <w:rPr>
          <w:rFonts w:ascii="Times New Roman" w:eastAsia="Times New Roman" w:hAnsi="Times New Roman" w:cs="Times New Roman"/>
          <w:i/>
          <w:lang w:val="en-US"/>
        </w:rPr>
        <w:t>(Relation between economy and defense.)</w:t>
      </w:r>
    </w:p>
    <w:p w:rsidR="005552D5" w:rsidRDefault="005552D5" w:rsidP="00C2057B">
      <w:pPr>
        <w:widowControl w:val="0"/>
        <w:numPr>
          <w:ilvl w:val="1"/>
          <w:numId w:val="96"/>
        </w:numPr>
        <w:tabs>
          <w:tab w:val="num" w:pos="2069"/>
        </w:tabs>
        <w:spacing w:before="120" w:after="120" w:line="240" w:lineRule="auto"/>
        <w:ind w:left="993" w:hanging="567"/>
        <w:jc w:val="both"/>
        <w:rPr>
          <w:rFonts w:ascii="Times New Roman" w:eastAsia="Times New Roman" w:hAnsi="Times New Roman" w:cs="Times New Roman"/>
          <w:lang w:val="en-US"/>
        </w:rPr>
      </w:pPr>
      <w:r>
        <w:rPr>
          <w:rFonts w:ascii="Times New Roman" w:eastAsia="Times New Roman" w:hAnsi="Times New Roman" w:cs="Times New Roman"/>
          <w:bCs/>
        </w:rPr>
        <w:t>Gazdasági biztonság és alrendszerei</w:t>
      </w:r>
      <w:r>
        <w:rPr>
          <w:rFonts w:ascii="Times New Roman" w:eastAsia="Times New Roman" w:hAnsi="Times New Roman" w:cs="Times New Roman"/>
          <w:bCs/>
          <w:lang w:val="en-US"/>
        </w:rPr>
        <w:t xml:space="preserve">. </w:t>
      </w:r>
      <w:r>
        <w:rPr>
          <w:rFonts w:ascii="Times New Roman" w:eastAsia="Times New Roman" w:hAnsi="Times New Roman" w:cs="Times New Roman"/>
          <w:bCs/>
          <w:i/>
          <w:lang w:val="en-US"/>
        </w:rPr>
        <w:t>(Economic security and its subsystems.)</w:t>
      </w:r>
    </w:p>
    <w:p w:rsidR="005552D5" w:rsidRDefault="005552D5" w:rsidP="00C2057B">
      <w:pPr>
        <w:widowControl w:val="0"/>
        <w:numPr>
          <w:ilvl w:val="1"/>
          <w:numId w:val="96"/>
        </w:numPr>
        <w:tabs>
          <w:tab w:val="num" w:pos="2069"/>
        </w:tabs>
        <w:spacing w:before="120" w:after="120" w:line="240" w:lineRule="auto"/>
        <w:ind w:left="993" w:hanging="567"/>
        <w:jc w:val="both"/>
        <w:rPr>
          <w:rFonts w:ascii="Times New Roman" w:eastAsia="Times New Roman" w:hAnsi="Times New Roman" w:cs="Times New Roman"/>
          <w:lang w:val="en-US"/>
        </w:rPr>
      </w:pPr>
      <w:r>
        <w:rPr>
          <w:rFonts w:ascii="Times New Roman" w:hAnsi="Times New Roman" w:cs="Times New Roman"/>
          <w:bCs/>
        </w:rPr>
        <w:t>Ellátásbiztonság. Kritikus infrastruktúrák</w:t>
      </w:r>
      <w:r>
        <w:rPr>
          <w:rFonts w:ascii="Times New Roman" w:hAnsi="Times New Roman" w:cs="Times New Roman"/>
          <w:bCs/>
          <w:lang w:val="en-US"/>
        </w:rPr>
        <w:t>.</w:t>
      </w:r>
      <w:r>
        <w:rPr>
          <w:rFonts w:ascii="Times New Roman" w:hAnsi="Times New Roman" w:cs="Times New Roman"/>
          <w:i/>
          <w:lang w:val="en-US"/>
        </w:rPr>
        <w:t xml:space="preserve"> </w:t>
      </w:r>
      <w:r>
        <w:rPr>
          <w:rFonts w:ascii="Times New Roman" w:eastAsia="Times New Roman" w:hAnsi="Times New Roman" w:cs="Times New Roman"/>
          <w:i/>
          <w:lang w:val="en-US"/>
        </w:rPr>
        <w:t>(</w:t>
      </w:r>
      <w:r>
        <w:rPr>
          <w:rFonts w:ascii="Times New Roman" w:eastAsia="Times New Roman" w:hAnsi="Times New Roman" w:cs="Times New Roman"/>
          <w:bCs/>
          <w:i/>
          <w:lang w:val="en-US"/>
        </w:rPr>
        <w:t>Supply security, critical infrastructures.</w:t>
      </w:r>
      <w:r>
        <w:rPr>
          <w:rFonts w:ascii="Times New Roman" w:eastAsia="Times New Roman" w:hAnsi="Times New Roman" w:cs="Times New Roman"/>
          <w:i/>
          <w:lang w:val="en-US"/>
        </w:rPr>
        <w:t>)</w:t>
      </w:r>
    </w:p>
    <w:p w:rsidR="005552D5" w:rsidRDefault="005552D5" w:rsidP="00C2057B">
      <w:pPr>
        <w:widowControl w:val="0"/>
        <w:numPr>
          <w:ilvl w:val="1"/>
          <w:numId w:val="96"/>
        </w:numPr>
        <w:tabs>
          <w:tab w:val="num" w:pos="2069"/>
        </w:tabs>
        <w:spacing w:before="120" w:after="120" w:line="240" w:lineRule="auto"/>
        <w:ind w:left="993" w:hanging="567"/>
        <w:jc w:val="both"/>
        <w:rPr>
          <w:rFonts w:ascii="Times New Roman" w:eastAsia="Times New Roman" w:hAnsi="Times New Roman" w:cs="Times New Roman"/>
          <w:i/>
          <w:lang w:val="en-US"/>
        </w:rPr>
      </w:pPr>
      <w:r>
        <w:rPr>
          <w:rFonts w:ascii="Times New Roman" w:hAnsi="Times New Roman" w:cs="Times New Roman"/>
        </w:rPr>
        <w:t>Nemzetközi gazdasági és technológiai környezet</w:t>
      </w:r>
      <w:r>
        <w:rPr>
          <w:rFonts w:ascii="Times New Roman" w:hAnsi="Times New Roman" w:cs="Times New Roman"/>
          <w:i/>
          <w:lang w:val="en-US"/>
        </w:rPr>
        <w:t xml:space="preserve">. </w:t>
      </w:r>
      <w:r>
        <w:rPr>
          <w:rFonts w:ascii="Times New Roman" w:eastAsia="Times New Roman" w:hAnsi="Times New Roman" w:cs="Times New Roman"/>
          <w:i/>
          <w:lang w:val="en-US"/>
        </w:rPr>
        <w:t xml:space="preserve"> (International economic and technological environment of defense</w:t>
      </w:r>
      <w:r>
        <w:rPr>
          <w:rFonts w:ascii="Times New Roman" w:eastAsia="Times New Roman" w:hAnsi="Times New Roman" w:cs="Times New Roman"/>
          <w:bCs/>
          <w:i/>
          <w:lang w:val="en-US"/>
        </w:rPr>
        <w:t>.</w:t>
      </w:r>
      <w:r>
        <w:rPr>
          <w:rFonts w:ascii="Times New Roman" w:eastAsia="Times New Roman" w:hAnsi="Times New Roman" w:cs="Times New Roman"/>
          <w:i/>
          <w:lang w:val="en-US"/>
        </w:rPr>
        <w:t>)</w:t>
      </w:r>
    </w:p>
    <w:p w:rsidR="005552D5" w:rsidRDefault="005552D5" w:rsidP="00C2057B">
      <w:pPr>
        <w:widowControl w:val="0"/>
        <w:numPr>
          <w:ilvl w:val="1"/>
          <w:numId w:val="96"/>
        </w:numPr>
        <w:tabs>
          <w:tab w:val="num" w:pos="2069"/>
        </w:tabs>
        <w:spacing w:before="120" w:after="120" w:line="240" w:lineRule="auto"/>
        <w:ind w:left="993" w:hanging="567"/>
        <w:jc w:val="both"/>
        <w:rPr>
          <w:rFonts w:ascii="Times New Roman" w:eastAsia="Times New Roman" w:hAnsi="Times New Roman" w:cs="Times New Roman"/>
          <w:i/>
          <w:lang w:val="en-US"/>
        </w:rPr>
      </w:pPr>
      <w:r>
        <w:rPr>
          <w:rFonts w:ascii="Times New Roman" w:eastAsia="Times New Roman" w:hAnsi="Times New Roman" w:cs="Times New Roman"/>
        </w:rPr>
        <w:t>Hadiipar és haditechnikai kutatás-fejlesztés. Haditechnikai külkereskedelem</w:t>
      </w:r>
      <w:r>
        <w:rPr>
          <w:rFonts w:ascii="Times New Roman" w:eastAsia="Times New Roman" w:hAnsi="Times New Roman" w:cs="Times New Roman"/>
          <w:lang w:val="en-US"/>
        </w:rPr>
        <w:t xml:space="preserve">. </w:t>
      </w:r>
      <w:r>
        <w:rPr>
          <w:rFonts w:ascii="Times New Roman" w:eastAsia="Times New Roman" w:hAnsi="Times New Roman" w:cs="Times New Roman"/>
          <w:i/>
          <w:lang w:val="en-US"/>
        </w:rPr>
        <w:t>(Defense industry, R+D+I, arms trade.)</w:t>
      </w:r>
    </w:p>
    <w:p w:rsidR="005552D5" w:rsidRDefault="005552D5" w:rsidP="00C2057B">
      <w:pPr>
        <w:widowControl w:val="0"/>
        <w:numPr>
          <w:ilvl w:val="1"/>
          <w:numId w:val="96"/>
        </w:numPr>
        <w:tabs>
          <w:tab w:val="num" w:pos="2069"/>
        </w:tabs>
        <w:spacing w:before="120" w:after="120" w:line="240" w:lineRule="auto"/>
        <w:ind w:left="993" w:hanging="567"/>
        <w:jc w:val="both"/>
        <w:rPr>
          <w:rFonts w:ascii="Times New Roman" w:eastAsia="Times New Roman" w:hAnsi="Times New Roman" w:cs="Times New Roman"/>
          <w:lang w:val="en-US"/>
        </w:rPr>
      </w:pPr>
      <w:r>
        <w:rPr>
          <w:rFonts w:ascii="Times New Roman" w:eastAsia="Times New Roman" w:hAnsi="Times New Roman" w:cs="Times New Roman"/>
        </w:rPr>
        <w:t>Védelmi beszerzés, védelmi infláció</w:t>
      </w:r>
      <w:r>
        <w:rPr>
          <w:rFonts w:ascii="Times New Roman" w:eastAsia="Times New Roman" w:hAnsi="Times New Roman" w:cs="Times New Roman"/>
          <w:lang w:val="en-US"/>
        </w:rPr>
        <w:t xml:space="preserve">. </w:t>
      </w:r>
      <w:r>
        <w:rPr>
          <w:rFonts w:ascii="Times New Roman" w:eastAsia="Times New Roman" w:hAnsi="Times New Roman" w:cs="Times New Roman"/>
          <w:i/>
          <w:lang w:val="en-US"/>
        </w:rPr>
        <w:t>(Defense acquisition, defense inflation.)</w:t>
      </w:r>
    </w:p>
    <w:p w:rsidR="005552D5" w:rsidRDefault="005552D5" w:rsidP="00C2057B">
      <w:pPr>
        <w:widowControl w:val="0"/>
        <w:numPr>
          <w:ilvl w:val="1"/>
          <w:numId w:val="96"/>
        </w:numPr>
        <w:tabs>
          <w:tab w:val="num" w:pos="2069"/>
        </w:tabs>
        <w:spacing w:before="120" w:after="120" w:line="240" w:lineRule="auto"/>
        <w:ind w:left="993" w:hanging="567"/>
        <w:jc w:val="both"/>
        <w:rPr>
          <w:rFonts w:ascii="Times New Roman" w:eastAsia="Times New Roman" w:hAnsi="Times New Roman" w:cs="Times New Roman"/>
          <w:lang w:val="en-US"/>
        </w:rPr>
      </w:pPr>
      <w:r>
        <w:rPr>
          <w:rFonts w:ascii="Times New Roman" w:eastAsia="Times New Roman" w:hAnsi="Times New Roman" w:cs="Times New Roman"/>
        </w:rPr>
        <w:t>Védelem tervezése. Védelmi tervező rendszerek</w:t>
      </w:r>
      <w:r>
        <w:rPr>
          <w:rFonts w:ascii="Times New Roman" w:eastAsia="Times New Roman" w:hAnsi="Times New Roman" w:cs="Times New Roman"/>
          <w:lang w:val="en-US"/>
        </w:rPr>
        <w:t xml:space="preserve">. </w:t>
      </w:r>
      <w:r>
        <w:rPr>
          <w:rFonts w:ascii="Times New Roman" w:eastAsia="Times New Roman" w:hAnsi="Times New Roman" w:cs="Times New Roman"/>
          <w:i/>
          <w:lang w:val="en-US"/>
        </w:rPr>
        <w:t>(Defense planning systems.)</w:t>
      </w:r>
    </w:p>
    <w:p w:rsidR="005552D5" w:rsidRDefault="005552D5" w:rsidP="00C2057B">
      <w:pPr>
        <w:widowControl w:val="0"/>
        <w:numPr>
          <w:ilvl w:val="1"/>
          <w:numId w:val="96"/>
        </w:numPr>
        <w:tabs>
          <w:tab w:val="num" w:pos="2069"/>
        </w:tabs>
        <w:spacing w:before="120" w:after="120" w:line="240" w:lineRule="auto"/>
        <w:ind w:left="993" w:hanging="567"/>
        <w:jc w:val="both"/>
        <w:rPr>
          <w:rFonts w:ascii="Times New Roman" w:eastAsia="Times New Roman" w:hAnsi="Times New Roman" w:cs="Times New Roman"/>
          <w:lang w:val="en-US"/>
        </w:rPr>
      </w:pPr>
      <w:r>
        <w:rPr>
          <w:rFonts w:ascii="Times New Roman" w:eastAsia="Times New Roman" w:hAnsi="Times New Roman" w:cs="Times New Roman"/>
        </w:rPr>
        <w:t>Honvédelem költsége</w:t>
      </w:r>
      <w:r>
        <w:rPr>
          <w:rFonts w:ascii="Times New Roman" w:eastAsia="Times New Roman" w:hAnsi="Times New Roman" w:cs="Times New Roman"/>
          <w:lang w:val="en-US"/>
        </w:rPr>
        <w:t xml:space="preserve">. </w:t>
      </w:r>
      <w:r>
        <w:rPr>
          <w:rFonts w:ascii="Times New Roman" w:eastAsia="Times New Roman" w:hAnsi="Times New Roman" w:cs="Times New Roman"/>
          <w:i/>
          <w:lang w:val="en-US"/>
        </w:rPr>
        <w:t>(Defense costs.)</w:t>
      </w:r>
    </w:p>
    <w:p w:rsidR="005552D5" w:rsidRDefault="005552D5" w:rsidP="00C2057B">
      <w:pPr>
        <w:widowControl w:val="0"/>
        <w:numPr>
          <w:ilvl w:val="1"/>
          <w:numId w:val="96"/>
        </w:numPr>
        <w:tabs>
          <w:tab w:val="num" w:pos="2069"/>
        </w:tabs>
        <w:spacing w:before="120" w:after="120" w:line="240" w:lineRule="auto"/>
        <w:ind w:left="993" w:hanging="567"/>
        <w:jc w:val="both"/>
        <w:rPr>
          <w:rFonts w:ascii="Times New Roman" w:eastAsia="Times New Roman" w:hAnsi="Times New Roman" w:cs="Times New Roman"/>
          <w:lang w:val="en-US"/>
        </w:rPr>
      </w:pPr>
      <w:r>
        <w:rPr>
          <w:rFonts w:ascii="Times New Roman" w:eastAsia="Times New Roman" w:hAnsi="Times New Roman" w:cs="Times New Roman"/>
        </w:rPr>
        <w:t xml:space="preserve">Gazdaságmozgósítási rendszerek. </w:t>
      </w:r>
      <w:r>
        <w:rPr>
          <w:rFonts w:ascii="Times New Roman" w:eastAsia="Times New Roman" w:hAnsi="Times New Roman" w:cs="Times New Roman"/>
          <w:i/>
        </w:rPr>
        <w:t>(Different types of economic mobilization systems.)</w:t>
      </w:r>
    </w:p>
    <w:p w:rsidR="005552D5" w:rsidRDefault="005552D5" w:rsidP="00C2057B">
      <w:pPr>
        <w:widowControl w:val="0"/>
        <w:numPr>
          <w:ilvl w:val="1"/>
          <w:numId w:val="96"/>
        </w:numPr>
        <w:tabs>
          <w:tab w:val="num" w:pos="2069"/>
        </w:tabs>
        <w:spacing w:before="120" w:after="120" w:line="240" w:lineRule="auto"/>
        <w:ind w:left="993" w:hanging="567"/>
        <w:jc w:val="both"/>
        <w:rPr>
          <w:rFonts w:ascii="Times New Roman" w:eastAsia="Times New Roman" w:hAnsi="Times New Roman" w:cs="Times New Roman"/>
          <w:lang w:val="en-US"/>
        </w:rPr>
      </w:pPr>
      <w:r>
        <w:rPr>
          <w:rFonts w:ascii="Times New Roman" w:eastAsia="Times New Roman" w:hAnsi="Times New Roman" w:cs="Times New Roman"/>
          <w:lang w:val="en-US"/>
        </w:rPr>
        <w:t xml:space="preserve"> </w:t>
      </w:r>
      <w:r>
        <w:rPr>
          <w:rFonts w:ascii="Times New Roman" w:eastAsia="Times New Roman" w:hAnsi="Times New Roman" w:cs="Times New Roman"/>
        </w:rPr>
        <w:t xml:space="preserve">Gazdaságmozgósítás jogi szabályozása. Gazdaság és anyagi szolgáltatások rendszere és </w:t>
      </w:r>
      <w:r>
        <w:rPr>
          <w:rFonts w:ascii="Times New Roman" w:eastAsia="Times New Roman" w:hAnsi="Times New Roman" w:cs="Times New Roman"/>
        </w:rPr>
        <w:lastRenderedPageBreak/>
        <w:t xml:space="preserve">szabályozása. </w:t>
      </w:r>
      <w:r>
        <w:rPr>
          <w:rFonts w:ascii="Times New Roman" w:eastAsia="Times New Roman" w:hAnsi="Times New Roman" w:cs="Times New Roman"/>
          <w:i/>
        </w:rPr>
        <w:t>(Legal background of economic mobilization.)</w:t>
      </w:r>
    </w:p>
    <w:p w:rsidR="005552D5" w:rsidRDefault="005552D5" w:rsidP="00C2057B">
      <w:pPr>
        <w:widowControl w:val="0"/>
        <w:numPr>
          <w:ilvl w:val="1"/>
          <w:numId w:val="96"/>
        </w:numPr>
        <w:tabs>
          <w:tab w:val="num" w:pos="2069"/>
        </w:tabs>
        <w:spacing w:before="120" w:after="120" w:line="240" w:lineRule="auto"/>
        <w:ind w:left="993" w:hanging="567"/>
        <w:jc w:val="both"/>
        <w:rPr>
          <w:rFonts w:ascii="Times New Roman" w:eastAsia="Times New Roman" w:hAnsi="Times New Roman" w:cs="Times New Roman"/>
          <w:lang w:val="en-US"/>
        </w:rPr>
      </w:pPr>
      <w:r>
        <w:rPr>
          <w:rFonts w:ascii="Times New Roman" w:eastAsia="Times New Roman" w:hAnsi="Times New Roman" w:cs="Times New Roman"/>
        </w:rPr>
        <w:t xml:space="preserve">Gazdaság védelmi felkészítése. </w:t>
      </w:r>
      <w:r>
        <w:rPr>
          <w:rFonts w:ascii="Times New Roman" w:eastAsia="Times New Roman" w:hAnsi="Times New Roman" w:cs="Times New Roman"/>
          <w:i/>
        </w:rPr>
        <w:t>(Defense preparation.)</w:t>
      </w:r>
    </w:p>
    <w:p w:rsidR="005552D5" w:rsidRDefault="005552D5" w:rsidP="00C2057B">
      <w:pPr>
        <w:widowControl w:val="0"/>
        <w:numPr>
          <w:ilvl w:val="1"/>
          <w:numId w:val="96"/>
        </w:numPr>
        <w:tabs>
          <w:tab w:val="num" w:pos="2069"/>
        </w:tabs>
        <w:spacing w:before="120" w:after="120" w:line="240" w:lineRule="auto"/>
        <w:ind w:left="993" w:hanging="567"/>
        <w:jc w:val="both"/>
        <w:rPr>
          <w:rFonts w:ascii="Times New Roman" w:eastAsia="Times New Roman" w:hAnsi="Times New Roman" w:cs="Times New Roman"/>
          <w:i/>
          <w:lang w:val="en-US"/>
        </w:rPr>
      </w:pPr>
      <w:r>
        <w:rPr>
          <w:rFonts w:ascii="Times New Roman" w:eastAsia="Times New Roman" w:hAnsi="Times New Roman" w:cs="Times New Roman"/>
          <w:lang w:val="en-US"/>
        </w:rPr>
        <w:t xml:space="preserve"> </w:t>
      </w:r>
      <w:r>
        <w:rPr>
          <w:rFonts w:ascii="Times New Roman" w:eastAsia="Times New Roman" w:hAnsi="Times New Roman" w:cs="Times New Roman"/>
        </w:rPr>
        <w:t>Logisztikai felderítés szabályai és módszertana</w:t>
      </w:r>
      <w:r>
        <w:rPr>
          <w:rFonts w:ascii="Times New Roman" w:eastAsia="Times New Roman" w:hAnsi="Times New Roman" w:cs="Times New Roman"/>
          <w:lang w:val="en-US"/>
        </w:rPr>
        <w:t xml:space="preserve">.   </w:t>
      </w:r>
      <w:r>
        <w:rPr>
          <w:rFonts w:ascii="Times New Roman" w:eastAsia="Times New Roman" w:hAnsi="Times New Roman" w:cs="Times New Roman"/>
          <w:i/>
          <w:lang w:val="en-US"/>
        </w:rPr>
        <w:t>(Rules and methods of logistic reconnaissance.)</w:t>
      </w:r>
    </w:p>
    <w:p w:rsidR="005552D5" w:rsidRDefault="005552D5" w:rsidP="00C2057B">
      <w:pPr>
        <w:widowControl w:val="0"/>
        <w:numPr>
          <w:ilvl w:val="1"/>
          <w:numId w:val="96"/>
        </w:numPr>
        <w:tabs>
          <w:tab w:val="num" w:pos="2069"/>
        </w:tabs>
        <w:spacing w:before="120" w:after="120" w:line="240" w:lineRule="auto"/>
        <w:ind w:left="993" w:hanging="567"/>
        <w:jc w:val="both"/>
        <w:rPr>
          <w:rFonts w:ascii="Times New Roman" w:eastAsia="Times New Roman" w:hAnsi="Times New Roman" w:cs="Times New Roman"/>
          <w:i/>
          <w:lang w:val="en-US"/>
        </w:rPr>
      </w:pPr>
      <w:r>
        <w:rPr>
          <w:rFonts w:ascii="Times New Roman" w:eastAsia="Times New Roman" w:hAnsi="Times New Roman" w:cs="Times New Roman"/>
          <w:lang w:val="en-US"/>
        </w:rPr>
        <w:t xml:space="preserve"> </w:t>
      </w:r>
      <w:r>
        <w:rPr>
          <w:rFonts w:ascii="Times New Roman" w:eastAsia="Times New Roman" w:hAnsi="Times New Roman" w:cs="Times New Roman"/>
        </w:rPr>
        <w:t>Logisztikai felderítés gyakorlati végrehajtása</w:t>
      </w:r>
      <w:r>
        <w:rPr>
          <w:rFonts w:ascii="Times New Roman" w:eastAsia="Times New Roman" w:hAnsi="Times New Roman" w:cs="Times New Roman"/>
          <w:lang w:val="en-US"/>
        </w:rPr>
        <w:t xml:space="preserve">. </w:t>
      </w:r>
      <w:r>
        <w:rPr>
          <w:rFonts w:ascii="Times New Roman" w:eastAsia="Times New Roman" w:hAnsi="Times New Roman" w:cs="Times New Roman"/>
          <w:i/>
          <w:lang w:val="en-US"/>
        </w:rPr>
        <w:t>(Logistic reconnaissance practical training.)</w:t>
      </w:r>
    </w:p>
    <w:p w:rsidR="005552D5" w:rsidRDefault="005552D5" w:rsidP="00C2057B">
      <w:pPr>
        <w:widowControl w:val="0"/>
        <w:numPr>
          <w:ilvl w:val="0"/>
          <w:numId w:val="96"/>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 tantárgy meghirdetésének gyakorisága/a tantervben történő félévi elhelyezkedése: </w:t>
      </w:r>
      <w:r>
        <w:rPr>
          <w:rFonts w:ascii="Times New Roman" w:eastAsia="Times New Roman" w:hAnsi="Times New Roman" w:cs="Times New Roman"/>
          <w:bCs/>
        </w:rPr>
        <w:t>Minden őszi szemeszterben / 3. félév</w:t>
      </w:r>
    </w:p>
    <w:p w:rsidR="005552D5" w:rsidRDefault="005552D5" w:rsidP="00C2057B">
      <w:pPr>
        <w:widowControl w:val="0"/>
        <w:numPr>
          <w:ilvl w:val="0"/>
          <w:numId w:val="96"/>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tanórákon való részvétel követelményei, az elfogadható hiányzások mértéke, a távolmaradás pótlásának lehetősége:</w:t>
      </w:r>
      <w:r>
        <w:rPr>
          <w:rFonts w:ascii="Times New Roman" w:eastAsia="Times New Roman" w:hAnsi="Times New Roman" w:cs="Times New Roman"/>
          <w:bCs/>
        </w:rPr>
        <w:t xml:space="preserve"> A tanórákon való részvétel kötelező.</w:t>
      </w:r>
      <w:r>
        <w:rPr>
          <w:rFonts w:ascii="Times New Roman" w:eastAsia="Times New Roman" w:hAnsi="Times New Roman" w:cs="Times New Roman"/>
          <w:b/>
          <w:bCs/>
        </w:rPr>
        <w:t xml:space="preserve"> </w:t>
      </w:r>
      <w:r>
        <w:rPr>
          <w:rFonts w:ascii="Times New Roman" w:eastAsia="Times New Roman" w:hAnsi="Times New Roman" w:cs="Times New Roman"/>
          <w:bCs/>
        </w:rPr>
        <w:t>A félév elfogadásának feltétele a tanórák minimum 70%-án való részvétel. Ennél magasabb mértékű távolmaradás pótlása az oktató engedélyével történhet. A logisztikai felderítési gyakorlatról hiányozni nem lehetséges.</w:t>
      </w:r>
    </w:p>
    <w:p w:rsidR="005552D5" w:rsidRDefault="005552D5" w:rsidP="00C2057B">
      <w:pPr>
        <w:widowControl w:val="0"/>
        <w:numPr>
          <w:ilvl w:val="0"/>
          <w:numId w:val="96"/>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rPr>
        <w:t xml:space="preserve">Félévközi feladatok, ismeretek ellenőrzésének rendje: </w:t>
      </w:r>
      <w:r>
        <w:rPr>
          <w:rFonts w:ascii="Times New Roman" w:hAnsi="Times New Roman"/>
          <w:sz w:val="24"/>
        </w:rPr>
        <w:t>A honvéd tisztjelölteknek a logisztikai felderítésre fel kell készülniük, a felderítés eredményét pedig a megadott módon összegezniük kell. Az utolsó tanórán az átadott ismeretek ellenőrzésére zárthelyi dolgozat kerül megírásra.</w:t>
      </w:r>
    </w:p>
    <w:p w:rsidR="005552D5" w:rsidRDefault="005552D5" w:rsidP="00C2057B">
      <w:pPr>
        <w:widowControl w:val="0"/>
        <w:numPr>
          <w:ilvl w:val="0"/>
          <w:numId w:val="96"/>
        </w:numPr>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Az értékelés, az aláírás és a kreditek megszerzésének pontos feltételei: </w:t>
      </w:r>
    </w:p>
    <w:p w:rsidR="005552D5" w:rsidRDefault="005552D5" w:rsidP="00C2057B">
      <w:pPr>
        <w:widowControl w:val="0"/>
        <w:numPr>
          <w:ilvl w:val="1"/>
          <w:numId w:val="96"/>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Az aláírás megszerzésének feltételei:</w:t>
      </w:r>
    </w:p>
    <w:p w:rsidR="005552D5" w:rsidRDefault="005552D5" w:rsidP="005552D5">
      <w:pPr>
        <w:widowControl w:val="0"/>
        <w:tabs>
          <w:tab w:val="left" w:pos="993"/>
        </w:tabs>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Az aláírás feltétele a tanórákon, illetve a logisztikai felderítésen történő – 14. pontban meghatározott – részvétel, a félévközi feladat megfelelő minőségű prezentálása, valamint a zárthelyi dolgozat sikeres megírása.</w:t>
      </w:r>
    </w:p>
    <w:p w:rsidR="005552D5" w:rsidRDefault="005552D5" w:rsidP="00C2057B">
      <w:pPr>
        <w:widowControl w:val="0"/>
        <w:numPr>
          <w:ilvl w:val="1"/>
          <w:numId w:val="96"/>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Az értékelés:</w:t>
      </w:r>
    </w:p>
    <w:p w:rsidR="005552D5" w:rsidRDefault="005552D5" w:rsidP="005552D5">
      <w:pPr>
        <w:widowControl w:val="0"/>
        <w:tabs>
          <w:tab w:val="left" w:pos="993"/>
        </w:tabs>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A logisztikai felderítés összegzésére a honvéd tisztjelöltek pontot kapnak, amely összeadódik az írásbeli zárthelyi dolgozaton szerzett pontszámmal.</w:t>
      </w:r>
    </w:p>
    <w:p w:rsidR="005552D5" w:rsidRDefault="005552D5" w:rsidP="00C2057B">
      <w:pPr>
        <w:widowControl w:val="0"/>
        <w:numPr>
          <w:ilvl w:val="1"/>
          <w:numId w:val="96"/>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 kreditek megszerzésének feltételei:</w:t>
      </w:r>
      <w:r>
        <w:rPr>
          <w:rFonts w:ascii="Times New Roman" w:eastAsia="Times New Roman" w:hAnsi="Times New Roman" w:cs="Times New Roman"/>
        </w:rPr>
        <w:t xml:space="preserve"> </w:t>
      </w:r>
    </w:p>
    <w:p w:rsidR="005552D5" w:rsidRDefault="005552D5" w:rsidP="005552D5">
      <w:pPr>
        <w:widowControl w:val="0"/>
        <w:tabs>
          <w:tab w:val="left" w:pos="993"/>
        </w:tabs>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A kreditek megszerzése ötfokozatú értékeléssel záródó írásbeli zárthelyi dolgozaton történik. A zárthelyi dolgozaton szerzett pontokhoz hozzáadódik az évközi feladatra kapott pontszám.</w:t>
      </w:r>
    </w:p>
    <w:p w:rsidR="005552D5" w:rsidRPr="00897725" w:rsidRDefault="005552D5" w:rsidP="00C2057B">
      <w:pPr>
        <w:widowControl w:val="0"/>
        <w:numPr>
          <w:ilvl w:val="0"/>
          <w:numId w:val="96"/>
        </w:numPr>
        <w:tabs>
          <w:tab w:val="num" w:pos="360"/>
        </w:tabs>
        <w:spacing w:before="120" w:after="120" w:line="240" w:lineRule="auto"/>
        <w:ind w:left="426" w:hanging="142"/>
        <w:jc w:val="both"/>
        <w:rPr>
          <w:rFonts w:ascii="Times New Roman" w:eastAsia="Times New Roman" w:hAnsi="Times New Roman" w:cs="Times New Roman"/>
          <w:bCs/>
          <w:highlight w:val="yellow"/>
        </w:rPr>
      </w:pPr>
      <w:r w:rsidRPr="00897725">
        <w:rPr>
          <w:rFonts w:ascii="Times New Roman" w:eastAsia="Times New Roman" w:hAnsi="Times New Roman" w:cs="Times New Roman"/>
          <w:b/>
          <w:bCs/>
          <w:highlight w:val="yellow"/>
        </w:rPr>
        <w:t>Irodalomjegyzék:</w:t>
      </w:r>
    </w:p>
    <w:p w:rsidR="005552D5" w:rsidRPr="00897725" w:rsidRDefault="005552D5" w:rsidP="00C2057B">
      <w:pPr>
        <w:widowControl w:val="0"/>
        <w:numPr>
          <w:ilvl w:val="1"/>
          <w:numId w:val="96"/>
        </w:numPr>
        <w:tabs>
          <w:tab w:val="left" w:pos="567"/>
          <w:tab w:val="left" w:pos="851"/>
          <w:tab w:val="num" w:pos="2069"/>
        </w:tabs>
        <w:spacing w:before="120" w:after="120" w:line="240" w:lineRule="auto"/>
        <w:ind w:left="426" w:hanging="142"/>
        <w:jc w:val="both"/>
        <w:rPr>
          <w:rFonts w:ascii="Times New Roman" w:eastAsia="Times New Roman" w:hAnsi="Times New Roman" w:cs="Times New Roman"/>
          <w:bCs/>
          <w:highlight w:val="yellow"/>
        </w:rPr>
      </w:pPr>
      <w:r w:rsidRPr="00897725">
        <w:rPr>
          <w:rFonts w:ascii="Times New Roman" w:eastAsia="Times New Roman" w:hAnsi="Times New Roman" w:cs="Times New Roman"/>
          <w:b/>
          <w:bCs/>
          <w:highlight w:val="yellow"/>
        </w:rPr>
        <w:t>Kötelező irodalom:</w:t>
      </w:r>
    </w:p>
    <w:p w:rsidR="00061759" w:rsidRDefault="00061759" w:rsidP="00980876">
      <w:pPr>
        <w:widowControl w:val="0"/>
        <w:numPr>
          <w:ilvl w:val="0"/>
          <w:numId w:val="802"/>
        </w:numPr>
        <w:spacing w:after="0" w:line="240" w:lineRule="auto"/>
        <w:ind w:left="709"/>
        <w:jc w:val="both"/>
        <w:rPr>
          <w:rFonts w:ascii="Times New Roman" w:eastAsia="Times New Roman" w:hAnsi="Times New Roman" w:cs="Times New Roman"/>
        </w:rPr>
      </w:pPr>
      <w:r w:rsidRPr="00553A1A">
        <w:rPr>
          <w:rFonts w:ascii="Times New Roman" w:eastAsia="Times New Roman" w:hAnsi="Times New Roman" w:cs="Times New Roman"/>
        </w:rPr>
        <w:t>Medveczky Mihály</w:t>
      </w:r>
      <w:r>
        <w:rPr>
          <w:rFonts w:ascii="Times New Roman" w:eastAsia="Times New Roman" w:hAnsi="Times New Roman" w:cs="Times New Roman"/>
        </w:rPr>
        <w:t>: A</w:t>
      </w:r>
      <w:r w:rsidRPr="00553A1A">
        <w:rPr>
          <w:rFonts w:ascii="Times New Roman" w:eastAsia="Times New Roman" w:hAnsi="Times New Roman" w:cs="Times New Roman"/>
        </w:rPr>
        <w:t xml:space="preserve"> különleges jogrend egyes kérdései a</w:t>
      </w:r>
      <w:r>
        <w:rPr>
          <w:rFonts w:ascii="Times New Roman" w:eastAsia="Times New Roman" w:hAnsi="Times New Roman" w:cs="Times New Roman"/>
        </w:rPr>
        <w:t xml:space="preserve"> </w:t>
      </w:r>
      <w:r w:rsidRPr="00553A1A">
        <w:rPr>
          <w:rFonts w:ascii="Times New Roman" w:eastAsia="Times New Roman" w:hAnsi="Times New Roman" w:cs="Times New Roman"/>
        </w:rPr>
        <w:t>gazdaságmozgósítás hazai történetéből</w:t>
      </w:r>
      <w:r>
        <w:rPr>
          <w:rFonts w:ascii="Times New Roman" w:eastAsia="Times New Roman" w:hAnsi="Times New Roman" w:cs="Times New Roman"/>
        </w:rPr>
        <w:t xml:space="preserve"> </w:t>
      </w:r>
      <w:r w:rsidRPr="00553A1A">
        <w:rPr>
          <w:rFonts w:ascii="Times New Roman" w:eastAsia="Times New Roman" w:hAnsi="Times New Roman" w:cs="Times New Roman"/>
        </w:rPr>
        <w:t>Magyar Katonai Jogi és Hadijogi Társaság</w:t>
      </w:r>
      <w:r>
        <w:rPr>
          <w:rFonts w:ascii="Times New Roman" w:eastAsia="Times New Roman" w:hAnsi="Times New Roman" w:cs="Times New Roman"/>
        </w:rPr>
        <w:t xml:space="preserve"> </w:t>
      </w:r>
      <w:r w:rsidRPr="00553A1A">
        <w:rPr>
          <w:rFonts w:ascii="Times New Roman" w:eastAsia="Times New Roman" w:hAnsi="Times New Roman" w:cs="Times New Roman"/>
        </w:rPr>
        <w:t>Budapes</w:t>
      </w:r>
      <w:r>
        <w:rPr>
          <w:rFonts w:ascii="Times New Roman" w:eastAsia="Times New Roman" w:hAnsi="Times New Roman" w:cs="Times New Roman"/>
        </w:rPr>
        <w:t xml:space="preserve">t </w:t>
      </w:r>
      <w:r w:rsidRPr="00553A1A">
        <w:rPr>
          <w:rFonts w:ascii="Times New Roman" w:eastAsia="Times New Roman" w:hAnsi="Times New Roman" w:cs="Times New Roman"/>
        </w:rPr>
        <w:t>2015</w:t>
      </w:r>
      <w:r>
        <w:rPr>
          <w:rFonts w:ascii="Times New Roman" w:eastAsia="Times New Roman" w:hAnsi="Times New Roman" w:cs="Times New Roman"/>
        </w:rPr>
        <w:t xml:space="preserve">. </w:t>
      </w:r>
      <w:r w:rsidRPr="00553A1A">
        <w:rPr>
          <w:rFonts w:ascii="Times New Roman" w:eastAsia="Times New Roman" w:hAnsi="Times New Roman" w:cs="Times New Roman"/>
        </w:rPr>
        <w:t>ISSN 2416-1365</w:t>
      </w:r>
    </w:p>
    <w:p w:rsidR="00061759" w:rsidRPr="00226507" w:rsidRDefault="00061759" w:rsidP="00980876">
      <w:pPr>
        <w:widowControl w:val="0"/>
        <w:numPr>
          <w:ilvl w:val="0"/>
          <w:numId w:val="802"/>
        </w:numPr>
        <w:spacing w:after="0" w:line="240" w:lineRule="auto"/>
        <w:ind w:left="709"/>
        <w:jc w:val="both"/>
        <w:rPr>
          <w:rFonts w:ascii="Times New Roman" w:eastAsia="Times New Roman" w:hAnsi="Times New Roman" w:cs="Times New Roman"/>
          <w:bCs/>
        </w:rPr>
      </w:pPr>
      <w:r w:rsidRPr="00061759">
        <w:rPr>
          <w:rFonts w:ascii="Times New Roman" w:eastAsia="Times New Roman" w:hAnsi="Times New Roman" w:cs="Times New Roman"/>
        </w:rPr>
        <w:t>Taksás</w:t>
      </w:r>
      <w:r>
        <w:rPr>
          <w:rFonts w:ascii="Times New Roman" w:eastAsia="Times New Roman" w:hAnsi="Times New Roman" w:cs="Times New Roman"/>
          <w:bCs/>
        </w:rPr>
        <w:t xml:space="preserve"> Balázs: Gazdasági biztonsági kérdések napjaink globalizált világában PhD értekezés, Nemzeti Közszolgálati Egyetem, 2013.</w:t>
      </w:r>
    </w:p>
    <w:p w:rsidR="00061759" w:rsidRPr="00061759" w:rsidRDefault="00061759" w:rsidP="00C2057B">
      <w:pPr>
        <w:widowControl w:val="0"/>
        <w:numPr>
          <w:ilvl w:val="1"/>
          <w:numId w:val="96"/>
        </w:numPr>
        <w:tabs>
          <w:tab w:val="left" w:pos="567"/>
          <w:tab w:val="left" w:pos="851"/>
          <w:tab w:val="num" w:pos="2069"/>
        </w:tabs>
        <w:spacing w:before="120" w:after="120" w:line="240" w:lineRule="auto"/>
        <w:ind w:left="426" w:hanging="142"/>
        <w:jc w:val="both"/>
        <w:rPr>
          <w:rFonts w:ascii="Times New Roman" w:eastAsia="Times New Roman" w:hAnsi="Times New Roman" w:cs="Times New Roman"/>
          <w:b/>
          <w:bCs/>
          <w:highlight w:val="yellow"/>
        </w:rPr>
      </w:pPr>
      <w:r w:rsidRPr="00061759">
        <w:rPr>
          <w:rFonts w:ascii="Times New Roman" w:eastAsia="Times New Roman" w:hAnsi="Times New Roman" w:cs="Times New Roman"/>
          <w:b/>
          <w:bCs/>
          <w:highlight w:val="yellow"/>
        </w:rPr>
        <w:t xml:space="preserve"> Ajánlott irodalom:</w:t>
      </w:r>
    </w:p>
    <w:p w:rsidR="00061759" w:rsidRPr="00061759" w:rsidRDefault="00061759" w:rsidP="00980876">
      <w:pPr>
        <w:pStyle w:val="Listaszerbekezds"/>
        <w:widowControl w:val="0"/>
        <w:numPr>
          <w:ilvl w:val="0"/>
          <w:numId w:val="803"/>
        </w:numPr>
        <w:spacing w:after="0" w:line="240" w:lineRule="auto"/>
        <w:jc w:val="both"/>
        <w:rPr>
          <w:rFonts w:ascii="Times New Roman" w:eastAsia="Times New Roman" w:hAnsi="Times New Roman" w:cs="Times New Roman"/>
          <w:bCs/>
          <w:highlight w:val="yellow"/>
        </w:rPr>
      </w:pPr>
      <w:r w:rsidRPr="00061759">
        <w:rPr>
          <w:rFonts w:ascii="Times New Roman" w:hAnsi="Times New Roman" w:cs="Times New Roman"/>
          <w:bCs/>
          <w:highlight w:val="yellow"/>
        </w:rPr>
        <w:t>Hartley, Keith: The Economics of Arms Agenda Publishing, 2017. ISBN 978-1-911116-23-3</w:t>
      </w:r>
    </w:p>
    <w:p w:rsidR="00061759" w:rsidRPr="00061759" w:rsidRDefault="00061759" w:rsidP="00980876">
      <w:pPr>
        <w:pStyle w:val="Listaszerbekezds"/>
        <w:widowControl w:val="0"/>
        <w:numPr>
          <w:ilvl w:val="0"/>
          <w:numId w:val="803"/>
        </w:numPr>
        <w:spacing w:after="0" w:line="240" w:lineRule="auto"/>
        <w:jc w:val="both"/>
        <w:rPr>
          <w:rFonts w:ascii="Times New Roman" w:eastAsia="Times New Roman" w:hAnsi="Times New Roman" w:cs="Times New Roman"/>
          <w:bCs/>
          <w:highlight w:val="yellow"/>
        </w:rPr>
      </w:pPr>
      <w:r w:rsidRPr="00061759">
        <w:rPr>
          <w:rFonts w:ascii="Times New Roman" w:hAnsi="Times New Roman" w:cs="Times New Roman"/>
          <w:bCs/>
          <w:highlight w:val="yellow"/>
        </w:rPr>
        <w:t>Gansler, Jacques S.: Democracy's Arsenal: Creating a Twenty-First-Century Defense Industry Cambridge, Mass: The MIT Press, 2011. ISBN: 9780262072991. 9780262525237. 9780262295260.</w:t>
      </w:r>
    </w:p>
    <w:p w:rsidR="00061759" w:rsidRPr="00061759" w:rsidRDefault="00061759" w:rsidP="00980876">
      <w:pPr>
        <w:widowControl w:val="0"/>
        <w:numPr>
          <w:ilvl w:val="0"/>
          <w:numId w:val="803"/>
        </w:numPr>
        <w:spacing w:after="0" w:line="240" w:lineRule="auto"/>
        <w:jc w:val="both"/>
        <w:rPr>
          <w:rFonts w:ascii="Times New Roman" w:eastAsia="Times New Roman" w:hAnsi="Times New Roman" w:cs="Times New Roman"/>
          <w:highlight w:val="yellow"/>
        </w:rPr>
      </w:pPr>
      <w:r w:rsidRPr="00061759">
        <w:rPr>
          <w:rFonts w:ascii="Times New Roman" w:eastAsia="Times New Roman" w:hAnsi="Times New Roman" w:cs="Times New Roman"/>
          <w:highlight w:val="yellow"/>
        </w:rPr>
        <w:t>Waclaw Stankiewicz: Hadigazdaságtan. Magyar Néphadsereg Vezérkar Hadigazdasági Tudományos Tanács 1970.</w:t>
      </w:r>
    </w:p>
    <w:p w:rsidR="005552D5" w:rsidRDefault="005552D5" w:rsidP="00115198">
      <w:pPr>
        <w:widowControl w:val="0"/>
        <w:spacing w:before="120" w:after="120" w:line="240" w:lineRule="auto"/>
        <w:ind w:firstLine="360"/>
        <w:jc w:val="both"/>
        <w:rPr>
          <w:rFonts w:ascii="Times New Roman" w:eastAsia="Times New Roman" w:hAnsi="Times New Roman" w:cs="Times New Roman"/>
          <w:bCs/>
        </w:rPr>
      </w:pPr>
      <w:r>
        <w:rPr>
          <w:rFonts w:ascii="Times New Roman" w:eastAsia="Times New Roman" w:hAnsi="Times New Roman" w:cs="Times New Roman"/>
          <w:bCs/>
        </w:rPr>
        <w:t>Budapest, 2020. január 22.</w:t>
      </w:r>
    </w:p>
    <w:p w:rsidR="005552D5" w:rsidRDefault="005552D5" w:rsidP="005552D5">
      <w:pPr>
        <w:widowControl w:val="0"/>
        <w:spacing w:before="120" w:after="120" w:line="240" w:lineRule="auto"/>
        <w:jc w:val="both"/>
        <w:rPr>
          <w:rFonts w:ascii="Times New Roman" w:eastAsia="Times New Roman" w:hAnsi="Times New Roman" w:cs="Times New Roman"/>
          <w:bCs/>
        </w:rPr>
      </w:pPr>
    </w:p>
    <w:p w:rsidR="005552D5" w:rsidRPr="00AA1279" w:rsidRDefault="005552D5" w:rsidP="005552D5">
      <w:pPr>
        <w:widowControl w:val="0"/>
        <w:spacing w:after="0" w:line="240" w:lineRule="auto"/>
        <w:jc w:val="right"/>
        <w:rPr>
          <w:rFonts w:ascii="Times New Roman" w:hAnsi="Times New Roman" w:cs="Times New Roman"/>
          <w:b/>
          <w:bCs/>
        </w:rPr>
      </w:pPr>
      <w:r w:rsidRPr="00AA1279">
        <w:rPr>
          <w:rFonts w:ascii="Times New Roman" w:hAnsi="Times New Roman" w:cs="Times New Roman"/>
          <w:b/>
          <w:bCs/>
        </w:rPr>
        <w:t>Dr. Taksás Balázs százados PhD</w:t>
      </w:r>
    </w:p>
    <w:p w:rsidR="005552D5" w:rsidRDefault="005552D5" w:rsidP="005552D5">
      <w:pPr>
        <w:widowControl w:val="0"/>
        <w:spacing w:after="0" w:line="240" w:lineRule="auto"/>
        <w:jc w:val="center"/>
        <w:rPr>
          <w:rFonts w:ascii="Times New Roman" w:eastAsia="Times New Roman" w:hAnsi="Times New Roman" w:cs="Times New Roman"/>
          <w:bCs/>
        </w:rPr>
      </w:pPr>
      <w:r>
        <w:rPr>
          <w:rFonts w:ascii="Times New Roman" w:hAnsi="Times New Roman" w:cs="Times New Roman"/>
          <w:bCs/>
        </w:rPr>
        <w:t xml:space="preserve">                                                                                                                 egyetemi docens</w:t>
      </w:r>
    </w:p>
    <w:p w:rsidR="00082CA1" w:rsidRDefault="00082CA1">
      <w:pPr>
        <w:spacing w:after="200" w:line="276" w:lineRule="auto"/>
        <w:rPr>
          <w:rFonts w:ascii="Times New Roman" w:hAnsi="Times New Roman" w:cs="Times New Roman"/>
          <w:sz w:val="24"/>
        </w:rPr>
      </w:pPr>
    </w:p>
    <w:p w:rsidR="00AA1279" w:rsidRDefault="00AA1279">
      <w:pPr>
        <w:spacing w:after="200" w:line="276" w:lineRule="auto"/>
        <w:rPr>
          <w:rFonts w:ascii="Times New Roman" w:hAnsi="Times New Roman" w:cs="Times New Roman"/>
          <w:sz w:val="24"/>
        </w:rPr>
      </w:pPr>
      <w:r>
        <w:rPr>
          <w:rFonts w:ascii="Times New Roman" w:hAnsi="Times New Roman" w:cs="Times New Roman"/>
          <w:sz w:val="24"/>
        </w:rPr>
        <w:br w:type="page"/>
      </w:r>
    </w:p>
    <w:tbl>
      <w:tblPr>
        <w:tblW w:w="9072" w:type="dxa"/>
        <w:tblInd w:w="113" w:type="dxa"/>
        <w:tblLook w:val="01E0" w:firstRow="1" w:lastRow="1" w:firstColumn="1" w:lastColumn="1" w:noHBand="0" w:noVBand="0"/>
      </w:tblPr>
      <w:tblGrid>
        <w:gridCol w:w="4855"/>
        <w:gridCol w:w="1620"/>
        <w:gridCol w:w="2597"/>
      </w:tblGrid>
      <w:tr w:rsidR="00AA1279" w:rsidTr="00AA1279">
        <w:tc>
          <w:tcPr>
            <w:tcW w:w="4855" w:type="dxa"/>
            <w:tcBorders>
              <w:top w:val="nil"/>
              <w:left w:val="nil"/>
              <w:bottom w:val="single" w:sz="4" w:space="0" w:color="auto"/>
              <w:right w:val="nil"/>
            </w:tcBorders>
            <w:hideMark/>
          </w:tcPr>
          <w:p w:rsidR="00AA1279" w:rsidRDefault="00AA1279">
            <w:pPr>
              <w:spacing w:after="0" w:line="240" w:lineRule="auto"/>
              <w:jc w:val="center"/>
              <w:rPr>
                <w:rFonts w:ascii="Times New Roman" w:eastAsia="Times New Roman" w:hAnsi="Times New Roman" w:cs="Times New Roman"/>
                <w:b/>
                <w:smallCaps/>
                <w:lang w:eastAsia="hu-HU"/>
              </w:rPr>
            </w:pPr>
            <w:r>
              <w:rPr>
                <w:rFonts w:ascii="Times New Roman" w:eastAsia="Times New Roman" w:hAnsi="Times New Roman" w:cs="Times New Roman"/>
                <w:b/>
                <w:smallCaps/>
                <w:lang w:eastAsia="hu-HU"/>
              </w:rPr>
              <w:lastRenderedPageBreak/>
              <w:t>Nemzeti Közszolgálati Egyetem</w:t>
            </w:r>
          </w:p>
        </w:tc>
        <w:tc>
          <w:tcPr>
            <w:tcW w:w="1620" w:type="dxa"/>
          </w:tcPr>
          <w:p w:rsidR="00AA1279" w:rsidRDefault="00AA1279">
            <w:pPr>
              <w:spacing w:after="0" w:line="240" w:lineRule="auto"/>
              <w:jc w:val="both"/>
              <w:rPr>
                <w:rFonts w:ascii="Times New Roman" w:eastAsia="Times New Roman" w:hAnsi="Times New Roman" w:cs="Times New Roman"/>
                <w:lang w:eastAsia="hu-HU"/>
              </w:rPr>
            </w:pPr>
          </w:p>
        </w:tc>
        <w:tc>
          <w:tcPr>
            <w:tcW w:w="2597" w:type="dxa"/>
          </w:tcPr>
          <w:p w:rsidR="00AA1279" w:rsidRDefault="00AA1279">
            <w:pPr>
              <w:spacing w:after="0" w:line="240" w:lineRule="auto"/>
              <w:jc w:val="right"/>
              <w:rPr>
                <w:rFonts w:ascii="Times New Roman" w:eastAsia="Times New Roman" w:hAnsi="Times New Roman" w:cs="Times New Roman"/>
                <w:lang w:eastAsia="hu-HU"/>
              </w:rPr>
            </w:pPr>
          </w:p>
        </w:tc>
      </w:tr>
      <w:tr w:rsidR="00AA1279" w:rsidTr="00AA1279">
        <w:tc>
          <w:tcPr>
            <w:tcW w:w="4855" w:type="dxa"/>
            <w:tcBorders>
              <w:top w:val="single" w:sz="4" w:space="0" w:color="auto"/>
              <w:left w:val="nil"/>
              <w:bottom w:val="nil"/>
              <w:right w:val="nil"/>
            </w:tcBorders>
            <w:hideMark/>
          </w:tcPr>
          <w:p w:rsidR="00AA1279" w:rsidRDefault="00AA1279">
            <w:pPr>
              <w:spacing w:after="0" w:line="240" w:lineRule="auto"/>
              <w:jc w:val="center"/>
              <w:rPr>
                <w:rFonts w:ascii="Times New Roman" w:eastAsia="Times New Roman" w:hAnsi="Times New Roman" w:cs="Times New Roman"/>
                <w:b/>
                <w:lang w:eastAsia="hu-HU"/>
              </w:rPr>
            </w:pPr>
            <w:r>
              <w:rPr>
                <w:rFonts w:ascii="Times New Roman" w:eastAsia="Times New Roman" w:hAnsi="Times New Roman" w:cs="Times New Roman"/>
                <w:b/>
                <w:lang w:eastAsia="hu-HU"/>
              </w:rPr>
              <w:t>Hadtudományi és Honvédtisztképző Kar</w:t>
            </w:r>
          </w:p>
        </w:tc>
        <w:tc>
          <w:tcPr>
            <w:tcW w:w="1620" w:type="dxa"/>
          </w:tcPr>
          <w:p w:rsidR="00AA1279" w:rsidRDefault="00AA1279">
            <w:pPr>
              <w:spacing w:after="0" w:line="240" w:lineRule="auto"/>
              <w:jc w:val="both"/>
              <w:rPr>
                <w:rFonts w:ascii="Times New Roman" w:eastAsia="Times New Roman" w:hAnsi="Times New Roman" w:cs="Times New Roman"/>
                <w:lang w:eastAsia="hu-HU"/>
              </w:rPr>
            </w:pPr>
          </w:p>
        </w:tc>
        <w:tc>
          <w:tcPr>
            <w:tcW w:w="2597" w:type="dxa"/>
          </w:tcPr>
          <w:p w:rsidR="00AA1279" w:rsidRDefault="00AA1279">
            <w:pPr>
              <w:spacing w:after="0" w:line="240" w:lineRule="auto"/>
              <w:jc w:val="both"/>
              <w:rPr>
                <w:rFonts w:ascii="Times New Roman" w:eastAsia="Times New Roman" w:hAnsi="Times New Roman" w:cs="Times New Roman"/>
                <w:lang w:eastAsia="hu-HU"/>
              </w:rPr>
            </w:pPr>
          </w:p>
        </w:tc>
      </w:tr>
    </w:tbl>
    <w:p w:rsidR="00AA1279" w:rsidRDefault="00AA1279" w:rsidP="00AA1279">
      <w:pPr>
        <w:widowControl w:val="0"/>
        <w:spacing w:before="120" w:after="120" w:line="240" w:lineRule="auto"/>
        <w:ind w:left="426" w:hanging="142"/>
        <w:jc w:val="center"/>
        <w:rPr>
          <w:rFonts w:ascii="Times New Roman" w:eastAsia="Times New Roman" w:hAnsi="Times New Roman" w:cs="Times New Roman"/>
          <w:b/>
          <w:bCs/>
        </w:rPr>
      </w:pPr>
    </w:p>
    <w:p w:rsidR="00AA1279" w:rsidRDefault="00AA1279" w:rsidP="00AA1279">
      <w:pPr>
        <w:widowControl w:val="0"/>
        <w:spacing w:before="120" w:after="120" w:line="240" w:lineRule="auto"/>
        <w:ind w:left="426" w:hanging="142"/>
        <w:jc w:val="center"/>
        <w:rPr>
          <w:rFonts w:ascii="Times New Roman" w:eastAsia="Times New Roman" w:hAnsi="Times New Roman" w:cs="Times New Roman"/>
          <w:b/>
          <w:bCs/>
        </w:rPr>
      </w:pPr>
      <w:r>
        <w:rPr>
          <w:rFonts w:ascii="Times New Roman" w:eastAsia="Times New Roman" w:hAnsi="Times New Roman" w:cs="Times New Roman"/>
          <w:b/>
          <w:bCs/>
        </w:rPr>
        <w:t>TANTÁRGYI PROGRAM</w:t>
      </w:r>
    </w:p>
    <w:p w:rsidR="00AA1279" w:rsidRDefault="00AA1279" w:rsidP="00C2057B">
      <w:pPr>
        <w:widowControl w:val="0"/>
        <w:numPr>
          <w:ilvl w:val="0"/>
          <w:numId w:val="97"/>
        </w:numPr>
        <w:tabs>
          <w:tab w:val="clear" w:pos="720"/>
          <w:tab w:val="num" w:pos="502"/>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 tantárgy kódja: </w:t>
      </w:r>
      <w:r>
        <w:rPr>
          <w:rFonts w:ascii="Times New Roman" w:eastAsia="Times New Roman" w:hAnsi="Times New Roman" w:cs="Times New Roman"/>
          <w:bCs/>
        </w:rPr>
        <w:t>HK925A131</w:t>
      </w:r>
    </w:p>
    <w:p w:rsidR="00AA1279" w:rsidRDefault="00AA1279" w:rsidP="00C2057B">
      <w:pPr>
        <w:widowControl w:val="0"/>
        <w:numPr>
          <w:ilvl w:val="0"/>
          <w:numId w:val="97"/>
        </w:numPr>
        <w:tabs>
          <w:tab w:val="clear" w:pos="720"/>
          <w:tab w:val="num" w:pos="502"/>
          <w:tab w:val="num" w:pos="567"/>
        </w:tabs>
        <w:spacing w:before="120" w:after="120" w:line="240" w:lineRule="auto"/>
        <w:ind w:left="426" w:hanging="142"/>
        <w:jc w:val="both"/>
        <w:rPr>
          <w:rFonts w:ascii="Times New Roman" w:eastAsia="Times New Roman" w:hAnsi="Times New Roman" w:cs="Times New Roman"/>
          <w:b/>
          <w:bCs/>
          <w:lang w:val="en-GB"/>
        </w:rPr>
      </w:pPr>
      <w:r>
        <w:rPr>
          <w:rFonts w:ascii="Times New Roman" w:eastAsia="Times New Roman" w:hAnsi="Times New Roman" w:cs="Times New Roman"/>
          <w:b/>
          <w:bCs/>
        </w:rPr>
        <w:t>A tantárgy megnevezése (magyarul):</w:t>
      </w:r>
      <w:r>
        <w:rPr>
          <w:rFonts w:ascii="Times New Roman" w:eastAsia="Times New Roman" w:hAnsi="Times New Roman" w:cs="Times New Roman"/>
          <w:bCs/>
        </w:rPr>
        <w:t xml:space="preserve"> Mechanika LOG 1</w:t>
      </w:r>
    </w:p>
    <w:p w:rsidR="00AA1279" w:rsidRDefault="00AA1279" w:rsidP="00C2057B">
      <w:pPr>
        <w:widowControl w:val="0"/>
        <w:numPr>
          <w:ilvl w:val="0"/>
          <w:numId w:val="97"/>
        </w:numPr>
        <w:tabs>
          <w:tab w:val="clear" w:pos="720"/>
          <w:tab w:val="num" w:pos="502"/>
          <w:tab w:val="num" w:pos="567"/>
        </w:tabs>
        <w:spacing w:before="120" w:after="120" w:line="240" w:lineRule="auto"/>
        <w:ind w:left="426" w:hanging="142"/>
        <w:jc w:val="both"/>
        <w:rPr>
          <w:rFonts w:ascii="Times New Roman" w:eastAsia="Times New Roman" w:hAnsi="Times New Roman" w:cs="Times New Roman"/>
          <w:b/>
          <w:bCs/>
          <w:lang w:val="en-GB"/>
        </w:rPr>
      </w:pPr>
      <w:r>
        <w:rPr>
          <w:rFonts w:ascii="Times New Roman" w:eastAsia="Times New Roman" w:hAnsi="Times New Roman" w:cs="Times New Roman"/>
          <w:b/>
          <w:bCs/>
        </w:rPr>
        <w:t>A tantárgy megnevezése (angolul):</w:t>
      </w:r>
      <w:r>
        <w:rPr>
          <w:rFonts w:ascii="Times New Roman" w:eastAsia="Times New Roman" w:hAnsi="Times New Roman" w:cs="Times New Roman"/>
          <w:bCs/>
        </w:rPr>
        <w:t xml:space="preserve"> Mechanics LOG 1</w:t>
      </w:r>
    </w:p>
    <w:p w:rsidR="00AA1279" w:rsidRDefault="00AA1279" w:rsidP="00C2057B">
      <w:pPr>
        <w:widowControl w:val="0"/>
        <w:numPr>
          <w:ilvl w:val="0"/>
          <w:numId w:val="97"/>
        </w:numPr>
        <w:tabs>
          <w:tab w:val="clear" w:pos="720"/>
          <w:tab w:val="num" w:pos="502"/>
          <w:tab w:val="num" w:pos="567"/>
        </w:tabs>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Kreditérték és képzési karakter: </w:t>
      </w:r>
    </w:p>
    <w:p w:rsidR="00AA1279" w:rsidRDefault="00AA1279" w:rsidP="00C2057B">
      <w:pPr>
        <w:pStyle w:val="Listaszerbekezds"/>
        <w:widowControl w:val="0"/>
        <w:numPr>
          <w:ilvl w:val="1"/>
          <w:numId w:val="97"/>
        </w:numPr>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2 kredit</w:t>
      </w:r>
    </w:p>
    <w:p w:rsidR="00AA1279" w:rsidRDefault="00AA1279" w:rsidP="00C2057B">
      <w:pPr>
        <w:pStyle w:val="Listaszerbekezds"/>
        <w:widowControl w:val="0"/>
        <w:numPr>
          <w:ilvl w:val="1"/>
          <w:numId w:val="97"/>
        </w:numPr>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a tantárgy elméleti vagy gyakorlati jellegének mértéke: 50 % gyakorlat, 50 % elmélet</w:t>
      </w:r>
    </w:p>
    <w:p w:rsidR="00AA1279" w:rsidRDefault="00AA1279" w:rsidP="00C2057B">
      <w:pPr>
        <w:widowControl w:val="0"/>
        <w:numPr>
          <w:ilvl w:val="0"/>
          <w:numId w:val="97"/>
        </w:numPr>
        <w:tabs>
          <w:tab w:val="clear" w:pos="720"/>
          <w:tab w:val="num" w:pos="502"/>
        </w:tabs>
        <w:spacing w:before="120" w:after="120" w:line="240" w:lineRule="auto"/>
        <w:ind w:left="426" w:hanging="142"/>
        <w:jc w:val="both"/>
        <w:rPr>
          <w:rFonts w:ascii="Times New Roman" w:eastAsia="Times New Roman" w:hAnsi="Times New Roman" w:cs="Times New Roman"/>
          <w:bCs/>
          <w:color w:val="92D050"/>
        </w:rPr>
      </w:pPr>
      <w:r>
        <w:rPr>
          <w:rFonts w:ascii="Times New Roman" w:eastAsia="Times New Roman" w:hAnsi="Times New Roman" w:cs="Times New Roman"/>
          <w:b/>
          <w:bCs/>
        </w:rPr>
        <w:t>A szak(ok), szakirányok/specializációk megnevezése (ahol oktatják):</w:t>
      </w:r>
      <w:r>
        <w:rPr>
          <w:rFonts w:ascii="Times New Roman" w:eastAsia="Times New Roman" w:hAnsi="Times New Roman" w:cs="Times New Roman"/>
          <w:bCs/>
        </w:rPr>
        <w:t xml:space="preserve"> Katonai logisztika alapszak</w:t>
      </w:r>
    </w:p>
    <w:p w:rsidR="00AA1279" w:rsidRDefault="00AA1279" w:rsidP="00C2057B">
      <w:pPr>
        <w:widowControl w:val="0"/>
        <w:numPr>
          <w:ilvl w:val="0"/>
          <w:numId w:val="97"/>
        </w:numPr>
        <w:tabs>
          <w:tab w:val="clear" w:pos="720"/>
          <w:tab w:val="num" w:pos="502"/>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Az oktatásért felelős oktatási szervezeti egység megnevezése: </w:t>
      </w:r>
      <w:r>
        <w:rPr>
          <w:rFonts w:ascii="Times New Roman" w:eastAsia="Times New Roman" w:hAnsi="Times New Roman" w:cs="Times New Roman"/>
          <w:bCs/>
        </w:rPr>
        <w:t>Természettudományi Tanszék</w:t>
      </w:r>
    </w:p>
    <w:p w:rsidR="00AA1279" w:rsidRDefault="00AA1279" w:rsidP="00C2057B">
      <w:pPr>
        <w:widowControl w:val="0"/>
        <w:numPr>
          <w:ilvl w:val="0"/>
          <w:numId w:val="97"/>
        </w:numPr>
        <w:tabs>
          <w:tab w:val="clear" w:pos="720"/>
          <w:tab w:val="num" w:pos="502"/>
          <w:tab w:val="num" w:pos="567"/>
        </w:tabs>
        <w:spacing w:before="120" w:after="120" w:line="240" w:lineRule="auto"/>
        <w:ind w:left="426" w:hanging="142"/>
        <w:jc w:val="both"/>
        <w:rPr>
          <w:rFonts w:ascii="Times New Roman" w:eastAsia="Times New Roman" w:hAnsi="Times New Roman" w:cs="Times New Roman"/>
          <w:bCs/>
          <w:spacing w:val="-2"/>
        </w:rPr>
      </w:pPr>
      <w:r>
        <w:rPr>
          <w:rFonts w:ascii="Times New Roman" w:eastAsia="Times New Roman" w:hAnsi="Times New Roman" w:cs="Times New Roman"/>
          <w:b/>
          <w:bCs/>
          <w:spacing w:val="-2"/>
        </w:rPr>
        <w:t>A tantárgyfelelős oktató neve, beosztása, tudományos fokozata:</w:t>
      </w:r>
      <w:r>
        <w:rPr>
          <w:rFonts w:ascii="Times New Roman" w:eastAsia="Times New Roman" w:hAnsi="Times New Roman" w:cs="Times New Roman"/>
          <w:bCs/>
          <w:spacing w:val="-2"/>
        </w:rPr>
        <w:t xml:space="preserve"> Dr. Tóth Bence, adjunktus, PhD</w:t>
      </w:r>
    </w:p>
    <w:p w:rsidR="00AA1279" w:rsidRDefault="00AA1279" w:rsidP="00C2057B">
      <w:pPr>
        <w:widowControl w:val="0"/>
        <w:numPr>
          <w:ilvl w:val="0"/>
          <w:numId w:val="97"/>
        </w:numPr>
        <w:tabs>
          <w:tab w:val="clear" w:pos="720"/>
          <w:tab w:val="num" w:pos="502"/>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tanórák száma és típusa</w:t>
      </w:r>
    </w:p>
    <w:p w:rsidR="00AA1279" w:rsidRDefault="00AA1279" w:rsidP="00C2057B">
      <w:pPr>
        <w:widowControl w:val="0"/>
        <w:numPr>
          <w:ilvl w:val="1"/>
          <w:numId w:val="97"/>
        </w:numPr>
        <w:tabs>
          <w:tab w:val="num" w:pos="709"/>
          <w:tab w:val="num" w:pos="2069"/>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össz óraszám/félév:</w:t>
      </w:r>
    </w:p>
    <w:p w:rsidR="00AA1279" w:rsidRDefault="00AA1279" w:rsidP="00C2057B">
      <w:pPr>
        <w:widowControl w:val="0"/>
        <w:numPr>
          <w:ilvl w:val="2"/>
          <w:numId w:val="97"/>
        </w:numPr>
        <w:tabs>
          <w:tab w:val="clear" w:pos="1800"/>
        </w:tabs>
        <w:spacing w:after="0" w:line="240" w:lineRule="auto"/>
        <w:ind w:left="1134" w:hanging="425"/>
        <w:jc w:val="both"/>
        <w:rPr>
          <w:rFonts w:ascii="Times New Roman" w:eastAsia="Times New Roman" w:hAnsi="Times New Roman" w:cs="Times New Roman"/>
          <w:bCs/>
        </w:rPr>
      </w:pPr>
      <w:r>
        <w:rPr>
          <w:rFonts w:ascii="Times New Roman" w:eastAsia="Times New Roman" w:hAnsi="Times New Roman" w:cs="Times New Roman"/>
          <w:bCs/>
        </w:rPr>
        <w:t>nappali munkarend: 28 (14 EA + 0 SZ + 14 GY)</w:t>
      </w:r>
    </w:p>
    <w:p w:rsidR="00AA1279" w:rsidRDefault="00AA1279" w:rsidP="00C2057B">
      <w:pPr>
        <w:widowControl w:val="0"/>
        <w:numPr>
          <w:ilvl w:val="2"/>
          <w:numId w:val="97"/>
        </w:numPr>
        <w:tabs>
          <w:tab w:val="clear" w:pos="1800"/>
        </w:tabs>
        <w:spacing w:after="0" w:line="240" w:lineRule="auto"/>
        <w:ind w:left="1134" w:hanging="425"/>
        <w:jc w:val="both"/>
        <w:rPr>
          <w:rFonts w:ascii="Times New Roman" w:eastAsia="Times New Roman" w:hAnsi="Times New Roman" w:cs="Times New Roman"/>
          <w:bCs/>
        </w:rPr>
      </w:pPr>
      <w:r>
        <w:rPr>
          <w:rFonts w:ascii="Times New Roman" w:eastAsia="Times New Roman" w:hAnsi="Times New Roman" w:cs="Times New Roman"/>
          <w:bCs/>
        </w:rPr>
        <w:t>levelező munkarend: 0 (0 EA + 0 SZ + 0 GY)</w:t>
      </w:r>
    </w:p>
    <w:p w:rsidR="00AA1279" w:rsidRDefault="00AA1279" w:rsidP="00C2057B">
      <w:pPr>
        <w:widowControl w:val="0"/>
        <w:numPr>
          <w:ilvl w:val="1"/>
          <w:numId w:val="97"/>
        </w:numPr>
        <w:tabs>
          <w:tab w:val="num" w:pos="709"/>
          <w:tab w:val="num" w:pos="2069"/>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heti óraszám - nappali munkarend: 1 + 1</w:t>
      </w:r>
    </w:p>
    <w:p w:rsidR="00AA1279" w:rsidRDefault="00AA1279" w:rsidP="00C2057B">
      <w:pPr>
        <w:widowControl w:val="0"/>
        <w:numPr>
          <w:ilvl w:val="1"/>
          <w:numId w:val="97"/>
        </w:numPr>
        <w:tabs>
          <w:tab w:val="num" w:pos="709"/>
          <w:tab w:val="num" w:pos="2069"/>
        </w:tabs>
        <w:spacing w:before="120" w:after="120" w:line="240" w:lineRule="auto"/>
        <w:ind w:left="851" w:hanging="425"/>
        <w:jc w:val="both"/>
        <w:rPr>
          <w:rFonts w:ascii="Times New Roman" w:eastAsia="Times New Roman" w:hAnsi="Times New Roman" w:cs="Times New Roman"/>
          <w:bCs/>
        </w:rPr>
      </w:pPr>
      <w:r>
        <w:rPr>
          <w:rFonts w:ascii="Times New Roman" w:hAnsi="Times New Roman" w:cs="Times New Roman"/>
        </w:rPr>
        <w:t>Az ismeret átadásában alkalmazandó további sajátos módok, jellemzők: nincsenek</w:t>
      </w:r>
    </w:p>
    <w:p w:rsidR="00AA1279" w:rsidRDefault="00AA1279" w:rsidP="00C2057B">
      <w:pPr>
        <w:widowControl w:val="0"/>
        <w:numPr>
          <w:ilvl w:val="0"/>
          <w:numId w:val="97"/>
        </w:numPr>
        <w:tabs>
          <w:tab w:val="clear" w:pos="720"/>
          <w:tab w:val="num" w:pos="502"/>
        </w:tabs>
        <w:spacing w:before="120" w:after="120" w:line="240" w:lineRule="auto"/>
        <w:ind w:left="502"/>
        <w:jc w:val="both"/>
        <w:rPr>
          <w:rFonts w:ascii="Times New Roman" w:eastAsia="Times New Roman" w:hAnsi="Times New Roman" w:cs="Times New Roman"/>
          <w:bCs/>
        </w:rPr>
      </w:pPr>
      <w:r>
        <w:rPr>
          <w:rFonts w:ascii="Times New Roman" w:eastAsia="Times New Roman" w:hAnsi="Times New Roman" w:cs="Times New Roman"/>
          <w:b/>
          <w:bCs/>
        </w:rPr>
        <w:t>A tantárgy szakmai tartalma (magyarul):</w:t>
      </w:r>
      <w:r>
        <w:rPr>
          <w:rFonts w:ascii="Times New Roman" w:eastAsia="Times New Roman" w:hAnsi="Times New Roman" w:cs="Times New Roman"/>
          <w:bCs/>
        </w:rPr>
        <w:t xml:space="preserve"> A mechanika alapjainak és a vektoralgebrának rendszerező áttekintése. Anyagi pontrendszer. Erőrendszerek egyenértékűsége, redukálása, eredője. Merev testek statikája. Kényszerek. Statikai nyomaték, tömegközéppont. Testek, felületek, vonalak súlypontja. Tartószerkezetek statikai vizsgálata. Igénybevételi ábrák. Háromcsuklós szerkezetek. Gerber tartó. Coulomb súrlódás, gördülési ellenállás, kötélsúrlódás.</w:t>
      </w:r>
    </w:p>
    <w:p w:rsidR="00AA1279" w:rsidRDefault="00AA1279" w:rsidP="00AA1279">
      <w:pPr>
        <w:widowControl w:val="0"/>
        <w:spacing w:before="120" w:after="120" w:line="240" w:lineRule="auto"/>
        <w:ind w:left="426"/>
        <w:jc w:val="both"/>
        <w:rPr>
          <w:rFonts w:ascii="Times New Roman" w:eastAsia="Times New Roman" w:hAnsi="Times New Roman" w:cs="Times New Roman"/>
          <w:bCs/>
          <w:lang w:val="en-GB"/>
        </w:rPr>
      </w:pPr>
      <w:r>
        <w:rPr>
          <w:rFonts w:ascii="Times New Roman" w:eastAsia="Times New Roman" w:hAnsi="Times New Roman" w:cs="Times New Roman"/>
          <w:b/>
          <w:bCs/>
        </w:rPr>
        <w:t>A tantárgy szakmai tartalma (angolul) (</w:t>
      </w:r>
      <w:r>
        <w:rPr>
          <w:rFonts w:ascii="Times New Roman" w:eastAsia="Times New Roman" w:hAnsi="Times New Roman" w:cs="Times New Roman"/>
          <w:b/>
          <w:bCs/>
          <w:lang w:val="en-US"/>
        </w:rPr>
        <w:t>Course description</w:t>
      </w:r>
      <w:r>
        <w:rPr>
          <w:rFonts w:ascii="Times New Roman" w:eastAsia="Times New Roman" w:hAnsi="Times New Roman" w:cs="Times New Roman"/>
          <w:b/>
          <w:bCs/>
        </w:rPr>
        <w:t>):</w:t>
      </w:r>
      <w:r>
        <w:rPr>
          <w:rFonts w:ascii="Times New Roman" w:eastAsia="Times New Roman" w:hAnsi="Times New Roman" w:cs="Times New Roman"/>
          <w:bCs/>
          <w:lang w:val="en-GB"/>
        </w:rPr>
        <w:t xml:space="preserve"> Basics of mechanics and vector algebra. Materials as systems of points. Equality, reduction and sum of force systems. Statics of rigid bodies. Supports. First moment of area, centroid, centre of mass. Centre of mass of 3D, 2D and 1D objects. Statics of structures. Shear and bending moment diagrams. Three-hinged arch. Gerber’s beam. Coulomb friction, rolling resistance, belt friction.</w:t>
      </w:r>
    </w:p>
    <w:p w:rsidR="00AA1279" w:rsidRDefault="00AA1279" w:rsidP="00C2057B">
      <w:pPr>
        <w:pStyle w:val="Listaszerbekezds"/>
        <w:widowControl w:val="0"/>
        <w:numPr>
          <w:ilvl w:val="0"/>
          <w:numId w:val="97"/>
        </w:numPr>
        <w:tabs>
          <w:tab w:val="clear" w:pos="720"/>
          <w:tab w:val="num" w:pos="426"/>
          <w:tab w:val="num" w:pos="502"/>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Elérendő kompetenciák (magyarul): </w:t>
      </w:r>
    </w:p>
    <w:p w:rsidR="00AA1279" w:rsidRDefault="00AA1279" w:rsidP="00AA1279">
      <w:pPr>
        <w:widowControl w:val="0"/>
        <w:spacing w:before="120" w:after="120" w:line="240" w:lineRule="auto"/>
        <w:ind w:left="426"/>
        <w:jc w:val="both"/>
        <w:rPr>
          <w:rFonts w:ascii="Times New Roman" w:eastAsia="Times New Roman" w:hAnsi="Times New Roman" w:cs="Times New Roman"/>
          <w:bCs/>
        </w:rPr>
      </w:pPr>
      <w:r>
        <w:rPr>
          <w:rFonts w:ascii="Times New Roman" w:eastAsia="Times New Roman" w:hAnsi="Times New Roman" w:cs="Times New Roman"/>
          <w:b/>
          <w:bCs/>
        </w:rPr>
        <w:t>Tudása:</w:t>
      </w:r>
      <w:r>
        <w:rPr>
          <w:rFonts w:ascii="Times New Roman" w:eastAsia="Times New Roman" w:hAnsi="Times New Roman" w:cs="Times New Roman"/>
          <w:bCs/>
        </w:rPr>
        <w:t xml:space="preserve"> </w:t>
      </w:r>
    </w:p>
    <w:p w:rsidR="00AA1279" w:rsidRPr="009C57F9" w:rsidRDefault="00AA1279" w:rsidP="00C2057B">
      <w:pPr>
        <w:pStyle w:val="Listaszerbekezds"/>
        <w:widowControl w:val="0"/>
        <w:numPr>
          <w:ilvl w:val="0"/>
          <w:numId w:val="83"/>
        </w:numPr>
        <w:spacing w:before="120" w:after="120" w:line="240" w:lineRule="auto"/>
        <w:jc w:val="both"/>
        <w:rPr>
          <w:rFonts w:ascii="Times New Roman" w:eastAsia="Times New Roman" w:hAnsi="Times New Roman" w:cs="Times New Roman"/>
          <w:bCs/>
        </w:rPr>
      </w:pPr>
      <w:r w:rsidRPr="009C57F9">
        <w:rPr>
          <w:rFonts w:ascii="Times New Roman" w:eastAsia="Times New Roman" w:hAnsi="Times New Roman" w:cs="Times New Roman"/>
          <w:bCs/>
        </w:rPr>
        <w:t>Ismeri a matematika és a mechanika törvényszerűségeit, rendelkezik műszaki alapismeretekkel.</w:t>
      </w:r>
    </w:p>
    <w:p w:rsidR="00AA1279" w:rsidRDefault="00AA1279" w:rsidP="00AA1279">
      <w:pPr>
        <w:widowControl w:val="0"/>
        <w:spacing w:before="120" w:after="120" w:line="240" w:lineRule="auto"/>
        <w:ind w:left="426"/>
        <w:jc w:val="both"/>
        <w:rPr>
          <w:rFonts w:ascii="Times New Roman" w:eastAsia="Times New Roman" w:hAnsi="Times New Roman" w:cs="Times New Roman"/>
          <w:bCs/>
        </w:rPr>
      </w:pPr>
      <w:r>
        <w:rPr>
          <w:rFonts w:ascii="Times New Roman" w:eastAsia="Times New Roman" w:hAnsi="Times New Roman" w:cs="Times New Roman"/>
          <w:b/>
          <w:bCs/>
        </w:rPr>
        <w:t>Képességei:</w:t>
      </w:r>
      <w:r>
        <w:rPr>
          <w:rFonts w:ascii="Times New Roman" w:eastAsia="Times New Roman" w:hAnsi="Times New Roman" w:cs="Times New Roman"/>
          <w:bCs/>
        </w:rPr>
        <w:t xml:space="preserve"> </w:t>
      </w:r>
    </w:p>
    <w:p w:rsidR="00AA1279" w:rsidRDefault="00AA1279" w:rsidP="00C2057B">
      <w:pPr>
        <w:pStyle w:val="Listaszerbekezds"/>
        <w:widowControl w:val="0"/>
        <w:numPr>
          <w:ilvl w:val="0"/>
          <w:numId w:val="83"/>
        </w:numPr>
        <w:spacing w:before="120" w:after="120" w:line="240" w:lineRule="auto"/>
        <w:jc w:val="both"/>
        <w:rPr>
          <w:rFonts w:ascii="Times New Roman" w:eastAsia="Times New Roman" w:hAnsi="Times New Roman" w:cs="Times New Roman"/>
          <w:bCs/>
        </w:rPr>
      </w:pPr>
      <w:r>
        <w:rPr>
          <w:rFonts w:ascii="Times New Roman" w:eastAsia="Times New Roman" w:hAnsi="Times New Roman" w:cs="Times New Roman"/>
          <w:bCs/>
        </w:rPr>
        <w:t>Képes szakterületén újító és innovatív ötletek megfogalmazására.</w:t>
      </w:r>
    </w:p>
    <w:p w:rsidR="00AA1279" w:rsidRDefault="00AA1279" w:rsidP="00AA1279">
      <w:pPr>
        <w:widowControl w:val="0"/>
        <w:spacing w:before="120" w:after="120" w:line="240" w:lineRule="auto"/>
        <w:ind w:left="426"/>
        <w:jc w:val="both"/>
        <w:rPr>
          <w:rFonts w:ascii="Times New Roman" w:eastAsia="Times New Roman" w:hAnsi="Times New Roman" w:cs="Times New Roman"/>
          <w:bCs/>
        </w:rPr>
      </w:pPr>
      <w:r>
        <w:rPr>
          <w:rFonts w:ascii="Times New Roman" w:eastAsia="Times New Roman" w:hAnsi="Times New Roman" w:cs="Times New Roman"/>
          <w:b/>
          <w:bCs/>
        </w:rPr>
        <w:t>Attitűdje:</w:t>
      </w:r>
      <w:r>
        <w:rPr>
          <w:rFonts w:ascii="Times New Roman" w:eastAsia="Times New Roman" w:hAnsi="Times New Roman" w:cs="Times New Roman"/>
          <w:bCs/>
        </w:rPr>
        <w:t xml:space="preserve"> </w:t>
      </w:r>
    </w:p>
    <w:p w:rsidR="00AA1279" w:rsidRPr="009C57F9" w:rsidRDefault="00AA1279" w:rsidP="00C2057B">
      <w:pPr>
        <w:pStyle w:val="Listaszerbekezds"/>
        <w:widowControl w:val="0"/>
        <w:numPr>
          <w:ilvl w:val="0"/>
          <w:numId w:val="83"/>
        </w:numPr>
        <w:spacing w:before="120" w:after="120" w:line="240" w:lineRule="auto"/>
        <w:jc w:val="both"/>
        <w:rPr>
          <w:rFonts w:ascii="Times New Roman" w:eastAsia="Times New Roman" w:hAnsi="Times New Roman" w:cs="Times New Roman"/>
          <w:bCs/>
        </w:rPr>
      </w:pPr>
      <w:r w:rsidRPr="009C57F9">
        <w:rPr>
          <w:rFonts w:ascii="Times New Roman" w:eastAsia="Times New Roman" w:hAnsi="Times New Roman" w:cs="Times New Roman"/>
          <w:bCs/>
        </w:rPr>
        <w:t>Nyitott szakterülete új eredményei, innovációi iránt, törekszik azok megismerésére, megértésére és alkalmazására, elkötelezett önmaga folyamatos képzésére.</w:t>
      </w:r>
    </w:p>
    <w:p w:rsidR="00AA1279" w:rsidRDefault="00AA1279" w:rsidP="00AA1279">
      <w:pPr>
        <w:widowControl w:val="0"/>
        <w:spacing w:before="120" w:after="120" w:line="240" w:lineRule="auto"/>
        <w:ind w:left="426"/>
        <w:jc w:val="both"/>
        <w:rPr>
          <w:rFonts w:ascii="Times New Roman" w:eastAsia="Times New Roman" w:hAnsi="Times New Roman" w:cs="Times New Roman"/>
          <w:bCs/>
        </w:rPr>
      </w:pPr>
      <w:r>
        <w:rPr>
          <w:rFonts w:ascii="Times New Roman" w:eastAsia="Times New Roman" w:hAnsi="Times New Roman" w:cs="Times New Roman"/>
          <w:b/>
          <w:bCs/>
        </w:rPr>
        <w:t>Autonómiája és felelőssége:</w:t>
      </w:r>
      <w:r>
        <w:rPr>
          <w:rFonts w:ascii="Times New Roman" w:eastAsia="Times New Roman" w:hAnsi="Times New Roman" w:cs="Times New Roman"/>
          <w:bCs/>
        </w:rPr>
        <w:t xml:space="preserve"> </w:t>
      </w:r>
    </w:p>
    <w:p w:rsidR="00AA1279" w:rsidRPr="009C57F9" w:rsidRDefault="00AA1279" w:rsidP="00C2057B">
      <w:pPr>
        <w:pStyle w:val="Listaszerbekezds"/>
        <w:widowControl w:val="0"/>
        <w:numPr>
          <w:ilvl w:val="0"/>
          <w:numId w:val="83"/>
        </w:numPr>
        <w:spacing w:before="120" w:after="120" w:line="240" w:lineRule="auto"/>
        <w:jc w:val="both"/>
        <w:rPr>
          <w:rFonts w:ascii="Times New Roman" w:eastAsia="Calibri" w:hAnsi="Times New Roman" w:cs="Times New Roman"/>
        </w:rPr>
      </w:pPr>
      <w:r w:rsidRPr="009C57F9">
        <w:rPr>
          <w:rFonts w:ascii="Times New Roman" w:eastAsia="Times New Roman" w:hAnsi="Times New Roman" w:cs="Times New Roman"/>
          <w:bCs/>
        </w:rPr>
        <w:t xml:space="preserve">Az alegység, illetve egység szintű katonai logisztikai, valamint katonai gazdálkodási folyamatokban képes önállóan döntéseket hozni, azokat felelősséggel, a jogszabályi keretek </w:t>
      </w:r>
      <w:r w:rsidRPr="009C57F9">
        <w:rPr>
          <w:rFonts w:ascii="Times New Roman" w:eastAsia="Times New Roman" w:hAnsi="Times New Roman" w:cs="Times New Roman"/>
          <w:bCs/>
        </w:rPr>
        <w:lastRenderedPageBreak/>
        <w:t>figyelembevételével végrehajtani.</w:t>
      </w:r>
    </w:p>
    <w:p w:rsidR="00AA1279" w:rsidRDefault="00AA1279" w:rsidP="00AA1279">
      <w:pPr>
        <w:widowControl w:val="0"/>
        <w:spacing w:before="120" w:after="120" w:line="240" w:lineRule="auto"/>
        <w:ind w:left="426"/>
        <w:jc w:val="both"/>
        <w:rPr>
          <w:rFonts w:ascii="Times New Roman" w:eastAsia="Times New Roman" w:hAnsi="Times New Roman" w:cs="Times New Roman"/>
          <w:b/>
          <w:bCs/>
          <w:lang w:val="en-US"/>
        </w:rPr>
      </w:pPr>
      <w:r>
        <w:rPr>
          <w:rFonts w:ascii="Times New Roman" w:eastAsia="Times New Roman" w:hAnsi="Times New Roman" w:cs="Times New Roman"/>
          <w:b/>
          <w:bCs/>
        </w:rPr>
        <w:t>Elérendő kompetenciák (angolul) (</w:t>
      </w:r>
      <w:r>
        <w:rPr>
          <w:rFonts w:ascii="Times New Roman" w:eastAsia="Times New Roman" w:hAnsi="Times New Roman" w:cs="Times New Roman"/>
          <w:b/>
          <w:bCs/>
          <w:lang w:val="en-US"/>
        </w:rPr>
        <w:t xml:space="preserve">Competences – English): </w:t>
      </w:r>
    </w:p>
    <w:p w:rsidR="00AA1279" w:rsidRDefault="00AA1279" w:rsidP="00AA1279">
      <w:pPr>
        <w:widowControl w:val="0"/>
        <w:spacing w:before="120" w:after="120" w:line="240" w:lineRule="auto"/>
        <w:ind w:left="426"/>
        <w:jc w:val="both"/>
        <w:rPr>
          <w:rFonts w:ascii="Times New Roman" w:eastAsia="Times New Roman" w:hAnsi="Times New Roman" w:cs="Times New Roman"/>
          <w:lang w:val="en-GB"/>
        </w:rPr>
      </w:pPr>
      <w:r>
        <w:rPr>
          <w:rFonts w:ascii="Times New Roman" w:eastAsia="Times New Roman" w:hAnsi="Times New Roman" w:cs="Times New Roman"/>
          <w:b/>
          <w:lang w:val="en-GB"/>
        </w:rPr>
        <w:t>Knowledge</w:t>
      </w:r>
      <w:r>
        <w:rPr>
          <w:rFonts w:ascii="Times New Roman" w:eastAsia="Times New Roman" w:hAnsi="Times New Roman" w:cs="Times New Roman"/>
          <w:lang w:val="en-GB"/>
        </w:rPr>
        <w:t xml:space="preserve">: </w:t>
      </w:r>
    </w:p>
    <w:p w:rsidR="00AA1279" w:rsidRPr="009C57F9" w:rsidRDefault="00AA1279" w:rsidP="00C2057B">
      <w:pPr>
        <w:pStyle w:val="Listaszerbekezds"/>
        <w:widowControl w:val="0"/>
        <w:numPr>
          <w:ilvl w:val="0"/>
          <w:numId w:val="83"/>
        </w:numPr>
        <w:spacing w:before="120" w:after="120" w:line="240" w:lineRule="auto"/>
        <w:jc w:val="both"/>
        <w:rPr>
          <w:rFonts w:ascii="Times New Roman" w:eastAsia="Calibri" w:hAnsi="Times New Roman" w:cs="Times New Roman"/>
        </w:rPr>
      </w:pPr>
      <w:r w:rsidRPr="009C57F9">
        <w:rPr>
          <w:rFonts w:ascii="Times New Roman" w:eastAsia="Times New Roman" w:hAnsi="Times New Roman" w:cs="Times New Roman"/>
          <w:bCs/>
        </w:rPr>
        <w:t>Knows the laws of mathematics and mechanics, has basic technical knowledge.</w:t>
      </w:r>
    </w:p>
    <w:p w:rsidR="00AA1279" w:rsidRDefault="00AA1279" w:rsidP="00AA1279">
      <w:pPr>
        <w:widowControl w:val="0"/>
        <w:spacing w:before="120" w:after="120" w:line="240" w:lineRule="auto"/>
        <w:ind w:left="426"/>
        <w:jc w:val="both"/>
        <w:rPr>
          <w:rFonts w:ascii="Times New Roman" w:eastAsia="Times New Roman" w:hAnsi="Times New Roman" w:cs="Times New Roman"/>
          <w:lang w:val="en-GB"/>
        </w:rPr>
      </w:pPr>
      <w:r>
        <w:rPr>
          <w:rFonts w:ascii="Times New Roman" w:eastAsia="Times New Roman" w:hAnsi="Times New Roman" w:cs="Times New Roman"/>
          <w:b/>
          <w:lang w:val="en-GB"/>
        </w:rPr>
        <w:t>Capabilities</w:t>
      </w:r>
      <w:r>
        <w:rPr>
          <w:rFonts w:ascii="Times New Roman" w:eastAsia="Times New Roman" w:hAnsi="Times New Roman" w:cs="Times New Roman"/>
          <w:lang w:val="en-GB"/>
        </w:rPr>
        <w:t xml:space="preserve">: </w:t>
      </w:r>
    </w:p>
    <w:p w:rsidR="00AA1279" w:rsidRPr="009C57F9" w:rsidRDefault="00AA1279" w:rsidP="00C2057B">
      <w:pPr>
        <w:pStyle w:val="Listaszerbekezds"/>
        <w:widowControl w:val="0"/>
        <w:numPr>
          <w:ilvl w:val="0"/>
          <w:numId w:val="83"/>
        </w:numPr>
        <w:spacing w:before="120" w:after="120" w:line="240" w:lineRule="auto"/>
        <w:jc w:val="both"/>
        <w:rPr>
          <w:rFonts w:ascii="Times New Roman" w:eastAsia="Calibri" w:hAnsi="Times New Roman" w:cs="Times New Roman"/>
        </w:rPr>
      </w:pPr>
      <w:r w:rsidRPr="009C57F9">
        <w:rPr>
          <w:rFonts w:ascii="Times New Roman" w:eastAsia="Times New Roman" w:hAnsi="Times New Roman" w:cs="Times New Roman"/>
          <w:bCs/>
        </w:rPr>
        <w:t>Able to formulate innovative ideas in their field.</w:t>
      </w:r>
    </w:p>
    <w:p w:rsidR="00AA1279" w:rsidRDefault="00AA1279" w:rsidP="00AA12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lang w:val="en-GB"/>
        </w:rPr>
      </w:pPr>
      <w:r>
        <w:rPr>
          <w:rFonts w:ascii="Times New Roman" w:eastAsia="Times New Roman" w:hAnsi="Times New Roman" w:cs="Times New Roman"/>
          <w:b/>
          <w:lang w:val="en-GB"/>
        </w:rPr>
        <w:t>Attitude:</w:t>
      </w:r>
      <w:r>
        <w:rPr>
          <w:rFonts w:ascii="Times New Roman" w:eastAsia="Times New Roman" w:hAnsi="Times New Roman" w:cs="Times New Roman"/>
          <w:lang w:val="en-GB"/>
        </w:rPr>
        <w:t xml:space="preserve"> </w:t>
      </w:r>
    </w:p>
    <w:p w:rsidR="00AA1279" w:rsidRPr="009C57F9" w:rsidRDefault="00AA1279" w:rsidP="00C2057B">
      <w:pPr>
        <w:pStyle w:val="Listaszerbekezds"/>
        <w:widowControl w:val="0"/>
        <w:numPr>
          <w:ilvl w:val="0"/>
          <w:numId w:val="83"/>
        </w:numPr>
        <w:spacing w:before="120" w:after="120" w:line="240" w:lineRule="auto"/>
        <w:jc w:val="both"/>
        <w:rPr>
          <w:rFonts w:ascii="Times New Roman" w:eastAsia="Calibri" w:hAnsi="Times New Roman" w:cs="Times New Roman"/>
        </w:rPr>
      </w:pPr>
      <w:r w:rsidRPr="009C57F9">
        <w:rPr>
          <w:rFonts w:ascii="Times New Roman" w:eastAsia="Times New Roman" w:hAnsi="Times New Roman" w:cs="Times New Roman"/>
          <w:bCs/>
        </w:rPr>
        <w:t>Open for the new achievements and innovations of their specialty, seeks to know, understand and apply them, and committed to continuous self-education.</w:t>
      </w:r>
    </w:p>
    <w:p w:rsidR="00AA1279" w:rsidRDefault="00AA1279" w:rsidP="00AA1279">
      <w:pPr>
        <w:widowControl w:val="0"/>
        <w:spacing w:before="120" w:after="120" w:line="240" w:lineRule="auto"/>
        <w:ind w:left="426"/>
        <w:jc w:val="both"/>
        <w:rPr>
          <w:rFonts w:ascii="Times New Roman" w:eastAsia="Times New Roman" w:hAnsi="Times New Roman" w:cs="Times New Roman"/>
          <w:lang w:val="en-GB"/>
        </w:rPr>
      </w:pPr>
      <w:r>
        <w:rPr>
          <w:rFonts w:ascii="Times New Roman" w:eastAsia="Times New Roman" w:hAnsi="Times New Roman" w:cs="Times New Roman"/>
          <w:b/>
          <w:lang w:val="en-GB"/>
        </w:rPr>
        <w:t xml:space="preserve">Autonomy and responsibility: </w:t>
      </w:r>
    </w:p>
    <w:p w:rsidR="00AA1279" w:rsidRPr="009C57F9" w:rsidRDefault="00AA1279" w:rsidP="00C2057B">
      <w:pPr>
        <w:pStyle w:val="Listaszerbekezds"/>
        <w:widowControl w:val="0"/>
        <w:numPr>
          <w:ilvl w:val="0"/>
          <w:numId w:val="83"/>
        </w:numPr>
        <w:spacing w:before="120" w:after="120" w:line="240" w:lineRule="auto"/>
        <w:jc w:val="both"/>
        <w:rPr>
          <w:rFonts w:ascii="Times New Roman" w:eastAsia="Calibri" w:hAnsi="Times New Roman" w:cs="Times New Roman"/>
        </w:rPr>
      </w:pPr>
      <w:r w:rsidRPr="009C57F9">
        <w:rPr>
          <w:rFonts w:ascii="Times New Roman" w:eastAsia="Times New Roman" w:hAnsi="Times New Roman" w:cs="Times New Roman"/>
          <w:bCs/>
        </w:rPr>
        <w:t>At the subunit and unit level, it is able to make independent decisions in military logistics and military management processes, making them responsible and within the legal framework.</w:t>
      </w:r>
    </w:p>
    <w:p w:rsidR="00AA1279" w:rsidRDefault="00AA1279" w:rsidP="00C2057B">
      <w:pPr>
        <w:widowControl w:val="0"/>
        <w:numPr>
          <w:ilvl w:val="0"/>
          <w:numId w:val="97"/>
        </w:numPr>
        <w:tabs>
          <w:tab w:val="clear" w:pos="720"/>
          <w:tab w:val="num" w:pos="502"/>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Előtanulmányi követelmények: </w:t>
      </w:r>
      <w:r>
        <w:rPr>
          <w:rFonts w:ascii="Times New Roman" w:hAnsi="Times New Roman" w:cs="Times New Roman"/>
        </w:rPr>
        <w:t>Matematika LOG 2 (HK925A120)</w:t>
      </w:r>
    </w:p>
    <w:p w:rsidR="00AA1279" w:rsidRDefault="00AA1279" w:rsidP="00C2057B">
      <w:pPr>
        <w:widowControl w:val="0"/>
        <w:numPr>
          <w:ilvl w:val="0"/>
          <w:numId w:val="97"/>
        </w:numPr>
        <w:tabs>
          <w:tab w:val="clear" w:pos="720"/>
          <w:tab w:val="num" w:pos="502"/>
        </w:tabs>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A tantárgy tananyagának leírása, tematika. Description of the subject, curriculum (magyarul, angolul - English):</w:t>
      </w:r>
    </w:p>
    <w:p w:rsidR="00AA1279" w:rsidRDefault="00AA1279" w:rsidP="00C2057B">
      <w:pPr>
        <w:widowControl w:val="0"/>
        <w:numPr>
          <w:ilvl w:val="1"/>
          <w:numId w:val="97"/>
        </w:numPr>
        <w:tabs>
          <w:tab w:val="left" w:pos="709"/>
          <w:tab w:val="left" w:pos="993"/>
        </w:tabs>
        <w:spacing w:before="120" w:after="120" w:line="240" w:lineRule="auto"/>
        <w:ind w:left="993" w:hanging="567"/>
        <w:jc w:val="both"/>
        <w:rPr>
          <w:rFonts w:ascii="Times New Roman" w:eastAsia="Times New Roman" w:hAnsi="Times New Roman" w:cs="Times New Roman"/>
          <w:b/>
        </w:rPr>
      </w:pPr>
      <w:r>
        <w:rPr>
          <w:rFonts w:ascii="Times New Roman" w:eastAsia="Times New Roman" w:hAnsi="Times New Roman" w:cs="Times New Roman"/>
        </w:rPr>
        <w:t>A mechanika alapjainak és a vektoralgebrának rendszerező áttekintése. Anyagi pontrendszer. (</w:t>
      </w:r>
      <w:r>
        <w:rPr>
          <w:rFonts w:ascii="Times New Roman" w:eastAsia="Times New Roman" w:hAnsi="Times New Roman" w:cs="Times New Roman"/>
          <w:i/>
        </w:rPr>
        <w:t>Basics of mechanics and vector algebra. Materials as systems of points.</w:t>
      </w:r>
      <w:r>
        <w:rPr>
          <w:rFonts w:ascii="Times New Roman" w:eastAsia="Times New Roman" w:hAnsi="Times New Roman" w:cs="Times New Roman"/>
        </w:rPr>
        <w:t>)</w:t>
      </w:r>
    </w:p>
    <w:p w:rsidR="00AA1279" w:rsidRDefault="00AA1279" w:rsidP="00C2057B">
      <w:pPr>
        <w:widowControl w:val="0"/>
        <w:numPr>
          <w:ilvl w:val="1"/>
          <w:numId w:val="97"/>
        </w:numPr>
        <w:tabs>
          <w:tab w:val="left" w:pos="709"/>
          <w:tab w:val="left" w:pos="993"/>
        </w:tabs>
        <w:spacing w:before="120" w:after="120" w:line="240" w:lineRule="auto"/>
        <w:ind w:left="993" w:hanging="567"/>
        <w:jc w:val="both"/>
        <w:rPr>
          <w:rFonts w:ascii="Times New Roman" w:eastAsia="Times New Roman" w:hAnsi="Times New Roman" w:cs="Times New Roman"/>
          <w:b/>
        </w:rPr>
      </w:pPr>
      <w:r>
        <w:rPr>
          <w:rFonts w:ascii="Times New Roman" w:eastAsia="Times New Roman" w:hAnsi="Times New Roman" w:cs="Times New Roman"/>
        </w:rPr>
        <w:t>Erőrendszerek egyenértékűsége, redukálása, eredője. (</w:t>
      </w:r>
      <w:r>
        <w:rPr>
          <w:rFonts w:ascii="Times New Roman" w:eastAsia="Times New Roman" w:hAnsi="Times New Roman" w:cs="Times New Roman"/>
          <w:bCs/>
          <w:i/>
        </w:rPr>
        <w:t>Equality, reduction and sum of force systems.</w:t>
      </w:r>
      <w:r>
        <w:rPr>
          <w:rFonts w:ascii="Times New Roman" w:eastAsia="Times New Roman" w:hAnsi="Times New Roman" w:cs="Times New Roman"/>
        </w:rPr>
        <w:t>)</w:t>
      </w:r>
    </w:p>
    <w:p w:rsidR="00AA1279" w:rsidRDefault="00AA1279" w:rsidP="00C2057B">
      <w:pPr>
        <w:widowControl w:val="0"/>
        <w:numPr>
          <w:ilvl w:val="1"/>
          <w:numId w:val="97"/>
        </w:numPr>
        <w:tabs>
          <w:tab w:val="left" w:pos="709"/>
          <w:tab w:val="left" w:pos="993"/>
        </w:tabs>
        <w:spacing w:before="120" w:after="120" w:line="240" w:lineRule="auto"/>
        <w:ind w:left="993" w:hanging="567"/>
        <w:jc w:val="both"/>
        <w:rPr>
          <w:rFonts w:ascii="Times New Roman" w:eastAsia="Times New Roman" w:hAnsi="Times New Roman" w:cs="Times New Roman"/>
          <w:b/>
        </w:rPr>
      </w:pPr>
      <w:r>
        <w:rPr>
          <w:rFonts w:ascii="Times New Roman" w:eastAsia="Times New Roman" w:hAnsi="Times New Roman" w:cs="Times New Roman"/>
        </w:rPr>
        <w:t>Merev testek statikája. (</w:t>
      </w:r>
      <w:r>
        <w:rPr>
          <w:rFonts w:ascii="Times New Roman" w:eastAsia="Times New Roman" w:hAnsi="Times New Roman" w:cs="Times New Roman"/>
          <w:bCs/>
          <w:i/>
        </w:rPr>
        <w:t>Statics of rigid bodies.</w:t>
      </w:r>
      <w:r>
        <w:rPr>
          <w:rFonts w:ascii="Times New Roman" w:eastAsia="Times New Roman" w:hAnsi="Times New Roman" w:cs="Times New Roman"/>
        </w:rPr>
        <w:t>)</w:t>
      </w:r>
    </w:p>
    <w:p w:rsidR="00AA1279" w:rsidRDefault="00AA1279" w:rsidP="00C2057B">
      <w:pPr>
        <w:widowControl w:val="0"/>
        <w:numPr>
          <w:ilvl w:val="1"/>
          <w:numId w:val="97"/>
        </w:numPr>
        <w:tabs>
          <w:tab w:val="left" w:pos="709"/>
          <w:tab w:val="left" w:pos="993"/>
        </w:tabs>
        <w:spacing w:before="120" w:after="120" w:line="240" w:lineRule="auto"/>
        <w:ind w:left="993" w:hanging="567"/>
        <w:jc w:val="both"/>
        <w:rPr>
          <w:rFonts w:ascii="Times New Roman" w:eastAsia="Times New Roman" w:hAnsi="Times New Roman" w:cs="Times New Roman"/>
          <w:b/>
        </w:rPr>
      </w:pPr>
      <w:r>
        <w:rPr>
          <w:rFonts w:ascii="Times New Roman" w:eastAsia="Times New Roman" w:hAnsi="Times New Roman" w:cs="Times New Roman"/>
        </w:rPr>
        <w:t>Kényszerek. (</w:t>
      </w:r>
      <w:r>
        <w:rPr>
          <w:rFonts w:ascii="Times New Roman" w:eastAsia="Times New Roman" w:hAnsi="Times New Roman" w:cs="Times New Roman"/>
          <w:i/>
        </w:rPr>
        <w:t>Supports.</w:t>
      </w:r>
      <w:r>
        <w:rPr>
          <w:rFonts w:ascii="Times New Roman" w:eastAsia="Times New Roman" w:hAnsi="Times New Roman" w:cs="Times New Roman"/>
        </w:rPr>
        <w:t>)</w:t>
      </w:r>
    </w:p>
    <w:p w:rsidR="00AA1279" w:rsidRDefault="00AA1279" w:rsidP="00C2057B">
      <w:pPr>
        <w:widowControl w:val="0"/>
        <w:numPr>
          <w:ilvl w:val="1"/>
          <w:numId w:val="97"/>
        </w:numPr>
        <w:tabs>
          <w:tab w:val="left" w:pos="709"/>
          <w:tab w:val="left" w:pos="993"/>
        </w:tabs>
        <w:spacing w:before="120" w:after="120" w:line="240" w:lineRule="auto"/>
        <w:ind w:left="993" w:hanging="567"/>
        <w:jc w:val="both"/>
        <w:rPr>
          <w:rFonts w:ascii="Times New Roman" w:eastAsia="Times New Roman" w:hAnsi="Times New Roman" w:cs="Times New Roman"/>
          <w:b/>
        </w:rPr>
      </w:pPr>
      <w:r>
        <w:rPr>
          <w:rFonts w:ascii="Times New Roman" w:eastAsia="Times New Roman" w:hAnsi="Times New Roman" w:cs="Times New Roman"/>
        </w:rPr>
        <w:t>Statikai nyomaték, tömegközéppont. Testek, felületek, vonalak súlypontja. (</w:t>
      </w:r>
      <w:r>
        <w:rPr>
          <w:rFonts w:ascii="Times New Roman" w:eastAsia="Times New Roman" w:hAnsi="Times New Roman" w:cs="Times New Roman"/>
          <w:bCs/>
          <w:i/>
        </w:rPr>
        <w:t>First moment of area, centroid, centre of mass. Centre of mass of 3D, 2D and 1D objects.</w:t>
      </w:r>
      <w:r>
        <w:rPr>
          <w:rFonts w:ascii="Times New Roman" w:eastAsia="Times New Roman" w:hAnsi="Times New Roman" w:cs="Times New Roman"/>
        </w:rPr>
        <w:t>)</w:t>
      </w:r>
    </w:p>
    <w:p w:rsidR="00AA1279" w:rsidRDefault="00AA1279" w:rsidP="00C2057B">
      <w:pPr>
        <w:widowControl w:val="0"/>
        <w:numPr>
          <w:ilvl w:val="1"/>
          <w:numId w:val="97"/>
        </w:numPr>
        <w:tabs>
          <w:tab w:val="left" w:pos="709"/>
          <w:tab w:val="left" w:pos="993"/>
        </w:tabs>
        <w:spacing w:before="120" w:after="120" w:line="240" w:lineRule="auto"/>
        <w:ind w:left="993" w:hanging="567"/>
        <w:jc w:val="both"/>
        <w:rPr>
          <w:rFonts w:ascii="Times New Roman" w:eastAsia="Times New Roman" w:hAnsi="Times New Roman" w:cs="Times New Roman"/>
          <w:b/>
        </w:rPr>
      </w:pPr>
      <w:r>
        <w:rPr>
          <w:rFonts w:ascii="Times New Roman" w:eastAsia="Times New Roman" w:hAnsi="Times New Roman" w:cs="Times New Roman"/>
        </w:rPr>
        <w:t>Tartószerkezetek statikai vizsgálata. Igénybevételi ábrák. (</w:t>
      </w:r>
      <w:r>
        <w:rPr>
          <w:rFonts w:ascii="Times New Roman" w:eastAsia="Times New Roman" w:hAnsi="Times New Roman" w:cs="Times New Roman"/>
          <w:bCs/>
          <w:i/>
        </w:rPr>
        <w:t>Statics of structures. Shear and bending moment diagrams.</w:t>
      </w:r>
      <w:r>
        <w:rPr>
          <w:rFonts w:ascii="Times New Roman" w:eastAsia="Times New Roman" w:hAnsi="Times New Roman" w:cs="Times New Roman"/>
        </w:rPr>
        <w:t>)</w:t>
      </w:r>
    </w:p>
    <w:p w:rsidR="00AA1279" w:rsidRDefault="00AA1279" w:rsidP="00C2057B">
      <w:pPr>
        <w:widowControl w:val="0"/>
        <w:numPr>
          <w:ilvl w:val="1"/>
          <w:numId w:val="97"/>
        </w:numPr>
        <w:tabs>
          <w:tab w:val="left" w:pos="709"/>
          <w:tab w:val="left" w:pos="993"/>
        </w:tabs>
        <w:spacing w:before="120" w:after="120" w:line="240" w:lineRule="auto"/>
        <w:ind w:left="993" w:hanging="567"/>
        <w:jc w:val="both"/>
        <w:rPr>
          <w:rFonts w:ascii="Times New Roman" w:eastAsia="Times New Roman" w:hAnsi="Times New Roman" w:cs="Times New Roman"/>
          <w:b/>
        </w:rPr>
      </w:pPr>
      <w:r>
        <w:rPr>
          <w:rFonts w:ascii="Times New Roman" w:eastAsia="Times New Roman" w:hAnsi="Times New Roman" w:cs="Times New Roman"/>
        </w:rPr>
        <w:t>Háromcsuklós szerkezetek. (</w:t>
      </w:r>
      <w:r>
        <w:rPr>
          <w:rFonts w:ascii="Times New Roman" w:eastAsia="Times New Roman" w:hAnsi="Times New Roman" w:cs="Times New Roman"/>
          <w:bCs/>
          <w:i/>
        </w:rPr>
        <w:t>Three-hinged arch.</w:t>
      </w:r>
      <w:r>
        <w:rPr>
          <w:rFonts w:ascii="Times New Roman" w:eastAsia="Times New Roman" w:hAnsi="Times New Roman" w:cs="Times New Roman"/>
        </w:rPr>
        <w:t>)</w:t>
      </w:r>
    </w:p>
    <w:p w:rsidR="00AA1279" w:rsidRDefault="00AA1279" w:rsidP="00C2057B">
      <w:pPr>
        <w:widowControl w:val="0"/>
        <w:numPr>
          <w:ilvl w:val="1"/>
          <w:numId w:val="97"/>
        </w:numPr>
        <w:tabs>
          <w:tab w:val="left" w:pos="709"/>
          <w:tab w:val="left" w:pos="993"/>
        </w:tabs>
        <w:spacing w:before="120" w:after="120" w:line="240" w:lineRule="auto"/>
        <w:ind w:left="993" w:hanging="567"/>
        <w:jc w:val="both"/>
        <w:rPr>
          <w:rFonts w:ascii="Times New Roman" w:eastAsia="Times New Roman" w:hAnsi="Times New Roman" w:cs="Times New Roman"/>
          <w:b/>
        </w:rPr>
      </w:pPr>
      <w:r>
        <w:rPr>
          <w:rFonts w:ascii="Times New Roman" w:eastAsia="Times New Roman" w:hAnsi="Times New Roman" w:cs="Times New Roman"/>
        </w:rPr>
        <w:t>Gerber tartó. (</w:t>
      </w:r>
      <w:r>
        <w:rPr>
          <w:rFonts w:ascii="Times New Roman" w:eastAsia="Times New Roman" w:hAnsi="Times New Roman" w:cs="Times New Roman"/>
          <w:bCs/>
          <w:i/>
        </w:rPr>
        <w:t>Gerber’s beam.</w:t>
      </w:r>
      <w:r>
        <w:rPr>
          <w:rFonts w:ascii="Times New Roman" w:eastAsia="Times New Roman" w:hAnsi="Times New Roman" w:cs="Times New Roman"/>
        </w:rPr>
        <w:t>)</w:t>
      </w:r>
    </w:p>
    <w:p w:rsidR="00AA1279" w:rsidRDefault="00AA1279" w:rsidP="00C2057B">
      <w:pPr>
        <w:widowControl w:val="0"/>
        <w:numPr>
          <w:ilvl w:val="1"/>
          <w:numId w:val="97"/>
        </w:numPr>
        <w:tabs>
          <w:tab w:val="left" w:pos="709"/>
          <w:tab w:val="left" w:pos="993"/>
        </w:tabs>
        <w:spacing w:before="120" w:after="120" w:line="240" w:lineRule="auto"/>
        <w:ind w:left="993" w:hanging="567"/>
        <w:jc w:val="both"/>
        <w:rPr>
          <w:rFonts w:ascii="Times New Roman" w:eastAsia="Times New Roman" w:hAnsi="Times New Roman" w:cs="Times New Roman"/>
          <w:b/>
        </w:rPr>
      </w:pPr>
      <w:r>
        <w:rPr>
          <w:rFonts w:ascii="Times New Roman" w:eastAsia="Times New Roman" w:hAnsi="Times New Roman" w:cs="Times New Roman"/>
        </w:rPr>
        <w:t>Coulomb súrlódás, gördülési ellenállás, kötélsúrlódás. (</w:t>
      </w:r>
      <w:r>
        <w:rPr>
          <w:rFonts w:ascii="Times New Roman" w:eastAsia="Times New Roman" w:hAnsi="Times New Roman" w:cs="Times New Roman"/>
          <w:bCs/>
          <w:i/>
        </w:rPr>
        <w:t>Coulomb friction, rolling resistance, belt friction.</w:t>
      </w:r>
      <w:r>
        <w:rPr>
          <w:rFonts w:ascii="Times New Roman" w:eastAsia="Times New Roman" w:hAnsi="Times New Roman" w:cs="Times New Roman"/>
        </w:rPr>
        <w:t>)</w:t>
      </w:r>
    </w:p>
    <w:p w:rsidR="00AA1279" w:rsidRDefault="00AA1279" w:rsidP="00C2057B">
      <w:pPr>
        <w:widowControl w:val="0"/>
        <w:numPr>
          <w:ilvl w:val="0"/>
          <w:numId w:val="97"/>
        </w:numPr>
        <w:tabs>
          <w:tab w:val="clear" w:pos="720"/>
          <w:tab w:val="num" w:pos="360"/>
          <w:tab w:val="num" w:pos="502"/>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 tantárgy meghirdetésének gyakorisága/a tantervben történő félévi elhelyezkedése: </w:t>
      </w:r>
      <w:r>
        <w:rPr>
          <w:rFonts w:ascii="Times New Roman" w:eastAsia="Times New Roman" w:hAnsi="Times New Roman" w:cs="Times New Roman"/>
          <w:b/>
          <w:bCs/>
        </w:rPr>
        <w:br/>
      </w:r>
      <w:r>
        <w:rPr>
          <w:rFonts w:ascii="Times New Roman" w:hAnsi="Times New Roman" w:cs="Times New Roman"/>
        </w:rPr>
        <w:t>évente / 3. félév</w:t>
      </w:r>
    </w:p>
    <w:p w:rsidR="00AA1279" w:rsidRDefault="00AA1279" w:rsidP="00C2057B">
      <w:pPr>
        <w:widowControl w:val="0"/>
        <w:numPr>
          <w:ilvl w:val="0"/>
          <w:numId w:val="97"/>
        </w:numPr>
        <w:tabs>
          <w:tab w:val="clear" w:pos="720"/>
          <w:tab w:val="num" w:pos="502"/>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tanórákon való részvétel követelményei, az elfogadható hiányzások mértéke, a távolmaradás pótlásának lehetősége:</w:t>
      </w:r>
      <w:r>
        <w:rPr>
          <w:rFonts w:ascii="Times New Roman" w:eastAsia="Times New Roman" w:hAnsi="Times New Roman" w:cs="Times New Roman"/>
          <w:bCs/>
        </w:rPr>
        <w:t xml:space="preserve"> A tantárgy teljesítéséhez a tanórák legalább 70%-án jelen kell lennie a hallgatónak. Az ezt meghaladó mértékű hiányzás a féléves aláírás megtagadását vonja maga után. A távollétet a hiányzást követő első foglalkozáson kell igazolnia. A hallgató köteles a mulasztott tanóra anyagát beszerezni, abból önállóan felkészülni.</w:t>
      </w:r>
    </w:p>
    <w:p w:rsidR="00AA1279" w:rsidRDefault="00AA1279" w:rsidP="00C2057B">
      <w:pPr>
        <w:widowControl w:val="0"/>
        <w:numPr>
          <w:ilvl w:val="0"/>
          <w:numId w:val="97"/>
        </w:numPr>
        <w:tabs>
          <w:tab w:val="clear" w:pos="720"/>
          <w:tab w:val="num" w:pos="502"/>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rPr>
        <w:t>Félévközi feladatok, ismeretek ellenőrzésének rendje:</w:t>
      </w:r>
      <w:r>
        <w:rPr>
          <w:rFonts w:ascii="Times New Roman" w:eastAsia="Times New Roman" w:hAnsi="Times New Roman" w:cs="Times New Roman"/>
          <w:bCs/>
        </w:rPr>
        <w:t xml:space="preserve"> </w:t>
      </w:r>
    </w:p>
    <w:p w:rsidR="00AA1279" w:rsidRDefault="00AA1279" w:rsidP="00AA1279">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bCs/>
        </w:rPr>
        <w:t>A számonkérés a félév során négy beadandó feladatsor és két zárthelyi dolgozat keretében történik. Az első dolgozat a 12.1-12.5 anyagrészeket, a második dolgozat a 12.6-12.9 anyagrészeket kéri számon</w:t>
      </w:r>
      <w:r>
        <w:rPr>
          <w:rFonts w:ascii="Times New Roman" w:eastAsia="Times New Roman" w:hAnsi="Times New Roman" w:cs="Times New Roman"/>
        </w:rPr>
        <w:t xml:space="preserve">. </w:t>
      </w:r>
    </w:p>
    <w:p w:rsidR="00AA1279" w:rsidRDefault="00AA1279" w:rsidP="00AA1279">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bCs/>
        </w:rPr>
        <w:t>A dolgozatok pótlására, javítására egyszer van lehetőség egy pótdolgozat keretében.</w:t>
      </w:r>
    </w:p>
    <w:p w:rsidR="00AA1279" w:rsidRDefault="00AA1279" w:rsidP="00AA1279">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 xml:space="preserve">Az érdemjegy megszerzéséhez a zárthelyi dolgozatok összpontszámának vagy a pótdolgozat </w:t>
      </w:r>
      <w:r>
        <w:rPr>
          <w:rFonts w:ascii="Times New Roman" w:eastAsia="Times New Roman" w:hAnsi="Times New Roman" w:cs="Times New Roman"/>
        </w:rPr>
        <w:lastRenderedPageBreak/>
        <w:t>pontszámának több mint 50%-a és a beadandó feladatsorok összpontszámának több mint 50%-a szükséges. Az elégséges érdemjegyhez a zárthelyi dolgozatok és a beadandó feladatsorok összpontszámának 51-60% szükséges, közepeshez 61-75%, jóhoz 76-90%, jeleshez 91-100%.</w:t>
      </w:r>
    </w:p>
    <w:p w:rsidR="00AA1279" w:rsidRDefault="00AA1279" w:rsidP="00C2057B">
      <w:pPr>
        <w:widowControl w:val="0"/>
        <w:numPr>
          <w:ilvl w:val="0"/>
          <w:numId w:val="97"/>
        </w:numPr>
        <w:tabs>
          <w:tab w:val="clear" w:pos="720"/>
          <w:tab w:val="num" w:pos="502"/>
        </w:tabs>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Az értékelés, az aláírás és a kreditek megszerzésének pontos feltételei: </w:t>
      </w:r>
    </w:p>
    <w:p w:rsidR="00AA1279" w:rsidRDefault="00AA1279" w:rsidP="00C2057B">
      <w:pPr>
        <w:widowControl w:val="0"/>
        <w:numPr>
          <w:ilvl w:val="1"/>
          <w:numId w:val="97"/>
        </w:numPr>
        <w:tabs>
          <w:tab w:val="left" w:pos="709"/>
          <w:tab w:val="left" w:pos="993"/>
        </w:tabs>
        <w:spacing w:before="120" w:after="120" w:line="240" w:lineRule="auto"/>
        <w:ind w:left="425" w:firstLine="0"/>
        <w:jc w:val="both"/>
        <w:rPr>
          <w:rFonts w:ascii="Times New Roman" w:eastAsia="Times New Roman" w:hAnsi="Times New Roman" w:cs="Times New Roman"/>
        </w:rPr>
      </w:pPr>
      <w:r>
        <w:rPr>
          <w:rFonts w:ascii="Times New Roman" w:eastAsia="Times New Roman" w:hAnsi="Times New Roman" w:cs="Times New Roman"/>
          <w:b/>
        </w:rPr>
        <w:t>Az aláírás megszerzésének feltételei:</w:t>
      </w:r>
      <w:r>
        <w:rPr>
          <w:rFonts w:ascii="Times New Roman" w:eastAsia="Times New Roman" w:hAnsi="Times New Roman" w:cs="Times New Roman"/>
        </w:rPr>
        <w:t xml:space="preserve"> Az aláírás megszerzésének feltétele a 14. pontban meghatározott arányú részvétel a foglalkozásokon valamint a 15. pontban meghatározott félévközi feladatok legalább elégséges teljesítése.</w:t>
      </w:r>
    </w:p>
    <w:p w:rsidR="00AA1279" w:rsidRDefault="00AA1279" w:rsidP="00C2057B">
      <w:pPr>
        <w:widowControl w:val="0"/>
        <w:numPr>
          <w:ilvl w:val="1"/>
          <w:numId w:val="97"/>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Az értékelés:</w:t>
      </w:r>
      <w:r>
        <w:rPr>
          <w:rFonts w:ascii="Times New Roman" w:eastAsia="Times New Roman" w:hAnsi="Times New Roman" w:cs="Times New Roman"/>
        </w:rPr>
        <w:t xml:space="preserve"> gyakorlati jegy</w:t>
      </w:r>
    </w:p>
    <w:p w:rsidR="00AA1279" w:rsidRDefault="00AA1279" w:rsidP="00C2057B">
      <w:pPr>
        <w:widowControl w:val="0"/>
        <w:numPr>
          <w:ilvl w:val="1"/>
          <w:numId w:val="97"/>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 kreditek megszerzésének feltételei:</w:t>
      </w:r>
      <w:r>
        <w:rPr>
          <w:rFonts w:ascii="Times New Roman" w:eastAsia="Times New Roman" w:hAnsi="Times New Roman" w:cs="Times New Roman"/>
        </w:rPr>
        <w:t xml:space="preserve"> </w:t>
      </w:r>
    </w:p>
    <w:p w:rsidR="00AA1279" w:rsidRDefault="00AA1279" w:rsidP="00AA1279">
      <w:pPr>
        <w:widowControl w:val="0"/>
        <w:tabs>
          <w:tab w:val="left" w:pos="993"/>
        </w:tabs>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A kreditek megszerzésének feltétele az aláírás megszerzése és legalább elégséges érdemjegy.</w:t>
      </w:r>
    </w:p>
    <w:p w:rsidR="00AA1279" w:rsidRDefault="00AA1279" w:rsidP="00C2057B">
      <w:pPr>
        <w:widowControl w:val="0"/>
        <w:numPr>
          <w:ilvl w:val="0"/>
          <w:numId w:val="97"/>
        </w:numPr>
        <w:tabs>
          <w:tab w:val="clear" w:pos="720"/>
          <w:tab w:val="num" w:pos="360"/>
          <w:tab w:val="num" w:pos="502"/>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Irodalomjegyzék:</w:t>
      </w:r>
    </w:p>
    <w:p w:rsidR="00AA1279" w:rsidRDefault="00AA1279" w:rsidP="00C2057B">
      <w:pPr>
        <w:widowControl w:val="0"/>
        <w:numPr>
          <w:ilvl w:val="1"/>
          <w:numId w:val="97"/>
        </w:numPr>
        <w:tabs>
          <w:tab w:val="left" w:pos="567"/>
          <w:tab w:val="left" w:pos="851"/>
          <w:tab w:val="num" w:pos="2069"/>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Kötelező irodalom:</w:t>
      </w:r>
    </w:p>
    <w:p w:rsidR="00AA1279" w:rsidRDefault="00AA1279" w:rsidP="00C2057B">
      <w:pPr>
        <w:widowControl w:val="0"/>
        <w:numPr>
          <w:ilvl w:val="0"/>
          <w:numId w:val="98"/>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Tóth Bence: Mechanika I. – Statika. Dialóg Campus Kiadó, 2019. ISBN: 9786156020048</w:t>
      </w:r>
    </w:p>
    <w:p w:rsidR="00AA1279" w:rsidRDefault="00AA1279" w:rsidP="00C2057B">
      <w:pPr>
        <w:widowControl w:val="0"/>
        <w:numPr>
          <w:ilvl w:val="0"/>
          <w:numId w:val="98"/>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M. Csizmadia Béla, Nándori Ernő: Mechanika mérnököknek I. Nemzeti Tankönyvkiadó, 2002. ISBN: 9789631928501</w:t>
      </w:r>
    </w:p>
    <w:p w:rsidR="00AA1279" w:rsidRDefault="00AA1279" w:rsidP="00C2057B">
      <w:pPr>
        <w:widowControl w:val="0"/>
        <w:numPr>
          <w:ilvl w:val="0"/>
          <w:numId w:val="98"/>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Kósa Csaba, Gyurcsovics Lajosné, Halassy István, Horváth Sándor, Kovács Gyula, Kriza Kálmán: Nyugvó rendszerek mechanikája. Példatár és útmutató. Budapesti Műszaki Főiskola, 2002.</w:t>
      </w:r>
    </w:p>
    <w:p w:rsidR="00AA1279" w:rsidRDefault="00AA1279" w:rsidP="00C2057B">
      <w:pPr>
        <w:widowControl w:val="0"/>
        <w:numPr>
          <w:ilvl w:val="1"/>
          <w:numId w:val="97"/>
        </w:numPr>
        <w:tabs>
          <w:tab w:val="num" w:pos="567"/>
          <w:tab w:val="num" w:pos="2069"/>
        </w:tabs>
        <w:spacing w:before="120" w:after="120" w:line="240" w:lineRule="auto"/>
        <w:ind w:left="993" w:hanging="709"/>
        <w:jc w:val="both"/>
        <w:rPr>
          <w:rFonts w:ascii="Times New Roman" w:eastAsia="Times New Roman" w:hAnsi="Times New Roman" w:cs="Times New Roman"/>
          <w:b/>
          <w:bCs/>
        </w:rPr>
      </w:pPr>
      <w:r>
        <w:rPr>
          <w:rFonts w:ascii="Times New Roman" w:eastAsia="Times New Roman" w:hAnsi="Times New Roman" w:cs="Times New Roman"/>
          <w:b/>
          <w:bCs/>
        </w:rPr>
        <w:t>Ajánlott irodalom:</w:t>
      </w:r>
    </w:p>
    <w:p w:rsidR="00AA1279" w:rsidRDefault="00AA1279" w:rsidP="00C2057B">
      <w:pPr>
        <w:widowControl w:val="0"/>
        <w:numPr>
          <w:ilvl w:val="0"/>
          <w:numId w:val="99"/>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Kósa Csaba: Nyugvó rendszerek mechanikája. Budapesti Műszaki Főiskola, 2003. ISBN: 9631052346</w:t>
      </w:r>
    </w:p>
    <w:p w:rsidR="00AA1279" w:rsidRDefault="00AA1279" w:rsidP="00C2057B">
      <w:pPr>
        <w:pStyle w:val="Listaszerbekezds"/>
        <w:widowControl w:val="0"/>
        <w:numPr>
          <w:ilvl w:val="0"/>
          <w:numId w:val="99"/>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H. G. Steger, J. Sieghart, E. Glauninger: Műszaki mechanika 1. Műszaki Könyvkiadó, 1993. ISBN: 9637746102</w:t>
      </w:r>
    </w:p>
    <w:p w:rsidR="00AA1279" w:rsidRDefault="00AA1279" w:rsidP="00C2057B">
      <w:pPr>
        <w:pStyle w:val="Listaszerbekezds"/>
        <w:widowControl w:val="0"/>
        <w:numPr>
          <w:ilvl w:val="0"/>
          <w:numId w:val="99"/>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Vas József, Húth József: Mechanika példatár I. (Statika). Magyar Honvédség Kossuth Lajos Katonai Főiskola, 1995.</w:t>
      </w:r>
    </w:p>
    <w:p w:rsidR="00AA1279" w:rsidRDefault="00AA1279" w:rsidP="00C2057B">
      <w:pPr>
        <w:pStyle w:val="Listaszerbekezds"/>
        <w:widowControl w:val="0"/>
        <w:numPr>
          <w:ilvl w:val="0"/>
          <w:numId w:val="99"/>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Szentiványi Béla, Tamássy Tamás: Mechanika. Statikai példatár. Műegyetemi Kiadó, 1997.</w:t>
      </w:r>
    </w:p>
    <w:p w:rsidR="003073B7" w:rsidRDefault="003073B7" w:rsidP="00AA1279">
      <w:pPr>
        <w:widowControl w:val="0"/>
        <w:spacing w:before="120" w:after="120" w:line="240" w:lineRule="auto"/>
        <w:jc w:val="both"/>
        <w:rPr>
          <w:rFonts w:ascii="Times New Roman" w:eastAsia="Times New Roman" w:hAnsi="Times New Roman" w:cs="Times New Roman"/>
          <w:bCs/>
        </w:rPr>
      </w:pPr>
    </w:p>
    <w:p w:rsidR="00AA1279" w:rsidRDefault="00AA1279" w:rsidP="003073B7">
      <w:pPr>
        <w:widowControl w:val="0"/>
        <w:spacing w:before="120" w:after="120" w:line="240" w:lineRule="auto"/>
        <w:ind w:firstLine="360"/>
        <w:jc w:val="both"/>
        <w:rPr>
          <w:rFonts w:ascii="Times New Roman" w:eastAsia="Times New Roman" w:hAnsi="Times New Roman" w:cs="Times New Roman"/>
          <w:bCs/>
        </w:rPr>
      </w:pPr>
      <w:r>
        <w:rPr>
          <w:rFonts w:ascii="Times New Roman" w:eastAsia="Times New Roman" w:hAnsi="Times New Roman" w:cs="Times New Roman"/>
          <w:bCs/>
        </w:rPr>
        <w:t>Budapest, 2020. január 31.</w:t>
      </w:r>
    </w:p>
    <w:p w:rsidR="00AA1279" w:rsidRDefault="00AA1279" w:rsidP="00AA1279">
      <w:pPr>
        <w:widowControl w:val="0"/>
        <w:spacing w:before="120" w:after="120" w:line="240" w:lineRule="auto"/>
        <w:jc w:val="both"/>
        <w:rPr>
          <w:rFonts w:ascii="Times New Roman" w:eastAsia="Times New Roman" w:hAnsi="Times New Roman" w:cs="Times New Roman"/>
          <w:bCs/>
        </w:rPr>
      </w:pPr>
    </w:p>
    <w:p w:rsidR="00AA1279" w:rsidRPr="00AA1279" w:rsidRDefault="00AA1279" w:rsidP="00AA1279">
      <w:pPr>
        <w:widowControl w:val="0"/>
        <w:spacing w:after="0" w:line="240" w:lineRule="auto"/>
        <w:jc w:val="right"/>
        <w:rPr>
          <w:rFonts w:ascii="Times New Roman" w:eastAsia="Times New Roman" w:hAnsi="Times New Roman" w:cs="Times New Roman"/>
          <w:b/>
          <w:bCs/>
        </w:rPr>
      </w:pPr>
      <w:r w:rsidRPr="00AA1279">
        <w:rPr>
          <w:rFonts w:ascii="Times New Roman" w:eastAsia="Times New Roman" w:hAnsi="Times New Roman" w:cs="Times New Roman"/>
          <w:b/>
          <w:bCs/>
        </w:rPr>
        <w:t xml:space="preserve">Dr. Tóth Bence, PhD </w:t>
      </w:r>
    </w:p>
    <w:p w:rsidR="00AA1279" w:rsidRDefault="00AA1279" w:rsidP="00AA1279">
      <w:pPr>
        <w:widowControl w:val="0"/>
        <w:spacing w:after="0" w:line="240" w:lineRule="auto"/>
        <w:jc w:val="right"/>
        <w:rPr>
          <w:rFonts w:ascii="Times New Roman" w:eastAsia="Times New Roman" w:hAnsi="Times New Roman" w:cs="Times New Roman"/>
          <w:bCs/>
        </w:rPr>
      </w:pPr>
      <w:r>
        <w:rPr>
          <w:rFonts w:ascii="Times New Roman" w:eastAsia="Times New Roman" w:hAnsi="Times New Roman" w:cs="Times New Roman"/>
          <w:bCs/>
        </w:rPr>
        <w:t>adjunktus, sk.</w:t>
      </w:r>
    </w:p>
    <w:p w:rsidR="00AA1279" w:rsidRDefault="00AA1279">
      <w:pPr>
        <w:spacing w:after="200" w:line="276" w:lineRule="auto"/>
        <w:rPr>
          <w:rFonts w:ascii="Times New Roman" w:hAnsi="Times New Roman" w:cs="Times New Roman"/>
          <w:sz w:val="24"/>
        </w:rPr>
      </w:pPr>
      <w:r>
        <w:rPr>
          <w:rFonts w:ascii="Times New Roman" w:hAnsi="Times New Roman" w:cs="Times New Roman"/>
          <w:sz w:val="24"/>
        </w:rPr>
        <w:br w:type="page"/>
      </w:r>
    </w:p>
    <w:tbl>
      <w:tblPr>
        <w:tblW w:w="9072" w:type="dxa"/>
        <w:tblInd w:w="113" w:type="dxa"/>
        <w:tblLook w:val="01E0" w:firstRow="1" w:lastRow="1" w:firstColumn="1" w:lastColumn="1" w:noHBand="0" w:noVBand="0"/>
      </w:tblPr>
      <w:tblGrid>
        <w:gridCol w:w="4855"/>
        <w:gridCol w:w="1620"/>
        <w:gridCol w:w="2597"/>
      </w:tblGrid>
      <w:tr w:rsidR="00AA1279" w:rsidTr="00AA1279">
        <w:tc>
          <w:tcPr>
            <w:tcW w:w="4855" w:type="dxa"/>
            <w:tcBorders>
              <w:top w:val="nil"/>
              <w:left w:val="nil"/>
              <w:bottom w:val="single" w:sz="4" w:space="0" w:color="auto"/>
              <w:right w:val="nil"/>
            </w:tcBorders>
            <w:hideMark/>
          </w:tcPr>
          <w:p w:rsidR="00AA1279" w:rsidRDefault="00AA1279">
            <w:pPr>
              <w:spacing w:after="0" w:line="240" w:lineRule="auto"/>
              <w:jc w:val="center"/>
              <w:rPr>
                <w:rFonts w:ascii="Times New Roman" w:eastAsia="Times New Roman" w:hAnsi="Times New Roman" w:cs="Times New Roman"/>
                <w:b/>
                <w:smallCaps/>
                <w:lang w:eastAsia="hu-HU"/>
              </w:rPr>
            </w:pPr>
            <w:r>
              <w:rPr>
                <w:rFonts w:ascii="Times New Roman" w:eastAsia="Times New Roman" w:hAnsi="Times New Roman" w:cs="Times New Roman"/>
                <w:b/>
                <w:smallCaps/>
                <w:lang w:eastAsia="hu-HU"/>
              </w:rPr>
              <w:lastRenderedPageBreak/>
              <w:t>Nemzeti Közszolgálati Egyetem</w:t>
            </w:r>
          </w:p>
        </w:tc>
        <w:tc>
          <w:tcPr>
            <w:tcW w:w="1620" w:type="dxa"/>
          </w:tcPr>
          <w:p w:rsidR="00AA1279" w:rsidRDefault="00AA1279">
            <w:pPr>
              <w:spacing w:after="0" w:line="240" w:lineRule="auto"/>
              <w:jc w:val="both"/>
              <w:rPr>
                <w:rFonts w:ascii="Times New Roman" w:eastAsia="Times New Roman" w:hAnsi="Times New Roman" w:cs="Times New Roman"/>
                <w:lang w:eastAsia="hu-HU"/>
              </w:rPr>
            </w:pPr>
          </w:p>
        </w:tc>
        <w:tc>
          <w:tcPr>
            <w:tcW w:w="2597" w:type="dxa"/>
          </w:tcPr>
          <w:p w:rsidR="00AA1279" w:rsidRDefault="00AA1279">
            <w:pPr>
              <w:spacing w:after="0" w:line="240" w:lineRule="auto"/>
              <w:jc w:val="right"/>
              <w:rPr>
                <w:rFonts w:ascii="Times New Roman" w:eastAsia="Times New Roman" w:hAnsi="Times New Roman" w:cs="Times New Roman"/>
                <w:lang w:eastAsia="hu-HU"/>
              </w:rPr>
            </w:pPr>
          </w:p>
        </w:tc>
      </w:tr>
      <w:tr w:rsidR="00AA1279" w:rsidTr="00AA1279">
        <w:tc>
          <w:tcPr>
            <w:tcW w:w="4855" w:type="dxa"/>
            <w:tcBorders>
              <w:top w:val="single" w:sz="4" w:space="0" w:color="auto"/>
              <w:left w:val="nil"/>
              <w:bottom w:val="nil"/>
              <w:right w:val="nil"/>
            </w:tcBorders>
            <w:hideMark/>
          </w:tcPr>
          <w:p w:rsidR="00AA1279" w:rsidRDefault="00AA1279">
            <w:pPr>
              <w:spacing w:after="0" w:line="240" w:lineRule="auto"/>
              <w:jc w:val="center"/>
              <w:rPr>
                <w:rFonts w:ascii="Times New Roman" w:eastAsia="Times New Roman" w:hAnsi="Times New Roman" w:cs="Times New Roman"/>
                <w:b/>
                <w:lang w:eastAsia="hu-HU"/>
              </w:rPr>
            </w:pPr>
            <w:r>
              <w:rPr>
                <w:rFonts w:ascii="Times New Roman" w:eastAsia="Times New Roman" w:hAnsi="Times New Roman" w:cs="Times New Roman"/>
                <w:b/>
                <w:lang w:eastAsia="hu-HU"/>
              </w:rPr>
              <w:t>Hadtudományi és Honvédtisztképző Kar</w:t>
            </w:r>
          </w:p>
        </w:tc>
        <w:tc>
          <w:tcPr>
            <w:tcW w:w="1620" w:type="dxa"/>
          </w:tcPr>
          <w:p w:rsidR="00AA1279" w:rsidRDefault="00AA1279">
            <w:pPr>
              <w:spacing w:after="0" w:line="240" w:lineRule="auto"/>
              <w:jc w:val="both"/>
              <w:rPr>
                <w:rFonts w:ascii="Times New Roman" w:eastAsia="Times New Roman" w:hAnsi="Times New Roman" w:cs="Times New Roman"/>
                <w:lang w:eastAsia="hu-HU"/>
              </w:rPr>
            </w:pPr>
          </w:p>
        </w:tc>
        <w:tc>
          <w:tcPr>
            <w:tcW w:w="2597" w:type="dxa"/>
          </w:tcPr>
          <w:p w:rsidR="00AA1279" w:rsidRDefault="00AA1279">
            <w:pPr>
              <w:spacing w:after="0" w:line="240" w:lineRule="auto"/>
              <w:jc w:val="both"/>
              <w:rPr>
                <w:rFonts w:ascii="Times New Roman" w:eastAsia="Times New Roman" w:hAnsi="Times New Roman" w:cs="Times New Roman"/>
                <w:lang w:eastAsia="hu-HU"/>
              </w:rPr>
            </w:pPr>
          </w:p>
        </w:tc>
      </w:tr>
    </w:tbl>
    <w:p w:rsidR="00AA1279" w:rsidRDefault="00AA1279" w:rsidP="00AA1279">
      <w:pPr>
        <w:widowControl w:val="0"/>
        <w:spacing w:before="120" w:after="120" w:line="240" w:lineRule="auto"/>
        <w:ind w:left="426" w:hanging="142"/>
        <w:jc w:val="center"/>
        <w:rPr>
          <w:rFonts w:ascii="Times New Roman" w:eastAsia="Times New Roman" w:hAnsi="Times New Roman" w:cs="Times New Roman"/>
          <w:b/>
          <w:bCs/>
        </w:rPr>
      </w:pPr>
    </w:p>
    <w:p w:rsidR="00AA1279" w:rsidRDefault="00AA1279" w:rsidP="00AA1279">
      <w:pPr>
        <w:widowControl w:val="0"/>
        <w:spacing w:before="120" w:after="120" w:line="240" w:lineRule="auto"/>
        <w:ind w:left="426" w:hanging="142"/>
        <w:jc w:val="center"/>
        <w:rPr>
          <w:rFonts w:ascii="Times New Roman" w:eastAsia="Times New Roman" w:hAnsi="Times New Roman" w:cs="Times New Roman"/>
          <w:b/>
          <w:bCs/>
        </w:rPr>
      </w:pPr>
      <w:r>
        <w:rPr>
          <w:rFonts w:ascii="Times New Roman" w:eastAsia="Times New Roman" w:hAnsi="Times New Roman" w:cs="Times New Roman"/>
          <w:b/>
          <w:bCs/>
        </w:rPr>
        <w:t>TANTÁRGYI PROGRAM</w:t>
      </w:r>
    </w:p>
    <w:p w:rsidR="00AA1279" w:rsidRDefault="00AA1279" w:rsidP="00C2057B">
      <w:pPr>
        <w:widowControl w:val="0"/>
        <w:numPr>
          <w:ilvl w:val="0"/>
          <w:numId w:val="101"/>
        </w:numPr>
        <w:tabs>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 tantárgy kódja: </w:t>
      </w:r>
      <w:r>
        <w:rPr>
          <w:rFonts w:ascii="Times New Roman" w:eastAsia="Times New Roman" w:hAnsi="Times New Roman" w:cs="Times New Roman"/>
          <w:bCs/>
        </w:rPr>
        <w:t>HKHDTA01</w:t>
      </w:r>
    </w:p>
    <w:p w:rsidR="00AA1279" w:rsidRDefault="00AA1279" w:rsidP="00C2057B">
      <w:pPr>
        <w:widowControl w:val="0"/>
        <w:numPr>
          <w:ilvl w:val="0"/>
          <w:numId w:val="101"/>
        </w:numPr>
        <w:tabs>
          <w:tab w:val="num" w:pos="567"/>
        </w:tabs>
        <w:spacing w:before="120" w:after="120" w:line="240" w:lineRule="auto"/>
        <w:ind w:left="426" w:hanging="142"/>
        <w:jc w:val="both"/>
        <w:rPr>
          <w:rFonts w:ascii="Times New Roman" w:eastAsia="Times New Roman" w:hAnsi="Times New Roman" w:cs="Times New Roman"/>
          <w:b/>
          <w:bCs/>
          <w:lang w:val="en-GB"/>
        </w:rPr>
      </w:pPr>
      <w:r>
        <w:rPr>
          <w:rFonts w:ascii="Times New Roman" w:eastAsia="Times New Roman" w:hAnsi="Times New Roman" w:cs="Times New Roman"/>
          <w:b/>
          <w:bCs/>
        </w:rPr>
        <w:t>A tantárgy megnevezése (magyarul):</w:t>
      </w:r>
      <w:r>
        <w:rPr>
          <w:rFonts w:ascii="Times New Roman" w:eastAsia="Times New Roman" w:hAnsi="Times New Roman" w:cs="Times New Roman"/>
          <w:bCs/>
        </w:rPr>
        <w:t xml:space="preserve"> Anyagtudomány</w:t>
      </w:r>
    </w:p>
    <w:p w:rsidR="00AA1279" w:rsidRDefault="00AA1279" w:rsidP="00C2057B">
      <w:pPr>
        <w:widowControl w:val="0"/>
        <w:numPr>
          <w:ilvl w:val="0"/>
          <w:numId w:val="101"/>
        </w:numPr>
        <w:tabs>
          <w:tab w:val="num" w:pos="567"/>
        </w:tabs>
        <w:spacing w:before="120" w:after="120" w:line="240" w:lineRule="auto"/>
        <w:ind w:left="426" w:hanging="142"/>
        <w:jc w:val="both"/>
        <w:rPr>
          <w:rFonts w:ascii="Times New Roman" w:eastAsia="Times New Roman" w:hAnsi="Times New Roman" w:cs="Times New Roman"/>
          <w:b/>
          <w:bCs/>
          <w:lang w:val="en-GB"/>
        </w:rPr>
      </w:pPr>
      <w:r>
        <w:rPr>
          <w:rFonts w:ascii="Times New Roman" w:eastAsia="Times New Roman" w:hAnsi="Times New Roman" w:cs="Times New Roman"/>
          <w:b/>
          <w:bCs/>
        </w:rPr>
        <w:t xml:space="preserve">A tantárgy megnevezése (angolul): </w:t>
      </w:r>
      <w:r>
        <w:rPr>
          <w:rFonts w:ascii="Times New Roman" w:eastAsia="Times New Roman" w:hAnsi="Times New Roman" w:cs="Times New Roman"/>
          <w:bCs/>
        </w:rPr>
        <w:t>Science of Materials</w:t>
      </w:r>
    </w:p>
    <w:p w:rsidR="00AA1279" w:rsidRDefault="00AA1279" w:rsidP="00C2057B">
      <w:pPr>
        <w:widowControl w:val="0"/>
        <w:numPr>
          <w:ilvl w:val="0"/>
          <w:numId w:val="101"/>
        </w:numPr>
        <w:tabs>
          <w:tab w:val="num" w:pos="567"/>
        </w:tabs>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Kreditérték és képzési karakter: </w:t>
      </w:r>
    </w:p>
    <w:p w:rsidR="00AA1279" w:rsidRDefault="00AA1279" w:rsidP="00C2057B">
      <w:pPr>
        <w:pStyle w:val="Listaszerbekezds"/>
        <w:widowControl w:val="0"/>
        <w:numPr>
          <w:ilvl w:val="1"/>
          <w:numId w:val="101"/>
        </w:numPr>
        <w:tabs>
          <w:tab w:val="clear" w:pos="3977"/>
          <w:tab w:val="num" w:pos="1566"/>
        </w:tabs>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2 kredit</w:t>
      </w:r>
    </w:p>
    <w:p w:rsidR="00AA1279" w:rsidRDefault="00AA1279" w:rsidP="00C2057B">
      <w:pPr>
        <w:pStyle w:val="Listaszerbekezds"/>
        <w:widowControl w:val="0"/>
        <w:numPr>
          <w:ilvl w:val="1"/>
          <w:numId w:val="101"/>
        </w:numPr>
        <w:tabs>
          <w:tab w:val="clear" w:pos="3977"/>
          <w:tab w:val="num" w:pos="1566"/>
        </w:tabs>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a tantárgy elméleti vagy gyakorlati jellegének mértéke: 50</w:t>
      </w:r>
      <w:r>
        <w:rPr>
          <w:rFonts w:ascii="Times New Roman" w:eastAsia="Times New Roman" w:hAnsi="Times New Roman" w:cs="Times New Roman"/>
          <w:b/>
          <w:bCs/>
        </w:rPr>
        <w:t xml:space="preserve"> </w:t>
      </w:r>
      <w:r>
        <w:rPr>
          <w:rFonts w:ascii="Times New Roman" w:eastAsia="Times New Roman" w:hAnsi="Times New Roman" w:cs="Times New Roman"/>
          <w:bCs/>
        </w:rPr>
        <w:t>% gyakorlat, 50 % elmélet</w:t>
      </w:r>
    </w:p>
    <w:p w:rsidR="00AA1279" w:rsidRDefault="00AA1279" w:rsidP="00C2057B">
      <w:pPr>
        <w:widowControl w:val="0"/>
        <w:numPr>
          <w:ilvl w:val="0"/>
          <w:numId w:val="101"/>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szak(ok), szakirányok/specializációk megnevezése (ahol oktatják):</w:t>
      </w:r>
      <w:r>
        <w:rPr>
          <w:rFonts w:ascii="Times New Roman" w:eastAsia="Times New Roman" w:hAnsi="Times New Roman" w:cs="Times New Roman"/>
          <w:bCs/>
        </w:rPr>
        <w:t xml:space="preserve"> Katonai logisztika (</w:t>
      </w:r>
      <w:r w:rsidR="00137B8A">
        <w:rPr>
          <w:rFonts w:ascii="Times New Roman" w:eastAsia="Times New Roman" w:hAnsi="Times New Roman" w:cs="Times New Roman"/>
          <w:bCs/>
        </w:rPr>
        <w:t>BSc</w:t>
      </w:r>
      <w:r>
        <w:rPr>
          <w:rFonts w:ascii="Times New Roman" w:eastAsia="Times New Roman" w:hAnsi="Times New Roman" w:cs="Times New Roman"/>
          <w:bCs/>
        </w:rPr>
        <w:t>) alapképzési szak</w:t>
      </w:r>
    </w:p>
    <w:p w:rsidR="00AA1279" w:rsidRDefault="00AA1279" w:rsidP="00C2057B">
      <w:pPr>
        <w:widowControl w:val="0"/>
        <w:numPr>
          <w:ilvl w:val="0"/>
          <w:numId w:val="101"/>
        </w:numPr>
        <w:tabs>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Az oktatásért felelős oktatási szervezeti egység megnevezése: </w:t>
      </w:r>
      <w:r>
        <w:rPr>
          <w:rFonts w:ascii="Times New Roman" w:eastAsia="Times New Roman" w:hAnsi="Times New Roman" w:cs="Times New Roman"/>
          <w:bCs/>
        </w:rPr>
        <w:t>HHK Haditechnikai Tanszék</w:t>
      </w:r>
    </w:p>
    <w:p w:rsidR="00AA1279" w:rsidRDefault="00AA1279" w:rsidP="00C2057B">
      <w:pPr>
        <w:widowControl w:val="0"/>
        <w:numPr>
          <w:ilvl w:val="0"/>
          <w:numId w:val="101"/>
        </w:numPr>
        <w:tabs>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tantárgyfelelős oktató neve, beosztása, tudományos fokozata:</w:t>
      </w:r>
      <w:r>
        <w:rPr>
          <w:rFonts w:ascii="Times New Roman" w:eastAsia="Times New Roman" w:hAnsi="Times New Roman" w:cs="Times New Roman"/>
          <w:bCs/>
        </w:rPr>
        <w:t xml:space="preserve"> </w:t>
      </w:r>
      <w:r>
        <w:rPr>
          <w:rFonts w:ascii="Times New Roman" w:eastAsia="Times New Roman" w:hAnsi="Times New Roman" w:cs="Times New Roman"/>
          <w:bCs/>
          <w:lang w:eastAsia="hu-HU"/>
        </w:rPr>
        <w:t>Dr. Hegedűs Ernő alezredes PhD, egyetemi docens</w:t>
      </w:r>
    </w:p>
    <w:p w:rsidR="00AA1279" w:rsidRDefault="00AA1279" w:rsidP="00C2057B">
      <w:pPr>
        <w:widowControl w:val="0"/>
        <w:numPr>
          <w:ilvl w:val="0"/>
          <w:numId w:val="101"/>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tanórák száma és típusa</w:t>
      </w:r>
    </w:p>
    <w:p w:rsidR="00AA1279" w:rsidRDefault="00AA1279" w:rsidP="00C2057B">
      <w:pPr>
        <w:widowControl w:val="0"/>
        <w:numPr>
          <w:ilvl w:val="1"/>
          <w:numId w:val="101"/>
        </w:numPr>
        <w:tabs>
          <w:tab w:val="clear" w:pos="3977"/>
          <w:tab w:val="num" w:pos="709"/>
          <w:tab w:val="num" w:pos="1566"/>
          <w:tab w:val="num" w:pos="2069"/>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össz óraszám/félév: 28</w:t>
      </w:r>
    </w:p>
    <w:p w:rsidR="00AA1279" w:rsidRDefault="00AA1279" w:rsidP="00C2057B">
      <w:pPr>
        <w:widowControl w:val="0"/>
        <w:numPr>
          <w:ilvl w:val="2"/>
          <w:numId w:val="101"/>
        </w:numPr>
        <w:tabs>
          <w:tab w:val="clear" w:pos="1800"/>
          <w:tab w:val="num" w:pos="709"/>
        </w:tabs>
        <w:spacing w:after="0" w:line="240" w:lineRule="auto"/>
        <w:ind w:left="1276" w:hanging="425"/>
        <w:jc w:val="both"/>
        <w:rPr>
          <w:rFonts w:ascii="Times New Roman" w:eastAsia="Times New Roman" w:hAnsi="Times New Roman" w:cs="Times New Roman"/>
          <w:bCs/>
        </w:rPr>
      </w:pPr>
      <w:r>
        <w:rPr>
          <w:rFonts w:ascii="Times New Roman" w:eastAsia="Times New Roman" w:hAnsi="Times New Roman" w:cs="Times New Roman"/>
          <w:bCs/>
        </w:rPr>
        <w:t>nappali munkarend: 28 (14 EA + -SZ + 14 GY)</w:t>
      </w:r>
    </w:p>
    <w:p w:rsidR="00AA1279" w:rsidRDefault="00AA1279" w:rsidP="00C2057B">
      <w:pPr>
        <w:widowControl w:val="0"/>
        <w:numPr>
          <w:ilvl w:val="2"/>
          <w:numId w:val="101"/>
        </w:numPr>
        <w:tabs>
          <w:tab w:val="clear" w:pos="1800"/>
          <w:tab w:val="num" w:pos="709"/>
        </w:tabs>
        <w:spacing w:after="0" w:line="240" w:lineRule="auto"/>
        <w:ind w:left="1276" w:hanging="425"/>
        <w:jc w:val="both"/>
        <w:rPr>
          <w:rFonts w:ascii="Times New Roman" w:eastAsia="Times New Roman" w:hAnsi="Times New Roman" w:cs="Times New Roman"/>
          <w:bCs/>
        </w:rPr>
      </w:pPr>
      <w:r>
        <w:rPr>
          <w:rFonts w:ascii="Times New Roman" w:eastAsia="Times New Roman" w:hAnsi="Times New Roman" w:cs="Times New Roman"/>
          <w:bCs/>
        </w:rPr>
        <w:t>levelező munkarend: - (- EA + - SZ + - GY)</w:t>
      </w:r>
    </w:p>
    <w:p w:rsidR="00AA1279" w:rsidRDefault="00AA1279" w:rsidP="00C2057B">
      <w:pPr>
        <w:widowControl w:val="0"/>
        <w:numPr>
          <w:ilvl w:val="1"/>
          <w:numId w:val="101"/>
        </w:numPr>
        <w:tabs>
          <w:tab w:val="clear" w:pos="3977"/>
          <w:tab w:val="num" w:pos="709"/>
          <w:tab w:val="num" w:pos="1566"/>
          <w:tab w:val="num" w:pos="2069"/>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heti óraszám - nappali munkarend: 2</w:t>
      </w:r>
    </w:p>
    <w:p w:rsidR="00AA1279" w:rsidRDefault="00AA1279" w:rsidP="00C2057B">
      <w:pPr>
        <w:widowControl w:val="0"/>
        <w:numPr>
          <w:ilvl w:val="1"/>
          <w:numId w:val="101"/>
        </w:numPr>
        <w:tabs>
          <w:tab w:val="clear" w:pos="3977"/>
          <w:tab w:val="num" w:pos="709"/>
          <w:tab w:val="num" w:pos="1566"/>
          <w:tab w:val="num" w:pos="2069"/>
        </w:tabs>
        <w:spacing w:before="120" w:after="120" w:line="240" w:lineRule="auto"/>
        <w:ind w:left="851" w:hanging="425"/>
        <w:jc w:val="both"/>
        <w:rPr>
          <w:rFonts w:ascii="Times New Roman" w:eastAsia="Times New Roman" w:hAnsi="Times New Roman" w:cs="Times New Roman"/>
          <w:bCs/>
        </w:rPr>
      </w:pPr>
      <w:r>
        <w:rPr>
          <w:rFonts w:ascii="Times New Roman" w:hAnsi="Times New Roman" w:cs="Times New Roman"/>
        </w:rPr>
        <w:t>Az ismeret átadásában alkalmazandó további sajátos módok, jellemzők:</w:t>
      </w:r>
      <w:r>
        <w:t xml:space="preserve"> </w:t>
      </w:r>
      <w:r>
        <w:rPr>
          <w:rFonts w:ascii="Times New Roman" w:hAnsi="Times New Roman" w:cs="Times New Roman"/>
        </w:rPr>
        <w:t>Az ismeretek feldolgozása vegyes tanulási program (blended learning) alapján történik.</w:t>
      </w:r>
    </w:p>
    <w:p w:rsidR="00AA1279" w:rsidRDefault="00AA1279" w:rsidP="00C2057B">
      <w:pPr>
        <w:widowControl w:val="0"/>
        <w:numPr>
          <w:ilvl w:val="0"/>
          <w:numId w:val="101"/>
        </w:numPr>
        <w:spacing w:before="120" w:after="120" w:line="240" w:lineRule="auto"/>
        <w:ind w:left="426" w:hanging="142"/>
        <w:jc w:val="both"/>
        <w:rPr>
          <w:rFonts w:ascii="Times New Roman" w:eastAsia="Times New Roman" w:hAnsi="Times New Roman" w:cs="Times New Roman"/>
          <w:bCs/>
          <w:lang w:eastAsia="hu-HU"/>
        </w:rPr>
      </w:pPr>
      <w:r>
        <w:rPr>
          <w:rFonts w:ascii="Times New Roman" w:eastAsia="Times New Roman" w:hAnsi="Times New Roman" w:cs="Times New Roman"/>
          <w:b/>
          <w:bCs/>
        </w:rPr>
        <w:t xml:space="preserve">A tantárgy szakmai tartalma (magyarul): </w:t>
      </w:r>
      <w:r>
        <w:rPr>
          <w:rFonts w:ascii="Times New Roman" w:eastAsia="Times New Roman" w:hAnsi="Times New Roman" w:cs="Times New Roman"/>
          <w:bCs/>
          <w:lang w:eastAsia="hu-HU"/>
        </w:rPr>
        <w:t xml:space="preserve">Az anyagtudomány alapfogalmai és főbb elvei. </w:t>
      </w:r>
      <w:r>
        <w:rPr>
          <w:rFonts w:ascii="Times New Roman" w:eastAsia="Times New Roman" w:hAnsi="Times New Roman" w:cs="Times New Roman"/>
          <w:bCs/>
        </w:rPr>
        <w:t>Az anyagok felosztása. Fémek mechanikai tulajdonságai, szerkezete. A fémrács hibái, az ötvözetek szerkezete. A fémek és az ötvözetek kristályosodása, vas-szén ötvözetek. Kompozitanyagok és műanyagok. Kerámiák. A kőolaj kitermelésének módszerei. Az atmoszférikus és a vákuumdesztillációs folyamatok. A kőolajtermékek átalakításának folyamatai.</w:t>
      </w:r>
    </w:p>
    <w:p w:rsidR="00AA1279" w:rsidRDefault="00AA1279" w:rsidP="00AA1279">
      <w:pPr>
        <w:widowControl w:val="0"/>
        <w:spacing w:before="120" w:after="120" w:line="240" w:lineRule="auto"/>
        <w:ind w:left="426"/>
        <w:jc w:val="both"/>
        <w:rPr>
          <w:rFonts w:ascii="Times New Roman" w:eastAsia="Times New Roman" w:hAnsi="Times New Roman" w:cs="Times New Roman"/>
          <w:bCs/>
          <w:lang w:eastAsia="hu-HU"/>
        </w:rPr>
      </w:pPr>
      <w:r>
        <w:rPr>
          <w:rFonts w:ascii="Times New Roman" w:eastAsia="Times New Roman" w:hAnsi="Times New Roman" w:cs="Times New Roman"/>
          <w:b/>
          <w:bCs/>
        </w:rPr>
        <w:t>A tantárgy szakmai tartalma (angolul) (</w:t>
      </w:r>
      <w:r>
        <w:rPr>
          <w:rFonts w:ascii="Times New Roman" w:eastAsia="Times New Roman" w:hAnsi="Times New Roman" w:cs="Times New Roman"/>
          <w:b/>
          <w:bCs/>
          <w:lang w:val="en-US"/>
        </w:rPr>
        <w:t>Course description</w:t>
      </w:r>
      <w:r>
        <w:rPr>
          <w:rFonts w:ascii="Times New Roman" w:eastAsia="Times New Roman" w:hAnsi="Times New Roman" w:cs="Times New Roman"/>
          <w:b/>
          <w:bCs/>
        </w:rPr>
        <w:t xml:space="preserve">): </w:t>
      </w:r>
    </w:p>
    <w:p w:rsidR="00AA1279" w:rsidRDefault="00AA1279" w:rsidP="00AA1279">
      <w:pPr>
        <w:widowControl w:val="0"/>
        <w:spacing w:before="120" w:after="120" w:line="240" w:lineRule="auto"/>
        <w:ind w:left="426"/>
        <w:jc w:val="both"/>
        <w:rPr>
          <w:rFonts w:ascii="Times New Roman" w:eastAsia="Times New Roman" w:hAnsi="Times New Roman" w:cs="Times New Roman"/>
          <w:bCs/>
        </w:rPr>
      </w:pPr>
      <w:r>
        <w:rPr>
          <w:rFonts w:ascii="Times New Roman" w:eastAsia="Times New Roman" w:hAnsi="Times New Roman" w:cs="Times New Roman"/>
          <w:bCs/>
          <w:lang w:eastAsia="hu-HU"/>
        </w:rPr>
        <w:t xml:space="preserve">Basic terms and theories of the materials science. </w:t>
      </w:r>
      <w:r>
        <w:rPr>
          <w:rFonts w:ascii="Times New Roman" w:eastAsia="Times New Roman" w:hAnsi="Times New Roman" w:cs="Times New Roman"/>
          <w:bCs/>
        </w:rPr>
        <w:t xml:space="preserve">The types of materials. Mechanical properties of metal materials. The structure of the metal materials. Mistakes of the metal webs. The structure of the metal materials. Cristallization of the metal materials and the alloys. Composite and plastic materials. Ceramic materials. Methods of rock-oil yield. Methods of atmospheric and vacuum distillation. Transformation of oil products. </w:t>
      </w:r>
    </w:p>
    <w:p w:rsidR="00A47467" w:rsidRPr="00A47467" w:rsidRDefault="00A47467" w:rsidP="00C2057B">
      <w:pPr>
        <w:widowControl w:val="0"/>
        <w:numPr>
          <w:ilvl w:val="0"/>
          <w:numId w:val="101"/>
        </w:numPr>
        <w:spacing w:before="120" w:after="120" w:line="240" w:lineRule="auto"/>
        <w:contextualSpacing/>
        <w:jc w:val="both"/>
        <w:rPr>
          <w:rFonts w:ascii="Times New Roman" w:eastAsia="Times New Roman" w:hAnsi="Times New Roman" w:cs="Times New Roman"/>
          <w:bCs/>
        </w:rPr>
      </w:pPr>
      <w:r w:rsidRPr="00A47467">
        <w:rPr>
          <w:rFonts w:ascii="Times New Roman" w:eastAsia="Times New Roman" w:hAnsi="Times New Roman" w:cs="Times New Roman"/>
          <w:b/>
          <w:bCs/>
        </w:rPr>
        <w:t xml:space="preserve">Elérendő kompetenciák (magyarul): </w:t>
      </w:r>
    </w:p>
    <w:p w:rsidR="00A47467" w:rsidRPr="00A47467" w:rsidRDefault="00A47467" w:rsidP="00A47467">
      <w:pPr>
        <w:widowControl w:val="0"/>
        <w:spacing w:before="240" w:after="0" w:line="240" w:lineRule="auto"/>
        <w:ind w:left="425"/>
        <w:jc w:val="both"/>
        <w:rPr>
          <w:rFonts w:ascii="Times New Roman" w:eastAsia="Times New Roman" w:hAnsi="Times New Roman" w:cs="Times New Roman"/>
          <w:bCs/>
        </w:rPr>
      </w:pPr>
      <w:r w:rsidRPr="00A47467">
        <w:rPr>
          <w:rFonts w:ascii="Times New Roman" w:eastAsia="Times New Roman" w:hAnsi="Times New Roman" w:cs="Times New Roman"/>
          <w:b/>
          <w:bCs/>
        </w:rPr>
        <w:t>Tudása:</w:t>
      </w:r>
      <w:r w:rsidRPr="00A47467">
        <w:rPr>
          <w:rFonts w:ascii="Times New Roman" w:eastAsia="Times New Roman" w:hAnsi="Times New Roman" w:cs="Times New Roman"/>
          <w:bCs/>
        </w:rPr>
        <w:t xml:space="preserve"> </w:t>
      </w:r>
    </w:p>
    <w:p w:rsidR="00A47467" w:rsidRPr="00A47467" w:rsidRDefault="00A47467" w:rsidP="00C2057B">
      <w:pPr>
        <w:widowControl w:val="0"/>
        <w:numPr>
          <w:ilvl w:val="0"/>
          <w:numId w:val="100"/>
        </w:numPr>
        <w:spacing w:before="120" w:after="120" w:line="240" w:lineRule="auto"/>
        <w:contextualSpacing/>
        <w:jc w:val="both"/>
        <w:rPr>
          <w:rFonts w:ascii="Times New Roman" w:eastAsia="Times New Roman" w:hAnsi="Times New Roman" w:cs="Times New Roman"/>
          <w:bCs/>
        </w:rPr>
      </w:pPr>
      <w:r w:rsidRPr="00A47467">
        <w:rPr>
          <w:rFonts w:ascii="Times New Roman" w:eastAsia="Times New Roman" w:hAnsi="Times New Roman" w:cs="Times New Roman"/>
          <w:bCs/>
        </w:rPr>
        <w:t xml:space="preserve">Ismeri az anyagtudomány alapfogalmait és alapelveit. </w:t>
      </w:r>
    </w:p>
    <w:p w:rsidR="00A47467" w:rsidRPr="00A47467" w:rsidRDefault="00A47467" w:rsidP="00C2057B">
      <w:pPr>
        <w:widowControl w:val="0"/>
        <w:numPr>
          <w:ilvl w:val="0"/>
          <w:numId w:val="100"/>
        </w:numPr>
        <w:spacing w:before="120" w:after="120" w:line="240" w:lineRule="auto"/>
        <w:contextualSpacing/>
        <w:jc w:val="both"/>
        <w:rPr>
          <w:rFonts w:ascii="Times New Roman" w:eastAsia="Times New Roman" w:hAnsi="Times New Roman" w:cs="Times New Roman"/>
          <w:bCs/>
        </w:rPr>
      </w:pPr>
      <w:r w:rsidRPr="00A47467">
        <w:rPr>
          <w:rFonts w:ascii="Times New Roman" w:eastAsia="Times New Roman" w:hAnsi="Times New Roman" w:cs="Times New Roman"/>
          <w:bCs/>
        </w:rPr>
        <w:t>Ismeri az anyagok felosztását és a fémek mechanikai tulajdonságait.</w:t>
      </w:r>
    </w:p>
    <w:p w:rsidR="00A47467" w:rsidRPr="00A47467" w:rsidRDefault="00A47467" w:rsidP="00C2057B">
      <w:pPr>
        <w:widowControl w:val="0"/>
        <w:numPr>
          <w:ilvl w:val="0"/>
          <w:numId w:val="100"/>
        </w:numPr>
        <w:spacing w:before="120" w:after="120" w:line="240" w:lineRule="auto"/>
        <w:contextualSpacing/>
        <w:jc w:val="both"/>
        <w:rPr>
          <w:rFonts w:ascii="Times New Roman" w:eastAsia="Times New Roman" w:hAnsi="Times New Roman" w:cs="Times New Roman"/>
          <w:bCs/>
        </w:rPr>
      </w:pPr>
      <w:r w:rsidRPr="00A47467">
        <w:rPr>
          <w:rFonts w:ascii="Times New Roman" w:eastAsia="Times New Roman" w:hAnsi="Times New Roman" w:cs="Times New Roman"/>
          <w:bCs/>
        </w:rPr>
        <w:t>Ismeri a fémek szerkezetét és a fémrácsok hibáit.</w:t>
      </w:r>
    </w:p>
    <w:p w:rsidR="00A47467" w:rsidRPr="00A47467" w:rsidRDefault="00A47467" w:rsidP="00C2057B">
      <w:pPr>
        <w:widowControl w:val="0"/>
        <w:numPr>
          <w:ilvl w:val="0"/>
          <w:numId w:val="100"/>
        </w:numPr>
        <w:spacing w:before="120" w:after="120" w:line="240" w:lineRule="auto"/>
        <w:contextualSpacing/>
        <w:jc w:val="both"/>
        <w:rPr>
          <w:rFonts w:ascii="Times New Roman" w:eastAsia="Times New Roman" w:hAnsi="Times New Roman" w:cs="Times New Roman"/>
          <w:bCs/>
        </w:rPr>
      </w:pPr>
      <w:r w:rsidRPr="00A47467">
        <w:rPr>
          <w:rFonts w:ascii="Times New Roman" w:eastAsia="Times New Roman" w:hAnsi="Times New Roman" w:cs="Times New Roman"/>
          <w:bCs/>
        </w:rPr>
        <w:t>Ismeri a fémek kristályosodását.</w:t>
      </w:r>
    </w:p>
    <w:p w:rsidR="00A47467" w:rsidRPr="00A47467" w:rsidRDefault="00A47467" w:rsidP="00C2057B">
      <w:pPr>
        <w:widowControl w:val="0"/>
        <w:numPr>
          <w:ilvl w:val="0"/>
          <w:numId w:val="100"/>
        </w:numPr>
        <w:spacing w:before="120" w:after="120" w:line="240" w:lineRule="auto"/>
        <w:contextualSpacing/>
        <w:jc w:val="both"/>
        <w:rPr>
          <w:rFonts w:ascii="Times New Roman" w:eastAsia="Times New Roman" w:hAnsi="Times New Roman" w:cs="Times New Roman"/>
          <w:bCs/>
        </w:rPr>
      </w:pPr>
      <w:r w:rsidRPr="00A47467">
        <w:rPr>
          <w:rFonts w:ascii="Times New Roman" w:eastAsia="Times New Roman" w:hAnsi="Times New Roman" w:cs="Times New Roman"/>
          <w:bCs/>
        </w:rPr>
        <w:t>Ismeri a kompozitanyagokat és a műanyagokat, illetve a kerámiákat.</w:t>
      </w:r>
    </w:p>
    <w:p w:rsidR="00A47467" w:rsidRPr="00A47467" w:rsidRDefault="00A47467" w:rsidP="00C2057B">
      <w:pPr>
        <w:widowControl w:val="0"/>
        <w:numPr>
          <w:ilvl w:val="0"/>
          <w:numId w:val="100"/>
        </w:numPr>
        <w:spacing w:before="120" w:after="120" w:line="240" w:lineRule="auto"/>
        <w:contextualSpacing/>
        <w:jc w:val="both"/>
        <w:rPr>
          <w:rFonts w:ascii="Times New Roman" w:eastAsia="Times New Roman" w:hAnsi="Times New Roman" w:cs="Times New Roman"/>
          <w:bCs/>
        </w:rPr>
      </w:pPr>
      <w:r w:rsidRPr="00A47467">
        <w:rPr>
          <w:rFonts w:ascii="Times New Roman" w:eastAsia="Times New Roman" w:hAnsi="Times New Roman" w:cs="Times New Roman"/>
          <w:bCs/>
        </w:rPr>
        <w:t>Ismeri a kőolaj kitermelésének módszereit, és a kőolajtermékek atmoszférikus és a vákuumdesztillációs eljárásait.</w:t>
      </w:r>
    </w:p>
    <w:p w:rsidR="00A47467" w:rsidRPr="00A47467" w:rsidRDefault="00A47467" w:rsidP="00C2057B">
      <w:pPr>
        <w:widowControl w:val="0"/>
        <w:numPr>
          <w:ilvl w:val="0"/>
          <w:numId w:val="100"/>
        </w:numPr>
        <w:spacing w:before="120" w:after="120" w:line="240" w:lineRule="auto"/>
        <w:contextualSpacing/>
        <w:jc w:val="both"/>
        <w:rPr>
          <w:rFonts w:ascii="Times New Roman" w:eastAsia="Times New Roman" w:hAnsi="Times New Roman" w:cs="Times New Roman"/>
          <w:bCs/>
        </w:rPr>
      </w:pPr>
      <w:r w:rsidRPr="00A47467">
        <w:rPr>
          <w:rFonts w:ascii="Times New Roman" w:eastAsia="Times New Roman" w:hAnsi="Times New Roman" w:cs="Times New Roman"/>
          <w:bCs/>
        </w:rPr>
        <w:t>Ismeri a kőolajtermékek átalakításának folyamatait.</w:t>
      </w:r>
    </w:p>
    <w:p w:rsidR="00A47467" w:rsidRDefault="00A47467">
      <w:pPr>
        <w:spacing w:after="200" w:line="276" w:lineRule="auto"/>
        <w:rPr>
          <w:rFonts w:ascii="Times New Roman" w:eastAsia="Times New Roman" w:hAnsi="Times New Roman" w:cs="Times New Roman"/>
          <w:b/>
          <w:bCs/>
        </w:rPr>
      </w:pPr>
      <w:r>
        <w:rPr>
          <w:rFonts w:ascii="Times New Roman" w:eastAsia="Times New Roman" w:hAnsi="Times New Roman" w:cs="Times New Roman"/>
          <w:b/>
          <w:bCs/>
        </w:rPr>
        <w:br w:type="page"/>
      </w:r>
    </w:p>
    <w:p w:rsidR="00A47467" w:rsidRPr="00A47467" w:rsidRDefault="00A47467" w:rsidP="00A47467">
      <w:pPr>
        <w:widowControl w:val="0"/>
        <w:spacing w:before="240" w:after="0" w:line="240" w:lineRule="auto"/>
        <w:ind w:left="425"/>
        <w:jc w:val="both"/>
        <w:rPr>
          <w:rFonts w:ascii="Times New Roman" w:eastAsia="Times New Roman" w:hAnsi="Times New Roman" w:cs="Times New Roman"/>
          <w:b/>
          <w:bCs/>
        </w:rPr>
      </w:pPr>
      <w:r w:rsidRPr="00A47467">
        <w:rPr>
          <w:rFonts w:ascii="Times New Roman" w:eastAsia="Times New Roman" w:hAnsi="Times New Roman" w:cs="Times New Roman"/>
          <w:b/>
          <w:bCs/>
        </w:rPr>
        <w:lastRenderedPageBreak/>
        <w:t xml:space="preserve">Képességei: </w:t>
      </w:r>
    </w:p>
    <w:p w:rsidR="00A47467" w:rsidRPr="00A47467" w:rsidRDefault="00A47467" w:rsidP="00C2057B">
      <w:pPr>
        <w:widowControl w:val="0"/>
        <w:numPr>
          <w:ilvl w:val="0"/>
          <w:numId w:val="100"/>
        </w:numPr>
        <w:spacing w:before="120" w:after="120" w:line="240" w:lineRule="auto"/>
        <w:contextualSpacing/>
        <w:jc w:val="both"/>
        <w:rPr>
          <w:rFonts w:ascii="Times New Roman" w:eastAsia="Times New Roman" w:hAnsi="Times New Roman" w:cs="Times New Roman"/>
          <w:bCs/>
        </w:rPr>
      </w:pPr>
      <w:r w:rsidRPr="00A47467">
        <w:rPr>
          <w:rFonts w:ascii="Times New Roman" w:eastAsia="Times New Roman" w:hAnsi="Times New Roman" w:cs="Times New Roman"/>
          <w:bCs/>
        </w:rPr>
        <w:t xml:space="preserve">Képes a fém, műanyag, kompozit és kerámia anyagok felismerésére. </w:t>
      </w:r>
    </w:p>
    <w:p w:rsidR="00A47467" w:rsidRPr="00A47467" w:rsidRDefault="00A47467" w:rsidP="00C2057B">
      <w:pPr>
        <w:widowControl w:val="0"/>
        <w:numPr>
          <w:ilvl w:val="0"/>
          <w:numId w:val="100"/>
        </w:numPr>
        <w:spacing w:before="120" w:after="120" w:line="240" w:lineRule="auto"/>
        <w:contextualSpacing/>
        <w:jc w:val="both"/>
        <w:rPr>
          <w:rFonts w:ascii="Times New Roman" w:eastAsia="Times New Roman" w:hAnsi="Times New Roman" w:cs="Times New Roman"/>
          <w:bCs/>
        </w:rPr>
      </w:pPr>
      <w:r w:rsidRPr="00A47467">
        <w:rPr>
          <w:rFonts w:ascii="Times New Roman" w:eastAsia="Times New Roman" w:hAnsi="Times New Roman" w:cs="Times New Roman"/>
          <w:bCs/>
        </w:rPr>
        <w:t>Képes a kőolajszármazékok megkülönböztetésére.</w:t>
      </w:r>
    </w:p>
    <w:p w:rsidR="00A47467" w:rsidRPr="00A47467" w:rsidRDefault="00A47467" w:rsidP="00C2057B">
      <w:pPr>
        <w:widowControl w:val="0"/>
        <w:numPr>
          <w:ilvl w:val="0"/>
          <w:numId w:val="100"/>
        </w:numPr>
        <w:spacing w:before="120" w:after="120" w:line="240" w:lineRule="auto"/>
        <w:contextualSpacing/>
        <w:jc w:val="both"/>
        <w:rPr>
          <w:rFonts w:ascii="Times New Roman" w:eastAsia="Times New Roman" w:hAnsi="Times New Roman" w:cs="Times New Roman"/>
          <w:bCs/>
        </w:rPr>
      </w:pPr>
      <w:r w:rsidRPr="00A47467">
        <w:rPr>
          <w:rFonts w:ascii="Times New Roman" w:eastAsia="Times New Roman" w:hAnsi="Times New Roman" w:cs="Times New Roman"/>
          <w:bCs/>
        </w:rPr>
        <w:t>Képes felismerni a fémek mechanikai tulajdonságait.</w:t>
      </w:r>
    </w:p>
    <w:p w:rsidR="00A47467" w:rsidRPr="00A47467" w:rsidRDefault="00A47467" w:rsidP="00C2057B">
      <w:pPr>
        <w:widowControl w:val="0"/>
        <w:numPr>
          <w:ilvl w:val="0"/>
          <w:numId w:val="100"/>
        </w:numPr>
        <w:spacing w:before="120" w:after="120" w:line="240" w:lineRule="auto"/>
        <w:contextualSpacing/>
        <w:jc w:val="both"/>
        <w:rPr>
          <w:rFonts w:ascii="Times New Roman" w:eastAsia="Times New Roman" w:hAnsi="Times New Roman" w:cs="Times New Roman"/>
          <w:bCs/>
        </w:rPr>
      </w:pPr>
      <w:r w:rsidRPr="00A47467">
        <w:rPr>
          <w:rFonts w:ascii="Times New Roman" w:eastAsia="Times New Roman" w:hAnsi="Times New Roman" w:cs="Times New Roman"/>
          <w:bCs/>
        </w:rPr>
        <w:t>Képes megkülönböztetni a fémek szerkezetét és a fémrácsok hibáit.</w:t>
      </w:r>
    </w:p>
    <w:p w:rsidR="00A47467" w:rsidRPr="00A47467" w:rsidRDefault="00A47467" w:rsidP="00C2057B">
      <w:pPr>
        <w:widowControl w:val="0"/>
        <w:numPr>
          <w:ilvl w:val="0"/>
          <w:numId w:val="100"/>
        </w:numPr>
        <w:spacing w:before="120" w:after="120" w:line="240" w:lineRule="auto"/>
        <w:contextualSpacing/>
        <w:jc w:val="both"/>
        <w:rPr>
          <w:rFonts w:ascii="Times New Roman" w:eastAsia="Times New Roman" w:hAnsi="Times New Roman" w:cs="Times New Roman"/>
          <w:bCs/>
        </w:rPr>
      </w:pPr>
      <w:r w:rsidRPr="00A47467">
        <w:rPr>
          <w:rFonts w:ascii="Times New Roman" w:eastAsia="Times New Roman" w:hAnsi="Times New Roman" w:cs="Times New Roman"/>
          <w:bCs/>
        </w:rPr>
        <w:t>Képes megkülönböztetni a fémek kristályszerkezeteit.</w:t>
      </w:r>
    </w:p>
    <w:p w:rsidR="00A47467" w:rsidRPr="00A47467" w:rsidRDefault="00A47467" w:rsidP="00C2057B">
      <w:pPr>
        <w:widowControl w:val="0"/>
        <w:numPr>
          <w:ilvl w:val="0"/>
          <w:numId w:val="100"/>
        </w:numPr>
        <w:spacing w:before="120" w:after="120" w:line="240" w:lineRule="auto"/>
        <w:contextualSpacing/>
        <w:jc w:val="both"/>
        <w:rPr>
          <w:rFonts w:ascii="Times New Roman" w:eastAsia="Times New Roman" w:hAnsi="Times New Roman" w:cs="Times New Roman"/>
          <w:bCs/>
        </w:rPr>
      </w:pPr>
      <w:r w:rsidRPr="00A47467">
        <w:rPr>
          <w:rFonts w:ascii="Times New Roman" w:eastAsia="Times New Roman" w:hAnsi="Times New Roman" w:cs="Times New Roman"/>
          <w:bCs/>
        </w:rPr>
        <w:t xml:space="preserve">Képes felismerni a kompozitanyagokat és a műanyagokat, illetve a kerámiákat. </w:t>
      </w:r>
    </w:p>
    <w:p w:rsidR="00A47467" w:rsidRPr="00A47467" w:rsidRDefault="00A47467" w:rsidP="00C2057B">
      <w:pPr>
        <w:widowControl w:val="0"/>
        <w:numPr>
          <w:ilvl w:val="0"/>
          <w:numId w:val="100"/>
        </w:numPr>
        <w:spacing w:before="120" w:after="120" w:line="240" w:lineRule="auto"/>
        <w:contextualSpacing/>
        <w:jc w:val="both"/>
        <w:rPr>
          <w:rFonts w:ascii="Times New Roman" w:eastAsia="Times New Roman" w:hAnsi="Times New Roman" w:cs="Times New Roman"/>
          <w:bCs/>
        </w:rPr>
      </w:pPr>
      <w:r w:rsidRPr="00A47467">
        <w:rPr>
          <w:rFonts w:ascii="Times New Roman" w:eastAsia="Times New Roman" w:hAnsi="Times New Roman" w:cs="Times New Roman"/>
          <w:bCs/>
        </w:rPr>
        <w:t>Képes felismerni a kőolajtermékek atmoszférikus és a vákuumdesztillációs eljárásait.</w:t>
      </w:r>
    </w:p>
    <w:p w:rsidR="00A47467" w:rsidRPr="00A47467" w:rsidRDefault="00A47467" w:rsidP="00C2057B">
      <w:pPr>
        <w:widowControl w:val="0"/>
        <w:numPr>
          <w:ilvl w:val="0"/>
          <w:numId w:val="100"/>
        </w:numPr>
        <w:spacing w:before="120" w:after="120" w:line="240" w:lineRule="auto"/>
        <w:contextualSpacing/>
        <w:jc w:val="both"/>
        <w:rPr>
          <w:rFonts w:ascii="Times New Roman" w:eastAsia="Times New Roman" w:hAnsi="Times New Roman" w:cs="Times New Roman"/>
          <w:bCs/>
        </w:rPr>
      </w:pPr>
      <w:r w:rsidRPr="00A47467">
        <w:rPr>
          <w:rFonts w:ascii="Times New Roman" w:eastAsia="Times New Roman" w:hAnsi="Times New Roman" w:cs="Times New Roman"/>
          <w:bCs/>
        </w:rPr>
        <w:t>Képes felismerni a kőolajtermékek átalakításának folyamatait.</w:t>
      </w:r>
    </w:p>
    <w:p w:rsidR="00A47467" w:rsidRPr="00A47467" w:rsidRDefault="00A47467" w:rsidP="00A47467">
      <w:pPr>
        <w:widowControl w:val="0"/>
        <w:spacing w:before="240" w:after="0" w:line="240" w:lineRule="auto"/>
        <w:ind w:left="425"/>
        <w:jc w:val="both"/>
        <w:rPr>
          <w:rFonts w:ascii="Times New Roman" w:eastAsia="Times New Roman" w:hAnsi="Times New Roman" w:cs="Times New Roman"/>
          <w:b/>
          <w:bCs/>
        </w:rPr>
      </w:pPr>
      <w:r w:rsidRPr="00A47467">
        <w:rPr>
          <w:rFonts w:ascii="Times New Roman" w:eastAsia="Times New Roman" w:hAnsi="Times New Roman" w:cs="Times New Roman"/>
          <w:b/>
          <w:bCs/>
        </w:rPr>
        <w:t xml:space="preserve">Attitűdje: </w:t>
      </w:r>
    </w:p>
    <w:p w:rsidR="00A47467" w:rsidRPr="00A47467" w:rsidRDefault="00A47467" w:rsidP="00C2057B">
      <w:pPr>
        <w:widowControl w:val="0"/>
        <w:numPr>
          <w:ilvl w:val="0"/>
          <w:numId w:val="100"/>
        </w:numPr>
        <w:spacing w:before="120" w:after="120" w:line="240" w:lineRule="auto"/>
        <w:contextualSpacing/>
        <w:jc w:val="both"/>
        <w:rPr>
          <w:rFonts w:ascii="Times New Roman" w:eastAsia="Times New Roman" w:hAnsi="Times New Roman" w:cs="Times New Roman"/>
          <w:bCs/>
        </w:rPr>
      </w:pPr>
      <w:r w:rsidRPr="00A47467">
        <w:rPr>
          <w:rFonts w:ascii="Times New Roman" w:eastAsia="Times New Roman" w:hAnsi="Times New Roman" w:cs="Times New Roman"/>
          <w:bCs/>
        </w:rPr>
        <w:t xml:space="preserve">Nyitott az anyagtudománnyal kapcsolatos ismereteinek gyarapítása iránt, folyamatos önképzési igény jellemzi. </w:t>
      </w:r>
    </w:p>
    <w:p w:rsidR="00A47467" w:rsidRPr="00A47467" w:rsidRDefault="00A47467" w:rsidP="00C2057B">
      <w:pPr>
        <w:widowControl w:val="0"/>
        <w:numPr>
          <w:ilvl w:val="0"/>
          <w:numId w:val="100"/>
        </w:numPr>
        <w:spacing w:before="120" w:after="120" w:line="240" w:lineRule="auto"/>
        <w:contextualSpacing/>
        <w:jc w:val="both"/>
        <w:rPr>
          <w:rFonts w:ascii="Times New Roman" w:eastAsia="Times New Roman" w:hAnsi="Times New Roman" w:cs="Times New Roman"/>
          <w:bCs/>
        </w:rPr>
      </w:pPr>
      <w:r w:rsidRPr="00A47467">
        <w:rPr>
          <w:rFonts w:ascii="Times New Roman" w:eastAsia="Times New Roman" w:hAnsi="Times New Roman" w:cs="Times New Roman"/>
          <w:bCs/>
        </w:rPr>
        <w:t>Törekszik szakmai ismeretei bővítésére munkája során, célul tűzte ki szakmai tudásának gazdagítását.</w:t>
      </w:r>
    </w:p>
    <w:p w:rsidR="00A47467" w:rsidRPr="00A47467" w:rsidRDefault="00A47467" w:rsidP="00C2057B">
      <w:pPr>
        <w:widowControl w:val="0"/>
        <w:numPr>
          <w:ilvl w:val="0"/>
          <w:numId w:val="100"/>
        </w:numPr>
        <w:spacing w:before="120" w:after="120" w:line="240" w:lineRule="auto"/>
        <w:contextualSpacing/>
        <w:jc w:val="both"/>
        <w:rPr>
          <w:rFonts w:ascii="Times New Roman" w:eastAsia="Times New Roman" w:hAnsi="Times New Roman" w:cs="Times New Roman"/>
          <w:bCs/>
        </w:rPr>
      </w:pPr>
      <w:r w:rsidRPr="00A47467">
        <w:rPr>
          <w:rFonts w:ascii="Times New Roman" w:eastAsia="Times New Roman" w:hAnsi="Times New Roman" w:cs="Times New Roman"/>
          <w:bCs/>
        </w:rPr>
        <w:t>Munkája és szakmai kapcsolatai során megbízhatóság és felelősség jellemzi.</w:t>
      </w:r>
    </w:p>
    <w:p w:rsidR="00A47467" w:rsidRPr="00A47467" w:rsidRDefault="00A47467" w:rsidP="00A47467">
      <w:pPr>
        <w:widowControl w:val="0"/>
        <w:spacing w:before="240" w:after="0" w:line="240" w:lineRule="auto"/>
        <w:ind w:left="425"/>
        <w:jc w:val="both"/>
        <w:rPr>
          <w:rFonts w:ascii="Times New Roman" w:eastAsia="Times New Roman" w:hAnsi="Times New Roman" w:cs="Times New Roman"/>
          <w:b/>
          <w:bCs/>
        </w:rPr>
      </w:pPr>
      <w:r w:rsidRPr="00A47467">
        <w:rPr>
          <w:rFonts w:ascii="Times New Roman" w:eastAsia="Times New Roman" w:hAnsi="Times New Roman" w:cs="Times New Roman"/>
          <w:b/>
          <w:bCs/>
        </w:rPr>
        <w:t xml:space="preserve">Autonómiája és felelőssége: </w:t>
      </w:r>
    </w:p>
    <w:p w:rsidR="00A47467" w:rsidRPr="00A47467" w:rsidRDefault="00A47467" w:rsidP="00C2057B">
      <w:pPr>
        <w:widowControl w:val="0"/>
        <w:numPr>
          <w:ilvl w:val="0"/>
          <w:numId w:val="100"/>
        </w:numPr>
        <w:spacing w:before="120" w:after="120" w:line="240" w:lineRule="auto"/>
        <w:contextualSpacing/>
        <w:jc w:val="both"/>
        <w:rPr>
          <w:rFonts w:ascii="Times New Roman" w:eastAsia="Times New Roman" w:hAnsi="Times New Roman" w:cs="Times New Roman"/>
          <w:bCs/>
        </w:rPr>
      </w:pPr>
      <w:r w:rsidRPr="00A47467">
        <w:rPr>
          <w:rFonts w:ascii="Times New Roman" w:eastAsia="Times New Roman" w:hAnsi="Times New Roman" w:cs="Times New Roman"/>
          <w:bCs/>
        </w:rPr>
        <w:t xml:space="preserve">Képes alárendeltjeinek feladatait megszervezni és meghatározni, valamint elvégzett munkájukat szakmai szempontok alapján ellenőrizni. </w:t>
      </w:r>
    </w:p>
    <w:p w:rsidR="00A47467" w:rsidRPr="00A47467" w:rsidRDefault="00A47467" w:rsidP="00C2057B">
      <w:pPr>
        <w:widowControl w:val="0"/>
        <w:numPr>
          <w:ilvl w:val="0"/>
          <w:numId w:val="100"/>
        </w:numPr>
        <w:spacing w:before="120" w:after="120" w:line="240" w:lineRule="auto"/>
        <w:contextualSpacing/>
        <w:jc w:val="both"/>
        <w:rPr>
          <w:rFonts w:ascii="Times New Roman" w:eastAsia="Times New Roman" w:hAnsi="Times New Roman" w:cs="Times New Roman"/>
          <w:bCs/>
        </w:rPr>
      </w:pPr>
      <w:r w:rsidRPr="00A47467">
        <w:rPr>
          <w:rFonts w:ascii="Times New Roman" w:eastAsia="Times New Roman" w:hAnsi="Times New Roman" w:cs="Times New Roman"/>
          <w:bCs/>
        </w:rPr>
        <w:t>A haditechnikai eszközök technikai kiszolgálása és javítása során képes elemzések végrehajtása után a legmegfelelőbb döntéseket meghozni, amely döntésekért a szakmai felelősséget vállalja.</w:t>
      </w:r>
    </w:p>
    <w:p w:rsidR="00A47467" w:rsidRPr="00A47467" w:rsidRDefault="00A47467" w:rsidP="00C2057B">
      <w:pPr>
        <w:widowControl w:val="0"/>
        <w:numPr>
          <w:ilvl w:val="0"/>
          <w:numId w:val="100"/>
        </w:numPr>
        <w:spacing w:before="120" w:after="120" w:line="240" w:lineRule="auto"/>
        <w:contextualSpacing/>
        <w:jc w:val="both"/>
        <w:rPr>
          <w:rFonts w:ascii="Times New Roman" w:eastAsia="Times New Roman" w:hAnsi="Times New Roman" w:cs="Times New Roman"/>
          <w:bCs/>
        </w:rPr>
      </w:pPr>
      <w:r w:rsidRPr="00A47467">
        <w:rPr>
          <w:rFonts w:ascii="Times New Roman" w:eastAsia="Times New Roman" w:hAnsi="Times New Roman" w:cs="Times New Roman"/>
          <w:bCs/>
        </w:rPr>
        <w:t xml:space="preserve">Együttműködés és felelősség jellemzi szakterületének szakembereivel szemben. </w:t>
      </w:r>
    </w:p>
    <w:p w:rsidR="00A47467" w:rsidRPr="00A47467" w:rsidRDefault="00A47467" w:rsidP="00C2057B">
      <w:pPr>
        <w:widowControl w:val="0"/>
        <w:numPr>
          <w:ilvl w:val="0"/>
          <w:numId w:val="100"/>
        </w:numPr>
        <w:spacing w:before="120" w:after="120" w:line="240" w:lineRule="auto"/>
        <w:contextualSpacing/>
        <w:jc w:val="both"/>
        <w:rPr>
          <w:rFonts w:ascii="Times New Roman" w:eastAsia="Times New Roman" w:hAnsi="Times New Roman" w:cs="Times New Roman"/>
          <w:bCs/>
        </w:rPr>
      </w:pPr>
      <w:r w:rsidRPr="00A47467">
        <w:rPr>
          <w:rFonts w:ascii="Times New Roman" w:eastAsia="Times New Roman" w:hAnsi="Times New Roman" w:cs="Times New Roman"/>
          <w:bCs/>
        </w:rPr>
        <w:t>Szakterületén belül képes rendszer-szemléletűen gondolkodni.</w:t>
      </w:r>
    </w:p>
    <w:p w:rsidR="00A47467" w:rsidRPr="00A47467" w:rsidRDefault="00A47467" w:rsidP="00A47467">
      <w:pPr>
        <w:widowControl w:val="0"/>
        <w:spacing w:before="240" w:after="120" w:line="240" w:lineRule="auto"/>
        <w:ind w:left="425"/>
        <w:jc w:val="both"/>
        <w:rPr>
          <w:rFonts w:ascii="Times New Roman" w:eastAsia="Times New Roman" w:hAnsi="Times New Roman" w:cs="Times New Roman"/>
          <w:b/>
          <w:bCs/>
          <w:lang w:val="en-US"/>
        </w:rPr>
      </w:pPr>
      <w:r w:rsidRPr="00A47467">
        <w:rPr>
          <w:rFonts w:ascii="Times New Roman" w:eastAsia="Times New Roman" w:hAnsi="Times New Roman" w:cs="Times New Roman"/>
          <w:b/>
          <w:bCs/>
        </w:rPr>
        <w:t>Elérendő kompetenciák (angolul) (</w:t>
      </w:r>
      <w:r w:rsidRPr="00A47467">
        <w:rPr>
          <w:rFonts w:ascii="Times New Roman" w:eastAsia="Times New Roman" w:hAnsi="Times New Roman" w:cs="Times New Roman"/>
          <w:b/>
          <w:bCs/>
          <w:lang w:val="en-US"/>
        </w:rPr>
        <w:t xml:space="preserve">Competences – English): </w:t>
      </w:r>
    </w:p>
    <w:p w:rsidR="00A47467" w:rsidRPr="00A47467" w:rsidRDefault="00A47467" w:rsidP="00A47467">
      <w:pPr>
        <w:widowControl w:val="0"/>
        <w:spacing w:before="120" w:after="0" w:line="240" w:lineRule="auto"/>
        <w:ind w:left="425"/>
        <w:jc w:val="both"/>
        <w:rPr>
          <w:rFonts w:ascii="Times New Roman" w:eastAsia="Times New Roman" w:hAnsi="Times New Roman" w:cs="Times New Roman"/>
          <w:b/>
          <w:bCs/>
        </w:rPr>
      </w:pPr>
      <w:r w:rsidRPr="00A47467">
        <w:rPr>
          <w:rFonts w:ascii="Times New Roman" w:eastAsia="Times New Roman" w:hAnsi="Times New Roman" w:cs="Times New Roman"/>
          <w:b/>
          <w:bCs/>
        </w:rPr>
        <w:t xml:space="preserve">Knowledge: </w:t>
      </w:r>
    </w:p>
    <w:p w:rsidR="00A47467" w:rsidRPr="00A47467" w:rsidRDefault="00A47467" w:rsidP="00C2057B">
      <w:pPr>
        <w:widowControl w:val="0"/>
        <w:numPr>
          <w:ilvl w:val="0"/>
          <w:numId w:val="100"/>
        </w:numPr>
        <w:spacing w:before="120" w:after="120" w:line="240" w:lineRule="auto"/>
        <w:contextualSpacing/>
        <w:jc w:val="both"/>
        <w:rPr>
          <w:rFonts w:ascii="Times New Roman" w:eastAsia="Times New Roman" w:hAnsi="Times New Roman" w:cs="Times New Roman"/>
          <w:bCs/>
        </w:rPr>
      </w:pPr>
      <w:r w:rsidRPr="00A47467">
        <w:rPr>
          <w:rFonts w:ascii="Times New Roman" w:eastAsia="Times New Roman" w:hAnsi="Times New Roman" w:cs="Times New Roman"/>
          <w:bCs/>
        </w:rPr>
        <w:t>Knows the basic terms and theories of the materials science.</w:t>
      </w:r>
    </w:p>
    <w:p w:rsidR="00A47467" w:rsidRPr="00A47467" w:rsidRDefault="00A47467" w:rsidP="00C2057B">
      <w:pPr>
        <w:widowControl w:val="0"/>
        <w:numPr>
          <w:ilvl w:val="0"/>
          <w:numId w:val="100"/>
        </w:numPr>
        <w:spacing w:before="120" w:after="120" w:line="240" w:lineRule="auto"/>
        <w:contextualSpacing/>
        <w:jc w:val="both"/>
        <w:rPr>
          <w:rFonts w:ascii="Times New Roman" w:eastAsia="Times New Roman" w:hAnsi="Times New Roman" w:cs="Times New Roman"/>
          <w:bCs/>
        </w:rPr>
      </w:pPr>
      <w:r w:rsidRPr="00A47467">
        <w:rPr>
          <w:rFonts w:ascii="Times New Roman" w:eastAsia="Times New Roman" w:hAnsi="Times New Roman" w:cs="Times New Roman"/>
          <w:bCs/>
        </w:rPr>
        <w:t>Knows the types of materials and the mechanical properties of metal materials.</w:t>
      </w:r>
    </w:p>
    <w:p w:rsidR="00A47467" w:rsidRPr="00A47467" w:rsidRDefault="00A47467" w:rsidP="00C2057B">
      <w:pPr>
        <w:widowControl w:val="0"/>
        <w:numPr>
          <w:ilvl w:val="0"/>
          <w:numId w:val="100"/>
        </w:numPr>
        <w:spacing w:before="120" w:after="120" w:line="240" w:lineRule="auto"/>
        <w:contextualSpacing/>
        <w:jc w:val="both"/>
        <w:rPr>
          <w:rFonts w:ascii="Times New Roman" w:eastAsia="Times New Roman" w:hAnsi="Times New Roman" w:cs="Times New Roman"/>
          <w:bCs/>
        </w:rPr>
      </w:pPr>
      <w:r w:rsidRPr="00A47467">
        <w:rPr>
          <w:rFonts w:ascii="Times New Roman" w:eastAsia="Times New Roman" w:hAnsi="Times New Roman" w:cs="Times New Roman"/>
          <w:bCs/>
        </w:rPr>
        <w:t>Knows the structure of the metal materials and the mistakes of the metal webs.</w:t>
      </w:r>
    </w:p>
    <w:p w:rsidR="00A47467" w:rsidRPr="00A47467" w:rsidRDefault="00A47467" w:rsidP="00C2057B">
      <w:pPr>
        <w:widowControl w:val="0"/>
        <w:numPr>
          <w:ilvl w:val="0"/>
          <w:numId w:val="100"/>
        </w:numPr>
        <w:spacing w:before="120" w:after="120" w:line="240" w:lineRule="auto"/>
        <w:contextualSpacing/>
        <w:jc w:val="both"/>
        <w:rPr>
          <w:rFonts w:ascii="Times New Roman" w:eastAsia="Times New Roman" w:hAnsi="Times New Roman" w:cs="Times New Roman"/>
          <w:bCs/>
        </w:rPr>
      </w:pPr>
      <w:r w:rsidRPr="00A47467">
        <w:rPr>
          <w:rFonts w:ascii="Times New Roman" w:eastAsia="Times New Roman" w:hAnsi="Times New Roman" w:cs="Times New Roman"/>
          <w:bCs/>
        </w:rPr>
        <w:t>Knows the cristallization of the metal materials.</w:t>
      </w:r>
    </w:p>
    <w:p w:rsidR="00A47467" w:rsidRPr="00A47467" w:rsidRDefault="00A47467" w:rsidP="00C2057B">
      <w:pPr>
        <w:widowControl w:val="0"/>
        <w:numPr>
          <w:ilvl w:val="0"/>
          <w:numId w:val="100"/>
        </w:numPr>
        <w:spacing w:before="120" w:after="120" w:line="240" w:lineRule="auto"/>
        <w:contextualSpacing/>
        <w:jc w:val="both"/>
        <w:rPr>
          <w:rFonts w:ascii="Times New Roman" w:eastAsia="Times New Roman" w:hAnsi="Times New Roman" w:cs="Times New Roman"/>
          <w:bCs/>
        </w:rPr>
      </w:pPr>
      <w:r w:rsidRPr="00A47467">
        <w:rPr>
          <w:rFonts w:ascii="Times New Roman" w:eastAsia="Times New Roman" w:hAnsi="Times New Roman" w:cs="Times New Roman"/>
          <w:bCs/>
        </w:rPr>
        <w:t>Knows the composite and plastic materials and the ceramic materials.</w:t>
      </w:r>
    </w:p>
    <w:p w:rsidR="00A47467" w:rsidRPr="00A47467" w:rsidRDefault="00A47467" w:rsidP="00C2057B">
      <w:pPr>
        <w:widowControl w:val="0"/>
        <w:numPr>
          <w:ilvl w:val="0"/>
          <w:numId w:val="100"/>
        </w:numPr>
        <w:spacing w:before="120" w:after="120" w:line="240" w:lineRule="auto"/>
        <w:contextualSpacing/>
        <w:jc w:val="both"/>
        <w:rPr>
          <w:rFonts w:ascii="Times New Roman" w:eastAsia="Times New Roman" w:hAnsi="Times New Roman" w:cs="Times New Roman"/>
          <w:bCs/>
        </w:rPr>
      </w:pPr>
      <w:r w:rsidRPr="00A47467">
        <w:rPr>
          <w:rFonts w:ascii="Times New Roman" w:eastAsia="Times New Roman" w:hAnsi="Times New Roman" w:cs="Times New Roman"/>
          <w:bCs/>
        </w:rPr>
        <w:t xml:space="preserve">Knows the methods of rock-oil yield and the methods of atmospheric and vacuum distillation. </w:t>
      </w:r>
    </w:p>
    <w:p w:rsidR="00A47467" w:rsidRPr="00A47467" w:rsidRDefault="00A47467" w:rsidP="00C2057B">
      <w:pPr>
        <w:widowControl w:val="0"/>
        <w:numPr>
          <w:ilvl w:val="0"/>
          <w:numId w:val="100"/>
        </w:numPr>
        <w:spacing w:before="120" w:after="120" w:line="240" w:lineRule="auto"/>
        <w:contextualSpacing/>
        <w:jc w:val="both"/>
        <w:rPr>
          <w:rFonts w:ascii="Times New Roman" w:eastAsia="Times New Roman" w:hAnsi="Times New Roman" w:cs="Times New Roman"/>
          <w:bCs/>
        </w:rPr>
      </w:pPr>
      <w:r w:rsidRPr="00A47467">
        <w:rPr>
          <w:rFonts w:ascii="Times New Roman" w:eastAsia="Times New Roman" w:hAnsi="Times New Roman" w:cs="Times New Roman"/>
          <w:bCs/>
        </w:rPr>
        <w:t>Knows the transformations of oil products.</w:t>
      </w:r>
    </w:p>
    <w:p w:rsidR="00A47467" w:rsidRPr="00A47467" w:rsidRDefault="00A47467" w:rsidP="00A47467">
      <w:pPr>
        <w:widowControl w:val="0"/>
        <w:spacing w:before="240" w:after="0" w:line="240" w:lineRule="auto"/>
        <w:ind w:left="425"/>
        <w:jc w:val="both"/>
        <w:rPr>
          <w:rFonts w:ascii="Times New Roman" w:eastAsia="Times New Roman" w:hAnsi="Times New Roman" w:cs="Times New Roman"/>
          <w:b/>
          <w:bCs/>
        </w:rPr>
      </w:pPr>
      <w:r w:rsidRPr="00A47467">
        <w:rPr>
          <w:rFonts w:ascii="Times New Roman" w:eastAsia="Times New Roman" w:hAnsi="Times New Roman" w:cs="Times New Roman"/>
          <w:b/>
          <w:bCs/>
        </w:rPr>
        <w:t xml:space="preserve">Capabilities: </w:t>
      </w:r>
    </w:p>
    <w:p w:rsidR="00A47467" w:rsidRPr="00A47467" w:rsidRDefault="00A47467" w:rsidP="00C2057B">
      <w:pPr>
        <w:widowControl w:val="0"/>
        <w:numPr>
          <w:ilvl w:val="0"/>
          <w:numId w:val="100"/>
        </w:numPr>
        <w:spacing w:before="120" w:after="120" w:line="240" w:lineRule="auto"/>
        <w:contextualSpacing/>
        <w:jc w:val="both"/>
        <w:rPr>
          <w:rFonts w:ascii="Times New Roman" w:eastAsia="Times New Roman" w:hAnsi="Times New Roman" w:cs="Times New Roman"/>
          <w:bCs/>
        </w:rPr>
      </w:pPr>
      <w:r w:rsidRPr="00A47467">
        <w:rPr>
          <w:rFonts w:ascii="Times New Roman" w:eastAsia="Times New Roman" w:hAnsi="Times New Roman" w:cs="Times New Roman"/>
          <w:bCs/>
        </w:rPr>
        <w:t>Is capable of recognising the metal, plastic, composite and the ceramic materials.</w:t>
      </w:r>
    </w:p>
    <w:p w:rsidR="00A47467" w:rsidRPr="00A47467" w:rsidRDefault="00A47467" w:rsidP="00C2057B">
      <w:pPr>
        <w:widowControl w:val="0"/>
        <w:numPr>
          <w:ilvl w:val="0"/>
          <w:numId w:val="100"/>
        </w:numPr>
        <w:spacing w:before="120" w:after="120" w:line="240" w:lineRule="auto"/>
        <w:contextualSpacing/>
        <w:jc w:val="both"/>
        <w:rPr>
          <w:rFonts w:ascii="Times New Roman" w:eastAsia="Times New Roman" w:hAnsi="Times New Roman" w:cs="Times New Roman"/>
          <w:bCs/>
        </w:rPr>
      </w:pPr>
      <w:r w:rsidRPr="00A47467">
        <w:rPr>
          <w:rFonts w:ascii="Times New Roman" w:eastAsia="Times New Roman" w:hAnsi="Times New Roman" w:cs="Times New Roman"/>
          <w:bCs/>
        </w:rPr>
        <w:t>Is capable of distinguishing the types of oil products.</w:t>
      </w:r>
    </w:p>
    <w:p w:rsidR="00A47467" w:rsidRPr="00A47467" w:rsidRDefault="00A47467" w:rsidP="00C2057B">
      <w:pPr>
        <w:widowControl w:val="0"/>
        <w:numPr>
          <w:ilvl w:val="0"/>
          <w:numId w:val="100"/>
        </w:numPr>
        <w:spacing w:before="120" w:after="120" w:line="240" w:lineRule="auto"/>
        <w:contextualSpacing/>
        <w:jc w:val="both"/>
        <w:rPr>
          <w:rFonts w:ascii="Times New Roman" w:eastAsia="Times New Roman" w:hAnsi="Times New Roman" w:cs="Times New Roman"/>
          <w:bCs/>
        </w:rPr>
      </w:pPr>
      <w:r w:rsidRPr="00A47467">
        <w:rPr>
          <w:rFonts w:ascii="Times New Roman" w:eastAsia="Times New Roman" w:hAnsi="Times New Roman" w:cs="Times New Roman"/>
          <w:bCs/>
        </w:rPr>
        <w:t xml:space="preserve">Is capable of recognising the mechanical properties of metal materials. </w:t>
      </w:r>
    </w:p>
    <w:p w:rsidR="00A47467" w:rsidRPr="00A47467" w:rsidRDefault="00A47467" w:rsidP="00C2057B">
      <w:pPr>
        <w:widowControl w:val="0"/>
        <w:numPr>
          <w:ilvl w:val="0"/>
          <w:numId w:val="100"/>
        </w:numPr>
        <w:spacing w:before="120" w:after="120" w:line="240" w:lineRule="auto"/>
        <w:contextualSpacing/>
        <w:jc w:val="both"/>
        <w:rPr>
          <w:rFonts w:ascii="Times New Roman" w:eastAsia="Times New Roman" w:hAnsi="Times New Roman" w:cs="Times New Roman"/>
          <w:bCs/>
        </w:rPr>
      </w:pPr>
      <w:r w:rsidRPr="00A47467">
        <w:rPr>
          <w:rFonts w:ascii="Times New Roman" w:eastAsia="Times New Roman" w:hAnsi="Times New Roman" w:cs="Times New Roman"/>
          <w:bCs/>
        </w:rPr>
        <w:t>Is capable of distinguishing the structure of metal materials and the mistakes of the metal webs.</w:t>
      </w:r>
    </w:p>
    <w:p w:rsidR="00A47467" w:rsidRPr="00A47467" w:rsidRDefault="00A47467" w:rsidP="00C2057B">
      <w:pPr>
        <w:widowControl w:val="0"/>
        <w:numPr>
          <w:ilvl w:val="0"/>
          <w:numId w:val="100"/>
        </w:numPr>
        <w:spacing w:before="120" w:after="120" w:line="240" w:lineRule="auto"/>
        <w:contextualSpacing/>
        <w:jc w:val="both"/>
        <w:rPr>
          <w:rFonts w:ascii="Times New Roman" w:eastAsia="Times New Roman" w:hAnsi="Times New Roman" w:cs="Times New Roman"/>
          <w:bCs/>
        </w:rPr>
      </w:pPr>
      <w:r w:rsidRPr="00A47467">
        <w:rPr>
          <w:rFonts w:ascii="Times New Roman" w:eastAsia="Times New Roman" w:hAnsi="Times New Roman" w:cs="Times New Roman"/>
          <w:bCs/>
        </w:rPr>
        <w:t>Is capable of distinguishing the cristallization of the metal materials.</w:t>
      </w:r>
    </w:p>
    <w:p w:rsidR="00A47467" w:rsidRPr="00A47467" w:rsidRDefault="00A47467" w:rsidP="00C2057B">
      <w:pPr>
        <w:widowControl w:val="0"/>
        <w:numPr>
          <w:ilvl w:val="0"/>
          <w:numId w:val="100"/>
        </w:numPr>
        <w:spacing w:before="120" w:after="120" w:line="240" w:lineRule="auto"/>
        <w:contextualSpacing/>
        <w:jc w:val="both"/>
        <w:rPr>
          <w:rFonts w:ascii="Times New Roman" w:eastAsia="Times New Roman" w:hAnsi="Times New Roman" w:cs="Times New Roman"/>
          <w:bCs/>
        </w:rPr>
      </w:pPr>
      <w:r w:rsidRPr="00A47467">
        <w:rPr>
          <w:rFonts w:ascii="Times New Roman" w:eastAsia="Times New Roman" w:hAnsi="Times New Roman" w:cs="Times New Roman"/>
          <w:bCs/>
        </w:rPr>
        <w:t>Is capable of recognising the composite and plastic materials and the ceramic materials.</w:t>
      </w:r>
    </w:p>
    <w:p w:rsidR="00A47467" w:rsidRPr="00A47467" w:rsidRDefault="00A47467" w:rsidP="00C2057B">
      <w:pPr>
        <w:widowControl w:val="0"/>
        <w:numPr>
          <w:ilvl w:val="0"/>
          <w:numId w:val="100"/>
        </w:numPr>
        <w:spacing w:before="120" w:after="120" w:line="240" w:lineRule="auto"/>
        <w:contextualSpacing/>
        <w:jc w:val="both"/>
        <w:rPr>
          <w:rFonts w:ascii="Times New Roman" w:eastAsia="Times New Roman" w:hAnsi="Times New Roman" w:cs="Times New Roman"/>
          <w:bCs/>
        </w:rPr>
      </w:pPr>
      <w:r w:rsidRPr="00A47467">
        <w:rPr>
          <w:rFonts w:ascii="Times New Roman" w:eastAsia="Times New Roman" w:hAnsi="Times New Roman" w:cs="Times New Roman"/>
          <w:bCs/>
        </w:rPr>
        <w:t>Is capable of recognising the methods of atmospheric and vacuum distillation.</w:t>
      </w:r>
    </w:p>
    <w:p w:rsidR="00A47467" w:rsidRPr="00A47467" w:rsidRDefault="00A47467" w:rsidP="00C2057B">
      <w:pPr>
        <w:widowControl w:val="0"/>
        <w:numPr>
          <w:ilvl w:val="0"/>
          <w:numId w:val="100"/>
        </w:numPr>
        <w:spacing w:before="120" w:after="120" w:line="240" w:lineRule="auto"/>
        <w:contextualSpacing/>
        <w:jc w:val="both"/>
        <w:rPr>
          <w:rFonts w:ascii="Times New Roman" w:eastAsia="Times New Roman" w:hAnsi="Times New Roman" w:cs="Times New Roman"/>
          <w:bCs/>
        </w:rPr>
      </w:pPr>
      <w:r w:rsidRPr="00A47467">
        <w:rPr>
          <w:rFonts w:ascii="Times New Roman" w:eastAsia="Times New Roman" w:hAnsi="Times New Roman" w:cs="Times New Roman"/>
          <w:bCs/>
        </w:rPr>
        <w:t>Is capable of recognising the transformation of oil products.</w:t>
      </w:r>
    </w:p>
    <w:p w:rsidR="00A47467" w:rsidRPr="00A47467" w:rsidRDefault="00A47467" w:rsidP="00A47467">
      <w:pPr>
        <w:widowControl w:val="0"/>
        <w:spacing w:before="240" w:after="0" w:line="240" w:lineRule="auto"/>
        <w:ind w:left="425"/>
        <w:jc w:val="both"/>
        <w:rPr>
          <w:rFonts w:ascii="Times New Roman" w:eastAsia="Times New Roman" w:hAnsi="Times New Roman" w:cs="Times New Roman"/>
          <w:b/>
          <w:bCs/>
        </w:rPr>
      </w:pPr>
      <w:r w:rsidRPr="00A47467">
        <w:rPr>
          <w:rFonts w:ascii="Times New Roman" w:eastAsia="Times New Roman" w:hAnsi="Times New Roman" w:cs="Times New Roman"/>
          <w:b/>
          <w:bCs/>
        </w:rPr>
        <w:t xml:space="preserve">Attitude: </w:t>
      </w:r>
    </w:p>
    <w:p w:rsidR="00A47467" w:rsidRPr="00A47467" w:rsidRDefault="00A47467" w:rsidP="00C2057B">
      <w:pPr>
        <w:numPr>
          <w:ilvl w:val="0"/>
          <w:numId w:val="10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rPr>
      </w:pPr>
      <w:r w:rsidRPr="00A47467">
        <w:rPr>
          <w:rFonts w:ascii="Times New Roman" w:eastAsia="Times New Roman" w:hAnsi="Times New Roman" w:cs="Times New Roman"/>
        </w:rPr>
        <w:t>He/she is open to widen his/her knowledge regarding the materials science, and has a constant need for self-education.</w:t>
      </w:r>
    </w:p>
    <w:p w:rsidR="00A47467" w:rsidRPr="00A47467" w:rsidRDefault="00A47467" w:rsidP="00C2057B">
      <w:pPr>
        <w:numPr>
          <w:ilvl w:val="0"/>
          <w:numId w:val="10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rPr>
      </w:pPr>
      <w:r w:rsidRPr="00A47467">
        <w:rPr>
          <w:rFonts w:ascii="Times New Roman" w:eastAsia="Times New Roman" w:hAnsi="Times New Roman" w:cs="Times New Roman"/>
        </w:rPr>
        <w:t>He/she is open towards the new accomplishments during work and aims to gain knowledge of these.</w:t>
      </w:r>
    </w:p>
    <w:p w:rsidR="00A47467" w:rsidRPr="00A47467" w:rsidRDefault="00A47467" w:rsidP="00C2057B">
      <w:pPr>
        <w:numPr>
          <w:ilvl w:val="0"/>
          <w:numId w:val="10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lang w:val="en-GB"/>
        </w:rPr>
      </w:pPr>
      <w:r w:rsidRPr="00A47467">
        <w:rPr>
          <w:rFonts w:ascii="Times New Roman" w:eastAsia="Times New Roman" w:hAnsi="Times New Roman" w:cs="Times New Roman"/>
        </w:rPr>
        <w:t>His/her work and relationships can be described by loyalty and reliability.</w:t>
      </w:r>
    </w:p>
    <w:p w:rsidR="00A47467" w:rsidRPr="00A47467" w:rsidRDefault="00A47467" w:rsidP="00A47467">
      <w:pPr>
        <w:widowControl w:val="0"/>
        <w:spacing w:before="120" w:after="0" w:line="240" w:lineRule="auto"/>
        <w:ind w:left="425"/>
        <w:jc w:val="both"/>
        <w:rPr>
          <w:rFonts w:ascii="Times New Roman" w:eastAsia="Times New Roman" w:hAnsi="Times New Roman" w:cs="Times New Roman"/>
          <w:b/>
          <w:bCs/>
        </w:rPr>
      </w:pPr>
      <w:r w:rsidRPr="00A47467">
        <w:rPr>
          <w:rFonts w:ascii="Times New Roman" w:eastAsia="Times New Roman" w:hAnsi="Times New Roman" w:cs="Times New Roman"/>
          <w:b/>
          <w:bCs/>
        </w:rPr>
        <w:t xml:space="preserve">Autonomy and responsibility: </w:t>
      </w:r>
    </w:p>
    <w:p w:rsidR="00A47467" w:rsidRPr="00A47467" w:rsidRDefault="00A47467" w:rsidP="00C2057B">
      <w:pPr>
        <w:widowControl w:val="0"/>
        <w:numPr>
          <w:ilvl w:val="0"/>
          <w:numId w:val="100"/>
        </w:numPr>
        <w:spacing w:before="120" w:after="120" w:line="240" w:lineRule="auto"/>
        <w:contextualSpacing/>
        <w:jc w:val="both"/>
        <w:rPr>
          <w:rFonts w:ascii="Times New Roman" w:eastAsia="Times New Roman" w:hAnsi="Times New Roman" w:cs="Times New Roman"/>
        </w:rPr>
      </w:pPr>
      <w:r w:rsidRPr="00A47467">
        <w:rPr>
          <w:rFonts w:ascii="Times New Roman" w:eastAsia="Times New Roman" w:hAnsi="Times New Roman" w:cs="Times New Roman"/>
        </w:rPr>
        <w:t>Is capable of organizing and determining the tasks of his/her subordinates as well as controlling their work based on professional aspects.</w:t>
      </w:r>
    </w:p>
    <w:p w:rsidR="00A47467" w:rsidRPr="00A47467" w:rsidRDefault="00A47467" w:rsidP="00C2057B">
      <w:pPr>
        <w:widowControl w:val="0"/>
        <w:numPr>
          <w:ilvl w:val="0"/>
          <w:numId w:val="100"/>
        </w:numPr>
        <w:spacing w:before="120" w:after="120" w:line="240" w:lineRule="auto"/>
        <w:contextualSpacing/>
        <w:jc w:val="both"/>
        <w:rPr>
          <w:rFonts w:ascii="Times New Roman" w:eastAsia="Times New Roman" w:hAnsi="Times New Roman" w:cs="Times New Roman"/>
        </w:rPr>
      </w:pPr>
      <w:r w:rsidRPr="00A47467">
        <w:rPr>
          <w:rFonts w:ascii="Times New Roman" w:eastAsia="Times New Roman" w:hAnsi="Times New Roman" w:cs="Times New Roman"/>
        </w:rPr>
        <w:t xml:space="preserve">After doing proper analysation, he/she is capable of making the best decisions and taking </w:t>
      </w:r>
      <w:r w:rsidRPr="00A47467">
        <w:rPr>
          <w:rFonts w:ascii="Times New Roman" w:eastAsia="Times New Roman" w:hAnsi="Times New Roman" w:cs="Times New Roman"/>
        </w:rPr>
        <w:lastRenderedPageBreak/>
        <w:t>professional responsibility during the technical maintenance and repairing of the military technical items.</w:t>
      </w:r>
    </w:p>
    <w:p w:rsidR="00A47467" w:rsidRPr="00A47467" w:rsidRDefault="00A47467" w:rsidP="00C2057B">
      <w:pPr>
        <w:widowControl w:val="0"/>
        <w:numPr>
          <w:ilvl w:val="0"/>
          <w:numId w:val="100"/>
        </w:numPr>
        <w:spacing w:before="120" w:after="120" w:line="240" w:lineRule="auto"/>
        <w:contextualSpacing/>
        <w:jc w:val="both"/>
        <w:rPr>
          <w:rFonts w:ascii="Times New Roman" w:eastAsia="Times New Roman" w:hAnsi="Times New Roman" w:cs="Times New Roman"/>
        </w:rPr>
      </w:pPr>
      <w:r w:rsidRPr="00A47467">
        <w:rPr>
          <w:rFonts w:ascii="Times New Roman" w:eastAsia="Times New Roman" w:hAnsi="Times New Roman" w:cs="Times New Roman"/>
        </w:rPr>
        <w:t>He/she is cooperative and responsible towards the professionals of his/her field.</w:t>
      </w:r>
    </w:p>
    <w:p w:rsidR="00A47467" w:rsidRPr="00A47467" w:rsidRDefault="00A47467" w:rsidP="00C2057B">
      <w:pPr>
        <w:widowControl w:val="0"/>
        <w:numPr>
          <w:ilvl w:val="0"/>
          <w:numId w:val="100"/>
        </w:numPr>
        <w:spacing w:before="120" w:after="120" w:line="240" w:lineRule="auto"/>
        <w:contextualSpacing/>
        <w:jc w:val="both"/>
        <w:rPr>
          <w:rFonts w:ascii="Times New Roman" w:eastAsia="Times New Roman" w:hAnsi="Times New Roman" w:cs="Times New Roman"/>
          <w:lang w:val="en-GB"/>
        </w:rPr>
      </w:pPr>
      <w:r w:rsidRPr="00A47467">
        <w:rPr>
          <w:rFonts w:ascii="Times New Roman" w:eastAsia="Times New Roman" w:hAnsi="Times New Roman" w:cs="Times New Roman"/>
        </w:rPr>
        <w:t>Is capable of thinking in a system approach within his/her own field.</w:t>
      </w:r>
    </w:p>
    <w:p w:rsidR="00AA1279" w:rsidRDefault="00AA1279" w:rsidP="00C2057B">
      <w:pPr>
        <w:widowControl w:val="0"/>
        <w:numPr>
          <w:ilvl w:val="0"/>
          <w:numId w:val="101"/>
        </w:numPr>
        <w:tabs>
          <w:tab w:val="num" w:pos="567"/>
        </w:tabs>
        <w:spacing w:before="24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Előtanulmányi követelmények: </w:t>
      </w:r>
    </w:p>
    <w:p w:rsidR="00AA1279" w:rsidRDefault="00AA1279" w:rsidP="00C2057B">
      <w:pPr>
        <w:widowControl w:val="0"/>
        <w:numPr>
          <w:ilvl w:val="0"/>
          <w:numId w:val="101"/>
        </w:numPr>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A tantárgy tananyagának leírása, tematika. Description of the subject, curriculum (magyarul, angolul - English):</w:t>
      </w:r>
    </w:p>
    <w:p w:rsidR="00AA1279" w:rsidRDefault="00AA1279" w:rsidP="00C2057B">
      <w:pPr>
        <w:widowControl w:val="0"/>
        <w:numPr>
          <w:ilvl w:val="1"/>
          <w:numId w:val="101"/>
        </w:numPr>
        <w:tabs>
          <w:tab w:val="clear" w:pos="3977"/>
          <w:tab w:val="num" w:pos="1566"/>
          <w:tab w:val="num" w:pos="2069"/>
        </w:tabs>
        <w:spacing w:before="60" w:after="0" w:line="240" w:lineRule="auto"/>
        <w:ind w:left="992" w:hanging="567"/>
        <w:jc w:val="both"/>
        <w:rPr>
          <w:rFonts w:ascii="Times New Roman" w:eastAsia="Times New Roman" w:hAnsi="Times New Roman" w:cs="Times New Roman"/>
          <w:b/>
        </w:rPr>
      </w:pPr>
      <w:r>
        <w:rPr>
          <w:rFonts w:ascii="Times New Roman" w:eastAsia="Times New Roman" w:hAnsi="Times New Roman" w:cs="Times New Roman"/>
          <w:bCs/>
          <w:lang w:eastAsia="hu-HU"/>
        </w:rPr>
        <w:t>Alapfogalmak.</w:t>
      </w:r>
      <w:r>
        <w:rPr>
          <w:rFonts w:ascii="Times New Roman" w:eastAsia="Times New Roman" w:hAnsi="Times New Roman" w:cs="Times New Roman"/>
        </w:rPr>
        <w:t xml:space="preserve"> (</w:t>
      </w:r>
      <w:r>
        <w:rPr>
          <w:rFonts w:ascii="Times New Roman" w:eastAsia="Times New Roman" w:hAnsi="Times New Roman" w:cs="Times New Roman"/>
          <w:bCs/>
          <w:i/>
          <w:lang w:eastAsia="hu-HU"/>
        </w:rPr>
        <w:t>Basic terms</w:t>
      </w:r>
      <w:r>
        <w:rPr>
          <w:rFonts w:ascii="Times New Roman" w:eastAsia="Times New Roman" w:hAnsi="Times New Roman" w:cs="Times New Roman"/>
          <w:bCs/>
          <w:lang w:eastAsia="hu-HU"/>
        </w:rPr>
        <w:t>.</w:t>
      </w:r>
      <w:r>
        <w:rPr>
          <w:rFonts w:ascii="Times New Roman" w:eastAsia="Times New Roman" w:hAnsi="Times New Roman" w:cs="Times New Roman"/>
        </w:rPr>
        <w:t>)</w:t>
      </w:r>
    </w:p>
    <w:p w:rsidR="00AA1279" w:rsidRDefault="00AA1279" w:rsidP="00C2057B">
      <w:pPr>
        <w:widowControl w:val="0"/>
        <w:numPr>
          <w:ilvl w:val="1"/>
          <w:numId w:val="101"/>
        </w:numPr>
        <w:tabs>
          <w:tab w:val="clear" w:pos="3977"/>
          <w:tab w:val="num" w:pos="1566"/>
          <w:tab w:val="num" w:pos="2069"/>
        </w:tabs>
        <w:spacing w:before="60" w:after="0" w:line="240" w:lineRule="auto"/>
        <w:ind w:left="992" w:hanging="567"/>
        <w:jc w:val="both"/>
        <w:rPr>
          <w:rFonts w:ascii="Times New Roman" w:eastAsia="Times New Roman" w:hAnsi="Times New Roman" w:cs="Times New Roman"/>
          <w:b/>
        </w:rPr>
      </w:pPr>
      <w:r>
        <w:rPr>
          <w:rFonts w:ascii="Times New Roman" w:eastAsia="Times New Roman" w:hAnsi="Times New Roman" w:cs="Times New Roman"/>
          <w:bCs/>
        </w:rPr>
        <w:t xml:space="preserve">Az anyagtudomány főbb elvei. </w:t>
      </w:r>
      <w:r>
        <w:rPr>
          <w:rFonts w:ascii="Times New Roman" w:eastAsia="Times New Roman" w:hAnsi="Times New Roman" w:cs="Times New Roman"/>
          <w:bCs/>
          <w:lang w:eastAsia="hu-HU"/>
        </w:rPr>
        <w:t>(</w:t>
      </w:r>
      <w:r>
        <w:rPr>
          <w:rFonts w:ascii="Times New Roman" w:eastAsia="Times New Roman" w:hAnsi="Times New Roman" w:cs="Times New Roman"/>
          <w:bCs/>
          <w:i/>
        </w:rPr>
        <w:t>Basic theories of the materials science</w:t>
      </w:r>
      <w:r>
        <w:rPr>
          <w:rFonts w:ascii="Times New Roman" w:eastAsia="Times New Roman" w:hAnsi="Times New Roman" w:cs="Times New Roman"/>
          <w:bCs/>
        </w:rPr>
        <w:t>.</w:t>
      </w:r>
      <w:r>
        <w:rPr>
          <w:rFonts w:ascii="Times New Roman" w:eastAsia="Times New Roman" w:hAnsi="Times New Roman" w:cs="Times New Roman"/>
          <w:bCs/>
          <w:lang w:eastAsia="hu-HU"/>
        </w:rPr>
        <w:t>)</w:t>
      </w:r>
    </w:p>
    <w:p w:rsidR="00AA1279" w:rsidRDefault="00AA1279" w:rsidP="00C2057B">
      <w:pPr>
        <w:widowControl w:val="0"/>
        <w:numPr>
          <w:ilvl w:val="1"/>
          <w:numId w:val="101"/>
        </w:numPr>
        <w:tabs>
          <w:tab w:val="clear" w:pos="3977"/>
          <w:tab w:val="num" w:pos="1566"/>
          <w:tab w:val="num" w:pos="2069"/>
        </w:tabs>
        <w:spacing w:before="60" w:after="0" w:line="240" w:lineRule="auto"/>
        <w:ind w:left="992" w:hanging="567"/>
        <w:jc w:val="both"/>
        <w:rPr>
          <w:rFonts w:ascii="Times New Roman" w:eastAsia="Times New Roman" w:hAnsi="Times New Roman" w:cs="Times New Roman"/>
        </w:rPr>
      </w:pPr>
      <w:r>
        <w:rPr>
          <w:rFonts w:ascii="Times New Roman" w:eastAsia="Times New Roman" w:hAnsi="Times New Roman" w:cs="Times New Roman"/>
          <w:bCs/>
        </w:rPr>
        <w:t>Az anyagok felosztása.</w:t>
      </w:r>
      <w:r>
        <w:rPr>
          <w:rFonts w:ascii="Times New Roman" w:eastAsia="Times New Roman" w:hAnsi="Times New Roman" w:cs="Times New Roman"/>
        </w:rPr>
        <w:t xml:space="preserve"> (</w:t>
      </w:r>
      <w:r>
        <w:rPr>
          <w:rFonts w:ascii="Times New Roman" w:eastAsia="Times New Roman" w:hAnsi="Times New Roman" w:cs="Times New Roman"/>
          <w:bCs/>
          <w:i/>
        </w:rPr>
        <w:t>The types of materials</w:t>
      </w:r>
      <w:r>
        <w:rPr>
          <w:rFonts w:ascii="Times New Roman" w:eastAsia="Times New Roman" w:hAnsi="Times New Roman" w:cs="Times New Roman"/>
          <w:bCs/>
        </w:rPr>
        <w:t>.</w:t>
      </w:r>
      <w:r>
        <w:rPr>
          <w:rFonts w:ascii="Times New Roman" w:eastAsia="Times New Roman" w:hAnsi="Times New Roman" w:cs="Times New Roman"/>
        </w:rPr>
        <w:t>)</w:t>
      </w:r>
    </w:p>
    <w:p w:rsidR="00AA1279" w:rsidRDefault="00AA1279" w:rsidP="00C2057B">
      <w:pPr>
        <w:widowControl w:val="0"/>
        <w:numPr>
          <w:ilvl w:val="1"/>
          <w:numId w:val="101"/>
        </w:numPr>
        <w:tabs>
          <w:tab w:val="clear" w:pos="3977"/>
          <w:tab w:val="num" w:pos="1566"/>
          <w:tab w:val="num" w:pos="2069"/>
        </w:tabs>
        <w:spacing w:before="60" w:after="0" w:line="240" w:lineRule="auto"/>
        <w:ind w:left="992" w:hanging="567"/>
        <w:jc w:val="both"/>
        <w:rPr>
          <w:rFonts w:ascii="Times New Roman" w:eastAsia="Times New Roman" w:hAnsi="Times New Roman" w:cs="Times New Roman"/>
        </w:rPr>
      </w:pPr>
      <w:r>
        <w:rPr>
          <w:rFonts w:ascii="Times New Roman" w:eastAsia="Times New Roman" w:hAnsi="Times New Roman" w:cs="Times New Roman"/>
          <w:bCs/>
        </w:rPr>
        <w:t>Fémek mechanikai tulajdonságai.</w:t>
      </w:r>
      <w:r>
        <w:rPr>
          <w:rFonts w:ascii="Times New Roman" w:eastAsia="Times New Roman" w:hAnsi="Times New Roman" w:cs="Times New Roman"/>
        </w:rPr>
        <w:t xml:space="preserve"> (</w:t>
      </w:r>
      <w:r>
        <w:rPr>
          <w:rFonts w:ascii="Times New Roman" w:eastAsia="Times New Roman" w:hAnsi="Times New Roman" w:cs="Times New Roman"/>
          <w:bCs/>
          <w:i/>
        </w:rPr>
        <w:t>Mechanical properties of metal materials</w:t>
      </w:r>
      <w:r>
        <w:rPr>
          <w:rFonts w:ascii="Times New Roman" w:eastAsia="Times New Roman" w:hAnsi="Times New Roman" w:cs="Times New Roman"/>
          <w:bCs/>
        </w:rPr>
        <w:t>.</w:t>
      </w:r>
      <w:r>
        <w:rPr>
          <w:rFonts w:ascii="Times New Roman" w:eastAsia="Times New Roman" w:hAnsi="Times New Roman" w:cs="Times New Roman"/>
        </w:rPr>
        <w:t>)</w:t>
      </w:r>
    </w:p>
    <w:p w:rsidR="00AA1279" w:rsidRDefault="00AA1279" w:rsidP="00C2057B">
      <w:pPr>
        <w:widowControl w:val="0"/>
        <w:numPr>
          <w:ilvl w:val="1"/>
          <w:numId w:val="101"/>
        </w:numPr>
        <w:tabs>
          <w:tab w:val="clear" w:pos="3977"/>
          <w:tab w:val="num" w:pos="1566"/>
          <w:tab w:val="num" w:pos="2069"/>
        </w:tabs>
        <w:spacing w:before="60" w:after="0" w:line="240" w:lineRule="auto"/>
        <w:ind w:left="992" w:hanging="567"/>
        <w:jc w:val="both"/>
        <w:rPr>
          <w:rFonts w:ascii="Times New Roman" w:eastAsia="Times New Roman" w:hAnsi="Times New Roman" w:cs="Times New Roman"/>
        </w:rPr>
      </w:pPr>
      <w:r>
        <w:rPr>
          <w:rFonts w:ascii="Times New Roman" w:eastAsia="Times New Roman" w:hAnsi="Times New Roman" w:cs="Times New Roman"/>
        </w:rPr>
        <w:t>Fémek szerkezete. (</w:t>
      </w:r>
      <w:r>
        <w:rPr>
          <w:rFonts w:ascii="Times New Roman" w:eastAsia="Times New Roman" w:hAnsi="Times New Roman" w:cs="Times New Roman"/>
          <w:i/>
        </w:rPr>
        <w:t>Structure of metal materials</w:t>
      </w:r>
      <w:r>
        <w:rPr>
          <w:rFonts w:ascii="Times New Roman" w:eastAsia="Times New Roman" w:hAnsi="Times New Roman" w:cs="Times New Roman"/>
        </w:rPr>
        <w:t>.)</w:t>
      </w:r>
    </w:p>
    <w:p w:rsidR="00AA1279" w:rsidRDefault="00AA1279" w:rsidP="00C2057B">
      <w:pPr>
        <w:widowControl w:val="0"/>
        <w:numPr>
          <w:ilvl w:val="1"/>
          <w:numId w:val="101"/>
        </w:numPr>
        <w:tabs>
          <w:tab w:val="clear" w:pos="3977"/>
          <w:tab w:val="num" w:pos="1566"/>
          <w:tab w:val="num" w:pos="2069"/>
        </w:tabs>
        <w:spacing w:before="60" w:after="0" w:line="240" w:lineRule="auto"/>
        <w:ind w:left="992" w:hanging="567"/>
        <w:jc w:val="both"/>
        <w:rPr>
          <w:rFonts w:ascii="Times New Roman" w:eastAsia="Times New Roman" w:hAnsi="Times New Roman" w:cs="Times New Roman"/>
        </w:rPr>
      </w:pPr>
      <w:r>
        <w:rPr>
          <w:rFonts w:ascii="Times New Roman" w:eastAsia="Times New Roman" w:hAnsi="Times New Roman" w:cs="Times New Roman"/>
          <w:bCs/>
        </w:rPr>
        <w:t>A fémrács hibái. (</w:t>
      </w:r>
      <w:r>
        <w:rPr>
          <w:rFonts w:ascii="Times New Roman" w:eastAsia="Times New Roman" w:hAnsi="Times New Roman" w:cs="Times New Roman"/>
          <w:bCs/>
          <w:i/>
        </w:rPr>
        <w:t>Mistakes of the metal webs</w:t>
      </w:r>
      <w:r>
        <w:rPr>
          <w:rFonts w:ascii="Times New Roman" w:eastAsia="Times New Roman" w:hAnsi="Times New Roman" w:cs="Times New Roman"/>
          <w:bCs/>
        </w:rPr>
        <w:t>.</w:t>
      </w:r>
      <w:r>
        <w:rPr>
          <w:rFonts w:ascii="Times New Roman" w:eastAsia="Times New Roman" w:hAnsi="Times New Roman" w:cs="Times New Roman"/>
          <w:bCs/>
          <w:lang w:eastAsia="hu-HU"/>
        </w:rPr>
        <w:t>)</w:t>
      </w:r>
    </w:p>
    <w:p w:rsidR="00AA1279" w:rsidRDefault="00AA1279" w:rsidP="00C2057B">
      <w:pPr>
        <w:widowControl w:val="0"/>
        <w:numPr>
          <w:ilvl w:val="1"/>
          <w:numId w:val="101"/>
        </w:numPr>
        <w:tabs>
          <w:tab w:val="clear" w:pos="3977"/>
          <w:tab w:val="num" w:pos="1566"/>
          <w:tab w:val="num" w:pos="2069"/>
        </w:tabs>
        <w:spacing w:before="60" w:after="0" w:line="240" w:lineRule="auto"/>
        <w:ind w:left="992" w:hanging="567"/>
        <w:jc w:val="both"/>
        <w:rPr>
          <w:rFonts w:ascii="Times New Roman" w:eastAsia="Times New Roman" w:hAnsi="Times New Roman" w:cs="Times New Roman"/>
        </w:rPr>
      </w:pPr>
      <w:r>
        <w:rPr>
          <w:rFonts w:ascii="Times New Roman" w:eastAsia="Times New Roman" w:hAnsi="Times New Roman" w:cs="Times New Roman"/>
          <w:bCs/>
        </w:rPr>
        <w:t>Az ötvözetek szerkezete. (</w:t>
      </w:r>
      <w:r>
        <w:rPr>
          <w:rFonts w:ascii="Times New Roman" w:eastAsia="Times New Roman" w:hAnsi="Times New Roman" w:cs="Times New Roman"/>
          <w:bCs/>
          <w:i/>
        </w:rPr>
        <w:t>The structure of the metal materials</w:t>
      </w:r>
      <w:r>
        <w:rPr>
          <w:rFonts w:ascii="Times New Roman" w:eastAsia="Times New Roman" w:hAnsi="Times New Roman" w:cs="Times New Roman"/>
          <w:bCs/>
        </w:rPr>
        <w:t xml:space="preserve">.) </w:t>
      </w:r>
    </w:p>
    <w:p w:rsidR="00AA1279" w:rsidRDefault="00AA1279" w:rsidP="00C2057B">
      <w:pPr>
        <w:widowControl w:val="0"/>
        <w:numPr>
          <w:ilvl w:val="1"/>
          <w:numId w:val="101"/>
        </w:numPr>
        <w:tabs>
          <w:tab w:val="clear" w:pos="3977"/>
          <w:tab w:val="num" w:pos="1566"/>
          <w:tab w:val="num" w:pos="2069"/>
        </w:tabs>
        <w:spacing w:before="60" w:after="0" w:line="240" w:lineRule="auto"/>
        <w:ind w:left="992" w:hanging="567"/>
        <w:jc w:val="both"/>
        <w:rPr>
          <w:rFonts w:ascii="Times New Roman" w:eastAsia="Times New Roman" w:hAnsi="Times New Roman" w:cs="Times New Roman"/>
        </w:rPr>
      </w:pPr>
      <w:r>
        <w:rPr>
          <w:rFonts w:ascii="Times New Roman" w:eastAsia="Times New Roman" w:hAnsi="Times New Roman" w:cs="Times New Roman"/>
          <w:bCs/>
        </w:rPr>
        <w:t>A fémek és az ötvözetek kristályosodása. (</w:t>
      </w:r>
      <w:r>
        <w:rPr>
          <w:rFonts w:ascii="Times New Roman" w:eastAsia="Times New Roman" w:hAnsi="Times New Roman" w:cs="Times New Roman"/>
          <w:bCs/>
          <w:i/>
        </w:rPr>
        <w:t>Cristallization of the metal materials and the alloys.</w:t>
      </w:r>
      <w:r>
        <w:rPr>
          <w:rFonts w:ascii="Times New Roman" w:eastAsia="Times New Roman" w:hAnsi="Times New Roman" w:cs="Times New Roman"/>
          <w:bCs/>
          <w:lang w:eastAsia="hu-HU"/>
        </w:rPr>
        <w:t>)</w:t>
      </w:r>
    </w:p>
    <w:p w:rsidR="00AA1279" w:rsidRDefault="00AA1279" w:rsidP="00C2057B">
      <w:pPr>
        <w:widowControl w:val="0"/>
        <w:numPr>
          <w:ilvl w:val="1"/>
          <w:numId w:val="101"/>
        </w:numPr>
        <w:tabs>
          <w:tab w:val="clear" w:pos="3977"/>
          <w:tab w:val="num" w:pos="1566"/>
          <w:tab w:val="num" w:pos="2069"/>
        </w:tabs>
        <w:spacing w:before="60" w:after="0" w:line="240" w:lineRule="auto"/>
        <w:ind w:left="992" w:hanging="567"/>
        <w:jc w:val="both"/>
        <w:rPr>
          <w:rFonts w:ascii="Times New Roman" w:eastAsia="Times New Roman" w:hAnsi="Times New Roman" w:cs="Times New Roman"/>
        </w:rPr>
      </w:pPr>
      <w:r>
        <w:rPr>
          <w:rFonts w:ascii="Times New Roman" w:eastAsia="Times New Roman" w:hAnsi="Times New Roman" w:cs="Times New Roman"/>
          <w:bCs/>
        </w:rPr>
        <w:t>Vas-szén ötvözetek. (</w:t>
      </w:r>
      <w:r>
        <w:rPr>
          <w:rFonts w:ascii="Times New Roman" w:eastAsia="Times New Roman" w:hAnsi="Times New Roman" w:cs="Times New Roman"/>
          <w:bCs/>
          <w:i/>
        </w:rPr>
        <w:t>Coal-metal alloys</w:t>
      </w:r>
      <w:r>
        <w:rPr>
          <w:rFonts w:ascii="Times New Roman" w:eastAsia="Times New Roman" w:hAnsi="Times New Roman" w:cs="Times New Roman"/>
          <w:bCs/>
        </w:rPr>
        <w:t>.</w:t>
      </w:r>
      <w:r>
        <w:rPr>
          <w:rFonts w:ascii="Times New Roman" w:eastAsia="Times New Roman" w:hAnsi="Times New Roman" w:cs="Times New Roman"/>
          <w:bCs/>
          <w:lang w:eastAsia="hu-HU"/>
        </w:rPr>
        <w:t>)</w:t>
      </w:r>
    </w:p>
    <w:p w:rsidR="00AA1279" w:rsidRDefault="00AA1279" w:rsidP="00C2057B">
      <w:pPr>
        <w:widowControl w:val="0"/>
        <w:numPr>
          <w:ilvl w:val="1"/>
          <w:numId w:val="101"/>
        </w:numPr>
        <w:tabs>
          <w:tab w:val="clear" w:pos="3977"/>
          <w:tab w:val="num" w:pos="1566"/>
          <w:tab w:val="num" w:pos="2069"/>
        </w:tabs>
        <w:spacing w:before="60" w:after="0" w:line="240" w:lineRule="auto"/>
        <w:ind w:left="992" w:hanging="567"/>
        <w:jc w:val="both"/>
        <w:rPr>
          <w:rFonts w:ascii="Times New Roman" w:eastAsia="Times New Roman" w:hAnsi="Times New Roman" w:cs="Times New Roman"/>
        </w:rPr>
      </w:pPr>
      <w:r>
        <w:rPr>
          <w:rFonts w:ascii="Times New Roman" w:eastAsia="Times New Roman" w:hAnsi="Times New Roman" w:cs="Times New Roman"/>
          <w:bCs/>
        </w:rPr>
        <w:t xml:space="preserve">Kompozitanyagok és műanyagok. </w:t>
      </w:r>
      <w:r>
        <w:rPr>
          <w:rFonts w:ascii="Times New Roman" w:eastAsia="Times New Roman" w:hAnsi="Times New Roman" w:cs="Times New Roman"/>
          <w:bCs/>
          <w:lang w:eastAsia="hu-HU"/>
        </w:rPr>
        <w:t>(</w:t>
      </w:r>
      <w:r>
        <w:rPr>
          <w:rFonts w:ascii="Times New Roman" w:eastAsia="Times New Roman" w:hAnsi="Times New Roman" w:cs="Times New Roman"/>
          <w:bCs/>
          <w:i/>
        </w:rPr>
        <w:t>Composite and plastic materials</w:t>
      </w:r>
      <w:r>
        <w:rPr>
          <w:rFonts w:ascii="Times New Roman" w:eastAsia="Times New Roman" w:hAnsi="Times New Roman" w:cs="Times New Roman"/>
          <w:bCs/>
        </w:rPr>
        <w:t>.</w:t>
      </w:r>
      <w:r>
        <w:rPr>
          <w:rFonts w:ascii="Times New Roman" w:eastAsia="Times New Roman" w:hAnsi="Times New Roman" w:cs="Times New Roman"/>
          <w:bCs/>
          <w:lang w:eastAsia="hu-HU"/>
        </w:rPr>
        <w:t>)</w:t>
      </w:r>
    </w:p>
    <w:p w:rsidR="00AA1279" w:rsidRDefault="00AA1279" w:rsidP="00C2057B">
      <w:pPr>
        <w:widowControl w:val="0"/>
        <w:numPr>
          <w:ilvl w:val="1"/>
          <w:numId w:val="101"/>
        </w:numPr>
        <w:tabs>
          <w:tab w:val="clear" w:pos="3977"/>
          <w:tab w:val="num" w:pos="1566"/>
          <w:tab w:val="num" w:pos="2069"/>
        </w:tabs>
        <w:spacing w:before="60" w:after="0" w:line="240" w:lineRule="auto"/>
        <w:ind w:left="992" w:hanging="567"/>
        <w:jc w:val="both"/>
        <w:rPr>
          <w:rFonts w:ascii="Times New Roman" w:eastAsia="Times New Roman" w:hAnsi="Times New Roman" w:cs="Times New Roman"/>
        </w:rPr>
      </w:pPr>
      <w:r>
        <w:rPr>
          <w:rFonts w:ascii="Times New Roman" w:eastAsia="Times New Roman" w:hAnsi="Times New Roman" w:cs="Times New Roman"/>
          <w:bCs/>
        </w:rPr>
        <w:t xml:space="preserve">Kerámiák. </w:t>
      </w:r>
      <w:r>
        <w:rPr>
          <w:rFonts w:ascii="Times New Roman" w:eastAsia="Times New Roman" w:hAnsi="Times New Roman" w:cs="Times New Roman"/>
          <w:bCs/>
          <w:lang w:eastAsia="hu-HU"/>
        </w:rPr>
        <w:t>(</w:t>
      </w:r>
      <w:r>
        <w:rPr>
          <w:rFonts w:ascii="Times New Roman" w:eastAsia="Times New Roman" w:hAnsi="Times New Roman" w:cs="Times New Roman"/>
          <w:bCs/>
          <w:i/>
        </w:rPr>
        <w:t>Ceramic materials</w:t>
      </w:r>
      <w:r>
        <w:rPr>
          <w:rFonts w:ascii="Times New Roman" w:eastAsia="Times New Roman" w:hAnsi="Times New Roman" w:cs="Times New Roman"/>
          <w:bCs/>
        </w:rPr>
        <w:t>.</w:t>
      </w:r>
      <w:r>
        <w:rPr>
          <w:rFonts w:ascii="Times New Roman" w:eastAsia="Times New Roman" w:hAnsi="Times New Roman" w:cs="Times New Roman"/>
          <w:bCs/>
          <w:lang w:eastAsia="hu-HU"/>
        </w:rPr>
        <w:t>)</w:t>
      </w:r>
    </w:p>
    <w:p w:rsidR="00AA1279" w:rsidRDefault="00AA1279" w:rsidP="00C2057B">
      <w:pPr>
        <w:widowControl w:val="0"/>
        <w:numPr>
          <w:ilvl w:val="1"/>
          <w:numId w:val="101"/>
        </w:numPr>
        <w:tabs>
          <w:tab w:val="clear" w:pos="3977"/>
          <w:tab w:val="num" w:pos="1566"/>
          <w:tab w:val="num" w:pos="2069"/>
        </w:tabs>
        <w:spacing w:before="60" w:after="0" w:line="240" w:lineRule="auto"/>
        <w:ind w:left="992" w:hanging="567"/>
        <w:jc w:val="both"/>
        <w:rPr>
          <w:rFonts w:ascii="Times New Roman" w:eastAsia="Times New Roman" w:hAnsi="Times New Roman" w:cs="Times New Roman"/>
        </w:rPr>
      </w:pPr>
      <w:r>
        <w:rPr>
          <w:rFonts w:ascii="Times New Roman" w:eastAsia="Times New Roman" w:hAnsi="Times New Roman" w:cs="Times New Roman"/>
          <w:bCs/>
        </w:rPr>
        <w:t>A kőolaj kitermelésének módszerei.</w:t>
      </w:r>
      <w:r>
        <w:rPr>
          <w:rFonts w:ascii="Times New Roman" w:eastAsia="Times New Roman" w:hAnsi="Times New Roman" w:cs="Times New Roman"/>
          <w:bCs/>
          <w:lang w:eastAsia="hu-HU"/>
        </w:rPr>
        <w:t xml:space="preserve"> (</w:t>
      </w:r>
      <w:r>
        <w:rPr>
          <w:rFonts w:ascii="Times New Roman" w:eastAsia="Times New Roman" w:hAnsi="Times New Roman" w:cs="Times New Roman"/>
          <w:bCs/>
          <w:i/>
        </w:rPr>
        <w:t>Methods of rock-oil yield</w:t>
      </w:r>
      <w:r>
        <w:rPr>
          <w:rFonts w:ascii="Times New Roman" w:eastAsia="Times New Roman" w:hAnsi="Times New Roman" w:cs="Times New Roman"/>
          <w:bCs/>
        </w:rPr>
        <w:t>.</w:t>
      </w:r>
      <w:r>
        <w:rPr>
          <w:rFonts w:ascii="Times New Roman" w:eastAsia="Times New Roman" w:hAnsi="Times New Roman" w:cs="Times New Roman"/>
          <w:bCs/>
          <w:lang w:eastAsia="hu-HU"/>
        </w:rPr>
        <w:t>)</w:t>
      </w:r>
    </w:p>
    <w:p w:rsidR="00AA1279" w:rsidRDefault="00AA1279" w:rsidP="00C2057B">
      <w:pPr>
        <w:widowControl w:val="0"/>
        <w:numPr>
          <w:ilvl w:val="1"/>
          <w:numId w:val="101"/>
        </w:numPr>
        <w:tabs>
          <w:tab w:val="clear" w:pos="3977"/>
          <w:tab w:val="num" w:pos="1566"/>
          <w:tab w:val="num" w:pos="2069"/>
        </w:tabs>
        <w:spacing w:before="60" w:after="0" w:line="240" w:lineRule="auto"/>
        <w:ind w:left="992" w:hanging="567"/>
        <w:jc w:val="both"/>
        <w:rPr>
          <w:rFonts w:ascii="Times New Roman" w:eastAsia="Times New Roman" w:hAnsi="Times New Roman" w:cs="Times New Roman"/>
        </w:rPr>
      </w:pPr>
      <w:r>
        <w:rPr>
          <w:rFonts w:ascii="Times New Roman" w:eastAsia="Times New Roman" w:hAnsi="Times New Roman" w:cs="Times New Roman"/>
          <w:bCs/>
        </w:rPr>
        <w:t xml:space="preserve">Az atmoszférikus és a vákuumdesztillációs folyamatok. </w:t>
      </w:r>
      <w:r>
        <w:rPr>
          <w:rFonts w:ascii="Times New Roman" w:eastAsia="Times New Roman" w:hAnsi="Times New Roman" w:cs="Times New Roman"/>
          <w:bCs/>
          <w:lang w:eastAsia="hu-HU"/>
        </w:rPr>
        <w:t>(</w:t>
      </w:r>
      <w:r>
        <w:rPr>
          <w:rFonts w:ascii="Times New Roman" w:eastAsia="Times New Roman" w:hAnsi="Times New Roman" w:cs="Times New Roman"/>
          <w:bCs/>
          <w:i/>
        </w:rPr>
        <w:t>Methods of atmospheric and vacuum distillation.</w:t>
      </w:r>
      <w:r>
        <w:rPr>
          <w:rFonts w:ascii="Times New Roman" w:eastAsia="Times New Roman" w:hAnsi="Times New Roman" w:cs="Times New Roman"/>
          <w:bCs/>
          <w:lang w:eastAsia="hu-HU"/>
        </w:rPr>
        <w:t>)</w:t>
      </w:r>
    </w:p>
    <w:p w:rsidR="00AA1279" w:rsidRDefault="00AA1279" w:rsidP="00C2057B">
      <w:pPr>
        <w:widowControl w:val="0"/>
        <w:numPr>
          <w:ilvl w:val="1"/>
          <w:numId w:val="101"/>
        </w:numPr>
        <w:tabs>
          <w:tab w:val="clear" w:pos="3977"/>
          <w:tab w:val="num" w:pos="1566"/>
          <w:tab w:val="num" w:pos="2069"/>
        </w:tabs>
        <w:spacing w:before="120" w:after="120" w:line="240" w:lineRule="auto"/>
        <w:ind w:left="993" w:hanging="567"/>
        <w:jc w:val="both"/>
        <w:rPr>
          <w:rFonts w:ascii="Times New Roman" w:eastAsia="Times New Roman" w:hAnsi="Times New Roman" w:cs="Times New Roman"/>
          <w:bCs/>
        </w:rPr>
      </w:pPr>
      <w:r>
        <w:rPr>
          <w:rFonts w:ascii="Times New Roman" w:eastAsia="Times New Roman" w:hAnsi="Times New Roman" w:cs="Times New Roman"/>
          <w:bCs/>
        </w:rPr>
        <w:t xml:space="preserve">A kőolajtermékek átalakításának folyamatai. </w:t>
      </w:r>
      <w:r>
        <w:rPr>
          <w:rFonts w:ascii="Times New Roman" w:eastAsia="Times New Roman" w:hAnsi="Times New Roman" w:cs="Times New Roman"/>
          <w:bCs/>
          <w:lang w:eastAsia="hu-HU"/>
        </w:rPr>
        <w:t>(</w:t>
      </w:r>
      <w:r>
        <w:rPr>
          <w:rFonts w:ascii="Times New Roman" w:eastAsia="Times New Roman" w:hAnsi="Times New Roman" w:cs="Times New Roman"/>
          <w:bCs/>
          <w:i/>
          <w:lang w:eastAsia="hu-HU"/>
        </w:rPr>
        <w:t xml:space="preserve">Transformation of oil </w:t>
      </w:r>
      <w:r>
        <w:rPr>
          <w:rFonts w:ascii="Times New Roman" w:eastAsia="Times New Roman" w:hAnsi="Times New Roman" w:cs="Times New Roman"/>
          <w:bCs/>
          <w:i/>
        </w:rPr>
        <w:t>products</w:t>
      </w:r>
      <w:r>
        <w:rPr>
          <w:rFonts w:ascii="Times New Roman" w:eastAsia="Times New Roman" w:hAnsi="Times New Roman" w:cs="Times New Roman"/>
          <w:bCs/>
        </w:rPr>
        <w:t>.)</w:t>
      </w:r>
    </w:p>
    <w:p w:rsidR="00AA1279" w:rsidRDefault="00AA1279" w:rsidP="00C2057B">
      <w:pPr>
        <w:widowControl w:val="0"/>
        <w:numPr>
          <w:ilvl w:val="0"/>
          <w:numId w:val="101"/>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tantárgy meghirdetésének gyakorisága/a tantervben történő félévi elhelyezkedése: 3</w:t>
      </w:r>
      <w:r>
        <w:rPr>
          <w:rFonts w:ascii="Times New Roman" w:eastAsia="Times New Roman" w:hAnsi="Times New Roman" w:cs="Times New Roman"/>
          <w:bCs/>
        </w:rPr>
        <w:t>. félév</w:t>
      </w:r>
    </w:p>
    <w:p w:rsidR="00AA1279" w:rsidRDefault="00AA1279" w:rsidP="00C2057B">
      <w:pPr>
        <w:widowControl w:val="0"/>
        <w:numPr>
          <w:ilvl w:val="0"/>
          <w:numId w:val="101"/>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tanórákon való részvétel követelményei, az elfogadható hiányzások mértéke, a távolmaradás pótlásának lehetősége:</w:t>
      </w:r>
      <w:r>
        <w:rPr>
          <w:rFonts w:ascii="Times New Roman" w:eastAsia="Times New Roman" w:hAnsi="Times New Roman" w:cs="Times New Roman"/>
          <w:bCs/>
        </w:rPr>
        <w:t xml:space="preserve"> </w:t>
      </w:r>
    </w:p>
    <w:p w:rsidR="00AA1279" w:rsidRDefault="00AA1279" w:rsidP="00AA1279">
      <w:pPr>
        <w:widowControl w:val="0"/>
        <w:spacing w:before="120" w:after="120" w:line="240" w:lineRule="auto"/>
        <w:ind w:left="426"/>
        <w:jc w:val="both"/>
        <w:rPr>
          <w:rFonts w:ascii="Times New Roman" w:eastAsia="Times New Roman" w:hAnsi="Times New Roman" w:cs="Times New Roman"/>
          <w:bCs/>
        </w:rPr>
      </w:pPr>
      <w:r>
        <w:rPr>
          <w:rFonts w:ascii="Times New Roman" w:eastAsia="Times New Roman" w:hAnsi="Times New Roman" w:cs="Times New Roman"/>
          <w:bCs/>
        </w:rPr>
        <w:t>A hallgatónak a tanórák legalább 70 %-án jelen kell lennie, 30 %-ot meghaladó hiányzás esetén a félév teljesítése nem írható alá. A hallgató köteles az előadás és a gyakorlat anyagát beszerezni, abból önállóan felkészülni. A hiányzás pótolható az oktató által kijelölt témakörben beadott, legalább elégségesre értékelt házidolgozattal.</w:t>
      </w:r>
    </w:p>
    <w:p w:rsidR="00AA1279" w:rsidRDefault="00AA1279" w:rsidP="00C2057B">
      <w:pPr>
        <w:widowControl w:val="0"/>
        <w:numPr>
          <w:ilvl w:val="0"/>
          <w:numId w:val="101"/>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rPr>
        <w:t>Félévközi feladatok, ismeretek ellenőrzésének rendje:</w:t>
      </w:r>
      <w:r>
        <w:rPr>
          <w:rFonts w:ascii="Times New Roman" w:eastAsia="Times New Roman" w:hAnsi="Times New Roman" w:cs="Times New Roman"/>
          <w:bCs/>
        </w:rPr>
        <w:t xml:space="preserve"> A félév során a hallgató két zárthelyi dolgozatot ír. </w:t>
      </w:r>
      <w:r>
        <w:rPr>
          <w:rFonts w:ascii="Times New Roman" w:eastAsia="Times New Roman" w:hAnsi="Times New Roman" w:cs="Times New Roman"/>
          <w:bCs/>
          <w:lang w:eastAsia="hu-HU"/>
        </w:rPr>
        <w:t>Zárthelyi dolgozatok a 12.1-12.14 tantárgyrészekből.</w:t>
      </w:r>
      <w:r>
        <w:rPr>
          <w:rFonts w:ascii="Times New Roman" w:eastAsia="Times New Roman" w:hAnsi="Times New Roman" w:cs="Times New Roman"/>
          <w:lang w:eastAsia="hu-HU"/>
        </w:rPr>
        <w:t xml:space="preserve"> </w:t>
      </w:r>
      <w:r>
        <w:rPr>
          <w:rFonts w:ascii="Times New Roman" w:eastAsia="Times New Roman" w:hAnsi="Times New Roman" w:cs="Times New Roman"/>
          <w:bCs/>
          <w:lang w:eastAsia="hu-HU"/>
        </w:rPr>
        <w:t>A zárthelyi dolgozat témáit a kötelező irodalmak anyagából, illetve az előadásokon elhangzott ismeretanyagból kell összeállítani. A zárthelyi dolgozat értékelése ötfokozatú értékelés (a helyes válaszok aránya 0-60% elégtelen; 61-70% elégséges; 71-80% közepes; 81-90% jó; 91-100% jeles osztályzat). Eredménytelen zárthelyi dolgozat kétszer javítható</w:t>
      </w:r>
      <w:r>
        <w:rPr>
          <w:rFonts w:ascii="Times New Roman" w:eastAsia="Times New Roman" w:hAnsi="Times New Roman" w:cs="Times New Roman"/>
          <w:b/>
          <w:bCs/>
          <w:lang w:eastAsia="hu-HU"/>
        </w:rPr>
        <w:t>.</w:t>
      </w:r>
      <w:r>
        <w:rPr>
          <w:rFonts w:ascii="Times New Roman" w:eastAsia="Times New Roman" w:hAnsi="Times New Roman" w:cs="Times New Roman"/>
          <w:bCs/>
          <w:lang w:eastAsia="hu-HU"/>
        </w:rPr>
        <w:t xml:space="preserve"> A dolgozatban teszt és esszé jellegű kérdések egyaránt szerepelnek.</w:t>
      </w:r>
    </w:p>
    <w:p w:rsidR="00AA1279" w:rsidRDefault="00AA1279" w:rsidP="00C2057B">
      <w:pPr>
        <w:widowControl w:val="0"/>
        <w:numPr>
          <w:ilvl w:val="0"/>
          <w:numId w:val="101"/>
        </w:numPr>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Az értékelés, az aláírás és a kreditek megszerzésének pontos feltételei: </w:t>
      </w:r>
    </w:p>
    <w:p w:rsidR="00AA1279" w:rsidRDefault="00AA1279" w:rsidP="00C2057B">
      <w:pPr>
        <w:widowControl w:val="0"/>
        <w:numPr>
          <w:ilvl w:val="1"/>
          <w:numId w:val="101"/>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Az aláírás megszerzésének feltételei:</w:t>
      </w:r>
      <w:r>
        <w:rPr>
          <w:rFonts w:ascii="Times New Roman" w:eastAsia="Times New Roman" w:hAnsi="Times New Roman" w:cs="Times New Roman"/>
        </w:rPr>
        <w:t xml:space="preserve"> Az aláírás megszerzésének feltétele a 14. pontban meghatározott arányú részvétel a foglalkozásokon és a 15. pontban meghatározott félévközi feladatok legalább elégséges teljesítése.</w:t>
      </w:r>
    </w:p>
    <w:p w:rsidR="00AA1279" w:rsidRDefault="00AA1279" w:rsidP="00C2057B">
      <w:pPr>
        <w:widowControl w:val="0"/>
        <w:numPr>
          <w:ilvl w:val="1"/>
          <w:numId w:val="101"/>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Az értékelés:</w:t>
      </w:r>
      <w:r>
        <w:rPr>
          <w:rFonts w:ascii="Times New Roman" w:eastAsia="Times New Roman" w:hAnsi="Times New Roman" w:cs="Times New Roman"/>
        </w:rPr>
        <w:t xml:space="preserve"> </w:t>
      </w:r>
      <w:r>
        <w:rPr>
          <w:rFonts w:ascii="Times New Roman" w:hAnsi="Times New Roman" w:cs="Times New Roman"/>
        </w:rPr>
        <w:t>szóbeli</w:t>
      </w:r>
      <w:r>
        <w:rPr>
          <w:rFonts w:ascii="Times New Roman" w:hAnsi="Times New Roman" w:cs="Times New Roman"/>
          <w:b/>
        </w:rPr>
        <w:t xml:space="preserve"> </w:t>
      </w:r>
      <w:r w:rsidRPr="00AA1279">
        <w:rPr>
          <w:rFonts w:ascii="Times New Roman" w:hAnsi="Times New Roman" w:cs="Times New Roman"/>
          <w:b/>
        </w:rPr>
        <w:t>kollokvium</w:t>
      </w:r>
      <w:r>
        <w:rPr>
          <w:rFonts w:ascii="Times New Roman" w:hAnsi="Times New Roman" w:cs="Times New Roman"/>
        </w:rPr>
        <w:t>, ötfokozatú értékelés. Vizsgakövetelmény a tematikában megadott tárgykörök, témák, illetve a kötelező és az ajánlott irodalom ismerete.</w:t>
      </w:r>
    </w:p>
    <w:p w:rsidR="00AA1279" w:rsidRDefault="00AA1279" w:rsidP="00C2057B">
      <w:pPr>
        <w:widowControl w:val="0"/>
        <w:numPr>
          <w:ilvl w:val="1"/>
          <w:numId w:val="101"/>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 kreditek megszerzésének feltételei:</w:t>
      </w:r>
      <w:r>
        <w:rPr>
          <w:rFonts w:ascii="Times New Roman" w:eastAsia="Times New Roman" w:hAnsi="Times New Roman" w:cs="Times New Roman"/>
        </w:rPr>
        <w:t xml:space="preserve"> az aláírás megszerzése és legalább elégséges</w:t>
      </w:r>
      <w:r>
        <w:rPr>
          <w:rFonts w:ascii="Times New Roman" w:eastAsia="Times New Roman" w:hAnsi="Times New Roman" w:cs="Times New Roman"/>
          <w:b/>
        </w:rPr>
        <w:t xml:space="preserve"> </w:t>
      </w:r>
      <w:r>
        <w:rPr>
          <w:rFonts w:ascii="Times New Roman" w:eastAsia="Times New Roman" w:hAnsi="Times New Roman" w:cs="Times New Roman"/>
        </w:rPr>
        <w:t>szóbeli kollokvium jegy.</w:t>
      </w:r>
    </w:p>
    <w:p w:rsidR="00AA1279" w:rsidRDefault="00AA1279" w:rsidP="00C2057B">
      <w:pPr>
        <w:widowControl w:val="0"/>
        <w:numPr>
          <w:ilvl w:val="0"/>
          <w:numId w:val="101"/>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lastRenderedPageBreak/>
        <w:t>Irodalomjegyzék:</w:t>
      </w:r>
    </w:p>
    <w:p w:rsidR="00AA1279" w:rsidRDefault="00AA1279" w:rsidP="00C2057B">
      <w:pPr>
        <w:widowControl w:val="0"/>
        <w:numPr>
          <w:ilvl w:val="1"/>
          <w:numId w:val="101"/>
        </w:numPr>
        <w:tabs>
          <w:tab w:val="clear" w:pos="3977"/>
          <w:tab w:val="left" w:pos="567"/>
          <w:tab w:val="left" w:pos="851"/>
          <w:tab w:val="num" w:pos="1566"/>
          <w:tab w:val="num" w:pos="2069"/>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Kötelező irodalom:</w:t>
      </w:r>
    </w:p>
    <w:p w:rsidR="00AA1279" w:rsidRDefault="00AA1279" w:rsidP="00C2057B">
      <w:pPr>
        <w:widowControl w:val="0"/>
        <w:numPr>
          <w:ilvl w:val="0"/>
          <w:numId w:val="102"/>
        </w:numPr>
        <w:spacing w:after="0" w:line="240" w:lineRule="auto"/>
        <w:ind w:left="709"/>
        <w:jc w:val="both"/>
        <w:rPr>
          <w:rFonts w:ascii="Times New Roman" w:eastAsia="Times New Roman" w:hAnsi="Times New Roman" w:cs="Times New Roman"/>
        </w:rPr>
      </w:pPr>
      <w:r>
        <w:rPr>
          <w:rFonts w:ascii="Times New Roman" w:eastAsia="Times New Roman" w:hAnsi="Times New Roman" w:cs="Times New Roman"/>
        </w:rPr>
        <w:t>Baranyiné C Veres Anna: Anyag és gyártásismeret (Műszaki könyvkiadó, Budapest, 2003.) ISBN: 9789631619713</w:t>
      </w:r>
    </w:p>
    <w:p w:rsidR="00AA1279" w:rsidRDefault="00AA1279" w:rsidP="00C2057B">
      <w:pPr>
        <w:widowControl w:val="0"/>
        <w:numPr>
          <w:ilvl w:val="0"/>
          <w:numId w:val="102"/>
        </w:numPr>
        <w:spacing w:after="0" w:line="240" w:lineRule="auto"/>
        <w:ind w:left="709"/>
        <w:jc w:val="both"/>
        <w:rPr>
          <w:rFonts w:ascii="Times New Roman" w:eastAsia="Times New Roman" w:hAnsi="Times New Roman" w:cs="Times New Roman"/>
        </w:rPr>
      </w:pPr>
      <w:r>
        <w:rPr>
          <w:rFonts w:ascii="Times New Roman" w:eastAsia="Times New Roman" w:hAnsi="Times New Roman" w:cs="Times New Roman"/>
        </w:rPr>
        <w:t>Lukács Attila: Autóipari anyag- és gyártásismeret (Műszaki könyvkiadó, Budapest, 1993.) ISBN: 9631600432</w:t>
      </w:r>
    </w:p>
    <w:p w:rsidR="00AA1279" w:rsidRDefault="00AA1279" w:rsidP="00C2057B">
      <w:pPr>
        <w:widowControl w:val="0"/>
        <w:numPr>
          <w:ilvl w:val="0"/>
          <w:numId w:val="102"/>
        </w:numPr>
        <w:spacing w:after="0" w:line="240" w:lineRule="auto"/>
        <w:ind w:left="709"/>
        <w:jc w:val="both"/>
        <w:rPr>
          <w:rFonts w:ascii="Times New Roman" w:eastAsia="Times New Roman" w:hAnsi="Times New Roman" w:cs="Times New Roman"/>
        </w:rPr>
      </w:pPr>
      <w:r>
        <w:rPr>
          <w:rFonts w:ascii="Times New Roman" w:eastAsia="Times New Roman" w:hAnsi="Times New Roman" w:cs="Times New Roman"/>
        </w:rPr>
        <w:t>Fiedler György: Anyagismeret. Bolyai János Katonai Műszaki Főiskola, Budapest, 1999. 218 p.</w:t>
      </w:r>
    </w:p>
    <w:p w:rsidR="00AA1279" w:rsidRDefault="00AA1279" w:rsidP="00C2057B">
      <w:pPr>
        <w:widowControl w:val="0"/>
        <w:numPr>
          <w:ilvl w:val="1"/>
          <w:numId w:val="101"/>
        </w:numPr>
        <w:tabs>
          <w:tab w:val="clear" w:pos="3977"/>
          <w:tab w:val="num" w:pos="567"/>
          <w:tab w:val="num" w:pos="1566"/>
          <w:tab w:val="num" w:pos="2069"/>
        </w:tabs>
        <w:spacing w:before="120" w:after="120" w:line="240" w:lineRule="auto"/>
        <w:ind w:left="993" w:hanging="709"/>
        <w:jc w:val="both"/>
        <w:rPr>
          <w:rFonts w:ascii="Times New Roman" w:eastAsia="Times New Roman" w:hAnsi="Times New Roman" w:cs="Times New Roman"/>
          <w:b/>
          <w:bCs/>
        </w:rPr>
      </w:pPr>
      <w:r>
        <w:rPr>
          <w:rFonts w:ascii="Times New Roman" w:eastAsia="Times New Roman" w:hAnsi="Times New Roman" w:cs="Times New Roman"/>
          <w:b/>
          <w:bCs/>
        </w:rPr>
        <w:t>Ajánlott irodalom:</w:t>
      </w:r>
    </w:p>
    <w:p w:rsidR="00AA1279" w:rsidRDefault="00AA1279" w:rsidP="00C2057B">
      <w:pPr>
        <w:pStyle w:val="Listaszerbekezds"/>
        <w:widowControl w:val="0"/>
        <w:numPr>
          <w:ilvl w:val="0"/>
          <w:numId w:val="103"/>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Dormán Lajos: Gépészeti anyagismeret I. Újvidék 2001.</w:t>
      </w:r>
    </w:p>
    <w:p w:rsidR="00AA1279" w:rsidRDefault="00AA1279" w:rsidP="00C2057B">
      <w:pPr>
        <w:pStyle w:val="Listaszerbekezds"/>
        <w:widowControl w:val="0"/>
        <w:numPr>
          <w:ilvl w:val="0"/>
          <w:numId w:val="103"/>
        </w:numPr>
        <w:spacing w:line="256" w:lineRule="auto"/>
        <w:rPr>
          <w:rFonts w:ascii="Times New Roman" w:eastAsia="Times New Roman" w:hAnsi="Times New Roman" w:cs="Times New Roman"/>
        </w:rPr>
      </w:pPr>
      <w:r>
        <w:rPr>
          <w:rFonts w:ascii="Times New Roman" w:eastAsia="Times New Roman" w:hAnsi="Times New Roman" w:cs="Times New Roman"/>
        </w:rPr>
        <w:t>Dr. Bagyinszki Gyula: Fémek</w:t>
      </w:r>
      <w:r>
        <w:rPr>
          <w:rFonts w:ascii="Times New Roman" w:hAnsi="Times New Roman" w:cs="Times New Roman"/>
        </w:rPr>
        <w:t xml:space="preserve"> </w:t>
      </w:r>
      <w:r>
        <w:rPr>
          <w:rFonts w:ascii="Times New Roman" w:eastAsia="Times New Roman" w:hAnsi="Times New Roman" w:cs="Times New Roman"/>
        </w:rPr>
        <w:t>szerkezete, tulajdonságai és alkalmazhatósága a technológiai hatások tükrében. Bánki Donát Gépész és Biztonságtechnikai Mérnöki Kar Anyagtudományi és Gyártástechnológiai Intézet, Budapest, 2014.</w:t>
      </w:r>
    </w:p>
    <w:p w:rsidR="00AA1279" w:rsidRDefault="00AA1279" w:rsidP="00AA1279">
      <w:pPr>
        <w:pStyle w:val="Listaszerbekezds"/>
        <w:widowControl w:val="0"/>
        <w:spacing w:after="0" w:line="240" w:lineRule="auto"/>
        <w:jc w:val="both"/>
        <w:rPr>
          <w:rFonts w:ascii="Times New Roman" w:eastAsia="Times New Roman" w:hAnsi="Times New Roman" w:cs="Times New Roman"/>
          <w:bCs/>
        </w:rPr>
      </w:pPr>
    </w:p>
    <w:p w:rsidR="00AA1279" w:rsidRDefault="00AA1279" w:rsidP="00115198">
      <w:pPr>
        <w:widowControl w:val="0"/>
        <w:spacing w:before="120" w:after="120" w:line="240" w:lineRule="auto"/>
        <w:ind w:firstLine="360"/>
        <w:jc w:val="both"/>
        <w:rPr>
          <w:rFonts w:ascii="Times New Roman" w:eastAsia="Times New Roman" w:hAnsi="Times New Roman" w:cs="Times New Roman"/>
          <w:bCs/>
        </w:rPr>
      </w:pPr>
      <w:r>
        <w:rPr>
          <w:rFonts w:ascii="Times New Roman" w:eastAsia="Times New Roman" w:hAnsi="Times New Roman" w:cs="Times New Roman"/>
          <w:bCs/>
        </w:rPr>
        <w:t xml:space="preserve">Budapest, 2020. március </w:t>
      </w:r>
      <w:r w:rsidR="00A47467">
        <w:rPr>
          <w:rFonts w:ascii="Times New Roman" w:eastAsia="Times New Roman" w:hAnsi="Times New Roman" w:cs="Times New Roman"/>
          <w:bCs/>
        </w:rPr>
        <w:t>15</w:t>
      </w:r>
      <w:r>
        <w:rPr>
          <w:rFonts w:ascii="Times New Roman" w:eastAsia="Times New Roman" w:hAnsi="Times New Roman" w:cs="Times New Roman"/>
          <w:bCs/>
        </w:rPr>
        <w:t>.</w:t>
      </w:r>
    </w:p>
    <w:p w:rsidR="00AA1279" w:rsidRDefault="00AA1279" w:rsidP="00AA1279">
      <w:pPr>
        <w:widowControl w:val="0"/>
        <w:spacing w:before="120" w:after="120" w:line="240" w:lineRule="auto"/>
        <w:jc w:val="both"/>
        <w:rPr>
          <w:rFonts w:ascii="Times New Roman" w:eastAsia="Times New Roman" w:hAnsi="Times New Roman" w:cs="Times New Roman"/>
          <w:bCs/>
        </w:rPr>
      </w:pPr>
    </w:p>
    <w:p w:rsidR="00AA1279" w:rsidRPr="00AA1279" w:rsidRDefault="00AA1279" w:rsidP="00AA1279">
      <w:pPr>
        <w:widowControl w:val="0"/>
        <w:spacing w:after="0" w:line="240" w:lineRule="auto"/>
        <w:jc w:val="right"/>
        <w:rPr>
          <w:rFonts w:ascii="Times New Roman" w:eastAsia="Times New Roman" w:hAnsi="Times New Roman" w:cs="Times New Roman"/>
          <w:b/>
          <w:bCs/>
        </w:rPr>
      </w:pPr>
      <w:r w:rsidRPr="00AA1279">
        <w:rPr>
          <w:rFonts w:ascii="Times New Roman" w:eastAsia="Times New Roman" w:hAnsi="Times New Roman" w:cs="Times New Roman"/>
          <w:b/>
          <w:bCs/>
        </w:rPr>
        <w:t>Dr. Hegedűs Ernő PhD</w:t>
      </w:r>
    </w:p>
    <w:p w:rsidR="00AA1279" w:rsidRDefault="00AA1279" w:rsidP="00AA1279">
      <w:pPr>
        <w:widowControl w:val="0"/>
        <w:spacing w:after="0" w:line="240" w:lineRule="auto"/>
        <w:jc w:val="right"/>
        <w:rPr>
          <w:rFonts w:ascii="Times New Roman" w:eastAsia="Times New Roman" w:hAnsi="Times New Roman" w:cs="Times New Roman"/>
          <w:bCs/>
        </w:rPr>
      </w:pPr>
      <w:r>
        <w:rPr>
          <w:rFonts w:ascii="Times New Roman" w:eastAsia="Times New Roman" w:hAnsi="Times New Roman" w:cs="Times New Roman"/>
          <w:bCs/>
        </w:rPr>
        <w:t>egyetemi tanársegéd</w:t>
      </w:r>
    </w:p>
    <w:p w:rsidR="00AA1279" w:rsidRDefault="00AA1279">
      <w:pPr>
        <w:spacing w:after="200" w:line="276" w:lineRule="auto"/>
        <w:rPr>
          <w:rFonts w:ascii="Times New Roman" w:hAnsi="Times New Roman" w:cs="Times New Roman"/>
          <w:sz w:val="24"/>
        </w:rPr>
      </w:pPr>
    </w:p>
    <w:p w:rsidR="00AA1279" w:rsidRDefault="00AA1279">
      <w:pPr>
        <w:spacing w:after="200" w:line="276" w:lineRule="auto"/>
        <w:rPr>
          <w:rFonts w:ascii="Times New Roman" w:hAnsi="Times New Roman" w:cs="Times New Roman"/>
          <w:sz w:val="24"/>
        </w:rPr>
      </w:pPr>
      <w:r>
        <w:rPr>
          <w:rFonts w:ascii="Times New Roman" w:hAnsi="Times New Roman" w:cs="Times New Roman"/>
          <w:sz w:val="24"/>
        </w:rPr>
        <w:br w:type="page"/>
      </w:r>
    </w:p>
    <w:tbl>
      <w:tblPr>
        <w:tblW w:w="9072" w:type="dxa"/>
        <w:tblInd w:w="113" w:type="dxa"/>
        <w:tblLook w:val="01E0" w:firstRow="1" w:lastRow="1" w:firstColumn="1" w:lastColumn="1" w:noHBand="0" w:noVBand="0"/>
      </w:tblPr>
      <w:tblGrid>
        <w:gridCol w:w="4855"/>
        <w:gridCol w:w="1620"/>
        <w:gridCol w:w="2597"/>
      </w:tblGrid>
      <w:tr w:rsidR="00C14C72" w:rsidRPr="00C14C72" w:rsidTr="00C14C72">
        <w:tc>
          <w:tcPr>
            <w:tcW w:w="4855" w:type="dxa"/>
            <w:tcBorders>
              <w:top w:val="nil"/>
              <w:left w:val="nil"/>
              <w:bottom w:val="single" w:sz="4" w:space="0" w:color="auto"/>
              <w:right w:val="nil"/>
            </w:tcBorders>
            <w:hideMark/>
          </w:tcPr>
          <w:p w:rsidR="00C14C72" w:rsidRPr="00C14C72" w:rsidRDefault="00C14C72">
            <w:pPr>
              <w:spacing w:after="0" w:line="240" w:lineRule="auto"/>
              <w:jc w:val="center"/>
              <w:rPr>
                <w:rFonts w:ascii="Times New Roman" w:eastAsia="Times New Roman" w:hAnsi="Times New Roman" w:cs="Times New Roman"/>
                <w:b/>
                <w:smallCaps/>
                <w:lang w:eastAsia="hu-HU"/>
              </w:rPr>
            </w:pPr>
            <w:r w:rsidRPr="00C14C72">
              <w:rPr>
                <w:rFonts w:ascii="Times New Roman" w:eastAsia="Times New Roman" w:hAnsi="Times New Roman" w:cs="Times New Roman"/>
                <w:b/>
                <w:smallCaps/>
                <w:lang w:eastAsia="hu-HU"/>
              </w:rPr>
              <w:lastRenderedPageBreak/>
              <w:t>Nemzeti Közszolgálati Egyetem</w:t>
            </w:r>
          </w:p>
        </w:tc>
        <w:tc>
          <w:tcPr>
            <w:tcW w:w="1620" w:type="dxa"/>
          </w:tcPr>
          <w:p w:rsidR="00C14C72" w:rsidRPr="00C14C72" w:rsidRDefault="00C14C72">
            <w:pPr>
              <w:spacing w:after="0" w:line="240" w:lineRule="auto"/>
              <w:jc w:val="both"/>
              <w:rPr>
                <w:rFonts w:ascii="Times New Roman" w:eastAsia="Times New Roman" w:hAnsi="Times New Roman" w:cs="Times New Roman"/>
                <w:lang w:eastAsia="hu-HU"/>
              </w:rPr>
            </w:pPr>
          </w:p>
        </w:tc>
        <w:tc>
          <w:tcPr>
            <w:tcW w:w="2597" w:type="dxa"/>
          </w:tcPr>
          <w:p w:rsidR="00C14C72" w:rsidRPr="00C14C72" w:rsidRDefault="00C14C72">
            <w:pPr>
              <w:spacing w:after="0" w:line="240" w:lineRule="auto"/>
              <w:jc w:val="right"/>
              <w:rPr>
                <w:rFonts w:ascii="Times New Roman" w:eastAsia="Times New Roman" w:hAnsi="Times New Roman" w:cs="Times New Roman"/>
                <w:lang w:eastAsia="hu-HU"/>
              </w:rPr>
            </w:pPr>
          </w:p>
        </w:tc>
      </w:tr>
      <w:tr w:rsidR="00C14C72" w:rsidRPr="00C14C72" w:rsidTr="00C14C72">
        <w:tc>
          <w:tcPr>
            <w:tcW w:w="4855" w:type="dxa"/>
            <w:tcBorders>
              <w:top w:val="single" w:sz="4" w:space="0" w:color="auto"/>
              <w:left w:val="nil"/>
              <w:bottom w:val="nil"/>
              <w:right w:val="nil"/>
            </w:tcBorders>
            <w:hideMark/>
          </w:tcPr>
          <w:p w:rsidR="00C14C72" w:rsidRPr="00C14C72" w:rsidRDefault="00C14C72">
            <w:pPr>
              <w:spacing w:after="0" w:line="240" w:lineRule="auto"/>
              <w:jc w:val="center"/>
              <w:rPr>
                <w:rFonts w:ascii="Times New Roman" w:eastAsia="Times New Roman" w:hAnsi="Times New Roman" w:cs="Times New Roman"/>
                <w:b/>
                <w:lang w:eastAsia="hu-HU"/>
              </w:rPr>
            </w:pPr>
            <w:r w:rsidRPr="00C14C72">
              <w:rPr>
                <w:rFonts w:ascii="Times New Roman" w:eastAsia="Times New Roman" w:hAnsi="Times New Roman" w:cs="Times New Roman"/>
                <w:b/>
                <w:lang w:eastAsia="hu-HU"/>
              </w:rPr>
              <w:t>Hadtudományi és Honvédtisztképző Kar</w:t>
            </w:r>
          </w:p>
        </w:tc>
        <w:tc>
          <w:tcPr>
            <w:tcW w:w="1620" w:type="dxa"/>
          </w:tcPr>
          <w:p w:rsidR="00C14C72" w:rsidRPr="00C14C72" w:rsidRDefault="00C14C72">
            <w:pPr>
              <w:spacing w:after="0" w:line="240" w:lineRule="auto"/>
              <w:jc w:val="both"/>
              <w:rPr>
                <w:rFonts w:ascii="Times New Roman" w:eastAsia="Times New Roman" w:hAnsi="Times New Roman" w:cs="Times New Roman"/>
                <w:lang w:eastAsia="hu-HU"/>
              </w:rPr>
            </w:pPr>
          </w:p>
        </w:tc>
        <w:tc>
          <w:tcPr>
            <w:tcW w:w="2597" w:type="dxa"/>
          </w:tcPr>
          <w:p w:rsidR="00C14C72" w:rsidRPr="00C14C72" w:rsidRDefault="00C14C72">
            <w:pPr>
              <w:spacing w:after="0" w:line="240" w:lineRule="auto"/>
              <w:jc w:val="both"/>
              <w:rPr>
                <w:rFonts w:ascii="Times New Roman" w:eastAsia="Times New Roman" w:hAnsi="Times New Roman" w:cs="Times New Roman"/>
                <w:lang w:eastAsia="hu-HU"/>
              </w:rPr>
            </w:pPr>
          </w:p>
        </w:tc>
      </w:tr>
    </w:tbl>
    <w:p w:rsidR="00C14C72" w:rsidRPr="00C14C72" w:rsidRDefault="00C14C72" w:rsidP="00C14C72">
      <w:pPr>
        <w:widowControl w:val="0"/>
        <w:spacing w:before="120" w:after="120" w:line="240" w:lineRule="auto"/>
        <w:ind w:left="426" w:hanging="142"/>
        <w:jc w:val="center"/>
        <w:rPr>
          <w:rFonts w:ascii="Times New Roman" w:eastAsia="Times New Roman" w:hAnsi="Times New Roman" w:cs="Times New Roman"/>
          <w:b/>
          <w:bCs/>
        </w:rPr>
      </w:pPr>
    </w:p>
    <w:p w:rsidR="00C14C72" w:rsidRPr="00C14C72" w:rsidRDefault="00C14C72" w:rsidP="00C14C72">
      <w:pPr>
        <w:widowControl w:val="0"/>
        <w:spacing w:before="120" w:after="120" w:line="240" w:lineRule="auto"/>
        <w:ind w:left="426" w:hanging="142"/>
        <w:jc w:val="center"/>
        <w:rPr>
          <w:rFonts w:ascii="Times New Roman" w:eastAsia="Times New Roman" w:hAnsi="Times New Roman" w:cs="Times New Roman"/>
          <w:b/>
          <w:bCs/>
        </w:rPr>
      </w:pPr>
      <w:r w:rsidRPr="00C14C72">
        <w:rPr>
          <w:rFonts w:ascii="Times New Roman" w:eastAsia="Times New Roman" w:hAnsi="Times New Roman" w:cs="Times New Roman"/>
          <w:b/>
          <w:bCs/>
        </w:rPr>
        <w:t>TANTÁRGYI PROGRAM</w:t>
      </w:r>
    </w:p>
    <w:p w:rsidR="00C14C72" w:rsidRPr="00C14C72" w:rsidRDefault="00C14C72" w:rsidP="00C2057B">
      <w:pPr>
        <w:widowControl w:val="0"/>
        <w:numPr>
          <w:ilvl w:val="0"/>
          <w:numId w:val="104"/>
        </w:numPr>
        <w:tabs>
          <w:tab w:val="num" w:pos="567"/>
        </w:tabs>
        <w:spacing w:before="120" w:after="120" w:line="240" w:lineRule="auto"/>
        <w:ind w:left="426" w:hanging="142"/>
        <w:jc w:val="both"/>
        <w:rPr>
          <w:rFonts w:ascii="Times New Roman" w:eastAsia="Times New Roman" w:hAnsi="Times New Roman" w:cs="Times New Roman"/>
          <w:bCs/>
        </w:rPr>
      </w:pPr>
      <w:r w:rsidRPr="00C14C72">
        <w:rPr>
          <w:rFonts w:ascii="Times New Roman" w:eastAsia="Times New Roman" w:hAnsi="Times New Roman" w:cs="Times New Roman"/>
          <w:b/>
          <w:bCs/>
        </w:rPr>
        <w:t xml:space="preserve">A tantárgy kódja: </w:t>
      </w:r>
      <w:r>
        <w:rPr>
          <w:rFonts w:ascii="Times New Roman" w:hAnsi="Times New Roman" w:cs="Times New Roman"/>
        </w:rPr>
        <w:t>HKHPKA300</w:t>
      </w:r>
    </w:p>
    <w:p w:rsidR="00C14C72" w:rsidRPr="00C14C72" w:rsidRDefault="00C14C72" w:rsidP="00C2057B">
      <w:pPr>
        <w:widowControl w:val="0"/>
        <w:numPr>
          <w:ilvl w:val="0"/>
          <w:numId w:val="104"/>
        </w:numPr>
        <w:tabs>
          <w:tab w:val="num" w:pos="567"/>
        </w:tabs>
        <w:spacing w:before="120" w:after="120" w:line="240" w:lineRule="auto"/>
        <w:ind w:left="426" w:hanging="142"/>
        <w:jc w:val="both"/>
        <w:rPr>
          <w:rFonts w:ascii="Times New Roman" w:eastAsia="Times New Roman" w:hAnsi="Times New Roman" w:cs="Times New Roman"/>
          <w:b/>
          <w:bCs/>
          <w:lang w:val="en-GB"/>
        </w:rPr>
      </w:pPr>
      <w:r w:rsidRPr="00C14C72">
        <w:rPr>
          <w:rFonts w:ascii="Times New Roman" w:eastAsia="Times New Roman" w:hAnsi="Times New Roman" w:cs="Times New Roman"/>
          <w:b/>
          <w:bCs/>
        </w:rPr>
        <w:t>A tantárgy megnevezése (magyarul):</w:t>
      </w:r>
      <w:r w:rsidRPr="00C14C72">
        <w:rPr>
          <w:rFonts w:ascii="Times New Roman" w:eastAsia="Times New Roman" w:hAnsi="Times New Roman" w:cs="Times New Roman"/>
          <w:bCs/>
        </w:rPr>
        <w:t xml:space="preserve"> </w:t>
      </w:r>
      <w:r w:rsidRPr="00C14C72">
        <w:rPr>
          <w:rFonts w:ascii="Times New Roman" w:hAnsi="Times New Roman" w:cs="Times New Roman"/>
        </w:rPr>
        <w:t>Anyagmozgatás-raktározás</w:t>
      </w:r>
    </w:p>
    <w:p w:rsidR="00C14C72" w:rsidRPr="00C14C72" w:rsidRDefault="00C14C72" w:rsidP="00C2057B">
      <w:pPr>
        <w:widowControl w:val="0"/>
        <w:numPr>
          <w:ilvl w:val="0"/>
          <w:numId w:val="104"/>
        </w:numPr>
        <w:tabs>
          <w:tab w:val="num" w:pos="567"/>
        </w:tabs>
        <w:spacing w:before="120" w:after="120" w:line="240" w:lineRule="auto"/>
        <w:ind w:left="426" w:hanging="142"/>
        <w:jc w:val="both"/>
        <w:rPr>
          <w:rFonts w:ascii="Times New Roman" w:eastAsia="Times New Roman" w:hAnsi="Times New Roman" w:cs="Times New Roman"/>
          <w:b/>
          <w:bCs/>
          <w:lang w:val="en-GB"/>
        </w:rPr>
      </w:pPr>
      <w:r w:rsidRPr="00C14C72">
        <w:rPr>
          <w:rFonts w:ascii="Times New Roman" w:eastAsia="Times New Roman" w:hAnsi="Times New Roman" w:cs="Times New Roman"/>
          <w:b/>
          <w:bCs/>
        </w:rPr>
        <w:t xml:space="preserve">A tantárgy megnevezése (angolul): </w:t>
      </w:r>
      <w:r w:rsidRPr="00C14C72">
        <w:rPr>
          <w:rFonts w:ascii="Times New Roman" w:hAnsi="Times New Roman" w:cs="Times New Roman"/>
        </w:rPr>
        <w:t>Material Handling and Warehousing</w:t>
      </w:r>
    </w:p>
    <w:p w:rsidR="00C14C72" w:rsidRPr="00C14C72" w:rsidRDefault="00C14C72" w:rsidP="00C2057B">
      <w:pPr>
        <w:widowControl w:val="0"/>
        <w:numPr>
          <w:ilvl w:val="0"/>
          <w:numId w:val="104"/>
        </w:numPr>
        <w:tabs>
          <w:tab w:val="num" w:pos="567"/>
        </w:tabs>
        <w:spacing w:before="120" w:after="120" w:line="240" w:lineRule="auto"/>
        <w:ind w:left="426" w:hanging="142"/>
        <w:jc w:val="both"/>
        <w:rPr>
          <w:rFonts w:ascii="Times New Roman" w:eastAsia="Times New Roman" w:hAnsi="Times New Roman" w:cs="Times New Roman"/>
          <w:b/>
          <w:bCs/>
        </w:rPr>
      </w:pPr>
      <w:r w:rsidRPr="00C14C72">
        <w:rPr>
          <w:rFonts w:ascii="Times New Roman" w:eastAsia="Times New Roman" w:hAnsi="Times New Roman" w:cs="Times New Roman"/>
          <w:b/>
          <w:bCs/>
        </w:rPr>
        <w:t xml:space="preserve">Kreditérték és képzési karakter: </w:t>
      </w:r>
    </w:p>
    <w:p w:rsidR="00C14C72" w:rsidRPr="00C14C72" w:rsidRDefault="00C14C72" w:rsidP="00C2057B">
      <w:pPr>
        <w:pStyle w:val="Listaszerbekezds"/>
        <w:widowControl w:val="0"/>
        <w:numPr>
          <w:ilvl w:val="1"/>
          <w:numId w:val="104"/>
        </w:numPr>
        <w:spacing w:before="120" w:after="120" w:line="240" w:lineRule="auto"/>
        <w:ind w:left="993" w:hanging="426"/>
        <w:jc w:val="both"/>
        <w:rPr>
          <w:rFonts w:ascii="Times New Roman" w:eastAsia="Times New Roman" w:hAnsi="Times New Roman" w:cs="Times New Roman"/>
          <w:b/>
          <w:bCs/>
        </w:rPr>
      </w:pPr>
      <w:r w:rsidRPr="00C14C72">
        <w:rPr>
          <w:rFonts w:ascii="Times New Roman" w:eastAsia="Times New Roman" w:hAnsi="Times New Roman" w:cs="Times New Roman"/>
          <w:bCs/>
        </w:rPr>
        <w:t>2 kredit</w:t>
      </w:r>
    </w:p>
    <w:p w:rsidR="00C14C72" w:rsidRPr="00C14C72" w:rsidRDefault="00C14C72" w:rsidP="00C2057B">
      <w:pPr>
        <w:pStyle w:val="Listaszerbekezds"/>
        <w:widowControl w:val="0"/>
        <w:numPr>
          <w:ilvl w:val="1"/>
          <w:numId w:val="104"/>
        </w:numPr>
        <w:spacing w:before="120" w:after="120" w:line="240" w:lineRule="auto"/>
        <w:ind w:left="993" w:hanging="426"/>
        <w:jc w:val="both"/>
        <w:rPr>
          <w:rFonts w:ascii="Times New Roman" w:eastAsia="Times New Roman" w:hAnsi="Times New Roman" w:cs="Times New Roman"/>
          <w:b/>
          <w:bCs/>
        </w:rPr>
      </w:pPr>
      <w:r w:rsidRPr="00C14C72">
        <w:rPr>
          <w:rFonts w:ascii="Times New Roman" w:eastAsia="Times New Roman" w:hAnsi="Times New Roman" w:cs="Times New Roman"/>
          <w:bCs/>
        </w:rPr>
        <w:t>a tantárgy elméleti vagy gyakorlati jellegének mértéke: 50</w:t>
      </w:r>
      <w:r w:rsidRPr="00C14C72">
        <w:rPr>
          <w:rFonts w:ascii="Times New Roman" w:eastAsia="Times New Roman" w:hAnsi="Times New Roman" w:cs="Times New Roman"/>
          <w:b/>
          <w:bCs/>
        </w:rPr>
        <w:t xml:space="preserve"> </w:t>
      </w:r>
      <w:r w:rsidRPr="00C14C72">
        <w:rPr>
          <w:rFonts w:ascii="Times New Roman" w:eastAsia="Times New Roman" w:hAnsi="Times New Roman" w:cs="Times New Roman"/>
          <w:bCs/>
        </w:rPr>
        <w:t>% gyakorlat, 50 % elmélet</w:t>
      </w:r>
    </w:p>
    <w:p w:rsidR="00C14C72" w:rsidRPr="00C14C72" w:rsidRDefault="00C14C72" w:rsidP="00C2057B">
      <w:pPr>
        <w:widowControl w:val="0"/>
        <w:numPr>
          <w:ilvl w:val="0"/>
          <w:numId w:val="104"/>
        </w:numPr>
        <w:spacing w:before="120" w:after="120" w:line="240" w:lineRule="auto"/>
        <w:ind w:left="426" w:hanging="142"/>
        <w:jc w:val="both"/>
        <w:rPr>
          <w:rFonts w:ascii="Times New Roman" w:eastAsia="Times New Roman" w:hAnsi="Times New Roman" w:cs="Times New Roman"/>
          <w:bCs/>
        </w:rPr>
      </w:pPr>
      <w:r w:rsidRPr="00C14C72">
        <w:rPr>
          <w:rFonts w:ascii="Times New Roman" w:eastAsia="Times New Roman" w:hAnsi="Times New Roman" w:cs="Times New Roman"/>
          <w:b/>
          <w:bCs/>
        </w:rPr>
        <w:t>A szak(ok), szakirányok/specializációk megnevezése (ahol oktatják):</w:t>
      </w:r>
      <w:r w:rsidRPr="00C14C72">
        <w:rPr>
          <w:rFonts w:ascii="Times New Roman" w:eastAsia="Times New Roman" w:hAnsi="Times New Roman" w:cs="Times New Roman"/>
          <w:bCs/>
        </w:rPr>
        <w:t xml:space="preserve"> Katonai logisztika alapképzési szak</w:t>
      </w:r>
    </w:p>
    <w:p w:rsidR="00C14C72" w:rsidRPr="00C14C72" w:rsidRDefault="00C14C72" w:rsidP="00C2057B">
      <w:pPr>
        <w:widowControl w:val="0"/>
        <w:numPr>
          <w:ilvl w:val="0"/>
          <w:numId w:val="104"/>
        </w:numPr>
        <w:tabs>
          <w:tab w:val="num" w:pos="567"/>
        </w:tabs>
        <w:spacing w:before="120" w:after="120" w:line="240" w:lineRule="auto"/>
        <w:ind w:left="426" w:hanging="142"/>
        <w:jc w:val="both"/>
        <w:rPr>
          <w:rFonts w:ascii="Times New Roman" w:eastAsia="Times New Roman" w:hAnsi="Times New Roman" w:cs="Times New Roman"/>
          <w:bCs/>
        </w:rPr>
      </w:pPr>
      <w:r w:rsidRPr="00C14C72">
        <w:rPr>
          <w:rFonts w:ascii="Times New Roman" w:eastAsia="Times New Roman" w:hAnsi="Times New Roman" w:cs="Times New Roman"/>
          <w:b/>
          <w:bCs/>
        </w:rPr>
        <w:t xml:space="preserve">Az oktatásért felelős oktatási szervezeti egység megnevezése: </w:t>
      </w:r>
      <w:r w:rsidRPr="00C14C72">
        <w:rPr>
          <w:rFonts w:ascii="Times New Roman" w:eastAsia="Times New Roman" w:hAnsi="Times New Roman" w:cs="Times New Roman"/>
          <w:bCs/>
        </w:rPr>
        <w:t>NKE HHK, Hadtáp, Pénzügyi és Katonai Közlekedési Tanszék</w:t>
      </w:r>
    </w:p>
    <w:p w:rsidR="00C14C72" w:rsidRPr="00C14C72" w:rsidRDefault="00C14C72" w:rsidP="00C2057B">
      <w:pPr>
        <w:widowControl w:val="0"/>
        <w:numPr>
          <w:ilvl w:val="0"/>
          <w:numId w:val="104"/>
        </w:numPr>
        <w:tabs>
          <w:tab w:val="num" w:pos="567"/>
        </w:tabs>
        <w:spacing w:before="120" w:after="120" w:line="240" w:lineRule="auto"/>
        <w:ind w:left="426" w:hanging="142"/>
        <w:jc w:val="both"/>
        <w:rPr>
          <w:rFonts w:ascii="Times New Roman" w:eastAsia="Times New Roman" w:hAnsi="Times New Roman" w:cs="Times New Roman"/>
          <w:bCs/>
        </w:rPr>
      </w:pPr>
      <w:r w:rsidRPr="00C14C72">
        <w:rPr>
          <w:rFonts w:ascii="Times New Roman" w:eastAsia="Times New Roman" w:hAnsi="Times New Roman" w:cs="Times New Roman"/>
          <w:b/>
          <w:bCs/>
        </w:rPr>
        <w:t>A tantárgyfelelős oktató neve, beosztása, tudományos fokozata:</w:t>
      </w:r>
      <w:r w:rsidRPr="00C14C72">
        <w:rPr>
          <w:rFonts w:ascii="Times New Roman" w:eastAsia="Times New Roman" w:hAnsi="Times New Roman" w:cs="Times New Roman"/>
          <w:bCs/>
        </w:rPr>
        <w:t xml:space="preserve"> </w:t>
      </w:r>
      <w:r w:rsidRPr="00C14C72">
        <w:rPr>
          <w:rFonts w:ascii="Times New Roman" w:hAnsi="Times New Roman" w:cs="Times New Roman"/>
          <w:lang w:eastAsia="x-none"/>
        </w:rPr>
        <w:t>Dr. Szászi Gábor egyetemi docens, PhD</w:t>
      </w:r>
      <w:r w:rsidRPr="00C14C72">
        <w:rPr>
          <w:rFonts w:ascii="Times New Roman" w:eastAsia="Times New Roman" w:hAnsi="Times New Roman" w:cs="Times New Roman"/>
          <w:bCs/>
        </w:rPr>
        <w:t xml:space="preserve"> </w:t>
      </w:r>
    </w:p>
    <w:p w:rsidR="00C14C72" w:rsidRPr="00C14C72" w:rsidRDefault="00C14C72" w:rsidP="00C2057B">
      <w:pPr>
        <w:widowControl w:val="0"/>
        <w:numPr>
          <w:ilvl w:val="0"/>
          <w:numId w:val="104"/>
        </w:numPr>
        <w:tabs>
          <w:tab w:val="num" w:pos="567"/>
        </w:tabs>
        <w:spacing w:before="120" w:after="120" w:line="240" w:lineRule="auto"/>
        <w:ind w:left="426" w:hanging="142"/>
        <w:jc w:val="both"/>
        <w:rPr>
          <w:rFonts w:ascii="Times New Roman" w:eastAsia="Times New Roman" w:hAnsi="Times New Roman" w:cs="Times New Roman"/>
          <w:bCs/>
        </w:rPr>
      </w:pPr>
      <w:r w:rsidRPr="00C14C72">
        <w:rPr>
          <w:rFonts w:ascii="Times New Roman" w:eastAsia="Times New Roman" w:hAnsi="Times New Roman" w:cs="Times New Roman"/>
          <w:b/>
          <w:bCs/>
        </w:rPr>
        <w:t>A tanórák száma és típusa</w:t>
      </w:r>
    </w:p>
    <w:p w:rsidR="00C14C72" w:rsidRPr="00C14C72" w:rsidRDefault="00C14C72" w:rsidP="00C2057B">
      <w:pPr>
        <w:widowControl w:val="0"/>
        <w:numPr>
          <w:ilvl w:val="1"/>
          <w:numId w:val="104"/>
        </w:numPr>
        <w:tabs>
          <w:tab w:val="num" w:pos="709"/>
          <w:tab w:val="num" w:pos="2069"/>
        </w:tabs>
        <w:spacing w:before="120" w:after="120" w:line="240" w:lineRule="auto"/>
        <w:ind w:left="851" w:hanging="425"/>
        <w:jc w:val="both"/>
        <w:rPr>
          <w:rFonts w:ascii="Times New Roman" w:eastAsia="Times New Roman" w:hAnsi="Times New Roman" w:cs="Times New Roman"/>
          <w:bCs/>
        </w:rPr>
      </w:pPr>
      <w:r w:rsidRPr="00C14C72">
        <w:rPr>
          <w:rFonts w:ascii="Times New Roman" w:eastAsia="Times New Roman" w:hAnsi="Times New Roman" w:cs="Times New Roman"/>
          <w:bCs/>
        </w:rPr>
        <w:t>össz óraszám/félév: 28</w:t>
      </w:r>
    </w:p>
    <w:p w:rsidR="00C14C72" w:rsidRPr="00C14C72" w:rsidRDefault="00C14C72" w:rsidP="00C2057B">
      <w:pPr>
        <w:widowControl w:val="0"/>
        <w:numPr>
          <w:ilvl w:val="2"/>
          <w:numId w:val="104"/>
        </w:numPr>
        <w:tabs>
          <w:tab w:val="clear" w:pos="1800"/>
          <w:tab w:val="num" w:pos="709"/>
        </w:tabs>
        <w:spacing w:after="0" w:line="240" w:lineRule="auto"/>
        <w:ind w:left="1276" w:hanging="425"/>
        <w:jc w:val="both"/>
        <w:rPr>
          <w:rFonts w:ascii="Times New Roman" w:eastAsia="Times New Roman" w:hAnsi="Times New Roman" w:cs="Times New Roman"/>
          <w:bCs/>
        </w:rPr>
      </w:pPr>
      <w:r w:rsidRPr="00C14C72">
        <w:rPr>
          <w:rFonts w:ascii="Times New Roman" w:eastAsia="Times New Roman" w:hAnsi="Times New Roman" w:cs="Times New Roman"/>
          <w:bCs/>
        </w:rPr>
        <w:t>nappali munkarend: 28 (14 EA + 0 SZ + 14 GY)</w:t>
      </w:r>
    </w:p>
    <w:p w:rsidR="00C14C72" w:rsidRPr="00C14C72" w:rsidRDefault="00C14C72" w:rsidP="00C2057B">
      <w:pPr>
        <w:widowControl w:val="0"/>
        <w:numPr>
          <w:ilvl w:val="2"/>
          <w:numId w:val="104"/>
        </w:numPr>
        <w:tabs>
          <w:tab w:val="clear" w:pos="1800"/>
          <w:tab w:val="num" w:pos="709"/>
        </w:tabs>
        <w:spacing w:after="0" w:line="240" w:lineRule="auto"/>
        <w:ind w:left="1276" w:hanging="425"/>
        <w:jc w:val="both"/>
        <w:rPr>
          <w:rFonts w:ascii="Times New Roman" w:eastAsia="Times New Roman" w:hAnsi="Times New Roman" w:cs="Times New Roman"/>
          <w:bCs/>
        </w:rPr>
      </w:pPr>
      <w:r w:rsidRPr="00C14C72">
        <w:rPr>
          <w:rFonts w:ascii="Times New Roman" w:eastAsia="Times New Roman" w:hAnsi="Times New Roman" w:cs="Times New Roman"/>
          <w:bCs/>
        </w:rPr>
        <w:t>levelező munkarend: 0 (0 EA + 0 SZ + 0 GY)</w:t>
      </w:r>
    </w:p>
    <w:p w:rsidR="00C14C72" w:rsidRPr="00C14C72" w:rsidRDefault="00C14C72" w:rsidP="00C2057B">
      <w:pPr>
        <w:widowControl w:val="0"/>
        <w:numPr>
          <w:ilvl w:val="1"/>
          <w:numId w:val="104"/>
        </w:numPr>
        <w:tabs>
          <w:tab w:val="num" w:pos="709"/>
          <w:tab w:val="num" w:pos="2069"/>
        </w:tabs>
        <w:spacing w:before="120" w:after="120" w:line="240" w:lineRule="auto"/>
        <w:ind w:left="851" w:hanging="425"/>
        <w:jc w:val="both"/>
        <w:rPr>
          <w:rFonts w:ascii="Times New Roman" w:eastAsia="Times New Roman" w:hAnsi="Times New Roman" w:cs="Times New Roman"/>
          <w:bCs/>
        </w:rPr>
      </w:pPr>
      <w:r w:rsidRPr="00C14C72">
        <w:rPr>
          <w:rFonts w:ascii="Times New Roman" w:eastAsia="Times New Roman" w:hAnsi="Times New Roman" w:cs="Times New Roman"/>
          <w:bCs/>
        </w:rPr>
        <w:t>heti óraszám - nappali munkarend: 2</w:t>
      </w:r>
    </w:p>
    <w:p w:rsidR="00C14C72" w:rsidRPr="00C14C72" w:rsidRDefault="00C14C72" w:rsidP="00C2057B">
      <w:pPr>
        <w:widowControl w:val="0"/>
        <w:numPr>
          <w:ilvl w:val="1"/>
          <w:numId w:val="104"/>
        </w:numPr>
        <w:tabs>
          <w:tab w:val="num" w:pos="709"/>
          <w:tab w:val="num" w:pos="2069"/>
        </w:tabs>
        <w:spacing w:before="120" w:after="120" w:line="240" w:lineRule="auto"/>
        <w:ind w:left="851" w:hanging="425"/>
        <w:jc w:val="both"/>
        <w:rPr>
          <w:rFonts w:ascii="Times New Roman" w:eastAsia="Times New Roman" w:hAnsi="Times New Roman" w:cs="Times New Roman"/>
          <w:bCs/>
        </w:rPr>
      </w:pPr>
      <w:r w:rsidRPr="00C14C72">
        <w:rPr>
          <w:rFonts w:ascii="Times New Roman" w:hAnsi="Times New Roman" w:cs="Times New Roman"/>
        </w:rPr>
        <w:t>Az ismeret átadásában alkalmazandó további sajátos módok, jellemzők: -</w:t>
      </w:r>
    </w:p>
    <w:p w:rsidR="00C14C72" w:rsidRPr="00C14C72" w:rsidRDefault="00C14C72" w:rsidP="00C2057B">
      <w:pPr>
        <w:pStyle w:val="lfej"/>
        <w:numPr>
          <w:ilvl w:val="0"/>
          <w:numId w:val="104"/>
        </w:numPr>
        <w:tabs>
          <w:tab w:val="clear" w:pos="720"/>
        </w:tabs>
        <w:spacing w:before="120"/>
        <w:ind w:left="567" w:hanging="207"/>
        <w:jc w:val="both"/>
        <w:rPr>
          <w:rFonts w:ascii="Times New Roman" w:hAnsi="Times New Roman" w:cs="Times New Roman"/>
        </w:rPr>
      </w:pPr>
      <w:r w:rsidRPr="00C14C72">
        <w:rPr>
          <w:rFonts w:ascii="Times New Roman" w:eastAsia="Times New Roman" w:hAnsi="Times New Roman" w:cs="Times New Roman"/>
          <w:b/>
          <w:bCs/>
        </w:rPr>
        <w:t xml:space="preserve">A tantárgy szakmai tartalma (magyarul): </w:t>
      </w:r>
      <w:r w:rsidRPr="00C14C72">
        <w:rPr>
          <w:rFonts w:ascii="Times New Roman" w:eastAsia="Times New Roman" w:hAnsi="Times New Roman" w:cs="Times New Roman"/>
          <w:bCs/>
        </w:rPr>
        <w:t>Az anyagmozgatás fogalma, feladata, az</w:t>
      </w:r>
      <w:r w:rsidRPr="00C14C72">
        <w:rPr>
          <w:rFonts w:ascii="Times New Roman" w:hAnsi="Times New Roman" w:cs="Times New Roman"/>
        </w:rPr>
        <w:t xml:space="preserve"> anyagmozgatás helye és szerepe a logisztikai rendszerekben. A mozgatandó anyagok jellemzése, az anyagokat érő igénybevételek az RST folyamatokban. A kézi anyagmozgatás folyamata és eszközrendszere. Gépi anyagmozgató rendszerek. Szállító- és rakodógépek, gépi meghajtású targoncák csoportosítása, szerkezeti felépítése, működési elveik, teljesítőképességeik meghatározásának módjai. A katonai anyagmozgatással szemben támasztott követelmények és sajátosságok. A Magyar Honvédségben alkalmazott kézi és gépi anyagmozgató eszközök és – rendszerek. A katonai anyagok szállításával kapcsolatos rakodási feladatok tervezése, és szervezése. Egységrakományok rakodásának és rögzítésének módjai, előírásai. Tábori anyagmozgató eszközökkel szemben támasztott követelmények, alkalmazásuk tervezésének módjai. </w:t>
      </w:r>
    </w:p>
    <w:p w:rsidR="00C14C72" w:rsidRPr="00C14C72" w:rsidRDefault="00C14C72" w:rsidP="00C14C72">
      <w:pPr>
        <w:pStyle w:val="lfej"/>
        <w:ind w:left="567"/>
        <w:jc w:val="both"/>
        <w:rPr>
          <w:rFonts w:ascii="Times New Roman" w:hAnsi="Times New Roman" w:cs="Times New Roman"/>
        </w:rPr>
      </w:pPr>
      <w:r w:rsidRPr="00C14C72">
        <w:rPr>
          <w:rFonts w:ascii="Times New Roman" w:hAnsi="Times New Roman" w:cs="Times New Roman"/>
        </w:rPr>
        <w:tab/>
        <w:t>A raktározás fogalma, feladata, raktárak kialakításával kapcsolatos elvárások, követelmények. Raktárak berendezése és eszközrendszere. Raktári anyagmozgató rendszerek technológiai folyamatai. Katonai és tábori raktárakkal szemben támasztott követelmények. A raktárak telepítésére vonatkozó műszaki előírások. A raktárak közlekedési kapcsolatai.</w:t>
      </w:r>
    </w:p>
    <w:p w:rsidR="00C14C72" w:rsidRPr="00C14C72" w:rsidRDefault="00C14C72" w:rsidP="00C14C72">
      <w:pPr>
        <w:pStyle w:val="lfej"/>
        <w:ind w:left="567"/>
        <w:jc w:val="both"/>
        <w:rPr>
          <w:rFonts w:ascii="Times New Roman" w:hAnsi="Times New Roman" w:cs="Times New Roman"/>
        </w:rPr>
      </w:pPr>
      <w:r w:rsidRPr="00C14C72">
        <w:rPr>
          <w:rFonts w:ascii="Times New Roman" w:hAnsi="Times New Roman" w:cs="Times New Roman"/>
        </w:rPr>
        <w:t xml:space="preserve">Raktárgazdálkodás elvei, mutatószámai, készletgazdálkodás, készletezési stratégiák. Korszerű raktár gazdálkodási és – irányítási módszerek. </w:t>
      </w:r>
    </w:p>
    <w:p w:rsidR="00C14C72" w:rsidRPr="00C14C72" w:rsidRDefault="00C14C72" w:rsidP="00C14C72">
      <w:pPr>
        <w:widowControl w:val="0"/>
        <w:spacing w:after="0" w:line="240" w:lineRule="auto"/>
        <w:ind w:left="567"/>
        <w:jc w:val="both"/>
        <w:rPr>
          <w:rFonts w:ascii="Times New Roman" w:eastAsia="Times New Roman" w:hAnsi="Times New Roman" w:cs="Times New Roman"/>
          <w:bCs/>
        </w:rPr>
      </w:pPr>
      <w:r w:rsidRPr="00C14C72">
        <w:rPr>
          <w:rFonts w:ascii="Times New Roman" w:hAnsi="Times New Roman" w:cs="Times New Roman"/>
        </w:rPr>
        <w:t>A Magyar Honvédségben alkalmazott raktári anyagmozgató rendszerekkel és eszközökkel szemben támasztott sajátos követelmények. Az eszközök alkalmazásának munkavédelmi és biztonságtechnikai rendszabályai. Gépi működtetésű anyagmozgató eszközök üzemeltetésével, karbantartásával kapcsolatos előírások, követelmények.</w:t>
      </w:r>
    </w:p>
    <w:p w:rsidR="00C14C72" w:rsidRPr="00C14C72" w:rsidRDefault="00C14C72" w:rsidP="00C14C72">
      <w:pPr>
        <w:pStyle w:val="lfej"/>
        <w:spacing w:before="120"/>
        <w:ind w:left="567"/>
        <w:jc w:val="both"/>
        <w:rPr>
          <w:rFonts w:ascii="Times New Roman" w:hAnsi="Times New Roman" w:cs="Times New Roman"/>
        </w:rPr>
      </w:pPr>
      <w:r w:rsidRPr="00C14C72">
        <w:rPr>
          <w:rFonts w:ascii="Times New Roman" w:eastAsia="Times New Roman" w:hAnsi="Times New Roman" w:cs="Times New Roman"/>
          <w:b/>
          <w:bCs/>
        </w:rPr>
        <w:t>A tantárgy szakmai tartalma (angolul) (</w:t>
      </w:r>
      <w:r w:rsidRPr="00C14C72">
        <w:rPr>
          <w:rFonts w:ascii="Times New Roman" w:eastAsia="Times New Roman" w:hAnsi="Times New Roman" w:cs="Times New Roman"/>
          <w:b/>
          <w:bCs/>
          <w:lang w:val="en-US"/>
        </w:rPr>
        <w:t>Course description</w:t>
      </w:r>
      <w:r w:rsidRPr="00C14C72">
        <w:rPr>
          <w:rFonts w:ascii="Times New Roman" w:eastAsia="Times New Roman" w:hAnsi="Times New Roman" w:cs="Times New Roman"/>
          <w:b/>
          <w:bCs/>
        </w:rPr>
        <w:t xml:space="preserve">): </w:t>
      </w:r>
      <w:r w:rsidRPr="00C14C72">
        <w:rPr>
          <w:rFonts w:ascii="Times New Roman" w:hAnsi="Times New Roman" w:cs="Times New Roman"/>
        </w:rPr>
        <w:t xml:space="preserve">Concept and task of material handling. Place and role of material handling in logistics systems. Characterisation of materials to be handled; utilisations of materials in RST processes. Process and system of means of </w:t>
      </w:r>
      <w:r w:rsidRPr="00C14C72">
        <w:rPr>
          <w:rFonts w:ascii="Times New Roman" w:hAnsi="Times New Roman" w:cs="Times New Roman"/>
        </w:rPr>
        <w:lastRenderedPageBreak/>
        <w:t xml:space="preserve">manual material handling. Mechanical material handling systems. Grouping, structural construction and operation principles of transport and loading machines and mechanically driven trolleys and methods of defining their capacities. Requirements and peculiarities of military material handling. Manual and mechanical equipment and systems used by the Hungarian Defence Forces for material handling. Planning and organising loading tasks related to transporting military materials. Modes and specifications of loading and securing unit loads. Requirements of field material handling devices and modes of planning their application.  </w:t>
      </w:r>
    </w:p>
    <w:p w:rsidR="00C14C72" w:rsidRPr="00C14C72" w:rsidRDefault="00C14C72" w:rsidP="00C14C72">
      <w:pPr>
        <w:pStyle w:val="lfej"/>
        <w:ind w:left="567"/>
        <w:jc w:val="both"/>
        <w:rPr>
          <w:rFonts w:ascii="Times New Roman" w:hAnsi="Times New Roman" w:cs="Times New Roman"/>
        </w:rPr>
      </w:pPr>
      <w:r w:rsidRPr="00C14C72">
        <w:rPr>
          <w:rFonts w:ascii="Times New Roman" w:hAnsi="Times New Roman" w:cs="Times New Roman"/>
        </w:rPr>
        <w:t xml:space="preserve">Concept and task of warehousing; expectations and requirements related to developing warehouses. Furnishings and system of means of warehouses. Technological processes of material handling systems of warehouses. Requirements of military and field warehouses. Technical </w:t>
      </w:r>
      <w:r w:rsidRPr="00C14C72">
        <w:rPr>
          <w:rStyle w:val="apple-style-span"/>
          <w:rFonts w:ascii="Times New Roman" w:hAnsi="Times New Roman" w:cs="Times New Roman"/>
          <w:bCs/>
          <w:iCs/>
          <w:snapToGrid w:val="0"/>
          <w:spacing w:val="2"/>
          <w:shd w:val="clear" w:color="auto" w:fill="FFFFFF"/>
        </w:rPr>
        <w:t>specifications relating to deploying warehouses</w:t>
      </w:r>
      <w:r w:rsidRPr="00C14C72">
        <w:rPr>
          <w:rFonts w:ascii="Times New Roman" w:hAnsi="Times New Roman" w:cs="Times New Roman"/>
        </w:rPr>
        <w:t>. Transport connections of warehouses.</w:t>
      </w:r>
    </w:p>
    <w:p w:rsidR="00C14C72" w:rsidRPr="00C14C72" w:rsidRDefault="00C14C72" w:rsidP="00C14C72">
      <w:pPr>
        <w:pStyle w:val="lfej"/>
        <w:ind w:left="567"/>
        <w:jc w:val="both"/>
        <w:rPr>
          <w:rFonts w:ascii="Times New Roman" w:hAnsi="Times New Roman" w:cs="Times New Roman"/>
        </w:rPr>
      </w:pPr>
      <w:r w:rsidRPr="00C14C72">
        <w:rPr>
          <w:rFonts w:ascii="Times New Roman" w:hAnsi="Times New Roman" w:cs="Times New Roman"/>
        </w:rPr>
        <w:t xml:space="preserve">Principles and indexes of warehouse management; inventory management and strategies of stockpiling. Modern methods of warehouse management and warehouse control. </w:t>
      </w:r>
    </w:p>
    <w:p w:rsidR="00C14C72" w:rsidRPr="00C14C72" w:rsidRDefault="00C14C72" w:rsidP="00C14C72">
      <w:pPr>
        <w:widowControl w:val="0"/>
        <w:spacing w:before="120" w:after="120" w:line="240" w:lineRule="auto"/>
        <w:ind w:left="567"/>
        <w:jc w:val="both"/>
        <w:rPr>
          <w:rFonts w:ascii="Times New Roman" w:eastAsia="Times New Roman" w:hAnsi="Times New Roman" w:cs="Times New Roman"/>
          <w:bCs/>
          <w:lang w:val="en-GB"/>
        </w:rPr>
      </w:pPr>
      <w:r w:rsidRPr="00C14C72">
        <w:rPr>
          <w:rFonts w:ascii="Times New Roman" w:hAnsi="Times New Roman" w:cs="Times New Roman"/>
        </w:rPr>
        <w:t xml:space="preserve">Special requirements related to material handling systems and devices used in warehouses by the Hungarian Defence Forces. Labour protection and safety regulations relating to applying devices. Specifications and requirements related to the </w:t>
      </w:r>
      <w:r w:rsidRPr="00C14C72">
        <w:rPr>
          <w:rFonts w:ascii="Times New Roman" w:hAnsi="Times New Roman" w:cs="Times New Roman"/>
          <w:snapToGrid w:val="0"/>
        </w:rPr>
        <w:t>operation</w:t>
      </w:r>
      <w:r w:rsidRPr="00C14C72">
        <w:rPr>
          <w:rFonts w:ascii="Times New Roman" w:hAnsi="Times New Roman" w:cs="Times New Roman"/>
        </w:rPr>
        <w:t xml:space="preserve"> and maintenance of mechanically driven material handling devices.</w:t>
      </w:r>
    </w:p>
    <w:p w:rsidR="00C14C72" w:rsidRPr="00C14C72" w:rsidRDefault="00C14C72" w:rsidP="00C2057B">
      <w:pPr>
        <w:pStyle w:val="Listaszerbekezds"/>
        <w:widowControl w:val="0"/>
        <w:numPr>
          <w:ilvl w:val="0"/>
          <w:numId w:val="104"/>
        </w:numPr>
        <w:spacing w:before="120" w:after="120" w:line="240" w:lineRule="auto"/>
        <w:jc w:val="both"/>
        <w:rPr>
          <w:rFonts w:ascii="Times New Roman" w:eastAsia="Times New Roman" w:hAnsi="Times New Roman" w:cs="Times New Roman"/>
          <w:bCs/>
        </w:rPr>
      </w:pPr>
      <w:r w:rsidRPr="00C14C72">
        <w:rPr>
          <w:rFonts w:ascii="Times New Roman" w:eastAsia="Times New Roman" w:hAnsi="Times New Roman" w:cs="Times New Roman"/>
          <w:b/>
          <w:bCs/>
        </w:rPr>
        <w:t xml:space="preserve">Elérendő kompetenciák (magyarul): </w:t>
      </w:r>
    </w:p>
    <w:p w:rsidR="00C14C72" w:rsidRPr="00C14C72" w:rsidRDefault="00C14C72" w:rsidP="00C14C72">
      <w:pPr>
        <w:autoSpaceDE w:val="0"/>
        <w:autoSpaceDN w:val="0"/>
        <w:adjustRightInd w:val="0"/>
        <w:spacing w:before="120" w:after="0" w:line="240" w:lineRule="auto"/>
        <w:ind w:left="425"/>
        <w:jc w:val="both"/>
        <w:rPr>
          <w:rFonts w:ascii="Times New Roman" w:eastAsia="Times New Roman" w:hAnsi="Times New Roman" w:cs="Times New Roman"/>
          <w:b/>
          <w:bCs/>
        </w:rPr>
      </w:pPr>
      <w:r w:rsidRPr="00C14C72">
        <w:rPr>
          <w:rFonts w:ascii="Times New Roman" w:eastAsia="Times New Roman" w:hAnsi="Times New Roman" w:cs="Times New Roman"/>
          <w:b/>
          <w:bCs/>
        </w:rPr>
        <w:t xml:space="preserve">Tudása: </w:t>
      </w:r>
    </w:p>
    <w:p w:rsidR="00C14C72" w:rsidRPr="00C14C72" w:rsidRDefault="00C14C72"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C14C72">
        <w:rPr>
          <w:rFonts w:ascii="Times New Roman" w:hAnsi="Times New Roman" w:cs="Times New Roman"/>
        </w:rPr>
        <w:t>Ismeri a katonai közlekedési szakterülethez szervesen kapcsolódó logisztikai, menedzsment, környezetvédelmi, minőségbiztosítási, információtechnológiai, jogi, közgazdasági szakterületek alapjait és követelményeit.</w:t>
      </w:r>
    </w:p>
    <w:p w:rsidR="00C14C72" w:rsidRPr="00C14C72" w:rsidRDefault="00C14C72"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C14C72">
        <w:rPr>
          <w:rFonts w:ascii="Times New Roman" w:hAnsi="Times New Roman" w:cs="Times New Roman"/>
        </w:rPr>
        <w:t>Ismeri a katonai közlekedési szakterület szaktechnikai eszközeit, a közlekedési pályákat és létesítményeiket, azok igénybevételének és üzemeltetésének szabályait.</w:t>
      </w:r>
    </w:p>
    <w:p w:rsidR="00C14C72" w:rsidRPr="00C14C72" w:rsidRDefault="00C14C72"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C14C72">
        <w:rPr>
          <w:rFonts w:ascii="Times New Roman" w:hAnsi="Times New Roman" w:cs="Times New Roman"/>
        </w:rPr>
        <w:t>Ismeri a katonai közlekedési szakanyagok készletezésének, tárolásának, nyilvántartásának és leltározásának, valamint ezen folyamatok ellenőrzésének feladatait és kötelezettségeit.</w:t>
      </w:r>
    </w:p>
    <w:p w:rsidR="00C14C72" w:rsidRPr="00C14C72" w:rsidRDefault="00C14C72"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C14C72">
        <w:rPr>
          <w:rFonts w:ascii="Times New Roman" w:hAnsi="Times New Roman" w:cs="Times New Roman"/>
        </w:rPr>
        <w:t>Mélyrehatóan ismeri a katonai közlekedési szakterület szakmai feladatait, a közlekedési szakfeladatok rendszerét, az egyes feladatok végrehajtásának sajátosságait.</w:t>
      </w:r>
    </w:p>
    <w:p w:rsidR="00C14C72" w:rsidRPr="00C14C72" w:rsidRDefault="00C14C72"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C14C72">
        <w:rPr>
          <w:rFonts w:ascii="Times New Roman" w:hAnsi="Times New Roman" w:cs="Times New Roman"/>
        </w:rPr>
        <w:t>Ismeri a katonai közlekedési igények felmérésének módszereit és megvalósítási lehetőségeit, gyakorlatát.</w:t>
      </w:r>
    </w:p>
    <w:p w:rsidR="00C14C72" w:rsidRPr="00C14C72" w:rsidRDefault="00C14C72" w:rsidP="00C14C72">
      <w:pPr>
        <w:autoSpaceDE w:val="0"/>
        <w:autoSpaceDN w:val="0"/>
        <w:adjustRightInd w:val="0"/>
        <w:spacing w:before="120" w:after="0" w:line="240" w:lineRule="auto"/>
        <w:ind w:left="425"/>
        <w:jc w:val="both"/>
        <w:rPr>
          <w:rFonts w:ascii="Times New Roman" w:eastAsia="Times New Roman" w:hAnsi="Times New Roman" w:cs="Times New Roman"/>
          <w:bCs/>
        </w:rPr>
      </w:pPr>
      <w:r w:rsidRPr="00C14C72">
        <w:rPr>
          <w:rFonts w:ascii="Times New Roman" w:eastAsia="Times New Roman" w:hAnsi="Times New Roman" w:cs="Times New Roman"/>
          <w:b/>
          <w:bCs/>
        </w:rPr>
        <w:t>Képességei:</w:t>
      </w:r>
      <w:r w:rsidRPr="00C14C72">
        <w:rPr>
          <w:rFonts w:ascii="Times New Roman" w:eastAsia="Times New Roman" w:hAnsi="Times New Roman" w:cs="Times New Roman"/>
          <w:bCs/>
        </w:rPr>
        <w:t xml:space="preserve"> </w:t>
      </w:r>
    </w:p>
    <w:p w:rsidR="00C14C72" w:rsidRPr="00C14C72" w:rsidRDefault="00C14C72"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C14C72">
        <w:rPr>
          <w:rFonts w:ascii="Times New Roman" w:hAnsi="Times New Roman" w:cs="Times New Roman"/>
        </w:rPr>
        <w:t>Az általános és specifikus katonai ismeretei és készségei birtokában képes a katonai közlekedési, mozgatási, szállítási feladatok tervezésére, szervezésére és vezetésére.</w:t>
      </w:r>
    </w:p>
    <w:p w:rsidR="00C14C72" w:rsidRPr="00C14C72" w:rsidRDefault="00C14C72"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C14C72">
        <w:rPr>
          <w:rFonts w:ascii="Times New Roman" w:hAnsi="Times New Roman" w:cs="Times New Roman"/>
        </w:rPr>
        <w:t>Képes békeidőszakban, válságkezelő, katasztrófa-elhárítási, béketámogató és háborús műveletekben, nemzeti és többnemzeti környezetben a szállító szakalegységek alaprendeltetéséből fakadó feladatai végrehajtásának vezetésére.</w:t>
      </w:r>
    </w:p>
    <w:p w:rsidR="00C14C72" w:rsidRPr="00C14C72" w:rsidRDefault="00C14C72"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C14C72">
        <w:rPr>
          <w:rFonts w:ascii="Times New Roman" w:hAnsi="Times New Roman" w:cs="Times New Roman"/>
        </w:rPr>
        <w:t>Képes a közlekedési hálózatok katonai célú alkalmazásának tervezésére, szervezésére és végrehajtására.</w:t>
      </w:r>
    </w:p>
    <w:p w:rsidR="00C14C72" w:rsidRPr="00C14C72" w:rsidRDefault="00C14C72"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C14C72">
        <w:rPr>
          <w:rFonts w:ascii="Times New Roman" w:hAnsi="Times New Roman" w:cs="Times New Roman"/>
        </w:rPr>
        <w:t>Képes a közlekedési folyamatokat támogató közlekedésinformatikai rendszerek alkalmazására, az azokkal kapcsolatos felhasználói alapkövetelmények megfogalmazására.</w:t>
      </w:r>
    </w:p>
    <w:p w:rsidR="00C14C72" w:rsidRPr="00C14C72" w:rsidRDefault="00C14C72" w:rsidP="00C14C72">
      <w:pPr>
        <w:autoSpaceDE w:val="0"/>
        <w:autoSpaceDN w:val="0"/>
        <w:adjustRightInd w:val="0"/>
        <w:spacing w:before="120" w:after="0" w:line="240" w:lineRule="auto"/>
        <w:ind w:left="425"/>
        <w:jc w:val="both"/>
        <w:rPr>
          <w:rFonts w:ascii="Times New Roman" w:eastAsia="Times New Roman" w:hAnsi="Times New Roman" w:cs="Times New Roman"/>
          <w:b/>
          <w:bCs/>
        </w:rPr>
      </w:pPr>
      <w:r w:rsidRPr="00C14C72">
        <w:rPr>
          <w:rFonts w:ascii="Times New Roman" w:eastAsia="Times New Roman" w:hAnsi="Times New Roman" w:cs="Times New Roman"/>
          <w:b/>
          <w:bCs/>
        </w:rPr>
        <w:t xml:space="preserve">Attitűdje: </w:t>
      </w:r>
    </w:p>
    <w:p w:rsidR="00C14C72" w:rsidRPr="00C14C72" w:rsidRDefault="00C14C72"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C14C72">
        <w:rPr>
          <w:rFonts w:ascii="Times New Roman" w:hAnsi="Times New Roman" w:cs="Times New Roman"/>
        </w:rPr>
        <w:t>Nyitott a katonai közlekedési szakterületen zajló szakmai, technológiai fejlesztés és innováció megismerésére és elfogadására, hiteles közvetítésére és azok mindennapi munkájába való beillesztésére.</w:t>
      </w:r>
    </w:p>
    <w:p w:rsidR="00C14C72" w:rsidRPr="00C14C72" w:rsidRDefault="00C14C72"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C14C72">
        <w:rPr>
          <w:rFonts w:ascii="Times New Roman" w:hAnsi="Times New Roman" w:cs="Times New Roman"/>
        </w:rPr>
        <w:t>Törekszik arra, hogy önképzése a katonai közlekedési szakterületen folyamatos és szakmai céljaival megegyező legyen.</w:t>
      </w:r>
    </w:p>
    <w:p w:rsidR="00C14C72" w:rsidRPr="00C14C72" w:rsidRDefault="00C14C72"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C14C72">
        <w:rPr>
          <w:rFonts w:ascii="Times New Roman" w:hAnsi="Times New Roman" w:cs="Times New Roman"/>
        </w:rPr>
        <w:t>Elkötelezett a minőségi szakmai munkavégzés iránt, különös tekintettel a közlekedési, szállítási feladatok és folyamatok biztonságos végrehajtására.</w:t>
      </w:r>
    </w:p>
    <w:p w:rsidR="00C14C72" w:rsidRPr="00C14C72" w:rsidRDefault="00C14C72"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C14C72">
        <w:rPr>
          <w:rFonts w:ascii="Times New Roman" w:hAnsi="Times New Roman" w:cs="Times New Roman"/>
        </w:rPr>
        <w:t>Figyel beosztottjai szakmai fejlődésének előmozdítására, ilyen irányú törekvéseik kezelésére és segítésére.</w:t>
      </w:r>
    </w:p>
    <w:p w:rsidR="00C14C72" w:rsidRPr="00C14C72" w:rsidRDefault="00C14C72"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C14C72">
        <w:rPr>
          <w:rFonts w:ascii="Times New Roman" w:hAnsi="Times New Roman" w:cs="Times New Roman"/>
        </w:rPr>
        <w:t>Megosztja tapasztalatait munkatársaival, így segítve fejlődésüket.</w:t>
      </w:r>
    </w:p>
    <w:p w:rsidR="00C14C72" w:rsidRPr="00C14C72" w:rsidRDefault="00C14C72" w:rsidP="00C14C72">
      <w:pPr>
        <w:autoSpaceDE w:val="0"/>
        <w:autoSpaceDN w:val="0"/>
        <w:adjustRightInd w:val="0"/>
        <w:spacing w:before="120" w:after="0" w:line="240" w:lineRule="auto"/>
        <w:ind w:left="425"/>
        <w:jc w:val="both"/>
        <w:rPr>
          <w:rFonts w:ascii="Times New Roman" w:eastAsia="Times New Roman" w:hAnsi="Times New Roman" w:cs="Times New Roman"/>
          <w:b/>
          <w:bCs/>
        </w:rPr>
      </w:pPr>
      <w:r w:rsidRPr="00C14C72">
        <w:rPr>
          <w:rFonts w:ascii="Times New Roman" w:eastAsia="Times New Roman" w:hAnsi="Times New Roman" w:cs="Times New Roman"/>
          <w:b/>
          <w:bCs/>
        </w:rPr>
        <w:lastRenderedPageBreak/>
        <w:t xml:space="preserve">Autonómiája és felelőssége: </w:t>
      </w:r>
    </w:p>
    <w:p w:rsidR="00C14C72" w:rsidRPr="00C14C72" w:rsidRDefault="00C14C72"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C14C72">
        <w:rPr>
          <w:rFonts w:ascii="Times New Roman" w:hAnsi="Times New Roman" w:cs="Times New Roman"/>
        </w:rPr>
        <w:t>A katonai közlekedés szakterületén megjelenő folyamatokban képes önállóan döntéseket hozni, azokat felelősséggel, a jogszabályi keretek figyelembevételével végrehajtani.</w:t>
      </w:r>
    </w:p>
    <w:p w:rsidR="00C14C72" w:rsidRPr="00C14C72" w:rsidRDefault="00C14C72"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C14C72">
        <w:rPr>
          <w:rFonts w:ascii="Times New Roman" w:hAnsi="Times New Roman" w:cs="Times New Roman"/>
        </w:rPr>
        <w:t>Tisztában van döntéseinek, tevékenységének a katonai logisztikai folyamatok egészére gyakorolt hatásaival, következményeivel.</w:t>
      </w:r>
    </w:p>
    <w:p w:rsidR="00C14C72" w:rsidRPr="00C14C72" w:rsidRDefault="00C14C72"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C14C72">
        <w:rPr>
          <w:rFonts w:ascii="Times New Roman" w:hAnsi="Times New Roman" w:cs="Times New Roman"/>
        </w:rPr>
        <w:t>Szakmai feladatainak elvégzése során felelősségteljesen együttműködik más szakterület képzett szakembereivel is.</w:t>
      </w:r>
    </w:p>
    <w:p w:rsidR="00C14C72" w:rsidRPr="00C14C72" w:rsidRDefault="00C14C72"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C14C72">
        <w:rPr>
          <w:rFonts w:ascii="Times New Roman" w:hAnsi="Times New Roman" w:cs="Times New Roman"/>
        </w:rPr>
        <w:t>Feltárja az alkalmazott technológiák hiányosságait, a folyamatok kockázatait és kezdeményezi az ezeket csökkentő intézkedések megtételét.</w:t>
      </w:r>
    </w:p>
    <w:p w:rsidR="00C14C72" w:rsidRPr="00C14C72" w:rsidRDefault="00C14C72"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C14C72">
        <w:rPr>
          <w:rFonts w:ascii="Times New Roman" w:hAnsi="Times New Roman" w:cs="Times New Roman"/>
        </w:rPr>
        <w:t>Parancsnokának útmutatása alapján irányítja a rábízott személyi állomány munkavégzését, felügyeli a közlekedési, szállítási folyamatok tervezését, szervezését, végrehajtását, a közlekedési szaktechnikai eszközök üzemeltetését.</w:t>
      </w:r>
    </w:p>
    <w:p w:rsidR="00C14C72" w:rsidRPr="00C14C72" w:rsidRDefault="00C14C72"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C14C72">
        <w:rPr>
          <w:rFonts w:ascii="Times New Roman" w:hAnsi="Times New Roman" w:cs="Times New Roman"/>
        </w:rPr>
        <w:t>Értékeli a beosztottak munkavégzésének hatékonyságát, eredményességét.</w:t>
      </w:r>
    </w:p>
    <w:p w:rsidR="00C14C72" w:rsidRPr="00C14C72" w:rsidRDefault="00C14C72" w:rsidP="00C14C72">
      <w:pPr>
        <w:widowControl w:val="0"/>
        <w:spacing w:before="120" w:after="120" w:line="240" w:lineRule="auto"/>
        <w:ind w:left="426"/>
        <w:jc w:val="both"/>
        <w:rPr>
          <w:rFonts w:ascii="Times New Roman" w:eastAsia="Times New Roman" w:hAnsi="Times New Roman" w:cs="Times New Roman"/>
          <w:b/>
          <w:bCs/>
          <w:lang w:val="en-US"/>
        </w:rPr>
      </w:pPr>
      <w:r w:rsidRPr="00C14C72">
        <w:rPr>
          <w:rFonts w:ascii="Times New Roman" w:eastAsia="Times New Roman" w:hAnsi="Times New Roman" w:cs="Times New Roman"/>
          <w:b/>
          <w:bCs/>
        </w:rPr>
        <w:t>Elérendő kompetenciák (angolul) (</w:t>
      </w:r>
      <w:r w:rsidRPr="00C14C72">
        <w:rPr>
          <w:rFonts w:ascii="Times New Roman" w:eastAsia="Times New Roman" w:hAnsi="Times New Roman" w:cs="Times New Roman"/>
          <w:b/>
          <w:bCs/>
          <w:lang w:val="en-US"/>
        </w:rPr>
        <w:t xml:space="preserve">Competences – English): </w:t>
      </w:r>
    </w:p>
    <w:p w:rsidR="00C14C72" w:rsidRPr="00C14C72" w:rsidRDefault="00C14C72" w:rsidP="00C14C72">
      <w:pPr>
        <w:widowControl w:val="0"/>
        <w:spacing w:before="120" w:after="120" w:line="240" w:lineRule="auto"/>
        <w:ind w:left="426"/>
        <w:jc w:val="both"/>
        <w:rPr>
          <w:rFonts w:ascii="Times New Roman" w:eastAsia="Times New Roman" w:hAnsi="Times New Roman" w:cs="Times New Roman"/>
          <w:lang w:val="en-GB"/>
        </w:rPr>
      </w:pPr>
      <w:r w:rsidRPr="00C14C72">
        <w:rPr>
          <w:rFonts w:ascii="Times New Roman" w:eastAsia="Times New Roman" w:hAnsi="Times New Roman" w:cs="Times New Roman"/>
          <w:b/>
          <w:lang w:val="en-GB"/>
        </w:rPr>
        <w:t>Knowledge</w:t>
      </w:r>
      <w:r w:rsidRPr="00C14C72">
        <w:rPr>
          <w:rFonts w:ascii="Times New Roman" w:eastAsia="Times New Roman" w:hAnsi="Times New Roman" w:cs="Times New Roman"/>
          <w:lang w:val="en-GB"/>
        </w:rPr>
        <w:t xml:space="preserve">: </w:t>
      </w:r>
    </w:p>
    <w:p w:rsidR="00C14C72" w:rsidRPr="00C14C72" w:rsidRDefault="00C14C72"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C14C72">
        <w:rPr>
          <w:rFonts w:ascii="Times New Roman" w:hAnsi="Times New Roman" w:cs="Times New Roman"/>
        </w:rPr>
        <w:t>Knows the basics and requirements of logistics, management, environmental protection, quality assurance, information technology, law and economics, connected to the field of military transportation.</w:t>
      </w:r>
    </w:p>
    <w:p w:rsidR="00C14C72" w:rsidRPr="00C14C72" w:rsidRDefault="00C14C72"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C14C72">
        <w:rPr>
          <w:rFonts w:ascii="Times New Roman" w:hAnsi="Times New Roman" w:cs="Times New Roman"/>
        </w:rPr>
        <w:t>Is familiar with the technical equipment used in military transportation, the transportation modes and facilities, and the rules of their use and operation.</w:t>
      </w:r>
    </w:p>
    <w:p w:rsidR="00C14C72" w:rsidRPr="00C14C72" w:rsidRDefault="00C14C72"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C14C72">
        <w:rPr>
          <w:rFonts w:ascii="Times New Roman" w:hAnsi="Times New Roman" w:cs="Times New Roman"/>
        </w:rPr>
        <w:t>Is familiar with the tasks and responsibilities of stockpiling, storing, registering and inventorying of military transportation assets and is able to control these processes.</w:t>
      </w:r>
    </w:p>
    <w:p w:rsidR="00C14C72" w:rsidRPr="00C14C72" w:rsidRDefault="00C14C72"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C14C72">
        <w:rPr>
          <w:rFonts w:ascii="Times New Roman" w:hAnsi="Times New Roman" w:cs="Times New Roman"/>
        </w:rPr>
        <w:t>Has a profound knowledge of the tasks and the system of military transportation and the unique characteristics of performing each task.</w:t>
      </w:r>
    </w:p>
    <w:p w:rsidR="00C14C72" w:rsidRPr="00C14C72" w:rsidRDefault="00C14C72"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C14C72">
        <w:rPr>
          <w:rFonts w:ascii="Times New Roman" w:hAnsi="Times New Roman" w:cs="Times New Roman"/>
        </w:rPr>
        <w:t>Is familiar with the methods of assessing the requirements of military transportation and its feasibility and practical implementation.</w:t>
      </w:r>
    </w:p>
    <w:p w:rsidR="00C14C72" w:rsidRPr="00C14C72" w:rsidRDefault="00C14C72" w:rsidP="00C14C72">
      <w:pPr>
        <w:widowControl w:val="0"/>
        <w:spacing w:before="120" w:after="120" w:line="240" w:lineRule="auto"/>
        <w:ind w:left="426"/>
        <w:jc w:val="both"/>
        <w:rPr>
          <w:rFonts w:ascii="Times New Roman" w:eastAsia="Times New Roman" w:hAnsi="Times New Roman" w:cs="Times New Roman"/>
          <w:lang w:val="en-GB"/>
        </w:rPr>
      </w:pPr>
      <w:r w:rsidRPr="00C14C72">
        <w:rPr>
          <w:rFonts w:ascii="Times New Roman" w:eastAsia="Times New Roman" w:hAnsi="Times New Roman" w:cs="Times New Roman"/>
          <w:b/>
          <w:lang w:val="en-GB"/>
        </w:rPr>
        <w:t>Capabilities</w:t>
      </w:r>
      <w:r w:rsidRPr="00C14C72">
        <w:rPr>
          <w:rFonts w:ascii="Times New Roman" w:eastAsia="Times New Roman" w:hAnsi="Times New Roman" w:cs="Times New Roman"/>
          <w:lang w:val="en-GB"/>
        </w:rPr>
        <w:t>:</w:t>
      </w:r>
    </w:p>
    <w:p w:rsidR="00C14C72" w:rsidRPr="00C14C72" w:rsidRDefault="00C14C72"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C14C72">
        <w:rPr>
          <w:rFonts w:ascii="Times New Roman" w:hAnsi="Times New Roman" w:cs="Times New Roman"/>
        </w:rPr>
        <w:t>Using his/her general and specialized military knowledge and skills, he/she is capable of planning, organizing, and conducting military transport, movement, and transportation tasks.</w:t>
      </w:r>
    </w:p>
    <w:p w:rsidR="00C14C72" w:rsidRPr="00C14C72" w:rsidRDefault="00C14C72"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C14C72">
        <w:rPr>
          <w:rFonts w:ascii="Times New Roman" w:hAnsi="Times New Roman" w:cs="Times New Roman"/>
        </w:rPr>
        <w:t>Is capable of leading the execution of the tasks of a military transportation subunit in peace time and in crisis response, disaster relief, peace support and combat operations both in a national and a multinational environment.</w:t>
      </w:r>
    </w:p>
    <w:p w:rsidR="00C14C72" w:rsidRPr="00C14C72" w:rsidRDefault="00C14C72"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C14C72">
        <w:rPr>
          <w:rFonts w:ascii="Times New Roman" w:hAnsi="Times New Roman" w:cs="Times New Roman"/>
        </w:rPr>
        <w:t>Is capable of planning, organizing and executing the tasks related to the application of traffic networks for military purposes.</w:t>
      </w:r>
    </w:p>
    <w:p w:rsidR="00C14C72" w:rsidRPr="00C14C72" w:rsidRDefault="00C14C72"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C14C72">
        <w:rPr>
          <w:rFonts w:ascii="Times New Roman" w:hAnsi="Times New Roman" w:cs="Times New Roman"/>
        </w:rPr>
        <w:t>Is capable of applying traffic information systems to support transportation processes and formulating the basic user requirements related to them.</w:t>
      </w:r>
    </w:p>
    <w:p w:rsidR="00C14C72" w:rsidRPr="00C14C72" w:rsidRDefault="00C14C72" w:rsidP="00C14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lang w:val="en-GB"/>
        </w:rPr>
      </w:pPr>
      <w:r w:rsidRPr="00C14C72">
        <w:rPr>
          <w:rFonts w:ascii="Times New Roman" w:eastAsia="Times New Roman" w:hAnsi="Times New Roman" w:cs="Times New Roman"/>
          <w:b/>
          <w:lang w:val="en-GB"/>
        </w:rPr>
        <w:t>Attitude:</w:t>
      </w:r>
    </w:p>
    <w:p w:rsidR="00C14C72" w:rsidRPr="00C14C72" w:rsidRDefault="00C14C72"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C14C72">
        <w:rPr>
          <w:rFonts w:ascii="Times New Roman" w:hAnsi="Times New Roman" w:cs="Times New Roman"/>
        </w:rPr>
        <w:t>He/She is ready to become familiar with and adopt the professional and technological development and innovation in the field of military transportation, and also to pass it on and integrate it into his daily work.</w:t>
      </w:r>
    </w:p>
    <w:p w:rsidR="00C14C72" w:rsidRPr="00C14C72" w:rsidRDefault="00C14C72"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C14C72">
        <w:rPr>
          <w:rFonts w:ascii="Times New Roman" w:hAnsi="Times New Roman" w:cs="Times New Roman"/>
        </w:rPr>
        <w:t>He/She strives for continuous self-education in the field of military transportation which is consistent with his/her professional goals.</w:t>
      </w:r>
    </w:p>
    <w:p w:rsidR="00C14C72" w:rsidRPr="00C14C72" w:rsidRDefault="00C14C72"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C14C72">
        <w:rPr>
          <w:rFonts w:ascii="Times New Roman" w:hAnsi="Times New Roman" w:cs="Times New Roman"/>
        </w:rPr>
        <w:t>He/She is committed to high quality in his/her professional work, with special emphasis on the safe execution of the transportation tasks and processes.</w:t>
      </w:r>
    </w:p>
    <w:p w:rsidR="00C14C72" w:rsidRPr="00C14C72" w:rsidRDefault="00C14C72"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C14C72">
        <w:rPr>
          <w:rFonts w:ascii="Times New Roman" w:hAnsi="Times New Roman" w:cs="Times New Roman"/>
        </w:rPr>
        <w:t>He/She is interested in promoting the professional development of his/her subordinates, and provides assistance in their efforts.</w:t>
      </w:r>
    </w:p>
    <w:p w:rsidR="00C14C72" w:rsidRPr="00C14C72" w:rsidRDefault="00C14C72"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C14C72">
        <w:rPr>
          <w:rFonts w:ascii="Times New Roman" w:hAnsi="Times New Roman" w:cs="Times New Roman"/>
        </w:rPr>
        <w:t>He/she is willing to share his/her experience with his/her colleagues to further their professional development.</w:t>
      </w:r>
    </w:p>
    <w:p w:rsidR="00C14C72" w:rsidRPr="00C14C72" w:rsidRDefault="00C14C72" w:rsidP="00C14C72">
      <w:pPr>
        <w:widowControl w:val="0"/>
        <w:spacing w:before="120" w:after="120" w:line="240" w:lineRule="auto"/>
        <w:ind w:left="426"/>
        <w:jc w:val="both"/>
        <w:rPr>
          <w:rFonts w:ascii="Times New Roman" w:eastAsia="Times New Roman" w:hAnsi="Times New Roman" w:cs="Times New Roman"/>
          <w:b/>
          <w:lang w:val="en-GB"/>
        </w:rPr>
      </w:pPr>
      <w:r w:rsidRPr="00C14C72">
        <w:rPr>
          <w:rFonts w:ascii="Times New Roman" w:eastAsia="Times New Roman" w:hAnsi="Times New Roman" w:cs="Times New Roman"/>
          <w:b/>
          <w:lang w:val="en-GB"/>
        </w:rPr>
        <w:t xml:space="preserve">Autonomy and responsibility: </w:t>
      </w:r>
    </w:p>
    <w:p w:rsidR="00C14C72" w:rsidRPr="00C14C72" w:rsidRDefault="00C14C72"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C14C72">
        <w:rPr>
          <w:rFonts w:ascii="Times New Roman" w:hAnsi="Times New Roman" w:cs="Times New Roman"/>
        </w:rPr>
        <w:t>He/She is able to make decisions independently in the processes arising in the field of military transportation, and to implement them with responsibility and within the legal framework.</w:t>
      </w:r>
    </w:p>
    <w:p w:rsidR="00C14C72" w:rsidRPr="00C14C72" w:rsidRDefault="00C14C72"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C14C72">
        <w:rPr>
          <w:rFonts w:ascii="Times New Roman" w:hAnsi="Times New Roman" w:cs="Times New Roman"/>
        </w:rPr>
        <w:lastRenderedPageBreak/>
        <w:t>He/She is aware of the effects and consequences of his decisions and activities on the military logistic processes as a whole.</w:t>
      </w:r>
    </w:p>
    <w:p w:rsidR="00C14C72" w:rsidRPr="00C14C72" w:rsidRDefault="00C14C72"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C14C72">
        <w:rPr>
          <w:rFonts w:ascii="Times New Roman" w:hAnsi="Times New Roman" w:cs="Times New Roman"/>
        </w:rPr>
        <w:t xml:space="preserve">During his/her professional duties, he/she is willing to responsibly cooperate with specialists of other areas. </w:t>
      </w:r>
    </w:p>
    <w:p w:rsidR="00C14C72" w:rsidRPr="00C14C72" w:rsidRDefault="00C14C72"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C14C72">
        <w:rPr>
          <w:rFonts w:ascii="Times New Roman" w:hAnsi="Times New Roman" w:cs="Times New Roman"/>
        </w:rPr>
        <w:t>He/She can identify the deficiencies and risks in the applied technologies and initiates taking measures to reduce their impact.</w:t>
      </w:r>
    </w:p>
    <w:p w:rsidR="00C14C72" w:rsidRPr="00C14C72" w:rsidRDefault="00C14C72"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C14C72">
        <w:rPr>
          <w:rFonts w:ascii="Times New Roman" w:hAnsi="Times New Roman" w:cs="Times New Roman"/>
        </w:rPr>
        <w:t>Under the guidance of his/her commander, he/she controls the work of the personnel under his/her command and supervises the planning, organization and implementation of the transport and transportation processes, and also the operation of the technical equipment used in military transportation.</w:t>
      </w:r>
    </w:p>
    <w:p w:rsidR="00C14C72" w:rsidRPr="00C14C72" w:rsidRDefault="00C14C72"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C14C72">
        <w:rPr>
          <w:rFonts w:ascii="Times New Roman" w:hAnsi="Times New Roman" w:cs="Times New Roman"/>
        </w:rPr>
        <w:t>He/She continuously evaluates the efficiency and effectiveness of his/her subordinates' work.</w:t>
      </w:r>
    </w:p>
    <w:p w:rsidR="00C14C72" w:rsidRPr="007C060D" w:rsidRDefault="00C14C72" w:rsidP="00C2057B">
      <w:pPr>
        <w:widowControl w:val="0"/>
        <w:numPr>
          <w:ilvl w:val="0"/>
          <w:numId w:val="104"/>
        </w:numPr>
        <w:tabs>
          <w:tab w:val="num" w:pos="567"/>
        </w:tabs>
        <w:spacing w:before="120" w:after="120" w:line="240" w:lineRule="auto"/>
        <w:ind w:left="426" w:hanging="142"/>
        <w:jc w:val="both"/>
        <w:rPr>
          <w:rFonts w:ascii="Times New Roman" w:eastAsia="Times New Roman" w:hAnsi="Times New Roman" w:cs="Times New Roman"/>
          <w:bCs/>
          <w:highlight w:val="yellow"/>
        </w:rPr>
      </w:pPr>
      <w:r w:rsidRPr="007C060D">
        <w:rPr>
          <w:rFonts w:ascii="Times New Roman" w:eastAsia="Times New Roman" w:hAnsi="Times New Roman" w:cs="Times New Roman"/>
          <w:b/>
          <w:bCs/>
          <w:highlight w:val="yellow"/>
        </w:rPr>
        <w:t xml:space="preserve">Előtanulmányi követelmények: </w:t>
      </w:r>
      <w:r w:rsidR="007C060D" w:rsidRPr="007C060D">
        <w:rPr>
          <w:rFonts w:ascii="Times New Roman" w:hAnsi="Times New Roman" w:cs="Times New Roman"/>
          <w:highlight w:val="yellow"/>
        </w:rPr>
        <w:t xml:space="preserve">HKHPKA303 </w:t>
      </w:r>
      <w:r w:rsidR="007C060D">
        <w:rPr>
          <w:rFonts w:ascii="Times New Roman" w:hAnsi="Times New Roman" w:cs="Times New Roman"/>
          <w:highlight w:val="yellow"/>
        </w:rPr>
        <w:t>A l</w:t>
      </w:r>
      <w:r w:rsidR="007C060D" w:rsidRPr="007C060D">
        <w:rPr>
          <w:rFonts w:ascii="Times New Roman" w:hAnsi="Times New Roman" w:cs="Times New Roman"/>
          <w:highlight w:val="yellow"/>
        </w:rPr>
        <w:t>ogisztika alapjai</w:t>
      </w:r>
    </w:p>
    <w:p w:rsidR="00C14C72" w:rsidRPr="00C14C72" w:rsidRDefault="00C14C72" w:rsidP="00C2057B">
      <w:pPr>
        <w:widowControl w:val="0"/>
        <w:numPr>
          <w:ilvl w:val="0"/>
          <w:numId w:val="104"/>
        </w:numPr>
        <w:spacing w:before="120" w:after="120" w:line="240" w:lineRule="auto"/>
        <w:ind w:left="426" w:hanging="142"/>
        <w:jc w:val="both"/>
        <w:rPr>
          <w:rFonts w:ascii="Times New Roman" w:eastAsia="Times New Roman" w:hAnsi="Times New Roman" w:cs="Times New Roman"/>
          <w:b/>
          <w:bCs/>
        </w:rPr>
      </w:pPr>
      <w:r w:rsidRPr="00C14C72">
        <w:rPr>
          <w:rFonts w:ascii="Times New Roman" w:eastAsia="Times New Roman" w:hAnsi="Times New Roman" w:cs="Times New Roman"/>
          <w:b/>
          <w:bCs/>
        </w:rPr>
        <w:t>A tantárgy tananyagának leírása, tematika. Description of the subject, curriculum (magyarul, angolul - English):</w:t>
      </w:r>
    </w:p>
    <w:p w:rsidR="00C14C72" w:rsidRPr="00675728" w:rsidRDefault="00C14C72" w:rsidP="00C2057B">
      <w:pPr>
        <w:pStyle w:val="lfej"/>
        <w:numPr>
          <w:ilvl w:val="1"/>
          <w:numId w:val="104"/>
        </w:numPr>
        <w:tabs>
          <w:tab w:val="left" w:pos="708"/>
        </w:tabs>
        <w:spacing w:before="60"/>
        <w:ind w:left="993" w:hanging="574"/>
        <w:jc w:val="both"/>
        <w:rPr>
          <w:rFonts w:ascii="Times New Roman" w:hAnsi="Times New Roman" w:cs="Times New Roman"/>
        </w:rPr>
      </w:pPr>
      <w:r w:rsidRPr="00675728">
        <w:rPr>
          <w:rFonts w:ascii="Times New Roman" w:hAnsi="Times New Roman" w:cs="Times New Roman"/>
        </w:rPr>
        <w:t>Az anyagmozgatás fogalma, feladata, Az anyagmozgatás helye és szerepe a logisztikai rendszerekben.</w:t>
      </w:r>
      <w:r w:rsidRPr="00675728">
        <w:rPr>
          <w:rStyle w:val="tlid-translation"/>
          <w:rFonts w:ascii="Times New Roman" w:hAnsi="Times New Roman" w:cs="Times New Roman"/>
          <w:lang w:val="en"/>
        </w:rPr>
        <w:t xml:space="preserve"> </w:t>
      </w:r>
      <w:r w:rsidRPr="00675728">
        <w:rPr>
          <w:rStyle w:val="tlid-translation"/>
          <w:rFonts w:ascii="Times New Roman" w:hAnsi="Times New Roman" w:cs="Times New Roman"/>
          <w:i/>
          <w:lang w:val="en"/>
        </w:rPr>
        <w:t>(The concept and task of material handling, The place and role of material handling in logistics systems.)</w:t>
      </w:r>
    </w:p>
    <w:p w:rsidR="00C14C72" w:rsidRPr="00675728" w:rsidRDefault="00C14C72" w:rsidP="00C2057B">
      <w:pPr>
        <w:pStyle w:val="lfej"/>
        <w:numPr>
          <w:ilvl w:val="1"/>
          <w:numId w:val="104"/>
        </w:numPr>
        <w:tabs>
          <w:tab w:val="left" w:pos="708"/>
        </w:tabs>
        <w:spacing w:before="60"/>
        <w:ind w:left="993" w:hanging="574"/>
        <w:jc w:val="both"/>
        <w:rPr>
          <w:rStyle w:val="tlid-translation"/>
          <w:rFonts w:ascii="Times New Roman" w:hAnsi="Times New Roman" w:cs="Times New Roman"/>
          <w:i/>
          <w:lang w:val="en"/>
        </w:rPr>
      </w:pPr>
      <w:r w:rsidRPr="00675728">
        <w:rPr>
          <w:rFonts w:ascii="Times New Roman" w:hAnsi="Times New Roman" w:cs="Times New Roman"/>
        </w:rPr>
        <w:t>A mozgatandó anyagok jellemzése, az anyagokat érő igénybevételek.</w:t>
      </w:r>
      <w:r w:rsidRPr="00675728">
        <w:rPr>
          <w:rStyle w:val="tlid-translation"/>
          <w:rFonts w:ascii="Times New Roman" w:hAnsi="Times New Roman" w:cs="Times New Roman"/>
          <w:lang w:val="en"/>
        </w:rPr>
        <w:t xml:space="preserve"> </w:t>
      </w:r>
      <w:r w:rsidRPr="00675728">
        <w:rPr>
          <w:rStyle w:val="tlid-translation"/>
          <w:rFonts w:ascii="Times New Roman" w:hAnsi="Times New Roman" w:cs="Times New Roman"/>
          <w:i/>
          <w:lang w:val="en"/>
        </w:rPr>
        <w:t>(Characterization of the materials to be moved, stresses on the materials.)</w:t>
      </w:r>
    </w:p>
    <w:p w:rsidR="00C14C72" w:rsidRPr="00675728" w:rsidRDefault="00C14C72" w:rsidP="00C2057B">
      <w:pPr>
        <w:pStyle w:val="lfej"/>
        <w:numPr>
          <w:ilvl w:val="1"/>
          <w:numId w:val="104"/>
        </w:numPr>
        <w:tabs>
          <w:tab w:val="left" w:pos="708"/>
        </w:tabs>
        <w:spacing w:before="60"/>
        <w:ind w:left="993" w:hanging="574"/>
        <w:jc w:val="both"/>
        <w:rPr>
          <w:rStyle w:val="tlid-translation"/>
          <w:rFonts w:ascii="Times New Roman" w:hAnsi="Times New Roman" w:cs="Times New Roman"/>
          <w:i/>
          <w:lang w:val="en"/>
        </w:rPr>
      </w:pPr>
      <w:r w:rsidRPr="00675728">
        <w:rPr>
          <w:rFonts w:ascii="Times New Roman" w:hAnsi="Times New Roman" w:cs="Times New Roman"/>
        </w:rPr>
        <w:t>A kézi anyagmozgatás folyamata és eszközrendszere.</w:t>
      </w:r>
      <w:r w:rsidRPr="00675728">
        <w:rPr>
          <w:rStyle w:val="tlid-translation"/>
          <w:rFonts w:ascii="Times New Roman" w:hAnsi="Times New Roman" w:cs="Times New Roman"/>
          <w:lang w:val="en"/>
        </w:rPr>
        <w:t xml:space="preserve"> </w:t>
      </w:r>
      <w:r w:rsidRPr="00675728">
        <w:rPr>
          <w:rStyle w:val="tlid-translation"/>
          <w:rFonts w:ascii="Times New Roman" w:hAnsi="Times New Roman" w:cs="Times New Roman"/>
          <w:i/>
          <w:lang w:val="en"/>
        </w:rPr>
        <w:t>(Process and tool system of manual handling.)</w:t>
      </w:r>
    </w:p>
    <w:p w:rsidR="00C14C72" w:rsidRPr="00675728" w:rsidRDefault="00C14C72" w:rsidP="00C2057B">
      <w:pPr>
        <w:pStyle w:val="lfej"/>
        <w:numPr>
          <w:ilvl w:val="1"/>
          <w:numId w:val="104"/>
        </w:numPr>
        <w:tabs>
          <w:tab w:val="left" w:pos="708"/>
        </w:tabs>
        <w:spacing w:before="60"/>
        <w:ind w:left="993" w:hanging="574"/>
        <w:jc w:val="both"/>
        <w:rPr>
          <w:rStyle w:val="tlid-translation"/>
          <w:rFonts w:ascii="Times New Roman" w:hAnsi="Times New Roman" w:cs="Times New Roman"/>
          <w:i/>
          <w:lang w:val="en"/>
        </w:rPr>
      </w:pPr>
      <w:r w:rsidRPr="00675728">
        <w:rPr>
          <w:rFonts w:ascii="Times New Roman" w:hAnsi="Times New Roman" w:cs="Times New Roman"/>
        </w:rPr>
        <w:t xml:space="preserve">Szállító- és rakodógépek, gépi meghajtású targoncák csoportosítása, szerkezeti felépítése, működési elveik, teljesítőképességeik meghatározásának módjai. </w:t>
      </w:r>
      <w:r w:rsidRPr="00675728">
        <w:rPr>
          <w:rStyle w:val="tlid-translation"/>
          <w:rFonts w:ascii="Times New Roman" w:hAnsi="Times New Roman" w:cs="Times New Roman"/>
          <w:i/>
          <w:lang w:val="en"/>
        </w:rPr>
        <w:t>(Grouping of transport and loading machines, power-driven forklifts, structure, ways of determining their working principles and performance.)</w:t>
      </w:r>
    </w:p>
    <w:p w:rsidR="00C14C72" w:rsidRPr="00675728" w:rsidRDefault="00C14C72" w:rsidP="00C2057B">
      <w:pPr>
        <w:pStyle w:val="lfej"/>
        <w:numPr>
          <w:ilvl w:val="1"/>
          <w:numId w:val="104"/>
        </w:numPr>
        <w:tabs>
          <w:tab w:val="left" w:pos="708"/>
        </w:tabs>
        <w:spacing w:before="60"/>
        <w:ind w:left="993" w:hanging="574"/>
        <w:jc w:val="both"/>
        <w:rPr>
          <w:rFonts w:ascii="Times New Roman" w:hAnsi="Times New Roman" w:cs="Times New Roman"/>
        </w:rPr>
      </w:pPr>
      <w:r w:rsidRPr="00675728">
        <w:rPr>
          <w:rFonts w:ascii="Times New Roman" w:hAnsi="Times New Roman" w:cs="Times New Roman"/>
        </w:rPr>
        <w:t>A katonai anyagmozgatással szemben támasztott követelmények és sajátosságok. A Magyar Honvédségben alkalmazott kézi és gépi anyagmozgató eszközök és – rendszerek.</w:t>
      </w:r>
      <w:r w:rsidRPr="00675728">
        <w:rPr>
          <w:rStyle w:val="tlid-translation"/>
          <w:rFonts w:ascii="Times New Roman" w:hAnsi="Times New Roman" w:cs="Times New Roman"/>
          <w:lang w:val="en"/>
        </w:rPr>
        <w:t xml:space="preserve"> </w:t>
      </w:r>
      <w:r w:rsidRPr="00675728">
        <w:rPr>
          <w:rStyle w:val="tlid-translation"/>
          <w:rFonts w:ascii="Times New Roman" w:hAnsi="Times New Roman" w:cs="Times New Roman"/>
          <w:i/>
          <w:lang w:val="en"/>
        </w:rPr>
        <w:t>(Requirements and Features for Military Material Handling. Hand and machine handling equipment and systems used in the Hungarian Defense Forces.)</w:t>
      </w:r>
    </w:p>
    <w:p w:rsidR="00C14C72" w:rsidRPr="00675728" w:rsidRDefault="00C14C72" w:rsidP="00C2057B">
      <w:pPr>
        <w:pStyle w:val="lfej"/>
        <w:numPr>
          <w:ilvl w:val="1"/>
          <w:numId w:val="104"/>
        </w:numPr>
        <w:tabs>
          <w:tab w:val="left" w:pos="708"/>
        </w:tabs>
        <w:spacing w:before="60"/>
        <w:ind w:left="993" w:hanging="574"/>
        <w:jc w:val="both"/>
        <w:rPr>
          <w:rStyle w:val="tlid-translation"/>
          <w:rFonts w:ascii="Times New Roman" w:hAnsi="Times New Roman" w:cs="Times New Roman"/>
          <w:i/>
          <w:lang w:val="en"/>
        </w:rPr>
      </w:pPr>
      <w:r w:rsidRPr="00675728">
        <w:rPr>
          <w:rFonts w:ascii="Times New Roman" w:hAnsi="Times New Roman" w:cs="Times New Roman"/>
        </w:rPr>
        <w:t>A katonai anyagok szállításával kapcsolatos rakodási feladatok tervezése, és szervezése.</w:t>
      </w:r>
      <w:r w:rsidRPr="00675728">
        <w:rPr>
          <w:rStyle w:val="tlid-translation"/>
          <w:rFonts w:ascii="Times New Roman" w:hAnsi="Times New Roman" w:cs="Times New Roman"/>
          <w:lang w:val="en"/>
        </w:rPr>
        <w:t xml:space="preserve"> </w:t>
      </w:r>
      <w:r w:rsidRPr="00675728">
        <w:rPr>
          <w:rStyle w:val="tlid-translation"/>
          <w:rFonts w:ascii="Times New Roman" w:hAnsi="Times New Roman" w:cs="Times New Roman"/>
          <w:i/>
          <w:lang w:val="en"/>
        </w:rPr>
        <w:t>(Planning and organization of loading tasks related to transportation of military materials.)</w:t>
      </w:r>
    </w:p>
    <w:p w:rsidR="00C14C72" w:rsidRPr="00675728" w:rsidRDefault="00C14C72" w:rsidP="00C2057B">
      <w:pPr>
        <w:pStyle w:val="lfej"/>
        <w:numPr>
          <w:ilvl w:val="1"/>
          <w:numId w:val="104"/>
        </w:numPr>
        <w:tabs>
          <w:tab w:val="left" w:pos="708"/>
        </w:tabs>
        <w:spacing w:before="60"/>
        <w:ind w:left="993" w:hanging="574"/>
        <w:jc w:val="both"/>
        <w:rPr>
          <w:rStyle w:val="tlid-translation"/>
          <w:i/>
          <w:lang w:val="en"/>
        </w:rPr>
      </w:pPr>
      <w:r w:rsidRPr="00675728">
        <w:rPr>
          <w:rStyle w:val="tlid-translation"/>
          <w:rFonts w:ascii="Times New Roman" w:hAnsi="Times New Roman" w:cs="Times New Roman"/>
          <w:i/>
          <w:lang w:val="en"/>
        </w:rPr>
        <w:t>Egységrakományok</w:t>
      </w:r>
      <w:r w:rsidRPr="00675728">
        <w:rPr>
          <w:rFonts w:ascii="Times New Roman" w:hAnsi="Times New Roman" w:cs="Times New Roman"/>
        </w:rPr>
        <w:t xml:space="preserve"> rakodásának és rögzítésének módjai, előírásai.</w:t>
      </w:r>
      <w:r w:rsidRPr="00675728">
        <w:rPr>
          <w:rStyle w:val="tlid-translation"/>
          <w:rFonts w:ascii="Times New Roman" w:hAnsi="Times New Roman" w:cs="Times New Roman"/>
          <w:lang w:val="en"/>
        </w:rPr>
        <w:t xml:space="preserve"> </w:t>
      </w:r>
      <w:r w:rsidRPr="00675728">
        <w:rPr>
          <w:rStyle w:val="tlid-translation"/>
          <w:rFonts w:ascii="Times New Roman" w:hAnsi="Times New Roman" w:cs="Times New Roman"/>
          <w:i/>
          <w:lang w:val="en"/>
        </w:rPr>
        <w:t>(Ways and regulations for loading and securing unit loads.)</w:t>
      </w:r>
    </w:p>
    <w:p w:rsidR="00C14C72" w:rsidRPr="00675728" w:rsidRDefault="00C14C72" w:rsidP="00C2057B">
      <w:pPr>
        <w:pStyle w:val="lfej"/>
        <w:numPr>
          <w:ilvl w:val="1"/>
          <w:numId w:val="104"/>
        </w:numPr>
        <w:tabs>
          <w:tab w:val="left" w:pos="708"/>
        </w:tabs>
        <w:spacing w:before="60"/>
        <w:ind w:left="993" w:hanging="574"/>
        <w:jc w:val="both"/>
        <w:rPr>
          <w:rStyle w:val="tlid-translation"/>
          <w:rFonts w:ascii="Times New Roman" w:hAnsi="Times New Roman" w:cs="Times New Roman"/>
          <w:i/>
          <w:lang w:val="en"/>
        </w:rPr>
      </w:pPr>
      <w:r w:rsidRPr="00675728">
        <w:rPr>
          <w:rFonts w:ascii="Times New Roman" w:hAnsi="Times New Roman" w:cs="Times New Roman"/>
        </w:rPr>
        <w:t>Tábori anyagmozgató eszközökkel szemben támasztott követelmények, alkalmazásuk tervezésének módjai.</w:t>
      </w:r>
      <w:r w:rsidRPr="00675728">
        <w:rPr>
          <w:rStyle w:val="tlid-translation"/>
          <w:rFonts w:ascii="Times New Roman" w:hAnsi="Times New Roman" w:cs="Times New Roman"/>
          <w:lang w:val="en"/>
        </w:rPr>
        <w:t xml:space="preserve"> </w:t>
      </w:r>
      <w:r w:rsidRPr="00675728">
        <w:rPr>
          <w:rStyle w:val="tlid-translation"/>
          <w:rFonts w:ascii="Times New Roman" w:hAnsi="Times New Roman" w:cs="Times New Roman"/>
          <w:i/>
          <w:lang w:val="en"/>
        </w:rPr>
        <w:t>(Requirements for field handling equipment and ways of planning their application.)</w:t>
      </w:r>
    </w:p>
    <w:p w:rsidR="00C14C72" w:rsidRPr="00675728" w:rsidRDefault="00C14C72" w:rsidP="00C2057B">
      <w:pPr>
        <w:pStyle w:val="lfej"/>
        <w:numPr>
          <w:ilvl w:val="1"/>
          <w:numId w:val="104"/>
        </w:numPr>
        <w:tabs>
          <w:tab w:val="left" w:pos="708"/>
        </w:tabs>
        <w:spacing w:before="60"/>
        <w:ind w:left="993" w:hanging="574"/>
        <w:jc w:val="both"/>
        <w:rPr>
          <w:rStyle w:val="tlid-translation"/>
          <w:rFonts w:ascii="Times New Roman" w:hAnsi="Times New Roman" w:cs="Times New Roman"/>
          <w:i/>
          <w:lang w:val="en"/>
        </w:rPr>
      </w:pPr>
      <w:r w:rsidRPr="00675728">
        <w:rPr>
          <w:rFonts w:ascii="Times New Roman" w:hAnsi="Times New Roman" w:cs="Times New Roman"/>
        </w:rPr>
        <w:t xml:space="preserve">A raktározás fogalma, feladata, raktárak kialakításával kapcsolatos elvárások, követelmények. Raktárak berendezése és eszközrendszere. </w:t>
      </w:r>
      <w:r w:rsidRPr="00675728">
        <w:rPr>
          <w:rStyle w:val="tlid-translation"/>
          <w:rFonts w:ascii="Times New Roman" w:hAnsi="Times New Roman" w:cs="Times New Roman"/>
          <w:i/>
          <w:lang w:val="en"/>
        </w:rPr>
        <w:t>(The concept and tasks of warehousing, expectations and requirements related to the establishment of warehouses. Warehouse equipment and tools.)</w:t>
      </w:r>
    </w:p>
    <w:p w:rsidR="00C14C72" w:rsidRPr="00675728" w:rsidRDefault="00C14C72" w:rsidP="00C2057B">
      <w:pPr>
        <w:pStyle w:val="lfej"/>
        <w:numPr>
          <w:ilvl w:val="1"/>
          <w:numId w:val="104"/>
        </w:numPr>
        <w:tabs>
          <w:tab w:val="left" w:pos="708"/>
        </w:tabs>
        <w:spacing w:before="60"/>
        <w:ind w:left="993" w:hanging="574"/>
        <w:jc w:val="both"/>
        <w:rPr>
          <w:rStyle w:val="tlid-translation"/>
          <w:rFonts w:ascii="Times New Roman" w:hAnsi="Times New Roman" w:cs="Times New Roman"/>
          <w:i/>
          <w:lang w:val="en"/>
        </w:rPr>
      </w:pPr>
      <w:r w:rsidRPr="00675728">
        <w:rPr>
          <w:rFonts w:ascii="Times New Roman" w:hAnsi="Times New Roman" w:cs="Times New Roman"/>
        </w:rPr>
        <w:t>Raktári anyagmozgató rendszerek technológiai folyamatai.</w:t>
      </w:r>
      <w:r w:rsidRPr="00675728">
        <w:rPr>
          <w:rStyle w:val="tlid-translation"/>
          <w:rFonts w:ascii="Times New Roman" w:hAnsi="Times New Roman" w:cs="Times New Roman"/>
          <w:lang w:val="en"/>
        </w:rPr>
        <w:t xml:space="preserve"> </w:t>
      </w:r>
      <w:r w:rsidRPr="00675728">
        <w:rPr>
          <w:rStyle w:val="tlid-translation"/>
          <w:rFonts w:ascii="Times New Roman" w:hAnsi="Times New Roman" w:cs="Times New Roman"/>
          <w:i/>
          <w:lang w:val="en"/>
        </w:rPr>
        <w:t>(Technological processes of warehouse material handling systems.)</w:t>
      </w:r>
    </w:p>
    <w:p w:rsidR="00C14C72" w:rsidRPr="00675728" w:rsidRDefault="00C14C72" w:rsidP="00C2057B">
      <w:pPr>
        <w:pStyle w:val="lfej"/>
        <w:numPr>
          <w:ilvl w:val="1"/>
          <w:numId w:val="104"/>
        </w:numPr>
        <w:tabs>
          <w:tab w:val="left" w:pos="708"/>
        </w:tabs>
        <w:spacing w:before="60"/>
        <w:ind w:left="993" w:hanging="574"/>
        <w:jc w:val="both"/>
        <w:rPr>
          <w:rStyle w:val="tlid-translation"/>
          <w:rFonts w:ascii="Times New Roman" w:hAnsi="Times New Roman" w:cs="Times New Roman"/>
          <w:i/>
          <w:lang w:val="en"/>
        </w:rPr>
      </w:pPr>
      <w:r w:rsidRPr="00675728">
        <w:rPr>
          <w:rFonts w:ascii="Times New Roman" w:hAnsi="Times New Roman" w:cs="Times New Roman"/>
        </w:rPr>
        <w:t xml:space="preserve">Katonai és tábori raktárakkal szemben támasztott követelmények. </w:t>
      </w:r>
      <w:r w:rsidRPr="00675728">
        <w:rPr>
          <w:rStyle w:val="tlid-translation"/>
          <w:rFonts w:ascii="Times New Roman" w:hAnsi="Times New Roman" w:cs="Times New Roman"/>
          <w:i/>
          <w:lang w:val="en"/>
        </w:rPr>
        <w:t>(Requirements for Military and Camp Warehouses.)</w:t>
      </w:r>
    </w:p>
    <w:p w:rsidR="00C14C72" w:rsidRPr="00675728" w:rsidRDefault="00C14C72" w:rsidP="00C2057B">
      <w:pPr>
        <w:pStyle w:val="lfej"/>
        <w:numPr>
          <w:ilvl w:val="1"/>
          <w:numId w:val="104"/>
        </w:numPr>
        <w:tabs>
          <w:tab w:val="left" w:pos="708"/>
        </w:tabs>
        <w:spacing w:before="60"/>
        <w:ind w:left="993" w:hanging="574"/>
        <w:jc w:val="both"/>
        <w:rPr>
          <w:rFonts w:ascii="Times New Roman" w:hAnsi="Times New Roman" w:cs="Times New Roman"/>
        </w:rPr>
      </w:pPr>
      <w:r w:rsidRPr="00675728">
        <w:rPr>
          <w:rFonts w:ascii="Times New Roman" w:hAnsi="Times New Roman" w:cs="Times New Roman"/>
        </w:rPr>
        <w:t>A raktárak telepítésére vonatkozó műszaki előírások. A raktárak közlekedési kapcsolatai.</w:t>
      </w:r>
      <w:r w:rsidRPr="00675728">
        <w:rPr>
          <w:rStyle w:val="tlid-translation"/>
          <w:rFonts w:ascii="Times New Roman" w:hAnsi="Times New Roman" w:cs="Times New Roman"/>
          <w:lang w:val="en"/>
        </w:rPr>
        <w:t xml:space="preserve"> </w:t>
      </w:r>
      <w:r w:rsidRPr="00675728">
        <w:rPr>
          <w:rStyle w:val="tlid-translation"/>
          <w:rFonts w:ascii="Times New Roman" w:hAnsi="Times New Roman" w:cs="Times New Roman"/>
          <w:b/>
          <w:lang w:val="en"/>
        </w:rPr>
        <w:t>(</w:t>
      </w:r>
      <w:r w:rsidRPr="00675728">
        <w:rPr>
          <w:rStyle w:val="tlid-translation"/>
          <w:rFonts w:ascii="Times New Roman" w:hAnsi="Times New Roman" w:cs="Times New Roman"/>
          <w:i/>
          <w:lang w:val="en"/>
        </w:rPr>
        <w:t>Technical requirements for the installation of warehouses. Transport connections of warehouses.)</w:t>
      </w:r>
    </w:p>
    <w:p w:rsidR="00C14C72" w:rsidRPr="00675728" w:rsidRDefault="00C14C72" w:rsidP="00C2057B">
      <w:pPr>
        <w:pStyle w:val="lfej"/>
        <w:numPr>
          <w:ilvl w:val="1"/>
          <w:numId w:val="104"/>
        </w:numPr>
        <w:tabs>
          <w:tab w:val="left" w:pos="708"/>
        </w:tabs>
        <w:spacing w:before="60"/>
        <w:ind w:left="993" w:hanging="574"/>
        <w:jc w:val="both"/>
        <w:rPr>
          <w:rStyle w:val="tlid-translation"/>
          <w:rFonts w:ascii="Times New Roman" w:hAnsi="Times New Roman" w:cs="Times New Roman"/>
          <w:i/>
          <w:lang w:val="en"/>
        </w:rPr>
      </w:pPr>
      <w:r w:rsidRPr="00675728">
        <w:rPr>
          <w:rFonts w:ascii="Times New Roman" w:hAnsi="Times New Roman" w:cs="Times New Roman"/>
        </w:rPr>
        <w:t xml:space="preserve">Raktárgazdálkodás elvei, mutatószámai, készletgazdálkodás, készletezési stratégiák. Korszerű raktár gazdálkodási és – irányítási módszerek. </w:t>
      </w:r>
      <w:r w:rsidRPr="00675728">
        <w:rPr>
          <w:rStyle w:val="tlid-translation"/>
          <w:rFonts w:ascii="Times New Roman" w:hAnsi="Times New Roman" w:cs="Times New Roman"/>
          <w:i/>
          <w:lang w:val="en"/>
        </w:rPr>
        <w:t xml:space="preserve">(Inventory management principles, </w:t>
      </w:r>
      <w:r w:rsidRPr="00675728">
        <w:rPr>
          <w:rStyle w:val="tlid-translation"/>
          <w:rFonts w:ascii="Times New Roman" w:hAnsi="Times New Roman" w:cs="Times New Roman"/>
          <w:i/>
          <w:lang w:val="en"/>
        </w:rPr>
        <w:lastRenderedPageBreak/>
        <w:t>indices, inventory management, inventory strategies. Advanced warehouse management and management techniques.)</w:t>
      </w:r>
    </w:p>
    <w:p w:rsidR="00C14C72" w:rsidRPr="00675728" w:rsidRDefault="00C14C72" w:rsidP="00C2057B">
      <w:pPr>
        <w:pStyle w:val="lfej"/>
        <w:numPr>
          <w:ilvl w:val="1"/>
          <w:numId w:val="104"/>
        </w:numPr>
        <w:tabs>
          <w:tab w:val="left" w:pos="708"/>
        </w:tabs>
        <w:spacing w:before="60"/>
        <w:ind w:left="993" w:hanging="574"/>
        <w:jc w:val="both"/>
        <w:rPr>
          <w:rFonts w:ascii="Times New Roman" w:hAnsi="Times New Roman" w:cs="Times New Roman"/>
        </w:rPr>
      </w:pPr>
      <w:r w:rsidRPr="00675728">
        <w:rPr>
          <w:rFonts w:ascii="Times New Roman" w:hAnsi="Times New Roman" w:cs="Times New Roman"/>
        </w:rPr>
        <w:t xml:space="preserve">A Magyar Honvédségben alkalmazott raktári anyagmozgató rendszerekkel és eszközökkel szemben támasztott sajátos követelmények. </w:t>
      </w:r>
      <w:r w:rsidRPr="00675728">
        <w:rPr>
          <w:rStyle w:val="tlid-translation"/>
          <w:rFonts w:ascii="Times New Roman" w:hAnsi="Times New Roman" w:cs="Times New Roman"/>
          <w:i/>
          <w:lang w:val="en"/>
        </w:rPr>
        <w:t>(Specific requirements for warehouse material handling systems and equipment used in the Hungarian Defense Forces.)</w:t>
      </w:r>
    </w:p>
    <w:p w:rsidR="00C14C72" w:rsidRPr="00675728" w:rsidRDefault="00C14C72" w:rsidP="00C2057B">
      <w:pPr>
        <w:pStyle w:val="lfej"/>
        <w:numPr>
          <w:ilvl w:val="1"/>
          <w:numId w:val="104"/>
        </w:numPr>
        <w:tabs>
          <w:tab w:val="left" w:pos="708"/>
        </w:tabs>
        <w:spacing w:before="60"/>
        <w:ind w:left="993" w:hanging="574"/>
        <w:jc w:val="both"/>
        <w:rPr>
          <w:rFonts w:ascii="Times New Roman" w:hAnsi="Times New Roman" w:cs="Times New Roman"/>
          <w:b/>
        </w:rPr>
      </w:pPr>
      <w:r w:rsidRPr="00675728">
        <w:rPr>
          <w:rFonts w:ascii="Times New Roman" w:hAnsi="Times New Roman" w:cs="Times New Roman"/>
        </w:rPr>
        <w:t>Zárthelyi dolgozat.</w:t>
      </w:r>
      <w:r w:rsidRPr="00675728">
        <w:rPr>
          <w:rStyle w:val="tlid-translation"/>
          <w:rFonts w:ascii="Times New Roman" w:hAnsi="Times New Roman" w:cs="Times New Roman"/>
          <w:lang w:val="en"/>
        </w:rPr>
        <w:t xml:space="preserve"> </w:t>
      </w:r>
      <w:r w:rsidRPr="00675728">
        <w:rPr>
          <w:rStyle w:val="tlid-translation"/>
          <w:rFonts w:ascii="Times New Roman" w:hAnsi="Times New Roman" w:cs="Times New Roman"/>
          <w:i/>
          <w:lang w:val="en"/>
        </w:rPr>
        <w:t>(Closed thesis.)</w:t>
      </w:r>
    </w:p>
    <w:p w:rsidR="00C14C72" w:rsidRPr="00C14C72" w:rsidRDefault="00C14C72" w:rsidP="00C2057B">
      <w:pPr>
        <w:widowControl w:val="0"/>
        <w:numPr>
          <w:ilvl w:val="0"/>
          <w:numId w:val="104"/>
        </w:numPr>
        <w:tabs>
          <w:tab w:val="num" w:pos="360"/>
        </w:tabs>
        <w:spacing w:before="120" w:after="120" w:line="240" w:lineRule="auto"/>
        <w:ind w:left="426" w:hanging="142"/>
        <w:jc w:val="both"/>
        <w:rPr>
          <w:rFonts w:ascii="Times New Roman" w:eastAsia="Times New Roman" w:hAnsi="Times New Roman" w:cs="Times New Roman"/>
          <w:bCs/>
        </w:rPr>
      </w:pPr>
      <w:r w:rsidRPr="00C14C72">
        <w:rPr>
          <w:rFonts w:ascii="Times New Roman" w:eastAsia="Times New Roman" w:hAnsi="Times New Roman" w:cs="Times New Roman"/>
          <w:b/>
          <w:bCs/>
        </w:rPr>
        <w:t xml:space="preserve">A tantárgy meghirdetésének gyakorisága/a tantervben történő félévi elhelyezkedése: </w:t>
      </w:r>
      <w:r w:rsidRPr="00C14C72">
        <w:rPr>
          <w:rFonts w:ascii="Times New Roman" w:eastAsia="Times New Roman" w:hAnsi="Times New Roman" w:cs="Times New Roman"/>
          <w:bCs/>
        </w:rPr>
        <w:t>3. félév</w:t>
      </w:r>
    </w:p>
    <w:p w:rsidR="00C14C72" w:rsidRPr="00C14C72" w:rsidRDefault="00C14C72" w:rsidP="00C2057B">
      <w:pPr>
        <w:widowControl w:val="0"/>
        <w:numPr>
          <w:ilvl w:val="0"/>
          <w:numId w:val="104"/>
        </w:numPr>
        <w:tabs>
          <w:tab w:val="num" w:pos="360"/>
        </w:tabs>
        <w:spacing w:before="120" w:after="120" w:line="240" w:lineRule="auto"/>
        <w:ind w:left="426" w:hanging="142"/>
        <w:jc w:val="both"/>
        <w:rPr>
          <w:rFonts w:ascii="Times New Roman" w:eastAsia="Times New Roman" w:hAnsi="Times New Roman" w:cs="Times New Roman"/>
          <w:bCs/>
        </w:rPr>
      </w:pPr>
      <w:r w:rsidRPr="00C14C72">
        <w:rPr>
          <w:rFonts w:ascii="Times New Roman" w:eastAsia="Times New Roman" w:hAnsi="Times New Roman" w:cs="Times New Roman"/>
          <w:b/>
          <w:bCs/>
        </w:rPr>
        <w:t>A tanórákon való részvétel követelményei, az elfogadható hiányzások mértéke, a távolmaradás pótlásának lehetősége:</w:t>
      </w:r>
      <w:r w:rsidRPr="00C14C72">
        <w:rPr>
          <w:rFonts w:ascii="Times New Roman" w:eastAsia="Times New Roman" w:hAnsi="Times New Roman" w:cs="Times New Roman"/>
          <w:bCs/>
        </w:rPr>
        <w:t xml:space="preserve"> </w:t>
      </w:r>
    </w:p>
    <w:p w:rsidR="00C14C72" w:rsidRPr="00C14C72" w:rsidRDefault="00C14C72" w:rsidP="00C14C72">
      <w:pPr>
        <w:widowControl w:val="0"/>
        <w:spacing w:before="120" w:after="120" w:line="240" w:lineRule="auto"/>
        <w:ind w:left="426"/>
        <w:jc w:val="both"/>
        <w:rPr>
          <w:rFonts w:ascii="Times New Roman" w:eastAsia="Times New Roman" w:hAnsi="Times New Roman" w:cs="Times New Roman"/>
          <w:bCs/>
          <w:highlight w:val="lightGray"/>
        </w:rPr>
      </w:pPr>
      <w:r w:rsidRPr="00C14C72">
        <w:rPr>
          <w:rFonts w:ascii="Times New Roman" w:eastAsia="Times New Roman" w:hAnsi="Times New Roman" w:cs="Times New Roman"/>
          <w:bCs/>
          <w:lang w:eastAsia="hu-HU"/>
        </w:rPr>
        <w:t xml:space="preserve">A tanórákon való részvétel kötelező, megengedett hiányzás mértéke 25%. Hiányzás esetén órapótlásra nincs lehetőség, a hallgató az előadás anyagát önállóan pótolja. A 25%-ot meghaladó </w:t>
      </w:r>
      <w:r w:rsidR="00675728">
        <w:rPr>
          <w:rFonts w:ascii="Times New Roman" w:eastAsia="Times New Roman" w:hAnsi="Times New Roman" w:cs="Times New Roman"/>
          <w:bCs/>
          <w:lang w:eastAsia="hu-HU"/>
        </w:rPr>
        <w:t>igazolt hiányzás az oktató által kijelölt témakörben beadott féléves feladattal pótolhatja a hallgató.</w:t>
      </w:r>
    </w:p>
    <w:p w:rsidR="00C14C72" w:rsidRPr="00C14C72" w:rsidRDefault="00C14C72" w:rsidP="00C2057B">
      <w:pPr>
        <w:widowControl w:val="0"/>
        <w:numPr>
          <w:ilvl w:val="0"/>
          <w:numId w:val="104"/>
        </w:numPr>
        <w:tabs>
          <w:tab w:val="num" w:pos="360"/>
        </w:tabs>
        <w:spacing w:before="120" w:after="120" w:line="240" w:lineRule="auto"/>
        <w:ind w:left="426" w:hanging="142"/>
        <w:jc w:val="both"/>
        <w:rPr>
          <w:rFonts w:ascii="Times New Roman" w:eastAsia="Times New Roman" w:hAnsi="Times New Roman" w:cs="Times New Roman"/>
          <w:bCs/>
        </w:rPr>
      </w:pPr>
      <w:r w:rsidRPr="00C14C72">
        <w:rPr>
          <w:rFonts w:ascii="Times New Roman" w:eastAsia="Times New Roman" w:hAnsi="Times New Roman" w:cs="Times New Roman"/>
          <w:b/>
        </w:rPr>
        <w:t>Félévközi feladatok, ismeretek ellenőrzésének rendje:</w:t>
      </w:r>
      <w:r w:rsidRPr="00C14C72">
        <w:rPr>
          <w:rFonts w:ascii="Times New Roman" w:eastAsia="Times New Roman" w:hAnsi="Times New Roman" w:cs="Times New Roman"/>
          <w:bCs/>
        </w:rPr>
        <w:t xml:space="preserve"> </w:t>
      </w:r>
    </w:p>
    <w:p w:rsidR="00C14C72" w:rsidRPr="00C14C72" w:rsidRDefault="00C14C72" w:rsidP="00C14C72">
      <w:pPr>
        <w:widowControl w:val="0"/>
        <w:spacing w:before="120" w:after="120" w:line="240" w:lineRule="auto"/>
        <w:ind w:left="360"/>
        <w:jc w:val="both"/>
        <w:rPr>
          <w:rFonts w:ascii="Times New Roman" w:eastAsia="Times New Roman" w:hAnsi="Times New Roman" w:cs="Times New Roman"/>
          <w:lang w:eastAsia="x-none"/>
        </w:rPr>
      </w:pPr>
      <w:r w:rsidRPr="00C14C72">
        <w:rPr>
          <w:rFonts w:ascii="Times New Roman" w:eastAsia="Times New Roman" w:hAnsi="Times New Roman" w:cs="Times New Roman"/>
          <w:lang w:val="x-none" w:eastAsia="x-none"/>
        </w:rPr>
        <w:t>A félév során egy zárthelyi dolgozatot ke</w:t>
      </w:r>
      <w:r w:rsidRPr="00C14C72">
        <w:rPr>
          <w:rFonts w:ascii="Times New Roman" w:eastAsia="Times New Roman" w:hAnsi="Times New Roman" w:cs="Times New Roman"/>
          <w:lang w:eastAsia="x-none"/>
        </w:rPr>
        <w:t>l</w:t>
      </w:r>
      <w:r w:rsidRPr="00C14C72">
        <w:rPr>
          <w:rFonts w:ascii="Times New Roman" w:eastAsia="Times New Roman" w:hAnsi="Times New Roman" w:cs="Times New Roman"/>
          <w:lang w:val="x-none" w:eastAsia="x-none"/>
        </w:rPr>
        <w:t>l megír</w:t>
      </w:r>
      <w:r w:rsidRPr="00C14C72">
        <w:rPr>
          <w:rFonts w:ascii="Times New Roman" w:eastAsia="Times New Roman" w:hAnsi="Times New Roman" w:cs="Times New Roman"/>
          <w:lang w:eastAsia="x-none"/>
        </w:rPr>
        <w:t>ni</w:t>
      </w:r>
      <w:r w:rsidRPr="00C14C72">
        <w:rPr>
          <w:rFonts w:ascii="Times New Roman" w:eastAsia="Times New Roman" w:hAnsi="Times New Roman" w:cs="Times New Roman"/>
          <w:lang w:val="x-none" w:eastAsia="x-none"/>
        </w:rPr>
        <w:t xml:space="preserve">. </w:t>
      </w:r>
      <w:r w:rsidRPr="00C14C72">
        <w:rPr>
          <w:rFonts w:ascii="Times New Roman" w:eastAsia="Times New Roman" w:hAnsi="Times New Roman" w:cs="Times New Roman"/>
          <w:lang w:eastAsia="x-none"/>
        </w:rPr>
        <w:t xml:space="preserve">A zárthelyi dolgozat ötfokozatú skálán értékelendő, 50%+1 pont elégséges, 60% közepes, 75% jó, 90% jeles. </w:t>
      </w:r>
      <w:r w:rsidRPr="00C14C72">
        <w:rPr>
          <w:rFonts w:ascii="Times New Roman" w:eastAsia="Times New Roman" w:hAnsi="Times New Roman" w:cs="Times New Roman"/>
          <w:lang w:val="x-none" w:eastAsia="x-none"/>
        </w:rPr>
        <w:t xml:space="preserve">Az elégtelen osztályzatra értékelt dolgozatot a szorgalmi és a vizsgaidőszakban is egy-egy alkalommal lehet pótolni. </w:t>
      </w:r>
    </w:p>
    <w:p w:rsidR="00C14C72" w:rsidRPr="00C14C72" w:rsidRDefault="00C14C72" w:rsidP="00C14C72">
      <w:pPr>
        <w:widowControl w:val="0"/>
        <w:spacing w:before="120" w:after="120" w:line="240" w:lineRule="auto"/>
        <w:ind w:left="360"/>
        <w:jc w:val="both"/>
        <w:rPr>
          <w:rFonts w:ascii="Times New Roman" w:eastAsia="Times New Roman" w:hAnsi="Times New Roman" w:cs="Times New Roman"/>
          <w:lang w:eastAsia="x-none"/>
        </w:rPr>
      </w:pPr>
      <w:r w:rsidRPr="00C14C72">
        <w:rPr>
          <w:rFonts w:ascii="Times New Roman" w:hAnsi="Times New Roman" w:cs="Times New Roman"/>
          <w:lang w:val="x-none" w:eastAsia="x-none"/>
        </w:rPr>
        <w:t xml:space="preserve">A félév során </w:t>
      </w:r>
      <w:r w:rsidRPr="00C14C72">
        <w:rPr>
          <w:rFonts w:ascii="Times New Roman" w:hAnsi="Times New Roman" w:cs="Times New Roman"/>
          <w:lang w:eastAsia="x-none"/>
        </w:rPr>
        <w:t>egy</w:t>
      </w:r>
      <w:r w:rsidRPr="00C14C72">
        <w:rPr>
          <w:rFonts w:ascii="Times New Roman" w:hAnsi="Times New Roman" w:cs="Times New Roman"/>
          <w:lang w:val="x-none" w:eastAsia="x-none"/>
        </w:rPr>
        <w:t xml:space="preserve"> házi feladatot kell elkészíteni minimálisan 1</w:t>
      </w:r>
      <w:r w:rsidR="00675728">
        <w:rPr>
          <w:rFonts w:ascii="Times New Roman" w:hAnsi="Times New Roman" w:cs="Times New Roman"/>
          <w:lang w:eastAsia="x-none"/>
        </w:rPr>
        <w:t>5</w:t>
      </w:r>
      <w:r w:rsidRPr="00C14C72">
        <w:rPr>
          <w:rFonts w:ascii="Times New Roman" w:hAnsi="Times New Roman" w:cs="Times New Roman"/>
          <w:lang w:val="x-none" w:eastAsia="x-none"/>
        </w:rPr>
        <w:t xml:space="preserve"> oldal</w:t>
      </w:r>
      <w:r w:rsidRPr="00C14C72">
        <w:rPr>
          <w:rFonts w:ascii="Times New Roman" w:hAnsi="Times New Roman" w:cs="Times New Roman"/>
          <w:b/>
          <w:lang w:val="x-none" w:eastAsia="x-none"/>
        </w:rPr>
        <w:t xml:space="preserve"> </w:t>
      </w:r>
      <w:r w:rsidRPr="00C14C72">
        <w:rPr>
          <w:rFonts w:ascii="Times New Roman" w:hAnsi="Times New Roman" w:cs="Times New Roman"/>
          <w:lang w:val="x-none" w:eastAsia="x-none"/>
        </w:rPr>
        <w:t xml:space="preserve">terjedelemben, a szakdolgozatnak megfelelő formai követelményekkel </w:t>
      </w:r>
      <w:r w:rsidRPr="00C14C72">
        <w:rPr>
          <w:rFonts w:ascii="Times New Roman" w:hAnsi="Times New Roman" w:cs="Times New Roman"/>
        </w:rPr>
        <w:t>(TVSZ 5. melléklet)</w:t>
      </w:r>
      <w:r w:rsidRPr="00C14C72">
        <w:rPr>
          <w:rFonts w:ascii="Times New Roman" w:hAnsi="Times New Roman" w:cs="Times New Roman"/>
          <w:lang w:val="x-none" w:eastAsia="x-none"/>
        </w:rPr>
        <w:t xml:space="preserve">. </w:t>
      </w:r>
      <w:r w:rsidRPr="00C14C72">
        <w:rPr>
          <w:rFonts w:ascii="Times New Roman" w:hAnsi="Times New Roman" w:cs="Times New Roman"/>
          <w:lang w:eastAsia="x-none"/>
        </w:rPr>
        <w:t>A 1</w:t>
      </w:r>
      <w:r w:rsidR="00675728">
        <w:rPr>
          <w:rFonts w:ascii="Times New Roman" w:hAnsi="Times New Roman" w:cs="Times New Roman"/>
          <w:lang w:eastAsia="x-none"/>
        </w:rPr>
        <w:t>5</w:t>
      </w:r>
      <w:r w:rsidRPr="00C14C72">
        <w:rPr>
          <w:rFonts w:ascii="Times New Roman" w:hAnsi="Times New Roman" w:cs="Times New Roman"/>
          <w:lang w:eastAsia="x-none"/>
        </w:rPr>
        <w:t xml:space="preserve"> oldal terjedelembe a bevezető, a fő rész és a befejezés tartozik csak. </w:t>
      </w:r>
      <w:r w:rsidRPr="00C14C72">
        <w:rPr>
          <w:rFonts w:ascii="Times New Roman" w:hAnsi="Times New Roman" w:cs="Times New Roman"/>
          <w:lang w:val="x-none" w:eastAsia="x-none"/>
        </w:rPr>
        <w:t>Az írásbeli munka témáját a hallgató választja</w:t>
      </w:r>
      <w:r w:rsidRPr="00C14C72">
        <w:rPr>
          <w:rFonts w:ascii="Times New Roman" w:hAnsi="Times New Roman" w:cs="Times New Roman"/>
          <w:lang w:eastAsia="x-none"/>
        </w:rPr>
        <w:t>,</w:t>
      </w:r>
      <w:r w:rsidRPr="00C14C72">
        <w:rPr>
          <w:rFonts w:ascii="Times New Roman" w:hAnsi="Times New Roman" w:cs="Times New Roman"/>
          <w:lang w:val="x-none" w:eastAsia="x-none"/>
        </w:rPr>
        <w:t xml:space="preserve"> a kurzus oktatója </w:t>
      </w:r>
      <w:r w:rsidRPr="00C14C72">
        <w:rPr>
          <w:rFonts w:ascii="Times New Roman" w:hAnsi="Times New Roman" w:cs="Times New Roman"/>
          <w:lang w:eastAsia="x-none"/>
        </w:rPr>
        <w:t>jóváhagyja</w:t>
      </w:r>
      <w:r w:rsidRPr="00C14C72">
        <w:rPr>
          <w:rFonts w:ascii="Times New Roman" w:hAnsi="Times New Roman" w:cs="Times New Roman"/>
          <w:lang w:val="x-none" w:eastAsia="x-none"/>
        </w:rPr>
        <w:t xml:space="preserve">. A szorgalmi időszakban a beadási határidőig leadott feladat </w:t>
      </w:r>
      <w:r w:rsidRPr="00C14C72">
        <w:rPr>
          <w:rFonts w:ascii="Times New Roman" w:hAnsi="Times New Roman" w:cs="Times New Roman"/>
          <w:lang w:eastAsia="x-none"/>
        </w:rPr>
        <w:t>ötfokozatú skálán értékelendő</w:t>
      </w:r>
      <w:r w:rsidRPr="00C14C72">
        <w:rPr>
          <w:rFonts w:ascii="Times New Roman" w:hAnsi="Times New Roman" w:cs="Times New Roman"/>
          <w:lang w:val="x-none" w:eastAsia="x-none"/>
        </w:rPr>
        <w:t>, azt javítani a vizsgaidőszak első hetén egy alkalommal lehet.</w:t>
      </w:r>
    </w:p>
    <w:p w:rsidR="00C14C72" w:rsidRPr="00C14C72" w:rsidRDefault="00C14C72" w:rsidP="00C2057B">
      <w:pPr>
        <w:widowControl w:val="0"/>
        <w:numPr>
          <w:ilvl w:val="0"/>
          <w:numId w:val="104"/>
        </w:numPr>
        <w:spacing w:before="120" w:after="120" w:line="240" w:lineRule="auto"/>
        <w:ind w:left="426" w:hanging="142"/>
        <w:jc w:val="both"/>
        <w:rPr>
          <w:rFonts w:ascii="Times New Roman" w:eastAsia="Times New Roman" w:hAnsi="Times New Roman" w:cs="Times New Roman"/>
          <w:b/>
          <w:bCs/>
        </w:rPr>
      </w:pPr>
      <w:r w:rsidRPr="00C14C72">
        <w:rPr>
          <w:rFonts w:ascii="Times New Roman" w:eastAsia="Times New Roman" w:hAnsi="Times New Roman" w:cs="Times New Roman"/>
          <w:b/>
          <w:bCs/>
        </w:rPr>
        <w:t xml:space="preserve">Az értékelés, az aláírás és a kreditek megszerzésének pontos feltételei: </w:t>
      </w:r>
    </w:p>
    <w:p w:rsidR="00C14C72" w:rsidRPr="00C14C72" w:rsidRDefault="00C14C72" w:rsidP="00C2057B">
      <w:pPr>
        <w:widowControl w:val="0"/>
        <w:numPr>
          <w:ilvl w:val="1"/>
          <w:numId w:val="104"/>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C14C72">
        <w:rPr>
          <w:rFonts w:ascii="Times New Roman" w:eastAsia="Times New Roman" w:hAnsi="Times New Roman" w:cs="Times New Roman"/>
          <w:b/>
        </w:rPr>
        <w:t>Az aláírás megszerzésének feltételei:</w:t>
      </w:r>
      <w:r w:rsidRPr="00C14C72">
        <w:rPr>
          <w:rFonts w:ascii="Times New Roman" w:eastAsia="Times New Roman" w:hAnsi="Times New Roman" w:cs="Times New Roman"/>
        </w:rPr>
        <w:t xml:space="preserve"> </w:t>
      </w:r>
    </w:p>
    <w:p w:rsidR="00C14C72" w:rsidRPr="00C14C72" w:rsidRDefault="00C14C72" w:rsidP="00C14C72">
      <w:pPr>
        <w:spacing w:before="120"/>
        <w:ind w:left="426"/>
        <w:jc w:val="both"/>
        <w:rPr>
          <w:rFonts w:ascii="Times New Roman" w:hAnsi="Times New Roman" w:cs="Times New Roman"/>
        </w:rPr>
      </w:pPr>
      <w:r w:rsidRPr="00C14C72">
        <w:rPr>
          <w:rFonts w:ascii="Times New Roman" w:hAnsi="Times New Roman" w:cs="Times New Roman"/>
        </w:rPr>
        <w:t xml:space="preserve">Az aláírás megszerzésnek feltétele a zárthelyi dolgozat legalább elégséges szinten történő teljesítése (min </w:t>
      </w:r>
      <w:r w:rsidRPr="00C14C72">
        <w:rPr>
          <w:rFonts w:ascii="Times New Roman" w:eastAsia="Times New Roman" w:hAnsi="Times New Roman" w:cs="Times New Roman"/>
          <w:lang w:eastAsia="x-none"/>
        </w:rPr>
        <w:t>50%+1 pont</w:t>
      </w:r>
      <w:r w:rsidRPr="00C14C72">
        <w:rPr>
          <w:rFonts w:ascii="Times New Roman" w:hAnsi="Times New Roman" w:cs="Times New Roman"/>
        </w:rPr>
        <w:t>), a kapott féléves feladat határidőre történő leadása és minimálisan elégséges szintű teljesítése, illetve a tanórák legalább 75%-án való megjelenés.</w:t>
      </w:r>
    </w:p>
    <w:p w:rsidR="00C14C72" w:rsidRPr="00675728" w:rsidRDefault="00C14C72" w:rsidP="00C2057B">
      <w:pPr>
        <w:widowControl w:val="0"/>
        <w:numPr>
          <w:ilvl w:val="1"/>
          <w:numId w:val="104"/>
        </w:numPr>
        <w:tabs>
          <w:tab w:val="left" w:pos="709"/>
          <w:tab w:val="left" w:pos="993"/>
          <w:tab w:val="num" w:pos="2069"/>
        </w:tabs>
        <w:spacing w:before="120" w:after="120" w:line="240" w:lineRule="auto"/>
        <w:ind w:left="426" w:firstLine="0"/>
        <w:jc w:val="both"/>
        <w:rPr>
          <w:rFonts w:ascii="Times New Roman" w:hAnsi="Times New Roman" w:cs="Times New Roman"/>
          <w:b/>
        </w:rPr>
      </w:pPr>
      <w:r w:rsidRPr="00675728">
        <w:rPr>
          <w:rFonts w:ascii="Times New Roman" w:eastAsia="Times New Roman" w:hAnsi="Times New Roman" w:cs="Times New Roman"/>
          <w:b/>
        </w:rPr>
        <w:t>Az értékelés:</w:t>
      </w:r>
      <w:r w:rsidRPr="00675728">
        <w:rPr>
          <w:rFonts w:ascii="Times New Roman" w:eastAsia="Times New Roman" w:hAnsi="Times New Roman" w:cs="Times New Roman"/>
        </w:rPr>
        <w:t xml:space="preserve"> </w:t>
      </w:r>
      <w:r w:rsidRPr="00675728">
        <w:rPr>
          <w:rFonts w:ascii="Times New Roman" w:hAnsi="Times New Roman" w:cs="Times New Roman"/>
          <w:lang w:val="x-none" w:eastAsia="x-none"/>
        </w:rPr>
        <w:t xml:space="preserve">A tantárgy </w:t>
      </w:r>
      <w:r w:rsidR="00675728">
        <w:rPr>
          <w:rFonts w:ascii="Times New Roman" w:hAnsi="Times New Roman" w:cs="Times New Roman"/>
          <w:lang w:eastAsia="x-none"/>
        </w:rPr>
        <w:t xml:space="preserve">szóbeli </w:t>
      </w:r>
      <w:r w:rsidR="00675728">
        <w:rPr>
          <w:rFonts w:ascii="Times New Roman" w:hAnsi="Times New Roman" w:cs="Times New Roman"/>
          <w:b/>
          <w:lang w:eastAsia="x-none"/>
        </w:rPr>
        <w:t>kollokvimmal</w:t>
      </w:r>
      <w:r w:rsidR="00675728">
        <w:rPr>
          <w:rFonts w:ascii="Times New Roman" w:hAnsi="Times New Roman" w:cs="Times New Roman"/>
          <w:lang w:val="x-none" w:eastAsia="x-none"/>
        </w:rPr>
        <w:t xml:space="preserve"> zárul</w:t>
      </w:r>
      <w:r w:rsidRPr="00675728">
        <w:rPr>
          <w:rFonts w:ascii="Times New Roman" w:hAnsi="Times New Roman" w:cs="Times New Roman"/>
        </w:rPr>
        <w:t>.</w:t>
      </w:r>
      <w:r w:rsidR="00675728">
        <w:rPr>
          <w:rFonts w:ascii="Times New Roman" w:hAnsi="Times New Roman" w:cs="Times New Roman"/>
        </w:rPr>
        <w:t xml:space="preserve"> </w:t>
      </w:r>
    </w:p>
    <w:p w:rsidR="00C14C72" w:rsidRPr="00115198" w:rsidRDefault="00C14C72" w:rsidP="00C2057B">
      <w:pPr>
        <w:widowControl w:val="0"/>
        <w:numPr>
          <w:ilvl w:val="1"/>
          <w:numId w:val="104"/>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115198">
        <w:rPr>
          <w:rFonts w:ascii="Times New Roman" w:eastAsia="Times New Roman" w:hAnsi="Times New Roman" w:cs="Times New Roman"/>
          <w:b/>
        </w:rPr>
        <w:t>A kreditek megszerzésének feltételei:</w:t>
      </w:r>
      <w:r w:rsidRPr="00115198">
        <w:rPr>
          <w:rFonts w:ascii="Times New Roman" w:eastAsia="Times New Roman" w:hAnsi="Times New Roman" w:cs="Times New Roman"/>
        </w:rPr>
        <w:t xml:space="preserve"> A kreditek megszerzésének feltétele az aláírás megszerzése és legalább elégséges </w:t>
      </w:r>
      <w:r w:rsidR="00675728" w:rsidRPr="00115198">
        <w:rPr>
          <w:rFonts w:ascii="Times New Roman" w:eastAsia="Times New Roman" w:hAnsi="Times New Roman" w:cs="Times New Roman"/>
        </w:rPr>
        <w:t>vizsga</w:t>
      </w:r>
      <w:r w:rsidRPr="00115198">
        <w:rPr>
          <w:rFonts w:ascii="Times New Roman" w:eastAsia="Times New Roman" w:hAnsi="Times New Roman" w:cs="Times New Roman"/>
        </w:rPr>
        <w:t>jegy</w:t>
      </w:r>
      <w:r w:rsidR="00675728" w:rsidRPr="00115198">
        <w:rPr>
          <w:rFonts w:ascii="Times New Roman" w:eastAsia="Times New Roman" w:hAnsi="Times New Roman" w:cs="Times New Roman"/>
        </w:rPr>
        <w:t xml:space="preserve"> megszerzése</w:t>
      </w:r>
      <w:r w:rsidRPr="00115198">
        <w:rPr>
          <w:rFonts w:ascii="Times New Roman" w:eastAsia="Times New Roman" w:hAnsi="Times New Roman" w:cs="Times New Roman"/>
        </w:rPr>
        <w:t>.</w:t>
      </w:r>
    </w:p>
    <w:p w:rsidR="00C14C72" w:rsidRPr="00C14C72" w:rsidRDefault="00C14C72" w:rsidP="00C2057B">
      <w:pPr>
        <w:widowControl w:val="0"/>
        <w:numPr>
          <w:ilvl w:val="0"/>
          <w:numId w:val="104"/>
        </w:numPr>
        <w:tabs>
          <w:tab w:val="num" w:pos="360"/>
        </w:tabs>
        <w:spacing w:before="120" w:after="120" w:line="240" w:lineRule="auto"/>
        <w:ind w:left="426" w:hanging="142"/>
        <w:jc w:val="both"/>
        <w:rPr>
          <w:rFonts w:ascii="Times New Roman" w:eastAsia="Times New Roman" w:hAnsi="Times New Roman" w:cs="Times New Roman"/>
          <w:bCs/>
        </w:rPr>
      </w:pPr>
      <w:r w:rsidRPr="00C14C72">
        <w:rPr>
          <w:rFonts w:ascii="Times New Roman" w:eastAsia="Times New Roman" w:hAnsi="Times New Roman" w:cs="Times New Roman"/>
          <w:b/>
          <w:bCs/>
        </w:rPr>
        <w:t>Irodalomjegyzék:</w:t>
      </w:r>
    </w:p>
    <w:p w:rsidR="00C14C72" w:rsidRPr="005C0331" w:rsidRDefault="00C14C72" w:rsidP="00C2057B">
      <w:pPr>
        <w:widowControl w:val="0"/>
        <w:numPr>
          <w:ilvl w:val="1"/>
          <w:numId w:val="104"/>
        </w:numPr>
        <w:tabs>
          <w:tab w:val="left" w:pos="567"/>
          <w:tab w:val="left" w:pos="851"/>
          <w:tab w:val="num" w:pos="2069"/>
        </w:tabs>
        <w:spacing w:before="120" w:after="120" w:line="240" w:lineRule="auto"/>
        <w:ind w:left="426" w:hanging="142"/>
        <w:jc w:val="both"/>
        <w:rPr>
          <w:rFonts w:ascii="Times New Roman" w:eastAsia="Times New Roman" w:hAnsi="Times New Roman" w:cs="Times New Roman"/>
          <w:bCs/>
        </w:rPr>
      </w:pPr>
      <w:r w:rsidRPr="00C14C72">
        <w:rPr>
          <w:rFonts w:ascii="Times New Roman" w:eastAsia="Times New Roman" w:hAnsi="Times New Roman" w:cs="Times New Roman"/>
          <w:b/>
          <w:bCs/>
        </w:rPr>
        <w:t>Kötelező irodalom:</w:t>
      </w:r>
    </w:p>
    <w:p w:rsidR="005C0331" w:rsidRDefault="005C0331" w:rsidP="00980876">
      <w:pPr>
        <w:pStyle w:val="Listaszerbekezds"/>
        <w:numPr>
          <w:ilvl w:val="0"/>
          <w:numId w:val="787"/>
        </w:numPr>
        <w:spacing w:after="0" w:line="240" w:lineRule="auto"/>
        <w:jc w:val="both"/>
        <w:rPr>
          <w:rFonts w:ascii="Times New Roman" w:hAnsi="Times New Roman" w:cs="Times New Roman"/>
        </w:rPr>
      </w:pPr>
      <w:r>
        <w:rPr>
          <w:rFonts w:ascii="Times New Roman" w:hAnsi="Times New Roman" w:cs="Times New Roman"/>
        </w:rPr>
        <w:t>Páncél Z</w:t>
      </w:r>
      <w:r w:rsidR="00613C2E">
        <w:rPr>
          <w:rFonts w:ascii="Times New Roman" w:hAnsi="Times New Roman" w:cs="Times New Roman"/>
        </w:rPr>
        <w:t>.</w:t>
      </w:r>
      <w:r>
        <w:rPr>
          <w:rFonts w:ascii="Times New Roman" w:hAnsi="Times New Roman" w:cs="Times New Roman"/>
        </w:rPr>
        <w:t>: Anyagmozgatás, csomagolás, raktározás, Széchenyi István Egyetem, Győr, 2006.</w:t>
      </w:r>
    </w:p>
    <w:p w:rsidR="00613C2E" w:rsidRPr="00EF4D49" w:rsidRDefault="00613C2E" w:rsidP="00980876">
      <w:pPr>
        <w:pStyle w:val="Listaszerbekezds"/>
        <w:numPr>
          <w:ilvl w:val="0"/>
          <w:numId w:val="787"/>
        </w:numPr>
        <w:spacing w:after="0" w:line="240" w:lineRule="auto"/>
        <w:jc w:val="both"/>
        <w:rPr>
          <w:rFonts w:ascii="Times New Roman" w:hAnsi="Times New Roman" w:cs="Times New Roman"/>
        </w:rPr>
      </w:pPr>
      <w:r w:rsidRPr="00613C2E">
        <w:rPr>
          <w:rFonts w:ascii="Times New Roman" w:hAnsi="Times New Roman" w:cs="Times New Roman"/>
        </w:rPr>
        <w:t>Prezenszki J. (szerk.): Logisztika I. (Bevezető fejezetek). BME. Mérnöktovábbképző Intézet, 2004.</w:t>
      </w:r>
    </w:p>
    <w:p w:rsidR="00C14C72" w:rsidRPr="00C14C72" w:rsidRDefault="00C14C72" w:rsidP="00C2057B">
      <w:pPr>
        <w:widowControl w:val="0"/>
        <w:numPr>
          <w:ilvl w:val="1"/>
          <w:numId w:val="104"/>
        </w:numPr>
        <w:tabs>
          <w:tab w:val="left" w:pos="567"/>
          <w:tab w:val="left" w:pos="851"/>
          <w:tab w:val="num" w:pos="2069"/>
        </w:tabs>
        <w:spacing w:before="120" w:after="120" w:line="240" w:lineRule="auto"/>
        <w:ind w:left="426" w:hanging="142"/>
        <w:jc w:val="both"/>
        <w:rPr>
          <w:rFonts w:ascii="Times New Roman" w:eastAsia="Times New Roman" w:hAnsi="Times New Roman" w:cs="Times New Roman"/>
          <w:b/>
          <w:bCs/>
        </w:rPr>
      </w:pPr>
      <w:r w:rsidRPr="00C14C72">
        <w:rPr>
          <w:rFonts w:ascii="Times New Roman" w:eastAsia="Times New Roman" w:hAnsi="Times New Roman" w:cs="Times New Roman"/>
          <w:b/>
          <w:bCs/>
        </w:rPr>
        <w:t>Ajánlott irodalom:</w:t>
      </w:r>
    </w:p>
    <w:p w:rsidR="00613C2E" w:rsidRDefault="00613C2E" w:rsidP="00980876">
      <w:pPr>
        <w:pStyle w:val="Listaszerbekezds"/>
        <w:numPr>
          <w:ilvl w:val="0"/>
          <w:numId w:val="788"/>
        </w:numPr>
        <w:spacing w:after="0" w:line="240" w:lineRule="auto"/>
        <w:jc w:val="both"/>
        <w:rPr>
          <w:rFonts w:ascii="Times New Roman" w:hAnsi="Times New Roman" w:cs="Times New Roman"/>
        </w:rPr>
      </w:pPr>
      <w:r w:rsidRPr="00613C2E">
        <w:rPr>
          <w:rFonts w:ascii="Times New Roman" w:hAnsi="Times New Roman" w:cs="Times New Roman"/>
        </w:rPr>
        <w:t>Prezenszki J.: 2010. Raktározás-logisztika. Ameropa Kiadó, Budapest, p. 239.</w:t>
      </w:r>
      <w:r>
        <w:rPr>
          <w:rFonts w:ascii="Times New Roman" w:hAnsi="Times New Roman" w:cs="Times New Roman"/>
        </w:rPr>
        <w:t xml:space="preserve"> </w:t>
      </w:r>
      <w:r>
        <w:rPr>
          <w:rFonts w:ascii="Times New Roman" w:hAnsi="Times New Roman" w:cs="Times New Roman"/>
        </w:rPr>
        <w:br/>
      </w:r>
      <w:r w:rsidRPr="00613C2E">
        <w:rPr>
          <w:rFonts w:ascii="Times New Roman" w:hAnsi="Times New Roman" w:cs="Times New Roman"/>
        </w:rPr>
        <w:t>ISBN: 9789630686709</w:t>
      </w:r>
    </w:p>
    <w:p w:rsidR="00C14C72" w:rsidRPr="00C14C72" w:rsidRDefault="00613C2E" w:rsidP="00980876">
      <w:pPr>
        <w:pStyle w:val="Listaszerbekezds"/>
        <w:numPr>
          <w:ilvl w:val="0"/>
          <w:numId w:val="788"/>
        </w:numPr>
        <w:spacing w:after="0" w:line="240" w:lineRule="auto"/>
        <w:jc w:val="both"/>
        <w:rPr>
          <w:rFonts w:ascii="Times New Roman" w:hAnsi="Times New Roman" w:cs="Times New Roman"/>
        </w:rPr>
      </w:pPr>
      <w:r w:rsidRPr="00613C2E">
        <w:rPr>
          <w:rFonts w:ascii="Times New Roman" w:hAnsi="Times New Roman" w:cs="Times New Roman"/>
        </w:rPr>
        <w:t xml:space="preserve">Prezenszki J. (szerk.): Logisztika II. (Módszerek, eljárások). Logisztikai Fejlesztési Központ, </w:t>
      </w:r>
      <w:r>
        <w:rPr>
          <w:rFonts w:ascii="Times New Roman" w:hAnsi="Times New Roman" w:cs="Times New Roman"/>
        </w:rPr>
        <w:t>2005</w:t>
      </w:r>
      <w:r w:rsidRPr="00613C2E">
        <w:rPr>
          <w:rFonts w:ascii="Times New Roman" w:hAnsi="Times New Roman" w:cs="Times New Roman"/>
        </w:rPr>
        <w:t>.</w:t>
      </w:r>
    </w:p>
    <w:p w:rsidR="00C14C72" w:rsidRPr="00C14C72" w:rsidRDefault="00675728" w:rsidP="00C14C72">
      <w:pPr>
        <w:widowControl w:val="0"/>
        <w:spacing w:before="120" w:after="120" w:line="240" w:lineRule="auto"/>
        <w:jc w:val="both"/>
        <w:rPr>
          <w:rFonts w:ascii="Times New Roman" w:eastAsia="Times New Roman" w:hAnsi="Times New Roman" w:cs="Times New Roman"/>
          <w:bCs/>
        </w:rPr>
      </w:pPr>
      <w:r>
        <w:rPr>
          <w:rFonts w:ascii="Times New Roman" w:eastAsia="Times New Roman" w:hAnsi="Times New Roman" w:cs="Times New Roman"/>
          <w:bCs/>
        </w:rPr>
        <w:t>Budapest, 2020 március    -n</w:t>
      </w:r>
    </w:p>
    <w:p w:rsidR="00C14C72" w:rsidRPr="00C14C72" w:rsidRDefault="00C14C72" w:rsidP="00C14C72">
      <w:pPr>
        <w:tabs>
          <w:tab w:val="right" w:pos="900"/>
        </w:tabs>
        <w:spacing w:after="0"/>
        <w:rPr>
          <w:rFonts w:ascii="Times New Roman" w:hAnsi="Times New Roman" w:cs="Times New Roman"/>
          <w:bCs/>
          <w:lang w:val="x-none" w:eastAsia="x-none"/>
        </w:rPr>
      </w:pPr>
      <w:r w:rsidRPr="00C14C72">
        <w:rPr>
          <w:rFonts w:ascii="Times New Roman" w:hAnsi="Times New Roman" w:cs="Times New Roman"/>
          <w:b/>
          <w:lang w:eastAsia="x-none"/>
        </w:rPr>
        <w:tab/>
      </w:r>
      <w:r w:rsidRPr="00C14C72">
        <w:rPr>
          <w:rFonts w:ascii="Times New Roman" w:hAnsi="Times New Roman" w:cs="Times New Roman"/>
          <w:b/>
          <w:lang w:eastAsia="x-none"/>
        </w:rPr>
        <w:tab/>
      </w:r>
      <w:r w:rsidRPr="00C14C72">
        <w:rPr>
          <w:rFonts w:ascii="Times New Roman" w:hAnsi="Times New Roman" w:cs="Times New Roman"/>
          <w:b/>
          <w:lang w:eastAsia="x-none"/>
        </w:rPr>
        <w:tab/>
      </w:r>
      <w:r w:rsidRPr="00C14C72">
        <w:rPr>
          <w:rFonts w:ascii="Times New Roman" w:hAnsi="Times New Roman" w:cs="Times New Roman"/>
          <w:b/>
          <w:lang w:eastAsia="x-none"/>
        </w:rPr>
        <w:tab/>
      </w:r>
      <w:r w:rsidRPr="00C14C72">
        <w:rPr>
          <w:rFonts w:ascii="Times New Roman" w:hAnsi="Times New Roman" w:cs="Times New Roman"/>
          <w:b/>
          <w:lang w:eastAsia="x-none"/>
        </w:rPr>
        <w:tab/>
      </w:r>
      <w:r w:rsidRPr="00C14C72">
        <w:rPr>
          <w:rFonts w:ascii="Times New Roman" w:hAnsi="Times New Roman" w:cs="Times New Roman"/>
          <w:b/>
          <w:lang w:eastAsia="x-none"/>
        </w:rPr>
        <w:tab/>
        <w:t xml:space="preserve">  </w:t>
      </w:r>
      <w:r w:rsidRPr="00C14C72">
        <w:rPr>
          <w:rFonts w:ascii="Times New Roman" w:hAnsi="Times New Roman" w:cs="Times New Roman"/>
          <w:b/>
          <w:lang w:eastAsia="x-none"/>
        </w:rPr>
        <w:tab/>
        <w:t xml:space="preserve">      Dr. Szászi Gábor egyetemi docens, PhD</w:t>
      </w:r>
    </w:p>
    <w:p w:rsidR="00675728" w:rsidRDefault="00C14C72" w:rsidP="00C14C72">
      <w:pPr>
        <w:spacing w:after="0"/>
        <w:ind w:left="5672" w:firstLine="709"/>
        <w:rPr>
          <w:rFonts w:ascii="Times New Roman" w:hAnsi="Times New Roman" w:cs="Times New Roman"/>
          <w:bCs/>
        </w:rPr>
      </w:pPr>
      <w:r w:rsidRPr="00C14C72">
        <w:rPr>
          <w:rFonts w:ascii="Times New Roman" w:hAnsi="Times New Roman" w:cs="Times New Roman"/>
          <w:bCs/>
        </w:rPr>
        <w:t>tantárgyfelelős</w:t>
      </w:r>
    </w:p>
    <w:p w:rsidR="003073B7" w:rsidRDefault="003073B7">
      <w:r>
        <w:br w:type="page"/>
      </w:r>
    </w:p>
    <w:tbl>
      <w:tblPr>
        <w:tblW w:w="9349" w:type="dxa"/>
        <w:tblInd w:w="113" w:type="dxa"/>
        <w:tblLook w:val="01E0" w:firstRow="1" w:lastRow="1" w:firstColumn="1" w:lastColumn="1" w:noHBand="0" w:noVBand="0"/>
      </w:tblPr>
      <w:tblGrid>
        <w:gridCol w:w="5132"/>
        <w:gridCol w:w="1620"/>
        <w:gridCol w:w="2597"/>
      </w:tblGrid>
      <w:tr w:rsidR="00BB49B3" w:rsidRPr="001F0529" w:rsidTr="00D34CF4">
        <w:tc>
          <w:tcPr>
            <w:tcW w:w="5132" w:type="dxa"/>
            <w:tcBorders>
              <w:bottom w:val="single" w:sz="4" w:space="0" w:color="auto"/>
            </w:tcBorders>
          </w:tcPr>
          <w:p w:rsidR="00BB49B3" w:rsidRPr="001F0529" w:rsidRDefault="00BB49B3" w:rsidP="00D34CF4">
            <w:pPr>
              <w:spacing w:after="0" w:line="240" w:lineRule="auto"/>
              <w:jc w:val="center"/>
              <w:rPr>
                <w:rFonts w:ascii="Times New Roman" w:eastAsia="Times New Roman" w:hAnsi="Times New Roman" w:cs="Times New Roman"/>
                <w:b/>
                <w:smallCaps/>
                <w:lang w:eastAsia="hu-HU"/>
              </w:rPr>
            </w:pPr>
            <w:r w:rsidRPr="001F0529">
              <w:rPr>
                <w:rFonts w:ascii="Times New Roman" w:eastAsia="Times New Roman" w:hAnsi="Times New Roman" w:cs="Times New Roman"/>
                <w:b/>
                <w:smallCaps/>
                <w:lang w:eastAsia="hu-HU"/>
              </w:rPr>
              <w:lastRenderedPageBreak/>
              <w:t>Nemzeti Közszolgálati Egyetem</w:t>
            </w:r>
          </w:p>
        </w:tc>
        <w:tc>
          <w:tcPr>
            <w:tcW w:w="1620" w:type="dxa"/>
          </w:tcPr>
          <w:p w:rsidR="00BB49B3" w:rsidRPr="001F0529" w:rsidRDefault="00BB49B3" w:rsidP="00D34CF4">
            <w:pPr>
              <w:spacing w:after="0" w:line="240" w:lineRule="auto"/>
              <w:jc w:val="both"/>
              <w:rPr>
                <w:rFonts w:ascii="Times New Roman" w:eastAsia="Times New Roman" w:hAnsi="Times New Roman" w:cs="Times New Roman"/>
                <w:lang w:eastAsia="hu-HU"/>
              </w:rPr>
            </w:pPr>
          </w:p>
        </w:tc>
        <w:tc>
          <w:tcPr>
            <w:tcW w:w="2597" w:type="dxa"/>
          </w:tcPr>
          <w:p w:rsidR="00BB49B3" w:rsidRPr="001F0529" w:rsidRDefault="00BB49B3" w:rsidP="00D34CF4">
            <w:pPr>
              <w:spacing w:after="0" w:line="240" w:lineRule="auto"/>
              <w:jc w:val="right"/>
              <w:rPr>
                <w:rFonts w:ascii="Times New Roman" w:eastAsia="Times New Roman" w:hAnsi="Times New Roman" w:cs="Times New Roman"/>
                <w:lang w:eastAsia="hu-HU"/>
              </w:rPr>
            </w:pPr>
          </w:p>
        </w:tc>
      </w:tr>
      <w:tr w:rsidR="00BB49B3" w:rsidRPr="001F0529" w:rsidTr="00D34CF4">
        <w:tc>
          <w:tcPr>
            <w:tcW w:w="5132" w:type="dxa"/>
            <w:tcBorders>
              <w:top w:val="single" w:sz="4" w:space="0" w:color="auto"/>
            </w:tcBorders>
          </w:tcPr>
          <w:p w:rsidR="00BB49B3" w:rsidRPr="001F0529" w:rsidRDefault="00BB49B3" w:rsidP="00D34CF4">
            <w:pPr>
              <w:spacing w:after="0" w:line="240" w:lineRule="auto"/>
              <w:jc w:val="center"/>
              <w:rPr>
                <w:rFonts w:ascii="Times New Roman" w:eastAsia="Times New Roman" w:hAnsi="Times New Roman" w:cs="Times New Roman"/>
                <w:b/>
                <w:lang w:eastAsia="hu-HU"/>
              </w:rPr>
            </w:pPr>
            <w:r w:rsidRPr="00977D93">
              <w:rPr>
                <w:rFonts w:ascii="Times New Roman" w:eastAsia="Times New Roman" w:hAnsi="Times New Roman" w:cs="Times New Roman"/>
                <w:b/>
                <w:noProof/>
                <w:lang w:eastAsia="hu-HU"/>
              </w:rPr>
              <w:t>Víztudományi Kar</w:t>
            </w:r>
          </w:p>
        </w:tc>
        <w:tc>
          <w:tcPr>
            <w:tcW w:w="1620" w:type="dxa"/>
          </w:tcPr>
          <w:p w:rsidR="00BB49B3" w:rsidRPr="001F0529" w:rsidRDefault="00BB49B3" w:rsidP="00D34CF4">
            <w:pPr>
              <w:spacing w:after="0" w:line="240" w:lineRule="auto"/>
              <w:jc w:val="both"/>
              <w:rPr>
                <w:rFonts w:ascii="Times New Roman" w:eastAsia="Times New Roman" w:hAnsi="Times New Roman" w:cs="Times New Roman"/>
                <w:lang w:eastAsia="hu-HU"/>
              </w:rPr>
            </w:pPr>
          </w:p>
        </w:tc>
        <w:tc>
          <w:tcPr>
            <w:tcW w:w="2597" w:type="dxa"/>
          </w:tcPr>
          <w:p w:rsidR="00BB49B3" w:rsidRPr="001F0529" w:rsidRDefault="00BB49B3" w:rsidP="00D34CF4">
            <w:pPr>
              <w:spacing w:after="0" w:line="240" w:lineRule="auto"/>
              <w:jc w:val="both"/>
              <w:rPr>
                <w:rFonts w:ascii="Times New Roman" w:eastAsia="Times New Roman" w:hAnsi="Times New Roman" w:cs="Times New Roman"/>
                <w:lang w:eastAsia="hu-HU"/>
              </w:rPr>
            </w:pPr>
          </w:p>
        </w:tc>
      </w:tr>
    </w:tbl>
    <w:p w:rsidR="00BB49B3" w:rsidRPr="001F0529" w:rsidRDefault="00BB49B3" w:rsidP="00BB49B3">
      <w:pPr>
        <w:widowControl w:val="0"/>
        <w:spacing w:before="60" w:after="60" w:line="240" w:lineRule="auto"/>
        <w:ind w:left="426" w:hanging="142"/>
        <w:jc w:val="center"/>
        <w:rPr>
          <w:rFonts w:ascii="Times New Roman" w:eastAsia="Times New Roman" w:hAnsi="Times New Roman" w:cs="Times New Roman"/>
          <w:b/>
          <w:bCs/>
        </w:rPr>
      </w:pPr>
    </w:p>
    <w:p w:rsidR="00BB49B3" w:rsidRPr="001F0529" w:rsidRDefault="00BB49B3" w:rsidP="00BB49B3">
      <w:pPr>
        <w:widowControl w:val="0"/>
        <w:spacing w:before="60" w:after="60" w:line="240" w:lineRule="auto"/>
        <w:ind w:left="426" w:hanging="142"/>
        <w:jc w:val="center"/>
        <w:rPr>
          <w:rFonts w:ascii="Times New Roman" w:eastAsia="Times New Roman" w:hAnsi="Times New Roman" w:cs="Times New Roman"/>
          <w:b/>
          <w:bCs/>
        </w:rPr>
      </w:pPr>
      <w:r w:rsidRPr="001F0529">
        <w:rPr>
          <w:rFonts w:ascii="Times New Roman" w:eastAsia="Times New Roman" w:hAnsi="Times New Roman" w:cs="Times New Roman"/>
          <w:b/>
          <w:bCs/>
        </w:rPr>
        <w:t>TANTÁRGYI PROGRAM</w:t>
      </w:r>
    </w:p>
    <w:p w:rsidR="00BB49B3" w:rsidRPr="001F0529" w:rsidRDefault="00BB49B3" w:rsidP="00980876">
      <w:pPr>
        <w:widowControl w:val="0"/>
        <w:numPr>
          <w:ilvl w:val="0"/>
          <w:numId w:val="808"/>
        </w:numPr>
        <w:tabs>
          <w:tab w:val="clear" w:pos="644"/>
          <w:tab w:val="num" w:pos="426"/>
          <w:tab w:val="num" w:pos="709"/>
        </w:tabs>
        <w:spacing w:before="60" w:after="60" w:line="240" w:lineRule="auto"/>
        <w:jc w:val="both"/>
        <w:rPr>
          <w:rFonts w:ascii="Times New Roman" w:eastAsia="Times New Roman" w:hAnsi="Times New Roman" w:cs="Times New Roman"/>
          <w:bCs/>
        </w:rPr>
      </w:pPr>
      <w:r w:rsidRPr="001F0529">
        <w:rPr>
          <w:rFonts w:ascii="Times New Roman" w:eastAsia="Times New Roman" w:hAnsi="Times New Roman" w:cs="Times New Roman"/>
          <w:b/>
          <w:bCs/>
        </w:rPr>
        <w:t xml:space="preserve">A tantárgy kódja: </w:t>
      </w:r>
      <w:r w:rsidRPr="00977D93">
        <w:rPr>
          <w:rFonts w:ascii="Times New Roman" w:eastAsia="Times New Roman" w:hAnsi="Times New Roman" w:cs="Times New Roman"/>
          <w:bCs/>
          <w:noProof/>
        </w:rPr>
        <w:t>VTVKPTA01</w:t>
      </w:r>
    </w:p>
    <w:p w:rsidR="00BB49B3" w:rsidRPr="001F0529" w:rsidRDefault="00BB49B3" w:rsidP="00980876">
      <w:pPr>
        <w:widowControl w:val="0"/>
        <w:numPr>
          <w:ilvl w:val="0"/>
          <w:numId w:val="808"/>
        </w:numPr>
        <w:tabs>
          <w:tab w:val="num" w:pos="567"/>
          <w:tab w:val="num" w:pos="720"/>
        </w:tabs>
        <w:spacing w:before="60" w:after="60" w:line="240" w:lineRule="auto"/>
        <w:ind w:left="426" w:hanging="142"/>
        <w:jc w:val="both"/>
        <w:rPr>
          <w:rFonts w:ascii="Times New Roman" w:eastAsia="Times New Roman" w:hAnsi="Times New Roman" w:cs="Times New Roman"/>
          <w:b/>
          <w:bCs/>
          <w:lang w:val="en-GB"/>
        </w:rPr>
      </w:pPr>
      <w:r w:rsidRPr="001F0529">
        <w:rPr>
          <w:rFonts w:ascii="Times New Roman" w:eastAsia="Times New Roman" w:hAnsi="Times New Roman" w:cs="Times New Roman"/>
          <w:b/>
          <w:bCs/>
        </w:rPr>
        <w:t>A tantárgy megnevezése (magyarul):</w:t>
      </w:r>
      <w:r w:rsidRPr="001F0529">
        <w:rPr>
          <w:rFonts w:ascii="Times New Roman" w:eastAsia="Times New Roman" w:hAnsi="Times New Roman" w:cs="Times New Roman"/>
          <w:bCs/>
        </w:rPr>
        <w:t xml:space="preserve"> </w:t>
      </w:r>
      <w:r w:rsidRPr="00977D93">
        <w:rPr>
          <w:rFonts w:ascii="Times New Roman" w:eastAsia="Times New Roman" w:hAnsi="Times New Roman" w:cs="Times New Roman"/>
          <w:bCs/>
          <w:noProof/>
        </w:rPr>
        <w:t>Fenntartható fejlődés</w:t>
      </w:r>
    </w:p>
    <w:p w:rsidR="00BB49B3" w:rsidRPr="001F0529" w:rsidRDefault="00BB49B3" w:rsidP="00980876">
      <w:pPr>
        <w:widowControl w:val="0"/>
        <w:numPr>
          <w:ilvl w:val="0"/>
          <w:numId w:val="808"/>
        </w:numPr>
        <w:tabs>
          <w:tab w:val="num" w:pos="567"/>
          <w:tab w:val="num" w:pos="720"/>
        </w:tabs>
        <w:spacing w:before="60" w:after="60" w:line="240" w:lineRule="auto"/>
        <w:ind w:left="426" w:hanging="142"/>
        <w:jc w:val="both"/>
        <w:rPr>
          <w:rFonts w:ascii="Times New Roman" w:eastAsia="Times New Roman" w:hAnsi="Times New Roman" w:cs="Times New Roman"/>
          <w:b/>
          <w:bCs/>
          <w:lang w:val="en-GB"/>
        </w:rPr>
      </w:pPr>
      <w:r w:rsidRPr="001F0529">
        <w:rPr>
          <w:rFonts w:ascii="Times New Roman" w:eastAsia="Times New Roman" w:hAnsi="Times New Roman" w:cs="Times New Roman"/>
          <w:b/>
          <w:bCs/>
        </w:rPr>
        <w:t xml:space="preserve">A tantárgy megnevezése (angolul): </w:t>
      </w:r>
      <w:r w:rsidRPr="00977D93">
        <w:rPr>
          <w:rFonts w:ascii="Times New Roman" w:eastAsia="Times New Roman" w:hAnsi="Times New Roman" w:cs="Times New Roman"/>
          <w:bCs/>
          <w:noProof/>
        </w:rPr>
        <w:t>Sustainable development</w:t>
      </w:r>
    </w:p>
    <w:p w:rsidR="00BB49B3" w:rsidRPr="001F0529" w:rsidRDefault="00BB49B3" w:rsidP="00980876">
      <w:pPr>
        <w:widowControl w:val="0"/>
        <w:numPr>
          <w:ilvl w:val="0"/>
          <w:numId w:val="808"/>
        </w:numPr>
        <w:tabs>
          <w:tab w:val="num" w:pos="567"/>
          <w:tab w:val="num" w:pos="720"/>
        </w:tabs>
        <w:spacing w:before="60" w:after="60" w:line="240" w:lineRule="auto"/>
        <w:ind w:left="426" w:hanging="142"/>
        <w:jc w:val="both"/>
        <w:rPr>
          <w:rFonts w:ascii="Times New Roman" w:eastAsia="Times New Roman" w:hAnsi="Times New Roman" w:cs="Times New Roman"/>
          <w:b/>
          <w:bCs/>
        </w:rPr>
      </w:pPr>
      <w:r w:rsidRPr="001F0529">
        <w:rPr>
          <w:rFonts w:ascii="Times New Roman" w:eastAsia="Times New Roman" w:hAnsi="Times New Roman" w:cs="Times New Roman"/>
          <w:b/>
          <w:bCs/>
        </w:rPr>
        <w:t xml:space="preserve">Kreditérték és képzési karakter: </w:t>
      </w:r>
    </w:p>
    <w:p w:rsidR="00BB49B3" w:rsidRPr="001F0529" w:rsidRDefault="00BB49B3" w:rsidP="00980876">
      <w:pPr>
        <w:widowControl w:val="0"/>
        <w:numPr>
          <w:ilvl w:val="1"/>
          <w:numId w:val="808"/>
        </w:numPr>
        <w:spacing w:before="60" w:after="60" w:line="240" w:lineRule="auto"/>
        <w:ind w:left="993" w:hanging="426"/>
        <w:contextualSpacing/>
        <w:jc w:val="both"/>
        <w:rPr>
          <w:rFonts w:ascii="Times New Roman" w:eastAsia="Times New Roman" w:hAnsi="Times New Roman" w:cs="Times New Roman"/>
          <w:b/>
          <w:bCs/>
        </w:rPr>
      </w:pPr>
      <w:r w:rsidRPr="00977D93">
        <w:rPr>
          <w:rFonts w:ascii="Times New Roman" w:eastAsia="Times New Roman" w:hAnsi="Times New Roman" w:cs="Times New Roman"/>
          <w:bCs/>
          <w:noProof/>
        </w:rPr>
        <w:t>2</w:t>
      </w:r>
      <w:r w:rsidRPr="001F0529">
        <w:rPr>
          <w:rFonts w:ascii="Times New Roman" w:eastAsia="Times New Roman" w:hAnsi="Times New Roman" w:cs="Times New Roman"/>
          <w:bCs/>
        </w:rPr>
        <w:t xml:space="preserve"> kredit</w:t>
      </w:r>
    </w:p>
    <w:p w:rsidR="00BB49B3" w:rsidRPr="001F0529" w:rsidRDefault="00BB49B3" w:rsidP="00980876">
      <w:pPr>
        <w:widowControl w:val="0"/>
        <w:numPr>
          <w:ilvl w:val="1"/>
          <w:numId w:val="808"/>
        </w:numPr>
        <w:spacing w:before="60" w:after="60" w:line="240" w:lineRule="auto"/>
        <w:ind w:left="993" w:hanging="426"/>
        <w:contextualSpacing/>
        <w:jc w:val="both"/>
        <w:rPr>
          <w:rFonts w:ascii="Times New Roman" w:eastAsia="Times New Roman" w:hAnsi="Times New Roman" w:cs="Times New Roman"/>
          <w:b/>
          <w:bCs/>
        </w:rPr>
      </w:pPr>
      <w:r w:rsidRPr="001F0529">
        <w:rPr>
          <w:rFonts w:ascii="Times New Roman" w:eastAsia="Times New Roman" w:hAnsi="Times New Roman" w:cs="Times New Roman"/>
          <w:bCs/>
        </w:rPr>
        <w:t xml:space="preserve">a tantárgy elméleti vagy gyakorlati jellegének mértéke: </w:t>
      </w:r>
      <w:r w:rsidRPr="00977D93">
        <w:rPr>
          <w:rFonts w:ascii="Times New Roman" w:eastAsia="Times New Roman" w:hAnsi="Times New Roman" w:cs="Times New Roman"/>
          <w:bCs/>
          <w:noProof/>
        </w:rPr>
        <w:t>0</w:t>
      </w:r>
      <w:r w:rsidRPr="001F0529">
        <w:rPr>
          <w:rFonts w:ascii="Times New Roman" w:eastAsia="Times New Roman" w:hAnsi="Times New Roman" w:cs="Times New Roman"/>
          <w:bCs/>
        </w:rPr>
        <w:t xml:space="preserve">% gyakorlat, </w:t>
      </w:r>
      <w:r w:rsidRPr="00977D93">
        <w:rPr>
          <w:rFonts w:ascii="Times New Roman" w:eastAsia="Times New Roman" w:hAnsi="Times New Roman" w:cs="Times New Roman"/>
          <w:bCs/>
          <w:noProof/>
        </w:rPr>
        <w:t>100</w:t>
      </w:r>
      <w:r w:rsidRPr="001F0529">
        <w:rPr>
          <w:rFonts w:ascii="Times New Roman" w:eastAsia="Times New Roman" w:hAnsi="Times New Roman" w:cs="Times New Roman"/>
          <w:bCs/>
        </w:rPr>
        <w:t>% elmélet</w:t>
      </w:r>
    </w:p>
    <w:p w:rsidR="00BB49B3" w:rsidRPr="006F697D" w:rsidRDefault="00BB49B3" w:rsidP="00980876">
      <w:pPr>
        <w:widowControl w:val="0"/>
        <w:numPr>
          <w:ilvl w:val="0"/>
          <w:numId w:val="808"/>
        </w:numPr>
        <w:tabs>
          <w:tab w:val="num" w:pos="720"/>
        </w:tabs>
        <w:spacing w:before="60" w:after="60" w:line="240" w:lineRule="auto"/>
        <w:ind w:left="426" w:hanging="142"/>
        <w:jc w:val="both"/>
        <w:rPr>
          <w:rFonts w:ascii="Times New Roman" w:eastAsia="Times New Roman" w:hAnsi="Times New Roman" w:cs="Times New Roman"/>
          <w:bCs/>
          <w:highlight w:val="yellow"/>
        </w:rPr>
      </w:pPr>
      <w:r w:rsidRPr="001F0529">
        <w:rPr>
          <w:rFonts w:ascii="Times New Roman" w:eastAsia="Times New Roman" w:hAnsi="Times New Roman" w:cs="Times New Roman"/>
          <w:b/>
          <w:bCs/>
        </w:rPr>
        <w:t>A szak(ok), szakirányok/specializációk megnevezése (ahol oktatják):</w:t>
      </w:r>
      <w:r w:rsidRPr="001F0529">
        <w:rPr>
          <w:rFonts w:ascii="Times New Roman" w:eastAsia="Times New Roman" w:hAnsi="Times New Roman" w:cs="Times New Roman"/>
          <w:bCs/>
        </w:rPr>
        <w:t xml:space="preserve"> </w:t>
      </w:r>
      <w:r w:rsidR="006F697D" w:rsidRPr="006F697D">
        <w:rPr>
          <w:rFonts w:ascii="Times New Roman" w:eastAsia="Times New Roman" w:hAnsi="Times New Roman" w:cs="Times New Roman"/>
          <w:bCs/>
          <w:noProof/>
          <w:highlight w:val="yellow"/>
        </w:rPr>
        <w:t>HHK alapképzési szakok</w:t>
      </w:r>
    </w:p>
    <w:p w:rsidR="00BB49B3" w:rsidRPr="001F0529" w:rsidRDefault="00BB49B3" w:rsidP="00980876">
      <w:pPr>
        <w:widowControl w:val="0"/>
        <w:numPr>
          <w:ilvl w:val="0"/>
          <w:numId w:val="808"/>
        </w:numPr>
        <w:tabs>
          <w:tab w:val="num" w:pos="567"/>
          <w:tab w:val="num" w:pos="720"/>
        </w:tabs>
        <w:spacing w:before="60" w:after="60" w:line="240" w:lineRule="auto"/>
        <w:ind w:left="426" w:hanging="142"/>
        <w:jc w:val="both"/>
        <w:rPr>
          <w:rFonts w:ascii="Times New Roman" w:eastAsia="Times New Roman" w:hAnsi="Times New Roman" w:cs="Times New Roman"/>
          <w:bCs/>
        </w:rPr>
      </w:pPr>
      <w:r w:rsidRPr="001F0529">
        <w:rPr>
          <w:rFonts w:ascii="Times New Roman" w:eastAsia="Times New Roman" w:hAnsi="Times New Roman" w:cs="Times New Roman"/>
          <w:b/>
          <w:bCs/>
        </w:rPr>
        <w:t xml:space="preserve">Az oktatásért felelős oktatási szervezeti egység megnevezése: </w:t>
      </w:r>
      <w:r w:rsidRPr="00977D93">
        <w:rPr>
          <w:rFonts w:ascii="Times New Roman" w:eastAsia="Times New Roman" w:hAnsi="Times New Roman" w:cs="Times New Roman"/>
          <w:bCs/>
          <w:noProof/>
        </w:rPr>
        <w:t>Víztudományi Kar</w:t>
      </w:r>
      <w:r w:rsidRPr="001F0529">
        <w:rPr>
          <w:rFonts w:ascii="Times New Roman" w:eastAsia="Times New Roman" w:hAnsi="Times New Roman" w:cs="Times New Roman"/>
          <w:bCs/>
        </w:rPr>
        <w:t xml:space="preserve">, </w:t>
      </w:r>
      <w:r w:rsidRPr="00977D93">
        <w:rPr>
          <w:rFonts w:ascii="Times New Roman" w:eastAsia="Times New Roman" w:hAnsi="Times New Roman" w:cs="Times New Roman"/>
          <w:bCs/>
          <w:noProof/>
        </w:rPr>
        <w:t>Víz- és Környezetpolitikai Tanszék</w:t>
      </w:r>
    </w:p>
    <w:p w:rsidR="00BB49B3" w:rsidRPr="001F0529" w:rsidRDefault="00BB49B3" w:rsidP="00980876">
      <w:pPr>
        <w:widowControl w:val="0"/>
        <w:numPr>
          <w:ilvl w:val="0"/>
          <w:numId w:val="808"/>
        </w:numPr>
        <w:tabs>
          <w:tab w:val="num" w:pos="567"/>
          <w:tab w:val="num" w:pos="720"/>
        </w:tabs>
        <w:spacing w:before="60" w:after="60" w:line="240" w:lineRule="auto"/>
        <w:ind w:left="426" w:hanging="142"/>
        <w:jc w:val="both"/>
        <w:rPr>
          <w:rFonts w:ascii="Times New Roman" w:eastAsia="Times New Roman" w:hAnsi="Times New Roman" w:cs="Times New Roman"/>
          <w:bCs/>
        </w:rPr>
      </w:pPr>
      <w:r w:rsidRPr="001F0529">
        <w:rPr>
          <w:rFonts w:ascii="Times New Roman" w:eastAsia="Times New Roman" w:hAnsi="Times New Roman" w:cs="Times New Roman"/>
          <w:b/>
          <w:bCs/>
        </w:rPr>
        <w:t>A tantárgyfelelős oktató neve, beosztása, tudományos fokozata:</w:t>
      </w:r>
      <w:r w:rsidRPr="001F0529">
        <w:rPr>
          <w:rFonts w:ascii="Times New Roman" w:eastAsia="Times New Roman" w:hAnsi="Times New Roman" w:cs="Times New Roman"/>
          <w:bCs/>
        </w:rPr>
        <w:t xml:space="preserve"> </w:t>
      </w:r>
      <w:r w:rsidRPr="00977D93">
        <w:rPr>
          <w:rFonts w:ascii="Times New Roman" w:eastAsia="Times New Roman" w:hAnsi="Times New Roman" w:cs="Times New Roman"/>
          <w:bCs/>
          <w:noProof/>
        </w:rPr>
        <w:t>Dr. Baranyai Gábor</w:t>
      </w:r>
      <w:r w:rsidRPr="001F0529">
        <w:rPr>
          <w:rFonts w:ascii="Times New Roman" w:eastAsia="Times New Roman" w:hAnsi="Times New Roman" w:cs="Times New Roman"/>
          <w:bCs/>
        </w:rPr>
        <w:t xml:space="preserve">, </w:t>
      </w:r>
      <w:r w:rsidRPr="00977D93">
        <w:rPr>
          <w:rFonts w:ascii="Times New Roman" w:eastAsia="Times New Roman" w:hAnsi="Times New Roman" w:cs="Times New Roman"/>
          <w:bCs/>
          <w:noProof/>
        </w:rPr>
        <w:t>PhD</w:t>
      </w:r>
      <w:r w:rsidRPr="001F0529">
        <w:rPr>
          <w:rFonts w:ascii="Times New Roman" w:eastAsia="Times New Roman" w:hAnsi="Times New Roman" w:cs="Times New Roman"/>
          <w:bCs/>
        </w:rPr>
        <w:t xml:space="preserve">, </w:t>
      </w:r>
      <w:r w:rsidRPr="00977D93">
        <w:rPr>
          <w:rFonts w:ascii="Times New Roman" w:eastAsia="Times New Roman" w:hAnsi="Times New Roman" w:cs="Times New Roman"/>
          <w:bCs/>
          <w:noProof/>
        </w:rPr>
        <w:t>adjunktus</w:t>
      </w:r>
    </w:p>
    <w:p w:rsidR="00BB49B3" w:rsidRPr="001F0529" w:rsidRDefault="00BB49B3" w:rsidP="00980876">
      <w:pPr>
        <w:widowControl w:val="0"/>
        <w:numPr>
          <w:ilvl w:val="0"/>
          <w:numId w:val="808"/>
        </w:numPr>
        <w:tabs>
          <w:tab w:val="num" w:pos="720"/>
        </w:tabs>
        <w:spacing w:before="60" w:after="60" w:line="240" w:lineRule="auto"/>
        <w:ind w:left="426" w:hanging="142"/>
        <w:jc w:val="both"/>
        <w:rPr>
          <w:rFonts w:ascii="Times New Roman" w:eastAsia="Times New Roman" w:hAnsi="Times New Roman" w:cs="Times New Roman"/>
          <w:bCs/>
        </w:rPr>
      </w:pPr>
      <w:r w:rsidRPr="001F0529">
        <w:rPr>
          <w:rFonts w:ascii="Times New Roman" w:eastAsia="Times New Roman" w:hAnsi="Times New Roman" w:cs="Times New Roman"/>
          <w:b/>
          <w:bCs/>
        </w:rPr>
        <w:t>A tanórák száma és típusa</w:t>
      </w:r>
    </w:p>
    <w:p w:rsidR="00BB49B3" w:rsidRPr="001F0529" w:rsidRDefault="00BB49B3" w:rsidP="00980876">
      <w:pPr>
        <w:widowControl w:val="0"/>
        <w:numPr>
          <w:ilvl w:val="1"/>
          <w:numId w:val="808"/>
        </w:numPr>
        <w:tabs>
          <w:tab w:val="num" w:pos="3977"/>
        </w:tabs>
        <w:spacing w:before="60" w:after="60" w:line="240" w:lineRule="auto"/>
        <w:ind w:left="851" w:hanging="425"/>
        <w:jc w:val="both"/>
        <w:rPr>
          <w:rFonts w:ascii="Times New Roman" w:eastAsia="Times New Roman" w:hAnsi="Times New Roman" w:cs="Times New Roman"/>
          <w:bCs/>
        </w:rPr>
      </w:pPr>
      <w:r w:rsidRPr="001F0529">
        <w:rPr>
          <w:rFonts w:ascii="Times New Roman" w:eastAsia="Times New Roman" w:hAnsi="Times New Roman" w:cs="Times New Roman"/>
          <w:bCs/>
        </w:rPr>
        <w:t>össz óraszám/félév:</w:t>
      </w:r>
    </w:p>
    <w:p w:rsidR="00BB49B3" w:rsidRPr="001F0529" w:rsidRDefault="00BB49B3" w:rsidP="00980876">
      <w:pPr>
        <w:widowControl w:val="0"/>
        <w:numPr>
          <w:ilvl w:val="2"/>
          <w:numId w:val="808"/>
        </w:numPr>
        <w:tabs>
          <w:tab w:val="num" w:pos="1800"/>
        </w:tabs>
        <w:spacing w:before="60" w:after="60" w:line="240" w:lineRule="auto"/>
        <w:ind w:left="1276" w:hanging="567"/>
        <w:jc w:val="both"/>
        <w:rPr>
          <w:rFonts w:ascii="Times New Roman" w:eastAsia="Times New Roman" w:hAnsi="Times New Roman" w:cs="Times New Roman"/>
          <w:bCs/>
        </w:rPr>
      </w:pPr>
      <w:r w:rsidRPr="001F0529">
        <w:rPr>
          <w:rFonts w:ascii="Times New Roman" w:eastAsia="Times New Roman" w:hAnsi="Times New Roman" w:cs="Times New Roman"/>
          <w:bCs/>
        </w:rPr>
        <w:t xml:space="preserve">nappali munkarend: </w:t>
      </w:r>
      <w:r w:rsidRPr="00977D93">
        <w:rPr>
          <w:rFonts w:ascii="Times New Roman" w:eastAsia="Times New Roman" w:hAnsi="Times New Roman" w:cs="Times New Roman"/>
          <w:bCs/>
          <w:noProof/>
        </w:rPr>
        <w:t>28</w:t>
      </w:r>
      <w:r w:rsidRPr="001F0529">
        <w:rPr>
          <w:rFonts w:ascii="Times New Roman" w:eastAsia="Times New Roman" w:hAnsi="Times New Roman" w:cs="Times New Roman"/>
          <w:bCs/>
        </w:rPr>
        <w:t xml:space="preserve"> (</w:t>
      </w:r>
      <w:r w:rsidRPr="00977D93">
        <w:rPr>
          <w:rFonts w:ascii="Times New Roman" w:eastAsia="Times New Roman" w:hAnsi="Times New Roman" w:cs="Times New Roman"/>
          <w:bCs/>
          <w:noProof/>
        </w:rPr>
        <w:t>28</w:t>
      </w:r>
      <w:r w:rsidRPr="001F0529">
        <w:rPr>
          <w:rFonts w:ascii="Times New Roman" w:eastAsia="Times New Roman" w:hAnsi="Times New Roman" w:cs="Times New Roman"/>
          <w:bCs/>
        </w:rPr>
        <w:t xml:space="preserve"> EA + </w:t>
      </w:r>
      <w:r w:rsidRPr="00977D93">
        <w:rPr>
          <w:rFonts w:ascii="Times New Roman" w:eastAsia="Times New Roman" w:hAnsi="Times New Roman" w:cs="Times New Roman"/>
          <w:bCs/>
          <w:noProof/>
        </w:rPr>
        <w:t>0</w:t>
      </w:r>
      <w:r w:rsidRPr="001F0529">
        <w:rPr>
          <w:rFonts w:ascii="Times New Roman" w:eastAsia="Times New Roman" w:hAnsi="Times New Roman" w:cs="Times New Roman"/>
          <w:bCs/>
        </w:rPr>
        <w:t xml:space="preserve"> GY)</w:t>
      </w:r>
    </w:p>
    <w:p w:rsidR="00BB49B3" w:rsidRPr="001F0529" w:rsidRDefault="00BB49B3" w:rsidP="00980876">
      <w:pPr>
        <w:widowControl w:val="0"/>
        <w:numPr>
          <w:ilvl w:val="2"/>
          <w:numId w:val="808"/>
        </w:numPr>
        <w:tabs>
          <w:tab w:val="num" w:pos="1800"/>
        </w:tabs>
        <w:spacing w:before="60" w:after="60" w:line="240" w:lineRule="auto"/>
        <w:ind w:left="1276" w:hanging="567"/>
        <w:jc w:val="both"/>
        <w:rPr>
          <w:rFonts w:ascii="Times New Roman" w:eastAsia="Times New Roman" w:hAnsi="Times New Roman" w:cs="Times New Roman"/>
          <w:bCs/>
        </w:rPr>
      </w:pPr>
      <w:r w:rsidRPr="001F0529">
        <w:rPr>
          <w:rFonts w:ascii="Times New Roman" w:eastAsia="Times New Roman" w:hAnsi="Times New Roman" w:cs="Times New Roman"/>
          <w:bCs/>
        </w:rPr>
        <w:t xml:space="preserve">levelező munkarend: </w:t>
      </w:r>
      <w:r w:rsidRPr="00977D93">
        <w:rPr>
          <w:rFonts w:ascii="Times New Roman" w:eastAsia="Times New Roman" w:hAnsi="Times New Roman" w:cs="Times New Roman"/>
          <w:bCs/>
          <w:noProof/>
        </w:rPr>
        <w:t>8</w:t>
      </w:r>
      <w:r w:rsidRPr="001F0529">
        <w:rPr>
          <w:rFonts w:ascii="Times New Roman" w:eastAsia="Times New Roman" w:hAnsi="Times New Roman" w:cs="Times New Roman"/>
          <w:bCs/>
        </w:rPr>
        <w:t xml:space="preserve"> (</w:t>
      </w:r>
      <w:r w:rsidRPr="00977D93">
        <w:rPr>
          <w:rFonts w:ascii="Times New Roman" w:eastAsia="Times New Roman" w:hAnsi="Times New Roman" w:cs="Times New Roman"/>
          <w:bCs/>
          <w:noProof/>
        </w:rPr>
        <w:t>8</w:t>
      </w:r>
      <w:r w:rsidRPr="001F0529">
        <w:rPr>
          <w:rFonts w:ascii="Times New Roman" w:eastAsia="Times New Roman" w:hAnsi="Times New Roman" w:cs="Times New Roman"/>
          <w:bCs/>
        </w:rPr>
        <w:t xml:space="preserve"> EA + </w:t>
      </w:r>
      <w:r w:rsidRPr="00977D93">
        <w:rPr>
          <w:rFonts w:ascii="Times New Roman" w:eastAsia="Times New Roman" w:hAnsi="Times New Roman" w:cs="Times New Roman"/>
          <w:bCs/>
          <w:noProof/>
        </w:rPr>
        <w:t>0</w:t>
      </w:r>
      <w:r w:rsidRPr="001F0529">
        <w:rPr>
          <w:rFonts w:ascii="Times New Roman" w:eastAsia="Times New Roman" w:hAnsi="Times New Roman" w:cs="Times New Roman"/>
          <w:bCs/>
        </w:rPr>
        <w:t xml:space="preserve"> GY)</w:t>
      </w:r>
    </w:p>
    <w:p w:rsidR="00BB49B3" w:rsidRPr="001F0529" w:rsidRDefault="00BB49B3" w:rsidP="00980876">
      <w:pPr>
        <w:widowControl w:val="0"/>
        <w:numPr>
          <w:ilvl w:val="1"/>
          <w:numId w:val="808"/>
        </w:numPr>
        <w:tabs>
          <w:tab w:val="num" w:pos="3977"/>
        </w:tabs>
        <w:spacing w:before="60" w:after="60" w:line="240" w:lineRule="auto"/>
        <w:ind w:left="851" w:hanging="425"/>
        <w:jc w:val="both"/>
        <w:rPr>
          <w:rFonts w:ascii="Times New Roman" w:eastAsia="Times New Roman" w:hAnsi="Times New Roman" w:cs="Times New Roman"/>
          <w:bCs/>
        </w:rPr>
      </w:pPr>
      <w:r w:rsidRPr="001F0529">
        <w:rPr>
          <w:rFonts w:ascii="Times New Roman" w:eastAsia="Times New Roman" w:hAnsi="Times New Roman" w:cs="Times New Roman"/>
          <w:bCs/>
        </w:rPr>
        <w:t xml:space="preserve">heti óraszám - nappali munkarend: </w:t>
      </w:r>
      <w:r w:rsidRPr="00977D93">
        <w:rPr>
          <w:rFonts w:ascii="Times New Roman" w:eastAsia="Times New Roman" w:hAnsi="Times New Roman" w:cs="Times New Roman"/>
          <w:bCs/>
          <w:noProof/>
        </w:rPr>
        <w:t>2</w:t>
      </w:r>
      <w:r w:rsidRPr="001F0529">
        <w:rPr>
          <w:rFonts w:ascii="Times New Roman" w:eastAsia="Times New Roman" w:hAnsi="Times New Roman" w:cs="Times New Roman"/>
          <w:bCs/>
        </w:rPr>
        <w:t xml:space="preserve"> (</w:t>
      </w:r>
      <w:r w:rsidRPr="00977D93">
        <w:rPr>
          <w:rFonts w:ascii="Times New Roman" w:eastAsia="Times New Roman" w:hAnsi="Times New Roman" w:cs="Times New Roman"/>
          <w:bCs/>
          <w:noProof/>
        </w:rPr>
        <w:t>2</w:t>
      </w:r>
      <w:r w:rsidRPr="001F0529">
        <w:rPr>
          <w:rFonts w:ascii="Times New Roman" w:eastAsia="Times New Roman" w:hAnsi="Times New Roman" w:cs="Times New Roman"/>
          <w:bCs/>
        </w:rPr>
        <w:t xml:space="preserve"> EA + </w:t>
      </w:r>
      <w:r w:rsidRPr="00977D93">
        <w:rPr>
          <w:rFonts w:ascii="Times New Roman" w:eastAsia="Times New Roman" w:hAnsi="Times New Roman" w:cs="Times New Roman"/>
          <w:bCs/>
          <w:noProof/>
        </w:rPr>
        <w:t>0</w:t>
      </w:r>
      <w:r w:rsidRPr="001F0529">
        <w:rPr>
          <w:rFonts w:ascii="Times New Roman" w:eastAsia="Times New Roman" w:hAnsi="Times New Roman" w:cs="Times New Roman"/>
          <w:bCs/>
        </w:rPr>
        <w:t xml:space="preserve"> GY)</w:t>
      </w:r>
    </w:p>
    <w:p w:rsidR="00BB49B3" w:rsidRPr="001F0529" w:rsidRDefault="00BB49B3" w:rsidP="00980876">
      <w:pPr>
        <w:widowControl w:val="0"/>
        <w:numPr>
          <w:ilvl w:val="1"/>
          <w:numId w:val="808"/>
        </w:numPr>
        <w:tabs>
          <w:tab w:val="num" w:pos="3977"/>
        </w:tabs>
        <w:spacing w:before="60" w:after="60" w:line="240" w:lineRule="auto"/>
        <w:ind w:left="851" w:hanging="425"/>
        <w:jc w:val="both"/>
        <w:rPr>
          <w:rFonts w:ascii="Times New Roman" w:eastAsia="Times New Roman" w:hAnsi="Times New Roman" w:cs="Times New Roman"/>
          <w:bCs/>
        </w:rPr>
      </w:pPr>
      <w:r w:rsidRPr="001F0529">
        <w:rPr>
          <w:rFonts w:ascii="Times New Roman" w:hAnsi="Times New Roman" w:cs="Times New Roman"/>
        </w:rPr>
        <w:t xml:space="preserve">Az ismeret átadásában alkalmazandó további sajátos módok, jellemzők: </w:t>
      </w:r>
      <w:r w:rsidRPr="00977D93">
        <w:rPr>
          <w:rFonts w:ascii="Times New Roman" w:hAnsi="Times New Roman" w:cs="Times New Roman"/>
          <w:noProof/>
        </w:rPr>
        <w:t>-</w:t>
      </w:r>
      <w:r w:rsidRPr="001F0529">
        <w:rPr>
          <w:rFonts w:ascii="Times New Roman" w:hAnsi="Times New Roman" w:cs="Times New Roman"/>
        </w:rPr>
        <w:t xml:space="preserve"> </w:t>
      </w:r>
    </w:p>
    <w:p w:rsidR="00BB49B3" w:rsidRPr="001F0529" w:rsidRDefault="00BB49B3" w:rsidP="00980876">
      <w:pPr>
        <w:widowControl w:val="0"/>
        <w:numPr>
          <w:ilvl w:val="0"/>
          <w:numId w:val="808"/>
        </w:numPr>
        <w:tabs>
          <w:tab w:val="num" w:pos="720"/>
        </w:tabs>
        <w:spacing w:before="60" w:after="60" w:line="240" w:lineRule="auto"/>
        <w:ind w:left="426" w:hanging="142"/>
        <w:jc w:val="both"/>
        <w:rPr>
          <w:rFonts w:ascii="Times New Roman" w:eastAsia="Times New Roman" w:hAnsi="Times New Roman" w:cs="Times New Roman"/>
          <w:bCs/>
        </w:rPr>
      </w:pPr>
      <w:r w:rsidRPr="001F0529">
        <w:rPr>
          <w:rFonts w:ascii="Times New Roman" w:eastAsia="Times New Roman" w:hAnsi="Times New Roman" w:cs="Times New Roman"/>
          <w:b/>
          <w:bCs/>
        </w:rPr>
        <w:t>A tantárgy szakmai tartalma (magyarul):</w:t>
      </w:r>
      <w:r w:rsidRPr="001F0529">
        <w:rPr>
          <w:rFonts w:ascii="Times New Roman" w:eastAsia="Times New Roman" w:hAnsi="Times New Roman" w:cs="Times New Roman"/>
          <w:bCs/>
        </w:rPr>
        <w:t xml:space="preserve"> </w:t>
      </w:r>
      <w:r w:rsidRPr="00977D93">
        <w:rPr>
          <w:rFonts w:ascii="Times New Roman" w:eastAsia="Times New Roman" w:hAnsi="Times New Roman" w:cs="Times New Roman"/>
          <w:bCs/>
          <w:noProof/>
        </w:rPr>
        <w:t>A tantárgy célja, hogy általános bevezetést nyújtson a hallgatók számára a földi természeti környezet átalakulását befolyásoló társadalmi és gazdasági megatrendekbe, azonosítsa az ebből következő globális és helyi átalakulási és alkalmazkodási kihívásokat, valamint összefoglalja az állam kapcsolódó feladatait. Ennek megfelelően a tantárgy tudományközi ismeretek széles körét kívánja egyetlen célfüggvény mentén szintetizálni és közérthető módon a hallgatók számára átadni.</w:t>
      </w:r>
    </w:p>
    <w:p w:rsidR="00BB49B3" w:rsidRPr="001F0529" w:rsidRDefault="00BB49B3" w:rsidP="00BB49B3">
      <w:pPr>
        <w:widowControl w:val="0"/>
        <w:spacing w:before="60" w:after="60" w:line="240" w:lineRule="auto"/>
        <w:ind w:left="426"/>
        <w:jc w:val="both"/>
        <w:rPr>
          <w:rFonts w:ascii="Times New Roman" w:eastAsia="Times New Roman" w:hAnsi="Times New Roman" w:cs="Times New Roman"/>
          <w:bCs/>
          <w:lang w:val="en-GB"/>
        </w:rPr>
      </w:pPr>
      <w:r w:rsidRPr="001F0529">
        <w:rPr>
          <w:rFonts w:ascii="Times New Roman" w:eastAsia="Times New Roman" w:hAnsi="Times New Roman" w:cs="Times New Roman"/>
          <w:b/>
          <w:bCs/>
        </w:rPr>
        <w:t>A tantárgy szakmai tartalma (angolul) (</w:t>
      </w:r>
      <w:r w:rsidRPr="001F0529">
        <w:rPr>
          <w:rFonts w:ascii="Times New Roman" w:eastAsia="Times New Roman" w:hAnsi="Times New Roman" w:cs="Times New Roman"/>
          <w:b/>
          <w:bCs/>
          <w:lang w:val="en-US"/>
        </w:rPr>
        <w:t>Course description</w:t>
      </w:r>
      <w:r w:rsidRPr="001F0529">
        <w:rPr>
          <w:rFonts w:ascii="Times New Roman" w:eastAsia="Times New Roman" w:hAnsi="Times New Roman" w:cs="Times New Roman"/>
          <w:b/>
          <w:bCs/>
        </w:rPr>
        <w:t xml:space="preserve">): </w:t>
      </w:r>
      <w:r w:rsidRPr="00977D93">
        <w:rPr>
          <w:rFonts w:ascii="Times New Roman" w:eastAsia="Times New Roman" w:hAnsi="Times New Roman" w:cs="Times New Roman"/>
          <w:bCs/>
          <w:noProof/>
        </w:rPr>
        <w:t>The course aims at providing a general introduction to the fundamental social and economic megatrends that are shaping the radical transformation of the natural environment on planet Earth as well as the ensuing global and local transformation and adaptation challenges with a focus on the concomitant responsibilities of governments. To that end the course follows a multidisciplinary approach by with a view to departing a wide range of knowledge blocks synthetized in a concise and easily understandable manner.</w:t>
      </w:r>
      <w:r w:rsidRPr="001F0529">
        <w:rPr>
          <w:rFonts w:ascii="Times New Roman" w:eastAsia="Times New Roman" w:hAnsi="Times New Roman" w:cs="Times New Roman"/>
          <w:bCs/>
          <w:lang w:val="en-GB"/>
        </w:rPr>
        <w:t xml:space="preserve"> </w:t>
      </w:r>
    </w:p>
    <w:p w:rsidR="00BB49B3" w:rsidRPr="00BB49B3" w:rsidRDefault="00BB49B3" w:rsidP="00980876">
      <w:pPr>
        <w:widowControl w:val="0"/>
        <w:numPr>
          <w:ilvl w:val="0"/>
          <w:numId w:val="808"/>
        </w:numPr>
        <w:tabs>
          <w:tab w:val="num" w:pos="720"/>
        </w:tabs>
        <w:spacing w:before="60" w:after="60" w:line="240" w:lineRule="auto"/>
        <w:ind w:left="714" w:hanging="357"/>
        <w:contextualSpacing/>
        <w:jc w:val="both"/>
        <w:rPr>
          <w:rFonts w:ascii="Times New Roman" w:eastAsia="Times New Roman" w:hAnsi="Times New Roman" w:cs="Times New Roman"/>
          <w:bCs/>
        </w:rPr>
      </w:pPr>
      <w:r w:rsidRPr="001F0529">
        <w:rPr>
          <w:rFonts w:ascii="Times New Roman" w:eastAsia="Times New Roman" w:hAnsi="Times New Roman" w:cs="Times New Roman"/>
          <w:b/>
          <w:bCs/>
        </w:rPr>
        <w:t xml:space="preserve">Elérendő kompetenciák (magyarul): </w:t>
      </w:r>
    </w:p>
    <w:p w:rsidR="00BB49B3" w:rsidRPr="00BB49B3" w:rsidRDefault="00BB49B3" w:rsidP="00BB49B3">
      <w:pPr>
        <w:widowControl w:val="0"/>
        <w:spacing w:before="60" w:after="60" w:line="240" w:lineRule="auto"/>
        <w:ind w:left="714"/>
        <w:contextualSpacing/>
        <w:jc w:val="both"/>
        <w:rPr>
          <w:rFonts w:ascii="Times New Roman" w:eastAsia="Times New Roman" w:hAnsi="Times New Roman" w:cs="Times New Roman"/>
          <w:bCs/>
          <w:sz w:val="14"/>
        </w:rPr>
      </w:pPr>
    </w:p>
    <w:p w:rsidR="00BB49B3" w:rsidRPr="001F0529" w:rsidRDefault="00BB49B3" w:rsidP="00BB49B3">
      <w:pPr>
        <w:widowControl w:val="0"/>
        <w:spacing w:before="60" w:after="60" w:line="240" w:lineRule="auto"/>
        <w:ind w:left="425"/>
        <w:jc w:val="both"/>
        <w:rPr>
          <w:rFonts w:ascii="Times New Roman" w:eastAsia="Times New Roman" w:hAnsi="Times New Roman" w:cs="Times New Roman"/>
          <w:bCs/>
        </w:rPr>
      </w:pPr>
      <w:r w:rsidRPr="001F0529">
        <w:rPr>
          <w:rFonts w:ascii="Times New Roman" w:eastAsia="Times New Roman" w:hAnsi="Times New Roman" w:cs="Times New Roman"/>
          <w:b/>
          <w:bCs/>
        </w:rPr>
        <w:t>Tudása:</w:t>
      </w:r>
      <w:r w:rsidRPr="001F0529">
        <w:rPr>
          <w:rFonts w:ascii="Times New Roman" w:eastAsia="Times New Roman" w:hAnsi="Times New Roman" w:cs="Times New Roman"/>
          <w:bCs/>
        </w:rPr>
        <w:t xml:space="preserve"> </w:t>
      </w:r>
      <w:r w:rsidRPr="00977D93">
        <w:rPr>
          <w:rFonts w:ascii="Times New Roman" w:eastAsia="Times New Roman" w:hAnsi="Times New Roman" w:cs="Times New Roman"/>
          <w:bCs/>
          <w:noProof/>
        </w:rPr>
        <w:t>ismeri a világ meghatározó környezeti, gazdasági és társadalmi folyamatait, átlátja az ebből fakadó globális veszélyeket, kihívásokat és lehetőségeket. Tisztában van a fenntartható fejlődés fogalmával, fő mérőszámaival, nemzetközi dimenzióval. Ismeri az állam fenntartható fejlődéssel kapcsolatos feladatait, eszköztárát, a fenntarthatóságra irányuló állami cselekvés intézményi és jogi kereteit.</w:t>
      </w:r>
    </w:p>
    <w:p w:rsidR="00BB49B3" w:rsidRPr="001F0529" w:rsidRDefault="00BB49B3" w:rsidP="00BB49B3">
      <w:pPr>
        <w:widowControl w:val="0"/>
        <w:spacing w:before="60" w:after="60" w:line="240" w:lineRule="auto"/>
        <w:ind w:left="426"/>
        <w:jc w:val="both"/>
        <w:rPr>
          <w:rFonts w:ascii="Times New Roman" w:eastAsia="Times New Roman" w:hAnsi="Times New Roman" w:cs="Times New Roman"/>
          <w:bCs/>
        </w:rPr>
      </w:pPr>
      <w:r w:rsidRPr="001F0529">
        <w:rPr>
          <w:rFonts w:ascii="Times New Roman" w:eastAsia="Times New Roman" w:hAnsi="Times New Roman" w:cs="Times New Roman"/>
          <w:b/>
          <w:bCs/>
        </w:rPr>
        <w:t>Képességei:</w:t>
      </w:r>
      <w:r w:rsidRPr="001F0529">
        <w:rPr>
          <w:rFonts w:ascii="Times New Roman" w:eastAsia="Times New Roman" w:hAnsi="Times New Roman" w:cs="Times New Roman"/>
          <w:bCs/>
        </w:rPr>
        <w:t xml:space="preserve"> </w:t>
      </w:r>
      <w:r w:rsidRPr="00977D93">
        <w:rPr>
          <w:rFonts w:ascii="Times New Roman" w:eastAsia="Times New Roman" w:hAnsi="Times New Roman" w:cs="Times New Roman"/>
          <w:bCs/>
          <w:noProof/>
        </w:rPr>
        <w:t>Képes átlátni és azonosítani a jövőbeni igazgatási, hivatásrendi tevékenysége kapcsán releváns megatrendeket és azokat hivatali tevékenysége keretei között értelmezni. Képes az összetett fenntarthatósági kihívások szélesebb kontextusát felismerni, ideértve különös tekintettel a más igazgatási ágak, hivatásrendek feladatkörébe tartozó feladatokat.</w:t>
      </w:r>
      <w:r w:rsidRPr="001F0529">
        <w:rPr>
          <w:rFonts w:ascii="Times New Roman" w:eastAsia="Times New Roman" w:hAnsi="Times New Roman" w:cs="Times New Roman"/>
          <w:bCs/>
        </w:rPr>
        <w:t xml:space="preserve"> </w:t>
      </w:r>
    </w:p>
    <w:p w:rsidR="00BB49B3" w:rsidRPr="001F0529" w:rsidRDefault="00BB49B3" w:rsidP="00BB49B3">
      <w:pPr>
        <w:widowControl w:val="0"/>
        <w:spacing w:before="60" w:after="60" w:line="240" w:lineRule="auto"/>
        <w:ind w:left="426"/>
        <w:jc w:val="both"/>
        <w:rPr>
          <w:rFonts w:ascii="Times New Roman" w:eastAsia="Times New Roman" w:hAnsi="Times New Roman" w:cs="Times New Roman"/>
          <w:bCs/>
        </w:rPr>
      </w:pPr>
      <w:r w:rsidRPr="001F0529">
        <w:rPr>
          <w:rFonts w:ascii="Times New Roman" w:eastAsia="Times New Roman" w:hAnsi="Times New Roman" w:cs="Times New Roman"/>
          <w:b/>
          <w:bCs/>
        </w:rPr>
        <w:t>Attitűdje:</w:t>
      </w:r>
      <w:r w:rsidRPr="001F0529">
        <w:rPr>
          <w:rFonts w:ascii="Times New Roman" w:eastAsia="Times New Roman" w:hAnsi="Times New Roman" w:cs="Times New Roman"/>
          <w:bCs/>
        </w:rPr>
        <w:t xml:space="preserve"> </w:t>
      </w:r>
      <w:r w:rsidRPr="00977D93">
        <w:rPr>
          <w:rFonts w:ascii="Times New Roman" w:eastAsia="Times New Roman" w:hAnsi="Times New Roman" w:cs="Times New Roman"/>
          <w:bCs/>
          <w:noProof/>
        </w:rPr>
        <w:t xml:space="preserve">Figyelemmel van a fenntartható fejlődéssel kapcsolatos kihívások és feladatok összetettségére, rendszer szintű kapcsolataira. Ennek megfelelően nemcsak az egyedi probléma gyors megoldására törekszik, hanem igyekszik a probléma eredetét is megismerni, továbbá más igazgatási ágak, hivatásrendek feladatait és lehetőségeit is azonosítani. Együttműködik más </w:t>
      </w:r>
      <w:r w:rsidRPr="00977D93">
        <w:rPr>
          <w:rFonts w:ascii="Times New Roman" w:eastAsia="Times New Roman" w:hAnsi="Times New Roman" w:cs="Times New Roman"/>
          <w:bCs/>
          <w:noProof/>
        </w:rPr>
        <w:lastRenderedPageBreak/>
        <w:t>igazgatási ágak képviselőivel.</w:t>
      </w:r>
    </w:p>
    <w:p w:rsidR="00BB49B3" w:rsidRPr="001F0529" w:rsidRDefault="00BB49B3" w:rsidP="00BB49B3">
      <w:pPr>
        <w:widowControl w:val="0"/>
        <w:spacing w:before="60" w:after="60" w:line="240" w:lineRule="auto"/>
        <w:ind w:left="426"/>
        <w:jc w:val="both"/>
        <w:rPr>
          <w:rFonts w:ascii="Times New Roman" w:eastAsia="Times New Roman" w:hAnsi="Times New Roman" w:cs="Times New Roman"/>
          <w:bCs/>
        </w:rPr>
      </w:pPr>
      <w:r w:rsidRPr="001F0529">
        <w:rPr>
          <w:rFonts w:ascii="Times New Roman" w:eastAsia="Times New Roman" w:hAnsi="Times New Roman" w:cs="Times New Roman"/>
          <w:b/>
          <w:bCs/>
        </w:rPr>
        <w:t>Autonómiája és felelőssége:</w:t>
      </w:r>
      <w:r w:rsidRPr="001F0529">
        <w:rPr>
          <w:rFonts w:ascii="Times New Roman" w:eastAsia="Times New Roman" w:hAnsi="Times New Roman" w:cs="Times New Roman"/>
          <w:bCs/>
        </w:rPr>
        <w:t xml:space="preserve"> </w:t>
      </w:r>
      <w:r w:rsidRPr="00977D93">
        <w:rPr>
          <w:rFonts w:ascii="Times New Roman" w:eastAsia="Times New Roman" w:hAnsi="Times New Roman" w:cs="Times New Roman"/>
          <w:bCs/>
          <w:noProof/>
        </w:rPr>
        <w:t>Saját, mások és az általa irányított szervezet munkáját önállóan, kellő felelősséggel tervezi, szervezi, irányítja, ellenőrzi. A szakterületéhez kapcsolódóan megfelelő áttekintő-, rendszerező-, rendszerszemléletű képességgel rendelkezik.</w:t>
      </w:r>
    </w:p>
    <w:p w:rsidR="00BB49B3" w:rsidRPr="001F0529" w:rsidRDefault="00BB49B3" w:rsidP="00BB49B3">
      <w:pPr>
        <w:widowControl w:val="0"/>
        <w:spacing w:before="60" w:after="60" w:line="240" w:lineRule="auto"/>
        <w:ind w:left="426"/>
        <w:jc w:val="both"/>
        <w:rPr>
          <w:rFonts w:ascii="Times New Roman" w:eastAsia="Times New Roman" w:hAnsi="Times New Roman" w:cs="Times New Roman"/>
          <w:b/>
          <w:bCs/>
          <w:lang w:val="en-US"/>
        </w:rPr>
      </w:pPr>
      <w:r w:rsidRPr="001F0529">
        <w:rPr>
          <w:rFonts w:ascii="Times New Roman" w:eastAsia="Times New Roman" w:hAnsi="Times New Roman" w:cs="Times New Roman"/>
          <w:b/>
          <w:bCs/>
        </w:rPr>
        <w:t>Elérendő kompetenciák (angolul) (</w:t>
      </w:r>
      <w:r w:rsidRPr="001F0529">
        <w:rPr>
          <w:rFonts w:ascii="Times New Roman" w:eastAsia="Times New Roman" w:hAnsi="Times New Roman" w:cs="Times New Roman"/>
          <w:b/>
          <w:bCs/>
          <w:lang w:val="en-US"/>
        </w:rPr>
        <w:t xml:space="preserve">Competences – English): </w:t>
      </w:r>
    </w:p>
    <w:p w:rsidR="00BB49B3" w:rsidRPr="001F0529" w:rsidRDefault="00BB49B3" w:rsidP="00BB49B3">
      <w:pPr>
        <w:widowControl w:val="0"/>
        <w:spacing w:before="60" w:after="60" w:line="240" w:lineRule="auto"/>
        <w:ind w:left="426"/>
        <w:jc w:val="both"/>
        <w:rPr>
          <w:rFonts w:ascii="Times New Roman" w:eastAsia="Times New Roman" w:hAnsi="Times New Roman" w:cs="Times New Roman"/>
          <w:lang w:val="en-GB"/>
        </w:rPr>
      </w:pPr>
      <w:r w:rsidRPr="001F0529">
        <w:rPr>
          <w:rFonts w:ascii="Times New Roman" w:eastAsia="Times New Roman" w:hAnsi="Times New Roman" w:cs="Times New Roman"/>
          <w:b/>
          <w:lang w:val="en-GB"/>
        </w:rPr>
        <w:t>Knowledge</w:t>
      </w:r>
      <w:r w:rsidRPr="001F0529">
        <w:rPr>
          <w:rFonts w:ascii="Times New Roman" w:eastAsia="Times New Roman" w:hAnsi="Times New Roman" w:cs="Times New Roman"/>
          <w:lang w:val="en-GB"/>
        </w:rPr>
        <w:t xml:space="preserve">: </w:t>
      </w:r>
      <w:r w:rsidRPr="00977D93">
        <w:rPr>
          <w:rFonts w:ascii="Times New Roman" w:eastAsia="Times New Roman" w:hAnsi="Times New Roman" w:cs="Times New Roman"/>
          <w:bCs/>
          <w:noProof/>
        </w:rPr>
        <w:t>The student would become familiar with the major environmental, economic and social megatrends of the world as well as the ensuing global risks, challenges and opportunities. The student would have a solid understanding of the notion of sustainability, the major indicators and the international dimensions of sustainability. He/she would have a robust knowledge of the role of governments in sustainable development, together with the administrative and legal toolkits, structure and institutions.</w:t>
      </w:r>
    </w:p>
    <w:p w:rsidR="00BB49B3" w:rsidRPr="001F0529" w:rsidRDefault="00BB49B3" w:rsidP="00BB49B3">
      <w:pPr>
        <w:widowControl w:val="0"/>
        <w:spacing w:before="60" w:after="60" w:line="240" w:lineRule="auto"/>
        <w:ind w:left="426"/>
        <w:jc w:val="both"/>
        <w:rPr>
          <w:rFonts w:ascii="Times New Roman" w:eastAsia="Times New Roman" w:hAnsi="Times New Roman" w:cs="Times New Roman"/>
          <w:lang w:val="en-GB"/>
        </w:rPr>
      </w:pPr>
      <w:r w:rsidRPr="001F0529">
        <w:rPr>
          <w:rFonts w:ascii="Times New Roman" w:eastAsia="Times New Roman" w:hAnsi="Times New Roman" w:cs="Times New Roman"/>
          <w:b/>
          <w:lang w:val="en-GB"/>
        </w:rPr>
        <w:t>Capabilities</w:t>
      </w:r>
      <w:r w:rsidRPr="001F0529">
        <w:rPr>
          <w:rFonts w:ascii="Times New Roman" w:eastAsia="Times New Roman" w:hAnsi="Times New Roman" w:cs="Times New Roman"/>
          <w:lang w:val="en-GB"/>
        </w:rPr>
        <w:t xml:space="preserve">: </w:t>
      </w:r>
      <w:r w:rsidRPr="00977D93">
        <w:rPr>
          <w:rFonts w:ascii="Times New Roman" w:eastAsia="Times New Roman" w:hAnsi="Times New Roman" w:cs="Times New Roman"/>
          <w:bCs/>
          <w:noProof/>
        </w:rPr>
        <w:t>The student would be capable of understanding and identifying the megatrends relevant for his/her future professional activities. He/she would be able to recognise the broader context of complex sustainability challenges, including tasks belonging to other branches of administration.</w:t>
      </w:r>
    </w:p>
    <w:p w:rsidR="00BB49B3" w:rsidRPr="001F0529" w:rsidRDefault="00BB49B3" w:rsidP="00BB4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240" w:lineRule="auto"/>
        <w:ind w:left="425"/>
        <w:jc w:val="both"/>
        <w:rPr>
          <w:rFonts w:ascii="Times New Roman" w:eastAsia="Times New Roman" w:hAnsi="Times New Roman" w:cs="Times New Roman"/>
          <w:lang w:val="en-GB"/>
        </w:rPr>
      </w:pPr>
      <w:r w:rsidRPr="001F0529">
        <w:rPr>
          <w:rFonts w:ascii="Times New Roman" w:eastAsia="Times New Roman" w:hAnsi="Times New Roman" w:cs="Times New Roman"/>
          <w:b/>
          <w:lang w:val="en-GB"/>
        </w:rPr>
        <w:t>Attitude:</w:t>
      </w:r>
      <w:r w:rsidRPr="001F0529">
        <w:rPr>
          <w:rFonts w:ascii="Times New Roman" w:eastAsia="Times New Roman" w:hAnsi="Times New Roman" w:cs="Times New Roman"/>
          <w:lang w:val="en-GB"/>
        </w:rPr>
        <w:t xml:space="preserve"> </w:t>
      </w:r>
      <w:r w:rsidRPr="00977D93">
        <w:rPr>
          <w:rFonts w:ascii="Times New Roman" w:eastAsia="Times New Roman" w:hAnsi="Times New Roman" w:cs="Times New Roman"/>
          <w:bCs/>
          <w:noProof/>
        </w:rPr>
        <w:t>The student would direct attention to the complexities of sustainability challenges and tasks as well as their systemic interlinkages. To that end he/she would not only try to solve isolated, individual issues but would also aim to discover the root problem as well as to identify the relevant tasks and opportunities of other branches of government. The student would cooperate with his/her counterparts in other branches of government.</w:t>
      </w:r>
    </w:p>
    <w:p w:rsidR="00BB49B3" w:rsidRPr="001F0529" w:rsidRDefault="00BB49B3" w:rsidP="00BB49B3">
      <w:pPr>
        <w:widowControl w:val="0"/>
        <w:spacing w:before="60" w:after="60" w:line="240" w:lineRule="auto"/>
        <w:ind w:left="426"/>
        <w:jc w:val="both"/>
        <w:rPr>
          <w:rFonts w:ascii="Times New Roman" w:eastAsia="Times New Roman" w:hAnsi="Times New Roman" w:cs="Times New Roman"/>
          <w:lang w:val="en-GB"/>
        </w:rPr>
      </w:pPr>
      <w:r w:rsidRPr="001F0529">
        <w:rPr>
          <w:rFonts w:ascii="Times New Roman" w:eastAsia="Times New Roman" w:hAnsi="Times New Roman" w:cs="Times New Roman"/>
          <w:b/>
          <w:lang w:val="en-GB"/>
        </w:rPr>
        <w:t xml:space="preserve">Autonomy and responsibility: </w:t>
      </w:r>
      <w:r w:rsidRPr="00977D93">
        <w:rPr>
          <w:rFonts w:ascii="Times New Roman" w:eastAsia="Times New Roman" w:hAnsi="Times New Roman" w:cs="Times New Roman"/>
          <w:bCs/>
          <w:noProof/>
        </w:rPr>
        <w:t>The student would organise his/her work with responsibility and autonomy as well as manage, direct and control the activities of those under his/her supervision. The student would develop comprehensive, systemic and systematic approach to his/her work.</w:t>
      </w:r>
    </w:p>
    <w:p w:rsidR="00BB49B3" w:rsidRPr="001F0529" w:rsidRDefault="00BB49B3" w:rsidP="00980876">
      <w:pPr>
        <w:widowControl w:val="0"/>
        <w:numPr>
          <w:ilvl w:val="0"/>
          <w:numId w:val="808"/>
        </w:numPr>
        <w:tabs>
          <w:tab w:val="num" w:pos="567"/>
          <w:tab w:val="num" w:pos="720"/>
        </w:tabs>
        <w:spacing w:before="60" w:after="60" w:line="240" w:lineRule="auto"/>
        <w:ind w:left="426" w:hanging="142"/>
        <w:jc w:val="both"/>
        <w:rPr>
          <w:rFonts w:ascii="Times New Roman" w:eastAsia="Times New Roman" w:hAnsi="Times New Roman" w:cs="Times New Roman"/>
          <w:bCs/>
        </w:rPr>
      </w:pPr>
      <w:r w:rsidRPr="001F0529">
        <w:rPr>
          <w:rFonts w:ascii="Times New Roman" w:eastAsia="Times New Roman" w:hAnsi="Times New Roman" w:cs="Times New Roman"/>
          <w:b/>
          <w:bCs/>
        </w:rPr>
        <w:t xml:space="preserve">Előtanulmányi követelmények: </w:t>
      </w:r>
      <w:r w:rsidRPr="00977D93">
        <w:rPr>
          <w:rFonts w:ascii="Times New Roman" w:eastAsia="Times New Roman" w:hAnsi="Times New Roman" w:cs="Times New Roman"/>
          <w:bCs/>
          <w:noProof/>
        </w:rPr>
        <w:t>-</w:t>
      </w:r>
      <w:r w:rsidRPr="001F0529">
        <w:rPr>
          <w:rFonts w:ascii="Times New Roman" w:eastAsia="Times New Roman" w:hAnsi="Times New Roman" w:cs="Times New Roman"/>
          <w:bCs/>
        </w:rPr>
        <w:t xml:space="preserve"> </w:t>
      </w:r>
    </w:p>
    <w:p w:rsidR="00BB49B3" w:rsidRPr="001F0529" w:rsidRDefault="00BB49B3" w:rsidP="00980876">
      <w:pPr>
        <w:widowControl w:val="0"/>
        <w:numPr>
          <w:ilvl w:val="0"/>
          <w:numId w:val="808"/>
        </w:numPr>
        <w:tabs>
          <w:tab w:val="num" w:pos="720"/>
        </w:tabs>
        <w:spacing w:before="60" w:after="60" w:line="240" w:lineRule="auto"/>
        <w:ind w:left="426" w:hanging="142"/>
        <w:jc w:val="both"/>
        <w:rPr>
          <w:rFonts w:ascii="Times New Roman" w:eastAsia="Times New Roman" w:hAnsi="Times New Roman" w:cs="Times New Roman"/>
          <w:b/>
          <w:bCs/>
        </w:rPr>
      </w:pPr>
      <w:r w:rsidRPr="001F0529">
        <w:rPr>
          <w:rFonts w:ascii="Times New Roman" w:eastAsia="Times New Roman" w:hAnsi="Times New Roman" w:cs="Times New Roman"/>
          <w:b/>
          <w:bCs/>
        </w:rPr>
        <w:t>A tantárgy tananyagának leírása, tematika. Description of the subject, curriculum (magyarul, angolul - English):</w:t>
      </w:r>
    </w:p>
    <w:p w:rsidR="00BB49B3" w:rsidRPr="00977D93" w:rsidRDefault="00BB49B3" w:rsidP="00980876">
      <w:pPr>
        <w:widowControl w:val="0"/>
        <w:numPr>
          <w:ilvl w:val="1"/>
          <w:numId w:val="808"/>
        </w:numPr>
        <w:tabs>
          <w:tab w:val="left" w:pos="709"/>
          <w:tab w:val="left" w:pos="993"/>
        </w:tabs>
        <w:spacing w:before="60" w:after="60" w:line="240" w:lineRule="auto"/>
        <w:ind w:left="426"/>
        <w:jc w:val="both"/>
        <w:rPr>
          <w:rFonts w:ascii="Times New Roman" w:eastAsia="Times New Roman" w:hAnsi="Times New Roman" w:cs="Times New Roman"/>
          <w:bCs/>
          <w:noProof/>
        </w:rPr>
      </w:pPr>
      <w:r w:rsidRPr="00977D93">
        <w:rPr>
          <w:rFonts w:ascii="Times New Roman" w:eastAsia="Times New Roman" w:hAnsi="Times New Roman" w:cs="Times New Roman"/>
          <w:bCs/>
          <w:noProof/>
        </w:rPr>
        <w:t>Bevezetés: a fenntartható fejlődés kihívása (Introduction: the challenge of sustainable development)</w:t>
      </w:r>
    </w:p>
    <w:p w:rsidR="00BB49B3" w:rsidRPr="00977D93" w:rsidRDefault="00BB49B3" w:rsidP="00BB49B3">
      <w:pPr>
        <w:widowControl w:val="0"/>
        <w:tabs>
          <w:tab w:val="left" w:pos="993"/>
          <w:tab w:val="num" w:pos="3977"/>
        </w:tabs>
        <w:spacing w:before="60" w:after="60" w:line="240" w:lineRule="auto"/>
        <w:ind w:left="426"/>
        <w:jc w:val="both"/>
        <w:rPr>
          <w:rFonts w:ascii="Times New Roman" w:eastAsia="Times New Roman" w:hAnsi="Times New Roman" w:cs="Times New Roman"/>
          <w:bCs/>
          <w:noProof/>
        </w:rPr>
      </w:pPr>
      <w:r w:rsidRPr="00977D93">
        <w:rPr>
          <w:rFonts w:ascii="Times New Roman" w:eastAsia="Times New Roman" w:hAnsi="Times New Roman" w:cs="Times New Roman"/>
          <w:bCs/>
          <w:noProof/>
        </w:rPr>
        <w:t>Válaszutak az emberiség előtt a 21. század kezdetén, gyorsuló megatrendek, világunk radikális átalakulása, a fenntartható fejlődés mint államszervezési és -igazgatási cél. Rendszerelméleti alapismeretek és a földi ökoszisztémák működésére vetítve.</w:t>
      </w:r>
    </w:p>
    <w:p w:rsidR="00BB49B3" w:rsidRPr="00977D93" w:rsidRDefault="00BB49B3" w:rsidP="00BB49B3">
      <w:pPr>
        <w:widowControl w:val="0"/>
        <w:tabs>
          <w:tab w:val="left" w:pos="993"/>
          <w:tab w:val="num" w:pos="3977"/>
        </w:tabs>
        <w:spacing w:before="60" w:after="60" w:line="240" w:lineRule="auto"/>
        <w:ind w:left="-6"/>
        <w:jc w:val="both"/>
        <w:rPr>
          <w:rFonts w:ascii="Times New Roman" w:eastAsia="Times New Roman" w:hAnsi="Times New Roman" w:cs="Times New Roman"/>
          <w:bCs/>
          <w:noProof/>
        </w:rPr>
      </w:pPr>
      <w:r>
        <w:rPr>
          <w:rFonts w:ascii="Times New Roman" w:eastAsia="Times New Roman" w:hAnsi="Times New Roman" w:cs="Times New Roman"/>
          <w:bCs/>
          <w:noProof/>
        </w:rPr>
        <w:tab/>
      </w:r>
      <w:r w:rsidRPr="00977D93">
        <w:rPr>
          <w:rFonts w:ascii="Times New Roman" w:eastAsia="Times New Roman" w:hAnsi="Times New Roman" w:cs="Times New Roman"/>
          <w:bCs/>
          <w:noProof/>
        </w:rPr>
        <w:t>(Nappali: 2. ó. ea, Levelező: 0,5 ó. ea)</w:t>
      </w:r>
    </w:p>
    <w:p w:rsidR="00BB49B3" w:rsidRPr="00977D93" w:rsidRDefault="00BB49B3" w:rsidP="00980876">
      <w:pPr>
        <w:widowControl w:val="0"/>
        <w:numPr>
          <w:ilvl w:val="1"/>
          <w:numId w:val="808"/>
        </w:numPr>
        <w:tabs>
          <w:tab w:val="left" w:pos="709"/>
          <w:tab w:val="left" w:pos="993"/>
        </w:tabs>
        <w:spacing w:before="60" w:after="60" w:line="240" w:lineRule="auto"/>
        <w:ind w:left="426"/>
        <w:jc w:val="both"/>
        <w:rPr>
          <w:rFonts w:ascii="Times New Roman" w:eastAsia="Times New Roman" w:hAnsi="Times New Roman" w:cs="Times New Roman"/>
          <w:bCs/>
          <w:noProof/>
        </w:rPr>
      </w:pPr>
      <w:r w:rsidRPr="00977D93">
        <w:rPr>
          <w:rFonts w:ascii="Times New Roman" w:eastAsia="Times New Roman" w:hAnsi="Times New Roman" w:cs="Times New Roman"/>
          <w:bCs/>
          <w:noProof/>
        </w:rPr>
        <w:t>A 21. század meghatározó folyamatai I. (Megatrends in the 21st century I)</w:t>
      </w:r>
    </w:p>
    <w:p w:rsidR="00BB49B3" w:rsidRPr="00977D93" w:rsidRDefault="00BB49B3" w:rsidP="00BB49B3">
      <w:pPr>
        <w:widowControl w:val="0"/>
        <w:tabs>
          <w:tab w:val="left" w:pos="993"/>
          <w:tab w:val="num" w:pos="3977"/>
        </w:tabs>
        <w:spacing w:before="60" w:after="60" w:line="240" w:lineRule="auto"/>
        <w:ind w:left="426"/>
        <w:jc w:val="both"/>
        <w:rPr>
          <w:rFonts w:ascii="Times New Roman" w:eastAsia="Times New Roman" w:hAnsi="Times New Roman" w:cs="Times New Roman"/>
          <w:bCs/>
          <w:noProof/>
        </w:rPr>
      </w:pPr>
      <w:r w:rsidRPr="00977D93">
        <w:rPr>
          <w:rFonts w:ascii="Times New Roman" w:eastAsia="Times New Roman" w:hAnsi="Times New Roman" w:cs="Times New Roman"/>
          <w:bCs/>
          <w:noProof/>
        </w:rPr>
        <w:t>A természeti környezet állapotromlását előidéző megatrendek (népességrobbanás, zöld forradalom, urbanizáció, gazdasági globalizáció, ipari forradalmak), az Antropocén és a „Nagy gyorsulás” fogalma, világunk átalakulásának elhelyezése a földtörténeti skálán.</w:t>
      </w:r>
    </w:p>
    <w:p w:rsidR="00BB49B3" w:rsidRPr="00977D93" w:rsidRDefault="00BB49B3" w:rsidP="00BB49B3">
      <w:pPr>
        <w:widowControl w:val="0"/>
        <w:tabs>
          <w:tab w:val="left" w:pos="993"/>
          <w:tab w:val="num" w:pos="3977"/>
        </w:tabs>
        <w:spacing w:before="60" w:after="60" w:line="240" w:lineRule="auto"/>
        <w:ind w:left="-6"/>
        <w:jc w:val="both"/>
        <w:rPr>
          <w:rFonts w:ascii="Times New Roman" w:eastAsia="Times New Roman" w:hAnsi="Times New Roman" w:cs="Times New Roman"/>
          <w:bCs/>
          <w:noProof/>
        </w:rPr>
      </w:pPr>
      <w:r>
        <w:rPr>
          <w:rFonts w:ascii="Times New Roman" w:eastAsia="Times New Roman" w:hAnsi="Times New Roman" w:cs="Times New Roman"/>
          <w:bCs/>
          <w:noProof/>
        </w:rPr>
        <w:tab/>
      </w:r>
      <w:r w:rsidRPr="00977D93">
        <w:rPr>
          <w:rFonts w:ascii="Times New Roman" w:eastAsia="Times New Roman" w:hAnsi="Times New Roman" w:cs="Times New Roman"/>
          <w:bCs/>
          <w:noProof/>
        </w:rPr>
        <w:t>(Nappali: 2. ó. ea, Levelező: 0,5 ó. ea)</w:t>
      </w:r>
    </w:p>
    <w:p w:rsidR="00BB49B3" w:rsidRPr="00977D93" w:rsidRDefault="00BB49B3" w:rsidP="00980876">
      <w:pPr>
        <w:widowControl w:val="0"/>
        <w:numPr>
          <w:ilvl w:val="1"/>
          <w:numId w:val="808"/>
        </w:numPr>
        <w:tabs>
          <w:tab w:val="left" w:pos="709"/>
          <w:tab w:val="left" w:pos="993"/>
        </w:tabs>
        <w:spacing w:before="60" w:after="60" w:line="240" w:lineRule="auto"/>
        <w:ind w:left="426"/>
        <w:jc w:val="both"/>
        <w:rPr>
          <w:rFonts w:ascii="Times New Roman" w:eastAsia="Times New Roman" w:hAnsi="Times New Roman" w:cs="Times New Roman"/>
          <w:bCs/>
          <w:noProof/>
        </w:rPr>
      </w:pPr>
      <w:r w:rsidRPr="00977D93">
        <w:rPr>
          <w:rFonts w:ascii="Times New Roman" w:eastAsia="Times New Roman" w:hAnsi="Times New Roman" w:cs="Times New Roman"/>
          <w:bCs/>
          <w:noProof/>
        </w:rPr>
        <w:t>A 21. század meghatározó folyamatai II. (Megatrends in the 21st century II)</w:t>
      </w:r>
    </w:p>
    <w:p w:rsidR="00BB49B3" w:rsidRPr="00977D93" w:rsidRDefault="00BB49B3" w:rsidP="00BB49B3">
      <w:pPr>
        <w:widowControl w:val="0"/>
        <w:tabs>
          <w:tab w:val="left" w:pos="993"/>
          <w:tab w:val="num" w:pos="3977"/>
        </w:tabs>
        <w:spacing w:before="60" w:after="60" w:line="240" w:lineRule="auto"/>
        <w:ind w:left="426"/>
        <w:jc w:val="both"/>
        <w:rPr>
          <w:rFonts w:ascii="Times New Roman" w:eastAsia="Times New Roman" w:hAnsi="Times New Roman" w:cs="Times New Roman"/>
          <w:bCs/>
          <w:noProof/>
        </w:rPr>
      </w:pPr>
      <w:r w:rsidRPr="00977D93">
        <w:rPr>
          <w:rFonts w:ascii="Times New Roman" w:eastAsia="Times New Roman" w:hAnsi="Times New Roman" w:cs="Times New Roman"/>
          <w:bCs/>
          <w:noProof/>
        </w:rPr>
        <w:t>A megatrendek környezeti hatásai (éghajlatváltozás, biológiai sokféleség csökkenése, vízválság, a tengerek állapotának romlása, talajpusztulás, környezetegészségügyi hatások), társadalmi-gazdasági hatások (jövedelmi különbségek növekedése, globális középosztály kiemelkedése, perifériák leszakadása, a társadalmi szerepek, mechanizmusok és értékrend változása).</w:t>
      </w:r>
    </w:p>
    <w:p w:rsidR="00BB49B3" w:rsidRPr="00977D93" w:rsidRDefault="00BB49B3" w:rsidP="00BB49B3">
      <w:pPr>
        <w:widowControl w:val="0"/>
        <w:tabs>
          <w:tab w:val="left" w:pos="993"/>
          <w:tab w:val="num" w:pos="3977"/>
        </w:tabs>
        <w:spacing w:before="60" w:after="60" w:line="240" w:lineRule="auto"/>
        <w:ind w:left="-6"/>
        <w:jc w:val="both"/>
        <w:rPr>
          <w:rFonts w:ascii="Times New Roman" w:eastAsia="Times New Roman" w:hAnsi="Times New Roman" w:cs="Times New Roman"/>
          <w:bCs/>
          <w:noProof/>
        </w:rPr>
      </w:pPr>
      <w:r>
        <w:rPr>
          <w:rFonts w:ascii="Times New Roman" w:eastAsia="Times New Roman" w:hAnsi="Times New Roman" w:cs="Times New Roman"/>
          <w:bCs/>
          <w:noProof/>
        </w:rPr>
        <w:tab/>
      </w:r>
      <w:r w:rsidRPr="00977D93">
        <w:rPr>
          <w:rFonts w:ascii="Times New Roman" w:eastAsia="Times New Roman" w:hAnsi="Times New Roman" w:cs="Times New Roman"/>
          <w:bCs/>
          <w:noProof/>
        </w:rPr>
        <w:t>(Nappali: 2. ó. ea, Levelező: 0,5 ó. ea)</w:t>
      </w:r>
    </w:p>
    <w:p w:rsidR="00BB49B3" w:rsidRPr="00977D93" w:rsidRDefault="00BB49B3" w:rsidP="00980876">
      <w:pPr>
        <w:widowControl w:val="0"/>
        <w:numPr>
          <w:ilvl w:val="1"/>
          <w:numId w:val="808"/>
        </w:numPr>
        <w:tabs>
          <w:tab w:val="left" w:pos="709"/>
          <w:tab w:val="left" w:pos="993"/>
        </w:tabs>
        <w:spacing w:before="60" w:after="60" w:line="240" w:lineRule="auto"/>
        <w:ind w:left="426"/>
        <w:jc w:val="both"/>
        <w:rPr>
          <w:rFonts w:ascii="Times New Roman" w:eastAsia="Times New Roman" w:hAnsi="Times New Roman" w:cs="Times New Roman"/>
          <w:bCs/>
          <w:noProof/>
        </w:rPr>
      </w:pPr>
      <w:r w:rsidRPr="00977D93">
        <w:rPr>
          <w:rFonts w:ascii="Times New Roman" w:eastAsia="Times New Roman" w:hAnsi="Times New Roman" w:cs="Times New Roman"/>
          <w:bCs/>
          <w:noProof/>
        </w:rPr>
        <w:t>A fenntartható fejlődés fogalma, mérőszámai, elmélete (The notion, theories and indices of sustainable development)</w:t>
      </w:r>
    </w:p>
    <w:p w:rsidR="00BB49B3" w:rsidRPr="00977D93" w:rsidRDefault="00BB49B3" w:rsidP="00BB49B3">
      <w:pPr>
        <w:widowControl w:val="0"/>
        <w:tabs>
          <w:tab w:val="left" w:pos="993"/>
          <w:tab w:val="num" w:pos="3977"/>
        </w:tabs>
        <w:spacing w:before="60" w:after="60" w:line="240" w:lineRule="auto"/>
        <w:ind w:left="426"/>
        <w:jc w:val="both"/>
        <w:rPr>
          <w:rFonts w:ascii="Times New Roman" w:eastAsia="Times New Roman" w:hAnsi="Times New Roman" w:cs="Times New Roman"/>
          <w:bCs/>
          <w:noProof/>
        </w:rPr>
      </w:pPr>
      <w:r w:rsidRPr="00977D93">
        <w:rPr>
          <w:rFonts w:ascii="Times New Roman" w:eastAsia="Times New Roman" w:hAnsi="Times New Roman" w:cs="Times New Roman"/>
          <w:bCs/>
          <w:noProof/>
        </w:rPr>
        <w:t>Történeti háttér, a fenntartható fejlődés fogalmának értelmezési lehetőségei: erős v. gyenge fenntarthatóság, a fenntarthatóság mérőszámai. Megoldási javaslatok: ökológiai gazdaságtan, társadalmi innováció és szemléletváltás, technológiai fejlődés. A fenntartható fejlődés etikai vonatkozásai.</w:t>
      </w:r>
    </w:p>
    <w:p w:rsidR="00BB49B3" w:rsidRPr="00977D93" w:rsidRDefault="00BB49B3" w:rsidP="00BB49B3">
      <w:pPr>
        <w:widowControl w:val="0"/>
        <w:tabs>
          <w:tab w:val="left" w:pos="993"/>
          <w:tab w:val="num" w:pos="3977"/>
        </w:tabs>
        <w:spacing w:before="60" w:after="60" w:line="240" w:lineRule="auto"/>
        <w:ind w:left="426"/>
        <w:jc w:val="both"/>
        <w:rPr>
          <w:rFonts w:ascii="Times New Roman" w:eastAsia="Times New Roman" w:hAnsi="Times New Roman" w:cs="Times New Roman"/>
          <w:bCs/>
          <w:noProof/>
        </w:rPr>
      </w:pPr>
      <w:r w:rsidRPr="00977D93">
        <w:rPr>
          <w:rFonts w:ascii="Times New Roman" w:eastAsia="Times New Roman" w:hAnsi="Times New Roman" w:cs="Times New Roman"/>
          <w:bCs/>
          <w:noProof/>
        </w:rPr>
        <w:t>(Nappali: 2. ó. ea, Levelező: 0,5 ó. ea)</w:t>
      </w:r>
    </w:p>
    <w:p w:rsidR="00BB49B3" w:rsidRPr="00977D93" w:rsidRDefault="00BB49B3" w:rsidP="00980876">
      <w:pPr>
        <w:widowControl w:val="0"/>
        <w:numPr>
          <w:ilvl w:val="1"/>
          <w:numId w:val="808"/>
        </w:numPr>
        <w:tabs>
          <w:tab w:val="left" w:pos="709"/>
          <w:tab w:val="left" w:pos="993"/>
        </w:tabs>
        <w:spacing w:before="60" w:after="60" w:line="240" w:lineRule="auto"/>
        <w:ind w:left="426"/>
        <w:jc w:val="both"/>
        <w:rPr>
          <w:rFonts w:ascii="Times New Roman" w:eastAsia="Times New Roman" w:hAnsi="Times New Roman" w:cs="Times New Roman"/>
          <w:bCs/>
          <w:noProof/>
        </w:rPr>
      </w:pPr>
      <w:r w:rsidRPr="00977D93">
        <w:rPr>
          <w:rFonts w:ascii="Times New Roman" w:eastAsia="Times New Roman" w:hAnsi="Times New Roman" w:cs="Times New Roman"/>
          <w:bCs/>
          <w:noProof/>
        </w:rPr>
        <w:lastRenderedPageBreak/>
        <w:t>A fenntartható fejlődés nemzetközi vonatkozásai (The international dimensions of sustainable development)</w:t>
      </w:r>
    </w:p>
    <w:p w:rsidR="00BB49B3" w:rsidRPr="00977D93" w:rsidRDefault="00BB49B3" w:rsidP="00BB49B3">
      <w:pPr>
        <w:widowControl w:val="0"/>
        <w:tabs>
          <w:tab w:val="left" w:pos="993"/>
          <w:tab w:val="num" w:pos="3977"/>
        </w:tabs>
        <w:spacing w:before="60" w:after="60" w:line="240" w:lineRule="auto"/>
        <w:ind w:left="426"/>
        <w:jc w:val="both"/>
        <w:rPr>
          <w:rFonts w:ascii="Times New Roman" w:eastAsia="Times New Roman" w:hAnsi="Times New Roman" w:cs="Times New Roman"/>
          <w:bCs/>
          <w:noProof/>
        </w:rPr>
      </w:pPr>
      <w:r w:rsidRPr="00977D93">
        <w:rPr>
          <w:rFonts w:ascii="Times New Roman" w:eastAsia="Times New Roman" w:hAnsi="Times New Roman" w:cs="Times New Roman"/>
          <w:bCs/>
          <w:noProof/>
        </w:rPr>
        <w:t xml:space="preserve">A ENSZ mint a globális fenntarthatósági törekvések motorja: a Stockholmi Konferencia, Brundtland-jelentés, Riói Konferencia, Johannesburgi Konferencia, a Millenniumi Fejlesztési Konferencia, Rió + 20, az ENSZ 2030-ig szóló fejlesztési programja (fenntartható fejlesztési célok), intézményrendszer, a nemzetközi környezetjog fejlesztése. Fenntarthatóság az Európai Unióban, az EU környezetvédelmi és tágabb fenntarthatósági programjai és jogszabályai. A nemkormányzati szervezetek nemzetközi tevékenysége. </w:t>
      </w:r>
    </w:p>
    <w:p w:rsidR="00BB49B3" w:rsidRPr="00977D93" w:rsidRDefault="00BB49B3" w:rsidP="00BB49B3">
      <w:pPr>
        <w:widowControl w:val="0"/>
        <w:tabs>
          <w:tab w:val="left" w:pos="993"/>
          <w:tab w:val="num" w:pos="3977"/>
        </w:tabs>
        <w:spacing w:before="60" w:after="60" w:line="240" w:lineRule="auto"/>
        <w:ind w:left="426"/>
        <w:jc w:val="both"/>
        <w:rPr>
          <w:rFonts w:ascii="Times New Roman" w:eastAsia="Times New Roman" w:hAnsi="Times New Roman" w:cs="Times New Roman"/>
          <w:bCs/>
          <w:noProof/>
        </w:rPr>
      </w:pPr>
      <w:r w:rsidRPr="00977D93">
        <w:rPr>
          <w:rFonts w:ascii="Times New Roman" w:eastAsia="Times New Roman" w:hAnsi="Times New Roman" w:cs="Times New Roman"/>
          <w:bCs/>
          <w:noProof/>
        </w:rPr>
        <w:t>(Nappali: 2. ó. ea, Levelező: 1 ó. ea)</w:t>
      </w:r>
    </w:p>
    <w:p w:rsidR="00BB49B3" w:rsidRPr="00977D93" w:rsidRDefault="00BB49B3" w:rsidP="00980876">
      <w:pPr>
        <w:widowControl w:val="0"/>
        <w:numPr>
          <w:ilvl w:val="1"/>
          <w:numId w:val="808"/>
        </w:numPr>
        <w:tabs>
          <w:tab w:val="left" w:pos="709"/>
          <w:tab w:val="left" w:pos="993"/>
        </w:tabs>
        <w:spacing w:before="60" w:after="60" w:line="240" w:lineRule="auto"/>
        <w:ind w:left="426"/>
        <w:jc w:val="both"/>
        <w:rPr>
          <w:rFonts w:ascii="Times New Roman" w:eastAsia="Times New Roman" w:hAnsi="Times New Roman" w:cs="Times New Roman"/>
          <w:bCs/>
          <w:noProof/>
        </w:rPr>
      </w:pPr>
      <w:r w:rsidRPr="00977D93">
        <w:rPr>
          <w:rFonts w:ascii="Times New Roman" w:eastAsia="Times New Roman" w:hAnsi="Times New Roman" w:cs="Times New Roman"/>
          <w:bCs/>
          <w:noProof/>
        </w:rPr>
        <w:t>A fenntartható fejlődés közgazdaságtana (The economics of sustainable development)</w:t>
      </w:r>
    </w:p>
    <w:p w:rsidR="00BB49B3" w:rsidRPr="00977D93" w:rsidRDefault="00BB49B3" w:rsidP="00BB49B3">
      <w:pPr>
        <w:widowControl w:val="0"/>
        <w:tabs>
          <w:tab w:val="left" w:pos="993"/>
          <w:tab w:val="num" w:pos="3977"/>
        </w:tabs>
        <w:spacing w:before="60" w:after="60" w:line="240" w:lineRule="auto"/>
        <w:ind w:left="426"/>
        <w:jc w:val="both"/>
        <w:rPr>
          <w:rFonts w:ascii="Times New Roman" w:eastAsia="Times New Roman" w:hAnsi="Times New Roman" w:cs="Times New Roman"/>
          <w:bCs/>
          <w:noProof/>
        </w:rPr>
      </w:pPr>
      <w:r w:rsidRPr="00977D93">
        <w:rPr>
          <w:rFonts w:ascii="Times New Roman" w:eastAsia="Times New Roman" w:hAnsi="Times New Roman" w:cs="Times New Roman"/>
          <w:bCs/>
          <w:noProof/>
        </w:rPr>
        <w:t xml:space="preserve">Piaci kudarcok és a környezeti probléma, az állam környezetvédelmi célú beavatkozásának közgazdasági célrendszere, fenntarthatóság a magyar államháztartás rendszerében, az Európai Unió támogatáspolitikája. </w:t>
      </w:r>
    </w:p>
    <w:p w:rsidR="00BB49B3" w:rsidRPr="00977D93" w:rsidRDefault="00BB49B3" w:rsidP="00BB49B3">
      <w:pPr>
        <w:widowControl w:val="0"/>
        <w:tabs>
          <w:tab w:val="left" w:pos="993"/>
          <w:tab w:val="num" w:pos="3977"/>
        </w:tabs>
        <w:spacing w:before="60" w:after="60" w:line="240" w:lineRule="auto"/>
        <w:ind w:left="426"/>
        <w:jc w:val="both"/>
        <w:rPr>
          <w:rFonts w:ascii="Times New Roman" w:eastAsia="Times New Roman" w:hAnsi="Times New Roman" w:cs="Times New Roman"/>
          <w:bCs/>
          <w:noProof/>
        </w:rPr>
      </w:pPr>
      <w:r w:rsidRPr="00977D93">
        <w:rPr>
          <w:rFonts w:ascii="Times New Roman" w:eastAsia="Times New Roman" w:hAnsi="Times New Roman" w:cs="Times New Roman"/>
          <w:bCs/>
          <w:noProof/>
        </w:rPr>
        <w:t>(Nappali: 2. ó. ea, Levelező: 1 ó. ea)</w:t>
      </w:r>
    </w:p>
    <w:p w:rsidR="00BB49B3" w:rsidRPr="00977D93" w:rsidRDefault="00BB49B3" w:rsidP="00980876">
      <w:pPr>
        <w:widowControl w:val="0"/>
        <w:numPr>
          <w:ilvl w:val="1"/>
          <w:numId w:val="808"/>
        </w:numPr>
        <w:tabs>
          <w:tab w:val="left" w:pos="709"/>
          <w:tab w:val="left" w:pos="993"/>
        </w:tabs>
        <w:spacing w:before="60" w:after="60" w:line="240" w:lineRule="auto"/>
        <w:ind w:left="426"/>
        <w:jc w:val="both"/>
        <w:rPr>
          <w:rFonts w:ascii="Times New Roman" w:eastAsia="Times New Roman" w:hAnsi="Times New Roman" w:cs="Times New Roman"/>
          <w:bCs/>
          <w:noProof/>
        </w:rPr>
      </w:pPr>
      <w:r w:rsidRPr="00977D93">
        <w:rPr>
          <w:rFonts w:ascii="Times New Roman" w:eastAsia="Times New Roman" w:hAnsi="Times New Roman" w:cs="Times New Roman"/>
          <w:bCs/>
          <w:noProof/>
        </w:rPr>
        <w:t>Az állam jogalkotó tevékenysége I. (Legislation I)</w:t>
      </w:r>
    </w:p>
    <w:p w:rsidR="00BB49B3" w:rsidRPr="00977D93" w:rsidRDefault="00BB49B3" w:rsidP="00BB49B3">
      <w:pPr>
        <w:widowControl w:val="0"/>
        <w:tabs>
          <w:tab w:val="left" w:pos="993"/>
          <w:tab w:val="num" w:pos="3977"/>
        </w:tabs>
        <w:spacing w:before="60" w:after="60" w:line="240" w:lineRule="auto"/>
        <w:ind w:left="426"/>
        <w:jc w:val="both"/>
        <w:rPr>
          <w:rFonts w:ascii="Times New Roman" w:eastAsia="Times New Roman" w:hAnsi="Times New Roman" w:cs="Times New Roman"/>
          <w:bCs/>
          <w:noProof/>
        </w:rPr>
      </w:pPr>
      <w:r w:rsidRPr="00977D93">
        <w:rPr>
          <w:rFonts w:ascii="Times New Roman" w:eastAsia="Times New Roman" w:hAnsi="Times New Roman" w:cs="Times New Roman"/>
          <w:bCs/>
          <w:noProof/>
        </w:rPr>
        <w:t>Alkotmányjogi alapok, a környezeti jog rendszere és eszközei, a környezeti hatások vizsgálata és a környezetvédelmi engedélyezési eljárások, társadalmi részvétel.</w:t>
      </w:r>
    </w:p>
    <w:p w:rsidR="00BB49B3" w:rsidRPr="00977D93" w:rsidRDefault="00BB49B3" w:rsidP="00BB49B3">
      <w:pPr>
        <w:widowControl w:val="0"/>
        <w:tabs>
          <w:tab w:val="left" w:pos="993"/>
          <w:tab w:val="num" w:pos="3977"/>
        </w:tabs>
        <w:spacing w:before="60" w:after="60" w:line="240" w:lineRule="auto"/>
        <w:ind w:left="426"/>
        <w:jc w:val="both"/>
        <w:rPr>
          <w:rFonts w:ascii="Times New Roman" w:eastAsia="Times New Roman" w:hAnsi="Times New Roman" w:cs="Times New Roman"/>
          <w:bCs/>
          <w:noProof/>
        </w:rPr>
      </w:pPr>
      <w:r w:rsidRPr="00977D93">
        <w:rPr>
          <w:rFonts w:ascii="Times New Roman" w:eastAsia="Times New Roman" w:hAnsi="Times New Roman" w:cs="Times New Roman"/>
          <w:bCs/>
          <w:noProof/>
        </w:rPr>
        <w:t>(Nappali: 2. ó. ea, Levelező: 1 ó. ea)</w:t>
      </w:r>
    </w:p>
    <w:p w:rsidR="00BB49B3" w:rsidRPr="00977D93" w:rsidRDefault="00BB49B3" w:rsidP="00980876">
      <w:pPr>
        <w:widowControl w:val="0"/>
        <w:numPr>
          <w:ilvl w:val="1"/>
          <w:numId w:val="808"/>
        </w:numPr>
        <w:tabs>
          <w:tab w:val="left" w:pos="709"/>
          <w:tab w:val="left" w:pos="993"/>
        </w:tabs>
        <w:spacing w:before="60" w:after="60" w:line="240" w:lineRule="auto"/>
        <w:ind w:left="426"/>
        <w:jc w:val="both"/>
        <w:rPr>
          <w:rFonts w:ascii="Times New Roman" w:eastAsia="Times New Roman" w:hAnsi="Times New Roman" w:cs="Times New Roman"/>
          <w:bCs/>
          <w:noProof/>
        </w:rPr>
      </w:pPr>
      <w:r w:rsidRPr="00977D93">
        <w:rPr>
          <w:rFonts w:ascii="Times New Roman" w:eastAsia="Times New Roman" w:hAnsi="Times New Roman" w:cs="Times New Roman"/>
          <w:bCs/>
          <w:noProof/>
        </w:rPr>
        <w:t>Az állam jogalkotó tevékenysége II. (Legislation II)</w:t>
      </w:r>
    </w:p>
    <w:p w:rsidR="00BB49B3" w:rsidRPr="00977D93" w:rsidRDefault="00BB49B3" w:rsidP="00BB49B3">
      <w:pPr>
        <w:widowControl w:val="0"/>
        <w:tabs>
          <w:tab w:val="left" w:pos="993"/>
          <w:tab w:val="num" w:pos="3977"/>
        </w:tabs>
        <w:spacing w:before="60" w:after="60" w:line="240" w:lineRule="auto"/>
        <w:ind w:left="426"/>
        <w:jc w:val="both"/>
        <w:rPr>
          <w:rFonts w:ascii="Times New Roman" w:eastAsia="Times New Roman" w:hAnsi="Times New Roman" w:cs="Times New Roman"/>
          <w:bCs/>
          <w:noProof/>
        </w:rPr>
      </w:pPr>
      <w:r w:rsidRPr="00977D93">
        <w:rPr>
          <w:rFonts w:ascii="Times New Roman" w:eastAsia="Times New Roman" w:hAnsi="Times New Roman" w:cs="Times New Roman"/>
          <w:bCs/>
          <w:noProof/>
        </w:rPr>
        <w:t>Ágazati környezetvédelmi szabályozás: levegővédelem, zajvédelem, vízvédelem, természetvédelem, hulladékgazdálkodás, éghajlatvédelem. Rokon területi jogszabályok (energia, közlekedés, mezőgazdaság).</w:t>
      </w:r>
    </w:p>
    <w:p w:rsidR="00BB49B3" w:rsidRPr="00977D93" w:rsidRDefault="00BB49B3" w:rsidP="00BB49B3">
      <w:pPr>
        <w:widowControl w:val="0"/>
        <w:tabs>
          <w:tab w:val="left" w:pos="993"/>
          <w:tab w:val="num" w:pos="3977"/>
        </w:tabs>
        <w:spacing w:before="60" w:after="60" w:line="240" w:lineRule="auto"/>
        <w:ind w:left="426"/>
        <w:jc w:val="both"/>
        <w:rPr>
          <w:rFonts w:ascii="Times New Roman" w:eastAsia="Times New Roman" w:hAnsi="Times New Roman" w:cs="Times New Roman"/>
          <w:bCs/>
          <w:noProof/>
        </w:rPr>
      </w:pPr>
      <w:r w:rsidRPr="00977D93">
        <w:rPr>
          <w:rFonts w:ascii="Times New Roman" w:eastAsia="Times New Roman" w:hAnsi="Times New Roman" w:cs="Times New Roman"/>
          <w:bCs/>
          <w:noProof/>
        </w:rPr>
        <w:t>(Nappali: 2. ó. ea, Levelező: 1 ó. ea)</w:t>
      </w:r>
    </w:p>
    <w:p w:rsidR="00BB49B3" w:rsidRPr="00977D93" w:rsidRDefault="00BB49B3" w:rsidP="00980876">
      <w:pPr>
        <w:widowControl w:val="0"/>
        <w:numPr>
          <w:ilvl w:val="1"/>
          <w:numId w:val="808"/>
        </w:numPr>
        <w:tabs>
          <w:tab w:val="left" w:pos="709"/>
          <w:tab w:val="left" w:pos="993"/>
        </w:tabs>
        <w:spacing w:before="60" w:after="60" w:line="240" w:lineRule="auto"/>
        <w:ind w:left="426"/>
        <w:jc w:val="both"/>
        <w:rPr>
          <w:rFonts w:ascii="Times New Roman" w:eastAsia="Times New Roman" w:hAnsi="Times New Roman" w:cs="Times New Roman"/>
          <w:bCs/>
          <w:noProof/>
        </w:rPr>
      </w:pPr>
      <w:r w:rsidRPr="00977D93">
        <w:rPr>
          <w:rFonts w:ascii="Times New Roman" w:eastAsia="Times New Roman" w:hAnsi="Times New Roman" w:cs="Times New Roman"/>
          <w:bCs/>
          <w:noProof/>
        </w:rPr>
        <w:tab/>
        <w:t>Az állam szakpolitika-alkotó és végrehajtó tevékenysége (Policy-making and implementation)</w:t>
      </w:r>
    </w:p>
    <w:p w:rsidR="00BB49B3" w:rsidRPr="00977D93" w:rsidRDefault="00BB49B3" w:rsidP="00BB49B3">
      <w:pPr>
        <w:widowControl w:val="0"/>
        <w:tabs>
          <w:tab w:val="left" w:pos="993"/>
          <w:tab w:val="num" w:pos="3977"/>
        </w:tabs>
        <w:spacing w:before="60" w:after="60" w:line="240" w:lineRule="auto"/>
        <w:ind w:left="426"/>
        <w:jc w:val="both"/>
        <w:rPr>
          <w:rFonts w:ascii="Times New Roman" w:eastAsia="Times New Roman" w:hAnsi="Times New Roman" w:cs="Times New Roman"/>
          <w:bCs/>
          <w:noProof/>
        </w:rPr>
      </w:pPr>
      <w:r w:rsidRPr="00977D93">
        <w:rPr>
          <w:rFonts w:ascii="Times New Roman" w:eastAsia="Times New Roman" w:hAnsi="Times New Roman" w:cs="Times New Roman"/>
          <w:bCs/>
          <w:noProof/>
        </w:rPr>
        <w:t>A fenntarthatósági politikák rendszere Magyarországon: tervek, programok, intézmények. A fenntartható fejlődés közigazgatási intézményrendszere: OGY, kormány, kormányhivatalok, települési önkormányzatok, speciális jogállású szervek.</w:t>
      </w:r>
    </w:p>
    <w:p w:rsidR="00BB49B3" w:rsidRPr="00977D93" w:rsidRDefault="00BB49B3" w:rsidP="00BB49B3">
      <w:pPr>
        <w:widowControl w:val="0"/>
        <w:tabs>
          <w:tab w:val="left" w:pos="993"/>
          <w:tab w:val="num" w:pos="3977"/>
        </w:tabs>
        <w:spacing w:before="60" w:after="60" w:line="240" w:lineRule="auto"/>
        <w:ind w:left="426"/>
        <w:jc w:val="both"/>
        <w:rPr>
          <w:rFonts w:ascii="Times New Roman" w:eastAsia="Times New Roman" w:hAnsi="Times New Roman" w:cs="Times New Roman"/>
          <w:bCs/>
          <w:noProof/>
        </w:rPr>
      </w:pPr>
      <w:r w:rsidRPr="00977D93">
        <w:rPr>
          <w:rFonts w:ascii="Times New Roman" w:eastAsia="Times New Roman" w:hAnsi="Times New Roman" w:cs="Times New Roman"/>
          <w:bCs/>
          <w:noProof/>
        </w:rPr>
        <w:t>(Nappali: 2. ó. ea, Levelező: 1 ó. ea)</w:t>
      </w:r>
    </w:p>
    <w:p w:rsidR="00BB49B3" w:rsidRPr="00977D93" w:rsidRDefault="00BB49B3" w:rsidP="00980876">
      <w:pPr>
        <w:widowControl w:val="0"/>
        <w:numPr>
          <w:ilvl w:val="1"/>
          <w:numId w:val="808"/>
        </w:numPr>
        <w:tabs>
          <w:tab w:val="left" w:pos="709"/>
          <w:tab w:val="left" w:pos="993"/>
        </w:tabs>
        <w:spacing w:before="60" w:after="60" w:line="240" w:lineRule="auto"/>
        <w:ind w:left="426"/>
        <w:jc w:val="both"/>
        <w:rPr>
          <w:rFonts w:ascii="Times New Roman" w:eastAsia="Times New Roman" w:hAnsi="Times New Roman" w:cs="Times New Roman"/>
          <w:bCs/>
          <w:noProof/>
        </w:rPr>
      </w:pPr>
      <w:r w:rsidRPr="00977D93">
        <w:rPr>
          <w:rFonts w:ascii="Times New Roman" w:eastAsia="Times New Roman" w:hAnsi="Times New Roman" w:cs="Times New Roman"/>
          <w:bCs/>
          <w:noProof/>
        </w:rPr>
        <w:tab/>
        <w:t>A települési önkormányzatok szerepe (The role of local governments)</w:t>
      </w:r>
    </w:p>
    <w:p w:rsidR="00BB49B3" w:rsidRPr="00977D93" w:rsidRDefault="00BB49B3" w:rsidP="00BB49B3">
      <w:pPr>
        <w:widowControl w:val="0"/>
        <w:tabs>
          <w:tab w:val="left" w:pos="993"/>
          <w:tab w:val="num" w:pos="3977"/>
        </w:tabs>
        <w:spacing w:before="60" w:after="60" w:line="240" w:lineRule="auto"/>
        <w:ind w:left="426"/>
        <w:jc w:val="both"/>
        <w:rPr>
          <w:rFonts w:ascii="Times New Roman" w:eastAsia="Times New Roman" w:hAnsi="Times New Roman" w:cs="Times New Roman"/>
          <w:bCs/>
          <w:noProof/>
        </w:rPr>
      </w:pPr>
      <w:r w:rsidRPr="00977D93">
        <w:rPr>
          <w:rFonts w:ascii="Times New Roman" w:eastAsia="Times New Roman" w:hAnsi="Times New Roman" w:cs="Times New Roman"/>
          <w:bCs/>
          <w:noProof/>
        </w:rPr>
        <w:t>A települési önkormányzatok feladatai és hatáskörei általában, a településrendezés, a települési környezetvédelmi feladatok és hatáskörök, példák a jó önkormányzati gyakorlatra.</w:t>
      </w:r>
    </w:p>
    <w:p w:rsidR="00BB49B3" w:rsidRPr="00977D93" w:rsidRDefault="00BB49B3" w:rsidP="00BB49B3">
      <w:pPr>
        <w:widowControl w:val="0"/>
        <w:tabs>
          <w:tab w:val="left" w:pos="993"/>
          <w:tab w:val="num" w:pos="3977"/>
        </w:tabs>
        <w:spacing w:before="60" w:after="60" w:line="240" w:lineRule="auto"/>
        <w:ind w:left="426"/>
        <w:jc w:val="both"/>
        <w:rPr>
          <w:rFonts w:ascii="Times New Roman" w:eastAsia="Times New Roman" w:hAnsi="Times New Roman" w:cs="Times New Roman"/>
          <w:bCs/>
          <w:noProof/>
        </w:rPr>
      </w:pPr>
      <w:r w:rsidRPr="00977D93">
        <w:rPr>
          <w:rFonts w:ascii="Times New Roman" w:eastAsia="Times New Roman" w:hAnsi="Times New Roman" w:cs="Times New Roman"/>
          <w:bCs/>
          <w:noProof/>
        </w:rPr>
        <w:t>(Nappali: 2. ó. ea, Levelező: 1 ó. ea)</w:t>
      </w:r>
    </w:p>
    <w:p w:rsidR="00BB49B3" w:rsidRPr="00977D93" w:rsidRDefault="00BB49B3" w:rsidP="00980876">
      <w:pPr>
        <w:widowControl w:val="0"/>
        <w:numPr>
          <w:ilvl w:val="1"/>
          <w:numId w:val="808"/>
        </w:numPr>
        <w:tabs>
          <w:tab w:val="left" w:pos="709"/>
          <w:tab w:val="left" w:pos="993"/>
        </w:tabs>
        <w:spacing w:before="60" w:after="60" w:line="240" w:lineRule="auto"/>
        <w:ind w:left="426"/>
        <w:jc w:val="both"/>
        <w:rPr>
          <w:rFonts w:ascii="Times New Roman" w:eastAsia="Times New Roman" w:hAnsi="Times New Roman" w:cs="Times New Roman"/>
          <w:bCs/>
          <w:noProof/>
        </w:rPr>
      </w:pPr>
      <w:r w:rsidRPr="00977D93">
        <w:rPr>
          <w:rFonts w:ascii="Times New Roman" w:eastAsia="Times New Roman" w:hAnsi="Times New Roman" w:cs="Times New Roman"/>
          <w:bCs/>
          <w:noProof/>
        </w:rPr>
        <w:tab/>
        <w:t>A katasztrófavédelem és a rendőrség feladatai (Responsibilities of the disaster management administration and of the police forces)</w:t>
      </w:r>
    </w:p>
    <w:p w:rsidR="00BB49B3" w:rsidRPr="00977D93" w:rsidRDefault="00BB49B3" w:rsidP="00BB49B3">
      <w:pPr>
        <w:widowControl w:val="0"/>
        <w:tabs>
          <w:tab w:val="left" w:pos="993"/>
          <w:tab w:val="num" w:pos="3977"/>
        </w:tabs>
        <w:spacing w:before="60" w:after="60" w:line="240" w:lineRule="auto"/>
        <w:ind w:left="426"/>
        <w:jc w:val="both"/>
        <w:rPr>
          <w:rFonts w:ascii="Times New Roman" w:eastAsia="Times New Roman" w:hAnsi="Times New Roman" w:cs="Times New Roman"/>
          <w:bCs/>
          <w:noProof/>
        </w:rPr>
      </w:pPr>
      <w:r w:rsidRPr="00977D93">
        <w:rPr>
          <w:rFonts w:ascii="Times New Roman" w:eastAsia="Times New Roman" w:hAnsi="Times New Roman" w:cs="Times New Roman"/>
          <w:bCs/>
          <w:noProof/>
        </w:rPr>
        <w:t>A környezeti problémák katasztrófavédelmi kihívásai, a katasztrófavédelmi igazgatás Magyarországon, a Nemzeti Biztonsági Stratégia, katasztrófavédelmi hatáskörök a fenntarthatóság szolgálatában (polgári védelem, tűzvédelem, iparbiztonság), hatósági hatáskörök, fenntarthatóság érvényesítése a katasztrófavédelemben). A rendőrség szerepe: nyomozóhatósági, szabálysértési hatáskörök, veszélyes eszközök és anyagok használatával kapcsolatos hatáskörök, közlekedésrendészet, határrendészeti feladatok, környezeti veszélyhelyzetekkel kapcsolatos rendőrségi feladatok.</w:t>
      </w:r>
    </w:p>
    <w:p w:rsidR="00BB49B3" w:rsidRPr="00977D93" w:rsidRDefault="00BB49B3" w:rsidP="00BB49B3">
      <w:pPr>
        <w:widowControl w:val="0"/>
        <w:tabs>
          <w:tab w:val="left" w:pos="993"/>
          <w:tab w:val="num" w:pos="3977"/>
        </w:tabs>
        <w:spacing w:before="60" w:after="60" w:line="240" w:lineRule="auto"/>
        <w:ind w:left="426"/>
        <w:jc w:val="both"/>
        <w:rPr>
          <w:rFonts w:ascii="Times New Roman" w:eastAsia="Times New Roman" w:hAnsi="Times New Roman" w:cs="Times New Roman"/>
          <w:bCs/>
          <w:noProof/>
        </w:rPr>
      </w:pPr>
      <w:r w:rsidRPr="00977D93">
        <w:rPr>
          <w:rFonts w:ascii="Times New Roman" w:eastAsia="Times New Roman" w:hAnsi="Times New Roman" w:cs="Times New Roman"/>
          <w:bCs/>
          <w:noProof/>
        </w:rPr>
        <w:t>(Nappali: 2. ó. ea)</w:t>
      </w:r>
    </w:p>
    <w:p w:rsidR="00BB49B3" w:rsidRPr="00977D93" w:rsidRDefault="00BB49B3" w:rsidP="00980876">
      <w:pPr>
        <w:widowControl w:val="0"/>
        <w:numPr>
          <w:ilvl w:val="1"/>
          <w:numId w:val="808"/>
        </w:numPr>
        <w:tabs>
          <w:tab w:val="left" w:pos="709"/>
          <w:tab w:val="left" w:pos="993"/>
        </w:tabs>
        <w:spacing w:before="60" w:after="60" w:line="240" w:lineRule="auto"/>
        <w:ind w:left="426"/>
        <w:jc w:val="both"/>
        <w:rPr>
          <w:rFonts w:ascii="Times New Roman" w:eastAsia="Times New Roman" w:hAnsi="Times New Roman" w:cs="Times New Roman"/>
          <w:bCs/>
          <w:noProof/>
        </w:rPr>
      </w:pPr>
      <w:r w:rsidRPr="00977D93">
        <w:rPr>
          <w:rFonts w:ascii="Times New Roman" w:eastAsia="Times New Roman" w:hAnsi="Times New Roman" w:cs="Times New Roman"/>
          <w:bCs/>
          <w:noProof/>
        </w:rPr>
        <w:t>Honvédség és a fenntartható fejlődés (Sustainable development and the armed forces)</w:t>
      </w:r>
    </w:p>
    <w:p w:rsidR="00BB49B3" w:rsidRPr="00977D93" w:rsidRDefault="00BB49B3" w:rsidP="00BB49B3">
      <w:pPr>
        <w:widowControl w:val="0"/>
        <w:tabs>
          <w:tab w:val="left" w:pos="993"/>
          <w:tab w:val="num" w:pos="3977"/>
        </w:tabs>
        <w:spacing w:before="60" w:after="60" w:line="240" w:lineRule="auto"/>
        <w:ind w:left="426"/>
        <w:jc w:val="both"/>
        <w:rPr>
          <w:rFonts w:ascii="Times New Roman" w:eastAsia="Times New Roman" w:hAnsi="Times New Roman" w:cs="Times New Roman"/>
          <w:bCs/>
          <w:noProof/>
        </w:rPr>
      </w:pPr>
      <w:r w:rsidRPr="00977D93">
        <w:rPr>
          <w:rFonts w:ascii="Times New Roman" w:eastAsia="Times New Roman" w:hAnsi="Times New Roman" w:cs="Times New Roman"/>
          <w:bCs/>
          <w:noProof/>
        </w:rPr>
        <w:t>Új biztonságpolitikai kihívások (természeti erőforrásokkal kapcsolatos nemzetközi katonai konfliktusok, belső instabilitás, migráció), a hadsereg szerepe a környezeti katasztrófákkal kapcsolatos feladatok, a környezteti konfliktusok környezeti hatásai, a hadsereg működésének fenntarthatósága.</w:t>
      </w:r>
    </w:p>
    <w:p w:rsidR="00BB49B3" w:rsidRPr="00977D93" w:rsidRDefault="00BB49B3" w:rsidP="00BB49B3">
      <w:pPr>
        <w:widowControl w:val="0"/>
        <w:tabs>
          <w:tab w:val="left" w:pos="993"/>
          <w:tab w:val="num" w:pos="3977"/>
        </w:tabs>
        <w:spacing w:before="60" w:after="60" w:line="240" w:lineRule="auto"/>
        <w:ind w:left="426"/>
        <w:jc w:val="both"/>
        <w:rPr>
          <w:rFonts w:ascii="Times New Roman" w:eastAsia="Times New Roman" w:hAnsi="Times New Roman" w:cs="Times New Roman"/>
          <w:bCs/>
          <w:noProof/>
        </w:rPr>
      </w:pPr>
      <w:r w:rsidRPr="00977D93">
        <w:rPr>
          <w:rFonts w:ascii="Times New Roman" w:eastAsia="Times New Roman" w:hAnsi="Times New Roman" w:cs="Times New Roman"/>
          <w:bCs/>
          <w:noProof/>
        </w:rPr>
        <w:t>(Nappali: 2. ó. ea)</w:t>
      </w:r>
    </w:p>
    <w:p w:rsidR="00BB49B3" w:rsidRPr="00977D93" w:rsidRDefault="00BB49B3" w:rsidP="00980876">
      <w:pPr>
        <w:widowControl w:val="0"/>
        <w:numPr>
          <w:ilvl w:val="1"/>
          <w:numId w:val="808"/>
        </w:numPr>
        <w:tabs>
          <w:tab w:val="left" w:pos="709"/>
          <w:tab w:val="left" w:pos="993"/>
        </w:tabs>
        <w:spacing w:before="60" w:after="60" w:line="240" w:lineRule="auto"/>
        <w:ind w:left="426"/>
        <w:jc w:val="both"/>
        <w:rPr>
          <w:rFonts w:ascii="Times New Roman" w:eastAsia="Times New Roman" w:hAnsi="Times New Roman" w:cs="Times New Roman"/>
          <w:bCs/>
          <w:noProof/>
        </w:rPr>
      </w:pPr>
      <w:r w:rsidRPr="00977D93">
        <w:rPr>
          <w:rFonts w:ascii="Times New Roman" w:eastAsia="Times New Roman" w:hAnsi="Times New Roman" w:cs="Times New Roman"/>
          <w:bCs/>
          <w:noProof/>
        </w:rPr>
        <w:lastRenderedPageBreak/>
        <w:t>Ágazati kihívások és válaszok Magyarországon I. (Sectoral challenges and responses in Hungary)</w:t>
      </w:r>
    </w:p>
    <w:p w:rsidR="00BB49B3" w:rsidRPr="00977D93" w:rsidRDefault="00BB49B3" w:rsidP="00BB49B3">
      <w:pPr>
        <w:widowControl w:val="0"/>
        <w:tabs>
          <w:tab w:val="left" w:pos="993"/>
          <w:tab w:val="num" w:pos="3977"/>
        </w:tabs>
        <w:spacing w:before="60" w:after="60" w:line="240" w:lineRule="auto"/>
        <w:ind w:left="426"/>
        <w:jc w:val="both"/>
        <w:rPr>
          <w:rFonts w:ascii="Times New Roman" w:eastAsia="Times New Roman" w:hAnsi="Times New Roman" w:cs="Times New Roman"/>
          <w:bCs/>
          <w:noProof/>
        </w:rPr>
      </w:pPr>
      <w:r w:rsidRPr="00977D93">
        <w:rPr>
          <w:rFonts w:ascii="Times New Roman" w:eastAsia="Times New Roman" w:hAnsi="Times New Roman" w:cs="Times New Roman"/>
          <w:bCs/>
          <w:noProof/>
        </w:rPr>
        <w:t>Éghajlatváltozás, energia, mezőgazdaság, vízgazdálkodás, Hulladékgazdálkodás, közlekedéspolitikai, szociálpolitika.</w:t>
      </w:r>
    </w:p>
    <w:p w:rsidR="00BB49B3" w:rsidRPr="00977D93" w:rsidRDefault="00BB49B3" w:rsidP="00BB49B3">
      <w:pPr>
        <w:widowControl w:val="0"/>
        <w:tabs>
          <w:tab w:val="left" w:pos="993"/>
          <w:tab w:val="num" w:pos="3977"/>
        </w:tabs>
        <w:spacing w:before="60" w:after="60" w:line="240" w:lineRule="auto"/>
        <w:ind w:left="426"/>
        <w:jc w:val="both"/>
        <w:rPr>
          <w:rFonts w:ascii="Times New Roman" w:eastAsia="Times New Roman" w:hAnsi="Times New Roman" w:cs="Times New Roman"/>
          <w:bCs/>
          <w:noProof/>
        </w:rPr>
      </w:pPr>
      <w:r w:rsidRPr="00977D93">
        <w:rPr>
          <w:rFonts w:ascii="Times New Roman" w:eastAsia="Times New Roman" w:hAnsi="Times New Roman" w:cs="Times New Roman"/>
          <w:bCs/>
          <w:noProof/>
        </w:rPr>
        <w:t>(Nappali: 2. ó. ea)</w:t>
      </w:r>
    </w:p>
    <w:p w:rsidR="00BB49B3" w:rsidRPr="00977D93" w:rsidRDefault="00BB49B3" w:rsidP="00980876">
      <w:pPr>
        <w:widowControl w:val="0"/>
        <w:numPr>
          <w:ilvl w:val="1"/>
          <w:numId w:val="808"/>
        </w:numPr>
        <w:tabs>
          <w:tab w:val="left" w:pos="709"/>
          <w:tab w:val="left" w:pos="993"/>
        </w:tabs>
        <w:spacing w:before="60" w:after="60" w:line="240" w:lineRule="auto"/>
        <w:ind w:left="426"/>
        <w:jc w:val="both"/>
        <w:rPr>
          <w:rFonts w:ascii="Times New Roman" w:eastAsia="Times New Roman" w:hAnsi="Times New Roman" w:cs="Times New Roman"/>
          <w:bCs/>
          <w:noProof/>
        </w:rPr>
      </w:pPr>
      <w:r w:rsidRPr="00977D93">
        <w:rPr>
          <w:rFonts w:ascii="Times New Roman" w:eastAsia="Times New Roman" w:hAnsi="Times New Roman" w:cs="Times New Roman"/>
          <w:bCs/>
          <w:noProof/>
        </w:rPr>
        <w:tab/>
        <w:t>Az egyén szerepe – mit tehetek én? (The role of the individual in sustainable development)</w:t>
      </w:r>
    </w:p>
    <w:p w:rsidR="00BB49B3" w:rsidRPr="00977D93" w:rsidRDefault="00BB49B3" w:rsidP="00BB49B3">
      <w:pPr>
        <w:widowControl w:val="0"/>
        <w:tabs>
          <w:tab w:val="left" w:pos="993"/>
          <w:tab w:val="num" w:pos="3977"/>
        </w:tabs>
        <w:spacing w:before="60" w:after="60" w:line="240" w:lineRule="auto"/>
        <w:ind w:left="284"/>
        <w:jc w:val="both"/>
        <w:rPr>
          <w:rFonts w:ascii="Times New Roman" w:eastAsia="Times New Roman" w:hAnsi="Times New Roman" w:cs="Times New Roman"/>
          <w:bCs/>
          <w:noProof/>
        </w:rPr>
      </w:pPr>
      <w:r w:rsidRPr="00977D93">
        <w:rPr>
          <w:rFonts w:ascii="Times New Roman" w:eastAsia="Times New Roman" w:hAnsi="Times New Roman" w:cs="Times New Roman"/>
          <w:bCs/>
          <w:noProof/>
        </w:rPr>
        <w:t>Szemléletformálás, öntevékenység, oktatás. Mindennapi cselekvési lehetőségek.</w:t>
      </w:r>
    </w:p>
    <w:p w:rsidR="00BB49B3" w:rsidRPr="001F0529" w:rsidRDefault="00BB49B3" w:rsidP="00BB49B3">
      <w:pPr>
        <w:widowControl w:val="0"/>
        <w:tabs>
          <w:tab w:val="left" w:pos="993"/>
          <w:tab w:val="num" w:pos="3977"/>
        </w:tabs>
        <w:spacing w:before="60" w:after="60" w:line="240" w:lineRule="auto"/>
        <w:ind w:left="284"/>
        <w:jc w:val="both"/>
        <w:rPr>
          <w:rFonts w:ascii="Times New Roman" w:eastAsia="Times New Roman" w:hAnsi="Times New Roman" w:cs="Times New Roman"/>
          <w:b/>
        </w:rPr>
      </w:pPr>
      <w:r w:rsidRPr="00977D93">
        <w:rPr>
          <w:rFonts w:ascii="Times New Roman" w:eastAsia="Times New Roman" w:hAnsi="Times New Roman" w:cs="Times New Roman"/>
          <w:bCs/>
          <w:noProof/>
        </w:rPr>
        <w:t>(Nappali: 2. ó. ea)</w:t>
      </w:r>
      <w:r w:rsidRPr="001F0529">
        <w:rPr>
          <w:rFonts w:ascii="Times New Roman" w:eastAsia="Times New Roman" w:hAnsi="Times New Roman" w:cs="Times New Roman"/>
          <w:b/>
        </w:rPr>
        <w:t xml:space="preserve"> </w:t>
      </w:r>
    </w:p>
    <w:p w:rsidR="00BB49B3" w:rsidRPr="001F0529" w:rsidRDefault="00BB49B3" w:rsidP="00980876">
      <w:pPr>
        <w:widowControl w:val="0"/>
        <w:numPr>
          <w:ilvl w:val="0"/>
          <w:numId w:val="808"/>
        </w:numPr>
        <w:tabs>
          <w:tab w:val="num" w:pos="720"/>
        </w:tabs>
        <w:spacing w:before="60" w:after="60" w:line="240" w:lineRule="auto"/>
        <w:ind w:left="426" w:hanging="142"/>
        <w:jc w:val="both"/>
        <w:rPr>
          <w:rFonts w:ascii="Times New Roman" w:eastAsia="Times New Roman" w:hAnsi="Times New Roman" w:cs="Times New Roman"/>
          <w:bCs/>
        </w:rPr>
      </w:pPr>
      <w:r w:rsidRPr="001F0529">
        <w:rPr>
          <w:rFonts w:ascii="Times New Roman" w:eastAsia="Times New Roman" w:hAnsi="Times New Roman" w:cs="Times New Roman"/>
          <w:b/>
          <w:bCs/>
        </w:rPr>
        <w:t xml:space="preserve">A tantárgy meghirdetésének gyakorisága/a tantervben történő félévi elhelyezkedése: </w:t>
      </w:r>
      <w:r w:rsidR="00FF7AEB" w:rsidRPr="00FF7AEB">
        <w:rPr>
          <w:rFonts w:ascii="Times New Roman" w:eastAsia="Times New Roman" w:hAnsi="Times New Roman" w:cs="Times New Roman"/>
          <w:bCs/>
          <w:noProof/>
          <w:highlight w:val="yellow"/>
        </w:rPr>
        <w:t>4</w:t>
      </w:r>
      <w:r w:rsidRPr="00FF7AEB">
        <w:rPr>
          <w:rFonts w:ascii="Times New Roman" w:eastAsia="Times New Roman" w:hAnsi="Times New Roman" w:cs="Times New Roman"/>
          <w:bCs/>
          <w:noProof/>
          <w:highlight w:val="yellow"/>
        </w:rPr>
        <w:t>.</w:t>
      </w:r>
      <w:r w:rsidRPr="00FF7AEB">
        <w:rPr>
          <w:rFonts w:ascii="Times New Roman" w:eastAsia="Times New Roman" w:hAnsi="Times New Roman" w:cs="Times New Roman"/>
          <w:bCs/>
          <w:highlight w:val="yellow"/>
        </w:rPr>
        <w:t xml:space="preserve"> félév</w:t>
      </w:r>
    </w:p>
    <w:p w:rsidR="00BB49B3" w:rsidRPr="001F0529" w:rsidRDefault="00BB49B3" w:rsidP="00980876">
      <w:pPr>
        <w:widowControl w:val="0"/>
        <w:numPr>
          <w:ilvl w:val="0"/>
          <w:numId w:val="808"/>
        </w:numPr>
        <w:tabs>
          <w:tab w:val="num" w:pos="720"/>
        </w:tabs>
        <w:spacing w:before="60" w:after="60" w:line="240" w:lineRule="auto"/>
        <w:ind w:left="426" w:hanging="142"/>
        <w:jc w:val="both"/>
        <w:rPr>
          <w:rFonts w:ascii="Times New Roman" w:eastAsia="Times New Roman" w:hAnsi="Times New Roman" w:cs="Times New Roman"/>
          <w:bCs/>
        </w:rPr>
      </w:pPr>
      <w:r w:rsidRPr="001F0529">
        <w:rPr>
          <w:rFonts w:ascii="Times New Roman" w:eastAsia="Times New Roman" w:hAnsi="Times New Roman" w:cs="Times New Roman"/>
          <w:b/>
          <w:bCs/>
        </w:rPr>
        <w:t>A tanórákon való részvétel követelményei, az elfogadható hiányzások mértéke, a távolmaradás pótlásának lehetősége:</w:t>
      </w:r>
    </w:p>
    <w:p w:rsidR="00BB49B3" w:rsidRPr="001F0529" w:rsidRDefault="00BB49B3" w:rsidP="00BB49B3">
      <w:pPr>
        <w:widowControl w:val="0"/>
        <w:spacing w:before="60" w:after="60" w:line="240" w:lineRule="auto"/>
        <w:ind w:left="426"/>
        <w:jc w:val="both"/>
        <w:rPr>
          <w:rFonts w:ascii="Times New Roman" w:eastAsia="Times New Roman" w:hAnsi="Times New Roman" w:cs="Times New Roman"/>
          <w:bCs/>
        </w:rPr>
      </w:pPr>
      <w:r w:rsidRPr="00977D93">
        <w:rPr>
          <w:rFonts w:ascii="Times New Roman" w:eastAsia="Times New Roman" w:hAnsi="Times New Roman" w:cs="Times New Roman"/>
          <w:bCs/>
          <w:noProof/>
        </w:rPr>
        <w:t>A hallgatónak a tanórák legalább 70 %-án jelen kell lennie, 30 % ot meghaladó hiányzás esetén a félév teljesítése nem irható alá. A hallgató köteles az előadás anyagát beszerezni, abból önállóan felkészülni.</w:t>
      </w:r>
    </w:p>
    <w:p w:rsidR="00BB49B3" w:rsidRPr="001F0529" w:rsidRDefault="00BB49B3" w:rsidP="00980876">
      <w:pPr>
        <w:widowControl w:val="0"/>
        <w:numPr>
          <w:ilvl w:val="0"/>
          <w:numId w:val="808"/>
        </w:numPr>
        <w:tabs>
          <w:tab w:val="num" w:pos="720"/>
        </w:tabs>
        <w:spacing w:before="60" w:after="60" w:line="240" w:lineRule="auto"/>
        <w:ind w:left="426" w:hanging="142"/>
        <w:jc w:val="both"/>
        <w:rPr>
          <w:rFonts w:ascii="Times New Roman" w:eastAsia="Times New Roman" w:hAnsi="Times New Roman" w:cs="Times New Roman"/>
          <w:bCs/>
        </w:rPr>
      </w:pPr>
      <w:r w:rsidRPr="001F0529">
        <w:rPr>
          <w:rFonts w:ascii="Times New Roman" w:eastAsia="Times New Roman" w:hAnsi="Times New Roman" w:cs="Times New Roman"/>
          <w:b/>
        </w:rPr>
        <w:t>Félévközi feladatok, ismeretek ellenőrzésének rendje:</w:t>
      </w:r>
    </w:p>
    <w:p w:rsidR="00BB49B3" w:rsidRPr="001F0529" w:rsidRDefault="00BB49B3" w:rsidP="00BB49B3">
      <w:pPr>
        <w:widowControl w:val="0"/>
        <w:spacing w:before="60" w:after="60" w:line="240" w:lineRule="auto"/>
        <w:ind w:left="426"/>
        <w:jc w:val="both"/>
        <w:rPr>
          <w:rFonts w:ascii="Times New Roman" w:eastAsia="Times New Roman" w:hAnsi="Times New Roman" w:cs="Times New Roman"/>
          <w:bCs/>
        </w:rPr>
      </w:pPr>
      <w:r w:rsidRPr="00977D93">
        <w:rPr>
          <w:rFonts w:ascii="Times New Roman" w:eastAsia="Times New Roman" w:hAnsi="Times New Roman" w:cs="Times New Roman"/>
          <w:bCs/>
          <w:noProof/>
        </w:rPr>
        <w:t>A kurzusok a félév végén kollokviummal záródnak.</w:t>
      </w:r>
    </w:p>
    <w:p w:rsidR="00BB49B3" w:rsidRPr="001F0529" w:rsidRDefault="00BB49B3" w:rsidP="00980876">
      <w:pPr>
        <w:widowControl w:val="0"/>
        <w:numPr>
          <w:ilvl w:val="0"/>
          <w:numId w:val="808"/>
        </w:numPr>
        <w:tabs>
          <w:tab w:val="num" w:pos="720"/>
        </w:tabs>
        <w:spacing w:before="60" w:after="60" w:line="240" w:lineRule="auto"/>
        <w:ind w:left="426" w:hanging="142"/>
        <w:jc w:val="both"/>
        <w:rPr>
          <w:rFonts w:ascii="Times New Roman" w:eastAsia="Times New Roman" w:hAnsi="Times New Roman" w:cs="Times New Roman"/>
          <w:b/>
          <w:bCs/>
        </w:rPr>
      </w:pPr>
      <w:r w:rsidRPr="001F0529">
        <w:rPr>
          <w:rFonts w:ascii="Times New Roman" w:eastAsia="Times New Roman" w:hAnsi="Times New Roman" w:cs="Times New Roman"/>
          <w:b/>
          <w:bCs/>
        </w:rPr>
        <w:t xml:space="preserve">Az értékelés, az aláírás és a kreditek megszerzésének pontos feltételei: </w:t>
      </w:r>
    </w:p>
    <w:p w:rsidR="00BB49B3" w:rsidRPr="001F0529" w:rsidRDefault="00BB49B3" w:rsidP="00980876">
      <w:pPr>
        <w:widowControl w:val="0"/>
        <w:numPr>
          <w:ilvl w:val="1"/>
          <w:numId w:val="808"/>
        </w:numPr>
        <w:tabs>
          <w:tab w:val="left" w:pos="709"/>
          <w:tab w:val="left" w:pos="993"/>
        </w:tabs>
        <w:spacing w:before="60" w:after="60" w:line="240" w:lineRule="auto"/>
        <w:ind w:left="426"/>
        <w:jc w:val="both"/>
        <w:rPr>
          <w:rFonts w:ascii="Times New Roman" w:eastAsia="Times New Roman" w:hAnsi="Times New Roman" w:cs="Times New Roman"/>
        </w:rPr>
      </w:pPr>
      <w:r w:rsidRPr="001F0529">
        <w:rPr>
          <w:rFonts w:ascii="Times New Roman" w:eastAsia="Times New Roman" w:hAnsi="Times New Roman" w:cs="Times New Roman"/>
          <w:b/>
        </w:rPr>
        <w:t>Az aláírás megszerzésének feltételei:</w:t>
      </w:r>
    </w:p>
    <w:p w:rsidR="00BB49B3" w:rsidRPr="001F0529" w:rsidRDefault="00BB49B3" w:rsidP="00BB49B3">
      <w:pPr>
        <w:widowControl w:val="0"/>
        <w:tabs>
          <w:tab w:val="left" w:pos="993"/>
        </w:tabs>
        <w:spacing w:before="60" w:after="60" w:line="240" w:lineRule="auto"/>
        <w:ind w:left="426"/>
        <w:jc w:val="both"/>
        <w:rPr>
          <w:rFonts w:ascii="Times New Roman" w:eastAsia="Times New Roman" w:hAnsi="Times New Roman" w:cs="Times New Roman"/>
        </w:rPr>
      </w:pPr>
      <w:r w:rsidRPr="00977D93">
        <w:rPr>
          <w:rFonts w:ascii="Times New Roman" w:eastAsia="Times New Roman" w:hAnsi="Times New Roman" w:cs="Times New Roman"/>
          <w:noProof/>
        </w:rPr>
        <w:t>A tanórákon való részvétel a tematikában meghatározottak szerint.</w:t>
      </w:r>
    </w:p>
    <w:p w:rsidR="00BB49B3" w:rsidRPr="001F0529" w:rsidRDefault="00BB49B3" w:rsidP="00980876">
      <w:pPr>
        <w:widowControl w:val="0"/>
        <w:numPr>
          <w:ilvl w:val="1"/>
          <w:numId w:val="808"/>
        </w:numPr>
        <w:tabs>
          <w:tab w:val="left" w:pos="709"/>
          <w:tab w:val="left" w:pos="993"/>
        </w:tabs>
        <w:spacing w:before="60" w:after="60" w:line="240" w:lineRule="auto"/>
        <w:ind w:left="426"/>
        <w:jc w:val="both"/>
        <w:rPr>
          <w:rFonts w:ascii="Times New Roman" w:eastAsia="Times New Roman" w:hAnsi="Times New Roman" w:cs="Times New Roman"/>
        </w:rPr>
      </w:pPr>
      <w:r w:rsidRPr="001F0529">
        <w:rPr>
          <w:rFonts w:ascii="Times New Roman" w:eastAsia="Times New Roman" w:hAnsi="Times New Roman" w:cs="Times New Roman"/>
          <w:b/>
        </w:rPr>
        <w:t>Az értékelés:</w:t>
      </w:r>
    </w:p>
    <w:p w:rsidR="00BB49B3" w:rsidRPr="001F0529" w:rsidRDefault="00BB49B3" w:rsidP="00BB49B3">
      <w:pPr>
        <w:widowControl w:val="0"/>
        <w:tabs>
          <w:tab w:val="left" w:pos="993"/>
        </w:tabs>
        <w:spacing w:before="60" w:after="60" w:line="240" w:lineRule="auto"/>
        <w:ind w:left="426"/>
        <w:jc w:val="both"/>
        <w:rPr>
          <w:rFonts w:ascii="Times New Roman" w:eastAsia="Times New Roman" w:hAnsi="Times New Roman" w:cs="Times New Roman"/>
        </w:rPr>
      </w:pPr>
      <w:r w:rsidRPr="00977D93">
        <w:rPr>
          <w:rFonts w:ascii="Times New Roman" w:eastAsia="Times New Roman" w:hAnsi="Times New Roman" w:cs="Times New Roman"/>
          <w:noProof/>
        </w:rPr>
        <w:t>Kollokvium (írásbeli), ötfokozatú értékelés, (a helyes válaszok aránya 0-60% elégtelen; 61-70% elégséges; 71-80% közepes; 81-90% jó; 91-100% jeles osztályzat).</w:t>
      </w:r>
    </w:p>
    <w:p w:rsidR="00BB49B3" w:rsidRPr="001F0529" w:rsidRDefault="00BB49B3" w:rsidP="00980876">
      <w:pPr>
        <w:widowControl w:val="0"/>
        <w:numPr>
          <w:ilvl w:val="1"/>
          <w:numId w:val="808"/>
        </w:numPr>
        <w:tabs>
          <w:tab w:val="left" w:pos="709"/>
          <w:tab w:val="left" w:pos="993"/>
        </w:tabs>
        <w:spacing w:before="60" w:after="60" w:line="240" w:lineRule="auto"/>
        <w:ind w:left="426"/>
        <w:jc w:val="both"/>
        <w:rPr>
          <w:rFonts w:ascii="Times New Roman" w:eastAsia="Times New Roman" w:hAnsi="Times New Roman" w:cs="Times New Roman"/>
        </w:rPr>
      </w:pPr>
      <w:r w:rsidRPr="001F0529">
        <w:rPr>
          <w:rFonts w:ascii="Times New Roman" w:eastAsia="Times New Roman" w:hAnsi="Times New Roman" w:cs="Times New Roman"/>
          <w:b/>
        </w:rPr>
        <w:t>A kreditek megszerzésének feltételei:</w:t>
      </w:r>
      <w:r w:rsidRPr="001F0529">
        <w:rPr>
          <w:rFonts w:ascii="Times New Roman" w:eastAsia="Times New Roman" w:hAnsi="Times New Roman" w:cs="Times New Roman"/>
        </w:rPr>
        <w:t xml:space="preserve"> </w:t>
      </w:r>
    </w:p>
    <w:p w:rsidR="00BB49B3" w:rsidRPr="001F0529" w:rsidRDefault="00BB49B3" w:rsidP="00BB49B3">
      <w:pPr>
        <w:widowControl w:val="0"/>
        <w:tabs>
          <w:tab w:val="left" w:pos="993"/>
        </w:tabs>
        <w:spacing w:before="60" w:after="60" w:line="240" w:lineRule="auto"/>
        <w:ind w:left="426"/>
        <w:jc w:val="both"/>
        <w:rPr>
          <w:rFonts w:ascii="Times New Roman" w:eastAsia="Times New Roman" w:hAnsi="Times New Roman" w:cs="Times New Roman"/>
        </w:rPr>
      </w:pPr>
      <w:r w:rsidRPr="001F0529">
        <w:rPr>
          <w:rFonts w:ascii="Times New Roman" w:eastAsia="Times New Roman" w:hAnsi="Times New Roman" w:cs="Times New Roman"/>
        </w:rPr>
        <w:t>A kreditek megszerzésének feltétele az aláírás megszerzése és</w:t>
      </w:r>
      <w:r>
        <w:rPr>
          <w:rFonts w:ascii="Times New Roman" w:eastAsia="Times New Roman" w:hAnsi="Times New Roman" w:cs="Times New Roman"/>
        </w:rPr>
        <w:t xml:space="preserve"> legalább elégséges</w:t>
      </w:r>
      <w:r w:rsidRPr="001F0529">
        <w:rPr>
          <w:rFonts w:ascii="Times New Roman" w:eastAsia="Times New Roman" w:hAnsi="Times New Roman" w:cs="Times New Roman"/>
        </w:rPr>
        <w:t xml:space="preserve"> </w:t>
      </w:r>
      <w:r w:rsidRPr="00977D93">
        <w:rPr>
          <w:rFonts w:ascii="Times New Roman" w:eastAsia="Times New Roman" w:hAnsi="Times New Roman" w:cs="Times New Roman"/>
          <w:noProof/>
        </w:rPr>
        <w:t>kollokvium (K)</w:t>
      </w:r>
      <w:r>
        <w:rPr>
          <w:rFonts w:ascii="Times New Roman" w:eastAsia="Times New Roman" w:hAnsi="Times New Roman" w:cs="Times New Roman"/>
        </w:rPr>
        <w:t>.</w:t>
      </w:r>
    </w:p>
    <w:p w:rsidR="00BB49B3" w:rsidRPr="001F0529" w:rsidRDefault="00BB49B3" w:rsidP="00980876">
      <w:pPr>
        <w:widowControl w:val="0"/>
        <w:numPr>
          <w:ilvl w:val="0"/>
          <w:numId w:val="808"/>
        </w:numPr>
        <w:tabs>
          <w:tab w:val="num" w:pos="720"/>
        </w:tabs>
        <w:spacing w:before="60" w:after="60" w:line="240" w:lineRule="auto"/>
        <w:ind w:left="426" w:hanging="142"/>
        <w:jc w:val="both"/>
        <w:rPr>
          <w:rFonts w:ascii="Times New Roman" w:eastAsia="Times New Roman" w:hAnsi="Times New Roman" w:cs="Times New Roman"/>
          <w:bCs/>
        </w:rPr>
      </w:pPr>
      <w:r w:rsidRPr="001F0529">
        <w:rPr>
          <w:rFonts w:ascii="Times New Roman" w:eastAsia="Times New Roman" w:hAnsi="Times New Roman" w:cs="Times New Roman"/>
          <w:b/>
          <w:bCs/>
        </w:rPr>
        <w:t>Irodalomjegyzék:</w:t>
      </w:r>
    </w:p>
    <w:p w:rsidR="00BB49B3" w:rsidRPr="001F0529" w:rsidRDefault="00BB49B3" w:rsidP="00980876">
      <w:pPr>
        <w:widowControl w:val="0"/>
        <w:numPr>
          <w:ilvl w:val="1"/>
          <w:numId w:val="808"/>
        </w:numPr>
        <w:tabs>
          <w:tab w:val="left" w:pos="993"/>
        </w:tabs>
        <w:spacing w:before="60" w:after="60" w:line="240" w:lineRule="auto"/>
        <w:ind w:left="426" w:hanging="142"/>
        <w:jc w:val="both"/>
        <w:rPr>
          <w:rFonts w:ascii="Times New Roman" w:eastAsia="Times New Roman" w:hAnsi="Times New Roman" w:cs="Times New Roman"/>
          <w:bCs/>
        </w:rPr>
      </w:pPr>
      <w:r w:rsidRPr="001F0529">
        <w:rPr>
          <w:rFonts w:ascii="Times New Roman" w:eastAsia="Times New Roman" w:hAnsi="Times New Roman" w:cs="Times New Roman"/>
          <w:b/>
          <w:bCs/>
        </w:rPr>
        <w:t>Kötelező irodalom:</w:t>
      </w:r>
    </w:p>
    <w:p w:rsidR="00BB49B3" w:rsidRPr="00977D93" w:rsidRDefault="00BB49B3" w:rsidP="00980876">
      <w:pPr>
        <w:widowControl w:val="0"/>
        <w:numPr>
          <w:ilvl w:val="0"/>
          <w:numId w:val="809"/>
        </w:numPr>
        <w:spacing w:before="60" w:after="60" w:line="240" w:lineRule="auto"/>
        <w:jc w:val="both"/>
        <w:rPr>
          <w:rFonts w:ascii="Times New Roman" w:eastAsia="Times New Roman" w:hAnsi="Times New Roman" w:cs="Times New Roman"/>
          <w:noProof/>
        </w:rPr>
      </w:pPr>
      <w:r w:rsidRPr="00977D93">
        <w:rPr>
          <w:rFonts w:ascii="Times New Roman" w:eastAsia="Times New Roman" w:hAnsi="Times New Roman" w:cs="Times New Roman"/>
          <w:noProof/>
        </w:rPr>
        <w:t>Baranyai Gábor-Csernus Dóra szerk.: A fenntartható fejlődés és az állam feladatai Dialóg Campus Budapest 2018. ISBN 978-615-5889-98-1;</w:t>
      </w:r>
    </w:p>
    <w:p w:rsidR="00BB49B3" w:rsidRPr="001F0529" w:rsidRDefault="00BB49B3" w:rsidP="00980876">
      <w:pPr>
        <w:widowControl w:val="0"/>
        <w:numPr>
          <w:ilvl w:val="0"/>
          <w:numId w:val="809"/>
        </w:numPr>
        <w:spacing w:before="60" w:after="60" w:line="240" w:lineRule="auto"/>
        <w:jc w:val="both"/>
        <w:rPr>
          <w:rFonts w:ascii="Times New Roman" w:eastAsia="Times New Roman" w:hAnsi="Times New Roman" w:cs="Times New Roman"/>
        </w:rPr>
      </w:pPr>
      <w:r w:rsidRPr="00977D93">
        <w:rPr>
          <w:rFonts w:ascii="Times New Roman" w:eastAsia="Times New Roman" w:hAnsi="Times New Roman" w:cs="Times New Roman"/>
          <w:noProof/>
        </w:rPr>
        <w:t xml:space="preserve">Gyulai Iván: A fenntartható fejlődés Ökológiai Intézet a Fenntartható Fejlődésért Alapítvány Miskolc </w:t>
      </w:r>
    </w:p>
    <w:p w:rsidR="00BB49B3" w:rsidRPr="001F0529" w:rsidRDefault="00BB49B3" w:rsidP="00980876">
      <w:pPr>
        <w:widowControl w:val="0"/>
        <w:numPr>
          <w:ilvl w:val="1"/>
          <w:numId w:val="808"/>
        </w:numPr>
        <w:tabs>
          <w:tab w:val="left" w:pos="993"/>
        </w:tabs>
        <w:spacing w:before="60" w:after="60" w:line="240" w:lineRule="auto"/>
        <w:ind w:left="426" w:hanging="142"/>
        <w:jc w:val="both"/>
        <w:rPr>
          <w:rFonts w:ascii="Times New Roman" w:eastAsia="Times New Roman" w:hAnsi="Times New Roman" w:cs="Times New Roman"/>
          <w:b/>
          <w:bCs/>
        </w:rPr>
      </w:pPr>
      <w:r w:rsidRPr="001F0529">
        <w:rPr>
          <w:rFonts w:ascii="Times New Roman" w:eastAsia="Times New Roman" w:hAnsi="Times New Roman" w:cs="Times New Roman"/>
          <w:b/>
          <w:bCs/>
        </w:rPr>
        <w:t>Ajánlott irodalom:</w:t>
      </w:r>
    </w:p>
    <w:p w:rsidR="00BB49B3" w:rsidRPr="00977D93" w:rsidRDefault="00BB49B3" w:rsidP="00980876">
      <w:pPr>
        <w:widowControl w:val="0"/>
        <w:numPr>
          <w:ilvl w:val="0"/>
          <w:numId w:val="427"/>
        </w:numPr>
        <w:spacing w:before="60" w:after="60" w:line="240" w:lineRule="auto"/>
        <w:ind w:left="709" w:hanging="425"/>
        <w:jc w:val="both"/>
        <w:rPr>
          <w:rFonts w:ascii="Times New Roman" w:eastAsia="Times New Roman" w:hAnsi="Times New Roman" w:cs="Times New Roman"/>
          <w:noProof/>
        </w:rPr>
      </w:pPr>
      <w:r w:rsidRPr="00977D93">
        <w:rPr>
          <w:rFonts w:ascii="Times New Roman" w:eastAsia="Times New Roman" w:hAnsi="Times New Roman" w:cs="Times New Roman"/>
          <w:noProof/>
        </w:rPr>
        <w:t>Zlinszky János-Balogh Dorka szerk.: Világunk átalakítása: a fenntartható fejlődés 2030-ig megvalósítandó programja Pázmány Press Budapest 2016. ISBN 978-963-308-279-9;</w:t>
      </w:r>
    </w:p>
    <w:p w:rsidR="00BB49B3" w:rsidRPr="00977D93" w:rsidRDefault="00BB49B3" w:rsidP="00980876">
      <w:pPr>
        <w:widowControl w:val="0"/>
        <w:numPr>
          <w:ilvl w:val="0"/>
          <w:numId w:val="427"/>
        </w:numPr>
        <w:spacing w:before="60" w:after="60" w:line="240" w:lineRule="auto"/>
        <w:ind w:left="709" w:hanging="425"/>
        <w:jc w:val="both"/>
        <w:rPr>
          <w:rFonts w:ascii="Times New Roman" w:eastAsia="Times New Roman" w:hAnsi="Times New Roman" w:cs="Times New Roman"/>
          <w:noProof/>
        </w:rPr>
      </w:pPr>
      <w:r w:rsidRPr="00977D93">
        <w:rPr>
          <w:rFonts w:ascii="Times New Roman" w:eastAsia="Times New Roman" w:hAnsi="Times New Roman" w:cs="Times New Roman"/>
          <w:noProof/>
        </w:rPr>
        <w:t>Kerekes Sándor: A környezetgazdaságtan alapjai Aula Budapest. ISBN: 9789633945964;</w:t>
      </w:r>
    </w:p>
    <w:p w:rsidR="00BB49B3" w:rsidRPr="001F0529" w:rsidRDefault="00BB49B3" w:rsidP="00980876">
      <w:pPr>
        <w:widowControl w:val="0"/>
        <w:numPr>
          <w:ilvl w:val="0"/>
          <w:numId w:val="427"/>
        </w:numPr>
        <w:spacing w:before="60" w:after="60" w:line="240" w:lineRule="auto"/>
        <w:ind w:left="709" w:hanging="425"/>
        <w:jc w:val="both"/>
        <w:rPr>
          <w:rFonts w:ascii="Times New Roman" w:eastAsia="Times New Roman" w:hAnsi="Times New Roman" w:cs="Times New Roman"/>
        </w:rPr>
      </w:pPr>
      <w:r w:rsidRPr="00977D93">
        <w:rPr>
          <w:rFonts w:ascii="Times New Roman" w:eastAsia="Times New Roman" w:hAnsi="Times New Roman" w:cs="Times New Roman"/>
          <w:noProof/>
        </w:rPr>
        <w:t>Bándi Gyula: Környezetjog Szent István Társulat Budapest 2014. ISBN: 9789633898796.</w:t>
      </w:r>
      <w:r w:rsidRPr="001F0529">
        <w:rPr>
          <w:rFonts w:ascii="Times New Roman" w:eastAsia="Times New Roman" w:hAnsi="Times New Roman" w:cs="Times New Roman"/>
        </w:rPr>
        <w:t xml:space="preserve"> </w:t>
      </w:r>
    </w:p>
    <w:p w:rsidR="00BB49B3" w:rsidRPr="001F0529" w:rsidRDefault="00BB49B3" w:rsidP="00BB49B3">
      <w:pPr>
        <w:widowControl w:val="0"/>
        <w:spacing w:before="60" w:after="60" w:line="240" w:lineRule="auto"/>
        <w:jc w:val="both"/>
        <w:rPr>
          <w:rFonts w:ascii="Times New Roman" w:eastAsia="Times New Roman" w:hAnsi="Times New Roman" w:cs="Times New Roman"/>
          <w:bCs/>
        </w:rPr>
      </w:pPr>
    </w:p>
    <w:p w:rsidR="00BB49B3" w:rsidRPr="001F0529" w:rsidRDefault="00BB49B3" w:rsidP="00BB49B3">
      <w:pPr>
        <w:widowControl w:val="0"/>
        <w:spacing w:before="60" w:after="60" w:line="240" w:lineRule="auto"/>
        <w:jc w:val="both"/>
        <w:rPr>
          <w:rFonts w:ascii="Times New Roman" w:eastAsia="Times New Roman" w:hAnsi="Times New Roman" w:cs="Times New Roman"/>
          <w:bCs/>
        </w:rPr>
      </w:pPr>
      <w:r w:rsidRPr="001F0529">
        <w:rPr>
          <w:rFonts w:ascii="Times New Roman" w:eastAsia="Times New Roman" w:hAnsi="Times New Roman" w:cs="Times New Roman"/>
          <w:bCs/>
        </w:rPr>
        <w:t xml:space="preserve">Budapest, </w:t>
      </w:r>
      <w:r>
        <w:rPr>
          <w:rFonts w:ascii="Times New Roman" w:eastAsia="Times New Roman" w:hAnsi="Times New Roman" w:cs="Times New Roman"/>
          <w:bCs/>
        </w:rPr>
        <w:fldChar w:fldCharType="begin"/>
      </w:r>
      <w:r>
        <w:rPr>
          <w:rFonts w:ascii="Times New Roman" w:eastAsia="Times New Roman" w:hAnsi="Times New Roman" w:cs="Times New Roman"/>
          <w:bCs/>
        </w:rPr>
        <w:instrText xml:space="preserve"> TIME \@ "yyyy.MM.dd." </w:instrText>
      </w:r>
      <w:r>
        <w:rPr>
          <w:rFonts w:ascii="Times New Roman" w:eastAsia="Times New Roman" w:hAnsi="Times New Roman" w:cs="Times New Roman"/>
          <w:bCs/>
        </w:rPr>
        <w:fldChar w:fldCharType="separate"/>
      </w:r>
      <w:r w:rsidR="004D708E">
        <w:rPr>
          <w:rFonts w:ascii="Times New Roman" w:eastAsia="Times New Roman" w:hAnsi="Times New Roman" w:cs="Times New Roman"/>
          <w:bCs/>
          <w:noProof/>
        </w:rPr>
        <w:t>2020.09.16.</w:t>
      </w:r>
      <w:r>
        <w:rPr>
          <w:rFonts w:ascii="Times New Roman" w:eastAsia="Times New Roman" w:hAnsi="Times New Roman" w:cs="Times New Roman"/>
          <w:bCs/>
        </w:rPr>
        <w:fldChar w:fldCharType="end"/>
      </w:r>
    </w:p>
    <w:p w:rsidR="00BB49B3" w:rsidRPr="001F0529" w:rsidRDefault="00BB49B3" w:rsidP="00BB49B3">
      <w:pPr>
        <w:widowControl w:val="0"/>
        <w:spacing w:before="120" w:after="120" w:line="240" w:lineRule="auto"/>
        <w:jc w:val="both"/>
        <w:rPr>
          <w:rFonts w:ascii="Times New Roman" w:eastAsia="Times New Roman" w:hAnsi="Times New Roman" w:cs="Times New Roman"/>
          <w:bCs/>
        </w:rPr>
      </w:pPr>
    </w:p>
    <w:p w:rsidR="00BB49B3" w:rsidRPr="00BB49B3" w:rsidRDefault="00BB49B3" w:rsidP="00BB49B3">
      <w:pPr>
        <w:widowControl w:val="0"/>
        <w:spacing w:after="0" w:line="240" w:lineRule="auto"/>
        <w:ind w:left="6379"/>
        <w:jc w:val="center"/>
        <w:rPr>
          <w:rFonts w:ascii="Times New Roman" w:eastAsia="Times New Roman" w:hAnsi="Times New Roman" w:cs="Times New Roman"/>
          <w:b/>
          <w:bCs/>
        </w:rPr>
      </w:pPr>
      <w:r w:rsidRPr="00BB49B3">
        <w:rPr>
          <w:rFonts w:ascii="Times New Roman" w:eastAsia="Times New Roman" w:hAnsi="Times New Roman" w:cs="Times New Roman"/>
          <w:b/>
          <w:bCs/>
          <w:noProof/>
        </w:rPr>
        <w:t>Dr. Baranyai Gábor</w:t>
      </w:r>
      <w:r w:rsidRPr="00BB49B3">
        <w:rPr>
          <w:rFonts w:ascii="Times New Roman" w:eastAsia="Times New Roman" w:hAnsi="Times New Roman" w:cs="Times New Roman"/>
          <w:b/>
          <w:bCs/>
        </w:rPr>
        <w:t xml:space="preserve">, </w:t>
      </w:r>
      <w:r w:rsidRPr="00BB49B3">
        <w:rPr>
          <w:rFonts w:ascii="Times New Roman" w:eastAsia="Times New Roman" w:hAnsi="Times New Roman" w:cs="Times New Roman"/>
          <w:b/>
          <w:bCs/>
          <w:noProof/>
        </w:rPr>
        <w:t>PhD</w:t>
      </w:r>
      <w:r w:rsidRPr="00BB49B3">
        <w:rPr>
          <w:rFonts w:ascii="Times New Roman" w:eastAsia="Times New Roman" w:hAnsi="Times New Roman" w:cs="Times New Roman"/>
          <w:b/>
          <w:bCs/>
        </w:rPr>
        <w:t>,</w:t>
      </w:r>
    </w:p>
    <w:p w:rsidR="00BB49B3" w:rsidRPr="002D1DD1" w:rsidRDefault="00BB49B3" w:rsidP="00BB49B3">
      <w:pPr>
        <w:widowControl w:val="0"/>
        <w:spacing w:after="0" w:line="240" w:lineRule="auto"/>
        <w:ind w:left="6379"/>
        <w:jc w:val="center"/>
        <w:rPr>
          <w:rFonts w:ascii="Times New Roman" w:eastAsia="Times New Roman" w:hAnsi="Times New Roman" w:cs="Times New Roman"/>
          <w:bCs/>
        </w:rPr>
      </w:pPr>
      <w:r w:rsidRPr="00977D93">
        <w:rPr>
          <w:rFonts w:ascii="Times New Roman" w:eastAsia="Times New Roman" w:hAnsi="Times New Roman" w:cs="Times New Roman"/>
          <w:bCs/>
          <w:noProof/>
        </w:rPr>
        <w:t>adjunktus</w:t>
      </w:r>
      <w:r w:rsidRPr="001F0529">
        <w:rPr>
          <w:rFonts w:ascii="Times New Roman" w:eastAsia="Times New Roman" w:hAnsi="Times New Roman" w:cs="Times New Roman"/>
          <w:bCs/>
        </w:rPr>
        <w:t xml:space="preserve"> sk.</w:t>
      </w:r>
    </w:p>
    <w:p w:rsidR="00675728" w:rsidRDefault="00675728">
      <w:pPr>
        <w:spacing w:after="200" w:line="276" w:lineRule="auto"/>
        <w:rPr>
          <w:rFonts w:ascii="Times New Roman" w:hAnsi="Times New Roman" w:cs="Times New Roman"/>
          <w:bCs/>
        </w:rPr>
      </w:pPr>
    </w:p>
    <w:p w:rsidR="00115198" w:rsidRDefault="00115198">
      <w:r>
        <w:br w:type="page"/>
      </w:r>
    </w:p>
    <w:tbl>
      <w:tblPr>
        <w:tblW w:w="9349" w:type="dxa"/>
        <w:tblInd w:w="113" w:type="dxa"/>
        <w:tblLook w:val="01E0" w:firstRow="1" w:lastRow="1" w:firstColumn="1" w:lastColumn="1" w:noHBand="0" w:noVBand="0"/>
      </w:tblPr>
      <w:tblGrid>
        <w:gridCol w:w="5132"/>
        <w:gridCol w:w="1620"/>
        <w:gridCol w:w="2597"/>
      </w:tblGrid>
      <w:tr w:rsidR="003A1562" w:rsidRPr="003A1562" w:rsidTr="003A1562">
        <w:tc>
          <w:tcPr>
            <w:tcW w:w="5132" w:type="dxa"/>
            <w:tcBorders>
              <w:bottom w:val="single" w:sz="4" w:space="0" w:color="auto"/>
            </w:tcBorders>
          </w:tcPr>
          <w:p w:rsidR="003A1562" w:rsidRPr="003A1562" w:rsidRDefault="003A1562" w:rsidP="003A1562">
            <w:pPr>
              <w:spacing w:after="0" w:line="240" w:lineRule="auto"/>
              <w:jc w:val="center"/>
              <w:rPr>
                <w:rFonts w:ascii="Times New Roman" w:eastAsia="Times New Roman" w:hAnsi="Times New Roman" w:cs="Times New Roman"/>
                <w:b/>
                <w:smallCaps/>
                <w:lang w:eastAsia="hu-HU"/>
              </w:rPr>
            </w:pPr>
            <w:r w:rsidRPr="003A1562">
              <w:rPr>
                <w:rFonts w:ascii="Times New Roman" w:eastAsia="Times New Roman" w:hAnsi="Times New Roman" w:cs="Times New Roman"/>
                <w:b/>
                <w:smallCaps/>
                <w:lang w:eastAsia="hu-HU"/>
              </w:rPr>
              <w:lastRenderedPageBreak/>
              <w:t>Nemzeti Közszolgálati Egyetem</w:t>
            </w:r>
          </w:p>
        </w:tc>
        <w:tc>
          <w:tcPr>
            <w:tcW w:w="1620" w:type="dxa"/>
          </w:tcPr>
          <w:p w:rsidR="003A1562" w:rsidRPr="003A1562" w:rsidRDefault="003A1562" w:rsidP="003A1562">
            <w:pPr>
              <w:spacing w:after="0" w:line="240" w:lineRule="auto"/>
              <w:jc w:val="both"/>
              <w:rPr>
                <w:rFonts w:ascii="Times New Roman" w:eastAsia="Times New Roman" w:hAnsi="Times New Roman" w:cs="Times New Roman"/>
                <w:lang w:eastAsia="hu-HU"/>
              </w:rPr>
            </w:pPr>
          </w:p>
        </w:tc>
        <w:tc>
          <w:tcPr>
            <w:tcW w:w="2597" w:type="dxa"/>
          </w:tcPr>
          <w:p w:rsidR="003A1562" w:rsidRPr="003A1562" w:rsidRDefault="003A1562" w:rsidP="003A1562">
            <w:pPr>
              <w:spacing w:after="0" w:line="240" w:lineRule="auto"/>
              <w:jc w:val="right"/>
              <w:rPr>
                <w:rFonts w:ascii="Times New Roman" w:eastAsia="Times New Roman" w:hAnsi="Times New Roman" w:cs="Times New Roman"/>
                <w:lang w:eastAsia="hu-HU"/>
              </w:rPr>
            </w:pPr>
          </w:p>
        </w:tc>
      </w:tr>
      <w:tr w:rsidR="003A1562" w:rsidRPr="003A1562" w:rsidTr="003A1562">
        <w:tc>
          <w:tcPr>
            <w:tcW w:w="5132" w:type="dxa"/>
            <w:tcBorders>
              <w:top w:val="single" w:sz="4" w:space="0" w:color="auto"/>
            </w:tcBorders>
          </w:tcPr>
          <w:p w:rsidR="003A1562" w:rsidRPr="003A1562" w:rsidRDefault="003A1562" w:rsidP="003A1562">
            <w:pPr>
              <w:spacing w:after="0" w:line="240" w:lineRule="auto"/>
              <w:jc w:val="center"/>
              <w:rPr>
                <w:rFonts w:ascii="Times New Roman" w:eastAsia="Times New Roman" w:hAnsi="Times New Roman" w:cs="Times New Roman"/>
                <w:b/>
                <w:lang w:eastAsia="hu-HU"/>
              </w:rPr>
            </w:pPr>
            <w:r w:rsidRPr="003A1562">
              <w:rPr>
                <w:rFonts w:ascii="Times New Roman" w:eastAsia="Times New Roman" w:hAnsi="Times New Roman" w:cs="Times New Roman"/>
                <w:b/>
                <w:noProof/>
                <w:lang w:eastAsia="hu-HU"/>
              </w:rPr>
              <w:t>Államtudományi és Nemzetközi Tanulmányok Kar</w:t>
            </w:r>
          </w:p>
        </w:tc>
        <w:tc>
          <w:tcPr>
            <w:tcW w:w="1620" w:type="dxa"/>
          </w:tcPr>
          <w:p w:rsidR="003A1562" w:rsidRPr="003A1562" w:rsidRDefault="003A1562" w:rsidP="003A1562">
            <w:pPr>
              <w:spacing w:after="0" w:line="240" w:lineRule="auto"/>
              <w:jc w:val="both"/>
              <w:rPr>
                <w:rFonts w:ascii="Times New Roman" w:eastAsia="Times New Roman" w:hAnsi="Times New Roman" w:cs="Times New Roman"/>
                <w:lang w:eastAsia="hu-HU"/>
              </w:rPr>
            </w:pPr>
          </w:p>
        </w:tc>
        <w:tc>
          <w:tcPr>
            <w:tcW w:w="2597" w:type="dxa"/>
          </w:tcPr>
          <w:p w:rsidR="003A1562" w:rsidRPr="003A1562" w:rsidRDefault="003A1562" w:rsidP="003A1562">
            <w:pPr>
              <w:spacing w:after="0" w:line="240" w:lineRule="auto"/>
              <w:jc w:val="both"/>
              <w:rPr>
                <w:rFonts w:ascii="Times New Roman" w:eastAsia="Times New Roman" w:hAnsi="Times New Roman" w:cs="Times New Roman"/>
                <w:lang w:eastAsia="hu-HU"/>
              </w:rPr>
            </w:pPr>
          </w:p>
        </w:tc>
      </w:tr>
    </w:tbl>
    <w:p w:rsidR="003A1562" w:rsidRPr="003A1562" w:rsidRDefault="003A1562" w:rsidP="003A1562">
      <w:pPr>
        <w:widowControl w:val="0"/>
        <w:spacing w:before="120" w:after="120" w:line="240" w:lineRule="auto"/>
        <w:ind w:left="426" w:hanging="142"/>
        <w:jc w:val="center"/>
        <w:rPr>
          <w:rFonts w:ascii="Times New Roman" w:eastAsia="Times New Roman" w:hAnsi="Times New Roman" w:cs="Times New Roman"/>
          <w:b/>
          <w:bCs/>
        </w:rPr>
      </w:pPr>
    </w:p>
    <w:p w:rsidR="003A1562" w:rsidRPr="003A1562" w:rsidRDefault="003A1562" w:rsidP="003A1562">
      <w:pPr>
        <w:widowControl w:val="0"/>
        <w:spacing w:before="120" w:after="120" w:line="240" w:lineRule="auto"/>
        <w:ind w:left="426" w:hanging="142"/>
        <w:jc w:val="center"/>
        <w:rPr>
          <w:rFonts w:ascii="Times New Roman" w:eastAsia="Times New Roman" w:hAnsi="Times New Roman" w:cs="Times New Roman"/>
          <w:b/>
          <w:bCs/>
        </w:rPr>
      </w:pPr>
      <w:r w:rsidRPr="003A1562">
        <w:rPr>
          <w:rFonts w:ascii="Times New Roman" w:eastAsia="Times New Roman" w:hAnsi="Times New Roman" w:cs="Times New Roman"/>
          <w:b/>
          <w:bCs/>
        </w:rPr>
        <w:t>TANTÁRGYI PROGRAM</w:t>
      </w:r>
    </w:p>
    <w:p w:rsidR="003A1562" w:rsidRPr="003A1562" w:rsidRDefault="003A1562" w:rsidP="00980876">
      <w:pPr>
        <w:widowControl w:val="0"/>
        <w:numPr>
          <w:ilvl w:val="0"/>
          <w:numId w:val="828"/>
        </w:numPr>
        <w:tabs>
          <w:tab w:val="num" w:pos="426"/>
          <w:tab w:val="num" w:pos="567"/>
        </w:tabs>
        <w:spacing w:before="120" w:after="120" w:line="240" w:lineRule="auto"/>
        <w:jc w:val="both"/>
        <w:rPr>
          <w:rFonts w:ascii="Times New Roman" w:eastAsia="Times New Roman" w:hAnsi="Times New Roman" w:cs="Times New Roman"/>
          <w:bCs/>
        </w:rPr>
      </w:pPr>
      <w:r w:rsidRPr="003A1562">
        <w:rPr>
          <w:rFonts w:ascii="Times New Roman" w:eastAsia="Times New Roman" w:hAnsi="Times New Roman" w:cs="Times New Roman"/>
          <w:b/>
          <w:bCs/>
        </w:rPr>
        <w:t xml:space="preserve">A tantárgy kódja: </w:t>
      </w:r>
      <w:r w:rsidRPr="003A1562">
        <w:rPr>
          <w:rFonts w:ascii="Times New Roman" w:eastAsia="Times New Roman" w:hAnsi="Times New Roman" w:cs="Times New Roman"/>
          <w:bCs/>
          <w:noProof/>
        </w:rPr>
        <w:t>ÁAÖKTB10</w:t>
      </w:r>
    </w:p>
    <w:p w:rsidR="003A1562" w:rsidRPr="003A1562" w:rsidRDefault="003A1562" w:rsidP="00980876">
      <w:pPr>
        <w:widowControl w:val="0"/>
        <w:numPr>
          <w:ilvl w:val="0"/>
          <w:numId w:val="828"/>
        </w:numPr>
        <w:tabs>
          <w:tab w:val="num" w:pos="567"/>
          <w:tab w:val="num" w:pos="720"/>
        </w:tabs>
        <w:spacing w:before="120" w:after="120" w:line="240" w:lineRule="auto"/>
        <w:ind w:left="426" w:hanging="142"/>
        <w:jc w:val="both"/>
        <w:rPr>
          <w:rFonts w:ascii="Times New Roman" w:eastAsia="Times New Roman" w:hAnsi="Times New Roman" w:cs="Times New Roman"/>
          <w:b/>
          <w:bCs/>
          <w:lang w:val="en-GB"/>
        </w:rPr>
      </w:pPr>
      <w:r w:rsidRPr="003A1562">
        <w:rPr>
          <w:rFonts w:ascii="Times New Roman" w:eastAsia="Times New Roman" w:hAnsi="Times New Roman" w:cs="Times New Roman"/>
          <w:b/>
          <w:bCs/>
        </w:rPr>
        <w:t>A tantárgy megnevezése (magyarul):</w:t>
      </w:r>
      <w:r w:rsidRPr="003A1562">
        <w:rPr>
          <w:rFonts w:ascii="Times New Roman" w:eastAsia="Times New Roman" w:hAnsi="Times New Roman" w:cs="Times New Roman"/>
          <w:bCs/>
        </w:rPr>
        <w:t xml:space="preserve"> </w:t>
      </w:r>
      <w:r w:rsidRPr="003A1562">
        <w:rPr>
          <w:rFonts w:ascii="Times New Roman" w:eastAsia="Times New Roman" w:hAnsi="Times New Roman" w:cs="Times New Roman"/>
          <w:bCs/>
          <w:noProof/>
        </w:rPr>
        <w:t>Anthologia Hungarica (Szemelvények a kultúra, identitás és nemzet fogalmak tartalmához)</w:t>
      </w:r>
    </w:p>
    <w:p w:rsidR="003A1562" w:rsidRPr="003A1562" w:rsidRDefault="003A1562" w:rsidP="00980876">
      <w:pPr>
        <w:widowControl w:val="0"/>
        <w:numPr>
          <w:ilvl w:val="0"/>
          <w:numId w:val="828"/>
        </w:numPr>
        <w:tabs>
          <w:tab w:val="num" w:pos="567"/>
          <w:tab w:val="num" w:pos="720"/>
        </w:tabs>
        <w:spacing w:before="120" w:after="120" w:line="240" w:lineRule="auto"/>
        <w:ind w:left="426" w:hanging="142"/>
        <w:jc w:val="both"/>
        <w:rPr>
          <w:rFonts w:ascii="Times New Roman" w:eastAsia="Times New Roman" w:hAnsi="Times New Roman" w:cs="Times New Roman"/>
          <w:b/>
          <w:bCs/>
          <w:lang w:val="en-GB"/>
        </w:rPr>
      </w:pPr>
      <w:r w:rsidRPr="003A1562">
        <w:rPr>
          <w:rFonts w:ascii="Times New Roman" w:eastAsia="Times New Roman" w:hAnsi="Times New Roman" w:cs="Times New Roman"/>
          <w:b/>
          <w:bCs/>
        </w:rPr>
        <w:t xml:space="preserve">A tantárgy megnevezése (angolul): </w:t>
      </w:r>
      <w:r w:rsidRPr="003A1562">
        <w:rPr>
          <w:rFonts w:ascii="Times New Roman" w:eastAsia="Times New Roman" w:hAnsi="Times New Roman" w:cs="Times New Roman"/>
          <w:bCs/>
          <w:noProof/>
        </w:rPr>
        <w:t>Anthologia Hungarica. (Excerptions illustrating the content of culture, identity and nation notions)</w:t>
      </w:r>
    </w:p>
    <w:p w:rsidR="003A1562" w:rsidRPr="003A1562" w:rsidRDefault="003A1562" w:rsidP="00980876">
      <w:pPr>
        <w:widowControl w:val="0"/>
        <w:numPr>
          <w:ilvl w:val="0"/>
          <w:numId w:val="828"/>
        </w:numPr>
        <w:tabs>
          <w:tab w:val="num" w:pos="567"/>
          <w:tab w:val="num" w:pos="720"/>
        </w:tabs>
        <w:spacing w:before="120" w:after="120" w:line="240" w:lineRule="auto"/>
        <w:ind w:left="426" w:hanging="142"/>
        <w:jc w:val="both"/>
        <w:rPr>
          <w:rFonts w:ascii="Times New Roman" w:eastAsia="Times New Roman" w:hAnsi="Times New Roman" w:cs="Times New Roman"/>
          <w:b/>
          <w:bCs/>
        </w:rPr>
      </w:pPr>
      <w:r w:rsidRPr="003A1562">
        <w:rPr>
          <w:rFonts w:ascii="Times New Roman" w:eastAsia="Times New Roman" w:hAnsi="Times New Roman" w:cs="Times New Roman"/>
          <w:b/>
          <w:bCs/>
        </w:rPr>
        <w:t xml:space="preserve">Kreditérték és képzési karakter: </w:t>
      </w:r>
    </w:p>
    <w:p w:rsidR="003A1562" w:rsidRPr="003A1562" w:rsidRDefault="003A1562" w:rsidP="00980876">
      <w:pPr>
        <w:widowControl w:val="0"/>
        <w:numPr>
          <w:ilvl w:val="1"/>
          <w:numId w:val="828"/>
        </w:numPr>
        <w:spacing w:before="120" w:after="120" w:line="240" w:lineRule="auto"/>
        <w:ind w:left="993" w:hanging="426"/>
        <w:contextualSpacing/>
        <w:jc w:val="both"/>
        <w:rPr>
          <w:rFonts w:ascii="Times New Roman" w:eastAsia="Times New Roman" w:hAnsi="Times New Roman" w:cs="Times New Roman"/>
          <w:b/>
          <w:bCs/>
        </w:rPr>
      </w:pPr>
      <w:r w:rsidRPr="003A1562">
        <w:rPr>
          <w:rFonts w:ascii="Times New Roman" w:eastAsia="Times New Roman" w:hAnsi="Times New Roman" w:cs="Times New Roman"/>
          <w:bCs/>
          <w:noProof/>
        </w:rPr>
        <w:t>2</w:t>
      </w:r>
      <w:r w:rsidRPr="003A1562">
        <w:rPr>
          <w:rFonts w:ascii="Times New Roman" w:eastAsia="Times New Roman" w:hAnsi="Times New Roman" w:cs="Times New Roman"/>
          <w:bCs/>
        </w:rPr>
        <w:t xml:space="preserve"> kredit</w:t>
      </w:r>
    </w:p>
    <w:p w:rsidR="003A1562" w:rsidRPr="003A1562" w:rsidRDefault="003A1562" w:rsidP="00980876">
      <w:pPr>
        <w:widowControl w:val="0"/>
        <w:numPr>
          <w:ilvl w:val="1"/>
          <w:numId w:val="828"/>
        </w:numPr>
        <w:spacing w:before="120" w:after="120" w:line="240" w:lineRule="auto"/>
        <w:ind w:left="993" w:hanging="426"/>
        <w:contextualSpacing/>
        <w:jc w:val="both"/>
        <w:rPr>
          <w:rFonts w:ascii="Times New Roman" w:eastAsia="Times New Roman" w:hAnsi="Times New Roman" w:cs="Times New Roman"/>
          <w:b/>
          <w:bCs/>
        </w:rPr>
      </w:pPr>
      <w:r w:rsidRPr="003A1562">
        <w:rPr>
          <w:rFonts w:ascii="Times New Roman" w:eastAsia="Times New Roman" w:hAnsi="Times New Roman" w:cs="Times New Roman"/>
          <w:bCs/>
        </w:rPr>
        <w:t xml:space="preserve">a tantárgy elméleti vagy gyakorlati jellegének mértéke: </w:t>
      </w:r>
      <w:r w:rsidRPr="003A1562">
        <w:rPr>
          <w:rFonts w:ascii="Times New Roman" w:eastAsia="Times New Roman" w:hAnsi="Times New Roman" w:cs="Times New Roman"/>
          <w:bCs/>
          <w:noProof/>
        </w:rPr>
        <w:t>100</w:t>
      </w:r>
      <w:r w:rsidRPr="003A1562">
        <w:rPr>
          <w:rFonts w:ascii="Times New Roman" w:eastAsia="Times New Roman" w:hAnsi="Times New Roman" w:cs="Times New Roman"/>
          <w:bCs/>
        </w:rPr>
        <w:t xml:space="preserve">% gyakorlat, </w:t>
      </w:r>
      <w:r w:rsidRPr="003A1562">
        <w:rPr>
          <w:rFonts w:ascii="Times New Roman" w:eastAsia="Times New Roman" w:hAnsi="Times New Roman" w:cs="Times New Roman"/>
          <w:bCs/>
          <w:noProof/>
        </w:rPr>
        <w:t>0</w:t>
      </w:r>
      <w:r w:rsidRPr="003A1562">
        <w:rPr>
          <w:rFonts w:ascii="Times New Roman" w:eastAsia="Times New Roman" w:hAnsi="Times New Roman" w:cs="Times New Roman"/>
          <w:bCs/>
        </w:rPr>
        <w:t>% elmélet</w:t>
      </w:r>
    </w:p>
    <w:p w:rsidR="003A1562" w:rsidRPr="000D0FE3" w:rsidRDefault="003A1562" w:rsidP="00980876">
      <w:pPr>
        <w:widowControl w:val="0"/>
        <w:numPr>
          <w:ilvl w:val="0"/>
          <w:numId w:val="828"/>
        </w:numPr>
        <w:tabs>
          <w:tab w:val="num" w:pos="720"/>
        </w:tabs>
        <w:spacing w:before="120" w:after="120" w:line="240" w:lineRule="auto"/>
        <w:ind w:left="426" w:hanging="142"/>
        <w:jc w:val="both"/>
        <w:rPr>
          <w:rFonts w:ascii="Times New Roman" w:eastAsia="Times New Roman" w:hAnsi="Times New Roman" w:cs="Times New Roman"/>
          <w:bCs/>
          <w:highlight w:val="yellow"/>
        </w:rPr>
      </w:pPr>
      <w:r w:rsidRPr="003A1562">
        <w:rPr>
          <w:rFonts w:ascii="Times New Roman" w:eastAsia="Times New Roman" w:hAnsi="Times New Roman" w:cs="Times New Roman"/>
          <w:b/>
          <w:bCs/>
        </w:rPr>
        <w:t>A szak(ok), szakirányok/specializációk megnevezése (ahol oktatják):</w:t>
      </w:r>
      <w:r w:rsidRPr="003A1562">
        <w:rPr>
          <w:rFonts w:ascii="Times New Roman" w:eastAsia="Times New Roman" w:hAnsi="Times New Roman" w:cs="Times New Roman"/>
          <w:bCs/>
        </w:rPr>
        <w:t xml:space="preserve"> </w:t>
      </w:r>
      <w:r w:rsidR="000D0FE3" w:rsidRPr="000D0FE3">
        <w:rPr>
          <w:rFonts w:ascii="Times New Roman" w:eastAsia="Times New Roman" w:hAnsi="Times New Roman" w:cs="Times New Roman"/>
          <w:bCs/>
          <w:noProof/>
          <w:highlight w:val="yellow"/>
        </w:rPr>
        <w:t>HHK minden alapképzési szakán</w:t>
      </w:r>
      <w:r w:rsidRPr="000D0FE3">
        <w:rPr>
          <w:rFonts w:ascii="Times New Roman" w:eastAsia="Times New Roman" w:hAnsi="Times New Roman" w:cs="Times New Roman"/>
          <w:bCs/>
          <w:highlight w:val="yellow"/>
        </w:rPr>
        <w:t xml:space="preserve"> </w:t>
      </w:r>
    </w:p>
    <w:p w:rsidR="003A1562" w:rsidRPr="003A1562" w:rsidRDefault="003A1562" w:rsidP="00980876">
      <w:pPr>
        <w:widowControl w:val="0"/>
        <w:numPr>
          <w:ilvl w:val="0"/>
          <w:numId w:val="828"/>
        </w:numPr>
        <w:tabs>
          <w:tab w:val="num" w:pos="567"/>
          <w:tab w:val="num" w:pos="720"/>
        </w:tabs>
        <w:spacing w:before="120" w:after="120" w:line="240" w:lineRule="auto"/>
        <w:ind w:left="426" w:hanging="142"/>
        <w:jc w:val="both"/>
        <w:rPr>
          <w:rFonts w:ascii="Times New Roman" w:eastAsia="Times New Roman" w:hAnsi="Times New Roman" w:cs="Times New Roman"/>
          <w:bCs/>
        </w:rPr>
      </w:pPr>
      <w:r w:rsidRPr="003A1562">
        <w:rPr>
          <w:rFonts w:ascii="Times New Roman" w:eastAsia="Times New Roman" w:hAnsi="Times New Roman" w:cs="Times New Roman"/>
          <w:b/>
          <w:bCs/>
        </w:rPr>
        <w:t>Az oktatásért felelős okta</w:t>
      </w:r>
      <w:bookmarkStart w:id="52" w:name="_GoBack"/>
      <w:bookmarkEnd w:id="52"/>
      <w:r w:rsidRPr="003A1562">
        <w:rPr>
          <w:rFonts w:ascii="Times New Roman" w:eastAsia="Times New Roman" w:hAnsi="Times New Roman" w:cs="Times New Roman"/>
          <w:b/>
          <w:bCs/>
        </w:rPr>
        <w:t xml:space="preserve">tási szervezeti egység megnevezése: </w:t>
      </w:r>
      <w:r w:rsidRPr="003A1562">
        <w:rPr>
          <w:rFonts w:ascii="Times New Roman" w:eastAsia="Times New Roman" w:hAnsi="Times New Roman" w:cs="Times New Roman"/>
          <w:bCs/>
          <w:noProof/>
        </w:rPr>
        <w:t>Államtudományi és Nemzetközi Tanulmányok Kar</w:t>
      </w:r>
      <w:r w:rsidRPr="003A1562">
        <w:rPr>
          <w:rFonts w:ascii="Times New Roman" w:eastAsia="Times New Roman" w:hAnsi="Times New Roman" w:cs="Times New Roman"/>
          <w:bCs/>
        </w:rPr>
        <w:t xml:space="preserve">, </w:t>
      </w:r>
      <w:r w:rsidRPr="003A1562">
        <w:rPr>
          <w:rFonts w:ascii="Times New Roman" w:eastAsia="Times New Roman" w:hAnsi="Times New Roman" w:cs="Times New Roman"/>
          <w:bCs/>
          <w:noProof/>
        </w:rPr>
        <w:t>Alkotmányjogi és Összehasonlító Közjogi Tanszék</w:t>
      </w:r>
    </w:p>
    <w:p w:rsidR="003A1562" w:rsidRPr="003A1562" w:rsidRDefault="003A1562" w:rsidP="00980876">
      <w:pPr>
        <w:widowControl w:val="0"/>
        <w:numPr>
          <w:ilvl w:val="0"/>
          <w:numId w:val="828"/>
        </w:numPr>
        <w:tabs>
          <w:tab w:val="num" w:pos="567"/>
          <w:tab w:val="num" w:pos="720"/>
        </w:tabs>
        <w:spacing w:before="120" w:after="120" w:line="240" w:lineRule="auto"/>
        <w:ind w:left="426" w:hanging="142"/>
        <w:jc w:val="both"/>
        <w:rPr>
          <w:rFonts w:ascii="Times New Roman" w:eastAsia="Times New Roman" w:hAnsi="Times New Roman" w:cs="Times New Roman"/>
          <w:bCs/>
        </w:rPr>
      </w:pPr>
      <w:r w:rsidRPr="003A1562">
        <w:rPr>
          <w:rFonts w:ascii="Times New Roman" w:eastAsia="Times New Roman" w:hAnsi="Times New Roman" w:cs="Times New Roman"/>
          <w:b/>
          <w:bCs/>
        </w:rPr>
        <w:t>A tantárgyfelelős oktató neve, beosztása, tudományos fokozata:</w:t>
      </w:r>
      <w:r w:rsidRPr="003A1562">
        <w:rPr>
          <w:rFonts w:ascii="Times New Roman" w:eastAsia="Times New Roman" w:hAnsi="Times New Roman" w:cs="Times New Roman"/>
          <w:bCs/>
        </w:rPr>
        <w:t xml:space="preserve"> </w:t>
      </w:r>
      <w:r w:rsidRPr="003A1562">
        <w:rPr>
          <w:rFonts w:ascii="Times New Roman" w:eastAsia="Times New Roman" w:hAnsi="Times New Roman" w:cs="Times New Roman"/>
          <w:bCs/>
          <w:noProof/>
        </w:rPr>
        <w:t>Dr. Halász Iván</w:t>
      </w:r>
      <w:r w:rsidRPr="003A1562">
        <w:rPr>
          <w:rFonts w:ascii="Times New Roman" w:eastAsia="Times New Roman" w:hAnsi="Times New Roman" w:cs="Times New Roman"/>
          <w:bCs/>
        </w:rPr>
        <w:t xml:space="preserve">, </w:t>
      </w:r>
      <w:r w:rsidRPr="003A1562">
        <w:rPr>
          <w:rFonts w:ascii="Times New Roman" w:eastAsia="Times New Roman" w:hAnsi="Times New Roman" w:cs="Times New Roman"/>
          <w:bCs/>
          <w:noProof/>
        </w:rPr>
        <w:t>PhD</w:t>
      </w:r>
      <w:r w:rsidRPr="003A1562">
        <w:rPr>
          <w:rFonts w:ascii="Times New Roman" w:eastAsia="Times New Roman" w:hAnsi="Times New Roman" w:cs="Times New Roman"/>
          <w:bCs/>
        </w:rPr>
        <w:t xml:space="preserve">, </w:t>
      </w:r>
      <w:r w:rsidRPr="003A1562">
        <w:rPr>
          <w:rFonts w:ascii="Times New Roman" w:eastAsia="Times New Roman" w:hAnsi="Times New Roman" w:cs="Times New Roman"/>
          <w:bCs/>
          <w:noProof/>
        </w:rPr>
        <w:t>egyetemi tanár</w:t>
      </w:r>
    </w:p>
    <w:p w:rsidR="003A1562" w:rsidRPr="003A1562" w:rsidRDefault="003A1562" w:rsidP="00980876">
      <w:pPr>
        <w:widowControl w:val="0"/>
        <w:numPr>
          <w:ilvl w:val="0"/>
          <w:numId w:val="828"/>
        </w:numPr>
        <w:tabs>
          <w:tab w:val="num" w:pos="720"/>
        </w:tabs>
        <w:spacing w:before="120" w:after="120" w:line="240" w:lineRule="auto"/>
        <w:ind w:left="426" w:hanging="142"/>
        <w:jc w:val="both"/>
        <w:rPr>
          <w:rFonts w:ascii="Times New Roman" w:eastAsia="Times New Roman" w:hAnsi="Times New Roman" w:cs="Times New Roman"/>
          <w:bCs/>
        </w:rPr>
      </w:pPr>
      <w:r w:rsidRPr="003A1562">
        <w:rPr>
          <w:rFonts w:ascii="Times New Roman" w:eastAsia="Times New Roman" w:hAnsi="Times New Roman" w:cs="Times New Roman"/>
          <w:b/>
          <w:bCs/>
        </w:rPr>
        <w:t>A tanórák száma és típusa</w:t>
      </w:r>
    </w:p>
    <w:p w:rsidR="003A1562" w:rsidRPr="003A1562" w:rsidRDefault="003A1562" w:rsidP="00980876">
      <w:pPr>
        <w:widowControl w:val="0"/>
        <w:numPr>
          <w:ilvl w:val="1"/>
          <w:numId w:val="828"/>
        </w:numPr>
        <w:tabs>
          <w:tab w:val="num" w:pos="2069"/>
          <w:tab w:val="num" w:pos="3977"/>
        </w:tabs>
        <w:spacing w:before="120" w:after="120" w:line="240" w:lineRule="auto"/>
        <w:ind w:left="851" w:hanging="425"/>
        <w:jc w:val="both"/>
        <w:rPr>
          <w:rFonts w:ascii="Times New Roman" w:eastAsia="Times New Roman" w:hAnsi="Times New Roman" w:cs="Times New Roman"/>
          <w:bCs/>
        </w:rPr>
      </w:pPr>
      <w:r w:rsidRPr="003A1562">
        <w:rPr>
          <w:rFonts w:ascii="Times New Roman" w:eastAsia="Times New Roman" w:hAnsi="Times New Roman" w:cs="Times New Roman"/>
          <w:bCs/>
        </w:rPr>
        <w:t>össz óraszám/félév:</w:t>
      </w:r>
    </w:p>
    <w:p w:rsidR="003A1562" w:rsidRPr="003A1562" w:rsidRDefault="003A1562" w:rsidP="00980876">
      <w:pPr>
        <w:widowControl w:val="0"/>
        <w:numPr>
          <w:ilvl w:val="2"/>
          <w:numId w:val="828"/>
        </w:numPr>
        <w:tabs>
          <w:tab w:val="num" w:pos="1134"/>
          <w:tab w:val="num" w:pos="1800"/>
        </w:tabs>
        <w:spacing w:before="120" w:after="120" w:line="240" w:lineRule="auto"/>
        <w:ind w:left="851" w:hanging="425"/>
        <w:jc w:val="both"/>
        <w:rPr>
          <w:rFonts w:ascii="Times New Roman" w:eastAsia="Times New Roman" w:hAnsi="Times New Roman" w:cs="Times New Roman"/>
          <w:bCs/>
        </w:rPr>
      </w:pPr>
      <w:r w:rsidRPr="003A1562">
        <w:rPr>
          <w:rFonts w:ascii="Times New Roman" w:eastAsia="Times New Roman" w:hAnsi="Times New Roman" w:cs="Times New Roman"/>
          <w:bCs/>
        </w:rPr>
        <w:t xml:space="preserve">nappali munkarend: </w:t>
      </w:r>
      <w:r w:rsidRPr="003A1562">
        <w:rPr>
          <w:rFonts w:ascii="Times New Roman" w:eastAsia="Times New Roman" w:hAnsi="Times New Roman" w:cs="Times New Roman"/>
          <w:bCs/>
          <w:noProof/>
        </w:rPr>
        <w:t>28</w:t>
      </w:r>
      <w:r w:rsidRPr="003A1562">
        <w:rPr>
          <w:rFonts w:ascii="Times New Roman" w:eastAsia="Times New Roman" w:hAnsi="Times New Roman" w:cs="Times New Roman"/>
          <w:bCs/>
        </w:rPr>
        <w:t xml:space="preserve"> (</w:t>
      </w:r>
      <w:r w:rsidRPr="003A1562">
        <w:rPr>
          <w:rFonts w:ascii="Times New Roman" w:eastAsia="Times New Roman" w:hAnsi="Times New Roman" w:cs="Times New Roman"/>
          <w:bCs/>
          <w:noProof/>
        </w:rPr>
        <w:t>0</w:t>
      </w:r>
      <w:r w:rsidRPr="003A1562">
        <w:rPr>
          <w:rFonts w:ascii="Times New Roman" w:eastAsia="Times New Roman" w:hAnsi="Times New Roman" w:cs="Times New Roman"/>
          <w:bCs/>
        </w:rPr>
        <w:t xml:space="preserve"> EA + </w:t>
      </w:r>
      <w:r w:rsidRPr="003A1562">
        <w:rPr>
          <w:rFonts w:ascii="Times New Roman" w:eastAsia="Times New Roman" w:hAnsi="Times New Roman" w:cs="Times New Roman"/>
          <w:bCs/>
          <w:noProof/>
        </w:rPr>
        <w:t>28</w:t>
      </w:r>
      <w:r w:rsidRPr="003A1562">
        <w:rPr>
          <w:rFonts w:ascii="Times New Roman" w:eastAsia="Times New Roman" w:hAnsi="Times New Roman" w:cs="Times New Roman"/>
          <w:bCs/>
        </w:rPr>
        <w:t xml:space="preserve"> GY)</w:t>
      </w:r>
    </w:p>
    <w:p w:rsidR="003A1562" w:rsidRPr="003A1562" w:rsidRDefault="003A1562" w:rsidP="00980876">
      <w:pPr>
        <w:widowControl w:val="0"/>
        <w:numPr>
          <w:ilvl w:val="2"/>
          <w:numId w:val="828"/>
        </w:numPr>
        <w:tabs>
          <w:tab w:val="num" w:pos="1134"/>
          <w:tab w:val="num" w:pos="1800"/>
        </w:tabs>
        <w:spacing w:before="120" w:after="120" w:line="240" w:lineRule="auto"/>
        <w:ind w:left="851" w:hanging="425"/>
        <w:jc w:val="both"/>
        <w:rPr>
          <w:rFonts w:ascii="Times New Roman" w:eastAsia="Times New Roman" w:hAnsi="Times New Roman" w:cs="Times New Roman"/>
          <w:bCs/>
        </w:rPr>
      </w:pPr>
      <w:r w:rsidRPr="003A1562">
        <w:rPr>
          <w:rFonts w:ascii="Times New Roman" w:eastAsia="Times New Roman" w:hAnsi="Times New Roman" w:cs="Times New Roman"/>
          <w:bCs/>
        </w:rPr>
        <w:t xml:space="preserve">levelező munkarend: </w:t>
      </w:r>
      <w:r w:rsidRPr="003A1562">
        <w:rPr>
          <w:rFonts w:ascii="Times New Roman" w:eastAsia="Times New Roman" w:hAnsi="Times New Roman" w:cs="Times New Roman"/>
          <w:bCs/>
          <w:noProof/>
        </w:rPr>
        <w:t>8</w:t>
      </w:r>
      <w:r w:rsidRPr="003A1562">
        <w:rPr>
          <w:rFonts w:ascii="Times New Roman" w:eastAsia="Times New Roman" w:hAnsi="Times New Roman" w:cs="Times New Roman"/>
          <w:bCs/>
        </w:rPr>
        <w:t xml:space="preserve"> (</w:t>
      </w:r>
      <w:r w:rsidRPr="003A1562">
        <w:rPr>
          <w:rFonts w:ascii="Times New Roman" w:eastAsia="Times New Roman" w:hAnsi="Times New Roman" w:cs="Times New Roman"/>
          <w:bCs/>
          <w:noProof/>
        </w:rPr>
        <w:t>0</w:t>
      </w:r>
      <w:r w:rsidRPr="003A1562">
        <w:rPr>
          <w:rFonts w:ascii="Times New Roman" w:eastAsia="Times New Roman" w:hAnsi="Times New Roman" w:cs="Times New Roman"/>
          <w:bCs/>
        </w:rPr>
        <w:t xml:space="preserve"> EA + </w:t>
      </w:r>
      <w:r w:rsidRPr="003A1562">
        <w:rPr>
          <w:rFonts w:ascii="Times New Roman" w:eastAsia="Times New Roman" w:hAnsi="Times New Roman" w:cs="Times New Roman"/>
          <w:bCs/>
          <w:noProof/>
        </w:rPr>
        <w:t>8</w:t>
      </w:r>
      <w:r w:rsidRPr="003A1562">
        <w:rPr>
          <w:rFonts w:ascii="Times New Roman" w:eastAsia="Times New Roman" w:hAnsi="Times New Roman" w:cs="Times New Roman"/>
          <w:bCs/>
        </w:rPr>
        <w:t xml:space="preserve"> GY)</w:t>
      </w:r>
    </w:p>
    <w:p w:rsidR="003A1562" w:rsidRPr="003A1562" w:rsidRDefault="003A1562" w:rsidP="00980876">
      <w:pPr>
        <w:widowControl w:val="0"/>
        <w:numPr>
          <w:ilvl w:val="1"/>
          <w:numId w:val="828"/>
        </w:numPr>
        <w:tabs>
          <w:tab w:val="num" w:pos="2069"/>
          <w:tab w:val="num" w:pos="3977"/>
        </w:tabs>
        <w:spacing w:before="120" w:after="120" w:line="240" w:lineRule="auto"/>
        <w:ind w:left="851" w:hanging="425"/>
        <w:jc w:val="both"/>
        <w:rPr>
          <w:rFonts w:ascii="Times New Roman" w:eastAsia="Times New Roman" w:hAnsi="Times New Roman" w:cs="Times New Roman"/>
          <w:bCs/>
        </w:rPr>
      </w:pPr>
      <w:r w:rsidRPr="003A1562">
        <w:rPr>
          <w:rFonts w:ascii="Times New Roman" w:eastAsia="Times New Roman" w:hAnsi="Times New Roman" w:cs="Times New Roman"/>
          <w:bCs/>
        </w:rPr>
        <w:t xml:space="preserve">heti óraszám - nappali munkarend: </w:t>
      </w:r>
      <w:r w:rsidRPr="003A1562">
        <w:rPr>
          <w:rFonts w:ascii="Times New Roman" w:eastAsia="Times New Roman" w:hAnsi="Times New Roman" w:cs="Times New Roman"/>
          <w:bCs/>
          <w:noProof/>
        </w:rPr>
        <w:t>2</w:t>
      </w:r>
      <w:r w:rsidRPr="003A1562">
        <w:rPr>
          <w:rFonts w:ascii="Times New Roman" w:eastAsia="Times New Roman" w:hAnsi="Times New Roman" w:cs="Times New Roman"/>
          <w:bCs/>
        </w:rPr>
        <w:t xml:space="preserve"> (</w:t>
      </w:r>
      <w:r w:rsidRPr="003A1562">
        <w:rPr>
          <w:rFonts w:ascii="Times New Roman" w:eastAsia="Times New Roman" w:hAnsi="Times New Roman" w:cs="Times New Roman"/>
          <w:bCs/>
          <w:noProof/>
        </w:rPr>
        <w:t>0</w:t>
      </w:r>
      <w:r w:rsidRPr="003A1562">
        <w:rPr>
          <w:rFonts w:ascii="Times New Roman" w:eastAsia="Times New Roman" w:hAnsi="Times New Roman" w:cs="Times New Roman"/>
          <w:bCs/>
        </w:rPr>
        <w:t xml:space="preserve"> EA + </w:t>
      </w:r>
      <w:r w:rsidRPr="003A1562">
        <w:rPr>
          <w:rFonts w:ascii="Times New Roman" w:eastAsia="Times New Roman" w:hAnsi="Times New Roman" w:cs="Times New Roman"/>
          <w:bCs/>
          <w:noProof/>
        </w:rPr>
        <w:t>2</w:t>
      </w:r>
      <w:r w:rsidRPr="003A1562">
        <w:rPr>
          <w:rFonts w:ascii="Times New Roman" w:eastAsia="Times New Roman" w:hAnsi="Times New Roman" w:cs="Times New Roman"/>
          <w:bCs/>
        </w:rPr>
        <w:t xml:space="preserve"> GY)</w:t>
      </w:r>
    </w:p>
    <w:p w:rsidR="003A1562" w:rsidRPr="003A1562" w:rsidRDefault="003A1562" w:rsidP="00980876">
      <w:pPr>
        <w:widowControl w:val="0"/>
        <w:numPr>
          <w:ilvl w:val="1"/>
          <w:numId w:val="828"/>
        </w:numPr>
        <w:tabs>
          <w:tab w:val="num" w:pos="2069"/>
          <w:tab w:val="num" w:pos="3977"/>
        </w:tabs>
        <w:spacing w:before="120" w:after="120" w:line="240" w:lineRule="auto"/>
        <w:ind w:left="851" w:hanging="425"/>
        <w:jc w:val="both"/>
        <w:rPr>
          <w:rFonts w:ascii="Times New Roman" w:eastAsia="Times New Roman" w:hAnsi="Times New Roman" w:cs="Times New Roman"/>
          <w:bCs/>
        </w:rPr>
      </w:pPr>
      <w:r w:rsidRPr="003A1562">
        <w:rPr>
          <w:rFonts w:ascii="Times New Roman" w:eastAsia="Calibri" w:hAnsi="Times New Roman" w:cs="Times New Roman"/>
        </w:rPr>
        <w:t xml:space="preserve">Az ismeret átadásában alkalmazandó további sajátos módok, jellemzők: </w:t>
      </w:r>
      <w:r w:rsidRPr="003A1562">
        <w:rPr>
          <w:rFonts w:ascii="Times New Roman" w:eastAsia="Calibri" w:hAnsi="Times New Roman" w:cs="Times New Roman"/>
          <w:noProof/>
        </w:rPr>
        <w:t>-</w:t>
      </w:r>
      <w:r w:rsidRPr="003A1562">
        <w:rPr>
          <w:rFonts w:ascii="Times New Roman" w:eastAsia="Calibri" w:hAnsi="Times New Roman" w:cs="Times New Roman"/>
        </w:rPr>
        <w:t xml:space="preserve"> </w:t>
      </w:r>
    </w:p>
    <w:p w:rsidR="003A1562" w:rsidRPr="003A1562" w:rsidRDefault="003A1562" w:rsidP="00980876">
      <w:pPr>
        <w:widowControl w:val="0"/>
        <w:numPr>
          <w:ilvl w:val="0"/>
          <w:numId w:val="828"/>
        </w:numPr>
        <w:tabs>
          <w:tab w:val="num" w:pos="720"/>
        </w:tabs>
        <w:spacing w:before="120" w:after="120" w:line="240" w:lineRule="auto"/>
        <w:ind w:left="426" w:hanging="142"/>
        <w:jc w:val="both"/>
        <w:rPr>
          <w:rFonts w:ascii="Times New Roman" w:eastAsia="Times New Roman" w:hAnsi="Times New Roman" w:cs="Times New Roman"/>
          <w:bCs/>
        </w:rPr>
      </w:pPr>
      <w:r w:rsidRPr="003A1562">
        <w:rPr>
          <w:rFonts w:ascii="Times New Roman" w:eastAsia="Times New Roman" w:hAnsi="Times New Roman" w:cs="Times New Roman"/>
          <w:b/>
          <w:bCs/>
        </w:rPr>
        <w:t>A tantárgy szakmai tartalma (magyarul):</w:t>
      </w:r>
      <w:r w:rsidRPr="003A1562">
        <w:rPr>
          <w:rFonts w:ascii="Times New Roman" w:eastAsia="Times New Roman" w:hAnsi="Times New Roman" w:cs="Times New Roman"/>
          <w:bCs/>
        </w:rPr>
        <w:t xml:space="preserve"> </w:t>
      </w:r>
      <w:r w:rsidRPr="003A1562">
        <w:rPr>
          <w:rFonts w:ascii="Times New Roman" w:eastAsia="Times New Roman" w:hAnsi="Times New Roman" w:cs="Times New Roman"/>
          <w:bCs/>
          <w:noProof/>
        </w:rPr>
        <w:t>A tantárgy a magyar identitásképző történelmi korszakok különböző, nagyhatású kulturális, politikai, társadalmi és művészeti jelenségeit tárgyalja. A témák vertikálisan időrendet követnek, amelyek horizontálisan kapcsolódnak a Ludoviceum I. másik két tantárgyához is. A szemináriumon résztvevő hallgatók a kultúra, identitás és nemzet kérdésköréhez tartozó fogalmak tartalmával és háttérelemeivel ismerkednek meg. Olyan kultúrtörténeti csomópontokat és jelenségeket tanulmányoznak a megadott szemelvények és illusztrációk által, amelyek nemcsak identitásképző jelentőségűek hanem máig a nemzettudat részei is. A magyarországi példákat az egyetemes kultúrtörténet szempontjából is értékelik. A történelmi korok kontextusában bemutatott témákat, helyenként korabeli zenei aláfestés is kiegészíti. A cél, hogy a hallgatók felismerjék az indentitásképződés folyamatát kultúrában, politikában, tudományban egyaránt. Tanulmányaik alatt a hallgatók nem csak lexikális ismereteiket bővítik, de egyben a történelmi, kulturális és társadalmi folyamatokra is képesek lesznek rálátni, azokat komplex módon érteni. Felismerik az egyes jelenségek és folyamatok kapcsolatait és jövőt érintő hatásaikat. A kurzus interaktív gyakorlati foglalkozásokra épít, amelyben a hallgatók az elolvasott szemelvényekkel és kiegészítő illusztrációkkal kapcsolatban önálló felismerésekről számolhatnak be egy-egy téma megbeszélése alatt. A vita keretében részkérdéseket tudnak megfogalmazni, összefüggéseket és folyamatokat vesznek észre és tárnak fel. Az egyes témákhoz általánosabb jellegű alapirodalom tartozik, amely által az érdeklődők tovább tudnak tájékozódni. A kurzust színházlátogatás egészíti ki, valamely a témát érintő fontos darab megtekintésével.</w:t>
      </w:r>
    </w:p>
    <w:p w:rsidR="003A1562" w:rsidRPr="003A1562" w:rsidRDefault="003A1562" w:rsidP="003A1562">
      <w:pPr>
        <w:widowControl w:val="0"/>
        <w:spacing w:before="120" w:after="120" w:line="240" w:lineRule="auto"/>
        <w:ind w:left="426"/>
        <w:jc w:val="both"/>
        <w:rPr>
          <w:rFonts w:ascii="Times New Roman" w:eastAsia="Times New Roman" w:hAnsi="Times New Roman" w:cs="Times New Roman"/>
          <w:bCs/>
          <w:lang w:val="en-GB"/>
        </w:rPr>
      </w:pPr>
      <w:r w:rsidRPr="003A1562">
        <w:rPr>
          <w:rFonts w:ascii="Times New Roman" w:eastAsia="Times New Roman" w:hAnsi="Times New Roman" w:cs="Times New Roman"/>
          <w:b/>
          <w:bCs/>
        </w:rPr>
        <w:t>A tantárgy szakmai tartalma (angolul) (</w:t>
      </w:r>
      <w:r w:rsidRPr="003A1562">
        <w:rPr>
          <w:rFonts w:ascii="Times New Roman" w:eastAsia="Times New Roman" w:hAnsi="Times New Roman" w:cs="Times New Roman"/>
          <w:b/>
          <w:bCs/>
          <w:lang w:val="en-US"/>
        </w:rPr>
        <w:t>Course description</w:t>
      </w:r>
      <w:r w:rsidRPr="003A1562">
        <w:rPr>
          <w:rFonts w:ascii="Times New Roman" w:eastAsia="Times New Roman" w:hAnsi="Times New Roman" w:cs="Times New Roman"/>
          <w:b/>
          <w:bCs/>
        </w:rPr>
        <w:t xml:space="preserve">): </w:t>
      </w:r>
      <w:r w:rsidRPr="003A1562">
        <w:rPr>
          <w:rFonts w:ascii="Times New Roman" w:eastAsia="Times New Roman" w:hAnsi="Times New Roman" w:cs="Times New Roman"/>
          <w:bCs/>
          <w:noProof/>
        </w:rPr>
        <w:t xml:space="preserve">The seminar primarily focuses on the cultural, political, social and artistic aspects of those periods in Hungarian history that largely contributed to the nation’s identity formation. The topics follow a vertical chronological </w:t>
      </w:r>
      <w:r w:rsidRPr="003A1562">
        <w:rPr>
          <w:rFonts w:ascii="Times New Roman" w:eastAsia="Times New Roman" w:hAnsi="Times New Roman" w:cs="Times New Roman"/>
          <w:bCs/>
          <w:noProof/>
        </w:rPr>
        <w:lastRenderedPageBreak/>
        <w:t>order and can be connected horizontally to the two other courses of Ludoviceum I. During the seminar, students familiarise themselves with the necessary definitions and contexts of terms related to the discussion of culture, identity and nation. With the help of additional illustrations and excerpts, students can discover nodes/crossroads in the field of culture and history - nodes that have been contributing to the national identity ever since. Students are also invited to discuss and give their feedback on the examples of Hungarian history from a more general perspective and to place them in universal historical context. At some points over the course of the seminar, the topics presented in historical context are accompanied by contemporary musical elements too. The aim of the seminar is to enable students to recognise the process of a growing identity and nation in the fields of culture, politics and science. While doing so, they not only extend their lexical knowledge, but also develop the ability of understanding socio-cultural processes in a more complex way. Furthermore, students are going to acquire the ability of discovering the connection between certain historical events and their effects on the future. The seminar is constructed in a practical and interactive way, so that during the discussions, students can present their ideas on the topic while working with the complementary illustrations and excerpts. Through these discourses they will be able to form sub-questions and see through correlations and processes. For those who wish to dig deeper in certain topics during the semester, more general secondary sources are provided. The course may also involve occasional theatre visits, where students can watch plays relevant to the topics covered during the term.</w:t>
      </w:r>
      <w:r w:rsidRPr="003A1562">
        <w:rPr>
          <w:rFonts w:ascii="Times New Roman" w:eastAsia="Times New Roman" w:hAnsi="Times New Roman" w:cs="Times New Roman"/>
          <w:bCs/>
          <w:lang w:val="en-GB"/>
        </w:rPr>
        <w:t xml:space="preserve"> </w:t>
      </w:r>
    </w:p>
    <w:p w:rsidR="003A1562" w:rsidRPr="003A1562" w:rsidRDefault="003A1562" w:rsidP="00980876">
      <w:pPr>
        <w:widowControl w:val="0"/>
        <w:numPr>
          <w:ilvl w:val="0"/>
          <w:numId w:val="828"/>
        </w:numPr>
        <w:tabs>
          <w:tab w:val="num" w:pos="720"/>
        </w:tabs>
        <w:spacing w:before="120" w:after="120" w:line="240" w:lineRule="auto"/>
        <w:ind w:left="720"/>
        <w:contextualSpacing/>
        <w:jc w:val="both"/>
        <w:rPr>
          <w:rFonts w:ascii="Times New Roman" w:eastAsia="Times New Roman" w:hAnsi="Times New Roman" w:cs="Times New Roman"/>
          <w:bCs/>
        </w:rPr>
      </w:pPr>
      <w:r w:rsidRPr="003A1562">
        <w:rPr>
          <w:rFonts w:ascii="Times New Roman" w:eastAsia="Times New Roman" w:hAnsi="Times New Roman" w:cs="Times New Roman"/>
          <w:b/>
          <w:bCs/>
        </w:rPr>
        <w:t xml:space="preserve">Elérendő kompetenciák (magyarul): </w:t>
      </w:r>
    </w:p>
    <w:p w:rsidR="003A1562" w:rsidRPr="003A1562" w:rsidRDefault="003A1562" w:rsidP="003A1562">
      <w:pPr>
        <w:widowControl w:val="0"/>
        <w:spacing w:before="120" w:after="120" w:line="240" w:lineRule="auto"/>
        <w:ind w:left="425"/>
        <w:jc w:val="both"/>
        <w:rPr>
          <w:rFonts w:ascii="Times New Roman" w:eastAsia="Times New Roman" w:hAnsi="Times New Roman" w:cs="Times New Roman"/>
          <w:bCs/>
        </w:rPr>
      </w:pPr>
      <w:r w:rsidRPr="003A1562">
        <w:rPr>
          <w:rFonts w:ascii="Times New Roman" w:eastAsia="Times New Roman" w:hAnsi="Times New Roman" w:cs="Times New Roman"/>
          <w:b/>
          <w:bCs/>
        </w:rPr>
        <w:t>Tudása:</w:t>
      </w:r>
      <w:r w:rsidRPr="003A1562">
        <w:rPr>
          <w:rFonts w:ascii="Times New Roman" w:eastAsia="Times New Roman" w:hAnsi="Times New Roman" w:cs="Times New Roman"/>
          <w:bCs/>
        </w:rPr>
        <w:t xml:space="preserve"> </w:t>
      </w:r>
      <w:r w:rsidRPr="003A1562">
        <w:rPr>
          <w:rFonts w:ascii="Times New Roman" w:eastAsia="Times New Roman" w:hAnsi="Times New Roman" w:cs="Times New Roman"/>
          <w:bCs/>
          <w:noProof/>
        </w:rPr>
        <w:t>A hallgatók a tantárgy elvégzésével megfelelő tudással rendelkeznek a magyar nemzeti identitás sajátosságairól, a magyarság kulturális teljesítményeiről, a társadalmi-politikai közösség önazonosságát kifejező tényezőkről. Általános műveltségük erőteljesen bővül, megértik a különböző hátterű jelenségek kapcsolatát.</w:t>
      </w:r>
    </w:p>
    <w:p w:rsidR="003A1562" w:rsidRPr="003A1562" w:rsidRDefault="003A1562" w:rsidP="003A1562">
      <w:pPr>
        <w:widowControl w:val="0"/>
        <w:spacing w:before="120" w:after="120" w:line="240" w:lineRule="auto"/>
        <w:ind w:left="426"/>
        <w:jc w:val="both"/>
        <w:rPr>
          <w:rFonts w:ascii="Times New Roman" w:eastAsia="Times New Roman" w:hAnsi="Times New Roman" w:cs="Times New Roman"/>
          <w:bCs/>
        </w:rPr>
      </w:pPr>
      <w:r w:rsidRPr="003A1562">
        <w:rPr>
          <w:rFonts w:ascii="Times New Roman" w:eastAsia="Times New Roman" w:hAnsi="Times New Roman" w:cs="Times New Roman"/>
          <w:b/>
          <w:bCs/>
        </w:rPr>
        <w:t>Képességei:</w:t>
      </w:r>
      <w:r w:rsidRPr="003A1562">
        <w:rPr>
          <w:rFonts w:ascii="Times New Roman" w:eastAsia="Times New Roman" w:hAnsi="Times New Roman" w:cs="Times New Roman"/>
          <w:bCs/>
        </w:rPr>
        <w:t xml:space="preserve"> </w:t>
      </w:r>
      <w:r w:rsidRPr="003A1562">
        <w:rPr>
          <w:rFonts w:ascii="Times New Roman" w:eastAsia="Times New Roman" w:hAnsi="Times New Roman" w:cs="Times New Roman"/>
          <w:bCs/>
          <w:noProof/>
        </w:rPr>
        <w:t>Képesek azonosulni a magyar nemzeti hagyománnyal, kulturális önértékelésük és magabiztosságuk nemzetközi szinten is nő. Felismerik a nemzeti identitással összefüggésben álló erősségeiket és gyengéiket, fejlődik a kritikai és elfogadási készségük. Felismerik az egyetemes és a sajátos kulturális jelenségeket. Képessé válnak komplex problémák megértésére, összefüggések észrevételére, következtetések megfogalmazására. Képessé válnak személyes világnézet kialakítására úgy, hogy a nemzeti identitásuk megmarad. A történelmi és kulturális ismereteket alkalmazott tudásként kezelik.</w:t>
      </w:r>
      <w:r w:rsidRPr="003A1562">
        <w:rPr>
          <w:rFonts w:ascii="Times New Roman" w:eastAsia="Times New Roman" w:hAnsi="Times New Roman" w:cs="Times New Roman"/>
          <w:bCs/>
        </w:rPr>
        <w:t xml:space="preserve"> </w:t>
      </w:r>
    </w:p>
    <w:p w:rsidR="003A1562" w:rsidRPr="003A1562" w:rsidRDefault="003A1562" w:rsidP="003A1562">
      <w:pPr>
        <w:widowControl w:val="0"/>
        <w:spacing w:before="120" w:after="120" w:line="240" w:lineRule="auto"/>
        <w:ind w:left="426"/>
        <w:jc w:val="both"/>
        <w:rPr>
          <w:rFonts w:ascii="Times New Roman" w:eastAsia="Times New Roman" w:hAnsi="Times New Roman" w:cs="Times New Roman"/>
          <w:bCs/>
        </w:rPr>
      </w:pPr>
      <w:r w:rsidRPr="003A1562">
        <w:rPr>
          <w:rFonts w:ascii="Times New Roman" w:eastAsia="Times New Roman" w:hAnsi="Times New Roman" w:cs="Times New Roman"/>
          <w:b/>
          <w:bCs/>
        </w:rPr>
        <w:t>Attitűdje:</w:t>
      </w:r>
      <w:r w:rsidRPr="003A1562">
        <w:rPr>
          <w:rFonts w:ascii="Times New Roman" w:eastAsia="Times New Roman" w:hAnsi="Times New Roman" w:cs="Times New Roman"/>
          <w:bCs/>
        </w:rPr>
        <w:t xml:space="preserve"> </w:t>
      </w:r>
      <w:r w:rsidRPr="003A1562">
        <w:rPr>
          <w:rFonts w:ascii="Times New Roman" w:eastAsia="Times New Roman" w:hAnsi="Times New Roman" w:cs="Times New Roman"/>
          <w:bCs/>
          <w:noProof/>
        </w:rPr>
        <w:t>A kurzus elvégzése után határozottabb önismerettel és világszemlélettel, az újra nyitottan vesznek részt a közösségi életben. Megértően, figyelmesen és tisztelettel viselkednek a társadalom különböző tagjaival szemben. Sajátjuknak tudják, megőrzik, képviselik és közszolgálatot végző személyekként is továbbadják a megismert érték- és fogalomkészletet. Érdeklődésük megnő a szakterületük szakmai, technológiai fejlesztésére, az innovációk megismerésére és elfogadására.</w:t>
      </w:r>
    </w:p>
    <w:p w:rsidR="003A1562" w:rsidRPr="003A1562" w:rsidRDefault="003A1562" w:rsidP="003A1562">
      <w:pPr>
        <w:widowControl w:val="0"/>
        <w:spacing w:before="120" w:after="120" w:line="240" w:lineRule="auto"/>
        <w:ind w:left="426"/>
        <w:jc w:val="both"/>
        <w:rPr>
          <w:rFonts w:ascii="Times New Roman" w:eastAsia="Times New Roman" w:hAnsi="Times New Roman" w:cs="Times New Roman"/>
          <w:bCs/>
        </w:rPr>
      </w:pPr>
      <w:r w:rsidRPr="003A1562">
        <w:rPr>
          <w:rFonts w:ascii="Times New Roman" w:eastAsia="Times New Roman" w:hAnsi="Times New Roman" w:cs="Times New Roman"/>
          <w:b/>
          <w:bCs/>
        </w:rPr>
        <w:t>Autonómiája és felelőssége:</w:t>
      </w:r>
      <w:r w:rsidRPr="003A1562">
        <w:rPr>
          <w:rFonts w:ascii="Times New Roman" w:eastAsia="Times New Roman" w:hAnsi="Times New Roman" w:cs="Times New Roman"/>
          <w:bCs/>
        </w:rPr>
        <w:t xml:space="preserve"> </w:t>
      </w:r>
      <w:r w:rsidRPr="003A1562">
        <w:rPr>
          <w:rFonts w:ascii="Times New Roman" w:eastAsia="Times New Roman" w:hAnsi="Times New Roman" w:cs="Times New Roman"/>
          <w:bCs/>
          <w:noProof/>
        </w:rPr>
        <w:t>A kulturális és történeti múlt tanulmányozása révén felismerik saját koruk társadalmi-politikai közösségeinek nemzeti és kulturális alapon való összetartozását. Látják a jelen nemzedékeinek történeti felelősségét. Nagyra értékelik a hivatástudatot és felismerik az egyéni hozzájárulás jelentőségét a társadalmi életben. Nem félnek elköteleződni. Önállóan végzik a problémák végiggondolását és a rendelkezésre álló adatok objektiv értékelését, elemzését. Felelősséggel részt vesznek a szakmai közéletben, véleményformálásban, döntésekben. Képesek rangsorolni a problémákat és felismerni saját pozíciójukat adott helyzetekben.</w:t>
      </w:r>
    </w:p>
    <w:p w:rsidR="003A1562" w:rsidRPr="003A1562" w:rsidRDefault="003A1562" w:rsidP="003A1562">
      <w:pPr>
        <w:widowControl w:val="0"/>
        <w:spacing w:before="120" w:after="120" w:line="240" w:lineRule="auto"/>
        <w:ind w:left="426"/>
        <w:jc w:val="both"/>
        <w:rPr>
          <w:rFonts w:ascii="Times New Roman" w:eastAsia="Times New Roman" w:hAnsi="Times New Roman" w:cs="Times New Roman"/>
          <w:b/>
          <w:bCs/>
          <w:lang w:val="en-US"/>
        </w:rPr>
      </w:pPr>
      <w:r w:rsidRPr="003A1562">
        <w:rPr>
          <w:rFonts w:ascii="Times New Roman" w:eastAsia="Times New Roman" w:hAnsi="Times New Roman" w:cs="Times New Roman"/>
          <w:b/>
          <w:bCs/>
        </w:rPr>
        <w:t>Elérendő kompetenciák (angolul) (</w:t>
      </w:r>
      <w:r w:rsidRPr="003A1562">
        <w:rPr>
          <w:rFonts w:ascii="Times New Roman" w:eastAsia="Times New Roman" w:hAnsi="Times New Roman" w:cs="Times New Roman"/>
          <w:b/>
          <w:bCs/>
          <w:lang w:val="en-US"/>
        </w:rPr>
        <w:t xml:space="preserve">Competences – English): </w:t>
      </w:r>
    </w:p>
    <w:p w:rsidR="003A1562" w:rsidRPr="003A1562" w:rsidRDefault="003A1562" w:rsidP="003A1562">
      <w:pPr>
        <w:widowControl w:val="0"/>
        <w:spacing w:before="120" w:after="120" w:line="240" w:lineRule="auto"/>
        <w:ind w:left="426"/>
        <w:jc w:val="both"/>
        <w:rPr>
          <w:rFonts w:ascii="Times New Roman" w:eastAsia="Times New Roman" w:hAnsi="Times New Roman" w:cs="Times New Roman"/>
          <w:lang w:val="en-GB"/>
        </w:rPr>
      </w:pPr>
      <w:r w:rsidRPr="003A1562">
        <w:rPr>
          <w:rFonts w:ascii="Times New Roman" w:eastAsia="Times New Roman" w:hAnsi="Times New Roman" w:cs="Times New Roman"/>
          <w:b/>
          <w:lang w:val="en-GB"/>
        </w:rPr>
        <w:t>Knowledge</w:t>
      </w:r>
      <w:r w:rsidRPr="003A1562">
        <w:rPr>
          <w:rFonts w:ascii="Times New Roman" w:eastAsia="Times New Roman" w:hAnsi="Times New Roman" w:cs="Times New Roman"/>
          <w:lang w:val="en-GB"/>
        </w:rPr>
        <w:t xml:space="preserve">: </w:t>
      </w:r>
      <w:r w:rsidRPr="003A1562">
        <w:rPr>
          <w:rFonts w:ascii="Times New Roman" w:eastAsia="Times New Roman" w:hAnsi="Times New Roman" w:cs="Times New Roman"/>
          <w:bCs/>
          <w:noProof/>
        </w:rPr>
        <w:t>Students will have sufficient knowledge about the main qualities of their national identity after completing the course. They will be familiar with Hungarian cultural activities and accomplishments and with the aspects expressing the identity of socio-cultural communities. Generally, their overall knowledge is expected to be broadened, so that they will be able to map and understand the complicated connections between different phenomena.</w:t>
      </w:r>
    </w:p>
    <w:p w:rsidR="003A1562" w:rsidRPr="003A1562" w:rsidRDefault="003A1562" w:rsidP="003A1562">
      <w:pPr>
        <w:widowControl w:val="0"/>
        <w:spacing w:before="120" w:after="120" w:line="240" w:lineRule="auto"/>
        <w:ind w:left="426"/>
        <w:jc w:val="both"/>
        <w:rPr>
          <w:rFonts w:ascii="Times New Roman" w:eastAsia="Times New Roman" w:hAnsi="Times New Roman" w:cs="Times New Roman"/>
          <w:lang w:val="en-GB"/>
        </w:rPr>
      </w:pPr>
      <w:r w:rsidRPr="003A1562">
        <w:rPr>
          <w:rFonts w:ascii="Times New Roman" w:eastAsia="Times New Roman" w:hAnsi="Times New Roman" w:cs="Times New Roman"/>
          <w:b/>
          <w:lang w:val="en-GB"/>
        </w:rPr>
        <w:t>Capabilities</w:t>
      </w:r>
      <w:r w:rsidRPr="003A1562">
        <w:rPr>
          <w:rFonts w:ascii="Times New Roman" w:eastAsia="Times New Roman" w:hAnsi="Times New Roman" w:cs="Times New Roman"/>
          <w:lang w:val="en-GB"/>
        </w:rPr>
        <w:t xml:space="preserve">: </w:t>
      </w:r>
      <w:r w:rsidRPr="003A1562">
        <w:rPr>
          <w:rFonts w:ascii="Times New Roman" w:eastAsia="Times New Roman" w:hAnsi="Times New Roman" w:cs="Times New Roman"/>
          <w:bCs/>
          <w:noProof/>
        </w:rPr>
        <w:t xml:space="preserve">Students will be able to identify with the national traditions and heritage; their cultural self-esteem and self-awareness will increase on an international level as well. They will </w:t>
      </w:r>
      <w:r w:rsidRPr="003A1562">
        <w:rPr>
          <w:rFonts w:ascii="Times New Roman" w:eastAsia="Times New Roman" w:hAnsi="Times New Roman" w:cs="Times New Roman"/>
          <w:bCs/>
          <w:noProof/>
        </w:rPr>
        <w:lastRenderedPageBreak/>
        <w:t>recognise their strengths and weaknesses regarding their national identity and they will also improve skills in critical thinking and acceptance. Students will attain the ability to realise historic events both on national and international level, and similarly, they will be able to interpret complex issues, notice correlations and draw conclusions. Hence, they w ill be able to form a subjective worldview while maintaining/preserving their national identity, as they use the attained historical and cultural knowledge as part of their everyday, practical knowledge.</w:t>
      </w:r>
    </w:p>
    <w:p w:rsidR="003A1562" w:rsidRPr="003A1562" w:rsidRDefault="003A1562" w:rsidP="003A1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425"/>
        <w:jc w:val="both"/>
        <w:rPr>
          <w:rFonts w:ascii="Times New Roman" w:eastAsia="Times New Roman" w:hAnsi="Times New Roman" w:cs="Times New Roman"/>
          <w:lang w:val="en-GB"/>
        </w:rPr>
      </w:pPr>
      <w:r w:rsidRPr="003A1562">
        <w:rPr>
          <w:rFonts w:ascii="Times New Roman" w:eastAsia="Times New Roman" w:hAnsi="Times New Roman" w:cs="Times New Roman"/>
          <w:b/>
          <w:lang w:val="en-GB"/>
        </w:rPr>
        <w:t>Attitude:</w:t>
      </w:r>
      <w:r w:rsidRPr="003A1562">
        <w:rPr>
          <w:rFonts w:ascii="Times New Roman" w:eastAsia="Times New Roman" w:hAnsi="Times New Roman" w:cs="Times New Roman"/>
          <w:lang w:val="en-GB"/>
        </w:rPr>
        <w:t xml:space="preserve"> </w:t>
      </w:r>
      <w:r w:rsidRPr="003A1562">
        <w:rPr>
          <w:rFonts w:ascii="Times New Roman" w:eastAsia="Times New Roman" w:hAnsi="Times New Roman" w:cs="Times New Roman"/>
          <w:bCs/>
          <w:noProof/>
        </w:rPr>
        <w:t>After completing the seminar, students’ self-awareness increases, as well as their world view becomes more well-defined – they are able to participate openly in different social environments. Their ability of understanding and acceptance improves as they become more attentive and considerate towards various members of their society. They regard and maintain the attained values and knowledge as their own and are able to express themselves as representatives of public services. Their interest in developing their own profession increases and they are willing to learn and acknowledge innovations in their fields.</w:t>
      </w:r>
    </w:p>
    <w:p w:rsidR="003A1562" w:rsidRPr="003A1562" w:rsidRDefault="003A1562" w:rsidP="003A1562">
      <w:pPr>
        <w:widowControl w:val="0"/>
        <w:spacing w:before="120" w:after="120" w:line="240" w:lineRule="auto"/>
        <w:ind w:left="426"/>
        <w:jc w:val="both"/>
        <w:rPr>
          <w:rFonts w:ascii="Times New Roman" w:eastAsia="Times New Roman" w:hAnsi="Times New Roman" w:cs="Times New Roman"/>
          <w:lang w:val="en-GB"/>
        </w:rPr>
      </w:pPr>
      <w:r w:rsidRPr="003A1562">
        <w:rPr>
          <w:rFonts w:ascii="Times New Roman" w:eastAsia="Times New Roman" w:hAnsi="Times New Roman" w:cs="Times New Roman"/>
          <w:b/>
          <w:lang w:val="en-GB"/>
        </w:rPr>
        <w:t xml:space="preserve">Autonomy and responsibility: </w:t>
      </w:r>
      <w:r w:rsidRPr="003A1562">
        <w:rPr>
          <w:rFonts w:ascii="Times New Roman" w:eastAsia="Times New Roman" w:hAnsi="Times New Roman" w:cs="Times New Roman"/>
          <w:bCs/>
          <w:noProof/>
        </w:rPr>
        <w:t>Having studied the cultural and historical past, students are able to recognise the mutual cultural and national roots of contemporary socio-political communities. They can realise the responsibility of present-day generations, value their vocation and see the need and importance of individual contribution in the society. They are willing to take on commitments and are able to think about problems independently. Correspondingly, they can judge and study information in an objective, impartial way. They take on responsibility in the public sphere, as well as in forming opinions and making decisions. Finally, they can classify and rank problems as well as identify their own position in certain situations.</w:t>
      </w:r>
    </w:p>
    <w:p w:rsidR="003A1562" w:rsidRPr="003A1562" w:rsidRDefault="003A1562" w:rsidP="00980876">
      <w:pPr>
        <w:widowControl w:val="0"/>
        <w:numPr>
          <w:ilvl w:val="0"/>
          <w:numId w:val="828"/>
        </w:numPr>
        <w:tabs>
          <w:tab w:val="num" w:pos="567"/>
          <w:tab w:val="num" w:pos="720"/>
        </w:tabs>
        <w:spacing w:before="120" w:after="120" w:line="240" w:lineRule="auto"/>
        <w:ind w:left="426" w:hanging="142"/>
        <w:jc w:val="both"/>
        <w:rPr>
          <w:rFonts w:ascii="Times New Roman" w:eastAsia="Times New Roman" w:hAnsi="Times New Roman" w:cs="Times New Roman"/>
          <w:bCs/>
        </w:rPr>
      </w:pPr>
      <w:r w:rsidRPr="003A1562">
        <w:rPr>
          <w:rFonts w:ascii="Times New Roman" w:eastAsia="Times New Roman" w:hAnsi="Times New Roman" w:cs="Times New Roman"/>
          <w:b/>
          <w:bCs/>
        </w:rPr>
        <w:t xml:space="preserve">Előtanulmányi követelmények: </w:t>
      </w:r>
      <w:r w:rsidRPr="003A1562">
        <w:rPr>
          <w:rFonts w:ascii="Times New Roman" w:eastAsia="Times New Roman" w:hAnsi="Times New Roman" w:cs="Times New Roman"/>
          <w:bCs/>
          <w:noProof/>
        </w:rPr>
        <w:t>-</w:t>
      </w:r>
      <w:r w:rsidRPr="003A1562">
        <w:rPr>
          <w:rFonts w:ascii="Times New Roman" w:eastAsia="Times New Roman" w:hAnsi="Times New Roman" w:cs="Times New Roman"/>
          <w:bCs/>
        </w:rPr>
        <w:t xml:space="preserve"> </w:t>
      </w:r>
    </w:p>
    <w:p w:rsidR="003A1562" w:rsidRPr="003A1562" w:rsidRDefault="003A1562" w:rsidP="00980876">
      <w:pPr>
        <w:widowControl w:val="0"/>
        <w:numPr>
          <w:ilvl w:val="0"/>
          <w:numId w:val="828"/>
        </w:numPr>
        <w:tabs>
          <w:tab w:val="num" w:pos="720"/>
        </w:tabs>
        <w:spacing w:before="120" w:after="120" w:line="240" w:lineRule="auto"/>
        <w:ind w:left="426" w:hanging="142"/>
        <w:jc w:val="both"/>
        <w:rPr>
          <w:rFonts w:ascii="Times New Roman" w:eastAsia="Times New Roman" w:hAnsi="Times New Roman" w:cs="Times New Roman"/>
          <w:b/>
          <w:bCs/>
        </w:rPr>
      </w:pPr>
      <w:r w:rsidRPr="003A1562">
        <w:rPr>
          <w:rFonts w:ascii="Times New Roman" w:eastAsia="Times New Roman" w:hAnsi="Times New Roman" w:cs="Times New Roman"/>
          <w:b/>
          <w:bCs/>
        </w:rPr>
        <w:t>A tantárgy tananyagának leírása, tematika. Description of the subject, curriculum (magyarul, angolul - English):</w:t>
      </w:r>
    </w:p>
    <w:p w:rsidR="003A1562" w:rsidRPr="00C2057B" w:rsidRDefault="003A1562" w:rsidP="00980876">
      <w:pPr>
        <w:widowControl w:val="0"/>
        <w:numPr>
          <w:ilvl w:val="1"/>
          <w:numId w:val="828"/>
        </w:numPr>
        <w:tabs>
          <w:tab w:val="left" w:pos="709"/>
          <w:tab w:val="left" w:pos="993"/>
          <w:tab w:val="num" w:pos="3977"/>
        </w:tabs>
        <w:spacing w:before="120" w:after="120" w:line="240" w:lineRule="auto"/>
        <w:ind w:left="709" w:hanging="715"/>
        <w:jc w:val="both"/>
        <w:rPr>
          <w:rFonts w:ascii="Times New Roman" w:eastAsia="Times New Roman" w:hAnsi="Times New Roman" w:cs="Times New Roman"/>
          <w:bCs/>
          <w:i/>
          <w:noProof/>
        </w:rPr>
      </w:pPr>
      <w:r w:rsidRPr="003A1562">
        <w:rPr>
          <w:rFonts w:ascii="Times New Roman" w:eastAsia="Times New Roman" w:hAnsi="Times New Roman" w:cs="Times New Roman"/>
          <w:bCs/>
          <w:noProof/>
        </w:rPr>
        <w:t xml:space="preserve">"Cultura animae" - a kultúra, az identitás, a nemzet fogalomkörei; a nacionalizmus kérdése </w:t>
      </w:r>
      <w:r w:rsidRPr="00C2057B">
        <w:rPr>
          <w:rFonts w:ascii="Times New Roman" w:eastAsia="Times New Roman" w:hAnsi="Times New Roman" w:cs="Times New Roman"/>
          <w:bCs/>
          <w:i/>
          <w:noProof/>
        </w:rPr>
        <w:t>(Cultura animae" – Concepts  of culture, identity and nation. The issue of nationalism);</w:t>
      </w:r>
    </w:p>
    <w:p w:rsidR="003A1562" w:rsidRPr="00C2057B" w:rsidRDefault="003A1562" w:rsidP="00980876">
      <w:pPr>
        <w:widowControl w:val="0"/>
        <w:numPr>
          <w:ilvl w:val="1"/>
          <w:numId w:val="828"/>
        </w:numPr>
        <w:tabs>
          <w:tab w:val="left" w:pos="709"/>
          <w:tab w:val="left" w:pos="993"/>
          <w:tab w:val="num" w:pos="3977"/>
        </w:tabs>
        <w:spacing w:before="120" w:after="120" w:line="240" w:lineRule="auto"/>
        <w:ind w:left="709" w:hanging="715"/>
        <w:jc w:val="both"/>
        <w:rPr>
          <w:rFonts w:ascii="Times New Roman" w:eastAsia="Times New Roman" w:hAnsi="Times New Roman" w:cs="Times New Roman"/>
          <w:bCs/>
          <w:i/>
          <w:noProof/>
        </w:rPr>
      </w:pPr>
      <w:r w:rsidRPr="003A1562">
        <w:rPr>
          <w:rFonts w:ascii="Times New Roman" w:eastAsia="Times New Roman" w:hAnsi="Times New Roman" w:cs="Times New Roman"/>
          <w:bCs/>
          <w:noProof/>
        </w:rPr>
        <w:t xml:space="preserve">"latinul Ungarusok" - a Csodaszarvastól a Hármaskönyvig: a történelmi magyar identitástudat </w:t>
      </w:r>
      <w:r w:rsidRPr="00C2057B">
        <w:rPr>
          <w:rFonts w:ascii="Times New Roman" w:eastAsia="Times New Roman" w:hAnsi="Times New Roman" w:cs="Times New Roman"/>
          <w:bCs/>
          <w:i/>
          <w:noProof/>
        </w:rPr>
        <w:t>("Ungarus in Latin" – From the ’Mythical Deer’ until the Tripartitum: the historical Hungarian identity);</w:t>
      </w:r>
    </w:p>
    <w:p w:rsidR="003A1562" w:rsidRPr="00C2057B" w:rsidRDefault="003A1562" w:rsidP="00980876">
      <w:pPr>
        <w:widowControl w:val="0"/>
        <w:numPr>
          <w:ilvl w:val="1"/>
          <w:numId w:val="828"/>
        </w:numPr>
        <w:tabs>
          <w:tab w:val="left" w:pos="709"/>
          <w:tab w:val="left" w:pos="993"/>
          <w:tab w:val="num" w:pos="3977"/>
        </w:tabs>
        <w:spacing w:before="120" w:after="120" w:line="240" w:lineRule="auto"/>
        <w:ind w:left="709" w:hanging="715"/>
        <w:jc w:val="both"/>
        <w:rPr>
          <w:rFonts w:ascii="Times New Roman" w:eastAsia="Times New Roman" w:hAnsi="Times New Roman" w:cs="Times New Roman"/>
          <w:bCs/>
          <w:i/>
          <w:noProof/>
        </w:rPr>
      </w:pPr>
      <w:r w:rsidRPr="003A1562">
        <w:rPr>
          <w:rFonts w:ascii="Times New Roman" w:eastAsia="Times New Roman" w:hAnsi="Times New Roman" w:cs="Times New Roman"/>
          <w:bCs/>
          <w:noProof/>
        </w:rPr>
        <w:t xml:space="preserve">"Unio trium nationum" - a korona és a hivatali latin takarásában: kulturális és politikai identitások a Magyar Királyság politikai nemzetén belül </w:t>
      </w:r>
      <w:r w:rsidRPr="00C2057B">
        <w:rPr>
          <w:rFonts w:ascii="Times New Roman" w:eastAsia="Times New Roman" w:hAnsi="Times New Roman" w:cs="Times New Roman"/>
          <w:bCs/>
          <w:i/>
          <w:noProof/>
        </w:rPr>
        <w:t>( Unio trium nationum" – híd by the Crown and the Court Latin: cultural and political identities in the poltiical nation of the Hungarian Kingdoml);</w:t>
      </w:r>
    </w:p>
    <w:p w:rsidR="003A1562" w:rsidRPr="00C2057B" w:rsidRDefault="003A1562" w:rsidP="00980876">
      <w:pPr>
        <w:widowControl w:val="0"/>
        <w:numPr>
          <w:ilvl w:val="1"/>
          <w:numId w:val="828"/>
        </w:numPr>
        <w:tabs>
          <w:tab w:val="left" w:pos="709"/>
          <w:tab w:val="left" w:pos="993"/>
          <w:tab w:val="num" w:pos="3977"/>
        </w:tabs>
        <w:spacing w:before="120" w:after="120" w:line="240" w:lineRule="auto"/>
        <w:ind w:left="709" w:hanging="715"/>
        <w:jc w:val="both"/>
        <w:rPr>
          <w:rFonts w:ascii="Times New Roman" w:eastAsia="Times New Roman" w:hAnsi="Times New Roman" w:cs="Times New Roman"/>
          <w:bCs/>
          <w:i/>
          <w:noProof/>
        </w:rPr>
      </w:pPr>
      <w:r w:rsidRPr="003A1562">
        <w:rPr>
          <w:rFonts w:ascii="Times New Roman" w:eastAsia="Times New Roman" w:hAnsi="Times New Roman" w:cs="Times New Roman"/>
          <w:bCs/>
          <w:noProof/>
        </w:rPr>
        <w:t xml:space="preserve">„magnum aldamas, fecerunt” – fejezetek a magyar nyelv és írás történetéből a nyelvújításig </w:t>
      </w:r>
      <w:r w:rsidRPr="00C2057B">
        <w:rPr>
          <w:rFonts w:ascii="Times New Roman" w:eastAsia="Times New Roman" w:hAnsi="Times New Roman" w:cs="Times New Roman"/>
          <w:bCs/>
          <w:i/>
          <w:noProof/>
        </w:rPr>
        <w:t>(</w:t>
      </w:r>
      <w:r w:rsidRPr="00C2057B">
        <w:rPr>
          <w:rFonts w:ascii="Times New Roman" w:eastAsia="Times New Roman" w:hAnsi="Times New Roman" w:cs="Times New Roman"/>
          <w:bCs/>
          <w:i/>
          <w:noProof/>
        </w:rPr>
        <w:tab/>
        <w:t>„magnum aldamas, fecerunt” – Chapters from the history of Hungarian language and writing until the language reform);</w:t>
      </w:r>
    </w:p>
    <w:p w:rsidR="003A1562" w:rsidRPr="00C2057B" w:rsidRDefault="003A1562" w:rsidP="00980876">
      <w:pPr>
        <w:widowControl w:val="0"/>
        <w:numPr>
          <w:ilvl w:val="1"/>
          <w:numId w:val="828"/>
        </w:numPr>
        <w:tabs>
          <w:tab w:val="left" w:pos="709"/>
          <w:tab w:val="left" w:pos="993"/>
          <w:tab w:val="num" w:pos="3977"/>
        </w:tabs>
        <w:spacing w:before="120" w:after="120" w:line="240" w:lineRule="auto"/>
        <w:ind w:left="709" w:hanging="715"/>
        <w:jc w:val="both"/>
        <w:rPr>
          <w:rFonts w:ascii="Times New Roman" w:eastAsia="Times New Roman" w:hAnsi="Times New Roman" w:cs="Times New Roman"/>
          <w:bCs/>
          <w:i/>
          <w:noProof/>
        </w:rPr>
      </w:pPr>
      <w:r w:rsidRPr="003A1562">
        <w:rPr>
          <w:rFonts w:ascii="Times New Roman" w:eastAsia="Times New Roman" w:hAnsi="Times New Roman" w:cs="Times New Roman"/>
          <w:bCs/>
          <w:noProof/>
        </w:rPr>
        <w:t xml:space="preserve">"ne szidalmaztassék senki az religióért" - a tordai országgyűlés szellemisége, a magyarországi vallások és a történelmi egyházak kulturális szerepe </w:t>
      </w:r>
      <w:r w:rsidRPr="00C2057B">
        <w:rPr>
          <w:rFonts w:ascii="Times New Roman" w:eastAsia="Times New Roman" w:hAnsi="Times New Roman" w:cs="Times New Roman"/>
          <w:bCs/>
          <w:i/>
          <w:noProof/>
        </w:rPr>
        <w:t>("Nobody shall be shamed for the religion" – the spirit of the National Assembly of Torda and the cultural role of the religions and historical churches in Hungary);</w:t>
      </w:r>
    </w:p>
    <w:p w:rsidR="003A1562" w:rsidRPr="003A1562" w:rsidRDefault="003A1562" w:rsidP="00980876">
      <w:pPr>
        <w:widowControl w:val="0"/>
        <w:numPr>
          <w:ilvl w:val="1"/>
          <w:numId w:val="828"/>
        </w:numPr>
        <w:tabs>
          <w:tab w:val="left" w:pos="709"/>
          <w:tab w:val="left" w:pos="993"/>
          <w:tab w:val="num" w:pos="3977"/>
        </w:tabs>
        <w:spacing w:before="120" w:after="120" w:line="240" w:lineRule="auto"/>
        <w:ind w:left="709" w:hanging="715"/>
        <w:jc w:val="both"/>
        <w:rPr>
          <w:rFonts w:ascii="Times New Roman" w:eastAsia="Times New Roman" w:hAnsi="Times New Roman" w:cs="Times New Roman"/>
          <w:bCs/>
          <w:noProof/>
        </w:rPr>
      </w:pPr>
      <w:r w:rsidRPr="003A1562">
        <w:rPr>
          <w:rFonts w:ascii="Times New Roman" w:eastAsia="Times New Roman" w:hAnsi="Times New Roman" w:cs="Times New Roman"/>
          <w:bCs/>
          <w:noProof/>
        </w:rPr>
        <w:t xml:space="preserve">"Az jó hírért, névért" - a katonaélet kulturális és társadalmi hatásai Magyarországon </w:t>
      </w:r>
      <w:r w:rsidRPr="00C2057B">
        <w:rPr>
          <w:rFonts w:ascii="Times New Roman" w:eastAsia="Times New Roman" w:hAnsi="Times New Roman" w:cs="Times New Roman"/>
          <w:bCs/>
          <w:i/>
          <w:noProof/>
        </w:rPr>
        <w:t>("Fort he goodwill and good name" – social and cultural impact of the life of soldiers in Hungary);</w:t>
      </w:r>
    </w:p>
    <w:p w:rsidR="003A1562" w:rsidRPr="00C2057B" w:rsidRDefault="003A1562" w:rsidP="00980876">
      <w:pPr>
        <w:widowControl w:val="0"/>
        <w:numPr>
          <w:ilvl w:val="1"/>
          <w:numId w:val="828"/>
        </w:numPr>
        <w:tabs>
          <w:tab w:val="left" w:pos="709"/>
          <w:tab w:val="left" w:pos="993"/>
          <w:tab w:val="num" w:pos="3977"/>
        </w:tabs>
        <w:spacing w:before="120" w:after="120" w:line="240" w:lineRule="auto"/>
        <w:ind w:left="709" w:hanging="715"/>
        <w:jc w:val="both"/>
        <w:rPr>
          <w:rFonts w:ascii="Times New Roman" w:eastAsia="Times New Roman" w:hAnsi="Times New Roman" w:cs="Times New Roman"/>
          <w:bCs/>
          <w:i/>
          <w:noProof/>
        </w:rPr>
      </w:pPr>
      <w:r w:rsidRPr="003A1562">
        <w:rPr>
          <w:rFonts w:ascii="Times New Roman" w:eastAsia="Times New Roman" w:hAnsi="Times New Roman" w:cs="Times New Roman"/>
          <w:bCs/>
          <w:noProof/>
        </w:rPr>
        <w:t xml:space="preserve">"mi Róma büszke ifjainak Athén" - a bécsi testőrség, a Szent István rend, a magyar felvilágosodás, nyelvújítás és a nemzettudat átalakulása </w:t>
      </w:r>
      <w:r w:rsidRPr="00C2057B">
        <w:rPr>
          <w:rFonts w:ascii="Times New Roman" w:eastAsia="Times New Roman" w:hAnsi="Times New Roman" w:cs="Times New Roman"/>
          <w:bCs/>
          <w:i/>
          <w:noProof/>
        </w:rPr>
        <w:t>(The Vienna Guard, the Order of Saint Stephen, the Hungarian enlightenment, the language reform and the change of national awareness);</w:t>
      </w:r>
    </w:p>
    <w:p w:rsidR="003A1562" w:rsidRPr="00C2057B" w:rsidRDefault="003A1562" w:rsidP="00980876">
      <w:pPr>
        <w:widowControl w:val="0"/>
        <w:numPr>
          <w:ilvl w:val="1"/>
          <w:numId w:val="828"/>
        </w:numPr>
        <w:tabs>
          <w:tab w:val="left" w:pos="709"/>
          <w:tab w:val="left" w:pos="993"/>
          <w:tab w:val="num" w:pos="3977"/>
        </w:tabs>
        <w:spacing w:before="120" w:after="120" w:line="240" w:lineRule="auto"/>
        <w:ind w:left="709" w:hanging="715"/>
        <w:jc w:val="both"/>
        <w:rPr>
          <w:rFonts w:ascii="Times New Roman" w:eastAsia="Times New Roman" w:hAnsi="Times New Roman" w:cs="Times New Roman"/>
          <w:bCs/>
          <w:i/>
          <w:noProof/>
        </w:rPr>
      </w:pPr>
      <w:r w:rsidRPr="003A1562">
        <w:rPr>
          <w:rFonts w:ascii="Times New Roman" w:eastAsia="Times New Roman" w:hAnsi="Times New Roman" w:cs="Times New Roman"/>
          <w:bCs/>
          <w:noProof/>
        </w:rPr>
        <w:t xml:space="preserve">"A nemzet múzeuma" - értéktár, szimbólum, kulturális mozgalom; a magyar világörökség </w:t>
      </w:r>
      <w:r w:rsidRPr="00C2057B">
        <w:rPr>
          <w:rFonts w:ascii="Times New Roman" w:eastAsia="Times New Roman" w:hAnsi="Times New Roman" w:cs="Times New Roman"/>
          <w:bCs/>
          <w:i/>
          <w:noProof/>
        </w:rPr>
        <w:t>(Museum of the Nation" – collection of values, symbol, cultural movements, Hungarian World Heritage);</w:t>
      </w:r>
    </w:p>
    <w:p w:rsidR="003A1562" w:rsidRPr="00C2057B" w:rsidRDefault="003A1562" w:rsidP="00980876">
      <w:pPr>
        <w:widowControl w:val="0"/>
        <w:numPr>
          <w:ilvl w:val="1"/>
          <w:numId w:val="828"/>
        </w:numPr>
        <w:tabs>
          <w:tab w:val="left" w:pos="709"/>
          <w:tab w:val="left" w:pos="993"/>
          <w:tab w:val="num" w:pos="3977"/>
        </w:tabs>
        <w:spacing w:before="120" w:after="120" w:line="240" w:lineRule="auto"/>
        <w:ind w:left="709" w:hanging="715"/>
        <w:jc w:val="both"/>
        <w:rPr>
          <w:rFonts w:ascii="Times New Roman" w:eastAsia="Times New Roman" w:hAnsi="Times New Roman" w:cs="Times New Roman"/>
          <w:bCs/>
          <w:i/>
          <w:noProof/>
        </w:rPr>
      </w:pPr>
      <w:r w:rsidRPr="003A1562">
        <w:rPr>
          <w:rFonts w:ascii="Times New Roman" w:eastAsia="Times New Roman" w:hAnsi="Times New Roman" w:cs="Times New Roman"/>
          <w:bCs/>
          <w:noProof/>
        </w:rPr>
        <w:lastRenderedPageBreak/>
        <w:t xml:space="preserve">"Tudós társaság" - Magyarország és az egyetemes tudományosság; a magyar géniusz </w:t>
      </w:r>
      <w:r w:rsidRPr="00C2057B">
        <w:rPr>
          <w:rFonts w:ascii="Times New Roman" w:eastAsia="Times New Roman" w:hAnsi="Times New Roman" w:cs="Times New Roman"/>
          <w:bCs/>
          <w:i/>
          <w:noProof/>
        </w:rPr>
        <w:t>(Society of scientists" – Hungary and the science of the World, the ’Hungarian Genius’);</w:t>
      </w:r>
    </w:p>
    <w:p w:rsidR="003A1562" w:rsidRPr="00C2057B" w:rsidRDefault="003A1562" w:rsidP="00980876">
      <w:pPr>
        <w:widowControl w:val="0"/>
        <w:numPr>
          <w:ilvl w:val="1"/>
          <w:numId w:val="828"/>
        </w:numPr>
        <w:tabs>
          <w:tab w:val="left" w:pos="709"/>
          <w:tab w:val="left" w:pos="993"/>
          <w:tab w:val="num" w:pos="3977"/>
        </w:tabs>
        <w:spacing w:before="120" w:after="120" w:line="240" w:lineRule="auto"/>
        <w:ind w:left="709" w:hanging="715"/>
        <w:jc w:val="both"/>
        <w:rPr>
          <w:rFonts w:ascii="Times New Roman" w:eastAsia="Times New Roman" w:hAnsi="Times New Roman" w:cs="Times New Roman"/>
          <w:bCs/>
          <w:i/>
          <w:noProof/>
        </w:rPr>
      </w:pPr>
      <w:r w:rsidRPr="003A1562">
        <w:rPr>
          <w:rFonts w:ascii="Times New Roman" w:eastAsia="Times New Roman" w:hAnsi="Times New Roman" w:cs="Times New Roman"/>
          <w:bCs/>
          <w:noProof/>
        </w:rPr>
        <w:t xml:space="preserve">"Secessio" - magyar képzőművészet és korszerűség </w:t>
      </w:r>
      <w:r w:rsidRPr="00C2057B">
        <w:rPr>
          <w:rFonts w:ascii="Times New Roman" w:eastAsia="Times New Roman" w:hAnsi="Times New Roman" w:cs="Times New Roman"/>
          <w:bCs/>
          <w:i/>
          <w:noProof/>
        </w:rPr>
        <w:t>("Secessio" – Hungarian fine arts and modernity);</w:t>
      </w:r>
    </w:p>
    <w:p w:rsidR="003A1562" w:rsidRPr="00C2057B" w:rsidRDefault="003A1562" w:rsidP="00980876">
      <w:pPr>
        <w:widowControl w:val="0"/>
        <w:numPr>
          <w:ilvl w:val="1"/>
          <w:numId w:val="828"/>
        </w:numPr>
        <w:tabs>
          <w:tab w:val="left" w:pos="709"/>
          <w:tab w:val="left" w:pos="993"/>
          <w:tab w:val="num" w:pos="3977"/>
        </w:tabs>
        <w:spacing w:before="120" w:after="120" w:line="240" w:lineRule="auto"/>
        <w:ind w:left="709" w:hanging="715"/>
        <w:jc w:val="both"/>
        <w:rPr>
          <w:rFonts w:ascii="Times New Roman" w:eastAsia="Times New Roman" w:hAnsi="Times New Roman" w:cs="Times New Roman"/>
          <w:bCs/>
          <w:i/>
          <w:noProof/>
        </w:rPr>
      </w:pPr>
      <w:r w:rsidRPr="003A1562">
        <w:rPr>
          <w:rFonts w:ascii="Times New Roman" w:eastAsia="Times New Roman" w:hAnsi="Times New Roman" w:cs="Times New Roman"/>
          <w:bCs/>
          <w:noProof/>
        </w:rPr>
        <w:t xml:space="preserve">"Nyugat" - irodalmi reflexiók és fordulópont </w:t>
      </w:r>
      <w:r w:rsidRPr="00C2057B">
        <w:rPr>
          <w:rFonts w:ascii="Times New Roman" w:eastAsia="Times New Roman" w:hAnsi="Times New Roman" w:cs="Times New Roman"/>
          <w:bCs/>
          <w:i/>
          <w:noProof/>
        </w:rPr>
        <w:t>("Nyugat" – Literaturistic reflections and landmarks);</w:t>
      </w:r>
    </w:p>
    <w:p w:rsidR="003A1562" w:rsidRPr="00C2057B" w:rsidRDefault="003A1562" w:rsidP="00980876">
      <w:pPr>
        <w:widowControl w:val="0"/>
        <w:numPr>
          <w:ilvl w:val="1"/>
          <w:numId w:val="828"/>
        </w:numPr>
        <w:tabs>
          <w:tab w:val="left" w:pos="709"/>
          <w:tab w:val="left" w:pos="993"/>
          <w:tab w:val="num" w:pos="3977"/>
        </w:tabs>
        <w:spacing w:before="120" w:after="120" w:line="240" w:lineRule="auto"/>
        <w:ind w:left="709" w:hanging="715"/>
        <w:jc w:val="both"/>
        <w:rPr>
          <w:rFonts w:ascii="Times New Roman" w:eastAsia="Times New Roman" w:hAnsi="Times New Roman" w:cs="Times New Roman"/>
          <w:bCs/>
          <w:i/>
          <w:noProof/>
        </w:rPr>
      </w:pPr>
      <w:r w:rsidRPr="003A1562">
        <w:rPr>
          <w:rFonts w:ascii="Times New Roman" w:eastAsia="Times New Roman" w:hAnsi="Times New Roman" w:cs="Times New Roman"/>
          <w:bCs/>
          <w:noProof/>
        </w:rPr>
        <w:t xml:space="preserve">"A magyar játékszínről" - társadalmi nézetek kifejezése a színházban </w:t>
      </w:r>
      <w:r w:rsidRPr="00C2057B">
        <w:rPr>
          <w:rFonts w:ascii="Times New Roman" w:eastAsia="Times New Roman" w:hAnsi="Times New Roman" w:cs="Times New Roman"/>
          <w:bCs/>
          <w:i/>
          <w:noProof/>
        </w:rPr>
        <w:t>(Articulation of social views in the theatre);</w:t>
      </w:r>
    </w:p>
    <w:p w:rsidR="003A1562" w:rsidRPr="00C2057B" w:rsidRDefault="003A1562" w:rsidP="00980876">
      <w:pPr>
        <w:widowControl w:val="0"/>
        <w:numPr>
          <w:ilvl w:val="1"/>
          <w:numId w:val="828"/>
        </w:numPr>
        <w:tabs>
          <w:tab w:val="left" w:pos="709"/>
          <w:tab w:val="left" w:pos="993"/>
          <w:tab w:val="num" w:pos="3977"/>
        </w:tabs>
        <w:spacing w:before="120" w:after="120" w:line="240" w:lineRule="auto"/>
        <w:ind w:left="709" w:hanging="715"/>
        <w:jc w:val="both"/>
        <w:rPr>
          <w:rFonts w:ascii="Times New Roman" w:eastAsia="Times New Roman" w:hAnsi="Times New Roman" w:cs="Times New Roman"/>
          <w:bCs/>
          <w:i/>
          <w:noProof/>
        </w:rPr>
      </w:pPr>
      <w:r w:rsidRPr="003A1562">
        <w:rPr>
          <w:rFonts w:ascii="Times New Roman" w:eastAsia="Times New Roman" w:hAnsi="Times New Roman" w:cs="Times New Roman"/>
          <w:bCs/>
          <w:noProof/>
        </w:rPr>
        <w:t xml:space="preserve">"Legyen a zene mindenkié!" - magyar zeneszerzők és a világhír; a Kodály módszer </w:t>
      </w:r>
      <w:r w:rsidRPr="00C2057B">
        <w:rPr>
          <w:rFonts w:ascii="Times New Roman" w:eastAsia="Times New Roman" w:hAnsi="Times New Roman" w:cs="Times New Roman"/>
          <w:bCs/>
          <w:i/>
          <w:noProof/>
        </w:rPr>
        <w:t>(Shall the music be everyone’s!" – Hungarian composers and the world fame; the Kodály-method);</w:t>
      </w:r>
    </w:p>
    <w:p w:rsidR="003A1562" w:rsidRPr="003A1562" w:rsidRDefault="003A1562" w:rsidP="00980876">
      <w:pPr>
        <w:widowControl w:val="0"/>
        <w:numPr>
          <w:ilvl w:val="1"/>
          <w:numId w:val="828"/>
        </w:numPr>
        <w:tabs>
          <w:tab w:val="left" w:pos="709"/>
          <w:tab w:val="left" w:pos="993"/>
          <w:tab w:val="num" w:pos="3977"/>
        </w:tabs>
        <w:spacing w:before="120" w:after="120" w:line="240" w:lineRule="auto"/>
        <w:ind w:left="709" w:hanging="715"/>
        <w:jc w:val="both"/>
        <w:rPr>
          <w:rFonts w:ascii="Times New Roman" w:eastAsia="Times New Roman" w:hAnsi="Times New Roman" w:cs="Times New Roman"/>
          <w:bCs/>
          <w:noProof/>
        </w:rPr>
      </w:pPr>
      <w:r w:rsidRPr="003A1562">
        <w:rPr>
          <w:rFonts w:ascii="Times New Roman" w:eastAsia="Times New Roman" w:hAnsi="Times New Roman" w:cs="Times New Roman"/>
          <w:bCs/>
          <w:noProof/>
        </w:rPr>
        <w:t xml:space="preserve">"Magyar az, aki annak vallja magát"? - magyar gondolkodásmód a 21. század nézőpontjából; hungarikumok </w:t>
      </w:r>
      <w:r w:rsidRPr="00C2057B">
        <w:rPr>
          <w:rFonts w:ascii="Times New Roman" w:eastAsia="Times New Roman" w:hAnsi="Times New Roman" w:cs="Times New Roman"/>
          <w:bCs/>
          <w:i/>
          <w:noProof/>
        </w:rPr>
        <w:t>(Is Hungarian who declares himself Hungarian"? – Hungarian way of thinking in the 21th century, Hungaricums);</w:t>
      </w:r>
    </w:p>
    <w:p w:rsidR="003A1562" w:rsidRPr="00C2057B" w:rsidRDefault="003A1562" w:rsidP="00980876">
      <w:pPr>
        <w:widowControl w:val="0"/>
        <w:numPr>
          <w:ilvl w:val="1"/>
          <w:numId w:val="828"/>
        </w:numPr>
        <w:tabs>
          <w:tab w:val="left" w:pos="709"/>
          <w:tab w:val="left" w:pos="993"/>
          <w:tab w:val="num" w:pos="3977"/>
        </w:tabs>
        <w:spacing w:before="120" w:after="120" w:line="240" w:lineRule="auto"/>
        <w:ind w:left="709" w:hanging="715"/>
        <w:jc w:val="both"/>
        <w:rPr>
          <w:rFonts w:ascii="Times New Roman" w:eastAsia="Times New Roman" w:hAnsi="Times New Roman" w:cs="Times New Roman"/>
          <w:b/>
          <w:i/>
        </w:rPr>
      </w:pPr>
      <w:r w:rsidRPr="003A1562">
        <w:rPr>
          <w:rFonts w:ascii="Times New Roman" w:eastAsia="Times New Roman" w:hAnsi="Times New Roman" w:cs="Times New Roman"/>
          <w:bCs/>
          <w:noProof/>
        </w:rPr>
        <w:t xml:space="preserve">Színházlátogatás: A Nemzeti Színház vagy az Erkel Színház egy előadásának megtekintése </w:t>
      </w:r>
      <w:r w:rsidRPr="00C2057B">
        <w:rPr>
          <w:rFonts w:ascii="Times New Roman" w:eastAsia="Times New Roman" w:hAnsi="Times New Roman" w:cs="Times New Roman"/>
          <w:bCs/>
          <w:i/>
          <w:noProof/>
        </w:rPr>
        <w:t>(Theatre visit: taking part on a performance in the National Theatre or in the Erkel Theatre).</w:t>
      </w:r>
      <w:r w:rsidRPr="00C2057B">
        <w:rPr>
          <w:rFonts w:ascii="Times New Roman" w:eastAsia="Times New Roman" w:hAnsi="Times New Roman" w:cs="Times New Roman"/>
          <w:b/>
          <w:i/>
        </w:rPr>
        <w:t xml:space="preserve"> </w:t>
      </w:r>
    </w:p>
    <w:p w:rsidR="003A1562" w:rsidRPr="003A1562" w:rsidRDefault="003A1562" w:rsidP="00980876">
      <w:pPr>
        <w:widowControl w:val="0"/>
        <w:numPr>
          <w:ilvl w:val="0"/>
          <w:numId w:val="828"/>
        </w:numPr>
        <w:tabs>
          <w:tab w:val="num" w:pos="720"/>
        </w:tabs>
        <w:spacing w:before="120" w:after="120" w:line="240" w:lineRule="auto"/>
        <w:ind w:left="426" w:hanging="142"/>
        <w:jc w:val="both"/>
        <w:rPr>
          <w:rFonts w:ascii="Times New Roman" w:eastAsia="Times New Roman" w:hAnsi="Times New Roman" w:cs="Times New Roman"/>
          <w:bCs/>
        </w:rPr>
      </w:pPr>
      <w:r w:rsidRPr="003A1562">
        <w:rPr>
          <w:rFonts w:ascii="Times New Roman" w:eastAsia="Times New Roman" w:hAnsi="Times New Roman" w:cs="Times New Roman"/>
          <w:b/>
          <w:bCs/>
        </w:rPr>
        <w:t xml:space="preserve">A tantárgy meghirdetésének gyakorisága/a tantervben történő félévi elhelyezkedése: </w:t>
      </w:r>
      <w:r w:rsidRPr="003A1562">
        <w:rPr>
          <w:rFonts w:ascii="Times New Roman" w:eastAsia="Times New Roman" w:hAnsi="Times New Roman" w:cs="Times New Roman"/>
          <w:bCs/>
          <w:noProof/>
        </w:rPr>
        <w:t>4.</w:t>
      </w:r>
      <w:r w:rsidRPr="003A1562">
        <w:rPr>
          <w:rFonts w:ascii="Times New Roman" w:eastAsia="Times New Roman" w:hAnsi="Times New Roman" w:cs="Times New Roman"/>
          <w:bCs/>
        </w:rPr>
        <w:t xml:space="preserve"> félév</w:t>
      </w:r>
    </w:p>
    <w:p w:rsidR="003A1562" w:rsidRPr="003A1562" w:rsidRDefault="003A1562" w:rsidP="00980876">
      <w:pPr>
        <w:widowControl w:val="0"/>
        <w:numPr>
          <w:ilvl w:val="0"/>
          <w:numId w:val="828"/>
        </w:numPr>
        <w:tabs>
          <w:tab w:val="num" w:pos="720"/>
        </w:tabs>
        <w:spacing w:before="120" w:after="120" w:line="240" w:lineRule="auto"/>
        <w:ind w:left="426" w:hanging="142"/>
        <w:jc w:val="both"/>
        <w:rPr>
          <w:rFonts w:ascii="Times New Roman" w:eastAsia="Times New Roman" w:hAnsi="Times New Roman" w:cs="Times New Roman"/>
          <w:bCs/>
        </w:rPr>
      </w:pPr>
      <w:r w:rsidRPr="003A1562">
        <w:rPr>
          <w:rFonts w:ascii="Times New Roman" w:eastAsia="Times New Roman" w:hAnsi="Times New Roman" w:cs="Times New Roman"/>
          <w:b/>
          <w:bCs/>
        </w:rPr>
        <w:t>A tanórákon való részvétel követelményei, az elfogadható hiányzások mértéke, a távolmaradás pótlásának lehetősége:</w:t>
      </w:r>
    </w:p>
    <w:p w:rsidR="003A1562" w:rsidRPr="003A1562" w:rsidRDefault="003A1562" w:rsidP="003A1562">
      <w:pPr>
        <w:widowControl w:val="0"/>
        <w:spacing w:before="120" w:after="120" w:line="240" w:lineRule="auto"/>
        <w:ind w:left="426"/>
        <w:jc w:val="both"/>
        <w:rPr>
          <w:rFonts w:ascii="Times New Roman" w:eastAsia="Times New Roman" w:hAnsi="Times New Roman" w:cs="Times New Roman"/>
          <w:bCs/>
        </w:rPr>
      </w:pPr>
      <w:r w:rsidRPr="003A1562">
        <w:rPr>
          <w:rFonts w:ascii="Times New Roman" w:eastAsia="Times New Roman" w:hAnsi="Times New Roman" w:cs="Times New Roman"/>
          <w:bCs/>
          <w:noProof/>
        </w:rPr>
        <w:t>A tantárgy elfogadásához a tanórák legalább 70 %-án jelen kell lennie a hallgatónak. Az ezt meghaladó távollétet a hiányzást követő első foglalkozáson kell igazolnia és egyedileg megbeszélt többletfeladatot kell megoldania ahhoz, hogy megszerezhesse az aláírást. A hallgató köteles minden kihagyott óra anyagát beszerezni, abból önállóan felkészülni.</w:t>
      </w:r>
    </w:p>
    <w:p w:rsidR="003A1562" w:rsidRPr="003A1562" w:rsidRDefault="003A1562" w:rsidP="00980876">
      <w:pPr>
        <w:widowControl w:val="0"/>
        <w:numPr>
          <w:ilvl w:val="0"/>
          <w:numId w:val="828"/>
        </w:numPr>
        <w:tabs>
          <w:tab w:val="num" w:pos="720"/>
        </w:tabs>
        <w:spacing w:before="120" w:after="120" w:line="240" w:lineRule="auto"/>
        <w:ind w:left="426" w:hanging="142"/>
        <w:jc w:val="both"/>
        <w:rPr>
          <w:rFonts w:ascii="Times New Roman" w:eastAsia="Times New Roman" w:hAnsi="Times New Roman" w:cs="Times New Roman"/>
          <w:bCs/>
        </w:rPr>
      </w:pPr>
      <w:r w:rsidRPr="003A1562">
        <w:rPr>
          <w:rFonts w:ascii="Times New Roman" w:eastAsia="Times New Roman" w:hAnsi="Times New Roman" w:cs="Times New Roman"/>
          <w:b/>
        </w:rPr>
        <w:t>Félévközi feladatok, ismeretek ellenőrzésének rendje:</w:t>
      </w:r>
    </w:p>
    <w:p w:rsidR="003A1562" w:rsidRPr="003A1562" w:rsidRDefault="003A1562" w:rsidP="003A1562">
      <w:pPr>
        <w:widowControl w:val="0"/>
        <w:spacing w:before="120" w:after="120" w:line="240" w:lineRule="auto"/>
        <w:ind w:left="426"/>
        <w:jc w:val="both"/>
        <w:rPr>
          <w:rFonts w:ascii="Times New Roman" w:eastAsia="Times New Roman" w:hAnsi="Times New Roman" w:cs="Times New Roman"/>
          <w:bCs/>
        </w:rPr>
      </w:pPr>
      <w:r w:rsidRPr="003A1562">
        <w:rPr>
          <w:rFonts w:ascii="Times New Roman" w:eastAsia="Times New Roman" w:hAnsi="Times New Roman" w:cs="Times New Roman"/>
          <w:bCs/>
          <w:noProof/>
        </w:rPr>
        <w:t>A tanulmányi munka alapja a szemináriumok látogatása, az előírt olvasmányok ismerete, aktív órai részvétel és egy ajánlott színház előadásának megtekintése.</w:t>
      </w:r>
    </w:p>
    <w:p w:rsidR="003A1562" w:rsidRPr="003A1562" w:rsidRDefault="003A1562" w:rsidP="00980876">
      <w:pPr>
        <w:widowControl w:val="0"/>
        <w:numPr>
          <w:ilvl w:val="0"/>
          <w:numId w:val="828"/>
        </w:numPr>
        <w:tabs>
          <w:tab w:val="num" w:pos="720"/>
        </w:tabs>
        <w:spacing w:before="120" w:after="120" w:line="240" w:lineRule="auto"/>
        <w:ind w:left="426" w:hanging="142"/>
        <w:jc w:val="both"/>
        <w:rPr>
          <w:rFonts w:ascii="Times New Roman" w:eastAsia="Times New Roman" w:hAnsi="Times New Roman" w:cs="Times New Roman"/>
          <w:b/>
          <w:bCs/>
        </w:rPr>
      </w:pPr>
      <w:r w:rsidRPr="003A1562">
        <w:rPr>
          <w:rFonts w:ascii="Times New Roman" w:eastAsia="Times New Roman" w:hAnsi="Times New Roman" w:cs="Times New Roman"/>
          <w:b/>
          <w:bCs/>
        </w:rPr>
        <w:t xml:space="preserve">Az értékelés, az aláírás és a kreditek megszerzésének pontos feltételei: </w:t>
      </w:r>
    </w:p>
    <w:p w:rsidR="003A1562" w:rsidRPr="003A1562" w:rsidRDefault="003A1562" w:rsidP="00980876">
      <w:pPr>
        <w:widowControl w:val="0"/>
        <w:numPr>
          <w:ilvl w:val="1"/>
          <w:numId w:val="828"/>
        </w:numPr>
        <w:tabs>
          <w:tab w:val="left" w:pos="709"/>
          <w:tab w:val="left" w:pos="993"/>
          <w:tab w:val="num" w:pos="3977"/>
        </w:tabs>
        <w:spacing w:before="120" w:after="120" w:line="240" w:lineRule="auto"/>
        <w:ind w:left="426"/>
        <w:jc w:val="both"/>
        <w:rPr>
          <w:rFonts w:ascii="Times New Roman" w:eastAsia="Times New Roman" w:hAnsi="Times New Roman" w:cs="Times New Roman"/>
        </w:rPr>
      </w:pPr>
      <w:r w:rsidRPr="003A1562">
        <w:rPr>
          <w:rFonts w:ascii="Times New Roman" w:eastAsia="Times New Roman" w:hAnsi="Times New Roman" w:cs="Times New Roman"/>
          <w:b/>
        </w:rPr>
        <w:t>Az aláírás megszerzésének feltételei:</w:t>
      </w:r>
    </w:p>
    <w:p w:rsidR="003A1562" w:rsidRPr="003A1562" w:rsidRDefault="003A1562" w:rsidP="003A1562">
      <w:pPr>
        <w:widowControl w:val="0"/>
        <w:tabs>
          <w:tab w:val="left" w:pos="993"/>
        </w:tabs>
        <w:spacing w:before="120" w:after="120" w:line="240" w:lineRule="auto"/>
        <w:ind w:left="426"/>
        <w:jc w:val="both"/>
        <w:rPr>
          <w:rFonts w:ascii="Times New Roman" w:eastAsia="Times New Roman" w:hAnsi="Times New Roman" w:cs="Times New Roman"/>
        </w:rPr>
      </w:pPr>
      <w:r w:rsidRPr="003A1562">
        <w:rPr>
          <w:rFonts w:ascii="Times New Roman" w:eastAsia="Times New Roman" w:hAnsi="Times New Roman" w:cs="Times New Roman"/>
          <w:noProof/>
        </w:rPr>
        <w:t>A félévi aláírás megszerzésének feltétele a kurzust záró 42 pontos feleletválasztós teszt utolsó előtti órán való kitöltése. Pótlása, javítása az utolsó órán lehetséges.</w:t>
      </w:r>
    </w:p>
    <w:p w:rsidR="003A1562" w:rsidRPr="003A1562" w:rsidRDefault="003A1562" w:rsidP="00980876">
      <w:pPr>
        <w:widowControl w:val="0"/>
        <w:numPr>
          <w:ilvl w:val="1"/>
          <w:numId w:val="828"/>
        </w:numPr>
        <w:tabs>
          <w:tab w:val="left" w:pos="709"/>
          <w:tab w:val="left" w:pos="993"/>
          <w:tab w:val="num" w:pos="3977"/>
        </w:tabs>
        <w:spacing w:before="120" w:after="120" w:line="240" w:lineRule="auto"/>
        <w:ind w:left="426"/>
        <w:jc w:val="both"/>
        <w:rPr>
          <w:rFonts w:ascii="Times New Roman" w:eastAsia="Times New Roman" w:hAnsi="Times New Roman" w:cs="Times New Roman"/>
        </w:rPr>
      </w:pPr>
      <w:r w:rsidRPr="003A1562">
        <w:rPr>
          <w:rFonts w:ascii="Times New Roman" w:eastAsia="Times New Roman" w:hAnsi="Times New Roman" w:cs="Times New Roman"/>
          <w:b/>
        </w:rPr>
        <w:t>Az értékelés:</w:t>
      </w:r>
    </w:p>
    <w:p w:rsidR="003A1562" w:rsidRPr="003A1562" w:rsidRDefault="003A1562" w:rsidP="003A1562">
      <w:pPr>
        <w:widowControl w:val="0"/>
        <w:tabs>
          <w:tab w:val="left" w:pos="993"/>
        </w:tabs>
        <w:spacing w:before="120" w:after="120" w:line="240" w:lineRule="auto"/>
        <w:ind w:left="426"/>
        <w:jc w:val="both"/>
        <w:rPr>
          <w:rFonts w:ascii="Times New Roman" w:eastAsia="Times New Roman" w:hAnsi="Times New Roman" w:cs="Times New Roman"/>
        </w:rPr>
      </w:pPr>
      <w:r w:rsidRPr="003A1562">
        <w:rPr>
          <w:rFonts w:ascii="Times New Roman" w:eastAsia="Times New Roman" w:hAnsi="Times New Roman" w:cs="Times New Roman"/>
          <w:noProof/>
        </w:rPr>
        <w:t>Gyakorlati jegy a tanórai aktivitás, a megtartott kiselőadás és a zárthelyi dolgozat eredményéből.</w:t>
      </w:r>
    </w:p>
    <w:p w:rsidR="003A1562" w:rsidRPr="003A1562" w:rsidRDefault="003A1562" w:rsidP="00980876">
      <w:pPr>
        <w:widowControl w:val="0"/>
        <w:numPr>
          <w:ilvl w:val="1"/>
          <w:numId w:val="828"/>
        </w:numPr>
        <w:tabs>
          <w:tab w:val="left" w:pos="709"/>
          <w:tab w:val="left" w:pos="993"/>
          <w:tab w:val="num" w:pos="3977"/>
        </w:tabs>
        <w:spacing w:before="120" w:after="120" w:line="240" w:lineRule="auto"/>
        <w:ind w:left="426"/>
        <w:jc w:val="both"/>
        <w:rPr>
          <w:rFonts w:ascii="Times New Roman" w:eastAsia="Times New Roman" w:hAnsi="Times New Roman" w:cs="Times New Roman"/>
        </w:rPr>
      </w:pPr>
      <w:r w:rsidRPr="003A1562">
        <w:rPr>
          <w:rFonts w:ascii="Times New Roman" w:eastAsia="Times New Roman" w:hAnsi="Times New Roman" w:cs="Times New Roman"/>
          <w:b/>
        </w:rPr>
        <w:t>A kreditek megszerzésének feltételei:</w:t>
      </w:r>
      <w:r w:rsidRPr="003A1562">
        <w:rPr>
          <w:rFonts w:ascii="Times New Roman" w:eastAsia="Times New Roman" w:hAnsi="Times New Roman" w:cs="Times New Roman"/>
        </w:rPr>
        <w:t xml:space="preserve"> </w:t>
      </w:r>
    </w:p>
    <w:p w:rsidR="003A1562" w:rsidRPr="003A1562" w:rsidRDefault="003A1562" w:rsidP="003A1562">
      <w:pPr>
        <w:widowControl w:val="0"/>
        <w:tabs>
          <w:tab w:val="left" w:pos="993"/>
        </w:tabs>
        <w:spacing w:before="120" w:after="120" w:line="240" w:lineRule="auto"/>
        <w:ind w:left="426"/>
        <w:jc w:val="both"/>
        <w:rPr>
          <w:rFonts w:ascii="Times New Roman" w:eastAsia="Times New Roman" w:hAnsi="Times New Roman" w:cs="Times New Roman"/>
        </w:rPr>
      </w:pPr>
      <w:r w:rsidRPr="003A1562">
        <w:rPr>
          <w:rFonts w:ascii="Times New Roman" w:eastAsia="Times New Roman" w:hAnsi="Times New Roman" w:cs="Times New Roman"/>
        </w:rPr>
        <w:t xml:space="preserve">A kreditek megszerzésének feltétele az aláírás megszerzése és legalább elégséges </w:t>
      </w:r>
      <w:r w:rsidRPr="003A1562">
        <w:rPr>
          <w:rFonts w:ascii="Times New Roman" w:eastAsia="Times New Roman" w:hAnsi="Times New Roman" w:cs="Times New Roman"/>
          <w:noProof/>
        </w:rPr>
        <w:t>gyakorlati jegy (GYJ)</w:t>
      </w:r>
      <w:r w:rsidRPr="003A1562">
        <w:rPr>
          <w:rFonts w:ascii="Times New Roman" w:eastAsia="Times New Roman" w:hAnsi="Times New Roman" w:cs="Times New Roman"/>
        </w:rPr>
        <w:t>.</w:t>
      </w:r>
    </w:p>
    <w:p w:rsidR="003A1562" w:rsidRPr="003A1562" w:rsidRDefault="003A1562" w:rsidP="00980876">
      <w:pPr>
        <w:widowControl w:val="0"/>
        <w:numPr>
          <w:ilvl w:val="0"/>
          <w:numId w:val="828"/>
        </w:numPr>
        <w:tabs>
          <w:tab w:val="num" w:pos="720"/>
        </w:tabs>
        <w:spacing w:before="120" w:after="120" w:line="240" w:lineRule="auto"/>
        <w:ind w:left="426" w:hanging="142"/>
        <w:jc w:val="both"/>
        <w:rPr>
          <w:rFonts w:ascii="Times New Roman" w:eastAsia="Times New Roman" w:hAnsi="Times New Roman" w:cs="Times New Roman"/>
          <w:bCs/>
        </w:rPr>
      </w:pPr>
      <w:r w:rsidRPr="003A1562">
        <w:rPr>
          <w:rFonts w:ascii="Times New Roman" w:eastAsia="Times New Roman" w:hAnsi="Times New Roman" w:cs="Times New Roman"/>
          <w:b/>
          <w:bCs/>
        </w:rPr>
        <w:t>Irodalomjegyzék:</w:t>
      </w:r>
    </w:p>
    <w:p w:rsidR="003A1562" w:rsidRPr="003A1562" w:rsidRDefault="003A1562" w:rsidP="00980876">
      <w:pPr>
        <w:widowControl w:val="0"/>
        <w:numPr>
          <w:ilvl w:val="1"/>
          <w:numId w:val="828"/>
        </w:numPr>
        <w:tabs>
          <w:tab w:val="left" w:pos="993"/>
          <w:tab w:val="num" w:pos="3977"/>
        </w:tabs>
        <w:spacing w:before="120" w:after="120" w:line="240" w:lineRule="auto"/>
        <w:ind w:left="426" w:hanging="142"/>
        <w:jc w:val="both"/>
        <w:rPr>
          <w:rFonts w:ascii="Times New Roman" w:eastAsia="Times New Roman" w:hAnsi="Times New Roman" w:cs="Times New Roman"/>
          <w:bCs/>
        </w:rPr>
      </w:pPr>
      <w:r w:rsidRPr="003A1562">
        <w:rPr>
          <w:rFonts w:ascii="Times New Roman" w:eastAsia="Times New Roman" w:hAnsi="Times New Roman" w:cs="Times New Roman"/>
          <w:b/>
          <w:bCs/>
        </w:rPr>
        <w:t>Kötelező irodalom:</w:t>
      </w:r>
    </w:p>
    <w:p w:rsidR="003A1562" w:rsidRPr="003A1562" w:rsidRDefault="003A1562" w:rsidP="00980876">
      <w:pPr>
        <w:widowControl w:val="0"/>
        <w:numPr>
          <w:ilvl w:val="0"/>
          <w:numId w:val="829"/>
        </w:numPr>
        <w:spacing w:after="0" w:line="240" w:lineRule="auto"/>
        <w:jc w:val="both"/>
        <w:rPr>
          <w:rFonts w:ascii="Times New Roman" w:eastAsia="Times New Roman" w:hAnsi="Times New Roman" w:cs="Times New Roman"/>
          <w:noProof/>
        </w:rPr>
      </w:pPr>
      <w:r w:rsidRPr="003A1562">
        <w:rPr>
          <w:rFonts w:ascii="Times New Roman" w:eastAsia="Times New Roman" w:hAnsi="Times New Roman" w:cs="Times New Roman"/>
          <w:noProof/>
        </w:rPr>
        <w:t>Szabó Ádám (szerk.): Ludoviceum I. Anthologia Hungarica szemelvénykötet, NKE, Budapest 2020. ISBN 978-963-498-257-9;</w:t>
      </w:r>
    </w:p>
    <w:p w:rsidR="003A1562" w:rsidRPr="003A1562" w:rsidRDefault="003A1562" w:rsidP="00980876">
      <w:pPr>
        <w:widowControl w:val="0"/>
        <w:numPr>
          <w:ilvl w:val="1"/>
          <w:numId w:val="828"/>
        </w:numPr>
        <w:tabs>
          <w:tab w:val="left" w:pos="993"/>
          <w:tab w:val="num" w:pos="3977"/>
        </w:tabs>
        <w:spacing w:before="120" w:after="120" w:line="240" w:lineRule="auto"/>
        <w:ind w:left="426" w:hanging="142"/>
        <w:jc w:val="both"/>
        <w:rPr>
          <w:rFonts w:ascii="Times New Roman" w:eastAsia="Times New Roman" w:hAnsi="Times New Roman" w:cs="Times New Roman"/>
          <w:b/>
          <w:bCs/>
        </w:rPr>
      </w:pPr>
      <w:r w:rsidRPr="003A1562">
        <w:rPr>
          <w:rFonts w:ascii="Times New Roman" w:eastAsia="Times New Roman" w:hAnsi="Times New Roman" w:cs="Times New Roman"/>
          <w:b/>
          <w:bCs/>
        </w:rPr>
        <w:t>Ajánlott irodalom:</w:t>
      </w:r>
    </w:p>
    <w:p w:rsidR="003A1562" w:rsidRPr="003A1562" w:rsidRDefault="003A1562" w:rsidP="00980876">
      <w:pPr>
        <w:widowControl w:val="0"/>
        <w:numPr>
          <w:ilvl w:val="0"/>
          <w:numId w:val="830"/>
        </w:numPr>
        <w:spacing w:after="0" w:line="240" w:lineRule="auto"/>
        <w:jc w:val="both"/>
        <w:rPr>
          <w:rFonts w:ascii="Times New Roman" w:eastAsia="Times New Roman" w:hAnsi="Times New Roman" w:cs="Times New Roman"/>
          <w:noProof/>
        </w:rPr>
      </w:pPr>
      <w:r w:rsidRPr="003A1562">
        <w:rPr>
          <w:rFonts w:ascii="Times New Roman" w:eastAsia="Times New Roman" w:hAnsi="Times New Roman" w:cs="Times New Roman"/>
          <w:noProof/>
        </w:rPr>
        <w:t>Domanovszky Sándor (szerk.): Magyar művelődéstörténet, Magyar Történelmi Társulat, Budapest 1939.</w:t>
      </w:r>
    </w:p>
    <w:p w:rsidR="003A1562" w:rsidRPr="003A1562" w:rsidRDefault="003A1562" w:rsidP="00980876">
      <w:pPr>
        <w:widowControl w:val="0"/>
        <w:numPr>
          <w:ilvl w:val="0"/>
          <w:numId w:val="830"/>
        </w:numPr>
        <w:spacing w:after="0" w:line="240" w:lineRule="auto"/>
        <w:ind w:left="709" w:hanging="425"/>
        <w:jc w:val="both"/>
        <w:rPr>
          <w:rFonts w:ascii="Times New Roman" w:eastAsia="Times New Roman" w:hAnsi="Times New Roman" w:cs="Times New Roman"/>
          <w:noProof/>
        </w:rPr>
      </w:pPr>
      <w:r w:rsidRPr="003A1562">
        <w:rPr>
          <w:rFonts w:ascii="Times New Roman" w:eastAsia="Times New Roman" w:hAnsi="Times New Roman" w:cs="Times New Roman"/>
          <w:noProof/>
        </w:rPr>
        <w:t>Gazda István: Magyar tudománytörténet, Magyar Tudománytörténeti Intézet, Piliscsaba 1997. ISBN 963-04-8737-3;</w:t>
      </w:r>
    </w:p>
    <w:p w:rsidR="003A1562" w:rsidRPr="003A1562" w:rsidRDefault="003A1562" w:rsidP="00980876">
      <w:pPr>
        <w:widowControl w:val="0"/>
        <w:numPr>
          <w:ilvl w:val="0"/>
          <w:numId w:val="830"/>
        </w:numPr>
        <w:spacing w:after="0" w:line="240" w:lineRule="auto"/>
        <w:ind w:left="709" w:hanging="425"/>
        <w:jc w:val="both"/>
        <w:rPr>
          <w:rFonts w:ascii="Times New Roman" w:eastAsia="Times New Roman" w:hAnsi="Times New Roman" w:cs="Times New Roman"/>
          <w:noProof/>
        </w:rPr>
      </w:pPr>
      <w:r w:rsidRPr="003A1562">
        <w:rPr>
          <w:rFonts w:ascii="Times New Roman" w:eastAsia="Times New Roman" w:hAnsi="Times New Roman" w:cs="Times New Roman"/>
          <w:noProof/>
        </w:rPr>
        <w:t xml:space="preserve">Gáspár Zsuzsa (szerk.): Magyar világörökség, Officina '96 Kiadó, Budapest 2003. ISBN: </w:t>
      </w:r>
      <w:r w:rsidRPr="003A1562">
        <w:rPr>
          <w:rFonts w:ascii="Times New Roman" w:eastAsia="Times New Roman" w:hAnsi="Times New Roman" w:cs="Times New Roman"/>
          <w:noProof/>
        </w:rPr>
        <w:lastRenderedPageBreak/>
        <w:t>9789639705371;</w:t>
      </w:r>
    </w:p>
    <w:p w:rsidR="003A1562" w:rsidRPr="003A1562" w:rsidRDefault="003A1562" w:rsidP="00980876">
      <w:pPr>
        <w:widowControl w:val="0"/>
        <w:numPr>
          <w:ilvl w:val="0"/>
          <w:numId w:val="830"/>
        </w:numPr>
        <w:spacing w:after="0" w:line="240" w:lineRule="auto"/>
        <w:ind w:left="709" w:hanging="425"/>
        <w:jc w:val="both"/>
        <w:rPr>
          <w:rFonts w:ascii="Times New Roman" w:eastAsia="Times New Roman" w:hAnsi="Times New Roman" w:cs="Times New Roman"/>
        </w:rPr>
      </w:pPr>
      <w:r w:rsidRPr="003A1562">
        <w:rPr>
          <w:rFonts w:ascii="Times New Roman" w:eastAsia="Times New Roman" w:hAnsi="Times New Roman" w:cs="Times New Roman"/>
          <w:noProof/>
        </w:rPr>
        <w:t>Gyurgyák János: Ezzé lett magyar hazátok. A magyar nemzeteszme és nacionalizmus története, Osiris, Budapest 2007. ISBN: 9789633899076.</w:t>
      </w:r>
      <w:r w:rsidRPr="003A1562">
        <w:rPr>
          <w:rFonts w:ascii="Times New Roman" w:eastAsia="Times New Roman" w:hAnsi="Times New Roman" w:cs="Times New Roman"/>
        </w:rPr>
        <w:t xml:space="preserve"> </w:t>
      </w:r>
    </w:p>
    <w:p w:rsidR="003A1562" w:rsidRPr="003A1562" w:rsidRDefault="003A1562" w:rsidP="003A1562">
      <w:pPr>
        <w:widowControl w:val="0"/>
        <w:spacing w:before="120" w:after="120" w:line="240" w:lineRule="auto"/>
        <w:jc w:val="both"/>
        <w:rPr>
          <w:rFonts w:ascii="Times New Roman" w:eastAsia="Times New Roman" w:hAnsi="Times New Roman" w:cs="Times New Roman"/>
          <w:bCs/>
        </w:rPr>
      </w:pPr>
    </w:p>
    <w:p w:rsidR="003A1562" w:rsidRPr="003A1562" w:rsidRDefault="003A1562" w:rsidP="003A1562">
      <w:pPr>
        <w:widowControl w:val="0"/>
        <w:spacing w:before="120" w:after="120" w:line="240" w:lineRule="auto"/>
        <w:jc w:val="both"/>
        <w:rPr>
          <w:rFonts w:ascii="Times New Roman" w:eastAsia="Times New Roman" w:hAnsi="Times New Roman" w:cs="Times New Roman"/>
          <w:bCs/>
        </w:rPr>
      </w:pPr>
      <w:r w:rsidRPr="003A1562">
        <w:rPr>
          <w:rFonts w:ascii="Times New Roman" w:eastAsia="Times New Roman" w:hAnsi="Times New Roman" w:cs="Times New Roman"/>
          <w:bCs/>
        </w:rPr>
        <w:t xml:space="preserve">Budapest, </w:t>
      </w:r>
      <w:r w:rsidRPr="003A1562">
        <w:rPr>
          <w:rFonts w:ascii="Times New Roman" w:eastAsia="Times New Roman" w:hAnsi="Times New Roman" w:cs="Times New Roman"/>
          <w:bCs/>
        </w:rPr>
        <w:fldChar w:fldCharType="begin"/>
      </w:r>
      <w:r w:rsidRPr="003A1562">
        <w:rPr>
          <w:rFonts w:ascii="Times New Roman" w:eastAsia="Times New Roman" w:hAnsi="Times New Roman" w:cs="Times New Roman"/>
          <w:bCs/>
        </w:rPr>
        <w:instrText xml:space="preserve"> TIME \@ "yyyy.MM.dd." </w:instrText>
      </w:r>
      <w:r w:rsidRPr="003A1562">
        <w:rPr>
          <w:rFonts w:ascii="Times New Roman" w:eastAsia="Times New Roman" w:hAnsi="Times New Roman" w:cs="Times New Roman"/>
          <w:bCs/>
        </w:rPr>
        <w:fldChar w:fldCharType="separate"/>
      </w:r>
      <w:r w:rsidR="004D708E">
        <w:rPr>
          <w:rFonts w:ascii="Times New Roman" w:eastAsia="Times New Roman" w:hAnsi="Times New Roman" w:cs="Times New Roman"/>
          <w:bCs/>
          <w:noProof/>
        </w:rPr>
        <w:t>2020.09.16.</w:t>
      </w:r>
      <w:r w:rsidRPr="003A1562">
        <w:rPr>
          <w:rFonts w:ascii="Times New Roman" w:eastAsia="Times New Roman" w:hAnsi="Times New Roman" w:cs="Times New Roman"/>
          <w:bCs/>
        </w:rPr>
        <w:fldChar w:fldCharType="end"/>
      </w:r>
    </w:p>
    <w:p w:rsidR="003A1562" w:rsidRPr="003A1562" w:rsidRDefault="003A1562" w:rsidP="003A1562">
      <w:pPr>
        <w:widowControl w:val="0"/>
        <w:spacing w:before="120" w:after="120" w:line="240" w:lineRule="auto"/>
        <w:jc w:val="both"/>
        <w:rPr>
          <w:rFonts w:ascii="Times New Roman" w:eastAsia="Times New Roman" w:hAnsi="Times New Roman" w:cs="Times New Roman"/>
          <w:bCs/>
        </w:rPr>
      </w:pPr>
    </w:p>
    <w:p w:rsidR="003A1562" w:rsidRPr="003A1562" w:rsidRDefault="003A1562" w:rsidP="003A1562">
      <w:pPr>
        <w:widowControl w:val="0"/>
        <w:spacing w:after="0" w:line="240" w:lineRule="auto"/>
        <w:jc w:val="right"/>
        <w:rPr>
          <w:rFonts w:ascii="Times New Roman" w:eastAsia="Times New Roman" w:hAnsi="Times New Roman" w:cs="Times New Roman"/>
          <w:bCs/>
        </w:rPr>
      </w:pPr>
      <w:r w:rsidRPr="003A1562">
        <w:rPr>
          <w:rFonts w:ascii="Times New Roman" w:eastAsia="Times New Roman" w:hAnsi="Times New Roman" w:cs="Times New Roman"/>
          <w:bCs/>
          <w:noProof/>
        </w:rPr>
        <w:t>Dr. Halász Iván</w:t>
      </w:r>
      <w:r w:rsidRPr="003A1562">
        <w:rPr>
          <w:rFonts w:ascii="Times New Roman" w:eastAsia="Times New Roman" w:hAnsi="Times New Roman" w:cs="Times New Roman"/>
          <w:bCs/>
        </w:rPr>
        <w:t xml:space="preserve">, </w:t>
      </w:r>
      <w:r w:rsidRPr="003A1562">
        <w:rPr>
          <w:rFonts w:ascii="Times New Roman" w:eastAsia="Times New Roman" w:hAnsi="Times New Roman" w:cs="Times New Roman"/>
          <w:bCs/>
          <w:noProof/>
        </w:rPr>
        <w:t>PhD</w:t>
      </w:r>
      <w:r w:rsidRPr="003A1562">
        <w:rPr>
          <w:rFonts w:ascii="Times New Roman" w:eastAsia="Times New Roman" w:hAnsi="Times New Roman" w:cs="Times New Roman"/>
          <w:bCs/>
        </w:rPr>
        <w:t>,</w:t>
      </w:r>
    </w:p>
    <w:p w:rsidR="003A1562" w:rsidRPr="003A1562" w:rsidRDefault="003A1562" w:rsidP="003A1562">
      <w:pPr>
        <w:widowControl w:val="0"/>
        <w:spacing w:after="0" w:line="240" w:lineRule="auto"/>
        <w:jc w:val="right"/>
        <w:rPr>
          <w:rFonts w:ascii="Times New Roman" w:eastAsia="Times New Roman" w:hAnsi="Times New Roman" w:cs="Times New Roman"/>
          <w:bCs/>
        </w:rPr>
      </w:pPr>
      <w:r w:rsidRPr="003A1562">
        <w:rPr>
          <w:rFonts w:ascii="Times New Roman" w:eastAsia="Times New Roman" w:hAnsi="Times New Roman" w:cs="Times New Roman"/>
          <w:bCs/>
          <w:noProof/>
        </w:rPr>
        <w:t>egyetemi tanár</w:t>
      </w:r>
      <w:r w:rsidRPr="003A1562">
        <w:rPr>
          <w:rFonts w:ascii="Times New Roman" w:eastAsia="Times New Roman" w:hAnsi="Times New Roman" w:cs="Times New Roman"/>
          <w:bCs/>
        </w:rPr>
        <w:t xml:space="preserve"> sk.</w:t>
      </w:r>
    </w:p>
    <w:p w:rsidR="00AA1279" w:rsidRDefault="00AA1279">
      <w:pPr>
        <w:spacing w:after="200" w:line="276" w:lineRule="auto"/>
        <w:rPr>
          <w:rFonts w:ascii="Times New Roman" w:hAnsi="Times New Roman" w:cs="Times New Roman"/>
          <w:sz w:val="24"/>
        </w:rPr>
      </w:pPr>
    </w:p>
    <w:p w:rsidR="002C1A95" w:rsidRDefault="002C1A95">
      <w:pPr>
        <w:spacing w:after="200" w:line="276" w:lineRule="auto"/>
        <w:rPr>
          <w:rFonts w:ascii="Times New Roman" w:hAnsi="Times New Roman" w:cs="Times New Roman"/>
          <w:sz w:val="24"/>
        </w:rPr>
      </w:pPr>
      <w:r>
        <w:rPr>
          <w:rFonts w:ascii="Times New Roman" w:hAnsi="Times New Roman" w:cs="Times New Roman"/>
          <w:sz w:val="24"/>
        </w:rPr>
        <w:br w:type="page"/>
      </w:r>
    </w:p>
    <w:tbl>
      <w:tblPr>
        <w:tblW w:w="9349" w:type="dxa"/>
        <w:tblInd w:w="113" w:type="dxa"/>
        <w:tblLook w:val="01E0" w:firstRow="1" w:lastRow="1" w:firstColumn="1" w:lastColumn="1" w:noHBand="0" w:noVBand="0"/>
      </w:tblPr>
      <w:tblGrid>
        <w:gridCol w:w="5132"/>
        <w:gridCol w:w="1620"/>
        <w:gridCol w:w="2597"/>
      </w:tblGrid>
      <w:tr w:rsidR="00544401" w:rsidRPr="00544401" w:rsidTr="00887DC4">
        <w:tc>
          <w:tcPr>
            <w:tcW w:w="5132" w:type="dxa"/>
            <w:tcBorders>
              <w:bottom w:val="single" w:sz="4" w:space="0" w:color="auto"/>
            </w:tcBorders>
          </w:tcPr>
          <w:p w:rsidR="00544401" w:rsidRPr="00544401" w:rsidRDefault="00544401" w:rsidP="00544401">
            <w:pPr>
              <w:spacing w:after="0" w:line="240" w:lineRule="auto"/>
              <w:jc w:val="center"/>
              <w:rPr>
                <w:rFonts w:ascii="Times New Roman" w:eastAsia="Times New Roman" w:hAnsi="Times New Roman" w:cs="Times New Roman"/>
                <w:b/>
                <w:smallCaps/>
                <w:lang w:eastAsia="hu-HU"/>
              </w:rPr>
            </w:pPr>
            <w:r w:rsidRPr="00544401">
              <w:rPr>
                <w:rFonts w:ascii="Times New Roman" w:eastAsia="Times New Roman" w:hAnsi="Times New Roman" w:cs="Times New Roman"/>
                <w:b/>
                <w:smallCaps/>
                <w:lang w:eastAsia="hu-HU"/>
              </w:rPr>
              <w:lastRenderedPageBreak/>
              <w:t>Nemzeti Közszolgálati Egyetem</w:t>
            </w:r>
          </w:p>
        </w:tc>
        <w:tc>
          <w:tcPr>
            <w:tcW w:w="1620" w:type="dxa"/>
          </w:tcPr>
          <w:p w:rsidR="00544401" w:rsidRPr="00544401" w:rsidRDefault="00544401" w:rsidP="00544401">
            <w:pPr>
              <w:spacing w:after="0" w:line="240" w:lineRule="auto"/>
              <w:jc w:val="both"/>
              <w:rPr>
                <w:rFonts w:ascii="Times New Roman" w:eastAsia="Times New Roman" w:hAnsi="Times New Roman" w:cs="Times New Roman"/>
                <w:lang w:eastAsia="hu-HU"/>
              </w:rPr>
            </w:pPr>
          </w:p>
        </w:tc>
        <w:tc>
          <w:tcPr>
            <w:tcW w:w="2597" w:type="dxa"/>
          </w:tcPr>
          <w:p w:rsidR="00544401" w:rsidRPr="00544401" w:rsidRDefault="00544401" w:rsidP="00544401">
            <w:pPr>
              <w:spacing w:after="0" w:line="240" w:lineRule="auto"/>
              <w:jc w:val="right"/>
              <w:rPr>
                <w:rFonts w:ascii="Times New Roman" w:eastAsia="Times New Roman" w:hAnsi="Times New Roman" w:cs="Times New Roman"/>
                <w:lang w:eastAsia="hu-HU"/>
              </w:rPr>
            </w:pPr>
          </w:p>
        </w:tc>
      </w:tr>
      <w:tr w:rsidR="00544401" w:rsidRPr="00544401" w:rsidTr="00887DC4">
        <w:tc>
          <w:tcPr>
            <w:tcW w:w="5132" w:type="dxa"/>
            <w:tcBorders>
              <w:top w:val="single" w:sz="4" w:space="0" w:color="auto"/>
            </w:tcBorders>
          </w:tcPr>
          <w:p w:rsidR="00544401" w:rsidRPr="00544401" w:rsidRDefault="00544401" w:rsidP="00544401">
            <w:pPr>
              <w:spacing w:after="0" w:line="240" w:lineRule="auto"/>
              <w:jc w:val="center"/>
              <w:rPr>
                <w:rFonts w:ascii="Times New Roman" w:eastAsia="Times New Roman" w:hAnsi="Times New Roman" w:cs="Times New Roman"/>
                <w:b/>
                <w:lang w:eastAsia="hu-HU"/>
              </w:rPr>
            </w:pPr>
            <w:r w:rsidRPr="00544401">
              <w:rPr>
                <w:rFonts w:ascii="Times New Roman" w:eastAsia="Times New Roman" w:hAnsi="Times New Roman" w:cs="Times New Roman"/>
                <w:b/>
                <w:noProof/>
                <w:lang w:eastAsia="hu-HU"/>
              </w:rPr>
              <w:t>Államtudományi és Nemzetközi Tanulmányok Kar</w:t>
            </w:r>
          </w:p>
        </w:tc>
        <w:tc>
          <w:tcPr>
            <w:tcW w:w="1620" w:type="dxa"/>
          </w:tcPr>
          <w:p w:rsidR="00544401" w:rsidRPr="00544401" w:rsidRDefault="00544401" w:rsidP="00544401">
            <w:pPr>
              <w:spacing w:after="0" w:line="240" w:lineRule="auto"/>
              <w:jc w:val="both"/>
              <w:rPr>
                <w:rFonts w:ascii="Times New Roman" w:eastAsia="Times New Roman" w:hAnsi="Times New Roman" w:cs="Times New Roman"/>
                <w:lang w:eastAsia="hu-HU"/>
              </w:rPr>
            </w:pPr>
          </w:p>
        </w:tc>
        <w:tc>
          <w:tcPr>
            <w:tcW w:w="2597" w:type="dxa"/>
          </w:tcPr>
          <w:p w:rsidR="00544401" w:rsidRPr="00544401" w:rsidRDefault="00544401" w:rsidP="00544401">
            <w:pPr>
              <w:spacing w:after="0" w:line="240" w:lineRule="auto"/>
              <w:jc w:val="both"/>
              <w:rPr>
                <w:rFonts w:ascii="Times New Roman" w:eastAsia="Times New Roman" w:hAnsi="Times New Roman" w:cs="Times New Roman"/>
                <w:lang w:eastAsia="hu-HU"/>
              </w:rPr>
            </w:pPr>
          </w:p>
        </w:tc>
      </w:tr>
    </w:tbl>
    <w:p w:rsidR="00544401" w:rsidRPr="00544401" w:rsidRDefault="00544401" w:rsidP="00544401">
      <w:pPr>
        <w:widowControl w:val="0"/>
        <w:spacing w:before="120" w:after="120" w:line="240" w:lineRule="auto"/>
        <w:ind w:left="426" w:hanging="142"/>
        <w:jc w:val="center"/>
        <w:rPr>
          <w:rFonts w:ascii="Times New Roman" w:eastAsia="Times New Roman" w:hAnsi="Times New Roman" w:cs="Times New Roman"/>
          <w:b/>
          <w:bCs/>
        </w:rPr>
      </w:pPr>
    </w:p>
    <w:p w:rsidR="00544401" w:rsidRPr="00544401" w:rsidRDefault="00544401" w:rsidP="00544401">
      <w:pPr>
        <w:widowControl w:val="0"/>
        <w:spacing w:before="120" w:after="120" w:line="240" w:lineRule="auto"/>
        <w:ind w:left="426" w:hanging="142"/>
        <w:jc w:val="center"/>
        <w:rPr>
          <w:rFonts w:ascii="Times New Roman" w:eastAsia="Times New Roman" w:hAnsi="Times New Roman" w:cs="Times New Roman"/>
          <w:b/>
          <w:bCs/>
        </w:rPr>
      </w:pPr>
      <w:r w:rsidRPr="00544401">
        <w:rPr>
          <w:rFonts w:ascii="Times New Roman" w:eastAsia="Times New Roman" w:hAnsi="Times New Roman" w:cs="Times New Roman"/>
          <w:b/>
          <w:bCs/>
        </w:rPr>
        <w:t>TANTÁRGYI PROGRAM</w:t>
      </w:r>
    </w:p>
    <w:p w:rsidR="00544401" w:rsidRPr="00544401" w:rsidRDefault="00544401" w:rsidP="00980876">
      <w:pPr>
        <w:widowControl w:val="0"/>
        <w:numPr>
          <w:ilvl w:val="0"/>
          <w:numId w:val="831"/>
        </w:numPr>
        <w:tabs>
          <w:tab w:val="num" w:pos="426"/>
        </w:tabs>
        <w:spacing w:before="120" w:after="120" w:line="240" w:lineRule="auto"/>
        <w:jc w:val="both"/>
        <w:rPr>
          <w:rFonts w:ascii="Times New Roman" w:eastAsia="Times New Roman" w:hAnsi="Times New Roman" w:cs="Times New Roman"/>
          <w:bCs/>
        </w:rPr>
      </w:pPr>
      <w:r w:rsidRPr="00544401">
        <w:rPr>
          <w:rFonts w:ascii="Times New Roman" w:eastAsia="Times New Roman" w:hAnsi="Times New Roman" w:cs="Times New Roman"/>
          <w:b/>
          <w:bCs/>
        </w:rPr>
        <w:t xml:space="preserve">A tantárgy kódja: </w:t>
      </w:r>
      <w:r w:rsidRPr="00544401">
        <w:rPr>
          <w:rFonts w:ascii="Times New Roman" w:eastAsia="Times New Roman" w:hAnsi="Times New Roman" w:cs="Times New Roman"/>
          <w:bCs/>
          <w:noProof/>
        </w:rPr>
        <w:t>ÁTKTB01</w:t>
      </w:r>
    </w:p>
    <w:p w:rsidR="00544401" w:rsidRPr="00544401" w:rsidRDefault="00544401" w:rsidP="00980876">
      <w:pPr>
        <w:widowControl w:val="0"/>
        <w:numPr>
          <w:ilvl w:val="0"/>
          <w:numId w:val="831"/>
        </w:numPr>
        <w:tabs>
          <w:tab w:val="num" w:pos="567"/>
        </w:tabs>
        <w:spacing w:before="120" w:after="120" w:line="240" w:lineRule="auto"/>
        <w:ind w:left="426" w:hanging="142"/>
        <w:jc w:val="both"/>
        <w:rPr>
          <w:rFonts w:ascii="Times New Roman" w:eastAsia="Times New Roman" w:hAnsi="Times New Roman" w:cs="Times New Roman"/>
          <w:b/>
          <w:bCs/>
          <w:lang w:val="en-GB"/>
        </w:rPr>
      </w:pPr>
      <w:r w:rsidRPr="00544401">
        <w:rPr>
          <w:rFonts w:ascii="Times New Roman" w:eastAsia="Times New Roman" w:hAnsi="Times New Roman" w:cs="Times New Roman"/>
          <w:b/>
          <w:bCs/>
        </w:rPr>
        <w:t>A tantárgy megnevezése (magyarul):</w:t>
      </w:r>
      <w:r w:rsidRPr="00544401">
        <w:rPr>
          <w:rFonts w:ascii="Times New Roman" w:eastAsia="Times New Roman" w:hAnsi="Times New Roman" w:cs="Times New Roman"/>
          <w:bCs/>
        </w:rPr>
        <w:t xml:space="preserve"> </w:t>
      </w:r>
      <w:r w:rsidRPr="00544401">
        <w:rPr>
          <w:rFonts w:ascii="Times New Roman" w:eastAsia="Times New Roman" w:hAnsi="Times New Roman" w:cs="Times New Roman"/>
          <w:bCs/>
          <w:noProof/>
        </w:rPr>
        <w:t>Információs társadalom</w:t>
      </w:r>
    </w:p>
    <w:p w:rsidR="00544401" w:rsidRPr="00544401" w:rsidRDefault="00544401" w:rsidP="00980876">
      <w:pPr>
        <w:widowControl w:val="0"/>
        <w:numPr>
          <w:ilvl w:val="0"/>
          <w:numId w:val="831"/>
        </w:numPr>
        <w:tabs>
          <w:tab w:val="num" w:pos="567"/>
        </w:tabs>
        <w:spacing w:before="120" w:after="120" w:line="240" w:lineRule="auto"/>
        <w:ind w:left="426" w:hanging="142"/>
        <w:jc w:val="both"/>
        <w:rPr>
          <w:rFonts w:ascii="Times New Roman" w:eastAsia="Times New Roman" w:hAnsi="Times New Roman" w:cs="Times New Roman"/>
          <w:b/>
          <w:bCs/>
          <w:lang w:val="en-GB"/>
        </w:rPr>
      </w:pPr>
      <w:r w:rsidRPr="00544401">
        <w:rPr>
          <w:rFonts w:ascii="Times New Roman" w:eastAsia="Times New Roman" w:hAnsi="Times New Roman" w:cs="Times New Roman"/>
          <w:b/>
          <w:bCs/>
        </w:rPr>
        <w:t xml:space="preserve">A tantárgy megnevezése (angolul): </w:t>
      </w:r>
      <w:r w:rsidRPr="00544401">
        <w:rPr>
          <w:rFonts w:ascii="Times New Roman" w:eastAsia="Times New Roman" w:hAnsi="Times New Roman" w:cs="Times New Roman"/>
          <w:bCs/>
          <w:noProof/>
        </w:rPr>
        <w:t>Information Society</w:t>
      </w:r>
    </w:p>
    <w:p w:rsidR="00544401" w:rsidRPr="00544401" w:rsidRDefault="00544401" w:rsidP="00980876">
      <w:pPr>
        <w:widowControl w:val="0"/>
        <w:numPr>
          <w:ilvl w:val="0"/>
          <w:numId w:val="831"/>
        </w:numPr>
        <w:tabs>
          <w:tab w:val="num" w:pos="567"/>
        </w:tabs>
        <w:spacing w:before="120" w:after="120" w:line="240" w:lineRule="auto"/>
        <w:ind w:left="426" w:hanging="142"/>
        <w:jc w:val="both"/>
        <w:rPr>
          <w:rFonts w:ascii="Times New Roman" w:eastAsia="Times New Roman" w:hAnsi="Times New Roman" w:cs="Times New Roman"/>
          <w:b/>
          <w:bCs/>
        </w:rPr>
      </w:pPr>
      <w:r w:rsidRPr="00544401">
        <w:rPr>
          <w:rFonts w:ascii="Times New Roman" w:eastAsia="Times New Roman" w:hAnsi="Times New Roman" w:cs="Times New Roman"/>
          <w:b/>
          <w:bCs/>
        </w:rPr>
        <w:t xml:space="preserve">Kreditérték és képzési karakter: </w:t>
      </w:r>
    </w:p>
    <w:p w:rsidR="00544401" w:rsidRPr="00544401" w:rsidRDefault="00544401" w:rsidP="00980876">
      <w:pPr>
        <w:widowControl w:val="0"/>
        <w:numPr>
          <w:ilvl w:val="1"/>
          <w:numId w:val="831"/>
        </w:numPr>
        <w:spacing w:before="120" w:after="120" w:line="240" w:lineRule="auto"/>
        <w:ind w:left="993" w:hanging="426"/>
        <w:contextualSpacing/>
        <w:jc w:val="both"/>
        <w:rPr>
          <w:rFonts w:ascii="Times New Roman" w:eastAsia="Times New Roman" w:hAnsi="Times New Roman" w:cs="Times New Roman"/>
          <w:b/>
          <w:bCs/>
        </w:rPr>
      </w:pPr>
      <w:r w:rsidRPr="00544401">
        <w:rPr>
          <w:rFonts w:ascii="Times New Roman" w:eastAsia="Times New Roman" w:hAnsi="Times New Roman" w:cs="Times New Roman"/>
          <w:bCs/>
          <w:noProof/>
        </w:rPr>
        <w:t>2</w:t>
      </w:r>
      <w:r w:rsidRPr="00544401">
        <w:rPr>
          <w:rFonts w:ascii="Times New Roman" w:eastAsia="Times New Roman" w:hAnsi="Times New Roman" w:cs="Times New Roman"/>
          <w:bCs/>
        </w:rPr>
        <w:t xml:space="preserve"> kredit</w:t>
      </w:r>
    </w:p>
    <w:p w:rsidR="00544401" w:rsidRPr="00544401" w:rsidRDefault="00544401" w:rsidP="00980876">
      <w:pPr>
        <w:widowControl w:val="0"/>
        <w:numPr>
          <w:ilvl w:val="1"/>
          <w:numId w:val="831"/>
        </w:numPr>
        <w:spacing w:before="120" w:after="120" w:line="240" w:lineRule="auto"/>
        <w:ind w:left="993" w:hanging="426"/>
        <w:contextualSpacing/>
        <w:jc w:val="both"/>
        <w:rPr>
          <w:rFonts w:ascii="Times New Roman" w:eastAsia="Times New Roman" w:hAnsi="Times New Roman" w:cs="Times New Roman"/>
          <w:b/>
          <w:bCs/>
        </w:rPr>
      </w:pPr>
      <w:r w:rsidRPr="00544401">
        <w:rPr>
          <w:rFonts w:ascii="Times New Roman" w:eastAsia="Times New Roman" w:hAnsi="Times New Roman" w:cs="Times New Roman"/>
          <w:bCs/>
        </w:rPr>
        <w:t xml:space="preserve">a tantárgy elméleti vagy gyakorlati jellegének mértéke: </w:t>
      </w:r>
      <w:r w:rsidRPr="00544401">
        <w:rPr>
          <w:rFonts w:ascii="Times New Roman" w:eastAsia="Times New Roman" w:hAnsi="Times New Roman" w:cs="Times New Roman"/>
          <w:bCs/>
          <w:noProof/>
        </w:rPr>
        <w:t>0</w:t>
      </w:r>
      <w:r w:rsidRPr="00544401">
        <w:rPr>
          <w:rFonts w:ascii="Times New Roman" w:eastAsia="Times New Roman" w:hAnsi="Times New Roman" w:cs="Times New Roman"/>
          <w:bCs/>
        </w:rPr>
        <w:t xml:space="preserve">% gyakorlat, </w:t>
      </w:r>
      <w:r w:rsidRPr="00544401">
        <w:rPr>
          <w:rFonts w:ascii="Times New Roman" w:eastAsia="Times New Roman" w:hAnsi="Times New Roman" w:cs="Times New Roman"/>
          <w:bCs/>
          <w:noProof/>
        </w:rPr>
        <w:t>100</w:t>
      </w:r>
      <w:r w:rsidRPr="00544401">
        <w:rPr>
          <w:rFonts w:ascii="Times New Roman" w:eastAsia="Times New Roman" w:hAnsi="Times New Roman" w:cs="Times New Roman"/>
          <w:bCs/>
        </w:rPr>
        <w:t>% elmélet</w:t>
      </w:r>
    </w:p>
    <w:p w:rsidR="00544401" w:rsidRPr="000D0FE3" w:rsidRDefault="00544401" w:rsidP="00980876">
      <w:pPr>
        <w:widowControl w:val="0"/>
        <w:numPr>
          <w:ilvl w:val="0"/>
          <w:numId w:val="831"/>
        </w:numPr>
        <w:spacing w:before="120" w:after="120" w:line="240" w:lineRule="auto"/>
        <w:ind w:left="426" w:hanging="142"/>
        <w:jc w:val="both"/>
        <w:rPr>
          <w:rFonts w:ascii="Times New Roman" w:eastAsia="Times New Roman" w:hAnsi="Times New Roman" w:cs="Times New Roman"/>
          <w:bCs/>
          <w:highlight w:val="yellow"/>
        </w:rPr>
      </w:pPr>
      <w:r w:rsidRPr="00544401">
        <w:rPr>
          <w:rFonts w:ascii="Times New Roman" w:eastAsia="Times New Roman" w:hAnsi="Times New Roman" w:cs="Times New Roman"/>
          <w:b/>
          <w:bCs/>
        </w:rPr>
        <w:t>A szak(ok), szakirányok/specializációk megnevezése (ahol oktatják):</w:t>
      </w:r>
      <w:r w:rsidRPr="00544401">
        <w:rPr>
          <w:rFonts w:ascii="Times New Roman" w:eastAsia="Times New Roman" w:hAnsi="Times New Roman" w:cs="Times New Roman"/>
          <w:bCs/>
        </w:rPr>
        <w:t xml:space="preserve"> </w:t>
      </w:r>
      <w:r w:rsidR="000D0FE3" w:rsidRPr="000D0FE3">
        <w:rPr>
          <w:rFonts w:ascii="Times New Roman" w:eastAsia="Times New Roman" w:hAnsi="Times New Roman" w:cs="Times New Roman"/>
          <w:bCs/>
          <w:noProof/>
          <w:highlight w:val="yellow"/>
        </w:rPr>
        <w:t>HHK alapképzési szakok</w:t>
      </w:r>
    </w:p>
    <w:p w:rsidR="00544401" w:rsidRPr="00544401" w:rsidRDefault="00544401" w:rsidP="00980876">
      <w:pPr>
        <w:widowControl w:val="0"/>
        <w:numPr>
          <w:ilvl w:val="0"/>
          <w:numId w:val="831"/>
        </w:numPr>
        <w:tabs>
          <w:tab w:val="num" w:pos="567"/>
        </w:tabs>
        <w:spacing w:before="120" w:after="120" w:line="240" w:lineRule="auto"/>
        <w:ind w:left="426" w:hanging="142"/>
        <w:jc w:val="both"/>
        <w:rPr>
          <w:rFonts w:ascii="Times New Roman" w:eastAsia="Times New Roman" w:hAnsi="Times New Roman" w:cs="Times New Roman"/>
          <w:bCs/>
        </w:rPr>
      </w:pPr>
      <w:r w:rsidRPr="00544401">
        <w:rPr>
          <w:rFonts w:ascii="Times New Roman" w:eastAsia="Times New Roman" w:hAnsi="Times New Roman" w:cs="Times New Roman"/>
          <w:b/>
          <w:bCs/>
        </w:rPr>
        <w:t xml:space="preserve">Az oktatásért felelős oktatási szervezeti egység megnevezése: </w:t>
      </w:r>
      <w:r w:rsidRPr="00544401">
        <w:rPr>
          <w:rFonts w:ascii="Times New Roman" w:eastAsia="Times New Roman" w:hAnsi="Times New Roman" w:cs="Times New Roman"/>
          <w:bCs/>
          <w:noProof/>
        </w:rPr>
        <w:t>Államtudományi és Nemzetközi Tanulmányok Kar</w:t>
      </w:r>
      <w:r w:rsidRPr="00544401">
        <w:rPr>
          <w:rFonts w:ascii="Times New Roman" w:eastAsia="Times New Roman" w:hAnsi="Times New Roman" w:cs="Times New Roman"/>
          <w:bCs/>
        </w:rPr>
        <w:t xml:space="preserve">, </w:t>
      </w:r>
      <w:r w:rsidRPr="00544401">
        <w:rPr>
          <w:rFonts w:ascii="Times New Roman" w:eastAsia="Times New Roman" w:hAnsi="Times New Roman" w:cs="Times New Roman"/>
          <w:bCs/>
          <w:noProof/>
        </w:rPr>
        <w:t>Társadalmi Kommunikáció Tanszék</w:t>
      </w:r>
    </w:p>
    <w:p w:rsidR="00544401" w:rsidRPr="00544401" w:rsidRDefault="00544401" w:rsidP="00980876">
      <w:pPr>
        <w:widowControl w:val="0"/>
        <w:numPr>
          <w:ilvl w:val="0"/>
          <w:numId w:val="831"/>
        </w:numPr>
        <w:tabs>
          <w:tab w:val="num" w:pos="567"/>
        </w:tabs>
        <w:spacing w:before="120" w:after="120" w:line="240" w:lineRule="auto"/>
        <w:ind w:left="426" w:hanging="142"/>
        <w:jc w:val="both"/>
        <w:rPr>
          <w:rFonts w:ascii="Times New Roman" w:eastAsia="Times New Roman" w:hAnsi="Times New Roman" w:cs="Times New Roman"/>
          <w:bCs/>
        </w:rPr>
      </w:pPr>
      <w:r w:rsidRPr="00544401">
        <w:rPr>
          <w:rFonts w:ascii="Times New Roman" w:eastAsia="Times New Roman" w:hAnsi="Times New Roman" w:cs="Times New Roman"/>
          <w:b/>
          <w:bCs/>
        </w:rPr>
        <w:t>A tantárgyfelelős oktató neve, beosztása, tudományos fokozata:</w:t>
      </w:r>
      <w:r w:rsidRPr="00544401">
        <w:rPr>
          <w:rFonts w:ascii="Times New Roman" w:eastAsia="Times New Roman" w:hAnsi="Times New Roman" w:cs="Times New Roman"/>
          <w:bCs/>
        </w:rPr>
        <w:t xml:space="preserve"> </w:t>
      </w:r>
      <w:r w:rsidRPr="00544401">
        <w:rPr>
          <w:rFonts w:ascii="Times New Roman" w:eastAsia="Times New Roman" w:hAnsi="Times New Roman" w:cs="Times New Roman"/>
          <w:bCs/>
          <w:noProof/>
        </w:rPr>
        <w:t>Dr. Koltay András</w:t>
      </w:r>
      <w:r w:rsidRPr="00544401">
        <w:rPr>
          <w:rFonts w:ascii="Times New Roman" w:eastAsia="Times New Roman" w:hAnsi="Times New Roman" w:cs="Times New Roman"/>
          <w:bCs/>
        </w:rPr>
        <w:t xml:space="preserve">, </w:t>
      </w:r>
      <w:r w:rsidRPr="00544401">
        <w:rPr>
          <w:rFonts w:ascii="Times New Roman" w:eastAsia="Times New Roman" w:hAnsi="Times New Roman" w:cs="Times New Roman"/>
          <w:bCs/>
          <w:noProof/>
        </w:rPr>
        <w:t>PhD</w:t>
      </w:r>
      <w:r w:rsidRPr="00544401">
        <w:rPr>
          <w:rFonts w:ascii="Times New Roman" w:eastAsia="Times New Roman" w:hAnsi="Times New Roman" w:cs="Times New Roman"/>
          <w:bCs/>
        </w:rPr>
        <w:t xml:space="preserve">, </w:t>
      </w:r>
      <w:r w:rsidRPr="00544401">
        <w:rPr>
          <w:rFonts w:ascii="Times New Roman" w:eastAsia="Times New Roman" w:hAnsi="Times New Roman" w:cs="Times New Roman"/>
          <w:bCs/>
          <w:noProof/>
        </w:rPr>
        <w:t>egyetemi tanár</w:t>
      </w:r>
    </w:p>
    <w:p w:rsidR="00544401" w:rsidRPr="00544401" w:rsidRDefault="00544401" w:rsidP="00980876">
      <w:pPr>
        <w:widowControl w:val="0"/>
        <w:numPr>
          <w:ilvl w:val="0"/>
          <w:numId w:val="831"/>
        </w:numPr>
        <w:spacing w:before="120" w:after="120" w:line="240" w:lineRule="auto"/>
        <w:ind w:left="426" w:hanging="142"/>
        <w:jc w:val="both"/>
        <w:rPr>
          <w:rFonts w:ascii="Times New Roman" w:eastAsia="Times New Roman" w:hAnsi="Times New Roman" w:cs="Times New Roman"/>
          <w:bCs/>
        </w:rPr>
      </w:pPr>
      <w:r w:rsidRPr="00544401">
        <w:rPr>
          <w:rFonts w:ascii="Times New Roman" w:eastAsia="Times New Roman" w:hAnsi="Times New Roman" w:cs="Times New Roman"/>
          <w:b/>
          <w:bCs/>
        </w:rPr>
        <w:t>A tanórák száma és típusa</w:t>
      </w:r>
    </w:p>
    <w:p w:rsidR="00544401" w:rsidRPr="00544401" w:rsidRDefault="00544401" w:rsidP="00980876">
      <w:pPr>
        <w:widowControl w:val="0"/>
        <w:numPr>
          <w:ilvl w:val="1"/>
          <w:numId w:val="831"/>
        </w:numPr>
        <w:tabs>
          <w:tab w:val="num" w:pos="2069"/>
        </w:tabs>
        <w:spacing w:before="120" w:after="120" w:line="240" w:lineRule="auto"/>
        <w:ind w:left="851" w:hanging="425"/>
        <w:jc w:val="both"/>
        <w:rPr>
          <w:rFonts w:ascii="Times New Roman" w:eastAsia="Times New Roman" w:hAnsi="Times New Roman" w:cs="Times New Roman"/>
          <w:bCs/>
        </w:rPr>
      </w:pPr>
      <w:r w:rsidRPr="00544401">
        <w:rPr>
          <w:rFonts w:ascii="Times New Roman" w:eastAsia="Times New Roman" w:hAnsi="Times New Roman" w:cs="Times New Roman"/>
          <w:bCs/>
        </w:rPr>
        <w:t>össz óraszám/félév:</w:t>
      </w:r>
    </w:p>
    <w:p w:rsidR="00544401" w:rsidRPr="00544401" w:rsidRDefault="00544401" w:rsidP="000D0FE3">
      <w:pPr>
        <w:widowControl w:val="0"/>
        <w:numPr>
          <w:ilvl w:val="2"/>
          <w:numId w:val="831"/>
        </w:numPr>
        <w:tabs>
          <w:tab w:val="clear" w:pos="1942"/>
        </w:tabs>
        <w:spacing w:before="120" w:after="120" w:line="240" w:lineRule="auto"/>
        <w:ind w:left="851" w:hanging="284"/>
        <w:jc w:val="both"/>
        <w:rPr>
          <w:rFonts w:ascii="Times New Roman" w:eastAsia="Times New Roman" w:hAnsi="Times New Roman" w:cs="Times New Roman"/>
          <w:bCs/>
        </w:rPr>
      </w:pPr>
      <w:r w:rsidRPr="00544401">
        <w:rPr>
          <w:rFonts w:ascii="Times New Roman" w:eastAsia="Times New Roman" w:hAnsi="Times New Roman" w:cs="Times New Roman"/>
          <w:bCs/>
        </w:rPr>
        <w:t xml:space="preserve">nappali munkarend: </w:t>
      </w:r>
      <w:r w:rsidRPr="00544401">
        <w:rPr>
          <w:rFonts w:ascii="Times New Roman" w:eastAsia="Times New Roman" w:hAnsi="Times New Roman" w:cs="Times New Roman"/>
          <w:bCs/>
          <w:noProof/>
        </w:rPr>
        <w:t>28</w:t>
      </w:r>
      <w:r w:rsidRPr="00544401">
        <w:rPr>
          <w:rFonts w:ascii="Times New Roman" w:eastAsia="Times New Roman" w:hAnsi="Times New Roman" w:cs="Times New Roman"/>
          <w:bCs/>
        </w:rPr>
        <w:t xml:space="preserve"> (</w:t>
      </w:r>
      <w:r w:rsidRPr="00544401">
        <w:rPr>
          <w:rFonts w:ascii="Times New Roman" w:eastAsia="Times New Roman" w:hAnsi="Times New Roman" w:cs="Times New Roman"/>
          <w:bCs/>
          <w:noProof/>
        </w:rPr>
        <w:t>28</w:t>
      </w:r>
      <w:r w:rsidRPr="00544401">
        <w:rPr>
          <w:rFonts w:ascii="Times New Roman" w:eastAsia="Times New Roman" w:hAnsi="Times New Roman" w:cs="Times New Roman"/>
          <w:bCs/>
        </w:rPr>
        <w:t xml:space="preserve"> EA + </w:t>
      </w:r>
      <w:r w:rsidRPr="00544401">
        <w:rPr>
          <w:rFonts w:ascii="Times New Roman" w:eastAsia="Times New Roman" w:hAnsi="Times New Roman" w:cs="Times New Roman"/>
          <w:bCs/>
          <w:noProof/>
        </w:rPr>
        <w:t>0</w:t>
      </w:r>
      <w:r w:rsidRPr="00544401">
        <w:rPr>
          <w:rFonts w:ascii="Times New Roman" w:eastAsia="Times New Roman" w:hAnsi="Times New Roman" w:cs="Times New Roman"/>
          <w:bCs/>
        </w:rPr>
        <w:t xml:space="preserve"> GY)</w:t>
      </w:r>
    </w:p>
    <w:p w:rsidR="00544401" w:rsidRPr="00544401" w:rsidRDefault="00544401" w:rsidP="000D0FE3">
      <w:pPr>
        <w:widowControl w:val="0"/>
        <w:numPr>
          <w:ilvl w:val="2"/>
          <w:numId w:val="831"/>
        </w:numPr>
        <w:tabs>
          <w:tab w:val="clear" w:pos="1942"/>
        </w:tabs>
        <w:spacing w:before="120" w:after="120" w:line="240" w:lineRule="auto"/>
        <w:ind w:left="851" w:hanging="284"/>
        <w:jc w:val="both"/>
        <w:rPr>
          <w:rFonts w:ascii="Times New Roman" w:eastAsia="Times New Roman" w:hAnsi="Times New Roman" w:cs="Times New Roman"/>
          <w:bCs/>
        </w:rPr>
      </w:pPr>
      <w:r w:rsidRPr="00544401">
        <w:rPr>
          <w:rFonts w:ascii="Times New Roman" w:eastAsia="Times New Roman" w:hAnsi="Times New Roman" w:cs="Times New Roman"/>
          <w:bCs/>
        </w:rPr>
        <w:t xml:space="preserve">levelező munkarend: </w:t>
      </w:r>
      <w:r w:rsidRPr="00544401">
        <w:rPr>
          <w:rFonts w:ascii="Times New Roman" w:eastAsia="Times New Roman" w:hAnsi="Times New Roman" w:cs="Times New Roman"/>
          <w:bCs/>
          <w:noProof/>
        </w:rPr>
        <w:t>8</w:t>
      </w:r>
      <w:r w:rsidRPr="00544401">
        <w:rPr>
          <w:rFonts w:ascii="Times New Roman" w:eastAsia="Times New Roman" w:hAnsi="Times New Roman" w:cs="Times New Roman"/>
          <w:bCs/>
        </w:rPr>
        <w:t xml:space="preserve"> (</w:t>
      </w:r>
      <w:r w:rsidRPr="00544401">
        <w:rPr>
          <w:rFonts w:ascii="Times New Roman" w:eastAsia="Times New Roman" w:hAnsi="Times New Roman" w:cs="Times New Roman"/>
          <w:bCs/>
          <w:noProof/>
        </w:rPr>
        <w:t>8</w:t>
      </w:r>
      <w:r w:rsidRPr="00544401">
        <w:rPr>
          <w:rFonts w:ascii="Times New Roman" w:eastAsia="Times New Roman" w:hAnsi="Times New Roman" w:cs="Times New Roman"/>
          <w:bCs/>
        </w:rPr>
        <w:t xml:space="preserve"> EA + </w:t>
      </w:r>
      <w:r w:rsidRPr="00544401">
        <w:rPr>
          <w:rFonts w:ascii="Times New Roman" w:eastAsia="Times New Roman" w:hAnsi="Times New Roman" w:cs="Times New Roman"/>
          <w:bCs/>
          <w:noProof/>
        </w:rPr>
        <w:t>0</w:t>
      </w:r>
      <w:r w:rsidRPr="00544401">
        <w:rPr>
          <w:rFonts w:ascii="Times New Roman" w:eastAsia="Times New Roman" w:hAnsi="Times New Roman" w:cs="Times New Roman"/>
          <w:bCs/>
        </w:rPr>
        <w:t xml:space="preserve"> GY)</w:t>
      </w:r>
    </w:p>
    <w:p w:rsidR="00544401" w:rsidRPr="00544401" w:rsidRDefault="00544401" w:rsidP="00980876">
      <w:pPr>
        <w:widowControl w:val="0"/>
        <w:numPr>
          <w:ilvl w:val="1"/>
          <w:numId w:val="831"/>
        </w:numPr>
        <w:tabs>
          <w:tab w:val="num" w:pos="2069"/>
        </w:tabs>
        <w:spacing w:before="120" w:after="120" w:line="240" w:lineRule="auto"/>
        <w:ind w:left="851" w:hanging="425"/>
        <w:jc w:val="both"/>
        <w:rPr>
          <w:rFonts w:ascii="Times New Roman" w:eastAsia="Times New Roman" w:hAnsi="Times New Roman" w:cs="Times New Roman"/>
          <w:bCs/>
        </w:rPr>
      </w:pPr>
      <w:r w:rsidRPr="00544401">
        <w:rPr>
          <w:rFonts w:ascii="Times New Roman" w:eastAsia="Times New Roman" w:hAnsi="Times New Roman" w:cs="Times New Roman"/>
          <w:bCs/>
        </w:rPr>
        <w:t xml:space="preserve">heti óraszám - nappali munkarend: </w:t>
      </w:r>
      <w:r w:rsidRPr="00544401">
        <w:rPr>
          <w:rFonts w:ascii="Times New Roman" w:eastAsia="Times New Roman" w:hAnsi="Times New Roman" w:cs="Times New Roman"/>
          <w:bCs/>
          <w:noProof/>
        </w:rPr>
        <w:t>2</w:t>
      </w:r>
      <w:r w:rsidRPr="00544401">
        <w:rPr>
          <w:rFonts w:ascii="Times New Roman" w:eastAsia="Times New Roman" w:hAnsi="Times New Roman" w:cs="Times New Roman"/>
          <w:bCs/>
        </w:rPr>
        <w:t xml:space="preserve"> (</w:t>
      </w:r>
      <w:r w:rsidRPr="00544401">
        <w:rPr>
          <w:rFonts w:ascii="Times New Roman" w:eastAsia="Times New Roman" w:hAnsi="Times New Roman" w:cs="Times New Roman"/>
          <w:bCs/>
          <w:noProof/>
        </w:rPr>
        <w:t>2</w:t>
      </w:r>
      <w:r w:rsidRPr="00544401">
        <w:rPr>
          <w:rFonts w:ascii="Times New Roman" w:eastAsia="Times New Roman" w:hAnsi="Times New Roman" w:cs="Times New Roman"/>
          <w:bCs/>
        </w:rPr>
        <w:t xml:space="preserve"> EA + </w:t>
      </w:r>
      <w:r w:rsidRPr="00544401">
        <w:rPr>
          <w:rFonts w:ascii="Times New Roman" w:eastAsia="Times New Roman" w:hAnsi="Times New Roman" w:cs="Times New Roman"/>
          <w:bCs/>
          <w:noProof/>
        </w:rPr>
        <w:t>0</w:t>
      </w:r>
      <w:r w:rsidRPr="00544401">
        <w:rPr>
          <w:rFonts w:ascii="Times New Roman" w:eastAsia="Times New Roman" w:hAnsi="Times New Roman" w:cs="Times New Roman"/>
          <w:bCs/>
        </w:rPr>
        <w:t xml:space="preserve"> GY)</w:t>
      </w:r>
    </w:p>
    <w:p w:rsidR="00544401" w:rsidRPr="00544401" w:rsidRDefault="00544401" w:rsidP="00980876">
      <w:pPr>
        <w:widowControl w:val="0"/>
        <w:numPr>
          <w:ilvl w:val="1"/>
          <w:numId w:val="831"/>
        </w:numPr>
        <w:tabs>
          <w:tab w:val="num" w:pos="2069"/>
        </w:tabs>
        <w:spacing w:before="120" w:after="120" w:line="240" w:lineRule="auto"/>
        <w:ind w:left="851" w:hanging="425"/>
        <w:jc w:val="both"/>
        <w:rPr>
          <w:rFonts w:ascii="Times New Roman" w:eastAsia="Times New Roman" w:hAnsi="Times New Roman" w:cs="Times New Roman"/>
          <w:bCs/>
        </w:rPr>
      </w:pPr>
      <w:r w:rsidRPr="00544401">
        <w:rPr>
          <w:rFonts w:ascii="Times New Roman" w:eastAsia="Calibri" w:hAnsi="Times New Roman" w:cs="Times New Roman"/>
        </w:rPr>
        <w:t xml:space="preserve">Az ismeret átadásában alkalmazandó további sajátos módok, jellemzők: </w:t>
      </w:r>
      <w:r w:rsidRPr="00544401">
        <w:rPr>
          <w:rFonts w:ascii="Times New Roman" w:eastAsia="Calibri" w:hAnsi="Times New Roman" w:cs="Times New Roman"/>
          <w:noProof/>
        </w:rPr>
        <w:t>-</w:t>
      </w:r>
      <w:r w:rsidRPr="00544401">
        <w:rPr>
          <w:rFonts w:ascii="Times New Roman" w:eastAsia="Calibri" w:hAnsi="Times New Roman" w:cs="Times New Roman"/>
        </w:rPr>
        <w:t xml:space="preserve"> </w:t>
      </w:r>
    </w:p>
    <w:p w:rsidR="00544401" w:rsidRPr="00544401" w:rsidRDefault="00544401" w:rsidP="00980876">
      <w:pPr>
        <w:widowControl w:val="0"/>
        <w:numPr>
          <w:ilvl w:val="0"/>
          <w:numId w:val="831"/>
        </w:numPr>
        <w:spacing w:before="120" w:after="120" w:line="240" w:lineRule="auto"/>
        <w:ind w:left="426" w:hanging="142"/>
        <w:jc w:val="both"/>
        <w:rPr>
          <w:rFonts w:ascii="Times New Roman" w:eastAsia="Times New Roman" w:hAnsi="Times New Roman" w:cs="Times New Roman"/>
          <w:bCs/>
        </w:rPr>
      </w:pPr>
      <w:r w:rsidRPr="00544401">
        <w:rPr>
          <w:rFonts w:ascii="Times New Roman" w:eastAsia="Times New Roman" w:hAnsi="Times New Roman" w:cs="Times New Roman"/>
          <w:b/>
          <w:bCs/>
        </w:rPr>
        <w:t>A tantárgy szakmai tartalma (magyarul):</w:t>
      </w:r>
      <w:r w:rsidRPr="00544401">
        <w:rPr>
          <w:rFonts w:ascii="Times New Roman" w:eastAsia="Times New Roman" w:hAnsi="Times New Roman" w:cs="Times New Roman"/>
          <w:bCs/>
        </w:rPr>
        <w:t xml:space="preserve"> </w:t>
      </w:r>
      <w:r w:rsidRPr="00544401">
        <w:rPr>
          <w:rFonts w:ascii="Times New Roman" w:eastAsia="Times New Roman" w:hAnsi="Times New Roman" w:cs="Times New Roman"/>
          <w:bCs/>
          <w:noProof/>
        </w:rPr>
        <w:t>Az óra célja, hogy a hallgatókat felkészítse jelenlegi világunk, az információs társadalom mélyebb megértésére. Az előadássorozat komplex módon és társadalmi oldalról közelíti meg a témakört, az alapvető fogalmi keret megismerése után különböző szemszögekből dolgozza fel ezt a rendkívül sokszínű, társadalmunkat, kultúránkat és gazdasági folyamatainkat gyökeresen meghatározó jelenséget. A kurzuson külön hangsúlyt kap az információs társadalom államra, közigazgatásra, a demokráciára és a jog világára gyakorolt hatása. A tanegység elvégzésével a hallgatók megismerik az információs társadalom átfogó magyarázatát (narratíváit), illetve részterületeinek kihívásait. Az előadások egymásra épülnek, és az egyetem információs társadalommal foglalkozó szakemberei mellett egy-egy terület szakértő vendégelőadói is részt vesznek az oktatásban.</w:t>
      </w:r>
    </w:p>
    <w:p w:rsidR="00544401" w:rsidRPr="00544401" w:rsidRDefault="00544401" w:rsidP="00544401">
      <w:pPr>
        <w:widowControl w:val="0"/>
        <w:spacing w:before="120" w:after="120" w:line="240" w:lineRule="auto"/>
        <w:ind w:left="426"/>
        <w:jc w:val="both"/>
        <w:rPr>
          <w:rFonts w:ascii="Times New Roman" w:eastAsia="Times New Roman" w:hAnsi="Times New Roman" w:cs="Times New Roman"/>
          <w:bCs/>
          <w:lang w:val="en-GB"/>
        </w:rPr>
      </w:pPr>
      <w:r w:rsidRPr="00544401">
        <w:rPr>
          <w:rFonts w:ascii="Times New Roman" w:eastAsia="Times New Roman" w:hAnsi="Times New Roman" w:cs="Times New Roman"/>
          <w:b/>
          <w:bCs/>
        </w:rPr>
        <w:t>A tantárgy szakmai tartalma (angolul) (</w:t>
      </w:r>
      <w:r w:rsidRPr="00544401">
        <w:rPr>
          <w:rFonts w:ascii="Times New Roman" w:eastAsia="Times New Roman" w:hAnsi="Times New Roman" w:cs="Times New Roman"/>
          <w:b/>
          <w:bCs/>
          <w:lang w:val="en-US"/>
        </w:rPr>
        <w:t>Course description</w:t>
      </w:r>
      <w:r w:rsidRPr="00544401">
        <w:rPr>
          <w:rFonts w:ascii="Times New Roman" w:eastAsia="Times New Roman" w:hAnsi="Times New Roman" w:cs="Times New Roman"/>
          <w:b/>
          <w:bCs/>
        </w:rPr>
        <w:t xml:space="preserve">): </w:t>
      </w:r>
      <w:r w:rsidRPr="00544401">
        <w:rPr>
          <w:rFonts w:ascii="Times New Roman" w:eastAsia="Times New Roman" w:hAnsi="Times New Roman" w:cs="Times New Roman"/>
          <w:bCs/>
          <w:noProof/>
        </w:rPr>
        <w:t>The course’s main goal is to prepare students for a deeper understanding of the information society of our time. The lectures examine the subject-matter from a comprehensive social perspective: after providing the fundamental conceptual framework, information society is scrutinized from different angles as a colorful, complex and defining concept. The course highlights the impacts on the state, the administration, democracy and the law. While completing the course, students understand the main narratives of information society, and face the challenges of its special fields.</w:t>
      </w:r>
      <w:r w:rsidRPr="00544401">
        <w:rPr>
          <w:rFonts w:ascii="Times New Roman" w:eastAsia="Times New Roman" w:hAnsi="Times New Roman" w:cs="Times New Roman"/>
          <w:bCs/>
          <w:lang w:val="en-GB"/>
        </w:rPr>
        <w:t xml:space="preserve"> </w:t>
      </w:r>
    </w:p>
    <w:p w:rsidR="00544401" w:rsidRPr="00544401" w:rsidRDefault="00544401" w:rsidP="00980876">
      <w:pPr>
        <w:widowControl w:val="0"/>
        <w:numPr>
          <w:ilvl w:val="0"/>
          <w:numId w:val="831"/>
        </w:numPr>
        <w:spacing w:before="120" w:after="120" w:line="240" w:lineRule="auto"/>
        <w:contextualSpacing/>
        <w:jc w:val="both"/>
        <w:rPr>
          <w:rFonts w:ascii="Times New Roman" w:eastAsia="Times New Roman" w:hAnsi="Times New Roman" w:cs="Times New Roman"/>
          <w:bCs/>
        </w:rPr>
      </w:pPr>
      <w:r w:rsidRPr="00544401">
        <w:rPr>
          <w:rFonts w:ascii="Times New Roman" w:eastAsia="Times New Roman" w:hAnsi="Times New Roman" w:cs="Times New Roman"/>
          <w:b/>
          <w:bCs/>
        </w:rPr>
        <w:t xml:space="preserve">Elérendő kompetenciák (magyarul): </w:t>
      </w:r>
    </w:p>
    <w:p w:rsidR="00544401" w:rsidRPr="00544401" w:rsidRDefault="00544401" w:rsidP="00544401">
      <w:pPr>
        <w:widowControl w:val="0"/>
        <w:spacing w:before="120" w:after="120" w:line="240" w:lineRule="auto"/>
        <w:ind w:left="425"/>
        <w:jc w:val="both"/>
        <w:rPr>
          <w:rFonts w:ascii="Times New Roman" w:eastAsia="Times New Roman" w:hAnsi="Times New Roman" w:cs="Times New Roman"/>
          <w:bCs/>
        </w:rPr>
      </w:pPr>
      <w:r w:rsidRPr="00544401">
        <w:rPr>
          <w:rFonts w:ascii="Times New Roman" w:eastAsia="Times New Roman" w:hAnsi="Times New Roman" w:cs="Times New Roman"/>
          <w:b/>
          <w:bCs/>
        </w:rPr>
        <w:t>Tudása:</w:t>
      </w:r>
      <w:r w:rsidRPr="00544401">
        <w:rPr>
          <w:rFonts w:ascii="Times New Roman" w:eastAsia="Times New Roman" w:hAnsi="Times New Roman" w:cs="Times New Roman"/>
          <w:bCs/>
        </w:rPr>
        <w:t xml:space="preserve"> </w:t>
      </w:r>
      <w:r w:rsidRPr="00544401">
        <w:rPr>
          <w:rFonts w:ascii="Times New Roman" w:eastAsia="Times New Roman" w:hAnsi="Times New Roman" w:cs="Times New Roman"/>
          <w:bCs/>
          <w:noProof/>
        </w:rPr>
        <w:t xml:space="preserve">Átfogóan ismeri a közszolgálat – hivatásrendjétől eltérő – további területeinek alapvető tudásanyagát. Ismeri az álltamtudomány, a honvédelem, a rendészettudomány, a fenntartható fejlődés és az információs társadalom tárgykörének kiinduló kérdéseit, továbbá tájékozott az Európa-tanulmányok, valamint a nemzetközi politika és biztonság legalapvetőbb témáiban. Ismeri a szakterületéhez kötődő legfontosabb összefüggéseket, elméleteket és az ezeket felépítő fogalomrendszert. Rendelkezik azzal a tudással, azokkal a képességekkel, attitűdökkel, amelyek </w:t>
      </w:r>
      <w:r w:rsidRPr="00544401">
        <w:rPr>
          <w:rFonts w:ascii="Times New Roman" w:eastAsia="Times New Roman" w:hAnsi="Times New Roman" w:cs="Times New Roman"/>
          <w:bCs/>
          <w:noProof/>
        </w:rPr>
        <w:lastRenderedPageBreak/>
        <w:t>szakmáját az állampolgári műveltség meghatározott köréhez kötik. Ismeri az információs társadalom kialakulása által indukált legfontosabb közpolitikai kérdéseket, társadalmi folyamatokat, ideértve különösen az információs társadalom fogalmát és értelmezési kereteit, a technológia és társadalom viszonyrendszerét, a digitális állam hálózatait, a nyilvánosság megváltozott kereteit, a magánszféra kihívásait a digitális korban, az állam és politika szerepét, az e-közigazgatás alapjait. Ismeri a digitális kornak az állam demokratikus működésére gyakorolt hatását és a szabályozás legfontosabb kihívásait.</w:t>
      </w:r>
    </w:p>
    <w:p w:rsidR="00544401" w:rsidRPr="00544401" w:rsidRDefault="00544401" w:rsidP="00544401">
      <w:pPr>
        <w:widowControl w:val="0"/>
        <w:spacing w:before="120" w:after="120" w:line="240" w:lineRule="auto"/>
        <w:ind w:left="426"/>
        <w:jc w:val="both"/>
        <w:rPr>
          <w:rFonts w:ascii="Times New Roman" w:eastAsia="Times New Roman" w:hAnsi="Times New Roman" w:cs="Times New Roman"/>
          <w:bCs/>
        </w:rPr>
      </w:pPr>
      <w:r w:rsidRPr="00544401">
        <w:rPr>
          <w:rFonts w:ascii="Times New Roman" w:eastAsia="Times New Roman" w:hAnsi="Times New Roman" w:cs="Times New Roman"/>
          <w:b/>
          <w:bCs/>
        </w:rPr>
        <w:t>Képességei:</w:t>
      </w:r>
      <w:r w:rsidRPr="00544401">
        <w:rPr>
          <w:rFonts w:ascii="Times New Roman" w:eastAsia="Times New Roman" w:hAnsi="Times New Roman" w:cs="Times New Roman"/>
          <w:bCs/>
        </w:rPr>
        <w:t xml:space="preserve"> </w:t>
      </w:r>
      <w:r w:rsidRPr="00544401">
        <w:rPr>
          <w:rFonts w:ascii="Times New Roman" w:eastAsia="Times New Roman" w:hAnsi="Times New Roman" w:cs="Times New Roman"/>
          <w:bCs/>
          <w:noProof/>
        </w:rPr>
        <w:t>Képes eligazodni a mind gyorsabban változó világ politikai folyamataiban, és van elképzelése a rendre bekövetkező politikai-gazdasági és intellektuális válságok értelmezéséről. Alkalmazni tudja a kortárs politikai jelenségek elemzése során a ma használatos politikatudományi szaknyelv alapszókincsét, az uralkodó eszméket történeti fejlődésükben tudja értelmezni. Megtervezi és megszervezi saját önálló tanulását, ahhoz a hozzáférhető források legszélesebb körét használja. Képes megérteni az információs társadalom kialakulásának és mozgatórugóinak legfontosabb aspektusait, azokat képes rendszerbe helyezni és és visszaadni.</w:t>
      </w:r>
      <w:r w:rsidRPr="00544401">
        <w:rPr>
          <w:rFonts w:ascii="Times New Roman" w:eastAsia="Times New Roman" w:hAnsi="Times New Roman" w:cs="Times New Roman"/>
          <w:bCs/>
        </w:rPr>
        <w:t xml:space="preserve"> </w:t>
      </w:r>
    </w:p>
    <w:p w:rsidR="00544401" w:rsidRPr="00544401" w:rsidRDefault="00544401" w:rsidP="00544401">
      <w:pPr>
        <w:widowControl w:val="0"/>
        <w:spacing w:before="120" w:after="120" w:line="240" w:lineRule="auto"/>
        <w:ind w:left="426"/>
        <w:jc w:val="both"/>
        <w:rPr>
          <w:rFonts w:ascii="Times New Roman" w:eastAsia="Times New Roman" w:hAnsi="Times New Roman" w:cs="Times New Roman"/>
          <w:bCs/>
        </w:rPr>
      </w:pPr>
      <w:r w:rsidRPr="00544401">
        <w:rPr>
          <w:rFonts w:ascii="Times New Roman" w:eastAsia="Times New Roman" w:hAnsi="Times New Roman" w:cs="Times New Roman"/>
          <w:b/>
          <w:bCs/>
        </w:rPr>
        <w:t>Attitűdje:</w:t>
      </w:r>
      <w:r w:rsidRPr="00544401">
        <w:rPr>
          <w:rFonts w:ascii="Times New Roman" w:eastAsia="Times New Roman" w:hAnsi="Times New Roman" w:cs="Times New Roman"/>
          <w:bCs/>
        </w:rPr>
        <w:t xml:space="preserve"> </w:t>
      </w:r>
      <w:r w:rsidRPr="00544401">
        <w:rPr>
          <w:rFonts w:ascii="Times New Roman" w:eastAsia="Times New Roman" w:hAnsi="Times New Roman" w:cs="Times New Roman"/>
          <w:bCs/>
          <w:noProof/>
        </w:rPr>
        <w:t>A politikai jelenségek világában határozott világszemlélettel, de az újra nyitottan az újra tájékozódik. Hajlandó és képes az övétől eltérő politikai és ideológiai nézetek értelmezésére, kritikusan képes belátni saját tévedéseit, felismeri a nemzeti és európai múlt értékeit, összekapcsolja a jelen problémáit a múltbeli előzményeikkel, képes az ok-okozati összefüggések felismerésére, vitaképes, az érvek vitáját mint kulturális vívmányt értékeli, megértő más nemzetek és kisebbségek eltérő gondolkodási mintái iránt, hatékonyan képes saját és nemzeti politikai közössége álláspontja mellett érvelni. Nyitott szakmája átfogó gondolkodásmódjának és gyakorlati működése alapvető jellemzőinek hiteles közvetítésére, átadására.Nyitott a szakterületén zajló szakmai, technológiai fejlesztés és innováció megismerésére, elfogadására, hiteles közvetítésére.Törekszik arra, hogy önképzése a szakmai céljai megvalósításának egyik eszközévé váljon.</w:t>
      </w:r>
    </w:p>
    <w:p w:rsidR="00544401" w:rsidRPr="00544401" w:rsidRDefault="00544401" w:rsidP="00544401">
      <w:pPr>
        <w:widowControl w:val="0"/>
        <w:spacing w:before="120" w:after="120" w:line="240" w:lineRule="auto"/>
        <w:ind w:left="426"/>
        <w:jc w:val="both"/>
        <w:rPr>
          <w:rFonts w:ascii="Times New Roman" w:eastAsia="Times New Roman" w:hAnsi="Times New Roman" w:cs="Times New Roman"/>
          <w:bCs/>
        </w:rPr>
      </w:pPr>
      <w:r w:rsidRPr="00544401">
        <w:rPr>
          <w:rFonts w:ascii="Times New Roman" w:eastAsia="Times New Roman" w:hAnsi="Times New Roman" w:cs="Times New Roman"/>
          <w:b/>
          <w:bCs/>
        </w:rPr>
        <w:t>Autonómiája és felelőssége:</w:t>
      </w:r>
      <w:r w:rsidRPr="00544401">
        <w:rPr>
          <w:rFonts w:ascii="Times New Roman" w:eastAsia="Times New Roman" w:hAnsi="Times New Roman" w:cs="Times New Roman"/>
          <w:bCs/>
        </w:rPr>
        <w:t xml:space="preserve"> </w:t>
      </w:r>
      <w:r w:rsidRPr="00544401">
        <w:rPr>
          <w:rFonts w:ascii="Times New Roman" w:eastAsia="Times New Roman" w:hAnsi="Times New Roman" w:cs="Times New Roman"/>
          <w:bCs/>
          <w:noProof/>
        </w:rPr>
        <w:t>A történeti múlt megismerése és tanulmányozása révén felismeri politikai közösségünk jelen nemzedékeinek történeti felelősségét, érzékeli a közszolgálati munka tényleges erkölcsi tétjét, a közösség szolgálatára úgy szellemileg, mint a szaktudás tekintetében tudatosan, önállóan és diákközösségeiben is készül. Bár biztosan kézben tartja a kritikai ítéletalkotás legalapvetőbb eszközeit, társaságkereső és együttműködő, felébredt benne a hivatástudat és lelkiismerete révén megszólal benne az egyéni áldozatvállalás hangja. Felelősséget érez a közszolgálat egésze iránt és kialakul benne az a magával szembeni igényesség, amely biztosítja, hogy saját szakterületén méltó részt vállaljon annak működtetésében. Önálló továbbtanulással vagy szervezett továbbképzések segítségével meglévő készségeit fejleszti és olyan új kompetenciákat sajátít el, amelyek segítségével alkalmassá válhat egy szervezeten belül felelősségteljes munkakör vállalására.</w:t>
      </w:r>
    </w:p>
    <w:p w:rsidR="00544401" w:rsidRPr="00544401" w:rsidRDefault="00544401" w:rsidP="00544401">
      <w:pPr>
        <w:widowControl w:val="0"/>
        <w:spacing w:before="120" w:after="120" w:line="240" w:lineRule="auto"/>
        <w:ind w:left="426"/>
        <w:jc w:val="both"/>
        <w:rPr>
          <w:rFonts w:ascii="Times New Roman" w:eastAsia="Times New Roman" w:hAnsi="Times New Roman" w:cs="Times New Roman"/>
          <w:b/>
          <w:bCs/>
          <w:lang w:val="en-US"/>
        </w:rPr>
      </w:pPr>
      <w:r w:rsidRPr="00544401">
        <w:rPr>
          <w:rFonts w:ascii="Times New Roman" w:eastAsia="Times New Roman" w:hAnsi="Times New Roman" w:cs="Times New Roman"/>
          <w:b/>
          <w:bCs/>
        </w:rPr>
        <w:t>Elérendő kompetenciák (angolul) (</w:t>
      </w:r>
      <w:r w:rsidRPr="00544401">
        <w:rPr>
          <w:rFonts w:ascii="Times New Roman" w:eastAsia="Times New Roman" w:hAnsi="Times New Roman" w:cs="Times New Roman"/>
          <w:b/>
          <w:bCs/>
          <w:lang w:val="en-US"/>
        </w:rPr>
        <w:t xml:space="preserve">Competences – English): </w:t>
      </w:r>
    </w:p>
    <w:p w:rsidR="00544401" w:rsidRPr="00544401" w:rsidRDefault="00544401" w:rsidP="00544401">
      <w:pPr>
        <w:widowControl w:val="0"/>
        <w:spacing w:before="120" w:after="120" w:line="240" w:lineRule="auto"/>
        <w:ind w:left="426"/>
        <w:jc w:val="both"/>
        <w:rPr>
          <w:rFonts w:ascii="Times New Roman" w:eastAsia="Times New Roman" w:hAnsi="Times New Roman" w:cs="Times New Roman"/>
          <w:lang w:val="en-GB"/>
        </w:rPr>
      </w:pPr>
      <w:r w:rsidRPr="00544401">
        <w:rPr>
          <w:rFonts w:ascii="Times New Roman" w:eastAsia="Times New Roman" w:hAnsi="Times New Roman" w:cs="Times New Roman"/>
          <w:b/>
          <w:lang w:val="en-GB"/>
        </w:rPr>
        <w:t>Knowledge</w:t>
      </w:r>
      <w:r w:rsidRPr="00544401">
        <w:rPr>
          <w:rFonts w:ascii="Times New Roman" w:eastAsia="Times New Roman" w:hAnsi="Times New Roman" w:cs="Times New Roman"/>
          <w:lang w:val="en-GB"/>
        </w:rPr>
        <w:t xml:space="preserve">: </w:t>
      </w:r>
      <w:r w:rsidRPr="00544401">
        <w:rPr>
          <w:rFonts w:ascii="Times New Roman" w:eastAsia="Times New Roman" w:hAnsi="Times New Roman" w:cs="Times New Roman"/>
          <w:bCs/>
          <w:noProof/>
        </w:rPr>
        <w:t>Students know the fundamental challenges of sustainability and information society.</w:t>
      </w:r>
    </w:p>
    <w:p w:rsidR="00544401" w:rsidRPr="00544401" w:rsidRDefault="00544401" w:rsidP="00544401">
      <w:pPr>
        <w:widowControl w:val="0"/>
        <w:spacing w:before="120" w:after="120" w:line="240" w:lineRule="auto"/>
        <w:ind w:left="426"/>
        <w:jc w:val="both"/>
        <w:rPr>
          <w:rFonts w:ascii="Times New Roman" w:eastAsia="Times New Roman" w:hAnsi="Times New Roman" w:cs="Times New Roman"/>
          <w:lang w:val="en-GB"/>
        </w:rPr>
      </w:pPr>
      <w:r w:rsidRPr="00544401">
        <w:rPr>
          <w:rFonts w:ascii="Times New Roman" w:eastAsia="Times New Roman" w:hAnsi="Times New Roman" w:cs="Times New Roman"/>
          <w:b/>
          <w:lang w:val="en-GB"/>
        </w:rPr>
        <w:t>Capabilities</w:t>
      </w:r>
      <w:r w:rsidRPr="00544401">
        <w:rPr>
          <w:rFonts w:ascii="Times New Roman" w:eastAsia="Times New Roman" w:hAnsi="Times New Roman" w:cs="Times New Roman"/>
          <w:lang w:val="en-GB"/>
        </w:rPr>
        <w:t xml:space="preserve">: </w:t>
      </w:r>
      <w:r w:rsidRPr="00544401">
        <w:rPr>
          <w:rFonts w:ascii="Times New Roman" w:eastAsia="Times New Roman" w:hAnsi="Times New Roman" w:cs="Times New Roman"/>
          <w:bCs/>
          <w:noProof/>
        </w:rPr>
        <w:t>Students are able to understand the ever faster changing global political developments, and to explain regularly occuring political-financial and intellectual challenges. They are able to understand the key aspects of the emergence and driving forces of the information society, to systematize and reproduce them.</w:t>
      </w:r>
    </w:p>
    <w:p w:rsidR="00544401" w:rsidRPr="00544401" w:rsidRDefault="00544401" w:rsidP="005444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425"/>
        <w:jc w:val="both"/>
        <w:rPr>
          <w:rFonts w:ascii="Times New Roman" w:eastAsia="Times New Roman" w:hAnsi="Times New Roman" w:cs="Times New Roman"/>
          <w:lang w:val="en-GB"/>
        </w:rPr>
      </w:pPr>
      <w:r w:rsidRPr="00544401">
        <w:rPr>
          <w:rFonts w:ascii="Times New Roman" w:eastAsia="Times New Roman" w:hAnsi="Times New Roman" w:cs="Times New Roman"/>
          <w:b/>
          <w:lang w:val="en-GB"/>
        </w:rPr>
        <w:t>Attitude:</w:t>
      </w:r>
      <w:r w:rsidRPr="00544401">
        <w:rPr>
          <w:rFonts w:ascii="Times New Roman" w:eastAsia="Times New Roman" w:hAnsi="Times New Roman" w:cs="Times New Roman"/>
          <w:lang w:val="en-GB"/>
        </w:rPr>
        <w:t xml:space="preserve"> </w:t>
      </w:r>
      <w:r w:rsidRPr="00544401">
        <w:rPr>
          <w:rFonts w:ascii="Times New Roman" w:eastAsia="Times New Roman" w:hAnsi="Times New Roman" w:cs="Times New Roman"/>
          <w:bCs/>
          <w:noProof/>
        </w:rPr>
        <w:t>Students get informed of political developments with clear worldview, values and openness to the new.</w:t>
      </w:r>
    </w:p>
    <w:p w:rsidR="00544401" w:rsidRPr="00544401" w:rsidRDefault="00544401" w:rsidP="00544401">
      <w:pPr>
        <w:widowControl w:val="0"/>
        <w:spacing w:before="120" w:after="120" w:line="240" w:lineRule="auto"/>
        <w:ind w:left="426"/>
        <w:jc w:val="both"/>
        <w:rPr>
          <w:rFonts w:ascii="Times New Roman" w:eastAsia="Times New Roman" w:hAnsi="Times New Roman" w:cs="Times New Roman"/>
          <w:lang w:val="en-GB"/>
        </w:rPr>
      </w:pPr>
      <w:r w:rsidRPr="00544401">
        <w:rPr>
          <w:rFonts w:ascii="Times New Roman" w:eastAsia="Times New Roman" w:hAnsi="Times New Roman" w:cs="Times New Roman"/>
          <w:b/>
          <w:lang w:val="en-GB"/>
        </w:rPr>
        <w:t xml:space="preserve">Autonomy and responsibility: </w:t>
      </w:r>
      <w:r w:rsidRPr="00544401">
        <w:rPr>
          <w:rFonts w:ascii="Times New Roman" w:eastAsia="Times New Roman" w:hAnsi="Times New Roman" w:cs="Times New Roman"/>
          <w:bCs/>
          <w:noProof/>
        </w:rPr>
        <w:t>Students realize the historic responsibilities of present generations, detect the real relevance of public service, preparing themselves for serving the community.</w:t>
      </w:r>
    </w:p>
    <w:p w:rsidR="00544401" w:rsidRPr="00544401" w:rsidRDefault="00544401" w:rsidP="00980876">
      <w:pPr>
        <w:widowControl w:val="0"/>
        <w:numPr>
          <w:ilvl w:val="0"/>
          <w:numId w:val="831"/>
        </w:numPr>
        <w:tabs>
          <w:tab w:val="num" w:pos="567"/>
        </w:tabs>
        <w:spacing w:before="120" w:after="120" w:line="240" w:lineRule="auto"/>
        <w:ind w:left="426" w:hanging="142"/>
        <w:jc w:val="both"/>
        <w:rPr>
          <w:rFonts w:ascii="Times New Roman" w:eastAsia="Times New Roman" w:hAnsi="Times New Roman" w:cs="Times New Roman"/>
          <w:bCs/>
        </w:rPr>
      </w:pPr>
      <w:r w:rsidRPr="00544401">
        <w:rPr>
          <w:rFonts w:ascii="Times New Roman" w:eastAsia="Times New Roman" w:hAnsi="Times New Roman" w:cs="Times New Roman"/>
          <w:b/>
          <w:bCs/>
        </w:rPr>
        <w:t xml:space="preserve">Előtanulmányi követelmények: </w:t>
      </w:r>
      <w:r w:rsidRPr="00544401">
        <w:rPr>
          <w:rFonts w:ascii="Times New Roman" w:eastAsia="Times New Roman" w:hAnsi="Times New Roman" w:cs="Times New Roman"/>
          <w:bCs/>
          <w:noProof/>
        </w:rPr>
        <w:t>-</w:t>
      </w:r>
      <w:r w:rsidRPr="00544401">
        <w:rPr>
          <w:rFonts w:ascii="Times New Roman" w:eastAsia="Times New Roman" w:hAnsi="Times New Roman" w:cs="Times New Roman"/>
          <w:bCs/>
        </w:rPr>
        <w:t xml:space="preserve"> </w:t>
      </w:r>
    </w:p>
    <w:p w:rsidR="00544401" w:rsidRPr="00544401" w:rsidRDefault="00544401" w:rsidP="00980876">
      <w:pPr>
        <w:widowControl w:val="0"/>
        <w:numPr>
          <w:ilvl w:val="0"/>
          <w:numId w:val="831"/>
        </w:numPr>
        <w:spacing w:before="120" w:after="120" w:line="240" w:lineRule="auto"/>
        <w:ind w:left="426" w:hanging="142"/>
        <w:jc w:val="both"/>
        <w:rPr>
          <w:rFonts w:ascii="Times New Roman" w:eastAsia="Times New Roman" w:hAnsi="Times New Roman" w:cs="Times New Roman"/>
          <w:b/>
          <w:bCs/>
        </w:rPr>
      </w:pPr>
      <w:r w:rsidRPr="00544401">
        <w:rPr>
          <w:rFonts w:ascii="Times New Roman" w:eastAsia="Times New Roman" w:hAnsi="Times New Roman" w:cs="Times New Roman"/>
          <w:b/>
          <w:bCs/>
        </w:rPr>
        <w:t>A tantárgy tananyagának leírása, tematika. Description of the subject, curriculum (magyarul, angolul - English):</w:t>
      </w:r>
    </w:p>
    <w:p w:rsidR="00544401" w:rsidRPr="00544401" w:rsidRDefault="00544401" w:rsidP="00980876">
      <w:pPr>
        <w:widowControl w:val="0"/>
        <w:numPr>
          <w:ilvl w:val="1"/>
          <w:numId w:val="831"/>
        </w:numPr>
        <w:tabs>
          <w:tab w:val="left" w:pos="709"/>
          <w:tab w:val="left" w:pos="993"/>
        </w:tabs>
        <w:spacing w:before="120" w:after="120" w:line="240" w:lineRule="auto"/>
        <w:ind w:left="567" w:hanging="573"/>
        <w:jc w:val="both"/>
        <w:rPr>
          <w:rFonts w:ascii="Times New Roman" w:eastAsia="Times New Roman" w:hAnsi="Times New Roman" w:cs="Times New Roman"/>
          <w:bCs/>
          <w:noProof/>
        </w:rPr>
      </w:pPr>
      <w:r w:rsidRPr="00544401">
        <w:rPr>
          <w:rFonts w:ascii="Times New Roman" w:eastAsia="Times New Roman" w:hAnsi="Times New Roman" w:cs="Times New Roman"/>
          <w:bCs/>
          <w:noProof/>
        </w:rPr>
        <w:lastRenderedPageBreak/>
        <w:t>Bevezetés. Az információs társadalom fogalma, átfogó értelmezése  (nyomtatott – digitális, indusztriális – posztindusztriális – információs, individuális – hálózati társadalom) (The comprehensive conceptualization of information society);</w:t>
      </w:r>
    </w:p>
    <w:p w:rsidR="00544401" w:rsidRPr="00544401" w:rsidRDefault="00544401" w:rsidP="00980876">
      <w:pPr>
        <w:widowControl w:val="0"/>
        <w:numPr>
          <w:ilvl w:val="1"/>
          <w:numId w:val="831"/>
        </w:numPr>
        <w:tabs>
          <w:tab w:val="left" w:pos="709"/>
          <w:tab w:val="left" w:pos="993"/>
        </w:tabs>
        <w:spacing w:before="120" w:after="120" w:line="240" w:lineRule="auto"/>
        <w:ind w:left="567" w:hanging="573"/>
        <w:jc w:val="both"/>
        <w:rPr>
          <w:rFonts w:ascii="Times New Roman" w:eastAsia="Times New Roman" w:hAnsi="Times New Roman" w:cs="Times New Roman"/>
          <w:bCs/>
          <w:noProof/>
        </w:rPr>
      </w:pPr>
      <w:r w:rsidRPr="00544401">
        <w:rPr>
          <w:rFonts w:ascii="Times New Roman" w:eastAsia="Times New Roman" w:hAnsi="Times New Roman" w:cs="Times New Roman"/>
          <w:bCs/>
          <w:noProof/>
        </w:rPr>
        <w:t>A digitális kultúra fogalma és jellemzői (Concept and peculiarities of digital culture);</w:t>
      </w:r>
    </w:p>
    <w:p w:rsidR="00544401" w:rsidRPr="00544401" w:rsidRDefault="00544401" w:rsidP="00980876">
      <w:pPr>
        <w:widowControl w:val="0"/>
        <w:numPr>
          <w:ilvl w:val="1"/>
          <w:numId w:val="831"/>
        </w:numPr>
        <w:tabs>
          <w:tab w:val="left" w:pos="709"/>
          <w:tab w:val="left" w:pos="993"/>
        </w:tabs>
        <w:spacing w:before="120" w:after="120" w:line="240" w:lineRule="auto"/>
        <w:ind w:left="567" w:hanging="573"/>
        <w:jc w:val="both"/>
        <w:rPr>
          <w:rFonts w:ascii="Times New Roman" w:eastAsia="Times New Roman" w:hAnsi="Times New Roman" w:cs="Times New Roman"/>
          <w:bCs/>
          <w:noProof/>
        </w:rPr>
      </w:pPr>
      <w:r w:rsidRPr="00544401">
        <w:rPr>
          <w:rFonts w:ascii="Times New Roman" w:eastAsia="Times New Roman" w:hAnsi="Times New Roman" w:cs="Times New Roman"/>
          <w:bCs/>
          <w:noProof/>
        </w:rPr>
        <w:t>Állam és politika az információs társadalomban (State and politics in the information society);</w:t>
      </w:r>
    </w:p>
    <w:p w:rsidR="00544401" w:rsidRPr="00544401" w:rsidRDefault="00544401" w:rsidP="00980876">
      <w:pPr>
        <w:widowControl w:val="0"/>
        <w:numPr>
          <w:ilvl w:val="1"/>
          <w:numId w:val="831"/>
        </w:numPr>
        <w:tabs>
          <w:tab w:val="left" w:pos="709"/>
          <w:tab w:val="left" w:pos="993"/>
        </w:tabs>
        <w:spacing w:before="120" w:after="120" w:line="240" w:lineRule="auto"/>
        <w:ind w:left="567" w:hanging="573"/>
        <w:jc w:val="both"/>
        <w:rPr>
          <w:rFonts w:ascii="Times New Roman" w:eastAsia="Times New Roman" w:hAnsi="Times New Roman" w:cs="Times New Roman"/>
          <w:bCs/>
          <w:noProof/>
        </w:rPr>
      </w:pPr>
      <w:r w:rsidRPr="00544401">
        <w:rPr>
          <w:rFonts w:ascii="Times New Roman" w:eastAsia="Times New Roman" w:hAnsi="Times New Roman" w:cs="Times New Roman"/>
          <w:bCs/>
          <w:noProof/>
        </w:rPr>
        <w:t>Technológia és társadalom viszonya: Mesterséges intelligencia, automatizáció, robotok (Technology and society: Artificial intelligence, automation, robots);</w:t>
      </w:r>
    </w:p>
    <w:p w:rsidR="00544401" w:rsidRPr="00544401" w:rsidRDefault="00544401" w:rsidP="00980876">
      <w:pPr>
        <w:widowControl w:val="0"/>
        <w:numPr>
          <w:ilvl w:val="1"/>
          <w:numId w:val="831"/>
        </w:numPr>
        <w:tabs>
          <w:tab w:val="left" w:pos="709"/>
          <w:tab w:val="left" w:pos="993"/>
        </w:tabs>
        <w:spacing w:before="120" w:after="120" w:line="240" w:lineRule="auto"/>
        <w:ind w:left="567" w:hanging="573"/>
        <w:jc w:val="both"/>
        <w:rPr>
          <w:rFonts w:ascii="Times New Roman" w:eastAsia="Times New Roman" w:hAnsi="Times New Roman" w:cs="Times New Roman"/>
          <w:bCs/>
          <w:noProof/>
        </w:rPr>
      </w:pPr>
      <w:r w:rsidRPr="00544401">
        <w:rPr>
          <w:rFonts w:ascii="Times New Roman" w:eastAsia="Times New Roman" w:hAnsi="Times New Roman" w:cs="Times New Roman"/>
          <w:bCs/>
          <w:noProof/>
        </w:rPr>
        <w:t>A demokratikus nyilvánosság az információs társadalomban (Challenges for democracy and regulation);</w:t>
      </w:r>
    </w:p>
    <w:p w:rsidR="00544401" w:rsidRPr="00544401" w:rsidRDefault="00544401" w:rsidP="00980876">
      <w:pPr>
        <w:widowControl w:val="0"/>
        <w:numPr>
          <w:ilvl w:val="1"/>
          <w:numId w:val="831"/>
        </w:numPr>
        <w:tabs>
          <w:tab w:val="left" w:pos="709"/>
          <w:tab w:val="left" w:pos="993"/>
        </w:tabs>
        <w:spacing w:before="120" w:after="120" w:line="240" w:lineRule="auto"/>
        <w:ind w:left="567" w:hanging="573"/>
        <w:jc w:val="both"/>
        <w:rPr>
          <w:rFonts w:ascii="Times New Roman" w:eastAsia="Times New Roman" w:hAnsi="Times New Roman" w:cs="Times New Roman"/>
          <w:bCs/>
          <w:noProof/>
        </w:rPr>
      </w:pPr>
      <w:r w:rsidRPr="00544401">
        <w:rPr>
          <w:rFonts w:ascii="Times New Roman" w:eastAsia="Times New Roman" w:hAnsi="Times New Roman" w:cs="Times New Roman"/>
          <w:bCs/>
          <w:noProof/>
        </w:rPr>
        <w:t>Jog az információs társadalomban (Law in the information society);</w:t>
      </w:r>
    </w:p>
    <w:p w:rsidR="00544401" w:rsidRPr="00544401" w:rsidRDefault="00544401" w:rsidP="00980876">
      <w:pPr>
        <w:widowControl w:val="0"/>
        <w:numPr>
          <w:ilvl w:val="1"/>
          <w:numId w:val="831"/>
        </w:numPr>
        <w:tabs>
          <w:tab w:val="left" w:pos="709"/>
          <w:tab w:val="left" w:pos="993"/>
        </w:tabs>
        <w:spacing w:before="120" w:after="120" w:line="240" w:lineRule="auto"/>
        <w:ind w:left="567" w:hanging="573"/>
        <w:jc w:val="both"/>
        <w:rPr>
          <w:rFonts w:ascii="Times New Roman" w:eastAsia="Times New Roman" w:hAnsi="Times New Roman" w:cs="Times New Roman"/>
          <w:bCs/>
          <w:noProof/>
        </w:rPr>
      </w:pPr>
      <w:r w:rsidRPr="00544401">
        <w:rPr>
          <w:rFonts w:ascii="Times New Roman" w:eastAsia="Times New Roman" w:hAnsi="Times New Roman" w:cs="Times New Roman"/>
          <w:bCs/>
          <w:noProof/>
        </w:rPr>
        <w:t>A magánszféra a digitális világban (Privacy in the digital age);</w:t>
      </w:r>
    </w:p>
    <w:p w:rsidR="00544401" w:rsidRPr="00544401" w:rsidRDefault="00544401" w:rsidP="00980876">
      <w:pPr>
        <w:widowControl w:val="0"/>
        <w:numPr>
          <w:ilvl w:val="1"/>
          <w:numId w:val="831"/>
        </w:numPr>
        <w:tabs>
          <w:tab w:val="left" w:pos="709"/>
          <w:tab w:val="left" w:pos="993"/>
        </w:tabs>
        <w:spacing w:before="120" w:after="120" w:line="240" w:lineRule="auto"/>
        <w:ind w:left="567" w:hanging="573"/>
        <w:jc w:val="both"/>
        <w:rPr>
          <w:rFonts w:ascii="Times New Roman" w:eastAsia="Times New Roman" w:hAnsi="Times New Roman" w:cs="Times New Roman"/>
          <w:bCs/>
          <w:noProof/>
        </w:rPr>
      </w:pPr>
      <w:r w:rsidRPr="00544401">
        <w:rPr>
          <w:rFonts w:ascii="Times New Roman" w:eastAsia="Times New Roman" w:hAnsi="Times New Roman" w:cs="Times New Roman"/>
          <w:bCs/>
          <w:noProof/>
        </w:rPr>
        <w:t>Közigazgatás az információs társadalomban, e-közigazgatás (Public administration in the information society, e-governance);</w:t>
      </w:r>
    </w:p>
    <w:p w:rsidR="00544401" w:rsidRPr="00544401" w:rsidRDefault="00544401" w:rsidP="00980876">
      <w:pPr>
        <w:widowControl w:val="0"/>
        <w:numPr>
          <w:ilvl w:val="1"/>
          <w:numId w:val="831"/>
        </w:numPr>
        <w:tabs>
          <w:tab w:val="left" w:pos="709"/>
          <w:tab w:val="left" w:pos="993"/>
        </w:tabs>
        <w:spacing w:before="120" w:after="120" w:line="240" w:lineRule="auto"/>
        <w:ind w:left="567" w:hanging="573"/>
        <w:jc w:val="both"/>
        <w:rPr>
          <w:rFonts w:ascii="Times New Roman" w:eastAsia="Times New Roman" w:hAnsi="Times New Roman" w:cs="Times New Roman"/>
          <w:bCs/>
          <w:noProof/>
        </w:rPr>
      </w:pPr>
      <w:r w:rsidRPr="00544401">
        <w:rPr>
          <w:rFonts w:ascii="Times New Roman" w:eastAsia="Times New Roman" w:hAnsi="Times New Roman" w:cs="Times New Roman"/>
          <w:bCs/>
          <w:noProof/>
        </w:rPr>
        <w:t>Kiberbiztonság (Cybersecurity);</w:t>
      </w:r>
    </w:p>
    <w:p w:rsidR="00544401" w:rsidRPr="00544401" w:rsidRDefault="00544401" w:rsidP="00980876">
      <w:pPr>
        <w:widowControl w:val="0"/>
        <w:numPr>
          <w:ilvl w:val="1"/>
          <w:numId w:val="831"/>
        </w:numPr>
        <w:tabs>
          <w:tab w:val="left" w:pos="709"/>
          <w:tab w:val="left" w:pos="993"/>
        </w:tabs>
        <w:spacing w:before="120" w:after="120" w:line="240" w:lineRule="auto"/>
        <w:ind w:left="567" w:hanging="573"/>
        <w:jc w:val="both"/>
        <w:rPr>
          <w:rFonts w:ascii="Times New Roman" w:eastAsia="Times New Roman" w:hAnsi="Times New Roman" w:cs="Times New Roman"/>
          <w:bCs/>
          <w:noProof/>
        </w:rPr>
      </w:pPr>
      <w:r w:rsidRPr="00544401">
        <w:rPr>
          <w:rFonts w:ascii="Times New Roman" w:eastAsia="Times New Roman" w:hAnsi="Times New Roman" w:cs="Times New Roman"/>
          <w:bCs/>
          <w:noProof/>
        </w:rPr>
        <w:t>E-business és e-kereskedelem, a munka változó világa (E-business and commerce, and the changing world of labour);</w:t>
      </w:r>
    </w:p>
    <w:p w:rsidR="00544401" w:rsidRPr="00544401" w:rsidRDefault="00544401" w:rsidP="00980876">
      <w:pPr>
        <w:widowControl w:val="0"/>
        <w:numPr>
          <w:ilvl w:val="1"/>
          <w:numId w:val="831"/>
        </w:numPr>
        <w:tabs>
          <w:tab w:val="left" w:pos="709"/>
          <w:tab w:val="left" w:pos="993"/>
        </w:tabs>
        <w:spacing w:before="120" w:after="120" w:line="240" w:lineRule="auto"/>
        <w:ind w:left="567" w:hanging="573"/>
        <w:jc w:val="both"/>
        <w:rPr>
          <w:rFonts w:ascii="Times New Roman" w:eastAsia="Times New Roman" w:hAnsi="Times New Roman" w:cs="Times New Roman"/>
          <w:bCs/>
          <w:noProof/>
        </w:rPr>
      </w:pPr>
      <w:r w:rsidRPr="00544401">
        <w:rPr>
          <w:rFonts w:ascii="Times New Roman" w:eastAsia="Times New Roman" w:hAnsi="Times New Roman" w:cs="Times New Roman"/>
          <w:bCs/>
          <w:noProof/>
        </w:rPr>
        <w:t>Az információs társadalom infrastruktúrája: elektronikus hírközlés alapjai (The infrastructure of the information society: fundaments of electronic communications);</w:t>
      </w:r>
    </w:p>
    <w:p w:rsidR="00544401" w:rsidRPr="00544401" w:rsidRDefault="00544401" w:rsidP="00980876">
      <w:pPr>
        <w:widowControl w:val="0"/>
        <w:numPr>
          <w:ilvl w:val="1"/>
          <w:numId w:val="831"/>
        </w:numPr>
        <w:tabs>
          <w:tab w:val="left" w:pos="709"/>
          <w:tab w:val="left" w:pos="993"/>
        </w:tabs>
        <w:spacing w:before="120" w:after="120" w:line="240" w:lineRule="auto"/>
        <w:ind w:left="567" w:hanging="573"/>
        <w:jc w:val="both"/>
        <w:rPr>
          <w:rFonts w:ascii="Times New Roman" w:eastAsia="Times New Roman" w:hAnsi="Times New Roman" w:cs="Times New Roman"/>
          <w:bCs/>
          <w:noProof/>
        </w:rPr>
      </w:pPr>
      <w:r w:rsidRPr="00544401">
        <w:rPr>
          <w:rFonts w:ascii="Times New Roman" w:eastAsia="Times New Roman" w:hAnsi="Times New Roman" w:cs="Times New Roman"/>
          <w:bCs/>
          <w:noProof/>
        </w:rPr>
        <w:t>Hálózattudomány és hálózati társadalom (Network science and society);</w:t>
      </w:r>
    </w:p>
    <w:p w:rsidR="00544401" w:rsidRPr="00544401" w:rsidRDefault="00544401" w:rsidP="00980876">
      <w:pPr>
        <w:widowControl w:val="0"/>
        <w:numPr>
          <w:ilvl w:val="1"/>
          <w:numId w:val="831"/>
        </w:numPr>
        <w:tabs>
          <w:tab w:val="left" w:pos="709"/>
          <w:tab w:val="left" w:pos="993"/>
        </w:tabs>
        <w:spacing w:before="120" w:after="120" w:line="240" w:lineRule="auto"/>
        <w:ind w:left="567" w:hanging="573"/>
        <w:jc w:val="both"/>
        <w:rPr>
          <w:rFonts w:ascii="Times New Roman" w:eastAsia="Times New Roman" w:hAnsi="Times New Roman" w:cs="Times New Roman"/>
          <w:bCs/>
          <w:noProof/>
        </w:rPr>
      </w:pPr>
      <w:r w:rsidRPr="00544401">
        <w:rPr>
          <w:rFonts w:ascii="Times New Roman" w:eastAsia="Times New Roman" w:hAnsi="Times New Roman" w:cs="Times New Roman"/>
          <w:bCs/>
          <w:noProof/>
        </w:rPr>
        <w:t>Tudásszerzés az információs társadalomban (Getting knowledge in the information society);</w:t>
      </w:r>
    </w:p>
    <w:p w:rsidR="00544401" w:rsidRPr="00544401" w:rsidRDefault="00544401" w:rsidP="00980876">
      <w:pPr>
        <w:widowControl w:val="0"/>
        <w:numPr>
          <w:ilvl w:val="1"/>
          <w:numId w:val="831"/>
        </w:numPr>
        <w:tabs>
          <w:tab w:val="left" w:pos="709"/>
          <w:tab w:val="left" w:pos="993"/>
        </w:tabs>
        <w:spacing w:before="120" w:after="120" w:line="240" w:lineRule="auto"/>
        <w:ind w:left="567" w:hanging="573"/>
        <w:jc w:val="both"/>
        <w:rPr>
          <w:rFonts w:ascii="Times New Roman" w:eastAsia="Times New Roman" w:hAnsi="Times New Roman" w:cs="Times New Roman"/>
          <w:b/>
        </w:rPr>
      </w:pPr>
      <w:r w:rsidRPr="00544401">
        <w:rPr>
          <w:rFonts w:ascii="Times New Roman" w:eastAsia="Times New Roman" w:hAnsi="Times New Roman" w:cs="Times New Roman"/>
          <w:bCs/>
          <w:noProof/>
        </w:rPr>
        <w:t>Big Data</w:t>
      </w:r>
      <w:r w:rsidRPr="00544401">
        <w:rPr>
          <w:rFonts w:ascii="Times New Roman" w:eastAsia="Times New Roman" w:hAnsi="Times New Roman" w:cs="Times New Roman"/>
          <w:b/>
        </w:rPr>
        <w:t xml:space="preserve"> </w:t>
      </w:r>
    </w:p>
    <w:p w:rsidR="00544401" w:rsidRPr="00544401" w:rsidRDefault="00544401" w:rsidP="00980876">
      <w:pPr>
        <w:widowControl w:val="0"/>
        <w:numPr>
          <w:ilvl w:val="0"/>
          <w:numId w:val="831"/>
        </w:numPr>
        <w:spacing w:before="120" w:after="120" w:line="240" w:lineRule="auto"/>
        <w:ind w:left="426" w:hanging="142"/>
        <w:jc w:val="both"/>
        <w:rPr>
          <w:rFonts w:ascii="Times New Roman" w:eastAsia="Times New Roman" w:hAnsi="Times New Roman" w:cs="Times New Roman"/>
          <w:bCs/>
        </w:rPr>
      </w:pPr>
      <w:r w:rsidRPr="00544401">
        <w:rPr>
          <w:rFonts w:ascii="Times New Roman" w:eastAsia="Times New Roman" w:hAnsi="Times New Roman" w:cs="Times New Roman"/>
          <w:b/>
          <w:bCs/>
        </w:rPr>
        <w:t xml:space="preserve">A tantárgy meghirdetésének gyakorisága/a tantervben történő félévi elhelyezkedése: </w:t>
      </w:r>
      <w:r w:rsidRPr="00544401">
        <w:rPr>
          <w:rFonts w:ascii="Times New Roman" w:eastAsia="Times New Roman" w:hAnsi="Times New Roman" w:cs="Times New Roman"/>
          <w:bCs/>
          <w:noProof/>
        </w:rPr>
        <w:t>4.</w:t>
      </w:r>
      <w:r w:rsidRPr="00544401">
        <w:rPr>
          <w:rFonts w:ascii="Times New Roman" w:eastAsia="Times New Roman" w:hAnsi="Times New Roman" w:cs="Times New Roman"/>
          <w:bCs/>
        </w:rPr>
        <w:t xml:space="preserve"> félév</w:t>
      </w:r>
    </w:p>
    <w:p w:rsidR="00544401" w:rsidRPr="00544401" w:rsidRDefault="00544401" w:rsidP="00980876">
      <w:pPr>
        <w:widowControl w:val="0"/>
        <w:numPr>
          <w:ilvl w:val="0"/>
          <w:numId w:val="831"/>
        </w:numPr>
        <w:spacing w:before="120" w:after="120" w:line="240" w:lineRule="auto"/>
        <w:ind w:left="426" w:hanging="142"/>
        <w:jc w:val="both"/>
        <w:rPr>
          <w:rFonts w:ascii="Times New Roman" w:eastAsia="Times New Roman" w:hAnsi="Times New Roman" w:cs="Times New Roman"/>
          <w:bCs/>
        </w:rPr>
      </w:pPr>
      <w:r w:rsidRPr="00544401">
        <w:rPr>
          <w:rFonts w:ascii="Times New Roman" w:eastAsia="Times New Roman" w:hAnsi="Times New Roman" w:cs="Times New Roman"/>
          <w:b/>
          <w:bCs/>
        </w:rPr>
        <w:t>A tanórákon való részvétel követelményei, az elfogadható hiányzások mértéke, a távolmaradás pótlásának lehetősége:</w:t>
      </w:r>
    </w:p>
    <w:p w:rsidR="00544401" w:rsidRPr="00544401" w:rsidRDefault="00544401" w:rsidP="00544401">
      <w:pPr>
        <w:widowControl w:val="0"/>
        <w:spacing w:before="120" w:after="120" w:line="240" w:lineRule="auto"/>
        <w:ind w:left="426"/>
        <w:jc w:val="both"/>
        <w:rPr>
          <w:rFonts w:ascii="Times New Roman" w:eastAsia="Times New Roman" w:hAnsi="Times New Roman" w:cs="Times New Roman"/>
          <w:bCs/>
        </w:rPr>
      </w:pPr>
      <w:r w:rsidRPr="00544401">
        <w:rPr>
          <w:rFonts w:ascii="Times New Roman" w:eastAsia="Times New Roman" w:hAnsi="Times New Roman" w:cs="Times New Roman"/>
          <w:bCs/>
          <w:noProof/>
        </w:rPr>
        <w:t>Nappali tagozaton 3 előadás (6 tanóra), levelező tagozaton 1 előadás (2 tanóra) elmulasztása fogadható el. Az e feletti távolmaradás esetén a tantárgy oktatója által meghatározott feladatot szükséges teljesíteni.</w:t>
      </w:r>
    </w:p>
    <w:p w:rsidR="00544401" w:rsidRPr="00544401" w:rsidRDefault="00544401" w:rsidP="00980876">
      <w:pPr>
        <w:widowControl w:val="0"/>
        <w:numPr>
          <w:ilvl w:val="0"/>
          <w:numId w:val="831"/>
        </w:numPr>
        <w:spacing w:before="120" w:after="120" w:line="240" w:lineRule="auto"/>
        <w:ind w:left="426" w:hanging="142"/>
        <w:jc w:val="both"/>
        <w:rPr>
          <w:rFonts w:ascii="Times New Roman" w:eastAsia="Times New Roman" w:hAnsi="Times New Roman" w:cs="Times New Roman"/>
          <w:bCs/>
        </w:rPr>
      </w:pPr>
      <w:r w:rsidRPr="00544401">
        <w:rPr>
          <w:rFonts w:ascii="Times New Roman" w:eastAsia="Times New Roman" w:hAnsi="Times New Roman" w:cs="Times New Roman"/>
          <w:b/>
        </w:rPr>
        <w:t>Félévközi feladatok, ismeretek ellenőrzésének rendje:</w:t>
      </w:r>
    </w:p>
    <w:p w:rsidR="00544401" w:rsidRPr="00544401" w:rsidRDefault="00544401" w:rsidP="00544401">
      <w:pPr>
        <w:widowControl w:val="0"/>
        <w:spacing w:before="120" w:after="120" w:line="240" w:lineRule="auto"/>
        <w:ind w:left="426"/>
        <w:jc w:val="both"/>
        <w:rPr>
          <w:rFonts w:ascii="Times New Roman" w:eastAsia="Times New Roman" w:hAnsi="Times New Roman" w:cs="Times New Roman"/>
          <w:bCs/>
        </w:rPr>
      </w:pPr>
      <w:r w:rsidRPr="00544401">
        <w:rPr>
          <w:rFonts w:ascii="Times New Roman" w:eastAsia="Times New Roman" w:hAnsi="Times New Roman" w:cs="Times New Roman"/>
          <w:bCs/>
          <w:noProof/>
        </w:rPr>
        <w:t>Nincs félévközi feladat.</w:t>
      </w:r>
    </w:p>
    <w:p w:rsidR="00544401" w:rsidRPr="00544401" w:rsidRDefault="00544401" w:rsidP="00980876">
      <w:pPr>
        <w:widowControl w:val="0"/>
        <w:numPr>
          <w:ilvl w:val="0"/>
          <w:numId w:val="831"/>
        </w:numPr>
        <w:spacing w:before="120" w:after="120" w:line="240" w:lineRule="auto"/>
        <w:ind w:left="426" w:hanging="142"/>
        <w:jc w:val="both"/>
        <w:rPr>
          <w:rFonts w:ascii="Times New Roman" w:eastAsia="Times New Roman" w:hAnsi="Times New Roman" w:cs="Times New Roman"/>
          <w:b/>
          <w:bCs/>
        </w:rPr>
      </w:pPr>
      <w:r w:rsidRPr="00544401">
        <w:rPr>
          <w:rFonts w:ascii="Times New Roman" w:eastAsia="Times New Roman" w:hAnsi="Times New Roman" w:cs="Times New Roman"/>
          <w:b/>
          <w:bCs/>
        </w:rPr>
        <w:t xml:space="preserve">Az értékelés, az aláírás és a kreditek megszerzésének pontos feltételei: </w:t>
      </w:r>
    </w:p>
    <w:p w:rsidR="00544401" w:rsidRPr="00544401" w:rsidRDefault="00544401" w:rsidP="00980876">
      <w:pPr>
        <w:widowControl w:val="0"/>
        <w:numPr>
          <w:ilvl w:val="1"/>
          <w:numId w:val="831"/>
        </w:numPr>
        <w:tabs>
          <w:tab w:val="left" w:pos="709"/>
          <w:tab w:val="left" w:pos="993"/>
        </w:tabs>
        <w:spacing w:before="120" w:after="120" w:line="240" w:lineRule="auto"/>
        <w:ind w:left="426"/>
        <w:jc w:val="both"/>
        <w:rPr>
          <w:rFonts w:ascii="Times New Roman" w:eastAsia="Times New Roman" w:hAnsi="Times New Roman" w:cs="Times New Roman"/>
        </w:rPr>
      </w:pPr>
      <w:r w:rsidRPr="00544401">
        <w:rPr>
          <w:rFonts w:ascii="Times New Roman" w:eastAsia="Times New Roman" w:hAnsi="Times New Roman" w:cs="Times New Roman"/>
          <w:b/>
        </w:rPr>
        <w:t>Az aláírás megszerzésének feltételei:</w:t>
      </w:r>
    </w:p>
    <w:p w:rsidR="00544401" w:rsidRPr="00544401" w:rsidRDefault="00544401" w:rsidP="00544401">
      <w:pPr>
        <w:widowControl w:val="0"/>
        <w:tabs>
          <w:tab w:val="left" w:pos="993"/>
        </w:tabs>
        <w:spacing w:before="120" w:after="120" w:line="240" w:lineRule="auto"/>
        <w:ind w:left="426"/>
        <w:jc w:val="both"/>
        <w:rPr>
          <w:rFonts w:ascii="Times New Roman" w:eastAsia="Times New Roman" w:hAnsi="Times New Roman" w:cs="Times New Roman"/>
        </w:rPr>
      </w:pPr>
      <w:r w:rsidRPr="00544401">
        <w:rPr>
          <w:rFonts w:ascii="Times New Roman" w:eastAsia="Times New Roman" w:hAnsi="Times New Roman" w:cs="Times New Roman"/>
          <w:noProof/>
        </w:rPr>
        <w:t>Részvétel az előadásokon a tematikában meghatározottak szerint.</w:t>
      </w:r>
    </w:p>
    <w:p w:rsidR="00544401" w:rsidRPr="00544401" w:rsidRDefault="00544401" w:rsidP="00980876">
      <w:pPr>
        <w:widowControl w:val="0"/>
        <w:numPr>
          <w:ilvl w:val="1"/>
          <w:numId w:val="831"/>
        </w:numPr>
        <w:tabs>
          <w:tab w:val="left" w:pos="709"/>
          <w:tab w:val="left" w:pos="993"/>
        </w:tabs>
        <w:spacing w:before="120" w:after="120" w:line="240" w:lineRule="auto"/>
        <w:ind w:left="426"/>
        <w:jc w:val="both"/>
        <w:rPr>
          <w:rFonts w:ascii="Times New Roman" w:eastAsia="Times New Roman" w:hAnsi="Times New Roman" w:cs="Times New Roman"/>
        </w:rPr>
      </w:pPr>
      <w:r w:rsidRPr="00544401">
        <w:rPr>
          <w:rFonts w:ascii="Times New Roman" w:eastAsia="Times New Roman" w:hAnsi="Times New Roman" w:cs="Times New Roman"/>
          <w:b/>
        </w:rPr>
        <w:t>Az értékelés:</w:t>
      </w:r>
    </w:p>
    <w:p w:rsidR="00544401" w:rsidRPr="00544401" w:rsidRDefault="00544401" w:rsidP="00544401">
      <w:pPr>
        <w:widowControl w:val="0"/>
        <w:tabs>
          <w:tab w:val="left" w:pos="993"/>
        </w:tabs>
        <w:spacing w:before="120" w:after="120" w:line="240" w:lineRule="auto"/>
        <w:ind w:left="426"/>
        <w:jc w:val="both"/>
        <w:rPr>
          <w:rFonts w:ascii="Times New Roman" w:eastAsia="Times New Roman" w:hAnsi="Times New Roman" w:cs="Times New Roman"/>
        </w:rPr>
      </w:pPr>
      <w:r w:rsidRPr="00544401">
        <w:rPr>
          <w:rFonts w:ascii="Times New Roman" w:eastAsia="Times New Roman" w:hAnsi="Times New Roman" w:cs="Times New Roman"/>
          <w:noProof/>
        </w:rPr>
        <w:t>Írásbeli kollokvium (ötfokozatú értékelés).</w:t>
      </w:r>
    </w:p>
    <w:p w:rsidR="00544401" w:rsidRPr="00544401" w:rsidRDefault="00544401" w:rsidP="00980876">
      <w:pPr>
        <w:widowControl w:val="0"/>
        <w:numPr>
          <w:ilvl w:val="1"/>
          <w:numId w:val="831"/>
        </w:numPr>
        <w:tabs>
          <w:tab w:val="left" w:pos="709"/>
          <w:tab w:val="left" w:pos="993"/>
        </w:tabs>
        <w:spacing w:before="120" w:after="120" w:line="240" w:lineRule="auto"/>
        <w:ind w:left="426"/>
        <w:jc w:val="both"/>
        <w:rPr>
          <w:rFonts w:ascii="Times New Roman" w:eastAsia="Times New Roman" w:hAnsi="Times New Roman" w:cs="Times New Roman"/>
        </w:rPr>
      </w:pPr>
      <w:r w:rsidRPr="00544401">
        <w:rPr>
          <w:rFonts w:ascii="Times New Roman" w:eastAsia="Times New Roman" w:hAnsi="Times New Roman" w:cs="Times New Roman"/>
          <w:b/>
        </w:rPr>
        <w:t>A kreditek megszerzésének feltételei:</w:t>
      </w:r>
      <w:r w:rsidRPr="00544401">
        <w:rPr>
          <w:rFonts w:ascii="Times New Roman" w:eastAsia="Times New Roman" w:hAnsi="Times New Roman" w:cs="Times New Roman"/>
        </w:rPr>
        <w:t xml:space="preserve"> </w:t>
      </w:r>
    </w:p>
    <w:p w:rsidR="00544401" w:rsidRPr="00544401" w:rsidRDefault="00544401" w:rsidP="00544401">
      <w:pPr>
        <w:widowControl w:val="0"/>
        <w:tabs>
          <w:tab w:val="left" w:pos="993"/>
        </w:tabs>
        <w:spacing w:before="120" w:after="120" w:line="240" w:lineRule="auto"/>
        <w:ind w:left="426"/>
        <w:jc w:val="both"/>
        <w:rPr>
          <w:rFonts w:ascii="Times New Roman" w:eastAsia="Times New Roman" w:hAnsi="Times New Roman" w:cs="Times New Roman"/>
        </w:rPr>
      </w:pPr>
      <w:r w:rsidRPr="00544401">
        <w:rPr>
          <w:rFonts w:ascii="Times New Roman" w:eastAsia="Times New Roman" w:hAnsi="Times New Roman" w:cs="Times New Roman"/>
        </w:rPr>
        <w:t xml:space="preserve">A kreditek megszerzésének feltétele az aláírás megszerzése és legalább elégséges </w:t>
      </w:r>
      <w:r w:rsidRPr="00544401">
        <w:rPr>
          <w:rFonts w:ascii="Times New Roman" w:eastAsia="Times New Roman" w:hAnsi="Times New Roman" w:cs="Times New Roman"/>
          <w:noProof/>
        </w:rPr>
        <w:t>kollokvium (K)</w:t>
      </w:r>
      <w:r w:rsidRPr="00544401">
        <w:rPr>
          <w:rFonts w:ascii="Times New Roman" w:eastAsia="Times New Roman" w:hAnsi="Times New Roman" w:cs="Times New Roman"/>
        </w:rPr>
        <w:t>.</w:t>
      </w:r>
    </w:p>
    <w:p w:rsidR="00544401" w:rsidRPr="00544401" w:rsidRDefault="00544401" w:rsidP="00980876">
      <w:pPr>
        <w:widowControl w:val="0"/>
        <w:numPr>
          <w:ilvl w:val="0"/>
          <w:numId w:val="831"/>
        </w:numPr>
        <w:spacing w:before="120" w:after="120" w:line="240" w:lineRule="auto"/>
        <w:ind w:left="426" w:hanging="142"/>
        <w:jc w:val="both"/>
        <w:rPr>
          <w:rFonts w:ascii="Times New Roman" w:eastAsia="Times New Roman" w:hAnsi="Times New Roman" w:cs="Times New Roman"/>
          <w:bCs/>
        </w:rPr>
      </w:pPr>
      <w:r w:rsidRPr="00544401">
        <w:rPr>
          <w:rFonts w:ascii="Times New Roman" w:eastAsia="Times New Roman" w:hAnsi="Times New Roman" w:cs="Times New Roman"/>
          <w:b/>
          <w:bCs/>
        </w:rPr>
        <w:t>Irodalomjegyzék:</w:t>
      </w:r>
    </w:p>
    <w:p w:rsidR="00544401" w:rsidRPr="00544401" w:rsidRDefault="00544401" w:rsidP="00980876">
      <w:pPr>
        <w:widowControl w:val="0"/>
        <w:numPr>
          <w:ilvl w:val="1"/>
          <w:numId w:val="831"/>
        </w:numPr>
        <w:tabs>
          <w:tab w:val="left" w:pos="993"/>
        </w:tabs>
        <w:spacing w:before="120" w:after="120" w:line="240" w:lineRule="auto"/>
        <w:ind w:left="426" w:hanging="142"/>
        <w:jc w:val="both"/>
        <w:rPr>
          <w:rFonts w:ascii="Times New Roman" w:eastAsia="Times New Roman" w:hAnsi="Times New Roman" w:cs="Times New Roman"/>
          <w:bCs/>
        </w:rPr>
      </w:pPr>
      <w:r w:rsidRPr="00544401">
        <w:rPr>
          <w:rFonts w:ascii="Times New Roman" w:eastAsia="Times New Roman" w:hAnsi="Times New Roman" w:cs="Times New Roman"/>
          <w:b/>
          <w:bCs/>
        </w:rPr>
        <w:t>Kötelező irodalom:</w:t>
      </w:r>
    </w:p>
    <w:p w:rsidR="00544401" w:rsidRPr="00544401" w:rsidRDefault="00544401" w:rsidP="00980876">
      <w:pPr>
        <w:widowControl w:val="0"/>
        <w:numPr>
          <w:ilvl w:val="0"/>
          <w:numId w:val="832"/>
        </w:numPr>
        <w:spacing w:after="0" w:line="240" w:lineRule="auto"/>
        <w:jc w:val="both"/>
        <w:rPr>
          <w:rFonts w:ascii="Times New Roman" w:eastAsia="Times New Roman" w:hAnsi="Times New Roman" w:cs="Times New Roman"/>
        </w:rPr>
      </w:pPr>
      <w:r w:rsidRPr="00544401">
        <w:rPr>
          <w:rFonts w:ascii="Times New Roman" w:eastAsia="Times New Roman" w:hAnsi="Times New Roman" w:cs="Times New Roman"/>
          <w:noProof/>
        </w:rPr>
        <w:t>Információs társadalom szöveggyűjtemény (2020).</w:t>
      </w:r>
    </w:p>
    <w:p w:rsidR="00544401" w:rsidRPr="00544401" w:rsidRDefault="00544401" w:rsidP="00980876">
      <w:pPr>
        <w:widowControl w:val="0"/>
        <w:numPr>
          <w:ilvl w:val="1"/>
          <w:numId w:val="831"/>
        </w:numPr>
        <w:tabs>
          <w:tab w:val="left" w:pos="993"/>
        </w:tabs>
        <w:spacing w:before="120" w:after="120" w:line="240" w:lineRule="auto"/>
        <w:ind w:left="426" w:hanging="142"/>
        <w:jc w:val="both"/>
        <w:rPr>
          <w:rFonts w:ascii="Times New Roman" w:eastAsia="Times New Roman" w:hAnsi="Times New Roman" w:cs="Times New Roman"/>
          <w:b/>
          <w:bCs/>
        </w:rPr>
      </w:pPr>
      <w:r w:rsidRPr="00544401">
        <w:rPr>
          <w:rFonts w:ascii="Times New Roman" w:eastAsia="Times New Roman" w:hAnsi="Times New Roman" w:cs="Times New Roman"/>
          <w:b/>
          <w:bCs/>
        </w:rPr>
        <w:t>Ajánlott irodalom:</w:t>
      </w:r>
    </w:p>
    <w:p w:rsidR="00544401" w:rsidRPr="00544401" w:rsidRDefault="00544401" w:rsidP="00980876">
      <w:pPr>
        <w:widowControl w:val="0"/>
        <w:numPr>
          <w:ilvl w:val="0"/>
          <w:numId w:val="833"/>
        </w:numPr>
        <w:spacing w:after="0" w:line="240" w:lineRule="auto"/>
        <w:jc w:val="both"/>
        <w:rPr>
          <w:rFonts w:ascii="Times New Roman" w:eastAsia="Times New Roman" w:hAnsi="Times New Roman" w:cs="Times New Roman"/>
          <w:noProof/>
        </w:rPr>
      </w:pPr>
      <w:r w:rsidRPr="00544401">
        <w:rPr>
          <w:rFonts w:ascii="Times New Roman" w:eastAsia="Times New Roman" w:hAnsi="Times New Roman" w:cs="Times New Roman"/>
          <w:noProof/>
        </w:rPr>
        <w:lastRenderedPageBreak/>
        <w:t>Ződi Zsolt: Platformok, robotok és a jog. Új szabályozási kihívások az információs társadalomban. Budapest, Gondolat, 2018. ISBN: 978 963 693 865 9;</w:t>
      </w:r>
    </w:p>
    <w:p w:rsidR="00544401" w:rsidRPr="00544401" w:rsidRDefault="00544401" w:rsidP="00980876">
      <w:pPr>
        <w:widowControl w:val="0"/>
        <w:numPr>
          <w:ilvl w:val="0"/>
          <w:numId w:val="833"/>
        </w:numPr>
        <w:spacing w:after="0" w:line="240" w:lineRule="auto"/>
        <w:ind w:left="709" w:hanging="425"/>
        <w:jc w:val="both"/>
        <w:rPr>
          <w:rFonts w:ascii="Times New Roman" w:eastAsia="Times New Roman" w:hAnsi="Times New Roman" w:cs="Times New Roman"/>
          <w:noProof/>
        </w:rPr>
      </w:pPr>
      <w:r w:rsidRPr="00544401">
        <w:rPr>
          <w:rFonts w:ascii="Times New Roman" w:eastAsia="Times New Roman" w:hAnsi="Times New Roman" w:cs="Times New Roman"/>
          <w:noProof/>
        </w:rPr>
        <w:t>Koltay András: Az új média és a szólásszabadság. Budapest, Wolters Kluwer, 2019., ISBN: 978 963 295 879 8;</w:t>
      </w:r>
    </w:p>
    <w:p w:rsidR="00544401" w:rsidRPr="00544401" w:rsidRDefault="00544401" w:rsidP="00980876">
      <w:pPr>
        <w:widowControl w:val="0"/>
        <w:numPr>
          <w:ilvl w:val="0"/>
          <w:numId w:val="833"/>
        </w:numPr>
        <w:spacing w:after="0" w:line="240" w:lineRule="auto"/>
        <w:ind w:left="709" w:hanging="425"/>
        <w:jc w:val="both"/>
        <w:rPr>
          <w:rFonts w:ascii="Times New Roman" w:eastAsia="Times New Roman" w:hAnsi="Times New Roman" w:cs="Times New Roman"/>
          <w:noProof/>
        </w:rPr>
      </w:pPr>
      <w:r w:rsidRPr="00544401">
        <w:rPr>
          <w:rFonts w:ascii="Times New Roman" w:eastAsia="Times New Roman" w:hAnsi="Times New Roman" w:cs="Times New Roman"/>
          <w:noProof/>
        </w:rPr>
        <w:t>Barabási Albert-László: Behálózva – a hálózatok új tudománya. Budapest, Helikon, 2008., ISBN: 9789634330394;</w:t>
      </w:r>
    </w:p>
    <w:p w:rsidR="00544401" w:rsidRPr="00544401" w:rsidRDefault="00544401" w:rsidP="00980876">
      <w:pPr>
        <w:widowControl w:val="0"/>
        <w:numPr>
          <w:ilvl w:val="0"/>
          <w:numId w:val="833"/>
        </w:numPr>
        <w:spacing w:after="0" w:line="240" w:lineRule="auto"/>
        <w:ind w:left="709" w:hanging="425"/>
        <w:jc w:val="both"/>
        <w:rPr>
          <w:rFonts w:ascii="Times New Roman" w:eastAsia="Times New Roman" w:hAnsi="Times New Roman" w:cs="Times New Roman"/>
          <w:noProof/>
        </w:rPr>
      </w:pPr>
      <w:r w:rsidRPr="00544401">
        <w:rPr>
          <w:rFonts w:ascii="Times New Roman" w:eastAsia="Times New Roman" w:hAnsi="Times New Roman" w:cs="Times New Roman"/>
          <w:noProof/>
        </w:rPr>
        <w:t>Manuel Castelíls : A hálózati társadalom kialakulása. Budapest, Gondolat‒Infonia, 2005., ISBN: 9639567930;</w:t>
      </w:r>
    </w:p>
    <w:p w:rsidR="00544401" w:rsidRPr="00544401" w:rsidRDefault="00544401" w:rsidP="00980876">
      <w:pPr>
        <w:widowControl w:val="0"/>
        <w:numPr>
          <w:ilvl w:val="0"/>
          <w:numId w:val="833"/>
        </w:numPr>
        <w:spacing w:after="0" w:line="240" w:lineRule="auto"/>
        <w:ind w:left="709" w:hanging="425"/>
        <w:jc w:val="both"/>
        <w:rPr>
          <w:rFonts w:ascii="Times New Roman" w:eastAsia="Times New Roman" w:hAnsi="Times New Roman" w:cs="Times New Roman"/>
        </w:rPr>
      </w:pPr>
      <w:r w:rsidRPr="00544401">
        <w:rPr>
          <w:rFonts w:ascii="Times New Roman" w:eastAsia="Times New Roman" w:hAnsi="Times New Roman" w:cs="Times New Roman"/>
          <w:noProof/>
        </w:rPr>
        <w:t>Niall Ferguson: A torony és a tér. Budapest, Scolar, 2019., ISBN: 9789635090488.</w:t>
      </w:r>
      <w:r w:rsidRPr="00544401">
        <w:rPr>
          <w:rFonts w:ascii="Times New Roman" w:eastAsia="Times New Roman" w:hAnsi="Times New Roman" w:cs="Times New Roman"/>
        </w:rPr>
        <w:t xml:space="preserve"> </w:t>
      </w:r>
    </w:p>
    <w:p w:rsidR="00544401" w:rsidRPr="00544401" w:rsidRDefault="00544401" w:rsidP="00544401">
      <w:pPr>
        <w:widowControl w:val="0"/>
        <w:spacing w:before="120" w:after="120" w:line="240" w:lineRule="auto"/>
        <w:jc w:val="both"/>
        <w:rPr>
          <w:rFonts w:ascii="Times New Roman" w:eastAsia="Times New Roman" w:hAnsi="Times New Roman" w:cs="Times New Roman"/>
          <w:bCs/>
        </w:rPr>
      </w:pPr>
    </w:p>
    <w:p w:rsidR="00544401" w:rsidRPr="00544401" w:rsidRDefault="00544401" w:rsidP="00544401">
      <w:pPr>
        <w:widowControl w:val="0"/>
        <w:spacing w:before="120" w:after="120" w:line="240" w:lineRule="auto"/>
        <w:jc w:val="both"/>
        <w:rPr>
          <w:rFonts w:ascii="Times New Roman" w:eastAsia="Times New Roman" w:hAnsi="Times New Roman" w:cs="Times New Roman"/>
          <w:bCs/>
        </w:rPr>
      </w:pPr>
      <w:r w:rsidRPr="00544401">
        <w:rPr>
          <w:rFonts w:ascii="Times New Roman" w:eastAsia="Times New Roman" w:hAnsi="Times New Roman" w:cs="Times New Roman"/>
          <w:bCs/>
        </w:rPr>
        <w:t xml:space="preserve">Budapest, </w:t>
      </w:r>
      <w:r w:rsidRPr="00544401">
        <w:rPr>
          <w:rFonts w:ascii="Times New Roman" w:eastAsia="Times New Roman" w:hAnsi="Times New Roman" w:cs="Times New Roman"/>
          <w:bCs/>
        </w:rPr>
        <w:fldChar w:fldCharType="begin"/>
      </w:r>
      <w:r w:rsidRPr="00544401">
        <w:rPr>
          <w:rFonts w:ascii="Times New Roman" w:eastAsia="Times New Roman" w:hAnsi="Times New Roman" w:cs="Times New Roman"/>
          <w:bCs/>
        </w:rPr>
        <w:instrText xml:space="preserve"> TIME \@ "yyyy.MM.dd." </w:instrText>
      </w:r>
      <w:r w:rsidRPr="00544401">
        <w:rPr>
          <w:rFonts w:ascii="Times New Roman" w:eastAsia="Times New Roman" w:hAnsi="Times New Roman" w:cs="Times New Roman"/>
          <w:bCs/>
        </w:rPr>
        <w:fldChar w:fldCharType="separate"/>
      </w:r>
      <w:r w:rsidR="004D708E">
        <w:rPr>
          <w:rFonts w:ascii="Times New Roman" w:eastAsia="Times New Roman" w:hAnsi="Times New Roman" w:cs="Times New Roman"/>
          <w:bCs/>
          <w:noProof/>
        </w:rPr>
        <w:t>2020.09.16.</w:t>
      </w:r>
      <w:r w:rsidRPr="00544401">
        <w:rPr>
          <w:rFonts w:ascii="Times New Roman" w:eastAsia="Times New Roman" w:hAnsi="Times New Roman" w:cs="Times New Roman"/>
          <w:bCs/>
        </w:rPr>
        <w:fldChar w:fldCharType="end"/>
      </w:r>
    </w:p>
    <w:p w:rsidR="00544401" w:rsidRPr="00544401" w:rsidRDefault="00544401" w:rsidP="00544401">
      <w:pPr>
        <w:widowControl w:val="0"/>
        <w:spacing w:before="120" w:after="120" w:line="240" w:lineRule="auto"/>
        <w:jc w:val="both"/>
        <w:rPr>
          <w:rFonts w:ascii="Times New Roman" w:eastAsia="Times New Roman" w:hAnsi="Times New Roman" w:cs="Times New Roman"/>
          <w:bCs/>
        </w:rPr>
      </w:pPr>
    </w:p>
    <w:p w:rsidR="00544401" w:rsidRPr="00544401" w:rsidRDefault="00544401" w:rsidP="00544401">
      <w:pPr>
        <w:widowControl w:val="0"/>
        <w:spacing w:after="0" w:line="240" w:lineRule="auto"/>
        <w:jc w:val="right"/>
        <w:rPr>
          <w:rFonts w:ascii="Times New Roman" w:eastAsia="Times New Roman" w:hAnsi="Times New Roman" w:cs="Times New Roman"/>
          <w:bCs/>
        </w:rPr>
      </w:pPr>
      <w:r w:rsidRPr="00544401">
        <w:rPr>
          <w:rFonts w:ascii="Times New Roman" w:eastAsia="Times New Roman" w:hAnsi="Times New Roman" w:cs="Times New Roman"/>
          <w:bCs/>
          <w:noProof/>
        </w:rPr>
        <w:t>Dr. Koltay András</w:t>
      </w:r>
      <w:r w:rsidRPr="00544401">
        <w:rPr>
          <w:rFonts w:ascii="Times New Roman" w:eastAsia="Times New Roman" w:hAnsi="Times New Roman" w:cs="Times New Roman"/>
          <w:bCs/>
        </w:rPr>
        <w:t xml:space="preserve">, </w:t>
      </w:r>
      <w:r w:rsidRPr="00544401">
        <w:rPr>
          <w:rFonts w:ascii="Times New Roman" w:eastAsia="Times New Roman" w:hAnsi="Times New Roman" w:cs="Times New Roman"/>
          <w:bCs/>
          <w:noProof/>
        </w:rPr>
        <w:t>PhD</w:t>
      </w:r>
      <w:r w:rsidRPr="00544401">
        <w:rPr>
          <w:rFonts w:ascii="Times New Roman" w:eastAsia="Times New Roman" w:hAnsi="Times New Roman" w:cs="Times New Roman"/>
          <w:bCs/>
        </w:rPr>
        <w:t>,</w:t>
      </w:r>
    </w:p>
    <w:p w:rsidR="00544401" w:rsidRPr="00544401" w:rsidRDefault="00544401" w:rsidP="00544401">
      <w:pPr>
        <w:widowControl w:val="0"/>
        <w:spacing w:after="0" w:line="240" w:lineRule="auto"/>
        <w:jc w:val="right"/>
        <w:rPr>
          <w:rFonts w:ascii="Times New Roman" w:eastAsia="Times New Roman" w:hAnsi="Times New Roman" w:cs="Times New Roman"/>
          <w:bCs/>
        </w:rPr>
      </w:pPr>
      <w:r w:rsidRPr="00544401">
        <w:rPr>
          <w:rFonts w:ascii="Times New Roman" w:eastAsia="Times New Roman" w:hAnsi="Times New Roman" w:cs="Times New Roman"/>
          <w:bCs/>
          <w:noProof/>
        </w:rPr>
        <w:t>egyetemi tanár</w:t>
      </w:r>
      <w:r w:rsidRPr="00544401">
        <w:rPr>
          <w:rFonts w:ascii="Times New Roman" w:eastAsia="Times New Roman" w:hAnsi="Times New Roman" w:cs="Times New Roman"/>
          <w:bCs/>
        </w:rPr>
        <w:t xml:space="preserve"> sk.</w:t>
      </w:r>
    </w:p>
    <w:p w:rsidR="002C1A95" w:rsidRDefault="002C1A95">
      <w:pPr>
        <w:spacing w:after="200" w:line="276" w:lineRule="auto"/>
        <w:rPr>
          <w:rFonts w:ascii="Times New Roman" w:hAnsi="Times New Roman" w:cs="Times New Roman"/>
          <w:sz w:val="24"/>
        </w:rPr>
      </w:pPr>
    </w:p>
    <w:p w:rsidR="000C0043" w:rsidRDefault="000C0043">
      <w:pPr>
        <w:spacing w:after="200" w:line="276" w:lineRule="auto"/>
        <w:rPr>
          <w:rFonts w:ascii="Times New Roman" w:hAnsi="Times New Roman" w:cs="Times New Roman"/>
          <w:sz w:val="24"/>
        </w:rPr>
      </w:pPr>
      <w:r>
        <w:rPr>
          <w:rFonts w:ascii="Times New Roman" w:hAnsi="Times New Roman" w:cs="Times New Roman"/>
          <w:sz w:val="24"/>
        </w:rPr>
        <w:br w:type="page"/>
      </w:r>
    </w:p>
    <w:tbl>
      <w:tblPr>
        <w:tblW w:w="9072" w:type="dxa"/>
        <w:tblInd w:w="113" w:type="dxa"/>
        <w:tblLook w:val="01E0" w:firstRow="1" w:lastRow="1" w:firstColumn="1" w:lastColumn="1" w:noHBand="0" w:noVBand="0"/>
      </w:tblPr>
      <w:tblGrid>
        <w:gridCol w:w="4855"/>
        <w:gridCol w:w="1620"/>
        <w:gridCol w:w="2597"/>
      </w:tblGrid>
      <w:tr w:rsidR="000C0043" w:rsidRPr="00B76F5C" w:rsidTr="000C0043">
        <w:tc>
          <w:tcPr>
            <w:tcW w:w="4855" w:type="dxa"/>
            <w:tcBorders>
              <w:top w:val="nil"/>
              <w:left w:val="nil"/>
              <w:bottom w:val="single" w:sz="4" w:space="0" w:color="auto"/>
              <w:right w:val="nil"/>
            </w:tcBorders>
            <w:hideMark/>
          </w:tcPr>
          <w:p w:rsidR="000C0043" w:rsidRPr="00B76F5C" w:rsidRDefault="000C0043">
            <w:pPr>
              <w:spacing w:after="0" w:line="240" w:lineRule="auto"/>
              <w:jc w:val="center"/>
              <w:rPr>
                <w:rFonts w:ascii="Times New Roman" w:eastAsia="Times New Roman" w:hAnsi="Times New Roman" w:cs="Times New Roman"/>
                <w:b/>
                <w:smallCaps/>
                <w:lang w:eastAsia="hu-HU"/>
              </w:rPr>
            </w:pPr>
            <w:r w:rsidRPr="00B76F5C">
              <w:rPr>
                <w:rFonts w:ascii="Times New Roman" w:eastAsia="Times New Roman" w:hAnsi="Times New Roman" w:cs="Times New Roman"/>
                <w:b/>
                <w:smallCaps/>
                <w:lang w:eastAsia="hu-HU"/>
              </w:rPr>
              <w:lastRenderedPageBreak/>
              <w:t>Nemzeti Közszolgálati Egyetem</w:t>
            </w:r>
          </w:p>
        </w:tc>
        <w:tc>
          <w:tcPr>
            <w:tcW w:w="1620" w:type="dxa"/>
          </w:tcPr>
          <w:p w:rsidR="000C0043" w:rsidRPr="00B76F5C" w:rsidRDefault="000C0043">
            <w:pPr>
              <w:spacing w:after="0" w:line="240" w:lineRule="auto"/>
              <w:jc w:val="both"/>
              <w:rPr>
                <w:rFonts w:ascii="Times New Roman" w:eastAsia="Times New Roman" w:hAnsi="Times New Roman" w:cs="Times New Roman"/>
                <w:lang w:eastAsia="hu-HU"/>
              </w:rPr>
            </w:pPr>
          </w:p>
        </w:tc>
        <w:tc>
          <w:tcPr>
            <w:tcW w:w="2597" w:type="dxa"/>
          </w:tcPr>
          <w:p w:rsidR="000C0043" w:rsidRPr="00B76F5C" w:rsidRDefault="000C0043">
            <w:pPr>
              <w:spacing w:after="0" w:line="240" w:lineRule="auto"/>
              <w:jc w:val="right"/>
              <w:rPr>
                <w:rFonts w:ascii="Times New Roman" w:eastAsia="Times New Roman" w:hAnsi="Times New Roman" w:cs="Times New Roman"/>
                <w:lang w:eastAsia="hu-HU"/>
              </w:rPr>
            </w:pPr>
          </w:p>
        </w:tc>
      </w:tr>
      <w:tr w:rsidR="000C0043" w:rsidRPr="00B76F5C" w:rsidTr="000C0043">
        <w:tc>
          <w:tcPr>
            <w:tcW w:w="4855" w:type="dxa"/>
            <w:tcBorders>
              <w:top w:val="single" w:sz="4" w:space="0" w:color="auto"/>
              <w:left w:val="nil"/>
              <w:bottom w:val="nil"/>
              <w:right w:val="nil"/>
            </w:tcBorders>
            <w:hideMark/>
          </w:tcPr>
          <w:p w:rsidR="000C0043" w:rsidRPr="00B76F5C" w:rsidRDefault="000C0043">
            <w:pPr>
              <w:spacing w:after="0" w:line="240" w:lineRule="auto"/>
              <w:jc w:val="center"/>
              <w:rPr>
                <w:rFonts w:ascii="Times New Roman" w:eastAsia="Times New Roman" w:hAnsi="Times New Roman" w:cs="Times New Roman"/>
                <w:b/>
                <w:lang w:eastAsia="hu-HU"/>
              </w:rPr>
            </w:pPr>
            <w:r w:rsidRPr="00B76F5C">
              <w:rPr>
                <w:rFonts w:ascii="Times New Roman" w:eastAsia="Times New Roman" w:hAnsi="Times New Roman" w:cs="Times New Roman"/>
                <w:b/>
                <w:lang w:eastAsia="hu-HU"/>
              </w:rPr>
              <w:t>Hadtudományi és Honvédtisztképző Kar</w:t>
            </w:r>
          </w:p>
        </w:tc>
        <w:tc>
          <w:tcPr>
            <w:tcW w:w="1620" w:type="dxa"/>
          </w:tcPr>
          <w:p w:rsidR="000C0043" w:rsidRPr="00B76F5C" w:rsidRDefault="000C0043">
            <w:pPr>
              <w:spacing w:after="0" w:line="240" w:lineRule="auto"/>
              <w:jc w:val="both"/>
              <w:rPr>
                <w:rFonts w:ascii="Times New Roman" w:eastAsia="Times New Roman" w:hAnsi="Times New Roman" w:cs="Times New Roman"/>
                <w:lang w:eastAsia="hu-HU"/>
              </w:rPr>
            </w:pPr>
          </w:p>
        </w:tc>
        <w:tc>
          <w:tcPr>
            <w:tcW w:w="2597" w:type="dxa"/>
          </w:tcPr>
          <w:p w:rsidR="000C0043" w:rsidRPr="00B76F5C" w:rsidRDefault="000C0043">
            <w:pPr>
              <w:spacing w:after="0" w:line="240" w:lineRule="auto"/>
              <w:jc w:val="both"/>
              <w:rPr>
                <w:rFonts w:ascii="Times New Roman" w:eastAsia="Times New Roman" w:hAnsi="Times New Roman" w:cs="Times New Roman"/>
                <w:lang w:eastAsia="hu-HU"/>
              </w:rPr>
            </w:pPr>
          </w:p>
        </w:tc>
      </w:tr>
    </w:tbl>
    <w:p w:rsidR="000C0043" w:rsidRPr="00B76F5C" w:rsidRDefault="000C0043" w:rsidP="000C0043">
      <w:pPr>
        <w:widowControl w:val="0"/>
        <w:spacing w:before="120" w:after="120" w:line="240" w:lineRule="auto"/>
        <w:ind w:left="426" w:hanging="142"/>
        <w:jc w:val="center"/>
        <w:rPr>
          <w:rFonts w:ascii="Times New Roman" w:eastAsia="Times New Roman" w:hAnsi="Times New Roman" w:cs="Times New Roman"/>
          <w:b/>
          <w:bCs/>
        </w:rPr>
      </w:pPr>
    </w:p>
    <w:p w:rsidR="000C0043" w:rsidRPr="00B76F5C" w:rsidRDefault="000C0043" w:rsidP="000C0043">
      <w:pPr>
        <w:widowControl w:val="0"/>
        <w:spacing w:before="120" w:after="120" w:line="240" w:lineRule="auto"/>
        <w:ind w:left="426" w:hanging="142"/>
        <w:jc w:val="center"/>
        <w:rPr>
          <w:rFonts w:ascii="Times New Roman" w:eastAsia="Times New Roman" w:hAnsi="Times New Roman" w:cs="Times New Roman"/>
          <w:b/>
          <w:bCs/>
        </w:rPr>
      </w:pPr>
      <w:r w:rsidRPr="00B76F5C">
        <w:rPr>
          <w:rFonts w:ascii="Times New Roman" w:eastAsia="Times New Roman" w:hAnsi="Times New Roman" w:cs="Times New Roman"/>
          <w:b/>
          <w:bCs/>
        </w:rPr>
        <w:t>TANTÁRGYI PROGRAM</w:t>
      </w:r>
    </w:p>
    <w:p w:rsidR="000C0043" w:rsidRPr="00B76F5C" w:rsidRDefault="000C0043" w:rsidP="00C14833">
      <w:pPr>
        <w:widowControl w:val="0"/>
        <w:numPr>
          <w:ilvl w:val="0"/>
          <w:numId w:val="106"/>
        </w:numPr>
        <w:tabs>
          <w:tab w:val="num" w:pos="567"/>
        </w:tabs>
        <w:spacing w:before="120" w:after="120" w:line="240" w:lineRule="auto"/>
        <w:ind w:left="426" w:hanging="142"/>
        <w:jc w:val="both"/>
        <w:rPr>
          <w:rFonts w:ascii="Times New Roman" w:eastAsia="Times New Roman" w:hAnsi="Times New Roman" w:cs="Times New Roman"/>
          <w:bCs/>
        </w:rPr>
      </w:pPr>
      <w:r w:rsidRPr="00B76F5C">
        <w:rPr>
          <w:rFonts w:ascii="Times New Roman" w:eastAsia="Times New Roman" w:hAnsi="Times New Roman" w:cs="Times New Roman"/>
          <w:b/>
          <w:bCs/>
        </w:rPr>
        <w:t xml:space="preserve">A tantárgy kódja: </w:t>
      </w:r>
      <w:r w:rsidRPr="00973770">
        <w:rPr>
          <w:rFonts w:ascii="Times New Roman" w:eastAsia="Times New Roman" w:hAnsi="Times New Roman" w:cs="Times New Roman"/>
          <w:bCs/>
        </w:rPr>
        <w:t>HKHFKTA03</w:t>
      </w:r>
    </w:p>
    <w:p w:rsidR="000C0043" w:rsidRPr="00B76F5C" w:rsidRDefault="000C0043" w:rsidP="00C14833">
      <w:pPr>
        <w:widowControl w:val="0"/>
        <w:numPr>
          <w:ilvl w:val="0"/>
          <w:numId w:val="106"/>
        </w:numPr>
        <w:tabs>
          <w:tab w:val="num" w:pos="567"/>
        </w:tabs>
        <w:spacing w:before="120" w:after="120" w:line="240" w:lineRule="auto"/>
        <w:ind w:left="426" w:hanging="142"/>
        <w:jc w:val="both"/>
        <w:rPr>
          <w:rFonts w:ascii="Times New Roman" w:eastAsia="Times New Roman" w:hAnsi="Times New Roman" w:cs="Times New Roman"/>
          <w:b/>
          <w:bCs/>
          <w:lang w:val="en-GB"/>
        </w:rPr>
      </w:pPr>
      <w:r w:rsidRPr="00B76F5C">
        <w:rPr>
          <w:rFonts w:ascii="Times New Roman" w:eastAsia="Times New Roman" w:hAnsi="Times New Roman" w:cs="Times New Roman"/>
          <w:b/>
          <w:bCs/>
        </w:rPr>
        <w:t>A tantárgy megnevezése (magyarul):</w:t>
      </w:r>
      <w:r w:rsidRPr="00B76F5C">
        <w:rPr>
          <w:rFonts w:ascii="Times New Roman" w:eastAsia="Times New Roman" w:hAnsi="Times New Roman" w:cs="Times New Roman"/>
          <w:bCs/>
        </w:rPr>
        <w:t xml:space="preserve"> Hadtörténelem</w:t>
      </w:r>
    </w:p>
    <w:p w:rsidR="000C0043" w:rsidRPr="00B76F5C" w:rsidRDefault="000C0043" w:rsidP="00C14833">
      <w:pPr>
        <w:widowControl w:val="0"/>
        <w:numPr>
          <w:ilvl w:val="0"/>
          <w:numId w:val="106"/>
        </w:numPr>
        <w:tabs>
          <w:tab w:val="num" w:pos="567"/>
        </w:tabs>
        <w:spacing w:before="120" w:after="120" w:line="240" w:lineRule="auto"/>
        <w:ind w:left="426" w:hanging="142"/>
        <w:jc w:val="both"/>
        <w:rPr>
          <w:rFonts w:ascii="Times New Roman" w:eastAsia="Times New Roman" w:hAnsi="Times New Roman" w:cs="Times New Roman"/>
          <w:b/>
          <w:bCs/>
          <w:lang w:val="en-GB"/>
        </w:rPr>
      </w:pPr>
      <w:r w:rsidRPr="00B76F5C">
        <w:rPr>
          <w:rFonts w:ascii="Times New Roman" w:eastAsia="Times New Roman" w:hAnsi="Times New Roman" w:cs="Times New Roman"/>
          <w:b/>
          <w:bCs/>
        </w:rPr>
        <w:t xml:space="preserve">A tantárgy megnevezése (angolul): </w:t>
      </w:r>
      <w:r w:rsidRPr="00B76F5C">
        <w:rPr>
          <w:rFonts w:ascii="Times New Roman" w:eastAsia="Times New Roman" w:hAnsi="Times New Roman" w:cs="Times New Roman"/>
          <w:bCs/>
        </w:rPr>
        <w:t>Military History</w:t>
      </w:r>
    </w:p>
    <w:p w:rsidR="000C0043" w:rsidRPr="00B76F5C" w:rsidRDefault="000C0043" w:rsidP="00C14833">
      <w:pPr>
        <w:widowControl w:val="0"/>
        <w:numPr>
          <w:ilvl w:val="0"/>
          <w:numId w:val="106"/>
        </w:numPr>
        <w:tabs>
          <w:tab w:val="num" w:pos="567"/>
        </w:tabs>
        <w:spacing w:before="120" w:after="120" w:line="240" w:lineRule="auto"/>
        <w:ind w:left="426" w:hanging="142"/>
        <w:jc w:val="both"/>
        <w:rPr>
          <w:rFonts w:ascii="Times New Roman" w:eastAsia="Times New Roman" w:hAnsi="Times New Roman" w:cs="Times New Roman"/>
          <w:b/>
          <w:bCs/>
        </w:rPr>
      </w:pPr>
      <w:r w:rsidRPr="00B76F5C">
        <w:rPr>
          <w:rFonts w:ascii="Times New Roman" w:eastAsia="Times New Roman" w:hAnsi="Times New Roman" w:cs="Times New Roman"/>
          <w:b/>
          <w:bCs/>
        </w:rPr>
        <w:t xml:space="preserve">Kreditérték és képzési karakter: </w:t>
      </w:r>
    </w:p>
    <w:p w:rsidR="000C0043" w:rsidRPr="00B76F5C" w:rsidRDefault="000C0043" w:rsidP="00C14833">
      <w:pPr>
        <w:pStyle w:val="Listaszerbekezds"/>
        <w:widowControl w:val="0"/>
        <w:numPr>
          <w:ilvl w:val="1"/>
          <w:numId w:val="106"/>
        </w:numPr>
        <w:spacing w:before="120" w:after="120" w:line="240" w:lineRule="auto"/>
        <w:ind w:left="993" w:hanging="426"/>
        <w:jc w:val="both"/>
        <w:rPr>
          <w:rFonts w:ascii="Times New Roman" w:eastAsia="Times New Roman" w:hAnsi="Times New Roman" w:cs="Times New Roman"/>
          <w:b/>
          <w:bCs/>
        </w:rPr>
      </w:pPr>
      <w:r w:rsidRPr="00B76F5C">
        <w:rPr>
          <w:rFonts w:ascii="Times New Roman" w:eastAsia="Times New Roman" w:hAnsi="Times New Roman" w:cs="Times New Roman"/>
          <w:bCs/>
        </w:rPr>
        <w:t>2 kredit</w:t>
      </w:r>
    </w:p>
    <w:p w:rsidR="000C0043" w:rsidRPr="00B76F5C" w:rsidRDefault="000C0043" w:rsidP="00C14833">
      <w:pPr>
        <w:pStyle w:val="Listaszerbekezds"/>
        <w:widowControl w:val="0"/>
        <w:numPr>
          <w:ilvl w:val="1"/>
          <w:numId w:val="106"/>
        </w:numPr>
        <w:spacing w:before="120" w:after="120" w:line="240" w:lineRule="auto"/>
        <w:ind w:left="993" w:hanging="426"/>
        <w:jc w:val="both"/>
        <w:rPr>
          <w:rFonts w:ascii="Times New Roman" w:eastAsia="Times New Roman" w:hAnsi="Times New Roman" w:cs="Times New Roman"/>
          <w:b/>
          <w:bCs/>
        </w:rPr>
      </w:pPr>
      <w:r w:rsidRPr="00B76F5C">
        <w:rPr>
          <w:rFonts w:ascii="Times New Roman" w:eastAsia="Times New Roman" w:hAnsi="Times New Roman" w:cs="Times New Roman"/>
          <w:bCs/>
        </w:rPr>
        <w:t>a tantárgy elméleti vagy gyakorlati jellegének mértéke: 0 % gyakorlat, 100 % elmélet</w:t>
      </w:r>
    </w:p>
    <w:p w:rsidR="000C0043" w:rsidRPr="00B76F5C" w:rsidRDefault="000C0043" w:rsidP="00C14833">
      <w:pPr>
        <w:widowControl w:val="0"/>
        <w:numPr>
          <w:ilvl w:val="0"/>
          <w:numId w:val="106"/>
        </w:numPr>
        <w:spacing w:before="120" w:after="120" w:line="240" w:lineRule="auto"/>
        <w:ind w:left="426" w:hanging="142"/>
        <w:jc w:val="both"/>
        <w:rPr>
          <w:rFonts w:ascii="Times New Roman" w:eastAsia="Times New Roman" w:hAnsi="Times New Roman" w:cs="Times New Roman"/>
          <w:bCs/>
        </w:rPr>
      </w:pPr>
      <w:r w:rsidRPr="00B76F5C">
        <w:rPr>
          <w:rFonts w:ascii="Times New Roman" w:eastAsia="Times New Roman" w:hAnsi="Times New Roman" w:cs="Times New Roman"/>
          <w:b/>
          <w:bCs/>
        </w:rPr>
        <w:t>A szak(ok), szakirányok/specializációk megnevezése (ahol oktatják):</w:t>
      </w:r>
      <w:r w:rsidRPr="00B76F5C">
        <w:rPr>
          <w:rFonts w:ascii="Times New Roman" w:eastAsia="Times New Roman" w:hAnsi="Times New Roman" w:cs="Times New Roman"/>
          <w:bCs/>
        </w:rPr>
        <w:t xml:space="preserve"> Katonai vezető, Katonai logisztika, Katonai Üzemeltető, Állami légiközlekedés</w:t>
      </w:r>
    </w:p>
    <w:p w:rsidR="000C0043" w:rsidRPr="00B76F5C" w:rsidRDefault="000C0043" w:rsidP="00C14833">
      <w:pPr>
        <w:widowControl w:val="0"/>
        <w:numPr>
          <w:ilvl w:val="0"/>
          <w:numId w:val="106"/>
        </w:numPr>
        <w:tabs>
          <w:tab w:val="num" w:pos="567"/>
        </w:tabs>
        <w:spacing w:before="120" w:after="120" w:line="240" w:lineRule="auto"/>
        <w:ind w:left="426" w:hanging="142"/>
        <w:jc w:val="both"/>
        <w:rPr>
          <w:rFonts w:ascii="Times New Roman" w:eastAsia="Times New Roman" w:hAnsi="Times New Roman" w:cs="Times New Roman"/>
          <w:bCs/>
        </w:rPr>
      </w:pPr>
      <w:r w:rsidRPr="00B76F5C">
        <w:rPr>
          <w:rFonts w:ascii="Times New Roman" w:eastAsia="Times New Roman" w:hAnsi="Times New Roman" w:cs="Times New Roman"/>
          <w:b/>
          <w:bCs/>
        </w:rPr>
        <w:t xml:space="preserve">Az oktatásért felelős oktatási szervezeti egység megnevezése: </w:t>
      </w:r>
      <w:r w:rsidRPr="00B76F5C">
        <w:rPr>
          <w:rFonts w:ascii="Times New Roman" w:eastAsia="Times New Roman" w:hAnsi="Times New Roman" w:cs="Times New Roman"/>
          <w:bCs/>
        </w:rPr>
        <w:t>Hadtörténelmi, Filozófiai és Kultúrtörténeti Tanszék</w:t>
      </w:r>
    </w:p>
    <w:p w:rsidR="000C0043" w:rsidRPr="00B76F5C" w:rsidRDefault="000C0043" w:rsidP="00C14833">
      <w:pPr>
        <w:pStyle w:val="Listaszerbekezds"/>
        <w:widowControl w:val="0"/>
        <w:numPr>
          <w:ilvl w:val="0"/>
          <w:numId w:val="106"/>
        </w:numPr>
        <w:spacing w:before="120" w:after="120" w:line="240" w:lineRule="auto"/>
        <w:jc w:val="both"/>
        <w:rPr>
          <w:rFonts w:ascii="Times New Roman" w:eastAsia="Times New Roman" w:hAnsi="Times New Roman" w:cs="Times New Roman"/>
          <w:bCs/>
        </w:rPr>
      </w:pPr>
      <w:r w:rsidRPr="00B76F5C">
        <w:rPr>
          <w:rFonts w:ascii="Times New Roman" w:eastAsia="Times New Roman" w:hAnsi="Times New Roman" w:cs="Times New Roman"/>
          <w:b/>
          <w:bCs/>
        </w:rPr>
        <w:t>A tantárgyfelelős oktató neve, beosztása, tudományos fokozata:</w:t>
      </w:r>
      <w:r w:rsidRPr="00B76F5C">
        <w:rPr>
          <w:rFonts w:ascii="Times New Roman" w:eastAsia="Times New Roman" w:hAnsi="Times New Roman" w:cs="Times New Roman"/>
          <w:bCs/>
        </w:rPr>
        <w:t xml:space="preserve"> dr. Négyesi Lajos ezredes, egyetemi docens</w:t>
      </w:r>
    </w:p>
    <w:p w:rsidR="000C0043" w:rsidRPr="00B76F5C" w:rsidRDefault="000C0043" w:rsidP="00C14833">
      <w:pPr>
        <w:widowControl w:val="0"/>
        <w:numPr>
          <w:ilvl w:val="0"/>
          <w:numId w:val="106"/>
        </w:numPr>
        <w:spacing w:before="120" w:after="120" w:line="240" w:lineRule="auto"/>
        <w:ind w:left="426" w:hanging="142"/>
        <w:jc w:val="both"/>
        <w:rPr>
          <w:rFonts w:ascii="Times New Roman" w:eastAsia="Times New Roman" w:hAnsi="Times New Roman" w:cs="Times New Roman"/>
          <w:bCs/>
        </w:rPr>
      </w:pPr>
      <w:r w:rsidRPr="00B76F5C">
        <w:rPr>
          <w:rFonts w:ascii="Times New Roman" w:eastAsia="Times New Roman" w:hAnsi="Times New Roman" w:cs="Times New Roman"/>
          <w:b/>
          <w:bCs/>
        </w:rPr>
        <w:t>A tanórák száma és típusa</w:t>
      </w:r>
    </w:p>
    <w:p w:rsidR="000C0043" w:rsidRPr="00B76F5C" w:rsidRDefault="000C0043" w:rsidP="00C14833">
      <w:pPr>
        <w:widowControl w:val="0"/>
        <w:numPr>
          <w:ilvl w:val="1"/>
          <w:numId w:val="106"/>
        </w:numPr>
        <w:tabs>
          <w:tab w:val="num" w:pos="709"/>
          <w:tab w:val="num" w:pos="2069"/>
        </w:tabs>
        <w:spacing w:before="120" w:after="120" w:line="240" w:lineRule="auto"/>
        <w:ind w:left="851" w:hanging="425"/>
        <w:jc w:val="both"/>
        <w:rPr>
          <w:rFonts w:ascii="Times New Roman" w:eastAsia="Times New Roman" w:hAnsi="Times New Roman" w:cs="Times New Roman"/>
          <w:bCs/>
        </w:rPr>
      </w:pPr>
      <w:r w:rsidRPr="00B76F5C">
        <w:rPr>
          <w:rFonts w:ascii="Times New Roman" w:eastAsia="Times New Roman" w:hAnsi="Times New Roman" w:cs="Times New Roman"/>
          <w:bCs/>
        </w:rPr>
        <w:t>össz óraszám/félév: 28</w:t>
      </w:r>
    </w:p>
    <w:p w:rsidR="000C0043" w:rsidRPr="00B76F5C" w:rsidRDefault="000C0043" w:rsidP="00C14833">
      <w:pPr>
        <w:widowControl w:val="0"/>
        <w:numPr>
          <w:ilvl w:val="2"/>
          <w:numId w:val="106"/>
        </w:numPr>
        <w:tabs>
          <w:tab w:val="num" w:pos="709"/>
          <w:tab w:val="num" w:pos="1134"/>
        </w:tabs>
        <w:spacing w:after="0" w:line="240" w:lineRule="auto"/>
        <w:ind w:left="992" w:hanging="425"/>
        <w:jc w:val="both"/>
        <w:rPr>
          <w:rFonts w:ascii="Times New Roman" w:eastAsia="Times New Roman" w:hAnsi="Times New Roman" w:cs="Times New Roman"/>
          <w:bCs/>
        </w:rPr>
      </w:pPr>
      <w:r w:rsidRPr="00B76F5C">
        <w:rPr>
          <w:rFonts w:ascii="Times New Roman" w:eastAsia="Times New Roman" w:hAnsi="Times New Roman" w:cs="Times New Roman"/>
          <w:bCs/>
        </w:rPr>
        <w:t>nappali munkarend: 28 (28 EA + 0 SZ + 0 GY)</w:t>
      </w:r>
    </w:p>
    <w:p w:rsidR="000C0043" w:rsidRPr="00B76F5C" w:rsidRDefault="000C0043" w:rsidP="00C14833">
      <w:pPr>
        <w:widowControl w:val="0"/>
        <w:numPr>
          <w:ilvl w:val="2"/>
          <w:numId w:val="106"/>
        </w:numPr>
        <w:tabs>
          <w:tab w:val="num" w:pos="709"/>
          <w:tab w:val="num" w:pos="1134"/>
        </w:tabs>
        <w:spacing w:after="0" w:line="240" w:lineRule="auto"/>
        <w:ind w:left="992" w:hanging="425"/>
        <w:jc w:val="both"/>
        <w:rPr>
          <w:rFonts w:ascii="Times New Roman" w:eastAsia="Times New Roman" w:hAnsi="Times New Roman" w:cs="Times New Roman"/>
          <w:bCs/>
        </w:rPr>
      </w:pPr>
      <w:r w:rsidRPr="00B76F5C">
        <w:rPr>
          <w:rFonts w:ascii="Times New Roman" w:eastAsia="Times New Roman" w:hAnsi="Times New Roman" w:cs="Times New Roman"/>
          <w:bCs/>
        </w:rPr>
        <w:t>levelező munkarend: … (… EA + … SZ + … GY)</w:t>
      </w:r>
    </w:p>
    <w:p w:rsidR="000C0043" w:rsidRPr="00B76F5C" w:rsidRDefault="000C0043" w:rsidP="00C14833">
      <w:pPr>
        <w:widowControl w:val="0"/>
        <w:numPr>
          <w:ilvl w:val="1"/>
          <w:numId w:val="106"/>
        </w:numPr>
        <w:tabs>
          <w:tab w:val="num" w:pos="709"/>
          <w:tab w:val="num" w:pos="2069"/>
        </w:tabs>
        <w:spacing w:before="120" w:after="120" w:line="240" w:lineRule="auto"/>
        <w:ind w:left="851" w:hanging="425"/>
        <w:jc w:val="both"/>
        <w:rPr>
          <w:rFonts w:ascii="Times New Roman" w:eastAsia="Times New Roman" w:hAnsi="Times New Roman" w:cs="Times New Roman"/>
          <w:bCs/>
        </w:rPr>
      </w:pPr>
      <w:r w:rsidRPr="00B76F5C">
        <w:rPr>
          <w:rFonts w:ascii="Times New Roman" w:eastAsia="Times New Roman" w:hAnsi="Times New Roman" w:cs="Times New Roman"/>
          <w:bCs/>
        </w:rPr>
        <w:t>heti óraszám - nappali munkarend: 2</w:t>
      </w:r>
    </w:p>
    <w:p w:rsidR="000C0043" w:rsidRPr="00B76F5C" w:rsidRDefault="000C0043" w:rsidP="00C14833">
      <w:pPr>
        <w:widowControl w:val="0"/>
        <w:numPr>
          <w:ilvl w:val="1"/>
          <w:numId w:val="106"/>
        </w:numPr>
        <w:tabs>
          <w:tab w:val="num" w:pos="709"/>
          <w:tab w:val="num" w:pos="2069"/>
        </w:tabs>
        <w:spacing w:before="120" w:after="120" w:line="240" w:lineRule="auto"/>
        <w:ind w:left="851" w:hanging="425"/>
        <w:jc w:val="both"/>
        <w:rPr>
          <w:rFonts w:ascii="Times New Roman" w:eastAsia="Times New Roman" w:hAnsi="Times New Roman" w:cs="Times New Roman"/>
          <w:bCs/>
        </w:rPr>
      </w:pPr>
      <w:r w:rsidRPr="00B76F5C">
        <w:rPr>
          <w:rFonts w:ascii="Times New Roman" w:hAnsi="Times New Roman" w:cs="Times New Roman"/>
        </w:rPr>
        <w:t xml:space="preserve">Az ismeret átadásában alkalmazandó további sajátos módok, jellemzők: </w:t>
      </w:r>
    </w:p>
    <w:p w:rsidR="000C0043" w:rsidRPr="00B76F5C" w:rsidRDefault="000C0043" w:rsidP="00C14833">
      <w:pPr>
        <w:pStyle w:val="Listaszerbekezds"/>
        <w:widowControl w:val="0"/>
        <w:numPr>
          <w:ilvl w:val="0"/>
          <w:numId w:val="106"/>
        </w:numPr>
        <w:spacing w:before="120" w:after="120" w:line="240" w:lineRule="auto"/>
        <w:jc w:val="both"/>
        <w:rPr>
          <w:rFonts w:ascii="Times New Roman" w:eastAsia="Times New Roman" w:hAnsi="Times New Roman" w:cs="Times New Roman"/>
          <w:bCs/>
        </w:rPr>
      </w:pPr>
      <w:r w:rsidRPr="00B76F5C">
        <w:rPr>
          <w:rFonts w:ascii="Times New Roman" w:eastAsia="Times New Roman" w:hAnsi="Times New Roman" w:cs="Times New Roman"/>
          <w:b/>
          <w:bCs/>
        </w:rPr>
        <w:t>A tantárgy szakmai tartalma (magyarul):</w:t>
      </w:r>
      <w:r w:rsidRPr="00B76F5C">
        <w:rPr>
          <w:rFonts w:ascii="Times New Roman" w:eastAsia="Times New Roman" w:hAnsi="Times New Roman" w:cs="Times New Roman"/>
          <w:bCs/>
        </w:rPr>
        <w:t xml:space="preserve"> Az egyetemes és a magyar hadtörténet meghatározó szerepet játszó eseményeinek és az azokat előidéző folyamatok megismertetése a hallgatókkal.</w:t>
      </w:r>
    </w:p>
    <w:p w:rsidR="000C0043" w:rsidRPr="00B76F5C" w:rsidRDefault="000C0043" w:rsidP="000C0043">
      <w:pPr>
        <w:pStyle w:val="Listaszerbekezds"/>
        <w:widowControl w:val="0"/>
        <w:tabs>
          <w:tab w:val="left" w:pos="851"/>
        </w:tabs>
        <w:spacing w:before="120" w:after="120" w:line="240" w:lineRule="auto"/>
        <w:ind w:left="709"/>
        <w:jc w:val="both"/>
        <w:rPr>
          <w:rFonts w:ascii="Times New Roman" w:eastAsia="Times New Roman" w:hAnsi="Times New Roman" w:cs="Times New Roman"/>
          <w:bCs/>
        </w:rPr>
      </w:pPr>
      <w:r w:rsidRPr="00B76F5C">
        <w:rPr>
          <w:rFonts w:ascii="Times New Roman" w:eastAsia="Times New Roman" w:hAnsi="Times New Roman" w:cs="Times New Roman"/>
          <w:b/>
          <w:bCs/>
        </w:rPr>
        <w:t>A tantárgy szakmai tartalma (angolul) (</w:t>
      </w:r>
      <w:r w:rsidRPr="00B76F5C">
        <w:rPr>
          <w:rFonts w:ascii="Times New Roman" w:eastAsia="Times New Roman" w:hAnsi="Times New Roman" w:cs="Times New Roman"/>
          <w:b/>
          <w:bCs/>
          <w:lang w:val="en-US"/>
        </w:rPr>
        <w:t>Course description</w:t>
      </w:r>
      <w:r w:rsidRPr="00B76F5C">
        <w:rPr>
          <w:rFonts w:ascii="Times New Roman" w:eastAsia="Times New Roman" w:hAnsi="Times New Roman" w:cs="Times New Roman"/>
          <w:b/>
          <w:bCs/>
        </w:rPr>
        <w:t>):</w:t>
      </w:r>
      <w:r w:rsidRPr="00B76F5C">
        <w:rPr>
          <w:rFonts w:ascii="Times New Roman" w:eastAsia="Times New Roman" w:hAnsi="Times New Roman" w:cs="Times New Roman"/>
          <w:bCs/>
          <w:lang w:val="en-GB"/>
        </w:rPr>
        <w:t xml:space="preserve"> To introduce students to the major events of the World and Hungarian military history and the processes leading to them.</w:t>
      </w:r>
    </w:p>
    <w:p w:rsidR="000C0043" w:rsidRPr="00B76F5C" w:rsidRDefault="000C0043" w:rsidP="00C14833">
      <w:pPr>
        <w:pStyle w:val="Listaszerbekezds"/>
        <w:widowControl w:val="0"/>
        <w:numPr>
          <w:ilvl w:val="0"/>
          <w:numId w:val="106"/>
        </w:numPr>
        <w:spacing w:before="120" w:after="120" w:line="240" w:lineRule="auto"/>
        <w:jc w:val="both"/>
        <w:rPr>
          <w:rFonts w:ascii="Times New Roman" w:eastAsia="Times New Roman" w:hAnsi="Times New Roman" w:cs="Times New Roman"/>
          <w:bCs/>
        </w:rPr>
      </w:pPr>
      <w:r w:rsidRPr="00B76F5C">
        <w:rPr>
          <w:rFonts w:ascii="Times New Roman" w:eastAsia="Times New Roman" w:hAnsi="Times New Roman" w:cs="Times New Roman"/>
          <w:b/>
          <w:bCs/>
        </w:rPr>
        <w:t xml:space="preserve">Elérendő kompetenciák (magyarul): </w:t>
      </w:r>
    </w:p>
    <w:p w:rsidR="000C0043" w:rsidRPr="00B76F5C" w:rsidRDefault="000C0043" w:rsidP="000C0043">
      <w:pPr>
        <w:widowControl w:val="0"/>
        <w:spacing w:before="120" w:after="120" w:line="240" w:lineRule="auto"/>
        <w:ind w:left="360"/>
        <w:jc w:val="both"/>
        <w:rPr>
          <w:rFonts w:ascii="Times New Roman" w:eastAsia="Times New Roman" w:hAnsi="Times New Roman" w:cs="Times New Roman"/>
          <w:b/>
          <w:bCs/>
        </w:rPr>
      </w:pPr>
      <w:r w:rsidRPr="00B76F5C">
        <w:rPr>
          <w:rFonts w:ascii="Times New Roman" w:eastAsia="Times New Roman" w:hAnsi="Times New Roman" w:cs="Times New Roman"/>
          <w:b/>
          <w:bCs/>
        </w:rPr>
        <w:t>a) tudása</w:t>
      </w:r>
    </w:p>
    <w:p w:rsidR="000C0043" w:rsidRPr="00B76F5C" w:rsidRDefault="000C0043" w:rsidP="00666335">
      <w:pPr>
        <w:pStyle w:val="Listaszerbekezds"/>
        <w:widowControl w:val="0"/>
        <w:numPr>
          <w:ilvl w:val="0"/>
          <w:numId w:val="38"/>
        </w:numPr>
        <w:spacing w:before="120" w:after="120" w:line="240" w:lineRule="auto"/>
        <w:jc w:val="both"/>
        <w:rPr>
          <w:rFonts w:ascii="Times New Roman" w:eastAsia="Times New Roman" w:hAnsi="Times New Roman" w:cs="Times New Roman"/>
          <w:bCs/>
        </w:rPr>
      </w:pPr>
      <w:r w:rsidRPr="00B76F5C">
        <w:rPr>
          <w:rFonts w:ascii="Times New Roman" w:eastAsia="Times New Roman" w:hAnsi="Times New Roman" w:cs="Times New Roman"/>
          <w:bCs/>
        </w:rPr>
        <w:t>Átfogóan ismeri a nemzetközi − Európai Unió, Észak-atlanti Szerződés Szervezete (a továbbiakban: NATO), Egyesült Nemzetek Szervezete (a továbbiakban: ENSZ) − környezetben, háborús és békeműveleti helyzetekben, különböző vallási, etnikai és kulturális területen való feladat-végrehajtás feladatait.</w:t>
      </w:r>
    </w:p>
    <w:p w:rsidR="000C0043" w:rsidRPr="00B76F5C" w:rsidRDefault="000C0043" w:rsidP="00666335">
      <w:pPr>
        <w:pStyle w:val="Listaszerbekezds"/>
        <w:widowControl w:val="0"/>
        <w:numPr>
          <w:ilvl w:val="0"/>
          <w:numId w:val="38"/>
        </w:numPr>
        <w:spacing w:before="120" w:after="120" w:line="240" w:lineRule="auto"/>
        <w:jc w:val="both"/>
        <w:rPr>
          <w:rFonts w:ascii="Times New Roman" w:eastAsia="Times New Roman" w:hAnsi="Times New Roman" w:cs="Times New Roman"/>
          <w:bCs/>
        </w:rPr>
      </w:pPr>
      <w:r w:rsidRPr="00B76F5C">
        <w:rPr>
          <w:rFonts w:ascii="Times New Roman" w:eastAsia="Times New Roman" w:hAnsi="Times New Roman" w:cs="Times New Roman"/>
          <w:bCs/>
        </w:rPr>
        <w:t>Behatóan ismeri a harctevékenységi fajtákat, továbbá a harccal kapcsolatos tevékenységek feladatait.</w:t>
      </w:r>
    </w:p>
    <w:p w:rsidR="000C0043" w:rsidRPr="00B76F5C" w:rsidRDefault="000C0043" w:rsidP="00666335">
      <w:pPr>
        <w:pStyle w:val="Listaszerbekezds"/>
        <w:widowControl w:val="0"/>
        <w:numPr>
          <w:ilvl w:val="0"/>
          <w:numId w:val="38"/>
        </w:numPr>
        <w:spacing w:before="120" w:after="120" w:line="240" w:lineRule="auto"/>
        <w:jc w:val="both"/>
        <w:rPr>
          <w:rFonts w:ascii="Times New Roman" w:eastAsia="Times New Roman" w:hAnsi="Times New Roman" w:cs="Times New Roman"/>
          <w:bCs/>
        </w:rPr>
      </w:pPr>
      <w:r w:rsidRPr="00B76F5C">
        <w:rPr>
          <w:rFonts w:ascii="Times New Roman" w:eastAsia="Times New Roman" w:hAnsi="Times New Roman" w:cs="Times New Roman"/>
          <w:bCs/>
        </w:rPr>
        <w:t>Ismeri az összfegyvernemi harc támogatásának és kiszolgáló támogatásának alapvető feladatait.</w:t>
      </w:r>
    </w:p>
    <w:p w:rsidR="000C0043" w:rsidRPr="00B76F5C" w:rsidRDefault="000C0043" w:rsidP="00666335">
      <w:pPr>
        <w:pStyle w:val="Listaszerbekezds"/>
        <w:widowControl w:val="0"/>
        <w:numPr>
          <w:ilvl w:val="0"/>
          <w:numId w:val="38"/>
        </w:numPr>
        <w:spacing w:before="120" w:after="120" w:line="240" w:lineRule="auto"/>
        <w:jc w:val="both"/>
        <w:rPr>
          <w:rFonts w:ascii="Times New Roman" w:eastAsia="Times New Roman" w:hAnsi="Times New Roman" w:cs="Times New Roman"/>
          <w:bCs/>
        </w:rPr>
      </w:pPr>
      <w:r w:rsidRPr="00B76F5C">
        <w:rPr>
          <w:rFonts w:ascii="Times New Roman" w:eastAsia="Times New Roman" w:hAnsi="Times New Roman" w:cs="Times New Roman"/>
          <w:bCs/>
        </w:rPr>
        <w:t>Átfogóan rendelkezik a szakasz (század) rendszeresített fegyverzeti, haditechnikai eszközeinek és harcanyagainak ismeretével.</w:t>
      </w:r>
    </w:p>
    <w:p w:rsidR="000C0043" w:rsidRPr="00B76F5C" w:rsidRDefault="000C0043" w:rsidP="00666335">
      <w:pPr>
        <w:pStyle w:val="Listaszerbekezds"/>
        <w:widowControl w:val="0"/>
        <w:numPr>
          <w:ilvl w:val="0"/>
          <w:numId w:val="38"/>
        </w:numPr>
        <w:spacing w:before="120" w:after="120" w:line="240" w:lineRule="auto"/>
        <w:jc w:val="both"/>
        <w:rPr>
          <w:rFonts w:ascii="Times New Roman" w:eastAsia="Times New Roman" w:hAnsi="Times New Roman" w:cs="Times New Roman"/>
          <w:bCs/>
        </w:rPr>
      </w:pPr>
      <w:r w:rsidRPr="00B76F5C">
        <w:rPr>
          <w:rFonts w:ascii="Times New Roman" w:eastAsia="Times New Roman" w:hAnsi="Times New Roman" w:cs="Times New Roman"/>
          <w:bCs/>
        </w:rPr>
        <w:t>Részletekbe menően ismeri szakasz (század) szinten a műszaki-zárási, az erődítési-álcázási, és a robbantási alapismereteket.</w:t>
      </w:r>
    </w:p>
    <w:p w:rsidR="000C0043" w:rsidRPr="00B76F5C" w:rsidRDefault="000C0043" w:rsidP="00666335">
      <w:pPr>
        <w:pStyle w:val="Listaszerbekezds"/>
        <w:widowControl w:val="0"/>
        <w:numPr>
          <w:ilvl w:val="0"/>
          <w:numId w:val="38"/>
        </w:numPr>
        <w:spacing w:before="120" w:after="120" w:line="240" w:lineRule="auto"/>
        <w:jc w:val="both"/>
        <w:rPr>
          <w:rFonts w:ascii="Times New Roman" w:eastAsia="Times New Roman" w:hAnsi="Times New Roman" w:cs="Times New Roman"/>
          <w:bCs/>
        </w:rPr>
      </w:pPr>
      <w:r w:rsidRPr="00B76F5C">
        <w:rPr>
          <w:rFonts w:ascii="Times New Roman" w:eastAsia="Times New Roman" w:hAnsi="Times New Roman" w:cs="Times New Roman"/>
          <w:bCs/>
        </w:rPr>
        <w:t>Rendelkezik korszerű katonai térképészeti, tereptani és katonaföldrajzi ismeretekkel.</w:t>
      </w:r>
    </w:p>
    <w:p w:rsidR="000C0043" w:rsidRPr="00B76F5C" w:rsidRDefault="000C0043" w:rsidP="00666335">
      <w:pPr>
        <w:pStyle w:val="Listaszerbekezds"/>
        <w:widowControl w:val="0"/>
        <w:numPr>
          <w:ilvl w:val="0"/>
          <w:numId w:val="38"/>
        </w:numPr>
        <w:spacing w:before="120" w:after="120" w:line="240" w:lineRule="auto"/>
        <w:jc w:val="both"/>
        <w:rPr>
          <w:rFonts w:ascii="Times New Roman" w:eastAsia="Times New Roman" w:hAnsi="Times New Roman" w:cs="Times New Roman"/>
          <w:bCs/>
        </w:rPr>
      </w:pPr>
      <w:r w:rsidRPr="00B76F5C">
        <w:rPr>
          <w:rFonts w:ascii="Times New Roman" w:eastAsia="Times New Roman" w:hAnsi="Times New Roman" w:cs="Times New Roman"/>
          <w:bCs/>
        </w:rPr>
        <w:t>Meghatározó módon rendelkezik magabiztos angol katonai szaknyelvi kommunikációs készségekkel.</w:t>
      </w:r>
    </w:p>
    <w:p w:rsidR="000C0043" w:rsidRPr="00B76F5C" w:rsidRDefault="000C0043" w:rsidP="00666335">
      <w:pPr>
        <w:pStyle w:val="Listaszerbekezds"/>
        <w:widowControl w:val="0"/>
        <w:numPr>
          <w:ilvl w:val="0"/>
          <w:numId w:val="38"/>
        </w:numPr>
        <w:spacing w:before="120" w:after="120" w:line="240" w:lineRule="auto"/>
        <w:jc w:val="both"/>
        <w:rPr>
          <w:rFonts w:ascii="Times New Roman" w:eastAsia="Times New Roman" w:hAnsi="Times New Roman" w:cs="Times New Roman"/>
          <w:bCs/>
        </w:rPr>
      </w:pPr>
      <w:r w:rsidRPr="00B76F5C">
        <w:rPr>
          <w:rFonts w:ascii="Times New Roman" w:eastAsia="Times New Roman" w:hAnsi="Times New Roman" w:cs="Times New Roman"/>
          <w:bCs/>
        </w:rPr>
        <w:t>Ismeri a Magyar Honvédség haderőnemeinek felépítését és alkalmazásának elveit.</w:t>
      </w:r>
    </w:p>
    <w:p w:rsidR="000C0043" w:rsidRPr="00B76F5C" w:rsidRDefault="000C0043" w:rsidP="00666335">
      <w:pPr>
        <w:pStyle w:val="Listaszerbekezds"/>
        <w:widowControl w:val="0"/>
        <w:numPr>
          <w:ilvl w:val="0"/>
          <w:numId w:val="38"/>
        </w:numPr>
        <w:spacing w:before="120" w:after="120" w:line="240" w:lineRule="auto"/>
        <w:jc w:val="both"/>
        <w:rPr>
          <w:rFonts w:ascii="Times New Roman" w:eastAsia="Times New Roman" w:hAnsi="Times New Roman" w:cs="Times New Roman"/>
          <w:bCs/>
        </w:rPr>
      </w:pPr>
      <w:r w:rsidRPr="00B76F5C">
        <w:rPr>
          <w:rFonts w:ascii="Times New Roman" w:eastAsia="Times New Roman" w:hAnsi="Times New Roman" w:cs="Times New Roman"/>
          <w:bCs/>
        </w:rPr>
        <w:t xml:space="preserve">Ismeri általánosan a szárazföldi haderőnem harcászati szintű összfegyvernemi kötelékek </w:t>
      </w:r>
      <w:r w:rsidRPr="00B76F5C">
        <w:rPr>
          <w:rFonts w:ascii="Times New Roman" w:eastAsia="Times New Roman" w:hAnsi="Times New Roman" w:cs="Times New Roman"/>
          <w:bCs/>
        </w:rPr>
        <w:lastRenderedPageBreak/>
        <w:t>összhaderőnemi műveleti környezetben történő alkalmazási elveit.</w:t>
      </w:r>
    </w:p>
    <w:p w:rsidR="000C0043" w:rsidRPr="00B76F5C" w:rsidRDefault="000C0043" w:rsidP="000C0043">
      <w:pPr>
        <w:widowControl w:val="0"/>
        <w:spacing w:before="120" w:after="120" w:line="240" w:lineRule="auto"/>
        <w:ind w:left="360"/>
        <w:jc w:val="both"/>
        <w:rPr>
          <w:rFonts w:ascii="Times New Roman" w:eastAsia="Times New Roman" w:hAnsi="Times New Roman" w:cs="Times New Roman"/>
          <w:b/>
          <w:bCs/>
        </w:rPr>
      </w:pPr>
      <w:r w:rsidRPr="00B76F5C">
        <w:rPr>
          <w:rFonts w:ascii="Times New Roman" w:eastAsia="Times New Roman" w:hAnsi="Times New Roman" w:cs="Times New Roman"/>
          <w:b/>
          <w:bCs/>
        </w:rPr>
        <w:t>b) képességei</w:t>
      </w:r>
    </w:p>
    <w:p w:rsidR="000C0043" w:rsidRPr="00B76F5C" w:rsidRDefault="000C0043" w:rsidP="00666335">
      <w:pPr>
        <w:pStyle w:val="Listaszerbekezds"/>
        <w:widowControl w:val="0"/>
        <w:numPr>
          <w:ilvl w:val="0"/>
          <w:numId w:val="38"/>
        </w:numPr>
        <w:spacing w:before="120" w:after="120" w:line="240" w:lineRule="auto"/>
        <w:jc w:val="both"/>
        <w:rPr>
          <w:rFonts w:ascii="Times New Roman" w:eastAsia="Times New Roman" w:hAnsi="Times New Roman" w:cs="Times New Roman"/>
          <w:bCs/>
        </w:rPr>
      </w:pPr>
      <w:r w:rsidRPr="00B76F5C">
        <w:rPr>
          <w:rFonts w:ascii="Times New Roman" w:eastAsia="Times New Roman" w:hAnsi="Times New Roman" w:cs="Times New Roman"/>
          <w:bCs/>
        </w:rPr>
        <w:t>Képes a rábízott alegység harc és harccal kapcsolatos tevékenységének megtervezésére, megszervezésére és vezetésére.</w:t>
      </w:r>
    </w:p>
    <w:p w:rsidR="000C0043" w:rsidRPr="00B76F5C" w:rsidRDefault="000C0043" w:rsidP="00666335">
      <w:pPr>
        <w:pStyle w:val="Listaszerbekezds"/>
        <w:widowControl w:val="0"/>
        <w:numPr>
          <w:ilvl w:val="0"/>
          <w:numId w:val="38"/>
        </w:numPr>
        <w:spacing w:before="120" w:after="120" w:line="240" w:lineRule="auto"/>
        <w:jc w:val="both"/>
        <w:rPr>
          <w:rFonts w:ascii="Times New Roman" w:eastAsia="Times New Roman" w:hAnsi="Times New Roman" w:cs="Times New Roman"/>
          <w:bCs/>
        </w:rPr>
      </w:pPr>
      <w:r w:rsidRPr="00B76F5C">
        <w:rPr>
          <w:rFonts w:ascii="Times New Roman" w:eastAsia="Times New Roman" w:hAnsi="Times New Roman" w:cs="Times New Roman"/>
          <w:bCs/>
        </w:rPr>
        <w:t>Képes a szakasz kiképzéséhez szükséges szakmódszertani ismeretek alkalmazására.</w:t>
      </w:r>
    </w:p>
    <w:p w:rsidR="000C0043" w:rsidRPr="00B76F5C" w:rsidRDefault="000C0043" w:rsidP="00666335">
      <w:pPr>
        <w:pStyle w:val="Listaszerbekezds"/>
        <w:widowControl w:val="0"/>
        <w:numPr>
          <w:ilvl w:val="0"/>
          <w:numId w:val="38"/>
        </w:numPr>
        <w:spacing w:before="120" w:after="120" w:line="240" w:lineRule="auto"/>
        <w:jc w:val="both"/>
        <w:rPr>
          <w:rFonts w:ascii="Times New Roman" w:eastAsia="Times New Roman" w:hAnsi="Times New Roman" w:cs="Times New Roman"/>
          <w:bCs/>
        </w:rPr>
      </w:pPr>
      <w:r w:rsidRPr="00B76F5C">
        <w:rPr>
          <w:rFonts w:ascii="Times New Roman" w:eastAsia="Times New Roman" w:hAnsi="Times New Roman" w:cs="Times New Roman"/>
          <w:bCs/>
        </w:rPr>
        <w:t>Képes más fegyvernemekkel és szakalegységekkel való együttműködésre.</w:t>
      </w:r>
    </w:p>
    <w:p w:rsidR="000C0043" w:rsidRPr="00B76F5C" w:rsidRDefault="000C0043" w:rsidP="000C0043">
      <w:pPr>
        <w:widowControl w:val="0"/>
        <w:spacing w:before="120" w:after="120" w:line="240" w:lineRule="auto"/>
        <w:ind w:left="360"/>
        <w:jc w:val="both"/>
        <w:rPr>
          <w:rFonts w:ascii="Times New Roman" w:eastAsia="Times New Roman" w:hAnsi="Times New Roman" w:cs="Times New Roman"/>
          <w:b/>
          <w:bCs/>
        </w:rPr>
      </w:pPr>
      <w:r w:rsidRPr="00B76F5C">
        <w:rPr>
          <w:rFonts w:ascii="Times New Roman" w:eastAsia="Times New Roman" w:hAnsi="Times New Roman" w:cs="Times New Roman"/>
          <w:b/>
          <w:bCs/>
        </w:rPr>
        <w:t>c) attitűdje</w:t>
      </w:r>
    </w:p>
    <w:p w:rsidR="000C0043" w:rsidRPr="00B76F5C" w:rsidRDefault="000C0043" w:rsidP="00666335">
      <w:pPr>
        <w:pStyle w:val="Listaszerbekezds"/>
        <w:widowControl w:val="0"/>
        <w:numPr>
          <w:ilvl w:val="0"/>
          <w:numId w:val="38"/>
        </w:numPr>
        <w:spacing w:before="120" w:after="120" w:line="240" w:lineRule="auto"/>
        <w:jc w:val="both"/>
        <w:rPr>
          <w:rFonts w:ascii="Times New Roman" w:eastAsia="Times New Roman" w:hAnsi="Times New Roman" w:cs="Times New Roman"/>
          <w:bCs/>
        </w:rPr>
      </w:pPr>
      <w:r w:rsidRPr="00B76F5C">
        <w:rPr>
          <w:rFonts w:ascii="Times New Roman" w:eastAsia="Times New Roman" w:hAnsi="Times New Roman" w:cs="Times New Roman"/>
          <w:bCs/>
        </w:rPr>
        <w:t>Vállalja és hitelesen képviseli szakterületét, a képesítése szerinti tevékenységeket és azok eredményeit.</w:t>
      </w:r>
    </w:p>
    <w:p w:rsidR="000C0043" w:rsidRPr="00B76F5C" w:rsidRDefault="000C0043" w:rsidP="00666335">
      <w:pPr>
        <w:pStyle w:val="Listaszerbekezds"/>
        <w:widowControl w:val="0"/>
        <w:numPr>
          <w:ilvl w:val="0"/>
          <w:numId w:val="38"/>
        </w:numPr>
        <w:spacing w:before="120" w:after="120" w:line="240" w:lineRule="auto"/>
        <w:jc w:val="both"/>
        <w:rPr>
          <w:rFonts w:ascii="Times New Roman" w:eastAsia="Times New Roman" w:hAnsi="Times New Roman" w:cs="Times New Roman"/>
          <w:bCs/>
        </w:rPr>
      </w:pPr>
      <w:r w:rsidRPr="00B76F5C">
        <w:rPr>
          <w:rFonts w:ascii="Times New Roman" w:eastAsia="Times New Roman" w:hAnsi="Times New Roman" w:cs="Times New Roman"/>
          <w:bCs/>
        </w:rPr>
        <w:t>Elkötelezett fegyvernemi munkája eredményessége, hatékonysága iránt.</w:t>
      </w:r>
    </w:p>
    <w:p w:rsidR="000C0043" w:rsidRPr="00B76F5C" w:rsidRDefault="000C0043" w:rsidP="00666335">
      <w:pPr>
        <w:pStyle w:val="Listaszerbekezds"/>
        <w:widowControl w:val="0"/>
        <w:numPr>
          <w:ilvl w:val="0"/>
          <w:numId w:val="38"/>
        </w:numPr>
        <w:spacing w:before="120" w:after="120" w:line="240" w:lineRule="auto"/>
        <w:jc w:val="both"/>
        <w:rPr>
          <w:rFonts w:ascii="Times New Roman" w:eastAsia="Times New Roman" w:hAnsi="Times New Roman" w:cs="Times New Roman"/>
          <w:bCs/>
        </w:rPr>
      </w:pPr>
      <w:r w:rsidRPr="00B76F5C">
        <w:rPr>
          <w:rFonts w:ascii="Times New Roman" w:eastAsia="Times New Roman" w:hAnsi="Times New Roman" w:cs="Times New Roman"/>
          <w:bCs/>
        </w:rPr>
        <w:t>Elkötelezett szakterülete etikai és jogi szabályainak betartására.</w:t>
      </w:r>
    </w:p>
    <w:p w:rsidR="000C0043" w:rsidRPr="00B76F5C" w:rsidRDefault="000C0043" w:rsidP="00666335">
      <w:pPr>
        <w:pStyle w:val="Listaszerbekezds"/>
        <w:widowControl w:val="0"/>
        <w:numPr>
          <w:ilvl w:val="0"/>
          <w:numId w:val="38"/>
        </w:numPr>
        <w:spacing w:before="120" w:after="120" w:line="240" w:lineRule="auto"/>
        <w:jc w:val="both"/>
        <w:rPr>
          <w:rFonts w:ascii="Times New Roman" w:eastAsia="Times New Roman" w:hAnsi="Times New Roman" w:cs="Times New Roman"/>
          <w:bCs/>
        </w:rPr>
      </w:pPr>
      <w:r w:rsidRPr="00B76F5C">
        <w:rPr>
          <w:rFonts w:ascii="Times New Roman" w:eastAsia="Times New Roman" w:hAnsi="Times New Roman" w:cs="Times New Roman"/>
          <w:bCs/>
        </w:rPr>
        <w:t>Nyitott a képesítésével, szakterületével kapcsolatos szakmai, technológiai, fejlesztési eredmények megismerésére, befogadására, és törekszik saját tudásának megosztására.</w:t>
      </w:r>
    </w:p>
    <w:p w:rsidR="000C0043" w:rsidRPr="00B76F5C" w:rsidRDefault="000C0043" w:rsidP="00666335">
      <w:pPr>
        <w:pStyle w:val="Listaszerbekezds"/>
        <w:widowControl w:val="0"/>
        <w:numPr>
          <w:ilvl w:val="0"/>
          <w:numId w:val="38"/>
        </w:numPr>
        <w:spacing w:before="120" w:after="120" w:line="240" w:lineRule="auto"/>
        <w:jc w:val="both"/>
        <w:rPr>
          <w:rFonts w:ascii="Times New Roman" w:eastAsia="Times New Roman" w:hAnsi="Times New Roman" w:cs="Times New Roman"/>
          <w:bCs/>
        </w:rPr>
      </w:pPr>
      <w:r w:rsidRPr="00B76F5C">
        <w:rPr>
          <w:rFonts w:ascii="Times New Roman" w:eastAsia="Times New Roman" w:hAnsi="Times New Roman" w:cs="Times New Roman"/>
          <w:bCs/>
        </w:rPr>
        <w:t>Érdeklődő a szakterülettel összefüggő új módszerek és eszközök iránt.</w:t>
      </w:r>
    </w:p>
    <w:p w:rsidR="000C0043" w:rsidRPr="00B76F5C" w:rsidRDefault="000C0043" w:rsidP="00666335">
      <w:pPr>
        <w:pStyle w:val="Listaszerbekezds"/>
        <w:widowControl w:val="0"/>
        <w:numPr>
          <w:ilvl w:val="0"/>
          <w:numId w:val="38"/>
        </w:numPr>
        <w:spacing w:before="120" w:after="120" w:line="240" w:lineRule="auto"/>
        <w:jc w:val="both"/>
        <w:rPr>
          <w:rFonts w:ascii="Times New Roman" w:eastAsia="Times New Roman" w:hAnsi="Times New Roman" w:cs="Times New Roman"/>
          <w:bCs/>
        </w:rPr>
      </w:pPr>
      <w:r w:rsidRPr="00B76F5C">
        <w:rPr>
          <w:rFonts w:ascii="Times New Roman" w:eastAsia="Times New Roman" w:hAnsi="Times New Roman" w:cs="Times New Roman"/>
          <w:bCs/>
        </w:rPr>
        <w:t>Megérti az élethosszig tartó tanulás jelentőségét, törekszik ennek megvalósítására, a folyamatos szakmai képzésre és általános önképzésre.</w:t>
      </w:r>
    </w:p>
    <w:p w:rsidR="000C0043" w:rsidRPr="00B76F5C" w:rsidRDefault="000C0043" w:rsidP="000C0043">
      <w:pPr>
        <w:widowControl w:val="0"/>
        <w:spacing w:before="120" w:after="120" w:line="240" w:lineRule="auto"/>
        <w:ind w:left="360"/>
        <w:jc w:val="both"/>
        <w:rPr>
          <w:rFonts w:ascii="Times New Roman" w:eastAsia="Times New Roman" w:hAnsi="Times New Roman" w:cs="Times New Roman"/>
          <w:b/>
          <w:bCs/>
        </w:rPr>
      </w:pPr>
      <w:r w:rsidRPr="00B76F5C">
        <w:rPr>
          <w:rFonts w:ascii="Times New Roman" w:eastAsia="Times New Roman" w:hAnsi="Times New Roman" w:cs="Times New Roman"/>
          <w:b/>
          <w:bCs/>
        </w:rPr>
        <w:t>d) autonómiája és felelőssége</w:t>
      </w:r>
    </w:p>
    <w:p w:rsidR="000C0043" w:rsidRPr="00B76F5C" w:rsidRDefault="000C0043" w:rsidP="00666335">
      <w:pPr>
        <w:pStyle w:val="Listaszerbekezds"/>
        <w:widowControl w:val="0"/>
        <w:numPr>
          <w:ilvl w:val="0"/>
          <w:numId w:val="38"/>
        </w:numPr>
        <w:spacing w:before="120" w:after="120" w:line="240" w:lineRule="auto"/>
        <w:jc w:val="both"/>
        <w:rPr>
          <w:rFonts w:ascii="Times New Roman" w:eastAsia="Times New Roman" w:hAnsi="Times New Roman" w:cs="Times New Roman"/>
          <w:bCs/>
        </w:rPr>
      </w:pPr>
      <w:r w:rsidRPr="00B76F5C">
        <w:rPr>
          <w:rFonts w:ascii="Times New Roman" w:eastAsia="Times New Roman" w:hAnsi="Times New Roman" w:cs="Times New Roman"/>
          <w:bCs/>
        </w:rPr>
        <w:t>Beosztásából adódó önállósággal végzi az általános és speciális szakmai kérdések végiggondolását és adott tényezők és körülmények alapján történő kidolgozását, amely során széles látókörére, általános és szakmai műveltségére, valamint problémafelismerő és -megoldó készségére támaszkodik.</w:t>
      </w:r>
    </w:p>
    <w:p w:rsidR="000C0043" w:rsidRPr="00B76F5C" w:rsidRDefault="000C0043" w:rsidP="00666335">
      <w:pPr>
        <w:pStyle w:val="Listaszerbekezds"/>
        <w:widowControl w:val="0"/>
        <w:numPr>
          <w:ilvl w:val="0"/>
          <w:numId w:val="38"/>
        </w:numPr>
        <w:spacing w:before="120" w:after="120" w:line="240" w:lineRule="auto"/>
        <w:jc w:val="both"/>
        <w:rPr>
          <w:rFonts w:ascii="Times New Roman" w:eastAsia="Times New Roman" w:hAnsi="Times New Roman" w:cs="Times New Roman"/>
          <w:bCs/>
        </w:rPr>
      </w:pPr>
      <w:r w:rsidRPr="00B76F5C">
        <w:rPr>
          <w:rFonts w:ascii="Times New Roman" w:eastAsia="Times New Roman" w:hAnsi="Times New Roman" w:cs="Times New Roman"/>
          <w:bCs/>
        </w:rPr>
        <w:t>Beosztásában, felelősségi és jogköréből adódóan önállóan tervezi és végzi szakmai tevékenységét.</w:t>
      </w:r>
    </w:p>
    <w:p w:rsidR="000C0043" w:rsidRPr="00B76F5C" w:rsidRDefault="000C0043" w:rsidP="00666335">
      <w:pPr>
        <w:pStyle w:val="Listaszerbekezds"/>
        <w:widowControl w:val="0"/>
        <w:numPr>
          <w:ilvl w:val="0"/>
          <w:numId w:val="38"/>
        </w:numPr>
        <w:spacing w:before="120" w:after="120" w:line="240" w:lineRule="auto"/>
        <w:jc w:val="both"/>
        <w:rPr>
          <w:rFonts w:ascii="Times New Roman" w:eastAsia="Times New Roman" w:hAnsi="Times New Roman" w:cs="Times New Roman"/>
          <w:bCs/>
        </w:rPr>
      </w:pPr>
      <w:r w:rsidRPr="00B76F5C">
        <w:rPr>
          <w:rFonts w:ascii="Times New Roman" w:eastAsia="Times New Roman" w:hAnsi="Times New Roman" w:cs="Times New Roman"/>
          <w:bCs/>
        </w:rPr>
        <w:t>Beosztásából adódóan és azzal összefüggésben bekapcsolódik a tevékenységi körébe tartozó kutatásokba és fejlesztésekbe és a projektcsoportban a cél, illetve a célok elérése érdekében autonóm módon, a csoport többi tagjával együttműködve mozgósítja elméleti és gyakorlati tudását, képességeit.</w:t>
      </w:r>
    </w:p>
    <w:p w:rsidR="000C0043" w:rsidRPr="00B76F5C" w:rsidRDefault="000C0043" w:rsidP="000C0043">
      <w:pPr>
        <w:widowControl w:val="0"/>
        <w:spacing w:before="120" w:after="120" w:line="240" w:lineRule="auto"/>
        <w:ind w:left="360"/>
        <w:jc w:val="both"/>
        <w:rPr>
          <w:rFonts w:ascii="Times New Roman" w:eastAsia="Times New Roman" w:hAnsi="Times New Roman" w:cs="Times New Roman"/>
          <w:b/>
          <w:bCs/>
          <w:lang w:val="en-US"/>
        </w:rPr>
      </w:pPr>
      <w:r w:rsidRPr="00B76F5C">
        <w:rPr>
          <w:rFonts w:ascii="Times New Roman" w:eastAsia="Times New Roman" w:hAnsi="Times New Roman" w:cs="Times New Roman"/>
          <w:b/>
          <w:bCs/>
        </w:rPr>
        <w:t>Elérendő kompetenciák (angolul) (</w:t>
      </w:r>
      <w:r w:rsidRPr="00B76F5C">
        <w:rPr>
          <w:rFonts w:ascii="Times New Roman" w:eastAsia="Times New Roman" w:hAnsi="Times New Roman" w:cs="Times New Roman"/>
          <w:b/>
          <w:bCs/>
          <w:lang w:val="en-US"/>
        </w:rPr>
        <w:t xml:space="preserve">Competences – English): </w:t>
      </w:r>
    </w:p>
    <w:p w:rsidR="000C0043" w:rsidRPr="00B76F5C" w:rsidRDefault="000C0043" w:rsidP="000C0043">
      <w:pPr>
        <w:widowControl w:val="0"/>
        <w:spacing w:before="120" w:after="120" w:line="240" w:lineRule="auto"/>
        <w:ind w:left="360"/>
        <w:jc w:val="both"/>
        <w:rPr>
          <w:rFonts w:ascii="Times New Roman" w:eastAsia="Times New Roman" w:hAnsi="Times New Roman" w:cs="Times New Roman"/>
          <w:lang w:val="en-GB"/>
        </w:rPr>
      </w:pPr>
      <w:r w:rsidRPr="00B76F5C">
        <w:rPr>
          <w:rFonts w:ascii="Times New Roman" w:eastAsia="Times New Roman" w:hAnsi="Times New Roman" w:cs="Times New Roman"/>
          <w:b/>
          <w:lang w:val="en-GB"/>
        </w:rPr>
        <w:t>Knowledge</w:t>
      </w:r>
      <w:r w:rsidRPr="00B76F5C">
        <w:rPr>
          <w:rFonts w:ascii="Times New Roman" w:eastAsia="Times New Roman" w:hAnsi="Times New Roman" w:cs="Times New Roman"/>
          <w:lang w:val="en-GB"/>
        </w:rPr>
        <w:t xml:space="preserve">: </w:t>
      </w:r>
    </w:p>
    <w:p w:rsidR="000C0043" w:rsidRPr="00B76F5C" w:rsidRDefault="000C0043" w:rsidP="00666335">
      <w:pPr>
        <w:pStyle w:val="Listaszerbekezds"/>
        <w:widowControl w:val="0"/>
        <w:numPr>
          <w:ilvl w:val="0"/>
          <w:numId w:val="38"/>
        </w:numPr>
        <w:spacing w:before="120" w:after="120" w:line="240" w:lineRule="auto"/>
        <w:jc w:val="both"/>
        <w:rPr>
          <w:rFonts w:ascii="Times New Roman" w:eastAsia="Times New Roman" w:hAnsi="Times New Roman" w:cs="Times New Roman"/>
          <w:bCs/>
        </w:rPr>
      </w:pPr>
      <w:r w:rsidRPr="00B76F5C">
        <w:rPr>
          <w:rFonts w:ascii="Times New Roman" w:eastAsia="Times New Roman" w:hAnsi="Times New Roman" w:cs="Times New Roman"/>
          <w:bCs/>
        </w:rPr>
        <w:t>Comprehensive knowledge of tasks in international environment, (European Union, North Atlantic Treaty Organization ("NATO"), United Nations ("UN"), war and peacekeeping situations, in various religious, ethnic and cultural fields .</w:t>
      </w:r>
    </w:p>
    <w:p w:rsidR="000C0043" w:rsidRPr="00B76F5C" w:rsidRDefault="000C0043" w:rsidP="00666335">
      <w:pPr>
        <w:pStyle w:val="Listaszerbekezds"/>
        <w:widowControl w:val="0"/>
        <w:numPr>
          <w:ilvl w:val="0"/>
          <w:numId w:val="38"/>
        </w:numPr>
        <w:spacing w:before="120" w:after="120" w:line="240" w:lineRule="auto"/>
        <w:jc w:val="both"/>
        <w:rPr>
          <w:rFonts w:ascii="Times New Roman" w:eastAsia="Times New Roman" w:hAnsi="Times New Roman" w:cs="Times New Roman"/>
          <w:bCs/>
        </w:rPr>
      </w:pPr>
      <w:r w:rsidRPr="00B76F5C">
        <w:rPr>
          <w:rFonts w:ascii="Times New Roman" w:eastAsia="Times New Roman" w:hAnsi="Times New Roman" w:cs="Times New Roman"/>
          <w:bCs/>
        </w:rPr>
        <w:t>Is thoroughly familiar with the types of combat activities and the tasks of combat related activities.</w:t>
      </w:r>
    </w:p>
    <w:p w:rsidR="000C0043" w:rsidRPr="00B76F5C" w:rsidRDefault="000C0043" w:rsidP="00666335">
      <w:pPr>
        <w:pStyle w:val="Listaszerbekezds"/>
        <w:widowControl w:val="0"/>
        <w:numPr>
          <w:ilvl w:val="0"/>
          <w:numId w:val="38"/>
        </w:numPr>
        <w:spacing w:before="120" w:after="120" w:line="240" w:lineRule="auto"/>
        <w:jc w:val="both"/>
        <w:rPr>
          <w:rFonts w:ascii="Times New Roman" w:eastAsia="Times New Roman" w:hAnsi="Times New Roman" w:cs="Times New Roman"/>
          <w:bCs/>
        </w:rPr>
      </w:pPr>
      <w:r w:rsidRPr="00B76F5C">
        <w:rPr>
          <w:rFonts w:ascii="Times New Roman" w:eastAsia="Times New Roman" w:hAnsi="Times New Roman" w:cs="Times New Roman"/>
          <w:bCs/>
        </w:rPr>
        <w:t>Knows the basic tasks of combat support and combat support services.</w:t>
      </w:r>
    </w:p>
    <w:p w:rsidR="000C0043" w:rsidRPr="00B76F5C" w:rsidRDefault="000C0043" w:rsidP="00666335">
      <w:pPr>
        <w:pStyle w:val="Listaszerbekezds"/>
        <w:widowControl w:val="0"/>
        <w:numPr>
          <w:ilvl w:val="0"/>
          <w:numId w:val="38"/>
        </w:numPr>
        <w:spacing w:before="120" w:after="120" w:line="240" w:lineRule="auto"/>
        <w:jc w:val="both"/>
        <w:rPr>
          <w:rFonts w:ascii="Times New Roman" w:eastAsia="Times New Roman" w:hAnsi="Times New Roman" w:cs="Times New Roman"/>
          <w:bCs/>
        </w:rPr>
      </w:pPr>
      <w:r w:rsidRPr="00B76F5C">
        <w:rPr>
          <w:rFonts w:ascii="Times New Roman" w:eastAsia="Times New Roman" w:hAnsi="Times New Roman" w:cs="Times New Roman"/>
          <w:bCs/>
        </w:rPr>
        <w:t>Comprehensive knowledge of the armaments, military equipment and war material of the platoon (company).</w:t>
      </w:r>
    </w:p>
    <w:p w:rsidR="000C0043" w:rsidRPr="00B76F5C" w:rsidRDefault="000C0043" w:rsidP="000C0043">
      <w:pPr>
        <w:widowControl w:val="0"/>
        <w:spacing w:before="120" w:after="120" w:line="240" w:lineRule="auto"/>
        <w:ind w:left="360"/>
        <w:jc w:val="both"/>
        <w:rPr>
          <w:rFonts w:ascii="Times New Roman" w:eastAsia="Times New Roman" w:hAnsi="Times New Roman" w:cs="Times New Roman"/>
          <w:lang w:val="en-GB"/>
        </w:rPr>
      </w:pPr>
      <w:r w:rsidRPr="00B76F5C">
        <w:rPr>
          <w:rFonts w:ascii="Times New Roman" w:eastAsia="Times New Roman" w:hAnsi="Times New Roman" w:cs="Times New Roman"/>
          <w:b/>
          <w:lang w:val="en-GB"/>
        </w:rPr>
        <w:t>Capabilities</w:t>
      </w:r>
      <w:r w:rsidRPr="00B76F5C">
        <w:rPr>
          <w:rFonts w:ascii="Times New Roman" w:eastAsia="Times New Roman" w:hAnsi="Times New Roman" w:cs="Times New Roman"/>
          <w:lang w:val="en-GB"/>
        </w:rPr>
        <w:t>:</w:t>
      </w:r>
    </w:p>
    <w:p w:rsidR="000C0043" w:rsidRPr="00B76F5C" w:rsidRDefault="000C0043" w:rsidP="00666335">
      <w:pPr>
        <w:pStyle w:val="Listaszerbekezds"/>
        <w:widowControl w:val="0"/>
        <w:numPr>
          <w:ilvl w:val="0"/>
          <w:numId w:val="38"/>
        </w:numPr>
        <w:spacing w:before="120" w:after="120" w:line="240" w:lineRule="auto"/>
        <w:jc w:val="both"/>
        <w:rPr>
          <w:rFonts w:ascii="Times New Roman" w:eastAsia="Times New Roman" w:hAnsi="Times New Roman" w:cs="Times New Roman"/>
          <w:bCs/>
        </w:rPr>
      </w:pPr>
      <w:r w:rsidRPr="00B76F5C">
        <w:rPr>
          <w:rFonts w:ascii="Times New Roman" w:eastAsia="Times New Roman" w:hAnsi="Times New Roman" w:cs="Times New Roman"/>
          <w:bCs/>
        </w:rPr>
        <w:t>Ability to plan, organize and conduct combat and combat-related activities of the subordinate.</w:t>
      </w:r>
    </w:p>
    <w:p w:rsidR="000C0043" w:rsidRPr="00B76F5C" w:rsidRDefault="000C0043" w:rsidP="00666335">
      <w:pPr>
        <w:pStyle w:val="Listaszerbekezds"/>
        <w:widowControl w:val="0"/>
        <w:numPr>
          <w:ilvl w:val="0"/>
          <w:numId w:val="38"/>
        </w:numPr>
        <w:spacing w:before="120" w:after="120" w:line="240" w:lineRule="auto"/>
        <w:jc w:val="both"/>
        <w:rPr>
          <w:rFonts w:ascii="Times New Roman" w:eastAsia="Times New Roman" w:hAnsi="Times New Roman" w:cs="Times New Roman"/>
          <w:lang w:val="en-GB"/>
        </w:rPr>
      </w:pPr>
      <w:r w:rsidRPr="00B76F5C">
        <w:rPr>
          <w:rFonts w:ascii="Times New Roman" w:eastAsia="Times New Roman" w:hAnsi="Times New Roman" w:cs="Times New Roman"/>
          <w:lang w:val="en-GB"/>
        </w:rPr>
        <w:t>Is able to apply the necessary technical knowledge for the training of the platoon.</w:t>
      </w:r>
    </w:p>
    <w:p w:rsidR="000C0043" w:rsidRPr="00B76F5C" w:rsidRDefault="000C0043" w:rsidP="00666335">
      <w:pPr>
        <w:pStyle w:val="Listaszerbekezds"/>
        <w:widowControl w:val="0"/>
        <w:numPr>
          <w:ilvl w:val="0"/>
          <w:numId w:val="38"/>
        </w:numPr>
        <w:spacing w:before="120" w:after="120" w:line="240" w:lineRule="auto"/>
        <w:jc w:val="both"/>
        <w:rPr>
          <w:rFonts w:ascii="Times New Roman" w:eastAsia="Times New Roman" w:hAnsi="Times New Roman" w:cs="Times New Roman"/>
          <w:lang w:val="en-GB"/>
        </w:rPr>
      </w:pPr>
      <w:r w:rsidRPr="00B76F5C">
        <w:rPr>
          <w:rFonts w:ascii="Times New Roman" w:eastAsia="Times New Roman" w:hAnsi="Times New Roman" w:cs="Times New Roman"/>
          <w:lang w:val="en-GB"/>
        </w:rPr>
        <w:t>Cooperation in work with other branch.</w:t>
      </w:r>
    </w:p>
    <w:p w:rsidR="000C0043" w:rsidRPr="00B76F5C" w:rsidRDefault="000C0043" w:rsidP="000C0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eastAsia="Times New Roman" w:hAnsi="Times New Roman" w:cs="Times New Roman"/>
          <w:lang w:val="en-GB"/>
        </w:rPr>
      </w:pPr>
      <w:r w:rsidRPr="00B76F5C">
        <w:rPr>
          <w:rFonts w:ascii="Times New Roman" w:eastAsia="Times New Roman" w:hAnsi="Times New Roman" w:cs="Times New Roman"/>
          <w:b/>
          <w:lang w:val="en-GB"/>
        </w:rPr>
        <w:t>Attitude:</w:t>
      </w:r>
    </w:p>
    <w:p w:rsidR="000C0043" w:rsidRPr="00B76F5C" w:rsidRDefault="000C0043" w:rsidP="00666335">
      <w:pPr>
        <w:pStyle w:val="Listaszerbekezds"/>
        <w:widowControl w:val="0"/>
        <w:numPr>
          <w:ilvl w:val="0"/>
          <w:numId w:val="38"/>
        </w:numPr>
        <w:spacing w:before="120" w:after="120" w:line="240" w:lineRule="auto"/>
        <w:jc w:val="both"/>
        <w:rPr>
          <w:rFonts w:ascii="Times New Roman" w:eastAsia="Times New Roman" w:hAnsi="Times New Roman" w:cs="Times New Roman"/>
          <w:lang w:val="en-GB"/>
        </w:rPr>
      </w:pPr>
      <w:r w:rsidRPr="00B76F5C">
        <w:rPr>
          <w:rFonts w:ascii="Times New Roman" w:eastAsia="Times New Roman" w:hAnsi="Times New Roman" w:cs="Times New Roman"/>
          <w:lang w:val="en-GB"/>
        </w:rPr>
        <w:t>Undertakes and credibly represents its area of expertise, the activities it has qualified for, and its results.</w:t>
      </w:r>
    </w:p>
    <w:p w:rsidR="000C0043" w:rsidRPr="00B76F5C" w:rsidRDefault="000C0043" w:rsidP="00666335">
      <w:pPr>
        <w:pStyle w:val="Listaszerbekezds"/>
        <w:widowControl w:val="0"/>
        <w:numPr>
          <w:ilvl w:val="0"/>
          <w:numId w:val="38"/>
        </w:numPr>
        <w:spacing w:before="120" w:after="120" w:line="240" w:lineRule="auto"/>
        <w:jc w:val="both"/>
        <w:rPr>
          <w:rFonts w:ascii="Times New Roman" w:eastAsia="Times New Roman" w:hAnsi="Times New Roman" w:cs="Times New Roman"/>
          <w:lang w:val="en-GB"/>
        </w:rPr>
      </w:pPr>
      <w:r w:rsidRPr="00B76F5C">
        <w:rPr>
          <w:rFonts w:ascii="Times New Roman" w:eastAsia="Times New Roman" w:hAnsi="Times New Roman" w:cs="Times New Roman"/>
          <w:lang w:val="en-GB"/>
        </w:rPr>
        <w:t>He is committed to the efficiency and effectiveness of his military work.</w:t>
      </w:r>
    </w:p>
    <w:p w:rsidR="000C0043" w:rsidRPr="00B76F5C" w:rsidRDefault="000C0043" w:rsidP="00666335">
      <w:pPr>
        <w:pStyle w:val="Listaszerbekezds"/>
        <w:widowControl w:val="0"/>
        <w:numPr>
          <w:ilvl w:val="0"/>
          <w:numId w:val="38"/>
        </w:numPr>
        <w:spacing w:before="120" w:after="120" w:line="240" w:lineRule="auto"/>
        <w:jc w:val="both"/>
        <w:rPr>
          <w:rFonts w:ascii="Times New Roman" w:eastAsia="Times New Roman" w:hAnsi="Times New Roman" w:cs="Times New Roman"/>
          <w:lang w:val="en-GB"/>
        </w:rPr>
      </w:pPr>
      <w:r w:rsidRPr="00B76F5C">
        <w:rPr>
          <w:rFonts w:ascii="Times New Roman" w:eastAsia="Times New Roman" w:hAnsi="Times New Roman" w:cs="Times New Roman"/>
          <w:lang w:val="en-GB"/>
        </w:rPr>
        <w:t>Committed to complying with ethical and legal standards in his/her own area of expertise.</w:t>
      </w:r>
    </w:p>
    <w:p w:rsidR="000C0043" w:rsidRPr="00B76F5C" w:rsidRDefault="000C0043" w:rsidP="00666335">
      <w:pPr>
        <w:pStyle w:val="Listaszerbekezds"/>
        <w:widowControl w:val="0"/>
        <w:numPr>
          <w:ilvl w:val="0"/>
          <w:numId w:val="38"/>
        </w:numPr>
        <w:spacing w:before="120" w:after="120" w:line="240" w:lineRule="auto"/>
        <w:jc w:val="both"/>
        <w:rPr>
          <w:rFonts w:ascii="Times New Roman" w:eastAsia="Times New Roman" w:hAnsi="Times New Roman" w:cs="Times New Roman"/>
          <w:lang w:val="en-GB"/>
        </w:rPr>
      </w:pPr>
      <w:r w:rsidRPr="00B76F5C">
        <w:rPr>
          <w:rFonts w:ascii="Times New Roman" w:eastAsia="Times New Roman" w:hAnsi="Times New Roman" w:cs="Times New Roman"/>
          <w:lang w:val="en-GB"/>
        </w:rPr>
        <w:t>He/she is open to get to know and accept the professional, technological and development results related to his / her qualification and specialty, and seeks to share his / her knowledge.</w:t>
      </w:r>
    </w:p>
    <w:p w:rsidR="000C0043" w:rsidRPr="00B76F5C" w:rsidRDefault="000C0043" w:rsidP="00666335">
      <w:pPr>
        <w:pStyle w:val="Listaszerbekezds"/>
        <w:widowControl w:val="0"/>
        <w:numPr>
          <w:ilvl w:val="0"/>
          <w:numId w:val="38"/>
        </w:numPr>
        <w:spacing w:before="120" w:after="120" w:line="240" w:lineRule="auto"/>
        <w:jc w:val="both"/>
        <w:rPr>
          <w:rFonts w:ascii="Times New Roman" w:eastAsia="Times New Roman" w:hAnsi="Times New Roman" w:cs="Times New Roman"/>
          <w:lang w:val="en-GB"/>
        </w:rPr>
      </w:pPr>
      <w:r w:rsidRPr="00B76F5C">
        <w:rPr>
          <w:rFonts w:ascii="Times New Roman" w:eastAsia="Times New Roman" w:hAnsi="Times New Roman" w:cs="Times New Roman"/>
          <w:lang w:val="en-GB"/>
        </w:rPr>
        <w:t>Interested in new methods and tools related to the field.</w:t>
      </w:r>
    </w:p>
    <w:p w:rsidR="000C0043" w:rsidRPr="00B76F5C" w:rsidRDefault="000C0043" w:rsidP="00666335">
      <w:pPr>
        <w:pStyle w:val="Listaszerbekezds"/>
        <w:widowControl w:val="0"/>
        <w:numPr>
          <w:ilvl w:val="0"/>
          <w:numId w:val="38"/>
        </w:numPr>
        <w:spacing w:before="120" w:after="120" w:line="240" w:lineRule="auto"/>
        <w:jc w:val="both"/>
        <w:rPr>
          <w:rFonts w:ascii="Times New Roman" w:eastAsia="Times New Roman" w:hAnsi="Times New Roman" w:cs="Times New Roman"/>
          <w:lang w:val="en-GB"/>
        </w:rPr>
      </w:pPr>
      <w:r w:rsidRPr="00B76F5C">
        <w:rPr>
          <w:rFonts w:ascii="Times New Roman" w:eastAsia="Times New Roman" w:hAnsi="Times New Roman" w:cs="Times New Roman"/>
          <w:lang w:val="en-GB"/>
        </w:rPr>
        <w:lastRenderedPageBreak/>
        <w:t>Accept the importance of lifelong learning, pursues it, continuous vocational training and general self-education.</w:t>
      </w:r>
    </w:p>
    <w:p w:rsidR="000C0043" w:rsidRPr="00B76F5C" w:rsidRDefault="000C0043" w:rsidP="000C0043">
      <w:pPr>
        <w:widowControl w:val="0"/>
        <w:spacing w:before="120" w:after="120" w:line="240" w:lineRule="auto"/>
        <w:ind w:left="360"/>
        <w:jc w:val="both"/>
        <w:rPr>
          <w:rFonts w:ascii="Times New Roman" w:eastAsia="Times New Roman" w:hAnsi="Times New Roman" w:cs="Times New Roman"/>
          <w:b/>
          <w:lang w:val="en-GB"/>
        </w:rPr>
      </w:pPr>
      <w:r w:rsidRPr="00B76F5C">
        <w:rPr>
          <w:rFonts w:ascii="Times New Roman" w:eastAsia="Times New Roman" w:hAnsi="Times New Roman" w:cs="Times New Roman"/>
          <w:b/>
          <w:lang w:val="en-GB"/>
        </w:rPr>
        <w:t>Autonomy and responsibility:</w:t>
      </w:r>
    </w:p>
    <w:p w:rsidR="000C0043" w:rsidRPr="00B76F5C" w:rsidRDefault="000C0043" w:rsidP="00666335">
      <w:pPr>
        <w:pStyle w:val="Listaszerbekezds"/>
        <w:widowControl w:val="0"/>
        <w:numPr>
          <w:ilvl w:val="0"/>
          <w:numId w:val="38"/>
        </w:numPr>
        <w:spacing w:before="120" w:after="120" w:line="240" w:lineRule="auto"/>
        <w:jc w:val="both"/>
        <w:rPr>
          <w:rFonts w:ascii="Times New Roman" w:eastAsia="Times New Roman" w:hAnsi="Times New Roman" w:cs="Times New Roman"/>
          <w:lang w:val="en-GB"/>
        </w:rPr>
      </w:pPr>
      <w:r w:rsidRPr="00B76F5C">
        <w:rPr>
          <w:rFonts w:ascii="Times New Roman" w:eastAsia="Times New Roman" w:hAnsi="Times New Roman" w:cs="Times New Roman"/>
          <w:lang w:val="en-GB"/>
        </w:rPr>
        <w:t>Has the autonomy of his/her or her position to think through and develop general and specific professional issues based on specific factors and circumstances, relying on his or her wide scope, general and professional literacy, and problem-solving and problem-solving skills.</w:t>
      </w:r>
    </w:p>
    <w:p w:rsidR="000C0043" w:rsidRPr="00B76F5C" w:rsidRDefault="000C0043" w:rsidP="00666335">
      <w:pPr>
        <w:pStyle w:val="Listaszerbekezds"/>
        <w:widowControl w:val="0"/>
        <w:numPr>
          <w:ilvl w:val="0"/>
          <w:numId w:val="38"/>
        </w:numPr>
        <w:spacing w:before="120" w:after="120" w:line="240" w:lineRule="auto"/>
        <w:jc w:val="both"/>
        <w:rPr>
          <w:rFonts w:ascii="Times New Roman" w:eastAsia="Times New Roman" w:hAnsi="Times New Roman" w:cs="Times New Roman"/>
          <w:lang w:val="en-GB"/>
        </w:rPr>
      </w:pPr>
      <w:r w:rsidRPr="00B76F5C">
        <w:rPr>
          <w:rFonts w:ascii="Times New Roman" w:eastAsia="Times New Roman" w:hAnsi="Times New Roman" w:cs="Times New Roman"/>
          <w:lang w:val="en-GB"/>
        </w:rPr>
        <w:t>Plans and carries out his / her professional activities independently in his / her position, responsibility and authority.</w:t>
      </w:r>
    </w:p>
    <w:p w:rsidR="000C0043" w:rsidRPr="00B76F5C" w:rsidRDefault="000C0043" w:rsidP="00666335">
      <w:pPr>
        <w:pStyle w:val="Listaszerbekezds"/>
        <w:widowControl w:val="0"/>
        <w:numPr>
          <w:ilvl w:val="0"/>
          <w:numId w:val="38"/>
        </w:numPr>
        <w:spacing w:before="120" w:after="120" w:line="240" w:lineRule="auto"/>
        <w:jc w:val="both"/>
        <w:rPr>
          <w:rFonts w:ascii="Times New Roman" w:eastAsia="Times New Roman" w:hAnsi="Times New Roman" w:cs="Times New Roman"/>
          <w:lang w:val="en-GB"/>
        </w:rPr>
      </w:pPr>
      <w:r w:rsidRPr="00B76F5C">
        <w:rPr>
          <w:rFonts w:ascii="Times New Roman" w:eastAsia="Times New Roman" w:hAnsi="Times New Roman" w:cs="Times New Roman"/>
          <w:lang w:val="en-GB"/>
        </w:rPr>
        <w:t>Involves, by virtue of and in connection with his / her position, in research and development within his / her field of activity and mobilizes his / her theoretical and practical knowledge and skills autonomously, in cooperation with the other members of the group, to achieve the goal (s).</w:t>
      </w:r>
    </w:p>
    <w:p w:rsidR="000C0043" w:rsidRPr="00B76F5C" w:rsidRDefault="000C0043" w:rsidP="00C14833">
      <w:pPr>
        <w:widowControl w:val="0"/>
        <w:numPr>
          <w:ilvl w:val="0"/>
          <w:numId w:val="106"/>
        </w:numPr>
        <w:tabs>
          <w:tab w:val="num" w:pos="567"/>
        </w:tabs>
        <w:spacing w:before="120" w:after="120" w:line="240" w:lineRule="auto"/>
        <w:ind w:left="426" w:hanging="142"/>
        <w:jc w:val="both"/>
        <w:rPr>
          <w:rFonts w:ascii="Times New Roman" w:eastAsia="Times New Roman" w:hAnsi="Times New Roman" w:cs="Times New Roman"/>
          <w:bCs/>
        </w:rPr>
      </w:pPr>
      <w:r w:rsidRPr="00B76F5C">
        <w:rPr>
          <w:rFonts w:ascii="Times New Roman" w:eastAsia="Times New Roman" w:hAnsi="Times New Roman" w:cs="Times New Roman"/>
          <w:b/>
          <w:bCs/>
        </w:rPr>
        <w:t xml:space="preserve">Előtanulmányi követelmények: </w:t>
      </w:r>
      <w:r w:rsidRPr="00B76F5C">
        <w:rPr>
          <w:rFonts w:ascii="Times New Roman" w:eastAsia="Times New Roman" w:hAnsi="Times New Roman" w:cs="Times New Roman"/>
          <w:bCs/>
        </w:rPr>
        <w:t>Nincs</w:t>
      </w:r>
    </w:p>
    <w:p w:rsidR="000C0043" w:rsidRPr="00B76F5C" w:rsidRDefault="000C0043" w:rsidP="00C14833">
      <w:pPr>
        <w:widowControl w:val="0"/>
        <w:numPr>
          <w:ilvl w:val="0"/>
          <w:numId w:val="106"/>
        </w:numPr>
        <w:spacing w:before="120" w:after="120" w:line="240" w:lineRule="auto"/>
        <w:ind w:left="426" w:hanging="142"/>
        <w:jc w:val="both"/>
        <w:rPr>
          <w:rFonts w:ascii="Times New Roman" w:eastAsia="Times New Roman" w:hAnsi="Times New Roman" w:cs="Times New Roman"/>
          <w:b/>
          <w:bCs/>
        </w:rPr>
      </w:pPr>
      <w:r w:rsidRPr="00B76F5C">
        <w:rPr>
          <w:rFonts w:ascii="Times New Roman" w:eastAsia="Times New Roman" w:hAnsi="Times New Roman" w:cs="Times New Roman"/>
          <w:b/>
          <w:bCs/>
        </w:rPr>
        <w:t>A tantárgy tananyagának leírása, tematika. Description of the subject, curriculum (magyarul, angolul - English):</w:t>
      </w:r>
    </w:p>
    <w:p w:rsidR="000C0043" w:rsidRPr="00B76F5C" w:rsidRDefault="000C0043" w:rsidP="00C14833">
      <w:pPr>
        <w:pStyle w:val="Listaszerbekezds"/>
        <w:numPr>
          <w:ilvl w:val="1"/>
          <w:numId w:val="106"/>
        </w:numPr>
        <w:tabs>
          <w:tab w:val="num" w:pos="3545"/>
        </w:tabs>
        <w:spacing w:line="256" w:lineRule="auto"/>
        <w:ind w:left="1134" w:hanging="708"/>
        <w:rPr>
          <w:rFonts w:ascii="Times New Roman" w:eastAsia="Times New Roman" w:hAnsi="Times New Roman" w:cs="Times New Roman"/>
          <w:bCs/>
          <w:color w:val="000000"/>
        </w:rPr>
      </w:pPr>
      <w:r w:rsidRPr="00B76F5C">
        <w:rPr>
          <w:rFonts w:ascii="Times New Roman" w:eastAsia="Times New Roman" w:hAnsi="Times New Roman" w:cs="Times New Roman"/>
          <w:bCs/>
          <w:color w:val="000000"/>
        </w:rPr>
        <w:t xml:space="preserve">A korai középkor hadtörténete I. (pozsonyi csata 907, augsburgi csata 955, hastingsi csata 1066) </w:t>
      </w:r>
      <w:r w:rsidRPr="00B76F5C">
        <w:rPr>
          <w:rFonts w:ascii="Times New Roman" w:eastAsia="Times New Roman" w:hAnsi="Times New Roman" w:cs="Times New Roman"/>
          <w:bCs/>
          <w:i/>
          <w:color w:val="000000"/>
        </w:rPr>
        <w:t>(</w:t>
      </w:r>
      <w:r w:rsidRPr="00B76F5C">
        <w:rPr>
          <w:rFonts w:ascii="Times New Roman" w:eastAsia="Times New Roman" w:hAnsi="Times New Roman" w:cs="Times New Roman"/>
          <w:i/>
          <w:color w:val="000000"/>
        </w:rPr>
        <w:t>Military History of the Early Middle Ages I. (Battle of Bratislava 907, Battle of Augsburg 955, Battle of Hastings 1066))</w:t>
      </w:r>
    </w:p>
    <w:p w:rsidR="000C0043" w:rsidRPr="00B76F5C" w:rsidRDefault="000C0043" w:rsidP="00C14833">
      <w:pPr>
        <w:pStyle w:val="Listaszerbekezds"/>
        <w:numPr>
          <w:ilvl w:val="1"/>
          <w:numId w:val="106"/>
        </w:numPr>
        <w:tabs>
          <w:tab w:val="num" w:pos="3545"/>
        </w:tabs>
        <w:spacing w:line="256" w:lineRule="auto"/>
        <w:ind w:left="1134" w:hanging="708"/>
        <w:rPr>
          <w:rFonts w:ascii="Times New Roman" w:eastAsia="Times New Roman" w:hAnsi="Times New Roman" w:cs="Times New Roman"/>
          <w:color w:val="000000"/>
        </w:rPr>
      </w:pPr>
      <w:r w:rsidRPr="00B76F5C">
        <w:rPr>
          <w:rFonts w:ascii="Times New Roman" w:eastAsia="Times New Roman" w:hAnsi="Times New Roman" w:cs="Times New Roman"/>
          <w:bCs/>
          <w:color w:val="000000"/>
        </w:rPr>
        <w:t>A korai középkor hadtörténete II. (muhi csata 1241, morvamezei csata 1278, Keresztes háborúk) </w:t>
      </w:r>
      <w:r w:rsidRPr="00B76F5C">
        <w:rPr>
          <w:rFonts w:ascii="Times New Roman" w:eastAsia="Times New Roman" w:hAnsi="Times New Roman" w:cs="Times New Roman"/>
          <w:bCs/>
          <w:i/>
          <w:color w:val="000000"/>
        </w:rPr>
        <w:t>(</w:t>
      </w:r>
      <w:r w:rsidRPr="00B76F5C">
        <w:rPr>
          <w:rFonts w:ascii="Times New Roman" w:eastAsia="Times New Roman" w:hAnsi="Times New Roman" w:cs="Times New Roman"/>
          <w:i/>
          <w:color w:val="000000"/>
        </w:rPr>
        <w:t>Early Medieval Military History II. (Battle of Muhi 1241, Battle of Morava Field 1278, Crusades))</w:t>
      </w:r>
    </w:p>
    <w:p w:rsidR="000C0043" w:rsidRPr="00B76F5C" w:rsidRDefault="000C0043" w:rsidP="00C14833">
      <w:pPr>
        <w:pStyle w:val="Listaszerbekezds"/>
        <w:numPr>
          <w:ilvl w:val="1"/>
          <w:numId w:val="106"/>
        </w:numPr>
        <w:tabs>
          <w:tab w:val="num" w:pos="3545"/>
        </w:tabs>
        <w:spacing w:line="256" w:lineRule="auto"/>
        <w:ind w:left="1134" w:hanging="708"/>
        <w:rPr>
          <w:rFonts w:ascii="Times New Roman" w:eastAsia="Times New Roman" w:hAnsi="Times New Roman" w:cs="Times New Roman"/>
          <w:color w:val="000000"/>
        </w:rPr>
      </w:pPr>
      <w:r w:rsidRPr="00B76F5C">
        <w:rPr>
          <w:rFonts w:ascii="Times New Roman" w:eastAsia="Times New Roman" w:hAnsi="Times New Roman" w:cs="Times New Roman"/>
          <w:bCs/>
          <w:color w:val="000000"/>
        </w:rPr>
        <w:t xml:space="preserve">Reneszánsz háborúk (nándorfehérvári diadal 1456, Kenyérmezei csata 1479, Százéves háború) </w:t>
      </w:r>
      <w:r w:rsidRPr="00B76F5C">
        <w:rPr>
          <w:rFonts w:ascii="Times New Roman" w:eastAsia="Times New Roman" w:hAnsi="Times New Roman" w:cs="Times New Roman"/>
          <w:bCs/>
          <w:i/>
          <w:color w:val="000000"/>
        </w:rPr>
        <w:t>(</w:t>
      </w:r>
      <w:r w:rsidRPr="00B76F5C">
        <w:rPr>
          <w:rFonts w:ascii="Times New Roman" w:eastAsia="Times New Roman" w:hAnsi="Times New Roman" w:cs="Times New Roman"/>
          <w:i/>
          <w:color w:val="000000"/>
        </w:rPr>
        <w:t>Renaissance Wars (Triumph of Nándorfehérvár 1456, Battle of Kenyérmező 1479, 100 Years War))</w:t>
      </w:r>
    </w:p>
    <w:p w:rsidR="000C0043" w:rsidRPr="00B76F5C" w:rsidRDefault="000C0043" w:rsidP="00C14833">
      <w:pPr>
        <w:pStyle w:val="Listaszerbekezds"/>
        <w:numPr>
          <w:ilvl w:val="1"/>
          <w:numId w:val="106"/>
        </w:numPr>
        <w:tabs>
          <w:tab w:val="num" w:pos="3545"/>
        </w:tabs>
        <w:spacing w:line="256" w:lineRule="auto"/>
        <w:ind w:left="1134" w:hanging="708"/>
        <w:rPr>
          <w:rFonts w:ascii="Times New Roman" w:eastAsia="Times New Roman" w:hAnsi="Times New Roman" w:cs="Times New Roman"/>
          <w:color w:val="000000"/>
        </w:rPr>
      </w:pPr>
      <w:r w:rsidRPr="00B76F5C">
        <w:rPr>
          <w:rFonts w:ascii="Times New Roman" w:eastAsia="Times New Roman" w:hAnsi="Times New Roman" w:cs="Times New Roman"/>
          <w:bCs/>
          <w:color w:val="000000"/>
        </w:rPr>
        <w:t xml:space="preserve">A kora-újkor hadtörténete I. (mohácsi csata 1526, Szigetvár védelme 1566, A páviai csata 1525) </w:t>
      </w:r>
      <w:r w:rsidRPr="00B76F5C">
        <w:rPr>
          <w:rFonts w:ascii="Times New Roman" w:eastAsia="Times New Roman" w:hAnsi="Times New Roman" w:cs="Times New Roman"/>
          <w:bCs/>
          <w:i/>
          <w:color w:val="000000"/>
        </w:rPr>
        <w:t>(</w:t>
      </w:r>
      <w:r w:rsidRPr="00B76F5C">
        <w:rPr>
          <w:rFonts w:ascii="Times New Roman" w:eastAsia="Times New Roman" w:hAnsi="Times New Roman" w:cs="Times New Roman"/>
          <w:i/>
          <w:color w:val="000000"/>
        </w:rPr>
        <w:t>Early Modern Age Military History I. (Battle of Mohács 1526, Defense of Szigetvár 1566, Battle of Pavia 1525))</w:t>
      </w:r>
    </w:p>
    <w:p w:rsidR="000C0043" w:rsidRPr="00B76F5C" w:rsidRDefault="000C0043" w:rsidP="00C14833">
      <w:pPr>
        <w:pStyle w:val="Listaszerbekezds"/>
        <w:numPr>
          <w:ilvl w:val="1"/>
          <w:numId w:val="106"/>
        </w:numPr>
        <w:tabs>
          <w:tab w:val="num" w:pos="3545"/>
        </w:tabs>
        <w:spacing w:line="256" w:lineRule="auto"/>
        <w:ind w:left="1134" w:hanging="708"/>
        <w:rPr>
          <w:rFonts w:ascii="Times New Roman" w:eastAsia="Times New Roman" w:hAnsi="Times New Roman" w:cs="Times New Roman"/>
          <w:color w:val="000000"/>
        </w:rPr>
      </w:pPr>
      <w:r w:rsidRPr="00B76F5C">
        <w:rPr>
          <w:rFonts w:ascii="Times New Roman" w:eastAsia="Times New Roman" w:hAnsi="Times New Roman" w:cs="Times New Roman"/>
          <w:bCs/>
          <w:color w:val="000000"/>
        </w:rPr>
        <w:t xml:space="preserve">A kora-újkor hadtörténete II. (Zrínyi Miklós harcai a török ellen 1664-ben, a török ellenes felszabadító háborúk 1683-87, Harmincéves háború) </w:t>
      </w:r>
      <w:r w:rsidRPr="00B76F5C">
        <w:rPr>
          <w:rFonts w:ascii="Times New Roman" w:eastAsia="Times New Roman" w:hAnsi="Times New Roman" w:cs="Times New Roman"/>
          <w:bCs/>
          <w:i/>
          <w:color w:val="000000"/>
        </w:rPr>
        <w:t>(</w:t>
      </w:r>
      <w:r w:rsidRPr="00B76F5C">
        <w:rPr>
          <w:rFonts w:ascii="Times New Roman" w:eastAsia="Times New Roman" w:hAnsi="Times New Roman" w:cs="Times New Roman"/>
          <w:i/>
          <w:color w:val="000000"/>
        </w:rPr>
        <w:t>Early Modern Age Military History II. (Miklós Zrínyi's battles against the Turks in 1664, the liberation wars against the Turks in 1683-87, the Thirty Years' War))</w:t>
      </w:r>
    </w:p>
    <w:p w:rsidR="000C0043" w:rsidRPr="00B76F5C" w:rsidRDefault="000C0043" w:rsidP="00C14833">
      <w:pPr>
        <w:pStyle w:val="Listaszerbekezds"/>
        <w:numPr>
          <w:ilvl w:val="1"/>
          <w:numId w:val="106"/>
        </w:numPr>
        <w:tabs>
          <w:tab w:val="num" w:pos="3545"/>
        </w:tabs>
        <w:spacing w:line="256" w:lineRule="auto"/>
        <w:ind w:left="1134" w:hanging="708"/>
        <w:rPr>
          <w:rFonts w:ascii="Times New Roman" w:eastAsia="Times New Roman" w:hAnsi="Times New Roman" w:cs="Times New Roman"/>
          <w:color w:val="000000"/>
        </w:rPr>
      </w:pPr>
      <w:r w:rsidRPr="00B76F5C">
        <w:rPr>
          <w:rFonts w:ascii="Times New Roman" w:eastAsia="Times New Roman" w:hAnsi="Times New Roman" w:cs="Times New Roman"/>
          <w:bCs/>
          <w:color w:val="000000"/>
        </w:rPr>
        <w:t xml:space="preserve">A XVIII. század háborúi  (Rákóczi szabadságharc, Romhányi csata 1710, Hadik berlini portyája) </w:t>
      </w:r>
      <w:r w:rsidRPr="00B76F5C">
        <w:rPr>
          <w:rFonts w:ascii="Times New Roman" w:eastAsia="Times New Roman" w:hAnsi="Times New Roman" w:cs="Times New Roman"/>
          <w:bCs/>
          <w:i/>
          <w:color w:val="000000"/>
        </w:rPr>
        <w:t>(</w:t>
      </w:r>
      <w:r w:rsidRPr="00B76F5C">
        <w:rPr>
          <w:rFonts w:ascii="Times New Roman" w:eastAsia="Times New Roman" w:hAnsi="Times New Roman" w:cs="Times New Roman"/>
          <w:i/>
          <w:color w:val="000000"/>
        </w:rPr>
        <w:t>XVIII. Century Wars (Rákóczi's War of Independence, Battle of Romhány, Hadik's raid against Berlin))</w:t>
      </w:r>
    </w:p>
    <w:p w:rsidR="000C0043" w:rsidRPr="00B76F5C" w:rsidRDefault="000C0043" w:rsidP="00C14833">
      <w:pPr>
        <w:pStyle w:val="Listaszerbekezds"/>
        <w:numPr>
          <w:ilvl w:val="1"/>
          <w:numId w:val="106"/>
        </w:numPr>
        <w:tabs>
          <w:tab w:val="num" w:pos="3545"/>
        </w:tabs>
        <w:spacing w:line="256" w:lineRule="auto"/>
        <w:ind w:left="1134" w:hanging="708"/>
        <w:rPr>
          <w:rFonts w:ascii="Times New Roman" w:eastAsia="Times New Roman" w:hAnsi="Times New Roman" w:cs="Times New Roman"/>
          <w:i/>
          <w:color w:val="000000"/>
        </w:rPr>
      </w:pPr>
      <w:r w:rsidRPr="00B76F5C">
        <w:rPr>
          <w:rFonts w:ascii="Times New Roman" w:eastAsia="Times New Roman" w:hAnsi="Times New Roman" w:cs="Times New Roman"/>
          <w:bCs/>
          <w:color w:val="000000"/>
        </w:rPr>
        <w:t xml:space="preserve">Napóleoni háborúk (győri csata 1809, waterlooi csata) </w:t>
      </w:r>
      <w:r w:rsidRPr="00B76F5C">
        <w:rPr>
          <w:rFonts w:ascii="Times New Roman" w:eastAsia="Times New Roman" w:hAnsi="Times New Roman" w:cs="Times New Roman"/>
          <w:bCs/>
          <w:i/>
          <w:color w:val="000000"/>
        </w:rPr>
        <w:t>(</w:t>
      </w:r>
      <w:r w:rsidRPr="00B76F5C">
        <w:rPr>
          <w:rFonts w:ascii="Times New Roman" w:eastAsia="Times New Roman" w:hAnsi="Times New Roman" w:cs="Times New Roman"/>
          <w:i/>
          <w:color w:val="000000"/>
        </w:rPr>
        <w:t>Napoleonic Wars (Battle of Győr 1809, Battle of Waterloo))</w:t>
      </w:r>
    </w:p>
    <w:p w:rsidR="000C0043" w:rsidRPr="00B76F5C" w:rsidRDefault="000C0043" w:rsidP="00C14833">
      <w:pPr>
        <w:pStyle w:val="Listaszerbekezds"/>
        <w:numPr>
          <w:ilvl w:val="1"/>
          <w:numId w:val="106"/>
        </w:numPr>
        <w:tabs>
          <w:tab w:val="num" w:pos="3545"/>
        </w:tabs>
        <w:spacing w:line="256" w:lineRule="auto"/>
        <w:ind w:left="1134" w:hanging="708"/>
        <w:rPr>
          <w:rFonts w:ascii="Times New Roman" w:eastAsia="Times New Roman" w:hAnsi="Times New Roman" w:cs="Times New Roman"/>
          <w:color w:val="000000"/>
        </w:rPr>
      </w:pPr>
      <w:r w:rsidRPr="00B76F5C">
        <w:rPr>
          <w:rFonts w:ascii="Times New Roman" w:eastAsia="Times New Roman" w:hAnsi="Times New Roman" w:cs="Times New Roman"/>
          <w:bCs/>
          <w:color w:val="000000"/>
        </w:rPr>
        <w:t>A nemzetállamok háborúi I. (Tavaszi hadjárat 1849, solferinoi csata 1859) (</w:t>
      </w:r>
      <w:r w:rsidRPr="00B76F5C">
        <w:rPr>
          <w:rFonts w:ascii="Times New Roman" w:eastAsia="Times New Roman" w:hAnsi="Times New Roman" w:cs="Times New Roman"/>
          <w:color w:val="000000"/>
        </w:rPr>
        <w:t>. The Wars of the Nation-States I. (Spring Campaign 1849, Battle of Solferino 1859))</w:t>
      </w:r>
    </w:p>
    <w:p w:rsidR="000C0043" w:rsidRPr="00B76F5C" w:rsidRDefault="000C0043" w:rsidP="00C14833">
      <w:pPr>
        <w:pStyle w:val="Listaszerbekezds"/>
        <w:numPr>
          <w:ilvl w:val="1"/>
          <w:numId w:val="106"/>
        </w:numPr>
        <w:tabs>
          <w:tab w:val="num" w:pos="3545"/>
        </w:tabs>
        <w:spacing w:line="256" w:lineRule="auto"/>
        <w:ind w:left="1134" w:hanging="708"/>
        <w:rPr>
          <w:rFonts w:ascii="Times New Roman" w:eastAsia="Times New Roman" w:hAnsi="Times New Roman" w:cs="Times New Roman"/>
          <w:color w:val="000000"/>
        </w:rPr>
      </w:pPr>
      <w:r w:rsidRPr="00B76F5C">
        <w:rPr>
          <w:rFonts w:ascii="Times New Roman" w:eastAsia="Times New Roman" w:hAnsi="Times New Roman" w:cs="Times New Roman"/>
          <w:bCs/>
          <w:color w:val="000000"/>
        </w:rPr>
        <w:t xml:space="preserve">A nemzetállamok háborúi II. (Magyar Királyi Honvédség, a magyar tisztképzés kezdete -Ludoviceum, königgratzi csata 1866) </w:t>
      </w:r>
      <w:r w:rsidRPr="00B76F5C">
        <w:rPr>
          <w:rFonts w:ascii="Times New Roman" w:eastAsia="Times New Roman" w:hAnsi="Times New Roman" w:cs="Times New Roman"/>
          <w:bCs/>
          <w:i/>
          <w:color w:val="000000"/>
        </w:rPr>
        <w:t>(</w:t>
      </w:r>
      <w:r w:rsidRPr="00B76F5C">
        <w:rPr>
          <w:rFonts w:ascii="Times New Roman" w:eastAsia="Times New Roman" w:hAnsi="Times New Roman" w:cs="Times New Roman"/>
          <w:i/>
          <w:color w:val="000000"/>
        </w:rPr>
        <w:t>The Wars of the Nation-States II. (Royal Hungarian Defense Forces, beginning of Hungarian officer training -Ludoviceum, Battle of Königgratz 1866))</w:t>
      </w:r>
    </w:p>
    <w:p w:rsidR="000C0043" w:rsidRPr="00B76F5C" w:rsidRDefault="000C0043" w:rsidP="00C14833">
      <w:pPr>
        <w:pStyle w:val="Listaszerbekezds"/>
        <w:numPr>
          <w:ilvl w:val="1"/>
          <w:numId w:val="106"/>
        </w:numPr>
        <w:tabs>
          <w:tab w:val="num" w:pos="3545"/>
        </w:tabs>
        <w:spacing w:line="256" w:lineRule="auto"/>
        <w:ind w:left="1134" w:hanging="708"/>
        <w:rPr>
          <w:rFonts w:ascii="Times New Roman" w:eastAsia="Times New Roman" w:hAnsi="Times New Roman" w:cs="Times New Roman"/>
          <w:i/>
          <w:color w:val="000000"/>
        </w:rPr>
      </w:pPr>
      <w:r w:rsidRPr="00B76F5C">
        <w:rPr>
          <w:rFonts w:ascii="Times New Roman" w:eastAsia="Times New Roman" w:hAnsi="Times New Roman" w:cs="Times New Roman"/>
          <w:bCs/>
          <w:color w:val="000000"/>
        </w:rPr>
        <w:t xml:space="preserve"> Az első világháború I. (I vh. 1914-15 Limanova, Isonzói csaták) </w:t>
      </w:r>
      <w:r w:rsidRPr="00B76F5C">
        <w:rPr>
          <w:rFonts w:ascii="Times New Roman" w:eastAsia="Times New Roman" w:hAnsi="Times New Roman" w:cs="Times New Roman"/>
          <w:bCs/>
          <w:i/>
          <w:color w:val="000000"/>
        </w:rPr>
        <w:t>(</w:t>
      </w:r>
      <w:r w:rsidRPr="00B76F5C">
        <w:rPr>
          <w:rFonts w:ascii="Times New Roman" w:eastAsia="Times New Roman" w:hAnsi="Times New Roman" w:cs="Times New Roman"/>
          <w:i/>
          <w:color w:val="000000"/>
        </w:rPr>
        <w:t>World War I (1914-15 Limanova, Battles of Isonzo))</w:t>
      </w:r>
    </w:p>
    <w:p w:rsidR="000C0043" w:rsidRPr="00B76F5C" w:rsidRDefault="000C0043" w:rsidP="00C14833">
      <w:pPr>
        <w:pStyle w:val="Listaszerbekezds"/>
        <w:numPr>
          <w:ilvl w:val="1"/>
          <w:numId w:val="106"/>
        </w:numPr>
        <w:tabs>
          <w:tab w:val="num" w:pos="3545"/>
        </w:tabs>
        <w:spacing w:line="256" w:lineRule="auto"/>
        <w:ind w:left="1134" w:hanging="708"/>
        <w:rPr>
          <w:rFonts w:ascii="Times New Roman" w:eastAsia="Times New Roman" w:hAnsi="Times New Roman" w:cs="Times New Roman"/>
          <w:i/>
          <w:color w:val="000000"/>
        </w:rPr>
      </w:pPr>
      <w:r w:rsidRPr="00B76F5C">
        <w:rPr>
          <w:rFonts w:ascii="Times New Roman" w:eastAsia="Times New Roman" w:hAnsi="Times New Roman" w:cs="Times New Roman"/>
          <w:bCs/>
          <w:color w:val="000000"/>
        </w:rPr>
        <w:t xml:space="preserve">Az első világháború II. (I vh. 1916-1918, a Magyaros visszafoglalása, a caporettoi áttörés) </w:t>
      </w:r>
      <w:r w:rsidRPr="00B76F5C">
        <w:rPr>
          <w:rFonts w:ascii="Times New Roman" w:eastAsia="Times New Roman" w:hAnsi="Times New Roman" w:cs="Times New Roman"/>
          <w:bCs/>
          <w:i/>
          <w:color w:val="000000"/>
        </w:rPr>
        <w:t>(</w:t>
      </w:r>
      <w:r w:rsidRPr="00B76F5C">
        <w:rPr>
          <w:rFonts w:ascii="Times New Roman" w:eastAsia="Times New Roman" w:hAnsi="Times New Roman" w:cs="Times New Roman"/>
          <w:i/>
          <w:color w:val="000000"/>
        </w:rPr>
        <w:t>World War II. (1916-1918, Transsylvania, Caporetto breakthrough))</w:t>
      </w:r>
    </w:p>
    <w:p w:rsidR="000C0043" w:rsidRPr="00B76F5C" w:rsidRDefault="000C0043" w:rsidP="00C14833">
      <w:pPr>
        <w:pStyle w:val="Listaszerbekezds"/>
        <w:numPr>
          <w:ilvl w:val="1"/>
          <w:numId w:val="106"/>
        </w:numPr>
        <w:tabs>
          <w:tab w:val="num" w:pos="3545"/>
        </w:tabs>
        <w:spacing w:line="256" w:lineRule="auto"/>
        <w:ind w:left="1134" w:hanging="708"/>
        <w:rPr>
          <w:rFonts w:ascii="Times New Roman" w:eastAsia="Times New Roman" w:hAnsi="Times New Roman" w:cs="Times New Roman"/>
          <w:color w:val="000000"/>
        </w:rPr>
      </w:pPr>
      <w:r w:rsidRPr="00B76F5C">
        <w:rPr>
          <w:rFonts w:ascii="Times New Roman" w:eastAsia="Times New Roman" w:hAnsi="Times New Roman" w:cs="Times New Roman"/>
          <w:bCs/>
          <w:color w:val="000000"/>
        </w:rPr>
        <w:t xml:space="preserve">Magyarország a két világháború között (Balassagyarmati csehkiverés 1919, Miskolc visszafoglalása 1919, a trianoni békediktátum katonai határozványai) </w:t>
      </w:r>
      <w:r w:rsidRPr="00B76F5C">
        <w:rPr>
          <w:rFonts w:ascii="Times New Roman" w:eastAsia="Times New Roman" w:hAnsi="Times New Roman" w:cs="Times New Roman"/>
          <w:bCs/>
          <w:i/>
          <w:color w:val="000000"/>
        </w:rPr>
        <w:t>(</w:t>
      </w:r>
      <w:r w:rsidRPr="00B76F5C">
        <w:rPr>
          <w:rFonts w:ascii="Times New Roman" w:eastAsia="Times New Roman" w:hAnsi="Times New Roman" w:cs="Times New Roman"/>
          <w:i/>
          <w:color w:val="000000"/>
        </w:rPr>
        <w:t>Hungary between the two World Wars (Balassagyarmat 1919, recapture of Miskolc 1919, military rulings of the Trianon peace dictate))</w:t>
      </w:r>
    </w:p>
    <w:p w:rsidR="000C0043" w:rsidRPr="00B76F5C" w:rsidRDefault="000C0043" w:rsidP="00C14833">
      <w:pPr>
        <w:pStyle w:val="Listaszerbekezds"/>
        <w:numPr>
          <w:ilvl w:val="1"/>
          <w:numId w:val="106"/>
        </w:numPr>
        <w:tabs>
          <w:tab w:val="num" w:pos="3545"/>
        </w:tabs>
        <w:spacing w:line="256" w:lineRule="auto"/>
        <w:ind w:left="1134" w:hanging="708"/>
        <w:rPr>
          <w:rFonts w:ascii="Times New Roman" w:eastAsia="Times New Roman" w:hAnsi="Times New Roman" w:cs="Times New Roman"/>
          <w:color w:val="000000"/>
        </w:rPr>
      </w:pPr>
      <w:r w:rsidRPr="00B76F5C">
        <w:rPr>
          <w:rFonts w:ascii="Times New Roman" w:eastAsia="Times New Roman" w:hAnsi="Times New Roman" w:cs="Times New Roman"/>
          <w:bCs/>
          <w:color w:val="000000"/>
        </w:rPr>
        <w:lastRenderedPageBreak/>
        <w:t>A második világháború (Jugoszlávia megtámadása 1941, Don-kanyar 1942-43, magyarországi hadszíntér 1944-45) (</w:t>
      </w:r>
      <w:r w:rsidRPr="00B76F5C">
        <w:rPr>
          <w:rFonts w:ascii="Times New Roman" w:eastAsia="Times New Roman" w:hAnsi="Times New Roman" w:cs="Times New Roman"/>
          <w:color w:val="000000"/>
        </w:rPr>
        <w:t xml:space="preserve">World War II. </w:t>
      </w:r>
      <w:r w:rsidRPr="00B76F5C">
        <w:rPr>
          <w:rFonts w:ascii="Times New Roman" w:eastAsia="Times New Roman" w:hAnsi="Times New Roman" w:cs="Times New Roman"/>
          <w:i/>
          <w:color w:val="000000"/>
        </w:rPr>
        <w:t>(Attack on Yugoslavia 1941, Don-bend 1942-43, Operations in Hungary 1944-45))</w:t>
      </w:r>
    </w:p>
    <w:p w:rsidR="000C0043" w:rsidRPr="00B76F5C" w:rsidRDefault="000C0043" w:rsidP="00C14833">
      <w:pPr>
        <w:pStyle w:val="Listaszerbekezds"/>
        <w:numPr>
          <w:ilvl w:val="1"/>
          <w:numId w:val="106"/>
        </w:numPr>
        <w:tabs>
          <w:tab w:val="num" w:pos="3545"/>
        </w:tabs>
        <w:spacing w:line="256" w:lineRule="auto"/>
        <w:ind w:left="1134" w:hanging="708"/>
        <w:rPr>
          <w:rFonts w:ascii="Times New Roman" w:eastAsia="Times New Roman" w:hAnsi="Times New Roman" w:cs="Times New Roman"/>
          <w:b/>
        </w:rPr>
      </w:pPr>
      <w:r w:rsidRPr="00B76F5C">
        <w:rPr>
          <w:rFonts w:ascii="Times New Roman" w:eastAsia="Times New Roman" w:hAnsi="Times New Roman" w:cs="Times New Roman"/>
          <w:bCs/>
          <w:color w:val="000000"/>
        </w:rPr>
        <w:t>A hidegháború (A Néphadsereg megszervezése, az 1956-os forradalom, Magyarország a NATO tagjaként)</w:t>
      </w:r>
      <w:r w:rsidRPr="00B76F5C">
        <w:rPr>
          <w:rFonts w:ascii="Times New Roman" w:eastAsia="Times New Roman" w:hAnsi="Times New Roman" w:cs="Times New Roman"/>
          <w:b/>
        </w:rPr>
        <w:t xml:space="preserve"> </w:t>
      </w:r>
      <w:r w:rsidRPr="00B76F5C">
        <w:rPr>
          <w:rFonts w:ascii="Times New Roman" w:eastAsia="Times New Roman" w:hAnsi="Times New Roman" w:cs="Times New Roman"/>
          <w:b/>
          <w:i/>
        </w:rPr>
        <w:t>(</w:t>
      </w:r>
      <w:r w:rsidRPr="00B76F5C">
        <w:rPr>
          <w:rFonts w:ascii="Times New Roman" w:eastAsia="Times New Roman" w:hAnsi="Times New Roman" w:cs="Times New Roman"/>
          <w:i/>
          <w:color w:val="000000"/>
        </w:rPr>
        <w:t>The Cold War (Organization of the Hungarian People's Army, 1956 Revolution, Hungary as a NATO Member))</w:t>
      </w:r>
    </w:p>
    <w:p w:rsidR="000C0043" w:rsidRPr="00B76F5C" w:rsidRDefault="000C0043" w:rsidP="00C14833">
      <w:pPr>
        <w:widowControl w:val="0"/>
        <w:numPr>
          <w:ilvl w:val="0"/>
          <w:numId w:val="106"/>
        </w:numPr>
        <w:tabs>
          <w:tab w:val="num" w:pos="360"/>
        </w:tabs>
        <w:spacing w:before="120" w:after="120" w:line="240" w:lineRule="auto"/>
        <w:ind w:left="426" w:hanging="142"/>
        <w:jc w:val="both"/>
        <w:rPr>
          <w:rFonts w:ascii="Times New Roman" w:eastAsia="Times New Roman" w:hAnsi="Times New Roman" w:cs="Times New Roman"/>
          <w:bCs/>
        </w:rPr>
      </w:pPr>
      <w:r w:rsidRPr="00B76F5C">
        <w:rPr>
          <w:rFonts w:ascii="Times New Roman" w:eastAsia="Times New Roman" w:hAnsi="Times New Roman" w:cs="Times New Roman"/>
          <w:b/>
          <w:bCs/>
        </w:rPr>
        <w:t xml:space="preserve">A tantárgy meghirdetésének gyakorisága/a tantervben történő félévi elhelyezkedése: </w:t>
      </w:r>
      <w:r w:rsidRPr="00B76F5C">
        <w:rPr>
          <w:rFonts w:ascii="Times New Roman" w:eastAsia="Times New Roman" w:hAnsi="Times New Roman" w:cs="Times New Roman"/>
          <w:bCs/>
        </w:rPr>
        <w:t>A katonai alapképzési szakok tanterveiben meghatározott félvben.</w:t>
      </w:r>
    </w:p>
    <w:p w:rsidR="000C0043" w:rsidRPr="00B76F5C" w:rsidRDefault="000C0043" w:rsidP="00C14833">
      <w:pPr>
        <w:widowControl w:val="0"/>
        <w:numPr>
          <w:ilvl w:val="0"/>
          <w:numId w:val="106"/>
        </w:numPr>
        <w:tabs>
          <w:tab w:val="num" w:pos="360"/>
        </w:tabs>
        <w:spacing w:before="120" w:after="120" w:line="240" w:lineRule="auto"/>
        <w:ind w:left="426" w:hanging="142"/>
        <w:jc w:val="both"/>
        <w:rPr>
          <w:rFonts w:ascii="Times New Roman" w:eastAsia="Times New Roman" w:hAnsi="Times New Roman" w:cs="Times New Roman"/>
          <w:bCs/>
        </w:rPr>
      </w:pPr>
      <w:r w:rsidRPr="00B76F5C">
        <w:rPr>
          <w:rFonts w:ascii="Times New Roman" w:eastAsia="Times New Roman" w:hAnsi="Times New Roman" w:cs="Times New Roman"/>
          <w:b/>
          <w:bCs/>
        </w:rPr>
        <w:t>A tanórákon való részvétel követelményei, az elfogadható hiányzások mértéke, a távolmaradás pótlásának lehetősége:</w:t>
      </w:r>
      <w:r w:rsidRPr="00B76F5C">
        <w:rPr>
          <w:rFonts w:ascii="Times New Roman" w:eastAsia="Times New Roman" w:hAnsi="Times New Roman" w:cs="Times New Roman"/>
          <w:bCs/>
        </w:rPr>
        <w:t xml:space="preserve"> </w:t>
      </w:r>
    </w:p>
    <w:p w:rsidR="000C0043" w:rsidRPr="00B76F5C" w:rsidRDefault="000C0043" w:rsidP="000C0043">
      <w:pPr>
        <w:widowControl w:val="0"/>
        <w:spacing w:before="120" w:after="120" w:line="240" w:lineRule="auto"/>
        <w:jc w:val="both"/>
        <w:rPr>
          <w:rFonts w:ascii="Times New Roman" w:eastAsia="Times New Roman" w:hAnsi="Times New Roman" w:cs="Times New Roman"/>
          <w:bCs/>
        </w:rPr>
      </w:pPr>
      <w:r w:rsidRPr="00B76F5C">
        <w:rPr>
          <w:rFonts w:ascii="Times New Roman" w:hAnsi="Times New Roman" w:cs="Times New Roman"/>
        </w:rPr>
        <w:t>3 hiányzás elfogadott, a távolmaradás pótlása az előadó által meghatározott feladattal teljesíthető. A hallgató köteles az előadás és a gyakorlat anyagát beszerezni, abból önállóan felkészülni.</w:t>
      </w:r>
    </w:p>
    <w:p w:rsidR="000C0043" w:rsidRPr="00B76F5C" w:rsidRDefault="000C0043" w:rsidP="00C14833">
      <w:pPr>
        <w:widowControl w:val="0"/>
        <w:numPr>
          <w:ilvl w:val="0"/>
          <w:numId w:val="106"/>
        </w:numPr>
        <w:tabs>
          <w:tab w:val="num" w:pos="360"/>
        </w:tabs>
        <w:spacing w:before="120" w:after="120" w:line="240" w:lineRule="auto"/>
        <w:ind w:left="426" w:hanging="142"/>
        <w:jc w:val="both"/>
        <w:rPr>
          <w:rFonts w:ascii="Times New Roman" w:eastAsia="Times New Roman" w:hAnsi="Times New Roman" w:cs="Times New Roman"/>
          <w:bCs/>
        </w:rPr>
      </w:pPr>
      <w:r w:rsidRPr="00B76F5C">
        <w:rPr>
          <w:rFonts w:ascii="Times New Roman" w:eastAsia="Times New Roman" w:hAnsi="Times New Roman" w:cs="Times New Roman"/>
          <w:b/>
        </w:rPr>
        <w:t>Félévközi feladatok, ismeretek ellenőrzésének rendje:</w:t>
      </w:r>
      <w:r w:rsidRPr="00B76F5C">
        <w:rPr>
          <w:rFonts w:ascii="Times New Roman" w:eastAsia="Times New Roman" w:hAnsi="Times New Roman" w:cs="Times New Roman"/>
          <w:bCs/>
        </w:rPr>
        <w:t xml:space="preserve"> </w:t>
      </w:r>
    </w:p>
    <w:p w:rsidR="000C0043" w:rsidRPr="00B76F5C" w:rsidRDefault="000C0043" w:rsidP="000C0043">
      <w:pPr>
        <w:widowControl w:val="0"/>
        <w:spacing w:before="120" w:after="120" w:line="240" w:lineRule="auto"/>
        <w:jc w:val="both"/>
        <w:rPr>
          <w:rFonts w:ascii="Times New Roman" w:eastAsia="Times New Roman" w:hAnsi="Times New Roman" w:cs="Times New Roman"/>
        </w:rPr>
      </w:pPr>
      <w:r w:rsidRPr="00B76F5C">
        <w:rPr>
          <w:rFonts w:ascii="Times New Roman" w:eastAsia="Times New Roman" w:hAnsi="Times New Roman" w:cs="Times New Roman"/>
        </w:rPr>
        <w:t>Zárthelyi dolgozat megírása a 8. foglalkozáson az első hét, a 14. foglalkozáson a 8-13. foglalkozások anyagából. A dolgozatok 14 kérdésből állnak, mindegyik foglalkozás anyagából két kérdést tartalmaz. A kérdésekre adható pontszámot a dolgozatot összeállító állapítja meg, de mindegyik kérdést azonos súllyal kell figyelembe venni. Értékelése: 0-50% elégtelen, 51-60% elégséges, 61-75% közepes, 76-90% jó, 91-100% kitűnő. Igazolt távolmaradás esetén a zárthelyi dolgozat megírását egy másik alkalommal kell biztosítani. A zárthelyi dolgozat egy alkalommal az oktatóval egyeztetett időpontban írásban vagy szóban javítható.</w:t>
      </w:r>
    </w:p>
    <w:p w:rsidR="000C0043" w:rsidRPr="00B76F5C" w:rsidRDefault="000C0043" w:rsidP="000C0043">
      <w:pPr>
        <w:widowControl w:val="0"/>
        <w:spacing w:before="120" w:after="120" w:line="240" w:lineRule="auto"/>
        <w:jc w:val="both"/>
        <w:rPr>
          <w:rFonts w:ascii="Times New Roman" w:eastAsia="Times New Roman" w:hAnsi="Times New Roman" w:cs="Times New Roman"/>
          <w:bCs/>
        </w:rPr>
      </w:pPr>
      <w:r w:rsidRPr="00B76F5C">
        <w:rPr>
          <w:rFonts w:ascii="Times New Roman" w:eastAsia="Times New Roman" w:hAnsi="Times New Roman" w:cs="Times New Roman"/>
        </w:rPr>
        <w:t>Legalább három oldalas kritikai elemzés megírása könyvészeti és elektronikus források felhasználásával az oktató által megadott, elektronikusan hozzáférhető hadtörténelmi tárgyú írásról, melynek tartalmaznia kell a vizsgált témához kapcsolódó legalább 5-5 tételből álló nyomtatott és elektronikus művek jegyzékét. Beadása elektronikus formában történik a hivatkozások követhető megjelenítésével.</w:t>
      </w:r>
    </w:p>
    <w:p w:rsidR="000C0043" w:rsidRPr="00B76F5C" w:rsidRDefault="000C0043" w:rsidP="00C14833">
      <w:pPr>
        <w:widowControl w:val="0"/>
        <w:numPr>
          <w:ilvl w:val="0"/>
          <w:numId w:val="106"/>
        </w:numPr>
        <w:spacing w:before="120" w:after="120" w:line="240" w:lineRule="auto"/>
        <w:ind w:left="426" w:hanging="142"/>
        <w:jc w:val="both"/>
        <w:rPr>
          <w:rFonts w:ascii="Times New Roman" w:eastAsia="Times New Roman" w:hAnsi="Times New Roman" w:cs="Times New Roman"/>
          <w:b/>
          <w:bCs/>
        </w:rPr>
      </w:pPr>
      <w:r w:rsidRPr="00B76F5C">
        <w:rPr>
          <w:rFonts w:ascii="Times New Roman" w:eastAsia="Times New Roman" w:hAnsi="Times New Roman" w:cs="Times New Roman"/>
          <w:b/>
          <w:bCs/>
        </w:rPr>
        <w:t xml:space="preserve">Az értékelés, az aláírás és a kreditek megszerzésének pontos feltételei: </w:t>
      </w:r>
    </w:p>
    <w:p w:rsidR="000C0043" w:rsidRPr="00B76F5C" w:rsidRDefault="000C0043" w:rsidP="00C14833">
      <w:pPr>
        <w:widowControl w:val="0"/>
        <w:numPr>
          <w:ilvl w:val="1"/>
          <w:numId w:val="106"/>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B76F5C">
        <w:rPr>
          <w:rFonts w:ascii="Times New Roman" w:eastAsia="Times New Roman" w:hAnsi="Times New Roman" w:cs="Times New Roman"/>
          <w:b/>
        </w:rPr>
        <w:t>Az aláírás megszerzésének feltételei:</w:t>
      </w:r>
      <w:r w:rsidRPr="00B76F5C">
        <w:rPr>
          <w:rFonts w:ascii="Times New Roman" w:eastAsia="Times New Roman" w:hAnsi="Times New Roman" w:cs="Times New Roman"/>
        </w:rPr>
        <w:t xml:space="preserve"> </w:t>
      </w:r>
    </w:p>
    <w:p w:rsidR="000C0043" w:rsidRPr="00B76F5C" w:rsidRDefault="000C0043" w:rsidP="000C0043">
      <w:pPr>
        <w:widowControl w:val="0"/>
        <w:tabs>
          <w:tab w:val="left" w:pos="993"/>
        </w:tabs>
        <w:spacing w:before="120" w:after="120" w:line="240" w:lineRule="auto"/>
        <w:ind w:left="426"/>
        <w:jc w:val="both"/>
        <w:rPr>
          <w:rFonts w:ascii="Times New Roman" w:eastAsia="Times New Roman" w:hAnsi="Times New Roman" w:cs="Times New Roman"/>
        </w:rPr>
      </w:pPr>
      <w:r w:rsidRPr="00B76F5C">
        <w:rPr>
          <w:rFonts w:ascii="Times New Roman" w:eastAsia="Times New Roman" w:hAnsi="Times New Roman" w:cs="Times New Roman"/>
        </w:rPr>
        <w:t>A tanórákon való részvétel, figyelembe véve az engedélyezett hiányzás mértékét, valamint a meghatározott követelmények szerinti esszé és a két zárthelyi eredményes (legalább elégséges) szintű megírása.</w:t>
      </w:r>
    </w:p>
    <w:p w:rsidR="000C0043" w:rsidRPr="00B76F5C" w:rsidRDefault="000C0043" w:rsidP="00C14833">
      <w:pPr>
        <w:widowControl w:val="0"/>
        <w:numPr>
          <w:ilvl w:val="1"/>
          <w:numId w:val="106"/>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B76F5C">
        <w:rPr>
          <w:rFonts w:ascii="Times New Roman" w:eastAsia="Times New Roman" w:hAnsi="Times New Roman" w:cs="Times New Roman"/>
          <w:b/>
        </w:rPr>
        <w:t>Az értékelés:</w:t>
      </w:r>
      <w:r w:rsidRPr="00B76F5C">
        <w:rPr>
          <w:rFonts w:ascii="Times New Roman" w:eastAsia="Times New Roman" w:hAnsi="Times New Roman" w:cs="Times New Roman"/>
        </w:rPr>
        <w:t xml:space="preserve"> Félévközi jegy, mely a zárthelyik és az esszé érdemjegyeinek átlaga, olyan módon, hogy a zárthelyik egyszeresen, az esszé kétszeresen számít. </w:t>
      </w:r>
    </w:p>
    <w:p w:rsidR="000C0043" w:rsidRPr="00B76F5C" w:rsidRDefault="000C0043" w:rsidP="00C14833">
      <w:pPr>
        <w:widowControl w:val="0"/>
        <w:numPr>
          <w:ilvl w:val="1"/>
          <w:numId w:val="106"/>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B76F5C">
        <w:rPr>
          <w:rFonts w:ascii="Times New Roman" w:eastAsia="Times New Roman" w:hAnsi="Times New Roman" w:cs="Times New Roman"/>
          <w:b/>
        </w:rPr>
        <w:t>A kreditek megszerzésének feltételei:</w:t>
      </w:r>
      <w:r w:rsidRPr="00B76F5C">
        <w:rPr>
          <w:rFonts w:ascii="Times New Roman" w:eastAsia="Times New Roman" w:hAnsi="Times New Roman" w:cs="Times New Roman"/>
        </w:rPr>
        <w:t xml:space="preserve"> </w:t>
      </w:r>
    </w:p>
    <w:p w:rsidR="000C0043" w:rsidRPr="00B76F5C" w:rsidRDefault="000C0043" w:rsidP="000C0043">
      <w:pPr>
        <w:widowControl w:val="0"/>
        <w:tabs>
          <w:tab w:val="left" w:pos="993"/>
        </w:tabs>
        <w:spacing w:before="120" w:after="120" w:line="240" w:lineRule="auto"/>
        <w:ind w:left="426"/>
        <w:jc w:val="both"/>
        <w:rPr>
          <w:rFonts w:ascii="Times New Roman" w:eastAsia="Times New Roman" w:hAnsi="Times New Roman" w:cs="Times New Roman"/>
        </w:rPr>
      </w:pPr>
      <w:r w:rsidRPr="00B76F5C">
        <w:rPr>
          <w:rFonts w:ascii="Times New Roman" w:eastAsia="Times New Roman" w:hAnsi="Times New Roman" w:cs="Times New Roman"/>
          <w:bCs/>
        </w:rPr>
        <w:t>Legalább elégséges szintű félévközi jegy megszerzése</w:t>
      </w:r>
      <w:r w:rsidRPr="00B76F5C">
        <w:rPr>
          <w:rFonts w:ascii="Times New Roman" w:eastAsia="Times New Roman" w:hAnsi="Times New Roman" w:cs="Times New Roman"/>
        </w:rPr>
        <w:t>.</w:t>
      </w:r>
    </w:p>
    <w:p w:rsidR="000C0043" w:rsidRPr="00B76F5C" w:rsidRDefault="000C0043" w:rsidP="00C14833">
      <w:pPr>
        <w:widowControl w:val="0"/>
        <w:numPr>
          <w:ilvl w:val="0"/>
          <w:numId w:val="106"/>
        </w:numPr>
        <w:tabs>
          <w:tab w:val="num" w:pos="360"/>
        </w:tabs>
        <w:spacing w:before="120" w:after="120" w:line="240" w:lineRule="auto"/>
        <w:ind w:left="426" w:hanging="142"/>
        <w:jc w:val="both"/>
        <w:rPr>
          <w:rFonts w:ascii="Times New Roman" w:eastAsia="Times New Roman" w:hAnsi="Times New Roman" w:cs="Times New Roman"/>
          <w:bCs/>
        </w:rPr>
      </w:pPr>
      <w:r w:rsidRPr="00B76F5C">
        <w:rPr>
          <w:rFonts w:ascii="Times New Roman" w:eastAsia="Times New Roman" w:hAnsi="Times New Roman" w:cs="Times New Roman"/>
          <w:b/>
          <w:bCs/>
        </w:rPr>
        <w:t>Irodalomjegyzék:</w:t>
      </w:r>
    </w:p>
    <w:p w:rsidR="000C0043" w:rsidRPr="00B76F5C" w:rsidRDefault="000C0043" w:rsidP="00C14833">
      <w:pPr>
        <w:widowControl w:val="0"/>
        <w:numPr>
          <w:ilvl w:val="1"/>
          <w:numId w:val="106"/>
        </w:numPr>
        <w:tabs>
          <w:tab w:val="left" w:pos="567"/>
          <w:tab w:val="left" w:pos="851"/>
          <w:tab w:val="num" w:pos="2069"/>
        </w:tabs>
        <w:spacing w:before="120" w:after="120" w:line="240" w:lineRule="auto"/>
        <w:ind w:left="426" w:hanging="142"/>
        <w:jc w:val="both"/>
        <w:rPr>
          <w:rFonts w:ascii="Times New Roman" w:eastAsia="Times New Roman" w:hAnsi="Times New Roman" w:cs="Times New Roman"/>
          <w:bCs/>
        </w:rPr>
      </w:pPr>
      <w:r w:rsidRPr="00B76F5C">
        <w:rPr>
          <w:rFonts w:ascii="Times New Roman" w:eastAsia="Times New Roman" w:hAnsi="Times New Roman" w:cs="Times New Roman"/>
          <w:b/>
          <w:bCs/>
        </w:rPr>
        <w:t>Kötelező irodalom:</w:t>
      </w:r>
    </w:p>
    <w:p w:rsidR="000C0043" w:rsidRPr="004D7256" w:rsidRDefault="000C0043" w:rsidP="00980876">
      <w:pPr>
        <w:pStyle w:val="Listaszerbekezds"/>
        <w:widowControl w:val="0"/>
        <w:numPr>
          <w:ilvl w:val="0"/>
          <w:numId w:val="744"/>
        </w:numPr>
        <w:spacing w:before="120" w:after="120" w:line="240" w:lineRule="auto"/>
        <w:jc w:val="both"/>
        <w:rPr>
          <w:rFonts w:ascii="Times New Roman" w:hAnsi="Times New Roman" w:cs="Times New Roman"/>
          <w:bCs/>
        </w:rPr>
      </w:pPr>
      <w:r w:rsidRPr="004D7256">
        <w:rPr>
          <w:rFonts w:ascii="Times New Roman" w:hAnsi="Times New Roman" w:cs="Times New Roman"/>
          <w:bCs/>
        </w:rPr>
        <w:t>A magyar hadtörténelem évszázadai. Szerk.: Király Béla-Veszprémy László</w:t>
      </w:r>
      <w:r w:rsidR="004D7256" w:rsidRPr="004D7256">
        <w:rPr>
          <w:rFonts w:ascii="Times New Roman" w:hAnsi="Times New Roman" w:cs="Times New Roman"/>
          <w:bCs/>
        </w:rPr>
        <w:t xml:space="preserve">. Budapest, 2003. pp. 243-322. </w:t>
      </w:r>
    </w:p>
    <w:p w:rsidR="000C0043" w:rsidRPr="00B76F5C" w:rsidRDefault="000C0043" w:rsidP="00980876">
      <w:pPr>
        <w:widowControl w:val="0"/>
        <w:numPr>
          <w:ilvl w:val="0"/>
          <w:numId w:val="744"/>
        </w:numPr>
        <w:spacing w:after="0" w:line="240" w:lineRule="auto"/>
        <w:jc w:val="both"/>
        <w:rPr>
          <w:rFonts w:ascii="Times New Roman" w:eastAsia="Times New Roman" w:hAnsi="Times New Roman" w:cs="Times New Roman"/>
        </w:rPr>
      </w:pPr>
      <w:r w:rsidRPr="00B76F5C">
        <w:rPr>
          <w:rFonts w:ascii="Times New Roman" w:eastAsia="Times New Roman" w:hAnsi="Times New Roman" w:cs="Times New Roman"/>
          <w:bCs/>
        </w:rPr>
        <w:t>John Keegan: A csata arca: a közkatonák háborúja. Debrecen 2000</w:t>
      </w:r>
      <w:r w:rsidRPr="00B76F5C">
        <w:rPr>
          <w:rFonts w:ascii="Times New Roman" w:eastAsia="Times New Roman" w:hAnsi="Times New Roman" w:cs="Times New Roman"/>
        </w:rPr>
        <w:t>.</w:t>
      </w:r>
    </w:p>
    <w:p w:rsidR="000C0043" w:rsidRPr="00B76F5C" w:rsidRDefault="000C0043" w:rsidP="00C14833">
      <w:pPr>
        <w:widowControl w:val="0"/>
        <w:numPr>
          <w:ilvl w:val="1"/>
          <w:numId w:val="106"/>
        </w:numPr>
        <w:tabs>
          <w:tab w:val="num" w:pos="567"/>
          <w:tab w:val="num" w:pos="2069"/>
        </w:tabs>
        <w:spacing w:before="120" w:after="120" w:line="240" w:lineRule="auto"/>
        <w:ind w:left="993" w:hanging="709"/>
        <w:jc w:val="both"/>
        <w:rPr>
          <w:rFonts w:ascii="Times New Roman" w:eastAsia="Times New Roman" w:hAnsi="Times New Roman" w:cs="Times New Roman"/>
          <w:b/>
          <w:bCs/>
        </w:rPr>
      </w:pPr>
      <w:r w:rsidRPr="00B76F5C">
        <w:rPr>
          <w:rFonts w:ascii="Times New Roman" w:eastAsia="Times New Roman" w:hAnsi="Times New Roman" w:cs="Times New Roman"/>
          <w:b/>
          <w:bCs/>
        </w:rPr>
        <w:t>Ajánlott irodalom:</w:t>
      </w:r>
    </w:p>
    <w:p w:rsidR="000C0043" w:rsidRPr="004D7256" w:rsidRDefault="000C0043" w:rsidP="00C14833">
      <w:pPr>
        <w:pStyle w:val="Listaszerbekezds"/>
        <w:widowControl w:val="0"/>
        <w:numPr>
          <w:ilvl w:val="0"/>
          <w:numId w:val="105"/>
        </w:numPr>
        <w:tabs>
          <w:tab w:val="num" w:pos="2069"/>
        </w:tabs>
        <w:spacing w:before="120" w:after="120" w:line="240" w:lineRule="auto"/>
        <w:ind w:left="567" w:hanging="283"/>
        <w:rPr>
          <w:rFonts w:ascii="Times New Roman" w:eastAsia="Times New Roman" w:hAnsi="Times New Roman" w:cs="Times New Roman"/>
          <w:bCs/>
          <w:highlight w:val="yellow"/>
        </w:rPr>
      </w:pPr>
      <w:r w:rsidRPr="004D7256">
        <w:rPr>
          <w:rFonts w:ascii="Times New Roman" w:eastAsia="Times New Roman" w:hAnsi="Times New Roman" w:cs="Times New Roman"/>
          <w:bCs/>
          <w:highlight w:val="yellow"/>
        </w:rPr>
        <w:t xml:space="preserve">Bánlaky József: A magyar nemzet hadtörténelme. </w:t>
      </w:r>
    </w:p>
    <w:p w:rsidR="000C0043" w:rsidRPr="00B76F5C" w:rsidRDefault="000C0043" w:rsidP="00C14833">
      <w:pPr>
        <w:pStyle w:val="Listaszerbekezds"/>
        <w:widowControl w:val="0"/>
        <w:numPr>
          <w:ilvl w:val="0"/>
          <w:numId w:val="105"/>
        </w:numPr>
        <w:spacing w:before="120" w:after="120" w:line="240" w:lineRule="auto"/>
        <w:ind w:left="567" w:hanging="283"/>
        <w:jc w:val="both"/>
        <w:rPr>
          <w:rFonts w:ascii="Times New Roman" w:eastAsia="Times New Roman" w:hAnsi="Times New Roman" w:cs="Times New Roman"/>
          <w:bCs/>
        </w:rPr>
      </w:pPr>
      <w:r w:rsidRPr="00B76F5C">
        <w:rPr>
          <w:rFonts w:ascii="Times New Roman" w:eastAsia="Times New Roman" w:hAnsi="Times New Roman" w:cs="Times New Roman"/>
          <w:bCs/>
        </w:rPr>
        <w:t>Csikány Tamás: Az európai hadművészet a harmincéves háborútól a XIX. század végéig. Budapest: ZMNE, 2001.</w:t>
      </w:r>
    </w:p>
    <w:p w:rsidR="000C0043" w:rsidRPr="00B76F5C" w:rsidRDefault="000C0043" w:rsidP="00C14833">
      <w:pPr>
        <w:pStyle w:val="Listaszerbekezds"/>
        <w:widowControl w:val="0"/>
        <w:numPr>
          <w:ilvl w:val="0"/>
          <w:numId w:val="105"/>
        </w:numPr>
        <w:spacing w:before="120" w:after="120" w:line="240" w:lineRule="auto"/>
        <w:ind w:left="567" w:hanging="283"/>
        <w:jc w:val="both"/>
        <w:rPr>
          <w:rFonts w:ascii="Times New Roman" w:eastAsia="Times New Roman" w:hAnsi="Times New Roman" w:cs="Times New Roman"/>
          <w:bCs/>
        </w:rPr>
      </w:pPr>
      <w:r w:rsidRPr="00B76F5C">
        <w:rPr>
          <w:rFonts w:ascii="Times New Roman" w:eastAsia="Times New Roman" w:hAnsi="Times New Roman" w:cs="Times New Roman"/>
          <w:bCs/>
        </w:rPr>
        <w:t>Csikány Tamás: Magyarország hadügye 1715 és 1867 között: hadtörténelmi jegyzet / Budapest, ZMKA, 1995.</w:t>
      </w:r>
    </w:p>
    <w:p w:rsidR="000C0043" w:rsidRPr="00AA1F6A" w:rsidRDefault="000C0043" w:rsidP="00C14833">
      <w:pPr>
        <w:pStyle w:val="Listaszerbekezds"/>
        <w:widowControl w:val="0"/>
        <w:numPr>
          <w:ilvl w:val="0"/>
          <w:numId w:val="105"/>
        </w:numPr>
        <w:spacing w:before="120" w:after="120" w:line="240" w:lineRule="auto"/>
        <w:ind w:left="567" w:hanging="283"/>
        <w:jc w:val="both"/>
        <w:rPr>
          <w:rFonts w:ascii="Times New Roman" w:eastAsia="Times New Roman" w:hAnsi="Times New Roman" w:cs="Times New Roman"/>
          <w:bCs/>
        </w:rPr>
      </w:pPr>
      <w:r w:rsidRPr="00B76F5C">
        <w:rPr>
          <w:rFonts w:ascii="Times New Roman" w:eastAsia="Times New Roman" w:hAnsi="Times New Roman" w:cs="Times New Roman"/>
          <w:bCs/>
        </w:rPr>
        <w:lastRenderedPageBreak/>
        <w:t>Csikány Tamás: Az első világháború eseményei és hadművészete. Budapest, ZMNE, 2010.</w:t>
      </w:r>
    </w:p>
    <w:p w:rsidR="000C0043" w:rsidRPr="00B76F5C" w:rsidRDefault="000C0043" w:rsidP="00AA1F6A">
      <w:pPr>
        <w:widowControl w:val="0"/>
        <w:spacing w:before="120" w:after="120" w:line="240" w:lineRule="auto"/>
        <w:ind w:firstLine="284"/>
        <w:jc w:val="both"/>
        <w:rPr>
          <w:rFonts w:ascii="Times New Roman" w:eastAsia="Times New Roman" w:hAnsi="Times New Roman" w:cs="Times New Roman"/>
          <w:bCs/>
        </w:rPr>
      </w:pPr>
      <w:r w:rsidRPr="00B76F5C">
        <w:rPr>
          <w:rFonts w:ascii="Times New Roman" w:eastAsia="Times New Roman" w:hAnsi="Times New Roman" w:cs="Times New Roman"/>
          <w:bCs/>
        </w:rPr>
        <w:t>Budapest, 2020. 01. 20</w:t>
      </w:r>
    </w:p>
    <w:p w:rsidR="000C0043" w:rsidRPr="00B76F5C" w:rsidRDefault="000C0043" w:rsidP="000C0043">
      <w:pPr>
        <w:widowControl w:val="0"/>
        <w:spacing w:before="120" w:after="120" w:line="240" w:lineRule="auto"/>
        <w:jc w:val="both"/>
        <w:rPr>
          <w:rFonts w:ascii="Times New Roman" w:eastAsia="Times New Roman" w:hAnsi="Times New Roman" w:cs="Times New Roman"/>
          <w:bCs/>
        </w:rPr>
      </w:pPr>
    </w:p>
    <w:p w:rsidR="000C0043" w:rsidRPr="00B76F5C" w:rsidRDefault="000C0043" w:rsidP="000C0043">
      <w:pPr>
        <w:widowControl w:val="0"/>
        <w:spacing w:after="0" w:line="240" w:lineRule="auto"/>
        <w:ind w:left="5103"/>
        <w:jc w:val="center"/>
        <w:rPr>
          <w:rFonts w:ascii="Times New Roman" w:eastAsia="Times New Roman" w:hAnsi="Times New Roman" w:cs="Times New Roman"/>
          <w:b/>
          <w:bCs/>
        </w:rPr>
      </w:pPr>
      <w:r w:rsidRPr="00B76F5C">
        <w:rPr>
          <w:rFonts w:ascii="Times New Roman" w:eastAsia="Times New Roman" w:hAnsi="Times New Roman" w:cs="Times New Roman"/>
          <w:b/>
          <w:bCs/>
        </w:rPr>
        <w:t>Dr. Négyesi Lajos ezredes, PhD</w:t>
      </w:r>
    </w:p>
    <w:p w:rsidR="000C0043" w:rsidRPr="00B76F5C" w:rsidRDefault="000C0043" w:rsidP="000C0043">
      <w:pPr>
        <w:widowControl w:val="0"/>
        <w:spacing w:after="0" w:line="240" w:lineRule="auto"/>
        <w:ind w:left="5103"/>
        <w:jc w:val="center"/>
        <w:rPr>
          <w:rFonts w:ascii="Times New Roman" w:eastAsia="Times New Roman" w:hAnsi="Times New Roman" w:cs="Times New Roman"/>
          <w:bCs/>
        </w:rPr>
      </w:pPr>
      <w:r w:rsidRPr="00B76F5C">
        <w:rPr>
          <w:rFonts w:ascii="Times New Roman" w:eastAsia="Times New Roman" w:hAnsi="Times New Roman" w:cs="Times New Roman"/>
          <w:bCs/>
        </w:rPr>
        <w:t>egyetemi docens</w:t>
      </w:r>
    </w:p>
    <w:p w:rsidR="000C0043" w:rsidRPr="00B76F5C" w:rsidRDefault="000C0043" w:rsidP="000C0043">
      <w:pPr>
        <w:widowControl w:val="0"/>
        <w:spacing w:after="0" w:line="240" w:lineRule="auto"/>
        <w:ind w:left="5103"/>
        <w:jc w:val="center"/>
        <w:rPr>
          <w:rFonts w:ascii="Times New Roman" w:eastAsia="Times New Roman" w:hAnsi="Times New Roman" w:cs="Times New Roman"/>
          <w:bCs/>
        </w:rPr>
      </w:pPr>
      <w:r w:rsidRPr="00B76F5C">
        <w:rPr>
          <w:rFonts w:ascii="Times New Roman" w:eastAsia="Times New Roman" w:hAnsi="Times New Roman" w:cs="Times New Roman"/>
          <w:bCs/>
        </w:rPr>
        <w:t>sk.</w:t>
      </w:r>
    </w:p>
    <w:p w:rsidR="000C0043" w:rsidRDefault="000C0043">
      <w:pPr>
        <w:spacing w:after="200" w:line="276" w:lineRule="auto"/>
        <w:rPr>
          <w:rFonts w:ascii="Times New Roman" w:hAnsi="Times New Roman" w:cs="Times New Roman"/>
          <w:sz w:val="24"/>
        </w:rPr>
      </w:pPr>
    </w:p>
    <w:p w:rsidR="00B76F5C" w:rsidRDefault="00B76F5C">
      <w:pPr>
        <w:spacing w:after="200" w:line="276" w:lineRule="auto"/>
        <w:rPr>
          <w:rFonts w:ascii="Times New Roman" w:hAnsi="Times New Roman" w:cs="Times New Roman"/>
          <w:sz w:val="24"/>
        </w:rPr>
      </w:pPr>
      <w:r>
        <w:rPr>
          <w:rFonts w:ascii="Times New Roman" w:hAnsi="Times New Roman" w:cs="Times New Roman"/>
          <w:sz w:val="24"/>
        </w:rPr>
        <w:br w:type="page"/>
      </w:r>
    </w:p>
    <w:tbl>
      <w:tblPr>
        <w:tblW w:w="9072" w:type="dxa"/>
        <w:tblInd w:w="113" w:type="dxa"/>
        <w:tblLook w:val="01E0" w:firstRow="1" w:lastRow="1" w:firstColumn="1" w:lastColumn="1" w:noHBand="0" w:noVBand="0"/>
      </w:tblPr>
      <w:tblGrid>
        <w:gridCol w:w="4855"/>
        <w:gridCol w:w="1620"/>
        <w:gridCol w:w="2597"/>
      </w:tblGrid>
      <w:tr w:rsidR="00F35BEE" w:rsidTr="00F35BEE">
        <w:tc>
          <w:tcPr>
            <w:tcW w:w="4855" w:type="dxa"/>
            <w:tcBorders>
              <w:top w:val="nil"/>
              <w:left w:val="nil"/>
              <w:bottom w:val="single" w:sz="4" w:space="0" w:color="auto"/>
              <w:right w:val="nil"/>
            </w:tcBorders>
            <w:hideMark/>
          </w:tcPr>
          <w:p w:rsidR="00F35BEE" w:rsidRDefault="00F35BEE">
            <w:pPr>
              <w:spacing w:after="0" w:line="240" w:lineRule="auto"/>
              <w:jc w:val="center"/>
              <w:rPr>
                <w:rFonts w:ascii="Times New Roman" w:eastAsia="Times New Roman" w:hAnsi="Times New Roman" w:cs="Times New Roman"/>
                <w:b/>
                <w:smallCaps/>
                <w:lang w:eastAsia="hu-HU"/>
              </w:rPr>
            </w:pPr>
            <w:r>
              <w:rPr>
                <w:rFonts w:ascii="Times New Roman" w:eastAsia="Times New Roman" w:hAnsi="Times New Roman" w:cs="Times New Roman"/>
                <w:b/>
                <w:smallCaps/>
                <w:lang w:eastAsia="hu-HU"/>
              </w:rPr>
              <w:lastRenderedPageBreak/>
              <w:t>Nemzeti Közszolgálati Egyetem</w:t>
            </w:r>
          </w:p>
        </w:tc>
        <w:tc>
          <w:tcPr>
            <w:tcW w:w="1620" w:type="dxa"/>
          </w:tcPr>
          <w:p w:rsidR="00F35BEE" w:rsidRDefault="00F35BEE">
            <w:pPr>
              <w:spacing w:after="0" w:line="240" w:lineRule="auto"/>
              <w:jc w:val="both"/>
              <w:rPr>
                <w:rFonts w:ascii="Times New Roman" w:eastAsia="Times New Roman" w:hAnsi="Times New Roman" w:cs="Times New Roman"/>
                <w:lang w:eastAsia="hu-HU"/>
              </w:rPr>
            </w:pPr>
          </w:p>
        </w:tc>
        <w:tc>
          <w:tcPr>
            <w:tcW w:w="2597" w:type="dxa"/>
          </w:tcPr>
          <w:p w:rsidR="00F35BEE" w:rsidRDefault="00F35BEE">
            <w:pPr>
              <w:spacing w:after="0" w:line="240" w:lineRule="auto"/>
              <w:jc w:val="right"/>
              <w:rPr>
                <w:rFonts w:ascii="Times New Roman" w:eastAsia="Times New Roman" w:hAnsi="Times New Roman" w:cs="Times New Roman"/>
                <w:lang w:eastAsia="hu-HU"/>
              </w:rPr>
            </w:pPr>
          </w:p>
        </w:tc>
      </w:tr>
      <w:tr w:rsidR="00F35BEE" w:rsidTr="00F35BEE">
        <w:tc>
          <w:tcPr>
            <w:tcW w:w="4855" w:type="dxa"/>
            <w:tcBorders>
              <w:top w:val="single" w:sz="4" w:space="0" w:color="auto"/>
              <w:left w:val="nil"/>
              <w:bottom w:val="nil"/>
              <w:right w:val="nil"/>
            </w:tcBorders>
            <w:hideMark/>
          </w:tcPr>
          <w:p w:rsidR="00F35BEE" w:rsidRDefault="00F35BEE">
            <w:pPr>
              <w:spacing w:after="0" w:line="240" w:lineRule="auto"/>
              <w:jc w:val="center"/>
              <w:rPr>
                <w:rFonts w:ascii="Times New Roman" w:eastAsia="Times New Roman" w:hAnsi="Times New Roman" w:cs="Times New Roman"/>
                <w:b/>
                <w:lang w:eastAsia="hu-HU"/>
              </w:rPr>
            </w:pPr>
            <w:r>
              <w:rPr>
                <w:rFonts w:ascii="Times New Roman" w:eastAsia="Times New Roman" w:hAnsi="Times New Roman" w:cs="Times New Roman"/>
                <w:b/>
                <w:lang w:eastAsia="hu-HU"/>
              </w:rPr>
              <w:t>Hadtudományi és Honvédtisztképző Kar</w:t>
            </w:r>
          </w:p>
        </w:tc>
        <w:tc>
          <w:tcPr>
            <w:tcW w:w="1620" w:type="dxa"/>
          </w:tcPr>
          <w:p w:rsidR="00F35BEE" w:rsidRDefault="00F35BEE">
            <w:pPr>
              <w:spacing w:after="0" w:line="240" w:lineRule="auto"/>
              <w:jc w:val="both"/>
              <w:rPr>
                <w:rFonts w:ascii="Times New Roman" w:eastAsia="Times New Roman" w:hAnsi="Times New Roman" w:cs="Times New Roman"/>
                <w:lang w:eastAsia="hu-HU"/>
              </w:rPr>
            </w:pPr>
          </w:p>
        </w:tc>
        <w:tc>
          <w:tcPr>
            <w:tcW w:w="2597" w:type="dxa"/>
          </w:tcPr>
          <w:p w:rsidR="00F35BEE" w:rsidRDefault="00F35BEE">
            <w:pPr>
              <w:spacing w:after="0" w:line="240" w:lineRule="auto"/>
              <w:jc w:val="both"/>
              <w:rPr>
                <w:rFonts w:ascii="Times New Roman" w:eastAsia="Times New Roman" w:hAnsi="Times New Roman" w:cs="Times New Roman"/>
                <w:lang w:eastAsia="hu-HU"/>
              </w:rPr>
            </w:pPr>
          </w:p>
        </w:tc>
      </w:tr>
    </w:tbl>
    <w:p w:rsidR="00F35BEE" w:rsidRDefault="00F35BEE" w:rsidP="00F35BEE">
      <w:pPr>
        <w:widowControl w:val="0"/>
        <w:spacing w:before="120" w:after="120" w:line="240" w:lineRule="auto"/>
        <w:ind w:left="426" w:hanging="142"/>
        <w:jc w:val="center"/>
        <w:rPr>
          <w:rFonts w:ascii="Times New Roman" w:eastAsia="Times New Roman" w:hAnsi="Times New Roman" w:cs="Times New Roman"/>
          <w:b/>
          <w:bCs/>
        </w:rPr>
      </w:pPr>
    </w:p>
    <w:p w:rsidR="00F35BEE" w:rsidRDefault="00F35BEE" w:rsidP="00F35BEE">
      <w:pPr>
        <w:widowControl w:val="0"/>
        <w:spacing w:before="120" w:after="120" w:line="240" w:lineRule="auto"/>
        <w:ind w:left="426" w:hanging="142"/>
        <w:jc w:val="center"/>
        <w:rPr>
          <w:rFonts w:ascii="Times New Roman" w:eastAsia="Times New Roman" w:hAnsi="Times New Roman" w:cs="Times New Roman"/>
          <w:b/>
          <w:bCs/>
        </w:rPr>
      </w:pPr>
      <w:r>
        <w:rPr>
          <w:rFonts w:ascii="Times New Roman" w:eastAsia="Times New Roman" w:hAnsi="Times New Roman" w:cs="Times New Roman"/>
          <w:b/>
          <w:bCs/>
        </w:rPr>
        <w:t>TANTÁRGYI PROGRAM</w:t>
      </w:r>
    </w:p>
    <w:p w:rsidR="00F35BEE" w:rsidRDefault="00F35BEE" w:rsidP="00C14833">
      <w:pPr>
        <w:widowControl w:val="0"/>
        <w:numPr>
          <w:ilvl w:val="0"/>
          <w:numId w:val="108"/>
        </w:numPr>
        <w:tabs>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tantárgy kódja:</w:t>
      </w:r>
      <w:r>
        <w:t xml:space="preserve"> </w:t>
      </w:r>
      <w:r>
        <w:rPr>
          <w:rFonts w:ascii="Times New Roman" w:eastAsia="Times New Roman" w:hAnsi="Times New Roman" w:cs="Times New Roman"/>
          <w:bCs/>
        </w:rPr>
        <w:t>HKHJITA078</w:t>
      </w:r>
    </w:p>
    <w:p w:rsidR="00F35BEE" w:rsidRDefault="00F35BEE" w:rsidP="00C14833">
      <w:pPr>
        <w:widowControl w:val="0"/>
        <w:numPr>
          <w:ilvl w:val="0"/>
          <w:numId w:val="108"/>
        </w:numPr>
        <w:tabs>
          <w:tab w:val="num" w:pos="567"/>
        </w:tabs>
        <w:spacing w:before="120" w:after="120" w:line="240" w:lineRule="auto"/>
        <w:ind w:left="426" w:hanging="142"/>
        <w:jc w:val="both"/>
        <w:rPr>
          <w:rFonts w:ascii="Times New Roman" w:eastAsia="Times New Roman" w:hAnsi="Times New Roman" w:cs="Times New Roman"/>
          <w:b/>
          <w:bCs/>
          <w:lang w:val="en-GB"/>
        </w:rPr>
      </w:pPr>
      <w:r>
        <w:rPr>
          <w:rFonts w:ascii="Times New Roman" w:eastAsia="Times New Roman" w:hAnsi="Times New Roman" w:cs="Times New Roman"/>
          <w:b/>
          <w:bCs/>
        </w:rPr>
        <w:t>A tantárgy megnevezése (magyarul):</w:t>
      </w:r>
      <w:r>
        <w:rPr>
          <w:rFonts w:ascii="Times New Roman" w:eastAsia="Times New Roman" w:hAnsi="Times New Roman" w:cs="Times New Roman"/>
          <w:bCs/>
        </w:rPr>
        <w:t xml:space="preserve"> Honvédelmi jog és igazgatás </w:t>
      </w:r>
    </w:p>
    <w:p w:rsidR="00F35BEE" w:rsidRDefault="00F35BEE" w:rsidP="00C14833">
      <w:pPr>
        <w:widowControl w:val="0"/>
        <w:numPr>
          <w:ilvl w:val="0"/>
          <w:numId w:val="108"/>
        </w:numPr>
        <w:tabs>
          <w:tab w:val="num" w:pos="567"/>
        </w:tabs>
        <w:spacing w:before="120" w:after="120" w:line="240" w:lineRule="auto"/>
        <w:ind w:left="426" w:hanging="142"/>
        <w:jc w:val="both"/>
        <w:rPr>
          <w:rFonts w:ascii="Times New Roman" w:eastAsia="Times New Roman" w:hAnsi="Times New Roman" w:cs="Times New Roman"/>
          <w:b/>
          <w:bCs/>
          <w:lang w:val="en-GB"/>
        </w:rPr>
      </w:pPr>
      <w:r>
        <w:rPr>
          <w:rFonts w:ascii="Times New Roman" w:eastAsia="Times New Roman" w:hAnsi="Times New Roman" w:cs="Times New Roman"/>
          <w:b/>
          <w:bCs/>
        </w:rPr>
        <w:t xml:space="preserve">A tantárgy megnevezése (angolul): </w:t>
      </w:r>
      <w:r>
        <w:rPr>
          <w:rFonts w:ascii="Times New Roman" w:eastAsia="Times New Roman" w:hAnsi="Times New Roman" w:cs="Times New Roman"/>
          <w:bCs/>
          <w:lang w:val="en-GB"/>
        </w:rPr>
        <w:t xml:space="preserve">Defense Law and Administration  </w:t>
      </w:r>
    </w:p>
    <w:p w:rsidR="00F35BEE" w:rsidRDefault="00F35BEE" w:rsidP="00C14833">
      <w:pPr>
        <w:widowControl w:val="0"/>
        <w:numPr>
          <w:ilvl w:val="0"/>
          <w:numId w:val="108"/>
        </w:numPr>
        <w:tabs>
          <w:tab w:val="num" w:pos="567"/>
        </w:tabs>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Kreditérték és képzési karakter: </w:t>
      </w:r>
    </w:p>
    <w:p w:rsidR="00F35BEE" w:rsidRDefault="00F35BEE" w:rsidP="00C14833">
      <w:pPr>
        <w:pStyle w:val="Listaszerbekezds"/>
        <w:widowControl w:val="0"/>
        <w:numPr>
          <w:ilvl w:val="1"/>
          <w:numId w:val="108"/>
        </w:numPr>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2 kredit</w:t>
      </w:r>
    </w:p>
    <w:p w:rsidR="00F35BEE" w:rsidRDefault="00F35BEE" w:rsidP="00C14833">
      <w:pPr>
        <w:pStyle w:val="Listaszerbekezds"/>
        <w:widowControl w:val="0"/>
        <w:numPr>
          <w:ilvl w:val="1"/>
          <w:numId w:val="108"/>
        </w:numPr>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a tantárgy elméleti vagy gyakorlati jellegének mértéke: 0</w:t>
      </w:r>
      <w:r>
        <w:rPr>
          <w:rFonts w:ascii="Times New Roman" w:eastAsia="Times New Roman" w:hAnsi="Times New Roman" w:cs="Times New Roman"/>
          <w:b/>
          <w:bCs/>
        </w:rPr>
        <w:t xml:space="preserve"> </w:t>
      </w:r>
      <w:r>
        <w:rPr>
          <w:rFonts w:ascii="Times New Roman" w:eastAsia="Times New Roman" w:hAnsi="Times New Roman" w:cs="Times New Roman"/>
          <w:bCs/>
        </w:rPr>
        <w:t>% gyakorlat, 100 % elmélet</w:t>
      </w:r>
    </w:p>
    <w:p w:rsidR="00F35BEE" w:rsidRDefault="00F35BEE" w:rsidP="00C14833">
      <w:pPr>
        <w:widowControl w:val="0"/>
        <w:numPr>
          <w:ilvl w:val="0"/>
          <w:numId w:val="108"/>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szak(ok), szakirányok/specializációk megnevezése (ahol oktatják):</w:t>
      </w:r>
      <w:r>
        <w:rPr>
          <w:rFonts w:ascii="Times New Roman" w:eastAsia="Times New Roman" w:hAnsi="Times New Roman" w:cs="Times New Roman"/>
          <w:bCs/>
        </w:rPr>
        <w:t xml:space="preserve"> valamennyi katonai alapképzési (</w:t>
      </w:r>
      <w:r w:rsidR="00137B8A">
        <w:rPr>
          <w:rFonts w:ascii="Times New Roman" w:eastAsia="Times New Roman" w:hAnsi="Times New Roman" w:cs="Times New Roman"/>
          <w:bCs/>
        </w:rPr>
        <w:t>BSc</w:t>
      </w:r>
      <w:r>
        <w:rPr>
          <w:rFonts w:ascii="Times New Roman" w:eastAsia="Times New Roman" w:hAnsi="Times New Roman" w:cs="Times New Roman"/>
          <w:bCs/>
        </w:rPr>
        <w:t>) szakon</w:t>
      </w:r>
    </w:p>
    <w:p w:rsidR="00F35BEE" w:rsidRDefault="00F35BEE" w:rsidP="00C14833">
      <w:pPr>
        <w:widowControl w:val="0"/>
        <w:numPr>
          <w:ilvl w:val="0"/>
          <w:numId w:val="108"/>
        </w:numPr>
        <w:tabs>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Az oktatásért felelős oktatási szervezeti egység megnevezése: </w:t>
      </w:r>
      <w:r>
        <w:rPr>
          <w:rFonts w:ascii="Times New Roman" w:eastAsia="Times New Roman" w:hAnsi="Times New Roman" w:cs="Times New Roman"/>
          <w:bCs/>
        </w:rPr>
        <w:t>Hadtudományi és Honvédtisztképző Kar, Honvédelmi Jogi és Igazgatási Tanszék</w:t>
      </w:r>
    </w:p>
    <w:p w:rsidR="00F35BEE" w:rsidRDefault="00F35BEE" w:rsidP="00C14833">
      <w:pPr>
        <w:widowControl w:val="0"/>
        <w:numPr>
          <w:ilvl w:val="0"/>
          <w:numId w:val="108"/>
        </w:numPr>
        <w:tabs>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tantárgyfelelős oktató neve, beosztása, tudományos fokozata:</w:t>
      </w:r>
      <w:r>
        <w:rPr>
          <w:rFonts w:ascii="Times New Roman" w:eastAsia="Times New Roman" w:hAnsi="Times New Roman" w:cs="Times New Roman"/>
          <w:bCs/>
        </w:rPr>
        <w:t xml:space="preserve"> Dr. Petruska Ferenc alezredes, adjunktus, PhD</w:t>
      </w:r>
    </w:p>
    <w:p w:rsidR="00F35BEE" w:rsidRDefault="00F35BEE" w:rsidP="00C14833">
      <w:pPr>
        <w:widowControl w:val="0"/>
        <w:numPr>
          <w:ilvl w:val="0"/>
          <w:numId w:val="108"/>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tanórák száma és típusa</w:t>
      </w:r>
    </w:p>
    <w:p w:rsidR="00F35BEE" w:rsidRDefault="00F35BEE" w:rsidP="00C14833">
      <w:pPr>
        <w:widowControl w:val="0"/>
        <w:numPr>
          <w:ilvl w:val="1"/>
          <w:numId w:val="108"/>
        </w:numPr>
        <w:tabs>
          <w:tab w:val="num" w:pos="709"/>
          <w:tab w:val="num" w:pos="2069"/>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össz óraszám/félév: 28</w:t>
      </w:r>
    </w:p>
    <w:p w:rsidR="00F35BEE" w:rsidRDefault="00F35BEE" w:rsidP="00C14833">
      <w:pPr>
        <w:widowControl w:val="0"/>
        <w:numPr>
          <w:ilvl w:val="2"/>
          <w:numId w:val="108"/>
        </w:numPr>
        <w:spacing w:before="120" w:after="120" w:line="240" w:lineRule="auto"/>
        <w:ind w:left="1276" w:hanging="567"/>
        <w:jc w:val="both"/>
        <w:rPr>
          <w:rFonts w:ascii="Times New Roman" w:eastAsia="Times New Roman" w:hAnsi="Times New Roman" w:cs="Times New Roman"/>
          <w:bCs/>
        </w:rPr>
      </w:pPr>
      <w:r>
        <w:rPr>
          <w:rFonts w:ascii="Times New Roman" w:eastAsia="Times New Roman" w:hAnsi="Times New Roman" w:cs="Times New Roman"/>
          <w:bCs/>
        </w:rPr>
        <w:t>nappali munkarend: 28 (28 EA + 0 SZ + 0GY)</w:t>
      </w:r>
    </w:p>
    <w:p w:rsidR="00F35BEE" w:rsidRDefault="00F35BEE" w:rsidP="00C14833">
      <w:pPr>
        <w:widowControl w:val="0"/>
        <w:numPr>
          <w:ilvl w:val="2"/>
          <w:numId w:val="108"/>
        </w:numPr>
        <w:spacing w:before="120" w:after="120" w:line="240" w:lineRule="auto"/>
        <w:ind w:left="1276" w:hanging="567"/>
        <w:jc w:val="both"/>
        <w:rPr>
          <w:rFonts w:ascii="Times New Roman" w:eastAsia="Times New Roman" w:hAnsi="Times New Roman" w:cs="Times New Roman"/>
          <w:bCs/>
        </w:rPr>
      </w:pPr>
      <w:r>
        <w:rPr>
          <w:rFonts w:ascii="Times New Roman" w:eastAsia="Times New Roman" w:hAnsi="Times New Roman" w:cs="Times New Roman"/>
          <w:bCs/>
        </w:rPr>
        <w:t xml:space="preserve">levelező munkarend: 0  </w:t>
      </w:r>
    </w:p>
    <w:p w:rsidR="00F35BEE" w:rsidRDefault="00F35BEE" w:rsidP="00C14833">
      <w:pPr>
        <w:widowControl w:val="0"/>
        <w:numPr>
          <w:ilvl w:val="1"/>
          <w:numId w:val="108"/>
        </w:numPr>
        <w:tabs>
          <w:tab w:val="num" w:pos="709"/>
          <w:tab w:val="num" w:pos="2069"/>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heti óraszám - nappali munkarend: 2</w:t>
      </w:r>
    </w:p>
    <w:p w:rsidR="00F35BEE" w:rsidRDefault="00F35BEE" w:rsidP="00C14833">
      <w:pPr>
        <w:widowControl w:val="0"/>
        <w:numPr>
          <w:ilvl w:val="1"/>
          <w:numId w:val="108"/>
        </w:numPr>
        <w:tabs>
          <w:tab w:val="num" w:pos="709"/>
          <w:tab w:val="num" w:pos="2069"/>
        </w:tabs>
        <w:spacing w:before="120" w:after="120" w:line="240" w:lineRule="auto"/>
        <w:ind w:left="851" w:hanging="425"/>
        <w:jc w:val="both"/>
        <w:rPr>
          <w:rFonts w:ascii="Times New Roman" w:eastAsia="Times New Roman" w:hAnsi="Times New Roman" w:cs="Times New Roman"/>
          <w:bCs/>
        </w:rPr>
      </w:pPr>
      <w:r>
        <w:rPr>
          <w:rFonts w:ascii="Times New Roman" w:hAnsi="Times New Roman" w:cs="Times New Roman"/>
        </w:rPr>
        <w:t>Az ismeret átadásában alkalmazandó további sajátos módok, jellemzők:</w:t>
      </w:r>
      <w:r>
        <w:rPr>
          <w:rFonts w:ascii="Times New Roman" w:eastAsia="Times New Roman" w:hAnsi="Times New Roman" w:cs="Times New Roman"/>
          <w:bCs/>
        </w:rPr>
        <w:t xml:space="preserve"> jogesetmegoldás </w:t>
      </w:r>
      <w:r>
        <w:rPr>
          <w:rFonts w:ascii="Times New Roman" w:eastAsia="Times New Roman" w:hAnsi="Times New Roman" w:cs="Times New Roman"/>
          <w:bCs/>
          <w:i/>
        </w:rPr>
        <w:t>(case study)</w:t>
      </w:r>
    </w:p>
    <w:p w:rsidR="00F35BEE" w:rsidRDefault="00F35BEE" w:rsidP="00C14833">
      <w:pPr>
        <w:widowControl w:val="0"/>
        <w:numPr>
          <w:ilvl w:val="0"/>
          <w:numId w:val="108"/>
        </w:numPr>
        <w:spacing w:before="120" w:after="120" w:line="240" w:lineRule="auto"/>
        <w:jc w:val="both"/>
        <w:rPr>
          <w:rFonts w:ascii="Times New Roman" w:eastAsia="Times New Roman" w:hAnsi="Times New Roman" w:cs="Times New Roman"/>
          <w:bCs/>
        </w:rPr>
      </w:pPr>
      <w:r>
        <w:rPr>
          <w:rFonts w:ascii="Times New Roman" w:eastAsia="Times New Roman" w:hAnsi="Times New Roman" w:cs="Times New Roman"/>
          <w:b/>
          <w:bCs/>
        </w:rPr>
        <w:t>A tantárgy szakmai tartalma (magyarul):</w:t>
      </w:r>
      <w:r>
        <w:rPr>
          <w:rFonts w:ascii="Times New Roman" w:eastAsia="Times New Roman" w:hAnsi="Times New Roman" w:cs="Times New Roman"/>
          <w:bCs/>
        </w:rPr>
        <w:t xml:space="preserve"> </w:t>
      </w:r>
      <w:r>
        <w:rPr>
          <w:rFonts w:ascii="Times New Roman" w:hAnsi="Times New Roman" w:cs="Times New Roman"/>
          <w:bCs/>
        </w:rPr>
        <w:t xml:space="preserve">A honvédelem joga, szervezete, rendszere és igazgatása. </w:t>
      </w:r>
      <w:r>
        <w:rPr>
          <w:rFonts w:ascii="Times New Roman" w:eastAsia="Times New Roman" w:hAnsi="Times New Roman" w:cs="Times New Roman"/>
        </w:rPr>
        <w:t xml:space="preserve">A Magyar Honvédség fegyveres és fegyver nélkül ellátandó feladatai. </w:t>
      </w:r>
      <w:r>
        <w:rPr>
          <w:rFonts w:ascii="Times New Roman" w:hAnsi="Times New Roman" w:cs="Times New Roman"/>
          <w:bCs/>
        </w:rPr>
        <w:t xml:space="preserve">Katonák jogai és kötelességei. Katonai bűncselekmények és büntetőeljárás. A honvédelemben résztvevő állami és nem állami szervek, azok rendeltetése és feladatai. A katonai igazgatási szervek feladatai és azok kapcsolata a védelmi igazgatással. A különleges jogrend és annak kapcsolata a honvédelmi igazgatással. </w:t>
      </w:r>
    </w:p>
    <w:p w:rsidR="00F35BEE" w:rsidRDefault="00F35BEE" w:rsidP="00F35BEE">
      <w:pPr>
        <w:widowControl w:val="0"/>
        <w:spacing w:before="120" w:after="120" w:line="240" w:lineRule="auto"/>
        <w:ind w:left="720"/>
        <w:jc w:val="both"/>
        <w:rPr>
          <w:rFonts w:ascii="Times New Roman" w:eastAsia="Times New Roman" w:hAnsi="Times New Roman" w:cs="Times New Roman"/>
          <w:bCs/>
          <w:lang w:val="en-GB"/>
        </w:rPr>
      </w:pPr>
      <w:r>
        <w:rPr>
          <w:rFonts w:ascii="Times New Roman" w:eastAsia="Times New Roman" w:hAnsi="Times New Roman" w:cs="Times New Roman"/>
          <w:b/>
          <w:bCs/>
        </w:rPr>
        <w:t>A tantárgy szakmai tartalma (angolul) (</w:t>
      </w:r>
      <w:r>
        <w:rPr>
          <w:rFonts w:ascii="Times New Roman" w:eastAsia="Times New Roman" w:hAnsi="Times New Roman" w:cs="Times New Roman"/>
          <w:b/>
          <w:bCs/>
          <w:lang w:val="en-US"/>
        </w:rPr>
        <w:t>Course description</w:t>
      </w:r>
      <w:r>
        <w:rPr>
          <w:rFonts w:ascii="Times New Roman" w:eastAsia="Times New Roman" w:hAnsi="Times New Roman" w:cs="Times New Roman"/>
          <w:b/>
          <w:bCs/>
        </w:rPr>
        <w:t xml:space="preserve">): </w:t>
      </w:r>
      <w:r>
        <w:rPr>
          <w:rFonts w:ascii="Times New Roman" w:eastAsia="Times New Roman" w:hAnsi="Times New Roman" w:cs="Times New Roman"/>
          <w:bCs/>
          <w:lang w:val="en-GB"/>
        </w:rPr>
        <w:t xml:space="preserve">The military defense’s law, system and its administration. Tasks of the Hungarian Defense Forces with and without weapons. Rights and duties of soldiers. Military crimes and prosecution. The missions and tasks of the state and non-state organisations, involved in national defense system. Tasks of the military administration and connection between the defense administration and the military administration. Rules of special legal order during extraordinary periods and its connection with the defence administration. </w:t>
      </w:r>
    </w:p>
    <w:p w:rsidR="00F35BEE" w:rsidRDefault="00F35BEE" w:rsidP="00C14833">
      <w:pPr>
        <w:widowControl w:val="0"/>
        <w:numPr>
          <w:ilvl w:val="0"/>
          <w:numId w:val="108"/>
        </w:numPr>
        <w:spacing w:before="120" w:after="120" w:line="240" w:lineRule="auto"/>
        <w:contextualSpacing/>
        <w:jc w:val="both"/>
        <w:rPr>
          <w:rFonts w:ascii="Times New Roman" w:eastAsia="Times New Roman" w:hAnsi="Times New Roman"/>
          <w:bCs/>
        </w:rPr>
      </w:pPr>
      <w:r>
        <w:rPr>
          <w:rFonts w:ascii="Times New Roman" w:eastAsia="Times New Roman" w:hAnsi="Times New Roman"/>
          <w:b/>
          <w:bCs/>
        </w:rPr>
        <w:t xml:space="preserve">Elérendő kompetenciák (magyarul): </w:t>
      </w:r>
    </w:p>
    <w:p w:rsidR="00F35BEE" w:rsidRPr="007E46DE" w:rsidRDefault="00F35BEE" w:rsidP="007E46DE">
      <w:pPr>
        <w:widowControl w:val="0"/>
        <w:spacing w:before="240" w:after="0" w:line="240" w:lineRule="auto"/>
        <w:ind w:left="425"/>
        <w:jc w:val="both"/>
        <w:rPr>
          <w:rFonts w:ascii="Times New Roman" w:eastAsia="Times New Roman" w:hAnsi="Times New Roman" w:cs="Times New Roman"/>
          <w:b/>
          <w:lang w:val="en-GB"/>
        </w:rPr>
      </w:pPr>
      <w:r w:rsidRPr="007E46DE">
        <w:rPr>
          <w:rFonts w:ascii="Times New Roman" w:eastAsia="Times New Roman" w:hAnsi="Times New Roman" w:cs="Times New Roman"/>
          <w:b/>
          <w:lang w:val="en-GB"/>
        </w:rPr>
        <w:t>Tudása:</w:t>
      </w:r>
    </w:p>
    <w:p w:rsidR="00F35BEE" w:rsidRDefault="00F35BEE" w:rsidP="00C14833">
      <w:pPr>
        <w:widowControl w:val="0"/>
        <w:numPr>
          <w:ilvl w:val="0"/>
          <w:numId w:val="107"/>
        </w:numPr>
        <w:spacing w:before="120" w:after="120" w:line="240" w:lineRule="auto"/>
        <w:contextualSpacing/>
        <w:jc w:val="both"/>
        <w:rPr>
          <w:rFonts w:ascii="Times New Roman" w:eastAsia="Times New Roman" w:hAnsi="Times New Roman"/>
          <w:bCs/>
        </w:rPr>
      </w:pPr>
      <w:r>
        <w:rPr>
          <w:rFonts w:ascii="Times New Roman" w:eastAsia="Times New Roman" w:hAnsi="Times New Roman"/>
          <w:bCs/>
        </w:rPr>
        <w:t>Ismeri a honvédelmi jog és igazgatás szabályait és intézményeit.</w:t>
      </w:r>
    </w:p>
    <w:p w:rsidR="00F35BEE" w:rsidRDefault="00F35BEE" w:rsidP="00C14833">
      <w:pPr>
        <w:widowControl w:val="0"/>
        <w:numPr>
          <w:ilvl w:val="0"/>
          <w:numId w:val="107"/>
        </w:numPr>
        <w:spacing w:before="120" w:after="120" w:line="240" w:lineRule="auto"/>
        <w:contextualSpacing/>
        <w:jc w:val="both"/>
        <w:rPr>
          <w:rFonts w:ascii="Times New Roman" w:eastAsia="Times New Roman" w:hAnsi="Times New Roman"/>
          <w:bCs/>
        </w:rPr>
      </w:pPr>
      <w:r>
        <w:rPr>
          <w:rFonts w:ascii="Times New Roman" w:eastAsia="Times New Roman" w:hAnsi="Times New Roman"/>
          <w:bCs/>
        </w:rPr>
        <w:t>Érti a harc- és hadműveletek és hadtörténelem elméletét, törvényszerűségeit és nemzetközi jogi szabályozását.</w:t>
      </w:r>
    </w:p>
    <w:p w:rsidR="00F35BEE" w:rsidRDefault="00F35BEE" w:rsidP="00C14833">
      <w:pPr>
        <w:widowControl w:val="0"/>
        <w:numPr>
          <w:ilvl w:val="0"/>
          <w:numId w:val="107"/>
        </w:numPr>
        <w:spacing w:before="120" w:after="120" w:line="240" w:lineRule="auto"/>
        <w:contextualSpacing/>
        <w:jc w:val="both"/>
        <w:rPr>
          <w:rFonts w:ascii="Times New Roman" w:eastAsia="Times New Roman" w:hAnsi="Times New Roman"/>
          <w:bCs/>
        </w:rPr>
      </w:pPr>
      <w:r>
        <w:rPr>
          <w:rFonts w:ascii="Times New Roman" w:eastAsia="Times New Roman" w:hAnsi="Times New Roman"/>
          <w:bCs/>
        </w:rPr>
        <w:t>Ismeri a harc- és hadművelet támogatásának és vezetésének elméleti és gyakorlati kérdéseit.</w:t>
      </w:r>
    </w:p>
    <w:p w:rsidR="00F35BEE" w:rsidRDefault="00F35BEE" w:rsidP="00C14833">
      <w:pPr>
        <w:widowControl w:val="0"/>
        <w:numPr>
          <w:ilvl w:val="0"/>
          <w:numId w:val="107"/>
        </w:numPr>
        <w:spacing w:before="120" w:after="120" w:line="240" w:lineRule="auto"/>
        <w:contextualSpacing/>
        <w:jc w:val="both"/>
        <w:rPr>
          <w:rFonts w:ascii="Times New Roman" w:eastAsia="Times New Roman" w:hAnsi="Times New Roman"/>
          <w:bCs/>
        </w:rPr>
      </w:pPr>
      <w:r>
        <w:rPr>
          <w:rFonts w:ascii="Times New Roman" w:eastAsia="Times New Roman" w:hAnsi="Times New Roman"/>
          <w:bCs/>
        </w:rPr>
        <w:t>Ismeri a kutatáshoz vagy tudományos munkához szükséges, széles körben alkalmazható problémamegoldó technikákat.</w:t>
      </w:r>
    </w:p>
    <w:p w:rsidR="00F35BEE" w:rsidRDefault="00F35BEE" w:rsidP="00C14833">
      <w:pPr>
        <w:widowControl w:val="0"/>
        <w:numPr>
          <w:ilvl w:val="0"/>
          <w:numId w:val="107"/>
        </w:numPr>
        <w:spacing w:before="120" w:after="120" w:line="240" w:lineRule="auto"/>
        <w:contextualSpacing/>
        <w:jc w:val="both"/>
        <w:rPr>
          <w:rFonts w:ascii="Times New Roman" w:eastAsia="Times New Roman" w:hAnsi="Times New Roman"/>
          <w:bCs/>
        </w:rPr>
      </w:pPr>
      <w:r>
        <w:rPr>
          <w:rFonts w:ascii="Times New Roman" w:eastAsia="Times New Roman" w:hAnsi="Times New Roman"/>
          <w:bCs/>
        </w:rPr>
        <w:t>Ismeri a globális társadalmi és gazdasági folyamatokat.</w:t>
      </w:r>
    </w:p>
    <w:p w:rsidR="00F35BEE" w:rsidRDefault="00F35BEE" w:rsidP="00C14833">
      <w:pPr>
        <w:widowControl w:val="0"/>
        <w:numPr>
          <w:ilvl w:val="0"/>
          <w:numId w:val="107"/>
        </w:numPr>
        <w:spacing w:before="120" w:after="120" w:line="240" w:lineRule="auto"/>
        <w:contextualSpacing/>
        <w:jc w:val="both"/>
        <w:rPr>
          <w:rFonts w:ascii="Times New Roman" w:eastAsia="Times New Roman" w:hAnsi="Times New Roman"/>
          <w:bCs/>
        </w:rPr>
      </w:pPr>
      <w:r>
        <w:rPr>
          <w:rFonts w:ascii="Times New Roman" w:eastAsia="Times New Roman" w:hAnsi="Times New Roman"/>
          <w:bCs/>
        </w:rPr>
        <w:lastRenderedPageBreak/>
        <w:t>Ismeri a támogatási rendszer tartalmát, rendszerének elemeit és azok rendeltetését.</w:t>
      </w:r>
    </w:p>
    <w:p w:rsidR="00F35BEE" w:rsidRPr="007E46DE" w:rsidRDefault="00F35BEE" w:rsidP="007E46DE">
      <w:pPr>
        <w:widowControl w:val="0"/>
        <w:spacing w:before="240" w:after="0" w:line="240" w:lineRule="auto"/>
        <w:ind w:left="425"/>
        <w:jc w:val="both"/>
        <w:rPr>
          <w:rFonts w:ascii="Times New Roman" w:eastAsia="Times New Roman" w:hAnsi="Times New Roman" w:cs="Times New Roman"/>
          <w:b/>
          <w:lang w:val="en-GB"/>
        </w:rPr>
      </w:pPr>
      <w:r w:rsidRPr="007E46DE">
        <w:rPr>
          <w:rFonts w:ascii="Times New Roman" w:eastAsia="Times New Roman" w:hAnsi="Times New Roman" w:cs="Times New Roman"/>
          <w:b/>
          <w:lang w:val="en-GB"/>
        </w:rPr>
        <w:t>Képességei:</w:t>
      </w:r>
    </w:p>
    <w:p w:rsidR="00F35BEE" w:rsidRDefault="00F35BEE" w:rsidP="00C14833">
      <w:pPr>
        <w:widowControl w:val="0"/>
        <w:numPr>
          <w:ilvl w:val="0"/>
          <w:numId w:val="107"/>
        </w:numPr>
        <w:spacing w:before="120" w:after="120" w:line="240" w:lineRule="auto"/>
        <w:contextualSpacing/>
        <w:jc w:val="both"/>
        <w:rPr>
          <w:rFonts w:ascii="Times New Roman" w:eastAsia="Times New Roman" w:hAnsi="Times New Roman"/>
          <w:bCs/>
        </w:rPr>
      </w:pPr>
      <w:r>
        <w:rPr>
          <w:rFonts w:ascii="Times New Roman" w:eastAsia="Times New Roman" w:hAnsi="Times New Roman"/>
          <w:bCs/>
        </w:rPr>
        <w:t>Képes alegységek, egységek  támogatásának vezetésére, törzskari együttműködésre hazai és nemzetközi törzsekben egyaránt.</w:t>
      </w:r>
    </w:p>
    <w:p w:rsidR="00F35BEE" w:rsidRDefault="00F35BEE" w:rsidP="00C14833">
      <w:pPr>
        <w:widowControl w:val="0"/>
        <w:numPr>
          <w:ilvl w:val="0"/>
          <w:numId w:val="107"/>
        </w:numPr>
        <w:spacing w:before="120" w:after="120" w:line="240" w:lineRule="auto"/>
        <w:contextualSpacing/>
        <w:jc w:val="both"/>
        <w:rPr>
          <w:rFonts w:ascii="Times New Roman" w:eastAsia="Times New Roman" w:hAnsi="Times New Roman"/>
          <w:bCs/>
        </w:rPr>
      </w:pPr>
      <w:r>
        <w:rPr>
          <w:rFonts w:ascii="Times New Roman" w:eastAsia="Times New Roman" w:hAnsi="Times New Roman"/>
          <w:bCs/>
        </w:rPr>
        <w:t>Képes harcászati és hadműveleti törzsekben törzskari feladatok ellátására  döntések előkészítésére, a szaktisztek munkájának vezetésére, koordinálására.</w:t>
      </w:r>
    </w:p>
    <w:p w:rsidR="00F35BEE" w:rsidRDefault="00F35BEE" w:rsidP="00C14833">
      <w:pPr>
        <w:widowControl w:val="0"/>
        <w:numPr>
          <w:ilvl w:val="0"/>
          <w:numId w:val="107"/>
        </w:numPr>
        <w:spacing w:before="120" w:after="120" w:line="240" w:lineRule="auto"/>
        <w:contextualSpacing/>
        <w:jc w:val="both"/>
        <w:rPr>
          <w:rFonts w:ascii="Times New Roman" w:eastAsia="Times New Roman" w:hAnsi="Times New Roman"/>
          <w:bCs/>
        </w:rPr>
      </w:pPr>
      <w:r>
        <w:rPr>
          <w:rFonts w:ascii="Times New Roman" w:eastAsia="Times New Roman" w:hAnsi="Times New Roman"/>
          <w:bCs/>
        </w:rPr>
        <w:t>Képes szövetségi rendszerben a katonai középvezetők (törzsek) részére előírt feltételeknek megfelelni, feladataikat e rendszer keretei között ellátni.</w:t>
      </w:r>
    </w:p>
    <w:p w:rsidR="00F35BEE" w:rsidRDefault="00F35BEE" w:rsidP="00C14833">
      <w:pPr>
        <w:widowControl w:val="0"/>
        <w:numPr>
          <w:ilvl w:val="0"/>
          <w:numId w:val="107"/>
        </w:numPr>
        <w:spacing w:before="120" w:after="120" w:line="240" w:lineRule="auto"/>
        <w:contextualSpacing/>
        <w:jc w:val="both"/>
        <w:rPr>
          <w:rFonts w:ascii="Times New Roman" w:eastAsia="Times New Roman" w:hAnsi="Times New Roman"/>
          <w:bCs/>
        </w:rPr>
      </w:pPr>
      <w:r>
        <w:rPr>
          <w:rFonts w:ascii="Times New Roman" w:eastAsia="Times New Roman" w:hAnsi="Times New Roman"/>
          <w:bCs/>
        </w:rPr>
        <w:t>Képes a megszerzett tudás alkalmazására és gyakorlati hasznosítására, a problémamegoldó technikák használatára.</w:t>
      </w:r>
    </w:p>
    <w:p w:rsidR="00F35BEE" w:rsidRDefault="00F35BEE" w:rsidP="00C14833">
      <w:pPr>
        <w:widowControl w:val="0"/>
        <w:numPr>
          <w:ilvl w:val="0"/>
          <w:numId w:val="107"/>
        </w:numPr>
        <w:spacing w:before="120" w:after="120" w:line="240" w:lineRule="auto"/>
        <w:contextualSpacing/>
        <w:jc w:val="both"/>
        <w:rPr>
          <w:rFonts w:ascii="Times New Roman" w:eastAsia="Times New Roman" w:hAnsi="Times New Roman"/>
          <w:bCs/>
        </w:rPr>
      </w:pPr>
      <w:r>
        <w:rPr>
          <w:rFonts w:ascii="Times New Roman" w:eastAsia="Times New Roman" w:hAnsi="Times New Roman"/>
          <w:bCs/>
        </w:rPr>
        <w:t>Képes a tudományágban megszerzett szakmai tapasztalat ismereti határaiból származó információk, felmerülő új problémák, új jelenségek feldolgozására.</w:t>
      </w:r>
    </w:p>
    <w:p w:rsidR="00F35BEE" w:rsidRDefault="00F35BEE" w:rsidP="00C14833">
      <w:pPr>
        <w:widowControl w:val="0"/>
        <w:numPr>
          <w:ilvl w:val="0"/>
          <w:numId w:val="107"/>
        </w:numPr>
        <w:spacing w:before="120" w:after="120" w:line="240" w:lineRule="auto"/>
        <w:contextualSpacing/>
        <w:jc w:val="both"/>
        <w:rPr>
          <w:rFonts w:ascii="Times New Roman" w:eastAsia="Times New Roman" w:hAnsi="Times New Roman"/>
          <w:bCs/>
        </w:rPr>
      </w:pPr>
      <w:r>
        <w:rPr>
          <w:rFonts w:ascii="Times New Roman" w:eastAsia="Times New Roman" w:hAnsi="Times New Roman"/>
          <w:bCs/>
        </w:rPr>
        <w:t>Képes megalapozott vélemény, illetve bírálat megfogalmazására, következtetések levonására, döntések meghozatalára.</w:t>
      </w:r>
    </w:p>
    <w:p w:rsidR="00F35BEE" w:rsidRPr="007E46DE" w:rsidRDefault="00F35BEE" w:rsidP="007E46DE">
      <w:pPr>
        <w:widowControl w:val="0"/>
        <w:spacing w:before="240" w:after="0" w:line="240" w:lineRule="auto"/>
        <w:ind w:left="425"/>
        <w:jc w:val="both"/>
        <w:rPr>
          <w:rFonts w:ascii="Times New Roman" w:eastAsia="Times New Roman" w:hAnsi="Times New Roman" w:cs="Times New Roman"/>
          <w:b/>
          <w:lang w:val="en-GB"/>
        </w:rPr>
      </w:pPr>
      <w:r w:rsidRPr="007E46DE">
        <w:rPr>
          <w:rFonts w:ascii="Times New Roman" w:eastAsia="Times New Roman" w:hAnsi="Times New Roman" w:cs="Times New Roman"/>
          <w:b/>
          <w:lang w:val="en-GB"/>
        </w:rPr>
        <w:t>Attitűdje:</w:t>
      </w:r>
    </w:p>
    <w:p w:rsidR="00F35BEE" w:rsidRDefault="00F35BEE" w:rsidP="00C14833">
      <w:pPr>
        <w:widowControl w:val="0"/>
        <w:numPr>
          <w:ilvl w:val="0"/>
          <w:numId w:val="107"/>
        </w:numPr>
        <w:spacing w:before="120" w:after="120" w:line="240" w:lineRule="auto"/>
        <w:contextualSpacing/>
        <w:jc w:val="both"/>
        <w:rPr>
          <w:rFonts w:ascii="Times New Roman" w:eastAsia="Times New Roman" w:hAnsi="Times New Roman"/>
          <w:bCs/>
        </w:rPr>
      </w:pPr>
      <w:r>
        <w:rPr>
          <w:rFonts w:ascii="Times New Roman" w:eastAsia="Times New Roman" w:hAnsi="Times New Roman"/>
          <w:bCs/>
        </w:rPr>
        <w:t>Elkötelezett abban, hogy felkészülten, ismereteit folyamatosan fejlesztve átültesse a gyakorlatba az országvédelem stratégiai céljait, és a szövetségi rendszer érdekeinek megfelelően alakítsa a saját kompetenciájába tartozó folyamatokat.</w:t>
      </w:r>
    </w:p>
    <w:p w:rsidR="00F35BEE" w:rsidRDefault="00F35BEE" w:rsidP="00C14833">
      <w:pPr>
        <w:widowControl w:val="0"/>
        <w:numPr>
          <w:ilvl w:val="0"/>
          <w:numId w:val="107"/>
        </w:numPr>
        <w:spacing w:before="120" w:after="120" w:line="240" w:lineRule="auto"/>
        <w:contextualSpacing/>
        <w:jc w:val="both"/>
        <w:rPr>
          <w:rFonts w:ascii="Times New Roman" w:eastAsia="Times New Roman" w:hAnsi="Times New Roman"/>
          <w:bCs/>
        </w:rPr>
      </w:pPr>
      <w:r>
        <w:rPr>
          <w:rFonts w:ascii="Times New Roman" w:eastAsia="Times New Roman" w:hAnsi="Times New Roman"/>
          <w:bCs/>
        </w:rPr>
        <w:t>Elkötelezett az elvek és irányelvek középszintű megfogalmazásában, a harcászati-hadműveleti gondolkodás gyakorlatba ültetésében.</w:t>
      </w:r>
    </w:p>
    <w:p w:rsidR="00F35BEE" w:rsidRDefault="00F35BEE" w:rsidP="00C14833">
      <w:pPr>
        <w:widowControl w:val="0"/>
        <w:numPr>
          <w:ilvl w:val="0"/>
          <w:numId w:val="107"/>
        </w:numPr>
        <w:spacing w:before="120" w:after="120" w:line="240" w:lineRule="auto"/>
        <w:contextualSpacing/>
        <w:jc w:val="both"/>
        <w:rPr>
          <w:rFonts w:ascii="Times New Roman" w:eastAsia="Times New Roman" w:hAnsi="Times New Roman"/>
          <w:bCs/>
        </w:rPr>
      </w:pPr>
      <w:r>
        <w:rPr>
          <w:rFonts w:ascii="Times New Roman" w:eastAsia="Times New Roman" w:hAnsi="Times New Roman"/>
          <w:bCs/>
        </w:rPr>
        <w:t>Elkötelezett a működési (műveleti) környezet komplex jelenségeinek harcászati-hadműveleti szemléletű megközelítése tekintetében.</w:t>
      </w:r>
    </w:p>
    <w:p w:rsidR="00F35BEE" w:rsidRPr="007E46DE" w:rsidRDefault="00F35BEE" w:rsidP="007E46DE">
      <w:pPr>
        <w:widowControl w:val="0"/>
        <w:spacing w:before="240" w:after="0" w:line="240" w:lineRule="auto"/>
        <w:ind w:left="425"/>
        <w:jc w:val="both"/>
        <w:rPr>
          <w:rFonts w:ascii="Times New Roman" w:eastAsia="Times New Roman" w:hAnsi="Times New Roman" w:cs="Times New Roman"/>
          <w:b/>
          <w:lang w:val="en-GB"/>
        </w:rPr>
      </w:pPr>
      <w:r w:rsidRPr="007E46DE">
        <w:rPr>
          <w:rFonts w:ascii="Times New Roman" w:eastAsia="Times New Roman" w:hAnsi="Times New Roman" w:cs="Times New Roman"/>
          <w:b/>
          <w:lang w:val="en-GB"/>
        </w:rPr>
        <w:t>Autonómiája és felelőssége:</w:t>
      </w:r>
    </w:p>
    <w:p w:rsidR="00F35BEE" w:rsidRDefault="00F35BEE" w:rsidP="00C14833">
      <w:pPr>
        <w:widowControl w:val="0"/>
        <w:numPr>
          <w:ilvl w:val="0"/>
          <w:numId w:val="107"/>
        </w:numPr>
        <w:spacing w:before="120" w:after="120" w:line="240" w:lineRule="auto"/>
        <w:contextualSpacing/>
        <w:jc w:val="both"/>
        <w:rPr>
          <w:rFonts w:ascii="Times New Roman" w:eastAsia="Times New Roman" w:hAnsi="Times New Roman"/>
          <w:bCs/>
        </w:rPr>
      </w:pPr>
      <w:r>
        <w:rPr>
          <w:rFonts w:ascii="Times New Roman" w:eastAsia="Times New Roman" w:hAnsi="Times New Roman"/>
          <w:bCs/>
        </w:rPr>
        <w:t>Elsajátított ismeretei és megszerzett készségei alapján szakmailag megfelelő módon értelmezi és alkalmazza a megszerzett vezetői-irányítói metódusokat, elemző-értékelő módszereket.</w:t>
      </w:r>
    </w:p>
    <w:p w:rsidR="00F35BEE" w:rsidRDefault="00F35BEE" w:rsidP="00C14833">
      <w:pPr>
        <w:widowControl w:val="0"/>
        <w:numPr>
          <w:ilvl w:val="0"/>
          <w:numId w:val="107"/>
        </w:numPr>
        <w:spacing w:before="120" w:after="120" w:line="240" w:lineRule="auto"/>
        <w:contextualSpacing/>
        <w:jc w:val="both"/>
        <w:rPr>
          <w:rFonts w:ascii="Times New Roman" w:eastAsia="Times New Roman" w:hAnsi="Times New Roman"/>
          <w:bCs/>
        </w:rPr>
      </w:pPr>
      <w:r>
        <w:rPr>
          <w:rFonts w:ascii="Times New Roman" w:eastAsia="Times New Roman" w:hAnsi="Times New Roman"/>
          <w:bCs/>
        </w:rPr>
        <w:t>A rábízott szakmai területeket tudása és képességei legjavát alkalmazva elemzi-értékeli, a döntések előkészítésében, meghozatalában és végrehajtásában következetes.</w:t>
      </w:r>
    </w:p>
    <w:p w:rsidR="00F35BEE" w:rsidRDefault="00F35BEE" w:rsidP="00C14833">
      <w:pPr>
        <w:widowControl w:val="0"/>
        <w:numPr>
          <w:ilvl w:val="0"/>
          <w:numId w:val="107"/>
        </w:numPr>
        <w:spacing w:before="120" w:after="120" w:line="240" w:lineRule="auto"/>
        <w:contextualSpacing/>
        <w:jc w:val="both"/>
        <w:rPr>
          <w:rFonts w:ascii="Times New Roman" w:eastAsia="Times New Roman" w:hAnsi="Times New Roman"/>
          <w:bCs/>
        </w:rPr>
      </w:pPr>
      <w:r>
        <w:rPr>
          <w:rFonts w:ascii="Times New Roman" w:eastAsia="Times New Roman" w:hAnsi="Times New Roman"/>
          <w:bCs/>
        </w:rPr>
        <w:t>Felelősséget vállal a célkitűzések végrehajtására és a szervezete problémáinak kezelésére.</w:t>
      </w:r>
    </w:p>
    <w:p w:rsidR="00F35BEE" w:rsidRDefault="00F35BEE" w:rsidP="00C14833">
      <w:pPr>
        <w:widowControl w:val="0"/>
        <w:numPr>
          <w:ilvl w:val="0"/>
          <w:numId w:val="107"/>
        </w:numPr>
        <w:spacing w:before="120" w:after="120" w:line="240" w:lineRule="auto"/>
        <w:contextualSpacing/>
        <w:jc w:val="both"/>
        <w:rPr>
          <w:rFonts w:ascii="Times New Roman" w:eastAsia="Times New Roman" w:hAnsi="Times New Roman"/>
          <w:bCs/>
        </w:rPr>
      </w:pPr>
      <w:r>
        <w:rPr>
          <w:rFonts w:ascii="Times New Roman" w:eastAsia="Times New Roman" w:hAnsi="Times New Roman"/>
          <w:bCs/>
        </w:rPr>
        <w:t>Kellő hatékonysággal alkalmazza a szükséges eszköz- és kapcsolatrendszert.</w:t>
      </w:r>
    </w:p>
    <w:p w:rsidR="00F35BEE" w:rsidRDefault="00F35BEE" w:rsidP="00C14833">
      <w:pPr>
        <w:widowControl w:val="0"/>
        <w:numPr>
          <w:ilvl w:val="0"/>
          <w:numId w:val="107"/>
        </w:numPr>
        <w:spacing w:before="120" w:after="120" w:line="240" w:lineRule="auto"/>
        <w:contextualSpacing/>
        <w:jc w:val="both"/>
        <w:rPr>
          <w:rFonts w:ascii="Times New Roman" w:eastAsia="Times New Roman" w:hAnsi="Times New Roman"/>
          <w:bCs/>
        </w:rPr>
      </w:pPr>
      <w:r>
        <w:rPr>
          <w:rFonts w:ascii="Times New Roman" w:eastAsia="Times New Roman" w:hAnsi="Times New Roman"/>
          <w:bCs/>
        </w:rPr>
        <w:t>Elsajátított ismeretei és készségei birtokában felelősséggel viszonyul feladataihoz.</w:t>
      </w:r>
    </w:p>
    <w:p w:rsidR="00F35BEE" w:rsidRDefault="00F35BEE" w:rsidP="00C14833">
      <w:pPr>
        <w:widowControl w:val="0"/>
        <w:numPr>
          <w:ilvl w:val="0"/>
          <w:numId w:val="107"/>
        </w:numPr>
        <w:spacing w:before="120" w:after="120" w:line="240" w:lineRule="auto"/>
        <w:contextualSpacing/>
        <w:jc w:val="both"/>
        <w:rPr>
          <w:rFonts w:ascii="Times New Roman" w:eastAsia="Times New Roman" w:hAnsi="Times New Roman"/>
          <w:bCs/>
        </w:rPr>
      </w:pPr>
      <w:r>
        <w:rPr>
          <w:rFonts w:ascii="Times New Roman" w:eastAsia="Times New Roman" w:hAnsi="Times New Roman"/>
          <w:bCs/>
        </w:rPr>
        <w:t xml:space="preserve">Tudatosan keresi a nemzetközi és a hazai szakmai fórumokat, a szakma képviselőivel való </w:t>
      </w:r>
    </w:p>
    <w:p w:rsidR="00F35BEE" w:rsidRDefault="00F35BEE" w:rsidP="00F35BEE">
      <w:pPr>
        <w:widowControl w:val="0"/>
        <w:spacing w:before="120" w:after="120" w:line="240" w:lineRule="auto"/>
        <w:ind w:left="786"/>
        <w:contextualSpacing/>
        <w:jc w:val="both"/>
        <w:rPr>
          <w:rFonts w:ascii="Times New Roman" w:eastAsia="Times New Roman" w:hAnsi="Times New Roman"/>
          <w:bCs/>
        </w:rPr>
      </w:pPr>
    </w:p>
    <w:p w:rsidR="00F35BEE" w:rsidRDefault="00F35BEE" w:rsidP="007E46DE">
      <w:pPr>
        <w:widowControl w:val="0"/>
        <w:spacing w:before="120" w:after="0" w:line="240" w:lineRule="auto"/>
        <w:ind w:left="425"/>
        <w:jc w:val="both"/>
        <w:rPr>
          <w:rFonts w:ascii="Times New Roman" w:eastAsia="Times New Roman" w:hAnsi="Times New Roman" w:cs="Times New Roman"/>
          <w:b/>
          <w:bCs/>
          <w:lang w:val="en-US"/>
        </w:rPr>
      </w:pPr>
      <w:r>
        <w:rPr>
          <w:rFonts w:ascii="Times New Roman" w:eastAsia="Times New Roman" w:hAnsi="Times New Roman" w:cs="Times New Roman"/>
          <w:b/>
          <w:bCs/>
        </w:rPr>
        <w:t>Elérendő kompetenciák (angolul) (</w:t>
      </w:r>
      <w:r>
        <w:rPr>
          <w:rFonts w:ascii="Times New Roman" w:eastAsia="Times New Roman" w:hAnsi="Times New Roman" w:cs="Times New Roman"/>
          <w:b/>
          <w:bCs/>
          <w:lang w:val="en-US"/>
        </w:rPr>
        <w:t xml:space="preserve">Competences – English): </w:t>
      </w:r>
    </w:p>
    <w:p w:rsidR="00F35BEE" w:rsidRPr="007E46DE" w:rsidRDefault="00F35BEE" w:rsidP="007E46DE">
      <w:pPr>
        <w:widowControl w:val="0"/>
        <w:spacing w:before="120" w:after="0" w:line="240" w:lineRule="auto"/>
        <w:ind w:left="425"/>
        <w:jc w:val="both"/>
        <w:rPr>
          <w:rFonts w:ascii="Times New Roman" w:eastAsia="Times New Roman" w:hAnsi="Times New Roman" w:cs="Times New Roman"/>
          <w:b/>
          <w:lang w:val="en-GB"/>
        </w:rPr>
      </w:pPr>
      <w:r>
        <w:rPr>
          <w:rFonts w:ascii="Times New Roman" w:eastAsia="Times New Roman" w:hAnsi="Times New Roman" w:cs="Times New Roman"/>
          <w:b/>
          <w:lang w:val="en-GB"/>
        </w:rPr>
        <w:t>Knowledge</w:t>
      </w:r>
      <w:r w:rsidRPr="007E46DE">
        <w:rPr>
          <w:rFonts w:ascii="Times New Roman" w:eastAsia="Times New Roman" w:hAnsi="Times New Roman" w:cs="Times New Roman"/>
          <w:b/>
          <w:lang w:val="en-GB"/>
        </w:rPr>
        <w:t xml:space="preserve">: </w:t>
      </w:r>
    </w:p>
    <w:p w:rsidR="00F35BEE" w:rsidRDefault="00F35BEE" w:rsidP="00C14833">
      <w:pPr>
        <w:widowControl w:val="0"/>
        <w:numPr>
          <w:ilvl w:val="0"/>
          <w:numId w:val="107"/>
        </w:numPr>
        <w:spacing w:before="120" w:after="120" w:line="240" w:lineRule="auto"/>
        <w:contextualSpacing/>
        <w:jc w:val="both"/>
        <w:rPr>
          <w:rFonts w:ascii="Times New Roman" w:eastAsia="Times New Roman" w:hAnsi="Times New Roman"/>
          <w:bCs/>
          <w:lang w:val="en-US"/>
        </w:rPr>
      </w:pPr>
      <w:r>
        <w:rPr>
          <w:rFonts w:ascii="Times New Roman" w:eastAsia="Times New Roman" w:hAnsi="Times New Roman"/>
          <w:bCs/>
          <w:lang w:val="en-US"/>
        </w:rPr>
        <w:t xml:space="preserve">He/she knows the regulation and organizations of military law and administration. </w:t>
      </w:r>
    </w:p>
    <w:p w:rsidR="00F35BEE" w:rsidRDefault="00F35BEE" w:rsidP="00C14833">
      <w:pPr>
        <w:widowControl w:val="0"/>
        <w:numPr>
          <w:ilvl w:val="0"/>
          <w:numId w:val="107"/>
        </w:numPr>
        <w:spacing w:before="120" w:after="120" w:line="240" w:lineRule="auto"/>
        <w:contextualSpacing/>
        <w:jc w:val="both"/>
        <w:rPr>
          <w:rFonts w:ascii="Times New Roman" w:eastAsia="Times New Roman" w:hAnsi="Times New Roman"/>
          <w:bCs/>
          <w:lang w:val="en-US"/>
        </w:rPr>
      </w:pPr>
      <w:r>
        <w:rPr>
          <w:rFonts w:ascii="Times New Roman" w:eastAsia="Times New Roman" w:hAnsi="Times New Roman"/>
          <w:bCs/>
          <w:lang w:val="en-US"/>
        </w:rPr>
        <w:t>He/she clearly understands the theory and regularities of military operations and military history and defence law and administration.</w:t>
      </w:r>
    </w:p>
    <w:p w:rsidR="00F35BEE" w:rsidRDefault="00F35BEE" w:rsidP="00C14833">
      <w:pPr>
        <w:widowControl w:val="0"/>
        <w:numPr>
          <w:ilvl w:val="0"/>
          <w:numId w:val="107"/>
        </w:numPr>
        <w:spacing w:before="120" w:after="120" w:line="240" w:lineRule="auto"/>
        <w:contextualSpacing/>
        <w:jc w:val="both"/>
        <w:rPr>
          <w:rFonts w:ascii="Times New Roman" w:eastAsia="Times New Roman" w:hAnsi="Times New Roman"/>
          <w:bCs/>
          <w:lang w:val="en-US"/>
        </w:rPr>
      </w:pPr>
      <w:r>
        <w:rPr>
          <w:rFonts w:ascii="Times New Roman" w:eastAsia="Times New Roman" w:hAnsi="Times New Roman"/>
          <w:bCs/>
          <w:lang w:val="en-US"/>
        </w:rPr>
        <w:t>He/she clearly understands the theoretical and practical aspects of tactical and operational military support.</w:t>
      </w:r>
    </w:p>
    <w:p w:rsidR="00F35BEE" w:rsidRDefault="00F35BEE" w:rsidP="00C14833">
      <w:pPr>
        <w:widowControl w:val="0"/>
        <w:numPr>
          <w:ilvl w:val="0"/>
          <w:numId w:val="107"/>
        </w:numPr>
        <w:spacing w:before="120" w:after="120" w:line="240" w:lineRule="auto"/>
        <w:contextualSpacing/>
        <w:jc w:val="both"/>
        <w:rPr>
          <w:rFonts w:ascii="Times New Roman" w:eastAsia="Times New Roman" w:hAnsi="Times New Roman"/>
          <w:bCs/>
          <w:lang w:val="en-US"/>
        </w:rPr>
      </w:pPr>
      <w:r>
        <w:rPr>
          <w:rFonts w:ascii="Times New Roman" w:eastAsia="Times New Roman" w:hAnsi="Times New Roman"/>
          <w:bCs/>
          <w:lang w:val="en-US"/>
        </w:rPr>
        <w:t>He/she knows problem-solving techniques for research or scientific work.</w:t>
      </w:r>
    </w:p>
    <w:p w:rsidR="00F35BEE" w:rsidRDefault="00F35BEE" w:rsidP="00C14833">
      <w:pPr>
        <w:widowControl w:val="0"/>
        <w:numPr>
          <w:ilvl w:val="0"/>
          <w:numId w:val="107"/>
        </w:numPr>
        <w:spacing w:before="120" w:after="120" w:line="240" w:lineRule="auto"/>
        <w:contextualSpacing/>
        <w:jc w:val="both"/>
        <w:rPr>
          <w:rFonts w:ascii="Times New Roman" w:eastAsia="Times New Roman" w:hAnsi="Times New Roman"/>
          <w:bCs/>
          <w:lang w:val="en-US"/>
        </w:rPr>
      </w:pPr>
      <w:r>
        <w:rPr>
          <w:rFonts w:ascii="Times New Roman" w:eastAsia="Times New Roman" w:hAnsi="Times New Roman"/>
          <w:bCs/>
          <w:lang w:val="en-US"/>
        </w:rPr>
        <w:t>He/she knows global social and economic processes.</w:t>
      </w:r>
    </w:p>
    <w:p w:rsidR="00F35BEE" w:rsidRDefault="00F35BEE" w:rsidP="00C14833">
      <w:pPr>
        <w:widowControl w:val="0"/>
        <w:numPr>
          <w:ilvl w:val="0"/>
          <w:numId w:val="107"/>
        </w:numPr>
        <w:spacing w:before="120" w:after="120" w:line="240" w:lineRule="auto"/>
        <w:contextualSpacing/>
        <w:jc w:val="both"/>
        <w:rPr>
          <w:rFonts w:ascii="Times New Roman" w:eastAsia="Times New Roman" w:hAnsi="Times New Roman"/>
          <w:bCs/>
          <w:lang w:val="en-US"/>
        </w:rPr>
      </w:pPr>
      <w:r>
        <w:rPr>
          <w:rFonts w:ascii="Times New Roman" w:eastAsia="Times New Roman" w:hAnsi="Times New Roman"/>
          <w:bCs/>
          <w:lang w:val="en-US"/>
        </w:rPr>
        <w:t>He/she is familiar with the analysis, management, control and monitoring of civil and military systems, and operating methods.</w:t>
      </w:r>
    </w:p>
    <w:p w:rsidR="00F35BEE" w:rsidRPr="007E46DE" w:rsidRDefault="00F35BEE" w:rsidP="007E46DE">
      <w:pPr>
        <w:widowControl w:val="0"/>
        <w:spacing w:before="240" w:after="0" w:line="240" w:lineRule="auto"/>
        <w:ind w:left="425"/>
        <w:jc w:val="both"/>
        <w:rPr>
          <w:rFonts w:ascii="Times New Roman" w:eastAsia="Times New Roman" w:hAnsi="Times New Roman" w:cs="Times New Roman"/>
          <w:b/>
          <w:lang w:val="en-GB"/>
        </w:rPr>
      </w:pPr>
      <w:r>
        <w:rPr>
          <w:rFonts w:ascii="Times New Roman" w:eastAsia="Times New Roman" w:hAnsi="Times New Roman" w:cs="Times New Roman"/>
          <w:b/>
          <w:lang w:val="en-GB"/>
        </w:rPr>
        <w:t>Capabilities</w:t>
      </w:r>
      <w:r w:rsidRPr="007E46DE">
        <w:rPr>
          <w:rFonts w:ascii="Times New Roman" w:eastAsia="Times New Roman" w:hAnsi="Times New Roman" w:cs="Times New Roman"/>
          <w:b/>
          <w:lang w:val="en-GB"/>
        </w:rPr>
        <w:t xml:space="preserve">: </w:t>
      </w:r>
    </w:p>
    <w:p w:rsidR="00F35BEE" w:rsidRDefault="00F35BEE" w:rsidP="00C14833">
      <w:pPr>
        <w:widowControl w:val="0"/>
        <w:numPr>
          <w:ilvl w:val="0"/>
          <w:numId w:val="107"/>
        </w:numPr>
        <w:spacing w:before="120" w:after="120" w:line="240" w:lineRule="auto"/>
        <w:contextualSpacing/>
        <w:jc w:val="both"/>
        <w:rPr>
          <w:rFonts w:ascii="Times New Roman" w:eastAsia="Times New Roman" w:hAnsi="Times New Roman"/>
          <w:bCs/>
          <w:lang w:val="en-US"/>
        </w:rPr>
      </w:pPr>
      <w:r>
        <w:rPr>
          <w:rFonts w:ascii="Times New Roman" w:eastAsia="Times New Roman" w:hAnsi="Times New Roman"/>
          <w:bCs/>
          <w:lang w:val="en-US"/>
        </w:rPr>
        <w:t xml:space="preserve">He/she is able to manage logistic support for units and subunits. </w:t>
      </w:r>
    </w:p>
    <w:p w:rsidR="00F35BEE" w:rsidRDefault="00F35BEE" w:rsidP="00C14833">
      <w:pPr>
        <w:widowControl w:val="0"/>
        <w:numPr>
          <w:ilvl w:val="0"/>
          <w:numId w:val="107"/>
        </w:numPr>
        <w:spacing w:before="120" w:after="120" w:line="240" w:lineRule="auto"/>
        <w:contextualSpacing/>
        <w:jc w:val="both"/>
        <w:rPr>
          <w:rFonts w:ascii="Times New Roman" w:eastAsia="Times New Roman" w:hAnsi="Times New Roman"/>
          <w:bCs/>
          <w:lang w:val="en-US"/>
        </w:rPr>
      </w:pPr>
      <w:r>
        <w:rPr>
          <w:rFonts w:ascii="Times New Roman" w:eastAsia="Times New Roman" w:hAnsi="Times New Roman"/>
          <w:bCs/>
          <w:lang w:val="en-US"/>
        </w:rPr>
        <w:t>He/she able to cooperate with national and international staffs.</w:t>
      </w:r>
    </w:p>
    <w:p w:rsidR="00F35BEE" w:rsidRDefault="00F35BEE" w:rsidP="00C14833">
      <w:pPr>
        <w:widowControl w:val="0"/>
        <w:numPr>
          <w:ilvl w:val="0"/>
          <w:numId w:val="107"/>
        </w:numPr>
        <w:spacing w:before="120" w:after="120" w:line="240" w:lineRule="auto"/>
        <w:contextualSpacing/>
        <w:jc w:val="both"/>
        <w:rPr>
          <w:rFonts w:ascii="Times New Roman" w:eastAsia="Times New Roman" w:hAnsi="Times New Roman"/>
          <w:bCs/>
          <w:lang w:val="en-US"/>
        </w:rPr>
      </w:pPr>
      <w:r>
        <w:rPr>
          <w:rFonts w:ascii="Times New Roman" w:eastAsia="Times New Roman" w:hAnsi="Times New Roman"/>
          <w:bCs/>
          <w:lang w:val="en-US"/>
        </w:rPr>
        <w:t>He/she is able to manage material supply, maintenance and movement management tasks.</w:t>
      </w:r>
    </w:p>
    <w:p w:rsidR="00F35BEE" w:rsidRDefault="00F35BEE" w:rsidP="00C14833">
      <w:pPr>
        <w:widowControl w:val="0"/>
        <w:numPr>
          <w:ilvl w:val="0"/>
          <w:numId w:val="107"/>
        </w:numPr>
        <w:spacing w:before="120" w:after="120" w:line="240" w:lineRule="auto"/>
        <w:contextualSpacing/>
        <w:jc w:val="both"/>
        <w:rPr>
          <w:rFonts w:ascii="Times New Roman" w:eastAsia="Times New Roman" w:hAnsi="Times New Roman"/>
          <w:bCs/>
          <w:lang w:val="en-US"/>
        </w:rPr>
      </w:pPr>
      <w:r>
        <w:rPr>
          <w:rFonts w:ascii="Times New Roman" w:eastAsia="Times New Roman" w:hAnsi="Times New Roman"/>
          <w:bCs/>
          <w:lang w:val="en-US"/>
        </w:rPr>
        <w:t>He/she is able to use problem solving techniques, and apply the acquired knowledge in practice.</w:t>
      </w:r>
    </w:p>
    <w:p w:rsidR="00F35BEE" w:rsidRDefault="00F35BEE" w:rsidP="00C14833">
      <w:pPr>
        <w:widowControl w:val="0"/>
        <w:numPr>
          <w:ilvl w:val="0"/>
          <w:numId w:val="107"/>
        </w:numPr>
        <w:spacing w:before="120" w:after="120" w:line="240" w:lineRule="auto"/>
        <w:contextualSpacing/>
        <w:jc w:val="both"/>
        <w:rPr>
          <w:rFonts w:ascii="Times New Roman" w:eastAsia="Times New Roman" w:hAnsi="Times New Roman"/>
          <w:bCs/>
          <w:lang w:val="en-US"/>
        </w:rPr>
      </w:pPr>
      <w:r>
        <w:rPr>
          <w:rFonts w:ascii="Times New Roman" w:eastAsia="Times New Roman" w:hAnsi="Times New Roman"/>
          <w:bCs/>
          <w:lang w:val="en-US"/>
        </w:rPr>
        <w:t>He/she is able to process new information in the discipline.</w:t>
      </w:r>
    </w:p>
    <w:p w:rsidR="00F35BEE" w:rsidRDefault="00F35BEE" w:rsidP="00C14833">
      <w:pPr>
        <w:widowControl w:val="0"/>
        <w:numPr>
          <w:ilvl w:val="0"/>
          <w:numId w:val="107"/>
        </w:numPr>
        <w:spacing w:before="120" w:after="120" w:line="240" w:lineRule="auto"/>
        <w:contextualSpacing/>
        <w:jc w:val="both"/>
        <w:rPr>
          <w:rFonts w:ascii="Times New Roman" w:eastAsia="Times New Roman" w:hAnsi="Times New Roman"/>
          <w:bCs/>
          <w:lang w:val="en-US"/>
        </w:rPr>
      </w:pPr>
      <w:r>
        <w:rPr>
          <w:rFonts w:ascii="Times New Roman" w:eastAsia="Times New Roman" w:hAnsi="Times New Roman"/>
          <w:bCs/>
          <w:lang w:val="en-US"/>
        </w:rPr>
        <w:t>He/she is able to form an opinion or criticism, draw conclusions, make decisions.</w:t>
      </w:r>
    </w:p>
    <w:p w:rsidR="00F35BEE" w:rsidRPr="007E46DE" w:rsidRDefault="00F35BEE" w:rsidP="007E46DE">
      <w:pPr>
        <w:widowControl w:val="0"/>
        <w:spacing w:before="240" w:after="0" w:line="240" w:lineRule="auto"/>
        <w:ind w:left="425"/>
        <w:jc w:val="both"/>
        <w:rPr>
          <w:rFonts w:ascii="Times New Roman" w:eastAsia="Times New Roman" w:hAnsi="Times New Roman" w:cs="Times New Roman"/>
          <w:b/>
          <w:lang w:val="en-GB"/>
        </w:rPr>
      </w:pPr>
      <w:r>
        <w:rPr>
          <w:rFonts w:ascii="Times New Roman" w:eastAsia="Times New Roman" w:hAnsi="Times New Roman" w:cs="Times New Roman"/>
          <w:b/>
          <w:lang w:val="en-GB"/>
        </w:rPr>
        <w:t>Attitude:</w:t>
      </w:r>
      <w:r w:rsidRPr="007E46DE">
        <w:rPr>
          <w:rFonts w:ascii="Times New Roman" w:eastAsia="Times New Roman" w:hAnsi="Times New Roman" w:cs="Times New Roman"/>
          <w:b/>
          <w:lang w:val="en-GB"/>
        </w:rPr>
        <w:t xml:space="preserve"> </w:t>
      </w:r>
    </w:p>
    <w:p w:rsidR="00F35BEE" w:rsidRDefault="00F35BEE" w:rsidP="00C14833">
      <w:pPr>
        <w:widowControl w:val="0"/>
        <w:numPr>
          <w:ilvl w:val="0"/>
          <w:numId w:val="107"/>
        </w:numPr>
        <w:spacing w:after="0" w:line="240" w:lineRule="auto"/>
        <w:contextualSpacing/>
        <w:jc w:val="both"/>
        <w:rPr>
          <w:rFonts w:ascii="Times New Roman" w:eastAsia="Times New Roman" w:hAnsi="Times New Roman"/>
          <w:bCs/>
          <w:lang w:val="en-US"/>
        </w:rPr>
      </w:pPr>
      <w:r>
        <w:rPr>
          <w:rFonts w:ascii="Times New Roman" w:eastAsia="Times New Roman" w:hAnsi="Times New Roman"/>
          <w:bCs/>
          <w:lang w:val="en-US"/>
        </w:rPr>
        <w:lastRenderedPageBreak/>
        <w:t>He/she identifies with the overall and special circumstances and professional identity required for the scientific research and the elaboration of alternative solutions for the theoretical and practical problems of joint force operations;</w:t>
      </w:r>
    </w:p>
    <w:p w:rsidR="00F35BEE" w:rsidRDefault="00F35BEE" w:rsidP="00C14833">
      <w:pPr>
        <w:widowControl w:val="0"/>
        <w:numPr>
          <w:ilvl w:val="0"/>
          <w:numId w:val="107"/>
        </w:numPr>
        <w:spacing w:before="120" w:after="120" w:line="240" w:lineRule="auto"/>
        <w:contextualSpacing/>
        <w:jc w:val="both"/>
        <w:rPr>
          <w:rFonts w:ascii="Times New Roman" w:eastAsia="Times New Roman" w:hAnsi="Times New Roman"/>
          <w:bCs/>
          <w:lang w:val="en-US"/>
        </w:rPr>
      </w:pPr>
      <w:r>
        <w:rPr>
          <w:rFonts w:ascii="Times New Roman" w:eastAsia="Times New Roman" w:hAnsi="Times New Roman"/>
          <w:bCs/>
          <w:lang w:val="en-US"/>
        </w:rPr>
        <w:t>He/she makes decisions taking into account the legal and ethical norms regarding joint force operations and his/her own activities;</w:t>
      </w:r>
    </w:p>
    <w:p w:rsidR="00F35BEE" w:rsidRDefault="00F35BEE" w:rsidP="00C14833">
      <w:pPr>
        <w:widowControl w:val="0"/>
        <w:numPr>
          <w:ilvl w:val="0"/>
          <w:numId w:val="107"/>
        </w:numPr>
        <w:spacing w:before="120" w:after="120" w:line="240" w:lineRule="auto"/>
        <w:contextualSpacing/>
        <w:jc w:val="both"/>
        <w:rPr>
          <w:rFonts w:ascii="Times New Roman" w:eastAsia="Times New Roman" w:hAnsi="Times New Roman"/>
          <w:bCs/>
          <w:lang w:val="en-US"/>
        </w:rPr>
      </w:pPr>
      <w:r>
        <w:rPr>
          <w:rFonts w:ascii="Times New Roman" w:eastAsia="Times New Roman" w:hAnsi="Times New Roman"/>
          <w:bCs/>
          <w:lang w:val="en-US"/>
        </w:rPr>
        <w:t>He/she takes a proactive role for the effective operation of the military diplomacy system as well as  for the military decision-making processes of international organizations.</w:t>
      </w:r>
    </w:p>
    <w:p w:rsidR="00F35BEE" w:rsidRDefault="00F35BEE" w:rsidP="007E46DE">
      <w:pPr>
        <w:widowControl w:val="0"/>
        <w:spacing w:before="240" w:after="0" w:line="240" w:lineRule="auto"/>
        <w:ind w:left="425"/>
        <w:jc w:val="both"/>
        <w:rPr>
          <w:rFonts w:ascii="Times New Roman" w:eastAsia="Times New Roman" w:hAnsi="Times New Roman" w:cs="Times New Roman"/>
          <w:b/>
          <w:lang w:val="en-GB"/>
        </w:rPr>
      </w:pPr>
      <w:r>
        <w:rPr>
          <w:rFonts w:ascii="Times New Roman" w:eastAsia="Times New Roman" w:hAnsi="Times New Roman" w:cs="Times New Roman"/>
          <w:b/>
          <w:lang w:val="en-GB"/>
        </w:rPr>
        <w:t xml:space="preserve">Autonomy and responsibility: </w:t>
      </w:r>
    </w:p>
    <w:p w:rsidR="00F35BEE" w:rsidRDefault="00F35BEE" w:rsidP="00C14833">
      <w:pPr>
        <w:widowControl w:val="0"/>
        <w:numPr>
          <w:ilvl w:val="0"/>
          <w:numId w:val="107"/>
        </w:numPr>
        <w:spacing w:before="120" w:after="0" w:line="240" w:lineRule="auto"/>
        <w:contextualSpacing/>
        <w:jc w:val="both"/>
        <w:rPr>
          <w:rFonts w:ascii="Times New Roman" w:eastAsia="Times New Roman" w:hAnsi="Times New Roman"/>
          <w:bCs/>
          <w:lang w:val="en-US"/>
        </w:rPr>
      </w:pPr>
      <w:r>
        <w:rPr>
          <w:rFonts w:ascii="Times New Roman" w:eastAsia="Times New Roman" w:hAnsi="Times New Roman"/>
          <w:bCs/>
          <w:lang w:val="en-US"/>
        </w:rPr>
        <w:t>He/she properly applies the acquired managerial-management methods and analytical-evaluation methods.</w:t>
      </w:r>
    </w:p>
    <w:p w:rsidR="00F35BEE" w:rsidRDefault="00F35BEE" w:rsidP="00C14833">
      <w:pPr>
        <w:widowControl w:val="0"/>
        <w:numPr>
          <w:ilvl w:val="0"/>
          <w:numId w:val="107"/>
        </w:numPr>
        <w:spacing w:before="120" w:after="120" w:line="240" w:lineRule="auto"/>
        <w:contextualSpacing/>
        <w:jc w:val="both"/>
        <w:rPr>
          <w:rFonts w:ascii="Times New Roman" w:eastAsia="Times New Roman" w:hAnsi="Times New Roman"/>
          <w:bCs/>
          <w:lang w:val="en-US"/>
        </w:rPr>
      </w:pPr>
      <w:r>
        <w:rPr>
          <w:rFonts w:ascii="Times New Roman" w:eastAsia="Times New Roman" w:hAnsi="Times New Roman"/>
          <w:bCs/>
          <w:lang w:val="en-US"/>
        </w:rPr>
        <w:t>He/she takes responsibility for achieving military goals.</w:t>
      </w:r>
    </w:p>
    <w:p w:rsidR="00F35BEE" w:rsidRDefault="00F35BEE" w:rsidP="00C14833">
      <w:pPr>
        <w:widowControl w:val="0"/>
        <w:numPr>
          <w:ilvl w:val="0"/>
          <w:numId w:val="107"/>
        </w:numPr>
        <w:spacing w:before="120" w:after="120" w:line="240" w:lineRule="auto"/>
        <w:contextualSpacing/>
        <w:jc w:val="both"/>
        <w:rPr>
          <w:rFonts w:ascii="Times New Roman" w:eastAsia="Times New Roman" w:hAnsi="Times New Roman"/>
          <w:bCs/>
          <w:lang w:val="en-US"/>
        </w:rPr>
      </w:pPr>
      <w:r>
        <w:rPr>
          <w:rFonts w:ascii="Times New Roman" w:eastAsia="Times New Roman" w:hAnsi="Times New Roman"/>
          <w:bCs/>
          <w:lang w:val="en-US"/>
        </w:rPr>
        <w:t xml:space="preserve">He/she applies the necessary relationships. </w:t>
      </w:r>
    </w:p>
    <w:p w:rsidR="00F35BEE" w:rsidRDefault="00F35BEE" w:rsidP="00C14833">
      <w:pPr>
        <w:widowControl w:val="0"/>
        <w:numPr>
          <w:ilvl w:val="0"/>
          <w:numId w:val="107"/>
        </w:numPr>
        <w:spacing w:before="120" w:after="120" w:line="240" w:lineRule="auto"/>
        <w:contextualSpacing/>
        <w:jc w:val="both"/>
        <w:rPr>
          <w:rFonts w:ascii="Times New Roman" w:eastAsia="Times New Roman" w:hAnsi="Times New Roman"/>
          <w:bCs/>
          <w:lang w:val="en-US"/>
        </w:rPr>
      </w:pPr>
      <w:r>
        <w:rPr>
          <w:rFonts w:ascii="Times New Roman" w:eastAsia="Times New Roman" w:hAnsi="Times New Roman"/>
          <w:bCs/>
          <w:lang w:val="en-US"/>
        </w:rPr>
        <w:t>He/she monitors feedbacks.</w:t>
      </w:r>
    </w:p>
    <w:p w:rsidR="00F35BEE" w:rsidRDefault="00F35BEE" w:rsidP="00C14833">
      <w:pPr>
        <w:widowControl w:val="0"/>
        <w:numPr>
          <w:ilvl w:val="0"/>
          <w:numId w:val="107"/>
        </w:numPr>
        <w:spacing w:before="120" w:after="120" w:line="240" w:lineRule="auto"/>
        <w:contextualSpacing/>
        <w:jc w:val="both"/>
        <w:rPr>
          <w:rFonts w:ascii="Times New Roman" w:eastAsia="Times New Roman" w:hAnsi="Times New Roman"/>
          <w:bCs/>
          <w:lang w:val="en-US"/>
        </w:rPr>
      </w:pPr>
      <w:r>
        <w:rPr>
          <w:rFonts w:ascii="Times New Roman" w:eastAsia="Times New Roman" w:hAnsi="Times New Roman"/>
          <w:bCs/>
          <w:lang w:val="en-US"/>
        </w:rPr>
        <w:t>He/she takes responsibility for his continuous development and training.</w:t>
      </w:r>
    </w:p>
    <w:p w:rsidR="00F35BEE" w:rsidRDefault="00F35BEE" w:rsidP="00C14833">
      <w:pPr>
        <w:widowControl w:val="0"/>
        <w:numPr>
          <w:ilvl w:val="0"/>
          <w:numId w:val="107"/>
        </w:numPr>
        <w:spacing w:before="120" w:after="120" w:line="240" w:lineRule="auto"/>
        <w:contextualSpacing/>
        <w:jc w:val="both"/>
        <w:rPr>
          <w:rFonts w:ascii="Times New Roman" w:eastAsia="Times New Roman" w:hAnsi="Times New Roman"/>
          <w:bCs/>
          <w:lang w:val="en-US"/>
        </w:rPr>
      </w:pPr>
      <w:r>
        <w:rPr>
          <w:rFonts w:ascii="Times New Roman" w:eastAsia="Times New Roman" w:hAnsi="Times New Roman"/>
          <w:bCs/>
          <w:lang w:val="en-US"/>
        </w:rPr>
        <w:t>He/she applies the acquired knowledge to improve the life and organizational culture of his/her organization</w:t>
      </w:r>
    </w:p>
    <w:p w:rsidR="00F35BEE" w:rsidRPr="00F35BEE" w:rsidRDefault="00F35BEE" w:rsidP="00C14833">
      <w:pPr>
        <w:widowControl w:val="0"/>
        <w:numPr>
          <w:ilvl w:val="0"/>
          <w:numId w:val="108"/>
        </w:numPr>
        <w:tabs>
          <w:tab w:val="num" w:pos="567"/>
        </w:tabs>
        <w:spacing w:before="120" w:after="120" w:line="240" w:lineRule="auto"/>
        <w:ind w:left="426" w:hanging="142"/>
        <w:jc w:val="both"/>
        <w:rPr>
          <w:rFonts w:ascii="Times New Roman" w:eastAsia="Times New Roman" w:hAnsi="Times New Roman" w:cs="Times New Roman"/>
          <w:bCs/>
        </w:rPr>
      </w:pPr>
      <w:r w:rsidRPr="00F35BEE">
        <w:rPr>
          <w:rFonts w:ascii="Times New Roman" w:eastAsia="Times New Roman" w:hAnsi="Times New Roman" w:cs="Times New Roman"/>
          <w:b/>
          <w:bCs/>
        </w:rPr>
        <w:t xml:space="preserve">Előtanulmányi követelmények: </w:t>
      </w:r>
      <w:r w:rsidRPr="00F35BEE">
        <w:rPr>
          <w:rFonts w:ascii="Times New Roman" w:eastAsia="Times New Roman" w:hAnsi="Times New Roman" w:cs="Times New Roman"/>
          <w:bCs/>
        </w:rPr>
        <w:t xml:space="preserve">nincs </w:t>
      </w:r>
    </w:p>
    <w:p w:rsidR="00F35BEE" w:rsidRPr="00F35BEE" w:rsidRDefault="00F35BEE" w:rsidP="00C14833">
      <w:pPr>
        <w:widowControl w:val="0"/>
        <w:numPr>
          <w:ilvl w:val="0"/>
          <w:numId w:val="108"/>
        </w:numPr>
        <w:spacing w:before="120" w:after="120" w:line="240" w:lineRule="auto"/>
        <w:ind w:left="426" w:hanging="142"/>
        <w:jc w:val="both"/>
        <w:rPr>
          <w:rFonts w:ascii="Times New Roman" w:eastAsia="Times New Roman" w:hAnsi="Times New Roman" w:cs="Times New Roman"/>
          <w:b/>
          <w:bCs/>
        </w:rPr>
      </w:pPr>
      <w:r w:rsidRPr="00F35BEE">
        <w:rPr>
          <w:rFonts w:ascii="Times New Roman" w:eastAsia="Times New Roman" w:hAnsi="Times New Roman" w:cs="Times New Roman"/>
          <w:b/>
          <w:bCs/>
        </w:rPr>
        <w:t>A tantárgy tananyagának leírása, tematika:</w:t>
      </w:r>
    </w:p>
    <w:p w:rsidR="00F35BEE" w:rsidRPr="00F35BEE" w:rsidRDefault="00F35BEE" w:rsidP="00C14833">
      <w:pPr>
        <w:widowControl w:val="0"/>
        <w:numPr>
          <w:ilvl w:val="1"/>
          <w:numId w:val="108"/>
        </w:numPr>
        <w:tabs>
          <w:tab w:val="left" w:pos="709"/>
          <w:tab w:val="left" w:pos="993"/>
          <w:tab w:val="num" w:pos="2069"/>
          <w:tab w:val="num" w:pos="2133"/>
        </w:tabs>
        <w:spacing w:before="120" w:after="120" w:line="240" w:lineRule="auto"/>
        <w:ind w:left="851" w:hanging="567"/>
        <w:jc w:val="both"/>
        <w:rPr>
          <w:rFonts w:ascii="Times New Roman" w:eastAsia="Times New Roman" w:hAnsi="Times New Roman" w:cs="Times New Roman"/>
          <w:b/>
        </w:rPr>
      </w:pPr>
      <w:r w:rsidRPr="00F35BEE">
        <w:rPr>
          <w:rFonts w:ascii="Times New Roman" w:eastAsia="Times New Roman" w:hAnsi="Times New Roman" w:cs="Times New Roman"/>
        </w:rPr>
        <w:t xml:space="preserve">A honvédelemi jogi szabályozói, az Alaptörvény honvédelemre vonatkozó rendelkezései. </w:t>
      </w:r>
      <w:r w:rsidRPr="00F35BEE">
        <w:rPr>
          <w:rFonts w:ascii="Times New Roman" w:eastAsia="Times New Roman" w:hAnsi="Times New Roman" w:cs="Times New Roman"/>
          <w:i/>
        </w:rPr>
        <w:t>(Regulators of defence law, the provisions of the Fundamental Law on defence)</w:t>
      </w:r>
    </w:p>
    <w:p w:rsidR="00F35BEE" w:rsidRPr="00F35BEE" w:rsidRDefault="00F35BEE" w:rsidP="00C14833">
      <w:pPr>
        <w:widowControl w:val="0"/>
        <w:numPr>
          <w:ilvl w:val="1"/>
          <w:numId w:val="108"/>
        </w:numPr>
        <w:tabs>
          <w:tab w:val="left" w:pos="709"/>
          <w:tab w:val="left" w:pos="993"/>
          <w:tab w:val="num" w:pos="2069"/>
          <w:tab w:val="num" w:pos="2133"/>
        </w:tabs>
        <w:spacing w:before="120" w:after="120" w:line="240" w:lineRule="auto"/>
        <w:ind w:left="851" w:hanging="567"/>
        <w:jc w:val="both"/>
        <w:rPr>
          <w:rFonts w:ascii="Times New Roman" w:eastAsia="Times New Roman" w:hAnsi="Times New Roman" w:cs="Times New Roman"/>
          <w:i/>
        </w:rPr>
      </w:pPr>
      <w:r w:rsidRPr="00F35BEE">
        <w:rPr>
          <w:rFonts w:ascii="Times New Roman" w:eastAsia="Times New Roman" w:hAnsi="Times New Roman" w:cs="Times New Roman"/>
        </w:rPr>
        <w:t xml:space="preserve">A honvédelmet érintő új típusú kortárs kihívások és azok szabályozási kérdései hazai és nemzetközi viszonylatban. </w:t>
      </w:r>
      <w:r w:rsidRPr="00F35BEE">
        <w:rPr>
          <w:rFonts w:ascii="Times New Roman" w:eastAsia="Times New Roman" w:hAnsi="Times New Roman" w:cs="Times New Roman"/>
          <w:i/>
        </w:rPr>
        <w:t>(</w:t>
      </w:r>
      <w:r w:rsidRPr="00F35BEE">
        <w:rPr>
          <w:rFonts w:ascii="Times New Roman" w:eastAsia="Times New Roman" w:hAnsi="Times New Roman" w:cs="Times New Roman"/>
          <w:i/>
          <w:lang w:val="en-GB"/>
        </w:rPr>
        <w:t>New types of contemporary challenges in the field of defence and their regulatory issues in the domestic and international context</w:t>
      </w:r>
      <w:r w:rsidRPr="00F35BEE">
        <w:rPr>
          <w:rFonts w:ascii="Times New Roman" w:eastAsia="Times New Roman" w:hAnsi="Times New Roman" w:cs="Times New Roman"/>
          <w:i/>
        </w:rPr>
        <w:t>)</w:t>
      </w:r>
    </w:p>
    <w:p w:rsidR="00F35BEE" w:rsidRPr="00F35BEE" w:rsidRDefault="00F35BEE" w:rsidP="00C14833">
      <w:pPr>
        <w:widowControl w:val="0"/>
        <w:numPr>
          <w:ilvl w:val="1"/>
          <w:numId w:val="108"/>
        </w:numPr>
        <w:tabs>
          <w:tab w:val="left" w:pos="709"/>
          <w:tab w:val="left" w:pos="993"/>
          <w:tab w:val="num" w:pos="2069"/>
          <w:tab w:val="num" w:pos="2133"/>
        </w:tabs>
        <w:spacing w:before="120" w:after="120" w:line="240" w:lineRule="auto"/>
        <w:ind w:left="851" w:hanging="567"/>
        <w:jc w:val="both"/>
        <w:rPr>
          <w:rFonts w:ascii="Times New Roman" w:eastAsia="Times New Roman" w:hAnsi="Times New Roman" w:cs="Times New Roman"/>
          <w:b/>
        </w:rPr>
      </w:pPr>
      <w:r w:rsidRPr="00F35BEE">
        <w:rPr>
          <w:rFonts w:ascii="Times New Roman" w:eastAsia="Times New Roman" w:hAnsi="Times New Roman" w:cs="Times New Roman"/>
        </w:rPr>
        <w:t xml:space="preserve">A honvédelemről és a Magyar Honvédségről szóló törvény, a honvédek jogállásáról szóló törvény. A honvédelmi kötelezettség rendszere.  </w:t>
      </w:r>
      <w:r w:rsidRPr="00F35BEE">
        <w:rPr>
          <w:rFonts w:ascii="Times New Roman" w:eastAsia="Times New Roman" w:hAnsi="Times New Roman" w:cs="Times New Roman"/>
          <w:i/>
        </w:rPr>
        <w:t xml:space="preserve"> (The Law of Military Defence and the Hungarian Defence Forces, the Law on the Status of the Soldiers. System of defence obligation.)</w:t>
      </w:r>
    </w:p>
    <w:p w:rsidR="00F35BEE" w:rsidRPr="00F35BEE" w:rsidRDefault="00F35BEE" w:rsidP="00C14833">
      <w:pPr>
        <w:widowControl w:val="0"/>
        <w:numPr>
          <w:ilvl w:val="1"/>
          <w:numId w:val="108"/>
        </w:numPr>
        <w:tabs>
          <w:tab w:val="left" w:pos="709"/>
          <w:tab w:val="left" w:pos="993"/>
          <w:tab w:val="num" w:pos="2069"/>
          <w:tab w:val="num" w:pos="2133"/>
        </w:tabs>
        <w:spacing w:before="120" w:after="120" w:line="240" w:lineRule="auto"/>
        <w:ind w:left="851" w:hanging="567"/>
        <w:jc w:val="both"/>
        <w:rPr>
          <w:rFonts w:ascii="Times New Roman" w:eastAsia="Times New Roman" w:hAnsi="Times New Roman" w:cs="Times New Roman"/>
          <w:b/>
        </w:rPr>
      </w:pPr>
      <w:r w:rsidRPr="00F35BEE">
        <w:rPr>
          <w:rFonts w:ascii="Times New Roman" w:eastAsia="Times New Roman" w:hAnsi="Times New Roman" w:cs="Times New Roman"/>
        </w:rPr>
        <w:t xml:space="preserve">Az egyes állami szervek és a Magyar Honvédség kapcsolata. A Magyar Honvédség katasztrófavédelmi feladatai. A rendészeti szervek honvédelmi feladatai, együttműködésük a Magyar Honvédséggel. </w:t>
      </w:r>
      <w:r w:rsidRPr="00F35BEE">
        <w:rPr>
          <w:rFonts w:ascii="Times New Roman" w:eastAsia="Times New Roman" w:hAnsi="Times New Roman" w:cs="Times New Roman"/>
          <w:i/>
        </w:rPr>
        <w:t>(Relations between individual state organs and the Hungarian Defence Forces. Disaster management tasks of the Hungarian Defence Forces. The defence tasks of the Police  and its cooperation with the Hungarian Defence Forces.)</w:t>
      </w:r>
    </w:p>
    <w:p w:rsidR="00F35BEE" w:rsidRPr="00F35BEE" w:rsidRDefault="00F35BEE" w:rsidP="00C14833">
      <w:pPr>
        <w:widowControl w:val="0"/>
        <w:numPr>
          <w:ilvl w:val="1"/>
          <w:numId w:val="108"/>
        </w:numPr>
        <w:tabs>
          <w:tab w:val="left" w:pos="709"/>
          <w:tab w:val="left" w:pos="993"/>
          <w:tab w:val="num" w:pos="2069"/>
          <w:tab w:val="num" w:pos="2133"/>
        </w:tabs>
        <w:spacing w:before="120" w:after="120" w:line="240" w:lineRule="auto"/>
        <w:ind w:left="851" w:hanging="567"/>
        <w:jc w:val="both"/>
        <w:rPr>
          <w:rFonts w:ascii="Times New Roman" w:eastAsia="Times New Roman" w:hAnsi="Times New Roman" w:cs="Times New Roman"/>
          <w:b/>
        </w:rPr>
      </w:pPr>
      <w:r w:rsidRPr="00F35BEE">
        <w:rPr>
          <w:rFonts w:ascii="Times New Roman" w:eastAsia="Times New Roman" w:hAnsi="Times New Roman" w:cs="Times New Roman"/>
        </w:rPr>
        <w:t xml:space="preserve">A Magyar Honvédség és a Katonai Nemzetbiztonsági Szolgálat kapcsolata és közösen ellátott funkciói. </w:t>
      </w:r>
      <w:r w:rsidRPr="00F35BEE">
        <w:rPr>
          <w:rFonts w:ascii="Times New Roman" w:eastAsia="Times New Roman" w:hAnsi="Times New Roman" w:cs="Times New Roman"/>
          <w:i/>
        </w:rPr>
        <w:t>(Relations and joint functions of the Hungarian Defence Forces and the Military National Security Services)</w:t>
      </w:r>
    </w:p>
    <w:p w:rsidR="00F35BEE" w:rsidRPr="00F35BEE" w:rsidRDefault="00F35BEE" w:rsidP="00C14833">
      <w:pPr>
        <w:widowControl w:val="0"/>
        <w:numPr>
          <w:ilvl w:val="1"/>
          <w:numId w:val="108"/>
        </w:numPr>
        <w:tabs>
          <w:tab w:val="left" w:pos="709"/>
          <w:tab w:val="left" w:pos="993"/>
          <w:tab w:val="num" w:pos="2069"/>
          <w:tab w:val="num" w:pos="2133"/>
        </w:tabs>
        <w:spacing w:before="120" w:after="120" w:line="240" w:lineRule="auto"/>
        <w:ind w:left="851" w:hanging="567"/>
        <w:jc w:val="both"/>
        <w:rPr>
          <w:rFonts w:ascii="Times New Roman" w:eastAsia="Times New Roman" w:hAnsi="Times New Roman" w:cs="Times New Roman"/>
          <w:b/>
        </w:rPr>
      </w:pPr>
      <w:r w:rsidRPr="00F35BEE">
        <w:rPr>
          <w:rFonts w:ascii="Times New Roman" w:eastAsia="Times New Roman" w:hAnsi="Times New Roman" w:cs="Times New Roman"/>
        </w:rPr>
        <w:t>A NATO és EU tagságból adódó kollektív védelmi, illetve védelmi és biztonsági együttműködési kérdések és feladatok a honvédelem rendszerében.</w:t>
      </w:r>
      <w:r w:rsidRPr="00F35BEE">
        <w:rPr>
          <w:rFonts w:ascii="Times New Roman" w:eastAsia="Times New Roman" w:hAnsi="Times New Roman" w:cs="Times New Roman"/>
          <w:i/>
        </w:rPr>
        <w:t xml:space="preserve"> (Collective defence and security and security cooperation issues and tasks arising from NATO and EU membership of Hungary in the defence system)</w:t>
      </w:r>
    </w:p>
    <w:p w:rsidR="00F35BEE" w:rsidRPr="00F35BEE" w:rsidRDefault="00F35BEE" w:rsidP="00C14833">
      <w:pPr>
        <w:widowControl w:val="0"/>
        <w:numPr>
          <w:ilvl w:val="1"/>
          <w:numId w:val="108"/>
        </w:numPr>
        <w:tabs>
          <w:tab w:val="left" w:pos="709"/>
          <w:tab w:val="left" w:pos="993"/>
          <w:tab w:val="num" w:pos="2069"/>
          <w:tab w:val="num" w:pos="2133"/>
        </w:tabs>
        <w:spacing w:before="120" w:after="120" w:line="240" w:lineRule="auto"/>
        <w:ind w:left="851" w:hanging="567"/>
        <w:jc w:val="both"/>
        <w:rPr>
          <w:rFonts w:ascii="Times New Roman" w:eastAsia="Times New Roman" w:hAnsi="Times New Roman" w:cs="Times New Roman"/>
          <w:b/>
        </w:rPr>
      </w:pPr>
      <w:r w:rsidRPr="00F35BEE">
        <w:rPr>
          <w:rFonts w:ascii="Times New Roman" w:eastAsia="Times New Roman" w:hAnsi="Times New Roman" w:cs="Times New Roman"/>
        </w:rPr>
        <w:t xml:space="preserve">A hivatásos, szerződéses katona, a tartalékosok fajtái, jogállásuk. Függelmi viszonyok, a parancsadás szabályai. Szolgálati jogviszony létesítése, megszüntetése, vezénylés szabályai. Fegyelmi, kártérítési és járadék szabályok. </w:t>
      </w:r>
      <w:r w:rsidRPr="00F35BEE">
        <w:rPr>
          <w:rFonts w:ascii="Times New Roman" w:eastAsia="Times New Roman" w:hAnsi="Times New Roman" w:cs="Times New Roman"/>
          <w:i/>
        </w:rPr>
        <w:t>(The professional and contract soldiers, the types of reservists and their legal status. Dependencies, rules of command. Establishment, termination, rules of conduct of service. Disciplinary, indemnification and annuity rules.)</w:t>
      </w:r>
    </w:p>
    <w:p w:rsidR="00F35BEE" w:rsidRPr="00F35BEE" w:rsidRDefault="00F35BEE" w:rsidP="00C14833">
      <w:pPr>
        <w:widowControl w:val="0"/>
        <w:numPr>
          <w:ilvl w:val="1"/>
          <w:numId w:val="108"/>
        </w:numPr>
        <w:tabs>
          <w:tab w:val="left" w:pos="709"/>
          <w:tab w:val="left" w:pos="993"/>
          <w:tab w:val="num" w:pos="2069"/>
          <w:tab w:val="num" w:pos="2133"/>
        </w:tabs>
        <w:spacing w:before="120" w:after="120" w:line="240" w:lineRule="auto"/>
        <w:ind w:left="851" w:hanging="567"/>
        <w:jc w:val="both"/>
        <w:rPr>
          <w:rFonts w:ascii="Times New Roman" w:eastAsia="Times New Roman" w:hAnsi="Times New Roman" w:cs="Times New Roman"/>
          <w:i/>
        </w:rPr>
      </w:pPr>
      <w:r w:rsidRPr="00F35BEE">
        <w:rPr>
          <w:rFonts w:ascii="Times New Roman" w:eastAsia="Times New Roman" w:hAnsi="Times New Roman" w:cs="Times New Roman"/>
        </w:rPr>
        <w:t xml:space="preserve">A katona lőfegyverhasználata és egyéb kényszerítő eszközök. </w:t>
      </w:r>
      <w:r w:rsidRPr="00F35BEE">
        <w:rPr>
          <w:rFonts w:ascii="Times New Roman" w:eastAsia="Times New Roman" w:hAnsi="Times New Roman" w:cs="Times New Roman"/>
          <w:i/>
        </w:rPr>
        <w:t>(Use of firearms of soldiers and other coercive measures.)</w:t>
      </w:r>
    </w:p>
    <w:p w:rsidR="00F35BEE" w:rsidRPr="00F35BEE" w:rsidRDefault="00F35BEE" w:rsidP="00C14833">
      <w:pPr>
        <w:widowControl w:val="0"/>
        <w:numPr>
          <w:ilvl w:val="1"/>
          <w:numId w:val="108"/>
        </w:numPr>
        <w:tabs>
          <w:tab w:val="left" w:pos="709"/>
          <w:tab w:val="left" w:pos="993"/>
          <w:tab w:val="num" w:pos="2069"/>
          <w:tab w:val="num" w:pos="2133"/>
        </w:tabs>
        <w:spacing w:before="120" w:after="120" w:line="240" w:lineRule="auto"/>
        <w:ind w:left="851" w:hanging="567"/>
        <w:jc w:val="both"/>
        <w:rPr>
          <w:rFonts w:ascii="Times New Roman" w:eastAsia="Times New Roman" w:hAnsi="Times New Roman" w:cs="Times New Roman"/>
        </w:rPr>
      </w:pPr>
      <w:r w:rsidRPr="00F35BEE">
        <w:rPr>
          <w:rFonts w:ascii="Times New Roman" w:eastAsia="Times New Roman" w:hAnsi="Times New Roman" w:cs="Times New Roman"/>
        </w:rPr>
        <w:t xml:space="preserve">A katonai és honvédelmi bűncselekmények. A katonai büntetőeljárás szabályai.  </w:t>
      </w:r>
      <w:r w:rsidRPr="00F35BEE">
        <w:rPr>
          <w:rFonts w:ascii="Times New Roman" w:eastAsia="Times New Roman" w:hAnsi="Times New Roman" w:cs="Times New Roman"/>
          <w:i/>
        </w:rPr>
        <w:t>(Military and defence crimes. Rules of military criminal prosecution.)</w:t>
      </w:r>
    </w:p>
    <w:p w:rsidR="00F35BEE" w:rsidRPr="00F35BEE" w:rsidRDefault="00F35BEE" w:rsidP="00C14833">
      <w:pPr>
        <w:widowControl w:val="0"/>
        <w:numPr>
          <w:ilvl w:val="1"/>
          <w:numId w:val="108"/>
        </w:numPr>
        <w:tabs>
          <w:tab w:val="left" w:pos="709"/>
          <w:tab w:val="left" w:pos="993"/>
          <w:tab w:val="num" w:pos="1134"/>
        </w:tabs>
        <w:spacing w:before="120" w:after="120" w:line="240" w:lineRule="auto"/>
        <w:ind w:left="851" w:hanging="567"/>
        <w:jc w:val="both"/>
        <w:rPr>
          <w:rFonts w:ascii="Times New Roman" w:eastAsia="Times New Roman" w:hAnsi="Times New Roman" w:cs="Times New Roman"/>
          <w:b/>
        </w:rPr>
      </w:pPr>
      <w:r w:rsidRPr="00F35BEE">
        <w:rPr>
          <w:rFonts w:ascii="Times New Roman" w:eastAsia="Times New Roman" w:hAnsi="Times New Roman" w:cs="Times New Roman"/>
        </w:rPr>
        <w:t xml:space="preserve">A nem különleges jogrendi válsághelyzetek szabályozása és honvédelmi vonatkozásai. </w:t>
      </w:r>
      <w:r w:rsidRPr="00F35BEE">
        <w:rPr>
          <w:rFonts w:ascii="Times New Roman" w:eastAsia="Times New Roman" w:hAnsi="Times New Roman" w:cs="Times New Roman"/>
          <w:i/>
        </w:rPr>
        <w:lastRenderedPageBreak/>
        <w:t>(Regulation and defence aspects of low crisis situations</w:t>
      </w:r>
      <w:r w:rsidRPr="00F35BEE">
        <w:rPr>
          <w:rFonts w:ascii="Times New Roman" w:eastAsia="Times New Roman" w:hAnsi="Times New Roman" w:cs="Times New Roman"/>
          <w:b/>
        </w:rPr>
        <w:t>)</w:t>
      </w:r>
    </w:p>
    <w:p w:rsidR="00F35BEE" w:rsidRPr="00F35BEE" w:rsidRDefault="00F35BEE" w:rsidP="00C14833">
      <w:pPr>
        <w:widowControl w:val="0"/>
        <w:numPr>
          <w:ilvl w:val="1"/>
          <w:numId w:val="108"/>
        </w:numPr>
        <w:tabs>
          <w:tab w:val="left" w:pos="709"/>
          <w:tab w:val="left" w:pos="993"/>
          <w:tab w:val="num" w:pos="1134"/>
          <w:tab w:val="num" w:pos="2133"/>
        </w:tabs>
        <w:spacing w:before="120" w:after="120" w:line="240" w:lineRule="auto"/>
        <w:ind w:left="851" w:hanging="567"/>
        <w:jc w:val="both"/>
        <w:rPr>
          <w:rFonts w:ascii="Times New Roman" w:eastAsia="Times New Roman" w:hAnsi="Times New Roman" w:cs="Times New Roman"/>
          <w:lang w:val="en-GB"/>
        </w:rPr>
      </w:pPr>
      <w:r w:rsidRPr="00F35BEE">
        <w:rPr>
          <w:rFonts w:ascii="Times New Roman" w:eastAsia="Times New Roman" w:hAnsi="Times New Roman" w:cs="Times New Roman"/>
        </w:rPr>
        <w:t xml:space="preserve">A különleges jogrend funkciója, tartalma, jellemzői. A különleges jogrend egyes időszakai. A rendkívüli állapot, a szükségállapot, a megelőző védelmi helyzet, a terrorveszélyhelyzet, a váratlan támadás és a veszélyhelyzet alkotmányos szabályozása. A különleges jogrendben alkalmazható rendkívüli intézkedések. A különleges jogrend honvédelmi igazgatási feladatai központi, területi és helyi szinten. </w:t>
      </w:r>
      <w:r w:rsidRPr="00F35BEE">
        <w:rPr>
          <w:rFonts w:ascii="Times New Roman" w:eastAsia="Times New Roman" w:hAnsi="Times New Roman" w:cs="Times New Roman"/>
          <w:i/>
        </w:rPr>
        <w:t>(Function, content and characteristics of Hungarian special legal order. Certain periods of special legal order. Constitutional regulation of state of emergency, preventive defence, terrorist threat, unexpected attack and emergency. Extraordinary measures applicable during a special legal order.</w:t>
      </w:r>
      <w:r w:rsidRPr="00F35BEE">
        <w:rPr>
          <w:rFonts w:ascii="Times New Roman" w:eastAsia="Times New Roman" w:hAnsi="Times New Roman" w:cs="Times New Roman"/>
          <w:lang w:val="en-GB"/>
        </w:rPr>
        <w:t xml:space="preserve">  </w:t>
      </w:r>
    </w:p>
    <w:p w:rsidR="00F35BEE" w:rsidRPr="00F35BEE" w:rsidRDefault="00F35BEE" w:rsidP="00C14833">
      <w:pPr>
        <w:widowControl w:val="0"/>
        <w:numPr>
          <w:ilvl w:val="1"/>
          <w:numId w:val="108"/>
        </w:numPr>
        <w:tabs>
          <w:tab w:val="left" w:pos="709"/>
          <w:tab w:val="left" w:pos="993"/>
          <w:tab w:val="num" w:pos="1134"/>
          <w:tab w:val="num" w:pos="2133"/>
        </w:tabs>
        <w:spacing w:before="120" w:after="120" w:line="240" w:lineRule="auto"/>
        <w:ind w:left="851" w:hanging="567"/>
        <w:jc w:val="both"/>
        <w:rPr>
          <w:rFonts w:ascii="Times New Roman" w:eastAsia="Times New Roman" w:hAnsi="Times New Roman" w:cs="Times New Roman"/>
          <w:i/>
        </w:rPr>
      </w:pPr>
      <w:r w:rsidRPr="00F35BEE">
        <w:rPr>
          <w:rFonts w:ascii="Times New Roman" w:eastAsia="Times New Roman" w:hAnsi="Times New Roman" w:cs="Times New Roman"/>
        </w:rPr>
        <w:t xml:space="preserve">A honvédelmi igazgatás központi szervei. Az Országgyűlés, a köztársasági elnök, a Kormány, a miniszterek honvédelmi feladatai. A honvédelemmel kapcsolatos kormányzati koordináció szervei. </w:t>
      </w:r>
      <w:r w:rsidRPr="00F35BEE">
        <w:rPr>
          <w:rFonts w:ascii="Times New Roman" w:eastAsia="Times New Roman" w:hAnsi="Times New Roman" w:cs="Times New Roman"/>
          <w:i/>
        </w:rPr>
        <w:t>(Central bodies of the defence administration. The defence tasks of the National Assembly, the President of the Republic, the Government and the ministers. Government coordination bodies on the field of defence.)</w:t>
      </w:r>
    </w:p>
    <w:p w:rsidR="00F35BEE" w:rsidRPr="00F35BEE" w:rsidRDefault="00F35BEE" w:rsidP="00C14833">
      <w:pPr>
        <w:widowControl w:val="0"/>
        <w:numPr>
          <w:ilvl w:val="1"/>
          <w:numId w:val="108"/>
        </w:numPr>
        <w:tabs>
          <w:tab w:val="left" w:pos="709"/>
          <w:tab w:val="left" w:pos="993"/>
          <w:tab w:val="num" w:pos="1134"/>
          <w:tab w:val="num" w:pos="2133"/>
        </w:tabs>
        <w:spacing w:before="120" w:after="120" w:line="240" w:lineRule="auto"/>
        <w:ind w:left="851" w:hanging="567"/>
        <w:jc w:val="both"/>
        <w:rPr>
          <w:rFonts w:ascii="Times New Roman" w:eastAsia="Times New Roman" w:hAnsi="Times New Roman" w:cs="Times New Roman"/>
          <w:lang w:val="en-US"/>
        </w:rPr>
      </w:pPr>
      <w:r w:rsidRPr="00F35BEE">
        <w:rPr>
          <w:rFonts w:ascii="Times New Roman" w:eastAsia="Times New Roman" w:hAnsi="Times New Roman" w:cs="Times New Roman"/>
        </w:rPr>
        <w:t xml:space="preserve">A honvédelmi igazgatás területi és helyi szerveinek struktúrája, feladatai, működése békeidőszakban és honvédelmi típusú különleges jogrendben. </w:t>
      </w:r>
      <w:r w:rsidRPr="00F35BEE">
        <w:rPr>
          <w:rFonts w:ascii="Times New Roman" w:eastAsia="Times New Roman" w:hAnsi="Times New Roman" w:cs="Times New Roman"/>
          <w:i/>
        </w:rPr>
        <w:t>(Structure, tasks and operation of the territorial and local institutions of the defence administration during peacetime period and during special legal order.)</w:t>
      </w:r>
    </w:p>
    <w:p w:rsidR="00F35BEE" w:rsidRPr="00F35BEE" w:rsidRDefault="00F35BEE" w:rsidP="00C14833">
      <w:pPr>
        <w:widowControl w:val="0"/>
        <w:numPr>
          <w:ilvl w:val="1"/>
          <w:numId w:val="108"/>
        </w:numPr>
        <w:tabs>
          <w:tab w:val="left" w:pos="709"/>
          <w:tab w:val="left" w:pos="993"/>
          <w:tab w:val="num" w:pos="1134"/>
          <w:tab w:val="num" w:pos="2133"/>
        </w:tabs>
        <w:spacing w:before="120" w:after="120" w:line="240" w:lineRule="auto"/>
        <w:ind w:left="851" w:hanging="567"/>
        <w:jc w:val="both"/>
        <w:rPr>
          <w:rFonts w:ascii="Times New Roman" w:eastAsia="Times New Roman" w:hAnsi="Times New Roman" w:cs="Times New Roman"/>
          <w:lang w:val="en-US"/>
        </w:rPr>
      </w:pPr>
      <w:r w:rsidRPr="00F35BEE">
        <w:rPr>
          <w:rFonts w:ascii="Times New Roman" w:eastAsia="Times New Roman" w:hAnsi="Times New Roman" w:cs="Times New Roman"/>
        </w:rPr>
        <w:t>A katonai igazgatás rendeltetése, szervezetrendszere. A katonai igazgatás hatósági és hadkiegészítési feladatai normál időszakban és különleges jogrendben. A katonai igazgatás kapcsolatrendszere a honvédelmi igazgatással, az együttműködés rendszere. (</w:t>
      </w:r>
      <w:r w:rsidRPr="00F35BEE">
        <w:rPr>
          <w:rFonts w:ascii="Times New Roman" w:eastAsia="Times New Roman" w:hAnsi="Times New Roman" w:cs="Times New Roman"/>
          <w:i/>
        </w:rPr>
        <w:t>Purpose and organization of the military administration. Official and military tasks of the military administration during the normal period and under special legal order. The system of military administration.)</w:t>
      </w:r>
    </w:p>
    <w:p w:rsidR="00F35BEE" w:rsidRPr="00F35BEE" w:rsidRDefault="00F35BEE" w:rsidP="00C14833">
      <w:pPr>
        <w:widowControl w:val="0"/>
        <w:numPr>
          <w:ilvl w:val="1"/>
          <w:numId w:val="108"/>
        </w:numPr>
        <w:tabs>
          <w:tab w:val="left" w:pos="709"/>
          <w:tab w:val="left" w:pos="993"/>
          <w:tab w:val="num" w:pos="1134"/>
          <w:tab w:val="num" w:pos="2133"/>
        </w:tabs>
        <w:spacing w:before="120" w:after="120" w:line="240" w:lineRule="auto"/>
        <w:ind w:left="851" w:hanging="567"/>
        <w:jc w:val="both"/>
        <w:rPr>
          <w:rFonts w:ascii="Times New Roman" w:eastAsia="Times New Roman" w:hAnsi="Times New Roman" w:cs="Times New Roman"/>
        </w:rPr>
      </w:pPr>
      <w:r w:rsidRPr="00F35BEE">
        <w:rPr>
          <w:rFonts w:ascii="Times New Roman" w:eastAsia="Times New Roman" w:hAnsi="Times New Roman" w:cs="Times New Roman"/>
        </w:rPr>
        <w:t xml:space="preserve">A Magyar Honvédség feltöltésével, a meghagyással, a gazdasági anyagi szolgáltatással kapcsolatos katonai igazgatási és honvédelmi igazgatási feladatok. Az önkéntes tartalékos rendszer alapjai, kialakulása, fejlődése és tartalma, kapcsolata a honvédelmi katonai igazgatással. </w:t>
      </w:r>
      <w:r w:rsidRPr="00F35BEE">
        <w:rPr>
          <w:rFonts w:ascii="Times New Roman" w:eastAsia="Times New Roman" w:hAnsi="Times New Roman" w:cs="Times New Roman"/>
          <w:i/>
        </w:rPr>
        <w:t>(Military administration and defence administration tasks related to the renewal of the Hungarian Defence Forces. Fundamentals of the voluntary reserve system, its development and content, its connection with military administration.)</w:t>
      </w:r>
    </w:p>
    <w:p w:rsidR="00F35BEE" w:rsidRPr="00F35BEE" w:rsidRDefault="00F35BEE" w:rsidP="00C14833">
      <w:pPr>
        <w:widowControl w:val="0"/>
        <w:numPr>
          <w:ilvl w:val="0"/>
          <w:numId w:val="108"/>
        </w:numPr>
        <w:tabs>
          <w:tab w:val="num" w:pos="360"/>
        </w:tabs>
        <w:spacing w:before="120" w:after="120" w:line="240" w:lineRule="auto"/>
        <w:ind w:left="426" w:hanging="142"/>
        <w:jc w:val="both"/>
        <w:rPr>
          <w:rFonts w:ascii="Times New Roman" w:eastAsia="Times New Roman" w:hAnsi="Times New Roman" w:cs="Times New Roman"/>
          <w:bCs/>
        </w:rPr>
      </w:pPr>
      <w:r w:rsidRPr="00F35BEE">
        <w:rPr>
          <w:rFonts w:ascii="Times New Roman" w:eastAsia="Times New Roman" w:hAnsi="Times New Roman" w:cs="Times New Roman"/>
          <w:b/>
          <w:bCs/>
        </w:rPr>
        <w:t xml:space="preserve">A tantárgy meghirdetésének gyakorisága/a tantervben történő félévi elhelyezkedése: </w:t>
      </w:r>
      <w:r w:rsidRPr="00F35BEE">
        <w:rPr>
          <w:rFonts w:ascii="Times New Roman" w:eastAsia="Times New Roman" w:hAnsi="Times New Roman" w:cs="Times New Roman"/>
          <w:bCs/>
        </w:rPr>
        <w:t>4. félév</w:t>
      </w:r>
    </w:p>
    <w:p w:rsidR="00F35BEE" w:rsidRPr="00F35BEE" w:rsidRDefault="00F35BEE" w:rsidP="00C14833">
      <w:pPr>
        <w:widowControl w:val="0"/>
        <w:numPr>
          <w:ilvl w:val="0"/>
          <w:numId w:val="108"/>
        </w:numPr>
        <w:tabs>
          <w:tab w:val="num" w:pos="360"/>
        </w:tabs>
        <w:spacing w:before="120" w:after="120" w:line="240" w:lineRule="auto"/>
        <w:ind w:left="426" w:hanging="142"/>
        <w:jc w:val="both"/>
        <w:rPr>
          <w:rFonts w:ascii="Times New Roman" w:eastAsia="Times New Roman" w:hAnsi="Times New Roman" w:cs="Times New Roman"/>
          <w:bCs/>
        </w:rPr>
      </w:pPr>
      <w:r w:rsidRPr="00F35BEE">
        <w:rPr>
          <w:rFonts w:ascii="Times New Roman" w:eastAsia="Times New Roman" w:hAnsi="Times New Roman" w:cs="Times New Roman"/>
          <w:b/>
          <w:bCs/>
        </w:rPr>
        <w:t>A tanórákon való részvétel követelményei, az elfogadható hiányzások mértéke, a távolmaradás pótlásának lehetősége:</w:t>
      </w:r>
    </w:p>
    <w:p w:rsidR="00F35BEE" w:rsidRPr="00F35BEE" w:rsidRDefault="00F35BEE" w:rsidP="00F35BEE">
      <w:pPr>
        <w:widowControl w:val="0"/>
        <w:spacing w:before="120" w:after="120" w:line="240" w:lineRule="auto"/>
        <w:ind w:left="426"/>
        <w:jc w:val="both"/>
        <w:rPr>
          <w:rFonts w:ascii="Times New Roman" w:eastAsia="Times New Roman" w:hAnsi="Times New Roman" w:cs="Times New Roman"/>
          <w:bCs/>
        </w:rPr>
      </w:pPr>
      <w:r w:rsidRPr="00F35BEE">
        <w:rPr>
          <w:rFonts w:ascii="Times New Roman" w:eastAsia="Times New Roman" w:hAnsi="Times New Roman" w:cs="Times New Roman"/>
          <w:bCs/>
        </w:rPr>
        <w:t xml:space="preserve">A hallgató – a félév végi aláírás megszerzéséért – köteles a foglalkozások legalább 80 %-án részt venni. Ammennyiben az elfogadható hiányzások mértékét túllépi, úgy a félév végi aláírás megtagadásra kerül. A hiányzás pótolható beadandó házidolgozattal. </w:t>
      </w:r>
    </w:p>
    <w:p w:rsidR="00F35BEE" w:rsidRPr="00F35BEE" w:rsidRDefault="00F35BEE" w:rsidP="00C14833">
      <w:pPr>
        <w:widowControl w:val="0"/>
        <w:numPr>
          <w:ilvl w:val="0"/>
          <w:numId w:val="108"/>
        </w:numPr>
        <w:tabs>
          <w:tab w:val="num" w:pos="360"/>
        </w:tabs>
        <w:spacing w:before="120" w:after="120" w:line="240" w:lineRule="auto"/>
        <w:ind w:left="426" w:hanging="66"/>
        <w:jc w:val="both"/>
        <w:rPr>
          <w:rFonts w:ascii="Times New Roman" w:eastAsia="Times New Roman" w:hAnsi="Times New Roman" w:cs="Times New Roman"/>
          <w:bCs/>
        </w:rPr>
      </w:pPr>
      <w:r w:rsidRPr="00F35BEE">
        <w:rPr>
          <w:rFonts w:ascii="Times New Roman" w:eastAsia="Times New Roman" w:hAnsi="Times New Roman" w:cs="Times New Roman"/>
          <w:b/>
        </w:rPr>
        <w:t xml:space="preserve">Félévközi feladatok, ismeretek ellenőrzésének rendje: </w:t>
      </w:r>
      <w:r w:rsidRPr="00F35BEE">
        <w:rPr>
          <w:rFonts w:ascii="Times New Roman" w:eastAsia="Times New Roman" w:hAnsi="Times New Roman" w:cs="Times New Roman"/>
        </w:rPr>
        <w:t>A félévet záró szemináriumon zárthelyi dolgozat megírása. A dolgozat ötfokozatú értékeléssel: 50%-tól elégséges (2), 60%-tól közepes (3), 75%-tól jó (4), 90%-tól jeles érdemjeggyel. A zárthelyi dolgozat a kötelező irodalomra és az előadások anyagára épül.</w:t>
      </w:r>
    </w:p>
    <w:p w:rsidR="00F35BEE" w:rsidRPr="00F35BEE" w:rsidRDefault="00F35BEE" w:rsidP="00C14833">
      <w:pPr>
        <w:widowControl w:val="0"/>
        <w:numPr>
          <w:ilvl w:val="0"/>
          <w:numId w:val="108"/>
        </w:numPr>
        <w:spacing w:before="120" w:after="120" w:line="240" w:lineRule="auto"/>
        <w:ind w:left="426" w:hanging="142"/>
        <w:jc w:val="both"/>
        <w:rPr>
          <w:rFonts w:ascii="Times New Roman" w:eastAsia="Times New Roman" w:hAnsi="Times New Roman" w:cs="Times New Roman"/>
          <w:b/>
          <w:bCs/>
        </w:rPr>
      </w:pPr>
      <w:r w:rsidRPr="00F35BEE">
        <w:rPr>
          <w:rFonts w:ascii="Times New Roman" w:eastAsia="Times New Roman" w:hAnsi="Times New Roman" w:cs="Times New Roman"/>
          <w:b/>
          <w:bCs/>
        </w:rPr>
        <w:t xml:space="preserve">Az értékelés, az aláírás és a kreditek megszerzésének pontos feltételei: </w:t>
      </w:r>
    </w:p>
    <w:p w:rsidR="00F35BEE" w:rsidRPr="00F35BEE" w:rsidRDefault="00F35BEE" w:rsidP="00C14833">
      <w:pPr>
        <w:widowControl w:val="0"/>
        <w:numPr>
          <w:ilvl w:val="1"/>
          <w:numId w:val="108"/>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F35BEE">
        <w:rPr>
          <w:rFonts w:ascii="Times New Roman" w:eastAsia="Times New Roman" w:hAnsi="Times New Roman" w:cs="Times New Roman"/>
          <w:b/>
        </w:rPr>
        <w:t>Az aláírás megszerzésének feltételei:</w:t>
      </w:r>
    </w:p>
    <w:p w:rsidR="00F35BEE" w:rsidRPr="00F35BEE" w:rsidRDefault="00F35BEE" w:rsidP="00F35BEE">
      <w:pPr>
        <w:widowControl w:val="0"/>
        <w:tabs>
          <w:tab w:val="left" w:pos="993"/>
        </w:tabs>
        <w:spacing w:before="120" w:after="120" w:line="240" w:lineRule="auto"/>
        <w:ind w:left="426"/>
        <w:jc w:val="both"/>
        <w:rPr>
          <w:rFonts w:ascii="Times New Roman" w:eastAsia="Times New Roman" w:hAnsi="Times New Roman" w:cs="Times New Roman"/>
        </w:rPr>
      </w:pPr>
      <w:r w:rsidRPr="00F35BEE">
        <w:rPr>
          <w:rFonts w:ascii="Times New Roman" w:eastAsia="Times New Roman" w:hAnsi="Times New Roman" w:cs="Times New Roman"/>
        </w:rPr>
        <w:t>Az aláírás megszerzésének feltétele a 14. pontban meghatározott arányú részvétel foglalkozásokon és zártheli legalább elégséges szintű megírása.</w:t>
      </w:r>
    </w:p>
    <w:p w:rsidR="00F35BEE" w:rsidRPr="00F35BEE" w:rsidRDefault="00F35BEE" w:rsidP="00C14833">
      <w:pPr>
        <w:widowControl w:val="0"/>
        <w:numPr>
          <w:ilvl w:val="1"/>
          <w:numId w:val="108"/>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F35BEE">
        <w:rPr>
          <w:rFonts w:ascii="Times New Roman" w:eastAsia="Times New Roman" w:hAnsi="Times New Roman" w:cs="Times New Roman"/>
          <w:b/>
        </w:rPr>
        <w:t>Az értékelés:</w:t>
      </w:r>
      <w:r w:rsidRPr="00F35BEE">
        <w:rPr>
          <w:rFonts w:ascii="Times New Roman" w:eastAsia="Times New Roman" w:hAnsi="Times New Roman" w:cs="Times New Roman"/>
        </w:rPr>
        <w:t xml:space="preserve"> Évközi értékelés. Az érdemjegy kialakítása a megírt dolgozat eredménye alapján ötfokozatú értékeléssel történik, 50%-tól elégséges (2), 60%-tól közepes (3), 75%-tól jó (4), 90%-tól jeles érdemjeggyel.</w:t>
      </w:r>
    </w:p>
    <w:p w:rsidR="00F35BEE" w:rsidRPr="00F35BEE" w:rsidRDefault="00F35BEE" w:rsidP="00C14833">
      <w:pPr>
        <w:widowControl w:val="0"/>
        <w:numPr>
          <w:ilvl w:val="1"/>
          <w:numId w:val="108"/>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F35BEE">
        <w:rPr>
          <w:rFonts w:ascii="Times New Roman" w:eastAsia="Times New Roman" w:hAnsi="Times New Roman" w:cs="Times New Roman"/>
          <w:b/>
        </w:rPr>
        <w:t>A kreditek megszerzésének feltételei:</w:t>
      </w:r>
      <w:r w:rsidRPr="00F35BEE">
        <w:rPr>
          <w:rFonts w:ascii="Times New Roman" w:eastAsia="Times New Roman" w:hAnsi="Times New Roman" w:cs="Times New Roman"/>
        </w:rPr>
        <w:t xml:space="preserve"> </w:t>
      </w:r>
    </w:p>
    <w:p w:rsidR="00F35BEE" w:rsidRPr="00F35BEE" w:rsidRDefault="00F35BEE" w:rsidP="00F35BEE">
      <w:pPr>
        <w:widowControl w:val="0"/>
        <w:tabs>
          <w:tab w:val="left" w:pos="993"/>
        </w:tabs>
        <w:spacing w:before="120" w:after="120" w:line="240" w:lineRule="auto"/>
        <w:ind w:left="426"/>
        <w:jc w:val="both"/>
        <w:rPr>
          <w:rFonts w:ascii="Times New Roman" w:eastAsia="Times New Roman" w:hAnsi="Times New Roman" w:cs="Times New Roman"/>
        </w:rPr>
      </w:pPr>
      <w:r w:rsidRPr="00F35BEE">
        <w:rPr>
          <w:rFonts w:ascii="Times New Roman" w:eastAsia="Times New Roman" w:hAnsi="Times New Roman" w:cs="Times New Roman"/>
        </w:rPr>
        <w:lastRenderedPageBreak/>
        <w:t>A kreditek megszerzésének feltétele az aláírás megszerzése és legalább elégséges (2) eredmény elérése.</w:t>
      </w:r>
    </w:p>
    <w:p w:rsidR="00F35BEE" w:rsidRDefault="00F35BEE" w:rsidP="00C14833">
      <w:pPr>
        <w:widowControl w:val="0"/>
        <w:numPr>
          <w:ilvl w:val="0"/>
          <w:numId w:val="108"/>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Irodalomjegyzék:</w:t>
      </w:r>
    </w:p>
    <w:p w:rsidR="00F35BEE" w:rsidRDefault="00F35BEE" w:rsidP="00C14833">
      <w:pPr>
        <w:widowControl w:val="0"/>
        <w:numPr>
          <w:ilvl w:val="1"/>
          <w:numId w:val="108"/>
        </w:numPr>
        <w:tabs>
          <w:tab w:val="left" w:pos="567"/>
          <w:tab w:val="left" w:pos="851"/>
          <w:tab w:val="num" w:pos="2069"/>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Kötelező irodalom:</w:t>
      </w:r>
    </w:p>
    <w:p w:rsidR="004D7256" w:rsidRPr="004D7256" w:rsidRDefault="00F35BEE" w:rsidP="00C14833">
      <w:pPr>
        <w:pStyle w:val="Listaszerbekezds"/>
        <w:widowControl w:val="0"/>
        <w:numPr>
          <w:ilvl w:val="0"/>
          <w:numId w:val="109"/>
        </w:numPr>
        <w:tabs>
          <w:tab w:val="left" w:pos="567"/>
          <w:tab w:val="left" w:pos="851"/>
        </w:tabs>
        <w:spacing w:before="120" w:after="120" w:line="240" w:lineRule="auto"/>
        <w:jc w:val="both"/>
        <w:rPr>
          <w:rFonts w:ascii="Times New Roman" w:eastAsia="Times New Roman" w:hAnsi="Times New Roman" w:cs="Times New Roman"/>
          <w:bCs/>
          <w:highlight w:val="yellow"/>
        </w:rPr>
      </w:pPr>
      <w:r>
        <w:rPr>
          <w:rFonts w:ascii="Times New Roman" w:eastAsia="Times New Roman" w:hAnsi="Times New Roman" w:cs="Times New Roman"/>
          <w:bCs/>
        </w:rPr>
        <w:t xml:space="preserve"> </w:t>
      </w:r>
      <w:r w:rsidRPr="004D7256">
        <w:rPr>
          <w:rFonts w:ascii="Times New Roman" w:eastAsia="Times New Roman" w:hAnsi="Times New Roman" w:cs="Times New Roman"/>
          <w:bCs/>
          <w:highlight w:val="yellow"/>
        </w:rPr>
        <w:t xml:space="preserve">Hornyacsek Júlia – Kádár Pál – Keszely László – Lakatos László – Muhoray Árpád – Petruska Ferenc: A védelmi igazgatás rendszere és a honvédelmi igazgatással való kapcsolatának elméleti és gyakorlati összefüggései. Dialóg Campus Kiadó, Budapest 2019. ISBN 978-615-5945-67-0 (nyomtatott), ISBN 978-615-5945-70-0 (elektronikus [e-PDF]) </w:t>
      </w:r>
    </w:p>
    <w:p w:rsidR="004D7256" w:rsidRPr="004D7256" w:rsidRDefault="00F35BEE" w:rsidP="00C14833">
      <w:pPr>
        <w:pStyle w:val="Listaszerbekezds"/>
        <w:numPr>
          <w:ilvl w:val="0"/>
          <w:numId w:val="109"/>
        </w:numPr>
        <w:spacing w:line="256" w:lineRule="auto"/>
        <w:rPr>
          <w:rFonts w:ascii="Times New Roman" w:eastAsia="Times New Roman" w:hAnsi="Times New Roman" w:cs="Times New Roman"/>
          <w:highlight w:val="yellow"/>
        </w:rPr>
      </w:pPr>
      <w:r w:rsidRPr="004D7256">
        <w:rPr>
          <w:rFonts w:ascii="Times New Roman" w:eastAsia="Times New Roman" w:hAnsi="Times New Roman" w:cs="Times New Roman"/>
          <w:highlight w:val="yellow"/>
        </w:rPr>
        <w:t xml:space="preserve">Bódi Stefánia – Kádár Pál – Petruska Ferenc: Jogi alapismeretek honvéd tisztjelölteknek. Nemzeti Közszolgálati Egyetem, Budapest, 2014. ISBN: 978-615-5491-07-8  </w:t>
      </w:r>
    </w:p>
    <w:p w:rsidR="004D7256" w:rsidRPr="004D7256" w:rsidRDefault="00F35BEE" w:rsidP="00C14833">
      <w:pPr>
        <w:pStyle w:val="Listaszerbekezds"/>
        <w:widowControl w:val="0"/>
        <w:numPr>
          <w:ilvl w:val="0"/>
          <w:numId w:val="109"/>
        </w:numPr>
        <w:spacing w:before="120" w:after="120" w:line="240" w:lineRule="auto"/>
        <w:jc w:val="both"/>
        <w:rPr>
          <w:rFonts w:ascii="Times New Roman" w:eastAsia="Times New Roman" w:hAnsi="Times New Roman" w:cs="Times New Roman"/>
          <w:bCs/>
          <w:highlight w:val="yellow"/>
        </w:rPr>
      </w:pPr>
      <w:r w:rsidRPr="004D7256">
        <w:rPr>
          <w:rFonts w:ascii="Times New Roman" w:eastAsia="Times New Roman" w:hAnsi="Times New Roman" w:cs="Times New Roman"/>
          <w:bCs/>
          <w:highlight w:val="yellow"/>
        </w:rPr>
        <w:t xml:space="preserve">Balogh András József – Farkas Ádám – Kelemen Roland – Kereki Ádám – Lépné Balogh Krisztina – Patyi András – Pongrácz Alex – Raffay Bálint: A honvédelem jogának elméleti, történeti és kortárs kérdései. Dialóg Campus Kiadó, Budapest, 2018. ISBN 978-615-5889-73-8 (nyomtatott), ISBN 978-615-5889-74-5 (elektronikus [e-PDF]) </w:t>
      </w:r>
    </w:p>
    <w:p w:rsidR="004D7256" w:rsidRPr="004D7256" w:rsidRDefault="00F35BEE" w:rsidP="00C14833">
      <w:pPr>
        <w:pStyle w:val="Listaszerbekezds"/>
        <w:numPr>
          <w:ilvl w:val="0"/>
          <w:numId w:val="109"/>
        </w:numPr>
        <w:spacing w:line="256" w:lineRule="auto"/>
        <w:rPr>
          <w:rFonts w:ascii="Times New Roman" w:eastAsia="Times New Roman" w:hAnsi="Times New Roman" w:cs="Times New Roman"/>
          <w:bCs/>
          <w:highlight w:val="yellow"/>
        </w:rPr>
      </w:pPr>
      <w:r w:rsidRPr="004D7256">
        <w:rPr>
          <w:rFonts w:ascii="Times New Roman" w:eastAsia="Times New Roman" w:hAnsi="Times New Roman" w:cs="Times New Roman"/>
          <w:bCs/>
          <w:highlight w:val="yellow"/>
        </w:rPr>
        <w:t>Krizbai János (szerk</w:t>
      </w:r>
      <w:r w:rsidR="008B213B">
        <w:rPr>
          <w:rFonts w:ascii="Times New Roman" w:eastAsia="Times New Roman" w:hAnsi="Times New Roman" w:cs="Times New Roman"/>
          <w:bCs/>
          <w:highlight w:val="yellow"/>
        </w:rPr>
        <w:t>.</w:t>
      </w:r>
      <w:r w:rsidRPr="004D7256">
        <w:rPr>
          <w:rFonts w:ascii="Times New Roman" w:eastAsia="Times New Roman" w:hAnsi="Times New Roman" w:cs="Times New Roman"/>
          <w:bCs/>
          <w:highlight w:val="yellow"/>
        </w:rPr>
        <w:t>): Fiatal tisztek zsebkönyve. Dialóg Campus Kiadó, Budapest, 2017. ISBN 978-615-5764-08-0 (nyomtatott), ISBN 978-615-5764-09-7 (online)</w:t>
      </w:r>
    </w:p>
    <w:p w:rsidR="00F35BEE" w:rsidRDefault="00F35BEE" w:rsidP="00C14833">
      <w:pPr>
        <w:widowControl w:val="0"/>
        <w:numPr>
          <w:ilvl w:val="1"/>
          <w:numId w:val="108"/>
        </w:numPr>
        <w:tabs>
          <w:tab w:val="num" w:pos="567"/>
          <w:tab w:val="num" w:pos="2069"/>
        </w:tabs>
        <w:spacing w:before="120" w:after="120" w:line="240" w:lineRule="auto"/>
        <w:ind w:left="993" w:hanging="709"/>
        <w:jc w:val="both"/>
        <w:rPr>
          <w:rFonts w:ascii="Times New Roman" w:eastAsia="Times New Roman" w:hAnsi="Times New Roman" w:cs="Times New Roman"/>
          <w:b/>
          <w:bCs/>
        </w:rPr>
      </w:pPr>
      <w:r>
        <w:rPr>
          <w:rFonts w:ascii="Times New Roman" w:eastAsia="Times New Roman" w:hAnsi="Times New Roman" w:cs="Times New Roman"/>
          <w:b/>
          <w:bCs/>
        </w:rPr>
        <w:t>Ajánlott irodalom:</w:t>
      </w:r>
    </w:p>
    <w:p w:rsidR="004D7256" w:rsidRPr="007E46DE" w:rsidRDefault="00F35BEE" w:rsidP="00C14833">
      <w:pPr>
        <w:pStyle w:val="Listaszerbekezds"/>
        <w:widowControl w:val="0"/>
        <w:numPr>
          <w:ilvl w:val="0"/>
          <w:numId w:val="110"/>
        </w:numPr>
        <w:spacing w:before="120" w:after="120" w:line="240" w:lineRule="auto"/>
        <w:jc w:val="both"/>
        <w:rPr>
          <w:rFonts w:ascii="Times New Roman" w:eastAsia="Times New Roman" w:hAnsi="Times New Roman" w:cs="Times New Roman"/>
          <w:bCs/>
          <w:highlight w:val="yellow"/>
        </w:rPr>
      </w:pPr>
      <w:r w:rsidRPr="007E46DE">
        <w:rPr>
          <w:rFonts w:ascii="Times New Roman" w:eastAsia="Times New Roman" w:hAnsi="Times New Roman" w:cs="Times New Roman"/>
          <w:bCs/>
          <w:highlight w:val="yellow"/>
        </w:rPr>
        <w:t>Hornyacsek Júlia – Kádár Pál – Keszely László – Lakatos László – Muhoray Árpád: A védelmi igazgatás működésének gyakorlati tapasztalatai napjaink kihívásainak tükrében. Dialóg Campus Kiadó, Budapest 2019. ISBN: 9786155945663</w:t>
      </w:r>
    </w:p>
    <w:p w:rsidR="004D7256" w:rsidRPr="007E46DE" w:rsidRDefault="00F35BEE" w:rsidP="00C14833">
      <w:pPr>
        <w:pStyle w:val="Listaszerbekezds"/>
        <w:widowControl w:val="0"/>
        <w:numPr>
          <w:ilvl w:val="0"/>
          <w:numId w:val="110"/>
        </w:numPr>
        <w:tabs>
          <w:tab w:val="num" w:pos="2069"/>
        </w:tabs>
        <w:spacing w:before="120" w:after="120" w:line="240" w:lineRule="auto"/>
        <w:jc w:val="both"/>
        <w:rPr>
          <w:rFonts w:ascii="Times New Roman" w:eastAsia="Times New Roman" w:hAnsi="Times New Roman" w:cs="Times New Roman"/>
          <w:bCs/>
          <w:highlight w:val="yellow"/>
        </w:rPr>
      </w:pPr>
      <w:r w:rsidRPr="007E46DE">
        <w:rPr>
          <w:rFonts w:ascii="Times New Roman" w:eastAsia="Times New Roman" w:hAnsi="Times New Roman" w:cs="Times New Roman"/>
          <w:bCs/>
          <w:highlight w:val="yellow"/>
        </w:rPr>
        <w:t xml:space="preserve">Lakatos László: Honvédelmi igazgatás. Zrínyi Miklós Nemzetvédelmi Egyetem (egyetemi e-jegyzet) 2011. </w:t>
      </w:r>
    </w:p>
    <w:p w:rsidR="00F35BEE" w:rsidRDefault="00F35BEE" w:rsidP="00F35BEE">
      <w:pPr>
        <w:pStyle w:val="Listaszerbekezds"/>
        <w:widowControl w:val="0"/>
        <w:spacing w:before="120" w:after="120" w:line="240" w:lineRule="auto"/>
        <w:jc w:val="both"/>
        <w:rPr>
          <w:rFonts w:ascii="Times New Roman" w:eastAsia="Times New Roman" w:hAnsi="Times New Roman" w:cs="Times New Roman"/>
          <w:bCs/>
        </w:rPr>
      </w:pPr>
    </w:p>
    <w:p w:rsidR="00F35BEE" w:rsidRDefault="00F35BEE" w:rsidP="00AA1F6A">
      <w:pPr>
        <w:widowControl w:val="0"/>
        <w:spacing w:before="120" w:after="120" w:line="240" w:lineRule="auto"/>
        <w:ind w:firstLine="360"/>
        <w:jc w:val="both"/>
        <w:rPr>
          <w:rFonts w:ascii="Times New Roman" w:eastAsia="Times New Roman" w:hAnsi="Times New Roman" w:cs="Times New Roman"/>
          <w:bCs/>
        </w:rPr>
      </w:pPr>
      <w:r>
        <w:rPr>
          <w:rFonts w:ascii="Times New Roman" w:eastAsia="Times New Roman" w:hAnsi="Times New Roman" w:cs="Times New Roman"/>
          <w:bCs/>
          <w:highlight w:val="lightGray"/>
        </w:rPr>
        <w:t>Budapest,</w:t>
      </w:r>
      <w:r>
        <w:rPr>
          <w:rFonts w:ascii="Times New Roman" w:eastAsia="Times New Roman" w:hAnsi="Times New Roman" w:cs="Times New Roman"/>
          <w:bCs/>
        </w:rPr>
        <w:t xml:space="preserve"> </w:t>
      </w:r>
      <w:r>
        <w:rPr>
          <w:rFonts w:ascii="Times New Roman" w:eastAsia="Times New Roman" w:hAnsi="Times New Roman" w:cs="Times New Roman"/>
          <w:bCs/>
          <w:highlight w:val="lightGray"/>
        </w:rPr>
        <w:fldChar w:fldCharType="begin"/>
      </w:r>
      <w:r>
        <w:rPr>
          <w:rFonts w:ascii="Times New Roman" w:eastAsia="Times New Roman" w:hAnsi="Times New Roman" w:cs="Times New Roman"/>
          <w:bCs/>
          <w:highlight w:val="lightGray"/>
        </w:rPr>
        <w:instrText xml:space="preserve"> TIME \@ "yyyy. MMMM d." </w:instrText>
      </w:r>
      <w:r>
        <w:rPr>
          <w:rFonts w:ascii="Times New Roman" w:eastAsia="Times New Roman" w:hAnsi="Times New Roman" w:cs="Times New Roman"/>
          <w:bCs/>
          <w:highlight w:val="lightGray"/>
        </w:rPr>
        <w:fldChar w:fldCharType="separate"/>
      </w:r>
      <w:r w:rsidR="004D708E">
        <w:rPr>
          <w:rFonts w:ascii="Times New Roman" w:eastAsia="Times New Roman" w:hAnsi="Times New Roman" w:cs="Times New Roman"/>
          <w:bCs/>
          <w:noProof/>
          <w:highlight w:val="lightGray"/>
        </w:rPr>
        <w:t>2020. szeptember 16.</w:t>
      </w:r>
      <w:r>
        <w:rPr>
          <w:rFonts w:ascii="Times New Roman" w:eastAsia="Times New Roman" w:hAnsi="Times New Roman" w:cs="Times New Roman"/>
          <w:bCs/>
          <w:highlight w:val="lightGray"/>
        </w:rPr>
        <w:fldChar w:fldCharType="end"/>
      </w:r>
    </w:p>
    <w:p w:rsidR="00F35BEE" w:rsidRDefault="00F35BEE" w:rsidP="00F35BEE">
      <w:pPr>
        <w:widowControl w:val="0"/>
        <w:spacing w:before="120" w:after="120" w:line="240" w:lineRule="auto"/>
        <w:jc w:val="both"/>
        <w:rPr>
          <w:rFonts w:ascii="Times New Roman" w:eastAsia="Times New Roman" w:hAnsi="Times New Roman" w:cs="Times New Roman"/>
          <w:bCs/>
        </w:rPr>
      </w:pPr>
    </w:p>
    <w:p w:rsidR="00F35BEE" w:rsidRDefault="00F35BEE" w:rsidP="00F35BEE">
      <w:pPr>
        <w:widowControl w:val="0"/>
        <w:spacing w:after="0" w:line="240" w:lineRule="auto"/>
        <w:ind w:left="5812"/>
        <w:jc w:val="center"/>
        <w:rPr>
          <w:rFonts w:ascii="Times New Roman" w:eastAsia="Times New Roman" w:hAnsi="Times New Roman" w:cs="Times New Roman"/>
          <w:b/>
          <w:bCs/>
        </w:rPr>
      </w:pPr>
      <w:r>
        <w:rPr>
          <w:rFonts w:ascii="Times New Roman" w:eastAsia="Times New Roman" w:hAnsi="Times New Roman" w:cs="Times New Roman"/>
          <w:b/>
          <w:bCs/>
        </w:rPr>
        <w:t>Dr. Petruska Ferenc alezredes</w:t>
      </w:r>
    </w:p>
    <w:p w:rsidR="00F35BEE" w:rsidRDefault="00F35BEE" w:rsidP="00F35BEE">
      <w:pPr>
        <w:widowControl w:val="0"/>
        <w:spacing w:after="0" w:line="240" w:lineRule="auto"/>
        <w:ind w:left="5812"/>
        <w:jc w:val="center"/>
        <w:rPr>
          <w:rFonts w:ascii="Times New Roman" w:eastAsia="Times New Roman" w:hAnsi="Times New Roman" w:cs="Times New Roman"/>
          <w:bCs/>
        </w:rPr>
      </w:pPr>
      <w:r>
        <w:rPr>
          <w:rFonts w:ascii="Times New Roman" w:eastAsia="Times New Roman" w:hAnsi="Times New Roman" w:cs="Times New Roman"/>
          <w:bCs/>
        </w:rPr>
        <w:t>adjunktus</w:t>
      </w:r>
      <w:r w:rsidR="00AA1F6A">
        <w:rPr>
          <w:rFonts w:ascii="Times New Roman" w:eastAsia="Times New Roman" w:hAnsi="Times New Roman" w:cs="Times New Roman"/>
          <w:bCs/>
        </w:rPr>
        <w:t xml:space="preserve"> </w:t>
      </w:r>
      <w:r>
        <w:rPr>
          <w:rFonts w:ascii="Times New Roman" w:eastAsia="Times New Roman" w:hAnsi="Times New Roman" w:cs="Times New Roman"/>
          <w:bCs/>
        </w:rPr>
        <w:t>sk.</w:t>
      </w:r>
    </w:p>
    <w:p w:rsidR="00AA1F6A" w:rsidRDefault="00AA1F6A">
      <w:r>
        <w:br w:type="page"/>
      </w:r>
    </w:p>
    <w:tbl>
      <w:tblPr>
        <w:tblW w:w="9072" w:type="dxa"/>
        <w:tblInd w:w="113" w:type="dxa"/>
        <w:tblLook w:val="01E0" w:firstRow="1" w:lastRow="1" w:firstColumn="1" w:lastColumn="1" w:noHBand="0" w:noVBand="0"/>
      </w:tblPr>
      <w:tblGrid>
        <w:gridCol w:w="4855"/>
        <w:gridCol w:w="1620"/>
        <w:gridCol w:w="2597"/>
      </w:tblGrid>
      <w:tr w:rsidR="00A1316C" w:rsidTr="00A1316C">
        <w:tc>
          <w:tcPr>
            <w:tcW w:w="4855" w:type="dxa"/>
            <w:tcBorders>
              <w:top w:val="nil"/>
              <w:left w:val="nil"/>
              <w:bottom w:val="single" w:sz="4" w:space="0" w:color="auto"/>
              <w:right w:val="nil"/>
            </w:tcBorders>
            <w:hideMark/>
          </w:tcPr>
          <w:p w:rsidR="00A1316C" w:rsidRDefault="00A1316C">
            <w:pPr>
              <w:spacing w:after="0" w:line="240" w:lineRule="auto"/>
              <w:jc w:val="center"/>
              <w:rPr>
                <w:rFonts w:ascii="Times New Roman" w:eastAsia="Times New Roman" w:hAnsi="Times New Roman" w:cs="Times New Roman"/>
                <w:b/>
                <w:smallCaps/>
                <w:lang w:eastAsia="hu-HU"/>
              </w:rPr>
            </w:pPr>
            <w:r>
              <w:rPr>
                <w:rFonts w:ascii="Times New Roman" w:eastAsia="Times New Roman" w:hAnsi="Times New Roman" w:cs="Times New Roman"/>
                <w:b/>
                <w:smallCaps/>
                <w:lang w:eastAsia="hu-HU"/>
              </w:rPr>
              <w:lastRenderedPageBreak/>
              <w:t>Nemzeti Közszolgálati Egyetem</w:t>
            </w:r>
          </w:p>
        </w:tc>
        <w:tc>
          <w:tcPr>
            <w:tcW w:w="1620" w:type="dxa"/>
          </w:tcPr>
          <w:p w:rsidR="00A1316C" w:rsidRDefault="00A1316C">
            <w:pPr>
              <w:spacing w:after="0" w:line="240" w:lineRule="auto"/>
              <w:jc w:val="both"/>
              <w:rPr>
                <w:rFonts w:ascii="Times New Roman" w:eastAsia="Times New Roman" w:hAnsi="Times New Roman" w:cs="Times New Roman"/>
                <w:lang w:eastAsia="hu-HU"/>
              </w:rPr>
            </w:pPr>
          </w:p>
        </w:tc>
        <w:tc>
          <w:tcPr>
            <w:tcW w:w="2597" w:type="dxa"/>
          </w:tcPr>
          <w:p w:rsidR="00A1316C" w:rsidRDefault="00A1316C">
            <w:pPr>
              <w:spacing w:after="0" w:line="240" w:lineRule="auto"/>
              <w:jc w:val="right"/>
              <w:rPr>
                <w:rFonts w:ascii="Times New Roman" w:eastAsia="Times New Roman" w:hAnsi="Times New Roman" w:cs="Times New Roman"/>
                <w:lang w:eastAsia="hu-HU"/>
              </w:rPr>
            </w:pPr>
          </w:p>
        </w:tc>
      </w:tr>
      <w:tr w:rsidR="00A1316C" w:rsidTr="00A1316C">
        <w:tc>
          <w:tcPr>
            <w:tcW w:w="4855" w:type="dxa"/>
            <w:tcBorders>
              <w:top w:val="single" w:sz="4" w:space="0" w:color="auto"/>
              <w:left w:val="nil"/>
              <w:bottom w:val="nil"/>
              <w:right w:val="nil"/>
            </w:tcBorders>
            <w:hideMark/>
          </w:tcPr>
          <w:p w:rsidR="00A1316C" w:rsidRDefault="00A1316C">
            <w:pPr>
              <w:spacing w:after="0" w:line="240" w:lineRule="auto"/>
              <w:jc w:val="center"/>
              <w:rPr>
                <w:rFonts w:ascii="Times New Roman" w:eastAsia="Times New Roman" w:hAnsi="Times New Roman" w:cs="Times New Roman"/>
                <w:b/>
                <w:lang w:eastAsia="hu-HU"/>
              </w:rPr>
            </w:pPr>
            <w:r>
              <w:rPr>
                <w:rFonts w:ascii="Times New Roman" w:eastAsia="Times New Roman" w:hAnsi="Times New Roman" w:cs="Times New Roman"/>
                <w:b/>
                <w:lang w:eastAsia="hu-HU"/>
              </w:rPr>
              <w:t>Hadtudományi és Honvédtisztképző Kar</w:t>
            </w:r>
          </w:p>
        </w:tc>
        <w:tc>
          <w:tcPr>
            <w:tcW w:w="1620" w:type="dxa"/>
          </w:tcPr>
          <w:p w:rsidR="00A1316C" w:rsidRDefault="00A1316C">
            <w:pPr>
              <w:spacing w:after="0" w:line="240" w:lineRule="auto"/>
              <w:jc w:val="both"/>
              <w:rPr>
                <w:rFonts w:ascii="Times New Roman" w:eastAsia="Times New Roman" w:hAnsi="Times New Roman" w:cs="Times New Roman"/>
                <w:lang w:eastAsia="hu-HU"/>
              </w:rPr>
            </w:pPr>
          </w:p>
        </w:tc>
        <w:tc>
          <w:tcPr>
            <w:tcW w:w="2597" w:type="dxa"/>
          </w:tcPr>
          <w:p w:rsidR="00A1316C" w:rsidRDefault="00A1316C">
            <w:pPr>
              <w:spacing w:after="0" w:line="240" w:lineRule="auto"/>
              <w:jc w:val="both"/>
              <w:rPr>
                <w:rFonts w:ascii="Times New Roman" w:eastAsia="Times New Roman" w:hAnsi="Times New Roman" w:cs="Times New Roman"/>
                <w:lang w:eastAsia="hu-HU"/>
              </w:rPr>
            </w:pPr>
          </w:p>
        </w:tc>
      </w:tr>
    </w:tbl>
    <w:p w:rsidR="00A1316C" w:rsidRDefault="00A1316C" w:rsidP="00A1316C">
      <w:pPr>
        <w:widowControl w:val="0"/>
        <w:spacing w:before="120" w:after="120" w:line="240" w:lineRule="auto"/>
        <w:ind w:left="426" w:hanging="142"/>
        <w:jc w:val="center"/>
        <w:rPr>
          <w:rFonts w:ascii="Times New Roman" w:eastAsia="Times New Roman" w:hAnsi="Times New Roman" w:cs="Times New Roman"/>
          <w:b/>
          <w:bCs/>
        </w:rPr>
      </w:pPr>
    </w:p>
    <w:p w:rsidR="00A1316C" w:rsidRDefault="00A1316C" w:rsidP="00A1316C">
      <w:pPr>
        <w:widowControl w:val="0"/>
        <w:spacing w:before="120" w:after="120" w:line="240" w:lineRule="auto"/>
        <w:ind w:left="426" w:hanging="142"/>
        <w:jc w:val="center"/>
        <w:rPr>
          <w:rFonts w:ascii="Times New Roman" w:eastAsia="Times New Roman" w:hAnsi="Times New Roman" w:cs="Times New Roman"/>
          <w:b/>
          <w:bCs/>
        </w:rPr>
      </w:pPr>
      <w:r>
        <w:rPr>
          <w:rFonts w:ascii="Times New Roman" w:eastAsia="Times New Roman" w:hAnsi="Times New Roman" w:cs="Times New Roman"/>
          <w:b/>
          <w:bCs/>
        </w:rPr>
        <w:t>TANTÁRGYI PROGRAM</w:t>
      </w:r>
    </w:p>
    <w:p w:rsidR="00A1316C" w:rsidRDefault="00A1316C" w:rsidP="00C14833">
      <w:pPr>
        <w:widowControl w:val="0"/>
        <w:numPr>
          <w:ilvl w:val="0"/>
          <w:numId w:val="111"/>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 tantárgy kódja: </w:t>
      </w:r>
      <w:r>
        <w:rPr>
          <w:rFonts w:ascii="Times New Roman" w:eastAsia="Times New Roman" w:hAnsi="Times New Roman" w:cs="Times New Roman"/>
          <w:bCs/>
        </w:rPr>
        <w:t>HKHPKA10</w:t>
      </w:r>
    </w:p>
    <w:p w:rsidR="00A1316C" w:rsidRDefault="00A1316C" w:rsidP="00C14833">
      <w:pPr>
        <w:widowControl w:val="0"/>
        <w:numPr>
          <w:ilvl w:val="0"/>
          <w:numId w:val="111"/>
        </w:numPr>
        <w:spacing w:before="120" w:after="120" w:line="240" w:lineRule="auto"/>
        <w:ind w:left="426" w:hanging="142"/>
        <w:jc w:val="both"/>
        <w:rPr>
          <w:rFonts w:ascii="Times New Roman" w:eastAsia="Times New Roman" w:hAnsi="Times New Roman" w:cs="Times New Roman"/>
          <w:b/>
          <w:bCs/>
          <w:lang w:val="en-GB"/>
        </w:rPr>
      </w:pPr>
      <w:r>
        <w:rPr>
          <w:rFonts w:ascii="Times New Roman" w:eastAsia="Times New Roman" w:hAnsi="Times New Roman" w:cs="Times New Roman"/>
          <w:b/>
          <w:bCs/>
        </w:rPr>
        <w:t>A tantárgy megnevezése (magyarul):</w:t>
      </w:r>
      <w:r>
        <w:rPr>
          <w:rFonts w:ascii="Times New Roman" w:eastAsia="Times New Roman" w:hAnsi="Times New Roman" w:cs="Times New Roman"/>
          <w:bCs/>
        </w:rPr>
        <w:t xml:space="preserve"> </w:t>
      </w:r>
      <w:r>
        <w:rPr>
          <w:rFonts w:ascii="Times New Roman" w:hAnsi="Times New Roman" w:cs="Times New Roman"/>
          <w:bCs/>
        </w:rPr>
        <w:t>Katonai logisztikai gazdálkodás alapjai</w:t>
      </w:r>
    </w:p>
    <w:p w:rsidR="00A1316C" w:rsidRDefault="00A1316C" w:rsidP="00C14833">
      <w:pPr>
        <w:widowControl w:val="0"/>
        <w:numPr>
          <w:ilvl w:val="0"/>
          <w:numId w:val="111"/>
        </w:numPr>
        <w:tabs>
          <w:tab w:val="num" w:pos="567"/>
        </w:tabs>
        <w:spacing w:before="120" w:after="120" w:line="240" w:lineRule="auto"/>
        <w:ind w:left="426" w:hanging="142"/>
        <w:jc w:val="both"/>
        <w:rPr>
          <w:rFonts w:ascii="Times New Roman" w:eastAsia="Times New Roman" w:hAnsi="Times New Roman" w:cs="Times New Roman"/>
          <w:bCs/>
          <w:lang w:val="en-GB"/>
        </w:rPr>
      </w:pPr>
      <w:r>
        <w:rPr>
          <w:rFonts w:ascii="Times New Roman" w:eastAsia="Times New Roman" w:hAnsi="Times New Roman" w:cs="Times New Roman"/>
          <w:b/>
          <w:bCs/>
        </w:rPr>
        <w:t xml:space="preserve">A tantárgy megnevezése (angolul): </w:t>
      </w:r>
      <w:r>
        <w:rPr>
          <w:rFonts w:ascii="Times New Roman" w:eastAsia="Times New Roman" w:hAnsi="Times New Roman" w:cs="Times New Roman"/>
          <w:bCs/>
        </w:rPr>
        <w:t>Basics of Military Logistics Management</w:t>
      </w:r>
    </w:p>
    <w:p w:rsidR="00A1316C" w:rsidRDefault="00A1316C" w:rsidP="00C14833">
      <w:pPr>
        <w:widowControl w:val="0"/>
        <w:numPr>
          <w:ilvl w:val="0"/>
          <w:numId w:val="111"/>
        </w:numPr>
        <w:tabs>
          <w:tab w:val="num" w:pos="567"/>
        </w:tabs>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Kreditérték és képzési karakter: </w:t>
      </w:r>
    </w:p>
    <w:p w:rsidR="00A1316C" w:rsidRDefault="00A1316C" w:rsidP="00C14833">
      <w:pPr>
        <w:pStyle w:val="Listaszerbekezds"/>
        <w:widowControl w:val="0"/>
        <w:numPr>
          <w:ilvl w:val="1"/>
          <w:numId w:val="111"/>
        </w:numPr>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2 kredit</w:t>
      </w:r>
    </w:p>
    <w:p w:rsidR="00A1316C" w:rsidRDefault="00A1316C" w:rsidP="00C14833">
      <w:pPr>
        <w:pStyle w:val="Listaszerbekezds"/>
        <w:widowControl w:val="0"/>
        <w:numPr>
          <w:ilvl w:val="1"/>
          <w:numId w:val="111"/>
        </w:numPr>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a tantárgy elméleti vagy gyakorlati jellegének mértéke: 50</w:t>
      </w:r>
      <w:r>
        <w:rPr>
          <w:rFonts w:ascii="Times New Roman" w:eastAsia="Times New Roman" w:hAnsi="Times New Roman" w:cs="Times New Roman"/>
          <w:b/>
          <w:bCs/>
        </w:rPr>
        <w:t xml:space="preserve"> </w:t>
      </w:r>
      <w:r>
        <w:rPr>
          <w:rFonts w:ascii="Times New Roman" w:eastAsia="Times New Roman" w:hAnsi="Times New Roman" w:cs="Times New Roman"/>
          <w:bCs/>
        </w:rPr>
        <w:t>% gyakorlat, 50 % elmélet</w:t>
      </w:r>
    </w:p>
    <w:p w:rsidR="00A1316C" w:rsidRDefault="00A1316C" w:rsidP="00C14833">
      <w:pPr>
        <w:widowControl w:val="0"/>
        <w:numPr>
          <w:ilvl w:val="0"/>
          <w:numId w:val="111"/>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szak(ok), szakirányok/specializációk megnevezése (ahol oktatják):</w:t>
      </w:r>
      <w:r>
        <w:rPr>
          <w:rFonts w:ascii="Times New Roman" w:eastAsia="Times New Roman" w:hAnsi="Times New Roman" w:cs="Times New Roman"/>
          <w:bCs/>
        </w:rPr>
        <w:t xml:space="preserve"> </w:t>
      </w:r>
      <w:r>
        <w:rPr>
          <w:rFonts w:ascii="Times New Roman" w:hAnsi="Times New Roman" w:cs="Times New Roman"/>
          <w:bCs/>
        </w:rPr>
        <w:t>NKE HHK katonai alapképzési szakok</w:t>
      </w:r>
    </w:p>
    <w:p w:rsidR="00A1316C" w:rsidRDefault="00A1316C" w:rsidP="00C14833">
      <w:pPr>
        <w:widowControl w:val="0"/>
        <w:numPr>
          <w:ilvl w:val="0"/>
          <w:numId w:val="111"/>
        </w:numPr>
        <w:tabs>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Az oktatásért felelős oktatási szervezeti egység megnevezése: </w:t>
      </w:r>
      <w:r>
        <w:rPr>
          <w:rFonts w:ascii="Times New Roman" w:hAnsi="Times New Roman" w:cs="Times New Roman"/>
          <w:bCs/>
        </w:rPr>
        <w:t>NKE HHK Hadtáp, Pénzügyi és Katonai Közlekedési Tanszék</w:t>
      </w:r>
    </w:p>
    <w:p w:rsidR="00A1316C" w:rsidRDefault="00A1316C" w:rsidP="00C14833">
      <w:pPr>
        <w:widowControl w:val="0"/>
        <w:numPr>
          <w:ilvl w:val="0"/>
          <w:numId w:val="111"/>
        </w:numPr>
        <w:tabs>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tantárgyfelelős oktató neve, beosztása, tudományos fokozata:</w:t>
      </w:r>
      <w:r>
        <w:rPr>
          <w:rFonts w:ascii="Times New Roman" w:eastAsia="Times New Roman" w:hAnsi="Times New Roman" w:cs="Times New Roman"/>
          <w:bCs/>
        </w:rPr>
        <w:t xml:space="preserve"> </w:t>
      </w:r>
      <w:r>
        <w:rPr>
          <w:rFonts w:ascii="Times New Roman" w:hAnsi="Times New Roman" w:cs="Times New Roman"/>
          <w:bCs/>
        </w:rPr>
        <w:t>Dr. Pap Andrea, egyetemi docens, (PhD)</w:t>
      </w:r>
    </w:p>
    <w:p w:rsidR="00A1316C" w:rsidRDefault="00A1316C" w:rsidP="00C14833">
      <w:pPr>
        <w:widowControl w:val="0"/>
        <w:numPr>
          <w:ilvl w:val="0"/>
          <w:numId w:val="111"/>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tanórák száma és típusa</w:t>
      </w:r>
    </w:p>
    <w:p w:rsidR="00A1316C" w:rsidRDefault="00A1316C" w:rsidP="00C14833">
      <w:pPr>
        <w:widowControl w:val="0"/>
        <w:numPr>
          <w:ilvl w:val="1"/>
          <w:numId w:val="111"/>
        </w:numPr>
        <w:tabs>
          <w:tab w:val="num" w:pos="709"/>
          <w:tab w:val="num" w:pos="2069"/>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össz óraszám/félév: 28</w:t>
      </w:r>
    </w:p>
    <w:p w:rsidR="00A1316C" w:rsidRDefault="00A1316C" w:rsidP="00C14833">
      <w:pPr>
        <w:widowControl w:val="0"/>
        <w:numPr>
          <w:ilvl w:val="2"/>
          <w:numId w:val="111"/>
        </w:numPr>
        <w:tabs>
          <w:tab w:val="num" w:pos="709"/>
        </w:tabs>
        <w:spacing w:after="0" w:line="240" w:lineRule="auto"/>
        <w:ind w:left="1417" w:hanging="425"/>
        <w:jc w:val="both"/>
        <w:rPr>
          <w:rFonts w:ascii="Times New Roman" w:eastAsia="Times New Roman" w:hAnsi="Times New Roman" w:cs="Times New Roman"/>
          <w:bCs/>
        </w:rPr>
      </w:pPr>
      <w:r>
        <w:rPr>
          <w:rFonts w:ascii="Times New Roman" w:eastAsia="Times New Roman" w:hAnsi="Times New Roman" w:cs="Times New Roman"/>
          <w:bCs/>
        </w:rPr>
        <w:t>nappali munkarend: (14 EA + 0 SZ + 14 GY)</w:t>
      </w:r>
    </w:p>
    <w:p w:rsidR="00A1316C" w:rsidRDefault="00A1316C" w:rsidP="00C14833">
      <w:pPr>
        <w:widowControl w:val="0"/>
        <w:numPr>
          <w:ilvl w:val="2"/>
          <w:numId w:val="111"/>
        </w:numPr>
        <w:tabs>
          <w:tab w:val="num" w:pos="709"/>
        </w:tabs>
        <w:spacing w:after="0" w:line="240" w:lineRule="auto"/>
        <w:ind w:left="1417" w:hanging="425"/>
        <w:jc w:val="both"/>
        <w:rPr>
          <w:rFonts w:ascii="Times New Roman" w:eastAsia="Times New Roman" w:hAnsi="Times New Roman" w:cs="Times New Roman"/>
          <w:bCs/>
        </w:rPr>
      </w:pPr>
      <w:r>
        <w:rPr>
          <w:rFonts w:ascii="Times New Roman" w:eastAsia="Times New Roman" w:hAnsi="Times New Roman" w:cs="Times New Roman"/>
          <w:bCs/>
        </w:rPr>
        <w:t>levelező munkarend: -</w:t>
      </w:r>
    </w:p>
    <w:p w:rsidR="00A1316C" w:rsidRDefault="00A1316C" w:rsidP="00C14833">
      <w:pPr>
        <w:widowControl w:val="0"/>
        <w:numPr>
          <w:ilvl w:val="1"/>
          <w:numId w:val="111"/>
        </w:numPr>
        <w:tabs>
          <w:tab w:val="num" w:pos="709"/>
          <w:tab w:val="num" w:pos="2069"/>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heti óraszám - nappali munkarend: 2</w:t>
      </w:r>
    </w:p>
    <w:p w:rsidR="00A1316C" w:rsidRDefault="00A1316C" w:rsidP="00C14833">
      <w:pPr>
        <w:widowControl w:val="0"/>
        <w:numPr>
          <w:ilvl w:val="1"/>
          <w:numId w:val="111"/>
        </w:numPr>
        <w:tabs>
          <w:tab w:val="num" w:pos="709"/>
          <w:tab w:val="num" w:pos="2069"/>
        </w:tabs>
        <w:spacing w:before="120" w:after="120" w:line="240" w:lineRule="auto"/>
        <w:ind w:left="851" w:hanging="425"/>
        <w:jc w:val="both"/>
        <w:rPr>
          <w:rFonts w:ascii="Times New Roman" w:eastAsia="Times New Roman" w:hAnsi="Times New Roman" w:cs="Times New Roman"/>
          <w:bCs/>
        </w:rPr>
      </w:pPr>
      <w:r>
        <w:rPr>
          <w:rFonts w:ascii="Times New Roman" w:hAnsi="Times New Roman" w:cs="Times New Roman"/>
        </w:rPr>
        <w:t>Az ismeret átadásában alkalmazandó további sajátos módok, jellemzők:</w:t>
      </w:r>
      <w:r>
        <w:rPr>
          <w:rFonts w:ascii="Times New Roman" w:hAnsi="Times New Roman" w:cs="Times New Roman"/>
          <w:i/>
        </w:rPr>
        <w:t xml:space="preserve"> –</w:t>
      </w:r>
    </w:p>
    <w:p w:rsidR="00A1316C" w:rsidRDefault="00A1316C" w:rsidP="00C14833">
      <w:pPr>
        <w:widowControl w:val="0"/>
        <w:numPr>
          <w:ilvl w:val="0"/>
          <w:numId w:val="111"/>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tantárgy szakmai tartalma (magyarul):</w:t>
      </w:r>
      <w:r>
        <w:rPr>
          <w:rFonts w:ascii="Times New Roman" w:eastAsia="Times New Roman" w:hAnsi="Times New Roman" w:cs="Times New Roman"/>
          <w:bCs/>
        </w:rPr>
        <w:t xml:space="preserve"> A személyi állomány pénzügyi járandóságai. Az ellátási és számvetési mértékegységek és azok tartalma, a készletképzés rendje. Haditechnikai ismeretek. Az alegységek vasúti szállításának megszervezése. A károk fajtáit, a károk rendezésének szabályai, a káreljárások lefolytatásának rendje. A leltározás és a selejtezés fogalma, célja, feladatai. Az MH katonai szervezetei üzemanyag-, élelmezési és ruházati ellátásának alapjai.</w:t>
      </w:r>
    </w:p>
    <w:p w:rsidR="00A1316C" w:rsidRDefault="00A1316C" w:rsidP="00A1316C">
      <w:pPr>
        <w:ind w:left="426"/>
        <w:jc w:val="both"/>
        <w:rPr>
          <w:rFonts w:ascii="Times New Roman" w:eastAsia="Times New Roman" w:hAnsi="Times New Roman" w:cs="Times New Roman"/>
          <w:bCs/>
        </w:rPr>
      </w:pPr>
      <w:r>
        <w:rPr>
          <w:rFonts w:ascii="Times New Roman" w:eastAsia="Times New Roman" w:hAnsi="Times New Roman" w:cs="Times New Roman"/>
          <w:b/>
          <w:bCs/>
        </w:rPr>
        <w:t>A tantárgy szakmai tartalma (angolul) (</w:t>
      </w:r>
      <w:r>
        <w:rPr>
          <w:rFonts w:ascii="Times New Roman" w:eastAsia="Times New Roman" w:hAnsi="Times New Roman" w:cs="Times New Roman"/>
          <w:b/>
          <w:bCs/>
          <w:lang w:val="en-US"/>
        </w:rPr>
        <w:t>Course description</w:t>
      </w:r>
      <w:r>
        <w:rPr>
          <w:rFonts w:ascii="Times New Roman" w:eastAsia="Times New Roman" w:hAnsi="Times New Roman" w:cs="Times New Roman"/>
          <w:b/>
          <w:bCs/>
        </w:rPr>
        <w:t xml:space="preserve">): </w:t>
      </w:r>
      <w:r>
        <w:rPr>
          <w:rFonts w:ascii="Times New Roman" w:eastAsia="Times New Roman" w:hAnsi="Times New Roman" w:cs="Times New Roman"/>
          <w:bCs/>
        </w:rPr>
        <w:t>Financial remuneration of staff. Units of supply and accounting, order of stockpiling. Military technology knowledge. Organization of railway transport of sub-units. Types of damage, rules and procedures of damage settling. The concept, purpose and tasks of inventory and scrapping. The basics of fuel, food and clothing supply for the HDF.</w:t>
      </w:r>
    </w:p>
    <w:p w:rsidR="00A1316C" w:rsidRDefault="00A1316C" w:rsidP="00C14833">
      <w:pPr>
        <w:pStyle w:val="Listaszerbekezds"/>
        <w:widowControl w:val="0"/>
        <w:numPr>
          <w:ilvl w:val="0"/>
          <w:numId w:val="111"/>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Elérendő kompetenciák (magyarul):</w:t>
      </w:r>
      <w:r>
        <w:rPr>
          <w:rFonts w:ascii="Times New Roman" w:eastAsia="Times New Roman" w:hAnsi="Times New Roman" w:cs="Times New Roman"/>
          <w:bCs/>
        </w:rPr>
        <w:t xml:space="preserve"> </w:t>
      </w:r>
    </w:p>
    <w:p w:rsidR="00A1316C" w:rsidRDefault="00A1316C" w:rsidP="00A1316C">
      <w:pPr>
        <w:widowControl w:val="0"/>
        <w:spacing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Tudása:</w:t>
      </w:r>
    </w:p>
    <w:p w:rsidR="00A1316C" w:rsidRDefault="00A1316C" w:rsidP="00A1316C">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Ismeri a napi élet irányításához szükséges alapvető pénzügyi és logisztikai szabályokat.</w:t>
      </w:r>
    </w:p>
    <w:p w:rsidR="00A1316C" w:rsidRDefault="00A1316C" w:rsidP="00A1316C">
      <w:pPr>
        <w:widowControl w:val="0"/>
        <w:spacing w:before="24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Képességei:</w:t>
      </w:r>
      <w:r>
        <w:rPr>
          <w:rFonts w:ascii="Times New Roman" w:eastAsia="Times New Roman" w:hAnsi="Times New Roman" w:cs="Times New Roman"/>
          <w:bCs/>
        </w:rPr>
        <w:t xml:space="preserve"> </w:t>
      </w:r>
    </w:p>
    <w:p w:rsidR="00A1316C" w:rsidRDefault="00A1316C" w:rsidP="00A1316C">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Képes alegység szintű gazdálkodási feladatok tervezésére, szervezésére, végrehajtására és irányítására.</w:t>
      </w:r>
    </w:p>
    <w:p w:rsidR="00A1316C" w:rsidRDefault="00A1316C" w:rsidP="00A1316C">
      <w:pPr>
        <w:widowControl w:val="0"/>
        <w:spacing w:before="24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Attitűdje:</w:t>
      </w:r>
      <w:r>
        <w:rPr>
          <w:rFonts w:ascii="Times New Roman" w:eastAsia="Times New Roman" w:hAnsi="Times New Roman" w:cs="Times New Roman"/>
          <w:bCs/>
        </w:rPr>
        <w:t xml:space="preserve"> </w:t>
      </w:r>
    </w:p>
    <w:p w:rsidR="00A1316C" w:rsidRDefault="00A1316C" w:rsidP="00A1316C">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A gazdálkodási feladatok végrehajtása során a rendszerszemlélet és jó szervezőkészség jellemzi.</w:t>
      </w:r>
    </w:p>
    <w:p w:rsidR="00A1316C" w:rsidRDefault="00A1316C" w:rsidP="00A1316C">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Tevékenységét a hatékonyság központú szemlélet jellemzi.</w:t>
      </w:r>
    </w:p>
    <w:p w:rsidR="00AA1F6A" w:rsidRDefault="00AA1F6A">
      <w:pPr>
        <w:spacing w:after="200" w:line="276" w:lineRule="auto"/>
        <w:rPr>
          <w:rFonts w:ascii="Times New Roman" w:eastAsia="Times New Roman" w:hAnsi="Times New Roman" w:cs="Times New Roman"/>
          <w:b/>
          <w:bCs/>
        </w:rPr>
      </w:pPr>
      <w:r>
        <w:rPr>
          <w:rFonts w:ascii="Times New Roman" w:eastAsia="Times New Roman" w:hAnsi="Times New Roman" w:cs="Times New Roman"/>
          <w:b/>
          <w:bCs/>
        </w:rPr>
        <w:br w:type="page"/>
      </w:r>
    </w:p>
    <w:p w:rsidR="00A1316C" w:rsidRDefault="00A1316C" w:rsidP="00A1316C">
      <w:pPr>
        <w:widowControl w:val="0"/>
        <w:spacing w:before="24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lastRenderedPageBreak/>
        <w:t>Autonómiája és felelőssége:</w:t>
      </w:r>
    </w:p>
    <w:p w:rsidR="00A1316C" w:rsidRDefault="00A1316C" w:rsidP="00A1316C">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A gazdálkodási folyamatok végrehajtása során önállóan döntéseket hoz, azokat felelősséggel, a jogszabályi keretek figyelembevételével végrehajtja.</w:t>
      </w:r>
    </w:p>
    <w:p w:rsidR="00A1316C" w:rsidRDefault="00A1316C" w:rsidP="00A1316C">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Felelősséget vállal számvetéseinek pontosságáért.</w:t>
      </w:r>
    </w:p>
    <w:p w:rsidR="00A1316C" w:rsidRDefault="00A1316C" w:rsidP="00A1316C">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Tisztában van döntéseinek, tevékenységének a műszaki eszközökre, illetve a gazdálkodási fegyelemre gyakorolt hatásaival, következményeivel.</w:t>
      </w:r>
    </w:p>
    <w:p w:rsidR="00A1316C" w:rsidRDefault="00A1316C" w:rsidP="00A1316C">
      <w:pPr>
        <w:widowControl w:val="0"/>
        <w:spacing w:before="240" w:after="0" w:line="240" w:lineRule="auto"/>
        <w:ind w:left="425"/>
        <w:jc w:val="both"/>
        <w:rPr>
          <w:rFonts w:ascii="Times New Roman" w:eastAsia="Times New Roman" w:hAnsi="Times New Roman" w:cs="Times New Roman"/>
          <w:b/>
          <w:bCs/>
          <w:lang w:val="en-US"/>
        </w:rPr>
      </w:pPr>
      <w:r>
        <w:rPr>
          <w:rFonts w:ascii="Times New Roman" w:eastAsia="Times New Roman" w:hAnsi="Times New Roman" w:cs="Times New Roman"/>
          <w:b/>
          <w:bCs/>
        </w:rPr>
        <w:t>Elérendő kompetenciák (angolul) (</w:t>
      </w:r>
      <w:r>
        <w:rPr>
          <w:rFonts w:ascii="Times New Roman" w:eastAsia="Times New Roman" w:hAnsi="Times New Roman" w:cs="Times New Roman"/>
          <w:b/>
          <w:bCs/>
          <w:lang w:val="en-US"/>
        </w:rPr>
        <w:t xml:space="preserve">Competences – English): </w:t>
      </w:r>
    </w:p>
    <w:p w:rsidR="00A1316C" w:rsidRDefault="00A1316C" w:rsidP="00A1316C">
      <w:pPr>
        <w:widowControl w:val="0"/>
        <w:spacing w:before="120" w:after="0" w:line="240" w:lineRule="auto"/>
        <w:ind w:left="425"/>
        <w:jc w:val="both"/>
        <w:rPr>
          <w:rFonts w:ascii="Times New Roman" w:eastAsia="Times New Roman" w:hAnsi="Times New Roman" w:cs="Times New Roman"/>
          <w:lang w:val="en-GB"/>
        </w:rPr>
      </w:pPr>
      <w:r>
        <w:rPr>
          <w:rFonts w:ascii="Times New Roman" w:eastAsia="Times New Roman" w:hAnsi="Times New Roman" w:cs="Times New Roman"/>
          <w:b/>
          <w:lang w:val="en-GB"/>
        </w:rPr>
        <w:t>Knowledge</w:t>
      </w:r>
      <w:r>
        <w:rPr>
          <w:rFonts w:ascii="Times New Roman" w:eastAsia="Times New Roman" w:hAnsi="Times New Roman" w:cs="Times New Roman"/>
          <w:lang w:val="en-GB"/>
        </w:rPr>
        <w:t xml:space="preserve">: </w:t>
      </w:r>
    </w:p>
    <w:p w:rsidR="00A1316C" w:rsidRDefault="00A1316C" w:rsidP="00A1316C">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Knows the basic principles of financial and logistic support neccesary for managing daily tasks.</w:t>
      </w:r>
    </w:p>
    <w:p w:rsidR="00A1316C" w:rsidRDefault="00A1316C" w:rsidP="00A1316C">
      <w:pPr>
        <w:widowControl w:val="0"/>
        <w:spacing w:before="240" w:after="0" w:line="240" w:lineRule="auto"/>
        <w:ind w:left="425"/>
        <w:jc w:val="both"/>
        <w:rPr>
          <w:rFonts w:ascii="Times New Roman" w:eastAsia="Times New Roman" w:hAnsi="Times New Roman" w:cs="Times New Roman"/>
          <w:lang w:val="en-GB"/>
        </w:rPr>
      </w:pPr>
      <w:r>
        <w:rPr>
          <w:rFonts w:ascii="Times New Roman" w:eastAsia="Times New Roman" w:hAnsi="Times New Roman" w:cs="Times New Roman"/>
          <w:b/>
          <w:lang w:val="en-GB"/>
        </w:rPr>
        <w:t>Capabilities</w:t>
      </w:r>
      <w:r>
        <w:rPr>
          <w:rFonts w:ascii="Times New Roman" w:eastAsia="Times New Roman" w:hAnsi="Times New Roman" w:cs="Times New Roman"/>
          <w:lang w:val="en-GB"/>
        </w:rPr>
        <w:t xml:space="preserve">: </w:t>
      </w:r>
    </w:p>
    <w:p w:rsidR="00A1316C" w:rsidRDefault="00A1316C" w:rsidP="00A1316C">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He/She is able to plan, organize, execute, and manage subunit-level management tasks.</w:t>
      </w:r>
    </w:p>
    <w:p w:rsidR="00A1316C" w:rsidRDefault="00A1316C" w:rsidP="00A13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ind w:left="425"/>
        <w:jc w:val="both"/>
        <w:rPr>
          <w:rFonts w:ascii="Times New Roman" w:eastAsia="Times New Roman" w:hAnsi="Times New Roman" w:cs="Times New Roman"/>
          <w:lang w:val="en-GB"/>
        </w:rPr>
      </w:pPr>
      <w:r>
        <w:rPr>
          <w:rFonts w:ascii="Times New Roman" w:eastAsia="Times New Roman" w:hAnsi="Times New Roman" w:cs="Times New Roman"/>
          <w:b/>
          <w:lang w:val="en-GB"/>
        </w:rPr>
        <w:t>Attitude:</w:t>
      </w:r>
      <w:r>
        <w:rPr>
          <w:rFonts w:ascii="Times New Roman" w:eastAsia="Times New Roman" w:hAnsi="Times New Roman" w:cs="Times New Roman"/>
          <w:lang w:val="en-GB"/>
        </w:rPr>
        <w:t xml:space="preserve"> </w:t>
      </w:r>
    </w:p>
    <w:p w:rsidR="00A1316C" w:rsidRDefault="00A1316C" w:rsidP="00A1316C">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During management tasks he/she is characterized by systematic approach and good organizational skills.</w:t>
      </w:r>
    </w:p>
    <w:p w:rsidR="00A1316C" w:rsidRDefault="00A1316C" w:rsidP="00A1316C">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His/her activities are driven by an efficiency-oriented approach.</w:t>
      </w:r>
    </w:p>
    <w:p w:rsidR="00A1316C" w:rsidRDefault="00A1316C" w:rsidP="00A1316C">
      <w:pPr>
        <w:widowControl w:val="0"/>
        <w:spacing w:before="24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lang w:val="en-GB"/>
        </w:rPr>
        <w:t xml:space="preserve">Autonomy and responsibility: </w:t>
      </w:r>
    </w:p>
    <w:p w:rsidR="00A1316C" w:rsidRDefault="00A1316C" w:rsidP="00A1316C">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He/She is able to make autonomous decisions in military management processes, and implement them with responisibility within the legal framework.</w:t>
      </w:r>
    </w:p>
    <w:p w:rsidR="00A1316C" w:rsidRDefault="00A1316C" w:rsidP="00A1316C">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He/She takes responsibility for the accurancy of his/her calculations.</w:t>
      </w:r>
    </w:p>
    <w:p w:rsidR="00A1316C" w:rsidRDefault="00A1316C" w:rsidP="00A1316C">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He/She is aware of the impact of his/her decisions and activities on technical equipment and business discipline.</w:t>
      </w:r>
    </w:p>
    <w:p w:rsidR="00A1316C" w:rsidRPr="0002585F" w:rsidRDefault="00A1316C" w:rsidP="00C14833">
      <w:pPr>
        <w:widowControl w:val="0"/>
        <w:numPr>
          <w:ilvl w:val="0"/>
          <w:numId w:val="111"/>
        </w:numPr>
        <w:tabs>
          <w:tab w:val="num" w:pos="567"/>
        </w:tabs>
        <w:spacing w:before="120" w:after="120" w:line="240" w:lineRule="auto"/>
        <w:ind w:left="426" w:hanging="142"/>
        <w:jc w:val="both"/>
        <w:rPr>
          <w:rFonts w:ascii="Times New Roman" w:eastAsia="Times New Roman" w:hAnsi="Times New Roman" w:cs="Times New Roman"/>
          <w:bCs/>
        </w:rPr>
      </w:pPr>
      <w:r w:rsidRPr="0002585F">
        <w:rPr>
          <w:rFonts w:ascii="Times New Roman" w:eastAsia="Times New Roman" w:hAnsi="Times New Roman" w:cs="Times New Roman"/>
          <w:b/>
          <w:bCs/>
        </w:rPr>
        <w:t>Előtanulmányi követelmények:</w:t>
      </w:r>
      <w:r w:rsidR="0002585F" w:rsidRPr="0002585F">
        <w:rPr>
          <w:rFonts w:ascii="Times New Roman" w:eastAsia="Times New Roman" w:hAnsi="Times New Roman" w:cs="Times New Roman"/>
          <w:b/>
          <w:bCs/>
        </w:rPr>
        <w:t xml:space="preserve">  </w:t>
      </w:r>
      <w:r w:rsidRPr="0002585F">
        <w:rPr>
          <w:rFonts w:ascii="Times New Roman" w:eastAsia="Times New Roman" w:hAnsi="Times New Roman" w:cs="Times New Roman"/>
          <w:bCs/>
        </w:rPr>
        <w:t>Nincs</w:t>
      </w:r>
    </w:p>
    <w:p w:rsidR="00A1316C" w:rsidRDefault="00A1316C" w:rsidP="00C14833">
      <w:pPr>
        <w:widowControl w:val="0"/>
        <w:numPr>
          <w:ilvl w:val="0"/>
          <w:numId w:val="111"/>
        </w:numPr>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A tantárgy tananyagának leírása, tematika. Description of the subject, curriculum (magyarul, angolul - English):</w:t>
      </w:r>
    </w:p>
    <w:p w:rsidR="00A1316C" w:rsidRDefault="00A1316C" w:rsidP="00C14833">
      <w:pPr>
        <w:widowControl w:val="0"/>
        <w:numPr>
          <w:ilvl w:val="1"/>
          <w:numId w:val="111"/>
        </w:numPr>
        <w:tabs>
          <w:tab w:val="num" w:pos="2069"/>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 katonai logisztika értelmezése, funkcionális elemei, szervezeti rendszere. </w:t>
      </w:r>
      <w:r>
        <w:rPr>
          <w:rFonts w:ascii="Times New Roman" w:eastAsia="Times New Roman" w:hAnsi="Times New Roman" w:cs="Times New Roman"/>
          <w:i/>
          <w:kern w:val="2"/>
        </w:rPr>
        <w:t>(Interpretation, functional elements and structure of military logistics.)</w:t>
      </w:r>
    </w:p>
    <w:p w:rsidR="00A1316C" w:rsidRDefault="00A1316C" w:rsidP="00C14833">
      <w:pPr>
        <w:widowControl w:val="0"/>
        <w:numPr>
          <w:ilvl w:val="1"/>
          <w:numId w:val="111"/>
        </w:numPr>
        <w:tabs>
          <w:tab w:val="num" w:pos="2069"/>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Az ellátási számvetési mértékegységek, készletképzés. </w:t>
      </w:r>
      <w:r>
        <w:rPr>
          <w:rFonts w:ascii="Times New Roman" w:eastAsia="Times New Roman" w:hAnsi="Times New Roman" w:cs="Times New Roman"/>
          <w:i/>
          <w:kern w:val="2"/>
        </w:rPr>
        <w:t>(Units of supply and accounting, order of stockpiling.)</w:t>
      </w:r>
    </w:p>
    <w:p w:rsidR="00A1316C" w:rsidRDefault="00A1316C" w:rsidP="00C14833">
      <w:pPr>
        <w:widowControl w:val="0"/>
        <w:numPr>
          <w:ilvl w:val="1"/>
          <w:numId w:val="111"/>
        </w:numPr>
        <w:tabs>
          <w:tab w:val="num" w:pos="2069"/>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 haditechnikai eszközök igénybevételi szabályai. A gépjármű-technikai eszközök technikai kiszolgálásának rendszere. </w:t>
      </w:r>
      <w:r>
        <w:rPr>
          <w:rFonts w:ascii="Times New Roman" w:eastAsia="Times New Roman" w:hAnsi="Times New Roman" w:cs="Times New Roman"/>
          <w:i/>
          <w:kern w:val="2"/>
        </w:rPr>
        <w:t>(Rules for access to military equipment. System of technical service of vehicle technical devices.)</w:t>
      </w:r>
    </w:p>
    <w:p w:rsidR="00A1316C" w:rsidRDefault="00A1316C" w:rsidP="00C14833">
      <w:pPr>
        <w:widowControl w:val="0"/>
        <w:numPr>
          <w:ilvl w:val="1"/>
          <w:numId w:val="111"/>
        </w:numPr>
        <w:tabs>
          <w:tab w:val="num" w:pos="2069"/>
        </w:tabs>
        <w:spacing w:before="120" w:after="120" w:line="240" w:lineRule="auto"/>
        <w:ind w:left="993" w:hanging="567"/>
        <w:jc w:val="both"/>
        <w:rPr>
          <w:rFonts w:ascii="Times New Roman" w:eastAsia="Times New Roman" w:hAnsi="Times New Roman" w:cs="Times New Roman"/>
          <w:bCs/>
        </w:rPr>
      </w:pPr>
      <w:r>
        <w:rPr>
          <w:rFonts w:ascii="Times New Roman" w:eastAsia="Times New Roman" w:hAnsi="Times New Roman" w:cs="Times New Roman"/>
          <w:bCs/>
        </w:rPr>
        <w:t>A technikai kiszolgálási nap megszervezési, levezetése, a telephely elemei. A téli és a nyári igénybevételre történő felkészítés előkészítése és végrehajtása</w:t>
      </w:r>
      <w:r>
        <w:rPr>
          <w:rFonts w:ascii="Times New Roman" w:eastAsia="Times New Roman" w:hAnsi="Times New Roman" w:cs="Times New Roman"/>
          <w:bCs/>
          <w:i/>
        </w:rPr>
        <w:t>. (</w:t>
      </w:r>
      <w:r>
        <w:rPr>
          <w:rFonts w:ascii="Times New Roman" w:eastAsia="Times New Roman" w:hAnsi="Times New Roman" w:cs="Times New Roman"/>
          <w:bCs/>
          <w:i/>
          <w:lang w:val="en"/>
        </w:rPr>
        <w:t>Organization and carrying out of the technical service day, elements of the vehicle premises. Preparation and implementation of winter and summer technical preparation.)</w:t>
      </w:r>
    </w:p>
    <w:p w:rsidR="00A1316C" w:rsidRDefault="00A1316C" w:rsidP="00C14833">
      <w:pPr>
        <w:widowControl w:val="0"/>
        <w:numPr>
          <w:ilvl w:val="1"/>
          <w:numId w:val="111"/>
        </w:numPr>
        <w:tabs>
          <w:tab w:val="num" w:pos="2069"/>
        </w:tabs>
        <w:spacing w:before="120" w:after="120" w:line="240" w:lineRule="auto"/>
        <w:ind w:left="993" w:hanging="567"/>
        <w:jc w:val="both"/>
        <w:rPr>
          <w:rFonts w:ascii="Times New Roman" w:eastAsia="Times New Roman" w:hAnsi="Times New Roman" w:cs="Times New Roman"/>
          <w:bCs/>
        </w:rPr>
      </w:pPr>
      <w:r>
        <w:rPr>
          <w:rFonts w:ascii="Times New Roman" w:eastAsia="Times New Roman" w:hAnsi="Times New Roman" w:cs="Times New Roman"/>
          <w:bCs/>
        </w:rPr>
        <w:t xml:space="preserve">A fegyverszoba kialakítása, a fegyverek tárolásának szabályai, az okmányok vezetése. </w:t>
      </w:r>
      <w:r>
        <w:rPr>
          <w:rFonts w:ascii="Times New Roman" w:eastAsia="Times New Roman" w:hAnsi="Times New Roman" w:cs="Times New Roman"/>
          <w:bCs/>
          <w:i/>
        </w:rPr>
        <w:t>(</w:t>
      </w:r>
      <w:r>
        <w:rPr>
          <w:rFonts w:ascii="Times New Roman" w:eastAsia="Times New Roman" w:hAnsi="Times New Roman" w:cs="Times New Roman"/>
          <w:bCs/>
          <w:i/>
          <w:lang w:val="en"/>
        </w:rPr>
        <w:t>Designing a weapons room, rules for storing weapons, keeping records.)</w:t>
      </w:r>
    </w:p>
    <w:p w:rsidR="00A1316C" w:rsidRDefault="00A1316C" w:rsidP="00C14833">
      <w:pPr>
        <w:widowControl w:val="0"/>
        <w:numPr>
          <w:ilvl w:val="1"/>
          <w:numId w:val="111"/>
        </w:numPr>
        <w:tabs>
          <w:tab w:val="num" w:pos="2069"/>
        </w:tabs>
        <w:spacing w:before="120" w:after="120" w:line="240" w:lineRule="auto"/>
        <w:ind w:left="993" w:hanging="567"/>
        <w:jc w:val="both"/>
        <w:rPr>
          <w:rFonts w:ascii="Times New Roman" w:eastAsia="Times New Roman" w:hAnsi="Times New Roman" w:cs="Times New Roman"/>
          <w:lang w:val="en-US"/>
        </w:rPr>
      </w:pPr>
      <w:r>
        <w:rPr>
          <w:rFonts w:ascii="Times New Roman" w:eastAsia="Times New Roman" w:hAnsi="Times New Roman" w:cs="Times New Roman"/>
          <w:bCs/>
        </w:rPr>
        <w:t xml:space="preserve">A személyi állomány pénzügyi, anyagi járandóságai. </w:t>
      </w:r>
      <w:r>
        <w:rPr>
          <w:rFonts w:ascii="Times New Roman" w:eastAsia="Times New Roman" w:hAnsi="Times New Roman" w:cs="Times New Roman"/>
          <w:bCs/>
          <w:i/>
        </w:rPr>
        <w:t>(Financial remuneration of staff.)</w:t>
      </w:r>
    </w:p>
    <w:p w:rsidR="00A1316C" w:rsidRDefault="00A1316C" w:rsidP="00C14833">
      <w:pPr>
        <w:widowControl w:val="0"/>
        <w:numPr>
          <w:ilvl w:val="1"/>
          <w:numId w:val="111"/>
        </w:numPr>
        <w:tabs>
          <w:tab w:val="num" w:pos="2069"/>
        </w:tabs>
        <w:spacing w:before="120" w:after="120" w:line="240" w:lineRule="auto"/>
        <w:ind w:left="993" w:hanging="567"/>
        <w:jc w:val="both"/>
        <w:rPr>
          <w:rFonts w:ascii="Times New Roman" w:eastAsia="Times New Roman" w:hAnsi="Times New Roman" w:cs="Times New Roman"/>
          <w:lang w:val="en-US"/>
        </w:rPr>
      </w:pPr>
      <w:r>
        <w:rPr>
          <w:rFonts w:ascii="Times New Roman" w:eastAsia="Times New Roman" w:hAnsi="Times New Roman" w:cs="Times New Roman"/>
          <w:bCs/>
        </w:rPr>
        <w:t xml:space="preserve">A károk fajtái, a károk rendezésének szabályai, a káreljárások lefolytatásának rendje. </w:t>
      </w:r>
      <w:r>
        <w:rPr>
          <w:rFonts w:ascii="Times New Roman" w:eastAsia="Times New Roman" w:hAnsi="Times New Roman" w:cs="Times New Roman"/>
          <w:bCs/>
          <w:i/>
        </w:rPr>
        <w:t>(Types of damage, rules and procedures of damage settling.</w:t>
      </w:r>
      <w:r>
        <w:rPr>
          <w:rFonts w:ascii="Times New Roman" w:eastAsia="Times New Roman" w:hAnsi="Times New Roman" w:cs="Times New Roman"/>
          <w:b/>
          <w:bCs/>
        </w:rPr>
        <w:t>)</w:t>
      </w:r>
    </w:p>
    <w:p w:rsidR="00A1316C" w:rsidRDefault="00A1316C" w:rsidP="00C14833">
      <w:pPr>
        <w:widowControl w:val="0"/>
        <w:numPr>
          <w:ilvl w:val="1"/>
          <w:numId w:val="111"/>
        </w:numPr>
        <w:tabs>
          <w:tab w:val="num" w:pos="2069"/>
        </w:tabs>
        <w:spacing w:before="120" w:after="120" w:line="240" w:lineRule="auto"/>
        <w:ind w:left="993" w:hanging="567"/>
        <w:jc w:val="both"/>
        <w:rPr>
          <w:rFonts w:ascii="Times New Roman" w:eastAsia="Times New Roman" w:hAnsi="Times New Roman" w:cs="Times New Roman"/>
          <w:lang w:val="en-US"/>
        </w:rPr>
      </w:pPr>
      <w:r>
        <w:rPr>
          <w:rFonts w:ascii="Times New Roman" w:eastAsia="Times New Roman" w:hAnsi="Times New Roman" w:cs="Times New Roman"/>
          <w:lang w:val="en-US"/>
        </w:rPr>
        <w:t xml:space="preserve">A leltározás fogalma, célja, feladatai. </w:t>
      </w:r>
      <w:r>
        <w:rPr>
          <w:rFonts w:ascii="Times New Roman" w:eastAsia="Times New Roman" w:hAnsi="Times New Roman" w:cs="Times New Roman"/>
          <w:i/>
          <w:lang w:val="en-US"/>
        </w:rPr>
        <w:t>(</w:t>
      </w:r>
      <w:r>
        <w:rPr>
          <w:rFonts w:ascii="Times New Roman" w:eastAsia="Times New Roman" w:hAnsi="Times New Roman" w:cs="Times New Roman"/>
          <w:bCs/>
          <w:i/>
        </w:rPr>
        <w:t>The concept, purpose and tasks of inventory.)</w:t>
      </w:r>
    </w:p>
    <w:p w:rsidR="00A1316C" w:rsidRDefault="00A1316C" w:rsidP="00C14833">
      <w:pPr>
        <w:widowControl w:val="0"/>
        <w:numPr>
          <w:ilvl w:val="1"/>
          <w:numId w:val="111"/>
        </w:numPr>
        <w:tabs>
          <w:tab w:val="num" w:pos="2069"/>
        </w:tabs>
        <w:spacing w:before="120" w:after="120" w:line="240" w:lineRule="auto"/>
        <w:ind w:left="993" w:hanging="567"/>
        <w:jc w:val="both"/>
        <w:rPr>
          <w:rFonts w:ascii="Times New Roman" w:eastAsia="Times New Roman" w:hAnsi="Times New Roman" w:cs="Times New Roman"/>
          <w:lang w:val="en-US"/>
        </w:rPr>
      </w:pPr>
      <w:r>
        <w:rPr>
          <w:rFonts w:ascii="Times New Roman" w:eastAsia="Times New Roman" w:hAnsi="Times New Roman" w:cs="Times New Roman"/>
          <w:lang w:val="en-US"/>
        </w:rPr>
        <w:t xml:space="preserve">A selejtezés fogalma, célja, feladatai. </w:t>
      </w:r>
      <w:r>
        <w:rPr>
          <w:rFonts w:ascii="Times New Roman" w:eastAsia="Times New Roman" w:hAnsi="Times New Roman" w:cs="Times New Roman"/>
          <w:i/>
          <w:lang w:val="en-US"/>
        </w:rPr>
        <w:t>(</w:t>
      </w:r>
      <w:r>
        <w:rPr>
          <w:rFonts w:ascii="Times New Roman" w:eastAsia="Times New Roman" w:hAnsi="Times New Roman" w:cs="Times New Roman"/>
          <w:bCs/>
          <w:i/>
        </w:rPr>
        <w:t>The concept, purpose and tasks of scrapping.)</w:t>
      </w:r>
    </w:p>
    <w:p w:rsidR="00A1316C" w:rsidRDefault="00A1316C" w:rsidP="00C14833">
      <w:pPr>
        <w:widowControl w:val="0"/>
        <w:numPr>
          <w:ilvl w:val="1"/>
          <w:numId w:val="111"/>
        </w:numPr>
        <w:tabs>
          <w:tab w:val="num" w:pos="2069"/>
        </w:tabs>
        <w:spacing w:before="120" w:after="120" w:line="240" w:lineRule="auto"/>
        <w:ind w:left="993" w:hanging="567"/>
        <w:jc w:val="both"/>
        <w:rPr>
          <w:rFonts w:ascii="Times New Roman" w:eastAsia="Times New Roman" w:hAnsi="Times New Roman" w:cs="Times New Roman"/>
          <w:bCs/>
        </w:rPr>
      </w:pPr>
      <w:r>
        <w:rPr>
          <w:rFonts w:ascii="Times New Roman" w:eastAsia="Times New Roman" w:hAnsi="Times New Roman" w:cs="Times New Roman"/>
          <w:bCs/>
        </w:rPr>
        <w:t xml:space="preserve">A </w:t>
      </w:r>
      <w:r w:rsidRPr="00AA1F6A">
        <w:rPr>
          <w:rFonts w:ascii="Times New Roman" w:eastAsia="Times New Roman" w:hAnsi="Times New Roman" w:cs="Times New Roman"/>
          <w:lang w:val="en-US"/>
        </w:rPr>
        <w:t>közlekedés</w:t>
      </w:r>
      <w:r>
        <w:rPr>
          <w:rFonts w:ascii="Times New Roman" w:eastAsia="Times New Roman" w:hAnsi="Times New Roman" w:cs="Times New Roman"/>
          <w:bCs/>
        </w:rPr>
        <w:t xml:space="preserve"> alapfogalmai, ágazati szerkezete. A katonai szállítási folyamat elemei. </w:t>
      </w:r>
      <w:r>
        <w:rPr>
          <w:rFonts w:ascii="Times New Roman" w:eastAsia="Times New Roman" w:hAnsi="Times New Roman" w:cs="Times New Roman"/>
          <w:bCs/>
          <w:i/>
        </w:rPr>
        <w:t>(</w:t>
      </w:r>
      <w:r>
        <w:rPr>
          <w:rFonts w:ascii="Times New Roman" w:eastAsia="Times New Roman" w:hAnsi="Times New Roman" w:cs="Times New Roman"/>
          <w:bCs/>
          <w:i/>
          <w:lang w:val="en"/>
        </w:rPr>
        <w:t>Basic concepts and structure of transport. Elements of the military transport process.)</w:t>
      </w:r>
    </w:p>
    <w:p w:rsidR="00A1316C" w:rsidRDefault="00A1316C" w:rsidP="00C14833">
      <w:pPr>
        <w:widowControl w:val="0"/>
        <w:numPr>
          <w:ilvl w:val="1"/>
          <w:numId w:val="111"/>
        </w:numPr>
        <w:tabs>
          <w:tab w:val="num" w:pos="2069"/>
        </w:tabs>
        <w:spacing w:before="120" w:after="120" w:line="240" w:lineRule="auto"/>
        <w:ind w:left="993" w:hanging="567"/>
        <w:jc w:val="both"/>
        <w:rPr>
          <w:rFonts w:ascii="Times New Roman" w:eastAsia="Times New Roman" w:hAnsi="Times New Roman" w:cs="Times New Roman"/>
          <w:lang w:val="en-US"/>
        </w:rPr>
      </w:pPr>
      <w:r>
        <w:rPr>
          <w:rFonts w:ascii="Times New Roman" w:eastAsia="Times New Roman" w:hAnsi="Times New Roman" w:cs="Times New Roman"/>
          <w:bCs/>
        </w:rPr>
        <w:t xml:space="preserve">A katonai szervezetek üzemanyag-ellátásának alapjai. </w:t>
      </w:r>
      <w:r>
        <w:rPr>
          <w:rFonts w:ascii="Times New Roman" w:eastAsia="Times New Roman" w:hAnsi="Times New Roman" w:cs="Times New Roman"/>
          <w:bCs/>
          <w:i/>
        </w:rPr>
        <w:t>(</w:t>
      </w:r>
      <w:r>
        <w:rPr>
          <w:rFonts w:ascii="Times New Roman" w:eastAsia="Times New Roman" w:hAnsi="Times New Roman" w:cs="Times New Roman"/>
          <w:bCs/>
          <w:i/>
          <w:lang w:val="en"/>
        </w:rPr>
        <w:t>Basics of fuel supply for military organizations.)</w:t>
      </w:r>
    </w:p>
    <w:p w:rsidR="00A1316C" w:rsidRDefault="00A1316C" w:rsidP="00C14833">
      <w:pPr>
        <w:widowControl w:val="0"/>
        <w:numPr>
          <w:ilvl w:val="1"/>
          <w:numId w:val="111"/>
        </w:numPr>
        <w:tabs>
          <w:tab w:val="num" w:pos="2069"/>
        </w:tabs>
        <w:spacing w:before="120" w:after="120" w:line="240" w:lineRule="auto"/>
        <w:ind w:left="993" w:hanging="567"/>
        <w:jc w:val="both"/>
        <w:rPr>
          <w:rFonts w:ascii="Times New Roman" w:eastAsia="Times New Roman" w:hAnsi="Times New Roman" w:cs="Times New Roman"/>
          <w:lang w:val="en-US"/>
        </w:rPr>
      </w:pPr>
      <w:r>
        <w:rPr>
          <w:rFonts w:ascii="Times New Roman" w:eastAsia="Times New Roman" w:hAnsi="Times New Roman" w:cs="Times New Roman"/>
          <w:bCs/>
          <w:lang w:val="en-US"/>
        </w:rPr>
        <w:lastRenderedPageBreak/>
        <w:t xml:space="preserve"> </w:t>
      </w:r>
      <w:r>
        <w:rPr>
          <w:rFonts w:ascii="Times New Roman" w:eastAsia="Times New Roman" w:hAnsi="Times New Roman" w:cs="Times New Roman"/>
          <w:bCs/>
        </w:rPr>
        <w:t>A katonai szervezetek ruházati ellátásának alapjai.</w:t>
      </w:r>
      <w:r>
        <w:rPr>
          <w:rFonts w:ascii="Times New Roman" w:eastAsia="Times New Roman" w:hAnsi="Times New Roman" w:cs="Times New Roman"/>
          <w:bCs/>
          <w:lang w:val="en"/>
        </w:rPr>
        <w:t xml:space="preserve"> </w:t>
      </w:r>
      <w:r>
        <w:rPr>
          <w:rFonts w:ascii="Times New Roman" w:eastAsia="Times New Roman" w:hAnsi="Times New Roman" w:cs="Times New Roman"/>
          <w:b/>
          <w:bCs/>
          <w:lang w:val="en"/>
        </w:rPr>
        <w:t>(</w:t>
      </w:r>
      <w:r>
        <w:rPr>
          <w:rFonts w:ascii="Times New Roman" w:eastAsia="Times New Roman" w:hAnsi="Times New Roman" w:cs="Times New Roman"/>
          <w:bCs/>
          <w:i/>
          <w:lang w:val="en"/>
        </w:rPr>
        <w:t>Basics of clothing supply for military organizations.)</w:t>
      </w:r>
    </w:p>
    <w:p w:rsidR="00A1316C" w:rsidRDefault="00A1316C" w:rsidP="00C14833">
      <w:pPr>
        <w:widowControl w:val="0"/>
        <w:numPr>
          <w:ilvl w:val="1"/>
          <w:numId w:val="111"/>
        </w:numPr>
        <w:tabs>
          <w:tab w:val="num" w:pos="2069"/>
        </w:tabs>
        <w:spacing w:before="120" w:after="120" w:line="240" w:lineRule="auto"/>
        <w:ind w:left="993" w:hanging="567"/>
        <w:jc w:val="both"/>
        <w:rPr>
          <w:rFonts w:ascii="Times New Roman" w:eastAsia="Times New Roman" w:hAnsi="Times New Roman" w:cs="Times New Roman"/>
          <w:lang w:val="en-US"/>
        </w:rPr>
      </w:pPr>
      <w:r>
        <w:rPr>
          <w:rFonts w:ascii="Times New Roman" w:eastAsia="Times New Roman" w:hAnsi="Times New Roman" w:cs="Times New Roman"/>
          <w:lang w:val="en-US"/>
        </w:rPr>
        <w:t xml:space="preserve"> </w:t>
      </w:r>
      <w:r>
        <w:rPr>
          <w:rFonts w:ascii="Times New Roman" w:eastAsia="Times New Roman" w:hAnsi="Times New Roman" w:cs="Times New Roman"/>
          <w:bCs/>
        </w:rPr>
        <w:t xml:space="preserve">A katonai szervezetek élelmezési ellátásának alapjai. </w:t>
      </w:r>
      <w:r>
        <w:rPr>
          <w:rFonts w:ascii="Times New Roman" w:eastAsia="Times New Roman" w:hAnsi="Times New Roman" w:cs="Times New Roman"/>
          <w:bCs/>
          <w:i/>
        </w:rPr>
        <w:t>(</w:t>
      </w:r>
      <w:r>
        <w:rPr>
          <w:rFonts w:ascii="Times New Roman" w:eastAsia="Times New Roman" w:hAnsi="Times New Roman" w:cs="Times New Roman"/>
          <w:bCs/>
          <w:i/>
          <w:lang w:val="en"/>
        </w:rPr>
        <w:t>Basics of food supply for military organizations.)</w:t>
      </w:r>
    </w:p>
    <w:p w:rsidR="00A1316C" w:rsidRDefault="00A1316C" w:rsidP="00C14833">
      <w:pPr>
        <w:widowControl w:val="0"/>
        <w:numPr>
          <w:ilvl w:val="1"/>
          <w:numId w:val="111"/>
        </w:numPr>
        <w:tabs>
          <w:tab w:val="num" w:pos="2069"/>
        </w:tabs>
        <w:spacing w:before="120" w:after="120" w:line="240" w:lineRule="auto"/>
        <w:ind w:left="993" w:hanging="567"/>
        <w:jc w:val="both"/>
        <w:rPr>
          <w:rFonts w:ascii="Times New Roman" w:eastAsia="Times New Roman" w:hAnsi="Times New Roman" w:cs="Times New Roman"/>
          <w:lang w:val="en-US"/>
        </w:rPr>
      </w:pPr>
      <w:r>
        <w:rPr>
          <w:rFonts w:ascii="Times New Roman" w:eastAsia="Times New Roman" w:hAnsi="Times New Roman" w:cs="Times New Roman"/>
          <w:bCs/>
        </w:rPr>
        <w:t xml:space="preserve"> ZH. </w:t>
      </w:r>
      <w:r>
        <w:rPr>
          <w:rFonts w:ascii="Times New Roman" w:eastAsia="Times New Roman" w:hAnsi="Times New Roman" w:cs="Times New Roman"/>
          <w:bCs/>
          <w:i/>
        </w:rPr>
        <w:t>(Written test.)</w:t>
      </w:r>
    </w:p>
    <w:p w:rsidR="00A1316C" w:rsidRDefault="00A1316C" w:rsidP="00C14833">
      <w:pPr>
        <w:widowControl w:val="0"/>
        <w:numPr>
          <w:ilvl w:val="0"/>
          <w:numId w:val="111"/>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 tantárgy meghirdetésének gyakorisága/a tantervben történő félévi elhelyezkedése: </w:t>
      </w:r>
      <w:r>
        <w:rPr>
          <w:rFonts w:ascii="Times New Roman" w:eastAsia="Times New Roman" w:hAnsi="Times New Roman" w:cs="Times New Roman"/>
          <w:bCs/>
        </w:rPr>
        <w:t>szakonként változó, a meghirdetett félévekben (1-4.)</w:t>
      </w:r>
    </w:p>
    <w:p w:rsidR="00A1316C" w:rsidRDefault="00A1316C" w:rsidP="00C14833">
      <w:pPr>
        <w:widowControl w:val="0"/>
        <w:numPr>
          <w:ilvl w:val="0"/>
          <w:numId w:val="111"/>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tanórákon való részvétel követelményei, az elfogadható hiányzások mértéke, a távolmaradás pótlásának lehetősége:</w:t>
      </w:r>
      <w:r>
        <w:rPr>
          <w:rFonts w:ascii="Times New Roman" w:eastAsia="Times New Roman" w:hAnsi="Times New Roman" w:cs="Times New Roman"/>
          <w:bCs/>
        </w:rPr>
        <w:t xml:space="preserve"> A tanórákon való részvétel kötelező.</w:t>
      </w:r>
      <w:r>
        <w:rPr>
          <w:rFonts w:ascii="Times New Roman" w:eastAsia="Times New Roman" w:hAnsi="Times New Roman" w:cs="Times New Roman"/>
          <w:b/>
          <w:bCs/>
        </w:rPr>
        <w:t xml:space="preserve"> </w:t>
      </w:r>
      <w:r>
        <w:rPr>
          <w:rFonts w:ascii="Times New Roman" w:eastAsia="Times New Roman" w:hAnsi="Times New Roman" w:cs="Times New Roman"/>
          <w:bCs/>
        </w:rPr>
        <w:t>A félév elfogadásának feltétele a tanórák minimum 70%-án való részvétel. Ennél magasabb mértékű távolmaradás pótlása az oktató engedélyével történhet. A hallgatónak a kimaradt tananyagot önképzés keretén belül kell elsajátítani. A kimaradt tananyag jobb megértése érdekében az oktatók konzultációs lehetőséget biztosíthatnak.</w:t>
      </w:r>
    </w:p>
    <w:p w:rsidR="00A1316C" w:rsidRDefault="00A1316C" w:rsidP="00C14833">
      <w:pPr>
        <w:widowControl w:val="0"/>
        <w:numPr>
          <w:ilvl w:val="0"/>
          <w:numId w:val="111"/>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rPr>
        <w:t xml:space="preserve">Félévközi feladatok, ismeretek ellenőrzésének rendje: </w:t>
      </w:r>
      <w:r>
        <w:rPr>
          <w:rFonts w:ascii="Times New Roman" w:eastAsia="Times New Roman" w:hAnsi="Times New Roman" w:cs="Times New Roman"/>
        </w:rPr>
        <w:t xml:space="preserve">A hallgató a félév során egy zárthelyi dolgozatot ír. A zárthelyi dolgozat értékelése: ötfokozatú értékelés – (a helyes válaszok aránya </w:t>
      </w:r>
      <w:r>
        <w:rPr>
          <w:rFonts w:ascii="Times New Roman" w:eastAsia="Times New Roman" w:hAnsi="Times New Roman" w:cs="Times New Roman"/>
        </w:rPr>
        <w:br/>
        <w:t>0-50% elégtelen; 51-70% elégséges; 71-80% közepes; 81-90% jó; 91-100% jeles osztályzat). Eredménytelen zárthelyi dolgozat egyszer javítható.</w:t>
      </w:r>
    </w:p>
    <w:p w:rsidR="00A1316C" w:rsidRDefault="00A1316C" w:rsidP="00C14833">
      <w:pPr>
        <w:widowControl w:val="0"/>
        <w:numPr>
          <w:ilvl w:val="0"/>
          <w:numId w:val="111"/>
        </w:numPr>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Az értékelés, az aláírás és a kreditek megszerzésének pontos feltételei: </w:t>
      </w:r>
    </w:p>
    <w:p w:rsidR="00A1316C" w:rsidRDefault="00A1316C" w:rsidP="00C14833">
      <w:pPr>
        <w:widowControl w:val="0"/>
        <w:numPr>
          <w:ilvl w:val="1"/>
          <w:numId w:val="111"/>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Az aláírás megszerzésének feltételei:</w:t>
      </w:r>
    </w:p>
    <w:p w:rsidR="00A1316C" w:rsidRDefault="00A1316C" w:rsidP="00A1316C">
      <w:pPr>
        <w:widowControl w:val="0"/>
        <w:tabs>
          <w:tab w:val="left" w:pos="993"/>
        </w:tabs>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Az aláírás feltétele a tanórákon történő – 14. pontban meghatározott – részvétel, valamint a félévet lezáró zárthelyi dolgozat sikeres megírása.</w:t>
      </w:r>
    </w:p>
    <w:p w:rsidR="00A1316C" w:rsidRDefault="00A1316C" w:rsidP="00C14833">
      <w:pPr>
        <w:widowControl w:val="0"/>
        <w:numPr>
          <w:ilvl w:val="1"/>
          <w:numId w:val="111"/>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Az értékelés:</w:t>
      </w:r>
    </w:p>
    <w:p w:rsidR="00A1316C" w:rsidRDefault="00A1316C" w:rsidP="00A1316C">
      <w:pPr>
        <w:widowControl w:val="0"/>
        <w:tabs>
          <w:tab w:val="left" w:pos="993"/>
        </w:tabs>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 xml:space="preserve">Az ötfokozatú évközi jegy a zárthelyi dolgozat eredménye alapján kerül kialakításra, ahol az elégséges jegy 50%+1 pont. </w:t>
      </w:r>
    </w:p>
    <w:p w:rsidR="00A1316C" w:rsidRDefault="00A1316C" w:rsidP="00C14833">
      <w:pPr>
        <w:widowControl w:val="0"/>
        <w:numPr>
          <w:ilvl w:val="1"/>
          <w:numId w:val="111"/>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 kreditek megszerzésének feltételei:</w:t>
      </w:r>
      <w:r>
        <w:rPr>
          <w:rFonts w:ascii="Times New Roman" w:eastAsia="Times New Roman" w:hAnsi="Times New Roman" w:cs="Times New Roman"/>
        </w:rPr>
        <w:t xml:space="preserve"> </w:t>
      </w:r>
    </w:p>
    <w:p w:rsidR="00A1316C" w:rsidRDefault="00A1316C" w:rsidP="00A1316C">
      <w:pPr>
        <w:widowControl w:val="0"/>
        <w:tabs>
          <w:tab w:val="left" w:pos="993"/>
        </w:tabs>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A kreditek megszerzésének feltétele az aláírás megszerzése és a legalább elégséges évközi jegy.</w:t>
      </w:r>
    </w:p>
    <w:p w:rsidR="00A1316C" w:rsidRDefault="00A1316C" w:rsidP="00C14833">
      <w:pPr>
        <w:widowControl w:val="0"/>
        <w:numPr>
          <w:ilvl w:val="0"/>
          <w:numId w:val="111"/>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Irodalomjegyzék:</w:t>
      </w:r>
    </w:p>
    <w:p w:rsidR="00A1316C" w:rsidRDefault="00A1316C" w:rsidP="00C14833">
      <w:pPr>
        <w:widowControl w:val="0"/>
        <w:numPr>
          <w:ilvl w:val="1"/>
          <w:numId w:val="111"/>
        </w:numPr>
        <w:tabs>
          <w:tab w:val="left" w:pos="567"/>
          <w:tab w:val="left" w:pos="851"/>
          <w:tab w:val="num" w:pos="2069"/>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Kötelező irodalom:</w:t>
      </w:r>
    </w:p>
    <w:p w:rsidR="00A1316C" w:rsidRDefault="00A1316C" w:rsidP="00980876">
      <w:pPr>
        <w:widowControl w:val="0"/>
        <w:numPr>
          <w:ilvl w:val="0"/>
          <w:numId w:val="745"/>
        </w:numPr>
        <w:spacing w:after="0" w:line="240" w:lineRule="auto"/>
        <w:ind w:left="709" w:hanging="283"/>
        <w:jc w:val="both"/>
        <w:rPr>
          <w:rFonts w:ascii="Times New Roman" w:eastAsia="Times New Roman" w:hAnsi="Times New Roman" w:cs="Times New Roman"/>
        </w:rPr>
      </w:pPr>
      <w:r>
        <w:rPr>
          <w:rFonts w:ascii="Times New Roman" w:eastAsia="Times New Roman" w:hAnsi="Times New Roman" w:cs="Times New Roman"/>
        </w:rPr>
        <w:t>Htp/3 Hadtáp szabályzat a ruházati szakterület részére</w:t>
      </w:r>
    </w:p>
    <w:p w:rsidR="00A1316C" w:rsidRDefault="00A1316C" w:rsidP="00980876">
      <w:pPr>
        <w:widowControl w:val="0"/>
        <w:numPr>
          <w:ilvl w:val="0"/>
          <w:numId w:val="745"/>
        </w:numPr>
        <w:spacing w:after="0" w:line="240" w:lineRule="auto"/>
        <w:ind w:left="709" w:hanging="283"/>
        <w:jc w:val="both"/>
        <w:rPr>
          <w:rFonts w:ascii="Times New Roman" w:eastAsia="Times New Roman" w:hAnsi="Times New Roman" w:cs="Times New Roman"/>
        </w:rPr>
      </w:pPr>
      <w:r>
        <w:rPr>
          <w:rFonts w:ascii="Times New Roman" w:eastAsia="Times New Roman" w:hAnsi="Times New Roman" w:cs="Times New Roman"/>
        </w:rPr>
        <w:t>Gjmű/2 Gépjármű igénybevételi szabályzat, A Magyar Honvédség Kiadványa, Budapest, 2015.</w:t>
      </w:r>
    </w:p>
    <w:p w:rsidR="00A1316C" w:rsidRDefault="00A1316C" w:rsidP="00980876">
      <w:pPr>
        <w:widowControl w:val="0"/>
        <w:numPr>
          <w:ilvl w:val="0"/>
          <w:numId w:val="745"/>
        </w:numPr>
        <w:spacing w:after="0" w:line="240" w:lineRule="auto"/>
        <w:ind w:left="709" w:hanging="283"/>
        <w:jc w:val="both"/>
        <w:rPr>
          <w:rFonts w:ascii="Times New Roman" w:eastAsia="Times New Roman" w:hAnsi="Times New Roman" w:cs="Times New Roman"/>
        </w:rPr>
      </w:pPr>
      <w:r>
        <w:rPr>
          <w:rFonts w:ascii="Times New Roman" w:eastAsia="Times New Roman" w:hAnsi="Times New Roman" w:cs="Times New Roman"/>
        </w:rPr>
        <w:t xml:space="preserve">Dr. Fábos Róbert: </w:t>
      </w:r>
      <w:r w:rsidR="008B213B">
        <w:rPr>
          <w:rFonts w:ascii="Times New Roman" w:eastAsia="Times New Roman" w:hAnsi="Times New Roman" w:cs="Times New Roman"/>
        </w:rPr>
        <w:t>A k</w:t>
      </w:r>
      <w:r>
        <w:rPr>
          <w:rFonts w:ascii="Times New Roman" w:eastAsia="Times New Roman" w:hAnsi="Times New Roman" w:cs="Times New Roman"/>
        </w:rPr>
        <w:t xml:space="preserve">atonai </w:t>
      </w:r>
      <w:r w:rsidR="008B213B">
        <w:rPr>
          <w:rFonts w:ascii="Times New Roman" w:eastAsia="Times New Roman" w:hAnsi="Times New Roman" w:cs="Times New Roman"/>
        </w:rPr>
        <w:t>közúti szállítások alapjai</w:t>
      </w:r>
      <w:r>
        <w:rPr>
          <w:rFonts w:ascii="Times New Roman" w:eastAsia="Times New Roman" w:hAnsi="Times New Roman" w:cs="Times New Roman"/>
        </w:rPr>
        <w:t xml:space="preserve">, Budapest, </w:t>
      </w:r>
      <w:r w:rsidR="008B213B" w:rsidRPr="008B213B">
        <w:rPr>
          <w:rFonts w:ascii="Times New Roman" w:eastAsia="Times New Roman" w:hAnsi="Times New Roman" w:cs="Times New Roman"/>
        </w:rPr>
        <w:t>Dialóg Campus Kiadó</w:t>
      </w:r>
      <w:r w:rsidR="008B213B">
        <w:rPr>
          <w:rFonts w:ascii="Times New Roman" w:eastAsia="Times New Roman" w:hAnsi="Times New Roman" w:cs="Times New Roman"/>
        </w:rPr>
        <w:t xml:space="preserve">, Budapest, 2018, </w:t>
      </w:r>
      <w:r w:rsidR="008B213B" w:rsidRPr="008B213B">
        <w:rPr>
          <w:rFonts w:ascii="Times New Roman" w:eastAsia="Times New Roman" w:hAnsi="Times New Roman" w:cs="Times New Roman"/>
        </w:rPr>
        <w:t>ISBN 978-615-5920-83-7 (elektronikus)</w:t>
      </w:r>
    </w:p>
    <w:p w:rsidR="00A1316C" w:rsidRDefault="00A1316C" w:rsidP="00980876">
      <w:pPr>
        <w:widowControl w:val="0"/>
        <w:numPr>
          <w:ilvl w:val="0"/>
          <w:numId w:val="745"/>
        </w:numPr>
        <w:spacing w:after="0" w:line="240" w:lineRule="auto"/>
        <w:ind w:left="709" w:hanging="283"/>
        <w:jc w:val="both"/>
        <w:rPr>
          <w:rFonts w:ascii="Times New Roman" w:eastAsia="Times New Roman" w:hAnsi="Times New Roman" w:cs="Times New Roman"/>
        </w:rPr>
      </w:pPr>
      <w:r>
        <w:rPr>
          <w:rFonts w:ascii="Times New Roman" w:eastAsia="Times New Roman" w:hAnsi="Times New Roman" w:cs="Times New Roman"/>
        </w:rPr>
        <w:t>A kötelező irodalmakban hivatkozott jogszabályok és HM belső szabályzók.</w:t>
      </w:r>
    </w:p>
    <w:p w:rsidR="00A1316C" w:rsidRDefault="00A1316C" w:rsidP="00C14833">
      <w:pPr>
        <w:widowControl w:val="0"/>
        <w:numPr>
          <w:ilvl w:val="1"/>
          <w:numId w:val="111"/>
        </w:numPr>
        <w:tabs>
          <w:tab w:val="num" w:pos="567"/>
          <w:tab w:val="num" w:pos="2069"/>
        </w:tabs>
        <w:spacing w:before="120" w:after="120" w:line="240" w:lineRule="auto"/>
        <w:ind w:left="993" w:hanging="709"/>
        <w:jc w:val="both"/>
        <w:rPr>
          <w:rFonts w:ascii="Times New Roman" w:eastAsia="Times New Roman" w:hAnsi="Times New Roman" w:cs="Times New Roman"/>
          <w:b/>
          <w:bCs/>
        </w:rPr>
      </w:pPr>
      <w:r>
        <w:rPr>
          <w:rFonts w:ascii="Times New Roman" w:eastAsia="Times New Roman" w:hAnsi="Times New Roman" w:cs="Times New Roman"/>
          <w:b/>
          <w:bCs/>
        </w:rPr>
        <w:t>Ajánlott irodalom:</w:t>
      </w:r>
    </w:p>
    <w:p w:rsidR="00A1316C" w:rsidRDefault="00A1316C" w:rsidP="00980876">
      <w:pPr>
        <w:pStyle w:val="Listaszerbekezds"/>
        <w:widowControl w:val="0"/>
        <w:numPr>
          <w:ilvl w:val="0"/>
          <w:numId w:val="746"/>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Magyar Honvédség Összhaderőnemi Logisztikai Támogatás Doktrína, A HVK Logisztikai Csoportfőnökség Kiadványa, Budapest, 2015. (3. kiadás)</w:t>
      </w:r>
    </w:p>
    <w:p w:rsidR="00A1316C" w:rsidRDefault="00A1316C" w:rsidP="00A1316C">
      <w:pPr>
        <w:widowControl w:val="0"/>
        <w:spacing w:before="120" w:after="120" w:line="240" w:lineRule="auto"/>
        <w:jc w:val="both"/>
        <w:rPr>
          <w:rFonts w:ascii="Times New Roman" w:eastAsia="Times New Roman" w:hAnsi="Times New Roman" w:cs="Times New Roman"/>
          <w:bCs/>
        </w:rPr>
      </w:pPr>
    </w:p>
    <w:p w:rsidR="00A1316C" w:rsidRDefault="00A1316C" w:rsidP="00A1316C">
      <w:pPr>
        <w:widowControl w:val="0"/>
        <w:spacing w:before="120" w:after="120" w:line="240" w:lineRule="auto"/>
        <w:ind w:firstLine="360"/>
        <w:jc w:val="both"/>
        <w:rPr>
          <w:rFonts w:ascii="Times New Roman" w:eastAsia="Times New Roman" w:hAnsi="Times New Roman" w:cs="Times New Roman"/>
          <w:bCs/>
        </w:rPr>
      </w:pPr>
      <w:r>
        <w:rPr>
          <w:rFonts w:ascii="Times New Roman" w:eastAsia="Times New Roman" w:hAnsi="Times New Roman" w:cs="Times New Roman"/>
          <w:bCs/>
        </w:rPr>
        <w:t>Budapest, 2020. január 18.</w:t>
      </w:r>
    </w:p>
    <w:p w:rsidR="00A1316C" w:rsidRDefault="00A1316C" w:rsidP="00A1316C">
      <w:pPr>
        <w:widowControl w:val="0"/>
        <w:spacing w:before="120" w:after="120" w:line="240" w:lineRule="auto"/>
        <w:jc w:val="both"/>
        <w:rPr>
          <w:rFonts w:ascii="Times New Roman" w:eastAsia="Times New Roman" w:hAnsi="Times New Roman" w:cs="Times New Roman"/>
          <w:bCs/>
        </w:rPr>
      </w:pPr>
    </w:p>
    <w:p w:rsidR="00A1316C" w:rsidRDefault="00A1316C" w:rsidP="00A1316C">
      <w:pPr>
        <w:widowControl w:val="0"/>
        <w:spacing w:after="0" w:line="240" w:lineRule="auto"/>
        <w:ind w:left="5664"/>
        <w:rPr>
          <w:rFonts w:ascii="Times New Roman" w:hAnsi="Times New Roman" w:cs="Times New Roman"/>
          <w:b/>
          <w:bCs/>
        </w:rPr>
      </w:pPr>
      <w:r>
        <w:rPr>
          <w:rFonts w:ascii="Times New Roman" w:hAnsi="Times New Roman" w:cs="Times New Roman"/>
          <w:b/>
          <w:bCs/>
        </w:rPr>
        <w:t xml:space="preserve">         Dr. Pap Andrea (PhD)</w:t>
      </w:r>
    </w:p>
    <w:p w:rsidR="00A1316C" w:rsidRDefault="00A1316C" w:rsidP="00A1316C">
      <w:pPr>
        <w:widowControl w:val="0"/>
        <w:spacing w:after="0" w:line="240" w:lineRule="auto"/>
        <w:ind w:left="4956" w:firstLine="708"/>
        <w:rPr>
          <w:rFonts w:ascii="Times New Roman" w:eastAsia="Times New Roman" w:hAnsi="Times New Roman" w:cs="Times New Roman"/>
          <w:bCs/>
        </w:rPr>
      </w:pPr>
      <w:r>
        <w:rPr>
          <w:rFonts w:ascii="Times New Roman" w:hAnsi="Times New Roman" w:cs="Times New Roman"/>
          <w:bCs/>
        </w:rPr>
        <w:t>tanszékvezető, egyetemi docens s.k.</w:t>
      </w:r>
    </w:p>
    <w:p w:rsidR="0002585F" w:rsidRDefault="0002585F">
      <w:r>
        <w:br w:type="page"/>
      </w:r>
    </w:p>
    <w:tbl>
      <w:tblPr>
        <w:tblW w:w="9072" w:type="dxa"/>
        <w:tblInd w:w="113" w:type="dxa"/>
        <w:tblLook w:val="01E0" w:firstRow="1" w:lastRow="1" w:firstColumn="1" w:lastColumn="1" w:noHBand="0" w:noVBand="0"/>
      </w:tblPr>
      <w:tblGrid>
        <w:gridCol w:w="4855"/>
        <w:gridCol w:w="1620"/>
        <w:gridCol w:w="2597"/>
      </w:tblGrid>
      <w:tr w:rsidR="00891C71" w:rsidTr="00891C71">
        <w:tc>
          <w:tcPr>
            <w:tcW w:w="4855" w:type="dxa"/>
            <w:tcBorders>
              <w:top w:val="nil"/>
              <w:left w:val="nil"/>
              <w:bottom w:val="single" w:sz="4" w:space="0" w:color="auto"/>
              <w:right w:val="nil"/>
            </w:tcBorders>
            <w:hideMark/>
          </w:tcPr>
          <w:p w:rsidR="00891C71" w:rsidRDefault="00891C71">
            <w:pPr>
              <w:spacing w:after="0" w:line="240" w:lineRule="auto"/>
              <w:jc w:val="center"/>
              <w:rPr>
                <w:rFonts w:ascii="Times New Roman" w:eastAsia="Times New Roman" w:hAnsi="Times New Roman" w:cs="Times New Roman"/>
                <w:b/>
                <w:smallCaps/>
                <w:lang w:eastAsia="hu-HU"/>
              </w:rPr>
            </w:pPr>
            <w:r>
              <w:rPr>
                <w:rFonts w:ascii="Times New Roman" w:eastAsia="Times New Roman" w:hAnsi="Times New Roman" w:cs="Times New Roman"/>
                <w:b/>
                <w:smallCaps/>
                <w:lang w:eastAsia="hu-HU"/>
              </w:rPr>
              <w:lastRenderedPageBreak/>
              <w:t>Nemzeti Közszolgálati Egyetem</w:t>
            </w:r>
          </w:p>
        </w:tc>
        <w:tc>
          <w:tcPr>
            <w:tcW w:w="1620" w:type="dxa"/>
          </w:tcPr>
          <w:p w:rsidR="00891C71" w:rsidRDefault="00891C71">
            <w:pPr>
              <w:spacing w:after="0" w:line="240" w:lineRule="auto"/>
              <w:jc w:val="both"/>
              <w:rPr>
                <w:rFonts w:ascii="Times New Roman" w:eastAsia="Times New Roman" w:hAnsi="Times New Roman" w:cs="Times New Roman"/>
                <w:lang w:eastAsia="hu-HU"/>
              </w:rPr>
            </w:pPr>
          </w:p>
        </w:tc>
        <w:tc>
          <w:tcPr>
            <w:tcW w:w="2597" w:type="dxa"/>
          </w:tcPr>
          <w:p w:rsidR="00891C71" w:rsidRDefault="00891C71">
            <w:pPr>
              <w:spacing w:after="0" w:line="240" w:lineRule="auto"/>
              <w:jc w:val="right"/>
              <w:rPr>
                <w:rFonts w:ascii="Times New Roman" w:eastAsia="Times New Roman" w:hAnsi="Times New Roman" w:cs="Times New Roman"/>
                <w:lang w:eastAsia="hu-HU"/>
              </w:rPr>
            </w:pPr>
          </w:p>
        </w:tc>
      </w:tr>
      <w:tr w:rsidR="00891C71" w:rsidTr="00891C71">
        <w:tc>
          <w:tcPr>
            <w:tcW w:w="4855" w:type="dxa"/>
            <w:tcBorders>
              <w:top w:val="single" w:sz="4" w:space="0" w:color="auto"/>
              <w:left w:val="nil"/>
              <w:bottom w:val="nil"/>
              <w:right w:val="nil"/>
            </w:tcBorders>
            <w:hideMark/>
          </w:tcPr>
          <w:p w:rsidR="00891C71" w:rsidRDefault="00891C71">
            <w:pPr>
              <w:spacing w:after="0" w:line="240" w:lineRule="auto"/>
              <w:jc w:val="center"/>
              <w:rPr>
                <w:rFonts w:ascii="Times New Roman" w:eastAsia="Times New Roman" w:hAnsi="Times New Roman" w:cs="Times New Roman"/>
                <w:b/>
                <w:lang w:eastAsia="hu-HU"/>
              </w:rPr>
            </w:pPr>
            <w:r>
              <w:rPr>
                <w:rFonts w:ascii="Times New Roman" w:eastAsia="Times New Roman" w:hAnsi="Times New Roman" w:cs="Times New Roman"/>
                <w:b/>
                <w:lang w:eastAsia="hu-HU"/>
              </w:rPr>
              <w:t>Hadtudományi és Honvédtisztképző Kar</w:t>
            </w:r>
          </w:p>
        </w:tc>
        <w:tc>
          <w:tcPr>
            <w:tcW w:w="1620" w:type="dxa"/>
          </w:tcPr>
          <w:p w:rsidR="00891C71" w:rsidRDefault="00891C71">
            <w:pPr>
              <w:spacing w:after="0" w:line="240" w:lineRule="auto"/>
              <w:jc w:val="both"/>
              <w:rPr>
                <w:rFonts w:ascii="Times New Roman" w:eastAsia="Times New Roman" w:hAnsi="Times New Roman" w:cs="Times New Roman"/>
                <w:lang w:eastAsia="hu-HU"/>
              </w:rPr>
            </w:pPr>
          </w:p>
        </w:tc>
        <w:tc>
          <w:tcPr>
            <w:tcW w:w="2597" w:type="dxa"/>
          </w:tcPr>
          <w:p w:rsidR="00891C71" w:rsidRDefault="00891C71">
            <w:pPr>
              <w:spacing w:after="0" w:line="240" w:lineRule="auto"/>
              <w:jc w:val="both"/>
              <w:rPr>
                <w:rFonts w:ascii="Times New Roman" w:eastAsia="Times New Roman" w:hAnsi="Times New Roman" w:cs="Times New Roman"/>
                <w:lang w:eastAsia="hu-HU"/>
              </w:rPr>
            </w:pPr>
          </w:p>
        </w:tc>
      </w:tr>
    </w:tbl>
    <w:p w:rsidR="00891C71" w:rsidRDefault="00891C71" w:rsidP="00891C71">
      <w:pPr>
        <w:widowControl w:val="0"/>
        <w:spacing w:before="120" w:after="120" w:line="240" w:lineRule="auto"/>
        <w:ind w:left="426" w:hanging="142"/>
        <w:jc w:val="center"/>
        <w:rPr>
          <w:rFonts w:ascii="Times New Roman" w:eastAsia="Times New Roman" w:hAnsi="Times New Roman" w:cs="Times New Roman"/>
          <w:b/>
          <w:bCs/>
        </w:rPr>
      </w:pPr>
    </w:p>
    <w:p w:rsidR="00891C71" w:rsidRDefault="00891C71" w:rsidP="00891C71">
      <w:pPr>
        <w:widowControl w:val="0"/>
        <w:spacing w:before="120" w:after="120" w:line="240" w:lineRule="auto"/>
        <w:ind w:left="426" w:hanging="142"/>
        <w:jc w:val="center"/>
        <w:rPr>
          <w:rFonts w:ascii="Times New Roman" w:eastAsia="Times New Roman" w:hAnsi="Times New Roman" w:cs="Times New Roman"/>
          <w:b/>
          <w:bCs/>
        </w:rPr>
      </w:pPr>
      <w:r>
        <w:rPr>
          <w:rFonts w:ascii="Times New Roman" w:eastAsia="Times New Roman" w:hAnsi="Times New Roman" w:cs="Times New Roman"/>
          <w:b/>
          <w:bCs/>
        </w:rPr>
        <w:t>TANTÁRGYI PROGRAM</w:t>
      </w:r>
    </w:p>
    <w:p w:rsidR="00891C71" w:rsidRDefault="00891C71" w:rsidP="00C14833">
      <w:pPr>
        <w:widowControl w:val="0"/>
        <w:numPr>
          <w:ilvl w:val="0"/>
          <w:numId w:val="112"/>
        </w:numPr>
        <w:tabs>
          <w:tab w:val="clear" w:pos="720"/>
          <w:tab w:val="num" w:pos="502"/>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 tantárgy kódja: </w:t>
      </w:r>
      <w:r>
        <w:rPr>
          <w:rFonts w:ascii="Times New Roman" w:eastAsia="Times New Roman" w:hAnsi="Times New Roman" w:cs="Times New Roman"/>
          <w:bCs/>
        </w:rPr>
        <w:t>HK925A140</w:t>
      </w:r>
    </w:p>
    <w:p w:rsidR="00891C71" w:rsidRDefault="00891C71" w:rsidP="00C14833">
      <w:pPr>
        <w:widowControl w:val="0"/>
        <w:numPr>
          <w:ilvl w:val="0"/>
          <w:numId w:val="112"/>
        </w:numPr>
        <w:tabs>
          <w:tab w:val="clear" w:pos="720"/>
          <w:tab w:val="num" w:pos="502"/>
          <w:tab w:val="num" w:pos="567"/>
        </w:tabs>
        <w:spacing w:before="120" w:after="120" w:line="240" w:lineRule="auto"/>
        <w:ind w:left="426" w:hanging="142"/>
        <w:jc w:val="both"/>
        <w:rPr>
          <w:rFonts w:ascii="Times New Roman" w:eastAsia="Times New Roman" w:hAnsi="Times New Roman" w:cs="Times New Roman"/>
          <w:b/>
          <w:bCs/>
          <w:lang w:val="en-GB"/>
        </w:rPr>
      </w:pPr>
      <w:r>
        <w:rPr>
          <w:rFonts w:ascii="Times New Roman" w:eastAsia="Times New Roman" w:hAnsi="Times New Roman" w:cs="Times New Roman"/>
          <w:b/>
          <w:bCs/>
        </w:rPr>
        <w:t>A tantárgy megnevezése (magyarul):</w:t>
      </w:r>
      <w:r>
        <w:rPr>
          <w:rFonts w:ascii="Times New Roman" w:eastAsia="Times New Roman" w:hAnsi="Times New Roman" w:cs="Times New Roman"/>
          <w:bCs/>
        </w:rPr>
        <w:t xml:space="preserve"> Döntéselőkészítési módszerek LOG</w:t>
      </w:r>
    </w:p>
    <w:p w:rsidR="00891C71" w:rsidRDefault="00891C71" w:rsidP="00C14833">
      <w:pPr>
        <w:widowControl w:val="0"/>
        <w:numPr>
          <w:ilvl w:val="0"/>
          <w:numId w:val="112"/>
        </w:numPr>
        <w:tabs>
          <w:tab w:val="clear" w:pos="720"/>
          <w:tab w:val="num" w:pos="502"/>
          <w:tab w:val="num" w:pos="567"/>
        </w:tabs>
        <w:spacing w:before="120" w:after="120" w:line="240" w:lineRule="auto"/>
        <w:ind w:left="426" w:hanging="142"/>
        <w:jc w:val="both"/>
        <w:rPr>
          <w:rFonts w:ascii="Times New Roman" w:eastAsia="Times New Roman" w:hAnsi="Times New Roman" w:cs="Times New Roman"/>
          <w:b/>
          <w:bCs/>
          <w:lang w:val="en-GB"/>
        </w:rPr>
      </w:pPr>
      <w:r>
        <w:rPr>
          <w:rFonts w:ascii="Times New Roman" w:eastAsia="Times New Roman" w:hAnsi="Times New Roman" w:cs="Times New Roman"/>
          <w:b/>
          <w:bCs/>
        </w:rPr>
        <w:t>A tantárgy megnevezése (angolul):</w:t>
      </w:r>
      <w:r>
        <w:rPr>
          <w:rFonts w:ascii="Times New Roman" w:eastAsia="Times New Roman" w:hAnsi="Times New Roman" w:cs="Times New Roman"/>
          <w:bCs/>
        </w:rPr>
        <w:t xml:space="preserve"> Decision Coaching Methods LOG</w:t>
      </w:r>
    </w:p>
    <w:p w:rsidR="00891C71" w:rsidRDefault="00891C71" w:rsidP="00C14833">
      <w:pPr>
        <w:widowControl w:val="0"/>
        <w:numPr>
          <w:ilvl w:val="0"/>
          <w:numId w:val="112"/>
        </w:numPr>
        <w:tabs>
          <w:tab w:val="clear" w:pos="720"/>
          <w:tab w:val="num" w:pos="502"/>
          <w:tab w:val="num" w:pos="567"/>
        </w:tabs>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Kreditérték és képzési karakter: </w:t>
      </w:r>
    </w:p>
    <w:p w:rsidR="00891C71" w:rsidRDefault="00891C71" w:rsidP="00C14833">
      <w:pPr>
        <w:pStyle w:val="Listaszerbekezds"/>
        <w:widowControl w:val="0"/>
        <w:numPr>
          <w:ilvl w:val="1"/>
          <w:numId w:val="112"/>
        </w:numPr>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2 kredit</w:t>
      </w:r>
    </w:p>
    <w:p w:rsidR="00891C71" w:rsidRDefault="00891C71" w:rsidP="00C14833">
      <w:pPr>
        <w:pStyle w:val="Listaszerbekezds"/>
        <w:widowControl w:val="0"/>
        <w:numPr>
          <w:ilvl w:val="1"/>
          <w:numId w:val="112"/>
        </w:numPr>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a tantárgy elméleti vagy gyakorlati jellegének mértéke: 50 % gyakorlat, 50 % elmélet</w:t>
      </w:r>
    </w:p>
    <w:p w:rsidR="00891C71" w:rsidRDefault="00891C71" w:rsidP="00C14833">
      <w:pPr>
        <w:widowControl w:val="0"/>
        <w:numPr>
          <w:ilvl w:val="0"/>
          <w:numId w:val="112"/>
        </w:numPr>
        <w:tabs>
          <w:tab w:val="clear" w:pos="720"/>
          <w:tab w:val="num" w:pos="502"/>
        </w:tabs>
        <w:spacing w:before="120" w:after="120" w:line="240" w:lineRule="auto"/>
        <w:ind w:left="426" w:hanging="142"/>
        <w:jc w:val="both"/>
        <w:rPr>
          <w:rFonts w:ascii="Times New Roman" w:eastAsia="Times New Roman" w:hAnsi="Times New Roman" w:cs="Times New Roman"/>
          <w:bCs/>
          <w:color w:val="92D050"/>
        </w:rPr>
      </w:pPr>
      <w:r>
        <w:rPr>
          <w:rFonts w:ascii="Times New Roman" w:eastAsia="Times New Roman" w:hAnsi="Times New Roman" w:cs="Times New Roman"/>
          <w:b/>
          <w:bCs/>
        </w:rPr>
        <w:t>A szak(ok), szakirányok/specializációk megnevezése (ahol oktatják):</w:t>
      </w:r>
      <w:r>
        <w:rPr>
          <w:rFonts w:ascii="Times New Roman" w:eastAsia="Times New Roman" w:hAnsi="Times New Roman" w:cs="Times New Roman"/>
          <w:bCs/>
        </w:rPr>
        <w:t xml:space="preserve"> Katonai logisztika alapszak</w:t>
      </w:r>
    </w:p>
    <w:p w:rsidR="00891C71" w:rsidRDefault="00891C71" w:rsidP="00C14833">
      <w:pPr>
        <w:widowControl w:val="0"/>
        <w:numPr>
          <w:ilvl w:val="0"/>
          <w:numId w:val="112"/>
        </w:numPr>
        <w:tabs>
          <w:tab w:val="clear" w:pos="720"/>
          <w:tab w:val="num" w:pos="502"/>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Az oktatásért felelős oktatási szervezeti egység megnevezése: </w:t>
      </w:r>
      <w:r>
        <w:rPr>
          <w:rFonts w:ascii="Times New Roman" w:eastAsia="Times New Roman" w:hAnsi="Times New Roman" w:cs="Times New Roman"/>
          <w:bCs/>
        </w:rPr>
        <w:t>Természettudományi Tanszék</w:t>
      </w:r>
    </w:p>
    <w:p w:rsidR="00891C71" w:rsidRDefault="00891C71" w:rsidP="00C14833">
      <w:pPr>
        <w:widowControl w:val="0"/>
        <w:numPr>
          <w:ilvl w:val="0"/>
          <w:numId w:val="112"/>
        </w:numPr>
        <w:tabs>
          <w:tab w:val="clear" w:pos="720"/>
          <w:tab w:val="num" w:pos="502"/>
          <w:tab w:val="num" w:pos="567"/>
        </w:tabs>
        <w:spacing w:before="120" w:after="120" w:line="240" w:lineRule="auto"/>
        <w:ind w:left="426" w:hanging="142"/>
        <w:jc w:val="both"/>
        <w:rPr>
          <w:rFonts w:ascii="Times New Roman" w:eastAsia="Times New Roman" w:hAnsi="Times New Roman" w:cs="Times New Roman"/>
          <w:bCs/>
          <w:spacing w:val="-2"/>
        </w:rPr>
      </w:pPr>
      <w:r>
        <w:rPr>
          <w:rFonts w:ascii="Times New Roman" w:eastAsia="Times New Roman" w:hAnsi="Times New Roman" w:cs="Times New Roman"/>
          <w:b/>
          <w:bCs/>
          <w:spacing w:val="-2"/>
        </w:rPr>
        <w:t>A tantárgyfelelős oktató neve, beosztása, tudományos fokozata:</w:t>
      </w:r>
      <w:r>
        <w:rPr>
          <w:rFonts w:ascii="Times New Roman" w:eastAsia="Times New Roman" w:hAnsi="Times New Roman" w:cs="Times New Roman"/>
          <w:bCs/>
          <w:spacing w:val="-2"/>
        </w:rPr>
        <w:t xml:space="preserve"> Dr. Tóth Bence, adjunktus, PhD</w:t>
      </w:r>
    </w:p>
    <w:p w:rsidR="00891C71" w:rsidRDefault="00891C71" w:rsidP="00C14833">
      <w:pPr>
        <w:widowControl w:val="0"/>
        <w:numPr>
          <w:ilvl w:val="0"/>
          <w:numId w:val="112"/>
        </w:numPr>
        <w:tabs>
          <w:tab w:val="clear" w:pos="720"/>
          <w:tab w:val="num" w:pos="502"/>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tanórák száma és típusa</w:t>
      </w:r>
    </w:p>
    <w:p w:rsidR="00891C71" w:rsidRDefault="00891C71" w:rsidP="00C14833">
      <w:pPr>
        <w:widowControl w:val="0"/>
        <w:numPr>
          <w:ilvl w:val="1"/>
          <w:numId w:val="112"/>
        </w:numPr>
        <w:tabs>
          <w:tab w:val="num" w:pos="709"/>
          <w:tab w:val="num" w:pos="2069"/>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össz óraszám/félév:</w:t>
      </w:r>
    </w:p>
    <w:p w:rsidR="00891C71" w:rsidRDefault="00891C71" w:rsidP="00C14833">
      <w:pPr>
        <w:widowControl w:val="0"/>
        <w:numPr>
          <w:ilvl w:val="2"/>
          <w:numId w:val="112"/>
        </w:numPr>
        <w:tabs>
          <w:tab w:val="clear" w:pos="1800"/>
          <w:tab w:val="num" w:pos="709"/>
        </w:tabs>
        <w:spacing w:before="120" w:after="120" w:line="240" w:lineRule="auto"/>
        <w:ind w:left="1134" w:hanging="425"/>
        <w:jc w:val="both"/>
        <w:rPr>
          <w:rFonts w:ascii="Times New Roman" w:eastAsia="Times New Roman" w:hAnsi="Times New Roman" w:cs="Times New Roman"/>
          <w:bCs/>
        </w:rPr>
      </w:pPr>
      <w:r>
        <w:rPr>
          <w:rFonts w:ascii="Times New Roman" w:eastAsia="Times New Roman" w:hAnsi="Times New Roman" w:cs="Times New Roman"/>
          <w:bCs/>
        </w:rPr>
        <w:t>nappali munkarend: 28 (14 EA + 0 SZ + 14 GY)</w:t>
      </w:r>
    </w:p>
    <w:p w:rsidR="00891C71" w:rsidRDefault="00891C71" w:rsidP="00C14833">
      <w:pPr>
        <w:widowControl w:val="0"/>
        <w:numPr>
          <w:ilvl w:val="2"/>
          <w:numId w:val="112"/>
        </w:numPr>
        <w:tabs>
          <w:tab w:val="clear" w:pos="1800"/>
          <w:tab w:val="num" w:pos="709"/>
        </w:tabs>
        <w:spacing w:before="120" w:after="120" w:line="240" w:lineRule="auto"/>
        <w:ind w:left="1134" w:hanging="425"/>
        <w:jc w:val="both"/>
        <w:rPr>
          <w:rFonts w:ascii="Times New Roman" w:eastAsia="Times New Roman" w:hAnsi="Times New Roman" w:cs="Times New Roman"/>
          <w:bCs/>
        </w:rPr>
      </w:pPr>
      <w:r>
        <w:rPr>
          <w:rFonts w:ascii="Times New Roman" w:eastAsia="Times New Roman" w:hAnsi="Times New Roman" w:cs="Times New Roman"/>
          <w:bCs/>
        </w:rPr>
        <w:t>levelező munkarend: 0 (0 EA + 0 SZ + 0 GY)</w:t>
      </w:r>
    </w:p>
    <w:p w:rsidR="00891C71" w:rsidRDefault="00891C71" w:rsidP="00C14833">
      <w:pPr>
        <w:widowControl w:val="0"/>
        <w:numPr>
          <w:ilvl w:val="1"/>
          <w:numId w:val="112"/>
        </w:numPr>
        <w:tabs>
          <w:tab w:val="num" w:pos="709"/>
          <w:tab w:val="num" w:pos="2069"/>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heti óraszám - nappali munkarend: 1 + 1</w:t>
      </w:r>
    </w:p>
    <w:p w:rsidR="00891C71" w:rsidRDefault="00891C71" w:rsidP="00C14833">
      <w:pPr>
        <w:widowControl w:val="0"/>
        <w:numPr>
          <w:ilvl w:val="1"/>
          <w:numId w:val="112"/>
        </w:numPr>
        <w:tabs>
          <w:tab w:val="num" w:pos="709"/>
          <w:tab w:val="num" w:pos="2069"/>
        </w:tabs>
        <w:spacing w:before="120" w:after="120" w:line="240" w:lineRule="auto"/>
        <w:ind w:left="851" w:hanging="425"/>
        <w:jc w:val="both"/>
        <w:rPr>
          <w:rFonts w:ascii="Times New Roman" w:eastAsia="Times New Roman" w:hAnsi="Times New Roman" w:cs="Times New Roman"/>
          <w:bCs/>
        </w:rPr>
      </w:pPr>
      <w:r>
        <w:rPr>
          <w:rFonts w:ascii="Times New Roman" w:hAnsi="Times New Roman" w:cs="Times New Roman"/>
        </w:rPr>
        <w:t>Az ismeret átadásában alkalmazandó további sajátos módok, jellemzők: nincsenek</w:t>
      </w:r>
    </w:p>
    <w:p w:rsidR="00891C71" w:rsidRDefault="00891C71" w:rsidP="00C14833">
      <w:pPr>
        <w:widowControl w:val="0"/>
        <w:numPr>
          <w:ilvl w:val="0"/>
          <w:numId w:val="112"/>
        </w:numPr>
        <w:tabs>
          <w:tab w:val="clear" w:pos="720"/>
          <w:tab w:val="num" w:pos="502"/>
        </w:tabs>
        <w:spacing w:before="120" w:after="120" w:line="240" w:lineRule="auto"/>
        <w:ind w:left="502"/>
        <w:jc w:val="both"/>
        <w:rPr>
          <w:rFonts w:ascii="Times New Roman" w:eastAsia="Times New Roman" w:hAnsi="Times New Roman" w:cs="Times New Roman"/>
          <w:bCs/>
        </w:rPr>
      </w:pPr>
      <w:r>
        <w:rPr>
          <w:rFonts w:ascii="Times New Roman" w:eastAsia="Times New Roman" w:hAnsi="Times New Roman" w:cs="Times New Roman"/>
          <w:b/>
          <w:bCs/>
        </w:rPr>
        <w:t>A tantárgy szakmai tartalma (magyarul):</w:t>
      </w:r>
      <w:r>
        <w:rPr>
          <w:rFonts w:ascii="Times New Roman" w:eastAsia="Times New Roman" w:hAnsi="Times New Roman" w:cs="Times New Roman"/>
          <w:bCs/>
        </w:rPr>
        <w:t xml:space="preserve"> A modellezés módszertana. A közlekedési rendszerek modellezése, korszerű döntéstámogatási eljárások. Szimplex módszer: normál, módosított normál, általános feladat. Szállítási feladat megoldása disztribúciós módszerrel, speciális korlátok bevezetése, maximum és minimumfeladatok, közlekedési alkalmazások. A szállítási feladat közelítő megoldásai. A hozzárendelési feladat és a szállítási feladat megoldása magyar módszerrel. Legrövidebbút-kereső algoritmusok. A körutazási probléma egzakt és közelítő megoldásai, a magyar módszer alkalmazása. Hálótervezés. Sorbanállási modellek, egy- és többcsatornás tömegkiszolgálási rendszerek és azok közlekedési alkalmazása.</w:t>
      </w:r>
    </w:p>
    <w:p w:rsidR="00891C71" w:rsidRDefault="00891C71" w:rsidP="00891C71">
      <w:pPr>
        <w:widowControl w:val="0"/>
        <w:spacing w:before="120" w:after="120" w:line="240" w:lineRule="auto"/>
        <w:ind w:left="426"/>
        <w:jc w:val="both"/>
        <w:rPr>
          <w:rFonts w:ascii="Times New Roman" w:eastAsia="Times New Roman" w:hAnsi="Times New Roman" w:cs="Times New Roman"/>
          <w:bCs/>
          <w:lang w:val="en-GB"/>
        </w:rPr>
      </w:pPr>
      <w:r>
        <w:rPr>
          <w:rFonts w:ascii="Times New Roman" w:eastAsia="Times New Roman" w:hAnsi="Times New Roman" w:cs="Times New Roman"/>
          <w:b/>
          <w:bCs/>
        </w:rPr>
        <w:t>A tantárgy szakmai tartalma (angolul) (</w:t>
      </w:r>
      <w:r>
        <w:rPr>
          <w:rFonts w:ascii="Times New Roman" w:eastAsia="Times New Roman" w:hAnsi="Times New Roman" w:cs="Times New Roman"/>
          <w:b/>
          <w:bCs/>
          <w:lang w:val="en-US"/>
        </w:rPr>
        <w:t>Course description</w:t>
      </w:r>
      <w:r>
        <w:rPr>
          <w:rFonts w:ascii="Times New Roman" w:eastAsia="Times New Roman" w:hAnsi="Times New Roman" w:cs="Times New Roman"/>
          <w:b/>
          <w:bCs/>
        </w:rPr>
        <w:t>):</w:t>
      </w:r>
      <w:r>
        <w:rPr>
          <w:rFonts w:ascii="Times New Roman" w:eastAsia="Times New Roman" w:hAnsi="Times New Roman" w:cs="Times New Roman"/>
          <w:bCs/>
          <w:lang w:val="en-GB"/>
        </w:rPr>
        <w:t xml:space="preserve"> Methodology of modelling. Modelling transportation networks, modern decision supporting methods. The simplex method: standard form and converting to standard form. The transportation problem: solving with the distribution method, introducing special limits, maximum and minimum problems, transportation examples. Approximation methods in solving the transportation problem. Solving the assignment problem and the transportation problem using the Hungarian method. The shortest path problem. The travelling salesman problem and its exact and approximating solutions. Network planning and design. Queueing theory, single and multi-server queueing models and their usage in transportation.</w:t>
      </w:r>
    </w:p>
    <w:p w:rsidR="00891C71" w:rsidRDefault="00891C71" w:rsidP="00C14833">
      <w:pPr>
        <w:pStyle w:val="Listaszerbekezds"/>
        <w:widowControl w:val="0"/>
        <w:numPr>
          <w:ilvl w:val="0"/>
          <w:numId w:val="112"/>
        </w:numPr>
        <w:tabs>
          <w:tab w:val="clear" w:pos="720"/>
          <w:tab w:val="num" w:pos="426"/>
          <w:tab w:val="num" w:pos="502"/>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Elérendő kompetenciák (magyarul): </w:t>
      </w:r>
    </w:p>
    <w:p w:rsidR="00891C71" w:rsidRDefault="00891C71" w:rsidP="00891C71">
      <w:pPr>
        <w:widowControl w:val="0"/>
        <w:spacing w:before="120" w:after="120" w:line="240" w:lineRule="auto"/>
        <w:ind w:left="426"/>
        <w:jc w:val="both"/>
        <w:rPr>
          <w:rFonts w:ascii="Times New Roman" w:eastAsia="Times New Roman" w:hAnsi="Times New Roman" w:cs="Times New Roman"/>
          <w:bCs/>
        </w:rPr>
      </w:pPr>
      <w:r>
        <w:rPr>
          <w:rFonts w:ascii="Times New Roman" w:eastAsia="Times New Roman" w:hAnsi="Times New Roman" w:cs="Times New Roman"/>
          <w:b/>
          <w:bCs/>
        </w:rPr>
        <w:t>Tudása:</w:t>
      </w:r>
      <w:r>
        <w:rPr>
          <w:rFonts w:ascii="Times New Roman" w:eastAsia="Times New Roman" w:hAnsi="Times New Roman" w:cs="Times New Roman"/>
          <w:bCs/>
        </w:rPr>
        <w:t xml:space="preserve"> </w:t>
      </w:r>
    </w:p>
    <w:p w:rsidR="00891C71" w:rsidRDefault="00891C71" w:rsidP="00891C71">
      <w:pPr>
        <w:widowControl w:val="0"/>
        <w:spacing w:before="120" w:after="120" w:line="240" w:lineRule="auto"/>
        <w:ind w:left="426"/>
        <w:jc w:val="both"/>
        <w:rPr>
          <w:rFonts w:ascii="Times New Roman" w:eastAsia="Times New Roman" w:hAnsi="Times New Roman" w:cs="Times New Roman"/>
          <w:bCs/>
        </w:rPr>
      </w:pPr>
      <w:r>
        <w:rPr>
          <w:rFonts w:ascii="Times New Roman" w:eastAsia="Times New Roman" w:hAnsi="Times New Roman" w:cs="Times New Roman"/>
          <w:bCs/>
        </w:rPr>
        <w:t>-</w:t>
      </w:r>
      <w:r>
        <w:rPr>
          <w:rFonts w:ascii="Times New Roman" w:eastAsia="Times New Roman" w:hAnsi="Times New Roman" w:cs="Times New Roman"/>
          <w:bCs/>
        </w:rPr>
        <w:tab/>
        <w:t>Ismeri a matematika és a mechanika törvényszerűségeit, rendelkezik műszaki alapismeretekkel.</w:t>
      </w:r>
    </w:p>
    <w:p w:rsidR="00891C71" w:rsidRDefault="00891C71" w:rsidP="00891C71">
      <w:pPr>
        <w:widowControl w:val="0"/>
        <w:spacing w:before="120" w:after="120" w:line="240" w:lineRule="auto"/>
        <w:ind w:left="426"/>
        <w:jc w:val="both"/>
        <w:rPr>
          <w:rFonts w:ascii="Times New Roman" w:eastAsia="Times New Roman" w:hAnsi="Times New Roman" w:cs="Times New Roman"/>
          <w:bCs/>
        </w:rPr>
      </w:pPr>
      <w:r>
        <w:rPr>
          <w:rFonts w:ascii="Times New Roman" w:eastAsia="Times New Roman" w:hAnsi="Times New Roman" w:cs="Times New Roman"/>
          <w:b/>
          <w:bCs/>
        </w:rPr>
        <w:t>Képességei:</w:t>
      </w:r>
      <w:r>
        <w:rPr>
          <w:rFonts w:ascii="Times New Roman" w:eastAsia="Times New Roman" w:hAnsi="Times New Roman" w:cs="Times New Roman"/>
          <w:bCs/>
        </w:rPr>
        <w:t xml:space="preserve"> </w:t>
      </w:r>
    </w:p>
    <w:p w:rsidR="00891C71" w:rsidRDefault="00891C71" w:rsidP="00891C71">
      <w:pPr>
        <w:widowControl w:val="0"/>
        <w:spacing w:before="120" w:after="120" w:line="240" w:lineRule="auto"/>
        <w:ind w:left="426"/>
        <w:jc w:val="both"/>
        <w:rPr>
          <w:rFonts w:ascii="Times New Roman" w:eastAsia="Times New Roman" w:hAnsi="Times New Roman" w:cs="Times New Roman"/>
          <w:bCs/>
        </w:rPr>
      </w:pPr>
      <w:r>
        <w:rPr>
          <w:rFonts w:ascii="Times New Roman" w:eastAsia="Times New Roman" w:hAnsi="Times New Roman" w:cs="Times New Roman"/>
          <w:bCs/>
        </w:rPr>
        <w:t>-</w:t>
      </w:r>
      <w:r>
        <w:rPr>
          <w:rFonts w:ascii="Times New Roman" w:eastAsia="Times New Roman" w:hAnsi="Times New Roman" w:cs="Times New Roman"/>
          <w:bCs/>
        </w:rPr>
        <w:tab/>
        <w:t>Képes szakterületén újító és innovatív ötletek megfogalmazására.</w:t>
      </w:r>
    </w:p>
    <w:p w:rsidR="00891C71" w:rsidRDefault="00891C71" w:rsidP="00891C71">
      <w:pPr>
        <w:widowControl w:val="0"/>
        <w:spacing w:before="120" w:after="120" w:line="240" w:lineRule="auto"/>
        <w:ind w:left="426"/>
        <w:jc w:val="both"/>
        <w:rPr>
          <w:rFonts w:ascii="Times New Roman" w:eastAsia="Times New Roman" w:hAnsi="Times New Roman" w:cs="Times New Roman"/>
          <w:bCs/>
        </w:rPr>
      </w:pPr>
      <w:r>
        <w:rPr>
          <w:rFonts w:ascii="Times New Roman" w:eastAsia="Times New Roman" w:hAnsi="Times New Roman" w:cs="Times New Roman"/>
          <w:b/>
          <w:bCs/>
        </w:rPr>
        <w:lastRenderedPageBreak/>
        <w:t>Attitűdje:</w:t>
      </w:r>
      <w:r>
        <w:rPr>
          <w:rFonts w:ascii="Times New Roman" w:eastAsia="Times New Roman" w:hAnsi="Times New Roman" w:cs="Times New Roman"/>
          <w:bCs/>
        </w:rPr>
        <w:t xml:space="preserve"> </w:t>
      </w:r>
    </w:p>
    <w:p w:rsidR="00891C71" w:rsidRDefault="00891C71" w:rsidP="00891C71">
      <w:pPr>
        <w:widowControl w:val="0"/>
        <w:spacing w:before="120" w:after="120" w:line="240" w:lineRule="auto"/>
        <w:ind w:left="426"/>
        <w:jc w:val="both"/>
        <w:rPr>
          <w:rFonts w:ascii="Times New Roman" w:eastAsia="Times New Roman" w:hAnsi="Times New Roman" w:cs="Times New Roman"/>
          <w:bCs/>
        </w:rPr>
      </w:pPr>
      <w:r>
        <w:rPr>
          <w:rFonts w:ascii="Times New Roman" w:eastAsia="Times New Roman" w:hAnsi="Times New Roman" w:cs="Times New Roman"/>
          <w:bCs/>
        </w:rPr>
        <w:t>-</w:t>
      </w:r>
      <w:r>
        <w:rPr>
          <w:rFonts w:ascii="Times New Roman" w:eastAsia="Times New Roman" w:hAnsi="Times New Roman" w:cs="Times New Roman"/>
          <w:bCs/>
        </w:rPr>
        <w:tab/>
        <w:t>Nyitott szakterülete új eredményei, innovációi iránt, törekszik azok megismerésére, megértésére és alkalmazására, elkötelezett önmaga folyamatos képzésére.</w:t>
      </w:r>
    </w:p>
    <w:p w:rsidR="00891C71" w:rsidRDefault="00891C71" w:rsidP="00891C71">
      <w:pPr>
        <w:widowControl w:val="0"/>
        <w:spacing w:before="120" w:after="120" w:line="240" w:lineRule="auto"/>
        <w:ind w:left="426"/>
        <w:jc w:val="both"/>
        <w:rPr>
          <w:rFonts w:ascii="Times New Roman" w:eastAsia="Times New Roman" w:hAnsi="Times New Roman" w:cs="Times New Roman"/>
          <w:bCs/>
        </w:rPr>
      </w:pPr>
      <w:r>
        <w:rPr>
          <w:rFonts w:ascii="Times New Roman" w:eastAsia="Times New Roman" w:hAnsi="Times New Roman" w:cs="Times New Roman"/>
          <w:b/>
          <w:bCs/>
        </w:rPr>
        <w:t>Autonómiája és felelőssége:</w:t>
      </w:r>
      <w:r>
        <w:rPr>
          <w:rFonts w:ascii="Times New Roman" w:eastAsia="Times New Roman" w:hAnsi="Times New Roman" w:cs="Times New Roman"/>
          <w:bCs/>
        </w:rPr>
        <w:t xml:space="preserve"> </w:t>
      </w:r>
    </w:p>
    <w:p w:rsidR="00891C71" w:rsidRDefault="00891C71" w:rsidP="00891C71">
      <w:pPr>
        <w:widowControl w:val="0"/>
        <w:spacing w:before="120" w:after="120" w:line="240" w:lineRule="auto"/>
        <w:ind w:left="426"/>
        <w:jc w:val="both"/>
        <w:rPr>
          <w:rFonts w:ascii="Times New Roman" w:eastAsia="Calibri" w:hAnsi="Times New Roman" w:cs="Times New Roman"/>
        </w:rPr>
      </w:pPr>
      <w:r>
        <w:rPr>
          <w:rFonts w:ascii="Times New Roman" w:eastAsia="Times New Roman" w:hAnsi="Times New Roman" w:cs="Times New Roman"/>
          <w:bCs/>
        </w:rPr>
        <w:t>-</w:t>
      </w:r>
      <w:r>
        <w:rPr>
          <w:rFonts w:ascii="Times New Roman" w:eastAsia="Times New Roman" w:hAnsi="Times New Roman" w:cs="Times New Roman"/>
          <w:bCs/>
        </w:rPr>
        <w:tab/>
        <w:t>Az alegység, illetve egység szintű katonai logisztikai, valamint katonai gazdálkodási folyamatokban képes önállóan döntéseket hozni, azokat felelősséggel, a jogszabályi keretek figyelembevételével végrehajtani.</w:t>
      </w:r>
    </w:p>
    <w:p w:rsidR="00891C71" w:rsidRDefault="00891C71" w:rsidP="00891C71">
      <w:pPr>
        <w:widowControl w:val="0"/>
        <w:spacing w:before="120" w:after="120" w:line="240" w:lineRule="auto"/>
        <w:ind w:left="426"/>
        <w:jc w:val="both"/>
        <w:rPr>
          <w:rFonts w:ascii="Times New Roman" w:eastAsia="Times New Roman" w:hAnsi="Times New Roman" w:cs="Times New Roman"/>
          <w:b/>
          <w:bCs/>
          <w:lang w:val="en-US"/>
        </w:rPr>
      </w:pPr>
      <w:r>
        <w:rPr>
          <w:rFonts w:ascii="Times New Roman" w:eastAsia="Times New Roman" w:hAnsi="Times New Roman" w:cs="Times New Roman"/>
          <w:b/>
          <w:bCs/>
        </w:rPr>
        <w:t>Elérendő kompetenciák (angolul) (</w:t>
      </w:r>
      <w:r>
        <w:rPr>
          <w:rFonts w:ascii="Times New Roman" w:eastAsia="Times New Roman" w:hAnsi="Times New Roman" w:cs="Times New Roman"/>
          <w:b/>
          <w:bCs/>
          <w:lang w:val="en-US"/>
        </w:rPr>
        <w:t xml:space="preserve">Competences – English): </w:t>
      </w:r>
    </w:p>
    <w:p w:rsidR="00891C71" w:rsidRDefault="00891C71" w:rsidP="00891C71">
      <w:pPr>
        <w:widowControl w:val="0"/>
        <w:spacing w:before="120" w:after="120" w:line="240" w:lineRule="auto"/>
        <w:ind w:left="426"/>
        <w:jc w:val="both"/>
        <w:rPr>
          <w:rFonts w:ascii="Times New Roman" w:eastAsia="Times New Roman" w:hAnsi="Times New Roman" w:cs="Times New Roman"/>
          <w:lang w:val="en-GB"/>
        </w:rPr>
      </w:pPr>
      <w:r>
        <w:rPr>
          <w:rFonts w:ascii="Times New Roman" w:eastAsia="Times New Roman" w:hAnsi="Times New Roman" w:cs="Times New Roman"/>
          <w:b/>
          <w:lang w:val="en-GB"/>
        </w:rPr>
        <w:t>Knowledge</w:t>
      </w:r>
      <w:r>
        <w:rPr>
          <w:rFonts w:ascii="Times New Roman" w:eastAsia="Times New Roman" w:hAnsi="Times New Roman" w:cs="Times New Roman"/>
          <w:lang w:val="en-GB"/>
        </w:rPr>
        <w:t xml:space="preserve">: </w:t>
      </w:r>
    </w:p>
    <w:p w:rsidR="00891C71" w:rsidRDefault="00891C71" w:rsidP="00891C71">
      <w:pPr>
        <w:widowControl w:val="0"/>
        <w:spacing w:before="120" w:after="120" w:line="240" w:lineRule="auto"/>
        <w:ind w:left="426"/>
        <w:jc w:val="both"/>
        <w:rPr>
          <w:rFonts w:ascii="Times New Roman" w:eastAsia="Calibri" w:hAnsi="Times New Roman" w:cs="Times New Roman"/>
        </w:rPr>
      </w:pPr>
      <w:r>
        <w:rPr>
          <w:rFonts w:ascii="Times New Roman" w:eastAsia="Times New Roman" w:hAnsi="Times New Roman" w:cs="Times New Roman"/>
          <w:bCs/>
        </w:rPr>
        <w:t>-</w:t>
      </w:r>
      <w:r>
        <w:rPr>
          <w:rFonts w:ascii="Times New Roman" w:eastAsia="Times New Roman" w:hAnsi="Times New Roman" w:cs="Times New Roman"/>
          <w:bCs/>
        </w:rPr>
        <w:tab/>
        <w:t>Knows the laws of mathematics and mechanics, has basic technical knowledge.</w:t>
      </w:r>
    </w:p>
    <w:p w:rsidR="00891C71" w:rsidRDefault="00891C71" w:rsidP="00891C71">
      <w:pPr>
        <w:widowControl w:val="0"/>
        <w:spacing w:before="120" w:after="120" w:line="240" w:lineRule="auto"/>
        <w:ind w:left="426"/>
        <w:jc w:val="both"/>
        <w:rPr>
          <w:rFonts w:ascii="Times New Roman" w:eastAsia="Times New Roman" w:hAnsi="Times New Roman" w:cs="Times New Roman"/>
          <w:lang w:val="en-GB"/>
        </w:rPr>
      </w:pPr>
      <w:r>
        <w:rPr>
          <w:rFonts w:ascii="Times New Roman" w:eastAsia="Times New Roman" w:hAnsi="Times New Roman" w:cs="Times New Roman"/>
          <w:b/>
          <w:lang w:val="en-GB"/>
        </w:rPr>
        <w:t>Capabilities</w:t>
      </w:r>
      <w:r>
        <w:rPr>
          <w:rFonts w:ascii="Times New Roman" w:eastAsia="Times New Roman" w:hAnsi="Times New Roman" w:cs="Times New Roman"/>
          <w:lang w:val="en-GB"/>
        </w:rPr>
        <w:t xml:space="preserve">: </w:t>
      </w:r>
    </w:p>
    <w:p w:rsidR="00891C71" w:rsidRDefault="00891C71" w:rsidP="00891C71">
      <w:pPr>
        <w:widowControl w:val="0"/>
        <w:spacing w:before="120" w:after="120" w:line="240" w:lineRule="auto"/>
        <w:ind w:left="426"/>
        <w:jc w:val="both"/>
        <w:rPr>
          <w:rFonts w:ascii="Times New Roman" w:eastAsia="Calibri" w:hAnsi="Times New Roman" w:cs="Times New Roman"/>
        </w:rPr>
      </w:pPr>
      <w:r>
        <w:rPr>
          <w:rFonts w:ascii="Times New Roman" w:eastAsia="Times New Roman" w:hAnsi="Times New Roman" w:cs="Times New Roman"/>
          <w:bCs/>
        </w:rPr>
        <w:t>-</w:t>
      </w:r>
      <w:r>
        <w:rPr>
          <w:rFonts w:ascii="Times New Roman" w:eastAsia="Times New Roman" w:hAnsi="Times New Roman" w:cs="Times New Roman"/>
          <w:bCs/>
        </w:rPr>
        <w:tab/>
        <w:t>Able to formulate innovative ideas in their field.</w:t>
      </w:r>
    </w:p>
    <w:p w:rsidR="00891C71" w:rsidRDefault="00891C71" w:rsidP="00891C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lang w:val="en-GB"/>
        </w:rPr>
      </w:pPr>
      <w:r>
        <w:rPr>
          <w:rFonts w:ascii="Times New Roman" w:eastAsia="Times New Roman" w:hAnsi="Times New Roman" w:cs="Times New Roman"/>
          <w:b/>
          <w:lang w:val="en-GB"/>
        </w:rPr>
        <w:t>Attitude:</w:t>
      </w:r>
      <w:r>
        <w:rPr>
          <w:rFonts w:ascii="Times New Roman" w:eastAsia="Times New Roman" w:hAnsi="Times New Roman" w:cs="Times New Roman"/>
          <w:lang w:val="en-GB"/>
        </w:rPr>
        <w:t xml:space="preserve"> </w:t>
      </w:r>
    </w:p>
    <w:p w:rsidR="00891C71" w:rsidRDefault="00891C71" w:rsidP="00891C71">
      <w:pPr>
        <w:widowControl w:val="0"/>
        <w:spacing w:before="120" w:after="120" w:line="240" w:lineRule="auto"/>
        <w:ind w:left="426"/>
        <w:jc w:val="both"/>
        <w:rPr>
          <w:rFonts w:ascii="Times New Roman" w:eastAsia="Calibri" w:hAnsi="Times New Roman" w:cs="Times New Roman"/>
        </w:rPr>
      </w:pPr>
      <w:r>
        <w:rPr>
          <w:rFonts w:ascii="Times New Roman" w:eastAsia="Times New Roman" w:hAnsi="Times New Roman" w:cs="Times New Roman"/>
          <w:bCs/>
        </w:rPr>
        <w:t>-</w:t>
      </w:r>
      <w:r>
        <w:rPr>
          <w:rFonts w:ascii="Times New Roman" w:eastAsia="Times New Roman" w:hAnsi="Times New Roman" w:cs="Times New Roman"/>
          <w:bCs/>
        </w:rPr>
        <w:tab/>
        <w:t>Open for the new achievements and innovations of their specialty, seeks to know, understand and apply them, and committed to continuous self-education.</w:t>
      </w:r>
    </w:p>
    <w:p w:rsidR="00891C71" w:rsidRDefault="00891C71" w:rsidP="00891C71">
      <w:pPr>
        <w:widowControl w:val="0"/>
        <w:spacing w:before="120" w:after="120" w:line="240" w:lineRule="auto"/>
        <w:ind w:left="426"/>
        <w:jc w:val="both"/>
        <w:rPr>
          <w:rFonts w:ascii="Times New Roman" w:eastAsia="Times New Roman" w:hAnsi="Times New Roman" w:cs="Times New Roman"/>
          <w:lang w:val="en-GB"/>
        </w:rPr>
      </w:pPr>
      <w:r>
        <w:rPr>
          <w:rFonts w:ascii="Times New Roman" w:eastAsia="Times New Roman" w:hAnsi="Times New Roman" w:cs="Times New Roman"/>
          <w:b/>
          <w:lang w:val="en-GB"/>
        </w:rPr>
        <w:t xml:space="preserve">Autonomy and responsibility: </w:t>
      </w:r>
    </w:p>
    <w:p w:rsidR="00891C71" w:rsidRDefault="00891C71" w:rsidP="00891C71">
      <w:pPr>
        <w:widowControl w:val="0"/>
        <w:spacing w:before="120" w:after="120" w:line="240" w:lineRule="auto"/>
        <w:ind w:left="426"/>
        <w:jc w:val="both"/>
        <w:rPr>
          <w:rFonts w:ascii="Times New Roman" w:eastAsia="Calibri" w:hAnsi="Times New Roman" w:cs="Times New Roman"/>
        </w:rPr>
      </w:pPr>
      <w:r>
        <w:rPr>
          <w:rFonts w:ascii="Times New Roman" w:eastAsia="Times New Roman" w:hAnsi="Times New Roman" w:cs="Times New Roman"/>
          <w:bCs/>
        </w:rPr>
        <w:t>-</w:t>
      </w:r>
      <w:r>
        <w:rPr>
          <w:rFonts w:ascii="Times New Roman" w:eastAsia="Times New Roman" w:hAnsi="Times New Roman" w:cs="Times New Roman"/>
          <w:bCs/>
        </w:rPr>
        <w:tab/>
        <w:t>At the subunit and unit level, it is able to make independent decisions in military logistics and military management processes, making them responsible and within the legal framework.</w:t>
      </w:r>
    </w:p>
    <w:p w:rsidR="00891C71" w:rsidRDefault="00891C71" w:rsidP="00C14833">
      <w:pPr>
        <w:widowControl w:val="0"/>
        <w:numPr>
          <w:ilvl w:val="0"/>
          <w:numId w:val="112"/>
        </w:numPr>
        <w:tabs>
          <w:tab w:val="clear" w:pos="720"/>
          <w:tab w:val="num" w:pos="502"/>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Előtanulmányi követelmények: </w:t>
      </w:r>
      <w:r>
        <w:rPr>
          <w:rFonts w:ascii="Times New Roman" w:hAnsi="Times New Roman" w:cs="Times New Roman"/>
        </w:rPr>
        <w:t>Lineáris algebra LOG (</w:t>
      </w:r>
      <w:r>
        <w:rPr>
          <w:rFonts w:ascii="Times New Roman" w:eastAsia="Times New Roman" w:hAnsi="Times New Roman" w:cs="Times New Roman"/>
          <w:bCs/>
        </w:rPr>
        <w:t>HK925A130</w:t>
      </w:r>
      <w:r>
        <w:rPr>
          <w:rFonts w:ascii="Times New Roman" w:hAnsi="Times New Roman" w:cs="Times New Roman"/>
        </w:rPr>
        <w:t>)</w:t>
      </w:r>
    </w:p>
    <w:p w:rsidR="00891C71" w:rsidRDefault="00891C71" w:rsidP="00C14833">
      <w:pPr>
        <w:widowControl w:val="0"/>
        <w:numPr>
          <w:ilvl w:val="0"/>
          <w:numId w:val="112"/>
        </w:numPr>
        <w:tabs>
          <w:tab w:val="clear" w:pos="720"/>
          <w:tab w:val="num" w:pos="502"/>
        </w:tabs>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A tantárgy tananyagának leírása, tematika. Description of the subject, curriculum (magyarul, angolul - English):</w:t>
      </w:r>
    </w:p>
    <w:p w:rsidR="00891C71" w:rsidRDefault="00891C71" w:rsidP="00C14833">
      <w:pPr>
        <w:widowControl w:val="0"/>
        <w:numPr>
          <w:ilvl w:val="1"/>
          <w:numId w:val="112"/>
        </w:numPr>
        <w:tabs>
          <w:tab w:val="left" w:pos="709"/>
          <w:tab w:val="left" w:pos="993"/>
        </w:tabs>
        <w:spacing w:before="120" w:after="120" w:line="240" w:lineRule="auto"/>
        <w:ind w:left="993" w:hanging="567"/>
        <w:jc w:val="both"/>
        <w:rPr>
          <w:rFonts w:ascii="Times New Roman" w:eastAsia="Times New Roman" w:hAnsi="Times New Roman" w:cs="Times New Roman"/>
          <w:b/>
        </w:rPr>
      </w:pPr>
      <w:r>
        <w:rPr>
          <w:rFonts w:ascii="Times New Roman" w:eastAsia="Times New Roman" w:hAnsi="Times New Roman" w:cs="Times New Roman"/>
          <w:bCs/>
        </w:rPr>
        <w:t>A modellezés módszertana. A közlekedési rendszerek modellezése, korszerű döntéstámogatási eljárások. (</w:t>
      </w:r>
      <w:r>
        <w:rPr>
          <w:rFonts w:ascii="Times New Roman" w:eastAsia="Times New Roman" w:hAnsi="Times New Roman" w:cs="Times New Roman"/>
          <w:bCs/>
          <w:i/>
        </w:rPr>
        <w:t>Methodology of modelling. Modeling transportation networks, modern decision supporting methods.</w:t>
      </w:r>
      <w:r>
        <w:rPr>
          <w:rFonts w:ascii="Times New Roman" w:eastAsia="Times New Roman" w:hAnsi="Times New Roman" w:cs="Times New Roman"/>
          <w:bCs/>
        </w:rPr>
        <w:t>)</w:t>
      </w:r>
    </w:p>
    <w:p w:rsidR="00891C71" w:rsidRDefault="00891C71" w:rsidP="00C14833">
      <w:pPr>
        <w:widowControl w:val="0"/>
        <w:numPr>
          <w:ilvl w:val="1"/>
          <w:numId w:val="112"/>
        </w:numPr>
        <w:tabs>
          <w:tab w:val="left" w:pos="709"/>
          <w:tab w:val="left" w:pos="993"/>
        </w:tabs>
        <w:spacing w:before="120" w:after="120" w:line="240" w:lineRule="auto"/>
        <w:ind w:left="993" w:hanging="567"/>
        <w:jc w:val="both"/>
        <w:rPr>
          <w:rFonts w:ascii="Times New Roman" w:eastAsia="Times New Roman" w:hAnsi="Times New Roman" w:cs="Times New Roman"/>
          <w:b/>
        </w:rPr>
      </w:pPr>
      <w:r>
        <w:rPr>
          <w:rFonts w:ascii="Times New Roman" w:eastAsia="Times New Roman" w:hAnsi="Times New Roman" w:cs="Times New Roman"/>
          <w:bCs/>
        </w:rPr>
        <w:t>Szimplex módszer: normál, módosított normál, általános feladat. (</w:t>
      </w:r>
      <w:r>
        <w:rPr>
          <w:rFonts w:ascii="Times New Roman" w:eastAsia="Times New Roman" w:hAnsi="Times New Roman" w:cs="Times New Roman"/>
          <w:bCs/>
          <w:i/>
        </w:rPr>
        <w:t>The simplex method: standard form and converting to standard form.</w:t>
      </w:r>
      <w:r>
        <w:rPr>
          <w:rFonts w:ascii="Times New Roman" w:eastAsia="Times New Roman" w:hAnsi="Times New Roman" w:cs="Times New Roman"/>
          <w:bCs/>
        </w:rPr>
        <w:t>)</w:t>
      </w:r>
    </w:p>
    <w:p w:rsidR="00891C71" w:rsidRDefault="00891C71" w:rsidP="00C14833">
      <w:pPr>
        <w:widowControl w:val="0"/>
        <w:numPr>
          <w:ilvl w:val="1"/>
          <w:numId w:val="112"/>
        </w:numPr>
        <w:tabs>
          <w:tab w:val="left" w:pos="709"/>
          <w:tab w:val="left" w:pos="993"/>
        </w:tabs>
        <w:spacing w:before="120" w:after="120" w:line="240" w:lineRule="auto"/>
        <w:ind w:left="993" w:hanging="567"/>
        <w:jc w:val="both"/>
        <w:rPr>
          <w:rFonts w:ascii="Times New Roman" w:eastAsia="Times New Roman" w:hAnsi="Times New Roman" w:cs="Times New Roman"/>
          <w:b/>
        </w:rPr>
      </w:pPr>
      <w:r>
        <w:rPr>
          <w:rFonts w:ascii="Times New Roman" w:eastAsia="Times New Roman" w:hAnsi="Times New Roman" w:cs="Times New Roman"/>
          <w:bCs/>
        </w:rPr>
        <w:t>Szállítási feladat megoldása disztribúciós módszerrel, speciális korlátok bevezetése, maximum és minimumfeladatok, közlekedési alkalmazások. (</w:t>
      </w:r>
      <w:r>
        <w:rPr>
          <w:rFonts w:ascii="Times New Roman" w:eastAsia="Times New Roman" w:hAnsi="Times New Roman" w:cs="Times New Roman"/>
          <w:bCs/>
          <w:i/>
        </w:rPr>
        <w:t>The transportation problem: solving with the distribution method, introducing special limits, maximum and minimum problems, transportation examples.</w:t>
      </w:r>
      <w:r>
        <w:rPr>
          <w:rFonts w:ascii="Times New Roman" w:eastAsia="Times New Roman" w:hAnsi="Times New Roman" w:cs="Times New Roman"/>
          <w:bCs/>
        </w:rPr>
        <w:t>)</w:t>
      </w:r>
    </w:p>
    <w:p w:rsidR="00891C71" w:rsidRDefault="00891C71" w:rsidP="00C14833">
      <w:pPr>
        <w:widowControl w:val="0"/>
        <w:numPr>
          <w:ilvl w:val="1"/>
          <w:numId w:val="112"/>
        </w:numPr>
        <w:tabs>
          <w:tab w:val="left" w:pos="709"/>
          <w:tab w:val="left" w:pos="993"/>
        </w:tabs>
        <w:spacing w:before="120" w:after="120" w:line="240" w:lineRule="auto"/>
        <w:ind w:left="993" w:hanging="567"/>
        <w:jc w:val="both"/>
        <w:rPr>
          <w:rFonts w:ascii="Times New Roman" w:eastAsia="Times New Roman" w:hAnsi="Times New Roman" w:cs="Times New Roman"/>
          <w:b/>
        </w:rPr>
      </w:pPr>
      <w:r>
        <w:rPr>
          <w:rFonts w:ascii="Times New Roman" w:eastAsia="Times New Roman" w:hAnsi="Times New Roman" w:cs="Times New Roman"/>
          <w:bCs/>
        </w:rPr>
        <w:t>A szállítási feladat közelítő megoldásai. A hozzárendelési feladat és a szállítási feladat megoldása magyar módszerrel. (</w:t>
      </w:r>
      <w:r>
        <w:rPr>
          <w:rFonts w:ascii="Times New Roman" w:eastAsia="Times New Roman" w:hAnsi="Times New Roman" w:cs="Times New Roman"/>
          <w:bCs/>
          <w:i/>
        </w:rPr>
        <w:t>Approximation methods in solving the transportation problem. Solving the assignment problem and the transportation problem using the Hungarian method.</w:t>
      </w:r>
      <w:r>
        <w:rPr>
          <w:rFonts w:ascii="Times New Roman" w:eastAsia="Times New Roman" w:hAnsi="Times New Roman" w:cs="Times New Roman"/>
          <w:bCs/>
        </w:rPr>
        <w:t>)</w:t>
      </w:r>
    </w:p>
    <w:p w:rsidR="00891C71" w:rsidRDefault="00891C71" w:rsidP="00C14833">
      <w:pPr>
        <w:widowControl w:val="0"/>
        <w:numPr>
          <w:ilvl w:val="1"/>
          <w:numId w:val="112"/>
        </w:numPr>
        <w:tabs>
          <w:tab w:val="left" w:pos="709"/>
          <w:tab w:val="left" w:pos="993"/>
        </w:tabs>
        <w:spacing w:before="120" w:after="120" w:line="240" w:lineRule="auto"/>
        <w:ind w:left="993" w:hanging="567"/>
        <w:jc w:val="both"/>
        <w:rPr>
          <w:rFonts w:ascii="Times New Roman" w:eastAsia="Times New Roman" w:hAnsi="Times New Roman" w:cs="Times New Roman"/>
          <w:b/>
        </w:rPr>
      </w:pPr>
      <w:r>
        <w:rPr>
          <w:rFonts w:ascii="Times New Roman" w:eastAsia="Times New Roman" w:hAnsi="Times New Roman" w:cs="Times New Roman"/>
          <w:bCs/>
        </w:rPr>
        <w:t>Legrövidebbút-kereső algoritmusok. (</w:t>
      </w:r>
      <w:r>
        <w:rPr>
          <w:rFonts w:ascii="Times New Roman" w:eastAsia="Times New Roman" w:hAnsi="Times New Roman" w:cs="Times New Roman"/>
          <w:bCs/>
          <w:i/>
        </w:rPr>
        <w:t>The shortest path problem.</w:t>
      </w:r>
      <w:r>
        <w:rPr>
          <w:rFonts w:ascii="Times New Roman" w:eastAsia="Times New Roman" w:hAnsi="Times New Roman" w:cs="Times New Roman"/>
          <w:bCs/>
        </w:rPr>
        <w:t>)</w:t>
      </w:r>
    </w:p>
    <w:p w:rsidR="00891C71" w:rsidRDefault="00891C71" w:rsidP="00C14833">
      <w:pPr>
        <w:widowControl w:val="0"/>
        <w:numPr>
          <w:ilvl w:val="1"/>
          <w:numId w:val="112"/>
        </w:numPr>
        <w:tabs>
          <w:tab w:val="left" w:pos="709"/>
          <w:tab w:val="left" w:pos="993"/>
        </w:tabs>
        <w:spacing w:before="120" w:after="120" w:line="240" w:lineRule="auto"/>
        <w:ind w:left="993" w:hanging="567"/>
        <w:jc w:val="both"/>
        <w:rPr>
          <w:rFonts w:ascii="Times New Roman" w:eastAsia="Times New Roman" w:hAnsi="Times New Roman" w:cs="Times New Roman"/>
          <w:b/>
        </w:rPr>
      </w:pPr>
      <w:r>
        <w:rPr>
          <w:rFonts w:ascii="Times New Roman" w:eastAsia="Times New Roman" w:hAnsi="Times New Roman" w:cs="Times New Roman"/>
          <w:bCs/>
        </w:rPr>
        <w:t>A körutazási probléma egzakt és közelítő megoldásai, a magyar módszer alkalmazása. (</w:t>
      </w:r>
      <w:r>
        <w:rPr>
          <w:rFonts w:ascii="Times New Roman" w:eastAsia="Times New Roman" w:hAnsi="Times New Roman" w:cs="Times New Roman"/>
          <w:bCs/>
          <w:i/>
        </w:rPr>
        <w:t>The travelling salesman problem and its exact and approximating solutions.</w:t>
      </w:r>
      <w:r>
        <w:rPr>
          <w:rFonts w:ascii="Times New Roman" w:eastAsia="Times New Roman" w:hAnsi="Times New Roman" w:cs="Times New Roman"/>
          <w:bCs/>
        </w:rPr>
        <w:t>)</w:t>
      </w:r>
    </w:p>
    <w:p w:rsidR="00891C71" w:rsidRDefault="00891C71" w:rsidP="00C14833">
      <w:pPr>
        <w:widowControl w:val="0"/>
        <w:numPr>
          <w:ilvl w:val="1"/>
          <w:numId w:val="112"/>
        </w:numPr>
        <w:tabs>
          <w:tab w:val="left" w:pos="709"/>
          <w:tab w:val="left" w:pos="993"/>
        </w:tabs>
        <w:spacing w:before="120" w:after="120" w:line="240" w:lineRule="auto"/>
        <w:ind w:left="993" w:hanging="567"/>
        <w:jc w:val="both"/>
        <w:rPr>
          <w:rFonts w:ascii="Times New Roman" w:eastAsia="Times New Roman" w:hAnsi="Times New Roman" w:cs="Times New Roman"/>
          <w:b/>
        </w:rPr>
      </w:pPr>
      <w:r>
        <w:rPr>
          <w:rFonts w:ascii="Times New Roman" w:eastAsia="Times New Roman" w:hAnsi="Times New Roman" w:cs="Times New Roman"/>
          <w:bCs/>
        </w:rPr>
        <w:t>Hálótervezés. (</w:t>
      </w:r>
      <w:r>
        <w:rPr>
          <w:rFonts w:ascii="Times New Roman" w:eastAsia="Times New Roman" w:hAnsi="Times New Roman" w:cs="Times New Roman"/>
          <w:bCs/>
          <w:i/>
        </w:rPr>
        <w:t>Network planning and design.</w:t>
      </w:r>
      <w:r>
        <w:rPr>
          <w:rFonts w:ascii="Times New Roman" w:eastAsia="Times New Roman" w:hAnsi="Times New Roman" w:cs="Times New Roman"/>
          <w:bCs/>
        </w:rPr>
        <w:t>)</w:t>
      </w:r>
    </w:p>
    <w:p w:rsidR="00891C71" w:rsidRDefault="00891C71" w:rsidP="00C14833">
      <w:pPr>
        <w:widowControl w:val="0"/>
        <w:numPr>
          <w:ilvl w:val="1"/>
          <w:numId w:val="112"/>
        </w:numPr>
        <w:tabs>
          <w:tab w:val="left" w:pos="709"/>
          <w:tab w:val="left" w:pos="993"/>
        </w:tabs>
        <w:spacing w:before="120" w:after="120" w:line="240" w:lineRule="auto"/>
        <w:ind w:left="993" w:hanging="567"/>
        <w:jc w:val="both"/>
        <w:rPr>
          <w:rFonts w:ascii="Times New Roman" w:eastAsia="Times New Roman" w:hAnsi="Times New Roman" w:cs="Times New Roman"/>
          <w:b/>
        </w:rPr>
      </w:pPr>
      <w:r>
        <w:rPr>
          <w:rFonts w:ascii="Times New Roman" w:eastAsia="Times New Roman" w:hAnsi="Times New Roman" w:cs="Times New Roman"/>
          <w:bCs/>
        </w:rPr>
        <w:t>Sorbanállási modellek, egy- és többcsatornás tömegkiszolgálási rendszerek és azok közlekedési alkalmazása. (</w:t>
      </w:r>
      <w:r>
        <w:rPr>
          <w:rFonts w:ascii="Times New Roman" w:eastAsia="Times New Roman" w:hAnsi="Times New Roman" w:cs="Times New Roman"/>
          <w:bCs/>
          <w:i/>
        </w:rPr>
        <w:t>Queueing theory, single and multi-server queueing models and their usage in transportation.</w:t>
      </w:r>
      <w:r>
        <w:rPr>
          <w:rFonts w:ascii="Times New Roman" w:eastAsia="Times New Roman" w:hAnsi="Times New Roman" w:cs="Times New Roman"/>
          <w:bCs/>
        </w:rPr>
        <w:t>)</w:t>
      </w:r>
    </w:p>
    <w:p w:rsidR="00891C71" w:rsidRDefault="00891C71" w:rsidP="00C14833">
      <w:pPr>
        <w:widowControl w:val="0"/>
        <w:numPr>
          <w:ilvl w:val="0"/>
          <w:numId w:val="112"/>
        </w:numPr>
        <w:tabs>
          <w:tab w:val="clear" w:pos="720"/>
          <w:tab w:val="num" w:pos="360"/>
          <w:tab w:val="num" w:pos="502"/>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 tantárgy meghirdetésének gyakorisága/a tantervben történő félévi elhelyezkedése: </w:t>
      </w:r>
      <w:r>
        <w:rPr>
          <w:rFonts w:ascii="Times New Roman" w:eastAsia="Times New Roman" w:hAnsi="Times New Roman" w:cs="Times New Roman"/>
          <w:b/>
          <w:bCs/>
        </w:rPr>
        <w:br/>
      </w:r>
      <w:r>
        <w:rPr>
          <w:rFonts w:ascii="Times New Roman" w:hAnsi="Times New Roman" w:cs="Times New Roman"/>
        </w:rPr>
        <w:t>évente / 4. félév</w:t>
      </w:r>
    </w:p>
    <w:p w:rsidR="00891C71" w:rsidRDefault="00891C71" w:rsidP="00C14833">
      <w:pPr>
        <w:widowControl w:val="0"/>
        <w:numPr>
          <w:ilvl w:val="0"/>
          <w:numId w:val="112"/>
        </w:numPr>
        <w:tabs>
          <w:tab w:val="clear" w:pos="720"/>
          <w:tab w:val="num" w:pos="502"/>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lastRenderedPageBreak/>
        <w:t>A tanórákon való részvétel követelményei, az elfogadható hiányzások mértéke, a távolmaradás pótlásának lehetősége:</w:t>
      </w:r>
      <w:r>
        <w:rPr>
          <w:rFonts w:ascii="Times New Roman" w:eastAsia="Times New Roman" w:hAnsi="Times New Roman" w:cs="Times New Roman"/>
          <w:bCs/>
        </w:rPr>
        <w:t xml:space="preserve"> A tantárgy teljesítéséhez a tanórák legalább 70%-án jelen kell lennie a hallgatónak. Az ezt meghaladó mértékű hiányzás a féléves aláírás megtagadását vonja maga után. A távollétet a hiányzást követő első foglalkozáson kell igazolnia. A hallgató köteles a mulasztott tanóra anyagát beszerezni, abból önállóan felkészülni.</w:t>
      </w:r>
    </w:p>
    <w:p w:rsidR="00891C71" w:rsidRDefault="00891C71" w:rsidP="00C14833">
      <w:pPr>
        <w:widowControl w:val="0"/>
        <w:numPr>
          <w:ilvl w:val="0"/>
          <w:numId w:val="112"/>
        </w:numPr>
        <w:tabs>
          <w:tab w:val="clear" w:pos="720"/>
          <w:tab w:val="num" w:pos="502"/>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rPr>
        <w:t>Félévközi feladatok, ismeretek ellenőrzésének rendje:</w:t>
      </w:r>
      <w:r>
        <w:rPr>
          <w:rFonts w:ascii="Times New Roman" w:eastAsia="Times New Roman" w:hAnsi="Times New Roman" w:cs="Times New Roman"/>
          <w:bCs/>
        </w:rPr>
        <w:t xml:space="preserve"> </w:t>
      </w:r>
    </w:p>
    <w:p w:rsidR="00891C71" w:rsidRDefault="00891C71" w:rsidP="0002585F">
      <w:pPr>
        <w:widowControl w:val="0"/>
        <w:spacing w:after="0" w:line="240" w:lineRule="auto"/>
        <w:ind w:left="425"/>
        <w:jc w:val="both"/>
        <w:rPr>
          <w:rFonts w:ascii="Times New Roman" w:eastAsia="Times New Roman" w:hAnsi="Times New Roman" w:cs="Times New Roman"/>
        </w:rPr>
      </w:pPr>
      <w:r>
        <w:rPr>
          <w:rFonts w:ascii="Times New Roman" w:eastAsia="Times New Roman" w:hAnsi="Times New Roman" w:cs="Times New Roman"/>
          <w:bCs/>
        </w:rPr>
        <w:t>A számonkérés a félév során három beadandó feladatsor és két zárthelyi dolgozat keretében történik. Az első dolgozat a 12.1-12.4 anyagrészeket, a második dolgozat a 12.5-12.8 anyagrészeket kéri számon</w:t>
      </w:r>
      <w:r>
        <w:rPr>
          <w:rFonts w:ascii="Times New Roman" w:eastAsia="Times New Roman" w:hAnsi="Times New Roman" w:cs="Times New Roman"/>
        </w:rPr>
        <w:t xml:space="preserve">. </w:t>
      </w:r>
    </w:p>
    <w:p w:rsidR="00891C71" w:rsidRDefault="00891C71" w:rsidP="0002585F">
      <w:pPr>
        <w:widowControl w:val="0"/>
        <w:spacing w:after="0" w:line="240" w:lineRule="auto"/>
        <w:ind w:left="425"/>
        <w:jc w:val="both"/>
        <w:rPr>
          <w:rFonts w:ascii="Times New Roman" w:eastAsia="Times New Roman" w:hAnsi="Times New Roman" w:cs="Times New Roman"/>
        </w:rPr>
      </w:pPr>
      <w:r>
        <w:rPr>
          <w:rFonts w:ascii="Times New Roman" w:eastAsia="Times New Roman" w:hAnsi="Times New Roman" w:cs="Times New Roman"/>
          <w:bCs/>
        </w:rPr>
        <w:t>A dolgozatok pótlására, javítására egyszer van lehetőség egy pótdolgozat keretében.</w:t>
      </w:r>
    </w:p>
    <w:p w:rsidR="00891C71" w:rsidRDefault="00891C71" w:rsidP="0002585F">
      <w:pPr>
        <w:widowControl w:val="0"/>
        <w:spacing w:after="0" w:line="240" w:lineRule="auto"/>
        <w:ind w:left="425"/>
        <w:jc w:val="both"/>
        <w:rPr>
          <w:rFonts w:ascii="Times New Roman" w:eastAsia="Times New Roman" w:hAnsi="Times New Roman" w:cs="Times New Roman"/>
        </w:rPr>
      </w:pPr>
      <w:r>
        <w:rPr>
          <w:rFonts w:ascii="Times New Roman" w:eastAsia="Times New Roman" w:hAnsi="Times New Roman" w:cs="Times New Roman"/>
        </w:rPr>
        <w:t>Az érdemjegy megszerzéséhez a zárthelyi dolgozatok összpontszámának vagy a pótdolgozat pontszámának több mint 50%-a és a beadandó feladatsorok összpontszámának több mint 50%-a szükséges. Az elégséges érdemjegyhez a zárthelyi dolgozat(ok) és a beadandó feladatsorok összpontszámának 51-60% szükséges, közepeshez 61-75%, jóhoz 76-90%, jeleshez 91-100%.</w:t>
      </w:r>
    </w:p>
    <w:p w:rsidR="00891C71" w:rsidRDefault="00891C71" w:rsidP="00C14833">
      <w:pPr>
        <w:widowControl w:val="0"/>
        <w:numPr>
          <w:ilvl w:val="0"/>
          <w:numId w:val="112"/>
        </w:numPr>
        <w:tabs>
          <w:tab w:val="clear" w:pos="720"/>
          <w:tab w:val="num" w:pos="502"/>
        </w:tabs>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Az értékelés, az aláírás és a kreditek megszerzésének pontos feltételei: </w:t>
      </w:r>
    </w:p>
    <w:p w:rsidR="00891C71" w:rsidRDefault="00891C71" w:rsidP="00C14833">
      <w:pPr>
        <w:widowControl w:val="0"/>
        <w:numPr>
          <w:ilvl w:val="1"/>
          <w:numId w:val="112"/>
        </w:numPr>
        <w:tabs>
          <w:tab w:val="left" w:pos="709"/>
          <w:tab w:val="left" w:pos="993"/>
        </w:tabs>
        <w:spacing w:before="120" w:after="120" w:line="240" w:lineRule="auto"/>
        <w:ind w:left="425" w:firstLine="0"/>
        <w:jc w:val="both"/>
        <w:rPr>
          <w:rFonts w:ascii="Times New Roman" w:eastAsia="Times New Roman" w:hAnsi="Times New Roman" w:cs="Times New Roman"/>
        </w:rPr>
      </w:pPr>
      <w:r>
        <w:rPr>
          <w:rFonts w:ascii="Times New Roman" w:eastAsia="Times New Roman" w:hAnsi="Times New Roman" w:cs="Times New Roman"/>
          <w:b/>
        </w:rPr>
        <w:t>Az aláírás megszerzésének feltételei:</w:t>
      </w:r>
      <w:r>
        <w:rPr>
          <w:rFonts w:ascii="Times New Roman" w:eastAsia="Times New Roman" w:hAnsi="Times New Roman" w:cs="Times New Roman"/>
        </w:rPr>
        <w:t xml:space="preserve"> Az aláírás megszerzésének feltétele a 14. pontban meghatározott arányú részvétel a foglalkozásokon valamint a 15. pontban meghatározott félévközi feladatok legalább elégséges teljesítése.</w:t>
      </w:r>
    </w:p>
    <w:p w:rsidR="00891C71" w:rsidRDefault="00891C71" w:rsidP="00C14833">
      <w:pPr>
        <w:widowControl w:val="0"/>
        <w:numPr>
          <w:ilvl w:val="1"/>
          <w:numId w:val="112"/>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Az értékelés:</w:t>
      </w:r>
      <w:r>
        <w:rPr>
          <w:rFonts w:ascii="Times New Roman" w:eastAsia="Times New Roman" w:hAnsi="Times New Roman" w:cs="Times New Roman"/>
        </w:rPr>
        <w:t xml:space="preserve"> gyakorlati jegy</w:t>
      </w:r>
    </w:p>
    <w:p w:rsidR="00891C71" w:rsidRDefault="00891C71" w:rsidP="00C14833">
      <w:pPr>
        <w:widowControl w:val="0"/>
        <w:numPr>
          <w:ilvl w:val="1"/>
          <w:numId w:val="112"/>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 kreditek megszerzésének feltételei:</w:t>
      </w:r>
      <w:r>
        <w:rPr>
          <w:rFonts w:ascii="Times New Roman" w:eastAsia="Times New Roman" w:hAnsi="Times New Roman" w:cs="Times New Roman"/>
        </w:rPr>
        <w:t xml:space="preserve"> A kreditek megszerzésének feltétele az aláírás megszerzése és legalább elégséges érdemjegy.</w:t>
      </w:r>
    </w:p>
    <w:p w:rsidR="00891C71" w:rsidRDefault="00891C71" w:rsidP="00C14833">
      <w:pPr>
        <w:widowControl w:val="0"/>
        <w:numPr>
          <w:ilvl w:val="0"/>
          <w:numId w:val="112"/>
        </w:numPr>
        <w:tabs>
          <w:tab w:val="clear" w:pos="720"/>
          <w:tab w:val="num" w:pos="360"/>
          <w:tab w:val="num" w:pos="502"/>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Irodalomjegyzék:</w:t>
      </w:r>
    </w:p>
    <w:p w:rsidR="00891C71" w:rsidRDefault="00891C71" w:rsidP="00C14833">
      <w:pPr>
        <w:widowControl w:val="0"/>
        <w:numPr>
          <w:ilvl w:val="1"/>
          <w:numId w:val="112"/>
        </w:numPr>
        <w:tabs>
          <w:tab w:val="left" w:pos="567"/>
          <w:tab w:val="left" w:pos="851"/>
          <w:tab w:val="num" w:pos="2069"/>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Kötelező irodalom:</w:t>
      </w:r>
    </w:p>
    <w:p w:rsidR="00891C71" w:rsidRDefault="00891C71" w:rsidP="00980876">
      <w:pPr>
        <w:widowControl w:val="0"/>
        <w:numPr>
          <w:ilvl w:val="0"/>
          <w:numId w:val="747"/>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Szászi Gábor, Tóth Bence: Döntéselőkészítési módszerek – Alapfeladatok és alkalmazások. Dialóg Campus Kiadó, Budapest, 2019.</w:t>
      </w:r>
    </w:p>
    <w:p w:rsidR="00891C71" w:rsidRDefault="00891C71" w:rsidP="00980876">
      <w:pPr>
        <w:widowControl w:val="0"/>
        <w:numPr>
          <w:ilvl w:val="0"/>
          <w:numId w:val="747"/>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Gáspár László, Temesi József: Lineáris programozási gyakorlatok. Tankönyvkiadó, Budapest, 1987. ISBN: 963182893x</w:t>
      </w:r>
    </w:p>
    <w:p w:rsidR="00891C71" w:rsidRDefault="00891C71" w:rsidP="00980876">
      <w:pPr>
        <w:widowControl w:val="0"/>
        <w:numPr>
          <w:ilvl w:val="0"/>
          <w:numId w:val="747"/>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Scharnitzky Viktor: Mátrixszámítás. Műszaki Könyvkiadó, Budapest, 2008. ISBN: 9789631630053</w:t>
      </w:r>
    </w:p>
    <w:p w:rsidR="00891C71" w:rsidRDefault="00891C71" w:rsidP="00C14833">
      <w:pPr>
        <w:widowControl w:val="0"/>
        <w:numPr>
          <w:ilvl w:val="1"/>
          <w:numId w:val="112"/>
        </w:numPr>
        <w:tabs>
          <w:tab w:val="num" w:pos="567"/>
          <w:tab w:val="num" w:pos="2069"/>
        </w:tabs>
        <w:spacing w:before="120" w:after="120" w:line="240" w:lineRule="auto"/>
        <w:ind w:left="993" w:hanging="709"/>
        <w:jc w:val="both"/>
        <w:rPr>
          <w:rFonts w:ascii="Times New Roman" w:eastAsia="Times New Roman" w:hAnsi="Times New Roman" w:cs="Times New Roman"/>
          <w:b/>
          <w:bCs/>
        </w:rPr>
      </w:pPr>
      <w:r>
        <w:rPr>
          <w:rFonts w:ascii="Times New Roman" w:eastAsia="Times New Roman" w:hAnsi="Times New Roman" w:cs="Times New Roman"/>
          <w:b/>
          <w:bCs/>
        </w:rPr>
        <w:t>Ajánlott irodalom:</w:t>
      </w:r>
    </w:p>
    <w:p w:rsidR="00891C71" w:rsidRDefault="00891C71" w:rsidP="00980876">
      <w:pPr>
        <w:pStyle w:val="Listaszerbekezds"/>
        <w:widowControl w:val="0"/>
        <w:numPr>
          <w:ilvl w:val="0"/>
          <w:numId w:val="748"/>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Wayne L. Winston: Operations Research Applications and Algorithms, Brooks/Cole Thomson Learning, Belmont, CA, USA, 2003. ISBN: 9780534380588</w:t>
      </w:r>
    </w:p>
    <w:p w:rsidR="00891C71" w:rsidRDefault="00891C71" w:rsidP="00980876">
      <w:pPr>
        <w:pStyle w:val="Listaszerbekezds"/>
        <w:widowControl w:val="0"/>
        <w:numPr>
          <w:ilvl w:val="0"/>
          <w:numId w:val="748"/>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Dr. Tóth Irén (szerk): Operációkutatás I. Nemzeti Tankönyvkiadó, Budapest, 1999. ISBN: 9789631943788</w:t>
      </w:r>
    </w:p>
    <w:p w:rsidR="00891C71" w:rsidRDefault="00891C71" w:rsidP="00980876">
      <w:pPr>
        <w:pStyle w:val="Listaszerbekezds"/>
        <w:widowControl w:val="0"/>
        <w:numPr>
          <w:ilvl w:val="0"/>
          <w:numId w:val="748"/>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Dr. Csernyák László (szerk.): Operációkutatás II. Nemzeti Tankönyvkiadó, Budapest, 1999. ISBN: 9631896544</w:t>
      </w:r>
    </w:p>
    <w:p w:rsidR="00AA1F6A" w:rsidRDefault="00AA1F6A" w:rsidP="00891C71">
      <w:pPr>
        <w:widowControl w:val="0"/>
        <w:spacing w:before="120" w:after="120" w:line="240" w:lineRule="auto"/>
        <w:jc w:val="both"/>
        <w:rPr>
          <w:rFonts w:ascii="Times New Roman" w:eastAsia="Times New Roman" w:hAnsi="Times New Roman" w:cs="Times New Roman"/>
          <w:bCs/>
        </w:rPr>
      </w:pPr>
    </w:p>
    <w:p w:rsidR="00891C71" w:rsidRDefault="00891C71" w:rsidP="00AA1F6A">
      <w:pPr>
        <w:widowControl w:val="0"/>
        <w:spacing w:before="120" w:after="120" w:line="240" w:lineRule="auto"/>
        <w:ind w:firstLine="360"/>
        <w:jc w:val="both"/>
        <w:rPr>
          <w:rFonts w:ascii="Times New Roman" w:eastAsia="Times New Roman" w:hAnsi="Times New Roman" w:cs="Times New Roman"/>
          <w:bCs/>
        </w:rPr>
      </w:pPr>
      <w:r>
        <w:rPr>
          <w:rFonts w:ascii="Times New Roman" w:eastAsia="Times New Roman" w:hAnsi="Times New Roman" w:cs="Times New Roman"/>
          <w:bCs/>
        </w:rPr>
        <w:t>Budapest, 2020. január 31.</w:t>
      </w:r>
    </w:p>
    <w:p w:rsidR="00891C71" w:rsidRDefault="00891C71" w:rsidP="00891C71">
      <w:pPr>
        <w:widowControl w:val="0"/>
        <w:spacing w:before="120" w:after="120" w:line="240" w:lineRule="auto"/>
        <w:jc w:val="both"/>
        <w:rPr>
          <w:rFonts w:ascii="Times New Roman" w:eastAsia="Times New Roman" w:hAnsi="Times New Roman" w:cs="Times New Roman"/>
          <w:bCs/>
        </w:rPr>
      </w:pPr>
    </w:p>
    <w:p w:rsidR="00891C71" w:rsidRPr="00891C71" w:rsidRDefault="00891C71" w:rsidP="00891C71">
      <w:pPr>
        <w:widowControl w:val="0"/>
        <w:spacing w:after="0" w:line="240" w:lineRule="auto"/>
        <w:jc w:val="right"/>
        <w:rPr>
          <w:rFonts w:ascii="Times New Roman" w:eastAsia="Times New Roman" w:hAnsi="Times New Roman" w:cs="Times New Roman"/>
          <w:b/>
          <w:bCs/>
        </w:rPr>
      </w:pPr>
      <w:r w:rsidRPr="00891C71">
        <w:rPr>
          <w:rFonts w:ascii="Times New Roman" w:eastAsia="Times New Roman" w:hAnsi="Times New Roman" w:cs="Times New Roman"/>
          <w:b/>
          <w:bCs/>
        </w:rPr>
        <w:t xml:space="preserve">Dr. Tóth Bence, PhD </w:t>
      </w:r>
    </w:p>
    <w:p w:rsidR="00891C71" w:rsidRDefault="00891C71" w:rsidP="00891C71">
      <w:pPr>
        <w:widowControl w:val="0"/>
        <w:spacing w:after="0" w:line="240" w:lineRule="auto"/>
        <w:jc w:val="right"/>
        <w:rPr>
          <w:rFonts w:ascii="Times New Roman" w:eastAsia="Times New Roman" w:hAnsi="Times New Roman" w:cs="Times New Roman"/>
          <w:bCs/>
        </w:rPr>
      </w:pPr>
      <w:r>
        <w:rPr>
          <w:rFonts w:ascii="Times New Roman" w:eastAsia="Times New Roman" w:hAnsi="Times New Roman" w:cs="Times New Roman"/>
          <w:bCs/>
        </w:rPr>
        <w:t>adjunktus, sk.</w:t>
      </w:r>
    </w:p>
    <w:p w:rsidR="00891C71" w:rsidRDefault="00891C71">
      <w:pPr>
        <w:spacing w:after="200" w:line="276" w:lineRule="auto"/>
        <w:rPr>
          <w:rFonts w:ascii="Times New Roman" w:hAnsi="Times New Roman" w:cs="Times New Roman"/>
          <w:sz w:val="24"/>
        </w:rPr>
      </w:pPr>
    </w:p>
    <w:p w:rsidR="00891C71" w:rsidRDefault="00891C71">
      <w:pPr>
        <w:spacing w:after="200" w:line="276" w:lineRule="auto"/>
        <w:rPr>
          <w:rFonts w:ascii="Times New Roman" w:hAnsi="Times New Roman" w:cs="Times New Roman"/>
          <w:sz w:val="24"/>
        </w:rPr>
      </w:pPr>
      <w:r>
        <w:rPr>
          <w:rFonts w:ascii="Times New Roman" w:hAnsi="Times New Roman" w:cs="Times New Roman"/>
          <w:sz w:val="24"/>
        </w:rPr>
        <w:br w:type="page"/>
      </w:r>
    </w:p>
    <w:tbl>
      <w:tblPr>
        <w:tblW w:w="9072" w:type="dxa"/>
        <w:tblInd w:w="113" w:type="dxa"/>
        <w:tblLook w:val="01E0" w:firstRow="1" w:lastRow="1" w:firstColumn="1" w:lastColumn="1" w:noHBand="0" w:noVBand="0"/>
      </w:tblPr>
      <w:tblGrid>
        <w:gridCol w:w="4855"/>
        <w:gridCol w:w="1620"/>
        <w:gridCol w:w="2597"/>
      </w:tblGrid>
      <w:tr w:rsidR="00D5726C" w:rsidTr="00D5726C">
        <w:tc>
          <w:tcPr>
            <w:tcW w:w="4855" w:type="dxa"/>
            <w:tcBorders>
              <w:top w:val="nil"/>
              <w:left w:val="nil"/>
              <w:bottom w:val="single" w:sz="4" w:space="0" w:color="auto"/>
              <w:right w:val="nil"/>
            </w:tcBorders>
            <w:hideMark/>
          </w:tcPr>
          <w:p w:rsidR="00D5726C" w:rsidRDefault="00D5726C">
            <w:pPr>
              <w:spacing w:after="0" w:line="240" w:lineRule="auto"/>
              <w:jc w:val="center"/>
              <w:rPr>
                <w:rFonts w:ascii="Times New Roman" w:eastAsia="Times New Roman" w:hAnsi="Times New Roman" w:cs="Times New Roman"/>
                <w:b/>
                <w:smallCaps/>
                <w:lang w:eastAsia="hu-HU"/>
              </w:rPr>
            </w:pPr>
            <w:r>
              <w:rPr>
                <w:rFonts w:ascii="Times New Roman" w:eastAsia="Times New Roman" w:hAnsi="Times New Roman" w:cs="Times New Roman"/>
                <w:b/>
                <w:smallCaps/>
                <w:lang w:eastAsia="hu-HU"/>
              </w:rPr>
              <w:lastRenderedPageBreak/>
              <w:t>Nemzeti Közszolgálati Egyetem</w:t>
            </w:r>
          </w:p>
        </w:tc>
        <w:tc>
          <w:tcPr>
            <w:tcW w:w="1620" w:type="dxa"/>
          </w:tcPr>
          <w:p w:rsidR="00D5726C" w:rsidRDefault="00D5726C">
            <w:pPr>
              <w:spacing w:after="0" w:line="240" w:lineRule="auto"/>
              <w:jc w:val="both"/>
              <w:rPr>
                <w:rFonts w:ascii="Times New Roman" w:eastAsia="Times New Roman" w:hAnsi="Times New Roman" w:cs="Times New Roman"/>
                <w:lang w:eastAsia="hu-HU"/>
              </w:rPr>
            </w:pPr>
          </w:p>
        </w:tc>
        <w:tc>
          <w:tcPr>
            <w:tcW w:w="2597" w:type="dxa"/>
          </w:tcPr>
          <w:p w:rsidR="00D5726C" w:rsidRDefault="00D5726C">
            <w:pPr>
              <w:spacing w:after="0" w:line="240" w:lineRule="auto"/>
              <w:jc w:val="right"/>
              <w:rPr>
                <w:rFonts w:ascii="Times New Roman" w:eastAsia="Times New Roman" w:hAnsi="Times New Roman" w:cs="Times New Roman"/>
                <w:lang w:eastAsia="hu-HU"/>
              </w:rPr>
            </w:pPr>
          </w:p>
        </w:tc>
      </w:tr>
      <w:tr w:rsidR="00D5726C" w:rsidTr="00D5726C">
        <w:tc>
          <w:tcPr>
            <w:tcW w:w="4855" w:type="dxa"/>
            <w:tcBorders>
              <w:top w:val="single" w:sz="4" w:space="0" w:color="auto"/>
              <w:left w:val="nil"/>
              <w:bottom w:val="nil"/>
              <w:right w:val="nil"/>
            </w:tcBorders>
            <w:hideMark/>
          </w:tcPr>
          <w:p w:rsidR="00D5726C" w:rsidRDefault="00D5726C">
            <w:pPr>
              <w:spacing w:after="0" w:line="240" w:lineRule="auto"/>
              <w:jc w:val="center"/>
              <w:rPr>
                <w:rFonts w:ascii="Times New Roman" w:eastAsia="Times New Roman" w:hAnsi="Times New Roman" w:cs="Times New Roman"/>
                <w:b/>
                <w:lang w:eastAsia="hu-HU"/>
              </w:rPr>
            </w:pPr>
            <w:r>
              <w:rPr>
                <w:rFonts w:ascii="Times New Roman" w:eastAsia="Times New Roman" w:hAnsi="Times New Roman" w:cs="Times New Roman"/>
                <w:b/>
                <w:lang w:eastAsia="hu-HU"/>
              </w:rPr>
              <w:t>Hadtudományi és Honvédtisztképző Kar</w:t>
            </w:r>
          </w:p>
        </w:tc>
        <w:tc>
          <w:tcPr>
            <w:tcW w:w="1620" w:type="dxa"/>
          </w:tcPr>
          <w:p w:rsidR="00D5726C" w:rsidRDefault="00D5726C">
            <w:pPr>
              <w:spacing w:after="0" w:line="240" w:lineRule="auto"/>
              <w:jc w:val="both"/>
              <w:rPr>
                <w:rFonts w:ascii="Times New Roman" w:eastAsia="Times New Roman" w:hAnsi="Times New Roman" w:cs="Times New Roman"/>
                <w:lang w:eastAsia="hu-HU"/>
              </w:rPr>
            </w:pPr>
          </w:p>
        </w:tc>
        <w:tc>
          <w:tcPr>
            <w:tcW w:w="2597" w:type="dxa"/>
          </w:tcPr>
          <w:p w:rsidR="00D5726C" w:rsidRDefault="00D5726C">
            <w:pPr>
              <w:spacing w:after="0" w:line="240" w:lineRule="auto"/>
              <w:jc w:val="both"/>
              <w:rPr>
                <w:rFonts w:ascii="Times New Roman" w:eastAsia="Times New Roman" w:hAnsi="Times New Roman" w:cs="Times New Roman"/>
                <w:lang w:eastAsia="hu-HU"/>
              </w:rPr>
            </w:pPr>
          </w:p>
        </w:tc>
      </w:tr>
    </w:tbl>
    <w:p w:rsidR="00D5726C" w:rsidRDefault="00D5726C" w:rsidP="00D5726C">
      <w:pPr>
        <w:widowControl w:val="0"/>
        <w:spacing w:before="120" w:after="120" w:line="240" w:lineRule="auto"/>
        <w:ind w:left="426" w:hanging="142"/>
        <w:jc w:val="center"/>
        <w:rPr>
          <w:rFonts w:ascii="Times New Roman" w:eastAsia="Times New Roman" w:hAnsi="Times New Roman" w:cs="Times New Roman"/>
          <w:b/>
          <w:bCs/>
        </w:rPr>
      </w:pPr>
    </w:p>
    <w:p w:rsidR="00D5726C" w:rsidRDefault="00D5726C" w:rsidP="00D5726C">
      <w:pPr>
        <w:widowControl w:val="0"/>
        <w:spacing w:before="120" w:after="120" w:line="240" w:lineRule="auto"/>
        <w:ind w:left="426" w:hanging="142"/>
        <w:jc w:val="center"/>
        <w:rPr>
          <w:rFonts w:ascii="Times New Roman" w:eastAsia="Times New Roman" w:hAnsi="Times New Roman" w:cs="Times New Roman"/>
          <w:b/>
          <w:bCs/>
        </w:rPr>
      </w:pPr>
      <w:r>
        <w:rPr>
          <w:rFonts w:ascii="Times New Roman" w:eastAsia="Times New Roman" w:hAnsi="Times New Roman" w:cs="Times New Roman"/>
          <w:b/>
          <w:bCs/>
        </w:rPr>
        <w:t>TANTÁRGYI PROGRAM</w:t>
      </w:r>
    </w:p>
    <w:p w:rsidR="00D5726C" w:rsidRDefault="00D5726C" w:rsidP="00C14833">
      <w:pPr>
        <w:widowControl w:val="0"/>
        <w:numPr>
          <w:ilvl w:val="0"/>
          <w:numId w:val="113"/>
        </w:numPr>
        <w:tabs>
          <w:tab w:val="clear" w:pos="720"/>
          <w:tab w:val="num" w:pos="502"/>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 tantárgy kódja: </w:t>
      </w:r>
      <w:r>
        <w:rPr>
          <w:rFonts w:ascii="Times New Roman" w:eastAsia="Times New Roman" w:hAnsi="Times New Roman" w:cs="Times New Roman"/>
          <w:bCs/>
        </w:rPr>
        <w:t>HK925A141</w:t>
      </w:r>
    </w:p>
    <w:p w:rsidR="00D5726C" w:rsidRDefault="00D5726C" w:rsidP="00C14833">
      <w:pPr>
        <w:widowControl w:val="0"/>
        <w:numPr>
          <w:ilvl w:val="0"/>
          <w:numId w:val="113"/>
        </w:numPr>
        <w:tabs>
          <w:tab w:val="clear" w:pos="720"/>
          <w:tab w:val="num" w:pos="502"/>
          <w:tab w:val="num" w:pos="567"/>
        </w:tabs>
        <w:spacing w:before="120" w:after="120" w:line="240" w:lineRule="auto"/>
        <w:ind w:left="426" w:hanging="142"/>
        <w:jc w:val="both"/>
        <w:rPr>
          <w:rFonts w:ascii="Times New Roman" w:eastAsia="Times New Roman" w:hAnsi="Times New Roman" w:cs="Times New Roman"/>
          <w:b/>
          <w:bCs/>
          <w:lang w:val="en-GB"/>
        </w:rPr>
      </w:pPr>
      <w:r>
        <w:rPr>
          <w:rFonts w:ascii="Times New Roman" w:eastAsia="Times New Roman" w:hAnsi="Times New Roman" w:cs="Times New Roman"/>
          <w:b/>
          <w:bCs/>
        </w:rPr>
        <w:t>A tantárgy megnevezése (magyarul):</w:t>
      </w:r>
      <w:r>
        <w:rPr>
          <w:rFonts w:ascii="Times New Roman" w:eastAsia="Times New Roman" w:hAnsi="Times New Roman" w:cs="Times New Roman"/>
          <w:bCs/>
        </w:rPr>
        <w:t xml:space="preserve"> Mechanika LOG 2</w:t>
      </w:r>
    </w:p>
    <w:p w:rsidR="00D5726C" w:rsidRDefault="00D5726C" w:rsidP="00C14833">
      <w:pPr>
        <w:widowControl w:val="0"/>
        <w:numPr>
          <w:ilvl w:val="0"/>
          <w:numId w:val="113"/>
        </w:numPr>
        <w:tabs>
          <w:tab w:val="clear" w:pos="720"/>
          <w:tab w:val="num" w:pos="502"/>
          <w:tab w:val="num" w:pos="567"/>
        </w:tabs>
        <w:spacing w:before="120" w:after="120" w:line="240" w:lineRule="auto"/>
        <w:ind w:left="426" w:hanging="142"/>
        <w:jc w:val="both"/>
        <w:rPr>
          <w:rFonts w:ascii="Times New Roman" w:eastAsia="Times New Roman" w:hAnsi="Times New Roman" w:cs="Times New Roman"/>
          <w:b/>
          <w:bCs/>
          <w:lang w:val="en-GB"/>
        </w:rPr>
      </w:pPr>
      <w:r>
        <w:rPr>
          <w:rFonts w:ascii="Times New Roman" w:eastAsia="Times New Roman" w:hAnsi="Times New Roman" w:cs="Times New Roman"/>
          <w:b/>
          <w:bCs/>
        </w:rPr>
        <w:t>A tantárgy megnevezése (angolul):</w:t>
      </w:r>
      <w:r>
        <w:rPr>
          <w:rFonts w:ascii="Times New Roman" w:eastAsia="Times New Roman" w:hAnsi="Times New Roman" w:cs="Times New Roman"/>
          <w:bCs/>
        </w:rPr>
        <w:t xml:space="preserve"> Mechanics LOG 2</w:t>
      </w:r>
    </w:p>
    <w:p w:rsidR="00D5726C" w:rsidRDefault="00D5726C" w:rsidP="00C14833">
      <w:pPr>
        <w:widowControl w:val="0"/>
        <w:numPr>
          <w:ilvl w:val="0"/>
          <w:numId w:val="113"/>
        </w:numPr>
        <w:tabs>
          <w:tab w:val="clear" w:pos="720"/>
          <w:tab w:val="num" w:pos="502"/>
          <w:tab w:val="num" w:pos="567"/>
        </w:tabs>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Kreditérték és képzési karakter: </w:t>
      </w:r>
    </w:p>
    <w:p w:rsidR="00D5726C" w:rsidRDefault="00D5726C" w:rsidP="00C14833">
      <w:pPr>
        <w:pStyle w:val="Listaszerbekezds"/>
        <w:widowControl w:val="0"/>
        <w:numPr>
          <w:ilvl w:val="1"/>
          <w:numId w:val="113"/>
        </w:numPr>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2 kredit</w:t>
      </w:r>
    </w:p>
    <w:p w:rsidR="00D5726C" w:rsidRDefault="00D5726C" w:rsidP="00C14833">
      <w:pPr>
        <w:pStyle w:val="Listaszerbekezds"/>
        <w:widowControl w:val="0"/>
        <w:numPr>
          <w:ilvl w:val="1"/>
          <w:numId w:val="113"/>
        </w:numPr>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a tantárgy elméleti vagy gyakorlati jellegének mértéke: 50 % gyakorlat, 50 % elmélet</w:t>
      </w:r>
    </w:p>
    <w:p w:rsidR="00D5726C" w:rsidRDefault="00D5726C" w:rsidP="00C14833">
      <w:pPr>
        <w:widowControl w:val="0"/>
        <w:numPr>
          <w:ilvl w:val="0"/>
          <w:numId w:val="113"/>
        </w:numPr>
        <w:tabs>
          <w:tab w:val="clear" w:pos="720"/>
          <w:tab w:val="num" w:pos="502"/>
        </w:tabs>
        <w:spacing w:before="120" w:after="120" w:line="240" w:lineRule="auto"/>
        <w:ind w:left="426" w:hanging="142"/>
        <w:jc w:val="both"/>
        <w:rPr>
          <w:rFonts w:ascii="Times New Roman" w:eastAsia="Times New Roman" w:hAnsi="Times New Roman" w:cs="Times New Roman"/>
          <w:bCs/>
          <w:color w:val="92D050"/>
        </w:rPr>
      </w:pPr>
      <w:r>
        <w:rPr>
          <w:rFonts w:ascii="Times New Roman" w:eastAsia="Times New Roman" w:hAnsi="Times New Roman" w:cs="Times New Roman"/>
          <w:b/>
          <w:bCs/>
        </w:rPr>
        <w:t>A szak(ok), szakirányok/specializációk megnevezése (ahol oktatják):</w:t>
      </w:r>
      <w:r>
        <w:rPr>
          <w:rFonts w:ascii="Times New Roman" w:eastAsia="Times New Roman" w:hAnsi="Times New Roman" w:cs="Times New Roman"/>
          <w:bCs/>
        </w:rPr>
        <w:t xml:space="preserve"> Katonai logisztika alapszak</w:t>
      </w:r>
    </w:p>
    <w:p w:rsidR="00D5726C" w:rsidRDefault="00D5726C" w:rsidP="00C14833">
      <w:pPr>
        <w:widowControl w:val="0"/>
        <w:numPr>
          <w:ilvl w:val="0"/>
          <w:numId w:val="113"/>
        </w:numPr>
        <w:tabs>
          <w:tab w:val="clear" w:pos="720"/>
          <w:tab w:val="num" w:pos="502"/>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Az oktatásért felelős oktatási szervezeti egység megnevezése: </w:t>
      </w:r>
      <w:r>
        <w:rPr>
          <w:rFonts w:ascii="Times New Roman" w:eastAsia="Times New Roman" w:hAnsi="Times New Roman" w:cs="Times New Roman"/>
          <w:bCs/>
        </w:rPr>
        <w:t>Természettudományi Tanszék</w:t>
      </w:r>
    </w:p>
    <w:p w:rsidR="00D5726C" w:rsidRDefault="00D5726C" w:rsidP="00C14833">
      <w:pPr>
        <w:widowControl w:val="0"/>
        <w:numPr>
          <w:ilvl w:val="0"/>
          <w:numId w:val="113"/>
        </w:numPr>
        <w:tabs>
          <w:tab w:val="clear" w:pos="720"/>
          <w:tab w:val="num" w:pos="502"/>
          <w:tab w:val="num" w:pos="567"/>
        </w:tabs>
        <w:spacing w:before="120" w:after="120" w:line="240" w:lineRule="auto"/>
        <w:ind w:left="426" w:hanging="142"/>
        <w:jc w:val="both"/>
        <w:rPr>
          <w:rFonts w:ascii="Times New Roman" w:eastAsia="Times New Roman" w:hAnsi="Times New Roman" w:cs="Times New Roman"/>
          <w:bCs/>
          <w:spacing w:val="-2"/>
        </w:rPr>
      </w:pPr>
      <w:r>
        <w:rPr>
          <w:rFonts w:ascii="Times New Roman" w:eastAsia="Times New Roman" w:hAnsi="Times New Roman" w:cs="Times New Roman"/>
          <w:b/>
          <w:bCs/>
          <w:spacing w:val="-2"/>
        </w:rPr>
        <w:t>A tantárgyfelelős oktató neve, beosztása, tudományos fokozata:</w:t>
      </w:r>
      <w:r>
        <w:rPr>
          <w:rFonts w:ascii="Times New Roman" w:eastAsia="Times New Roman" w:hAnsi="Times New Roman" w:cs="Times New Roman"/>
          <w:bCs/>
          <w:spacing w:val="-2"/>
        </w:rPr>
        <w:t xml:space="preserve"> Dr. Tóth Bence, adjunktus, PhD</w:t>
      </w:r>
    </w:p>
    <w:p w:rsidR="00D5726C" w:rsidRDefault="00D5726C" w:rsidP="00C14833">
      <w:pPr>
        <w:widowControl w:val="0"/>
        <w:numPr>
          <w:ilvl w:val="0"/>
          <w:numId w:val="113"/>
        </w:numPr>
        <w:tabs>
          <w:tab w:val="clear" w:pos="720"/>
          <w:tab w:val="num" w:pos="502"/>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tanórák száma és típusa</w:t>
      </w:r>
    </w:p>
    <w:p w:rsidR="00D5726C" w:rsidRDefault="00D5726C" w:rsidP="00C14833">
      <w:pPr>
        <w:widowControl w:val="0"/>
        <w:numPr>
          <w:ilvl w:val="1"/>
          <w:numId w:val="113"/>
        </w:numPr>
        <w:tabs>
          <w:tab w:val="num" w:pos="709"/>
          <w:tab w:val="num" w:pos="2069"/>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össz óraszám/félév:</w:t>
      </w:r>
    </w:p>
    <w:p w:rsidR="00D5726C" w:rsidRDefault="00D5726C" w:rsidP="00C14833">
      <w:pPr>
        <w:widowControl w:val="0"/>
        <w:numPr>
          <w:ilvl w:val="2"/>
          <w:numId w:val="113"/>
        </w:numPr>
        <w:tabs>
          <w:tab w:val="clear" w:pos="1800"/>
          <w:tab w:val="num" w:pos="709"/>
        </w:tabs>
        <w:spacing w:after="0" w:line="240" w:lineRule="auto"/>
        <w:ind w:left="1134" w:hanging="425"/>
        <w:jc w:val="both"/>
        <w:rPr>
          <w:rFonts w:ascii="Times New Roman" w:eastAsia="Times New Roman" w:hAnsi="Times New Roman" w:cs="Times New Roman"/>
          <w:bCs/>
        </w:rPr>
      </w:pPr>
      <w:r>
        <w:rPr>
          <w:rFonts w:ascii="Times New Roman" w:eastAsia="Times New Roman" w:hAnsi="Times New Roman" w:cs="Times New Roman"/>
          <w:bCs/>
        </w:rPr>
        <w:t>nappali munkarend: 28 (14 EA + 0 SZ + 14 GY)</w:t>
      </w:r>
    </w:p>
    <w:p w:rsidR="00D5726C" w:rsidRDefault="00D5726C" w:rsidP="00C14833">
      <w:pPr>
        <w:widowControl w:val="0"/>
        <w:numPr>
          <w:ilvl w:val="2"/>
          <w:numId w:val="113"/>
        </w:numPr>
        <w:tabs>
          <w:tab w:val="clear" w:pos="1800"/>
          <w:tab w:val="num" w:pos="709"/>
        </w:tabs>
        <w:spacing w:after="0" w:line="240" w:lineRule="auto"/>
        <w:ind w:left="1134" w:hanging="425"/>
        <w:jc w:val="both"/>
        <w:rPr>
          <w:rFonts w:ascii="Times New Roman" w:eastAsia="Times New Roman" w:hAnsi="Times New Roman" w:cs="Times New Roman"/>
          <w:bCs/>
        </w:rPr>
      </w:pPr>
      <w:r>
        <w:rPr>
          <w:rFonts w:ascii="Times New Roman" w:eastAsia="Times New Roman" w:hAnsi="Times New Roman" w:cs="Times New Roman"/>
          <w:bCs/>
        </w:rPr>
        <w:t>levelező munkarend: 0 (0 EA + 0 SZ + 0 GY)</w:t>
      </w:r>
    </w:p>
    <w:p w:rsidR="00D5726C" w:rsidRDefault="00D5726C" w:rsidP="00C14833">
      <w:pPr>
        <w:widowControl w:val="0"/>
        <w:numPr>
          <w:ilvl w:val="1"/>
          <w:numId w:val="113"/>
        </w:numPr>
        <w:tabs>
          <w:tab w:val="num" w:pos="709"/>
          <w:tab w:val="num" w:pos="2069"/>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heti óraszám - nappali munkarend: 1 + 1</w:t>
      </w:r>
    </w:p>
    <w:p w:rsidR="00D5726C" w:rsidRDefault="00D5726C" w:rsidP="00C14833">
      <w:pPr>
        <w:widowControl w:val="0"/>
        <w:numPr>
          <w:ilvl w:val="1"/>
          <w:numId w:val="113"/>
        </w:numPr>
        <w:tabs>
          <w:tab w:val="num" w:pos="709"/>
          <w:tab w:val="num" w:pos="2069"/>
        </w:tabs>
        <w:spacing w:before="120" w:after="120" w:line="240" w:lineRule="auto"/>
        <w:ind w:left="851" w:hanging="425"/>
        <w:jc w:val="both"/>
        <w:rPr>
          <w:rFonts w:ascii="Times New Roman" w:eastAsia="Times New Roman" w:hAnsi="Times New Roman" w:cs="Times New Roman"/>
          <w:bCs/>
        </w:rPr>
      </w:pPr>
      <w:r>
        <w:rPr>
          <w:rFonts w:ascii="Times New Roman" w:hAnsi="Times New Roman" w:cs="Times New Roman"/>
        </w:rPr>
        <w:t>Az ismeret átadásában alkalmazandó további sajátos módok, jellemzők: nincsenek</w:t>
      </w:r>
    </w:p>
    <w:p w:rsidR="00D5726C" w:rsidRDefault="00D5726C" w:rsidP="00C14833">
      <w:pPr>
        <w:widowControl w:val="0"/>
        <w:numPr>
          <w:ilvl w:val="0"/>
          <w:numId w:val="113"/>
        </w:numPr>
        <w:tabs>
          <w:tab w:val="clear" w:pos="720"/>
          <w:tab w:val="num" w:pos="502"/>
        </w:tabs>
        <w:spacing w:before="120" w:after="120" w:line="240" w:lineRule="auto"/>
        <w:ind w:left="502"/>
        <w:jc w:val="both"/>
        <w:rPr>
          <w:rFonts w:ascii="Times New Roman" w:eastAsia="Times New Roman" w:hAnsi="Times New Roman" w:cs="Times New Roman"/>
          <w:bCs/>
        </w:rPr>
      </w:pPr>
      <w:r>
        <w:rPr>
          <w:rFonts w:ascii="Times New Roman" w:eastAsia="Times New Roman" w:hAnsi="Times New Roman" w:cs="Times New Roman"/>
          <w:b/>
          <w:bCs/>
        </w:rPr>
        <w:t>A tantárgy szakmai tartalma (magyarul):</w:t>
      </w:r>
      <w:r>
        <w:rPr>
          <w:rFonts w:ascii="Times New Roman" w:eastAsia="Times New Roman" w:hAnsi="Times New Roman" w:cs="Times New Roman"/>
          <w:bCs/>
        </w:rPr>
        <w:t xml:space="preserve"> Húzás és nyomás. Szakítódiagram. Hajlítás. Másodrendű nyomaték. Főmásodrendű nyomatékok és főtengelyek. Nyírás. Csavarás. Kihajlás. Az alakváltozási és a feszültségi tenzor. Kifáradás.</w:t>
      </w:r>
    </w:p>
    <w:p w:rsidR="00D5726C" w:rsidRDefault="00D5726C" w:rsidP="00D5726C">
      <w:pPr>
        <w:widowControl w:val="0"/>
        <w:spacing w:before="120" w:after="120" w:line="240" w:lineRule="auto"/>
        <w:ind w:left="426"/>
        <w:jc w:val="both"/>
        <w:rPr>
          <w:rFonts w:ascii="Times New Roman" w:eastAsia="Times New Roman" w:hAnsi="Times New Roman" w:cs="Times New Roman"/>
          <w:bCs/>
          <w:lang w:val="en-GB"/>
        </w:rPr>
      </w:pPr>
      <w:r>
        <w:rPr>
          <w:rFonts w:ascii="Times New Roman" w:eastAsia="Times New Roman" w:hAnsi="Times New Roman" w:cs="Times New Roman"/>
          <w:b/>
          <w:bCs/>
        </w:rPr>
        <w:t>A tantárgy szakmai tartalma (angolul) (</w:t>
      </w:r>
      <w:r>
        <w:rPr>
          <w:rFonts w:ascii="Times New Roman" w:eastAsia="Times New Roman" w:hAnsi="Times New Roman" w:cs="Times New Roman"/>
          <w:b/>
          <w:bCs/>
          <w:lang w:val="en-US"/>
        </w:rPr>
        <w:t>Course description</w:t>
      </w:r>
      <w:r>
        <w:rPr>
          <w:rFonts w:ascii="Times New Roman" w:eastAsia="Times New Roman" w:hAnsi="Times New Roman" w:cs="Times New Roman"/>
          <w:b/>
          <w:bCs/>
        </w:rPr>
        <w:t>):</w:t>
      </w:r>
      <w:r>
        <w:rPr>
          <w:rFonts w:ascii="Times New Roman" w:eastAsia="Times New Roman" w:hAnsi="Times New Roman" w:cs="Times New Roman"/>
          <w:bCs/>
          <w:lang w:val="en-GB"/>
        </w:rPr>
        <w:t xml:space="preserve"> Cone of friction. Load. Stress-strain curve. Bending. Second moment of area. Principal stresses and principal directions. Shearing. Torsion. Buckling. The deformation and the stress tensor. Fatigue.</w:t>
      </w:r>
    </w:p>
    <w:p w:rsidR="00D5726C" w:rsidRDefault="00D5726C" w:rsidP="00C14833">
      <w:pPr>
        <w:pStyle w:val="Listaszerbekezds"/>
        <w:widowControl w:val="0"/>
        <w:numPr>
          <w:ilvl w:val="0"/>
          <w:numId w:val="113"/>
        </w:numPr>
        <w:tabs>
          <w:tab w:val="clear" w:pos="720"/>
          <w:tab w:val="num" w:pos="426"/>
          <w:tab w:val="num" w:pos="502"/>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Elérendő kompetenciák (magyarul): </w:t>
      </w:r>
    </w:p>
    <w:p w:rsidR="00D5726C" w:rsidRDefault="00D5726C" w:rsidP="008963FD">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Tudása:</w:t>
      </w:r>
      <w:r>
        <w:rPr>
          <w:rFonts w:ascii="Times New Roman" w:eastAsia="Times New Roman" w:hAnsi="Times New Roman" w:cs="Times New Roman"/>
          <w:bCs/>
        </w:rPr>
        <w:t xml:space="preserve"> </w:t>
      </w:r>
    </w:p>
    <w:p w:rsidR="00D5726C" w:rsidRDefault="00D5726C" w:rsidP="008963FD">
      <w:pPr>
        <w:widowControl w:val="0"/>
        <w:spacing w:after="120" w:line="240" w:lineRule="auto"/>
        <w:ind w:left="425"/>
        <w:jc w:val="both"/>
        <w:rPr>
          <w:rFonts w:ascii="Times New Roman" w:eastAsia="Times New Roman" w:hAnsi="Times New Roman" w:cs="Times New Roman"/>
          <w:bCs/>
        </w:rPr>
      </w:pPr>
      <w:r>
        <w:rPr>
          <w:rFonts w:ascii="Times New Roman" w:eastAsia="Times New Roman" w:hAnsi="Times New Roman" w:cs="Times New Roman"/>
          <w:bCs/>
        </w:rPr>
        <w:t>-</w:t>
      </w:r>
      <w:r>
        <w:rPr>
          <w:rFonts w:ascii="Times New Roman" w:eastAsia="Times New Roman" w:hAnsi="Times New Roman" w:cs="Times New Roman"/>
          <w:bCs/>
        </w:rPr>
        <w:tab/>
        <w:t>Ismeri a matematika és a mechanika törvényszerűségeit, rendelkezik műszaki alapismeretekkel.</w:t>
      </w:r>
    </w:p>
    <w:p w:rsidR="00D5726C" w:rsidRPr="008963FD" w:rsidRDefault="00D5726C" w:rsidP="008963FD">
      <w:pPr>
        <w:widowControl w:val="0"/>
        <w:spacing w:before="120" w:after="0" w:line="240" w:lineRule="auto"/>
        <w:ind w:left="425"/>
        <w:jc w:val="both"/>
        <w:rPr>
          <w:rFonts w:ascii="Times New Roman" w:eastAsia="Times New Roman" w:hAnsi="Times New Roman" w:cs="Times New Roman"/>
          <w:b/>
          <w:bCs/>
        </w:rPr>
      </w:pPr>
      <w:r>
        <w:rPr>
          <w:rFonts w:ascii="Times New Roman" w:eastAsia="Times New Roman" w:hAnsi="Times New Roman" w:cs="Times New Roman"/>
          <w:b/>
          <w:bCs/>
        </w:rPr>
        <w:t>Képességei:</w:t>
      </w:r>
      <w:r w:rsidRPr="008963FD">
        <w:rPr>
          <w:rFonts w:ascii="Times New Roman" w:eastAsia="Times New Roman" w:hAnsi="Times New Roman" w:cs="Times New Roman"/>
          <w:b/>
          <w:bCs/>
        </w:rPr>
        <w:t xml:space="preserve"> </w:t>
      </w:r>
    </w:p>
    <w:p w:rsidR="00D5726C" w:rsidRDefault="00D5726C" w:rsidP="00D5726C">
      <w:pPr>
        <w:widowControl w:val="0"/>
        <w:spacing w:before="120" w:after="120" w:line="240" w:lineRule="auto"/>
        <w:ind w:left="426"/>
        <w:jc w:val="both"/>
        <w:rPr>
          <w:rFonts w:ascii="Times New Roman" w:eastAsia="Times New Roman" w:hAnsi="Times New Roman" w:cs="Times New Roman"/>
          <w:bCs/>
        </w:rPr>
      </w:pPr>
      <w:r>
        <w:rPr>
          <w:rFonts w:ascii="Times New Roman" w:eastAsia="Times New Roman" w:hAnsi="Times New Roman" w:cs="Times New Roman"/>
          <w:bCs/>
        </w:rPr>
        <w:t>-</w:t>
      </w:r>
      <w:r>
        <w:rPr>
          <w:rFonts w:ascii="Times New Roman" w:eastAsia="Times New Roman" w:hAnsi="Times New Roman" w:cs="Times New Roman"/>
          <w:bCs/>
        </w:rPr>
        <w:tab/>
        <w:t>Képes szakterületén újító és innovatív ötletek megfogalmazására.</w:t>
      </w:r>
    </w:p>
    <w:p w:rsidR="00D5726C" w:rsidRPr="008963FD" w:rsidRDefault="00D5726C" w:rsidP="008963FD">
      <w:pPr>
        <w:widowControl w:val="0"/>
        <w:spacing w:before="120" w:after="0" w:line="240" w:lineRule="auto"/>
        <w:ind w:left="425"/>
        <w:jc w:val="both"/>
        <w:rPr>
          <w:rFonts w:ascii="Times New Roman" w:eastAsia="Times New Roman" w:hAnsi="Times New Roman" w:cs="Times New Roman"/>
          <w:b/>
          <w:bCs/>
        </w:rPr>
      </w:pPr>
      <w:r>
        <w:rPr>
          <w:rFonts w:ascii="Times New Roman" w:eastAsia="Times New Roman" w:hAnsi="Times New Roman" w:cs="Times New Roman"/>
          <w:b/>
          <w:bCs/>
        </w:rPr>
        <w:t>Attitűdje:</w:t>
      </w:r>
      <w:r w:rsidRPr="008963FD">
        <w:rPr>
          <w:rFonts w:ascii="Times New Roman" w:eastAsia="Times New Roman" w:hAnsi="Times New Roman" w:cs="Times New Roman"/>
          <w:b/>
          <w:bCs/>
        </w:rPr>
        <w:t xml:space="preserve"> </w:t>
      </w:r>
    </w:p>
    <w:p w:rsidR="00D5726C" w:rsidRDefault="00D5726C" w:rsidP="00D5726C">
      <w:pPr>
        <w:widowControl w:val="0"/>
        <w:spacing w:before="120" w:after="120" w:line="240" w:lineRule="auto"/>
        <w:ind w:left="426"/>
        <w:jc w:val="both"/>
        <w:rPr>
          <w:rFonts w:ascii="Times New Roman" w:eastAsia="Times New Roman" w:hAnsi="Times New Roman" w:cs="Times New Roman"/>
          <w:bCs/>
        </w:rPr>
      </w:pPr>
      <w:r>
        <w:rPr>
          <w:rFonts w:ascii="Times New Roman" w:eastAsia="Times New Roman" w:hAnsi="Times New Roman" w:cs="Times New Roman"/>
          <w:bCs/>
        </w:rPr>
        <w:t>-</w:t>
      </w:r>
      <w:r>
        <w:rPr>
          <w:rFonts w:ascii="Times New Roman" w:eastAsia="Times New Roman" w:hAnsi="Times New Roman" w:cs="Times New Roman"/>
          <w:bCs/>
        </w:rPr>
        <w:tab/>
        <w:t>Nyitott szakterülete új eredményei, innovációi iránt, törekszik azok megismerésére, megértésére és alkalmazására, elkötelezett önmaga folyamatos képzésére.</w:t>
      </w:r>
    </w:p>
    <w:p w:rsidR="00D5726C" w:rsidRPr="008963FD" w:rsidRDefault="00D5726C" w:rsidP="008963FD">
      <w:pPr>
        <w:widowControl w:val="0"/>
        <w:spacing w:before="120" w:after="0" w:line="240" w:lineRule="auto"/>
        <w:ind w:left="425"/>
        <w:jc w:val="both"/>
        <w:rPr>
          <w:rFonts w:ascii="Times New Roman" w:eastAsia="Times New Roman" w:hAnsi="Times New Roman" w:cs="Times New Roman"/>
          <w:b/>
          <w:bCs/>
        </w:rPr>
      </w:pPr>
      <w:r>
        <w:rPr>
          <w:rFonts w:ascii="Times New Roman" w:eastAsia="Times New Roman" w:hAnsi="Times New Roman" w:cs="Times New Roman"/>
          <w:b/>
          <w:bCs/>
        </w:rPr>
        <w:t>Autonómiája és felelőssége:</w:t>
      </w:r>
      <w:r w:rsidRPr="008963FD">
        <w:rPr>
          <w:rFonts w:ascii="Times New Roman" w:eastAsia="Times New Roman" w:hAnsi="Times New Roman" w:cs="Times New Roman"/>
          <w:b/>
          <w:bCs/>
        </w:rPr>
        <w:t xml:space="preserve"> </w:t>
      </w:r>
    </w:p>
    <w:p w:rsidR="00D5726C" w:rsidRDefault="00D5726C" w:rsidP="00D5726C">
      <w:pPr>
        <w:widowControl w:val="0"/>
        <w:spacing w:before="120" w:after="120" w:line="240" w:lineRule="auto"/>
        <w:ind w:left="426"/>
        <w:jc w:val="both"/>
        <w:rPr>
          <w:rFonts w:ascii="Times New Roman" w:eastAsia="Calibri" w:hAnsi="Times New Roman" w:cs="Times New Roman"/>
        </w:rPr>
      </w:pPr>
      <w:r>
        <w:rPr>
          <w:rFonts w:ascii="Times New Roman" w:eastAsia="Times New Roman" w:hAnsi="Times New Roman" w:cs="Times New Roman"/>
          <w:bCs/>
        </w:rPr>
        <w:t>-</w:t>
      </w:r>
      <w:r>
        <w:rPr>
          <w:rFonts w:ascii="Times New Roman" w:eastAsia="Times New Roman" w:hAnsi="Times New Roman" w:cs="Times New Roman"/>
          <w:bCs/>
        </w:rPr>
        <w:tab/>
        <w:t>Az alegység, illetve egység szintű katonai logisztikai, valamint katonai gazdálkodási folyamatokban képes önállóan döntéseket hozni, azokat felelősséggel, a jogszabályi keretek figyelembevételével végrehajtani.</w:t>
      </w:r>
    </w:p>
    <w:p w:rsidR="00D5726C" w:rsidRDefault="00D5726C" w:rsidP="00D5726C">
      <w:pPr>
        <w:widowControl w:val="0"/>
        <w:spacing w:before="120" w:after="120" w:line="240" w:lineRule="auto"/>
        <w:ind w:left="426"/>
        <w:jc w:val="both"/>
        <w:rPr>
          <w:rFonts w:ascii="Times New Roman" w:eastAsia="Times New Roman" w:hAnsi="Times New Roman" w:cs="Times New Roman"/>
          <w:b/>
          <w:bCs/>
          <w:lang w:val="en-US"/>
        </w:rPr>
      </w:pPr>
      <w:r>
        <w:rPr>
          <w:rFonts w:ascii="Times New Roman" w:eastAsia="Times New Roman" w:hAnsi="Times New Roman" w:cs="Times New Roman"/>
          <w:b/>
          <w:bCs/>
        </w:rPr>
        <w:t>Elérendő kompetenciák (angolul) (</w:t>
      </w:r>
      <w:r>
        <w:rPr>
          <w:rFonts w:ascii="Times New Roman" w:eastAsia="Times New Roman" w:hAnsi="Times New Roman" w:cs="Times New Roman"/>
          <w:b/>
          <w:bCs/>
          <w:lang w:val="en-US"/>
        </w:rPr>
        <w:t xml:space="preserve">Competences – English): </w:t>
      </w:r>
    </w:p>
    <w:p w:rsidR="00D5726C" w:rsidRPr="008963FD" w:rsidRDefault="00D5726C" w:rsidP="008963FD">
      <w:pPr>
        <w:widowControl w:val="0"/>
        <w:spacing w:before="120" w:after="0" w:line="240" w:lineRule="auto"/>
        <w:ind w:left="425"/>
        <w:jc w:val="both"/>
        <w:rPr>
          <w:rFonts w:ascii="Times New Roman" w:eastAsia="Times New Roman" w:hAnsi="Times New Roman" w:cs="Times New Roman"/>
          <w:b/>
          <w:bCs/>
        </w:rPr>
      </w:pPr>
      <w:r w:rsidRPr="008963FD">
        <w:rPr>
          <w:rFonts w:ascii="Times New Roman" w:eastAsia="Times New Roman" w:hAnsi="Times New Roman" w:cs="Times New Roman"/>
          <w:b/>
          <w:bCs/>
        </w:rPr>
        <w:t xml:space="preserve">Knowledge: </w:t>
      </w:r>
    </w:p>
    <w:p w:rsidR="00D5726C" w:rsidRDefault="00D5726C" w:rsidP="008963FD">
      <w:pPr>
        <w:widowControl w:val="0"/>
        <w:spacing w:after="120" w:line="240" w:lineRule="auto"/>
        <w:ind w:left="425"/>
        <w:jc w:val="both"/>
        <w:rPr>
          <w:rFonts w:ascii="Times New Roman" w:eastAsia="Calibri" w:hAnsi="Times New Roman" w:cs="Times New Roman"/>
        </w:rPr>
      </w:pPr>
      <w:r>
        <w:rPr>
          <w:rFonts w:ascii="Times New Roman" w:eastAsia="Times New Roman" w:hAnsi="Times New Roman" w:cs="Times New Roman"/>
          <w:bCs/>
        </w:rPr>
        <w:lastRenderedPageBreak/>
        <w:t>-</w:t>
      </w:r>
      <w:r>
        <w:rPr>
          <w:rFonts w:ascii="Times New Roman" w:eastAsia="Times New Roman" w:hAnsi="Times New Roman" w:cs="Times New Roman"/>
          <w:bCs/>
        </w:rPr>
        <w:tab/>
        <w:t>Knows the laws of mathematics and mechanics, has basic technical knowledge.</w:t>
      </w:r>
    </w:p>
    <w:p w:rsidR="00D5726C" w:rsidRPr="008963FD" w:rsidRDefault="00D5726C" w:rsidP="008963FD">
      <w:pPr>
        <w:widowControl w:val="0"/>
        <w:spacing w:before="120" w:after="0" w:line="240" w:lineRule="auto"/>
        <w:ind w:left="425"/>
        <w:jc w:val="both"/>
        <w:rPr>
          <w:rFonts w:ascii="Times New Roman" w:eastAsia="Times New Roman" w:hAnsi="Times New Roman" w:cs="Times New Roman"/>
          <w:b/>
          <w:bCs/>
        </w:rPr>
      </w:pPr>
      <w:r w:rsidRPr="008963FD">
        <w:rPr>
          <w:rFonts w:ascii="Times New Roman" w:eastAsia="Times New Roman" w:hAnsi="Times New Roman" w:cs="Times New Roman"/>
          <w:b/>
          <w:bCs/>
        </w:rPr>
        <w:t xml:space="preserve">Capabilities: </w:t>
      </w:r>
    </w:p>
    <w:p w:rsidR="00D5726C" w:rsidRPr="008963FD" w:rsidRDefault="00D5726C" w:rsidP="008963FD">
      <w:pPr>
        <w:widowControl w:val="0"/>
        <w:spacing w:after="120" w:line="240" w:lineRule="auto"/>
        <w:ind w:left="425"/>
        <w:jc w:val="both"/>
        <w:rPr>
          <w:rFonts w:ascii="Times New Roman" w:eastAsia="Times New Roman" w:hAnsi="Times New Roman" w:cs="Times New Roman"/>
          <w:bCs/>
        </w:rPr>
      </w:pPr>
      <w:r>
        <w:rPr>
          <w:rFonts w:ascii="Times New Roman" w:eastAsia="Times New Roman" w:hAnsi="Times New Roman" w:cs="Times New Roman"/>
          <w:bCs/>
        </w:rPr>
        <w:t>-</w:t>
      </w:r>
      <w:r>
        <w:rPr>
          <w:rFonts w:ascii="Times New Roman" w:eastAsia="Times New Roman" w:hAnsi="Times New Roman" w:cs="Times New Roman"/>
          <w:bCs/>
        </w:rPr>
        <w:tab/>
        <w:t>Able to formulate innovative ideas in their field.</w:t>
      </w:r>
    </w:p>
    <w:p w:rsidR="00D5726C" w:rsidRPr="008963FD" w:rsidRDefault="00D5726C" w:rsidP="008963FD">
      <w:pPr>
        <w:widowControl w:val="0"/>
        <w:spacing w:before="120" w:after="0" w:line="240" w:lineRule="auto"/>
        <w:ind w:left="425"/>
        <w:jc w:val="both"/>
        <w:rPr>
          <w:rFonts w:ascii="Times New Roman" w:eastAsia="Times New Roman" w:hAnsi="Times New Roman" w:cs="Times New Roman"/>
          <w:b/>
          <w:bCs/>
        </w:rPr>
      </w:pPr>
      <w:r w:rsidRPr="008963FD">
        <w:rPr>
          <w:rFonts w:ascii="Times New Roman" w:eastAsia="Times New Roman" w:hAnsi="Times New Roman" w:cs="Times New Roman"/>
          <w:b/>
          <w:bCs/>
        </w:rPr>
        <w:t xml:space="preserve">Attitude: </w:t>
      </w:r>
    </w:p>
    <w:p w:rsidR="00D5726C" w:rsidRPr="008963FD" w:rsidRDefault="00D5726C" w:rsidP="008963FD">
      <w:pPr>
        <w:widowControl w:val="0"/>
        <w:spacing w:after="120" w:line="240" w:lineRule="auto"/>
        <w:ind w:left="426"/>
        <w:jc w:val="both"/>
        <w:rPr>
          <w:rFonts w:ascii="Times New Roman" w:eastAsia="Times New Roman" w:hAnsi="Times New Roman" w:cs="Times New Roman"/>
          <w:bCs/>
        </w:rPr>
      </w:pPr>
      <w:r w:rsidRPr="008963FD">
        <w:rPr>
          <w:rFonts w:ascii="Times New Roman" w:eastAsia="Times New Roman" w:hAnsi="Times New Roman" w:cs="Times New Roman"/>
          <w:bCs/>
        </w:rPr>
        <w:t>-</w:t>
      </w:r>
      <w:r w:rsidRPr="008963FD">
        <w:rPr>
          <w:rFonts w:ascii="Times New Roman" w:eastAsia="Times New Roman" w:hAnsi="Times New Roman" w:cs="Times New Roman"/>
          <w:bCs/>
        </w:rPr>
        <w:tab/>
        <w:t>Open for the new achievements and innovations of their specialty, seeks to know, understand</w:t>
      </w:r>
      <w:r>
        <w:rPr>
          <w:rFonts w:ascii="Times New Roman" w:eastAsia="Times New Roman" w:hAnsi="Times New Roman" w:cs="Times New Roman"/>
          <w:bCs/>
        </w:rPr>
        <w:t xml:space="preserve"> and apply them, and committed to continuous self-education.</w:t>
      </w:r>
    </w:p>
    <w:p w:rsidR="00D5726C" w:rsidRPr="008963FD" w:rsidRDefault="00D5726C" w:rsidP="008963FD">
      <w:pPr>
        <w:widowControl w:val="0"/>
        <w:spacing w:before="120" w:after="0" w:line="240" w:lineRule="auto"/>
        <w:ind w:left="425"/>
        <w:jc w:val="both"/>
        <w:rPr>
          <w:rFonts w:ascii="Times New Roman" w:eastAsia="Times New Roman" w:hAnsi="Times New Roman" w:cs="Times New Roman"/>
          <w:b/>
          <w:bCs/>
        </w:rPr>
      </w:pPr>
      <w:r w:rsidRPr="008963FD">
        <w:rPr>
          <w:rFonts w:ascii="Times New Roman" w:eastAsia="Times New Roman" w:hAnsi="Times New Roman" w:cs="Times New Roman"/>
          <w:b/>
          <w:bCs/>
        </w:rPr>
        <w:t xml:space="preserve">Autonomy and responsibility: </w:t>
      </w:r>
    </w:p>
    <w:p w:rsidR="00D5726C" w:rsidRDefault="00D5726C" w:rsidP="00D5726C">
      <w:pPr>
        <w:widowControl w:val="0"/>
        <w:spacing w:before="120" w:after="120" w:line="240" w:lineRule="auto"/>
        <w:ind w:left="426"/>
        <w:jc w:val="both"/>
        <w:rPr>
          <w:rFonts w:ascii="Times New Roman" w:eastAsia="Calibri" w:hAnsi="Times New Roman" w:cs="Times New Roman"/>
        </w:rPr>
      </w:pPr>
      <w:r>
        <w:rPr>
          <w:rFonts w:ascii="Times New Roman" w:eastAsia="Times New Roman" w:hAnsi="Times New Roman" w:cs="Times New Roman"/>
          <w:bCs/>
        </w:rPr>
        <w:t>-</w:t>
      </w:r>
      <w:r>
        <w:rPr>
          <w:rFonts w:ascii="Times New Roman" w:eastAsia="Times New Roman" w:hAnsi="Times New Roman" w:cs="Times New Roman"/>
          <w:bCs/>
        </w:rPr>
        <w:tab/>
        <w:t>At the subunit and unit level, it is able to make independent decisions in military logistics and military management processes, making them responsible and within the legal framework.</w:t>
      </w:r>
    </w:p>
    <w:p w:rsidR="00D5726C" w:rsidRDefault="00D5726C" w:rsidP="00C14833">
      <w:pPr>
        <w:widowControl w:val="0"/>
        <w:numPr>
          <w:ilvl w:val="0"/>
          <w:numId w:val="113"/>
        </w:numPr>
        <w:tabs>
          <w:tab w:val="clear" w:pos="720"/>
          <w:tab w:val="num" w:pos="502"/>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Előtanulmányi követelmények: </w:t>
      </w:r>
      <w:r>
        <w:rPr>
          <w:rFonts w:ascii="Times New Roman" w:hAnsi="Times New Roman" w:cs="Times New Roman"/>
        </w:rPr>
        <w:t>Mechanika LOG 1 (HK925A131)</w:t>
      </w:r>
    </w:p>
    <w:p w:rsidR="00D5726C" w:rsidRDefault="00D5726C" w:rsidP="00C14833">
      <w:pPr>
        <w:widowControl w:val="0"/>
        <w:numPr>
          <w:ilvl w:val="0"/>
          <w:numId w:val="113"/>
        </w:numPr>
        <w:tabs>
          <w:tab w:val="clear" w:pos="720"/>
          <w:tab w:val="num" w:pos="502"/>
        </w:tabs>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A tantárgy tananyagának leírása, tematika. Description of the subject, curriculum (magyarul, angolul - English):</w:t>
      </w:r>
    </w:p>
    <w:p w:rsidR="00D5726C" w:rsidRDefault="00D5726C" w:rsidP="00C14833">
      <w:pPr>
        <w:widowControl w:val="0"/>
        <w:numPr>
          <w:ilvl w:val="1"/>
          <w:numId w:val="113"/>
        </w:numPr>
        <w:tabs>
          <w:tab w:val="left" w:pos="709"/>
          <w:tab w:val="left" w:pos="993"/>
        </w:tabs>
        <w:spacing w:before="120" w:after="120" w:line="240" w:lineRule="auto"/>
        <w:ind w:left="426" w:firstLine="0"/>
        <w:jc w:val="both"/>
        <w:rPr>
          <w:rFonts w:ascii="Times New Roman" w:eastAsia="Times New Roman" w:hAnsi="Times New Roman" w:cs="Times New Roman"/>
          <w:b/>
        </w:rPr>
      </w:pPr>
      <w:r>
        <w:rPr>
          <w:rFonts w:ascii="Times New Roman" w:eastAsia="Times New Roman" w:hAnsi="Times New Roman" w:cs="Times New Roman"/>
          <w:bCs/>
        </w:rPr>
        <w:t>Húzás és nyomás. Szakítódiagram. (</w:t>
      </w:r>
      <w:r>
        <w:rPr>
          <w:rFonts w:ascii="Times New Roman" w:eastAsia="Times New Roman" w:hAnsi="Times New Roman" w:cs="Times New Roman"/>
          <w:bCs/>
          <w:i/>
        </w:rPr>
        <w:t>Load. Stress-strain curve.</w:t>
      </w:r>
      <w:r>
        <w:rPr>
          <w:rFonts w:ascii="Times New Roman" w:eastAsia="Times New Roman" w:hAnsi="Times New Roman" w:cs="Times New Roman"/>
          <w:bCs/>
        </w:rPr>
        <w:t>)</w:t>
      </w:r>
    </w:p>
    <w:p w:rsidR="00D5726C" w:rsidRDefault="00D5726C" w:rsidP="00C14833">
      <w:pPr>
        <w:widowControl w:val="0"/>
        <w:numPr>
          <w:ilvl w:val="1"/>
          <w:numId w:val="113"/>
        </w:numPr>
        <w:tabs>
          <w:tab w:val="left" w:pos="709"/>
          <w:tab w:val="left" w:pos="993"/>
        </w:tabs>
        <w:spacing w:before="120" w:after="120" w:line="240" w:lineRule="auto"/>
        <w:ind w:left="426" w:firstLine="0"/>
        <w:jc w:val="both"/>
        <w:rPr>
          <w:rFonts w:ascii="Times New Roman" w:eastAsia="Times New Roman" w:hAnsi="Times New Roman" w:cs="Times New Roman"/>
          <w:b/>
        </w:rPr>
      </w:pPr>
      <w:r>
        <w:rPr>
          <w:rFonts w:ascii="Times New Roman" w:eastAsia="Times New Roman" w:hAnsi="Times New Roman" w:cs="Times New Roman"/>
          <w:bCs/>
        </w:rPr>
        <w:t>Hajlítás. Másodrendű nyomaték. Főmásodrendű nyomatékok és főtengelyek. (</w:t>
      </w:r>
      <w:r>
        <w:rPr>
          <w:rFonts w:ascii="Times New Roman" w:eastAsia="Times New Roman" w:hAnsi="Times New Roman" w:cs="Times New Roman"/>
          <w:bCs/>
          <w:i/>
        </w:rPr>
        <w:t>Bending. Second moment of area. Principal stresses and principal directions.</w:t>
      </w:r>
      <w:r>
        <w:rPr>
          <w:rFonts w:ascii="Times New Roman" w:eastAsia="Times New Roman" w:hAnsi="Times New Roman" w:cs="Times New Roman"/>
          <w:bCs/>
        </w:rPr>
        <w:t>)</w:t>
      </w:r>
    </w:p>
    <w:p w:rsidR="00D5726C" w:rsidRDefault="00D5726C" w:rsidP="00C14833">
      <w:pPr>
        <w:widowControl w:val="0"/>
        <w:numPr>
          <w:ilvl w:val="1"/>
          <w:numId w:val="113"/>
        </w:numPr>
        <w:tabs>
          <w:tab w:val="left" w:pos="709"/>
          <w:tab w:val="left" w:pos="993"/>
        </w:tabs>
        <w:spacing w:before="120" w:after="120" w:line="240" w:lineRule="auto"/>
        <w:ind w:left="426" w:firstLine="0"/>
        <w:jc w:val="both"/>
        <w:rPr>
          <w:rFonts w:ascii="Times New Roman" w:eastAsia="Times New Roman" w:hAnsi="Times New Roman" w:cs="Times New Roman"/>
          <w:b/>
        </w:rPr>
      </w:pPr>
      <w:r>
        <w:rPr>
          <w:rFonts w:ascii="Times New Roman" w:eastAsia="Times New Roman" w:hAnsi="Times New Roman" w:cs="Times New Roman"/>
          <w:bCs/>
        </w:rPr>
        <w:t>Nyírás. (</w:t>
      </w:r>
      <w:r>
        <w:rPr>
          <w:rFonts w:ascii="Times New Roman" w:eastAsia="Times New Roman" w:hAnsi="Times New Roman" w:cs="Times New Roman"/>
          <w:bCs/>
          <w:i/>
        </w:rPr>
        <w:t>Shearing.</w:t>
      </w:r>
      <w:r>
        <w:rPr>
          <w:rFonts w:ascii="Times New Roman" w:eastAsia="Times New Roman" w:hAnsi="Times New Roman" w:cs="Times New Roman"/>
          <w:bCs/>
        </w:rPr>
        <w:t>)</w:t>
      </w:r>
    </w:p>
    <w:p w:rsidR="00D5726C" w:rsidRDefault="00D5726C" w:rsidP="00C14833">
      <w:pPr>
        <w:widowControl w:val="0"/>
        <w:numPr>
          <w:ilvl w:val="1"/>
          <w:numId w:val="113"/>
        </w:numPr>
        <w:tabs>
          <w:tab w:val="left" w:pos="709"/>
          <w:tab w:val="left" w:pos="993"/>
        </w:tabs>
        <w:spacing w:before="120" w:after="120" w:line="240" w:lineRule="auto"/>
        <w:ind w:left="426" w:firstLine="0"/>
        <w:jc w:val="both"/>
        <w:rPr>
          <w:rFonts w:ascii="Times New Roman" w:eastAsia="Times New Roman" w:hAnsi="Times New Roman" w:cs="Times New Roman"/>
          <w:b/>
        </w:rPr>
      </w:pPr>
      <w:r>
        <w:rPr>
          <w:rFonts w:ascii="Times New Roman" w:eastAsia="Times New Roman" w:hAnsi="Times New Roman" w:cs="Times New Roman"/>
          <w:bCs/>
        </w:rPr>
        <w:t>Csavarás. (</w:t>
      </w:r>
      <w:r>
        <w:rPr>
          <w:rFonts w:ascii="Times New Roman" w:eastAsia="Times New Roman" w:hAnsi="Times New Roman" w:cs="Times New Roman"/>
          <w:bCs/>
          <w:i/>
        </w:rPr>
        <w:t>Torsion.</w:t>
      </w:r>
      <w:r>
        <w:rPr>
          <w:rFonts w:ascii="Times New Roman" w:eastAsia="Times New Roman" w:hAnsi="Times New Roman" w:cs="Times New Roman"/>
          <w:bCs/>
        </w:rPr>
        <w:t>)</w:t>
      </w:r>
    </w:p>
    <w:p w:rsidR="00D5726C" w:rsidRDefault="00D5726C" w:rsidP="00C14833">
      <w:pPr>
        <w:widowControl w:val="0"/>
        <w:numPr>
          <w:ilvl w:val="1"/>
          <w:numId w:val="113"/>
        </w:numPr>
        <w:tabs>
          <w:tab w:val="left" w:pos="709"/>
          <w:tab w:val="left" w:pos="993"/>
        </w:tabs>
        <w:spacing w:before="120" w:after="120" w:line="240" w:lineRule="auto"/>
        <w:ind w:left="426" w:firstLine="0"/>
        <w:jc w:val="both"/>
        <w:rPr>
          <w:rFonts w:ascii="Times New Roman" w:eastAsia="Times New Roman" w:hAnsi="Times New Roman" w:cs="Times New Roman"/>
          <w:b/>
        </w:rPr>
      </w:pPr>
      <w:r>
        <w:rPr>
          <w:rFonts w:ascii="Times New Roman" w:eastAsia="Times New Roman" w:hAnsi="Times New Roman" w:cs="Times New Roman"/>
          <w:bCs/>
        </w:rPr>
        <w:t>Kihajlás. (</w:t>
      </w:r>
      <w:r>
        <w:rPr>
          <w:rFonts w:ascii="Times New Roman" w:eastAsia="Times New Roman" w:hAnsi="Times New Roman" w:cs="Times New Roman"/>
          <w:bCs/>
          <w:i/>
        </w:rPr>
        <w:t>Buckling.</w:t>
      </w:r>
      <w:r>
        <w:rPr>
          <w:rFonts w:ascii="Times New Roman" w:eastAsia="Times New Roman" w:hAnsi="Times New Roman" w:cs="Times New Roman"/>
          <w:bCs/>
        </w:rPr>
        <w:t>)</w:t>
      </w:r>
    </w:p>
    <w:p w:rsidR="00D5726C" w:rsidRDefault="00D5726C" w:rsidP="00C14833">
      <w:pPr>
        <w:widowControl w:val="0"/>
        <w:numPr>
          <w:ilvl w:val="1"/>
          <w:numId w:val="113"/>
        </w:numPr>
        <w:tabs>
          <w:tab w:val="left" w:pos="709"/>
          <w:tab w:val="left" w:pos="993"/>
        </w:tabs>
        <w:spacing w:before="120" w:after="120" w:line="240" w:lineRule="auto"/>
        <w:ind w:left="426" w:firstLine="0"/>
        <w:jc w:val="both"/>
        <w:rPr>
          <w:rFonts w:ascii="Times New Roman" w:eastAsia="Times New Roman" w:hAnsi="Times New Roman" w:cs="Times New Roman"/>
          <w:b/>
        </w:rPr>
      </w:pPr>
      <w:r>
        <w:rPr>
          <w:rFonts w:ascii="Times New Roman" w:eastAsia="Times New Roman" w:hAnsi="Times New Roman" w:cs="Times New Roman"/>
          <w:bCs/>
        </w:rPr>
        <w:t>Az alakváltozási és a feszültségi tenzor. (</w:t>
      </w:r>
      <w:r>
        <w:rPr>
          <w:rFonts w:ascii="Times New Roman" w:eastAsia="Times New Roman" w:hAnsi="Times New Roman" w:cs="Times New Roman"/>
          <w:bCs/>
          <w:i/>
        </w:rPr>
        <w:t>The deformation and the stress tensor.</w:t>
      </w:r>
      <w:r>
        <w:rPr>
          <w:rFonts w:ascii="Times New Roman" w:eastAsia="Times New Roman" w:hAnsi="Times New Roman" w:cs="Times New Roman"/>
          <w:bCs/>
        </w:rPr>
        <w:t>)</w:t>
      </w:r>
    </w:p>
    <w:p w:rsidR="00D5726C" w:rsidRDefault="00D5726C" w:rsidP="00C14833">
      <w:pPr>
        <w:widowControl w:val="0"/>
        <w:numPr>
          <w:ilvl w:val="1"/>
          <w:numId w:val="113"/>
        </w:numPr>
        <w:tabs>
          <w:tab w:val="left" w:pos="709"/>
          <w:tab w:val="left" w:pos="993"/>
        </w:tabs>
        <w:spacing w:before="120" w:after="120" w:line="240" w:lineRule="auto"/>
        <w:ind w:left="426" w:firstLine="0"/>
        <w:jc w:val="both"/>
        <w:rPr>
          <w:rFonts w:ascii="Times New Roman" w:eastAsia="Times New Roman" w:hAnsi="Times New Roman" w:cs="Times New Roman"/>
          <w:b/>
        </w:rPr>
      </w:pPr>
      <w:r>
        <w:rPr>
          <w:rFonts w:ascii="Times New Roman" w:eastAsia="Times New Roman" w:hAnsi="Times New Roman" w:cs="Times New Roman"/>
          <w:bCs/>
        </w:rPr>
        <w:t>Kifáradás. (</w:t>
      </w:r>
      <w:r>
        <w:rPr>
          <w:rFonts w:ascii="Times New Roman" w:eastAsia="Times New Roman" w:hAnsi="Times New Roman" w:cs="Times New Roman"/>
          <w:bCs/>
          <w:i/>
        </w:rPr>
        <w:t>Fatigue.</w:t>
      </w:r>
      <w:r>
        <w:rPr>
          <w:rFonts w:ascii="Times New Roman" w:eastAsia="Times New Roman" w:hAnsi="Times New Roman" w:cs="Times New Roman"/>
          <w:bCs/>
        </w:rPr>
        <w:t>)</w:t>
      </w:r>
    </w:p>
    <w:p w:rsidR="00D5726C" w:rsidRDefault="00D5726C" w:rsidP="00C14833">
      <w:pPr>
        <w:widowControl w:val="0"/>
        <w:numPr>
          <w:ilvl w:val="0"/>
          <w:numId w:val="113"/>
        </w:numPr>
        <w:tabs>
          <w:tab w:val="clear" w:pos="720"/>
          <w:tab w:val="num" w:pos="360"/>
          <w:tab w:val="num" w:pos="502"/>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 tantárgy meghirdetésének gyakorisága/a tantervben történő félévi elhelyezkedése: </w:t>
      </w:r>
      <w:r>
        <w:rPr>
          <w:rFonts w:ascii="Times New Roman" w:eastAsia="Times New Roman" w:hAnsi="Times New Roman" w:cs="Times New Roman"/>
          <w:b/>
          <w:bCs/>
        </w:rPr>
        <w:br/>
      </w:r>
      <w:r>
        <w:rPr>
          <w:rFonts w:ascii="Times New Roman" w:hAnsi="Times New Roman" w:cs="Times New Roman"/>
        </w:rPr>
        <w:t>évente / 4. félév</w:t>
      </w:r>
    </w:p>
    <w:p w:rsidR="00D5726C" w:rsidRDefault="00D5726C" w:rsidP="00C14833">
      <w:pPr>
        <w:widowControl w:val="0"/>
        <w:numPr>
          <w:ilvl w:val="0"/>
          <w:numId w:val="113"/>
        </w:numPr>
        <w:tabs>
          <w:tab w:val="clear" w:pos="720"/>
          <w:tab w:val="num" w:pos="502"/>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tanórákon való részvétel követelményei, az elfogadható hiányzások mértéke, a távolmaradás pótlásának lehetősége:</w:t>
      </w:r>
      <w:r>
        <w:rPr>
          <w:rFonts w:ascii="Times New Roman" w:eastAsia="Times New Roman" w:hAnsi="Times New Roman" w:cs="Times New Roman"/>
          <w:bCs/>
        </w:rPr>
        <w:t xml:space="preserve"> A tantárgy teljesítéséhez a tanórák legalább 70%-án jelen kell lennie a hallgatónak. Az ezt meghaladó mértékű hiányzás a féléves aláírás megtagadását vonja maga után. A távollétet a hiányzást követő első foglalkozáson kell igazolnia. A hallgató köteles a mulasztott tanóra anyagát beszerezni, abból önállóan felkészülni.</w:t>
      </w:r>
    </w:p>
    <w:p w:rsidR="00D5726C" w:rsidRDefault="00D5726C" w:rsidP="00C14833">
      <w:pPr>
        <w:widowControl w:val="0"/>
        <w:numPr>
          <w:ilvl w:val="0"/>
          <w:numId w:val="113"/>
        </w:numPr>
        <w:tabs>
          <w:tab w:val="clear" w:pos="720"/>
          <w:tab w:val="num" w:pos="502"/>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rPr>
        <w:t>Félévközi feladatok, ismeretek ellenőrzésének rendje:</w:t>
      </w:r>
      <w:r>
        <w:rPr>
          <w:rFonts w:ascii="Times New Roman" w:eastAsia="Times New Roman" w:hAnsi="Times New Roman" w:cs="Times New Roman"/>
          <w:bCs/>
        </w:rPr>
        <w:t xml:space="preserve"> </w:t>
      </w:r>
    </w:p>
    <w:p w:rsidR="00D5726C" w:rsidRDefault="00D5726C" w:rsidP="00D5726C">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bCs/>
        </w:rPr>
        <w:t>A számonkérés a félév során négy beadandó feladatsor és két zárthelyi dolgozat keretében történik. Az első dolgozat a 12.1-12.4 anyagrészeket, a második dolgozat a 12.5-12.7 anyagrészeket kéri számon</w:t>
      </w:r>
      <w:r>
        <w:rPr>
          <w:rFonts w:ascii="Times New Roman" w:eastAsia="Times New Roman" w:hAnsi="Times New Roman" w:cs="Times New Roman"/>
        </w:rPr>
        <w:t xml:space="preserve">. </w:t>
      </w:r>
    </w:p>
    <w:p w:rsidR="00D5726C" w:rsidRDefault="00D5726C" w:rsidP="00D5726C">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bCs/>
        </w:rPr>
        <w:t>A dolgozatok pótlására, javítására egyszer van lehetőség egy pótdolgozat keretében.</w:t>
      </w:r>
    </w:p>
    <w:p w:rsidR="00D5726C" w:rsidRDefault="00D5726C" w:rsidP="00D5726C">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Az aláírás megszerzéséhez a zárthelyi dolgozatok összpontszámának vagy a pótdolgozat pontszámának több mint 40%-a és a beadandó feladatsorok összpontszámának több mint 40%-a szükséges.</w:t>
      </w:r>
    </w:p>
    <w:p w:rsidR="00D5726C" w:rsidRDefault="00D5726C" w:rsidP="00D5726C">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A vizsgajegy az írásbeli rész jegye és a szóbeli rész jegyének számtani átlaga, a matematika kerekítési szabályai szerint. Bármelyik részjegy elégtelen teljesítése elégtelen vizsgajegyet eredményez. Az elégséges írásbeli részjegyhez a vizsgadolgozat pontszámának 51-60% szükséges, közepeshez 61-75%, jóhoz 76-90%, jeleshez 91-100%.</w:t>
      </w:r>
    </w:p>
    <w:p w:rsidR="00D5726C" w:rsidRDefault="00D5726C" w:rsidP="00C14833">
      <w:pPr>
        <w:widowControl w:val="0"/>
        <w:numPr>
          <w:ilvl w:val="0"/>
          <w:numId w:val="113"/>
        </w:numPr>
        <w:tabs>
          <w:tab w:val="clear" w:pos="720"/>
          <w:tab w:val="num" w:pos="502"/>
        </w:tabs>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Az értékelés, az aláírás és a kreditek megszerzésének pontos feltételei: </w:t>
      </w:r>
    </w:p>
    <w:p w:rsidR="00D5726C" w:rsidRDefault="00D5726C" w:rsidP="00C14833">
      <w:pPr>
        <w:widowControl w:val="0"/>
        <w:numPr>
          <w:ilvl w:val="1"/>
          <w:numId w:val="113"/>
        </w:numPr>
        <w:tabs>
          <w:tab w:val="left" w:pos="709"/>
          <w:tab w:val="left" w:pos="993"/>
        </w:tabs>
        <w:spacing w:before="120" w:after="120" w:line="240" w:lineRule="auto"/>
        <w:ind w:left="425" w:firstLine="0"/>
        <w:jc w:val="both"/>
        <w:rPr>
          <w:rFonts w:ascii="Times New Roman" w:eastAsia="Times New Roman" w:hAnsi="Times New Roman" w:cs="Times New Roman"/>
        </w:rPr>
      </w:pPr>
      <w:r>
        <w:rPr>
          <w:rFonts w:ascii="Times New Roman" w:eastAsia="Times New Roman" w:hAnsi="Times New Roman" w:cs="Times New Roman"/>
          <w:b/>
        </w:rPr>
        <w:t>Az aláírás megszerzésének feltételei:</w:t>
      </w:r>
      <w:r>
        <w:rPr>
          <w:rFonts w:ascii="Times New Roman" w:eastAsia="Times New Roman" w:hAnsi="Times New Roman" w:cs="Times New Roman"/>
        </w:rPr>
        <w:t xml:space="preserve"> Az aláírás megszerzésének feltétele a 14. pontban meghatározott arányú részvétel a foglalkozásokon valamint a 15. pontban meghatározott félévközi feladatok legalább elégséges teljesítése.</w:t>
      </w:r>
    </w:p>
    <w:p w:rsidR="008963FD" w:rsidRPr="008963FD" w:rsidRDefault="00D5726C" w:rsidP="00C14833">
      <w:pPr>
        <w:widowControl w:val="0"/>
        <w:numPr>
          <w:ilvl w:val="1"/>
          <w:numId w:val="113"/>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8963FD">
        <w:rPr>
          <w:rFonts w:ascii="Times New Roman" w:eastAsia="Times New Roman" w:hAnsi="Times New Roman" w:cs="Times New Roman"/>
          <w:b/>
        </w:rPr>
        <w:t>Az értékelés:</w:t>
      </w:r>
      <w:r w:rsidRPr="008963FD">
        <w:rPr>
          <w:rFonts w:ascii="Times New Roman" w:eastAsia="Times New Roman" w:hAnsi="Times New Roman" w:cs="Times New Roman"/>
        </w:rPr>
        <w:t xml:space="preserve"> </w:t>
      </w:r>
      <w:r w:rsidR="008963FD" w:rsidRPr="008963FD">
        <w:rPr>
          <w:rFonts w:ascii="Times New Roman" w:eastAsia="Times New Roman" w:hAnsi="Times New Roman" w:cs="Times New Roman"/>
        </w:rPr>
        <w:t xml:space="preserve">A félév értékelése kollokvium – írásbeli vizsga. A Tanszék felkészülési </w:t>
      </w:r>
      <w:r w:rsidR="008963FD" w:rsidRPr="008963FD">
        <w:rPr>
          <w:rFonts w:ascii="Times New Roman" w:eastAsia="Times New Roman" w:hAnsi="Times New Roman" w:cs="Times New Roman"/>
        </w:rPr>
        <w:lastRenderedPageBreak/>
        <w:t>kérdéseket ad ki. A vizsga tartalmát az előadáson elhangzottak és az alább felsorolt kötelező és ajánlott irodalmak anyagai képezik. A vizsgadolgozat értékelése szummatív: 0-50% - elégtelen, 51-70% - elégséges, 71-80% - közepe, 81-90% - jó, 91-100% - jeles.</w:t>
      </w:r>
    </w:p>
    <w:p w:rsidR="00D5726C" w:rsidRPr="008963FD" w:rsidRDefault="00D5726C" w:rsidP="00C14833">
      <w:pPr>
        <w:widowControl w:val="0"/>
        <w:numPr>
          <w:ilvl w:val="1"/>
          <w:numId w:val="113"/>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8963FD">
        <w:rPr>
          <w:rFonts w:ascii="Times New Roman" w:eastAsia="Times New Roman" w:hAnsi="Times New Roman" w:cs="Times New Roman"/>
          <w:b/>
        </w:rPr>
        <w:t>A kreditek megszerzésének feltételei:</w:t>
      </w:r>
      <w:r w:rsidRPr="008963FD">
        <w:rPr>
          <w:rFonts w:ascii="Times New Roman" w:eastAsia="Times New Roman" w:hAnsi="Times New Roman" w:cs="Times New Roman"/>
        </w:rPr>
        <w:t xml:space="preserve"> A kreditek megszerzésének feltétele az aláírás megszerzése és legalább elégséges vizsgajegy.</w:t>
      </w:r>
    </w:p>
    <w:p w:rsidR="00D5726C" w:rsidRDefault="00D5726C" w:rsidP="00C14833">
      <w:pPr>
        <w:widowControl w:val="0"/>
        <w:numPr>
          <w:ilvl w:val="0"/>
          <w:numId w:val="113"/>
        </w:numPr>
        <w:tabs>
          <w:tab w:val="clear" w:pos="720"/>
          <w:tab w:val="num" w:pos="360"/>
          <w:tab w:val="num" w:pos="502"/>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Irodalomjegyzék:</w:t>
      </w:r>
    </w:p>
    <w:p w:rsidR="00D5726C" w:rsidRDefault="00D5726C" w:rsidP="00C14833">
      <w:pPr>
        <w:widowControl w:val="0"/>
        <w:numPr>
          <w:ilvl w:val="1"/>
          <w:numId w:val="113"/>
        </w:numPr>
        <w:tabs>
          <w:tab w:val="left" w:pos="567"/>
          <w:tab w:val="left" w:pos="851"/>
          <w:tab w:val="num" w:pos="2069"/>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Kötelező irodalom:</w:t>
      </w:r>
    </w:p>
    <w:p w:rsidR="00D5726C" w:rsidRDefault="00D5726C" w:rsidP="00C14833">
      <w:pPr>
        <w:widowControl w:val="0"/>
        <w:numPr>
          <w:ilvl w:val="0"/>
          <w:numId w:val="114"/>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Tóth Bence: Mechanika II. – Szilárdságtan. Dialóg Campus Kiadó, 2019. ISBN: 9789635310159</w:t>
      </w:r>
    </w:p>
    <w:p w:rsidR="00D5726C" w:rsidRDefault="00D5726C" w:rsidP="00C14833">
      <w:pPr>
        <w:widowControl w:val="0"/>
        <w:numPr>
          <w:ilvl w:val="0"/>
          <w:numId w:val="114"/>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M. Csizmadia Béla, Nándori Ernő: Mechanika mérnököknek II. Nemzeti Tankönyvkiadó, 2002. ISBN: 9631934578</w:t>
      </w:r>
    </w:p>
    <w:p w:rsidR="00D5726C" w:rsidRDefault="00D5726C" w:rsidP="00C14833">
      <w:pPr>
        <w:widowControl w:val="0"/>
        <w:numPr>
          <w:ilvl w:val="0"/>
          <w:numId w:val="114"/>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Kósa Csaba: Rugalmas rendszerek mechanikája. Bánki Donát Műszaki Főiskola, 1983.</w:t>
      </w:r>
    </w:p>
    <w:p w:rsidR="00D5726C" w:rsidRDefault="00D5726C" w:rsidP="00C14833">
      <w:pPr>
        <w:widowControl w:val="0"/>
        <w:numPr>
          <w:ilvl w:val="1"/>
          <w:numId w:val="113"/>
        </w:numPr>
        <w:tabs>
          <w:tab w:val="num" w:pos="567"/>
          <w:tab w:val="num" w:pos="2069"/>
        </w:tabs>
        <w:spacing w:before="120" w:after="120" w:line="240" w:lineRule="auto"/>
        <w:ind w:left="993" w:hanging="709"/>
        <w:jc w:val="both"/>
        <w:rPr>
          <w:rFonts w:ascii="Times New Roman" w:eastAsia="Times New Roman" w:hAnsi="Times New Roman" w:cs="Times New Roman"/>
          <w:b/>
          <w:bCs/>
        </w:rPr>
      </w:pPr>
      <w:r>
        <w:rPr>
          <w:rFonts w:ascii="Times New Roman" w:eastAsia="Times New Roman" w:hAnsi="Times New Roman" w:cs="Times New Roman"/>
          <w:b/>
          <w:bCs/>
        </w:rPr>
        <w:t>Ajánlott irodalom:</w:t>
      </w:r>
    </w:p>
    <w:p w:rsidR="00D5726C" w:rsidRDefault="00D5726C" w:rsidP="00C14833">
      <w:pPr>
        <w:widowControl w:val="0"/>
        <w:numPr>
          <w:ilvl w:val="0"/>
          <w:numId w:val="115"/>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Kósa Csaba, Farnady Ernő, Gyurcsovics Lajosné, Halassy István, Horváth Sándor, Kriza Kálmán: Rugalmas rendszerek mechanikája. Példatár és gyakorlati útmutató. Bánki Donát Műszaki Főiskola.</w:t>
      </w:r>
    </w:p>
    <w:p w:rsidR="00D5726C" w:rsidRDefault="00D5726C" w:rsidP="00C14833">
      <w:pPr>
        <w:pStyle w:val="Listaszerbekezds"/>
        <w:widowControl w:val="0"/>
        <w:numPr>
          <w:ilvl w:val="0"/>
          <w:numId w:val="115"/>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Csizmadia Lajosné: Műszaki mechanika példatár. Kossuth Lajos Katonai Főiskola, 1986.</w:t>
      </w:r>
    </w:p>
    <w:p w:rsidR="00D5726C" w:rsidRDefault="00D5726C" w:rsidP="00C14833">
      <w:pPr>
        <w:pStyle w:val="Listaszerbekezds"/>
        <w:widowControl w:val="0"/>
        <w:numPr>
          <w:ilvl w:val="0"/>
          <w:numId w:val="115"/>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Elter Pálné: Szilárdságtan I. példatár. Tankönyvkiadó, Budapest 1991.</w:t>
      </w:r>
    </w:p>
    <w:p w:rsidR="008963FD" w:rsidRDefault="008963FD" w:rsidP="008963FD">
      <w:pPr>
        <w:widowControl w:val="0"/>
        <w:spacing w:before="120" w:after="120" w:line="240" w:lineRule="auto"/>
        <w:ind w:firstLine="360"/>
        <w:jc w:val="both"/>
        <w:rPr>
          <w:rFonts w:ascii="Times New Roman" w:eastAsia="Times New Roman" w:hAnsi="Times New Roman" w:cs="Times New Roman"/>
          <w:bCs/>
        </w:rPr>
      </w:pPr>
    </w:p>
    <w:p w:rsidR="00D5726C" w:rsidRDefault="00D5726C" w:rsidP="008963FD">
      <w:pPr>
        <w:widowControl w:val="0"/>
        <w:spacing w:before="120" w:after="120" w:line="240" w:lineRule="auto"/>
        <w:ind w:firstLine="360"/>
        <w:jc w:val="both"/>
        <w:rPr>
          <w:rFonts w:ascii="Times New Roman" w:eastAsia="Times New Roman" w:hAnsi="Times New Roman" w:cs="Times New Roman"/>
          <w:bCs/>
        </w:rPr>
      </w:pPr>
      <w:r>
        <w:rPr>
          <w:rFonts w:ascii="Times New Roman" w:eastAsia="Times New Roman" w:hAnsi="Times New Roman" w:cs="Times New Roman"/>
          <w:bCs/>
        </w:rPr>
        <w:t>Budapest, 2020. január 31.</w:t>
      </w:r>
    </w:p>
    <w:p w:rsidR="00D5726C" w:rsidRDefault="00D5726C" w:rsidP="00D5726C">
      <w:pPr>
        <w:widowControl w:val="0"/>
        <w:spacing w:before="120" w:after="120" w:line="240" w:lineRule="auto"/>
        <w:jc w:val="both"/>
        <w:rPr>
          <w:rFonts w:ascii="Times New Roman" w:eastAsia="Times New Roman" w:hAnsi="Times New Roman" w:cs="Times New Roman"/>
          <w:bCs/>
        </w:rPr>
      </w:pPr>
    </w:p>
    <w:p w:rsidR="00D5726C" w:rsidRPr="00D5726C" w:rsidRDefault="00D5726C" w:rsidP="00D5726C">
      <w:pPr>
        <w:widowControl w:val="0"/>
        <w:spacing w:after="0" w:line="240" w:lineRule="auto"/>
        <w:jc w:val="right"/>
        <w:rPr>
          <w:rFonts w:ascii="Times New Roman" w:eastAsia="Times New Roman" w:hAnsi="Times New Roman" w:cs="Times New Roman"/>
          <w:b/>
          <w:bCs/>
        </w:rPr>
      </w:pPr>
      <w:r w:rsidRPr="00D5726C">
        <w:rPr>
          <w:rFonts w:ascii="Times New Roman" w:eastAsia="Times New Roman" w:hAnsi="Times New Roman" w:cs="Times New Roman"/>
          <w:b/>
          <w:bCs/>
        </w:rPr>
        <w:t xml:space="preserve">Dr. Tóth Bence, PhD </w:t>
      </w:r>
    </w:p>
    <w:p w:rsidR="00D5726C" w:rsidRDefault="00D5726C" w:rsidP="00D5726C">
      <w:pPr>
        <w:widowControl w:val="0"/>
        <w:spacing w:after="0" w:line="240" w:lineRule="auto"/>
        <w:jc w:val="right"/>
        <w:rPr>
          <w:rFonts w:ascii="Times New Roman" w:eastAsia="Times New Roman" w:hAnsi="Times New Roman" w:cs="Times New Roman"/>
          <w:bCs/>
        </w:rPr>
      </w:pPr>
      <w:r>
        <w:rPr>
          <w:rFonts w:ascii="Times New Roman" w:eastAsia="Times New Roman" w:hAnsi="Times New Roman" w:cs="Times New Roman"/>
          <w:bCs/>
        </w:rPr>
        <w:t>adjunktus, sk.</w:t>
      </w:r>
    </w:p>
    <w:p w:rsidR="00891C71" w:rsidRDefault="00891C71">
      <w:pPr>
        <w:spacing w:after="200" w:line="276" w:lineRule="auto"/>
        <w:rPr>
          <w:rFonts w:ascii="Times New Roman" w:hAnsi="Times New Roman" w:cs="Times New Roman"/>
          <w:sz w:val="24"/>
        </w:rPr>
      </w:pPr>
    </w:p>
    <w:p w:rsidR="00331F21" w:rsidRDefault="00331F21">
      <w:pPr>
        <w:spacing w:after="200" w:line="276" w:lineRule="auto"/>
        <w:rPr>
          <w:rFonts w:ascii="Times New Roman" w:hAnsi="Times New Roman" w:cs="Times New Roman"/>
          <w:sz w:val="24"/>
        </w:rPr>
      </w:pPr>
      <w:r>
        <w:rPr>
          <w:rFonts w:ascii="Times New Roman" w:hAnsi="Times New Roman" w:cs="Times New Roman"/>
          <w:sz w:val="24"/>
        </w:rPr>
        <w:br w:type="page"/>
      </w:r>
    </w:p>
    <w:tbl>
      <w:tblPr>
        <w:tblW w:w="9072" w:type="dxa"/>
        <w:tblInd w:w="113" w:type="dxa"/>
        <w:tblLook w:val="01E0" w:firstRow="1" w:lastRow="1" w:firstColumn="1" w:lastColumn="1" w:noHBand="0" w:noVBand="0"/>
      </w:tblPr>
      <w:tblGrid>
        <w:gridCol w:w="4855"/>
        <w:gridCol w:w="1620"/>
        <w:gridCol w:w="2597"/>
      </w:tblGrid>
      <w:tr w:rsidR="00331F21" w:rsidRPr="00331F21" w:rsidTr="00331F21">
        <w:tc>
          <w:tcPr>
            <w:tcW w:w="4855" w:type="dxa"/>
            <w:tcBorders>
              <w:top w:val="nil"/>
              <w:left w:val="nil"/>
              <w:bottom w:val="single" w:sz="4" w:space="0" w:color="auto"/>
              <w:right w:val="nil"/>
            </w:tcBorders>
            <w:hideMark/>
          </w:tcPr>
          <w:p w:rsidR="00331F21" w:rsidRPr="00331F21" w:rsidRDefault="00331F21">
            <w:pPr>
              <w:spacing w:after="0" w:line="240" w:lineRule="auto"/>
              <w:jc w:val="center"/>
              <w:rPr>
                <w:rFonts w:ascii="Times New Roman" w:eastAsia="Times New Roman" w:hAnsi="Times New Roman" w:cs="Times New Roman"/>
                <w:b/>
                <w:smallCaps/>
                <w:lang w:eastAsia="hu-HU"/>
              </w:rPr>
            </w:pPr>
            <w:r w:rsidRPr="00331F21">
              <w:rPr>
                <w:rFonts w:ascii="Times New Roman" w:eastAsia="Times New Roman" w:hAnsi="Times New Roman" w:cs="Times New Roman"/>
                <w:b/>
                <w:smallCaps/>
                <w:lang w:eastAsia="hu-HU"/>
              </w:rPr>
              <w:lastRenderedPageBreak/>
              <w:t>Nemzeti Közszolgálati Egyetem</w:t>
            </w:r>
          </w:p>
        </w:tc>
        <w:tc>
          <w:tcPr>
            <w:tcW w:w="1620" w:type="dxa"/>
          </w:tcPr>
          <w:p w:rsidR="00331F21" w:rsidRPr="00331F21" w:rsidRDefault="00331F21">
            <w:pPr>
              <w:spacing w:after="0" w:line="240" w:lineRule="auto"/>
              <w:jc w:val="both"/>
              <w:rPr>
                <w:rFonts w:ascii="Times New Roman" w:eastAsia="Times New Roman" w:hAnsi="Times New Roman" w:cs="Times New Roman"/>
                <w:lang w:eastAsia="hu-HU"/>
              </w:rPr>
            </w:pPr>
          </w:p>
        </w:tc>
        <w:tc>
          <w:tcPr>
            <w:tcW w:w="2597" w:type="dxa"/>
          </w:tcPr>
          <w:p w:rsidR="00331F21" w:rsidRPr="00331F21" w:rsidRDefault="00331F21">
            <w:pPr>
              <w:spacing w:after="0" w:line="240" w:lineRule="auto"/>
              <w:jc w:val="right"/>
              <w:rPr>
                <w:rFonts w:ascii="Times New Roman" w:eastAsia="Times New Roman" w:hAnsi="Times New Roman" w:cs="Times New Roman"/>
                <w:lang w:eastAsia="hu-HU"/>
              </w:rPr>
            </w:pPr>
          </w:p>
        </w:tc>
      </w:tr>
      <w:tr w:rsidR="00331F21" w:rsidRPr="00331F21" w:rsidTr="00331F21">
        <w:tc>
          <w:tcPr>
            <w:tcW w:w="4855" w:type="dxa"/>
            <w:tcBorders>
              <w:top w:val="single" w:sz="4" w:space="0" w:color="auto"/>
              <w:left w:val="nil"/>
              <w:bottom w:val="nil"/>
              <w:right w:val="nil"/>
            </w:tcBorders>
            <w:hideMark/>
          </w:tcPr>
          <w:p w:rsidR="00331F21" w:rsidRPr="00331F21" w:rsidRDefault="00331F21">
            <w:pPr>
              <w:spacing w:after="0" w:line="240" w:lineRule="auto"/>
              <w:jc w:val="center"/>
              <w:rPr>
                <w:rFonts w:ascii="Times New Roman" w:eastAsia="Times New Roman" w:hAnsi="Times New Roman" w:cs="Times New Roman"/>
                <w:b/>
                <w:lang w:eastAsia="hu-HU"/>
              </w:rPr>
            </w:pPr>
            <w:r w:rsidRPr="00331F21">
              <w:rPr>
                <w:rFonts w:ascii="Times New Roman" w:eastAsia="Times New Roman" w:hAnsi="Times New Roman" w:cs="Times New Roman"/>
                <w:b/>
                <w:lang w:eastAsia="hu-HU"/>
              </w:rPr>
              <w:t>Hadtudományi és Honvédtisztképző Kar</w:t>
            </w:r>
          </w:p>
        </w:tc>
        <w:tc>
          <w:tcPr>
            <w:tcW w:w="1620" w:type="dxa"/>
          </w:tcPr>
          <w:p w:rsidR="00331F21" w:rsidRPr="00331F21" w:rsidRDefault="00331F21">
            <w:pPr>
              <w:spacing w:after="0" w:line="240" w:lineRule="auto"/>
              <w:jc w:val="both"/>
              <w:rPr>
                <w:rFonts w:ascii="Times New Roman" w:eastAsia="Times New Roman" w:hAnsi="Times New Roman" w:cs="Times New Roman"/>
                <w:lang w:eastAsia="hu-HU"/>
              </w:rPr>
            </w:pPr>
          </w:p>
        </w:tc>
        <w:tc>
          <w:tcPr>
            <w:tcW w:w="2597" w:type="dxa"/>
          </w:tcPr>
          <w:p w:rsidR="00331F21" w:rsidRPr="00331F21" w:rsidRDefault="00331F21">
            <w:pPr>
              <w:spacing w:after="0" w:line="240" w:lineRule="auto"/>
              <w:jc w:val="both"/>
              <w:rPr>
                <w:rFonts w:ascii="Times New Roman" w:eastAsia="Times New Roman" w:hAnsi="Times New Roman" w:cs="Times New Roman"/>
                <w:lang w:eastAsia="hu-HU"/>
              </w:rPr>
            </w:pPr>
          </w:p>
        </w:tc>
      </w:tr>
    </w:tbl>
    <w:p w:rsidR="00331F21" w:rsidRPr="00331F21" w:rsidRDefault="00331F21" w:rsidP="00331F21">
      <w:pPr>
        <w:widowControl w:val="0"/>
        <w:spacing w:before="120" w:after="120" w:line="240" w:lineRule="auto"/>
        <w:ind w:left="426" w:hanging="142"/>
        <w:jc w:val="center"/>
        <w:rPr>
          <w:rFonts w:ascii="Times New Roman" w:eastAsia="Times New Roman" w:hAnsi="Times New Roman" w:cs="Times New Roman"/>
          <w:b/>
          <w:bCs/>
        </w:rPr>
      </w:pPr>
    </w:p>
    <w:p w:rsidR="00331F21" w:rsidRPr="00331F21" w:rsidRDefault="00331F21" w:rsidP="00331F21">
      <w:pPr>
        <w:widowControl w:val="0"/>
        <w:spacing w:before="120" w:after="120" w:line="240" w:lineRule="auto"/>
        <w:ind w:left="426" w:hanging="142"/>
        <w:jc w:val="center"/>
        <w:rPr>
          <w:rFonts w:ascii="Times New Roman" w:eastAsia="Times New Roman" w:hAnsi="Times New Roman" w:cs="Times New Roman"/>
          <w:b/>
          <w:bCs/>
        </w:rPr>
      </w:pPr>
      <w:r w:rsidRPr="00331F21">
        <w:rPr>
          <w:rFonts w:ascii="Times New Roman" w:eastAsia="Times New Roman" w:hAnsi="Times New Roman" w:cs="Times New Roman"/>
          <w:b/>
          <w:bCs/>
        </w:rPr>
        <w:t>TANTÁRGYI PROGRAM</w:t>
      </w:r>
    </w:p>
    <w:p w:rsidR="00331F21" w:rsidRPr="00331F21" w:rsidRDefault="00331F21" w:rsidP="00C14833">
      <w:pPr>
        <w:widowControl w:val="0"/>
        <w:numPr>
          <w:ilvl w:val="0"/>
          <w:numId w:val="118"/>
        </w:numPr>
        <w:spacing w:before="120" w:after="120" w:line="240" w:lineRule="auto"/>
        <w:ind w:left="426" w:hanging="142"/>
        <w:jc w:val="both"/>
        <w:rPr>
          <w:rFonts w:ascii="Times New Roman" w:eastAsia="Times New Roman" w:hAnsi="Times New Roman" w:cs="Times New Roman"/>
          <w:bCs/>
        </w:rPr>
      </w:pPr>
      <w:r w:rsidRPr="00331F21">
        <w:rPr>
          <w:rFonts w:ascii="Times New Roman" w:eastAsia="Times New Roman" w:hAnsi="Times New Roman" w:cs="Times New Roman"/>
          <w:b/>
          <w:bCs/>
        </w:rPr>
        <w:t xml:space="preserve">A tantárgy kódja: </w:t>
      </w:r>
      <w:r w:rsidRPr="00331F21">
        <w:rPr>
          <w:rFonts w:ascii="Times New Roman" w:hAnsi="Times New Roman" w:cs="Times New Roman"/>
          <w:bCs/>
        </w:rPr>
        <w:t>HKHPKA30</w:t>
      </w:r>
      <w:r>
        <w:rPr>
          <w:rFonts w:ascii="Times New Roman" w:hAnsi="Times New Roman" w:cs="Times New Roman"/>
          <w:bCs/>
        </w:rPr>
        <w:t>1</w:t>
      </w:r>
    </w:p>
    <w:p w:rsidR="00331F21" w:rsidRPr="00331F21" w:rsidRDefault="00331F21" w:rsidP="00C14833">
      <w:pPr>
        <w:widowControl w:val="0"/>
        <w:numPr>
          <w:ilvl w:val="0"/>
          <w:numId w:val="118"/>
        </w:numPr>
        <w:spacing w:before="120" w:after="120" w:line="240" w:lineRule="auto"/>
        <w:ind w:left="426" w:hanging="142"/>
        <w:jc w:val="both"/>
        <w:rPr>
          <w:rFonts w:ascii="Times New Roman" w:eastAsia="Times New Roman" w:hAnsi="Times New Roman" w:cs="Times New Roman"/>
          <w:b/>
          <w:bCs/>
          <w:lang w:val="en-GB"/>
        </w:rPr>
      </w:pPr>
      <w:r w:rsidRPr="00331F21">
        <w:rPr>
          <w:rFonts w:ascii="Times New Roman" w:eastAsia="Times New Roman" w:hAnsi="Times New Roman" w:cs="Times New Roman"/>
          <w:b/>
          <w:bCs/>
        </w:rPr>
        <w:t>A tantárgy megnevezése (magyarul):</w:t>
      </w:r>
      <w:r w:rsidRPr="00331F21">
        <w:rPr>
          <w:rFonts w:ascii="Times New Roman" w:eastAsia="Times New Roman" w:hAnsi="Times New Roman" w:cs="Times New Roman"/>
          <w:bCs/>
        </w:rPr>
        <w:t xml:space="preserve"> </w:t>
      </w:r>
      <w:r w:rsidRPr="00331F21">
        <w:rPr>
          <w:rFonts w:ascii="Times New Roman" w:hAnsi="Times New Roman" w:cs="Times New Roman"/>
          <w:bCs/>
        </w:rPr>
        <w:t>Katonai szállítások alapjai</w:t>
      </w:r>
    </w:p>
    <w:p w:rsidR="00331F21" w:rsidRPr="00331F21" w:rsidRDefault="00331F21" w:rsidP="00C14833">
      <w:pPr>
        <w:widowControl w:val="0"/>
        <w:numPr>
          <w:ilvl w:val="0"/>
          <w:numId w:val="118"/>
        </w:numPr>
        <w:spacing w:before="120" w:after="120" w:line="240" w:lineRule="auto"/>
        <w:ind w:left="426" w:hanging="142"/>
        <w:jc w:val="both"/>
        <w:rPr>
          <w:rFonts w:ascii="Times New Roman" w:eastAsia="Times New Roman" w:hAnsi="Times New Roman" w:cs="Times New Roman"/>
          <w:b/>
          <w:bCs/>
          <w:lang w:val="en-GB"/>
        </w:rPr>
      </w:pPr>
      <w:r w:rsidRPr="00331F21">
        <w:rPr>
          <w:rFonts w:ascii="Times New Roman" w:eastAsia="Times New Roman" w:hAnsi="Times New Roman" w:cs="Times New Roman"/>
          <w:b/>
          <w:bCs/>
        </w:rPr>
        <w:t xml:space="preserve">A tantárgy megnevezése (angolul): </w:t>
      </w:r>
      <w:r w:rsidRPr="00331F21">
        <w:rPr>
          <w:rFonts w:ascii="Times New Roman" w:hAnsi="Times New Roman" w:cs="Times New Roman"/>
          <w:bCs/>
        </w:rPr>
        <w:t>Basic of the Military Transportation</w:t>
      </w:r>
    </w:p>
    <w:p w:rsidR="00331F21" w:rsidRPr="00331F21" w:rsidRDefault="00331F21" w:rsidP="00C14833">
      <w:pPr>
        <w:widowControl w:val="0"/>
        <w:numPr>
          <w:ilvl w:val="0"/>
          <w:numId w:val="118"/>
        </w:numPr>
        <w:spacing w:before="120" w:after="120" w:line="240" w:lineRule="auto"/>
        <w:ind w:left="426" w:hanging="142"/>
        <w:jc w:val="both"/>
        <w:rPr>
          <w:rFonts w:ascii="Times New Roman" w:eastAsia="Times New Roman" w:hAnsi="Times New Roman" w:cs="Times New Roman"/>
          <w:b/>
          <w:bCs/>
        </w:rPr>
      </w:pPr>
      <w:r w:rsidRPr="00331F21">
        <w:rPr>
          <w:rFonts w:ascii="Times New Roman" w:eastAsia="Times New Roman" w:hAnsi="Times New Roman" w:cs="Times New Roman"/>
          <w:b/>
          <w:bCs/>
        </w:rPr>
        <w:t xml:space="preserve">Kreditérték és képzési karakter: </w:t>
      </w:r>
    </w:p>
    <w:p w:rsidR="00331F21" w:rsidRPr="00331F21" w:rsidRDefault="00331F21" w:rsidP="00C14833">
      <w:pPr>
        <w:pStyle w:val="Listaszerbekezds"/>
        <w:widowControl w:val="0"/>
        <w:numPr>
          <w:ilvl w:val="1"/>
          <w:numId w:val="118"/>
        </w:numPr>
        <w:spacing w:before="120" w:after="120" w:line="240" w:lineRule="auto"/>
        <w:ind w:left="993" w:hanging="426"/>
        <w:jc w:val="both"/>
        <w:rPr>
          <w:rFonts w:ascii="Times New Roman" w:eastAsia="Times New Roman" w:hAnsi="Times New Roman" w:cs="Times New Roman"/>
          <w:b/>
          <w:bCs/>
        </w:rPr>
      </w:pPr>
      <w:r w:rsidRPr="00331F21">
        <w:rPr>
          <w:rFonts w:ascii="Times New Roman" w:eastAsia="Times New Roman" w:hAnsi="Times New Roman" w:cs="Times New Roman"/>
          <w:bCs/>
        </w:rPr>
        <w:t>2 kredit</w:t>
      </w:r>
    </w:p>
    <w:p w:rsidR="00331F21" w:rsidRPr="00331F21" w:rsidRDefault="00331F21" w:rsidP="00C14833">
      <w:pPr>
        <w:pStyle w:val="Listaszerbekezds"/>
        <w:widowControl w:val="0"/>
        <w:numPr>
          <w:ilvl w:val="1"/>
          <w:numId w:val="118"/>
        </w:numPr>
        <w:spacing w:before="120" w:after="120" w:line="240" w:lineRule="auto"/>
        <w:ind w:left="993" w:hanging="426"/>
        <w:jc w:val="both"/>
        <w:rPr>
          <w:rFonts w:ascii="Times New Roman" w:eastAsia="Times New Roman" w:hAnsi="Times New Roman" w:cs="Times New Roman"/>
          <w:b/>
          <w:bCs/>
        </w:rPr>
      </w:pPr>
      <w:r w:rsidRPr="00331F21">
        <w:rPr>
          <w:rFonts w:ascii="Times New Roman" w:eastAsia="Times New Roman" w:hAnsi="Times New Roman" w:cs="Times New Roman"/>
          <w:bCs/>
        </w:rPr>
        <w:t>a tantárgy elméleti vagy gyakorlati jellegének mértéke: 50</w:t>
      </w:r>
      <w:r w:rsidRPr="00331F21">
        <w:rPr>
          <w:rFonts w:ascii="Times New Roman" w:eastAsia="Times New Roman" w:hAnsi="Times New Roman" w:cs="Times New Roman"/>
          <w:b/>
          <w:bCs/>
        </w:rPr>
        <w:t xml:space="preserve"> </w:t>
      </w:r>
      <w:r w:rsidRPr="00331F21">
        <w:rPr>
          <w:rFonts w:ascii="Times New Roman" w:eastAsia="Times New Roman" w:hAnsi="Times New Roman" w:cs="Times New Roman"/>
          <w:bCs/>
        </w:rPr>
        <w:t>% gyakorlat, 50 % elmélet</w:t>
      </w:r>
    </w:p>
    <w:p w:rsidR="00331F21" w:rsidRPr="00331F21" w:rsidRDefault="00331F21" w:rsidP="00C14833">
      <w:pPr>
        <w:widowControl w:val="0"/>
        <w:numPr>
          <w:ilvl w:val="0"/>
          <w:numId w:val="118"/>
        </w:numPr>
        <w:spacing w:before="120" w:after="120" w:line="240" w:lineRule="auto"/>
        <w:ind w:left="426" w:hanging="142"/>
        <w:jc w:val="both"/>
        <w:rPr>
          <w:rFonts w:ascii="Times New Roman" w:eastAsia="Times New Roman" w:hAnsi="Times New Roman" w:cs="Times New Roman"/>
          <w:bCs/>
        </w:rPr>
      </w:pPr>
      <w:r w:rsidRPr="00331F21">
        <w:rPr>
          <w:rFonts w:ascii="Times New Roman" w:eastAsia="Times New Roman" w:hAnsi="Times New Roman" w:cs="Times New Roman"/>
          <w:b/>
          <w:bCs/>
        </w:rPr>
        <w:t>A szak(ok), szakirányok/specializációk megnevezése (ahol oktatják):</w:t>
      </w:r>
      <w:r w:rsidRPr="00331F21">
        <w:rPr>
          <w:rFonts w:ascii="Times New Roman" w:eastAsia="Times New Roman" w:hAnsi="Times New Roman" w:cs="Times New Roman"/>
          <w:bCs/>
        </w:rPr>
        <w:t xml:space="preserve"> Katonai logisztika alapképzési szak</w:t>
      </w:r>
    </w:p>
    <w:p w:rsidR="00331F21" w:rsidRPr="00331F21" w:rsidRDefault="00331F21" w:rsidP="00C14833">
      <w:pPr>
        <w:widowControl w:val="0"/>
        <w:numPr>
          <w:ilvl w:val="0"/>
          <w:numId w:val="118"/>
        </w:numPr>
        <w:spacing w:before="120" w:after="120" w:line="240" w:lineRule="auto"/>
        <w:ind w:left="426" w:hanging="142"/>
        <w:jc w:val="both"/>
        <w:rPr>
          <w:rFonts w:ascii="Times New Roman" w:eastAsia="Times New Roman" w:hAnsi="Times New Roman" w:cs="Times New Roman"/>
          <w:bCs/>
        </w:rPr>
      </w:pPr>
      <w:r w:rsidRPr="00331F21">
        <w:rPr>
          <w:rFonts w:ascii="Times New Roman" w:eastAsia="Times New Roman" w:hAnsi="Times New Roman" w:cs="Times New Roman"/>
          <w:b/>
          <w:bCs/>
        </w:rPr>
        <w:t xml:space="preserve">Az oktatásért felelős oktatási szervezeti egység megnevezése: </w:t>
      </w:r>
      <w:r w:rsidRPr="00331F21">
        <w:rPr>
          <w:rFonts w:ascii="Times New Roman" w:eastAsia="Times New Roman" w:hAnsi="Times New Roman" w:cs="Times New Roman"/>
          <w:bCs/>
        </w:rPr>
        <w:t>NKE HHK, Hadtáp, Pénzügyi és Katonai Közlekedési Tanszék</w:t>
      </w:r>
    </w:p>
    <w:p w:rsidR="00331F21" w:rsidRPr="00331F21" w:rsidRDefault="00331F21" w:rsidP="00C14833">
      <w:pPr>
        <w:widowControl w:val="0"/>
        <w:numPr>
          <w:ilvl w:val="0"/>
          <w:numId w:val="118"/>
        </w:numPr>
        <w:spacing w:before="120" w:after="120" w:line="240" w:lineRule="auto"/>
        <w:ind w:left="426" w:hanging="142"/>
        <w:jc w:val="both"/>
        <w:rPr>
          <w:rFonts w:ascii="Times New Roman" w:eastAsia="Times New Roman" w:hAnsi="Times New Roman" w:cs="Times New Roman"/>
          <w:bCs/>
        </w:rPr>
      </w:pPr>
      <w:r w:rsidRPr="00331F21">
        <w:rPr>
          <w:rFonts w:ascii="Times New Roman" w:eastAsia="Times New Roman" w:hAnsi="Times New Roman" w:cs="Times New Roman"/>
          <w:b/>
          <w:bCs/>
        </w:rPr>
        <w:t>A tantárgyfelelős oktató neve, beosztása, tudományos fokozata:</w:t>
      </w:r>
      <w:r w:rsidRPr="00331F21">
        <w:rPr>
          <w:rFonts w:ascii="Times New Roman" w:eastAsia="Times New Roman" w:hAnsi="Times New Roman" w:cs="Times New Roman"/>
          <w:bCs/>
        </w:rPr>
        <w:t xml:space="preserve"> Dr. Fábos Róbert, PhD, adjunktus</w:t>
      </w:r>
    </w:p>
    <w:p w:rsidR="00331F21" w:rsidRPr="00331F21" w:rsidRDefault="00331F21" w:rsidP="00C14833">
      <w:pPr>
        <w:widowControl w:val="0"/>
        <w:numPr>
          <w:ilvl w:val="0"/>
          <w:numId w:val="118"/>
        </w:numPr>
        <w:spacing w:before="120" w:after="120" w:line="240" w:lineRule="auto"/>
        <w:ind w:left="426" w:hanging="142"/>
        <w:jc w:val="both"/>
        <w:rPr>
          <w:rFonts w:ascii="Times New Roman" w:eastAsia="Times New Roman" w:hAnsi="Times New Roman" w:cs="Times New Roman"/>
          <w:bCs/>
        </w:rPr>
      </w:pPr>
      <w:r w:rsidRPr="00331F21">
        <w:rPr>
          <w:rFonts w:ascii="Times New Roman" w:eastAsia="Times New Roman" w:hAnsi="Times New Roman" w:cs="Times New Roman"/>
          <w:b/>
          <w:bCs/>
        </w:rPr>
        <w:t>A tanórák száma és típusa</w:t>
      </w:r>
    </w:p>
    <w:p w:rsidR="00331F21" w:rsidRPr="00331F21" w:rsidRDefault="00331F21" w:rsidP="00C14833">
      <w:pPr>
        <w:widowControl w:val="0"/>
        <w:numPr>
          <w:ilvl w:val="1"/>
          <w:numId w:val="118"/>
        </w:numPr>
        <w:spacing w:before="120" w:after="120" w:line="240" w:lineRule="auto"/>
        <w:ind w:left="851" w:hanging="425"/>
        <w:jc w:val="both"/>
        <w:rPr>
          <w:rFonts w:ascii="Times New Roman" w:eastAsia="Times New Roman" w:hAnsi="Times New Roman" w:cs="Times New Roman"/>
          <w:bCs/>
        </w:rPr>
      </w:pPr>
      <w:r w:rsidRPr="00331F21">
        <w:rPr>
          <w:rFonts w:ascii="Times New Roman" w:eastAsia="Times New Roman" w:hAnsi="Times New Roman" w:cs="Times New Roman"/>
          <w:bCs/>
        </w:rPr>
        <w:t xml:space="preserve">össz óraszám/félév: </w:t>
      </w:r>
      <w:r w:rsidRPr="00331F21">
        <w:rPr>
          <w:rFonts w:ascii="Times New Roman" w:eastAsia="Times New Roman" w:hAnsi="Times New Roman" w:cs="Times New Roman"/>
        </w:rPr>
        <w:t>28</w:t>
      </w:r>
    </w:p>
    <w:p w:rsidR="00331F21" w:rsidRPr="00331F21" w:rsidRDefault="00331F21" w:rsidP="00C14833">
      <w:pPr>
        <w:widowControl w:val="0"/>
        <w:numPr>
          <w:ilvl w:val="2"/>
          <w:numId w:val="118"/>
        </w:numPr>
        <w:tabs>
          <w:tab w:val="clear" w:pos="1800"/>
        </w:tabs>
        <w:spacing w:after="0" w:line="240" w:lineRule="auto"/>
        <w:ind w:left="1134" w:hanging="425"/>
        <w:jc w:val="both"/>
        <w:rPr>
          <w:rFonts w:ascii="Times New Roman" w:eastAsia="Times New Roman" w:hAnsi="Times New Roman" w:cs="Times New Roman"/>
          <w:bCs/>
        </w:rPr>
      </w:pPr>
      <w:r w:rsidRPr="00331F21">
        <w:rPr>
          <w:rFonts w:ascii="Times New Roman" w:eastAsia="Times New Roman" w:hAnsi="Times New Roman" w:cs="Times New Roman"/>
          <w:bCs/>
        </w:rPr>
        <w:t>nappali munkarend: 28 (14 EA + 0 SZ + 14 GY)</w:t>
      </w:r>
    </w:p>
    <w:p w:rsidR="00331F21" w:rsidRPr="00331F21" w:rsidRDefault="00331F21" w:rsidP="00C14833">
      <w:pPr>
        <w:widowControl w:val="0"/>
        <w:numPr>
          <w:ilvl w:val="2"/>
          <w:numId w:val="118"/>
        </w:numPr>
        <w:tabs>
          <w:tab w:val="clear" w:pos="1800"/>
        </w:tabs>
        <w:spacing w:after="0" w:line="240" w:lineRule="auto"/>
        <w:ind w:left="1134" w:hanging="425"/>
        <w:jc w:val="both"/>
        <w:rPr>
          <w:rFonts w:ascii="Times New Roman" w:eastAsia="Times New Roman" w:hAnsi="Times New Roman" w:cs="Times New Roman"/>
          <w:bCs/>
        </w:rPr>
      </w:pPr>
      <w:r w:rsidRPr="00331F21">
        <w:rPr>
          <w:rFonts w:ascii="Times New Roman" w:eastAsia="Times New Roman" w:hAnsi="Times New Roman" w:cs="Times New Roman"/>
          <w:bCs/>
        </w:rPr>
        <w:t>levelező munkarend: 0 (0 EA + 0 SZ + 0 GY)</w:t>
      </w:r>
    </w:p>
    <w:p w:rsidR="00331F21" w:rsidRPr="00331F21" w:rsidRDefault="00331F21" w:rsidP="00C14833">
      <w:pPr>
        <w:widowControl w:val="0"/>
        <w:numPr>
          <w:ilvl w:val="1"/>
          <w:numId w:val="118"/>
        </w:numPr>
        <w:spacing w:before="120" w:after="120" w:line="240" w:lineRule="auto"/>
        <w:ind w:left="851" w:hanging="425"/>
        <w:jc w:val="both"/>
        <w:rPr>
          <w:rFonts w:ascii="Times New Roman" w:eastAsia="Times New Roman" w:hAnsi="Times New Roman" w:cs="Times New Roman"/>
          <w:bCs/>
        </w:rPr>
      </w:pPr>
      <w:r w:rsidRPr="00331F21">
        <w:rPr>
          <w:rFonts w:ascii="Times New Roman" w:eastAsia="Times New Roman" w:hAnsi="Times New Roman" w:cs="Times New Roman"/>
          <w:bCs/>
        </w:rPr>
        <w:t xml:space="preserve">heti óraszám - nappali munkarend: </w:t>
      </w:r>
      <w:r w:rsidRPr="00331F21">
        <w:rPr>
          <w:rFonts w:ascii="Times New Roman" w:eastAsia="Times New Roman" w:hAnsi="Times New Roman" w:cs="Times New Roman"/>
        </w:rPr>
        <w:t>2</w:t>
      </w:r>
    </w:p>
    <w:p w:rsidR="00331F21" w:rsidRPr="00331F21" w:rsidRDefault="00331F21" w:rsidP="00C14833">
      <w:pPr>
        <w:widowControl w:val="0"/>
        <w:numPr>
          <w:ilvl w:val="1"/>
          <w:numId w:val="118"/>
        </w:numPr>
        <w:spacing w:before="120" w:after="120" w:line="240" w:lineRule="auto"/>
        <w:ind w:left="851" w:hanging="425"/>
        <w:jc w:val="both"/>
        <w:rPr>
          <w:rFonts w:ascii="Times New Roman" w:eastAsia="Times New Roman" w:hAnsi="Times New Roman" w:cs="Times New Roman"/>
          <w:bCs/>
        </w:rPr>
      </w:pPr>
      <w:r w:rsidRPr="00331F21">
        <w:rPr>
          <w:rFonts w:ascii="Times New Roman" w:hAnsi="Times New Roman" w:cs="Times New Roman"/>
        </w:rPr>
        <w:t>Az ismeret átadásában alkalmazandó további sajátos módok, jellemzők: -</w:t>
      </w:r>
    </w:p>
    <w:p w:rsidR="00331F21" w:rsidRPr="00331F21" w:rsidRDefault="00331F21" w:rsidP="00C14833">
      <w:pPr>
        <w:widowControl w:val="0"/>
        <w:numPr>
          <w:ilvl w:val="0"/>
          <w:numId w:val="118"/>
        </w:numPr>
        <w:spacing w:before="120" w:after="120" w:line="240" w:lineRule="auto"/>
        <w:ind w:left="426" w:hanging="142"/>
        <w:jc w:val="both"/>
        <w:rPr>
          <w:rFonts w:ascii="Times New Roman" w:eastAsia="Times New Roman" w:hAnsi="Times New Roman" w:cs="Times New Roman"/>
          <w:bCs/>
        </w:rPr>
      </w:pPr>
      <w:r w:rsidRPr="00331F21">
        <w:rPr>
          <w:rFonts w:ascii="Times New Roman" w:eastAsia="Times New Roman" w:hAnsi="Times New Roman" w:cs="Times New Roman"/>
          <w:b/>
          <w:bCs/>
        </w:rPr>
        <w:t>A tantárgy szakmai tartalma (magyarul):</w:t>
      </w:r>
      <w:r w:rsidRPr="00331F21">
        <w:rPr>
          <w:rFonts w:ascii="Times New Roman" w:eastAsia="Times New Roman" w:hAnsi="Times New Roman" w:cs="Times New Roman"/>
          <w:bCs/>
        </w:rPr>
        <w:t xml:space="preserve"> </w:t>
      </w:r>
      <w:r w:rsidRPr="00331F21">
        <w:rPr>
          <w:rFonts w:ascii="Times New Roman" w:hAnsi="Times New Roman" w:cs="Times New Roman"/>
        </w:rPr>
        <w:t>A közlekedéssel kapcsolatos alapfogalmak. A közlekedéssel szemben támasztott követelmények. A közlekedési ágazati szerkezete. Közlekedési szükségleteket befolyásoló tényezők. Közlekedési alágazatok jellemzése, jelentősége, munkamegosztás. Szállítási folyamat elemei, katonai sajátosságai. Katonai szállítások tervezésének, szervezésének és végrehajtásának alapjai honi területen, valamint a szövetséges kötelezettségekből adódó feladatok során. A katonai szállítások végrehajtására szervezet alegységek, egységek szervezeti felépítése, feladatrendszere. A katonai szállítások végrehajtását befolyásoló főbb polgári jogi szabályozó elemek.</w:t>
      </w:r>
    </w:p>
    <w:p w:rsidR="00331F21" w:rsidRPr="00331F21" w:rsidRDefault="00331F21" w:rsidP="00331F21">
      <w:pPr>
        <w:widowControl w:val="0"/>
        <w:spacing w:before="120" w:after="120" w:line="240" w:lineRule="auto"/>
        <w:ind w:left="426"/>
        <w:jc w:val="both"/>
        <w:rPr>
          <w:rFonts w:ascii="Times New Roman" w:eastAsia="Times New Roman" w:hAnsi="Times New Roman" w:cs="Times New Roman"/>
          <w:bCs/>
          <w:lang w:val="en-GB"/>
        </w:rPr>
      </w:pPr>
      <w:r w:rsidRPr="00331F21">
        <w:rPr>
          <w:rFonts w:ascii="Times New Roman" w:eastAsia="Times New Roman" w:hAnsi="Times New Roman" w:cs="Times New Roman"/>
          <w:b/>
          <w:bCs/>
        </w:rPr>
        <w:t>A tantárgy szakmai tartalma (angolul) (</w:t>
      </w:r>
      <w:r w:rsidRPr="00331F21">
        <w:rPr>
          <w:rFonts w:ascii="Times New Roman" w:eastAsia="Times New Roman" w:hAnsi="Times New Roman" w:cs="Times New Roman"/>
          <w:b/>
          <w:bCs/>
          <w:lang w:val="en-US"/>
        </w:rPr>
        <w:t>Course description</w:t>
      </w:r>
      <w:r w:rsidRPr="00331F21">
        <w:rPr>
          <w:rFonts w:ascii="Times New Roman" w:eastAsia="Times New Roman" w:hAnsi="Times New Roman" w:cs="Times New Roman"/>
          <w:b/>
          <w:bCs/>
        </w:rPr>
        <w:t xml:space="preserve">): </w:t>
      </w:r>
      <w:r w:rsidRPr="00331F21">
        <w:rPr>
          <w:rFonts w:ascii="Times New Roman" w:hAnsi="Times New Roman" w:cs="Times New Roman"/>
          <w:bCs/>
        </w:rPr>
        <w:t>Fundamental conceptions of transportation. Requirements of transportation. The structure of transportation. Factors influencing transport demands. Characterization, significance of the transport subsectors, division of labor. Elements and military features of the transport process. The basics of planning, organizing and implementing of military transportation in inland as well as in the tasks deriving from the allied obligations. The organizational structure and tasks of subunits and units organized for execution of military trasportation. Major civil regulatory elements affecting the implementation of military transport.</w:t>
      </w:r>
    </w:p>
    <w:p w:rsidR="00331F21" w:rsidRPr="00331F21" w:rsidRDefault="00331F21" w:rsidP="00C14833">
      <w:pPr>
        <w:pStyle w:val="Listaszerbekezds"/>
        <w:widowControl w:val="0"/>
        <w:numPr>
          <w:ilvl w:val="0"/>
          <w:numId w:val="118"/>
        </w:numPr>
        <w:spacing w:before="120" w:after="120" w:line="240" w:lineRule="auto"/>
        <w:jc w:val="both"/>
        <w:rPr>
          <w:rFonts w:ascii="Times New Roman" w:eastAsia="Times New Roman" w:hAnsi="Times New Roman" w:cs="Times New Roman"/>
          <w:bCs/>
        </w:rPr>
      </w:pPr>
      <w:r w:rsidRPr="00331F21">
        <w:rPr>
          <w:rFonts w:ascii="Times New Roman" w:eastAsia="Times New Roman" w:hAnsi="Times New Roman" w:cs="Times New Roman"/>
          <w:b/>
          <w:bCs/>
        </w:rPr>
        <w:t xml:space="preserve">Elérendő kompetenciák (magyarul): </w:t>
      </w:r>
    </w:p>
    <w:p w:rsidR="00331F21" w:rsidRPr="00331F21" w:rsidRDefault="00331F21" w:rsidP="00331F21">
      <w:pPr>
        <w:autoSpaceDE w:val="0"/>
        <w:autoSpaceDN w:val="0"/>
        <w:adjustRightInd w:val="0"/>
        <w:spacing w:before="120" w:after="0" w:line="240" w:lineRule="auto"/>
        <w:ind w:left="425"/>
        <w:jc w:val="both"/>
        <w:rPr>
          <w:rFonts w:ascii="Times New Roman" w:eastAsia="Times New Roman" w:hAnsi="Times New Roman" w:cs="Times New Roman"/>
          <w:b/>
          <w:bCs/>
        </w:rPr>
      </w:pPr>
      <w:r w:rsidRPr="00331F21">
        <w:rPr>
          <w:rFonts w:ascii="Times New Roman" w:eastAsia="Times New Roman" w:hAnsi="Times New Roman" w:cs="Times New Roman"/>
          <w:b/>
          <w:bCs/>
        </w:rPr>
        <w:t xml:space="preserve">Tudása: </w:t>
      </w:r>
    </w:p>
    <w:p w:rsidR="00331F21" w:rsidRPr="00331F21" w:rsidRDefault="00331F21" w:rsidP="00C14833">
      <w:pPr>
        <w:pStyle w:val="Listaszerbekezds"/>
        <w:numPr>
          <w:ilvl w:val="0"/>
          <w:numId w:val="116"/>
        </w:numPr>
        <w:autoSpaceDE w:val="0"/>
        <w:autoSpaceDN w:val="0"/>
        <w:adjustRightInd w:val="0"/>
        <w:spacing w:after="0" w:line="240" w:lineRule="auto"/>
        <w:ind w:left="786"/>
        <w:jc w:val="both"/>
        <w:rPr>
          <w:rFonts w:ascii="Times New Roman" w:hAnsi="Times New Roman" w:cs="Times New Roman"/>
        </w:rPr>
      </w:pPr>
      <w:r w:rsidRPr="00331F21">
        <w:rPr>
          <w:rFonts w:ascii="Times New Roman" w:hAnsi="Times New Roman" w:cs="Times New Roman"/>
        </w:rPr>
        <w:t>Ismeri a katonai közlekedési szakterülethez szervesen kapcsolódó logisztikai, menedzsment, környezetvédelmi, minőségbiztosítási, információtechnológiai, jogi, közgazdasági szakterületek alapjait és követelményeit.</w:t>
      </w:r>
    </w:p>
    <w:p w:rsidR="00331F21" w:rsidRPr="00331F21" w:rsidRDefault="00331F21" w:rsidP="00C14833">
      <w:pPr>
        <w:pStyle w:val="Listaszerbekezds"/>
        <w:numPr>
          <w:ilvl w:val="0"/>
          <w:numId w:val="116"/>
        </w:numPr>
        <w:autoSpaceDE w:val="0"/>
        <w:autoSpaceDN w:val="0"/>
        <w:adjustRightInd w:val="0"/>
        <w:spacing w:after="0" w:line="240" w:lineRule="auto"/>
        <w:ind w:left="786"/>
        <w:jc w:val="both"/>
        <w:rPr>
          <w:rFonts w:ascii="Times New Roman" w:hAnsi="Times New Roman" w:cs="Times New Roman"/>
        </w:rPr>
      </w:pPr>
      <w:r w:rsidRPr="00331F21">
        <w:rPr>
          <w:rFonts w:ascii="Times New Roman" w:hAnsi="Times New Roman" w:cs="Times New Roman"/>
        </w:rPr>
        <w:t>Ismeri a katonai közlekedési szakterület szaktechnikai eszközeit, a közlekedési pályákat és létesítményeiket, azok igénybevételének és üzemeltetésének szabályait.</w:t>
      </w:r>
    </w:p>
    <w:p w:rsidR="00331F21" w:rsidRPr="00331F21" w:rsidRDefault="00331F21" w:rsidP="00C14833">
      <w:pPr>
        <w:pStyle w:val="Listaszerbekezds"/>
        <w:numPr>
          <w:ilvl w:val="0"/>
          <w:numId w:val="116"/>
        </w:numPr>
        <w:autoSpaceDE w:val="0"/>
        <w:autoSpaceDN w:val="0"/>
        <w:adjustRightInd w:val="0"/>
        <w:spacing w:after="0" w:line="240" w:lineRule="auto"/>
        <w:ind w:left="786"/>
        <w:jc w:val="both"/>
        <w:rPr>
          <w:rFonts w:ascii="Times New Roman" w:hAnsi="Times New Roman" w:cs="Times New Roman"/>
        </w:rPr>
      </w:pPr>
      <w:r w:rsidRPr="00331F21">
        <w:rPr>
          <w:rFonts w:ascii="Times New Roman" w:hAnsi="Times New Roman" w:cs="Times New Roman"/>
        </w:rPr>
        <w:lastRenderedPageBreak/>
        <w:t>Ismeri a katonai közlekedési szakanyagok készletezésének, tárolásának, nyilvántartásának és leltározásának, valamint ezen folyamatok ellenőrzésének feladatait és kötelezettségeit.</w:t>
      </w:r>
    </w:p>
    <w:p w:rsidR="00331F21" w:rsidRPr="00331F21" w:rsidRDefault="00331F21" w:rsidP="00C14833">
      <w:pPr>
        <w:pStyle w:val="Listaszerbekezds"/>
        <w:numPr>
          <w:ilvl w:val="0"/>
          <w:numId w:val="116"/>
        </w:numPr>
        <w:autoSpaceDE w:val="0"/>
        <w:autoSpaceDN w:val="0"/>
        <w:adjustRightInd w:val="0"/>
        <w:spacing w:after="0" w:line="240" w:lineRule="auto"/>
        <w:ind w:left="786"/>
        <w:jc w:val="both"/>
        <w:rPr>
          <w:rFonts w:ascii="Times New Roman" w:hAnsi="Times New Roman" w:cs="Times New Roman"/>
        </w:rPr>
      </w:pPr>
      <w:r w:rsidRPr="00331F21">
        <w:rPr>
          <w:rFonts w:ascii="Times New Roman" w:hAnsi="Times New Roman" w:cs="Times New Roman"/>
        </w:rPr>
        <w:t>Mélyrehatóan ismeri a katonai közlekedési szakterület szakmai feladatait, a közlekedési szakfeladatok rendszerét, az egyes feladatok végrehajtásának sajátosságait.</w:t>
      </w:r>
    </w:p>
    <w:p w:rsidR="00331F21" w:rsidRPr="00331F21" w:rsidRDefault="00331F21" w:rsidP="00C14833">
      <w:pPr>
        <w:pStyle w:val="Listaszerbekezds"/>
        <w:numPr>
          <w:ilvl w:val="0"/>
          <w:numId w:val="116"/>
        </w:numPr>
        <w:autoSpaceDE w:val="0"/>
        <w:autoSpaceDN w:val="0"/>
        <w:adjustRightInd w:val="0"/>
        <w:spacing w:after="0" w:line="240" w:lineRule="auto"/>
        <w:ind w:left="786"/>
        <w:jc w:val="both"/>
        <w:rPr>
          <w:rFonts w:ascii="Times New Roman" w:hAnsi="Times New Roman" w:cs="Times New Roman"/>
        </w:rPr>
      </w:pPr>
      <w:r w:rsidRPr="00331F21">
        <w:rPr>
          <w:rFonts w:ascii="Times New Roman" w:hAnsi="Times New Roman" w:cs="Times New Roman"/>
        </w:rPr>
        <w:t>Ismeri a katonai közlekedési igények felmérésének módszereit és megvalósítási lehetőségeit, gyakorlatát.</w:t>
      </w:r>
    </w:p>
    <w:p w:rsidR="00331F21" w:rsidRPr="00331F21" w:rsidRDefault="00331F21" w:rsidP="00331F21">
      <w:pPr>
        <w:autoSpaceDE w:val="0"/>
        <w:autoSpaceDN w:val="0"/>
        <w:adjustRightInd w:val="0"/>
        <w:spacing w:before="120" w:after="0" w:line="240" w:lineRule="auto"/>
        <w:ind w:left="425"/>
        <w:jc w:val="both"/>
        <w:rPr>
          <w:rFonts w:ascii="Times New Roman" w:eastAsia="Times New Roman" w:hAnsi="Times New Roman" w:cs="Times New Roman"/>
          <w:bCs/>
        </w:rPr>
      </w:pPr>
      <w:r w:rsidRPr="00331F21">
        <w:rPr>
          <w:rFonts w:ascii="Times New Roman" w:eastAsia="Times New Roman" w:hAnsi="Times New Roman" w:cs="Times New Roman"/>
          <w:b/>
          <w:bCs/>
        </w:rPr>
        <w:t>Képességei:</w:t>
      </w:r>
      <w:r w:rsidRPr="00331F21">
        <w:rPr>
          <w:rFonts w:ascii="Times New Roman" w:eastAsia="Times New Roman" w:hAnsi="Times New Roman" w:cs="Times New Roman"/>
          <w:bCs/>
        </w:rPr>
        <w:t xml:space="preserve"> </w:t>
      </w:r>
    </w:p>
    <w:p w:rsidR="00331F21" w:rsidRPr="00331F21" w:rsidRDefault="00331F21" w:rsidP="00C14833">
      <w:pPr>
        <w:pStyle w:val="Listaszerbekezds"/>
        <w:numPr>
          <w:ilvl w:val="0"/>
          <w:numId w:val="116"/>
        </w:numPr>
        <w:autoSpaceDE w:val="0"/>
        <w:autoSpaceDN w:val="0"/>
        <w:adjustRightInd w:val="0"/>
        <w:spacing w:after="0" w:line="240" w:lineRule="auto"/>
        <w:ind w:left="786"/>
        <w:jc w:val="both"/>
        <w:rPr>
          <w:rFonts w:ascii="Times New Roman" w:hAnsi="Times New Roman" w:cs="Times New Roman"/>
        </w:rPr>
      </w:pPr>
      <w:r w:rsidRPr="00331F21">
        <w:rPr>
          <w:rFonts w:ascii="Times New Roman" w:hAnsi="Times New Roman" w:cs="Times New Roman"/>
        </w:rPr>
        <w:t>Az általános és specifikus katonai ismeretei és készségei birtokában képes a katonai közlekedési, mozgatási, szállítási feladatok tervezésére, szervezésére és vezetésére.</w:t>
      </w:r>
    </w:p>
    <w:p w:rsidR="00331F21" w:rsidRPr="00331F21" w:rsidRDefault="00331F21" w:rsidP="00C14833">
      <w:pPr>
        <w:pStyle w:val="Listaszerbekezds"/>
        <w:numPr>
          <w:ilvl w:val="0"/>
          <w:numId w:val="116"/>
        </w:numPr>
        <w:autoSpaceDE w:val="0"/>
        <w:autoSpaceDN w:val="0"/>
        <w:adjustRightInd w:val="0"/>
        <w:spacing w:after="0" w:line="240" w:lineRule="auto"/>
        <w:ind w:left="786"/>
        <w:jc w:val="both"/>
        <w:rPr>
          <w:rFonts w:ascii="Times New Roman" w:hAnsi="Times New Roman" w:cs="Times New Roman"/>
        </w:rPr>
      </w:pPr>
      <w:r w:rsidRPr="00331F21">
        <w:rPr>
          <w:rFonts w:ascii="Times New Roman" w:hAnsi="Times New Roman" w:cs="Times New Roman"/>
        </w:rPr>
        <w:t>Képes békeidőszakban, válságkezelő, katasztrófa-elhárítási, béketámogató és háborús műveletekben, nemzeti és többnemzeti környezetben a szállító szakalegységek alaprendeltetéséből fakadó feladatai végrehajtásának vezetésére.</w:t>
      </w:r>
    </w:p>
    <w:p w:rsidR="00331F21" w:rsidRPr="00331F21" w:rsidRDefault="00331F21" w:rsidP="00C14833">
      <w:pPr>
        <w:pStyle w:val="Listaszerbekezds"/>
        <w:numPr>
          <w:ilvl w:val="0"/>
          <w:numId w:val="116"/>
        </w:numPr>
        <w:autoSpaceDE w:val="0"/>
        <w:autoSpaceDN w:val="0"/>
        <w:adjustRightInd w:val="0"/>
        <w:spacing w:after="0" w:line="240" w:lineRule="auto"/>
        <w:ind w:left="786"/>
        <w:jc w:val="both"/>
        <w:rPr>
          <w:rFonts w:ascii="Times New Roman" w:hAnsi="Times New Roman" w:cs="Times New Roman"/>
        </w:rPr>
      </w:pPr>
      <w:r w:rsidRPr="00331F21">
        <w:rPr>
          <w:rFonts w:ascii="Times New Roman" w:hAnsi="Times New Roman" w:cs="Times New Roman"/>
        </w:rPr>
        <w:t>Képes a közlekedési hálózatok katonai célú alkalmazásának tervezésére, szervezésére és végrehajtására.</w:t>
      </w:r>
    </w:p>
    <w:p w:rsidR="00331F21" w:rsidRPr="00331F21" w:rsidRDefault="00331F21" w:rsidP="00C14833">
      <w:pPr>
        <w:pStyle w:val="Listaszerbekezds"/>
        <w:numPr>
          <w:ilvl w:val="0"/>
          <w:numId w:val="116"/>
        </w:numPr>
        <w:autoSpaceDE w:val="0"/>
        <w:autoSpaceDN w:val="0"/>
        <w:adjustRightInd w:val="0"/>
        <w:spacing w:after="0" w:line="240" w:lineRule="auto"/>
        <w:ind w:left="786"/>
        <w:jc w:val="both"/>
        <w:rPr>
          <w:rFonts w:ascii="Times New Roman" w:hAnsi="Times New Roman" w:cs="Times New Roman"/>
        </w:rPr>
      </w:pPr>
      <w:r w:rsidRPr="00331F21">
        <w:rPr>
          <w:rFonts w:ascii="Times New Roman" w:hAnsi="Times New Roman" w:cs="Times New Roman"/>
        </w:rPr>
        <w:t>Képes a közlekedési folyamatokat támogató közlekedésinformatikai rendszerek alkalmazására, az azokkal kapcsolatos felhasználói alapkövetelmények megfogalmazására.</w:t>
      </w:r>
    </w:p>
    <w:p w:rsidR="00331F21" w:rsidRPr="00331F21" w:rsidRDefault="00331F21" w:rsidP="00331F21">
      <w:pPr>
        <w:autoSpaceDE w:val="0"/>
        <w:autoSpaceDN w:val="0"/>
        <w:adjustRightInd w:val="0"/>
        <w:spacing w:before="120" w:after="0" w:line="240" w:lineRule="auto"/>
        <w:ind w:left="425"/>
        <w:jc w:val="both"/>
        <w:rPr>
          <w:rFonts w:ascii="Times New Roman" w:eastAsia="Times New Roman" w:hAnsi="Times New Roman" w:cs="Times New Roman"/>
          <w:b/>
          <w:bCs/>
        </w:rPr>
      </w:pPr>
      <w:r w:rsidRPr="00331F21">
        <w:rPr>
          <w:rFonts w:ascii="Times New Roman" w:eastAsia="Times New Roman" w:hAnsi="Times New Roman" w:cs="Times New Roman"/>
          <w:b/>
          <w:bCs/>
        </w:rPr>
        <w:t xml:space="preserve">Attitűdje: </w:t>
      </w:r>
    </w:p>
    <w:p w:rsidR="00331F21" w:rsidRPr="00331F21" w:rsidRDefault="00331F21" w:rsidP="00C14833">
      <w:pPr>
        <w:pStyle w:val="Listaszerbekezds"/>
        <w:numPr>
          <w:ilvl w:val="0"/>
          <w:numId w:val="116"/>
        </w:numPr>
        <w:autoSpaceDE w:val="0"/>
        <w:autoSpaceDN w:val="0"/>
        <w:adjustRightInd w:val="0"/>
        <w:spacing w:after="0" w:line="240" w:lineRule="auto"/>
        <w:ind w:left="786"/>
        <w:jc w:val="both"/>
        <w:rPr>
          <w:rFonts w:ascii="Times New Roman" w:hAnsi="Times New Roman" w:cs="Times New Roman"/>
        </w:rPr>
      </w:pPr>
      <w:r w:rsidRPr="00331F21">
        <w:rPr>
          <w:rFonts w:ascii="Times New Roman" w:hAnsi="Times New Roman" w:cs="Times New Roman"/>
        </w:rPr>
        <w:t>Nyitott a katonai közlekedési szakterületen zajló szakmai, technológiai fejlesztés és innováció megismerésére és elfogadására, hiteles közvetítésére és azok mindennapi munkájába való beillesztésére.</w:t>
      </w:r>
    </w:p>
    <w:p w:rsidR="00331F21" w:rsidRPr="00331F21" w:rsidRDefault="00331F21" w:rsidP="00C14833">
      <w:pPr>
        <w:pStyle w:val="Listaszerbekezds"/>
        <w:numPr>
          <w:ilvl w:val="0"/>
          <w:numId w:val="116"/>
        </w:numPr>
        <w:autoSpaceDE w:val="0"/>
        <w:autoSpaceDN w:val="0"/>
        <w:adjustRightInd w:val="0"/>
        <w:spacing w:after="0" w:line="240" w:lineRule="auto"/>
        <w:ind w:left="786"/>
        <w:jc w:val="both"/>
        <w:rPr>
          <w:rFonts w:ascii="Times New Roman" w:hAnsi="Times New Roman" w:cs="Times New Roman"/>
        </w:rPr>
      </w:pPr>
      <w:r w:rsidRPr="00331F21">
        <w:rPr>
          <w:rFonts w:ascii="Times New Roman" w:hAnsi="Times New Roman" w:cs="Times New Roman"/>
        </w:rPr>
        <w:t>Törekszik arra, hogy önképzése a katonai közlekedési szakterületen folyamatos és szakmai céljaival megegyező legyen.</w:t>
      </w:r>
    </w:p>
    <w:p w:rsidR="00331F21" w:rsidRPr="00331F21" w:rsidRDefault="00331F21" w:rsidP="00C14833">
      <w:pPr>
        <w:pStyle w:val="Listaszerbekezds"/>
        <w:numPr>
          <w:ilvl w:val="0"/>
          <w:numId w:val="116"/>
        </w:numPr>
        <w:autoSpaceDE w:val="0"/>
        <w:autoSpaceDN w:val="0"/>
        <w:adjustRightInd w:val="0"/>
        <w:spacing w:after="0" w:line="240" w:lineRule="auto"/>
        <w:ind w:left="786"/>
        <w:jc w:val="both"/>
        <w:rPr>
          <w:rFonts w:ascii="Times New Roman" w:hAnsi="Times New Roman" w:cs="Times New Roman"/>
        </w:rPr>
      </w:pPr>
      <w:r w:rsidRPr="00331F21">
        <w:rPr>
          <w:rFonts w:ascii="Times New Roman" w:hAnsi="Times New Roman" w:cs="Times New Roman"/>
        </w:rPr>
        <w:t>Elkötelezett a minőségi szakmai munkavégzés iránt, különös tekintettel a közlekedési, szállítási feladatok és folyamatok biztonságos végrehajtására.</w:t>
      </w:r>
    </w:p>
    <w:p w:rsidR="00331F21" w:rsidRPr="00331F21" w:rsidRDefault="00331F21" w:rsidP="00C14833">
      <w:pPr>
        <w:pStyle w:val="Listaszerbekezds"/>
        <w:numPr>
          <w:ilvl w:val="0"/>
          <w:numId w:val="116"/>
        </w:numPr>
        <w:autoSpaceDE w:val="0"/>
        <w:autoSpaceDN w:val="0"/>
        <w:adjustRightInd w:val="0"/>
        <w:spacing w:after="0" w:line="240" w:lineRule="auto"/>
        <w:ind w:left="786"/>
        <w:jc w:val="both"/>
        <w:rPr>
          <w:rFonts w:ascii="Times New Roman" w:hAnsi="Times New Roman" w:cs="Times New Roman"/>
        </w:rPr>
      </w:pPr>
      <w:r w:rsidRPr="00331F21">
        <w:rPr>
          <w:rFonts w:ascii="Times New Roman" w:hAnsi="Times New Roman" w:cs="Times New Roman"/>
        </w:rPr>
        <w:t>Figyel beosztottjai szakmai fejlődésének előmozdítására, ilyen irányú törekvéseik kezelésére és segítésére.</w:t>
      </w:r>
    </w:p>
    <w:p w:rsidR="00331F21" w:rsidRPr="00331F21" w:rsidRDefault="00331F21" w:rsidP="00C14833">
      <w:pPr>
        <w:pStyle w:val="Listaszerbekezds"/>
        <w:numPr>
          <w:ilvl w:val="0"/>
          <w:numId w:val="116"/>
        </w:numPr>
        <w:autoSpaceDE w:val="0"/>
        <w:autoSpaceDN w:val="0"/>
        <w:adjustRightInd w:val="0"/>
        <w:spacing w:after="0" w:line="240" w:lineRule="auto"/>
        <w:ind w:left="786"/>
        <w:jc w:val="both"/>
        <w:rPr>
          <w:rFonts w:ascii="Times New Roman" w:hAnsi="Times New Roman" w:cs="Times New Roman"/>
        </w:rPr>
      </w:pPr>
      <w:r w:rsidRPr="00331F21">
        <w:rPr>
          <w:rFonts w:ascii="Times New Roman" w:hAnsi="Times New Roman" w:cs="Times New Roman"/>
        </w:rPr>
        <w:t>Megosztja tapasztalatait munkatársaival, így segítve fejlődésüket.</w:t>
      </w:r>
    </w:p>
    <w:p w:rsidR="00331F21" w:rsidRPr="00331F21" w:rsidRDefault="00331F21" w:rsidP="00331F21">
      <w:pPr>
        <w:autoSpaceDE w:val="0"/>
        <w:autoSpaceDN w:val="0"/>
        <w:adjustRightInd w:val="0"/>
        <w:spacing w:before="120" w:after="0" w:line="240" w:lineRule="auto"/>
        <w:ind w:left="425"/>
        <w:jc w:val="both"/>
        <w:rPr>
          <w:rFonts w:ascii="Times New Roman" w:eastAsia="Times New Roman" w:hAnsi="Times New Roman" w:cs="Times New Roman"/>
          <w:b/>
          <w:bCs/>
        </w:rPr>
      </w:pPr>
      <w:r w:rsidRPr="00331F21">
        <w:rPr>
          <w:rFonts w:ascii="Times New Roman" w:eastAsia="Times New Roman" w:hAnsi="Times New Roman" w:cs="Times New Roman"/>
          <w:b/>
          <w:bCs/>
        </w:rPr>
        <w:t xml:space="preserve">Autonómiája és felelőssége: </w:t>
      </w:r>
    </w:p>
    <w:p w:rsidR="00331F21" w:rsidRPr="00331F21" w:rsidRDefault="00331F21" w:rsidP="00C14833">
      <w:pPr>
        <w:pStyle w:val="Listaszerbekezds"/>
        <w:numPr>
          <w:ilvl w:val="0"/>
          <w:numId w:val="116"/>
        </w:numPr>
        <w:autoSpaceDE w:val="0"/>
        <w:autoSpaceDN w:val="0"/>
        <w:adjustRightInd w:val="0"/>
        <w:spacing w:after="0" w:line="240" w:lineRule="auto"/>
        <w:ind w:left="786"/>
        <w:jc w:val="both"/>
        <w:rPr>
          <w:rFonts w:ascii="Times New Roman" w:hAnsi="Times New Roman" w:cs="Times New Roman"/>
        </w:rPr>
      </w:pPr>
      <w:r w:rsidRPr="00331F21">
        <w:rPr>
          <w:rFonts w:ascii="Times New Roman" w:hAnsi="Times New Roman" w:cs="Times New Roman"/>
        </w:rPr>
        <w:t>A katonai közlekedés szakterületén megjelenő folyamatokban képes önállóan döntéseket hozni, azokat felelősséggel, a jogszabályi keretek figyelembevételével végrehajtani.</w:t>
      </w:r>
    </w:p>
    <w:p w:rsidR="00331F21" w:rsidRPr="00331F21" w:rsidRDefault="00331F21" w:rsidP="00C14833">
      <w:pPr>
        <w:pStyle w:val="Listaszerbekezds"/>
        <w:numPr>
          <w:ilvl w:val="0"/>
          <w:numId w:val="116"/>
        </w:numPr>
        <w:autoSpaceDE w:val="0"/>
        <w:autoSpaceDN w:val="0"/>
        <w:adjustRightInd w:val="0"/>
        <w:spacing w:after="0" w:line="240" w:lineRule="auto"/>
        <w:ind w:left="786"/>
        <w:jc w:val="both"/>
        <w:rPr>
          <w:rFonts w:ascii="Times New Roman" w:hAnsi="Times New Roman" w:cs="Times New Roman"/>
        </w:rPr>
      </w:pPr>
      <w:r w:rsidRPr="00331F21">
        <w:rPr>
          <w:rFonts w:ascii="Times New Roman" w:hAnsi="Times New Roman" w:cs="Times New Roman"/>
        </w:rPr>
        <w:t>Tisztában van döntéseinek, tevékenységének a katonai logisztikai folyamatok egészére gyakorolt hatásaival, következményeivel.</w:t>
      </w:r>
    </w:p>
    <w:p w:rsidR="00331F21" w:rsidRPr="00331F21" w:rsidRDefault="00331F21" w:rsidP="00C14833">
      <w:pPr>
        <w:pStyle w:val="Listaszerbekezds"/>
        <w:numPr>
          <w:ilvl w:val="0"/>
          <w:numId w:val="116"/>
        </w:numPr>
        <w:autoSpaceDE w:val="0"/>
        <w:autoSpaceDN w:val="0"/>
        <w:adjustRightInd w:val="0"/>
        <w:spacing w:after="0" w:line="240" w:lineRule="auto"/>
        <w:ind w:left="786"/>
        <w:jc w:val="both"/>
        <w:rPr>
          <w:rFonts w:ascii="Times New Roman" w:hAnsi="Times New Roman" w:cs="Times New Roman"/>
        </w:rPr>
      </w:pPr>
      <w:r w:rsidRPr="00331F21">
        <w:rPr>
          <w:rFonts w:ascii="Times New Roman" w:hAnsi="Times New Roman" w:cs="Times New Roman"/>
        </w:rPr>
        <w:t>Szakmai feladatainak elvégzése során felelősségteljesen együttműködik más szakterület képzett szakembereivel is.</w:t>
      </w:r>
    </w:p>
    <w:p w:rsidR="00331F21" w:rsidRPr="00331F21" w:rsidRDefault="00331F21" w:rsidP="00C14833">
      <w:pPr>
        <w:pStyle w:val="Listaszerbekezds"/>
        <w:numPr>
          <w:ilvl w:val="0"/>
          <w:numId w:val="116"/>
        </w:numPr>
        <w:autoSpaceDE w:val="0"/>
        <w:autoSpaceDN w:val="0"/>
        <w:adjustRightInd w:val="0"/>
        <w:spacing w:after="0" w:line="240" w:lineRule="auto"/>
        <w:ind w:left="786"/>
        <w:jc w:val="both"/>
        <w:rPr>
          <w:rFonts w:ascii="Times New Roman" w:hAnsi="Times New Roman" w:cs="Times New Roman"/>
        </w:rPr>
      </w:pPr>
      <w:r w:rsidRPr="00331F21">
        <w:rPr>
          <w:rFonts w:ascii="Times New Roman" w:hAnsi="Times New Roman" w:cs="Times New Roman"/>
        </w:rPr>
        <w:t>Feltárja az alkalmazott technológiák hiányosságait, a folyamatok kockázatait és kezdeményezi az ezeket csökkentő intézkedések megtételét.</w:t>
      </w:r>
    </w:p>
    <w:p w:rsidR="00331F21" w:rsidRPr="00331F21" w:rsidRDefault="00331F21" w:rsidP="00C14833">
      <w:pPr>
        <w:pStyle w:val="Listaszerbekezds"/>
        <w:numPr>
          <w:ilvl w:val="0"/>
          <w:numId w:val="116"/>
        </w:numPr>
        <w:autoSpaceDE w:val="0"/>
        <w:autoSpaceDN w:val="0"/>
        <w:adjustRightInd w:val="0"/>
        <w:spacing w:after="0" w:line="240" w:lineRule="auto"/>
        <w:ind w:left="786"/>
        <w:jc w:val="both"/>
        <w:rPr>
          <w:rFonts w:ascii="Times New Roman" w:hAnsi="Times New Roman" w:cs="Times New Roman"/>
        </w:rPr>
      </w:pPr>
      <w:r w:rsidRPr="00331F21">
        <w:rPr>
          <w:rFonts w:ascii="Times New Roman" w:hAnsi="Times New Roman" w:cs="Times New Roman"/>
        </w:rPr>
        <w:t>Parancsnokának útmutatása alapján irányítja a rábízott személyi állomány munkavégzését, felügyeli a közlekedési, szállítási folyamatok tervezését, szervezését, végrehajtását, a közlekedési szaktechnikai eszközök üzemeltetését.</w:t>
      </w:r>
    </w:p>
    <w:p w:rsidR="00331F21" w:rsidRPr="00331F21" w:rsidRDefault="00331F21" w:rsidP="00C14833">
      <w:pPr>
        <w:pStyle w:val="Listaszerbekezds"/>
        <w:numPr>
          <w:ilvl w:val="0"/>
          <w:numId w:val="116"/>
        </w:numPr>
        <w:autoSpaceDE w:val="0"/>
        <w:autoSpaceDN w:val="0"/>
        <w:adjustRightInd w:val="0"/>
        <w:spacing w:after="0" w:line="240" w:lineRule="auto"/>
        <w:ind w:left="786"/>
        <w:jc w:val="both"/>
        <w:rPr>
          <w:rFonts w:ascii="Times New Roman" w:hAnsi="Times New Roman" w:cs="Times New Roman"/>
        </w:rPr>
      </w:pPr>
      <w:r w:rsidRPr="00331F21">
        <w:rPr>
          <w:rFonts w:ascii="Times New Roman" w:hAnsi="Times New Roman" w:cs="Times New Roman"/>
        </w:rPr>
        <w:t>Értékeli a beosztottak munkavégzésének hatékonyságát, eredményességét.</w:t>
      </w:r>
    </w:p>
    <w:p w:rsidR="00331F21" w:rsidRPr="00331F21" w:rsidRDefault="00331F21" w:rsidP="00331F21">
      <w:pPr>
        <w:widowControl w:val="0"/>
        <w:spacing w:before="120" w:after="120" w:line="240" w:lineRule="auto"/>
        <w:ind w:left="426"/>
        <w:jc w:val="both"/>
        <w:rPr>
          <w:rFonts w:ascii="Times New Roman" w:eastAsia="Times New Roman" w:hAnsi="Times New Roman" w:cs="Times New Roman"/>
          <w:b/>
          <w:bCs/>
          <w:lang w:val="en-US"/>
        </w:rPr>
      </w:pPr>
      <w:r w:rsidRPr="00331F21">
        <w:rPr>
          <w:rFonts w:ascii="Times New Roman" w:eastAsia="Times New Roman" w:hAnsi="Times New Roman" w:cs="Times New Roman"/>
          <w:b/>
          <w:bCs/>
        </w:rPr>
        <w:t>Elérendő kompetenciák (angolul) (</w:t>
      </w:r>
      <w:r w:rsidRPr="00331F21">
        <w:rPr>
          <w:rFonts w:ascii="Times New Roman" w:eastAsia="Times New Roman" w:hAnsi="Times New Roman" w:cs="Times New Roman"/>
          <w:b/>
          <w:bCs/>
          <w:lang w:val="en-US"/>
        </w:rPr>
        <w:t xml:space="preserve">Competences – English): </w:t>
      </w:r>
    </w:p>
    <w:p w:rsidR="00331F21" w:rsidRPr="00331F21" w:rsidRDefault="00331F21" w:rsidP="00331F21">
      <w:pPr>
        <w:widowControl w:val="0"/>
        <w:spacing w:before="120" w:after="120" w:line="240" w:lineRule="auto"/>
        <w:ind w:left="426"/>
        <w:jc w:val="both"/>
        <w:rPr>
          <w:rFonts w:ascii="Times New Roman" w:eastAsia="Times New Roman" w:hAnsi="Times New Roman" w:cs="Times New Roman"/>
          <w:lang w:val="en-GB"/>
        </w:rPr>
      </w:pPr>
      <w:r w:rsidRPr="00331F21">
        <w:rPr>
          <w:rFonts w:ascii="Times New Roman" w:eastAsia="Times New Roman" w:hAnsi="Times New Roman" w:cs="Times New Roman"/>
          <w:b/>
          <w:lang w:val="en-GB"/>
        </w:rPr>
        <w:t>Knowledge</w:t>
      </w:r>
      <w:r w:rsidRPr="00331F21">
        <w:rPr>
          <w:rFonts w:ascii="Times New Roman" w:eastAsia="Times New Roman" w:hAnsi="Times New Roman" w:cs="Times New Roman"/>
          <w:lang w:val="en-GB"/>
        </w:rPr>
        <w:t xml:space="preserve">: </w:t>
      </w:r>
    </w:p>
    <w:p w:rsidR="00331F21" w:rsidRPr="00331F21" w:rsidRDefault="00331F21" w:rsidP="00C14833">
      <w:pPr>
        <w:pStyle w:val="Listaszerbekezds"/>
        <w:numPr>
          <w:ilvl w:val="0"/>
          <w:numId w:val="116"/>
        </w:numPr>
        <w:autoSpaceDE w:val="0"/>
        <w:autoSpaceDN w:val="0"/>
        <w:adjustRightInd w:val="0"/>
        <w:spacing w:after="0" w:line="240" w:lineRule="auto"/>
        <w:ind w:left="786"/>
        <w:jc w:val="both"/>
        <w:rPr>
          <w:rFonts w:ascii="Times New Roman" w:hAnsi="Times New Roman" w:cs="Times New Roman"/>
        </w:rPr>
      </w:pPr>
      <w:r w:rsidRPr="00331F21">
        <w:rPr>
          <w:rFonts w:ascii="Times New Roman" w:hAnsi="Times New Roman" w:cs="Times New Roman"/>
        </w:rPr>
        <w:t>Knows the basics and requirements of logistics, management, environmental protection, quality assurance, information technology, law and economics, connected to the field of military transportation.</w:t>
      </w:r>
    </w:p>
    <w:p w:rsidR="00331F21" w:rsidRPr="00331F21" w:rsidRDefault="00331F21" w:rsidP="00C14833">
      <w:pPr>
        <w:pStyle w:val="Listaszerbekezds"/>
        <w:numPr>
          <w:ilvl w:val="0"/>
          <w:numId w:val="116"/>
        </w:numPr>
        <w:autoSpaceDE w:val="0"/>
        <w:autoSpaceDN w:val="0"/>
        <w:adjustRightInd w:val="0"/>
        <w:spacing w:after="0" w:line="240" w:lineRule="auto"/>
        <w:ind w:left="786"/>
        <w:jc w:val="both"/>
        <w:rPr>
          <w:rFonts w:ascii="Times New Roman" w:hAnsi="Times New Roman" w:cs="Times New Roman"/>
        </w:rPr>
      </w:pPr>
      <w:r w:rsidRPr="00331F21">
        <w:rPr>
          <w:rFonts w:ascii="Times New Roman" w:hAnsi="Times New Roman" w:cs="Times New Roman"/>
        </w:rPr>
        <w:t>Is familiar with the technical equipment used in military transportation, the transportation modes and facilities, and the rules of their use and operation.</w:t>
      </w:r>
    </w:p>
    <w:p w:rsidR="00331F21" w:rsidRPr="00331F21" w:rsidRDefault="00331F21" w:rsidP="00C14833">
      <w:pPr>
        <w:pStyle w:val="Listaszerbekezds"/>
        <w:numPr>
          <w:ilvl w:val="0"/>
          <w:numId w:val="116"/>
        </w:numPr>
        <w:autoSpaceDE w:val="0"/>
        <w:autoSpaceDN w:val="0"/>
        <w:adjustRightInd w:val="0"/>
        <w:spacing w:after="0" w:line="240" w:lineRule="auto"/>
        <w:ind w:left="786"/>
        <w:jc w:val="both"/>
        <w:rPr>
          <w:rFonts w:ascii="Times New Roman" w:hAnsi="Times New Roman" w:cs="Times New Roman"/>
        </w:rPr>
      </w:pPr>
      <w:r w:rsidRPr="00331F21">
        <w:rPr>
          <w:rFonts w:ascii="Times New Roman" w:hAnsi="Times New Roman" w:cs="Times New Roman"/>
        </w:rPr>
        <w:t>Is familiar with the tasks and responsibilities of stockpiling, storing, registering and inventorying of military transportation assets and is able to control these processes.</w:t>
      </w:r>
    </w:p>
    <w:p w:rsidR="00331F21" w:rsidRPr="00331F21" w:rsidRDefault="00331F21" w:rsidP="00C14833">
      <w:pPr>
        <w:pStyle w:val="Listaszerbekezds"/>
        <w:numPr>
          <w:ilvl w:val="0"/>
          <w:numId w:val="116"/>
        </w:numPr>
        <w:autoSpaceDE w:val="0"/>
        <w:autoSpaceDN w:val="0"/>
        <w:adjustRightInd w:val="0"/>
        <w:spacing w:after="0" w:line="240" w:lineRule="auto"/>
        <w:ind w:left="786"/>
        <w:jc w:val="both"/>
        <w:rPr>
          <w:rFonts w:ascii="Times New Roman" w:hAnsi="Times New Roman" w:cs="Times New Roman"/>
        </w:rPr>
      </w:pPr>
      <w:r w:rsidRPr="00331F21">
        <w:rPr>
          <w:rFonts w:ascii="Times New Roman" w:hAnsi="Times New Roman" w:cs="Times New Roman"/>
        </w:rPr>
        <w:t>Has a profound knowledge of the tasks and the system of military transportation and the unique characteristics of performing each task.</w:t>
      </w:r>
    </w:p>
    <w:p w:rsidR="00331F21" w:rsidRPr="00331F21" w:rsidRDefault="00331F21" w:rsidP="00C14833">
      <w:pPr>
        <w:pStyle w:val="Listaszerbekezds"/>
        <w:numPr>
          <w:ilvl w:val="0"/>
          <w:numId w:val="116"/>
        </w:numPr>
        <w:autoSpaceDE w:val="0"/>
        <w:autoSpaceDN w:val="0"/>
        <w:adjustRightInd w:val="0"/>
        <w:spacing w:after="0" w:line="240" w:lineRule="auto"/>
        <w:ind w:left="786"/>
        <w:jc w:val="both"/>
        <w:rPr>
          <w:rFonts w:ascii="Times New Roman" w:hAnsi="Times New Roman" w:cs="Times New Roman"/>
        </w:rPr>
      </w:pPr>
      <w:r w:rsidRPr="00331F21">
        <w:rPr>
          <w:rFonts w:ascii="Times New Roman" w:hAnsi="Times New Roman" w:cs="Times New Roman"/>
        </w:rPr>
        <w:lastRenderedPageBreak/>
        <w:t>Is familiar with the methods of assessing the requirements of military transportation and its feasibility and practical implementation.</w:t>
      </w:r>
    </w:p>
    <w:p w:rsidR="00331F21" w:rsidRPr="00331F21" w:rsidRDefault="00331F21" w:rsidP="00331F21">
      <w:pPr>
        <w:widowControl w:val="0"/>
        <w:spacing w:before="120" w:after="120" w:line="240" w:lineRule="auto"/>
        <w:ind w:left="426"/>
        <w:jc w:val="both"/>
        <w:rPr>
          <w:rFonts w:ascii="Times New Roman" w:eastAsia="Times New Roman" w:hAnsi="Times New Roman" w:cs="Times New Roman"/>
          <w:lang w:val="en-GB"/>
        </w:rPr>
      </w:pPr>
      <w:r w:rsidRPr="00331F21">
        <w:rPr>
          <w:rFonts w:ascii="Times New Roman" w:eastAsia="Times New Roman" w:hAnsi="Times New Roman" w:cs="Times New Roman"/>
          <w:b/>
          <w:lang w:val="en-GB"/>
        </w:rPr>
        <w:t>Capabilities</w:t>
      </w:r>
      <w:r w:rsidRPr="00331F21">
        <w:rPr>
          <w:rFonts w:ascii="Times New Roman" w:eastAsia="Times New Roman" w:hAnsi="Times New Roman" w:cs="Times New Roman"/>
          <w:lang w:val="en-GB"/>
        </w:rPr>
        <w:t>:</w:t>
      </w:r>
    </w:p>
    <w:p w:rsidR="00331F21" w:rsidRPr="00331F21" w:rsidRDefault="00331F21" w:rsidP="00C14833">
      <w:pPr>
        <w:pStyle w:val="Listaszerbekezds"/>
        <w:numPr>
          <w:ilvl w:val="0"/>
          <w:numId w:val="116"/>
        </w:numPr>
        <w:autoSpaceDE w:val="0"/>
        <w:autoSpaceDN w:val="0"/>
        <w:adjustRightInd w:val="0"/>
        <w:spacing w:after="0" w:line="240" w:lineRule="auto"/>
        <w:ind w:left="786"/>
        <w:jc w:val="both"/>
        <w:rPr>
          <w:rFonts w:ascii="Times New Roman" w:hAnsi="Times New Roman" w:cs="Times New Roman"/>
        </w:rPr>
      </w:pPr>
      <w:r w:rsidRPr="00331F21">
        <w:rPr>
          <w:rFonts w:ascii="Times New Roman" w:hAnsi="Times New Roman" w:cs="Times New Roman"/>
        </w:rPr>
        <w:t>Using his/her general and specialized military knowledge and skills, he/she is capable of planning, organizing, and conducting military transport, movement, and transportation tasks.</w:t>
      </w:r>
    </w:p>
    <w:p w:rsidR="00331F21" w:rsidRPr="00331F21" w:rsidRDefault="00331F21" w:rsidP="00C14833">
      <w:pPr>
        <w:pStyle w:val="Listaszerbekezds"/>
        <w:numPr>
          <w:ilvl w:val="0"/>
          <w:numId w:val="116"/>
        </w:numPr>
        <w:autoSpaceDE w:val="0"/>
        <w:autoSpaceDN w:val="0"/>
        <w:adjustRightInd w:val="0"/>
        <w:spacing w:after="0" w:line="240" w:lineRule="auto"/>
        <w:ind w:left="786"/>
        <w:jc w:val="both"/>
        <w:rPr>
          <w:rFonts w:ascii="Times New Roman" w:hAnsi="Times New Roman" w:cs="Times New Roman"/>
        </w:rPr>
      </w:pPr>
      <w:r w:rsidRPr="00331F21">
        <w:rPr>
          <w:rFonts w:ascii="Times New Roman" w:hAnsi="Times New Roman" w:cs="Times New Roman"/>
        </w:rPr>
        <w:t>Is capable of leading the execution of the tasks of a military transportation subunit in peace time and in crisis response, disaster relief, peace support and combat operations both in a national and a multinational environment.</w:t>
      </w:r>
    </w:p>
    <w:p w:rsidR="00331F21" w:rsidRPr="00331F21" w:rsidRDefault="00331F21" w:rsidP="00C14833">
      <w:pPr>
        <w:pStyle w:val="Listaszerbekezds"/>
        <w:numPr>
          <w:ilvl w:val="0"/>
          <w:numId w:val="116"/>
        </w:numPr>
        <w:autoSpaceDE w:val="0"/>
        <w:autoSpaceDN w:val="0"/>
        <w:adjustRightInd w:val="0"/>
        <w:spacing w:after="0" w:line="240" w:lineRule="auto"/>
        <w:ind w:left="786"/>
        <w:jc w:val="both"/>
        <w:rPr>
          <w:rFonts w:ascii="Times New Roman" w:hAnsi="Times New Roman" w:cs="Times New Roman"/>
        </w:rPr>
      </w:pPr>
      <w:r w:rsidRPr="00331F21">
        <w:rPr>
          <w:rFonts w:ascii="Times New Roman" w:hAnsi="Times New Roman" w:cs="Times New Roman"/>
        </w:rPr>
        <w:t>Is capable of planning, organizing and executing the tasks related to the application of traffic networks for military purposes.</w:t>
      </w:r>
    </w:p>
    <w:p w:rsidR="00331F21" w:rsidRPr="00331F21" w:rsidRDefault="00331F21" w:rsidP="00C14833">
      <w:pPr>
        <w:pStyle w:val="Listaszerbekezds"/>
        <w:numPr>
          <w:ilvl w:val="0"/>
          <w:numId w:val="116"/>
        </w:numPr>
        <w:autoSpaceDE w:val="0"/>
        <w:autoSpaceDN w:val="0"/>
        <w:adjustRightInd w:val="0"/>
        <w:spacing w:after="0" w:line="240" w:lineRule="auto"/>
        <w:ind w:left="786"/>
        <w:jc w:val="both"/>
        <w:rPr>
          <w:rFonts w:ascii="Times New Roman" w:hAnsi="Times New Roman" w:cs="Times New Roman"/>
        </w:rPr>
      </w:pPr>
      <w:r w:rsidRPr="00331F21">
        <w:rPr>
          <w:rFonts w:ascii="Times New Roman" w:hAnsi="Times New Roman" w:cs="Times New Roman"/>
        </w:rPr>
        <w:t>Is capable of applying traffic information systems to support transportation processes and formulating the basic user requirements related to them.</w:t>
      </w:r>
    </w:p>
    <w:p w:rsidR="00331F21" w:rsidRPr="00331F21" w:rsidRDefault="00331F21" w:rsidP="00331F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lang w:val="en-GB"/>
        </w:rPr>
      </w:pPr>
      <w:r w:rsidRPr="00331F21">
        <w:rPr>
          <w:rFonts w:ascii="Times New Roman" w:eastAsia="Times New Roman" w:hAnsi="Times New Roman" w:cs="Times New Roman"/>
          <w:b/>
          <w:lang w:val="en-GB"/>
        </w:rPr>
        <w:t>Attitude:</w:t>
      </w:r>
    </w:p>
    <w:p w:rsidR="00331F21" w:rsidRPr="00331F21" w:rsidRDefault="00331F21" w:rsidP="00C14833">
      <w:pPr>
        <w:pStyle w:val="Listaszerbekezds"/>
        <w:numPr>
          <w:ilvl w:val="0"/>
          <w:numId w:val="116"/>
        </w:numPr>
        <w:autoSpaceDE w:val="0"/>
        <w:autoSpaceDN w:val="0"/>
        <w:adjustRightInd w:val="0"/>
        <w:spacing w:after="0" w:line="240" w:lineRule="auto"/>
        <w:ind w:left="786"/>
        <w:jc w:val="both"/>
        <w:rPr>
          <w:rFonts w:ascii="Times New Roman" w:hAnsi="Times New Roman" w:cs="Times New Roman"/>
        </w:rPr>
      </w:pPr>
      <w:r w:rsidRPr="00331F21">
        <w:rPr>
          <w:rFonts w:ascii="Times New Roman" w:hAnsi="Times New Roman" w:cs="Times New Roman"/>
        </w:rPr>
        <w:t>He/She is ready to become familiar with and adopt the professional and technological development and innovation in the field of military transportation, and also to pass it on and integrate it into his daily work.</w:t>
      </w:r>
    </w:p>
    <w:p w:rsidR="00331F21" w:rsidRPr="00331F21" w:rsidRDefault="00331F21" w:rsidP="00C14833">
      <w:pPr>
        <w:pStyle w:val="Listaszerbekezds"/>
        <w:numPr>
          <w:ilvl w:val="0"/>
          <w:numId w:val="116"/>
        </w:numPr>
        <w:autoSpaceDE w:val="0"/>
        <w:autoSpaceDN w:val="0"/>
        <w:adjustRightInd w:val="0"/>
        <w:spacing w:after="0" w:line="240" w:lineRule="auto"/>
        <w:ind w:left="786"/>
        <w:jc w:val="both"/>
        <w:rPr>
          <w:rFonts w:ascii="Times New Roman" w:hAnsi="Times New Roman" w:cs="Times New Roman"/>
        </w:rPr>
      </w:pPr>
      <w:r w:rsidRPr="00331F21">
        <w:rPr>
          <w:rFonts w:ascii="Times New Roman" w:hAnsi="Times New Roman" w:cs="Times New Roman"/>
        </w:rPr>
        <w:t>He/She strives for continuous self-education in the field of military transportation which is consistent with his/her professional goals.</w:t>
      </w:r>
    </w:p>
    <w:p w:rsidR="00331F21" w:rsidRPr="00331F21" w:rsidRDefault="00331F21" w:rsidP="00C14833">
      <w:pPr>
        <w:pStyle w:val="Listaszerbekezds"/>
        <w:numPr>
          <w:ilvl w:val="0"/>
          <w:numId w:val="116"/>
        </w:numPr>
        <w:autoSpaceDE w:val="0"/>
        <w:autoSpaceDN w:val="0"/>
        <w:adjustRightInd w:val="0"/>
        <w:spacing w:after="0" w:line="240" w:lineRule="auto"/>
        <w:ind w:left="786"/>
        <w:jc w:val="both"/>
        <w:rPr>
          <w:rFonts w:ascii="Times New Roman" w:hAnsi="Times New Roman" w:cs="Times New Roman"/>
        </w:rPr>
      </w:pPr>
      <w:r w:rsidRPr="00331F21">
        <w:rPr>
          <w:rFonts w:ascii="Times New Roman" w:hAnsi="Times New Roman" w:cs="Times New Roman"/>
        </w:rPr>
        <w:t>He/She is committed to high quality in his/her professional work, with special emphasis on the safe execution of the transportation tasks and processes.</w:t>
      </w:r>
    </w:p>
    <w:p w:rsidR="00331F21" w:rsidRPr="00331F21" w:rsidRDefault="00331F21" w:rsidP="00C14833">
      <w:pPr>
        <w:pStyle w:val="Listaszerbekezds"/>
        <w:numPr>
          <w:ilvl w:val="0"/>
          <w:numId w:val="116"/>
        </w:numPr>
        <w:autoSpaceDE w:val="0"/>
        <w:autoSpaceDN w:val="0"/>
        <w:adjustRightInd w:val="0"/>
        <w:spacing w:after="0" w:line="240" w:lineRule="auto"/>
        <w:ind w:left="786"/>
        <w:jc w:val="both"/>
        <w:rPr>
          <w:rFonts w:ascii="Times New Roman" w:hAnsi="Times New Roman" w:cs="Times New Roman"/>
        </w:rPr>
      </w:pPr>
      <w:r w:rsidRPr="00331F21">
        <w:rPr>
          <w:rFonts w:ascii="Times New Roman" w:hAnsi="Times New Roman" w:cs="Times New Roman"/>
        </w:rPr>
        <w:t>He/She is interested in promoting the professional development of his/her subordinates, and provides assistance in their efforts.</w:t>
      </w:r>
    </w:p>
    <w:p w:rsidR="00331F21" w:rsidRPr="00331F21" w:rsidRDefault="00331F21" w:rsidP="00C14833">
      <w:pPr>
        <w:pStyle w:val="Listaszerbekezds"/>
        <w:numPr>
          <w:ilvl w:val="0"/>
          <w:numId w:val="116"/>
        </w:numPr>
        <w:autoSpaceDE w:val="0"/>
        <w:autoSpaceDN w:val="0"/>
        <w:adjustRightInd w:val="0"/>
        <w:spacing w:after="0" w:line="240" w:lineRule="auto"/>
        <w:ind w:left="786"/>
        <w:jc w:val="both"/>
        <w:rPr>
          <w:rFonts w:ascii="Times New Roman" w:hAnsi="Times New Roman" w:cs="Times New Roman"/>
        </w:rPr>
      </w:pPr>
      <w:r w:rsidRPr="00331F21">
        <w:rPr>
          <w:rFonts w:ascii="Times New Roman" w:hAnsi="Times New Roman" w:cs="Times New Roman"/>
        </w:rPr>
        <w:t>He/she is willing to share his/her experience with his/her colleagues to further their professional development.</w:t>
      </w:r>
    </w:p>
    <w:p w:rsidR="00331F21" w:rsidRPr="00331F21" w:rsidRDefault="00331F21" w:rsidP="00331F21">
      <w:pPr>
        <w:widowControl w:val="0"/>
        <w:spacing w:before="120" w:after="120" w:line="240" w:lineRule="auto"/>
        <w:ind w:left="426"/>
        <w:jc w:val="both"/>
        <w:rPr>
          <w:rFonts w:ascii="Times New Roman" w:eastAsia="Times New Roman" w:hAnsi="Times New Roman" w:cs="Times New Roman"/>
          <w:b/>
          <w:lang w:val="en-GB"/>
        </w:rPr>
      </w:pPr>
      <w:r w:rsidRPr="00331F21">
        <w:rPr>
          <w:rFonts w:ascii="Times New Roman" w:eastAsia="Times New Roman" w:hAnsi="Times New Roman" w:cs="Times New Roman"/>
          <w:b/>
          <w:lang w:val="en-GB"/>
        </w:rPr>
        <w:t xml:space="preserve">Autonomy and responsibility: </w:t>
      </w:r>
    </w:p>
    <w:p w:rsidR="00331F21" w:rsidRPr="00331F21" w:rsidRDefault="00331F21" w:rsidP="00C14833">
      <w:pPr>
        <w:pStyle w:val="Listaszerbekezds"/>
        <w:numPr>
          <w:ilvl w:val="0"/>
          <w:numId w:val="116"/>
        </w:numPr>
        <w:autoSpaceDE w:val="0"/>
        <w:autoSpaceDN w:val="0"/>
        <w:adjustRightInd w:val="0"/>
        <w:spacing w:after="0" w:line="240" w:lineRule="auto"/>
        <w:ind w:left="786"/>
        <w:jc w:val="both"/>
        <w:rPr>
          <w:rFonts w:ascii="Times New Roman" w:hAnsi="Times New Roman" w:cs="Times New Roman"/>
        </w:rPr>
      </w:pPr>
      <w:r w:rsidRPr="00331F21">
        <w:rPr>
          <w:rFonts w:ascii="Times New Roman" w:hAnsi="Times New Roman" w:cs="Times New Roman"/>
        </w:rPr>
        <w:t>He/She is able to make decisions independently in the processes arising in the field of military transportation, and to implement them with responsibility and within the legal framework.</w:t>
      </w:r>
    </w:p>
    <w:p w:rsidR="00331F21" w:rsidRPr="00331F21" w:rsidRDefault="00331F21" w:rsidP="00C14833">
      <w:pPr>
        <w:pStyle w:val="Listaszerbekezds"/>
        <w:numPr>
          <w:ilvl w:val="0"/>
          <w:numId w:val="116"/>
        </w:numPr>
        <w:autoSpaceDE w:val="0"/>
        <w:autoSpaceDN w:val="0"/>
        <w:adjustRightInd w:val="0"/>
        <w:spacing w:after="0" w:line="240" w:lineRule="auto"/>
        <w:ind w:left="786"/>
        <w:jc w:val="both"/>
        <w:rPr>
          <w:rFonts w:ascii="Times New Roman" w:hAnsi="Times New Roman" w:cs="Times New Roman"/>
        </w:rPr>
      </w:pPr>
      <w:r w:rsidRPr="00331F21">
        <w:rPr>
          <w:rFonts w:ascii="Times New Roman" w:hAnsi="Times New Roman" w:cs="Times New Roman"/>
        </w:rPr>
        <w:t>He/She is aware of the effects and consequences of his decisions and activities on the military logistic processes as a whole.</w:t>
      </w:r>
    </w:p>
    <w:p w:rsidR="00331F21" w:rsidRPr="00331F21" w:rsidRDefault="00331F21" w:rsidP="00C14833">
      <w:pPr>
        <w:pStyle w:val="Listaszerbekezds"/>
        <w:numPr>
          <w:ilvl w:val="0"/>
          <w:numId w:val="116"/>
        </w:numPr>
        <w:autoSpaceDE w:val="0"/>
        <w:autoSpaceDN w:val="0"/>
        <w:adjustRightInd w:val="0"/>
        <w:spacing w:after="0" w:line="240" w:lineRule="auto"/>
        <w:ind w:left="786"/>
        <w:jc w:val="both"/>
        <w:rPr>
          <w:rFonts w:ascii="Times New Roman" w:hAnsi="Times New Roman" w:cs="Times New Roman"/>
        </w:rPr>
      </w:pPr>
      <w:r w:rsidRPr="00331F21">
        <w:rPr>
          <w:rFonts w:ascii="Times New Roman" w:hAnsi="Times New Roman" w:cs="Times New Roman"/>
        </w:rPr>
        <w:t xml:space="preserve">During his/her professional duties, he/she is willing to responsibly cooperate with specialists of other areas. </w:t>
      </w:r>
    </w:p>
    <w:p w:rsidR="00331F21" w:rsidRPr="00331F21" w:rsidRDefault="00331F21" w:rsidP="00C14833">
      <w:pPr>
        <w:pStyle w:val="Listaszerbekezds"/>
        <w:numPr>
          <w:ilvl w:val="0"/>
          <w:numId w:val="116"/>
        </w:numPr>
        <w:autoSpaceDE w:val="0"/>
        <w:autoSpaceDN w:val="0"/>
        <w:adjustRightInd w:val="0"/>
        <w:spacing w:after="0" w:line="240" w:lineRule="auto"/>
        <w:ind w:left="786"/>
        <w:jc w:val="both"/>
        <w:rPr>
          <w:rFonts w:ascii="Times New Roman" w:hAnsi="Times New Roman" w:cs="Times New Roman"/>
        </w:rPr>
      </w:pPr>
      <w:r w:rsidRPr="00331F21">
        <w:rPr>
          <w:rFonts w:ascii="Times New Roman" w:hAnsi="Times New Roman" w:cs="Times New Roman"/>
        </w:rPr>
        <w:t>He/She can identify the deficiencies and risks in the applied technologies and initiates taking measures to reduce their impact.</w:t>
      </w:r>
    </w:p>
    <w:p w:rsidR="00331F21" w:rsidRPr="00331F21" w:rsidRDefault="00331F21" w:rsidP="00C14833">
      <w:pPr>
        <w:pStyle w:val="Listaszerbekezds"/>
        <w:numPr>
          <w:ilvl w:val="0"/>
          <w:numId w:val="116"/>
        </w:numPr>
        <w:autoSpaceDE w:val="0"/>
        <w:autoSpaceDN w:val="0"/>
        <w:adjustRightInd w:val="0"/>
        <w:spacing w:after="0" w:line="240" w:lineRule="auto"/>
        <w:ind w:left="786"/>
        <w:jc w:val="both"/>
        <w:rPr>
          <w:rFonts w:ascii="Times New Roman" w:hAnsi="Times New Roman" w:cs="Times New Roman"/>
        </w:rPr>
      </w:pPr>
      <w:r w:rsidRPr="00331F21">
        <w:rPr>
          <w:rFonts w:ascii="Times New Roman" w:hAnsi="Times New Roman" w:cs="Times New Roman"/>
        </w:rPr>
        <w:t>Under the guidance of his/her commander, he/she controls the work of the personnel under his/her command and supervises the planning, organization and implementation of the transport and transportation processes, and also the operation of the technical equipment used in military transportation.</w:t>
      </w:r>
    </w:p>
    <w:p w:rsidR="00331F21" w:rsidRPr="00331F21" w:rsidRDefault="00331F21" w:rsidP="00C14833">
      <w:pPr>
        <w:pStyle w:val="Listaszerbekezds"/>
        <w:numPr>
          <w:ilvl w:val="0"/>
          <w:numId w:val="116"/>
        </w:numPr>
        <w:autoSpaceDE w:val="0"/>
        <w:autoSpaceDN w:val="0"/>
        <w:adjustRightInd w:val="0"/>
        <w:spacing w:after="0" w:line="240" w:lineRule="auto"/>
        <w:ind w:left="786"/>
        <w:jc w:val="both"/>
        <w:rPr>
          <w:rFonts w:ascii="Times New Roman" w:hAnsi="Times New Roman" w:cs="Times New Roman"/>
        </w:rPr>
      </w:pPr>
      <w:r w:rsidRPr="00331F21">
        <w:rPr>
          <w:rFonts w:ascii="Times New Roman" w:hAnsi="Times New Roman" w:cs="Times New Roman"/>
        </w:rPr>
        <w:t>He/She continuously evaluates the efficiency and effectiveness of his/her subordinates' work.</w:t>
      </w:r>
    </w:p>
    <w:p w:rsidR="00331F21" w:rsidRPr="00331F21" w:rsidRDefault="00331F21" w:rsidP="00C14833">
      <w:pPr>
        <w:widowControl w:val="0"/>
        <w:numPr>
          <w:ilvl w:val="0"/>
          <w:numId w:val="118"/>
        </w:numPr>
        <w:spacing w:before="120" w:after="120" w:line="240" w:lineRule="auto"/>
        <w:ind w:left="426" w:hanging="142"/>
        <w:jc w:val="both"/>
        <w:rPr>
          <w:rFonts w:ascii="Times New Roman" w:eastAsia="Times New Roman" w:hAnsi="Times New Roman" w:cs="Times New Roman"/>
          <w:bCs/>
        </w:rPr>
      </w:pPr>
      <w:r w:rsidRPr="00331F21">
        <w:rPr>
          <w:rFonts w:ascii="Times New Roman" w:eastAsia="Times New Roman" w:hAnsi="Times New Roman" w:cs="Times New Roman"/>
          <w:b/>
          <w:bCs/>
        </w:rPr>
        <w:t xml:space="preserve">Előtanulmányi követelmények: </w:t>
      </w:r>
      <w:r w:rsidRPr="00331F21">
        <w:rPr>
          <w:rFonts w:ascii="Times New Roman" w:eastAsia="Times New Roman" w:hAnsi="Times New Roman" w:cs="Times New Roman"/>
          <w:bCs/>
        </w:rPr>
        <w:t>Nincs</w:t>
      </w:r>
    </w:p>
    <w:p w:rsidR="00331F21" w:rsidRPr="00331F21" w:rsidRDefault="00331F21" w:rsidP="00C14833">
      <w:pPr>
        <w:widowControl w:val="0"/>
        <w:numPr>
          <w:ilvl w:val="0"/>
          <w:numId w:val="118"/>
        </w:numPr>
        <w:spacing w:before="120" w:after="120" w:line="240" w:lineRule="auto"/>
        <w:ind w:left="426" w:hanging="142"/>
        <w:jc w:val="both"/>
        <w:rPr>
          <w:rFonts w:ascii="Times New Roman" w:eastAsia="Times New Roman" w:hAnsi="Times New Roman" w:cs="Times New Roman"/>
          <w:b/>
          <w:bCs/>
        </w:rPr>
      </w:pPr>
      <w:r w:rsidRPr="00331F21">
        <w:rPr>
          <w:rFonts w:ascii="Times New Roman" w:eastAsia="Times New Roman" w:hAnsi="Times New Roman" w:cs="Times New Roman"/>
          <w:b/>
          <w:bCs/>
        </w:rPr>
        <w:t>A tantárgy tananyagának leírása, tematika. Description of the subject, curriculum (magyarul, angolul - English):</w:t>
      </w:r>
    </w:p>
    <w:p w:rsidR="00331F21" w:rsidRPr="00331F21" w:rsidRDefault="00331F21" w:rsidP="00C14833">
      <w:pPr>
        <w:pStyle w:val="lfej"/>
        <w:numPr>
          <w:ilvl w:val="1"/>
          <w:numId w:val="118"/>
        </w:numPr>
        <w:tabs>
          <w:tab w:val="clear" w:pos="3977"/>
          <w:tab w:val="clear" w:pos="4536"/>
          <w:tab w:val="clear" w:pos="9072"/>
          <w:tab w:val="left" w:pos="708"/>
        </w:tabs>
        <w:spacing w:before="60"/>
        <w:ind w:left="993" w:hanging="574"/>
        <w:jc w:val="both"/>
        <w:rPr>
          <w:rFonts w:ascii="Times New Roman" w:hAnsi="Times New Roman" w:cs="Times New Roman"/>
          <w:i/>
        </w:rPr>
      </w:pPr>
      <w:r w:rsidRPr="00331F21">
        <w:rPr>
          <w:rFonts w:ascii="Times New Roman" w:hAnsi="Times New Roman" w:cs="Times New Roman"/>
        </w:rPr>
        <w:t>Közlekedés alapfogalmai, fő elemei, jellegzetes tevékenységi formái</w:t>
      </w:r>
      <w:r w:rsidRPr="00331F21">
        <w:rPr>
          <w:rFonts w:ascii="Times New Roman" w:hAnsi="Times New Roman" w:cs="Times New Roman"/>
          <w:i/>
        </w:rPr>
        <w:t>. (</w:t>
      </w:r>
      <w:r w:rsidRPr="00331F21">
        <w:rPr>
          <w:rStyle w:val="tlid-translation"/>
          <w:rFonts w:ascii="Times New Roman" w:hAnsi="Times New Roman" w:cs="Times New Roman"/>
          <w:i/>
          <w:lang w:val="en"/>
        </w:rPr>
        <w:t>Basic concepts, main elements and characteristic forms of transport.)</w:t>
      </w:r>
    </w:p>
    <w:p w:rsidR="00331F21" w:rsidRPr="00331F21" w:rsidRDefault="00331F21" w:rsidP="00C14833">
      <w:pPr>
        <w:pStyle w:val="lfej"/>
        <w:numPr>
          <w:ilvl w:val="1"/>
          <w:numId w:val="118"/>
        </w:numPr>
        <w:tabs>
          <w:tab w:val="clear" w:pos="3977"/>
          <w:tab w:val="clear" w:pos="4536"/>
          <w:tab w:val="clear" w:pos="9072"/>
          <w:tab w:val="left" w:pos="708"/>
        </w:tabs>
        <w:spacing w:before="60"/>
        <w:ind w:left="993" w:hanging="574"/>
        <w:jc w:val="both"/>
        <w:rPr>
          <w:rFonts w:ascii="Times New Roman" w:hAnsi="Times New Roman" w:cs="Times New Roman"/>
        </w:rPr>
      </w:pPr>
      <w:r w:rsidRPr="00331F21">
        <w:rPr>
          <w:rFonts w:ascii="Times New Roman" w:hAnsi="Times New Roman" w:cs="Times New Roman"/>
        </w:rPr>
        <w:t xml:space="preserve">Közlekedés ágazati szerkezete. </w:t>
      </w:r>
      <w:r w:rsidRPr="00331F21">
        <w:rPr>
          <w:rStyle w:val="tlid-translation"/>
          <w:rFonts w:ascii="Times New Roman" w:hAnsi="Times New Roman" w:cs="Times New Roman"/>
          <w:i/>
          <w:lang w:val="en"/>
        </w:rPr>
        <w:t>(Sectoral structure of transport.)</w:t>
      </w:r>
    </w:p>
    <w:p w:rsidR="00331F21" w:rsidRPr="00331F21" w:rsidRDefault="00331F21" w:rsidP="00C14833">
      <w:pPr>
        <w:pStyle w:val="lfej"/>
        <w:numPr>
          <w:ilvl w:val="1"/>
          <w:numId w:val="118"/>
        </w:numPr>
        <w:tabs>
          <w:tab w:val="clear" w:pos="3977"/>
          <w:tab w:val="clear" w:pos="4536"/>
          <w:tab w:val="clear" w:pos="9072"/>
          <w:tab w:val="left" w:pos="708"/>
        </w:tabs>
        <w:spacing w:before="60"/>
        <w:ind w:left="993" w:hanging="574"/>
        <w:jc w:val="both"/>
        <w:rPr>
          <w:rStyle w:val="tlid-translation"/>
          <w:rFonts w:ascii="Times New Roman" w:hAnsi="Times New Roman" w:cs="Times New Roman"/>
          <w:i/>
          <w:lang w:val="en"/>
        </w:rPr>
      </w:pPr>
      <w:r w:rsidRPr="00331F21">
        <w:rPr>
          <w:rFonts w:ascii="Times New Roman" w:hAnsi="Times New Roman" w:cs="Times New Roman"/>
        </w:rPr>
        <w:t xml:space="preserve">Közlekedési szükségleteket befolyásoló tényezők. </w:t>
      </w:r>
      <w:r w:rsidRPr="00331F21">
        <w:rPr>
          <w:rFonts w:ascii="Times New Roman" w:hAnsi="Times New Roman" w:cs="Times New Roman"/>
          <w:b/>
        </w:rPr>
        <w:t>(</w:t>
      </w:r>
      <w:r w:rsidRPr="00331F21">
        <w:rPr>
          <w:rStyle w:val="tlid-translation"/>
          <w:rFonts w:ascii="Times New Roman" w:hAnsi="Times New Roman" w:cs="Times New Roman"/>
          <w:i/>
          <w:lang w:val="en"/>
        </w:rPr>
        <w:t>Factors influencing transport needs.)</w:t>
      </w:r>
    </w:p>
    <w:p w:rsidR="00331F21" w:rsidRPr="00331F21" w:rsidRDefault="00331F21" w:rsidP="00C14833">
      <w:pPr>
        <w:pStyle w:val="lfej"/>
        <w:numPr>
          <w:ilvl w:val="1"/>
          <w:numId w:val="118"/>
        </w:numPr>
        <w:tabs>
          <w:tab w:val="clear" w:pos="3977"/>
          <w:tab w:val="clear" w:pos="4536"/>
          <w:tab w:val="clear" w:pos="9072"/>
          <w:tab w:val="left" w:pos="708"/>
        </w:tabs>
        <w:spacing w:before="60"/>
        <w:ind w:left="993" w:hanging="574"/>
        <w:jc w:val="both"/>
        <w:rPr>
          <w:rFonts w:ascii="Times New Roman" w:hAnsi="Times New Roman" w:cs="Times New Roman"/>
        </w:rPr>
      </w:pPr>
      <w:r w:rsidRPr="00331F21">
        <w:rPr>
          <w:rFonts w:ascii="Times New Roman" w:hAnsi="Times New Roman" w:cs="Times New Roman"/>
        </w:rPr>
        <w:t xml:space="preserve">Közlekedési alágazatok jellemzői, katonai sajátosságai. Közlekedési munkamegosztás. </w:t>
      </w:r>
      <w:r w:rsidRPr="00331F21">
        <w:rPr>
          <w:rStyle w:val="tlid-translation"/>
          <w:rFonts w:ascii="Times New Roman" w:hAnsi="Times New Roman" w:cs="Times New Roman"/>
          <w:i/>
          <w:lang w:val="en"/>
        </w:rPr>
        <w:t>(Characteristics and military features of transport sub-sectors. Transport division of labor.)</w:t>
      </w:r>
    </w:p>
    <w:p w:rsidR="00331F21" w:rsidRPr="00331F21" w:rsidRDefault="00331F21" w:rsidP="00C14833">
      <w:pPr>
        <w:pStyle w:val="lfej"/>
        <w:numPr>
          <w:ilvl w:val="1"/>
          <w:numId w:val="118"/>
        </w:numPr>
        <w:tabs>
          <w:tab w:val="clear" w:pos="3977"/>
          <w:tab w:val="clear" w:pos="4536"/>
          <w:tab w:val="clear" w:pos="9072"/>
          <w:tab w:val="left" w:pos="708"/>
        </w:tabs>
        <w:spacing w:before="60"/>
        <w:ind w:left="993" w:hanging="574"/>
        <w:jc w:val="both"/>
        <w:rPr>
          <w:rStyle w:val="tlid-translation"/>
          <w:rFonts w:ascii="Times New Roman" w:hAnsi="Times New Roman" w:cs="Times New Roman"/>
          <w:i/>
          <w:lang w:val="en"/>
        </w:rPr>
      </w:pPr>
      <w:r w:rsidRPr="00331F21">
        <w:rPr>
          <w:rFonts w:ascii="Times New Roman" w:hAnsi="Times New Roman" w:cs="Times New Roman"/>
        </w:rPr>
        <w:lastRenderedPageBreak/>
        <w:t xml:space="preserve">A szállítási folyamat elemei, katonai sajátosságai. </w:t>
      </w:r>
      <w:r w:rsidRPr="00331F21">
        <w:rPr>
          <w:rStyle w:val="tlid-translation"/>
          <w:rFonts w:ascii="Times New Roman" w:hAnsi="Times New Roman" w:cs="Times New Roman"/>
          <w:i/>
          <w:lang w:val="en"/>
        </w:rPr>
        <w:t>(Elements of the transport process, military peculiarities.)</w:t>
      </w:r>
    </w:p>
    <w:p w:rsidR="00331F21" w:rsidRPr="00331F21" w:rsidRDefault="00331F21" w:rsidP="00C14833">
      <w:pPr>
        <w:pStyle w:val="lfej"/>
        <w:numPr>
          <w:ilvl w:val="1"/>
          <w:numId w:val="118"/>
        </w:numPr>
        <w:tabs>
          <w:tab w:val="clear" w:pos="3977"/>
          <w:tab w:val="clear" w:pos="4536"/>
          <w:tab w:val="clear" w:pos="9072"/>
          <w:tab w:val="left" w:pos="708"/>
        </w:tabs>
        <w:spacing w:before="60"/>
        <w:ind w:left="993" w:hanging="574"/>
        <w:jc w:val="both"/>
        <w:rPr>
          <w:rFonts w:ascii="Times New Roman" w:hAnsi="Times New Roman" w:cs="Times New Roman"/>
        </w:rPr>
      </w:pPr>
      <w:r w:rsidRPr="00331F21">
        <w:rPr>
          <w:rFonts w:ascii="Times New Roman" w:hAnsi="Times New Roman" w:cs="Times New Roman"/>
        </w:rPr>
        <w:t xml:space="preserve">Katonai közúti, vasúti, vízi és légi szállítások helye, szerepe a katonai közlekedési rendszerben. </w:t>
      </w:r>
      <w:r w:rsidRPr="00331F21">
        <w:rPr>
          <w:rStyle w:val="tlid-translation"/>
          <w:rFonts w:ascii="Times New Roman" w:hAnsi="Times New Roman" w:cs="Times New Roman"/>
          <w:i/>
          <w:lang w:val="en"/>
        </w:rPr>
        <w:t>(Location of military road, rail, water and air transport, its role in the military transport system.)</w:t>
      </w:r>
    </w:p>
    <w:p w:rsidR="00331F21" w:rsidRPr="00331F21" w:rsidRDefault="00331F21" w:rsidP="00C14833">
      <w:pPr>
        <w:pStyle w:val="lfej"/>
        <w:numPr>
          <w:ilvl w:val="1"/>
          <w:numId w:val="118"/>
        </w:numPr>
        <w:tabs>
          <w:tab w:val="clear" w:pos="3977"/>
          <w:tab w:val="clear" w:pos="4536"/>
          <w:tab w:val="clear" w:pos="9072"/>
          <w:tab w:val="left" w:pos="708"/>
        </w:tabs>
        <w:spacing w:before="60"/>
        <w:ind w:left="993" w:hanging="574"/>
        <w:jc w:val="both"/>
        <w:rPr>
          <w:rFonts w:ascii="Times New Roman" w:hAnsi="Times New Roman" w:cs="Times New Roman"/>
        </w:rPr>
      </w:pPr>
      <w:r w:rsidRPr="00331F21">
        <w:rPr>
          <w:rFonts w:ascii="Times New Roman" w:hAnsi="Times New Roman" w:cs="Times New Roman"/>
        </w:rPr>
        <w:t xml:space="preserve">A katonai szállítások végrehajtására szervezet alegységek, egységek szervezeti felépítése, feladatrendszere. </w:t>
      </w:r>
      <w:r w:rsidRPr="00331F21">
        <w:rPr>
          <w:rStyle w:val="tlid-translation"/>
          <w:rFonts w:ascii="Times New Roman" w:hAnsi="Times New Roman" w:cs="Times New Roman"/>
          <w:i/>
          <w:lang w:val="en"/>
        </w:rPr>
        <w:t>(Organizational sub-units, organizational structure and task system of military sub-units.)</w:t>
      </w:r>
    </w:p>
    <w:p w:rsidR="00331F21" w:rsidRPr="00331F21" w:rsidRDefault="00331F21" w:rsidP="00C14833">
      <w:pPr>
        <w:pStyle w:val="lfej"/>
        <w:numPr>
          <w:ilvl w:val="1"/>
          <w:numId w:val="118"/>
        </w:numPr>
        <w:tabs>
          <w:tab w:val="clear" w:pos="3977"/>
          <w:tab w:val="clear" w:pos="4536"/>
          <w:tab w:val="clear" w:pos="9072"/>
          <w:tab w:val="left" w:pos="708"/>
        </w:tabs>
        <w:spacing w:before="60"/>
        <w:ind w:left="993" w:hanging="574"/>
        <w:jc w:val="both"/>
        <w:rPr>
          <w:rFonts w:ascii="Times New Roman" w:hAnsi="Times New Roman" w:cs="Times New Roman"/>
        </w:rPr>
      </w:pPr>
      <w:r w:rsidRPr="00331F21">
        <w:rPr>
          <w:rFonts w:ascii="Times New Roman" w:hAnsi="Times New Roman" w:cs="Times New Roman"/>
        </w:rPr>
        <w:t xml:space="preserve">A katonai szállítások végrehajtását befolyásoló főbb polgári jogi szabályozó elemek. </w:t>
      </w:r>
      <w:r w:rsidRPr="00331F21">
        <w:rPr>
          <w:rStyle w:val="tlid-translation"/>
          <w:rFonts w:ascii="Times New Roman" w:hAnsi="Times New Roman" w:cs="Times New Roman"/>
          <w:i/>
          <w:lang w:val="en"/>
        </w:rPr>
        <w:t>(Major civil law regulatory elements that influence the execution of military deliveries.)</w:t>
      </w:r>
    </w:p>
    <w:p w:rsidR="00331F21" w:rsidRPr="00331F21" w:rsidRDefault="00331F21" w:rsidP="00C14833">
      <w:pPr>
        <w:pStyle w:val="lfej"/>
        <w:numPr>
          <w:ilvl w:val="1"/>
          <w:numId w:val="118"/>
        </w:numPr>
        <w:tabs>
          <w:tab w:val="clear" w:pos="3977"/>
          <w:tab w:val="clear" w:pos="4536"/>
          <w:tab w:val="clear" w:pos="9072"/>
          <w:tab w:val="left" w:pos="708"/>
        </w:tabs>
        <w:spacing w:before="60"/>
        <w:ind w:left="993" w:hanging="574"/>
        <w:jc w:val="both"/>
        <w:rPr>
          <w:rFonts w:ascii="Times New Roman" w:hAnsi="Times New Roman" w:cs="Times New Roman"/>
        </w:rPr>
      </w:pPr>
      <w:r w:rsidRPr="00331F21">
        <w:rPr>
          <w:rFonts w:ascii="Times New Roman" w:hAnsi="Times New Roman" w:cs="Times New Roman"/>
        </w:rPr>
        <w:t xml:space="preserve">Zárthelyi dolgozat. </w:t>
      </w:r>
      <w:r w:rsidRPr="00331F21">
        <w:rPr>
          <w:rStyle w:val="tlid-translation"/>
          <w:rFonts w:ascii="Times New Roman" w:hAnsi="Times New Roman" w:cs="Times New Roman"/>
          <w:i/>
          <w:lang w:val="en"/>
        </w:rPr>
        <w:t>(Closed thesis.)</w:t>
      </w:r>
    </w:p>
    <w:p w:rsidR="00331F21" w:rsidRPr="00331F21" w:rsidRDefault="00331F21" w:rsidP="00C14833">
      <w:pPr>
        <w:widowControl w:val="0"/>
        <w:numPr>
          <w:ilvl w:val="0"/>
          <w:numId w:val="118"/>
        </w:numPr>
        <w:tabs>
          <w:tab w:val="num" w:pos="360"/>
        </w:tabs>
        <w:spacing w:before="120" w:after="120" w:line="240" w:lineRule="auto"/>
        <w:ind w:left="426" w:hanging="142"/>
        <w:jc w:val="both"/>
        <w:rPr>
          <w:rFonts w:ascii="Times New Roman" w:eastAsia="Times New Roman" w:hAnsi="Times New Roman" w:cs="Times New Roman"/>
          <w:bCs/>
        </w:rPr>
      </w:pPr>
      <w:r w:rsidRPr="00331F21">
        <w:rPr>
          <w:rFonts w:ascii="Times New Roman" w:eastAsia="Times New Roman" w:hAnsi="Times New Roman" w:cs="Times New Roman"/>
          <w:b/>
          <w:bCs/>
        </w:rPr>
        <w:t xml:space="preserve">A tantárgy meghirdetésének gyakorisága/a tantervben történő félévi elhelyezkedése: </w:t>
      </w:r>
      <w:r w:rsidRPr="00331F21">
        <w:rPr>
          <w:rFonts w:ascii="Times New Roman" w:eastAsia="Times New Roman" w:hAnsi="Times New Roman" w:cs="Times New Roman"/>
          <w:bCs/>
        </w:rPr>
        <w:t>4. félév</w:t>
      </w:r>
    </w:p>
    <w:p w:rsidR="00331F21" w:rsidRPr="00331F21" w:rsidRDefault="00331F21" w:rsidP="00C14833">
      <w:pPr>
        <w:widowControl w:val="0"/>
        <w:numPr>
          <w:ilvl w:val="0"/>
          <w:numId w:val="118"/>
        </w:numPr>
        <w:tabs>
          <w:tab w:val="num" w:pos="360"/>
        </w:tabs>
        <w:spacing w:before="120" w:after="120" w:line="240" w:lineRule="auto"/>
        <w:ind w:left="426" w:hanging="142"/>
        <w:jc w:val="both"/>
        <w:rPr>
          <w:rFonts w:ascii="Times New Roman" w:eastAsia="Times New Roman" w:hAnsi="Times New Roman" w:cs="Times New Roman"/>
          <w:bCs/>
        </w:rPr>
      </w:pPr>
      <w:r w:rsidRPr="00331F21">
        <w:rPr>
          <w:rFonts w:ascii="Times New Roman" w:eastAsia="Times New Roman" w:hAnsi="Times New Roman" w:cs="Times New Roman"/>
          <w:b/>
          <w:bCs/>
        </w:rPr>
        <w:t>A tanórákon való részvétel követelményei, az elfogadható hiányzások mértéke, a távolmaradás pótlásának lehetősége:</w:t>
      </w:r>
      <w:r w:rsidRPr="00331F21">
        <w:rPr>
          <w:rFonts w:ascii="Times New Roman" w:eastAsia="Times New Roman" w:hAnsi="Times New Roman" w:cs="Times New Roman"/>
          <w:bCs/>
        </w:rPr>
        <w:t xml:space="preserve"> </w:t>
      </w:r>
    </w:p>
    <w:p w:rsidR="00331F21" w:rsidRPr="00331F21" w:rsidRDefault="00331F21" w:rsidP="00331F21">
      <w:pPr>
        <w:widowControl w:val="0"/>
        <w:spacing w:before="120" w:after="120" w:line="240" w:lineRule="auto"/>
        <w:ind w:left="426"/>
        <w:jc w:val="both"/>
        <w:rPr>
          <w:rFonts w:ascii="Times New Roman" w:eastAsia="Times New Roman" w:hAnsi="Times New Roman" w:cs="Times New Roman"/>
          <w:bCs/>
          <w:highlight w:val="lightGray"/>
        </w:rPr>
      </w:pPr>
      <w:r w:rsidRPr="00331F21">
        <w:rPr>
          <w:rFonts w:ascii="Times New Roman" w:eastAsia="Times New Roman" w:hAnsi="Times New Roman" w:cs="Times New Roman"/>
          <w:bCs/>
          <w:lang w:eastAsia="hu-HU"/>
        </w:rPr>
        <w:t>A tanórákon való részvétel kötelező, megengedett hiányzás mértéke 25%. Hiányzás esetén órapótlásra nincs lehetőség, a hallgató az előadás anyagát önállóan pótolja. A 25%-ot meghaladó hiányzás az aláírás megtagadását vonja maga után.</w:t>
      </w:r>
    </w:p>
    <w:p w:rsidR="00331F21" w:rsidRPr="00331F21" w:rsidRDefault="00331F21" w:rsidP="00C14833">
      <w:pPr>
        <w:widowControl w:val="0"/>
        <w:numPr>
          <w:ilvl w:val="0"/>
          <w:numId w:val="118"/>
        </w:numPr>
        <w:tabs>
          <w:tab w:val="num" w:pos="360"/>
        </w:tabs>
        <w:spacing w:before="120" w:after="120" w:line="240" w:lineRule="auto"/>
        <w:ind w:left="426" w:hanging="142"/>
        <w:jc w:val="both"/>
        <w:rPr>
          <w:rFonts w:ascii="Times New Roman" w:eastAsia="Times New Roman" w:hAnsi="Times New Roman" w:cs="Times New Roman"/>
          <w:bCs/>
        </w:rPr>
      </w:pPr>
      <w:r w:rsidRPr="00331F21">
        <w:rPr>
          <w:rFonts w:ascii="Times New Roman" w:eastAsia="Times New Roman" w:hAnsi="Times New Roman" w:cs="Times New Roman"/>
          <w:b/>
        </w:rPr>
        <w:t>Félévközi feladatok, ismeretek ellenőrzésének rendje:</w:t>
      </w:r>
      <w:r w:rsidRPr="00331F21">
        <w:rPr>
          <w:rFonts w:ascii="Times New Roman" w:eastAsia="Times New Roman" w:hAnsi="Times New Roman" w:cs="Times New Roman"/>
          <w:bCs/>
        </w:rPr>
        <w:t xml:space="preserve"> </w:t>
      </w:r>
    </w:p>
    <w:p w:rsidR="00331F21" w:rsidRPr="00331F21" w:rsidRDefault="00331F21" w:rsidP="00331F21">
      <w:pPr>
        <w:widowControl w:val="0"/>
        <w:spacing w:before="120" w:after="120" w:line="240" w:lineRule="auto"/>
        <w:ind w:left="426"/>
        <w:jc w:val="both"/>
        <w:rPr>
          <w:rFonts w:ascii="Times New Roman" w:eastAsia="Times New Roman" w:hAnsi="Times New Roman" w:cs="Times New Roman"/>
          <w:lang w:eastAsia="x-none"/>
        </w:rPr>
      </w:pPr>
      <w:r w:rsidRPr="00331F21">
        <w:rPr>
          <w:rFonts w:ascii="Times New Roman" w:eastAsia="Times New Roman" w:hAnsi="Times New Roman" w:cs="Times New Roman"/>
          <w:lang w:val="x-none" w:eastAsia="x-none"/>
        </w:rPr>
        <w:t>A félév során egy zárthelyi dolgozatot ke</w:t>
      </w:r>
      <w:r w:rsidRPr="00331F21">
        <w:rPr>
          <w:rFonts w:ascii="Times New Roman" w:eastAsia="Times New Roman" w:hAnsi="Times New Roman" w:cs="Times New Roman"/>
          <w:lang w:eastAsia="x-none"/>
        </w:rPr>
        <w:t>l</w:t>
      </w:r>
      <w:r w:rsidRPr="00331F21">
        <w:rPr>
          <w:rFonts w:ascii="Times New Roman" w:eastAsia="Times New Roman" w:hAnsi="Times New Roman" w:cs="Times New Roman"/>
          <w:lang w:val="x-none" w:eastAsia="x-none"/>
        </w:rPr>
        <w:t>l megír</w:t>
      </w:r>
      <w:r w:rsidRPr="00331F21">
        <w:rPr>
          <w:rFonts w:ascii="Times New Roman" w:eastAsia="Times New Roman" w:hAnsi="Times New Roman" w:cs="Times New Roman"/>
          <w:lang w:eastAsia="x-none"/>
        </w:rPr>
        <w:t>ni</w:t>
      </w:r>
      <w:r w:rsidRPr="00331F21">
        <w:rPr>
          <w:rFonts w:ascii="Times New Roman" w:eastAsia="Times New Roman" w:hAnsi="Times New Roman" w:cs="Times New Roman"/>
          <w:lang w:val="x-none" w:eastAsia="x-none"/>
        </w:rPr>
        <w:t xml:space="preserve">. </w:t>
      </w:r>
      <w:r w:rsidRPr="00331F21">
        <w:rPr>
          <w:rFonts w:ascii="Times New Roman" w:eastAsia="Times New Roman" w:hAnsi="Times New Roman" w:cs="Times New Roman"/>
          <w:lang w:eastAsia="x-none"/>
        </w:rPr>
        <w:t xml:space="preserve">A zárthelyi dolgozat ötfokozatú skálán értékelendő, 50%+1 pont elégséges, 60% közepes, 75% jó, 90% jeles. </w:t>
      </w:r>
      <w:r w:rsidRPr="00331F21">
        <w:rPr>
          <w:rFonts w:ascii="Times New Roman" w:eastAsia="Times New Roman" w:hAnsi="Times New Roman" w:cs="Times New Roman"/>
          <w:lang w:val="x-none" w:eastAsia="x-none"/>
        </w:rPr>
        <w:t xml:space="preserve">Az elégtelen osztályzatra értékelt dolgozatot a szorgalmi és a vizsgaidőszakban is egy-egy alkalommal lehet pótolni. </w:t>
      </w:r>
    </w:p>
    <w:p w:rsidR="00331F21" w:rsidRPr="00331F21" w:rsidRDefault="00331F21" w:rsidP="00331F21">
      <w:pPr>
        <w:widowControl w:val="0"/>
        <w:spacing w:before="120" w:after="120" w:line="240" w:lineRule="auto"/>
        <w:ind w:left="426"/>
        <w:jc w:val="both"/>
        <w:rPr>
          <w:rFonts w:ascii="Times New Roman" w:eastAsia="Times New Roman" w:hAnsi="Times New Roman" w:cs="Times New Roman"/>
          <w:lang w:val="x-none" w:eastAsia="x-none"/>
        </w:rPr>
      </w:pPr>
      <w:r w:rsidRPr="00331F21">
        <w:rPr>
          <w:rFonts w:ascii="Times New Roman" w:eastAsia="Times New Roman" w:hAnsi="Times New Roman" w:cs="Times New Roman"/>
          <w:lang w:eastAsia="hu-HU"/>
        </w:rPr>
        <w:t>A félév során egy gyakorlati feladatot kell elkészíteni. A gyakorlati munka a kurzus oktatója által meghatározott térképes feladat kidolgozása. A gyakorlati feladat értékelése lehet „Megfelelő”, vagy „Nem megfelelő”. A „Nem megfelelőre” értékelt gyakorlati feladatot az oktató által meghatározott leadási határidő lejárta után pótolni csak a vizsgaidőszak első hetében lehet egy alkalommal.</w:t>
      </w:r>
    </w:p>
    <w:p w:rsidR="00331F21" w:rsidRPr="00331F21" w:rsidRDefault="00331F21" w:rsidP="00C14833">
      <w:pPr>
        <w:widowControl w:val="0"/>
        <w:numPr>
          <w:ilvl w:val="0"/>
          <w:numId w:val="118"/>
        </w:numPr>
        <w:spacing w:before="120" w:after="120" w:line="240" w:lineRule="auto"/>
        <w:ind w:left="426" w:hanging="142"/>
        <w:jc w:val="both"/>
        <w:rPr>
          <w:rFonts w:ascii="Times New Roman" w:eastAsia="Times New Roman" w:hAnsi="Times New Roman" w:cs="Times New Roman"/>
          <w:b/>
          <w:bCs/>
        </w:rPr>
      </w:pPr>
      <w:r w:rsidRPr="00331F21">
        <w:rPr>
          <w:rFonts w:ascii="Times New Roman" w:eastAsia="Times New Roman" w:hAnsi="Times New Roman" w:cs="Times New Roman"/>
          <w:b/>
          <w:bCs/>
        </w:rPr>
        <w:t xml:space="preserve">Az értékelés, az aláírás és a kreditek megszerzésének pontos feltételei: </w:t>
      </w:r>
    </w:p>
    <w:p w:rsidR="00331F21" w:rsidRPr="00331F21" w:rsidRDefault="00331F21" w:rsidP="00C14833">
      <w:pPr>
        <w:widowControl w:val="0"/>
        <w:numPr>
          <w:ilvl w:val="1"/>
          <w:numId w:val="118"/>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331F21">
        <w:rPr>
          <w:rFonts w:ascii="Times New Roman" w:eastAsia="Times New Roman" w:hAnsi="Times New Roman" w:cs="Times New Roman"/>
          <w:b/>
        </w:rPr>
        <w:t>Az aláírás megszerzésének feltételei:</w:t>
      </w:r>
      <w:r w:rsidRPr="00331F21">
        <w:rPr>
          <w:rFonts w:ascii="Times New Roman" w:eastAsia="Times New Roman" w:hAnsi="Times New Roman" w:cs="Times New Roman"/>
        </w:rPr>
        <w:t xml:space="preserve"> </w:t>
      </w:r>
    </w:p>
    <w:p w:rsidR="00331F21" w:rsidRPr="00331F21" w:rsidRDefault="00331F21" w:rsidP="00331F21">
      <w:pPr>
        <w:spacing w:before="120"/>
        <w:ind w:left="567"/>
        <w:jc w:val="both"/>
        <w:rPr>
          <w:rFonts w:ascii="Times New Roman" w:hAnsi="Times New Roman" w:cs="Times New Roman"/>
        </w:rPr>
      </w:pPr>
      <w:r w:rsidRPr="00331F21">
        <w:rPr>
          <w:rFonts w:ascii="Times New Roman" w:hAnsi="Times New Roman" w:cs="Times New Roman"/>
        </w:rPr>
        <w:t>Az aláírás megszerzésnek feltétele a zárthelyi dolgozat legalább elégséges szinten történő teljesítése (min. 50%+1 pont), a kidolgozandó gyakorlati feladat határidőig történő elkészítése és „Megfelelő” szintet elérő jelentése, illetve a tanórák legalább 75%-án való részvétel.</w:t>
      </w:r>
    </w:p>
    <w:p w:rsidR="00331F21" w:rsidRPr="00331F21" w:rsidRDefault="00331F21" w:rsidP="00C14833">
      <w:pPr>
        <w:widowControl w:val="0"/>
        <w:numPr>
          <w:ilvl w:val="1"/>
          <w:numId w:val="118"/>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331F21">
        <w:rPr>
          <w:rFonts w:ascii="Times New Roman" w:eastAsia="Times New Roman" w:hAnsi="Times New Roman" w:cs="Times New Roman"/>
          <w:b/>
        </w:rPr>
        <w:t>Az értékelés:</w:t>
      </w:r>
      <w:r w:rsidRPr="00331F21">
        <w:rPr>
          <w:rFonts w:ascii="Times New Roman" w:eastAsia="Times New Roman" w:hAnsi="Times New Roman" w:cs="Times New Roman"/>
        </w:rPr>
        <w:t xml:space="preserve"> </w:t>
      </w:r>
    </w:p>
    <w:p w:rsidR="00331F21" w:rsidRPr="00331F21" w:rsidRDefault="00331F21" w:rsidP="00331F21">
      <w:pPr>
        <w:spacing w:before="120"/>
        <w:ind w:left="567"/>
        <w:jc w:val="both"/>
        <w:rPr>
          <w:rFonts w:ascii="Times New Roman" w:hAnsi="Times New Roman" w:cs="Times New Roman"/>
          <w:b/>
        </w:rPr>
      </w:pPr>
      <w:r w:rsidRPr="00331F21">
        <w:rPr>
          <w:rFonts w:ascii="Times New Roman" w:hAnsi="Times New Roman" w:cs="Times New Roman"/>
        </w:rPr>
        <w:t xml:space="preserve">A félév végén a </w:t>
      </w:r>
      <w:r w:rsidRPr="00331F21">
        <w:rPr>
          <w:rFonts w:ascii="Times New Roman" w:hAnsi="Times New Roman" w:cs="Times New Roman"/>
          <w:b/>
        </w:rPr>
        <w:t>kollokvium</w:t>
      </w:r>
      <w:r w:rsidRPr="00331F21">
        <w:rPr>
          <w:rFonts w:ascii="Times New Roman" w:hAnsi="Times New Roman" w:cs="Times New Roman"/>
        </w:rPr>
        <w:t xml:space="preserve"> szóbeli, amelynek eredményébe a félévközi munka beszámítható. A kollokviumra a hallgatók csak felkészülési témaköröket kapnak kézhez, melyek felölelik a félév teljes tananyagát és a vizsgatételek kérdéseit. A kollokviumon a hallgató a vizsgatétel ismertetésére kapott osztályzata alapján ötfokozatú skálán értékelendő. Ha a vizsgáztató nem győződött meg a hallgató felkészültségéről a vizsgatétel alapján, kérdéseket tehet fel a félév tananyagából, amelyek a kollokvium érdemjegyébe beleszámítandók.</w:t>
      </w:r>
    </w:p>
    <w:p w:rsidR="00331F21" w:rsidRPr="00331F21" w:rsidRDefault="00331F21" w:rsidP="00C14833">
      <w:pPr>
        <w:widowControl w:val="0"/>
        <w:numPr>
          <w:ilvl w:val="1"/>
          <w:numId w:val="118"/>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331F21">
        <w:rPr>
          <w:rFonts w:ascii="Times New Roman" w:eastAsia="Times New Roman" w:hAnsi="Times New Roman" w:cs="Times New Roman"/>
          <w:b/>
        </w:rPr>
        <w:t>A kreditek megszerzésének feltételei:</w:t>
      </w:r>
      <w:r w:rsidRPr="00331F21">
        <w:rPr>
          <w:rFonts w:ascii="Times New Roman" w:eastAsia="Times New Roman" w:hAnsi="Times New Roman" w:cs="Times New Roman"/>
        </w:rPr>
        <w:t xml:space="preserve"> </w:t>
      </w:r>
    </w:p>
    <w:p w:rsidR="00331F21" w:rsidRPr="00331F21" w:rsidRDefault="00331F21" w:rsidP="00331F21">
      <w:pPr>
        <w:widowControl w:val="0"/>
        <w:tabs>
          <w:tab w:val="left" w:pos="993"/>
        </w:tabs>
        <w:spacing w:before="120" w:after="120" w:line="240" w:lineRule="auto"/>
        <w:ind w:left="426"/>
        <w:jc w:val="both"/>
        <w:rPr>
          <w:rFonts w:ascii="Times New Roman" w:eastAsia="Times New Roman" w:hAnsi="Times New Roman" w:cs="Times New Roman"/>
        </w:rPr>
      </w:pPr>
      <w:r w:rsidRPr="00331F21">
        <w:rPr>
          <w:rFonts w:ascii="Times New Roman" w:eastAsia="Times New Roman" w:hAnsi="Times New Roman" w:cs="Times New Roman"/>
        </w:rPr>
        <w:t>A kreditek megszerzésének feltétele az aláírás megszerzése és legalább elégséges vizsgajegy.</w:t>
      </w:r>
    </w:p>
    <w:p w:rsidR="00331F21" w:rsidRPr="00331F21" w:rsidRDefault="00331F21" w:rsidP="00C14833">
      <w:pPr>
        <w:widowControl w:val="0"/>
        <w:numPr>
          <w:ilvl w:val="0"/>
          <w:numId w:val="118"/>
        </w:numPr>
        <w:tabs>
          <w:tab w:val="num" w:pos="360"/>
        </w:tabs>
        <w:spacing w:before="120" w:after="120" w:line="240" w:lineRule="auto"/>
        <w:ind w:left="426" w:hanging="142"/>
        <w:jc w:val="both"/>
        <w:rPr>
          <w:rFonts w:ascii="Times New Roman" w:eastAsia="Times New Roman" w:hAnsi="Times New Roman" w:cs="Times New Roman"/>
          <w:bCs/>
        </w:rPr>
      </w:pPr>
      <w:r w:rsidRPr="00331F21">
        <w:rPr>
          <w:rFonts w:ascii="Times New Roman" w:eastAsia="Times New Roman" w:hAnsi="Times New Roman" w:cs="Times New Roman"/>
          <w:b/>
          <w:bCs/>
        </w:rPr>
        <w:t>Irodalomjegyzék:</w:t>
      </w:r>
    </w:p>
    <w:p w:rsidR="00331F21" w:rsidRPr="00331F21" w:rsidRDefault="00331F21" w:rsidP="00C14833">
      <w:pPr>
        <w:widowControl w:val="0"/>
        <w:numPr>
          <w:ilvl w:val="1"/>
          <w:numId w:val="118"/>
        </w:numPr>
        <w:tabs>
          <w:tab w:val="left" w:pos="567"/>
          <w:tab w:val="left" w:pos="851"/>
        </w:tabs>
        <w:spacing w:before="120" w:after="120" w:line="240" w:lineRule="auto"/>
        <w:ind w:left="426" w:hanging="142"/>
        <w:jc w:val="both"/>
        <w:rPr>
          <w:rFonts w:ascii="Times New Roman" w:eastAsia="Times New Roman" w:hAnsi="Times New Roman" w:cs="Times New Roman"/>
          <w:bCs/>
        </w:rPr>
      </w:pPr>
      <w:r w:rsidRPr="00331F21">
        <w:rPr>
          <w:rFonts w:ascii="Times New Roman" w:eastAsia="Times New Roman" w:hAnsi="Times New Roman" w:cs="Times New Roman"/>
          <w:b/>
          <w:bCs/>
        </w:rPr>
        <w:t>Kötelező irodalom:</w:t>
      </w:r>
    </w:p>
    <w:p w:rsidR="008963FD" w:rsidRPr="00331F21" w:rsidRDefault="008963FD" w:rsidP="00C14833">
      <w:pPr>
        <w:numPr>
          <w:ilvl w:val="0"/>
          <w:numId w:val="117"/>
        </w:numPr>
        <w:spacing w:after="0" w:line="240" w:lineRule="auto"/>
        <w:jc w:val="both"/>
        <w:rPr>
          <w:rFonts w:ascii="Times New Roman" w:hAnsi="Times New Roman" w:cs="Times New Roman"/>
        </w:rPr>
      </w:pPr>
      <w:r w:rsidRPr="00331F21">
        <w:rPr>
          <w:rFonts w:ascii="Times New Roman" w:hAnsi="Times New Roman" w:cs="Times New Roman"/>
        </w:rPr>
        <w:t>Magyar Honvédség Összhaderőnemi Doktrína 3. kiadás (A HVK Logisztikai Csoportfőnökség kiadványa, 2015.);</w:t>
      </w:r>
    </w:p>
    <w:p w:rsidR="008963FD" w:rsidRPr="00331F21" w:rsidRDefault="008963FD" w:rsidP="00C14833">
      <w:pPr>
        <w:numPr>
          <w:ilvl w:val="0"/>
          <w:numId w:val="117"/>
        </w:numPr>
        <w:spacing w:after="0" w:line="240" w:lineRule="auto"/>
        <w:jc w:val="both"/>
        <w:rPr>
          <w:rFonts w:ascii="Times New Roman" w:hAnsi="Times New Roman" w:cs="Times New Roman"/>
        </w:rPr>
      </w:pPr>
      <w:r w:rsidRPr="00331F21">
        <w:rPr>
          <w:rFonts w:ascii="Times New Roman" w:hAnsi="Times New Roman" w:cs="Times New Roman"/>
        </w:rPr>
        <w:lastRenderedPageBreak/>
        <w:t>Magyar Honvédség Közlekedési Támogatás Doktrína Magyar Honvédség (Közlekedési Főnökség kiadványa, Budapest, 2005.);</w:t>
      </w:r>
    </w:p>
    <w:p w:rsidR="008963FD" w:rsidRPr="00331F21" w:rsidRDefault="008963FD" w:rsidP="00C14833">
      <w:pPr>
        <w:numPr>
          <w:ilvl w:val="0"/>
          <w:numId w:val="117"/>
        </w:numPr>
        <w:spacing w:after="0" w:line="240" w:lineRule="auto"/>
        <w:jc w:val="both"/>
        <w:rPr>
          <w:rFonts w:ascii="Times New Roman" w:hAnsi="Times New Roman" w:cs="Times New Roman"/>
        </w:rPr>
      </w:pPr>
      <w:r w:rsidRPr="00331F21">
        <w:rPr>
          <w:rFonts w:ascii="Times New Roman" w:hAnsi="Times New Roman" w:cs="Times New Roman"/>
        </w:rPr>
        <w:t>Magyar István: Közlekedéstan I. Egyetemi jegyzet. Budapesti Műszaki és Gazdaságtudományi Egyetem Közlekedésmérnöki Kar. Műegyetemi Kiadó. Budapest, 2002.</w:t>
      </w:r>
    </w:p>
    <w:p w:rsidR="008963FD" w:rsidRPr="00331F21" w:rsidRDefault="008963FD" w:rsidP="00C14833">
      <w:pPr>
        <w:numPr>
          <w:ilvl w:val="0"/>
          <w:numId w:val="117"/>
        </w:numPr>
        <w:spacing w:after="0" w:line="240" w:lineRule="auto"/>
        <w:jc w:val="both"/>
        <w:rPr>
          <w:rFonts w:ascii="Times New Roman" w:hAnsi="Times New Roman" w:cs="Times New Roman"/>
        </w:rPr>
      </w:pPr>
      <w:r w:rsidRPr="00331F21">
        <w:rPr>
          <w:rFonts w:ascii="Times New Roman" w:hAnsi="Times New Roman" w:cs="Times New Roman"/>
        </w:rPr>
        <w:t>Logisztika I. (Bevezető fejezetek) Szerkesztette: Prezenszki József (Hatodik változatlan utánnyomás. Budapest, 2006.)</w:t>
      </w:r>
    </w:p>
    <w:p w:rsidR="00331F21" w:rsidRPr="00331F21" w:rsidRDefault="00331F21" w:rsidP="00C14833">
      <w:pPr>
        <w:widowControl w:val="0"/>
        <w:numPr>
          <w:ilvl w:val="1"/>
          <w:numId w:val="118"/>
        </w:numPr>
        <w:spacing w:before="120" w:after="120" w:line="240" w:lineRule="auto"/>
        <w:ind w:left="993" w:hanging="709"/>
        <w:jc w:val="both"/>
        <w:rPr>
          <w:rFonts w:ascii="Times New Roman" w:eastAsia="Times New Roman" w:hAnsi="Times New Roman" w:cs="Times New Roman"/>
          <w:b/>
          <w:bCs/>
        </w:rPr>
      </w:pPr>
      <w:r w:rsidRPr="00331F21">
        <w:rPr>
          <w:rFonts w:ascii="Times New Roman" w:eastAsia="Times New Roman" w:hAnsi="Times New Roman" w:cs="Times New Roman"/>
          <w:b/>
          <w:bCs/>
        </w:rPr>
        <w:t>Ajánlott irodalom:</w:t>
      </w:r>
    </w:p>
    <w:p w:rsidR="008963FD" w:rsidRPr="00331F21" w:rsidRDefault="008963FD" w:rsidP="00980876">
      <w:pPr>
        <w:numPr>
          <w:ilvl w:val="0"/>
          <w:numId w:val="749"/>
        </w:numPr>
        <w:spacing w:after="0" w:line="240" w:lineRule="auto"/>
        <w:jc w:val="both"/>
        <w:rPr>
          <w:rFonts w:ascii="Times New Roman" w:hAnsi="Times New Roman" w:cs="Times New Roman"/>
        </w:rPr>
      </w:pPr>
      <w:r w:rsidRPr="00331F21">
        <w:rPr>
          <w:rFonts w:ascii="Times New Roman" w:hAnsi="Times New Roman" w:cs="Times New Roman"/>
        </w:rPr>
        <w:t>AMovP-1(A) Road Movements and Movement Control, Published by the NATO Standardization Agency, December 2004.</w:t>
      </w:r>
    </w:p>
    <w:p w:rsidR="008963FD" w:rsidRPr="00331F21" w:rsidRDefault="008963FD" w:rsidP="00980876">
      <w:pPr>
        <w:numPr>
          <w:ilvl w:val="0"/>
          <w:numId w:val="749"/>
        </w:numPr>
        <w:spacing w:after="0" w:line="240" w:lineRule="auto"/>
        <w:jc w:val="both"/>
        <w:rPr>
          <w:rFonts w:ascii="Times New Roman" w:hAnsi="Times New Roman" w:cs="Times New Roman"/>
        </w:rPr>
      </w:pPr>
      <w:r w:rsidRPr="00331F21">
        <w:rPr>
          <w:rFonts w:ascii="Times New Roman" w:hAnsi="Times New Roman" w:cs="Times New Roman"/>
        </w:rPr>
        <w:t>AMovP-2(B) Procedures for Surface Movements Across National Frontiers, Published by the NATO Standardization Agency, June 2011.</w:t>
      </w:r>
    </w:p>
    <w:p w:rsidR="008963FD" w:rsidRPr="00331F21" w:rsidRDefault="008963FD" w:rsidP="00980876">
      <w:pPr>
        <w:numPr>
          <w:ilvl w:val="0"/>
          <w:numId w:val="749"/>
        </w:numPr>
        <w:spacing w:after="0" w:line="240" w:lineRule="auto"/>
        <w:jc w:val="both"/>
        <w:rPr>
          <w:rFonts w:ascii="Times New Roman" w:hAnsi="Times New Roman" w:cs="Times New Roman"/>
        </w:rPr>
      </w:pPr>
      <w:r w:rsidRPr="00331F21">
        <w:rPr>
          <w:rFonts w:ascii="Times New Roman" w:hAnsi="Times New Roman" w:cs="Times New Roman"/>
        </w:rPr>
        <w:t>AMovP-3(B) Movements and Transport Documents and Glossary of Terms and Definitions, Published by the NATO Standardization Agency, April 2010.</w:t>
      </w:r>
    </w:p>
    <w:p w:rsidR="008963FD" w:rsidRPr="00331F21" w:rsidRDefault="008963FD" w:rsidP="00980876">
      <w:pPr>
        <w:numPr>
          <w:ilvl w:val="0"/>
          <w:numId w:val="749"/>
        </w:numPr>
        <w:spacing w:after="0" w:line="240" w:lineRule="auto"/>
        <w:jc w:val="both"/>
        <w:rPr>
          <w:rFonts w:ascii="Times New Roman" w:hAnsi="Times New Roman" w:cs="Times New Roman"/>
        </w:rPr>
      </w:pPr>
      <w:r w:rsidRPr="00331F21">
        <w:rPr>
          <w:rFonts w:ascii="Times New Roman" w:hAnsi="Times New Roman" w:cs="Times New Roman"/>
        </w:rPr>
        <w:t>AMovP-4(A) Technical Aspects of the Transport of Military Materials by Railroad, Published by the NATO Standardization Agency, April 2011.</w:t>
      </w:r>
    </w:p>
    <w:p w:rsidR="008963FD" w:rsidRDefault="008963FD" w:rsidP="00980876">
      <w:pPr>
        <w:numPr>
          <w:ilvl w:val="0"/>
          <w:numId w:val="749"/>
        </w:numPr>
        <w:spacing w:after="0" w:line="240" w:lineRule="auto"/>
        <w:jc w:val="both"/>
        <w:rPr>
          <w:rFonts w:ascii="Times New Roman" w:hAnsi="Times New Roman" w:cs="Times New Roman"/>
        </w:rPr>
      </w:pPr>
      <w:r w:rsidRPr="00331F21">
        <w:rPr>
          <w:rFonts w:ascii="Times New Roman" w:hAnsi="Times New Roman" w:cs="Times New Roman"/>
        </w:rPr>
        <w:t>AMovP-5 Multi Modal Transport Issues, Published by the NATO Standardization Agency, September 2005.</w:t>
      </w:r>
    </w:p>
    <w:p w:rsidR="00331F21" w:rsidRPr="00331F21" w:rsidRDefault="00331F21" w:rsidP="00331F21">
      <w:pPr>
        <w:pStyle w:val="Listaszerbekezds"/>
        <w:widowControl w:val="0"/>
        <w:spacing w:after="0" w:line="240" w:lineRule="auto"/>
        <w:jc w:val="both"/>
        <w:rPr>
          <w:rFonts w:ascii="Times New Roman" w:eastAsia="Times New Roman" w:hAnsi="Times New Roman" w:cs="Times New Roman"/>
          <w:highlight w:val="lightGray"/>
        </w:rPr>
      </w:pPr>
    </w:p>
    <w:p w:rsidR="00331F21" w:rsidRPr="00331F21" w:rsidRDefault="008963FD" w:rsidP="008963FD">
      <w:pPr>
        <w:tabs>
          <w:tab w:val="right" w:pos="900"/>
        </w:tabs>
        <w:spacing w:before="120"/>
        <w:ind w:left="709" w:hanging="1980"/>
        <w:jc w:val="both"/>
        <w:rPr>
          <w:rFonts w:ascii="Times New Roman" w:hAnsi="Times New Roman" w:cs="Times New Roman"/>
          <w:bCs/>
          <w:lang w:eastAsia="x-none"/>
        </w:rPr>
      </w:pPr>
      <w:r>
        <w:rPr>
          <w:rFonts w:ascii="Times New Roman" w:hAnsi="Times New Roman" w:cs="Times New Roman"/>
          <w:bCs/>
          <w:lang w:eastAsia="x-none"/>
        </w:rPr>
        <w:tab/>
      </w:r>
      <w:r>
        <w:rPr>
          <w:rFonts w:ascii="Times New Roman" w:hAnsi="Times New Roman" w:cs="Times New Roman"/>
          <w:bCs/>
          <w:lang w:eastAsia="x-none"/>
        </w:rPr>
        <w:tab/>
      </w:r>
      <w:r w:rsidR="00B47519">
        <w:rPr>
          <w:rFonts w:ascii="Times New Roman" w:hAnsi="Times New Roman" w:cs="Times New Roman"/>
          <w:bCs/>
          <w:lang w:eastAsia="x-none"/>
        </w:rPr>
        <w:t xml:space="preserve">Budapest. 2020 március  </w:t>
      </w:r>
      <w:r>
        <w:rPr>
          <w:rFonts w:ascii="Times New Roman" w:hAnsi="Times New Roman" w:cs="Times New Roman"/>
          <w:bCs/>
          <w:lang w:eastAsia="x-none"/>
        </w:rPr>
        <w:t>30.</w:t>
      </w:r>
    </w:p>
    <w:p w:rsidR="00331F21" w:rsidRPr="00331F21" w:rsidRDefault="00331F21" w:rsidP="00331F21">
      <w:pPr>
        <w:tabs>
          <w:tab w:val="right" w:pos="900"/>
        </w:tabs>
        <w:spacing w:after="0"/>
        <w:rPr>
          <w:rFonts w:ascii="Times New Roman" w:hAnsi="Times New Roman" w:cs="Times New Roman"/>
          <w:bCs/>
          <w:lang w:val="x-none" w:eastAsia="x-none"/>
        </w:rPr>
      </w:pPr>
      <w:r w:rsidRPr="00331F21">
        <w:rPr>
          <w:rFonts w:ascii="Times New Roman" w:hAnsi="Times New Roman" w:cs="Times New Roman"/>
          <w:b/>
          <w:lang w:eastAsia="x-none"/>
        </w:rPr>
        <w:tab/>
      </w:r>
      <w:r w:rsidRPr="00331F21">
        <w:rPr>
          <w:rFonts w:ascii="Times New Roman" w:hAnsi="Times New Roman" w:cs="Times New Roman"/>
          <w:b/>
          <w:lang w:eastAsia="x-none"/>
        </w:rPr>
        <w:tab/>
      </w:r>
      <w:r w:rsidRPr="00331F21">
        <w:rPr>
          <w:rFonts w:ascii="Times New Roman" w:hAnsi="Times New Roman" w:cs="Times New Roman"/>
          <w:b/>
          <w:lang w:eastAsia="x-none"/>
        </w:rPr>
        <w:tab/>
      </w:r>
      <w:r w:rsidRPr="00331F21">
        <w:rPr>
          <w:rFonts w:ascii="Times New Roman" w:hAnsi="Times New Roman" w:cs="Times New Roman"/>
          <w:b/>
          <w:lang w:eastAsia="x-none"/>
        </w:rPr>
        <w:tab/>
      </w:r>
      <w:r w:rsidRPr="00331F21">
        <w:rPr>
          <w:rFonts w:ascii="Times New Roman" w:hAnsi="Times New Roman" w:cs="Times New Roman"/>
          <w:b/>
          <w:lang w:eastAsia="x-none"/>
        </w:rPr>
        <w:tab/>
      </w:r>
      <w:r w:rsidRPr="00331F21">
        <w:rPr>
          <w:rFonts w:ascii="Times New Roman" w:hAnsi="Times New Roman" w:cs="Times New Roman"/>
          <w:b/>
          <w:lang w:eastAsia="x-none"/>
        </w:rPr>
        <w:tab/>
        <w:t xml:space="preserve">  </w:t>
      </w:r>
      <w:r w:rsidRPr="00331F21">
        <w:rPr>
          <w:rFonts w:ascii="Times New Roman" w:hAnsi="Times New Roman" w:cs="Times New Roman"/>
          <w:b/>
          <w:lang w:eastAsia="x-none"/>
        </w:rPr>
        <w:tab/>
        <w:t xml:space="preserve">         Dr. Fábos Róbert adjunktus, PhD</w:t>
      </w:r>
    </w:p>
    <w:p w:rsidR="00331F21" w:rsidRPr="00331F21" w:rsidRDefault="00331F21" w:rsidP="00331F21">
      <w:pPr>
        <w:spacing w:after="0"/>
        <w:ind w:left="5672" w:firstLine="709"/>
        <w:rPr>
          <w:rFonts w:ascii="Times New Roman" w:hAnsi="Times New Roman" w:cs="Times New Roman"/>
          <w:bCs/>
        </w:rPr>
      </w:pPr>
      <w:r w:rsidRPr="00331F21">
        <w:rPr>
          <w:rFonts w:ascii="Times New Roman" w:hAnsi="Times New Roman" w:cs="Times New Roman"/>
          <w:bCs/>
        </w:rPr>
        <w:t>tantárgyfelelős</w:t>
      </w:r>
    </w:p>
    <w:p w:rsidR="00331F21" w:rsidRDefault="00331F21">
      <w:pPr>
        <w:spacing w:after="200" w:line="276" w:lineRule="auto"/>
        <w:rPr>
          <w:rFonts w:ascii="Times New Roman" w:hAnsi="Times New Roman" w:cs="Times New Roman"/>
          <w:sz w:val="24"/>
        </w:rPr>
      </w:pPr>
    </w:p>
    <w:p w:rsidR="00EF4D49" w:rsidRDefault="00EF4D49">
      <w:pPr>
        <w:spacing w:after="200" w:line="276" w:lineRule="auto"/>
        <w:rPr>
          <w:rFonts w:ascii="Times New Roman" w:hAnsi="Times New Roman" w:cs="Times New Roman"/>
          <w:sz w:val="24"/>
        </w:rPr>
      </w:pPr>
      <w:r>
        <w:rPr>
          <w:rFonts w:ascii="Times New Roman" w:hAnsi="Times New Roman" w:cs="Times New Roman"/>
          <w:sz w:val="24"/>
        </w:rPr>
        <w:br w:type="page"/>
      </w:r>
    </w:p>
    <w:tbl>
      <w:tblPr>
        <w:tblW w:w="9072" w:type="dxa"/>
        <w:tblInd w:w="113" w:type="dxa"/>
        <w:tblLook w:val="01E0" w:firstRow="1" w:lastRow="1" w:firstColumn="1" w:lastColumn="1" w:noHBand="0" w:noVBand="0"/>
      </w:tblPr>
      <w:tblGrid>
        <w:gridCol w:w="4855"/>
        <w:gridCol w:w="1620"/>
        <w:gridCol w:w="2597"/>
      </w:tblGrid>
      <w:tr w:rsidR="00EF4D49" w:rsidRPr="00EF4D49" w:rsidTr="00EF4D49">
        <w:tc>
          <w:tcPr>
            <w:tcW w:w="4855" w:type="dxa"/>
            <w:tcBorders>
              <w:top w:val="nil"/>
              <w:left w:val="nil"/>
              <w:bottom w:val="single" w:sz="4" w:space="0" w:color="auto"/>
              <w:right w:val="nil"/>
            </w:tcBorders>
            <w:hideMark/>
          </w:tcPr>
          <w:p w:rsidR="00EF4D49" w:rsidRPr="00EF4D49" w:rsidRDefault="00EF4D49">
            <w:pPr>
              <w:spacing w:after="0" w:line="240" w:lineRule="auto"/>
              <w:jc w:val="center"/>
              <w:rPr>
                <w:rFonts w:ascii="Times New Roman" w:eastAsia="Times New Roman" w:hAnsi="Times New Roman" w:cs="Times New Roman"/>
                <w:b/>
                <w:smallCaps/>
                <w:lang w:eastAsia="hu-HU"/>
              </w:rPr>
            </w:pPr>
            <w:r w:rsidRPr="00EF4D49">
              <w:rPr>
                <w:rFonts w:ascii="Times New Roman" w:eastAsia="Times New Roman" w:hAnsi="Times New Roman" w:cs="Times New Roman"/>
                <w:b/>
                <w:smallCaps/>
                <w:lang w:eastAsia="hu-HU"/>
              </w:rPr>
              <w:lastRenderedPageBreak/>
              <w:t>Nemzeti Közszolgálati Egyetem</w:t>
            </w:r>
          </w:p>
        </w:tc>
        <w:tc>
          <w:tcPr>
            <w:tcW w:w="1620" w:type="dxa"/>
          </w:tcPr>
          <w:p w:rsidR="00EF4D49" w:rsidRPr="00EF4D49" w:rsidRDefault="00EF4D49">
            <w:pPr>
              <w:spacing w:after="0" w:line="240" w:lineRule="auto"/>
              <w:jc w:val="both"/>
              <w:rPr>
                <w:rFonts w:ascii="Times New Roman" w:eastAsia="Times New Roman" w:hAnsi="Times New Roman" w:cs="Times New Roman"/>
                <w:lang w:eastAsia="hu-HU"/>
              </w:rPr>
            </w:pPr>
          </w:p>
        </w:tc>
        <w:tc>
          <w:tcPr>
            <w:tcW w:w="2597" w:type="dxa"/>
          </w:tcPr>
          <w:p w:rsidR="00EF4D49" w:rsidRPr="00EF4D49" w:rsidRDefault="00EF4D49">
            <w:pPr>
              <w:spacing w:after="0" w:line="240" w:lineRule="auto"/>
              <w:jc w:val="right"/>
              <w:rPr>
                <w:rFonts w:ascii="Times New Roman" w:eastAsia="Times New Roman" w:hAnsi="Times New Roman" w:cs="Times New Roman"/>
                <w:lang w:eastAsia="hu-HU"/>
              </w:rPr>
            </w:pPr>
          </w:p>
        </w:tc>
      </w:tr>
      <w:tr w:rsidR="00EF4D49" w:rsidRPr="00EF4D49" w:rsidTr="00EF4D49">
        <w:tc>
          <w:tcPr>
            <w:tcW w:w="4855" w:type="dxa"/>
            <w:tcBorders>
              <w:top w:val="single" w:sz="4" w:space="0" w:color="auto"/>
              <w:left w:val="nil"/>
              <w:bottom w:val="nil"/>
              <w:right w:val="nil"/>
            </w:tcBorders>
            <w:hideMark/>
          </w:tcPr>
          <w:p w:rsidR="00EF4D49" w:rsidRPr="00EF4D49" w:rsidRDefault="00EF4D49">
            <w:pPr>
              <w:spacing w:after="0" w:line="240" w:lineRule="auto"/>
              <w:jc w:val="center"/>
              <w:rPr>
                <w:rFonts w:ascii="Times New Roman" w:eastAsia="Times New Roman" w:hAnsi="Times New Roman" w:cs="Times New Roman"/>
                <w:b/>
                <w:lang w:eastAsia="hu-HU"/>
              </w:rPr>
            </w:pPr>
            <w:r w:rsidRPr="00EF4D49">
              <w:rPr>
                <w:rFonts w:ascii="Times New Roman" w:eastAsia="Times New Roman" w:hAnsi="Times New Roman" w:cs="Times New Roman"/>
                <w:b/>
                <w:lang w:eastAsia="hu-HU"/>
              </w:rPr>
              <w:t>Hadtudományi és Honvédtisztképző Kar</w:t>
            </w:r>
          </w:p>
        </w:tc>
        <w:tc>
          <w:tcPr>
            <w:tcW w:w="1620" w:type="dxa"/>
          </w:tcPr>
          <w:p w:rsidR="00EF4D49" w:rsidRPr="00EF4D49" w:rsidRDefault="00EF4D49">
            <w:pPr>
              <w:spacing w:after="0" w:line="240" w:lineRule="auto"/>
              <w:jc w:val="both"/>
              <w:rPr>
                <w:rFonts w:ascii="Times New Roman" w:eastAsia="Times New Roman" w:hAnsi="Times New Roman" w:cs="Times New Roman"/>
                <w:lang w:eastAsia="hu-HU"/>
              </w:rPr>
            </w:pPr>
          </w:p>
        </w:tc>
        <w:tc>
          <w:tcPr>
            <w:tcW w:w="2597" w:type="dxa"/>
          </w:tcPr>
          <w:p w:rsidR="00EF4D49" w:rsidRPr="00EF4D49" w:rsidRDefault="00EF4D49">
            <w:pPr>
              <w:spacing w:after="0" w:line="240" w:lineRule="auto"/>
              <w:jc w:val="both"/>
              <w:rPr>
                <w:rFonts w:ascii="Times New Roman" w:eastAsia="Times New Roman" w:hAnsi="Times New Roman" w:cs="Times New Roman"/>
                <w:lang w:eastAsia="hu-HU"/>
              </w:rPr>
            </w:pPr>
          </w:p>
        </w:tc>
      </w:tr>
    </w:tbl>
    <w:p w:rsidR="00EF4D49" w:rsidRPr="00EF4D49" w:rsidRDefault="00EF4D49" w:rsidP="00EF4D49">
      <w:pPr>
        <w:widowControl w:val="0"/>
        <w:spacing w:before="120" w:after="120" w:line="240" w:lineRule="auto"/>
        <w:ind w:left="426" w:hanging="142"/>
        <w:jc w:val="center"/>
        <w:rPr>
          <w:rFonts w:ascii="Times New Roman" w:eastAsia="Times New Roman" w:hAnsi="Times New Roman" w:cs="Times New Roman"/>
          <w:b/>
          <w:bCs/>
        </w:rPr>
      </w:pPr>
    </w:p>
    <w:p w:rsidR="00EF4D49" w:rsidRPr="00EF4D49" w:rsidRDefault="00EF4D49" w:rsidP="00EF4D49">
      <w:pPr>
        <w:widowControl w:val="0"/>
        <w:spacing w:before="120" w:after="120" w:line="240" w:lineRule="auto"/>
        <w:ind w:left="426" w:hanging="142"/>
        <w:jc w:val="center"/>
        <w:rPr>
          <w:rFonts w:ascii="Times New Roman" w:eastAsia="Times New Roman" w:hAnsi="Times New Roman" w:cs="Times New Roman"/>
          <w:b/>
          <w:bCs/>
        </w:rPr>
      </w:pPr>
      <w:r w:rsidRPr="00EF4D49">
        <w:rPr>
          <w:rFonts w:ascii="Times New Roman" w:eastAsia="Times New Roman" w:hAnsi="Times New Roman" w:cs="Times New Roman"/>
          <w:b/>
          <w:bCs/>
        </w:rPr>
        <w:t>TANTÁRGYI PROGRAM</w:t>
      </w:r>
    </w:p>
    <w:p w:rsidR="00EF4D49" w:rsidRPr="00EF4D49" w:rsidRDefault="00EF4D49" w:rsidP="00C14833">
      <w:pPr>
        <w:widowControl w:val="0"/>
        <w:numPr>
          <w:ilvl w:val="0"/>
          <w:numId w:val="120"/>
        </w:numPr>
        <w:tabs>
          <w:tab w:val="num" w:pos="567"/>
        </w:tabs>
        <w:spacing w:before="120" w:after="120" w:line="240" w:lineRule="auto"/>
        <w:ind w:left="426" w:hanging="142"/>
        <w:jc w:val="both"/>
        <w:rPr>
          <w:rFonts w:ascii="Times New Roman" w:eastAsia="Times New Roman" w:hAnsi="Times New Roman" w:cs="Times New Roman"/>
          <w:bCs/>
        </w:rPr>
      </w:pPr>
      <w:r w:rsidRPr="00EF4D49">
        <w:rPr>
          <w:rFonts w:ascii="Times New Roman" w:eastAsia="Times New Roman" w:hAnsi="Times New Roman" w:cs="Times New Roman"/>
          <w:b/>
          <w:bCs/>
        </w:rPr>
        <w:t xml:space="preserve">A tantárgy kódja: </w:t>
      </w:r>
      <w:r w:rsidRPr="00EF4D49">
        <w:rPr>
          <w:rFonts w:ascii="Times New Roman" w:hAnsi="Times New Roman" w:cs="Times New Roman"/>
        </w:rPr>
        <w:t>HKHPKA302</w:t>
      </w:r>
    </w:p>
    <w:p w:rsidR="00EF4D49" w:rsidRPr="00EF4D49" w:rsidRDefault="00EF4D49" w:rsidP="00C14833">
      <w:pPr>
        <w:widowControl w:val="0"/>
        <w:numPr>
          <w:ilvl w:val="0"/>
          <w:numId w:val="120"/>
        </w:numPr>
        <w:tabs>
          <w:tab w:val="num" w:pos="567"/>
        </w:tabs>
        <w:spacing w:before="120" w:after="120" w:line="240" w:lineRule="auto"/>
        <w:ind w:left="426" w:hanging="142"/>
        <w:jc w:val="both"/>
        <w:rPr>
          <w:rFonts w:ascii="Times New Roman" w:eastAsia="Times New Roman" w:hAnsi="Times New Roman" w:cs="Times New Roman"/>
          <w:b/>
          <w:bCs/>
          <w:lang w:val="en-GB"/>
        </w:rPr>
      </w:pPr>
      <w:r w:rsidRPr="00EF4D49">
        <w:rPr>
          <w:rFonts w:ascii="Times New Roman" w:eastAsia="Times New Roman" w:hAnsi="Times New Roman" w:cs="Times New Roman"/>
          <w:b/>
          <w:bCs/>
        </w:rPr>
        <w:t>A tantárgy megnevezése (magyarul):</w:t>
      </w:r>
      <w:r w:rsidRPr="00EF4D49">
        <w:rPr>
          <w:rFonts w:ascii="Times New Roman" w:eastAsia="Times New Roman" w:hAnsi="Times New Roman" w:cs="Times New Roman"/>
          <w:bCs/>
        </w:rPr>
        <w:t xml:space="preserve"> </w:t>
      </w:r>
      <w:r w:rsidRPr="00EF4D49">
        <w:rPr>
          <w:rFonts w:ascii="Times New Roman" w:hAnsi="Times New Roman" w:cs="Times New Roman"/>
          <w:bCs/>
        </w:rPr>
        <w:t>Csomagolástechnika</w:t>
      </w:r>
    </w:p>
    <w:p w:rsidR="00EF4D49" w:rsidRPr="00EF4D49" w:rsidRDefault="00EF4D49" w:rsidP="00C14833">
      <w:pPr>
        <w:widowControl w:val="0"/>
        <w:numPr>
          <w:ilvl w:val="0"/>
          <w:numId w:val="120"/>
        </w:numPr>
        <w:tabs>
          <w:tab w:val="num" w:pos="567"/>
        </w:tabs>
        <w:spacing w:before="120" w:after="120" w:line="240" w:lineRule="auto"/>
        <w:ind w:left="426" w:hanging="142"/>
        <w:jc w:val="both"/>
        <w:rPr>
          <w:rFonts w:ascii="Times New Roman" w:eastAsia="Times New Roman" w:hAnsi="Times New Roman" w:cs="Times New Roman"/>
          <w:b/>
          <w:bCs/>
          <w:lang w:val="en-GB"/>
        </w:rPr>
      </w:pPr>
      <w:r w:rsidRPr="00EF4D49">
        <w:rPr>
          <w:rFonts w:ascii="Times New Roman" w:eastAsia="Times New Roman" w:hAnsi="Times New Roman" w:cs="Times New Roman"/>
          <w:b/>
          <w:bCs/>
        </w:rPr>
        <w:t xml:space="preserve">A tantárgy megnevezése (angolul): </w:t>
      </w:r>
      <w:r w:rsidRPr="00EF4D49">
        <w:rPr>
          <w:rFonts w:ascii="Times New Roman" w:hAnsi="Times New Roman" w:cs="Times New Roman"/>
        </w:rPr>
        <w:t>Packaging Technique</w:t>
      </w:r>
    </w:p>
    <w:p w:rsidR="00EF4D49" w:rsidRPr="00EF4D49" w:rsidRDefault="00EF4D49" w:rsidP="00C14833">
      <w:pPr>
        <w:widowControl w:val="0"/>
        <w:numPr>
          <w:ilvl w:val="0"/>
          <w:numId w:val="120"/>
        </w:numPr>
        <w:tabs>
          <w:tab w:val="num" w:pos="567"/>
        </w:tabs>
        <w:spacing w:before="120" w:after="120" w:line="240" w:lineRule="auto"/>
        <w:ind w:left="426" w:hanging="142"/>
        <w:jc w:val="both"/>
        <w:rPr>
          <w:rFonts w:ascii="Times New Roman" w:eastAsia="Times New Roman" w:hAnsi="Times New Roman" w:cs="Times New Roman"/>
          <w:b/>
          <w:bCs/>
        </w:rPr>
      </w:pPr>
      <w:r w:rsidRPr="00EF4D49">
        <w:rPr>
          <w:rFonts w:ascii="Times New Roman" w:eastAsia="Times New Roman" w:hAnsi="Times New Roman" w:cs="Times New Roman"/>
          <w:b/>
          <w:bCs/>
        </w:rPr>
        <w:t xml:space="preserve">Kreditérték és képzési karakter: </w:t>
      </w:r>
    </w:p>
    <w:p w:rsidR="00EF4D49" w:rsidRPr="00EF4D49" w:rsidRDefault="00EF4D49" w:rsidP="00C14833">
      <w:pPr>
        <w:pStyle w:val="Listaszerbekezds"/>
        <w:widowControl w:val="0"/>
        <w:numPr>
          <w:ilvl w:val="1"/>
          <w:numId w:val="120"/>
        </w:numPr>
        <w:spacing w:before="120" w:after="120" w:line="240" w:lineRule="auto"/>
        <w:ind w:left="993" w:hanging="426"/>
        <w:jc w:val="both"/>
        <w:rPr>
          <w:rFonts w:ascii="Times New Roman" w:eastAsia="Times New Roman" w:hAnsi="Times New Roman" w:cs="Times New Roman"/>
          <w:b/>
          <w:bCs/>
        </w:rPr>
      </w:pPr>
      <w:r w:rsidRPr="00EF4D49">
        <w:rPr>
          <w:rFonts w:ascii="Times New Roman" w:eastAsia="Times New Roman" w:hAnsi="Times New Roman" w:cs="Times New Roman"/>
          <w:bCs/>
        </w:rPr>
        <w:t>2 kredit</w:t>
      </w:r>
    </w:p>
    <w:p w:rsidR="00EF4D49" w:rsidRPr="00EF4D49" w:rsidRDefault="00EF4D49" w:rsidP="00C14833">
      <w:pPr>
        <w:pStyle w:val="Listaszerbekezds"/>
        <w:widowControl w:val="0"/>
        <w:numPr>
          <w:ilvl w:val="1"/>
          <w:numId w:val="120"/>
        </w:numPr>
        <w:spacing w:before="120" w:after="120" w:line="240" w:lineRule="auto"/>
        <w:ind w:left="993" w:hanging="426"/>
        <w:jc w:val="both"/>
        <w:rPr>
          <w:rFonts w:ascii="Times New Roman" w:eastAsia="Times New Roman" w:hAnsi="Times New Roman" w:cs="Times New Roman"/>
          <w:b/>
          <w:bCs/>
        </w:rPr>
      </w:pPr>
      <w:r w:rsidRPr="00EF4D49">
        <w:rPr>
          <w:rFonts w:ascii="Times New Roman" w:eastAsia="Times New Roman" w:hAnsi="Times New Roman" w:cs="Times New Roman"/>
          <w:bCs/>
        </w:rPr>
        <w:t>a tantárgy elméleti vagy gyakorlati jellegének mértéke: 50</w:t>
      </w:r>
      <w:r w:rsidRPr="00EF4D49">
        <w:rPr>
          <w:rFonts w:ascii="Times New Roman" w:eastAsia="Times New Roman" w:hAnsi="Times New Roman" w:cs="Times New Roman"/>
          <w:b/>
          <w:bCs/>
        </w:rPr>
        <w:t xml:space="preserve"> </w:t>
      </w:r>
      <w:r w:rsidRPr="00EF4D49">
        <w:rPr>
          <w:rFonts w:ascii="Times New Roman" w:eastAsia="Times New Roman" w:hAnsi="Times New Roman" w:cs="Times New Roman"/>
          <w:bCs/>
        </w:rPr>
        <w:t>% gyakorlat, 50 % elmélet</w:t>
      </w:r>
    </w:p>
    <w:p w:rsidR="00EF4D49" w:rsidRPr="00EF4D49" w:rsidRDefault="00EF4D49" w:rsidP="00C14833">
      <w:pPr>
        <w:widowControl w:val="0"/>
        <w:numPr>
          <w:ilvl w:val="0"/>
          <w:numId w:val="120"/>
        </w:numPr>
        <w:spacing w:before="120" w:after="120" w:line="240" w:lineRule="auto"/>
        <w:ind w:left="426" w:hanging="142"/>
        <w:jc w:val="both"/>
        <w:rPr>
          <w:rFonts w:ascii="Times New Roman" w:eastAsia="Times New Roman" w:hAnsi="Times New Roman" w:cs="Times New Roman"/>
          <w:bCs/>
        </w:rPr>
      </w:pPr>
      <w:r w:rsidRPr="00EF4D49">
        <w:rPr>
          <w:rFonts w:ascii="Times New Roman" w:eastAsia="Times New Roman" w:hAnsi="Times New Roman" w:cs="Times New Roman"/>
          <w:b/>
          <w:bCs/>
        </w:rPr>
        <w:t>A szak(ok), szakirányok/specializációk megnevezése (ahol oktatják):</w:t>
      </w:r>
      <w:r w:rsidRPr="00EF4D49">
        <w:rPr>
          <w:rFonts w:ascii="Times New Roman" w:eastAsia="Times New Roman" w:hAnsi="Times New Roman" w:cs="Times New Roman"/>
          <w:bCs/>
        </w:rPr>
        <w:t xml:space="preserve"> Katonai logisztika alapképzési szak</w:t>
      </w:r>
    </w:p>
    <w:p w:rsidR="00EF4D49" w:rsidRPr="00EF4D49" w:rsidRDefault="00EF4D49" w:rsidP="00C14833">
      <w:pPr>
        <w:widowControl w:val="0"/>
        <w:numPr>
          <w:ilvl w:val="0"/>
          <w:numId w:val="120"/>
        </w:numPr>
        <w:tabs>
          <w:tab w:val="num" w:pos="567"/>
        </w:tabs>
        <w:spacing w:before="120" w:after="120" w:line="240" w:lineRule="auto"/>
        <w:ind w:left="426" w:hanging="142"/>
        <w:jc w:val="both"/>
        <w:rPr>
          <w:rFonts w:ascii="Times New Roman" w:eastAsia="Times New Roman" w:hAnsi="Times New Roman" w:cs="Times New Roman"/>
          <w:bCs/>
        </w:rPr>
      </w:pPr>
      <w:r w:rsidRPr="00EF4D49">
        <w:rPr>
          <w:rFonts w:ascii="Times New Roman" w:eastAsia="Times New Roman" w:hAnsi="Times New Roman" w:cs="Times New Roman"/>
          <w:b/>
          <w:bCs/>
        </w:rPr>
        <w:t xml:space="preserve">Az oktatásért felelős oktatási szervezeti egység megnevezése: </w:t>
      </w:r>
      <w:r w:rsidRPr="00EF4D49">
        <w:rPr>
          <w:rFonts w:ascii="Times New Roman" w:eastAsia="Times New Roman" w:hAnsi="Times New Roman" w:cs="Times New Roman"/>
          <w:bCs/>
        </w:rPr>
        <w:t>NKE HHK, Hadtáp, Pénzügyi és Katonai Közlekedési Tanszék</w:t>
      </w:r>
    </w:p>
    <w:p w:rsidR="00EF4D49" w:rsidRPr="00EF4D49" w:rsidRDefault="00EF4D49" w:rsidP="00C14833">
      <w:pPr>
        <w:widowControl w:val="0"/>
        <w:numPr>
          <w:ilvl w:val="0"/>
          <w:numId w:val="120"/>
        </w:numPr>
        <w:tabs>
          <w:tab w:val="num" w:pos="567"/>
        </w:tabs>
        <w:spacing w:before="120" w:after="120" w:line="240" w:lineRule="auto"/>
        <w:ind w:left="426" w:hanging="142"/>
        <w:jc w:val="both"/>
        <w:rPr>
          <w:rFonts w:ascii="Times New Roman" w:eastAsia="Times New Roman" w:hAnsi="Times New Roman" w:cs="Times New Roman"/>
          <w:bCs/>
        </w:rPr>
      </w:pPr>
      <w:r w:rsidRPr="00EF4D49">
        <w:rPr>
          <w:rFonts w:ascii="Times New Roman" w:eastAsia="Times New Roman" w:hAnsi="Times New Roman" w:cs="Times New Roman"/>
          <w:b/>
          <w:bCs/>
        </w:rPr>
        <w:t>A tantárgyfelelős oktató neve, beosztása, tudományos fokozata:</w:t>
      </w:r>
      <w:r w:rsidRPr="00EF4D49">
        <w:rPr>
          <w:rFonts w:ascii="Times New Roman" w:eastAsia="Times New Roman" w:hAnsi="Times New Roman" w:cs="Times New Roman"/>
          <w:bCs/>
        </w:rPr>
        <w:t xml:space="preserve"> </w:t>
      </w:r>
      <w:r w:rsidRPr="00EF4D49">
        <w:rPr>
          <w:rFonts w:ascii="Times New Roman" w:hAnsi="Times New Roman" w:cs="Times New Roman"/>
          <w:lang w:eastAsia="x-none"/>
        </w:rPr>
        <w:t>Dr. Szászi Gábor egyetemi docens, PhD</w:t>
      </w:r>
      <w:r w:rsidRPr="00EF4D49">
        <w:rPr>
          <w:rFonts w:ascii="Times New Roman" w:eastAsia="Times New Roman" w:hAnsi="Times New Roman" w:cs="Times New Roman"/>
          <w:bCs/>
        </w:rPr>
        <w:t xml:space="preserve"> </w:t>
      </w:r>
    </w:p>
    <w:p w:rsidR="00EF4D49" w:rsidRPr="00EF4D49" w:rsidRDefault="00EF4D49" w:rsidP="00C14833">
      <w:pPr>
        <w:widowControl w:val="0"/>
        <w:numPr>
          <w:ilvl w:val="0"/>
          <w:numId w:val="120"/>
        </w:numPr>
        <w:tabs>
          <w:tab w:val="num" w:pos="567"/>
        </w:tabs>
        <w:spacing w:before="120" w:after="120" w:line="240" w:lineRule="auto"/>
        <w:ind w:left="426" w:hanging="142"/>
        <w:jc w:val="both"/>
        <w:rPr>
          <w:rFonts w:ascii="Times New Roman" w:eastAsia="Times New Roman" w:hAnsi="Times New Roman" w:cs="Times New Roman"/>
          <w:bCs/>
        </w:rPr>
      </w:pPr>
      <w:r w:rsidRPr="00EF4D49">
        <w:rPr>
          <w:rFonts w:ascii="Times New Roman" w:eastAsia="Times New Roman" w:hAnsi="Times New Roman" w:cs="Times New Roman"/>
          <w:b/>
          <w:bCs/>
        </w:rPr>
        <w:t>A tanórák száma és típusa</w:t>
      </w:r>
    </w:p>
    <w:p w:rsidR="00EF4D49" w:rsidRPr="00EF4D49" w:rsidRDefault="00EF4D49" w:rsidP="00C14833">
      <w:pPr>
        <w:widowControl w:val="0"/>
        <w:numPr>
          <w:ilvl w:val="1"/>
          <w:numId w:val="120"/>
        </w:numPr>
        <w:tabs>
          <w:tab w:val="num" w:pos="709"/>
          <w:tab w:val="num" w:pos="2069"/>
        </w:tabs>
        <w:spacing w:before="120" w:after="120" w:line="240" w:lineRule="auto"/>
        <w:ind w:left="851" w:hanging="425"/>
        <w:jc w:val="both"/>
        <w:rPr>
          <w:rFonts w:ascii="Times New Roman" w:eastAsia="Times New Roman" w:hAnsi="Times New Roman" w:cs="Times New Roman"/>
          <w:bCs/>
        </w:rPr>
      </w:pPr>
      <w:r w:rsidRPr="00EF4D49">
        <w:rPr>
          <w:rFonts w:ascii="Times New Roman" w:eastAsia="Times New Roman" w:hAnsi="Times New Roman" w:cs="Times New Roman"/>
          <w:bCs/>
        </w:rPr>
        <w:t>össz óraszám/félév: 28</w:t>
      </w:r>
    </w:p>
    <w:p w:rsidR="00EF4D49" w:rsidRPr="00EF4D49" w:rsidRDefault="00EF4D49" w:rsidP="00C14833">
      <w:pPr>
        <w:widowControl w:val="0"/>
        <w:numPr>
          <w:ilvl w:val="2"/>
          <w:numId w:val="120"/>
        </w:numPr>
        <w:tabs>
          <w:tab w:val="clear" w:pos="1800"/>
          <w:tab w:val="num" w:pos="709"/>
          <w:tab w:val="num" w:pos="1134"/>
        </w:tabs>
        <w:spacing w:after="0" w:line="240" w:lineRule="auto"/>
        <w:ind w:left="1134" w:hanging="425"/>
        <w:jc w:val="both"/>
        <w:rPr>
          <w:rFonts w:ascii="Times New Roman" w:eastAsia="Times New Roman" w:hAnsi="Times New Roman" w:cs="Times New Roman"/>
          <w:bCs/>
        </w:rPr>
      </w:pPr>
      <w:r w:rsidRPr="00EF4D49">
        <w:rPr>
          <w:rFonts w:ascii="Times New Roman" w:eastAsia="Times New Roman" w:hAnsi="Times New Roman" w:cs="Times New Roman"/>
          <w:bCs/>
        </w:rPr>
        <w:t>nappali munkarend: 28 (14 EA + 0 SZ + 14 GY)</w:t>
      </w:r>
    </w:p>
    <w:p w:rsidR="00EF4D49" w:rsidRPr="00EF4D49" w:rsidRDefault="00EF4D49" w:rsidP="00C14833">
      <w:pPr>
        <w:widowControl w:val="0"/>
        <w:numPr>
          <w:ilvl w:val="2"/>
          <w:numId w:val="120"/>
        </w:numPr>
        <w:tabs>
          <w:tab w:val="clear" w:pos="1800"/>
          <w:tab w:val="num" w:pos="709"/>
          <w:tab w:val="num" w:pos="1134"/>
        </w:tabs>
        <w:spacing w:after="0" w:line="240" w:lineRule="auto"/>
        <w:ind w:left="1134" w:hanging="425"/>
        <w:jc w:val="both"/>
        <w:rPr>
          <w:rFonts w:ascii="Times New Roman" w:eastAsia="Times New Roman" w:hAnsi="Times New Roman" w:cs="Times New Roman"/>
          <w:bCs/>
        </w:rPr>
      </w:pPr>
      <w:r w:rsidRPr="00EF4D49">
        <w:rPr>
          <w:rFonts w:ascii="Times New Roman" w:eastAsia="Times New Roman" w:hAnsi="Times New Roman" w:cs="Times New Roman"/>
          <w:bCs/>
        </w:rPr>
        <w:t>levelező munkarend: 0 (0 EA + 0 SZ + 0 GY)</w:t>
      </w:r>
    </w:p>
    <w:p w:rsidR="00EF4D49" w:rsidRPr="00EF4D49" w:rsidRDefault="00EF4D49" w:rsidP="00C14833">
      <w:pPr>
        <w:widowControl w:val="0"/>
        <w:numPr>
          <w:ilvl w:val="1"/>
          <w:numId w:val="120"/>
        </w:numPr>
        <w:tabs>
          <w:tab w:val="num" w:pos="709"/>
          <w:tab w:val="num" w:pos="2069"/>
        </w:tabs>
        <w:spacing w:before="120" w:after="120" w:line="240" w:lineRule="auto"/>
        <w:ind w:left="851" w:hanging="425"/>
        <w:jc w:val="both"/>
        <w:rPr>
          <w:rFonts w:ascii="Times New Roman" w:eastAsia="Times New Roman" w:hAnsi="Times New Roman" w:cs="Times New Roman"/>
          <w:bCs/>
        </w:rPr>
      </w:pPr>
      <w:r w:rsidRPr="00EF4D49">
        <w:rPr>
          <w:rFonts w:ascii="Times New Roman" w:eastAsia="Times New Roman" w:hAnsi="Times New Roman" w:cs="Times New Roman"/>
          <w:bCs/>
        </w:rPr>
        <w:t>heti óraszám - nappali munkarend: 2</w:t>
      </w:r>
    </w:p>
    <w:p w:rsidR="00EF4D49" w:rsidRPr="00EF4D49" w:rsidRDefault="00EF4D49" w:rsidP="00C14833">
      <w:pPr>
        <w:widowControl w:val="0"/>
        <w:numPr>
          <w:ilvl w:val="1"/>
          <w:numId w:val="120"/>
        </w:numPr>
        <w:tabs>
          <w:tab w:val="num" w:pos="709"/>
          <w:tab w:val="num" w:pos="2069"/>
        </w:tabs>
        <w:spacing w:before="120" w:after="120" w:line="240" w:lineRule="auto"/>
        <w:ind w:left="851" w:hanging="425"/>
        <w:jc w:val="both"/>
        <w:rPr>
          <w:rFonts w:ascii="Times New Roman" w:eastAsia="Times New Roman" w:hAnsi="Times New Roman" w:cs="Times New Roman"/>
          <w:bCs/>
        </w:rPr>
      </w:pPr>
      <w:r w:rsidRPr="00EF4D49">
        <w:rPr>
          <w:rFonts w:ascii="Times New Roman" w:hAnsi="Times New Roman" w:cs="Times New Roman"/>
        </w:rPr>
        <w:t>Az ismeret átadásában alkalmazandó további sajátos módok, jellemzők: -</w:t>
      </w:r>
    </w:p>
    <w:p w:rsidR="00EF4D49" w:rsidRPr="00EF4D49" w:rsidRDefault="00EF4D49" w:rsidP="00C14833">
      <w:pPr>
        <w:pStyle w:val="lfej"/>
        <w:numPr>
          <w:ilvl w:val="0"/>
          <w:numId w:val="120"/>
        </w:numPr>
        <w:tabs>
          <w:tab w:val="clear" w:pos="720"/>
          <w:tab w:val="clear" w:pos="4536"/>
          <w:tab w:val="center" w:pos="4819"/>
        </w:tabs>
        <w:spacing w:before="120"/>
        <w:ind w:left="567" w:hanging="283"/>
        <w:jc w:val="both"/>
        <w:rPr>
          <w:rFonts w:ascii="Times New Roman" w:hAnsi="Times New Roman" w:cs="Times New Roman"/>
        </w:rPr>
      </w:pPr>
      <w:r w:rsidRPr="00EF4D49">
        <w:rPr>
          <w:rFonts w:ascii="Times New Roman" w:eastAsia="Times New Roman" w:hAnsi="Times New Roman" w:cs="Times New Roman"/>
          <w:b/>
          <w:bCs/>
        </w:rPr>
        <w:t xml:space="preserve">A tantárgy szakmai tartalma (magyarul): </w:t>
      </w:r>
      <w:r w:rsidRPr="00EF4D49">
        <w:rPr>
          <w:rFonts w:ascii="Times New Roman" w:eastAsia="Times New Roman" w:hAnsi="Times New Roman" w:cs="Times New Roman"/>
          <w:bCs/>
        </w:rPr>
        <w:t>A csomagolással kapcsolatos alapfogalmak. A</w:t>
      </w:r>
      <w:r w:rsidRPr="00EF4D49">
        <w:rPr>
          <w:rFonts w:ascii="Times New Roman" w:hAnsi="Times New Roman" w:cs="Times New Roman"/>
        </w:rPr>
        <w:t xml:space="preserve"> csomagolás alapformái és azok jellemző tulajdonságai. Áruismeret. Csomagolóanyagok, és –eszközök, segédanyagok rendszerszemléletű áttekintése. A csomagolás tervezése, hatékonyságának vizsgálata. A csomagolással szemben támasztott általános és katonai követelmények. Egységrakomány képző eszközök, egységrakomány-képzés és a csomagolás kapcsolata. Egységrakományok kialakításának és elhelyezésének optimalizálási módszerei.</w:t>
      </w:r>
    </w:p>
    <w:p w:rsidR="00EF4D49" w:rsidRPr="00EF4D49" w:rsidRDefault="00EF4D49" w:rsidP="00EF4D49">
      <w:pPr>
        <w:pStyle w:val="lfej"/>
        <w:ind w:left="567"/>
        <w:jc w:val="both"/>
        <w:rPr>
          <w:rFonts w:ascii="Times New Roman" w:eastAsia="Times New Roman" w:hAnsi="Times New Roman" w:cs="Times New Roman"/>
          <w:bCs/>
        </w:rPr>
      </w:pPr>
      <w:r w:rsidRPr="00EF4D49">
        <w:rPr>
          <w:rFonts w:ascii="Times New Roman" w:hAnsi="Times New Roman" w:cs="Times New Roman"/>
        </w:rPr>
        <w:tab/>
        <w:t>A Magyar Honvédségben alkalmazott csomagoló eszközök, csomagolási technológiák, eljárások. Rakományrögzítés módszerei és eszközrendszere. A katonai anyagok mozgatásában alkalmazott egységrakományképző eszközök.</w:t>
      </w:r>
    </w:p>
    <w:p w:rsidR="00EF4D49" w:rsidRPr="00EF4D49" w:rsidRDefault="00EF4D49" w:rsidP="00EF4D49">
      <w:pPr>
        <w:pStyle w:val="lfej"/>
        <w:tabs>
          <w:tab w:val="clear" w:pos="4536"/>
          <w:tab w:val="center" w:pos="4819"/>
        </w:tabs>
        <w:spacing w:before="120"/>
        <w:ind w:left="567"/>
        <w:jc w:val="both"/>
        <w:rPr>
          <w:rFonts w:ascii="Times New Roman" w:hAnsi="Times New Roman" w:cs="Times New Roman"/>
        </w:rPr>
      </w:pPr>
      <w:r w:rsidRPr="00EF4D49">
        <w:rPr>
          <w:rFonts w:ascii="Times New Roman" w:eastAsia="Times New Roman" w:hAnsi="Times New Roman" w:cs="Times New Roman"/>
          <w:b/>
          <w:bCs/>
        </w:rPr>
        <w:t>A tantárgy szakmai tartalma (angolul) (</w:t>
      </w:r>
      <w:r w:rsidRPr="00EF4D49">
        <w:rPr>
          <w:rFonts w:ascii="Times New Roman" w:eastAsia="Times New Roman" w:hAnsi="Times New Roman" w:cs="Times New Roman"/>
          <w:b/>
          <w:bCs/>
          <w:lang w:val="en-US"/>
        </w:rPr>
        <w:t>Course description</w:t>
      </w:r>
      <w:r w:rsidRPr="00EF4D49">
        <w:rPr>
          <w:rFonts w:ascii="Times New Roman" w:eastAsia="Times New Roman" w:hAnsi="Times New Roman" w:cs="Times New Roman"/>
          <w:b/>
          <w:bCs/>
        </w:rPr>
        <w:t xml:space="preserve">): </w:t>
      </w:r>
      <w:r w:rsidRPr="00EF4D49">
        <w:rPr>
          <w:rFonts w:ascii="Times New Roman" w:hAnsi="Times New Roman" w:cs="Times New Roman"/>
        </w:rPr>
        <w:t xml:space="preserve">Basic concepts relating to packaging. Basic forms of packaging and their typical characteristics. Knowledge of goods. System approach review of packaging materials, devices and auxiliary materials. Planning of packaging and examination of its efficiency. General and military requirements of packaging. Relationship between devices creating unit loads, creation of unit loads and packaging. Optimisation methods of the development and placement of unit loads. </w:t>
      </w:r>
    </w:p>
    <w:p w:rsidR="00EF4D49" w:rsidRPr="00EF4D49" w:rsidRDefault="00EF4D49" w:rsidP="00EF4D49">
      <w:pPr>
        <w:pStyle w:val="lfej"/>
        <w:ind w:left="567"/>
        <w:jc w:val="both"/>
        <w:rPr>
          <w:rFonts w:ascii="Times New Roman" w:eastAsia="Times New Roman" w:hAnsi="Times New Roman" w:cs="Times New Roman"/>
          <w:bCs/>
          <w:lang w:val="en-GB"/>
        </w:rPr>
      </w:pPr>
      <w:r w:rsidRPr="00EF4D49">
        <w:rPr>
          <w:rFonts w:ascii="Times New Roman" w:hAnsi="Times New Roman" w:cs="Times New Roman"/>
        </w:rPr>
        <w:t>Packaging materials, packaging technologies and procedures used by the Hungarian Defence Forces. Methods and system of means of securing loads. Unit load creating devices applied in handling military materials.</w:t>
      </w:r>
    </w:p>
    <w:p w:rsidR="00EF4D49" w:rsidRPr="00EF4D49" w:rsidRDefault="00EF4D49" w:rsidP="00C14833">
      <w:pPr>
        <w:pStyle w:val="Listaszerbekezds"/>
        <w:widowControl w:val="0"/>
        <w:numPr>
          <w:ilvl w:val="0"/>
          <w:numId w:val="120"/>
        </w:numPr>
        <w:spacing w:before="120" w:after="120" w:line="240" w:lineRule="auto"/>
        <w:jc w:val="both"/>
        <w:rPr>
          <w:rFonts w:ascii="Times New Roman" w:eastAsia="Times New Roman" w:hAnsi="Times New Roman" w:cs="Times New Roman"/>
          <w:bCs/>
        </w:rPr>
      </w:pPr>
      <w:r w:rsidRPr="00EF4D49">
        <w:rPr>
          <w:rFonts w:ascii="Times New Roman" w:eastAsia="Times New Roman" w:hAnsi="Times New Roman" w:cs="Times New Roman"/>
          <w:b/>
          <w:bCs/>
        </w:rPr>
        <w:t xml:space="preserve">Elérendő kompetenciák (magyarul): </w:t>
      </w:r>
    </w:p>
    <w:p w:rsidR="00EF4D49" w:rsidRPr="00EF4D49" w:rsidRDefault="00EF4D49" w:rsidP="00EF4D49">
      <w:pPr>
        <w:autoSpaceDE w:val="0"/>
        <w:autoSpaceDN w:val="0"/>
        <w:adjustRightInd w:val="0"/>
        <w:spacing w:before="120" w:after="0" w:line="240" w:lineRule="auto"/>
        <w:ind w:left="425"/>
        <w:jc w:val="both"/>
        <w:rPr>
          <w:rFonts w:ascii="Times New Roman" w:eastAsia="Times New Roman" w:hAnsi="Times New Roman" w:cs="Times New Roman"/>
          <w:b/>
          <w:bCs/>
        </w:rPr>
      </w:pPr>
      <w:r w:rsidRPr="00EF4D49">
        <w:rPr>
          <w:rFonts w:ascii="Times New Roman" w:eastAsia="Times New Roman" w:hAnsi="Times New Roman" w:cs="Times New Roman"/>
          <w:b/>
          <w:bCs/>
        </w:rPr>
        <w:t xml:space="preserve">Tudása: </w:t>
      </w:r>
    </w:p>
    <w:p w:rsidR="00EF4D49" w:rsidRPr="00EF4D49" w:rsidRDefault="00EF4D4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EF4D49">
        <w:rPr>
          <w:rFonts w:ascii="Times New Roman" w:hAnsi="Times New Roman" w:cs="Times New Roman"/>
        </w:rPr>
        <w:t>Ismeri a katonai közlekedési szakterülethez szervesen kapcsolódó logisztikai, menedzsment, környezetvédelmi, minőségbiztosítási, információtechnológiai, jogi, közgazdasági szakterületek alapjait és követelményeit.</w:t>
      </w:r>
    </w:p>
    <w:p w:rsidR="00EF4D49" w:rsidRPr="00EF4D49" w:rsidRDefault="00EF4D4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EF4D49">
        <w:rPr>
          <w:rFonts w:ascii="Times New Roman" w:hAnsi="Times New Roman" w:cs="Times New Roman"/>
        </w:rPr>
        <w:lastRenderedPageBreak/>
        <w:t>Ismeri a katonai közlekedési szakterület szaktechnikai eszközeit, a közlekedési pályákat és létesítményeiket, azok igénybevételének és üzemeltetésének szabályait.</w:t>
      </w:r>
    </w:p>
    <w:p w:rsidR="00EF4D49" w:rsidRPr="00EF4D49" w:rsidRDefault="00EF4D4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EF4D49">
        <w:rPr>
          <w:rFonts w:ascii="Times New Roman" w:hAnsi="Times New Roman" w:cs="Times New Roman"/>
        </w:rPr>
        <w:t>Ismeri a katonai közlekedési szakanyagok készletezésének, tárolásának, nyilvántartásának és leltározásának, valamint ezen folyamatok ellenőrzésének feladatait és kötelezettségeit.</w:t>
      </w:r>
    </w:p>
    <w:p w:rsidR="00EF4D49" w:rsidRPr="00EF4D49" w:rsidRDefault="00EF4D4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EF4D49">
        <w:rPr>
          <w:rFonts w:ascii="Times New Roman" w:hAnsi="Times New Roman" w:cs="Times New Roman"/>
        </w:rPr>
        <w:t>Mélyrehatóan ismeri a katonai közlekedési szakterület szakmai feladatait, a közlekedési szakfeladatok rendszerét, az egyes feladatok végrehajtásának sajátosságait.</w:t>
      </w:r>
    </w:p>
    <w:p w:rsidR="00EF4D49" w:rsidRPr="00EF4D49" w:rsidRDefault="00EF4D4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EF4D49">
        <w:rPr>
          <w:rFonts w:ascii="Times New Roman" w:hAnsi="Times New Roman" w:cs="Times New Roman"/>
        </w:rPr>
        <w:t>Ismeri a katonai közlekedési igények felmérésének módszereit és megvalósítási lehetőségeit, gyakorlatát.</w:t>
      </w:r>
    </w:p>
    <w:p w:rsidR="00EF4D49" w:rsidRPr="00EF4D49" w:rsidRDefault="00EF4D49" w:rsidP="00EF4D49">
      <w:pPr>
        <w:autoSpaceDE w:val="0"/>
        <w:autoSpaceDN w:val="0"/>
        <w:adjustRightInd w:val="0"/>
        <w:spacing w:before="120" w:after="0" w:line="240" w:lineRule="auto"/>
        <w:ind w:left="425"/>
        <w:jc w:val="both"/>
        <w:rPr>
          <w:rFonts w:ascii="Times New Roman" w:eastAsia="Times New Roman" w:hAnsi="Times New Roman" w:cs="Times New Roman"/>
          <w:bCs/>
        </w:rPr>
      </w:pPr>
      <w:r w:rsidRPr="00EF4D49">
        <w:rPr>
          <w:rFonts w:ascii="Times New Roman" w:eastAsia="Times New Roman" w:hAnsi="Times New Roman" w:cs="Times New Roman"/>
          <w:b/>
          <w:bCs/>
        </w:rPr>
        <w:t>Képességei:</w:t>
      </w:r>
      <w:r w:rsidRPr="00EF4D49">
        <w:rPr>
          <w:rFonts w:ascii="Times New Roman" w:eastAsia="Times New Roman" w:hAnsi="Times New Roman" w:cs="Times New Roman"/>
          <w:bCs/>
        </w:rPr>
        <w:t xml:space="preserve"> </w:t>
      </w:r>
    </w:p>
    <w:p w:rsidR="00EF4D49" w:rsidRPr="00EF4D49" w:rsidRDefault="00EF4D4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EF4D49">
        <w:rPr>
          <w:rFonts w:ascii="Times New Roman" w:hAnsi="Times New Roman" w:cs="Times New Roman"/>
        </w:rPr>
        <w:t>Az általános és specifikus katonai ismeretei és készségei birtokában képes a katonai közlekedési, mozgatási, szállítási feladatok tervezésére, szervezésére és vezetésére.</w:t>
      </w:r>
    </w:p>
    <w:p w:rsidR="00EF4D49" w:rsidRPr="00EF4D49" w:rsidRDefault="00EF4D4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EF4D49">
        <w:rPr>
          <w:rFonts w:ascii="Times New Roman" w:hAnsi="Times New Roman" w:cs="Times New Roman"/>
        </w:rPr>
        <w:t>Képes békeidőszakban, válságkezelő, katasztrófa-elhárítási, béketámogató és háborús műveletekben, nemzeti és többnemzeti környezetben a szállító szakalegységek alaprendeltetéséből fakadó feladatai végrehajtásának vezetésére.</w:t>
      </w:r>
    </w:p>
    <w:p w:rsidR="00EF4D49" w:rsidRPr="00EF4D49" w:rsidRDefault="00EF4D4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EF4D49">
        <w:rPr>
          <w:rFonts w:ascii="Times New Roman" w:hAnsi="Times New Roman" w:cs="Times New Roman"/>
        </w:rPr>
        <w:t>Képes a közlekedési hálózatok katonai célú alkalmazásának tervezésére, szervezésére és végrehajtására.</w:t>
      </w:r>
    </w:p>
    <w:p w:rsidR="00EF4D49" w:rsidRPr="00EF4D49" w:rsidRDefault="00EF4D4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EF4D49">
        <w:rPr>
          <w:rFonts w:ascii="Times New Roman" w:hAnsi="Times New Roman" w:cs="Times New Roman"/>
        </w:rPr>
        <w:t>Képes a közlekedési folyamatokat támogató közlekedésinformatikai rendszerek alkalmazására, az azokkal kapcsolatos felhasználói alapkövetelmények megfogalmazására.</w:t>
      </w:r>
    </w:p>
    <w:p w:rsidR="00EF4D49" w:rsidRPr="00EF4D49" w:rsidRDefault="00EF4D49" w:rsidP="00EF4D49">
      <w:pPr>
        <w:autoSpaceDE w:val="0"/>
        <w:autoSpaceDN w:val="0"/>
        <w:adjustRightInd w:val="0"/>
        <w:spacing w:before="120" w:after="0" w:line="240" w:lineRule="auto"/>
        <w:ind w:left="425"/>
        <w:jc w:val="both"/>
        <w:rPr>
          <w:rFonts w:ascii="Times New Roman" w:eastAsia="Times New Roman" w:hAnsi="Times New Roman" w:cs="Times New Roman"/>
          <w:b/>
          <w:bCs/>
        </w:rPr>
      </w:pPr>
      <w:r w:rsidRPr="00EF4D49">
        <w:rPr>
          <w:rFonts w:ascii="Times New Roman" w:eastAsia="Times New Roman" w:hAnsi="Times New Roman" w:cs="Times New Roman"/>
          <w:b/>
          <w:bCs/>
        </w:rPr>
        <w:t xml:space="preserve">Attitűdje: </w:t>
      </w:r>
    </w:p>
    <w:p w:rsidR="00EF4D49" w:rsidRPr="00EF4D49" w:rsidRDefault="00EF4D4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EF4D49">
        <w:rPr>
          <w:rFonts w:ascii="Times New Roman" w:hAnsi="Times New Roman" w:cs="Times New Roman"/>
        </w:rPr>
        <w:t>Nyitott a katonai közlekedési szakterületen zajló szakmai, technológiai fejlesztés és innováció megismerésére és elfogadására, hiteles közvetítésére és azok mindennapi munkájába való beillesztésére.</w:t>
      </w:r>
    </w:p>
    <w:p w:rsidR="00EF4D49" w:rsidRPr="00EF4D49" w:rsidRDefault="00EF4D4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EF4D49">
        <w:rPr>
          <w:rFonts w:ascii="Times New Roman" w:hAnsi="Times New Roman" w:cs="Times New Roman"/>
        </w:rPr>
        <w:t>Törekszik arra, hogy önképzése a katonai közlekedési szakterületen folyamatos és szakmai céljaival megegyező legyen.</w:t>
      </w:r>
    </w:p>
    <w:p w:rsidR="00EF4D49" w:rsidRPr="00EF4D49" w:rsidRDefault="00EF4D4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EF4D49">
        <w:rPr>
          <w:rFonts w:ascii="Times New Roman" w:hAnsi="Times New Roman" w:cs="Times New Roman"/>
        </w:rPr>
        <w:t>Elkötelezett a minőségi szakmai munkavégzés iránt, különös tekintettel a közlekedési, szállítási feladatok és folyamatok biztonságos végrehajtására.</w:t>
      </w:r>
    </w:p>
    <w:p w:rsidR="00EF4D49" w:rsidRPr="00EF4D49" w:rsidRDefault="00EF4D4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EF4D49">
        <w:rPr>
          <w:rFonts w:ascii="Times New Roman" w:hAnsi="Times New Roman" w:cs="Times New Roman"/>
        </w:rPr>
        <w:t>Figyel beosztottjai szakmai fejlődésének előmozdítására, ilyen irányú törekvéseik kezelésére és segítésére.</w:t>
      </w:r>
    </w:p>
    <w:p w:rsidR="00EF4D49" w:rsidRPr="00EF4D49" w:rsidRDefault="00EF4D4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EF4D49">
        <w:rPr>
          <w:rFonts w:ascii="Times New Roman" w:hAnsi="Times New Roman" w:cs="Times New Roman"/>
        </w:rPr>
        <w:t>Megosztja tapasztalatait munkatársaival, így segítve fejlődésüket.</w:t>
      </w:r>
    </w:p>
    <w:p w:rsidR="00EF4D49" w:rsidRPr="00EF4D49" w:rsidRDefault="00EF4D49" w:rsidP="00EF4D49">
      <w:pPr>
        <w:autoSpaceDE w:val="0"/>
        <w:autoSpaceDN w:val="0"/>
        <w:adjustRightInd w:val="0"/>
        <w:spacing w:before="120" w:after="0" w:line="240" w:lineRule="auto"/>
        <w:ind w:left="425"/>
        <w:jc w:val="both"/>
        <w:rPr>
          <w:rFonts w:ascii="Times New Roman" w:eastAsia="Times New Roman" w:hAnsi="Times New Roman" w:cs="Times New Roman"/>
          <w:b/>
          <w:bCs/>
        </w:rPr>
      </w:pPr>
      <w:r w:rsidRPr="00EF4D49">
        <w:rPr>
          <w:rFonts w:ascii="Times New Roman" w:eastAsia="Times New Roman" w:hAnsi="Times New Roman" w:cs="Times New Roman"/>
          <w:b/>
          <w:bCs/>
        </w:rPr>
        <w:t xml:space="preserve">Autonómiája és felelőssége: </w:t>
      </w:r>
    </w:p>
    <w:p w:rsidR="00EF4D49" w:rsidRPr="00EF4D49" w:rsidRDefault="00EF4D4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EF4D49">
        <w:rPr>
          <w:rFonts w:ascii="Times New Roman" w:hAnsi="Times New Roman" w:cs="Times New Roman"/>
        </w:rPr>
        <w:t>A katonai közlekedés szakterületén megjelenő folyamatokban képes önállóan döntéseket hozni, azokat felelősséggel, a jogszabályi keretek figyelembevételével végrehajtani.</w:t>
      </w:r>
    </w:p>
    <w:p w:rsidR="00EF4D49" w:rsidRPr="00EF4D49" w:rsidRDefault="00EF4D4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EF4D49">
        <w:rPr>
          <w:rFonts w:ascii="Times New Roman" w:hAnsi="Times New Roman" w:cs="Times New Roman"/>
        </w:rPr>
        <w:t>Tisztában van döntéseinek, tevékenységének a katonai logisztikai folyamatok egészére gyakorolt hatásaival, következményeivel.</w:t>
      </w:r>
    </w:p>
    <w:p w:rsidR="00EF4D49" w:rsidRPr="00EF4D49" w:rsidRDefault="00EF4D4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EF4D49">
        <w:rPr>
          <w:rFonts w:ascii="Times New Roman" w:hAnsi="Times New Roman" w:cs="Times New Roman"/>
        </w:rPr>
        <w:t>Szakmai feladatainak elvégzése során felelősségteljesen együttműködik más szakterület képzett szakembereivel is.</w:t>
      </w:r>
    </w:p>
    <w:p w:rsidR="00EF4D49" w:rsidRPr="00EF4D49" w:rsidRDefault="00EF4D4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EF4D49">
        <w:rPr>
          <w:rFonts w:ascii="Times New Roman" w:hAnsi="Times New Roman" w:cs="Times New Roman"/>
        </w:rPr>
        <w:t>Feltárja az alkalmazott technológiák hiányosságait, a folyamatok kockázatait és kezdeményezi az ezeket csökkentő intézkedések megtételét.</w:t>
      </w:r>
    </w:p>
    <w:p w:rsidR="00EF4D49" w:rsidRPr="00EF4D49" w:rsidRDefault="00EF4D4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EF4D49">
        <w:rPr>
          <w:rFonts w:ascii="Times New Roman" w:hAnsi="Times New Roman" w:cs="Times New Roman"/>
        </w:rPr>
        <w:t>Parancsnokának útmutatása alapján irányítja a rábízott személyi állomány munkavégzését, felügyeli a közlekedési, szállítási folyamatok tervezését, szervezését, végrehajtását, a közlekedési szaktechnikai eszközök üzemeltetését.</w:t>
      </w:r>
    </w:p>
    <w:p w:rsidR="00EF4D49" w:rsidRPr="00EF4D49" w:rsidRDefault="00EF4D4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EF4D49">
        <w:rPr>
          <w:rFonts w:ascii="Times New Roman" w:hAnsi="Times New Roman" w:cs="Times New Roman"/>
        </w:rPr>
        <w:t>Értékeli a beosztottak munkavégzésének hatékonyságát, eredményességét.</w:t>
      </w:r>
    </w:p>
    <w:p w:rsidR="00EF4D49" w:rsidRPr="00EF4D49" w:rsidRDefault="00EF4D49" w:rsidP="00EF4D49">
      <w:pPr>
        <w:widowControl w:val="0"/>
        <w:spacing w:before="120" w:after="120" w:line="240" w:lineRule="auto"/>
        <w:ind w:left="426"/>
        <w:jc w:val="both"/>
        <w:rPr>
          <w:rFonts w:ascii="Times New Roman" w:eastAsia="Times New Roman" w:hAnsi="Times New Roman" w:cs="Times New Roman"/>
          <w:b/>
          <w:bCs/>
          <w:lang w:val="en-US"/>
        </w:rPr>
      </w:pPr>
      <w:r w:rsidRPr="00EF4D49">
        <w:rPr>
          <w:rFonts w:ascii="Times New Roman" w:eastAsia="Times New Roman" w:hAnsi="Times New Roman" w:cs="Times New Roman"/>
          <w:b/>
          <w:bCs/>
        </w:rPr>
        <w:t>Elérendő kompetenciák (angolul) (</w:t>
      </w:r>
      <w:r w:rsidRPr="00EF4D49">
        <w:rPr>
          <w:rFonts w:ascii="Times New Roman" w:eastAsia="Times New Roman" w:hAnsi="Times New Roman" w:cs="Times New Roman"/>
          <w:b/>
          <w:bCs/>
          <w:lang w:val="en-US"/>
        </w:rPr>
        <w:t xml:space="preserve">Competences – English): </w:t>
      </w:r>
    </w:p>
    <w:p w:rsidR="00EF4D49" w:rsidRPr="00EF4D49" w:rsidRDefault="00EF4D49" w:rsidP="00EF4D49">
      <w:pPr>
        <w:widowControl w:val="0"/>
        <w:spacing w:before="120" w:after="120" w:line="240" w:lineRule="auto"/>
        <w:ind w:left="426"/>
        <w:jc w:val="both"/>
        <w:rPr>
          <w:rFonts w:ascii="Times New Roman" w:eastAsia="Times New Roman" w:hAnsi="Times New Roman" w:cs="Times New Roman"/>
          <w:lang w:val="en-GB"/>
        </w:rPr>
      </w:pPr>
      <w:r w:rsidRPr="00EF4D49">
        <w:rPr>
          <w:rFonts w:ascii="Times New Roman" w:eastAsia="Times New Roman" w:hAnsi="Times New Roman" w:cs="Times New Roman"/>
          <w:b/>
          <w:lang w:val="en-GB"/>
        </w:rPr>
        <w:t>Knowledge</w:t>
      </w:r>
      <w:r w:rsidRPr="00EF4D49">
        <w:rPr>
          <w:rFonts w:ascii="Times New Roman" w:eastAsia="Times New Roman" w:hAnsi="Times New Roman" w:cs="Times New Roman"/>
          <w:lang w:val="en-GB"/>
        </w:rPr>
        <w:t xml:space="preserve">: </w:t>
      </w:r>
    </w:p>
    <w:p w:rsidR="00EF4D49" w:rsidRPr="00EF4D49" w:rsidRDefault="00EF4D4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EF4D49">
        <w:rPr>
          <w:rFonts w:ascii="Times New Roman" w:hAnsi="Times New Roman" w:cs="Times New Roman"/>
        </w:rPr>
        <w:t>Knows the basics and requirements of logistics, management, environmental protection, quality assurance, information technology, law and economics, connected to the field of military transportation.</w:t>
      </w:r>
    </w:p>
    <w:p w:rsidR="00EF4D49" w:rsidRPr="00EF4D49" w:rsidRDefault="00EF4D4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EF4D49">
        <w:rPr>
          <w:rFonts w:ascii="Times New Roman" w:hAnsi="Times New Roman" w:cs="Times New Roman"/>
        </w:rPr>
        <w:t>Is familiar with the technical equipment used in military transportation, the transportation modes and facilities, and the rules of their use and operation.</w:t>
      </w:r>
    </w:p>
    <w:p w:rsidR="00EF4D49" w:rsidRPr="00EF4D49" w:rsidRDefault="00EF4D4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EF4D49">
        <w:rPr>
          <w:rFonts w:ascii="Times New Roman" w:hAnsi="Times New Roman" w:cs="Times New Roman"/>
        </w:rPr>
        <w:t>Is familiar with the tasks and responsibilities of stockpiling, storing, registering and inventorying of military transportation assets and is able to control these processes.</w:t>
      </w:r>
    </w:p>
    <w:p w:rsidR="00EF4D49" w:rsidRPr="00EF4D49" w:rsidRDefault="00EF4D4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EF4D49">
        <w:rPr>
          <w:rFonts w:ascii="Times New Roman" w:hAnsi="Times New Roman" w:cs="Times New Roman"/>
        </w:rPr>
        <w:lastRenderedPageBreak/>
        <w:t>Has a profound knowledge of the tasks and the system of military transportation and the unique characteristics of performing each task.</w:t>
      </w:r>
    </w:p>
    <w:p w:rsidR="00EF4D49" w:rsidRPr="00EF4D49" w:rsidRDefault="00EF4D4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EF4D49">
        <w:rPr>
          <w:rFonts w:ascii="Times New Roman" w:hAnsi="Times New Roman" w:cs="Times New Roman"/>
        </w:rPr>
        <w:t>Is familiar with the methods of assessing the requirements of military transportation and its feasibility and practical implementation.</w:t>
      </w:r>
    </w:p>
    <w:p w:rsidR="00EF4D49" w:rsidRPr="00EF4D49" w:rsidRDefault="00EF4D49" w:rsidP="00EF4D49">
      <w:pPr>
        <w:widowControl w:val="0"/>
        <w:spacing w:before="120" w:after="120" w:line="240" w:lineRule="auto"/>
        <w:ind w:left="426"/>
        <w:jc w:val="both"/>
        <w:rPr>
          <w:rFonts w:ascii="Times New Roman" w:eastAsia="Times New Roman" w:hAnsi="Times New Roman" w:cs="Times New Roman"/>
          <w:lang w:val="en-GB"/>
        </w:rPr>
      </w:pPr>
      <w:r w:rsidRPr="00EF4D49">
        <w:rPr>
          <w:rFonts w:ascii="Times New Roman" w:eastAsia="Times New Roman" w:hAnsi="Times New Roman" w:cs="Times New Roman"/>
          <w:b/>
          <w:lang w:val="en-GB"/>
        </w:rPr>
        <w:t>Capabilities</w:t>
      </w:r>
      <w:r w:rsidRPr="00EF4D49">
        <w:rPr>
          <w:rFonts w:ascii="Times New Roman" w:eastAsia="Times New Roman" w:hAnsi="Times New Roman" w:cs="Times New Roman"/>
          <w:lang w:val="en-GB"/>
        </w:rPr>
        <w:t>:</w:t>
      </w:r>
    </w:p>
    <w:p w:rsidR="00EF4D49" w:rsidRPr="00EF4D49" w:rsidRDefault="00EF4D4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EF4D49">
        <w:rPr>
          <w:rFonts w:ascii="Times New Roman" w:hAnsi="Times New Roman" w:cs="Times New Roman"/>
        </w:rPr>
        <w:t>Using his/her general and specialized military knowledge and skills, he/she is capable of planning, organizing, and conducting military transport, movement, and transportation tasks.</w:t>
      </w:r>
    </w:p>
    <w:p w:rsidR="00EF4D49" w:rsidRPr="00EF4D49" w:rsidRDefault="00EF4D4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EF4D49">
        <w:rPr>
          <w:rFonts w:ascii="Times New Roman" w:hAnsi="Times New Roman" w:cs="Times New Roman"/>
        </w:rPr>
        <w:t>Is capable of leading the execution of the tasks of a military transportation subunit in peace time and in crisis response, disaster relief, peace support and combat operations both in a national and a multinational environment.</w:t>
      </w:r>
    </w:p>
    <w:p w:rsidR="00EF4D49" w:rsidRPr="00EF4D49" w:rsidRDefault="00EF4D4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EF4D49">
        <w:rPr>
          <w:rFonts w:ascii="Times New Roman" w:hAnsi="Times New Roman" w:cs="Times New Roman"/>
        </w:rPr>
        <w:t>Is capable of planning, organizing and executing the tasks related to the application of traffic networks for military purposes.</w:t>
      </w:r>
    </w:p>
    <w:p w:rsidR="00EF4D49" w:rsidRPr="00EF4D49" w:rsidRDefault="00EF4D4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EF4D49">
        <w:rPr>
          <w:rFonts w:ascii="Times New Roman" w:hAnsi="Times New Roman" w:cs="Times New Roman"/>
        </w:rPr>
        <w:t>Is capable of applying traffic information systems to support transportation processes and formulating the basic user requirements related to them.</w:t>
      </w:r>
    </w:p>
    <w:p w:rsidR="00EF4D49" w:rsidRPr="008963FD" w:rsidRDefault="00EF4D49" w:rsidP="008963FD">
      <w:pPr>
        <w:widowControl w:val="0"/>
        <w:spacing w:before="120" w:after="120" w:line="240" w:lineRule="auto"/>
        <w:ind w:left="426"/>
        <w:jc w:val="both"/>
        <w:rPr>
          <w:rFonts w:ascii="Times New Roman" w:eastAsia="Times New Roman" w:hAnsi="Times New Roman" w:cs="Times New Roman"/>
          <w:b/>
          <w:lang w:val="en-GB"/>
        </w:rPr>
      </w:pPr>
      <w:r w:rsidRPr="00EF4D49">
        <w:rPr>
          <w:rFonts w:ascii="Times New Roman" w:eastAsia="Times New Roman" w:hAnsi="Times New Roman" w:cs="Times New Roman"/>
          <w:b/>
          <w:lang w:val="en-GB"/>
        </w:rPr>
        <w:t>Attitude:</w:t>
      </w:r>
    </w:p>
    <w:p w:rsidR="00EF4D49" w:rsidRPr="00EF4D49" w:rsidRDefault="00EF4D4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EF4D49">
        <w:rPr>
          <w:rFonts w:ascii="Times New Roman" w:hAnsi="Times New Roman" w:cs="Times New Roman"/>
        </w:rPr>
        <w:t>He/She is ready to become familiar with and adopt the professional and technological development and innovation in the field of military transportation, and also to pass it on and integrate it into his daily work.</w:t>
      </w:r>
    </w:p>
    <w:p w:rsidR="00EF4D49" w:rsidRPr="00EF4D49" w:rsidRDefault="00EF4D4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EF4D49">
        <w:rPr>
          <w:rFonts w:ascii="Times New Roman" w:hAnsi="Times New Roman" w:cs="Times New Roman"/>
        </w:rPr>
        <w:t>He/She strives for continuous self-education in the field of military transportation which is consistent with his/her professional goals.</w:t>
      </w:r>
    </w:p>
    <w:p w:rsidR="00EF4D49" w:rsidRPr="00EF4D49" w:rsidRDefault="00EF4D4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EF4D49">
        <w:rPr>
          <w:rFonts w:ascii="Times New Roman" w:hAnsi="Times New Roman" w:cs="Times New Roman"/>
        </w:rPr>
        <w:t>He/She is committed to high quality in his/her professional work, with special emphasis on the safe execution of the transportation tasks and processes.</w:t>
      </w:r>
    </w:p>
    <w:p w:rsidR="00EF4D49" w:rsidRPr="00EF4D49" w:rsidRDefault="00EF4D4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EF4D49">
        <w:rPr>
          <w:rFonts w:ascii="Times New Roman" w:hAnsi="Times New Roman" w:cs="Times New Roman"/>
        </w:rPr>
        <w:t>He/She is interested in promoting the professional development of his/her subordinates, and provides assistance in their efforts.</w:t>
      </w:r>
    </w:p>
    <w:p w:rsidR="00EF4D49" w:rsidRPr="00EF4D49" w:rsidRDefault="00EF4D4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EF4D49">
        <w:rPr>
          <w:rFonts w:ascii="Times New Roman" w:hAnsi="Times New Roman" w:cs="Times New Roman"/>
        </w:rPr>
        <w:t>He/she is willing to share his/her experience with his/her colleagues to further their professional development.</w:t>
      </w:r>
    </w:p>
    <w:p w:rsidR="00EF4D49" w:rsidRPr="00EF4D49" w:rsidRDefault="00EF4D49" w:rsidP="00EF4D49">
      <w:pPr>
        <w:widowControl w:val="0"/>
        <w:spacing w:before="120" w:after="120" w:line="240" w:lineRule="auto"/>
        <w:ind w:left="426"/>
        <w:jc w:val="both"/>
        <w:rPr>
          <w:rFonts w:ascii="Times New Roman" w:eastAsia="Times New Roman" w:hAnsi="Times New Roman" w:cs="Times New Roman"/>
          <w:b/>
          <w:lang w:val="en-GB"/>
        </w:rPr>
      </w:pPr>
      <w:r w:rsidRPr="00EF4D49">
        <w:rPr>
          <w:rFonts w:ascii="Times New Roman" w:eastAsia="Times New Roman" w:hAnsi="Times New Roman" w:cs="Times New Roman"/>
          <w:b/>
          <w:lang w:val="en-GB"/>
        </w:rPr>
        <w:t xml:space="preserve">Autonomy and responsibility: </w:t>
      </w:r>
    </w:p>
    <w:p w:rsidR="00EF4D49" w:rsidRPr="00EF4D49" w:rsidRDefault="00EF4D4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EF4D49">
        <w:rPr>
          <w:rFonts w:ascii="Times New Roman" w:hAnsi="Times New Roman" w:cs="Times New Roman"/>
        </w:rPr>
        <w:t>He/She is able to make decisions independently in the processes arising in the field of military transportation, and to implement them with responsibility and within the legal framework.</w:t>
      </w:r>
    </w:p>
    <w:p w:rsidR="00EF4D49" w:rsidRPr="00EF4D49" w:rsidRDefault="00EF4D4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EF4D49">
        <w:rPr>
          <w:rFonts w:ascii="Times New Roman" w:hAnsi="Times New Roman" w:cs="Times New Roman"/>
        </w:rPr>
        <w:t>He/She is aware of the effects and consequences of his decisions and activities on the military logistic processes as a whole.</w:t>
      </w:r>
    </w:p>
    <w:p w:rsidR="00EF4D49" w:rsidRPr="00EF4D49" w:rsidRDefault="00EF4D4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EF4D49">
        <w:rPr>
          <w:rFonts w:ascii="Times New Roman" w:hAnsi="Times New Roman" w:cs="Times New Roman"/>
        </w:rPr>
        <w:t xml:space="preserve">During his/her professional duties, he/she is willing to responsibly cooperate with specialists of other areas. </w:t>
      </w:r>
    </w:p>
    <w:p w:rsidR="00EF4D49" w:rsidRPr="00EF4D49" w:rsidRDefault="00EF4D4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EF4D49">
        <w:rPr>
          <w:rFonts w:ascii="Times New Roman" w:hAnsi="Times New Roman" w:cs="Times New Roman"/>
        </w:rPr>
        <w:t>He/She can identify the deficiencies and risks in the applied technologies and initiates taking measures to reduce their impact.</w:t>
      </w:r>
    </w:p>
    <w:p w:rsidR="00EF4D49" w:rsidRPr="00EF4D49" w:rsidRDefault="00EF4D4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EF4D49">
        <w:rPr>
          <w:rFonts w:ascii="Times New Roman" w:hAnsi="Times New Roman" w:cs="Times New Roman"/>
        </w:rPr>
        <w:t>Under the guidance of his/her commander, he/she controls the work of the personnel under his/her command and supervises the planning, organization and implementation of the transport and transportation processes, and also the operation of the technical equipment used in military transportation.</w:t>
      </w:r>
    </w:p>
    <w:p w:rsidR="00EF4D49" w:rsidRPr="00EF4D49" w:rsidRDefault="00EF4D4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EF4D49">
        <w:rPr>
          <w:rFonts w:ascii="Times New Roman" w:hAnsi="Times New Roman" w:cs="Times New Roman"/>
        </w:rPr>
        <w:t>He/She continuously evaluates the efficiency and effectiveness of his/her subordinates' work.</w:t>
      </w:r>
    </w:p>
    <w:p w:rsidR="00EF4D49" w:rsidRPr="00A424FC" w:rsidRDefault="00EF4D49" w:rsidP="00A424FC">
      <w:pPr>
        <w:widowControl w:val="0"/>
        <w:numPr>
          <w:ilvl w:val="0"/>
          <w:numId w:val="120"/>
        </w:numPr>
        <w:spacing w:before="120" w:after="120" w:line="240" w:lineRule="auto"/>
        <w:ind w:left="426" w:hanging="142"/>
        <w:jc w:val="both"/>
        <w:rPr>
          <w:rFonts w:ascii="Times New Roman" w:eastAsia="Times New Roman" w:hAnsi="Times New Roman" w:cs="Times New Roman"/>
          <w:bCs/>
          <w:highlight w:val="yellow"/>
        </w:rPr>
      </w:pPr>
      <w:r w:rsidRPr="00A424FC">
        <w:rPr>
          <w:rFonts w:ascii="Times New Roman" w:eastAsia="Times New Roman" w:hAnsi="Times New Roman" w:cs="Times New Roman"/>
          <w:b/>
          <w:bCs/>
          <w:highlight w:val="yellow"/>
        </w:rPr>
        <w:t xml:space="preserve">Előtanulmányi követelmények: </w:t>
      </w:r>
      <w:r w:rsidR="00A424FC" w:rsidRPr="00A424FC">
        <w:rPr>
          <w:rFonts w:ascii="Times New Roman" w:hAnsi="Times New Roman" w:cs="Times New Roman"/>
          <w:highlight w:val="yellow"/>
        </w:rPr>
        <w:t>HKHPKA300 Anyagmozgatás-raktározás</w:t>
      </w:r>
    </w:p>
    <w:p w:rsidR="00EF4D49" w:rsidRPr="00EF4D49" w:rsidRDefault="00EF4D49" w:rsidP="00C14833">
      <w:pPr>
        <w:widowControl w:val="0"/>
        <w:numPr>
          <w:ilvl w:val="0"/>
          <w:numId w:val="120"/>
        </w:numPr>
        <w:spacing w:before="120" w:after="120" w:line="240" w:lineRule="auto"/>
        <w:ind w:left="426" w:hanging="142"/>
        <w:jc w:val="both"/>
        <w:rPr>
          <w:rFonts w:ascii="Times New Roman" w:eastAsia="Times New Roman" w:hAnsi="Times New Roman" w:cs="Times New Roman"/>
          <w:b/>
          <w:bCs/>
        </w:rPr>
      </w:pPr>
      <w:r w:rsidRPr="00EF4D49">
        <w:rPr>
          <w:rFonts w:ascii="Times New Roman" w:eastAsia="Times New Roman" w:hAnsi="Times New Roman" w:cs="Times New Roman"/>
          <w:b/>
          <w:bCs/>
        </w:rPr>
        <w:t>A tantárgy tananyagának leírása, tematika. Description of the subject, curriculum (magyarul, angolul - English):</w:t>
      </w:r>
    </w:p>
    <w:p w:rsidR="00EF4D49" w:rsidRPr="00EF4D49" w:rsidRDefault="00EF4D49" w:rsidP="00C14833">
      <w:pPr>
        <w:pStyle w:val="lfej"/>
        <w:numPr>
          <w:ilvl w:val="1"/>
          <w:numId w:val="120"/>
        </w:numPr>
        <w:tabs>
          <w:tab w:val="left" w:pos="708"/>
        </w:tabs>
        <w:spacing w:before="60"/>
        <w:ind w:left="993" w:hanging="574"/>
        <w:jc w:val="both"/>
        <w:rPr>
          <w:rFonts w:ascii="Times New Roman" w:hAnsi="Times New Roman" w:cs="Times New Roman"/>
          <w:i/>
        </w:rPr>
      </w:pPr>
      <w:r w:rsidRPr="00EF4D49">
        <w:rPr>
          <w:rFonts w:ascii="Times New Roman" w:hAnsi="Times New Roman" w:cs="Times New Roman"/>
        </w:rPr>
        <w:t>A csomagolással kapcsolatos alapfogalmak.</w:t>
      </w:r>
      <w:r w:rsidRPr="00EF4D49">
        <w:rPr>
          <w:rStyle w:val="tlid-translation"/>
          <w:rFonts w:ascii="Times New Roman" w:hAnsi="Times New Roman" w:cs="Times New Roman"/>
          <w:lang w:val="en"/>
        </w:rPr>
        <w:t xml:space="preserve"> </w:t>
      </w:r>
      <w:r w:rsidRPr="00EF4D49">
        <w:rPr>
          <w:rStyle w:val="tlid-translation"/>
          <w:rFonts w:ascii="Times New Roman" w:hAnsi="Times New Roman" w:cs="Times New Roman"/>
          <w:i/>
          <w:lang w:val="en"/>
        </w:rPr>
        <w:t>(Basic concepts related to packaging.)</w:t>
      </w:r>
    </w:p>
    <w:p w:rsidR="00EF4D49" w:rsidRPr="00EF4D49" w:rsidRDefault="00EF4D49" w:rsidP="00C14833">
      <w:pPr>
        <w:pStyle w:val="lfej"/>
        <w:numPr>
          <w:ilvl w:val="1"/>
          <w:numId w:val="120"/>
        </w:numPr>
        <w:tabs>
          <w:tab w:val="left" w:pos="708"/>
        </w:tabs>
        <w:spacing w:before="60"/>
        <w:ind w:left="993" w:hanging="574"/>
        <w:jc w:val="both"/>
        <w:rPr>
          <w:rStyle w:val="tlid-translation"/>
          <w:i/>
          <w:lang w:val="en"/>
        </w:rPr>
      </w:pPr>
      <w:r w:rsidRPr="00EF4D49">
        <w:rPr>
          <w:rFonts w:ascii="Times New Roman" w:hAnsi="Times New Roman" w:cs="Times New Roman"/>
        </w:rPr>
        <w:t>A csomagolás alapformái és azok jellemző tulajdonságai.</w:t>
      </w:r>
      <w:r w:rsidRPr="00EF4D49">
        <w:rPr>
          <w:rStyle w:val="tlid-translation"/>
          <w:rFonts w:ascii="Times New Roman" w:hAnsi="Times New Roman" w:cs="Times New Roman"/>
          <w:lang w:val="en"/>
        </w:rPr>
        <w:t xml:space="preserve"> </w:t>
      </w:r>
      <w:r w:rsidRPr="00EF4D49">
        <w:rPr>
          <w:rStyle w:val="tlid-translation"/>
          <w:rFonts w:ascii="Times New Roman" w:hAnsi="Times New Roman" w:cs="Times New Roman"/>
          <w:i/>
          <w:lang w:val="en"/>
        </w:rPr>
        <w:t>(Basic forms of packaging and their characteristic properties.)</w:t>
      </w:r>
    </w:p>
    <w:p w:rsidR="00EF4D49" w:rsidRPr="00EF4D49" w:rsidRDefault="00EF4D49" w:rsidP="00C14833">
      <w:pPr>
        <w:pStyle w:val="lfej"/>
        <w:numPr>
          <w:ilvl w:val="1"/>
          <w:numId w:val="120"/>
        </w:numPr>
        <w:tabs>
          <w:tab w:val="left" w:pos="708"/>
        </w:tabs>
        <w:spacing w:before="60"/>
        <w:ind w:left="993" w:hanging="574"/>
        <w:jc w:val="both"/>
        <w:rPr>
          <w:rFonts w:ascii="Times New Roman" w:hAnsi="Times New Roman" w:cs="Times New Roman"/>
        </w:rPr>
      </w:pPr>
      <w:r w:rsidRPr="00EF4D49">
        <w:rPr>
          <w:rFonts w:ascii="Times New Roman" w:hAnsi="Times New Roman" w:cs="Times New Roman"/>
        </w:rPr>
        <w:t>Áruismeret, az árukat érő igénybevételek.</w:t>
      </w:r>
      <w:r w:rsidRPr="00EF4D49">
        <w:rPr>
          <w:rStyle w:val="tlid-translation"/>
          <w:rFonts w:ascii="Times New Roman" w:hAnsi="Times New Roman" w:cs="Times New Roman"/>
          <w:lang w:val="en"/>
        </w:rPr>
        <w:t xml:space="preserve"> </w:t>
      </w:r>
      <w:r w:rsidRPr="00EF4D49">
        <w:rPr>
          <w:rStyle w:val="tlid-translation"/>
          <w:rFonts w:ascii="Times New Roman" w:hAnsi="Times New Roman" w:cs="Times New Roman"/>
          <w:i/>
          <w:lang w:val="en"/>
        </w:rPr>
        <w:t>(Knowledge of goods, stresses on goods.)</w:t>
      </w:r>
    </w:p>
    <w:p w:rsidR="00EF4D49" w:rsidRPr="00EF4D49" w:rsidRDefault="00EF4D49" w:rsidP="00C14833">
      <w:pPr>
        <w:pStyle w:val="lfej"/>
        <w:numPr>
          <w:ilvl w:val="1"/>
          <w:numId w:val="120"/>
        </w:numPr>
        <w:tabs>
          <w:tab w:val="left" w:pos="708"/>
        </w:tabs>
        <w:spacing w:before="60"/>
        <w:ind w:left="993" w:hanging="574"/>
        <w:jc w:val="both"/>
        <w:rPr>
          <w:rStyle w:val="tlid-translation"/>
          <w:i/>
          <w:lang w:val="en"/>
        </w:rPr>
      </w:pPr>
      <w:r w:rsidRPr="00EF4D49">
        <w:rPr>
          <w:rFonts w:ascii="Times New Roman" w:hAnsi="Times New Roman" w:cs="Times New Roman"/>
        </w:rPr>
        <w:t>Csomagolóanyagok, és –eszközök, segédanyagok rendszerszemléletű áttekintése.</w:t>
      </w:r>
      <w:r w:rsidRPr="00EF4D49">
        <w:rPr>
          <w:rStyle w:val="tlid-translation"/>
          <w:rFonts w:ascii="Times New Roman" w:hAnsi="Times New Roman" w:cs="Times New Roman"/>
          <w:lang w:val="en"/>
        </w:rPr>
        <w:t xml:space="preserve"> </w:t>
      </w:r>
      <w:r w:rsidRPr="00EF4D49">
        <w:rPr>
          <w:rStyle w:val="tlid-translation"/>
          <w:rFonts w:ascii="Times New Roman" w:hAnsi="Times New Roman" w:cs="Times New Roman"/>
          <w:i/>
          <w:lang w:val="en"/>
        </w:rPr>
        <w:t>(System-based overview of packaging materials, devices and consumables.)</w:t>
      </w:r>
    </w:p>
    <w:p w:rsidR="00EF4D49" w:rsidRPr="00EF4D49" w:rsidRDefault="00EF4D49" w:rsidP="00C14833">
      <w:pPr>
        <w:pStyle w:val="lfej"/>
        <w:numPr>
          <w:ilvl w:val="1"/>
          <w:numId w:val="120"/>
        </w:numPr>
        <w:tabs>
          <w:tab w:val="left" w:pos="708"/>
        </w:tabs>
        <w:spacing w:before="60"/>
        <w:ind w:left="993" w:hanging="574"/>
        <w:jc w:val="both"/>
        <w:rPr>
          <w:rStyle w:val="tlid-translation"/>
          <w:rFonts w:ascii="Times New Roman" w:hAnsi="Times New Roman" w:cs="Times New Roman"/>
          <w:i/>
          <w:lang w:val="en"/>
        </w:rPr>
      </w:pPr>
      <w:r w:rsidRPr="00EF4D49">
        <w:rPr>
          <w:rFonts w:ascii="Times New Roman" w:hAnsi="Times New Roman" w:cs="Times New Roman"/>
        </w:rPr>
        <w:lastRenderedPageBreak/>
        <w:t xml:space="preserve">A csomagolás tervezése, hatékonyságának vizsgálata. </w:t>
      </w:r>
      <w:r w:rsidRPr="00EF4D49">
        <w:rPr>
          <w:rStyle w:val="tlid-translation"/>
          <w:rFonts w:ascii="Times New Roman" w:hAnsi="Times New Roman" w:cs="Times New Roman"/>
          <w:i/>
          <w:lang w:val="en"/>
        </w:rPr>
        <w:t>(Packaging design, efficiency testing.)</w:t>
      </w:r>
    </w:p>
    <w:p w:rsidR="00EF4D49" w:rsidRPr="00EF4D49" w:rsidRDefault="00EF4D49" w:rsidP="00C14833">
      <w:pPr>
        <w:pStyle w:val="lfej"/>
        <w:numPr>
          <w:ilvl w:val="1"/>
          <w:numId w:val="120"/>
        </w:numPr>
        <w:tabs>
          <w:tab w:val="left" w:pos="708"/>
        </w:tabs>
        <w:spacing w:before="60"/>
        <w:ind w:left="993" w:hanging="574"/>
        <w:jc w:val="both"/>
        <w:rPr>
          <w:rStyle w:val="tlid-translation"/>
          <w:i/>
          <w:lang w:val="en"/>
        </w:rPr>
      </w:pPr>
      <w:r w:rsidRPr="00EF4D49">
        <w:rPr>
          <w:rFonts w:ascii="Times New Roman" w:hAnsi="Times New Roman" w:cs="Times New Roman"/>
        </w:rPr>
        <w:t>A csomagolással szemben támasztott általános és katonai követelmények.</w:t>
      </w:r>
      <w:r w:rsidRPr="00EF4D49">
        <w:rPr>
          <w:rStyle w:val="tlid-translation"/>
          <w:rFonts w:ascii="Times New Roman" w:hAnsi="Times New Roman" w:cs="Times New Roman"/>
          <w:lang w:val="en"/>
        </w:rPr>
        <w:t xml:space="preserve"> </w:t>
      </w:r>
      <w:r w:rsidRPr="00EF4D49">
        <w:rPr>
          <w:rStyle w:val="tlid-translation"/>
          <w:rFonts w:ascii="Times New Roman" w:hAnsi="Times New Roman" w:cs="Times New Roman"/>
          <w:i/>
          <w:lang w:val="en"/>
        </w:rPr>
        <w:t>(General and military requirements for packaging.)</w:t>
      </w:r>
    </w:p>
    <w:p w:rsidR="00EF4D49" w:rsidRPr="00EF4D49" w:rsidRDefault="00EF4D49" w:rsidP="00C14833">
      <w:pPr>
        <w:pStyle w:val="lfej"/>
        <w:numPr>
          <w:ilvl w:val="1"/>
          <w:numId w:val="120"/>
        </w:numPr>
        <w:tabs>
          <w:tab w:val="left" w:pos="708"/>
        </w:tabs>
        <w:spacing w:before="60"/>
        <w:ind w:left="993" w:hanging="574"/>
        <w:jc w:val="both"/>
        <w:rPr>
          <w:rStyle w:val="tlid-translation"/>
          <w:rFonts w:ascii="Times New Roman" w:hAnsi="Times New Roman" w:cs="Times New Roman"/>
          <w:i/>
          <w:lang w:val="en"/>
        </w:rPr>
      </w:pPr>
      <w:r w:rsidRPr="00EF4D49">
        <w:rPr>
          <w:rFonts w:ascii="Times New Roman" w:hAnsi="Times New Roman" w:cs="Times New Roman"/>
        </w:rPr>
        <w:t>Egységrakomány képző eszközök, egységrakomány-képzés és a csomagolás kapcsolata.</w:t>
      </w:r>
      <w:r w:rsidRPr="00EF4D49">
        <w:rPr>
          <w:rStyle w:val="tlid-translation"/>
          <w:rFonts w:ascii="Times New Roman" w:hAnsi="Times New Roman" w:cs="Times New Roman"/>
          <w:lang w:val="en"/>
        </w:rPr>
        <w:t xml:space="preserve"> </w:t>
      </w:r>
      <w:r w:rsidRPr="00EF4D49">
        <w:rPr>
          <w:rStyle w:val="tlid-translation"/>
          <w:rFonts w:ascii="Times New Roman" w:hAnsi="Times New Roman" w:cs="Times New Roman"/>
          <w:i/>
          <w:lang w:val="en"/>
        </w:rPr>
        <w:t>(Relationship between unit load devices, unit load training and packaging.)</w:t>
      </w:r>
    </w:p>
    <w:p w:rsidR="00EF4D49" w:rsidRPr="00EF4D49" w:rsidRDefault="00EF4D49" w:rsidP="00C14833">
      <w:pPr>
        <w:pStyle w:val="lfej"/>
        <w:numPr>
          <w:ilvl w:val="1"/>
          <w:numId w:val="120"/>
        </w:numPr>
        <w:tabs>
          <w:tab w:val="left" w:pos="708"/>
        </w:tabs>
        <w:spacing w:before="60"/>
        <w:ind w:left="993" w:hanging="574"/>
        <w:jc w:val="both"/>
        <w:rPr>
          <w:rStyle w:val="tlid-translation"/>
          <w:i/>
          <w:lang w:val="en"/>
        </w:rPr>
      </w:pPr>
      <w:r w:rsidRPr="00EF4D49">
        <w:rPr>
          <w:rFonts w:ascii="Times New Roman" w:hAnsi="Times New Roman" w:cs="Times New Roman"/>
        </w:rPr>
        <w:t>Egységrakományok kialakításának és elhelyezésének optimalizálási módszerei.</w:t>
      </w:r>
      <w:r w:rsidRPr="00EF4D49">
        <w:rPr>
          <w:rStyle w:val="tlid-translation"/>
          <w:rFonts w:ascii="Times New Roman" w:hAnsi="Times New Roman" w:cs="Times New Roman"/>
          <w:lang w:val="en"/>
        </w:rPr>
        <w:t xml:space="preserve"> </w:t>
      </w:r>
      <w:r w:rsidRPr="00EF4D49">
        <w:rPr>
          <w:rStyle w:val="tlid-translation"/>
          <w:rFonts w:ascii="Times New Roman" w:hAnsi="Times New Roman" w:cs="Times New Roman"/>
          <w:i/>
          <w:lang w:val="en"/>
        </w:rPr>
        <w:t>(Methods for optimizing the design and placement of unit loads.)</w:t>
      </w:r>
    </w:p>
    <w:p w:rsidR="00EF4D49" w:rsidRPr="00EF4D49" w:rsidRDefault="00EF4D49" w:rsidP="00C14833">
      <w:pPr>
        <w:pStyle w:val="lfej"/>
        <w:numPr>
          <w:ilvl w:val="1"/>
          <w:numId w:val="120"/>
        </w:numPr>
        <w:tabs>
          <w:tab w:val="left" w:pos="708"/>
        </w:tabs>
        <w:spacing w:before="60"/>
        <w:ind w:left="993" w:hanging="574"/>
        <w:jc w:val="both"/>
        <w:rPr>
          <w:rStyle w:val="tlid-translation"/>
          <w:i/>
          <w:lang w:val="en"/>
        </w:rPr>
      </w:pPr>
      <w:r w:rsidRPr="00EF4D49">
        <w:rPr>
          <w:rFonts w:ascii="Times New Roman" w:hAnsi="Times New Roman" w:cs="Times New Roman"/>
        </w:rPr>
        <w:t>A Magyar Honvédségben alkalmazott csomagoló eszközök, csomagolási technológiák, eljárások.</w:t>
      </w:r>
      <w:r w:rsidRPr="00EF4D49">
        <w:rPr>
          <w:rStyle w:val="tlid-translation"/>
          <w:rFonts w:ascii="Times New Roman" w:hAnsi="Times New Roman" w:cs="Times New Roman"/>
          <w:lang w:val="en"/>
        </w:rPr>
        <w:t xml:space="preserve"> </w:t>
      </w:r>
      <w:r w:rsidRPr="00EF4D49">
        <w:rPr>
          <w:rStyle w:val="tlid-translation"/>
          <w:rFonts w:ascii="Times New Roman" w:hAnsi="Times New Roman" w:cs="Times New Roman"/>
          <w:i/>
          <w:lang w:val="en"/>
        </w:rPr>
        <w:t>(Packaging equipment, packaging technologies, procedures applied in the Hungarian Defense Forces.)</w:t>
      </w:r>
    </w:p>
    <w:p w:rsidR="00EF4D49" w:rsidRPr="00EF4D49" w:rsidRDefault="00EF4D49" w:rsidP="00C14833">
      <w:pPr>
        <w:pStyle w:val="lfej"/>
        <w:numPr>
          <w:ilvl w:val="1"/>
          <w:numId w:val="120"/>
        </w:numPr>
        <w:tabs>
          <w:tab w:val="left" w:pos="708"/>
        </w:tabs>
        <w:spacing w:before="60"/>
        <w:ind w:left="993" w:hanging="574"/>
        <w:jc w:val="both"/>
        <w:rPr>
          <w:rFonts w:ascii="Times New Roman" w:hAnsi="Times New Roman" w:cs="Times New Roman"/>
        </w:rPr>
      </w:pPr>
      <w:r w:rsidRPr="00EF4D49">
        <w:rPr>
          <w:rFonts w:ascii="Times New Roman" w:hAnsi="Times New Roman" w:cs="Times New Roman"/>
        </w:rPr>
        <w:t xml:space="preserve">Rakományrögzítés módszerei és eszközrendszere. </w:t>
      </w:r>
      <w:r w:rsidRPr="00EF4D49">
        <w:rPr>
          <w:rStyle w:val="tlid-translation"/>
          <w:i/>
          <w:lang w:val="en"/>
        </w:rPr>
        <w:t>(</w:t>
      </w:r>
      <w:r w:rsidRPr="00EF4D49">
        <w:rPr>
          <w:rStyle w:val="tlid-translation"/>
          <w:rFonts w:ascii="Times New Roman" w:hAnsi="Times New Roman" w:cs="Times New Roman"/>
          <w:i/>
          <w:lang w:val="en"/>
        </w:rPr>
        <w:t>Cargo securing methods and tooling.)</w:t>
      </w:r>
    </w:p>
    <w:p w:rsidR="00EF4D49" w:rsidRPr="00EF4D49" w:rsidRDefault="00EF4D49" w:rsidP="00C14833">
      <w:pPr>
        <w:pStyle w:val="Listaszerbekezds"/>
        <w:numPr>
          <w:ilvl w:val="1"/>
          <w:numId w:val="120"/>
        </w:numPr>
        <w:spacing w:before="120" w:after="0" w:line="240" w:lineRule="auto"/>
        <w:ind w:left="993" w:hanging="574"/>
        <w:jc w:val="both"/>
        <w:rPr>
          <w:rStyle w:val="tlid-translation"/>
          <w:i/>
          <w:lang w:val="en"/>
        </w:rPr>
      </w:pPr>
      <w:r w:rsidRPr="00EF4D49">
        <w:rPr>
          <w:rFonts w:ascii="Times New Roman" w:hAnsi="Times New Roman" w:cs="Times New Roman"/>
        </w:rPr>
        <w:t>A katonai anyagok mozgatásában alkalmazott egységrakomány képző eszközök.</w:t>
      </w:r>
      <w:r w:rsidRPr="00EF4D49">
        <w:rPr>
          <w:rStyle w:val="tlid-translation"/>
          <w:rFonts w:ascii="Times New Roman" w:hAnsi="Times New Roman" w:cs="Times New Roman"/>
          <w:lang w:val="en"/>
        </w:rPr>
        <w:t xml:space="preserve"> </w:t>
      </w:r>
      <w:r w:rsidRPr="00EF4D49">
        <w:rPr>
          <w:rStyle w:val="tlid-translation"/>
          <w:rFonts w:ascii="Times New Roman" w:hAnsi="Times New Roman" w:cs="Times New Roman"/>
          <w:i/>
          <w:lang w:val="en"/>
        </w:rPr>
        <w:t>(Unit load forming devices used in the movement of military material.)</w:t>
      </w:r>
    </w:p>
    <w:p w:rsidR="00EF4D49" w:rsidRPr="00EF4D49" w:rsidRDefault="00EF4D49" w:rsidP="00C14833">
      <w:pPr>
        <w:pStyle w:val="lfej"/>
        <w:numPr>
          <w:ilvl w:val="1"/>
          <w:numId w:val="120"/>
        </w:numPr>
        <w:tabs>
          <w:tab w:val="left" w:pos="708"/>
        </w:tabs>
        <w:spacing w:before="60"/>
        <w:ind w:left="993" w:hanging="574"/>
        <w:jc w:val="both"/>
        <w:rPr>
          <w:rStyle w:val="tlid-translation"/>
          <w:rFonts w:ascii="Times New Roman" w:hAnsi="Times New Roman" w:cs="Times New Roman"/>
        </w:rPr>
      </w:pPr>
      <w:r w:rsidRPr="00EF4D49">
        <w:rPr>
          <w:rFonts w:ascii="Times New Roman" w:hAnsi="Times New Roman" w:cs="Times New Roman"/>
        </w:rPr>
        <w:t>Zárthelyi dolgozat.</w:t>
      </w:r>
      <w:r w:rsidRPr="00EF4D49">
        <w:rPr>
          <w:rStyle w:val="tlid-translation"/>
          <w:rFonts w:ascii="Times New Roman" w:hAnsi="Times New Roman" w:cs="Times New Roman"/>
          <w:lang w:val="en"/>
        </w:rPr>
        <w:t xml:space="preserve"> </w:t>
      </w:r>
      <w:r w:rsidRPr="00EF4D49">
        <w:rPr>
          <w:rStyle w:val="tlid-translation"/>
          <w:rFonts w:ascii="Times New Roman" w:hAnsi="Times New Roman" w:cs="Times New Roman"/>
          <w:i/>
          <w:lang w:val="en"/>
        </w:rPr>
        <w:t>(Closed thesis.)</w:t>
      </w:r>
    </w:p>
    <w:p w:rsidR="00EF4D49" w:rsidRPr="00EF4D49" w:rsidRDefault="00EF4D49" w:rsidP="00C14833">
      <w:pPr>
        <w:widowControl w:val="0"/>
        <w:numPr>
          <w:ilvl w:val="0"/>
          <w:numId w:val="120"/>
        </w:numPr>
        <w:tabs>
          <w:tab w:val="num" w:pos="360"/>
        </w:tabs>
        <w:spacing w:before="120" w:after="120" w:line="240" w:lineRule="auto"/>
        <w:ind w:left="426" w:hanging="142"/>
        <w:jc w:val="both"/>
        <w:rPr>
          <w:rFonts w:ascii="Times New Roman" w:eastAsia="Times New Roman" w:hAnsi="Times New Roman" w:cs="Times New Roman"/>
          <w:bCs/>
        </w:rPr>
      </w:pPr>
      <w:r w:rsidRPr="00EF4D49">
        <w:rPr>
          <w:rFonts w:ascii="Times New Roman" w:eastAsia="Times New Roman" w:hAnsi="Times New Roman" w:cs="Times New Roman"/>
          <w:b/>
          <w:bCs/>
        </w:rPr>
        <w:t xml:space="preserve">A tantárgy meghirdetésének gyakorisága/a tantervben történő félévi elhelyezkedése: </w:t>
      </w:r>
      <w:r w:rsidRPr="00EF4D49">
        <w:rPr>
          <w:rFonts w:ascii="Times New Roman" w:eastAsia="Times New Roman" w:hAnsi="Times New Roman" w:cs="Times New Roman"/>
          <w:bCs/>
        </w:rPr>
        <w:t>4. félév</w:t>
      </w:r>
    </w:p>
    <w:p w:rsidR="00EF4D49" w:rsidRPr="00EF4D49" w:rsidRDefault="00EF4D49" w:rsidP="00C14833">
      <w:pPr>
        <w:widowControl w:val="0"/>
        <w:numPr>
          <w:ilvl w:val="0"/>
          <w:numId w:val="120"/>
        </w:numPr>
        <w:tabs>
          <w:tab w:val="num" w:pos="360"/>
        </w:tabs>
        <w:spacing w:before="120" w:after="120" w:line="240" w:lineRule="auto"/>
        <w:ind w:left="426" w:hanging="142"/>
        <w:jc w:val="both"/>
        <w:rPr>
          <w:rFonts w:ascii="Times New Roman" w:eastAsia="Times New Roman" w:hAnsi="Times New Roman" w:cs="Times New Roman"/>
          <w:bCs/>
        </w:rPr>
      </w:pPr>
      <w:r w:rsidRPr="00EF4D49">
        <w:rPr>
          <w:rFonts w:ascii="Times New Roman" w:eastAsia="Times New Roman" w:hAnsi="Times New Roman" w:cs="Times New Roman"/>
          <w:b/>
          <w:bCs/>
        </w:rPr>
        <w:t>A tanórákon való részvétel követelményei, az elfogadható hiányzások mértéke, a távolmaradás pótlásának lehetősége:</w:t>
      </w:r>
      <w:r w:rsidRPr="00EF4D49">
        <w:rPr>
          <w:rFonts w:ascii="Times New Roman" w:eastAsia="Times New Roman" w:hAnsi="Times New Roman" w:cs="Times New Roman"/>
          <w:bCs/>
        </w:rPr>
        <w:t xml:space="preserve"> </w:t>
      </w:r>
    </w:p>
    <w:p w:rsidR="00EF4D49" w:rsidRPr="00EF4D49" w:rsidRDefault="00EF4D49" w:rsidP="00EF4D49">
      <w:pPr>
        <w:widowControl w:val="0"/>
        <w:spacing w:before="120" w:after="120" w:line="240" w:lineRule="auto"/>
        <w:ind w:left="426"/>
        <w:jc w:val="both"/>
        <w:rPr>
          <w:rFonts w:ascii="Times New Roman" w:eastAsia="Times New Roman" w:hAnsi="Times New Roman" w:cs="Times New Roman"/>
          <w:bCs/>
          <w:highlight w:val="lightGray"/>
        </w:rPr>
      </w:pPr>
      <w:r w:rsidRPr="00EF4D49">
        <w:rPr>
          <w:rFonts w:ascii="Times New Roman" w:eastAsia="Times New Roman" w:hAnsi="Times New Roman" w:cs="Times New Roman"/>
          <w:bCs/>
          <w:lang w:eastAsia="hu-HU"/>
        </w:rPr>
        <w:t>A tanórákon való részvétel kötelező, megengedett hiányzás mértéke 25%. Hiányzás esetén órapótlásra nincs lehetőség, a hallgató az előadás anyagát önállóan pótolja. A 25%-ot meghaladó hiányzás az aláírás megtagadását vonja maga után.</w:t>
      </w:r>
    </w:p>
    <w:p w:rsidR="00EF4D49" w:rsidRPr="00EF4D49" w:rsidRDefault="00EF4D49" w:rsidP="00C14833">
      <w:pPr>
        <w:widowControl w:val="0"/>
        <w:numPr>
          <w:ilvl w:val="0"/>
          <w:numId w:val="120"/>
        </w:numPr>
        <w:tabs>
          <w:tab w:val="num" w:pos="360"/>
        </w:tabs>
        <w:spacing w:before="120" w:after="120" w:line="240" w:lineRule="auto"/>
        <w:ind w:left="426" w:hanging="142"/>
        <w:jc w:val="both"/>
        <w:rPr>
          <w:rFonts w:ascii="Times New Roman" w:eastAsia="Times New Roman" w:hAnsi="Times New Roman" w:cs="Times New Roman"/>
          <w:bCs/>
        </w:rPr>
      </w:pPr>
      <w:r w:rsidRPr="00EF4D49">
        <w:rPr>
          <w:rFonts w:ascii="Times New Roman" w:eastAsia="Times New Roman" w:hAnsi="Times New Roman" w:cs="Times New Roman"/>
          <w:b/>
        </w:rPr>
        <w:t>Félévközi feladatok, ismeretek ellenőrzésének rendje:</w:t>
      </w:r>
      <w:r w:rsidRPr="00EF4D49">
        <w:rPr>
          <w:rFonts w:ascii="Times New Roman" w:eastAsia="Times New Roman" w:hAnsi="Times New Roman" w:cs="Times New Roman"/>
          <w:bCs/>
        </w:rPr>
        <w:t xml:space="preserve"> </w:t>
      </w:r>
    </w:p>
    <w:p w:rsidR="00EF4D49" w:rsidRPr="00EF4D49" w:rsidRDefault="00EF4D49" w:rsidP="00EF4D49">
      <w:pPr>
        <w:widowControl w:val="0"/>
        <w:spacing w:before="120" w:after="120" w:line="240" w:lineRule="auto"/>
        <w:ind w:left="360"/>
        <w:jc w:val="both"/>
        <w:rPr>
          <w:rFonts w:ascii="Times New Roman" w:eastAsia="Times New Roman" w:hAnsi="Times New Roman" w:cs="Times New Roman"/>
          <w:lang w:eastAsia="x-none"/>
        </w:rPr>
      </w:pPr>
      <w:r w:rsidRPr="00EF4D49">
        <w:rPr>
          <w:rFonts w:ascii="Times New Roman" w:eastAsia="Times New Roman" w:hAnsi="Times New Roman" w:cs="Times New Roman"/>
          <w:lang w:val="x-none" w:eastAsia="x-none"/>
        </w:rPr>
        <w:t>A félév során egy zárthelyi dolgozatot ke</w:t>
      </w:r>
      <w:r w:rsidRPr="00EF4D49">
        <w:rPr>
          <w:rFonts w:ascii="Times New Roman" w:eastAsia="Times New Roman" w:hAnsi="Times New Roman" w:cs="Times New Roman"/>
          <w:lang w:eastAsia="x-none"/>
        </w:rPr>
        <w:t>l</w:t>
      </w:r>
      <w:r w:rsidRPr="00EF4D49">
        <w:rPr>
          <w:rFonts w:ascii="Times New Roman" w:eastAsia="Times New Roman" w:hAnsi="Times New Roman" w:cs="Times New Roman"/>
          <w:lang w:val="x-none" w:eastAsia="x-none"/>
        </w:rPr>
        <w:t>l megír</w:t>
      </w:r>
      <w:r w:rsidRPr="00EF4D49">
        <w:rPr>
          <w:rFonts w:ascii="Times New Roman" w:eastAsia="Times New Roman" w:hAnsi="Times New Roman" w:cs="Times New Roman"/>
          <w:lang w:eastAsia="x-none"/>
        </w:rPr>
        <w:t>ni</w:t>
      </w:r>
      <w:r w:rsidRPr="00EF4D49">
        <w:rPr>
          <w:rFonts w:ascii="Times New Roman" w:eastAsia="Times New Roman" w:hAnsi="Times New Roman" w:cs="Times New Roman"/>
          <w:lang w:val="x-none" w:eastAsia="x-none"/>
        </w:rPr>
        <w:t xml:space="preserve">. </w:t>
      </w:r>
      <w:r w:rsidRPr="00EF4D49">
        <w:rPr>
          <w:rFonts w:ascii="Times New Roman" w:eastAsia="Times New Roman" w:hAnsi="Times New Roman" w:cs="Times New Roman"/>
          <w:lang w:eastAsia="x-none"/>
        </w:rPr>
        <w:t xml:space="preserve">A zárthelyi dolgozat ötfokozatú skálán értékelendő, 50%+1 pont elégséges, 60% közepes, 75% jó, 90% jeles. </w:t>
      </w:r>
      <w:r w:rsidRPr="00EF4D49">
        <w:rPr>
          <w:rFonts w:ascii="Times New Roman" w:eastAsia="Times New Roman" w:hAnsi="Times New Roman" w:cs="Times New Roman"/>
          <w:lang w:val="x-none" w:eastAsia="x-none"/>
        </w:rPr>
        <w:t xml:space="preserve">Az elégtelen osztályzatra értékelt dolgozatot a szorgalmi és a vizsgaidőszakban is egy-egy alkalommal lehet pótolni. </w:t>
      </w:r>
    </w:p>
    <w:p w:rsidR="00EF4D49" w:rsidRPr="00EF4D49" w:rsidRDefault="00EF4D49" w:rsidP="00EF4D49">
      <w:pPr>
        <w:widowControl w:val="0"/>
        <w:spacing w:before="120" w:after="120" w:line="240" w:lineRule="auto"/>
        <w:ind w:left="360"/>
        <w:jc w:val="both"/>
        <w:rPr>
          <w:rFonts w:ascii="Times New Roman" w:eastAsia="Times New Roman" w:hAnsi="Times New Roman" w:cs="Times New Roman"/>
          <w:lang w:eastAsia="x-none"/>
        </w:rPr>
      </w:pPr>
      <w:r w:rsidRPr="00EF4D49">
        <w:rPr>
          <w:rFonts w:ascii="Times New Roman" w:hAnsi="Times New Roman" w:cs="Times New Roman"/>
          <w:lang w:val="x-none" w:eastAsia="x-none"/>
        </w:rPr>
        <w:t xml:space="preserve">A félév során </w:t>
      </w:r>
      <w:r w:rsidRPr="00EF4D49">
        <w:rPr>
          <w:rFonts w:ascii="Times New Roman" w:hAnsi="Times New Roman" w:cs="Times New Roman"/>
          <w:lang w:eastAsia="x-none"/>
        </w:rPr>
        <w:t>egy</w:t>
      </w:r>
      <w:r w:rsidRPr="00EF4D49">
        <w:rPr>
          <w:rFonts w:ascii="Times New Roman" w:hAnsi="Times New Roman" w:cs="Times New Roman"/>
          <w:lang w:val="x-none" w:eastAsia="x-none"/>
        </w:rPr>
        <w:t xml:space="preserve"> házi feladatot kell elkészíteni minimálisan 10 oldal</w:t>
      </w:r>
      <w:r w:rsidRPr="00EF4D49">
        <w:rPr>
          <w:rFonts w:ascii="Times New Roman" w:hAnsi="Times New Roman" w:cs="Times New Roman"/>
          <w:b/>
          <w:lang w:val="x-none" w:eastAsia="x-none"/>
        </w:rPr>
        <w:t xml:space="preserve"> </w:t>
      </w:r>
      <w:r w:rsidRPr="00EF4D49">
        <w:rPr>
          <w:rFonts w:ascii="Times New Roman" w:hAnsi="Times New Roman" w:cs="Times New Roman"/>
          <w:lang w:val="x-none" w:eastAsia="x-none"/>
        </w:rPr>
        <w:t xml:space="preserve">terjedelemben, a szakdolgozatnak megfelelő formai követelményekkel </w:t>
      </w:r>
      <w:r w:rsidRPr="00EF4D49">
        <w:rPr>
          <w:rFonts w:ascii="Times New Roman" w:hAnsi="Times New Roman" w:cs="Times New Roman"/>
        </w:rPr>
        <w:t>(TVSZ 5. melléklet)</w:t>
      </w:r>
      <w:r w:rsidRPr="00EF4D49">
        <w:rPr>
          <w:rFonts w:ascii="Times New Roman" w:hAnsi="Times New Roman" w:cs="Times New Roman"/>
          <w:lang w:val="x-none" w:eastAsia="x-none"/>
        </w:rPr>
        <w:t xml:space="preserve">. </w:t>
      </w:r>
      <w:r w:rsidRPr="00EF4D49">
        <w:rPr>
          <w:rFonts w:ascii="Times New Roman" w:hAnsi="Times New Roman" w:cs="Times New Roman"/>
          <w:lang w:eastAsia="x-none"/>
        </w:rPr>
        <w:t xml:space="preserve">A 10 oldal terjedelembe a bevezető, a fő rész és a befejezés tartozik csak. </w:t>
      </w:r>
      <w:r w:rsidRPr="00EF4D49">
        <w:rPr>
          <w:rFonts w:ascii="Times New Roman" w:hAnsi="Times New Roman" w:cs="Times New Roman"/>
          <w:lang w:val="x-none" w:eastAsia="x-none"/>
        </w:rPr>
        <w:t>Az írásbeli munka témáját a hallgató választja</w:t>
      </w:r>
      <w:r w:rsidRPr="00EF4D49">
        <w:rPr>
          <w:rFonts w:ascii="Times New Roman" w:hAnsi="Times New Roman" w:cs="Times New Roman"/>
          <w:lang w:eastAsia="x-none"/>
        </w:rPr>
        <w:t>,</w:t>
      </w:r>
      <w:r w:rsidRPr="00EF4D49">
        <w:rPr>
          <w:rFonts w:ascii="Times New Roman" w:hAnsi="Times New Roman" w:cs="Times New Roman"/>
          <w:lang w:val="x-none" w:eastAsia="x-none"/>
        </w:rPr>
        <w:t xml:space="preserve"> a kurzus oktatója </w:t>
      </w:r>
      <w:r w:rsidRPr="00EF4D49">
        <w:rPr>
          <w:rFonts w:ascii="Times New Roman" w:hAnsi="Times New Roman" w:cs="Times New Roman"/>
          <w:lang w:eastAsia="x-none"/>
        </w:rPr>
        <w:t>jóváhagyja</w:t>
      </w:r>
      <w:r w:rsidRPr="00EF4D49">
        <w:rPr>
          <w:rFonts w:ascii="Times New Roman" w:hAnsi="Times New Roman" w:cs="Times New Roman"/>
          <w:lang w:val="x-none" w:eastAsia="x-none"/>
        </w:rPr>
        <w:t xml:space="preserve">. A szorgalmi időszakban a beadási határidőig leadott feladat </w:t>
      </w:r>
      <w:r w:rsidRPr="00EF4D49">
        <w:rPr>
          <w:rFonts w:ascii="Times New Roman" w:hAnsi="Times New Roman" w:cs="Times New Roman"/>
          <w:lang w:eastAsia="x-none"/>
        </w:rPr>
        <w:t>ötfokozatú skálán értékelendő</w:t>
      </w:r>
      <w:r w:rsidRPr="00EF4D49">
        <w:rPr>
          <w:rFonts w:ascii="Times New Roman" w:hAnsi="Times New Roman" w:cs="Times New Roman"/>
          <w:lang w:val="x-none" w:eastAsia="x-none"/>
        </w:rPr>
        <w:t>, azt javítani a vizsgaidőszak első hetén egy alkalommal lehet.</w:t>
      </w:r>
    </w:p>
    <w:p w:rsidR="00EF4D49" w:rsidRPr="00EF4D49" w:rsidRDefault="00EF4D49" w:rsidP="00C14833">
      <w:pPr>
        <w:widowControl w:val="0"/>
        <w:numPr>
          <w:ilvl w:val="0"/>
          <w:numId w:val="120"/>
        </w:numPr>
        <w:spacing w:before="120" w:after="120" w:line="240" w:lineRule="auto"/>
        <w:ind w:left="426" w:hanging="142"/>
        <w:jc w:val="both"/>
        <w:rPr>
          <w:rFonts w:ascii="Times New Roman" w:eastAsia="Times New Roman" w:hAnsi="Times New Roman" w:cs="Times New Roman"/>
          <w:b/>
          <w:bCs/>
        </w:rPr>
      </w:pPr>
      <w:r w:rsidRPr="00EF4D49">
        <w:rPr>
          <w:rFonts w:ascii="Times New Roman" w:eastAsia="Times New Roman" w:hAnsi="Times New Roman" w:cs="Times New Roman"/>
          <w:b/>
          <w:bCs/>
        </w:rPr>
        <w:t xml:space="preserve">Az értékelés, az aláírás és a kreditek megszerzésének pontos feltételei: </w:t>
      </w:r>
    </w:p>
    <w:p w:rsidR="00EF4D49" w:rsidRPr="00EF4D49" w:rsidRDefault="00EF4D49" w:rsidP="00C14833">
      <w:pPr>
        <w:widowControl w:val="0"/>
        <w:numPr>
          <w:ilvl w:val="1"/>
          <w:numId w:val="120"/>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EF4D49">
        <w:rPr>
          <w:rFonts w:ascii="Times New Roman" w:eastAsia="Times New Roman" w:hAnsi="Times New Roman" w:cs="Times New Roman"/>
          <w:b/>
        </w:rPr>
        <w:t>Az aláírás megszerzésének feltételei:</w:t>
      </w:r>
      <w:r w:rsidRPr="00EF4D49">
        <w:rPr>
          <w:rFonts w:ascii="Times New Roman" w:eastAsia="Times New Roman" w:hAnsi="Times New Roman" w:cs="Times New Roman"/>
        </w:rPr>
        <w:t xml:space="preserve"> </w:t>
      </w:r>
    </w:p>
    <w:p w:rsidR="00EF4D49" w:rsidRPr="00EF4D49" w:rsidRDefault="00EF4D49" w:rsidP="00EF4D49">
      <w:pPr>
        <w:spacing w:before="120"/>
        <w:ind w:left="426"/>
        <w:jc w:val="both"/>
        <w:rPr>
          <w:rFonts w:ascii="Times New Roman" w:hAnsi="Times New Roman" w:cs="Times New Roman"/>
        </w:rPr>
      </w:pPr>
      <w:r w:rsidRPr="00EF4D49">
        <w:rPr>
          <w:rFonts w:ascii="Times New Roman" w:hAnsi="Times New Roman" w:cs="Times New Roman"/>
        </w:rPr>
        <w:t xml:space="preserve">Az aláírás megszerzésnek feltétele a zárthelyi dolgozat legalább elégséges szinten történő teljesítése (min </w:t>
      </w:r>
      <w:r w:rsidRPr="00EF4D49">
        <w:rPr>
          <w:rFonts w:ascii="Times New Roman" w:eastAsia="Times New Roman" w:hAnsi="Times New Roman" w:cs="Times New Roman"/>
          <w:lang w:eastAsia="x-none"/>
        </w:rPr>
        <w:t>50%+1 pont</w:t>
      </w:r>
      <w:r w:rsidRPr="00EF4D49">
        <w:rPr>
          <w:rFonts w:ascii="Times New Roman" w:hAnsi="Times New Roman" w:cs="Times New Roman"/>
        </w:rPr>
        <w:t>), a kapott féléves feladat határidőre történő leadása és minimálisan elégséges szintű teljesítése, illetve a tanórák legalább 75%-án való megjelenés.</w:t>
      </w:r>
    </w:p>
    <w:p w:rsidR="00EF4D49" w:rsidRPr="00EF4D49" w:rsidRDefault="00EF4D49" w:rsidP="00C14833">
      <w:pPr>
        <w:widowControl w:val="0"/>
        <w:numPr>
          <w:ilvl w:val="1"/>
          <w:numId w:val="120"/>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EF4D49">
        <w:rPr>
          <w:rFonts w:ascii="Times New Roman" w:eastAsia="Times New Roman" w:hAnsi="Times New Roman" w:cs="Times New Roman"/>
          <w:b/>
        </w:rPr>
        <w:t>Az értékelés:</w:t>
      </w:r>
      <w:r w:rsidRPr="00EF4D49">
        <w:rPr>
          <w:rFonts w:ascii="Times New Roman" w:eastAsia="Times New Roman" w:hAnsi="Times New Roman" w:cs="Times New Roman"/>
        </w:rPr>
        <w:t xml:space="preserve"> </w:t>
      </w:r>
    </w:p>
    <w:p w:rsidR="00EF4D49" w:rsidRPr="00EF4D49" w:rsidRDefault="00EF4D49" w:rsidP="00EF4D49">
      <w:pPr>
        <w:spacing w:before="120"/>
        <w:ind w:left="426"/>
        <w:jc w:val="both"/>
        <w:rPr>
          <w:rFonts w:ascii="Times New Roman" w:hAnsi="Times New Roman" w:cs="Times New Roman"/>
          <w:b/>
        </w:rPr>
      </w:pPr>
      <w:r w:rsidRPr="00EF4D49">
        <w:rPr>
          <w:rFonts w:ascii="Times New Roman" w:hAnsi="Times New Roman" w:cs="Times New Roman"/>
          <w:lang w:val="x-none" w:eastAsia="x-none"/>
        </w:rPr>
        <w:t xml:space="preserve">A tantárgy </w:t>
      </w:r>
      <w:r>
        <w:rPr>
          <w:rFonts w:ascii="Times New Roman" w:hAnsi="Times New Roman" w:cs="Times New Roman"/>
          <w:b/>
          <w:lang w:eastAsia="x-none"/>
        </w:rPr>
        <w:t>gyakorlati</w:t>
      </w:r>
      <w:r w:rsidRPr="00EF4D49">
        <w:rPr>
          <w:rFonts w:ascii="Times New Roman" w:hAnsi="Times New Roman" w:cs="Times New Roman"/>
          <w:b/>
          <w:lang w:val="x-none" w:eastAsia="x-none"/>
        </w:rPr>
        <w:t xml:space="preserve"> jeggyel</w:t>
      </w:r>
      <w:r w:rsidRPr="00EF4D49">
        <w:rPr>
          <w:rFonts w:ascii="Times New Roman" w:hAnsi="Times New Roman" w:cs="Times New Roman"/>
          <w:lang w:val="x-none" w:eastAsia="x-none"/>
        </w:rPr>
        <w:t xml:space="preserve"> zárul, </w:t>
      </w:r>
      <w:r w:rsidRPr="00EF4D49">
        <w:rPr>
          <w:rFonts w:ascii="Times New Roman" w:hAnsi="Times New Roman" w:cs="Times New Roman"/>
          <w:lang w:eastAsia="x-none"/>
        </w:rPr>
        <w:t>a</w:t>
      </w:r>
      <w:r w:rsidRPr="00EF4D49">
        <w:rPr>
          <w:rFonts w:ascii="Times New Roman" w:hAnsi="Times New Roman" w:cs="Times New Roman"/>
          <w:lang w:val="x-none" w:eastAsia="x-none"/>
        </w:rPr>
        <w:t>mely a zárthelyi dolgozatra és a beadott házi feladatra kapott osztályzatok alapján kerül meghatározásra egyszerű számtani átlaggal.</w:t>
      </w:r>
      <w:r w:rsidRPr="00EF4D49">
        <w:rPr>
          <w:rFonts w:ascii="Times New Roman" w:hAnsi="Times New Roman" w:cs="Times New Roman"/>
        </w:rPr>
        <w:t xml:space="preserve"> Kétes jegy esetén (pl. 3,5) a zárthelyi </w:t>
      </w:r>
      <w:r>
        <w:rPr>
          <w:rFonts w:ascii="Times New Roman" w:hAnsi="Times New Roman" w:cs="Times New Roman"/>
        </w:rPr>
        <w:t>dolgozat érdrm</w:t>
      </w:r>
      <w:r w:rsidRPr="00EF4D49">
        <w:rPr>
          <w:rFonts w:ascii="Times New Roman" w:hAnsi="Times New Roman" w:cs="Times New Roman"/>
        </w:rPr>
        <w:t>jegyét súlyozottan kell beszámítani.</w:t>
      </w:r>
    </w:p>
    <w:p w:rsidR="00EF4D49" w:rsidRPr="00EF4D49" w:rsidRDefault="00EF4D49" w:rsidP="00C14833">
      <w:pPr>
        <w:widowControl w:val="0"/>
        <w:numPr>
          <w:ilvl w:val="1"/>
          <w:numId w:val="120"/>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EF4D49">
        <w:rPr>
          <w:rFonts w:ascii="Times New Roman" w:eastAsia="Times New Roman" w:hAnsi="Times New Roman" w:cs="Times New Roman"/>
          <w:b/>
        </w:rPr>
        <w:t>A kreditek megszerzésének feltételei:</w:t>
      </w:r>
      <w:r w:rsidRPr="00EF4D49">
        <w:rPr>
          <w:rFonts w:ascii="Times New Roman" w:eastAsia="Times New Roman" w:hAnsi="Times New Roman" w:cs="Times New Roman"/>
        </w:rPr>
        <w:t xml:space="preserve"> </w:t>
      </w:r>
    </w:p>
    <w:p w:rsidR="00EF4D49" w:rsidRPr="00EF4D49" w:rsidRDefault="00EF4D49" w:rsidP="00EF4D49">
      <w:pPr>
        <w:widowControl w:val="0"/>
        <w:tabs>
          <w:tab w:val="left" w:pos="993"/>
        </w:tabs>
        <w:spacing w:before="120" w:after="120" w:line="240" w:lineRule="auto"/>
        <w:ind w:left="426"/>
        <w:jc w:val="both"/>
        <w:rPr>
          <w:rFonts w:ascii="Times New Roman" w:eastAsia="Times New Roman" w:hAnsi="Times New Roman" w:cs="Times New Roman"/>
        </w:rPr>
      </w:pPr>
      <w:r w:rsidRPr="00EF4D49">
        <w:rPr>
          <w:rFonts w:ascii="Times New Roman" w:eastAsia="Times New Roman" w:hAnsi="Times New Roman" w:cs="Times New Roman"/>
        </w:rPr>
        <w:t xml:space="preserve">A kreditek megszerzésének feltétele az aláírás megszerzése és legalább elégséges </w:t>
      </w:r>
      <w:r>
        <w:rPr>
          <w:rFonts w:ascii="Times New Roman" w:eastAsia="Times New Roman" w:hAnsi="Times New Roman" w:cs="Times New Roman"/>
        </w:rPr>
        <w:t>gyakorlati</w:t>
      </w:r>
      <w:r w:rsidRPr="00EF4D49">
        <w:rPr>
          <w:rFonts w:ascii="Times New Roman" w:eastAsia="Times New Roman" w:hAnsi="Times New Roman" w:cs="Times New Roman"/>
        </w:rPr>
        <w:t xml:space="preserve"> jegy.</w:t>
      </w:r>
    </w:p>
    <w:p w:rsidR="0002585F" w:rsidRDefault="0002585F">
      <w:pPr>
        <w:spacing w:after="200" w:line="276" w:lineRule="auto"/>
        <w:rPr>
          <w:rFonts w:ascii="Times New Roman" w:eastAsia="Times New Roman" w:hAnsi="Times New Roman" w:cs="Times New Roman"/>
          <w:b/>
          <w:bCs/>
        </w:rPr>
      </w:pPr>
      <w:r>
        <w:rPr>
          <w:rFonts w:ascii="Times New Roman" w:eastAsia="Times New Roman" w:hAnsi="Times New Roman" w:cs="Times New Roman"/>
          <w:b/>
          <w:bCs/>
        </w:rPr>
        <w:br w:type="page"/>
      </w:r>
    </w:p>
    <w:p w:rsidR="00EF4D49" w:rsidRPr="00EF4D49" w:rsidRDefault="00EF4D49" w:rsidP="00C14833">
      <w:pPr>
        <w:widowControl w:val="0"/>
        <w:numPr>
          <w:ilvl w:val="0"/>
          <w:numId w:val="120"/>
        </w:numPr>
        <w:tabs>
          <w:tab w:val="num" w:pos="360"/>
        </w:tabs>
        <w:spacing w:before="120" w:after="120" w:line="240" w:lineRule="auto"/>
        <w:ind w:left="426" w:hanging="142"/>
        <w:jc w:val="both"/>
        <w:rPr>
          <w:rFonts w:ascii="Times New Roman" w:eastAsia="Times New Roman" w:hAnsi="Times New Roman" w:cs="Times New Roman"/>
          <w:bCs/>
        </w:rPr>
      </w:pPr>
      <w:r w:rsidRPr="00EF4D49">
        <w:rPr>
          <w:rFonts w:ascii="Times New Roman" w:eastAsia="Times New Roman" w:hAnsi="Times New Roman" w:cs="Times New Roman"/>
          <w:b/>
          <w:bCs/>
        </w:rPr>
        <w:lastRenderedPageBreak/>
        <w:t>Irodalomjegyzék:</w:t>
      </w:r>
    </w:p>
    <w:p w:rsidR="00EF4D49" w:rsidRPr="00EF4D49" w:rsidRDefault="00EF4D49" w:rsidP="00C14833">
      <w:pPr>
        <w:widowControl w:val="0"/>
        <w:numPr>
          <w:ilvl w:val="1"/>
          <w:numId w:val="120"/>
        </w:numPr>
        <w:tabs>
          <w:tab w:val="left" w:pos="567"/>
          <w:tab w:val="left" w:pos="851"/>
          <w:tab w:val="num" w:pos="2069"/>
        </w:tabs>
        <w:spacing w:before="120" w:after="120" w:line="240" w:lineRule="auto"/>
        <w:ind w:left="426" w:hanging="142"/>
        <w:jc w:val="both"/>
        <w:rPr>
          <w:rFonts w:ascii="Times New Roman" w:eastAsia="Times New Roman" w:hAnsi="Times New Roman" w:cs="Times New Roman"/>
          <w:bCs/>
        </w:rPr>
      </w:pPr>
      <w:r w:rsidRPr="00EF4D49">
        <w:rPr>
          <w:rFonts w:ascii="Times New Roman" w:eastAsia="Times New Roman" w:hAnsi="Times New Roman" w:cs="Times New Roman"/>
          <w:b/>
          <w:bCs/>
        </w:rPr>
        <w:t>Kötelező irodalom:</w:t>
      </w:r>
    </w:p>
    <w:p w:rsidR="00EF4D49" w:rsidRPr="00EF4D49" w:rsidRDefault="0002585F" w:rsidP="00980876">
      <w:pPr>
        <w:pStyle w:val="Listaszerbekezds"/>
        <w:numPr>
          <w:ilvl w:val="0"/>
          <w:numId w:val="750"/>
        </w:numPr>
        <w:spacing w:after="0" w:line="240" w:lineRule="auto"/>
        <w:ind w:left="709"/>
        <w:jc w:val="both"/>
        <w:rPr>
          <w:rFonts w:ascii="Times New Roman" w:hAnsi="Times New Roman" w:cs="Times New Roman"/>
        </w:rPr>
      </w:pPr>
      <w:r>
        <w:rPr>
          <w:rFonts w:ascii="Times New Roman" w:hAnsi="Times New Roman" w:cs="Times New Roman"/>
        </w:rPr>
        <w:t>Páncél Zoltán: Anyagmozgatás, csomagolás, raktározás, Széchenyi István Egyetem, Győr, 2006.</w:t>
      </w:r>
    </w:p>
    <w:p w:rsidR="00EF4D49" w:rsidRDefault="00EF4D49" w:rsidP="00980876">
      <w:pPr>
        <w:pStyle w:val="Listaszerbekezds"/>
        <w:numPr>
          <w:ilvl w:val="0"/>
          <w:numId w:val="750"/>
        </w:numPr>
        <w:spacing w:after="0" w:line="240" w:lineRule="auto"/>
        <w:ind w:left="709"/>
        <w:jc w:val="both"/>
        <w:rPr>
          <w:rFonts w:ascii="Times New Roman" w:hAnsi="Times New Roman" w:cs="Times New Roman"/>
        </w:rPr>
      </w:pPr>
      <w:r w:rsidRPr="00EF4D49">
        <w:rPr>
          <w:rFonts w:ascii="Times New Roman" w:hAnsi="Times New Roman" w:cs="Times New Roman"/>
        </w:rPr>
        <w:t xml:space="preserve">Kerekes Titusz: Bevezetés a csomagolástechnikába I.-II. (Papír-Press Egyesülés, Budapest, 1996.) ISBN 963 85543 0 </w:t>
      </w:r>
    </w:p>
    <w:p w:rsidR="00EF4D49" w:rsidRPr="00EF4D49" w:rsidRDefault="00EF4D49" w:rsidP="00C14833">
      <w:pPr>
        <w:widowControl w:val="0"/>
        <w:numPr>
          <w:ilvl w:val="1"/>
          <w:numId w:val="120"/>
        </w:numPr>
        <w:tabs>
          <w:tab w:val="left" w:pos="567"/>
          <w:tab w:val="left" w:pos="851"/>
          <w:tab w:val="num" w:pos="2069"/>
        </w:tabs>
        <w:spacing w:before="120" w:after="120" w:line="240" w:lineRule="auto"/>
        <w:ind w:left="426" w:hanging="142"/>
        <w:jc w:val="both"/>
        <w:rPr>
          <w:rFonts w:ascii="Times New Roman" w:eastAsia="Times New Roman" w:hAnsi="Times New Roman" w:cs="Times New Roman"/>
          <w:b/>
          <w:bCs/>
        </w:rPr>
      </w:pPr>
      <w:r w:rsidRPr="00EF4D49">
        <w:rPr>
          <w:rFonts w:ascii="Times New Roman" w:eastAsia="Times New Roman" w:hAnsi="Times New Roman" w:cs="Times New Roman"/>
          <w:b/>
          <w:bCs/>
        </w:rPr>
        <w:t>Ajánlott irodalom:</w:t>
      </w:r>
    </w:p>
    <w:p w:rsidR="00EF4D49" w:rsidRPr="00EF4D49" w:rsidRDefault="00EF4D49" w:rsidP="00C14833">
      <w:pPr>
        <w:pStyle w:val="Listaszerbekezds"/>
        <w:numPr>
          <w:ilvl w:val="0"/>
          <w:numId w:val="119"/>
        </w:numPr>
        <w:spacing w:after="0" w:line="240" w:lineRule="auto"/>
        <w:ind w:left="709"/>
        <w:jc w:val="both"/>
        <w:rPr>
          <w:rFonts w:ascii="Times New Roman" w:hAnsi="Times New Roman" w:cs="Times New Roman"/>
        </w:rPr>
      </w:pPr>
      <w:r w:rsidRPr="00EF4D49">
        <w:rPr>
          <w:rFonts w:ascii="Times New Roman" w:hAnsi="Times New Roman" w:cs="Times New Roman"/>
        </w:rPr>
        <w:t xml:space="preserve">Dr. Magyary-Kossa Béla: Csomagolás szervezés és – szabályozás (Papír-Press Egyesülés, Budapest, 1998.) 1998 ISBN 963 85543 3 1 </w:t>
      </w:r>
    </w:p>
    <w:p w:rsidR="00B24C6E" w:rsidRPr="00EF4D49" w:rsidRDefault="00B24C6E" w:rsidP="00C14833">
      <w:pPr>
        <w:pStyle w:val="Listaszerbekezds"/>
        <w:numPr>
          <w:ilvl w:val="0"/>
          <w:numId w:val="119"/>
        </w:numPr>
        <w:spacing w:after="0" w:line="240" w:lineRule="auto"/>
        <w:ind w:left="709"/>
        <w:jc w:val="both"/>
        <w:rPr>
          <w:rFonts w:ascii="Times New Roman" w:hAnsi="Times New Roman" w:cs="Times New Roman"/>
        </w:rPr>
      </w:pPr>
      <w:r w:rsidRPr="0002585F">
        <w:rPr>
          <w:rFonts w:ascii="Times New Roman" w:hAnsi="Times New Roman" w:cs="Times New Roman"/>
        </w:rPr>
        <w:t>Tiefbrunner, A</w:t>
      </w:r>
      <w:r>
        <w:rPr>
          <w:rFonts w:ascii="Times New Roman" w:hAnsi="Times New Roman" w:cs="Times New Roman"/>
        </w:rPr>
        <w:t>nna</w:t>
      </w:r>
      <w:r w:rsidRPr="0002585F">
        <w:rPr>
          <w:rFonts w:ascii="Times New Roman" w:hAnsi="Times New Roman" w:cs="Times New Roman"/>
        </w:rPr>
        <w:t>: Csomagolás – Trendek és kérdések, CompLex kiadó, 2010.</w:t>
      </w:r>
      <w:r>
        <w:rPr>
          <w:rFonts w:ascii="Times New Roman" w:hAnsi="Times New Roman" w:cs="Times New Roman"/>
        </w:rPr>
        <w:t>,</w:t>
      </w:r>
      <w:r w:rsidRPr="00B24C6E">
        <w:rPr>
          <w:rFonts w:ascii="Times New Roman" w:hAnsi="Times New Roman" w:cs="Times New Roman"/>
        </w:rPr>
        <w:t xml:space="preserve"> </w:t>
      </w:r>
      <w:r w:rsidRPr="0002585F">
        <w:rPr>
          <w:rFonts w:ascii="Times New Roman" w:hAnsi="Times New Roman" w:cs="Times New Roman"/>
        </w:rPr>
        <w:t>ISBN: 9789632951195</w:t>
      </w:r>
    </w:p>
    <w:p w:rsidR="00EF4D49" w:rsidRPr="00EF4D49" w:rsidRDefault="00EF4D49" w:rsidP="00EF4D49">
      <w:pPr>
        <w:pStyle w:val="Listaszerbekezds"/>
        <w:spacing w:after="0" w:line="240" w:lineRule="auto"/>
        <w:ind w:left="709"/>
        <w:jc w:val="both"/>
        <w:rPr>
          <w:rFonts w:ascii="Times New Roman" w:hAnsi="Times New Roman" w:cs="Times New Roman"/>
        </w:rPr>
      </w:pPr>
    </w:p>
    <w:p w:rsidR="00EF4D49" w:rsidRPr="00331F21" w:rsidRDefault="00EF4D49" w:rsidP="00EF4D49">
      <w:pPr>
        <w:tabs>
          <w:tab w:val="right" w:pos="900"/>
        </w:tabs>
        <w:spacing w:before="120"/>
        <w:ind w:left="1985" w:hanging="1980"/>
        <w:jc w:val="both"/>
        <w:rPr>
          <w:rFonts w:ascii="Times New Roman" w:hAnsi="Times New Roman" w:cs="Times New Roman"/>
          <w:bCs/>
          <w:lang w:eastAsia="x-none"/>
        </w:rPr>
      </w:pPr>
      <w:r>
        <w:rPr>
          <w:rFonts w:ascii="Times New Roman" w:hAnsi="Times New Roman" w:cs="Times New Roman"/>
          <w:bCs/>
          <w:lang w:eastAsia="x-none"/>
        </w:rPr>
        <w:t>Budapest. 2020</w:t>
      </w:r>
      <w:r w:rsidR="0002585F">
        <w:rPr>
          <w:rFonts w:ascii="Times New Roman" w:hAnsi="Times New Roman" w:cs="Times New Roman"/>
          <w:bCs/>
          <w:lang w:eastAsia="x-none"/>
        </w:rPr>
        <w:t>.</w:t>
      </w:r>
      <w:r>
        <w:rPr>
          <w:rFonts w:ascii="Times New Roman" w:hAnsi="Times New Roman" w:cs="Times New Roman"/>
          <w:bCs/>
          <w:lang w:eastAsia="x-none"/>
        </w:rPr>
        <w:t xml:space="preserve"> március         -n</w:t>
      </w:r>
    </w:p>
    <w:p w:rsidR="00EF4D49" w:rsidRPr="00EF4D49" w:rsidRDefault="00EF4D49" w:rsidP="00EF4D49">
      <w:pPr>
        <w:tabs>
          <w:tab w:val="right" w:pos="900"/>
        </w:tabs>
        <w:spacing w:before="120"/>
        <w:ind w:left="1985" w:hanging="1980"/>
        <w:jc w:val="both"/>
        <w:rPr>
          <w:rFonts w:ascii="Times New Roman" w:hAnsi="Times New Roman" w:cs="Times New Roman"/>
          <w:bCs/>
          <w:lang w:eastAsia="x-none"/>
        </w:rPr>
      </w:pPr>
    </w:p>
    <w:p w:rsidR="00EF4D49" w:rsidRPr="00EF4D49" w:rsidRDefault="00EF4D49" w:rsidP="00EF4D49">
      <w:pPr>
        <w:tabs>
          <w:tab w:val="right" w:pos="900"/>
        </w:tabs>
        <w:spacing w:after="0"/>
        <w:rPr>
          <w:rFonts w:ascii="Times New Roman" w:hAnsi="Times New Roman" w:cs="Times New Roman"/>
          <w:bCs/>
          <w:lang w:val="x-none" w:eastAsia="x-none"/>
        </w:rPr>
      </w:pPr>
      <w:r w:rsidRPr="00EF4D49">
        <w:rPr>
          <w:rFonts w:ascii="Times New Roman" w:hAnsi="Times New Roman" w:cs="Times New Roman"/>
          <w:b/>
          <w:lang w:eastAsia="x-none"/>
        </w:rPr>
        <w:tab/>
      </w:r>
      <w:r w:rsidRPr="00EF4D49">
        <w:rPr>
          <w:rFonts w:ascii="Times New Roman" w:hAnsi="Times New Roman" w:cs="Times New Roman"/>
          <w:b/>
          <w:lang w:eastAsia="x-none"/>
        </w:rPr>
        <w:tab/>
      </w:r>
      <w:r w:rsidRPr="00EF4D49">
        <w:rPr>
          <w:rFonts w:ascii="Times New Roman" w:hAnsi="Times New Roman" w:cs="Times New Roman"/>
          <w:b/>
          <w:lang w:eastAsia="x-none"/>
        </w:rPr>
        <w:tab/>
      </w:r>
      <w:r w:rsidRPr="00EF4D49">
        <w:rPr>
          <w:rFonts w:ascii="Times New Roman" w:hAnsi="Times New Roman" w:cs="Times New Roman"/>
          <w:b/>
          <w:lang w:eastAsia="x-none"/>
        </w:rPr>
        <w:tab/>
      </w:r>
      <w:r w:rsidRPr="00EF4D49">
        <w:rPr>
          <w:rFonts w:ascii="Times New Roman" w:hAnsi="Times New Roman" w:cs="Times New Roman"/>
          <w:b/>
          <w:lang w:eastAsia="x-none"/>
        </w:rPr>
        <w:tab/>
      </w:r>
      <w:r w:rsidRPr="00EF4D49">
        <w:rPr>
          <w:rFonts w:ascii="Times New Roman" w:hAnsi="Times New Roman" w:cs="Times New Roman"/>
          <w:b/>
          <w:lang w:eastAsia="x-none"/>
        </w:rPr>
        <w:tab/>
        <w:t xml:space="preserve">  </w:t>
      </w:r>
      <w:r w:rsidRPr="00EF4D49">
        <w:rPr>
          <w:rFonts w:ascii="Times New Roman" w:hAnsi="Times New Roman" w:cs="Times New Roman"/>
          <w:b/>
          <w:lang w:eastAsia="x-none"/>
        </w:rPr>
        <w:tab/>
        <w:t xml:space="preserve">      Dr. Szászi Gábor egyetemi docens, PhD</w:t>
      </w:r>
    </w:p>
    <w:p w:rsidR="00EF4D49" w:rsidRPr="00EF4D49" w:rsidRDefault="00EF4D49" w:rsidP="00EF4D49">
      <w:pPr>
        <w:spacing w:after="0"/>
        <w:ind w:left="5672" w:firstLine="709"/>
        <w:rPr>
          <w:rFonts w:ascii="Times New Roman" w:hAnsi="Times New Roman" w:cs="Times New Roman"/>
        </w:rPr>
      </w:pPr>
      <w:r w:rsidRPr="00EF4D49">
        <w:rPr>
          <w:rFonts w:ascii="Times New Roman" w:hAnsi="Times New Roman" w:cs="Times New Roman"/>
          <w:bCs/>
        </w:rPr>
        <w:t>tantárgyfelelős</w:t>
      </w:r>
    </w:p>
    <w:p w:rsidR="00EF4D49" w:rsidRDefault="00EF4D49">
      <w:pPr>
        <w:spacing w:after="200" w:line="276" w:lineRule="auto"/>
        <w:rPr>
          <w:rFonts w:ascii="Times New Roman" w:hAnsi="Times New Roman" w:cs="Times New Roman"/>
          <w:sz w:val="24"/>
        </w:rPr>
      </w:pPr>
    </w:p>
    <w:p w:rsidR="00EF4D49" w:rsidRDefault="00EF4D49">
      <w:pPr>
        <w:spacing w:after="200" w:line="276" w:lineRule="auto"/>
        <w:rPr>
          <w:rFonts w:ascii="Times New Roman" w:hAnsi="Times New Roman" w:cs="Times New Roman"/>
          <w:sz w:val="24"/>
        </w:rPr>
      </w:pPr>
      <w:r>
        <w:rPr>
          <w:rFonts w:ascii="Times New Roman" w:hAnsi="Times New Roman" w:cs="Times New Roman"/>
          <w:sz w:val="24"/>
        </w:rPr>
        <w:br w:type="page"/>
      </w:r>
    </w:p>
    <w:tbl>
      <w:tblPr>
        <w:tblW w:w="9072" w:type="dxa"/>
        <w:tblInd w:w="113" w:type="dxa"/>
        <w:tblLook w:val="01E0" w:firstRow="1" w:lastRow="1" w:firstColumn="1" w:lastColumn="1" w:noHBand="0" w:noVBand="0"/>
      </w:tblPr>
      <w:tblGrid>
        <w:gridCol w:w="4855"/>
        <w:gridCol w:w="1620"/>
        <w:gridCol w:w="2597"/>
      </w:tblGrid>
      <w:tr w:rsidR="00F9363F" w:rsidTr="00F9363F">
        <w:tc>
          <w:tcPr>
            <w:tcW w:w="4855" w:type="dxa"/>
            <w:tcBorders>
              <w:top w:val="nil"/>
              <w:left w:val="nil"/>
              <w:bottom w:val="single" w:sz="4" w:space="0" w:color="auto"/>
              <w:right w:val="nil"/>
            </w:tcBorders>
            <w:hideMark/>
          </w:tcPr>
          <w:p w:rsidR="00F9363F" w:rsidRDefault="00F9363F">
            <w:pPr>
              <w:spacing w:after="0" w:line="240" w:lineRule="auto"/>
              <w:jc w:val="center"/>
              <w:rPr>
                <w:rFonts w:ascii="Times New Roman" w:eastAsia="Times New Roman" w:hAnsi="Times New Roman" w:cs="Times New Roman"/>
                <w:b/>
                <w:smallCaps/>
                <w:lang w:eastAsia="hu-HU"/>
              </w:rPr>
            </w:pPr>
            <w:r>
              <w:rPr>
                <w:rFonts w:ascii="Times New Roman" w:eastAsia="Times New Roman" w:hAnsi="Times New Roman" w:cs="Times New Roman"/>
                <w:b/>
                <w:smallCaps/>
                <w:lang w:eastAsia="hu-HU"/>
              </w:rPr>
              <w:lastRenderedPageBreak/>
              <w:t>Nemzeti Közszolgálati Egyetem</w:t>
            </w:r>
          </w:p>
        </w:tc>
        <w:tc>
          <w:tcPr>
            <w:tcW w:w="1620" w:type="dxa"/>
          </w:tcPr>
          <w:p w:rsidR="00F9363F" w:rsidRDefault="00F9363F">
            <w:pPr>
              <w:spacing w:after="0" w:line="240" w:lineRule="auto"/>
              <w:jc w:val="both"/>
              <w:rPr>
                <w:rFonts w:ascii="Times New Roman" w:eastAsia="Times New Roman" w:hAnsi="Times New Roman" w:cs="Times New Roman"/>
                <w:lang w:eastAsia="hu-HU"/>
              </w:rPr>
            </w:pPr>
          </w:p>
        </w:tc>
        <w:tc>
          <w:tcPr>
            <w:tcW w:w="2597" w:type="dxa"/>
          </w:tcPr>
          <w:p w:rsidR="00F9363F" w:rsidRDefault="00F9363F">
            <w:pPr>
              <w:spacing w:after="0" w:line="240" w:lineRule="auto"/>
              <w:jc w:val="right"/>
              <w:rPr>
                <w:rFonts w:ascii="Times New Roman" w:eastAsia="Times New Roman" w:hAnsi="Times New Roman" w:cs="Times New Roman"/>
                <w:lang w:eastAsia="hu-HU"/>
              </w:rPr>
            </w:pPr>
          </w:p>
        </w:tc>
      </w:tr>
      <w:tr w:rsidR="00F9363F" w:rsidTr="00F9363F">
        <w:tc>
          <w:tcPr>
            <w:tcW w:w="4855" w:type="dxa"/>
            <w:tcBorders>
              <w:top w:val="single" w:sz="4" w:space="0" w:color="auto"/>
              <w:left w:val="nil"/>
              <w:bottom w:val="nil"/>
              <w:right w:val="nil"/>
            </w:tcBorders>
            <w:hideMark/>
          </w:tcPr>
          <w:p w:rsidR="00F9363F" w:rsidRDefault="00F9363F">
            <w:pPr>
              <w:spacing w:after="0" w:line="240" w:lineRule="auto"/>
              <w:jc w:val="center"/>
              <w:rPr>
                <w:rFonts w:ascii="Times New Roman" w:eastAsia="Times New Roman" w:hAnsi="Times New Roman" w:cs="Times New Roman"/>
                <w:b/>
                <w:lang w:eastAsia="hu-HU"/>
              </w:rPr>
            </w:pPr>
            <w:r>
              <w:rPr>
                <w:rFonts w:ascii="Times New Roman" w:eastAsia="Times New Roman" w:hAnsi="Times New Roman" w:cs="Times New Roman"/>
                <w:b/>
                <w:lang w:eastAsia="hu-HU"/>
              </w:rPr>
              <w:t>Hadtudományi és Honvédtisztképző Kar</w:t>
            </w:r>
          </w:p>
        </w:tc>
        <w:tc>
          <w:tcPr>
            <w:tcW w:w="1620" w:type="dxa"/>
          </w:tcPr>
          <w:p w:rsidR="00F9363F" w:rsidRDefault="00F9363F">
            <w:pPr>
              <w:spacing w:after="0" w:line="240" w:lineRule="auto"/>
              <w:jc w:val="both"/>
              <w:rPr>
                <w:rFonts w:ascii="Times New Roman" w:eastAsia="Times New Roman" w:hAnsi="Times New Roman" w:cs="Times New Roman"/>
                <w:lang w:eastAsia="hu-HU"/>
              </w:rPr>
            </w:pPr>
          </w:p>
        </w:tc>
        <w:tc>
          <w:tcPr>
            <w:tcW w:w="2597" w:type="dxa"/>
          </w:tcPr>
          <w:p w:rsidR="00F9363F" w:rsidRDefault="00F9363F">
            <w:pPr>
              <w:spacing w:after="0" w:line="240" w:lineRule="auto"/>
              <w:jc w:val="both"/>
              <w:rPr>
                <w:rFonts w:ascii="Times New Roman" w:eastAsia="Times New Roman" w:hAnsi="Times New Roman" w:cs="Times New Roman"/>
                <w:lang w:eastAsia="hu-HU"/>
              </w:rPr>
            </w:pPr>
          </w:p>
        </w:tc>
      </w:tr>
    </w:tbl>
    <w:p w:rsidR="00F9363F" w:rsidRDefault="00F9363F" w:rsidP="00F9363F">
      <w:pPr>
        <w:widowControl w:val="0"/>
        <w:spacing w:before="120" w:after="120" w:line="240" w:lineRule="auto"/>
        <w:ind w:left="426" w:hanging="142"/>
        <w:jc w:val="center"/>
        <w:rPr>
          <w:rFonts w:ascii="Times New Roman" w:eastAsia="Times New Roman" w:hAnsi="Times New Roman" w:cs="Times New Roman"/>
          <w:b/>
          <w:bCs/>
        </w:rPr>
      </w:pPr>
    </w:p>
    <w:p w:rsidR="00F9363F" w:rsidRDefault="00F9363F" w:rsidP="00F9363F">
      <w:pPr>
        <w:widowControl w:val="0"/>
        <w:spacing w:before="120" w:after="120" w:line="240" w:lineRule="auto"/>
        <w:ind w:left="426" w:hanging="142"/>
        <w:jc w:val="center"/>
        <w:rPr>
          <w:rFonts w:ascii="Times New Roman" w:eastAsia="Times New Roman" w:hAnsi="Times New Roman" w:cs="Times New Roman"/>
          <w:b/>
          <w:bCs/>
        </w:rPr>
      </w:pPr>
      <w:r>
        <w:rPr>
          <w:rFonts w:ascii="Times New Roman" w:eastAsia="Times New Roman" w:hAnsi="Times New Roman" w:cs="Times New Roman"/>
          <w:b/>
          <w:bCs/>
        </w:rPr>
        <w:t>TANTÁRGYI PROGRAM</w:t>
      </w:r>
    </w:p>
    <w:p w:rsidR="00F9363F" w:rsidRDefault="00F9363F" w:rsidP="00C14833">
      <w:pPr>
        <w:widowControl w:val="0"/>
        <w:numPr>
          <w:ilvl w:val="0"/>
          <w:numId w:val="121"/>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 tantárgy kódja: </w:t>
      </w:r>
      <w:r>
        <w:rPr>
          <w:rFonts w:ascii="Times New Roman" w:eastAsia="Times New Roman" w:hAnsi="Times New Roman" w:cs="Times New Roman"/>
          <w:bCs/>
        </w:rPr>
        <w:t>HKHPKA17</w:t>
      </w:r>
    </w:p>
    <w:p w:rsidR="00F9363F" w:rsidRDefault="00F9363F" w:rsidP="00C14833">
      <w:pPr>
        <w:widowControl w:val="0"/>
        <w:numPr>
          <w:ilvl w:val="0"/>
          <w:numId w:val="121"/>
        </w:numPr>
        <w:spacing w:before="120" w:after="120" w:line="240" w:lineRule="auto"/>
        <w:ind w:left="426" w:hanging="142"/>
        <w:jc w:val="both"/>
        <w:rPr>
          <w:rFonts w:ascii="Times New Roman" w:eastAsia="Times New Roman" w:hAnsi="Times New Roman" w:cs="Times New Roman"/>
          <w:b/>
          <w:bCs/>
          <w:lang w:val="en-GB"/>
        </w:rPr>
      </w:pPr>
      <w:r>
        <w:rPr>
          <w:rFonts w:ascii="Times New Roman" w:eastAsia="Times New Roman" w:hAnsi="Times New Roman" w:cs="Times New Roman"/>
          <w:b/>
          <w:bCs/>
        </w:rPr>
        <w:t>A tantárgy megnevezése (magyarul):</w:t>
      </w:r>
      <w:r>
        <w:rPr>
          <w:rFonts w:ascii="Times New Roman" w:eastAsia="Times New Roman" w:hAnsi="Times New Roman" w:cs="Times New Roman"/>
          <w:bCs/>
        </w:rPr>
        <w:t xml:space="preserve"> </w:t>
      </w:r>
      <w:r>
        <w:rPr>
          <w:rFonts w:ascii="Times New Roman" w:hAnsi="Times New Roman" w:cs="Times New Roman"/>
          <w:bCs/>
        </w:rPr>
        <w:t>Békefenntartó</w:t>
      </w:r>
      <w:r w:rsidR="00703AFF">
        <w:rPr>
          <w:rFonts w:ascii="Times New Roman" w:hAnsi="Times New Roman" w:cs="Times New Roman"/>
          <w:bCs/>
        </w:rPr>
        <w:t>i</w:t>
      </w:r>
      <w:r>
        <w:rPr>
          <w:rFonts w:ascii="Times New Roman" w:hAnsi="Times New Roman" w:cs="Times New Roman"/>
          <w:bCs/>
        </w:rPr>
        <w:t xml:space="preserve"> ismeretek</w:t>
      </w:r>
    </w:p>
    <w:p w:rsidR="00F9363F" w:rsidRDefault="00F9363F" w:rsidP="00C14833">
      <w:pPr>
        <w:widowControl w:val="0"/>
        <w:numPr>
          <w:ilvl w:val="0"/>
          <w:numId w:val="121"/>
        </w:numPr>
        <w:spacing w:before="120" w:after="120" w:line="240" w:lineRule="auto"/>
        <w:ind w:left="426" w:hanging="142"/>
        <w:jc w:val="both"/>
        <w:rPr>
          <w:rFonts w:ascii="Times New Roman" w:eastAsia="Times New Roman" w:hAnsi="Times New Roman" w:cs="Times New Roman"/>
          <w:b/>
          <w:bCs/>
          <w:lang w:val="en-GB"/>
        </w:rPr>
      </w:pPr>
      <w:r>
        <w:rPr>
          <w:rFonts w:ascii="Times New Roman" w:eastAsia="Times New Roman" w:hAnsi="Times New Roman" w:cs="Times New Roman"/>
          <w:b/>
          <w:bCs/>
        </w:rPr>
        <w:t xml:space="preserve">A tantárgy megnevezése (angolul): </w:t>
      </w:r>
      <w:r>
        <w:rPr>
          <w:rFonts w:ascii="Times New Roman" w:hAnsi="Times New Roman" w:cs="Times New Roman"/>
          <w:bCs/>
        </w:rPr>
        <w:t>Peacekeeping Training</w:t>
      </w:r>
    </w:p>
    <w:p w:rsidR="00F9363F" w:rsidRDefault="00F9363F" w:rsidP="00C14833">
      <w:pPr>
        <w:widowControl w:val="0"/>
        <w:numPr>
          <w:ilvl w:val="0"/>
          <w:numId w:val="121"/>
        </w:numPr>
        <w:tabs>
          <w:tab w:val="num" w:pos="567"/>
        </w:tabs>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Kreditérték és képzési karakter: </w:t>
      </w:r>
    </w:p>
    <w:p w:rsidR="00F9363F" w:rsidRDefault="00F9363F" w:rsidP="00C14833">
      <w:pPr>
        <w:pStyle w:val="Listaszerbekezds"/>
        <w:widowControl w:val="0"/>
        <w:numPr>
          <w:ilvl w:val="1"/>
          <w:numId w:val="121"/>
        </w:numPr>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2 kredit</w:t>
      </w:r>
    </w:p>
    <w:p w:rsidR="00F9363F" w:rsidRDefault="00F9363F" w:rsidP="00C14833">
      <w:pPr>
        <w:pStyle w:val="Listaszerbekezds"/>
        <w:widowControl w:val="0"/>
        <w:numPr>
          <w:ilvl w:val="1"/>
          <w:numId w:val="121"/>
        </w:numPr>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 xml:space="preserve">a tantárgy elméleti vagy gyakorlati jellegének mértéke: </w:t>
      </w:r>
      <w:r w:rsidRPr="00603CF9">
        <w:rPr>
          <w:rFonts w:ascii="Times New Roman" w:eastAsia="Times New Roman" w:hAnsi="Times New Roman" w:cs="Times New Roman"/>
          <w:bCs/>
          <w:highlight w:val="yellow"/>
        </w:rPr>
        <w:t>100</w:t>
      </w:r>
      <w:r>
        <w:rPr>
          <w:rFonts w:ascii="Times New Roman" w:eastAsia="Times New Roman" w:hAnsi="Times New Roman" w:cs="Times New Roman"/>
          <w:b/>
          <w:bCs/>
        </w:rPr>
        <w:t xml:space="preserve"> </w:t>
      </w:r>
      <w:r>
        <w:rPr>
          <w:rFonts w:ascii="Times New Roman" w:eastAsia="Times New Roman" w:hAnsi="Times New Roman" w:cs="Times New Roman"/>
          <w:bCs/>
        </w:rPr>
        <w:t>% gyakorlat, 0 % elmélet</w:t>
      </w:r>
    </w:p>
    <w:p w:rsidR="00F9363F" w:rsidRDefault="00F9363F" w:rsidP="00C14833">
      <w:pPr>
        <w:widowControl w:val="0"/>
        <w:numPr>
          <w:ilvl w:val="0"/>
          <w:numId w:val="121"/>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szak(ok), szakirányok/specializációk megnevezése (ahol oktatják):</w:t>
      </w:r>
      <w:r>
        <w:rPr>
          <w:rFonts w:ascii="Times New Roman" w:eastAsia="Times New Roman" w:hAnsi="Times New Roman" w:cs="Times New Roman"/>
          <w:bCs/>
        </w:rPr>
        <w:t xml:space="preserve"> </w:t>
      </w:r>
      <w:r>
        <w:rPr>
          <w:rFonts w:ascii="Times New Roman" w:hAnsi="Times New Roman" w:cs="Times New Roman"/>
          <w:bCs/>
        </w:rPr>
        <w:t>Katonai logisztika alapképzési (</w:t>
      </w:r>
      <w:r w:rsidR="00137B8A">
        <w:rPr>
          <w:rFonts w:ascii="Times New Roman" w:hAnsi="Times New Roman" w:cs="Times New Roman"/>
          <w:bCs/>
        </w:rPr>
        <w:t>BSc</w:t>
      </w:r>
      <w:r>
        <w:rPr>
          <w:rFonts w:ascii="Times New Roman" w:hAnsi="Times New Roman" w:cs="Times New Roman"/>
          <w:bCs/>
        </w:rPr>
        <w:t>) szak</w:t>
      </w:r>
    </w:p>
    <w:p w:rsidR="00F9363F" w:rsidRDefault="00F9363F" w:rsidP="00C14833">
      <w:pPr>
        <w:widowControl w:val="0"/>
        <w:numPr>
          <w:ilvl w:val="0"/>
          <w:numId w:val="121"/>
        </w:numPr>
        <w:tabs>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Az oktatásért felelős oktatási szervezeti egység megnevezése: </w:t>
      </w:r>
      <w:r>
        <w:rPr>
          <w:rFonts w:ascii="Times New Roman" w:hAnsi="Times New Roman" w:cs="Times New Roman"/>
          <w:bCs/>
        </w:rPr>
        <w:t>NKE HHK Hadtáp, Pénzügyi és Katonai Közlekedési Tanszék</w:t>
      </w:r>
    </w:p>
    <w:p w:rsidR="00F9363F" w:rsidRDefault="00F9363F" w:rsidP="00C14833">
      <w:pPr>
        <w:widowControl w:val="0"/>
        <w:numPr>
          <w:ilvl w:val="0"/>
          <w:numId w:val="121"/>
        </w:numPr>
        <w:tabs>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tantárgyfelelős oktató neve, beosztása, tudományos fokozata:</w:t>
      </w:r>
      <w:r>
        <w:rPr>
          <w:rFonts w:ascii="Times New Roman" w:eastAsia="Times New Roman" w:hAnsi="Times New Roman" w:cs="Times New Roman"/>
          <w:bCs/>
        </w:rPr>
        <w:t xml:space="preserve"> </w:t>
      </w:r>
      <w:r>
        <w:rPr>
          <w:rFonts w:ascii="Times New Roman" w:hAnsi="Times New Roman" w:cs="Times New Roman"/>
          <w:bCs/>
        </w:rPr>
        <w:t>Dr. Boldizsár Gábor ezredes, egyetemi docens (PhD)</w:t>
      </w:r>
    </w:p>
    <w:p w:rsidR="00F9363F" w:rsidRDefault="00F9363F" w:rsidP="00C14833">
      <w:pPr>
        <w:widowControl w:val="0"/>
        <w:numPr>
          <w:ilvl w:val="0"/>
          <w:numId w:val="121"/>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tanórák száma és típusa</w:t>
      </w:r>
    </w:p>
    <w:p w:rsidR="00F9363F" w:rsidRDefault="00F9363F" w:rsidP="00C14833">
      <w:pPr>
        <w:widowControl w:val="0"/>
        <w:numPr>
          <w:ilvl w:val="1"/>
          <w:numId w:val="121"/>
        </w:numPr>
        <w:tabs>
          <w:tab w:val="num" w:pos="709"/>
          <w:tab w:val="num" w:pos="2069"/>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össz óraszám/félév:</w:t>
      </w:r>
      <w:r w:rsidR="00C45574">
        <w:rPr>
          <w:rFonts w:ascii="Times New Roman" w:eastAsia="Times New Roman" w:hAnsi="Times New Roman" w:cs="Times New Roman"/>
          <w:bCs/>
        </w:rPr>
        <w:t xml:space="preserve"> 30 óra</w:t>
      </w:r>
    </w:p>
    <w:p w:rsidR="00F9363F" w:rsidRDefault="00F9363F" w:rsidP="00C14833">
      <w:pPr>
        <w:widowControl w:val="0"/>
        <w:numPr>
          <w:ilvl w:val="2"/>
          <w:numId w:val="121"/>
        </w:numPr>
        <w:tabs>
          <w:tab w:val="clear" w:pos="1800"/>
          <w:tab w:val="num" w:pos="709"/>
          <w:tab w:val="num" w:pos="1134"/>
        </w:tabs>
        <w:spacing w:before="120" w:after="120" w:line="240" w:lineRule="auto"/>
        <w:ind w:left="1134" w:hanging="425"/>
        <w:jc w:val="both"/>
        <w:rPr>
          <w:rFonts w:ascii="Times New Roman" w:eastAsia="Times New Roman" w:hAnsi="Times New Roman" w:cs="Times New Roman"/>
          <w:bCs/>
        </w:rPr>
      </w:pPr>
      <w:r>
        <w:rPr>
          <w:rFonts w:ascii="Times New Roman" w:eastAsia="Times New Roman" w:hAnsi="Times New Roman" w:cs="Times New Roman"/>
          <w:bCs/>
        </w:rPr>
        <w:t>nappali munkarend: 30 (0 EA + 0 SZ + 30 GY)</w:t>
      </w:r>
    </w:p>
    <w:p w:rsidR="00F9363F" w:rsidRDefault="00F9363F" w:rsidP="00C14833">
      <w:pPr>
        <w:widowControl w:val="0"/>
        <w:numPr>
          <w:ilvl w:val="2"/>
          <w:numId w:val="121"/>
        </w:numPr>
        <w:tabs>
          <w:tab w:val="clear" w:pos="1800"/>
          <w:tab w:val="num" w:pos="709"/>
          <w:tab w:val="num" w:pos="1134"/>
        </w:tabs>
        <w:spacing w:before="120" w:after="120" w:line="240" w:lineRule="auto"/>
        <w:ind w:left="1134" w:hanging="425"/>
        <w:jc w:val="both"/>
        <w:rPr>
          <w:rFonts w:ascii="Times New Roman" w:eastAsia="Times New Roman" w:hAnsi="Times New Roman" w:cs="Times New Roman"/>
          <w:bCs/>
        </w:rPr>
      </w:pPr>
      <w:r>
        <w:rPr>
          <w:rFonts w:ascii="Times New Roman" w:eastAsia="Times New Roman" w:hAnsi="Times New Roman" w:cs="Times New Roman"/>
          <w:bCs/>
        </w:rPr>
        <w:t>levelező munkarend: -</w:t>
      </w:r>
    </w:p>
    <w:p w:rsidR="00F9363F" w:rsidRDefault="00F9363F" w:rsidP="00C14833">
      <w:pPr>
        <w:widowControl w:val="0"/>
        <w:numPr>
          <w:ilvl w:val="1"/>
          <w:numId w:val="121"/>
        </w:numPr>
        <w:tabs>
          <w:tab w:val="num" w:pos="709"/>
          <w:tab w:val="num" w:pos="2069"/>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heti óraszám - nappali munkarend: 2</w:t>
      </w:r>
    </w:p>
    <w:p w:rsidR="00F9363F" w:rsidRDefault="00F9363F" w:rsidP="00C14833">
      <w:pPr>
        <w:widowControl w:val="0"/>
        <w:numPr>
          <w:ilvl w:val="1"/>
          <w:numId w:val="121"/>
        </w:numPr>
        <w:tabs>
          <w:tab w:val="num" w:pos="709"/>
          <w:tab w:val="num" w:pos="2069"/>
        </w:tabs>
        <w:spacing w:before="120" w:after="120" w:line="240" w:lineRule="auto"/>
        <w:ind w:left="851" w:hanging="425"/>
        <w:jc w:val="both"/>
        <w:rPr>
          <w:rFonts w:ascii="Times New Roman" w:eastAsia="Times New Roman" w:hAnsi="Times New Roman" w:cs="Times New Roman"/>
          <w:bCs/>
        </w:rPr>
      </w:pPr>
      <w:r>
        <w:rPr>
          <w:rFonts w:ascii="Times New Roman" w:hAnsi="Times New Roman" w:cs="Times New Roman"/>
        </w:rPr>
        <w:t>Az ismeret átadásában alkalmazandó további sajátos módok, jellemzők:</w:t>
      </w:r>
      <w:r>
        <w:rPr>
          <w:rFonts w:ascii="Times New Roman" w:hAnsi="Times New Roman" w:cs="Times New Roman"/>
          <w:i/>
        </w:rPr>
        <w:t xml:space="preserve"> </w:t>
      </w:r>
      <w:r>
        <w:rPr>
          <w:rFonts w:ascii="Times New Roman" w:eastAsia="Times New Roman" w:hAnsi="Times New Roman" w:cs="Times New Roman"/>
          <w:lang w:val="en-US"/>
        </w:rPr>
        <w:t>A tantárgy oktatására egyhetes kihelyezés keretében, együttműködve az MH Béketámogató Kiképző Központjával, annak szolnoki bázisán és a környező gyakorlótereken kerül sor.</w:t>
      </w:r>
    </w:p>
    <w:p w:rsidR="00F9363F" w:rsidRDefault="00F9363F" w:rsidP="00C14833">
      <w:pPr>
        <w:widowControl w:val="0"/>
        <w:numPr>
          <w:ilvl w:val="0"/>
          <w:numId w:val="121"/>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tantárgy szakmai tartalma (magyarul):</w:t>
      </w:r>
      <w:r>
        <w:rPr>
          <w:rFonts w:ascii="Times New Roman" w:eastAsia="Times New Roman" w:hAnsi="Times New Roman" w:cs="Times New Roman"/>
          <w:bCs/>
        </w:rPr>
        <w:t xml:space="preserve"> </w:t>
      </w:r>
      <w:r>
        <w:rPr>
          <w:rFonts w:ascii="Times New Roman" w:hAnsi="Times New Roman" w:cs="Times New Roman"/>
          <w:bCs/>
        </w:rPr>
        <w:t>A békefenntartás története. Angol nyelvű rádióforgalmazás szabályai. Járőrfeladatok végrehajtás a hadműveleti területen, menet, menetbiztosítás, az erők megóvása. Találkozó szervezése, tárgyalások vezetése, kivizsgálások, jogi ismeretek. Figyelőpontok telepítése és működtetése.</w:t>
      </w:r>
    </w:p>
    <w:p w:rsidR="00F9363F" w:rsidRDefault="00F9363F" w:rsidP="00F9363F">
      <w:pPr>
        <w:widowControl w:val="0"/>
        <w:spacing w:before="120" w:after="120" w:line="240" w:lineRule="auto"/>
        <w:ind w:left="426"/>
        <w:jc w:val="both"/>
        <w:rPr>
          <w:rFonts w:ascii="Times New Roman" w:eastAsia="Times New Roman" w:hAnsi="Times New Roman" w:cs="Times New Roman"/>
          <w:bCs/>
          <w:lang w:val="en-US"/>
        </w:rPr>
      </w:pPr>
      <w:r>
        <w:rPr>
          <w:rFonts w:ascii="Times New Roman" w:eastAsia="Times New Roman" w:hAnsi="Times New Roman" w:cs="Times New Roman"/>
          <w:b/>
          <w:bCs/>
        </w:rPr>
        <w:t>A tantárgy szakmai tartalma (angolul) (</w:t>
      </w:r>
      <w:r>
        <w:rPr>
          <w:rFonts w:ascii="Times New Roman" w:eastAsia="Times New Roman" w:hAnsi="Times New Roman" w:cs="Times New Roman"/>
          <w:b/>
          <w:bCs/>
          <w:lang w:val="en-US"/>
        </w:rPr>
        <w:t>Course description</w:t>
      </w:r>
      <w:r>
        <w:rPr>
          <w:rFonts w:ascii="Times New Roman" w:eastAsia="Times New Roman" w:hAnsi="Times New Roman" w:cs="Times New Roman"/>
          <w:b/>
          <w:bCs/>
        </w:rPr>
        <w:t xml:space="preserve">): </w:t>
      </w:r>
      <w:r>
        <w:rPr>
          <w:rFonts w:ascii="Times New Roman" w:hAnsi="Times New Roman" w:cs="Times New Roman"/>
          <w:bCs/>
        </w:rPr>
        <w:t>History of peacekeeping operations. Rules of radio communication in English language. Executing patrol task in area of operation, securing march, protecting our forces. Organising meetings, managing negotiation and verification. Setting and operating observer posts</w:t>
      </w:r>
      <w:r>
        <w:rPr>
          <w:rFonts w:ascii="Times New Roman" w:hAnsi="Times New Roman" w:cs="Times New Roman"/>
          <w:bCs/>
          <w:lang w:val="en-US"/>
        </w:rPr>
        <w:t xml:space="preserve">. </w:t>
      </w:r>
    </w:p>
    <w:p w:rsidR="00F9363F" w:rsidRDefault="00F9363F" w:rsidP="00C14833">
      <w:pPr>
        <w:pStyle w:val="Listaszerbekezds"/>
        <w:widowControl w:val="0"/>
        <w:numPr>
          <w:ilvl w:val="0"/>
          <w:numId w:val="121"/>
        </w:numPr>
        <w:spacing w:before="120" w:after="120" w:line="240" w:lineRule="auto"/>
        <w:ind w:left="499" w:hanging="142"/>
        <w:jc w:val="both"/>
        <w:rPr>
          <w:rFonts w:ascii="Times New Roman" w:eastAsia="Times New Roman" w:hAnsi="Times New Roman" w:cs="Times New Roman"/>
          <w:bCs/>
        </w:rPr>
      </w:pPr>
      <w:r>
        <w:rPr>
          <w:rFonts w:ascii="Times New Roman" w:eastAsia="Times New Roman" w:hAnsi="Times New Roman" w:cs="Times New Roman"/>
          <w:b/>
          <w:bCs/>
        </w:rPr>
        <w:t>Elérendő kompetenciák (magyarul):</w:t>
      </w:r>
      <w:r>
        <w:rPr>
          <w:rFonts w:ascii="Times New Roman" w:eastAsia="Times New Roman" w:hAnsi="Times New Roman" w:cs="Times New Roman"/>
          <w:bCs/>
        </w:rPr>
        <w:t xml:space="preserve"> </w:t>
      </w:r>
    </w:p>
    <w:p w:rsidR="00F9363F" w:rsidRDefault="00F9363F" w:rsidP="00F9363F">
      <w:pPr>
        <w:widowControl w:val="0"/>
        <w:spacing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Tudása:</w:t>
      </w:r>
    </w:p>
    <w:p w:rsidR="00F9363F" w:rsidRDefault="00F9363F" w:rsidP="00980876">
      <w:pPr>
        <w:pStyle w:val="Listaszerbekezds"/>
        <w:numPr>
          <w:ilvl w:val="0"/>
          <w:numId w:val="751"/>
        </w:num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Rendelkezik alapvető vezetői ismeretekkel, tisztában van a vezetői kompetenciákkal és a beosztottak eredményes irányításához szükséges alapvető ismeretekkel, valamint a beosztottakat motiváló képességekkel.</w:t>
      </w:r>
    </w:p>
    <w:p w:rsidR="00F9363F" w:rsidRDefault="00F9363F" w:rsidP="00980876">
      <w:pPr>
        <w:pStyle w:val="Listaszerbekezds"/>
        <w:widowControl w:val="0"/>
        <w:numPr>
          <w:ilvl w:val="0"/>
          <w:numId w:val="751"/>
        </w:numPr>
        <w:spacing w:after="0" w:line="240" w:lineRule="auto"/>
        <w:jc w:val="both"/>
        <w:rPr>
          <w:rFonts w:ascii="Times New Roman" w:hAnsi="Times New Roman" w:cs="Times New Roman"/>
        </w:rPr>
      </w:pPr>
      <w:r>
        <w:rPr>
          <w:rFonts w:ascii="Times New Roman" w:hAnsi="Times New Roman" w:cs="Times New Roman"/>
        </w:rPr>
        <w:t>Ismeri a katonai kommunikáció, hírközlés alapvető elveit és eszközeit, a titokvédelem és információbiztonság szabályait.</w:t>
      </w:r>
    </w:p>
    <w:p w:rsidR="00F9363F" w:rsidRDefault="00F9363F" w:rsidP="00980876">
      <w:pPr>
        <w:pStyle w:val="Listaszerbekezds"/>
        <w:numPr>
          <w:ilvl w:val="0"/>
          <w:numId w:val="751"/>
        </w:num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Ismeri a békeműveletek rendszerét, a Magyar Honvédség békeműveleti feladatait, valamint az alapvető békefenntartási technikákat.</w:t>
      </w:r>
    </w:p>
    <w:p w:rsidR="00F9363F" w:rsidRDefault="00F9363F" w:rsidP="00F9363F">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Képességei:</w:t>
      </w:r>
      <w:r>
        <w:rPr>
          <w:rFonts w:ascii="Times New Roman" w:eastAsia="Times New Roman" w:hAnsi="Times New Roman" w:cs="Times New Roman"/>
          <w:bCs/>
        </w:rPr>
        <w:t xml:space="preserve"> </w:t>
      </w:r>
    </w:p>
    <w:p w:rsidR="00F9363F" w:rsidRDefault="00F9363F" w:rsidP="00980876">
      <w:pPr>
        <w:pStyle w:val="Listaszerbekezds"/>
        <w:widowControl w:val="0"/>
        <w:numPr>
          <w:ilvl w:val="0"/>
          <w:numId w:val="751"/>
        </w:numPr>
        <w:spacing w:after="0" w:line="240" w:lineRule="auto"/>
        <w:jc w:val="both"/>
        <w:rPr>
          <w:rFonts w:ascii="Times New Roman" w:hAnsi="Times New Roman" w:cs="Times New Roman"/>
        </w:rPr>
      </w:pPr>
      <w:r>
        <w:rPr>
          <w:rFonts w:ascii="Times New Roman" w:hAnsi="Times New Roman" w:cs="Times New Roman"/>
        </w:rPr>
        <w:t>Képes a szakmai terminológia magyarul és idegen nyelven történő alkalmazására.</w:t>
      </w:r>
    </w:p>
    <w:p w:rsidR="00F9363F" w:rsidRDefault="00F9363F" w:rsidP="00980876">
      <w:pPr>
        <w:pStyle w:val="Listaszerbekezds"/>
        <w:widowControl w:val="0"/>
        <w:numPr>
          <w:ilvl w:val="0"/>
          <w:numId w:val="751"/>
        </w:numPr>
        <w:spacing w:after="0" w:line="240" w:lineRule="auto"/>
        <w:jc w:val="both"/>
        <w:rPr>
          <w:rFonts w:ascii="Times New Roman" w:hAnsi="Times New Roman" w:cs="Times New Roman"/>
        </w:rPr>
      </w:pPr>
      <w:r>
        <w:rPr>
          <w:rFonts w:ascii="Times New Roman" w:hAnsi="Times New Roman" w:cs="Times New Roman"/>
        </w:rPr>
        <w:t xml:space="preserve">Képes a munkaköréhez kapcsolódó dokumentumok, nyomtatványok, jegyzőkönyvek, </w:t>
      </w:r>
      <w:r>
        <w:rPr>
          <w:rFonts w:ascii="Times New Roman" w:hAnsi="Times New Roman" w:cs="Times New Roman"/>
        </w:rPr>
        <w:lastRenderedPageBreak/>
        <w:t>feljegyzések és emlékeztetők önálló elkészítésére, okmányok kitöltésére, a munkaköréhez kapcsolódó események szervezésére, technikai előkészítésére.</w:t>
      </w:r>
    </w:p>
    <w:p w:rsidR="00F9363F" w:rsidRDefault="00F9363F" w:rsidP="00980876">
      <w:pPr>
        <w:pStyle w:val="Listaszerbekezds"/>
        <w:widowControl w:val="0"/>
        <w:numPr>
          <w:ilvl w:val="0"/>
          <w:numId w:val="751"/>
        </w:numPr>
        <w:spacing w:after="0" w:line="240" w:lineRule="auto"/>
        <w:jc w:val="both"/>
        <w:rPr>
          <w:rFonts w:ascii="Times New Roman" w:hAnsi="Times New Roman" w:cs="Times New Roman"/>
        </w:rPr>
      </w:pPr>
      <w:r>
        <w:rPr>
          <w:rFonts w:ascii="Times New Roman" w:hAnsi="Times New Roman" w:cs="Times New Roman"/>
        </w:rPr>
        <w:t>Képes a terepen tájékozódni katonai térképek és geoinformációs eszközök segítségével is.</w:t>
      </w:r>
    </w:p>
    <w:p w:rsidR="00F9363F" w:rsidRDefault="00F9363F" w:rsidP="00980876">
      <w:pPr>
        <w:pStyle w:val="Listaszerbekezds"/>
        <w:widowControl w:val="0"/>
        <w:numPr>
          <w:ilvl w:val="0"/>
          <w:numId w:val="751"/>
        </w:numPr>
        <w:spacing w:after="0" w:line="240" w:lineRule="auto"/>
        <w:jc w:val="both"/>
        <w:rPr>
          <w:rFonts w:ascii="Times New Roman" w:hAnsi="Times New Roman" w:cs="Times New Roman"/>
        </w:rPr>
      </w:pPr>
      <w:r>
        <w:rPr>
          <w:rFonts w:ascii="Times New Roman" w:hAnsi="Times New Roman" w:cs="Times New Roman"/>
        </w:rPr>
        <w:t>Képes beosztottjai általános katonai és szakmai vezetésére, munkájuk hatékony megszervezésére.</w:t>
      </w:r>
    </w:p>
    <w:p w:rsidR="00F9363F" w:rsidRDefault="00F9363F" w:rsidP="00980876">
      <w:pPr>
        <w:pStyle w:val="Listaszerbekezds"/>
        <w:widowControl w:val="0"/>
        <w:numPr>
          <w:ilvl w:val="0"/>
          <w:numId w:val="751"/>
        </w:numPr>
        <w:spacing w:after="0" w:line="240" w:lineRule="auto"/>
        <w:jc w:val="both"/>
        <w:rPr>
          <w:rFonts w:ascii="Times New Roman" w:hAnsi="Times New Roman" w:cs="Times New Roman"/>
        </w:rPr>
      </w:pPr>
      <w:r>
        <w:rPr>
          <w:rFonts w:ascii="Times New Roman" w:hAnsi="Times New Roman" w:cs="Times New Roman"/>
        </w:rPr>
        <w:t>Képes a honvédekkel szemben támasztott mindenkori fizikai és pszichikai követelményeknek megfelelni.</w:t>
      </w:r>
    </w:p>
    <w:p w:rsidR="00F9363F" w:rsidRDefault="00F9363F" w:rsidP="00F9363F">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Attitűdje:</w:t>
      </w:r>
      <w:r>
        <w:rPr>
          <w:rFonts w:ascii="Times New Roman" w:eastAsia="Times New Roman" w:hAnsi="Times New Roman" w:cs="Times New Roman"/>
          <w:bCs/>
        </w:rPr>
        <w:t xml:space="preserve"> </w:t>
      </w:r>
    </w:p>
    <w:p w:rsidR="00F9363F" w:rsidRDefault="00F9363F" w:rsidP="00980876">
      <w:pPr>
        <w:pStyle w:val="Listaszerbekezds"/>
        <w:widowControl w:val="0"/>
        <w:numPr>
          <w:ilvl w:val="0"/>
          <w:numId w:val="751"/>
        </w:numPr>
        <w:spacing w:after="0" w:line="240" w:lineRule="auto"/>
        <w:jc w:val="both"/>
        <w:rPr>
          <w:rFonts w:ascii="Times New Roman" w:hAnsi="Times New Roman" w:cs="Times New Roman"/>
        </w:rPr>
      </w:pPr>
      <w:r>
        <w:rPr>
          <w:rFonts w:ascii="Times New Roman" w:hAnsi="Times New Roman" w:cs="Times New Roman"/>
        </w:rPr>
        <w:t>Feladatai ellátása során együttműködési készség jellemzi, törekszik a beosztottak bevonására a döntési folyamatokba.</w:t>
      </w:r>
    </w:p>
    <w:p w:rsidR="00F9363F" w:rsidRDefault="00F9363F" w:rsidP="00980876">
      <w:pPr>
        <w:pStyle w:val="Listaszerbekezds"/>
        <w:widowControl w:val="0"/>
        <w:numPr>
          <w:ilvl w:val="0"/>
          <w:numId w:val="751"/>
        </w:numPr>
        <w:spacing w:after="0" w:line="240" w:lineRule="auto"/>
        <w:jc w:val="both"/>
        <w:rPr>
          <w:rFonts w:ascii="Times New Roman" w:hAnsi="Times New Roman" w:cs="Times New Roman"/>
        </w:rPr>
      </w:pPr>
      <w:r>
        <w:rPr>
          <w:rFonts w:ascii="Times New Roman" w:hAnsi="Times New Roman" w:cs="Times New Roman"/>
        </w:rPr>
        <w:t>Feladatellátása során törekszik a megfelelő önkontroll, tolerancia, empátia, az előítéletektől mentes gondolkodás és viselkedés tanúsítására.</w:t>
      </w:r>
    </w:p>
    <w:p w:rsidR="00F9363F" w:rsidRDefault="00F9363F" w:rsidP="00980876">
      <w:pPr>
        <w:pStyle w:val="Listaszerbekezds"/>
        <w:widowControl w:val="0"/>
        <w:numPr>
          <w:ilvl w:val="0"/>
          <w:numId w:val="751"/>
        </w:numPr>
        <w:spacing w:after="0" w:line="240" w:lineRule="auto"/>
        <w:jc w:val="both"/>
        <w:rPr>
          <w:rFonts w:ascii="Times New Roman" w:hAnsi="Times New Roman" w:cs="Times New Roman"/>
        </w:rPr>
      </w:pPr>
      <w:r>
        <w:rPr>
          <w:rFonts w:ascii="Times New Roman" w:hAnsi="Times New Roman" w:cs="Times New Roman"/>
        </w:rPr>
        <w:t>Jó szervezőkészség jellemzi.</w:t>
      </w:r>
    </w:p>
    <w:p w:rsidR="00F9363F" w:rsidRDefault="00F9363F" w:rsidP="00F9363F">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Autonómiája és felelőssége:</w:t>
      </w:r>
    </w:p>
    <w:p w:rsidR="00F9363F" w:rsidRDefault="00F9363F" w:rsidP="00980876">
      <w:pPr>
        <w:pStyle w:val="Listaszerbekezds"/>
        <w:widowControl w:val="0"/>
        <w:numPr>
          <w:ilvl w:val="0"/>
          <w:numId w:val="751"/>
        </w:numPr>
        <w:spacing w:after="0" w:line="240" w:lineRule="auto"/>
        <w:jc w:val="both"/>
        <w:rPr>
          <w:rFonts w:ascii="Times New Roman" w:hAnsi="Times New Roman" w:cs="Times New Roman"/>
        </w:rPr>
      </w:pPr>
      <w:r>
        <w:rPr>
          <w:rFonts w:ascii="Times New Roman" w:hAnsi="Times New Roman" w:cs="Times New Roman"/>
        </w:rPr>
        <w:t>Felelősséget vállal a vezetése alatt álló beosztottjainak szakmai tevékenységéért.</w:t>
      </w:r>
    </w:p>
    <w:p w:rsidR="00F9363F" w:rsidRDefault="00F9363F" w:rsidP="00F9363F">
      <w:pPr>
        <w:widowControl w:val="0"/>
        <w:spacing w:before="120" w:after="0" w:line="240" w:lineRule="auto"/>
        <w:ind w:left="425"/>
        <w:jc w:val="both"/>
        <w:rPr>
          <w:rFonts w:ascii="Times New Roman" w:eastAsia="Times New Roman" w:hAnsi="Times New Roman" w:cs="Times New Roman"/>
          <w:b/>
          <w:bCs/>
          <w:lang w:val="en-US"/>
        </w:rPr>
      </w:pPr>
      <w:r>
        <w:rPr>
          <w:rFonts w:ascii="Times New Roman" w:eastAsia="Times New Roman" w:hAnsi="Times New Roman" w:cs="Times New Roman"/>
          <w:b/>
          <w:bCs/>
        </w:rPr>
        <w:t>Elérendő kompetenciák (angolul) (</w:t>
      </w:r>
      <w:r>
        <w:rPr>
          <w:rFonts w:ascii="Times New Roman" w:eastAsia="Times New Roman" w:hAnsi="Times New Roman" w:cs="Times New Roman"/>
          <w:b/>
          <w:bCs/>
          <w:lang w:val="en-US"/>
        </w:rPr>
        <w:t xml:space="preserve">Competences – English): </w:t>
      </w:r>
    </w:p>
    <w:p w:rsidR="00F9363F" w:rsidRDefault="00F9363F" w:rsidP="00F9363F">
      <w:pPr>
        <w:widowControl w:val="0"/>
        <w:spacing w:before="120" w:after="0" w:line="240" w:lineRule="auto"/>
        <w:ind w:left="425"/>
        <w:jc w:val="both"/>
        <w:rPr>
          <w:rFonts w:ascii="Times New Roman" w:eastAsia="Times New Roman" w:hAnsi="Times New Roman" w:cs="Times New Roman"/>
          <w:lang w:val="en-GB"/>
        </w:rPr>
      </w:pPr>
      <w:r>
        <w:rPr>
          <w:rFonts w:ascii="Times New Roman" w:eastAsia="Times New Roman" w:hAnsi="Times New Roman" w:cs="Times New Roman"/>
          <w:b/>
          <w:lang w:val="en-GB"/>
        </w:rPr>
        <w:t>Knowledge</w:t>
      </w:r>
      <w:r>
        <w:rPr>
          <w:rFonts w:ascii="Times New Roman" w:eastAsia="Times New Roman" w:hAnsi="Times New Roman" w:cs="Times New Roman"/>
          <w:lang w:val="en-GB"/>
        </w:rPr>
        <w:t xml:space="preserve">: </w:t>
      </w:r>
    </w:p>
    <w:p w:rsidR="00F9363F" w:rsidRPr="00194AF9" w:rsidRDefault="00F9363F" w:rsidP="00980876">
      <w:pPr>
        <w:pStyle w:val="Listaszerbekezds"/>
        <w:widowControl w:val="0"/>
        <w:numPr>
          <w:ilvl w:val="0"/>
          <w:numId w:val="751"/>
        </w:numPr>
        <w:spacing w:after="0" w:line="240" w:lineRule="auto"/>
        <w:jc w:val="both"/>
        <w:rPr>
          <w:rFonts w:ascii="Times New Roman" w:hAnsi="Times New Roman" w:cs="Times New Roman"/>
        </w:rPr>
      </w:pPr>
      <w:r w:rsidRPr="00194AF9">
        <w:rPr>
          <w:rFonts w:ascii="Times New Roman" w:hAnsi="Times New Roman" w:cs="Times New Roman"/>
        </w:rPr>
        <w:t xml:space="preserve">Possesses the basic leadership skills and competences and the basic knowledge needed to effectively manage subordinates and also the ability to motivate them </w:t>
      </w:r>
    </w:p>
    <w:p w:rsidR="00F9363F" w:rsidRPr="00194AF9" w:rsidRDefault="00F9363F" w:rsidP="00980876">
      <w:pPr>
        <w:pStyle w:val="Listaszerbekezds"/>
        <w:widowControl w:val="0"/>
        <w:numPr>
          <w:ilvl w:val="0"/>
          <w:numId w:val="751"/>
        </w:numPr>
        <w:spacing w:after="0" w:line="240" w:lineRule="auto"/>
        <w:jc w:val="both"/>
        <w:rPr>
          <w:rFonts w:ascii="Times New Roman" w:hAnsi="Times New Roman" w:cs="Times New Roman"/>
        </w:rPr>
      </w:pPr>
      <w:r w:rsidRPr="00194AF9">
        <w:rPr>
          <w:rFonts w:ascii="Times New Roman" w:hAnsi="Times New Roman" w:cs="Times New Roman"/>
        </w:rPr>
        <w:t>Knows the basic principles and means of military communications and the rules of confidentiality and information security.</w:t>
      </w:r>
    </w:p>
    <w:p w:rsidR="00F9363F" w:rsidRPr="00194AF9" w:rsidRDefault="00F9363F" w:rsidP="00980876">
      <w:pPr>
        <w:pStyle w:val="Listaszerbekezds"/>
        <w:widowControl w:val="0"/>
        <w:numPr>
          <w:ilvl w:val="0"/>
          <w:numId w:val="751"/>
        </w:numPr>
        <w:spacing w:after="0" w:line="240" w:lineRule="auto"/>
        <w:jc w:val="both"/>
        <w:rPr>
          <w:rFonts w:ascii="Times New Roman" w:hAnsi="Times New Roman" w:cs="Times New Roman"/>
        </w:rPr>
      </w:pPr>
      <w:r w:rsidRPr="00194AF9">
        <w:rPr>
          <w:rFonts w:ascii="Times New Roman" w:hAnsi="Times New Roman" w:cs="Times New Roman"/>
        </w:rPr>
        <w:t>Knows the system of Peace Operations, the tasks of the Hungarian Defence Forces in peace operations and the basic peacekeeping procedures.</w:t>
      </w:r>
    </w:p>
    <w:p w:rsidR="00F9363F" w:rsidRPr="00194AF9" w:rsidRDefault="00F9363F" w:rsidP="00194AF9">
      <w:pPr>
        <w:widowControl w:val="0"/>
        <w:spacing w:before="120" w:after="0" w:line="240" w:lineRule="auto"/>
        <w:ind w:left="425"/>
        <w:jc w:val="both"/>
        <w:rPr>
          <w:rFonts w:ascii="Times New Roman" w:eastAsia="Times New Roman" w:hAnsi="Times New Roman" w:cs="Times New Roman"/>
          <w:b/>
          <w:lang w:val="en-GB"/>
        </w:rPr>
      </w:pPr>
      <w:r w:rsidRPr="00194AF9">
        <w:rPr>
          <w:rFonts w:ascii="Times New Roman" w:eastAsia="Times New Roman" w:hAnsi="Times New Roman" w:cs="Times New Roman"/>
          <w:b/>
          <w:lang w:val="en-GB"/>
        </w:rPr>
        <w:t xml:space="preserve">Capabilities: </w:t>
      </w:r>
    </w:p>
    <w:p w:rsidR="00F9363F" w:rsidRPr="00194AF9" w:rsidRDefault="00F9363F" w:rsidP="00980876">
      <w:pPr>
        <w:pStyle w:val="Listaszerbekezds"/>
        <w:widowControl w:val="0"/>
        <w:numPr>
          <w:ilvl w:val="0"/>
          <w:numId w:val="751"/>
        </w:numPr>
        <w:spacing w:after="0" w:line="240" w:lineRule="auto"/>
        <w:jc w:val="both"/>
        <w:rPr>
          <w:rFonts w:ascii="Times New Roman" w:hAnsi="Times New Roman" w:cs="Times New Roman"/>
        </w:rPr>
      </w:pPr>
      <w:r>
        <w:rPr>
          <w:rFonts w:ascii="Times New Roman" w:eastAsia="Times New Roman" w:hAnsi="Times New Roman" w:cs="Times New Roman"/>
          <w:lang w:val="en-GB"/>
        </w:rPr>
        <w:t xml:space="preserve">To </w:t>
      </w:r>
      <w:r w:rsidRPr="00194AF9">
        <w:rPr>
          <w:rFonts w:ascii="Times New Roman" w:hAnsi="Times New Roman" w:cs="Times New Roman"/>
        </w:rPr>
        <w:t>be capable of using the professional terminology both in Hungarian and foreign languages.</w:t>
      </w:r>
    </w:p>
    <w:p w:rsidR="00F9363F" w:rsidRPr="00194AF9" w:rsidRDefault="00F9363F" w:rsidP="00980876">
      <w:pPr>
        <w:pStyle w:val="Listaszerbekezds"/>
        <w:widowControl w:val="0"/>
        <w:numPr>
          <w:ilvl w:val="0"/>
          <w:numId w:val="751"/>
        </w:numPr>
        <w:spacing w:after="0" w:line="240" w:lineRule="auto"/>
        <w:jc w:val="both"/>
        <w:rPr>
          <w:rFonts w:ascii="Times New Roman" w:hAnsi="Times New Roman" w:cs="Times New Roman"/>
        </w:rPr>
      </w:pPr>
      <w:r w:rsidRPr="00194AF9">
        <w:rPr>
          <w:rFonts w:ascii="Times New Roman" w:hAnsi="Times New Roman" w:cs="Times New Roman"/>
        </w:rPr>
        <w:t>To be capable of independently preparing documents, forms, minutes, notes and memos, completing documents, organizing and technically preparing events related to his/her job.</w:t>
      </w:r>
    </w:p>
    <w:p w:rsidR="00F9363F" w:rsidRPr="00194AF9" w:rsidRDefault="00F9363F" w:rsidP="00980876">
      <w:pPr>
        <w:pStyle w:val="Listaszerbekezds"/>
        <w:widowControl w:val="0"/>
        <w:numPr>
          <w:ilvl w:val="0"/>
          <w:numId w:val="751"/>
        </w:numPr>
        <w:spacing w:after="0" w:line="240" w:lineRule="auto"/>
        <w:jc w:val="both"/>
        <w:rPr>
          <w:rFonts w:ascii="Times New Roman" w:hAnsi="Times New Roman" w:cs="Times New Roman"/>
        </w:rPr>
      </w:pPr>
      <w:r w:rsidRPr="00194AF9">
        <w:rPr>
          <w:rFonts w:ascii="Times New Roman" w:hAnsi="Times New Roman" w:cs="Times New Roman"/>
        </w:rPr>
        <w:t>To be capable of navigating in the field using maps, compasses and GPS devices.</w:t>
      </w:r>
    </w:p>
    <w:p w:rsidR="00F9363F" w:rsidRPr="00194AF9" w:rsidRDefault="00F9363F" w:rsidP="00980876">
      <w:pPr>
        <w:pStyle w:val="Listaszerbekezds"/>
        <w:widowControl w:val="0"/>
        <w:numPr>
          <w:ilvl w:val="0"/>
          <w:numId w:val="751"/>
        </w:numPr>
        <w:spacing w:after="0" w:line="240" w:lineRule="auto"/>
        <w:jc w:val="both"/>
        <w:rPr>
          <w:rFonts w:ascii="Times New Roman" w:hAnsi="Times New Roman" w:cs="Times New Roman"/>
        </w:rPr>
      </w:pPr>
      <w:r w:rsidRPr="00194AF9">
        <w:rPr>
          <w:rFonts w:ascii="Times New Roman" w:hAnsi="Times New Roman" w:cs="Times New Roman"/>
        </w:rPr>
        <w:t>To be capable of providing both military and professional leadership for his/her subordinates and effectively and efficiently organizing their work.</w:t>
      </w:r>
    </w:p>
    <w:p w:rsidR="00F9363F" w:rsidRPr="00194AF9" w:rsidRDefault="00F9363F" w:rsidP="00980876">
      <w:pPr>
        <w:pStyle w:val="Listaszerbekezds"/>
        <w:widowControl w:val="0"/>
        <w:numPr>
          <w:ilvl w:val="0"/>
          <w:numId w:val="751"/>
        </w:numPr>
        <w:spacing w:after="0" w:line="240" w:lineRule="auto"/>
        <w:jc w:val="both"/>
        <w:rPr>
          <w:rFonts w:ascii="Times New Roman" w:hAnsi="Times New Roman" w:cs="Times New Roman"/>
        </w:rPr>
      </w:pPr>
      <w:r w:rsidRPr="00194AF9">
        <w:rPr>
          <w:rFonts w:ascii="Times New Roman" w:hAnsi="Times New Roman" w:cs="Times New Roman"/>
        </w:rPr>
        <w:t>To be capable of meeting the physical and psychological requirements for military personnel.</w:t>
      </w:r>
    </w:p>
    <w:p w:rsidR="00F9363F" w:rsidRDefault="00F9363F" w:rsidP="00F93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425"/>
        <w:jc w:val="both"/>
        <w:rPr>
          <w:rFonts w:ascii="Times New Roman" w:eastAsia="Times New Roman" w:hAnsi="Times New Roman" w:cs="Times New Roman"/>
          <w:lang w:val="en-GB"/>
        </w:rPr>
      </w:pPr>
      <w:r>
        <w:rPr>
          <w:rFonts w:ascii="Times New Roman" w:eastAsia="Times New Roman" w:hAnsi="Times New Roman" w:cs="Times New Roman"/>
          <w:b/>
          <w:lang w:val="en-GB"/>
        </w:rPr>
        <w:t>Attitude:</w:t>
      </w:r>
      <w:r>
        <w:rPr>
          <w:rFonts w:ascii="Times New Roman" w:eastAsia="Times New Roman" w:hAnsi="Times New Roman" w:cs="Times New Roman"/>
          <w:lang w:val="en-GB"/>
        </w:rPr>
        <w:t xml:space="preserve"> </w:t>
      </w:r>
    </w:p>
    <w:p w:rsidR="00F9363F" w:rsidRPr="00194AF9" w:rsidRDefault="00F9363F" w:rsidP="00980876">
      <w:pPr>
        <w:pStyle w:val="Listaszerbekezds"/>
        <w:widowControl w:val="0"/>
        <w:numPr>
          <w:ilvl w:val="0"/>
          <w:numId w:val="751"/>
        </w:numPr>
        <w:spacing w:after="0" w:line="240" w:lineRule="auto"/>
        <w:jc w:val="both"/>
        <w:rPr>
          <w:rFonts w:ascii="Times New Roman" w:hAnsi="Times New Roman" w:cs="Times New Roman"/>
        </w:rPr>
      </w:pPr>
      <w:r w:rsidRPr="00194AF9">
        <w:rPr>
          <w:rFonts w:ascii="Times New Roman" w:hAnsi="Times New Roman" w:cs="Times New Roman"/>
        </w:rPr>
        <w:t>While performing his/her duties he/she is characterized by a willingness to cooperate with his/her subordinates, and strives to involve them in decision-making processes.</w:t>
      </w:r>
    </w:p>
    <w:p w:rsidR="00F9363F" w:rsidRPr="00194AF9" w:rsidRDefault="00F9363F" w:rsidP="00980876">
      <w:pPr>
        <w:pStyle w:val="Listaszerbekezds"/>
        <w:widowControl w:val="0"/>
        <w:numPr>
          <w:ilvl w:val="0"/>
          <w:numId w:val="751"/>
        </w:numPr>
        <w:spacing w:after="0" w:line="240" w:lineRule="auto"/>
        <w:jc w:val="both"/>
        <w:rPr>
          <w:rFonts w:ascii="Times New Roman" w:hAnsi="Times New Roman" w:cs="Times New Roman"/>
        </w:rPr>
      </w:pPr>
      <w:r w:rsidRPr="00194AF9">
        <w:rPr>
          <w:rFonts w:ascii="Times New Roman" w:hAnsi="Times New Roman" w:cs="Times New Roman"/>
        </w:rPr>
        <w:t>In the course of his duties he tries to demonstrate proper self-control, tolerance, empathy, a non-biased way of thinking and behaviour.</w:t>
      </w:r>
    </w:p>
    <w:p w:rsidR="00F9363F" w:rsidRPr="00194AF9" w:rsidRDefault="00F9363F" w:rsidP="00980876">
      <w:pPr>
        <w:pStyle w:val="Listaszerbekezds"/>
        <w:widowControl w:val="0"/>
        <w:numPr>
          <w:ilvl w:val="0"/>
          <w:numId w:val="751"/>
        </w:numPr>
        <w:spacing w:after="0" w:line="240" w:lineRule="auto"/>
        <w:jc w:val="both"/>
        <w:rPr>
          <w:rFonts w:ascii="Times New Roman" w:hAnsi="Times New Roman" w:cs="Times New Roman"/>
        </w:rPr>
      </w:pPr>
      <w:r w:rsidRPr="00194AF9">
        <w:rPr>
          <w:rFonts w:ascii="Times New Roman" w:hAnsi="Times New Roman" w:cs="Times New Roman"/>
        </w:rPr>
        <w:t>He/She has good organizational skills.</w:t>
      </w:r>
    </w:p>
    <w:p w:rsidR="00F9363F" w:rsidRDefault="00F9363F" w:rsidP="00F9363F">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lang w:val="en-GB"/>
        </w:rPr>
        <w:t xml:space="preserve">Autonomy and responsibility: </w:t>
      </w:r>
    </w:p>
    <w:p w:rsidR="00F9363F" w:rsidRDefault="00F9363F" w:rsidP="00980876">
      <w:pPr>
        <w:pStyle w:val="Listaszerbekezds"/>
        <w:widowControl w:val="0"/>
        <w:numPr>
          <w:ilvl w:val="0"/>
          <w:numId w:val="751"/>
        </w:numPr>
        <w:spacing w:after="0" w:line="240" w:lineRule="auto"/>
        <w:jc w:val="both"/>
        <w:rPr>
          <w:rFonts w:ascii="Times New Roman" w:eastAsia="Times New Roman" w:hAnsi="Times New Roman" w:cs="Times New Roman"/>
          <w:bCs/>
          <w:lang w:val="en-US"/>
        </w:rPr>
      </w:pPr>
      <w:r>
        <w:rPr>
          <w:rFonts w:ascii="Times New Roman" w:eastAsia="Times New Roman" w:hAnsi="Times New Roman" w:cs="Times New Roman"/>
          <w:bCs/>
          <w:lang w:val="en-US"/>
        </w:rPr>
        <w:t xml:space="preserve">He/She is </w:t>
      </w:r>
      <w:r w:rsidRPr="00194AF9">
        <w:rPr>
          <w:rFonts w:ascii="Times New Roman" w:hAnsi="Times New Roman" w:cs="Times New Roman"/>
        </w:rPr>
        <w:t>responsible</w:t>
      </w:r>
      <w:r>
        <w:rPr>
          <w:rFonts w:ascii="Times New Roman" w:eastAsia="Times New Roman" w:hAnsi="Times New Roman" w:cs="Times New Roman"/>
          <w:bCs/>
          <w:lang w:val="en-US"/>
        </w:rPr>
        <w:t xml:space="preserve"> for the work of his/her subordinates.  </w:t>
      </w:r>
    </w:p>
    <w:p w:rsidR="00F9363F" w:rsidRDefault="00F9363F" w:rsidP="00C14833">
      <w:pPr>
        <w:widowControl w:val="0"/>
        <w:numPr>
          <w:ilvl w:val="0"/>
          <w:numId w:val="121"/>
        </w:numPr>
        <w:tabs>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Előtanulmányi követelmények: </w:t>
      </w:r>
      <w:r>
        <w:rPr>
          <w:rFonts w:ascii="Times New Roman" w:eastAsia="Times New Roman" w:hAnsi="Times New Roman" w:cs="Times New Roman"/>
          <w:bCs/>
        </w:rPr>
        <w:t>-</w:t>
      </w:r>
    </w:p>
    <w:p w:rsidR="00F9363F" w:rsidRDefault="00F9363F" w:rsidP="00C14833">
      <w:pPr>
        <w:widowControl w:val="0"/>
        <w:numPr>
          <w:ilvl w:val="0"/>
          <w:numId w:val="121"/>
        </w:numPr>
        <w:spacing w:before="120" w:after="120" w:line="240" w:lineRule="auto"/>
        <w:ind w:left="426" w:hanging="142"/>
        <w:jc w:val="both"/>
        <w:rPr>
          <w:rFonts w:ascii="Times New Roman" w:eastAsia="Times New Roman" w:hAnsi="Times New Roman" w:cs="Times New Roman"/>
          <w:b/>
          <w:bCs/>
          <w:lang w:val="en-US"/>
        </w:rPr>
      </w:pPr>
      <w:r>
        <w:rPr>
          <w:rFonts w:ascii="Times New Roman" w:eastAsia="Times New Roman" w:hAnsi="Times New Roman" w:cs="Times New Roman"/>
          <w:b/>
          <w:bCs/>
          <w:lang w:val="en-US"/>
        </w:rPr>
        <w:t>A tantárgy tananyagának leírása, tematika. Description of the subject, curriculum (magyarul, angolul - English):</w:t>
      </w:r>
    </w:p>
    <w:p w:rsidR="00F9363F" w:rsidRPr="00C45574" w:rsidRDefault="00F9363F" w:rsidP="00C14833">
      <w:pPr>
        <w:widowControl w:val="0"/>
        <w:numPr>
          <w:ilvl w:val="1"/>
          <w:numId w:val="121"/>
        </w:numPr>
        <w:tabs>
          <w:tab w:val="left" w:pos="709"/>
          <w:tab w:val="left" w:pos="993"/>
          <w:tab w:val="num" w:pos="2069"/>
        </w:tabs>
        <w:spacing w:before="120" w:after="120" w:line="240" w:lineRule="auto"/>
        <w:ind w:left="851" w:hanging="567"/>
        <w:jc w:val="both"/>
        <w:rPr>
          <w:rFonts w:ascii="Times New Roman" w:eastAsia="Times New Roman" w:hAnsi="Times New Roman" w:cs="Times New Roman"/>
          <w:i/>
          <w:lang w:val="en-US"/>
        </w:rPr>
      </w:pPr>
      <w:r>
        <w:rPr>
          <w:rFonts w:ascii="Times New Roman" w:hAnsi="Times New Roman"/>
          <w:bCs/>
        </w:rPr>
        <w:t>A békefenntartás története, az MH szerepvállalásai, aktuális missziók</w:t>
      </w:r>
      <w:r>
        <w:rPr>
          <w:rFonts w:ascii="Times New Roman" w:hAnsi="Times New Roman"/>
          <w:lang w:val="en-US"/>
        </w:rPr>
        <w:t>.</w:t>
      </w:r>
      <w:r>
        <w:rPr>
          <w:rFonts w:ascii="Times New Roman" w:eastAsia="Times New Roman" w:hAnsi="Times New Roman" w:cs="Times New Roman"/>
          <w:lang w:val="en-US"/>
        </w:rPr>
        <w:t xml:space="preserve"> </w:t>
      </w:r>
      <w:r w:rsidRPr="00C45574">
        <w:rPr>
          <w:rFonts w:ascii="Times New Roman" w:eastAsia="Times New Roman" w:hAnsi="Times New Roman" w:cs="Times New Roman"/>
          <w:i/>
          <w:lang w:val="en-US"/>
        </w:rPr>
        <w:t>(History of peacekeeping and the role of the HDF today.)</w:t>
      </w:r>
    </w:p>
    <w:p w:rsidR="00F9363F" w:rsidRDefault="00F9363F" w:rsidP="00C14833">
      <w:pPr>
        <w:widowControl w:val="0"/>
        <w:numPr>
          <w:ilvl w:val="1"/>
          <w:numId w:val="121"/>
        </w:numPr>
        <w:tabs>
          <w:tab w:val="left" w:pos="709"/>
          <w:tab w:val="left" w:pos="993"/>
          <w:tab w:val="num" w:pos="2069"/>
        </w:tabs>
        <w:spacing w:before="120" w:after="120" w:line="240" w:lineRule="auto"/>
        <w:ind w:left="851" w:hanging="567"/>
        <w:jc w:val="both"/>
        <w:rPr>
          <w:rFonts w:ascii="Times New Roman" w:eastAsia="Times New Roman" w:hAnsi="Times New Roman" w:cs="Times New Roman"/>
          <w:lang w:val="en-US"/>
        </w:rPr>
      </w:pPr>
      <w:r>
        <w:rPr>
          <w:rFonts w:ascii="Times New Roman" w:hAnsi="Times New Roman" w:cs="Times New Roman"/>
          <w:bCs/>
        </w:rPr>
        <w:t>Az angol nyelvű rádióforgalmazás szabályai és annak gyakorlása</w:t>
      </w:r>
      <w:r>
        <w:rPr>
          <w:rFonts w:ascii="Times New Roman" w:hAnsi="Times New Roman" w:cs="Times New Roman"/>
          <w:bCs/>
          <w:lang w:val="en-US"/>
        </w:rPr>
        <w:t>.</w:t>
      </w:r>
      <w:r>
        <w:rPr>
          <w:rFonts w:ascii="Times New Roman" w:hAnsi="Times New Roman" w:cs="Times New Roman"/>
          <w:lang w:val="en-US"/>
        </w:rPr>
        <w:t xml:space="preserve"> </w:t>
      </w:r>
      <w:r>
        <w:rPr>
          <w:rFonts w:ascii="Times New Roman" w:eastAsia="Times New Roman" w:hAnsi="Times New Roman" w:cs="Times New Roman"/>
          <w:i/>
          <w:lang w:val="en-US"/>
        </w:rPr>
        <w:t>(</w:t>
      </w:r>
      <w:r>
        <w:rPr>
          <w:rFonts w:ascii="Times New Roman" w:eastAsia="Times New Roman" w:hAnsi="Times New Roman" w:cs="Times New Roman"/>
          <w:bCs/>
          <w:i/>
          <w:lang w:val="en-US"/>
        </w:rPr>
        <w:t>Rules of the radio communication.</w:t>
      </w:r>
      <w:r>
        <w:rPr>
          <w:rFonts w:ascii="Times New Roman" w:eastAsia="Times New Roman" w:hAnsi="Times New Roman" w:cs="Times New Roman"/>
          <w:i/>
          <w:lang w:val="en-US"/>
        </w:rPr>
        <w:t>)</w:t>
      </w:r>
    </w:p>
    <w:p w:rsidR="00F9363F" w:rsidRDefault="00F9363F" w:rsidP="00C14833">
      <w:pPr>
        <w:widowControl w:val="0"/>
        <w:numPr>
          <w:ilvl w:val="1"/>
          <w:numId w:val="121"/>
        </w:numPr>
        <w:tabs>
          <w:tab w:val="left" w:pos="709"/>
          <w:tab w:val="left" w:pos="993"/>
          <w:tab w:val="num" w:pos="2069"/>
        </w:tabs>
        <w:spacing w:before="120" w:after="120" w:line="240" w:lineRule="auto"/>
        <w:ind w:left="851" w:hanging="567"/>
        <w:jc w:val="both"/>
        <w:rPr>
          <w:rFonts w:ascii="Times New Roman" w:eastAsia="Times New Roman" w:hAnsi="Times New Roman" w:cs="Times New Roman"/>
          <w:i/>
          <w:lang w:val="en-US"/>
        </w:rPr>
      </w:pPr>
      <w:r>
        <w:rPr>
          <w:rFonts w:ascii="Times New Roman" w:eastAsia="Times New Roman" w:hAnsi="Times New Roman" w:cs="Times New Roman"/>
          <w:bCs/>
        </w:rPr>
        <w:t>A járőrfeladatok helye, szerepe a békefenntartásban, a járőrök megszervezése és a járőrfeladatok végrehajtása a hadműveleti területen</w:t>
      </w:r>
      <w:r>
        <w:rPr>
          <w:rFonts w:ascii="Times New Roman" w:eastAsia="Times New Roman" w:hAnsi="Times New Roman" w:cs="Times New Roman"/>
          <w:bCs/>
          <w:i/>
        </w:rPr>
        <w:t>. (Roles and tasks of the patrols in area of operation.)</w:t>
      </w:r>
    </w:p>
    <w:p w:rsidR="00F9363F" w:rsidRDefault="00F9363F" w:rsidP="00C14833">
      <w:pPr>
        <w:widowControl w:val="0"/>
        <w:numPr>
          <w:ilvl w:val="1"/>
          <w:numId w:val="121"/>
        </w:numPr>
        <w:tabs>
          <w:tab w:val="left" w:pos="709"/>
          <w:tab w:val="left" w:pos="993"/>
          <w:tab w:val="num" w:pos="2069"/>
        </w:tabs>
        <w:spacing w:before="120" w:after="120" w:line="240" w:lineRule="auto"/>
        <w:ind w:left="851" w:hanging="567"/>
        <w:jc w:val="both"/>
        <w:rPr>
          <w:rFonts w:ascii="Times New Roman" w:eastAsia="Times New Roman" w:hAnsi="Times New Roman" w:cs="Times New Roman"/>
          <w:i/>
          <w:lang w:val="en-US"/>
        </w:rPr>
      </w:pPr>
      <w:r>
        <w:rPr>
          <w:rFonts w:ascii="Times New Roman" w:hAnsi="Times New Roman" w:cs="Times New Roman"/>
          <w:bCs/>
        </w:rPr>
        <w:lastRenderedPageBreak/>
        <w:t>A menetoszlopok, konvojok felépítése, a menetek végrehajtása és biztosítása (FP) a hadműveleti területen</w:t>
      </w:r>
      <w:r>
        <w:rPr>
          <w:rFonts w:ascii="Times New Roman" w:hAnsi="Times New Roman" w:cs="Times New Roman"/>
          <w:i/>
          <w:lang w:val="en-US"/>
        </w:rPr>
        <w:t xml:space="preserve">. </w:t>
      </w:r>
      <w:r>
        <w:rPr>
          <w:rFonts w:ascii="Times New Roman" w:eastAsia="Times New Roman" w:hAnsi="Times New Roman" w:cs="Times New Roman"/>
          <w:i/>
          <w:lang w:val="en-US"/>
        </w:rPr>
        <w:t xml:space="preserve"> (Executing marches and protecting convoys in operations</w:t>
      </w:r>
      <w:r>
        <w:rPr>
          <w:rFonts w:ascii="Times New Roman" w:eastAsia="Times New Roman" w:hAnsi="Times New Roman" w:cs="Times New Roman"/>
          <w:bCs/>
          <w:i/>
          <w:lang w:val="en-US"/>
        </w:rPr>
        <w:t>.</w:t>
      </w:r>
      <w:r>
        <w:rPr>
          <w:rFonts w:ascii="Times New Roman" w:eastAsia="Times New Roman" w:hAnsi="Times New Roman" w:cs="Times New Roman"/>
          <w:i/>
          <w:lang w:val="en-US"/>
        </w:rPr>
        <w:t>)</w:t>
      </w:r>
    </w:p>
    <w:p w:rsidR="00F9363F" w:rsidRDefault="00F9363F" w:rsidP="00C14833">
      <w:pPr>
        <w:widowControl w:val="0"/>
        <w:numPr>
          <w:ilvl w:val="1"/>
          <w:numId w:val="121"/>
        </w:numPr>
        <w:tabs>
          <w:tab w:val="left" w:pos="709"/>
          <w:tab w:val="left" w:pos="993"/>
          <w:tab w:val="num" w:pos="2069"/>
        </w:tabs>
        <w:spacing w:before="120" w:after="120" w:line="240" w:lineRule="auto"/>
        <w:ind w:left="851" w:hanging="567"/>
        <w:jc w:val="both"/>
        <w:rPr>
          <w:rFonts w:ascii="Times New Roman" w:eastAsia="Times New Roman" w:hAnsi="Times New Roman" w:cs="Times New Roman"/>
          <w:lang w:val="en-US"/>
        </w:rPr>
      </w:pPr>
      <w:r>
        <w:rPr>
          <w:rFonts w:ascii="Times New Roman" w:eastAsia="Times New Roman" w:hAnsi="Times New Roman" w:cs="Times New Roman"/>
          <w:bCs/>
        </w:rPr>
        <w:t>A találkozók megszervezésének szabályai, eljárásai, a tárgyalások vezetése és a tárgyalási technikák szituációban való gyakorlása</w:t>
      </w:r>
      <w:r>
        <w:rPr>
          <w:rFonts w:ascii="Times New Roman" w:eastAsia="Times New Roman" w:hAnsi="Times New Roman" w:cs="Times New Roman"/>
          <w:lang w:val="en-US"/>
        </w:rPr>
        <w:t xml:space="preserve">. </w:t>
      </w:r>
      <w:r>
        <w:rPr>
          <w:rFonts w:ascii="Times New Roman" w:eastAsia="Times New Roman" w:hAnsi="Times New Roman" w:cs="Times New Roman"/>
          <w:i/>
          <w:lang w:val="en-US"/>
        </w:rPr>
        <w:t>(Managing negotiations.)</w:t>
      </w:r>
    </w:p>
    <w:p w:rsidR="00F9363F" w:rsidRDefault="00F9363F" w:rsidP="00C14833">
      <w:pPr>
        <w:widowControl w:val="0"/>
        <w:numPr>
          <w:ilvl w:val="1"/>
          <w:numId w:val="121"/>
        </w:numPr>
        <w:tabs>
          <w:tab w:val="left" w:pos="709"/>
          <w:tab w:val="left" w:pos="993"/>
          <w:tab w:val="num" w:pos="2069"/>
        </w:tabs>
        <w:spacing w:before="120" w:after="120" w:line="240" w:lineRule="auto"/>
        <w:ind w:left="851" w:hanging="567"/>
        <w:jc w:val="both"/>
        <w:rPr>
          <w:rFonts w:ascii="Times New Roman" w:eastAsia="Times New Roman" w:hAnsi="Times New Roman" w:cs="Times New Roman"/>
          <w:lang w:val="en-US"/>
        </w:rPr>
      </w:pPr>
      <w:r>
        <w:rPr>
          <w:rFonts w:ascii="Times New Roman" w:eastAsia="Times New Roman" w:hAnsi="Times New Roman" w:cs="Times New Roman"/>
          <w:bCs/>
        </w:rPr>
        <w:t>Az incidensek kivizsgálásával kapcsolatos jogi ismeretek</w:t>
      </w:r>
      <w:r>
        <w:rPr>
          <w:rFonts w:ascii="Times New Roman" w:eastAsia="Times New Roman" w:hAnsi="Times New Roman" w:cs="Times New Roman"/>
          <w:i/>
          <w:lang w:val="en-US"/>
        </w:rPr>
        <w:t>. (Verfication.)</w:t>
      </w:r>
    </w:p>
    <w:p w:rsidR="00F9363F" w:rsidRDefault="00F9363F" w:rsidP="00C14833">
      <w:pPr>
        <w:widowControl w:val="0"/>
        <w:numPr>
          <w:ilvl w:val="1"/>
          <w:numId w:val="121"/>
        </w:numPr>
        <w:tabs>
          <w:tab w:val="left" w:pos="709"/>
          <w:tab w:val="left" w:pos="993"/>
          <w:tab w:val="num" w:pos="2069"/>
        </w:tabs>
        <w:spacing w:before="120" w:after="120" w:line="240" w:lineRule="auto"/>
        <w:ind w:left="851" w:hanging="567"/>
        <w:jc w:val="both"/>
        <w:rPr>
          <w:rFonts w:ascii="Times New Roman" w:eastAsia="Times New Roman" w:hAnsi="Times New Roman" w:cs="Times New Roman"/>
          <w:i/>
          <w:lang w:val="en-US"/>
        </w:rPr>
      </w:pPr>
      <w:r>
        <w:rPr>
          <w:rFonts w:ascii="Times New Roman" w:eastAsia="Times New Roman" w:hAnsi="Times New Roman" w:cs="Times New Roman"/>
          <w:bCs/>
        </w:rPr>
        <w:t>A figyelőpontok telepítésének elvei, azok berendezése és működtetése</w:t>
      </w:r>
      <w:r>
        <w:rPr>
          <w:rFonts w:ascii="Times New Roman" w:eastAsia="Times New Roman" w:hAnsi="Times New Roman" w:cs="Times New Roman"/>
          <w:lang w:val="en-US"/>
        </w:rPr>
        <w:t xml:space="preserve">. </w:t>
      </w:r>
      <w:r>
        <w:rPr>
          <w:rFonts w:ascii="Times New Roman" w:eastAsia="Times New Roman" w:hAnsi="Times New Roman" w:cs="Times New Roman"/>
          <w:bCs/>
        </w:rPr>
        <w:t>A megfigyelési feladatok végrehajtása, az információk nyilvántartásának, jelentésének és értékelésének rendje, módszerei</w:t>
      </w:r>
      <w:r>
        <w:rPr>
          <w:rFonts w:ascii="Times New Roman" w:eastAsia="Times New Roman" w:hAnsi="Times New Roman" w:cs="Times New Roman"/>
          <w:lang w:val="en-US"/>
        </w:rPr>
        <w:t xml:space="preserve">. </w:t>
      </w:r>
      <w:r>
        <w:rPr>
          <w:rFonts w:ascii="Times New Roman" w:eastAsia="Times New Roman" w:hAnsi="Times New Roman" w:cs="Times New Roman"/>
          <w:i/>
          <w:lang w:val="en-US"/>
        </w:rPr>
        <w:t>(Types and equipment of the observation posts. Tasks of the observer, reporting order and forms.)</w:t>
      </w:r>
    </w:p>
    <w:p w:rsidR="00F9363F" w:rsidRDefault="00F9363F" w:rsidP="00C14833">
      <w:pPr>
        <w:widowControl w:val="0"/>
        <w:numPr>
          <w:ilvl w:val="1"/>
          <w:numId w:val="121"/>
        </w:numPr>
        <w:tabs>
          <w:tab w:val="left" w:pos="709"/>
          <w:tab w:val="left" w:pos="993"/>
          <w:tab w:val="num" w:pos="2069"/>
        </w:tabs>
        <w:spacing w:before="120" w:after="120" w:line="240" w:lineRule="auto"/>
        <w:ind w:left="851" w:hanging="567"/>
        <w:jc w:val="both"/>
        <w:rPr>
          <w:rFonts w:ascii="Times New Roman" w:eastAsia="Times New Roman" w:hAnsi="Times New Roman" w:cs="Times New Roman"/>
          <w:lang w:val="en-US"/>
        </w:rPr>
      </w:pPr>
      <w:r>
        <w:rPr>
          <w:rFonts w:ascii="Times New Roman" w:eastAsia="Times New Roman" w:hAnsi="Times New Roman" w:cs="Times New Roman"/>
          <w:bCs/>
        </w:rPr>
        <w:t>Megfigyelési és járőr feladatok gyakorlása</w:t>
      </w:r>
      <w:r>
        <w:rPr>
          <w:rFonts w:ascii="Times New Roman" w:eastAsia="Times New Roman" w:hAnsi="Times New Roman" w:cs="Times New Roman"/>
          <w:lang w:val="en-US"/>
        </w:rPr>
        <w:t xml:space="preserve">. </w:t>
      </w:r>
      <w:r>
        <w:rPr>
          <w:rFonts w:ascii="Times New Roman" w:eastAsia="Times New Roman" w:hAnsi="Times New Roman" w:cs="Times New Roman"/>
          <w:i/>
          <w:lang w:val="en-US"/>
        </w:rPr>
        <w:t>(Observer and patrol practical training.)</w:t>
      </w:r>
    </w:p>
    <w:p w:rsidR="00F9363F" w:rsidRDefault="00F9363F" w:rsidP="00C14833">
      <w:pPr>
        <w:widowControl w:val="0"/>
        <w:numPr>
          <w:ilvl w:val="0"/>
          <w:numId w:val="121"/>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 tantárgy meghirdetésének gyakorisága/a tantervben történő félévi elhelyezkedése: </w:t>
      </w:r>
      <w:r>
        <w:rPr>
          <w:rFonts w:ascii="Times New Roman" w:eastAsia="Times New Roman" w:hAnsi="Times New Roman" w:cs="Times New Roman"/>
          <w:bCs/>
        </w:rPr>
        <w:t>Minden tavaszi szemeszterben / 4. félév</w:t>
      </w:r>
    </w:p>
    <w:p w:rsidR="00F9363F" w:rsidRDefault="00F9363F" w:rsidP="00C14833">
      <w:pPr>
        <w:widowControl w:val="0"/>
        <w:numPr>
          <w:ilvl w:val="0"/>
          <w:numId w:val="121"/>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tanórákon való részvétel követelményei, az elfogadható hiányzások mértéke, a távolmaradás pótlásának lehetősége:</w:t>
      </w:r>
      <w:r>
        <w:rPr>
          <w:rFonts w:ascii="Times New Roman" w:eastAsia="Times New Roman" w:hAnsi="Times New Roman" w:cs="Times New Roman"/>
          <w:bCs/>
        </w:rPr>
        <w:t xml:space="preserve"> Részvétel az órák legalább 100%-án. (A tantárgy kihelyezés keretében kerül oktatásra, ezért a foglalkozások pótlására nincs lehetőség.).</w:t>
      </w:r>
    </w:p>
    <w:p w:rsidR="00F9363F" w:rsidRDefault="00F9363F" w:rsidP="00C14833">
      <w:pPr>
        <w:widowControl w:val="0"/>
        <w:numPr>
          <w:ilvl w:val="0"/>
          <w:numId w:val="121"/>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rPr>
        <w:t xml:space="preserve">Félévközi feladatok, ismeretek ellenőrzésének rendje: </w:t>
      </w:r>
      <w:r>
        <w:rPr>
          <w:rFonts w:ascii="Times New Roman" w:hAnsi="Times New Roman"/>
        </w:rPr>
        <w:t>A tantárgy egy hetes kihelyezés keretében került végrehajtásra. Az ismeretek ellenőrzése a gyakorlat végén egy komplex megfigyelési és járőr feladat végrehajtásával kerül sor.</w:t>
      </w:r>
    </w:p>
    <w:p w:rsidR="00F9363F" w:rsidRDefault="00F9363F" w:rsidP="00C14833">
      <w:pPr>
        <w:widowControl w:val="0"/>
        <w:numPr>
          <w:ilvl w:val="0"/>
          <w:numId w:val="121"/>
        </w:numPr>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Az értékelés, az aláírás és a kreditek megszerzésének pontos feltételei: </w:t>
      </w:r>
    </w:p>
    <w:p w:rsidR="00F9363F" w:rsidRPr="00194AF9" w:rsidRDefault="00F9363F" w:rsidP="00C14833">
      <w:pPr>
        <w:widowControl w:val="0"/>
        <w:numPr>
          <w:ilvl w:val="1"/>
          <w:numId w:val="121"/>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194AF9">
        <w:rPr>
          <w:rFonts w:ascii="Times New Roman" w:eastAsia="Times New Roman" w:hAnsi="Times New Roman" w:cs="Times New Roman"/>
          <w:b/>
        </w:rPr>
        <w:t>Az aláírás megszerzésének feltételei:</w:t>
      </w:r>
      <w:r w:rsidR="00194AF9" w:rsidRPr="00194AF9">
        <w:rPr>
          <w:rFonts w:ascii="Times New Roman" w:eastAsia="Times New Roman" w:hAnsi="Times New Roman" w:cs="Times New Roman"/>
          <w:b/>
        </w:rPr>
        <w:t xml:space="preserve"> </w:t>
      </w:r>
      <w:r w:rsidRPr="00194AF9">
        <w:rPr>
          <w:rFonts w:ascii="Times New Roman" w:eastAsia="Times New Roman" w:hAnsi="Times New Roman" w:cs="Times New Roman"/>
        </w:rPr>
        <w:t>A kihelyezés foglalkozásain valamint a komplex megfigyelési és járőrfeladaton történő részvétel.</w:t>
      </w:r>
    </w:p>
    <w:p w:rsidR="00F9363F" w:rsidRPr="00194AF9" w:rsidRDefault="00F9363F" w:rsidP="00C14833">
      <w:pPr>
        <w:widowControl w:val="0"/>
        <w:numPr>
          <w:ilvl w:val="1"/>
          <w:numId w:val="121"/>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194AF9">
        <w:rPr>
          <w:rFonts w:ascii="Times New Roman" w:eastAsia="Times New Roman" w:hAnsi="Times New Roman" w:cs="Times New Roman"/>
          <w:b/>
        </w:rPr>
        <w:t>Az értékelés:</w:t>
      </w:r>
      <w:r w:rsidR="00194AF9" w:rsidRPr="00194AF9">
        <w:rPr>
          <w:rFonts w:ascii="Times New Roman" w:eastAsia="Times New Roman" w:hAnsi="Times New Roman" w:cs="Times New Roman"/>
          <w:b/>
        </w:rPr>
        <w:t xml:space="preserve"> </w:t>
      </w:r>
      <w:r w:rsidRPr="00194AF9">
        <w:rPr>
          <w:rFonts w:ascii="Times New Roman" w:eastAsia="Times New Roman" w:hAnsi="Times New Roman" w:cs="Times New Roman"/>
        </w:rPr>
        <w:t>Az ötfokozatú gyakorlati jegy az egyhetes kihelyezés során végrehajtott gyakorlati feladatok végrehajtására kapott osztályzatok egyszerű számtani átlaga.</w:t>
      </w:r>
    </w:p>
    <w:p w:rsidR="00F9363F" w:rsidRPr="00194AF9" w:rsidRDefault="00F9363F" w:rsidP="00C14833">
      <w:pPr>
        <w:widowControl w:val="0"/>
        <w:numPr>
          <w:ilvl w:val="1"/>
          <w:numId w:val="121"/>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194AF9">
        <w:rPr>
          <w:rFonts w:ascii="Times New Roman" w:eastAsia="Times New Roman" w:hAnsi="Times New Roman" w:cs="Times New Roman"/>
          <w:b/>
        </w:rPr>
        <w:t>A kreditek megszerzésének feltételei:</w:t>
      </w:r>
      <w:r w:rsidRPr="00194AF9">
        <w:rPr>
          <w:rFonts w:ascii="Times New Roman" w:eastAsia="Times New Roman" w:hAnsi="Times New Roman" w:cs="Times New Roman"/>
        </w:rPr>
        <w:t xml:space="preserve"> A kreditek megszerzése a gyakorlati jegy megszerzésével történik.</w:t>
      </w:r>
    </w:p>
    <w:p w:rsidR="00F9363F" w:rsidRDefault="00F9363F" w:rsidP="00C14833">
      <w:pPr>
        <w:widowControl w:val="0"/>
        <w:numPr>
          <w:ilvl w:val="0"/>
          <w:numId w:val="121"/>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Irodalomjegyzék:</w:t>
      </w:r>
    </w:p>
    <w:p w:rsidR="00F9363F" w:rsidRPr="00316064" w:rsidRDefault="00F9363F" w:rsidP="00C14833">
      <w:pPr>
        <w:widowControl w:val="0"/>
        <w:numPr>
          <w:ilvl w:val="1"/>
          <w:numId w:val="121"/>
        </w:numPr>
        <w:tabs>
          <w:tab w:val="num" w:pos="567"/>
          <w:tab w:val="num" w:pos="2069"/>
        </w:tabs>
        <w:spacing w:before="120" w:after="120" w:line="240" w:lineRule="auto"/>
        <w:ind w:left="993" w:hanging="709"/>
        <w:jc w:val="both"/>
        <w:rPr>
          <w:rFonts w:ascii="Times New Roman" w:hAnsi="Times New Roman" w:cs="Times New Roman"/>
          <w:bCs/>
        </w:rPr>
      </w:pPr>
      <w:r>
        <w:rPr>
          <w:rFonts w:ascii="Times New Roman" w:eastAsia="Times New Roman" w:hAnsi="Times New Roman" w:cs="Times New Roman"/>
          <w:b/>
          <w:bCs/>
        </w:rPr>
        <w:t>Kötelező irodalom:</w:t>
      </w:r>
    </w:p>
    <w:p w:rsidR="00316064" w:rsidRPr="00316064" w:rsidRDefault="00316064" w:rsidP="00C14833">
      <w:pPr>
        <w:pStyle w:val="Listaszerbekezds"/>
        <w:numPr>
          <w:ilvl w:val="0"/>
          <w:numId w:val="122"/>
        </w:numPr>
        <w:spacing w:after="0" w:line="240" w:lineRule="auto"/>
        <w:rPr>
          <w:rFonts w:ascii="Times New Roman" w:hAnsi="Times New Roman" w:cs="Times New Roman"/>
          <w:bCs/>
          <w:highlight w:val="yellow"/>
        </w:rPr>
      </w:pPr>
      <w:r w:rsidRPr="00316064">
        <w:rPr>
          <w:rFonts w:ascii="Times New Roman" w:hAnsi="Times New Roman" w:cs="Times New Roman"/>
          <w:bCs/>
          <w:highlight w:val="yellow"/>
        </w:rPr>
        <w:t xml:space="preserve">Tomolya János: Békefenntartó Kézikönyv (Zrínyi Kiadó, Budapest 2010) </w:t>
      </w:r>
    </w:p>
    <w:p w:rsidR="00316064" w:rsidRPr="00316064" w:rsidRDefault="00F9363F" w:rsidP="00C14833">
      <w:pPr>
        <w:pStyle w:val="Listaszerbekezds"/>
        <w:numPr>
          <w:ilvl w:val="0"/>
          <w:numId w:val="122"/>
        </w:numPr>
        <w:spacing w:after="0" w:line="240" w:lineRule="auto"/>
        <w:rPr>
          <w:rFonts w:ascii="Times New Roman" w:hAnsi="Times New Roman" w:cs="Times New Roman"/>
          <w:bCs/>
          <w:highlight w:val="yellow"/>
        </w:rPr>
      </w:pPr>
      <w:r w:rsidRPr="00316064">
        <w:rPr>
          <w:rFonts w:ascii="Times New Roman" w:hAnsi="Times New Roman" w:cs="Times New Roman"/>
          <w:bCs/>
          <w:highlight w:val="yellow"/>
        </w:rPr>
        <w:t xml:space="preserve">NATO AJP 3.4.1. Béketámogató Műveletek Kézikönyv (2001) </w:t>
      </w:r>
    </w:p>
    <w:p w:rsidR="00316064" w:rsidRPr="00316064" w:rsidRDefault="00316064" w:rsidP="00C14833">
      <w:pPr>
        <w:pStyle w:val="Listaszerbekezds"/>
        <w:numPr>
          <w:ilvl w:val="0"/>
          <w:numId w:val="122"/>
        </w:numPr>
        <w:spacing w:after="0" w:line="240" w:lineRule="auto"/>
        <w:rPr>
          <w:rFonts w:ascii="Times New Roman" w:hAnsi="Times New Roman" w:cs="Times New Roman"/>
          <w:bCs/>
          <w:highlight w:val="yellow"/>
        </w:rPr>
      </w:pPr>
      <w:r w:rsidRPr="00316064">
        <w:rPr>
          <w:rFonts w:ascii="Times New Roman" w:hAnsi="Times New Roman" w:cs="Times New Roman"/>
          <w:bCs/>
          <w:highlight w:val="yellow"/>
        </w:rPr>
        <w:t xml:space="preserve">NATO APP- 6 A földi telepítésű katonai rendszerek grafikai jelei </w:t>
      </w:r>
    </w:p>
    <w:p w:rsidR="00F9363F" w:rsidRPr="00316064" w:rsidRDefault="00F9363F" w:rsidP="00C14833">
      <w:pPr>
        <w:widowControl w:val="0"/>
        <w:numPr>
          <w:ilvl w:val="1"/>
          <w:numId w:val="121"/>
        </w:numPr>
        <w:tabs>
          <w:tab w:val="num" w:pos="567"/>
          <w:tab w:val="num" w:pos="2069"/>
        </w:tabs>
        <w:spacing w:before="120" w:after="120" w:line="240" w:lineRule="auto"/>
        <w:ind w:left="993" w:hanging="709"/>
        <w:jc w:val="both"/>
        <w:rPr>
          <w:rFonts w:ascii="Times New Roman" w:eastAsia="Times New Roman" w:hAnsi="Times New Roman" w:cs="Times New Roman"/>
          <w:b/>
          <w:bCs/>
          <w:highlight w:val="yellow"/>
        </w:rPr>
      </w:pPr>
      <w:r w:rsidRPr="00316064">
        <w:rPr>
          <w:rFonts w:ascii="Times New Roman" w:eastAsia="Times New Roman" w:hAnsi="Times New Roman" w:cs="Times New Roman"/>
          <w:b/>
          <w:bCs/>
          <w:highlight w:val="yellow"/>
        </w:rPr>
        <w:t>Ajánlott irodalom:</w:t>
      </w:r>
    </w:p>
    <w:p w:rsidR="00F9363F" w:rsidRPr="00316064" w:rsidRDefault="00F9363F" w:rsidP="00C14833">
      <w:pPr>
        <w:pStyle w:val="lfej"/>
        <w:numPr>
          <w:ilvl w:val="0"/>
          <w:numId w:val="123"/>
        </w:numPr>
        <w:tabs>
          <w:tab w:val="right" w:pos="900"/>
        </w:tabs>
        <w:ind w:left="714" w:hanging="357"/>
        <w:jc w:val="both"/>
        <w:rPr>
          <w:rFonts w:ascii="Times New Roman" w:hAnsi="Times New Roman" w:cs="Times New Roman"/>
          <w:bCs/>
          <w:highlight w:val="yellow"/>
        </w:rPr>
      </w:pPr>
      <w:r w:rsidRPr="00316064">
        <w:rPr>
          <w:rFonts w:ascii="Times New Roman" w:hAnsi="Times New Roman" w:cs="Times New Roman"/>
          <w:highlight w:val="yellow"/>
        </w:rPr>
        <w:t xml:space="preserve">United Nations Peacekeeping Operations, Department of Peacekeeping Operations Department of Field Support, </w:t>
      </w:r>
    </w:p>
    <w:p w:rsidR="00F9363F" w:rsidRPr="00316064" w:rsidRDefault="00F9363F" w:rsidP="00C14833">
      <w:pPr>
        <w:pStyle w:val="lfej"/>
        <w:numPr>
          <w:ilvl w:val="0"/>
          <w:numId w:val="123"/>
        </w:numPr>
        <w:tabs>
          <w:tab w:val="right" w:pos="900"/>
        </w:tabs>
        <w:ind w:left="714" w:hanging="357"/>
        <w:jc w:val="both"/>
        <w:rPr>
          <w:rFonts w:ascii="Times New Roman" w:hAnsi="Times New Roman" w:cs="Times New Roman"/>
          <w:bCs/>
          <w:highlight w:val="yellow"/>
        </w:rPr>
      </w:pPr>
      <w:r w:rsidRPr="00316064">
        <w:rPr>
          <w:rFonts w:ascii="Times New Roman" w:hAnsi="Times New Roman" w:cs="Times New Roman"/>
          <w:bCs/>
          <w:highlight w:val="yellow"/>
        </w:rPr>
        <w:t>UN Military Observer Handbook</w:t>
      </w:r>
    </w:p>
    <w:p w:rsidR="00316064" w:rsidRPr="00316064" w:rsidRDefault="00316064" w:rsidP="00C14833">
      <w:pPr>
        <w:pStyle w:val="Listaszerbekezds"/>
        <w:numPr>
          <w:ilvl w:val="0"/>
          <w:numId w:val="123"/>
        </w:numPr>
        <w:spacing w:after="0" w:line="240" w:lineRule="auto"/>
        <w:rPr>
          <w:rFonts w:ascii="Times New Roman" w:hAnsi="Times New Roman" w:cs="Times New Roman"/>
          <w:bCs/>
          <w:highlight w:val="yellow"/>
        </w:rPr>
      </w:pPr>
      <w:r w:rsidRPr="00316064">
        <w:rPr>
          <w:rFonts w:ascii="Times New Roman" w:hAnsi="Times New Roman" w:cs="Times New Roman"/>
          <w:bCs/>
          <w:highlight w:val="yellow"/>
        </w:rPr>
        <w:t>NORDCAPS Tactical manual</w:t>
      </w:r>
    </w:p>
    <w:p w:rsidR="00316064" w:rsidRPr="00316064" w:rsidRDefault="00316064" w:rsidP="00C14833">
      <w:pPr>
        <w:pStyle w:val="lfej"/>
        <w:numPr>
          <w:ilvl w:val="0"/>
          <w:numId w:val="123"/>
        </w:numPr>
        <w:tabs>
          <w:tab w:val="right" w:pos="900"/>
        </w:tabs>
        <w:ind w:left="714" w:hanging="357"/>
        <w:jc w:val="both"/>
        <w:rPr>
          <w:rFonts w:ascii="Times New Roman" w:hAnsi="Times New Roman" w:cs="Times New Roman"/>
          <w:bCs/>
          <w:highlight w:val="yellow"/>
        </w:rPr>
      </w:pPr>
      <w:r w:rsidRPr="00316064">
        <w:rPr>
          <w:rFonts w:ascii="Times New Roman" w:hAnsi="Times New Roman" w:cs="Times New Roman"/>
          <w:bCs/>
          <w:highlight w:val="yellow"/>
        </w:rPr>
        <w:t xml:space="preserve">NATO TEPSO Manual (Training and Education for Peace Support Operations) </w:t>
      </w:r>
    </w:p>
    <w:p w:rsidR="00316064" w:rsidRDefault="00316064" w:rsidP="008963FD">
      <w:pPr>
        <w:widowControl w:val="0"/>
        <w:spacing w:before="120" w:after="120" w:line="240" w:lineRule="auto"/>
        <w:ind w:firstLine="357"/>
        <w:jc w:val="both"/>
        <w:rPr>
          <w:rFonts w:ascii="Times New Roman" w:eastAsia="Times New Roman" w:hAnsi="Times New Roman" w:cs="Times New Roman"/>
          <w:bCs/>
        </w:rPr>
      </w:pPr>
    </w:p>
    <w:p w:rsidR="00F9363F" w:rsidRDefault="00F9363F" w:rsidP="008963FD">
      <w:pPr>
        <w:widowControl w:val="0"/>
        <w:spacing w:before="120" w:after="120" w:line="240" w:lineRule="auto"/>
        <w:ind w:firstLine="357"/>
        <w:jc w:val="both"/>
        <w:rPr>
          <w:rFonts w:ascii="Times New Roman" w:eastAsia="Times New Roman" w:hAnsi="Times New Roman" w:cs="Times New Roman"/>
          <w:bCs/>
        </w:rPr>
      </w:pPr>
      <w:r>
        <w:rPr>
          <w:rFonts w:ascii="Times New Roman" w:eastAsia="Times New Roman" w:hAnsi="Times New Roman" w:cs="Times New Roman"/>
          <w:bCs/>
        </w:rPr>
        <w:t>Budapest, 2020. január 22.</w:t>
      </w:r>
    </w:p>
    <w:p w:rsidR="00F9363F" w:rsidRPr="00C45574" w:rsidRDefault="00F9363F" w:rsidP="00F9363F">
      <w:pPr>
        <w:widowControl w:val="0"/>
        <w:spacing w:after="0" w:line="240" w:lineRule="auto"/>
        <w:jc w:val="right"/>
        <w:rPr>
          <w:rFonts w:ascii="Times New Roman" w:hAnsi="Times New Roman" w:cs="Times New Roman"/>
          <w:b/>
          <w:bCs/>
        </w:rPr>
      </w:pPr>
      <w:r w:rsidRPr="00C45574">
        <w:rPr>
          <w:rFonts w:ascii="Times New Roman" w:hAnsi="Times New Roman" w:cs="Times New Roman"/>
          <w:b/>
          <w:bCs/>
        </w:rPr>
        <w:t>Dr. Boldizsár Gábor ezredes PhD</w:t>
      </w:r>
    </w:p>
    <w:p w:rsidR="00F9363F" w:rsidRDefault="00F9363F" w:rsidP="00F9363F">
      <w:pPr>
        <w:widowControl w:val="0"/>
        <w:spacing w:after="0" w:line="240" w:lineRule="auto"/>
        <w:jc w:val="center"/>
        <w:rPr>
          <w:rFonts w:ascii="Times New Roman" w:eastAsia="Times New Roman" w:hAnsi="Times New Roman" w:cs="Times New Roman"/>
          <w:bCs/>
        </w:rPr>
      </w:pPr>
      <w:r>
        <w:rPr>
          <w:rFonts w:ascii="Times New Roman" w:hAnsi="Times New Roman" w:cs="Times New Roman"/>
          <w:bCs/>
        </w:rPr>
        <w:t xml:space="preserve">                                                                                                                egyetemi docens</w:t>
      </w:r>
    </w:p>
    <w:p w:rsidR="00EF4D49" w:rsidRDefault="00EF4D49">
      <w:pPr>
        <w:spacing w:after="200" w:line="276" w:lineRule="auto"/>
        <w:rPr>
          <w:rFonts w:ascii="Times New Roman" w:hAnsi="Times New Roman" w:cs="Times New Roman"/>
          <w:sz w:val="24"/>
        </w:rPr>
      </w:pPr>
    </w:p>
    <w:p w:rsidR="00316064" w:rsidRDefault="00316064">
      <w:r>
        <w:br w:type="page"/>
      </w:r>
    </w:p>
    <w:tbl>
      <w:tblPr>
        <w:tblW w:w="9072" w:type="dxa"/>
        <w:tblInd w:w="113" w:type="dxa"/>
        <w:tblLook w:val="01E0" w:firstRow="1" w:lastRow="1" w:firstColumn="1" w:lastColumn="1" w:noHBand="0" w:noVBand="0"/>
      </w:tblPr>
      <w:tblGrid>
        <w:gridCol w:w="4855"/>
        <w:gridCol w:w="1620"/>
        <w:gridCol w:w="2597"/>
      </w:tblGrid>
      <w:tr w:rsidR="00CF0138" w:rsidRPr="00E33E54" w:rsidTr="00B6175C">
        <w:tc>
          <w:tcPr>
            <w:tcW w:w="4855" w:type="dxa"/>
            <w:tcBorders>
              <w:bottom w:val="single" w:sz="4" w:space="0" w:color="auto"/>
            </w:tcBorders>
          </w:tcPr>
          <w:p w:rsidR="00CF0138" w:rsidRPr="00E33E54" w:rsidRDefault="00CF0138" w:rsidP="00B6175C">
            <w:pPr>
              <w:spacing w:after="0" w:line="240" w:lineRule="auto"/>
              <w:jc w:val="center"/>
              <w:rPr>
                <w:rFonts w:ascii="Times New Roman" w:eastAsia="Times New Roman" w:hAnsi="Times New Roman" w:cs="Times New Roman"/>
                <w:b/>
                <w:smallCaps/>
                <w:lang w:eastAsia="hu-HU"/>
              </w:rPr>
            </w:pPr>
            <w:r w:rsidRPr="00E33E54">
              <w:rPr>
                <w:rFonts w:ascii="Times New Roman" w:eastAsia="Times New Roman" w:hAnsi="Times New Roman" w:cs="Times New Roman"/>
                <w:b/>
                <w:smallCaps/>
                <w:lang w:eastAsia="hu-HU"/>
              </w:rPr>
              <w:lastRenderedPageBreak/>
              <w:t>Nemzeti Közszolgálati Egyetem</w:t>
            </w:r>
          </w:p>
        </w:tc>
        <w:tc>
          <w:tcPr>
            <w:tcW w:w="1620" w:type="dxa"/>
          </w:tcPr>
          <w:p w:rsidR="00CF0138" w:rsidRPr="00E33E54" w:rsidRDefault="00CF0138" w:rsidP="00B6175C">
            <w:pPr>
              <w:spacing w:after="0" w:line="240" w:lineRule="auto"/>
              <w:jc w:val="both"/>
              <w:rPr>
                <w:rFonts w:ascii="Times New Roman" w:eastAsia="Times New Roman" w:hAnsi="Times New Roman" w:cs="Times New Roman"/>
                <w:lang w:eastAsia="hu-HU"/>
              </w:rPr>
            </w:pPr>
          </w:p>
        </w:tc>
        <w:tc>
          <w:tcPr>
            <w:tcW w:w="2597" w:type="dxa"/>
          </w:tcPr>
          <w:p w:rsidR="00CF0138" w:rsidRPr="00E33E54" w:rsidRDefault="00CF0138" w:rsidP="00B6175C">
            <w:pPr>
              <w:spacing w:after="0" w:line="240" w:lineRule="auto"/>
              <w:jc w:val="right"/>
              <w:rPr>
                <w:rFonts w:ascii="Times New Roman" w:eastAsia="Times New Roman" w:hAnsi="Times New Roman" w:cs="Times New Roman"/>
                <w:lang w:eastAsia="hu-HU"/>
              </w:rPr>
            </w:pPr>
          </w:p>
        </w:tc>
      </w:tr>
      <w:tr w:rsidR="00CF0138" w:rsidRPr="00E33E54" w:rsidTr="00B6175C">
        <w:tc>
          <w:tcPr>
            <w:tcW w:w="4855" w:type="dxa"/>
            <w:tcBorders>
              <w:top w:val="single" w:sz="4" w:space="0" w:color="auto"/>
            </w:tcBorders>
          </w:tcPr>
          <w:p w:rsidR="00CF0138" w:rsidRPr="00E33E54" w:rsidRDefault="00CF0138" w:rsidP="00B6175C">
            <w:pPr>
              <w:spacing w:after="0" w:line="240" w:lineRule="auto"/>
              <w:jc w:val="center"/>
              <w:rPr>
                <w:rFonts w:ascii="Times New Roman" w:eastAsia="Times New Roman" w:hAnsi="Times New Roman" w:cs="Times New Roman"/>
                <w:b/>
                <w:lang w:eastAsia="hu-HU"/>
              </w:rPr>
            </w:pPr>
            <w:r w:rsidRPr="00E33E54">
              <w:rPr>
                <w:rFonts w:ascii="Times New Roman" w:eastAsia="Times New Roman" w:hAnsi="Times New Roman" w:cs="Times New Roman"/>
                <w:b/>
                <w:lang w:eastAsia="hu-HU"/>
              </w:rPr>
              <w:t>Hadtudományi és Honvédtisztképző Kar</w:t>
            </w:r>
          </w:p>
        </w:tc>
        <w:tc>
          <w:tcPr>
            <w:tcW w:w="1620" w:type="dxa"/>
          </w:tcPr>
          <w:p w:rsidR="00CF0138" w:rsidRPr="00E33E54" w:rsidRDefault="00CF0138" w:rsidP="00B6175C">
            <w:pPr>
              <w:spacing w:after="0" w:line="240" w:lineRule="auto"/>
              <w:jc w:val="both"/>
              <w:rPr>
                <w:rFonts w:ascii="Times New Roman" w:eastAsia="Times New Roman" w:hAnsi="Times New Roman" w:cs="Times New Roman"/>
                <w:lang w:eastAsia="hu-HU"/>
              </w:rPr>
            </w:pPr>
          </w:p>
        </w:tc>
        <w:tc>
          <w:tcPr>
            <w:tcW w:w="2597" w:type="dxa"/>
          </w:tcPr>
          <w:p w:rsidR="00CF0138" w:rsidRPr="00E33E54" w:rsidRDefault="00CF0138" w:rsidP="00B6175C">
            <w:pPr>
              <w:spacing w:after="0" w:line="240" w:lineRule="auto"/>
              <w:jc w:val="both"/>
              <w:rPr>
                <w:rFonts w:ascii="Times New Roman" w:eastAsia="Times New Roman" w:hAnsi="Times New Roman" w:cs="Times New Roman"/>
                <w:lang w:eastAsia="hu-HU"/>
              </w:rPr>
            </w:pPr>
          </w:p>
        </w:tc>
      </w:tr>
    </w:tbl>
    <w:p w:rsidR="00CF0138" w:rsidRPr="00E33E54" w:rsidRDefault="00CF0138" w:rsidP="00CF0138">
      <w:pPr>
        <w:widowControl w:val="0"/>
        <w:spacing w:before="120" w:after="120" w:line="240" w:lineRule="auto"/>
        <w:ind w:left="426" w:hanging="142"/>
        <w:jc w:val="center"/>
        <w:rPr>
          <w:rFonts w:ascii="Times New Roman" w:eastAsia="Times New Roman" w:hAnsi="Times New Roman" w:cs="Times New Roman"/>
          <w:b/>
          <w:bCs/>
        </w:rPr>
      </w:pPr>
    </w:p>
    <w:p w:rsidR="00CF0138" w:rsidRPr="00E33E54" w:rsidRDefault="00CF0138" w:rsidP="00CF0138">
      <w:pPr>
        <w:widowControl w:val="0"/>
        <w:spacing w:before="120" w:after="120" w:line="240" w:lineRule="auto"/>
        <w:ind w:left="426" w:hanging="142"/>
        <w:jc w:val="center"/>
        <w:rPr>
          <w:rFonts w:ascii="Times New Roman" w:eastAsia="Times New Roman" w:hAnsi="Times New Roman" w:cs="Times New Roman"/>
          <w:b/>
          <w:bCs/>
        </w:rPr>
      </w:pPr>
      <w:r w:rsidRPr="00E33E54">
        <w:rPr>
          <w:rFonts w:ascii="Times New Roman" w:eastAsia="Times New Roman" w:hAnsi="Times New Roman" w:cs="Times New Roman"/>
          <w:b/>
          <w:bCs/>
        </w:rPr>
        <w:t>TANTÁRGYI PROGRAM</w:t>
      </w:r>
    </w:p>
    <w:p w:rsidR="00CF0138" w:rsidRPr="00E33E54" w:rsidRDefault="00CF0138" w:rsidP="00980876">
      <w:pPr>
        <w:widowControl w:val="0"/>
        <w:numPr>
          <w:ilvl w:val="0"/>
          <w:numId w:val="411"/>
        </w:numPr>
        <w:tabs>
          <w:tab w:val="num" w:pos="567"/>
        </w:tabs>
        <w:spacing w:before="120" w:after="120" w:line="240" w:lineRule="auto"/>
        <w:ind w:left="426" w:hanging="142"/>
        <w:jc w:val="both"/>
        <w:rPr>
          <w:rFonts w:ascii="Times New Roman" w:eastAsia="Times New Roman" w:hAnsi="Times New Roman" w:cs="Times New Roman"/>
          <w:bCs/>
        </w:rPr>
      </w:pPr>
      <w:r w:rsidRPr="00E33E54">
        <w:rPr>
          <w:rFonts w:ascii="Times New Roman" w:eastAsia="Times New Roman" w:hAnsi="Times New Roman" w:cs="Times New Roman"/>
          <w:b/>
          <w:bCs/>
        </w:rPr>
        <w:t xml:space="preserve">A tantárgy kódja: </w:t>
      </w:r>
      <w:r w:rsidRPr="00E33E54">
        <w:rPr>
          <w:rFonts w:ascii="Times New Roman" w:eastAsia="Times New Roman" w:hAnsi="Times New Roman" w:cs="Times New Roman"/>
          <w:bCs/>
        </w:rPr>
        <w:t>HKHDTA02</w:t>
      </w:r>
    </w:p>
    <w:p w:rsidR="00CF0138" w:rsidRPr="00E33E54" w:rsidRDefault="00CF0138" w:rsidP="00980876">
      <w:pPr>
        <w:widowControl w:val="0"/>
        <w:numPr>
          <w:ilvl w:val="0"/>
          <w:numId w:val="411"/>
        </w:numPr>
        <w:tabs>
          <w:tab w:val="num" w:pos="567"/>
        </w:tabs>
        <w:spacing w:before="120" w:after="120" w:line="240" w:lineRule="auto"/>
        <w:ind w:left="426" w:hanging="142"/>
        <w:jc w:val="both"/>
        <w:rPr>
          <w:rFonts w:ascii="Times New Roman" w:eastAsia="Times New Roman" w:hAnsi="Times New Roman" w:cs="Times New Roman"/>
          <w:b/>
          <w:bCs/>
          <w:lang w:val="en-GB"/>
        </w:rPr>
      </w:pPr>
      <w:r w:rsidRPr="00E33E54">
        <w:rPr>
          <w:rFonts w:ascii="Times New Roman" w:eastAsia="Times New Roman" w:hAnsi="Times New Roman" w:cs="Times New Roman"/>
          <w:b/>
          <w:bCs/>
        </w:rPr>
        <w:t>A tantárgy megnevezése (magyarul):</w:t>
      </w:r>
      <w:r w:rsidRPr="00E33E54">
        <w:rPr>
          <w:rFonts w:ascii="Times New Roman" w:eastAsia="Times New Roman" w:hAnsi="Times New Roman" w:cs="Times New Roman"/>
          <w:bCs/>
        </w:rPr>
        <w:t xml:space="preserve"> Műszaki alapismeretek</w:t>
      </w:r>
    </w:p>
    <w:p w:rsidR="00CF0138" w:rsidRPr="00E33E54" w:rsidRDefault="00CF0138" w:rsidP="00980876">
      <w:pPr>
        <w:widowControl w:val="0"/>
        <w:numPr>
          <w:ilvl w:val="0"/>
          <w:numId w:val="411"/>
        </w:numPr>
        <w:tabs>
          <w:tab w:val="num" w:pos="567"/>
        </w:tabs>
        <w:spacing w:before="120" w:after="120" w:line="240" w:lineRule="auto"/>
        <w:ind w:left="426" w:hanging="142"/>
        <w:jc w:val="both"/>
        <w:rPr>
          <w:rFonts w:ascii="Times New Roman" w:eastAsia="Times New Roman" w:hAnsi="Times New Roman" w:cs="Times New Roman"/>
          <w:b/>
          <w:bCs/>
          <w:lang w:val="en-GB"/>
        </w:rPr>
      </w:pPr>
      <w:r w:rsidRPr="00E33E54">
        <w:rPr>
          <w:rFonts w:ascii="Times New Roman" w:eastAsia="Times New Roman" w:hAnsi="Times New Roman" w:cs="Times New Roman"/>
          <w:b/>
          <w:bCs/>
        </w:rPr>
        <w:t xml:space="preserve">A tantárgy megnevezése (angolul): </w:t>
      </w:r>
      <w:r w:rsidRPr="00E33E54">
        <w:rPr>
          <w:rFonts w:ascii="Times New Roman" w:eastAsia="Times New Roman" w:hAnsi="Times New Roman" w:cs="Times New Roman"/>
          <w:bCs/>
        </w:rPr>
        <w:t>Basics Engineering</w:t>
      </w:r>
    </w:p>
    <w:p w:rsidR="00CF0138" w:rsidRPr="00E33E54" w:rsidRDefault="00CF0138" w:rsidP="00980876">
      <w:pPr>
        <w:widowControl w:val="0"/>
        <w:numPr>
          <w:ilvl w:val="0"/>
          <w:numId w:val="411"/>
        </w:numPr>
        <w:tabs>
          <w:tab w:val="num" w:pos="567"/>
        </w:tabs>
        <w:spacing w:before="120" w:after="120" w:line="240" w:lineRule="auto"/>
        <w:ind w:left="426" w:hanging="142"/>
        <w:jc w:val="both"/>
        <w:rPr>
          <w:rFonts w:ascii="Times New Roman" w:eastAsia="Times New Roman" w:hAnsi="Times New Roman" w:cs="Times New Roman"/>
          <w:b/>
          <w:bCs/>
        </w:rPr>
      </w:pPr>
      <w:r w:rsidRPr="00E33E54">
        <w:rPr>
          <w:rFonts w:ascii="Times New Roman" w:eastAsia="Times New Roman" w:hAnsi="Times New Roman" w:cs="Times New Roman"/>
          <w:b/>
          <w:bCs/>
        </w:rPr>
        <w:t xml:space="preserve">Kreditérték és képzési karakter: </w:t>
      </w:r>
    </w:p>
    <w:p w:rsidR="00CF0138" w:rsidRPr="00E33E54" w:rsidRDefault="00CF0138" w:rsidP="00980876">
      <w:pPr>
        <w:pStyle w:val="Listaszerbekezds"/>
        <w:widowControl w:val="0"/>
        <w:numPr>
          <w:ilvl w:val="1"/>
          <w:numId w:val="411"/>
        </w:numPr>
        <w:tabs>
          <w:tab w:val="clear" w:pos="3977"/>
        </w:tabs>
        <w:spacing w:before="120" w:after="120" w:line="240" w:lineRule="auto"/>
        <w:ind w:left="993" w:hanging="426"/>
        <w:jc w:val="both"/>
        <w:rPr>
          <w:rFonts w:ascii="Times New Roman" w:eastAsia="Times New Roman" w:hAnsi="Times New Roman" w:cs="Times New Roman"/>
          <w:b/>
          <w:bCs/>
        </w:rPr>
      </w:pPr>
      <w:r w:rsidRPr="00E33E54">
        <w:rPr>
          <w:rFonts w:ascii="Times New Roman" w:eastAsia="Times New Roman" w:hAnsi="Times New Roman" w:cs="Times New Roman"/>
          <w:bCs/>
        </w:rPr>
        <w:t>2 kredit</w:t>
      </w:r>
    </w:p>
    <w:p w:rsidR="00CF0138" w:rsidRPr="00E33E54" w:rsidRDefault="00CF0138" w:rsidP="00980876">
      <w:pPr>
        <w:pStyle w:val="Listaszerbekezds"/>
        <w:widowControl w:val="0"/>
        <w:numPr>
          <w:ilvl w:val="1"/>
          <w:numId w:val="411"/>
        </w:numPr>
        <w:tabs>
          <w:tab w:val="clear" w:pos="3977"/>
        </w:tabs>
        <w:spacing w:before="120" w:after="120" w:line="240" w:lineRule="auto"/>
        <w:ind w:left="993" w:hanging="426"/>
        <w:jc w:val="both"/>
        <w:rPr>
          <w:rFonts w:ascii="Times New Roman" w:eastAsia="Times New Roman" w:hAnsi="Times New Roman" w:cs="Times New Roman"/>
          <w:b/>
          <w:bCs/>
        </w:rPr>
      </w:pPr>
      <w:r w:rsidRPr="00E33E54">
        <w:rPr>
          <w:rFonts w:ascii="Times New Roman" w:eastAsia="Times New Roman" w:hAnsi="Times New Roman" w:cs="Times New Roman"/>
          <w:bCs/>
        </w:rPr>
        <w:t>a tantárgy elméleti vagy gyakorlati jellegének mértéke: 50</w:t>
      </w:r>
      <w:r w:rsidRPr="00E33E54">
        <w:rPr>
          <w:rFonts w:ascii="Times New Roman" w:eastAsia="Times New Roman" w:hAnsi="Times New Roman" w:cs="Times New Roman"/>
          <w:b/>
          <w:bCs/>
        </w:rPr>
        <w:t xml:space="preserve"> </w:t>
      </w:r>
      <w:r w:rsidRPr="00E33E54">
        <w:rPr>
          <w:rFonts w:ascii="Times New Roman" w:eastAsia="Times New Roman" w:hAnsi="Times New Roman" w:cs="Times New Roman"/>
          <w:bCs/>
        </w:rPr>
        <w:t>% gyakorlat, 50 % elmélet</w:t>
      </w:r>
    </w:p>
    <w:p w:rsidR="00CF0138" w:rsidRPr="00E33E54" w:rsidRDefault="00CF0138" w:rsidP="00980876">
      <w:pPr>
        <w:widowControl w:val="0"/>
        <w:numPr>
          <w:ilvl w:val="0"/>
          <w:numId w:val="411"/>
        </w:numPr>
        <w:spacing w:before="120" w:after="120" w:line="240" w:lineRule="auto"/>
        <w:ind w:left="426" w:hanging="142"/>
        <w:jc w:val="both"/>
        <w:rPr>
          <w:rFonts w:ascii="Times New Roman" w:eastAsia="Times New Roman" w:hAnsi="Times New Roman" w:cs="Times New Roman"/>
          <w:bCs/>
        </w:rPr>
      </w:pPr>
      <w:r w:rsidRPr="00E33E54">
        <w:rPr>
          <w:rFonts w:ascii="Times New Roman" w:eastAsia="Times New Roman" w:hAnsi="Times New Roman" w:cs="Times New Roman"/>
          <w:b/>
          <w:bCs/>
        </w:rPr>
        <w:t>A szak(ok), szakirányok/specializációk megnevezése (ahol oktatják):</w:t>
      </w:r>
      <w:r w:rsidRPr="00E33E54">
        <w:rPr>
          <w:rFonts w:ascii="Times New Roman" w:eastAsia="Times New Roman" w:hAnsi="Times New Roman" w:cs="Times New Roman"/>
          <w:bCs/>
        </w:rPr>
        <w:t xml:space="preserve"> Katonai logisztika (</w:t>
      </w:r>
      <w:r w:rsidR="00137B8A">
        <w:rPr>
          <w:rFonts w:ascii="Times New Roman" w:eastAsia="Times New Roman" w:hAnsi="Times New Roman" w:cs="Times New Roman"/>
          <w:bCs/>
        </w:rPr>
        <w:t>BSc</w:t>
      </w:r>
      <w:r w:rsidRPr="00E33E54">
        <w:rPr>
          <w:rFonts w:ascii="Times New Roman" w:eastAsia="Times New Roman" w:hAnsi="Times New Roman" w:cs="Times New Roman"/>
          <w:bCs/>
        </w:rPr>
        <w:t>) alapképzési szak</w:t>
      </w:r>
    </w:p>
    <w:p w:rsidR="00CF0138" w:rsidRPr="00E33E54" w:rsidRDefault="00CF0138" w:rsidP="00980876">
      <w:pPr>
        <w:widowControl w:val="0"/>
        <w:numPr>
          <w:ilvl w:val="0"/>
          <w:numId w:val="411"/>
        </w:numPr>
        <w:tabs>
          <w:tab w:val="num" w:pos="567"/>
        </w:tabs>
        <w:spacing w:before="120" w:after="120" w:line="240" w:lineRule="auto"/>
        <w:ind w:left="426" w:hanging="142"/>
        <w:jc w:val="both"/>
        <w:rPr>
          <w:rFonts w:ascii="Times New Roman" w:eastAsia="Times New Roman" w:hAnsi="Times New Roman" w:cs="Times New Roman"/>
          <w:bCs/>
        </w:rPr>
      </w:pPr>
      <w:r w:rsidRPr="00E33E54">
        <w:rPr>
          <w:rFonts w:ascii="Times New Roman" w:eastAsia="Times New Roman" w:hAnsi="Times New Roman" w:cs="Times New Roman"/>
          <w:b/>
          <w:bCs/>
        </w:rPr>
        <w:t xml:space="preserve">Az oktatásért felelős oktatási szervezeti egység megnevezése: </w:t>
      </w:r>
      <w:r w:rsidRPr="00E33E54">
        <w:rPr>
          <w:rFonts w:ascii="Times New Roman" w:eastAsia="Times New Roman" w:hAnsi="Times New Roman" w:cs="Times New Roman"/>
          <w:bCs/>
        </w:rPr>
        <w:t>HHK Haditechnikai Tanszék</w:t>
      </w:r>
    </w:p>
    <w:p w:rsidR="00CF0138" w:rsidRPr="00E33E54" w:rsidRDefault="00CF0138" w:rsidP="00980876">
      <w:pPr>
        <w:widowControl w:val="0"/>
        <w:numPr>
          <w:ilvl w:val="0"/>
          <w:numId w:val="411"/>
        </w:numPr>
        <w:tabs>
          <w:tab w:val="num" w:pos="567"/>
        </w:tabs>
        <w:spacing w:before="120" w:after="120" w:line="240" w:lineRule="auto"/>
        <w:ind w:left="426" w:hanging="142"/>
        <w:jc w:val="both"/>
        <w:rPr>
          <w:rFonts w:ascii="Times New Roman" w:eastAsia="Times New Roman" w:hAnsi="Times New Roman" w:cs="Times New Roman"/>
          <w:bCs/>
        </w:rPr>
      </w:pPr>
      <w:r w:rsidRPr="00E33E54">
        <w:rPr>
          <w:rFonts w:ascii="Times New Roman" w:eastAsia="Times New Roman" w:hAnsi="Times New Roman" w:cs="Times New Roman"/>
          <w:b/>
          <w:bCs/>
        </w:rPr>
        <w:t>A tantárgyfelelős oktató neve, beosztása, tudományos fokozata:</w:t>
      </w:r>
      <w:r w:rsidRPr="00E33E54">
        <w:rPr>
          <w:rFonts w:ascii="Times New Roman" w:eastAsia="Times New Roman" w:hAnsi="Times New Roman" w:cs="Times New Roman"/>
          <w:bCs/>
        </w:rPr>
        <w:t xml:space="preserve"> </w:t>
      </w:r>
      <w:r w:rsidRPr="00E33E54">
        <w:rPr>
          <w:rFonts w:ascii="Times New Roman" w:eastAsia="Times New Roman" w:hAnsi="Times New Roman" w:cs="Times New Roman"/>
          <w:bCs/>
          <w:lang w:eastAsia="hu-HU"/>
        </w:rPr>
        <w:t>Dr. Hegedűs Ernő alezredes PhD, egyetemi tanársegéd</w:t>
      </w:r>
    </w:p>
    <w:p w:rsidR="00CF0138" w:rsidRPr="00E33E54" w:rsidRDefault="00CF0138" w:rsidP="00980876">
      <w:pPr>
        <w:widowControl w:val="0"/>
        <w:numPr>
          <w:ilvl w:val="0"/>
          <w:numId w:val="411"/>
        </w:numPr>
        <w:spacing w:before="120" w:after="120" w:line="240" w:lineRule="auto"/>
        <w:ind w:left="426" w:hanging="142"/>
        <w:jc w:val="both"/>
        <w:rPr>
          <w:rFonts w:ascii="Times New Roman" w:eastAsia="Times New Roman" w:hAnsi="Times New Roman" w:cs="Times New Roman"/>
          <w:bCs/>
        </w:rPr>
      </w:pPr>
      <w:r w:rsidRPr="00E33E54">
        <w:rPr>
          <w:rFonts w:ascii="Times New Roman" w:eastAsia="Times New Roman" w:hAnsi="Times New Roman" w:cs="Times New Roman"/>
          <w:b/>
          <w:bCs/>
        </w:rPr>
        <w:t>A tanórák száma és típusa</w:t>
      </w:r>
    </w:p>
    <w:p w:rsidR="00CF0138" w:rsidRPr="00E33E54" w:rsidRDefault="00CF0138" w:rsidP="00980876">
      <w:pPr>
        <w:widowControl w:val="0"/>
        <w:numPr>
          <w:ilvl w:val="1"/>
          <w:numId w:val="411"/>
        </w:numPr>
        <w:tabs>
          <w:tab w:val="clear" w:pos="3977"/>
          <w:tab w:val="num" w:pos="709"/>
          <w:tab w:val="num" w:pos="2069"/>
        </w:tabs>
        <w:spacing w:before="120" w:after="120" w:line="240" w:lineRule="auto"/>
        <w:ind w:left="851" w:hanging="425"/>
        <w:jc w:val="both"/>
        <w:rPr>
          <w:rFonts w:ascii="Times New Roman" w:eastAsia="Times New Roman" w:hAnsi="Times New Roman" w:cs="Times New Roman"/>
          <w:bCs/>
        </w:rPr>
      </w:pPr>
      <w:r w:rsidRPr="00E33E54">
        <w:rPr>
          <w:rFonts w:ascii="Times New Roman" w:eastAsia="Times New Roman" w:hAnsi="Times New Roman" w:cs="Times New Roman"/>
          <w:bCs/>
        </w:rPr>
        <w:t>össz óraszám/félév: 28</w:t>
      </w:r>
    </w:p>
    <w:p w:rsidR="00CF0138" w:rsidRPr="00E33E54" w:rsidRDefault="00CF0138" w:rsidP="00980876">
      <w:pPr>
        <w:widowControl w:val="0"/>
        <w:numPr>
          <w:ilvl w:val="2"/>
          <w:numId w:val="411"/>
        </w:numPr>
        <w:tabs>
          <w:tab w:val="num" w:pos="709"/>
          <w:tab w:val="num" w:pos="1134"/>
        </w:tabs>
        <w:spacing w:after="0" w:line="240" w:lineRule="auto"/>
        <w:ind w:left="992" w:hanging="425"/>
        <w:jc w:val="both"/>
        <w:rPr>
          <w:rFonts w:ascii="Times New Roman" w:eastAsia="Times New Roman" w:hAnsi="Times New Roman" w:cs="Times New Roman"/>
          <w:bCs/>
        </w:rPr>
      </w:pPr>
      <w:r w:rsidRPr="00E33E54">
        <w:rPr>
          <w:rFonts w:ascii="Times New Roman" w:eastAsia="Times New Roman" w:hAnsi="Times New Roman" w:cs="Times New Roman"/>
          <w:bCs/>
        </w:rPr>
        <w:t>nappali munkarend: 28 (14 EA + -SZ + 14 GY)</w:t>
      </w:r>
    </w:p>
    <w:p w:rsidR="00CF0138" w:rsidRPr="00E33E54" w:rsidRDefault="00CF0138" w:rsidP="00980876">
      <w:pPr>
        <w:widowControl w:val="0"/>
        <w:numPr>
          <w:ilvl w:val="2"/>
          <w:numId w:val="411"/>
        </w:numPr>
        <w:tabs>
          <w:tab w:val="num" w:pos="709"/>
          <w:tab w:val="num" w:pos="1134"/>
        </w:tabs>
        <w:spacing w:after="0" w:line="240" w:lineRule="auto"/>
        <w:ind w:left="992" w:hanging="425"/>
        <w:jc w:val="both"/>
        <w:rPr>
          <w:rFonts w:ascii="Times New Roman" w:eastAsia="Times New Roman" w:hAnsi="Times New Roman" w:cs="Times New Roman"/>
          <w:bCs/>
        </w:rPr>
      </w:pPr>
      <w:r w:rsidRPr="00E33E54">
        <w:rPr>
          <w:rFonts w:ascii="Times New Roman" w:eastAsia="Times New Roman" w:hAnsi="Times New Roman" w:cs="Times New Roman"/>
          <w:bCs/>
        </w:rPr>
        <w:t>levelező munkarend: - (- EA + - SZ + - GY)</w:t>
      </w:r>
    </w:p>
    <w:p w:rsidR="00CF0138" w:rsidRPr="00E33E54" w:rsidRDefault="00CF0138" w:rsidP="00980876">
      <w:pPr>
        <w:widowControl w:val="0"/>
        <w:numPr>
          <w:ilvl w:val="1"/>
          <w:numId w:val="411"/>
        </w:numPr>
        <w:tabs>
          <w:tab w:val="clear" w:pos="3977"/>
          <w:tab w:val="num" w:pos="709"/>
          <w:tab w:val="num" w:pos="2069"/>
        </w:tabs>
        <w:spacing w:before="120" w:after="120" w:line="240" w:lineRule="auto"/>
        <w:ind w:left="851" w:hanging="425"/>
        <w:jc w:val="both"/>
        <w:rPr>
          <w:rFonts w:ascii="Times New Roman" w:eastAsia="Times New Roman" w:hAnsi="Times New Roman" w:cs="Times New Roman"/>
          <w:bCs/>
        </w:rPr>
      </w:pPr>
      <w:r w:rsidRPr="00E33E54">
        <w:rPr>
          <w:rFonts w:ascii="Times New Roman" w:eastAsia="Times New Roman" w:hAnsi="Times New Roman" w:cs="Times New Roman"/>
          <w:bCs/>
        </w:rPr>
        <w:t>heti óraszám - nappali munkarend: 2</w:t>
      </w:r>
      <w:r>
        <w:rPr>
          <w:rFonts w:ascii="Times New Roman" w:eastAsia="Times New Roman" w:hAnsi="Times New Roman" w:cs="Times New Roman"/>
          <w:bCs/>
        </w:rPr>
        <w:t xml:space="preserve"> (1+1)</w:t>
      </w:r>
    </w:p>
    <w:p w:rsidR="00CF0138" w:rsidRPr="00B23A32" w:rsidRDefault="00CF0138" w:rsidP="00980876">
      <w:pPr>
        <w:pStyle w:val="Listaszerbekezds"/>
        <w:widowControl w:val="0"/>
        <w:numPr>
          <w:ilvl w:val="1"/>
          <w:numId w:val="411"/>
        </w:numPr>
        <w:tabs>
          <w:tab w:val="clear" w:pos="3977"/>
          <w:tab w:val="num" w:pos="709"/>
          <w:tab w:val="num" w:pos="2069"/>
        </w:tabs>
        <w:spacing w:before="120" w:after="120" w:line="240" w:lineRule="auto"/>
        <w:ind w:left="851" w:hanging="425"/>
        <w:jc w:val="both"/>
        <w:rPr>
          <w:rFonts w:ascii="Times New Roman" w:eastAsia="Times New Roman" w:hAnsi="Times New Roman" w:cs="Times New Roman"/>
          <w:bCs/>
        </w:rPr>
      </w:pPr>
      <w:r w:rsidRPr="00B23A32">
        <w:rPr>
          <w:rFonts w:ascii="Times New Roman" w:hAnsi="Times New Roman" w:cs="Times New Roman"/>
        </w:rPr>
        <w:t>Az ismeret átadásában alkalmazandó további sajátos módok, jellemzők: Az ismeretek feldolgozása vegyes tanulási program (blended learning) alapján történik.</w:t>
      </w:r>
    </w:p>
    <w:p w:rsidR="00CF0138" w:rsidRPr="00E33E54" w:rsidRDefault="00CF0138" w:rsidP="00980876">
      <w:pPr>
        <w:widowControl w:val="0"/>
        <w:numPr>
          <w:ilvl w:val="0"/>
          <w:numId w:val="411"/>
        </w:numPr>
        <w:spacing w:before="120" w:after="120" w:line="240" w:lineRule="auto"/>
        <w:ind w:left="426"/>
        <w:jc w:val="both"/>
        <w:rPr>
          <w:rFonts w:ascii="Times New Roman" w:eastAsia="Times New Roman" w:hAnsi="Times New Roman" w:cs="Times New Roman"/>
          <w:bCs/>
          <w:lang w:eastAsia="hu-HU"/>
        </w:rPr>
      </w:pPr>
      <w:r w:rsidRPr="00E33E54">
        <w:rPr>
          <w:rFonts w:ascii="Times New Roman" w:eastAsia="Times New Roman" w:hAnsi="Times New Roman" w:cs="Times New Roman"/>
          <w:b/>
          <w:bCs/>
        </w:rPr>
        <w:t xml:space="preserve">A tantárgy szakmai tartalma (magyarul): </w:t>
      </w:r>
      <w:r w:rsidRPr="00E33E54">
        <w:rPr>
          <w:rFonts w:ascii="Times New Roman" w:eastAsia="Times New Roman" w:hAnsi="Times New Roman" w:cs="Times New Roman"/>
          <w:bCs/>
        </w:rPr>
        <w:t xml:space="preserve">A műszaki ábrázolás </w:t>
      </w:r>
      <w:r w:rsidRPr="00E33E54">
        <w:rPr>
          <w:rFonts w:ascii="Times New Roman" w:eastAsia="Times New Roman" w:hAnsi="Times New Roman" w:cs="Times New Roman"/>
          <w:bCs/>
          <w:lang w:eastAsia="hu-HU"/>
        </w:rPr>
        <w:t>alapfogalmai</w:t>
      </w:r>
      <w:r w:rsidRPr="00E33E54">
        <w:rPr>
          <w:rFonts w:ascii="Times New Roman" w:eastAsia="Times New Roman" w:hAnsi="Times New Roman" w:cs="Times New Roman"/>
          <w:bCs/>
        </w:rPr>
        <w:t>, a műszaki rajzok fajtái. Szabványosítás, hazai, nemzetközi és katonai szabványok. Síkbeli (háromnézeti) és térbeli (axonometrikus) alakzatok ábrázolása. Vetületek és áthatások szerkesztése. Metszetek rajzolásának szabályai. Méretvonalak, mutatóvonalak és méretvonal-rendszerek. Tűrések és illesztések jelölése.</w:t>
      </w:r>
    </w:p>
    <w:p w:rsidR="00CF0138" w:rsidRPr="00E33E54" w:rsidRDefault="00CF0138" w:rsidP="00CF0138">
      <w:pPr>
        <w:widowControl w:val="0"/>
        <w:spacing w:before="120" w:after="120" w:line="240" w:lineRule="auto"/>
        <w:ind w:left="426"/>
        <w:jc w:val="both"/>
        <w:rPr>
          <w:rFonts w:ascii="Times New Roman" w:eastAsia="Times New Roman" w:hAnsi="Times New Roman" w:cs="Times New Roman"/>
          <w:bCs/>
          <w:lang w:eastAsia="hu-HU"/>
        </w:rPr>
      </w:pPr>
      <w:r w:rsidRPr="00E33E54">
        <w:rPr>
          <w:rFonts w:ascii="Times New Roman" w:eastAsia="Times New Roman" w:hAnsi="Times New Roman" w:cs="Times New Roman"/>
          <w:b/>
          <w:bCs/>
        </w:rPr>
        <w:t>A tantárgy szakmai tartalma (angolul) (</w:t>
      </w:r>
      <w:r w:rsidRPr="00E33E54">
        <w:rPr>
          <w:rFonts w:ascii="Times New Roman" w:eastAsia="Times New Roman" w:hAnsi="Times New Roman" w:cs="Times New Roman"/>
          <w:b/>
          <w:bCs/>
          <w:lang w:val="en-US"/>
        </w:rPr>
        <w:t>Course description</w:t>
      </w:r>
      <w:r w:rsidRPr="00E33E54">
        <w:rPr>
          <w:rFonts w:ascii="Times New Roman" w:eastAsia="Times New Roman" w:hAnsi="Times New Roman" w:cs="Times New Roman"/>
          <w:b/>
          <w:bCs/>
        </w:rPr>
        <w:t xml:space="preserve">): </w:t>
      </w:r>
      <w:r w:rsidRPr="00E33E54">
        <w:rPr>
          <w:rFonts w:ascii="Times New Roman" w:eastAsia="Times New Roman" w:hAnsi="Times New Roman" w:cs="Times New Roman"/>
          <w:bCs/>
          <w:lang w:eastAsia="hu-HU"/>
        </w:rPr>
        <w:t xml:space="preserve">Basic terms, rules and theories of technical drawings. Types, variations and species of technical draws. Standardisation. Domestic and international standards. Military standards. Drawing in two-dimensional </w:t>
      </w:r>
      <w:r w:rsidRPr="00E33E54">
        <w:rPr>
          <w:rFonts w:ascii="Times New Roman" w:eastAsia="Times New Roman" w:hAnsi="Times New Roman" w:cs="Times New Roman"/>
          <w:bCs/>
          <w:lang w:val="en-GB"/>
        </w:rPr>
        <w:t xml:space="preserve">and three-dimensional </w:t>
      </w:r>
      <w:r w:rsidRPr="00E33E54">
        <w:rPr>
          <w:rFonts w:ascii="Times New Roman" w:eastAsia="Times New Roman" w:hAnsi="Times New Roman" w:cs="Times New Roman"/>
          <w:bCs/>
          <w:lang w:eastAsia="hu-HU"/>
        </w:rPr>
        <w:t xml:space="preserve">(axonometry) </w:t>
      </w:r>
      <w:r w:rsidRPr="00E33E54">
        <w:rPr>
          <w:rFonts w:ascii="Times New Roman" w:eastAsia="Times New Roman" w:hAnsi="Times New Roman" w:cs="Times New Roman"/>
          <w:bCs/>
          <w:lang w:val="en-GB"/>
        </w:rPr>
        <w:t>representation of shapes</w:t>
      </w:r>
      <w:r w:rsidRPr="00E33E54">
        <w:rPr>
          <w:rFonts w:ascii="Times New Roman" w:eastAsia="Times New Roman" w:hAnsi="Times New Roman" w:cs="Times New Roman"/>
          <w:bCs/>
          <w:lang w:eastAsia="hu-HU"/>
        </w:rPr>
        <w:t xml:space="preserve">. Editing of projections and cross talks. The rules of the section-drawing. </w:t>
      </w:r>
      <w:r w:rsidRPr="00E33E54">
        <w:rPr>
          <w:rFonts w:ascii="Times New Roman" w:eastAsia="Times New Roman" w:hAnsi="Times New Roman" w:cs="Times New Roman"/>
          <w:bCs/>
        </w:rPr>
        <w:t xml:space="preserve">The types of </w:t>
      </w:r>
      <w:r w:rsidRPr="00E33E54">
        <w:rPr>
          <w:rFonts w:ascii="Times New Roman" w:eastAsia="Times New Roman" w:hAnsi="Times New Roman" w:cs="Times New Roman"/>
          <w:bCs/>
          <w:lang w:eastAsia="hu-HU"/>
        </w:rPr>
        <w:t xml:space="preserve">size lines, pointing lines, and the web of the size lines. </w:t>
      </w:r>
      <w:r w:rsidRPr="00E33E54">
        <w:rPr>
          <w:rFonts w:ascii="Times New Roman" w:eastAsia="Times New Roman" w:hAnsi="Times New Roman" w:cs="Times New Roman"/>
          <w:bCs/>
        </w:rPr>
        <w:t xml:space="preserve">The structure of the </w:t>
      </w:r>
      <w:r w:rsidRPr="00E33E54">
        <w:rPr>
          <w:rFonts w:ascii="Times New Roman" w:eastAsia="Times New Roman" w:hAnsi="Times New Roman" w:cs="Times New Roman"/>
          <w:bCs/>
          <w:lang w:eastAsia="hu-HU"/>
        </w:rPr>
        <w:t xml:space="preserve">tolerances and joins indication. </w:t>
      </w:r>
    </w:p>
    <w:p w:rsidR="00CF0138" w:rsidRPr="00E33E54" w:rsidRDefault="00CF0138" w:rsidP="00980876">
      <w:pPr>
        <w:pStyle w:val="Listaszerbekezds"/>
        <w:widowControl w:val="0"/>
        <w:numPr>
          <w:ilvl w:val="0"/>
          <w:numId w:val="411"/>
        </w:numPr>
        <w:spacing w:before="120" w:after="120" w:line="240" w:lineRule="auto"/>
        <w:jc w:val="both"/>
        <w:rPr>
          <w:rFonts w:ascii="Times New Roman" w:eastAsia="Times New Roman" w:hAnsi="Times New Roman" w:cs="Times New Roman"/>
          <w:bCs/>
        </w:rPr>
      </w:pPr>
      <w:r w:rsidRPr="00E33E54">
        <w:rPr>
          <w:rFonts w:ascii="Times New Roman" w:eastAsia="Times New Roman" w:hAnsi="Times New Roman" w:cs="Times New Roman"/>
          <w:b/>
          <w:bCs/>
        </w:rPr>
        <w:t xml:space="preserve">Elérendő kompetenciák (magyarul): </w:t>
      </w:r>
    </w:p>
    <w:p w:rsidR="00CF0138" w:rsidRDefault="00CF0138" w:rsidP="00CF0138">
      <w:pPr>
        <w:widowControl w:val="0"/>
        <w:spacing w:before="120" w:after="120" w:line="240" w:lineRule="auto"/>
        <w:ind w:left="426"/>
        <w:jc w:val="both"/>
        <w:rPr>
          <w:rFonts w:ascii="Times New Roman" w:eastAsia="Times New Roman" w:hAnsi="Times New Roman" w:cs="Times New Roman"/>
          <w:bCs/>
        </w:rPr>
      </w:pPr>
      <w:r w:rsidRPr="00E33E54">
        <w:rPr>
          <w:rFonts w:ascii="Times New Roman" w:eastAsia="Times New Roman" w:hAnsi="Times New Roman" w:cs="Times New Roman"/>
          <w:b/>
          <w:bCs/>
        </w:rPr>
        <w:t>Tudása:</w:t>
      </w:r>
      <w:r w:rsidRPr="00E33E54">
        <w:rPr>
          <w:rFonts w:ascii="Times New Roman" w:eastAsia="Times New Roman" w:hAnsi="Times New Roman" w:cs="Times New Roman"/>
          <w:bCs/>
        </w:rPr>
        <w:t xml:space="preserve"> </w:t>
      </w:r>
    </w:p>
    <w:p w:rsidR="00CF0138" w:rsidRDefault="00CF0138" w:rsidP="00C14833">
      <w:pPr>
        <w:pStyle w:val="Listaszerbekezds"/>
        <w:widowControl w:val="0"/>
        <w:numPr>
          <w:ilvl w:val="0"/>
          <w:numId w:val="124"/>
        </w:numPr>
        <w:spacing w:before="120" w:after="120" w:line="240" w:lineRule="auto"/>
        <w:jc w:val="both"/>
        <w:rPr>
          <w:rFonts w:ascii="Times New Roman" w:eastAsia="Times New Roman" w:hAnsi="Times New Roman" w:cs="Times New Roman"/>
          <w:bCs/>
        </w:rPr>
      </w:pPr>
      <w:r w:rsidRPr="00E33E54">
        <w:rPr>
          <w:rFonts w:ascii="Times New Roman" w:eastAsia="Times New Roman" w:hAnsi="Times New Roman" w:cs="Times New Roman"/>
          <w:bCs/>
        </w:rPr>
        <w:t xml:space="preserve">Ismeri a műszaki ábrázolás alapfogalmait, a műszaki rajzok fajtáit. </w:t>
      </w:r>
    </w:p>
    <w:p w:rsidR="00CF0138" w:rsidRDefault="00CF0138" w:rsidP="00C14833">
      <w:pPr>
        <w:pStyle w:val="Listaszerbekezds"/>
        <w:widowControl w:val="0"/>
        <w:numPr>
          <w:ilvl w:val="0"/>
          <w:numId w:val="124"/>
        </w:numPr>
        <w:spacing w:before="120" w:after="120" w:line="240" w:lineRule="auto"/>
        <w:jc w:val="both"/>
        <w:rPr>
          <w:rFonts w:ascii="Times New Roman" w:eastAsia="Times New Roman" w:hAnsi="Times New Roman" w:cs="Times New Roman"/>
          <w:bCs/>
        </w:rPr>
      </w:pPr>
      <w:r w:rsidRPr="00E33E54">
        <w:rPr>
          <w:rFonts w:ascii="Times New Roman" w:eastAsia="Times New Roman" w:hAnsi="Times New Roman" w:cs="Times New Roman"/>
          <w:bCs/>
        </w:rPr>
        <w:t xml:space="preserve">Ismeri és alkalmazni tudja a szabványosítás, a hazai, nemzetközi és katonai szabványok különböző változatait. </w:t>
      </w:r>
    </w:p>
    <w:p w:rsidR="00CF0138" w:rsidRDefault="00CF0138" w:rsidP="00C14833">
      <w:pPr>
        <w:pStyle w:val="Listaszerbekezds"/>
        <w:widowControl w:val="0"/>
        <w:numPr>
          <w:ilvl w:val="0"/>
          <w:numId w:val="124"/>
        </w:numPr>
        <w:spacing w:before="120" w:after="120" w:line="240" w:lineRule="auto"/>
        <w:jc w:val="both"/>
        <w:rPr>
          <w:rFonts w:ascii="Times New Roman" w:eastAsia="Times New Roman" w:hAnsi="Times New Roman" w:cs="Times New Roman"/>
          <w:bCs/>
        </w:rPr>
      </w:pPr>
      <w:r w:rsidRPr="00E33E54">
        <w:rPr>
          <w:rFonts w:ascii="Times New Roman" w:eastAsia="Times New Roman" w:hAnsi="Times New Roman" w:cs="Times New Roman"/>
          <w:bCs/>
        </w:rPr>
        <w:t xml:space="preserve">Ismeri a síkbeli (háromnézeti) és térbeli (axonometrikus) alakzatok ábrázolásának módjait. </w:t>
      </w:r>
    </w:p>
    <w:p w:rsidR="00CF0138" w:rsidRDefault="00CF0138" w:rsidP="00C14833">
      <w:pPr>
        <w:pStyle w:val="Listaszerbekezds"/>
        <w:widowControl w:val="0"/>
        <w:numPr>
          <w:ilvl w:val="0"/>
          <w:numId w:val="124"/>
        </w:numPr>
        <w:spacing w:before="120" w:after="120" w:line="240" w:lineRule="auto"/>
        <w:jc w:val="both"/>
        <w:rPr>
          <w:rFonts w:ascii="Times New Roman" w:eastAsia="Times New Roman" w:hAnsi="Times New Roman" w:cs="Times New Roman"/>
          <w:bCs/>
        </w:rPr>
      </w:pPr>
      <w:r w:rsidRPr="00E33E54">
        <w:rPr>
          <w:rFonts w:ascii="Times New Roman" w:eastAsia="Times New Roman" w:hAnsi="Times New Roman" w:cs="Times New Roman"/>
          <w:bCs/>
        </w:rPr>
        <w:t xml:space="preserve">Ismeri a vetületek és áthatások szerkesztését. </w:t>
      </w:r>
    </w:p>
    <w:p w:rsidR="00CF0138" w:rsidRDefault="00CF0138" w:rsidP="00C14833">
      <w:pPr>
        <w:pStyle w:val="Listaszerbekezds"/>
        <w:widowControl w:val="0"/>
        <w:numPr>
          <w:ilvl w:val="0"/>
          <w:numId w:val="124"/>
        </w:numPr>
        <w:spacing w:before="120" w:after="120" w:line="240" w:lineRule="auto"/>
        <w:jc w:val="both"/>
        <w:rPr>
          <w:rFonts w:ascii="Times New Roman" w:eastAsia="Times New Roman" w:hAnsi="Times New Roman" w:cs="Times New Roman"/>
          <w:bCs/>
        </w:rPr>
      </w:pPr>
      <w:r w:rsidRPr="00E33E54">
        <w:rPr>
          <w:rFonts w:ascii="Times New Roman" w:eastAsia="Times New Roman" w:hAnsi="Times New Roman" w:cs="Times New Roman"/>
          <w:bCs/>
        </w:rPr>
        <w:t xml:space="preserve">Ismeri a metszetek rajzolásának szabályait. </w:t>
      </w:r>
    </w:p>
    <w:p w:rsidR="00CF0138" w:rsidRPr="00E33E54" w:rsidRDefault="00CF0138" w:rsidP="00C14833">
      <w:pPr>
        <w:pStyle w:val="Listaszerbekezds"/>
        <w:widowControl w:val="0"/>
        <w:numPr>
          <w:ilvl w:val="0"/>
          <w:numId w:val="124"/>
        </w:numPr>
        <w:spacing w:before="120" w:after="120" w:line="240" w:lineRule="auto"/>
        <w:jc w:val="both"/>
        <w:rPr>
          <w:rFonts w:ascii="Times New Roman" w:eastAsia="Times New Roman" w:hAnsi="Times New Roman" w:cs="Times New Roman"/>
          <w:bCs/>
        </w:rPr>
      </w:pPr>
      <w:r w:rsidRPr="00E33E54">
        <w:rPr>
          <w:rFonts w:ascii="Times New Roman" w:eastAsia="Times New Roman" w:hAnsi="Times New Roman" w:cs="Times New Roman"/>
          <w:bCs/>
        </w:rPr>
        <w:t>Megfelelő mélységű ismerettel rendelkezik a méretvonalak, mutatóvonalak és méretvonal-rendszerek rajzolása, illetve a tűrések és illesztések jelölése területén.</w:t>
      </w:r>
    </w:p>
    <w:p w:rsidR="00741ECB" w:rsidRDefault="00741ECB">
      <w:pPr>
        <w:spacing w:after="200" w:line="276" w:lineRule="auto"/>
        <w:rPr>
          <w:rFonts w:ascii="Times New Roman" w:eastAsia="Times New Roman" w:hAnsi="Times New Roman" w:cs="Times New Roman"/>
          <w:b/>
          <w:bCs/>
        </w:rPr>
      </w:pPr>
      <w:r>
        <w:rPr>
          <w:rFonts w:ascii="Times New Roman" w:eastAsia="Times New Roman" w:hAnsi="Times New Roman" w:cs="Times New Roman"/>
          <w:b/>
          <w:bCs/>
        </w:rPr>
        <w:br w:type="page"/>
      </w:r>
    </w:p>
    <w:p w:rsidR="00CF0138" w:rsidRDefault="00CF0138" w:rsidP="00CF0138">
      <w:pPr>
        <w:widowControl w:val="0"/>
        <w:spacing w:before="120" w:after="120" w:line="240" w:lineRule="auto"/>
        <w:ind w:left="426"/>
        <w:jc w:val="both"/>
        <w:rPr>
          <w:rFonts w:ascii="Times New Roman" w:eastAsia="Times New Roman" w:hAnsi="Times New Roman" w:cs="Times New Roman"/>
          <w:bCs/>
        </w:rPr>
      </w:pPr>
      <w:r w:rsidRPr="00E33E54">
        <w:rPr>
          <w:rFonts w:ascii="Times New Roman" w:eastAsia="Times New Roman" w:hAnsi="Times New Roman" w:cs="Times New Roman"/>
          <w:b/>
          <w:bCs/>
        </w:rPr>
        <w:lastRenderedPageBreak/>
        <w:t>Képességei:</w:t>
      </w:r>
      <w:r w:rsidRPr="00E33E54">
        <w:rPr>
          <w:rFonts w:ascii="Times New Roman" w:eastAsia="Times New Roman" w:hAnsi="Times New Roman" w:cs="Times New Roman"/>
          <w:bCs/>
        </w:rPr>
        <w:t xml:space="preserve"> </w:t>
      </w:r>
    </w:p>
    <w:p w:rsidR="00CF0138" w:rsidRPr="00495149" w:rsidRDefault="00CF0138" w:rsidP="00C14833">
      <w:pPr>
        <w:pStyle w:val="Listaszerbekezds"/>
        <w:widowControl w:val="0"/>
        <w:numPr>
          <w:ilvl w:val="0"/>
          <w:numId w:val="124"/>
        </w:numPr>
        <w:spacing w:before="120" w:after="120" w:line="240" w:lineRule="auto"/>
        <w:jc w:val="both"/>
        <w:rPr>
          <w:rFonts w:ascii="Times New Roman" w:eastAsia="Times New Roman" w:hAnsi="Times New Roman" w:cs="Times New Roman"/>
          <w:bCs/>
        </w:rPr>
      </w:pPr>
      <w:r w:rsidRPr="00495149">
        <w:rPr>
          <w:rFonts w:ascii="Times New Roman" w:eastAsia="Times New Roman" w:hAnsi="Times New Roman" w:cs="Times New Roman"/>
          <w:bCs/>
        </w:rPr>
        <w:t xml:space="preserve">Képes a szakterületén rendszeresített és használt berendezések és technikai eszközök műszakirajz-dokumentációinak olvasására. </w:t>
      </w:r>
    </w:p>
    <w:p w:rsidR="00CF0138" w:rsidRDefault="00CF0138" w:rsidP="00C14833">
      <w:pPr>
        <w:pStyle w:val="Listaszerbekezds"/>
        <w:widowControl w:val="0"/>
        <w:numPr>
          <w:ilvl w:val="0"/>
          <w:numId w:val="124"/>
        </w:numPr>
        <w:spacing w:before="120" w:after="120" w:line="240" w:lineRule="auto"/>
        <w:jc w:val="both"/>
        <w:rPr>
          <w:rFonts w:ascii="Times New Roman" w:eastAsia="Times New Roman" w:hAnsi="Times New Roman" w:cs="Times New Roman"/>
          <w:bCs/>
        </w:rPr>
      </w:pPr>
      <w:r w:rsidRPr="00495149">
        <w:rPr>
          <w:rFonts w:ascii="Times New Roman" w:eastAsia="Times New Roman" w:hAnsi="Times New Roman" w:cs="Times New Roman"/>
          <w:bCs/>
        </w:rPr>
        <w:t xml:space="preserve">Képes a technológiai utasításokban fellelhető rajzi ábrázolások megértésére. </w:t>
      </w:r>
    </w:p>
    <w:p w:rsidR="00CF0138" w:rsidRDefault="00CF0138" w:rsidP="00C14833">
      <w:pPr>
        <w:pStyle w:val="Listaszerbekezds"/>
        <w:widowControl w:val="0"/>
        <w:numPr>
          <w:ilvl w:val="0"/>
          <w:numId w:val="124"/>
        </w:numPr>
        <w:spacing w:before="120" w:after="120" w:line="240" w:lineRule="auto"/>
        <w:jc w:val="both"/>
        <w:rPr>
          <w:rFonts w:ascii="Times New Roman" w:eastAsia="Times New Roman" w:hAnsi="Times New Roman" w:cs="Times New Roman"/>
          <w:bCs/>
        </w:rPr>
      </w:pPr>
      <w:r w:rsidRPr="00495149">
        <w:rPr>
          <w:rFonts w:ascii="Times New Roman" w:eastAsia="Times New Roman" w:hAnsi="Times New Roman" w:cs="Times New Roman"/>
          <w:bCs/>
        </w:rPr>
        <w:t xml:space="preserve">Képes megkülönböztetni a szakterületén rendszeresített és használt berendezések és technikai eszközök rajzi dokumentációinak szabványait. </w:t>
      </w:r>
    </w:p>
    <w:p w:rsidR="00CF0138" w:rsidRDefault="00CF0138" w:rsidP="00C14833">
      <w:pPr>
        <w:pStyle w:val="Listaszerbekezds"/>
        <w:widowControl w:val="0"/>
        <w:numPr>
          <w:ilvl w:val="0"/>
          <w:numId w:val="124"/>
        </w:numPr>
        <w:spacing w:before="120" w:after="120" w:line="240" w:lineRule="auto"/>
        <w:jc w:val="both"/>
        <w:rPr>
          <w:rFonts w:ascii="Times New Roman" w:eastAsia="Times New Roman" w:hAnsi="Times New Roman" w:cs="Times New Roman"/>
          <w:bCs/>
        </w:rPr>
      </w:pPr>
      <w:r w:rsidRPr="00495149">
        <w:rPr>
          <w:rFonts w:ascii="Times New Roman" w:eastAsia="Times New Roman" w:hAnsi="Times New Roman" w:cs="Times New Roman"/>
          <w:bCs/>
        </w:rPr>
        <w:t xml:space="preserve">Képes síkbeli (háromnézeti) és térbeli (axonometrikus) alakzatok ábrázolására. </w:t>
      </w:r>
    </w:p>
    <w:p w:rsidR="00CF0138" w:rsidRPr="00495149" w:rsidRDefault="00CF0138" w:rsidP="00C14833">
      <w:pPr>
        <w:pStyle w:val="Listaszerbekezds"/>
        <w:widowControl w:val="0"/>
        <w:numPr>
          <w:ilvl w:val="0"/>
          <w:numId w:val="124"/>
        </w:numPr>
        <w:spacing w:before="120" w:after="120" w:line="240" w:lineRule="auto"/>
        <w:jc w:val="both"/>
        <w:rPr>
          <w:rFonts w:ascii="Times New Roman" w:eastAsia="Times New Roman" w:hAnsi="Times New Roman" w:cs="Times New Roman"/>
          <w:bCs/>
        </w:rPr>
      </w:pPr>
      <w:r w:rsidRPr="00495149">
        <w:rPr>
          <w:rFonts w:ascii="Times New Roman" w:eastAsia="Times New Roman" w:hAnsi="Times New Roman" w:cs="Times New Roman"/>
          <w:bCs/>
        </w:rPr>
        <w:t>Képes vetületek és áthatások szerkesztésére, metszetek rajzolására.</w:t>
      </w:r>
    </w:p>
    <w:p w:rsidR="00CF0138" w:rsidRDefault="00CF0138" w:rsidP="00CF0138">
      <w:pPr>
        <w:widowControl w:val="0"/>
        <w:spacing w:before="120" w:after="120" w:line="240" w:lineRule="auto"/>
        <w:ind w:left="426"/>
        <w:jc w:val="both"/>
        <w:rPr>
          <w:rFonts w:ascii="Times New Roman" w:eastAsia="Times New Roman" w:hAnsi="Times New Roman" w:cs="Times New Roman"/>
          <w:bCs/>
        </w:rPr>
      </w:pPr>
      <w:r w:rsidRPr="00E33E54">
        <w:rPr>
          <w:rFonts w:ascii="Times New Roman" w:eastAsia="Times New Roman" w:hAnsi="Times New Roman" w:cs="Times New Roman"/>
          <w:b/>
          <w:bCs/>
        </w:rPr>
        <w:t>Attitűdje:</w:t>
      </w:r>
      <w:r w:rsidRPr="00E33E54">
        <w:rPr>
          <w:rFonts w:ascii="Times New Roman" w:eastAsia="Times New Roman" w:hAnsi="Times New Roman" w:cs="Times New Roman"/>
          <w:bCs/>
        </w:rPr>
        <w:t xml:space="preserve"> </w:t>
      </w:r>
    </w:p>
    <w:p w:rsidR="00CF0138" w:rsidRDefault="00CF0138" w:rsidP="00C14833">
      <w:pPr>
        <w:pStyle w:val="Listaszerbekezds"/>
        <w:widowControl w:val="0"/>
        <w:numPr>
          <w:ilvl w:val="0"/>
          <w:numId w:val="124"/>
        </w:numPr>
        <w:spacing w:before="120" w:after="120" w:line="240" w:lineRule="auto"/>
        <w:jc w:val="both"/>
        <w:rPr>
          <w:rFonts w:ascii="Times New Roman" w:eastAsia="Times New Roman" w:hAnsi="Times New Roman" w:cs="Times New Roman"/>
          <w:bCs/>
        </w:rPr>
      </w:pPr>
      <w:r w:rsidRPr="00495149">
        <w:rPr>
          <w:rFonts w:ascii="Times New Roman" w:eastAsia="Times New Roman" w:hAnsi="Times New Roman" w:cs="Times New Roman"/>
          <w:bCs/>
        </w:rPr>
        <w:t xml:space="preserve">Nyitott a műszaki ábrázolással kapcsolatos szakmai ismereteinek gyarapítása iránt, folyamatos önképzési igény jellemzi. </w:t>
      </w:r>
    </w:p>
    <w:p w:rsidR="00CF0138" w:rsidRDefault="00CF0138" w:rsidP="00C14833">
      <w:pPr>
        <w:pStyle w:val="Listaszerbekezds"/>
        <w:widowControl w:val="0"/>
        <w:numPr>
          <w:ilvl w:val="0"/>
          <w:numId w:val="124"/>
        </w:numPr>
        <w:spacing w:before="120" w:after="120" w:line="240" w:lineRule="auto"/>
        <w:jc w:val="both"/>
        <w:rPr>
          <w:rFonts w:ascii="Times New Roman" w:eastAsia="Times New Roman" w:hAnsi="Times New Roman" w:cs="Times New Roman"/>
          <w:bCs/>
        </w:rPr>
      </w:pPr>
      <w:r w:rsidRPr="00495149">
        <w:rPr>
          <w:rFonts w:ascii="Times New Roman" w:eastAsia="Times New Roman" w:hAnsi="Times New Roman" w:cs="Times New Roman"/>
          <w:bCs/>
        </w:rPr>
        <w:t xml:space="preserve">Törekszik munkája során a vonatkozó rajzi szabványok megismerésére. </w:t>
      </w:r>
    </w:p>
    <w:p w:rsidR="00CF0138" w:rsidRPr="00495149" w:rsidRDefault="00CF0138" w:rsidP="00C14833">
      <w:pPr>
        <w:pStyle w:val="Listaszerbekezds"/>
        <w:widowControl w:val="0"/>
        <w:numPr>
          <w:ilvl w:val="0"/>
          <w:numId w:val="124"/>
        </w:numPr>
        <w:spacing w:before="120" w:after="120" w:line="240" w:lineRule="auto"/>
        <w:jc w:val="both"/>
        <w:rPr>
          <w:rFonts w:ascii="Times New Roman" w:eastAsia="Times New Roman" w:hAnsi="Times New Roman" w:cs="Times New Roman"/>
          <w:bCs/>
        </w:rPr>
      </w:pPr>
      <w:r w:rsidRPr="00495149">
        <w:rPr>
          <w:rFonts w:ascii="Times New Roman" w:eastAsia="Times New Roman" w:hAnsi="Times New Roman" w:cs="Times New Roman"/>
          <w:bCs/>
        </w:rPr>
        <w:t>Nyitott a haditechnikai szakterület új eredményei felé, törekszik azok megismerésére, különös tekintettel a síkbeli (háromnézeti) és térbeli (axonometrikus) alakzatok ábrázolására, áthatások szerkesztésére, és metszetek rajzolására.</w:t>
      </w:r>
    </w:p>
    <w:p w:rsidR="00CF0138" w:rsidRDefault="00CF0138" w:rsidP="00CF0138">
      <w:pPr>
        <w:widowControl w:val="0"/>
        <w:spacing w:before="120" w:after="120" w:line="240" w:lineRule="auto"/>
        <w:ind w:left="426"/>
        <w:jc w:val="both"/>
        <w:rPr>
          <w:rFonts w:ascii="Times New Roman" w:eastAsia="Times New Roman" w:hAnsi="Times New Roman" w:cs="Times New Roman"/>
          <w:bCs/>
        </w:rPr>
      </w:pPr>
      <w:r w:rsidRPr="00E33E54">
        <w:rPr>
          <w:rFonts w:ascii="Times New Roman" w:eastAsia="Times New Roman" w:hAnsi="Times New Roman" w:cs="Times New Roman"/>
          <w:b/>
          <w:bCs/>
        </w:rPr>
        <w:t>Autonómiája és felelőssége:</w:t>
      </w:r>
      <w:r w:rsidRPr="00E33E54">
        <w:rPr>
          <w:rFonts w:ascii="Times New Roman" w:eastAsia="Times New Roman" w:hAnsi="Times New Roman" w:cs="Times New Roman"/>
          <w:bCs/>
        </w:rPr>
        <w:t xml:space="preserve"> </w:t>
      </w:r>
    </w:p>
    <w:p w:rsidR="00CF0138" w:rsidRDefault="00CF0138" w:rsidP="00C14833">
      <w:pPr>
        <w:pStyle w:val="Listaszerbekezds"/>
        <w:widowControl w:val="0"/>
        <w:numPr>
          <w:ilvl w:val="0"/>
          <w:numId w:val="124"/>
        </w:numPr>
        <w:spacing w:before="120" w:after="120" w:line="240" w:lineRule="auto"/>
        <w:jc w:val="both"/>
        <w:rPr>
          <w:rFonts w:ascii="Times New Roman" w:eastAsia="Times New Roman" w:hAnsi="Times New Roman" w:cs="Times New Roman"/>
          <w:bCs/>
        </w:rPr>
      </w:pPr>
      <w:r w:rsidRPr="00495149">
        <w:rPr>
          <w:rFonts w:ascii="Times New Roman" w:eastAsia="Times New Roman" w:hAnsi="Times New Roman" w:cs="Times New Roman"/>
          <w:bCs/>
        </w:rPr>
        <w:t xml:space="preserve">Képes alárendeltjeinek feladatait megszervezni és meghatározni, valamint elvégzett munkájukat szakmai szempontok alapján ellenőrizni. </w:t>
      </w:r>
    </w:p>
    <w:p w:rsidR="00CF0138" w:rsidRDefault="00CF0138" w:rsidP="00C14833">
      <w:pPr>
        <w:pStyle w:val="Listaszerbekezds"/>
        <w:widowControl w:val="0"/>
        <w:numPr>
          <w:ilvl w:val="0"/>
          <w:numId w:val="124"/>
        </w:numPr>
        <w:spacing w:before="120" w:after="120" w:line="240" w:lineRule="auto"/>
        <w:jc w:val="both"/>
        <w:rPr>
          <w:rFonts w:ascii="Times New Roman" w:eastAsia="Times New Roman" w:hAnsi="Times New Roman" w:cs="Times New Roman"/>
          <w:bCs/>
        </w:rPr>
      </w:pPr>
      <w:r w:rsidRPr="00495149">
        <w:rPr>
          <w:rFonts w:ascii="Times New Roman" w:eastAsia="Times New Roman" w:hAnsi="Times New Roman" w:cs="Times New Roman"/>
          <w:bCs/>
        </w:rPr>
        <w:t xml:space="preserve">Együttműködés és felelősség jellemzi szakterületének szakembereivel szemben. </w:t>
      </w:r>
    </w:p>
    <w:p w:rsidR="00CF0138" w:rsidRPr="00495149" w:rsidRDefault="00CF0138" w:rsidP="00C14833">
      <w:pPr>
        <w:pStyle w:val="Listaszerbekezds"/>
        <w:widowControl w:val="0"/>
        <w:numPr>
          <w:ilvl w:val="0"/>
          <w:numId w:val="124"/>
        </w:numPr>
        <w:spacing w:before="120" w:after="120" w:line="240" w:lineRule="auto"/>
        <w:jc w:val="both"/>
        <w:rPr>
          <w:rFonts w:ascii="Times New Roman" w:eastAsia="Times New Roman" w:hAnsi="Times New Roman" w:cs="Times New Roman"/>
          <w:bCs/>
        </w:rPr>
      </w:pPr>
      <w:r w:rsidRPr="00495149">
        <w:rPr>
          <w:rFonts w:ascii="Times New Roman" w:eastAsia="Times New Roman" w:hAnsi="Times New Roman" w:cs="Times New Roman"/>
          <w:bCs/>
        </w:rPr>
        <w:t>Szakterületén belül képes rendszer-szemléletűen gondolkodni.</w:t>
      </w:r>
    </w:p>
    <w:p w:rsidR="00CF0138" w:rsidRPr="00E33E54" w:rsidRDefault="00CF0138" w:rsidP="00CF0138">
      <w:pPr>
        <w:widowControl w:val="0"/>
        <w:spacing w:before="120" w:after="120" w:line="240" w:lineRule="auto"/>
        <w:ind w:left="426"/>
        <w:jc w:val="both"/>
        <w:rPr>
          <w:rFonts w:ascii="Times New Roman" w:eastAsia="Times New Roman" w:hAnsi="Times New Roman" w:cs="Times New Roman"/>
          <w:b/>
          <w:bCs/>
          <w:lang w:val="en-US"/>
        </w:rPr>
      </w:pPr>
      <w:r w:rsidRPr="00E33E54">
        <w:rPr>
          <w:rFonts w:ascii="Times New Roman" w:eastAsia="Times New Roman" w:hAnsi="Times New Roman" w:cs="Times New Roman"/>
          <w:b/>
          <w:bCs/>
        </w:rPr>
        <w:t>Elérendő kompetenciák (angolul) (</w:t>
      </w:r>
      <w:r w:rsidRPr="00E33E54">
        <w:rPr>
          <w:rFonts w:ascii="Times New Roman" w:eastAsia="Times New Roman" w:hAnsi="Times New Roman" w:cs="Times New Roman"/>
          <w:b/>
          <w:bCs/>
          <w:lang w:val="en-US"/>
        </w:rPr>
        <w:t xml:space="preserve">Competences – English): </w:t>
      </w:r>
    </w:p>
    <w:p w:rsidR="00CF0138" w:rsidRPr="00E33E54" w:rsidRDefault="00CF0138" w:rsidP="00CF0138">
      <w:pPr>
        <w:widowControl w:val="0"/>
        <w:spacing w:before="120" w:after="120" w:line="240" w:lineRule="auto"/>
        <w:ind w:left="426"/>
        <w:jc w:val="both"/>
        <w:rPr>
          <w:rFonts w:ascii="Times New Roman" w:eastAsia="Times New Roman" w:hAnsi="Times New Roman" w:cs="Times New Roman"/>
          <w:bCs/>
          <w:i/>
        </w:rPr>
      </w:pPr>
      <w:r w:rsidRPr="00E33E54">
        <w:rPr>
          <w:rFonts w:ascii="Times New Roman" w:eastAsia="Times New Roman" w:hAnsi="Times New Roman" w:cs="Times New Roman"/>
          <w:b/>
          <w:lang w:val="en-GB"/>
        </w:rPr>
        <w:t>Knowledge</w:t>
      </w:r>
      <w:r w:rsidRPr="00E33E54">
        <w:rPr>
          <w:rFonts w:ascii="Times New Roman" w:eastAsia="Times New Roman" w:hAnsi="Times New Roman" w:cs="Times New Roman"/>
          <w:lang w:val="en-GB"/>
        </w:rPr>
        <w:t>:</w:t>
      </w:r>
      <w:r w:rsidRPr="00E33E54">
        <w:rPr>
          <w:rFonts w:ascii="Times New Roman" w:eastAsia="Times New Roman" w:hAnsi="Times New Roman" w:cs="Times New Roman"/>
          <w:bCs/>
          <w:i/>
        </w:rPr>
        <w:t xml:space="preserve"> </w:t>
      </w:r>
    </w:p>
    <w:p w:rsidR="00CF0138" w:rsidRPr="00495149" w:rsidRDefault="00CF0138" w:rsidP="00C14833">
      <w:pPr>
        <w:pStyle w:val="Listaszerbekezds"/>
        <w:widowControl w:val="0"/>
        <w:numPr>
          <w:ilvl w:val="0"/>
          <w:numId w:val="124"/>
        </w:numPr>
        <w:spacing w:before="120" w:after="120" w:line="240" w:lineRule="auto"/>
        <w:jc w:val="both"/>
        <w:rPr>
          <w:rFonts w:ascii="Times New Roman" w:eastAsia="Times New Roman" w:hAnsi="Times New Roman" w:cs="Times New Roman"/>
          <w:lang w:val="en-GB"/>
        </w:rPr>
      </w:pPr>
      <w:r w:rsidRPr="00495149">
        <w:rPr>
          <w:rFonts w:ascii="Times New Roman" w:eastAsia="Times New Roman" w:hAnsi="Times New Roman" w:cs="Times New Roman"/>
          <w:bCs/>
        </w:rPr>
        <w:t xml:space="preserve">Knows the basic terms, rules and theories of technical drawings. </w:t>
      </w:r>
    </w:p>
    <w:p w:rsidR="00CF0138" w:rsidRPr="00495149" w:rsidRDefault="00CF0138" w:rsidP="00C14833">
      <w:pPr>
        <w:pStyle w:val="Listaszerbekezds"/>
        <w:widowControl w:val="0"/>
        <w:numPr>
          <w:ilvl w:val="0"/>
          <w:numId w:val="124"/>
        </w:numPr>
        <w:spacing w:before="120" w:after="120" w:line="240" w:lineRule="auto"/>
        <w:jc w:val="both"/>
        <w:rPr>
          <w:rFonts w:ascii="Times New Roman" w:eastAsia="Times New Roman" w:hAnsi="Times New Roman" w:cs="Times New Roman"/>
          <w:lang w:val="en-GB"/>
        </w:rPr>
      </w:pPr>
      <w:r w:rsidRPr="00495149">
        <w:rPr>
          <w:rFonts w:ascii="Times New Roman" w:eastAsia="Times New Roman" w:hAnsi="Times New Roman" w:cs="Times New Roman"/>
          <w:bCs/>
        </w:rPr>
        <w:t xml:space="preserve">Knows and is able to apply </w:t>
      </w:r>
      <w:r w:rsidRPr="00495149">
        <w:rPr>
          <w:rFonts w:ascii="Times New Roman" w:eastAsia="Times New Roman" w:hAnsi="Times New Roman" w:cs="Times New Roman"/>
          <w:bCs/>
          <w:lang w:eastAsia="hu-HU"/>
        </w:rPr>
        <w:t xml:space="preserve">tehe types, variations and species of technical draws. </w:t>
      </w:r>
    </w:p>
    <w:p w:rsidR="00CF0138" w:rsidRPr="00495149" w:rsidRDefault="00CF0138" w:rsidP="00C14833">
      <w:pPr>
        <w:pStyle w:val="Listaszerbekezds"/>
        <w:widowControl w:val="0"/>
        <w:numPr>
          <w:ilvl w:val="0"/>
          <w:numId w:val="124"/>
        </w:numPr>
        <w:spacing w:before="120" w:after="120" w:line="240" w:lineRule="auto"/>
        <w:jc w:val="both"/>
        <w:rPr>
          <w:rFonts w:ascii="Times New Roman" w:eastAsia="Times New Roman" w:hAnsi="Times New Roman" w:cs="Times New Roman"/>
          <w:lang w:val="en-GB"/>
        </w:rPr>
      </w:pPr>
      <w:r w:rsidRPr="00495149">
        <w:rPr>
          <w:rFonts w:ascii="Times New Roman" w:eastAsia="Times New Roman" w:hAnsi="Times New Roman" w:cs="Times New Roman"/>
          <w:bCs/>
        </w:rPr>
        <w:t xml:space="preserve">Knows the range of </w:t>
      </w:r>
      <w:r w:rsidRPr="00495149">
        <w:rPr>
          <w:rFonts w:ascii="Times New Roman" w:eastAsia="Times New Roman" w:hAnsi="Times New Roman" w:cs="Times New Roman"/>
          <w:bCs/>
          <w:lang w:eastAsia="hu-HU"/>
        </w:rPr>
        <w:t xml:space="preserve">domestic, international and military standards. </w:t>
      </w:r>
    </w:p>
    <w:p w:rsidR="00CF0138" w:rsidRPr="00495149" w:rsidRDefault="00CF0138" w:rsidP="00C14833">
      <w:pPr>
        <w:pStyle w:val="Listaszerbekezds"/>
        <w:widowControl w:val="0"/>
        <w:numPr>
          <w:ilvl w:val="0"/>
          <w:numId w:val="124"/>
        </w:numPr>
        <w:spacing w:before="120" w:after="120" w:line="240" w:lineRule="auto"/>
        <w:jc w:val="both"/>
        <w:rPr>
          <w:rFonts w:ascii="Times New Roman" w:eastAsia="Times New Roman" w:hAnsi="Times New Roman" w:cs="Times New Roman"/>
          <w:lang w:val="en-GB"/>
        </w:rPr>
      </w:pPr>
      <w:r w:rsidRPr="00495149">
        <w:rPr>
          <w:rFonts w:ascii="Times New Roman" w:eastAsia="Times New Roman" w:hAnsi="Times New Roman" w:cs="Times New Roman"/>
          <w:bCs/>
        </w:rPr>
        <w:t>Knows how to</w:t>
      </w:r>
      <w:r w:rsidRPr="00495149">
        <w:rPr>
          <w:rFonts w:ascii="Times New Roman" w:eastAsia="Times New Roman" w:hAnsi="Times New Roman" w:cs="Times New Roman"/>
          <w:bCs/>
          <w:lang w:eastAsia="hu-HU"/>
        </w:rPr>
        <w:t xml:space="preserve"> draw in two-dimensional </w:t>
      </w:r>
      <w:r w:rsidRPr="00495149">
        <w:rPr>
          <w:rFonts w:ascii="Times New Roman" w:eastAsia="Times New Roman" w:hAnsi="Times New Roman" w:cs="Times New Roman"/>
          <w:bCs/>
          <w:lang w:val="en-GB"/>
        </w:rPr>
        <w:t xml:space="preserve">and three-dimensional </w:t>
      </w:r>
      <w:r w:rsidRPr="00495149">
        <w:rPr>
          <w:rFonts w:ascii="Times New Roman" w:eastAsia="Times New Roman" w:hAnsi="Times New Roman" w:cs="Times New Roman"/>
          <w:bCs/>
          <w:lang w:eastAsia="hu-HU"/>
        </w:rPr>
        <w:t xml:space="preserve">(axonometry) </w:t>
      </w:r>
      <w:r w:rsidRPr="00495149">
        <w:rPr>
          <w:rFonts w:ascii="Times New Roman" w:eastAsia="Times New Roman" w:hAnsi="Times New Roman" w:cs="Times New Roman"/>
          <w:bCs/>
          <w:lang w:val="en-GB"/>
        </w:rPr>
        <w:t>representation of shapes</w:t>
      </w:r>
      <w:r w:rsidRPr="00495149">
        <w:rPr>
          <w:rFonts w:ascii="Times New Roman" w:eastAsia="Times New Roman" w:hAnsi="Times New Roman" w:cs="Times New Roman"/>
          <w:bCs/>
          <w:lang w:eastAsia="hu-HU"/>
        </w:rPr>
        <w:t xml:space="preserve">. </w:t>
      </w:r>
    </w:p>
    <w:p w:rsidR="00CF0138" w:rsidRPr="00495149" w:rsidRDefault="00CF0138" w:rsidP="00C14833">
      <w:pPr>
        <w:pStyle w:val="Listaszerbekezds"/>
        <w:widowControl w:val="0"/>
        <w:numPr>
          <w:ilvl w:val="0"/>
          <w:numId w:val="124"/>
        </w:numPr>
        <w:spacing w:before="120" w:after="120" w:line="240" w:lineRule="auto"/>
        <w:jc w:val="both"/>
        <w:rPr>
          <w:rFonts w:ascii="Times New Roman" w:eastAsia="Times New Roman" w:hAnsi="Times New Roman" w:cs="Times New Roman"/>
          <w:lang w:val="en-GB"/>
        </w:rPr>
      </w:pPr>
      <w:r w:rsidRPr="00495149">
        <w:rPr>
          <w:rFonts w:ascii="Times New Roman" w:eastAsia="Times New Roman" w:hAnsi="Times New Roman" w:cs="Times New Roman"/>
          <w:bCs/>
        </w:rPr>
        <w:t xml:space="preserve">Knows the structure of the </w:t>
      </w:r>
      <w:r w:rsidRPr="00495149">
        <w:rPr>
          <w:rFonts w:ascii="Times New Roman" w:eastAsia="Times New Roman" w:hAnsi="Times New Roman" w:cs="Times New Roman"/>
          <w:bCs/>
          <w:lang w:eastAsia="hu-HU"/>
        </w:rPr>
        <w:t xml:space="preserve">tolerances and joins indication. </w:t>
      </w:r>
    </w:p>
    <w:p w:rsidR="00CF0138" w:rsidRPr="00495149" w:rsidRDefault="00CF0138" w:rsidP="00C14833">
      <w:pPr>
        <w:pStyle w:val="Listaszerbekezds"/>
        <w:widowControl w:val="0"/>
        <w:numPr>
          <w:ilvl w:val="0"/>
          <w:numId w:val="124"/>
        </w:numPr>
        <w:spacing w:before="120" w:after="120" w:line="240" w:lineRule="auto"/>
        <w:jc w:val="both"/>
        <w:rPr>
          <w:rFonts w:ascii="Times New Roman" w:eastAsia="Times New Roman" w:hAnsi="Times New Roman" w:cs="Times New Roman"/>
          <w:lang w:val="en-GB"/>
        </w:rPr>
      </w:pPr>
      <w:r w:rsidRPr="00495149">
        <w:rPr>
          <w:rFonts w:ascii="Times New Roman" w:eastAsia="Times New Roman" w:hAnsi="Times New Roman" w:cs="Times New Roman"/>
          <w:bCs/>
        </w:rPr>
        <w:t xml:space="preserve">Possesses knowledge of adequate depth and spectrum </w:t>
      </w:r>
      <w:r w:rsidRPr="00495149">
        <w:rPr>
          <w:rFonts w:ascii="Times New Roman" w:eastAsia="Times New Roman" w:hAnsi="Times New Roman" w:cs="Times New Roman"/>
          <w:bCs/>
          <w:lang w:eastAsia="hu-HU"/>
        </w:rPr>
        <w:t>editing of projections, cross talks and the rules of the section-drawing.</w:t>
      </w:r>
    </w:p>
    <w:p w:rsidR="00CF0138" w:rsidRDefault="00CF0138" w:rsidP="00CF0138">
      <w:pPr>
        <w:widowControl w:val="0"/>
        <w:spacing w:before="120" w:after="120" w:line="240" w:lineRule="auto"/>
        <w:ind w:left="426"/>
        <w:jc w:val="both"/>
        <w:rPr>
          <w:rFonts w:ascii="Times New Roman" w:eastAsia="Times New Roman" w:hAnsi="Times New Roman" w:cs="Times New Roman"/>
          <w:lang w:val="en-GB"/>
        </w:rPr>
      </w:pPr>
      <w:r w:rsidRPr="00E33E54">
        <w:rPr>
          <w:rFonts w:ascii="Times New Roman" w:eastAsia="Times New Roman" w:hAnsi="Times New Roman" w:cs="Times New Roman"/>
          <w:b/>
          <w:lang w:val="en-GB"/>
        </w:rPr>
        <w:t>Capabilities</w:t>
      </w:r>
      <w:r w:rsidRPr="00E33E54">
        <w:rPr>
          <w:rFonts w:ascii="Times New Roman" w:eastAsia="Times New Roman" w:hAnsi="Times New Roman" w:cs="Times New Roman"/>
          <w:lang w:val="en-GB"/>
        </w:rPr>
        <w:t xml:space="preserve">: </w:t>
      </w:r>
    </w:p>
    <w:p w:rsidR="00CF0138" w:rsidRDefault="00CF0138" w:rsidP="00C14833">
      <w:pPr>
        <w:pStyle w:val="Listaszerbekezds"/>
        <w:widowControl w:val="0"/>
        <w:numPr>
          <w:ilvl w:val="0"/>
          <w:numId w:val="124"/>
        </w:numPr>
        <w:spacing w:before="120" w:after="120" w:line="240" w:lineRule="auto"/>
        <w:jc w:val="both"/>
        <w:rPr>
          <w:rFonts w:ascii="Times New Roman" w:eastAsia="Times New Roman" w:hAnsi="Times New Roman" w:cs="Times New Roman"/>
          <w:bCs/>
        </w:rPr>
      </w:pPr>
      <w:r w:rsidRPr="00495149">
        <w:rPr>
          <w:rFonts w:ascii="Times New Roman" w:eastAsia="Times New Roman" w:hAnsi="Times New Roman" w:cs="Times New Roman"/>
          <w:bCs/>
        </w:rPr>
        <w:t>Is capable of recognise</w:t>
      </w:r>
      <w:r>
        <w:rPr>
          <w:rFonts w:ascii="Times New Roman" w:eastAsia="Times New Roman" w:hAnsi="Times New Roman" w:cs="Times New Roman"/>
          <w:bCs/>
        </w:rPr>
        <w:t>ing</w:t>
      </w:r>
      <w:r w:rsidRPr="00495149">
        <w:rPr>
          <w:rFonts w:ascii="Times New Roman" w:eastAsia="Times New Roman" w:hAnsi="Times New Roman" w:cs="Times New Roman"/>
          <w:bCs/>
        </w:rPr>
        <w:t xml:space="preserve"> the types, variations and species of technical draws. </w:t>
      </w:r>
    </w:p>
    <w:p w:rsidR="00CF0138" w:rsidRDefault="00CF0138" w:rsidP="00C14833">
      <w:pPr>
        <w:pStyle w:val="Listaszerbekezds"/>
        <w:widowControl w:val="0"/>
        <w:numPr>
          <w:ilvl w:val="0"/>
          <w:numId w:val="124"/>
        </w:numPr>
        <w:spacing w:before="120" w:after="120" w:line="240" w:lineRule="auto"/>
        <w:jc w:val="both"/>
        <w:rPr>
          <w:rFonts w:ascii="Times New Roman" w:eastAsia="Times New Roman" w:hAnsi="Times New Roman" w:cs="Times New Roman"/>
          <w:bCs/>
        </w:rPr>
      </w:pPr>
      <w:r w:rsidRPr="00495149">
        <w:rPr>
          <w:rFonts w:ascii="Times New Roman" w:eastAsia="Times New Roman" w:hAnsi="Times New Roman" w:cs="Times New Roman"/>
          <w:bCs/>
        </w:rPr>
        <w:t>Is capable of professionally</w:t>
      </w:r>
      <w:r w:rsidRPr="00495149">
        <w:rPr>
          <w:rFonts w:ascii="Times New Roman" w:hAnsi="Times New Roman" w:cs="Times New Roman"/>
        </w:rPr>
        <w:t xml:space="preserve"> </w:t>
      </w:r>
      <w:r w:rsidRPr="00495149">
        <w:rPr>
          <w:rFonts w:ascii="Times New Roman" w:eastAsia="Times New Roman" w:hAnsi="Times New Roman" w:cs="Times New Roman"/>
          <w:bCs/>
        </w:rPr>
        <w:t xml:space="preserve">drawing in two-dimensional and three-dimensional (axonometry) representation of shapes. </w:t>
      </w:r>
    </w:p>
    <w:p w:rsidR="00CF0138" w:rsidRDefault="00CF0138" w:rsidP="00C14833">
      <w:pPr>
        <w:pStyle w:val="Listaszerbekezds"/>
        <w:widowControl w:val="0"/>
        <w:numPr>
          <w:ilvl w:val="0"/>
          <w:numId w:val="124"/>
        </w:numPr>
        <w:spacing w:before="120" w:after="120" w:line="240" w:lineRule="auto"/>
        <w:jc w:val="both"/>
        <w:rPr>
          <w:rFonts w:ascii="Times New Roman" w:eastAsia="Times New Roman" w:hAnsi="Times New Roman" w:cs="Times New Roman"/>
          <w:bCs/>
        </w:rPr>
      </w:pPr>
      <w:r w:rsidRPr="00495149">
        <w:rPr>
          <w:rFonts w:ascii="Times New Roman" w:eastAsia="Times New Roman" w:hAnsi="Times New Roman" w:cs="Times New Roman"/>
          <w:bCs/>
        </w:rPr>
        <w:t>Is capable of</w:t>
      </w:r>
      <w:r w:rsidRPr="00495149">
        <w:rPr>
          <w:rFonts w:ascii="Times New Roman" w:hAnsi="Times New Roman" w:cs="Times New Roman"/>
        </w:rPr>
        <w:t xml:space="preserve"> </w:t>
      </w:r>
      <w:r w:rsidRPr="00495149">
        <w:rPr>
          <w:rFonts w:ascii="Times New Roman" w:eastAsia="Times New Roman" w:hAnsi="Times New Roman" w:cs="Times New Roman"/>
          <w:bCs/>
        </w:rPr>
        <w:t xml:space="preserve">editing of projections and cross talks. </w:t>
      </w:r>
    </w:p>
    <w:p w:rsidR="00CF0138" w:rsidRDefault="00CF0138" w:rsidP="00C14833">
      <w:pPr>
        <w:pStyle w:val="Listaszerbekezds"/>
        <w:widowControl w:val="0"/>
        <w:numPr>
          <w:ilvl w:val="0"/>
          <w:numId w:val="124"/>
        </w:numPr>
        <w:spacing w:before="120" w:after="120" w:line="240" w:lineRule="auto"/>
        <w:jc w:val="both"/>
        <w:rPr>
          <w:rFonts w:ascii="Times New Roman" w:eastAsia="Times New Roman" w:hAnsi="Times New Roman" w:cs="Times New Roman"/>
          <w:bCs/>
        </w:rPr>
      </w:pPr>
      <w:r w:rsidRPr="00495149">
        <w:rPr>
          <w:rFonts w:ascii="Times New Roman" w:eastAsia="Times New Roman" w:hAnsi="Times New Roman" w:cs="Times New Roman"/>
          <w:bCs/>
        </w:rPr>
        <w:t>Is capable of recognise</w:t>
      </w:r>
      <w:r>
        <w:rPr>
          <w:rFonts w:ascii="Times New Roman" w:eastAsia="Times New Roman" w:hAnsi="Times New Roman" w:cs="Times New Roman"/>
          <w:bCs/>
        </w:rPr>
        <w:t>ing</w:t>
      </w:r>
      <w:r w:rsidRPr="00495149">
        <w:rPr>
          <w:rFonts w:ascii="Times New Roman" w:eastAsia="Times New Roman" w:hAnsi="Times New Roman" w:cs="Times New Roman"/>
          <w:bCs/>
        </w:rPr>
        <w:t xml:space="preserve"> the rules of the section-drawing. </w:t>
      </w:r>
    </w:p>
    <w:p w:rsidR="00CF0138" w:rsidRPr="00495149" w:rsidRDefault="00CF0138" w:rsidP="00C14833">
      <w:pPr>
        <w:pStyle w:val="Listaszerbekezds"/>
        <w:widowControl w:val="0"/>
        <w:numPr>
          <w:ilvl w:val="0"/>
          <w:numId w:val="124"/>
        </w:numPr>
        <w:spacing w:before="120" w:after="120" w:line="240" w:lineRule="auto"/>
        <w:jc w:val="both"/>
        <w:rPr>
          <w:rFonts w:ascii="Times New Roman" w:eastAsia="Times New Roman" w:hAnsi="Times New Roman" w:cs="Times New Roman"/>
          <w:bCs/>
        </w:rPr>
      </w:pPr>
      <w:r w:rsidRPr="00495149">
        <w:rPr>
          <w:rFonts w:ascii="Times New Roman" w:eastAsia="Times New Roman" w:hAnsi="Times New Roman" w:cs="Times New Roman"/>
          <w:bCs/>
        </w:rPr>
        <w:t>Is capable of distinguish</w:t>
      </w:r>
      <w:r>
        <w:rPr>
          <w:rFonts w:ascii="Times New Roman" w:eastAsia="Times New Roman" w:hAnsi="Times New Roman" w:cs="Times New Roman"/>
          <w:bCs/>
        </w:rPr>
        <w:t>ing</w:t>
      </w:r>
      <w:r w:rsidRPr="00495149">
        <w:rPr>
          <w:rFonts w:ascii="Times New Roman" w:eastAsia="Times New Roman" w:hAnsi="Times New Roman" w:cs="Times New Roman"/>
          <w:bCs/>
        </w:rPr>
        <w:t xml:space="preserve"> the types of size lines, pointing lines, and the web of the size lines. </w:t>
      </w:r>
    </w:p>
    <w:p w:rsidR="00CF0138" w:rsidRDefault="00CF0138" w:rsidP="00CF0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lang w:val="en-GB"/>
        </w:rPr>
      </w:pPr>
      <w:r w:rsidRPr="00E33E54">
        <w:rPr>
          <w:rFonts w:ascii="Times New Roman" w:eastAsia="Times New Roman" w:hAnsi="Times New Roman" w:cs="Times New Roman"/>
          <w:b/>
          <w:lang w:val="en-GB"/>
        </w:rPr>
        <w:t>Attitude:</w:t>
      </w:r>
      <w:r w:rsidRPr="00E33E54">
        <w:rPr>
          <w:rFonts w:ascii="Times New Roman" w:eastAsia="Times New Roman" w:hAnsi="Times New Roman" w:cs="Times New Roman"/>
          <w:lang w:val="en-GB"/>
        </w:rPr>
        <w:t xml:space="preserve"> </w:t>
      </w:r>
    </w:p>
    <w:p w:rsidR="00CF0138" w:rsidRDefault="00CF0138" w:rsidP="00C14833">
      <w:pPr>
        <w:pStyle w:val="Listaszerbekezds"/>
        <w:numPr>
          <w:ilvl w:val="0"/>
          <w:numId w:val="1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lang w:eastAsia="hu-HU"/>
        </w:rPr>
      </w:pPr>
      <w:r w:rsidRPr="00495149">
        <w:rPr>
          <w:rFonts w:ascii="Times New Roman" w:eastAsia="Times New Roman" w:hAnsi="Times New Roman" w:cs="Times New Roman"/>
        </w:rPr>
        <w:t>He/she is open to widen his/her knowledge regarding</w:t>
      </w:r>
      <w:r w:rsidRPr="00495149">
        <w:rPr>
          <w:rFonts w:ascii="Times New Roman" w:eastAsia="Times New Roman" w:hAnsi="Times New Roman" w:cs="Times New Roman"/>
          <w:bCs/>
          <w:lang w:eastAsia="hu-HU"/>
        </w:rPr>
        <w:t xml:space="preserve"> basic terms, rules and theories of technical drawings. </w:t>
      </w:r>
    </w:p>
    <w:p w:rsidR="00CF0138" w:rsidRDefault="00CF0138" w:rsidP="00C14833">
      <w:pPr>
        <w:pStyle w:val="Listaszerbekezds"/>
        <w:numPr>
          <w:ilvl w:val="0"/>
          <w:numId w:val="1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lang w:eastAsia="hu-HU"/>
        </w:rPr>
      </w:pPr>
      <w:r w:rsidRPr="00495149">
        <w:rPr>
          <w:rFonts w:ascii="Times New Roman" w:eastAsia="Times New Roman" w:hAnsi="Times New Roman" w:cs="Times New Roman"/>
        </w:rPr>
        <w:t xml:space="preserve">He/she aims to adhere to the knowledge of </w:t>
      </w:r>
      <w:r w:rsidRPr="00495149">
        <w:rPr>
          <w:rFonts w:ascii="Times New Roman" w:eastAsia="Times New Roman" w:hAnsi="Times New Roman" w:cs="Times New Roman"/>
          <w:bCs/>
          <w:lang w:eastAsia="hu-HU"/>
        </w:rPr>
        <w:t xml:space="preserve">types, variations and species of technical draws and standardisation of drawing. </w:t>
      </w:r>
    </w:p>
    <w:p w:rsidR="00CF0138" w:rsidRPr="00495149" w:rsidRDefault="00CF0138" w:rsidP="00C14833">
      <w:pPr>
        <w:pStyle w:val="Listaszerbekezds"/>
        <w:numPr>
          <w:ilvl w:val="0"/>
          <w:numId w:val="1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lang w:eastAsia="hu-HU"/>
        </w:rPr>
      </w:pPr>
      <w:r w:rsidRPr="00495149">
        <w:rPr>
          <w:rFonts w:ascii="Times New Roman" w:eastAsia="Times New Roman" w:hAnsi="Times New Roman" w:cs="Times New Roman"/>
        </w:rPr>
        <w:t xml:space="preserve">His/her work and relationships can be described by loyalty and reliability. </w:t>
      </w:r>
    </w:p>
    <w:p w:rsidR="00CF0138" w:rsidRPr="00495149" w:rsidRDefault="00CF0138" w:rsidP="00C14833">
      <w:pPr>
        <w:pStyle w:val="Listaszerbekezds"/>
        <w:numPr>
          <w:ilvl w:val="0"/>
          <w:numId w:val="1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lang w:eastAsia="hu-HU"/>
        </w:rPr>
      </w:pPr>
      <w:r w:rsidRPr="00495149">
        <w:rPr>
          <w:rFonts w:ascii="Times New Roman" w:eastAsia="Times New Roman" w:hAnsi="Times New Roman" w:cs="Times New Roman"/>
        </w:rPr>
        <w:t xml:space="preserve">He/she is open towards the new accomplishments of military technology and aims to gain knowledge of these, </w:t>
      </w:r>
      <w:r w:rsidRPr="00495149">
        <w:rPr>
          <w:rFonts w:ascii="Times New Roman" w:eastAsia="Times New Roman" w:hAnsi="Times New Roman" w:cs="Times New Roman"/>
          <w:bCs/>
          <w:lang w:eastAsia="hu-HU"/>
        </w:rPr>
        <w:t>especially drawing in two-dimensional and three-dimensional (axonometry) representation of shapes, editing of projections and cross talks, or section-drawing.</w:t>
      </w:r>
    </w:p>
    <w:p w:rsidR="00741ECB" w:rsidRDefault="00741ECB" w:rsidP="00CF0138">
      <w:pPr>
        <w:widowControl w:val="0"/>
        <w:spacing w:before="120" w:after="120" w:line="240" w:lineRule="auto"/>
        <w:ind w:left="426"/>
        <w:jc w:val="both"/>
        <w:rPr>
          <w:rFonts w:ascii="Times New Roman" w:eastAsia="Times New Roman" w:hAnsi="Times New Roman" w:cs="Times New Roman"/>
          <w:b/>
          <w:lang w:val="en-GB"/>
        </w:rPr>
      </w:pPr>
    </w:p>
    <w:p w:rsidR="00CF0138" w:rsidRDefault="00CF0138" w:rsidP="00CF0138">
      <w:pPr>
        <w:widowControl w:val="0"/>
        <w:spacing w:before="120" w:after="120" w:line="240" w:lineRule="auto"/>
        <w:ind w:left="426"/>
        <w:jc w:val="both"/>
        <w:rPr>
          <w:rFonts w:ascii="Times New Roman" w:eastAsia="Times New Roman" w:hAnsi="Times New Roman" w:cs="Times New Roman"/>
          <w:b/>
          <w:lang w:val="en-GB"/>
        </w:rPr>
      </w:pPr>
      <w:r w:rsidRPr="00E33E54">
        <w:rPr>
          <w:rFonts w:ascii="Times New Roman" w:eastAsia="Times New Roman" w:hAnsi="Times New Roman" w:cs="Times New Roman"/>
          <w:b/>
          <w:lang w:val="en-GB"/>
        </w:rPr>
        <w:lastRenderedPageBreak/>
        <w:t xml:space="preserve">Autonomy and responsibility: </w:t>
      </w:r>
    </w:p>
    <w:p w:rsidR="00CF0138" w:rsidRPr="00495149" w:rsidRDefault="00CF0138" w:rsidP="00C14833">
      <w:pPr>
        <w:pStyle w:val="Listaszerbekezds"/>
        <w:widowControl w:val="0"/>
        <w:numPr>
          <w:ilvl w:val="0"/>
          <w:numId w:val="124"/>
        </w:numPr>
        <w:spacing w:before="120" w:after="120" w:line="240" w:lineRule="auto"/>
        <w:jc w:val="both"/>
        <w:rPr>
          <w:rFonts w:ascii="Times New Roman" w:eastAsia="Times New Roman" w:hAnsi="Times New Roman" w:cs="Times New Roman"/>
          <w:lang w:val="en-GB"/>
        </w:rPr>
      </w:pPr>
      <w:r w:rsidRPr="00495149">
        <w:rPr>
          <w:rFonts w:ascii="Times New Roman" w:eastAsia="Times New Roman" w:hAnsi="Times New Roman" w:cs="Times New Roman"/>
        </w:rPr>
        <w:t>Is capable of</w:t>
      </w:r>
      <w:r w:rsidRPr="00495149">
        <w:rPr>
          <w:rFonts w:ascii="Times New Roman" w:hAnsi="Times New Roman" w:cs="Times New Roman"/>
        </w:rPr>
        <w:t xml:space="preserve"> </w:t>
      </w:r>
      <w:r w:rsidRPr="00495149">
        <w:rPr>
          <w:rFonts w:ascii="Times New Roman" w:eastAsia="Times New Roman" w:hAnsi="Times New Roman" w:cs="Times New Roman"/>
        </w:rPr>
        <w:t>distinguish</w:t>
      </w:r>
      <w:r>
        <w:rPr>
          <w:rFonts w:ascii="Times New Roman" w:eastAsia="Times New Roman" w:hAnsi="Times New Roman" w:cs="Times New Roman"/>
        </w:rPr>
        <w:t>ing</w:t>
      </w:r>
      <w:r w:rsidRPr="00495149">
        <w:rPr>
          <w:rFonts w:ascii="Times New Roman" w:eastAsia="Times New Roman" w:hAnsi="Times New Roman" w:cs="Times New Roman"/>
        </w:rPr>
        <w:t xml:space="preserve"> </w:t>
      </w:r>
      <w:r w:rsidRPr="00495149">
        <w:rPr>
          <w:rFonts w:ascii="Times New Roman" w:eastAsia="Times New Roman" w:hAnsi="Times New Roman" w:cs="Times New Roman"/>
          <w:bCs/>
          <w:lang w:eastAsia="hu-HU"/>
        </w:rPr>
        <w:t xml:space="preserve">the types, variations and species of technical draws, and standards. </w:t>
      </w:r>
    </w:p>
    <w:p w:rsidR="00CF0138" w:rsidRPr="00495149" w:rsidRDefault="00CF0138" w:rsidP="00C14833">
      <w:pPr>
        <w:pStyle w:val="Listaszerbekezds"/>
        <w:widowControl w:val="0"/>
        <w:numPr>
          <w:ilvl w:val="0"/>
          <w:numId w:val="124"/>
        </w:numPr>
        <w:spacing w:before="120" w:after="120" w:line="240" w:lineRule="auto"/>
        <w:jc w:val="both"/>
        <w:rPr>
          <w:rFonts w:ascii="Times New Roman" w:eastAsia="Times New Roman" w:hAnsi="Times New Roman" w:cs="Times New Roman"/>
          <w:lang w:val="en-GB"/>
        </w:rPr>
      </w:pPr>
      <w:r w:rsidRPr="00495149">
        <w:rPr>
          <w:rFonts w:ascii="Times New Roman" w:eastAsia="Times New Roman" w:hAnsi="Times New Roman" w:cs="Times New Roman"/>
        </w:rPr>
        <w:t xml:space="preserve">He/she is capable of making </w:t>
      </w:r>
      <w:r w:rsidRPr="00495149">
        <w:rPr>
          <w:rFonts w:ascii="Times New Roman" w:eastAsia="Times New Roman" w:hAnsi="Times New Roman" w:cs="Times New Roman"/>
          <w:bCs/>
          <w:lang w:eastAsia="hu-HU"/>
        </w:rPr>
        <w:t xml:space="preserve">the drawing in two-dimensional and three-dimensional (axonometry) representation of shapes, editing of projections and cross talks, and drawing sections. </w:t>
      </w:r>
    </w:p>
    <w:p w:rsidR="00CF0138" w:rsidRPr="00495149" w:rsidRDefault="00CF0138" w:rsidP="00C14833">
      <w:pPr>
        <w:pStyle w:val="Listaszerbekezds"/>
        <w:widowControl w:val="0"/>
        <w:numPr>
          <w:ilvl w:val="0"/>
          <w:numId w:val="124"/>
        </w:numPr>
        <w:spacing w:before="120" w:after="120" w:line="240" w:lineRule="auto"/>
        <w:jc w:val="both"/>
        <w:rPr>
          <w:rFonts w:ascii="Times New Roman" w:eastAsia="Times New Roman" w:hAnsi="Times New Roman" w:cs="Times New Roman"/>
          <w:lang w:val="en-GB"/>
        </w:rPr>
      </w:pPr>
      <w:r w:rsidRPr="00495149">
        <w:rPr>
          <w:rFonts w:ascii="Times New Roman" w:eastAsia="Times New Roman" w:hAnsi="Times New Roman" w:cs="Times New Roman"/>
        </w:rPr>
        <w:t xml:space="preserve">He/she is cooperative and responsible towards the professionals of his/her field. </w:t>
      </w:r>
    </w:p>
    <w:p w:rsidR="00CF0138" w:rsidRPr="00495149" w:rsidRDefault="00CF0138" w:rsidP="00C14833">
      <w:pPr>
        <w:pStyle w:val="Listaszerbekezds"/>
        <w:widowControl w:val="0"/>
        <w:numPr>
          <w:ilvl w:val="0"/>
          <w:numId w:val="124"/>
        </w:numPr>
        <w:spacing w:before="120" w:after="120" w:line="240" w:lineRule="auto"/>
        <w:jc w:val="both"/>
        <w:rPr>
          <w:rFonts w:ascii="Times New Roman" w:eastAsia="Times New Roman" w:hAnsi="Times New Roman" w:cs="Times New Roman"/>
          <w:lang w:val="en-GB"/>
        </w:rPr>
      </w:pPr>
      <w:r w:rsidRPr="00495149">
        <w:rPr>
          <w:rFonts w:ascii="Times New Roman" w:eastAsia="Times New Roman" w:hAnsi="Times New Roman" w:cs="Times New Roman"/>
        </w:rPr>
        <w:t>Is capable of thinking in a system approach within his/her own field.</w:t>
      </w:r>
    </w:p>
    <w:p w:rsidR="00CF0138" w:rsidRPr="00E33E54" w:rsidRDefault="00CF0138" w:rsidP="00980876">
      <w:pPr>
        <w:widowControl w:val="0"/>
        <w:numPr>
          <w:ilvl w:val="0"/>
          <w:numId w:val="411"/>
        </w:numPr>
        <w:tabs>
          <w:tab w:val="num" w:pos="567"/>
        </w:tabs>
        <w:spacing w:before="120" w:after="120" w:line="240" w:lineRule="auto"/>
        <w:ind w:left="426" w:hanging="142"/>
        <w:jc w:val="both"/>
        <w:rPr>
          <w:rFonts w:ascii="Times New Roman" w:eastAsia="Times New Roman" w:hAnsi="Times New Roman" w:cs="Times New Roman"/>
          <w:bCs/>
        </w:rPr>
      </w:pPr>
      <w:r w:rsidRPr="00E33E54">
        <w:rPr>
          <w:rFonts w:ascii="Times New Roman" w:eastAsia="Times New Roman" w:hAnsi="Times New Roman" w:cs="Times New Roman"/>
          <w:b/>
          <w:bCs/>
        </w:rPr>
        <w:t xml:space="preserve">Előtanulmányi követelmények: </w:t>
      </w:r>
      <w:r>
        <w:rPr>
          <w:rFonts w:ascii="Times New Roman" w:eastAsia="Times New Roman" w:hAnsi="Times New Roman" w:cs="Times New Roman"/>
          <w:b/>
          <w:bCs/>
        </w:rPr>
        <w:t>-</w:t>
      </w:r>
    </w:p>
    <w:p w:rsidR="00CF0138" w:rsidRPr="00E33E54" w:rsidRDefault="00CF0138" w:rsidP="00980876">
      <w:pPr>
        <w:widowControl w:val="0"/>
        <w:numPr>
          <w:ilvl w:val="0"/>
          <w:numId w:val="411"/>
        </w:numPr>
        <w:spacing w:before="120" w:after="120" w:line="240" w:lineRule="auto"/>
        <w:ind w:left="426" w:hanging="142"/>
        <w:jc w:val="both"/>
        <w:rPr>
          <w:rFonts w:ascii="Times New Roman" w:eastAsia="Times New Roman" w:hAnsi="Times New Roman" w:cs="Times New Roman"/>
          <w:b/>
          <w:bCs/>
        </w:rPr>
      </w:pPr>
      <w:r w:rsidRPr="00E33E54">
        <w:rPr>
          <w:rFonts w:ascii="Times New Roman" w:eastAsia="Times New Roman" w:hAnsi="Times New Roman" w:cs="Times New Roman"/>
          <w:b/>
          <w:bCs/>
        </w:rPr>
        <w:t>A tantárgy tananyagának leírása, tematika. Description of the subject, curriculum (magyarul, angolul - English):</w:t>
      </w:r>
    </w:p>
    <w:p w:rsidR="00CF0138" w:rsidRPr="00E33E54" w:rsidRDefault="00CF0138" w:rsidP="00980876">
      <w:pPr>
        <w:widowControl w:val="0"/>
        <w:numPr>
          <w:ilvl w:val="1"/>
          <w:numId w:val="411"/>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b/>
        </w:rPr>
      </w:pPr>
      <w:r w:rsidRPr="00E33E54">
        <w:rPr>
          <w:rFonts w:ascii="Times New Roman" w:eastAsia="Times New Roman" w:hAnsi="Times New Roman" w:cs="Times New Roman"/>
        </w:rPr>
        <w:t xml:space="preserve"> </w:t>
      </w:r>
      <w:r w:rsidRPr="00E33E54">
        <w:rPr>
          <w:rFonts w:ascii="Times New Roman" w:eastAsia="Times New Roman" w:hAnsi="Times New Roman" w:cs="Times New Roman"/>
          <w:bCs/>
        </w:rPr>
        <w:t xml:space="preserve">A műszaki ábrázolás alapfogalmai. </w:t>
      </w:r>
      <w:r w:rsidRPr="00E33E54">
        <w:rPr>
          <w:rFonts w:ascii="Times New Roman" w:eastAsia="Times New Roman" w:hAnsi="Times New Roman" w:cs="Times New Roman"/>
        </w:rPr>
        <w:t>(</w:t>
      </w:r>
      <w:r w:rsidRPr="00495149">
        <w:rPr>
          <w:rFonts w:ascii="Times New Roman" w:eastAsia="Times New Roman" w:hAnsi="Times New Roman" w:cs="Times New Roman"/>
          <w:bCs/>
          <w:i/>
        </w:rPr>
        <w:t>Basic terms, rules and theories of technical drawings</w:t>
      </w:r>
      <w:r w:rsidRPr="00E33E54">
        <w:rPr>
          <w:rFonts w:ascii="Times New Roman" w:eastAsia="Times New Roman" w:hAnsi="Times New Roman" w:cs="Times New Roman"/>
          <w:bCs/>
        </w:rPr>
        <w:t>.</w:t>
      </w:r>
      <w:r w:rsidRPr="00E33E54">
        <w:rPr>
          <w:rFonts w:ascii="Times New Roman" w:eastAsia="Times New Roman" w:hAnsi="Times New Roman" w:cs="Times New Roman"/>
        </w:rPr>
        <w:t>)</w:t>
      </w:r>
    </w:p>
    <w:p w:rsidR="00CF0138" w:rsidRPr="00E33E54" w:rsidRDefault="00CF0138" w:rsidP="00980876">
      <w:pPr>
        <w:widowControl w:val="0"/>
        <w:numPr>
          <w:ilvl w:val="1"/>
          <w:numId w:val="411"/>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b/>
        </w:rPr>
      </w:pPr>
      <w:r w:rsidRPr="00E33E54">
        <w:rPr>
          <w:rFonts w:ascii="Times New Roman" w:eastAsia="Times New Roman" w:hAnsi="Times New Roman" w:cs="Times New Roman"/>
          <w:bCs/>
        </w:rPr>
        <w:t>A műszaki rajzok fajtái. (</w:t>
      </w:r>
      <w:r w:rsidRPr="00495149">
        <w:rPr>
          <w:rFonts w:ascii="Times New Roman" w:eastAsia="Times New Roman" w:hAnsi="Times New Roman" w:cs="Times New Roman"/>
          <w:bCs/>
          <w:i/>
        </w:rPr>
        <w:t>Types, variations and species of technical draws</w:t>
      </w:r>
      <w:r w:rsidRPr="00E33E54">
        <w:rPr>
          <w:rFonts w:ascii="Times New Roman" w:eastAsia="Times New Roman" w:hAnsi="Times New Roman" w:cs="Times New Roman"/>
          <w:bCs/>
        </w:rPr>
        <w:t>.</w:t>
      </w:r>
      <w:r w:rsidRPr="00E33E54">
        <w:rPr>
          <w:rFonts w:ascii="Times New Roman" w:eastAsia="Times New Roman" w:hAnsi="Times New Roman" w:cs="Times New Roman"/>
          <w:bCs/>
          <w:lang w:eastAsia="hu-HU"/>
        </w:rPr>
        <w:t>)</w:t>
      </w:r>
    </w:p>
    <w:p w:rsidR="00CF0138" w:rsidRPr="00E33E54" w:rsidRDefault="00CF0138" w:rsidP="00980876">
      <w:pPr>
        <w:widowControl w:val="0"/>
        <w:numPr>
          <w:ilvl w:val="1"/>
          <w:numId w:val="411"/>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b/>
        </w:rPr>
      </w:pPr>
      <w:r w:rsidRPr="00E33E54">
        <w:rPr>
          <w:rFonts w:ascii="Times New Roman" w:eastAsia="Times New Roman" w:hAnsi="Times New Roman" w:cs="Times New Roman"/>
          <w:bCs/>
        </w:rPr>
        <w:t>Műszaki rajzokra vonatkozó szabványok. (</w:t>
      </w:r>
      <w:r w:rsidRPr="00495149">
        <w:rPr>
          <w:rFonts w:ascii="Times New Roman" w:eastAsia="Times New Roman" w:hAnsi="Times New Roman" w:cs="Times New Roman"/>
          <w:bCs/>
          <w:i/>
        </w:rPr>
        <w:t>Standardisation</w:t>
      </w:r>
      <w:r w:rsidRPr="00E33E54">
        <w:rPr>
          <w:rFonts w:ascii="Times New Roman" w:eastAsia="Times New Roman" w:hAnsi="Times New Roman" w:cs="Times New Roman"/>
          <w:bCs/>
        </w:rPr>
        <w:t xml:space="preserve">.) </w:t>
      </w:r>
    </w:p>
    <w:p w:rsidR="00CF0138" w:rsidRPr="00E33E54" w:rsidRDefault="00CF0138" w:rsidP="00980876">
      <w:pPr>
        <w:widowControl w:val="0"/>
        <w:numPr>
          <w:ilvl w:val="1"/>
          <w:numId w:val="411"/>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bCs/>
        </w:rPr>
      </w:pPr>
      <w:r w:rsidRPr="00E33E54">
        <w:rPr>
          <w:rFonts w:ascii="Times New Roman" w:eastAsia="Times New Roman" w:hAnsi="Times New Roman" w:cs="Times New Roman"/>
          <w:bCs/>
        </w:rPr>
        <w:t>Hazai és nemzetközi szabványok. (</w:t>
      </w:r>
      <w:r w:rsidRPr="00495149">
        <w:rPr>
          <w:rFonts w:ascii="Times New Roman" w:eastAsia="Times New Roman" w:hAnsi="Times New Roman" w:cs="Times New Roman"/>
          <w:bCs/>
          <w:i/>
        </w:rPr>
        <w:t>Domestic and international standards</w:t>
      </w:r>
      <w:r w:rsidRPr="00E33E54">
        <w:rPr>
          <w:rFonts w:ascii="Times New Roman" w:eastAsia="Times New Roman" w:hAnsi="Times New Roman" w:cs="Times New Roman"/>
          <w:bCs/>
        </w:rPr>
        <w:t>.)</w:t>
      </w:r>
    </w:p>
    <w:p w:rsidR="00CF0138" w:rsidRPr="00E33E54" w:rsidRDefault="00CF0138" w:rsidP="00980876">
      <w:pPr>
        <w:widowControl w:val="0"/>
        <w:numPr>
          <w:ilvl w:val="1"/>
          <w:numId w:val="411"/>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b/>
        </w:rPr>
      </w:pPr>
      <w:r w:rsidRPr="00E33E54">
        <w:rPr>
          <w:rFonts w:ascii="Times New Roman" w:eastAsia="Times New Roman" w:hAnsi="Times New Roman" w:cs="Times New Roman"/>
          <w:bCs/>
        </w:rPr>
        <w:t>Katonai szabványok. (</w:t>
      </w:r>
      <w:r w:rsidRPr="00495149">
        <w:rPr>
          <w:rFonts w:ascii="Times New Roman" w:eastAsia="Times New Roman" w:hAnsi="Times New Roman" w:cs="Times New Roman"/>
          <w:bCs/>
          <w:i/>
        </w:rPr>
        <w:t>Military standards</w:t>
      </w:r>
      <w:r w:rsidRPr="00E33E54">
        <w:rPr>
          <w:rFonts w:ascii="Times New Roman" w:eastAsia="Times New Roman" w:hAnsi="Times New Roman" w:cs="Times New Roman"/>
          <w:bCs/>
        </w:rPr>
        <w:t>.)</w:t>
      </w:r>
    </w:p>
    <w:p w:rsidR="00CF0138" w:rsidRPr="00E33E54" w:rsidRDefault="00CF0138" w:rsidP="00980876">
      <w:pPr>
        <w:widowControl w:val="0"/>
        <w:numPr>
          <w:ilvl w:val="1"/>
          <w:numId w:val="411"/>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b/>
        </w:rPr>
      </w:pPr>
      <w:r w:rsidRPr="00E33E54">
        <w:rPr>
          <w:rFonts w:ascii="Times New Roman" w:eastAsia="Times New Roman" w:hAnsi="Times New Roman" w:cs="Times New Roman"/>
          <w:bCs/>
        </w:rPr>
        <w:t>Síkbeli (háromnézeti) alakzatok ábrázolása. (</w:t>
      </w:r>
      <w:r w:rsidRPr="00495149">
        <w:rPr>
          <w:rFonts w:ascii="Times New Roman" w:eastAsia="Times New Roman" w:hAnsi="Times New Roman" w:cs="Times New Roman"/>
          <w:bCs/>
          <w:i/>
        </w:rPr>
        <w:t>Drawing in two-dimensional representation of shapes</w:t>
      </w:r>
      <w:r w:rsidRPr="00E33E54">
        <w:rPr>
          <w:rFonts w:ascii="Times New Roman" w:eastAsia="Times New Roman" w:hAnsi="Times New Roman" w:cs="Times New Roman"/>
          <w:bCs/>
        </w:rPr>
        <w:t xml:space="preserve">.) </w:t>
      </w:r>
    </w:p>
    <w:p w:rsidR="00CF0138" w:rsidRPr="00E33E54" w:rsidRDefault="00CF0138" w:rsidP="00980876">
      <w:pPr>
        <w:widowControl w:val="0"/>
        <w:numPr>
          <w:ilvl w:val="1"/>
          <w:numId w:val="411"/>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b/>
        </w:rPr>
      </w:pPr>
      <w:r w:rsidRPr="00E33E54">
        <w:rPr>
          <w:rFonts w:ascii="Times New Roman" w:eastAsia="Times New Roman" w:hAnsi="Times New Roman" w:cs="Times New Roman"/>
          <w:bCs/>
        </w:rPr>
        <w:t>Térbeli (axonometrikus) alakzatok ábrázolása. (</w:t>
      </w:r>
      <w:r w:rsidRPr="00495149">
        <w:rPr>
          <w:rFonts w:ascii="Times New Roman" w:eastAsia="Times New Roman" w:hAnsi="Times New Roman" w:cs="Times New Roman"/>
          <w:bCs/>
          <w:i/>
        </w:rPr>
        <w:t>Drawing in three-dimensional (axonometry) representation of shapes.</w:t>
      </w:r>
      <w:r w:rsidRPr="00E33E54">
        <w:rPr>
          <w:rFonts w:ascii="Times New Roman" w:eastAsia="Times New Roman" w:hAnsi="Times New Roman" w:cs="Times New Roman"/>
          <w:bCs/>
        </w:rPr>
        <w:t>)</w:t>
      </w:r>
    </w:p>
    <w:p w:rsidR="00CF0138" w:rsidRPr="00E33E54" w:rsidRDefault="00CF0138" w:rsidP="00980876">
      <w:pPr>
        <w:widowControl w:val="0"/>
        <w:numPr>
          <w:ilvl w:val="1"/>
          <w:numId w:val="411"/>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b/>
        </w:rPr>
      </w:pPr>
      <w:r w:rsidRPr="00E33E54">
        <w:rPr>
          <w:rFonts w:ascii="Times New Roman" w:eastAsia="Times New Roman" w:hAnsi="Times New Roman" w:cs="Times New Roman"/>
        </w:rPr>
        <w:t>Vetületek szerkesztése. (</w:t>
      </w:r>
      <w:r w:rsidRPr="00495149">
        <w:rPr>
          <w:rFonts w:ascii="Times New Roman" w:eastAsia="Times New Roman" w:hAnsi="Times New Roman" w:cs="Times New Roman"/>
          <w:i/>
        </w:rPr>
        <w:t>Editing of projections</w:t>
      </w:r>
      <w:r w:rsidRPr="00E33E54">
        <w:rPr>
          <w:rFonts w:ascii="Times New Roman" w:eastAsia="Times New Roman" w:hAnsi="Times New Roman" w:cs="Times New Roman"/>
        </w:rPr>
        <w:t>.)</w:t>
      </w:r>
    </w:p>
    <w:p w:rsidR="00CF0138" w:rsidRPr="00E33E54" w:rsidRDefault="00CF0138" w:rsidP="00980876">
      <w:pPr>
        <w:widowControl w:val="0"/>
        <w:numPr>
          <w:ilvl w:val="1"/>
          <w:numId w:val="411"/>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rPr>
      </w:pPr>
      <w:r w:rsidRPr="00E33E54">
        <w:rPr>
          <w:rFonts w:ascii="Times New Roman" w:eastAsia="Times New Roman" w:hAnsi="Times New Roman" w:cs="Times New Roman"/>
          <w:bCs/>
        </w:rPr>
        <w:t>Áthatások szerkesztése. (</w:t>
      </w:r>
      <w:r w:rsidRPr="00495149">
        <w:rPr>
          <w:rFonts w:ascii="Times New Roman" w:eastAsia="Times New Roman" w:hAnsi="Times New Roman" w:cs="Times New Roman"/>
          <w:bCs/>
          <w:i/>
        </w:rPr>
        <w:t>Editing of cross talks</w:t>
      </w:r>
      <w:r w:rsidRPr="00E33E54">
        <w:rPr>
          <w:rFonts w:ascii="Times New Roman" w:eastAsia="Times New Roman" w:hAnsi="Times New Roman" w:cs="Times New Roman"/>
          <w:bCs/>
        </w:rPr>
        <w:t>.)</w:t>
      </w:r>
    </w:p>
    <w:p w:rsidR="00CF0138" w:rsidRPr="00E33E54" w:rsidRDefault="00CF0138" w:rsidP="00980876">
      <w:pPr>
        <w:widowControl w:val="0"/>
        <w:numPr>
          <w:ilvl w:val="1"/>
          <w:numId w:val="411"/>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rPr>
      </w:pPr>
      <w:r w:rsidRPr="00E33E54">
        <w:rPr>
          <w:rFonts w:ascii="Times New Roman" w:eastAsia="Times New Roman" w:hAnsi="Times New Roman" w:cs="Times New Roman"/>
        </w:rPr>
        <w:t>Vázlatkészítési gyakorlat. (</w:t>
      </w:r>
      <w:r w:rsidRPr="00495149">
        <w:rPr>
          <w:rFonts w:ascii="Times New Roman" w:eastAsia="Times New Roman" w:hAnsi="Times New Roman" w:cs="Times New Roman"/>
          <w:i/>
        </w:rPr>
        <w:t>Drawing test</w:t>
      </w:r>
      <w:r w:rsidRPr="00E33E54">
        <w:rPr>
          <w:rFonts w:ascii="Times New Roman" w:eastAsia="Times New Roman" w:hAnsi="Times New Roman" w:cs="Times New Roman"/>
        </w:rPr>
        <w:t>.)</w:t>
      </w:r>
    </w:p>
    <w:p w:rsidR="00CF0138" w:rsidRPr="00E33E54" w:rsidRDefault="00CF0138" w:rsidP="00980876">
      <w:pPr>
        <w:widowControl w:val="0"/>
        <w:numPr>
          <w:ilvl w:val="1"/>
          <w:numId w:val="411"/>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bCs/>
          <w:lang w:eastAsia="hu-HU"/>
        </w:rPr>
      </w:pPr>
      <w:r w:rsidRPr="00E33E54">
        <w:rPr>
          <w:rFonts w:ascii="Times New Roman" w:eastAsia="Times New Roman" w:hAnsi="Times New Roman" w:cs="Times New Roman"/>
          <w:bCs/>
          <w:lang w:eastAsia="hu-HU"/>
        </w:rPr>
        <w:t>Metszetek rajzolásának szabályai. (</w:t>
      </w:r>
      <w:r w:rsidRPr="00495149">
        <w:rPr>
          <w:rFonts w:ascii="Times New Roman" w:eastAsia="Times New Roman" w:hAnsi="Times New Roman" w:cs="Times New Roman"/>
          <w:bCs/>
          <w:i/>
          <w:lang w:eastAsia="hu-HU"/>
        </w:rPr>
        <w:t>The rules of the section-drawing</w:t>
      </w:r>
      <w:r w:rsidRPr="00E33E54">
        <w:rPr>
          <w:rFonts w:ascii="Times New Roman" w:eastAsia="Times New Roman" w:hAnsi="Times New Roman" w:cs="Times New Roman"/>
          <w:bCs/>
          <w:lang w:eastAsia="hu-HU"/>
        </w:rPr>
        <w:t>.)</w:t>
      </w:r>
    </w:p>
    <w:p w:rsidR="00CF0138" w:rsidRPr="00E33E54" w:rsidRDefault="00CF0138" w:rsidP="00980876">
      <w:pPr>
        <w:widowControl w:val="0"/>
        <w:numPr>
          <w:ilvl w:val="1"/>
          <w:numId w:val="411"/>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bCs/>
        </w:rPr>
      </w:pPr>
      <w:r w:rsidRPr="00E33E54">
        <w:rPr>
          <w:rFonts w:ascii="Times New Roman" w:eastAsia="Times New Roman" w:hAnsi="Times New Roman" w:cs="Times New Roman"/>
          <w:bCs/>
        </w:rPr>
        <w:t>Tűrések jelölése. (</w:t>
      </w:r>
      <w:r w:rsidRPr="00495149">
        <w:rPr>
          <w:rFonts w:ascii="Times New Roman" w:eastAsia="Times New Roman" w:hAnsi="Times New Roman" w:cs="Times New Roman"/>
          <w:bCs/>
          <w:i/>
        </w:rPr>
        <w:t>The structure of the tolerances indication</w:t>
      </w:r>
      <w:r w:rsidRPr="00E33E54">
        <w:rPr>
          <w:rFonts w:ascii="Times New Roman" w:eastAsia="Times New Roman" w:hAnsi="Times New Roman" w:cs="Times New Roman"/>
          <w:bCs/>
        </w:rPr>
        <w:t>.)</w:t>
      </w:r>
    </w:p>
    <w:p w:rsidR="00CF0138" w:rsidRPr="00E33E54" w:rsidRDefault="00CF0138" w:rsidP="00980876">
      <w:pPr>
        <w:widowControl w:val="0"/>
        <w:numPr>
          <w:ilvl w:val="1"/>
          <w:numId w:val="411"/>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bCs/>
        </w:rPr>
      </w:pPr>
      <w:r w:rsidRPr="00E33E54">
        <w:rPr>
          <w:rFonts w:ascii="Times New Roman" w:eastAsia="Times New Roman" w:hAnsi="Times New Roman" w:cs="Times New Roman"/>
          <w:bCs/>
        </w:rPr>
        <w:t>Illesztések jelölése. (</w:t>
      </w:r>
      <w:r w:rsidRPr="00495149">
        <w:rPr>
          <w:rFonts w:ascii="Times New Roman" w:eastAsia="Times New Roman" w:hAnsi="Times New Roman" w:cs="Times New Roman"/>
          <w:bCs/>
          <w:i/>
        </w:rPr>
        <w:t>The structure of the joins indication</w:t>
      </w:r>
      <w:r w:rsidRPr="00E33E54">
        <w:rPr>
          <w:rFonts w:ascii="Times New Roman" w:eastAsia="Times New Roman" w:hAnsi="Times New Roman" w:cs="Times New Roman"/>
          <w:bCs/>
        </w:rPr>
        <w:t>.)</w:t>
      </w:r>
    </w:p>
    <w:p w:rsidR="00CF0138" w:rsidRPr="00E33E54" w:rsidRDefault="00CF0138" w:rsidP="00980876">
      <w:pPr>
        <w:widowControl w:val="0"/>
        <w:numPr>
          <w:ilvl w:val="1"/>
          <w:numId w:val="411"/>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bCs/>
        </w:rPr>
      </w:pPr>
      <w:r w:rsidRPr="00E33E54">
        <w:rPr>
          <w:rFonts w:ascii="Times New Roman" w:eastAsia="Times New Roman" w:hAnsi="Times New Roman" w:cs="Times New Roman"/>
          <w:bCs/>
        </w:rPr>
        <w:t xml:space="preserve"> Vázlatkészítési gyakorlat. (</w:t>
      </w:r>
      <w:r w:rsidRPr="00495149">
        <w:rPr>
          <w:rFonts w:ascii="Times New Roman" w:eastAsia="Times New Roman" w:hAnsi="Times New Roman" w:cs="Times New Roman"/>
          <w:bCs/>
          <w:i/>
        </w:rPr>
        <w:t>Drawing test.</w:t>
      </w:r>
      <w:r w:rsidRPr="00E33E54">
        <w:rPr>
          <w:rFonts w:ascii="Times New Roman" w:eastAsia="Times New Roman" w:hAnsi="Times New Roman" w:cs="Times New Roman"/>
          <w:bCs/>
        </w:rPr>
        <w:t>)</w:t>
      </w:r>
    </w:p>
    <w:p w:rsidR="00CF0138" w:rsidRPr="00E33E54" w:rsidRDefault="00CF0138" w:rsidP="00980876">
      <w:pPr>
        <w:widowControl w:val="0"/>
        <w:numPr>
          <w:ilvl w:val="0"/>
          <w:numId w:val="411"/>
        </w:numPr>
        <w:tabs>
          <w:tab w:val="num" w:pos="360"/>
        </w:tabs>
        <w:spacing w:before="120" w:after="120" w:line="240" w:lineRule="auto"/>
        <w:ind w:left="426" w:hanging="142"/>
        <w:jc w:val="both"/>
        <w:rPr>
          <w:rFonts w:ascii="Times New Roman" w:eastAsia="Times New Roman" w:hAnsi="Times New Roman" w:cs="Times New Roman"/>
          <w:bCs/>
        </w:rPr>
      </w:pPr>
      <w:r w:rsidRPr="00E33E54">
        <w:rPr>
          <w:rFonts w:ascii="Times New Roman" w:eastAsia="Times New Roman" w:hAnsi="Times New Roman" w:cs="Times New Roman"/>
          <w:b/>
          <w:bCs/>
        </w:rPr>
        <w:t>A tantárgy meghirdetésének gyakorisága/a tantervben történő félévi elhelyezkedése: 4</w:t>
      </w:r>
      <w:r w:rsidRPr="00E33E54">
        <w:rPr>
          <w:rFonts w:ascii="Times New Roman" w:eastAsia="Times New Roman" w:hAnsi="Times New Roman" w:cs="Times New Roman"/>
          <w:bCs/>
        </w:rPr>
        <w:t>. félév</w:t>
      </w:r>
    </w:p>
    <w:p w:rsidR="00CF0138" w:rsidRPr="00495149" w:rsidRDefault="00CF0138" w:rsidP="00980876">
      <w:pPr>
        <w:widowControl w:val="0"/>
        <w:numPr>
          <w:ilvl w:val="0"/>
          <w:numId w:val="411"/>
        </w:numPr>
        <w:tabs>
          <w:tab w:val="num" w:pos="360"/>
        </w:tabs>
        <w:spacing w:before="120" w:after="120" w:line="240" w:lineRule="auto"/>
        <w:ind w:left="426" w:hanging="142"/>
        <w:jc w:val="both"/>
        <w:rPr>
          <w:rFonts w:ascii="Times New Roman" w:eastAsia="Times New Roman" w:hAnsi="Times New Roman" w:cs="Times New Roman"/>
          <w:bCs/>
        </w:rPr>
      </w:pPr>
      <w:r w:rsidRPr="00495149">
        <w:rPr>
          <w:rFonts w:ascii="Times New Roman" w:eastAsia="Times New Roman" w:hAnsi="Times New Roman" w:cs="Times New Roman"/>
          <w:b/>
          <w:bCs/>
        </w:rPr>
        <w:t>A tanórákon való részvétel követelményei, az elfogadható hiányzások mértéke, a távolmaradás pótlásának lehetősége:</w:t>
      </w:r>
      <w:r w:rsidRPr="00495149">
        <w:rPr>
          <w:rFonts w:ascii="Times New Roman" w:eastAsia="Times New Roman" w:hAnsi="Times New Roman" w:cs="Times New Roman"/>
          <w:bCs/>
        </w:rPr>
        <w:t xml:space="preserve"> A hallgatónak a tanórák legalább 70 %-án jelen kell lennie, 30 %-ot meghaladó hiányzás esetén a félév teljesítése nem írható alá. A hallgató köteles az előadás és a gyakorlat anyagát beszerezni, abból önállóan felkészülni. A hiányzás pótolható az oktató által kijelölt témakörben beadott, legalább elégségesre értékelt házidolgozattal.</w:t>
      </w:r>
    </w:p>
    <w:p w:rsidR="00CF0138" w:rsidRPr="00E33E54" w:rsidRDefault="00CF0138" w:rsidP="00980876">
      <w:pPr>
        <w:widowControl w:val="0"/>
        <w:numPr>
          <w:ilvl w:val="0"/>
          <w:numId w:val="411"/>
        </w:numPr>
        <w:tabs>
          <w:tab w:val="clear" w:pos="720"/>
        </w:tabs>
        <w:spacing w:before="120" w:after="120" w:line="240" w:lineRule="auto"/>
        <w:ind w:left="426" w:hanging="66"/>
        <w:jc w:val="both"/>
        <w:rPr>
          <w:rFonts w:ascii="Times New Roman" w:eastAsia="Times New Roman" w:hAnsi="Times New Roman" w:cs="Times New Roman"/>
          <w:bCs/>
        </w:rPr>
      </w:pPr>
      <w:r w:rsidRPr="00E33E54">
        <w:rPr>
          <w:rFonts w:ascii="Times New Roman" w:eastAsia="Times New Roman" w:hAnsi="Times New Roman" w:cs="Times New Roman"/>
          <w:b/>
        </w:rPr>
        <w:t>Félévközi feladatok, ismeretek ellenőrzésének rendje:</w:t>
      </w:r>
      <w:r w:rsidRPr="00E33E54">
        <w:rPr>
          <w:rFonts w:ascii="Times New Roman" w:eastAsia="Times New Roman" w:hAnsi="Times New Roman" w:cs="Times New Roman"/>
          <w:bCs/>
        </w:rPr>
        <w:t xml:space="preserve"> </w:t>
      </w:r>
      <w:r>
        <w:rPr>
          <w:rFonts w:ascii="Times New Roman" w:eastAsia="Times New Roman" w:hAnsi="Times New Roman" w:cs="Times New Roman"/>
          <w:bCs/>
          <w:lang w:eastAsia="hu-HU"/>
        </w:rPr>
        <w:t>A félév során két</w:t>
      </w:r>
      <w:r w:rsidRPr="00E33E54">
        <w:rPr>
          <w:rFonts w:ascii="Times New Roman" w:eastAsia="Times New Roman" w:hAnsi="Times New Roman" w:cs="Times New Roman"/>
          <w:bCs/>
          <w:lang w:eastAsia="hu-HU"/>
        </w:rPr>
        <w:t xml:space="preserve"> írásos (rajz) feladat kerül kiadásra, és egy zárthelyi dolgozat kerül megíratásra a 12.1-12.14 tantárgyrészekből.</w:t>
      </w:r>
      <w:r w:rsidRPr="00495149">
        <w:rPr>
          <w:rFonts w:ascii="Times New Roman" w:eastAsia="Times New Roman" w:hAnsi="Times New Roman" w:cs="Times New Roman"/>
          <w:bCs/>
          <w:lang w:eastAsia="hu-HU"/>
        </w:rPr>
        <w:t xml:space="preserve"> A zárthelyi dolgozat témáit a kötelező irodalmak anyagából, illetve az előadásokon elhangzott ismeretanyagból kell összeállítani. A zárthelyi dolgozat értékelése ötfokozatú értékelés (a helyes válaszok aránya 0-60% elégtelen; 61-70% elégséges; 71-80% közepes; 81-90% jó; 91-100% jeles osztályzat). Eredménytelen zárthelyi dolgozat kétszer javítható</w:t>
      </w:r>
      <w:r w:rsidRPr="00B23A32">
        <w:t xml:space="preserve"> </w:t>
      </w:r>
      <w:r w:rsidRPr="00B23A32">
        <w:rPr>
          <w:rFonts w:ascii="Times New Roman" w:eastAsia="Times New Roman" w:hAnsi="Times New Roman" w:cs="Times New Roman"/>
          <w:bCs/>
          <w:lang w:eastAsia="hu-HU"/>
        </w:rPr>
        <w:t>a szorgalmi időszak végéig az oktatóval egyeztetett időpontokban</w:t>
      </w:r>
      <w:r w:rsidRPr="00495149">
        <w:rPr>
          <w:rFonts w:ascii="Times New Roman" w:eastAsia="Times New Roman" w:hAnsi="Times New Roman" w:cs="Times New Roman"/>
          <w:b/>
          <w:bCs/>
          <w:lang w:eastAsia="hu-HU"/>
        </w:rPr>
        <w:t>.</w:t>
      </w:r>
      <w:r w:rsidRPr="00495149">
        <w:rPr>
          <w:rFonts w:ascii="Times New Roman" w:eastAsia="Times New Roman" w:hAnsi="Times New Roman" w:cs="Times New Roman"/>
          <w:bCs/>
          <w:lang w:eastAsia="hu-HU"/>
        </w:rPr>
        <w:t xml:space="preserve"> A dolgozatban teszt és esszé jellegű kérdések egyaránt szerepelnek.</w:t>
      </w:r>
    </w:p>
    <w:p w:rsidR="00CF0138" w:rsidRPr="00E33E54" w:rsidRDefault="00CF0138" w:rsidP="00980876">
      <w:pPr>
        <w:widowControl w:val="0"/>
        <w:numPr>
          <w:ilvl w:val="0"/>
          <w:numId w:val="411"/>
        </w:numPr>
        <w:spacing w:before="120" w:after="120" w:line="240" w:lineRule="auto"/>
        <w:ind w:left="426" w:hanging="142"/>
        <w:jc w:val="both"/>
        <w:rPr>
          <w:rFonts w:ascii="Times New Roman" w:eastAsia="Times New Roman" w:hAnsi="Times New Roman" w:cs="Times New Roman"/>
          <w:b/>
          <w:bCs/>
        </w:rPr>
      </w:pPr>
      <w:r w:rsidRPr="00E33E54">
        <w:rPr>
          <w:rFonts w:ascii="Times New Roman" w:eastAsia="Times New Roman" w:hAnsi="Times New Roman" w:cs="Times New Roman"/>
          <w:b/>
          <w:bCs/>
        </w:rPr>
        <w:t xml:space="preserve">Az értékelés, az aláírás és a kreditek megszerzésének pontos feltételei: </w:t>
      </w:r>
    </w:p>
    <w:p w:rsidR="00CF0138" w:rsidRPr="004E424E" w:rsidRDefault="00CF0138" w:rsidP="00980876">
      <w:pPr>
        <w:widowControl w:val="0"/>
        <w:numPr>
          <w:ilvl w:val="1"/>
          <w:numId w:val="411"/>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4E424E">
        <w:rPr>
          <w:rFonts w:ascii="Times New Roman" w:eastAsia="Times New Roman" w:hAnsi="Times New Roman" w:cs="Times New Roman"/>
          <w:b/>
        </w:rPr>
        <w:t>Az aláírás megszerzésének feltételei:</w:t>
      </w:r>
      <w:r w:rsidRPr="004E424E">
        <w:rPr>
          <w:rFonts w:ascii="Times New Roman" w:eastAsia="Times New Roman" w:hAnsi="Times New Roman" w:cs="Times New Roman"/>
        </w:rPr>
        <w:t xml:space="preserve"> </w:t>
      </w:r>
      <w:r w:rsidRPr="00657EBC">
        <w:rPr>
          <w:rFonts w:ascii="Times New Roman" w:hAnsi="Times New Roman" w:cs="Times New Roman"/>
          <w:bCs/>
        </w:rPr>
        <w:t xml:space="preserve">Az aláírás megszerzésének feltétele a 14. pontban </w:t>
      </w:r>
      <w:r w:rsidRPr="00657EBC">
        <w:rPr>
          <w:rFonts w:ascii="Times New Roman" w:hAnsi="Times New Roman" w:cs="Times New Roman"/>
          <w:bCs/>
        </w:rPr>
        <w:lastRenderedPageBreak/>
        <w:t>meghatározott arányú részvétel a foglalkozásokon és a 15. pontban meghatározott félévközi feladatok legalább elégséges teljesítése</w:t>
      </w:r>
      <w:r w:rsidRPr="004E424E">
        <w:rPr>
          <w:rFonts w:ascii="Times New Roman" w:hAnsi="Times New Roman" w:cs="Times New Roman"/>
          <w:bCs/>
        </w:rPr>
        <w:t>.</w:t>
      </w:r>
    </w:p>
    <w:p w:rsidR="00CF0138" w:rsidRPr="004E424E" w:rsidRDefault="00CF0138" w:rsidP="00980876">
      <w:pPr>
        <w:widowControl w:val="0"/>
        <w:numPr>
          <w:ilvl w:val="1"/>
          <w:numId w:val="411"/>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4E424E">
        <w:rPr>
          <w:rFonts w:ascii="Times New Roman" w:eastAsia="Times New Roman" w:hAnsi="Times New Roman" w:cs="Times New Roman"/>
          <w:b/>
        </w:rPr>
        <w:t>Az értékelés:</w:t>
      </w:r>
      <w:r w:rsidRPr="004E424E">
        <w:rPr>
          <w:rFonts w:ascii="Times New Roman" w:eastAsia="Times New Roman" w:hAnsi="Times New Roman" w:cs="Times New Roman"/>
        </w:rPr>
        <w:t xml:space="preserve"> </w:t>
      </w:r>
      <w:bookmarkStart w:id="53" w:name="_Hlk34588835"/>
      <w:r w:rsidRPr="004E424E">
        <w:rPr>
          <w:rFonts w:ascii="Times New Roman" w:hAnsi="Times New Roman" w:cs="Times New Roman"/>
        </w:rPr>
        <w:t>évközi értékelés, ötfokozatú értékelés.</w:t>
      </w:r>
      <w:r w:rsidRPr="004E424E">
        <w:rPr>
          <w:rFonts w:ascii="Times New Roman" w:eastAsia="Times New Roman" w:hAnsi="Times New Roman" w:cs="Times New Roman"/>
          <w:bCs/>
        </w:rPr>
        <w:t xml:space="preserve"> </w:t>
      </w:r>
      <w:r w:rsidRPr="004E424E">
        <w:rPr>
          <w:rFonts w:ascii="Times New Roman" w:hAnsi="Times New Roman" w:cs="Times New Roman"/>
          <w:bCs/>
        </w:rPr>
        <w:t>Az évközi értékelést az elért eredmények kerekített matematikai átlaga képezi.</w:t>
      </w:r>
      <w:bookmarkEnd w:id="53"/>
    </w:p>
    <w:p w:rsidR="00CF0138" w:rsidRPr="00E33E54" w:rsidRDefault="00CF0138" w:rsidP="00CF0138">
      <w:pPr>
        <w:widowControl w:val="0"/>
        <w:tabs>
          <w:tab w:val="left" w:pos="993"/>
        </w:tabs>
        <w:spacing w:before="120" w:after="120" w:line="240" w:lineRule="auto"/>
        <w:ind w:left="426"/>
        <w:jc w:val="both"/>
        <w:rPr>
          <w:rFonts w:ascii="Times New Roman" w:eastAsia="Times New Roman" w:hAnsi="Times New Roman" w:cs="Times New Roman"/>
        </w:rPr>
      </w:pPr>
      <w:r w:rsidRPr="004E424E">
        <w:rPr>
          <w:rFonts w:ascii="Times New Roman" w:eastAsia="Times New Roman" w:hAnsi="Times New Roman" w:cs="Times New Roman"/>
          <w:b/>
        </w:rPr>
        <w:t>A kreditek megszerzésének feltételei:</w:t>
      </w:r>
      <w:r w:rsidRPr="004E424E">
        <w:rPr>
          <w:rFonts w:ascii="Times New Roman" w:eastAsia="Times New Roman" w:hAnsi="Times New Roman" w:cs="Times New Roman"/>
        </w:rPr>
        <w:t xml:space="preserve"> </w:t>
      </w:r>
      <w:bookmarkStart w:id="54" w:name="_Hlk34588886"/>
      <w:r w:rsidRPr="004E424E">
        <w:rPr>
          <w:rFonts w:ascii="Times New Roman" w:eastAsia="Times New Roman" w:hAnsi="Times New Roman" w:cs="Times New Roman"/>
        </w:rPr>
        <w:t>az aláírás megszerzése és legalább elégséges</w:t>
      </w:r>
      <w:r w:rsidRPr="004E424E">
        <w:rPr>
          <w:rFonts w:ascii="Times New Roman" w:eastAsia="Times New Roman" w:hAnsi="Times New Roman" w:cs="Times New Roman"/>
          <w:b/>
        </w:rPr>
        <w:t xml:space="preserve"> </w:t>
      </w:r>
      <w:r w:rsidRPr="004E424E">
        <w:rPr>
          <w:rFonts w:ascii="Times New Roman" w:eastAsia="Times New Roman" w:hAnsi="Times New Roman" w:cs="Times New Roman"/>
        </w:rPr>
        <w:t>évközi értékelés</w:t>
      </w:r>
      <w:r w:rsidRPr="004E424E">
        <w:rPr>
          <w:rFonts w:ascii="Times New Roman" w:eastAsia="Times New Roman" w:hAnsi="Times New Roman" w:cs="Times New Roman"/>
          <w:bCs/>
        </w:rPr>
        <w:t>.</w:t>
      </w:r>
      <w:bookmarkEnd w:id="54"/>
    </w:p>
    <w:p w:rsidR="00CF0138" w:rsidRPr="00E33E54" w:rsidRDefault="00CF0138" w:rsidP="00980876">
      <w:pPr>
        <w:widowControl w:val="0"/>
        <w:numPr>
          <w:ilvl w:val="0"/>
          <w:numId w:val="411"/>
        </w:numPr>
        <w:tabs>
          <w:tab w:val="num" w:pos="360"/>
        </w:tabs>
        <w:spacing w:before="120" w:after="120" w:line="240" w:lineRule="auto"/>
        <w:ind w:left="426" w:hanging="142"/>
        <w:jc w:val="both"/>
        <w:rPr>
          <w:rFonts w:ascii="Times New Roman" w:eastAsia="Times New Roman" w:hAnsi="Times New Roman" w:cs="Times New Roman"/>
          <w:bCs/>
        </w:rPr>
      </w:pPr>
      <w:r w:rsidRPr="00E33E54">
        <w:rPr>
          <w:rFonts w:ascii="Times New Roman" w:eastAsia="Times New Roman" w:hAnsi="Times New Roman" w:cs="Times New Roman"/>
          <w:b/>
          <w:bCs/>
        </w:rPr>
        <w:t>Irodalomjegyzék:</w:t>
      </w:r>
    </w:p>
    <w:p w:rsidR="00CF0138" w:rsidRPr="00E33E54" w:rsidRDefault="00CF0138" w:rsidP="00980876">
      <w:pPr>
        <w:widowControl w:val="0"/>
        <w:numPr>
          <w:ilvl w:val="1"/>
          <w:numId w:val="411"/>
        </w:numPr>
        <w:tabs>
          <w:tab w:val="clear" w:pos="3977"/>
          <w:tab w:val="left" w:pos="567"/>
          <w:tab w:val="left" w:pos="851"/>
          <w:tab w:val="num" w:pos="2069"/>
        </w:tabs>
        <w:spacing w:before="120" w:after="120" w:line="240" w:lineRule="auto"/>
        <w:ind w:left="426" w:hanging="142"/>
        <w:jc w:val="both"/>
        <w:rPr>
          <w:rFonts w:ascii="Times New Roman" w:eastAsia="Times New Roman" w:hAnsi="Times New Roman" w:cs="Times New Roman"/>
          <w:b/>
          <w:bCs/>
        </w:rPr>
      </w:pPr>
      <w:r w:rsidRPr="00E33E54">
        <w:rPr>
          <w:rFonts w:ascii="Times New Roman" w:eastAsia="Times New Roman" w:hAnsi="Times New Roman" w:cs="Times New Roman"/>
          <w:b/>
          <w:bCs/>
        </w:rPr>
        <w:t>Kötelező irodalom:</w:t>
      </w:r>
      <w:r w:rsidRPr="00E33E54">
        <w:rPr>
          <w:rFonts w:ascii="Times New Roman" w:eastAsia="Times New Roman" w:hAnsi="Times New Roman" w:cs="Times New Roman"/>
          <w:lang w:eastAsia="hu-HU"/>
        </w:rPr>
        <w:t xml:space="preserve"> </w:t>
      </w:r>
    </w:p>
    <w:p w:rsidR="00CF0138" w:rsidRDefault="00CF0138" w:rsidP="00980876">
      <w:pPr>
        <w:pStyle w:val="Listaszerbekezds"/>
        <w:widowControl w:val="0"/>
        <w:numPr>
          <w:ilvl w:val="0"/>
          <w:numId w:val="409"/>
        </w:numPr>
        <w:spacing w:before="120" w:after="120" w:line="240" w:lineRule="auto"/>
        <w:ind w:left="709"/>
        <w:jc w:val="both"/>
        <w:rPr>
          <w:rFonts w:ascii="Times New Roman" w:eastAsia="Times New Roman" w:hAnsi="Times New Roman" w:cs="Times New Roman"/>
          <w:bCs/>
        </w:rPr>
      </w:pPr>
      <w:r w:rsidRPr="00B23A32">
        <w:rPr>
          <w:rFonts w:ascii="Times New Roman" w:eastAsia="Times New Roman" w:hAnsi="Times New Roman" w:cs="Times New Roman"/>
          <w:bCs/>
        </w:rPr>
        <w:t>Fóris Tibor: A műszaki rajz alapjai. Síkmértan. Tankönyvmester kiadó, Budapest, 2006. ISBN: 9639460443.</w:t>
      </w:r>
    </w:p>
    <w:p w:rsidR="00CF0138" w:rsidRDefault="00CF0138" w:rsidP="00980876">
      <w:pPr>
        <w:pStyle w:val="Listaszerbekezds"/>
        <w:widowControl w:val="0"/>
        <w:numPr>
          <w:ilvl w:val="0"/>
          <w:numId w:val="409"/>
        </w:numPr>
        <w:spacing w:before="120" w:after="120" w:line="240" w:lineRule="auto"/>
        <w:ind w:left="709"/>
        <w:jc w:val="both"/>
        <w:rPr>
          <w:rFonts w:ascii="Times New Roman" w:eastAsia="Times New Roman" w:hAnsi="Times New Roman" w:cs="Times New Roman"/>
          <w:bCs/>
        </w:rPr>
      </w:pPr>
      <w:r w:rsidRPr="00B23A32">
        <w:rPr>
          <w:rFonts w:ascii="Times New Roman" w:eastAsia="Times New Roman" w:hAnsi="Times New Roman" w:cs="Times New Roman"/>
          <w:bCs/>
        </w:rPr>
        <w:t xml:space="preserve">Fóris Tibor: A műszaki rajz alapjai. Térmértan. Tankönyvmester kiadó, Budapest, 2006. ISBN: 963946046X. </w:t>
      </w:r>
    </w:p>
    <w:p w:rsidR="00CF0138" w:rsidRDefault="00CF0138" w:rsidP="00980876">
      <w:pPr>
        <w:pStyle w:val="Listaszerbekezds"/>
        <w:widowControl w:val="0"/>
        <w:numPr>
          <w:ilvl w:val="0"/>
          <w:numId w:val="409"/>
        </w:numPr>
        <w:spacing w:before="120" w:after="120" w:line="240" w:lineRule="auto"/>
        <w:ind w:left="709"/>
        <w:jc w:val="both"/>
        <w:rPr>
          <w:rFonts w:ascii="Times New Roman" w:eastAsia="Times New Roman" w:hAnsi="Times New Roman" w:cs="Times New Roman"/>
          <w:bCs/>
        </w:rPr>
      </w:pPr>
      <w:r w:rsidRPr="00B23A32">
        <w:rPr>
          <w:rFonts w:ascii="Times New Roman" w:eastAsia="Times New Roman" w:hAnsi="Times New Roman" w:cs="Times New Roman"/>
          <w:bCs/>
        </w:rPr>
        <w:t xml:space="preserve">Fenyvessy Tibor: A műszaki rajz alapjai. Géprajzi ismeretek. Tankönyvmester kiadó, Budapest, 2006. ISBN: 9639264709. </w:t>
      </w:r>
    </w:p>
    <w:p w:rsidR="00CF0138" w:rsidRPr="00B23A32" w:rsidRDefault="00CF0138" w:rsidP="00980876">
      <w:pPr>
        <w:pStyle w:val="Listaszerbekezds"/>
        <w:widowControl w:val="0"/>
        <w:numPr>
          <w:ilvl w:val="0"/>
          <w:numId w:val="409"/>
        </w:numPr>
        <w:spacing w:before="120" w:after="120" w:line="240" w:lineRule="auto"/>
        <w:ind w:left="709"/>
        <w:jc w:val="both"/>
        <w:rPr>
          <w:rFonts w:ascii="Times New Roman" w:eastAsia="Times New Roman" w:hAnsi="Times New Roman" w:cs="Times New Roman"/>
          <w:bCs/>
        </w:rPr>
      </w:pPr>
      <w:r w:rsidRPr="00B23A32">
        <w:rPr>
          <w:rFonts w:ascii="Times New Roman" w:eastAsia="Times New Roman" w:hAnsi="Times New Roman" w:cs="Times New Roman"/>
          <w:bCs/>
        </w:rPr>
        <w:t>Ocskó Gyula: Géprajzi alapismeretek. Műszaki könyvkiadó, Budapest, 1999. ISBN: 9789631616644.</w:t>
      </w:r>
    </w:p>
    <w:p w:rsidR="00CF0138" w:rsidRPr="00E33E54" w:rsidRDefault="00CF0138" w:rsidP="00CF0138">
      <w:pPr>
        <w:widowControl w:val="0"/>
        <w:tabs>
          <w:tab w:val="left" w:pos="567"/>
          <w:tab w:val="left" w:pos="851"/>
        </w:tabs>
        <w:spacing w:before="120" w:after="120" w:line="240" w:lineRule="auto"/>
        <w:ind w:left="426"/>
        <w:jc w:val="both"/>
        <w:rPr>
          <w:rFonts w:ascii="Times New Roman" w:eastAsia="Times New Roman" w:hAnsi="Times New Roman" w:cs="Times New Roman"/>
          <w:bCs/>
        </w:rPr>
      </w:pPr>
    </w:p>
    <w:p w:rsidR="00CF0138" w:rsidRPr="00E33E54" w:rsidRDefault="00CF0138" w:rsidP="00980876">
      <w:pPr>
        <w:widowControl w:val="0"/>
        <w:numPr>
          <w:ilvl w:val="1"/>
          <w:numId w:val="411"/>
        </w:numPr>
        <w:tabs>
          <w:tab w:val="clear" w:pos="3977"/>
          <w:tab w:val="num" w:pos="567"/>
          <w:tab w:val="num" w:pos="2069"/>
        </w:tabs>
        <w:spacing w:before="120" w:after="120" w:line="240" w:lineRule="auto"/>
        <w:ind w:left="993" w:hanging="709"/>
        <w:jc w:val="both"/>
        <w:rPr>
          <w:rFonts w:ascii="Times New Roman" w:eastAsia="Times New Roman" w:hAnsi="Times New Roman" w:cs="Times New Roman"/>
          <w:b/>
          <w:bCs/>
        </w:rPr>
      </w:pPr>
      <w:r w:rsidRPr="00E33E54">
        <w:rPr>
          <w:rFonts w:ascii="Times New Roman" w:eastAsia="Times New Roman" w:hAnsi="Times New Roman" w:cs="Times New Roman"/>
          <w:b/>
          <w:bCs/>
        </w:rPr>
        <w:t>Ajánlott irodalom:</w:t>
      </w:r>
    </w:p>
    <w:p w:rsidR="00CF0138" w:rsidRDefault="00CF0138" w:rsidP="00980876">
      <w:pPr>
        <w:pStyle w:val="Listaszerbekezds"/>
        <w:widowControl w:val="0"/>
        <w:numPr>
          <w:ilvl w:val="0"/>
          <w:numId w:val="410"/>
        </w:numPr>
        <w:spacing w:before="120" w:after="120" w:line="240" w:lineRule="auto"/>
        <w:ind w:left="709"/>
        <w:jc w:val="both"/>
        <w:rPr>
          <w:rFonts w:ascii="Times New Roman" w:eastAsia="Times New Roman" w:hAnsi="Times New Roman" w:cs="Times New Roman"/>
          <w:bCs/>
        </w:rPr>
      </w:pPr>
      <w:r w:rsidRPr="00B23A32">
        <w:rPr>
          <w:rFonts w:ascii="Times New Roman" w:eastAsia="Times New Roman" w:hAnsi="Times New Roman" w:cs="Times New Roman"/>
          <w:bCs/>
        </w:rPr>
        <w:t>Dr. Murányi Pálné: Műszaki ábrázolás, szakrajz. Műszaki könyvkiadó, Budapest, 1999. ISBN: 9631616479.</w:t>
      </w:r>
    </w:p>
    <w:p w:rsidR="00CF0138" w:rsidRDefault="00CF0138" w:rsidP="00980876">
      <w:pPr>
        <w:pStyle w:val="Listaszerbekezds"/>
        <w:widowControl w:val="0"/>
        <w:numPr>
          <w:ilvl w:val="0"/>
          <w:numId w:val="410"/>
        </w:numPr>
        <w:spacing w:before="120" w:after="120" w:line="240" w:lineRule="auto"/>
        <w:ind w:left="709"/>
        <w:jc w:val="both"/>
        <w:rPr>
          <w:rFonts w:ascii="Times New Roman" w:eastAsia="Times New Roman" w:hAnsi="Times New Roman" w:cs="Times New Roman"/>
          <w:bCs/>
        </w:rPr>
      </w:pPr>
      <w:r w:rsidRPr="00B23A32">
        <w:rPr>
          <w:rFonts w:ascii="Times New Roman" w:eastAsia="Times New Roman" w:hAnsi="Times New Roman" w:cs="Times New Roman"/>
          <w:bCs/>
        </w:rPr>
        <w:t>Ocskó Gyula: Gépjárműtechnikai szakrajz. Simüfo Műszaki Fordítóiroda, Maróti kiadó, 2006. ISBN: 9789639005747.</w:t>
      </w:r>
    </w:p>
    <w:p w:rsidR="00CF0138" w:rsidRPr="00B23A32" w:rsidRDefault="00CF0138" w:rsidP="00980876">
      <w:pPr>
        <w:pStyle w:val="Listaszerbekezds"/>
        <w:widowControl w:val="0"/>
        <w:numPr>
          <w:ilvl w:val="0"/>
          <w:numId w:val="410"/>
        </w:numPr>
        <w:spacing w:before="120" w:after="120" w:line="240" w:lineRule="auto"/>
        <w:ind w:left="709"/>
        <w:jc w:val="both"/>
        <w:rPr>
          <w:rFonts w:ascii="Times New Roman" w:eastAsia="Times New Roman" w:hAnsi="Times New Roman" w:cs="Times New Roman"/>
          <w:bCs/>
        </w:rPr>
      </w:pPr>
      <w:r w:rsidRPr="00B23A32">
        <w:rPr>
          <w:rFonts w:ascii="Times New Roman" w:eastAsia="Times New Roman" w:hAnsi="Times New Roman" w:cs="Times New Roman"/>
          <w:bCs/>
        </w:rPr>
        <w:t>Seres Ferenc: Géprajz. Műszaki könyvkiadó, Budapest, 2010. ISBN: 978963166070-8.</w:t>
      </w:r>
    </w:p>
    <w:p w:rsidR="00CF0138" w:rsidRPr="00E33E54" w:rsidRDefault="00CF0138" w:rsidP="00CF0138">
      <w:pPr>
        <w:widowControl w:val="0"/>
        <w:spacing w:before="120" w:after="120" w:line="240" w:lineRule="auto"/>
        <w:jc w:val="both"/>
        <w:rPr>
          <w:rFonts w:ascii="Times New Roman" w:eastAsia="Times New Roman" w:hAnsi="Times New Roman" w:cs="Times New Roman"/>
          <w:bCs/>
        </w:rPr>
      </w:pPr>
    </w:p>
    <w:p w:rsidR="00CF0138" w:rsidRPr="00E33E54" w:rsidRDefault="00CF0138" w:rsidP="00194AF9">
      <w:pPr>
        <w:widowControl w:val="0"/>
        <w:spacing w:before="120" w:after="120" w:line="240" w:lineRule="auto"/>
        <w:ind w:firstLine="349"/>
        <w:jc w:val="both"/>
        <w:rPr>
          <w:rFonts w:ascii="Times New Roman" w:eastAsia="Times New Roman" w:hAnsi="Times New Roman" w:cs="Times New Roman"/>
          <w:bCs/>
        </w:rPr>
      </w:pPr>
      <w:r w:rsidRPr="00E33E54">
        <w:rPr>
          <w:rFonts w:ascii="Times New Roman" w:eastAsia="Times New Roman" w:hAnsi="Times New Roman" w:cs="Times New Roman"/>
          <w:bCs/>
        </w:rPr>
        <w:t xml:space="preserve">Budapest, 2020. </w:t>
      </w:r>
      <w:r>
        <w:rPr>
          <w:rFonts w:ascii="Times New Roman" w:eastAsia="Times New Roman" w:hAnsi="Times New Roman" w:cs="Times New Roman"/>
          <w:bCs/>
        </w:rPr>
        <w:t>március 9</w:t>
      </w:r>
      <w:r w:rsidRPr="00E33E54">
        <w:rPr>
          <w:rFonts w:ascii="Times New Roman" w:eastAsia="Times New Roman" w:hAnsi="Times New Roman" w:cs="Times New Roman"/>
          <w:bCs/>
        </w:rPr>
        <w:t>.</w:t>
      </w:r>
    </w:p>
    <w:p w:rsidR="00CF0138" w:rsidRPr="00E33E54" w:rsidRDefault="00CF0138" w:rsidP="00CF0138">
      <w:pPr>
        <w:widowControl w:val="0"/>
        <w:spacing w:before="120" w:after="120" w:line="240" w:lineRule="auto"/>
        <w:jc w:val="both"/>
        <w:rPr>
          <w:rFonts w:ascii="Times New Roman" w:eastAsia="Times New Roman" w:hAnsi="Times New Roman" w:cs="Times New Roman"/>
          <w:bCs/>
        </w:rPr>
      </w:pPr>
    </w:p>
    <w:p w:rsidR="00CF0138" w:rsidRPr="00194AF9" w:rsidRDefault="00CF0138" w:rsidP="00CF0138">
      <w:pPr>
        <w:widowControl w:val="0"/>
        <w:spacing w:after="0" w:line="240" w:lineRule="auto"/>
        <w:jc w:val="right"/>
        <w:rPr>
          <w:rFonts w:ascii="Times New Roman" w:eastAsia="Times New Roman" w:hAnsi="Times New Roman" w:cs="Times New Roman"/>
          <w:b/>
          <w:bCs/>
        </w:rPr>
      </w:pPr>
      <w:r w:rsidRPr="00194AF9">
        <w:rPr>
          <w:rFonts w:ascii="Times New Roman" w:eastAsia="Times New Roman" w:hAnsi="Times New Roman" w:cs="Times New Roman"/>
          <w:b/>
          <w:bCs/>
        </w:rPr>
        <w:t>Dr. Hegedűs Ernő PhD</w:t>
      </w:r>
    </w:p>
    <w:p w:rsidR="00CF0138" w:rsidRPr="00E33E54" w:rsidRDefault="00CF0138" w:rsidP="00CF0138">
      <w:pPr>
        <w:widowControl w:val="0"/>
        <w:spacing w:after="0" w:line="240" w:lineRule="auto"/>
        <w:jc w:val="right"/>
        <w:rPr>
          <w:rFonts w:ascii="Times New Roman" w:eastAsia="Times New Roman" w:hAnsi="Times New Roman" w:cs="Times New Roman"/>
          <w:bCs/>
        </w:rPr>
      </w:pPr>
      <w:r w:rsidRPr="00E33E54">
        <w:rPr>
          <w:rFonts w:ascii="Times New Roman" w:eastAsia="Times New Roman" w:hAnsi="Times New Roman" w:cs="Times New Roman"/>
          <w:bCs/>
        </w:rPr>
        <w:t xml:space="preserve">egyetemi tanársegéd </w:t>
      </w:r>
    </w:p>
    <w:p w:rsidR="00C45574" w:rsidRDefault="00C45574">
      <w:pPr>
        <w:spacing w:after="200" w:line="276" w:lineRule="auto"/>
        <w:rPr>
          <w:rFonts w:ascii="Times New Roman" w:hAnsi="Times New Roman" w:cs="Times New Roman"/>
          <w:sz w:val="24"/>
        </w:rPr>
      </w:pPr>
    </w:p>
    <w:p w:rsidR="00C45574" w:rsidRDefault="00C45574">
      <w:pPr>
        <w:spacing w:after="200" w:line="276" w:lineRule="auto"/>
        <w:rPr>
          <w:rFonts w:ascii="Times New Roman" w:hAnsi="Times New Roman" w:cs="Times New Roman"/>
          <w:sz w:val="24"/>
        </w:rPr>
      </w:pPr>
      <w:r>
        <w:rPr>
          <w:rFonts w:ascii="Times New Roman" w:hAnsi="Times New Roman" w:cs="Times New Roman"/>
          <w:sz w:val="24"/>
        </w:rPr>
        <w:br w:type="page"/>
      </w:r>
    </w:p>
    <w:tbl>
      <w:tblPr>
        <w:tblW w:w="9072" w:type="dxa"/>
        <w:tblInd w:w="113" w:type="dxa"/>
        <w:tblLook w:val="01E0" w:firstRow="1" w:lastRow="1" w:firstColumn="1" w:lastColumn="1" w:noHBand="0" w:noVBand="0"/>
      </w:tblPr>
      <w:tblGrid>
        <w:gridCol w:w="4855"/>
        <w:gridCol w:w="1620"/>
        <w:gridCol w:w="2597"/>
      </w:tblGrid>
      <w:tr w:rsidR="00427CD5" w:rsidTr="00427CD5">
        <w:tc>
          <w:tcPr>
            <w:tcW w:w="4855" w:type="dxa"/>
            <w:tcBorders>
              <w:top w:val="nil"/>
              <w:left w:val="nil"/>
              <w:bottom w:val="single" w:sz="4" w:space="0" w:color="auto"/>
              <w:right w:val="nil"/>
            </w:tcBorders>
            <w:hideMark/>
          </w:tcPr>
          <w:p w:rsidR="00427CD5" w:rsidRDefault="00427CD5">
            <w:pPr>
              <w:spacing w:after="0" w:line="240" w:lineRule="auto"/>
              <w:jc w:val="center"/>
              <w:rPr>
                <w:rFonts w:ascii="Times New Roman" w:eastAsia="Times New Roman" w:hAnsi="Times New Roman" w:cs="Times New Roman"/>
                <w:b/>
                <w:smallCaps/>
                <w:lang w:eastAsia="hu-HU"/>
              </w:rPr>
            </w:pPr>
            <w:r>
              <w:rPr>
                <w:rFonts w:ascii="Times New Roman" w:eastAsia="Times New Roman" w:hAnsi="Times New Roman" w:cs="Times New Roman"/>
                <w:b/>
                <w:smallCaps/>
                <w:lang w:eastAsia="hu-HU"/>
              </w:rPr>
              <w:lastRenderedPageBreak/>
              <w:t>Nemzeti Közszolgálati Egyetem</w:t>
            </w:r>
          </w:p>
        </w:tc>
        <w:tc>
          <w:tcPr>
            <w:tcW w:w="1620" w:type="dxa"/>
          </w:tcPr>
          <w:p w:rsidR="00427CD5" w:rsidRDefault="00427CD5">
            <w:pPr>
              <w:spacing w:after="0" w:line="240" w:lineRule="auto"/>
              <w:jc w:val="both"/>
              <w:rPr>
                <w:rFonts w:ascii="Times New Roman" w:eastAsia="Times New Roman" w:hAnsi="Times New Roman" w:cs="Times New Roman"/>
                <w:lang w:eastAsia="hu-HU"/>
              </w:rPr>
            </w:pPr>
          </w:p>
        </w:tc>
        <w:tc>
          <w:tcPr>
            <w:tcW w:w="2597" w:type="dxa"/>
          </w:tcPr>
          <w:p w:rsidR="00427CD5" w:rsidRDefault="00427CD5">
            <w:pPr>
              <w:spacing w:after="0" w:line="240" w:lineRule="auto"/>
              <w:jc w:val="right"/>
              <w:rPr>
                <w:rFonts w:ascii="Times New Roman" w:eastAsia="Times New Roman" w:hAnsi="Times New Roman" w:cs="Times New Roman"/>
                <w:lang w:eastAsia="hu-HU"/>
              </w:rPr>
            </w:pPr>
          </w:p>
        </w:tc>
      </w:tr>
      <w:tr w:rsidR="00427CD5" w:rsidTr="00427CD5">
        <w:tc>
          <w:tcPr>
            <w:tcW w:w="4855" w:type="dxa"/>
            <w:tcBorders>
              <w:top w:val="single" w:sz="4" w:space="0" w:color="auto"/>
              <w:left w:val="nil"/>
              <w:bottom w:val="nil"/>
              <w:right w:val="nil"/>
            </w:tcBorders>
            <w:hideMark/>
          </w:tcPr>
          <w:p w:rsidR="00427CD5" w:rsidRDefault="00427CD5">
            <w:pPr>
              <w:spacing w:after="0" w:line="240" w:lineRule="auto"/>
              <w:jc w:val="center"/>
              <w:rPr>
                <w:rFonts w:ascii="Times New Roman" w:eastAsia="Times New Roman" w:hAnsi="Times New Roman" w:cs="Times New Roman"/>
                <w:b/>
                <w:lang w:eastAsia="hu-HU"/>
              </w:rPr>
            </w:pPr>
            <w:r>
              <w:rPr>
                <w:rFonts w:ascii="Times New Roman" w:eastAsia="Times New Roman" w:hAnsi="Times New Roman" w:cs="Times New Roman"/>
                <w:b/>
                <w:lang w:eastAsia="hu-HU"/>
              </w:rPr>
              <w:t>Hadtudományi és Honvédtisztképző Kar</w:t>
            </w:r>
          </w:p>
        </w:tc>
        <w:tc>
          <w:tcPr>
            <w:tcW w:w="1620" w:type="dxa"/>
          </w:tcPr>
          <w:p w:rsidR="00427CD5" w:rsidRDefault="00427CD5">
            <w:pPr>
              <w:spacing w:after="0" w:line="240" w:lineRule="auto"/>
              <w:jc w:val="both"/>
              <w:rPr>
                <w:rFonts w:ascii="Times New Roman" w:eastAsia="Times New Roman" w:hAnsi="Times New Roman" w:cs="Times New Roman"/>
                <w:lang w:eastAsia="hu-HU"/>
              </w:rPr>
            </w:pPr>
          </w:p>
        </w:tc>
        <w:tc>
          <w:tcPr>
            <w:tcW w:w="2597" w:type="dxa"/>
          </w:tcPr>
          <w:p w:rsidR="00427CD5" w:rsidRDefault="00427CD5">
            <w:pPr>
              <w:spacing w:after="0" w:line="240" w:lineRule="auto"/>
              <w:jc w:val="both"/>
              <w:rPr>
                <w:rFonts w:ascii="Times New Roman" w:eastAsia="Times New Roman" w:hAnsi="Times New Roman" w:cs="Times New Roman"/>
                <w:lang w:eastAsia="hu-HU"/>
              </w:rPr>
            </w:pPr>
          </w:p>
        </w:tc>
      </w:tr>
    </w:tbl>
    <w:p w:rsidR="00427CD5" w:rsidRDefault="00427CD5" w:rsidP="00427CD5">
      <w:pPr>
        <w:widowControl w:val="0"/>
        <w:spacing w:before="120" w:after="120" w:line="240" w:lineRule="auto"/>
        <w:ind w:left="426" w:hanging="142"/>
        <w:jc w:val="center"/>
        <w:rPr>
          <w:rFonts w:ascii="Times New Roman" w:eastAsia="Times New Roman" w:hAnsi="Times New Roman" w:cs="Times New Roman"/>
          <w:b/>
          <w:bCs/>
        </w:rPr>
      </w:pPr>
    </w:p>
    <w:p w:rsidR="00427CD5" w:rsidRDefault="00427CD5" w:rsidP="00427CD5">
      <w:pPr>
        <w:widowControl w:val="0"/>
        <w:spacing w:before="120" w:after="120" w:line="240" w:lineRule="auto"/>
        <w:ind w:left="426" w:hanging="142"/>
        <w:jc w:val="center"/>
        <w:rPr>
          <w:rFonts w:ascii="Times New Roman" w:eastAsia="Times New Roman" w:hAnsi="Times New Roman" w:cs="Times New Roman"/>
          <w:b/>
          <w:bCs/>
        </w:rPr>
      </w:pPr>
      <w:r>
        <w:rPr>
          <w:rFonts w:ascii="Times New Roman" w:eastAsia="Times New Roman" w:hAnsi="Times New Roman" w:cs="Times New Roman"/>
          <w:b/>
          <w:bCs/>
        </w:rPr>
        <w:t>TANTÁRGYI PROGRAM</w:t>
      </w:r>
    </w:p>
    <w:p w:rsidR="00427CD5" w:rsidRDefault="00427CD5" w:rsidP="00C14833">
      <w:pPr>
        <w:widowControl w:val="0"/>
        <w:numPr>
          <w:ilvl w:val="0"/>
          <w:numId w:val="125"/>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 tantárgy kódja: </w:t>
      </w:r>
      <w:r>
        <w:rPr>
          <w:rFonts w:ascii="Times New Roman" w:eastAsia="Times New Roman" w:hAnsi="Times New Roman" w:cs="Times New Roman"/>
          <w:bCs/>
          <w:lang w:eastAsia="hu-HU"/>
        </w:rPr>
        <w:t>HKHPKA13</w:t>
      </w:r>
    </w:p>
    <w:p w:rsidR="00427CD5" w:rsidRDefault="00427CD5" w:rsidP="00C14833">
      <w:pPr>
        <w:widowControl w:val="0"/>
        <w:numPr>
          <w:ilvl w:val="0"/>
          <w:numId w:val="125"/>
        </w:numPr>
        <w:spacing w:before="120" w:after="120" w:line="240" w:lineRule="auto"/>
        <w:ind w:left="426" w:hanging="142"/>
        <w:jc w:val="both"/>
        <w:rPr>
          <w:rFonts w:ascii="Times New Roman" w:eastAsia="Times New Roman" w:hAnsi="Times New Roman" w:cs="Times New Roman"/>
          <w:b/>
          <w:bCs/>
          <w:lang w:val="en-GB"/>
        </w:rPr>
      </w:pPr>
      <w:r>
        <w:rPr>
          <w:rFonts w:ascii="Times New Roman" w:eastAsia="Times New Roman" w:hAnsi="Times New Roman" w:cs="Times New Roman"/>
          <w:b/>
          <w:bCs/>
        </w:rPr>
        <w:t>A tantárgy megnevezése (magyarul):</w:t>
      </w:r>
      <w:r>
        <w:rPr>
          <w:rFonts w:ascii="Times New Roman" w:eastAsia="Times New Roman" w:hAnsi="Times New Roman" w:cs="Times New Roman"/>
          <w:bCs/>
        </w:rPr>
        <w:t xml:space="preserve"> Logisztikai támogatás alapjai</w:t>
      </w:r>
    </w:p>
    <w:p w:rsidR="00427CD5" w:rsidRDefault="00427CD5" w:rsidP="00C14833">
      <w:pPr>
        <w:widowControl w:val="0"/>
        <w:numPr>
          <w:ilvl w:val="0"/>
          <w:numId w:val="125"/>
        </w:numPr>
        <w:tabs>
          <w:tab w:val="num" w:pos="567"/>
        </w:tabs>
        <w:spacing w:before="120" w:after="120" w:line="240" w:lineRule="auto"/>
        <w:ind w:left="426" w:hanging="142"/>
        <w:jc w:val="both"/>
        <w:rPr>
          <w:rFonts w:ascii="Times New Roman" w:eastAsia="Times New Roman" w:hAnsi="Times New Roman" w:cs="Times New Roman"/>
          <w:b/>
          <w:bCs/>
          <w:lang w:val="en-GB"/>
        </w:rPr>
      </w:pPr>
      <w:r>
        <w:rPr>
          <w:rFonts w:ascii="Times New Roman" w:eastAsia="Times New Roman" w:hAnsi="Times New Roman" w:cs="Times New Roman"/>
          <w:b/>
          <w:bCs/>
        </w:rPr>
        <w:t xml:space="preserve">A tantárgy megnevezése (angolul): </w:t>
      </w:r>
      <w:r>
        <w:rPr>
          <w:rFonts w:ascii="Times New Roman" w:eastAsia="Times New Roman" w:hAnsi="Times New Roman" w:cs="Times New Roman"/>
          <w:bCs/>
        </w:rPr>
        <w:t>Basics of the logistic support</w:t>
      </w:r>
    </w:p>
    <w:p w:rsidR="00427CD5" w:rsidRDefault="00427CD5" w:rsidP="00C14833">
      <w:pPr>
        <w:widowControl w:val="0"/>
        <w:numPr>
          <w:ilvl w:val="0"/>
          <w:numId w:val="125"/>
        </w:numPr>
        <w:tabs>
          <w:tab w:val="num" w:pos="567"/>
        </w:tabs>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Kreditérték és képzési karakter: </w:t>
      </w:r>
    </w:p>
    <w:p w:rsidR="00427CD5" w:rsidRDefault="00427CD5" w:rsidP="00C14833">
      <w:pPr>
        <w:pStyle w:val="Listaszerbekezds"/>
        <w:widowControl w:val="0"/>
        <w:numPr>
          <w:ilvl w:val="1"/>
          <w:numId w:val="125"/>
        </w:numPr>
        <w:tabs>
          <w:tab w:val="clear" w:pos="3977"/>
          <w:tab w:val="num" w:pos="2275"/>
        </w:tabs>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2 kredit</w:t>
      </w:r>
    </w:p>
    <w:p w:rsidR="00427CD5" w:rsidRDefault="00427CD5" w:rsidP="00C14833">
      <w:pPr>
        <w:pStyle w:val="Listaszerbekezds"/>
        <w:widowControl w:val="0"/>
        <w:numPr>
          <w:ilvl w:val="1"/>
          <w:numId w:val="125"/>
        </w:numPr>
        <w:tabs>
          <w:tab w:val="clear" w:pos="3977"/>
          <w:tab w:val="num" w:pos="2275"/>
        </w:tabs>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a tantárgy elméleti vagy gyakorlati jellegének mértéke: 50</w:t>
      </w:r>
      <w:r>
        <w:rPr>
          <w:rFonts w:ascii="Times New Roman" w:eastAsia="Times New Roman" w:hAnsi="Times New Roman" w:cs="Times New Roman"/>
          <w:b/>
          <w:bCs/>
        </w:rPr>
        <w:t xml:space="preserve"> </w:t>
      </w:r>
      <w:r>
        <w:rPr>
          <w:rFonts w:ascii="Times New Roman" w:eastAsia="Times New Roman" w:hAnsi="Times New Roman" w:cs="Times New Roman"/>
          <w:bCs/>
        </w:rPr>
        <w:t>% gyakorlat, 50 % elmélet</w:t>
      </w:r>
    </w:p>
    <w:p w:rsidR="00427CD5" w:rsidRDefault="00427CD5" w:rsidP="00C14833">
      <w:pPr>
        <w:widowControl w:val="0"/>
        <w:numPr>
          <w:ilvl w:val="0"/>
          <w:numId w:val="125"/>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szak(ok), szakirányok/specializációk megnevezése (ahol oktatják):</w:t>
      </w:r>
      <w:r>
        <w:rPr>
          <w:rFonts w:ascii="Times New Roman" w:eastAsia="Times New Roman" w:hAnsi="Times New Roman" w:cs="Times New Roman"/>
          <w:bCs/>
        </w:rPr>
        <w:t xml:space="preserve"> </w:t>
      </w:r>
      <w:r>
        <w:rPr>
          <w:rFonts w:ascii="Times New Roman" w:hAnsi="Times New Roman" w:cs="Times New Roman"/>
          <w:bCs/>
        </w:rPr>
        <w:t>Katonai logisztika alapképzési szak minden specializáció</w:t>
      </w:r>
    </w:p>
    <w:p w:rsidR="00427CD5" w:rsidRDefault="00427CD5" w:rsidP="00C14833">
      <w:pPr>
        <w:widowControl w:val="0"/>
        <w:numPr>
          <w:ilvl w:val="0"/>
          <w:numId w:val="125"/>
        </w:numPr>
        <w:tabs>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Az oktatásért felelős oktatási szervezeti egység megnevezése: </w:t>
      </w:r>
      <w:r>
        <w:rPr>
          <w:rFonts w:ascii="Times New Roman" w:hAnsi="Times New Roman" w:cs="Times New Roman"/>
          <w:bCs/>
        </w:rPr>
        <w:t>NKE HHK Hadtáp, Pénzügyi és Katonai Közlekedési Tanszék</w:t>
      </w:r>
    </w:p>
    <w:p w:rsidR="00427CD5" w:rsidRDefault="00427CD5" w:rsidP="00C14833">
      <w:pPr>
        <w:widowControl w:val="0"/>
        <w:numPr>
          <w:ilvl w:val="0"/>
          <w:numId w:val="125"/>
        </w:numPr>
        <w:tabs>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tantárgyfelelős oktató neve, beosztása, tudományos fokozata:</w:t>
      </w:r>
      <w:r>
        <w:rPr>
          <w:rFonts w:ascii="Times New Roman" w:eastAsia="Times New Roman" w:hAnsi="Times New Roman" w:cs="Times New Roman"/>
          <w:bCs/>
        </w:rPr>
        <w:t xml:space="preserve"> </w:t>
      </w:r>
      <w:r>
        <w:rPr>
          <w:rFonts w:ascii="Times New Roman" w:hAnsi="Times New Roman" w:cs="Times New Roman"/>
          <w:bCs/>
        </w:rPr>
        <w:t>Dr. Pohl Árpád, egyetemi docens, (PhD)</w:t>
      </w:r>
    </w:p>
    <w:p w:rsidR="00427CD5" w:rsidRDefault="00427CD5" w:rsidP="00C14833">
      <w:pPr>
        <w:widowControl w:val="0"/>
        <w:numPr>
          <w:ilvl w:val="0"/>
          <w:numId w:val="125"/>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tanórák száma és típusa</w:t>
      </w:r>
    </w:p>
    <w:p w:rsidR="00427CD5" w:rsidRDefault="00427CD5" w:rsidP="00C14833">
      <w:pPr>
        <w:widowControl w:val="0"/>
        <w:numPr>
          <w:ilvl w:val="1"/>
          <w:numId w:val="125"/>
        </w:numPr>
        <w:tabs>
          <w:tab w:val="clear" w:pos="3977"/>
          <w:tab w:val="num" w:pos="709"/>
          <w:tab w:val="num" w:pos="2069"/>
          <w:tab w:val="num" w:pos="2275"/>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össz óraszám/félév: 28</w:t>
      </w:r>
    </w:p>
    <w:p w:rsidR="00427CD5" w:rsidRDefault="00427CD5" w:rsidP="00C14833">
      <w:pPr>
        <w:widowControl w:val="0"/>
        <w:numPr>
          <w:ilvl w:val="2"/>
          <w:numId w:val="125"/>
        </w:numPr>
        <w:tabs>
          <w:tab w:val="num" w:pos="709"/>
          <w:tab w:val="num" w:pos="1134"/>
        </w:tabs>
        <w:spacing w:before="120" w:after="120" w:line="240" w:lineRule="auto"/>
        <w:ind w:left="993" w:hanging="425"/>
        <w:jc w:val="both"/>
        <w:rPr>
          <w:rFonts w:ascii="Times New Roman" w:eastAsia="Times New Roman" w:hAnsi="Times New Roman" w:cs="Times New Roman"/>
          <w:bCs/>
        </w:rPr>
      </w:pPr>
      <w:r>
        <w:rPr>
          <w:rFonts w:ascii="Times New Roman" w:eastAsia="Times New Roman" w:hAnsi="Times New Roman" w:cs="Times New Roman"/>
          <w:bCs/>
        </w:rPr>
        <w:t>nappali munkarend: (14 EA + 0 SZ + 14 GY)</w:t>
      </w:r>
    </w:p>
    <w:p w:rsidR="00427CD5" w:rsidRDefault="00427CD5" w:rsidP="00C14833">
      <w:pPr>
        <w:widowControl w:val="0"/>
        <w:numPr>
          <w:ilvl w:val="2"/>
          <w:numId w:val="125"/>
        </w:numPr>
        <w:tabs>
          <w:tab w:val="num" w:pos="709"/>
          <w:tab w:val="num" w:pos="1134"/>
        </w:tabs>
        <w:spacing w:before="120" w:after="120" w:line="240" w:lineRule="auto"/>
        <w:ind w:left="993" w:hanging="425"/>
        <w:jc w:val="both"/>
        <w:rPr>
          <w:rFonts w:ascii="Times New Roman" w:eastAsia="Times New Roman" w:hAnsi="Times New Roman" w:cs="Times New Roman"/>
          <w:bCs/>
        </w:rPr>
      </w:pPr>
      <w:r>
        <w:rPr>
          <w:rFonts w:ascii="Times New Roman" w:eastAsia="Times New Roman" w:hAnsi="Times New Roman" w:cs="Times New Roman"/>
          <w:bCs/>
        </w:rPr>
        <w:t>levelező munkarend: -</w:t>
      </w:r>
    </w:p>
    <w:p w:rsidR="00427CD5" w:rsidRDefault="00427CD5" w:rsidP="00C14833">
      <w:pPr>
        <w:widowControl w:val="0"/>
        <w:numPr>
          <w:ilvl w:val="1"/>
          <w:numId w:val="125"/>
        </w:numPr>
        <w:tabs>
          <w:tab w:val="clear" w:pos="3977"/>
          <w:tab w:val="num" w:pos="709"/>
          <w:tab w:val="num" w:pos="2069"/>
          <w:tab w:val="num" w:pos="2275"/>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heti óraszám - nappali munkarend: 2</w:t>
      </w:r>
    </w:p>
    <w:p w:rsidR="00427CD5" w:rsidRDefault="00427CD5" w:rsidP="00C14833">
      <w:pPr>
        <w:widowControl w:val="0"/>
        <w:numPr>
          <w:ilvl w:val="1"/>
          <w:numId w:val="125"/>
        </w:numPr>
        <w:tabs>
          <w:tab w:val="clear" w:pos="3977"/>
          <w:tab w:val="num" w:pos="709"/>
          <w:tab w:val="num" w:pos="2069"/>
          <w:tab w:val="num" w:pos="2275"/>
        </w:tabs>
        <w:spacing w:before="120" w:after="120" w:line="240" w:lineRule="auto"/>
        <w:ind w:left="851" w:hanging="425"/>
        <w:jc w:val="both"/>
        <w:rPr>
          <w:rFonts w:ascii="Times New Roman" w:eastAsia="Times New Roman" w:hAnsi="Times New Roman" w:cs="Times New Roman"/>
          <w:bCs/>
        </w:rPr>
      </w:pPr>
      <w:r>
        <w:rPr>
          <w:rFonts w:ascii="Times New Roman" w:hAnsi="Times New Roman" w:cs="Times New Roman"/>
        </w:rPr>
        <w:t>Az ismeret átadásában alkalmazandó további sajátos módok, jellemzők:</w:t>
      </w:r>
      <w:r>
        <w:rPr>
          <w:rFonts w:ascii="Times New Roman" w:hAnsi="Times New Roman" w:cs="Times New Roman"/>
          <w:i/>
        </w:rPr>
        <w:t xml:space="preserve"> –.</w:t>
      </w:r>
    </w:p>
    <w:p w:rsidR="00427CD5" w:rsidRDefault="00427CD5" w:rsidP="00C14833">
      <w:pPr>
        <w:widowControl w:val="0"/>
        <w:numPr>
          <w:ilvl w:val="0"/>
          <w:numId w:val="125"/>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 tantárgy szakmai tartalma (magyarul): </w:t>
      </w:r>
      <w:r>
        <w:rPr>
          <w:rFonts w:ascii="Times New Roman" w:eastAsia="Times New Roman" w:hAnsi="Times New Roman" w:cs="Times New Roman"/>
          <w:bCs/>
        </w:rPr>
        <w:t>megismertetni a honvéd tisztjelöltekkel a NATO-logisztika fogalmát, területeit, funkcióit, alapelveit és eljárásait, az előállítói és a felhasználói logisztika lényegét, továbbá a befogadó nemzeti támogatást és a többnemzeti logisztikát, valamint a Magyar Honvédség logisztikai rendszerét és feladatait.</w:t>
      </w:r>
    </w:p>
    <w:p w:rsidR="00427CD5" w:rsidRDefault="00427CD5" w:rsidP="00427CD5">
      <w:pPr>
        <w:widowControl w:val="0"/>
        <w:spacing w:before="120" w:after="120" w:line="240" w:lineRule="auto"/>
        <w:ind w:left="426"/>
        <w:jc w:val="both"/>
        <w:rPr>
          <w:rFonts w:ascii="Times New Roman" w:eastAsia="Times New Roman" w:hAnsi="Times New Roman" w:cs="Times New Roman"/>
          <w:bCs/>
          <w:lang w:val="en-GB"/>
        </w:rPr>
      </w:pPr>
      <w:r>
        <w:rPr>
          <w:rFonts w:ascii="Times New Roman" w:eastAsia="Times New Roman" w:hAnsi="Times New Roman" w:cs="Times New Roman"/>
          <w:b/>
          <w:bCs/>
        </w:rPr>
        <w:t>A tantárgy szakmai tartalma (angolul) (</w:t>
      </w:r>
      <w:r>
        <w:rPr>
          <w:rFonts w:ascii="Times New Roman" w:eastAsia="Times New Roman" w:hAnsi="Times New Roman" w:cs="Times New Roman"/>
          <w:b/>
          <w:bCs/>
          <w:lang w:val="en-US"/>
        </w:rPr>
        <w:t>Course description</w:t>
      </w:r>
      <w:r>
        <w:rPr>
          <w:rFonts w:ascii="Times New Roman" w:eastAsia="Times New Roman" w:hAnsi="Times New Roman" w:cs="Times New Roman"/>
          <w:b/>
          <w:bCs/>
        </w:rPr>
        <w:t xml:space="preserve">): </w:t>
      </w:r>
      <w:r>
        <w:rPr>
          <w:rFonts w:ascii="Times New Roman" w:eastAsia="Times New Roman" w:hAnsi="Times New Roman" w:cs="Times New Roman"/>
          <w:bCs/>
          <w:lang w:val="en-GB"/>
        </w:rPr>
        <w:t>Introducing cadets to the definition, areas, functions and principles of NATO logistics. Cadets will also learn about the scope of production and consumer logistics, the national and multinational logistic support as well as the logistic system and tasks of the Hungarian Defence Forces.</w:t>
      </w:r>
    </w:p>
    <w:p w:rsidR="00427CD5" w:rsidRDefault="00427CD5" w:rsidP="00C14833">
      <w:pPr>
        <w:pStyle w:val="Listaszerbekezds"/>
        <w:widowControl w:val="0"/>
        <w:numPr>
          <w:ilvl w:val="0"/>
          <w:numId w:val="125"/>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Elérendő kompetenciák (magyarul):</w:t>
      </w:r>
      <w:r>
        <w:rPr>
          <w:rFonts w:ascii="Times New Roman" w:eastAsia="Times New Roman" w:hAnsi="Times New Roman" w:cs="Times New Roman"/>
          <w:bCs/>
        </w:rPr>
        <w:t xml:space="preserve"> </w:t>
      </w:r>
    </w:p>
    <w:p w:rsidR="00427CD5" w:rsidRDefault="00427CD5" w:rsidP="00427CD5">
      <w:pPr>
        <w:widowControl w:val="0"/>
        <w:spacing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Tudása:</w:t>
      </w:r>
    </w:p>
    <w:p w:rsidR="00427CD5" w:rsidRDefault="00427CD5" w:rsidP="00427CD5">
      <w:pPr>
        <w:widowControl w:val="0"/>
        <w:spacing w:before="120" w:after="120" w:line="240" w:lineRule="auto"/>
        <w:ind w:left="993" w:hanging="360"/>
        <w:contextualSpacing/>
        <w:jc w:val="both"/>
        <w:rPr>
          <w:rFonts w:ascii="Times New Roman" w:eastAsia="Times New Roman" w:hAnsi="Times New Roman" w:cs="Times New Roman"/>
          <w:bCs/>
        </w:rPr>
      </w:pPr>
      <w:r>
        <w:rPr>
          <w:rFonts w:ascii="Times New Roman" w:eastAsia="Times New Roman" w:hAnsi="Times New Roman" w:cs="Times New Roman"/>
          <w:bCs/>
        </w:rPr>
        <w:t>-</w:t>
      </w:r>
      <w:r>
        <w:rPr>
          <w:rFonts w:ascii="Times New Roman" w:eastAsia="Times New Roman" w:hAnsi="Times New Roman" w:cs="Times New Roman"/>
          <w:bCs/>
        </w:rPr>
        <w:tab/>
        <w:t>Részletesen ismeri az általános logisztikai tevékenység egyes műveleteit, folyamatait.</w:t>
      </w:r>
    </w:p>
    <w:p w:rsidR="00427CD5" w:rsidRDefault="00427CD5" w:rsidP="00427CD5">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Képességei:</w:t>
      </w:r>
      <w:r>
        <w:rPr>
          <w:rFonts w:ascii="Times New Roman" w:eastAsia="Times New Roman" w:hAnsi="Times New Roman" w:cs="Times New Roman"/>
          <w:bCs/>
        </w:rPr>
        <w:t xml:space="preserve"> </w:t>
      </w:r>
    </w:p>
    <w:p w:rsidR="00427CD5" w:rsidRDefault="00427CD5" w:rsidP="00427CD5">
      <w:pPr>
        <w:widowControl w:val="0"/>
        <w:spacing w:before="120" w:after="120" w:line="240" w:lineRule="auto"/>
        <w:ind w:left="993" w:hanging="360"/>
        <w:contextualSpacing/>
        <w:jc w:val="both"/>
        <w:rPr>
          <w:rFonts w:ascii="Times New Roman" w:hAnsi="Times New Roman" w:cs="Times New Roman"/>
        </w:rPr>
      </w:pPr>
      <w:r>
        <w:rPr>
          <w:rFonts w:ascii="Times New Roman" w:hAnsi="Times New Roman" w:cs="Times New Roman"/>
          <w:bCs/>
        </w:rPr>
        <w:t>-</w:t>
      </w:r>
      <w:r>
        <w:rPr>
          <w:rFonts w:ascii="Times New Roman" w:hAnsi="Times New Roman" w:cs="Times New Roman"/>
          <w:bCs/>
        </w:rPr>
        <w:tab/>
        <w:t>Képes a logisztikai folyamatok és a Magyar Honvédség logisztikai rendszere közötti kapcsolatok, illetve összefüggések értelmezésére és azok beosztottak felé történő átadására.</w:t>
      </w:r>
    </w:p>
    <w:p w:rsidR="00427CD5" w:rsidRDefault="00427CD5" w:rsidP="00427CD5">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Attitűdje:</w:t>
      </w:r>
      <w:r>
        <w:rPr>
          <w:rFonts w:ascii="Times New Roman" w:eastAsia="Times New Roman" w:hAnsi="Times New Roman" w:cs="Times New Roman"/>
          <w:bCs/>
        </w:rPr>
        <w:t xml:space="preserve"> </w:t>
      </w:r>
    </w:p>
    <w:p w:rsidR="00427CD5" w:rsidRDefault="00427CD5" w:rsidP="00427CD5">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Felismeri a rendszerszintű tevékenységben rejlő értékeket, törekszik a logisztikai tevékenységek közötti kapcsolatok értelmezésére.</w:t>
      </w:r>
    </w:p>
    <w:p w:rsidR="00427CD5" w:rsidRDefault="00427CD5" w:rsidP="00427CD5">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Feladatainak végrehajtása során az együttműködésre törekszik.</w:t>
      </w:r>
    </w:p>
    <w:p w:rsidR="00427CD5" w:rsidRDefault="00427CD5" w:rsidP="00427CD5">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Tevékenységét a hatékonyság központú szemlélet jellemzi.</w:t>
      </w:r>
    </w:p>
    <w:p w:rsidR="00427CD5" w:rsidRDefault="00427CD5" w:rsidP="00427CD5">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Autonómiája és felelőssége:</w:t>
      </w:r>
    </w:p>
    <w:p w:rsidR="00427CD5" w:rsidRDefault="00427CD5" w:rsidP="00427CD5">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Alegység, illetve egység szintű katonai logisztikai, valamint katonai gazdálkodási folyamatokban képes önállóan döntéseket hozni, azokat felelősséggel, a jogszabályi keretek figyelembevételével végrehajtani.</w:t>
      </w:r>
    </w:p>
    <w:p w:rsidR="00427CD5" w:rsidRDefault="00427CD5" w:rsidP="00427CD5">
      <w:pPr>
        <w:widowControl w:val="0"/>
        <w:spacing w:before="120" w:after="0" w:line="240" w:lineRule="auto"/>
        <w:ind w:left="425"/>
        <w:jc w:val="both"/>
        <w:rPr>
          <w:rFonts w:ascii="Times New Roman" w:eastAsia="Times New Roman" w:hAnsi="Times New Roman" w:cs="Times New Roman"/>
          <w:b/>
          <w:bCs/>
          <w:lang w:val="en-US"/>
        </w:rPr>
      </w:pPr>
      <w:r>
        <w:rPr>
          <w:rFonts w:ascii="Times New Roman" w:eastAsia="Times New Roman" w:hAnsi="Times New Roman" w:cs="Times New Roman"/>
          <w:b/>
          <w:bCs/>
        </w:rPr>
        <w:lastRenderedPageBreak/>
        <w:t>Elérendő kompetenciák (angolul) (</w:t>
      </w:r>
      <w:r>
        <w:rPr>
          <w:rFonts w:ascii="Times New Roman" w:eastAsia="Times New Roman" w:hAnsi="Times New Roman" w:cs="Times New Roman"/>
          <w:b/>
          <w:bCs/>
          <w:lang w:val="en-US"/>
        </w:rPr>
        <w:t xml:space="preserve">Competences – English): </w:t>
      </w:r>
    </w:p>
    <w:p w:rsidR="00427CD5" w:rsidRDefault="00427CD5" w:rsidP="00427CD5">
      <w:pPr>
        <w:widowControl w:val="0"/>
        <w:spacing w:before="120" w:after="0" w:line="240" w:lineRule="auto"/>
        <w:ind w:left="425"/>
        <w:jc w:val="both"/>
        <w:rPr>
          <w:rFonts w:ascii="Times New Roman" w:eastAsia="Times New Roman" w:hAnsi="Times New Roman" w:cs="Times New Roman"/>
          <w:lang w:val="en-GB"/>
        </w:rPr>
      </w:pPr>
      <w:r>
        <w:rPr>
          <w:rFonts w:ascii="Times New Roman" w:eastAsia="Times New Roman" w:hAnsi="Times New Roman" w:cs="Times New Roman"/>
          <w:b/>
          <w:lang w:val="en-GB"/>
        </w:rPr>
        <w:t>Knowledge</w:t>
      </w:r>
      <w:r>
        <w:rPr>
          <w:rFonts w:ascii="Times New Roman" w:eastAsia="Times New Roman" w:hAnsi="Times New Roman" w:cs="Times New Roman"/>
          <w:lang w:val="en-GB"/>
        </w:rPr>
        <w:t xml:space="preserve">: </w:t>
      </w:r>
    </w:p>
    <w:p w:rsidR="00427CD5" w:rsidRDefault="00427CD5" w:rsidP="00427CD5">
      <w:pPr>
        <w:widowControl w:val="0"/>
        <w:spacing w:before="120" w:after="120" w:line="240" w:lineRule="auto"/>
        <w:ind w:left="993" w:hanging="360"/>
        <w:contextualSpacing/>
        <w:jc w:val="both"/>
        <w:rPr>
          <w:rFonts w:ascii="Times New Roman" w:eastAsia="Times New Roman" w:hAnsi="Times New Roman" w:cs="Times New Roman"/>
          <w:lang w:val="en-GB"/>
        </w:rPr>
      </w:pPr>
      <w:r>
        <w:rPr>
          <w:rFonts w:ascii="Times New Roman" w:eastAsia="Times New Roman" w:hAnsi="Times New Roman" w:cs="Times New Roman"/>
          <w:lang w:val="en-GB"/>
        </w:rPr>
        <w:t>-</w:t>
      </w:r>
      <w:r>
        <w:rPr>
          <w:rFonts w:ascii="Times New Roman" w:eastAsia="Times New Roman" w:hAnsi="Times New Roman" w:cs="Times New Roman"/>
          <w:lang w:val="en-GB"/>
        </w:rPr>
        <w:tab/>
        <w:t>Cadets have a deep understanding of the general logistic activities, its operation and processes.</w:t>
      </w:r>
    </w:p>
    <w:p w:rsidR="00427CD5" w:rsidRDefault="00427CD5" w:rsidP="00427CD5">
      <w:pPr>
        <w:widowControl w:val="0"/>
        <w:spacing w:before="120" w:after="0" w:line="240" w:lineRule="auto"/>
        <w:ind w:left="425"/>
        <w:jc w:val="both"/>
        <w:rPr>
          <w:rFonts w:ascii="Times New Roman" w:eastAsia="Times New Roman" w:hAnsi="Times New Roman" w:cs="Times New Roman"/>
          <w:lang w:val="en-GB"/>
        </w:rPr>
      </w:pPr>
      <w:r>
        <w:rPr>
          <w:rFonts w:ascii="Times New Roman" w:eastAsia="Times New Roman" w:hAnsi="Times New Roman" w:cs="Times New Roman"/>
          <w:b/>
          <w:lang w:val="en-GB"/>
        </w:rPr>
        <w:t>Capabilities</w:t>
      </w:r>
      <w:r>
        <w:rPr>
          <w:rFonts w:ascii="Times New Roman" w:eastAsia="Times New Roman" w:hAnsi="Times New Roman" w:cs="Times New Roman"/>
          <w:lang w:val="en-GB"/>
        </w:rPr>
        <w:t xml:space="preserve">: </w:t>
      </w:r>
    </w:p>
    <w:p w:rsidR="00427CD5" w:rsidRDefault="00427CD5" w:rsidP="00427CD5">
      <w:pPr>
        <w:widowControl w:val="0"/>
        <w:spacing w:before="120" w:after="120" w:line="240" w:lineRule="auto"/>
        <w:ind w:left="993" w:hanging="360"/>
        <w:contextualSpacing/>
        <w:jc w:val="both"/>
        <w:rPr>
          <w:rFonts w:ascii="Times New Roman" w:eastAsia="Times New Roman" w:hAnsi="Times New Roman" w:cs="Times New Roman"/>
          <w:lang w:val="en-GB"/>
        </w:rPr>
      </w:pPr>
      <w:r>
        <w:rPr>
          <w:rFonts w:ascii="Times New Roman" w:eastAsia="Times New Roman" w:hAnsi="Times New Roman" w:cs="Times New Roman"/>
          <w:lang w:val="en-GB"/>
        </w:rPr>
        <w:t>-</w:t>
      </w:r>
      <w:r>
        <w:rPr>
          <w:rFonts w:ascii="Times New Roman" w:eastAsia="Times New Roman" w:hAnsi="Times New Roman" w:cs="Times New Roman"/>
          <w:lang w:val="en-GB"/>
        </w:rPr>
        <w:tab/>
        <w:t>Cadets are able to interpret the relationships between the logistics processes and the logistics system of the Hungarian Defence Forces and to transfer it to subordinates.</w:t>
      </w:r>
    </w:p>
    <w:p w:rsidR="00427CD5" w:rsidRDefault="00427CD5" w:rsidP="00427C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ind w:left="425"/>
        <w:jc w:val="both"/>
        <w:rPr>
          <w:rFonts w:ascii="Times New Roman" w:eastAsia="Times New Roman" w:hAnsi="Times New Roman" w:cs="Times New Roman"/>
          <w:lang w:val="en-GB"/>
        </w:rPr>
      </w:pPr>
      <w:r>
        <w:rPr>
          <w:rFonts w:ascii="Times New Roman" w:eastAsia="Times New Roman" w:hAnsi="Times New Roman" w:cs="Times New Roman"/>
          <w:b/>
          <w:lang w:val="en-GB"/>
        </w:rPr>
        <w:t>Attitude:</w:t>
      </w:r>
      <w:r>
        <w:rPr>
          <w:rFonts w:ascii="Times New Roman" w:eastAsia="Times New Roman" w:hAnsi="Times New Roman" w:cs="Times New Roman"/>
          <w:lang w:val="en-GB"/>
        </w:rPr>
        <w:t xml:space="preserve"> </w:t>
      </w:r>
    </w:p>
    <w:p w:rsidR="00427CD5" w:rsidRDefault="00427CD5" w:rsidP="00427CD5">
      <w:pPr>
        <w:widowControl w:val="0"/>
        <w:spacing w:before="120" w:after="120" w:line="240" w:lineRule="auto"/>
        <w:ind w:left="993" w:hanging="360"/>
        <w:contextualSpacing/>
        <w:jc w:val="both"/>
        <w:rPr>
          <w:rFonts w:ascii="Times New Roman" w:eastAsia="Times New Roman" w:hAnsi="Times New Roman" w:cs="Times New Roman"/>
          <w:lang w:val="en-GB"/>
        </w:rPr>
      </w:pPr>
      <w:r>
        <w:rPr>
          <w:rFonts w:ascii="Times New Roman" w:eastAsia="Times New Roman" w:hAnsi="Times New Roman" w:cs="Times New Roman"/>
          <w:lang w:val="en-GB"/>
        </w:rPr>
        <w:t>-</w:t>
      </w:r>
      <w:r>
        <w:rPr>
          <w:rFonts w:ascii="Times New Roman" w:eastAsia="Times New Roman" w:hAnsi="Times New Roman" w:cs="Times New Roman"/>
          <w:lang w:val="en-GB"/>
        </w:rPr>
        <w:tab/>
        <w:t>Cadets recognize the value of operating in a larger system; they seek to understand the relationships between logistics activities.</w:t>
      </w:r>
    </w:p>
    <w:p w:rsidR="00427CD5" w:rsidRDefault="00427CD5" w:rsidP="00427CD5">
      <w:pPr>
        <w:widowControl w:val="0"/>
        <w:spacing w:before="120" w:after="120" w:line="240" w:lineRule="auto"/>
        <w:ind w:left="993" w:hanging="360"/>
        <w:contextualSpacing/>
        <w:jc w:val="both"/>
        <w:rPr>
          <w:rFonts w:ascii="Times New Roman" w:eastAsia="Times New Roman" w:hAnsi="Times New Roman" w:cs="Times New Roman"/>
          <w:lang w:val="en-GB"/>
        </w:rPr>
      </w:pPr>
      <w:r>
        <w:rPr>
          <w:rFonts w:ascii="Times New Roman" w:eastAsia="Times New Roman" w:hAnsi="Times New Roman" w:cs="Times New Roman"/>
          <w:lang w:val="en-GB"/>
        </w:rPr>
        <w:t>-</w:t>
      </w:r>
      <w:r>
        <w:rPr>
          <w:rFonts w:ascii="Times New Roman" w:eastAsia="Times New Roman" w:hAnsi="Times New Roman" w:cs="Times New Roman"/>
          <w:lang w:val="en-GB"/>
        </w:rPr>
        <w:tab/>
        <w:t>Cadets strive for cooperation while executing their tasks with an efficiency-oriented approach.</w:t>
      </w:r>
    </w:p>
    <w:p w:rsidR="00427CD5" w:rsidRDefault="00427CD5" w:rsidP="00427CD5">
      <w:pPr>
        <w:widowControl w:val="0"/>
        <w:spacing w:before="24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lang w:val="en-GB"/>
        </w:rPr>
        <w:t xml:space="preserve">Autonomy and responsibility: </w:t>
      </w:r>
    </w:p>
    <w:p w:rsidR="00427CD5" w:rsidRDefault="00427CD5" w:rsidP="00427CD5">
      <w:pPr>
        <w:widowControl w:val="0"/>
        <w:spacing w:before="120" w:after="120" w:line="240" w:lineRule="auto"/>
        <w:ind w:left="993" w:hanging="360"/>
        <w:contextualSpacing/>
        <w:jc w:val="both"/>
        <w:rPr>
          <w:rFonts w:ascii="Times New Roman" w:eastAsia="Times New Roman" w:hAnsi="Times New Roman" w:cs="Times New Roman"/>
          <w:lang w:val="en-GB"/>
        </w:rPr>
      </w:pPr>
      <w:r>
        <w:rPr>
          <w:rFonts w:ascii="Times New Roman" w:eastAsia="Times New Roman" w:hAnsi="Times New Roman" w:cs="Times New Roman"/>
          <w:lang w:val="en-GB"/>
        </w:rPr>
        <w:t>-</w:t>
      </w:r>
      <w:r>
        <w:rPr>
          <w:rFonts w:ascii="Times New Roman" w:eastAsia="Times New Roman" w:hAnsi="Times New Roman" w:cs="Times New Roman"/>
          <w:lang w:val="en-GB"/>
        </w:rPr>
        <w:tab/>
        <w:t>Cadets are able to make independent decisions at subunit level in military logistics processes, and to implement them responsibly within the legal framework.</w:t>
      </w:r>
    </w:p>
    <w:p w:rsidR="00427CD5" w:rsidRDefault="00427CD5" w:rsidP="00427CD5">
      <w:pPr>
        <w:widowControl w:val="0"/>
        <w:spacing w:before="120" w:after="120" w:line="240" w:lineRule="auto"/>
        <w:ind w:left="993" w:hanging="360"/>
        <w:contextualSpacing/>
        <w:jc w:val="both"/>
        <w:rPr>
          <w:rFonts w:ascii="Times New Roman" w:eastAsia="Times New Roman" w:hAnsi="Times New Roman" w:cs="Times New Roman"/>
          <w:lang w:val="en-GB"/>
        </w:rPr>
      </w:pPr>
      <w:r>
        <w:rPr>
          <w:rFonts w:ascii="Times New Roman" w:eastAsia="Times New Roman" w:hAnsi="Times New Roman" w:cs="Times New Roman"/>
          <w:lang w:val="en-GB"/>
        </w:rPr>
        <w:t>-</w:t>
      </w:r>
      <w:r>
        <w:rPr>
          <w:rFonts w:ascii="Times New Roman" w:eastAsia="Times New Roman" w:hAnsi="Times New Roman" w:cs="Times New Roman"/>
          <w:lang w:val="en-GB"/>
        </w:rPr>
        <w:tab/>
        <w:t>Cadets are aware of the effects and consequences of their decisions and activities on technical tools and discipline. They are responsible for the professional activities of their subordinates.</w:t>
      </w:r>
    </w:p>
    <w:p w:rsidR="00427CD5" w:rsidRPr="00427CD5" w:rsidRDefault="00427CD5" w:rsidP="00C14833">
      <w:pPr>
        <w:widowControl w:val="0"/>
        <w:numPr>
          <w:ilvl w:val="0"/>
          <w:numId w:val="125"/>
        </w:numPr>
        <w:tabs>
          <w:tab w:val="num" w:pos="567"/>
        </w:tabs>
        <w:spacing w:before="120" w:after="120" w:line="240" w:lineRule="auto"/>
        <w:ind w:left="426" w:hanging="142"/>
        <w:jc w:val="both"/>
        <w:rPr>
          <w:rFonts w:ascii="Times New Roman" w:eastAsia="Times New Roman" w:hAnsi="Times New Roman" w:cs="Times New Roman"/>
          <w:bCs/>
        </w:rPr>
      </w:pPr>
      <w:r w:rsidRPr="00427CD5">
        <w:rPr>
          <w:rFonts w:ascii="Times New Roman" w:eastAsia="Times New Roman" w:hAnsi="Times New Roman" w:cs="Times New Roman"/>
          <w:b/>
          <w:bCs/>
        </w:rPr>
        <w:t xml:space="preserve">Előtanulmányi követelmények: </w:t>
      </w:r>
      <w:r w:rsidR="007C060D" w:rsidRPr="007C060D">
        <w:rPr>
          <w:rFonts w:ascii="Times New Roman" w:eastAsia="Times New Roman" w:hAnsi="Times New Roman" w:cs="Times New Roman"/>
          <w:bCs/>
          <w:highlight w:val="yellow"/>
        </w:rPr>
        <w:t>A</w:t>
      </w:r>
      <w:r w:rsidRPr="007C060D">
        <w:rPr>
          <w:rFonts w:ascii="Times New Roman" w:eastAsia="Times New Roman" w:hAnsi="Times New Roman" w:cs="Times New Roman"/>
          <w:bCs/>
          <w:highlight w:val="yellow"/>
        </w:rPr>
        <w:t xml:space="preserve"> logisztikai alapjai</w:t>
      </w:r>
      <w:r w:rsidRPr="00427CD5">
        <w:rPr>
          <w:rFonts w:ascii="Times New Roman" w:eastAsia="Times New Roman" w:hAnsi="Times New Roman" w:cs="Times New Roman"/>
          <w:bCs/>
        </w:rPr>
        <w:t xml:space="preserve"> (HKHPKA303)</w:t>
      </w:r>
    </w:p>
    <w:p w:rsidR="00427CD5" w:rsidRDefault="00427CD5" w:rsidP="00C14833">
      <w:pPr>
        <w:widowControl w:val="0"/>
        <w:numPr>
          <w:ilvl w:val="0"/>
          <w:numId w:val="125"/>
        </w:numPr>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A tantárgy tananyagának leírása, tematika. Description of the subject, curriculum (magyarul, angolul - English):</w:t>
      </w:r>
    </w:p>
    <w:p w:rsidR="00427CD5" w:rsidRDefault="00427CD5" w:rsidP="00C14833">
      <w:pPr>
        <w:widowControl w:val="0"/>
        <w:numPr>
          <w:ilvl w:val="1"/>
          <w:numId w:val="125"/>
        </w:numPr>
        <w:tabs>
          <w:tab w:val="clear" w:pos="3977"/>
          <w:tab w:val="left" w:pos="709"/>
          <w:tab w:val="left" w:pos="993"/>
          <w:tab w:val="num" w:pos="2069"/>
          <w:tab w:val="num" w:pos="2275"/>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 NATO-logisztika fogalma, területei, funkciói. A NATO logisztikai alapelvei és eljárásai, az előállítói és a felhasználói logisztika. </w:t>
      </w:r>
      <w:r>
        <w:rPr>
          <w:rFonts w:ascii="Times New Roman" w:eastAsia="Times New Roman" w:hAnsi="Times New Roman" w:cs="Times New Roman"/>
          <w:i/>
          <w:kern w:val="2"/>
        </w:rPr>
        <w:t>(Definition, areas and funktions of the NATO logistics. Principles and policies of the NATO logistics. Production and consumer logistics.)</w:t>
      </w:r>
    </w:p>
    <w:p w:rsidR="00427CD5" w:rsidRDefault="00427CD5" w:rsidP="00C14833">
      <w:pPr>
        <w:widowControl w:val="0"/>
        <w:numPr>
          <w:ilvl w:val="1"/>
          <w:numId w:val="125"/>
        </w:numPr>
        <w:tabs>
          <w:tab w:val="clear" w:pos="3977"/>
          <w:tab w:val="left" w:pos="709"/>
          <w:tab w:val="left" w:pos="993"/>
          <w:tab w:val="num" w:pos="2069"/>
          <w:tab w:val="num" w:pos="2275"/>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 befogadó nemzeti támogatás és a többnemzeti logisztika. </w:t>
      </w:r>
      <w:r>
        <w:rPr>
          <w:rFonts w:ascii="Times New Roman" w:eastAsia="Times New Roman" w:hAnsi="Times New Roman" w:cs="Times New Roman"/>
          <w:i/>
          <w:kern w:val="2"/>
        </w:rPr>
        <w:t>(Host Nation Support and multinational logistics.)</w:t>
      </w:r>
    </w:p>
    <w:p w:rsidR="00427CD5" w:rsidRDefault="00427CD5" w:rsidP="00C14833">
      <w:pPr>
        <w:widowControl w:val="0"/>
        <w:numPr>
          <w:ilvl w:val="1"/>
          <w:numId w:val="125"/>
        </w:numPr>
        <w:tabs>
          <w:tab w:val="clear" w:pos="3977"/>
          <w:tab w:val="left" w:pos="709"/>
          <w:tab w:val="left" w:pos="993"/>
          <w:tab w:val="num" w:pos="2069"/>
          <w:tab w:val="num" w:pos="2275"/>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 mozgatás, szállítás és az üzemanyag-ellátás NATO-elvei. Az egészségügyi támogatás és a szabványosítás alapjai a NATO-ban. A Magyar Honvédség logisztikai rendszere. </w:t>
      </w:r>
      <w:r>
        <w:rPr>
          <w:rFonts w:ascii="Times New Roman" w:eastAsia="Times New Roman" w:hAnsi="Times New Roman" w:cs="Times New Roman"/>
          <w:i/>
          <w:kern w:val="2"/>
        </w:rPr>
        <w:t>(NATO principles related to movement, transport and POL supply, Basics of the medical support and its standardisation within NATO. Logistic support system of the Hungarian Defence Forces.)</w:t>
      </w:r>
    </w:p>
    <w:p w:rsidR="00427CD5" w:rsidRDefault="00427CD5" w:rsidP="00C14833">
      <w:pPr>
        <w:widowControl w:val="0"/>
        <w:numPr>
          <w:ilvl w:val="1"/>
          <w:numId w:val="125"/>
        </w:numPr>
        <w:tabs>
          <w:tab w:val="clear" w:pos="3977"/>
          <w:tab w:val="left" w:pos="709"/>
          <w:tab w:val="left" w:pos="993"/>
          <w:tab w:val="num" w:pos="2069"/>
          <w:tab w:val="num" w:pos="2275"/>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 hadtápbiztosítás, a haditechnikai biztosítás, a közlekedési támogatás és az egészségügyi biztosítás alapjai az MH-ban. </w:t>
      </w:r>
      <w:r>
        <w:rPr>
          <w:rFonts w:ascii="Times New Roman" w:eastAsia="Times New Roman" w:hAnsi="Times New Roman" w:cs="Times New Roman"/>
          <w:i/>
          <w:kern w:val="2"/>
        </w:rPr>
        <w:t>(Basics of the supply, maintenance, movement and transportation and medical support of the Hungarian Defence Forces.)</w:t>
      </w:r>
    </w:p>
    <w:p w:rsidR="00427CD5" w:rsidRDefault="00427CD5" w:rsidP="00C14833">
      <w:pPr>
        <w:widowControl w:val="0"/>
        <w:numPr>
          <w:ilvl w:val="1"/>
          <w:numId w:val="125"/>
        </w:numPr>
        <w:tabs>
          <w:tab w:val="clear" w:pos="3977"/>
          <w:tab w:val="left" w:pos="709"/>
          <w:tab w:val="left" w:pos="993"/>
          <w:tab w:val="num" w:pos="2069"/>
          <w:tab w:val="num" w:pos="2275"/>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 logisztikai támogatás vezetése az MH-ban. Más országok haderőinek logisztikai rendszere. </w:t>
      </w:r>
      <w:r>
        <w:rPr>
          <w:rFonts w:ascii="Times New Roman" w:eastAsia="Times New Roman" w:hAnsi="Times New Roman" w:cs="Times New Roman"/>
          <w:i/>
          <w:kern w:val="2"/>
        </w:rPr>
        <w:t>(Logistics leadership in the Hungarian Defence Forces. Logistic support system of other countries’ armed forces.)</w:t>
      </w:r>
    </w:p>
    <w:p w:rsidR="00427CD5" w:rsidRDefault="00427CD5" w:rsidP="00C14833">
      <w:pPr>
        <w:widowControl w:val="0"/>
        <w:numPr>
          <w:ilvl w:val="0"/>
          <w:numId w:val="125"/>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 tantárgy meghirdetésének gyakorisága/a tantervben történő félévi elhelyezkedése: </w:t>
      </w:r>
      <w:r>
        <w:rPr>
          <w:rFonts w:ascii="Times New Roman" w:eastAsia="Times New Roman" w:hAnsi="Times New Roman" w:cs="Times New Roman"/>
          <w:bCs/>
        </w:rPr>
        <w:t>Minden tavaszi szemeszterben / 4. félév</w:t>
      </w:r>
    </w:p>
    <w:p w:rsidR="00427CD5" w:rsidRDefault="00427CD5" w:rsidP="00C14833">
      <w:pPr>
        <w:widowControl w:val="0"/>
        <w:numPr>
          <w:ilvl w:val="0"/>
          <w:numId w:val="125"/>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tanórákon való részvétel követelményei, az elfogadható hiányzások mértéke, a távolmaradás pótlásának lehetősége:</w:t>
      </w:r>
      <w:r>
        <w:rPr>
          <w:rFonts w:ascii="Times New Roman" w:eastAsia="Times New Roman" w:hAnsi="Times New Roman" w:cs="Times New Roman"/>
          <w:bCs/>
        </w:rPr>
        <w:t xml:space="preserve"> Az órákon való részvétel legalább 75 %-ban kötelező. A hallgatónak a kimaradt tananyagot önképzés keretén belül kell elsajátítani. A kimaradt elméleti tananyag jobb megértése érdekében az oktatók konzultációs lehetőséget biztosíthatnak.</w:t>
      </w:r>
    </w:p>
    <w:p w:rsidR="00427CD5" w:rsidRDefault="00427CD5" w:rsidP="00C14833">
      <w:pPr>
        <w:widowControl w:val="0"/>
        <w:numPr>
          <w:ilvl w:val="0"/>
          <w:numId w:val="125"/>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rPr>
        <w:t xml:space="preserve">Félévközi feladatok, ismeretek ellenőrzésének rendje: </w:t>
      </w:r>
      <w:r>
        <w:rPr>
          <w:rFonts w:ascii="Times New Roman" w:eastAsia="Times New Roman" w:hAnsi="Times New Roman" w:cs="Times New Roman"/>
          <w:bCs/>
        </w:rPr>
        <w:t>A félév során a NATO-logisztikából és az MH logisztikai rendszeréből egy-egy zárthelyi dolgozatot kell írni. A zárthelyi dolgozat során az elégséges osztályzathoz minimum az összpontszám 51%-át el kell érni. Az elégtelen zárthelyi dolgozat egy alkalommal javítható.</w:t>
      </w:r>
    </w:p>
    <w:p w:rsidR="00427CD5" w:rsidRDefault="00427CD5" w:rsidP="00C14833">
      <w:pPr>
        <w:widowControl w:val="0"/>
        <w:numPr>
          <w:ilvl w:val="0"/>
          <w:numId w:val="125"/>
        </w:numPr>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Az értékelés, az aláírás és a kreditek megszerzésének pontos feltételei: </w:t>
      </w:r>
    </w:p>
    <w:p w:rsidR="00427CD5" w:rsidRDefault="00427CD5" w:rsidP="00C14833">
      <w:pPr>
        <w:widowControl w:val="0"/>
        <w:numPr>
          <w:ilvl w:val="1"/>
          <w:numId w:val="125"/>
        </w:numPr>
        <w:tabs>
          <w:tab w:val="clear" w:pos="3977"/>
          <w:tab w:val="left" w:pos="709"/>
          <w:tab w:val="left" w:pos="993"/>
          <w:tab w:val="num" w:pos="2069"/>
          <w:tab w:val="num" w:pos="2275"/>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lastRenderedPageBreak/>
        <w:t>Az aláírás megszerzésének feltételei:</w:t>
      </w:r>
    </w:p>
    <w:p w:rsidR="00427CD5" w:rsidRDefault="00427CD5" w:rsidP="00427CD5">
      <w:pPr>
        <w:widowControl w:val="0"/>
        <w:tabs>
          <w:tab w:val="left" w:pos="993"/>
        </w:tabs>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Az aláírás megszerzésének feltétele a 14. pontban meghatározott arányú részvétel a foglalkozásokon és a 15. pontban meghatározott félévközi feladatok legalább elégséges teljesítése.</w:t>
      </w:r>
    </w:p>
    <w:p w:rsidR="00427CD5" w:rsidRDefault="00427CD5" w:rsidP="00C14833">
      <w:pPr>
        <w:widowControl w:val="0"/>
        <w:numPr>
          <w:ilvl w:val="1"/>
          <w:numId w:val="125"/>
        </w:numPr>
        <w:tabs>
          <w:tab w:val="clear" w:pos="3977"/>
          <w:tab w:val="left" w:pos="709"/>
          <w:tab w:val="left" w:pos="993"/>
          <w:tab w:val="num" w:pos="2069"/>
          <w:tab w:val="num" w:pos="2275"/>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Az értékelés:</w:t>
      </w:r>
    </w:p>
    <w:p w:rsidR="00427CD5" w:rsidRDefault="00427CD5" w:rsidP="00427CD5">
      <w:pPr>
        <w:widowControl w:val="0"/>
        <w:tabs>
          <w:tab w:val="left" w:pos="993"/>
        </w:tabs>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A tantárgy vizsgával zárul, amely szóbeli kollokvium. A vizsgához a félév során a hallgatók részére kiosztásra kerülnek a felkészülési kérdések.</w:t>
      </w:r>
    </w:p>
    <w:p w:rsidR="00427CD5" w:rsidRDefault="00427CD5" w:rsidP="00C14833">
      <w:pPr>
        <w:widowControl w:val="0"/>
        <w:numPr>
          <w:ilvl w:val="1"/>
          <w:numId w:val="125"/>
        </w:numPr>
        <w:tabs>
          <w:tab w:val="clear" w:pos="3977"/>
          <w:tab w:val="left" w:pos="709"/>
          <w:tab w:val="left" w:pos="993"/>
          <w:tab w:val="num" w:pos="2069"/>
          <w:tab w:val="num" w:pos="2275"/>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 kreditek megszerzésének feltételei:</w:t>
      </w:r>
      <w:r>
        <w:rPr>
          <w:rFonts w:ascii="Times New Roman" w:eastAsia="Times New Roman" w:hAnsi="Times New Roman" w:cs="Times New Roman"/>
        </w:rPr>
        <w:t xml:space="preserve"> </w:t>
      </w:r>
    </w:p>
    <w:p w:rsidR="00427CD5" w:rsidRDefault="00427CD5" w:rsidP="00427CD5">
      <w:pPr>
        <w:widowControl w:val="0"/>
        <w:tabs>
          <w:tab w:val="left" w:pos="993"/>
        </w:tabs>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A kreditek megszerzésének feltétele az aláírás megszerzése és a legalább elégséges kollokviumi jegy.</w:t>
      </w:r>
    </w:p>
    <w:p w:rsidR="00427CD5" w:rsidRDefault="00427CD5" w:rsidP="00C14833">
      <w:pPr>
        <w:widowControl w:val="0"/>
        <w:numPr>
          <w:ilvl w:val="0"/>
          <w:numId w:val="125"/>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Irodalomjegyzék:</w:t>
      </w:r>
    </w:p>
    <w:p w:rsidR="00427CD5" w:rsidRDefault="00427CD5" w:rsidP="00C14833">
      <w:pPr>
        <w:widowControl w:val="0"/>
        <w:numPr>
          <w:ilvl w:val="1"/>
          <w:numId w:val="125"/>
        </w:numPr>
        <w:tabs>
          <w:tab w:val="clear" w:pos="3977"/>
          <w:tab w:val="left" w:pos="567"/>
          <w:tab w:val="left" w:pos="851"/>
          <w:tab w:val="num" w:pos="2069"/>
          <w:tab w:val="num" w:pos="2275"/>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Kötelező irodalom:</w:t>
      </w:r>
    </w:p>
    <w:p w:rsidR="00427CD5" w:rsidRPr="00741ECB" w:rsidRDefault="00427CD5" w:rsidP="00C14833">
      <w:pPr>
        <w:widowControl w:val="0"/>
        <w:numPr>
          <w:ilvl w:val="0"/>
          <w:numId w:val="126"/>
        </w:numPr>
        <w:spacing w:after="0" w:line="240" w:lineRule="auto"/>
        <w:jc w:val="both"/>
        <w:rPr>
          <w:rFonts w:ascii="Times New Roman" w:eastAsia="Times New Roman" w:hAnsi="Times New Roman" w:cs="Times New Roman"/>
          <w:highlight w:val="yellow"/>
        </w:rPr>
      </w:pPr>
      <w:r w:rsidRPr="00741ECB">
        <w:rPr>
          <w:rFonts w:ascii="Times New Roman" w:eastAsia="Times New Roman" w:hAnsi="Times New Roman" w:cs="Times New Roman"/>
          <w:highlight w:val="yellow"/>
        </w:rPr>
        <w:t>Magyar Honvédség Összhaderőnemi Logisztikai Támogatás Doktrína, A HVK Logisztikai Csoportfőnökség Kiadványa, Budapest, 2015. (3. kiadás)</w:t>
      </w:r>
    </w:p>
    <w:p w:rsidR="00427CD5" w:rsidRPr="00741ECB" w:rsidRDefault="00741ECB" w:rsidP="00C14833">
      <w:pPr>
        <w:widowControl w:val="0"/>
        <w:numPr>
          <w:ilvl w:val="0"/>
          <w:numId w:val="126"/>
        </w:numPr>
        <w:spacing w:after="0" w:line="240" w:lineRule="auto"/>
        <w:jc w:val="both"/>
        <w:rPr>
          <w:rFonts w:ascii="Times New Roman" w:eastAsia="Times New Roman" w:hAnsi="Times New Roman" w:cs="Times New Roman"/>
          <w:highlight w:val="yellow"/>
        </w:rPr>
      </w:pPr>
      <w:r>
        <w:rPr>
          <w:rFonts w:ascii="Times New Roman" w:eastAsia="Times New Roman" w:hAnsi="Times New Roman" w:cs="Times New Roman"/>
          <w:highlight w:val="yellow"/>
        </w:rPr>
        <w:t xml:space="preserve">Ált/23. A </w:t>
      </w:r>
      <w:r w:rsidR="00427CD5" w:rsidRPr="00741ECB">
        <w:rPr>
          <w:rFonts w:ascii="Times New Roman" w:eastAsia="Times New Roman" w:hAnsi="Times New Roman" w:cs="Times New Roman"/>
          <w:highlight w:val="yellow"/>
        </w:rPr>
        <w:t>Magyar Honv</w:t>
      </w:r>
      <w:r>
        <w:rPr>
          <w:rFonts w:ascii="Times New Roman" w:eastAsia="Times New Roman" w:hAnsi="Times New Roman" w:cs="Times New Roman"/>
          <w:highlight w:val="yellow"/>
        </w:rPr>
        <w:t>édség Szolgálati Szabályzata</w:t>
      </w:r>
    </w:p>
    <w:p w:rsidR="00427CD5" w:rsidRPr="00741ECB" w:rsidRDefault="00427CD5" w:rsidP="00C14833">
      <w:pPr>
        <w:widowControl w:val="0"/>
        <w:numPr>
          <w:ilvl w:val="0"/>
          <w:numId w:val="126"/>
        </w:numPr>
        <w:spacing w:after="0" w:line="240" w:lineRule="auto"/>
        <w:jc w:val="both"/>
        <w:rPr>
          <w:rFonts w:ascii="Times New Roman" w:eastAsia="Times New Roman" w:hAnsi="Times New Roman" w:cs="Times New Roman"/>
          <w:highlight w:val="yellow"/>
        </w:rPr>
      </w:pPr>
      <w:r w:rsidRPr="00741ECB">
        <w:rPr>
          <w:rFonts w:ascii="Times New Roman" w:eastAsia="Times New Roman" w:hAnsi="Times New Roman" w:cs="Times New Roman"/>
          <w:highlight w:val="yellow"/>
        </w:rPr>
        <w:t xml:space="preserve">2012. évi CCV. Törvény a honvédek jogállásáról </w:t>
      </w:r>
    </w:p>
    <w:p w:rsidR="00427CD5" w:rsidRPr="00741ECB" w:rsidRDefault="00427CD5" w:rsidP="00C14833">
      <w:pPr>
        <w:widowControl w:val="0"/>
        <w:numPr>
          <w:ilvl w:val="0"/>
          <w:numId w:val="126"/>
        </w:numPr>
        <w:spacing w:after="0" w:line="240" w:lineRule="auto"/>
        <w:jc w:val="both"/>
        <w:rPr>
          <w:rFonts w:ascii="Times New Roman" w:eastAsia="Times New Roman" w:hAnsi="Times New Roman" w:cs="Times New Roman"/>
          <w:highlight w:val="yellow"/>
        </w:rPr>
      </w:pPr>
      <w:r w:rsidRPr="00741ECB">
        <w:rPr>
          <w:rFonts w:ascii="Times New Roman" w:eastAsia="Times New Roman" w:hAnsi="Times New Roman" w:cs="Times New Roman"/>
          <w:highlight w:val="yellow"/>
        </w:rPr>
        <w:t>NATO Logisztikai Kézikönyv</w:t>
      </w:r>
      <w:r w:rsidR="004E0714">
        <w:rPr>
          <w:rFonts w:ascii="Times New Roman" w:eastAsia="Times New Roman" w:hAnsi="Times New Roman" w:cs="Times New Roman"/>
          <w:highlight w:val="yellow"/>
        </w:rPr>
        <w:t xml:space="preserve"> </w:t>
      </w:r>
    </w:p>
    <w:p w:rsidR="00427CD5" w:rsidRDefault="00427CD5" w:rsidP="00C14833">
      <w:pPr>
        <w:widowControl w:val="0"/>
        <w:numPr>
          <w:ilvl w:val="1"/>
          <w:numId w:val="125"/>
        </w:numPr>
        <w:tabs>
          <w:tab w:val="clear" w:pos="3977"/>
          <w:tab w:val="left" w:pos="567"/>
          <w:tab w:val="left" w:pos="851"/>
          <w:tab w:val="num" w:pos="2069"/>
          <w:tab w:val="num" w:pos="2275"/>
        </w:tabs>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Ajánlott irodalom:</w:t>
      </w:r>
    </w:p>
    <w:p w:rsidR="00427CD5" w:rsidRPr="004E0714" w:rsidRDefault="00427CD5" w:rsidP="00C14833">
      <w:pPr>
        <w:pStyle w:val="Listaszerbekezds"/>
        <w:widowControl w:val="0"/>
        <w:numPr>
          <w:ilvl w:val="0"/>
          <w:numId w:val="127"/>
        </w:numPr>
        <w:spacing w:after="0" w:line="240" w:lineRule="auto"/>
        <w:jc w:val="both"/>
        <w:rPr>
          <w:rFonts w:ascii="Times New Roman" w:eastAsia="Times New Roman" w:hAnsi="Times New Roman" w:cs="Times New Roman"/>
          <w:highlight w:val="yellow"/>
        </w:rPr>
      </w:pPr>
      <w:r w:rsidRPr="004E0714">
        <w:rPr>
          <w:rFonts w:ascii="Times New Roman" w:eastAsia="Times New Roman" w:hAnsi="Times New Roman" w:cs="Times New Roman"/>
          <w:highlight w:val="yellow"/>
        </w:rPr>
        <w:t>AAP-6(U)2. NATO szakkifejezések és meghatározások szógyűjteménye</w:t>
      </w:r>
    </w:p>
    <w:p w:rsidR="00427CD5" w:rsidRPr="004E0714" w:rsidRDefault="00427CD5" w:rsidP="00C14833">
      <w:pPr>
        <w:pStyle w:val="Listaszerbekezds"/>
        <w:widowControl w:val="0"/>
        <w:numPr>
          <w:ilvl w:val="0"/>
          <w:numId w:val="127"/>
        </w:numPr>
        <w:spacing w:after="0" w:line="240" w:lineRule="auto"/>
        <w:jc w:val="both"/>
        <w:rPr>
          <w:rFonts w:ascii="Times New Roman" w:eastAsia="Times New Roman" w:hAnsi="Times New Roman" w:cs="Times New Roman"/>
          <w:highlight w:val="yellow"/>
        </w:rPr>
      </w:pPr>
      <w:r w:rsidRPr="004E0714">
        <w:rPr>
          <w:rFonts w:ascii="Times New Roman" w:eastAsia="Times New Roman" w:hAnsi="Times New Roman" w:cs="Times New Roman"/>
          <w:highlight w:val="yellow"/>
        </w:rPr>
        <w:t>APP-6 A Földi telepítésű katonai rendszerek grafikai jelei</w:t>
      </w:r>
    </w:p>
    <w:p w:rsidR="00427CD5" w:rsidRPr="004E0714" w:rsidRDefault="00427CD5" w:rsidP="00C14833">
      <w:pPr>
        <w:pStyle w:val="Listaszerbekezds"/>
        <w:widowControl w:val="0"/>
        <w:numPr>
          <w:ilvl w:val="0"/>
          <w:numId w:val="127"/>
        </w:numPr>
        <w:spacing w:after="0" w:line="240" w:lineRule="auto"/>
        <w:jc w:val="both"/>
        <w:rPr>
          <w:rFonts w:ascii="Times New Roman" w:eastAsia="Times New Roman" w:hAnsi="Times New Roman" w:cs="Times New Roman"/>
          <w:highlight w:val="yellow"/>
        </w:rPr>
      </w:pPr>
      <w:r w:rsidRPr="004E0714">
        <w:rPr>
          <w:rFonts w:ascii="Times New Roman" w:eastAsia="Times New Roman" w:hAnsi="Times New Roman" w:cs="Times New Roman"/>
          <w:highlight w:val="yellow"/>
        </w:rPr>
        <w:t>318/2006; 18/2002; 19/2002 HM rendeletek a kártérítési felelősség egyes szabályairól</w:t>
      </w:r>
    </w:p>
    <w:p w:rsidR="00741ECB" w:rsidRPr="00741ECB" w:rsidRDefault="00741ECB" w:rsidP="00C14833">
      <w:pPr>
        <w:widowControl w:val="0"/>
        <w:numPr>
          <w:ilvl w:val="0"/>
          <w:numId w:val="127"/>
        </w:numPr>
        <w:spacing w:after="0" w:line="240" w:lineRule="auto"/>
        <w:jc w:val="both"/>
        <w:rPr>
          <w:rFonts w:ascii="Times New Roman" w:eastAsia="Times New Roman" w:hAnsi="Times New Roman" w:cs="Times New Roman"/>
          <w:highlight w:val="yellow"/>
        </w:rPr>
      </w:pPr>
      <w:r w:rsidRPr="00741ECB">
        <w:rPr>
          <w:rFonts w:ascii="Times New Roman" w:eastAsia="Times New Roman" w:hAnsi="Times New Roman" w:cs="Times New Roman"/>
          <w:highlight w:val="yellow"/>
        </w:rPr>
        <w:t>FINAL DECISION ON MC 319/2, NATO PRINCIPLES AND POLICIES FOR LOGISTICS</w:t>
      </w:r>
    </w:p>
    <w:p w:rsidR="00427CD5" w:rsidRDefault="00427CD5" w:rsidP="00427CD5">
      <w:pPr>
        <w:widowControl w:val="0"/>
        <w:spacing w:before="120" w:after="120" w:line="240" w:lineRule="auto"/>
        <w:jc w:val="both"/>
        <w:rPr>
          <w:rFonts w:ascii="Times New Roman" w:eastAsia="Times New Roman" w:hAnsi="Times New Roman" w:cs="Times New Roman"/>
          <w:bCs/>
        </w:rPr>
      </w:pPr>
    </w:p>
    <w:p w:rsidR="00427CD5" w:rsidRDefault="00427CD5" w:rsidP="00194AF9">
      <w:pPr>
        <w:widowControl w:val="0"/>
        <w:spacing w:before="120" w:after="120" w:line="240" w:lineRule="auto"/>
        <w:ind w:firstLine="360"/>
        <w:jc w:val="both"/>
        <w:rPr>
          <w:rFonts w:ascii="Times New Roman" w:eastAsia="Times New Roman" w:hAnsi="Times New Roman" w:cs="Times New Roman"/>
          <w:bCs/>
        </w:rPr>
      </w:pPr>
      <w:r>
        <w:rPr>
          <w:rFonts w:ascii="Times New Roman" w:eastAsia="Times New Roman" w:hAnsi="Times New Roman" w:cs="Times New Roman"/>
          <w:bCs/>
        </w:rPr>
        <w:t>Budapest, 2020. január 14.</w:t>
      </w:r>
    </w:p>
    <w:p w:rsidR="00427CD5" w:rsidRDefault="00427CD5" w:rsidP="00427CD5">
      <w:pPr>
        <w:widowControl w:val="0"/>
        <w:spacing w:before="120" w:after="120" w:line="240" w:lineRule="auto"/>
        <w:jc w:val="both"/>
        <w:rPr>
          <w:rFonts w:ascii="Times New Roman" w:eastAsia="Times New Roman" w:hAnsi="Times New Roman" w:cs="Times New Roman"/>
          <w:bCs/>
        </w:rPr>
      </w:pPr>
    </w:p>
    <w:p w:rsidR="00427CD5" w:rsidRDefault="00427CD5" w:rsidP="00427CD5">
      <w:pPr>
        <w:widowControl w:val="0"/>
        <w:spacing w:after="0" w:line="240" w:lineRule="auto"/>
        <w:ind w:left="5664" w:firstLine="708"/>
        <w:jc w:val="center"/>
        <w:rPr>
          <w:rFonts w:ascii="Times New Roman" w:hAnsi="Times New Roman" w:cs="Times New Roman"/>
          <w:b/>
          <w:bCs/>
        </w:rPr>
      </w:pPr>
      <w:r>
        <w:rPr>
          <w:rFonts w:ascii="Times New Roman" w:hAnsi="Times New Roman" w:cs="Times New Roman"/>
          <w:b/>
          <w:bCs/>
        </w:rPr>
        <w:t xml:space="preserve">   Dr. Pohl Árpád (PhD)</w:t>
      </w:r>
    </w:p>
    <w:p w:rsidR="00427CD5" w:rsidRDefault="00427CD5" w:rsidP="00427CD5">
      <w:pPr>
        <w:widowControl w:val="0"/>
        <w:spacing w:after="0" w:line="240" w:lineRule="auto"/>
        <w:jc w:val="right"/>
        <w:rPr>
          <w:rFonts w:ascii="Times New Roman" w:hAnsi="Times New Roman" w:cs="Times New Roman"/>
          <w:b/>
          <w:bCs/>
        </w:rPr>
      </w:pPr>
      <w:r>
        <w:rPr>
          <w:rFonts w:ascii="Times New Roman" w:hAnsi="Times New Roman" w:cs="Times New Roman"/>
          <w:bCs/>
        </w:rPr>
        <w:t>dékán, egyetemi docens s.k.</w:t>
      </w:r>
    </w:p>
    <w:p w:rsidR="00C45574" w:rsidRDefault="00C45574">
      <w:pPr>
        <w:spacing w:after="200" w:line="276" w:lineRule="auto"/>
        <w:rPr>
          <w:rFonts w:ascii="Times New Roman" w:hAnsi="Times New Roman" w:cs="Times New Roman"/>
          <w:sz w:val="24"/>
        </w:rPr>
      </w:pPr>
    </w:p>
    <w:p w:rsidR="004E1940" w:rsidRDefault="004E1940">
      <w:pPr>
        <w:spacing w:after="200" w:line="276" w:lineRule="auto"/>
        <w:rPr>
          <w:rFonts w:ascii="Times New Roman" w:hAnsi="Times New Roman" w:cs="Times New Roman"/>
          <w:sz w:val="24"/>
        </w:rPr>
      </w:pPr>
      <w:r>
        <w:rPr>
          <w:rFonts w:ascii="Times New Roman" w:hAnsi="Times New Roman" w:cs="Times New Roman"/>
          <w:sz w:val="24"/>
        </w:rPr>
        <w:br w:type="page"/>
      </w:r>
    </w:p>
    <w:tbl>
      <w:tblPr>
        <w:tblW w:w="9072" w:type="dxa"/>
        <w:tblInd w:w="113" w:type="dxa"/>
        <w:tblLook w:val="01E0" w:firstRow="1" w:lastRow="1" w:firstColumn="1" w:lastColumn="1" w:noHBand="0" w:noVBand="0"/>
      </w:tblPr>
      <w:tblGrid>
        <w:gridCol w:w="4855"/>
        <w:gridCol w:w="1620"/>
        <w:gridCol w:w="2597"/>
      </w:tblGrid>
      <w:tr w:rsidR="004E1940" w:rsidTr="004E1940">
        <w:tc>
          <w:tcPr>
            <w:tcW w:w="4855" w:type="dxa"/>
            <w:tcBorders>
              <w:top w:val="nil"/>
              <w:left w:val="nil"/>
              <w:bottom w:val="single" w:sz="4" w:space="0" w:color="auto"/>
              <w:right w:val="nil"/>
            </w:tcBorders>
            <w:hideMark/>
          </w:tcPr>
          <w:p w:rsidR="004E1940" w:rsidRDefault="004E1940">
            <w:pPr>
              <w:spacing w:after="0" w:line="240" w:lineRule="auto"/>
              <w:jc w:val="center"/>
              <w:rPr>
                <w:rFonts w:ascii="Times New Roman" w:eastAsia="Times New Roman" w:hAnsi="Times New Roman" w:cs="Times New Roman"/>
                <w:b/>
                <w:smallCaps/>
                <w:lang w:eastAsia="hu-HU"/>
              </w:rPr>
            </w:pPr>
            <w:r>
              <w:rPr>
                <w:rFonts w:ascii="Times New Roman" w:eastAsia="Times New Roman" w:hAnsi="Times New Roman" w:cs="Times New Roman"/>
                <w:b/>
                <w:smallCaps/>
                <w:lang w:eastAsia="hu-HU"/>
              </w:rPr>
              <w:lastRenderedPageBreak/>
              <w:t>Nemzeti Közszolgálati Egyetem</w:t>
            </w:r>
          </w:p>
        </w:tc>
        <w:tc>
          <w:tcPr>
            <w:tcW w:w="1620" w:type="dxa"/>
          </w:tcPr>
          <w:p w:rsidR="004E1940" w:rsidRDefault="004E1940">
            <w:pPr>
              <w:spacing w:after="0" w:line="240" w:lineRule="auto"/>
              <w:jc w:val="both"/>
              <w:rPr>
                <w:rFonts w:ascii="Times New Roman" w:eastAsia="Times New Roman" w:hAnsi="Times New Roman" w:cs="Times New Roman"/>
                <w:lang w:eastAsia="hu-HU"/>
              </w:rPr>
            </w:pPr>
          </w:p>
        </w:tc>
        <w:tc>
          <w:tcPr>
            <w:tcW w:w="2597" w:type="dxa"/>
          </w:tcPr>
          <w:p w:rsidR="004E1940" w:rsidRDefault="004E1940">
            <w:pPr>
              <w:spacing w:after="0" w:line="240" w:lineRule="auto"/>
              <w:jc w:val="right"/>
              <w:rPr>
                <w:rFonts w:ascii="Times New Roman" w:eastAsia="Times New Roman" w:hAnsi="Times New Roman" w:cs="Times New Roman"/>
                <w:lang w:eastAsia="hu-HU"/>
              </w:rPr>
            </w:pPr>
          </w:p>
        </w:tc>
      </w:tr>
      <w:tr w:rsidR="004E1940" w:rsidTr="004E1940">
        <w:tc>
          <w:tcPr>
            <w:tcW w:w="4855" w:type="dxa"/>
            <w:tcBorders>
              <w:top w:val="single" w:sz="4" w:space="0" w:color="auto"/>
              <w:left w:val="nil"/>
              <w:bottom w:val="nil"/>
              <w:right w:val="nil"/>
            </w:tcBorders>
            <w:hideMark/>
          </w:tcPr>
          <w:p w:rsidR="004E1940" w:rsidRDefault="004E1940">
            <w:pPr>
              <w:spacing w:after="0" w:line="240" w:lineRule="auto"/>
              <w:jc w:val="center"/>
              <w:rPr>
                <w:rFonts w:ascii="Times New Roman" w:eastAsia="Times New Roman" w:hAnsi="Times New Roman" w:cs="Times New Roman"/>
                <w:b/>
                <w:lang w:eastAsia="hu-HU"/>
              </w:rPr>
            </w:pPr>
            <w:r>
              <w:rPr>
                <w:rFonts w:ascii="Times New Roman" w:eastAsia="Times New Roman" w:hAnsi="Times New Roman" w:cs="Times New Roman"/>
                <w:b/>
                <w:lang w:eastAsia="hu-HU"/>
              </w:rPr>
              <w:t>Hadtudományi és Honvédtisztképző Kar</w:t>
            </w:r>
          </w:p>
        </w:tc>
        <w:tc>
          <w:tcPr>
            <w:tcW w:w="1620" w:type="dxa"/>
          </w:tcPr>
          <w:p w:rsidR="004E1940" w:rsidRDefault="004E1940">
            <w:pPr>
              <w:spacing w:after="0" w:line="240" w:lineRule="auto"/>
              <w:jc w:val="both"/>
              <w:rPr>
                <w:rFonts w:ascii="Times New Roman" w:eastAsia="Times New Roman" w:hAnsi="Times New Roman" w:cs="Times New Roman"/>
                <w:lang w:eastAsia="hu-HU"/>
              </w:rPr>
            </w:pPr>
          </w:p>
        </w:tc>
        <w:tc>
          <w:tcPr>
            <w:tcW w:w="2597" w:type="dxa"/>
          </w:tcPr>
          <w:p w:rsidR="004E1940" w:rsidRDefault="004E1940">
            <w:pPr>
              <w:spacing w:after="0" w:line="240" w:lineRule="auto"/>
              <w:jc w:val="both"/>
              <w:rPr>
                <w:rFonts w:ascii="Times New Roman" w:eastAsia="Times New Roman" w:hAnsi="Times New Roman" w:cs="Times New Roman"/>
                <w:lang w:eastAsia="hu-HU"/>
              </w:rPr>
            </w:pPr>
          </w:p>
        </w:tc>
      </w:tr>
    </w:tbl>
    <w:p w:rsidR="004E1940" w:rsidRDefault="004E1940" w:rsidP="004E1940">
      <w:pPr>
        <w:widowControl w:val="0"/>
        <w:spacing w:before="120" w:after="120" w:line="240" w:lineRule="auto"/>
        <w:ind w:left="426" w:hanging="142"/>
        <w:jc w:val="center"/>
        <w:rPr>
          <w:rFonts w:ascii="Times New Roman" w:eastAsia="Times New Roman" w:hAnsi="Times New Roman" w:cs="Times New Roman"/>
          <w:b/>
          <w:bCs/>
        </w:rPr>
      </w:pPr>
    </w:p>
    <w:p w:rsidR="004E1940" w:rsidRDefault="004E1940" w:rsidP="004E1940">
      <w:pPr>
        <w:widowControl w:val="0"/>
        <w:spacing w:before="120" w:after="120" w:line="240" w:lineRule="auto"/>
        <w:ind w:left="426" w:hanging="142"/>
        <w:jc w:val="center"/>
        <w:rPr>
          <w:rFonts w:ascii="Times New Roman" w:eastAsia="Times New Roman" w:hAnsi="Times New Roman" w:cs="Times New Roman"/>
          <w:b/>
          <w:bCs/>
        </w:rPr>
      </w:pPr>
      <w:r>
        <w:rPr>
          <w:rFonts w:ascii="Times New Roman" w:eastAsia="Times New Roman" w:hAnsi="Times New Roman" w:cs="Times New Roman"/>
          <w:b/>
          <w:bCs/>
        </w:rPr>
        <w:t>TANTÁRGYI PROGRAM</w:t>
      </w:r>
    </w:p>
    <w:p w:rsidR="004E1940" w:rsidRDefault="004E1940" w:rsidP="00C14833">
      <w:pPr>
        <w:widowControl w:val="0"/>
        <w:numPr>
          <w:ilvl w:val="0"/>
          <w:numId w:val="132"/>
        </w:numPr>
        <w:tabs>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 tantárgy kódja: </w:t>
      </w:r>
      <w:r>
        <w:rPr>
          <w:rFonts w:ascii="Times New Roman" w:eastAsia="Times New Roman" w:hAnsi="Times New Roman" w:cs="Times New Roman"/>
          <w:bCs/>
          <w:color w:val="000000"/>
          <w:lang w:eastAsia="hu-HU"/>
        </w:rPr>
        <w:t>HKKVKA04</w:t>
      </w:r>
    </w:p>
    <w:p w:rsidR="004E1940" w:rsidRDefault="004E1940" w:rsidP="00C14833">
      <w:pPr>
        <w:widowControl w:val="0"/>
        <w:numPr>
          <w:ilvl w:val="0"/>
          <w:numId w:val="132"/>
        </w:numPr>
        <w:tabs>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tantárgy megnevezése (magyarul):</w:t>
      </w:r>
      <w:r>
        <w:rPr>
          <w:rFonts w:ascii="Times New Roman" w:eastAsia="Times New Roman" w:hAnsi="Times New Roman" w:cs="Times New Roman"/>
          <w:bCs/>
        </w:rPr>
        <w:t xml:space="preserve"> Vezetői tréning</w:t>
      </w:r>
    </w:p>
    <w:p w:rsidR="004E1940" w:rsidRDefault="004E1940" w:rsidP="00C14833">
      <w:pPr>
        <w:widowControl w:val="0"/>
        <w:numPr>
          <w:ilvl w:val="0"/>
          <w:numId w:val="132"/>
        </w:numPr>
        <w:tabs>
          <w:tab w:val="num" w:pos="567"/>
        </w:tabs>
        <w:spacing w:before="120" w:after="120" w:line="240" w:lineRule="auto"/>
        <w:ind w:left="426" w:hanging="142"/>
        <w:jc w:val="both"/>
        <w:rPr>
          <w:rFonts w:ascii="Times New Roman" w:eastAsia="Times New Roman" w:hAnsi="Times New Roman" w:cs="Times New Roman"/>
          <w:b/>
          <w:bCs/>
          <w:lang w:val="en-GB"/>
        </w:rPr>
      </w:pPr>
      <w:r>
        <w:rPr>
          <w:rFonts w:ascii="Times New Roman" w:eastAsia="Times New Roman" w:hAnsi="Times New Roman" w:cs="Times New Roman"/>
          <w:b/>
          <w:bCs/>
        </w:rPr>
        <w:t xml:space="preserve">A tantárgy megnevezése (angolul): </w:t>
      </w:r>
      <w:r>
        <w:rPr>
          <w:rFonts w:ascii="Times New Roman" w:eastAsia="Times New Roman" w:hAnsi="Times New Roman" w:cs="Times New Roman"/>
          <w:bCs/>
          <w:color w:val="000000"/>
          <w:lang w:val="en-GB" w:eastAsia="hu-HU"/>
        </w:rPr>
        <w:t>Leadership Training</w:t>
      </w:r>
    </w:p>
    <w:p w:rsidR="004E1940" w:rsidRDefault="004E1940" w:rsidP="00C14833">
      <w:pPr>
        <w:widowControl w:val="0"/>
        <w:numPr>
          <w:ilvl w:val="0"/>
          <w:numId w:val="132"/>
        </w:numPr>
        <w:tabs>
          <w:tab w:val="num" w:pos="567"/>
        </w:tabs>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Kreditérték és képzési karakter: </w:t>
      </w:r>
    </w:p>
    <w:p w:rsidR="004E1940" w:rsidRDefault="004E1940" w:rsidP="00C14833">
      <w:pPr>
        <w:pStyle w:val="Listaszerbekezds"/>
        <w:widowControl w:val="0"/>
        <w:numPr>
          <w:ilvl w:val="1"/>
          <w:numId w:val="132"/>
        </w:numPr>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 xml:space="preserve">2 kredit </w:t>
      </w:r>
    </w:p>
    <w:p w:rsidR="004E1940" w:rsidRDefault="004E1940" w:rsidP="00C14833">
      <w:pPr>
        <w:pStyle w:val="Listaszerbekezds"/>
        <w:widowControl w:val="0"/>
        <w:numPr>
          <w:ilvl w:val="1"/>
          <w:numId w:val="132"/>
        </w:numPr>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a tantárgy elméleti vagy gyakorlati jellegének mértéke: 100% gyakorlat, 0% elmélet</w:t>
      </w:r>
    </w:p>
    <w:p w:rsidR="004E1940" w:rsidRDefault="004E1940" w:rsidP="00C14833">
      <w:pPr>
        <w:widowControl w:val="0"/>
        <w:numPr>
          <w:ilvl w:val="0"/>
          <w:numId w:val="132"/>
        </w:numPr>
        <w:spacing w:before="120" w:after="120" w:line="240" w:lineRule="auto"/>
        <w:ind w:left="426" w:hanging="142"/>
        <w:jc w:val="both"/>
        <w:rPr>
          <w:rFonts w:ascii="Times New Roman" w:eastAsia="Times New Roman" w:hAnsi="Times New Roman" w:cs="Times New Roman"/>
          <w:bCs/>
          <w:color w:val="000000"/>
          <w:lang w:eastAsia="hu-HU"/>
        </w:rPr>
      </w:pPr>
      <w:r>
        <w:rPr>
          <w:rFonts w:ascii="Times New Roman" w:eastAsia="Times New Roman" w:hAnsi="Times New Roman" w:cs="Times New Roman"/>
          <w:b/>
          <w:bCs/>
        </w:rPr>
        <w:t>A szak(ok), szakirányok/specializációk megnevezése (ahol oktatják):</w:t>
      </w:r>
      <w:r>
        <w:rPr>
          <w:rFonts w:ascii="Times New Roman" w:eastAsia="Times New Roman" w:hAnsi="Times New Roman" w:cs="Times New Roman"/>
          <w:bCs/>
        </w:rPr>
        <w:t xml:space="preserve"> </w:t>
      </w:r>
      <w:r>
        <w:rPr>
          <w:rFonts w:ascii="Times New Roman" w:eastAsia="Times New Roman" w:hAnsi="Times New Roman" w:cs="Times New Roman"/>
          <w:bCs/>
          <w:color w:val="000000"/>
          <w:lang w:eastAsia="hu-HU"/>
        </w:rPr>
        <w:t>a Kar valamennyi alapképzési szakán</w:t>
      </w:r>
    </w:p>
    <w:p w:rsidR="004E1940" w:rsidRDefault="004E1940" w:rsidP="00C14833">
      <w:pPr>
        <w:widowControl w:val="0"/>
        <w:numPr>
          <w:ilvl w:val="0"/>
          <w:numId w:val="132"/>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Az oktatásért felelős oktatási szervezeti egység megnevezése: </w:t>
      </w:r>
      <w:r>
        <w:rPr>
          <w:rFonts w:ascii="Times New Roman" w:eastAsia="Times New Roman" w:hAnsi="Times New Roman" w:cs="Times New Roman"/>
          <w:color w:val="000000"/>
          <w:lang w:eastAsia="hu-HU"/>
        </w:rPr>
        <w:t xml:space="preserve">Hadtudományi és Honvédtisztképző Kar, </w:t>
      </w:r>
      <w:r>
        <w:rPr>
          <w:rFonts w:ascii="Times New Roman" w:eastAsia="Times New Roman" w:hAnsi="Times New Roman" w:cs="Times New Roman"/>
          <w:bCs/>
          <w:color w:val="000000"/>
          <w:lang w:eastAsia="hu-HU"/>
        </w:rPr>
        <w:t>Katonai Vezetéstudományi és Közismereti Tanszék</w:t>
      </w:r>
    </w:p>
    <w:p w:rsidR="004E1940" w:rsidRDefault="004E1940" w:rsidP="00C14833">
      <w:pPr>
        <w:widowControl w:val="0"/>
        <w:numPr>
          <w:ilvl w:val="0"/>
          <w:numId w:val="132"/>
        </w:numPr>
        <w:tabs>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tantárgyfelelős oktató neve, beosztása, tudományos fokozata:</w:t>
      </w:r>
      <w:r>
        <w:rPr>
          <w:rFonts w:ascii="Times New Roman" w:eastAsia="Times New Roman" w:hAnsi="Times New Roman" w:cs="Times New Roman"/>
          <w:bCs/>
        </w:rPr>
        <w:t xml:space="preserve"> </w:t>
      </w:r>
      <w:r>
        <w:rPr>
          <w:rFonts w:ascii="Times New Roman" w:eastAsia="Times New Roman" w:hAnsi="Times New Roman" w:cs="Times New Roman"/>
          <w:bCs/>
          <w:color w:val="000000"/>
          <w:lang w:eastAsia="hu-HU"/>
        </w:rPr>
        <w:t>Dr. Ujházy László alezredes, tanszékvezető, egyetemi docens, PhD</w:t>
      </w:r>
    </w:p>
    <w:p w:rsidR="004E1940" w:rsidRDefault="004E1940" w:rsidP="00C14833">
      <w:pPr>
        <w:widowControl w:val="0"/>
        <w:numPr>
          <w:ilvl w:val="0"/>
          <w:numId w:val="132"/>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tanórák száma és típusa</w:t>
      </w:r>
    </w:p>
    <w:p w:rsidR="004E1940" w:rsidRDefault="004E1940" w:rsidP="00C14833">
      <w:pPr>
        <w:widowControl w:val="0"/>
        <w:numPr>
          <w:ilvl w:val="1"/>
          <w:numId w:val="132"/>
        </w:numPr>
        <w:tabs>
          <w:tab w:val="num" w:pos="709"/>
          <w:tab w:val="num" w:pos="2069"/>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össz óraszám/félév: 28</w:t>
      </w:r>
    </w:p>
    <w:p w:rsidR="004E1940" w:rsidRDefault="004E1940" w:rsidP="00C14833">
      <w:pPr>
        <w:widowControl w:val="0"/>
        <w:numPr>
          <w:ilvl w:val="2"/>
          <w:numId w:val="132"/>
        </w:numPr>
        <w:tabs>
          <w:tab w:val="num" w:pos="709"/>
          <w:tab w:val="num" w:pos="1134"/>
        </w:tabs>
        <w:spacing w:after="0" w:line="240" w:lineRule="auto"/>
        <w:ind w:left="992" w:hanging="425"/>
        <w:jc w:val="both"/>
        <w:rPr>
          <w:rFonts w:ascii="Times New Roman" w:eastAsia="Times New Roman" w:hAnsi="Times New Roman" w:cs="Times New Roman"/>
          <w:bCs/>
        </w:rPr>
      </w:pPr>
      <w:r>
        <w:rPr>
          <w:rFonts w:ascii="Times New Roman" w:eastAsia="Times New Roman" w:hAnsi="Times New Roman" w:cs="Times New Roman"/>
          <w:bCs/>
        </w:rPr>
        <w:t>nappali munkarend: 28 (0 EA + 28 GY)</w:t>
      </w:r>
    </w:p>
    <w:p w:rsidR="004E1940" w:rsidRDefault="004E1940" w:rsidP="00C14833">
      <w:pPr>
        <w:widowControl w:val="0"/>
        <w:numPr>
          <w:ilvl w:val="2"/>
          <w:numId w:val="132"/>
        </w:numPr>
        <w:tabs>
          <w:tab w:val="num" w:pos="709"/>
          <w:tab w:val="num" w:pos="1134"/>
        </w:tabs>
        <w:spacing w:after="0" w:line="240" w:lineRule="auto"/>
        <w:ind w:left="992" w:hanging="425"/>
        <w:jc w:val="both"/>
        <w:rPr>
          <w:rFonts w:ascii="Times New Roman" w:eastAsia="Times New Roman" w:hAnsi="Times New Roman" w:cs="Times New Roman"/>
          <w:bCs/>
        </w:rPr>
      </w:pPr>
      <w:r>
        <w:rPr>
          <w:rFonts w:ascii="Times New Roman" w:eastAsia="Times New Roman" w:hAnsi="Times New Roman" w:cs="Times New Roman"/>
          <w:bCs/>
        </w:rPr>
        <w:t>levelező munkarend: –</w:t>
      </w:r>
    </w:p>
    <w:p w:rsidR="004E1940" w:rsidRDefault="004E1940" w:rsidP="00C14833">
      <w:pPr>
        <w:widowControl w:val="0"/>
        <w:numPr>
          <w:ilvl w:val="1"/>
          <w:numId w:val="132"/>
        </w:numPr>
        <w:tabs>
          <w:tab w:val="num" w:pos="709"/>
          <w:tab w:val="num" w:pos="2069"/>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heti óraszám – nappali munkarend: 2 (tömbösítve)</w:t>
      </w:r>
    </w:p>
    <w:p w:rsidR="004E1940" w:rsidRDefault="004E1940" w:rsidP="00C14833">
      <w:pPr>
        <w:widowControl w:val="0"/>
        <w:numPr>
          <w:ilvl w:val="1"/>
          <w:numId w:val="132"/>
        </w:numPr>
        <w:tabs>
          <w:tab w:val="num" w:pos="709"/>
          <w:tab w:val="num" w:pos="2069"/>
        </w:tabs>
        <w:spacing w:before="120" w:after="120" w:line="240" w:lineRule="auto"/>
        <w:ind w:left="851" w:hanging="425"/>
        <w:jc w:val="both"/>
        <w:rPr>
          <w:rFonts w:ascii="Times New Roman" w:eastAsia="Times New Roman" w:hAnsi="Times New Roman" w:cs="Times New Roman"/>
          <w:bCs/>
        </w:rPr>
      </w:pPr>
      <w:r>
        <w:rPr>
          <w:rFonts w:ascii="Times New Roman" w:hAnsi="Times New Roman" w:cs="Times New Roman"/>
        </w:rPr>
        <w:t>Az ismeret átadásában alkalmazandó további sajátos módok, jellemzők: a tantárgy, jellegénél fogva, tréning módszerrel kerül oktatásra. A módszer maximum 25 fő hallgató / 1 fő oktató arányt igényel.</w:t>
      </w:r>
    </w:p>
    <w:p w:rsidR="004E1940" w:rsidRDefault="004E1940" w:rsidP="00C14833">
      <w:pPr>
        <w:widowControl w:val="0"/>
        <w:numPr>
          <w:ilvl w:val="0"/>
          <w:numId w:val="132"/>
        </w:numPr>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A tantárgy szakmai tartalma (magyarul): </w:t>
      </w:r>
    </w:p>
    <w:p w:rsidR="004E1940" w:rsidRDefault="004E1940" w:rsidP="004E1940">
      <w:pPr>
        <w:widowControl w:val="0"/>
        <w:spacing w:before="120" w:after="120" w:line="240" w:lineRule="auto"/>
        <w:ind w:left="426"/>
        <w:jc w:val="both"/>
        <w:rPr>
          <w:rFonts w:ascii="Times New Roman" w:eastAsia="Times New Roman" w:hAnsi="Times New Roman" w:cs="Times New Roman"/>
          <w:bCs/>
        </w:rPr>
      </w:pPr>
      <w:r>
        <w:rPr>
          <w:rFonts w:ascii="Times New Roman" w:eastAsia="Times New Roman" w:hAnsi="Times New Roman" w:cs="Times New Roman"/>
          <w:bCs/>
        </w:rPr>
        <w:t>Az elméleti képzés során megismert vezetői szerepek gyakorlása. A csoportos és egyéni döntések kialakításának gyakorlása. Jártasságszerzés a szervezési feladatok megoldásában, az alárendeltek együttműködésének kialakításában, a csoportmunka irányításában. Magabiztos és határozott, valamint tiszteletet sugárzó katonai vezetői attitűd kialakítása. Személyes fejlesztési terv kidolgozása, törekvés az önmegvalósításra, a motiváció alapjai, hatékony motivációs eszközök megismerése. A személyes és a közösségi (majdani alakulat) célok, követelmények összehangolási képességének fejlesztése. Különleges helyzetek típusai a katonai vezetői munkában és ezekben való személyes megfelelés. Kommunikációs gyakorlatok különleges helyzetekben, alá-, fölé-, és mellérendelt viszonyban. Önérvényesítés, hatékony önérvényesítő magatartásformák. A beosztotti bizalom elnyerésének technikája. A csapat működése, a hatékony csapatmunka elősegítéséhez szükséges parancsnoki viselkedés megismerése, az interperszonális hatékonyság növelése. A tiszti pályához elengedhetetlen etikai, morális alapkérdések felvetése, megvitatása. Katonai karrierépítés, önmenedzselés személyre szabott módszerei. Az egyéni felelősségvállalás fejlesztése.</w:t>
      </w:r>
    </w:p>
    <w:p w:rsidR="004E1940" w:rsidRDefault="004E1940" w:rsidP="004E1940">
      <w:pPr>
        <w:widowControl w:val="0"/>
        <w:spacing w:before="120" w:after="120" w:line="240" w:lineRule="auto"/>
        <w:ind w:left="426"/>
        <w:jc w:val="both"/>
        <w:rPr>
          <w:rFonts w:ascii="Times New Roman" w:eastAsia="Times New Roman" w:hAnsi="Times New Roman" w:cs="Times New Roman"/>
          <w:b/>
          <w:bCs/>
          <w:lang w:val="en-AU"/>
        </w:rPr>
      </w:pPr>
      <w:r>
        <w:rPr>
          <w:rFonts w:ascii="Times New Roman" w:eastAsia="Times New Roman" w:hAnsi="Times New Roman" w:cs="Times New Roman"/>
          <w:b/>
          <w:bCs/>
          <w:lang w:val="en-AU"/>
        </w:rPr>
        <w:t xml:space="preserve">Course description (The content of the training): </w:t>
      </w:r>
    </w:p>
    <w:p w:rsidR="004E1940" w:rsidRDefault="004E1940" w:rsidP="004E1940">
      <w:pPr>
        <w:widowControl w:val="0"/>
        <w:spacing w:before="120" w:after="120" w:line="240" w:lineRule="auto"/>
        <w:ind w:left="426"/>
        <w:jc w:val="both"/>
        <w:rPr>
          <w:rFonts w:ascii="Times New Roman" w:eastAsia="Times New Roman" w:hAnsi="Times New Roman" w:cs="Times New Roman"/>
          <w:bCs/>
          <w:lang w:val="en-AU"/>
        </w:rPr>
      </w:pPr>
      <w:r>
        <w:rPr>
          <w:rFonts w:ascii="Times New Roman" w:eastAsia="Times New Roman" w:hAnsi="Times New Roman" w:cs="Times New Roman"/>
          <w:bCs/>
          <w:lang w:val="en-AU"/>
        </w:rPr>
        <w:t xml:space="preserve">Practicing leadership roles, which were introduced earlier, during the theoretical education. Practicing decision making in groups and individually. Acquiring skills in solving organizational tasks, developing cooperation between subordinates and managing teamwork. Developing a confident, resolute and respectful military leadership attitude. Developing a personal progress plan, striving for self-actualization, and starting to use basics motivational tools. Development of </w:t>
      </w:r>
      <w:r>
        <w:rPr>
          <w:rFonts w:ascii="Times New Roman" w:eastAsia="Times New Roman" w:hAnsi="Times New Roman" w:cs="Times New Roman"/>
          <w:bCs/>
          <w:lang w:val="en-AU"/>
        </w:rPr>
        <w:lastRenderedPageBreak/>
        <w:t>the ability to reconcile personal and community (future unit) goals and requirements. Learning usual types of special situations in military leadership and developing adaptive behavioural responses with communication exercises based on organizational hierarchical relationships. Learning self-efficiency and assertive communication. Methods for gaining the subordinates' trust. Understanding the practical meaning of teamwork and developing skills to increase interpersonal effectiveness. Raising and discussing basic ethical and moral issues for the professional military officer's career. Personalized methods of military career building and self-management. Increasing individual responsibility.</w:t>
      </w:r>
    </w:p>
    <w:p w:rsidR="004E1940" w:rsidRDefault="004E1940" w:rsidP="00C14833">
      <w:pPr>
        <w:widowControl w:val="0"/>
        <w:numPr>
          <w:ilvl w:val="0"/>
          <w:numId w:val="132"/>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Elérendő kompetenciák (magyarul): </w:t>
      </w:r>
    </w:p>
    <w:p w:rsidR="004E1940" w:rsidRDefault="004E1940" w:rsidP="004E1940">
      <w:pPr>
        <w:widowControl w:val="0"/>
        <w:spacing w:before="120" w:after="120" w:line="240" w:lineRule="auto"/>
        <w:ind w:left="426"/>
        <w:jc w:val="both"/>
        <w:rPr>
          <w:rFonts w:ascii="Times New Roman" w:eastAsia="Times New Roman" w:hAnsi="Times New Roman" w:cs="Times New Roman"/>
          <w:bCs/>
        </w:rPr>
      </w:pPr>
      <w:r>
        <w:rPr>
          <w:rFonts w:ascii="Times New Roman" w:eastAsia="Times New Roman" w:hAnsi="Times New Roman" w:cs="Times New Roman"/>
          <w:b/>
          <w:bCs/>
        </w:rPr>
        <w:t>Tudása:</w:t>
      </w:r>
      <w:r>
        <w:rPr>
          <w:rFonts w:ascii="Times New Roman" w:eastAsia="Times New Roman" w:hAnsi="Times New Roman" w:cs="Times New Roman"/>
          <w:bCs/>
        </w:rPr>
        <w:t xml:space="preserve"> </w:t>
      </w:r>
    </w:p>
    <w:p w:rsidR="004E1940" w:rsidRDefault="004E1940" w:rsidP="00C14833">
      <w:pPr>
        <w:pStyle w:val="Listaszerbekezds"/>
        <w:widowControl w:val="0"/>
        <w:numPr>
          <w:ilvl w:val="0"/>
          <w:numId w:val="128"/>
        </w:numPr>
        <w:spacing w:before="120" w:after="120" w:line="240" w:lineRule="auto"/>
        <w:jc w:val="both"/>
        <w:rPr>
          <w:rFonts w:ascii="Times New Roman" w:eastAsia="Times New Roman" w:hAnsi="Times New Roman" w:cs="Times New Roman"/>
          <w:bCs/>
        </w:rPr>
      </w:pPr>
      <w:r>
        <w:rPr>
          <w:rFonts w:ascii="Times New Roman" w:eastAsia="Times New Roman" w:hAnsi="Times New Roman" w:cs="Times New Roman"/>
          <w:bCs/>
        </w:rPr>
        <w:t>Átfogóan ismeri a korszerű teljesítményértékelési és a beosztottakat motiváló eljárásokat. Valamint tisztában van a:</w:t>
      </w:r>
    </w:p>
    <w:p w:rsidR="004E1940" w:rsidRDefault="004E1940" w:rsidP="00C14833">
      <w:pPr>
        <w:widowControl w:val="0"/>
        <w:numPr>
          <w:ilvl w:val="0"/>
          <w:numId w:val="129"/>
        </w:numPr>
        <w:tabs>
          <w:tab w:val="right" w:pos="900"/>
          <w:tab w:val="center" w:pos="4536"/>
          <w:tab w:val="right" w:pos="9071"/>
        </w:tabs>
        <w:spacing w:after="0" w:line="240" w:lineRule="auto"/>
        <w:ind w:left="1361" w:hanging="357"/>
        <w:contextualSpacing/>
        <w:jc w:val="both"/>
        <w:rPr>
          <w:rFonts w:ascii="Times New Roman" w:eastAsia="Times New Roman" w:hAnsi="Times New Roman" w:cs="Times New Roman"/>
          <w:color w:val="000000"/>
          <w:lang w:eastAsia="hu-HU"/>
        </w:rPr>
      </w:pPr>
      <w:r>
        <w:rPr>
          <w:rFonts w:ascii="Times New Roman" w:eastAsia="Times New Roman" w:hAnsi="Times New Roman" w:cs="Times New Roman"/>
          <w:color w:val="000000"/>
          <w:lang w:eastAsia="hu-HU"/>
        </w:rPr>
        <w:t>kompetencia fogalmával;</w:t>
      </w:r>
    </w:p>
    <w:p w:rsidR="004E1940" w:rsidRDefault="004E1940" w:rsidP="00C14833">
      <w:pPr>
        <w:widowControl w:val="0"/>
        <w:numPr>
          <w:ilvl w:val="0"/>
          <w:numId w:val="129"/>
        </w:numPr>
        <w:tabs>
          <w:tab w:val="right" w:pos="900"/>
          <w:tab w:val="center" w:pos="4536"/>
          <w:tab w:val="right" w:pos="9071"/>
        </w:tabs>
        <w:spacing w:after="0" w:line="240" w:lineRule="auto"/>
        <w:ind w:left="1361" w:hanging="357"/>
        <w:contextualSpacing/>
        <w:jc w:val="both"/>
        <w:rPr>
          <w:rFonts w:ascii="Times New Roman" w:eastAsia="Times New Roman" w:hAnsi="Times New Roman" w:cs="Times New Roman"/>
          <w:color w:val="000000"/>
          <w:lang w:eastAsia="hu-HU"/>
        </w:rPr>
      </w:pPr>
      <w:r>
        <w:rPr>
          <w:rFonts w:ascii="Times New Roman" w:eastAsia="Times New Roman" w:hAnsi="Times New Roman" w:cs="Times New Roman"/>
          <w:color w:val="000000"/>
          <w:lang w:eastAsia="hu-HU"/>
        </w:rPr>
        <w:t>kompetencia alapú előmenetellel;</w:t>
      </w:r>
    </w:p>
    <w:p w:rsidR="004E1940" w:rsidRDefault="004E1940" w:rsidP="00C14833">
      <w:pPr>
        <w:widowControl w:val="0"/>
        <w:numPr>
          <w:ilvl w:val="0"/>
          <w:numId w:val="129"/>
        </w:numPr>
        <w:tabs>
          <w:tab w:val="right" w:pos="900"/>
          <w:tab w:val="center" w:pos="4536"/>
          <w:tab w:val="right" w:pos="9071"/>
        </w:tabs>
        <w:spacing w:after="0" w:line="240" w:lineRule="auto"/>
        <w:ind w:left="1361" w:hanging="357"/>
        <w:contextualSpacing/>
        <w:jc w:val="both"/>
        <w:rPr>
          <w:rFonts w:ascii="Times New Roman" w:eastAsia="Times New Roman" w:hAnsi="Times New Roman" w:cs="Times New Roman"/>
          <w:color w:val="000000"/>
          <w:lang w:eastAsia="hu-HU"/>
        </w:rPr>
      </w:pPr>
      <w:r>
        <w:rPr>
          <w:rFonts w:ascii="Times New Roman" w:eastAsia="Times New Roman" w:hAnsi="Times New Roman" w:cs="Times New Roman"/>
          <w:color w:val="000000"/>
          <w:lang w:eastAsia="hu-HU"/>
        </w:rPr>
        <w:t>pályaképpel, jövőképpel;</w:t>
      </w:r>
    </w:p>
    <w:p w:rsidR="004E1940" w:rsidRDefault="004E1940" w:rsidP="00C14833">
      <w:pPr>
        <w:widowControl w:val="0"/>
        <w:numPr>
          <w:ilvl w:val="0"/>
          <w:numId w:val="129"/>
        </w:numPr>
        <w:tabs>
          <w:tab w:val="right" w:pos="900"/>
          <w:tab w:val="center" w:pos="4536"/>
          <w:tab w:val="right" w:pos="9071"/>
        </w:tabs>
        <w:spacing w:after="0" w:line="240" w:lineRule="auto"/>
        <w:ind w:left="1361" w:hanging="357"/>
        <w:contextualSpacing/>
        <w:jc w:val="both"/>
        <w:rPr>
          <w:rFonts w:ascii="Times New Roman" w:eastAsia="Times New Roman" w:hAnsi="Times New Roman" w:cs="Times New Roman"/>
          <w:color w:val="000000"/>
          <w:lang w:eastAsia="hu-HU"/>
        </w:rPr>
      </w:pPr>
      <w:r>
        <w:rPr>
          <w:rFonts w:ascii="Times New Roman" w:eastAsia="Times New Roman" w:hAnsi="Times New Roman" w:cs="Times New Roman"/>
          <w:color w:val="000000"/>
          <w:lang w:eastAsia="hu-HU"/>
        </w:rPr>
        <w:t>vezetői kompetenciákkal;</w:t>
      </w:r>
    </w:p>
    <w:p w:rsidR="004E1940" w:rsidRDefault="004E1940" w:rsidP="00C14833">
      <w:pPr>
        <w:widowControl w:val="0"/>
        <w:numPr>
          <w:ilvl w:val="0"/>
          <w:numId w:val="129"/>
        </w:numPr>
        <w:tabs>
          <w:tab w:val="right" w:pos="900"/>
          <w:tab w:val="center" w:pos="4536"/>
          <w:tab w:val="right" w:pos="9071"/>
        </w:tabs>
        <w:spacing w:after="0" w:line="240" w:lineRule="auto"/>
        <w:ind w:left="1361" w:hanging="357"/>
        <w:contextualSpacing/>
        <w:jc w:val="both"/>
        <w:rPr>
          <w:rFonts w:ascii="Times New Roman" w:eastAsia="Times New Roman" w:hAnsi="Times New Roman" w:cs="Times New Roman"/>
          <w:color w:val="000000" w:themeColor="text1"/>
          <w:lang w:eastAsia="hu-HU"/>
        </w:rPr>
      </w:pPr>
      <w:r>
        <w:rPr>
          <w:rFonts w:ascii="Times New Roman" w:eastAsia="Times New Roman" w:hAnsi="Times New Roman" w:cs="Times New Roman"/>
          <w:color w:val="000000" w:themeColor="text1"/>
          <w:lang w:eastAsia="hu-HU"/>
        </w:rPr>
        <w:t>a döntési folyamatok mechanizmusaival.</w:t>
      </w:r>
    </w:p>
    <w:p w:rsidR="004E1940" w:rsidRDefault="004E1940" w:rsidP="004E1940">
      <w:pPr>
        <w:widowControl w:val="0"/>
        <w:spacing w:before="120" w:after="120" w:line="240" w:lineRule="auto"/>
        <w:ind w:left="426"/>
        <w:jc w:val="both"/>
        <w:rPr>
          <w:rFonts w:ascii="Times New Roman" w:eastAsia="Times New Roman" w:hAnsi="Times New Roman" w:cs="Times New Roman"/>
          <w:bCs/>
        </w:rPr>
      </w:pPr>
      <w:r>
        <w:rPr>
          <w:rFonts w:ascii="Times New Roman" w:eastAsia="Times New Roman" w:hAnsi="Times New Roman" w:cs="Times New Roman"/>
          <w:b/>
          <w:bCs/>
        </w:rPr>
        <w:t>Képességei:</w:t>
      </w:r>
      <w:r>
        <w:rPr>
          <w:rFonts w:ascii="Times New Roman" w:eastAsia="Times New Roman" w:hAnsi="Times New Roman" w:cs="Times New Roman"/>
          <w:bCs/>
        </w:rPr>
        <w:t xml:space="preserve"> </w:t>
      </w:r>
    </w:p>
    <w:p w:rsidR="004E1940" w:rsidRDefault="004E1940" w:rsidP="00C14833">
      <w:pPr>
        <w:pStyle w:val="Listaszerbekezds"/>
        <w:widowControl w:val="0"/>
        <w:numPr>
          <w:ilvl w:val="0"/>
          <w:numId w:val="128"/>
        </w:numPr>
        <w:spacing w:before="120" w:after="120" w:line="240" w:lineRule="auto"/>
        <w:jc w:val="both"/>
        <w:rPr>
          <w:rFonts w:ascii="Times New Roman" w:eastAsia="Times New Roman" w:hAnsi="Times New Roman" w:cs="Times New Roman"/>
          <w:bCs/>
        </w:rPr>
      </w:pPr>
      <w:r>
        <w:rPr>
          <w:rFonts w:ascii="Times New Roman" w:eastAsia="Times New Roman" w:hAnsi="Times New Roman" w:cs="Times New Roman"/>
          <w:bCs/>
        </w:rPr>
        <w:t>Meghatározó módon rendelkezik a katonai alegység (szakasz) vezetésére alkalmas szakmai tudással. Ezeken kívül képes asszertív kommunikációra, feszültség kontrollra, és rendelkezik empatikus képességgel.</w:t>
      </w:r>
    </w:p>
    <w:p w:rsidR="004E1940" w:rsidRDefault="004E1940" w:rsidP="004E1940">
      <w:pPr>
        <w:widowControl w:val="0"/>
        <w:spacing w:before="120" w:after="120" w:line="240" w:lineRule="auto"/>
        <w:ind w:left="426"/>
        <w:jc w:val="both"/>
        <w:rPr>
          <w:rFonts w:ascii="Times New Roman" w:eastAsia="Times New Roman" w:hAnsi="Times New Roman" w:cs="Times New Roman"/>
          <w:bCs/>
        </w:rPr>
      </w:pPr>
      <w:r>
        <w:rPr>
          <w:rFonts w:ascii="Times New Roman" w:eastAsia="Times New Roman" w:hAnsi="Times New Roman" w:cs="Times New Roman"/>
          <w:b/>
          <w:bCs/>
        </w:rPr>
        <w:t>Attitűdje:</w:t>
      </w:r>
      <w:r>
        <w:rPr>
          <w:rFonts w:ascii="Times New Roman" w:eastAsia="Times New Roman" w:hAnsi="Times New Roman" w:cs="Times New Roman"/>
          <w:bCs/>
        </w:rPr>
        <w:t xml:space="preserve"> </w:t>
      </w:r>
    </w:p>
    <w:p w:rsidR="004E1940" w:rsidRDefault="004E1940" w:rsidP="00C14833">
      <w:pPr>
        <w:pStyle w:val="Listaszerbekezds"/>
        <w:widowControl w:val="0"/>
        <w:numPr>
          <w:ilvl w:val="0"/>
          <w:numId w:val="128"/>
        </w:numPr>
        <w:spacing w:before="120" w:after="120" w:line="240" w:lineRule="auto"/>
        <w:jc w:val="both"/>
        <w:rPr>
          <w:rFonts w:ascii="Times New Roman" w:eastAsia="Times New Roman" w:hAnsi="Times New Roman" w:cs="Times New Roman"/>
          <w:bCs/>
        </w:rPr>
      </w:pPr>
      <w:r>
        <w:rPr>
          <w:rFonts w:ascii="Times New Roman" w:eastAsia="Times New Roman" w:hAnsi="Times New Roman" w:cs="Times New Roman"/>
          <w:bCs/>
        </w:rPr>
        <w:t>Nyitott a képesítésével, szakterületével kapcsolatos szakmai, technológiai, fejlesztési eredmények megismerésére, befogadására, és törekszik saját tudásának megosztására.</w:t>
      </w:r>
    </w:p>
    <w:p w:rsidR="004E1940" w:rsidRDefault="004E1940" w:rsidP="00C14833">
      <w:pPr>
        <w:pStyle w:val="Listaszerbekezds"/>
        <w:widowControl w:val="0"/>
        <w:numPr>
          <w:ilvl w:val="0"/>
          <w:numId w:val="128"/>
        </w:numPr>
        <w:spacing w:before="120" w:after="120" w:line="240" w:lineRule="auto"/>
        <w:jc w:val="both"/>
        <w:rPr>
          <w:rFonts w:ascii="Times New Roman" w:eastAsia="Times New Roman" w:hAnsi="Times New Roman" w:cs="Times New Roman"/>
          <w:bCs/>
        </w:rPr>
      </w:pPr>
      <w:r>
        <w:rPr>
          <w:rFonts w:ascii="Times New Roman" w:eastAsia="Times New Roman" w:hAnsi="Times New Roman" w:cs="Times New Roman"/>
          <w:bCs/>
        </w:rPr>
        <w:t>Érdeklődő a szakterülettel összefüggő új módszerek és eszközök iránt. Megérti az élethosszig tartó tanulás jelentőségét, törekszik ennek megvalósítására, a folyamatos szakmai képzésre és általános önképzésre. Ezeken felül rendelkezik problémaközpontú megoldásmóddal.</w:t>
      </w:r>
    </w:p>
    <w:p w:rsidR="004E1940" w:rsidRDefault="004E1940" w:rsidP="004E1940">
      <w:pPr>
        <w:widowControl w:val="0"/>
        <w:spacing w:before="120" w:after="120" w:line="240" w:lineRule="auto"/>
        <w:ind w:left="426"/>
        <w:jc w:val="both"/>
        <w:rPr>
          <w:rFonts w:ascii="Times New Roman" w:eastAsia="Times New Roman" w:hAnsi="Times New Roman" w:cs="Times New Roman"/>
          <w:bCs/>
        </w:rPr>
      </w:pPr>
      <w:r>
        <w:rPr>
          <w:rFonts w:ascii="Times New Roman" w:eastAsia="Times New Roman" w:hAnsi="Times New Roman" w:cs="Times New Roman"/>
          <w:b/>
          <w:bCs/>
        </w:rPr>
        <w:t>Autonómiája és felelőssége:</w:t>
      </w:r>
      <w:r>
        <w:rPr>
          <w:rFonts w:ascii="Times New Roman" w:eastAsia="Times New Roman" w:hAnsi="Times New Roman" w:cs="Times New Roman"/>
          <w:bCs/>
        </w:rPr>
        <w:t xml:space="preserve"> </w:t>
      </w:r>
    </w:p>
    <w:p w:rsidR="004E1940" w:rsidRDefault="004E1940" w:rsidP="00C14833">
      <w:pPr>
        <w:pStyle w:val="Listaszerbekezds"/>
        <w:widowControl w:val="0"/>
        <w:numPr>
          <w:ilvl w:val="0"/>
          <w:numId w:val="128"/>
        </w:numPr>
        <w:spacing w:before="120" w:after="12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Beosztásából adódó önállósággal végzi az általános és speciális szakmai kérdések végig gondolását és adott tényezők és körülmények alapján történő kidolgozását, amely során széles látókörére, általános és szakmai műveltségére, valamint problémafelismerő és megoldó készségére támaszkodik. </w:t>
      </w:r>
    </w:p>
    <w:p w:rsidR="004E1940" w:rsidRDefault="004E1940" w:rsidP="00C14833">
      <w:pPr>
        <w:pStyle w:val="Listaszerbekezds"/>
        <w:widowControl w:val="0"/>
        <w:numPr>
          <w:ilvl w:val="0"/>
          <w:numId w:val="128"/>
        </w:numPr>
        <w:spacing w:before="120" w:after="12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Beosztásában, felelősségi és jogköréből adódóan önállóan tervezi és végzi szakmai tevékenységét. </w:t>
      </w:r>
    </w:p>
    <w:p w:rsidR="004E1940" w:rsidRDefault="004E1940" w:rsidP="00C14833">
      <w:pPr>
        <w:pStyle w:val="Listaszerbekezds"/>
        <w:widowControl w:val="0"/>
        <w:numPr>
          <w:ilvl w:val="0"/>
          <w:numId w:val="128"/>
        </w:numPr>
        <w:spacing w:before="120" w:after="12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Beosztásából adódóan a célok elérése érdekében autonóm módon vagy a csoport többi tagjával együttműködve mozgósítja elméleti és gyakorlati tudását, képességeit. </w:t>
      </w:r>
    </w:p>
    <w:p w:rsidR="004E1940" w:rsidRDefault="004E1940" w:rsidP="00C14833">
      <w:pPr>
        <w:pStyle w:val="Listaszerbekezds"/>
        <w:widowControl w:val="0"/>
        <w:numPr>
          <w:ilvl w:val="0"/>
          <w:numId w:val="128"/>
        </w:numPr>
        <w:spacing w:before="120" w:after="12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Szakmai véleményét döntési helyzetekben önállóan képviseli. </w:t>
      </w:r>
    </w:p>
    <w:p w:rsidR="004E1940" w:rsidRDefault="004E1940" w:rsidP="004E1940">
      <w:pPr>
        <w:widowControl w:val="0"/>
        <w:spacing w:before="120" w:after="120" w:line="240" w:lineRule="auto"/>
        <w:ind w:left="426"/>
        <w:jc w:val="both"/>
        <w:rPr>
          <w:rFonts w:ascii="Times New Roman" w:eastAsia="Times New Roman" w:hAnsi="Times New Roman" w:cs="Times New Roman"/>
          <w:b/>
          <w:bCs/>
          <w:lang w:val="en-AU"/>
        </w:rPr>
      </w:pPr>
      <w:r>
        <w:rPr>
          <w:rFonts w:ascii="Times New Roman" w:eastAsia="Times New Roman" w:hAnsi="Times New Roman" w:cs="Times New Roman"/>
          <w:b/>
          <w:bCs/>
        </w:rPr>
        <w:t>Elérendő kompetenciák (angolul) (</w:t>
      </w:r>
      <w:r>
        <w:rPr>
          <w:rFonts w:ascii="Times New Roman" w:eastAsia="Times New Roman" w:hAnsi="Times New Roman" w:cs="Times New Roman"/>
          <w:b/>
          <w:bCs/>
          <w:lang w:val="en-AU"/>
        </w:rPr>
        <w:t xml:space="preserve">Competences – English): </w:t>
      </w:r>
    </w:p>
    <w:p w:rsidR="004E1940" w:rsidRDefault="004E1940" w:rsidP="004E1940">
      <w:pPr>
        <w:widowControl w:val="0"/>
        <w:spacing w:before="120" w:after="120" w:line="240" w:lineRule="auto"/>
        <w:ind w:left="426"/>
        <w:jc w:val="both"/>
        <w:rPr>
          <w:rFonts w:ascii="Times New Roman" w:eastAsia="Times New Roman" w:hAnsi="Times New Roman" w:cs="Times New Roman"/>
          <w:lang w:val="en-AU"/>
        </w:rPr>
      </w:pPr>
      <w:r>
        <w:rPr>
          <w:rFonts w:ascii="Times New Roman" w:eastAsia="Times New Roman" w:hAnsi="Times New Roman" w:cs="Times New Roman"/>
          <w:b/>
          <w:lang w:val="en-AU"/>
        </w:rPr>
        <w:t>Knowledge</w:t>
      </w:r>
      <w:r>
        <w:rPr>
          <w:rFonts w:ascii="Times New Roman" w:eastAsia="Times New Roman" w:hAnsi="Times New Roman" w:cs="Times New Roman"/>
          <w:lang w:val="en-AU"/>
        </w:rPr>
        <w:t>:</w:t>
      </w:r>
    </w:p>
    <w:p w:rsidR="004E1940" w:rsidRDefault="004E1940" w:rsidP="00C14833">
      <w:pPr>
        <w:pStyle w:val="Listaszerbekezds"/>
        <w:widowControl w:val="0"/>
        <w:numPr>
          <w:ilvl w:val="0"/>
          <w:numId w:val="128"/>
        </w:numPr>
        <w:spacing w:before="120" w:after="120" w:line="240" w:lineRule="auto"/>
        <w:jc w:val="both"/>
        <w:rPr>
          <w:rFonts w:ascii="Times New Roman" w:eastAsia="Times New Roman" w:hAnsi="Times New Roman" w:cs="Times New Roman"/>
          <w:bCs/>
          <w:lang w:val="en-AU"/>
        </w:rPr>
      </w:pPr>
      <w:r>
        <w:rPr>
          <w:rFonts w:ascii="Times New Roman" w:eastAsia="Times New Roman" w:hAnsi="Times New Roman" w:cs="Times New Roman"/>
          <w:bCs/>
          <w:lang w:val="en-AU"/>
        </w:rPr>
        <w:t xml:space="preserve">Advanced knowledge on the field of performance evaluation and work motivation procedures. Also aware of: </w:t>
      </w:r>
    </w:p>
    <w:p w:rsidR="004E1940" w:rsidRDefault="004E1940" w:rsidP="00C14833">
      <w:pPr>
        <w:widowControl w:val="0"/>
        <w:numPr>
          <w:ilvl w:val="0"/>
          <w:numId w:val="129"/>
        </w:numPr>
        <w:tabs>
          <w:tab w:val="right" w:pos="900"/>
          <w:tab w:val="center" w:pos="4536"/>
          <w:tab w:val="right" w:pos="9071"/>
        </w:tabs>
        <w:spacing w:after="0" w:line="240" w:lineRule="auto"/>
        <w:ind w:left="1361" w:hanging="357"/>
        <w:contextualSpacing/>
        <w:jc w:val="both"/>
        <w:rPr>
          <w:rFonts w:ascii="Times New Roman" w:eastAsia="Times New Roman" w:hAnsi="Times New Roman" w:cs="Times New Roman"/>
          <w:color w:val="000000"/>
          <w:lang w:val="en-AU" w:eastAsia="hu-HU"/>
        </w:rPr>
      </w:pPr>
      <w:r>
        <w:rPr>
          <w:rFonts w:ascii="Times New Roman" w:eastAsia="Times New Roman" w:hAnsi="Times New Roman" w:cs="Times New Roman"/>
          <w:color w:val="000000"/>
          <w:lang w:val="en-AU" w:eastAsia="hu-HU"/>
        </w:rPr>
        <w:t>the concept of competence;</w:t>
      </w:r>
    </w:p>
    <w:p w:rsidR="004E1940" w:rsidRDefault="004E1940" w:rsidP="00C14833">
      <w:pPr>
        <w:widowControl w:val="0"/>
        <w:numPr>
          <w:ilvl w:val="0"/>
          <w:numId w:val="129"/>
        </w:numPr>
        <w:tabs>
          <w:tab w:val="right" w:pos="900"/>
          <w:tab w:val="center" w:pos="4536"/>
          <w:tab w:val="right" w:pos="9071"/>
        </w:tabs>
        <w:spacing w:after="0" w:line="240" w:lineRule="auto"/>
        <w:ind w:left="1361" w:hanging="357"/>
        <w:contextualSpacing/>
        <w:jc w:val="both"/>
        <w:rPr>
          <w:rFonts w:ascii="Times New Roman" w:eastAsia="Times New Roman" w:hAnsi="Times New Roman" w:cs="Times New Roman"/>
          <w:color w:val="000000"/>
          <w:lang w:val="en-AU" w:eastAsia="hu-HU"/>
        </w:rPr>
      </w:pPr>
      <w:r>
        <w:rPr>
          <w:rFonts w:ascii="Times New Roman" w:eastAsia="Times New Roman" w:hAnsi="Times New Roman" w:cs="Times New Roman"/>
          <w:color w:val="000000"/>
          <w:lang w:val="en-AU" w:eastAsia="hu-HU"/>
        </w:rPr>
        <w:t>competence-based advancement;</w:t>
      </w:r>
    </w:p>
    <w:p w:rsidR="004E1940" w:rsidRDefault="004E1940" w:rsidP="00C14833">
      <w:pPr>
        <w:widowControl w:val="0"/>
        <w:numPr>
          <w:ilvl w:val="0"/>
          <w:numId w:val="129"/>
        </w:numPr>
        <w:tabs>
          <w:tab w:val="right" w:pos="900"/>
          <w:tab w:val="center" w:pos="4536"/>
          <w:tab w:val="right" w:pos="9071"/>
        </w:tabs>
        <w:spacing w:after="0" w:line="240" w:lineRule="auto"/>
        <w:ind w:left="1361" w:hanging="357"/>
        <w:contextualSpacing/>
        <w:jc w:val="both"/>
        <w:rPr>
          <w:rFonts w:ascii="Times New Roman" w:eastAsia="Times New Roman" w:hAnsi="Times New Roman" w:cs="Times New Roman"/>
          <w:color w:val="000000"/>
          <w:lang w:val="en-AU" w:eastAsia="hu-HU"/>
        </w:rPr>
      </w:pPr>
      <w:r>
        <w:rPr>
          <w:rFonts w:ascii="Times New Roman" w:eastAsia="Times New Roman" w:hAnsi="Times New Roman" w:cs="Times New Roman"/>
          <w:color w:val="000000"/>
          <w:lang w:val="en-AU" w:eastAsia="hu-HU"/>
        </w:rPr>
        <w:t>career plans, vision;</w:t>
      </w:r>
    </w:p>
    <w:p w:rsidR="004E1940" w:rsidRDefault="004E1940" w:rsidP="00C14833">
      <w:pPr>
        <w:widowControl w:val="0"/>
        <w:numPr>
          <w:ilvl w:val="0"/>
          <w:numId w:val="129"/>
        </w:numPr>
        <w:tabs>
          <w:tab w:val="right" w:pos="900"/>
          <w:tab w:val="center" w:pos="4536"/>
          <w:tab w:val="right" w:pos="9071"/>
        </w:tabs>
        <w:spacing w:after="0" w:line="240" w:lineRule="auto"/>
        <w:ind w:left="1361" w:hanging="357"/>
        <w:contextualSpacing/>
        <w:jc w:val="both"/>
        <w:rPr>
          <w:rFonts w:ascii="Times New Roman" w:eastAsia="Times New Roman" w:hAnsi="Times New Roman" w:cs="Times New Roman"/>
          <w:color w:val="000000"/>
          <w:lang w:val="en-AU" w:eastAsia="hu-HU"/>
        </w:rPr>
      </w:pPr>
      <w:r>
        <w:rPr>
          <w:rFonts w:ascii="Times New Roman" w:eastAsia="Times New Roman" w:hAnsi="Times New Roman" w:cs="Times New Roman"/>
          <w:color w:val="000000"/>
          <w:lang w:val="en-AU" w:eastAsia="hu-HU"/>
        </w:rPr>
        <w:t>management competencies;</w:t>
      </w:r>
    </w:p>
    <w:p w:rsidR="004E1940" w:rsidRDefault="004E1940" w:rsidP="00C14833">
      <w:pPr>
        <w:widowControl w:val="0"/>
        <w:numPr>
          <w:ilvl w:val="0"/>
          <w:numId w:val="129"/>
        </w:numPr>
        <w:tabs>
          <w:tab w:val="right" w:pos="900"/>
          <w:tab w:val="center" w:pos="4536"/>
          <w:tab w:val="right" w:pos="9071"/>
        </w:tabs>
        <w:spacing w:after="0" w:line="240" w:lineRule="auto"/>
        <w:ind w:left="1361" w:hanging="357"/>
        <w:contextualSpacing/>
        <w:jc w:val="both"/>
        <w:rPr>
          <w:rFonts w:ascii="Times New Roman" w:eastAsia="Times New Roman" w:hAnsi="Times New Roman" w:cs="Times New Roman"/>
          <w:color w:val="000000"/>
          <w:lang w:val="en-AU" w:eastAsia="hu-HU"/>
        </w:rPr>
      </w:pPr>
      <w:r>
        <w:rPr>
          <w:rFonts w:ascii="Times New Roman" w:eastAsia="Times New Roman" w:hAnsi="Times New Roman" w:cs="Times New Roman"/>
          <w:color w:val="000000"/>
          <w:lang w:val="en-AU" w:eastAsia="hu-HU"/>
        </w:rPr>
        <w:t>decision making mechanisms.</w:t>
      </w:r>
    </w:p>
    <w:p w:rsidR="004E1940" w:rsidRDefault="004E1940" w:rsidP="004E1940">
      <w:pPr>
        <w:widowControl w:val="0"/>
        <w:spacing w:before="120" w:after="120" w:line="240" w:lineRule="auto"/>
        <w:ind w:left="426"/>
        <w:jc w:val="both"/>
        <w:rPr>
          <w:rFonts w:ascii="Times New Roman" w:eastAsia="Times New Roman" w:hAnsi="Times New Roman" w:cs="Times New Roman"/>
          <w:b/>
          <w:lang w:val="en-GB"/>
        </w:rPr>
      </w:pPr>
    </w:p>
    <w:p w:rsidR="004E1940" w:rsidRDefault="004E1940" w:rsidP="004E1940">
      <w:pPr>
        <w:widowControl w:val="0"/>
        <w:spacing w:before="120" w:after="120" w:line="240" w:lineRule="auto"/>
        <w:ind w:left="426" w:firstLine="282"/>
        <w:jc w:val="both"/>
        <w:rPr>
          <w:rFonts w:ascii="Times New Roman" w:eastAsia="Times New Roman" w:hAnsi="Times New Roman" w:cs="Times New Roman"/>
          <w:lang w:val="en-GB"/>
        </w:rPr>
      </w:pPr>
      <w:r>
        <w:rPr>
          <w:rFonts w:ascii="Times New Roman" w:eastAsia="Times New Roman" w:hAnsi="Times New Roman" w:cs="Times New Roman"/>
          <w:b/>
          <w:lang w:val="en-GB"/>
        </w:rPr>
        <w:lastRenderedPageBreak/>
        <w:t>Capabilities</w:t>
      </w:r>
      <w:r>
        <w:rPr>
          <w:rFonts w:ascii="Times New Roman" w:eastAsia="Times New Roman" w:hAnsi="Times New Roman" w:cs="Times New Roman"/>
          <w:lang w:val="en-GB"/>
        </w:rPr>
        <w:t xml:space="preserve">: </w:t>
      </w:r>
    </w:p>
    <w:p w:rsidR="004E1940" w:rsidRDefault="004E1940" w:rsidP="00C14833">
      <w:pPr>
        <w:pStyle w:val="Listaszerbekezds"/>
        <w:widowControl w:val="0"/>
        <w:numPr>
          <w:ilvl w:val="0"/>
          <w:numId w:val="128"/>
        </w:numPr>
        <w:spacing w:before="120" w:after="120" w:line="240" w:lineRule="auto"/>
        <w:jc w:val="both"/>
        <w:rPr>
          <w:rFonts w:ascii="Times New Roman" w:eastAsia="Times New Roman" w:hAnsi="Times New Roman" w:cs="Times New Roman"/>
          <w:bCs/>
          <w:lang w:val="en-AU"/>
        </w:rPr>
      </w:pPr>
      <w:r>
        <w:rPr>
          <w:rFonts w:ascii="Times New Roman" w:eastAsia="Times New Roman" w:hAnsi="Times New Roman" w:cs="Times New Roman"/>
          <w:bCs/>
          <w:lang w:val="en-AU"/>
        </w:rPr>
        <w:t xml:space="preserve">Advanced competencies in military leadership to lead troops successfully with professional leadership tools. The capability of assertive communication, stress control, and empathy. </w:t>
      </w:r>
    </w:p>
    <w:p w:rsidR="004E1940" w:rsidRDefault="004E1940" w:rsidP="004E19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lang w:val="en-AU"/>
        </w:rPr>
      </w:pPr>
      <w:r>
        <w:rPr>
          <w:rFonts w:ascii="Times New Roman" w:eastAsia="Times New Roman" w:hAnsi="Times New Roman" w:cs="Times New Roman"/>
          <w:b/>
          <w:lang w:val="en-AU"/>
        </w:rPr>
        <w:t>Attitude:</w:t>
      </w:r>
      <w:r>
        <w:rPr>
          <w:rFonts w:ascii="Times New Roman" w:eastAsia="Times New Roman" w:hAnsi="Times New Roman" w:cs="Times New Roman"/>
          <w:lang w:val="en-AU"/>
        </w:rPr>
        <w:t xml:space="preserve"> </w:t>
      </w:r>
    </w:p>
    <w:p w:rsidR="004E1940" w:rsidRDefault="004E1940" w:rsidP="00C14833">
      <w:pPr>
        <w:pStyle w:val="Listaszerbekezds"/>
        <w:widowControl w:val="0"/>
        <w:numPr>
          <w:ilvl w:val="0"/>
          <w:numId w:val="128"/>
        </w:numPr>
        <w:spacing w:before="120" w:after="120" w:line="240" w:lineRule="auto"/>
        <w:jc w:val="both"/>
        <w:rPr>
          <w:rFonts w:ascii="Times New Roman" w:eastAsia="Times New Roman" w:hAnsi="Times New Roman" w:cs="Times New Roman"/>
          <w:bCs/>
          <w:lang w:val="en-AU"/>
        </w:rPr>
      </w:pPr>
      <w:r>
        <w:rPr>
          <w:rFonts w:ascii="Times New Roman" w:eastAsia="Times New Roman" w:hAnsi="Times New Roman" w:cs="Times New Roman"/>
          <w:bCs/>
          <w:lang w:val="en-AU"/>
        </w:rPr>
        <w:t xml:space="preserve">Open-minded attitude towards cognizing and accepting professional, technological and development results related to his/her qualification and field. </w:t>
      </w:r>
    </w:p>
    <w:p w:rsidR="004E1940" w:rsidRDefault="004E1940" w:rsidP="00C14833">
      <w:pPr>
        <w:pStyle w:val="Listaszerbekezds"/>
        <w:widowControl w:val="0"/>
        <w:numPr>
          <w:ilvl w:val="0"/>
          <w:numId w:val="128"/>
        </w:numPr>
        <w:spacing w:before="120" w:after="120" w:line="240" w:lineRule="auto"/>
        <w:jc w:val="both"/>
        <w:rPr>
          <w:rFonts w:ascii="Times New Roman" w:eastAsia="Times New Roman" w:hAnsi="Times New Roman" w:cs="Times New Roman"/>
          <w:bCs/>
          <w:lang w:val="en-AU"/>
        </w:rPr>
      </w:pPr>
      <w:r>
        <w:rPr>
          <w:rFonts w:ascii="Times New Roman" w:eastAsia="Times New Roman" w:hAnsi="Times New Roman" w:cs="Times New Roman"/>
          <w:bCs/>
          <w:lang w:val="en-AU"/>
        </w:rPr>
        <w:t xml:space="preserve">Strives to share his/her knowledge. </w:t>
      </w:r>
    </w:p>
    <w:p w:rsidR="004E1940" w:rsidRDefault="004E1940" w:rsidP="00C14833">
      <w:pPr>
        <w:pStyle w:val="Listaszerbekezds"/>
        <w:widowControl w:val="0"/>
        <w:numPr>
          <w:ilvl w:val="0"/>
          <w:numId w:val="128"/>
        </w:numPr>
        <w:spacing w:before="120" w:after="120" w:line="240" w:lineRule="auto"/>
        <w:jc w:val="both"/>
        <w:rPr>
          <w:rFonts w:ascii="Times New Roman" w:eastAsia="Times New Roman" w:hAnsi="Times New Roman" w:cs="Times New Roman"/>
          <w:bCs/>
          <w:lang w:val="en-AU"/>
        </w:rPr>
      </w:pPr>
      <w:r>
        <w:rPr>
          <w:rFonts w:ascii="Times New Roman" w:eastAsia="Times New Roman" w:hAnsi="Times New Roman" w:cs="Times New Roman"/>
          <w:bCs/>
          <w:lang w:val="en-AU"/>
        </w:rPr>
        <w:t xml:space="preserve">Interested in new methods and tools related to the field. </w:t>
      </w:r>
    </w:p>
    <w:p w:rsidR="004E1940" w:rsidRDefault="004E1940" w:rsidP="00C14833">
      <w:pPr>
        <w:pStyle w:val="Listaszerbekezds"/>
        <w:widowControl w:val="0"/>
        <w:numPr>
          <w:ilvl w:val="0"/>
          <w:numId w:val="128"/>
        </w:numPr>
        <w:spacing w:before="120" w:after="120" w:line="240" w:lineRule="auto"/>
        <w:jc w:val="both"/>
        <w:rPr>
          <w:rFonts w:ascii="Times New Roman" w:eastAsia="Times New Roman" w:hAnsi="Times New Roman" w:cs="Times New Roman"/>
          <w:bCs/>
          <w:lang w:val="en-AU"/>
        </w:rPr>
      </w:pPr>
      <w:r>
        <w:rPr>
          <w:rFonts w:ascii="Times New Roman" w:eastAsia="Times New Roman" w:hAnsi="Times New Roman" w:cs="Times New Roman"/>
          <w:bCs/>
          <w:lang w:val="en-AU"/>
        </w:rPr>
        <w:t xml:space="preserve">Understands the importance of lifelong learning, strives for realization, continuous vocational training and general self-education. </w:t>
      </w:r>
    </w:p>
    <w:p w:rsidR="004E1940" w:rsidRDefault="004E1940" w:rsidP="00C14833">
      <w:pPr>
        <w:pStyle w:val="Listaszerbekezds"/>
        <w:widowControl w:val="0"/>
        <w:numPr>
          <w:ilvl w:val="0"/>
          <w:numId w:val="128"/>
        </w:numPr>
        <w:spacing w:before="120" w:after="120" w:line="240" w:lineRule="auto"/>
        <w:jc w:val="both"/>
        <w:rPr>
          <w:rFonts w:ascii="Times New Roman" w:eastAsia="Times New Roman" w:hAnsi="Times New Roman" w:cs="Times New Roman"/>
          <w:bCs/>
          <w:lang w:val="en-AU"/>
        </w:rPr>
      </w:pPr>
      <w:r>
        <w:rPr>
          <w:rFonts w:ascii="Times New Roman" w:eastAsia="Times New Roman" w:hAnsi="Times New Roman" w:cs="Times New Roman"/>
          <w:bCs/>
          <w:lang w:val="en-AU"/>
        </w:rPr>
        <w:t>Starts to familiarize and use problem-focused solutions.</w:t>
      </w:r>
    </w:p>
    <w:p w:rsidR="004E1940" w:rsidRDefault="004E1940" w:rsidP="004E1940">
      <w:pPr>
        <w:widowControl w:val="0"/>
        <w:spacing w:before="120" w:after="120" w:line="240" w:lineRule="auto"/>
        <w:ind w:left="426"/>
        <w:jc w:val="both"/>
        <w:rPr>
          <w:rFonts w:ascii="Times New Roman" w:eastAsia="Times New Roman" w:hAnsi="Times New Roman" w:cs="Times New Roman"/>
          <w:lang w:val="en-GB"/>
        </w:rPr>
      </w:pPr>
      <w:r>
        <w:rPr>
          <w:rFonts w:ascii="Times New Roman" w:eastAsia="Times New Roman" w:hAnsi="Times New Roman" w:cs="Times New Roman"/>
          <w:b/>
          <w:lang w:val="en-GB"/>
        </w:rPr>
        <w:t xml:space="preserve">Autonomy and responsibility: </w:t>
      </w:r>
    </w:p>
    <w:p w:rsidR="004E1940" w:rsidRDefault="004E1940" w:rsidP="00C14833">
      <w:pPr>
        <w:pStyle w:val="Listaszerbekezds"/>
        <w:widowControl w:val="0"/>
        <w:numPr>
          <w:ilvl w:val="0"/>
          <w:numId w:val="128"/>
        </w:numPr>
        <w:spacing w:before="120" w:after="120" w:line="240" w:lineRule="auto"/>
        <w:jc w:val="both"/>
        <w:rPr>
          <w:rFonts w:ascii="Times New Roman" w:eastAsia="Times New Roman" w:hAnsi="Times New Roman" w:cs="Times New Roman"/>
          <w:bCs/>
          <w:lang w:val="en-AU"/>
        </w:rPr>
      </w:pPr>
      <w:r>
        <w:rPr>
          <w:rFonts w:ascii="Times New Roman" w:eastAsia="Times New Roman" w:hAnsi="Times New Roman" w:cs="Times New Roman"/>
          <w:bCs/>
          <w:lang w:val="en-AU"/>
        </w:rPr>
        <w:t xml:space="preserve">Autonomy in carrying out general and specific professional issues, developing basic methods considering specific factors and circumstances, relying on his/her general and professional literacy, and the ability to recognize and solve problems. </w:t>
      </w:r>
    </w:p>
    <w:p w:rsidR="004E1940" w:rsidRDefault="004E1940" w:rsidP="00C14833">
      <w:pPr>
        <w:pStyle w:val="Listaszerbekezds"/>
        <w:widowControl w:val="0"/>
        <w:numPr>
          <w:ilvl w:val="0"/>
          <w:numId w:val="128"/>
        </w:numPr>
        <w:spacing w:before="120" w:after="120" w:line="240" w:lineRule="auto"/>
        <w:jc w:val="both"/>
        <w:rPr>
          <w:rFonts w:ascii="Times New Roman" w:eastAsia="Times New Roman" w:hAnsi="Times New Roman" w:cs="Times New Roman"/>
          <w:bCs/>
          <w:lang w:val="en-AU"/>
        </w:rPr>
      </w:pPr>
      <w:r>
        <w:rPr>
          <w:rFonts w:ascii="Times New Roman" w:eastAsia="Times New Roman" w:hAnsi="Times New Roman" w:cs="Times New Roman"/>
          <w:bCs/>
          <w:lang w:val="en-AU"/>
        </w:rPr>
        <w:t xml:space="preserve">Responsible for planning and carrying out professional activities independently whether in a team or individually. </w:t>
      </w:r>
    </w:p>
    <w:p w:rsidR="004E1940" w:rsidRDefault="004E1940" w:rsidP="00C14833">
      <w:pPr>
        <w:pStyle w:val="Listaszerbekezds"/>
        <w:widowControl w:val="0"/>
        <w:numPr>
          <w:ilvl w:val="0"/>
          <w:numId w:val="128"/>
        </w:numPr>
        <w:spacing w:before="120" w:after="120" w:line="240" w:lineRule="auto"/>
        <w:jc w:val="both"/>
        <w:rPr>
          <w:rFonts w:ascii="Times New Roman" w:eastAsia="Times New Roman" w:hAnsi="Times New Roman" w:cs="Times New Roman"/>
          <w:bCs/>
          <w:lang w:val="en-AU"/>
        </w:rPr>
      </w:pPr>
      <w:r>
        <w:rPr>
          <w:rFonts w:ascii="Times New Roman" w:eastAsia="Times New Roman" w:hAnsi="Times New Roman" w:cs="Times New Roman"/>
          <w:bCs/>
          <w:lang w:val="en-AU"/>
        </w:rPr>
        <w:t xml:space="preserve">Mobilizes his/her own theoretical and practical knowledge and skills autonomously or in cooperation with other members of the group in order to achieve the main goals. </w:t>
      </w:r>
    </w:p>
    <w:p w:rsidR="004E1940" w:rsidRDefault="004E1940" w:rsidP="00C14833">
      <w:pPr>
        <w:pStyle w:val="Listaszerbekezds"/>
        <w:widowControl w:val="0"/>
        <w:numPr>
          <w:ilvl w:val="0"/>
          <w:numId w:val="128"/>
        </w:numPr>
        <w:spacing w:before="120" w:after="120" w:line="240" w:lineRule="auto"/>
        <w:jc w:val="both"/>
        <w:rPr>
          <w:rFonts w:ascii="Times New Roman" w:eastAsia="Times New Roman" w:hAnsi="Times New Roman" w:cs="Times New Roman"/>
          <w:bCs/>
          <w:lang w:val="en-AU"/>
        </w:rPr>
      </w:pPr>
      <w:r>
        <w:rPr>
          <w:rFonts w:ascii="Times New Roman" w:eastAsia="Times New Roman" w:hAnsi="Times New Roman" w:cs="Times New Roman"/>
          <w:bCs/>
          <w:lang w:val="en-AU"/>
        </w:rPr>
        <w:t>Acts for his/her professional opinion independently in decision-making situations.</w:t>
      </w:r>
    </w:p>
    <w:p w:rsidR="004E1940" w:rsidRDefault="004E1940" w:rsidP="00C14833">
      <w:pPr>
        <w:widowControl w:val="0"/>
        <w:numPr>
          <w:ilvl w:val="0"/>
          <w:numId w:val="132"/>
        </w:numPr>
        <w:tabs>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Előtanulmányi követelmények: </w:t>
      </w:r>
      <w:r>
        <w:rPr>
          <w:rFonts w:ascii="Times New Roman" w:eastAsia="Times New Roman" w:hAnsi="Times New Roman" w:cs="Times New Roman"/>
          <w:bCs/>
        </w:rPr>
        <w:t>nincs</w:t>
      </w:r>
    </w:p>
    <w:p w:rsidR="004E1940" w:rsidRDefault="004E1940" w:rsidP="00C14833">
      <w:pPr>
        <w:widowControl w:val="0"/>
        <w:numPr>
          <w:ilvl w:val="0"/>
          <w:numId w:val="132"/>
        </w:numPr>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A tantárgy tananyagának leírása, tematika. Description of the subject, curriculum (magyarul, angolul – English):</w:t>
      </w:r>
    </w:p>
    <w:p w:rsidR="004E1940" w:rsidRDefault="004E1940" w:rsidP="00C14833">
      <w:pPr>
        <w:widowControl w:val="0"/>
        <w:numPr>
          <w:ilvl w:val="1"/>
          <w:numId w:val="132"/>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rPr>
      </w:pPr>
      <w:r>
        <w:rPr>
          <w:rFonts w:ascii="Times New Roman" w:eastAsia="Times New Roman" w:hAnsi="Times New Roman" w:cs="Times New Roman"/>
        </w:rPr>
        <w:t xml:space="preserve">A katonai vezető szereppel szemben támasztott elméleti és gyakorlati követelmények </w:t>
      </w:r>
      <w:r>
        <w:rPr>
          <w:rFonts w:ascii="Times New Roman" w:eastAsia="Times New Roman" w:hAnsi="Times New Roman" w:cs="Times New Roman"/>
          <w:i/>
        </w:rPr>
        <w:t>(</w:t>
      </w:r>
      <w:r>
        <w:rPr>
          <w:rFonts w:ascii="Times New Roman" w:eastAsia="Times New Roman" w:hAnsi="Times New Roman" w:cs="Times New Roman"/>
          <w:i/>
          <w:lang w:val="en-AU"/>
        </w:rPr>
        <w:t>Theoretical and practical requirements for military leadership)</w:t>
      </w:r>
    </w:p>
    <w:p w:rsidR="004E1940" w:rsidRDefault="004E1940" w:rsidP="00C14833">
      <w:pPr>
        <w:widowControl w:val="0"/>
        <w:numPr>
          <w:ilvl w:val="1"/>
          <w:numId w:val="132"/>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i/>
          <w:lang w:val="en-AU"/>
        </w:rPr>
      </w:pPr>
      <w:r>
        <w:rPr>
          <w:rFonts w:ascii="Times New Roman" w:eastAsia="Times New Roman" w:hAnsi="Times New Roman" w:cs="Times New Roman"/>
          <w:bCs/>
        </w:rPr>
        <w:t xml:space="preserve">A csoportos és egyéni döntések kialakításának gyakorlása </w:t>
      </w:r>
      <w:r>
        <w:rPr>
          <w:rFonts w:ascii="Times New Roman" w:eastAsia="Times New Roman" w:hAnsi="Times New Roman" w:cs="Times New Roman"/>
          <w:bCs/>
          <w:i/>
        </w:rPr>
        <w:t>(</w:t>
      </w:r>
      <w:r>
        <w:rPr>
          <w:rFonts w:ascii="Times New Roman" w:eastAsia="Times New Roman" w:hAnsi="Times New Roman" w:cs="Times New Roman"/>
          <w:i/>
          <w:lang w:val="en-AU"/>
        </w:rPr>
        <w:t>Practicing group and individual decision making)</w:t>
      </w:r>
    </w:p>
    <w:p w:rsidR="004E1940" w:rsidRDefault="004E1940" w:rsidP="00C14833">
      <w:pPr>
        <w:widowControl w:val="0"/>
        <w:numPr>
          <w:ilvl w:val="1"/>
          <w:numId w:val="132"/>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rPr>
      </w:pPr>
      <w:r>
        <w:rPr>
          <w:rFonts w:ascii="Times New Roman" w:eastAsia="Times New Roman" w:hAnsi="Times New Roman" w:cs="Times New Roman"/>
          <w:lang w:eastAsia="hu-HU"/>
        </w:rPr>
        <w:t>Személyes fejlesztési terv kidolgozása, törekvés az önmegvalósításra, a motiváció alapjai, hatékony motivációs eszközök megismerése. Önérvényesítés, hatékony önérvényesítő magatartásformák</w:t>
      </w:r>
      <w:r>
        <w:rPr>
          <w:rFonts w:ascii="Times New Roman" w:eastAsia="Times New Roman" w:hAnsi="Times New Roman" w:cs="Times New Roman"/>
          <w:i/>
        </w:rPr>
        <w:t xml:space="preserve"> (</w:t>
      </w:r>
      <w:r>
        <w:rPr>
          <w:rFonts w:ascii="Times New Roman" w:eastAsia="Times New Roman" w:hAnsi="Times New Roman" w:cs="Times New Roman"/>
          <w:i/>
          <w:lang w:val="en-AU"/>
        </w:rPr>
        <w:t>Developing a personal progress plan, striving for self-actualization, basic knowledge about motivation and motivational tools. Self-efficiency, effective behavioural patterns achieving self-advocacy)</w:t>
      </w:r>
    </w:p>
    <w:p w:rsidR="004E1940" w:rsidRDefault="004E1940" w:rsidP="00C14833">
      <w:pPr>
        <w:widowControl w:val="0"/>
        <w:numPr>
          <w:ilvl w:val="1"/>
          <w:numId w:val="132"/>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rPr>
      </w:pPr>
      <w:r>
        <w:rPr>
          <w:rFonts w:ascii="Times New Roman" w:eastAsia="Times New Roman" w:hAnsi="Times New Roman" w:cs="Times New Roman"/>
          <w:lang w:eastAsia="hu-HU"/>
        </w:rPr>
        <w:t>Különleges helyzetek típusai a katonai vezetői munkában és ezekben való személyes megfelelés. Kommunikációs gyakorlatok különleges helyzetekben, alá-, fölé- és mellérendelt viszonyban</w:t>
      </w:r>
      <w:r>
        <w:rPr>
          <w:rFonts w:ascii="Times New Roman" w:eastAsia="Times New Roman" w:hAnsi="Times New Roman" w:cs="Times New Roman"/>
          <w:b/>
        </w:rPr>
        <w:t xml:space="preserve"> </w:t>
      </w:r>
      <w:r>
        <w:rPr>
          <w:rFonts w:ascii="Times New Roman" w:eastAsia="Times New Roman" w:hAnsi="Times New Roman" w:cs="Times New Roman"/>
          <w:i/>
        </w:rPr>
        <w:t>(</w:t>
      </w:r>
      <w:r>
        <w:rPr>
          <w:rFonts w:ascii="Times New Roman" w:eastAsia="Times New Roman" w:hAnsi="Times New Roman" w:cs="Times New Roman"/>
          <w:i/>
          <w:lang w:val="en-AU"/>
        </w:rPr>
        <w:t>Learning usual types of special situations in military leadership and developing adaptive behavioural responses with communication exercises based on organizational hierarchical relationships)</w:t>
      </w:r>
    </w:p>
    <w:p w:rsidR="004E1940" w:rsidRDefault="004E1940" w:rsidP="00C14833">
      <w:pPr>
        <w:widowControl w:val="0"/>
        <w:numPr>
          <w:ilvl w:val="1"/>
          <w:numId w:val="132"/>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b/>
        </w:rPr>
      </w:pPr>
      <w:r>
        <w:rPr>
          <w:rFonts w:ascii="Times New Roman" w:eastAsia="Times New Roman" w:hAnsi="Times New Roman" w:cs="Times New Roman"/>
          <w:lang w:eastAsia="hu-HU"/>
        </w:rPr>
        <w:t>A csapat működése, a hatékony csapatmunka elősegítéséhez szükséges parancsnoki viselkedés megismerése, az interperszonális hatékonyság növelése</w:t>
      </w:r>
      <w:r>
        <w:rPr>
          <w:rFonts w:ascii="Times New Roman" w:eastAsia="Times New Roman" w:hAnsi="Times New Roman" w:cs="Times New Roman"/>
          <w:b/>
        </w:rPr>
        <w:t xml:space="preserve"> </w:t>
      </w:r>
      <w:r>
        <w:rPr>
          <w:rFonts w:ascii="Times New Roman" w:eastAsia="Times New Roman" w:hAnsi="Times New Roman" w:cs="Times New Roman"/>
          <w:i/>
        </w:rPr>
        <w:t>(</w:t>
      </w:r>
      <w:r>
        <w:rPr>
          <w:rFonts w:ascii="Times New Roman" w:eastAsia="Times New Roman" w:hAnsi="Times New Roman" w:cs="Times New Roman"/>
          <w:i/>
          <w:lang w:val="en-AU"/>
        </w:rPr>
        <w:t>Understanding the practical meaning of teamwork and developing skills to increase interpersonal effectiveness)</w:t>
      </w:r>
    </w:p>
    <w:p w:rsidR="004E1940" w:rsidRDefault="004E1940" w:rsidP="00C14833">
      <w:pPr>
        <w:widowControl w:val="0"/>
        <w:numPr>
          <w:ilvl w:val="1"/>
          <w:numId w:val="132"/>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rPr>
      </w:pPr>
      <w:r>
        <w:rPr>
          <w:rFonts w:ascii="Times New Roman" w:eastAsia="Times New Roman" w:hAnsi="Times New Roman" w:cs="Times New Roman"/>
        </w:rPr>
        <w:t>Prezentáció bemutatása</w:t>
      </w:r>
      <w:r>
        <w:rPr>
          <w:rFonts w:ascii="Times New Roman" w:eastAsia="Times New Roman" w:hAnsi="Times New Roman" w:cs="Times New Roman"/>
          <w:bCs/>
        </w:rPr>
        <w:t xml:space="preserve"> </w:t>
      </w:r>
      <w:r>
        <w:rPr>
          <w:rFonts w:ascii="Times New Roman" w:eastAsia="Times New Roman" w:hAnsi="Times New Roman" w:cs="Times New Roman"/>
          <w:bCs/>
          <w:i/>
          <w:lang w:val="en-AU"/>
        </w:rPr>
        <w:t>(</w:t>
      </w:r>
      <w:r>
        <w:rPr>
          <w:rFonts w:ascii="Times New Roman" w:eastAsia="Times New Roman" w:hAnsi="Times New Roman" w:cs="Times New Roman"/>
          <w:i/>
          <w:lang w:val="en-AU"/>
        </w:rPr>
        <w:t>Student presentations)</w:t>
      </w:r>
    </w:p>
    <w:p w:rsidR="004E1940" w:rsidRDefault="004E1940" w:rsidP="00C14833">
      <w:pPr>
        <w:widowControl w:val="0"/>
        <w:numPr>
          <w:ilvl w:val="0"/>
          <w:numId w:val="132"/>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tantárgy meghirdetésének gyakorisága/a tantervben történő félévi elhelyezkedése:</w:t>
      </w:r>
    </w:p>
    <w:p w:rsidR="004E1940" w:rsidRDefault="004E1940" w:rsidP="004E1940">
      <w:pPr>
        <w:widowControl w:val="0"/>
        <w:spacing w:before="120" w:after="120" w:line="240" w:lineRule="auto"/>
        <w:ind w:left="426"/>
        <w:jc w:val="both"/>
        <w:rPr>
          <w:rFonts w:ascii="Times New Roman" w:eastAsia="Times New Roman" w:hAnsi="Times New Roman" w:cs="Times New Roman"/>
          <w:bCs/>
        </w:rPr>
      </w:pPr>
      <w:r>
        <w:rPr>
          <w:rFonts w:ascii="Times New Roman" w:eastAsia="Times New Roman" w:hAnsi="Times New Roman" w:cs="Times New Roman"/>
          <w:bCs/>
        </w:rPr>
        <w:t xml:space="preserve">évente / </w:t>
      </w:r>
      <w:r w:rsidR="007D2087" w:rsidRPr="007D2087">
        <w:rPr>
          <w:rFonts w:ascii="Times New Roman" w:eastAsia="Times New Roman" w:hAnsi="Times New Roman" w:cs="Times New Roman"/>
          <w:bCs/>
          <w:highlight w:val="yellow"/>
        </w:rPr>
        <w:t>4</w:t>
      </w:r>
      <w:r w:rsidRPr="007D2087">
        <w:rPr>
          <w:rFonts w:ascii="Times New Roman" w:eastAsia="Times New Roman" w:hAnsi="Times New Roman" w:cs="Times New Roman"/>
          <w:bCs/>
          <w:highlight w:val="yellow"/>
        </w:rPr>
        <w:t>. félév</w:t>
      </w:r>
    </w:p>
    <w:p w:rsidR="004E1940" w:rsidRDefault="004E1940" w:rsidP="00C14833">
      <w:pPr>
        <w:widowControl w:val="0"/>
        <w:numPr>
          <w:ilvl w:val="0"/>
          <w:numId w:val="132"/>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tanórákon való részvétel követelményei, az elfogadható hiányzások mértéke, a távolmaradás pótlásának lehetősége:</w:t>
      </w:r>
      <w:r>
        <w:rPr>
          <w:rFonts w:ascii="Times New Roman" w:eastAsia="Times New Roman" w:hAnsi="Times New Roman" w:cs="Times New Roman"/>
          <w:bCs/>
        </w:rPr>
        <w:t xml:space="preserve"> </w:t>
      </w:r>
    </w:p>
    <w:p w:rsidR="004E1940" w:rsidRDefault="004E1940" w:rsidP="004E1940">
      <w:pPr>
        <w:widowControl w:val="0"/>
        <w:spacing w:before="120" w:after="120" w:line="240" w:lineRule="auto"/>
        <w:ind w:left="426"/>
        <w:jc w:val="both"/>
        <w:rPr>
          <w:rFonts w:ascii="Times New Roman" w:eastAsia="Times New Roman" w:hAnsi="Times New Roman" w:cs="Times New Roman"/>
          <w:bCs/>
        </w:rPr>
      </w:pPr>
      <w:r>
        <w:rPr>
          <w:rFonts w:ascii="Times New Roman" w:eastAsia="Times New Roman" w:hAnsi="Times New Roman" w:cs="Times New Roman"/>
          <w:bCs/>
          <w:color w:val="000000"/>
          <w:lang w:eastAsia="hu-HU"/>
        </w:rPr>
        <w:lastRenderedPageBreak/>
        <w:t>A foglalkozások minimum 80%-án való részvétel kötelező, ez az aláírás egyik feltétele. A hiányzások száma csak egyéni tanrend esetében léphetik túl a megengedett mértéket. Ez esetben külön az oktatóval egyeztetett egyéni feladattal pótolható.</w:t>
      </w:r>
    </w:p>
    <w:p w:rsidR="004E1940" w:rsidRDefault="004E1940" w:rsidP="00C14833">
      <w:pPr>
        <w:widowControl w:val="0"/>
        <w:numPr>
          <w:ilvl w:val="0"/>
          <w:numId w:val="132"/>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rPr>
        <w:t>Félévközi feladatok, ismeretek ellenőrzésének rendje:</w:t>
      </w:r>
    </w:p>
    <w:p w:rsidR="004E1940" w:rsidRDefault="004E1940" w:rsidP="004E1940">
      <w:pPr>
        <w:widowControl w:val="0"/>
        <w:spacing w:before="120" w:after="120" w:line="240" w:lineRule="auto"/>
        <w:ind w:left="426"/>
        <w:jc w:val="both"/>
        <w:rPr>
          <w:rFonts w:ascii="Times New Roman" w:eastAsia="Times New Roman" w:hAnsi="Times New Roman" w:cs="Times New Roman"/>
          <w:bCs/>
        </w:rPr>
      </w:pPr>
      <w:r>
        <w:rPr>
          <w:rFonts w:ascii="Times New Roman" w:eastAsia="Times New Roman" w:hAnsi="Times New Roman" w:cs="Times New Roman"/>
          <w:bCs/>
        </w:rPr>
        <w:t>Egy beadandó esszé, amely a személyes fejlesztési terv kidolgozása megadott szempontrendszer szerint, valamint prezentáció megtartása előre kiadott, az oktatóval egyeztetett témakörből. A két feladatra kapott érdemjegy számtani átlaga határozza meg a gyakorlati jegyet. A beadandó esszé pótlására a szorgalmi időszak utolsó, vagy a vizsgaidőszak első hetén, egyeztetett időpontban van lehetőség. A prezentáció pótlására nincs lehetőség.</w:t>
      </w:r>
    </w:p>
    <w:p w:rsidR="004E1940" w:rsidRDefault="004E1940" w:rsidP="004E1940">
      <w:pPr>
        <w:widowControl w:val="0"/>
        <w:tabs>
          <w:tab w:val="left" w:pos="4253"/>
          <w:tab w:val="left" w:pos="4680"/>
          <w:tab w:val="left" w:pos="5580"/>
        </w:tabs>
        <w:spacing w:after="0" w:line="240" w:lineRule="auto"/>
        <w:ind w:left="4253" w:hanging="3612"/>
        <w:jc w:val="both"/>
        <w:rPr>
          <w:rFonts w:ascii="Times New Roman" w:eastAsia="Times New Roman" w:hAnsi="Times New Roman" w:cs="Times New Roman"/>
          <w:color w:val="000000"/>
          <w:lang w:eastAsia="hu-HU"/>
        </w:rPr>
      </w:pPr>
      <w:r>
        <w:rPr>
          <w:rFonts w:ascii="Times New Roman" w:eastAsia="Times New Roman" w:hAnsi="Times New Roman" w:cs="Times New Roman"/>
          <w:color w:val="000000"/>
          <w:lang w:eastAsia="hu-HU"/>
        </w:rPr>
        <w:t xml:space="preserve">    Az esszé értékelése:</w:t>
      </w:r>
      <w:r>
        <w:rPr>
          <w:rFonts w:ascii="Times New Roman" w:eastAsia="Times New Roman" w:hAnsi="Times New Roman" w:cs="Times New Roman"/>
          <w:color w:val="000000"/>
          <w:lang w:eastAsia="hu-HU"/>
        </w:rPr>
        <w:tab/>
        <w:t>95–100%</w:t>
      </w:r>
      <w:r>
        <w:rPr>
          <w:rFonts w:ascii="Times New Roman" w:eastAsia="Times New Roman" w:hAnsi="Times New Roman" w:cs="Times New Roman"/>
          <w:color w:val="000000"/>
          <w:lang w:eastAsia="hu-HU"/>
        </w:rPr>
        <w:tab/>
      </w:r>
      <w:r>
        <w:rPr>
          <w:rFonts w:ascii="Times New Roman" w:eastAsia="Times New Roman" w:hAnsi="Times New Roman" w:cs="Times New Roman"/>
          <w:color w:val="000000"/>
          <w:lang w:eastAsia="hu-HU"/>
        </w:rPr>
        <w:tab/>
      </w:r>
      <w:r>
        <w:rPr>
          <w:rFonts w:ascii="Times New Roman" w:eastAsia="Times New Roman" w:hAnsi="Times New Roman" w:cs="Times New Roman"/>
          <w:color w:val="000000"/>
          <w:lang w:eastAsia="hu-HU"/>
        </w:rPr>
        <w:tab/>
        <w:t xml:space="preserve">             5</w:t>
      </w:r>
      <w:r>
        <w:rPr>
          <w:rFonts w:ascii="Times New Roman" w:eastAsia="Times New Roman" w:hAnsi="Times New Roman" w:cs="Times New Roman"/>
          <w:color w:val="000000"/>
          <w:lang w:eastAsia="hu-HU"/>
        </w:rPr>
        <w:tab/>
        <w:t>(jeles)</w:t>
      </w:r>
      <w:r>
        <w:rPr>
          <w:rFonts w:ascii="Times New Roman" w:eastAsia="Times New Roman" w:hAnsi="Times New Roman" w:cs="Times New Roman"/>
          <w:color w:val="000000"/>
          <w:lang w:eastAsia="hu-HU"/>
        </w:rPr>
        <w:br/>
        <w:t>85–94%</w:t>
      </w:r>
      <w:r>
        <w:rPr>
          <w:rFonts w:ascii="Times New Roman" w:eastAsia="Times New Roman" w:hAnsi="Times New Roman" w:cs="Times New Roman"/>
          <w:color w:val="000000"/>
          <w:lang w:eastAsia="hu-HU"/>
        </w:rPr>
        <w:tab/>
      </w:r>
      <w:r>
        <w:rPr>
          <w:rFonts w:ascii="Times New Roman" w:eastAsia="Times New Roman" w:hAnsi="Times New Roman" w:cs="Times New Roman"/>
          <w:color w:val="000000"/>
          <w:lang w:eastAsia="hu-HU"/>
        </w:rPr>
        <w:tab/>
      </w:r>
      <w:r>
        <w:rPr>
          <w:rFonts w:ascii="Times New Roman" w:eastAsia="Times New Roman" w:hAnsi="Times New Roman" w:cs="Times New Roman"/>
          <w:color w:val="000000"/>
          <w:lang w:eastAsia="hu-HU"/>
        </w:rPr>
        <w:tab/>
        <w:t xml:space="preserve">             4</w:t>
      </w:r>
      <w:r>
        <w:rPr>
          <w:rFonts w:ascii="Times New Roman" w:eastAsia="Times New Roman" w:hAnsi="Times New Roman" w:cs="Times New Roman"/>
          <w:color w:val="000000"/>
          <w:lang w:eastAsia="hu-HU"/>
        </w:rPr>
        <w:tab/>
        <w:t>(jó)</w:t>
      </w:r>
      <w:r>
        <w:rPr>
          <w:rFonts w:ascii="Times New Roman" w:eastAsia="Times New Roman" w:hAnsi="Times New Roman" w:cs="Times New Roman"/>
          <w:color w:val="000000"/>
          <w:lang w:eastAsia="hu-HU"/>
        </w:rPr>
        <w:br/>
        <w:t>67–84%</w:t>
      </w:r>
      <w:r>
        <w:rPr>
          <w:rFonts w:ascii="Times New Roman" w:eastAsia="Times New Roman" w:hAnsi="Times New Roman" w:cs="Times New Roman"/>
          <w:color w:val="000000"/>
          <w:lang w:eastAsia="hu-HU"/>
        </w:rPr>
        <w:tab/>
      </w:r>
      <w:r>
        <w:rPr>
          <w:rFonts w:ascii="Times New Roman" w:eastAsia="Times New Roman" w:hAnsi="Times New Roman" w:cs="Times New Roman"/>
          <w:color w:val="000000"/>
          <w:lang w:eastAsia="hu-HU"/>
        </w:rPr>
        <w:tab/>
      </w:r>
      <w:r>
        <w:rPr>
          <w:rFonts w:ascii="Times New Roman" w:eastAsia="Times New Roman" w:hAnsi="Times New Roman" w:cs="Times New Roman"/>
          <w:color w:val="000000"/>
          <w:lang w:eastAsia="hu-HU"/>
        </w:rPr>
        <w:tab/>
        <w:t xml:space="preserve">             3</w:t>
      </w:r>
      <w:r>
        <w:rPr>
          <w:rFonts w:ascii="Times New Roman" w:eastAsia="Times New Roman" w:hAnsi="Times New Roman" w:cs="Times New Roman"/>
          <w:color w:val="000000"/>
          <w:lang w:eastAsia="hu-HU"/>
        </w:rPr>
        <w:tab/>
        <w:t>(közepes)</w:t>
      </w:r>
      <w:r>
        <w:rPr>
          <w:rFonts w:ascii="Times New Roman" w:eastAsia="Times New Roman" w:hAnsi="Times New Roman" w:cs="Times New Roman"/>
          <w:color w:val="000000"/>
          <w:lang w:eastAsia="hu-HU"/>
        </w:rPr>
        <w:br/>
        <w:t>50–66%</w:t>
      </w:r>
      <w:r>
        <w:rPr>
          <w:rFonts w:ascii="Times New Roman" w:eastAsia="Times New Roman" w:hAnsi="Times New Roman" w:cs="Times New Roman"/>
          <w:color w:val="000000"/>
          <w:lang w:eastAsia="hu-HU"/>
        </w:rPr>
        <w:tab/>
      </w:r>
      <w:r>
        <w:rPr>
          <w:rFonts w:ascii="Times New Roman" w:eastAsia="Times New Roman" w:hAnsi="Times New Roman" w:cs="Times New Roman"/>
          <w:color w:val="000000"/>
          <w:lang w:eastAsia="hu-HU"/>
        </w:rPr>
        <w:tab/>
      </w:r>
      <w:r>
        <w:rPr>
          <w:rFonts w:ascii="Times New Roman" w:eastAsia="Times New Roman" w:hAnsi="Times New Roman" w:cs="Times New Roman"/>
          <w:color w:val="000000"/>
          <w:lang w:eastAsia="hu-HU"/>
        </w:rPr>
        <w:tab/>
        <w:t xml:space="preserve">             2 </w:t>
      </w:r>
      <w:r>
        <w:rPr>
          <w:rFonts w:ascii="Times New Roman" w:eastAsia="Times New Roman" w:hAnsi="Times New Roman" w:cs="Times New Roman"/>
          <w:color w:val="000000"/>
          <w:lang w:eastAsia="hu-HU"/>
        </w:rPr>
        <w:tab/>
        <w:t>(elégséges)</w:t>
      </w:r>
    </w:p>
    <w:p w:rsidR="004E1940" w:rsidRDefault="004E1940" w:rsidP="004E1940">
      <w:pPr>
        <w:widowControl w:val="0"/>
        <w:tabs>
          <w:tab w:val="left" w:pos="4253"/>
          <w:tab w:val="left" w:pos="4680"/>
          <w:tab w:val="left" w:pos="5580"/>
        </w:tabs>
        <w:spacing w:after="0" w:line="240" w:lineRule="auto"/>
        <w:ind w:left="4253" w:hanging="3612"/>
        <w:jc w:val="both"/>
        <w:rPr>
          <w:rFonts w:ascii="Times New Roman" w:eastAsia="Times New Roman" w:hAnsi="Times New Roman" w:cs="Times New Roman"/>
          <w:color w:val="000000"/>
          <w:sz w:val="10"/>
          <w:szCs w:val="10"/>
          <w:lang w:eastAsia="hu-HU"/>
        </w:rPr>
      </w:pPr>
    </w:p>
    <w:p w:rsidR="004E1940" w:rsidRDefault="004E1940" w:rsidP="004E1940">
      <w:pPr>
        <w:widowControl w:val="0"/>
        <w:tabs>
          <w:tab w:val="left" w:pos="851"/>
        </w:tabs>
        <w:spacing w:after="0" w:line="240" w:lineRule="auto"/>
        <w:ind w:left="349"/>
        <w:jc w:val="both"/>
        <w:rPr>
          <w:rFonts w:ascii="Times New Roman" w:eastAsia="Times New Roman" w:hAnsi="Times New Roman" w:cs="Times New Roman"/>
          <w:color w:val="000000"/>
          <w:lang w:eastAsia="hu-HU"/>
        </w:rPr>
      </w:pPr>
      <w:r>
        <w:rPr>
          <w:rFonts w:ascii="Times New Roman" w:eastAsia="Times New Roman" w:hAnsi="Times New Roman" w:cs="Times New Roman"/>
          <w:color w:val="000000"/>
          <w:lang w:eastAsia="hu-HU"/>
        </w:rPr>
        <w:tab/>
        <w:t xml:space="preserve">A Prezentáció értékelése: </w:t>
      </w:r>
      <w:r>
        <w:rPr>
          <w:rFonts w:ascii="Times New Roman" w:eastAsia="Times New Roman" w:hAnsi="Times New Roman" w:cs="Times New Roman"/>
          <w:color w:val="000000"/>
          <w:lang w:eastAsia="hu-HU"/>
        </w:rPr>
        <w:tab/>
        <w:t xml:space="preserve">Tartalom </w:t>
      </w:r>
      <w:r>
        <w:rPr>
          <w:rFonts w:ascii="Times New Roman" w:eastAsia="Times New Roman" w:hAnsi="Times New Roman" w:cs="Times New Roman"/>
          <w:color w:val="000000"/>
          <w:lang w:eastAsia="hu-HU"/>
        </w:rPr>
        <w:tab/>
      </w:r>
      <w:r>
        <w:rPr>
          <w:rFonts w:ascii="Times New Roman" w:eastAsia="Times New Roman" w:hAnsi="Times New Roman" w:cs="Times New Roman"/>
          <w:color w:val="000000"/>
          <w:lang w:eastAsia="hu-HU"/>
        </w:rPr>
        <w:tab/>
      </w:r>
      <w:r>
        <w:rPr>
          <w:rFonts w:ascii="Times New Roman" w:eastAsia="Times New Roman" w:hAnsi="Times New Roman" w:cs="Times New Roman"/>
          <w:color w:val="000000"/>
          <w:lang w:eastAsia="hu-HU"/>
        </w:rPr>
        <w:tab/>
      </w:r>
      <w:r>
        <w:rPr>
          <w:rFonts w:ascii="Times New Roman" w:eastAsia="Times New Roman" w:hAnsi="Times New Roman" w:cs="Times New Roman"/>
          <w:color w:val="000000"/>
          <w:lang w:eastAsia="hu-HU"/>
        </w:rPr>
        <w:tab/>
      </w:r>
      <w:r>
        <w:rPr>
          <w:rFonts w:ascii="Times New Roman" w:eastAsia="Times New Roman" w:hAnsi="Times New Roman" w:cs="Times New Roman"/>
          <w:color w:val="000000"/>
          <w:lang w:eastAsia="hu-HU"/>
        </w:rPr>
        <w:tab/>
        <w:t>10 pont</w:t>
      </w:r>
    </w:p>
    <w:p w:rsidR="004E1940" w:rsidRDefault="004E1940" w:rsidP="004E1940">
      <w:pPr>
        <w:widowControl w:val="0"/>
        <w:tabs>
          <w:tab w:val="left" w:pos="851"/>
        </w:tabs>
        <w:spacing w:after="0" w:line="240" w:lineRule="auto"/>
        <w:ind w:left="349"/>
        <w:jc w:val="both"/>
        <w:rPr>
          <w:rFonts w:ascii="Times New Roman" w:eastAsia="Times New Roman" w:hAnsi="Times New Roman" w:cs="Times New Roman"/>
          <w:color w:val="000000"/>
          <w:lang w:eastAsia="hu-HU"/>
        </w:rPr>
      </w:pPr>
      <w:r>
        <w:rPr>
          <w:rFonts w:ascii="Times New Roman" w:eastAsia="Times New Roman" w:hAnsi="Times New Roman" w:cs="Times New Roman"/>
          <w:color w:val="000000"/>
          <w:lang w:eastAsia="hu-HU"/>
        </w:rPr>
        <w:tab/>
      </w:r>
      <w:r>
        <w:rPr>
          <w:rFonts w:ascii="Times New Roman" w:eastAsia="Times New Roman" w:hAnsi="Times New Roman" w:cs="Times New Roman"/>
          <w:color w:val="000000"/>
          <w:lang w:eastAsia="hu-HU"/>
        </w:rPr>
        <w:tab/>
      </w:r>
      <w:r>
        <w:rPr>
          <w:rFonts w:ascii="Times New Roman" w:eastAsia="Times New Roman" w:hAnsi="Times New Roman" w:cs="Times New Roman"/>
          <w:color w:val="000000"/>
          <w:lang w:eastAsia="hu-HU"/>
        </w:rPr>
        <w:tab/>
      </w:r>
      <w:r>
        <w:rPr>
          <w:rFonts w:ascii="Times New Roman" w:eastAsia="Times New Roman" w:hAnsi="Times New Roman" w:cs="Times New Roman"/>
          <w:color w:val="000000"/>
          <w:lang w:eastAsia="hu-HU"/>
        </w:rPr>
        <w:tab/>
      </w:r>
      <w:r>
        <w:rPr>
          <w:rFonts w:ascii="Times New Roman" w:eastAsia="Times New Roman" w:hAnsi="Times New Roman" w:cs="Times New Roman"/>
          <w:color w:val="000000"/>
          <w:lang w:eastAsia="hu-HU"/>
        </w:rPr>
        <w:tab/>
        <w:t>Rendszerezettség</w:t>
      </w:r>
      <w:r>
        <w:rPr>
          <w:rFonts w:ascii="Times New Roman" w:eastAsia="Times New Roman" w:hAnsi="Times New Roman" w:cs="Times New Roman"/>
          <w:color w:val="000000"/>
          <w:lang w:eastAsia="hu-HU"/>
        </w:rPr>
        <w:tab/>
      </w:r>
      <w:r>
        <w:rPr>
          <w:rFonts w:ascii="Times New Roman" w:eastAsia="Times New Roman" w:hAnsi="Times New Roman" w:cs="Times New Roman"/>
          <w:color w:val="000000"/>
          <w:lang w:eastAsia="hu-HU"/>
        </w:rPr>
        <w:tab/>
      </w:r>
      <w:r>
        <w:rPr>
          <w:rFonts w:ascii="Times New Roman" w:eastAsia="Times New Roman" w:hAnsi="Times New Roman" w:cs="Times New Roman"/>
          <w:color w:val="000000"/>
          <w:lang w:eastAsia="hu-HU"/>
        </w:rPr>
        <w:tab/>
      </w:r>
      <w:r>
        <w:rPr>
          <w:rFonts w:ascii="Times New Roman" w:eastAsia="Times New Roman" w:hAnsi="Times New Roman" w:cs="Times New Roman"/>
          <w:color w:val="000000"/>
          <w:lang w:eastAsia="hu-HU"/>
        </w:rPr>
        <w:tab/>
        <w:t>10 pont</w:t>
      </w:r>
    </w:p>
    <w:p w:rsidR="004E1940" w:rsidRDefault="004E1940" w:rsidP="004E1940">
      <w:pPr>
        <w:widowControl w:val="0"/>
        <w:tabs>
          <w:tab w:val="left" w:pos="851"/>
        </w:tabs>
        <w:spacing w:after="0" w:line="240" w:lineRule="auto"/>
        <w:ind w:left="349"/>
        <w:jc w:val="both"/>
        <w:rPr>
          <w:rFonts w:ascii="Times New Roman" w:eastAsia="Times New Roman" w:hAnsi="Times New Roman" w:cs="Times New Roman"/>
          <w:color w:val="000000"/>
          <w:lang w:eastAsia="hu-HU"/>
        </w:rPr>
      </w:pPr>
      <w:r>
        <w:rPr>
          <w:rFonts w:ascii="Times New Roman" w:eastAsia="Times New Roman" w:hAnsi="Times New Roman" w:cs="Times New Roman"/>
          <w:color w:val="000000"/>
          <w:lang w:eastAsia="hu-HU"/>
        </w:rPr>
        <w:tab/>
      </w:r>
      <w:r>
        <w:rPr>
          <w:rFonts w:ascii="Times New Roman" w:eastAsia="Times New Roman" w:hAnsi="Times New Roman" w:cs="Times New Roman"/>
          <w:color w:val="000000"/>
          <w:lang w:eastAsia="hu-HU"/>
        </w:rPr>
        <w:tab/>
      </w:r>
      <w:r>
        <w:rPr>
          <w:rFonts w:ascii="Times New Roman" w:eastAsia="Times New Roman" w:hAnsi="Times New Roman" w:cs="Times New Roman"/>
          <w:color w:val="000000"/>
          <w:lang w:eastAsia="hu-HU"/>
        </w:rPr>
        <w:tab/>
      </w:r>
      <w:r>
        <w:rPr>
          <w:rFonts w:ascii="Times New Roman" w:eastAsia="Times New Roman" w:hAnsi="Times New Roman" w:cs="Times New Roman"/>
          <w:color w:val="000000"/>
          <w:lang w:eastAsia="hu-HU"/>
        </w:rPr>
        <w:tab/>
      </w:r>
      <w:r>
        <w:rPr>
          <w:rFonts w:ascii="Times New Roman" w:eastAsia="Times New Roman" w:hAnsi="Times New Roman" w:cs="Times New Roman"/>
          <w:color w:val="000000"/>
          <w:lang w:eastAsia="hu-HU"/>
        </w:rPr>
        <w:tab/>
        <w:t>Szakaszolás, mondanivaló felbontása</w:t>
      </w:r>
      <w:r>
        <w:rPr>
          <w:rFonts w:ascii="Times New Roman" w:eastAsia="Times New Roman" w:hAnsi="Times New Roman" w:cs="Times New Roman"/>
          <w:color w:val="000000"/>
          <w:lang w:eastAsia="hu-HU"/>
        </w:rPr>
        <w:tab/>
      </w:r>
      <w:r>
        <w:rPr>
          <w:rFonts w:ascii="Times New Roman" w:eastAsia="Times New Roman" w:hAnsi="Times New Roman" w:cs="Times New Roman"/>
          <w:color w:val="000000"/>
          <w:lang w:eastAsia="hu-HU"/>
        </w:rPr>
        <w:tab/>
        <w:t>10 pont</w:t>
      </w:r>
    </w:p>
    <w:p w:rsidR="004E1940" w:rsidRDefault="004E1940" w:rsidP="004E1940">
      <w:pPr>
        <w:widowControl w:val="0"/>
        <w:tabs>
          <w:tab w:val="left" w:pos="851"/>
        </w:tabs>
        <w:spacing w:after="0" w:line="240" w:lineRule="auto"/>
        <w:ind w:left="349"/>
        <w:jc w:val="both"/>
        <w:rPr>
          <w:rFonts w:ascii="Times New Roman" w:eastAsia="Times New Roman" w:hAnsi="Times New Roman" w:cs="Times New Roman"/>
          <w:color w:val="000000"/>
          <w:lang w:eastAsia="hu-HU"/>
        </w:rPr>
      </w:pPr>
      <w:r>
        <w:rPr>
          <w:rFonts w:ascii="Times New Roman" w:eastAsia="Times New Roman" w:hAnsi="Times New Roman" w:cs="Times New Roman"/>
          <w:color w:val="000000"/>
          <w:lang w:eastAsia="hu-HU"/>
        </w:rPr>
        <w:tab/>
      </w:r>
      <w:r>
        <w:rPr>
          <w:rFonts w:ascii="Times New Roman" w:eastAsia="Times New Roman" w:hAnsi="Times New Roman" w:cs="Times New Roman"/>
          <w:color w:val="000000"/>
          <w:lang w:eastAsia="hu-HU"/>
        </w:rPr>
        <w:tab/>
      </w:r>
      <w:r>
        <w:rPr>
          <w:rFonts w:ascii="Times New Roman" w:eastAsia="Times New Roman" w:hAnsi="Times New Roman" w:cs="Times New Roman"/>
          <w:color w:val="000000"/>
          <w:lang w:eastAsia="hu-HU"/>
        </w:rPr>
        <w:tab/>
      </w:r>
      <w:r>
        <w:rPr>
          <w:rFonts w:ascii="Times New Roman" w:eastAsia="Times New Roman" w:hAnsi="Times New Roman" w:cs="Times New Roman"/>
          <w:color w:val="000000"/>
          <w:lang w:eastAsia="hu-HU"/>
        </w:rPr>
        <w:tab/>
      </w:r>
      <w:r>
        <w:rPr>
          <w:rFonts w:ascii="Times New Roman" w:eastAsia="Times New Roman" w:hAnsi="Times New Roman" w:cs="Times New Roman"/>
          <w:color w:val="000000"/>
          <w:lang w:eastAsia="hu-HU"/>
        </w:rPr>
        <w:tab/>
        <w:t>Interakció</w:t>
      </w:r>
      <w:r>
        <w:rPr>
          <w:rFonts w:ascii="Times New Roman" w:eastAsia="Times New Roman" w:hAnsi="Times New Roman" w:cs="Times New Roman"/>
          <w:color w:val="000000"/>
          <w:lang w:eastAsia="hu-HU"/>
        </w:rPr>
        <w:tab/>
      </w:r>
      <w:r>
        <w:rPr>
          <w:rFonts w:ascii="Times New Roman" w:eastAsia="Times New Roman" w:hAnsi="Times New Roman" w:cs="Times New Roman"/>
          <w:color w:val="000000"/>
          <w:lang w:eastAsia="hu-HU"/>
        </w:rPr>
        <w:tab/>
      </w:r>
      <w:r>
        <w:rPr>
          <w:rFonts w:ascii="Times New Roman" w:eastAsia="Times New Roman" w:hAnsi="Times New Roman" w:cs="Times New Roman"/>
          <w:color w:val="000000"/>
          <w:lang w:eastAsia="hu-HU"/>
        </w:rPr>
        <w:tab/>
      </w:r>
      <w:r>
        <w:rPr>
          <w:rFonts w:ascii="Times New Roman" w:eastAsia="Times New Roman" w:hAnsi="Times New Roman" w:cs="Times New Roman"/>
          <w:color w:val="000000"/>
          <w:lang w:eastAsia="hu-HU"/>
        </w:rPr>
        <w:tab/>
      </w:r>
      <w:r>
        <w:rPr>
          <w:rFonts w:ascii="Times New Roman" w:eastAsia="Times New Roman" w:hAnsi="Times New Roman" w:cs="Times New Roman"/>
          <w:color w:val="000000"/>
          <w:lang w:eastAsia="hu-HU"/>
        </w:rPr>
        <w:tab/>
        <w:t>10 pont</w:t>
      </w:r>
    </w:p>
    <w:p w:rsidR="004E1940" w:rsidRDefault="004E1940" w:rsidP="004E1940">
      <w:pPr>
        <w:widowControl w:val="0"/>
        <w:tabs>
          <w:tab w:val="left" w:pos="851"/>
        </w:tabs>
        <w:spacing w:after="0" w:line="240" w:lineRule="auto"/>
        <w:ind w:left="349"/>
        <w:jc w:val="both"/>
        <w:rPr>
          <w:rFonts w:ascii="Times New Roman" w:eastAsia="Times New Roman" w:hAnsi="Times New Roman" w:cs="Times New Roman"/>
          <w:color w:val="000000"/>
          <w:lang w:eastAsia="hu-HU"/>
        </w:rPr>
      </w:pPr>
      <w:r>
        <w:rPr>
          <w:rFonts w:ascii="Times New Roman" w:eastAsia="Times New Roman" w:hAnsi="Times New Roman" w:cs="Times New Roman"/>
          <w:color w:val="000000"/>
          <w:lang w:eastAsia="hu-HU"/>
        </w:rPr>
        <w:tab/>
      </w:r>
      <w:r>
        <w:rPr>
          <w:rFonts w:ascii="Times New Roman" w:eastAsia="Times New Roman" w:hAnsi="Times New Roman" w:cs="Times New Roman"/>
          <w:color w:val="000000"/>
          <w:lang w:eastAsia="hu-HU"/>
        </w:rPr>
        <w:tab/>
      </w:r>
      <w:r>
        <w:rPr>
          <w:rFonts w:ascii="Times New Roman" w:eastAsia="Times New Roman" w:hAnsi="Times New Roman" w:cs="Times New Roman"/>
          <w:color w:val="000000"/>
          <w:lang w:eastAsia="hu-HU"/>
        </w:rPr>
        <w:tab/>
      </w:r>
      <w:r>
        <w:rPr>
          <w:rFonts w:ascii="Times New Roman" w:eastAsia="Times New Roman" w:hAnsi="Times New Roman" w:cs="Times New Roman"/>
          <w:color w:val="000000"/>
          <w:lang w:eastAsia="hu-HU"/>
        </w:rPr>
        <w:tab/>
      </w:r>
      <w:r>
        <w:rPr>
          <w:rFonts w:ascii="Times New Roman" w:eastAsia="Times New Roman" w:hAnsi="Times New Roman" w:cs="Times New Roman"/>
          <w:color w:val="000000"/>
          <w:lang w:eastAsia="hu-HU"/>
        </w:rPr>
        <w:tab/>
        <w:t>Összkép</w:t>
      </w:r>
      <w:r>
        <w:rPr>
          <w:rFonts w:ascii="Times New Roman" w:eastAsia="Times New Roman" w:hAnsi="Times New Roman" w:cs="Times New Roman"/>
          <w:color w:val="000000"/>
          <w:lang w:eastAsia="hu-HU"/>
        </w:rPr>
        <w:tab/>
      </w:r>
      <w:r>
        <w:rPr>
          <w:rFonts w:ascii="Times New Roman" w:eastAsia="Times New Roman" w:hAnsi="Times New Roman" w:cs="Times New Roman"/>
          <w:color w:val="000000"/>
          <w:lang w:eastAsia="hu-HU"/>
        </w:rPr>
        <w:tab/>
      </w:r>
      <w:r>
        <w:rPr>
          <w:rFonts w:ascii="Times New Roman" w:eastAsia="Times New Roman" w:hAnsi="Times New Roman" w:cs="Times New Roman"/>
          <w:color w:val="000000"/>
          <w:lang w:eastAsia="hu-HU"/>
        </w:rPr>
        <w:tab/>
      </w:r>
      <w:r>
        <w:rPr>
          <w:rFonts w:ascii="Times New Roman" w:eastAsia="Times New Roman" w:hAnsi="Times New Roman" w:cs="Times New Roman"/>
          <w:color w:val="000000"/>
          <w:lang w:eastAsia="hu-HU"/>
        </w:rPr>
        <w:tab/>
      </w:r>
      <w:r>
        <w:rPr>
          <w:rFonts w:ascii="Times New Roman" w:eastAsia="Times New Roman" w:hAnsi="Times New Roman" w:cs="Times New Roman"/>
          <w:color w:val="000000"/>
          <w:lang w:eastAsia="hu-HU"/>
        </w:rPr>
        <w:tab/>
        <w:t>10 pont</w:t>
      </w:r>
    </w:p>
    <w:p w:rsidR="004E1940" w:rsidRDefault="004E1940" w:rsidP="004E1940">
      <w:pPr>
        <w:widowControl w:val="0"/>
        <w:tabs>
          <w:tab w:val="left" w:pos="851"/>
        </w:tabs>
        <w:spacing w:after="0" w:line="240" w:lineRule="auto"/>
        <w:jc w:val="both"/>
        <w:rPr>
          <w:rFonts w:ascii="Times New Roman" w:eastAsia="Times New Roman" w:hAnsi="Times New Roman" w:cs="Times New Roman"/>
          <w:color w:val="000000"/>
          <w:sz w:val="10"/>
          <w:szCs w:val="10"/>
          <w:lang w:eastAsia="hu-HU"/>
        </w:rPr>
      </w:pPr>
    </w:p>
    <w:p w:rsidR="004E1940" w:rsidRDefault="004E1940" w:rsidP="004E1940">
      <w:pPr>
        <w:widowControl w:val="0"/>
        <w:tabs>
          <w:tab w:val="left" w:pos="851"/>
        </w:tabs>
        <w:spacing w:after="0" w:line="240" w:lineRule="auto"/>
        <w:ind w:left="4248" w:hanging="704"/>
        <w:jc w:val="both"/>
        <w:rPr>
          <w:rFonts w:ascii="Times New Roman" w:eastAsia="Times New Roman" w:hAnsi="Times New Roman" w:cs="Times New Roman"/>
          <w:color w:val="000000"/>
          <w:lang w:eastAsia="hu-HU"/>
        </w:rPr>
      </w:pPr>
      <w:r>
        <w:rPr>
          <w:rFonts w:ascii="Times New Roman" w:eastAsia="Times New Roman" w:hAnsi="Times New Roman" w:cs="Times New Roman"/>
          <w:color w:val="000000"/>
          <w:lang w:eastAsia="hu-HU"/>
        </w:rPr>
        <w:tab/>
        <w:t>95–100%</w:t>
      </w:r>
      <w:r>
        <w:rPr>
          <w:rFonts w:ascii="Times New Roman" w:eastAsia="Times New Roman" w:hAnsi="Times New Roman" w:cs="Times New Roman"/>
          <w:color w:val="000000"/>
          <w:lang w:eastAsia="hu-HU"/>
        </w:rPr>
        <w:tab/>
      </w:r>
      <w:r>
        <w:rPr>
          <w:rFonts w:ascii="Times New Roman" w:eastAsia="Times New Roman" w:hAnsi="Times New Roman" w:cs="Times New Roman"/>
          <w:color w:val="000000"/>
          <w:lang w:eastAsia="hu-HU"/>
        </w:rPr>
        <w:tab/>
        <w:t xml:space="preserve">             5</w:t>
      </w:r>
      <w:r>
        <w:rPr>
          <w:rFonts w:ascii="Times New Roman" w:eastAsia="Times New Roman" w:hAnsi="Times New Roman" w:cs="Times New Roman"/>
          <w:color w:val="000000"/>
          <w:lang w:eastAsia="hu-HU"/>
        </w:rPr>
        <w:tab/>
        <w:t>(jeles)</w:t>
      </w:r>
      <w:r>
        <w:rPr>
          <w:rFonts w:ascii="Times New Roman" w:eastAsia="Times New Roman" w:hAnsi="Times New Roman" w:cs="Times New Roman"/>
          <w:color w:val="000000"/>
          <w:lang w:eastAsia="hu-HU"/>
        </w:rPr>
        <w:br/>
        <w:t>85–94%</w:t>
      </w:r>
      <w:r>
        <w:rPr>
          <w:rFonts w:ascii="Times New Roman" w:eastAsia="Times New Roman" w:hAnsi="Times New Roman" w:cs="Times New Roman"/>
          <w:color w:val="000000"/>
          <w:lang w:eastAsia="hu-HU"/>
        </w:rPr>
        <w:tab/>
      </w:r>
      <w:r>
        <w:rPr>
          <w:rFonts w:ascii="Times New Roman" w:eastAsia="Times New Roman" w:hAnsi="Times New Roman" w:cs="Times New Roman"/>
          <w:color w:val="000000"/>
          <w:lang w:eastAsia="hu-HU"/>
        </w:rPr>
        <w:tab/>
        <w:t xml:space="preserve">             4</w:t>
      </w:r>
      <w:r>
        <w:rPr>
          <w:rFonts w:ascii="Times New Roman" w:eastAsia="Times New Roman" w:hAnsi="Times New Roman" w:cs="Times New Roman"/>
          <w:color w:val="000000"/>
          <w:lang w:eastAsia="hu-HU"/>
        </w:rPr>
        <w:tab/>
        <w:t>(jó)</w:t>
      </w:r>
      <w:r>
        <w:rPr>
          <w:rFonts w:ascii="Times New Roman" w:eastAsia="Times New Roman" w:hAnsi="Times New Roman" w:cs="Times New Roman"/>
          <w:color w:val="000000"/>
          <w:lang w:eastAsia="hu-HU"/>
        </w:rPr>
        <w:br/>
        <w:t>67–84%</w:t>
      </w:r>
      <w:r>
        <w:rPr>
          <w:rFonts w:ascii="Times New Roman" w:eastAsia="Times New Roman" w:hAnsi="Times New Roman" w:cs="Times New Roman"/>
          <w:color w:val="000000"/>
          <w:lang w:eastAsia="hu-HU"/>
        </w:rPr>
        <w:tab/>
      </w:r>
      <w:r>
        <w:rPr>
          <w:rFonts w:ascii="Times New Roman" w:eastAsia="Times New Roman" w:hAnsi="Times New Roman" w:cs="Times New Roman"/>
          <w:color w:val="000000"/>
          <w:lang w:eastAsia="hu-HU"/>
        </w:rPr>
        <w:tab/>
        <w:t xml:space="preserve">             3</w:t>
      </w:r>
      <w:r>
        <w:rPr>
          <w:rFonts w:ascii="Times New Roman" w:eastAsia="Times New Roman" w:hAnsi="Times New Roman" w:cs="Times New Roman"/>
          <w:color w:val="000000"/>
          <w:lang w:eastAsia="hu-HU"/>
        </w:rPr>
        <w:tab/>
        <w:t>(közepes)</w:t>
      </w:r>
      <w:r>
        <w:rPr>
          <w:rFonts w:ascii="Times New Roman" w:eastAsia="Times New Roman" w:hAnsi="Times New Roman" w:cs="Times New Roman"/>
          <w:color w:val="000000"/>
          <w:lang w:eastAsia="hu-HU"/>
        </w:rPr>
        <w:br/>
        <w:t>50–66%</w:t>
      </w:r>
      <w:r>
        <w:rPr>
          <w:rFonts w:ascii="Times New Roman" w:eastAsia="Times New Roman" w:hAnsi="Times New Roman" w:cs="Times New Roman"/>
          <w:color w:val="000000"/>
          <w:lang w:eastAsia="hu-HU"/>
        </w:rPr>
        <w:tab/>
      </w:r>
      <w:r>
        <w:rPr>
          <w:rFonts w:ascii="Times New Roman" w:eastAsia="Times New Roman" w:hAnsi="Times New Roman" w:cs="Times New Roman"/>
          <w:color w:val="000000"/>
          <w:lang w:eastAsia="hu-HU"/>
        </w:rPr>
        <w:tab/>
        <w:t xml:space="preserve">             2 </w:t>
      </w:r>
      <w:r>
        <w:rPr>
          <w:rFonts w:ascii="Times New Roman" w:eastAsia="Times New Roman" w:hAnsi="Times New Roman" w:cs="Times New Roman"/>
          <w:color w:val="000000"/>
          <w:lang w:eastAsia="hu-HU"/>
        </w:rPr>
        <w:tab/>
        <w:t>(elégséges)</w:t>
      </w:r>
    </w:p>
    <w:p w:rsidR="004E1940" w:rsidRDefault="004E1940" w:rsidP="00C14833">
      <w:pPr>
        <w:widowControl w:val="0"/>
        <w:numPr>
          <w:ilvl w:val="0"/>
          <w:numId w:val="132"/>
        </w:numPr>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Az értékelés, az aláírás és a kreditek megszerzésének pontos feltételei: </w:t>
      </w:r>
    </w:p>
    <w:p w:rsidR="004E1940" w:rsidRPr="004E1940" w:rsidRDefault="004E1940" w:rsidP="00C14833">
      <w:pPr>
        <w:widowControl w:val="0"/>
        <w:numPr>
          <w:ilvl w:val="1"/>
          <w:numId w:val="132"/>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4E1940">
        <w:rPr>
          <w:rFonts w:ascii="Times New Roman" w:eastAsia="Times New Roman" w:hAnsi="Times New Roman" w:cs="Times New Roman"/>
          <w:b/>
        </w:rPr>
        <w:t>Az aláírás megszerzésének feltételei:</w:t>
      </w:r>
      <w:r w:rsidRPr="004E1940">
        <w:rPr>
          <w:rFonts w:ascii="Times New Roman" w:eastAsia="Times New Roman" w:hAnsi="Times New Roman" w:cs="Times New Roman"/>
        </w:rPr>
        <w:t xml:space="preserve"> Az aláírás megszerzésének feltétele a 14. pontban meghatározott arányú részvétel a foglalkozásokon és a 15. pontban meghatározott félévközi feladatok legalább elégséges teljesítése.</w:t>
      </w:r>
      <w:r w:rsidRPr="004E1940">
        <w:rPr>
          <w:rFonts w:ascii="Times New Roman" w:eastAsia="Times New Roman" w:hAnsi="Times New Roman" w:cs="Times New Roman"/>
          <w:bCs/>
        </w:rPr>
        <w:t xml:space="preserve"> </w:t>
      </w:r>
    </w:p>
    <w:p w:rsidR="004E1940" w:rsidRDefault="004E1940" w:rsidP="00C14833">
      <w:pPr>
        <w:widowControl w:val="0"/>
        <w:numPr>
          <w:ilvl w:val="1"/>
          <w:numId w:val="132"/>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Az értékelés:</w:t>
      </w:r>
      <w:r>
        <w:rPr>
          <w:rFonts w:ascii="Times New Roman" w:eastAsia="Times New Roman" w:hAnsi="Times New Roman" w:cs="Times New Roman"/>
        </w:rPr>
        <w:t xml:space="preserve"> </w:t>
      </w:r>
      <w:r>
        <w:rPr>
          <w:rFonts w:ascii="Times New Roman" w:eastAsia="Times New Roman" w:hAnsi="Times New Roman" w:cs="Times New Roman"/>
          <w:b/>
          <w:i/>
        </w:rPr>
        <w:t>Gyakorlati jegy</w:t>
      </w:r>
      <w:r>
        <w:rPr>
          <w:rFonts w:ascii="Times New Roman" w:eastAsia="Times New Roman" w:hAnsi="Times New Roman" w:cs="Times New Roman"/>
        </w:rPr>
        <w:t xml:space="preserve"> (ötfokozatú). A gyakorlati jegy a tantárgy tanulmányi követelményeinek félévközi, folyamatos értékelésén alapul, amely két összetevőből áll, a beadandó esszéből és a prezentációból.</w:t>
      </w:r>
    </w:p>
    <w:p w:rsidR="004E1940" w:rsidRPr="004E1940" w:rsidRDefault="004E1940" w:rsidP="00C14833">
      <w:pPr>
        <w:widowControl w:val="0"/>
        <w:numPr>
          <w:ilvl w:val="1"/>
          <w:numId w:val="132"/>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4E1940">
        <w:rPr>
          <w:rFonts w:ascii="Times New Roman" w:eastAsia="Times New Roman" w:hAnsi="Times New Roman" w:cs="Times New Roman"/>
          <w:b/>
        </w:rPr>
        <w:t>A kreditek megszerzésének feltételei:</w:t>
      </w:r>
      <w:r w:rsidRPr="004E1940">
        <w:rPr>
          <w:rFonts w:ascii="Times New Roman" w:eastAsia="Times New Roman" w:hAnsi="Times New Roman" w:cs="Times New Roman"/>
        </w:rPr>
        <w:t xml:space="preserve"> A kreditek megszerzésének feltétele a 14. pontban meghatározott arányú részvétel a foglalkozásokon és a 15. pontban meghatározott feladatok legalább elégséges teljesítése. </w:t>
      </w:r>
    </w:p>
    <w:p w:rsidR="004E1940" w:rsidRDefault="004E1940" w:rsidP="00C14833">
      <w:pPr>
        <w:widowControl w:val="0"/>
        <w:numPr>
          <w:ilvl w:val="0"/>
          <w:numId w:val="132"/>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Irodalomjegyzék:</w:t>
      </w:r>
    </w:p>
    <w:p w:rsidR="004E1940" w:rsidRDefault="004E1940" w:rsidP="00C14833">
      <w:pPr>
        <w:widowControl w:val="0"/>
        <w:numPr>
          <w:ilvl w:val="1"/>
          <w:numId w:val="132"/>
        </w:numPr>
        <w:tabs>
          <w:tab w:val="left" w:pos="567"/>
          <w:tab w:val="left" w:pos="851"/>
          <w:tab w:val="num" w:pos="2069"/>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Kötelező irodalom:</w:t>
      </w:r>
    </w:p>
    <w:p w:rsidR="004E1940" w:rsidRDefault="004E1940" w:rsidP="00C14833">
      <w:pPr>
        <w:widowControl w:val="0"/>
        <w:numPr>
          <w:ilvl w:val="0"/>
          <w:numId w:val="130"/>
        </w:numPr>
        <w:spacing w:after="0" w:line="240" w:lineRule="auto"/>
        <w:jc w:val="both"/>
        <w:rPr>
          <w:rFonts w:ascii="Times New Roman" w:eastAsia="Times New Roman" w:hAnsi="Times New Roman" w:cs="Times New Roman"/>
          <w:color w:val="000000"/>
          <w:lang w:eastAsia="hu-HU"/>
        </w:rPr>
      </w:pPr>
      <w:r>
        <w:rPr>
          <w:rFonts w:ascii="Times New Roman" w:eastAsia="Times New Roman" w:hAnsi="Times New Roman" w:cs="Times New Roman"/>
          <w:color w:val="000000"/>
          <w:lang w:eastAsia="hu-HU"/>
        </w:rPr>
        <w:t xml:space="preserve">Karoliny Mártonné – Poór József: Emberi erőforrás menedzsment kézikönyv. Wolters Kluwer Kft., Budapest, 2013. ISBN:9789632951089 </w:t>
      </w:r>
    </w:p>
    <w:p w:rsidR="004E1940" w:rsidRDefault="004E1940" w:rsidP="00C14833">
      <w:pPr>
        <w:widowControl w:val="0"/>
        <w:numPr>
          <w:ilvl w:val="0"/>
          <w:numId w:val="130"/>
        </w:numPr>
        <w:spacing w:after="0" w:line="240" w:lineRule="auto"/>
        <w:jc w:val="both"/>
        <w:rPr>
          <w:rFonts w:ascii="Times New Roman" w:eastAsia="Times New Roman" w:hAnsi="Times New Roman" w:cs="Times New Roman"/>
          <w:color w:val="000000"/>
          <w:lang w:eastAsia="hu-HU"/>
        </w:rPr>
      </w:pPr>
      <w:r>
        <w:rPr>
          <w:rFonts w:ascii="Times New Roman" w:eastAsia="Times New Roman" w:hAnsi="Times New Roman" w:cs="Times New Roman"/>
          <w:color w:val="000000"/>
          <w:lang w:eastAsia="hu-HU"/>
        </w:rPr>
        <w:t>Porkoláb Imre: Szolgálj, hogy vezethess. HVG Könyvek, Budapest, 2016. ISBN: 9789633042960</w:t>
      </w:r>
    </w:p>
    <w:p w:rsidR="004E1940" w:rsidRDefault="004E1940" w:rsidP="00C14833">
      <w:pPr>
        <w:widowControl w:val="0"/>
        <w:numPr>
          <w:ilvl w:val="1"/>
          <w:numId w:val="132"/>
        </w:numPr>
        <w:tabs>
          <w:tab w:val="num" w:pos="567"/>
          <w:tab w:val="num" w:pos="2069"/>
        </w:tabs>
        <w:spacing w:before="120" w:after="120" w:line="240" w:lineRule="auto"/>
        <w:ind w:left="993" w:hanging="709"/>
        <w:jc w:val="both"/>
        <w:rPr>
          <w:rFonts w:ascii="Times New Roman" w:eastAsia="Times New Roman" w:hAnsi="Times New Roman" w:cs="Times New Roman"/>
          <w:b/>
          <w:bCs/>
        </w:rPr>
      </w:pPr>
      <w:r>
        <w:rPr>
          <w:rFonts w:ascii="Times New Roman" w:eastAsia="Times New Roman" w:hAnsi="Times New Roman" w:cs="Times New Roman"/>
          <w:b/>
          <w:bCs/>
        </w:rPr>
        <w:t>Ajánlott irodalom:</w:t>
      </w:r>
    </w:p>
    <w:p w:rsidR="004E1940" w:rsidRDefault="004E1940" w:rsidP="00C14833">
      <w:pPr>
        <w:widowControl w:val="0"/>
        <w:numPr>
          <w:ilvl w:val="0"/>
          <w:numId w:val="131"/>
        </w:numPr>
        <w:spacing w:after="0" w:line="240" w:lineRule="auto"/>
        <w:jc w:val="both"/>
        <w:rPr>
          <w:rFonts w:ascii="Times New Roman" w:eastAsia="Times New Roman" w:hAnsi="Times New Roman" w:cs="Times New Roman"/>
          <w:color w:val="000000"/>
          <w:lang w:eastAsia="hu-HU"/>
        </w:rPr>
      </w:pPr>
      <w:r>
        <w:rPr>
          <w:rFonts w:ascii="Times New Roman" w:eastAsia="Times New Roman" w:hAnsi="Times New Roman" w:cs="Times New Roman"/>
          <w:color w:val="000000"/>
          <w:lang w:eastAsia="hu-HU"/>
        </w:rPr>
        <w:t>Benkő Tibor: Gondolatok az ideális parancsnokról. Hadtudomány, 2008/3–4., pp. 91–103. ISSN: 15880605</w:t>
      </w:r>
    </w:p>
    <w:p w:rsidR="004E1940" w:rsidRDefault="004E1940" w:rsidP="00C14833">
      <w:pPr>
        <w:widowControl w:val="0"/>
        <w:numPr>
          <w:ilvl w:val="0"/>
          <w:numId w:val="131"/>
        </w:numPr>
        <w:spacing w:after="0" w:line="240" w:lineRule="auto"/>
        <w:jc w:val="both"/>
        <w:rPr>
          <w:rFonts w:ascii="Times New Roman" w:eastAsia="Times New Roman" w:hAnsi="Times New Roman" w:cs="Times New Roman"/>
          <w:color w:val="000000"/>
          <w:lang w:eastAsia="hu-HU"/>
        </w:rPr>
      </w:pPr>
      <w:r>
        <w:rPr>
          <w:rFonts w:ascii="Times New Roman" w:eastAsia="Times New Roman" w:hAnsi="Times New Roman" w:cs="Times New Roman"/>
          <w:color w:val="000000"/>
          <w:lang w:eastAsia="hu-HU"/>
        </w:rPr>
        <w:t>Palásti Ferenc: A honvéd vezérkar főnökének elvárásai a jövő tisztjével és a tisztképzéssel szemben. Hadtudomány, 2007/4., pp. 17–22. ISSN: 1588-0605</w:t>
      </w:r>
    </w:p>
    <w:p w:rsidR="004E1940" w:rsidRDefault="004E1940" w:rsidP="004E1940">
      <w:pPr>
        <w:widowControl w:val="0"/>
        <w:spacing w:after="0" w:line="240" w:lineRule="auto"/>
        <w:ind w:left="964"/>
        <w:jc w:val="both"/>
        <w:rPr>
          <w:rFonts w:ascii="Times New Roman" w:eastAsia="Times New Roman" w:hAnsi="Times New Roman" w:cs="Times New Roman"/>
          <w:color w:val="000000"/>
          <w:sz w:val="8"/>
          <w:szCs w:val="8"/>
          <w:lang w:eastAsia="hu-HU"/>
        </w:rPr>
      </w:pPr>
    </w:p>
    <w:p w:rsidR="004E1940" w:rsidRDefault="004E1940" w:rsidP="00194AF9">
      <w:pPr>
        <w:widowControl w:val="0"/>
        <w:spacing w:before="120" w:after="120" w:line="240" w:lineRule="auto"/>
        <w:ind w:firstLine="567"/>
        <w:jc w:val="both"/>
        <w:rPr>
          <w:rFonts w:ascii="Times New Roman" w:eastAsia="Times New Roman" w:hAnsi="Times New Roman" w:cs="Times New Roman"/>
          <w:bCs/>
        </w:rPr>
      </w:pPr>
      <w:r>
        <w:rPr>
          <w:rFonts w:ascii="Times New Roman" w:eastAsia="Times New Roman" w:hAnsi="Times New Roman" w:cs="Times New Roman"/>
          <w:bCs/>
        </w:rPr>
        <w:t>Budapest, 2020. március 03.</w:t>
      </w:r>
    </w:p>
    <w:p w:rsidR="004E1940" w:rsidRPr="004E1940" w:rsidRDefault="004E1940" w:rsidP="004E1940">
      <w:pPr>
        <w:spacing w:after="0" w:line="240" w:lineRule="auto"/>
        <w:ind w:left="2835" w:firstLine="1134"/>
        <w:jc w:val="center"/>
        <w:rPr>
          <w:rFonts w:ascii="Times New Roman" w:eastAsia="Times New Roman" w:hAnsi="Times New Roman" w:cs="Times New Roman"/>
          <w:b/>
          <w:bCs/>
          <w:lang w:eastAsia="hu-HU"/>
        </w:rPr>
      </w:pPr>
      <w:r w:rsidRPr="004E1940">
        <w:rPr>
          <w:rFonts w:ascii="Times New Roman" w:eastAsia="Times New Roman" w:hAnsi="Times New Roman" w:cs="Times New Roman"/>
          <w:b/>
          <w:bCs/>
          <w:lang w:eastAsia="hu-HU"/>
        </w:rPr>
        <w:t>Dr. Ujházy László alezredes, PhD s. k.</w:t>
      </w:r>
    </w:p>
    <w:p w:rsidR="004E1940" w:rsidRDefault="004E1940" w:rsidP="004E1940">
      <w:pPr>
        <w:spacing w:after="0" w:line="240" w:lineRule="auto"/>
        <w:ind w:left="2835" w:firstLine="1134"/>
        <w:jc w:val="center"/>
        <w:rPr>
          <w:rFonts w:ascii="Times New Roman" w:eastAsia="Times New Roman" w:hAnsi="Times New Roman" w:cs="Times New Roman"/>
          <w:bCs/>
        </w:rPr>
      </w:pPr>
      <w:r>
        <w:rPr>
          <w:rFonts w:ascii="Times New Roman" w:eastAsia="Times New Roman" w:hAnsi="Times New Roman" w:cs="Times New Roman"/>
          <w:bCs/>
          <w:lang w:eastAsia="hu-HU"/>
        </w:rPr>
        <w:t>tanszékvezető, egyetemi docens</w:t>
      </w:r>
    </w:p>
    <w:p w:rsidR="00B16DB9" w:rsidRDefault="00B16DB9">
      <w:r>
        <w:br w:type="page"/>
      </w:r>
    </w:p>
    <w:tbl>
      <w:tblPr>
        <w:tblW w:w="9072" w:type="dxa"/>
        <w:tblInd w:w="113" w:type="dxa"/>
        <w:tblLook w:val="01E0" w:firstRow="1" w:lastRow="1" w:firstColumn="1" w:lastColumn="1" w:noHBand="0" w:noVBand="0"/>
      </w:tblPr>
      <w:tblGrid>
        <w:gridCol w:w="4855"/>
        <w:gridCol w:w="1620"/>
        <w:gridCol w:w="2597"/>
      </w:tblGrid>
      <w:tr w:rsidR="00CF2EC3" w:rsidRPr="000B1A81" w:rsidTr="00B6175C">
        <w:tc>
          <w:tcPr>
            <w:tcW w:w="4855" w:type="dxa"/>
            <w:tcBorders>
              <w:bottom w:val="single" w:sz="4" w:space="0" w:color="auto"/>
            </w:tcBorders>
          </w:tcPr>
          <w:p w:rsidR="00CF2EC3" w:rsidRPr="000B1A81" w:rsidRDefault="00CF2EC3" w:rsidP="00B6175C">
            <w:pPr>
              <w:spacing w:after="0" w:line="240" w:lineRule="auto"/>
              <w:jc w:val="center"/>
              <w:rPr>
                <w:rFonts w:ascii="Times New Roman" w:eastAsia="Times New Roman" w:hAnsi="Times New Roman" w:cs="Times New Roman"/>
                <w:b/>
                <w:smallCaps/>
                <w:lang w:eastAsia="hu-HU"/>
              </w:rPr>
            </w:pPr>
            <w:r w:rsidRPr="000B1A81">
              <w:rPr>
                <w:rFonts w:ascii="Times New Roman" w:eastAsia="Times New Roman" w:hAnsi="Times New Roman" w:cs="Times New Roman"/>
                <w:b/>
                <w:smallCaps/>
                <w:lang w:eastAsia="hu-HU"/>
              </w:rPr>
              <w:lastRenderedPageBreak/>
              <w:t>Nemzeti Közszolgálati Egyetem</w:t>
            </w:r>
          </w:p>
        </w:tc>
        <w:tc>
          <w:tcPr>
            <w:tcW w:w="1620" w:type="dxa"/>
          </w:tcPr>
          <w:p w:rsidR="00CF2EC3" w:rsidRPr="000B1A81" w:rsidRDefault="00CF2EC3" w:rsidP="00B6175C">
            <w:pPr>
              <w:spacing w:after="0" w:line="240" w:lineRule="auto"/>
              <w:jc w:val="both"/>
              <w:rPr>
                <w:rFonts w:ascii="Times New Roman" w:eastAsia="Times New Roman" w:hAnsi="Times New Roman" w:cs="Times New Roman"/>
                <w:lang w:eastAsia="hu-HU"/>
              </w:rPr>
            </w:pPr>
          </w:p>
        </w:tc>
        <w:tc>
          <w:tcPr>
            <w:tcW w:w="2597" w:type="dxa"/>
          </w:tcPr>
          <w:p w:rsidR="00CF2EC3" w:rsidRPr="000B1A81" w:rsidRDefault="00CF2EC3" w:rsidP="00B6175C">
            <w:pPr>
              <w:spacing w:after="0" w:line="240" w:lineRule="auto"/>
              <w:jc w:val="right"/>
              <w:rPr>
                <w:rFonts w:ascii="Times New Roman" w:eastAsia="Times New Roman" w:hAnsi="Times New Roman" w:cs="Times New Roman"/>
                <w:lang w:eastAsia="hu-HU"/>
              </w:rPr>
            </w:pPr>
          </w:p>
        </w:tc>
      </w:tr>
      <w:tr w:rsidR="00CF2EC3" w:rsidRPr="000B1A81" w:rsidTr="00B6175C">
        <w:tc>
          <w:tcPr>
            <w:tcW w:w="4855" w:type="dxa"/>
            <w:tcBorders>
              <w:top w:val="single" w:sz="4" w:space="0" w:color="auto"/>
            </w:tcBorders>
          </w:tcPr>
          <w:p w:rsidR="00CF2EC3" w:rsidRPr="000B1A81" w:rsidRDefault="00CF2EC3" w:rsidP="00B6175C">
            <w:pPr>
              <w:spacing w:after="0" w:line="240" w:lineRule="auto"/>
              <w:jc w:val="center"/>
              <w:rPr>
                <w:rFonts w:ascii="Times New Roman" w:eastAsia="Times New Roman" w:hAnsi="Times New Roman" w:cs="Times New Roman"/>
                <w:b/>
                <w:lang w:eastAsia="hu-HU"/>
              </w:rPr>
            </w:pPr>
            <w:r w:rsidRPr="000B1A81">
              <w:rPr>
                <w:rFonts w:ascii="Times New Roman" w:eastAsia="Times New Roman" w:hAnsi="Times New Roman" w:cs="Times New Roman"/>
                <w:b/>
                <w:lang w:eastAsia="hu-HU"/>
              </w:rPr>
              <w:t>Hadtudományi és Honvédtisztképző Kar</w:t>
            </w:r>
          </w:p>
        </w:tc>
        <w:tc>
          <w:tcPr>
            <w:tcW w:w="1620" w:type="dxa"/>
          </w:tcPr>
          <w:p w:rsidR="00CF2EC3" w:rsidRPr="000B1A81" w:rsidRDefault="00CF2EC3" w:rsidP="00B6175C">
            <w:pPr>
              <w:spacing w:after="0" w:line="240" w:lineRule="auto"/>
              <w:jc w:val="both"/>
              <w:rPr>
                <w:rFonts w:ascii="Times New Roman" w:eastAsia="Times New Roman" w:hAnsi="Times New Roman" w:cs="Times New Roman"/>
                <w:lang w:eastAsia="hu-HU"/>
              </w:rPr>
            </w:pPr>
          </w:p>
        </w:tc>
        <w:tc>
          <w:tcPr>
            <w:tcW w:w="2597" w:type="dxa"/>
          </w:tcPr>
          <w:p w:rsidR="00CF2EC3" w:rsidRPr="000B1A81" w:rsidRDefault="00CF2EC3" w:rsidP="00B6175C">
            <w:pPr>
              <w:spacing w:after="0" w:line="240" w:lineRule="auto"/>
              <w:jc w:val="both"/>
              <w:rPr>
                <w:rFonts w:ascii="Times New Roman" w:eastAsia="Times New Roman" w:hAnsi="Times New Roman" w:cs="Times New Roman"/>
                <w:lang w:eastAsia="hu-HU"/>
              </w:rPr>
            </w:pPr>
          </w:p>
        </w:tc>
      </w:tr>
    </w:tbl>
    <w:p w:rsidR="00CF2EC3" w:rsidRPr="000B1A81" w:rsidRDefault="00CF2EC3" w:rsidP="00CF2EC3">
      <w:pPr>
        <w:widowControl w:val="0"/>
        <w:spacing w:before="120" w:after="120" w:line="240" w:lineRule="auto"/>
        <w:ind w:left="426" w:hanging="142"/>
        <w:jc w:val="center"/>
        <w:rPr>
          <w:rFonts w:ascii="Times New Roman" w:eastAsia="Times New Roman" w:hAnsi="Times New Roman" w:cs="Times New Roman"/>
          <w:b/>
          <w:bCs/>
        </w:rPr>
      </w:pPr>
    </w:p>
    <w:p w:rsidR="00CF2EC3" w:rsidRPr="000B1A81" w:rsidRDefault="00CF2EC3" w:rsidP="00CF2EC3">
      <w:pPr>
        <w:widowControl w:val="0"/>
        <w:spacing w:before="120" w:after="120" w:line="240" w:lineRule="auto"/>
        <w:ind w:left="426" w:hanging="142"/>
        <w:jc w:val="center"/>
        <w:rPr>
          <w:rFonts w:ascii="Times New Roman" w:eastAsia="Times New Roman" w:hAnsi="Times New Roman" w:cs="Times New Roman"/>
          <w:b/>
          <w:bCs/>
        </w:rPr>
      </w:pPr>
      <w:r w:rsidRPr="000B1A81">
        <w:rPr>
          <w:rFonts w:ascii="Times New Roman" w:eastAsia="Times New Roman" w:hAnsi="Times New Roman" w:cs="Times New Roman"/>
          <w:b/>
          <w:bCs/>
        </w:rPr>
        <w:t>TANTÁRGYI PROGRAM</w:t>
      </w:r>
    </w:p>
    <w:p w:rsidR="00CF2EC3" w:rsidRPr="000B1A81" w:rsidRDefault="00CF2EC3" w:rsidP="00980876">
      <w:pPr>
        <w:widowControl w:val="0"/>
        <w:numPr>
          <w:ilvl w:val="0"/>
          <w:numId w:val="413"/>
        </w:numPr>
        <w:tabs>
          <w:tab w:val="num" w:pos="567"/>
        </w:tabs>
        <w:spacing w:before="120" w:after="120" w:line="240" w:lineRule="auto"/>
        <w:ind w:left="426" w:hanging="142"/>
        <w:jc w:val="both"/>
        <w:rPr>
          <w:rFonts w:ascii="Times New Roman" w:eastAsia="Times New Roman" w:hAnsi="Times New Roman" w:cs="Times New Roman"/>
          <w:bCs/>
        </w:rPr>
      </w:pPr>
      <w:r w:rsidRPr="000B1A81">
        <w:rPr>
          <w:rFonts w:ascii="Times New Roman" w:eastAsia="Times New Roman" w:hAnsi="Times New Roman" w:cs="Times New Roman"/>
          <w:b/>
          <w:bCs/>
        </w:rPr>
        <w:t xml:space="preserve">A tantárgy kódja: </w:t>
      </w:r>
      <w:r w:rsidRPr="000B1A81">
        <w:rPr>
          <w:rFonts w:ascii="Times New Roman" w:eastAsia="Times New Roman" w:hAnsi="Times New Roman" w:cs="Times New Roman"/>
          <w:bCs/>
        </w:rPr>
        <w:t>HKHDTA03</w:t>
      </w:r>
    </w:p>
    <w:p w:rsidR="00CF2EC3" w:rsidRPr="000B1A81" w:rsidRDefault="00CF2EC3" w:rsidP="00980876">
      <w:pPr>
        <w:widowControl w:val="0"/>
        <w:numPr>
          <w:ilvl w:val="0"/>
          <w:numId w:val="413"/>
        </w:numPr>
        <w:tabs>
          <w:tab w:val="num" w:pos="567"/>
        </w:tabs>
        <w:spacing w:before="120" w:after="120" w:line="240" w:lineRule="auto"/>
        <w:ind w:left="426" w:hanging="142"/>
        <w:jc w:val="both"/>
        <w:rPr>
          <w:rFonts w:ascii="Times New Roman" w:eastAsia="Times New Roman" w:hAnsi="Times New Roman" w:cs="Times New Roman"/>
          <w:b/>
          <w:bCs/>
          <w:lang w:val="en-GB"/>
        </w:rPr>
      </w:pPr>
      <w:r w:rsidRPr="000B1A81">
        <w:rPr>
          <w:rFonts w:ascii="Times New Roman" w:eastAsia="Times New Roman" w:hAnsi="Times New Roman" w:cs="Times New Roman"/>
          <w:b/>
          <w:bCs/>
        </w:rPr>
        <w:t>A tantárgy megnevezése (magyarul):</w:t>
      </w:r>
      <w:r w:rsidRPr="000B1A81">
        <w:rPr>
          <w:rFonts w:ascii="Times New Roman" w:eastAsia="Times New Roman" w:hAnsi="Times New Roman" w:cs="Times New Roman"/>
          <w:bCs/>
        </w:rPr>
        <w:t xml:space="preserve"> </w:t>
      </w:r>
      <w:r w:rsidRPr="000B1A81">
        <w:rPr>
          <w:rFonts w:ascii="Times New Roman" w:hAnsi="Times New Roman" w:cs="Times New Roman"/>
          <w:bCs/>
        </w:rPr>
        <w:t>Üzemfenntartás</w:t>
      </w:r>
      <w:r>
        <w:rPr>
          <w:rFonts w:ascii="Times New Roman" w:eastAsia="Times New Roman" w:hAnsi="Times New Roman" w:cs="Times New Roman"/>
          <w:bCs/>
        </w:rPr>
        <w:t xml:space="preserve"> </w:t>
      </w:r>
    </w:p>
    <w:p w:rsidR="00CF2EC3" w:rsidRPr="000B1A81" w:rsidRDefault="00CF2EC3" w:rsidP="00980876">
      <w:pPr>
        <w:widowControl w:val="0"/>
        <w:numPr>
          <w:ilvl w:val="0"/>
          <w:numId w:val="413"/>
        </w:numPr>
        <w:tabs>
          <w:tab w:val="num" w:pos="567"/>
        </w:tabs>
        <w:spacing w:before="120" w:after="120" w:line="240" w:lineRule="auto"/>
        <w:ind w:left="426" w:hanging="142"/>
        <w:jc w:val="both"/>
        <w:rPr>
          <w:rFonts w:ascii="Times New Roman" w:eastAsia="Times New Roman" w:hAnsi="Times New Roman" w:cs="Times New Roman"/>
          <w:b/>
          <w:bCs/>
          <w:lang w:val="en-GB"/>
        </w:rPr>
      </w:pPr>
      <w:r w:rsidRPr="000B1A81">
        <w:rPr>
          <w:rFonts w:ascii="Times New Roman" w:eastAsia="Times New Roman" w:hAnsi="Times New Roman" w:cs="Times New Roman"/>
          <w:b/>
          <w:bCs/>
        </w:rPr>
        <w:t xml:space="preserve">A tantárgy megnevezése (angolul): </w:t>
      </w:r>
      <w:r w:rsidRPr="000B1A81">
        <w:rPr>
          <w:rFonts w:ascii="Times New Roman" w:hAnsi="Times New Roman" w:cs="Times New Roman"/>
          <w:bCs/>
        </w:rPr>
        <w:t>Maintenance System of Military Vehicles</w:t>
      </w:r>
    </w:p>
    <w:p w:rsidR="00CF2EC3" w:rsidRPr="000B1A81" w:rsidRDefault="00CF2EC3" w:rsidP="00980876">
      <w:pPr>
        <w:widowControl w:val="0"/>
        <w:numPr>
          <w:ilvl w:val="0"/>
          <w:numId w:val="413"/>
        </w:numPr>
        <w:tabs>
          <w:tab w:val="num" w:pos="567"/>
        </w:tabs>
        <w:spacing w:before="120" w:after="120" w:line="240" w:lineRule="auto"/>
        <w:ind w:left="426" w:hanging="142"/>
        <w:jc w:val="both"/>
        <w:rPr>
          <w:rFonts w:ascii="Times New Roman" w:eastAsia="Times New Roman" w:hAnsi="Times New Roman" w:cs="Times New Roman"/>
          <w:b/>
          <w:bCs/>
        </w:rPr>
      </w:pPr>
      <w:r w:rsidRPr="000B1A81">
        <w:rPr>
          <w:rFonts w:ascii="Times New Roman" w:eastAsia="Times New Roman" w:hAnsi="Times New Roman" w:cs="Times New Roman"/>
          <w:b/>
          <w:bCs/>
        </w:rPr>
        <w:t xml:space="preserve">Kreditérték és képzési karakter: </w:t>
      </w:r>
    </w:p>
    <w:p w:rsidR="00CF2EC3" w:rsidRPr="005959AA" w:rsidRDefault="00CF2EC3" w:rsidP="00980876">
      <w:pPr>
        <w:widowControl w:val="0"/>
        <w:numPr>
          <w:ilvl w:val="1"/>
          <w:numId w:val="413"/>
        </w:numPr>
        <w:tabs>
          <w:tab w:val="clear" w:pos="3977"/>
          <w:tab w:val="num" w:pos="709"/>
          <w:tab w:val="num" w:pos="1142"/>
          <w:tab w:val="num" w:pos="2069"/>
        </w:tabs>
        <w:spacing w:before="120" w:after="120" w:line="240" w:lineRule="auto"/>
        <w:ind w:left="851" w:hanging="425"/>
        <w:jc w:val="both"/>
        <w:rPr>
          <w:rFonts w:ascii="Times New Roman" w:eastAsia="Times New Roman" w:hAnsi="Times New Roman" w:cs="Times New Roman"/>
          <w:bCs/>
        </w:rPr>
      </w:pPr>
      <w:r w:rsidRPr="000B1A81">
        <w:rPr>
          <w:rFonts w:ascii="Times New Roman" w:eastAsia="Times New Roman" w:hAnsi="Times New Roman" w:cs="Times New Roman"/>
          <w:bCs/>
        </w:rPr>
        <w:t>2 kredit</w:t>
      </w:r>
    </w:p>
    <w:p w:rsidR="00CF2EC3" w:rsidRPr="005959AA" w:rsidRDefault="00CF2EC3" w:rsidP="00980876">
      <w:pPr>
        <w:widowControl w:val="0"/>
        <w:numPr>
          <w:ilvl w:val="1"/>
          <w:numId w:val="413"/>
        </w:numPr>
        <w:tabs>
          <w:tab w:val="clear" w:pos="3977"/>
          <w:tab w:val="num" w:pos="709"/>
          <w:tab w:val="num" w:pos="1142"/>
          <w:tab w:val="num" w:pos="2069"/>
        </w:tabs>
        <w:spacing w:before="120" w:after="120" w:line="240" w:lineRule="auto"/>
        <w:ind w:left="851" w:hanging="425"/>
        <w:jc w:val="both"/>
        <w:rPr>
          <w:rFonts w:ascii="Times New Roman" w:eastAsia="Times New Roman" w:hAnsi="Times New Roman" w:cs="Times New Roman"/>
          <w:bCs/>
        </w:rPr>
      </w:pPr>
      <w:r w:rsidRPr="000B1A81">
        <w:rPr>
          <w:rFonts w:ascii="Times New Roman" w:eastAsia="Times New Roman" w:hAnsi="Times New Roman" w:cs="Times New Roman"/>
          <w:bCs/>
        </w:rPr>
        <w:t>a tantárgy elméleti vagy gyakorlati jellegének mértéke: 50</w:t>
      </w:r>
      <w:r w:rsidRPr="005959AA">
        <w:rPr>
          <w:rFonts w:ascii="Times New Roman" w:eastAsia="Times New Roman" w:hAnsi="Times New Roman" w:cs="Times New Roman"/>
          <w:bCs/>
        </w:rPr>
        <w:t xml:space="preserve"> </w:t>
      </w:r>
      <w:r w:rsidRPr="000B1A81">
        <w:rPr>
          <w:rFonts w:ascii="Times New Roman" w:eastAsia="Times New Roman" w:hAnsi="Times New Roman" w:cs="Times New Roman"/>
          <w:bCs/>
        </w:rPr>
        <w:t>% gyakorlat, 50 % elmélet</w:t>
      </w:r>
    </w:p>
    <w:p w:rsidR="00CF2EC3" w:rsidRPr="000B1A81" w:rsidRDefault="00CF2EC3" w:rsidP="00980876">
      <w:pPr>
        <w:widowControl w:val="0"/>
        <w:numPr>
          <w:ilvl w:val="0"/>
          <w:numId w:val="413"/>
        </w:numPr>
        <w:spacing w:before="120" w:after="120" w:line="240" w:lineRule="auto"/>
        <w:ind w:left="426" w:hanging="142"/>
        <w:jc w:val="both"/>
        <w:rPr>
          <w:rFonts w:ascii="Times New Roman" w:eastAsia="Times New Roman" w:hAnsi="Times New Roman" w:cs="Times New Roman"/>
          <w:bCs/>
        </w:rPr>
      </w:pPr>
      <w:r w:rsidRPr="000B1A81">
        <w:rPr>
          <w:rFonts w:ascii="Times New Roman" w:eastAsia="Times New Roman" w:hAnsi="Times New Roman" w:cs="Times New Roman"/>
          <w:b/>
          <w:bCs/>
        </w:rPr>
        <w:t>A szak(ok), szakirányok/specializációk megnevezése (ahol oktatják):</w:t>
      </w:r>
      <w:r w:rsidRPr="000B1A81">
        <w:rPr>
          <w:rFonts w:ascii="Times New Roman" w:eastAsia="Times New Roman" w:hAnsi="Times New Roman" w:cs="Times New Roman"/>
          <w:bCs/>
        </w:rPr>
        <w:t xml:space="preserve"> Katonai logisztika alapképzési szak</w:t>
      </w:r>
    </w:p>
    <w:p w:rsidR="00CF2EC3" w:rsidRPr="000B1A81" w:rsidRDefault="00CF2EC3" w:rsidP="00980876">
      <w:pPr>
        <w:widowControl w:val="0"/>
        <w:numPr>
          <w:ilvl w:val="0"/>
          <w:numId w:val="413"/>
        </w:numPr>
        <w:tabs>
          <w:tab w:val="num" w:pos="567"/>
        </w:tabs>
        <w:spacing w:before="120" w:after="120" w:line="240" w:lineRule="auto"/>
        <w:ind w:left="426" w:hanging="142"/>
        <w:jc w:val="both"/>
        <w:rPr>
          <w:rFonts w:ascii="Times New Roman" w:eastAsia="Times New Roman" w:hAnsi="Times New Roman" w:cs="Times New Roman"/>
          <w:bCs/>
        </w:rPr>
      </w:pPr>
      <w:r w:rsidRPr="000B1A81">
        <w:rPr>
          <w:rFonts w:ascii="Times New Roman" w:eastAsia="Times New Roman" w:hAnsi="Times New Roman" w:cs="Times New Roman"/>
          <w:b/>
          <w:bCs/>
        </w:rPr>
        <w:t xml:space="preserve">Az oktatásért felelős oktatási szervezeti egység megnevezése: </w:t>
      </w:r>
      <w:r w:rsidRPr="000B1A81">
        <w:rPr>
          <w:rFonts w:ascii="Times New Roman" w:eastAsia="Times New Roman" w:hAnsi="Times New Roman" w:cs="Times New Roman"/>
          <w:bCs/>
        </w:rPr>
        <w:t xml:space="preserve">NKE </w:t>
      </w:r>
      <w:r w:rsidRPr="000B1A81">
        <w:rPr>
          <w:rFonts w:ascii="Times New Roman" w:hAnsi="Times New Roman" w:cs="Times New Roman"/>
          <w:bCs/>
          <w:kern w:val="2"/>
        </w:rPr>
        <w:t>Hadtudományi és Honvédtisztképző Kar,</w:t>
      </w:r>
      <w:r w:rsidRPr="000B1A81">
        <w:rPr>
          <w:rFonts w:ascii="Times New Roman" w:eastAsia="Times New Roman" w:hAnsi="Times New Roman" w:cs="Times New Roman"/>
          <w:bCs/>
        </w:rPr>
        <w:t xml:space="preserve"> Haditechnikai Tanszék</w:t>
      </w:r>
    </w:p>
    <w:p w:rsidR="00CF2EC3" w:rsidRPr="000B1A81" w:rsidRDefault="00CF2EC3" w:rsidP="00980876">
      <w:pPr>
        <w:widowControl w:val="0"/>
        <w:numPr>
          <w:ilvl w:val="0"/>
          <w:numId w:val="413"/>
        </w:numPr>
        <w:tabs>
          <w:tab w:val="num" w:pos="567"/>
        </w:tabs>
        <w:spacing w:before="120" w:after="120" w:line="240" w:lineRule="auto"/>
        <w:ind w:left="426" w:hanging="142"/>
        <w:jc w:val="both"/>
        <w:rPr>
          <w:rFonts w:ascii="Times New Roman" w:eastAsia="Times New Roman" w:hAnsi="Times New Roman" w:cs="Times New Roman"/>
          <w:bCs/>
        </w:rPr>
      </w:pPr>
      <w:r w:rsidRPr="000B1A81">
        <w:rPr>
          <w:rFonts w:ascii="Times New Roman" w:eastAsia="Times New Roman" w:hAnsi="Times New Roman" w:cs="Times New Roman"/>
          <w:b/>
          <w:bCs/>
        </w:rPr>
        <w:t>A tantárgyfelelős oktató neve, beosztása, tudományos fokozata:</w:t>
      </w:r>
      <w:r w:rsidRPr="000B1A81">
        <w:rPr>
          <w:rFonts w:ascii="Times New Roman" w:eastAsia="Times New Roman" w:hAnsi="Times New Roman" w:cs="Times New Roman"/>
          <w:bCs/>
        </w:rPr>
        <w:t xml:space="preserve"> Dr. Gávay György Viktor, adjunktus, PhD.</w:t>
      </w:r>
    </w:p>
    <w:p w:rsidR="00CF2EC3" w:rsidRPr="000B1A81" w:rsidRDefault="00CF2EC3" w:rsidP="00980876">
      <w:pPr>
        <w:widowControl w:val="0"/>
        <w:numPr>
          <w:ilvl w:val="0"/>
          <w:numId w:val="413"/>
        </w:numPr>
        <w:spacing w:before="120" w:after="120" w:line="240" w:lineRule="auto"/>
        <w:ind w:left="426" w:hanging="142"/>
        <w:jc w:val="both"/>
        <w:rPr>
          <w:rFonts w:ascii="Times New Roman" w:eastAsia="Times New Roman" w:hAnsi="Times New Roman" w:cs="Times New Roman"/>
          <w:bCs/>
        </w:rPr>
      </w:pPr>
      <w:r w:rsidRPr="000B1A81">
        <w:rPr>
          <w:rFonts w:ascii="Times New Roman" w:eastAsia="Times New Roman" w:hAnsi="Times New Roman" w:cs="Times New Roman"/>
          <w:b/>
          <w:bCs/>
        </w:rPr>
        <w:t>A tanórák száma és típusa</w:t>
      </w:r>
    </w:p>
    <w:p w:rsidR="00CF2EC3" w:rsidRPr="000B1A81" w:rsidRDefault="00CF2EC3" w:rsidP="00980876">
      <w:pPr>
        <w:widowControl w:val="0"/>
        <w:numPr>
          <w:ilvl w:val="1"/>
          <w:numId w:val="413"/>
        </w:numPr>
        <w:tabs>
          <w:tab w:val="clear" w:pos="3977"/>
          <w:tab w:val="num" w:pos="709"/>
          <w:tab w:val="num" w:pos="1142"/>
          <w:tab w:val="num" w:pos="2069"/>
        </w:tabs>
        <w:spacing w:before="120" w:after="120" w:line="240" w:lineRule="auto"/>
        <w:ind w:left="851" w:hanging="425"/>
        <w:jc w:val="both"/>
        <w:rPr>
          <w:rFonts w:ascii="Times New Roman" w:eastAsia="Times New Roman" w:hAnsi="Times New Roman" w:cs="Times New Roman"/>
          <w:b/>
          <w:bCs/>
        </w:rPr>
      </w:pPr>
      <w:r w:rsidRPr="000B1A81">
        <w:rPr>
          <w:rFonts w:ascii="Times New Roman" w:eastAsia="Times New Roman" w:hAnsi="Times New Roman" w:cs="Times New Roman"/>
          <w:bCs/>
        </w:rPr>
        <w:t>össz óraszám/félév:</w:t>
      </w:r>
    </w:p>
    <w:p w:rsidR="00CF2EC3" w:rsidRPr="000B1A81" w:rsidRDefault="00CF2EC3" w:rsidP="00980876">
      <w:pPr>
        <w:widowControl w:val="0"/>
        <w:numPr>
          <w:ilvl w:val="2"/>
          <w:numId w:val="413"/>
        </w:numPr>
        <w:tabs>
          <w:tab w:val="num" w:pos="709"/>
          <w:tab w:val="num" w:pos="1134"/>
        </w:tabs>
        <w:spacing w:before="120" w:after="120" w:line="240" w:lineRule="auto"/>
        <w:ind w:left="993" w:hanging="425"/>
        <w:jc w:val="both"/>
        <w:rPr>
          <w:rFonts w:ascii="Times New Roman" w:eastAsia="Times New Roman" w:hAnsi="Times New Roman" w:cs="Times New Roman"/>
          <w:bCs/>
        </w:rPr>
      </w:pPr>
      <w:r w:rsidRPr="000B1A81">
        <w:rPr>
          <w:rFonts w:ascii="Times New Roman" w:eastAsia="Times New Roman" w:hAnsi="Times New Roman" w:cs="Times New Roman"/>
          <w:bCs/>
        </w:rPr>
        <w:t>nappali munkarend: 28 (14 EA + 0 SZ + 14 GY)</w:t>
      </w:r>
    </w:p>
    <w:p w:rsidR="00CF2EC3" w:rsidRPr="000B1A81" w:rsidRDefault="00CF2EC3" w:rsidP="00980876">
      <w:pPr>
        <w:widowControl w:val="0"/>
        <w:numPr>
          <w:ilvl w:val="2"/>
          <w:numId w:val="413"/>
        </w:numPr>
        <w:tabs>
          <w:tab w:val="num" w:pos="709"/>
          <w:tab w:val="num" w:pos="1134"/>
        </w:tabs>
        <w:spacing w:before="120" w:after="120" w:line="240" w:lineRule="auto"/>
        <w:ind w:left="993" w:hanging="425"/>
        <w:jc w:val="both"/>
        <w:rPr>
          <w:rFonts w:ascii="Times New Roman" w:eastAsia="Times New Roman" w:hAnsi="Times New Roman" w:cs="Times New Roman"/>
          <w:bCs/>
        </w:rPr>
      </w:pPr>
      <w:r w:rsidRPr="000B1A81">
        <w:rPr>
          <w:rFonts w:ascii="Times New Roman" w:eastAsia="Times New Roman" w:hAnsi="Times New Roman" w:cs="Times New Roman"/>
          <w:bCs/>
        </w:rPr>
        <w:t>levelező munkarend: -</w:t>
      </w:r>
    </w:p>
    <w:p w:rsidR="00CF2EC3" w:rsidRPr="000B1A81" w:rsidRDefault="00CF2EC3" w:rsidP="00980876">
      <w:pPr>
        <w:widowControl w:val="0"/>
        <w:numPr>
          <w:ilvl w:val="1"/>
          <w:numId w:val="413"/>
        </w:numPr>
        <w:tabs>
          <w:tab w:val="clear" w:pos="3977"/>
          <w:tab w:val="num" w:pos="709"/>
          <w:tab w:val="num" w:pos="1142"/>
          <w:tab w:val="num" w:pos="2069"/>
        </w:tabs>
        <w:spacing w:before="120" w:after="120" w:line="240" w:lineRule="auto"/>
        <w:ind w:left="851" w:hanging="425"/>
        <w:jc w:val="both"/>
        <w:rPr>
          <w:rFonts w:ascii="Times New Roman" w:eastAsia="Times New Roman" w:hAnsi="Times New Roman" w:cs="Times New Roman"/>
          <w:bCs/>
        </w:rPr>
      </w:pPr>
      <w:r w:rsidRPr="000B1A81">
        <w:rPr>
          <w:rFonts w:ascii="Times New Roman" w:eastAsia="Times New Roman" w:hAnsi="Times New Roman" w:cs="Times New Roman"/>
          <w:bCs/>
        </w:rPr>
        <w:t>heti óraszám - nappali munkarend: 2</w:t>
      </w:r>
      <w:r>
        <w:rPr>
          <w:rFonts w:ascii="Times New Roman" w:eastAsia="Times New Roman" w:hAnsi="Times New Roman" w:cs="Times New Roman"/>
          <w:bCs/>
        </w:rPr>
        <w:t xml:space="preserve"> (1 + 1)</w:t>
      </w:r>
    </w:p>
    <w:p w:rsidR="00CF2EC3" w:rsidRPr="000B1A81" w:rsidRDefault="00CF2EC3" w:rsidP="00980876">
      <w:pPr>
        <w:widowControl w:val="0"/>
        <w:numPr>
          <w:ilvl w:val="1"/>
          <w:numId w:val="413"/>
        </w:numPr>
        <w:tabs>
          <w:tab w:val="clear" w:pos="3977"/>
          <w:tab w:val="num" w:pos="709"/>
          <w:tab w:val="num" w:pos="1142"/>
          <w:tab w:val="num" w:pos="2069"/>
        </w:tabs>
        <w:spacing w:before="120" w:after="120" w:line="240" w:lineRule="auto"/>
        <w:ind w:left="851" w:hanging="425"/>
        <w:jc w:val="both"/>
        <w:rPr>
          <w:rFonts w:ascii="Times New Roman" w:eastAsia="Times New Roman" w:hAnsi="Times New Roman" w:cs="Times New Roman"/>
          <w:bCs/>
        </w:rPr>
      </w:pPr>
      <w:r w:rsidRPr="000B1A81">
        <w:rPr>
          <w:rFonts w:ascii="Times New Roman" w:hAnsi="Times New Roman" w:cs="Times New Roman"/>
        </w:rPr>
        <w:t xml:space="preserve">Az ismeret átadásában alkalmazandó további sajátos módok, jellemzők: </w:t>
      </w:r>
      <w:r w:rsidRPr="000B1A81">
        <w:rPr>
          <w:rFonts w:ascii="Times New Roman" w:hAnsi="Times New Roman" w:cs="Times New Roman"/>
          <w:bCs/>
        </w:rPr>
        <w:t>Az ismeretek feldolgozása vegyes tanulási program (blended learning) alapján történik.</w:t>
      </w:r>
    </w:p>
    <w:p w:rsidR="00CF2EC3" w:rsidRPr="000B1A81" w:rsidRDefault="00CF2EC3" w:rsidP="00980876">
      <w:pPr>
        <w:widowControl w:val="0"/>
        <w:numPr>
          <w:ilvl w:val="0"/>
          <w:numId w:val="413"/>
        </w:numPr>
        <w:spacing w:before="120" w:after="120" w:line="240" w:lineRule="auto"/>
        <w:ind w:left="426" w:hanging="142"/>
        <w:jc w:val="both"/>
        <w:rPr>
          <w:rFonts w:ascii="Times New Roman" w:eastAsia="Times New Roman" w:hAnsi="Times New Roman" w:cs="Times New Roman"/>
          <w:bCs/>
        </w:rPr>
      </w:pPr>
      <w:r w:rsidRPr="000B1A81">
        <w:rPr>
          <w:rFonts w:ascii="Times New Roman" w:eastAsia="Times New Roman" w:hAnsi="Times New Roman" w:cs="Times New Roman"/>
          <w:b/>
          <w:bCs/>
        </w:rPr>
        <w:t>A tantárgy szakmai tartalma (magyarul):</w:t>
      </w:r>
      <w:r w:rsidRPr="000B1A81">
        <w:rPr>
          <w:rFonts w:ascii="Times New Roman" w:eastAsia="Times New Roman" w:hAnsi="Times New Roman" w:cs="Times New Roman"/>
          <w:bCs/>
        </w:rPr>
        <w:t xml:space="preserve"> A Magyar Honvédség haditechnikai eszközeinek alkalmazásával kapcsolatos alapfogalmak. Az igénybevétel folyamata (elrendelés, engedélyezés, igénybevétel), szabályai. Az igénybevételre vonatkozó szabályzatok, szakutasítások, jogosultságok, felelősségi körök, ellenőrzési feladatok. Az igénybevétel okmányai, igénybevétel alatti események, (baleset, meghibásodás). Igénybevétel fajtái. A haditechnikai eszközök felosztása, besorolása. </w:t>
      </w:r>
      <w:r>
        <w:rPr>
          <w:rFonts w:ascii="Times New Roman" w:eastAsia="Times New Roman" w:hAnsi="Times New Roman" w:cs="Times New Roman"/>
          <w:bCs/>
        </w:rPr>
        <w:t>Rendszer</w:t>
      </w:r>
      <w:r w:rsidRPr="001D2A73">
        <w:rPr>
          <w:rFonts w:ascii="Times New Roman" w:eastAsia="Times New Roman" w:hAnsi="Times New Roman" w:cs="Times New Roman"/>
          <w:bCs/>
        </w:rPr>
        <w:t>be való felvétel</w:t>
      </w:r>
      <w:r w:rsidRPr="000B1A81">
        <w:rPr>
          <w:rFonts w:ascii="Times New Roman" w:eastAsia="Times New Roman" w:hAnsi="Times New Roman" w:cs="Times New Roman"/>
          <w:bCs/>
        </w:rPr>
        <w:t xml:space="preserve"> folyamata. Rendszerből kivonás, inkurrencia tárolás. A haditechnikai eszközök tárolása, a tárolás helye, módjai, a tárolás rendszere. Átadás átvételi jegyzőkönyvek.</w:t>
      </w:r>
      <w:r>
        <w:rPr>
          <w:rFonts w:ascii="Times New Roman" w:eastAsia="Times New Roman" w:hAnsi="Times New Roman" w:cs="Times New Roman"/>
          <w:bCs/>
        </w:rPr>
        <w:t xml:space="preserve"> </w:t>
      </w:r>
      <w:r w:rsidRPr="000A4B96">
        <w:rPr>
          <w:rFonts w:ascii="Times New Roman" w:eastAsia="Times New Roman" w:hAnsi="Times New Roman" w:cs="Times New Roman"/>
          <w:bCs/>
        </w:rPr>
        <w:t>Az igénybevétel tervezésének alapja</w:t>
      </w:r>
      <w:r>
        <w:rPr>
          <w:rFonts w:ascii="Times New Roman" w:eastAsia="Times New Roman" w:hAnsi="Times New Roman" w:cs="Times New Roman"/>
          <w:bCs/>
        </w:rPr>
        <w:t xml:space="preserve">. </w:t>
      </w:r>
      <w:r w:rsidRPr="000A4B96">
        <w:rPr>
          <w:rFonts w:ascii="Times New Roman" w:eastAsia="Times New Roman" w:hAnsi="Times New Roman" w:cs="Times New Roman"/>
          <w:bCs/>
        </w:rPr>
        <w:t>Az igénybevétel dokumentálása.</w:t>
      </w:r>
    </w:p>
    <w:p w:rsidR="00CF2EC3" w:rsidRPr="000B1A81" w:rsidRDefault="00CF2EC3" w:rsidP="00CF2EC3">
      <w:pPr>
        <w:widowControl w:val="0"/>
        <w:spacing w:before="120" w:after="120" w:line="240" w:lineRule="auto"/>
        <w:ind w:left="426"/>
        <w:jc w:val="both"/>
        <w:rPr>
          <w:rFonts w:ascii="Times New Roman" w:eastAsia="Times New Roman" w:hAnsi="Times New Roman" w:cs="Times New Roman"/>
          <w:bCs/>
          <w:lang w:val="en-GB"/>
        </w:rPr>
      </w:pPr>
      <w:r w:rsidRPr="000B1A81">
        <w:rPr>
          <w:rFonts w:ascii="Times New Roman" w:eastAsia="Times New Roman" w:hAnsi="Times New Roman" w:cs="Times New Roman"/>
          <w:b/>
          <w:bCs/>
        </w:rPr>
        <w:t>A tantárgy szakmai tartalma (angolul) (</w:t>
      </w:r>
      <w:r w:rsidRPr="000B1A81">
        <w:rPr>
          <w:rFonts w:ascii="Times New Roman" w:eastAsia="Times New Roman" w:hAnsi="Times New Roman" w:cs="Times New Roman"/>
          <w:b/>
          <w:bCs/>
          <w:lang w:val="en-US"/>
        </w:rPr>
        <w:t>Course description</w:t>
      </w:r>
      <w:r w:rsidRPr="000B1A81">
        <w:rPr>
          <w:rFonts w:ascii="Times New Roman" w:eastAsia="Times New Roman" w:hAnsi="Times New Roman" w:cs="Times New Roman"/>
          <w:b/>
          <w:bCs/>
        </w:rPr>
        <w:t xml:space="preserve">): </w:t>
      </w:r>
      <w:r w:rsidRPr="000B1A81">
        <w:rPr>
          <w:rFonts w:ascii="Times New Roman" w:eastAsia="Times New Roman" w:hAnsi="Times New Roman" w:cs="Times New Roman"/>
          <w:bCs/>
        </w:rPr>
        <w:t>Basic concepts related to the use of military equipment of the Hungarian Defense Forces. The process and rules of usage (ordering, approval). Permissions, responsibilities, controls, rules and technikal instructions of usage. Documents of use and events during usage (accident, malfunction). Types of utilization. Classification of military devices. Procedure of starting the in-service time. Retire and disposal from the system, storage of the vehicles after disposal. Storage of military technology equipment, storage location, storage types and storage system. Handover documents.</w:t>
      </w:r>
      <w:r w:rsidRPr="000B1A81">
        <w:rPr>
          <w:rFonts w:ascii="Times New Roman" w:eastAsia="Times New Roman" w:hAnsi="Times New Roman" w:cs="Times New Roman"/>
          <w:bCs/>
          <w:lang w:val="en-GB"/>
        </w:rPr>
        <w:t xml:space="preserve"> </w:t>
      </w:r>
      <w:r w:rsidRPr="00E202C3">
        <w:rPr>
          <w:rFonts w:ascii="Times New Roman" w:eastAsia="Times New Roman" w:hAnsi="Times New Roman" w:cs="Times New Roman"/>
          <w:bCs/>
        </w:rPr>
        <w:t>Planning of usage. Dokumentation of usage.</w:t>
      </w:r>
    </w:p>
    <w:p w:rsidR="00CF2EC3" w:rsidRPr="000B1A81" w:rsidRDefault="00CF2EC3" w:rsidP="00980876">
      <w:pPr>
        <w:pStyle w:val="Listaszerbekezds"/>
        <w:widowControl w:val="0"/>
        <w:numPr>
          <w:ilvl w:val="0"/>
          <w:numId w:val="413"/>
        </w:numPr>
        <w:spacing w:before="120" w:after="120" w:line="240" w:lineRule="auto"/>
        <w:ind w:left="357" w:firstLine="142"/>
        <w:jc w:val="both"/>
        <w:rPr>
          <w:rFonts w:ascii="Times New Roman" w:eastAsia="Times New Roman" w:hAnsi="Times New Roman" w:cs="Times New Roman"/>
          <w:bCs/>
        </w:rPr>
      </w:pPr>
      <w:r w:rsidRPr="000B1A81">
        <w:rPr>
          <w:rFonts w:ascii="Times New Roman" w:eastAsia="Times New Roman" w:hAnsi="Times New Roman" w:cs="Times New Roman"/>
          <w:b/>
          <w:bCs/>
        </w:rPr>
        <w:t xml:space="preserve">Elérendő kompetenciák (magyarul): </w:t>
      </w:r>
    </w:p>
    <w:p w:rsidR="00CF2EC3" w:rsidRPr="000B1A81" w:rsidRDefault="00CF2EC3" w:rsidP="00CF2EC3">
      <w:pPr>
        <w:widowControl w:val="0"/>
        <w:spacing w:before="120" w:after="120" w:line="240" w:lineRule="auto"/>
        <w:ind w:left="426"/>
        <w:jc w:val="both"/>
        <w:rPr>
          <w:rFonts w:ascii="Times New Roman" w:eastAsia="Times New Roman" w:hAnsi="Times New Roman" w:cs="Times New Roman"/>
          <w:bCs/>
        </w:rPr>
      </w:pPr>
      <w:r w:rsidRPr="000B1A81">
        <w:rPr>
          <w:rFonts w:ascii="Times New Roman" w:eastAsia="Times New Roman" w:hAnsi="Times New Roman" w:cs="Times New Roman"/>
          <w:b/>
          <w:bCs/>
        </w:rPr>
        <w:t>Tudása:</w:t>
      </w:r>
    </w:p>
    <w:p w:rsidR="00CF2EC3" w:rsidRPr="001D2A73" w:rsidRDefault="00CF2EC3"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kern w:val="2"/>
        </w:rPr>
      </w:pPr>
      <w:r w:rsidRPr="000B1A81">
        <w:rPr>
          <w:rFonts w:ascii="Times New Roman" w:eastAsia="Times New Roman" w:hAnsi="Times New Roman" w:cs="Times New Roman"/>
          <w:bCs/>
        </w:rPr>
        <w:t>Részletesen ismeri az általános logisztikai tevékenység egyes műveleteit, folyamatait.</w:t>
      </w:r>
    </w:p>
    <w:p w:rsidR="00CF2EC3" w:rsidRPr="001D2A73" w:rsidRDefault="00CF2EC3"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kern w:val="2"/>
        </w:rPr>
      </w:pPr>
      <w:r>
        <w:rPr>
          <w:rFonts w:ascii="Times New Roman" w:eastAsia="Times New Roman" w:hAnsi="Times New Roman" w:cs="Times New Roman"/>
          <w:bCs/>
        </w:rPr>
        <w:t>Ismeri a Magyar Honvédség harc és gépjárműveinek rendszerbe való felvételének menetét.</w:t>
      </w:r>
    </w:p>
    <w:p w:rsidR="00CF2EC3" w:rsidRPr="001D2A73" w:rsidRDefault="00CF2EC3"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kern w:val="2"/>
        </w:rPr>
      </w:pPr>
      <w:r>
        <w:rPr>
          <w:rFonts w:ascii="Times New Roman" w:eastAsia="Times New Roman" w:hAnsi="Times New Roman" w:cs="Times New Roman"/>
          <w:bCs/>
        </w:rPr>
        <w:t>Ismeri a harc és gépjárműv</w:t>
      </w:r>
      <w:r w:rsidRPr="001D2A73">
        <w:rPr>
          <w:rFonts w:ascii="Times New Roman" w:eastAsia="Times New Roman" w:hAnsi="Times New Roman" w:cs="Times New Roman"/>
          <w:bCs/>
        </w:rPr>
        <w:t>ek</w:t>
      </w:r>
      <w:r>
        <w:rPr>
          <w:rFonts w:ascii="Times New Roman" w:eastAsia="Times New Roman" w:hAnsi="Times New Roman" w:cs="Times New Roman"/>
          <w:bCs/>
        </w:rPr>
        <w:t xml:space="preserve"> üzemeltetési és üzemfenntartási körülményeit.</w:t>
      </w:r>
    </w:p>
    <w:p w:rsidR="00CF2EC3" w:rsidRPr="000B1A81" w:rsidRDefault="00CF2EC3" w:rsidP="00CF2EC3">
      <w:pPr>
        <w:widowControl w:val="0"/>
        <w:spacing w:before="120" w:after="120" w:line="240" w:lineRule="auto"/>
        <w:ind w:left="426"/>
        <w:jc w:val="both"/>
        <w:rPr>
          <w:rFonts w:ascii="Times New Roman" w:eastAsia="Times New Roman" w:hAnsi="Times New Roman" w:cs="Times New Roman"/>
          <w:bCs/>
        </w:rPr>
      </w:pPr>
      <w:r w:rsidRPr="000B1A81">
        <w:rPr>
          <w:rFonts w:ascii="Times New Roman" w:eastAsia="Times New Roman" w:hAnsi="Times New Roman" w:cs="Times New Roman"/>
          <w:b/>
          <w:bCs/>
        </w:rPr>
        <w:lastRenderedPageBreak/>
        <w:t>Képességei:</w:t>
      </w:r>
      <w:r w:rsidRPr="000B1A81">
        <w:rPr>
          <w:rFonts w:ascii="Times New Roman" w:eastAsia="Times New Roman" w:hAnsi="Times New Roman" w:cs="Times New Roman"/>
          <w:bCs/>
        </w:rPr>
        <w:t xml:space="preserve"> </w:t>
      </w:r>
    </w:p>
    <w:p w:rsidR="00CF2EC3" w:rsidRPr="000B1A81" w:rsidRDefault="00CF2EC3" w:rsidP="00C14833">
      <w:pPr>
        <w:widowControl w:val="0"/>
        <w:numPr>
          <w:ilvl w:val="0"/>
          <w:numId w:val="133"/>
        </w:numPr>
        <w:spacing w:before="120" w:after="120" w:line="240" w:lineRule="auto"/>
        <w:ind w:left="993"/>
        <w:contextualSpacing/>
        <w:jc w:val="both"/>
        <w:rPr>
          <w:rFonts w:ascii="Times New Roman" w:eastAsia="Times New Roman" w:hAnsi="Times New Roman"/>
          <w:bCs/>
        </w:rPr>
      </w:pPr>
      <w:r w:rsidRPr="000B1A81">
        <w:rPr>
          <w:rFonts w:ascii="Times New Roman" w:eastAsia="Times New Roman" w:hAnsi="Times New Roman" w:cs="Times New Roman"/>
          <w:bCs/>
        </w:rPr>
        <w:t>Képes a munkaköréhez és feladataihoz kapcsolódó jogszabályi háttér értelmezésére és gyakorlati alkalmazására.</w:t>
      </w:r>
    </w:p>
    <w:p w:rsidR="00CF2EC3" w:rsidRPr="000B1A81" w:rsidRDefault="00CF2EC3" w:rsidP="00C14833">
      <w:pPr>
        <w:widowControl w:val="0"/>
        <w:numPr>
          <w:ilvl w:val="0"/>
          <w:numId w:val="133"/>
        </w:numPr>
        <w:spacing w:before="120" w:after="120" w:line="240" w:lineRule="auto"/>
        <w:ind w:left="993"/>
        <w:contextualSpacing/>
        <w:jc w:val="both"/>
        <w:rPr>
          <w:rFonts w:ascii="Times New Roman" w:eastAsia="Times New Roman" w:hAnsi="Times New Roman"/>
          <w:bCs/>
        </w:rPr>
      </w:pPr>
      <w:r w:rsidRPr="000B1A81">
        <w:rPr>
          <w:rFonts w:ascii="Times New Roman" w:eastAsia="Times New Roman" w:hAnsi="Times New Roman" w:cs="Times New Roman"/>
          <w:bCs/>
        </w:rPr>
        <w:t>Képes a munkaköréhez kapcsolódó dokumentumok, nyomtatványok, jegyzőkönyvek, feljegyzések és emlékeztetők önálló elkészítésére, okmányok kitöltésére, a munkaköréhez kapcsolódó események szervezésére, technikaielőkészítésére.</w:t>
      </w:r>
    </w:p>
    <w:p w:rsidR="00CF2EC3" w:rsidRPr="000B1A81" w:rsidRDefault="00CF2EC3" w:rsidP="00C14833">
      <w:pPr>
        <w:widowControl w:val="0"/>
        <w:numPr>
          <w:ilvl w:val="0"/>
          <w:numId w:val="133"/>
        </w:numPr>
        <w:spacing w:before="120" w:after="120" w:line="240" w:lineRule="auto"/>
        <w:ind w:left="993"/>
        <w:contextualSpacing/>
        <w:jc w:val="both"/>
        <w:rPr>
          <w:rFonts w:ascii="Times New Roman" w:eastAsia="Times New Roman" w:hAnsi="Times New Roman"/>
          <w:bCs/>
        </w:rPr>
      </w:pPr>
      <w:r w:rsidRPr="000B1A81">
        <w:rPr>
          <w:rFonts w:ascii="Times New Roman" w:eastAsia="Times New Roman" w:hAnsi="Times New Roman" w:cs="Times New Roman"/>
          <w:bCs/>
        </w:rPr>
        <w:t>Képes a szakterületén rendszeresített és használt berendezések és technikai eszközök használatának megszervezésére és hatékony alkalmazására.</w:t>
      </w:r>
    </w:p>
    <w:p w:rsidR="00CF2EC3" w:rsidRPr="000B1A81" w:rsidRDefault="00CF2EC3"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kern w:val="2"/>
        </w:rPr>
      </w:pPr>
      <w:r w:rsidRPr="000B1A81">
        <w:rPr>
          <w:rFonts w:ascii="Times New Roman" w:eastAsia="Times New Roman" w:hAnsi="Times New Roman" w:cs="Times New Roman"/>
          <w:bCs/>
        </w:rPr>
        <w:t>Képes a szakterületéhez kapcsolódó ügydarabokat elkészíteni, haditechnikai eszköz átadás-átvételét végrehajtani és jegyzőkönyveket elkészíteni</w:t>
      </w:r>
      <w:r w:rsidRPr="000B1A81">
        <w:rPr>
          <w:rFonts w:ascii="Times New Roman" w:eastAsia="Times New Roman" w:hAnsi="Times New Roman" w:cs="Times New Roman"/>
          <w:bCs/>
          <w:kern w:val="2"/>
        </w:rPr>
        <w:t>.</w:t>
      </w:r>
    </w:p>
    <w:p w:rsidR="00CF2EC3" w:rsidRPr="000B1A81" w:rsidRDefault="00CF2EC3" w:rsidP="00CF2EC3">
      <w:pPr>
        <w:widowControl w:val="0"/>
        <w:spacing w:before="120" w:after="120" w:line="240" w:lineRule="auto"/>
        <w:ind w:left="426"/>
        <w:jc w:val="both"/>
        <w:rPr>
          <w:rFonts w:ascii="Times New Roman" w:eastAsia="Times New Roman" w:hAnsi="Times New Roman" w:cs="Times New Roman"/>
          <w:bCs/>
        </w:rPr>
      </w:pPr>
      <w:r w:rsidRPr="000B1A81">
        <w:rPr>
          <w:rFonts w:ascii="Times New Roman" w:eastAsia="Times New Roman" w:hAnsi="Times New Roman" w:cs="Times New Roman"/>
          <w:b/>
          <w:bCs/>
        </w:rPr>
        <w:t>Attitűdje:</w:t>
      </w:r>
    </w:p>
    <w:p w:rsidR="00CF2EC3" w:rsidRPr="000B1A81" w:rsidRDefault="00CF2EC3" w:rsidP="00C14833">
      <w:pPr>
        <w:widowControl w:val="0"/>
        <w:numPr>
          <w:ilvl w:val="0"/>
          <w:numId w:val="133"/>
        </w:numPr>
        <w:spacing w:before="120" w:after="120" w:line="240" w:lineRule="auto"/>
        <w:ind w:left="993"/>
        <w:contextualSpacing/>
        <w:jc w:val="both"/>
        <w:rPr>
          <w:rFonts w:ascii="Times New Roman" w:eastAsia="Times New Roman" w:hAnsi="Times New Roman"/>
          <w:bCs/>
        </w:rPr>
      </w:pPr>
      <w:r w:rsidRPr="000B1A81">
        <w:rPr>
          <w:rFonts w:ascii="Times New Roman" w:eastAsia="Times New Roman" w:hAnsi="Times New Roman" w:cs="Times New Roman"/>
          <w:bCs/>
        </w:rPr>
        <w:t>Feladatellátása során törekszik a megfelelő önkontroll, tolerancia, empátia, az előítéletektől mentes gondolkodás és viselkedés tanúsítására.</w:t>
      </w:r>
    </w:p>
    <w:p w:rsidR="00CF2EC3" w:rsidRPr="000B1A81" w:rsidRDefault="00CF2EC3" w:rsidP="00C14833">
      <w:pPr>
        <w:widowControl w:val="0"/>
        <w:numPr>
          <w:ilvl w:val="0"/>
          <w:numId w:val="133"/>
        </w:numPr>
        <w:spacing w:before="120" w:after="120" w:line="240" w:lineRule="auto"/>
        <w:ind w:left="993"/>
        <w:contextualSpacing/>
        <w:jc w:val="both"/>
        <w:rPr>
          <w:rFonts w:ascii="Times New Roman" w:eastAsia="Times New Roman" w:hAnsi="Times New Roman"/>
          <w:bCs/>
        </w:rPr>
      </w:pPr>
      <w:r w:rsidRPr="000B1A81">
        <w:rPr>
          <w:rFonts w:ascii="Times New Roman" w:eastAsia="Times New Roman" w:hAnsi="Times New Roman" w:cs="Times New Roman"/>
          <w:bCs/>
        </w:rPr>
        <w:t>Munkájában és emberi kapcsolataiban megbízhatóság jellemzi.</w:t>
      </w:r>
    </w:p>
    <w:p w:rsidR="00CF2EC3" w:rsidRPr="000B1A81" w:rsidRDefault="00CF2EC3" w:rsidP="00C14833">
      <w:pPr>
        <w:widowControl w:val="0"/>
        <w:numPr>
          <w:ilvl w:val="0"/>
          <w:numId w:val="133"/>
        </w:numPr>
        <w:spacing w:before="120" w:after="120" w:line="240" w:lineRule="auto"/>
        <w:ind w:left="993"/>
        <w:contextualSpacing/>
        <w:jc w:val="both"/>
        <w:rPr>
          <w:rFonts w:ascii="Times New Roman" w:eastAsia="Times New Roman" w:hAnsi="Times New Roman"/>
          <w:bCs/>
        </w:rPr>
      </w:pPr>
      <w:r w:rsidRPr="000B1A81">
        <w:rPr>
          <w:rFonts w:ascii="Times New Roman" w:eastAsia="Times New Roman" w:hAnsi="Times New Roman" w:cs="Times New Roman"/>
          <w:bCs/>
        </w:rPr>
        <w:t>A minőségi szakmai munkavégzés iránt elkötelezett, azt a pontosságra való törekvés jellemzi.</w:t>
      </w:r>
    </w:p>
    <w:p w:rsidR="00CF2EC3" w:rsidRPr="000B1A81" w:rsidRDefault="00CF2EC3" w:rsidP="00C14833">
      <w:pPr>
        <w:widowControl w:val="0"/>
        <w:numPr>
          <w:ilvl w:val="0"/>
          <w:numId w:val="133"/>
        </w:numPr>
        <w:spacing w:before="120" w:after="120" w:line="240" w:lineRule="auto"/>
        <w:ind w:left="993"/>
        <w:contextualSpacing/>
        <w:jc w:val="both"/>
        <w:rPr>
          <w:rFonts w:ascii="Times New Roman" w:eastAsia="Times New Roman" w:hAnsi="Times New Roman"/>
          <w:bCs/>
        </w:rPr>
      </w:pPr>
      <w:r w:rsidRPr="000B1A81">
        <w:rPr>
          <w:rFonts w:ascii="Times New Roman" w:eastAsia="Times New Roman" w:hAnsi="Times New Roman" w:cs="Times New Roman"/>
          <w:bCs/>
        </w:rPr>
        <w:t>Tevékenységét a hatékonyság központú szemlélet jellemzi.</w:t>
      </w:r>
    </w:p>
    <w:p w:rsidR="00CF2EC3" w:rsidRPr="000B1A81" w:rsidRDefault="00CF2EC3" w:rsidP="00C14833">
      <w:pPr>
        <w:widowControl w:val="0"/>
        <w:numPr>
          <w:ilvl w:val="0"/>
          <w:numId w:val="133"/>
        </w:numPr>
        <w:spacing w:before="120" w:after="120" w:line="240" w:lineRule="auto"/>
        <w:ind w:left="993"/>
        <w:contextualSpacing/>
        <w:jc w:val="both"/>
        <w:rPr>
          <w:rFonts w:ascii="Times New Roman" w:eastAsia="Times New Roman" w:hAnsi="Times New Roman"/>
          <w:bCs/>
        </w:rPr>
      </w:pPr>
      <w:r w:rsidRPr="000B1A81">
        <w:rPr>
          <w:rFonts w:ascii="Times New Roman" w:eastAsia="Times New Roman" w:hAnsi="Times New Roman" w:cs="Times New Roman"/>
          <w:bCs/>
        </w:rPr>
        <w:t>Jó szervezőkészség jellemzi.</w:t>
      </w:r>
    </w:p>
    <w:p w:rsidR="00CF2EC3" w:rsidRPr="000B1A81" w:rsidRDefault="00CF2EC3" w:rsidP="00C14833">
      <w:pPr>
        <w:widowControl w:val="0"/>
        <w:numPr>
          <w:ilvl w:val="0"/>
          <w:numId w:val="133"/>
        </w:numPr>
        <w:spacing w:before="120" w:after="120" w:line="240" w:lineRule="auto"/>
        <w:ind w:left="993"/>
        <w:contextualSpacing/>
        <w:jc w:val="both"/>
        <w:rPr>
          <w:rFonts w:ascii="Times New Roman" w:eastAsia="Times New Roman" w:hAnsi="Times New Roman"/>
          <w:bCs/>
        </w:rPr>
      </w:pPr>
      <w:r w:rsidRPr="000B1A81">
        <w:rPr>
          <w:rFonts w:ascii="Times New Roman" w:eastAsia="Times New Roman" w:hAnsi="Times New Roman" w:cs="Times New Roman"/>
          <w:bCs/>
        </w:rPr>
        <w:t>Törekszik munkája során a vonatkozó szabályok betartására és betartatására.</w:t>
      </w:r>
    </w:p>
    <w:p w:rsidR="00CF2EC3" w:rsidRPr="000B1A81" w:rsidRDefault="00CF2EC3" w:rsidP="00C14833">
      <w:pPr>
        <w:widowControl w:val="0"/>
        <w:numPr>
          <w:ilvl w:val="0"/>
          <w:numId w:val="133"/>
        </w:numPr>
        <w:spacing w:before="120" w:after="120" w:line="240" w:lineRule="auto"/>
        <w:ind w:left="993"/>
        <w:contextualSpacing/>
        <w:jc w:val="both"/>
        <w:rPr>
          <w:rFonts w:ascii="Times New Roman" w:eastAsia="Times New Roman" w:hAnsi="Times New Roman"/>
          <w:bCs/>
        </w:rPr>
      </w:pPr>
      <w:r w:rsidRPr="000B1A81">
        <w:rPr>
          <w:rFonts w:ascii="Times New Roman" w:eastAsia="Times New Roman" w:hAnsi="Times New Roman" w:cs="Times New Roman"/>
          <w:bCs/>
        </w:rPr>
        <w:t>Munkáját és emberi kapcsolatait a megbízhatóság jellemzi.</w:t>
      </w:r>
    </w:p>
    <w:p w:rsidR="00CF2EC3" w:rsidRPr="000B1A81" w:rsidRDefault="00CF2EC3" w:rsidP="00CF2EC3">
      <w:pPr>
        <w:widowControl w:val="0"/>
        <w:spacing w:before="120" w:after="120" w:line="240" w:lineRule="auto"/>
        <w:ind w:left="426"/>
        <w:jc w:val="both"/>
        <w:rPr>
          <w:rFonts w:ascii="Times New Roman" w:eastAsia="Times New Roman" w:hAnsi="Times New Roman" w:cs="Times New Roman"/>
          <w:bCs/>
        </w:rPr>
      </w:pPr>
      <w:r w:rsidRPr="000B1A81">
        <w:rPr>
          <w:rFonts w:ascii="Times New Roman" w:eastAsia="Times New Roman" w:hAnsi="Times New Roman" w:cs="Times New Roman"/>
          <w:b/>
          <w:bCs/>
        </w:rPr>
        <w:t>Autonómiája és felelőssége:</w:t>
      </w:r>
    </w:p>
    <w:p w:rsidR="00CF2EC3" w:rsidRPr="000B1A81" w:rsidRDefault="00CF2EC3" w:rsidP="00C14833">
      <w:pPr>
        <w:widowControl w:val="0"/>
        <w:numPr>
          <w:ilvl w:val="0"/>
          <w:numId w:val="133"/>
        </w:numPr>
        <w:spacing w:before="120" w:after="120" w:line="240" w:lineRule="auto"/>
        <w:ind w:left="993"/>
        <w:contextualSpacing/>
        <w:jc w:val="both"/>
        <w:rPr>
          <w:rFonts w:ascii="Times New Roman" w:eastAsia="Times New Roman" w:hAnsi="Times New Roman"/>
          <w:bCs/>
        </w:rPr>
      </w:pPr>
      <w:r w:rsidRPr="000B1A81">
        <w:rPr>
          <w:rFonts w:ascii="Times New Roman" w:eastAsia="Times New Roman" w:hAnsi="Times New Roman" w:cs="Times New Roman"/>
          <w:bCs/>
        </w:rPr>
        <w:t>Tisztában van döntéseinek, tevékenységének a műszaki eszközökre, illetve a gazdálkodási fegyelemre gyakorolt hatásaival, következményeivel.</w:t>
      </w:r>
    </w:p>
    <w:p w:rsidR="00CF2EC3" w:rsidRPr="000B1A81" w:rsidRDefault="00CF2EC3" w:rsidP="00C14833">
      <w:pPr>
        <w:widowControl w:val="0"/>
        <w:numPr>
          <w:ilvl w:val="0"/>
          <w:numId w:val="133"/>
        </w:numPr>
        <w:spacing w:before="120" w:after="120" w:line="240" w:lineRule="auto"/>
        <w:ind w:left="993"/>
        <w:contextualSpacing/>
        <w:jc w:val="both"/>
        <w:rPr>
          <w:rFonts w:ascii="Times New Roman" w:eastAsia="Times New Roman" w:hAnsi="Times New Roman"/>
          <w:bCs/>
        </w:rPr>
      </w:pPr>
      <w:r w:rsidRPr="000B1A81">
        <w:rPr>
          <w:rFonts w:ascii="Times New Roman" w:eastAsia="Times New Roman" w:hAnsi="Times New Roman" w:cs="Times New Roman"/>
          <w:bCs/>
        </w:rPr>
        <w:t>Felelősséget vállal a vezetése alatt álló beosztottjainak szakmai tevékenységéért.</w:t>
      </w:r>
    </w:p>
    <w:p w:rsidR="00CF2EC3" w:rsidRPr="000B1A81" w:rsidRDefault="00CF2EC3" w:rsidP="00C14833">
      <w:pPr>
        <w:widowControl w:val="0"/>
        <w:numPr>
          <w:ilvl w:val="0"/>
          <w:numId w:val="133"/>
        </w:numPr>
        <w:spacing w:before="120" w:after="120" w:line="240" w:lineRule="auto"/>
        <w:ind w:left="993"/>
        <w:contextualSpacing/>
        <w:jc w:val="both"/>
        <w:rPr>
          <w:rFonts w:ascii="Times New Roman" w:eastAsia="Times New Roman" w:hAnsi="Times New Roman"/>
          <w:bCs/>
        </w:rPr>
      </w:pPr>
      <w:r w:rsidRPr="000B1A81">
        <w:rPr>
          <w:rFonts w:ascii="Times New Roman" w:eastAsia="Times New Roman" w:hAnsi="Times New Roman" w:cs="Times New Roman"/>
          <w:bCs/>
        </w:rPr>
        <w:t>Képes szakfeladatait önállóan végezni, saját munkáját hatékonyan megszervezni és végrehajtani.</w:t>
      </w:r>
    </w:p>
    <w:p w:rsidR="00CF2EC3" w:rsidRPr="000B1A81" w:rsidRDefault="00CF2EC3" w:rsidP="00C14833">
      <w:pPr>
        <w:widowControl w:val="0"/>
        <w:numPr>
          <w:ilvl w:val="0"/>
          <w:numId w:val="133"/>
        </w:numPr>
        <w:spacing w:before="120" w:after="120" w:line="240" w:lineRule="auto"/>
        <w:ind w:left="993"/>
        <w:contextualSpacing/>
        <w:jc w:val="both"/>
        <w:rPr>
          <w:rFonts w:ascii="Times New Roman" w:eastAsia="Times New Roman" w:hAnsi="Times New Roman"/>
          <w:bCs/>
        </w:rPr>
      </w:pPr>
      <w:r w:rsidRPr="000B1A81">
        <w:rPr>
          <w:rFonts w:ascii="Times New Roman" w:eastAsia="Times New Roman" w:hAnsi="Times New Roman" w:cs="Times New Roman"/>
          <w:bCs/>
        </w:rPr>
        <w:t>Képes alárendeltjeinek feladatait megszervezni és meghatározni, valamint elvégzett munkájukat szakmai szempontok alapján ellenőrizni.</w:t>
      </w:r>
    </w:p>
    <w:p w:rsidR="00CF2EC3" w:rsidRPr="000B1A81" w:rsidRDefault="00CF2EC3"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
          <w:bCs/>
        </w:rPr>
      </w:pPr>
      <w:r w:rsidRPr="000B1A81">
        <w:rPr>
          <w:rFonts w:ascii="Times New Roman" w:eastAsia="Times New Roman" w:hAnsi="Times New Roman" w:cs="Times New Roman"/>
          <w:bCs/>
        </w:rPr>
        <w:t>Együttműködés és felelősség jellemzi szakterületének szakembereivel szemben.</w:t>
      </w:r>
    </w:p>
    <w:p w:rsidR="00CF2EC3" w:rsidRPr="000B1A81" w:rsidRDefault="00CF2EC3"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
          <w:bCs/>
        </w:rPr>
      </w:pPr>
      <w:r w:rsidRPr="000B1A81">
        <w:rPr>
          <w:rFonts w:ascii="Times New Roman" w:eastAsia="Times New Roman" w:hAnsi="Times New Roman" w:cs="Times New Roman"/>
          <w:bCs/>
        </w:rPr>
        <w:t>Szakterületén belül képes rendszer-szemléletűen gondolkodni.</w:t>
      </w:r>
      <w:r w:rsidRPr="000B1A81">
        <w:rPr>
          <w:rFonts w:ascii="Times New Roman" w:eastAsia="Times New Roman" w:hAnsi="Times New Roman" w:cs="Times New Roman"/>
          <w:b/>
          <w:bCs/>
        </w:rPr>
        <w:t xml:space="preserve"> </w:t>
      </w:r>
    </w:p>
    <w:p w:rsidR="00CF2EC3" w:rsidRPr="000B1A81" w:rsidRDefault="00CF2EC3" w:rsidP="00CF2EC3">
      <w:pPr>
        <w:widowControl w:val="0"/>
        <w:spacing w:before="240" w:after="120" w:line="240" w:lineRule="auto"/>
        <w:ind w:left="425"/>
        <w:jc w:val="both"/>
        <w:rPr>
          <w:rFonts w:ascii="Times New Roman" w:eastAsia="Times New Roman" w:hAnsi="Times New Roman" w:cs="Times New Roman"/>
          <w:b/>
          <w:bCs/>
          <w:lang w:val="en-US"/>
        </w:rPr>
      </w:pPr>
      <w:r w:rsidRPr="000B1A81">
        <w:rPr>
          <w:rFonts w:ascii="Times New Roman" w:eastAsia="Times New Roman" w:hAnsi="Times New Roman" w:cs="Times New Roman"/>
          <w:b/>
          <w:bCs/>
        </w:rPr>
        <w:t>Elérendő kompetenciák (angolul) (</w:t>
      </w:r>
      <w:r w:rsidRPr="000B1A81">
        <w:rPr>
          <w:rFonts w:ascii="Times New Roman" w:eastAsia="Times New Roman" w:hAnsi="Times New Roman" w:cs="Times New Roman"/>
          <w:b/>
          <w:bCs/>
          <w:lang w:val="en-US"/>
        </w:rPr>
        <w:t xml:space="preserve">Competences – English): </w:t>
      </w:r>
    </w:p>
    <w:p w:rsidR="00CF2EC3" w:rsidRPr="000B1A81" w:rsidRDefault="00CF2EC3" w:rsidP="00CF2EC3">
      <w:pPr>
        <w:widowControl w:val="0"/>
        <w:spacing w:before="120" w:after="120" w:line="240" w:lineRule="auto"/>
        <w:ind w:left="426"/>
        <w:jc w:val="both"/>
        <w:rPr>
          <w:rFonts w:ascii="Times New Roman" w:eastAsia="Times New Roman" w:hAnsi="Times New Roman" w:cs="Times New Roman"/>
          <w:lang w:val="en-GB"/>
        </w:rPr>
      </w:pPr>
      <w:r w:rsidRPr="000B1A81">
        <w:rPr>
          <w:rFonts w:ascii="Times New Roman" w:eastAsia="Times New Roman" w:hAnsi="Times New Roman" w:cs="Times New Roman"/>
          <w:b/>
          <w:lang w:val="en-GB"/>
        </w:rPr>
        <w:t>Knowledge</w:t>
      </w:r>
      <w:r w:rsidRPr="000B1A81">
        <w:rPr>
          <w:rFonts w:ascii="Times New Roman" w:eastAsia="Times New Roman" w:hAnsi="Times New Roman" w:cs="Times New Roman"/>
          <w:lang w:val="en-GB"/>
        </w:rPr>
        <w:t>:</w:t>
      </w:r>
    </w:p>
    <w:p w:rsidR="00CF2EC3" w:rsidRPr="001D2A73" w:rsidRDefault="00CF2EC3"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kern w:val="2"/>
        </w:rPr>
      </w:pPr>
      <w:r w:rsidRPr="000B1A81">
        <w:rPr>
          <w:rFonts w:ascii="Times New Roman" w:eastAsia="Times New Roman" w:hAnsi="Times New Roman" w:cs="Times New Roman"/>
          <w:lang w:val="en-GB"/>
        </w:rPr>
        <w:t>Has a thorough knowledge of the general logistic operations and processes.</w:t>
      </w:r>
    </w:p>
    <w:p w:rsidR="00CF2EC3" w:rsidRPr="001D2A73" w:rsidRDefault="00CF2EC3"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rPr>
      </w:pPr>
      <w:r w:rsidRPr="001D2A73">
        <w:rPr>
          <w:rFonts w:ascii="Times New Roman" w:eastAsia="Times New Roman" w:hAnsi="Times New Roman" w:cs="Times New Roman"/>
          <w:bCs/>
          <w:lang w:val="en"/>
        </w:rPr>
        <w:t>Is familiar with the Hungarian Defense Forces' combat and vehicle registration system.</w:t>
      </w:r>
    </w:p>
    <w:p w:rsidR="00CF2EC3" w:rsidRPr="00CE21CA" w:rsidRDefault="00CF2EC3"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rPr>
      </w:pPr>
      <w:r w:rsidRPr="00CE21CA">
        <w:rPr>
          <w:rFonts w:ascii="Times New Roman" w:eastAsia="Times New Roman" w:hAnsi="Times New Roman" w:cs="Times New Roman"/>
          <w:bCs/>
        </w:rPr>
        <w:t>Is familiar with combat and vehicle operation and maintenance conditions.</w:t>
      </w:r>
    </w:p>
    <w:p w:rsidR="00CF2EC3" w:rsidRPr="000B1A81" w:rsidRDefault="00CF2EC3" w:rsidP="00CF2EC3">
      <w:pPr>
        <w:widowControl w:val="0"/>
        <w:spacing w:before="120" w:after="120" w:line="240" w:lineRule="auto"/>
        <w:ind w:left="426"/>
        <w:jc w:val="both"/>
        <w:rPr>
          <w:rFonts w:ascii="Times New Roman" w:eastAsia="Times New Roman" w:hAnsi="Times New Roman" w:cs="Times New Roman"/>
          <w:lang w:val="en-GB"/>
        </w:rPr>
      </w:pPr>
      <w:r w:rsidRPr="000B1A81">
        <w:rPr>
          <w:rFonts w:ascii="Times New Roman" w:eastAsia="Times New Roman" w:hAnsi="Times New Roman" w:cs="Times New Roman"/>
          <w:b/>
          <w:lang w:val="en-GB"/>
        </w:rPr>
        <w:t>Capabilities</w:t>
      </w:r>
      <w:r w:rsidRPr="000B1A81">
        <w:rPr>
          <w:rFonts w:ascii="Times New Roman" w:eastAsia="Times New Roman" w:hAnsi="Times New Roman" w:cs="Times New Roman"/>
          <w:lang w:val="en-GB"/>
        </w:rPr>
        <w:t>:</w:t>
      </w:r>
    </w:p>
    <w:p w:rsidR="00CF2EC3" w:rsidRPr="000B1A81" w:rsidRDefault="00CF2EC3"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kern w:val="2"/>
        </w:rPr>
      </w:pPr>
      <w:r w:rsidRPr="000B1A81">
        <w:rPr>
          <w:rFonts w:ascii="Times New Roman" w:eastAsia="Times New Roman" w:hAnsi="Times New Roman" w:cs="Times New Roman"/>
          <w:lang w:val="en-GB"/>
        </w:rPr>
        <w:t>Is capable of interpreting and applying in practice the legal background related to his/her job and duties.</w:t>
      </w:r>
    </w:p>
    <w:p w:rsidR="00CF2EC3" w:rsidRPr="000B1A81" w:rsidRDefault="00CF2EC3"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kern w:val="2"/>
        </w:rPr>
      </w:pPr>
      <w:r w:rsidRPr="000B1A81">
        <w:rPr>
          <w:rFonts w:ascii="Times New Roman" w:eastAsia="Times New Roman" w:hAnsi="Times New Roman" w:cs="Times New Roman"/>
          <w:lang w:val="en-GB"/>
        </w:rPr>
        <w:t>Is capable of independently preparing documents, forms, minutes, notes and memos, completing documents, organizing and technically preparing events related to his/her job.</w:t>
      </w:r>
    </w:p>
    <w:p w:rsidR="00CF2EC3" w:rsidRPr="000B1A81" w:rsidRDefault="00CF2EC3"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kern w:val="2"/>
        </w:rPr>
      </w:pPr>
      <w:r w:rsidRPr="000B1A81">
        <w:rPr>
          <w:rFonts w:ascii="Times New Roman" w:eastAsia="Times New Roman" w:hAnsi="Times New Roman" w:cs="Times New Roman"/>
          <w:lang w:val="en-GB"/>
        </w:rPr>
        <w:t>Is capable of preparing documents regarding his/her field of specialty, executing the handover of military devices and preparing the records.</w:t>
      </w:r>
    </w:p>
    <w:p w:rsidR="00CF2EC3" w:rsidRPr="000B1A81" w:rsidRDefault="00CF2EC3"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kern w:val="2"/>
        </w:rPr>
      </w:pPr>
      <w:r w:rsidRPr="000B1A81">
        <w:rPr>
          <w:rFonts w:ascii="Times New Roman" w:eastAsia="Times New Roman" w:hAnsi="Times New Roman" w:cs="Times New Roman"/>
          <w:lang w:val="en-GB"/>
        </w:rPr>
        <w:t>Is capable of organizing and efficiently utilizing the usage of the equipment and technical appliances applied in his/her respective specialty field.</w:t>
      </w:r>
    </w:p>
    <w:p w:rsidR="00CF2EC3" w:rsidRPr="000B1A81" w:rsidRDefault="00CF2EC3" w:rsidP="00CF2E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425"/>
        <w:jc w:val="both"/>
        <w:rPr>
          <w:rFonts w:ascii="Times New Roman" w:eastAsia="Times New Roman" w:hAnsi="Times New Roman" w:cs="Times New Roman"/>
          <w:lang w:val="en-GB"/>
        </w:rPr>
      </w:pPr>
      <w:r w:rsidRPr="000B1A81">
        <w:rPr>
          <w:rFonts w:ascii="Times New Roman" w:eastAsia="Times New Roman" w:hAnsi="Times New Roman" w:cs="Times New Roman"/>
          <w:b/>
          <w:lang w:val="en-GB"/>
        </w:rPr>
        <w:t>Attitude:</w:t>
      </w:r>
    </w:p>
    <w:p w:rsidR="00CF2EC3" w:rsidRPr="00CE21CA" w:rsidRDefault="00CF2EC3" w:rsidP="00C14833">
      <w:pPr>
        <w:widowControl w:val="0"/>
        <w:numPr>
          <w:ilvl w:val="0"/>
          <w:numId w:val="133"/>
        </w:numPr>
        <w:spacing w:before="120" w:after="120" w:line="240" w:lineRule="auto"/>
        <w:ind w:left="993"/>
        <w:contextualSpacing/>
        <w:jc w:val="both"/>
        <w:rPr>
          <w:rFonts w:ascii="Times New Roman" w:eastAsia="Times New Roman" w:hAnsi="Times New Roman"/>
          <w:bCs/>
        </w:rPr>
      </w:pPr>
      <w:r w:rsidRPr="000B1A81">
        <w:rPr>
          <w:rFonts w:ascii="Times New Roman" w:eastAsia="Times New Roman" w:hAnsi="Times New Roman" w:cs="Times New Roman"/>
          <w:lang w:val="en-GB"/>
        </w:rPr>
        <w:t>In the course of his duties he tries to demonstrate proper self-control, tolerance, empathy, a non-biased way of thinking and behaviour.</w:t>
      </w:r>
      <w:r w:rsidRPr="000B1A81">
        <w:t xml:space="preserve"> </w:t>
      </w:r>
      <w:r w:rsidRPr="000B1A81">
        <w:rPr>
          <w:rFonts w:ascii="Times New Roman" w:eastAsia="Times New Roman" w:hAnsi="Times New Roman" w:cs="Times New Roman"/>
          <w:lang w:val="en-GB"/>
        </w:rPr>
        <w:t>He/She is reliable in both his/her work and human relationships. He/She is committed to accuracy and high quality at work. His/Her activities are characterized by an efficiency-oriented approach. He/She has good organizational skills.</w:t>
      </w:r>
      <w:r w:rsidRPr="000B1A81">
        <w:t xml:space="preserve"> </w:t>
      </w:r>
      <w:r w:rsidRPr="000B1A81">
        <w:rPr>
          <w:rFonts w:ascii="Times New Roman" w:eastAsia="Times New Roman" w:hAnsi="Times New Roman" w:cs="Times New Roman"/>
          <w:lang w:val="en-GB"/>
        </w:rPr>
        <w:t>He/she aims to adhere to the respective rules and make others follow them as well. His/her work and relationships can be described by loyalty and reliability.</w:t>
      </w:r>
    </w:p>
    <w:p w:rsidR="00CF2EC3" w:rsidRPr="000B1A81" w:rsidRDefault="00CF2EC3" w:rsidP="00CF2EC3">
      <w:pPr>
        <w:widowControl w:val="0"/>
        <w:spacing w:before="120" w:after="120" w:line="240" w:lineRule="auto"/>
        <w:ind w:left="993"/>
        <w:contextualSpacing/>
        <w:jc w:val="both"/>
        <w:rPr>
          <w:rFonts w:ascii="Times New Roman" w:eastAsia="Times New Roman" w:hAnsi="Times New Roman"/>
          <w:bCs/>
        </w:rPr>
      </w:pPr>
    </w:p>
    <w:p w:rsidR="00CF2EC3" w:rsidRPr="000B1A81" w:rsidRDefault="00CF2EC3" w:rsidP="00CF2EC3">
      <w:pPr>
        <w:widowControl w:val="0"/>
        <w:spacing w:before="120" w:after="120" w:line="240" w:lineRule="auto"/>
        <w:ind w:left="426"/>
        <w:jc w:val="both"/>
        <w:rPr>
          <w:rFonts w:ascii="Times New Roman" w:eastAsia="Times New Roman" w:hAnsi="Times New Roman" w:cs="Times New Roman"/>
          <w:b/>
          <w:lang w:val="en-GB"/>
        </w:rPr>
      </w:pPr>
      <w:r w:rsidRPr="000B1A81">
        <w:rPr>
          <w:rFonts w:ascii="Times New Roman" w:eastAsia="Times New Roman" w:hAnsi="Times New Roman" w:cs="Times New Roman"/>
          <w:b/>
          <w:lang w:val="en-GB"/>
        </w:rPr>
        <w:t>Autonomy and responsibility:</w:t>
      </w:r>
    </w:p>
    <w:p w:rsidR="00CF2EC3" w:rsidRPr="000B1A81" w:rsidRDefault="00CF2EC3"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kern w:val="2"/>
        </w:rPr>
      </w:pPr>
      <w:r w:rsidRPr="000B1A81">
        <w:rPr>
          <w:rFonts w:ascii="Times New Roman" w:eastAsia="Times New Roman" w:hAnsi="Times New Roman" w:cs="Times New Roman"/>
          <w:bCs/>
        </w:rPr>
        <w:t>He/She is aware of the impact of his/her decisions and activities on technical equipment and business discipline.</w:t>
      </w:r>
      <w:r w:rsidRPr="000B1A81">
        <w:t xml:space="preserve"> </w:t>
      </w:r>
      <w:r w:rsidRPr="000B1A81">
        <w:rPr>
          <w:rFonts w:ascii="Times New Roman" w:eastAsia="Times New Roman" w:hAnsi="Times New Roman" w:cs="Times New Roman"/>
          <w:bCs/>
        </w:rPr>
        <w:t>He/She takes responsibility for the professional work of his/her subordinates. Is capable of independently fulfilling his/her professional tasks as well as effectively organizing and executing his/her own work. Is capable of organizing and determining the tasks of his/her subordinates as well as controlling their work based on professional aspects.  He/she is cooperative and responsible towards the professionals of his/her field. Is capable of thinking in a system approach within his/her own field.</w:t>
      </w:r>
      <w:r w:rsidRPr="000B1A81">
        <w:rPr>
          <w:rFonts w:ascii="Times New Roman" w:eastAsia="Times New Roman" w:hAnsi="Times New Roman" w:cs="Times New Roman"/>
          <w:bCs/>
          <w:kern w:val="2"/>
        </w:rPr>
        <w:t xml:space="preserve"> </w:t>
      </w:r>
    </w:p>
    <w:p w:rsidR="00CF2EC3" w:rsidRPr="000B1A81" w:rsidRDefault="00CF2EC3" w:rsidP="00CF2EC3">
      <w:pPr>
        <w:widowControl w:val="0"/>
        <w:spacing w:before="120" w:after="120" w:line="240" w:lineRule="auto"/>
        <w:ind w:left="426"/>
        <w:jc w:val="both"/>
        <w:rPr>
          <w:rFonts w:ascii="Times New Roman" w:eastAsia="Times New Roman" w:hAnsi="Times New Roman" w:cs="Times New Roman"/>
          <w:lang w:val="en-GB"/>
        </w:rPr>
      </w:pPr>
    </w:p>
    <w:p w:rsidR="00CF2EC3" w:rsidRPr="000B1A81" w:rsidRDefault="00CF2EC3" w:rsidP="00980876">
      <w:pPr>
        <w:widowControl w:val="0"/>
        <w:numPr>
          <w:ilvl w:val="0"/>
          <w:numId w:val="413"/>
        </w:numPr>
        <w:tabs>
          <w:tab w:val="num" w:pos="567"/>
        </w:tabs>
        <w:spacing w:before="120" w:after="120" w:line="240" w:lineRule="auto"/>
        <w:ind w:left="426" w:hanging="142"/>
        <w:jc w:val="both"/>
        <w:rPr>
          <w:rFonts w:ascii="Times New Roman" w:eastAsia="Times New Roman" w:hAnsi="Times New Roman" w:cs="Times New Roman"/>
          <w:bCs/>
          <w:i/>
        </w:rPr>
      </w:pPr>
      <w:r w:rsidRPr="000B1A81">
        <w:rPr>
          <w:rFonts w:ascii="Times New Roman" w:eastAsia="Times New Roman" w:hAnsi="Times New Roman" w:cs="Times New Roman"/>
          <w:b/>
          <w:bCs/>
        </w:rPr>
        <w:t xml:space="preserve">Előtanulmányi követelmények: </w:t>
      </w:r>
      <w:r w:rsidRPr="000B1A81">
        <w:rPr>
          <w:rFonts w:ascii="Times New Roman" w:eastAsia="Times New Roman" w:hAnsi="Times New Roman" w:cs="Times New Roman"/>
          <w:bCs/>
        </w:rPr>
        <w:t>-</w:t>
      </w:r>
    </w:p>
    <w:p w:rsidR="00CF2EC3" w:rsidRPr="000B1A81" w:rsidRDefault="00CF2EC3" w:rsidP="00980876">
      <w:pPr>
        <w:widowControl w:val="0"/>
        <w:numPr>
          <w:ilvl w:val="0"/>
          <w:numId w:val="413"/>
        </w:numPr>
        <w:spacing w:before="120" w:after="120" w:line="240" w:lineRule="auto"/>
        <w:ind w:left="426" w:hanging="142"/>
        <w:jc w:val="both"/>
        <w:rPr>
          <w:rFonts w:ascii="Times New Roman" w:eastAsia="Times New Roman" w:hAnsi="Times New Roman" w:cs="Times New Roman"/>
          <w:b/>
          <w:bCs/>
        </w:rPr>
      </w:pPr>
      <w:r w:rsidRPr="000B1A81">
        <w:rPr>
          <w:rFonts w:ascii="Times New Roman" w:eastAsia="Times New Roman" w:hAnsi="Times New Roman" w:cs="Times New Roman"/>
          <w:b/>
          <w:bCs/>
        </w:rPr>
        <w:t>A tantárgy tananyagának leírása, tematika. Description of the subject, curriculum (magyarul, angolul - English):</w:t>
      </w:r>
    </w:p>
    <w:p w:rsidR="00CF2EC3" w:rsidRPr="000B1A81" w:rsidRDefault="00CF2EC3" w:rsidP="00980876">
      <w:pPr>
        <w:widowControl w:val="0"/>
        <w:numPr>
          <w:ilvl w:val="1"/>
          <w:numId w:val="413"/>
        </w:numPr>
        <w:tabs>
          <w:tab w:val="clear" w:pos="3977"/>
          <w:tab w:val="left" w:pos="709"/>
          <w:tab w:val="left" w:pos="993"/>
          <w:tab w:val="num" w:pos="1142"/>
          <w:tab w:val="num" w:pos="2069"/>
        </w:tabs>
        <w:spacing w:before="120" w:after="120" w:line="240" w:lineRule="auto"/>
        <w:ind w:left="993" w:hanging="567"/>
        <w:jc w:val="both"/>
        <w:rPr>
          <w:rFonts w:ascii="Times New Roman" w:eastAsia="Times New Roman" w:hAnsi="Times New Roman" w:cs="Times New Roman"/>
          <w:b/>
          <w:i/>
          <w:iCs/>
        </w:rPr>
      </w:pPr>
      <w:r w:rsidRPr="005959AA">
        <w:rPr>
          <w:rFonts w:ascii="Times New Roman" w:eastAsia="Times New Roman" w:hAnsi="Times New Roman" w:cs="Times New Roman"/>
          <w:bCs/>
        </w:rPr>
        <w:t>A Magyar Honvédség haditechnikai eszközeinek alkalmazásával kapcsolatos alapfogalmak.</w:t>
      </w:r>
      <w:r w:rsidRPr="000B1A81">
        <w:rPr>
          <w:rFonts w:ascii="Times New Roman" w:eastAsia="Times New Roman" w:hAnsi="Times New Roman" w:cs="Times New Roman"/>
          <w:bCs/>
        </w:rPr>
        <w:t xml:space="preserve"> </w:t>
      </w:r>
      <w:r w:rsidRPr="000B1A81">
        <w:rPr>
          <w:rFonts w:ascii="Times New Roman" w:eastAsia="Times New Roman" w:hAnsi="Times New Roman" w:cs="Times New Roman"/>
          <w:bCs/>
          <w:i/>
          <w:iCs/>
        </w:rPr>
        <w:t xml:space="preserve">(Basic concepts related to the use of military equipment of </w:t>
      </w:r>
      <w:r>
        <w:rPr>
          <w:rFonts w:ascii="Times New Roman" w:eastAsia="Times New Roman" w:hAnsi="Times New Roman" w:cs="Times New Roman"/>
          <w:bCs/>
          <w:i/>
          <w:iCs/>
        </w:rPr>
        <w:t>the Hungarian Defense Forces.)</w:t>
      </w:r>
    </w:p>
    <w:p w:rsidR="00CF2EC3" w:rsidRPr="000B1A81" w:rsidRDefault="00CF2EC3" w:rsidP="00980876">
      <w:pPr>
        <w:widowControl w:val="0"/>
        <w:numPr>
          <w:ilvl w:val="1"/>
          <w:numId w:val="413"/>
        </w:numPr>
        <w:tabs>
          <w:tab w:val="clear" w:pos="3977"/>
          <w:tab w:val="left" w:pos="709"/>
          <w:tab w:val="left" w:pos="993"/>
          <w:tab w:val="num" w:pos="1142"/>
          <w:tab w:val="num" w:pos="2069"/>
        </w:tabs>
        <w:spacing w:before="120" w:after="120" w:line="240" w:lineRule="auto"/>
        <w:ind w:left="993" w:hanging="567"/>
        <w:jc w:val="both"/>
        <w:rPr>
          <w:rFonts w:ascii="Times New Roman" w:eastAsia="Times New Roman" w:hAnsi="Times New Roman" w:cs="Times New Roman"/>
          <w:b/>
        </w:rPr>
      </w:pPr>
      <w:r w:rsidRPr="000B1A81">
        <w:rPr>
          <w:rFonts w:ascii="Times New Roman" w:eastAsia="Times New Roman" w:hAnsi="Times New Roman" w:cs="Times New Roman"/>
          <w:bCs/>
        </w:rPr>
        <w:t>A haditechnikai eszközök felosztása, besorolása</w:t>
      </w:r>
      <w:r w:rsidRPr="000B1A81">
        <w:t xml:space="preserve">. </w:t>
      </w:r>
      <w:r w:rsidRPr="000B1A81">
        <w:rPr>
          <w:rFonts w:ascii="Times New Roman" w:eastAsia="Times New Roman" w:hAnsi="Times New Roman" w:cs="Times New Roman"/>
          <w:bCs/>
          <w:i/>
          <w:iCs/>
        </w:rPr>
        <w:t>(Classification of military devices )</w:t>
      </w:r>
    </w:p>
    <w:p w:rsidR="00CF2EC3" w:rsidRPr="000B1A81" w:rsidRDefault="00CF2EC3" w:rsidP="00980876">
      <w:pPr>
        <w:widowControl w:val="0"/>
        <w:numPr>
          <w:ilvl w:val="1"/>
          <w:numId w:val="413"/>
        </w:numPr>
        <w:tabs>
          <w:tab w:val="clear" w:pos="3977"/>
          <w:tab w:val="left" w:pos="709"/>
          <w:tab w:val="left" w:pos="993"/>
          <w:tab w:val="num" w:pos="1142"/>
          <w:tab w:val="num" w:pos="2069"/>
        </w:tabs>
        <w:spacing w:before="120" w:after="120" w:line="240" w:lineRule="auto"/>
        <w:ind w:left="993" w:hanging="567"/>
        <w:jc w:val="both"/>
        <w:rPr>
          <w:rFonts w:ascii="Times New Roman" w:eastAsia="Times New Roman" w:hAnsi="Times New Roman" w:cs="Times New Roman"/>
          <w:b/>
        </w:rPr>
      </w:pPr>
      <w:r>
        <w:rPr>
          <w:rFonts w:ascii="Times New Roman" w:eastAsia="Times New Roman" w:hAnsi="Times New Roman" w:cs="Times New Roman"/>
          <w:bCs/>
        </w:rPr>
        <w:t>Rendszerbe való felvétel</w:t>
      </w:r>
      <w:r w:rsidRPr="000B1A81">
        <w:rPr>
          <w:rFonts w:ascii="Times New Roman" w:eastAsia="Times New Roman" w:hAnsi="Times New Roman" w:cs="Times New Roman"/>
          <w:bCs/>
        </w:rPr>
        <w:t xml:space="preserve"> folyamata. </w:t>
      </w:r>
      <w:r w:rsidRPr="000B1A81">
        <w:rPr>
          <w:rFonts w:ascii="Times New Roman" w:eastAsia="Times New Roman" w:hAnsi="Times New Roman" w:cs="Times New Roman"/>
          <w:bCs/>
          <w:i/>
          <w:iCs/>
        </w:rPr>
        <w:t>(Procedure of starting the in-service time.)</w:t>
      </w:r>
    </w:p>
    <w:p w:rsidR="00CF2EC3" w:rsidRPr="000B1A81" w:rsidRDefault="00CF2EC3" w:rsidP="00980876">
      <w:pPr>
        <w:widowControl w:val="0"/>
        <w:numPr>
          <w:ilvl w:val="1"/>
          <w:numId w:val="413"/>
        </w:numPr>
        <w:tabs>
          <w:tab w:val="clear" w:pos="3977"/>
          <w:tab w:val="left" w:pos="709"/>
          <w:tab w:val="left" w:pos="993"/>
          <w:tab w:val="num" w:pos="1142"/>
          <w:tab w:val="num" w:pos="2069"/>
        </w:tabs>
        <w:spacing w:before="120" w:after="120" w:line="240" w:lineRule="auto"/>
        <w:ind w:left="993" w:hanging="567"/>
        <w:jc w:val="both"/>
        <w:rPr>
          <w:rFonts w:ascii="Times New Roman" w:eastAsia="Times New Roman" w:hAnsi="Times New Roman" w:cs="Times New Roman"/>
          <w:b/>
        </w:rPr>
      </w:pPr>
      <w:r w:rsidRPr="000B1A81">
        <w:rPr>
          <w:rFonts w:ascii="Times New Roman" w:eastAsia="Times New Roman" w:hAnsi="Times New Roman" w:cs="Times New Roman"/>
          <w:bCs/>
        </w:rPr>
        <w:t xml:space="preserve">Rendszerből kivonás, inkurrencia tárolás. </w:t>
      </w:r>
      <w:r w:rsidRPr="000B1A81">
        <w:rPr>
          <w:rFonts w:ascii="Times New Roman" w:eastAsia="Times New Roman" w:hAnsi="Times New Roman" w:cs="Times New Roman"/>
          <w:bCs/>
          <w:i/>
          <w:iCs/>
        </w:rPr>
        <w:t>(Retire and disposal from the system, storage of the vehicles after disposal.)</w:t>
      </w:r>
    </w:p>
    <w:p w:rsidR="00CF2EC3" w:rsidRPr="00E202C3" w:rsidRDefault="00CF2EC3" w:rsidP="00980876">
      <w:pPr>
        <w:widowControl w:val="0"/>
        <w:numPr>
          <w:ilvl w:val="1"/>
          <w:numId w:val="413"/>
        </w:numPr>
        <w:tabs>
          <w:tab w:val="clear" w:pos="3977"/>
          <w:tab w:val="left" w:pos="709"/>
          <w:tab w:val="left" w:pos="993"/>
          <w:tab w:val="num" w:pos="1142"/>
          <w:tab w:val="num" w:pos="2069"/>
        </w:tabs>
        <w:spacing w:before="120" w:after="120" w:line="240" w:lineRule="auto"/>
        <w:ind w:left="993" w:hanging="567"/>
        <w:jc w:val="both"/>
        <w:rPr>
          <w:rFonts w:ascii="Times New Roman" w:eastAsia="Times New Roman" w:hAnsi="Times New Roman" w:cs="Times New Roman"/>
          <w:b/>
          <w:i/>
          <w:iCs/>
        </w:rPr>
      </w:pPr>
      <w:r w:rsidRPr="000B1A81">
        <w:rPr>
          <w:rFonts w:ascii="Times New Roman" w:eastAsia="Times New Roman" w:hAnsi="Times New Roman" w:cs="Times New Roman"/>
          <w:bCs/>
        </w:rPr>
        <w:t xml:space="preserve"> A haditechnikai eszközök tárolása, a tárolás helye, módjai, a tárolás rendszere. </w:t>
      </w:r>
      <w:r w:rsidRPr="000B1A81">
        <w:rPr>
          <w:rFonts w:ascii="Times New Roman" w:eastAsia="Times New Roman" w:hAnsi="Times New Roman" w:cs="Times New Roman"/>
          <w:bCs/>
          <w:i/>
          <w:iCs/>
        </w:rPr>
        <w:t>(Storage of military technology equipment, storage location, storage types and storage system.)</w:t>
      </w:r>
    </w:p>
    <w:p w:rsidR="00CF2EC3" w:rsidRPr="000B1A81" w:rsidRDefault="00CF2EC3" w:rsidP="00980876">
      <w:pPr>
        <w:widowControl w:val="0"/>
        <w:numPr>
          <w:ilvl w:val="1"/>
          <w:numId w:val="413"/>
        </w:numPr>
        <w:tabs>
          <w:tab w:val="clear" w:pos="3977"/>
          <w:tab w:val="left" w:pos="709"/>
          <w:tab w:val="left" w:pos="993"/>
          <w:tab w:val="num" w:pos="1142"/>
          <w:tab w:val="num" w:pos="2069"/>
        </w:tabs>
        <w:spacing w:before="120" w:after="120" w:line="240" w:lineRule="auto"/>
        <w:ind w:left="993" w:hanging="567"/>
        <w:jc w:val="both"/>
        <w:rPr>
          <w:rFonts w:ascii="Times New Roman" w:eastAsia="Times New Roman" w:hAnsi="Times New Roman" w:cs="Times New Roman"/>
          <w:b/>
        </w:rPr>
      </w:pPr>
      <w:r w:rsidRPr="000B1A81">
        <w:rPr>
          <w:rFonts w:ascii="Times New Roman" w:eastAsia="Times New Roman" w:hAnsi="Times New Roman" w:cs="Times New Roman"/>
          <w:bCs/>
        </w:rPr>
        <w:t xml:space="preserve">Az igénybevétel folyamata (elrendelés, engedélyezés, igénybevétel), szabályai. </w:t>
      </w:r>
      <w:r w:rsidRPr="000B1A81">
        <w:rPr>
          <w:rFonts w:ascii="Times New Roman" w:eastAsia="Times New Roman" w:hAnsi="Times New Roman" w:cs="Times New Roman"/>
          <w:bCs/>
          <w:i/>
          <w:iCs/>
        </w:rPr>
        <w:t>(The process and rules of usage (ordering, approval).</w:t>
      </w:r>
      <w:r w:rsidRPr="000B1A81">
        <w:rPr>
          <w:rFonts w:ascii="Times New Roman" w:eastAsia="Times New Roman" w:hAnsi="Times New Roman" w:cs="Times New Roman"/>
          <w:b/>
          <w:i/>
          <w:iCs/>
        </w:rPr>
        <w:t>)</w:t>
      </w:r>
      <w:r w:rsidRPr="000B1A81">
        <w:rPr>
          <w:rFonts w:ascii="Times New Roman" w:eastAsia="Times New Roman" w:hAnsi="Times New Roman" w:cs="Times New Roman"/>
          <w:b/>
        </w:rPr>
        <w:t xml:space="preserve"> </w:t>
      </w:r>
    </w:p>
    <w:p w:rsidR="00CF2EC3" w:rsidRPr="000B1A81" w:rsidRDefault="00CF2EC3" w:rsidP="00980876">
      <w:pPr>
        <w:widowControl w:val="0"/>
        <w:numPr>
          <w:ilvl w:val="1"/>
          <w:numId w:val="413"/>
        </w:numPr>
        <w:tabs>
          <w:tab w:val="clear" w:pos="3977"/>
          <w:tab w:val="left" w:pos="709"/>
          <w:tab w:val="left" w:pos="993"/>
          <w:tab w:val="num" w:pos="1142"/>
          <w:tab w:val="num" w:pos="2069"/>
        </w:tabs>
        <w:spacing w:before="120" w:after="120" w:line="240" w:lineRule="auto"/>
        <w:ind w:left="993" w:hanging="567"/>
        <w:jc w:val="both"/>
        <w:rPr>
          <w:rFonts w:ascii="Times New Roman" w:eastAsia="Times New Roman" w:hAnsi="Times New Roman" w:cs="Times New Roman"/>
          <w:b/>
          <w:i/>
          <w:iCs/>
        </w:rPr>
      </w:pPr>
      <w:r w:rsidRPr="000B1A81">
        <w:rPr>
          <w:rFonts w:ascii="Times New Roman" w:eastAsia="Times New Roman" w:hAnsi="Times New Roman" w:cs="Times New Roman"/>
          <w:bCs/>
        </w:rPr>
        <w:t xml:space="preserve">Az igénybevételre vonatkozó szabályzatok, szakutasítások, jogosultságok, felelősségi körök, ellenőrzési feladatok. </w:t>
      </w:r>
      <w:r w:rsidRPr="000B1A81">
        <w:rPr>
          <w:rFonts w:ascii="Times New Roman" w:eastAsia="Times New Roman" w:hAnsi="Times New Roman" w:cs="Times New Roman"/>
          <w:bCs/>
          <w:i/>
          <w:iCs/>
        </w:rPr>
        <w:t>(Permissions, responsibilities, controls, rules and technikal instructions of usage.)</w:t>
      </w:r>
    </w:p>
    <w:p w:rsidR="00CF2EC3" w:rsidRPr="00CE21CA" w:rsidRDefault="00CF2EC3" w:rsidP="00980876">
      <w:pPr>
        <w:widowControl w:val="0"/>
        <w:numPr>
          <w:ilvl w:val="1"/>
          <w:numId w:val="413"/>
        </w:numPr>
        <w:tabs>
          <w:tab w:val="clear" w:pos="3977"/>
          <w:tab w:val="left" w:pos="709"/>
          <w:tab w:val="left" w:pos="993"/>
          <w:tab w:val="num" w:pos="1142"/>
          <w:tab w:val="num" w:pos="2069"/>
        </w:tabs>
        <w:spacing w:before="120" w:after="120" w:line="240" w:lineRule="auto"/>
        <w:ind w:left="993" w:hanging="567"/>
        <w:jc w:val="both"/>
        <w:rPr>
          <w:rFonts w:ascii="Times New Roman" w:eastAsia="Times New Roman" w:hAnsi="Times New Roman" w:cs="Times New Roman"/>
          <w:bCs/>
          <w:i/>
          <w:iCs/>
        </w:rPr>
      </w:pPr>
      <w:r w:rsidRPr="000B1A81">
        <w:rPr>
          <w:rFonts w:ascii="Times New Roman" w:eastAsia="Times New Roman" w:hAnsi="Times New Roman" w:cs="Times New Roman"/>
          <w:bCs/>
        </w:rPr>
        <w:t>Az igénybevétel okmányai, igénybevétel alatti események</w:t>
      </w:r>
      <w:r>
        <w:rPr>
          <w:rFonts w:ascii="Times New Roman" w:eastAsia="Times New Roman" w:hAnsi="Times New Roman" w:cs="Times New Roman"/>
          <w:bCs/>
        </w:rPr>
        <w:t xml:space="preserve">, (baleset, meghibásodás). </w:t>
      </w:r>
      <w:r w:rsidRPr="000B1A81">
        <w:rPr>
          <w:rFonts w:ascii="Times New Roman" w:eastAsia="Times New Roman" w:hAnsi="Times New Roman" w:cs="Times New Roman"/>
          <w:bCs/>
          <w:i/>
          <w:iCs/>
        </w:rPr>
        <w:t>(Documents of use and events during usage (accident, malfunction).)</w:t>
      </w:r>
    </w:p>
    <w:p w:rsidR="00CF2EC3" w:rsidRPr="000B1A81" w:rsidRDefault="00CF2EC3" w:rsidP="00980876">
      <w:pPr>
        <w:widowControl w:val="0"/>
        <w:numPr>
          <w:ilvl w:val="1"/>
          <w:numId w:val="413"/>
        </w:numPr>
        <w:tabs>
          <w:tab w:val="clear" w:pos="3977"/>
          <w:tab w:val="left" w:pos="709"/>
          <w:tab w:val="left" w:pos="993"/>
          <w:tab w:val="num" w:pos="1142"/>
          <w:tab w:val="num" w:pos="2069"/>
        </w:tabs>
        <w:spacing w:before="120" w:after="120" w:line="240" w:lineRule="auto"/>
        <w:ind w:left="993" w:hanging="567"/>
        <w:jc w:val="both"/>
        <w:rPr>
          <w:rFonts w:ascii="Times New Roman" w:eastAsia="Times New Roman" w:hAnsi="Times New Roman" w:cs="Times New Roman"/>
          <w:b/>
        </w:rPr>
      </w:pPr>
      <w:r>
        <w:rPr>
          <w:rFonts w:ascii="Times New Roman" w:eastAsia="Times New Roman" w:hAnsi="Times New Roman" w:cs="Times New Roman"/>
          <w:bCs/>
        </w:rPr>
        <w:t xml:space="preserve"> </w:t>
      </w:r>
      <w:r w:rsidRPr="000B1A81">
        <w:rPr>
          <w:rFonts w:ascii="Times New Roman" w:eastAsia="Times New Roman" w:hAnsi="Times New Roman" w:cs="Times New Roman"/>
          <w:bCs/>
        </w:rPr>
        <w:t xml:space="preserve">Igénybevétel fajtái. </w:t>
      </w:r>
      <w:r w:rsidRPr="000B1A81">
        <w:rPr>
          <w:rFonts w:ascii="Times New Roman" w:eastAsia="Times New Roman" w:hAnsi="Times New Roman" w:cs="Times New Roman"/>
          <w:bCs/>
          <w:i/>
          <w:iCs/>
        </w:rPr>
        <w:t>(Types of utilization.)</w:t>
      </w:r>
    </w:p>
    <w:p w:rsidR="00CF2EC3" w:rsidRPr="000A4B96" w:rsidRDefault="00CF2EC3" w:rsidP="00980876">
      <w:pPr>
        <w:widowControl w:val="0"/>
        <w:numPr>
          <w:ilvl w:val="1"/>
          <w:numId w:val="413"/>
        </w:numPr>
        <w:tabs>
          <w:tab w:val="clear" w:pos="3977"/>
          <w:tab w:val="left" w:pos="709"/>
          <w:tab w:val="left" w:pos="993"/>
          <w:tab w:val="num" w:pos="1142"/>
          <w:tab w:val="num" w:pos="2069"/>
        </w:tabs>
        <w:spacing w:before="120" w:after="120" w:line="240" w:lineRule="auto"/>
        <w:ind w:left="993" w:hanging="567"/>
        <w:jc w:val="both"/>
        <w:rPr>
          <w:rFonts w:ascii="Times New Roman" w:eastAsia="Times New Roman" w:hAnsi="Times New Roman" w:cs="Times New Roman"/>
          <w:b/>
        </w:rPr>
      </w:pPr>
      <w:r w:rsidRPr="000B1A81">
        <w:rPr>
          <w:rFonts w:ascii="Times New Roman" w:eastAsia="Times New Roman" w:hAnsi="Times New Roman" w:cs="Times New Roman"/>
          <w:bCs/>
        </w:rPr>
        <w:t xml:space="preserve">Átadás átvételi jegyzőkönyvek. </w:t>
      </w:r>
      <w:r w:rsidRPr="000B1A81">
        <w:rPr>
          <w:rFonts w:ascii="Times New Roman" w:eastAsia="Times New Roman" w:hAnsi="Times New Roman" w:cs="Times New Roman"/>
          <w:bCs/>
          <w:i/>
          <w:iCs/>
        </w:rPr>
        <w:t>(Handover documents.)</w:t>
      </w:r>
    </w:p>
    <w:p w:rsidR="00CF2EC3" w:rsidRPr="000A4B96" w:rsidRDefault="00CF2EC3" w:rsidP="00980876">
      <w:pPr>
        <w:widowControl w:val="0"/>
        <w:numPr>
          <w:ilvl w:val="1"/>
          <w:numId w:val="413"/>
        </w:numPr>
        <w:tabs>
          <w:tab w:val="clear" w:pos="3977"/>
          <w:tab w:val="left" w:pos="709"/>
          <w:tab w:val="left" w:pos="993"/>
          <w:tab w:val="num" w:pos="1142"/>
          <w:tab w:val="num" w:pos="2069"/>
        </w:tabs>
        <w:spacing w:before="120" w:after="120" w:line="240" w:lineRule="auto"/>
        <w:ind w:left="993" w:hanging="567"/>
        <w:jc w:val="both"/>
        <w:rPr>
          <w:rFonts w:ascii="Times New Roman" w:eastAsia="Times New Roman" w:hAnsi="Times New Roman" w:cs="Times New Roman"/>
          <w:b/>
        </w:rPr>
      </w:pPr>
      <w:r>
        <w:rPr>
          <w:rFonts w:ascii="Times New Roman" w:eastAsia="Times New Roman" w:hAnsi="Times New Roman" w:cs="Times New Roman"/>
          <w:bCs/>
          <w:i/>
          <w:iCs/>
        </w:rPr>
        <w:t xml:space="preserve"> </w:t>
      </w:r>
      <w:r w:rsidRPr="000A4B96">
        <w:rPr>
          <w:rFonts w:ascii="Times New Roman" w:eastAsia="Times New Roman" w:hAnsi="Times New Roman" w:cs="Times New Roman"/>
          <w:bCs/>
        </w:rPr>
        <w:t>Az igénybevétel tervezésének alapja</w:t>
      </w:r>
      <w:r>
        <w:rPr>
          <w:rFonts w:ascii="Times New Roman" w:eastAsia="Times New Roman" w:hAnsi="Times New Roman" w:cs="Times New Roman"/>
          <w:bCs/>
        </w:rPr>
        <w:t>.</w:t>
      </w:r>
      <w:r>
        <w:rPr>
          <w:rFonts w:ascii="Times New Roman" w:eastAsia="Times New Roman" w:hAnsi="Times New Roman" w:cs="Times New Roman"/>
          <w:bCs/>
          <w:i/>
          <w:iCs/>
        </w:rPr>
        <w:t xml:space="preserve"> (Planning of usage.)</w:t>
      </w:r>
    </w:p>
    <w:p w:rsidR="00CF2EC3" w:rsidRPr="000B1A81" w:rsidRDefault="00CF2EC3" w:rsidP="00980876">
      <w:pPr>
        <w:widowControl w:val="0"/>
        <w:numPr>
          <w:ilvl w:val="1"/>
          <w:numId w:val="413"/>
        </w:numPr>
        <w:tabs>
          <w:tab w:val="clear" w:pos="3977"/>
          <w:tab w:val="left" w:pos="709"/>
          <w:tab w:val="left" w:pos="993"/>
          <w:tab w:val="num" w:pos="1142"/>
          <w:tab w:val="num" w:pos="2069"/>
        </w:tabs>
        <w:spacing w:before="120" w:after="120" w:line="240" w:lineRule="auto"/>
        <w:ind w:left="993" w:hanging="567"/>
        <w:jc w:val="both"/>
        <w:rPr>
          <w:rFonts w:ascii="Times New Roman" w:eastAsia="Times New Roman" w:hAnsi="Times New Roman" w:cs="Times New Roman"/>
          <w:b/>
        </w:rPr>
      </w:pPr>
      <w:r>
        <w:rPr>
          <w:rFonts w:ascii="Times New Roman" w:eastAsia="Times New Roman" w:hAnsi="Times New Roman" w:cs="Times New Roman"/>
          <w:bCs/>
          <w:i/>
          <w:iCs/>
        </w:rPr>
        <w:t xml:space="preserve"> </w:t>
      </w:r>
      <w:r w:rsidRPr="000A4B96">
        <w:rPr>
          <w:rFonts w:ascii="Times New Roman" w:eastAsia="Times New Roman" w:hAnsi="Times New Roman" w:cs="Times New Roman"/>
          <w:bCs/>
        </w:rPr>
        <w:t>Az igénybevétel dokumentálása.</w:t>
      </w:r>
      <w:r>
        <w:rPr>
          <w:rFonts w:ascii="Times New Roman" w:eastAsia="Times New Roman" w:hAnsi="Times New Roman" w:cs="Times New Roman"/>
          <w:bCs/>
          <w:i/>
          <w:iCs/>
        </w:rPr>
        <w:t xml:space="preserve"> (</w:t>
      </w:r>
      <w:bookmarkStart w:id="55" w:name="_Hlk34522328"/>
      <w:r>
        <w:rPr>
          <w:rFonts w:ascii="Times New Roman" w:eastAsia="Times New Roman" w:hAnsi="Times New Roman" w:cs="Times New Roman"/>
          <w:bCs/>
          <w:i/>
          <w:iCs/>
        </w:rPr>
        <w:t>Dokumentation of usage.)</w:t>
      </w:r>
      <w:bookmarkEnd w:id="55"/>
    </w:p>
    <w:p w:rsidR="00CF2EC3" w:rsidRPr="000B1A81" w:rsidRDefault="00CF2EC3" w:rsidP="00980876">
      <w:pPr>
        <w:widowControl w:val="0"/>
        <w:numPr>
          <w:ilvl w:val="0"/>
          <w:numId w:val="413"/>
        </w:numPr>
        <w:tabs>
          <w:tab w:val="num" w:pos="360"/>
        </w:tabs>
        <w:spacing w:before="120" w:after="120" w:line="240" w:lineRule="auto"/>
        <w:ind w:left="426" w:hanging="142"/>
        <w:jc w:val="both"/>
        <w:rPr>
          <w:rFonts w:ascii="Times New Roman" w:eastAsia="Times New Roman" w:hAnsi="Times New Roman" w:cs="Times New Roman"/>
          <w:bCs/>
        </w:rPr>
      </w:pPr>
      <w:r w:rsidRPr="000B1A81">
        <w:rPr>
          <w:rFonts w:ascii="Times New Roman" w:eastAsia="Times New Roman" w:hAnsi="Times New Roman" w:cs="Times New Roman"/>
          <w:b/>
          <w:bCs/>
        </w:rPr>
        <w:t xml:space="preserve">A tantárgy meghirdetésének gyakorisága/a tantervben történő félévi elhelyezkedése: </w:t>
      </w:r>
      <w:r w:rsidRPr="000B1A81">
        <w:rPr>
          <w:rFonts w:ascii="Times New Roman" w:eastAsia="Times New Roman" w:hAnsi="Times New Roman" w:cs="Times New Roman"/>
          <w:bCs/>
        </w:rPr>
        <w:t>5. félév</w:t>
      </w:r>
    </w:p>
    <w:p w:rsidR="00CF2EC3" w:rsidRPr="000B1A81" w:rsidRDefault="00CF2EC3" w:rsidP="00980876">
      <w:pPr>
        <w:widowControl w:val="0"/>
        <w:numPr>
          <w:ilvl w:val="0"/>
          <w:numId w:val="413"/>
        </w:numPr>
        <w:tabs>
          <w:tab w:val="num" w:pos="360"/>
        </w:tabs>
        <w:spacing w:before="120" w:after="120" w:line="240" w:lineRule="auto"/>
        <w:ind w:left="426" w:hanging="142"/>
        <w:jc w:val="both"/>
        <w:rPr>
          <w:rFonts w:ascii="Times New Roman" w:eastAsia="Times New Roman" w:hAnsi="Times New Roman" w:cs="Times New Roman"/>
          <w:bCs/>
        </w:rPr>
      </w:pPr>
      <w:r w:rsidRPr="000B1A81">
        <w:rPr>
          <w:rFonts w:ascii="Times New Roman" w:eastAsia="Times New Roman" w:hAnsi="Times New Roman" w:cs="Times New Roman"/>
          <w:b/>
          <w:bCs/>
        </w:rPr>
        <w:t>A tanórákon való részvétel követelményei, az elfogadható hiányzások mértéke, a távolmaradás pótlásának lehetősége:</w:t>
      </w:r>
      <w:r w:rsidRPr="000B1A81">
        <w:rPr>
          <w:rFonts w:ascii="Times New Roman" w:eastAsia="Times New Roman" w:hAnsi="Times New Roman" w:cs="Times New Roman"/>
          <w:bCs/>
        </w:rPr>
        <w:t xml:space="preserve"> A tanórákat csak a kurzusra eredményesen jelentkezett hallgatók látogathatják. Az aláírás megszerzésének szempontjából az elfogadható hiányzás mértéke nem haladhatja meg a tanórák 30%-át, ellenkező esetben az aláírást meg kell tagadni. A hiányzás pótolható az oktató által kijelölt témakörben beadott, legalább elégségesre értékelt házidolgozattal. Az aláírás pótlása a TVSZ-ben megfogalmazott módon lehetséges.</w:t>
      </w:r>
    </w:p>
    <w:p w:rsidR="00CF2EC3" w:rsidRPr="000B1A81" w:rsidRDefault="00CF2EC3" w:rsidP="00980876">
      <w:pPr>
        <w:widowControl w:val="0"/>
        <w:numPr>
          <w:ilvl w:val="0"/>
          <w:numId w:val="413"/>
        </w:numPr>
        <w:tabs>
          <w:tab w:val="num" w:pos="360"/>
        </w:tabs>
        <w:spacing w:before="120" w:after="120" w:line="240" w:lineRule="auto"/>
        <w:ind w:left="426" w:hanging="142"/>
        <w:jc w:val="both"/>
        <w:rPr>
          <w:rFonts w:ascii="Times New Roman" w:eastAsia="Times New Roman" w:hAnsi="Times New Roman" w:cs="Times New Roman"/>
          <w:bCs/>
        </w:rPr>
      </w:pPr>
      <w:r w:rsidRPr="000B1A81">
        <w:rPr>
          <w:rFonts w:ascii="Times New Roman" w:eastAsia="Times New Roman" w:hAnsi="Times New Roman" w:cs="Times New Roman"/>
          <w:b/>
        </w:rPr>
        <w:t>Félévközi feladatok, ismeretek ellenőrzésének rendje:</w:t>
      </w:r>
      <w:r w:rsidRPr="000B1A81">
        <w:rPr>
          <w:rFonts w:ascii="Times New Roman" w:eastAsia="Times New Roman" w:hAnsi="Times New Roman" w:cs="Times New Roman"/>
          <w:bCs/>
        </w:rPr>
        <w:t xml:space="preserve"> Az ismeretek ellenőrzése két zárthelyi dolgozat megírása alapján történik. A zárthelyi dolgozatok t</w:t>
      </w:r>
      <w:r>
        <w:rPr>
          <w:rFonts w:ascii="Times New Roman" w:eastAsia="Times New Roman" w:hAnsi="Times New Roman" w:cs="Times New Roman"/>
          <w:bCs/>
        </w:rPr>
        <w:t>émái a 12.1.–12.6. és a 12.8.–12.12.</w:t>
      </w:r>
      <w:r w:rsidRPr="000B1A81">
        <w:rPr>
          <w:rFonts w:ascii="Times New Roman" w:eastAsia="Times New Roman" w:hAnsi="Times New Roman" w:cs="Times New Roman"/>
          <w:bCs/>
        </w:rPr>
        <w:t xml:space="preserve"> tantárgyrészekből a kötelező irodalmak anyagából, illetve az előadásokon elhangzott ismeretanyagból kell összeállítani. Az érdemjegyek pontszámait a kiadott feladatlap tartalmazza. A dolgozatban teszt és esszé jellegű kérdések egyaránt szerepelhetnek. A zárthelyi dolgozat értékelése ötfokozatú értékelés. </w:t>
      </w:r>
      <w:r w:rsidRPr="003A1CBB">
        <w:rPr>
          <w:rFonts w:ascii="Times New Roman" w:eastAsia="Times New Roman" w:hAnsi="Times New Roman" w:cs="Times New Roman"/>
          <w:bCs/>
        </w:rPr>
        <w:t xml:space="preserve">A zárthelyi írásbeli dolgozat értékelése az elért maximális </w:t>
      </w:r>
      <w:r w:rsidRPr="003A1CBB">
        <w:rPr>
          <w:rFonts w:ascii="Times New Roman" w:eastAsia="Times New Roman" w:hAnsi="Times New Roman" w:cs="Times New Roman"/>
          <w:bCs/>
        </w:rPr>
        <w:lastRenderedPageBreak/>
        <w:t>pontszám 60%-ig elégtelen; 61</w:t>
      </w:r>
      <w:r>
        <w:rPr>
          <w:rFonts w:ascii="Times New Roman" w:eastAsia="Times New Roman" w:hAnsi="Times New Roman" w:cs="Times New Roman"/>
          <w:bCs/>
        </w:rPr>
        <w:t>–</w:t>
      </w:r>
      <w:r w:rsidRPr="003A1CBB">
        <w:rPr>
          <w:rFonts w:ascii="Times New Roman" w:eastAsia="Times New Roman" w:hAnsi="Times New Roman" w:cs="Times New Roman"/>
          <w:bCs/>
        </w:rPr>
        <w:t>70%-a között elégséges; 71</w:t>
      </w:r>
      <w:r>
        <w:rPr>
          <w:rFonts w:ascii="Times New Roman" w:eastAsia="Times New Roman" w:hAnsi="Times New Roman" w:cs="Times New Roman"/>
          <w:bCs/>
        </w:rPr>
        <w:t>–</w:t>
      </w:r>
      <w:r w:rsidRPr="003A1CBB">
        <w:rPr>
          <w:rFonts w:ascii="Times New Roman" w:eastAsia="Times New Roman" w:hAnsi="Times New Roman" w:cs="Times New Roman"/>
          <w:bCs/>
        </w:rPr>
        <w:t>80%-a között közepes; 81</w:t>
      </w:r>
      <w:r>
        <w:rPr>
          <w:rFonts w:ascii="Times New Roman" w:eastAsia="Times New Roman" w:hAnsi="Times New Roman" w:cs="Times New Roman"/>
          <w:bCs/>
        </w:rPr>
        <w:t>–</w:t>
      </w:r>
      <w:r w:rsidRPr="003A1CBB">
        <w:rPr>
          <w:rFonts w:ascii="Times New Roman" w:eastAsia="Times New Roman" w:hAnsi="Times New Roman" w:cs="Times New Roman"/>
          <w:bCs/>
        </w:rPr>
        <w:t>90%-a között jó; e felett jeles.</w:t>
      </w:r>
      <w:r w:rsidRPr="000B1A81">
        <w:rPr>
          <w:rFonts w:ascii="Times New Roman" w:eastAsia="Times New Roman" w:hAnsi="Times New Roman" w:cs="Times New Roman"/>
          <w:bCs/>
          <w:lang w:eastAsia="hu-HU"/>
        </w:rPr>
        <w:t xml:space="preserve"> Eredménytelen zárthelyi dolgozat kétszer javítható</w:t>
      </w:r>
      <w:r w:rsidRPr="000B1A81">
        <w:rPr>
          <w:rFonts w:ascii="Times New Roman" w:eastAsia="Times New Roman" w:hAnsi="Times New Roman" w:cs="Times New Roman"/>
          <w:lang w:eastAsia="hu-HU"/>
        </w:rPr>
        <w:t xml:space="preserve">. </w:t>
      </w:r>
      <w:r w:rsidRPr="000B1A81">
        <w:rPr>
          <w:rFonts w:ascii="Times New Roman" w:eastAsia="Times New Roman" w:hAnsi="Times New Roman" w:cs="Times New Roman"/>
          <w:bCs/>
        </w:rPr>
        <w:t>A félévközi jegyet az elért eredmények kerekített matematikai átlaga képezi. A bármely zárthelyi dolgozatból vagy beadandó feladatból kapott elégtelen (1) osztályzat aláírás megtagadást jelent.</w:t>
      </w:r>
      <w:r>
        <w:rPr>
          <w:rFonts w:ascii="Times New Roman" w:eastAsia="Times New Roman" w:hAnsi="Times New Roman" w:cs="Times New Roman"/>
          <w:bCs/>
        </w:rPr>
        <w:t xml:space="preserve">  A 14. pontban említett beadandó dolgozat a hiányzást ellentételező feladat, a zárthelyi dolgozatokat nem helyettesíti.</w:t>
      </w:r>
    </w:p>
    <w:p w:rsidR="00CF2EC3" w:rsidRPr="000B1A81" w:rsidRDefault="00CF2EC3" w:rsidP="00980876">
      <w:pPr>
        <w:widowControl w:val="0"/>
        <w:numPr>
          <w:ilvl w:val="0"/>
          <w:numId w:val="413"/>
        </w:numPr>
        <w:spacing w:before="120" w:after="120" w:line="240" w:lineRule="auto"/>
        <w:ind w:left="426" w:hanging="142"/>
        <w:jc w:val="both"/>
        <w:rPr>
          <w:rFonts w:ascii="Times New Roman" w:eastAsia="Times New Roman" w:hAnsi="Times New Roman" w:cs="Times New Roman"/>
          <w:b/>
          <w:bCs/>
        </w:rPr>
      </w:pPr>
      <w:r w:rsidRPr="000B1A81">
        <w:rPr>
          <w:rFonts w:ascii="Times New Roman" w:eastAsia="Times New Roman" w:hAnsi="Times New Roman" w:cs="Times New Roman"/>
          <w:b/>
          <w:bCs/>
        </w:rPr>
        <w:t xml:space="preserve">Az értékelés, az aláírás és a kreditek megszerzésének pontos feltételei: </w:t>
      </w:r>
    </w:p>
    <w:p w:rsidR="00CF2EC3" w:rsidRPr="000B1A81" w:rsidRDefault="00CF2EC3" w:rsidP="00CF2EC3">
      <w:pPr>
        <w:widowControl w:val="0"/>
        <w:spacing w:before="120" w:after="120" w:line="240" w:lineRule="auto"/>
        <w:ind w:left="426"/>
        <w:jc w:val="both"/>
        <w:rPr>
          <w:rFonts w:ascii="Times New Roman" w:eastAsia="Times New Roman" w:hAnsi="Times New Roman" w:cs="Times New Roman"/>
          <w:bCs/>
        </w:rPr>
      </w:pPr>
      <w:r w:rsidRPr="000B1A81">
        <w:rPr>
          <w:rFonts w:ascii="Times New Roman" w:eastAsia="Times New Roman" w:hAnsi="Times New Roman" w:cs="Times New Roman"/>
          <w:b/>
          <w:bCs/>
        </w:rPr>
        <w:t xml:space="preserve">16.1.: Az aláírás megszerzésének feltételei: </w:t>
      </w:r>
      <w:r w:rsidRPr="000B1A81">
        <w:rPr>
          <w:rFonts w:ascii="Times New Roman" w:hAnsi="Times New Roman" w:cs="Times New Roman"/>
          <w:bCs/>
        </w:rPr>
        <w:t>Az aláírás megszerzésének feltétele a 14. pontban meghatározott arányú részvétel a foglalkozásokon és a 15. pontban meghatározott félévközi feladatok legalább elégséges teljesítése.</w:t>
      </w:r>
    </w:p>
    <w:p w:rsidR="00CF2EC3" w:rsidRPr="000B1A81" w:rsidRDefault="00CF2EC3" w:rsidP="00CF2EC3">
      <w:pPr>
        <w:widowControl w:val="0"/>
        <w:spacing w:before="120" w:after="120" w:line="240" w:lineRule="auto"/>
        <w:ind w:left="426"/>
        <w:jc w:val="both"/>
        <w:rPr>
          <w:rFonts w:ascii="Times New Roman" w:eastAsia="Times New Roman" w:hAnsi="Times New Roman" w:cs="Times New Roman"/>
          <w:bCs/>
        </w:rPr>
      </w:pPr>
      <w:r w:rsidRPr="000B1A81">
        <w:rPr>
          <w:rFonts w:ascii="Times New Roman" w:eastAsia="Times New Roman" w:hAnsi="Times New Roman" w:cs="Times New Roman"/>
          <w:b/>
          <w:bCs/>
        </w:rPr>
        <w:t>16.2.: Az értékelés:</w:t>
      </w:r>
      <w:r w:rsidRPr="000B1A81">
        <w:rPr>
          <w:rFonts w:ascii="Times New Roman" w:eastAsia="Times New Roman" w:hAnsi="Times New Roman" w:cs="Times New Roman"/>
          <w:bCs/>
        </w:rPr>
        <w:t xml:space="preserve"> évközi értékelés, ötfokozatú értékelés. Az évközi értékelést az elért eredmények kerekített matematikai átlaga képezi. </w:t>
      </w:r>
    </w:p>
    <w:p w:rsidR="00CF2EC3" w:rsidRPr="000B1A81" w:rsidRDefault="00CF2EC3" w:rsidP="00CF2EC3">
      <w:pPr>
        <w:widowControl w:val="0"/>
        <w:spacing w:before="120" w:after="120" w:line="240" w:lineRule="auto"/>
        <w:ind w:left="426"/>
        <w:jc w:val="both"/>
        <w:rPr>
          <w:rFonts w:ascii="Times New Roman" w:eastAsia="Times New Roman" w:hAnsi="Times New Roman" w:cs="Times New Roman"/>
          <w:bCs/>
        </w:rPr>
      </w:pPr>
      <w:r w:rsidRPr="000B1A81">
        <w:rPr>
          <w:rFonts w:ascii="Times New Roman" w:eastAsia="Times New Roman" w:hAnsi="Times New Roman" w:cs="Times New Roman"/>
          <w:b/>
          <w:bCs/>
        </w:rPr>
        <w:t>16.3.: A kreditek megszerzésének feltételei:</w:t>
      </w:r>
      <w:r w:rsidRPr="000B1A81">
        <w:rPr>
          <w:rFonts w:ascii="Times New Roman" w:eastAsia="Times New Roman" w:hAnsi="Times New Roman" w:cs="Times New Roman"/>
          <w:bCs/>
        </w:rPr>
        <w:t xml:space="preserve"> Az aláírás, valamint a félévközi jegy megszerzése.</w:t>
      </w:r>
    </w:p>
    <w:p w:rsidR="00CF2EC3" w:rsidRPr="000B1A81" w:rsidRDefault="00CF2EC3" w:rsidP="00980876">
      <w:pPr>
        <w:widowControl w:val="0"/>
        <w:numPr>
          <w:ilvl w:val="0"/>
          <w:numId w:val="413"/>
        </w:numPr>
        <w:tabs>
          <w:tab w:val="num" w:pos="360"/>
        </w:tabs>
        <w:spacing w:before="120" w:after="120" w:line="240" w:lineRule="auto"/>
        <w:ind w:left="426" w:hanging="142"/>
        <w:jc w:val="both"/>
        <w:rPr>
          <w:rFonts w:ascii="Times New Roman" w:eastAsia="Times New Roman" w:hAnsi="Times New Roman" w:cs="Times New Roman"/>
          <w:bCs/>
        </w:rPr>
      </w:pPr>
      <w:r w:rsidRPr="000B1A81">
        <w:rPr>
          <w:rFonts w:ascii="Times New Roman" w:eastAsia="Times New Roman" w:hAnsi="Times New Roman" w:cs="Times New Roman"/>
          <w:b/>
          <w:bCs/>
        </w:rPr>
        <w:t>Irodalomjegyzék:</w:t>
      </w:r>
    </w:p>
    <w:p w:rsidR="00CF2EC3" w:rsidRPr="005959AA" w:rsidRDefault="00CF2EC3" w:rsidP="00980876">
      <w:pPr>
        <w:widowControl w:val="0"/>
        <w:numPr>
          <w:ilvl w:val="1"/>
          <w:numId w:val="413"/>
        </w:numPr>
        <w:tabs>
          <w:tab w:val="clear" w:pos="3977"/>
          <w:tab w:val="left" w:pos="709"/>
          <w:tab w:val="left" w:pos="993"/>
          <w:tab w:val="num" w:pos="1142"/>
          <w:tab w:val="num" w:pos="2069"/>
        </w:tabs>
        <w:spacing w:before="120" w:after="120" w:line="240" w:lineRule="auto"/>
        <w:ind w:left="426" w:firstLine="0"/>
        <w:jc w:val="both"/>
        <w:rPr>
          <w:rFonts w:ascii="Times New Roman" w:eastAsia="Times New Roman" w:hAnsi="Times New Roman" w:cs="Times New Roman"/>
          <w:b/>
          <w:bCs/>
        </w:rPr>
      </w:pPr>
      <w:r w:rsidRPr="000B1A81">
        <w:rPr>
          <w:rFonts w:ascii="Times New Roman" w:eastAsia="Times New Roman" w:hAnsi="Times New Roman" w:cs="Times New Roman"/>
          <w:b/>
          <w:bCs/>
        </w:rPr>
        <w:t>Kötelező irodalom:</w:t>
      </w:r>
    </w:p>
    <w:p w:rsidR="00CF2EC3" w:rsidRPr="000B1A81" w:rsidRDefault="00CF2EC3" w:rsidP="00980876">
      <w:pPr>
        <w:pStyle w:val="Listaszerbekezds"/>
        <w:widowControl w:val="0"/>
        <w:numPr>
          <w:ilvl w:val="0"/>
          <w:numId w:val="752"/>
        </w:numPr>
        <w:spacing w:after="0" w:line="240" w:lineRule="auto"/>
        <w:jc w:val="both"/>
        <w:rPr>
          <w:rFonts w:ascii="Times New Roman" w:eastAsia="Times New Roman" w:hAnsi="Times New Roman" w:cs="Times New Roman"/>
        </w:rPr>
      </w:pPr>
      <w:r w:rsidRPr="000B1A81">
        <w:rPr>
          <w:rFonts w:ascii="Times New Roman" w:eastAsia="Times New Roman" w:hAnsi="Times New Roman" w:cs="Times New Roman"/>
        </w:rPr>
        <w:t>Gjmű/2. Gép</w:t>
      </w:r>
      <w:r>
        <w:rPr>
          <w:rFonts w:ascii="Times New Roman" w:eastAsia="Times New Roman" w:hAnsi="Times New Roman" w:cs="Times New Roman"/>
        </w:rPr>
        <w:t>jármű-igénybevételi szabályzat.</w:t>
      </w:r>
    </w:p>
    <w:p w:rsidR="00CF2EC3" w:rsidRPr="000B1A81" w:rsidRDefault="00CF2EC3" w:rsidP="00980876">
      <w:pPr>
        <w:pStyle w:val="Listaszerbekezds"/>
        <w:widowControl w:val="0"/>
        <w:numPr>
          <w:ilvl w:val="0"/>
          <w:numId w:val="752"/>
        </w:numPr>
        <w:spacing w:after="0" w:line="240" w:lineRule="auto"/>
        <w:jc w:val="both"/>
        <w:rPr>
          <w:rFonts w:ascii="Times New Roman" w:eastAsia="Times New Roman" w:hAnsi="Times New Roman" w:cs="Times New Roman"/>
        </w:rPr>
      </w:pPr>
      <w:r w:rsidRPr="000B1A81">
        <w:rPr>
          <w:rFonts w:ascii="Times New Roman" w:eastAsia="Times New Roman" w:hAnsi="Times New Roman" w:cs="Times New Roman"/>
        </w:rPr>
        <w:t xml:space="preserve">Ált/23. A Magyar Honvédség szolgálati szabályzata. </w:t>
      </w:r>
    </w:p>
    <w:p w:rsidR="00CF2EC3" w:rsidRPr="000B1A81" w:rsidRDefault="00CF2EC3" w:rsidP="00980876">
      <w:pPr>
        <w:widowControl w:val="0"/>
        <w:numPr>
          <w:ilvl w:val="1"/>
          <w:numId w:val="413"/>
        </w:numPr>
        <w:tabs>
          <w:tab w:val="clear" w:pos="3977"/>
          <w:tab w:val="left" w:pos="709"/>
          <w:tab w:val="left" w:pos="993"/>
          <w:tab w:val="num" w:pos="1142"/>
          <w:tab w:val="num" w:pos="2069"/>
        </w:tabs>
        <w:spacing w:before="120" w:after="120" w:line="240" w:lineRule="auto"/>
        <w:ind w:left="426" w:firstLine="0"/>
        <w:jc w:val="both"/>
        <w:rPr>
          <w:rFonts w:ascii="Times New Roman" w:eastAsia="Times New Roman" w:hAnsi="Times New Roman" w:cs="Times New Roman"/>
          <w:b/>
          <w:bCs/>
        </w:rPr>
      </w:pPr>
      <w:r w:rsidRPr="000B1A81">
        <w:rPr>
          <w:rFonts w:ascii="Times New Roman" w:eastAsia="Times New Roman" w:hAnsi="Times New Roman" w:cs="Times New Roman"/>
          <w:b/>
          <w:bCs/>
        </w:rPr>
        <w:t>Ajánlott irodalom:</w:t>
      </w:r>
    </w:p>
    <w:p w:rsidR="00CF2EC3" w:rsidRDefault="00CF2EC3" w:rsidP="00980876">
      <w:pPr>
        <w:pStyle w:val="Listaszerbekezds"/>
        <w:widowControl w:val="0"/>
        <w:numPr>
          <w:ilvl w:val="0"/>
          <w:numId w:val="412"/>
        </w:numPr>
        <w:spacing w:after="0" w:line="240" w:lineRule="auto"/>
        <w:jc w:val="both"/>
        <w:rPr>
          <w:rFonts w:ascii="Times New Roman" w:eastAsia="Times New Roman" w:hAnsi="Times New Roman" w:cs="Times New Roman"/>
        </w:rPr>
      </w:pPr>
      <w:r w:rsidRPr="00F4370E">
        <w:rPr>
          <w:rFonts w:ascii="Times New Roman" w:eastAsia="Times New Roman" w:hAnsi="Times New Roman" w:cs="Times New Roman"/>
        </w:rPr>
        <w:t>A hadfelszerelések életciklusával kapcsolatos fogalmak elemzése a fontosabb magyar és angol nyelvű kifejezések megfeleltetése</w:t>
      </w:r>
      <w:r>
        <w:rPr>
          <w:rFonts w:ascii="Times New Roman" w:eastAsia="Times New Roman" w:hAnsi="Times New Roman" w:cs="Times New Roman"/>
        </w:rPr>
        <w:t>,</w:t>
      </w:r>
      <w:r w:rsidRPr="00F4370E">
        <w:rPr>
          <w:rFonts w:ascii="Times New Roman" w:eastAsia="Times New Roman" w:hAnsi="Times New Roman" w:cs="Times New Roman"/>
        </w:rPr>
        <w:t xml:space="preserve"> Hadmé</w:t>
      </w:r>
      <w:r>
        <w:rPr>
          <w:rFonts w:ascii="Times New Roman" w:eastAsia="Times New Roman" w:hAnsi="Times New Roman" w:cs="Times New Roman"/>
        </w:rPr>
        <w:t xml:space="preserve">rnök 9: 3 pp. 267-273. 7 p. </w:t>
      </w:r>
      <w:r w:rsidRPr="00F4370E">
        <w:rPr>
          <w:rFonts w:ascii="Times New Roman" w:eastAsia="Times New Roman" w:hAnsi="Times New Roman" w:cs="Times New Roman"/>
        </w:rPr>
        <w:t>2014</w:t>
      </w:r>
      <w:r>
        <w:rPr>
          <w:rFonts w:ascii="Times New Roman" w:eastAsia="Times New Roman" w:hAnsi="Times New Roman" w:cs="Times New Roman"/>
        </w:rPr>
        <w:t xml:space="preserve">. </w:t>
      </w:r>
      <w:r w:rsidRPr="00CE21CA">
        <w:rPr>
          <w:rFonts w:ascii="Times New Roman" w:eastAsia="Times New Roman" w:hAnsi="Times New Roman" w:cs="Times New Roman"/>
        </w:rPr>
        <w:t>ISSN 1788-1929</w:t>
      </w:r>
    </w:p>
    <w:p w:rsidR="00CF2EC3" w:rsidRPr="003804C3" w:rsidRDefault="00CF2EC3" w:rsidP="00980876">
      <w:pPr>
        <w:pStyle w:val="Listaszerbekezds"/>
        <w:widowControl w:val="0"/>
        <w:numPr>
          <w:ilvl w:val="0"/>
          <w:numId w:val="412"/>
        </w:numPr>
        <w:spacing w:after="0" w:line="240" w:lineRule="auto"/>
        <w:jc w:val="both"/>
        <w:rPr>
          <w:rFonts w:ascii="Times New Roman" w:eastAsia="Times New Roman" w:hAnsi="Times New Roman" w:cs="Times New Roman"/>
        </w:rPr>
      </w:pPr>
      <w:r w:rsidRPr="003804C3">
        <w:rPr>
          <w:rFonts w:ascii="Times New Roman" w:eastAsia="Times New Roman" w:hAnsi="Times New Roman" w:cs="Times New Roman"/>
        </w:rPr>
        <w:t xml:space="preserve">A Magyar Honvédség főbb haditechnikai eszközei című kiadvány 237/431 nyt.szám, MH ÖHP, 2011. </w:t>
      </w:r>
    </w:p>
    <w:p w:rsidR="00CF2EC3" w:rsidRPr="000B1A81" w:rsidRDefault="00CF2EC3" w:rsidP="00CF2EC3">
      <w:pPr>
        <w:widowControl w:val="0"/>
        <w:spacing w:after="0" w:line="240" w:lineRule="auto"/>
        <w:ind w:left="360"/>
        <w:jc w:val="both"/>
        <w:rPr>
          <w:rFonts w:ascii="Times New Roman" w:eastAsia="Times New Roman" w:hAnsi="Times New Roman" w:cs="Times New Roman"/>
        </w:rPr>
      </w:pPr>
    </w:p>
    <w:p w:rsidR="00CF2EC3" w:rsidRPr="000B1A81" w:rsidRDefault="00CF2EC3" w:rsidP="00CF2EC3">
      <w:pPr>
        <w:widowControl w:val="0"/>
        <w:spacing w:before="120" w:after="120" w:line="240" w:lineRule="auto"/>
        <w:jc w:val="both"/>
        <w:rPr>
          <w:rFonts w:ascii="Times New Roman" w:eastAsia="Times New Roman" w:hAnsi="Times New Roman" w:cs="Times New Roman"/>
          <w:bCs/>
        </w:rPr>
      </w:pPr>
      <w:r w:rsidRPr="000B1A81">
        <w:rPr>
          <w:rFonts w:ascii="Times New Roman" w:eastAsia="Times New Roman" w:hAnsi="Times New Roman" w:cs="Times New Roman"/>
          <w:bCs/>
        </w:rPr>
        <w:t>Budapest, 2020.0</w:t>
      </w:r>
      <w:r>
        <w:rPr>
          <w:rFonts w:ascii="Times New Roman" w:eastAsia="Times New Roman" w:hAnsi="Times New Roman" w:cs="Times New Roman"/>
          <w:bCs/>
        </w:rPr>
        <w:t>3</w:t>
      </w:r>
      <w:r w:rsidRPr="000B1A81">
        <w:rPr>
          <w:rFonts w:ascii="Times New Roman" w:eastAsia="Times New Roman" w:hAnsi="Times New Roman" w:cs="Times New Roman"/>
          <w:bCs/>
        </w:rPr>
        <w:t>.</w:t>
      </w:r>
      <w:r>
        <w:rPr>
          <w:rFonts w:ascii="Times New Roman" w:eastAsia="Times New Roman" w:hAnsi="Times New Roman" w:cs="Times New Roman"/>
          <w:bCs/>
        </w:rPr>
        <w:t>1</w:t>
      </w:r>
      <w:r w:rsidRPr="000B1A81">
        <w:rPr>
          <w:rFonts w:ascii="Times New Roman" w:eastAsia="Times New Roman" w:hAnsi="Times New Roman" w:cs="Times New Roman"/>
          <w:bCs/>
        </w:rPr>
        <w:t>0.</w:t>
      </w:r>
    </w:p>
    <w:p w:rsidR="00CF2EC3" w:rsidRPr="000B1A81" w:rsidRDefault="00CF2EC3" w:rsidP="00CF2EC3">
      <w:pPr>
        <w:widowControl w:val="0"/>
        <w:spacing w:before="120" w:after="120" w:line="240" w:lineRule="auto"/>
        <w:jc w:val="both"/>
        <w:rPr>
          <w:rFonts w:ascii="Times New Roman" w:eastAsia="Times New Roman" w:hAnsi="Times New Roman" w:cs="Times New Roman"/>
          <w:bCs/>
        </w:rPr>
      </w:pPr>
    </w:p>
    <w:p w:rsidR="00CF2EC3" w:rsidRPr="00194AF9" w:rsidRDefault="00CF2EC3" w:rsidP="00CF2EC3">
      <w:pPr>
        <w:widowControl w:val="0"/>
        <w:spacing w:after="0" w:line="240" w:lineRule="auto"/>
        <w:ind w:left="5387"/>
        <w:jc w:val="center"/>
        <w:rPr>
          <w:rFonts w:ascii="Times New Roman" w:eastAsia="Times New Roman" w:hAnsi="Times New Roman" w:cs="Times New Roman"/>
          <w:b/>
          <w:bCs/>
        </w:rPr>
      </w:pPr>
      <w:r w:rsidRPr="00194AF9">
        <w:rPr>
          <w:rFonts w:ascii="Times New Roman" w:eastAsia="Times New Roman" w:hAnsi="Times New Roman" w:cs="Times New Roman"/>
          <w:b/>
          <w:bCs/>
        </w:rPr>
        <w:t xml:space="preserve">Dr. Gávay György Viktor PhD </w:t>
      </w:r>
      <w:r w:rsidRPr="00194AF9">
        <w:rPr>
          <w:rFonts w:ascii="Times New Roman" w:eastAsia="Times New Roman" w:hAnsi="Times New Roman" w:cs="Times New Roman"/>
          <w:bCs/>
        </w:rPr>
        <w:t>adjunktus</w:t>
      </w:r>
    </w:p>
    <w:p w:rsidR="00686B59" w:rsidRDefault="00686B59">
      <w:pPr>
        <w:spacing w:after="200" w:line="276" w:lineRule="auto"/>
        <w:rPr>
          <w:rFonts w:ascii="Times New Roman" w:hAnsi="Times New Roman" w:cs="Times New Roman"/>
          <w:sz w:val="24"/>
        </w:rPr>
      </w:pPr>
    </w:p>
    <w:p w:rsidR="00194AF9" w:rsidRDefault="00194AF9">
      <w:r>
        <w:br w:type="page"/>
      </w:r>
    </w:p>
    <w:tbl>
      <w:tblPr>
        <w:tblW w:w="9072" w:type="dxa"/>
        <w:tblInd w:w="113" w:type="dxa"/>
        <w:tblLook w:val="01E0" w:firstRow="1" w:lastRow="1" w:firstColumn="1" w:lastColumn="1" w:noHBand="0" w:noVBand="0"/>
      </w:tblPr>
      <w:tblGrid>
        <w:gridCol w:w="4855"/>
        <w:gridCol w:w="1620"/>
        <w:gridCol w:w="2597"/>
      </w:tblGrid>
      <w:tr w:rsidR="00AC403B" w:rsidTr="00AC403B">
        <w:tc>
          <w:tcPr>
            <w:tcW w:w="4855" w:type="dxa"/>
            <w:tcBorders>
              <w:top w:val="nil"/>
              <w:left w:val="nil"/>
              <w:bottom w:val="single" w:sz="4" w:space="0" w:color="auto"/>
              <w:right w:val="nil"/>
            </w:tcBorders>
            <w:hideMark/>
          </w:tcPr>
          <w:p w:rsidR="00AC403B" w:rsidRDefault="00AC403B">
            <w:pPr>
              <w:spacing w:after="0" w:line="240" w:lineRule="auto"/>
              <w:jc w:val="center"/>
              <w:rPr>
                <w:rFonts w:ascii="Times New Roman" w:eastAsia="Times New Roman" w:hAnsi="Times New Roman" w:cs="Times New Roman"/>
                <w:b/>
                <w:smallCaps/>
                <w:lang w:eastAsia="hu-HU"/>
              </w:rPr>
            </w:pPr>
            <w:r>
              <w:rPr>
                <w:rFonts w:ascii="Times New Roman" w:eastAsia="Times New Roman" w:hAnsi="Times New Roman" w:cs="Times New Roman"/>
                <w:b/>
                <w:smallCaps/>
                <w:lang w:eastAsia="hu-HU"/>
              </w:rPr>
              <w:lastRenderedPageBreak/>
              <w:t>Nemzeti Közszolgálati Egyetem</w:t>
            </w:r>
          </w:p>
        </w:tc>
        <w:tc>
          <w:tcPr>
            <w:tcW w:w="1620" w:type="dxa"/>
          </w:tcPr>
          <w:p w:rsidR="00AC403B" w:rsidRDefault="00AC403B">
            <w:pPr>
              <w:spacing w:after="0" w:line="240" w:lineRule="auto"/>
              <w:jc w:val="both"/>
              <w:rPr>
                <w:rFonts w:ascii="Times New Roman" w:eastAsia="Times New Roman" w:hAnsi="Times New Roman" w:cs="Times New Roman"/>
                <w:lang w:eastAsia="hu-HU"/>
              </w:rPr>
            </w:pPr>
          </w:p>
        </w:tc>
        <w:tc>
          <w:tcPr>
            <w:tcW w:w="2597" w:type="dxa"/>
          </w:tcPr>
          <w:p w:rsidR="00AC403B" w:rsidRDefault="00AC403B">
            <w:pPr>
              <w:spacing w:after="0" w:line="240" w:lineRule="auto"/>
              <w:jc w:val="right"/>
              <w:rPr>
                <w:rFonts w:ascii="Times New Roman" w:eastAsia="Times New Roman" w:hAnsi="Times New Roman" w:cs="Times New Roman"/>
                <w:lang w:eastAsia="hu-HU"/>
              </w:rPr>
            </w:pPr>
          </w:p>
        </w:tc>
      </w:tr>
      <w:tr w:rsidR="00AC403B" w:rsidTr="00AC403B">
        <w:tc>
          <w:tcPr>
            <w:tcW w:w="4855" w:type="dxa"/>
            <w:tcBorders>
              <w:top w:val="single" w:sz="4" w:space="0" w:color="auto"/>
              <w:left w:val="nil"/>
              <w:bottom w:val="nil"/>
              <w:right w:val="nil"/>
            </w:tcBorders>
            <w:hideMark/>
          </w:tcPr>
          <w:p w:rsidR="00AC403B" w:rsidRDefault="00AC403B">
            <w:pPr>
              <w:spacing w:after="0" w:line="240" w:lineRule="auto"/>
              <w:jc w:val="center"/>
              <w:rPr>
                <w:rFonts w:ascii="Times New Roman" w:eastAsia="Times New Roman" w:hAnsi="Times New Roman" w:cs="Times New Roman"/>
                <w:b/>
                <w:lang w:eastAsia="hu-HU"/>
              </w:rPr>
            </w:pPr>
            <w:r>
              <w:rPr>
                <w:rFonts w:ascii="Times New Roman" w:eastAsia="Times New Roman" w:hAnsi="Times New Roman" w:cs="Times New Roman"/>
                <w:b/>
                <w:lang w:eastAsia="hu-HU"/>
              </w:rPr>
              <w:t>Hadtudományi és Honvédtisztképző Kar</w:t>
            </w:r>
          </w:p>
        </w:tc>
        <w:tc>
          <w:tcPr>
            <w:tcW w:w="1620" w:type="dxa"/>
          </w:tcPr>
          <w:p w:rsidR="00AC403B" w:rsidRDefault="00AC403B">
            <w:pPr>
              <w:spacing w:after="0" w:line="240" w:lineRule="auto"/>
              <w:jc w:val="both"/>
              <w:rPr>
                <w:rFonts w:ascii="Times New Roman" w:eastAsia="Times New Roman" w:hAnsi="Times New Roman" w:cs="Times New Roman"/>
                <w:lang w:eastAsia="hu-HU"/>
              </w:rPr>
            </w:pPr>
          </w:p>
        </w:tc>
        <w:tc>
          <w:tcPr>
            <w:tcW w:w="2597" w:type="dxa"/>
          </w:tcPr>
          <w:p w:rsidR="00AC403B" w:rsidRDefault="00AC403B">
            <w:pPr>
              <w:spacing w:after="0" w:line="240" w:lineRule="auto"/>
              <w:jc w:val="both"/>
              <w:rPr>
                <w:rFonts w:ascii="Times New Roman" w:eastAsia="Times New Roman" w:hAnsi="Times New Roman" w:cs="Times New Roman"/>
                <w:lang w:eastAsia="hu-HU"/>
              </w:rPr>
            </w:pPr>
          </w:p>
        </w:tc>
      </w:tr>
    </w:tbl>
    <w:p w:rsidR="00AC403B" w:rsidRDefault="00AC403B" w:rsidP="00AC403B">
      <w:pPr>
        <w:widowControl w:val="0"/>
        <w:spacing w:before="120" w:after="120" w:line="240" w:lineRule="auto"/>
        <w:ind w:left="426" w:hanging="142"/>
        <w:jc w:val="center"/>
        <w:rPr>
          <w:rFonts w:ascii="Times New Roman" w:eastAsia="Times New Roman" w:hAnsi="Times New Roman" w:cs="Times New Roman"/>
          <w:b/>
          <w:bCs/>
        </w:rPr>
      </w:pPr>
    </w:p>
    <w:p w:rsidR="00AC403B" w:rsidRDefault="00AC403B" w:rsidP="00AC403B">
      <w:pPr>
        <w:widowControl w:val="0"/>
        <w:spacing w:before="120" w:after="120" w:line="240" w:lineRule="auto"/>
        <w:ind w:left="426" w:hanging="142"/>
        <w:jc w:val="center"/>
        <w:rPr>
          <w:rFonts w:ascii="Times New Roman" w:eastAsia="Times New Roman" w:hAnsi="Times New Roman" w:cs="Times New Roman"/>
          <w:b/>
          <w:bCs/>
        </w:rPr>
      </w:pPr>
      <w:r>
        <w:rPr>
          <w:rFonts w:ascii="Times New Roman" w:eastAsia="Times New Roman" w:hAnsi="Times New Roman" w:cs="Times New Roman"/>
          <w:b/>
          <w:bCs/>
        </w:rPr>
        <w:t>TANTÁRGYI PROGRAM</w:t>
      </w:r>
    </w:p>
    <w:p w:rsidR="00AC403B" w:rsidRDefault="00AC403B" w:rsidP="00980876">
      <w:pPr>
        <w:widowControl w:val="0"/>
        <w:numPr>
          <w:ilvl w:val="0"/>
          <w:numId w:val="256"/>
        </w:numPr>
        <w:tabs>
          <w:tab w:val="num" w:pos="426"/>
        </w:tabs>
        <w:spacing w:before="120" w:after="120" w:line="240" w:lineRule="auto"/>
        <w:ind w:left="641" w:hanging="357"/>
        <w:jc w:val="both"/>
        <w:rPr>
          <w:rFonts w:ascii="Times New Roman" w:eastAsia="Times New Roman" w:hAnsi="Times New Roman" w:cs="Times New Roman"/>
          <w:bCs/>
        </w:rPr>
      </w:pPr>
      <w:r>
        <w:rPr>
          <w:rFonts w:ascii="Times New Roman" w:eastAsia="Times New Roman" w:hAnsi="Times New Roman" w:cs="Times New Roman"/>
          <w:b/>
          <w:bCs/>
        </w:rPr>
        <w:t xml:space="preserve">A tantárgy kódja: </w:t>
      </w:r>
      <w:r>
        <w:rPr>
          <w:rFonts w:ascii="Times New Roman" w:eastAsia="Times New Roman" w:hAnsi="Times New Roman" w:cs="Times New Roman"/>
          <w:bCs/>
        </w:rPr>
        <w:t>HKHPKA12</w:t>
      </w:r>
    </w:p>
    <w:p w:rsidR="00AC403B" w:rsidRDefault="00AC403B" w:rsidP="00980876">
      <w:pPr>
        <w:widowControl w:val="0"/>
        <w:numPr>
          <w:ilvl w:val="0"/>
          <w:numId w:val="256"/>
        </w:numPr>
        <w:tabs>
          <w:tab w:val="num" w:pos="426"/>
        </w:tabs>
        <w:spacing w:before="120" w:after="120" w:line="240" w:lineRule="auto"/>
        <w:ind w:left="641" w:hanging="357"/>
        <w:jc w:val="both"/>
        <w:rPr>
          <w:rFonts w:ascii="Times New Roman" w:eastAsia="Times New Roman" w:hAnsi="Times New Roman" w:cs="Times New Roman"/>
          <w:b/>
          <w:bCs/>
          <w:lang w:val="en-GB"/>
        </w:rPr>
      </w:pPr>
      <w:r>
        <w:rPr>
          <w:rFonts w:ascii="Times New Roman" w:eastAsia="Times New Roman" w:hAnsi="Times New Roman" w:cs="Times New Roman"/>
          <w:b/>
          <w:bCs/>
        </w:rPr>
        <w:t>A tantárgy megnevezése (magyarul):</w:t>
      </w:r>
      <w:r>
        <w:rPr>
          <w:rFonts w:ascii="Times New Roman" w:eastAsia="Times New Roman" w:hAnsi="Times New Roman" w:cs="Times New Roman"/>
          <w:bCs/>
        </w:rPr>
        <w:t xml:space="preserve"> </w:t>
      </w:r>
      <w:r>
        <w:rPr>
          <w:rFonts w:ascii="Times New Roman" w:hAnsi="Times New Roman" w:cs="Times New Roman"/>
          <w:bCs/>
        </w:rPr>
        <w:t>Logisztikai szakkiképzés módszertana</w:t>
      </w:r>
    </w:p>
    <w:p w:rsidR="00AC403B" w:rsidRDefault="00AC403B" w:rsidP="00980876">
      <w:pPr>
        <w:widowControl w:val="0"/>
        <w:numPr>
          <w:ilvl w:val="0"/>
          <w:numId w:val="256"/>
        </w:numPr>
        <w:tabs>
          <w:tab w:val="num" w:pos="567"/>
        </w:tabs>
        <w:spacing w:before="120" w:after="120" w:line="240" w:lineRule="auto"/>
        <w:ind w:left="426" w:hanging="142"/>
        <w:jc w:val="both"/>
        <w:rPr>
          <w:rFonts w:ascii="Times New Roman" w:eastAsia="Times New Roman" w:hAnsi="Times New Roman" w:cs="Times New Roman"/>
          <w:b/>
          <w:bCs/>
          <w:lang w:val="en-GB"/>
        </w:rPr>
      </w:pPr>
      <w:r>
        <w:rPr>
          <w:rFonts w:ascii="Times New Roman" w:eastAsia="Times New Roman" w:hAnsi="Times New Roman" w:cs="Times New Roman"/>
          <w:b/>
          <w:bCs/>
        </w:rPr>
        <w:t>A tantárgy megnevezése (angolul):</w:t>
      </w:r>
      <w:r>
        <w:rPr>
          <w:rFonts w:ascii="Times New Roman" w:eastAsia="Times New Roman" w:hAnsi="Times New Roman" w:cs="Times New Roman"/>
          <w:b/>
          <w:bCs/>
          <w:lang w:val="en-GB"/>
        </w:rPr>
        <w:t xml:space="preserve"> </w:t>
      </w:r>
      <w:r>
        <w:rPr>
          <w:rFonts w:ascii="Times New Roman" w:hAnsi="Times New Roman" w:cs="Times New Roman"/>
          <w:bCs/>
          <w:lang w:val="en-GB"/>
        </w:rPr>
        <w:t>Methodology</w:t>
      </w:r>
      <w:r>
        <w:rPr>
          <w:rFonts w:ascii="Times New Roman" w:hAnsi="Times New Roman" w:cs="Times New Roman"/>
          <w:bCs/>
        </w:rPr>
        <w:t xml:space="preserve"> of</w:t>
      </w:r>
      <w:r>
        <w:rPr>
          <w:rFonts w:ascii="Times New Roman" w:hAnsi="Times New Roman" w:cs="Times New Roman"/>
          <w:bCs/>
          <w:lang w:val="en-GB"/>
        </w:rPr>
        <w:t xml:space="preserve"> the Logistics Specialist Training</w:t>
      </w:r>
    </w:p>
    <w:p w:rsidR="00AC403B" w:rsidRDefault="00AC403B" w:rsidP="00980876">
      <w:pPr>
        <w:widowControl w:val="0"/>
        <w:numPr>
          <w:ilvl w:val="0"/>
          <w:numId w:val="256"/>
        </w:numPr>
        <w:tabs>
          <w:tab w:val="num" w:pos="567"/>
        </w:tabs>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Kreditérték és képzési karakter: </w:t>
      </w:r>
    </w:p>
    <w:p w:rsidR="00AC403B" w:rsidRDefault="00AC403B" w:rsidP="00980876">
      <w:pPr>
        <w:pStyle w:val="Listaszerbekezds"/>
        <w:widowControl w:val="0"/>
        <w:numPr>
          <w:ilvl w:val="1"/>
          <w:numId w:val="256"/>
        </w:numPr>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2 kredit</w:t>
      </w:r>
    </w:p>
    <w:p w:rsidR="00AC403B" w:rsidRDefault="00AC403B" w:rsidP="00980876">
      <w:pPr>
        <w:pStyle w:val="Listaszerbekezds"/>
        <w:widowControl w:val="0"/>
        <w:numPr>
          <w:ilvl w:val="1"/>
          <w:numId w:val="256"/>
        </w:numPr>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a tantárgy elméleti vagy gyakorlati jellegének mértéke: 50</w:t>
      </w:r>
      <w:r>
        <w:rPr>
          <w:rFonts w:ascii="Times New Roman" w:eastAsia="Times New Roman" w:hAnsi="Times New Roman" w:cs="Times New Roman"/>
          <w:b/>
          <w:bCs/>
        </w:rPr>
        <w:t xml:space="preserve"> </w:t>
      </w:r>
      <w:r>
        <w:rPr>
          <w:rFonts w:ascii="Times New Roman" w:eastAsia="Times New Roman" w:hAnsi="Times New Roman" w:cs="Times New Roman"/>
          <w:bCs/>
        </w:rPr>
        <w:t>% gyakorlat, 50 % elmélet</w:t>
      </w:r>
    </w:p>
    <w:p w:rsidR="00AC403B" w:rsidRDefault="00AC403B" w:rsidP="00980876">
      <w:pPr>
        <w:widowControl w:val="0"/>
        <w:numPr>
          <w:ilvl w:val="0"/>
          <w:numId w:val="256"/>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szak(ok), szakirányok/specializációk megnevezése (ahol oktatják):</w:t>
      </w:r>
      <w:r>
        <w:rPr>
          <w:rFonts w:ascii="Times New Roman" w:eastAsia="Times New Roman" w:hAnsi="Times New Roman" w:cs="Times New Roman"/>
          <w:bCs/>
        </w:rPr>
        <w:t xml:space="preserve"> </w:t>
      </w:r>
      <w:r>
        <w:rPr>
          <w:rFonts w:ascii="Times New Roman" w:hAnsi="Times New Roman" w:cs="Times New Roman"/>
          <w:bCs/>
        </w:rPr>
        <w:t>Katonai logisztika alapképzési szak</w:t>
      </w:r>
    </w:p>
    <w:p w:rsidR="00AC403B" w:rsidRDefault="00AC403B" w:rsidP="00980876">
      <w:pPr>
        <w:widowControl w:val="0"/>
        <w:numPr>
          <w:ilvl w:val="0"/>
          <w:numId w:val="256"/>
        </w:numPr>
        <w:tabs>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Az oktatásért felelős oktatási szervezeti egység megnevezése: </w:t>
      </w:r>
      <w:r>
        <w:rPr>
          <w:rFonts w:ascii="Times New Roman" w:hAnsi="Times New Roman" w:cs="Times New Roman"/>
          <w:bCs/>
        </w:rPr>
        <w:t>NKE HHK Hadtáp, Pénzügyi és Katonai Közlekedési Tanszék</w:t>
      </w:r>
    </w:p>
    <w:p w:rsidR="00AC403B" w:rsidRDefault="00AC403B" w:rsidP="00980876">
      <w:pPr>
        <w:widowControl w:val="0"/>
        <w:numPr>
          <w:ilvl w:val="0"/>
          <w:numId w:val="256"/>
        </w:numPr>
        <w:tabs>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tantárgyfelelős oktató neve, beosztása, tudományos fokozata:</w:t>
      </w:r>
      <w:r>
        <w:rPr>
          <w:rFonts w:ascii="Times New Roman" w:eastAsia="Times New Roman" w:hAnsi="Times New Roman" w:cs="Times New Roman"/>
          <w:bCs/>
        </w:rPr>
        <w:t xml:space="preserve"> </w:t>
      </w:r>
      <w:r>
        <w:rPr>
          <w:rFonts w:ascii="Times New Roman" w:hAnsi="Times New Roman" w:cs="Times New Roman"/>
          <w:bCs/>
        </w:rPr>
        <w:t>Dr. Sári Gábor, címzetes egyetemi docens, (PhD)</w:t>
      </w:r>
    </w:p>
    <w:p w:rsidR="00AC403B" w:rsidRDefault="00AC403B" w:rsidP="00980876">
      <w:pPr>
        <w:widowControl w:val="0"/>
        <w:numPr>
          <w:ilvl w:val="0"/>
          <w:numId w:val="256"/>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tanórák száma és típusa</w:t>
      </w:r>
    </w:p>
    <w:p w:rsidR="00AC403B" w:rsidRDefault="00AC403B" w:rsidP="00980876">
      <w:pPr>
        <w:widowControl w:val="0"/>
        <w:numPr>
          <w:ilvl w:val="1"/>
          <w:numId w:val="256"/>
        </w:numPr>
        <w:tabs>
          <w:tab w:val="num" w:pos="709"/>
          <w:tab w:val="num" w:pos="2069"/>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össz óraszám/félév:</w:t>
      </w:r>
    </w:p>
    <w:p w:rsidR="00AC403B" w:rsidRDefault="00AC403B" w:rsidP="00980876">
      <w:pPr>
        <w:widowControl w:val="0"/>
        <w:numPr>
          <w:ilvl w:val="2"/>
          <w:numId w:val="256"/>
        </w:numPr>
        <w:tabs>
          <w:tab w:val="num" w:pos="709"/>
          <w:tab w:val="num" w:pos="1134"/>
        </w:tabs>
        <w:spacing w:after="0" w:line="240" w:lineRule="auto"/>
        <w:ind w:left="1134" w:hanging="425"/>
        <w:jc w:val="both"/>
        <w:rPr>
          <w:rFonts w:ascii="Times New Roman" w:eastAsia="Times New Roman" w:hAnsi="Times New Roman" w:cs="Times New Roman"/>
          <w:bCs/>
        </w:rPr>
      </w:pPr>
      <w:r>
        <w:rPr>
          <w:rFonts w:ascii="Times New Roman" w:eastAsia="Times New Roman" w:hAnsi="Times New Roman" w:cs="Times New Roman"/>
          <w:bCs/>
        </w:rPr>
        <w:t>nappali munkarend: 28 (14 EA + 0 SZ + 14 GY)</w:t>
      </w:r>
    </w:p>
    <w:p w:rsidR="00AC403B" w:rsidRDefault="00AC403B" w:rsidP="00980876">
      <w:pPr>
        <w:widowControl w:val="0"/>
        <w:numPr>
          <w:ilvl w:val="2"/>
          <w:numId w:val="256"/>
        </w:numPr>
        <w:tabs>
          <w:tab w:val="num" w:pos="709"/>
          <w:tab w:val="num" w:pos="1134"/>
        </w:tabs>
        <w:spacing w:after="0" w:line="240" w:lineRule="auto"/>
        <w:ind w:left="1134" w:hanging="425"/>
        <w:jc w:val="both"/>
        <w:rPr>
          <w:rFonts w:ascii="Times New Roman" w:eastAsia="Times New Roman" w:hAnsi="Times New Roman" w:cs="Times New Roman"/>
          <w:bCs/>
        </w:rPr>
      </w:pPr>
      <w:r>
        <w:rPr>
          <w:rFonts w:ascii="Times New Roman" w:eastAsia="Times New Roman" w:hAnsi="Times New Roman" w:cs="Times New Roman"/>
          <w:bCs/>
        </w:rPr>
        <w:t>levelező munkarend: -</w:t>
      </w:r>
    </w:p>
    <w:p w:rsidR="00AC403B" w:rsidRDefault="00AC403B" w:rsidP="00980876">
      <w:pPr>
        <w:widowControl w:val="0"/>
        <w:numPr>
          <w:ilvl w:val="1"/>
          <w:numId w:val="256"/>
        </w:numPr>
        <w:tabs>
          <w:tab w:val="num" w:pos="709"/>
          <w:tab w:val="num" w:pos="2069"/>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heti óraszám - nappali munkarend: 2</w:t>
      </w:r>
    </w:p>
    <w:p w:rsidR="00AC403B" w:rsidRDefault="00AC403B" w:rsidP="00980876">
      <w:pPr>
        <w:widowControl w:val="0"/>
        <w:numPr>
          <w:ilvl w:val="1"/>
          <w:numId w:val="256"/>
        </w:numPr>
        <w:tabs>
          <w:tab w:val="num" w:pos="709"/>
          <w:tab w:val="num" w:pos="2069"/>
        </w:tabs>
        <w:spacing w:before="120" w:after="120" w:line="240" w:lineRule="auto"/>
        <w:ind w:left="851" w:hanging="425"/>
        <w:jc w:val="both"/>
        <w:rPr>
          <w:rFonts w:ascii="Times New Roman" w:eastAsia="Times New Roman" w:hAnsi="Times New Roman" w:cs="Times New Roman"/>
          <w:bCs/>
        </w:rPr>
      </w:pPr>
      <w:r>
        <w:rPr>
          <w:rFonts w:ascii="Times New Roman" w:hAnsi="Times New Roman" w:cs="Times New Roman"/>
        </w:rPr>
        <w:t>Az ismeret átadásában alkalmazandó további sajátos módok, jellemzők:</w:t>
      </w:r>
      <w:r>
        <w:rPr>
          <w:rFonts w:ascii="Times New Roman" w:hAnsi="Times New Roman" w:cs="Times New Roman"/>
          <w:i/>
        </w:rPr>
        <w:t xml:space="preserve"> –</w:t>
      </w:r>
    </w:p>
    <w:p w:rsidR="00AC403B" w:rsidRDefault="00AC403B" w:rsidP="00980876">
      <w:pPr>
        <w:widowControl w:val="0"/>
        <w:numPr>
          <w:ilvl w:val="0"/>
          <w:numId w:val="256"/>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tantárgy szakmai tartalma (magyarul):</w:t>
      </w:r>
      <w:r>
        <w:rPr>
          <w:rFonts w:ascii="Times New Roman" w:eastAsia="Times New Roman" w:hAnsi="Times New Roman" w:cs="Times New Roman"/>
          <w:bCs/>
        </w:rPr>
        <w:t xml:space="preserve"> </w:t>
      </w:r>
      <w:r>
        <w:rPr>
          <w:rFonts w:ascii="Times New Roman" w:hAnsi="Times New Roman" w:cs="Times New Roman"/>
          <w:bCs/>
        </w:rPr>
        <w:t>A tantárgy a logisztikai alegységek szakkiképzésének rendszerével foglalkozik.</w:t>
      </w:r>
    </w:p>
    <w:p w:rsidR="00AC403B" w:rsidRDefault="00AC403B" w:rsidP="00AC403B">
      <w:pPr>
        <w:widowControl w:val="0"/>
        <w:spacing w:before="120" w:after="120" w:line="240" w:lineRule="auto"/>
        <w:ind w:left="426"/>
        <w:jc w:val="both"/>
        <w:rPr>
          <w:rFonts w:ascii="Times New Roman" w:hAnsi="Times New Roman" w:cs="Times New Roman"/>
          <w:bCs/>
          <w:lang w:val="en-US"/>
        </w:rPr>
      </w:pPr>
      <w:r>
        <w:rPr>
          <w:rFonts w:ascii="Times New Roman" w:eastAsia="Times New Roman" w:hAnsi="Times New Roman" w:cs="Times New Roman"/>
          <w:b/>
          <w:bCs/>
        </w:rPr>
        <w:t>A tantárgy szakmai tartalma (angolul) (</w:t>
      </w:r>
      <w:r>
        <w:rPr>
          <w:rFonts w:ascii="Times New Roman" w:eastAsia="Times New Roman" w:hAnsi="Times New Roman" w:cs="Times New Roman"/>
          <w:b/>
          <w:bCs/>
          <w:lang w:val="en-US"/>
        </w:rPr>
        <w:t>Course description</w:t>
      </w:r>
      <w:r>
        <w:rPr>
          <w:rFonts w:ascii="Times New Roman" w:eastAsia="Times New Roman" w:hAnsi="Times New Roman" w:cs="Times New Roman"/>
          <w:b/>
          <w:bCs/>
        </w:rPr>
        <w:t xml:space="preserve">): </w:t>
      </w:r>
      <w:r>
        <w:rPr>
          <w:rFonts w:ascii="Times New Roman" w:hAnsi="Times New Roman" w:cs="Times New Roman"/>
          <w:bCs/>
          <w:lang w:val="en-US"/>
        </w:rPr>
        <w:t>This subject deals with system of specialist training of logistics subunit.</w:t>
      </w:r>
    </w:p>
    <w:p w:rsidR="00AC403B" w:rsidRDefault="00AC403B" w:rsidP="00980876">
      <w:pPr>
        <w:pStyle w:val="Listaszerbekezds"/>
        <w:widowControl w:val="0"/>
        <w:numPr>
          <w:ilvl w:val="0"/>
          <w:numId w:val="256"/>
        </w:numPr>
        <w:tabs>
          <w:tab w:val="num" w:pos="426"/>
        </w:tabs>
        <w:spacing w:before="120" w:after="120" w:line="240" w:lineRule="auto"/>
        <w:jc w:val="both"/>
        <w:rPr>
          <w:rFonts w:ascii="Times New Roman" w:hAnsi="Times New Roman" w:cs="Times New Roman"/>
          <w:bCs/>
          <w:lang w:val="en-US"/>
        </w:rPr>
      </w:pPr>
      <w:r>
        <w:rPr>
          <w:rFonts w:ascii="Times New Roman" w:eastAsia="Times New Roman" w:hAnsi="Times New Roman" w:cs="Times New Roman"/>
          <w:b/>
          <w:bCs/>
        </w:rPr>
        <w:t>Elérendő kompetenciák (magyarul):</w:t>
      </w:r>
      <w:r>
        <w:rPr>
          <w:rFonts w:ascii="Times New Roman" w:eastAsia="Times New Roman" w:hAnsi="Times New Roman" w:cs="Times New Roman"/>
          <w:bCs/>
        </w:rPr>
        <w:t xml:space="preserve"> </w:t>
      </w:r>
    </w:p>
    <w:p w:rsidR="00AC403B" w:rsidRDefault="00AC403B" w:rsidP="00AC403B">
      <w:pPr>
        <w:widowControl w:val="0"/>
        <w:spacing w:before="120" w:after="0" w:line="240" w:lineRule="auto"/>
        <w:ind w:left="425"/>
        <w:jc w:val="both"/>
        <w:rPr>
          <w:rFonts w:ascii="Times New Roman" w:eastAsia="Times New Roman" w:hAnsi="Times New Roman" w:cs="Times New Roman"/>
          <w:b/>
          <w:bCs/>
        </w:rPr>
      </w:pPr>
      <w:r>
        <w:rPr>
          <w:rFonts w:ascii="Times New Roman" w:eastAsia="Times New Roman" w:hAnsi="Times New Roman" w:cs="Times New Roman"/>
          <w:b/>
          <w:bCs/>
        </w:rPr>
        <w:t>Tudása:</w:t>
      </w:r>
    </w:p>
    <w:p w:rsidR="00AC403B" w:rsidRDefault="00AC403B" w:rsidP="00C14833">
      <w:pPr>
        <w:widowControl w:val="0"/>
        <w:numPr>
          <w:ilvl w:val="0"/>
          <w:numId w:val="133"/>
        </w:numPr>
        <w:spacing w:before="120" w:after="120" w:line="240" w:lineRule="auto"/>
        <w:ind w:left="993"/>
        <w:contextualSpacing/>
        <w:jc w:val="both"/>
        <w:rPr>
          <w:rFonts w:ascii="Times New Roman" w:eastAsia="Times New Roman" w:hAnsi="Times New Roman"/>
          <w:bCs/>
        </w:rPr>
      </w:pPr>
      <w:r>
        <w:rPr>
          <w:rFonts w:ascii="Times New Roman" w:hAnsi="Times New Roman" w:cs="Times New Roman"/>
        </w:rPr>
        <w:t>Részletesen ismeri az általános logisztikai tevékenység egyes műveleteit, folyamatait.</w:t>
      </w:r>
    </w:p>
    <w:p w:rsidR="00AC403B" w:rsidRDefault="00AC403B" w:rsidP="00C14833">
      <w:pPr>
        <w:widowControl w:val="0"/>
        <w:numPr>
          <w:ilvl w:val="0"/>
          <w:numId w:val="133"/>
        </w:numPr>
        <w:spacing w:before="120" w:after="120" w:line="240" w:lineRule="auto"/>
        <w:ind w:left="993"/>
        <w:contextualSpacing/>
        <w:jc w:val="both"/>
        <w:rPr>
          <w:rFonts w:ascii="Times New Roman" w:eastAsia="Times New Roman" w:hAnsi="Times New Roman"/>
          <w:bCs/>
        </w:rPr>
      </w:pPr>
      <w:r>
        <w:rPr>
          <w:rFonts w:ascii="Times New Roman" w:hAnsi="Times New Roman" w:cs="Times New Roman"/>
        </w:rPr>
        <w:t>Rendelkezik alapvető vezetői ismeretekkel, tisztában van a vezetői kompetenciákkal és a beosztottak eredményes irányításához szükséges alapvető ismeretekkel, valamint a beosztottakat motiváló képességekkel.</w:t>
      </w:r>
    </w:p>
    <w:p w:rsidR="00AC403B" w:rsidRDefault="00AC403B" w:rsidP="00AC403B">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Képességei:</w:t>
      </w:r>
      <w:r>
        <w:rPr>
          <w:rFonts w:ascii="Times New Roman" w:eastAsia="Times New Roman" w:hAnsi="Times New Roman" w:cs="Times New Roman"/>
          <w:bCs/>
        </w:rPr>
        <w:t xml:space="preserve"> </w:t>
      </w:r>
    </w:p>
    <w:p w:rsidR="00AC403B" w:rsidRDefault="00AC403B" w:rsidP="00980876">
      <w:pPr>
        <w:pStyle w:val="Listaszerbekezds"/>
        <w:widowControl w:val="0"/>
        <w:numPr>
          <w:ilvl w:val="0"/>
          <w:numId w:val="249"/>
        </w:numPr>
        <w:spacing w:after="0" w:line="240" w:lineRule="auto"/>
        <w:ind w:left="992" w:hanging="357"/>
        <w:jc w:val="both"/>
        <w:rPr>
          <w:rFonts w:ascii="Times New Roman" w:hAnsi="Times New Roman" w:cs="Times New Roman"/>
        </w:rPr>
      </w:pPr>
      <w:r>
        <w:rPr>
          <w:rFonts w:ascii="Times New Roman" w:hAnsi="Times New Roman" w:cs="Times New Roman"/>
        </w:rPr>
        <w:t>Képes a logisztikai folyamatok és a Magyar Honvédség logisztikai rendszere közötti kapcsolatok, illetve összefüggések értelmezésére.</w:t>
      </w:r>
    </w:p>
    <w:p w:rsidR="00AC403B" w:rsidRDefault="00AC403B" w:rsidP="00980876">
      <w:pPr>
        <w:pStyle w:val="Listaszerbekezds"/>
        <w:widowControl w:val="0"/>
        <w:numPr>
          <w:ilvl w:val="0"/>
          <w:numId w:val="249"/>
        </w:numPr>
        <w:spacing w:after="0" w:line="240" w:lineRule="auto"/>
        <w:ind w:left="992" w:hanging="357"/>
        <w:jc w:val="both"/>
        <w:rPr>
          <w:rFonts w:ascii="Times New Roman" w:hAnsi="Times New Roman" w:cs="Times New Roman"/>
        </w:rPr>
      </w:pPr>
      <w:r>
        <w:rPr>
          <w:rFonts w:ascii="Times New Roman" w:hAnsi="Times New Roman" w:cs="Times New Roman"/>
        </w:rPr>
        <w:t>Képes pontos és precíz logisztikai, illetve gazdálkodási számvetéseket készíteni.</w:t>
      </w:r>
    </w:p>
    <w:p w:rsidR="00AC403B" w:rsidRDefault="00AC403B" w:rsidP="00980876">
      <w:pPr>
        <w:pStyle w:val="Listaszerbekezds"/>
        <w:widowControl w:val="0"/>
        <w:numPr>
          <w:ilvl w:val="0"/>
          <w:numId w:val="249"/>
        </w:numPr>
        <w:spacing w:after="0" w:line="240" w:lineRule="auto"/>
        <w:ind w:left="992" w:hanging="357"/>
        <w:jc w:val="both"/>
        <w:rPr>
          <w:rFonts w:ascii="Times New Roman" w:hAnsi="Times New Roman" w:cs="Times New Roman"/>
        </w:rPr>
      </w:pPr>
      <w:r>
        <w:rPr>
          <w:rFonts w:ascii="Times New Roman" w:hAnsi="Times New Roman" w:cs="Times New Roman"/>
        </w:rPr>
        <w:t>Képes beosztottjai általános katonai és szakmai vezetésére, munkájuk hatékony megszervezésére.</w:t>
      </w:r>
    </w:p>
    <w:p w:rsidR="00AC403B" w:rsidRDefault="00AC403B" w:rsidP="00AC403B">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Attitűdje:</w:t>
      </w:r>
      <w:r>
        <w:rPr>
          <w:rFonts w:ascii="Times New Roman" w:eastAsia="Times New Roman" w:hAnsi="Times New Roman" w:cs="Times New Roman"/>
          <w:bCs/>
        </w:rPr>
        <w:t xml:space="preserve"> </w:t>
      </w:r>
    </w:p>
    <w:p w:rsidR="00AC403B" w:rsidRDefault="00AC403B" w:rsidP="00980876">
      <w:pPr>
        <w:pStyle w:val="Listaszerbekezds"/>
        <w:widowControl w:val="0"/>
        <w:numPr>
          <w:ilvl w:val="0"/>
          <w:numId w:val="250"/>
        </w:numPr>
        <w:spacing w:after="0" w:line="240" w:lineRule="auto"/>
        <w:ind w:left="992" w:hanging="357"/>
        <w:jc w:val="both"/>
        <w:rPr>
          <w:rFonts w:ascii="Times New Roman" w:hAnsi="Times New Roman" w:cs="Times New Roman"/>
        </w:rPr>
      </w:pPr>
      <w:r>
        <w:rPr>
          <w:rFonts w:ascii="Times New Roman" w:hAnsi="Times New Roman" w:cs="Times New Roman"/>
        </w:rPr>
        <w:t>A minőségi szakmai munkavégzés iránt elkötelezett, azt a pontosságra való törekvés jellemzi.</w:t>
      </w:r>
    </w:p>
    <w:p w:rsidR="00AC403B" w:rsidRDefault="00AC403B" w:rsidP="00980876">
      <w:pPr>
        <w:pStyle w:val="Listaszerbekezds"/>
        <w:widowControl w:val="0"/>
        <w:numPr>
          <w:ilvl w:val="0"/>
          <w:numId w:val="250"/>
        </w:numPr>
        <w:spacing w:after="0" w:line="240" w:lineRule="auto"/>
        <w:ind w:left="992" w:hanging="357"/>
        <w:jc w:val="both"/>
        <w:rPr>
          <w:rFonts w:ascii="Times New Roman" w:hAnsi="Times New Roman" w:cs="Times New Roman"/>
        </w:rPr>
      </w:pPr>
      <w:r>
        <w:rPr>
          <w:rFonts w:ascii="Times New Roman" w:hAnsi="Times New Roman" w:cs="Times New Roman"/>
        </w:rPr>
        <w:t>Felismeri a rendszerszintű tevékenységben rejlő értékeket, törekszik a logisztikai tevékenységek közötti kapcsolatok értelmezésére.</w:t>
      </w:r>
    </w:p>
    <w:p w:rsidR="00AC403B" w:rsidRDefault="00AC403B" w:rsidP="00980876">
      <w:pPr>
        <w:pStyle w:val="Listaszerbekezds"/>
        <w:widowControl w:val="0"/>
        <w:numPr>
          <w:ilvl w:val="0"/>
          <w:numId w:val="250"/>
        </w:numPr>
        <w:spacing w:after="0" w:line="240" w:lineRule="auto"/>
        <w:ind w:left="992" w:hanging="357"/>
        <w:jc w:val="both"/>
        <w:rPr>
          <w:rFonts w:ascii="Times New Roman" w:hAnsi="Times New Roman" w:cs="Times New Roman"/>
        </w:rPr>
      </w:pPr>
      <w:r>
        <w:rPr>
          <w:rFonts w:ascii="Times New Roman" w:hAnsi="Times New Roman" w:cs="Times New Roman"/>
        </w:rPr>
        <w:t>Tevékenységét a hatékonyság központú szemlélet jellemzi.</w:t>
      </w:r>
    </w:p>
    <w:p w:rsidR="00194AF9" w:rsidRDefault="00194AF9" w:rsidP="00AC403B">
      <w:pPr>
        <w:widowControl w:val="0"/>
        <w:spacing w:before="120" w:after="0" w:line="240" w:lineRule="auto"/>
        <w:ind w:left="425"/>
        <w:jc w:val="both"/>
        <w:rPr>
          <w:rFonts w:ascii="Times New Roman" w:eastAsia="Times New Roman" w:hAnsi="Times New Roman" w:cs="Times New Roman"/>
          <w:b/>
          <w:bCs/>
        </w:rPr>
      </w:pPr>
    </w:p>
    <w:p w:rsidR="00AC403B" w:rsidRDefault="00AC403B" w:rsidP="00AC403B">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lastRenderedPageBreak/>
        <w:t>Autonómiája és felelőssége:</w:t>
      </w:r>
    </w:p>
    <w:p w:rsidR="00AC403B" w:rsidRDefault="00AC403B" w:rsidP="00980876">
      <w:pPr>
        <w:pStyle w:val="Listaszerbekezds"/>
        <w:widowControl w:val="0"/>
        <w:numPr>
          <w:ilvl w:val="0"/>
          <w:numId w:val="251"/>
        </w:numPr>
        <w:spacing w:after="0" w:line="240" w:lineRule="auto"/>
        <w:ind w:left="992" w:hanging="357"/>
        <w:jc w:val="both"/>
        <w:rPr>
          <w:rFonts w:ascii="Times New Roman" w:hAnsi="Times New Roman" w:cs="Times New Roman"/>
        </w:rPr>
      </w:pPr>
      <w:r>
        <w:rPr>
          <w:rFonts w:ascii="Times New Roman" w:hAnsi="Times New Roman" w:cs="Times New Roman"/>
        </w:rPr>
        <w:t>Felelősséget vállal a vezetése alatt álló beosztottjainak szakmai tevékenységéért.</w:t>
      </w:r>
    </w:p>
    <w:p w:rsidR="00AC403B" w:rsidRDefault="00AC403B" w:rsidP="00980876">
      <w:pPr>
        <w:pStyle w:val="Listaszerbekezds"/>
        <w:widowControl w:val="0"/>
        <w:numPr>
          <w:ilvl w:val="0"/>
          <w:numId w:val="251"/>
        </w:numPr>
        <w:spacing w:after="0" w:line="240" w:lineRule="auto"/>
        <w:ind w:left="992" w:hanging="357"/>
        <w:jc w:val="both"/>
        <w:rPr>
          <w:rFonts w:ascii="Times New Roman" w:hAnsi="Times New Roman" w:cs="Times New Roman"/>
        </w:rPr>
      </w:pPr>
      <w:r>
        <w:rPr>
          <w:rFonts w:ascii="Times New Roman" w:hAnsi="Times New Roman" w:cs="Times New Roman"/>
        </w:rPr>
        <w:t>Az alegység, illetve egység szintű katonai logisztikai, valamint katonai gazdálkodási folyamatokban képes önállóan döntéseket hozni, azokat felelősséggel, a jogszabályi keretek figyelembevételével végrehajtani.</w:t>
      </w:r>
    </w:p>
    <w:p w:rsidR="00AC403B" w:rsidRDefault="00AC403B" w:rsidP="00AC403B">
      <w:pPr>
        <w:widowControl w:val="0"/>
        <w:spacing w:before="120" w:after="0" w:line="240" w:lineRule="auto"/>
        <w:ind w:left="425"/>
        <w:jc w:val="both"/>
        <w:rPr>
          <w:rFonts w:ascii="Times New Roman" w:eastAsia="Times New Roman" w:hAnsi="Times New Roman" w:cs="Times New Roman"/>
          <w:b/>
          <w:bCs/>
          <w:lang w:val="en-US"/>
        </w:rPr>
      </w:pPr>
      <w:r>
        <w:rPr>
          <w:rFonts w:ascii="Times New Roman" w:eastAsia="Times New Roman" w:hAnsi="Times New Roman" w:cs="Times New Roman"/>
          <w:b/>
          <w:bCs/>
        </w:rPr>
        <w:t>Elérendő kompetenciák (angolul) (</w:t>
      </w:r>
      <w:r>
        <w:rPr>
          <w:rFonts w:ascii="Times New Roman" w:eastAsia="Times New Roman" w:hAnsi="Times New Roman" w:cs="Times New Roman"/>
          <w:b/>
          <w:bCs/>
          <w:lang w:val="en-US"/>
        </w:rPr>
        <w:t xml:space="preserve">Competences – English): </w:t>
      </w:r>
    </w:p>
    <w:p w:rsidR="00AC403B" w:rsidRDefault="00AC403B" w:rsidP="00AC403B">
      <w:pPr>
        <w:widowControl w:val="0"/>
        <w:spacing w:before="120" w:after="0" w:line="240" w:lineRule="auto"/>
        <w:ind w:left="425"/>
        <w:jc w:val="both"/>
        <w:rPr>
          <w:rFonts w:ascii="Times New Roman" w:eastAsia="Times New Roman" w:hAnsi="Times New Roman" w:cs="Times New Roman"/>
          <w:lang w:val="en-GB"/>
        </w:rPr>
      </w:pPr>
      <w:r>
        <w:rPr>
          <w:rFonts w:ascii="Times New Roman" w:eastAsia="Times New Roman" w:hAnsi="Times New Roman" w:cs="Times New Roman"/>
          <w:b/>
          <w:lang w:val="en-GB"/>
        </w:rPr>
        <w:t>Knowledge</w:t>
      </w:r>
      <w:r>
        <w:rPr>
          <w:rFonts w:ascii="Times New Roman" w:eastAsia="Times New Roman" w:hAnsi="Times New Roman" w:cs="Times New Roman"/>
          <w:lang w:val="en-GB"/>
        </w:rPr>
        <w:t xml:space="preserve">: </w:t>
      </w:r>
    </w:p>
    <w:p w:rsidR="00AC403B" w:rsidRDefault="00AC403B" w:rsidP="00980876">
      <w:pPr>
        <w:pStyle w:val="Listaszerbekezds"/>
        <w:widowControl w:val="0"/>
        <w:numPr>
          <w:ilvl w:val="0"/>
          <w:numId w:val="252"/>
        </w:numPr>
        <w:spacing w:after="0" w:line="240" w:lineRule="auto"/>
        <w:ind w:left="992" w:hanging="357"/>
        <w:jc w:val="both"/>
        <w:rPr>
          <w:rFonts w:ascii="Times New Roman" w:eastAsia="Times New Roman" w:hAnsi="Times New Roman" w:cs="Times New Roman"/>
          <w:lang w:val="en-GB"/>
        </w:rPr>
      </w:pPr>
      <w:r>
        <w:rPr>
          <w:rFonts w:ascii="Times New Roman" w:eastAsia="Times New Roman" w:hAnsi="Times New Roman" w:cs="Times New Roman"/>
          <w:lang w:val="en-GB"/>
        </w:rPr>
        <w:t>To be able to familiar with some processes, operations of general logistics activities in detail.</w:t>
      </w:r>
    </w:p>
    <w:p w:rsidR="00AC403B" w:rsidRDefault="00AC403B" w:rsidP="00980876">
      <w:pPr>
        <w:pStyle w:val="Listaszerbekezds"/>
        <w:widowControl w:val="0"/>
        <w:numPr>
          <w:ilvl w:val="0"/>
          <w:numId w:val="252"/>
        </w:numPr>
        <w:spacing w:after="0" w:line="240" w:lineRule="auto"/>
        <w:ind w:left="992" w:hanging="357"/>
        <w:jc w:val="both"/>
        <w:rPr>
          <w:rFonts w:ascii="Times New Roman" w:eastAsia="Times New Roman" w:hAnsi="Times New Roman" w:cs="Times New Roman"/>
          <w:lang w:val="en-GB"/>
        </w:rPr>
      </w:pPr>
      <w:r>
        <w:rPr>
          <w:rFonts w:ascii="Times New Roman" w:eastAsia="Times New Roman" w:hAnsi="Times New Roman" w:cs="Times New Roman"/>
          <w:lang w:val="en-GB"/>
        </w:rPr>
        <w:t>To possess fundamental leadership skills, to be aware leadership competences and skills necessary for the effective management of the subordinates and motivating abilities of subordinates.</w:t>
      </w:r>
    </w:p>
    <w:p w:rsidR="00AC403B" w:rsidRDefault="00AC403B" w:rsidP="00AC403B">
      <w:pPr>
        <w:widowControl w:val="0"/>
        <w:spacing w:before="120" w:after="0" w:line="240" w:lineRule="auto"/>
        <w:ind w:left="425"/>
        <w:jc w:val="both"/>
        <w:rPr>
          <w:rFonts w:ascii="Times New Roman" w:eastAsia="Times New Roman" w:hAnsi="Times New Roman" w:cs="Times New Roman"/>
          <w:lang w:val="en-GB"/>
        </w:rPr>
      </w:pPr>
      <w:r>
        <w:rPr>
          <w:rFonts w:ascii="Times New Roman" w:eastAsia="Times New Roman" w:hAnsi="Times New Roman" w:cs="Times New Roman"/>
          <w:b/>
          <w:lang w:val="en-GB"/>
        </w:rPr>
        <w:t>Capabilities</w:t>
      </w:r>
      <w:r>
        <w:rPr>
          <w:rFonts w:ascii="Times New Roman" w:eastAsia="Times New Roman" w:hAnsi="Times New Roman" w:cs="Times New Roman"/>
          <w:lang w:val="en-GB"/>
        </w:rPr>
        <w:t xml:space="preserve">: </w:t>
      </w:r>
    </w:p>
    <w:p w:rsidR="00AC403B" w:rsidRDefault="00AC403B" w:rsidP="00980876">
      <w:pPr>
        <w:pStyle w:val="Listaszerbekezds"/>
        <w:widowControl w:val="0"/>
        <w:numPr>
          <w:ilvl w:val="0"/>
          <w:numId w:val="253"/>
        </w:numPr>
        <w:spacing w:after="0" w:line="240" w:lineRule="auto"/>
        <w:ind w:left="992" w:hanging="357"/>
        <w:jc w:val="both"/>
        <w:rPr>
          <w:rFonts w:ascii="Times New Roman" w:eastAsia="Times New Roman" w:hAnsi="Times New Roman" w:cs="Times New Roman"/>
          <w:lang w:val="en-GB"/>
        </w:rPr>
      </w:pPr>
      <w:r>
        <w:rPr>
          <w:rFonts w:ascii="Times New Roman" w:eastAsia="Times New Roman" w:hAnsi="Times New Roman" w:cs="Times New Roman"/>
          <w:lang w:val="en-GB"/>
        </w:rPr>
        <w:t xml:space="preserve">To be able to understand the connections in logistic field between the national economy and the HDF. </w:t>
      </w:r>
    </w:p>
    <w:p w:rsidR="00AC403B" w:rsidRDefault="00AC403B" w:rsidP="00980876">
      <w:pPr>
        <w:pStyle w:val="Listaszerbekezds"/>
        <w:widowControl w:val="0"/>
        <w:numPr>
          <w:ilvl w:val="0"/>
          <w:numId w:val="253"/>
        </w:numPr>
        <w:spacing w:after="0" w:line="240" w:lineRule="auto"/>
        <w:ind w:left="992" w:hanging="357"/>
        <w:jc w:val="both"/>
        <w:rPr>
          <w:rFonts w:ascii="Times New Roman" w:eastAsia="Times New Roman" w:hAnsi="Times New Roman" w:cs="Times New Roman"/>
          <w:lang w:val="en-GB"/>
        </w:rPr>
      </w:pPr>
      <w:r>
        <w:rPr>
          <w:rFonts w:ascii="Times New Roman" w:eastAsia="Times New Roman" w:hAnsi="Times New Roman" w:cs="Times New Roman"/>
          <w:lang w:val="en-GB"/>
        </w:rPr>
        <w:t>To have ability to make accurate logistical and economic calculations.</w:t>
      </w:r>
    </w:p>
    <w:p w:rsidR="00AC403B" w:rsidRDefault="00AC403B" w:rsidP="00980876">
      <w:pPr>
        <w:pStyle w:val="Listaszerbekezds"/>
        <w:widowControl w:val="0"/>
        <w:numPr>
          <w:ilvl w:val="0"/>
          <w:numId w:val="253"/>
        </w:numPr>
        <w:spacing w:after="0" w:line="240" w:lineRule="auto"/>
        <w:ind w:left="992" w:hanging="357"/>
        <w:jc w:val="both"/>
        <w:rPr>
          <w:rFonts w:ascii="Times New Roman" w:eastAsia="Times New Roman" w:hAnsi="Times New Roman" w:cs="Times New Roman"/>
          <w:lang w:val="en-GB"/>
        </w:rPr>
      </w:pPr>
      <w:r>
        <w:rPr>
          <w:rFonts w:ascii="Times New Roman" w:eastAsia="Times New Roman" w:hAnsi="Times New Roman" w:cs="Times New Roman"/>
          <w:lang w:val="en-GB"/>
        </w:rPr>
        <w:t>To posses fundamental military and professional leadership and management skills.</w:t>
      </w:r>
    </w:p>
    <w:p w:rsidR="00AC403B" w:rsidRDefault="00AC403B" w:rsidP="00AC40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425"/>
        <w:jc w:val="both"/>
        <w:rPr>
          <w:rFonts w:ascii="Times New Roman" w:eastAsia="Times New Roman" w:hAnsi="Times New Roman" w:cs="Times New Roman"/>
          <w:lang w:val="en-GB"/>
        </w:rPr>
      </w:pPr>
      <w:r>
        <w:rPr>
          <w:rFonts w:ascii="Times New Roman" w:eastAsia="Times New Roman" w:hAnsi="Times New Roman" w:cs="Times New Roman"/>
          <w:b/>
          <w:lang w:val="en-GB"/>
        </w:rPr>
        <w:t>Attitude:</w:t>
      </w:r>
      <w:r>
        <w:rPr>
          <w:rFonts w:ascii="Times New Roman" w:eastAsia="Times New Roman" w:hAnsi="Times New Roman" w:cs="Times New Roman"/>
          <w:lang w:val="en-GB"/>
        </w:rPr>
        <w:t xml:space="preserve"> </w:t>
      </w:r>
    </w:p>
    <w:p w:rsidR="00AC403B" w:rsidRDefault="00AC403B" w:rsidP="00980876">
      <w:pPr>
        <w:pStyle w:val="Listaszerbekezds"/>
        <w:numPr>
          <w:ilvl w:val="0"/>
          <w:numId w:val="254"/>
        </w:numPr>
        <w:spacing w:after="0" w:line="240" w:lineRule="auto"/>
        <w:ind w:left="992" w:hanging="357"/>
        <w:jc w:val="both"/>
        <w:rPr>
          <w:rFonts w:ascii="Times New Roman" w:eastAsia="Times New Roman" w:hAnsi="Times New Roman" w:cs="Times New Roman"/>
          <w:lang w:val="en-GB"/>
        </w:rPr>
      </w:pPr>
      <w:r>
        <w:rPr>
          <w:rFonts w:ascii="Times New Roman" w:eastAsia="Times New Roman" w:hAnsi="Times New Roman" w:cs="Times New Roman"/>
          <w:lang w:val="en-GB"/>
        </w:rPr>
        <w:t>To be committed to high standard work and accuracy.</w:t>
      </w:r>
    </w:p>
    <w:p w:rsidR="00AC403B" w:rsidRDefault="00AC403B" w:rsidP="00980876">
      <w:pPr>
        <w:pStyle w:val="Listaszerbekezds"/>
        <w:numPr>
          <w:ilvl w:val="0"/>
          <w:numId w:val="254"/>
        </w:numPr>
        <w:spacing w:after="0" w:line="240" w:lineRule="auto"/>
        <w:ind w:left="992" w:hanging="357"/>
        <w:jc w:val="both"/>
        <w:rPr>
          <w:rFonts w:ascii="Times New Roman" w:eastAsia="Times New Roman" w:hAnsi="Times New Roman" w:cs="Times New Roman"/>
          <w:lang w:val="en-GB"/>
        </w:rPr>
      </w:pPr>
      <w:r>
        <w:rPr>
          <w:rFonts w:ascii="Times New Roman" w:eastAsia="Times New Roman" w:hAnsi="Times New Roman" w:cs="Times New Roman"/>
          <w:lang w:val="en-GB"/>
        </w:rPr>
        <w:t>To be able to recognize the advantages and opportunities offered by well-structured activities and to be seeking to understand the logical connections among logistic activities.</w:t>
      </w:r>
    </w:p>
    <w:p w:rsidR="00AC403B" w:rsidRDefault="00AC403B" w:rsidP="00980876">
      <w:pPr>
        <w:pStyle w:val="Listaszerbekezds"/>
        <w:numPr>
          <w:ilvl w:val="0"/>
          <w:numId w:val="254"/>
        </w:numPr>
        <w:spacing w:after="0" w:line="240" w:lineRule="auto"/>
        <w:ind w:left="992" w:hanging="357"/>
        <w:jc w:val="both"/>
        <w:rPr>
          <w:rFonts w:ascii="Times New Roman" w:eastAsia="Times New Roman" w:hAnsi="Times New Roman" w:cs="Times New Roman"/>
          <w:lang w:val="en-GB"/>
        </w:rPr>
      </w:pPr>
      <w:r>
        <w:rPr>
          <w:rFonts w:ascii="Times New Roman" w:eastAsia="Times New Roman" w:hAnsi="Times New Roman" w:cs="Times New Roman"/>
          <w:lang w:val="en-GB"/>
        </w:rPr>
        <w:t>To be characterized by efficiency-based attitude.</w:t>
      </w:r>
    </w:p>
    <w:p w:rsidR="00AC403B" w:rsidRDefault="00AC403B" w:rsidP="00AC403B">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lang w:val="en-GB"/>
        </w:rPr>
        <w:t xml:space="preserve">Autonomy and responsibility: </w:t>
      </w:r>
    </w:p>
    <w:p w:rsidR="00AC403B" w:rsidRDefault="00AC403B" w:rsidP="00980876">
      <w:pPr>
        <w:pStyle w:val="Listaszerbekezds"/>
        <w:widowControl w:val="0"/>
        <w:numPr>
          <w:ilvl w:val="0"/>
          <w:numId w:val="255"/>
        </w:numPr>
        <w:spacing w:after="0" w:line="240" w:lineRule="auto"/>
        <w:ind w:left="992" w:hanging="357"/>
        <w:jc w:val="both"/>
        <w:rPr>
          <w:rFonts w:ascii="Times New Roman" w:eastAsia="Times New Roman" w:hAnsi="Times New Roman" w:cs="Times New Roman"/>
          <w:bCs/>
          <w:lang w:val="en-US"/>
        </w:rPr>
      </w:pPr>
      <w:r>
        <w:rPr>
          <w:rFonts w:ascii="Times New Roman" w:eastAsia="Times New Roman" w:hAnsi="Times New Roman" w:cs="Times New Roman"/>
          <w:bCs/>
          <w:lang w:val="en-US"/>
        </w:rPr>
        <w:t xml:space="preserve">Take responsibility for the professional activities of his subordinates. </w:t>
      </w:r>
    </w:p>
    <w:p w:rsidR="00AC403B" w:rsidRDefault="00AC403B" w:rsidP="00980876">
      <w:pPr>
        <w:pStyle w:val="Listaszerbekezds"/>
        <w:widowControl w:val="0"/>
        <w:numPr>
          <w:ilvl w:val="0"/>
          <w:numId w:val="255"/>
        </w:numPr>
        <w:spacing w:after="0" w:line="240" w:lineRule="auto"/>
        <w:ind w:left="992" w:hanging="357"/>
        <w:jc w:val="both"/>
        <w:rPr>
          <w:rFonts w:ascii="Times New Roman" w:eastAsia="Times New Roman" w:hAnsi="Times New Roman" w:cs="Times New Roman"/>
          <w:bCs/>
          <w:lang w:val="en-US"/>
        </w:rPr>
      </w:pPr>
      <w:r>
        <w:rPr>
          <w:rFonts w:ascii="Times New Roman" w:eastAsia="Times New Roman" w:hAnsi="Times New Roman" w:cs="Times New Roman"/>
          <w:bCs/>
          <w:lang w:val="en-US"/>
        </w:rPr>
        <w:t xml:space="preserve">To have ability to make decision independently in military logistics and military management processes on subunit and unit level, taking into account his responsibility and laws. </w:t>
      </w:r>
    </w:p>
    <w:p w:rsidR="00AC403B" w:rsidRDefault="00AC403B" w:rsidP="00980876">
      <w:pPr>
        <w:widowControl w:val="0"/>
        <w:numPr>
          <w:ilvl w:val="0"/>
          <w:numId w:val="256"/>
        </w:numPr>
        <w:tabs>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Előtanulmányi követelmények: </w:t>
      </w:r>
      <w:r>
        <w:rPr>
          <w:rFonts w:ascii="Times New Roman" w:eastAsia="Times New Roman" w:hAnsi="Times New Roman" w:cs="Times New Roman"/>
          <w:bCs/>
        </w:rPr>
        <w:t>Nincs</w:t>
      </w:r>
    </w:p>
    <w:p w:rsidR="00AC403B" w:rsidRDefault="00AC403B" w:rsidP="00980876">
      <w:pPr>
        <w:widowControl w:val="0"/>
        <w:numPr>
          <w:ilvl w:val="0"/>
          <w:numId w:val="256"/>
        </w:numPr>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A tantárgy tananyagának leírása, tematika. Description of the subject, curriculum (magyarul, angolul - English):</w:t>
      </w:r>
    </w:p>
    <w:p w:rsidR="00AC403B" w:rsidRDefault="00AC403B" w:rsidP="00980876">
      <w:pPr>
        <w:widowControl w:val="0"/>
        <w:numPr>
          <w:ilvl w:val="1"/>
          <w:numId w:val="256"/>
        </w:numPr>
        <w:tabs>
          <w:tab w:val="num" w:pos="2069"/>
        </w:tabs>
        <w:spacing w:before="120" w:after="120" w:line="240" w:lineRule="auto"/>
        <w:ind w:left="851" w:hanging="567"/>
        <w:jc w:val="both"/>
        <w:rPr>
          <w:rFonts w:ascii="Times New Roman" w:eastAsia="Times New Roman" w:hAnsi="Times New Roman" w:cs="Times New Roman"/>
          <w:b/>
          <w:lang w:val="en-US"/>
        </w:rPr>
      </w:pPr>
      <w:r>
        <w:rPr>
          <w:rFonts w:ascii="Times New Roman" w:hAnsi="Times New Roman"/>
          <w:bCs/>
        </w:rPr>
        <w:t>A logisztikai alegységek, szakalegységek szakkiképzésnek rendszere</w:t>
      </w:r>
      <w:r>
        <w:rPr>
          <w:rFonts w:ascii="Times New Roman" w:hAnsi="Times New Roman"/>
          <w:lang w:val="en-US"/>
        </w:rPr>
        <w:t>.</w:t>
      </w:r>
      <w:r>
        <w:rPr>
          <w:rFonts w:ascii="Times New Roman" w:eastAsia="Times New Roman" w:hAnsi="Times New Roman" w:cs="Times New Roman"/>
          <w:b/>
          <w:lang w:val="en-US"/>
        </w:rPr>
        <w:t xml:space="preserve"> </w:t>
      </w:r>
      <w:r>
        <w:rPr>
          <w:rFonts w:ascii="Times New Roman" w:eastAsia="Times New Roman" w:hAnsi="Times New Roman" w:cs="Times New Roman"/>
          <w:i/>
          <w:lang w:val="en-US"/>
        </w:rPr>
        <w:t>(The system of specialist training of logistics subunit.)</w:t>
      </w:r>
    </w:p>
    <w:p w:rsidR="00AC403B" w:rsidRDefault="00AC403B" w:rsidP="00980876">
      <w:pPr>
        <w:widowControl w:val="0"/>
        <w:numPr>
          <w:ilvl w:val="1"/>
          <w:numId w:val="256"/>
        </w:numPr>
        <w:tabs>
          <w:tab w:val="num" w:pos="2069"/>
        </w:tabs>
        <w:spacing w:before="120" w:after="120" w:line="240" w:lineRule="auto"/>
        <w:ind w:left="851" w:hanging="567"/>
        <w:jc w:val="both"/>
        <w:rPr>
          <w:rFonts w:ascii="Times New Roman" w:eastAsia="Times New Roman" w:hAnsi="Times New Roman" w:cs="Times New Roman"/>
          <w:i/>
          <w:lang w:val="en-US"/>
        </w:rPr>
      </w:pPr>
      <w:r>
        <w:rPr>
          <w:rFonts w:ascii="Times New Roman" w:eastAsia="Times New Roman" w:hAnsi="Times New Roman" w:cs="Times New Roman"/>
          <w:bCs/>
          <w:lang w:val="x-none"/>
        </w:rPr>
        <w:t>A</w:t>
      </w:r>
      <w:r>
        <w:rPr>
          <w:rFonts w:ascii="Times New Roman" w:eastAsia="Times New Roman" w:hAnsi="Times New Roman" w:cs="Times New Roman"/>
          <w:bCs/>
        </w:rPr>
        <w:t xml:space="preserve"> logisztikai szakkiképzés tervezésének</w:t>
      </w:r>
      <w:r>
        <w:rPr>
          <w:rFonts w:ascii="Times New Roman" w:eastAsia="Times New Roman" w:hAnsi="Times New Roman" w:cs="Times New Roman"/>
          <w:bCs/>
          <w:lang w:val="x-none"/>
        </w:rPr>
        <w:t>,</w:t>
      </w:r>
      <w:r>
        <w:rPr>
          <w:rFonts w:ascii="Times New Roman" w:eastAsia="Times New Roman" w:hAnsi="Times New Roman" w:cs="Times New Roman"/>
          <w:bCs/>
        </w:rPr>
        <w:t xml:space="preserve"> szervezésének és végrehajtásának sajátosságai</w:t>
      </w:r>
      <w:r>
        <w:rPr>
          <w:rFonts w:ascii="Times New Roman" w:eastAsia="Times New Roman" w:hAnsi="Times New Roman" w:cs="Times New Roman"/>
          <w:bCs/>
          <w:lang w:val="x-none"/>
        </w:rPr>
        <w:t xml:space="preserve">. </w:t>
      </w:r>
      <w:r>
        <w:rPr>
          <w:rFonts w:ascii="Times New Roman" w:eastAsia="Times New Roman" w:hAnsi="Times New Roman" w:cs="Times New Roman"/>
          <w:bCs/>
          <w:i/>
          <w:lang w:val="en-GB"/>
        </w:rPr>
        <w:t>(Specificity</w:t>
      </w:r>
      <w:r>
        <w:rPr>
          <w:rFonts w:ascii="Times New Roman" w:eastAsia="Times New Roman" w:hAnsi="Times New Roman" w:cs="Times New Roman"/>
          <w:bCs/>
          <w:i/>
        </w:rPr>
        <w:t xml:space="preserve"> of</w:t>
      </w:r>
      <w:r>
        <w:rPr>
          <w:rFonts w:ascii="Times New Roman" w:eastAsia="Times New Roman" w:hAnsi="Times New Roman" w:cs="Times New Roman"/>
          <w:bCs/>
          <w:i/>
          <w:lang w:val="en-GB"/>
        </w:rPr>
        <w:t xml:space="preserve"> planning</w:t>
      </w:r>
      <w:r>
        <w:rPr>
          <w:rFonts w:ascii="Times New Roman" w:eastAsia="Times New Roman" w:hAnsi="Times New Roman" w:cs="Times New Roman"/>
          <w:bCs/>
          <w:i/>
        </w:rPr>
        <w:t>,</w:t>
      </w:r>
      <w:r>
        <w:rPr>
          <w:rFonts w:ascii="Times New Roman" w:eastAsia="Times New Roman" w:hAnsi="Times New Roman" w:cs="Times New Roman"/>
          <w:bCs/>
          <w:i/>
          <w:lang w:val="en-GB"/>
        </w:rPr>
        <w:t xml:space="preserve"> organization</w:t>
      </w:r>
      <w:r>
        <w:rPr>
          <w:rFonts w:ascii="Times New Roman" w:eastAsia="Times New Roman" w:hAnsi="Times New Roman" w:cs="Times New Roman"/>
          <w:bCs/>
          <w:i/>
        </w:rPr>
        <w:t xml:space="preserve"> and</w:t>
      </w:r>
      <w:r>
        <w:rPr>
          <w:rFonts w:ascii="Times New Roman" w:eastAsia="Times New Roman" w:hAnsi="Times New Roman" w:cs="Times New Roman"/>
          <w:bCs/>
          <w:i/>
          <w:lang w:val="en-GB"/>
        </w:rPr>
        <w:t xml:space="preserve"> implementation</w:t>
      </w:r>
      <w:r>
        <w:rPr>
          <w:rFonts w:ascii="Times New Roman" w:eastAsia="Times New Roman" w:hAnsi="Times New Roman" w:cs="Times New Roman"/>
          <w:bCs/>
          <w:i/>
        </w:rPr>
        <w:t xml:space="preserve"> of</w:t>
      </w:r>
      <w:r>
        <w:rPr>
          <w:rFonts w:ascii="Times New Roman" w:eastAsia="Times New Roman" w:hAnsi="Times New Roman" w:cs="Times New Roman"/>
          <w:bCs/>
          <w:i/>
          <w:lang w:val="en-GB"/>
        </w:rPr>
        <w:t xml:space="preserve"> logistics specialist training</w:t>
      </w:r>
      <w:r>
        <w:rPr>
          <w:rFonts w:ascii="Times New Roman" w:eastAsia="Times New Roman" w:hAnsi="Times New Roman" w:cs="Times New Roman"/>
          <w:bCs/>
          <w:i/>
          <w:lang w:val="en-US"/>
        </w:rPr>
        <w:t>.</w:t>
      </w:r>
      <w:r>
        <w:rPr>
          <w:rFonts w:ascii="Times New Roman" w:eastAsia="Times New Roman" w:hAnsi="Times New Roman" w:cs="Times New Roman"/>
          <w:bCs/>
          <w:i/>
        </w:rPr>
        <w:t>)</w:t>
      </w:r>
    </w:p>
    <w:p w:rsidR="00AC403B" w:rsidRDefault="00AC403B" w:rsidP="00980876">
      <w:pPr>
        <w:widowControl w:val="0"/>
        <w:numPr>
          <w:ilvl w:val="1"/>
          <w:numId w:val="256"/>
        </w:numPr>
        <w:tabs>
          <w:tab w:val="num" w:pos="2069"/>
        </w:tabs>
        <w:spacing w:before="120" w:after="120" w:line="240" w:lineRule="auto"/>
        <w:ind w:left="851" w:hanging="567"/>
        <w:jc w:val="both"/>
        <w:rPr>
          <w:rFonts w:ascii="Times New Roman" w:eastAsia="Times New Roman" w:hAnsi="Times New Roman" w:cs="Times New Roman"/>
          <w:i/>
        </w:rPr>
      </w:pPr>
      <w:r>
        <w:rPr>
          <w:rFonts w:ascii="Times New Roman" w:hAnsi="Times New Roman" w:cs="Times New Roman"/>
          <w:bCs/>
        </w:rPr>
        <w:t xml:space="preserve">A szakkiképzés helye a kiképzés rendszerében, a kiképzéshez kapcsolódó alapfogalmak. </w:t>
      </w:r>
      <w:r>
        <w:rPr>
          <w:rFonts w:ascii="Times New Roman" w:eastAsia="Times New Roman" w:hAnsi="Times New Roman" w:cs="Times New Roman"/>
          <w:i/>
          <w:lang w:val="en-US"/>
        </w:rPr>
        <w:t>(The place of specialist training in the training system, basic concepts which related to training</w:t>
      </w:r>
      <w:r>
        <w:rPr>
          <w:rFonts w:ascii="Times New Roman" w:eastAsia="Times New Roman" w:hAnsi="Times New Roman" w:cs="Times New Roman"/>
          <w:bCs/>
          <w:i/>
          <w:lang w:val="en-US"/>
        </w:rPr>
        <w:t>.</w:t>
      </w:r>
      <w:r>
        <w:rPr>
          <w:rFonts w:ascii="Times New Roman" w:eastAsia="Times New Roman" w:hAnsi="Times New Roman" w:cs="Times New Roman"/>
          <w:i/>
          <w:lang w:val="en-US"/>
        </w:rPr>
        <w:t>)</w:t>
      </w:r>
    </w:p>
    <w:p w:rsidR="00AC403B" w:rsidRDefault="00AC403B" w:rsidP="00980876">
      <w:pPr>
        <w:widowControl w:val="0"/>
        <w:numPr>
          <w:ilvl w:val="1"/>
          <w:numId w:val="256"/>
        </w:numPr>
        <w:tabs>
          <w:tab w:val="num" w:pos="2069"/>
        </w:tabs>
        <w:spacing w:before="120" w:after="120" w:line="240" w:lineRule="auto"/>
        <w:ind w:left="851" w:hanging="567"/>
        <w:jc w:val="both"/>
        <w:rPr>
          <w:rFonts w:ascii="Times New Roman" w:eastAsia="Times New Roman" w:hAnsi="Times New Roman" w:cs="Times New Roman"/>
        </w:rPr>
      </w:pPr>
      <w:r>
        <w:rPr>
          <w:rFonts w:ascii="Times New Roman" w:hAnsi="Times New Roman" w:cs="Times New Roman"/>
          <w:bCs/>
          <w:lang w:val="x-none"/>
        </w:rPr>
        <w:t>A</w:t>
      </w:r>
      <w:r>
        <w:rPr>
          <w:rFonts w:ascii="Times New Roman" w:hAnsi="Times New Roman" w:cs="Times New Roman"/>
          <w:bCs/>
        </w:rPr>
        <w:t xml:space="preserve"> szakkiképzés tervezésének rendje</w:t>
      </w:r>
      <w:r>
        <w:rPr>
          <w:rFonts w:ascii="Times New Roman" w:hAnsi="Times New Roman" w:cs="Times New Roman"/>
          <w:bCs/>
          <w:lang w:val="x-none"/>
        </w:rPr>
        <w:t>, a</w:t>
      </w:r>
      <w:r>
        <w:rPr>
          <w:rFonts w:ascii="Times New Roman" w:hAnsi="Times New Roman" w:cs="Times New Roman"/>
          <w:bCs/>
        </w:rPr>
        <w:t xml:space="preserve"> szakkiképzéshez kapcsolható felelősségi jogkörök. </w:t>
      </w:r>
      <w:r>
        <w:rPr>
          <w:rFonts w:ascii="Times New Roman" w:hAnsi="Times New Roman" w:cs="Times New Roman"/>
          <w:bCs/>
          <w:i/>
          <w:lang w:val="en-GB"/>
        </w:rPr>
        <w:t>(Processes</w:t>
      </w:r>
      <w:r>
        <w:rPr>
          <w:rFonts w:ascii="Times New Roman" w:hAnsi="Times New Roman" w:cs="Times New Roman"/>
          <w:bCs/>
          <w:i/>
        </w:rPr>
        <w:t xml:space="preserve"> of</w:t>
      </w:r>
      <w:r>
        <w:rPr>
          <w:rFonts w:ascii="Times New Roman" w:hAnsi="Times New Roman" w:cs="Times New Roman"/>
          <w:bCs/>
          <w:i/>
          <w:lang w:val="en-GB"/>
        </w:rPr>
        <w:t xml:space="preserve"> logistics specialist training planning</w:t>
      </w:r>
      <w:r>
        <w:rPr>
          <w:rFonts w:ascii="Times New Roman" w:hAnsi="Times New Roman" w:cs="Times New Roman"/>
          <w:bCs/>
          <w:i/>
        </w:rPr>
        <w:t>,</w:t>
      </w:r>
      <w:r>
        <w:rPr>
          <w:rFonts w:ascii="Times New Roman" w:hAnsi="Times New Roman" w:cs="Times New Roman"/>
          <w:bCs/>
          <w:i/>
          <w:lang w:val="en-GB"/>
        </w:rPr>
        <w:t xml:space="preserve"> responsibility</w:t>
      </w:r>
      <w:r>
        <w:rPr>
          <w:rFonts w:ascii="Times New Roman" w:hAnsi="Times New Roman" w:cs="Times New Roman"/>
          <w:bCs/>
          <w:i/>
        </w:rPr>
        <w:t xml:space="preserve"> and</w:t>
      </w:r>
      <w:r>
        <w:rPr>
          <w:rFonts w:ascii="Times New Roman" w:hAnsi="Times New Roman" w:cs="Times New Roman"/>
          <w:bCs/>
          <w:i/>
          <w:lang w:val="en-GB"/>
        </w:rPr>
        <w:t xml:space="preserve"> laws</w:t>
      </w:r>
      <w:r>
        <w:rPr>
          <w:rFonts w:ascii="Times New Roman" w:hAnsi="Times New Roman" w:cs="Times New Roman"/>
          <w:bCs/>
          <w:i/>
          <w:lang w:val="en-US"/>
        </w:rPr>
        <w:t xml:space="preserve"> which</w:t>
      </w:r>
      <w:r>
        <w:rPr>
          <w:rFonts w:ascii="Times New Roman" w:hAnsi="Times New Roman" w:cs="Times New Roman"/>
          <w:bCs/>
          <w:i/>
          <w:lang w:val="en-GB"/>
        </w:rPr>
        <w:t xml:space="preserve"> can</w:t>
      </w:r>
      <w:r>
        <w:rPr>
          <w:rFonts w:ascii="Times New Roman" w:hAnsi="Times New Roman" w:cs="Times New Roman"/>
          <w:bCs/>
          <w:i/>
        </w:rPr>
        <w:t xml:space="preserve"> be</w:t>
      </w:r>
      <w:r>
        <w:rPr>
          <w:rFonts w:ascii="Times New Roman" w:hAnsi="Times New Roman" w:cs="Times New Roman"/>
          <w:bCs/>
          <w:i/>
          <w:lang w:val="en-GB"/>
        </w:rPr>
        <w:t xml:space="preserve"> related to training</w:t>
      </w:r>
      <w:r>
        <w:rPr>
          <w:rFonts w:ascii="Times New Roman" w:hAnsi="Times New Roman" w:cs="Times New Roman"/>
          <w:bCs/>
          <w:i/>
        </w:rPr>
        <w:t>.)</w:t>
      </w:r>
    </w:p>
    <w:p w:rsidR="00AC403B" w:rsidRDefault="00AC403B" w:rsidP="00980876">
      <w:pPr>
        <w:widowControl w:val="0"/>
        <w:numPr>
          <w:ilvl w:val="1"/>
          <w:numId w:val="256"/>
        </w:numPr>
        <w:tabs>
          <w:tab w:val="num" w:pos="2069"/>
        </w:tabs>
        <w:spacing w:before="120" w:after="120" w:line="240" w:lineRule="auto"/>
        <w:ind w:left="851" w:hanging="567"/>
        <w:jc w:val="both"/>
        <w:rPr>
          <w:rFonts w:ascii="Times New Roman" w:eastAsia="Times New Roman" w:hAnsi="Times New Roman" w:cs="Times New Roman"/>
          <w:bCs/>
          <w:i/>
          <w:lang w:val="x-none"/>
        </w:rPr>
      </w:pPr>
      <w:r>
        <w:rPr>
          <w:rFonts w:ascii="Times New Roman" w:eastAsia="Times New Roman" w:hAnsi="Times New Roman" w:cs="Times New Roman"/>
          <w:lang w:val="x-none"/>
        </w:rPr>
        <w:t>A</w:t>
      </w:r>
      <w:r>
        <w:rPr>
          <w:rFonts w:ascii="Times New Roman" w:eastAsia="Times New Roman" w:hAnsi="Times New Roman" w:cs="Times New Roman"/>
        </w:rPr>
        <w:t xml:space="preserve"> szakkiképzés tervezési és végrehajtási okmányai</w:t>
      </w:r>
      <w:r>
        <w:rPr>
          <w:rFonts w:ascii="Times New Roman" w:eastAsia="Times New Roman" w:hAnsi="Times New Roman" w:cs="Times New Roman"/>
          <w:lang w:val="x-none"/>
        </w:rPr>
        <w:t>.</w:t>
      </w:r>
      <w:r>
        <w:rPr>
          <w:rFonts w:ascii="Times New Roman" w:eastAsia="Times New Roman" w:hAnsi="Times New Roman" w:cs="Times New Roman"/>
          <w:b/>
          <w:lang w:val="x-none"/>
        </w:rPr>
        <w:t xml:space="preserve"> </w:t>
      </w:r>
      <w:r>
        <w:rPr>
          <w:rFonts w:ascii="Times New Roman" w:eastAsia="Times New Roman" w:hAnsi="Times New Roman" w:cs="Times New Roman"/>
          <w:i/>
          <w:lang w:val="en-GB"/>
        </w:rPr>
        <w:t>(Planning</w:t>
      </w:r>
      <w:r>
        <w:rPr>
          <w:rFonts w:ascii="Times New Roman" w:eastAsia="Times New Roman" w:hAnsi="Times New Roman" w:cs="Times New Roman"/>
          <w:i/>
        </w:rPr>
        <w:t xml:space="preserve"> and</w:t>
      </w:r>
      <w:r>
        <w:rPr>
          <w:rFonts w:ascii="Times New Roman" w:eastAsia="Times New Roman" w:hAnsi="Times New Roman" w:cs="Times New Roman"/>
          <w:i/>
          <w:lang w:val="en-GB"/>
        </w:rPr>
        <w:t xml:space="preserve"> enforcement Documents</w:t>
      </w:r>
      <w:r>
        <w:rPr>
          <w:rFonts w:ascii="Times New Roman" w:eastAsia="Times New Roman" w:hAnsi="Times New Roman" w:cs="Times New Roman"/>
          <w:i/>
        </w:rPr>
        <w:t xml:space="preserve"> of</w:t>
      </w:r>
      <w:r>
        <w:rPr>
          <w:rFonts w:ascii="Times New Roman" w:eastAsia="Times New Roman" w:hAnsi="Times New Roman" w:cs="Times New Roman"/>
          <w:i/>
          <w:lang w:val="en-GB"/>
        </w:rPr>
        <w:t xml:space="preserve"> specialist training</w:t>
      </w:r>
      <w:r>
        <w:rPr>
          <w:rFonts w:ascii="Times New Roman" w:eastAsia="Times New Roman" w:hAnsi="Times New Roman" w:cs="Times New Roman"/>
          <w:i/>
        </w:rPr>
        <w:t>.)</w:t>
      </w:r>
    </w:p>
    <w:p w:rsidR="00AC403B" w:rsidRDefault="00AC403B" w:rsidP="00980876">
      <w:pPr>
        <w:widowControl w:val="0"/>
        <w:numPr>
          <w:ilvl w:val="1"/>
          <w:numId w:val="256"/>
        </w:numPr>
        <w:tabs>
          <w:tab w:val="num" w:pos="2069"/>
        </w:tabs>
        <w:spacing w:before="120" w:after="120" w:line="240" w:lineRule="auto"/>
        <w:ind w:left="851" w:hanging="567"/>
        <w:jc w:val="both"/>
        <w:rPr>
          <w:rFonts w:ascii="Times New Roman" w:eastAsia="Times New Roman" w:hAnsi="Times New Roman" w:cs="Times New Roman"/>
          <w:i/>
        </w:rPr>
      </w:pPr>
      <w:r>
        <w:rPr>
          <w:rFonts w:ascii="Times New Roman" w:eastAsia="Times New Roman" w:hAnsi="Times New Roman" w:cs="Times New Roman"/>
        </w:rPr>
        <w:t>A missziós szakfelkészítés rendszere, a missziós logisztikai felkészítés alapelvei, követelményei és végrehajtásának rendje.</w:t>
      </w:r>
      <w:r>
        <w:rPr>
          <w:rFonts w:ascii="Times New Roman" w:eastAsia="Times New Roman" w:hAnsi="Times New Roman" w:cs="Times New Roman"/>
          <w:b/>
        </w:rPr>
        <w:t xml:space="preserve"> </w:t>
      </w:r>
      <w:r>
        <w:rPr>
          <w:rFonts w:ascii="Times New Roman" w:eastAsia="Times New Roman" w:hAnsi="Times New Roman" w:cs="Times New Roman"/>
          <w:i/>
        </w:rPr>
        <w:t>(The</w:t>
      </w:r>
      <w:r>
        <w:rPr>
          <w:rFonts w:ascii="Times New Roman" w:eastAsia="Times New Roman" w:hAnsi="Times New Roman" w:cs="Times New Roman"/>
          <w:i/>
          <w:lang w:val="en-GB"/>
        </w:rPr>
        <w:t xml:space="preserve"> training programmes</w:t>
      </w:r>
      <w:r>
        <w:rPr>
          <w:rFonts w:ascii="Times New Roman" w:eastAsia="Times New Roman" w:hAnsi="Times New Roman" w:cs="Times New Roman"/>
          <w:i/>
        </w:rPr>
        <w:t xml:space="preserve"> of</w:t>
      </w:r>
      <w:r>
        <w:rPr>
          <w:rFonts w:ascii="Times New Roman" w:eastAsia="Times New Roman" w:hAnsi="Times New Roman" w:cs="Times New Roman"/>
          <w:i/>
          <w:lang w:val="en-GB"/>
        </w:rPr>
        <w:t xml:space="preserve"> mission abroad</w:t>
      </w:r>
      <w:r>
        <w:rPr>
          <w:rFonts w:ascii="Times New Roman" w:eastAsia="Times New Roman" w:hAnsi="Times New Roman" w:cs="Times New Roman"/>
          <w:i/>
        </w:rPr>
        <w:t>,</w:t>
      </w:r>
      <w:r>
        <w:rPr>
          <w:rFonts w:ascii="Times New Roman" w:eastAsia="Times New Roman" w:hAnsi="Times New Roman" w:cs="Times New Roman"/>
          <w:i/>
          <w:lang w:val="en-GB"/>
        </w:rPr>
        <w:t xml:space="preserve"> basic concepts</w:t>
      </w:r>
      <w:r>
        <w:rPr>
          <w:rFonts w:ascii="Times New Roman" w:eastAsia="Times New Roman" w:hAnsi="Times New Roman" w:cs="Times New Roman"/>
          <w:i/>
        </w:rPr>
        <w:t>,</w:t>
      </w:r>
      <w:r>
        <w:rPr>
          <w:rFonts w:ascii="Times New Roman" w:eastAsia="Times New Roman" w:hAnsi="Times New Roman" w:cs="Times New Roman"/>
          <w:i/>
          <w:lang w:val="en-GB"/>
        </w:rPr>
        <w:t xml:space="preserve"> requirements</w:t>
      </w:r>
      <w:r>
        <w:rPr>
          <w:rFonts w:ascii="Times New Roman" w:eastAsia="Times New Roman" w:hAnsi="Times New Roman" w:cs="Times New Roman"/>
          <w:i/>
        </w:rPr>
        <w:t>,</w:t>
      </w:r>
      <w:r>
        <w:rPr>
          <w:rFonts w:ascii="Times New Roman" w:eastAsia="Times New Roman" w:hAnsi="Times New Roman" w:cs="Times New Roman"/>
          <w:i/>
          <w:lang w:val="en-GB"/>
        </w:rPr>
        <w:t xml:space="preserve"> enforcement </w:t>
      </w:r>
      <w:r>
        <w:rPr>
          <w:rFonts w:ascii="Times New Roman" w:eastAsia="Times New Roman" w:hAnsi="Times New Roman" w:cs="Times New Roman"/>
          <w:i/>
        </w:rPr>
        <w:t>of</w:t>
      </w:r>
      <w:r>
        <w:rPr>
          <w:rFonts w:ascii="Times New Roman" w:eastAsia="Times New Roman" w:hAnsi="Times New Roman" w:cs="Times New Roman"/>
          <w:i/>
          <w:lang w:val="en-GB"/>
        </w:rPr>
        <w:t xml:space="preserve"> mission logistics training</w:t>
      </w:r>
      <w:r>
        <w:rPr>
          <w:rFonts w:ascii="Times New Roman" w:eastAsia="Times New Roman" w:hAnsi="Times New Roman" w:cs="Times New Roman"/>
          <w:i/>
        </w:rPr>
        <w:t>.)</w:t>
      </w:r>
    </w:p>
    <w:p w:rsidR="00AC403B" w:rsidRDefault="00AC403B" w:rsidP="00980876">
      <w:pPr>
        <w:widowControl w:val="0"/>
        <w:numPr>
          <w:ilvl w:val="0"/>
          <w:numId w:val="256"/>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 tantárgy meghirdetésének gyakorisága/a tantervben történő félévi elhelyezkedése: </w:t>
      </w:r>
      <w:r>
        <w:rPr>
          <w:rFonts w:ascii="Times New Roman" w:eastAsia="Times New Roman" w:hAnsi="Times New Roman" w:cs="Times New Roman"/>
          <w:bCs/>
        </w:rPr>
        <w:t>Minden őszi szemeszterben / 5. félév</w:t>
      </w:r>
    </w:p>
    <w:p w:rsidR="00AC403B" w:rsidRDefault="00AC403B" w:rsidP="00980876">
      <w:pPr>
        <w:widowControl w:val="0"/>
        <w:numPr>
          <w:ilvl w:val="0"/>
          <w:numId w:val="256"/>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 tanórákon való részvétel követelményei, az elfogadható hiányzások mértéke, a </w:t>
      </w:r>
      <w:r>
        <w:rPr>
          <w:rFonts w:ascii="Times New Roman" w:eastAsia="Times New Roman" w:hAnsi="Times New Roman" w:cs="Times New Roman"/>
          <w:b/>
          <w:bCs/>
        </w:rPr>
        <w:lastRenderedPageBreak/>
        <w:t>távolmaradás pótlásának lehetősége:</w:t>
      </w:r>
      <w:r>
        <w:rPr>
          <w:rFonts w:ascii="Times New Roman" w:eastAsia="Times New Roman" w:hAnsi="Times New Roman" w:cs="Times New Roman"/>
          <w:bCs/>
        </w:rPr>
        <w:t xml:space="preserve"> A tanórákon való részvétel kötelező.</w:t>
      </w:r>
      <w:r>
        <w:rPr>
          <w:rFonts w:ascii="Times New Roman" w:eastAsia="Times New Roman" w:hAnsi="Times New Roman" w:cs="Times New Roman"/>
          <w:b/>
          <w:bCs/>
        </w:rPr>
        <w:t xml:space="preserve"> </w:t>
      </w:r>
      <w:r>
        <w:rPr>
          <w:rFonts w:ascii="Times New Roman" w:eastAsia="Times New Roman" w:hAnsi="Times New Roman" w:cs="Times New Roman"/>
          <w:bCs/>
        </w:rPr>
        <w:t>A félév elfogadásának feltétele a tanórák minimum 70%-án való részvétel. Ennél magasabb mértékű távolmaradás pótlása az oktató engedélyével történhet.</w:t>
      </w:r>
    </w:p>
    <w:p w:rsidR="00AC403B" w:rsidRDefault="00AC403B" w:rsidP="00980876">
      <w:pPr>
        <w:widowControl w:val="0"/>
        <w:numPr>
          <w:ilvl w:val="0"/>
          <w:numId w:val="256"/>
        </w:numPr>
        <w:tabs>
          <w:tab w:val="num" w:pos="360"/>
        </w:tabs>
        <w:spacing w:before="120" w:after="120" w:line="240" w:lineRule="auto"/>
        <w:ind w:left="426" w:hanging="142"/>
        <w:jc w:val="both"/>
        <w:rPr>
          <w:rFonts w:ascii="Times New Roman" w:hAnsi="Times New Roman"/>
        </w:rPr>
      </w:pPr>
      <w:r>
        <w:rPr>
          <w:rFonts w:ascii="Times New Roman" w:eastAsia="Times New Roman" w:hAnsi="Times New Roman" w:cs="Times New Roman"/>
          <w:b/>
        </w:rPr>
        <w:t xml:space="preserve">Félévközi feladatok, ismeretek ellenőrzésének rendje: </w:t>
      </w:r>
      <w:r>
        <w:rPr>
          <w:rFonts w:ascii="Times New Roman" w:hAnsi="Times New Roman"/>
          <w:lang w:val="x-none"/>
        </w:rPr>
        <w:t>A</w:t>
      </w:r>
      <w:r>
        <w:rPr>
          <w:rFonts w:ascii="Times New Roman" w:hAnsi="Times New Roman"/>
        </w:rPr>
        <w:t xml:space="preserve"> félév során egy foglalkozási jegyet kell elkészíteni, valamint egy zárthelyi dolgozatot kel</w:t>
      </w:r>
      <w:r>
        <w:rPr>
          <w:rFonts w:ascii="Times New Roman" w:hAnsi="Times New Roman"/>
          <w:lang w:val="x-none"/>
        </w:rPr>
        <w:t>l</w:t>
      </w:r>
      <w:r>
        <w:rPr>
          <w:rFonts w:ascii="Times New Roman" w:hAnsi="Times New Roman"/>
        </w:rPr>
        <w:t xml:space="preserve"> eredményesen megírni</w:t>
      </w:r>
      <w:r>
        <w:rPr>
          <w:rFonts w:ascii="Times New Roman" w:hAnsi="Times New Roman"/>
          <w:lang w:val="x-none"/>
        </w:rPr>
        <w:t>.</w:t>
      </w:r>
      <w:r>
        <w:rPr>
          <w:rFonts w:ascii="Times New Roman" w:hAnsi="Times New Roman"/>
        </w:rPr>
        <w:t xml:space="preserve"> A foglalkozási jegy értékelése kétfokozatú skálán értékelendő, megfelelt, nem megfelelt.</w:t>
      </w:r>
      <w:r>
        <w:rPr>
          <w:rFonts w:ascii="Times New Roman" w:hAnsi="Times New Roman"/>
          <w:lang w:val="x-none"/>
        </w:rPr>
        <w:t xml:space="preserve"> </w:t>
      </w:r>
      <w:r>
        <w:rPr>
          <w:rFonts w:ascii="Times New Roman" w:hAnsi="Times New Roman"/>
        </w:rPr>
        <w:t xml:space="preserve">A zárthelyi dolgozat ötfokozatú skálán értékelendő, 50%+1 pont elégséges, 60% közepes, 75% jó, 90% jeles. </w:t>
      </w:r>
      <w:r>
        <w:rPr>
          <w:rFonts w:ascii="Times New Roman" w:hAnsi="Times New Roman"/>
          <w:lang w:val="x-none"/>
        </w:rPr>
        <w:t>A</w:t>
      </w:r>
      <w:r>
        <w:rPr>
          <w:rFonts w:ascii="Times New Roman" w:hAnsi="Times New Roman"/>
        </w:rPr>
        <w:t xml:space="preserve"> nem megfelelt foglalkozási jegyet, valamint a</w:t>
      </w:r>
      <w:r>
        <w:rPr>
          <w:rFonts w:ascii="Times New Roman" w:hAnsi="Times New Roman"/>
          <w:lang w:val="x-none"/>
        </w:rPr>
        <w:t>z</w:t>
      </w:r>
      <w:r>
        <w:rPr>
          <w:rFonts w:ascii="Times New Roman" w:hAnsi="Times New Roman"/>
        </w:rPr>
        <w:t xml:space="preserve"> elégtelen osztályzatra értékelt dolgozatot</w:t>
      </w:r>
      <w:r>
        <w:rPr>
          <w:rFonts w:ascii="Times New Roman" w:hAnsi="Times New Roman"/>
          <w:lang w:val="x-none"/>
        </w:rPr>
        <w:t xml:space="preserve"> a</w:t>
      </w:r>
      <w:r>
        <w:rPr>
          <w:rFonts w:ascii="Times New Roman" w:hAnsi="Times New Roman"/>
        </w:rPr>
        <w:t xml:space="preserve"> szorgalmi és</w:t>
      </w:r>
      <w:r>
        <w:rPr>
          <w:rFonts w:ascii="Times New Roman" w:hAnsi="Times New Roman"/>
          <w:lang w:val="x-none"/>
        </w:rPr>
        <w:t xml:space="preserve"> a</w:t>
      </w:r>
      <w:r>
        <w:rPr>
          <w:rFonts w:ascii="Times New Roman" w:hAnsi="Times New Roman"/>
        </w:rPr>
        <w:t xml:space="preserve"> vizsgaidőszakban</w:t>
      </w:r>
      <w:r>
        <w:rPr>
          <w:rFonts w:ascii="Times New Roman" w:hAnsi="Times New Roman"/>
          <w:lang w:val="x-none"/>
        </w:rPr>
        <w:t xml:space="preserve"> is</w:t>
      </w:r>
      <w:r>
        <w:rPr>
          <w:rFonts w:ascii="Times New Roman" w:hAnsi="Times New Roman"/>
        </w:rPr>
        <w:t xml:space="preserve"> egy-egy alkalommal lehet pótolni</w:t>
      </w:r>
      <w:r>
        <w:rPr>
          <w:rFonts w:ascii="Times New Roman" w:hAnsi="Times New Roman"/>
          <w:lang w:val="x-none"/>
        </w:rPr>
        <w:t xml:space="preserve">. </w:t>
      </w:r>
    </w:p>
    <w:p w:rsidR="00AC403B" w:rsidRDefault="00AC403B" w:rsidP="00980876">
      <w:pPr>
        <w:widowControl w:val="0"/>
        <w:numPr>
          <w:ilvl w:val="0"/>
          <w:numId w:val="256"/>
        </w:numPr>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Az értékelés, az aláírás és a kreditek megszerzésének pontos feltételei:</w:t>
      </w:r>
    </w:p>
    <w:p w:rsidR="00AC403B" w:rsidRDefault="00AC403B" w:rsidP="00980876">
      <w:pPr>
        <w:widowControl w:val="0"/>
        <w:numPr>
          <w:ilvl w:val="1"/>
          <w:numId w:val="256"/>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Az aláírás megszerzésének feltételei:</w:t>
      </w:r>
    </w:p>
    <w:p w:rsidR="00AC403B" w:rsidRDefault="00AC403B" w:rsidP="00AC403B">
      <w:pPr>
        <w:widowControl w:val="0"/>
        <w:tabs>
          <w:tab w:val="left" w:pos="993"/>
        </w:tabs>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Az aláírás feltétele a tanórákon történő – 14. pontban meghatározott – részvétel, a foglalkozási jegy megfelelő elkészítése, valamint a zárthelyi dolgozat sikeres (50% +1pont) megírása.</w:t>
      </w:r>
    </w:p>
    <w:p w:rsidR="00AC403B" w:rsidRDefault="00AC403B" w:rsidP="00980876">
      <w:pPr>
        <w:widowControl w:val="0"/>
        <w:numPr>
          <w:ilvl w:val="1"/>
          <w:numId w:val="256"/>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Az értékelés:</w:t>
      </w:r>
    </w:p>
    <w:p w:rsidR="00AC403B" w:rsidRDefault="00AC403B" w:rsidP="00AC403B">
      <w:pPr>
        <w:widowControl w:val="0"/>
        <w:tabs>
          <w:tab w:val="left" w:pos="993"/>
        </w:tabs>
        <w:spacing w:before="120" w:after="120" w:line="240" w:lineRule="auto"/>
        <w:ind w:left="426"/>
        <w:jc w:val="both"/>
        <w:rPr>
          <w:rFonts w:ascii="Times New Roman" w:eastAsia="Times New Roman" w:hAnsi="Times New Roman" w:cs="Times New Roman"/>
          <w:lang w:val="x-none"/>
        </w:rPr>
      </w:pPr>
      <w:r>
        <w:rPr>
          <w:rFonts w:ascii="Times New Roman" w:eastAsia="Times New Roman" w:hAnsi="Times New Roman" w:cs="Times New Roman"/>
          <w:lang w:val="x-none"/>
        </w:rPr>
        <w:t xml:space="preserve">A félév végén a kollokvium szóbeli, amelynek eredményébe a félévközi munka beszámítható. </w:t>
      </w:r>
      <w:r>
        <w:rPr>
          <w:rFonts w:ascii="Times New Roman" w:eastAsia="Times New Roman" w:hAnsi="Times New Roman" w:cs="Times New Roman"/>
        </w:rPr>
        <w:t xml:space="preserve">A kollokviumra a hallgatók csak felkészülési témaköröket kapnak kézhez, melyek felölelik a félév teljes tananyagát és a vizsgatételek kérdéseit. </w:t>
      </w:r>
      <w:r>
        <w:rPr>
          <w:rFonts w:ascii="Times New Roman" w:eastAsia="Times New Roman" w:hAnsi="Times New Roman" w:cs="Times New Roman"/>
          <w:lang w:val="x-none"/>
        </w:rPr>
        <w:t xml:space="preserve">A </w:t>
      </w:r>
      <w:r>
        <w:rPr>
          <w:rFonts w:ascii="Times New Roman" w:eastAsia="Times New Roman" w:hAnsi="Times New Roman" w:cs="Times New Roman"/>
        </w:rPr>
        <w:t>szóbeli vizsga értékelése</w:t>
      </w:r>
      <w:r>
        <w:rPr>
          <w:rFonts w:ascii="Times New Roman" w:eastAsia="Times New Roman" w:hAnsi="Times New Roman" w:cs="Times New Roman"/>
          <w:lang w:val="x-none"/>
        </w:rPr>
        <w:t xml:space="preserve"> ötfokozatú skálán </w:t>
      </w:r>
      <w:r>
        <w:rPr>
          <w:rFonts w:ascii="Times New Roman" w:eastAsia="Times New Roman" w:hAnsi="Times New Roman" w:cs="Times New Roman"/>
        </w:rPr>
        <w:t>történik</w:t>
      </w:r>
      <w:r>
        <w:rPr>
          <w:rFonts w:ascii="Times New Roman" w:eastAsia="Times New Roman" w:hAnsi="Times New Roman" w:cs="Times New Roman"/>
          <w:lang w:val="x-none"/>
        </w:rPr>
        <w:t>.</w:t>
      </w:r>
    </w:p>
    <w:p w:rsidR="00AC403B" w:rsidRDefault="00AC403B" w:rsidP="00980876">
      <w:pPr>
        <w:widowControl w:val="0"/>
        <w:numPr>
          <w:ilvl w:val="1"/>
          <w:numId w:val="256"/>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 kreditek megszerzésének feltételei:</w:t>
      </w:r>
      <w:r>
        <w:rPr>
          <w:rFonts w:ascii="Times New Roman" w:eastAsia="Times New Roman" w:hAnsi="Times New Roman" w:cs="Times New Roman"/>
        </w:rPr>
        <w:t xml:space="preserve"> </w:t>
      </w:r>
    </w:p>
    <w:p w:rsidR="00AC403B" w:rsidRDefault="00AC403B" w:rsidP="00AC403B">
      <w:pPr>
        <w:widowControl w:val="0"/>
        <w:tabs>
          <w:tab w:val="left" w:pos="993"/>
        </w:tabs>
        <w:spacing w:before="120" w:after="120" w:line="240" w:lineRule="auto"/>
        <w:ind w:left="426"/>
        <w:jc w:val="both"/>
        <w:rPr>
          <w:rFonts w:ascii="Times New Roman" w:eastAsia="Times New Roman" w:hAnsi="Times New Roman" w:cs="Times New Roman"/>
          <w:lang w:eastAsia="x-none"/>
        </w:rPr>
      </w:pPr>
      <w:r>
        <w:rPr>
          <w:rFonts w:ascii="Times New Roman" w:eastAsia="Times New Roman" w:hAnsi="Times New Roman" w:cs="Times New Roman"/>
          <w:lang w:eastAsia="x-none"/>
        </w:rPr>
        <w:t>A kreditek megszerzésének feltételei az aláírás megszerzése és legalább elégséges vizsgajegy.</w:t>
      </w:r>
    </w:p>
    <w:p w:rsidR="00AC403B" w:rsidRDefault="00AC403B" w:rsidP="00980876">
      <w:pPr>
        <w:widowControl w:val="0"/>
        <w:numPr>
          <w:ilvl w:val="0"/>
          <w:numId w:val="256"/>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Irodalomjegyzék:</w:t>
      </w:r>
    </w:p>
    <w:p w:rsidR="00AC403B" w:rsidRDefault="00AC403B" w:rsidP="00980876">
      <w:pPr>
        <w:widowControl w:val="0"/>
        <w:numPr>
          <w:ilvl w:val="1"/>
          <w:numId w:val="256"/>
        </w:numPr>
        <w:tabs>
          <w:tab w:val="left" w:pos="567"/>
          <w:tab w:val="left" w:pos="851"/>
          <w:tab w:val="num" w:pos="2069"/>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Kötelező irodalom:</w:t>
      </w:r>
    </w:p>
    <w:p w:rsidR="00AC403B" w:rsidRDefault="00AC403B" w:rsidP="00980876">
      <w:pPr>
        <w:widowControl w:val="0"/>
        <w:numPr>
          <w:ilvl w:val="0"/>
          <w:numId w:val="772"/>
        </w:numPr>
        <w:spacing w:after="0" w:line="240" w:lineRule="auto"/>
        <w:jc w:val="both"/>
        <w:rPr>
          <w:rFonts w:ascii="Times New Roman" w:eastAsia="Times New Roman" w:hAnsi="Times New Roman" w:cs="Times New Roman"/>
          <w:bCs/>
          <w:lang w:eastAsia="x-none"/>
        </w:rPr>
      </w:pPr>
      <w:r>
        <w:rPr>
          <w:rFonts w:ascii="Times New Roman" w:eastAsia="Times New Roman" w:hAnsi="Times New Roman" w:cs="Times New Roman"/>
          <w:lang w:eastAsia="x-none"/>
        </w:rPr>
        <w:t>Kiképzési Program az MH szerződéses logisztikai katonák részére (MH ÖLTP kiadvány, Budapest, 2005., nyt. szám: 1180/2005)</w:t>
      </w:r>
    </w:p>
    <w:p w:rsidR="00AC403B" w:rsidRDefault="00AC403B" w:rsidP="00980876">
      <w:pPr>
        <w:widowControl w:val="0"/>
        <w:numPr>
          <w:ilvl w:val="0"/>
          <w:numId w:val="772"/>
        </w:numPr>
        <w:spacing w:after="0" w:line="240" w:lineRule="auto"/>
        <w:jc w:val="both"/>
        <w:rPr>
          <w:rFonts w:ascii="Times New Roman" w:eastAsia="Times New Roman" w:hAnsi="Times New Roman" w:cs="Times New Roman"/>
          <w:lang w:val="en-GB" w:eastAsia="x-none"/>
        </w:rPr>
      </w:pPr>
      <w:r>
        <w:rPr>
          <w:rFonts w:ascii="Times New Roman" w:eastAsia="Times New Roman" w:hAnsi="Times New Roman" w:cs="Times New Roman"/>
          <w:lang w:eastAsia="x-none"/>
        </w:rPr>
        <w:t>Segédlet a Magyar Honvédség logisztikai szakbeosztású katonái szakkiképzésének, szakfelkészítésének tervezéséhez, szervezéséhez és végrehajtásához (MH ÖHP kiadvány, Székesfehérvár, 2011. Szerk.: Sári Gábor alez.)</w:t>
      </w:r>
    </w:p>
    <w:p w:rsidR="00AC403B" w:rsidRDefault="00AC403B" w:rsidP="00AC403B">
      <w:pPr>
        <w:widowControl w:val="0"/>
        <w:spacing w:after="0" w:line="240" w:lineRule="auto"/>
        <w:ind w:left="644"/>
        <w:jc w:val="both"/>
        <w:rPr>
          <w:rFonts w:ascii="Times New Roman" w:eastAsia="Times New Roman" w:hAnsi="Times New Roman" w:cs="Times New Roman"/>
        </w:rPr>
      </w:pPr>
    </w:p>
    <w:p w:rsidR="00AC403B" w:rsidRDefault="00AC403B" w:rsidP="00980876">
      <w:pPr>
        <w:pStyle w:val="Listaszerbekezds"/>
        <w:widowControl w:val="0"/>
        <w:numPr>
          <w:ilvl w:val="1"/>
          <w:numId w:val="233"/>
        </w:numPr>
        <w:spacing w:after="0" w:line="240" w:lineRule="auto"/>
        <w:ind w:left="851" w:hanging="567"/>
        <w:jc w:val="both"/>
        <w:rPr>
          <w:rFonts w:ascii="Times New Roman" w:eastAsia="Times New Roman" w:hAnsi="Times New Roman" w:cs="Times New Roman"/>
        </w:rPr>
      </w:pPr>
      <w:r>
        <w:rPr>
          <w:rFonts w:ascii="Times New Roman" w:eastAsia="Times New Roman" w:hAnsi="Times New Roman" w:cs="Times New Roman"/>
          <w:b/>
          <w:bCs/>
        </w:rPr>
        <w:t>Ajánlott irodalom:</w:t>
      </w:r>
    </w:p>
    <w:p w:rsidR="00AC403B" w:rsidRDefault="00AC403B" w:rsidP="00AC403B">
      <w:pPr>
        <w:pStyle w:val="Listaszerbekezds"/>
        <w:widowControl w:val="0"/>
        <w:spacing w:after="0" w:line="240" w:lineRule="auto"/>
        <w:ind w:left="851"/>
        <w:jc w:val="both"/>
        <w:rPr>
          <w:rFonts w:ascii="Times New Roman" w:eastAsia="Times New Roman" w:hAnsi="Times New Roman" w:cs="Times New Roman"/>
        </w:rPr>
      </w:pPr>
    </w:p>
    <w:p w:rsidR="00AC403B" w:rsidRDefault="00AC403B" w:rsidP="00980876">
      <w:pPr>
        <w:pStyle w:val="Listaszerbekezds"/>
        <w:widowControl w:val="0"/>
        <w:numPr>
          <w:ilvl w:val="0"/>
          <w:numId w:val="234"/>
        </w:numPr>
        <w:spacing w:line="256" w:lineRule="auto"/>
        <w:ind w:left="567" w:hanging="283"/>
        <w:rPr>
          <w:rFonts w:ascii="Times New Roman" w:hAnsi="Times New Roman" w:cs="Times New Roman"/>
          <w:bCs/>
        </w:rPr>
      </w:pPr>
      <w:r>
        <w:rPr>
          <w:rFonts w:ascii="Times New Roman" w:hAnsi="Times New Roman" w:cs="Times New Roman"/>
          <w:bCs/>
        </w:rPr>
        <w:t xml:space="preserve">Magyar Honvédség összhaderőnemi logisztikai doktrína, (HVK Logisztikai Csoportfőnökség Budapest, 2003). </w:t>
      </w:r>
    </w:p>
    <w:p w:rsidR="00B26B05" w:rsidRPr="00B87C3E" w:rsidRDefault="00B26B05" w:rsidP="00980876">
      <w:pPr>
        <w:pStyle w:val="Listaszerbekezds"/>
        <w:widowControl w:val="0"/>
        <w:numPr>
          <w:ilvl w:val="0"/>
          <w:numId w:val="234"/>
        </w:numPr>
        <w:spacing w:line="256" w:lineRule="auto"/>
        <w:ind w:left="567" w:hanging="283"/>
        <w:rPr>
          <w:rFonts w:ascii="Times New Roman" w:eastAsia="Times New Roman" w:hAnsi="Times New Roman" w:cs="Times New Roman"/>
          <w:lang w:eastAsia="hu-HU"/>
        </w:rPr>
      </w:pPr>
      <w:r w:rsidRPr="00B87C3E">
        <w:rPr>
          <w:rFonts w:ascii="Times New Roman" w:eastAsia="Times New Roman" w:hAnsi="Times New Roman" w:cs="Times New Roman"/>
          <w:lang w:eastAsia="hu-HU"/>
        </w:rPr>
        <w:t xml:space="preserve">Az </w:t>
      </w:r>
      <w:r w:rsidRPr="00B26B05">
        <w:rPr>
          <w:rFonts w:ascii="Times New Roman" w:hAnsi="Times New Roman" w:cs="Times New Roman"/>
          <w:bCs/>
        </w:rPr>
        <w:t>Általános</w:t>
      </w:r>
      <w:r w:rsidRPr="00B87C3E">
        <w:rPr>
          <w:rFonts w:ascii="Times New Roman" w:eastAsia="Times New Roman" w:hAnsi="Times New Roman" w:cs="Times New Roman"/>
          <w:lang w:eastAsia="hu-HU"/>
        </w:rPr>
        <w:t xml:space="preserve"> Katonai Kiképzés Kézikönyve. I. kötet. A Honvédelmi Minisztérium Hadműveleti és Kiképzési Főosztály Kiadványa. Bp., 2008. (Nyt.sz.: 4/244.). </w:t>
      </w:r>
    </w:p>
    <w:p w:rsidR="00AC403B" w:rsidRDefault="00AC403B" w:rsidP="00980876">
      <w:pPr>
        <w:pStyle w:val="Listaszerbekezds"/>
        <w:widowControl w:val="0"/>
        <w:numPr>
          <w:ilvl w:val="0"/>
          <w:numId w:val="234"/>
        </w:numPr>
        <w:spacing w:line="256" w:lineRule="auto"/>
        <w:ind w:left="567" w:hanging="283"/>
        <w:jc w:val="both"/>
        <w:rPr>
          <w:rFonts w:ascii="Times New Roman" w:hAnsi="Times New Roman" w:cs="Times New Roman"/>
          <w:bCs/>
        </w:rPr>
      </w:pPr>
      <w:r>
        <w:rPr>
          <w:rFonts w:ascii="Times New Roman" w:hAnsi="Times New Roman" w:cs="Times New Roman"/>
          <w:bCs/>
        </w:rPr>
        <w:t>A Magyar Honvédség békefenntartó és válságreagáló kijelölt alegységeinek műveleti követelményei (MH ÖHP dokumentum, Székesfehérvár, 2009).</w:t>
      </w:r>
    </w:p>
    <w:p w:rsidR="00AC403B" w:rsidRDefault="00AC403B" w:rsidP="00AC403B">
      <w:pPr>
        <w:pStyle w:val="Listaszerbekezds"/>
        <w:widowControl w:val="0"/>
        <w:spacing w:after="0" w:line="240" w:lineRule="auto"/>
        <w:ind w:left="567"/>
        <w:jc w:val="both"/>
        <w:rPr>
          <w:rFonts w:ascii="Times New Roman" w:eastAsia="Times New Roman" w:hAnsi="Times New Roman" w:cs="Times New Roman"/>
        </w:rPr>
      </w:pPr>
    </w:p>
    <w:p w:rsidR="00AC403B" w:rsidRDefault="00AC403B" w:rsidP="00194AF9">
      <w:pPr>
        <w:widowControl w:val="0"/>
        <w:spacing w:before="120" w:after="120" w:line="240" w:lineRule="auto"/>
        <w:ind w:firstLine="284"/>
        <w:jc w:val="both"/>
        <w:rPr>
          <w:rFonts w:ascii="Times New Roman" w:eastAsia="Times New Roman" w:hAnsi="Times New Roman" w:cs="Times New Roman"/>
          <w:bCs/>
        </w:rPr>
      </w:pPr>
      <w:r>
        <w:rPr>
          <w:rFonts w:ascii="Times New Roman" w:eastAsia="Times New Roman" w:hAnsi="Times New Roman" w:cs="Times New Roman"/>
          <w:bCs/>
        </w:rPr>
        <w:t>Budapest, 2020. február 20.</w:t>
      </w:r>
    </w:p>
    <w:p w:rsidR="00A065A5" w:rsidRDefault="00A065A5" w:rsidP="00194AF9">
      <w:pPr>
        <w:widowControl w:val="0"/>
        <w:spacing w:before="120" w:after="120" w:line="240" w:lineRule="auto"/>
        <w:ind w:firstLine="284"/>
        <w:jc w:val="both"/>
        <w:rPr>
          <w:rFonts w:ascii="Times New Roman" w:eastAsia="Times New Roman" w:hAnsi="Times New Roman" w:cs="Times New Roman"/>
          <w:bCs/>
        </w:rPr>
      </w:pPr>
    </w:p>
    <w:p w:rsidR="00AC403B" w:rsidRPr="00AC403B" w:rsidRDefault="00AC403B" w:rsidP="00A065A5">
      <w:pPr>
        <w:widowControl w:val="0"/>
        <w:spacing w:after="0" w:line="240" w:lineRule="auto"/>
        <w:ind w:left="6521"/>
        <w:jc w:val="center"/>
        <w:rPr>
          <w:rFonts w:ascii="Times New Roman" w:hAnsi="Times New Roman" w:cs="Times New Roman"/>
          <w:b/>
          <w:bCs/>
        </w:rPr>
      </w:pPr>
      <w:r w:rsidRPr="00AC403B">
        <w:rPr>
          <w:rFonts w:ascii="Times New Roman" w:hAnsi="Times New Roman" w:cs="Times New Roman"/>
          <w:b/>
          <w:bCs/>
        </w:rPr>
        <w:t>Dr. Sári Gábor (PhD)</w:t>
      </w:r>
    </w:p>
    <w:p w:rsidR="00AC403B" w:rsidRDefault="00AC403B" w:rsidP="00A065A5">
      <w:pPr>
        <w:widowControl w:val="0"/>
        <w:spacing w:after="0" w:line="240" w:lineRule="auto"/>
        <w:ind w:left="6521"/>
        <w:jc w:val="center"/>
        <w:rPr>
          <w:rFonts w:ascii="Times New Roman" w:eastAsia="Times New Roman" w:hAnsi="Times New Roman" w:cs="Times New Roman"/>
          <w:bCs/>
        </w:rPr>
      </w:pPr>
      <w:r>
        <w:rPr>
          <w:rFonts w:ascii="Times New Roman" w:hAnsi="Times New Roman" w:cs="Times New Roman"/>
          <w:bCs/>
        </w:rPr>
        <w:t>címzetes egyetemi docens</w:t>
      </w:r>
    </w:p>
    <w:p w:rsidR="00AC403B" w:rsidRDefault="00AC403B" w:rsidP="00AC403B">
      <w:pPr>
        <w:rPr>
          <w:rFonts w:ascii="Times New Roman" w:hAnsi="Times New Roman" w:cs="Times New Roman"/>
        </w:rPr>
      </w:pPr>
    </w:p>
    <w:p w:rsidR="00822841" w:rsidRDefault="00822841">
      <w:pPr>
        <w:spacing w:after="200" w:line="276" w:lineRule="auto"/>
        <w:rPr>
          <w:rFonts w:ascii="Times New Roman" w:hAnsi="Times New Roman" w:cs="Times New Roman"/>
          <w:sz w:val="24"/>
        </w:rPr>
      </w:pPr>
      <w:r>
        <w:rPr>
          <w:rFonts w:ascii="Times New Roman" w:hAnsi="Times New Roman" w:cs="Times New Roman"/>
          <w:sz w:val="24"/>
        </w:rPr>
        <w:br w:type="page"/>
      </w:r>
    </w:p>
    <w:tbl>
      <w:tblPr>
        <w:tblW w:w="9072" w:type="dxa"/>
        <w:tblInd w:w="113" w:type="dxa"/>
        <w:tblLook w:val="01E0" w:firstRow="1" w:lastRow="1" w:firstColumn="1" w:lastColumn="1" w:noHBand="0" w:noVBand="0"/>
      </w:tblPr>
      <w:tblGrid>
        <w:gridCol w:w="4855"/>
        <w:gridCol w:w="1620"/>
        <w:gridCol w:w="2597"/>
      </w:tblGrid>
      <w:tr w:rsidR="009B01B1" w:rsidTr="009B01B1">
        <w:tc>
          <w:tcPr>
            <w:tcW w:w="4855" w:type="dxa"/>
            <w:tcBorders>
              <w:top w:val="nil"/>
              <w:left w:val="nil"/>
              <w:bottom w:val="single" w:sz="4" w:space="0" w:color="auto"/>
              <w:right w:val="nil"/>
            </w:tcBorders>
            <w:hideMark/>
          </w:tcPr>
          <w:p w:rsidR="009B01B1" w:rsidRDefault="009B01B1">
            <w:pPr>
              <w:spacing w:after="0" w:line="240" w:lineRule="auto"/>
              <w:jc w:val="center"/>
              <w:rPr>
                <w:rFonts w:ascii="Times New Roman" w:eastAsia="Times New Roman" w:hAnsi="Times New Roman" w:cs="Times New Roman"/>
                <w:b/>
                <w:smallCaps/>
                <w:lang w:eastAsia="hu-HU"/>
              </w:rPr>
            </w:pPr>
            <w:r>
              <w:rPr>
                <w:rFonts w:ascii="Times New Roman" w:eastAsia="Times New Roman" w:hAnsi="Times New Roman" w:cs="Times New Roman"/>
                <w:b/>
                <w:smallCaps/>
                <w:lang w:eastAsia="hu-HU"/>
              </w:rPr>
              <w:lastRenderedPageBreak/>
              <w:t>Nemzeti Közszolgálati Egyetem</w:t>
            </w:r>
          </w:p>
        </w:tc>
        <w:tc>
          <w:tcPr>
            <w:tcW w:w="1620" w:type="dxa"/>
          </w:tcPr>
          <w:p w:rsidR="009B01B1" w:rsidRDefault="009B01B1">
            <w:pPr>
              <w:spacing w:after="0" w:line="240" w:lineRule="auto"/>
              <w:jc w:val="both"/>
              <w:rPr>
                <w:rFonts w:ascii="Times New Roman" w:eastAsia="Times New Roman" w:hAnsi="Times New Roman" w:cs="Times New Roman"/>
                <w:lang w:eastAsia="hu-HU"/>
              </w:rPr>
            </w:pPr>
          </w:p>
        </w:tc>
        <w:tc>
          <w:tcPr>
            <w:tcW w:w="2597" w:type="dxa"/>
          </w:tcPr>
          <w:p w:rsidR="009B01B1" w:rsidRDefault="009B01B1">
            <w:pPr>
              <w:spacing w:after="0" w:line="240" w:lineRule="auto"/>
              <w:jc w:val="right"/>
              <w:rPr>
                <w:rFonts w:ascii="Times New Roman" w:eastAsia="Times New Roman" w:hAnsi="Times New Roman" w:cs="Times New Roman"/>
                <w:lang w:eastAsia="hu-HU"/>
              </w:rPr>
            </w:pPr>
          </w:p>
        </w:tc>
      </w:tr>
      <w:tr w:rsidR="009B01B1" w:rsidTr="009B01B1">
        <w:tc>
          <w:tcPr>
            <w:tcW w:w="4855" w:type="dxa"/>
            <w:tcBorders>
              <w:top w:val="single" w:sz="4" w:space="0" w:color="auto"/>
              <w:left w:val="nil"/>
              <w:bottom w:val="nil"/>
              <w:right w:val="nil"/>
            </w:tcBorders>
            <w:hideMark/>
          </w:tcPr>
          <w:p w:rsidR="009B01B1" w:rsidRDefault="009B01B1">
            <w:pPr>
              <w:spacing w:after="0" w:line="240" w:lineRule="auto"/>
              <w:jc w:val="center"/>
              <w:rPr>
                <w:rFonts w:ascii="Times New Roman" w:eastAsia="Times New Roman" w:hAnsi="Times New Roman" w:cs="Times New Roman"/>
                <w:b/>
                <w:lang w:eastAsia="hu-HU"/>
              </w:rPr>
            </w:pPr>
            <w:r>
              <w:rPr>
                <w:rFonts w:ascii="Times New Roman" w:eastAsia="Times New Roman" w:hAnsi="Times New Roman" w:cs="Times New Roman"/>
                <w:b/>
                <w:lang w:eastAsia="hu-HU"/>
              </w:rPr>
              <w:t>Hadtudományi és Honvédtisztképző Kar</w:t>
            </w:r>
          </w:p>
        </w:tc>
        <w:tc>
          <w:tcPr>
            <w:tcW w:w="1620" w:type="dxa"/>
          </w:tcPr>
          <w:p w:rsidR="009B01B1" w:rsidRDefault="009B01B1">
            <w:pPr>
              <w:spacing w:after="0" w:line="240" w:lineRule="auto"/>
              <w:jc w:val="both"/>
              <w:rPr>
                <w:rFonts w:ascii="Times New Roman" w:eastAsia="Times New Roman" w:hAnsi="Times New Roman" w:cs="Times New Roman"/>
                <w:lang w:eastAsia="hu-HU"/>
              </w:rPr>
            </w:pPr>
          </w:p>
        </w:tc>
        <w:tc>
          <w:tcPr>
            <w:tcW w:w="2597" w:type="dxa"/>
          </w:tcPr>
          <w:p w:rsidR="009B01B1" w:rsidRDefault="009B01B1">
            <w:pPr>
              <w:spacing w:after="0" w:line="240" w:lineRule="auto"/>
              <w:jc w:val="both"/>
              <w:rPr>
                <w:rFonts w:ascii="Times New Roman" w:eastAsia="Times New Roman" w:hAnsi="Times New Roman" w:cs="Times New Roman"/>
                <w:lang w:eastAsia="hu-HU"/>
              </w:rPr>
            </w:pPr>
          </w:p>
        </w:tc>
      </w:tr>
    </w:tbl>
    <w:p w:rsidR="009B01B1" w:rsidRDefault="009B01B1" w:rsidP="009B01B1">
      <w:pPr>
        <w:widowControl w:val="0"/>
        <w:spacing w:before="120" w:after="120" w:line="240" w:lineRule="auto"/>
        <w:ind w:left="426" w:hanging="142"/>
        <w:jc w:val="center"/>
        <w:rPr>
          <w:rFonts w:ascii="Times New Roman" w:eastAsia="Times New Roman" w:hAnsi="Times New Roman" w:cs="Times New Roman"/>
          <w:b/>
          <w:bCs/>
        </w:rPr>
      </w:pPr>
    </w:p>
    <w:p w:rsidR="009B01B1" w:rsidRDefault="009B01B1" w:rsidP="009B01B1">
      <w:pPr>
        <w:widowControl w:val="0"/>
        <w:spacing w:before="120" w:after="120" w:line="240" w:lineRule="auto"/>
        <w:ind w:left="426" w:hanging="142"/>
        <w:jc w:val="center"/>
        <w:rPr>
          <w:rFonts w:ascii="Times New Roman" w:eastAsia="Times New Roman" w:hAnsi="Times New Roman" w:cs="Times New Roman"/>
          <w:b/>
          <w:bCs/>
        </w:rPr>
      </w:pPr>
      <w:r>
        <w:rPr>
          <w:rFonts w:ascii="Times New Roman" w:eastAsia="Times New Roman" w:hAnsi="Times New Roman" w:cs="Times New Roman"/>
          <w:b/>
          <w:bCs/>
        </w:rPr>
        <w:t>TANTÁRGYI PROGRAM</w:t>
      </w:r>
    </w:p>
    <w:p w:rsidR="009B01B1" w:rsidRDefault="009B01B1" w:rsidP="00C14833">
      <w:pPr>
        <w:widowControl w:val="0"/>
        <w:numPr>
          <w:ilvl w:val="0"/>
          <w:numId w:val="134"/>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 tantárgy kódja: </w:t>
      </w:r>
      <w:r>
        <w:rPr>
          <w:rFonts w:ascii="Times New Roman" w:eastAsia="Times New Roman" w:hAnsi="Times New Roman" w:cs="Times New Roman"/>
          <w:bCs/>
          <w:lang w:eastAsia="hu-HU"/>
        </w:rPr>
        <w:t>HKHPKA14</w:t>
      </w:r>
    </w:p>
    <w:p w:rsidR="009B01B1" w:rsidRDefault="009B01B1" w:rsidP="00C14833">
      <w:pPr>
        <w:widowControl w:val="0"/>
        <w:numPr>
          <w:ilvl w:val="0"/>
          <w:numId w:val="134"/>
        </w:numPr>
        <w:spacing w:before="120" w:after="120" w:line="240" w:lineRule="auto"/>
        <w:ind w:left="426" w:hanging="142"/>
        <w:jc w:val="both"/>
        <w:rPr>
          <w:rFonts w:ascii="Times New Roman" w:eastAsia="Times New Roman" w:hAnsi="Times New Roman" w:cs="Times New Roman"/>
          <w:b/>
          <w:bCs/>
          <w:lang w:val="en-GB"/>
        </w:rPr>
      </w:pPr>
      <w:r>
        <w:rPr>
          <w:rFonts w:ascii="Times New Roman" w:eastAsia="Times New Roman" w:hAnsi="Times New Roman" w:cs="Times New Roman"/>
          <w:b/>
          <w:bCs/>
        </w:rPr>
        <w:t>A tantárgy megnevezése (magyarul):</w:t>
      </w:r>
      <w:r>
        <w:rPr>
          <w:rFonts w:ascii="Times New Roman" w:eastAsia="Times New Roman" w:hAnsi="Times New Roman" w:cs="Times New Roman"/>
          <w:bCs/>
        </w:rPr>
        <w:t xml:space="preserve"> Lövészzászlóalj műveleteinek logisztikai támogatása I.</w:t>
      </w:r>
    </w:p>
    <w:p w:rsidR="009B01B1" w:rsidRDefault="009B01B1" w:rsidP="00C14833">
      <w:pPr>
        <w:widowControl w:val="0"/>
        <w:numPr>
          <w:ilvl w:val="0"/>
          <w:numId w:val="134"/>
        </w:numPr>
        <w:tabs>
          <w:tab w:val="num" w:pos="567"/>
        </w:tabs>
        <w:spacing w:before="120" w:after="120" w:line="240" w:lineRule="auto"/>
        <w:ind w:left="426" w:hanging="142"/>
        <w:jc w:val="both"/>
        <w:rPr>
          <w:rFonts w:ascii="Times New Roman" w:eastAsia="Times New Roman" w:hAnsi="Times New Roman" w:cs="Times New Roman"/>
          <w:b/>
          <w:bCs/>
          <w:lang w:val="en-GB"/>
        </w:rPr>
      </w:pPr>
      <w:r>
        <w:rPr>
          <w:rFonts w:ascii="Times New Roman" w:eastAsia="Times New Roman" w:hAnsi="Times New Roman" w:cs="Times New Roman"/>
          <w:b/>
          <w:bCs/>
        </w:rPr>
        <w:t xml:space="preserve">A tantárgy megnevezése (angolul): </w:t>
      </w:r>
      <w:r>
        <w:rPr>
          <w:rFonts w:ascii="Times New Roman" w:eastAsia="Times New Roman" w:hAnsi="Times New Roman" w:cs="Times New Roman"/>
          <w:bCs/>
        </w:rPr>
        <w:t>Logistic support of infantry battalion’s operations I.</w:t>
      </w:r>
    </w:p>
    <w:p w:rsidR="009B01B1" w:rsidRDefault="009B01B1" w:rsidP="00C14833">
      <w:pPr>
        <w:widowControl w:val="0"/>
        <w:numPr>
          <w:ilvl w:val="0"/>
          <w:numId w:val="134"/>
        </w:numPr>
        <w:tabs>
          <w:tab w:val="num" w:pos="567"/>
        </w:tabs>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Kreditérték és képzési karakter: </w:t>
      </w:r>
    </w:p>
    <w:p w:rsidR="009B01B1" w:rsidRDefault="009B01B1" w:rsidP="00C14833">
      <w:pPr>
        <w:pStyle w:val="Listaszerbekezds"/>
        <w:widowControl w:val="0"/>
        <w:numPr>
          <w:ilvl w:val="1"/>
          <w:numId w:val="134"/>
        </w:numPr>
        <w:tabs>
          <w:tab w:val="clear" w:pos="3977"/>
          <w:tab w:val="num" w:pos="2275"/>
        </w:tabs>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2 kredit</w:t>
      </w:r>
    </w:p>
    <w:p w:rsidR="009B01B1" w:rsidRDefault="009B01B1" w:rsidP="00C14833">
      <w:pPr>
        <w:pStyle w:val="Listaszerbekezds"/>
        <w:widowControl w:val="0"/>
        <w:numPr>
          <w:ilvl w:val="1"/>
          <w:numId w:val="134"/>
        </w:numPr>
        <w:tabs>
          <w:tab w:val="clear" w:pos="3977"/>
          <w:tab w:val="num" w:pos="2275"/>
        </w:tabs>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a tantárgy elméleti vagy gyakorlati jellegének mértéke: 50</w:t>
      </w:r>
      <w:r>
        <w:rPr>
          <w:rFonts w:ascii="Times New Roman" w:eastAsia="Times New Roman" w:hAnsi="Times New Roman" w:cs="Times New Roman"/>
          <w:b/>
          <w:bCs/>
        </w:rPr>
        <w:t xml:space="preserve"> </w:t>
      </w:r>
      <w:r>
        <w:rPr>
          <w:rFonts w:ascii="Times New Roman" w:eastAsia="Times New Roman" w:hAnsi="Times New Roman" w:cs="Times New Roman"/>
          <w:bCs/>
        </w:rPr>
        <w:t>% gyakorlat, 50 % elmélet</w:t>
      </w:r>
    </w:p>
    <w:p w:rsidR="009B01B1" w:rsidRDefault="009B01B1" w:rsidP="00C14833">
      <w:pPr>
        <w:widowControl w:val="0"/>
        <w:numPr>
          <w:ilvl w:val="0"/>
          <w:numId w:val="134"/>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szak(ok), szakirányok/specializációk megnevezése (ahol oktatják):</w:t>
      </w:r>
      <w:r>
        <w:rPr>
          <w:rFonts w:ascii="Times New Roman" w:eastAsia="Times New Roman" w:hAnsi="Times New Roman" w:cs="Times New Roman"/>
          <w:bCs/>
        </w:rPr>
        <w:t xml:space="preserve"> </w:t>
      </w:r>
      <w:r>
        <w:rPr>
          <w:rFonts w:ascii="Times New Roman" w:hAnsi="Times New Roman" w:cs="Times New Roman"/>
          <w:bCs/>
        </w:rPr>
        <w:t>Katonai logisztika alapképzési szak minden specializáció</w:t>
      </w:r>
    </w:p>
    <w:p w:rsidR="009B01B1" w:rsidRDefault="009B01B1" w:rsidP="00C14833">
      <w:pPr>
        <w:widowControl w:val="0"/>
        <w:numPr>
          <w:ilvl w:val="0"/>
          <w:numId w:val="134"/>
        </w:numPr>
        <w:tabs>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Az oktatásért felelős oktatási szervezeti egység megnevezése: </w:t>
      </w:r>
      <w:r>
        <w:rPr>
          <w:rFonts w:ascii="Times New Roman" w:hAnsi="Times New Roman" w:cs="Times New Roman"/>
          <w:bCs/>
        </w:rPr>
        <w:t>NKE HHK Hadtáp, Pénzügyi és Katonai Közlekedési Tanszék</w:t>
      </w:r>
    </w:p>
    <w:p w:rsidR="009B01B1" w:rsidRDefault="009B01B1" w:rsidP="00C14833">
      <w:pPr>
        <w:widowControl w:val="0"/>
        <w:numPr>
          <w:ilvl w:val="0"/>
          <w:numId w:val="134"/>
        </w:numPr>
        <w:tabs>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tantárgyfelelős oktató neve, beosztása, tudományos fokozata:</w:t>
      </w:r>
      <w:r>
        <w:rPr>
          <w:rFonts w:ascii="Times New Roman" w:eastAsia="Times New Roman" w:hAnsi="Times New Roman" w:cs="Times New Roman"/>
          <w:bCs/>
        </w:rPr>
        <w:t xml:space="preserve"> </w:t>
      </w:r>
      <w:r>
        <w:rPr>
          <w:rFonts w:ascii="Times New Roman" w:hAnsi="Times New Roman" w:cs="Times New Roman"/>
          <w:bCs/>
        </w:rPr>
        <w:t>Dr. Pohl Árpád, egyetemi docens, (PhD)</w:t>
      </w:r>
    </w:p>
    <w:p w:rsidR="009B01B1" w:rsidRDefault="009B01B1" w:rsidP="00C14833">
      <w:pPr>
        <w:widowControl w:val="0"/>
        <w:numPr>
          <w:ilvl w:val="0"/>
          <w:numId w:val="134"/>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tanórák száma és típusa</w:t>
      </w:r>
    </w:p>
    <w:p w:rsidR="009B01B1" w:rsidRDefault="009B01B1" w:rsidP="00C14833">
      <w:pPr>
        <w:widowControl w:val="0"/>
        <w:numPr>
          <w:ilvl w:val="1"/>
          <w:numId w:val="134"/>
        </w:numPr>
        <w:tabs>
          <w:tab w:val="clear" w:pos="3977"/>
          <w:tab w:val="num" w:pos="709"/>
          <w:tab w:val="num" w:pos="2069"/>
          <w:tab w:val="num" w:pos="2275"/>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össz óraszám/félév: 28</w:t>
      </w:r>
    </w:p>
    <w:p w:rsidR="009B01B1" w:rsidRDefault="009B01B1" w:rsidP="00C14833">
      <w:pPr>
        <w:widowControl w:val="0"/>
        <w:numPr>
          <w:ilvl w:val="2"/>
          <w:numId w:val="134"/>
        </w:numPr>
        <w:tabs>
          <w:tab w:val="num" w:pos="709"/>
          <w:tab w:val="num" w:pos="1134"/>
        </w:tabs>
        <w:spacing w:before="120" w:after="120" w:line="240" w:lineRule="auto"/>
        <w:ind w:left="993" w:hanging="425"/>
        <w:jc w:val="both"/>
        <w:rPr>
          <w:rFonts w:ascii="Times New Roman" w:eastAsia="Times New Roman" w:hAnsi="Times New Roman" w:cs="Times New Roman"/>
          <w:bCs/>
        </w:rPr>
      </w:pPr>
      <w:r>
        <w:rPr>
          <w:rFonts w:ascii="Times New Roman" w:eastAsia="Times New Roman" w:hAnsi="Times New Roman" w:cs="Times New Roman"/>
          <w:bCs/>
        </w:rPr>
        <w:t>nappali munkarend: (14 EA + 0 SZ + 14 GY)</w:t>
      </w:r>
    </w:p>
    <w:p w:rsidR="009B01B1" w:rsidRDefault="009B01B1" w:rsidP="00C14833">
      <w:pPr>
        <w:widowControl w:val="0"/>
        <w:numPr>
          <w:ilvl w:val="2"/>
          <w:numId w:val="134"/>
        </w:numPr>
        <w:tabs>
          <w:tab w:val="num" w:pos="709"/>
          <w:tab w:val="num" w:pos="1134"/>
        </w:tabs>
        <w:spacing w:before="120" w:after="120" w:line="240" w:lineRule="auto"/>
        <w:ind w:left="993" w:hanging="425"/>
        <w:jc w:val="both"/>
        <w:rPr>
          <w:rFonts w:ascii="Times New Roman" w:eastAsia="Times New Roman" w:hAnsi="Times New Roman" w:cs="Times New Roman"/>
          <w:bCs/>
        </w:rPr>
      </w:pPr>
      <w:r>
        <w:rPr>
          <w:rFonts w:ascii="Times New Roman" w:eastAsia="Times New Roman" w:hAnsi="Times New Roman" w:cs="Times New Roman"/>
          <w:bCs/>
        </w:rPr>
        <w:t>levelező munkarend: -</w:t>
      </w:r>
    </w:p>
    <w:p w:rsidR="009B01B1" w:rsidRDefault="009B01B1" w:rsidP="00C14833">
      <w:pPr>
        <w:widowControl w:val="0"/>
        <w:numPr>
          <w:ilvl w:val="1"/>
          <w:numId w:val="134"/>
        </w:numPr>
        <w:tabs>
          <w:tab w:val="clear" w:pos="3977"/>
          <w:tab w:val="num" w:pos="709"/>
          <w:tab w:val="num" w:pos="2069"/>
          <w:tab w:val="num" w:pos="2275"/>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heti óraszám - nappali munkarend: 2</w:t>
      </w:r>
    </w:p>
    <w:p w:rsidR="009B01B1" w:rsidRDefault="009B01B1" w:rsidP="00C14833">
      <w:pPr>
        <w:widowControl w:val="0"/>
        <w:numPr>
          <w:ilvl w:val="1"/>
          <w:numId w:val="134"/>
        </w:numPr>
        <w:tabs>
          <w:tab w:val="clear" w:pos="3977"/>
          <w:tab w:val="num" w:pos="709"/>
          <w:tab w:val="num" w:pos="2069"/>
          <w:tab w:val="num" w:pos="2275"/>
        </w:tabs>
        <w:spacing w:before="120" w:after="120" w:line="240" w:lineRule="auto"/>
        <w:ind w:left="851" w:hanging="425"/>
        <w:jc w:val="both"/>
        <w:rPr>
          <w:rFonts w:ascii="Times New Roman" w:eastAsia="Times New Roman" w:hAnsi="Times New Roman" w:cs="Times New Roman"/>
          <w:bCs/>
        </w:rPr>
      </w:pPr>
      <w:r>
        <w:rPr>
          <w:rFonts w:ascii="Times New Roman" w:hAnsi="Times New Roman" w:cs="Times New Roman"/>
        </w:rPr>
        <w:t>Az ismeret átadásában alkalmazandó további sajátos módok, jellemzők:</w:t>
      </w:r>
      <w:r>
        <w:rPr>
          <w:rFonts w:ascii="Times New Roman" w:hAnsi="Times New Roman" w:cs="Times New Roman"/>
          <w:i/>
        </w:rPr>
        <w:t xml:space="preserve"> –.</w:t>
      </w:r>
    </w:p>
    <w:p w:rsidR="009B01B1" w:rsidRDefault="009B01B1" w:rsidP="00C14833">
      <w:pPr>
        <w:widowControl w:val="0"/>
        <w:numPr>
          <w:ilvl w:val="0"/>
          <w:numId w:val="134"/>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 tantárgy szakmai tartalma (magyarul): </w:t>
      </w:r>
      <w:r>
        <w:rPr>
          <w:rFonts w:ascii="Times New Roman" w:eastAsia="Times New Roman" w:hAnsi="Times New Roman" w:cs="Times New Roman"/>
          <w:bCs/>
        </w:rPr>
        <w:t>megismertetni a honvéd tisztjelöltekkel a NATO-logisztika fogalmát, területeit, funkcióit, alapelveit és eljárásait, az előállítói és a felhasználói logisztika lényegét, továbbá a befogadó nemzeti támogatást és a többnemzeti logisztikát, valamint a Magyar Honvédség logisztikai rendszerét és feladatait.</w:t>
      </w:r>
    </w:p>
    <w:p w:rsidR="009B01B1" w:rsidRDefault="009B01B1" w:rsidP="009B01B1">
      <w:pPr>
        <w:widowControl w:val="0"/>
        <w:spacing w:before="120" w:after="120" w:line="240" w:lineRule="auto"/>
        <w:ind w:left="426"/>
        <w:jc w:val="both"/>
        <w:rPr>
          <w:rFonts w:ascii="Times New Roman" w:eastAsia="Times New Roman" w:hAnsi="Times New Roman" w:cs="Times New Roman"/>
          <w:bCs/>
          <w:lang w:val="en-GB"/>
        </w:rPr>
      </w:pPr>
      <w:r>
        <w:rPr>
          <w:rFonts w:ascii="Times New Roman" w:eastAsia="Times New Roman" w:hAnsi="Times New Roman" w:cs="Times New Roman"/>
          <w:b/>
          <w:bCs/>
        </w:rPr>
        <w:t>A tantárgy szakmai tartalma (angolul) (</w:t>
      </w:r>
      <w:r>
        <w:rPr>
          <w:rFonts w:ascii="Times New Roman" w:eastAsia="Times New Roman" w:hAnsi="Times New Roman" w:cs="Times New Roman"/>
          <w:b/>
          <w:bCs/>
          <w:lang w:val="en-US"/>
        </w:rPr>
        <w:t>Course description</w:t>
      </w:r>
      <w:r>
        <w:rPr>
          <w:rFonts w:ascii="Times New Roman" w:eastAsia="Times New Roman" w:hAnsi="Times New Roman" w:cs="Times New Roman"/>
          <w:b/>
          <w:bCs/>
        </w:rPr>
        <w:t xml:space="preserve">): </w:t>
      </w:r>
      <w:r>
        <w:rPr>
          <w:rFonts w:ascii="Times New Roman" w:eastAsia="Times New Roman" w:hAnsi="Times New Roman" w:cs="Times New Roman"/>
          <w:bCs/>
        </w:rPr>
        <w:t>During the course, cadets will learn about peace support operations and their logistic support, crisis response operations, crisis management and logistic support of crisis management. Cadets will get familiar with the structure, capabilities, march, attack and defence operations as well as the logistic support of the infantry battalion.</w:t>
      </w:r>
    </w:p>
    <w:p w:rsidR="009B01B1" w:rsidRDefault="009B01B1" w:rsidP="00C14833">
      <w:pPr>
        <w:pStyle w:val="Listaszerbekezds"/>
        <w:widowControl w:val="0"/>
        <w:numPr>
          <w:ilvl w:val="0"/>
          <w:numId w:val="134"/>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Elérendő kompetenciák (magyarul):</w:t>
      </w:r>
      <w:r>
        <w:rPr>
          <w:rFonts w:ascii="Times New Roman" w:eastAsia="Times New Roman" w:hAnsi="Times New Roman" w:cs="Times New Roman"/>
          <w:bCs/>
        </w:rPr>
        <w:t xml:space="preserve"> </w:t>
      </w:r>
    </w:p>
    <w:p w:rsidR="009B01B1" w:rsidRDefault="009B01B1" w:rsidP="009B01B1">
      <w:pPr>
        <w:widowControl w:val="0"/>
        <w:spacing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Tudása:</w:t>
      </w:r>
    </w:p>
    <w:p w:rsidR="009B01B1" w:rsidRDefault="009B01B1" w:rsidP="00E646A8">
      <w:pPr>
        <w:widowControl w:val="0"/>
        <w:spacing w:before="120" w:after="120" w:line="240" w:lineRule="auto"/>
        <w:ind w:left="851" w:hanging="218"/>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Ismeri az összfegyvernemi harc megvívásával kapcsolatos alapismereteket, annak főbb jellemzőit, a harctámogatás, a harckiszolgáló támogatás, a haderőnemek, a fegyvernemek és szakcsapatok szervezeti felépítését, harceljárásait.</w:t>
      </w:r>
    </w:p>
    <w:p w:rsidR="009B01B1" w:rsidRDefault="009B01B1" w:rsidP="00E646A8">
      <w:pPr>
        <w:widowControl w:val="0"/>
        <w:spacing w:before="120" w:after="120" w:line="240" w:lineRule="auto"/>
        <w:ind w:left="851" w:hanging="218"/>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Részletesen ismeri az általános logisztikai tevékenység egyes műveleteit, folyamatait.</w:t>
      </w:r>
    </w:p>
    <w:p w:rsidR="009B01B1" w:rsidRDefault="009B01B1" w:rsidP="009B01B1">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Képességei:</w:t>
      </w:r>
      <w:r>
        <w:rPr>
          <w:rFonts w:ascii="Times New Roman" w:eastAsia="Times New Roman" w:hAnsi="Times New Roman" w:cs="Times New Roman"/>
          <w:bCs/>
        </w:rPr>
        <w:t xml:space="preserve"> </w:t>
      </w:r>
    </w:p>
    <w:p w:rsidR="009B01B1" w:rsidRDefault="009B01B1" w:rsidP="00E646A8">
      <w:pPr>
        <w:widowControl w:val="0"/>
        <w:spacing w:before="120" w:after="120" w:line="240" w:lineRule="auto"/>
        <w:ind w:left="851" w:hanging="218"/>
        <w:contextualSpacing/>
        <w:jc w:val="both"/>
        <w:rPr>
          <w:rFonts w:ascii="Times New Roman" w:hAnsi="Times New Roman" w:cs="Times New Roman"/>
        </w:rPr>
      </w:pPr>
      <w:r>
        <w:rPr>
          <w:rFonts w:ascii="Times New Roman" w:hAnsi="Times New Roman" w:cs="Times New Roman"/>
          <w:bCs/>
        </w:rPr>
        <w:t>-</w:t>
      </w:r>
      <w:r>
        <w:rPr>
          <w:rFonts w:ascii="Times New Roman" w:hAnsi="Times New Roman" w:cs="Times New Roman"/>
          <w:bCs/>
        </w:rPr>
        <w:tab/>
      </w:r>
      <w:r w:rsidRPr="00E646A8">
        <w:rPr>
          <w:rFonts w:ascii="Times New Roman" w:eastAsia="Times New Roman" w:hAnsi="Times New Roman"/>
          <w:bCs/>
        </w:rPr>
        <w:t>Képes</w:t>
      </w:r>
      <w:r>
        <w:rPr>
          <w:rFonts w:ascii="Times New Roman" w:hAnsi="Times New Roman" w:cs="Times New Roman"/>
          <w:bCs/>
        </w:rPr>
        <w:t xml:space="preserve"> a logisztikai folyamatok és a Magyar Honvédség logisztikai rendszere közötti kapcsolatok, illetve összefüggések értelmezésére és azok beosztottak felé történő átadására.</w:t>
      </w:r>
    </w:p>
    <w:p w:rsidR="009B01B1" w:rsidRDefault="009B01B1" w:rsidP="009B01B1">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Attitűdje:</w:t>
      </w:r>
      <w:r>
        <w:rPr>
          <w:rFonts w:ascii="Times New Roman" w:eastAsia="Times New Roman" w:hAnsi="Times New Roman" w:cs="Times New Roman"/>
          <w:bCs/>
        </w:rPr>
        <w:t xml:space="preserve"> </w:t>
      </w:r>
    </w:p>
    <w:p w:rsidR="009B01B1" w:rsidRDefault="009B01B1" w:rsidP="00E646A8">
      <w:pPr>
        <w:widowControl w:val="0"/>
        <w:spacing w:before="120" w:after="120" w:line="240" w:lineRule="auto"/>
        <w:ind w:left="851" w:hanging="218"/>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Felismeri a rendszerszintű tevékenységben rejlő értékeket, törekszik a logisztikai tevékenységek közötti kapcsolatok értelmezésére.</w:t>
      </w:r>
    </w:p>
    <w:p w:rsidR="009B01B1" w:rsidRDefault="009B01B1" w:rsidP="00E646A8">
      <w:pPr>
        <w:widowControl w:val="0"/>
        <w:spacing w:before="120" w:after="120" w:line="240" w:lineRule="auto"/>
        <w:ind w:left="851" w:hanging="218"/>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Feladatainak végrehajtása során az együttműködésre törekszik.</w:t>
      </w:r>
    </w:p>
    <w:p w:rsidR="009B01B1" w:rsidRDefault="009B01B1" w:rsidP="00E646A8">
      <w:pPr>
        <w:widowControl w:val="0"/>
        <w:spacing w:before="120" w:after="120" w:line="240" w:lineRule="auto"/>
        <w:ind w:left="851" w:hanging="218"/>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Tevékenységét a hatékonyság központú szemlélet jellemzi.</w:t>
      </w:r>
    </w:p>
    <w:p w:rsidR="009B01B1" w:rsidRDefault="009B01B1" w:rsidP="009B01B1">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lastRenderedPageBreak/>
        <w:t>Autonómiája és felelőssége:</w:t>
      </w:r>
    </w:p>
    <w:p w:rsidR="009B01B1" w:rsidRDefault="009B01B1" w:rsidP="00E646A8">
      <w:pPr>
        <w:widowControl w:val="0"/>
        <w:spacing w:before="120" w:after="120" w:line="240" w:lineRule="auto"/>
        <w:ind w:left="851" w:hanging="218"/>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Az alegység szintű katonai logisztikai folyamatokban képes önállóan döntéseket hozni, azokat felelősséggel, a jogszabályi keretek figyelembevételével végrehajtani.</w:t>
      </w:r>
    </w:p>
    <w:p w:rsidR="009B01B1" w:rsidRDefault="009B01B1" w:rsidP="00E646A8">
      <w:pPr>
        <w:widowControl w:val="0"/>
        <w:spacing w:before="120" w:after="120" w:line="240" w:lineRule="auto"/>
        <w:ind w:left="851" w:hanging="218"/>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Tisztában van döntéseinek, tevékenységének a műszaki eszközökre, illetve a gazdálkodási fegyelemre gyakorolt hatásaival, következményeivel.</w:t>
      </w:r>
    </w:p>
    <w:p w:rsidR="009B01B1" w:rsidRDefault="009B01B1" w:rsidP="00E646A8">
      <w:pPr>
        <w:widowControl w:val="0"/>
        <w:spacing w:before="120" w:after="120" w:line="240" w:lineRule="auto"/>
        <w:ind w:left="851" w:hanging="218"/>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Felelősséget vállal a vezetése alatt álló beosztottjainak szakmai tevékenységéért.</w:t>
      </w:r>
    </w:p>
    <w:p w:rsidR="00E646A8" w:rsidRPr="00E646A8" w:rsidRDefault="00E646A8" w:rsidP="009B01B1">
      <w:pPr>
        <w:widowControl w:val="0"/>
        <w:spacing w:before="120" w:after="0" w:line="240" w:lineRule="auto"/>
        <w:ind w:left="425"/>
        <w:jc w:val="both"/>
        <w:rPr>
          <w:rFonts w:ascii="Times New Roman" w:eastAsia="Times New Roman" w:hAnsi="Times New Roman" w:cs="Times New Roman"/>
          <w:b/>
          <w:bCs/>
          <w:sz w:val="10"/>
        </w:rPr>
      </w:pPr>
    </w:p>
    <w:p w:rsidR="009B01B1" w:rsidRDefault="009B01B1" w:rsidP="009B01B1">
      <w:pPr>
        <w:widowControl w:val="0"/>
        <w:spacing w:before="120" w:after="0" w:line="240" w:lineRule="auto"/>
        <w:ind w:left="425"/>
        <w:jc w:val="both"/>
        <w:rPr>
          <w:rFonts w:ascii="Times New Roman" w:eastAsia="Times New Roman" w:hAnsi="Times New Roman" w:cs="Times New Roman"/>
          <w:b/>
          <w:bCs/>
          <w:lang w:val="en-US"/>
        </w:rPr>
      </w:pPr>
      <w:r>
        <w:rPr>
          <w:rFonts w:ascii="Times New Roman" w:eastAsia="Times New Roman" w:hAnsi="Times New Roman" w:cs="Times New Roman"/>
          <w:b/>
          <w:bCs/>
        </w:rPr>
        <w:t>Elérendő kompetenciák (angolul) (</w:t>
      </w:r>
      <w:r>
        <w:rPr>
          <w:rFonts w:ascii="Times New Roman" w:eastAsia="Times New Roman" w:hAnsi="Times New Roman" w:cs="Times New Roman"/>
          <w:b/>
          <w:bCs/>
          <w:lang w:val="en-US"/>
        </w:rPr>
        <w:t xml:space="preserve">Competences – English): </w:t>
      </w:r>
    </w:p>
    <w:p w:rsidR="009B01B1" w:rsidRDefault="009B01B1" w:rsidP="009B01B1">
      <w:pPr>
        <w:widowControl w:val="0"/>
        <w:spacing w:before="120" w:after="0" w:line="240" w:lineRule="auto"/>
        <w:ind w:left="425"/>
        <w:jc w:val="both"/>
        <w:rPr>
          <w:rFonts w:ascii="Times New Roman" w:eastAsia="Times New Roman" w:hAnsi="Times New Roman" w:cs="Times New Roman"/>
          <w:lang w:val="en-GB"/>
        </w:rPr>
      </w:pPr>
      <w:r>
        <w:rPr>
          <w:rFonts w:ascii="Times New Roman" w:eastAsia="Times New Roman" w:hAnsi="Times New Roman" w:cs="Times New Roman"/>
          <w:b/>
          <w:lang w:val="en-GB"/>
        </w:rPr>
        <w:t>Knowledge</w:t>
      </w:r>
      <w:r>
        <w:rPr>
          <w:rFonts w:ascii="Times New Roman" w:eastAsia="Times New Roman" w:hAnsi="Times New Roman" w:cs="Times New Roman"/>
          <w:lang w:val="en-GB"/>
        </w:rPr>
        <w:t xml:space="preserve">: </w:t>
      </w:r>
    </w:p>
    <w:p w:rsidR="009B01B1" w:rsidRDefault="009B01B1" w:rsidP="00E646A8">
      <w:pPr>
        <w:widowControl w:val="0"/>
        <w:spacing w:before="120" w:after="120" w:line="240" w:lineRule="auto"/>
        <w:ind w:left="851" w:hanging="218"/>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Cadets are familiar with the basics and characteristics of joint operations as well as the organisational structure and doctrines of combat support, combat service support, military branches and specialised forces.</w:t>
      </w:r>
    </w:p>
    <w:p w:rsidR="009B01B1" w:rsidRDefault="009B01B1" w:rsidP="00E646A8">
      <w:pPr>
        <w:widowControl w:val="0"/>
        <w:spacing w:before="120" w:after="120" w:line="240" w:lineRule="auto"/>
        <w:ind w:left="851" w:hanging="218"/>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Cadets have a deep understanding of the general logistic operations and processes.</w:t>
      </w:r>
    </w:p>
    <w:p w:rsidR="009B01B1" w:rsidRDefault="009B01B1" w:rsidP="009B01B1">
      <w:pPr>
        <w:widowControl w:val="0"/>
        <w:spacing w:before="120" w:after="0" w:line="240" w:lineRule="auto"/>
        <w:ind w:left="425"/>
        <w:jc w:val="both"/>
        <w:rPr>
          <w:rFonts w:ascii="Times New Roman" w:eastAsia="Times New Roman" w:hAnsi="Times New Roman" w:cs="Times New Roman"/>
          <w:lang w:val="en-GB"/>
        </w:rPr>
      </w:pPr>
      <w:r>
        <w:rPr>
          <w:rFonts w:ascii="Times New Roman" w:eastAsia="Times New Roman" w:hAnsi="Times New Roman" w:cs="Times New Roman"/>
          <w:b/>
          <w:lang w:val="en-GB"/>
        </w:rPr>
        <w:t>Capabilities</w:t>
      </w:r>
      <w:r>
        <w:rPr>
          <w:rFonts w:ascii="Times New Roman" w:eastAsia="Times New Roman" w:hAnsi="Times New Roman" w:cs="Times New Roman"/>
          <w:lang w:val="en-GB"/>
        </w:rPr>
        <w:t xml:space="preserve">: </w:t>
      </w:r>
    </w:p>
    <w:p w:rsidR="009B01B1" w:rsidRDefault="009B01B1" w:rsidP="00E646A8">
      <w:pPr>
        <w:widowControl w:val="0"/>
        <w:spacing w:before="120" w:after="120" w:line="240" w:lineRule="auto"/>
        <w:ind w:left="851" w:hanging="218"/>
        <w:contextualSpacing/>
        <w:jc w:val="both"/>
        <w:rPr>
          <w:rFonts w:ascii="Times New Roman" w:eastAsia="Times New Roman" w:hAnsi="Times New Roman" w:cs="Times New Roman"/>
          <w:lang w:val="en-GB"/>
        </w:rPr>
      </w:pPr>
      <w:r>
        <w:rPr>
          <w:rFonts w:ascii="Times New Roman" w:eastAsia="Times New Roman" w:hAnsi="Times New Roman" w:cs="Times New Roman"/>
          <w:lang w:val="en-GB"/>
        </w:rPr>
        <w:t>-</w:t>
      </w:r>
      <w:r>
        <w:rPr>
          <w:rFonts w:ascii="Times New Roman" w:eastAsia="Times New Roman" w:hAnsi="Times New Roman" w:cs="Times New Roman"/>
          <w:lang w:val="en-GB"/>
        </w:rPr>
        <w:tab/>
        <w:t>Cadets are able to interpret the relationships between the logistics processes and the logistics system of the Hungarian Defence Forces and to transfer it to subordinates.</w:t>
      </w:r>
    </w:p>
    <w:p w:rsidR="009B01B1" w:rsidRDefault="009B01B1" w:rsidP="009B0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425"/>
        <w:jc w:val="both"/>
        <w:rPr>
          <w:rFonts w:ascii="Times New Roman" w:eastAsia="Times New Roman" w:hAnsi="Times New Roman" w:cs="Times New Roman"/>
          <w:lang w:val="en-GB"/>
        </w:rPr>
      </w:pPr>
      <w:r>
        <w:rPr>
          <w:rFonts w:ascii="Times New Roman" w:eastAsia="Times New Roman" w:hAnsi="Times New Roman" w:cs="Times New Roman"/>
          <w:b/>
          <w:lang w:val="en-GB"/>
        </w:rPr>
        <w:t>Attitude:</w:t>
      </w:r>
      <w:r>
        <w:rPr>
          <w:rFonts w:ascii="Times New Roman" w:eastAsia="Times New Roman" w:hAnsi="Times New Roman" w:cs="Times New Roman"/>
          <w:lang w:val="en-GB"/>
        </w:rPr>
        <w:t xml:space="preserve"> </w:t>
      </w:r>
    </w:p>
    <w:p w:rsidR="009B01B1" w:rsidRPr="00E646A8" w:rsidRDefault="009B01B1" w:rsidP="00E646A8">
      <w:pPr>
        <w:widowControl w:val="0"/>
        <w:spacing w:before="120" w:after="120" w:line="240" w:lineRule="auto"/>
        <w:ind w:left="851" w:hanging="218"/>
        <w:contextualSpacing/>
        <w:jc w:val="both"/>
        <w:rPr>
          <w:rFonts w:ascii="Times New Roman" w:eastAsia="Times New Roman" w:hAnsi="Times New Roman" w:cs="Times New Roman"/>
          <w:lang w:val="en-GB"/>
        </w:rPr>
      </w:pPr>
      <w:r>
        <w:rPr>
          <w:rFonts w:ascii="Times New Roman" w:eastAsia="Times New Roman" w:hAnsi="Times New Roman"/>
          <w:bCs/>
        </w:rPr>
        <w:t>-</w:t>
      </w:r>
      <w:r>
        <w:rPr>
          <w:rFonts w:ascii="Times New Roman" w:eastAsia="Times New Roman" w:hAnsi="Times New Roman"/>
          <w:bCs/>
        </w:rPr>
        <w:tab/>
      </w:r>
      <w:r w:rsidRPr="00E646A8">
        <w:rPr>
          <w:rFonts w:ascii="Times New Roman" w:eastAsia="Times New Roman" w:hAnsi="Times New Roman" w:cs="Times New Roman"/>
          <w:lang w:val="en-GB"/>
        </w:rPr>
        <w:t>Cadets recognize the value of operating as part of a larger system; they seek to understand the relationships between logistics activities.</w:t>
      </w:r>
    </w:p>
    <w:p w:rsidR="009B01B1" w:rsidRDefault="009B01B1" w:rsidP="00E646A8">
      <w:pPr>
        <w:widowControl w:val="0"/>
        <w:spacing w:before="120" w:after="120" w:line="240" w:lineRule="auto"/>
        <w:ind w:left="851" w:hanging="218"/>
        <w:contextualSpacing/>
        <w:jc w:val="both"/>
        <w:rPr>
          <w:rFonts w:ascii="Times New Roman" w:eastAsia="Times New Roman" w:hAnsi="Times New Roman"/>
          <w:bCs/>
        </w:rPr>
      </w:pPr>
      <w:r w:rsidRPr="00E646A8">
        <w:rPr>
          <w:rFonts w:ascii="Times New Roman" w:eastAsia="Times New Roman" w:hAnsi="Times New Roman" w:cs="Times New Roman"/>
          <w:lang w:val="en-GB"/>
        </w:rPr>
        <w:t>-</w:t>
      </w:r>
      <w:r w:rsidRPr="00E646A8">
        <w:rPr>
          <w:rFonts w:ascii="Times New Roman" w:eastAsia="Times New Roman" w:hAnsi="Times New Roman" w:cs="Times New Roman"/>
          <w:lang w:val="en-GB"/>
        </w:rPr>
        <w:tab/>
        <w:t>Cadets</w:t>
      </w:r>
      <w:r>
        <w:rPr>
          <w:rFonts w:ascii="Times New Roman" w:eastAsia="Times New Roman" w:hAnsi="Times New Roman"/>
          <w:bCs/>
        </w:rPr>
        <w:t xml:space="preserve"> strive for cooperation while executing their tasks with an efficiency-oriented approach.</w:t>
      </w:r>
    </w:p>
    <w:p w:rsidR="009B01B1" w:rsidRDefault="009B01B1" w:rsidP="009B01B1">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lang w:val="en-GB"/>
        </w:rPr>
        <w:t xml:space="preserve">Autonomy and responsibility: </w:t>
      </w:r>
    </w:p>
    <w:p w:rsidR="009B01B1" w:rsidRPr="00E646A8" w:rsidRDefault="009B01B1" w:rsidP="00E646A8">
      <w:pPr>
        <w:widowControl w:val="0"/>
        <w:spacing w:before="120" w:after="120" w:line="240" w:lineRule="auto"/>
        <w:ind w:left="851" w:hanging="218"/>
        <w:contextualSpacing/>
        <w:jc w:val="both"/>
        <w:rPr>
          <w:rFonts w:ascii="Times New Roman" w:eastAsia="Times New Roman" w:hAnsi="Times New Roman" w:cs="Times New Roman"/>
          <w:lang w:val="en-GB"/>
        </w:rPr>
      </w:pPr>
      <w:r>
        <w:rPr>
          <w:rFonts w:ascii="Times New Roman" w:eastAsia="Times New Roman" w:hAnsi="Times New Roman"/>
          <w:bCs/>
        </w:rPr>
        <w:t>-</w:t>
      </w:r>
      <w:r>
        <w:rPr>
          <w:rFonts w:ascii="Times New Roman" w:eastAsia="Times New Roman" w:hAnsi="Times New Roman"/>
          <w:bCs/>
        </w:rPr>
        <w:tab/>
        <w:t xml:space="preserve">Cadets </w:t>
      </w:r>
      <w:r w:rsidRPr="00E646A8">
        <w:rPr>
          <w:rFonts w:ascii="Times New Roman" w:eastAsia="Times New Roman" w:hAnsi="Times New Roman" w:cs="Times New Roman"/>
          <w:lang w:val="en-GB"/>
        </w:rPr>
        <w:t>are able to make independent decisions at subunit level in military logistics processes, and to implement them responsibly within the legal framework.</w:t>
      </w:r>
    </w:p>
    <w:p w:rsidR="009B01B1" w:rsidRPr="00E646A8" w:rsidRDefault="009B01B1" w:rsidP="00E646A8">
      <w:pPr>
        <w:widowControl w:val="0"/>
        <w:spacing w:before="120" w:after="120" w:line="240" w:lineRule="auto"/>
        <w:ind w:left="851" w:hanging="218"/>
        <w:contextualSpacing/>
        <w:jc w:val="both"/>
        <w:rPr>
          <w:rFonts w:ascii="Times New Roman" w:eastAsia="Times New Roman" w:hAnsi="Times New Roman" w:cs="Times New Roman"/>
          <w:lang w:val="en-GB"/>
        </w:rPr>
      </w:pPr>
      <w:r w:rsidRPr="00E646A8">
        <w:rPr>
          <w:rFonts w:ascii="Times New Roman" w:eastAsia="Times New Roman" w:hAnsi="Times New Roman" w:cs="Times New Roman"/>
          <w:lang w:val="en-GB"/>
        </w:rPr>
        <w:t>-</w:t>
      </w:r>
      <w:r w:rsidRPr="00E646A8">
        <w:rPr>
          <w:rFonts w:ascii="Times New Roman" w:eastAsia="Times New Roman" w:hAnsi="Times New Roman" w:cs="Times New Roman"/>
          <w:lang w:val="en-GB"/>
        </w:rPr>
        <w:tab/>
        <w:t>Cadets are aware of the effects and consequences of their decisions and activities on technical tools and discipline.</w:t>
      </w:r>
    </w:p>
    <w:p w:rsidR="009B01B1" w:rsidRDefault="009B01B1" w:rsidP="00E646A8">
      <w:pPr>
        <w:widowControl w:val="0"/>
        <w:spacing w:before="120" w:after="120" w:line="240" w:lineRule="auto"/>
        <w:ind w:left="851" w:hanging="218"/>
        <w:contextualSpacing/>
        <w:jc w:val="both"/>
        <w:rPr>
          <w:rFonts w:ascii="Times New Roman" w:eastAsia="Times New Roman" w:hAnsi="Times New Roman"/>
          <w:bCs/>
        </w:rPr>
      </w:pPr>
      <w:r w:rsidRPr="00E646A8">
        <w:rPr>
          <w:rFonts w:ascii="Times New Roman" w:eastAsia="Times New Roman" w:hAnsi="Times New Roman" w:cs="Times New Roman"/>
          <w:lang w:val="en-GB"/>
        </w:rPr>
        <w:t>-</w:t>
      </w:r>
      <w:r w:rsidRPr="00E646A8">
        <w:rPr>
          <w:rFonts w:ascii="Times New Roman" w:eastAsia="Times New Roman" w:hAnsi="Times New Roman" w:cs="Times New Roman"/>
          <w:lang w:val="en-GB"/>
        </w:rPr>
        <w:tab/>
        <w:t>They are</w:t>
      </w:r>
      <w:r>
        <w:rPr>
          <w:rFonts w:ascii="Times New Roman" w:eastAsia="Times New Roman" w:hAnsi="Times New Roman"/>
          <w:bCs/>
        </w:rPr>
        <w:t xml:space="preserve"> responsible for the professional activities of their subordinates.</w:t>
      </w:r>
    </w:p>
    <w:p w:rsidR="00E646A8" w:rsidRDefault="00E646A8" w:rsidP="00E646A8">
      <w:pPr>
        <w:widowControl w:val="0"/>
        <w:spacing w:before="120" w:after="120" w:line="240" w:lineRule="auto"/>
        <w:ind w:left="851" w:hanging="218"/>
        <w:contextualSpacing/>
        <w:jc w:val="both"/>
        <w:rPr>
          <w:rFonts w:ascii="Times New Roman" w:eastAsia="Times New Roman" w:hAnsi="Times New Roman"/>
          <w:bCs/>
        </w:rPr>
      </w:pPr>
    </w:p>
    <w:p w:rsidR="009B01B1" w:rsidRPr="009B01B1" w:rsidRDefault="009B01B1" w:rsidP="00C14833">
      <w:pPr>
        <w:widowControl w:val="0"/>
        <w:numPr>
          <w:ilvl w:val="0"/>
          <w:numId w:val="134"/>
        </w:numPr>
        <w:tabs>
          <w:tab w:val="num" w:pos="567"/>
        </w:tabs>
        <w:spacing w:before="120" w:after="120" w:line="240" w:lineRule="auto"/>
        <w:ind w:left="426" w:hanging="142"/>
        <w:jc w:val="both"/>
        <w:rPr>
          <w:rFonts w:ascii="Times New Roman" w:eastAsia="Times New Roman" w:hAnsi="Times New Roman" w:cs="Times New Roman"/>
          <w:bCs/>
        </w:rPr>
      </w:pPr>
      <w:r w:rsidRPr="009B01B1">
        <w:rPr>
          <w:rFonts w:ascii="Times New Roman" w:eastAsia="Times New Roman" w:hAnsi="Times New Roman" w:cs="Times New Roman"/>
          <w:b/>
          <w:bCs/>
        </w:rPr>
        <w:t xml:space="preserve">Előtanulmányi követelmények: </w:t>
      </w:r>
      <w:r w:rsidRPr="009B01B1">
        <w:rPr>
          <w:rFonts w:ascii="Times New Roman" w:eastAsia="Times New Roman" w:hAnsi="Times New Roman" w:cs="Times New Roman"/>
          <w:bCs/>
        </w:rPr>
        <w:t>Logisztikai támogatás alapjai (HKHPKA13)</w:t>
      </w:r>
    </w:p>
    <w:p w:rsidR="009B01B1" w:rsidRDefault="009B01B1" w:rsidP="00C14833">
      <w:pPr>
        <w:widowControl w:val="0"/>
        <w:numPr>
          <w:ilvl w:val="0"/>
          <w:numId w:val="134"/>
        </w:numPr>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A tantárgy tananyagának leírása, tematika. Description of the subject, curriculum (magyarul, angolul - English):</w:t>
      </w:r>
    </w:p>
    <w:p w:rsidR="009B01B1" w:rsidRDefault="009B01B1" w:rsidP="00C14833">
      <w:pPr>
        <w:widowControl w:val="0"/>
        <w:numPr>
          <w:ilvl w:val="1"/>
          <w:numId w:val="134"/>
        </w:numPr>
        <w:tabs>
          <w:tab w:val="clear" w:pos="3977"/>
          <w:tab w:val="left" w:pos="709"/>
          <w:tab w:val="left" w:pos="993"/>
          <w:tab w:val="num" w:pos="2069"/>
          <w:tab w:val="num" w:pos="2275"/>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 béketámogató műveletek alapjai. </w:t>
      </w:r>
      <w:r>
        <w:rPr>
          <w:rFonts w:ascii="Times New Roman" w:eastAsia="Times New Roman" w:hAnsi="Times New Roman" w:cs="Times New Roman"/>
          <w:i/>
          <w:kern w:val="2"/>
        </w:rPr>
        <w:t>(Basics of the PSOs.)</w:t>
      </w:r>
    </w:p>
    <w:p w:rsidR="009B01B1" w:rsidRDefault="009B01B1" w:rsidP="00C14833">
      <w:pPr>
        <w:widowControl w:val="0"/>
        <w:numPr>
          <w:ilvl w:val="1"/>
          <w:numId w:val="134"/>
        </w:numPr>
        <w:tabs>
          <w:tab w:val="clear" w:pos="3977"/>
          <w:tab w:val="left" w:pos="709"/>
          <w:tab w:val="left" w:pos="993"/>
          <w:tab w:val="num" w:pos="2069"/>
          <w:tab w:val="num" w:pos="2275"/>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 béketámogató műveletek logisztikai támogatásának NATO és ENSZ elvei. </w:t>
      </w:r>
      <w:r>
        <w:rPr>
          <w:rFonts w:ascii="Times New Roman" w:eastAsia="Times New Roman" w:hAnsi="Times New Roman" w:cs="Times New Roman"/>
          <w:i/>
          <w:kern w:val="2"/>
        </w:rPr>
        <w:t>(NATO and UN principles of PSO logistic support.)</w:t>
      </w:r>
    </w:p>
    <w:p w:rsidR="009B01B1" w:rsidRDefault="009B01B1" w:rsidP="00C14833">
      <w:pPr>
        <w:widowControl w:val="0"/>
        <w:numPr>
          <w:ilvl w:val="1"/>
          <w:numId w:val="134"/>
        </w:numPr>
        <w:tabs>
          <w:tab w:val="clear" w:pos="3977"/>
          <w:tab w:val="left" w:pos="709"/>
          <w:tab w:val="left" w:pos="993"/>
          <w:tab w:val="num" w:pos="2069"/>
          <w:tab w:val="num" w:pos="2275"/>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Az MH által végrehajtott béketámogató műveletek logisztikai támogatása. </w:t>
      </w:r>
      <w:r>
        <w:rPr>
          <w:rFonts w:ascii="Times New Roman" w:eastAsia="Times New Roman" w:hAnsi="Times New Roman" w:cs="Times New Roman"/>
          <w:i/>
          <w:kern w:val="2"/>
        </w:rPr>
        <w:t>(Logistic support of the PSOs conducted by the Hungarian Defence Forces.)</w:t>
      </w:r>
    </w:p>
    <w:p w:rsidR="009B01B1" w:rsidRDefault="009B01B1" w:rsidP="00C14833">
      <w:pPr>
        <w:widowControl w:val="0"/>
        <w:numPr>
          <w:ilvl w:val="1"/>
          <w:numId w:val="134"/>
        </w:numPr>
        <w:tabs>
          <w:tab w:val="clear" w:pos="3977"/>
          <w:tab w:val="left" w:pos="709"/>
          <w:tab w:val="left" w:pos="993"/>
          <w:tab w:val="num" w:pos="2069"/>
          <w:tab w:val="num" w:pos="2275"/>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1. ZH. megírása. </w:t>
      </w:r>
      <w:r>
        <w:rPr>
          <w:rFonts w:ascii="Times New Roman" w:eastAsia="Times New Roman" w:hAnsi="Times New Roman" w:cs="Times New Roman"/>
          <w:i/>
          <w:kern w:val="2"/>
        </w:rPr>
        <w:t>(1. Test)</w:t>
      </w:r>
      <w:r>
        <w:rPr>
          <w:rFonts w:ascii="Times New Roman" w:eastAsia="Times New Roman" w:hAnsi="Times New Roman" w:cs="Times New Roman"/>
          <w:kern w:val="2"/>
        </w:rPr>
        <w:t xml:space="preserve"> A lövészzászlóalj szervezete, rendeltetése, képességei. </w:t>
      </w:r>
      <w:r>
        <w:rPr>
          <w:rFonts w:ascii="Times New Roman" w:eastAsia="Times New Roman" w:hAnsi="Times New Roman" w:cs="Times New Roman"/>
          <w:i/>
          <w:kern w:val="2"/>
        </w:rPr>
        <w:t>(Organization, mission and capabilities of the infantry battalion.)</w:t>
      </w:r>
    </w:p>
    <w:p w:rsidR="009B01B1" w:rsidRDefault="009B01B1" w:rsidP="00C14833">
      <w:pPr>
        <w:widowControl w:val="0"/>
        <w:numPr>
          <w:ilvl w:val="1"/>
          <w:numId w:val="134"/>
        </w:numPr>
        <w:tabs>
          <w:tab w:val="clear" w:pos="3977"/>
          <w:tab w:val="left" w:pos="709"/>
          <w:tab w:val="left" w:pos="993"/>
          <w:tab w:val="num" w:pos="2069"/>
          <w:tab w:val="num" w:pos="2275"/>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 lövészzászlóalj logisztikai alegységeinek szervezete, rendeltetése és képességei. </w:t>
      </w:r>
      <w:r>
        <w:rPr>
          <w:rFonts w:ascii="Times New Roman" w:eastAsia="Times New Roman" w:hAnsi="Times New Roman" w:cs="Times New Roman"/>
          <w:i/>
          <w:kern w:val="2"/>
        </w:rPr>
        <w:t>(Organization, mission and capabilities of the logistic subunits of the battalion.)</w:t>
      </w:r>
    </w:p>
    <w:p w:rsidR="009B01B1" w:rsidRDefault="009B01B1" w:rsidP="00C14833">
      <w:pPr>
        <w:widowControl w:val="0"/>
        <w:numPr>
          <w:ilvl w:val="1"/>
          <w:numId w:val="134"/>
        </w:numPr>
        <w:tabs>
          <w:tab w:val="clear" w:pos="3977"/>
          <w:tab w:val="left" w:pos="709"/>
          <w:tab w:val="left" w:pos="993"/>
          <w:tab w:val="num" w:pos="2069"/>
          <w:tab w:val="num" w:pos="2275"/>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A lövészzászlóalj főbb haditechnika eszközei, a logisztikai alegységeknél rendszeresített szaktechnikai eszközök és azok alkalmazása (csapatnál szervezett 6 órás foglalkozás</w:t>
      </w:r>
      <w:r>
        <w:rPr>
          <w:rFonts w:ascii="Times New Roman" w:eastAsia="Times New Roman" w:hAnsi="Times New Roman" w:cs="Times New Roman"/>
          <w:i/>
          <w:kern w:val="2"/>
        </w:rPr>
        <w:t>). (Main technical equipment of the infantry battalion, special logistic equipment of the logistic subunits and their using. (6 hours training with a military unit))</w:t>
      </w:r>
    </w:p>
    <w:p w:rsidR="009B01B1" w:rsidRDefault="009B01B1" w:rsidP="00C14833">
      <w:pPr>
        <w:widowControl w:val="0"/>
        <w:numPr>
          <w:ilvl w:val="1"/>
          <w:numId w:val="134"/>
        </w:numPr>
        <w:tabs>
          <w:tab w:val="clear" w:pos="3977"/>
          <w:tab w:val="left" w:pos="709"/>
          <w:tab w:val="left" w:pos="993"/>
          <w:tab w:val="num" w:pos="2069"/>
          <w:tab w:val="num" w:pos="2275"/>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 lövészzászlóalj menetének fogalma, a menet fajtái, a menetrend felépítése és a menet végrehajtása. </w:t>
      </w:r>
      <w:r>
        <w:rPr>
          <w:rFonts w:ascii="Times New Roman" w:eastAsia="Times New Roman" w:hAnsi="Times New Roman" w:cs="Times New Roman"/>
          <w:i/>
          <w:kern w:val="2"/>
        </w:rPr>
        <w:t>(Definition and types of the march of the infantry battalion, march order, and execution of the march.)</w:t>
      </w:r>
    </w:p>
    <w:p w:rsidR="009B01B1" w:rsidRDefault="009B01B1" w:rsidP="00C14833">
      <w:pPr>
        <w:widowControl w:val="0"/>
        <w:numPr>
          <w:ilvl w:val="1"/>
          <w:numId w:val="134"/>
        </w:numPr>
        <w:tabs>
          <w:tab w:val="clear" w:pos="3977"/>
          <w:tab w:val="left" w:pos="709"/>
          <w:tab w:val="left" w:pos="993"/>
          <w:tab w:val="num" w:pos="2069"/>
          <w:tab w:val="num" w:pos="2275"/>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 lövészzászlóalj menetének logisztikai és egészségügyi támogatása. </w:t>
      </w:r>
      <w:r>
        <w:rPr>
          <w:rFonts w:ascii="Times New Roman" w:eastAsia="Times New Roman" w:hAnsi="Times New Roman" w:cs="Times New Roman"/>
          <w:i/>
          <w:kern w:val="2"/>
        </w:rPr>
        <w:t>(Logistic and medical support of the infantry battalion’s march.)</w:t>
      </w:r>
    </w:p>
    <w:p w:rsidR="009B01B1" w:rsidRDefault="009B01B1" w:rsidP="00C14833">
      <w:pPr>
        <w:widowControl w:val="0"/>
        <w:numPr>
          <w:ilvl w:val="1"/>
          <w:numId w:val="134"/>
        </w:numPr>
        <w:tabs>
          <w:tab w:val="clear" w:pos="3977"/>
          <w:tab w:val="left" w:pos="709"/>
          <w:tab w:val="left" w:pos="993"/>
          <w:tab w:val="num" w:pos="2069"/>
          <w:tab w:val="num" w:pos="2275"/>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 lövészzászlóalj támadóharcának fogalma, célja, tartalma, formái, a lövészzászlóalj </w:t>
      </w:r>
      <w:r>
        <w:rPr>
          <w:rFonts w:ascii="Times New Roman" w:eastAsia="Times New Roman" w:hAnsi="Times New Roman" w:cs="Times New Roman"/>
          <w:kern w:val="2"/>
        </w:rPr>
        <w:lastRenderedPageBreak/>
        <w:t xml:space="preserve">harcfeladatai és harcrendje, a támadóharc végrehajtása. </w:t>
      </w:r>
      <w:r>
        <w:rPr>
          <w:rFonts w:ascii="Times New Roman" w:eastAsia="Times New Roman" w:hAnsi="Times New Roman" w:cs="Times New Roman"/>
          <w:i/>
          <w:kern w:val="2"/>
        </w:rPr>
        <w:t>(Definition, aim, content and types of the  infantry battalion’s attack, battle tasks and battle order of the battalion and execution of the attack.)</w:t>
      </w:r>
    </w:p>
    <w:p w:rsidR="009B01B1" w:rsidRDefault="009B01B1" w:rsidP="00C14833">
      <w:pPr>
        <w:widowControl w:val="0"/>
        <w:numPr>
          <w:ilvl w:val="1"/>
          <w:numId w:val="134"/>
        </w:numPr>
        <w:tabs>
          <w:tab w:val="clear" w:pos="3977"/>
          <w:tab w:val="left" w:pos="709"/>
          <w:tab w:val="left" w:pos="993"/>
          <w:tab w:val="num" w:pos="2069"/>
          <w:tab w:val="num" w:pos="2275"/>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 lövészzászlóalj támadóharca logisztikai támogatásának megszervezése, az anyagellátási, a helyreállítási, a szállítási és egészségügyi támogatási feladatok végrehajtása. </w:t>
      </w:r>
      <w:r>
        <w:rPr>
          <w:rFonts w:ascii="Times New Roman" w:eastAsia="Times New Roman" w:hAnsi="Times New Roman" w:cs="Times New Roman"/>
          <w:i/>
          <w:kern w:val="2"/>
        </w:rPr>
        <w:t>(Organization of the logistic support of the attack of the infantry battalion, execution of the material support, recovery, transport and medical support tasks.)</w:t>
      </w:r>
    </w:p>
    <w:p w:rsidR="009B01B1" w:rsidRDefault="009B01B1" w:rsidP="00C14833">
      <w:pPr>
        <w:widowControl w:val="0"/>
        <w:numPr>
          <w:ilvl w:val="1"/>
          <w:numId w:val="134"/>
        </w:numPr>
        <w:tabs>
          <w:tab w:val="clear" w:pos="3977"/>
          <w:tab w:val="left" w:pos="709"/>
          <w:tab w:val="left" w:pos="993"/>
          <w:tab w:val="num" w:pos="2069"/>
          <w:tab w:val="num" w:pos="2275"/>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 lövészzászlóalj védelmi harcának fogalma, célja, tartalma, formái, a védelem felépítése és a védelmi harc végrehajtása. </w:t>
      </w:r>
      <w:r>
        <w:rPr>
          <w:rFonts w:ascii="Times New Roman" w:eastAsia="Times New Roman" w:hAnsi="Times New Roman" w:cs="Times New Roman"/>
          <w:i/>
          <w:kern w:val="2"/>
        </w:rPr>
        <w:t>(Definition, aim, content and types of the infantry battalion’s defence, battle order, and execution of the defence.)</w:t>
      </w:r>
    </w:p>
    <w:p w:rsidR="009B01B1" w:rsidRDefault="009B01B1" w:rsidP="00C14833">
      <w:pPr>
        <w:widowControl w:val="0"/>
        <w:numPr>
          <w:ilvl w:val="1"/>
          <w:numId w:val="134"/>
        </w:numPr>
        <w:tabs>
          <w:tab w:val="clear" w:pos="3977"/>
          <w:tab w:val="left" w:pos="709"/>
          <w:tab w:val="left" w:pos="993"/>
          <w:tab w:val="num" w:pos="2069"/>
          <w:tab w:val="num" w:pos="2275"/>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 lövészzászlóalj védelmi harca logisztikai támogatásának megszervezése, az anyagellátási, a helyreállítási, a szállítási és egészségügyi támogatási feladatok végrehajtása. </w:t>
      </w:r>
      <w:r>
        <w:rPr>
          <w:rFonts w:ascii="Times New Roman" w:eastAsia="Times New Roman" w:hAnsi="Times New Roman" w:cs="Times New Roman"/>
          <w:i/>
          <w:kern w:val="2"/>
        </w:rPr>
        <w:t>(Organising the logistic support of the infantry battalion’s defence; execution of the material support, recovery, transport and medical support activities.)</w:t>
      </w:r>
    </w:p>
    <w:p w:rsidR="009B01B1" w:rsidRDefault="009B01B1" w:rsidP="00C14833">
      <w:pPr>
        <w:widowControl w:val="0"/>
        <w:numPr>
          <w:ilvl w:val="1"/>
          <w:numId w:val="134"/>
        </w:numPr>
        <w:tabs>
          <w:tab w:val="clear" w:pos="3977"/>
          <w:tab w:val="left" w:pos="709"/>
          <w:tab w:val="left" w:pos="993"/>
          <w:tab w:val="num" w:pos="2069"/>
          <w:tab w:val="num" w:pos="2275"/>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2. ZH. megírása. </w:t>
      </w:r>
      <w:r>
        <w:rPr>
          <w:rFonts w:ascii="Times New Roman" w:eastAsia="Times New Roman" w:hAnsi="Times New Roman" w:cs="Times New Roman"/>
          <w:i/>
          <w:kern w:val="2"/>
        </w:rPr>
        <w:t>(2. Test)</w:t>
      </w:r>
    </w:p>
    <w:p w:rsidR="009B01B1" w:rsidRDefault="009B01B1" w:rsidP="00C14833">
      <w:pPr>
        <w:widowControl w:val="0"/>
        <w:numPr>
          <w:ilvl w:val="0"/>
          <w:numId w:val="134"/>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 tantárgy meghirdetésének gyakorisága/a tantervben történő félévi elhelyezkedése: </w:t>
      </w:r>
      <w:r>
        <w:rPr>
          <w:rFonts w:ascii="Times New Roman" w:eastAsia="Times New Roman" w:hAnsi="Times New Roman" w:cs="Times New Roman"/>
          <w:bCs/>
        </w:rPr>
        <w:t>Minden őszi szemeszterben / 5. félév</w:t>
      </w:r>
    </w:p>
    <w:p w:rsidR="009B01B1" w:rsidRDefault="009B01B1" w:rsidP="00C14833">
      <w:pPr>
        <w:widowControl w:val="0"/>
        <w:numPr>
          <w:ilvl w:val="0"/>
          <w:numId w:val="134"/>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tanórákon való részvétel követelményei, az elfogadható hiányzások mértéke, a távolmaradás pótlásának lehetősége:</w:t>
      </w:r>
      <w:r>
        <w:rPr>
          <w:rFonts w:ascii="Times New Roman" w:eastAsia="Times New Roman" w:hAnsi="Times New Roman" w:cs="Times New Roman"/>
          <w:bCs/>
        </w:rPr>
        <w:t xml:space="preserve"> Az órákon való részvétel legalább 75 %-ban kötelező. A hallgatónak a kimaradt tananyagot önképzés keretén belül kell elsajátítani. A kimaradt elméleti tananyag jobb megértése érdekében az oktatók konzultációs lehetőséget biztosíthatnak.</w:t>
      </w:r>
    </w:p>
    <w:p w:rsidR="009B01B1" w:rsidRDefault="009B01B1" w:rsidP="00C14833">
      <w:pPr>
        <w:widowControl w:val="0"/>
        <w:numPr>
          <w:ilvl w:val="0"/>
          <w:numId w:val="134"/>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rPr>
        <w:t xml:space="preserve">Félévközi feladatok, ismeretek ellenőrzésének rendje: </w:t>
      </w:r>
      <w:r>
        <w:rPr>
          <w:rFonts w:ascii="Times New Roman" w:eastAsia="Times New Roman" w:hAnsi="Times New Roman" w:cs="Times New Roman"/>
          <w:bCs/>
        </w:rPr>
        <w:t>A félév során a béketámogató műveletek logisztikai támogatásából és a lövészzászlóalj műveleteinek logisztikai támogatásából egy-egy zárthelyi dolgozatot kell írni. A zárthelyi dolgozat során az elégséges osztályzathoz minimum az összpontszám 51%-át el kell érni. Az elégtelen zárthelyi dolgozat egy alkalommal javítható.</w:t>
      </w:r>
    </w:p>
    <w:p w:rsidR="009B01B1" w:rsidRDefault="009B01B1" w:rsidP="00C14833">
      <w:pPr>
        <w:widowControl w:val="0"/>
        <w:numPr>
          <w:ilvl w:val="0"/>
          <w:numId w:val="134"/>
        </w:numPr>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Az értékelés, az aláírás és a kreditek megszerzésének pontos feltételei: </w:t>
      </w:r>
    </w:p>
    <w:p w:rsidR="009B01B1" w:rsidRDefault="009B01B1" w:rsidP="00C14833">
      <w:pPr>
        <w:widowControl w:val="0"/>
        <w:numPr>
          <w:ilvl w:val="1"/>
          <w:numId w:val="134"/>
        </w:numPr>
        <w:tabs>
          <w:tab w:val="clear" w:pos="3977"/>
          <w:tab w:val="left" w:pos="709"/>
          <w:tab w:val="left" w:pos="993"/>
          <w:tab w:val="num" w:pos="2069"/>
          <w:tab w:val="num" w:pos="2275"/>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Az aláírás megszerzésének feltételei:</w:t>
      </w:r>
    </w:p>
    <w:p w:rsidR="009B01B1" w:rsidRDefault="009B01B1" w:rsidP="009B01B1">
      <w:pPr>
        <w:widowControl w:val="0"/>
        <w:tabs>
          <w:tab w:val="left" w:pos="993"/>
        </w:tabs>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Az aláírás megszerzésének feltétele a 14. pontban meghatározott arányú részvétel a foglalkozásokon és a 15. pontban meghatározott félévközi feladatok legalább elégséges teljesítése.</w:t>
      </w:r>
    </w:p>
    <w:p w:rsidR="009B01B1" w:rsidRDefault="009B01B1" w:rsidP="00C14833">
      <w:pPr>
        <w:widowControl w:val="0"/>
        <w:numPr>
          <w:ilvl w:val="1"/>
          <w:numId w:val="134"/>
        </w:numPr>
        <w:tabs>
          <w:tab w:val="clear" w:pos="3977"/>
          <w:tab w:val="left" w:pos="709"/>
          <w:tab w:val="left" w:pos="993"/>
          <w:tab w:val="num" w:pos="2069"/>
          <w:tab w:val="num" w:pos="2275"/>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Az értékelés:</w:t>
      </w:r>
    </w:p>
    <w:p w:rsidR="009B01B1" w:rsidRDefault="009B01B1" w:rsidP="009B01B1">
      <w:pPr>
        <w:widowControl w:val="0"/>
        <w:tabs>
          <w:tab w:val="left" w:pos="993"/>
        </w:tabs>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A tantárgy vizsgával zárul, amely írásbeli kollokvium. A vizsga anyaga az órán elhangzottakat, valamint a falhasznált irodalom elméleti és gyakorlati részeit egyaránt tartalmazzák. Az elégséges jegy megszerzéséhez 50%+1 pont szükséges.</w:t>
      </w:r>
    </w:p>
    <w:p w:rsidR="009B01B1" w:rsidRDefault="009B01B1" w:rsidP="00C14833">
      <w:pPr>
        <w:widowControl w:val="0"/>
        <w:numPr>
          <w:ilvl w:val="1"/>
          <w:numId w:val="134"/>
        </w:numPr>
        <w:tabs>
          <w:tab w:val="clear" w:pos="3977"/>
          <w:tab w:val="left" w:pos="709"/>
          <w:tab w:val="left" w:pos="993"/>
          <w:tab w:val="num" w:pos="2069"/>
          <w:tab w:val="num" w:pos="2275"/>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 kreditek megszerzésének feltételei:</w:t>
      </w:r>
      <w:r>
        <w:rPr>
          <w:rFonts w:ascii="Times New Roman" w:eastAsia="Times New Roman" w:hAnsi="Times New Roman" w:cs="Times New Roman"/>
        </w:rPr>
        <w:t xml:space="preserve"> </w:t>
      </w:r>
    </w:p>
    <w:p w:rsidR="009B01B1" w:rsidRDefault="009B01B1" w:rsidP="009B01B1">
      <w:pPr>
        <w:widowControl w:val="0"/>
        <w:tabs>
          <w:tab w:val="left" w:pos="993"/>
        </w:tabs>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A kreditek megszerzésének feltétele az aláírás megszerzése és a legalább elégséges kollokviumi jegy.</w:t>
      </w:r>
    </w:p>
    <w:p w:rsidR="009B01B1" w:rsidRDefault="009B01B1" w:rsidP="00C14833">
      <w:pPr>
        <w:widowControl w:val="0"/>
        <w:numPr>
          <w:ilvl w:val="0"/>
          <w:numId w:val="134"/>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Irodalomjegyzék:</w:t>
      </w:r>
    </w:p>
    <w:p w:rsidR="009B01B1" w:rsidRDefault="009B01B1" w:rsidP="00C14833">
      <w:pPr>
        <w:widowControl w:val="0"/>
        <w:numPr>
          <w:ilvl w:val="1"/>
          <w:numId w:val="134"/>
        </w:numPr>
        <w:tabs>
          <w:tab w:val="clear" w:pos="3977"/>
          <w:tab w:val="left" w:pos="567"/>
          <w:tab w:val="left" w:pos="851"/>
          <w:tab w:val="num" w:pos="2069"/>
          <w:tab w:val="num" w:pos="2275"/>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Kötelező irodalom:</w:t>
      </w:r>
    </w:p>
    <w:p w:rsidR="009B01B1" w:rsidRPr="00DA0BF4" w:rsidRDefault="009B01B1" w:rsidP="00C14833">
      <w:pPr>
        <w:widowControl w:val="0"/>
        <w:numPr>
          <w:ilvl w:val="0"/>
          <w:numId w:val="135"/>
        </w:numPr>
        <w:spacing w:after="0" w:line="240" w:lineRule="auto"/>
        <w:jc w:val="both"/>
        <w:rPr>
          <w:rFonts w:ascii="Times New Roman" w:eastAsia="Times New Roman" w:hAnsi="Times New Roman" w:cs="Times New Roman"/>
        </w:rPr>
      </w:pPr>
      <w:r w:rsidRPr="00DA0BF4">
        <w:rPr>
          <w:rFonts w:ascii="Times New Roman" w:eastAsia="Times New Roman" w:hAnsi="Times New Roman" w:cs="Times New Roman"/>
        </w:rPr>
        <w:t>Komjáthy Lajos: A menet (ZMNE jegyzet Budapest, 2001., nyt. szám: 952/322)</w:t>
      </w:r>
    </w:p>
    <w:p w:rsidR="009B01B1" w:rsidRDefault="009B01B1" w:rsidP="00C14833">
      <w:pPr>
        <w:widowControl w:val="0"/>
        <w:numPr>
          <w:ilvl w:val="0"/>
          <w:numId w:val="135"/>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Téglási József: Nem háborús katonai műveletek (ZMNE jegyzet Budapest, 2000., nyt. szám: 952/270)</w:t>
      </w:r>
    </w:p>
    <w:p w:rsidR="009B01B1" w:rsidRDefault="009B01B1" w:rsidP="00C14833">
      <w:pPr>
        <w:widowControl w:val="0"/>
        <w:numPr>
          <w:ilvl w:val="0"/>
          <w:numId w:val="135"/>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Juhász: József A zászlóalj támadása (ZMNE jegyzet Budapest, 2000., nyt. szám: 1381/385)</w:t>
      </w:r>
    </w:p>
    <w:p w:rsidR="009B01B1" w:rsidRDefault="009B01B1" w:rsidP="00C14833">
      <w:pPr>
        <w:widowControl w:val="0"/>
        <w:numPr>
          <w:ilvl w:val="0"/>
          <w:numId w:val="135"/>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Vörös László: A védelem alapjai és a zászlóalj, zászlóalj-harccsoport védelmi harca (ZMNE jegyzet Budapest, 1997., nyt. szám: 952/99)</w:t>
      </w:r>
    </w:p>
    <w:p w:rsidR="00A065A5" w:rsidRDefault="00A065A5">
      <w:pPr>
        <w:spacing w:after="200" w:line="276" w:lineRule="auto"/>
        <w:rPr>
          <w:rFonts w:ascii="Times New Roman" w:eastAsia="Times New Roman" w:hAnsi="Times New Roman" w:cs="Times New Roman"/>
          <w:b/>
          <w:bCs/>
        </w:rPr>
      </w:pPr>
      <w:r>
        <w:rPr>
          <w:rFonts w:ascii="Times New Roman" w:eastAsia="Times New Roman" w:hAnsi="Times New Roman" w:cs="Times New Roman"/>
          <w:b/>
          <w:bCs/>
        </w:rPr>
        <w:br w:type="page"/>
      </w:r>
    </w:p>
    <w:p w:rsidR="009B01B1" w:rsidRDefault="009B01B1" w:rsidP="00C14833">
      <w:pPr>
        <w:widowControl w:val="0"/>
        <w:numPr>
          <w:ilvl w:val="1"/>
          <w:numId w:val="134"/>
        </w:numPr>
        <w:tabs>
          <w:tab w:val="clear" w:pos="3977"/>
          <w:tab w:val="num" w:pos="567"/>
          <w:tab w:val="num" w:pos="2069"/>
          <w:tab w:val="num" w:pos="2275"/>
        </w:tabs>
        <w:spacing w:before="120" w:after="120" w:line="240" w:lineRule="auto"/>
        <w:ind w:left="993" w:hanging="709"/>
        <w:jc w:val="both"/>
        <w:rPr>
          <w:rFonts w:ascii="Times New Roman" w:eastAsia="Times New Roman" w:hAnsi="Times New Roman" w:cs="Times New Roman"/>
          <w:b/>
          <w:bCs/>
        </w:rPr>
      </w:pPr>
      <w:r>
        <w:rPr>
          <w:rFonts w:ascii="Times New Roman" w:eastAsia="Times New Roman" w:hAnsi="Times New Roman" w:cs="Times New Roman"/>
          <w:b/>
          <w:bCs/>
        </w:rPr>
        <w:lastRenderedPageBreak/>
        <w:t>Ajánlott irodalom:</w:t>
      </w:r>
    </w:p>
    <w:p w:rsidR="009B01B1" w:rsidRDefault="009B01B1" w:rsidP="00C14833">
      <w:pPr>
        <w:pStyle w:val="Listaszerbekezds"/>
        <w:widowControl w:val="0"/>
        <w:numPr>
          <w:ilvl w:val="0"/>
          <w:numId w:val="136"/>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Hajdú István: Harci okmányok rendeltetése, felosztása, tartalma és elkészítésük elvei (ZMNE jegyzet Budapest, 1996., nyt.szám: 734/734)</w:t>
      </w:r>
    </w:p>
    <w:p w:rsidR="009B01B1" w:rsidRPr="004E0714" w:rsidRDefault="009B01B1" w:rsidP="00C14833">
      <w:pPr>
        <w:pStyle w:val="Listaszerbekezds"/>
        <w:widowControl w:val="0"/>
        <w:numPr>
          <w:ilvl w:val="0"/>
          <w:numId w:val="136"/>
        </w:numPr>
        <w:spacing w:after="0" w:line="240" w:lineRule="auto"/>
        <w:jc w:val="both"/>
        <w:rPr>
          <w:rFonts w:ascii="Times New Roman" w:eastAsia="Times New Roman" w:hAnsi="Times New Roman" w:cs="Times New Roman"/>
        </w:rPr>
      </w:pPr>
      <w:r w:rsidRPr="004E0714">
        <w:rPr>
          <w:rFonts w:ascii="Times New Roman" w:eastAsia="Times New Roman" w:hAnsi="Times New Roman" w:cs="Times New Roman"/>
        </w:rPr>
        <w:t xml:space="preserve">APP-6 A Földi telepítésű katonai rendszerek grafikai jelei </w:t>
      </w:r>
    </w:p>
    <w:p w:rsidR="009B01B1" w:rsidRDefault="009B01B1" w:rsidP="00C14833">
      <w:pPr>
        <w:pStyle w:val="Listaszerbekezds"/>
        <w:widowControl w:val="0"/>
        <w:numPr>
          <w:ilvl w:val="0"/>
          <w:numId w:val="136"/>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Szabó György: A zászlóalj harccsoport tevékenysége nem háborús műveletek során (ZMNE előadás 1997., nyt. szám: 952/97)</w:t>
      </w:r>
    </w:p>
    <w:p w:rsidR="009B01B1" w:rsidRDefault="009B01B1" w:rsidP="00C14833">
      <w:pPr>
        <w:pStyle w:val="Listaszerbekezds"/>
        <w:widowControl w:val="0"/>
        <w:numPr>
          <w:ilvl w:val="0"/>
          <w:numId w:val="136"/>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318/2006; 18/2002; 19/2002 HM rendeletek a kártérítési felelősség egyes szabályairól</w:t>
      </w:r>
    </w:p>
    <w:p w:rsidR="00E646A8" w:rsidRDefault="00E646A8" w:rsidP="00E646A8">
      <w:pPr>
        <w:widowControl w:val="0"/>
        <w:spacing w:before="120" w:after="120" w:line="240" w:lineRule="auto"/>
        <w:ind w:firstLine="360"/>
        <w:jc w:val="both"/>
        <w:rPr>
          <w:rFonts w:ascii="Times New Roman" w:eastAsia="Times New Roman" w:hAnsi="Times New Roman" w:cs="Times New Roman"/>
          <w:bCs/>
        </w:rPr>
      </w:pPr>
    </w:p>
    <w:p w:rsidR="009B01B1" w:rsidRDefault="009B01B1" w:rsidP="00E646A8">
      <w:pPr>
        <w:widowControl w:val="0"/>
        <w:spacing w:before="120" w:after="120" w:line="240" w:lineRule="auto"/>
        <w:ind w:firstLine="360"/>
        <w:jc w:val="both"/>
        <w:rPr>
          <w:rFonts w:ascii="Times New Roman" w:eastAsia="Times New Roman" w:hAnsi="Times New Roman" w:cs="Times New Roman"/>
          <w:bCs/>
        </w:rPr>
      </w:pPr>
      <w:r>
        <w:rPr>
          <w:rFonts w:ascii="Times New Roman" w:eastAsia="Times New Roman" w:hAnsi="Times New Roman" w:cs="Times New Roman"/>
          <w:bCs/>
        </w:rPr>
        <w:t>Budapest, 2020. január 14.</w:t>
      </w:r>
    </w:p>
    <w:p w:rsidR="009B01B1" w:rsidRDefault="009B01B1" w:rsidP="009B01B1">
      <w:pPr>
        <w:widowControl w:val="0"/>
        <w:spacing w:before="120" w:after="120" w:line="240" w:lineRule="auto"/>
        <w:jc w:val="both"/>
        <w:rPr>
          <w:rFonts w:ascii="Times New Roman" w:eastAsia="Times New Roman" w:hAnsi="Times New Roman" w:cs="Times New Roman"/>
          <w:bCs/>
        </w:rPr>
      </w:pPr>
    </w:p>
    <w:p w:rsidR="009B01B1" w:rsidRDefault="009B01B1" w:rsidP="009B01B1">
      <w:pPr>
        <w:widowControl w:val="0"/>
        <w:spacing w:after="0" w:line="240" w:lineRule="auto"/>
        <w:ind w:left="5664" w:firstLine="708"/>
        <w:jc w:val="center"/>
        <w:rPr>
          <w:rFonts w:ascii="Times New Roman" w:hAnsi="Times New Roman" w:cs="Times New Roman"/>
          <w:b/>
          <w:bCs/>
        </w:rPr>
      </w:pPr>
      <w:r>
        <w:rPr>
          <w:rFonts w:ascii="Times New Roman" w:hAnsi="Times New Roman" w:cs="Times New Roman"/>
          <w:b/>
          <w:bCs/>
        </w:rPr>
        <w:t xml:space="preserve">   Dr. Pohl Árpád (PhD)</w:t>
      </w:r>
    </w:p>
    <w:p w:rsidR="009B01B1" w:rsidRDefault="009B01B1" w:rsidP="009B01B1">
      <w:pPr>
        <w:widowControl w:val="0"/>
        <w:spacing w:after="0" w:line="240" w:lineRule="auto"/>
        <w:jc w:val="right"/>
        <w:rPr>
          <w:rFonts w:ascii="Times New Roman" w:hAnsi="Times New Roman" w:cs="Times New Roman"/>
          <w:b/>
          <w:bCs/>
        </w:rPr>
      </w:pPr>
      <w:r>
        <w:rPr>
          <w:rFonts w:ascii="Times New Roman" w:hAnsi="Times New Roman" w:cs="Times New Roman"/>
          <w:bCs/>
        </w:rPr>
        <w:t>dékán, egyetemi docens s.k.</w:t>
      </w:r>
    </w:p>
    <w:p w:rsidR="009B01B1" w:rsidRDefault="009B01B1">
      <w:pPr>
        <w:spacing w:after="200" w:line="276" w:lineRule="auto"/>
        <w:rPr>
          <w:rFonts w:ascii="Times New Roman" w:hAnsi="Times New Roman" w:cs="Times New Roman"/>
          <w:sz w:val="24"/>
        </w:rPr>
      </w:pPr>
    </w:p>
    <w:p w:rsidR="009B01B1" w:rsidRDefault="009B01B1">
      <w:pPr>
        <w:spacing w:after="200" w:line="276" w:lineRule="auto"/>
        <w:rPr>
          <w:rFonts w:ascii="Times New Roman" w:hAnsi="Times New Roman" w:cs="Times New Roman"/>
          <w:sz w:val="24"/>
        </w:rPr>
      </w:pPr>
      <w:r>
        <w:rPr>
          <w:rFonts w:ascii="Times New Roman" w:hAnsi="Times New Roman" w:cs="Times New Roman"/>
          <w:sz w:val="24"/>
        </w:rPr>
        <w:br w:type="page"/>
      </w:r>
    </w:p>
    <w:tbl>
      <w:tblPr>
        <w:tblW w:w="9072" w:type="dxa"/>
        <w:tblInd w:w="113" w:type="dxa"/>
        <w:tblLook w:val="01E0" w:firstRow="1" w:lastRow="1" w:firstColumn="1" w:lastColumn="1" w:noHBand="0" w:noVBand="0"/>
      </w:tblPr>
      <w:tblGrid>
        <w:gridCol w:w="4855"/>
        <w:gridCol w:w="1620"/>
        <w:gridCol w:w="2597"/>
      </w:tblGrid>
      <w:tr w:rsidR="008C22AB" w:rsidRPr="008C22AB" w:rsidTr="00887DC4">
        <w:tc>
          <w:tcPr>
            <w:tcW w:w="4855" w:type="dxa"/>
            <w:tcBorders>
              <w:bottom w:val="single" w:sz="4" w:space="0" w:color="auto"/>
            </w:tcBorders>
          </w:tcPr>
          <w:p w:rsidR="008C22AB" w:rsidRPr="008C22AB" w:rsidRDefault="008C22AB" w:rsidP="008C22AB">
            <w:pPr>
              <w:autoSpaceDE w:val="0"/>
              <w:autoSpaceDN w:val="0"/>
              <w:adjustRightInd w:val="0"/>
              <w:spacing w:after="0" w:line="240" w:lineRule="auto"/>
              <w:jc w:val="center"/>
              <w:rPr>
                <w:rFonts w:ascii="Times New Roman" w:eastAsia="Times New Roman" w:hAnsi="Times New Roman" w:cs="Times New Roman"/>
                <w:b/>
                <w:smallCaps/>
                <w:lang w:eastAsia="hu-HU"/>
              </w:rPr>
            </w:pPr>
            <w:r w:rsidRPr="008C22AB">
              <w:rPr>
                <w:rFonts w:ascii="Times New Roman" w:eastAsia="Times New Roman" w:hAnsi="Times New Roman" w:cs="Times New Roman"/>
                <w:b/>
                <w:smallCaps/>
                <w:lang w:eastAsia="hu-HU"/>
              </w:rPr>
              <w:lastRenderedPageBreak/>
              <w:t>Nemzeti Közszolgálati Egyetem</w:t>
            </w:r>
          </w:p>
        </w:tc>
        <w:tc>
          <w:tcPr>
            <w:tcW w:w="1620" w:type="dxa"/>
          </w:tcPr>
          <w:p w:rsidR="008C22AB" w:rsidRPr="008C22AB" w:rsidRDefault="008C22AB" w:rsidP="008C22AB">
            <w:pPr>
              <w:autoSpaceDE w:val="0"/>
              <w:autoSpaceDN w:val="0"/>
              <w:adjustRightInd w:val="0"/>
              <w:spacing w:after="0" w:line="240" w:lineRule="auto"/>
              <w:jc w:val="both"/>
              <w:rPr>
                <w:rFonts w:ascii="Times New Roman" w:eastAsia="Times New Roman" w:hAnsi="Times New Roman" w:cs="Times New Roman"/>
                <w:lang w:eastAsia="hu-HU"/>
              </w:rPr>
            </w:pPr>
          </w:p>
        </w:tc>
        <w:tc>
          <w:tcPr>
            <w:tcW w:w="2597" w:type="dxa"/>
          </w:tcPr>
          <w:p w:rsidR="008C22AB" w:rsidRPr="008C22AB" w:rsidRDefault="008C22AB" w:rsidP="008C22AB">
            <w:pPr>
              <w:autoSpaceDE w:val="0"/>
              <w:autoSpaceDN w:val="0"/>
              <w:adjustRightInd w:val="0"/>
              <w:spacing w:after="0" w:line="240" w:lineRule="auto"/>
              <w:jc w:val="right"/>
              <w:rPr>
                <w:rFonts w:ascii="Times New Roman" w:eastAsia="Times New Roman" w:hAnsi="Times New Roman" w:cs="Times New Roman"/>
                <w:lang w:eastAsia="hu-HU"/>
              </w:rPr>
            </w:pPr>
          </w:p>
        </w:tc>
      </w:tr>
      <w:tr w:rsidR="008C22AB" w:rsidRPr="008C22AB" w:rsidTr="00887DC4">
        <w:tc>
          <w:tcPr>
            <w:tcW w:w="4855" w:type="dxa"/>
            <w:tcBorders>
              <w:top w:val="single" w:sz="4" w:space="0" w:color="auto"/>
            </w:tcBorders>
          </w:tcPr>
          <w:p w:rsidR="008C22AB" w:rsidRPr="008C22AB" w:rsidRDefault="008C22AB" w:rsidP="008C22AB">
            <w:pPr>
              <w:autoSpaceDE w:val="0"/>
              <w:autoSpaceDN w:val="0"/>
              <w:adjustRightInd w:val="0"/>
              <w:spacing w:after="0" w:line="240" w:lineRule="auto"/>
              <w:jc w:val="center"/>
              <w:rPr>
                <w:rFonts w:ascii="Times New Roman" w:eastAsia="Times New Roman" w:hAnsi="Times New Roman" w:cs="Times New Roman"/>
                <w:b/>
                <w:lang w:eastAsia="hu-HU"/>
              </w:rPr>
            </w:pPr>
            <w:r w:rsidRPr="008C22AB">
              <w:rPr>
                <w:rFonts w:ascii="Times New Roman" w:eastAsia="Times New Roman" w:hAnsi="Times New Roman" w:cs="Times New Roman"/>
                <w:b/>
                <w:lang w:eastAsia="hu-HU"/>
              </w:rPr>
              <w:t>Rendészettudományi Kar</w:t>
            </w:r>
          </w:p>
        </w:tc>
        <w:tc>
          <w:tcPr>
            <w:tcW w:w="1620" w:type="dxa"/>
          </w:tcPr>
          <w:p w:rsidR="008C22AB" w:rsidRPr="008C22AB" w:rsidRDefault="008C22AB" w:rsidP="008C22AB">
            <w:pPr>
              <w:autoSpaceDE w:val="0"/>
              <w:autoSpaceDN w:val="0"/>
              <w:adjustRightInd w:val="0"/>
              <w:spacing w:after="0" w:line="240" w:lineRule="auto"/>
              <w:jc w:val="both"/>
              <w:rPr>
                <w:rFonts w:ascii="Times New Roman" w:eastAsia="Times New Roman" w:hAnsi="Times New Roman" w:cs="Times New Roman"/>
                <w:lang w:eastAsia="hu-HU"/>
              </w:rPr>
            </w:pPr>
          </w:p>
        </w:tc>
        <w:tc>
          <w:tcPr>
            <w:tcW w:w="2597" w:type="dxa"/>
          </w:tcPr>
          <w:p w:rsidR="008C22AB" w:rsidRPr="008C22AB" w:rsidRDefault="008C22AB" w:rsidP="008C22AB">
            <w:pPr>
              <w:autoSpaceDE w:val="0"/>
              <w:autoSpaceDN w:val="0"/>
              <w:adjustRightInd w:val="0"/>
              <w:spacing w:after="0" w:line="240" w:lineRule="auto"/>
              <w:jc w:val="both"/>
              <w:rPr>
                <w:rFonts w:ascii="Times New Roman" w:eastAsia="Times New Roman" w:hAnsi="Times New Roman" w:cs="Times New Roman"/>
                <w:lang w:eastAsia="hu-HU"/>
              </w:rPr>
            </w:pPr>
          </w:p>
        </w:tc>
      </w:tr>
    </w:tbl>
    <w:p w:rsidR="008C22AB" w:rsidRPr="008C22AB" w:rsidRDefault="008C22AB" w:rsidP="008C22AB">
      <w:pPr>
        <w:widowControl w:val="0"/>
        <w:spacing w:before="120" w:after="120" w:line="240" w:lineRule="auto"/>
        <w:ind w:left="426" w:hanging="142"/>
        <w:jc w:val="center"/>
        <w:rPr>
          <w:rFonts w:ascii="Times New Roman" w:eastAsia="Calibri" w:hAnsi="Times New Roman" w:cs="Times New Roman"/>
          <w:b/>
          <w:bCs/>
        </w:rPr>
      </w:pPr>
      <w:r w:rsidRPr="008C22AB">
        <w:rPr>
          <w:rFonts w:ascii="Times New Roman" w:eastAsia="Calibri" w:hAnsi="Times New Roman" w:cs="Times New Roman"/>
          <w:b/>
          <w:bCs/>
        </w:rPr>
        <w:t xml:space="preserve">TANTÁRGYI PROGRAM </w:t>
      </w:r>
    </w:p>
    <w:p w:rsidR="008C22AB" w:rsidRPr="008C22AB" w:rsidRDefault="008C22AB" w:rsidP="00980876">
      <w:pPr>
        <w:widowControl w:val="0"/>
        <w:numPr>
          <w:ilvl w:val="0"/>
          <w:numId w:val="835"/>
        </w:numPr>
        <w:spacing w:before="120" w:after="120" w:line="240" w:lineRule="auto"/>
        <w:ind w:hanging="76"/>
        <w:jc w:val="both"/>
        <w:rPr>
          <w:rFonts w:ascii="Times New Roman" w:eastAsia="Calibri" w:hAnsi="Times New Roman" w:cs="Times New Roman"/>
          <w:bCs/>
        </w:rPr>
      </w:pPr>
      <w:r w:rsidRPr="008C22AB">
        <w:rPr>
          <w:rFonts w:ascii="Times New Roman" w:eastAsia="Calibri" w:hAnsi="Times New Roman" w:cs="Times New Roman"/>
          <w:b/>
          <w:bCs/>
        </w:rPr>
        <w:t xml:space="preserve">A tantárgy kódja: </w:t>
      </w:r>
      <w:r w:rsidRPr="008C22AB">
        <w:rPr>
          <w:rFonts w:ascii="Times New Roman" w:eastAsia="Calibri" w:hAnsi="Times New Roman" w:cs="Times New Roman"/>
        </w:rPr>
        <w:t>RRVTB06</w:t>
      </w:r>
    </w:p>
    <w:p w:rsidR="008C22AB" w:rsidRPr="008C22AB" w:rsidRDefault="008C22AB" w:rsidP="00980876">
      <w:pPr>
        <w:widowControl w:val="0"/>
        <w:numPr>
          <w:ilvl w:val="0"/>
          <w:numId w:val="835"/>
        </w:numPr>
        <w:spacing w:before="120" w:after="120" w:line="240" w:lineRule="auto"/>
        <w:ind w:left="426" w:hanging="142"/>
        <w:jc w:val="both"/>
        <w:rPr>
          <w:rFonts w:ascii="Times New Roman" w:eastAsia="Calibri" w:hAnsi="Times New Roman" w:cs="Times New Roman"/>
          <w:bCs/>
        </w:rPr>
      </w:pPr>
      <w:r w:rsidRPr="008C22AB">
        <w:rPr>
          <w:rFonts w:ascii="Times New Roman" w:eastAsia="Calibri" w:hAnsi="Times New Roman" w:cs="Times New Roman"/>
          <w:b/>
          <w:bCs/>
        </w:rPr>
        <w:t>A tantárgy megnevezése (magyarul):</w:t>
      </w:r>
      <w:r w:rsidRPr="008C22AB">
        <w:rPr>
          <w:rFonts w:ascii="Times New Roman" w:eastAsia="Calibri" w:hAnsi="Times New Roman" w:cs="Times New Roman"/>
          <w:bCs/>
        </w:rPr>
        <w:t xml:space="preserve"> Közös Közszolgálati Gyakorlat</w:t>
      </w:r>
    </w:p>
    <w:p w:rsidR="008C22AB" w:rsidRPr="008C22AB" w:rsidRDefault="008C22AB" w:rsidP="00980876">
      <w:pPr>
        <w:widowControl w:val="0"/>
        <w:numPr>
          <w:ilvl w:val="0"/>
          <w:numId w:val="835"/>
        </w:numPr>
        <w:spacing w:before="120" w:after="120" w:line="240" w:lineRule="auto"/>
        <w:ind w:left="426" w:hanging="142"/>
        <w:jc w:val="both"/>
        <w:rPr>
          <w:rFonts w:ascii="Times New Roman" w:eastAsia="Calibri" w:hAnsi="Times New Roman" w:cs="Times New Roman"/>
          <w:b/>
          <w:bCs/>
          <w:lang w:val="en-GB"/>
        </w:rPr>
      </w:pPr>
      <w:r w:rsidRPr="008C22AB">
        <w:rPr>
          <w:rFonts w:ascii="Times New Roman" w:eastAsia="Calibri" w:hAnsi="Times New Roman" w:cs="Times New Roman"/>
          <w:b/>
          <w:bCs/>
        </w:rPr>
        <w:t xml:space="preserve">A tantárgy megnevezése (angolul): </w:t>
      </w:r>
      <w:r w:rsidRPr="008C22AB">
        <w:rPr>
          <w:rFonts w:ascii="Times New Roman" w:eastAsia="Calibri" w:hAnsi="Times New Roman" w:cs="Times New Roman"/>
          <w:bCs/>
          <w:lang w:val="en-GB"/>
        </w:rPr>
        <w:t>Joint Public Service Exercise</w:t>
      </w:r>
    </w:p>
    <w:p w:rsidR="008C22AB" w:rsidRPr="008C22AB" w:rsidRDefault="008C22AB" w:rsidP="00980876">
      <w:pPr>
        <w:widowControl w:val="0"/>
        <w:numPr>
          <w:ilvl w:val="0"/>
          <w:numId w:val="835"/>
        </w:numPr>
        <w:spacing w:before="120" w:after="120" w:line="240" w:lineRule="auto"/>
        <w:ind w:left="426" w:hanging="142"/>
        <w:jc w:val="both"/>
        <w:rPr>
          <w:rFonts w:ascii="Times New Roman" w:eastAsia="Calibri" w:hAnsi="Times New Roman" w:cs="Times New Roman"/>
          <w:b/>
          <w:bCs/>
        </w:rPr>
      </w:pPr>
      <w:r w:rsidRPr="008C22AB">
        <w:rPr>
          <w:rFonts w:ascii="Times New Roman" w:eastAsia="Calibri" w:hAnsi="Times New Roman" w:cs="Times New Roman"/>
          <w:b/>
          <w:bCs/>
        </w:rPr>
        <w:t>Kreditérték és képzési karakter:</w:t>
      </w:r>
    </w:p>
    <w:p w:rsidR="008C22AB" w:rsidRPr="008C22AB" w:rsidRDefault="008C22AB" w:rsidP="008C22AB">
      <w:pPr>
        <w:widowControl w:val="0"/>
        <w:tabs>
          <w:tab w:val="num" w:pos="567"/>
        </w:tabs>
        <w:spacing w:before="120" w:after="120" w:line="240" w:lineRule="auto"/>
        <w:ind w:left="426"/>
        <w:jc w:val="both"/>
        <w:rPr>
          <w:rFonts w:ascii="Times New Roman" w:eastAsia="Calibri" w:hAnsi="Times New Roman" w:cs="Times New Roman"/>
          <w:bCs/>
        </w:rPr>
      </w:pPr>
      <w:r w:rsidRPr="008C22AB">
        <w:rPr>
          <w:rFonts w:ascii="Times New Roman" w:eastAsia="Calibri" w:hAnsi="Times New Roman" w:cs="Times New Roman"/>
          <w:b/>
          <w:bCs/>
        </w:rPr>
        <w:t xml:space="preserve">4.1.  </w:t>
      </w:r>
      <w:r w:rsidRPr="008C22AB">
        <w:rPr>
          <w:rFonts w:ascii="Times New Roman" w:eastAsia="Calibri" w:hAnsi="Times New Roman" w:cs="Times New Roman"/>
          <w:bCs/>
        </w:rPr>
        <w:t>2 kredit</w:t>
      </w:r>
    </w:p>
    <w:p w:rsidR="008C22AB" w:rsidRPr="008C22AB" w:rsidRDefault="008C22AB" w:rsidP="008C22AB">
      <w:pPr>
        <w:widowControl w:val="0"/>
        <w:tabs>
          <w:tab w:val="num" w:pos="567"/>
        </w:tabs>
        <w:spacing w:before="120" w:after="120" w:line="240" w:lineRule="auto"/>
        <w:ind w:left="426"/>
        <w:jc w:val="both"/>
        <w:rPr>
          <w:rFonts w:ascii="Times New Roman" w:eastAsia="Calibri" w:hAnsi="Times New Roman" w:cs="Times New Roman"/>
          <w:b/>
          <w:bCs/>
        </w:rPr>
      </w:pPr>
      <w:r w:rsidRPr="008C22AB">
        <w:rPr>
          <w:rFonts w:ascii="Times New Roman" w:eastAsia="Calibri" w:hAnsi="Times New Roman" w:cs="Times New Roman"/>
          <w:bCs/>
        </w:rPr>
        <w:t>4.2 a tantárgy elméleti vagy gyakorlati jellegének mértéke : 50% gyakorlat, 50% elmélet</w:t>
      </w:r>
    </w:p>
    <w:p w:rsidR="008C22AB" w:rsidRPr="008C22AB" w:rsidRDefault="008C22AB" w:rsidP="00980876">
      <w:pPr>
        <w:widowControl w:val="0"/>
        <w:numPr>
          <w:ilvl w:val="0"/>
          <w:numId w:val="835"/>
        </w:numPr>
        <w:spacing w:before="120" w:after="120" w:line="240" w:lineRule="auto"/>
        <w:ind w:left="426" w:hanging="142"/>
        <w:jc w:val="both"/>
        <w:rPr>
          <w:rFonts w:ascii="Times New Roman" w:eastAsia="Calibri" w:hAnsi="Times New Roman" w:cs="Times New Roman"/>
          <w:bCs/>
        </w:rPr>
      </w:pPr>
      <w:r w:rsidRPr="008C22AB">
        <w:rPr>
          <w:rFonts w:ascii="Times New Roman" w:eastAsia="Calibri" w:hAnsi="Times New Roman" w:cs="Times New Roman"/>
          <w:b/>
          <w:bCs/>
        </w:rPr>
        <w:t>A szak(ok), szakirányok megnevezése (ahol oktatják):</w:t>
      </w:r>
      <w:r w:rsidRPr="008C22AB">
        <w:rPr>
          <w:rFonts w:ascii="Times New Roman" w:eastAsia="Calibri" w:hAnsi="Times New Roman" w:cs="Times New Roman"/>
          <w:bCs/>
        </w:rPr>
        <w:t xml:space="preserve"> Minden államtudományi képzési területhez tartozó alapképzési szakon nappali és levelező munkarendben.</w:t>
      </w:r>
    </w:p>
    <w:p w:rsidR="008C22AB" w:rsidRPr="008C22AB" w:rsidRDefault="008C22AB" w:rsidP="00980876">
      <w:pPr>
        <w:widowControl w:val="0"/>
        <w:numPr>
          <w:ilvl w:val="0"/>
          <w:numId w:val="835"/>
        </w:numPr>
        <w:spacing w:before="120" w:after="120" w:line="240" w:lineRule="auto"/>
        <w:ind w:left="426" w:hanging="142"/>
        <w:jc w:val="both"/>
        <w:rPr>
          <w:rFonts w:ascii="Times New Roman" w:eastAsia="Calibri" w:hAnsi="Times New Roman" w:cs="Times New Roman"/>
          <w:bCs/>
        </w:rPr>
      </w:pPr>
      <w:r w:rsidRPr="008C22AB">
        <w:rPr>
          <w:rFonts w:ascii="Times New Roman" w:eastAsia="Calibri" w:hAnsi="Times New Roman" w:cs="Times New Roman"/>
          <w:b/>
          <w:bCs/>
        </w:rPr>
        <w:t xml:space="preserve">Az oktatásért felelős oktatási szervezeti egység megnevezése: </w:t>
      </w:r>
      <w:r w:rsidRPr="008C22AB">
        <w:rPr>
          <w:rFonts w:ascii="Times New Roman" w:eastAsia="Calibri" w:hAnsi="Times New Roman" w:cs="Times New Roman"/>
          <w:bCs/>
        </w:rPr>
        <w:t>Rendészettudományi Kar, Rendészeti Vezetéstudományi Tanszék</w:t>
      </w:r>
    </w:p>
    <w:p w:rsidR="008C22AB" w:rsidRPr="008C22AB" w:rsidRDefault="008C22AB" w:rsidP="00980876">
      <w:pPr>
        <w:widowControl w:val="0"/>
        <w:numPr>
          <w:ilvl w:val="0"/>
          <w:numId w:val="835"/>
        </w:numPr>
        <w:spacing w:before="120" w:after="120" w:line="240" w:lineRule="auto"/>
        <w:ind w:left="426" w:hanging="142"/>
        <w:jc w:val="both"/>
        <w:rPr>
          <w:rFonts w:ascii="Times New Roman" w:eastAsia="Calibri" w:hAnsi="Times New Roman" w:cs="Times New Roman"/>
          <w:bCs/>
        </w:rPr>
      </w:pPr>
      <w:r w:rsidRPr="008C22AB">
        <w:rPr>
          <w:rFonts w:ascii="Times New Roman" w:eastAsia="Calibri" w:hAnsi="Times New Roman" w:cs="Times New Roman"/>
          <w:b/>
          <w:bCs/>
        </w:rPr>
        <w:t>A tantárgyfelelős oktató neve, beosztása, tudományos fokozata:</w:t>
      </w:r>
      <w:r w:rsidRPr="008C22AB">
        <w:rPr>
          <w:rFonts w:ascii="Times New Roman" w:eastAsia="Calibri" w:hAnsi="Times New Roman" w:cs="Times New Roman"/>
          <w:bCs/>
        </w:rPr>
        <w:t xml:space="preserve"> Dr. Kovács Gábor, egyetemi tanár PhD. </w:t>
      </w:r>
    </w:p>
    <w:p w:rsidR="008C22AB" w:rsidRPr="008C22AB" w:rsidRDefault="008C22AB" w:rsidP="00980876">
      <w:pPr>
        <w:widowControl w:val="0"/>
        <w:numPr>
          <w:ilvl w:val="0"/>
          <w:numId w:val="835"/>
        </w:numPr>
        <w:spacing w:before="120" w:after="120" w:line="240" w:lineRule="auto"/>
        <w:ind w:left="426" w:hanging="142"/>
        <w:jc w:val="both"/>
        <w:rPr>
          <w:rFonts w:ascii="Times New Roman" w:eastAsia="Calibri" w:hAnsi="Times New Roman" w:cs="Times New Roman"/>
          <w:bCs/>
        </w:rPr>
      </w:pPr>
      <w:r w:rsidRPr="008C22AB">
        <w:rPr>
          <w:rFonts w:ascii="Times New Roman" w:eastAsia="Calibri" w:hAnsi="Times New Roman" w:cs="Times New Roman"/>
          <w:b/>
          <w:bCs/>
        </w:rPr>
        <w:t>A tanórák száma és típusa (előadás+szeminárium+gyakorlat)</w:t>
      </w:r>
    </w:p>
    <w:p w:rsidR="008C22AB" w:rsidRPr="008C22AB" w:rsidRDefault="008C22AB" w:rsidP="00980876">
      <w:pPr>
        <w:widowControl w:val="0"/>
        <w:numPr>
          <w:ilvl w:val="1"/>
          <w:numId w:val="835"/>
        </w:numPr>
        <w:tabs>
          <w:tab w:val="clear" w:pos="1142"/>
        </w:tabs>
        <w:spacing w:before="120" w:after="120" w:line="240" w:lineRule="auto"/>
        <w:ind w:left="851" w:hanging="425"/>
        <w:jc w:val="both"/>
        <w:rPr>
          <w:rFonts w:ascii="Times New Roman" w:eastAsia="Calibri" w:hAnsi="Times New Roman" w:cs="Times New Roman"/>
          <w:bCs/>
        </w:rPr>
      </w:pPr>
      <w:r w:rsidRPr="008C22AB">
        <w:rPr>
          <w:rFonts w:ascii="Times New Roman" w:eastAsia="Calibri" w:hAnsi="Times New Roman" w:cs="Times New Roman"/>
          <w:bCs/>
        </w:rPr>
        <w:t xml:space="preserve">össz óraszám/félév: 28 </w:t>
      </w:r>
    </w:p>
    <w:p w:rsidR="008C22AB" w:rsidRPr="008C22AB" w:rsidRDefault="008C22AB" w:rsidP="00980876">
      <w:pPr>
        <w:widowControl w:val="0"/>
        <w:numPr>
          <w:ilvl w:val="2"/>
          <w:numId w:val="835"/>
        </w:numPr>
        <w:spacing w:before="120" w:after="120" w:line="240" w:lineRule="auto"/>
        <w:ind w:left="851" w:hanging="425"/>
        <w:jc w:val="both"/>
        <w:rPr>
          <w:rFonts w:ascii="Times New Roman" w:eastAsia="Calibri" w:hAnsi="Times New Roman" w:cs="Times New Roman"/>
          <w:bCs/>
        </w:rPr>
      </w:pPr>
      <w:r w:rsidRPr="008C22AB">
        <w:rPr>
          <w:rFonts w:ascii="Times New Roman" w:eastAsia="Calibri" w:hAnsi="Times New Roman" w:cs="Times New Roman"/>
          <w:bCs/>
        </w:rPr>
        <w:t>nappali munkarend: 28 (14 EA + - SZ + 14 GY)</w:t>
      </w:r>
    </w:p>
    <w:p w:rsidR="008C22AB" w:rsidRPr="008C22AB" w:rsidRDefault="008C22AB" w:rsidP="00980876">
      <w:pPr>
        <w:widowControl w:val="0"/>
        <w:numPr>
          <w:ilvl w:val="2"/>
          <w:numId w:val="835"/>
        </w:numPr>
        <w:spacing w:before="120" w:after="120" w:line="240" w:lineRule="auto"/>
        <w:ind w:left="851" w:hanging="425"/>
        <w:jc w:val="both"/>
        <w:rPr>
          <w:rFonts w:ascii="Times New Roman" w:eastAsia="Calibri" w:hAnsi="Times New Roman" w:cs="Times New Roman"/>
          <w:bCs/>
        </w:rPr>
      </w:pPr>
      <w:r w:rsidRPr="008C22AB">
        <w:rPr>
          <w:rFonts w:ascii="Times New Roman" w:eastAsia="Calibri" w:hAnsi="Times New Roman" w:cs="Times New Roman"/>
          <w:bCs/>
        </w:rPr>
        <w:t>levelező munkarend: 8 (6 EA + - SZ + 2 GY)</w:t>
      </w:r>
    </w:p>
    <w:p w:rsidR="008C22AB" w:rsidRPr="008C22AB" w:rsidRDefault="008C22AB" w:rsidP="00980876">
      <w:pPr>
        <w:widowControl w:val="0"/>
        <w:numPr>
          <w:ilvl w:val="1"/>
          <w:numId w:val="835"/>
        </w:numPr>
        <w:tabs>
          <w:tab w:val="clear" w:pos="1142"/>
        </w:tabs>
        <w:spacing w:before="120" w:after="120" w:line="240" w:lineRule="auto"/>
        <w:ind w:left="851" w:hanging="425"/>
        <w:jc w:val="both"/>
        <w:rPr>
          <w:rFonts w:ascii="Times New Roman" w:eastAsia="Calibri" w:hAnsi="Times New Roman" w:cs="Times New Roman"/>
          <w:bCs/>
        </w:rPr>
      </w:pPr>
      <w:r w:rsidRPr="008C22AB">
        <w:rPr>
          <w:rFonts w:ascii="Times New Roman" w:eastAsia="Calibri" w:hAnsi="Times New Roman" w:cs="Times New Roman"/>
          <w:bCs/>
        </w:rPr>
        <w:t>heti óraszám - nappali munkarend: 2</w:t>
      </w:r>
    </w:p>
    <w:p w:rsidR="008C22AB" w:rsidRPr="008C22AB" w:rsidRDefault="008C22AB" w:rsidP="008C22AB">
      <w:pPr>
        <w:widowControl w:val="0"/>
        <w:spacing w:before="120" w:after="120" w:line="240" w:lineRule="auto"/>
        <w:ind w:left="360"/>
        <w:contextualSpacing/>
        <w:jc w:val="both"/>
        <w:rPr>
          <w:rFonts w:ascii="Times New Roman" w:eastAsia="Calibri" w:hAnsi="Times New Roman" w:cs="Times New Roman"/>
          <w:bCs/>
        </w:rPr>
      </w:pPr>
      <w:r w:rsidRPr="008C22AB">
        <w:rPr>
          <w:rFonts w:ascii="Times New Roman" w:eastAsia="Calibri" w:hAnsi="Times New Roman" w:cs="Times New Roman"/>
          <w:bCs/>
        </w:rPr>
        <w:t>8.3. Az ismeret átadásában alkalmazandó további sajátos módok, jellemz</w:t>
      </w:r>
      <w:r w:rsidRPr="008C22AB">
        <w:rPr>
          <w:rFonts w:ascii="Times New Roman" w:eastAsia="Calibri" w:hAnsi="Times New Roman" w:cs="Times New Roman" w:hint="eastAsia"/>
          <w:bCs/>
        </w:rPr>
        <w:t>ő</w:t>
      </w:r>
      <w:r w:rsidRPr="008C22AB">
        <w:rPr>
          <w:rFonts w:ascii="Times New Roman" w:eastAsia="Calibri" w:hAnsi="Times New Roman" w:cs="Times New Roman"/>
          <w:bCs/>
        </w:rPr>
        <w:t>k:</w:t>
      </w:r>
    </w:p>
    <w:p w:rsidR="008C22AB" w:rsidRPr="008C22AB" w:rsidRDefault="008C22AB" w:rsidP="00980876">
      <w:pPr>
        <w:widowControl w:val="0"/>
        <w:numPr>
          <w:ilvl w:val="0"/>
          <w:numId w:val="835"/>
        </w:numPr>
        <w:spacing w:before="120" w:after="120" w:line="240" w:lineRule="auto"/>
        <w:ind w:left="426" w:hanging="142"/>
        <w:jc w:val="both"/>
        <w:rPr>
          <w:rFonts w:ascii="Times New Roman" w:eastAsia="Calibri" w:hAnsi="Times New Roman" w:cs="Times New Roman"/>
          <w:bCs/>
        </w:rPr>
      </w:pPr>
      <w:r w:rsidRPr="008C22AB">
        <w:rPr>
          <w:rFonts w:ascii="Times New Roman" w:eastAsia="Calibri" w:hAnsi="Times New Roman" w:cs="Times New Roman"/>
          <w:b/>
          <w:bCs/>
        </w:rPr>
        <w:t>A tantárgy szakmai tartalma (magyarul):</w:t>
      </w:r>
      <w:r w:rsidRPr="008C22AB">
        <w:rPr>
          <w:rFonts w:ascii="Times New Roman" w:eastAsia="Calibri" w:hAnsi="Times New Roman" w:cs="Times New Roman"/>
          <w:bCs/>
        </w:rPr>
        <w:t xml:space="preserve"> </w:t>
      </w:r>
      <w:r w:rsidRPr="008C22AB">
        <w:rPr>
          <w:rFonts w:ascii="Times New Roman" w:eastAsia="Calibri" w:hAnsi="Times New Roman" w:cs="Times New Roman"/>
        </w:rPr>
        <w:t xml:space="preserve">A közszolgálat főbb hivatásrendjei a felkészítés során elsajátított ismereteiket a valóságot megközelítő helyzethez igazodó gyakorlat során a mélyítik el. A gyakorlatot elméleti foglakozások előzik meg, amelyek a közszolgálati szemléletmód kialakítását, a feladatok közös megoldásának képességét fejlesztik. A tantárgyban oktatásra kerül a különböző szervezetek ideiglenes vezetési rendszere és az ahhoz kapcsolódó komplex ismeretrendszer. A gyakorlat végrehajtása során a vezetési rendszer kialakításával, időeltolódással, helyszín áthelyezésekkel, a gyakorló állomány aktív bevonásával egy komplex - minden évben változó témájú "Feladat" megoldása történik, modellezésre kerülnek a képzéseket megrendelő szervezetek és azok válságkezelési törzsei.  </w:t>
      </w:r>
    </w:p>
    <w:p w:rsidR="008C22AB" w:rsidRPr="008C22AB" w:rsidRDefault="008C22AB" w:rsidP="008C22AB">
      <w:pPr>
        <w:widowControl w:val="0"/>
        <w:spacing w:before="120" w:after="120" w:line="240" w:lineRule="auto"/>
        <w:ind w:left="426"/>
        <w:jc w:val="both"/>
        <w:rPr>
          <w:rFonts w:ascii="Times New Roman" w:eastAsia="Calibri" w:hAnsi="Times New Roman" w:cs="Times New Roman"/>
          <w:bCs/>
          <w:lang w:val="en-GB"/>
        </w:rPr>
      </w:pPr>
      <w:r w:rsidRPr="008C22AB">
        <w:rPr>
          <w:rFonts w:ascii="Times New Roman" w:eastAsia="Calibri" w:hAnsi="Times New Roman" w:cs="Times New Roman"/>
          <w:b/>
          <w:bCs/>
        </w:rPr>
        <w:t>A tantárgy szakmai tartalma (angolul) (</w:t>
      </w:r>
      <w:r w:rsidRPr="008C22AB">
        <w:rPr>
          <w:rFonts w:ascii="Times New Roman" w:eastAsia="Calibri" w:hAnsi="Times New Roman" w:cs="Times New Roman"/>
          <w:b/>
          <w:bCs/>
          <w:lang w:val="en-US"/>
        </w:rPr>
        <w:t>Course description</w:t>
      </w:r>
      <w:r w:rsidRPr="008C22AB">
        <w:rPr>
          <w:rFonts w:ascii="Times New Roman" w:eastAsia="Calibri" w:hAnsi="Times New Roman" w:cs="Times New Roman"/>
          <w:b/>
          <w:bCs/>
        </w:rPr>
        <w:t xml:space="preserve">): </w:t>
      </w:r>
      <w:r w:rsidRPr="008C22AB">
        <w:rPr>
          <w:rFonts w:ascii="Times New Roman" w:eastAsia="Calibri" w:hAnsi="Times New Roman" w:cs="Times New Roman"/>
          <w:bCs/>
          <w:lang w:val="en-GB"/>
        </w:rPr>
        <w:t xml:space="preserve">The students of the main professions of the public service increase their knowledge acquired during the course in an exercise simulating a situation resembling real life. The exercise is preceded by theoretical classes to develop a public service approach and the ability to carry out tasks together. The course presents the temporary leadership system of the various organisations and the related integrated knowledge. During the exercise the students solve a different, complex “Task” every year, involving the development of the command system, time leaps and relocations of scenes, with the active involvement of the professional staff. </w:t>
      </w:r>
    </w:p>
    <w:p w:rsidR="008C22AB" w:rsidRPr="008C22AB" w:rsidRDefault="008C22AB" w:rsidP="00980876">
      <w:pPr>
        <w:widowControl w:val="0"/>
        <w:numPr>
          <w:ilvl w:val="0"/>
          <w:numId w:val="835"/>
        </w:numPr>
        <w:spacing w:before="120" w:after="120" w:line="240" w:lineRule="auto"/>
        <w:ind w:left="426" w:hanging="142"/>
        <w:jc w:val="both"/>
        <w:rPr>
          <w:rFonts w:ascii="Times New Roman" w:eastAsia="Calibri" w:hAnsi="Times New Roman" w:cs="Times New Roman"/>
          <w:b/>
          <w:bCs/>
        </w:rPr>
      </w:pPr>
      <w:r w:rsidRPr="008C22AB">
        <w:rPr>
          <w:rFonts w:ascii="Times New Roman" w:eastAsia="Calibri" w:hAnsi="Times New Roman" w:cs="Times New Roman"/>
          <w:b/>
          <w:bCs/>
        </w:rPr>
        <w:t xml:space="preserve">Elérendő kompetenciák (magyarul): </w:t>
      </w:r>
    </w:p>
    <w:p w:rsidR="008C22AB" w:rsidRPr="008C22AB" w:rsidRDefault="008C22AB" w:rsidP="008C22AB">
      <w:pPr>
        <w:widowControl w:val="0"/>
        <w:spacing w:before="120" w:after="120" w:line="240" w:lineRule="auto"/>
        <w:ind w:left="426"/>
        <w:jc w:val="both"/>
        <w:rPr>
          <w:rFonts w:ascii="Times New Roman" w:eastAsia="Calibri" w:hAnsi="Times New Roman" w:cs="Times New Roman"/>
          <w:bCs/>
        </w:rPr>
      </w:pPr>
      <w:r w:rsidRPr="008C22AB">
        <w:rPr>
          <w:rFonts w:ascii="Times New Roman" w:eastAsia="Calibri" w:hAnsi="Times New Roman" w:cs="Times New Roman"/>
          <w:b/>
          <w:bCs/>
        </w:rPr>
        <w:t>Tudása:</w:t>
      </w:r>
      <w:r w:rsidRPr="008C22AB">
        <w:rPr>
          <w:rFonts w:ascii="Times New Roman" w:eastAsia="Calibri" w:hAnsi="Times New Roman" w:cs="Times New Roman"/>
          <w:bCs/>
        </w:rPr>
        <w:t xml:space="preserve"> Összességében ismeri, érti, áttekintéssel rendelkezik a közszolgálati szervek vezetés-irányítási rendszerében. Birtokában van az általánostól eltérő különleges viszonyok között a szervezetek vezetéshez szükséges ismereteknek. </w:t>
      </w:r>
    </w:p>
    <w:p w:rsidR="008C22AB" w:rsidRPr="008C22AB" w:rsidRDefault="008C22AB" w:rsidP="008C22AB">
      <w:pPr>
        <w:widowControl w:val="0"/>
        <w:spacing w:before="120" w:after="120" w:line="240" w:lineRule="auto"/>
        <w:ind w:left="426"/>
        <w:jc w:val="both"/>
        <w:rPr>
          <w:rFonts w:ascii="Times New Roman" w:eastAsia="Calibri" w:hAnsi="Times New Roman" w:cs="Times New Roman"/>
          <w:bCs/>
        </w:rPr>
      </w:pPr>
      <w:r w:rsidRPr="008C22AB">
        <w:rPr>
          <w:rFonts w:ascii="Times New Roman" w:eastAsia="Calibri" w:hAnsi="Times New Roman" w:cs="Times New Roman"/>
          <w:b/>
          <w:bCs/>
        </w:rPr>
        <w:t>Képességei:</w:t>
      </w:r>
      <w:r w:rsidRPr="008C22AB">
        <w:rPr>
          <w:rFonts w:ascii="Times New Roman" w:eastAsia="Calibri" w:hAnsi="Times New Roman" w:cs="Times New Roman"/>
          <w:bCs/>
        </w:rPr>
        <w:t xml:space="preserve"> Más szakterületekkel együttműködve képes működtetni a normál működési rendtől eltérő, különleges viszonyok között a hivatásrendjére jellemző szervezeteket. Képes az alsó, közép és felső szintű vezető-irányító tevékenység végrehajtására. Jártas a törzsmunkában, ahol </w:t>
      </w:r>
      <w:r w:rsidRPr="008C22AB">
        <w:rPr>
          <w:rFonts w:ascii="Times New Roman" w:eastAsia="Calibri" w:hAnsi="Times New Roman" w:cs="Times New Roman"/>
          <w:bCs/>
        </w:rPr>
        <w:lastRenderedPageBreak/>
        <w:t>aktív tervező, szervező, irányító munkavégzésre képes. A meghatározott feladatok elvégzése érdekében hatékonyan működteti a vezetésére bízott szervezeteket. A szakterületéhez kapcsolódóan megfelelő áttekintő-, rendszerező-, rendszerszemléletű képességgel rendelkezik</w:t>
      </w:r>
    </w:p>
    <w:p w:rsidR="008C22AB" w:rsidRPr="008C22AB" w:rsidRDefault="008C22AB" w:rsidP="008C22AB">
      <w:pPr>
        <w:widowControl w:val="0"/>
        <w:spacing w:before="120" w:after="120" w:line="240" w:lineRule="auto"/>
        <w:ind w:left="426"/>
        <w:jc w:val="both"/>
        <w:rPr>
          <w:rFonts w:ascii="Times New Roman" w:eastAsia="Calibri" w:hAnsi="Times New Roman" w:cs="Times New Roman"/>
          <w:bCs/>
        </w:rPr>
      </w:pPr>
      <w:r w:rsidRPr="008C22AB">
        <w:rPr>
          <w:rFonts w:ascii="Times New Roman" w:eastAsia="Calibri" w:hAnsi="Times New Roman" w:cs="Times New Roman"/>
          <w:b/>
          <w:bCs/>
        </w:rPr>
        <w:t>Attitűdje:</w:t>
      </w:r>
      <w:r w:rsidRPr="008C22AB">
        <w:rPr>
          <w:rFonts w:ascii="Times New Roman" w:eastAsia="Calibri" w:hAnsi="Times New Roman" w:cs="Times New Roman"/>
          <w:bCs/>
        </w:rPr>
        <w:t xml:space="preserve"> Felismeri az általa irányított szervezet feladatait és lehetőségeit, együttműködik másokkal a különböző jellegű szakmai problémák megoldásában, saját és szervezete tevékenységével szemben kritikus, követelménytámasztó, munkatársaival szemben empatikus, de feladat- és eredménycentrikus, törekszik a kitűzött célok maradéktalan elérésére. </w:t>
      </w:r>
    </w:p>
    <w:p w:rsidR="008C22AB" w:rsidRPr="008C22AB" w:rsidRDefault="008C22AB" w:rsidP="008C22AB">
      <w:pPr>
        <w:widowControl w:val="0"/>
        <w:spacing w:before="120" w:after="120" w:line="240" w:lineRule="auto"/>
        <w:ind w:left="426"/>
        <w:jc w:val="both"/>
        <w:rPr>
          <w:rFonts w:ascii="Times New Roman" w:eastAsia="Calibri" w:hAnsi="Times New Roman" w:cs="Times New Roman"/>
          <w:bCs/>
        </w:rPr>
      </w:pPr>
      <w:r w:rsidRPr="008C22AB">
        <w:rPr>
          <w:rFonts w:ascii="Times New Roman" w:eastAsia="Calibri" w:hAnsi="Times New Roman" w:cs="Times New Roman"/>
          <w:b/>
          <w:bCs/>
        </w:rPr>
        <w:t>Autonómiája és felelőssége:</w:t>
      </w:r>
      <w:r w:rsidRPr="008C22AB">
        <w:rPr>
          <w:rFonts w:ascii="Times New Roman" w:eastAsia="Calibri" w:hAnsi="Times New Roman" w:cs="Times New Roman"/>
          <w:bCs/>
        </w:rPr>
        <w:t xml:space="preserve"> Saját, mások és az általa irányított szervezet munkáját önállóan, kellő felelősséggel tervezi, szervezi, irányítja, ellenőrzi. Vezetői útmutatásokat ad, önellenőrzésre képes.</w:t>
      </w:r>
    </w:p>
    <w:p w:rsidR="008C22AB" w:rsidRPr="008C22AB" w:rsidRDefault="008C22AB" w:rsidP="008C22AB">
      <w:pPr>
        <w:widowControl w:val="0"/>
        <w:spacing w:before="120" w:after="120" w:line="240" w:lineRule="auto"/>
        <w:ind w:left="426"/>
        <w:jc w:val="both"/>
        <w:rPr>
          <w:rFonts w:ascii="Times New Roman" w:eastAsia="Calibri" w:hAnsi="Times New Roman" w:cs="Times New Roman"/>
          <w:b/>
          <w:bCs/>
          <w:lang w:val="en-US"/>
        </w:rPr>
      </w:pPr>
      <w:r w:rsidRPr="008C22AB">
        <w:rPr>
          <w:rFonts w:ascii="Times New Roman" w:eastAsia="Calibri" w:hAnsi="Times New Roman" w:cs="Times New Roman"/>
          <w:b/>
          <w:bCs/>
        </w:rPr>
        <w:t>Elérendő kompetenciák (angolul) (</w:t>
      </w:r>
      <w:r w:rsidRPr="008C22AB">
        <w:rPr>
          <w:rFonts w:ascii="Times New Roman" w:eastAsia="Calibri" w:hAnsi="Times New Roman" w:cs="Times New Roman"/>
          <w:b/>
          <w:bCs/>
          <w:lang w:val="en-US"/>
        </w:rPr>
        <w:t xml:space="preserve">Competences – English): </w:t>
      </w:r>
    </w:p>
    <w:p w:rsidR="008C22AB" w:rsidRPr="008C22AB" w:rsidRDefault="008C22AB" w:rsidP="008C22AB">
      <w:pPr>
        <w:widowControl w:val="0"/>
        <w:spacing w:before="120" w:after="120" w:line="240" w:lineRule="auto"/>
        <w:ind w:left="426"/>
        <w:jc w:val="both"/>
        <w:rPr>
          <w:rFonts w:ascii="Times New Roman" w:eastAsia="Calibri" w:hAnsi="Times New Roman" w:cs="Times New Roman"/>
          <w:lang w:val="en-GB"/>
        </w:rPr>
      </w:pPr>
      <w:r w:rsidRPr="008C22AB">
        <w:rPr>
          <w:rFonts w:ascii="Times New Roman" w:eastAsia="Calibri" w:hAnsi="Times New Roman" w:cs="Times New Roman"/>
          <w:b/>
          <w:lang w:val="en-GB"/>
        </w:rPr>
        <w:t>Knowledge</w:t>
      </w:r>
      <w:r w:rsidRPr="008C22AB">
        <w:rPr>
          <w:rFonts w:ascii="Times New Roman" w:eastAsia="Calibri" w:hAnsi="Times New Roman" w:cs="Times New Roman"/>
          <w:lang w:val="en-GB"/>
        </w:rPr>
        <w:t>: In general, the students know, understand and have an overview of the management system of public service organisations. They are in possession of the knowledge necessary for the management of organisations under special circumstances.</w:t>
      </w:r>
    </w:p>
    <w:p w:rsidR="008C22AB" w:rsidRPr="008C22AB" w:rsidRDefault="008C22AB" w:rsidP="008C22AB">
      <w:pPr>
        <w:widowControl w:val="0"/>
        <w:spacing w:before="120" w:after="120" w:line="240" w:lineRule="auto"/>
        <w:ind w:left="426"/>
        <w:jc w:val="both"/>
        <w:rPr>
          <w:rFonts w:ascii="Times New Roman" w:eastAsia="Calibri" w:hAnsi="Times New Roman" w:cs="Times New Roman"/>
          <w:lang w:val="en-GB"/>
        </w:rPr>
      </w:pPr>
      <w:r w:rsidRPr="008C22AB">
        <w:rPr>
          <w:rFonts w:ascii="Times New Roman" w:eastAsia="Calibri" w:hAnsi="Times New Roman" w:cs="Times New Roman"/>
          <w:b/>
          <w:lang w:val="en-GB"/>
        </w:rPr>
        <w:t>Capabilities</w:t>
      </w:r>
      <w:r w:rsidRPr="008C22AB">
        <w:rPr>
          <w:rFonts w:ascii="Times New Roman" w:eastAsia="Calibri" w:hAnsi="Times New Roman" w:cs="Times New Roman"/>
          <w:lang w:val="en-GB"/>
        </w:rPr>
        <w:t>: In cooperation with other fields of expertise, the students are able to operate the organisations typical of their profession under special circumstances, which are different from normal operating conditions. They are able to carry out lower, middle and high level managerial activities. They are experienced in the staff work, where they are capable of conducting active planning, organising and management. They efficiently operate the organisation they are entrusted to manage, in order to carry out certain tasks. Related to their speciality, they have the ability to overview, systemise and carry out tasks, applying a systemic approach.</w:t>
      </w:r>
    </w:p>
    <w:p w:rsidR="008C22AB" w:rsidRPr="008C22AB" w:rsidRDefault="008C22AB" w:rsidP="008C22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Calibri" w:hAnsi="Times New Roman" w:cs="Times New Roman"/>
          <w:lang w:val="en-GB"/>
        </w:rPr>
      </w:pPr>
      <w:r w:rsidRPr="008C22AB">
        <w:rPr>
          <w:rFonts w:ascii="Times New Roman" w:eastAsia="Calibri" w:hAnsi="Times New Roman" w:cs="Times New Roman"/>
          <w:b/>
          <w:lang w:val="en-GB"/>
        </w:rPr>
        <w:t>Attitude:</w:t>
      </w:r>
      <w:r w:rsidRPr="008C22AB">
        <w:rPr>
          <w:rFonts w:ascii="Times New Roman" w:eastAsia="Calibri" w:hAnsi="Times New Roman" w:cs="Times New Roman"/>
          <w:lang w:val="en-GB"/>
        </w:rPr>
        <w:t xml:space="preserve"> The students recognise the tasks and opportunities of the organisation they manage. They cooperate with other people inside and outside the organisation, in order to solve various types of professional problems. Setting high standards, they are critical of their own activities and those of their organisation. They are empathic with their colleagues, but are task- and result-oriented and strive to fully achieve the objectives pursued.</w:t>
      </w:r>
    </w:p>
    <w:p w:rsidR="008C22AB" w:rsidRPr="008C22AB" w:rsidRDefault="008C22AB" w:rsidP="008C22AB">
      <w:pPr>
        <w:widowControl w:val="0"/>
        <w:spacing w:before="120" w:after="120" w:line="240" w:lineRule="auto"/>
        <w:ind w:left="426"/>
        <w:jc w:val="both"/>
        <w:rPr>
          <w:rFonts w:ascii="Times New Roman" w:eastAsia="Calibri" w:hAnsi="Times New Roman" w:cs="Times New Roman"/>
          <w:lang w:val="en-GB"/>
        </w:rPr>
      </w:pPr>
      <w:r w:rsidRPr="008C22AB">
        <w:rPr>
          <w:rFonts w:ascii="Times New Roman" w:eastAsia="Calibri" w:hAnsi="Times New Roman" w:cs="Times New Roman"/>
          <w:b/>
          <w:lang w:val="en-GB"/>
        </w:rPr>
        <w:t xml:space="preserve">Autonomy and responsibility: </w:t>
      </w:r>
      <w:r w:rsidRPr="008C22AB">
        <w:rPr>
          <w:rFonts w:ascii="Times New Roman" w:eastAsia="Calibri" w:hAnsi="Times New Roman" w:cs="Times New Roman"/>
          <w:lang w:val="en-GB"/>
        </w:rPr>
        <w:t>The students plan, organise and control their own work, that of the others and that of the organisation that they manage independently and with the necessary responsibility. They provide management guidance and are capable of self-check.</w:t>
      </w:r>
    </w:p>
    <w:p w:rsidR="008C22AB" w:rsidRPr="008C22AB" w:rsidRDefault="008C22AB" w:rsidP="00980876">
      <w:pPr>
        <w:widowControl w:val="0"/>
        <w:numPr>
          <w:ilvl w:val="0"/>
          <w:numId w:val="835"/>
        </w:numPr>
        <w:spacing w:before="120" w:after="120" w:line="240" w:lineRule="auto"/>
        <w:ind w:left="426" w:hanging="142"/>
        <w:jc w:val="both"/>
        <w:rPr>
          <w:rFonts w:ascii="Times New Roman" w:eastAsia="Calibri" w:hAnsi="Times New Roman" w:cs="Times New Roman"/>
          <w:bCs/>
        </w:rPr>
      </w:pPr>
      <w:r w:rsidRPr="008C22AB">
        <w:rPr>
          <w:rFonts w:ascii="Times New Roman" w:eastAsia="Calibri" w:hAnsi="Times New Roman" w:cs="Times New Roman"/>
          <w:b/>
          <w:bCs/>
        </w:rPr>
        <w:t xml:space="preserve">Előtanulmányi követelmények: </w:t>
      </w:r>
      <w:r w:rsidRPr="008C22AB">
        <w:rPr>
          <w:rFonts w:ascii="Times New Roman" w:eastAsia="Calibri" w:hAnsi="Times New Roman" w:cs="Times New Roman"/>
          <w:bCs/>
        </w:rPr>
        <w:t>-</w:t>
      </w:r>
    </w:p>
    <w:p w:rsidR="008C22AB" w:rsidRPr="008C22AB" w:rsidRDefault="008C22AB" w:rsidP="00980876">
      <w:pPr>
        <w:widowControl w:val="0"/>
        <w:numPr>
          <w:ilvl w:val="0"/>
          <w:numId w:val="835"/>
        </w:numPr>
        <w:spacing w:before="120" w:after="120" w:line="240" w:lineRule="auto"/>
        <w:ind w:left="426" w:hanging="142"/>
        <w:jc w:val="both"/>
        <w:rPr>
          <w:rFonts w:ascii="Times New Roman" w:eastAsia="Calibri" w:hAnsi="Times New Roman" w:cs="Times New Roman"/>
          <w:b/>
          <w:bCs/>
        </w:rPr>
      </w:pPr>
      <w:r w:rsidRPr="008C22AB">
        <w:rPr>
          <w:rFonts w:ascii="Times New Roman" w:eastAsia="Calibri" w:hAnsi="Times New Roman" w:cs="Times New Roman"/>
          <w:b/>
          <w:bCs/>
        </w:rPr>
        <w:t>A tantárgy tananyagának leírása, tematika. Description of the subject, curriculum (magyarul, angolul - English):</w:t>
      </w:r>
    </w:p>
    <w:p w:rsidR="008C22AB" w:rsidRPr="008C22AB" w:rsidRDefault="008C22AB" w:rsidP="00980876">
      <w:pPr>
        <w:widowControl w:val="0"/>
        <w:numPr>
          <w:ilvl w:val="1"/>
          <w:numId w:val="835"/>
        </w:numPr>
        <w:tabs>
          <w:tab w:val="clear" w:pos="1142"/>
          <w:tab w:val="left" w:pos="709"/>
          <w:tab w:val="left" w:pos="993"/>
        </w:tabs>
        <w:spacing w:before="120" w:after="120" w:line="240" w:lineRule="auto"/>
        <w:ind w:left="426" w:firstLine="0"/>
        <w:jc w:val="both"/>
        <w:rPr>
          <w:rFonts w:ascii="Times New Roman" w:eastAsia="Calibri" w:hAnsi="Times New Roman" w:cs="Times New Roman"/>
          <w:b/>
        </w:rPr>
      </w:pPr>
      <w:r w:rsidRPr="008C22AB">
        <w:rPr>
          <w:rFonts w:ascii="Times New Roman" w:eastAsia="Calibri" w:hAnsi="Times New Roman" w:cs="Times New Roman"/>
          <w:b/>
        </w:rPr>
        <w:t>A Közös Közszolgálati Gyakorlat (</w:t>
      </w:r>
      <w:r w:rsidRPr="008C22AB">
        <w:rPr>
          <w:rFonts w:ascii="Times New Roman" w:eastAsia="Calibri" w:hAnsi="Times New Roman" w:cs="Times New Roman"/>
          <w:b/>
          <w:lang w:val="en-GB"/>
        </w:rPr>
        <w:t>The Joint Public Service Exercise</w:t>
      </w:r>
      <w:r w:rsidRPr="008C22AB">
        <w:rPr>
          <w:rFonts w:ascii="Times New Roman" w:eastAsia="Calibri" w:hAnsi="Times New Roman" w:cs="Times New Roman"/>
          <w:b/>
        </w:rPr>
        <w:t xml:space="preserve">). </w:t>
      </w:r>
    </w:p>
    <w:p w:rsidR="008C22AB" w:rsidRPr="008C22AB" w:rsidRDefault="008C22AB" w:rsidP="008C22AB">
      <w:pPr>
        <w:widowControl w:val="0"/>
        <w:tabs>
          <w:tab w:val="left" w:pos="709"/>
          <w:tab w:val="left" w:pos="993"/>
        </w:tabs>
        <w:spacing w:before="120" w:after="120" w:line="240" w:lineRule="auto"/>
        <w:ind w:left="426"/>
        <w:jc w:val="both"/>
        <w:rPr>
          <w:rFonts w:ascii="Times New Roman" w:eastAsia="Calibri" w:hAnsi="Times New Roman" w:cs="Times New Roman"/>
          <w:b/>
          <w:u w:val="single"/>
        </w:rPr>
      </w:pPr>
      <w:r w:rsidRPr="008C22AB">
        <w:rPr>
          <w:rFonts w:ascii="Times New Roman" w:eastAsia="Calibri" w:hAnsi="Times New Roman" w:cs="Times New Roman"/>
        </w:rPr>
        <w:t>A közös közszolgálati gyakorlat helye és szerepe a képzés rendszerében, levezetésének általános rendje, módszertana. A gyakorlat elgondolásának főbb elemei, a hallgatók végrehajtandó feladatai, a gyakorlatba bevont erők és eszközök. A vezetés rendszere, feladatok végrehajtásának rendje és rendszere. A tervező munka célja, rendszere, és tartalma. Katonai, rendészeti és közigazgatási vezetési modellek. (Nappali: 2. ó. ea,)</w:t>
      </w:r>
    </w:p>
    <w:p w:rsidR="008C22AB" w:rsidRPr="008C22AB" w:rsidRDefault="008C22AB" w:rsidP="00980876">
      <w:pPr>
        <w:widowControl w:val="0"/>
        <w:numPr>
          <w:ilvl w:val="1"/>
          <w:numId w:val="835"/>
        </w:numPr>
        <w:tabs>
          <w:tab w:val="clear" w:pos="1142"/>
          <w:tab w:val="left" w:pos="709"/>
          <w:tab w:val="left" w:pos="993"/>
        </w:tabs>
        <w:spacing w:before="120" w:after="120" w:line="240" w:lineRule="auto"/>
        <w:ind w:left="426" w:firstLine="0"/>
        <w:jc w:val="both"/>
        <w:rPr>
          <w:rFonts w:ascii="Times New Roman" w:eastAsia="Calibri" w:hAnsi="Times New Roman" w:cs="Times New Roman"/>
        </w:rPr>
      </w:pPr>
      <w:r w:rsidRPr="008C22AB">
        <w:rPr>
          <w:rFonts w:ascii="Times New Roman" w:eastAsia="Calibri" w:hAnsi="Times New Roman" w:cs="Times New Roman"/>
        </w:rPr>
        <w:t>A</w:t>
      </w:r>
      <w:r w:rsidRPr="008C22AB">
        <w:rPr>
          <w:rFonts w:ascii="Times New Roman" w:eastAsia="Calibri" w:hAnsi="Times New Roman" w:cs="Times New Roman"/>
          <w:b/>
        </w:rPr>
        <w:t xml:space="preserve"> katonai szervezetek törzsmunkája (The duties of the military staff).</w:t>
      </w:r>
    </w:p>
    <w:p w:rsidR="008C22AB" w:rsidRPr="008C22AB" w:rsidRDefault="008C22AB" w:rsidP="008C22AB">
      <w:pPr>
        <w:widowControl w:val="0"/>
        <w:tabs>
          <w:tab w:val="left" w:pos="709"/>
          <w:tab w:val="left" w:pos="993"/>
        </w:tabs>
        <w:spacing w:before="120" w:after="120" w:line="240" w:lineRule="auto"/>
        <w:ind w:left="426"/>
        <w:jc w:val="both"/>
        <w:rPr>
          <w:rFonts w:ascii="Times New Roman" w:eastAsia="Calibri" w:hAnsi="Times New Roman" w:cs="Times New Roman"/>
        </w:rPr>
      </w:pPr>
      <w:r w:rsidRPr="008C22AB">
        <w:rPr>
          <w:rFonts w:ascii="Times New Roman" w:eastAsia="Calibri" w:hAnsi="Times New Roman" w:cs="Times New Roman"/>
        </w:rPr>
        <w:t>A katonai törzsek összetétele, feladatai, a törzsbe beosztott szolgálati személyek felelőssége, feladatai, együttműködő szervezetekkel való kapcsolattartás és információcsere rendszere. A törzs munkája a katonai műveletek végrehajtása során. Jelentések rendje, munkamódszerek, nyilvántartások. (Nappali: 2. ó. ea)</w:t>
      </w:r>
    </w:p>
    <w:p w:rsidR="008C22AB" w:rsidRPr="008C22AB" w:rsidRDefault="008C22AB" w:rsidP="00980876">
      <w:pPr>
        <w:widowControl w:val="0"/>
        <w:numPr>
          <w:ilvl w:val="1"/>
          <w:numId w:val="835"/>
        </w:numPr>
        <w:tabs>
          <w:tab w:val="clear" w:pos="1142"/>
          <w:tab w:val="left" w:pos="709"/>
          <w:tab w:val="left" w:pos="993"/>
        </w:tabs>
        <w:spacing w:before="120" w:after="120" w:line="240" w:lineRule="auto"/>
        <w:ind w:left="426" w:firstLine="0"/>
        <w:jc w:val="both"/>
        <w:rPr>
          <w:rFonts w:ascii="Times New Roman" w:eastAsia="Calibri" w:hAnsi="Times New Roman" w:cs="Times New Roman"/>
          <w:b/>
        </w:rPr>
      </w:pPr>
      <w:r w:rsidRPr="008C22AB">
        <w:rPr>
          <w:rFonts w:ascii="Times New Roman" w:eastAsia="Calibri" w:hAnsi="Times New Roman" w:cs="Times New Roman"/>
          <w:b/>
        </w:rPr>
        <w:t>A rendészeti szervezetek törzsmunkája (The duties of the law enforcement staff).</w:t>
      </w:r>
    </w:p>
    <w:p w:rsidR="008C22AB" w:rsidRPr="008C22AB" w:rsidRDefault="008C22AB" w:rsidP="008C22AB">
      <w:pPr>
        <w:widowControl w:val="0"/>
        <w:tabs>
          <w:tab w:val="left" w:pos="709"/>
          <w:tab w:val="left" w:pos="993"/>
        </w:tabs>
        <w:spacing w:before="120" w:after="120" w:line="240" w:lineRule="auto"/>
        <w:ind w:left="426"/>
        <w:jc w:val="both"/>
        <w:rPr>
          <w:rFonts w:ascii="Times New Roman" w:eastAsia="Calibri" w:hAnsi="Times New Roman" w:cs="Times New Roman"/>
        </w:rPr>
      </w:pPr>
      <w:r w:rsidRPr="008C22AB">
        <w:rPr>
          <w:rFonts w:ascii="Times New Roman" w:eastAsia="Calibri" w:hAnsi="Times New Roman" w:cs="Times New Roman"/>
        </w:rPr>
        <w:t>Az integrált rendészeti törzs feladata, összetétele, a törzsbe beosztottak feladata, a vezetési pont felépítése. A rendészeti műveletek előkészítése, a parancsnoki munka rendje és tartalma. A törzs munkája a rendészeti művelet végrehajtása során. (Nappali: 2. ó. ea)</w:t>
      </w:r>
    </w:p>
    <w:p w:rsidR="008C22AB" w:rsidRPr="008C22AB" w:rsidRDefault="008C22AB" w:rsidP="00980876">
      <w:pPr>
        <w:widowControl w:val="0"/>
        <w:numPr>
          <w:ilvl w:val="1"/>
          <w:numId w:val="835"/>
        </w:numPr>
        <w:tabs>
          <w:tab w:val="clear" w:pos="1142"/>
          <w:tab w:val="left" w:pos="709"/>
          <w:tab w:val="left" w:pos="993"/>
        </w:tabs>
        <w:spacing w:before="120" w:after="120" w:line="240" w:lineRule="auto"/>
        <w:ind w:left="426" w:firstLine="0"/>
        <w:jc w:val="both"/>
        <w:rPr>
          <w:rFonts w:ascii="Times New Roman" w:eastAsia="Calibri" w:hAnsi="Times New Roman" w:cs="Times New Roman"/>
          <w:b/>
        </w:rPr>
      </w:pPr>
      <w:r w:rsidRPr="008C22AB">
        <w:rPr>
          <w:rFonts w:ascii="Times New Roman" w:eastAsia="Calibri" w:hAnsi="Times New Roman" w:cs="Times New Roman"/>
          <w:b/>
        </w:rPr>
        <w:lastRenderedPageBreak/>
        <w:t>A közigazgatási szervezetek törzsmunkája (The duties of the public administration staff).</w:t>
      </w:r>
    </w:p>
    <w:p w:rsidR="008C22AB" w:rsidRPr="008C22AB" w:rsidRDefault="008C22AB" w:rsidP="008C22AB">
      <w:pPr>
        <w:widowControl w:val="0"/>
        <w:tabs>
          <w:tab w:val="left" w:pos="709"/>
          <w:tab w:val="left" w:pos="993"/>
        </w:tabs>
        <w:spacing w:before="120" w:after="120" w:line="240" w:lineRule="auto"/>
        <w:ind w:left="426"/>
        <w:jc w:val="both"/>
        <w:rPr>
          <w:rFonts w:ascii="Times New Roman" w:eastAsia="Calibri" w:hAnsi="Times New Roman" w:cs="Times New Roman"/>
        </w:rPr>
      </w:pPr>
      <w:r w:rsidRPr="008C22AB">
        <w:rPr>
          <w:rFonts w:ascii="Times New Roman" w:eastAsia="Calibri" w:hAnsi="Times New Roman" w:cs="Times New Roman"/>
        </w:rPr>
        <w:t xml:space="preserve">A közigazgatási szervezetek alap időszaktól eltérő munkamódszerei, a munkacsoportok, válságkezelő csoportok létrehozásának jellemzői, feladatai, azok lehetséges szervezeti felépítése, az egyes szolgálati beosztások feladatkörei, a csoportok jelentési kötelezettségei. (Nappali: 2. ó. ea, Levelező: 1-4 foglalkozás tananyaga 2 ó. ea) </w:t>
      </w:r>
    </w:p>
    <w:p w:rsidR="008C22AB" w:rsidRPr="008C22AB" w:rsidRDefault="008C22AB" w:rsidP="00980876">
      <w:pPr>
        <w:widowControl w:val="0"/>
        <w:numPr>
          <w:ilvl w:val="1"/>
          <w:numId w:val="835"/>
        </w:numPr>
        <w:tabs>
          <w:tab w:val="clear" w:pos="1142"/>
          <w:tab w:val="left" w:pos="709"/>
          <w:tab w:val="left" w:pos="993"/>
        </w:tabs>
        <w:spacing w:before="120" w:after="120" w:line="240" w:lineRule="auto"/>
        <w:ind w:left="426" w:firstLine="0"/>
        <w:jc w:val="both"/>
        <w:rPr>
          <w:rFonts w:ascii="Times New Roman" w:eastAsia="Calibri" w:hAnsi="Times New Roman" w:cs="Times New Roman"/>
          <w:b/>
        </w:rPr>
      </w:pPr>
      <w:r w:rsidRPr="008C22AB">
        <w:rPr>
          <w:rFonts w:ascii="Times New Roman" w:eastAsia="Calibri" w:hAnsi="Times New Roman" w:cs="Times New Roman"/>
          <w:b/>
        </w:rPr>
        <w:t>Egyezményes jelek, az együttműködés alapjai (Conventional signs, the basics of cooperation).</w:t>
      </w:r>
    </w:p>
    <w:p w:rsidR="008C22AB" w:rsidRPr="008C22AB" w:rsidRDefault="008C22AB" w:rsidP="008C22AB">
      <w:pPr>
        <w:widowControl w:val="0"/>
        <w:tabs>
          <w:tab w:val="left" w:pos="709"/>
          <w:tab w:val="left" w:pos="993"/>
        </w:tabs>
        <w:spacing w:before="120" w:after="120" w:line="240" w:lineRule="auto"/>
        <w:ind w:left="426"/>
        <w:jc w:val="both"/>
        <w:rPr>
          <w:rFonts w:ascii="Times New Roman" w:eastAsia="Calibri" w:hAnsi="Times New Roman" w:cs="Times New Roman"/>
        </w:rPr>
      </w:pPr>
      <w:r w:rsidRPr="008C22AB">
        <w:rPr>
          <w:rFonts w:ascii="Times New Roman" w:eastAsia="Calibri" w:hAnsi="Times New Roman" w:cs="Times New Roman"/>
        </w:rPr>
        <w:t>A szervezetek által használt egyezményes jelek, jelkulcsok. A vezetés rendszere, az információ áramlás és a jelentések rendje az együttműködő szervezetek törzsei között. (Nappali: 2. ó. ea,)</w:t>
      </w:r>
    </w:p>
    <w:p w:rsidR="008C22AB" w:rsidRPr="008C22AB" w:rsidRDefault="008C22AB" w:rsidP="00980876">
      <w:pPr>
        <w:widowControl w:val="0"/>
        <w:numPr>
          <w:ilvl w:val="1"/>
          <w:numId w:val="835"/>
        </w:numPr>
        <w:tabs>
          <w:tab w:val="clear" w:pos="1142"/>
          <w:tab w:val="left" w:pos="709"/>
          <w:tab w:val="left" w:pos="993"/>
        </w:tabs>
        <w:spacing w:before="120" w:after="120" w:line="240" w:lineRule="auto"/>
        <w:ind w:left="426" w:firstLine="0"/>
        <w:jc w:val="both"/>
        <w:rPr>
          <w:rFonts w:ascii="Times New Roman" w:eastAsia="Calibri" w:hAnsi="Times New Roman" w:cs="Times New Roman"/>
          <w:b/>
        </w:rPr>
      </w:pPr>
      <w:r w:rsidRPr="008C22AB">
        <w:rPr>
          <w:rFonts w:ascii="Times New Roman" w:eastAsia="Calibri" w:hAnsi="Times New Roman" w:cs="Times New Roman"/>
          <w:b/>
        </w:rPr>
        <w:t xml:space="preserve">A Közös Közszolgálati Gyakorlat előkészítése I. (Preparation of the Joint Public Service Exercise I.). </w:t>
      </w:r>
    </w:p>
    <w:p w:rsidR="008C22AB" w:rsidRPr="008C22AB" w:rsidRDefault="008C22AB" w:rsidP="008C22AB">
      <w:pPr>
        <w:widowControl w:val="0"/>
        <w:tabs>
          <w:tab w:val="left" w:pos="709"/>
          <w:tab w:val="left" w:pos="993"/>
        </w:tabs>
        <w:spacing w:before="120" w:after="120" w:line="240" w:lineRule="auto"/>
        <w:ind w:left="426"/>
        <w:jc w:val="both"/>
        <w:rPr>
          <w:rFonts w:ascii="Times New Roman" w:eastAsia="Calibri" w:hAnsi="Times New Roman" w:cs="Times New Roman"/>
        </w:rPr>
      </w:pPr>
      <w:r w:rsidRPr="008C22AB">
        <w:rPr>
          <w:rFonts w:ascii="Times New Roman" w:eastAsia="Calibri" w:hAnsi="Times New Roman" w:cs="Times New Roman"/>
        </w:rPr>
        <w:t>A gyakorlat helyzetbeállításának ismertetése, a kialakult konfliktus- és veszélyhelyzet kezelésében résztvevő nemzetközi és hazai szervezetek, szervek szerepe, feladata, hatósági jogköre, tevékenysége, amelynek alapján megtervezhető bevonásuk, illetve részvételük a veszélyhelyzetek elhárításában. A „Közös Közszolgálati Feladat” és a „A Kiegészítő Közös Közszolgálati Feladat” átadása a hallgatóknak, értelmezése és útmutatás a feldolgozáshoz. (Nappali: 2. ó. ea, Levelező: 2 ó. ea)</w:t>
      </w:r>
    </w:p>
    <w:p w:rsidR="008C22AB" w:rsidRPr="008C22AB" w:rsidRDefault="008C22AB" w:rsidP="00980876">
      <w:pPr>
        <w:widowControl w:val="0"/>
        <w:numPr>
          <w:ilvl w:val="1"/>
          <w:numId w:val="835"/>
        </w:numPr>
        <w:tabs>
          <w:tab w:val="clear" w:pos="1142"/>
          <w:tab w:val="left" w:pos="709"/>
          <w:tab w:val="left" w:pos="993"/>
        </w:tabs>
        <w:spacing w:before="120" w:after="120" w:line="240" w:lineRule="auto"/>
        <w:ind w:left="426" w:firstLine="0"/>
        <w:jc w:val="both"/>
        <w:rPr>
          <w:rFonts w:ascii="Times New Roman" w:eastAsia="Calibri" w:hAnsi="Times New Roman" w:cs="Times New Roman"/>
          <w:b/>
        </w:rPr>
      </w:pPr>
      <w:r w:rsidRPr="008C22AB">
        <w:rPr>
          <w:rFonts w:ascii="Times New Roman" w:eastAsia="Calibri" w:hAnsi="Times New Roman" w:cs="Times New Roman"/>
          <w:b/>
        </w:rPr>
        <w:t>A Közös Közszolgálati Gyakorlat előkészítése II. (Preparation of the Joint Public Service Exercise II.).</w:t>
      </w:r>
    </w:p>
    <w:p w:rsidR="008C22AB" w:rsidRPr="008C22AB" w:rsidRDefault="008C22AB" w:rsidP="008C22AB">
      <w:pPr>
        <w:widowControl w:val="0"/>
        <w:tabs>
          <w:tab w:val="left" w:pos="709"/>
          <w:tab w:val="left" w:pos="993"/>
        </w:tabs>
        <w:spacing w:before="120" w:after="120" w:line="240" w:lineRule="auto"/>
        <w:ind w:left="426"/>
        <w:jc w:val="both"/>
        <w:rPr>
          <w:rFonts w:ascii="Times New Roman" w:eastAsia="Calibri" w:hAnsi="Times New Roman" w:cs="Times New Roman"/>
        </w:rPr>
      </w:pPr>
      <w:r w:rsidRPr="008C22AB">
        <w:rPr>
          <w:rFonts w:ascii="Times New Roman" w:eastAsia="Calibri" w:hAnsi="Times New Roman" w:cs="Times New Roman"/>
        </w:rPr>
        <w:t>A kialakult konfliktus- és veszélyhelyzet kezelésében résztvevő szervezetek tevékenysége és azok együttműködése a beállított feladat alapján. Zárthelyi dolgozat (Nappali: 2. ó. ea, Levelező: 2 ó. ea)</w:t>
      </w:r>
    </w:p>
    <w:p w:rsidR="008C22AB" w:rsidRPr="008C22AB" w:rsidRDefault="008C22AB" w:rsidP="00980876">
      <w:pPr>
        <w:widowControl w:val="0"/>
        <w:numPr>
          <w:ilvl w:val="1"/>
          <w:numId w:val="835"/>
        </w:numPr>
        <w:tabs>
          <w:tab w:val="clear" w:pos="1142"/>
          <w:tab w:val="left" w:pos="709"/>
          <w:tab w:val="left" w:pos="993"/>
        </w:tabs>
        <w:spacing w:before="120" w:after="120" w:line="240" w:lineRule="auto"/>
        <w:ind w:left="426" w:firstLine="0"/>
        <w:jc w:val="both"/>
        <w:rPr>
          <w:rFonts w:ascii="Times New Roman" w:eastAsia="Calibri" w:hAnsi="Times New Roman" w:cs="Times New Roman"/>
          <w:b/>
        </w:rPr>
      </w:pPr>
      <w:r w:rsidRPr="008C22AB">
        <w:rPr>
          <w:rFonts w:ascii="Times New Roman" w:eastAsia="Calibri" w:hAnsi="Times New Roman" w:cs="Times New Roman"/>
          <w:b/>
        </w:rPr>
        <w:t>A Közös Közszolgálati Gyakorlat levezetése - I. mozzanat (Conducting the Joint Public Service Exercise – Phase I).</w:t>
      </w:r>
    </w:p>
    <w:p w:rsidR="008C22AB" w:rsidRPr="008C22AB" w:rsidRDefault="008C22AB" w:rsidP="008C22AB">
      <w:pPr>
        <w:widowControl w:val="0"/>
        <w:tabs>
          <w:tab w:val="left" w:pos="709"/>
          <w:tab w:val="left" w:pos="993"/>
        </w:tabs>
        <w:spacing w:before="120" w:after="120" w:line="240" w:lineRule="auto"/>
        <w:ind w:left="426"/>
        <w:jc w:val="both"/>
        <w:rPr>
          <w:rFonts w:ascii="Times New Roman" w:eastAsia="Calibri" w:hAnsi="Times New Roman" w:cs="Times New Roman"/>
        </w:rPr>
      </w:pPr>
      <w:r w:rsidRPr="008C22AB">
        <w:rPr>
          <w:rFonts w:ascii="Times New Roman" w:eastAsia="Calibri" w:hAnsi="Times New Roman" w:cs="Times New Roman"/>
        </w:rPr>
        <w:t>A kialakult konfliktus- és veszélyhelyzet, kezelésében résztvevő szervezetek tevékenysége és azok együttműködése a beállított feladat alapján. (Nappali: 8. ó. gyak,)</w:t>
      </w:r>
    </w:p>
    <w:p w:rsidR="008C22AB" w:rsidRPr="008C22AB" w:rsidRDefault="008C22AB" w:rsidP="00980876">
      <w:pPr>
        <w:widowControl w:val="0"/>
        <w:numPr>
          <w:ilvl w:val="1"/>
          <w:numId w:val="835"/>
        </w:numPr>
        <w:tabs>
          <w:tab w:val="clear" w:pos="1142"/>
          <w:tab w:val="left" w:pos="709"/>
          <w:tab w:val="left" w:pos="993"/>
        </w:tabs>
        <w:spacing w:before="120" w:after="120" w:line="240" w:lineRule="auto"/>
        <w:ind w:left="426" w:firstLine="0"/>
        <w:jc w:val="both"/>
        <w:rPr>
          <w:rFonts w:ascii="Times New Roman" w:eastAsia="Calibri" w:hAnsi="Times New Roman" w:cs="Times New Roman"/>
          <w:b/>
        </w:rPr>
      </w:pPr>
      <w:r w:rsidRPr="008C22AB">
        <w:rPr>
          <w:rFonts w:ascii="Times New Roman" w:eastAsia="Calibri" w:hAnsi="Times New Roman" w:cs="Times New Roman"/>
          <w:b/>
        </w:rPr>
        <w:t>A Közös Közszolgálati Gyakorlat levezetése - II. mozzanat (Conducting the Joint Public Service Exercise – Phase II).</w:t>
      </w:r>
    </w:p>
    <w:p w:rsidR="008C22AB" w:rsidRPr="008C22AB" w:rsidRDefault="008C22AB" w:rsidP="008C22AB">
      <w:pPr>
        <w:widowControl w:val="0"/>
        <w:tabs>
          <w:tab w:val="left" w:pos="709"/>
          <w:tab w:val="left" w:pos="993"/>
        </w:tabs>
        <w:spacing w:before="120" w:after="120" w:line="240" w:lineRule="auto"/>
        <w:ind w:left="426"/>
        <w:jc w:val="both"/>
        <w:rPr>
          <w:rFonts w:ascii="Times New Roman" w:eastAsia="Calibri" w:hAnsi="Times New Roman" w:cs="Times New Roman"/>
        </w:rPr>
      </w:pPr>
      <w:r w:rsidRPr="008C22AB">
        <w:rPr>
          <w:rFonts w:ascii="Times New Roman" w:eastAsia="Calibri" w:hAnsi="Times New Roman" w:cs="Times New Roman"/>
        </w:rPr>
        <w:t>A kialakult konfliktus- és veszélyhelyzet kezelésében résztvevő szervezetek tevékenysége és azok együttműködése a beállított feladat alapján. (Nappali: 6. ó. gyak, Levelező képzésben 12.8., 12.9. foglalkozáson a gyakorlat lefolyása és terve kerül ismertetésre 2 ó. gyak)</w:t>
      </w:r>
    </w:p>
    <w:p w:rsidR="008C22AB" w:rsidRPr="008C22AB" w:rsidRDefault="008C22AB" w:rsidP="00980876">
      <w:pPr>
        <w:widowControl w:val="0"/>
        <w:numPr>
          <w:ilvl w:val="0"/>
          <w:numId w:val="835"/>
        </w:numPr>
        <w:spacing w:before="120" w:after="120" w:line="240" w:lineRule="auto"/>
        <w:ind w:left="426" w:hanging="142"/>
        <w:jc w:val="both"/>
        <w:rPr>
          <w:rFonts w:ascii="Times New Roman" w:eastAsia="Calibri" w:hAnsi="Times New Roman" w:cs="Times New Roman"/>
          <w:bCs/>
        </w:rPr>
      </w:pPr>
      <w:r w:rsidRPr="008C22AB">
        <w:rPr>
          <w:rFonts w:ascii="Times New Roman" w:eastAsia="Calibri" w:hAnsi="Times New Roman" w:cs="Times New Roman"/>
          <w:b/>
          <w:bCs/>
        </w:rPr>
        <w:t xml:space="preserve">A tantárgy meghirdetésének gyakorisága/a tantervben történő félévi elhelyezkedése: </w:t>
      </w:r>
      <w:r w:rsidRPr="008C22AB">
        <w:rPr>
          <w:rFonts w:ascii="Times New Roman" w:eastAsia="Calibri" w:hAnsi="Times New Roman" w:cs="Times New Roman"/>
          <w:bCs/>
        </w:rPr>
        <w:t>a képzés utolsó tanulmányi félévében - a gyakorlati rész a szemeszter végén kerül levezetésre, kivéve a Hadtudományi és Honvédtisztképző Kar alapképzéseit, ahol a 6. félévben történik meg a képzés.</w:t>
      </w:r>
    </w:p>
    <w:p w:rsidR="008C22AB" w:rsidRPr="008C22AB" w:rsidRDefault="008C22AB" w:rsidP="00980876">
      <w:pPr>
        <w:widowControl w:val="0"/>
        <w:numPr>
          <w:ilvl w:val="0"/>
          <w:numId w:val="835"/>
        </w:numPr>
        <w:spacing w:before="120" w:after="120" w:line="240" w:lineRule="auto"/>
        <w:ind w:left="426" w:hanging="142"/>
        <w:jc w:val="both"/>
        <w:rPr>
          <w:rFonts w:ascii="Times New Roman" w:eastAsia="Calibri" w:hAnsi="Times New Roman" w:cs="Times New Roman"/>
          <w:bCs/>
        </w:rPr>
      </w:pPr>
      <w:r w:rsidRPr="008C22AB">
        <w:rPr>
          <w:rFonts w:ascii="Times New Roman" w:eastAsia="Calibri" w:hAnsi="Times New Roman" w:cs="Times New Roman"/>
          <w:b/>
          <w:bCs/>
        </w:rPr>
        <w:t>A tanórákon való részvétel követelményei, az elfogadható hiányzások mértéke, a távolmaradás pótlásának lehetősége:</w:t>
      </w:r>
      <w:r w:rsidRPr="008C22AB">
        <w:rPr>
          <w:rFonts w:ascii="Times New Roman" w:eastAsia="Calibri" w:hAnsi="Times New Roman" w:cs="Times New Roman"/>
          <w:bCs/>
        </w:rPr>
        <w:t xml:space="preserve"> A hallgatónak a tanórák legalább 70 %-án jelen kell lennie, 30 % ot meghaladó hiányzás esetén a félév teljesítése nem írható alá. A hallgató köteles az előadás és a gyakorlat anyagát beszerezni, abból önállóan felkészülni. A hallgatónak jelen kell lennie a Közös Közszolgálati Gyakorlaton, amennyiben neki fel nem róható okból hiányzik és azt igazolja, akkor a közös közszolgálati gyakorlat levezetési tervéből és a meghatározott szakirodalomból felkészülve, szóbeli számonkérés során szerzi meg a gyakorlati jegyet (ötfokozatú értékelés).  </w:t>
      </w:r>
    </w:p>
    <w:p w:rsidR="008C22AB" w:rsidRPr="008C22AB" w:rsidRDefault="008C22AB" w:rsidP="00980876">
      <w:pPr>
        <w:widowControl w:val="0"/>
        <w:numPr>
          <w:ilvl w:val="0"/>
          <w:numId w:val="835"/>
        </w:numPr>
        <w:spacing w:before="120" w:after="120" w:line="240" w:lineRule="auto"/>
        <w:ind w:left="426" w:hanging="142"/>
        <w:jc w:val="both"/>
        <w:rPr>
          <w:rFonts w:ascii="Times New Roman" w:eastAsia="Calibri" w:hAnsi="Times New Roman" w:cs="Times New Roman"/>
          <w:bCs/>
        </w:rPr>
      </w:pPr>
      <w:r w:rsidRPr="008C22AB">
        <w:rPr>
          <w:rFonts w:ascii="Times New Roman" w:eastAsia="Calibri" w:hAnsi="Times New Roman" w:cs="Times New Roman"/>
          <w:b/>
        </w:rPr>
        <w:t>Félévközi feladatok, ismeretek ellenőrzésének rendje:</w:t>
      </w:r>
      <w:r w:rsidRPr="008C22AB">
        <w:rPr>
          <w:rFonts w:ascii="Times New Roman" w:eastAsia="Calibri" w:hAnsi="Times New Roman" w:cs="Times New Roman"/>
          <w:bCs/>
        </w:rPr>
        <w:t xml:space="preserve"> </w:t>
      </w:r>
      <w:r w:rsidRPr="008C22AB">
        <w:rPr>
          <w:rFonts w:ascii="Times New Roman" w:eastAsia="Calibri" w:hAnsi="Times New Roman" w:cs="Times New Roman"/>
        </w:rPr>
        <w:t>A tanulmányi munka alapja az előadások látogatása (a 14. pont szerint), a foglalkozások témájából kiselőadás tartása, a 12.7 foglalkozáson a zárthelyi dolgozat megírása, a Közös Közszolgálati Gyakorlat levezetési tervének ismerete és a gyakorlaton való eredményes szereplés. A zárthelyi dolgozat értékelése: ötfokozatú értékelés – (a helyes válaszok aránya 0-60% elégtelen; 61-70% elégséges; 71-80% közepes; 81-90% jó; 91-</w:t>
      </w:r>
      <w:r w:rsidRPr="008C22AB">
        <w:rPr>
          <w:rFonts w:ascii="Times New Roman" w:eastAsia="Calibri" w:hAnsi="Times New Roman" w:cs="Times New Roman"/>
        </w:rPr>
        <w:lastRenderedPageBreak/>
        <w:t>100% jeles osztályzat). Eredménytelen zárthelyi dolgozat kétszer javítható.</w:t>
      </w:r>
    </w:p>
    <w:p w:rsidR="008C22AB" w:rsidRPr="008C22AB" w:rsidRDefault="008C22AB" w:rsidP="00980876">
      <w:pPr>
        <w:widowControl w:val="0"/>
        <w:numPr>
          <w:ilvl w:val="0"/>
          <w:numId w:val="835"/>
        </w:numPr>
        <w:spacing w:before="120" w:after="120" w:line="240" w:lineRule="auto"/>
        <w:ind w:left="426" w:hanging="142"/>
        <w:jc w:val="both"/>
        <w:rPr>
          <w:rFonts w:ascii="Times New Roman" w:eastAsia="Calibri" w:hAnsi="Times New Roman" w:cs="Times New Roman"/>
          <w:b/>
          <w:bCs/>
        </w:rPr>
      </w:pPr>
      <w:r w:rsidRPr="008C22AB">
        <w:rPr>
          <w:rFonts w:ascii="Times New Roman" w:eastAsia="Calibri" w:hAnsi="Times New Roman" w:cs="Times New Roman"/>
          <w:b/>
          <w:bCs/>
        </w:rPr>
        <w:t xml:space="preserve">Az értékelés, az aláírás és a kreditek megszerzésének pontos feltételei: </w:t>
      </w:r>
    </w:p>
    <w:p w:rsidR="008C22AB" w:rsidRPr="008C22AB" w:rsidRDefault="008C22AB" w:rsidP="00980876">
      <w:pPr>
        <w:widowControl w:val="0"/>
        <w:numPr>
          <w:ilvl w:val="1"/>
          <w:numId w:val="835"/>
        </w:numPr>
        <w:tabs>
          <w:tab w:val="clear" w:pos="1142"/>
          <w:tab w:val="left" w:pos="709"/>
          <w:tab w:val="left" w:pos="993"/>
        </w:tabs>
        <w:spacing w:before="120" w:after="120" w:line="240" w:lineRule="auto"/>
        <w:ind w:left="426" w:firstLine="0"/>
        <w:jc w:val="both"/>
        <w:rPr>
          <w:rFonts w:ascii="Times New Roman" w:eastAsia="Calibri" w:hAnsi="Times New Roman" w:cs="Times New Roman"/>
        </w:rPr>
      </w:pPr>
      <w:r w:rsidRPr="008C22AB">
        <w:rPr>
          <w:rFonts w:ascii="Times New Roman" w:eastAsia="Calibri" w:hAnsi="Times New Roman" w:cs="Times New Roman"/>
          <w:b/>
        </w:rPr>
        <w:t>Az aláírás megszerzésének feltételei:</w:t>
      </w:r>
      <w:r w:rsidRPr="008C22AB">
        <w:rPr>
          <w:rFonts w:ascii="Times New Roman" w:eastAsia="Calibri" w:hAnsi="Times New Roman" w:cs="Times New Roman"/>
        </w:rPr>
        <w:t xml:space="preserve"> a tanórákon és a közös közszolgálati gyakorlaton való részvétel a 14. pontban meghatározottak szerint.</w:t>
      </w:r>
    </w:p>
    <w:p w:rsidR="008C22AB" w:rsidRPr="008C22AB" w:rsidRDefault="008C22AB" w:rsidP="00980876">
      <w:pPr>
        <w:widowControl w:val="0"/>
        <w:numPr>
          <w:ilvl w:val="1"/>
          <w:numId w:val="835"/>
        </w:numPr>
        <w:tabs>
          <w:tab w:val="clear" w:pos="1142"/>
          <w:tab w:val="left" w:pos="709"/>
          <w:tab w:val="left" w:pos="993"/>
        </w:tabs>
        <w:spacing w:before="120" w:after="120" w:line="240" w:lineRule="auto"/>
        <w:ind w:left="426" w:firstLine="0"/>
        <w:jc w:val="both"/>
        <w:rPr>
          <w:rFonts w:ascii="Times New Roman" w:eastAsia="Calibri" w:hAnsi="Times New Roman" w:cs="Times New Roman"/>
        </w:rPr>
      </w:pPr>
      <w:r w:rsidRPr="008C22AB">
        <w:rPr>
          <w:rFonts w:ascii="Times New Roman" w:eastAsia="Calibri" w:hAnsi="Times New Roman" w:cs="Times New Roman"/>
          <w:b/>
        </w:rPr>
        <w:t>Az értékelés:</w:t>
      </w:r>
      <w:r w:rsidRPr="008C22AB">
        <w:rPr>
          <w:rFonts w:ascii="Times New Roman" w:eastAsia="Calibri" w:hAnsi="Times New Roman" w:cs="Times New Roman"/>
        </w:rPr>
        <w:t xml:space="preserve"> gyakorlati jegy, ötfokozatú értékelés, a 12.7. pontban meghatározott zárthelyi dolgozat eredménye és a közös közszolgálati gyakorlaton nyújtott teljesítmény (ötfokozatú értékelés. Aki kiselőadást tartott, a teljesítménye beszámít a közös közszolgálati gyakorlaton nyújtott értékelésébe.)</w:t>
      </w:r>
      <w:r w:rsidRPr="008C22AB">
        <w:rPr>
          <w:rFonts w:ascii="Times New Roman" w:eastAsia="Calibri" w:hAnsi="Times New Roman" w:cs="Times New Roman"/>
          <w:i/>
        </w:rPr>
        <w:t xml:space="preserve"> </w:t>
      </w:r>
      <w:r w:rsidRPr="008C22AB">
        <w:rPr>
          <w:rFonts w:ascii="Times New Roman" w:eastAsia="Calibri" w:hAnsi="Times New Roman" w:cs="Times New Roman"/>
        </w:rPr>
        <w:t xml:space="preserve">eredményének számtani átlaga. Levelező munkarendes képzés esetén a zárthelyi dolgozat eredménye és a meghatározott feladat leadására kapott ötfokozatú értékelés számtani átlaga. </w:t>
      </w:r>
    </w:p>
    <w:p w:rsidR="008C22AB" w:rsidRPr="008C22AB" w:rsidRDefault="008C22AB" w:rsidP="00980876">
      <w:pPr>
        <w:widowControl w:val="0"/>
        <w:numPr>
          <w:ilvl w:val="1"/>
          <w:numId w:val="835"/>
        </w:numPr>
        <w:tabs>
          <w:tab w:val="clear" w:pos="1142"/>
          <w:tab w:val="left" w:pos="709"/>
          <w:tab w:val="left" w:pos="993"/>
        </w:tabs>
        <w:spacing w:before="120" w:after="120" w:line="240" w:lineRule="auto"/>
        <w:ind w:left="426" w:firstLine="0"/>
        <w:jc w:val="both"/>
        <w:rPr>
          <w:rFonts w:ascii="Times New Roman" w:eastAsia="Calibri" w:hAnsi="Times New Roman" w:cs="Times New Roman"/>
        </w:rPr>
      </w:pPr>
      <w:r w:rsidRPr="008C22AB">
        <w:rPr>
          <w:rFonts w:ascii="Times New Roman" w:eastAsia="Calibri" w:hAnsi="Times New Roman" w:cs="Times New Roman"/>
          <w:b/>
        </w:rPr>
        <w:t>A kreditek megszerzésének feltételei:</w:t>
      </w:r>
      <w:r w:rsidRPr="008C22AB">
        <w:rPr>
          <w:rFonts w:ascii="Times New Roman" w:eastAsia="Calibri" w:hAnsi="Times New Roman" w:cs="Times New Roman"/>
        </w:rPr>
        <w:t xml:space="preserve"> az aláírás megszerzése és legalább elégséges gyakorlati jegy.</w:t>
      </w:r>
    </w:p>
    <w:p w:rsidR="008C22AB" w:rsidRPr="008C22AB" w:rsidRDefault="008C22AB" w:rsidP="00980876">
      <w:pPr>
        <w:widowControl w:val="0"/>
        <w:numPr>
          <w:ilvl w:val="0"/>
          <w:numId w:val="835"/>
        </w:numPr>
        <w:spacing w:before="120" w:after="120" w:line="240" w:lineRule="auto"/>
        <w:ind w:left="426" w:hanging="142"/>
        <w:jc w:val="both"/>
        <w:rPr>
          <w:rFonts w:ascii="Times New Roman" w:eastAsia="Calibri" w:hAnsi="Times New Roman" w:cs="Times New Roman"/>
          <w:bCs/>
        </w:rPr>
      </w:pPr>
      <w:r w:rsidRPr="008C22AB">
        <w:rPr>
          <w:rFonts w:ascii="Times New Roman" w:eastAsia="Calibri" w:hAnsi="Times New Roman" w:cs="Times New Roman"/>
          <w:b/>
          <w:bCs/>
        </w:rPr>
        <w:t>Irodalomjegyzék:</w:t>
      </w:r>
    </w:p>
    <w:p w:rsidR="008C22AB" w:rsidRPr="008C22AB" w:rsidRDefault="008C22AB" w:rsidP="00980876">
      <w:pPr>
        <w:widowControl w:val="0"/>
        <w:numPr>
          <w:ilvl w:val="1"/>
          <w:numId w:val="835"/>
        </w:numPr>
        <w:tabs>
          <w:tab w:val="clear" w:pos="1142"/>
          <w:tab w:val="left" w:pos="567"/>
          <w:tab w:val="left" w:pos="851"/>
        </w:tabs>
        <w:spacing w:before="120" w:after="120" w:line="240" w:lineRule="auto"/>
        <w:ind w:left="426" w:hanging="142"/>
        <w:jc w:val="both"/>
        <w:rPr>
          <w:rFonts w:ascii="Times New Roman" w:eastAsia="Calibri" w:hAnsi="Times New Roman" w:cs="Times New Roman"/>
          <w:bCs/>
        </w:rPr>
      </w:pPr>
      <w:r w:rsidRPr="008C22AB">
        <w:rPr>
          <w:rFonts w:ascii="Times New Roman" w:eastAsia="Calibri" w:hAnsi="Times New Roman" w:cs="Times New Roman"/>
          <w:b/>
          <w:bCs/>
        </w:rPr>
        <w:t>Kötelező irodalom:</w:t>
      </w:r>
    </w:p>
    <w:p w:rsidR="008C22AB" w:rsidRPr="008C22AB" w:rsidRDefault="008C22AB" w:rsidP="00980876">
      <w:pPr>
        <w:widowControl w:val="0"/>
        <w:numPr>
          <w:ilvl w:val="0"/>
          <w:numId w:val="836"/>
        </w:numPr>
        <w:spacing w:after="0" w:line="240" w:lineRule="auto"/>
        <w:jc w:val="both"/>
        <w:rPr>
          <w:rFonts w:ascii="Times New Roman" w:eastAsia="Calibri" w:hAnsi="Times New Roman" w:cs="Times New Roman"/>
        </w:rPr>
      </w:pPr>
      <w:r w:rsidRPr="008C22AB">
        <w:rPr>
          <w:rFonts w:ascii="Times New Roman" w:eastAsia="Calibri" w:hAnsi="Times New Roman" w:cs="Times New Roman"/>
        </w:rPr>
        <w:t>Hornyacsek Júlia: (szerk.): A védelmi igazgatás rendszere és a honvédelmi igazgatással való kapcsolatának elméleti és gyakorlati összefüggései. Dialóg Campus Kiadó Budapest 2019. ISBN 978-615-5945-67-0</w:t>
      </w:r>
    </w:p>
    <w:p w:rsidR="008C22AB" w:rsidRPr="008C22AB" w:rsidRDefault="008C22AB" w:rsidP="00980876">
      <w:pPr>
        <w:widowControl w:val="0"/>
        <w:numPr>
          <w:ilvl w:val="0"/>
          <w:numId w:val="836"/>
        </w:numPr>
        <w:spacing w:after="0" w:line="240" w:lineRule="auto"/>
        <w:jc w:val="both"/>
        <w:rPr>
          <w:rFonts w:ascii="Times New Roman" w:eastAsia="Calibri" w:hAnsi="Times New Roman" w:cs="Times New Roman"/>
        </w:rPr>
      </w:pPr>
      <w:r w:rsidRPr="008C22AB">
        <w:rPr>
          <w:rFonts w:ascii="Times New Roman" w:eastAsia="Calibri" w:hAnsi="Times New Roman" w:cs="Times New Roman"/>
        </w:rPr>
        <w:t>Kovács Gábor: A rendészeti szervezetekben lejátszódó vezetési folyamatok. Dialog Campus Budapest 2018. ISBN: 978-615-5527-95-1</w:t>
      </w:r>
    </w:p>
    <w:p w:rsidR="008C22AB" w:rsidRPr="008C22AB" w:rsidRDefault="008C22AB" w:rsidP="00980876">
      <w:pPr>
        <w:widowControl w:val="0"/>
        <w:numPr>
          <w:ilvl w:val="0"/>
          <w:numId w:val="836"/>
        </w:numPr>
        <w:spacing w:after="0" w:line="240" w:lineRule="auto"/>
        <w:jc w:val="both"/>
        <w:rPr>
          <w:rFonts w:ascii="Times New Roman" w:eastAsia="Calibri" w:hAnsi="Times New Roman" w:cs="Times New Roman"/>
        </w:rPr>
      </w:pPr>
      <w:r w:rsidRPr="008C22AB">
        <w:rPr>
          <w:rFonts w:ascii="Times New Roman" w:eastAsia="Calibri" w:hAnsi="Times New Roman" w:cs="Times New Roman"/>
        </w:rPr>
        <w:t>Kovács Gábor (szerk.): Közszolgálati műveletirányítási rendszerek</w:t>
      </w:r>
      <w:r w:rsidRPr="008C22AB">
        <w:rPr>
          <w:rFonts w:ascii="Times New Roman" w:eastAsia="Calibri" w:hAnsi="Times New Roman" w:cs="Times New Roman"/>
          <w:i/>
        </w:rPr>
        <w:t>.</w:t>
      </w:r>
      <w:r w:rsidRPr="008C22AB">
        <w:rPr>
          <w:rFonts w:ascii="Times New Roman" w:eastAsia="Calibri" w:hAnsi="Times New Roman" w:cs="Times New Roman"/>
        </w:rPr>
        <w:t xml:space="preserve"> Dialog Campus Budapest 2017. ISBN: 978-615-5845-29-1</w:t>
      </w:r>
    </w:p>
    <w:p w:rsidR="008C22AB" w:rsidRPr="008C22AB" w:rsidRDefault="008C22AB" w:rsidP="00980876">
      <w:pPr>
        <w:widowControl w:val="0"/>
        <w:numPr>
          <w:ilvl w:val="1"/>
          <w:numId w:val="835"/>
        </w:numPr>
        <w:tabs>
          <w:tab w:val="clear" w:pos="1142"/>
        </w:tabs>
        <w:spacing w:before="120" w:after="120" w:line="240" w:lineRule="auto"/>
        <w:ind w:left="993" w:hanging="709"/>
        <w:jc w:val="both"/>
        <w:rPr>
          <w:rFonts w:ascii="Times New Roman" w:eastAsia="Calibri" w:hAnsi="Times New Roman" w:cs="Times New Roman"/>
          <w:b/>
          <w:bCs/>
        </w:rPr>
      </w:pPr>
      <w:r w:rsidRPr="008C22AB">
        <w:rPr>
          <w:rFonts w:ascii="Times New Roman" w:eastAsia="Calibri" w:hAnsi="Times New Roman" w:cs="Times New Roman"/>
          <w:b/>
          <w:bCs/>
        </w:rPr>
        <w:t>Ajánlott irodalom:</w:t>
      </w:r>
    </w:p>
    <w:p w:rsidR="008C22AB" w:rsidRPr="008C22AB" w:rsidRDefault="008C22AB" w:rsidP="00980876">
      <w:pPr>
        <w:widowControl w:val="0"/>
        <w:numPr>
          <w:ilvl w:val="0"/>
          <w:numId w:val="834"/>
        </w:numPr>
        <w:spacing w:after="0" w:line="240" w:lineRule="auto"/>
        <w:ind w:left="714" w:hanging="357"/>
        <w:contextualSpacing/>
        <w:jc w:val="both"/>
        <w:rPr>
          <w:rFonts w:ascii="Times New Roman" w:eastAsia="Calibri" w:hAnsi="Times New Roman" w:cs="Times New Roman"/>
          <w:bCs/>
        </w:rPr>
      </w:pPr>
      <w:r w:rsidRPr="008C22AB">
        <w:rPr>
          <w:rFonts w:ascii="Times New Roman" w:eastAsia="Calibri" w:hAnsi="Times New Roman" w:cs="Times New Roman"/>
          <w:bCs/>
        </w:rPr>
        <w:t>Horváth József-Kovács Gábor (szerk.): Pályakezdő Rendőrtisztek Kézikönyve. NKE 2016. Budapest, ISBN: 978-615-5527-95-1</w:t>
      </w:r>
    </w:p>
    <w:p w:rsidR="008C22AB" w:rsidRPr="008C22AB" w:rsidRDefault="008C22AB" w:rsidP="00980876">
      <w:pPr>
        <w:widowControl w:val="0"/>
        <w:numPr>
          <w:ilvl w:val="0"/>
          <w:numId w:val="834"/>
        </w:numPr>
        <w:spacing w:after="0" w:line="240" w:lineRule="auto"/>
        <w:ind w:left="714" w:hanging="357"/>
        <w:contextualSpacing/>
        <w:jc w:val="both"/>
        <w:rPr>
          <w:rFonts w:ascii="Times New Roman" w:eastAsia="Calibri" w:hAnsi="Times New Roman" w:cs="Times New Roman"/>
          <w:bCs/>
        </w:rPr>
      </w:pPr>
      <w:r w:rsidRPr="008C22AB">
        <w:rPr>
          <w:rFonts w:ascii="Times New Roman" w:eastAsia="Calibri" w:hAnsi="Times New Roman" w:cs="Times New Roman"/>
          <w:bCs/>
        </w:rPr>
        <w:t>Schweickhardt Gotthilf (szerk.): A Katasztrófavédelem vezetési módszertani kézikönyve. NKE 2014. ISBN: 978-615-5305-79-5</w:t>
      </w:r>
    </w:p>
    <w:p w:rsidR="008C22AB" w:rsidRPr="008C22AB" w:rsidRDefault="008C22AB" w:rsidP="008C22AB">
      <w:pPr>
        <w:widowControl w:val="0"/>
        <w:spacing w:before="120" w:after="0" w:line="240" w:lineRule="auto"/>
        <w:ind w:left="357"/>
        <w:jc w:val="both"/>
        <w:rPr>
          <w:rFonts w:ascii="Times New Roman" w:eastAsia="Calibri" w:hAnsi="Times New Roman" w:cs="Times New Roman"/>
          <w:bCs/>
        </w:rPr>
      </w:pPr>
      <w:r w:rsidRPr="008C22AB">
        <w:rPr>
          <w:rFonts w:ascii="Times New Roman" w:eastAsia="Calibri" w:hAnsi="Times New Roman" w:cs="Times New Roman"/>
          <w:bCs/>
        </w:rPr>
        <w:t>Budapest, 2020. április 30.</w:t>
      </w:r>
    </w:p>
    <w:p w:rsidR="008C22AB" w:rsidRPr="008C22AB" w:rsidRDefault="008C22AB" w:rsidP="008C22AB">
      <w:pPr>
        <w:widowControl w:val="0"/>
        <w:spacing w:after="0" w:line="240" w:lineRule="auto"/>
        <w:jc w:val="right"/>
        <w:rPr>
          <w:rFonts w:ascii="Times New Roman" w:eastAsia="Calibri" w:hAnsi="Times New Roman" w:cs="Times New Roman"/>
        </w:rPr>
      </w:pPr>
      <w:r w:rsidRPr="008C22AB">
        <w:rPr>
          <w:rFonts w:ascii="Times New Roman" w:eastAsia="Calibri" w:hAnsi="Times New Roman" w:cs="Times New Roman"/>
          <w:bCs/>
        </w:rPr>
        <w:t>.</w:t>
      </w:r>
    </w:p>
    <w:p w:rsidR="009B01B1" w:rsidRPr="009B01B1" w:rsidRDefault="009B01B1" w:rsidP="009B01B1">
      <w:pPr>
        <w:widowControl w:val="0"/>
        <w:spacing w:after="0" w:line="240" w:lineRule="auto"/>
        <w:jc w:val="right"/>
        <w:rPr>
          <w:rFonts w:ascii="Times New Roman" w:hAnsi="Times New Roman" w:cs="Times New Roman"/>
          <w:b/>
          <w:bCs/>
        </w:rPr>
      </w:pPr>
      <w:r w:rsidRPr="009B01B1">
        <w:rPr>
          <w:rFonts w:ascii="Times New Roman" w:hAnsi="Times New Roman" w:cs="Times New Roman"/>
          <w:b/>
          <w:bCs/>
        </w:rPr>
        <w:t>Dr. Kovács Gábor</w:t>
      </w:r>
    </w:p>
    <w:p w:rsidR="009B01B1" w:rsidRPr="009B01B1" w:rsidRDefault="009B01B1" w:rsidP="009B01B1">
      <w:pPr>
        <w:widowControl w:val="0"/>
        <w:spacing w:after="0" w:line="240" w:lineRule="auto"/>
        <w:jc w:val="right"/>
        <w:rPr>
          <w:rFonts w:ascii="Times New Roman" w:hAnsi="Times New Roman" w:cs="Times New Roman"/>
        </w:rPr>
      </w:pPr>
      <w:r w:rsidRPr="009B01B1">
        <w:rPr>
          <w:rFonts w:ascii="Times New Roman" w:hAnsi="Times New Roman" w:cs="Times New Roman"/>
          <w:bCs/>
        </w:rPr>
        <w:t>egyetemi tanár, sk.</w:t>
      </w:r>
    </w:p>
    <w:p w:rsidR="009B01B1" w:rsidRDefault="009B01B1">
      <w:pPr>
        <w:spacing w:after="200" w:line="276" w:lineRule="auto"/>
        <w:rPr>
          <w:rFonts w:ascii="Times New Roman" w:hAnsi="Times New Roman" w:cs="Times New Roman"/>
          <w:sz w:val="24"/>
        </w:rPr>
      </w:pPr>
    </w:p>
    <w:p w:rsidR="009B01B1" w:rsidRDefault="009B01B1">
      <w:pPr>
        <w:spacing w:after="200" w:line="276" w:lineRule="auto"/>
        <w:rPr>
          <w:rFonts w:ascii="Times New Roman" w:hAnsi="Times New Roman" w:cs="Times New Roman"/>
          <w:sz w:val="24"/>
        </w:rPr>
      </w:pPr>
      <w:r>
        <w:rPr>
          <w:rFonts w:ascii="Times New Roman" w:hAnsi="Times New Roman" w:cs="Times New Roman"/>
          <w:sz w:val="24"/>
        </w:rPr>
        <w:br w:type="page"/>
      </w:r>
    </w:p>
    <w:tbl>
      <w:tblPr>
        <w:tblW w:w="9072" w:type="dxa"/>
        <w:tblInd w:w="113" w:type="dxa"/>
        <w:tblLook w:val="01E0" w:firstRow="1" w:lastRow="1" w:firstColumn="1" w:lastColumn="1" w:noHBand="0" w:noVBand="0"/>
      </w:tblPr>
      <w:tblGrid>
        <w:gridCol w:w="4855"/>
        <w:gridCol w:w="1620"/>
        <w:gridCol w:w="2597"/>
      </w:tblGrid>
      <w:tr w:rsidR="009B01B1" w:rsidTr="009B01B1">
        <w:tc>
          <w:tcPr>
            <w:tcW w:w="4855" w:type="dxa"/>
            <w:tcBorders>
              <w:top w:val="nil"/>
              <w:left w:val="nil"/>
              <w:bottom w:val="single" w:sz="4" w:space="0" w:color="auto"/>
              <w:right w:val="nil"/>
            </w:tcBorders>
            <w:hideMark/>
          </w:tcPr>
          <w:p w:rsidR="009B01B1" w:rsidRDefault="009B01B1">
            <w:pPr>
              <w:spacing w:after="0" w:line="240" w:lineRule="auto"/>
              <w:jc w:val="center"/>
              <w:rPr>
                <w:rFonts w:ascii="Times New Roman" w:eastAsia="Times New Roman" w:hAnsi="Times New Roman" w:cs="Times New Roman"/>
                <w:b/>
                <w:smallCaps/>
                <w:lang w:eastAsia="hu-HU"/>
              </w:rPr>
            </w:pPr>
            <w:r>
              <w:rPr>
                <w:rFonts w:ascii="Times New Roman" w:eastAsia="Times New Roman" w:hAnsi="Times New Roman" w:cs="Times New Roman"/>
                <w:b/>
                <w:smallCaps/>
                <w:lang w:eastAsia="hu-HU"/>
              </w:rPr>
              <w:lastRenderedPageBreak/>
              <w:t>Nemzeti Közszolgálati Egyetem</w:t>
            </w:r>
          </w:p>
        </w:tc>
        <w:tc>
          <w:tcPr>
            <w:tcW w:w="1620" w:type="dxa"/>
          </w:tcPr>
          <w:p w:rsidR="009B01B1" w:rsidRDefault="009B01B1">
            <w:pPr>
              <w:spacing w:after="0" w:line="240" w:lineRule="auto"/>
              <w:jc w:val="both"/>
              <w:rPr>
                <w:rFonts w:ascii="Times New Roman" w:eastAsia="Times New Roman" w:hAnsi="Times New Roman" w:cs="Times New Roman"/>
                <w:lang w:eastAsia="hu-HU"/>
              </w:rPr>
            </w:pPr>
          </w:p>
        </w:tc>
        <w:tc>
          <w:tcPr>
            <w:tcW w:w="2597" w:type="dxa"/>
          </w:tcPr>
          <w:p w:rsidR="009B01B1" w:rsidRDefault="009B01B1">
            <w:pPr>
              <w:spacing w:after="0" w:line="240" w:lineRule="auto"/>
              <w:jc w:val="right"/>
              <w:rPr>
                <w:rFonts w:ascii="Times New Roman" w:eastAsia="Times New Roman" w:hAnsi="Times New Roman" w:cs="Times New Roman"/>
                <w:lang w:eastAsia="hu-HU"/>
              </w:rPr>
            </w:pPr>
          </w:p>
        </w:tc>
      </w:tr>
      <w:tr w:rsidR="009B01B1" w:rsidTr="009B01B1">
        <w:tc>
          <w:tcPr>
            <w:tcW w:w="4855" w:type="dxa"/>
            <w:tcBorders>
              <w:top w:val="single" w:sz="4" w:space="0" w:color="auto"/>
              <w:left w:val="nil"/>
              <w:bottom w:val="nil"/>
              <w:right w:val="nil"/>
            </w:tcBorders>
            <w:hideMark/>
          </w:tcPr>
          <w:p w:rsidR="009B01B1" w:rsidRDefault="009B01B1">
            <w:pPr>
              <w:spacing w:after="0" w:line="240" w:lineRule="auto"/>
              <w:jc w:val="center"/>
              <w:rPr>
                <w:rFonts w:ascii="Times New Roman" w:eastAsia="Times New Roman" w:hAnsi="Times New Roman" w:cs="Times New Roman"/>
                <w:b/>
                <w:lang w:eastAsia="hu-HU"/>
              </w:rPr>
            </w:pPr>
            <w:r>
              <w:rPr>
                <w:rFonts w:ascii="Times New Roman" w:eastAsia="Times New Roman" w:hAnsi="Times New Roman" w:cs="Times New Roman"/>
                <w:b/>
                <w:lang w:eastAsia="hu-HU"/>
              </w:rPr>
              <w:t>Hadtudományi és Honvédtisztképző Kar</w:t>
            </w:r>
          </w:p>
        </w:tc>
        <w:tc>
          <w:tcPr>
            <w:tcW w:w="1620" w:type="dxa"/>
          </w:tcPr>
          <w:p w:rsidR="009B01B1" w:rsidRDefault="009B01B1">
            <w:pPr>
              <w:spacing w:after="0" w:line="240" w:lineRule="auto"/>
              <w:jc w:val="both"/>
              <w:rPr>
                <w:rFonts w:ascii="Times New Roman" w:eastAsia="Times New Roman" w:hAnsi="Times New Roman" w:cs="Times New Roman"/>
                <w:lang w:eastAsia="hu-HU"/>
              </w:rPr>
            </w:pPr>
          </w:p>
        </w:tc>
        <w:tc>
          <w:tcPr>
            <w:tcW w:w="2597" w:type="dxa"/>
          </w:tcPr>
          <w:p w:rsidR="009B01B1" w:rsidRDefault="009B01B1">
            <w:pPr>
              <w:spacing w:after="0" w:line="240" w:lineRule="auto"/>
              <w:jc w:val="both"/>
              <w:rPr>
                <w:rFonts w:ascii="Times New Roman" w:eastAsia="Times New Roman" w:hAnsi="Times New Roman" w:cs="Times New Roman"/>
                <w:lang w:eastAsia="hu-HU"/>
              </w:rPr>
            </w:pPr>
          </w:p>
        </w:tc>
      </w:tr>
    </w:tbl>
    <w:p w:rsidR="009B01B1" w:rsidRDefault="009B01B1" w:rsidP="009B01B1">
      <w:pPr>
        <w:widowControl w:val="0"/>
        <w:spacing w:before="120" w:after="120" w:line="240" w:lineRule="auto"/>
        <w:ind w:left="426" w:hanging="142"/>
        <w:jc w:val="center"/>
        <w:rPr>
          <w:rFonts w:ascii="Times New Roman" w:eastAsia="Times New Roman" w:hAnsi="Times New Roman" w:cs="Times New Roman"/>
          <w:b/>
          <w:bCs/>
        </w:rPr>
      </w:pPr>
    </w:p>
    <w:p w:rsidR="009B01B1" w:rsidRDefault="009B01B1" w:rsidP="009B01B1">
      <w:pPr>
        <w:widowControl w:val="0"/>
        <w:spacing w:before="120" w:after="120" w:line="240" w:lineRule="auto"/>
        <w:ind w:left="426" w:hanging="142"/>
        <w:jc w:val="center"/>
        <w:rPr>
          <w:rFonts w:ascii="Times New Roman" w:eastAsia="Times New Roman" w:hAnsi="Times New Roman" w:cs="Times New Roman"/>
          <w:b/>
          <w:bCs/>
        </w:rPr>
      </w:pPr>
      <w:r>
        <w:rPr>
          <w:rFonts w:ascii="Times New Roman" w:eastAsia="Times New Roman" w:hAnsi="Times New Roman" w:cs="Times New Roman"/>
          <w:b/>
          <w:bCs/>
        </w:rPr>
        <w:t>TANTÁRGYI PROGRAM</w:t>
      </w:r>
    </w:p>
    <w:p w:rsidR="009B01B1" w:rsidRDefault="009B01B1" w:rsidP="00C14833">
      <w:pPr>
        <w:widowControl w:val="0"/>
        <w:numPr>
          <w:ilvl w:val="0"/>
          <w:numId w:val="137"/>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 tantárgy kódja: </w:t>
      </w:r>
      <w:r>
        <w:rPr>
          <w:rFonts w:ascii="Times New Roman" w:eastAsia="Times New Roman" w:hAnsi="Times New Roman" w:cs="Times New Roman"/>
          <w:bCs/>
          <w:lang w:eastAsia="hu-HU"/>
        </w:rPr>
        <w:t>HKHPKA15</w:t>
      </w:r>
    </w:p>
    <w:p w:rsidR="009B01B1" w:rsidRDefault="009B01B1" w:rsidP="00C14833">
      <w:pPr>
        <w:widowControl w:val="0"/>
        <w:numPr>
          <w:ilvl w:val="0"/>
          <w:numId w:val="137"/>
        </w:numPr>
        <w:spacing w:before="120" w:after="120" w:line="240" w:lineRule="auto"/>
        <w:ind w:left="426" w:hanging="142"/>
        <w:jc w:val="both"/>
        <w:rPr>
          <w:rFonts w:ascii="Times New Roman" w:eastAsia="Times New Roman" w:hAnsi="Times New Roman" w:cs="Times New Roman"/>
          <w:b/>
          <w:bCs/>
          <w:lang w:val="en-GB"/>
        </w:rPr>
      </w:pPr>
      <w:r>
        <w:rPr>
          <w:rFonts w:ascii="Times New Roman" w:eastAsia="Times New Roman" w:hAnsi="Times New Roman" w:cs="Times New Roman"/>
          <w:b/>
          <w:bCs/>
        </w:rPr>
        <w:t>A tantárgy megnevezése (magyarul):</w:t>
      </w:r>
      <w:r>
        <w:rPr>
          <w:rFonts w:ascii="Times New Roman" w:eastAsia="Times New Roman" w:hAnsi="Times New Roman" w:cs="Times New Roman"/>
          <w:bCs/>
        </w:rPr>
        <w:t xml:space="preserve"> Lövészzászlóalj műveleteinek logisztikai támogatása II.</w:t>
      </w:r>
    </w:p>
    <w:p w:rsidR="009B01B1" w:rsidRDefault="009B01B1" w:rsidP="00C14833">
      <w:pPr>
        <w:widowControl w:val="0"/>
        <w:numPr>
          <w:ilvl w:val="0"/>
          <w:numId w:val="137"/>
        </w:numPr>
        <w:tabs>
          <w:tab w:val="num" w:pos="567"/>
        </w:tabs>
        <w:spacing w:before="120" w:after="120" w:line="240" w:lineRule="auto"/>
        <w:ind w:left="426" w:hanging="142"/>
        <w:jc w:val="both"/>
        <w:rPr>
          <w:rFonts w:ascii="Times New Roman" w:eastAsia="Times New Roman" w:hAnsi="Times New Roman" w:cs="Times New Roman"/>
          <w:b/>
          <w:bCs/>
          <w:lang w:val="en-GB"/>
        </w:rPr>
      </w:pPr>
      <w:r>
        <w:rPr>
          <w:rFonts w:ascii="Times New Roman" w:eastAsia="Times New Roman" w:hAnsi="Times New Roman" w:cs="Times New Roman"/>
          <w:b/>
          <w:bCs/>
        </w:rPr>
        <w:t xml:space="preserve">A tantárgy megnevezése (angolul): </w:t>
      </w:r>
      <w:r>
        <w:rPr>
          <w:rFonts w:ascii="Times New Roman" w:eastAsia="Times New Roman" w:hAnsi="Times New Roman" w:cs="Times New Roman"/>
          <w:bCs/>
        </w:rPr>
        <w:t>Logistic support of infantry battalion’s operations II.</w:t>
      </w:r>
    </w:p>
    <w:p w:rsidR="009B01B1" w:rsidRDefault="009B01B1" w:rsidP="00C14833">
      <w:pPr>
        <w:widowControl w:val="0"/>
        <w:numPr>
          <w:ilvl w:val="0"/>
          <w:numId w:val="137"/>
        </w:numPr>
        <w:tabs>
          <w:tab w:val="num" w:pos="567"/>
        </w:tabs>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Kreditérték és képzési karakter: </w:t>
      </w:r>
    </w:p>
    <w:p w:rsidR="009B01B1" w:rsidRDefault="009B01B1" w:rsidP="00C14833">
      <w:pPr>
        <w:pStyle w:val="Listaszerbekezds"/>
        <w:widowControl w:val="0"/>
        <w:numPr>
          <w:ilvl w:val="1"/>
          <w:numId w:val="137"/>
        </w:numPr>
        <w:tabs>
          <w:tab w:val="clear" w:pos="3977"/>
          <w:tab w:val="num" w:pos="2275"/>
        </w:tabs>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2 kredit</w:t>
      </w:r>
    </w:p>
    <w:p w:rsidR="009B01B1" w:rsidRDefault="009B01B1" w:rsidP="00C14833">
      <w:pPr>
        <w:pStyle w:val="Listaszerbekezds"/>
        <w:widowControl w:val="0"/>
        <w:numPr>
          <w:ilvl w:val="1"/>
          <w:numId w:val="137"/>
        </w:numPr>
        <w:tabs>
          <w:tab w:val="clear" w:pos="3977"/>
          <w:tab w:val="num" w:pos="2275"/>
        </w:tabs>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a tantárgy elméleti vagy gyakorlati jellegének mértéke: 50</w:t>
      </w:r>
      <w:r>
        <w:rPr>
          <w:rFonts w:ascii="Times New Roman" w:eastAsia="Times New Roman" w:hAnsi="Times New Roman" w:cs="Times New Roman"/>
          <w:b/>
          <w:bCs/>
        </w:rPr>
        <w:t xml:space="preserve"> </w:t>
      </w:r>
      <w:r>
        <w:rPr>
          <w:rFonts w:ascii="Times New Roman" w:eastAsia="Times New Roman" w:hAnsi="Times New Roman" w:cs="Times New Roman"/>
          <w:bCs/>
        </w:rPr>
        <w:t>% gyakorlat, 50 % elmélet</w:t>
      </w:r>
    </w:p>
    <w:p w:rsidR="009B01B1" w:rsidRDefault="009B01B1" w:rsidP="00C14833">
      <w:pPr>
        <w:widowControl w:val="0"/>
        <w:numPr>
          <w:ilvl w:val="0"/>
          <w:numId w:val="137"/>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szak(ok), szakirányok/specializációk megnevezése (ahol oktatják):</w:t>
      </w:r>
      <w:r>
        <w:rPr>
          <w:rFonts w:ascii="Times New Roman" w:eastAsia="Times New Roman" w:hAnsi="Times New Roman" w:cs="Times New Roman"/>
          <w:bCs/>
        </w:rPr>
        <w:t xml:space="preserve"> </w:t>
      </w:r>
      <w:r>
        <w:rPr>
          <w:rFonts w:ascii="Times New Roman" w:hAnsi="Times New Roman" w:cs="Times New Roman"/>
          <w:bCs/>
        </w:rPr>
        <w:t>Katonai logisztika alapképzési szak minden specializáció</w:t>
      </w:r>
    </w:p>
    <w:p w:rsidR="009B01B1" w:rsidRDefault="009B01B1" w:rsidP="00C14833">
      <w:pPr>
        <w:widowControl w:val="0"/>
        <w:numPr>
          <w:ilvl w:val="0"/>
          <w:numId w:val="137"/>
        </w:numPr>
        <w:tabs>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Az oktatásért felelős oktatási szervezeti egység megnevezése: </w:t>
      </w:r>
      <w:r>
        <w:rPr>
          <w:rFonts w:ascii="Times New Roman" w:hAnsi="Times New Roman" w:cs="Times New Roman"/>
          <w:bCs/>
        </w:rPr>
        <w:t>NKE HHK Hadtáp, Pénzügyi és Katonai Közlekedési Tanszék</w:t>
      </w:r>
    </w:p>
    <w:p w:rsidR="009B01B1" w:rsidRDefault="009B01B1" w:rsidP="00C14833">
      <w:pPr>
        <w:widowControl w:val="0"/>
        <w:numPr>
          <w:ilvl w:val="0"/>
          <w:numId w:val="137"/>
        </w:numPr>
        <w:tabs>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tantárgyfelelős oktató neve, beosztása, tudományos fokozata:</w:t>
      </w:r>
      <w:r>
        <w:rPr>
          <w:rFonts w:ascii="Times New Roman" w:eastAsia="Times New Roman" w:hAnsi="Times New Roman" w:cs="Times New Roman"/>
          <w:bCs/>
        </w:rPr>
        <w:t xml:space="preserve"> </w:t>
      </w:r>
      <w:r>
        <w:rPr>
          <w:rFonts w:ascii="Times New Roman" w:hAnsi="Times New Roman" w:cs="Times New Roman"/>
          <w:bCs/>
        </w:rPr>
        <w:t>Dr. Pohl Árpád, egyetemi docens, (PhD)</w:t>
      </w:r>
    </w:p>
    <w:p w:rsidR="009B01B1" w:rsidRDefault="009B01B1" w:rsidP="00C14833">
      <w:pPr>
        <w:widowControl w:val="0"/>
        <w:numPr>
          <w:ilvl w:val="0"/>
          <w:numId w:val="137"/>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tanórák száma és típusa</w:t>
      </w:r>
    </w:p>
    <w:p w:rsidR="009B01B1" w:rsidRDefault="009B01B1" w:rsidP="00C14833">
      <w:pPr>
        <w:widowControl w:val="0"/>
        <w:numPr>
          <w:ilvl w:val="1"/>
          <w:numId w:val="137"/>
        </w:numPr>
        <w:tabs>
          <w:tab w:val="clear" w:pos="3977"/>
          <w:tab w:val="num" w:pos="709"/>
          <w:tab w:val="num" w:pos="2069"/>
          <w:tab w:val="num" w:pos="2275"/>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össz óraszám/félév: 28</w:t>
      </w:r>
    </w:p>
    <w:p w:rsidR="009B01B1" w:rsidRDefault="009B01B1" w:rsidP="00C14833">
      <w:pPr>
        <w:widowControl w:val="0"/>
        <w:numPr>
          <w:ilvl w:val="2"/>
          <w:numId w:val="137"/>
        </w:numPr>
        <w:tabs>
          <w:tab w:val="num" w:pos="709"/>
        </w:tabs>
        <w:spacing w:after="0" w:line="240" w:lineRule="auto"/>
        <w:ind w:left="1276" w:hanging="567"/>
        <w:jc w:val="both"/>
        <w:rPr>
          <w:rFonts w:ascii="Times New Roman" w:eastAsia="Times New Roman" w:hAnsi="Times New Roman" w:cs="Times New Roman"/>
          <w:bCs/>
        </w:rPr>
      </w:pPr>
      <w:r>
        <w:rPr>
          <w:rFonts w:ascii="Times New Roman" w:eastAsia="Times New Roman" w:hAnsi="Times New Roman" w:cs="Times New Roman"/>
          <w:bCs/>
        </w:rPr>
        <w:t>nappali munkarend: (14 EA + 0 SZ + 14 GY)</w:t>
      </w:r>
    </w:p>
    <w:p w:rsidR="009B01B1" w:rsidRDefault="009B01B1" w:rsidP="00C14833">
      <w:pPr>
        <w:widowControl w:val="0"/>
        <w:numPr>
          <w:ilvl w:val="2"/>
          <w:numId w:val="137"/>
        </w:numPr>
        <w:tabs>
          <w:tab w:val="num" w:pos="709"/>
        </w:tabs>
        <w:spacing w:after="0" w:line="240" w:lineRule="auto"/>
        <w:ind w:left="1276" w:hanging="567"/>
        <w:jc w:val="both"/>
        <w:rPr>
          <w:rFonts w:ascii="Times New Roman" w:eastAsia="Times New Roman" w:hAnsi="Times New Roman" w:cs="Times New Roman"/>
          <w:bCs/>
        </w:rPr>
      </w:pPr>
      <w:r>
        <w:rPr>
          <w:rFonts w:ascii="Times New Roman" w:eastAsia="Times New Roman" w:hAnsi="Times New Roman" w:cs="Times New Roman"/>
          <w:bCs/>
        </w:rPr>
        <w:t>levelező munkarend: -</w:t>
      </w:r>
    </w:p>
    <w:p w:rsidR="009B01B1" w:rsidRDefault="009B01B1" w:rsidP="00C14833">
      <w:pPr>
        <w:widowControl w:val="0"/>
        <w:numPr>
          <w:ilvl w:val="1"/>
          <w:numId w:val="137"/>
        </w:numPr>
        <w:tabs>
          <w:tab w:val="clear" w:pos="3977"/>
          <w:tab w:val="num" w:pos="709"/>
          <w:tab w:val="num" w:pos="2069"/>
          <w:tab w:val="num" w:pos="2275"/>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heti óraszám - nappali munkarend: 2</w:t>
      </w:r>
    </w:p>
    <w:p w:rsidR="009B01B1" w:rsidRDefault="009B01B1" w:rsidP="00C14833">
      <w:pPr>
        <w:widowControl w:val="0"/>
        <w:numPr>
          <w:ilvl w:val="1"/>
          <w:numId w:val="137"/>
        </w:numPr>
        <w:tabs>
          <w:tab w:val="clear" w:pos="3977"/>
          <w:tab w:val="num" w:pos="709"/>
          <w:tab w:val="num" w:pos="2069"/>
          <w:tab w:val="num" w:pos="2275"/>
        </w:tabs>
        <w:spacing w:before="120" w:after="120" w:line="240" w:lineRule="auto"/>
        <w:ind w:left="851" w:hanging="425"/>
        <w:jc w:val="both"/>
        <w:rPr>
          <w:rFonts w:ascii="Times New Roman" w:eastAsia="Times New Roman" w:hAnsi="Times New Roman" w:cs="Times New Roman"/>
          <w:bCs/>
        </w:rPr>
      </w:pPr>
      <w:r>
        <w:rPr>
          <w:rFonts w:ascii="Times New Roman" w:hAnsi="Times New Roman" w:cs="Times New Roman"/>
        </w:rPr>
        <w:t>Az ismeret átadásában alkalmazandó további sajátos módok, jellemzők:</w:t>
      </w:r>
      <w:r>
        <w:rPr>
          <w:rFonts w:ascii="Times New Roman" w:hAnsi="Times New Roman" w:cs="Times New Roman"/>
          <w:i/>
        </w:rPr>
        <w:t xml:space="preserve"> Az ismeretek feldolgozása vegyes tanulási program (blended learning) alapján történik. </w:t>
      </w:r>
    </w:p>
    <w:p w:rsidR="009B01B1" w:rsidRDefault="009B01B1" w:rsidP="00C14833">
      <w:pPr>
        <w:widowControl w:val="0"/>
        <w:numPr>
          <w:ilvl w:val="0"/>
          <w:numId w:val="137"/>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 tantárgy szakmai tartalma (magyarul): </w:t>
      </w:r>
      <w:r>
        <w:rPr>
          <w:rFonts w:ascii="Times New Roman" w:eastAsia="Times New Roman" w:hAnsi="Times New Roman" w:cs="Times New Roman"/>
          <w:bCs/>
        </w:rPr>
        <w:t>Szakharcászati feladat keretében megismertetni a honvéd tisztjelöltekkel a logisztikai alegységek alkalmazásának megszervezését és vezetését, valamint a zászlóalj műveleteinek logisztikai támogatásával kapcsolatos ellátási számvetések kidolgozása.</w:t>
      </w:r>
    </w:p>
    <w:p w:rsidR="009B01B1" w:rsidRDefault="009B01B1" w:rsidP="009B01B1">
      <w:pPr>
        <w:widowControl w:val="0"/>
        <w:spacing w:before="120" w:after="120" w:line="240" w:lineRule="auto"/>
        <w:ind w:left="426"/>
        <w:jc w:val="both"/>
        <w:rPr>
          <w:rFonts w:ascii="Times New Roman" w:eastAsia="Times New Roman" w:hAnsi="Times New Roman" w:cs="Times New Roman"/>
          <w:bCs/>
          <w:lang w:val="en-GB"/>
        </w:rPr>
      </w:pPr>
      <w:r>
        <w:rPr>
          <w:rFonts w:ascii="Times New Roman" w:eastAsia="Times New Roman" w:hAnsi="Times New Roman" w:cs="Times New Roman"/>
          <w:b/>
          <w:bCs/>
        </w:rPr>
        <w:t>A tantárgy szakmai tartalma (angolul) (</w:t>
      </w:r>
      <w:r>
        <w:rPr>
          <w:rFonts w:ascii="Times New Roman" w:eastAsia="Times New Roman" w:hAnsi="Times New Roman" w:cs="Times New Roman"/>
          <w:b/>
          <w:bCs/>
          <w:lang w:val="en-US"/>
        </w:rPr>
        <w:t>Course description</w:t>
      </w:r>
      <w:r>
        <w:rPr>
          <w:rFonts w:ascii="Times New Roman" w:eastAsia="Times New Roman" w:hAnsi="Times New Roman" w:cs="Times New Roman"/>
          <w:b/>
          <w:bCs/>
        </w:rPr>
        <w:t xml:space="preserve">): </w:t>
      </w:r>
      <w:r>
        <w:rPr>
          <w:rFonts w:ascii="Times New Roman" w:eastAsia="Times New Roman" w:hAnsi="Times New Roman" w:cs="Times New Roman"/>
          <w:bCs/>
        </w:rPr>
        <w:t>Within the framework of the tactical exercise, cadets will learn the organisation and management of logistic subunits. Cadets will also get familiar with the logistic support planning for the battalion’s missions.</w:t>
      </w:r>
    </w:p>
    <w:p w:rsidR="009B01B1" w:rsidRDefault="009B01B1" w:rsidP="00C14833">
      <w:pPr>
        <w:pStyle w:val="Listaszerbekezds"/>
        <w:widowControl w:val="0"/>
        <w:numPr>
          <w:ilvl w:val="0"/>
          <w:numId w:val="137"/>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Elérendő kompetenciák (magyarul):</w:t>
      </w:r>
      <w:r>
        <w:rPr>
          <w:rFonts w:ascii="Times New Roman" w:eastAsia="Times New Roman" w:hAnsi="Times New Roman" w:cs="Times New Roman"/>
          <w:bCs/>
        </w:rPr>
        <w:t xml:space="preserve"> </w:t>
      </w:r>
    </w:p>
    <w:p w:rsidR="009B01B1" w:rsidRDefault="009B01B1" w:rsidP="009B01B1">
      <w:pPr>
        <w:widowControl w:val="0"/>
        <w:spacing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Tudása:</w:t>
      </w:r>
    </w:p>
    <w:p w:rsidR="009B01B1" w:rsidRDefault="009B01B1" w:rsidP="00E646A8">
      <w:pPr>
        <w:widowControl w:val="0"/>
        <w:spacing w:before="120" w:after="120" w:line="240" w:lineRule="auto"/>
        <w:ind w:left="709" w:hanging="218"/>
        <w:contextualSpacing/>
        <w:jc w:val="both"/>
        <w:rPr>
          <w:rFonts w:ascii="Times New Roman" w:eastAsia="Times New Roman" w:hAnsi="Times New Roman" w:cs="Times New Roman"/>
          <w:bCs/>
        </w:rPr>
      </w:pPr>
      <w:r>
        <w:rPr>
          <w:rFonts w:ascii="Times New Roman" w:eastAsia="Times New Roman" w:hAnsi="Times New Roman" w:cs="Times New Roman"/>
          <w:bCs/>
        </w:rPr>
        <w:t>-</w:t>
      </w:r>
      <w:r>
        <w:rPr>
          <w:rFonts w:ascii="Times New Roman" w:eastAsia="Times New Roman" w:hAnsi="Times New Roman" w:cs="Times New Roman"/>
          <w:bCs/>
        </w:rPr>
        <w:tab/>
        <w:t>Ismeri a lövészzászlóalj műveleti logisztikai támogatásának rendszerét és a képes a szükséges ellátási számvetések kidolgozására.</w:t>
      </w:r>
    </w:p>
    <w:p w:rsidR="009B01B1" w:rsidRDefault="009B01B1" w:rsidP="009B01B1">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Képességei:</w:t>
      </w:r>
      <w:r>
        <w:rPr>
          <w:rFonts w:ascii="Times New Roman" w:eastAsia="Times New Roman" w:hAnsi="Times New Roman" w:cs="Times New Roman"/>
          <w:bCs/>
        </w:rPr>
        <w:t xml:space="preserve"> </w:t>
      </w:r>
    </w:p>
    <w:p w:rsidR="009B01B1" w:rsidRPr="00E646A8" w:rsidRDefault="009B01B1" w:rsidP="00E646A8">
      <w:pPr>
        <w:widowControl w:val="0"/>
        <w:spacing w:before="120" w:after="120" w:line="240" w:lineRule="auto"/>
        <w:ind w:left="709" w:hanging="218"/>
        <w:contextualSpacing/>
        <w:jc w:val="both"/>
        <w:rPr>
          <w:rFonts w:ascii="Times New Roman" w:eastAsia="Times New Roman" w:hAnsi="Times New Roman" w:cs="Times New Roman"/>
          <w:bCs/>
        </w:rPr>
      </w:pPr>
      <w:r>
        <w:rPr>
          <w:rFonts w:ascii="Times New Roman" w:eastAsia="Times New Roman" w:hAnsi="Times New Roman"/>
          <w:bCs/>
        </w:rPr>
        <w:t>-</w:t>
      </w:r>
      <w:r>
        <w:rPr>
          <w:rFonts w:ascii="Times New Roman" w:eastAsia="Times New Roman" w:hAnsi="Times New Roman"/>
          <w:bCs/>
        </w:rPr>
        <w:tab/>
        <w:t xml:space="preserve">Képes </w:t>
      </w:r>
      <w:r w:rsidRPr="00E646A8">
        <w:rPr>
          <w:rFonts w:ascii="Times New Roman" w:eastAsia="Times New Roman" w:hAnsi="Times New Roman" w:cs="Times New Roman"/>
          <w:bCs/>
        </w:rPr>
        <w:t>a szakterületének megfelelő ellátási feladatok kidolgozására és megszervezésére alegység szintű ellátási feladatok végrehajtására, többnemzeti és nemzetközi környezetben végrehajtandó béketámogató műveletekben.</w:t>
      </w:r>
    </w:p>
    <w:p w:rsidR="009B01B1" w:rsidRDefault="009B01B1" w:rsidP="00E646A8">
      <w:pPr>
        <w:widowControl w:val="0"/>
        <w:spacing w:before="120" w:after="120" w:line="240" w:lineRule="auto"/>
        <w:ind w:left="709" w:hanging="218"/>
        <w:contextualSpacing/>
        <w:jc w:val="both"/>
        <w:rPr>
          <w:rFonts w:ascii="Times New Roman" w:eastAsia="Times New Roman" w:hAnsi="Times New Roman"/>
          <w:bCs/>
        </w:rPr>
      </w:pPr>
      <w:r w:rsidRPr="00E646A8">
        <w:rPr>
          <w:rFonts w:ascii="Times New Roman" w:eastAsia="Times New Roman" w:hAnsi="Times New Roman" w:cs="Times New Roman"/>
          <w:bCs/>
        </w:rPr>
        <w:t>-</w:t>
      </w:r>
      <w:r w:rsidRPr="00E646A8">
        <w:rPr>
          <w:rFonts w:ascii="Times New Roman" w:eastAsia="Times New Roman" w:hAnsi="Times New Roman" w:cs="Times New Roman"/>
          <w:bCs/>
        </w:rPr>
        <w:tab/>
        <w:t>Képes</w:t>
      </w:r>
      <w:r>
        <w:rPr>
          <w:rFonts w:ascii="Times New Roman" w:eastAsia="Times New Roman" w:hAnsi="Times New Roman"/>
          <w:bCs/>
        </w:rPr>
        <w:t xml:space="preserve"> a szakmai terminológia magyarul és idegen nyelven történő alkalmazására.</w:t>
      </w:r>
    </w:p>
    <w:p w:rsidR="009B01B1" w:rsidRDefault="009B01B1" w:rsidP="009B01B1">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Attitűdje:</w:t>
      </w:r>
      <w:r>
        <w:rPr>
          <w:rFonts w:ascii="Times New Roman" w:eastAsia="Times New Roman" w:hAnsi="Times New Roman" w:cs="Times New Roman"/>
          <w:bCs/>
        </w:rPr>
        <w:t xml:space="preserve"> </w:t>
      </w:r>
    </w:p>
    <w:p w:rsidR="009B01B1" w:rsidRPr="00E646A8" w:rsidRDefault="009B01B1" w:rsidP="00E646A8">
      <w:pPr>
        <w:widowControl w:val="0"/>
        <w:spacing w:before="120" w:after="120" w:line="240" w:lineRule="auto"/>
        <w:ind w:left="709" w:hanging="218"/>
        <w:contextualSpacing/>
        <w:jc w:val="both"/>
        <w:rPr>
          <w:rFonts w:ascii="Times New Roman" w:eastAsia="Times New Roman" w:hAnsi="Times New Roman" w:cs="Times New Roman"/>
          <w:bCs/>
        </w:rPr>
      </w:pPr>
      <w:r>
        <w:rPr>
          <w:rFonts w:ascii="Times New Roman" w:eastAsia="Times New Roman" w:hAnsi="Times New Roman"/>
          <w:bCs/>
        </w:rPr>
        <w:t>-</w:t>
      </w:r>
      <w:r>
        <w:rPr>
          <w:rFonts w:ascii="Times New Roman" w:eastAsia="Times New Roman" w:hAnsi="Times New Roman"/>
          <w:bCs/>
        </w:rPr>
        <w:tab/>
      </w:r>
      <w:r w:rsidRPr="00E646A8">
        <w:rPr>
          <w:rFonts w:ascii="Times New Roman" w:eastAsia="Times New Roman" w:hAnsi="Times New Roman" w:cs="Times New Roman"/>
          <w:bCs/>
        </w:rPr>
        <w:t>Feladatait képes nagy önállósággal és csoportban is végrehajtani.</w:t>
      </w:r>
    </w:p>
    <w:p w:rsidR="009B01B1" w:rsidRPr="00E646A8" w:rsidRDefault="009B01B1" w:rsidP="00E646A8">
      <w:pPr>
        <w:widowControl w:val="0"/>
        <w:spacing w:before="120" w:after="120" w:line="240" w:lineRule="auto"/>
        <w:ind w:left="709" w:hanging="218"/>
        <w:contextualSpacing/>
        <w:jc w:val="both"/>
        <w:rPr>
          <w:rFonts w:ascii="Times New Roman" w:eastAsia="Times New Roman" w:hAnsi="Times New Roman" w:cs="Times New Roman"/>
          <w:bCs/>
        </w:rPr>
      </w:pPr>
      <w:r w:rsidRPr="00E646A8">
        <w:rPr>
          <w:rFonts w:ascii="Times New Roman" w:eastAsia="Times New Roman" w:hAnsi="Times New Roman" w:cs="Times New Roman"/>
          <w:bCs/>
        </w:rPr>
        <w:t>-</w:t>
      </w:r>
      <w:r w:rsidRPr="00E646A8">
        <w:rPr>
          <w:rFonts w:ascii="Times New Roman" w:eastAsia="Times New Roman" w:hAnsi="Times New Roman" w:cs="Times New Roman"/>
          <w:bCs/>
        </w:rPr>
        <w:tab/>
        <w:t>Az együttműködésre törekszik, tevékenységét a hatékonyság központú szemlélet és jó szervezőkészség jellemzi.</w:t>
      </w:r>
    </w:p>
    <w:p w:rsidR="009B01B1" w:rsidRPr="00E646A8" w:rsidRDefault="009B01B1" w:rsidP="00E646A8">
      <w:pPr>
        <w:widowControl w:val="0"/>
        <w:spacing w:before="120" w:after="120" w:line="240" w:lineRule="auto"/>
        <w:ind w:left="709" w:hanging="218"/>
        <w:contextualSpacing/>
        <w:jc w:val="both"/>
        <w:rPr>
          <w:rFonts w:ascii="Times New Roman" w:eastAsia="Times New Roman" w:hAnsi="Times New Roman" w:cs="Times New Roman"/>
          <w:bCs/>
        </w:rPr>
      </w:pPr>
      <w:r w:rsidRPr="00E646A8">
        <w:rPr>
          <w:rFonts w:ascii="Times New Roman" w:eastAsia="Times New Roman" w:hAnsi="Times New Roman" w:cs="Times New Roman"/>
          <w:bCs/>
        </w:rPr>
        <w:t>-</w:t>
      </w:r>
      <w:r w:rsidRPr="00E646A8">
        <w:rPr>
          <w:rFonts w:ascii="Times New Roman" w:eastAsia="Times New Roman" w:hAnsi="Times New Roman" w:cs="Times New Roman"/>
          <w:bCs/>
        </w:rPr>
        <w:tab/>
        <w:t>Nyitott a hadtáp szakterület új tudományos eredményei iránt.</w:t>
      </w:r>
    </w:p>
    <w:p w:rsidR="009B01B1" w:rsidRDefault="009B01B1" w:rsidP="00E646A8">
      <w:pPr>
        <w:widowControl w:val="0"/>
        <w:spacing w:before="120" w:after="120" w:line="240" w:lineRule="auto"/>
        <w:ind w:left="709" w:hanging="218"/>
        <w:contextualSpacing/>
        <w:jc w:val="both"/>
        <w:rPr>
          <w:rFonts w:ascii="Times New Roman" w:eastAsia="Times New Roman" w:hAnsi="Times New Roman"/>
          <w:bCs/>
        </w:rPr>
      </w:pPr>
      <w:r w:rsidRPr="00E646A8">
        <w:rPr>
          <w:rFonts w:ascii="Times New Roman" w:eastAsia="Times New Roman" w:hAnsi="Times New Roman" w:cs="Times New Roman"/>
          <w:bCs/>
        </w:rPr>
        <w:t>-</w:t>
      </w:r>
      <w:r w:rsidRPr="00E646A8">
        <w:rPr>
          <w:rFonts w:ascii="Times New Roman" w:eastAsia="Times New Roman" w:hAnsi="Times New Roman" w:cs="Times New Roman"/>
          <w:bCs/>
        </w:rPr>
        <w:tab/>
        <w:t>Képes a</w:t>
      </w:r>
      <w:r>
        <w:rPr>
          <w:rFonts w:ascii="Times New Roman" w:eastAsia="Times New Roman" w:hAnsi="Times New Roman"/>
          <w:bCs/>
        </w:rPr>
        <w:t xml:space="preserve"> hadtáp szakterületen bekövetkező változásokhoz és fejlődéshez jól alkalmazkodni.</w:t>
      </w:r>
    </w:p>
    <w:p w:rsidR="00E646A8" w:rsidRDefault="00E646A8" w:rsidP="009B01B1">
      <w:pPr>
        <w:widowControl w:val="0"/>
        <w:spacing w:before="120" w:after="0" w:line="240" w:lineRule="auto"/>
        <w:ind w:left="425"/>
        <w:jc w:val="both"/>
        <w:rPr>
          <w:rFonts w:ascii="Times New Roman" w:eastAsia="Times New Roman" w:hAnsi="Times New Roman" w:cs="Times New Roman"/>
          <w:b/>
          <w:bCs/>
        </w:rPr>
      </w:pPr>
    </w:p>
    <w:p w:rsidR="009B01B1" w:rsidRDefault="009B01B1" w:rsidP="009B01B1">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lastRenderedPageBreak/>
        <w:t>Autonómiája és felelőssége:</w:t>
      </w:r>
    </w:p>
    <w:p w:rsidR="009B01B1" w:rsidRPr="00E646A8" w:rsidRDefault="009B01B1" w:rsidP="00E646A8">
      <w:pPr>
        <w:widowControl w:val="0"/>
        <w:spacing w:before="120" w:after="120" w:line="240" w:lineRule="auto"/>
        <w:ind w:left="709" w:hanging="218"/>
        <w:contextualSpacing/>
        <w:jc w:val="both"/>
        <w:rPr>
          <w:rFonts w:ascii="Times New Roman" w:eastAsia="Times New Roman" w:hAnsi="Times New Roman" w:cs="Times New Roman"/>
          <w:bCs/>
        </w:rPr>
      </w:pPr>
      <w:r>
        <w:rPr>
          <w:rFonts w:ascii="Times New Roman" w:eastAsia="Times New Roman" w:hAnsi="Times New Roman"/>
          <w:bCs/>
        </w:rPr>
        <w:t>-</w:t>
      </w:r>
      <w:r>
        <w:rPr>
          <w:rFonts w:ascii="Times New Roman" w:eastAsia="Times New Roman" w:hAnsi="Times New Roman"/>
          <w:bCs/>
        </w:rPr>
        <w:tab/>
        <w:t xml:space="preserve">A </w:t>
      </w:r>
      <w:r w:rsidRPr="00E646A8">
        <w:rPr>
          <w:rFonts w:ascii="Times New Roman" w:eastAsia="Times New Roman" w:hAnsi="Times New Roman" w:cs="Times New Roman"/>
          <w:bCs/>
        </w:rPr>
        <w:t>lövészzászlóalj műveletei logisztikai támogatásának megszervezése során képes a szakterületének megfelelően önállóan döntéseket hozni, azokat felelősséggel, a jogszabályi keretek figyelembevételével végrehajtani.</w:t>
      </w:r>
    </w:p>
    <w:p w:rsidR="009B01B1" w:rsidRDefault="009B01B1" w:rsidP="00E646A8">
      <w:pPr>
        <w:widowControl w:val="0"/>
        <w:spacing w:before="120" w:after="120" w:line="240" w:lineRule="auto"/>
        <w:ind w:left="709" w:hanging="218"/>
        <w:contextualSpacing/>
        <w:jc w:val="both"/>
        <w:rPr>
          <w:rFonts w:ascii="Times New Roman" w:eastAsia="Times New Roman" w:hAnsi="Times New Roman"/>
          <w:bCs/>
        </w:rPr>
      </w:pPr>
      <w:r w:rsidRPr="00E646A8">
        <w:rPr>
          <w:rFonts w:ascii="Times New Roman" w:eastAsia="Times New Roman" w:hAnsi="Times New Roman" w:cs="Times New Roman"/>
          <w:bCs/>
        </w:rPr>
        <w:t>-</w:t>
      </w:r>
      <w:r w:rsidRPr="00E646A8">
        <w:rPr>
          <w:rFonts w:ascii="Times New Roman" w:eastAsia="Times New Roman" w:hAnsi="Times New Roman" w:cs="Times New Roman"/>
          <w:bCs/>
        </w:rPr>
        <w:tab/>
        <w:t>Felelősséget vállal szakbeosztottjaiért, valamint a rábízott hadtáp szaktechnikai eszközökért és anyagokért</w:t>
      </w:r>
      <w:r>
        <w:rPr>
          <w:rFonts w:ascii="Times New Roman" w:eastAsia="Times New Roman" w:hAnsi="Times New Roman"/>
          <w:bCs/>
        </w:rPr>
        <w:t>, továbbá számvetéseinek pontosságáért.</w:t>
      </w:r>
    </w:p>
    <w:p w:rsidR="009B01B1" w:rsidRDefault="009B01B1" w:rsidP="009B01B1">
      <w:pPr>
        <w:widowControl w:val="0"/>
        <w:spacing w:before="120" w:after="0" w:line="240" w:lineRule="auto"/>
        <w:ind w:left="425"/>
        <w:jc w:val="both"/>
        <w:rPr>
          <w:rFonts w:ascii="Times New Roman" w:eastAsia="Times New Roman" w:hAnsi="Times New Roman" w:cs="Times New Roman"/>
          <w:b/>
          <w:bCs/>
          <w:lang w:val="en-US"/>
        </w:rPr>
      </w:pPr>
      <w:r>
        <w:rPr>
          <w:rFonts w:ascii="Times New Roman" w:eastAsia="Times New Roman" w:hAnsi="Times New Roman" w:cs="Times New Roman"/>
          <w:b/>
          <w:bCs/>
        </w:rPr>
        <w:t>Elérendő kompetenciák (angolul) (</w:t>
      </w:r>
      <w:r>
        <w:rPr>
          <w:rFonts w:ascii="Times New Roman" w:eastAsia="Times New Roman" w:hAnsi="Times New Roman" w:cs="Times New Roman"/>
          <w:b/>
          <w:bCs/>
          <w:lang w:val="en-US"/>
        </w:rPr>
        <w:t xml:space="preserve">Competences – English): </w:t>
      </w:r>
    </w:p>
    <w:p w:rsidR="009B01B1" w:rsidRDefault="009B01B1" w:rsidP="009B01B1">
      <w:pPr>
        <w:widowControl w:val="0"/>
        <w:spacing w:before="120" w:after="0" w:line="240" w:lineRule="auto"/>
        <w:ind w:left="425"/>
        <w:jc w:val="both"/>
        <w:rPr>
          <w:rFonts w:ascii="Times New Roman" w:eastAsia="Times New Roman" w:hAnsi="Times New Roman" w:cs="Times New Roman"/>
          <w:lang w:val="en-GB"/>
        </w:rPr>
      </w:pPr>
      <w:r>
        <w:rPr>
          <w:rFonts w:ascii="Times New Roman" w:eastAsia="Times New Roman" w:hAnsi="Times New Roman" w:cs="Times New Roman"/>
          <w:b/>
          <w:lang w:val="en-GB"/>
        </w:rPr>
        <w:t>Knowledge</w:t>
      </w:r>
      <w:r>
        <w:rPr>
          <w:rFonts w:ascii="Times New Roman" w:eastAsia="Times New Roman" w:hAnsi="Times New Roman" w:cs="Times New Roman"/>
          <w:lang w:val="en-GB"/>
        </w:rPr>
        <w:t xml:space="preserve">: </w:t>
      </w:r>
    </w:p>
    <w:p w:rsidR="009B01B1" w:rsidRDefault="009B01B1" w:rsidP="00E646A8">
      <w:pPr>
        <w:widowControl w:val="0"/>
        <w:spacing w:before="120" w:after="120" w:line="240" w:lineRule="auto"/>
        <w:ind w:left="709" w:hanging="218"/>
        <w:contextualSpacing/>
        <w:jc w:val="both"/>
        <w:rPr>
          <w:rFonts w:ascii="Times New Roman" w:eastAsia="Times New Roman" w:hAnsi="Times New Roman" w:cs="Times New Roman"/>
          <w:lang w:val="en-GB"/>
        </w:rPr>
      </w:pPr>
      <w:r>
        <w:rPr>
          <w:rFonts w:ascii="Times New Roman" w:eastAsia="Times New Roman" w:hAnsi="Times New Roman" w:cs="Times New Roman"/>
          <w:lang w:val="en-GB"/>
        </w:rPr>
        <w:t>-</w:t>
      </w:r>
      <w:r>
        <w:rPr>
          <w:rFonts w:ascii="Times New Roman" w:eastAsia="Times New Roman" w:hAnsi="Times New Roman" w:cs="Times New Roman"/>
          <w:lang w:val="en-GB"/>
        </w:rPr>
        <w:tab/>
        <w:t xml:space="preserve">Cadets </w:t>
      </w:r>
      <w:r w:rsidRPr="00E646A8">
        <w:rPr>
          <w:rFonts w:ascii="Times New Roman" w:eastAsia="Times New Roman" w:hAnsi="Times New Roman" w:cs="Times New Roman"/>
          <w:bCs/>
        </w:rPr>
        <w:t>are</w:t>
      </w:r>
      <w:r>
        <w:rPr>
          <w:rFonts w:ascii="Times New Roman" w:eastAsia="Times New Roman" w:hAnsi="Times New Roman" w:cs="Times New Roman"/>
          <w:lang w:val="en-GB"/>
        </w:rPr>
        <w:t xml:space="preserve"> familiar with the structure of the battalion’s logistic support and are able to prepare the relevant planning.</w:t>
      </w:r>
    </w:p>
    <w:p w:rsidR="009B01B1" w:rsidRDefault="009B01B1" w:rsidP="009B01B1">
      <w:pPr>
        <w:widowControl w:val="0"/>
        <w:spacing w:before="120" w:after="0" w:line="240" w:lineRule="auto"/>
        <w:ind w:left="425"/>
        <w:jc w:val="both"/>
        <w:rPr>
          <w:rFonts w:ascii="Times New Roman" w:eastAsia="Times New Roman" w:hAnsi="Times New Roman" w:cs="Times New Roman"/>
          <w:lang w:val="en-GB"/>
        </w:rPr>
      </w:pPr>
      <w:r>
        <w:rPr>
          <w:rFonts w:ascii="Times New Roman" w:eastAsia="Times New Roman" w:hAnsi="Times New Roman" w:cs="Times New Roman"/>
          <w:b/>
          <w:lang w:val="en-GB"/>
        </w:rPr>
        <w:t>Capabilities</w:t>
      </w:r>
      <w:r>
        <w:rPr>
          <w:rFonts w:ascii="Times New Roman" w:eastAsia="Times New Roman" w:hAnsi="Times New Roman" w:cs="Times New Roman"/>
          <w:lang w:val="en-GB"/>
        </w:rPr>
        <w:t xml:space="preserve">: </w:t>
      </w:r>
    </w:p>
    <w:p w:rsidR="009B01B1" w:rsidRPr="00E646A8" w:rsidRDefault="009B01B1" w:rsidP="00E646A8">
      <w:pPr>
        <w:widowControl w:val="0"/>
        <w:spacing w:before="120" w:after="120" w:line="240" w:lineRule="auto"/>
        <w:ind w:left="709" w:hanging="218"/>
        <w:contextualSpacing/>
        <w:jc w:val="both"/>
        <w:rPr>
          <w:rFonts w:ascii="Times New Roman" w:eastAsia="Times New Roman" w:hAnsi="Times New Roman" w:cs="Times New Roman"/>
          <w:bCs/>
        </w:rPr>
      </w:pPr>
      <w:r>
        <w:rPr>
          <w:rFonts w:ascii="Times New Roman" w:eastAsia="Times New Roman" w:hAnsi="Times New Roman"/>
          <w:bCs/>
        </w:rPr>
        <w:t>-</w:t>
      </w:r>
      <w:r>
        <w:rPr>
          <w:rFonts w:ascii="Times New Roman" w:eastAsia="Times New Roman" w:hAnsi="Times New Roman"/>
          <w:bCs/>
        </w:rPr>
        <w:tab/>
        <w:t xml:space="preserve">Cadets </w:t>
      </w:r>
      <w:r w:rsidRPr="00E646A8">
        <w:rPr>
          <w:rFonts w:ascii="Times New Roman" w:eastAsia="Times New Roman" w:hAnsi="Times New Roman" w:cs="Times New Roman"/>
          <w:bCs/>
        </w:rPr>
        <w:t>are capable of elaborating and organising supply tasks relevant to their area of expertise and executing them on subunit level.</w:t>
      </w:r>
    </w:p>
    <w:p w:rsidR="009B01B1" w:rsidRPr="00E646A8" w:rsidRDefault="009B01B1" w:rsidP="00E646A8">
      <w:pPr>
        <w:widowControl w:val="0"/>
        <w:spacing w:before="120" w:after="120" w:line="240" w:lineRule="auto"/>
        <w:ind w:left="709" w:hanging="218"/>
        <w:contextualSpacing/>
        <w:jc w:val="both"/>
        <w:rPr>
          <w:rFonts w:ascii="Times New Roman" w:eastAsia="Times New Roman" w:hAnsi="Times New Roman" w:cs="Times New Roman"/>
          <w:bCs/>
        </w:rPr>
      </w:pPr>
      <w:r w:rsidRPr="00E646A8">
        <w:rPr>
          <w:rFonts w:ascii="Times New Roman" w:eastAsia="Times New Roman" w:hAnsi="Times New Roman" w:cs="Times New Roman"/>
          <w:bCs/>
        </w:rPr>
        <w:t>-</w:t>
      </w:r>
      <w:r w:rsidRPr="00E646A8">
        <w:rPr>
          <w:rFonts w:ascii="Times New Roman" w:eastAsia="Times New Roman" w:hAnsi="Times New Roman" w:cs="Times New Roman"/>
          <w:bCs/>
        </w:rPr>
        <w:tab/>
        <w:t>They are able to participate in PSOs in a multinational and international environment.</w:t>
      </w:r>
    </w:p>
    <w:p w:rsidR="009B01B1" w:rsidRPr="00E646A8" w:rsidRDefault="009B01B1" w:rsidP="00E646A8">
      <w:pPr>
        <w:widowControl w:val="0"/>
        <w:spacing w:before="120" w:after="120" w:line="240" w:lineRule="auto"/>
        <w:ind w:left="709" w:hanging="218"/>
        <w:contextualSpacing/>
        <w:jc w:val="both"/>
        <w:rPr>
          <w:rFonts w:ascii="Times New Roman" w:eastAsia="Times New Roman" w:hAnsi="Times New Roman" w:cs="Times New Roman"/>
          <w:bCs/>
        </w:rPr>
      </w:pPr>
      <w:r w:rsidRPr="00E646A8">
        <w:rPr>
          <w:rFonts w:ascii="Times New Roman" w:eastAsia="Times New Roman" w:hAnsi="Times New Roman" w:cs="Times New Roman"/>
          <w:bCs/>
        </w:rPr>
        <w:t>-</w:t>
      </w:r>
      <w:r w:rsidRPr="00E646A8">
        <w:rPr>
          <w:rFonts w:ascii="Times New Roman" w:eastAsia="Times New Roman" w:hAnsi="Times New Roman" w:cs="Times New Roman"/>
          <w:bCs/>
        </w:rPr>
        <w:tab/>
        <w:t>Cadets can also use the relevant terminology both in Hungarian and in other foreign language.</w:t>
      </w:r>
    </w:p>
    <w:p w:rsidR="009B01B1" w:rsidRDefault="009B01B1" w:rsidP="009B0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425"/>
        <w:jc w:val="both"/>
        <w:rPr>
          <w:rFonts w:ascii="Times New Roman" w:eastAsia="Times New Roman" w:hAnsi="Times New Roman" w:cs="Times New Roman"/>
          <w:lang w:val="en-GB"/>
        </w:rPr>
      </w:pPr>
      <w:r>
        <w:rPr>
          <w:rFonts w:ascii="Times New Roman" w:eastAsia="Times New Roman" w:hAnsi="Times New Roman" w:cs="Times New Roman"/>
          <w:b/>
          <w:lang w:val="en-GB"/>
        </w:rPr>
        <w:t>Attitude:</w:t>
      </w:r>
      <w:r>
        <w:rPr>
          <w:rFonts w:ascii="Times New Roman" w:eastAsia="Times New Roman" w:hAnsi="Times New Roman" w:cs="Times New Roman"/>
          <w:lang w:val="en-GB"/>
        </w:rPr>
        <w:t xml:space="preserve"> </w:t>
      </w:r>
    </w:p>
    <w:p w:rsidR="009B01B1" w:rsidRPr="00E646A8" w:rsidRDefault="009B01B1" w:rsidP="00E646A8">
      <w:pPr>
        <w:widowControl w:val="0"/>
        <w:spacing w:before="120" w:after="120" w:line="240" w:lineRule="auto"/>
        <w:ind w:left="709" w:hanging="218"/>
        <w:contextualSpacing/>
        <w:jc w:val="both"/>
        <w:rPr>
          <w:rFonts w:ascii="Times New Roman" w:eastAsia="Times New Roman" w:hAnsi="Times New Roman" w:cs="Times New Roman"/>
          <w:bCs/>
        </w:rPr>
      </w:pPr>
      <w:r>
        <w:rPr>
          <w:rFonts w:ascii="Times New Roman" w:eastAsia="Times New Roman" w:hAnsi="Times New Roman"/>
          <w:bCs/>
        </w:rPr>
        <w:t>-</w:t>
      </w:r>
      <w:r>
        <w:rPr>
          <w:rFonts w:ascii="Times New Roman" w:eastAsia="Times New Roman" w:hAnsi="Times New Roman"/>
          <w:bCs/>
        </w:rPr>
        <w:tab/>
        <w:t xml:space="preserve">Cadets </w:t>
      </w:r>
      <w:r w:rsidRPr="00E646A8">
        <w:rPr>
          <w:rFonts w:ascii="Times New Roman" w:eastAsia="Times New Roman" w:hAnsi="Times New Roman" w:cs="Times New Roman"/>
          <w:bCs/>
        </w:rPr>
        <w:t>are able to execute their tasks independently and in larger groups.</w:t>
      </w:r>
    </w:p>
    <w:p w:rsidR="009B01B1" w:rsidRPr="00E646A8" w:rsidRDefault="009B01B1" w:rsidP="00E646A8">
      <w:pPr>
        <w:widowControl w:val="0"/>
        <w:spacing w:before="120" w:after="120" w:line="240" w:lineRule="auto"/>
        <w:ind w:left="709" w:hanging="218"/>
        <w:contextualSpacing/>
        <w:jc w:val="both"/>
        <w:rPr>
          <w:rFonts w:ascii="Times New Roman" w:eastAsia="Times New Roman" w:hAnsi="Times New Roman" w:cs="Times New Roman"/>
          <w:bCs/>
        </w:rPr>
      </w:pPr>
      <w:r w:rsidRPr="00E646A8">
        <w:rPr>
          <w:rFonts w:ascii="Times New Roman" w:eastAsia="Times New Roman" w:hAnsi="Times New Roman" w:cs="Times New Roman"/>
          <w:bCs/>
        </w:rPr>
        <w:t>-</w:t>
      </w:r>
      <w:r w:rsidRPr="00E646A8">
        <w:rPr>
          <w:rFonts w:ascii="Times New Roman" w:eastAsia="Times New Roman" w:hAnsi="Times New Roman" w:cs="Times New Roman"/>
          <w:bCs/>
        </w:rPr>
        <w:tab/>
        <w:t>They strive for cooperation and effective task execution.</w:t>
      </w:r>
    </w:p>
    <w:p w:rsidR="009B01B1" w:rsidRDefault="009B01B1" w:rsidP="00E646A8">
      <w:pPr>
        <w:widowControl w:val="0"/>
        <w:spacing w:before="120" w:after="120" w:line="240" w:lineRule="auto"/>
        <w:ind w:left="709" w:hanging="218"/>
        <w:contextualSpacing/>
        <w:jc w:val="both"/>
        <w:rPr>
          <w:rFonts w:ascii="Times New Roman" w:eastAsia="Times New Roman" w:hAnsi="Times New Roman"/>
          <w:bCs/>
        </w:rPr>
      </w:pPr>
      <w:r w:rsidRPr="00E646A8">
        <w:rPr>
          <w:rFonts w:ascii="Times New Roman" w:eastAsia="Times New Roman" w:hAnsi="Times New Roman" w:cs="Times New Roman"/>
          <w:bCs/>
        </w:rPr>
        <w:t>-</w:t>
      </w:r>
      <w:r w:rsidRPr="00E646A8">
        <w:rPr>
          <w:rFonts w:ascii="Times New Roman" w:eastAsia="Times New Roman" w:hAnsi="Times New Roman" w:cs="Times New Roman"/>
          <w:bCs/>
        </w:rPr>
        <w:tab/>
        <w:t>Cadets are open to new scientific achievements in the field of military logistics and are able to adapt</w:t>
      </w:r>
      <w:r>
        <w:rPr>
          <w:rFonts w:ascii="Times New Roman" w:eastAsia="Times New Roman" w:hAnsi="Times New Roman"/>
          <w:bCs/>
        </w:rPr>
        <w:t xml:space="preserve"> to changes and developments in this field.</w:t>
      </w:r>
    </w:p>
    <w:p w:rsidR="009B01B1" w:rsidRDefault="009B01B1" w:rsidP="009B01B1">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lang w:val="en-GB"/>
        </w:rPr>
        <w:t xml:space="preserve">Autonomy and responsibility: </w:t>
      </w:r>
    </w:p>
    <w:p w:rsidR="009B01B1" w:rsidRPr="00E646A8" w:rsidRDefault="009B01B1" w:rsidP="00E646A8">
      <w:pPr>
        <w:widowControl w:val="0"/>
        <w:spacing w:before="120" w:after="120" w:line="240" w:lineRule="auto"/>
        <w:ind w:left="709" w:hanging="218"/>
        <w:contextualSpacing/>
        <w:jc w:val="both"/>
        <w:rPr>
          <w:rFonts w:ascii="Times New Roman" w:eastAsia="Times New Roman" w:hAnsi="Times New Roman" w:cs="Times New Roman"/>
          <w:bCs/>
        </w:rPr>
      </w:pPr>
      <w:r>
        <w:rPr>
          <w:rFonts w:ascii="Times New Roman" w:eastAsia="Times New Roman" w:hAnsi="Times New Roman"/>
          <w:bCs/>
        </w:rPr>
        <w:t>-</w:t>
      </w:r>
      <w:r>
        <w:rPr>
          <w:rFonts w:ascii="Times New Roman" w:eastAsia="Times New Roman" w:hAnsi="Times New Roman"/>
          <w:bCs/>
        </w:rPr>
        <w:tab/>
      </w:r>
      <w:r w:rsidRPr="00E646A8">
        <w:rPr>
          <w:rFonts w:ascii="Times New Roman" w:eastAsia="Times New Roman" w:hAnsi="Times New Roman" w:cs="Times New Roman"/>
          <w:bCs/>
        </w:rPr>
        <w:t>Cadets are able to make independent decisions in military logistics processes, and to implement them responsibly within the legal framework.</w:t>
      </w:r>
    </w:p>
    <w:p w:rsidR="009B01B1" w:rsidRDefault="009B01B1" w:rsidP="00E646A8">
      <w:pPr>
        <w:widowControl w:val="0"/>
        <w:spacing w:before="120" w:after="120" w:line="240" w:lineRule="auto"/>
        <w:ind w:left="709" w:hanging="218"/>
        <w:contextualSpacing/>
        <w:jc w:val="both"/>
        <w:rPr>
          <w:rFonts w:ascii="Times New Roman" w:eastAsia="Times New Roman" w:hAnsi="Times New Roman"/>
          <w:bCs/>
        </w:rPr>
      </w:pPr>
      <w:r w:rsidRPr="00E646A8">
        <w:rPr>
          <w:rFonts w:ascii="Times New Roman" w:eastAsia="Times New Roman" w:hAnsi="Times New Roman" w:cs="Times New Roman"/>
          <w:bCs/>
        </w:rPr>
        <w:t>-</w:t>
      </w:r>
      <w:r w:rsidRPr="00E646A8">
        <w:rPr>
          <w:rFonts w:ascii="Times New Roman" w:eastAsia="Times New Roman" w:hAnsi="Times New Roman" w:cs="Times New Roman"/>
          <w:bCs/>
        </w:rPr>
        <w:tab/>
        <w:t>They are responsible for the professional activities of their subordinates and for the technical tools,</w:t>
      </w:r>
      <w:r>
        <w:rPr>
          <w:rFonts w:ascii="Times New Roman" w:eastAsia="Times New Roman" w:hAnsi="Times New Roman"/>
          <w:bCs/>
        </w:rPr>
        <w:t xml:space="preserve"> materials and accuracy of the planning.</w:t>
      </w:r>
    </w:p>
    <w:p w:rsidR="009B01B1" w:rsidRPr="00D42BBE" w:rsidRDefault="009B01B1" w:rsidP="00C14833">
      <w:pPr>
        <w:widowControl w:val="0"/>
        <w:numPr>
          <w:ilvl w:val="0"/>
          <w:numId w:val="137"/>
        </w:numPr>
        <w:tabs>
          <w:tab w:val="num" w:pos="567"/>
        </w:tabs>
        <w:spacing w:before="120" w:after="120" w:line="240" w:lineRule="auto"/>
        <w:ind w:left="426" w:hanging="142"/>
        <w:jc w:val="both"/>
        <w:rPr>
          <w:rFonts w:ascii="Times New Roman" w:eastAsia="Times New Roman" w:hAnsi="Times New Roman" w:cs="Times New Roman"/>
          <w:bCs/>
        </w:rPr>
      </w:pPr>
      <w:r w:rsidRPr="00D42BBE">
        <w:rPr>
          <w:rFonts w:ascii="Times New Roman" w:eastAsia="Times New Roman" w:hAnsi="Times New Roman" w:cs="Times New Roman"/>
          <w:b/>
          <w:bCs/>
        </w:rPr>
        <w:t>Előtanulmányi követelmények:</w:t>
      </w:r>
      <w:r w:rsidR="00D42BBE" w:rsidRPr="00D42BBE">
        <w:rPr>
          <w:rFonts w:ascii="Times New Roman" w:eastAsia="Times New Roman" w:hAnsi="Times New Roman" w:cs="Times New Roman"/>
          <w:b/>
          <w:bCs/>
        </w:rPr>
        <w:t xml:space="preserve"> </w:t>
      </w:r>
      <w:r w:rsidRPr="00D42BBE">
        <w:rPr>
          <w:rFonts w:ascii="Times New Roman" w:eastAsia="Times New Roman" w:hAnsi="Times New Roman" w:cs="Times New Roman"/>
          <w:bCs/>
        </w:rPr>
        <w:t>Lövészzászlóalj műveleteinek logisztikai támogatása I. (HKHPKA14)</w:t>
      </w:r>
    </w:p>
    <w:p w:rsidR="009B01B1" w:rsidRDefault="009B01B1" w:rsidP="00C14833">
      <w:pPr>
        <w:widowControl w:val="0"/>
        <w:numPr>
          <w:ilvl w:val="0"/>
          <w:numId w:val="137"/>
        </w:numPr>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A tantárgy tananyagának leírása, tematika. Description of the subject, curriculum (magyarul, angolul - English):</w:t>
      </w:r>
    </w:p>
    <w:p w:rsidR="009B01B1" w:rsidRPr="00D42BBE" w:rsidRDefault="009B01B1" w:rsidP="00C14833">
      <w:pPr>
        <w:widowControl w:val="0"/>
        <w:numPr>
          <w:ilvl w:val="1"/>
          <w:numId w:val="137"/>
        </w:numPr>
        <w:tabs>
          <w:tab w:val="clear" w:pos="3977"/>
          <w:tab w:val="left" w:pos="709"/>
          <w:tab w:val="left" w:pos="993"/>
          <w:tab w:val="num" w:pos="2069"/>
          <w:tab w:val="num" w:pos="2275"/>
        </w:tabs>
        <w:spacing w:before="120" w:after="120" w:line="240" w:lineRule="auto"/>
        <w:ind w:left="993" w:hanging="567"/>
        <w:jc w:val="both"/>
        <w:rPr>
          <w:rFonts w:ascii="Times New Roman" w:eastAsia="Times New Roman" w:hAnsi="Times New Roman" w:cs="Times New Roman"/>
          <w:i/>
          <w:kern w:val="2"/>
        </w:rPr>
      </w:pPr>
      <w:r>
        <w:rPr>
          <w:rFonts w:ascii="Times New Roman" w:hAnsi="Times New Roman"/>
          <w:bCs/>
        </w:rPr>
        <w:t>Helyzetbeállítás, az általános és részletes helyzet rögzítése a térképen.</w:t>
      </w:r>
      <w:r>
        <w:rPr>
          <w:rFonts w:ascii="Times New Roman" w:hAnsi="Times New Roman"/>
          <w:b/>
          <w:bCs/>
        </w:rPr>
        <w:t xml:space="preserve"> </w:t>
      </w:r>
      <w:r w:rsidRPr="00D42BBE">
        <w:rPr>
          <w:rFonts w:ascii="Times New Roman" w:eastAsia="Times New Roman" w:hAnsi="Times New Roman" w:cs="Times New Roman"/>
          <w:i/>
          <w:kern w:val="2"/>
        </w:rPr>
        <w:t>(Scenario, mission, drawing the tactical situation on the map.)</w:t>
      </w:r>
    </w:p>
    <w:p w:rsidR="009B01B1" w:rsidRDefault="009B01B1" w:rsidP="00C14833">
      <w:pPr>
        <w:widowControl w:val="0"/>
        <w:numPr>
          <w:ilvl w:val="1"/>
          <w:numId w:val="137"/>
        </w:numPr>
        <w:tabs>
          <w:tab w:val="clear" w:pos="3977"/>
          <w:tab w:val="left" w:pos="709"/>
          <w:tab w:val="left" w:pos="993"/>
          <w:tab w:val="num" w:pos="2069"/>
          <w:tab w:val="num" w:pos="2275"/>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 szemrevételezési terv kidolgozása. </w:t>
      </w:r>
      <w:r>
        <w:rPr>
          <w:rFonts w:ascii="Times New Roman" w:eastAsia="Times New Roman" w:hAnsi="Times New Roman" w:cs="Times New Roman"/>
          <w:i/>
          <w:kern w:val="2"/>
        </w:rPr>
        <w:t>(Preparation the site survey plan.)</w:t>
      </w:r>
    </w:p>
    <w:p w:rsidR="009B01B1" w:rsidRDefault="009B01B1" w:rsidP="00C14833">
      <w:pPr>
        <w:widowControl w:val="0"/>
        <w:numPr>
          <w:ilvl w:val="1"/>
          <w:numId w:val="137"/>
        </w:numPr>
        <w:tabs>
          <w:tab w:val="clear" w:pos="3977"/>
          <w:tab w:val="left" w:pos="709"/>
          <w:tab w:val="left" w:pos="993"/>
          <w:tab w:val="num" w:pos="2069"/>
          <w:tab w:val="num" w:pos="2275"/>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 zászlóalj harccsoport logisztikai alegységei telepítésének megtervezése terepen. (6 órás foglalkozás). </w:t>
      </w:r>
      <w:r>
        <w:rPr>
          <w:rFonts w:ascii="Times New Roman" w:eastAsia="Times New Roman" w:hAnsi="Times New Roman" w:cs="Times New Roman"/>
          <w:i/>
          <w:kern w:val="2"/>
        </w:rPr>
        <w:t>(Planning the deployment of the logistic subunits of the battalion’s combat group on the field. (6 hours field activity))</w:t>
      </w:r>
    </w:p>
    <w:p w:rsidR="009B01B1" w:rsidRDefault="009B01B1" w:rsidP="00C14833">
      <w:pPr>
        <w:widowControl w:val="0"/>
        <w:numPr>
          <w:ilvl w:val="1"/>
          <w:numId w:val="137"/>
        </w:numPr>
        <w:tabs>
          <w:tab w:val="clear" w:pos="3977"/>
          <w:tab w:val="left" w:pos="709"/>
          <w:tab w:val="left" w:pos="993"/>
          <w:tab w:val="num" w:pos="2069"/>
          <w:tab w:val="num" w:pos="2275"/>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 dandárparancsnok elhatározásának rögzítése a térképen. </w:t>
      </w:r>
      <w:r>
        <w:rPr>
          <w:rFonts w:ascii="Times New Roman" w:eastAsia="Times New Roman" w:hAnsi="Times New Roman" w:cs="Times New Roman"/>
          <w:i/>
          <w:kern w:val="2"/>
        </w:rPr>
        <w:t>(Drawing the decision of the brigade commander on the map.)</w:t>
      </w:r>
    </w:p>
    <w:p w:rsidR="009B01B1" w:rsidRDefault="009B01B1" w:rsidP="00C14833">
      <w:pPr>
        <w:widowControl w:val="0"/>
        <w:numPr>
          <w:ilvl w:val="1"/>
          <w:numId w:val="137"/>
        </w:numPr>
        <w:tabs>
          <w:tab w:val="clear" w:pos="3977"/>
          <w:tab w:val="left" w:pos="709"/>
          <w:tab w:val="left" w:pos="993"/>
          <w:tab w:val="num" w:pos="2069"/>
          <w:tab w:val="num" w:pos="2275"/>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 lövészzászlóalj logisztikai harcrendi elemei telepítésének megtervezése a harcrendben, szemrevételezés (6 órás terepfoglalkozás). </w:t>
      </w:r>
      <w:r>
        <w:rPr>
          <w:rFonts w:ascii="Times New Roman" w:eastAsia="Times New Roman" w:hAnsi="Times New Roman" w:cs="Times New Roman"/>
          <w:i/>
          <w:kern w:val="2"/>
        </w:rPr>
        <w:t>(Planning the deployment of the battalion’s logistic subunits in the combat order, site survey. (6 hours on the field))</w:t>
      </w:r>
    </w:p>
    <w:p w:rsidR="009B01B1" w:rsidRDefault="009B01B1" w:rsidP="00C14833">
      <w:pPr>
        <w:widowControl w:val="0"/>
        <w:numPr>
          <w:ilvl w:val="1"/>
          <w:numId w:val="137"/>
        </w:numPr>
        <w:tabs>
          <w:tab w:val="clear" w:pos="3977"/>
          <w:tab w:val="left" w:pos="709"/>
          <w:tab w:val="left" w:pos="993"/>
          <w:tab w:val="num" w:pos="2069"/>
          <w:tab w:val="num" w:pos="2275"/>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 lövészzászlóalj békehelyőrségből a bázislaktanyába történő menete logisztikai támogatásának megszervezése. </w:t>
      </w:r>
      <w:r>
        <w:rPr>
          <w:rFonts w:ascii="Times New Roman" w:eastAsia="Times New Roman" w:hAnsi="Times New Roman" w:cs="Times New Roman"/>
          <w:i/>
          <w:kern w:val="2"/>
        </w:rPr>
        <w:t>(Organization of the logistic support of the march of the infantry battalion from garrison to the area of responsibility.)</w:t>
      </w:r>
    </w:p>
    <w:p w:rsidR="009B01B1" w:rsidRDefault="009B01B1" w:rsidP="00C14833">
      <w:pPr>
        <w:widowControl w:val="0"/>
        <w:numPr>
          <w:ilvl w:val="1"/>
          <w:numId w:val="137"/>
        </w:numPr>
        <w:tabs>
          <w:tab w:val="clear" w:pos="3977"/>
          <w:tab w:val="left" w:pos="709"/>
          <w:tab w:val="left" w:pos="993"/>
          <w:tab w:val="num" w:pos="2069"/>
          <w:tab w:val="num" w:pos="2275"/>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 lövészzászlóalj békehelyőrségből a bázislaktanyába történő menete üzemanyag-ellátásának számvetése, a napvégi feltöltés megszervezése. </w:t>
      </w:r>
      <w:r>
        <w:rPr>
          <w:rFonts w:ascii="Times New Roman" w:eastAsia="Times New Roman" w:hAnsi="Times New Roman" w:cs="Times New Roman"/>
          <w:i/>
          <w:kern w:val="2"/>
        </w:rPr>
        <w:t>(Organization of the POL supply of the march of the infantry battalion from garrison to the area of responsibilty and preparation of the end of the day refuelling.)</w:t>
      </w:r>
    </w:p>
    <w:p w:rsidR="009B01B1" w:rsidRDefault="009B01B1" w:rsidP="00C14833">
      <w:pPr>
        <w:widowControl w:val="0"/>
        <w:numPr>
          <w:ilvl w:val="1"/>
          <w:numId w:val="137"/>
        </w:numPr>
        <w:tabs>
          <w:tab w:val="clear" w:pos="3977"/>
          <w:tab w:val="left" w:pos="709"/>
          <w:tab w:val="left" w:pos="993"/>
          <w:tab w:val="num" w:pos="2069"/>
          <w:tab w:val="num" w:pos="2275"/>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 lövészzászlóalj védelmi harca haditechnikai biztosításának megtervezése és megszervezése. </w:t>
      </w:r>
      <w:r>
        <w:rPr>
          <w:rFonts w:ascii="Times New Roman" w:eastAsia="Times New Roman" w:hAnsi="Times New Roman" w:cs="Times New Roman"/>
          <w:i/>
          <w:kern w:val="2"/>
        </w:rPr>
        <w:t>(Planning and organization of the maintenance of the defence of the battalion.)</w:t>
      </w:r>
    </w:p>
    <w:p w:rsidR="009B01B1" w:rsidRDefault="009B01B1" w:rsidP="00C14833">
      <w:pPr>
        <w:widowControl w:val="0"/>
        <w:numPr>
          <w:ilvl w:val="1"/>
          <w:numId w:val="137"/>
        </w:numPr>
        <w:tabs>
          <w:tab w:val="clear" w:pos="3977"/>
          <w:tab w:val="left" w:pos="709"/>
          <w:tab w:val="left" w:pos="993"/>
          <w:tab w:val="num" w:pos="2069"/>
          <w:tab w:val="num" w:pos="2275"/>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lastRenderedPageBreak/>
        <w:t xml:space="preserve">A lövészzászlóalj védelmi harca hadtápbiztosításának megtervezése és megszervezése, az ellátási számvetések kidolgozása. </w:t>
      </w:r>
      <w:r>
        <w:rPr>
          <w:rFonts w:ascii="Times New Roman" w:eastAsia="Times New Roman" w:hAnsi="Times New Roman" w:cs="Times New Roman"/>
          <w:i/>
          <w:kern w:val="2"/>
        </w:rPr>
        <w:t>(Planning and organization of the supply of the defence of the infantry battalion, elaboration the supply calculations.)</w:t>
      </w:r>
    </w:p>
    <w:p w:rsidR="009B01B1" w:rsidRDefault="009B01B1" w:rsidP="00C14833">
      <w:pPr>
        <w:widowControl w:val="0"/>
        <w:numPr>
          <w:ilvl w:val="1"/>
          <w:numId w:val="137"/>
        </w:numPr>
        <w:tabs>
          <w:tab w:val="clear" w:pos="3977"/>
          <w:tab w:val="left" w:pos="709"/>
          <w:tab w:val="left" w:pos="993"/>
          <w:tab w:val="num" w:pos="2069"/>
          <w:tab w:val="num" w:pos="2275"/>
        </w:tabs>
        <w:spacing w:before="120" w:after="120" w:line="240" w:lineRule="auto"/>
        <w:ind w:left="993" w:hanging="567"/>
        <w:jc w:val="both"/>
        <w:rPr>
          <w:rFonts w:ascii="Times New Roman" w:hAnsi="Times New Roman"/>
          <w:b/>
        </w:rPr>
      </w:pPr>
      <w:r>
        <w:rPr>
          <w:rFonts w:ascii="Times New Roman" w:eastAsia="Times New Roman" w:hAnsi="Times New Roman" w:cs="Times New Roman"/>
          <w:kern w:val="2"/>
        </w:rPr>
        <w:t xml:space="preserve">Szeminárium a félév anyagából, a kidolgozott tervek, számvetések jelentése. </w:t>
      </w:r>
      <w:r>
        <w:rPr>
          <w:rFonts w:ascii="Times New Roman" w:eastAsia="Times New Roman" w:hAnsi="Times New Roman" w:cs="Times New Roman"/>
          <w:i/>
          <w:kern w:val="2"/>
        </w:rPr>
        <w:t>(Seminar, reporting the elaborated plans and calculations.)</w:t>
      </w:r>
    </w:p>
    <w:p w:rsidR="009B01B1" w:rsidRDefault="009B01B1" w:rsidP="00C14833">
      <w:pPr>
        <w:widowControl w:val="0"/>
        <w:numPr>
          <w:ilvl w:val="0"/>
          <w:numId w:val="137"/>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 tantárgy meghirdetésének gyakorisága/a tantervben történő félévi elhelyezkedése: </w:t>
      </w:r>
      <w:r>
        <w:rPr>
          <w:rFonts w:ascii="Times New Roman" w:eastAsia="Times New Roman" w:hAnsi="Times New Roman" w:cs="Times New Roman"/>
          <w:bCs/>
        </w:rPr>
        <w:t>Minden tavaszi szemeszterben / 6. félév</w:t>
      </w:r>
    </w:p>
    <w:p w:rsidR="009B01B1" w:rsidRDefault="009B01B1" w:rsidP="00C14833">
      <w:pPr>
        <w:widowControl w:val="0"/>
        <w:numPr>
          <w:ilvl w:val="0"/>
          <w:numId w:val="137"/>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tanórákon való részvétel követelményei, az elfogadható hiányzások mértéke, a távolmaradás pótlásának lehetősége:</w:t>
      </w:r>
      <w:r>
        <w:rPr>
          <w:rFonts w:ascii="Times New Roman" w:eastAsia="Times New Roman" w:hAnsi="Times New Roman" w:cs="Times New Roman"/>
          <w:bCs/>
        </w:rPr>
        <w:t xml:space="preserve"> Az órákon való részvétel legalább 75 %-ban, a két terepfoglalkozáson 100%-ban kötelező. A hallgatónak a kimaradt tananyagot pótlására csak egy év múlva van lehetősége.</w:t>
      </w:r>
    </w:p>
    <w:p w:rsidR="009B01B1" w:rsidRDefault="009B01B1" w:rsidP="00C14833">
      <w:pPr>
        <w:widowControl w:val="0"/>
        <w:numPr>
          <w:ilvl w:val="0"/>
          <w:numId w:val="137"/>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rPr>
        <w:t xml:space="preserve">Félévközi feladatok, ismeretek ellenőrzésének rendje: </w:t>
      </w:r>
      <w:r>
        <w:rPr>
          <w:rFonts w:ascii="Times New Roman" w:eastAsia="Times New Roman" w:hAnsi="Times New Roman" w:cs="Times New Roman"/>
          <w:bCs/>
        </w:rPr>
        <w:t>A félév elfogadásának, azaz az aláírás megszerzésének feltétele a terepfoglalkozásokon kötelező jelleggel való részvétel. A menettel és a védelmi harccal kapcsolatos feladatokra egy-egy osztályzatot kapnak a hallgatók. Ezek számtani átlaga adja a gyakorlati jegyet. Az elégtelen zárthelyi dolgozat egy alkalommal javítható.</w:t>
      </w:r>
    </w:p>
    <w:p w:rsidR="009B01B1" w:rsidRDefault="009B01B1" w:rsidP="00C14833">
      <w:pPr>
        <w:widowControl w:val="0"/>
        <w:numPr>
          <w:ilvl w:val="0"/>
          <w:numId w:val="137"/>
        </w:numPr>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Az értékelés, az aláírás és a kreditek megszerzésének pontos feltételei: </w:t>
      </w:r>
    </w:p>
    <w:p w:rsidR="009B01B1" w:rsidRPr="00D42BBE" w:rsidRDefault="009B01B1" w:rsidP="00C14833">
      <w:pPr>
        <w:widowControl w:val="0"/>
        <w:numPr>
          <w:ilvl w:val="1"/>
          <w:numId w:val="137"/>
        </w:numPr>
        <w:tabs>
          <w:tab w:val="clear" w:pos="3977"/>
          <w:tab w:val="left" w:pos="709"/>
          <w:tab w:val="left" w:pos="993"/>
          <w:tab w:val="num" w:pos="2069"/>
          <w:tab w:val="num" w:pos="2275"/>
        </w:tabs>
        <w:spacing w:before="120" w:after="120" w:line="240" w:lineRule="auto"/>
        <w:ind w:left="426" w:firstLine="0"/>
        <w:jc w:val="both"/>
        <w:rPr>
          <w:rFonts w:ascii="Times New Roman" w:eastAsia="Times New Roman" w:hAnsi="Times New Roman" w:cs="Times New Roman"/>
        </w:rPr>
      </w:pPr>
      <w:r w:rsidRPr="00D42BBE">
        <w:rPr>
          <w:rFonts w:ascii="Times New Roman" w:eastAsia="Times New Roman" w:hAnsi="Times New Roman" w:cs="Times New Roman"/>
          <w:b/>
        </w:rPr>
        <w:t>Az aláírás megszerzésének feltételei:</w:t>
      </w:r>
      <w:r w:rsidR="00D42BBE" w:rsidRPr="00D42BBE">
        <w:rPr>
          <w:rFonts w:ascii="Times New Roman" w:eastAsia="Times New Roman" w:hAnsi="Times New Roman" w:cs="Times New Roman"/>
          <w:b/>
        </w:rPr>
        <w:t xml:space="preserve"> </w:t>
      </w:r>
      <w:r w:rsidRPr="00D42BBE">
        <w:rPr>
          <w:rFonts w:ascii="Times New Roman" w:eastAsia="Times New Roman" w:hAnsi="Times New Roman" w:cs="Times New Roman"/>
        </w:rPr>
        <w:t>Az aláírás megszerzésének feltétele a 14. pontban meghatározott arányú részvétel a foglalkozásokon és a 15. pontban meghatározott félévközi feladatok legalább elégséges teljesítése.</w:t>
      </w:r>
    </w:p>
    <w:p w:rsidR="009B01B1" w:rsidRPr="00D42BBE" w:rsidRDefault="009B01B1" w:rsidP="00C14833">
      <w:pPr>
        <w:widowControl w:val="0"/>
        <w:numPr>
          <w:ilvl w:val="1"/>
          <w:numId w:val="137"/>
        </w:numPr>
        <w:tabs>
          <w:tab w:val="clear" w:pos="3977"/>
          <w:tab w:val="left" w:pos="709"/>
          <w:tab w:val="left" w:pos="993"/>
          <w:tab w:val="num" w:pos="2069"/>
          <w:tab w:val="num" w:pos="2275"/>
        </w:tabs>
        <w:spacing w:before="120" w:after="120" w:line="240" w:lineRule="auto"/>
        <w:ind w:left="426" w:firstLine="0"/>
        <w:jc w:val="both"/>
        <w:rPr>
          <w:rFonts w:ascii="Times New Roman" w:eastAsia="Times New Roman" w:hAnsi="Times New Roman" w:cs="Times New Roman"/>
        </w:rPr>
      </w:pPr>
      <w:r w:rsidRPr="00D42BBE">
        <w:rPr>
          <w:rFonts w:ascii="Times New Roman" w:eastAsia="Times New Roman" w:hAnsi="Times New Roman" w:cs="Times New Roman"/>
          <w:b/>
        </w:rPr>
        <w:t>Az értékelés:</w:t>
      </w:r>
      <w:r w:rsidR="00D42BBE" w:rsidRPr="00D42BBE">
        <w:rPr>
          <w:rFonts w:ascii="Times New Roman" w:eastAsia="Times New Roman" w:hAnsi="Times New Roman" w:cs="Times New Roman"/>
          <w:b/>
        </w:rPr>
        <w:t xml:space="preserve"> </w:t>
      </w:r>
      <w:r w:rsidRPr="00D42BBE">
        <w:rPr>
          <w:rFonts w:ascii="Times New Roman" w:eastAsia="Times New Roman" w:hAnsi="Times New Roman" w:cs="Times New Roman"/>
        </w:rPr>
        <w:t>A tantárgy gyakorlati jeggyel zárul. A gyakorlati jegy megszerzéséhez a félévközben megíratott két zárhelyi dolgozat egyenként legalább 50% + 1 pont elérése szükséges, továbbá a terepfoglalkozásokon 100%-ban történő részvétel.</w:t>
      </w:r>
    </w:p>
    <w:p w:rsidR="009B01B1" w:rsidRPr="00D42BBE" w:rsidRDefault="009B01B1" w:rsidP="00C14833">
      <w:pPr>
        <w:widowControl w:val="0"/>
        <w:numPr>
          <w:ilvl w:val="1"/>
          <w:numId w:val="137"/>
        </w:numPr>
        <w:tabs>
          <w:tab w:val="clear" w:pos="3977"/>
          <w:tab w:val="left" w:pos="709"/>
          <w:tab w:val="left" w:pos="993"/>
          <w:tab w:val="num" w:pos="2069"/>
          <w:tab w:val="num" w:pos="2275"/>
        </w:tabs>
        <w:spacing w:before="120" w:after="120" w:line="240" w:lineRule="auto"/>
        <w:ind w:left="426" w:firstLine="0"/>
        <w:jc w:val="both"/>
        <w:rPr>
          <w:rFonts w:ascii="Times New Roman" w:eastAsia="Times New Roman" w:hAnsi="Times New Roman" w:cs="Times New Roman"/>
        </w:rPr>
      </w:pPr>
      <w:r w:rsidRPr="00D42BBE">
        <w:rPr>
          <w:rFonts w:ascii="Times New Roman" w:eastAsia="Times New Roman" w:hAnsi="Times New Roman" w:cs="Times New Roman"/>
          <w:b/>
        </w:rPr>
        <w:t>A kreditek megszerzésének feltételei:</w:t>
      </w:r>
      <w:r w:rsidRPr="00D42BBE">
        <w:rPr>
          <w:rFonts w:ascii="Times New Roman" w:eastAsia="Times New Roman" w:hAnsi="Times New Roman" w:cs="Times New Roman"/>
        </w:rPr>
        <w:t xml:space="preserve"> A kreditek megszerzésének feltétele az aláírás megszerzése és a legalább elégséges gyakorlati jegy.</w:t>
      </w:r>
    </w:p>
    <w:p w:rsidR="009B01B1" w:rsidRDefault="009B01B1" w:rsidP="00C14833">
      <w:pPr>
        <w:widowControl w:val="0"/>
        <w:numPr>
          <w:ilvl w:val="0"/>
          <w:numId w:val="137"/>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Irodalomjegyzék:</w:t>
      </w:r>
    </w:p>
    <w:p w:rsidR="009B01B1" w:rsidRDefault="009B01B1" w:rsidP="00C14833">
      <w:pPr>
        <w:widowControl w:val="0"/>
        <w:numPr>
          <w:ilvl w:val="1"/>
          <w:numId w:val="137"/>
        </w:numPr>
        <w:tabs>
          <w:tab w:val="clear" w:pos="3977"/>
          <w:tab w:val="left" w:pos="567"/>
          <w:tab w:val="left" w:pos="851"/>
          <w:tab w:val="num" w:pos="2069"/>
          <w:tab w:val="num" w:pos="2275"/>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Kötelező irodalom:</w:t>
      </w:r>
    </w:p>
    <w:p w:rsidR="009B01B1" w:rsidRDefault="009B01B1" w:rsidP="00C14833">
      <w:pPr>
        <w:widowControl w:val="0"/>
        <w:numPr>
          <w:ilvl w:val="0"/>
          <w:numId w:val="138"/>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Magyar Honvédség Összhaderőnemi Logisztikai Támogatás Doktrína, A HVK Logisztikai Csoportfőnökség Kiadványa, Budapest, 2015. (3. kiadás)</w:t>
      </w:r>
    </w:p>
    <w:p w:rsidR="009B01B1" w:rsidRDefault="00A065A5" w:rsidP="00C14833">
      <w:pPr>
        <w:widowControl w:val="0"/>
        <w:numPr>
          <w:ilvl w:val="0"/>
          <w:numId w:val="138"/>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Ált/23 A</w:t>
      </w:r>
      <w:r w:rsidR="009B01B1">
        <w:rPr>
          <w:rFonts w:ascii="Times New Roman" w:eastAsia="Times New Roman" w:hAnsi="Times New Roman" w:cs="Times New Roman"/>
        </w:rPr>
        <w:t xml:space="preserve"> Magyar Honvédség Szol</w:t>
      </w:r>
      <w:r>
        <w:rPr>
          <w:rFonts w:ascii="Times New Roman" w:eastAsia="Times New Roman" w:hAnsi="Times New Roman" w:cs="Times New Roman"/>
        </w:rPr>
        <w:t>gálati Szabályzat,</w:t>
      </w:r>
      <w:r w:rsidRPr="00A065A5">
        <w:rPr>
          <w:rFonts w:ascii="Times New Roman" w:eastAsia="Times New Roman" w:hAnsi="Times New Roman" w:cs="Times New Roman"/>
        </w:rPr>
        <w:t xml:space="preserve"> </w:t>
      </w:r>
      <w:r>
        <w:rPr>
          <w:rFonts w:ascii="Times New Roman" w:eastAsia="Times New Roman" w:hAnsi="Times New Roman" w:cs="Times New Roman"/>
        </w:rPr>
        <w:t>a Magyar Honvédség kiadványa, 2007.</w:t>
      </w:r>
    </w:p>
    <w:p w:rsidR="009B01B1" w:rsidRDefault="009B01B1" w:rsidP="00C14833">
      <w:pPr>
        <w:widowControl w:val="0"/>
        <w:numPr>
          <w:ilvl w:val="0"/>
          <w:numId w:val="138"/>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Ált/50, A Magyar Honvédség Alaki Szabályzat, a Magyar Honvédség kiadványa, 2010.</w:t>
      </w:r>
    </w:p>
    <w:p w:rsidR="009B01B1" w:rsidRDefault="009B01B1" w:rsidP="00C14833">
      <w:pPr>
        <w:widowControl w:val="0"/>
        <w:numPr>
          <w:ilvl w:val="0"/>
          <w:numId w:val="138"/>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2012. évi CCV. törvény a honvédek jogállásáról </w:t>
      </w:r>
    </w:p>
    <w:p w:rsidR="009B01B1" w:rsidRDefault="009B01B1" w:rsidP="00C14833">
      <w:pPr>
        <w:widowControl w:val="0"/>
        <w:numPr>
          <w:ilvl w:val="1"/>
          <w:numId w:val="137"/>
        </w:numPr>
        <w:tabs>
          <w:tab w:val="clear" w:pos="3977"/>
          <w:tab w:val="num" w:pos="567"/>
          <w:tab w:val="num" w:pos="2069"/>
          <w:tab w:val="num" w:pos="2275"/>
        </w:tabs>
        <w:spacing w:before="120" w:after="120" w:line="240" w:lineRule="auto"/>
        <w:ind w:left="993" w:hanging="709"/>
        <w:jc w:val="both"/>
        <w:rPr>
          <w:rFonts w:ascii="Times New Roman" w:eastAsia="Times New Roman" w:hAnsi="Times New Roman" w:cs="Times New Roman"/>
          <w:b/>
          <w:bCs/>
        </w:rPr>
      </w:pPr>
      <w:r>
        <w:rPr>
          <w:rFonts w:ascii="Times New Roman" w:eastAsia="Times New Roman" w:hAnsi="Times New Roman" w:cs="Times New Roman"/>
          <w:b/>
          <w:bCs/>
        </w:rPr>
        <w:t>Ajánlott irodalom:</w:t>
      </w:r>
    </w:p>
    <w:p w:rsidR="009B01B1" w:rsidRDefault="009B01B1" w:rsidP="00C14833">
      <w:pPr>
        <w:pStyle w:val="Listaszerbekezds"/>
        <w:widowControl w:val="0"/>
        <w:numPr>
          <w:ilvl w:val="0"/>
          <w:numId w:val="139"/>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AAP-6(U)2. NATO szakkifejezések és meghatározások szógyűjteménye</w:t>
      </w:r>
    </w:p>
    <w:p w:rsidR="009B01B1" w:rsidRDefault="009B01B1" w:rsidP="00C14833">
      <w:pPr>
        <w:pStyle w:val="Listaszerbekezds"/>
        <w:widowControl w:val="0"/>
        <w:numPr>
          <w:ilvl w:val="0"/>
          <w:numId w:val="139"/>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APP-6 A Földi telepítésű katonai rendszerek grafikai jelei</w:t>
      </w:r>
    </w:p>
    <w:p w:rsidR="009B01B1" w:rsidRDefault="009B01B1" w:rsidP="00C14833">
      <w:pPr>
        <w:pStyle w:val="Listaszerbekezds"/>
        <w:widowControl w:val="0"/>
        <w:numPr>
          <w:ilvl w:val="0"/>
          <w:numId w:val="139"/>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318/2006; 18/2002; 19/2002 HM rendeletek a kártérítési felelősség egyes szabályairól</w:t>
      </w:r>
    </w:p>
    <w:p w:rsidR="009B01B1" w:rsidRDefault="009B01B1" w:rsidP="009B01B1">
      <w:pPr>
        <w:widowControl w:val="0"/>
        <w:spacing w:before="120" w:after="120" w:line="240" w:lineRule="auto"/>
        <w:jc w:val="both"/>
        <w:rPr>
          <w:rFonts w:ascii="Times New Roman" w:eastAsia="Times New Roman" w:hAnsi="Times New Roman" w:cs="Times New Roman"/>
          <w:bCs/>
        </w:rPr>
      </w:pPr>
    </w:p>
    <w:p w:rsidR="009B01B1" w:rsidRDefault="009B01B1" w:rsidP="00D42BBE">
      <w:pPr>
        <w:widowControl w:val="0"/>
        <w:spacing w:before="120" w:after="120" w:line="240" w:lineRule="auto"/>
        <w:ind w:firstLine="360"/>
        <w:jc w:val="both"/>
        <w:rPr>
          <w:rFonts w:ascii="Times New Roman" w:eastAsia="Times New Roman" w:hAnsi="Times New Roman" w:cs="Times New Roman"/>
          <w:bCs/>
        </w:rPr>
      </w:pPr>
      <w:r>
        <w:rPr>
          <w:rFonts w:ascii="Times New Roman" w:eastAsia="Times New Roman" w:hAnsi="Times New Roman" w:cs="Times New Roman"/>
          <w:bCs/>
        </w:rPr>
        <w:t>Budapest, 2020. január 14.</w:t>
      </w:r>
    </w:p>
    <w:p w:rsidR="00D42BBE" w:rsidRDefault="00D42BBE" w:rsidP="00D42BBE">
      <w:pPr>
        <w:widowControl w:val="0"/>
        <w:spacing w:before="120" w:after="120" w:line="240" w:lineRule="auto"/>
        <w:ind w:firstLine="360"/>
        <w:jc w:val="both"/>
        <w:rPr>
          <w:rFonts w:ascii="Times New Roman" w:eastAsia="Times New Roman" w:hAnsi="Times New Roman" w:cs="Times New Roman"/>
          <w:bCs/>
        </w:rPr>
      </w:pPr>
    </w:p>
    <w:p w:rsidR="009B01B1" w:rsidRDefault="009B01B1" w:rsidP="009B01B1">
      <w:pPr>
        <w:widowControl w:val="0"/>
        <w:spacing w:after="0" w:line="240" w:lineRule="auto"/>
        <w:ind w:left="5664" w:firstLine="708"/>
        <w:jc w:val="center"/>
        <w:rPr>
          <w:rFonts w:ascii="Times New Roman" w:hAnsi="Times New Roman" w:cs="Times New Roman"/>
          <w:b/>
          <w:bCs/>
        </w:rPr>
      </w:pPr>
      <w:r>
        <w:rPr>
          <w:rFonts w:ascii="Times New Roman" w:hAnsi="Times New Roman" w:cs="Times New Roman"/>
          <w:b/>
          <w:bCs/>
        </w:rPr>
        <w:t xml:space="preserve">   Dr. Pohl Árpád (PhD)</w:t>
      </w:r>
    </w:p>
    <w:p w:rsidR="009B01B1" w:rsidRDefault="009B01B1" w:rsidP="009B01B1">
      <w:pPr>
        <w:widowControl w:val="0"/>
        <w:spacing w:after="0" w:line="240" w:lineRule="auto"/>
        <w:jc w:val="right"/>
        <w:rPr>
          <w:rFonts w:ascii="Times New Roman" w:hAnsi="Times New Roman" w:cs="Times New Roman"/>
          <w:b/>
          <w:bCs/>
        </w:rPr>
      </w:pPr>
      <w:r>
        <w:rPr>
          <w:rFonts w:ascii="Times New Roman" w:hAnsi="Times New Roman" w:cs="Times New Roman"/>
          <w:bCs/>
        </w:rPr>
        <w:t>dékán, egyetemi docens s.k.</w:t>
      </w:r>
    </w:p>
    <w:p w:rsidR="00D42BBE" w:rsidRDefault="00D42BBE">
      <w:r>
        <w:br w:type="page"/>
      </w:r>
    </w:p>
    <w:tbl>
      <w:tblPr>
        <w:tblW w:w="9072" w:type="dxa"/>
        <w:tblInd w:w="113" w:type="dxa"/>
        <w:tblLook w:val="01E0" w:firstRow="1" w:lastRow="1" w:firstColumn="1" w:lastColumn="1" w:noHBand="0" w:noVBand="0"/>
      </w:tblPr>
      <w:tblGrid>
        <w:gridCol w:w="4855"/>
        <w:gridCol w:w="1620"/>
        <w:gridCol w:w="2597"/>
      </w:tblGrid>
      <w:tr w:rsidR="009B01B1" w:rsidTr="009B01B1">
        <w:tc>
          <w:tcPr>
            <w:tcW w:w="4855" w:type="dxa"/>
            <w:tcBorders>
              <w:top w:val="nil"/>
              <w:left w:val="nil"/>
              <w:bottom w:val="single" w:sz="4" w:space="0" w:color="auto"/>
              <w:right w:val="nil"/>
            </w:tcBorders>
            <w:hideMark/>
          </w:tcPr>
          <w:p w:rsidR="009B01B1" w:rsidRDefault="009B01B1">
            <w:pPr>
              <w:spacing w:after="0" w:line="240" w:lineRule="auto"/>
              <w:jc w:val="center"/>
              <w:rPr>
                <w:rFonts w:ascii="Times New Roman" w:eastAsia="Times New Roman" w:hAnsi="Times New Roman" w:cs="Times New Roman"/>
                <w:b/>
                <w:smallCaps/>
                <w:lang w:eastAsia="hu-HU"/>
              </w:rPr>
            </w:pPr>
            <w:r>
              <w:rPr>
                <w:rFonts w:ascii="Times New Roman" w:eastAsia="Times New Roman" w:hAnsi="Times New Roman" w:cs="Times New Roman"/>
                <w:b/>
                <w:smallCaps/>
                <w:lang w:eastAsia="hu-HU"/>
              </w:rPr>
              <w:lastRenderedPageBreak/>
              <w:t>Nemzeti Közszolgálati Egyetem</w:t>
            </w:r>
          </w:p>
        </w:tc>
        <w:tc>
          <w:tcPr>
            <w:tcW w:w="1620" w:type="dxa"/>
          </w:tcPr>
          <w:p w:rsidR="009B01B1" w:rsidRDefault="009B01B1">
            <w:pPr>
              <w:spacing w:after="0" w:line="240" w:lineRule="auto"/>
              <w:jc w:val="both"/>
              <w:rPr>
                <w:rFonts w:ascii="Times New Roman" w:eastAsia="Times New Roman" w:hAnsi="Times New Roman" w:cs="Times New Roman"/>
                <w:lang w:eastAsia="hu-HU"/>
              </w:rPr>
            </w:pPr>
          </w:p>
        </w:tc>
        <w:tc>
          <w:tcPr>
            <w:tcW w:w="2597" w:type="dxa"/>
          </w:tcPr>
          <w:p w:rsidR="009B01B1" w:rsidRDefault="009B01B1">
            <w:pPr>
              <w:spacing w:after="0" w:line="240" w:lineRule="auto"/>
              <w:jc w:val="right"/>
              <w:rPr>
                <w:rFonts w:ascii="Times New Roman" w:eastAsia="Times New Roman" w:hAnsi="Times New Roman" w:cs="Times New Roman"/>
                <w:lang w:eastAsia="hu-HU"/>
              </w:rPr>
            </w:pPr>
          </w:p>
        </w:tc>
      </w:tr>
      <w:tr w:rsidR="009B01B1" w:rsidTr="009B01B1">
        <w:tc>
          <w:tcPr>
            <w:tcW w:w="4855" w:type="dxa"/>
            <w:tcBorders>
              <w:top w:val="single" w:sz="4" w:space="0" w:color="auto"/>
              <w:left w:val="nil"/>
              <w:bottom w:val="nil"/>
              <w:right w:val="nil"/>
            </w:tcBorders>
            <w:hideMark/>
          </w:tcPr>
          <w:p w:rsidR="009B01B1" w:rsidRDefault="009B01B1">
            <w:pPr>
              <w:spacing w:after="0" w:line="240" w:lineRule="auto"/>
              <w:jc w:val="center"/>
              <w:rPr>
                <w:rFonts w:ascii="Times New Roman" w:eastAsia="Times New Roman" w:hAnsi="Times New Roman" w:cs="Times New Roman"/>
                <w:b/>
                <w:lang w:eastAsia="hu-HU"/>
              </w:rPr>
            </w:pPr>
            <w:r>
              <w:rPr>
                <w:rFonts w:ascii="Times New Roman" w:eastAsia="Times New Roman" w:hAnsi="Times New Roman" w:cs="Times New Roman"/>
                <w:b/>
                <w:lang w:eastAsia="hu-HU"/>
              </w:rPr>
              <w:t>Hadtudományi és Honvédtisztképző Kar</w:t>
            </w:r>
          </w:p>
        </w:tc>
        <w:tc>
          <w:tcPr>
            <w:tcW w:w="1620" w:type="dxa"/>
          </w:tcPr>
          <w:p w:rsidR="009B01B1" w:rsidRDefault="009B01B1">
            <w:pPr>
              <w:spacing w:after="0" w:line="240" w:lineRule="auto"/>
              <w:jc w:val="both"/>
              <w:rPr>
                <w:rFonts w:ascii="Times New Roman" w:eastAsia="Times New Roman" w:hAnsi="Times New Roman" w:cs="Times New Roman"/>
                <w:lang w:eastAsia="hu-HU"/>
              </w:rPr>
            </w:pPr>
          </w:p>
        </w:tc>
        <w:tc>
          <w:tcPr>
            <w:tcW w:w="2597" w:type="dxa"/>
          </w:tcPr>
          <w:p w:rsidR="009B01B1" w:rsidRDefault="009B01B1">
            <w:pPr>
              <w:spacing w:after="0" w:line="240" w:lineRule="auto"/>
              <w:jc w:val="both"/>
              <w:rPr>
                <w:rFonts w:ascii="Times New Roman" w:eastAsia="Times New Roman" w:hAnsi="Times New Roman" w:cs="Times New Roman"/>
                <w:lang w:eastAsia="hu-HU"/>
              </w:rPr>
            </w:pPr>
          </w:p>
        </w:tc>
      </w:tr>
    </w:tbl>
    <w:p w:rsidR="009B01B1" w:rsidRPr="00FB5CB8" w:rsidRDefault="009B01B1" w:rsidP="009B01B1">
      <w:pPr>
        <w:widowControl w:val="0"/>
        <w:spacing w:before="120" w:after="120" w:line="240" w:lineRule="auto"/>
        <w:ind w:left="426" w:hanging="142"/>
        <w:jc w:val="center"/>
        <w:rPr>
          <w:rFonts w:ascii="Times New Roman" w:eastAsia="Times New Roman" w:hAnsi="Times New Roman" w:cs="Times New Roman"/>
          <w:b/>
          <w:bCs/>
          <w:sz w:val="16"/>
        </w:rPr>
      </w:pPr>
    </w:p>
    <w:p w:rsidR="009B01B1" w:rsidRDefault="009B01B1" w:rsidP="009B01B1">
      <w:pPr>
        <w:widowControl w:val="0"/>
        <w:spacing w:before="120" w:after="120" w:line="240" w:lineRule="auto"/>
        <w:ind w:left="426" w:hanging="142"/>
        <w:jc w:val="center"/>
        <w:rPr>
          <w:rFonts w:ascii="Times New Roman" w:eastAsia="Times New Roman" w:hAnsi="Times New Roman" w:cs="Times New Roman"/>
          <w:b/>
          <w:bCs/>
        </w:rPr>
      </w:pPr>
      <w:r>
        <w:rPr>
          <w:rFonts w:ascii="Times New Roman" w:eastAsia="Times New Roman" w:hAnsi="Times New Roman" w:cs="Times New Roman"/>
          <w:b/>
          <w:bCs/>
        </w:rPr>
        <w:t>TANTÁRGYI PROGRAM</w:t>
      </w:r>
    </w:p>
    <w:p w:rsidR="009B01B1" w:rsidRDefault="009B01B1" w:rsidP="00C14833">
      <w:pPr>
        <w:widowControl w:val="0"/>
        <w:numPr>
          <w:ilvl w:val="0"/>
          <w:numId w:val="140"/>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 tantárgy kódja: </w:t>
      </w:r>
      <w:r>
        <w:rPr>
          <w:rFonts w:ascii="Times New Roman" w:eastAsia="Times New Roman" w:hAnsi="Times New Roman" w:cs="Times New Roman"/>
          <w:bCs/>
          <w:lang w:eastAsia="hu-HU"/>
        </w:rPr>
        <w:t>HKHPKA16</w:t>
      </w:r>
    </w:p>
    <w:p w:rsidR="009B01B1" w:rsidRDefault="009B01B1" w:rsidP="00C14833">
      <w:pPr>
        <w:widowControl w:val="0"/>
        <w:numPr>
          <w:ilvl w:val="0"/>
          <w:numId w:val="140"/>
        </w:numPr>
        <w:spacing w:before="120" w:after="120" w:line="240" w:lineRule="auto"/>
        <w:ind w:left="426" w:hanging="142"/>
        <w:jc w:val="both"/>
        <w:rPr>
          <w:rFonts w:ascii="Times New Roman" w:eastAsia="Times New Roman" w:hAnsi="Times New Roman" w:cs="Times New Roman"/>
          <w:b/>
          <w:bCs/>
          <w:lang w:val="en-GB"/>
        </w:rPr>
      </w:pPr>
      <w:r>
        <w:rPr>
          <w:rFonts w:ascii="Times New Roman" w:eastAsia="Times New Roman" w:hAnsi="Times New Roman" w:cs="Times New Roman"/>
          <w:b/>
          <w:bCs/>
        </w:rPr>
        <w:t>A tantárgy megnevezése (magyarul):</w:t>
      </w:r>
      <w:r>
        <w:rPr>
          <w:rFonts w:ascii="Times New Roman" w:eastAsia="Times New Roman" w:hAnsi="Times New Roman" w:cs="Times New Roman"/>
          <w:bCs/>
        </w:rPr>
        <w:t xml:space="preserve"> Lövészdandár logisztikai támogatásának alapjai</w:t>
      </w:r>
    </w:p>
    <w:p w:rsidR="009B01B1" w:rsidRDefault="009B01B1" w:rsidP="00C14833">
      <w:pPr>
        <w:widowControl w:val="0"/>
        <w:numPr>
          <w:ilvl w:val="0"/>
          <w:numId w:val="140"/>
        </w:numPr>
        <w:tabs>
          <w:tab w:val="num" w:pos="567"/>
        </w:tabs>
        <w:spacing w:before="120" w:after="120" w:line="240" w:lineRule="auto"/>
        <w:ind w:left="426" w:hanging="142"/>
        <w:jc w:val="both"/>
        <w:rPr>
          <w:rFonts w:ascii="Times New Roman" w:eastAsia="Times New Roman" w:hAnsi="Times New Roman" w:cs="Times New Roman"/>
          <w:b/>
          <w:bCs/>
          <w:lang w:val="en-GB"/>
        </w:rPr>
      </w:pPr>
      <w:r>
        <w:rPr>
          <w:rFonts w:ascii="Times New Roman" w:eastAsia="Times New Roman" w:hAnsi="Times New Roman" w:cs="Times New Roman"/>
          <w:b/>
          <w:bCs/>
        </w:rPr>
        <w:t xml:space="preserve">A tantárgy megnevezése (angolul): </w:t>
      </w:r>
      <w:r>
        <w:rPr>
          <w:rFonts w:ascii="Times New Roman" w:eastAsia="Times New Roman" w:hAnsi="Times New Roman" w:cs="Times New Roman"/>
          <w:bCs/>
        </w:rPr>
        <w:t>Logistic support of the infantry brigade</w:t>
      </w:r>
    </w:p>
    <w:p w:rsidR="009B01B1" w:rsidRDefault="009B01B1" w:rsidP="00C14833">
      <w:pPr>
        <w:widowControl w:val="0"/>
        <w:numPr>
          <w:ilvl w:val="0"/>
          <w:numId w:val="140"/>
        </w:numPr>
        <w:tabs>
          <w:tab w:val="num" w:pos="567"/>
        </w:tabs>
        <w:spacing w:before="120" w:after="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Kreditérték és képzési karakter: </w:t>
      </w:r>
    </w:p>
    <w:p w:rsidR="009B01B1" w:rsidRDefault="009B01B1" w:rsidP="00C14833">
      <w:pPr>
        <w:pStyle w:val="Listaszerbekezds"/>
        <w:widowControl w:val="0"/>
        <w:numPr>
          <w:ilvl w:val="1"/>
          <w:numId w:val="140"/>
        </w:numPr>
        <w:tabs>
          <w:tab w:val="clear" w:pos="3977"/>
          <w:tab w:val="num" w:pos="2275"/>
        </w:tabs>
        <w:spacing w:after="120" w:line="240" w:lineRule="auto"/>
        <w:ind w:left="992" w:hanging="425"/>
        <w:jc w:val="both"/>
        <w:rPr>
          <w:rFonts w:ascii="Times New Roman" w:eastAsia="Times New Roman" w:hAnsi="Times New Roman" w:cs="Times New Roman"/>
          <w:b/>
          <w:bCs/>
        </w:rPr>
      </w:pPr>
      <w:r>
        <w:rPr>
          <w:rFonts w:ascii="Times New Roman" w:eastAsia="Times New Roman" w:hAnsi="Times New Roman" w:cs="Times New Roman"/>
          <w:bCs/>
        </w:rPr>
        <w:t>2 kredit</w:t>
      </w:r>
    </w:p>
    <w:p w:rsidR="009B01B1" w:rsidRDefault="009B01B1" w:rsidP="00C14833">
      <w:pPr>
        <w:pStyle w:val="Listaszerbekezds"/>
        <w:widowControl w:val="0"/>
        <w:numPr>
          <w:ilvl w:val="1"/>
          <w:numId w:val="140"/>
        </w:numPr>
        <w:tabs>
          <w:tab w:val="clear" w:pos="3977"/>
          <w:tab w:val="num" w:pos="2275"/>
        </w:tabs>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a tantárgy elméleti vagy gyakorlati jellegének mértéke: 50</w:t>
      </w:r>
      <w:r>
        <w:rPr>
          <w:rFonts w:ascii="Times New Roman" w:eastAsia="Times New Roman" w:hAnsi="Times New Roman" w:cs="Times New Roman"/>
          <w:b/>
          <w:bCs/>
        </w:rPr>
        <w:t xml:space="preserve"> </w:t>
      </w:r>
      <w:r>
        <w:rPr>
          <w:rFonts w:ascii="Times New Roman" w:eastAsia="Times New Roman" w:hAnsi="Times New Roman" w:cs="Times New Roman"/>
          <w:bCs/>
        </w:rPr>
        <w:t>% gyakorlat, 50 % elmélet</w:t>
      </w:r>
    </w:p>
    <w:p w:rsidR="009B01B1" w:rsidRDefault="009B01B1" w:rsidP="00C14833">
      <w:pPr>
        <w:widowControl w:val="0"/>
        <w:numPr>
          <w:ilvl w:val="0"/>
          <w:numId w:val="140"/>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szak(ok), szakirányok/specializációk megnevezése (ahol oktatják):</w:t>
      </w:r>
      <w:r>
        <w:rPr>
          <w:rFonts w:ascii="Times New Roman" w:eastAsia="Times New Roman" w:hAnsi="Times New Roman" w:cs="Times New Roman"/>
          <w:bCs/>
        </w:rPr>
        <w:t xml:space="preserve"> </w:t>
      </w:r>
      <w:r>
        <w:rPr>
          <w:rFonts w:ascii="Times New Roman" w:hAnsi="Times New Roman" w:cs="Times New Roman"/>
          <w:bCs/>
        </w:rPr>
        <w:t>Katonai logisztika alapképzési szak minden specializáció</w:t>
      </w:r>
    </w:p>
    <w:p w:rsidR="009B01B1" w:rsidRDefault="009B01B1" w:rsidP="00C14833">
      <w:pPr>
        <w:widowControl w:val="0"/>
        <w:numPr>
          <w:ilvl w:val="0"/>
          <w:numId w:val="140"/>
        </w:numPr>
        <w:tabs>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Az oktatásért felelős oktatási szervezeti egység megnevezése: </w:t>
      </w:r>
      <w:r>
        <w:rPr>
          <w:rFonts w:ascii="Times New Roman" w:hAnsi="Times New Roman" w:cs="Times New Roman"/>
          <w:bCs/>
        </w:rPr>
        <w:t>NKE HHK Hadtáp, Pénzügyi és Katonai Közlekedési Tanszék</w:t>
      </w:r>
    </w:p>
    <w:p w:rsidR="009B01B1" w:rsidRDefault="009B01B1" w:rsidP="00C14833">
      <w:pPr>
        <w:widowControl w:val="0"/>
        <w:numPr>
          <w:ilvl w:val="0"/>
          <w:numId w:val="140"/>
        </w:numPr>
        <w:tabs>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tantárgyfelelős oktató neve, beosztása, tudományos fokozata:</w:t>
      </w:r>
      <w:r>
        <w:rPr>
          <w:rFonts w:ascii="Times New Roman" w:eastAsia="Times New Roman" w:hAnsi="Times New Roman" w:cs="Times New Roman"/>
          <w:bCs/>
        </w:rPr>
        <w:t xml:space="preserve"> </w:t>
      </w:r>
      <w:r>
        <w:rPr>
          <w:rFonts w:ascii="Times New Roman" w:hAnsi="Times New Roman" w:cs="Times New Roman"/>
          <w:bCs/>
        </w:rPr>
        <w:t>Dr. Pohl Árpád, egyetemi docens, (PhD)</w:t>
      </w:r>
    </w:p>
    <w:p w:rsidR="009B01B1" w:rsidRDefault="009B01B1" w:rsidP="00C14833">
      <w:pPr>
        <w:widowControl w:val="0"/>
        <w:numPr>
          <w:ilvl w:val="0"/>
          <w:numId w:val="140"/>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tanórák száma és típusa</w:t>
      </w:r>
    </w:p>
    <w:p w:rsidR="009B01B1" w:rsidRDefault="009B01B1" w:rsidP="00C14833">
      <w:pPr>
        <w:widowControl w:val="0"/>
        <w:numPr>
          <w:ilvl w:val="1"/>
          <w:numId w:val="140"/>
        </w:numPr>
        <w:tabs>
          <w:tab w:val="clear" w:pos="3977"/>
          <w:tab w:val="num" w:pos="709"/>
          <w:tab w:val="num" w:pos="2069"/>
          <w:tab w:val="num" w:pos="2275"/>
        </w:tabs>
        <w:spacing w:before="120" w:after="0" w:line="240" w:lineRule="auto"/>
        <w:ind w:left="850" w:hanging="425"/>
        <w:jc w:val="both"/>
        <w:rPr>
          <w:rFonts w:ascii="Times New Roman" w:eastAsia="Times New Roman" w:hAnsi="Times New Roman" w:cs="Times New Roman"/>
          <w:bCs/>
        </w:rPr>
      </w:pPr>
      <w:r>
        <w:rPr>
          <w:rFonts w:ascii="Times New Roman" w:eastAsia="Times New Roman" w:hAnsi="Times New Roman" w:cs="Times New Roman"/>
          <w:bCs/>
        </w:rPr>
        <w:t>össz óraszám/félév: 28</w:t>
      </w:r>
    </w:p>
    <w:p w:rsidR="009B01B1" w:rsidRDefault="009B01B1" w:rsidP="00C14833">
      <w:pPr>
        <w:widowControl w:val="0"/>
        <w:numPr>
          <w:ilvl w:val="2"/>
          <w:numId w:val="140"/>
        </w:numPr>
        <w:tabs>
          <w:tab w:val="clear" w:pos="1800"/>
          <w:tab w:val="num" w:pos="709"/>
          <w:tab w:val="num" w:pos="1134"/>
        </w:tabs>
        <w:spacing w:after="0" w:line="240" w:lineRule="auto"/>
        <w:ind w:left="1134" w:hanging="425"/>
        <w:jc w:val="both"/>
        <w:rPr>
          <w:rFonts w:ascii="Times New Roman" w:eastAsia="Times New Roman" w:hAnsi="Times New Roman" w:cs="Times New Roman"/>
          <w:bCs/>
        </w:rPr>
      </w:pPr>
      <w:r>
        <w:rPr>
          <w:rFonts w:ascii="Times New Roman" w:eastAsia="Times New Roman" w:hAnsi="Times New Roman" w:cs="Times New Roman"/>
          <w:bCs/>
        </w:rPr>
        <w:t>nappali munkarend: (14 EA + 0 SZ + 14 GY)</w:t>
      </w:r>
    </w:p>
    <w:p w:rsidR="009B01B1" w:rsidRDefault="009B01B1" w:rsidP="00C14833">
      <w:pPr>
        <w:widowControl w:val="0"/>
        <w:numPr>
          <w:ilvl w:val="2"/>
          <w:numId w:val="140"/>
        </w:numPr>
        <w:tabs>
          <w:tab w:val="clear" w:pos="1800"/>
          <w:tab w:val="num" w:pos="709"/>
          <w:tab w:val="num" w:pos="1134"/>
        </w:tabs>
        <w:spacing w:after="0" w:line="240" w:lineRule="auto"/>
        <w:ind w:left="1134" w:hanging="425"/>
        <w:jc w:val="both"/>
        <w:rPr>
          <w:rFonts w:ascii="Times New Roman" w:eastAsia="Times New Roman" w:hAnsi="Times New Roman" w:cs="Times New Roman"/>
          <w:bCs/>
        </w:rPr>
      </w:pPr>
      <w:r>
        <w:rPr>
          <w:rFonts w:ascii="Times New Roman" w:eastAsia="Times New Roman" w:hAnsi="Times New Roman" w:cs="Times New Roman"/>
          <w:bCs/>
        </w:rPr>
        <w:t>levelező munkarend: -</w:t>
      </w:r>
    </w:p>
    <w:p w:rsidR="009B01B1" w:rsidRDefault="009B01B1" w:rsidP="00C14833">
      <w:pPr>
        <w:widowControl w:val="0"/>
        <w:numPr>
          <w:ilvl w:val="1"/>
          <w:numId w:val="140"/>
        </w:numPr>
        <w:tabs>
          <w:tab w:val="clear" w:pos="3977"/>
          <w:tab w:val="num" w:pos="709"/>
          <w:tab w:val="num" w:pos="2069"/>
          <w:tab w:val="num" w:pos="2275"/>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heti óraszám - nappali munkarend: 2</w:t>
      </w:r>
    </w:p>
    <w:p w:rsidR="009B01B1" w:rsidRDefault="009B01B1" w:rsidP="00C14833">
      <w:pPr>
        <w:widowControl w:val="0"/>
        <w:numPr>
          <w:ilvl w:val="1"/>
          <w:numId w:val="140"/>
        </w:numPr>
        <w:tabs>
          <w:tab w:val="clear" w:pos="3977"/>
          <w:tab w:val="num" w:pos="709"/>
          <w:tab w:val="num" w:pos="2069"/>
          <w:tab w:val="num" w:pos="2275"/>
        </w:tabs>
        <w:spacing w:before="120" w:after="120" w:line="240" w:lineRule="auto"/>
        <w:ind w:left="851" w:hanging="425"/>
        <w:jc w:val="both"/>
        <w:rPr>
          <w:rFonts w:ascii="Times New Roman" w:eastAsia="Times New Roman" w:hAnsi="Times New Roman" w:cs="Times New Roman"/>
          <w:bCs/>
        </w:rPr>
      </w:pPr>
      <w:r>
        <w:rPr>
          <w:rFonts w:ascii="Times New Roman" w:hAnsi="Times New Roman" w:cs="Times New Roman"/>
        </w:rPr>
        <w:t>Az ismeret átadásában alkalmazandó további sajátos módok, jellemzők:</w:t>
      </w:r>
      <w:r>
        <w:rPr>
          <w:rFonts w:ascii="Times New Roman" w:hAnsi="Times New Roman" w:cs="Times New Roman"/>
          <w:i/>
        </w:rPr>
        <w:t xml:space="preserve"> Az ismeretek feldolgozása vegyes tanulási program (blended learning) alapján történik. </w:t>
      </w:r>
    </w:p>
    <w:p w:rsidR="009B01B1" w:rsidRDefault="009B01B1" w:rsidP="00C14833">
      <w:pPr>
        <w:widowControl w:val="0"/>
        <w:numPr>
          <w:ilvl w:val="0"/>
          <w:numId w:val="140"/>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 tantárgy szakmai tartalma (magyarul): </w:t>
      </w:r>
      <w:r>
        <w:rPr>
          <w:rFonts w:ascii="Times New Roman" w:eastAsia="Times New Roman" w:hAnsi="Times New Roman" w:cs="Times New Roman"/>
          <w:bCs/>
        </w:rPr>
        <w:t>A dandár szervezete, képességei. A dandár logisztikai alegységeinek szervezete és képességei. A dandár menetének, támadóharcának, védelmi harcának alapjai, valamint azok logisztikai támogatása.</w:t>
      </w:r>
    </w:p>
    <w:p w:rsidR="009B01B1" w:rsidRDefault="009B01B1" w:rsidP="009B01B1">
      <w:pPr>
        <w:widowControl w:val="0"/>
        <w:spacing w:before="120" w:after="120" w:line="240" w:lineRule="auto"/>
        <w:ind w:left="426"/>
        <w:jc w:val="both"/>
        <w:rPr>
          <w:rFonts w:ascii="Times New Roman" w:eastAsia="Times New Roman" w:hAnsi="Times New Roman" w:cs="Times New Roman"/>
          <w:bCs/>
          <w:lang w:val="en-GB"/>
        </w:rPr>
      </w:pPr>
      <w:r>
        <w:rPr>
          <w:rFonts w:ascii="Times New Roman" w:eastAsia="Times New Roman" w:hAnsi="Times New Roman" w:cs="Times New Roman"/>
          <w:b/>
          <w:bCs/>
        </w:rPr>
        <w:t>A tantárgy szakmai tartalma (angolul) (</w:t>
      </w:r>
      <w:r>
        <w:rPr>
          <w:rFonts w:ascii="Times New Roman" w:eastAsia="Times New Roman" w:hAnsi="Times New Roman" w:cs="Times New Roman"/>
          <w:b/>
          <w:bCs/>
          <w:lang w:val="en-US"/>
        </w:rPr>
        <w:t>Course description</w:t>
      </w:r>
      <w:r>
        <w:rPr>
          <w:rFonts w:ascii="Times New Roman" w:eastAsia="Times New Roman" w:hAnsi="Times New Roman" w:cs="Times New Roman"/>
          <w:b/>
          <w:bCs/>
        </w:rPr>
        <w:t xml:space="preserve">): </w:t>
      </w:r>
      <w:r>
        <w:rPr>
          <w:rFonts w:ascii="Times New Roman" w:eastAsia="Times New Roman" w:hAnsi="Times New Roman" w:cs="Times New Roman"/>
          <w:bCs/>
        </w:rPr>
        <w:t>Structure and capabilities of the brigade. Structure and capabilities of the logistical subunits. The basics of the march, the attack and defence operations of the brigade and their logistic support.</w:t>
      </w:r>
    </w:p>
    <w:p w:rsidR="009B01B1" w:rsidRDefault="009B01B1" w:rsidP="00C14833">
      <w:pPr>
        <w:pStyle w:val="Listaszerbekezds"/>
        <w:widowControl w:val="0"/>
        <w:numPr>
          <w:ilvl w:val="0"/>
          <w:numId w:val="140"/>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Elérendő kompetenciák (magyarul):</w:t>
      </w:r>
      <w:r>
        <w:rPr>
          <w:rFonts w:ascii="Times New Roman" w:eastAsia="Times New Roman" w:hAnsi="Times New Roman" w:cs="Times New Roman"/>
          <w:bCs/>
        </w:rPr>
        <w:t xml:space="preserve"> </w:t>
      </w:r>
    </w:p>
    <w:p w:rsidR="009B01B1" w:rsidRDefault="009B01B1" w:rsidP="009B01B1">
      <w:pPr>
        <w:widowControl w:val="0"/>
        <w:spacing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Tudása:</w:t>
      </w:r>
    </w:p>
    <w:p w:rsidR="009B01B1" w:rsidRDefault="009B01B1" w:rsidP="00FB5CB8">
      <w:pPr>
        <w:widowControl w:val="0"/>
        <w:spacing w:before="120" w:after="120" w:line="240" w:lineRule="auto"/>
        <w:ind w:left="709" w:hanging="218"/>
        <w:contextualSpacing/>
        <w:jc w:val="both"/>
        <w:rPr>
          <w:rFonts w:ascii="Times New Roman" w:eastAsia="Times New Roman" w:hAnsi="Times New Roman" w:cs="Times New Roman"/>
          <w:bCs/>
        </w:rPr>
      </w:pPr>
      <w:r>
        <w:rPr>
          <w:rFonts w:ascii="Times New Roman" w:eastAsia="Times New Roman" w:hAnsi="Times New Roman" w:cs="Times New Roman"/>
          <w:bCs/>
        </w:rPr>
        <w:t>-</w:t>
      </w:r>
      <w:r>
        <w:rPr>
          <w:rFonts w:ascii="Times New Roman" w:eastAsia="Times New Roman" w:hAnsi="Times New Roman" w:cs="Times New Roman"/>
          <w:bCs/>
        </w:rPr>
        <w:tab/>
        <w:t>Ismeri az összfegyvernemi harc megvívásával kapcsolatos alapismereteket, annak főbb jellemzőit, a harctámogatás, a harckiszolgáló támogatás, a haderőnemek, a fegyvernemek és szakcsapatok szervezeti felépítését, harceljárásait.</w:t>
      </w:r>
    </w:p>
    <w:p w:rsidR="009B01B1" w:rsidRDefault="009B01B1" w:rsidP="00FB5CB8">
      <w:pPr>
        <w:widowControl w:val="0"/>
        <w:spacing w:before="24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Képességei:</w:t>
      </w:r>
      <w:r>
        <w:rPr>
          <w:rFonts w:ascii="Times New Roman" w:eastAsia="Times New Roman" w:hAnsi="Times New Roman" w:cs="Times New Roman"/>
          <w:bCs/>
        </w:rPr>
        <w:t xml:space="preserve"> </w:t>
      </w:r>
    </w:p>
    <w:p w:rsidR="009B01B1" w:rsidRDefault="009B01B1" w:rsidP="00FB5CB8">
      <w:pPr>
        <w:widowControl w:val="0"/>
        <w:spacing w:before="120" w:after="120" w:line="240" w:lineRule="auto"/>
        <w:ind w:left="709" w:hanging="218"/>
        <w:contextualSpacing/>
        <w:jc w:val="both"/>
        <w:rPr>
          <w:rFonts w:ascii="Times New Roman" w:hAnsi="Times New Roman" w:cs="Times New Roman"/>
        </w:rPr>
      </w:pPr>
      <w:r>
        <w:rPr>
          <w:rFonts w:ascii="Times New Roman" w:hAnsi="Times New Roman" w:cs="Times New Roman"/>
          <w:bCs/>
        </w:rPr>
        <w:t>-</w:t>
      </w:r>
      <w:r>
        <w:rPr>
          <w:rFonts w:ascii="Times New Roman" w:hAnsi="Times New Roman" w:cs="Times New Roman"/>
          <w:bCs/>
        </w:rPr>
        <w:tab/>
      </w:r>
      <w:r w:rsidRPr="00FB5CB8">
        <w:rPr>
          <w:rFonts w:ascii="Times New Roman" w:eastAsia="Times New Roman" w:hAnsi="Times New Roman" w:cs="Times New Roman"/>
          <w:bCs/>
        </w:rPr>
        <w:t>Képes</w:t>
      </w:r>
      <w:r>
        <w:rPr>
          <w:rFonts w:ascii="Times New Roman" w:hAnsi="Times New Roman" w:cs="Times New Roman"/>
          <w:bCs/>
        </w:rPr>
        <w:t xml:space="preserve"> a logisztikai folyamatok és a Magyar Honvédség logisztikai rendszere közötti kapcsolatok, illetve összefüggések értelmezésére és azok beosztottak felé történő átadására.</w:t>
      </w:r>
    </w:p>
    <w:p w:rsidR="009B01B1" w:rsidRPr="00FB5CB8" w:rsidRDefault="009B01B1" w:rsidP="00FB5CB8">
      <w:pPr>
        <w:widowControl w:val="0"/>
        <w:spacing w:before="240" w:after="0" w:line="240" w:lineRule="auto"/>
        <w:ind w:left="425"/>
        <w:jc w:val="both"/>
        <w:rPr>
          <w:rFonts w:ascii="Times New Roman" w:eastAsia="Times New Roman" w:hAnsi="Times New Roman" w:cs="Times New Roman"/>
          <w:b/>
          <w:bCs/>
        </w:rPr>
      </w:pPr>
      <w:r>
        <w:rPr>
          <w:rFonts w:ascii="Times New Roman" w:eastAsia="Times New Roman" w:hAnsi="Times New Roman" w:cs="Times New Roman"/>
          <w:b/>
          <w:bCs/>
        </w:rPr>
        <w:t>Attitűdje:</w:t>
      </w:r>
      <w:r w:rsidRPr="00FB5CB8">
        <w:rPr>
          <w:rFonts w:ascii="Times New Roman" w:eastAsia="Times New Roman" w:hAnsi="Times New Roman" w:cs="Times New Roman"/>
          <w:b/>
          <w:bCs/>
        </w:rPr>
        <w:t xml:space="preserve"> </w:t>
      </w:r>
    </w:p>
    <w:p w:rsidR="009B01B1" w:rsidRPr="00FB5CB8" w:rsidRDefault="009B01B1" w:rsidP="00FB5CB8">
      <w:pPr>
        <w:widowControl w:val="0"/>
        <w:spacing w:before="120" w:after="120" w:line="240" w:lineRule="auto"/>
        <w:ind w:left="709" w:hanging="218"/>
        <w:contextualSpacing/>
        <w:jc w:val="both"/>
        <w:rPr>
          <w:rFonts w:ascii="Times New Roman" w:eastAsia="Times New Roman" w:hAnsi="Times New Roman" w:cs="Times New Roman"/>
          <w:bCs/>
        </w:rPr>
      </w:pPr>
      <w:r>
        <w:rPr>
          <w:rFonts w:ascii="Times New Roman" w:eastAsia="Times New Roman" w:hAnsi="Times New Roman"/>
          <w:bCs/>
        </w:rPr>
        <w:t>-</w:t>
      </w:r>
      <w:r>
        <w:rPr>
          <w:rFonts w:ascii="Times New Roman" w:eastAsia="Times New Roman" w:hAnsi="Times New Roman"/>
          <w:bCs/>
        </w:rPr>
        <w:tab/>
      </w:r>
      <w:r w:rsidRPr="00FB5CB8">
        <w:rPr>
          <w:rFonts w:ascii="Times New Roman" w:eastAsia="Times New Roman" w:hAnsi="Times New Roman" w:cs="Times New Roman"/>
          <w:bCs/>
        </w:rPr>
        <w:t>Felismeri a rendszerszintű tevékenységben rejlő értékeket, törekszik a logisztikai tevékenységek közötti kapcsolatok értelmezésére.</w:t>
      </w:r>
    </w:p>
    <w:p w:rsidR="009B01B1" w:rsidRPr="00FB5CB8" w:rsidRDefault="009B01B1" w:rsidP="00FB5CB8">
      <w:pPr>
        <w:widowControl w:val="0"/>
        <w:spacing w:before="120" w:after="120" w:line="240" w:lineRule="auto"/>
        <w:ind w:left="709" w:hanging="218"/>
        <w:contextualSpacing/>
        <w:jc w:val="both"/>
        <w:rPr>
          <w:rFonts w:ascii="Times New Roman" w:eastAsia="Times New Roman" w:hAnsi="Times New Roman" w:cs="Times New Roman"/>
          <w:bCs/>
        </w:rPr>
      </w:pPr>
      <w:r w:rsidRPr="00FB5CB8">
        <w:rPr>
          <w:rFonts w:ascii="Times New Roman" w:eastAsia="Times New Roman" w:hAnsi="Times New Roman" w:cs="Times New Roman"/>
          <w:bCs/>
        </w:rPr>
        <w:t>-</w:t>
      </w:r>
      <w:r w:rsidRPr="00FB5CB8">
        <w:rPr>
          <w:rFonts w:ascii="Times New Roman" w:eastAsia="Times New Roman" w:hAnsi="Times New Roman" w:cs="Times New Roman"/>
          <w:bCs/>
        </w:rPr>
        <w:tab/>
        <w:t>Feladatainak végrehajtása során az együttműködésre törekszik.</w:t>
      </w:r>
    </w:p>
    <w:p w:rsidR="009B01B1" w:rsidRDefault="009B01B1" w:rsidP="00FB5CB8">
      <w:pPr>
        <w:widowControl w:val="0"/>
        <w:spacing w:before="120" w:after="120" w:line="240" w:lineRule="auto"/>
        <w:ind w:left="709" w:hanging="218"/>
        <w:contextualSpacing/>
        <w:jc w:val="both"/>
        <w:rPr>
          <w:rFonts w:ascii="Times New Roman" w:eastAsia="Times New Roman" w:hAnsi="Times New Roman"/>
          <w:bCs/>
        </w:rPr>
      </w:pPr>
      <w:r w:rsidRPr="00FB5CB8">
        <w:rPr>
          <w:rFonts w:ascii="Times New Roman" w:eastAsia="Times New Roman" w:hAnsi="Times New Roman" w:cs="Times New Roman"/>
          <w:bCs/>
        </w:rPr>
        <w:t>-</w:t>
      </w:r>
      <w:r w:rsidRPr="00FB5CB8">
        <w:rPr>
          <w:rFonts w:ascii="Times New Roman" w:eastAsia="Times New Roman" w:hAnsi="Times New Roman" w:cs="Times New Roman"/>
          <w:bCs/>
        </w:rPr>
        <w:tab/>
        <w:t>Tevékenységét</w:t>
      </w:r>
      <w:r>
        <w:rPr>
          <w:rFonts w:ascii="Times New Roman" w:eastAsia="Times New Roman" w:hAnsi="Times New Roman"/>
          <w:bCs/>
        </w:rPr>
        <w:t xml:space="preserve"> a hatékonyság központú szemlélet jellemzi.</w:t>
      </w:r>
    </w:p>
    <w:p w:rsidR="009B01B1" w:rsidRPr="00FB5CB8" w:rsidRDefault="009B01B1" w:rsidP="00FB5CB8">
      <w:pPr>
        <w:widowControl w:val="0"/>
        <w:spacing w:before="240" w:after="0" w:line="240" w:lineRule="auto"/>
        <w:ind w:left="425"/>
        <w:jc w:val="both"/>
        <w:rPr>
          <w:rFonts w:ascii="Times New Roman" w:eastAsia="Times New Roman" w:hAnsi="Times New Roman" w:cs="Times New Roman"/>
          <w:b/>
          <w:bCs/>
        </w:rPr>
      </w:pPr>
      <w:r>
        <w:rPr>
          <w:rFonts w:ascii="Times New Roman" w:eastAsia="Times New Roman" w:hAnsi="Times New Roman" w:cs="Times New Roman"/>
          <w:b/>
          <w:bCs/>
        </w:rPr>
        <w:t>Autonómiája és felelőssége:</w:t>
      </w:r>
    </w:p>
    <w:p w:rsidR="009B01B1" w:rsidRPr="00FB5CB8" w:rsidRDefault="009B01B1" w:rsidP="00FB5CB8">
      <w:pPr>
        <w:widowControl w:val="0"/>
        <w:spacing w:before="120" w:after="120" w:line="240" w:lineRule="auto"/>
        <w:ind w:left="709" w:hanging="218"/>
        <w:contextualSpacing/>
        <w:jc w:val="both"/>
        <w:rPr>
          <w:rFonts w:ascii="Times New Roman" w:eastAsia="Times New Roman" w:hAnsi="Times New Roman" w:cs="Times New Roman"/>
          <w:bCs/>
        </w:rPr>
      </w:pPr>
      <w:r>
        <w:rPr>
          <w:rFonts w:ascii="Times New Roman" w:eastAsia="Times New Roman" w:hAnsi="Times New Roman"/>
          <w:bCs/>
        </w:rPr>
        <w:t>-</w:t>
      </w:r>
      <w:r>
        <w:rPr>
          <w:rFonts w:ascii="Times New Roman" w:eastAsia="Times New Roman" w:hAnsi="Times New Roman"/>
          <w:bCs/>
        </w:rPr>
        <w:tab/>
        <w:t xml:space="preserve">Az </w:t>
      </w:r>
      <w:r w:rsidRPr="00FB5CB8">
        <w:rPr>
          <w:rFonts w:ascii="Times New Roman" w:eastAsia="Times New Roman" w:hAnsi="Times New Roman" w:cs="Times New Roman"/>
          <w:bCs/>
        </w:rPr>
        <w:t>alegység szintű katonai logisztikai folyamatokban képes önállóan döntéseket hozni, azokat felelősséggel, a jogszabályi keretek figyelembevételével végrehajtani.</w:t>
      </w:r>
    </w:p>
    <w:p w:rsidR="009B01B1" w:rsidRDefault="009B01B1" w:rsidP="00FB5CB8">
      <w:pPr>
        <w:widowControl w:val="0"/>
        <w:spacing w:before="120" w:after="120" w:line="240" w:lineRule="auto"/>
        <w:ind w:left="709" w:hanging="218"/>
        <w:contextualSpacing/>
        <w:jc w:val="both"/>
        <w:rPr>
          <w:rFonts w:ascii="Times New Roman" w:eastAsia="Times New Roman" w:hAnsi="Times New Roman"/>
          <w:bCs/>
        </w:rPr>
      </w:pPr>
      <w:r w:rsidRPr="00FB5CB8">
        <w:rPr>
          <w:rFonts w:ascii="Times New Roman" w:eastAsia="Times New Roman" w:hAnsi="Times New Roman" w:cs="Times New Roman"/>
          <w:bCs/>
        </w:rPr>
        <w:t>-</w:t>
      </w:r>
      <w:r w:rsidRPr="00FB5CB8">
        <w:rPr>
          <w:rFonts w:ascii="Times New Roman" w:eastAsia="Times New Roman" w:hAnsi="Times New Roman" w:cs="Times New Roman"/>
          <w:bCs/>
        </w:rPr>
        <w:tab/>
        <w:t>Tisztába</w:t>
      </w:r>
      <w:r>
        <w:rPr>
          <w:rFonts w:ascii="Times New Roman" w:eastAsia="Times New Roman" w:hAnsi="Times New Roman"/>
          <w:bCs/>
        </w:rPr>
        <w:t xml:space="preserve">n van döntéseinek, tevékenységének a műszaki eszközökre, illetve a gazdálkodási </w:t>
      </w:r>
      <w:r>
        <w:rPr>
          <w:rFonts w:ascii="Times New Roman" w:eastAsia="Times New Roman" w:hAnsi="Times New Roman"/>
          <w:bCs/>
        </w:rPr>
        <w:lastRenderedPageBreak/>
        <w:t>fegyelemre gyakorolt hatásaival, következményeivel.</w:t>
      </w:r>
    </w:p>
    <w:p w:rsidR="009B01B1" w:rsidRDefault="009B01B1" w:rsidP="00FB5CB8">
      <w:pPr>
        <w:widowControl w:val="0"/>
        <w:spacing w:before="120" w:after="120" w:line="240" w:lineRule="auto"/>
        <w:ind w:left="709" w:hanging="218"/>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r>
      <w:r w:rsidRPr="00FB5CB8">
        <w:rPr>
          <w:rFonts w:ascii="Times New Roman" w:eastAsia="Times New Roman" w:hAnsi="Times New Roman" w:cs="Times New Roman"/>
          <w:bCs/>
        </w:rPr>
        <w:t>Felelősséget</w:t>
      </w:r>
      <w:r>
        <w:rPr>
          <w:rFonts w:ascii="Times New Roman" w:eastAsia="Times New Roman" w:hAnsi="Times New Roman"/>
          <w:bCs/>
        </w:rPr>
        <w:t xml:space="preserve"> vállal a vezetése alatt álló beosztottjainak szakmai tevékenységéért.</w:t>
      </w:r>
    </w:p>
    <w:p w:rsidR="009B01B1" w:rsidRDefault="009B01B1" w:rsidP="009B01B1">
      <w:pPr>
        <w:widowControl w:val="0"/>
        <w:spacing w:before="120" w:after="0" w:line="240" w:lineRule="auto"/>
        <w:ind w:left="425"/>
        <w:jc w:val="both"/>
        <w:rPr>
          <w:rFonts w:ascii="Times New Roman" w:eastAsia="Times New Roman" w:hAnsi="Times New Roman" w:cs="Times New Roman"/>
          <w:b/>
          <w:bCs/>
          <w:lang w:val="en-US"/>
        </w:rPr>
      </w:pPr>
      <w:r>
        <w:rPr>
          <w:rFonts w:ascii="Times New Roman" w:eastAsia="Times New Roman" w:hAnsi="Times New Roman" w:cs="Times New Roman"/>
          <w:b/>
          <w:bCs/>
        </w:rPr>
        <w:t>Elérendő kompetenciák (angolul) (</w:t>
      </w:r>
      <w:r>
        <w:rPr>
          <w:rFonts w:ascii="Times New Roman" w:eastAsia="Times New Roman" w:hAnsi="Times New Roman" w:cs="Times New Roman"/>
          <w:b/>
          <w:bCs/>
          <w:lang w:val="en-US"/>
        </w:rPr>
        <w:t xml:space="preserve">Competences – English): </w:t>
      </w:r>
    </w:p>
    <w:p w:rsidR="009B01B1" w:rsidRDefault="009B01B1" w:rsidP="009B01B1">
      <w:pPr>
        <w:widowControl w:val="0"/>
        <w:spacing w:before="120" w:after="0" w:line="240" w:lineRule="auto"/>
        <w:ind w:left="425"/>
        <w:jc w:val="both"/>
        <w:rPr>
          <w:rFonts w:ascii="Times New Roman" w:eastAsia="Times New Roman" w:hAnsi="Times New Roman" w:cs="Times New Roman"/>
          <w:lang w:val="en-GB"/>
        </w:rPr>
      </w:pPr>
      <w:r>
        <w:rPr>
          <w:rFonts w:ascii="Times New Roman" w:eastAsia="Times New Roman" w:hAnsi="Times New Roman" w:cs="Times New Roman"/>
          <w:b/>
          <w:lang w:val="en-GB"/>
        </w:rPr>
        <w:t>Knowledge</w:t>
      </w:r>
      <w:r>
        <w:rPr>
          <w:rFonts w:ascii="Times New Roman" w:eastAsia="Times New Roman" w:hAnsi="Times New Roman" w:cs="Times New Roman"/>
          <w:lang w:val="en-GB"/>
        </w:rPr>
        <w:t xml:space="preserve">: </w:t>
      </w:r>
    </w:p>
    <w:p w:rsidR="009B01B1" w:rsidRDefault="009B01B1" w:rsidP="00FB5CB8">
      <w:pPr>
        <w:widowControl w:val="0"/>
        <w:spacing w:before="120" w:after="120" w:line="240" w:lineRule="auto"/>
        <w:ind w:left="709" w:hanging="218"/>
        <w:contextualSpacing/>
        <w:jc w:val="both"/>
        <w:rPr>
          <w:rFonts w:ascii="Times New Roman" w:eastAsia="Times New Roman" w:hAnsi="Times New Roman" w:cs="Times New Roman"/>
          <w:lang w:val="en-GB"/>
        </w:rPr>
      </w:pPr>
      <w:r>
        <w:rPr>
          <w:rFonts w:ascii="Times New Roman" w:eastAsia="Times New Roman" w:hAnsi="Times New Roman" w:cs="Times New Roman"/>
          <w:lang w:val="en-GB"/>
        </w:rPr>
        <w:t>-</w:t>
      </w:r>
      <w:r>
        <w:rPr>
          <w:rFonts w:ascii="Times New Roman" w:eastAsia="Times New Roman" w:hAnsi="Times New Roman" w:cs="Times New Roman"/>
          <w:lang w:val="en-GB"/>
        </w:rPr>
        <w:tab/>
        <w:t xml:space="preserve">Cadets </w:t>
      </w:r>
      <w:r w:rsidRPr="00FB5CB8">
        <w:rPr>
          <w:rFonts w:ascii="Times New Roman" w:eastAsia="Times New Roman" w:hAnsi="Times New Roman" w:cs="Times New Roman"/>
          <w:bCs/>
        </w:rPr>
        <w:t>are familiar with the basics and characteristics of joint operations as well as the organisational structure and doctrines of combat support, combat service support, military branches and</w:t>
      </w:r>
      <w:r>
        <w:rPr>
          <w:rFonts w:ascii="Times New Roman" w:eastAsia="Times New Roman" w:hAnsi="Times New Roman" w:cs="Times New Roman"/>
          <w:lang w:val="en-GB"/>
        </w:rPr>
        <w:t xml:space="preserve"> specialised forces.</w:t>
      </w:r>
    </w:p>
    <w:p w:rsidR="009B01B1" w:rsidRPr="00FB5CB8" w:rsidRDefault="009B01B1" w:rsidP="00FB5CB8">
      <w:pPr>
        <w:widowControl w:val="0"/>
        <w:spacing w:before="240" w:after="0" w:line="240" w:lineRule="auto"/>
        <w:ind w:left="425"/>
        <w:jc w:val="both"/>
        <w:rPr>
          <w:rFonts w:ascii="Times New Roman" w:eastAsia="Times New Roman" w:hAnsi="Times New Roman" w:cs="Times New Roman"/>
          <w:b/>
          <w:bCs/>
        </w:rPr>
      </w:pPr>
      <w:r w:rsidRPr="00FB5CB8">
        <w:rPr>
          <w:rFonts w:ascii="Times New Roman" w:eastAsia="Times New Roman" w:hAnsi="Times New Roman" w:cs="Times New Roman"/>
          <w:b/>
          <w:bCs/>
        </w:rPr>
        <w:t xml:space="preserve">Capabilities: </w:t>
      </w:r>
    </w:p>
    <w:p w:rsidR="009B01B1" w:rsidRDefault="009B01B1" w:rsidP="00FB5CB8">
      <w:pPr>
        <w:widowControl w:val="0"/>
        <w:spacing w:before="120" w:after="120" w:line="240" w:lineRule="auto"/>
        <w:ind w:left="709" w:hanging="218"/>
        <w:contextualSpacing/>
        <w:jc w:val="both"/>
        <w:rPr>
          <w:rFonts w:ascii="Times New Roman" w:eastAsia="Times New Roman" w:hAnsi="Times New Roman" w:cs="Times New Roman"/>
          <w:lang w:val="en-GB"/>
        </w:rPr>
      </w:pPr>
      <w:r>
        <w:rPr>
          <w:rFonts w:ascii="Times New Roman" w:eastAsia="Times New Roman" w:hAnsi="Times New Roman" w:cs="Times New Roman"/>
          <w:lang w:val="en-GB"/>
        </w:rPr>
        <w:t>-</w:t>
      </w:r>
      <w:r>
        <w:rPr>
          <w:rFonts w:ascii="Times New Roman" w:eastAsia="Times New Roman" w:hAnsi="Times New Roman" w:cs="Times New Roman"/>
          <w:lang w:val="en-GB"/>
        </w:rPr>
        <w:tab/>
        <w:t>Cadets are able to interpret the relationships between the logistics processes and the logistics system of the Hungarian Defence Forces and to transfer it to subordinates.</w:t>
      </w:r>
    </w:p>
    <w:p w:rsidR="009B01B1" w:rsidRPr="00FB5CB8" w:rsidRDefault="009B01B1" w:rsidP="00FB5CB8">
      <w:pPr>
        <w:widowControl w:val="0"/>
        <w:spacing w:before="240" w:after="0" w:line="240" w:lineRule="auto"/>
        <w:ind w:left="425"/>
        <w:jc w:val="both"/>
        <w:rPr>
          <w:rFonts w:ascii="Times New Roman" w:eastAsia="Times New Roman" w:hAnsi="Times New Roman" w:cs="Times New Roman"/>
          <w:b/>
          <w:bCs/>
        </w:rPr>
      </w:pPr>
      <w:r w:rsidRPr="00FB5CB8">
        <w:rPr>
          <w:rFonts w:ascii="Times New Roman" w:eastAsia="Times New Roman" w:hAnsi="Times New Roman" w:cs="Times New Roman"/>
          <w:b/>
          <w:bCs/>
        </w:rPr>
        <w:t xml:space="preserve">Attitude: </w:t>
      </w:r>
    </w:p>
    <w:p w:rsidR="009B01B1" w:rsidRPr="00FB5CB8" w:rsidRDefault="009B01B1" w:rsidP="00FB5CB8">
      <w:pPr>
        <w:widowControl w:val="0"/>
        <w:spacing w:before="120" w:after="120" w:line="240" w:lineRule="auto"/>
        <w:ind w:left="709" w:hanging="218"/>
        <w:contextualSpacing/>
        <w:jc w:val="both"/>
        <w:rPr>
          <w:rFonts w:ascii="Times New Roman" w:eastAsia="Times New Roman" w:hAnsi="Times New Roman" w:cs="Times New Roman"/>
          <w:lang w:val="en-GB"/>
        </w:rPr>
      </w:pPr>
      <w:r>
        <w:rPr>
          <w:rFonts w:ascii="Times New Roman" w:eastAsia="Times New Roman" w:hAnsi="Times New Roman"/>
          <w:bCs/>
        </w:rPr>
        <w:t>-</w:t>
      </w:r>
      <w:r>
        <w:rPr>
          <w:rFonts w:ascii="Times New Roman" w:eastAsia="Times New Roman" w:hAnsi="Times New Roman"/>
          <w:bCs/>
        </w:rPr>
        <w:tab/>
      </w:r>
      <w:r w:rsidRPr="00FB5CB8">
        <w:rPr>
          <w:rFonts w:ascii="Times New Roman" w:eastAsia="Times New Roman" w:hAnsi="Times New Roman" w:cs="Times New Roman"/>
          <w:lang w:val="en-GB"/>
        </w:rPr>
        <w:t>Cadets recognize the value of operating in a larger system; they seek to understand the relationships between logistics activities.</w:t>
      </w:r>
    </w:p>
    <w:p w:rsidR="009B01B1" w:rsidRDefault="009B01B1" w:rsidP="00FB5CB8">
      <w:pPr>
        <w:widowControl w:val="0"/>
        <w:spacing w:before="120" w:after="120" w:line="240" w:lineRule="auto"/>
        <w:ind w:left="709" w:hanging="218"/>
        <w:contextualSpacing/>
        <w:jc w:val="both"/>
        <w:rPr>
          <w:rFonts w:ascii="Times New Roman" w:eastAsia="Times New Roman" w:hAnsi="Times New Roman"/>
          <w:bCs/>
        </w:rPr>
      </w:pPr>
      <w:r w:rsidRPr="00FB5CB8">
        <w:rPr>
          <w:rFonts w:ascii="Times New Roman" w:eastAsia="Times New Roman" w:hAnsi="Times New Roman" w:cs="Times New Roman"/>
          <w:lang w:val="en-GB"/>
        </w:rPr>
        <w:t>-</w:t>
      </w:r>
      <w:r w:rsidRPr="00FB5CB8">
        <w:rPr>
          <w:rFonts w:ascii="Times New Roman" w:eastAsia="Times New Roman" w:hAnsi="Times New Roman" w:cs="Times New Roman"/>
          <w:lang w:val="en-GB"/>
        </w:rPr>
        <w:tab/>
        <w:t>Cadets</w:t>
      </w:r>
      <w:r>
        <w:rPr>
          <w:rFonts w:ascii="Times New Roman" w:eastAsia="Times New Roman" w:hAnsi="Times New Roman"/>
          <w:bCs/>
        </w:rPr>
        <w:t xml:space="preserve"> strive for cooperation while executing their tasks with an efficiency-oriented approach.</w:t>
      </w:r>
    </w:p>
    <w:p w:rsidR="009B01B1" w:rsidRPr="00FB5CB8" w:rsidRDefault="009B01B1" w:rsidP="00FB5CB8">
      <w:pPr>
        <w:widowControl w:val="0"/>
        <w:spacing w:before="240" w:after="0" w:line="240" w:lineRule="auto"/>
        <w:ind w:left="425"/>
        <w:jc w:val="both"/>
        <w:rPr>
          <w:rFonts w:ascii="Times New Roman" w:eastAsia="Times New Roman" w:hAnsi="Times New Roman" w:cs="Times New Roman"/>
          <w:b/>
          <w:bCs/>
        </w:rPr>
      </w:pPr>
      <w:r w:rsidRPr="00FB5CB8">
        <w:rPr>
          <w:rFonts w:ascii="Times New Roman" w:eastAsia="Times New Roman" w:hAnsi="Times New Roman" w:cs="Times New Roman"/>
          <w:b/>
          <w:bCs/>
        </w:rPr>
        <w:t xml:space="preserve">Autonomy and responsibility: </w:t>
      </w:r>
    </w:p>
    <w:p w:rsidR="009B01B1" w:rsidRPr="00FB5CB8" w:rsidRDefault="009B01B1" w:rsidP="00FB5CB8">
      <w:pPr>
        <w:widowControl w:val="0"/>
        <w:spacing w:before="120" w:after="120" w:line="240" w:lineRule="auto"/>
        <w:ind w:left="709" w:hanging="218"/>
        <w:contextualSpacing/>
        <w:jc w:val="both"/>
        <w:rPr>
          <w:rFonts w:ascii="Times New Roman" w:eastAsia="Times New Roman" w:hAnsi="Times New Roman" w:cs="Times New Roman"/>
          <w:lang w:val="en-GB"/>
        </w:rPr>
      </w:pPr>
      <w:r>
        <w:rPr>
          <w:rFonts w:ascii="Times New Roman" w:eastAsia="Times New Roman" w:hAnsi="Times New Roman"/>
          <w:bCs/>
        </w:rPr>
        <w:t>-</w:t>
      </w:r>
      <w:r>
        <w:rPr>
          <w:rFonts w:ascii="Times New Roman" w:eastAsia="Times New Roman" w:hAnsi="Times New Roman"/>
          <w:bCs/>
        </w:rPr>
        <w:tab/>
      </w:r>
      <w:r w:rsidRPr="00FB5CB8">
        <w:rPr>
          <w:rFonts w:ascii="Times New Roman" w:eastAsia="Times New Roman" w:hAnsi="Times New Roman" w:cs="Times New Roman"/>
          <w:lang w:val="en-GB"/>
        </w:rPr>
        <w:t>Cadets are able to make independent decisions at subunit level in military logistics processes, and to implement them responsibly within the legal framework.</w:t>
      </w:r>
    </w:p>
    <w:p w:rsidR="009B01B1" w:rsidRPr="00FB5CB8" w:rsidRDefault="009B01B1" w:rsidP="00FB5CB8">
      <w:pPr>
        <w:widowControl w:val="0"/>
        <w:spacing w:before="120" w:after="120" w:line="240" w:lineRule="auto"/>
        <w:ind w:left="709" w:hanging="218"/>
        <w:contextualSpacing/>
        <w:jc w:val="both"/>
        <w:rPr>
          <w:rFonts w:ascii="Times New Roman" w:eastAsia="Times New Roman" w:hAnsi="Times New Roman" w:cs="Times New Roman"/>
          <w:lang w:val="en-GB"/>
        </w:rPr>
      </w:pPr>
      <w:r w:rsidRPr="00FB5CB8">
        <w:rPr>
          <w:rFonts w:ascii="Times New Roman" w:eastAsia="Times New Roman" w:hAnsi="Times New Roman" w:cs="Times New Roman"/>
          <w:lang w:val="en-GB"/>
        </w:rPr>
        <w:t>-</w:t>
      </w:r>
      <w:r w:rsidRPr="00FB5CB8">
        <w:rPr>
          <w:rFonts w:ascii="Times New Roman" w:eastAsia="Times New Roman" w:hAnsi="Times New Roman" w:cs="Times New Roman"/>
          <w:lang w:val="en-GB"/>
        </w:rPr>
        <w:tab/>
        <w:t>Cadets are aware of the effects and consequences of their decisions and activities on technical tools and discipline.</w:t>
      </w:r>
    </w:p>
    <w:p w:rsidR="009B01B1" w:rsidRDefault="009B01B1" w:rsidP="00FB5CB8">
      <w:pPr>
        <w:widowControl w:val="0"/>
        <w:spacing w:before="120" w:after="120" w:line="240" w:lineRule="auto"/>
        <w:ind w:left="709" w:hanging="218"/>
        <w:contextualSpacing/>
        <w:jc w:val="both"/>
        <w:rPr>
          <w:rFonts w:ascii="Times New Roman" w:eastAsia="Times New Roman" w:hAnsi="Times New Roman"/>
          <w:bCs/>
        </w:rPr>
      </w:pPr>
      <w:r w:rsidRPr="00FB5CB8">
        <w:rPr>
          <w:rFonts w:ascii="Times New Roman" w:eastAsia="Times New Roman" w:hAnsi="Times New Roman" w:cs="Times New Roman"/>
          <w:lang w:val="en-GB"/>
        </w:rPr>
        <w:t>-</w:t>
      </w:r>
      <w:r w:rsidRPr="00FB5CB8">
        <w:rPr>
          <w:rFonts w:ascii="Times New Roman" w:eastAsia="Times New Roman" w:hAnsi="Times New Roman" w:cs="Times New Roman"/>
          <w:lang w:val="en-GB"/>
        </w:rPr>
        <w:tab/>
        <w:t>They are</w:t>
      </w:r>
      <w:r>
        <w:rPr>
          <w:rFonts w:ascii="Times New Roman" w:eastAsia="Times New Roman" w:hAnsi="Times New Roman"/>
          <w:bCs/>
        </w:rPr>
        <w:t xml:space="preserve"> responsible for the professional activities of their subordinates.</w:t>
      </w:r>
    </w:p>
    <w:p w:rsidR="009B01B1" w:rsidRPr="006708B2" w:rsidRDefault="009B01B1" w:rsidP="00C14833">
      <w:pPr>
        <w:widowControl w:val="0"/>
        <w:numPr>
          <w:ilvl w:val="0"/>
          <w:numId w:val="140"/>
        </w:numPr>
        <w:tabs>
          <w:tab w:val="num" w:pos="567"/>
        </w:tabs>
        <w:spacing w:before="120" w:after="120" w:line="240" w:lineRule="auto"/>
        <w:ind w:left="426" w:hanging="142"/>
        <w:jc w:val="both"/>
        <w:rPr>
          <w:rFonts w:ascii="Times New Roman" w:eastAsia="Times New Roman" w:hAnsi="Times New Roman" w:cs="Times New Roman"/>
          <w:bCs/>
        </w:rPr>
      </w:pPr>
      <w:r w:rsidRPr="006708B2">
        <w:rPr>
          <w:rFonts w:ascii="Times New Roman" w:eastAsia="Times New Roman" w:hAnsi="Times New Roman" w:cs="Times New Roman"/>
          <w:b/>
          <w:bCs/>
        </w:rPr>
        <w:t>Előtanulmányi követelmények:</w:t>
      </w:r>
      <w:r w:rsidR="006708B2">
        <w:rPr>
          <w:rFonts w:ascii="Times New Roman" w:eastAsia="Times New Roman" w:hAnsi="Times New Roman" w:cs="Times New Roman"/>
          <w:b/>
          <w:bCs/>
        </w:rPr>
        <w:t xml:space="preserve"> </w:t>
      </w:r>
      <w:r w:rsidRPr="006708B2">
        <w:rPr>
          <w:rFonts w:ascii="Times New Roman" w:eastAsia="Times New Roman" w:hAnsi="Times New Roman" w:cs="Times New Roman"/>
          <w:bCs/>
        </w:rPr>
        <w:t>Lövészzászlóalj műveleteinek logisztikai támogatása II. (HKHPKA15)</w:t>
      </w:r>
    </w:p>
    <w:p w:rsidR="009B01B1" w:rsidRDefault="009B01B1" w:rsidP="00C14833">
      <w:pPr>
        <w:widowControl w:val="0"/>
        <w:numPr>
          <w:ilvl w:val="0"/>
          <w:numId w:val="140"/>
        </w:numPr>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A tantárgy tananyagának leírása, tematika. Description of the subject, curriculum (magyarul, angolul - English):</w:t>
      </w:r>
    </w:p>
    <w:p w:rsidR="009B01B1" w:rsidRDefault="009B01B1" w:rsidP="00C14833">
      <w:pPr>
        <w:widowControl w:val="0"/>
        <w:numPr>
          <w:ilvl w:val="1"/>
          <w:numId w:val="140"/>
        </w:numPr>
        <w:tabs>
          <w:tab w:val="clear" w:pos="3977"/>
          <w:tab w:val="left" w:pos="709"/>
          <w:tab w:val="left" w:pos="993"/>
          <w:tab w:val="num" w:pos="2069"/>
          <w:tab w:val="num" w:pos="2275"/>
        </w:tabs>
        <w:spacing w:after="0" w:line="240" w:lineRule="auto"/>
        <w:ind w:left="992"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 lövészdandár szervezete, rendeltetése, képességei. A lövészdandár logisztikai alegységeinek szervezete, képességei. </w:t>
      </w:r>
      <w:r>
        <w:rPr>
          <w:rFonts w:ascii="Times New Roman" w:eastAsia="Times New Roman" w:hAnsi="Times New Roman" w:cs="Times New Roman"/>
          <w:i/>
          <w:kern w:val="2"/>
        </w:rPr>
        <w:t>(Structure and mission of the infantry brigade. Structure and capabilities of the logistic subunits of the infantry brigade.)</w:t>
      </w:r>
    </w:p>
    <w:p w:rsidR="009B01B1" w:rsidRDefault="009B01B1" w:rsidP="00C14833">
      <w:pPr>
        <w:widowControl w:val="0"/>
        <w:numPr>
          <w:ilvl w:val="1"/>
          <w:numId w:val="140"/>
        </w:numPr>
        <w:tabs>
          <w:tab w:val="clear" w:pos="3977"/>
          <w:tab w:val="left" w:pos="709"/>
          <w:tab w:val="left" w:pos="993"/>
          <w:tab w:val="num" w:pos="2069"/>
          <w:tab w:val="num" w:pos="2275"/>
        </w:tabs>
        <w:spacing w:after="0" w:line="240" w:lineRule="auto"/>
        <w:ind w:left="992"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 lövészdandár menetének fogalma, célja, körülményei, formái és a menetrend felépítése. A lövészdandár menetének haditechnikai biztosítása és közlekedési támogatása. </w:t>
      </w:r>
      <w:r>
        <w:rPr>
          <w:rFonts w:ascii="Times New Roman" w:eastAsia="Times New Roman" w:hAnsi="Times New Roman" w:cs="Times New Roman"/>
          <w:i/>
          <w:kern w:val="2"/>
        </w:rPr>
        <w:t>(Definition, aim, forms of the march of the infantry brigade, march order. Maintenance, movement and transportation support of the infantry brigade’s march.)</w:t>
      </w:r>
    </w:p>
    <w:p w:rsidR="009B01B1" w:rsidRDefault="009B01B1" w:rsidP="00C14833">
      <w:pPr>
        <w:widowControl w:val="0"/>
        <w:numPr>
          <w:ilvl w:val="1"/>
          <w:numId w:val="140"/>
        </w:numPr>
        <w:tabs>
          <w:tab w:val="clear" w:pos="3977"/>
          <w:tab w:val="left" w:pos="709"/>
          <w:tab w:val="left" w:pos="993"/>
          <w:tab w:val="num" w:pos="2069"/>
          <w:tab w:val="num" w:pos="2275"/>
        </w:tabs>
        <w:spacing w:after="0" w:line="240" w:lineRule="auto"/>
        <w:ind w:left="992"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 lövészdandár menetének hadtápbiztosítása és egészségügyi biztosítása. </w:t>
      </w:r>
      <w:r>
        <w:rPr>
          <w:rFonts w:ascii="Times New Roman" w:eastAsia="Times New Roman" w:hAnsi="Times New Roman" w:cs="Times New Roman"/>
          <w:i/>
          <w:kern w:val="2"/>
        </w:rPr>
        <w:t>(Supply and medical support of the infantry brigade’s march.)</w:t>
      </w:r>
    </w:p>
    <w:p w:rsidR="009B01B1" w:rsidRDefault="009B01B1" w:rsidP="00C14833">
      <w:pPr>
        <w:widowControl w:val="0"/>
        <w:numPr>
          <w:ilvl w:val="1"/>
          <w:numId w:val="140"/>
        </w:numPr>
        <w:tabs>
          <w:tab w:val="clear" w:pos="3977"/>
          <w:tab w:val="left" w:pos="709"/>
          <w:tab w:val="left" w:pos="993"/>
          <w:tab w:val="num" w:pos="2069"/>
          <w:tab w:val="num" w:pos="2275"/>
        </w:tabs>
        <w:spacing w:after="0" w:line="240" w:lineRule="auto"/>
        <w:ind w:left="992"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1. ZH. megírása. </w:t>
      </w:r>
      <w:r>
        <w:rPr>
          <w:rFonts w:ascii="Times New Roman" w:eastAsia="Times New Roman" w:hAnsi="Times New Roman" w:cs="Times New Roman"/>
          <w:i/>
          <w:kern w:val="2"/>
        </w:rPr>
        <w:t>(1. Test.)</w:t>
      </w:r>
    </w:p>
    <w:p w:rsidR="009B01B1" w:rsidRDefault="009B01B1" w:rsidP="00C14833">
      <w:pPr>
        <w:widowControl w:val="0"/>
        <w:numPr>
          <w:ilvl w:val="1"/>
          <w:numId w:val="140"/>
        </w:numPr>
        <w:tabs>
          <w:tab w:val="clear" w:pos="3977"/>
          <w:tab w:val="left" w:pos="709"/>
          <w:tab w:val="left" w:pos="993"/>
          <w:tab w:val="num" w:pos="2069"/>
          <w:tab w:val="num" w:pos="2275"/>
        </w:tabs>
        <w:spacing w:after="0" w:line="240" w:lineRule="auto"/>
        <w:ind w:left="992"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 lövészdandár támadóharcának fogalma, célja, tartalma, támadásának formái, módjai, a lövészdandár helye, szerepe az elöljáró kötelék harcrendjében, hadműveleti felépítésében, harcfeladatai, támadóharcának méretei, a dandár harcrendje és támadóharcának végrehajtása. </w:t>
      </w:r>
      <w:r>
        <w:rPr>
          <w:rFonts w:ascii="Times New Roman" w:eastAsia="Times New Roman" w:hAnsi="Times New Roman" w:cs="Times New Roman"/>
          <w:i/>
          <w:kern w:val="2"/>
        </w:rPr>
        <w:t>(Definition, aim, content forms of the infantry brigade’s attack. Position and role in the operational order of the higher command, combat tasks, size, combat order and execution.)</w:t>
      </w:r>
    </w:p>
    <w:p w:rsidR="009B01B1" w:rsidRDefault="009B01B1" w:rsidP="00C14833">
      <w:pPr>
        <w:widowControl w:val="0"/>
        <w:numPr>
          <w:ilvl w:val="1"/>
          <w:numId w:val="140"/>
        </w:numPr>
        <w:tabs>
          <w:tab w:val="clear" w:pos="3977"/>
          <w:tab w:val="left" w:pos="709"/>
          <w:tab w:val="left" w:pos="993"/>
          <w:tab w:val="num" w:pos="2069"/>
          <w:tab w:val="num" w:pos="2275"/>
        </w:tabs>
        <w:spacing w:after="0" w:line="240" w:lineRule="auto"/>
        <w:ind w:left="992"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 lövészdandár támadóharcának haditechnikai biztosítása és közlekedési támogatása. A lövészdandár támadóharcának hadtápbiztosítása és egészségügyi biztosítása. </w:t>
      </w:r>
      <w:r>
        <w:rPr>
          <w:rFonts w:ascii="Times New Roman" w:eastAsia="Times New Roman" w:hAnsi="Times New Roman" w:cs="Times New Roman"/>
          <w:i/>
          <w:kern w:val="2"/>
        </w:rPr>
        <w:t>(Maintenance, movement and transportation support of the infantry brigade’s attack. Supply and medical support of the infantry brigade’s attack.)</w:t>
      </w:r>
    </w:p>
    <w:p w:rsidR="009B01B1" w:rsidRDefault="009B01B1" w:rsidP="00C14833">
      <w:pPr>
        <w:widowControl w:val="0"/>
        <w:numPr>
          <w:ilvl w:val="1"/>
          <w:numId w:val="140"/>
        </w:numPr>
        <w:tabs>
          <w:tab w:val="clear" w:pos="3977"/>
          <w:tab w:val="left" w:pos="709"/>
          <w:tab w:val="left" w:pos="993"/>
          <w:tab w:val="num" w:pos="2069"/>
          <w:tab w:val="num" w:pos="2275"/>
        </w:tabs>
        <w:spacing w:after="0" w:line="240" w:lineRule="auto"/>
        <w:ind w:left="992"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 lövészdandár védelmi harcának fogalma, célja, formái, módjai, a védelembe való átmenet körülményei, esetei, a védelem méretei, védelmének felépítése, védelmi harcának végrehajtása. </w:t>
      </w:r>
      <w:r>
        <w:rPr>
          <w:rFonts w:ascii="Times New Roman" w:eastAsia="Times New Roman" w:hAnsi="Times New Roman" w:cs="Times New Roman"/>
          <w:i/>
          <w:kern w:val="2"/>
        </w:rPr>
        <w:t>(Definition, aim, content, forms of the infantry brigade’s defence, transition to defence, size, combat order and execution of the brigade’s defence.)</w:t>
      </w:r>
    </w:p>
    <w:p w:rsidR="009B01B1" w:rsidRDefault="009B01B1" w:rsidP="00C14833">
      <w:pPr>
        <w:widowControl w:val="0"/>
        <w:numPr>
          <w:ilvl w:val="1"/>
          <w:numId w:val="140"/>
        </w:numPr>
        <w:tabs>
          <w:tab w:val="clear" w:pos="3977"/>
          <w:tab w:val="left" w:pos="709"/>
          <w:tab w:val="left" w:pos="993"/>
          <w:tab w:val="num" w:pos="2069"/>
          <w:tab w:val="num" w:pos="2275"/>
        </w:tabs>
        <w:spacing w:after="0" w:line="240" w:lineRule="auto"/>
        <w:ind w:left="992"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 lövészdandár védelmi harcának haditechnikai biztosítása és közlekedési támogatása. </w:t>
      </w:r>
      <w:r>
        <w:rPr>
          <w:rFonts w:ascii="Times New Roman" w:eastAsia="Times New Roman" w:hAnsi="Times New Roman" w:cs="Times New Roman"/>
          <w:i/>
          <w:kern w:val="2"/>
        </w:rPr>
        <w:t>(Maintenance, movement and transportation support of the infantry brigade’s defence.)</w:t>
      </w:r>
    </w:p>
    <w:p w:rsidR="009B01B1" w:rsidRDefault="009B01B1" w:rsidP="00C14833">
      <w:pPr>
        <w:widowControl w:val="0"/>
        <w:numPr>
          <w:ilvl w:val="1"/>
          <w:numId w:val="140"/>
        </w:numPr>
        <w:tabs>
          <w:tab w:val="clear" w:pos="3977"/>
          <w:tab w:val="left" w:pos="709"/>
          <w:tab w:val="left" w:pos="993"/>
          <w:tab w:val="num" w:pos="2069"/>
          <w:tab w:val="num" w:pos="2275"/>
        </w:tabs>
        <w:spacing w:after="0" w:line="240" w:lineRule="auto"/>
        <w:ind w:left="992"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 lövészdandár védelmi harcának hadtápbiztosítása és egészségügyi biztosítása. </w:t>
      </w:r>
      <w:r>
        <w:rPr>
          <w:rFonts w:ascii="Times New Roman" w:eastAsia="Times New Roman" w:hAnsi="Times New Roman" w:cs="Times New Roman"/>
          <w:i/>
          <w:kern w:val="2"/>
        </w:rPr>
        <w:t>(Supply and medical support of the infantry brigade’s defence.)</w:t>
      </w:r>
    </w:p>
    <w:p w:rsidR="009B01B1" w:rsidRDefault="009B01B1" w:rsidP="00C14833">
      <w:pPr>
        <w:widowControl w:val="0"/>
        <w:numPr>
          <w:ilvl w:val="1"/>
          <w:numId w:val="140"/>
        </w:numPr>
        <w:tabs>
          <w:tab w:val="clear" w:pos="3977"/>
          <w:tab w:val="left" w:pos="709"/>
          <w:tab w:val="left" w:pos="993"/>
          <w:tab w:val="num" w:pos="2069"/>
          <w:tab w:val="num" w:pos="2275"/>
        </w:tabs>
        <w:spacing w:after="0" w:line="240" w:lineRule="auto"/>
        <w:ind w:left="992" w:hanging="567"/>
        <w:jc w:val="both"/>
        <w:rPr>
          <w:rFonts w:ascii="Times New Roman" w:eastAsia="Times New Roman" w:hAnsi="Times New Roman" w:cs="Times New Roman"/>
          <w:kern w:val="2"/>
        </w:rPr>
      </w:pPr>
      <w:r>
        <w:rPr>
          <w:rFonts w:ascii="Times New Roman" w:eastAsia="Times New Roman" w:hAnsi="Times New Roman" w:cs="Times New Roman"/>
          <w:kern w:val="2"/>
        </w:rPr>
        <w:lastRenderedPageBreak/>
        <w:t xml:space="preserve">2. ZH. megírása. </w:t>
      </w:r>
      <w:r>
        <w:rPr>
          <w:rFonts w:ascii="Times New Roman" w:eastAsia="Times New Roman" w:hAnsi="Times New Roman" w:cs="Times New Roman"/>
          <w:i/>
          <w:kern w:val="2"/>
        </w:rPr>
        <w:t>(2. Test)</w:t>
      </w:r>
    </w:p>
    <w:p w:rsidR="009B01B1" w:rsidRDefault="009B01B1" w:rsidP="00C14833">
      <w:pPr>
        <w:widowControl w:val="0"/>
        <w:numPr>
          <w:ilvl w:val="1"/>
          <w:numId w:val="140"/>
        </w:numPr>
        <w:tabs>
          <w:tab w:val="clear" w:pos="3977"/>
          <w:tab w:val="left" w:pos="709"/>
          <w:tab w:val="left" w:pos="993"/>
          <w:tab w:val="num" w:pos="2069"/>
          <w:tab w:val="num" w:pos="2275"/>
        </w:tabs>
        <w:spacing w:after="0" w:line="240" w:lineRule="auto"/>
        <w:ind w:left="992"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 lövészdandár szervezeti felépítése, feladatrendszere, alapvető fegyverzet-technikai és szaktechnikai eszközei (csapatnál végrehajtott foglalkozás, 8 óra). </w:t>
      </w:r>
      <w:r>
        <w:rPr>
          <w:rFonts w:ascii="Times New Roman" w:eastAsia="Times New Roman" w:hAnsi="Times New Roman" w:cs="Times New Roman"/>
          <w:i/>
          <w:kern w:val="2"/>
        </w:rPr>
        <w:t>(Structure, mission and technical equipment of the infantry brigade. (8 hours by a brigade))</w:t>
      </w:r>
    </w:p>
    <w:p w:rsidR="009B01B1" w:rsidRDefault="009B01B1" w:rsidP="00C14833">
      <w:pPr>
        <w:widowControl w:val="0"/>
        <w:numPr>
          <w:ilvl w:val="0"/>
          <w:numId w:val="140"/>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 tantárgy meghirdetésének gyakorisága/a tantervben történő félévi elhelyezkedése: </w:t>
      </w:r>
      <w:r>
        <w:rPr>
          <w:rFonts w:ascii="Times New Roman" w:eastAsia="Times New Roman" w:hAnsi="Times New Roman" w:cs="Times New Roman"/>
          <w:bCs/>
        </w:rPr>
        <w:t>Minden őszi szemeszterben / 7. félév</w:t>
      </w:r>
    </w:p>
    <w:p w:rsidR="009B01B1" w:rsidRDefault="009B01B1" w:rsidP="00C14833">
      <w:pPr>
        <w:widowControl w:val="0"/>
        <w:numPr>
          <w:ilvl w:val="0"/>
          <w:numId w:val="140"/>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tanórákon való részvétel követelményei, az elfogadható hiányzások mértéke, a távolmaradás pótlásának lehetősége:</w:t>
      </w:r>
      <w:r>
        <w:rPr>
          <w:rFonts w:ascii="Times New Roman" w:eastAsia="Times New Roman" w:hAnsi="Times New Roman" w:cs="Times New Roman"/>
          <w:bCs/>
        </w:rPr>
        <w:t xml:space="preserve"> Az órákon való részvétel legalább 75 %-ban, A hallgatónak a kimaradt tananyagot önképzés keretén belül kell elsajátítani.</w:t>
      </w:r>
    </w:p>
    <w:p w:rsidR="009B01B1" w:rsidRDefault="009B01B1" w:rsidP="00C14833">
      <w:pPr>
        <w:widowControl w:val="0"/>
        <w:numPr>
          <w:ilvl w:val="0"/>
          <w:numId w:val="140"/>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rPr>
        <w:t xml:space="preserve">Félévközi feladatok, ismeretek ellenőrzésének rendje: </w:t>
      </w:r>
      <w:r>
        <w:rPr>
          <w:rFonts w:ascii="Times New Roman" w:eastAsia="Times New Roman" w:hAnsi="Times New Roman" w:cs="Times New Roman"/>
          <w:bCs/>
        </w:rPr>
        <w:t>A félév elfogadásának, azaz az aláírás megszerzésének feltétele a 2 db zárthelyi dolgozat megírása az oktató által megjelölt időpontokban. Az aláírás feltétele a 2 zárthelyi dolgozatból külön-külön az elégséges (2) érdemjegy elérése. A tantárgy kreditje megszerzésének feltétele a legalább elégséges (2) kollokviumi jegy. A kollokvium a kurzus tananyagából történik, szóban, a kiadott felkészülési kérdések alapján. A tananyag szerves részét képezik a kijelölt kötelező irodalmon kívül a tantárgy előadásai során elhangzott, illetve a gyakorlati foglalkozáson begyakorolt ismeretek is. A tantárgy egyben a záróvizsga részét is képezi, a kollokviumi felkészülési kérdések megadásánál a záróvizsga témaköröket figyelembe kell venni.</w:t>
      </w:r>
    </w:p>
    <w:p w:rsidR="009B01B1" w:rsidRDefault="009B01B1" w:rsidP="00C14833">
      <w:pPr>
        <w:widowControl w:val="0"/>
        <w:numPr>
          <w:ilvl w:val="0"/>
          <w:numId w:val="140"/>
        </w:numPr>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Az értékelés, az aláírás és a kreditek megszerzésének pontos feltételei: </w:t>
      </w:r>
    </w:p>
    <w:p w:rsidR="009B01B1" w:rsidRPr="00FB5CB8" w:rsidRDefault="009B01B1" w:rsidP="00C14833">
      <w:pPr>
        <w:widowControl w:val="0"/>
        <w:numPr>
          <w:ilvl w:val="1"/>
          <w:numId w:val="140"/>
        </w:numPr>
        <w:tabs>
          <w:tab w:val="clear" w:pos="3977"/>
          <w:tab w:val="left" w:pos="709"/>
          <w:tab w:val="left" w:pos="993"/>
          <w:tab w:val="num" w:pos="2069"/>
          <w:tab w:val="num" w:pos="2275"/>
        </w:tabs>
        <w:spacing w:before="120" w:after="120" w:line="240" w:lineRule="auto"/>
        <w:ind w:left="426" w:firstLine="0"/>
        <w:jc w:val="both"/>
        <w:rPr>
          <w:rFonts w:ascii="Times New Roman" w:eastAsia="Times New Roman" w:hAnsi="Times New Roman" w:cs="Times New Roman"/>
        </w:rPr>
      </w:pPr>
      <w:r w:rsidRPr="00FB5CB8">
        <w:rPr>
          <w:rFonts w:ascii="Times New Roman" w:eastAsia="Times New Roman" w:hAnsi="Times New Roman" w:cs="Times New Roman"/>
          <w:b/>
        </w:rPr>
        <w:t>Az aláírás megszerzésének feltételei:</w:t>
      </w:r>
      <w:r w:rsidR="00FB5CB8" w:rsidRPr="00FB5CB8">
        <w:rPr>
          <w:rFonts w:ascii="Times New Roman" w:eastAsia="Times New Roman" w:hAnsi="Times New Roman" w:cs="Times New Roman"/>
          <w:b/>
        </w:rPr>
        <w:t xml:space="preserve"> </w:t>
      </w:r>
      <w:r w:rsidRPr="00FB5CB8">
        <w:rPr>
          <w:rFonts w:ascii="Times New Roman" w:eastAsia="Times New Roman" w:hAnsi="Times New Roman" w:cs="Times New Roman"/>
        </w:rPr>
        <w:t>Az aláírás megszerzésének feltétele a 14. pontban meghatározott arányú részvétel a foglalkozásokon és a 15. pontban meghatározott félévközi feladatok legalább elégséges teljesítése.</w:t>
      </w:r>
    </w:p>
    <w:p w:rsidR="009B01B1" w:rsidRPr="00FB5CB8" w:rsidRDefault="009B01B1" w:rsidP="00C14833">
      <w:pPr>
        <w:widowControl w:val="0"/>
        <w:numPr>
          <w:ilvl w:val="1"/>
          <w:numId w:val="140"/>
        </w:numPr>
        <w:tabs>
          <w:tab w:val="clear" w:pos="3977"/>
          <w:tab w:val="left" w:pos="709"/>
          <w:tab w:val="left" w:pos="993"/>
          <w:tab w:val="num" w:pos="2069"/>
          <w:tab w:val="num" w:pos="2275"/>
        </w:tabs>
        <w:spacing w:before="120" w:after="120" w:line="240" w:lineRule="auto"/>
        <w:ind w:left="426" w:firstLine="0"/>
        <w:jc w:val="both"/>
        <w:rPr>
          <w:rFonts w:ascii="Times New Roman" w:eastAsia="Times New Roman" w:hAnsi="Times New Roman" w:cs="Times New Roman"/>
        </w:rPr>
      </w:pPr>
      <w:r w:rsidRPr="00FB5CB8">
        <w:rPr>
          <w:rFonts w:ascii="Times New Roman" w:eastAsia="Times New Roman" w:hAnsi="Times New Roman" w:cs="Times New Roman"/>
          <w:b/>
        </w:rPr>
        <w:t>Az értékelés:</w:t>
      </w:r>
      <w:r w:rsidR="00FB5CB8" w:rsidRPr="00FB5CB8">
        <w:rPr>
          <w:rFonts w:ascii="Times New Roman" w:eastAsia="Times New Roman" w:hAnsi="Times New Roman" w:cs="Times New Roman"/>
          <w:b/>
        </w:rPr>
        <w:t xml:space="preserve"> </w:t>
      </w:r>
      <w:r w:rsidRPr="00FB5CB8">
        <w:rPr>
          <w:rFonts w:ascii="Times New Roman" w:eastAsia="Times New Roman" w:hAnsi="Times New Roman" w:cs="Times New Roman"/>
        </w:rPr>
        <w:t>A tantárgy vizsgával zárul, amely szóbeli kollokvium. A vizsga anyaga az órán elhangzottakat, valamint a falhasznált irodalom elméleti és gyakorlati részeit egyaránt tartalmazzák.</w:t>
      </w:r>
    </w:p>
    <w:p w:rsidR="009B01B1" w:rsidRPr="00FB5CB8" w:rsidRDefault="009B01B1" w:rsidP="00C14833">
      <w:pPr>
        <w:widowControl w:val="0"/>
        <w:numPr>
          <w:ilvl w:val="1"/>
          <w:numId w:val="140"/>
        </w:numPr>
        <w:tabs>
          <w:tab w:val="clear" w:pos="3977"/>
          <w:tab w:val="left" w:pos="709"/>
          <w:tab w:val="left" w:pos="993"/>
          <w:tab w:val="num" w:pos="2069"/>
          <w:tab w:val="num" w:pos="2275"/>
        </w:tabs>
        <w:spacing w:before="120" w:after="120" w:line="240" w:lineRule="auto"/>
        <w:ind w:left="426" w:firstLine="0"/>
        <w:jc w:val="both"/>
        <w:rPr>
          <w:rFonts w:ascii="Times New Roman" w:eastAsia="Times New Roman" w:hAnsi="Times New Roman" w:cs="Times New Roman"/>
        </w:rPr>
      </w:pPr>
      <w:r w:rsidRPr="00FB5CB8">
        <w:rPr>
          <w:rFonts w:ascii="Times New Roman" w:eastAsia="Times New Roman" w:hAnsi="Times New Roman" w:cs="Times New Roman"/>
          <w:b/>
        </w:rPr>
        <w:t>A kreditek megszerzésének feltételei:</w:t>
      </w:r>
      <w:r w:rsidR="00FB5CB8" w:rsidRPr="00FB5CB8">
        <w:rPr>
          <w:rFonts w:ascii="Times New Roman" w:eastAsia="Times New Roman" w:hAnsi="Times New Roman" w:cs="Times New Roman"/>
        </w:rPr>
        <w:t xml:space="preserve"> </w:t>
      </w:r>
      <w:r w:rsidRPr="00FB5CB8">
        <w:rPr>
          <w:rFonts w:ascii="Times New Roman" w:eastAsia="Times New Roman" w:hAnsi="Times New Roman" w:cs="Times New Roman"/>
        </w:rPr>
        <w:t>A kreditek megszerzésének feltétele az aláírás megszerzése és a legalább elégséges kollokviumi jegy.</w:t>
      </w:r>
    </w:p>
    <w:p w:rsidR="009B01B1" w:rsidRDefault="009B01B1" w:rsidP="00C14833">
      <w:pPr>
        <w:widowControl w:val="0"/>
        <w:numPr>
          <w:ilvl w:val="0"/>
          <w:numId w:val="140"/>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Irodalomjegyzék:</w:t>
      </w:r>
    </w:p>
    <w:p w:rsidR="009B01B1" w:rsidRPr="00FB5CB8" w:rsidRDefault="009B01B1" w:rsidP="00C14833">
      <w:pPr>
        <w:widowControl w:val="0"/>
        <w:numPr>
          <w:ilvl w:val="1"/>
          <w:numId w:val="140"/>
        </w:numPr>
        <w:tabs>
          <w:tab w:val="clear" w:pos="3977"/>
          <w:tab w:val="num" w:pos="567"/>
          <w:tab w:val="num" w:pos="2069"/>
          <w:tab w:val="num" w:pos="2275"/>
        </w:tabs>
        <w:spacing w:before="120" w:after="0" w:line="240" w:lineRule="auto"/>
        <w:ind w:left="993" w:hanging="709"/>
        <w:jc w:val="both"/>
        <w:rPr>
          <w:rFonts w:ascii="Times New Roman" w:eastAsia="Times New Roman" w:hAnsi="Times New Roman" w:cs="Times New Roman"/>
          <w:b/>
          <w:bCs/>
        </w:rPr>
      </w:pPr>
      <w:r>
        <w:rPr>
          <w:rFonts w:ascii="Times New Roman" w:eastAsia="Times New Roman" w:hAnsi="Times New Roman" w:cs="Times New Roman"/>
          <w:b/>
          <w:bCs/>
        </w:rPr>
        <w:t>Kötelező irodalom:</w:t>
      </w:r>
    </w:p>
    <w:p w:rsidR="009B01B1" w:rsidRDefault="009B01B1" w:rsidP="00C14833">
      <w:pPr>
        <w:widowControl w:val="0"/>
        <w:numPr>
          <w:ilvl w:val="0"/>
          <w:numId w:val="141"/>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Lovász Zoltán: A harc-hadművelet logisztikai támogatása II. (ZMNE Egyetemi jegyzet, Budapest, 2006.)</w:t>
      </w:r>
    </w:p>
    <w:p w:rsidR="009B01B1" w:rsidRDefault="009B01B1" w:rsidP="00C14833">
      <w:pPr>
        <w:widowControl w:val="0"/>
        <w:numPr>
          <w:ilvl w:val="0"/>
          <w:numId w:val="141"/>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Fodor József: A dandár védelme (ZMNE jegyzet Budapest, 2001., nyt. szám: 952/323)</w:t>
      </w:r>
    </w:p>
    <w:p w:rsidR="009B01B1" w:rsidRDefault="009B01B1" w:rsidP="00C14833">
      <w:pPr>
        <w:widowControl w:val="0"/>
        <w:numPr>
          <w:ilvl w:val="0"/>
          <w:numId w:val="141"/>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MC 319/2 A NATO logisztikai alap-és irányelvei (MH ÖLTP kiadványa, Budapest, 2005.)</w:t>
      </w:r>
    </w:p>
    <w:p w:rsidR="009B01B1" w:rsidRDefault="009B01B1" w:rsidP="00C14833">
      <w:pPr>
        <w:widowControl w:val="0"/>
        <w:numPr>
          <w:ilvl w:val="0"/>
          <w:numId w:val="141"/>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Harcászati mappa alegység-parancsnokok részére (nyt. szám: 1024/762)</w:t>
      </w:r>
    </w:p>
    <w:p w:rsidR="009B01B1" w:rsidRDefault="009B01B1" w:rsidP="00C14833">
      <w:pPr>
        <w:widowControl w:val="0"/>
        <w:numPr>
          <w:ilvl w:val="0"/>
          <w:numId w:val="141"/>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Törzsek szervezete és tevékenysége (nyt. szám: 1024/755)</w:t>
      </w:r>
    </w:p>
    <w:p w:rsidR="009B01B1" w:rsidRDefault="009B01B1" w:rsidP="00C14833">
      <w:pPr>
        <w:widowControl w:val="0"/>
        <w:numPr>
          <w:ilvl w:val="1"/>
          <w:numId w:val="140"/>
        </w:numPr>
        <w:tabs>
          <w:tab w:val="clear" w:pos="3977"/>
          <w:tab w:val="num" w:pos="567"/>
          <w:tab w:val="num" w:pos="2069"/>
          <w:tab w:val="num" w:pos="2275"/>
        </w:tabs>
        <w:spacing w:before="120" w:after="0" w:line="240" w:lineRule="auto"/>
        <w:ind w:left="993" w:hanging="709"/>
        <w:jc w:val="both"/>
        <w:rPr>
          <w:rFonts w:ascii="Times New Roman" w:eastAsia="Times New Roman" w:hAnsi="Times New Roman" w:cs="Times New Roman"/>
          <w:b/>
          <w:bCs/>
        </w:rPr>
      </w:pPr>
      <w:r>
        <w:rPr>
          <w:rFonts w:ascii="Times New Roman" w:eastAsia="Times New Roman" w:hAnsi="Times New Roman" w:cs="Times New Roman"/>
          <w:b/>
          <w:bCs/>
        </w:rPr>
        <w:t>Ajánlott irodalom:</w:t>
      </w:r>
    </w:p>
    <w:p w:rsidR="009B01B1" w:rsidRPr="004E0714" w:rsidRDefault="009B01B1" w:rsidP="00C14833">
      <w:pPr>
        <w:pStyle w:val="Listaszerbekezds"/>
        <w:widowControl w:val="0"/>
        <w:numPr>
          <w:ilvl w:val="0"/>
          <w:numId w:val="142"/>
        </w:numPr>
        <w:spacing w:after="0" w:line="240" w:lineRule="auto"/>
        <w:jc w:val="both"/>
        <w:rPr>
          <w:rFonts w:ascii="Times New Roman" w:eastAsia="Times New Roman" w:hAnsi="Times New Roman" w:cs="Times New Roman"/>
        </w:rPr>
      </w:pPr>
      <w:r w:rsidRPr="004E0714">
        <w:rPr>
          <w:rFonts w:ascii="Times New Roman" w:eastAsia="Times New Roman" w:hAnsi="Times New Roman" w:cs="Times New Roman"/>
        </w:rPr>
        <w:t>Hajdú István: Harci okmányok rendeltetése, felosztása, tartalma és elkészítésük elvei (ZMNE jegyzet Budapest, 1996., nyt.szám: 734/734)</w:t>
      </w:r>
    </w:p>
    <w:p w:rsidR="009B01B1" w:rsidRPr="004E0714" w:rsidRDefault="009B01B1" w:rsidP="00C14833">
      <w:pPr>
        <w:pStyle w:val="Listaszerbekezds"/>
        <w:widowControl w:val="0"/>
        <w:numPr>
          <w:ilvl w:val="0"/>
          <w:numId w:val="142"/>
        </w:numPr>
        <w:spacing w:after="0" w:line="240" w:lineRule="auto"/>
        <w:jc w:val="both"/>
        <w:rPr>
          <w:rFonts w:ascii="Times New Roman" w:eastAsia="Times New Roman" w:hAnsi="Times New Roman" w:cs="Times New Roman"/>
        </w:rPr>
      </w:pPr>
      <w:r w:rsidRPr="004E0714">
        <w:rPr>
          <w:rFonts w:ascii="Times New Roman" w:eastAsia="Times New Roman" w:hAnsi="Times New Roman" w:cs="Times New Roman"/>
        </w:rPr>
        <w:t xml:space="preserve">APP-6 A Földi telepítésű katonai rendszerek grafikai jelei </w:t>
      </w:r>
    </w:p>
    <w:p w:rsidR="009B01B1" w:rsidRPr="004E0714" w:rsidRDefault="009B01B1" w:rsidP="00C14833">
      <w:pPr>
        <w:pStyle w:val="Listaszerbekezds"/>
        <w:widowControl w:val="0"/>
        <w:numPr>
          <w:ilvl w:val="0"/>
          <w:numId w:val="142"/>
        </w:numPr>
        <w:spacing w:after="0" w:line="240" w:lineRule="auto"/>
        <w:jc w:val="both"/>
        <w:rPr>
          <w:rFonts w:ascii="Times New Roman" w:eastAsia="Times New Roman" w:hAnsi="Times New Roman" w:cs="Times New Roman"/>
        </w:rPr>
      </w:pPr>
      <w:r w:rsidRPr="004E0714">
        <w:rPr>
          <w:rFonts w:ascii="Times New Roman" w:eastAsia="Times New Roman" w:hAnsi="Times New Roman" w:cs="Times New Roman"/>
        </w:rPr>
        <w:t>A gépesített lövészdandár harci alkalmazásának elvei (doktrína tervezet) nyt. szám: 1381/71</w:t>
      </w:r>
    </w:p>
    <w:p w:rsidR="009B01B1" w:rsidRPr="004E0714" w:rsidRDefault="009B01B1" w:rsidP="00C14833">
      <w:pPr>
        <w:pStyle w:val="Listaszerbekezds"/>
        <w:widowControl w:val="0"/>
        <w:numPr>
          <w:ilvl w:val="0"/>
          <w:numId w:val="142"/>
        </w:numPr>
        <w:spacing w:after="0" w:line="240" w:lineRule="auto"/>
        <w:jc w:val="both"/>
        <w:rPr>
          <w:rFonts w:ascii="Times New Roman" w:eastAsia="Times New Roman" w:hAnsi="Times New Roman" w:cs="Times New Roman"/>
        </w:rPr>
      </w:pPr>
      <w:r w:rsidRPr="004E0714">
        <w:rPr>
          <w:rFonts w:ascii="Times New Roman" w:eastAsia="Times New Roman" w:hAnsi="Times New Roman" w:cs="Times New Roman"/>
        </w:rPr>
        <w:t xml:space="preserve">AJP-4 (B) Szövetséges Összhaderőnemi Logisztikai Doktrína </w:t>
      </w:r>
    </w:p>
    <w:p w:rsidR="009B01B1" w:rsidRPr="004E0714" w:rsidRDefault="009B01B1" w:rsidP="00C14833">
      <w:pPr>
        <w:pStyle w:val="Listaszerbekezds"/>
        <w:widowControl w:val="0"/>
        <w:numPr>
          <w:ilvl w:val="0"/>
          <w:numId w:val="142"/>
        </w:numPr>
        <w:spacing w:after="0" w:line="240" w:lineRule="auto"/>
        <w:jc w:val="both"/>
        <w:rPr>
          <w:rFonts w:ascii="Times New Roman" w:eastAsia="Times New Roman" w:hAnsi="Times New Roman" w:cs="Times New Roman"/>
        </w:rPr>
      </w:pPr>
      <w:r w:rsidRPr="004E0714">
        <w:rPr>
          <w:rFonts w:ascii="Times New Roman" w:eastAsia="Times New Roman" w:hAnsi="Times New Roman" w:cs="Times New Roman"/>
        </w:rPr>
        <w:t>Báthy Sándor, Horváth Attila, Labancz Sándor: A lövészdandár harc- és harccal kapcsolatos tevékenységeinek logisztikai támogatása, Dialóg Campus Kiadó 2016, ISBN978-615-5680-22-9</w:t>
      </w:r>
    </w:p>
    <w:p w:rsidR="009B01B1" w:rsidRDefault="009B01B1" w:rsidP="009B01B1">
      <w:pPr>
        <w:widowControl w:val="0"/>
        <w:spacing w:before="120" w:after="120" w:line="240" w:lineRule="auto"/>
        <w:jc w:val="both"/>
        <w:rPr>
          <w:rFonts w:ascii="Times New Roman" w:eastAsia="Times New Roman" w:hAnsi="Times New Roman" w:cs="Times New Roman"/>
          <w:bCs/>
        </w:rPr>
      </w:pPr>
      <w:r>
        <w:rPr>
          <w:rFonts w:ascii="Times New Roman" w:eastAsia="Times New Roman" w:hAnsi="Times New Roman" w:cs="Times New Roman"/>
          <w:bCs/>
        </w:rPr>
        <w:t>Budapest, 2020. január 14.</w:t>
      </w:r>
    </w:p>
    <w:p w:rsidR="006708B2" w:rsidRDefault="006708B2" w:rsidP="009B01B1">
      <w:pPr>
        <w:widowControl w:val="0"/>
        <w:spacing w:before="120" w:after="120" w:line="240" w:lineRule="auto"/>
        <w:jc w:val="both"/>
        <w:rPr>
          <w:rFonts w:ascii="Times New Roman" w:eastAsia="Times New Roman" w:hAnsi="Times New Roman" w:cs="Times New Roman"/>
          <w:bCs/>
        </w:rPr>
      </w:pPr>
    </w:p>
    <w:p w:rsidR="009B01B1" w:rsidRDefault="009B01B1" w:rsidP="009B01B1">
      <w:pPr>
        <w:widowControl w:val="0"/>
        <w:spacing w:after="0" w:line="240" w:lineRule="auto"/>
        <w:ind w:left="5664" w:firstLine="708"/>
        <w:jc w:val="center"/>
        <w:rPr>
          <w:rFonts w:ascii="Times New Roman" w:hAnsi="Times New Roman" w:cs="Times New Roman"/>
          <w:b/>
          <w:bCs/>
        </w:rPr>
      </w:pPr>
      <w:r>
        <w:rPr>
          <w:rFonts w:ascii="Times New Roman" w:hAnsi="Times New Roman" w:cs="Times New Roman"/>
          <w:b/>
          <w:bCs/>
        </w:rPr>
        <w:t xml:space="preserve">   Dr. Pohl Árpád (PhD)</w:t>
      </w:r>
    </w:p>
    <w:p w:rsidR="009B01B1" w:rsidRDefault="009B01B1" w:rsidP="009B01B1">
      <w:pPr>
        <w:widowControl w:val="0"/>
        <w:spacing w:after="0" w:line="240" w:lineRule="auto"/>
        <w:jc w:val="right"/>
        <w:rPr>
          <w:rFonts w:ascii="Times New Roman" w:hAnsi="Times New Roman" w:cs="Times New Roman"/>
          <w:b/>
          <w:bCs/>
        </w:rPr>
      </w:pPr>
      <w:r>
        <w:rPr>
          <w:rFonts w:ascii="Times New Roman" w:hAnsi="Times New Roman" w:cs="Times New Roman"/>
          <w:bCs/>
        </w:rPr>
        <w:t>dékán, egyetemi docens s.k.</w:t>
      </w:r>
    </w:p>
    <w:p w:rsidR="00A065A5" w:rsidRDefault="00A065A5">
      <w:r>
        <w:br w:type="page"/>
      </w:r>
    </w:p>
    <w:tbl>
      <w:tblPr>
        <w:tblW w:w="11669" w:type="dxa"/>
        <w:tblInd w:w="113" w:type="dxa"/>
        <w:tblLook w:val="01E0" w:firstRow="1" w:lastRow="1" w:firstColumn="1" w:lastColumn="1" w:noHBand="0" w:noVBand="0"/>
      </w:tblPr>
      <w:tblGrid>
        <w:gridCol w:w="4855"/>
        <w:gridCol w:w="1620"/>
        <w:gridCol w:w="2597"/>
        <w:gridCol w:w="2597"/>
      </w:tblGrid>
      <w:tr w:rsidR="00DF04E7" w:rsidRPr="00DF04E7" w:rsidTr="00DF04E7">
        <w:tc>
          <w:tcPr>
            <w:tcW w:w="4855" w:type="dxa"/>
            <w:tcBorders>
              <w:top w:val="nil"/>
              <w:left w:val="nil"/>
              <w:bottom w:val="single" w:sz="4" w:space="0" w:color="auto"/>
              <w:right w:val="nil"/>
            </w:tcBorders>
            <w:hideMark/>
          </w:tcPr>
          <w:p w:rsidR="00DF04E7" w:rsidRPr="00DF04E7" w:rsidRDefault="00DF04E7" w:rsidP="00DF04E7">
            <w:pPr>
              <w:spacing w:after="0" w:line="240" w:lineRule="auto"/>
              <w:jc w:val="center"/>
              <w:rPr>
                <w:rFonts w:ascii="Times New Roman" w:eastAsia="Times New Roman" w:hAnsi="Times New Roman" w:cs="Times New Roman"/>
                <w:b/>
                <w:smallCaps/>
                <w:lang w:eastAsia="hu-HU"/>
              </w:rPr>
            </w:pPr>
            <w:r w:rsidRPr="00DF04E7">
              <w:rPr>
                <w:rFonts w:ascii="Times New Roman" w:eastAsia="Times New Roman" w:hAnsi="Times New Roman" w:cs="Times New Roman"/>
                <w:b/>
                <w:smallCaps/>
                <w:lang w:eastAsia="hu-HU"/>
              </w:rPr>
              <w:lastRenderedPageBreak/>
              <w:t>Nemzeti Közszolgálati Egyetem</w:t>
            </w:r>
          </w:p>
        </w:tc>
        <w:tc>
          <w:tcPr>
            <w:tcW w:w="1620" w:type="dxa"/>
          </w:tcPr>
          <w:p w:rsidR="00DF04E7" w:rsidRPr="00DF04E7" w:rsidRDefault="00DF04E7" w:rsidP="00DF04E7">
            <w:pPr>
              <w:spacing w:after="0" w:line="240" w:lineRule="auto"/>
              <w:jc w:val="both"/>
              <w:rPr>
                <w:rFonts w:ascii="Times New Roman" w:eastAsia="Times New Roman" w:hAnsi="Times New Roman" w:cs="Times New Roman"/>
                <w:lang w:eastAsia="hu-HU"/>
              </w:rPr>
            </w:pPr>
          </w:p>
        </w:tc>
        <w:tc>
          <w:tcPr>
            <w:tcW w:w="2597" w:type="dxa"/>
          </w:tcPr>
          <w:p w:rsidR="00DF04E7" w:rsidRPr="00DF04E7" w:rsidRDefault="00DF04E7" w:rsidP="00DF04E7">
            <w:pPr>
              <w:spacing w:after="0" w:line="240" w:lineRule="auto"/>
              <w:jc w:val="right"/>
              <w:rPr>
                <w:rFonts w:ascii="Times New Roman" w:eastAsia="Times New Roman" w:hAnsi="Times New Roman" w:cs="Times New Roman"/>
                <w:lang w:eastAsia="hu-HU"/>
              </w:rPr>
            </w:pPr>
          </w:p>
        </w:tc>
        <w:tc>
          <w:tcPr>
            <w:tcW w:w="2597" w:type="dxa"/>
          </w:tcPr>
          <w:p w:rsidR="00DF04E7" w:rsidRPr="00DF04E7" w:rsidRDefault="00DF04E7" w:rsidP="00DF04E7">
            <w:pPr>
              <w:spacing w:after="0" w:line="240" w:lineRule="auto"/>
              <w:jc w:val="right"/>
              <w:rPr>
                <w:rFonts w:ascii="Times New Roman" w:eastAsia="Times New Roman" w:hAnsi="Times New Roman" w:cs="Times New Roman"/>
                <w:lang w:eastAsia="hu-HU"/>
              </w:rPr>
            </w:pPr>
          </w:p>
        </w:tc>
      </w:tr>
      <w:tr w:rsidR="00DF04E7" w:rsidRPr="00DF04E7" w:rsidTr="00DF04E7">
        <w:tc>
          <w:tcPr>
            <w:tcW w:w="4855" w:type="dxa"/>
            <w:tcBorders>
              <w:top w:val="single" w:sz="4" w:space="0" w:color="auto"/>
              <w:left w:val="nil"/>
              <w:bottom w:val="nil"/>
              <w:right w:val="nil"/>
            </w:tcBorders>
            <w:hideMark/>
          </w:tcPr>
          <w:p w:rsidR="00DF04E7" w:rsidRPr="00DF04E7" w:rsidRDefault="00DF04E7" w:rsidP="00DF04E7">
            <w:pPr>
              <w:spacing w:after="0" w:line="240" w:lineRule="auto"/>
              <w:jc w:val="center"/>
              <w:rPr>
                <w:rFonts w:ascii="Times New Roman" w:eastAsia="Times New Roman" w:hAnsi="Times New Roman" w:cs="Times New Roman"/>
                <w:b/>
                <w:lang w:eastAsia="hu-HU"/>
              </w:rPr>
            </w:pPr>
            <w:r w:rsidRPr="00DF04E7">
              <w:rPr>
                <w:rFonts w:ascii="Times New Roman" w:hAnsi="Times New Roman" w:cs="Times New Roman"/>
                <w:b/>
              </w:rPr>
              <w:t>Hadtudományi és Honvédtisztképző Kar</w:t>
            </w:r>
          </w:p>
        </w:tc>
        <w:tc>
          <w:tcPr>
            <w:tcW w:w="1620" w:type="dxa"/>
          </w:tcPr>
          <w:p w:rsidR="00DF04E7" w:rsidRPr="00DF04E7" w:rsidRDefault="00DF04E7" w:rsidP="00DF04E7">
            <w:pPr>
              <w:spacing w:after="0" w:line="240" w:lineRule="auto"/>
              <w:jc w:val="both"/>
              <w:rPr>
                <w:rFonts w:ascii="Times New Roman" w:eastAsia="Times New Roman" w:hAnsi="Times New Roman" w:cs="Times New Roman"/>
                <w:lang w:eastAsia="hu-HU"/>
              </w:rPr>
            </w:pPr>
          </w:p>
        </w:tc>
        <w:tc>
          <w:tcPr>
            <w:tcW w:w="2597" w:type="dxa"/>
          </w:tcPr>
          <w:p w:rsidR="00DF04E7" w:rsidRPr="00DF04E7" w:rsidRDefault="00DF04E7" w:rsidP="00DF04E7">
            <w:pPr>
              <w:spacing w:after="0" w:line="240" w:lineRule="auto"/>
              <w:jc w:val="both"/>
              <w:rPr>
                <w:rFonts w:ascii="Times New Roman" w:eastAsia="Times New Roman" w:hAnsi="Times New Roman" w:cs="Times New Roman"/>
                <w:lang w:eastAsia="hu-HU"/>
              </w:rPr>
            </w:pPr>
          </w:p>
        </w:tc>
        <w:tc>
          <w:tcPr>
            <w:tcW w:w="2597" w:type="dxa"/>
          </w:tcPr>
          <w:p w:rsidR="00DF04E7" w:rsidRPr="00DF04E7" w:rsidRDefault="00DF04E7" w:rsidP="00DF04E7">
            <w:pPr>
              <w:spacing w:after="0" w:line="240" w:lineRule="auto"/>
              <w:jc w:val="both"/>
              <w:rPr>
                <w:rFonts w:ascii="Times New Roman" w:eastAsia="Times New Roman" w:hAnsi="Times New Roman" w:cs="Times New Roman"/>
                <w:lang w:eastAsia="hu-HU"/>
              </w:rPr>
            </w:pPr>
          </w:p>
        </w:tc>
      </w:tr>
    </w:tbl>
    <w:p w:rsidR="00DF04E7" w:rsidRPr="00DF04E7" w:rsidRDefault="00DF04E7" w:rsidP="00DF04E7">
      <w:pPr>
        <w:widowControl w:val="0"/>
        <w:spacing w:before="120" w:after="120" w:line="240" w:lineRule="auto"/>
        <w:ind w:left="426" w:hanging="142"/>
        <w:jc w:val="center"/>
        <w:rPr>
          <w:rFonts w:ascii="Times New Roman" w:eastAsia="Times New Roman" w:hAnsi="Times New Roman" w:cs="Times New Roman"/>
          <w:b/>
          <w:bCs/>
        </w:rPr>
      </w:pPr>
    </w:p>
    <w:p w:rsidR="00DF04E7" w:rsidRPr="00DF04E7" w:rsidRDefault="00DF04E7" w:rsidP="00DF04E7">
      <w:pPr>
        <w:widowControl w:val="0"/>
        <w:spacing w:before="120" w:after="120" w:line="240" w:lineRule="auto"/>
        <w:ind w:left="426" w:hanging="142"/>
        <w:jc w:val="center"/>
        <w:rPr>
          <w:rFonts w:ascii="Times New Roman" w:eastAsia="Times New Roman" w:hAnsi="Times New Roman" w:cs="Times New Roman"/>
          <w:b/>
          <w:bCs/>
        </w:rPr>
      </w:pPr>
      <w:r w:rsidRPr="00DF04E7">
        <w:rPr>
          <w:rFonts w:ascii="Times New Roman" w:eastAsia="Times New Roman" w:hAnsi="Times New Roman" w:cs="Times New Roman"/>
          <w:b/>
          <w:bCs/>
        </w:rPr>
        <w:t>TANTÁRGYI PROGRAM</w:t>
      </w:r>
    </w:p>
    <w:p w:rsidR="00DF04E7" w:rsidRPr="00DF04E7" w:rsidRDefault="00DF04E7" w:rsidP="00C14833">
      <w:pPr>
        <w:widowControl w:val="0"/>
        <w:numPr>
          <w:ilvl w:val="0"/>
          <w:numId w:val="151"/>
        </w:numPr>
        <w:spacing w:before="120" w:after="120" w:line="240" w:lineRule="auto"/>
        <w:ind w:left="426" w:hanging="142"/>
        <w:jc w:val="both"/>
        <w:rPr>
          <w:rFonts w:ascii="Times New Roman" w:eastAsia="Times New Roman" w:hAnsi="Times New Roman" w:cs="Times New Roman"/>
          <w:bCs/>
        </w:rPr>
      </w:pPr>
      <w:r w:rsidRPr="00DF04E7">
        <w:rPr>
          <w:rFonts w:ascii="Times New Roman" w:eastAsia="Times New Roman" w:hAnsi="Times New Roman" w:cs="Times New Roman"/>
          <w:b/>
          <w:bCs/>
        </w:rPr>
        <w:t xml:space="preserve">A tantárgy kódja: </w:t>
      </w:r>
      <w:r w:rsidRPr="00DF04E7">
        <w:rPr>
          <w:rFonts w:ascii="Times New Roman" w:hAnsi="Times New Roman" w:cs="Times New Roman"/>
          <w:bCs/>
        </w:rPr>
        <w:t>HKTSKA01</w:t>
      </w:r>
    </w:p>
    <w:p w:rsidR="00DF04E7" w:rsidRPr="00DF04E7" w:rsidRDefault="00DF04E7" w:rsidP="00C14833">
      <w:pPr>
        <w:widowControl w:val="0"/>
        <w:numPr>
          <w:ilvl w:val="0"/>
          <w:numId w:val="151"/>
        </w:numPr>
        <w:spacing w:before="120" w:after="120" w:line="240" w:lineRule="auto"/>
        <w:ind w:left="426" w:hanging="142"/>
        <w:jc w:val="both"/>
        <w:rPr>
          <w:rFonts w:ascii="Times New Roman" w:eastAsia="Times New Roman" w:hAnsi="Times New Roman" w:cs="Times New Roman"/>
          <w:b/>
          <w:bCs/>
          <w:lang w:val="en-GB"/>
        </w:rPr>
      </w:pPr>
      <w:r w:rsidRPr="00DF04E7">
        <w:rPr>
          <w:rFonts w:ascii="Times New Roman" w:eastAsia="Times New Roman" w:hAnsi="Times New Roman" w:cs="Times New Roman"/>
          <w:b/>
          <w:bCs/>
        </w:rPr>
        <w:t>A tantárgy megnevezése (magyarul):</w:t>
      </w:r>
      <w:r w:rsidRPr="00DF04E7">
        <w:rPr>
          <w:rFonts w:ascii="Times New Roman" w:eastAsia="Times New Roman" w:hAnsi="Times New Roman" w:cs="Times New Roman"/>
          <w:bCs/>
        </w:rPr>
        <w:t xml:space="preserve"> </w:t>
      </w:r>
      <w:r w:rsidRPr="00DF04E7">
        <w:rPr>
          <w:rFonts w:ascii="Times New Roman" w:hAnsi="Times New Roman" w:cs="Times New Roman"/>
          <w:bCs/>
        </w:rPr>
        <w:t xml:space="preserve">Katonai testnevelés I. </w:t>
      </w:r>
    </w:p>
    <w:p w:rsidR="00DF04E7" w:rsidRPr="00DF04E7" w:rsidRDefault="00DF04E7" w:rsidP="00C14833">
      <w:pPr>
        <w:widowControl w:val="0"/>
        <w:numPr>
          <w:ilvl w:val="0"/>
          <w:numId w:val="151"/>
        </w:numPr>
        <w:spacing w:before="120" w:after="120" w:line="240" w:lineRule="auto"/>
        <w:ind w:left="426" w:hanging="142"/>
        <w:jc w:val="both"/>
        <w:rPr>
          <w:rFonts w:ascii="Times New Roman" w:eastAsia="Times New Roman" w:hAnsi="Times New Roman" w:cs="Times New Roman"/>
          <w:b/>
          <w:bCs/>
          <w:lang w:val="en-GB"/>
        </w:rPr>
      </w:pPr>
      <w:r w:rsidRPr="00DF04E7">
        <w:rPr>
          <w:rFonts w:ascii="Times New Roman" w:eastAsia="Times New Roman" w:hAnsi="Times New Roman" w:cs="Times New Roman"/>
          <w:b/>
          <w:bCs/>
        </w:rPr>
        <w:t xml:space="preserve">A tantárgy megnevezése (angolul): </w:t>
      </w:r>
      <w:r w:rsidRPr="00DF04E7">
        <w:rPr>
          <w:rFonts w:ascii="Times New Roman" w:hAnsi="Times New Roman" w:cs="Times New Roman"/>
          <w:bCs/>
        </w:rPr>
        <w:t>Military Physical Education I.</w:t>
      </w:r>
      <w:r w:rsidRPr="00DF04E7">
        <w:rPr>
          <w:rFonts w:ascii="Times New Roman" w:eastAsia="Times New Roman" w:hAnsi="Times New Roman" w:cs="Times New Roman"/>
          <w:bCs/>
          <w:highlight w:val="lightGray"/>
        </w:rPr>
        <w:t xml:space="preserve"> </w:t>
      </w:r>
    </w:p>
    <w:p w:rsidR="00DF04E7" w:rsidRPr="00DF04E7" w:rsidRDefault="00DF04E7" w:rsidP="00C14833">
      <w:pPr>
        <w:widowControl w:val="0"/>
        <w:numPr>
          <w:ilvl w:val="0"/>
          <w:numId w:val="151"/>
        </w:numPr>
        <w:spacing w:before="120" w:after="120" w:line="240" w:lineRule="auto"/>
        <w:ind w:left="426" w:hanging="142"/>
        <w:jc w:val="both"/>
        <w:rPr>
          <w:rFonts w:ascii="Times New Roman" w:eastAsia="Times New Roman" w:hAnsi="Times New Roman" w:cs="Times New Roman"/>
          <w:b/>
          <w:bCs/>
        </w:rPr>
      </w:pPr>
      <w:r w:rsidRPr="00DF04E7">
        <w:rPr>
          <w:rFonts w:ascii="Times New Roman" w:eastAsia="Times New Roman" w:hAnsi="Times New Roman" w:cs="Times New Roman"/>
          <w:b/>
          <w:bCs/>
        </w:rPr>
        <w:t xml:space="preserve">Kreditérték és képzési karakter: </w:t>
      </w:r>
    </w:p>
    <w:p w:rsidR="00DF04E7" w:rsidRPr="00DF04E7" w:rsidRDefault="00DF04E7" w:rsidP="00C14833">
      <w:pPr>
        <w:pStyle w:val="Listaszerbekezds"/>
        <w:widowControl w:val="0"/>
        <w:numPr>
          <w:ilvl w:val="1"/>
          <w:numId w:val="151"/>
        </w:numPr>
        <w:spacing w:before="120" w:after="120" w:line="240" w:lineRule="auto"/>
        <w:ind w:left="993" w:hanging="426"/>
        <w:jc w:val="both"/>
        <w:rPr>
          <w:rFonts w:ascii="Times New Roman" w:eastAsia="Times New Roman" w:hAnsi="Times New Roman" w:cs="Times New Roman"/>
          <w:b/>
          <w:bCs/>
        </w:rPr>
      </w:pPr>
      <w:r w:rsidRPr="00DF04E7">
        <w:rPr>
          <w:rFonts w:ascii="Times New Roman" w:eastAsia="Times New Roman" w:hAnsi="Times New Roman" w:cs="Times New Roman"/>
          <w:bCs/>
        </w:rPr>
        <w:t>2 kredit</w:t>
      </w:r>
    </w:p>
    <w:p w:rsidR="00DF04E7" w:rsidRPr="00DF04E7" w:rsidRDefault="00DF04E7" w:rsidP="00C14833">
      <w:pPr>
        <w:pStyle w:val="Listaszerbekezds"/>
        <w:widowControl w:val="0"/>
        <w:numPr>
          <w:ilvl w:val="1"/>
          <w:numId w:val="151"/>
        </w:numPr>
        <w:spacing w:before="120" w:after="120" w:line="240" w:lineRule="auto"/>
        <w:ind w:left="993" w:hanging="426"/>
        <w:jc w:val="both"/>
        <w:rPr>
          <w:rFonts w:ascii="Times New Roman" w:eastAsia="Times New Roman" w:hAnsi="Times New Roman" w:cs="Times New Roman"/>
          <w:b/>
          <w:bCs/>
        </w:rPr>
      </w:pPr>
      <w:r w:rsidRPr="00DF04E7">
        <w:rPr>
          <w:rFonts w:ascii="Times New Roman" w:eastAsia="Times New Roman" w:hAnsi="Times New Roman" w:cs="Times New Roman"/>
          <w:bCs/>
        </w:rPr>
        <w:t>a tantárgy elméleti vagy gyakorlati jellegének mértéke</w:t>
      </w:r>
      <w:r w:rsidRPr="00DF04E7">
        <w:rPr>
          <w:rFonts w:ascii="Times New Roman" w:eastAsia="Times New Roman" w:hAnsi="Times New Roman" w:cs="Times New Roman"/>
          <w:b/>
          <w:bCs/>
        </w:rPr>
        <w:t>:</w:t>
      </w:r>
      <w:r w:rsidRPr="00DF04E7">
        <w:rPr>
          <w:rFonts w:ascii="Times New Roman" w:eastAsia="Times New Roman" w:hAnsi="Times New Roman" w:cs="Times New Roman"/>
          <w:bCs/>
        </w:rPr>
        <w:t xml:space="preserve"> 100</w:t>
      </w:r>
      <w:r w:rsidRPr="00DF04E7">
        <w:rPr>
          <w:rFonts w:ascii="Times New Roman" w:eastAsia="Times New Roman" w:hAnsi="Times New Roman" w:cs="Times New Roman"/>
          <w:b/>
          <w:bCs/>
        </w:rPr>
        <w:t xml:space="preserve"> </w:t>
      </w:r>
      <w:r w:rsidRPr="00DF04E7">
        <w:rPr>
          <w:rFonts w:ascii="Times New Roman" w:eastAsia="Times New Roman" w:hAnsi="Times New Roman" w:cs="Times New Roman"/>
          <w:bCs/>
        </w:rPr>
        <w:t xml:space="preserve">% gyakorlat, </w:t>
      </w:r>
    </w:p>
    <w:p w:rsidR="00DF04E7" w:rsidRPr="00DF04E7" w:rsidRDefault="00DF04E7" w:rsidP="00C14833">
      <w:pPr>
        <w:widowControl w:val="0"/>
        <w:numPr>
          <w:ilvl w:val="0"/>
          <w:numId w:val="151"/>
        </w:numPr>
        <w:spacing w:before="120" w:after="120" w:line="240" w:lineRule="auto"/>
        <w:ind w:left="426" w:hanging="142"/>
        <w:jc w:val="both"/>
        <w:rPr>
          <w:rFonts w:ascii="Times New Roman" w:eastAsia="Times New Roman" w:hAnsi="Times New Roman" w:cs="Times New Roman"/>
          <w:bCs/>
        </w:rPr>
      </w:pPr>
      <w:r w:rsidRPr="00DF04E7">
        <w:rPr>
          <w:rFonts w:ascii="Times New Roman" w:eastAsia="Times New Roman" w:hAnsi="Times New Roman" w:cs="Times New Roman"/>
          <w:b/>
          <w:bCs/>
        </w:rPr>
        <w:t xml:space="preserve">A szak(ok), szakirányok/specializációk megnevezése (ahol oktatják): </w:t>
      </w:r>
      <w:r w:rsidRPr="00DF04E7">
        <w:rPr>
          <w:rFonts w:ascii="Times New Roman" w:hAnsi="Times New Roman" w:cs="Times New Roman"/>
          <w:bCs/>
        </w:rPr>
        <w:t>Katonai Vezetői, Katonai Üzemeltetés, Katonai Logisztika és Állami Légiközlekedési alapképzési szakokon.</w:t>
      </w:r>
      <w:r w:rsidRPr="00DF04E7">
        <w:rPr>
          <w:rFonts w:ascii="Times New Roman" w:eastAsia="Times New Roman" w:hAnsi="Times New Roman" w:cs="Times New Roman"/>
          <w:bCs/>
          <w:highlight w:val="lightGray"/>
        </w:rPr>
        <w:t xml:space="preserve"> </w:t>
      </w:r>
    </w:p>
    <w:p w:rsidR="00DF04E7" w:rsidRPr="00DF04E7" w:rsidRDefault="00DF04E7" w:rsidP="00C14833">
      <w:pPr>
        <w:pStyle w:val="lfej1"/>
        <w:numPr>
          <w:ilvl w:val="0"/>
          <w:numId w:val="151"/>
        </w:numPr>
        <w:tabs>
          <w:tab w:val="right" w:pos="900"/>
        </w:tabs>
        <w:spacing w:before="120"/>
        <w:ind w:left="426" w:hanging="142"/>
        <w:jc w:val="both"/>
        <w:rPr>
          <w:rFonts w:eastAsiaTheme="minorHAnsi"/>
          <w:bCs/>
          <w:sz w:val="22"/>
          <w:szCs w:val="22"/>
        </w:rPr>
      </w:pPr>
      <w:r w:rsidRPr="00DF04E7">
        <w:rPr>
          <w:b/>
          <w:bCs/>
          <w:sz w:val="22"/>
          <w:szCs w:val="22"/>
        </w:rPr>
        <w:t xml:space="preserve">Az oktatásért felelős oktatási szervezeti egység megnevezése: </w:t>
      </w:r>
      <w:r w:rsidRPr="00DF04E7">
        <w:rPr>
          <w:bCs/>
          <w:sz w:val="22"/>
          <w:szCs w:val="22"/>
        </w:rPr>
        <w:t>Katonai Testnevelési és Sportközpont</w:t>
      </w:r>
    </w:p>
    <w:p w:rsidR="00DF04E7" w:rsidRPr="00DF04E7" w:rsidRDefault="00DF04E7" w:rsidP="00C14833">
      <w:pPr>
        <w:pStyle w:val="lfej1"/>
        <w:numPr>
          <w:ilvl w:val="0"/>
          <w:numId w:val="151"/>
        </w:numPr>
        <w:tabs>
          <w:tab w:val="right" w:pos="900"/>
        </w:tabs>
        <w:spacing w:before="120"/>
        <w:ind w:left="426" w:hanging="142"/>
        <w:jc w:val="both"/>
        <w:rPr>
          <w:bCs/>
          <w:sz w:val="22"/>
          <w:szCs w:val="22"/>
        </w:rPr>
      </w:pPr>
      <w:r w:rsidRPr="00DF04E7">
        <w:rPr>
          <w:b/>
          <w:bCs/>
          <w:sz w:val="22"/>
          <w:szCs w:val="22"/>
        </w:rPr>
        <w:t>A tantárgyfelelős oktató neve, beosztása, tudományos fokozata:</w:t>
      </w:r>
      <w:r w:rsidRPr="00DF04E7">
        <w:rPr>
          <w:bCs/>
          <w:sz w:val="22"/>
          <w:szCs w:val="22"/>
        </w:rPr>
        <w:t xml:space="preserve"> Molnár Imre alezredes Katonai Testnevelési és Sportközpont testnevelő tanár</w:t>
      </w:r>
      <w:r w:rsidRPr="00DF04E7">
        <w:rPr>
          <w:bCs/>
          <w:sz w:val="22"/>
          <w:szCs w:val="22"/>
          <w:highlight w:val="lightGray"/>
        </w:rPr>
        <w:t xml:space="preserve"> </w:t>
      </w:r>
    </w:p>
    <w:p w:rsidR="00DF04E7" w:rsidRPr="00DF04E7" w:rsidRDefault="00DF04E7" w:rsidP="00C14833">
      <w:pPr>
        <w:pStyle w:val="lfej1"/>
        <w:numPr>
          <w:ilvl w:val="0"/>
          <w:numId w:val="151"/>
        </w:numPr>
        <w:tabs>
          <w:tab w:val="right" w:pos="900"/>
        </w:tabs>
        <w:spacing w:before="120"/>
        <w:ind w:left="426" w:hanging="142"/>
        <w:jc w:val="both"/>
        <w:rPr>
          <w:bCs/>
          <w:sz w:val="22"/>
          <w:szCs w:val="22"/>
        </w:rPr>
      </w:pPr>
      <w:r w:rsidRPr="00DF04E7">
        <w:rPr>
          <w:b/>
          <w:bCs/>
          <w:sz w:val="22"/>
          <w:szCs w:val="22"/>
        </w:rPr>
        <w:t>A tanórák száma és típusa</w:t>
      </w:r>
    </w:p>
    <w:p w:rsidR="00DF04E7" w:rsidRPr="00DF04E7" w:rsidRDefault="00DF04E7" w:rsidP="00C14833">
      <w:pPr>
        <w:widowControl w:val="0"/>
        <w:numPr>
          <w:ilvl w:val="1"/>
          <w:numId w:val="151"/>
        </w:numPr>
        <w:tabs>
          <w:tab w:val="num" w:pos="2069"/>
        </w:tabs>
        <w:spacing w:before="120" w:after="0" w:line="240" w:lineRule="auto"/>
        <w:ind w:left="850" w:hanging="425"/>
        <w:jc w:val="both"/>
        <w:rPr>
          <w:rFonts w:ascii="Times New Roman" w:eastAsia="Times New Roman" w:hAnsi="Times New Roman" w:cs="Times New Roman"/>
          <w:bCs/>
        </w:rPr>
      </w:pPr>
      <w:r w:rsidRPr="00DF04E7">
        <w:rPr>
          <w:rFonts w:ascii="Times New Roman" w:eastAsia="Times New Roman" w:hAnsi="Times New Roman" w:cs="Times New Roman"/>
          <w:bCs/>
        </w:rPr>
        <w:t>össz óraszám/félév: 28</w:t>
      </w:r>
    </w:p>
    <w:p w:rsidR="00DF04E7" w:rsidRPr="00DF04E7" w:rsidRDefault="00DF04E7" w:rsidP="00C14833">
      <w:pPr>
        <w:widowControl w:val="0"/>
        <w:numPr>
          <w:ilvl w:val="2"/>
          <w:numId w:val="151"/>
        </w:numPr>
        <w:spacing w:after="0" w:line="240" w:lineRule="auto"/>
        <w:ind w:left="1582" w:hanging="505"/>
        <w:jc w:val="both"/>
        <w:rPr>
          <w:rFonts w:ascii="Times New Roman" w:eastAsia="Times New Roman" w:hAnsi="Times New Roman" w:cs="Times New Roman"/>
          <w:bCs/>
        </w:rPr>
      </w:pPr>
      <w:r w:rsidRPr="00DF04E7">
        <w:rPr>
          <w:rFonts w:ascii="Times New Roman" w:eastAsia="Times New Roman" w:hAnsi="Times New Roman" w:cs="Times New Roman"/>
          <w:bCs/>
        </w:rPr>
        <w:t>nappali munkarend: 28 (0 EA + 0 SZ + 28 GY)</w:t>
      </w:r>
    </w:p>
    <w:p w:rsidR="00DF04E7" w:rsidRPr="00DF04E7" w:rsidRDefault="00DF04E7" w:rsidP="00C14833">
      <w:pPr>
        <w:widowControl w:val="0"/>
        <w:numPr>
          <w:ilvl w:val="2"/>
          <w:numId w:val="151"/>
        </w:numPr>
        <w:spacing w:after="0" w:line="240" w:lineRule="auto"/>
        <w:ind w:left="1582" w:hanging="505"/>
        <w:jc w:val="both"/>
        <w:rPr>
          <w:rFonts w:ascii="Times New Roman" w:eastAsia="Times New Roman" w:hAnsi="Times New Roman" w:cs="Times New Roman"/>
          <w:bCs/>
        </w:rPr>
      </w:pPr>
      <w:r w:rsidRPr="00DF04E7">
        <w:rPr>
          <w:rFonts w:ascii="Times New Roman" w:eastAsia="Times New Roman" w:hAnsi="Times New Roman" w:cs="Times New Roman"/>
          <w:bCs/>
        </w:rPr>
        <w:t>levelező munkarend: -</w:t>
      </w:r>
    </w:p>
    <w:p w:rsidR="00DF04E7" w:rsidRPr="00DF04E7" w:rsidRDefault="00DF04E7" w:rsidP="00C14833">
      <w:pPr>
        <w:widowControl w:val="0"/>
        <w:numPr>
          <w:ilvl w:val="1"/>
          <w:numId w:val="151"/>
        </w:numPr>
        <w:tabs>
          <w:tab w:val="num" w:pos="2069"/>
        </w:tabs>
        <w:spacing w:before="120" w:after="120" w:line="240" w:lineRule="auto"/>
        <w:ind w:left="851" w:hanging="425"/>
        <w:jc w:val="both"/>
        <w:rPr>
          <w:rFonts w:ascii="Times New Roman" w:eastAsia="Times New Roman" w:hAnsi="Times New Roman" w:cs="Times New Roman"/>
          <w:bCs/>
        </w:rPr>
      </w:pPr>
      <w:r w:rsidRPr="00DF04E7">
        <w:rPr>
          <w:rFonts w:ascii="Times New Roman" w:eastAsia="Times New Roman" w:hAnsi="Times New Roman" w:cs="Times New Roman"/>
          <w:bCs/>
        </w:rPr>
        <w:t>heti óraszám - nappali munkarend: 2</w:t>
      </w:r>
    </w:p>
    <w:p w:rsidR="00DF04E7" w:rsidRPr="00DF04E7" w:rsidRDefault="00DF04E7" w:rsidP="00C14833">
      <w:pPr>
        <w:widowControl w:val="0"/>
        <w:numPr>
          <w:ilvl w:val="1"/>
          <w:numId w:val="151"/>
        </w:numPr>
        <w:tabs>
          <w:tab w:val="num" w:pos="2069"/>
        </w:tabs>
        <w:spacing w:before="120" w:after="120" w:line="240" w:lineRule="auto"/>
        <w:ind w:left="851" w:hanging="425"/>
        <w:jc w:val="both"/>
        <w:rPr>
          <w:rFonts w:ascii="Times New Roman" w:eastAsia="Times New Roman" w:hAnsi="Times New Roman" w:cs="Times New Roman"/>
          <w:bCs/>
        </w:rPr>
      </w:pPr>
      <w:r w:rsidRPr="00DF04E7">
        <w:rPr>
          <w:rFonts w:ascii="Times New Roman" w:hAnsi="Times New Roman" w:cs="Times New Roman"/>
        </w:rPr>
        <w:t>Az ismeret átadásában alkalmazandó további sajátos módok, jellemzők:-</w:t>
      </w:r>
    </w:p>
    <w:p w:rsidR="00DF04E7" w:rsidRPr="00DF04E7" w:rsidRDefault="00DF04E7" w:rsidP="00C14833">
      <w:pPr>
        <w:widowControl w:val="0"/>
        <w:numPr>
          <w:ilvl w:val="0"/>
          <w:numId w:val="151"/>
        </w:numPr>
        <w:spacing w:before="120" w:after="120" w:line="240" w:lineRule="auto"/>
        <w:ind w:left="426" w:hanging="142"/>
        <w:jc w:val="both"/>
        <w:rPr>
          <w:rFonts w:ascii="Times New Roman" w:eastAsia="Times New Roman" w:hAnsi="Times New Roman" w:cs="Times New Roman"/>
          <w:bCs/>
        </w:rPr>
      </w:pPr>
      <w:r w:rsidRPr="00DF04E7">
        <w:rPr>
          <w:rFonts w:ascii="Times New Roman" w:eastAsia="Times New Roman" w:hAnsi="Times New Roman" w:cs="Times New Roman"/>
          <w:b/>
          <w:bCs/>
        </w:rPr>
        <w:t>A tantárgy szakmai tartalma (magyarul):</w:t>
      </w:r>
      <w:r w:rsidRPr="00DF04E7">
        <w:rPr>
          <w:rFonts w:ascii="Times New Roman" w:eastAsia="Times New Roman" w:hAnsi="Times New Roman" w:cs="Times New Roman"/>
          <w:bCs/>
        </w:rPr>
        <w:t xml:space="preserve"> </w:t>
      </w:r>
      <w:r w:rsidRPr="00DF04E7">
        <w:rPr>
          <w:rFonts w:ascii="Times New Roman" w:hAnsi="Times New Roman" w:cs="Times New Roman"/>
          <w:bCs/>
        </w:rPr>
        <w:t>Kondicionális képességek fejlesztése, Természetes és mesterséges akadályok leküzdése, Katonai közelharc, Kézigránát hajítás.</w:t>
      </w:r>
    </w:p>
    <w:p w:rsidR="00DF04E7" w:rsidRPr="00DF04E7" w:rsidRDefault="00DF04E7" w:rsidP="00DF04E7">
      <w:pPr>
        <w:widowControl w:val="0"/>
        <w:spacing w:before="120" w:after="120" w:line="240" w:lineRule="auto"/>
        <w:ind w:left="426"/>
        <w:jc w:val="both"/>
        <w:rPr>
          <w:rFonts w:ascii="Times New Roman" w:hAnsi="Times New Roman" w:cs="Times New Roman"/>
          <w:lang w:val="en-GB"/>
        </w:rPr>
      </w:pPr>
      <w:r w:rsidRPr="00DF04E7">
        <w:rPr>
          <w:rFonts w:ascii="Times New Roman" w:eastAsia="Times New Roman" w:hAnsi="Times New Roman" w:cs="Times New Roman"/>
          <w:b/>
          <w:bCs/>
        </w:rPr>
        <w:t>A tantárgy szakmai tartalma (angolul) (</w:t>
      </w:r>
      <w:r w:rsidRPr="00DF04E7">
        <w:rPr>
          <w:rFonts w:ascii="Times New Roman" w:eastAsia="Times New Roman" w:hAnsi="Times New Roman" w:cs="Times New Roman"/>
          <w:b/>
          <w:bCs/>
          <w:lang w:val="en-US"/>
        </w:rPr>
        <w:t>Course description</w:t>
      </w:r>
      <w:r w:rsidRPr="00DF04E7">
        <w:rPr>
          <w:rFonts w:ascii="Times New Roman" w:eastAsia="Times New Roman" w:hAnsi="Times New Roman" w:cs="Times New Roman"/>
          <w:b/>
          <w:bCs/>
        </w:rPr>
        <w:t>):</w:t>
      </w:r>
      <w:r w:rsidRPr="00DF04E7">
        <w:rPr>
          <w:rFonts w:ascii="Times New Roman" w:hAnsi="Times New Roman" w:cs="Times New Roman"/>
          <w:lang w:val="en-GB"/>
        </w:rPr>
        <w:t xml:space="preserve"> Development of  physical   skills, overcoming natural and artificial obstacles, military close combat, hand grenade throwing</w:t>
      </w:r>
    </w:p>
    <w:p w:rsidR="00DF04E7" w:rsidRPr="00DF04E7" w:rsidRDefault="00DF04E7" w:rsidP="00C14833">
      <w:pPr>
        <w:widowControl w:val="0"/>
        <w:numPr>
          <w:ilvl w:val="0"/>
          <w:numId w:val="151"/>
        </w:numPr>
        <w:spacing w:before="120" w:after="120" w:line="240" w:lineRule="auto"/>
        <w:ind w:left="426" w:hanging="142"/>
        <w:jc w:val="both"/>
        <w:rPr>
          <w:rFonts w:ascii="Times New Roman" w:eastAsia="Times New Roman" w:hAnsi="Times New Roman" w:cs="Times New Roman"/>
          <w:bCs/>
        </w:rPr>
      </w:pPr>
      <w:r w:rsidRPr="00DF04E7">
        <w:rPr>
          <w:rFonts w:ascii="Times New Roman" w:eastAsia="Times New Roman" w:hAnsi="Times New Roman" w:cs="Times New Roman"/>
          <w:b/>
          <w:bCs/>
        </w:rPr>
        <w:t xml:space="preserve">Elérendő kompetenciák (magyarul): </w:t>
      </w:r>
    </w:p>
    <w:p w:rsidR="00DF04E7" w:rsidRPr="00DF04E7" w:rsidRDefault="00DF04E7" w:rsidP="00DF04E7">
      <w:pPr>
        <w:widowControl w:val="0"/>
        <w:spacing w:before="120" w:after="120" w:line="240" w:lineRule="auto"/>
        <w:ind w:left="426"/>
        <w:jc w:val="both"/>
        <w:rPr>
          <w:rFonts w:ascii="Times New Roman" w:eastAsia="Times New Roman" w:hAnsi="Times New Roman" w:cs="Times New Roman"/>
          <w:b/>
          <w:bCs/>
        </w:rPr>
      </w:pPr>
      <w:r w:rsidRPr="00DF04E7">
        <w:rPr>
          <w:rFonts w:ascii="Times New Roman" w:eastAsia="Times New Roman" w:hAnsi="Times New Roman" w:cs="Times New Roman"/>
          <w:b/>
          <w:bCs/>
        </w:rPr>
        <w:t xml:space="preserve">Tudása: </w:t>
      </w:r>
    </w:p>
    <w:p w:rsidR="00DF04E7" w:rsidRPr="00DF04E7" w:rsidRDefault="00DF04E7" w:rsidP="008B31E6">
      <w:pPr>
        <w:pStyle w:val="Listaszerbekezds"/>
        <w:widowControl w:val="0"/>
        <w:numPr>
          <w:ilvl w:val="0"/>
          <w:numId w:val="17"/>
        </w:numPr>
        <w:spacing w:before="120" w:after="120" w:line="240" w:lineRule="auto"/>
        <w:jc w:val="both"/>
        <w:rPr>
          <w:rFonts w:ascii="Times New Roman" w:eastAsia="Times New Roman" w:hAnsi="Times New Roman" w:cs="Times New Roman"/>
          <w:bCs/>
        </w:rPr>
      </w:pPr>
      <w:r w:rsidRPr="00DF04E7">
        <w:rPr>
          <w:rFonts w:ascii="Times New Roman" w:eastAsia="Times New Roman" w:hAnsi="Times New Roman" w:cs="Times New Roman"/>
          <w:bCs/>
        </w:rPr>
        <w:t xml:space="preserve">Fejleszteni a kondicionális képességeket. </w:t>
      </w:r>
    </w:p>
    <w:p w:rsidR="00DF04E7" w:rsidRPr="00DF04E7" w:rsidRDefault="00DF04E7" w:rsidP="008B31E6">
      <w:pPr>
        <w:pStyle w:val="Listaszerbekezds"/>
        <w:widowControl w:val="0"/>
        <w:numPr>
          <w:ilvl w:val="0"/>
          <w:numId w:val="17"/>
        </w:numPr>
        <w:spacing w:before="120" w:after="120" w:line="240" w:lineRule="auto"/>
        <w:jc w:val="both"/>
        <w:rPr>
          <w:rFonts w:ascii="Times New Roman" w:eastAsia="Times New Roman" w:hAnsi="Times New Roman" w:cs="Times New Roman"/>
          <w:bCs/>
        </w:rPr>
      </w:pPr>
      <w:r w:rsidRPr="00DF04E7">
        <w:rPr>
          <w:rFonts w:ascii="Times New Roman" w:eastAsia="Times New Roman" w:hAnsi="Times New Roman" w:cs="Times New Roman"/>
          <w:bCs/>
        </w:rPr>
        <w:t xml:space="preserve">A hallgatók ismerjék meg az akadályok leküzdésének módját. </w:t>
      </w:r>
    </w:p>
    <w:p w:rsidR="00DF04E7" w:rsidRPr="00DF04E7" w:rsidRDefault="00DF04E7" w:rsidP="008B31E6">
      <w:pPr>
        <w:pStyle w:val="Listaszerbekezds"/>
        <w:widowControl w:val="0"/>
        <w:numPr>
          <w:ilvl w:val="0"/>
          <w:numId w:val="17"/>
        </w:numPr>
        <w:spacing w:before="120" w:after="120" w:line="240" w:lineRule="auto"/>
        <w:jc w:val="both"/>
        <w:rPr>
          <w:rFonts w:ascii="Times New Roman" w:eastAsia="Times New Roman" w:hAnsi="Times New Roman" w:cs="Times New Roman"/>
          <w:bCs/>
        </w:rPr>
      </w:pPr>
      <w:r w:rsidRPr="00DF04E7">
        <w:rPr>
          <w:rFonts w:ascii="Times New Roman" w:eastAsia="Times New Roman" w:hAnsi="Times New Roman" w:cs="Times New Roman"/>
          <w:bCs/>
        </w:rPr>
        <w:t xml:space="preserve">A Nemzeti Közszolgálati Egyetem honvéd tisztjelöltjei szerezzenek ismeretet a katonai közelharc alaptechnikáiról. </w:t>
      </w:r>
    </w:p>
    <w:p w:rsidR="00DF04E7" w:rsidRPr="00DF04E7" w:rsidRDefault="00DF04E7" w:rsidP="008B31E6">
      <w:pPr>
        <w:pStyle w:val="Listaszerbekezds"/>
        <w:widowControl w:val="0"/>
        <w:numPr>
          <w:ilvl w:val="0"/>
          <w:numId w:val="17"/>
        </w:numPr>
        <w:spacing w:before="120" w:after="120" w:line="240" w:lineRule="auto"/>
        <w:jc w:val="both"/>
        <w:rPr>
          <w:rFonts w:ascii="Times New Roman" w:eastAsia="Times New Roman" w:hAnsi="Times New Roman" w:cs="Times New Roman"/>
          <w:bCs/>
        </w:rPr>
      </w:pPr>
      <w:r w:rsidRPr="00DF04E7">
        <w:rPr>
          <w:rFonts w:ascii="Times New Roman" w:eastAsia="Times New Roman" w:hAnsi="Times New Roman" w:cs="Times New Roman"/>
          <w:bCs/>
        </w:rPr>
        <w:t>Ismerjék meg a kézigránát hajítás technikai végrehajtási formáit.</w:t>
      </w:r>
    </w:p>
    <w:p w:rsidR="00DF04E7" w:rsidRPr="00DF04E7" w:rsidRDefault="00DF04E7" w:rsidP="00DF04E7">
      <w:pPr>
        <w:widowControl w:val="0"/>
        <w:spacing w:before="120" w:after="120" w:line="240" w:lineRule="auto"/>
        <w:ind w:left="426"/>
        <w:jc w:val="both"/>
        <w:rPr>
          <w:rFonts w:ascii="Times New Roman" w:eastAsia="Times New Roman" w:hAnsi="Times New Roman" w:cs="Times New Roman"/>
          <w:bCs/>
        </w:rPr>
      </w:pPr>
      <w:r w:rsidRPr="00DF04E7">
        <w:rPr>
          <w:rFonts w:ascii="Times New Roman" w:eastAsia="Times New Roman" w:hAnsi="Times New Roman" w:cs="Times New Roman"/>
          <w:b/>
          <w:bCs/>
        </w:rPr>
        <w:t>Képességei:</w:t>
      </w:r>
      <w:r w:rsidRPr="00DF04E7">
        <w:rPr>
          <w:rFonts w:ascii="Times New Roman" w:eastAsia="Times New Roman" w:hAnsi="Times New Roman" w:cs="Times New Roman"/>
          <w:bCs/>
        </w:rPr>
        <w:t xml:space="preserve"> </w:t>
      </w:r>
    </w:p>
    <w:p w:rsidR="00DF04E7" w:rsidRPr="00DF04E7" w:rsidRDefault="00DF04E7" w:rsidP="008B31E6">
      <w:pPr>
        <w:pStyle w:val="Listaszerbekezds"/>
        <w:widowControl w:val="0"/>
        <w:numPr>
          <w:ilvl w:val="0"/>
          <w:numId w:val="17"/>
        </w:numPr>
        <w:spacing w:before="120" w:after="120" w:line="240" w:lineRule="auto"/>
        <w:jc w:val="both"/>
        <w:rPr>
          <w:rFonts w:ascii="Times New Roman" w:eastAsia="Times New Roman" w:hAnsi="Times New Roman" w:cs="Times New Roman"/>
          <w:bCs/>
        </w:rPr>
      </w:pPr>
      <w:r w:rsidRPr="00DF04E7">
        <w:rPr>
          <w:rFonts w:ascii="Times New Roman" w:eastAsia="Times New Roman" w:hAnsi="Times New Roman" w:cs="Times New Roman"/>
          <w:bCs/>
        </w:rPr>
        <w:t xml:space="preserve">Rendelkezzék az állóképesség és az erő-állóképesség megfelelő szintjével. </w:t>
      </w:r>
    </w:p>
    <w:p w:rsidR="00DF04E7" w:rsidRPr="00DF04E7" w:rsidRDefault="00DF04E7" w:rsidP="008B31E6">
      <w:pPr>
        <w:pStyle w:val="Listaszerbekezds"/>
        <w:widowControl w:val="0"/>
        <w:numPr>
          <w:ilvl w:val="0"/>
          <w:numId w:val="17"/>
        </w:numPr>
        <w:spacing w:before="120" w:after="120" w:line="240" w:lineRule="auto"/>
        <w:jc w:val="both"/>
        <w:rPr>
          <w:rFonts w:ascii="Times New Roman" w:eastAsia="Times New Roman" w:hAnsi="Times New Roman" w:cs="Times New Roman"/>
          <w:bCs/>
        </w:rPr>
      </w:pPr>
      <w:r w:rsidRPr="00DF04E7">
        <w:rPr>
          <w:rFonts w:ascii="Times New Roman" w:eastAsia="Times New Roman" w:hAnsi="Times New Roman" w:cs="Times New Roman"/>
          <w:bCs/>
        </w:rPr>
        <w:t xml:space="preserve">Legyen képes a kézigránát megfelelő technikával történő elhajítására. </w:t>
      </w:r>
    </w:p>
    <w:p w:rsidR="00DF04E7" w:rsidRPr="00DF04E7" w:rsidRDefault="00DF04E7" w:rsidP="008B31E6">
      <w:pPr>
        <w:pStyle w:val="Listaszerbekezds"/>
        <w:widowControl w:val="0"/>
        <w:numPr>
          <w:ilvl w:val="0"/>
          <w:numId w:val="17"/>
        </w:numPr>
        <w:spacing w:before="120" w:after="120" w:line="240" w:lineRule="auto"/>
        <w:jc w:val="both"/>
        <w:rPr>
          <w:rFonts w:ascii="Times New Roman" w:eastAsia="Times New Roman" w:hAnsi="Times New Roman" w:cs="Times New Roman"/>
          <w:bCs/>
        </w:rPr>
      </w:pPr>
      <w:r w:rsidRPr="00DF04E7">
        <w:rPr>
          <w:rFonts w:ascii="Times New Roman" w:eastAsia="Times New Roman" w:hAnsi="Times New Roman" w:cs="Times New Roman"/>
          <w:bCs/>
        </w:rPr>
        <w:t>Képes az emberek mozgáskultúrájának speciális állóképességének terhelhetőségének, erőnlétének a fejlesztésére, megőrzésére a mozgásszervi és keringési rendellenességek megelőzésére.</w:t>
      </w:r>
    </w:p>
    <w:p w:rsidR="00DF04E7" w:rsidRPr="00DF04E7" w:rsidRDefault="00DF04E7" w:rsidP="00DF04E7">
      <w:pPr>
        <w:widowControl w:val="0"/>
        <w:spacing w:before="120" w:after="120" w:line="240" w:lineRule="auto"/>
        <w:ind w:left="426"/>
        <w:jc w:val="both"/>
        <w:rPr>
          <w:rFonts w:ascii="Times New Roman" w:eastAsia="Times New Roman" w:hAnsi="Times New Roman" w:cs="Times New Roman"/>
          <w:b/>
          <w:bCs/>
        </w:rPr>
      </w:pPr>
      <w:r w:rsidRPr="00DF04E7">
        <w:rPr>
          <w:rFonts w:ascii="Times New Roman" w:eastAsia="Times New Roman" w:hAnsi="Times New Roman" w:cs="Times New Roman"/>
          <w:b/>
          <w:bCs/>
        </w:rPr>
        <w:t xml:space="preserve">Attitűdje: </w:t>
      </w:r>
    </w:p>
    <w:p w:rsidR="00DF04E7" w:rsidRPr="00DF04E7" w:rsidRDefault="00DF04E7" w:rsidP="008B31E6">
      <w:pPr>
        <w:pStyle w:val="Listaszerbekezds"/>
        <w:widowControl w:val="0"/>
        <w:numPr>
          <w:ilvl w:val="0"/>
          <w:numId w:val="17"/>
        </w:numPr>
        <w:spacing w:before="120" w:after="120" w:line="240" w:lineRule="auto"/>
        <w:jc w:val="both"/>
        <w:rPr>
          <w:rFonts w:ascii="Times New Roman" w:eastAsia="Times New Roman" w:hAnsi="Times New Roman" w:cs="Times New Roman"/>
          <w:bCs/>
        </w:rPr>
      </w:pPr>
      <w:r w:rsidRPr="00DF04E7">
        <w:rPr>
          <w:rFonts w:ascii="Times New Roman" w:eastAsia="Times New Roman" w:hAnsi="Times New Roman" w:cs="Times New Roman"/>
          <w:color w:val="000000"/>
          <w:lang w:eastAsia="hu-HU"/>
        </w:rPr>
        <w:t>Nyitott a kapcsolat teremtésre, az együttműködésre és a kommunikációra magyar és idegen nyelven.</w:t>
      </w:r>
      <w:r w:rsidRPr="00DF04E7">
        <w:rPr>
          <w:rFonts w:ascii="Times New Roman" w:eastAsia="Times New Roman" w:hAnsi="Times New Roman" w:cs="Times New Roman"/>
          <w:bCs/>
        </w:rPr>
        <w:t xml:space="preserve"> </w:t>
      </w:r>
    </w:p>
    <w:p w:rsidR="00DF04E7" w:rsidRPr="00DF04E7" w:rsidRDefault="00DF04E7" w:rsidP="008B31E6">
      <w:pPr>
        <w:pStyle w:val="Listaszerbekezds"/>
        <w:widowControl w:val="0"/>
        <w:numPr>
          <w:ilvl w:val="0"/>
          <w:numId w:val="17"/>
        </w:numPr>
        <w:spacing w:before="120" w:after="120" w:line="240" w:lineRule="auto"/>
        <w:jc w:val="both"/>
        <w:rPr>
          <w:rFonts w:ascii="Times New Roman" w:eastAsia="Times New Roman" w:hAnsi="Times New Roman" w:cs="Times New Roman"/>
          <w:bCs/>
        </w:rPr>
      </w:pPr>
      <w:r w:rsidRPr="00DF04E7">
        <w:rPr>
          <w:rFonts w:ascii="Times New Roman" w:eastAsia="Times New Roman" w:hAnsi="Times New Roman" w:cs="Times New Roman"/>
          <w:color w:val="000000"/>
          <w:lang w:eastAsia="hu-HU"/>
        </w:rPr>
        <w:t>Munkájában és emberi kapcsolataiban megbízhatóság jellemzi.</w:t>
      </w:r>
    </w:p>
    <w:p w:rsidR="00DF04E7" w:rsidRPr="00DF04E7" w:rsidRDefault="00DF04E7" w:rsidP="00DF04E7">
      <w:pPr>
        <w:widowControl w:val="0"/>
        <w:spacing w:before="120" w:after="120" w:line="240" w:lineRule="auto"/>
        <w:ind w:left="426"/>
        <w:jc w:val="both"/>
        <w:rPr>
          <w:rFonts w:ascii="Times New Roman" w:eastAsia="Times New Roman" w:hAnsi="Times New Roman" w:cs="Times New Roman"/>
          <w:b/>
          <w:bCs/>
        </w:rPr>
      </w:pPr>
      <w:r w:rsidRPr="00DF04E7">
        <w:rPr>
          <w:rFonts w:ascii="Times New Roman" w:eastAsia="Times New Roman" w:hAnsi="Times New Roman" w:cs="Times New Roman"/>
          <w:b/>
          <w:bCs/>
        </w:rPr>
        <w:lastRenderedPageBreak/>
        <w:t xml:space="preserve">Autonómiája és felelőssége: </w:t>
      </w:r>
    </w:p>
    <w:p w:rsidR="00DF04E7" w:rsidRPr="00DF04E7" w:rsidRDefault="00DF04E7" w:rsidP="008B31E6">
      <w:pPr>
        <w:pStyle w:val="Listaszerbekezds"/>
        <w:widowControl w:val="0"/>
        <w:numPr>
          <w:ilvl w:val="0"/>
          <w:numId w:val="17"/>
        </w:numPr>
        <w:spacing w:before="120" w:after="120" w:line="240" w:lineRule="auto"/>
        <w:jc w:val="both"/>
        <w:rPr>
          <w:rFonts w:ascii="Times New Roman" w:eastAsia="Times New Roman" w:hAnsi="Times New Roman" w:cs="Times New Roman"/>
          <w:bCs/>
        </w:rPr>
      </w:pPr>
      <w:r w:rsidRPr="00DF04E7">
        <w:rPr>
          <w:rFonts w:ascii="Times New Roman" w:eastAsia="Times New Roman" w:hAnsi="Times New Roman" w:cs="Times New Roman"/>
          <w:color w:val="000000"/>
          <w:lang w:eastAsia="hu-HU"/>
        </w:rPr>
        <w:t>Tisztában van döntéseinek, tevékenységének az alegységének egészére gyakorolt hatásaival, következményeivel</w:t>
      </w:r>
      <w:r w:rsidRPr="00DF04E7">
        <w:rPr>
          <w:rFonts w:ascii="Times New Roman" w:eastAsia="Times New Roman" w:hAnsi="Times New Roman" w:cs="Times New Roman"/>
          <w:bCs/>
          <w:highlight w:val="lightGray"/>
        </w:rPr>
        <w:t>.</w:t>
      </w:r>
    </w:p>
    <w:p w:rsidR="00DF04E7" w:rsidRPr="00DF04E7" w:rsidRDefault="00DF04E7" w:rsidP="008B31E6">
      <w:pPr>
        <w:pStyle w:val="Listaszerbekezds"/>
        <w:widowControl w:val="0"/>
        <w:numPr>
          <w:ilvl w:val="0"/>
          <w:numId w:val="17"/>
        </w:numPr>
        <w:spacing w:before="120" w:after="120" w:line="240" w:lineRule="auto"/>
        <w:jc w:val="both"/>
        <w:rPr>
          <w:rFonts w:ascii="Times New Roman" w:eastAsia="Times New Roman" w:hAnsi="Times New Roman" w:cs="Times New Roman"/>
          <w:bCs/>
        </w:rPr>
      </w:pPr>
      <w:r w:rsidRPr="00DF04E7">
        <w:rPr>
          <w:rFonts w:ascii="Times New Roman" w:eastAsia="Times New Roman" w:hAnsi="Times New Roman" w:cs="Times New Roman"/>
          <w:bCs/>
        </w:rPr>
        <w:t>A testi-lelki egészségről koherens egyéni álláspontot alakít ki, terjeszti is ezeket környezetében.</w:t>
      </w:r>
    </w:p>
    <w:p w:rsidR="00DF04E7" w:rsidRPr="00DF04E7" w:rsidRDefault="00DF04E7" w:rsidP="00DF04E7">
      <w:pPr>
        <w:pStyle w:val="lfej1"/>
        <w:tabs>
          <w:tab w:val="right" w:pos="900"/>
        </w:tabs>
        <w:spacing w:before="120"/>
        <w:ind w:left="426"/>
        <w:jc w:val="both"/>
        <w:rPr>
          <w:b/>
          <w:bCs/>
          <w:sz w:val="22"/>
          <w:szCs w:val="22"/>
          <w:lang w:val="en-US"/>
        </w:rPr>
      </w:pPr>
      <w:r w:rsidRPr="00DF04E7">
        <w:rPr>
          <w:b/>
          <w:bCs/>
          <w:sz w:val="22"/>
          <w:szCs w:val="22"/>
        </w:rPr>
        <w:t>Elérendő kompetenciák (angolul) (</w:t>
      </w:r>
      <w:r w:rsidRPr="00DF04E7">
        <w:rPr>
          <w:b/>
          <w:bCs/>
          <w:sz w:val="22"/>
          <w:szCs w:val="22"/>
          <w:lang w:val="en-US"/>
        </w:rPr>
        <w:t>Competences – English):</w:t>
      </w:r>
    </w:p>
    <w:p w:rsidR="00DF04E7" w:rsidRPr="00DF04E7" w:rsidRDefault="00DF04E7" w:rsidP="00DF04E7">
      <w:pPr>
        <w:widowControl w:val="0"/>
        <w:spacing w:before="120" w:after="120" w:line="240" w:lineRule="auto"/>
        <w:ind w:left="426"/>
        <w:jc w:val="both"/>
        <w:rPr>
          <w:rFonts w:ascii="Times New Roman" w:eastAsia="Times New Roman" w:hAnsi="Times New Roman" w:cs="Times New Roman"/>
          <w:b/>
          <w:bCs/>
        </w:rPr>
      </w:pPr>
      <w:r w:rsidRPr="00DF04E7">
        <w:rPr>
          <w:rFonts w:ascii="Times New Roman" w:eastAsia="Times New Roman" w:hAnsi="Times New Roman" w:cs="Times New Roman"/>
          <w:b/>
          <w:bCs/>
        </w:rPr>
        <w:t xml:space="preserve">Knowledge: </w:t>
      </w:r>
    </w:p>
    <w:p w:rsidR="00DF04E7" w:rsidRPr="00DF04E7" w:rsidRDefault="00DF04E7" w:rsidP="008B31E6">
      <w:pPr>
        <w:pStyle w:val="Listaszerbekezds"/>
        <w:numPr>
          <w:ilvl w:val="0"/>
          <w:numId w:val="17"/>
        </w:numPr>
        <w:spacing w:line="256" w:lineRule="auto"/>
        <w:jc w:val="both"/>
        <w:rPr>
          <w:rFonts w:ascii="Times New Roman" w:eastAsia="Times New Roman" w:hAnsi="Times New Roman" w:cs="Times New Roman"/>
          <w:lang w:val="en-GB"/>
        </w:rPr>
      </w:pPr>
      <w:r w:rsidRPr="00DF04E7">
        <w:rPr>
          <w:rFonts w:ascii="Times New Roman" w:hAnsi="Times New Roman" w:cs="Times New Roman"/>
          <w:lang w:val="en-GB"/>
        </w:rPr>
        <w:t xml:space="preserve">To improve physical skills; the students should learn how to overcome obstacles. The officer cadets of the National University of Public Service should learn the basic techniques of military close combat and learn the technical forms of hand grenade throwing. </w:t>
      </w:r>
    </w:p>
    <w:p w:rsidR="00DF04E7" w:rsidRPr="00DF04E7" w:rsidRDefault="00DF04E7" w:rsidP="00DF04E7">
      <w:pPr>
        <w:widowControl w:val="0"/>
        <w:spacing w:before="120" w:after="120" w:line="240" w:lineRule="auto"/>
        <w:ind w:left="426"/>
        <w:jc w:val="both"/>
        <w:rPr>
          <w:rFonts w:ascii="Times New Roman" w:eastAsia="Times New Roman" w:hAnsi="Times New Roman" w:cs="Times New Roman"/>
          <w:b/>
          <w:bCs/>
        </w:rPr>
      </w:pPr>
      <w:r w:rsidRPr="00DF04E7">
        <w:rPr>
          <w:rFonts w:ascii="Times New Roman" w:eastAsia="Times New Roman" w:hAnsi="Times New Roman" w:cs="Times New Roman"/>
          <w:b/>
          <w:bCs/>
        </w:rPr>
        <w:t xml:space="preserve">Capabilities: </w:t>
      </w:r>
    </w:p>
    <w:p w:rsidR="00DF04E7" w:rsidRPr="00DF04E7" w:rsidRDefault="00DF04E7" w:rsidP="008B31E6">
      <w:pPr>
        <w:pStyle w:val="Listaszerbekezds"/>
        <w:numPr>
          <w:ilvl w:val="0"/>
          <w:numId w:val="17"/>
        </w:numPr>
        <w:spacing w:line="256" w:lineRule="auto"/>
        <w:jc w:val="both"/>
        <w:rPr>
          <w:rFonts w:ascii="Times New Roman" w:eastAsia="Times New Roman" w:hAnsi="Times New Roman" w:cs="Times New Roman"/>
          <w:lang w:val="en-GB"/>
        </w:rPr>
      </w:pPr>
      <w:r w:rsidRPr="00DF04E7">
        <w:rPr>
          <w:rFonts w:ascii="Times New Roman" w:hAnsi="Times New Roman" w:cs="Times New Roman"/>
          <w:lang w:val="en-GB"/>
        </w:rPr>
        <w:t xml:space="preserve">Have an appropriate level of endurance and strength-endurance. Be able to throw the grenade with proper technique. </w:t>
      </w:r>
      <w:r w:rsidRPr="00DF04E7">
        <w:rPr>
          <w:rFonts w:ascii="Times New Roman" w:eastAsia="Times New Roman" w:hAnsi="Times New Roman" w:cs="Times New Roman"/>
          <w:lang w:val="en-GB"/>
        </w:rPr>
        <w:t>To be capable of developing and maintaining the special stamina and load-bearing capacity of the people's movement culture to prevent musculoskeletal disorders.</w:t>
      </w:r>
    </w:p>
    <w:p w:rsidR="00DF04E7" w:rsidRPr="00DF04E7" w:rsidRDefault="00DF04E7" w:rsidP="00DF04E7">
      <w:pPr>
        <w:widowControl w:val="0"/>
        <w:spacing w:before="120" w:after="120" w:line="240" w:lineRule="auto"/>
        <w:ind w:left="426"/>
        <w:jc w:val="both"/>
        <w:rPr>
          <w:rFonts w:ascii="Times New Roman" w:eastAsia="Times New Roman" w:hAnsi="Times New Roman" w:cs="Times New Roman"/>
          <w:b/>
          <w:bCs/>
        </w:rPr>
      </w:pPr>
      <w:r w:rsidRPr="00DF04E7">
        <w:rPr>
          <w:rFonts w:ascii="Times New Roman" w:eastAsia="Times New Roman" w:hAnsi="Times New Roman" w:cs="Times New Roman"/>
          <w:b/>
          <w:bCs/>
        </w:rPr>
        <w:t xml:space="preserve">Attitudes: </w:t>
      </w:r>
    </w:p>
    <w:p w:rsidR="00DF04E7" w:rsidRPr="00DF04E7" w:rsidRDefault="00DF04E7" w:rsidP="008B31E6">
      <w:pPr>
        <w:pStyle w:val="Listaszerbekezds"/>
        <w:numPr>
          <w:ilvl w:val="0"/>
          <w:numId w:val="17"/>
        </w:numPr>
        <w:spacing w:line="256" w:lineRule="auto"/>
        <w:jc w:val="both"/>
        <w:rPr>
          <w:rFonts w:ascii="Times New Roman" w:hAnsi="Times New Roman" w:cs="Times New Roman"/>
          <w:lang w:val="en-GB"/>
        </w:rPr>
      </w:pPr>
      <w:r w:rsidRPr="00DF04E7">
        <w:rPr>
          <w:rFonts w:ascii="Times New Roman" w:hAnsi="Times New Roman" w:cs="Times New Roman"/>
          <w:lang w:val="en-GB"/>
        </w:rPr>
        <w:t>Open for establishing relationships, collaboration and communication in Hungarian and foreign languages. Reliability in his/her work and human relationships.</w:t>
      </w:r>
    </w:p>
    <w:p w:rsidR="00DF04E7" w:rsidRPr="00DF04E7" w:rsidRDefault="00DF04E7" w:rsidP="00DF04E7">
      <w:pPr>
        <w:widowControl w:val="0"/>
        <w:spacing w:before="120" w:after="120" w:line="240" w:lineRule="auto"/>
        <w:ind w:left="426"/>
        <w:jc w:val="both"/>
        <w:rPr>
          <w:rFonts w:ascii="Times New Roman" w:eastAsia="Times New Roman" w:hAnsi="Times New Roman" w:cs="Times New Roman"/>
          <w:b/>
          <w:bCs/>
        </w:rPr>
      </w:pPr>
      <w:r w:rsidRPr="00DF04E7">
        <w:rPr>
          <w:rFonts w:ascii="Times New Roman" w:eastAsia="Times New Roman" w:hAnsi="Times New Roman" w:cs="Times New Roman"/>
          <w:b/>
          <w:bCs/>
        </w:rPr>
        <w:t>Autonomy and responsibility:</w:t>
      </w:r>
    </w:p>
    <w:p w:rsidR="00DF04E7" w:rsidRPr="00DF04E7" w:rsidRDefault="00DF04E7" w:rsidP="008B31E6">
      <w:pPr>
        <w:pStyle w:val="Listaszerbekezds"/>
        <w:numPr>
          <w:ilvl w:val="0"/>
          <w:numId w:val="17"/>
        </w:numPr>
        <w:spacing w:line="256" w:lineRule="auto"/>
        <w:jc w:val="both"/>
        <w:rPr>
          <w:rFonts w:ascii="Times New Roman" w:hAnsi="Times New Roman" w:cs="Times New Roman"/>
          <w:lang w:val="en-GB"/>
        </w:rPr>
      </w:pPr>
      <w:r w:rsidRPr="00DF04E7">
        <w:rPr>
          <w:rFonts w:ascii="Times New Roman" w:hAnsi="Times New Roman" w:cs="Times New Roman"/>
          <w:lang w:val="en-GB"/>
        </w:rPr>
        <w:t xml:space="preserve">He / She is aware of the consequences and effects of his / her decisions and activities for his / her subunit. </w:t>
      </w:r>
    </w:p>
    <w:p w:rsidR="00DF04E7" w:rsidRPr="00DF04E7" w:rsidRDefault="00DF04E7" w:rsidP="008B31E6">
      <w:pPr>
        <w:pStyle w:val="Listaszerbekezds"/>
        <w:numPr>
          <w:ilvl w:val="0"/>
          <w:numId w:val="17"/>
        </w:numPr>
        <w:spacing w:line="256" w:lineRule="auto"/>
        <w:jc w:val="both"/>
        <w:rPr>
          <w:rFonts w:ascii="Times New Roman" w:hAnsi="Times New Roman" w:cs="Times New Roman"/>
          <w:lang w:val="en-GB"/>
        </w:rPr>
      </w:pPr>
      <w:r w:rsidRPr="00DF04E7">
        <w:rPr>
          <w:rFonts w:ascii="Times New Roman" w:hAnsi="Times New Roman" w:cs="Times New Roman"/>
          <w:lang w:val="en-GB"/>
        </w:rPr>
        <w:t>He /She develops a coherent individual position on his/her physical and mental health and spreads it around.</w:t>
      </w:r>
    </w:p>
    <w:p w:rsidR="00DF04E7" w:rsidRPr="00DF04E7" w:rsidRDefault="00DF04E7" w:rsidP="00C14833">
      <w:pPr>
        <w:widowControl w:val="0"/>
        <w:numPr>
          <w:ilvl w:val="0"/>
          <w:numId w:val="151"/>
        </w:numPr>
        <w:spacing w:before="120" w:after="120" w:line="240" w:lineRule="auto"/>
        <w:ind w:left="426" w:hanging="142"/>
        <w:jc w:val="both"/>
        <w:rPr>
          <w:rFonts w:ascii="Times New Roman" w:eastAsia="Times New Roman" w:hAnsi="Times New Roman" w:cs="Times New Roman"/>
          <w:b/>
          <w:bCs/>
        </w:rPr>
      </w:pPr>
      <w:r w:rsidRPr="00DF04E7">
        <w:rPr>
          <w:rFonts w:ascii="Times New Roman" w:eastAsia="Times New Roman" w:hAnsi="Times New Roman" w:cs="Times New Roman"/>
          <w:b/>
          <w:bCs/>
        </w:rPr>
        <w:t xml:space="preserve">Előtanulmányi követelmények: </w:t>
      </w:r>
      <w:r w:rsidRPr="00DF04E7">
        <w:rPr>
          <w:rFonts w:ascii="Times New Roman" w:eastAsia="Times New Roman" w:hAnsi="Times New Roman" w:cs="Times New Roman"/>
          <w:bCs/>
        </w:rPr>
        <w:t>nincs</w:t>
      </w:r>
    </w:p>
    <w:p w:rsidR="00DF04E7" w:rsidRPr="00DF04E7" w:rsidRDefault="00DF04E7" w:rsidP="00C14833">
      <w:pPr>
        <w:widowControl w:val="0"/>
        <w:numPr>
          <w:ilvl w:val="0"/>
          <w:numId w:val="151"/>
        </w:numPr>
        <w:spacing w:before="120" w:after="120" w:line="240" w:lineRule="auto"/>
        <w:ind w:left="426" w:hanging="142"/>
        <w:jc w:val="both"/>
        <w:rPr>
          <w:rFonts w:ascii="Times New Roman" w:eastAsia="Times New Roman" w:hAnsi="Times New Roman" w:cs="Times New Roman"/>
          <w:b/>
          <w:bCs/>
        </w:rPr>
      </w:pPr>
      <w:r w:rsidRPr="00DF04E7">
        <w:rPr>
          <w:rFonts w:ascii="Times New Roman" w:eastAsia="Times New Roman" w:hAnsi="Times New Roman" w:cs="Times New Roman"/>
          <w:b/>
          <w:bCs/>
        </w:rPr>
        <w:t xml:space="preserve">A tantárgy tananyagának leírása, tematika. </w:t>
      </w:r>
    </w:p>
    <w:p w:rsidR="00DF04E7" w:rsidRPr="00DF04E7" w:rsidRDefault="00DF04E7" w:rsidP="006708B2">
      <w:pPr>
        <w:ind w:left="993" w:hanging="567"/>
        <w:jc w:val="both"/>
        <w:rPr>
          <w:rFonts w:ascii="Times New Roman" w:eastAsia="Times New Roman" w:hAnsi="Times New Roman" w:cs="Times New Roman"/>
          <w:b/>
          <w:bCs/>
        </w:rPr>
      </w:pPr>
      <w:r w:rsidRPr="00DF04E7">
        <w:rPr>
          <w:rFonts w:ascii="Times New Roman" w:eastAsia="Times New Roman" w:hAnsi="Times New Roman" w:cs="Times New Roman"/>
          <w:b/>
          <w:bCs/>
        </w:rPr>
        <w:t xml:space="preserve">12.1. </w:t>
      </w:r>
      <w:r w:rsidRPr="00DF04E7">
        <w:rPr>
          <w:rFonts w:ascii="Times New Roman" w:eastAsia="Times New Roman" w:hAnsi="Times New Roman" w:cs="Times New Roman"/>
          <w:bCs/>
        </w:rPr>
        <w:t xml:space="preserve">Kondicionális képességek fejlesztése. Általános hatású és sokoldalúan fejlesztő szabad és szabad gyakorlati alapformájú gyakorlatok. </w:t>
      </w:r>
      <w:r w:rsidRPr="006708B2">
        <w:rPr>
          <w:rFonts w:ascii="Times New Roman" w:hAnsi="Times New Roman" w:cs="Times New Roman"/>
          <w:i/>
        </w:rPr>
        <w:t>(Development of conditioning capacities. Free-to-practice and free-form basic exercises with general effect and versatile development.)</w:t>
      </w:r>
    </w:p>
    <w:p w:rsidR="00DF04E7" w:rsidRPr="00DF04E7" w:rsidRDefault="00DF04E7" w:rsidP="00DF04E7">
      <w:pPr>
        <w:widowControl w:val="0"/>
        <w:spacing w:before="120" w:after="120" w:line="240" w:lineRule="auto"/>
        <w:ind w:left="993" w:hanging="567"/>
        <w:jc w:val="both"/>
        <w:rPr>
          <w:rFonts w:ascii="Times New Roman" w:eastAsia="Times New Roman" w:hAnsi="Times New Roman" w:cs="Times New Roman"/>
          <w:bCs/>
          <w:i/>
        </w:rPr>
      </w:pPr>
      <w:r w:rsidRPr="00DF04E7">
        <w:rPr>
          <w:rFonts w:ascii="Times New Roman" w:eastAsia="Times New Roman" w:hAnsi="Times New Roman" w:cs="Times New Roman"/>
          <w:b/>
          <w:bCs/>
        </w:rPr>
        <w:t xml:space="preserve">12.2. </w:t>
      </w:r>
      <w:r w:rsidRPr="00DF04E7">
        <w:rPr>
          <w:rFonts w:ascii="Times New Roman" w:eastAsia="Times New Roman" w:hAnsi="Times New Roman" w:cs="Times New Roman"/>
          <w:bCs/>
        </w:rPr>
        <w:t>Természetes mozgások: Menetek, futások, ugrások, dobások, emelések és hordások, mászások, függeszkedések. Kiegészítő gyakorlatok tornaszereken. (</w:t>
      </w:r>
      <w:r w:rsidRPr="00DF04E7">
        <w:rPr>
          <w:rFonts w:ascii="Times New Roman" w:hAnsi="Times New Roman" w:cs="Times New Roman"/>
          <w:i/>
        </w:rPr>
        <w:t>Natural Movements: Runs, runs, jumps, throws, raises and carries, climbs, hangs.</w:t>
      </w:r>
      <w:r w:rsidRPr="00DF04E7">
        <w:rPr>
          <w:rFonts w:ascii="Times New Roman" w:hAnsi="Times New Roman" w:cs="Times New Roman"/>
          <w:i/>
          <w:shd w:val="clear" w:color="auto" w:fill="F5F5F5"/>
        </w:rPr>
        <w:t xml:space="preserve"> </w:t>
      </w:r>
      <w:r w:rsidRPr="00DF04E7">
        <w:rPr>
          <w:rFonts w:ascii="Times New Roman" w:hAnsi="Times New Roman" w:cs="Times New Roman"/>
          <w:i/>
        </w:rPr>
        <w:t>Additional exercises on gymnastic equipment.)</w:t>
      </w:r>
    </w:p>
    <w:p w:rsidR="00DF04E7" w:rsidRPr="00DF04E7" w:rsidRDefault="00DF04E7" w:rsidP="00DF04E7">
      <w:pPr>
        <w:widowControl w:val="0"/>
        <w:spacing w:before="120" w:after="120" w:line="240" w:lineRule="auto"/>
        <w:ind w:left="993" w:hanging="567"/>
        <w:jc w:val="both"/>
        <w:rPr>
          <w:rFonts w:ascii="Times New Roman" w:eastAsia="Times New Roman" w:hAnsi="Times New Roman" w:cs="Times New Roman"/>
          <w:bCs/>
          <w:i/>
        </w:rPr>
      </w:pPr>
      <w:r w:rsidRPr="00DF04E7">
        <w:rPr>
          <w:rFonts w:ascii="Times New Roman" w:eastAsia="Times New Roman" w:hAnsi="Times New Roman" w:cs="Times New Roman"/>
          <w:b/>
          <w:bCs/>
        </w:rPr>
        <w:t xml:space="preserve">12.3. </w:t>
      </w:r>
      <w:r w:rsidRPr="00DF04E7">
        <w:rPr>
          <w:rFonts w:ascii="Times New Roman" w:eastAsia="Times New Roman" w:hAnsi="Times New Roman" w:cs="Times New Roman"/>
          <w:bCs/>
        </w:rPr>
        <w:t>Természetes és mesterséges akadályok leküzdése. Mélybe -, fel-és átugrások. Emelések és hordások. (</w:t>
      </w:r>
      <w:r w:rsidRPr="00DF04E7">
        <w:rPr>
          <w:rFonts w:ascii="Times New Roman" w:hAnsi="Times New Roman" w:cs="Times New Roman"/>
          <w:i/>
        </w:rPr>
        <w:t>Overcoming natural and artificial barriers.</w:t>
      </w:r>
      <w:r w:rsidRPr="00DF04E7">
        <w:rPr>
          <w:rFonts w:ascii="Times New Roman" w:hAnsi="Times New Roman" w:cs="Times New Roman"/>
          <w:i/>
          <w:shd w:val="clear" w:color="auto" w:fill="F5F5F5"/>
        </w:rPr>
        <w:t xml:space="preserve"> </w:t>
      </w:r>
      <w:r w:rsidRPr="00DF04E7">
        <w:rPr>
          <w:rFonts w:ascii="Times New Roman" w:hAnsi="Times New Roman" w:cs="Times New Roman"/>
          <w:i/>
        </w:rPr>
        <w:t>Deep - jumps and jumps.</w:t>
      </w:r>
      <w:r w:rsidRPr="00DF04E7">
        <w:rPr>
          <w:rFonts w:ascii="Times New Roman" w:hAnsi="Times New Roman" w:cs="Times New Roman"/>
          <w:i/>
          <w:shd w:val="clear" w:color="auto" w:fill="F5F5F5"/>
        </w:rPr>
        <w:t xml:space="preserve"> </w:t>
      </w:r>
      <w:r w:rsidRPr="00DF04E7">
        <w:rPr>
          <w:rFonts w:ascii="Times New Roman" w:hAnsi="Times New Roman" w:cs="Times New Roman"/>
          <w:i/>
        </w:rPr>
        <w:t>Lifts and Carriers )</w:t>
      </w:r>
    </w:p>
    <w:p w:rsidR="00DF04E7" w:rsidRPr="00DF04E7" w:rsidRDefault="00DF04E7" w:rsidP="00DF04E7">
      <w:pPr>
        <w:widowControl w:val="0"/>
        <w:spacing w:before="120" w:after="120" w:line="240" w:lineRule="auto"/>
        <w:ind w:left="993" w:hanging="567"/>
        <w:jc w:val="both"/>
        <w:rPr>
          <w:rFonts w:ascii="Times New Roman" w:eastAsia="Times New Roman" w:hAnsi="Times New Roman" w:cs="Times New Roman"/>
          <w:bCs/>
          <w:i/>
        </w:rPr>
      </w:pPr>
      <w:r w:rsidRPr="00DF04E7">
        <w:rPr>
          <w:rFonts w:ascii="Times New Roman" w:eastAsia="Times New Roman" w:hAnsi="Times New Roman" w:cs="Times New Roman"/>
          <w:b/>
          <w:bCs/>
        </w:rPr>
        <w:t xml:space="preserve">12.4. </w:t>
      </w:r>
      <w:r w:rsidRPr="00DF04E7">
        <w:rPr>
          <w:rFonts w:ascii="Times New Roman" w:eastAsia="Times New Roman" w:hAnsi="Times New Roman" w:cs="Times New Roman"/>
          <w:bCs/>
        </w:rPr>
        <w:t>Mászások, függeszkedések. (</w:t>
      </w:r>
      <w:r w:rsidRPr="00DF04E7">
        <w:rPr>
          <w:rFonts w:ascii="Times New Roman" w:hAnsi="Times New Roman" w:cs="Times New Roman"/>
          <w:i/>
          <w:shd w:val="clear" w:color="auto" w:fill="F5F5F5"/>
        </w:rPr>
        <w:t>Climbing, hanging.)</w:t>
      </w:r>
    </w:p>
    <w:p w:rsidR="00DF04E7" w:rsidRPr="00DF04E7" w:rsidRDefault="00DF04E7" w:rsidP="006708B2">
      <w:pPr>
        <w:widowControl w:val="0"/>
        <w:spacing w:before="120" w:after="120" w:line="240" w:lineRule="auto"/>
        <w:ind w:left="993" w:hanging="567"/>
        <w:jc w:val="both"/>
        <w:rPr>
          <w:rFonts w:ascii="Times New Roman" w:eastAsia="Times New Roman" w:hAnsi="Times New Roman" w:cs="Times New Roman"/>
          <w:bCs/>
          <w:i/>
        </w:rPr>
      </w:pPr>
      <w:r w:rsidRPr="00DF04E7">
        <w:rPr>
          <w:rFonts w:ascii="Times New Roman" w:eastAsia="Times New Roman" w:hAnsi="Times New Roman" w:cs="Times New Roman"/>
          <w:b/>
          <w:bCs/>
        </w:rPr>
        <w:t xml:space="preserve">12.5. </w:t>
      </w:r>
      <w:r w:rsidRPr="00DF04E7">
        <w:rPr>
          <w:rFonts w:ascii="Times New Roman" w:eastAsia="Times New Roman" w:hAnsi="Times New Roman" w:cs="Times New Roman"/>
          <w:bCs/>
        </w:rPr>
        <w:t>A katonai sportok ismerete a mezei futóbajnokság versenyszámainak elsajátításán keresztül. (</w:t>
      </w:r>
      <w:r w:rsidRPr="00DF04E7">
        <w:rPr>
          <w:rFonts w:ascii="Times New Roman" w:hAnsi="Times New Roman" w:cs="Times New Roman"/>
          <w:i/>
          <w:shd w:val="clear" w:color="auto" w:fill="F5F5F5"/>
        </w:rPr>
        <w:t>Knowledge of military sports through the competitions of the Field Running Championship.</w:t>
      </w:r>
      <w:r w:rsidRPr="00DF04E7">
        <w:rPr>
          <w:rFonts w:ascii="Times New Roman" w:eastAsia="Times New Roman" w:hAnsi="Times New Roman" w:cs="Times New Roman"/>
          <w:bCs/>
          <w:i/>
        </w:rPr>
        <w:t>)</w:t>
      </w:r>
    </w:p>
    <w:p w:rsidR="00DF04E7" w:rsidRPr="00DF04E7" w:rsidRDefault="00DF04E7" w:rsidP="00C14833">
      <w:pPr>
        <w:widowControl w:val="0"/>
        <w:numPr>
          <w:ilvl w:val="0"/>
          <w:numId w:val="151"/>
        </w:numPr>
        <w:spacing w:before="120" w:after="120" w:line="240" w:lineRule="auto"/>
        <w:ind w:left="426" w:hanging="142"/>
        <w:jc w:val="both"/>
        <w:rPr>
          <w:rFonts w:ascii="Times New Roman" w:eastAsia="Times New Roman" w:hAnsi="Times New Roman" w:cs="Times New Roman"/>
          <w:bCs/>
        </w:rPr>
      </w:pPr>
      <w:r w:rsidRPr="00DF04E7">
        <w:rPr>
          <w:rFonts w:ascii="Times New Roman" w:eastAsia="Times New Roman" w:hAnsi="Times New Roman" w:cs="Times New Roman"/>
          <w:b/>
          <w:bCs/>
        </w:rPr>
        <w:t>A tantárgy meghirdetésének gyakorisága/a tantervben történő félévi elhelyezkedése:</w:t>
      </w:r>
      <w:r w:rsidRPr="00DF04E7">
        <w:rPr>
          <w:rFonts w:ascii="Times New Roman" w:hAnsi="Times New Roman" w:cs="Times New Roman"/>
          <w:bCs/>
        </w:rPr>
        <w:t xml:space="preserve"> I. félév</w:t>
      </w:r>
    </w:p>
    <w:p w:rsidR="00DF04E7" w:rsidRPr="00DF04E7" w:rsidRDefault="00DF04E7" w:rsidP="00C14833">
      <w:pPr>
        <w:widowControl w:val="0"/>
        <w:numPr>
          <w:ilvl w:val="0"/>
          <w:numId w:val="151"/>
        </w:numPr>
        <w:spacing w:before="120" w:after="120" w:line="240" w:lineRule="auto"/>
        <w:ind w:left="426" w:hanging="142"/>
        <w:jc w:val="both"/>
        <w:rPr>
          <w:rFonts w:ascii="Times New Roman" w:eastAsia="Times New Roman" w:hAnsi="Times New Roman" w:cs="Times New Roman"/>
          <w:bCs/>
        </w:rPr>
      </w:pPr>
      <w:r w:rsidRPr="00DF04E7">
        <w:rPr>
          <w:rFonts w:ascii="Times New Roman" w:eastAsia="Times New Roman" w:hAnsi="Times New Roman" w:cs="Times New Roman"/>
          <w:b/>
          <w:bCs/>
        </w:rPr>
        <w:t>A tanórákon való részvétel követelményei, az elfogadható hiányzások mértéke, a távolmaradás pótlásának lehetősége:</w:t>
      </w:r>
      <w:r w:rsidRPr="00DF04E7">
        <w:rPr>
          <w:rFonts w:ascii="Times New Roman" w:eastAsia="Times New Roman" w:hAnsi="Times New Roman" w:cs="Times New Roman"/>
          <w:bCs/>
        </w:rPr>
        <w:t xml:space="preserve"> </w:t>
      </w:r>
      <w:r w:rsidRPr="00DF04E7">
        <w:rPr>
          <w:rFonts w:ascii="Times New Roman" w:hAnsi="Times New Roman" w:cs="Times New Roman"/>
          <w:bCs/>
        </w:rPr>
        <w:t xml:space="preserve">A tanórák 70%-án történő aktív részvétel elengedhetetlen. A honvéd tisztjelöltek részvétele a foglalkozáson kötelező. Betegség, szabadság miatti hiányzások mértéke maximálisan 30% lehet. Vezénylés, szolgálat miatti távollét nem számít bele a hiányzásba. </w:t>
      </w:r>
      <w:r w:rsidRPr="00DF04E7">
        <w:rPr>
          <w:rFonts w:ascii="Times New Roman" w:eastAsia="Times New Roman" w:hAnsi="Times New Roman" w:cs="Times New Roman"/>
          <w:bCs/>
        </w:rPr>
        <w:t xml:space="preserve">A hallgatónak a tanórák legalább 70 %-án jelen kell lennie, 30 %-ot meghaladó </w:t>
      </w:r>
      <w:r w:rsidRPr="00DF04E7">
        <w:rPr>
          <w:rFonts w:ascii="Times New Roman" w:eastAsia="Times New Roman" w:hAnsi="Times New Roman" w:cs="Times New Roman"/>
          <w:bCs/>
        </w:rPr>
        <w:lastRenderedPageBreak/>
        <w:t>hiányzás esetén a félév teljesítése nem írható alá. A hallgató köteles a gyakorlat anyagát beszerezni, abból önállóan felkészülni.</w:t>
      </w:r>
    </w:p>
    <w:p w:rsidR="00DF04E7" w:rsidRPr="00DF04E7" w:rsidRDefault="00DF04E7" w:rsidP="00C14833">
      <w:pPr>
        <w:widowControl w:val="0"/>
        <w:numPr>
          <w:ilvl w:val="0"/>
          <w:numId w:val="151"/>
        </w:numPr>
        <w:spacing w:before="120" w:after="120" w:line="240" w:lineRule="auto"/>
        <w:ind w:left="426" w:hanging="142"/>
        <w:jc w:val="both"/>
        <w:rPr>
          <w:rFonts w:ascii="Times New Roman" w:eastAsia="Times New Roman" w:hAnsi="Times New Roman" w:cs="Times New Roman"/>
          <w:bCs/>
        </w:rPr>
      </w:pPr>
      <w:r w:rsidRPr="00DF04E7">
        <w:rPr>
          <w:rFonts w:ascii="Times New Roman" w:eastAsia="Times New Roman" w:hAnsi="Times New Roman" w:cs="Times New Roman"/>
          <w:b/>
          <w:bCs/>
        </w:rPr>
        <w:t>Félévközi</w:t>
      </w:r>
      <w:r w:rsidRPr="00DF04E7">
        <w:rPr>
          <w:rFonts w:ascii="Times New Roman" w:eastAsia="Times New Roman" w:hAnsi="Times New Roman" w:cs="Times New Roman"/>
          <w:b/>
        </w:rPr>
        <w:t xml:space="preserve"> feladatok, ismeretek ellenőrzésének rendje:</w:t>
      </w:r>
      <w:r w:rsidRPr="00DF04E7">
        <w:rPr>
          <w:rFonts w:ascii="Times New Roman" w:eastAsia="Times New Roman" w:hAnsi="Times New Roman" w:cs="Times New Roman"/>
          <w:bCs/>
        </w:rPr>
        <w:t xml:space="preserve"> </w:t>
      </w:r>
      <w:r w:rsidR="00F547E7" w:rsidRPr="00F547E7">
        <w:rPr>
          <w:rFonts w:ascii="Times New Roman" w:eastAsia="Times New Roman" w:hAnsi="Times New Roman" w:cs="Times New Roman"/>
        </w:rPr>
        <w:t>A tantárgynak 1-50 pontos normatáblája van, melyet a hallgató az első órán megkap.</w:t>
      </w:r>
      <w:r w:rsidR="00F547E7" w:rsidRPr="00F547E7">
        <w:rPr>
          <w:rFonts w:ascii="Times New Roman" w:eastAsia="Times New Roman" w:hAnsi="Times New Roman" w:cs="Times New Roman"/>
          <w:bCs/>
        </w:rPr>
        <w:t xml:space="preserve"> Az ismeretek ellenőrzése a különböző mozgásformák bemutatásával történik. Az oktató az alábbi szempontok alapján értékeli a hallgatót:</w:t>
      </w:r>
      <w:r w:rsidR="00F547E7" w:rsidRPr="00F547E7">
        <w:rPr>
          <w:rFonts w:ascii="Times New Roman" w:eastAsia="Calibri" w:hAnsi="Times New Roman" w:cs="Times New Roman"/>
        </w:rPr>
        <w:t xml:space="preserve"> az elégséges értékeléshez mozgásformánként el kell érni a minimum pontszámot (egy pont), valamint az összesített pontszám tekintetében el kell érni a 130 pontot. A mozgásformák a következők: 3200 m futás, fekvőtámasz, felülés, húzódzkodás. Sikertelen kísérlet esetén, a hallgatónak a félév folyamán kétszer van lehetősége a javításra.</w:t>
      </w:r>
    </w:p>
    <w:p w:rsidR="00DF04E7" w:rsidRPr="00DF04E7" w:rsidRDefault="00DF04E7" w:rsidP="00C14833">
      <w:pPr>
        <w:widowControl w:val="0"/>
        <w:numPr>
          <w:ilvl w:val="0"/>
          <w:numId w:val="151"/>
        </w:numPr>
        <w:spacing w:before="120" w:after="120" w:line="240" w:lineRule="auto"/>
        <w:ind w:left="426" w:hanging="142"/>
        <w:jc w:val="both"/>
        <w:rPr>
          <w:rFonts w:ascii="Times New Roman" w:eastAsia="Times New Roman" w:hAnsi="Times New Roman" w:cs="Times New Roman"/>
          <w:b/>
          <w:bCs/>
        </w:rPr>
      </w:pPr>
      <w:r w:rsidRPr="00DF04E7">
        <w:rPr>
          <w:rFonts w:ascii="Times New Roman" w:eastAsia="Times New Roman" w:hAnsi="Times New Roman" w:cs="Times New Roman"/>
          <w:b/>
          <w:bCs/>
        </w:rPr>
        <w:t xml:space="preserve">Az értékelés, az aláírás és a kreditek megszerzésének pontos feltételei: </w:t>
      </w:r>
      <w:r w:rsidRPr="00DF04E7">
        <w:rPr>
          <w:rFonts w:ascii="Times New Roman" w:hAnsi="Times New Roman" w:cs="Times New Roman"/>
          <w:bCs/>
        </w:rPr>
        <w:t>Az aláírás feltétele tanórák 70 %-án történő aktív részvétel</w:t>
      </w:r>
      <w:r w:rsidRPr="00DF04E7">
        <w:rPr>
          <w:rFonts w:ascii="Times New Roman" w:hAnsi="Times New Roman" w:cs="Times New Roman"/>
        </w:rPr>
        <w:t xml:space="preserve">, valamint az elégséges értékeléshez mozgásformánként el kell érni a minimum pontszámot, valamint az összesített pontszám tekintetében el kell érni a 130 pontot. </w:t>
      </w:r>
    </w:p>
    <w:p w:rsidR="00DF04E7" w:rsidRPr="00DF04E7" w:rsidRDefault="00DF04E7" w:rsidP="00C14833">
      <w:pPr>
        <w:pStyle w:val="Listaszerbekezds"/>
        <w:widowControl w:val="0"/>
        <w:numPr>
          <w:ilvl w:val="1"/>
          <w:numId w:val="151"/>
        </w:numPr>
        <w:spacing w:before="120" w:after="120" w:line="240" w:lineRule="auto"/>
        <w:ind w:left="993" w:hanging="574"/>
        <w:jc w:val="both"/>
        <w:rPr>
          <w:rFonts w:ascii="Times New Roman" w:eastAsia="Times New Roman" w:hAnsi="Times New Roman" w:cs="Times New Roman"/>
        </w:rPr>
      </w:pPr>
      <w:r w:rsidRPr="00DF04E7">
        <w:rPr>
          <w:rFonts w:ascii="Times New Roman" w:eastAsia="Times New Roman" w:hAnsi="Times New Roman" w:cs="Times New Roman"/>
          <w:b/>
        </w:rPr>
        <w:t>Az aláírás megszerzésének feltételei:</w:t>
      </w:r>
      <w:r w:rsidRPr="00DF04E7">
        <w:rPr>
          <w:rFonts w:ascii="Times New Roman" w:hAnsi="Times New Roman" w:cs="Times New Roman"/>
          <w:bCs/>
        </w:rPr>
        <w:t xml:space="preserve"> Az aláírás feltétele tanórák 70 %-án történő aktív részvétel</w:t>
      </w:r>
      <w:r w:rsidRPr="00DF04E7">
        <w:rPr>
          <w:rFonts w:ascii="Times New Roman" w:hAnsi="Times New Roman" w:cs="Times New Roman"/>
        </w:rPr>
        <w:t>. valamint az elégséges értékeléshez mozgásformánként el kell érni a minimum pontszámot, valamint az összesített pontszám tekintetében el kell érni a minimális 130 pontot.</w:t>
      </w:r>
    </w:p>
    <w:p w:rsidR="00DF04E7" w:rsidRPr="00DF04E7" w:rsidRDefault="00DF04E7" w:rsidP="00C14833">
      <w:pPr>
        <w:pStyle w:val="Listaszerbekezds"/>
        <w:widowControl w:val="0"/>
        <w:numPr>
          <w:ilvl w:val="1"/>
          <w:numId w:val="151"/>
        </w:numPr>
        <w:spacing w:before="120" w:after="120" w:line="240" w:lineRule="auto"/>
        <w:ind w:left="993" w:hanging="574"/>
        <w:jc w:val="both"/>
        <w:rPr>
          <w:rFonts w:ascii="Times New Roman" w:eastAsia="Times New Roman" w:hAnsi="Times New Roman" w:cs="Times New Roman"/>
        </w:rPr>
      </w:pPr>
      <w:r w:rsidRPr="00DF04E7">
        <w:rPr>
          <w:rFonts w:ascii="Times New Roman" w:eastAsia="Times New Roman" w:hAnsi="Times New Roman" w:cs="Times New Roman"/>
          <w:b/>
        </w:rPr>
        <w:t>Az értékelés:</w:t>
      </w:r>
      <w:r w:rsidRPr="00DF04E7">
        <w:rPr>
          <w:rFonts w:ascii="Times New Roman" w:eastAsia="Times New Roman" w:hAnsi="Times New Roman" w:cs="Times New Roman"/>
        </w:rPr>
        <w:t xml:space="preserve"> Gyakorlati jegy megszerzése: A</w:t>
      </w:r>
      <w:r w:rsidRPr="00DF04E7">
        <w:rPr>
          <w:rFonts w:ascii="Times New Roman" w:hAnsi="Times New Roman" w:cs="Times New Roman"/>
        </w:rPr>
        <w:t>z elégséges értékeléshez mozgásformánként el kell érni a minimum pontszámot, valamint az összesített pontszám tekintetében el kell érni a minimális 130 pontot. 130-199 pont elégséges, 200-269 pont közepes, 270-339 pont jó 340-400 kiváló osztályzatot jelent</w:t>
      </w:r>
      <w:r w:rsidRPr="00DF04E7">
        <w:rPr>
          <w:rFonts w:ascii="Times New Roman" w:eastAsia="Times New Roman" w:hAnsi="Times New Roman" w:cs="Times New Roman"/>
        </w:rPr>
        <w:t>.</w:t>
      </w:r>
    </w:p>
    <w:p w:rsidR="00DF04E7" w:rsidRPr="00DF04E7" w:rsidRDefault="00DF04E7" w:rsidP="00C14833">
      <w:pPr>
        <w:pStyle w:val="Listaszerbekezds"/>
        <w:widowControl w:val="0"/>
        <w:numPr>
          <w:ilvl w:val="1"/>
          <w:numId w:val="151"/>
        </w:numPr>
        <w:spacing w:before="120" w:after="120" w:line="240" w:lineRule="auto"/>
        <w:ind w:left="993" w:hanging="574"/>
        <w:jc w:val="both"/>
        <w:rPr>
          <w:rFonts w:ascii="Times New Roman" w:eastAsia="Times New Roman" w:hAnsi="Times New Roman" w:cs="Times New Roman"/>
        </w:rPr>
      </w:pPr>
      <w:r w:rsidRPr="00DF04E7">
        <w:rPr>
          <w:rFonts w:ascii="Times New Roman" w:eastAsia="Times New Roman" w:hAnsi="Times New Roman" w:cs="Times New Roman"/>
          <w:b/>
        </w:rPr>
        <w:t xml:space="preserve">A kreditek megszerzésének feltételei: </w:t>
      </w:r>
      <w:r w:rsidRPr="00DF04E7">
        <w:rPr>
          <w:rFonts w:ascii="Times New Roman" w:eastAsia="Times New Roman" w:hAnsi="Times New Roman" w:cs="Times New Roman"/>
        </w:rPr>
        <w:t>A mozgásformák minimum szintjeinek és a minimum összpontszámnak az elérése.</w:t>
      </w:r>
    </w:p>
    <w:p w:rsidR="00DF04E7" w:rsidRPr="00DF04E7" w:rsidRDefault="00DF04E7" w:rsidP="00C14833">
      <w:pPr>
        <w:widowControl w:val="0"/>
        <w:numPr>
          <w:ilvl w:val="0"/>
          <w:numId w:val="151"/>
        </w:numPr>
        <w:spacing w:before="120" w:after="120" w:line="240" w:lineRule="auto"/>
        <w:ind w:left="426" w:hanging="142"/>
        <w:jc w:val="both"/>
        <w:rPr>
          <w:rFonts w:ascii="Times New Roman" w:eastAsia="Times New Roman" w:hAnsi="Times New Roman" w:cs="Times New Roman"/>
          <w:bCs/>
        </w:rPr>
      </w:pPr>
      <w:r w:rsidRPr="00DF04E7">
        <w:rPr>
          <w:rFonts w:ascii="Times New Roman" w:eastAsia="Times New Roman" w:hAnsi="Times New Roman" w:cs="Times New Roman"/>
          <w:b/>
          <w:bCs/>
        </w:rPr>
        <w:t>Irodalomjegyzék:</w:t>
      </w:r>
    </w:p>
    <w:p w:rsidR="00DF04E7" w:rsidRPr="00DF04E7" w:rsidRDefault="00DF04E7" w:rsidP="00DF04E7">
      <w:pPr>
        <w:widowControl w:val="0"/>
        <w:tabs>
          <w:tab w:val="left" w:pos="567"/>
          <w:tab w:val="left" w:pos="851"/>
        </w:tabs>
        <w:spacing w:before="120" w:after="120" w:line="240" w:lineRule="auto"/>
        <w:jc w:val="both"/>
        <w:rPr>
          <w:rFonts w:ascii="Times New Roman" w:eastAsia="Times New Roman" w:hAnsi="Times New Roman" w:cs="Times New Roman"/>
          <w:bCs/>
        </w:rPr>
      </w:pPr>
      <w:r w:rsidRPr="00DF04E7">
        <w:rPr>
          <w:rFonts w:ascii="Times New Roman" w:eastAsia="Times New Roman" w:hAnsi="Times New Roman" w:cs="Times New Roman"/>
          <w:b/>
          <w:bCs/>
        </w:rPr>
        <w:t>17.1. Kötelező irodalom:</w:t>
      </w:r>
    </w:p>
    <w:p w:rsidR="00DF04E7" w:rsidRPr="00DF04E7" w:rsidRDefault="00DF04E7" w:rsidP="00C14833">
      <w:pPr>
        <w:widowControl w:val="0"/>
        <w:numPr>
          <w:ilvl w:val="0"/>
          <w:numId w:val="152"/>
        </w:numPr>
        <w:spacing w:after="0" w:line="240" w:lineRule="auto"/>
        <w:jc w:val="both"/>
        <w:rPr>
          <w:rFonts w:ascii="Times New Roman" w:eastAsia="Times New Roman" w:hAnsi="Times New Roman" w:cs="Times New Roman"/>
        </w:rPr>
      </w:pPr>
      <w:r w:rsidRPr="00DF04E7">
        <w:rPr>
          <w:rFonts w:ascii="Times New Roman" w:hAnsi="Times New Roman" w:cs="Times New Roman"/>
        </w:rPr>
        <w:t>A Magyar Honvédség Katonai Testnevelés Kiképzés és Sportbajnokságok szabályzata (A Magyar Honvédség Kiadványa 2017)</w:t>
      </w:r>
    </w:p>
    <w:p w:rsidR="00DF04E7" w:rsidRPr="00DF04E7" w:rsidRDefault="00DF04E7" w:rsidP="00DF04E7">
      <w:pPr>
        <w:widowControl w:val="0"/>
        <w:spacing w:before="120" w:after="120" w:line="240" w:lineRule="auto"/>
        <w:jc w:val="both"/>
        <w:rPr>
          <w:rFonts w:ascii="Times New Roman" w:eastAsia="Times New Roman" w:hAnsi="Times New Roman" w:cs="Times New Roman"/>
          <w:b/>
          <w:bCs/>
        </w:rPr>
      </w:pPr>
      <w:r w:rsidRPr="00DF04E7">
        <w:rPr>
          <w:rFonts w:ascii="Times New Roman" w:eastAsia="Times New Roman" w:hAnsi="Times New Roman" w:cs="Times New Roman"/>
          <w:b/>
          <w:bCs/>
        </w:rPr>
        <w:t>17.2. Ajánlott irodalom:</w:t>
      </w:r>
    </w:p>
    <w:p w:rsidR="00DF04E7" w:rsidRPr="00DF04E7" w:rsidRDefault="00DF04E7" w:rsidP="00C14833">
      <w:pPr>
        <w:pStyle w:val="Listaszerbekezds"/>
        <w:widowControl w:val="0"/>
        <w:numPr>
          <w:ilvl w:val="0"/>
          <w:numId w:val="153"/>
        </w:numPr>
        <w:spacing w:after="0" w:line="240" w:lineRule="auto"/>
        <w:jc w:val="both"/>
        <w:rPr>
          <w:rFonts w:ascii="Times New Roman" w:eastAsia="Times New Roman" w:hAnsi="Times New Roman" w:cs="Times New Roman"/>
        </w:rPr>
      </w:pPr>
      <w:r w:rsidRPr="00DF04E7">
        <w:rPr>
          <w:rFonts w:ascii="Times New Roman" w:hAnsi="Times New Roman" w:cs="Times New Roman"/>
          <w:bCs/>
        </w:rPr>
        <w:t xml:space="preserve">Nádori László: Az edzés elmélete és módszertana MTE jegyzet 1991 </w:t>
      </w:r>
      <w:r w:rsidRPr="00DF04E7">
        <w:rPr>
          <w:rFonts w:ascii="Times New Roman" w:eastAsia="Times New Roman" w:hAnsi="Times New Roman" w:cs="Times New Roman"/>
        </w:rPr>
        <w:t>ISBN: 963-253-033-0</w:t>
      </w:r>
    </w:p>
    <w:p w:rsidR="00DF04E7" w:rsidRPr="00DF04E7" w:rsidRDefault="00DF04E7" w:rsidP="00C14833">
      <w:pPr>
        <w:pStyle w:val="Listaszerbekezds"/>
        <w:widowControl w:val="0"/>
        <w:numPr>
          <w:ilvl w:val="0"/>
          <w:numId w:val="153"/>
        </w:numPr>
        <w:spacing w:after="0" w:line="240" w:lineRule="auto"/>
        <w:jc w:val="both"/>
        <w:rPr>
          <w:rFonts w:ascii="Times New Roman" w:eastAsia="Times New Roman" w:hAnsi="Times New Roman" w:cs="Times New Roman"/>
        </w:rPr>
      </w:pPr>
      <w:r w:rsidRPr="00DF04E7">
        <w:rPr>
          <w:rFonts w:ascii="Times New Roman" w:hAnsi="Times New Roman" w:cs="Times New Roman"/>
        </w:rPr>
        <w:t>Arold Imre: Az úszás oktatása Sport kiadó 1979 ISBN:9632530187</w:t>
      </w:r>
    </w:p>
    <w:p w:rsidR="00DF04E7" w:rsidRPr="00DF04E7" w:rsidRDefault="00DF04E7" w:rsidP="00DF04E7">
      <w:pPr>
        <w:pStyle w:val="Listaszerbekezds"/>
        <w:widowControl w:val="0"/>
        <w:spacing w:after="0" w:line="240" w:lineRule="auto"/>
        <w:jc w:val="both"/>
        <w:rPr>
          <w:rFonts w:ascii="Times New Roman" w:eastAsia="Times New Roman" w:hAnsi="Times New Roman" w:cs="Times New Roman"/>
        </w:rPr>
      </w:pPr>
    </w:p>
    <w:p w:rsidR="00DF04E7" w:rsidRPr="00DF04E7" w:rsidRDefault="00DF04E7" w:rsidP="006708B2">
      <w:pPr>
        <w:widowControl w:val="0"/>
        <w:spacing w:before="120" w:after="120" w:line="240" w:lineRule="auto"/>
        <w:ind w:firstLine="360"/>
        <w:jc w:val="both"/>
        <w:rPr>
          <w:rFonts w:ascii="Times New Roman" w:eastAsia="Times New Roman" w:hAnsi="Times New Roman" w:cs="Times New Roman"/>
          <w:bCs/>
        </w:rPr>
      </w:pPr>
      <w:r w:rsidRPr="00DF04E7">
        <w:rPr>
          <w:rFonts w:ascii="Times New Roman" w:eastAsia="Times New Roman" w:hAnsi="Times New Roman" w:cs="Times New Roman"/>
          <w:bCs/>
        </w:rPr>
        <w:t>Budapest, 2020-01-21.</w:t>
      </w:r>
    </w:p>
    <w:p w:rsidR="00DF04E7" w:rsidRPr="00DF04E7" w:rsidRDefault="00DF04E7" w:rsidP="00DF04E7">
      <w:pPr>
        <w:widowControl w:val="0"/>
        <w:spacing w:before="120" w:after="120" w:line="240" w:lineRule="auto"/>
        <w:jc w:val="both"/>
        <w:rPr>
          <w:rFonts w:ascii="Times New Roman" w:eastAsia="Times New Roman" w:hAnsi="Times New Roman" w:cs="Times New Roman"/>
          <w:bCs/>
        </w:rPr>
      </w:pPr>
    </w:p>
    <w:p w:rsidR="00DF04E7" w:rsidRPr="00DF04E7" w:rsidRDefault="00DF04E7" w:rsidP="006708B2">
      <w:pPr>
        <w:widowControl w:val="0"/>
        <w:spacing w:after="0" w:line="240" w:lineRule="auto"/>
        <w:ind w:left="6237"/>
        <w:jc w:val="center"/>
        <w:rPr>
          <w:rFonts w:ascii="Times New Roman" w:eastAsia="Times New Roman" w:hAnsi="Times New Roman" w:cs="Times New Roman"/>
          <w:b/>
          <w:bCs/>
        </w:rPr>
      </w:pPr>
      <w:r w:rsidRPr="00DF04E7">
        <w:rPr>
          <w:rFonts w:ascii="Times New Roman" w:eastAsia="Times New Roman" w:hAnsi="Times New Roman" w:cs="Times New Roman"/>
          <w:b/>
          <w:bCs/>
        </w:rPr>
        <w:t>Molnár Imre alezredes,</w:t>
      </w:r>
    </w:p>
    <w:p w:rsidR="00DF04E7" w:rsidRPr="00DF04E7" w:rsidRDefault="00DF04E7" w:rsidP="006708B2">
      <w:pPr>
        <w:widowControl w:val="0"/>
        <w:spacing w:after="0" w:line="240" w:lineRule="auto"/>
        <w:ind w:left="6237"/>
        <w:jc w:val="center"/>
        <w:rPr>
          <w:rFonts w:ascii="Times New Roman" w:eastAsia="Times New Roman" w:hAnsi="Times New Roman" w:cs="Times New Roman"/>
          <w:bCs/>
        </w:rPr>
      </w:pPr>
      <w:r w:rsidRPr="00DF04E7">
        <w:rPr>
          <w:rFonts w:ascii="Times New Roman" w:eastAsia="Times New Roman" w:hAnsi="Times New Roman" w:cs="Times New Roman"/>
          <w:bCs/>
        </w:rPr>
        <w:t>KTSK testnevelő tanár, sk</w:t>
      </w:r>
      <w:r w:rsidRPr="00DF04E7">
        <w:rPr>
          <w:rFonts w:ascii="Times New Roman" w:eastAsia="Times New Roman" w:hAnsi="Times New Roman" w:cs="Times New Roman"/>
          <w:bCs/>
          <w:highlight w:val="lightGray"/>
        </w:rPr>
        <w:t>.</w:t>
      </w:r>
    </w:p>
    <w:p w:rsidR="00DF04E7" w:rsidRDefault="00DF04E7">
      <w:pPr>
        <w:spacing w:after="200" w:line="276" w:lineRule="auto"/>
        <w:rPr>
          <w:rFonts w:ascii="Times New Roman" w:hAnsi="Times New Roman" w:cs="Times New Roman"/>
          <w:sz w:val="24"/>
        </w:rPr>
      </w:pPr>
    </w:p>
    <w:p w:rsidR="009B01B1" w:rsidRDefault="009B01B1">
      <w:pPr>
        <w:spacing w:after="200" w:line="276" w:lineRule="auto"/>
        <w:rPr>
          <w:rFonts w:ascii="Times New Roman" w:hAnsi="Times New Roman" w:cs="Times New Roman"/>
          <w:sz w:val="24"/>
        </w:rPr>
      </w:pPr>
      <w:r>
        <w:rPr>
          <w:rFonts w:ascii="Times New Roman" w:hAnsi="Times New Roman" w:cs="Times New Roman"/>
          <w:sz w:val="24"/>
        </w:rPr>
        <w:br w:type="page"/>
      </w:r>
    </w:p>
    <w:tbl>
      <w:tblPr>
        <w:tblW w:w="11669" w:type="dxa"/>
        <w:tblInd w:w="113" w:type="dxa"/>
        <w:tblLook w:val="01E0" w:firstRow="1" w:lastRow="1" w:firstColumn="1" w:lastColumn="1" w:noHBand="0" w:noVBand="0"/>
      </w:tblPr>
      <w:tblGrid>
        <w:gridCol w:w="4855"/>
        <w:gridCol w:w="1620"/>
        <w:gridCol w:w="2597"/>
        <w:gridCol w:w="2597"/>
      </w:tblGrid>
      <w:tr w:rsidR="007D48C9" w:rsidRPr="0036536D" w:rsidTr="007D48C9">
        <w:tc>
          <w:tcPr>
            <w:tcW w:w="4855" w:type="dxa"/>
            <w:tcBorders>
              <w:top w:val="nil"/>
              <w:left w:val="nil"/>
              <w:bottom w:val="single" w:sz="4" w:space="0" w:color="auto"/>
              <w:right w:val="nil"/>
            </w:tcBorders>
            <w:hideMark/>
          </w:tcPr>
          <w:p w:rsidR="007D48C9" w:rsidRPr="0036536D" w:rsidRDefault="007D48C9">
            <w:pPr>
              <w:spacing w:after="0" w:line="240" w:lineRule="auto"/>
              <w:jc w:val="center"/>
              <w:rPr>
                <w:rFonts w:ascii="Times New Roman" w:eastAsia="Times New Roman" w:hAnsi="Times New Roman" w:cs="Times New Roman"/>
                <w:b/>
                <w:smallCaps/>
                <w:lang w:eastAsia="hu-HU"/>
              </w:rPr>
            </w:pPr>
            <w:r w:rsidRPr="0036536D">
              <w:rPr>
                <w:rFonts w:ascii="Times New Roman" w:eastAsia="Times New Roman" w:hAnsi="Times New Roman" w:cs="Times New Roman"/>
                <w:b/>
                <w:smallCaps/>
                <w:lang w:eastAsia="hu-HU"/>
              </w:rPr>
              <w:lastRenderedPageBreak/>
              <w:t>Nemzeti Közszolgálati Egyetem</w:t>
            </w:r>
          </w:p>
        </w:tc>
        <w:tc>
          <w:tcPr>
            <w:tcW w:w="1620" w:type="dxa"/>
          </w:tcPr>
          <w:p w:rsidR="007D48C9" w:rsidRPr="0036536D" w:rsidRDefault="007D48C9">
            <w:pPr>
              <w:spacing w:after="0" w:line="240" w:lineRule="auto"/>
              <w:jc w:val="both"/>
              <w:rPr>
                <w:rFonts w:ascii="Times New Roman" w:eastAsia="Times New Roman" w:hAnsi="Times New Roman" w:cs="Times New Roman"/>
                <w:lang w:eastAsia="hu-HU"/>
              </w:rPr>
            </w:pPr>
          </w:p>
        </w:tc>
        <w:tc>
          <w:tcPr>
            <w:tcW w:w="2597" w:type="dxa"/>
          </w:tcPr>
          <w:p w:rsidR="007D48C9" w:rsidRPr="0036536D" w:rsidRDefault="007D48C9">
            <w:pPr>
              <w:spacing w:after="0" w:line="240" w:lineRule="auto"/>
              <w:jc w:val="right"/>
              <w:rPr>
                <w:rFonts w:ascii="Times New Roman" w:eastAsia="Times New Roman" w:hAnsi="Times New Roman" w:cs="Times New Roman"/>
                <w:lang w:eastAsia="hu-HU"/>
              </w:rPr>
            </w:pPr>
          </w:p>
        </w:tc>
        <w:tc>
          <w:tcPr>
            <w:tcW w:w="2597" w:type="dxa"/>
          </w:tcPr>
          <w:p w:rsidR="007D48C9" w:rsidRPr="0036536D" w:rsidRDefault="007D48C9">
            <w:pPr>
              <w:spacing w:after="0" w:line="240" w:lineRule="auto"/>
              <w:jc w:val="right"/>
              <w:rPr>
                <w:rFonts w:ascii="Times New Roman" w:eastAsia="Times New Roman" w:hAnsi="Times New Roman" w:cs="Times New Roman"/>
                <w:lang w:eastAsia="hu-HU"/>
              </w:rPr>
            </w:pPr>
          </w:p>
        </w:tc>
      </w:tr>
      <w:tr w:rsidR="007D48C9" w:rsidRPr="0036536D" w:rsidTr="007D48C9">
        <w:tc>
          <w:tcPr>
            <w:tcW w:w="4855" w:type="dxa"/>
            <w:tcBorders>
              <w:top w:val="single" w:sz="4" w:space="0" w:color="auto"/>
              <w:left w:val="nil"/>
              <w:bottom w:val="nil"/>
              <w:right w:val="nil"/>
            </w:tcBorders>
            <w:hideMark/>
          </w:tcPr>
          <w:p w:rsidR="007D48C9" w:rsidRPr="0036536D" w:rsidRDefault="007D48C9">
            <w:pPr>
              <w:spacing w:after="0" w:line="240" w:lineRule="auto"/>
              <w:jc w:val="center"/>
              <w:rPr>
                <w:rFonts w:ascii="Times New Roman" w:eastAsia="Times New Roman" w:hAnsi="Times New Roman" w:cs="Times New Roman"/>
                <w:b/>
                <w:lang w:eastAsia="hu-HU"/>
              </w:rPr>
            </w:pPr>
            <w:r w:rsidRPr="0036536D">
              <w:rPr>
                <w:rFonts w:ascii="Times New Roman" w:hAnsi="Times New Roman" w:cs="Times New Roman"/>
                <w:b/>
              </w:rPr>
              <w:t>Hadtudományi és Honvédtisztképző Kar</w:t>
            </w:r>
          </w:p>
        </w:tc>
        <w:tc>
          <w:tcPr>
            <w:tcW w:w="1620" w:type="dxa"/>
          </w:tcPr>
          <w:p w:rsidR="007D48C9" w:rsidRPr="0036536D" w:rsidRDefault="007D48C9">
            <w:pPr>
              <w:spacing w:after="0" w:line="240" w:lineRule="auto"/>
              <w:jc w:val="both"/>
              <w:rPr>
                <w:rFonts w:ascii="Times New Roman" w:eastAsia="Times New Roman" w:hAnsi="Times New Roman" w:cs="Times New Roman"/>
                <w:lang w:eastAsia="hu-HU"/>
              </w:rPr>
            </w:pPr>
          </w:p>
        </w:tc>
        <w:tc>
          <w:tcPr>
            <w:tcW w:w="2597" w:type="dxa"/>
          </w:tcPr>
          <w:p w:rsidR="007D48C9" w:rsidRPr="0036536D" w:rsidRDefault="007D48C9">
            <w:pPr>
              <w:spacing w:after="0" w:line="240" w:lineRule="auto"/>
              <w:jc w:val="both"/>
              <w:rPr>
                <w:rFonts w:ascii="Times New Roman" w:eastAsia="Times New Roman" w:hAnsi="Times New Roman" w:cs="Times New Roman"/>
                <w:lang w:eastAsia="hu-HU"/>
              </w:rPr>
            </w:pPr>
          </w:p>
        </w:tc>
        <w:tc>
          <w:tcPr>
            <w:tcW w:w="2597" w:type="dxa"/>
          </w:tcPr>
          <w:p w:rsidR="007D48C9" w:rsidRPr="0036536D" w:rsidRDefault="007D48C9">
            <w:pPr>
              <w:spacing w:after="0" w:line="240" w:lineRule="auto"/>
              <w:jc w:val="both"/>
              <w:rPr>
                <w:rFonts w:ascii="Times New Roman" w:eastAsia="Times New Roman" w:hAnsi="Times New Roman" w:cs="Times New Roman"/>
                <w:lang w:eastAsia="hu-HU"/>
              </w:rPr>
            </w:pPr>
          </w:p>
        </w:tc>
      </w:tr>
    </w:tbl>
    <w:p w:rsidR="007D48C9" w:rsidRPr="0036536D" w:rsidRDefault="007D48C9" w:rsidP="007D48C9">
      <w:pPr>
        <w:widowControl w:val="0"/>
        <w:spacing w:before="120" w:after="120" w:line="240" w:lineRule="auto"/>
        <w:ind w:left="426" w:hanging="142"/>
        <w:jc w:val="center"/>
        <w:rPr>
          <w:rFonts w:ascii="Times New Roman" w:eastAsia="Times New Roman" w:hAnsi="Times New Roman" w:cs="Times New Roman"/>
          <w:b/>
          <w:bCs/>
        </w:rPr>
      </w:pPr>
    </w:p>
    <w:p w:rsidR="007D48C9" w:rsidRPr="0036536D" w:rsidRDefault="007D48C9" w:rsidP="007D48C9">
      <w:pPr>
        <w:widowControl w:val="0"/>
        <w:spacing w:before="120" w:after="120" w:line="240" w:lineRule="auto"/>
        <w:ind w:left="426" w:hanging="142"/>
        <w:jc w:val="center"/>
        <w:rPr>
          <w:rFonts w:ascii="Times New Roman" w:eastAsia="Times New Roman" w:hAnsi="Times New Roman" w:cs="Times New Roman"/>
          <w:b/>
          <w:bCs/>
        </w:rPr>
      </w:pPr>
      <w:r w:rsidRPr="0036536D">
        <w:rPr>
          <w:rFonts w:ascii="Times New Roman" w:eastAsia="Times New Roman" w:hAnsi="Times New Roman" w:cs="Times New Roman"/>
          <w:b/>
          <w:bCs/>
        </w:rPr>
        <w:t>TANTÁRGYI PROGRAM</w:t>
      </w:r>
    </w:p>
    <w:p w:rsidR="007D48C9" w:rsidRPr="0036536D" w:rsidRDefault="007D48C9" w:rsidP="00C14833">
      <w:pPr>
        <w:widowControl w:val="0"/>
        <w:numPr>
          <w:ilvl w:val="0"/>
          <w:numId w:val="144"/>
        </w:numPr>
        <w:tabs>
          <w:tab w:val="num" w:pos="785"/>
        </w:tabs>
        <w:spacing w:before="120" w:after="120" w:line="240" w:lineRule="auto"/>
        <w:ind w:left="426" w:hanging="142"/>
        <w:rPr>
          <w:rFonts w:ascii="Times New Roman" w:eastAsia="Times New Roman" w:hAnsi="Times New Roman" w:cs="Times New Roman"/>
          <w:bCs/>
        </w:rPr>
      </w:pPr>
      <w:r w:rsidRPr="0036536D">
        <w:rPr>
          <w:rFonts w:ascii="Times New Roman" w:eastAsia="Times New Roman" w:hAnsi="Times New Roman" w:cs="Times New Roman"/>
          <w:b/>
          <w:bCs/>
        </w:rPr>
        <w:t xml:space="preserve">A tantárgy kódja: </w:t>
      </w:r>
      <w:r w:rsidRPr="0036536D">
        <w:rPr>
          <w:rFonts w:ascii="Times New Roman" w:hAnsi="Times New Roman" w:cs="Times New Roman"/>
          <w:bCs/>
        </w:rPr>
        <w:t>HKTSKA02</w:t>
      </w:r>
    </w:p>
    <w:p w:rsidR="007D48C9" w:rsidRPr="0036536D" w:rsidRDefault="007D48C9" w:rsidP="00C14833">
      <w:pPr>
        <w:widowControl w:val="0"/>
        <w:numPr>
          <w:ilvl w:val="0"/>
          <w:numId w:val="144"/>
        </w:numPr>
        <w:tabs>
          <w:tab w:val="num" w:pos="785"/>
        </w:tabs>
        <w:spacing w:before="120" w:after="120" w:line="240" w:lineRule="auto"/>
        <w:ind w:left="426" w:hanging="142"/>
        <w:rPr>
          <w:rFonts w:ascii="Times New Roman" w:eastAsia="Times New Roman" w:hAnsi="Times New Roman" w:cs="Times New Roman"/>
          <w:b/>
          <w:bCs/>
          <w:lang w:val="en-GB"/>
        </w:rPr>
      </w:pPr>
      <w:r w:rsidRPr="0036536D">
        <w:rPr>
          <w:rFonts w:ascii="Times New Roman" w:eastAsia="Times New Roman" w:hAnsi="Times New Roman" w:cs="Times New Roman"/>
          <w:b/>
          <w:bCs/>
        </w:rPr>
        <w:t>A tantárgy megnevezése (magyarul):</w:t>
      </w:r>
      <w:r w:rsidRPr="0036536D">
        <w:rPr>
          <w:rFonts w:ascii="Times New Roman" w:eastAsia="Times New Roman" w:hAnsi="Times New Roman" w:cs="Times New Roman"/>
          <w:bCs/>
        </w:rPr>
        <w:t xml:space="preserve"> </w:t>
      </w:r>
      <w:r w:rsidRPr="0036536D">
        <w:rPr>
          <w:rFonts w:ascii="Times New Roman" w:hAnsi="Times New Roman" w:cs="Times New Roman"/>
          <w:bCs/>
        </w:rPr>
        <w:t xml:space="preserve">Katonai testnevelés II. </w:t>
      </w:r>
    </w:p>
    <w:p w:rsidR="007D48C9" w:rsidRPr="0036536D" w:rsidRDefault="007D48C9" w:rsidP="00C14833">
      <w:pPr>
        <w:widowControl w:val="0"/>
        <w:numPr>
          <w:ilvl w:val="0"/>
          <w:numId w:val="144"/>
        </w:numPr>
        <w:tabs>
          <w:tab w:val="num" w:pos="785"/>
        </w:tabs>
        <w:spacing w:before="120" w:after="120" w:line="240" w:lineRule="auto"/>
        <w:ind w:left="426" w:hanging="142"/>
        <w:rPr>
          <w:rFonts w:ascii="Times New Roman" w:eastAsia="Times New Roman" w:hAnsi="Times New Roman" w:cs="Times New Roman"/>
          <w:b/>
          <w:bCs/>
          <w:lang w:val="en-GB"/>
        </w:rPr>
      </w:pPr>
      <w:r w:rsidRPr="0036536D">
        <w:rPr>
          <w:rFonts w:ascii="Times New Roman" w:eastAsia="Times New Roman" w:hAnsi="Times New Roman" w:cs="Times New Roman"/>
          <w:b/>
          <w:bCs/>
        </w:rPr>
        <w:t xml:space="preserve">A tantárgy megnevezése (angolul): </w:t>
      </w:r>
      <w:r w:rsidRPr="0036536D">
        <w:rPr>
          <w:rFonts w:ascii="Times New Roman" w:hAnsi="Times New Roman" w:cs="Times New Roman"/>
          <w:bCs/>
        </w:rPr>
        <w:t>Military Physical Education II.</w:t>
      </w:r>
      <w:r w:rsidRPr="0036536D">
        <w:rPr>
          <w:rFonts w:ascii="Times New Roman" w:eastAsia="Times New Roman" w:hAnsi="Times New Roman" w:cs="Times New Roman"/>
          <w:bCs/>
          <w:highlight w:val="lightGray"/>
        </w:rPr>
        <w:t xml:space="preserve"> </w:t>
      </w:r>
    </w:p>
    <w:p w:rsidR="007D48C9" w:rsidRPr="0036536D" w:rsidRDefault="007D48C9" w:rsidP="00C14833">
      <w:pPr>
        <w:widowControl w:val="0"/>
        <w:numPr>
          <w:ilvl w:val="0"/>
          <w:numId w:val="144"/>
        </w:numPr>
        <w:tabs>
          <w:tab w:val="num" w:pos="785"/>
        </w:tabs>
        <w:spacing w:before="120" w:after="120" w:line="240" w:lineRule="auto"/>
        <w:ind w:left="426" w:hanging="142"/>
        <w:rPr>
          <w:rFonts w:ascii="Times New Roman" w:eastAsia="Times New Roman" w:hAnsi="Times New Roman" w:cs="Times New Roman"/>
          <w:b/>
          <w:bCs/>
        </w:rPr>
      </w:pPr>
      <w:r w:rsidRPr="0036536D">
        <w:rPr>
          <w:rFonts w:ascii="Times New Roman" w:eastAsia="Times New Roman" w:hAnsi="Times New Roman" w:cs="Times New Roman"/>
          <w:b/>
          <w:bCs/>
        </w:rPr>
        <w:t xml:space="preserve">Kreditérték és képzési karakter: </w:t>
      </w:r>
    </w:p>
    <w:p w:rsidR="007D48C9" w:rsidRPr="0036536D" w:rsidRDefault="007D48C9" w:rsidP="00C14833">
      <w:pPr>
        <w:pStyle w:val="Listaszerbekezds"/>
        <w:widowControl w:val="0"/>
        <w:numPr>
          <w:ilvl w:val="1"/>
          <w:numId w:val="144"/>
        </w:numPr>
        <w:spacing w:before="120" w:after="120" w:line="240" w:lineRule="auto"/>
        <w:ind w:left="993" w:hanging="426"/>
        <w:rPr>
          <w:rFonts w:ascii="Times New Roman" w:eastAsia="Times New Roman" w:hAnsi="Times New Roman" w:cs="Times New Roman"/>
          <w:b/>
          <w:bCs/>
        </w:rPr>
      </w:pPr>
      <w:r w:rsidRPr="0036536D">
        <w:rPr>
          <w:rFonts w:ascii="Times New Roman" w:eastAsia="Times New Roman" w:hAnsi="Times New Roman" w:cs="Times New Roman"/>
          <w:bCs/>
        </w:rPr>
        <w:t>2 kredit</w:t>
      </w:r>
    </w:p>
    <w:p w:rsidR="007D48C9" w:rsidRPr="0036536D" w:rsidRDefault="007D48C9" w:rsidP="00C14833">
      <w:pPr>
        <w:pStyle w:val="Listaszerbekezds"/>
        <w:widowControl w:val="0"/>
        <w:numPr>
          <w:ilvl w:val="1"/>
          <w:numId w:val="144"/>
        </w:numPr>
        <w:spacing w:before="120" w:after="120" w:line="240" w:lineRule="auto"/>
        <w:ind w:left="993" w:hanging="426"/>
        <w:rPr>
          <w:rFonts w:ascii="Times New Roman" w:eastAsia="Times New Roman" w:hAnsi="Times New Roman" w:cs="Times New Roman"/>
          <w:b/>
          <w:bCs/>
        </w:rPr>
      </w:pPr>
      <w:r w:rsidRPr="0036536D">
        <w:rPr>
          <w:rFonts w:ascii="Times New Roman" w:eastAsia="Times New Roman" w:hAnsi="Times New Roman" w:cs="Times New Roman"/>
          <w:bCs/>
        </w:rPr>
        <w:t>a tantárgy elméleti vagy gyakorlati jellegének mértéke: 100</w:t>
      </w:r>
      <w:r w:rsidRPr="0036536D">
        <w:rPr>
          <w:rFonts w:ascii="Times New Roman" w:eastAsia="Times New Roman" w:hAnsi="Times New Roman" w:cs="Times New Roman"/>
          <w:b/>
          <w:bCs/>
        </w:rPr>
        <w:t xml:space="preserve"> </w:t>
      </w:r>
      <w:r w:rsidRPr="0036536D">
        <w:rPr>
          <w:rFonts w:ascii="Times New Roman" w:eastAsia="Times New Roman" w:hAnsi="Times New Roman" w:cs="Times New Roman"/>
          <w:bCs/>
        </w:rPr>
        <w:t xml:space="preserve">% gyakorlat, </w:t>
      </w:r>
    </w:p>
    <w:p w:rsidR="007D48C9" w:rsidRPr="0036536D" w:rsidRDefault="007D48C9" w:rsidP="00C14833">
      <w:pPr>
        <w:widowControl w:val="0"/>
        <w:numPr>
          <w:ilvl w:val="0"/>
          <w:numId w:val="144"/>
        </w:numPr>
        <w:tabs>
          <w:tab w:val="num" w:pos="785"/>
        </w:tabs>
        <w:spacing w:before="120" w:after="120" w:line="240" w:lineRule="auto"/>
        <w:ind w:left="426" w:hanging="142"/>
        <w:jc w:val="both"/>
        <w:rPr>
          <w:rFonts w:ascii="Times New Roman" w:eastAsia="Times New Roman" w:hAnsi="Times New Roman" w:cs="Times New Roman"/>
          <w:bCs/>
        </w:rPr>
      </w:pPr>
      <w:r w:rsidRPr="0036536D">
        <w:rPr>
          <w:rFonts w:ascii="Times New Roman" w:eastAsia="Times New Roman" w:hAnsi="Times New Roman" w:cs="Times New Roman"/>
          <w:b/>
          <w:bCs/>
        </w:rPr>
        <w:t xml:space="preserve">A szak(ok), szakirányok/specializációk megnevezése (ahol oktatják):  </w:t>
      </w:r>
      <w:r w:rsidRPr="0036536D">
        <w:rPr>
          <w:rFonts w:ascii="Times New Roman" w:hAnsi="Times New Roman" w:cs="Times New Roman"/>
          <w:bCs/>
        </w:rPr>
        <w:t>Katonai Vezető-, Katonai Üzemeltetés-, Katonai Logisztika, Állami Légiközlekedési alapképzési  szak.</w:t>
      </w:r>
      <w:r w:rsidRPr="0036536D">
        <w:rPr>
          <w:rFonts w:ascii="Times New Roman" w:eastAsia="Times New Roman" w:hAnsi="Times New Roman" w:cs="Times New Roman"/>
          <w:bCs/>
          <w:highlight w:val="lightGray"/>
        </w:rPr>
        <w:t xml:space="preserve"> </w:t>
      </w:r>
      <w:r w:rsidRPr="0036536D">
        <w:rPr>
          <w:rFonts w:ascii="Times New Roman" w:eastAsia="Times New Roman" w:hAnsi="Times New Roman" w:cs="Times New Roman"/>
          <w:b/>
          <w:bCs/>
        </w:rPr>
        <w:t xml:space="preserve">             </w:t>
      </w:r>
      <w:r w:rsidRPr="0036536D">
        <w:rPr>
          <w:rFonts w:ascii="Times New Roman" w:eastAsia="Times New Roman" w:hAnsi="Times New Roman" w:cs="Times New Roman"/>
          <w:bCs/>
        </w:rPr>
        <w:t xml:space="preserve"> </w:t>
      </w:r>
    </w:p>
    <w:p w:rsidR="007D48C9" w:rsidRPr="0036536D" w:rsidRDefault="007D48C9" w:rsidP="00C14833">
      <w:pPr>
        <w:pStyle w:val="lfej"/>
        <w:numPr>
          <w:ilvl w:val="0"/>
          <w:numId w:val="144"/>
        </w:numPr>
        <w:tabs>
          <w:tab w:val="num" w:pos="785"/>
          <w:tab w:val="right" w:pos="900"/>
        </w:tabs>
        <w:spacing w:before="120"/>
        <w:ind w:left="426" w:hanging="142"/>
        <w:rPr>
          <w:rFonts w:ascii="Times New Roman" w:hAnsi="Times New Roman" w:cs="Times New Roman"/>
          <w:bCs/>
        </w:rPr>
      </w:pPr>
      <w:r w:rsidRPr="0036536D">
        <w:rPr>
          <w:rFonts w:ascii="Times New Roman" w:eastAsia="Times New Roman" w:hAnsi="Times New Roman" w:cs="Times New Roman"/>
          <w:b/>
          <w:bCs/>
        </w:rPr>
        <w:t xml:space="preserve">Az oktatásért felelős oktatási szervezeti egység megnevezése: </w:t>
      </w:r>
      <w:r w:rsidRPr="0036536D">
        <w:rPr>
          <w:rFonts w:ascii="Times New Roman" w:hAnsi="Times New Roman" w:cs="Times New Roman"/>
          <w:bCs/>
        </w:rPr>
        <w:t>Katonai Testnevelési és Sportközpont</w:t>
      </w:r>
    </w:p>
    <w:p w:rsidR="007D48C9" w:rsidRPr="0036536D" w:rsidRDefault="007D48C9" w:rsidP="00C14833">
      <w:pPr>
        <w:pStyle w:val="lfej"/>
        <w:numPr>
          <w:ilvl w:val="0"/>
          <w:numId w:val="144"/>
        </w:numPr>
        <w:tabs>
          <w:tab w:val="right" w:pos="900"/>
        </w:tabs>
        <w:spacing w:before="120"/>
        <w:ind w:left="426" w:hanging="142"/>
        <w:rPr>
          <w:rFonts w:ascii="Times New Roman" w:hAnsi="Times New Roman" w:cs="Times New Roman"/>
          <w:bCs/>
        </w:rPr>
      </w:pPr>
      <w:r w:rsidRPr="0036536D">
        <w:rPr>
          <w:rFonts w:ascii="Times New Roman" w:eastAsia="Times New Roman" w:hAnsi="Times New Roman" w:cs="Times New Roman"/>
          <w:b/>
          <w:bCs/>
        </w:rPr>
        <w:t>A tantárgyfelelős oktató neve, beosztása, tudományos fokozata:</w:t>
      </w:r>
      <w:r w:rsidRPr="0036536D">
        <w:rPr>
          <w:rFonts w:ascii="Times New Roman" w:eastAsia="Times New Roman" w:hAnsi="Times New Roman" w:cs="Times New Roman"/>
          <w:bCs/>
        </w:rPr>
        <w:t xml:space="preserve"> </w:t>
      </w:r>
      <w:r w:rsidRPr="0036536D">
        <w:rPr>
          <w:rFonts w:ascii="Times New Roman" w:hAnsi="Times New Roman" w:cs="Times New Roman"/>
          <w:bCs/>
        </w:rPr>
        <w:t>Molnár Imre alezredes Katonai Testnevelési és Sportközpont testnevelő tanár</w:t>
      </w:r>
      <w:r w:rsidRPr="0036536D">
        <w:rPr>
          <w:rFonts w:ascii="Times New Roman" w:eastAsia="Times New Roman" w:hAnsi="Times New Roman" w:cs="Times New Roman"/>
          <w:bCs/>
          <w:highlight w:val="lightGray"/>
        </w:rPr>
        <w:t xml:space="preserve"> </w:t>
      </w:r>
    </w:p>
    <w:p w:rsidR="007D48C9" w:rsidRPr="0036536D" w:rsidRDefault="007D48C9" w:rsidP="00C14833">
      <w:pPr>
        <w:widowControl w:val="0"/>
        <w:numPr>
          <w:ilvl w:val="0"/>
          <w:numId w:val="144"/>
        </w:numPr>
        <w:spacing w:before="120" w:after="120" w:line="240" w:lineRule="auto"/>
        <w:ind w:left="426" w:hanging="142"/>
        <w:rPr>
          <w:rFonts w:ascii="Times New Roman" w:eastAsia="Times New Roman" w:hAnsi="Times New Roman" w:cs="Times New Roman"/>
          <w:bCs/>
        </w:rPr>
      </w:pPr>
      <w:r w:rsidRPr="0036536D">
        <w:rPr>
          <w:rFonts w:ascii="Times New Roman" w:eastAsia="Times New Roman" w:hAnsi="Times New Roman" w:cs="Times New Roman"/>
          <w:b/>
          <w:bCs/>
        </w:rPr>
        <w:t>A tanórák száma és típusa</w:t>
      </w:r>
    </w:p>
    <w:p w:rsidR="007D48C9" w:rsidRPr="0036536D" w:rsidRDefault="007D48C9" w:rsidP="00C14833">
      <w:pPr>
        <w:widowControl w:val="0"/>
        <w:numPr>
          <w:ilvl w:val="1"/>
          <w:numId w:val="144"/>
        </w:numPr>
        <w:tabs>
          <w:tab w:val="num" w:pos="2069"/>
        </w:tabs>
        <w:spacing w:before="120" w:after="120" w:line="240" w:lineRule="auto"/>
        <w:ind w:left="851" w:hanging="425"/>
        <w:rPr>
          <w:rFonts w:ascii="Times New Roman" w:eastAsia="Times New Roman" w:hAnsi="Times New Roman" w:cs="Times New Roman"/>
          <w:bCs/>
        </w:rPr>
      </w:pPr>
      <w:r w:rsidRPr="0036536D">
        <w:rPr>
          <w:rFonts w:ascii="Times New Roman" w:eastAsia="Times New Roman" w:hAnsi="Times New Roman" w:cs="Times New Roman"/>
          <w:bCs/>
        </w:rPr>
        <w:t>össz óraszám/félév: 28</w:t>
      </w:r>
    </w:p>
    <w:p w:rsidR="007D48C9" w:rsidRPr="0036536D" w:rsidRDefault="007D48C9" w:rsidP="00C14833">
      <w:pPr>
        <w:widowControl w:val="0"/>
        <w:numPr>
          <w:ilvl w:val="2"/>
          <w:numId w:val="144"/>
        </w:numPr>
        <w:tabs>
          <w:tab w:val="num" w:pos="1134"/>
        </w:tabs>
        <w:spacing w:before="120" w:after="120" w:line="240" w:lineRule="auto"/>
        <w:ind w:left="993" w:hanging="425"/>
        <w:rPr>
          <w:rFonts w:ascii="Times New Roman" w:eastAsia="Times New Roman" w:hAnsi="Times New Roman" w:cs="Times New Roman"/>
          <w:bCs/>
        </w:rPr>
      </w:pPr>
      <w:r w:rsidRPr="0036536D">
        <w:rPr>
          <w:rFonts w:ascii="Times New Roman" w:eastAsia="Times New Roman" w:hAnsi="Times New Roman" w:cs="Times New Roman"/>
          <w:bCs/>
        </w:rPr>
        <w:t>nappali munkarend: 28 (0 EA +0 SZ + 28 GY)</w:t>
      </w:r>
    </w:p>
    <w:p w:rsidR="007D48C9" w:rsidRPr="0036536D" w:rsidRDefault="007D48C9" w:rsidP="00C14833">
      <w:pPr>
        <w:widowControl w:val="0"/>
        <w:numPr>
          <w:ilvl w:val="2"/>
          <w:numId w:val="144"/>
        </w:numPr>
        <w:tabs>
          <w:tab w:val="num" w:pos="1134"/>
        </w:tabs>
        <w:spacing w:before="120" w:after="120" w:line="240" w:lineRule="auto"/>
        <w:ind w:left="993" w:hanging="425"/>
        <w:rPr>
          <w:rFonts w:ascii="Times New Roman" w:eastAsia="Times New Roman" w:hAnsi="Times New Roman" w:cs="Times New Roman"/>
          <w:bCs/>
        </w:rPr>
      </w:pPr>
      <w:r w:rsidRPr="0036536D">
        <w:rPr>
          <w:rFonts w:ascii="Times New Roman" w:eastAsia="Times New Roman" w:hAnsi="Times New Roman" w:cs="Times New Roman"/>
          <w:bCs/>
        </w:rPr>
        <w:t>levelező munkarend: -</w:t>
      </w:r>
    </w:p>
    <w:p w:rsidR="007D48C9" w:rsidRPr="0036536D" w:rsidRDefault="007D48C9" w:rsidP="00C14833">
      <w:pPr>
        <w:widowControl w:val="0"/>
        <w:numPr>
          <w:ilvl w:val="1"/>
          <w:numId w:val="144"/>
        </w:numPr>
        <w:tabs>
          <w:tab w:val="num" w:pos="2069"/>
        </w:tabs>
        <w:spacing w:before="120" w:after="120" w:line="240" w:lineRule="auto"/>
        <w:ind w:left="851" w:hanging="425"/>
        <w:rPr>
          <w:rFonts w:ascii="Times New Roman" w:eastAsia="Times New Roman" w:hAnsi="Times New Roman" w:cs="Times New Roman"/>
          <w:bCs/>
        </w:rPr>
      </w:pPr>
      <w:r w:rsidRPr="0036536D">
        <w:rPr>
          <w:rFonts w:ascii="Times New Roman" w:eastAsia="Times New Roman" w:hAnsi="Times New Roman" w:cs="Times New Roman"/>
          <w:bCs/>
        </w:rPr>
        <w:t>heti óraszám - nappali munkarend: 2</w:t>
      </w:r>
    </w:p>
    <w:p w:rsidR="007D48C9" w:rsidRPr="0036536D" w:rsidRDefault="007D48C9" w:rsidP="00C14833">
      <w:pPr>
        <w:widowControl w:val="0"/>
        <w:numPr>
          <w:ilvl w:val="1"/>
          <w:numId w:val="144"/>
        </w:numPr>
        <w:tabs>
          <w:tab w:val="num" w:pos="2069"/>
        </w:tabs>
        <w:spacing w:before="120" w:after="120" w:line="240" w:lineRule="auto"/>
        <w:ind w:left="851" w:hanging="425"/>
        <w:rPr>
          <w:rFonts w:ascii="Times New Roman" w:eastAsia="Times New Roman" w:hAnsi="Times New Roman" w:cs="Times New Roman"/>
          <w:bCs/>
        </w:rPr>
      </w:pPr>
      <w:r w:rsidRPr="0036536D">
        <w:rPr>
          <w:rFonts w:ascii="Times New Roman" w:hAnsi="Times New Roman" w:cs="Times New Roman"/>
        </w:rPr>
        <w:t>Az ismeret átadásában alkalmazandó további sajátos módok, jellemzők:-</w:t>
      </w:r>
    </w:p>
    <w:p w:rsidR="007D48C9" w:rsidRPr="0036536D" w:rsidRDefault="007D48C9" w:rsidP="00C14833">
      <w:pPr>
        <w:widowControl w:val="0"/>
        <w:numPr>
          <w:ilvl w:val="0"/>
          <w:numId w:val="144"/>
        </w:numPr>
        <w:spacing w:before="120" w:after="120" w:line="240" w:lineRule="auto"/>
        <w:ind w:left="426" w:hanging="142"/>
        <w:jc w:val="both"/>
        <w:rPr>
          <w:rFonts w:ascii="Times New Roman" w:eastAsia="Times New Roman" w:hAnsi="Times New Roman" w:cs="Times New Roman"/>
          <w:bCs/>
        </w:rPr>
      </w:pPr>
      <w:r w:rsidRPr="0036536D">
        <w:rPr>
          <w:rFonts w:ascii="Times New Roman" w:eastAsia="Times New Roman" w:hAnsi="Times New Roman" w:cs="Times New Roman"/>
          <w:b/>
          <w:bCs/>
        </w:rPr>
        <w:t>A tantárgy szakmai tartalma (magyarul):</w:t>
      </w:r>
      <w:r w:rsidRPr="0036536D">
        <w:rPr>
          <w:rFonts w:ascii="Times New Roman" w:eastAsia="Times New Roman" w:hAnsi="Times New Roman" w:cs="Times New Roman"/>
          <w:bCs/>
        </w:rPr>
        <w:t xml:space="preserve"> </w:t>
      </w:r>
      <w:r w:rsidRPr="0036536D">
        <w:rPr>
          <w:rFonts w:ascii="Times New Roman" w:hAnsi="Times New Roman" w:cs="Times New Roman"/>
          <w:bCs/>
        </w:rPr>
        <w:t>Kondicionális képességek fejlesztése, Természetes és mesterséges akadályok leküzdése. A mezei futóbajnokság versenyszámai. Kézigránát hajítás.</w:t>
      </w:r>
    </w:p>
    <w:p w:rsidR="007D48C9" w:rsidRPr="0036536D" w:rsidRDefault="007D48C9" w:rsidP="006708B2">
      <w:pPr>
        <w:widowControl w:val="0"/>
        <w:spacing w:before="120" w:after="120" w:line="240" w:lineRule="auto"/>
        <w:ind w:left="426"/>
        <w:jc w:val="both"/>
        <w:rPr>
          <w:rFonts w:ascii="Times New Roman" w:hAnsi="Times New Roman" w:cs="Times New Roman"/>
          <w:lang w:val="en-GB"/>
        </w:rPr>
      </w:pPr>
      <w:r w:rsidRPr="0036536D">
        <w:rPr>
          <w:rFonts w:ascii="Times New Roman" w:eastAsia="Times New Roman" w:hAnsi="Times New Roman" w:cs="Times New Roman"/>
          <w:b/>
          <w:bCs/>
        </w:rPr>
        <w:t>A tantárgy szakmai tartalma (angolul) (</w:t>
      </w:r>
      <w:r w:rsidRPr="0036536D">
        <w:rPr>
          <w:rFonts w:ascii="Times New Roman" w:eastAsia="Times New Roman" w:hAnsi="Times New Roman" w:cs="Times New Roman"/>
          <w:b/>
          <w:bCs/>
          <w:lang w:val="en-US"/>
        </w:rPr>
        <w:t>Course description</w:t>
      </w:r>
      <w:r w:rsidRPr="0036536D">
        <w:rPr>
          <w:rFonts w:ascii="Times New Roman" w:eastAsia="Times New Roman" w:hAnsi="Times New Roman" w:cs="Times New Roman"/>
          <w:b/>
          <w:bCs/>
        </w:rPr>
        <w:t>):</w:t>
      </w:r>
      <w:r w:rsidRPr="0036536D">
        <w:rPr>
          <w:rFonts w:ascii="Times New Roman" w:hAnsi="Times New Roman" w:cs="Times New Roman"/>
          <w:lang w:val="en-GB"/>
        </w:rPr>
        <w:t xml:space="preserve"> Development of physical skills, overcoming natural and artificial obstacles, events of cross-country running championship, hand grenade throwing</w:t>
      </w:r>
    </w:p>
    <w:p w:rsidR="007D48C9" w:rsidRPr="0036536D" w:rsidRDefault="007D48C9" w:rsidP="00C14833">
      <w:pPr>
        <w:widowControl w:val="0"/>
        <w:numPr>
          <w:ilvl w:val="0"/>
          <w:numId w:val="144"/>
        </w:numPr>
        <w:spacing w:before="120" w:after="120" w:line="240" w:lineRule="auto"/>
        <w:ind w:left="426" w:hanging="142"/>
        <w:jc w:val="both"/>
        <w:rPr>
          <w:rFonts w:ascii="Times New Roman" w:eastAsia="Times New Roman" w:hAnsi="Times New Roman" w:cs="Times New Roman"/>
          <w:bCs/>
        </w:rPr>
      </w:pPr>
      <w:r w:rsidRPr="0036536D">
        <w:rPr>
          <w:rFonts w:ascii="Times New Roman" w:eastAsia="Times New Roman" w:hAnsi="Times New Roman" w:cs="Times New Roman"/>
          <w:b/>
          <w:bCs/>
        </w:rPr>
        <w:t xml:space="preserve">Elérendő kompetenciák (magyarul): </w:t>
      </w:r>
    </w:p>
    <w:p w:rsidR="007D48C9" w:rsidRPr="0036536D" w:rsidRDefault="007D48C9" w:rsidP="006708B2">
      <w:pPr>
        <w:widowControl w:val="0"/>
        <w:spacing w:before="120" w:after="120" w:line="240" w:lineRule="auto"/>
        <w:ind w:left="426"/>
        <w:jc w:val="both"/>
        <w:rPr>
          <w:rFonts w:ascii="Times New Roman" w:eastAsia="Times New Roman" w:hAnsi="Times New Roman" w:cs="Times New Roman"/>
          <w:b/>
          <w:bCs/>
        </w:rPr>
      </w:pPr>
      <w:r w:rsidRPr="0036536D">
        <w:rPr>
          <w:rFonts w:ascii="Times New Roman" w:eastAsia="Times New Roman" w:hAnsi="Times New Roman" w:cs="Times New Roman"/>
          <w:b/>
          <w:bCs/>
        </w:rPr>
        <w:t xml:space="preserve">Tudása: </w:t>
      </w:r>
    </w:p>
    <w:p w:rsidR="007D48C9" w:rsidRPr="0036536D" w:rsidRDefault="007D48C9" w:rsidP="00C14833">
      <w:pPr>
        <w:pStyle w:val="Listaszerbekezds"/>
        <w:widowControl w:val="0"/>
        <w:numPr>
          <w:ilvl w:val="0"/>
          <w:numId w:val="143"/>
        </w:numPr>
        <w:spacing w:before="120" w:after="120" w:line="240" w:lineRule="auto"/>
        <w:jc w:val="both"/>
        <w:rPr>
          <w:rFonts w:ascii="Times New Roman" w:eastAsia="Times New Roman" w:hAnsi="Times New Roman" w:cs="Times New Roman"/>
          <w:bCs/>
        </w:rPr>
      </w:pPr>
      <w:r w:rsidRPr="0036536D">
        <w:rPr>
          <w:rFonts w:ascii="Times New Roman" w:eastAsia="Times New Roman" w:hAnsi="Times New Roman" w:cs="Times New Roman"/>
          <w:bCs/>
        </w:rPr>
        <w:t xml:space="preserve">Fejleszteni a kondicionális képességeket.  </w:t>
      </w:r>
    </w:p>
    <w:p w:rsidR="007D48C9" w:rsidRPr="0036536D" w:rsidRDefault="007D48C9" w:rsidP="00C14833">
      <w:pPr>
        <w:pStyle w:val="Listaszerbekezds"/>
        <w:widowControl w:val="0"/>
        <w:numPr>
          <w:ilvl w:val="0"/>
          <w:numId w:val="143"/>
        </w:numPr>
        <w:spacing w:before="120" w:after="120" w:line="240" w:lineRule="auto"/>
        <w:jc w:val="both"/>
        <w:rPr>
          <w:rFonts w:ascii="Times New Roman" w:eastAsia="Times New Roman" w:hAnsi="Times New Roman" w:cs="Times New Roman"/>
          <w:bCs/>
        </w:rPr>
      </w:pPr>
      <w:r w:rsidRPr="0036536D">
        <w:rPr>
          <w:rFonts w:ascii="Times New Roman" w:eastAsia="Times New Roman" w:hAnsi="Times New Roman" w:cs="Times New Roman"/>
          <w:bCs/>
        </w:rPr>
        <w:t xml:space="preserve">Koordinációs képességek fejlesztése. </w:t>
      </w:r>
    </w:p>
    <w:p w:rsidR="007D48C9" w:rsidRPr="0036536D" w:rsidRDefault="007D48C9" w:rsidP="00C14833">
      <w:pPr>
        <w:pStyle w:val="Listaszerbekezds"/>
        <w:widowControl w:val="0"/>
        <w:numPr>
          <w:ilvl w:val="0"/>
          <w:numId w:val="143"/>
        </w:numPr>
        <w:spacing w:before="120" w:after="120" w:line="240" w:lineRule="auto"/>
        <w:jc w:val="both"/>
        <w:rPr>
          <w:rFonts w:ascii="Times New Roman" w:eastAsia="Times New Roman" w:hAnsi="Times New Roman" w:cs="Times New Roman"/>
          <w:bCs/>
        </w:rPr>
      </w:pPr>
      <w:r w:rsidRPr="0036536D">
        <w:rPr>
          <w:rFonts w:ascii="Times New Roman" w:eastAsia="Times New Roman" w:hAnsi="Times New Roman" w:cs="Times New Roman"/>
          <w:bCs/>
        </w:rPr>
        <w:t xml:space="preserve">A hallgatók ismerjék meg az akadályok leküzdésének módját. </w:t>
      </w:r>
    </w:p>
    <w:p w:rsidR="007D48C9" w:rsidRPr="0036536D" w:rsidRDefault="007D48C9" w:rsidP="00C14833">
      <w:pPr>
        <w:pStyle w:val="Listaszerbekezds"/>
        <w:widowControl w:val="0"/>
        <w:numPr>
          <w:ilvl w:val="0"/>
          <w:numId w:val="143"/>
        </w:numPr>
        <w:spacing w:before="120" w:after="120" w:line="240" w:lineRule="auto"/>
        <w:jc w:val="both"/>
        <w:rPr>
          <w:rFonts w:ascii="Times New Roman" w:eastAsia="Times New Roman" w:hAnsi="Times New Roman" w:cs="Times New Roman"/>
          <w:bCs/>
        </w:rPr>
      </w:pPr>
      <w:r w:rsidRPr="0036536D">
        <w:rPr>
          <w:rFonts w:ascii="Times New Roman" w:eastAsia="Times New Roman" w:hAnsi="Times New Roman" w:cs="Times New Roman"/>
          <w:bCs/>
        </w:rPr>
        <w:t xml:space="preserve">A Nemzeti Közszolgálati Egyetem honvéd tisztjelöltjei ismerjék meg a mezei futóbajnokság versenyszámait. </w:t>
      </w:r>
    </w:p>
    <w:p w:rsidR="007D48C9" w:rsidRPr="0036536D" w:rsidRDefault="007D48C9" w:rsidP="00C14833">
      <w:pPr>
        <w:pStyle w:val="Listaszerbekezds"/>
        <w:widowControl w:val="0"/>
        <w:numPr>
          <w:ilvl w:val="0"/>
          <w:numId w:val="143"/>
        </w:numPr>
        <w:spacing w:before="120" w:after="120" w:line="240" w:lineRule="auto"/>
        <w:jc w:val="both"/>
        <w:rPr>
          <w:rFonts w:ascii="Times New Roman" w:eastAsia="Times New Roman" w:hAnsi="Times New Roman" w:cs="Times New Roman"/>
          <w:bCs/>
        </w:rPr>
      </w:pPr>
      <w:r w:rsidRPr="0036536D">
        <w:rPr>
          <w:rFonts w:ascii="Times New Roman" w:eastAsia="Times New Roman" w:hAnsi="Times New Roman" w:cs="Times New Roman"/>
          <w:bCs/>
        </w:rPr>
        <w:t xml:space="preserve">A sportöltözetes, gyakorló felszereléses és fegyveres váltófutások jártasság szintű ismerete. </w:t>
      </w:r>
    </w:p>
    <w:p w:rsidR="007D48C9" w:rsidRPr="0036536D" w:rsidRDefault="007D48C9" w:rsidP="006708B2">
      <w:pPr>
        <w:widowControl w:val="0"/>
        <w:spacing w:before="120" w:after="120" w:line="240" w:lineRule="auto"/>
        <w:ind w:left="426"/>
        <w:jc w:val="both"/>
        <w:rPr>
          <w:rFonts w:ascii="Times New Roman" w:eastAsia="Times New Roman" w:hAnsi="Times New Roman" w:cs="Times New Roman"/>
          <w:b/>
          <w:bCs/>
        </w:rPr>
      </w:pPr>
      <w:r w:rsidRPr="0036536D">
        <w:rPr>
          <w:rFonts w:ascii="Times New Roman" w:eastAsia="Times New Roman" w:hAnsi="Times New Roman" w:cs="Times New Roman"/>
          <w:b/>
          <w:bCs/>
        </w:rPr>
        <w:t xml:space="preserve">Képességei: </w:t>
      </w:r>
    </w:p>
    <w:p w:rsidR="007D48C9" w:rsidRPr="0036536D" w:rsidRDefault="007D48C9" w:rsidP="00C14833">
      <w:pPr>
        <w:pStyle w:val="Listaszerbekezds"/>
        <w:widowControl w:val="0"/>
        <w:numPr>
          <w:ilvl w:val="0"/>
          <w:numId w:val="143"/>
        </w:numPr>
        <w:spacing w:before="120" w:after="120" w:line="240" w:lineRule="auto"/>
        <w:jc w:val="both"/>
        <w:rPr>
          <w:rFonts w:ascii="Times New Roman" w:eastAsia="Times New Roman" w:hAnsi="Times New Roman" w:cs="Times New Roman"/>
          <w:bCs/>
        </w:rPr>
      </w:pPr>
      <w:r w:rsidRPr="0036536D">
        <w:rPr>
          <w:rFonts w:ascii="Times New Roman" w:eastAsia="Times New Roman" w:hAnsi="Times New Roman" w:cs="Times New Roman"/>
          <w:bCs/>
        </w:rPr>
        <w:t xml:space="preserve">Rendelkezzék az állóképesség és az erő-állóképesség megfelelő szintjével. </w:t>
      </w:r>
    </w:p>
    <w:p w:rsidR="007D48C9" w:rsidRPr="0036536D" w:rsidRDefault="007D48C9" w:rsidP="00C14833">
      <w:pPr>
        <w:pStyle w:val="Listaszerbekezds"/>
        <w:widowControl w:val="0"/>
        <w:numPr>
          <w:ilvl w:val="0"/>
          <w:numId w:val="143"/>
        </w:numPr>
        <w:spacing w:before="120" w:after="120" w:line="240" w:lineRule="auto"/>
        <w:jc w:val="both"/>
        <w:rPr>
          <w:rFonts w:ascii="Times New Roman" w:eastAsia="Times New Roman" w:hAnsi="Times New Roman" w:cs="Times New Roman"/>
          <w:bCs/>
        </w:rPr>
      </w:pPr>
      <w:r w:rsidRPr="0036536D">
        <w:rPr>
          <w:rFonts w:ascii="Times New Roman" w:eastAsia="Times New Roman" w:hAnsi="Times New Roman" w:cs="Times New Roman"/>
          <w:bCs/>
        </w:rPr>
        <w:t>Eltudja látni a katonai sportolók, rendszeres fizikai aktivitást végzők felkészítését és versenyeztetését.</w:t>
      </w:r>
    </w:p>
    <w:p w:rsidR="007D48C9" w:rsidRPr="0036536D" w:rsidRDefault="007D48C9" w:rsidP="006708B2">
      <w:pPr>
        <w:widowControl w:val="0"/>
        <w:spacing w:before="120" w:after="120" w:line="240" w:lineRule="auto"/>
        <w:ind w:left="426"/>
        <w:jc w:val="both"/>
        <w:rPr>
          <w:rFonts w:ascii="Times New Roman" w:eastAsia="Times New Roman" w:hAnsi="Times New Roman" w:cs="Times New Roman"/>
          <w:b/>
          <w:bCs/>
        </w:rPr>
      </w:pPr>
      <w:r w:rsidRPr="0036536D">
        <w:rPr>
          <w:rFonts w:ascii="Times New Roman" w:eastAsia="Times New Roman" w:hAnsi="Times New Roman" w:cs="Times New Roman"/>
          <w:b/>
          <w:bCs/>
        </w:rPr>
        <w:t xml:space="preserve">Attitűdje: </w:t>
      </w:r>
    </w:p>
    <w:p w:rsidR="007D48C9" w:rsidRPr="0036536D" w:rsidRDefault="007D48C9" w:rsidP="00C14833">
      <w:pPr>
        <w:pStyle w:val="Listaszerbekezds"/>
        <w:widowControl w:val="0"/>
        <w:numPr>
          <w:ilvl w:val="0"/>
          <w:numId w:val="143"/>
        </w:numPr>
        <w:spacing w:before="120" w:after="120" w:line="240" w:lineRule="auto"/>
        <w:jc w:val="both"/>
        <w:rPr>
          <w:rFonts w:ascii="Times New Roman" w:eastAsia="Times New Roman" w:hAnsi="Times New Roman" w:cs="Times New Roman"/>
          <w:bCs/>
        </w:rPr>
      </w:pPr>
      <w:r w:rsidRPr="0036536D">
        <w:rPr>
          <w:rFonts w:ascii="Times New Roman" w:eastAsia="Times New Roman" w:hAnsi="Times New Roman" w:cs="Times New Roman"/>
          <w:bCs/>
        </w:rPr>
        <w:t xml:space="preserve">Elfogadja, hogy a társadalmi, gazdasági, kulturális jelenségek és a sport összefüggésben állnak. </w:t>
      </w:r>
    </w:p>
    <w:p w:rsidR="007D48C9" w:rsidRPr="0036536D" w:rsidRDefault="007D48C9" w:rsidP="00C14833">
      <w:pPr>
        <w:pStyle w:val="Listaszerbekezds"/>
        <w:widowControl w:val="0"/>
        <w:numPr>
          <w:ilvl w:val="0"/>
          <w:numId w:val="143"/>
        </w:numPr>
        <w:spacing w:before="120" w:after="120" w:line="240" w:lineRule="auto"/>
        <w:jc w:val="both"/>
        <w:rPr>
          <w:rFonts w:ascii="Times New Roman" w:eastAsia="Times New Roman" w:hAnsi="Times New Roman" w:cs="Times New Roman"/>
          <w:bCs/>
        </w:rPr>
      </w:pPr>
      <w:r w:rsidRPr="0036536D">
        <w:rPr>
          <w:rFonts w:ascii="Times New Roman" w:eastAsia="Times New Roman" w:hAnsi="Times New Roman" w:cs="Times New Roman"/>
          <w:bCs/>
        </w:rPr>
        <w:t>Legjobb tudása szerint törekszik pozitívan befolyásolni ezeket az összefüggéseket.</w:t>
      </w:r>
    </w:p>
    <w:p w:rsidR="007D48C9" w:rsidRPr="0036536D" w:rsidRDefault="007D48C9" w:rsidP="006708B2">
      <w:pPr>
        <w:widowControl w:val="0"/>
        <w:spacing w:before="120" w:after="120" w:line="240" w:lineRule="auto"/>
        <w:ind w:left="426"/>
        <w:jc w:val="both"/>
        <w:rPr>
          <w:rFonts w:ascii="Times New Roman" w:eastAsia="Times New Roman" w:hAnsi="Times New Roman" w:cs="Times New Roman"/>
          <w:b/>
          <w:bCs/>
        </w:rPr>
      </w:pPr>
      <w:r w:rsidRPr="0036536D">
        <w:rPr>
          <w:rFonts w:ascii="Times New Roman" w:eastAsia="Times New Roman" w:hAnsi="Times New Roman" w:cs="Times New Roman"/>
          <w:b/>
          <w:bCs/>
        </w:rPr>
        <w:lastRenderedPageBreak/>
        <w:t xml:space="preserve">Autonómiája és felelőssége: </w:t>
      </w:r>
    </w:p>
    <w:p w:rsidR="007D48C9" w:rsidRPr="0036536D" w:rsidRDefault="007D48C9" w:rsidP="00C14833">
      <w:pPr>
        <w:pStyle w:val="Listaszerbekezds"/>
        <w:widowControl w:val="0"/>
        <w:numPr>
          <w:ilvl w:val="0"/>
          <w:numId w:val="143"/>
        </w:numPr>
        <w:spacing w:before="120" w:after="120" w:line="240" w:lineRule="auto"/>
        <w:jc w:val="both"/>
        <w:rPr>
          <w:rFonts w:ascii="Times New Roman" w:eastAsia="Times New Roman" w:hAnsi="Times New Roman" w:cs="Times New Roman"/>
          <w:bCs/>
        </w:rPr>
      </w:pPr>
      <w:r w:rsidRPr="0036536D">
        <w:rPr>
          <w:rFonts w:ascii="Times New Roman" w:eastAsia="Times New Roman" w:hAnsi="Times New Roman" w:cs="Times New Roman"/>
          <w:color w:val="000000"/>
          <w:lang w:eastAsia="hu-HU"/>
        </w:rPr>
        <w:t>Minden esetben a fair play szellemében tevékenykedik, amivel mintát ad teljes környezetének.</w:t>
      </w:r>
    </w:p>
    <w:p w:rsidR="007D48C9" w:rsidRPr="0036536D" w:rsidRDefault="007D48C9" w:rsidP="006708B2">
      <w:pPr>
        <w:widowControl w:val="0"/>
        <w:spacing w:before="120" w:after="120" w:line="240" w:lineRule="auto"/>
        <w:ind w:left="426"/>
        <w:jc w:val="both"/>
        <w:rPr>
          <w:rFonts w:ascii="Times New Roman" w:eastAsia="Times New Roman" w:hAnsi="Times New Roman" w:cs="Times New Roman"/>
          <w:b/>
          <w:bCs/>
          <w:lang w:val="en-US"/>
        </w:rPr>
      </w:pPr>
      <w:r w:rsidRPr="0036536D">
        <w:rPr>
          <w:rFonts w:ascii="Times New Roman" w:eastAsia="Times New Roman" w:hAnsi="Times New Roman" w:cs="Times New Roman"/>
          <w:b/>
          <w:bCs/>
        </w:rPr>
        <w:t>Elérendő kompetenciák (angolul) (</w:t>
      </w:r>
      <w:r w:rsidRPr="0036536D">
        <w:rPr>
          <w:rFonts w:ascii="Times New Roman" w:eastAsia="Times New Roman" w:hAnsi="Times New Roman" w:cs="Times New Roman"/>
          <w:b/>
          <w:bCs/>
          <w:lang w:val="en-US"/>
        </w:rPr>
        <w:t xml:space="preserve">Competences – English): </w:t>
      </w:r>
    </w:p>
    <w:p w:rsidR="007D48C9" w:rsidRPr="0036536D" w:rsidRDefault="007D48C9" w:rsidP="006708B2">
      <w:pPr>
        <w:widowControl w:val="0"/>
        <w:spacing w:before="120" w:after="120" w:line="240" w:lineRule="auto"/>
        <w:ind w:left="426"/>
        <w:jc w:val="both"/>
        <w:rPr>
          <w:rFonts w:ascii="Times New Roman" w:eastAsia="Times New Roman" w:hAnsi="Times New Roman" w:cs="Times New Roman"/>
          <w:b/>
          <w:bCs/>
        </w:rPr>
      </w:pPr>
      <w:r w:rsidRPr="0036536D">
        <w:rPr>
          <w:rFonts w:ascii="Times New Roman" w:eastAsia="Times New Roman" w:hAnsi="Times New Roman" w:cs="Times New Roman"/>
          <w:b/>
          <w:bCs/>
        </w:rPr>
        <w:t xml:space="preserve">Knowledge: </w:t>
      </w:r>
    </w:p>
    <w:p w:rsidR="007D48C9" w:rsidRPr="0036536D" w:rsidRDefault="007D48C9" w:rsidP="00C14833">
      <w:pPr>
        <w:pStyle w:val="Listaszerbekezds"/>
        <w:numPr>
          <w:ilvl w:val="0"/>
          <w:numId w:val="143"/>
        </w:numPr>
        <w:spacing w:line="256" w:lineRule="auto"/>
        <w:jc w:val="both"/>
        <w:rPr>
          <w:rFonts w:ascii="Times New Roman" w:hAnsi="Times New Roman" w:cs="Times New Roman"/>
          <w:lang w:val="en-GB"/>
        </w:rPr>
      </w:pPr>
      <w:r w:rsidRPr="0036536D">
        <w:rPr>
          <w:rFonts w:ascii="Times New Roman" w:hAnsi="Times New Roman" w:cs="Times New Roman"/>
          <w:lang w:val="en-GB"/>
        </w:rPr>
        <w:t xml:space="preserve">To improve the physical skills. to develop the coordination skills, the students should learn how to overcome obstacles. </w:t>
      </w:r>
    </w:p>
    <w:p w:rsidR="007D48C9" w:rsidRPr="0036536D" w:rsidRDefault="007D48C9" w:rsidP="00C14833">
      <w:pPr>
        <w:pStyle w:val="Listaszerbekezds"/>
        <w:numPr>
          <w:ilvl w:val="0"/>
          <w:numId w:val="143"/>
        </w:numPr>
        <w:spacing w:line="256" w:lineRule="auto"/>
        <w:jc w:val="both"/>
        <w:rPr>
          <w:rFonts w:ascii="Times New Roman" w:hAnsi="Times New Roman" w:cs="Times New Roman"/>
          <w:lang w:val="en-GB"/>
        </w:rPr>
      </w:pPr>
      <w:r w:rsidRPr="0036536D">
        <w:rPr>
          <w:rFonts w:ascii="Times New Roman" w:hAnsi="Times New Roman" w:cs="Times New Roman"/>
          <w:lang w:val="en-GB"/>
        </w:rPr>
        <w:t xml:space="preserve">The officer cadets of the National University of Public Service should learn events of cross-country running championship. </w:t>
      </w:r>
    </w:p>
    <w:p w:rsidR="007D48C9" w:rsidRPr="0036536D" w:rsidRDefault="007D48C9" w:rsidP="00C14833">
      <w:pPr>
        <w:pStyle w:val="Listaszerbekezds"/>
        <w:numPr>
          <w:ilvl w:val="0"/>
          <w:numId w:val="143"/>
        </w:numPr>
        <w:spacing w:line="256" w:lineRule="auto"/>
        <w:jc w:val="both"/>
        <w:rPr>
          <w:rFonts w:ascii="Times New Roman" w:hAnsi="Times New Roman" w:cs="Times New Roman"/>
          <w:lang w:val="en-GB"/>
        </w:rPr>
      </w:pPr>
      <w:r w:rsidRPr="0036536D">
        <w:rPr>
          <w:rFonts w:ascii="Times New Roman" w:hAnsi="Times New Roman" w:cs="Times New Roman"/>
          <w:lang w:val="en-GB"/>
        </w:rPr>
        <w:t>Proficiency in sportswear, practice gear and armed gear relay racing.</w:t>
      </w:r>
    </w:p>
    <w:p w:rsidR="007D48C9" w:rsidRPr="0036536D" w:rsidRDefault="007D48C9" w:rsidP="006708B2">
      <w:pPr>
        <w:widowControl w:val="0"/>
        <w:spacing w:before="120" w:after="120" w:line="240" w:lineRule="auto"/>
        <w:ind w:left="426"/>
        <w:jc w:val="both"/>
        <w:rPr>
          <w:rFonts w:ascii="Times New Roman" w:eastAsia="Times New Roman" w:hAnsi="Times New Roman" w:cs="Times New Roman"/>
          <w:b/>
          <w:bCs/>
        </w:rPr>
      </w:pPr>
      <w:r w:rsidRPr="0036536D">
        <w:rPr>
          <w:rFonts w:ascii="Times New Roman" w:eastAsia="Times New Roman" w:hAnsi="Times New Roman" w:cs="Times New Roman"/>
          <w:b/>
          <w:bCs/>
        </w:rPr>
        <w:t xml:space="preserve">Capabilities: </w:t>
      </w:r>
    </w:p>
    <w:p w:rsidR="007D48C9" w:rsidRPr="0036536D" w:rsidRDefault="007D48C9" w:rsidP="00C14833">
      <w:pPr>
        <w:pStyle w:val="Listaszerbekezds"/>
        <w:numPr>
          <w:ilvl w:val="0"/>
          <w:numId w:val="143"/>
        </w:numPr>
        <w:spacing w:line="256" w:lineRule="auto"/>
        <w:jc w:val="both"/>
        <w:rPr>
          <w:rFonts w:ascii="Times New Roman" w:hAnsi="Times New Roman" w:cs="Times New Roman"/>
          <w:lang w:val="en-GB"/>
        </w:rPr>
      </w:pPr>
      <w:r w:rsidRPr="0036536D">
        <w:rPr>
          <w:rFonts w:ascii="Times New Roman" w:hAnsi="Times New Roman" w:cs="Times New Roman"/>
          <w:lang w:val="en-GB"/>
        </w:rPr>
        <w:t>Have an appropriate level of endurance and strength-endurance.</w:t>
      </w:r>
      <w:r w:rsidRPr="0036536D">
        <w:rPr>
          <w:rFonts w:ascii="Times New Roman" w:hAnsi="Times New Roman" w:cs="Times New Roman"/>
          <w:lang w:val="en-GB"/>
        </w:rPr>
        <w:tab/>
      </w:r>
    </w:p>
    <w:p w:rsidR="007D48C9" w:rsidRPr="0036536D" w:rsidRDefault="007D48C9" w:rsidP="00C14833">
      <w:pPr>
        <w:pStyle w:val="Listaszerbekezds"/>
        <w:numPr>
          <w:ilvl w:val="0"/>
          <w:numId w:val="143"/>
        </w:numPr>
        <w:spacing w:line="256" w:lineRule="auto"/>
        <w:jc w:val="both"/>
        <w:rPr>
          <w:rFonts w:ascii="Times New Roman" w:hAnsi="Times New Roman" w:cs="Times New Roman"/>
          <w:lang w:val="en-GB"/>
        </w:rPr>
      </w:pPr>
      <w:r w:rsidRPr="0036536D">
        <w:rPr>
          <w:rFonts w:ascii="Times New Roman" w:hAnsi="Times New Roman" w:cs="Times New Roman"/>
          <w:lang w:val="en-GB"/>
        </w:rPr>
        <w:t>Can provide training and competitions for military athletes and for those doing regular physical activity.</w:t>
      </w:r>
    </w:p>
    <w:p w:rsidR="007D48C9" w:rsidRPr="0036536D" w:rsidRDefault="007D48C9" w:rsidP="006708B2">
      <w:pPr>
        <w:widowControl w:val="0"/>
        <w:spacing w:before="120" w:after="120" w:line="240" w:lineRule="auto"/>
        <w:ind w:left="426"/>
        <w:jc w:val="both"/>
        <w:rPr>
          <w:rFonts w:ascii="Times New Roman" w:eastAsia="Times New Roman" w:hAnsi="Times New Roman" w:cs="Times New Roman"/>
          <w:b/>
          <w:bCs/>
        </w:rPr>
      </w:pPr>
      <w:r w:rsidRPr="0036536D">
        <w:rPr>
          <w:rFonts w:ascii="Times New Roman" w:eastAsia="Times New Roman" w:hAnsi="Times New Roman" w:cs="Times New Roman"/>
          <w:b/>
          <w:bCs/>
        </w:rPr>
        <w:t xml:space="preserve">Attitude: </w:t>
      </w:r>
      <w:r w:rsidRPr="0036536D">
        <w:rPr>
          <w:rFonts w:ascii="Times New Roman" w:eastAsia="Times New Roman" w:hAnsi="Times New Roman" w:cs="Times New Roman"/>
          <w:b/>
          <w:bCs/>
        </w:rPr>
        <w:tab/>
      </w:r>
    </w:p>
    <w:p w:rsidR="007D48C9" w:rsidRPr="0036536D" w:rsidRDefault="007D48C9" w:rsidP="00C14833">
      <w:pPr>
        <w:pStyle w:val="Listaszerbekezds"/>
        <w:numPr>
          <w:ilvl w:val="0"/>
          <w:numId w:val="143"/>
        </w:numPr>
        <w:spacing w:line="256" w:lineRule="auto"/>
        <w:jc w:val="both"/>
        <w:rPr>
          <w:rFonts w:ascii="Times New Roman" w:eastAsia="Times New Roman" w:hAnsi="Times New Roman" w:cs="Times New Roman"/>
          <w:b/>
          <w:lang w:val="en-GB"/>
        </w:rPr>
      </w:pPr>
      <w:r w:rsidRPr="0036536D">
        <w:rPr>
          <w:rFonts w:ascii="Times New Roman" w:hAnsi="Times New Roman" w:cs="Times New Roman"/>
          <w:lang w:val="en-GB"/>
        </w:rPr>
        <w:t xml:space="preserve">Accepts that social, economic, cultural phenomena and sport are linked. </w:t>
      </w:r>
    </w:p>
    <w:p w:rsidR="007D48C9" w:rsidRPr="0036536D" w:rsidRDefault="007D48C9" w:rsidP="00C14833">
      <w:pPr>
        <w:pStyle w:val="Listaszerbekezds"/>
        <w:numPr>
          <w:ilvl w:val="0"/>
          <w:numId w:val="143"/>
        </w:numPr>
        <w:spacing w:line="256" w:lineRule="auto"/>
        <w:jc w:val="both"/>
        <w:rPr>
          <w:rFonts w:ascii="Times New Roman" w:eastAsia="Times New Roman" w:hAnsi="Times New Roman" w:cs="Times New Roman"/>
          <w:b/>
          <w:lang w:val="en-GB"/>
        </w:rPr>
      </w:pPr>
      <w:r w:rsidRPr="0036536D">
        <w:rPr>
          <w:rFonts w:ascii="Times New Roman" w:hAnsi="Times New Roman" w:cs="Times New Roman"/>
          <w:lang w:val="en-GB"/>
        </w:rPr>
        <w:t>To the best of his knowledge, he strives to positively influence these relationships.</w:t>
      </w:r>
    </w:p>
    <w:p w:rsidR="007D48C9" w:rsidRPr="0036536D" w:rsidRDefault="007D48C9" w:rsidP="006708B2">
      <w:pPr>
        <w:widowControl w:val="0"/>
        <w:spacing w:before="120" w:after="120" w:line="240" w:lineRule="auto"/>
        <w:ind w:left="426"/>
        <w:jc w:val="both"/>
        <w:rPr>
          <w:rFonts w:ascii="Times New Roman" w:eastAsia="Times New Roman" w:hAnsi="Times New Roman" w:cs="Times New Roman"/>
          <w:b/>
          <w:bCs/>
        </w:rPr>
      </w:pPr>
      <w:r w:rsidRPr="0036536D">
        <w:rPr>
          <w:rFonts w:ascii="Times New Roman" w:eastAsia="Times New Roman" w:hAnsi="Times New Roman" w:cs="Times New Roman"/>
          <w:b/>
          <w:bCs/>
        </w:rPr>
        <w:t xml:space="preserve">Autonomy and responsibility: </w:t>
      </w:r>
    </w:p>
    <w:p w:rsidR="007D48C9" w:rsidRPr="0036536D" w:rsidRDefault="007D48C9" w:rsidP="00C14833">
      <w:pPr>
        <w:pStyle w:val="HTML-kntformzott"/>
        <w:numPr>
          <w:ilvl w:val="0"/>
          <w:numId w:val="143"/>
        </w:numPr>
        <w:jc w:val="both"/>
        <w:rPr>
          <w:rFonts w:ascii="Times New Roman" w:eastAsiaTheme="minorHAnsi" w:hAnsi="Times New Roman" w:cs="Times New Roman"/>
          <w:sz w:val="22"/>
          <w:szCs w:val="22"/>
          <w:lang w:val="en-GB"/>
        </w:rPr>
      </w:pPr>
      <w:r w:rsidRPr="0036536D">
        <w:rPr>
          <w:rFonts w:ascii="Times New Roman" w:hAnsi="Times New Roman" w:cs="Times New Roman"/>
          <w:sz w:val="22"/>
          <w:szCs w:val="22"/>
          <w:lang w:val="en-GB"/>
        </w:rPr>
        <w:t>In any case, he/she operates in the spirit of fair play, providing a model for his/her entire environment.</w:t>
      </w:r>
    </w:p>
    <w:p w:rsidR="007D48C9" w:rsidRPr="0036536D" w:rsidRDefault="007D48C9" w:rsidP="00C14833">
      <w:pPr>
        <w:pStyle w:val="Listaszerbekezds"/>
        <w:widowControl w:val="0"/>
        <w:numPr>
          <w:ilvl w:val="0"/>
          <w:numId w:val="144"/>
        </w:numPr>
        <w:spacing w:before="120" w:after="120" w:line="240" w:lineRule="auto"/>
        <w:ind w:left="785" w:hanging="501"/>
        <w:jc w:val="both"/>
        <w:rPr>
          <w:rFonts w:ascii="Times New Roman" w:eastAsia="Times New Roman" w:hAnsi="Times New Roman" w:cs="Times New Roman"/>
          <w:bCs/>
        </w:rPr>
      </w:pPr>
      <w:r w:rsidRPr="0036536D">
        <w:rPr>
          <w:rFonts w:ascii="Times New Roman" w:eastAsia="Times New Roman" w:hAnsi="Times New Roman" w:cs="Times New Roman"/>
          <w:b/>
          <w:bCs/>
        </w:rPr>
        <w:t xml:space="preserve">Előtanulmányi követelmények: </w:t>
      </w:r>
      <w:r w:rsidRPr="0036536D">
        <w:rPr>
          <w:rFonts w:ascii="Times New Roman" w:eastAsia="Times New Roman" w:hAnsi="Times New Roman" w:cs="Times New Roman"/>
          <w:bCs/>
        </w:rPr>
        <w:t>nincs</w:t>
      </w:r>
      <w:r w:rsidRPr="0036536D">
        <w:rPr>
          <w:rFonts w:ascii="Times New Roman" w:eastAsia="Times New Roman" w:hAnsi="Times New Roman" w:cs="Times New Roman"/>
          <w:b/>
          <w:bCs/>
        </w:rPr>
        <w:t xml:space="preserve"> </w:t>
      </w:r>
    </w:p>
    <w:p w:rsidR="007D48C9" w:rsidRPr="0036536D" w:rsidRDefault="007D48C9" w:rsidP="00C14833">
      <w:pPr>
        <w:widowControl w:val="0"/>
        <w:numPr>
          <w:ilvl w:val="0"/>
          <w:numId w:val="144"/>
        </w:numPr>
        <w:spacing w:before="120" w:after="120" w:line="240" w:lineRule="auto"/>
        <w:ind w:left="851" w:hanging="567"/>
        <w:jc w:val="both"/>
        <w:rPr>
          <w:rFonts w:ascii="Times New Roman" w:eastAsia="Times New Roman" w:hAnsi="Times New Roman" w:cs="Times New Roman"/>
          <w:b/>
          <w:bCs/>
        </w:rPr>
      </w:pPr>
      <w:r w:rsidRPr="0036536D">
        <w:rPr>
          <w:rFonts w:ascii="Times New Roman" w:eastAsia="Times New Roman" w:hAnsi="Times New Roman" w:cs="Times New Roman"/>
          <w:b/>
          <w:bCs/>
        </w:rPr>
        <w:t xml:space="preserve">A tantárgy tananyagának leírása, tematika. </w:t>
      </w:r>
    </w:p>
    <w:p w:rsidR="00F547E7" w:rsidRPr="00960929" w:rsidRDefault="00F547E7" w:rsidP="00C14833">
      <w:pPr>
        <w:widowControl w:val="0"/>
        <w:numPr>
          <w:ilvl w:val="1"/>
          <w:numId w:val="144"/>
        </w:numPr>
        <w:tabs>
          <w:tab w:val="clear" w:pos="3977"/>
        </w:tabs>
        <w:spacing w:before="120" w:after="120" w:line="240" w:lineRule="auto"/>
        <w:ind w:left="1134" w:hanging="573"/>
        <w:jc w:val="both"/>
        <w:rPr>
          <w:rFonts w:ascii="Times New Roman" w:eastAsia="Times New Roman" w:hAnsi="Times New Roman" w:cs="Times New Roman"/>
          <w:bCs/>
        </w:rPr>
      </w:pPr>
      <w:r w:rsidRPr="00960929">
        <w:rPr>
          <w:rFonts w:ascii="Times New Roman" w:eastAsia="Times New Roman" w:hAnsi="Times New Roman" w:cs="Times New Roman"/>
          <w:bCs/>
        </w:rPr>
        <w:t>Kondicionális képességek fejlesztése. Általános hatású és sokoldalúan fejlesztő szabad és szabad gyakorlati alapformájú gyakorlatok. (Development of conditioning capacities. Free-to-practice and free-form basic exercises with general effect and versatile development.)</w:t>
      </w:r>
    </w:p>
    <w:p w:rsidR="00F547E7" w:rsidRPr="00960929" w:rsidRDefault="00F547E7" w:rsidP="00C14833">
      <w:pPr>
        <w:widowControl w:val="0"/>
        <w:numPr>
          <w:ilvl w:val="1"/>
          <w:numId w:val="144"/>
        </w:numPr>
        <w:tabs>
          <w:tab w:val="clear" w:pos="3977"/>
        </w:tabs>
        <w:spacing w:before="120" w:after="120" w:line="240" w:lineRule="auto"/>
        <w:ind w:left="1134" w:hanging="573"/>
        <w:jc w:val="both"/>
        <w:rPr>
          <w:rFonts w:ascii="Times New Roman" w:eastAsia="Times New Roman" w:hAnsi="Times New Roman" w:cs="Times New Roman"/>
          <w:bCs/>
          <w:i/>
        </w:rPr>
      </w:pPr>
      <w:r w:rsidRPr="00960929">
        <w:rPr>
          <w:rFonts w:ascii="Times New Roman" w:eastAsia="Times New Roman" w:hAnsi="Times New Roman" w:cs="Times New Roman"/>
          <w:bCs/>
        </w:rPr>
        <w:t>Természetes mozgások: Menetek, futások, ugrások, dobások, emelések és hordások, mászások, függeszkedések. Kiegészítő gyakorlatok tornaszereken. (</w:t>
      </w:r>
      <w:r w:rsidRPr="00960929">
        <w:rPr>
          <w:rFonts w:ascii="Times New Roman" w:eastAsia="Calibri" w:hAnsi="Times New Roman" w:cs="Times New Roman"/>
          <w:i/>
        </w:rPr>
        <w:t>Natural Movements: Runs, runs, jumps, throws, raises and carries, climbs, hangs.</w:t>
      </w:r>
      <w:r w:rsidRPr="00960929">
        <w:rPr>
          <w:rFonts w:ascii="Times New Roman" w:eastAsia="Calibri" w:hAnsi="Times New Roman" w:cs="Times New Roman"/>
          <w:i/>
          <w:shd w:val="clear" w:color="auto" w:fill="F5F5F5"/>
        </w:rPr>
        <w:t xml:space="preserve"> </w:t>
      </w:r>
      <w:r w:rsidRPr="00960929">
        <w:rPr>
          <w:rFonts w:ascii="Times New Roman" w:eastAsia="Calibri" w:hAnsi="Times New Roman" w:cs="Times New Roman"/>
          <w:i/>
        </w:rPr>
        <w:t>Additional exercises on gymnastic equipment.)</w:t>
      </w:r>
    </w:p>
    <w:p w:rsidR="00F547E7" w:rsidRPr="00960929" w:rsidRDefault="00F547E7" w:rsidP="00C14833">
      <w:pPr>
        <w:widowControl w:val="0"/>
        <w:numPr>
          <w:ilvl w:val="1"/>
          <w:numId w:val="144"/>
        </w:numPr>
        <w:tabs>
          <w:tab w:val="clear" w:pos="3977"/>
        </w:tabs>
        <w:spacing w:before="120" w:after="120" w:line="240" w:lineRule="auto"/>
        <w:ind w:left="1134" w:hanging="573"/>
        <w:jc w:val="both"/>
        <w:rPr>
          <w:rFonts w:ascii="Times New Roman" w:eastAsia="Times New Roman" w:hAnsi="Times New Roman" w:cs="Times New Roman"/>
          <w:bCs/>
          <w:i/>
        </w:rPr>
      </w:pPr>
      <w:r w:rsidRPr="00960929">
        <w:rPr>
          <w:rFonts w:ascii="Times New Roman" w:eastAsia="Times New Roman" w:hAnsi="Times New Roman" w:cs="Times New Roman"/>
          <w:bCs/>
        </w:rPr>
        <w:t>Természetes és mesterséges akadályok leküzdése. Mélybe -, fel-és átugrások. Emelések és hordások. (</w:t>
      </w:r>
      <w:r w:rsidRPr="00960929">
        <w:rPr>
          <w:rFonts w:ascii="Times New Roman" w:eastAsia="Calibri" w:hAnsi="Times New Roman" w:cs="Times New Roman"/>
          <w:i/>
        </w:rPr>
        <w:t>Overcoming natural and artificial barriers.</w:t>
      </w:r>
      <w:r w:rsidRPr="00960929">
        <w:rPr>
          <w:rFonts w:ascii="Times New Roman" w:eastAsia="Calibri" w:hAnsi="Times New Roman" w:cs="Times New Roman"/>
          <w:i/>
          <w:shd w:val="clear" w:color="auto" w:fill="F5F5F5"/>
        </w:rPr>
        <w:t xml:space="preserve"> </w:t>
      </w:r>
      <w:r w:rsidRPr="00960929">
        <w:rPr>
          <w:rFonts w:ascii="Times New Roman" w:eastAsia="Calibri" w:hAnsi="Times New Roman" w:cs="Times New Roman"/>
          <w:i/>
        </w:rPr>
        <w:t>Deep - jumps and jumps.</w:t>
      </w:r>
      <w:r w:rsidRPr="00960929">
        <w:rPr>
          <w:rFonts w:ascii="Times New Roman" w:eastAsia="Calibri" w:hAnsi="Times New Roman" w:cs="Times New Roman"/>
          <w:i/>
          <w:shd w:val="clear" w:color="auto" w:fill="F5F5F5"/>
        </w:rPr>
        <w:t xml:space="preserve"> </w:t>
      </w:r>
      <w:r w:rsidRPr="00960929">
        <w:rPr>
          <w:rFonts w:ascii="Times New Roman" w:eastAsia="Calibri" w:hAnsi="Times New Roman" w:cs="Times New Roman"/>
          <w:i/>
        </w:rPr>
        <w:t>Lifts and Carriers)</w:t>
      </w:r>
    </w:p>
    <w:p w:rsidR="00F547E7" w:rsidRPr="00960929" w:rsidRDefault="00F547E7" w:rsidP="00C14833">
      <w:pPr>
        <w:widowControl w:val="0"/>
        <w:numPr>
          <w:ilvl w:val="1"/>
          <w:numId w:val="144"/>
        </w:numPr>
        <w:tabs>
          <w:tab w:val="clear" w:pos="3977"/>
        </w:tabs>
        <w:spacing w:before="120" w:after="120" w:line="240" w:lineRule="auto"/>
        <w:ind w:left="1134" w:hanging="573"/>
        <w:jc w:val="both"/>
        <w:rPr>
          <w:rFonts w:ascii="Times New Roman" w:eastAsia="Times New Roman" w:hAnsi="Times New Roman" w:cs="Times New Roman"/>
          <w:bCs/>
          <w:i/>
        </w:rPr>
      </w:pPr>
      <w:r w:rsidRPr="00960929">
        <w:rPr>
          <w:rFonts w:ascii="Times New Roman" w:eastAsia="Times New Roman" w:hAnsi="Times New Roman" w:cs="Times New Roman"/>
          <w:bCs/>
        </w:rPr>
        <w:t xml:space="preserve">Mászások, függeszkedések. </w:t>
      </w:r>
      <w:r w:rsidRPr="00960929">
        <w:rPr>
          <w:rFonts w:ascii="Times New Roman" w:eastAsia="Calibri" w:hAnsi="Times New Roman" w:cs="Times New Roman"/>
          <w:i/>
        </w:rPr>
        <w:t>(Climbing, hanging.)</w:t>
      </w:r>
      <w:r w:rsidRPr="00960929">
        <w:rPr>
          <w:rFonts w:ascii="Times New Roman" w:eastAsia="Times New Roman" w:hAnsi="Times New Roman" w:cs="Times New Roman"/>
          <w:b/>
          <w:bCs/>
        </w:rPr>
        <w:tab/>
      </w:r>
    </w:p>
    <w:p w:rsidR="00F547E7" w:rsidRPr="00960929" w:rsidRDefault="00F547E7" w:rsidP="00C14833">
      <w:pPr>
        <w:widowControl w:val="0"/>
        <w:numPr>
          <w:ilvl w:val="1"/>
          <w:numId w:val="144"/>
        </w:numPr>
        <w:tabs>
          <w:tab w:val="clear" w:pos="3977"/>
        </w:tabs>
        <w:spacing w:before="120" w:after="120" w:line="240" w:lineRule="auto"/>
        <w:ind w:left="1134" w:hanging="573"/>
        <w:jc w:val="both"/>
        <w:rPr>
          <w:rFonts w:ascii="Times New Roman" w:eastAsia="Calibri" w:hAnsi="Times New Roman" w:cs="Times New Roman"/>
          <w:i/>
        </w:rPr>
      </w:pPr>
      <w:r w:rsidRPr="00960929">
        <w:rPr>
          <w:rFonts w:ascii="Times New Roman" w:eastAsia="Times New Roman" w:hAnsi="Times New Roman" w:cs="Times New Roman"/>
          <w:bCs/>
        </w:rPr>
        <w:t xml:space="preserve">A katonai sportok ismerete a mezei futóbajnokság versenyszámainak elsajátításán  keresztül. </w:t>
      </w:r>
      <w:r w:rsidRPr="00960929">
        <w:rPr>
          <w:rFonts w:ascii="Times New Roman" w:eastAsia="Calibri" w:hAnsi="Times New Roman" w:cs="Times New Roman"/>
          <w:i/>
        </w:rPr>
        <w:t xml:space="preserve"> (Knowledge of military sports through the competitions of the Field Running Championship.)</w:t>
      </w:r>
    </w:p>
    <w:p w:rsidR="00F547E7" w:rsidRPr="00960929" w:rsidRDefault="00F547E7" w:rsidP="00C14833">
      <w:pPr>
        <w:widowControl w:val="0"/>
        <w:numPr>
          <w:ilvl w:val="1"/>
          <w:numId w:val="144"/>
        </w:numPr>
        <w:tabs>
          <w:tab w:val="clear" w:pos="3977"/>
        </w:tabs>
        <w:spacing w:before="120" w:after="120" w:line="240" w:lineRule="auto"/>
        <w:ind w:left="1134" w:hanging="573"/>
        <w:jc w:val="both"/>
        <w:rPr>
          <w:rFonts w:ascii="Times New Roman" w:eastAsia="Calibri" w:hAnsi="Times New Roman" w:cs="Times New Roman"/>
          <w:i/>
        </w:rPr>
      </w:pPr>
      <w:r w:rsidRPr="00960929">
        <w:rPr>
          <w:rFonts w:ascii="Times New Roman" w:eastAsia="Times New Roman" w:hAnsi="Times New Roman" w:cs="Times New Roman"/>
          <w:bCs/>
        </w:rPr>
        <w:t>Sportöltözetes futások, gyakorló felszereléses futások, fegyveres váltók.</w:t>
      </w:r>
      <w:r w:rsidRPr="00960929">
        <w:rPr>
          <w:rFonts w:ascii="Times New Roman" w:eastAsia="Times New Roman" w:hAnsi="Times New Roman" w:cs="Times New Roman"/>
          <w:b/>
          <w:bCs/>
        </w:rPr>
        <w:t xml:space="preserve"> </w:t>
      </w:r>
      <w:r w:rsidRPr="00960929">
        <w:rPr>
          <w:rFonts w:ascii="Times New Roman" w:eastAsia="Calibri" w:hAnsi="Times New Roman" w:cs="Times New Roman"/>
          <w:i/>
        </w:rPr>
        <w:t>(Running suits, running gear runs, armed gear.)</w:t>
      </w:r>
    </w:p>
    <w:p w:rsidR="00F547E7" w:rsidRPr="00960929" w:rsidRDefault="00F547E7" w:rsidP="00C14833">
      <w:pPr>
        <w:widowControl w:val="0"/>
        <w:numPr>
          <w:ilvl w:val="1"/>
          <w:numId w:val="144"/>
        </w:numPr>
        <w:tabs>
          <w:tab w:val="clear" w:pos="3977"/>
        </w:tabs>
        <w:spacing w:before="120" w:after="120" w:line="240" w:lineRule="auto"/>
        <w:ind w:left="1134" w:hanging="573"/>
        <w:jc w:val="both"/>
        <w:rPr>
          <w:rFonts w:ascii="Times New Roman" w:eastAsia="Calibri" w:hAnsi="Times New Roman" w:cs="Times New Roman"/>
          <w:i/>
        </w:rPr>
      </w:pPr>
      <w:r w:rsidRPr="00960929">
        <w:rPr>
          <w:rFonts w:ascii="Times New Roman" w:eastAsia="Times New Roman" w:hAnsi="Times New Roman" w:cs="Times New Roman"/>
          <w:bCs/>
        </w:rPr>
        <w:t xml:space="preserve">Maratoni vagy többlettáv módszer alkalmazása. </w:t>
      </w:r>
      <w:r w:rsidRPr="00960929">
        <w:rPr>
          <w:rFonts w:ascii="Times New Roman" w:eastAsia="Calibri" w:hAnsi="Times New Roman" w:cs="Times New Roman"/>
          <w:i/>
        </w:rPr>
        <w:t>(Use marathon or extra distance method.)</w:t>
      </w:r>
    </w:p>
    <w:p w:rsidR="00F547E7" w:rsidRPr="00960929" w:rsidRDefault="00F547E7" w:rsidP="00C14833">
      <w:pPr>
        <w:widowControl w:val="0"/>
        <w:numPr>
          <w:ilvl w:val="1"/>
          <w:numId w:val="144"/>
        </w:numPr>
        <w:tabs>
          <w:tab w:val="clear" w:pos="3977"/>
        </w:tabs>
        <w:spacing w:before="120" w:after="120" w:line="240" w:lineRule="auto"/>
        <w:ind w:left="1134" w:hanging="573"/>
        <w:jc w:val="both"/>
        <w:rPr>
          <w:rFonts w:ascii="Times New Roman" w:eastAsia="Calibri" w:hAnsi="Times New Roman" w:cs="Times New Roman"/>
          <w:i/>
        </w:rPr>
      </w:pPr>
      <w:r w:rsidRPr="00960929">
        <w:rPr>
          <w:rFonts w:ascii="Times New Roman" w:eastAsia="Times New Roman" w:hAnsi="Times New Roman" w:cs="Times New Roman"/>
          <w:bCs/>
        </w:rPr>
        <w:t>Iramjátékos módszer alkalmazása</w:t>
      </w:r>
      <w:r w:rsidRPr="00960929">
        <w:rPr>
          <w:rFonts w:ascii="Times New Roman" w:eastAsia="Calibri" w:hAnsi="Times New Roman" w:cs="Times New Roman"/>
          <w:i/>
        </w:rPr>
        <w:t xml:space="preserve"> (Applying a playwright method)</w:t>
      </w:r>
    </w:p>
    <w:p w:rsidR="00F547E7" w:rsidRPr="00960929" w:rsidRDefault="00F547E7" w:rsidP="00C14833">
      <w:pPr>
        <w:widowControl w:val="0"/>
        <w:numPr>
          <w:ilvl w:val="1"/>
          <w:numId w:val="144"/>
        </w:numPr>
        <w:tabs>
          <w:tab w:val="clear" w:pos="3977"/>
        </w:tabs>
        <w:spacing w:before="120" w:after="120" w:line="240" w:lineRule="auto"/>
        <w:ind w:left="1134" w:hanging="573"/>
        <w:jc w:val="both"/>
        <w:rPr>
          <w:rFonts w:ascii="Times New Roman" w:eastAsia="Calibri" w:hAnsi="Times New Roman" w:cs="Times New Roman"/>
          <w:i/>
        </w:rPr>
      </w:pPr>
      <w:r w:rsidRPr="00960929">
        <w:rPr>
          <w:rFonts w:ascii="Times New Roman" w:eastAsia="Times New Roman" w:hAnsi="Times New Roman" w:cs="Times New Roman"/>
          <w:bCs/>
        </w:rPr>
        <w:t xml:space="preserve">Interwall módszer alkalmazása </w:t>
      </w:r>
      <w:r w:rsidRPr="00960929">
        <w:rPr>
          <w:rFonts w:ascii="Times New Roman" w:eastAsia="Calibri" w:hAnsi="Times New Roman" w:cs="Times New Roman"/>
          <w:i/>
        </w:rPr>
        <w:t>(Application of the Interwall method)</w:t>
      </w:r>
    </w:p>
    <w:p w:rsidR="00F547E7" w:rsidRPr="00960929" w:rsidRDefault="00F547E7" w:rsidP="00C14833">
      <w:pPr>
        <w:widowControl w:val="0"/>
        <w:numPr>
          <w:ilvl w:val="1"/>
          <w:numId w:val="144"/>
        </w:numPr>
        <w:tabs>
          <w:tab w:val="clear" w:pos="3977"/>
        </w:tabs>
        <w:spacing w:before="120" w:after="120" w:line="240" w:lineRule="auto"/>
        <w:ind w:left="1134" w:hanging="573"/>
        <w:jc w:val="both"/>
        <w:rPr>
          <w:rFonts w:ascii="Times New Roman" w:eastAsia="Calibri" w:hAnsi="Times New Roman" w:cs="Times New Roman"/>
          <w:i/>
        </w:rPr>
      </w:pPr>
      <w:r w:rsidRPr="00960929">
        <w:rPr>
          <w:rFonts w:ascii="Times New Roman" w:eastAsia="Times New Roman" w:hAnsi="Times New Roman" w:cs="Times New Roman"/>
          <w:bCs/>
        </w:rPr>
        <w:lastRenderedPageBreak/>
        <w:t xml:space="preserve">Mozgásformák ellenőrzése </w:t>
      </w:r>
      <w:r w:rsidRPr="00960929">
        <w:rPr>
          <w:rFonts w:ascii="Times New Roman" w:eastAsia="Calibri" w:hAnsi="Times New Roman" w:cs="Times New Roman"/>
          <w:i/>
        </w:rPr>
        <w:t>(Checking motion forms)</w:t>
      </w:r>
    </w:p>
    <w:p w:rsidR="00F547E7" w:rsidRPr="00960929" w:rsidRDefault="00F547E7" w:rsidP="00C14833">
      <w:pPr>
        <w:widowControl w:val="0"/>
        <w:numPr>
          <w:ilvl w:val="1"/>
          <w:numId w:val="144"/>
        </w:numPr>
        <w:tabs>
          <w:tab w:val="clear" w:pos="3977"/>
        </w:tabs>
        <w:spacing w:before="120" w:after="120" w:line="240" w:lineRule="auto"/>
        <w:ind w:left="1134" w:hanging="573"/>
        <w:jc w:val="both"/>
        <w:rPr>
          <w:rFonts w:ascii="Times New Roman" w:eastAsia="Calibri" w:hAnsi="Times New Roman" w:cs="Times New Roman"/>
          <w:i/>
        </w:rPr>
      </w:pPr>
      <w:r w:rsidRPr="00960929">
        <w:rPr>
          <w:rFonts w:ascii="Times New Roman" w:eastAsia="Times New Roman" w:hAnsi="Times New Roman" w:cs="Times New Roman"/>
          <w:bCs/>
        </w:rPr>
        <w:t xml:space="preserve">Dobóképesség fejlesztése. A kézigránát távdobás mozgástechnikájának változatos körülmények között történő végrehajtása. </w:t>
      </w:r>
      <w:r w:rsidRPr="00960929">
        <w:rPr>
          <w:rFonts w:ascii="Times New Roman" w:eastAsia="Calibri" w:hAnsi="Times New Roman" w:cs="Times New Roman"/>
          <w:i/>
        </w:rPr>
        <w:t>(Improvement of throwing capability. The hand grenade is a telecommuting technique in a variety of circumstances.)</w:t>
      </w:r>
    </w:p>
    <w:p w:rsidR="00F547E7" w:rsidRPr="00F547E7" w:rsidRDefault="00F547E7" w:rsidP="00C14833">
      <w:pPr>
        <w:widowControl w:val="0"/>
        <w:numPr>
          <w:ilvl w:val="1"/>
          <w:numId w:val="144"/>
        </w:numPr>
        <w:tabs>
          <w:tab w:val="clear" w:pos="3977"/>
        </w:tabs>
        <w:spacing w:before="120" w:after="120" w:line="240" w:lineRule="auto"/>
        <w:ind w:left="1134" w:hanging="573"/>
        <w:jc w:val="both"/>
        <w:rPr>
          <w:rFonts w:ascii="Times New Roman" w:eastAsia="Times New Roman" w:hAnsi="Times New Roman" w:cs="Times New Roman"/>
          <w:bCs/>
        </w:rPr>
      </w:pPr>
      <w:r w:rsidRPr="00960929">
        <w:rPr>
          <w:rFonts w:ascii="Times New Roman" w:eastAsia="Times New Roman" w:hAnsi="Times New Roman" w:cs="Times New Roman"/>
          <w:bCs/>
        </w:rPr>
        <w:t>Természetes és mesterséges akadályok leküzdése. Mélybe-fel- és átugrások. Emelések és hordások.</w:t>
      </w:r>
      <w:r w:rsidRPr="00960929">
        <w:rPr>
          <w:rFonts w:ascii="Times New Roman" w:eastAsia="Calibri" w:hAnsi="Times New Roman" w:cs="Times New Roman"/>
          <w:i/>
        </w:rPr>
        <w:t xml:space="preserve"> (Overcoming natural and artificial barriers. Deep jumps and jumps. Lifts and </w:t>
      </w:r>
    </w:p>
    <w:p w:rsidR="007D48C9" w:rsidRPr="00F547E7" w:rsidRDefault="007D48C9" w:rsidP="00C14833">
      <w:pPr>
        <w:pStyle w:val="Listaszerbekezds"/>
        <w:widowControl w:val="0"/>
        <w:numPr>
          <w:ilvl w:val="0"/>
          <w:numId w:val="144"/>
        </w:numPr>
        <w:tabs>
          <w:tab w:val="left" w:pos="7260"/>
        </w:tabs>
        <w:spacing w:before="120" w:after="120" w:line="240" w:lineRule="auto"/>
        <w:ind w:left="426" w:hanging="142"/>
        <w:jc w:val="both"/>
        <w:rPr>
          <w:rFonts w:ascii="Times New Roman" w:eastAsia="Times New Roman" w:hAnsi="Times New Roman" w:cs="Times New Roman"/>
          <w:bCs/>
        </w:rPr>
      </w:pPr>
      <w:r w:rsidRPr="0036536D">
        <w:rPr>
          <w:rFonts w:ascii="Times New Roman" w:eastAsia="Times New Roman" w:hAnsi="Times New Roman" w:cs="Times New Roman"/>
          <w:b/>
          <w:bCs/>
        </w:rPr>
        <w:t>A tantárgy meghirdetésének gyakorisága/a tantervben történő félévi elhelyezkedése:</w:t>
      </w:r>
      <w:r w:rsidRPr="0036536D">
        <w:rPr>
          <w:rFonts w:ascii="Times New Roman" w:hAnsi="Times New Roman" w:cs="Times New Roman"/>
          <w:bCs/>
        </w:rPr>
        <w:t xml:space="preserve"> </w:t>
      </w:r>
      <w:r w:rsidR="00F547E7">
        <w:rPr>
          <w:rFonts w:ascii="Times New Roman" w:eastAsia="Calibri" w:hAnsi="Times New Roman" w:cs="Times New Roman"/>
          <w:bCs/>
        </w:rPr>
        <w:t>tavaszi / 2</w:t>
      </w:r>
      <w:r w:rsidR="00F547E7" w:rsidRPr="000B4D34">
        <w:rPr>
          <w:rFonts w:ascii="Times New Roman" w:eastAsia="Calibri" w:hAnsi="Times New Roman" w:cs="Times New Roman"/>
          <w:bCs/>
        </w:rPr>
        <w:t>. félév</w:t>
      </w:r>
    </w:p>
    <w:p w:rsidR="007D48C9" w:rsidRPr="0036536D" w:rsidRDefault="007D48C9" w:rsidP="00C14833">
      <w:pPr>
        <w:pStyle w:val="Listaszerbekezds"/>
        <w:widowControl w:val="0"/>
        <w:numPr>
          <w:ilvl w:val="0"/>
          <w:numId w:val="144"/>
        </w:numPr>
        <w:tabs>
          <w:tab w:val="left" w:pos="7260"/>
        </w:tabs>
        <w:spacing w:before="120" w:after="120" w:line="240" w:lineRule="auto"/>
        <w:ind w:left="426" w:hanging="142"/>
        <w:jc w:val="both"/>
        <w:rPr>
          <w:rFonts w:ascii="Times New Roman" w:eastAsia="Times New Roman" w:hAnsi="Times New Roman" w:cs="Times New Roman"/>
          <w:bCs/>
        </w:rPr>
      </w:pPr>
      <w:r w:rsidRPr="0036536D">
        <w:rPr>
          <w:rFonts w:ascii="Times New Roman" w:eastAsia="Times New Roman" w:hAnsi="Times New Roman" w:cs="Times New Roman"/>
          <w:b/>
          <w:bCs/>
        </w:rPr>
        <w:t>A tanórákon való részvétel követelményei, az elfogadható hiányzások mértéke, a távolmaradás pótlásának lehetősége:</w:t>
      </w:r>
      <w:r w:rsidRPr="0036536D">
        <w:rPr>
          <w:rFonts w:ascii="Times New Roman" w:hAnsi="Times New Roman" w:cs="Times New Roman"/>
          <w:bCs/>
        </w:rPr>
        <w:t xml:space="preserve"> A honvéd tisztjelöltek részvétele a foglalkozáson kötelező. Betegség, szabadság miatti hiányzások mértéke maximálisan 30% lehet. Vezénylés, szolgálat miatti távollét nem számít bele a hiányzásba.</w:t>
      </w:r>
      <w:r w:rsidRPr="0036536D">
        <w:rPr>
          <w:rFonts w:ascii="Times New Roman" w:eastAsia="Times New Roman" w:hAnsi="Times New Roman" w:cs="Times New Roman"/>
          <w:bCs/>
        </w:rPr>
        <w:t xml:space="preserve"> A hallgatónak a tanórák legalább 70 %-án jelen kell lennie, 30 %-ot meghaladó hiányzás esetén a félév teljesítése nem írható alá. A hallgató köteles a gyakorlat anyagát beszerezni, abból önállóan felkészülni.</w:t>
      </w:r>
      <w:r w:rsidRPr="0036536D">
        <w:rPr>
          <w:rFonts w:ascii="Times New Roman" w:eastAsia="Times New Roman" w:hAnsi="Times New Roman" w:cs="Times New Roman"/>
          <w:bCs/>
        </w:rPr>
        <w:tab/>
      </w:r>
    </w:p>
    <w:p w:rsidR="007D48C9" w:rsidRPr="0036536D" w:rsidRDefault="007D48C9" w:rsidP="00C14833">
      <w:pPr>
        <w:widowControl w:val="0"/>
        <w:numPr>
          <w:ilvl w:val="0"/>
          <w:numId w:val="144"/>
        </w:numPr>
        <w:tabs>
          <w:tab w:val="num" w:pos="785"/>
        </w:tabs>
        <w:spacing w:before="120" w:after="120" w:line="240" w:lineRule="auto"/>
        <w:ind w:left="426" w:hanging="142"/>
        <w:jc w:val="both"/>
        <w:rPr>
          <w:rFonts w:ascii="Times New Roman" w:eastAsia="Times New Roman" w:hAnsi="Times New Roman" w:cs="Times New Roman"/>
          <w:bCs/>
        </w:rPr>
      </w:pPr>
      <w:r w:rsidRPr="0036536D">
        <w:rPr>
          <w:rFonts w:ascii="Times New Roman" w:eastAsia="Times New Roman" w:hAnsi="Times New Roman" w:cs="Times New Roman"/>
          <w:b/>
        </w:rPr>
        <w:t>Félévközi feladatok, ismeretek ellenőrzésének rendje:</w:t>
      </w:r>
      <w:r w:rsidRPr="0036536D">
        <w:rPr>
          <w:rFonts w:ascii="Times New Roman" w:eastAsia="Times New Roman" w:hAnsi="Times New Roman" w:cs="Times New Roman"/>
          <w:bCs/>
        </w:rPr>
        <w:t xml:space="preserve"> Az ismeretek ellenőrzése a különböző mozgásformák bemutatásával történik. Az oktató az alábbi szempontok alapján értékeli a hallgatót:</w:t>
      </w:r>
      <w:r w:rsidRPr="0036536D">
        <w:rPr>
          <w:rFonts w:ascii="Times New Roman" w:hAnsi="Times New Roman" w:cs="Times New Roman"/>
        </w:rPr>
        <w:t xml:space="preserve"> az elégséges értékeléshez mozgásformánként el kell érni a minimum pontszámot, valamint az összesített pontszám tekintetében el kell érni a 130 pontot. A mozgásformák a következők: 3200m futás, fekvőtámasz, felülés, kötélmászás, 200m fegyveres futás gyakorlóban, 2000m futás gyakorló ruházatban, kézigránát hajítás távolságra, akadálypálya gyakorlat időkorlát nélkül. Sikertelen kísérlet esetén, a hallgatónak a félév folyamán kétszer van lehetősége a javításra. </w:t>
      </w:r>
    </w:p>
    <w:p w:rsidR="007D48C9" w:rsidRPr="0036536D" w:rsidRDefault="007D48C9" w:rsidP="00C14833">
      <w:pPr>
        <w:widowControl w:val="0"/>
        <w:numPr>
          <w:ilvl w:val="0"/>
          <w:numId w:val="144"/>
        </w:numPr>
        <w:spacing w:before="120" w:after="120" w:line="240" w:lineRule="auto"/>
        <w:ind w:left="426" w:hanging="142"/>
        <w:jc w:val="both"/>
        <w:rPr>
          <w:rFonts w:ascii="Times New Roman" w:eastAsia="Times New Roman" w:hAnsi="Times New Roman" w:cs="Times New Roman"/>
          <w:b/>
          <w:bCs/>
        </w:rPr>
      </w:pPr>
      <w:r w:rsidRPr="0036536D">
        <w:rPr>
          <w:rFonts w:ascii="Times New Roman" w:eastAsia="Times New Roman" w:hAnsi="Times New Roman" w:cs="Times New Roman"/>
          <w:b/>
          <w:bCs/>
        </w:rPr>
        <w:t xml:space="preserve">Az értékelés, az aláírás és a kreditek megszerzésének pontos feltételei: </w:t>
      </w:r>
      <w:r w:rsidRPr="0036536D">
        <w:rPr>
          <w:rFonts w:ascii="Times New Roman" w:hAnsi="Times New Roman" w:cs="Times New Roman"/>
          <w:bCs/>
        </w:rPr>
        <w:t>Az aláírás feltétele tanórák 70%-án történő aktív részvétel</w:t>
      </w:r>
      <w:r w:rsidRPr="0036536D">
        <w:rPr>
          <w:rFonts w:ascii="Times New Roman" w:hAnsi="Times New Roman" w:cs="Times New Roman"/>
        </w:rPr>
        <w:t xml:space="preserve">, valamint az elégséges értékeléshez mozgásformánként el kell érni a minimum pontszámot, valamint az összesített pontszám tekintetében el kell érni a 130 pontot. </w:t>
      </w:r>
    </w:p>
    <w:p w:rsidR="007D48C9" w:rsidRPr="0036536D" w:rsidRDefault="007D48C9" w:rsidP="00C14833">
      <w:pPr>
        <w:widowControl w:val="0"/>
        <w:numPr>
          <w:ilvl w:val="1"/>
          <w:numId w:val="144"/>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36536D">
        <w:rPr>
          <w:rFonts w:ascii="Times New Roman" w:eastAsia="Times New Roman" w:hAnsi="Times New Roman" w:cs="Times New Roman"/>
          <w:b/>
        </w:rPr>
        <w:t>Az aláírás megszerzésének feltételei:</w:t>
      </w:r>
      <w:r w:rsidRPr="0036536D">
        <w:rPr>
          <w:rFonts w:ascii="Times New Roman" w:hAnsi="Times New Roman" w:cs="Times New Roman"/>
          <w:bCs/>
        </w:rPr>
        <w:t xml:space="preserve"> Az aláírás feltétele tanórák 70%-án történő aktív részvétel</w:t>
      </w:r>
      <w:r w:rsidRPr="0036536D">
        <w:rPr>
          <w:rFonts w:ascii="Times New Roman" w:hAnsi="Times New Roman" w:cs="Times New Roman"/>
        </w:rPr>
        <w:t>. valamint az elégséges értékeléshez mozgásformánként el kell érni a minimum pontszámot, valamint az összesített pontszám tekintetében el kell érni a minimális 130 pontot.</w:t>
      </w:r>
    </w:p>
    <w:p w:rsidR="007D48C9" w:rsidRPr="0036536D" w:rsidRDefault="007D48C9" w:rsidP="00C14833">
      <w:pPr>
        <w:widowControl w:val="0"/>
        <w:numPr>
          <w:ilvl w:val="1"/>
          <w:numId w:val="144"/>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36536D">
        <w:rPr>
          <w:rFonts w:ascii="Times New Roman" w:eastAsia="Times New Roman" w:hAnsi="Times New Roman" w:cs="Times New Roman"/>
          <w:b/>
        </w:rPr>
        <w:t>Az értékelés:</w:t>
      </w:r>
      <w:r w:rsidRPr="0036536D">
        <w:rPr>
          <w:rFonts w:ascii="Times New Roman" w:eastAsia="Times New Roman" w:hAnsi="Times New Roman" w:cs="Times New Roman"/>
        </w:rPr>
        <w:t xml:space="preserve"> Gyakorlati jegy megszerzése: A</w:t>
      </w:r>
      <w:r w:rsidRPr="0036536D">
        <w:rPr>
          <w:rFonts w:ascii="Times New Roman" w:hAnsi="Times New Roman" w:cs="Times New Roman"/>
        </w:rPr>
        <w:t>z elégséges értékeléshez mozgásformánként el kell érni a minimum pontszámot, valamint az összesített pontszám tekintetében el kell érni a minimális 130 pontot. 130-199 pont elégséges, 200-269 pont közepes, 270-339 pont jó 340-400 kiváló osztályzatot jelent</w:t>
      </w:r>
      <w:r w:rsidRPr="0036536D">
        <w:rPr>
          <w:rFonts w:ascii="Times New Roman" w:eastAsia="Times New Roman" w:hAnsi="Times New Roman" w:cs="Times New Roman"/>
        </w:rPr>
        <w:t>.</w:t>
      </w:r>
    </w:p>
    <w:p w:rsidR="007D48C9" w:rsidRPr="0036536D" w:rsidRDefault="007D48C9" w:rsidP="00C14833">
      <w:pPr>
        <w:widowControl w:val="0"/>
        <w:numPr>
          <w:ilvl w:val="1"/>
          <w:numId w:val="144"/>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36536D">
        <w:rPr>
          <w:rFonts w:ascii="Times New Roman" w:eastAsia="Times New Roman" w:hAnsi="Times New Roman" w:cs="Times New Roman"/>
          <w:b/>
        </w:rPr>
        <w:t xml:space="preserve">A kreditek megszerzésének feltételei: </w:t>
      </w:r>
      <w:r w:rsidRPr="0036536D">
        <w:rPr>
          <w:rFonts w:ascii="Times New Roman" w:eastAsia="Times New Roman" w:hAnsi="Times New Roman" w:cs="Times New Roman"/>
        </w:rPr>
        <w:t>A mozgásformák minimum szintjeinek és a minimum összpontszámnak az elérése.</w:t>
      </w:r>
    </w:p>
    <w:p w:rsidR="007D48C9" w:rsidRPr="0036536D" w:rsidRDefault="007D48C9" w:rsidP="00C14833">
      <w:pPr>
        <w:widowControl w:val="0"/>
        <w:numPr>
          <w:ilvl w:val="0"/>
          <w:numId w:val="144"/>
        </w:numPr>
        <w:tabs>
          <w:tab w:val="num" w:pos="785"/>
        </w:tabs>
        <w:spacing w:before="120" w:after="120" w:line="240" w:lineRule="auto"/>
        <w:ind w:left="426" w:hanging="142"/>
        <w:jc w:val="both"/>
        <w:rPr>
          <w:rFonts w:ascii="Times New Roman" w:eastAsia="Times New Roman" w:hAnsi="Times New Roman" w:cs="Times New Roman"/>
          <w:bCs/>
        </w:rPr>
      </w:pPr>
      <w:r w:rsidRPr="0036536D">
        <w:rPr>
          <w:rFonts w:ascii="Times New Roman" w:eastAsia="Times New Roman" w:hAnsi="Times New Roman" w:cs="Times New Roman"/>
          <w:b/>
          <w:bCs/>
        </w:rPr>
        <w:t>Irodalomjegyzék:</w:t>
      </w:r>
    </w:p>
    <w:p w:rsidR="007D48C9" w:rsidRPr="0036536D" w:rsidRDefault="007D48C9" w:rsidP="00C14833">
      <w:pPr>
        <w:widowControl w:val="0"/>
        <w:numPr>
          <w:ilvl w:val="1"/>
          <w:numId w:val="144"/>
        </w:numPr>
        <w:tabs>
          <w:tab w:val="left" w:pos="567"/>
          <w:tab w:val="left" w:pos="851"/>
        </w:tabs>
        <w:spacing w:before="120" w:after="120" w:line="240" w:lineRule="auto"/>
        <w:ind w:left="426" w:hanging="142"/>
        <w:jc w:val="both"/>
        <w:rPr>
          <w:rFonts w:ascii="Times New Roman" w:eastAsia="Times New Roman" w:hAnsi="Times New Roman" w:cs="Times New Roman"/>
          <w:bCs/>
        </w:rPr>
      </w:pPr>
      <w:r w:rsidRPr="0036536D">
        <w:rPr>
          <w:rFonts w:ascii="Times New Roman" w:eastAsia="Times New Roman" w:hAnsi="Times New Roman" w:cs="Times New Roman"/>
          <w:b/>
          <w:bCs/>
        </w:rPr>
        <w:t>Kötelező irodalom:</w:t>
      </w:r>
    </w:p>
    <w:p w:rsidR="007D48C9" w:rsidRPr="0036536D" w:rsidRDefault="007D48C9" w:rsidP="006708B2">
      <w:pPr>
        <w:widowControl w:val="0"/>
        <w:tabs>
          <w:tab w:val="left" w:pos="708"/>
        </w:tabs>
        <w:spacing w:after="0" w:line="240" w:lineRule="auto"/>
        <w:ind w:left="426" w:hanging="142"/>
        <w:jc w:val="both"/>
        <w:rPr>
          <w:rFonts w:ascii="Times New Roman" w:eastAsia="Times New Roman" w:hAnsi="Times New Roman" w:cs="Times New Roman"/>
          <w:highlight w:val="lightGray"/>
        </w:rPr>
      </w:pPr>
      <w:r w:rsidRPr="0036536D">
        <w:rPr>
          <w:rFonts w:ascii="Times New Roman" w:hAnsi="Times New Roman" w:cs="Times New Roman"/>
        </w:rPr>
        <w:t>1. A Magyar Honvédség Katonai Testnevelés Kiképzés és Sportbajnokságok szabályzata (A Magyar Honvédség Kiadványa 2017)</w:t>
      </w:r>
    </w:p>
    <w:p w:rsidR="007D48C9" w:rsidRPr="0036536D" w:rsidRDefault="007D48C9" w:rsidP="006708B2">
      <w:pPr>
        <w:widowControl w:val="0"/>
        <w:tabs>
          <w:tab w:val="left" w:pos="708"/>
        </w:tabs>
        <w:spacing w:before="120" w:after="120" w:line="240" w:lineRule="auto"/>
        <w:ind w:firstLine="284"/>
        <w:jc w:val="both"/>
        <w:rPr>
          <w:rFonts w:ascii="Times New Roman" w:eastAsia="Times New Roman" w:hAnsi="Times New Roman" w:cs="Times New Roman"/>
          <w:b/>
          <w:bCs/>
        </w:rPr>
      </w:pPr>
      <w:r w:rsidRPr="0036536D">
        <w:rPr>
          <w:rFonts w:ascii="Times New Roman" w:eastAsia="Times New Roman" w:hAnsi="Times New Roman" w:cs="Times New Roman"/>
          <w:b/>
          <w:bCs/>
        </w:rPr>
        <w:t>17.2. Ajánlott irodalom:</w:t>
      </w:r>
    </w:p>
    <w:p w:rsidR="007D48C9" w:rsidRPr="0036536D" w:rsidRDefault="007D48C9" w:rsidP="00C14833">
      <w:pPr>
        <w:pStyle w:val="Listaszerbekezds"/>
        <w:widowControl w:val="0"/>
        <w:numPr>
          <w:ilvl w:val="0"/>
          <w:numId w:val="145"/>
        </w:numPr>
        <w:tabs>
          <w:tab w:val="left" w:pos="708"/>
        </w:tabs>
        <w:spacing w:after="0" w:line="240" w:lineRule="auto"/>
        <w:jc w:val="both"/>
        <w:rPr>
          <w:rFonts w:ascii="Times New Roman" w:eastAsia="Times New Roman" w:hAnsi="Times New Roman" w:cs="Times New Roman"/>
        </w:rPr>
      </w:pPr>
      <w:r w:rsidRPr="0036536D">
        <w:rPr>
          <w:rFonts w:ascii="Times New Roman" w:hAnsi="Times New Roman" w:cs="Times New Roman"/>
          <w:bCs/>
        </w:rPr>
        <w:t xml:space="preserve">Nádori László: Az edzés elmélete és módszertana MTE jegyzet 1991 </w:t>
      </w:r>
      <w:r w:rsidRPr="0036536D">
        <w:rPr>
          <w:rFonts w:ascii="Times New Roman" w:eastAsia="Times New Roman" w:hAnsi="Times New Roman" w:cs="Times New Roman"/>
        </w:rPr>
        <w:t xml:space="preserve"> ISBN: 963-253-033-0</w:t>
      </w:r>
    </w:p>
    <w:p w:rsidR="007D48C9" w:rsidRPr="0036536D" w:rsidRDefault="007D48C9" w:rsidP="00C14833">
      <w:pPr>
        <w:pStyle w:val="Listaszerbekezds"/>
        <w:widowControl w:val="0"/>
        <w:numPr>
          <w:ilvl w:val="0"/>
          <w:numId w:val="145"/>
        </w:numPr>
        <w:tabs>
          <w:tab w:val="left" w:pos="708"/>
        </w:tabs>
        <w:spacing w:after="0" w:line="240" w:lineRule="auto"/>
        <w:jc w:val="both"/>
        <w:rPr>
          <w:rFonts w:ascii="Times New Roman" w:eastAsia="Times New Roman" w:hAnsi="Times New Roman" w:cs="Times New Roman"/>
        </w:rPr>
      </w:pPr>
      <w:r w:rsidRPr="0036536D">
        <w:rPr>
          <w:rFonts w:ascii="Times New Roman" w:hAnsi="Times New Roman" w:cs="Times New Roman"/>
        </w:rPr>
        <w:t>Arold Imre: Az úszás oktatása Sport kiadó 1979 ISBN:9632530187</w:t>
      </w:r>
    </w:p>
    <w:p w:rsidR="007D48C9" w:rsidRPr="0036536D" w:rsidRDefault="007D48C9" w:rsidP="00C14833">
      <w:pPr>
        <w:pStyle w:val="lfej"/>
        <w:numPr>
          <w:ilvl w:val="0"/>
          <w:numId w:val="145"/>
        </w:numPr>
        <w:jc w:val="both"/>
        <w:rPr>
          <w:rFonts w:ascii="Times New Roman" w:hAnsi="Times New Roman" w:cs="Times New Roman"/>
          <w:bCs/>
        </w:rPr>
      </w:pPr>
      <w:r w:rsidRPr="0036536D">
        <w:rPr>
          <w:rFonts w:ascii="Times New Roman" w:hAnsi="Times New Roman" w:cs="Times New Roman"/>
          <w:bCs/>
        </w:rPr>
        <w:t>Kerezsi Endre : Torna III. (1979. Sport Kiadó) ISBN: 963-253-012-8</w:t>
      </w:r>
    </w:p>
    <w:p w:rsidR="007D48C9" w:rsidRPr="0036536D" w:rsidRDefault="007D48C9" w:rsidP="007D48C9">
      <w:pPr>
        <w:pStyle w:val="Listaszerbekezds"/>
        <w:widowControl w:val="0"/>
        <w:tabs>
          <w:tab w:val="left" w:pos="708"/>
        </w:tabs>
        <w:spacing w:after="0" w:line="240" w:lineRule="auto"/>
        <w:rPr>
          <w:rFonts w:ascii="Times New Roman" w:eastAsia="Times New Roman" w:hAnsi="Times New Roman" w:cs="Times New Roman"/>
        </w:rPr>
      </w:pPr>
    </w:p>
    <w:p w:rsidR="007D48C9" w:rsidRPr="0036536D" w:rsidRDefault="007D48C9" w:rsidP="007D48C9">
      <w:pPr>
        <w:widowControl w:val="0"/>
        <w:tabs>
          <w:tab w:val="left" w:pos="708"/>
        </w:tabs>
        <w:spacing w:before="120" w:after="120" w:line="240" w:lineRule="auto"/>
        <w:jc w:val="both"/>
        <w:rPr>
          <w:rFonts w:ascii="Times New Roman" w:eastAsia="Times New Roman" w:hAnsi="Times New Roman" w:cs="Times New Roman"/>
          <w:bCs/>
        </w:rPr>
      </w:pPr>
      <w:r w:rsidRPr="0036536D">
        <w:rPr>
          <w:rFonts w:ascii="Times New Roman" w:eastAsia="Times New Roman" w:hAnsi="Times New Roman" w:cs="Times New Roman"/>
          <w:bCs/>
        </w:rPr>
        <w:t>Budapest, 2020-01-21.</w:t>
      </w:r>
    </w:p>
    <w:p w:rsidR="007D48C9" w:rsidRPr="0036536D" w:rsidRDefault="007D48C9" w:rsidP="007D48C9">
      <w:pPr>
        <w:widowControl w:val="0"/>
        <w:tabs>
          <w:tab w:val="left" w:pos="708"/>
        </w:tabs>
        <w:spacing w:after="0" w:line="240" w:lineRule="auto"/>
        <w:jc w:val="right"/>
        <w:rPr>
          <w:rFonts w:ascii="Times New Roman" w:eastAsia="Times New Roman" w:hAnsi="Times New Roman" w:cs="Times New Roman"/>
          <w:b/>
          <w:bCs/>
        </w:rPr>
      </w:pPr>
      <w:r w:rsidRPr="0036536D">
        <w:rPr>
          <w:rFonts w:ascii="Times New Roman" w:eastAsia="Times New Roman" w:hAnsi="Times New Roman" w:cs="Times New Roman"/>
          <w:b/>
          <w:bCs/>
        </w:rPr>
        <w:t xml:space="preserve">Molnár Imre alezredes, </w:t>
      </w:r>
    </w:p>
    <w:p w:rsidR="007D48C9" w:rsidRPr="0036536D" w:rsidRDefault="007D48C9" w:rsidP="007D48C9">
      <w:pPr>
        <w:widowControl w:val="0"/>
        <w:tabs>
          <w:tab w:val="left" w:pos="708"/>
        </w:tabs>
        <w:spacing w:after="0" w:line="240" w:lineRule="auto"/>
        <w:jc w:val="right"/>
        <w:rPr>
          <w:rFonts w:ascii="Times New Roman" w:eastAsia="Times New Roman" w:hAnsi="Times New Roman" w:cs="Times New Roman"/>
          <w:bCs/>
        </w:rPr>
      </w:pPr>
      <w:r w:rsidRPr="0036536D">
        <w:rPr>
          <w:rFonts w:ascii="Times New Roman" w:eastAsia="Times New Roman" w:hAnsi="Times New Roman" w:cs="Times New Roman"/>
          <w:bCs/>
        </w:rPr>
        <w:t>KTSK testnevelő tanár, sk.</w:t>
      </w:r>
    </w:p>
    <w:p w:rsidR="0036536D" w:rsidRDefault="0036536D">
      <w:pPr>
        <w:spacing w:after="200" w:line="276" w:lineRule="auto"/>
        <w:rPr>
          <w:rFonts w:ascii="Times New Roman" w:hAnsi="Times New Roman" w:cs="Times New Roman"/>
          <w:sz w:val="24"/>
        </w:rPr>
      </w:pPr>
      <w:r>
        <w:rPr>
          <w:rFonts w:ascii="Times New Roman" w:hAnsi="Times New Roman" w:cs="Times New Roman"/>
          <w:sz w:val="24"/>
        </w:rPr>
        <w:br w:type="page"/>
      </w:r>
    </w:p>
    <w:tbl>
      <w:tblPr>
        <w:tblW w:w="11669" w:type="dxa"/>
        <w:tblInd w:w="113" w:type="dxa"/>
        <w:tblLook w:val="01E0" w:firstRow="1" w:lastRow="1" w:firstColumn="1" w:lastColumn="1" w:noHBand="0" w:noVBand="0"/>
      </w:tblPr>
      <w:tblGrid>
        <w:gridCol w:w="4855"/>
        <w:gridCol w:w="1620"/>
        <w:gridCol w:w="2597"/>
        <w:gridCol w:w="2597"/>
      </w:tblGrid>
      <w:tr w:rsidR="00426C1E" w:rsidRPr="00426C1E" w:rsidTr="00426C1E">
        <w:tc>
          <w:tcPr>
            <w:tcW w:w="4855" w:type="dxa"/>
            <w:tcBorders>
              <w:top w:val="nil"/>
              <w:left w:val="nil"/>
              <w:bottom w:val="single" w:sz="4" w:space="0" w:color="auto"/>
              <w:right w:val="nil"/>
            </w:tcBorders>
            <w:hideMark/>
          </w:tcPr>
          <w:p w:rsidR="00426C1E" w:rsidRPr="00426C1E" w:rsidRDefault="00426C1E">
            <w:pPr>
              <w:spacing w:after="0" w:line="240" w:lineRule="auto"/>
              <w:jc w:val="center"/>
              <w:rPr>
                <w:rFonts w:ascii="Times New Roman" w:eastAsia="Times New Roman" w:hAnsi="Times New Roman" w:cs="Times New Roman"/>
                <w:b/>
                <w:smallCaps/>
                <w:lang w:eastAsia="hu-HU"/>
              </w:rPr>
            </w:pPr>
            <w:r w:rsidRPr="00426C1E">
              <w:rPr>
                <w:rFonts w:ascii="Times New Roman" w:eastAsia="Times New Roman" w:hAnsi="Times New Roman" w:cs="Times New Roman"/>
                <w:b/>
                <w:smallCaps/>
                <w:lang w:eastAsia="hu-HU"/>
              </w:rPr>
              <w:lastRenderedPageBreak/>
              <w:t>Nemzeti Közszolgálati Egyetem</w:t>
            </w:r>
          </w:p>
        </w:tc>
        <w:tc>
          <w:tcPr>
            <w:tcW w:w="1620" w:type="dxa"/>
          </w:tcPr>
          <w:p w:rsidR="00426C1E" w:rsidRPr="00426C1E" w:rsidRDefault="00426C1E">
            <w:pPr>
              <w:spacing w:after="0" w:line="240" w:lineRule="auto"/>
              <w:jc w:val="both"/>
              <w:rPr>
                <w:rFonts w:ascii="Times New Roman" w:eastAsia="Times New Roman" w:hAnsi="Times New Roman" w:cs="Times New Roman"/>
                <w:lang w:eastAsia="hu-HU"/>
              </w:rPr>
            </w:pPr>
          </w:p>
        </w:tc>
        <w:tc>
          <w:tcPr>
            <w:tcW w:w="2597" w:type="dxa"/>
          </w:tcPr>
          <w:p w:rsidR="00426C1E" w:rsidRPr="00426C1E" w:rsidRDefault="00426C1E">
            <w:pPr>
              <w:spacing w:after="0" w:line="240" w:lineRule="auto"/>
              <w:jc w:val="right"/>
              <w:rPr>
                <w:rFonts w:ascii="Times New Roman" w:eastAsia="Times New Roman" w:hAnsi="Times New Roman" w:cs="Times New Roman"/>
                <w:lang w:eastAsia="hu-HU"/>
              </w:rPr>
            </w:pPr>
          </w:p>
        </w:tc>
        <w:tc>
          <w:tcPr>
            <w:tcW w:w="2597" w:type="dxa"/>
          </w:tcPr>
          <w:p w:rsidR="00426C1E" w:rsidRPr="00426C1E" w:rsidRDefault="00426C1E">
            <w:pPr>
              <w:spacing w:after="0" w:line="240" w:lineRule="auto"/>
              <w:jc w:val="right"/>
              <w:rPr>
                <w:rFonts w:ascii="Times New Roman" w:eastAsia="Times New Roman" w:hAnsi="Times New Roman" w:cs="Times New Roman"/>
                <w:lang w:eastAsia="hu-HU"/>
              </w:rPr>
            </w:pPr>
          </w:p>
        </w:tc>
      </w:tr>
      <w:tr w:rsidR="00426C1E" w:rsidRPr="00426C1E" w:rsidTr="00426C1E">
        <w:tc>
          <w:tcPr>
            <w:tcW w:w="4855" w:type="dxa"/>
            <w:tcBorders>
              <w:top w:val="single" w:sz="4" w:space="0" w:color="auto"/>
              <w:left w:val="nil"/>
              <w:bottom w:val="nil"/>
              <w:right w:val="nil"/>
            </w:tcBorders>
            <w:hideMark/>
          </w:tcPr>
          <w:p w:rsidR="00426C1E" w:rsidRPr="00426C1E" w:rsidRDefault="00426C1E">
            <w:pPr>
              <w:spacing w:after="0" w:line="240" w:lineRule="auto"/>
              <w:jc w:val="center"/>
              <w:rPr>
                <w:rFonts w:ascii="Times New Roman" w:eastAsia="Times New Roman" w:hAnsi="Times New Roman" w:cs="Times New Roman"/>
                <w:b/>
                <w:lang w:eastAsia="hu-HU"/>
              </w:rPr>
            </w:pPr>
            <w:r w:rsidRPr="00426C1E">
              <w:rPr>
                <w:rFonts w:ascii="Times New Roman" w:hAnsi="Times New Roman" w:cs="Times New Roman"/>
                <w:b/>
              </w:rPr>
              <w:t>Hadtudományi és Honvédtisztképző Kar</w:t>
            </w:r>
          </w:p>
        </w:tc>
        <w:tc>
          <w:tcPr>
            <w:tcW w:w="1620" w:type="dxa"/>
          </w:tcPr>
          <w:p w:rsidR="00426C1E" w:rsidRPr="00426C1E" w:rsidRDefault="00426C1E">
            <w:pPr>
              <w:spacing w:after="0" w:line="240" w:lineRule="auto"/>
              <w:jc w:val="both"/>
              <w:rPr>
                <w:rFonts w:ascii="Times New Roman" w:eastAsia="Times New Roman" w:hAnsi="Times New Roman" w:cs="Times New Roman"/>
                <w:lang w:eastAsia="hu-HU"/>
              </w:rPr>
            </w:pPr>
          </w:p>
        </w:tc>
        <w:tc>
          <w:tcPr>
            <w:tcW w:w="2597" w:type="dxa"/>
          </w:tcPr>
          <w:p w:rsidR="00426C1E" w:rsidRPr="00426C1E" w:rsidRDefault="00426C1E">
            <w:pPr>
              <w:spacing w:after="0" w:line="240" w:lineRule="auto"/>
              <w:jc w:val="both"/>
              <w:rPr>
                <w:rFonts w:ascii="Times New Roman" w:eastAsia="Times New Roman" w:hAnsi="Times New Roman" w:cs="Times New Roman"/>
                <w:lang w:eastAsia="hu-HU"/>
              </w:rPr>
            </w:pPr>
          </w:p>
        </w:tc>
        <w:tc>
          <w:tcPr>
            <w:tcW w:w="2597" w:type="dxa"/>
          </w:tcPr>
          <w:p w:rsidR="00426C1E" w:rsidRPr="00426C1E" w:rsidRDefault="00426C1E">
            <w:pPr>
              <w:spacing w:after="0" w:line="240" w:lineRule="auto"/>
              <w:jc w:val="both"/>
              <w:rPr>
                <w:rFonts w:ascii="Times New Roman" w:eastAsia="Times New Roman" w:hAnsi="Times New Roman" w:cs="Times New Roman"/>
                <w:lang w:eastAsia="hu-HU"/>
              </w:rPr>
            </w:pPr>
          </w:p>
        </w:tc>
      </w:tr>
    </w:tbl>
    <w:p w:rsidR="00426C1E" w:rsidRPr="00426C1E" w:rsidRDefault="00426C1E" w:rsidP="00426C1E">
      <w:pPr>
        <w:widowControl w:val="0"/>
        <w:spacing w:before="120" w:after="120" w:line="240" w:lineRule="auto"/>
        <w:ind w:left="426" w:hanging="142"/>
        <w:jc w:val="center"/>
        <w:rPr>
          <w:rFonts w:ascii="Times New Roman" w:eastAsia="Times New Roman" w:hAnsi="Times New Roman" w:cs="Times New Roman"/>
          <w:b/>
          <w:bCs/>
        </w:rPr>
      </w:pPr>
    </w:p>
    <w:p w:rsidR="00426C1E" w:rsidRPr="00426C1E" w:rsidRDefault="00426C1E" w:rsidP="00426C1E">
      <w:pPr>
        <w:widowControl w:val="0"/>
        <w:spacing w:before="120" w:after="120" w:line="240" w:lineRule="auto"/>
        <w:ind w:left="426" w:hanging="142"/>
        <w:jc w:val="center"/>
        <w:rPr>
          <w:rFonts w:ascii="Times New Roman" w:eastAsia="Times New Roman" w:hAnsi="Times New Roman" w:cs="Times New Roman"/>
          <w:b/>
          <w:bCs/>
        </w:rPr>
      </w:pPr>
      <w:r w:rsidRPr="00426C1E">
        <w:rPr>
          <w:rFonts w:ascii="Times New Roman" w:eastAsia="Times New Roman" w:hAnsi="Times New Roman" w:cs="Times New Roman"/>
          <w:b/>
          <w:bCs/>
        </w:rPr>
        <w:t>TANTÁRGYI PROGRAM</w:t>
      </w:r>
    </w:p>
    <w:p w:rsidR="00426C1E" w:rsidRPr="00426C1E" w:rsidRDefault="00426C1E" w:rsidP="00C14833">
      <w:pPr>
        <w:widowControl w:val="0"/>
        <w:numPr>
          <w:ilvl w:val="0"/>
          <w:numId w:val="147"/>
        </w:numPr>
        <w:tabs>
          <w:tab w:val="num" w:pos="567"/>
        </w:tabs>
        <w:spacing w:before="120" w:after="120" w:line="240" w:lineRule="auto"/>
        <w:ind w:left="426" w:hanging="142"/>
        <w:rPr>
          <w:rFonts w:ascii="Times New Roman" w:eastAsia="Times New Roman" w:hAnsi="Times New Roman" w:cs="Times New Roman"/>
          <w:bCs/>
        </w:rPr>
      </w:pPr>
      <w:r w:rsidRPr="00426C1E">
        <w:rPr>
          <w:rFonts w:ascii="Times New Roman" w:eastAsia="Times New Roman" w:hAnsi="Times New Roman" w:cs="Times New Roman"/>
          <w:b/>
          <w:bCs/>
        </w:rPr>
        <w:t xml:space="preserve">A tantárgy kódja: </w:t>
      </w:r>
      <w:r w:rsidRPr="00426C1E">
        <w:rPr>
          <w:rFonts w:ascii="Times New Roman" w:hAnsi="Times New Roman" w:cs="Times New Roman"/>
          <w:bCs/>
        </w:rPr>
        <w:t>HKTSKA03</w:t>
      </w:r>
    </w:p>
    <w:p w:rsidR="00426C1E" w:rsidRPr="00426C1E" w:rsidRDefault="00426C1E" w:rsidP="00C14833">
      <w:pPr>
        <w:widowControl w:val="0"/>
        <w:numPr>
          <w:ilvl w:val="0"/>
          <w:numId w:val="147"/>
        </w:numPr>
        <w:tabs>
          <w:tab w:val="num" w:pos="567"/>
        </w:tabs>
        <w:spacing w:before="120" w:after="120" w:line="240" w:lineRule="auto"/>
        <w:ind w:left="426" w:hanging="142"/>
        <w:rPr>
          <w:rFonts w:ascii="Times New Roman" w:eastAsia="Times New Roman" w:hAnsi="Times New Roman" w:cs="Times New Roman"/>
          <w:b/>
          <w:bCs/>
          <w:lang w:val="en-GB"/>
        </w:rPr>
      </w:pPr>
      <w:r w:rsidRPr="00426C1E">
        <w:rPr>
          <w:rFonts w:ascii="Times New Roman" w:eastAsia="Times New Roman" w:hAnsi="Times New Roman" w:cs="Times New Roman"/>
          <w:b/>
          <w:bCs/>
        </w:rPr>
        <w:t>A tantárgy megnevezése (magyarul):</w:t>
      </w:r>
      <w:r w:rsidRPr="00426C1E">
        <w:rPr>
          <w:rFonts w:ascii="Times New Roman" w:eastAsia="Times New Roman" w:hAnsi="Times New Roman" w:cs="Times New Roman"/>
          <w:bCs/>
        </w:rPr>
        <w:t xml:space="preserve"> </w:t>
      </w:r>
      <w:r w:rsidRPr="00426C1E">
        <w:rPr>
          <w:rFonts w:ascii="Times New Roman" w:hAnsi="Times New Roman" w:cs="Times New Roman"/>
          <w:bCs/>
        </w:rPr>
        <w:t xml:space="preserve">Katonai testnevelés III. </w:t>
      </w:r>
    </w:p>
    <w:p w:rsidR="00426C1E" w:rsidRPr="00426C1E" w:rsidRDefault="00426C1E" w:rsidP="00C14833">
      <w:pPr>
        <w:widowControl w:val="0"/>
        <w:numPr>
          <w:ilvl w:val="0"/>
          <w:numId w:val="147"/>
        </w:numPr>
        <w:tabs>
          <w:tab w:val="num" w:pos="567"/>
        </w:tabs>
        <w:spacing w:before="120" w:after="120" w:line="240" w:lineRule="auto"/>
        <w:ind w:left="426" w:hanging="142"/>
        <w:rPr>
          <w:rFonts w:ascii="Times New Roman" w:eastAsia="Times New Roman" w:hAnsi="Times New Roman" w:cs="Times New Roman"/>
          <w:b/>
          <w:bCs/>
          <w:lang w:val="en-GB"/>
        </w:rPr>
      </w:pPr>
      <w:r w:rsidRPr="00426C1E">
        <w:rPr>
          <w:rFonts w:ascii="Times New Roman" w:eastAsia="Times New Roman" w:hAnsi="Times New Roman" w:cs="Times New Roman"/>
          <w:b/>
          <w:bCs/>
        </w:rPr>
        <w:t xml:space="preserve">A tantárgy megnevezése (angolul): </w:t>
      </w:r>
      <w:r w:rsidRPr="00426C1E">
        <w:rPr>
          <w:rFonts w:ascii="Times New Roman" w:hAnsi="Times New Roman" w:cs="Times New Roman"/>
          <w:bCs/>
        </w:rPr>
        <w:t>Military Physical Education III.</w:t>
      </w:r>
      <w:r w:rsidRPr="00426C1E">
        <w:rPr>
          <w:rFonts w:ascii="Times New Roman" w:eastAsia="Times New Roman" w:hAnsi="Times New Roman" w:cs="Times New Roman"/>
          <w:bCs/>
          <w:highlight w:val="lightGray"/>
        </w:rPr>
        <w:t xml:space="preserve"> </w:t>
      </w:r>
    </w:p>
    <w:p w:rsidR="00426C1E" w:rsidRPr="00426C1E" w:rsidRDefault="00426C1E" w:rsidP="00C14833">
      <w:pPr>
        <w:widowControl w:val="0"/>
        <w:numPr>
          <w:ilvl w:val="0"/>
          <w:numId w:val="147"/>
        </w:numPr>
        <w:tabs>
          <w:tab w:val="num" w:pos="567"/>
        </w:tabs>
        <w:spacing w:before="120" w:after="120" w:line="240" w:lineRule="auto"/>
        <w:ind w:left="426" w:hanging="142"/>
        <w:rPr>
          <w:rFonts w:ascii="Times New Roman" w:eastAsia="Times New Roman" w:hAnsi="Times New Roman" w:cs="Times New Roman"/>
          <w:b/>
          <w:bCs/>
        </w:rPr>
      </w:pPr>
      <w:r w:rsidRPr="00426C1E">
        <w:rPr>
          <w:rFonts w:ascii="Times New Roman" w:eastAsia="Times New Roman" w:hAnsi="Times New Roman" w:cs="Times New Roman"/>
          <w:b/>
          <w:bCs/>
        </w:rPr>
        <w:t xml:space="preserve">Kreditérték és képzési karakter: </w:t>
      </w:r>
    </w:p>
    <w:p w:rsidR="00426C1E" w:rsidRPr="00426C1E" w:rsidRDefault="00426C1E" w:rsidP="00C14833">
      <w:pPr>
        <w:pStyle w:val="Listaszerbekezds"/>
        <w:widowControl w:val="0"/>
        <w:numPr>
          <w:ilvl w:val="1"/>
          <w:numId w:val="147"/>
        </w:numPr>
        <w:spacing w:before="120" w:after="120" w:line="240" w:lineRule="auto"/>
        <w:ind w:left="993" w:hanging="426"/>
        <w:rPr>
          <w:rFonts w:ascii="Times New Roman" w:eastAsia="Times New Roman" w:hAnsi="Times New Roman" w:cs="Times New Roman"/>
          <w:b/>
          <w:bCs/>
        </w:rPr>
      </w:pPr>
      <w:r w:rsidRPr="00426C1E">
        <w:rPr>
          <w:rFonts w:ascii="Times New Roman" w:eastAsia="Times New Roman" w:hAnsi="Times New Roman" w:cs="Times New Roman"/>
          <w:bCs/>
        </w:rPr>
        <w:t>2 kredit</w:t>
      </w:r>
    </w:p>
    <w:p w:rsidR="00426C1E" w:rsidRPr="00426C1E" w:rsidRDefault="00426C1E" w:rsidP="00C14833">
      <w:pPr>
        <w:pStyle w:val="Listaszerbekezds"/>
        <w:widowControl w:val="0"/>
        <w:numPr>
          <w:ilvl w:val="1"/>
          <w:numId w:val="147"/>
        </w:numPr>
        <w:spacing w:before="120" w:after="120" w:line="240" w:lineRule="auto"/>
        <w:ind w:left="993" w:hanging="426"/>
        <w:rPr>
          <w:rFonts w:ascii="Times New Roman" w:eastAsia="Times New Roman" w:hAnsi="Times New Roman" w:cs="Times New Roman"/>
          <w:b/>
          <w:bCs/>
        </w:rPr>
      </w:pPr>
      <w:r w:rsidRPr="00426C1E">
        <w:rPr>
          <w:rFonts w:ascii="Times New Roman" w:eastAsia="Times New Roman" w:hAnsi="Times New Roman" w:cs="Times New Roman"/>
          <w:bCs/>
        </w:rPr>
        <w:t>a tantárgy elméleti vagy gyakorlati jellegének mértéke: 100</w:t>
      </w:r>
      <w:r w:rsidRPr="00426C1E">
        <w:rPr>
          <w:rFonts w:ascii="Times New Roman" w:eastAsia="Times New Roman" w:hAnsi="Times New Roman" w:cs="Times New Roman"/>
          <w:b/>
          <w:bCs/>
        </w:rPr>
        <w:t xml:space="preserve"> </w:t>
      </w:r>
      <w:r w:rsidRPr="00426C1E">
        <w:rPr>
          <w:rFonts w:ascii="Times New Roman" w:eastAsia="Times New Roman" w:hAnsi="Times New Roman" w:cs="Times New Roman"/>
          <w:bCs/>
        </w:rPr>
        <w:t xml:space="preserve">% gyakorlat, </w:t>
      </w:r>
    </w:p>
    <w:p w:rsidR="00426C1E" w:rsidRPr="00426C1E" w:rsidRDefault="00426C1E" w:rsidP="00C14833">
      <w:pPr>
        <w:widowControl w:val="0"/>
        <w:numPr>
          <w:ilvl w:val="0"/>
          <w:numId w:val="147"/>
        </w:numPr>
        <w:spacing w:before="120" w:after="120" w:line="240" w:lineRule="auto"/>
        <w:ind w:left="426" w:hanging="142"/>
        <w:jc w:val="both"/>
        <w:rPr>
          <w:rFonts w:ascii="Times New Roman" w:eastAsia="Times New Roman" w:hAnsi="Times New Roman" w:cs="Times New Roman"/>
          <w:bCs/>
        </w:rPr>
      </w:pPr>
      <w:r w:rsidRPr="00426C1E">
        <w:rPr>
          <w:rFonts w:ascii="Times New Roman" w:eastAsia="Times New Roman" w:hAnsi="Times New Roman" w:cs="Times New Roman"/>
          <w:b/>
          <w:bCs/>
        </w:rPr>
        <w:t xml:space="preserve">A szak(ok), szakirányok/specializációk megnevezése (ahol oktatják):  </w:t>
      </w:r>
      <w:r w:rsidRPr="00426C1E">
        <w:rPr>
          <w:rFonts w:ascii="Times New Roman" w:hAnsi="Times New Roman" w:cs="Times New Roman"/>
          <w:bCs/>
        </w:rPr>
        <w:t>Katonai Vezető-, Katonai Üzemeltetés-, Katonai Logisztika, Állami Légiközlekedési alapképzési  szak.</w:t>
      </w:r>
      <w:r w:rsidRPr="00426C1E">
        <w:rPr>
          <w:rFonts w:ascii="Times New Roman" w:eastAsia="Times New Roman" w:hAnsi="Times New Roman" w:cs="Times New Roman"/>
          <w:bCs/>
          <w:highlight w:val="lightGray"/>
        </w:rPr>
        <w:t xml:space="preserve"> </w:t>
      </w:r>
    </w:p>
    <w:p w:rsidR="00426C1E" w:rsidRPr="00426C1E" w:rsidRDefault="00426C1E" w:rsidP="00C14833">
      <w:pPr>
        <w:pStyle w:val="lfej"/>
        <w:numPr>
          <w:ilvl w:val="0"/>
          <w:numId w:val="147"/>
        </w:numPr>
        <w:tabs>
          <w:tab w:val="clear" w:pos="720"/>
          <w:tab w:val="right" w:pos="900"/>
          <w:tab w:val="num" w:pos="1560"/>
        </w:tabs>
        <w:spacing w:before="120"/>
        <w:ind w:left="426" w:hanging="142"/>
        <w:rPr>
          <w:rFonts w:ascii="Times New Roman" w:hAnsi="Times New Roman" w:cs="Times New Roman"/>
          <w:bCs/>
        </w:rPr>
      </w:pPr>
      <w:r w:rsidRPr="00426C1E">
        <w:rPr>
          <w:rFonts w:ascii="Times New Roman" w:eastAsia="Times New Roman" w:hAnsi="Times New Roman" w:cs="Times New Roman"/>
          <w:b/>
          <w:bCs/>
        </w:rPr>
        <w:t xml:space="preserve">Az oktatásért felelős oktatási szervezeti egység megnevezése: </w:t>
      </w:r>
      <w:r w:rsidRPr="00426C1E">
        <w:rPr>
          <w:rFonts w:ascii="Times New Roman" w:hAnsi="Times New Roman" w:cs="Times New Roman"/>
          <w:bCs/>
        </w:rPr>
        <w:t>Katonai Testnevelési és Sportközpont</w:t>
      </w:r>
    </w:p>
    <w:p w:rsidR="00426C1E" w:rsidRPr="00426C1E" w:rsidRDefault="00426C1E" w:rsidP="00C14833">
      <w:pPr>
        <w:pStyle w:val="lfej"/>
        <w:numPr>
          <w:ilvl w:val="0"/>
          <w:numId w:val="147"/>
        </w:numPr>
        <w:tabs>
          <w:tab w:val="clear" w:pos="720"/>
          <w:tab w:val="right" w:pos="900"/>
          <w:tab w:val="num" w:pos="1560"/>
        </w:tabs>
        <w:spacing w:before="120"/>
        <w:ind w:left="426" w:hanging="142"/>
        <w:rPr>
          <w:rFonts w:ascii="Times New Roman" w:hAnsi="Times New Roman" w:cs="Times New Roman"/>
          <w:bCs/>
        </w:rPr>
      </w:pPr>
      <w:r w:rsidRPr="00426C1E">
        <w:rPr>
          <w:rFonts w:ascii="Times New Roman" w:eastAsia="Times New Roman" w:hAnsi="Times New Roman" w:cs="Times New Roman"/>
          <w:b/>
          <w:bCs/>
        </w:rPr>
        <w:t>A tantárgyfelelős oktató neve, beosztása, tudományos fokozata:</w:t>
      </w:r>
      <w:r w:rsidRPr="00426C1E">
        <w:rPr>
          <w:rFonts w:ascii="Times New Roman" w:eastAsia="Times New Roman" w:hAnsi="Times New Roman" w:cs="Times New Roman"/>
          <w:bCs/>
        </w:rPr>
        <w:t xml:space="preserve"> </w:t>
      </w:r>
      <w:r w:rsidRPr="00426C1E">
        <w:rPr>
          <w:rFonts w:ascii="Times New Roman" w:hAnsi="Times New Roman" w:cs="Times New Roman"/>
          <w:bCs/>
        </w:rPr>
        <w:t>Molnár Imre alezredes Katonai Testnevelési és Sportközpont testnevelő tanár</w:t>
      </w:r>
      <w:r w:rsidRPr="00426C1E">
        <w:rPr>
          <w:rFonts w:ascii="Times New Roman" w:eastAsia="Times New Roman" w:hAnsi="Times New Roman" w:cs="Times New Roman"/>
          <w:bCs/>
          <w:highlight w:val="lightGray"/>
        </w:rPr>
        <w:t xml:space="preserve"> </w:t>
      </w:r>
    </w:p>
    <w:p w:rsidR="00426C1E" w:rsidRPr="00426C1E" w:rsidRDefault="00426C1E" w:rsidP="00C14833">
      <w:pPr>
        <w:widowControl w:val="0"/>
        <w:numPr>
          <w:ilvl w:val="0"/>
          <w:numId w:val="147"/>
        </w:numPr>
        <w:spacing w:before="120" w:after="120" w:line="240" w:lineRule="auto"/>
        <w:ind w:left="426" w:hanging="142"/>
        <w:rPr>
          <w:rFonts w:ascii="Times New Roman" w:eastAsia="Times New Roman" w:hAnsi="Times New Roman" w:cs="Times New Roman"/>
          <w:bCs/>
        </w:rPr>
      </w:pPr>
      <w:r w:rsidRPr="00426C1E">
        <w:rPr>
          <w:rFonts w:ascii="Times New Roman" w:eastAsia="Times New Roman" w:hAnsi="Times New Roman" w:cs="Times New Roman"/>
          <w:b/>
          <w:bCs/>
        </w:rPr>
        <w:t>A tanórák száma és típusa</w:t>
      </w:r>
    </w:p>
    <w:p w:rsidR="00426C1E" w:rsidRPr="00426C1E" w:rsidRDefault="00426C1E" w:rsidP="00C14833">
      <w:pPr>
        <w:widowControl w:val="0"/>
        <w:numPr>
          <w:ilvl w:val="1"/>
          <w:numId w:val="147"/>
        </w:numPr>
        <w:tabs>
          <w:tab w:val="num" w:pos="709"/>
          <w:tab w:val="num" w:pos="2069"/>
        </w:tabs>
        <w:spacing w:before="120" w:after="120" w:line="240" w:lineRule="auto"/>
        <w:ind w:left="851" w:hanging="425"/>
        <w:rPr>
          <w:rFonts w:ascii="Times New Roman" w:eastAsia="Times New Roman" w:hAnsi="Times New Roman" w:cs="Times New Roman"/>
          <w:bCs/>
        </w:rPr>
      </w:pPr>
      <w:r w:rsidRPr="00426C1E">
        <w:rPr>
          <w:rFonts w:ascii="Times New Roman" w:eastAsia="Times New Roman" w:hAnsi="Times New Roman" w:cs="Times New Roman"/>
          <w:bCs/>
        </w:rPr>
        <w:t>össz óraszám/félév: 28</w:t>
      </w:r>
    </w:p>
    <w:p w:rsidR="00426C1E" w:rsidRPr="00426C1E" w:rsidRDefault="00426C1E" w:rsidP="00C14833">
      <w:pPr>
        <w:widowControl w:val="0"/>
        <w:numPr>
          <w:ilvl w:val="2"/>
          <w:numId w:val="147"/>
        </w:numPr>
        <w:tabs>
          <w:tab w:val="clear" w:pos="1800"/>
          <w:tab w:val="num" w:pos="709"/>
          <w:tab w:val="num" w:pos="1134"/>
          <w:tab w:val="num" w:pos="4548"/>
        </w:tabs>
        <w:spacing w:before="120" w:after="120" w:line="240" w:lineRule="auto"/>
        <w:ind w:left="993" w:hanging="425"/>
        <w:rPr>
          <w:rFonts w:ascii="Times New Roman" w:eastAsia="Times New Roman" w:hAnsi="Times New Roman" w:cs="Times New Roman"/>
          <w:bCs/>
        </w:rPr>
      </w:pPr>
      <w:r w:rsidRPr="00426C1E">
        <w:rPr>
          <w:rFonts w:ascii="Times New Roman" w:eastAsia="Times New Roman" w:hAnsi="Times New Roman" w:cs="Times New Roman"/>
          <w:bCs/>
        </w:rPr>
        <w:t>nappali munkarend: 28 (0 EA + 0 SZ + 28 GY)</w:t>
      </w:r>
    </w:p>
    <w:p w:rsidR="00426C1E" w:rsidRPr="00426C1E" w:rsidRDefault="00426C1E" w:rsidP="00C14833">
      <w:pPr>
        <w:widowControl w:val="0"/>
        <w:numPr>
          <w:ilvl w:val="2"/>
          <w:numId w:val="147"/>
        </w:numPr>
        <w:tabs>
          <w:tab w:val="clear" w:pos="1800"/>
          <w:tab w:val="num" w:pos="709"/>
          <w:tab w:val="num" w:pos="1134"/>
          <w:tab w:val="num" w:pos="4548"/>
        </w:tabs>
        <w:spacing w:before="120" w:after="120" w:line="240" w:lineRule="auto"/>
        <w:ind w:left="993" w:hanging="425"/>
        <w:rPr>
          <w:rFonts w:ascii="Times New Roman" w:eastAsia="Times New Roman" w:hAnsi="Times New Roman" w:cs="Times New Roman"/>
          <w:bCs/>
        </w:rPr>
      </w:pPr>
      <w:r w:rsidRPr="00426C1E">
        <w:rPr>
          <w:rFonts w:ascii="Times New Roman" w:eastAsia="Times New Roman" w:hAnsi="Times New Roman" w:cs="Times New Roman"/>
          <w:bCs/>
        </w:rPr>
        <w:t>levelező munkarend: -</w:t>
      </w:r>
    </w:p>
    <w:p w:rsidR="00426C1E" w:rsidRPr="00426C1E" w:rsidRDefault="00426C1E" w:rsidP="00C14833">
      <w:pPr>
        <w:widowControl w:val="0"/>
        <w:numPr>
          <w:ilvl w:val="1"/>
          <w:numId w:val="147"/>
        </w:numPr>
        <w:tabs>
          <w:tab w:val="num" w:pos="709"/>
          <w:tab w:val="num" w:pos="2069"/>
        </w:tabs>
        <w:spacing w:before="120" w:after="120" w:line="240" w:lineRule="auto"/>
        <w:ind w:left="851" w:hanging="425"/>
        <w:rPr>
          <w:rFonts w:ascii="Times New Roman" w:eastAsia="Times New Roman" w:hAnsi="Times New Roman" w:cs="Times New Roman"/>
          <w:bCs/>
        </w:rPr>
      </w:pPr>
      <w:r w:rsidRPr="00426C1E">
        <w:rPr>
          <w:rFonts w:ascii="Times New Roman" w:eastAsia="Times New Roman" w:hAnsi="Times New Roman" w:cs="Times New Roman"/>
          <w:bCs/>
        </w:rPr>
        <w:t>heti óraszám - nappali munkarend: 2</w:t>
      </w:r>
    </w:p>
    <w:p w:rsidR="00426C1E" w:rsidRPr="00426C1E" w:rsidRDefault="00426C1E" w:rsidP="00C14833">
      <w:pPr>
        <w:widowControl w:val="0"/>
        <w:numPr>
          <w:ilvl w:val="1"/>
          <w:numId w:val="147"/>
        </w:numPr>
        <w:tabs>
          <w:tab w:val="num" w:pos="709"/>
          <w:tab w:val="num" w:pos="2069"/>
        </w:tabs>
        <w:spacing w:before="120" w:after="120" w:line="240" w:lineRule="auto"/>
        <w:ind w:left="851" w:hanging="425"/>
        <w:rPr>
          <w:rFonts w:ascii="Times New Roman" w:eastAsia="Times New Roman" w:hAnsi="Times New Roman" w:cs="Times New Roman"/>
          <w:bCs/>
        </w:rPr>
      </w:pPr>
      <w:r w:rsidRPr="00426C1E">
        <w:rPr>
          <w:rFonts w:ascii="Times New Roman" w:hAnsi="Times New Roman" w:cs="Times New Roman"/>
        </w:rPr>
        <w:t>Az ismeret átadásában alkalmazandó további sajátos módok, jellemzők:-</w:t>
      </w:r>
    </w:p>
    <w:p w:rsidR="00426C1E" w:rsidRPr="00426C1E" w:rsidRDefault="00426C1E" w:rsidP="00C14833">
      <w:pPr>
        <w:widowControl w:val="0"/>
        <w:numPr>
          <w:ilvl w:val="0"/>
          <w:numId w:val="147"/>
        </w:numPr>
        <w:spacing w:before="120" w:after="120" w:line="240" w:lineRule="auto"/>
        <w:ind w:left="426" w:hanging="142"/>
        <w:rPr>
          <w:rFonts w:ascii="Times New Roman" w:eastAsia="Times New Roman" w:hAnsi="Times New Roman" w:cs="Times New Roman"/>
          <w:bCs/>
        </w:rPr>
      </w:pPr>
      <w:r w:rsidRPr="00426C1E">
        <w:rPr>
          <w:rFonts w:ascii="Times New Roman" w:eastAsia="Times New Roman" w:hAnsi="Times New Roman" w:cs="Times New Roman"/>
          <w:b/>
          <w:bCs/>
        </w:rPr>
        <w:t>A tantárgy szakmai tartalma (magyarul):</w:t>
      </w:r>
      <w:r w:rsidRPr="00426C1E">
        <w:rPr>
          <w:rFonts w:ascii="Times New Roman" w:eastAsia="Times New Roman" w:hAnsi="Times New Roman" w:cs="Times New Roman"/>
          <w:bCs/>
        </w:rPr>
        <w:t xml:space="preserve"> </w:t>
      </w:r>
      <w:r w:rsidRPr="00426C1E">
        <w:rPr>
          <w:rFonts w:ascii="Times New Roman" w:hAnsi="Times New Roman" w:cs="Times New Roman"/>
          <w:bCs/>
        </w:rPr>
        <w:t xml:space="preserve">Kondicionális képességek fejlesztése. Alapszintű önvédelmi ismeretek elsajátítása. </w:t>
      </w:r>
    </w:p>
    <w:p w:rsidR="00426C1E" w:rsidRPr="00426C1E" w:rsidRDefault="00426C1E" w:rsidP="00426C1E">
      <w:pPr>
        <w:pStyle w:val="Listaszerbekezds"/>
        <w:widowControl w:val="0"/>
        <w:spacing w:before="120" w:after="120" w:line="240" w:lineRule="auto"/>
        <w:ind w:left="426"/>
        <w:rPr>
          <w:rFonts w:ascii="Times New Roman" w:eastAsia="Times New Roman" w:hAnsi="Times New Roman" w:cs="Times New Roman"/>
          <w:bCs/>
          <w:lang w:val="en-GB"/>
        </w:rPr>
      </w:pPr>
      <w:r w:rsidRPr="00426C1E">
        <w:rPr>
          <w:rFonts w:ascii="Times New Roman" w:eastAsia="Times New Roman" w:hAnsi="Times New Roman" w:cs="Times New Roman"/>
          <w:b/>
          <w:bCs/>
        </w:rPr>
        <w:t>A tantárgy szakmai tartalma (angolul) (</w:t>
      </w:r>
      <w:r w:rsidRPr="00426C1E">
        <w:rPr>
          <w:rFonts w:ascii="Times New Roman" w:eastAsia="Times New Roman" w:hAnsi="Times New Roman" w:cs="Times New Roman"/>
          <w:b/>
          <w:bCs/>
          <w:lang w:val="en-US"/>
        </w:rPr>
        <w:t>Course description</w:t>
      </w:r>
      <w:r w:rsidRPr="00426C1E">
        <w:rPr>
          <w:rFonts w:ascii="Times New Roman" w:eastAsia="Times New Roman" w:hAnsi="Times New Roman" w:cs="Times New Roman"/>
          <w:b/>
          <w:bCs/>
        </w:rPr>
        <w:t xml:space="preserve">): </w:t>
      </w:r>
      <w:r w:rsidRPr="00426C1E">
        <w:rPr>
          <w:rFonts w:ascii="Times New Roman" w:hAnsi="Times New Roman" w:cs="Times New Roman"/>
          <w:lang w:val="en-GB"/>
        </w:rPr>
        <w:t>Development of physical skills, acquiring basic self-defence skills</w:t>
      </w:r>
    </w:p>
    <w:p w:rsidR="00426C1E" w:rsidRPr="00426C1E" w:rsidRDefault="00426C1E" w:rsidP="00C14833">
      <w:pPr>
        <w:widowControl w:val="0"/>
        <w:numPr>
          <w:ilvl w:val="0"/>
          <w:numId w:val="147"/>
        </w:numPr>
        <w:spacing w:before="120" w:after="120" w:line="240" w:lineRule="auto"/>
        <w:ind w:left="426" w:hanging="142"/>
        <w:rPr>
          <w:rFonts w:ascii="Times New Roman" w:eastAsia="Times New Roman" w:hAnsi="Times New Roman" w:cs="Times New Roman"/>
          <w:bCs/>
        </w:rPr>
      </w:pPr>
      <w:r w:rsidRPr="00426C1E">
        <w:rPr>
          <w:rFonts w:ascii="Times New Roman" w:eastAsia="Times New Roman" w:hAnsi="Times New Roman" w:cs="Times New Roman"/>
          <w:b/>
          <w:bCs/>
        </w:rPr>
        <w:t xml:space="preserve">Elérendő kompetenciák (magyarul): </w:t>
      </w:r>
    </w:p>
    <w:p w:rsidR="00426C1E" w:rsidRPr="00426C1E" w:rsidRDefault="00426C1E" w:rsidP="00426C1E">
      <w:pPr>
        <w:widowControl w:val="0"/>
        <w:spacing w:before="120" w:after="120" w:line="240" w:lineRule="auto"/>
        <w:ind w:left="426"/>
        <w:rPr>
          <w:rFonts w:ascii="Times New Roman" w:eastAsia="Times New Roman" w:hAnsi="Times New Roman" w:cs="Times New Roman"/>
          <w:b/>
          <w:bCs/>
        </w:rPr>
      </w:pPr>
      <w:r w:rsidRPr="00426C1E">
        <w:rPr>
          <w:rFonts w:ascii="Times New Roman" w:eastAsia="Times New Roman" w:hAnsi="Times New Roman" w:cs="Times New Roman"/>
          <w:b/>
          <w:bCs/>
        </w:rPr>
        <w:t xml:space="preserve">Tudása: </w:t>
      </w:r>
    </w:p>
    <w:p w:rsidR="00426C1E" w:rsidRPr="00426C1E" w:rsidRDefault="00426C1E" w:rsidP="00C14833">
      <w:pPr>
        <w:pStyle w:val="Listaszerbekezds"/>
        <w:widowControl w:val="0"/>
        <w:numPr>
          <w:ilvl w:val="0"/>
          <w:numId w:val="146"/>
        </w:numPr>
        <w:spacing w:before="120" w:after="120" w:line="240" w:lineRule="auto"/>
        <w:rPr>
          <w:rFonts w:ascii="Times New Roman" w:eastAsia="Times New Roman" w:hAnsi="Times New Roman" w:cs="Times New Roman"/>
          <w:bCs/>
        </w:rPr>
      </w:pPr>
      <w:r w:rsidRPr="00426C1E">
        <w:rPr>
          <w:rFonts w:ascii="Times New Roman" w:eastAsia="Times New Roman" w:hAnsi="Times New Roman" w:cs="Times New Roman"/>
          <w:bCs/>
        </w:rPr>
        <w:t xml:space="preserve">Fejleszteni a kondicionális képességeket.  </w:t>
      </w:r>
    </w:p>
    <w:p w:rsidR="00426C1E" w:rsidRPr="00426C1E" w:rsidRDefault="00426C1E" w:rsidP="00C14833">
      <w:pPr>
        <w:pStyle w:val="Listaszerbekezds"/>
        <w:widowControl w:val="0"/>
        <w:numPr>
          <w:ilvl w:val="0"/>
          <w:numId w:val="146"/>
        </w:numPr>
        <w:spacing w:before="120" w:after="120" w:line="240" w:lineRule="auto"/>
        <w:rPr>
          <w:rFonts w:ascii="Times New Roman" w:eastAsia="Times New Roman" w:hAnsi="Times New Roman" w:cs="Times New Roman"/>
          <w:bCs/>
        </w:rPr>
      </w:pPr>
      <w:r w:rsidRPr="00426C1E">
        <w:rPr>
          <w:rFonts w:ascii="Times New Roman" w:eastAsia="Times New Roman" w:hAnsi="Times New Roman" w:cs="Times New Roman"/>
          <w:bCs/>
        </w:rPr>
        <w:t xml:space="preserve">Koordinációs képességek fejlesztése. </w:t>
      </w:r>
    </w:p>
    <w:p w:rsidR="00426C1E" w:rsidRPr="00426C1E" w:rsidRDefault="00426C1E" w:rsidP="00C14833">
      <w:pPr>
        <w:pStyle w:val="Listaszerbekezds"/>
        <w:widowControl w:val="0"/>
        <w:numPr>
          <w:ilvl w:val="0"/>
          <w:numId w:val="146"/>
        </w:numPr>
        <w:spacing w:before="120" w:after="120" w:line="240" w:lineRule="auto"/>
        <w:rPr>
          <w:rFonts w:ascii="Times New Roman" w:eastAsia="Times New Roman" w:hAnsi="Times New Roman" w:cs="Times New Roman"/>
          <w:bCs/>
        </w:rPr>
      </w:pPr>
      <w:r w:rsidRPr="00426C1E">
        <w:rPr>
          <w:rFonts w:ascii="Times New Roman" w:eastAsia="Times New Roman" w:hAnsi="Times New Roman" w:cs="Times New Roman"/>
          <w:bCs/>
        </w:rPr>
        <w:t xml:space="preserve">A tisztjelöltek ismerjék meg az alapvető közelharc és önvédelmi fogásokat. </w:t>
      </w:r>
    </w:p>
    <w:p w:rsidR="00426C1E" w:rsidRPr="00426C1E" w:rsidRDefault="00426C1E" w:rsidP="00C14833">
      <w:pPr>
        <w:pStyle w:val="Listaszerbekezds"/>
        <w:widowControl w:val="0"/>
        <w:numPr>
          <w:ilvl w:val="0"/>
          <w:numId w:val="146"/>
        </w:numPr>
        <w:spacing w:before="120" w:after="120" w:line="240" w:lineRule="auto"/>
        <w:rPr>
          <w:rFonts w:ascii="Times New Roman" w:eastAsia="Times New Roman" w:hAnsi="Times New Roman" w:cs="Times New Roman"/>
          <w:bCs/>
        </w:rPr>
      </w:pPr>
      <w:r w:rsidRPr="00426C1E">
        <w:rPr>
          <w:rFonts w:ascii="Times New Roman" w:eastAsia="Times New Roman" w:hAnsi="Times New Roman" w:cs="Times New Roman"/>
          <w:bCs/>
        </w:rPr>
        <w:t xml:space="preserve">A Nemzeti Közszolgálati Egyetem honvéd tisztjelöltjei szerezzenek ismeretet a katonai közelharc alap és küzdőtechnikáiról. </w:t>
      </w:r>
    </w:p>
    <w:p w:rsidR="00426C1E" w:rsidRPr="00426C1E" w:rsidRDefault="00426C1E" w:rsidP="00C14833">
      <w:pPr>
        <w:pStyle w:val="Listaszerbekezds"/>
        <w:widowControl w:val="0"/>
        <w:numPr>
          <w:ilvl w:val="0"/>
          <w:numId w:val="146"/>
        </w:numPr>
        <w:spacing w:before="120" w:after="120" w:line="240" w:lineRule="auto"/>
        <w:rPr>
          <w:rFonts w:ascii="Times New Roman" w:eastAsia="Times New Roman" w:hAnsi="Times New Roman" w:cs="Times New Roman"/>
          <w:bCs/>
        </w:rPr>
      </w:pPr>
      <w:r w:rsidRPr="00426C1E">
        <w:rPr>
          <w:rFonts w:ascii="Times New Roman" w:eastAsia="Times New Roman" w:hAnsi="Times New Roman" w:cs="Times New Roman"/>
          <w:bCs/>
        </w:rPr>
        <w:t>Ismerje az alapvető közelharc technikákat.</w:t>
      </w:r>
    </w:p>
    <w:p w:rsidR="00426C1E" w:rsidRPr="00426C1E" w:rsidRDefault="00426C1E" w:rsidP="00426C1E">
      <w:pPr>
        <w:widowControl w:val="0"/>
        <w:spacing w:before="120" w:after="120" w:line="240" w:lineRule="auto"/>
        <w:ind w:left="426"/>
        <w:rPr>
          <w:rFonts w:ascii="Times New Roman" w:eastAsia="Times New Roman" w:hAnsi="Times New Roman" w:cs="Times New Roman"/>
          <w:b/>
          <w:bCs/>
        </w:rPr>
      </w:pPr>
      <w:r w:rsidRPr="00426C1E">
        <w:rPr>
          <w:rFonts w:ascii="Times New Roman" w:eastAsia="Times New Roman" w:hAnsi="Times New Roman" w:cs="Times New Roman"/>
          <w:b/>
          <w:bCs/>
        </w:rPr>
        <w:t xml:space="preserve">Képességei: </w:t>
      </w:r>
    </w:p>
    <w:p w:rsidR="00426C1E" w:rsidRPr="00426C1E" w:rsidRDefault="00426C1E" w:rsidP="00C14833">
      <w:pPr>
        <w:pStyle w:val="Listaszerbekezds"/>
        <w:widowControl w:val="0"/>
        <w:numPr>
          <w:ilvl w:val="0"/>
          <w:numId w:val="146"/>
        </w:numPr>
        <w:spacing w:before="120" w:after="120" w:line="240" w:lineRule="auto"/>
        <w:rPr>
          <w:rFonts w:ascii="Times New Roman" w:eastAsia="Times New Roman" w:hAnsi="Times New Roman" w:cs="Times New Roman"/>
          <w:bCs/>
        </w:rPr>
      </w:pPr>
      <w:r w:rsidRPr="00426C1E">
        <w:rPr>
          <w:rFonts w:ascii="Times New Roman" w:eastAsia="Times New Roman" w:hAnsi="Times New Roman" w:cs="Times New Roman"/>
          <w:bCs/>
        </w:rPr>
        <w:t xml:space="preserve">Speciális kondicionális képességek fejlesztése a katonai közelharc ismeretanyagához adaptálva. </w:t>
      </w:r>
    </w:p>
    <w:p w:rsidR="00426C1E" w:rsidRPr="00426C1E" w:rsidRDefault="00426C1E" w:rsidP="00C14833">
      <w:pPr>
        <w:pStyle w:val="Listaszerbekezds"/>
        <w:widowControl w:val="0"/>
        <w:numPr>
          <w:ilvl w:val="0"/>
          <w:numId w:val="146"/>
        </w:numPr>
        <w:spacing w:before="120" w:after="120" w:line="240" w:lineRule="auto"/>
        <w:rPr>
          <w:rFonts w:ascii="Times New Roman" w:eastAsia="Times New Roman" w:hAnsi="Times New Roman" w:cs="Times New Roman"/>
          <w:bCs/>
        </w:rPr>
      </w:pPr>
      <w:r w:rsidRPr="00426C1E">
        <w:rPr>
          <w:rFonts w:ascii="Times New Roman" w:eastAsia="Times New Roman" w:hAnsi="Times New Roman" w:cs="Times New Roman"/>
          <w:bCs/>
        </w:rPr>
        <w:t xml:space="preserve">Készség és képesség megszerzése az önvédelmi fogások alkalmazása során. </w:t>
      </w:r>
    </w:p>
    <w:p w:rsidR="00426C1E" w:rsidRPr="00426C1E" w:rsidRDefault="00426C1E" w:rsidP="00C14833">
      <w:pPr>
        <w:pStyle w:val="Listaszerbekezds"/>
        <w:widowControl w:val="0"/>
        <w:numPr>
          <w:ilvl w:val="0"/>
          <w:numId w:val="146"/>
        </w:numPr>
        <w:spacing w:before="120" w:after="120" w:line="240" w:lineRule="auto"/>
        <w:rPr>
          <w:rFonts w:ascii="Times New Roman" w:eastAsia="Times New Roman" w:hAnsi="Times New Roman" w:cs="Times New Roman"/>
          <w:bCs/>
        </w:rPr>
      </w:pPr>
      <w:r w:rsidRPr="00426C1E">
        <w:rPr>
          <w:rFonts w:ascii="Times New Roman" w:eastAsia="Times New Roman" w:hAnsi="Times New Roman" w:cs="Times New Roman"/>
          <w:bCs/>
        </w:rPr>
        <w:t xml:space="preserve">Rendelkezzék a fizikai képességeik fejlesztésének vagy szinten tartásának ismeretével. </w:t>
      </w:r>
    </w:p>
    <w:p w:rsidR="00426C1E" w:rsidRPr="00426C1E" w:rsidRDefault="00426C1E" w:rsidP="00426C1E">
      <w:pPr>
        <w:widowControl w:val="0"/>
        <w:spacing w:before="120" w:after="120" w:line="240" w:lineRule="auto"/>
        <w:ind w:left="426"/>
        <w:rPr>
          <w:rFonts w:ascii="Times New Roman" w:eastAsia="Times New Roman" w:hAnsi="Times New Roman" w:cs="Times New Roman"/>
          <w:b/>
          <w:bCs/>
        </w:rPr>
      </w:pPr>
      <w:r w:rsidRPr="00426C1E">
        <w:rPr>
          <w:rFonts w:ascii="Times New Roman" w:eastAsia="Times New Roman" w:hAnsi="Times New Roman" w:cs="Times New Roman"/>
          <w:b/>
          <w:bCs/>
        </w:rPr>
        <w:t xml:space="preserve">Attitűdje: </w:t>
      </w:r>
    </w:p>
    <w:p w:rsidR="00426C1E" w:rsidRPr="00426C1E" w:rsidRDefault="00426C1E" w:rsidP="00C14833">
      <w:pPr>
        <w:pStyle w:val="Listaszerbekezds"/>
        <w:widowControl w:val="0"/>
        <w:numPr>
          <w:ilvl w:val="0"/>
          <w:numId w:val="146"/>
        </w:numPr>
        <w:spacing w:before="120" w:after="120" w:line="240" w:lineRule="auto"/>
        <w:rPr>
          <w:rFonts w:ascii="Times New Roman" w:eastAsia="Times New Roman" w:hAnsi="Times New Roman" w:cs="Times New Roman"/>
          <w:bCs/>
        </w:rPr>
      </w:pPr>
      <w:r w:rsidRPr="00426C1E">
        <w:rPr>
          <w:rFonts w:ascii="Times New Roman" w:eastAsia="Times New Roman" w:hAnsi="Times New Roman" w:cs="Times New Roman"/>
          <w:bCs/>
        </w:rPr>
        <w:t xml:space="preserve">Nyitott ismereteinek gyarapítása iránt. </w:t>
      </w:r>
    </w:p>
    <w:p w:rsidR="00426C1E" w:rsidRPr="00426C1E" w:rsidRDefault="00426C1E" w:rsidP="00C14833">
      <w:pPr>
        <w:pStyle w:val="Listaszerbekezds"/>
        <w:widowControl w:val="0"/>
        <w:numPr>
          <w:ilvl w:val="0"/>
          <w:numId w:val="146"/>
        </w:numPr>
        <w:spacing w:before="120" w:after="120" w:line="240" w:lineRule="auto"/>
        <w:rPr>
          <w:rFonts w:ascii="Times New Roman" w:eastAsia="Times New Roman" w:hAnsi="Times New Roman" w:cs="Times New Roman"/>
          <w:bCs/>
        </w:rPr>
      </w:pPr>
      <w:r w:rsidRPr="00426C1E">
        <w:rPr>
          <w:rFonts w:ascii="Times New Roman" w:eastAsia="Times New Roman" w:hAnsi="Times New Roman" w:cs="Times New Roman"/>
          <w:bCs/>
        </w:rPr>
        <w:t>Munkájában és emberi kapcsolataiban megbízhatóság jellemzi.</w:t>
      </w:r>
    </w:p>
    <w:p w:rsidR="00426C1E" w:rsidRPr="00426C1E" w:rsidRDefault="00426C1E" w:rsidP="00426C1E">
      <w:pPr>
        <w:widowControl w:val="0"/>
        <w:spacing w:before="120" w:after="120" w:line="240" w:lineRule="auto"/>
        <w:ind w:left="426"/>
        <w:rPr>
          <w:rFonts w:ascii="Times New Roman" w:eastAsia="Times New Roman" w:hAnsi="Times New Roman" w:cs="Times New Roman"/>
          <w:b/>
          <w:bCs/>
        </w:rPr>
      </w:pPr>
      <w:r w:rsidRPr="00426C1E">
        <w:rPr>
          <w:rFonts w:ascii="Times New Roman" w:eastAsia="Times New Roman" w:hAnsi="Times New Roman" w:cs="Times New Roman"/>
          <w:b/>
          <w:bCs/>
        </w:rPr>
        <w:lastRenderedPageBreak/>
        <w:t xml:space="preserve">Autonómiája és felelőssége: </w:t>
      </w:r>
    </w:p>
    <w:p w:rsidR="00426C1E" w:rsidRPr="00426C1E" w:rsidRDefault="00426C1E" w:rsidP="00C14833">
      <w:pPr>
        <w:pStyle w:val="Listaszerbekezds"/>
        <w:widowControl w:val="0"/>
        <w:numPr>
          <w:ilvl w:val="0"/>
          <w:numId w:val="146"/>
        </w:numPr>
        <w:spacing w:before="120" w:after="120" w:line="240" w:lineRule="auto"/>
        <w:rPr>
          <w:rFonts w:ascii="Times New Roman" w:eastAsia="Times New Roman" w:hAnsi="Times New Roman" w:cs="Times New Roman"/>
          <w:bCs/>
        </w:rPr>
      </w:pPr>
      <w:r w:rsidRPr="00426C1E">
        <w:rPr>
          <w:rFonts w:ascii="Times New Roman" w:eastAsia="Times New Roman" w:hAnsi="Times New Roman" w:cs="Times New Roman"/>
          <w:bCs/>
        </w:rPr>
        <w:t xml:space="preserve">Tisztában van döntéseinek, tevékenységének az alegységének egészére gyakorolt hatásaival, következményeivel. </w:t>
      </w:r>
    </w:p>
    <w:p w:rsidR="00426C1E" w:rsidRPr="00426C1E" w:rsidRDefault="00426C1E" w:rsidP="00426C1E">
      <w:pPr>
        <w:widowControl w:val="0"/>
        <w:spacing w:before="120" w:after="120" w:line="240" w:lineRule="auto"/>
        <w:ind w:left="426"/>
        <w:rPr>
          <w:rFonts w:ascii="Times New Roman" w:eastAsia="Times New Roman" w:hAnsi="Times New Roman" w:cs="Times New Roman"/>
          <w:b/>
          <w:bCs/>
          <w:lang w:val="en-US"/>
        </w:rPr>
      </w:pPr>
      <w:r w:rsidRPr="00426C1E">
        <w:rPr>
          <w:rFonts w:ascii="Times New Roman" w:eastAsia="Times New Roman" w:hAnsi="Times New Roman" w:cs="Times New Roman"/>
          <w:b/>
          <w:bCs/>
        </w:rPr>
        <w:t>Elérendő kompetenciák (angolul) (</w:t>
      </w:r>
      <w:r w:rsidRPr="00426C1E">
        <w:rPr>
          <w:rFonts w:ascii="Times New Roman" w:eastAsia="Times New Roman" w:hAnsi="Times New Roman" w:cs="Times New Roman"/>
          <w:b/>
          <w:bCs/>
          <w:lang w:val="en-US"/>
        </w:rPr>
        <w:t xml:space="preserve">Competences – English): </w:t>
      </w:r>
    </w:p>
    <w:p w:rsidR="00426C1E" w:rsidRPr="00426C1E" w:rsidRDefault="00426C1E" w:rsidP="00426C1E">
      <w:pPr>
        <w:widowControl w:val="0"/>
        <w:spacing w:before="120" w:after="120" w:line="240" w:lineRule="auto"/>
        <w:ind w:left="426"/>
        <w:rPr>
          <w:rFonts w:ascii="Times New Roman" w:eastAsia="Times New Roman" w:hAnsi="Times New Roman" w:cs="Times New Roman"/>
          <w:b/>
          <w:bCs/>
        </w:rPr>
      </w:pPr>
      <w:r w:rsidRPr="00426C1E">
        <w:rPr>
          <w:rFonts w:ascii="Times New Roman" w:eastAsia="Times New Roman" w:hAnsi="Times New Roman" w:cs="Times New Roman"/>
          <w:b/>
          <w:bCs/>
        </w:rPr>
        <w:t xml:space="preserve">Knowledge: </w:t>
      </w:r>
    </w:p>
    <w:p w:rsidR="00426C1E" w:rsidRPr="00426C1E" w:rsidRDefault="00426C1E" w:rsidP="00C14833">
      <w:pPr>
        <w:pStyle w:val="Listaszerbekezds"/>
        <w:numPr>
          <w:ilvl w:val="0"/>
          <w:numId w:val="146"/>
        </w:numPr>
        <w:spacing w:line="256" w:lineRule="auto"/>
        <w:rPr>
          <w:rFonts w:ascii="Times New Roman" w:hAnsi="Times New Roman" w:cs="Times New Roman"/>
          <w:lang w:val="en-GB"/>
        </w:rPr>
      </w:pPr>
      <w:r w:rsidRPr="00426C1E">
        <w:rPr>
          <w:rFonts w:ascii="Times New Roman" w:hAnsi="Times New Roman" w:cs="Times New Roman"/>
          <w:lang w:val="en-GB"/>
        </w:rPr>
        <w:t xml:space="preserve">To develop the conditioning capacities; to develop the coordination capacities. Officer cadets </w:t>
      </w:r>
      <w:r w:rsidRPr="00426C1E">
        <w:rPr>
          <w:rFonts w:ascii="Times New Roman" w:eastAsia="Times New Roman" w:hAnsi="Times New Roman" w:cs="Times New Roman"/>
          <w:lang w:val="en-GB"/>
        </w:rPr>
        <w:t>should be familiar with basic close combat and self-defence techniques. Learn basic military combat techniques and fighting techniques. Learn basic close combat attack.</w:t>
      </w:r>
    </w:p>
    <w:p w:rsidR="00426C1E" w:rsidRPr="00426C1E" w:rsidRDefault="00426C1E" w:rsidP="00426C1E">
      <w:pPr>
        <w:widowControl w:val="0"/>
        <w:spacing w:before="120" w:after="120" w:line="240" w:lineRule="auto"/>
        <w:ind w:left="426"/>
        <w:rPr>
          <w:rFonts w:ascii="Times New Roman" w:eastAsia="Times New Roman" w:hAnsi="Times New Roman" w:cs="Times New Roman"/>
          <w:b/>
          <w:bCs/>
        </w:rPr>
      </w:pPr>
      <w:r w:rsidRPr="00426C1E">
        <w:rPr>
          <w:rFonts w:ascii="Times New Roman" w:eastAsia="Times New Roman" w:hAnsi="Times New Roman" w:cs="Times New Roman"/>
          <w:b/>
          <w:bCs/>
        </w:rPr>
        <w:t xml:space="preserve">Capabilities: </w:t>
      </w:r>
    </w:p>
    <w:p w:rsidR="00426C1E" w:rsidRPr="00426C1E" w:rsidRDefault="00426C1E" w:rsidP="00C14833">
      <w:pPr>
        <w:pStyle w:val="Nincstrkz"/>
        <w:numPr>
          <w:ilvl w:val="0"/>
          <w:numId w:val="146"/>
        </w:numPr>
        <w:ind w:left="709" w:hanging="283"/>
        <w:rPr>
          <w:rFonts w:ascii="Times New Roman" w:hAnsi="Times New Roman" w:cs="Times New Roman"/>
          <w:lang w:val="en-GB"/>
        </w:rPr>
      </w:pPr>
      <w:r w:rsidRPr="00426C1E">
        <w:rPr>
          <w:rFonts w:ascii="Times New Roman" w:hAnsi="Times New Roman" w:cs="Times New Roman"/>
          <w:lang w:val="en-GB"/>
        </w:rPr>
        <w:t xml:space="preserve">Development of special physical skills adapted to military close combat knowledge. </w:t>
      </w:r>
    </w:p>
    <w:p w:rsidR="00426C1E" w:rsidRPr="00426C1E" w:rsidRDefault="00426C1E" w:rsidP="00426C1E">
      <w:pPr>
        <w:pStyle w:val="Nincstrkz"/>
        <w:ind w:firstLine="709"/>
        <w:rPr>
          <w:rFonts w:ascii="Times New Roman" w:hAnsi="Times New Roman" w:cs="Times New Roman"/>
          <w:lang w:val="en-GB"/>
        </w:rPr>
      </w:pPr>
      <w:r w:rsidRPr="00426C1E">
        <w:rPr>
          <w:rFonts w:ascii="Times New Roman" w:hAnsi="Times New Roman" w:cs="Times New Roman"/>
          <w:lang w:val="en-GB"/>
        </w:rPr>
        <w:t>Acquiring skill and ability in self-defence techniques.</w:t>
      </w:r>
      <w:r w:rsidRPr="00426C1E">
        <w:rPr>
          <w:rFonts w:ascii="Times New Roman" w:hAnsi="Times New Roman" w:cs="Times New Roman"/>
          <w:lang w:val="en-GB"/>
        </w:rPr>
        <w:tab/>
      </w:r>
    </w:p>
    <w:p w:rsidR="00426C1E" w:rsidRPr="00426C1E" w:rsidRDefault="00426C1E" w:rsidP="00426C1E">
      <w:pPr>
        <w:pStyle w:val="Nincstrkz"/>
        <w:ind w:firstLine="709"/>
        <w:rPr>
          <w:rFonts w:ascii="Times New Roman" w:hAnsi="Times New Roman" w:cs="Times New Roman"/>
          <w:lang w:val="en-GB"/>
        </w:rPr>
      </w:pPr>
      <w:r w:rsidRPr="00426C1E">
        <w:rPr>
          <w:rFonts w:ascii="Times New Roman" w:hAnsi="Times New Roman" w:cs="Times New Roman"/>
          <w:lang w:val="en-GB"/>
        </w:rPr>
        <w:t>Have knowledge of improving or maintaining his/her physical abilities.</w:t>
      </w:r>
    </w:p>
    <w:p w:rsidR="00426C1E" w:rsidRPr="00426C1E" w:rsidRDefault="00426C1E" w:rsidP="00426C1E">
      <w:pPr>
        <w:widowControl w:val="0"/>
        <w:spacing w:before="120" w:after="120" w:line="240" w:lineRule="auto"/>
        <w:ind w:left="426"/>
        <w:rPr>
          <w:rFonts w:ascii="Times New Roman" w:eastAsia="Times New Roman" w:hAnsi="Times New Roman" w:cs="Times New Roman"/>
          <w:b/>
          <w:bCs/>
        </w:rPr>
      </w:pPr>
      <w:r w:rsidRPr="00426C1E">
        <w:rPr>
          <w:rFonts w:ascii="Times New Roman" w:eastAsia="Times New Roman" w:hAnsi="Times New Roman" w:cs="Times New Roman"/>
          <w:b/>
          <w:bCs/>
        </w:rPr>
        <w:t xml:space="preserve">Attitude: </w:t>
      </w:r>
    </w:p>
    <w:p w:rsidR="00426C1E" w:rsidRPr="00426C1E" w:rsidRDefault="00426C1E" w:rsidP="00C14833">
      <w:pPr>
        <w:pStyle w:val="Listaszerbekezds"/>
        <w:numPr>
          <w:ilvl w:val="0"/>
          <w:numId w:val="1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val="en-GB"/>
        </w:rPr>
      </w:pPr>
      <w:r w:rsidRPr="00426C1E">
        <w:rPr>
          <w:rFonts w:ascii="Times New Roman" w:eastAsia="Times New Roman" w:hAnsi="Times New Roman" w:cs="Times New Roman"/>
          <w:lang w:val="en-GB"/>
        </w:rPr>
        <w:t>Open to increase his/her knowledge. He/ She is characterized by reliability in his/her work and human relationships.</w:t>
      </w:r>
    </w:p>
    <w:p w:rsidR="00426C1E" w:rsidRPr="00426C1E" w:rsidRDefault="00426C1E" w:rsidP="00426C1E">
      <w:pPr>
        <w:widowControl w:val="0"/>
        <w:spacing w:before="120" w:after="120" w:line="240" w:lineRule="auto"/>
        <w:ind w:left="426"/>
        <w:rPr>
          <w:rFonts w:ascii="Times New Roman" w:eastAsia="Times New Roman" w:hAnsi="Times New Roman" w:cs="Times New Roman"/>
          <w:b/>
          <w:bCs/>
        </w:rPr>
      </w:pPr>
      <w:r w:rsidRPr="00426C1E">
        <w:rPr>
          <w:rFonts w:ascii="Times New Roman" w:eastAsia="Times New Roman" w:hAnsi="Times New Roman" w:cs="Times New Roman"/>
          <w:b/>
          <w:bCs/>
        </w:rPr>
        <w:t xml:space="preserve">Autonomy and responsibility: </w:t>
      </w:r>
    </w:p>
    <w:p w:rsidR="00426C1E" w:rsidRPr="00426C1E" w:rsidRDefault="00426C1E" w:rsidP="00C14833">
      <w:pPr>
        <w:pStyle w:val="Listaszerbekezds"/>
        <w:widowControl w:val="0"/>
        <w:numPr>
          <w:ilvl w:val="0"/>
          <w:numId w:val="146"/>
        </w:numPr>
        <w:spacing w:before="120" w:after="120" w:line="240" w:lineRule="auto"/>
        <w:rPr>
          <w:rFonts w:ascii="Times New Roman" w:eastAsia="Times New Roman" w:hAnsi="Times New Roman" w:cs="Times New Roman"/>
          <w:lang w:val="en-GB"/>
        </w:rPr>
      </w:pPr>
      <w:r w:rsidRPr="00426C1E">
        <w:rPr>
          <w:rFonts w:ascii="Times New Roman" w:hAnsi="Times New Roman" w:cs="Times New Roman"/>
          <w:lang w:val="en-GB"/>
        </w:rPr>
        <w:t>He / She is aware of the consequences and effects of his / her decisions and activities for his / her subunit.</w:t>
      </w:r>
    </w:p>
    <w:p w:rsidR="00426C1E" w:rsidRPr="00426C1E" w:rsidRDefault="00426C1E" w:rsidP="00C14833">
      <w:pPr>
        <w:widowControl w:val="0"/>
        <w:numPr>
          <w:ilvl w:val="0"/>
          <w:numId w:val="147"/>
        </w:numPr>
        <w:spacing w:before="120" w:after="120" w:line="240" w:lineRule="auto"/>
        <w:ind w:left="426" w:hanging="142"/>
        <w:rPr>
          <w:rFonts w:ascii="Times New Roman" w:eastAsia="Times New Roman" w:hAnsi="Times New Roman" w:cs="Times New Roman"/>
          <w:bCs/>
        </w:rPr>
      </w:pPr>
      <w:r w:rsidRPr="00426C1E">
        <w:rPr>
          <w:rFonts w:ascii="Times New Roman" w:eastAsia="Times New Roman" w:hAnsi="Times New Roman" w:cs="Times New Roman"/>
          <w:b/>
          <w:bCs/>
        </w:rPr>
        <w:t xml:space="preserve">Előtanulmányi követelmények: </w:t>
      </w:r>
      <w:r w:rsidRPr="00426C1E">
        <w:rPr>
          <w:rFonts w:ascii="Times New Roman" w:eastAsia="Times New Roman" w:hAnsi="Times New Roman" w:cs="Times New Roman"/>
          <w:bCs/>
        </w:rPr>
        <w:t>nincs</w:t>
      </w:r>
    </w:p>
    <w:p w:rsidR="00426C1E" w:rsidRPr="00426C1E" w:rsidRDefault="00426C1E" w:rsidP="00C14833">
      <w:pPr>
        <w:widowControl w:val="0"/>
        <w:numPr>
          <w:ilvl w:val="0"/>
          <w:numId w:val="147"/>
        </w:numPr>
        <w:spacing w:before="120" w:after="120" w:line="240" w:lineRule="auto"/>
        <w:ind w:left="426" w:hanging="142"/>
        <w:rPr>
          <w:rFonts w:ascii="Times New Roman" w:eastAsia="Times New Roman" w:hAnsi="Times New Roman" w:cs="Times New Roman"/>
          <w:b/>
          <w:bCs/>
        </w:rPr>
      </w:pPr>
      <w:r w:rsidRPr="00426C1E">
        <w:rPr>
          <w:rFonts w:ascii="Times New Roman" w:eastAsia="Times New Roman" w:hAnsi="Times New Roman" w:cs="Times New Roman"/>
          <w:b/>
          <w:bCs/>
        </w:rPr>
        <w:t xml:space="preserve">A tantárgy tananyagának leírása, tematika. </w:t>
      </w:r>
    </w:p>
    <w:p w:rsidR="00426C1E" w:rsidRPr="00426C1E" w:rsidRDefault="00426C1E" w:rsidP="00C14833">
      <w:pPr>
        <w:widowControl w:val="0"/>
        <w:numPr>
          <w:ilvl w:val="1"/>
          <w:numId w:val="147"/>
        </w:numPr>
        <w:tabs>
          <w:tab w:val="clear" w:pos="3977"/>
        </w:tabs>
        <w:spacing w:after="0" w:line="240" w:lineRule="auto"/>
        <w:ind w:left="851" w:hanging="573"/>
        <w:jc w:val="both"/>
        <w:rPr>
          <w:rFonts w:ascii="Times New Roman" w:eastAsia="Times New Roman" w:hAnsi="Times New Roman" w:cs="Times New Roman"/>
          <w:bCs/>
          <w:i/>
        </w:rPr>
      </w:pPr>
      <w:r w:rsidRPr="00426C1E">
        <w:rPr>
          <w:rFonts w:ascii="Times New Roman" w:eastAsia="Times New Roman" w:hAnsi="Times New Roman" w:cs="Times New Roman"/>
          <w:bCs/>
        </w:rPr>
        <w:t>Speciális kondicionális képességek fejlesztése a katonai közelharc ismeretanyagához adaptálva. (</w:t>
      </w:r>
      <w:r w:rsidRPr="00426C1E">
        <w:rPr>
          <w:rFonts w:ascii="Times New Roman" w:hAnsi="Times New Roman" w:cs="Times New Roman"/>
          <w:i/>
          <w:shd w:val="clear" w:color="auto" w:fill="F5F5F5"/>
        </w:rPr>
        <w:t>Development of special conditioning capabilities adapted to military melee knowledge.)</w:t>
      </w:r>
    </w:p>
    <w:p w:rsidR="00426C1E" w:rsidRPr="00426C1E" w:rsidRDefault="00426C1E" w:rsidP="00C14833">
      <w:pPr>
        <w:widowControl w:val="0"/>
        <w:numPr>
          <w:ilvl w:val="1"/>
          <w:numId w:val="147"/>
        </w:numPr>
        <w:tabs>
          <w:tab w:val="clear" w:pos="3977"/>
        </w:tabs>
        <w:spacing w:after="0" w:line="240" w:lineRule="auto"/>
        <w:ind w:left="851" w:hanging="573"/>
        <w:jc w:val="both"/>
        <w:rPr>
          <w:rFonts w:ascii="Times New Roman" w:eastAsia="Times New Roman" w:hAnsi="Times New Roman" w:cs="Times New Roman"/>
          <w:bCs/>
          <w:i/>
        </w:rPr>
      </w:pPr>
      <w:r w:rsidRPr="00426C1E">
        <w:rPr>
          <w:rFonts w:ascii="Times New Roman" w:eastAsia="Times New Roman" w:hAnsi="Times New Roman" w:cs="Times New Roman"/>
          <w:bCs/>
        </w:rPr>
        <w:t>Természetes mozgások: Biztonsági rendszabályok ismertetése és betartatása a képzés során. (</w:t>
      </w:r>
      <w:r w:rsidRPr="00426C1E">
        <w:rPr>
          <w:rFonts w:ascii="Times New Roman" w:hAnsi="Times New Roman" w:cs="Times New Roman"/>
          <w:i/>
          <w:shd w:val="clear" w:color="auto" w:fill="F5F5F5"/>
        </w:rPr>
        <w:t>Natural Movements: Introducing and enforcing safety rules during training.)</w:t>
      </w:r>
    </w:p>
    <w:p w:rsidR="00426C1E" w:rsidRPr="00426C1E" w:rsidRDefault="00426C1E" w:rsidP="00C14833">
      <w:pPr>
        <w:widowControl w:val="0"/>
        <w:numPr>
          <w:ilvl w:val="1"/>
          <w:numId w:val="147"/>
        </w:numPr>
        <w:tabs>
          <w:tab w:val="clear" w:pos="3977"/>
        </w:tabs>
        <w:spacing w:after="0" w:line="240" w:lineRule="auto"/>
        <w:ind w:left="851" w:hanging="573"/>
        <w:jc w:val="both"/>
        <w:rPr>
          <w:rFonts w:ascii="Times New Roman" w:eastAsia="Times New Roman" w:hAnsi="Times New Roman" w:cs="Times New Roman"/>
          <w:b/>
          <w:bCs/>
          <w:i/>
        </w:rPr>
      </w:pPr>
      <w:r w:rsidRPr="00426C1E">
        <w:rPr>
          <w:rFonts w:ascii="Times New Roman" w:eastAsia="Times New Roman" w:hAnsi="Times New Roman" w:cs="Times New Roman"/>
          <w:bCs/>
        </w:rPr>
        <w:t>Testhelyzetek, mozdulat és mozgás változtatások harci szituációkban</w:t>
      </w:r>
      <w:r w:rsidRPr="00426C1E">
        <w:rPr>
          <w:rFonts w:ascii="Times New Roman" w:eastAsia="Times New Roman" w:hAnsi="Times New Roman" w:cs="Times New Roman"/>
          <w:b/>
          <w:bCs/>
        </w:rPr>
        <w:t>. (</w:t>
      </w:r>
      <w:r w:rsidRPr="00426C1E">
        <w:rPr>
          <w:rFonts w:ascii="Times New Roman" w:hAnsi="Times New Roman" w:cs="Times New Roman"/>
          <w:i/>
          <w:shd w:val="clear" w:color="auto" w:fill="F5F5F5"/>
        </w:rPr>
        <w:t>Postures, movement and movement changes in combat situations.)</w:t>
      </w:r>
    </w:p>
    <w:p w:rsidR="00426C1E" w:rsidRPr="00426C1E" w:rsidRDefault="00426C1E" w:rsidP="00C14833">
      <w:pPr>
        <w:widowControl w:val="0"/>
        <w:numPr>
          <w:ilvl w:val="1"/>
          <w:numId w:val="147"/>
        </w:numPr>
        <w:tabs>
          <w:tab w:val="clear" w:pos="3977"/>
        </w:tabs>
        <w:spacing w:after="0" w:line="240" w:lineRule="auto"/>
        <w:ind w:left="851" w:hanging="573"/>
        <w:jc w:val="both"/>
        <w:rPr>
          <w:rFonts w:ascii="Times New Roman" w:eastAsia="Times New Roman" w:hAnsi="Times New Roman" w:cs="Times New Roman"/>
          <w:b/>
          <w:bCs/>
          <w:i/>
        </w:rPr>
      </w:pPr>
      <w:r w:rsidRPr="00426C1E">
        <w:rPr>
          <w:rFonts w:ascii="Times New Roman" w:eastAsia="Times New Roman" w:hAnsi="Times New Roman" w:cs="Times New Roman"/>
          <w:bCs/>
        </w:rPr>
        <w:t>Esések. Gurulások, dobás előkészítések és dobások, földre viteli technikák. (</w:t>
      </w:r>
      <w:r w:rsidRPr="00426C1E">
        <w:rPr>
          <w:rFonts w:ascii="Times New Roman" w:hAnsi="Times New Roman" w:cs="Times New Roman"/>
          <w:i/>
        </w:rPr>
        <w:t>Waterfalls.</w:t>
      </w:r>
      <w:r w:rsidRPr="00426C1E">
        <w:rPr>
          <w:rFonts w:ascii="Times New Roman" w:hAnsi="Times New Roman" w:cs="Times New Roman"/>
          <w:i/>
          <w:shd w:val="clear" w:color="auto" w:fill="F5F5F5"/>
        </w:rPr>
        <w:t xml:space="preserve"> </w:t>
      </w:r>
      <w:r w:rsidRPr="00426C1E">
        <w:rPr>
          <w:rFonts w:ascii="Times New Roman" w:hAnsi="Times New Roman" w:cs="Times New Roman"/>
          <w:i/>
        </w:rPr>
        <w:t>Rolls, throw preparation and throws, landing techniques.)</w:t>
      </w:r>
    </w:p>
    <w:p w:rsidR="00426C1E" w:rsidRPr="00426C1E" w:rsidRDefault="00426C1E" w:rsidP="00C14833">
      <w:pPr>
        <w:widowControl w:val="0"/>
        <w:numPr>
          <w:ilvl w:val="1"/>
          <w:numId w:val="147"/>
        </w:numPr>
        <w:tabs>
          <w:tab w:val="clear" w:pos="3977"/>
        </w:tabs>
        <w:spacing w:after="0" w:line="240" w:lineRule="auto"/>
        <w:ind w:left="851" w:hanging="573"/>
        <w:jc w:val="both"/>
        <w:rPr>
          <w:rFonts w:ascii="Times New Roman" w:eastAsia="Times New Roman" w:hAnsi="Times New Roman" w:cs="Times New Roman"/>
          <w:bCs/>
          <w:i/>
        </w:rPr>
      </w:pPr>
      <w:r w:rsidRPr="00426C1E">
        <w:rPr>
          <w:rFonts w:ascii="Times New Roman" w:eastAsia="Times New Roman" w:hAnsi="Times New Roman" w:cs="Times New Roman"/>
          <w:bCs/>
        </w:rPr>
        <w:t>Technikailag képzett ütések, rúgások kivitelezései és ezek védései. (</w:t>
      </w:r>
      <w:r w:rsidRPr="00426C1E">
        <w:rPr>
          <w:rFonts w:ascii="Times New Roman" w:hAnsi="Times New Roman" w:cs="Times New Roman"/>
          <w:i/>
          <w:shd w:val="clear" w:color="auto" w:fill="F5F5F5"/>
        </w:rPr>
        <w:t>Technically trained punches, kicks and their defenses.)</w:t>
      </w:r>
    </w:p>
    <w:p w:rsidR="00426C1E" w:rsidRPr="00426C1E" w:rsidRDefault="00426C1E" w:rsidP="00C14833">
      <w:pPr>
        <w:widowControl w:val="0"/>
        <w:numPr>
          <w:ilvl w:val="0"/>
          <w:numId w:val="147"/>
        </w:numPr>
        <w:tabs>
          <w:tab w:val="num" w:pos="360"/>
        </w:tabs>
        <w:spacing w:before="120" w:after="120" w:line="240" w:lineRule="auto"/>
        <w:ind w:left="426" w:hanging="142"/>
        <w:rPr>
          <w:rFonts w:ascii="Times New Roman" w:eastAsia="Times New Roman" w:hAnsi="Times New Roman" w:cs="Times New Roman"/>
          <w:bCs/>
        </w:rPr>
      </w:pPr>
      <w:r w:rsidRPr="00426C1E">
        <w:rPr>
          <w:rFonts w:ascii="Times New Roman" w:eastAsia="Times New Roman" w:hAnsi="Times New Roman" w:cs="Times New Roman"/>
          <w:b/>
          <w:bCs/>
        </w:rPr>
        <w:t>A tantárgy meghirdetésének gyakorisága a tantervben történő félévi elhelyezkedése:</w:t>
      </w:r>
      <w:r w:rsidRPr="00426C1E">
        <w:rPr>
          <w:rFonts w:ascii="Times New Roman" w:hAnsi="Times New Roman" w:cs="Times New Roman"/>
          <w:bCs/>
        </w:rPr>
        <w:t xml:space="preserve"> III. félév</w:t>
      </w:r>
    </w:p>
    <w:p w:rsidR="00426C1E" w:rsidRPr="00426C1E" w:rsidRDefault="00426C1E" w:rsidP="00C14833">
      <w:pPr>
        <w:pStyle w:val="Listaszerbekezds"/>
        <w:widowControl w:val="0"/>
        <w:numPr>
          <w:ilvl w:val="0"/>
          <w:numId w:val="147"/>
        </w:numPr>
        <w:tabs>
          <w:tab w:val="clear" w:pos="720"/>
          <w:tab w:val="num" w:pos="993"/>
        </w:tabs>
        <w:spacing w:before="120" w:after="120" w:line="240" w:lineRule="auto"/>
        <w:ind w:left="426" w:hanging="142"/>
        <w:jc w:val="both"/>
        <w:rPr>
          <w:rFonts w:ascii="Times New Roman" w:eastAsia="Times New Roman" w:hAnsi="Times New Roman" w:cs="Times New Roman"/>
          <w:bCs/>
        </w:rPr>
      </w:pPr>
      <w:r w:rsidRPr="00426C1E">
        <w:rPr>
          <w:rFonts w:ascii="Times New Roman" w:eastAsia="Times New Roman" w:hAnsi="Times New Roman" w:cs="Times New Roman"/>
          <w:b/>
          <w:bCs/>
        </w:rPr>
        <w:t>A tanórákon való részvétel követelményei, az elfogadható hiányzások mértéke, a távolmaradás pótlásának lehetősége:</w:t>
      </w:r>
      <w:r w:rsidRPr="00426C1E">
        <w:rPr>
          <w:rFonts w:ascii="Times New Roman" w:hAnsi="Times New Roman" w:cs="Times New Roman"/>
          <w:bCs/>
        </w:rPr>
        <w:t xml:space="preserve"> A honvéd tisztjelöltek részvétele a foglalkozáson kötelező</w:t>
      </w:r>
      <w:r w:rsidR="00887DC4">
        <w:rPr>
          <w:rFonts w:ascii="Times New Roman" w:hAnsi="Times New Roman" w:cs="Times New Roman"/>
          <w:bCs/>
        </w:rPr>
        <w:t>.</w:t>
      </w:r>
      <w:r w:rsidRPr="00426C1E">
        <w:rPr>
          <w:rFonts w:ascii="Times New Roman" w:hAnsi="Times New Roman" w:cs="Times New Roman"/>
          <w:bCs/>
        </w:rPr>
        <w:t xml:space="preserve"> Betegség, szabadság miatti hiányzások mértéke maximálisan 30% lehet. Vezénylés, szolgálat miatti távollét nem számít bele a hiányzásba. </w:t>
      </w:r>
      <w:r w:rsidRPr="00426C1E">
        <w:rPr>
          <w:rFonts w:ascii="Times New Roman" w:eastAsia="Times New Roman" w:hAnsi="Times New Roman" w:cs="Times New Roman"/>
          <w:bCs/>
        </w:rPr>
        <w:t>A hallgatónak a tanórák legalább 70 %-án jelen kell lennie, 30 %-ot meghaladó hiányzás esetén a félév teljesítése nem írható alá. A hallgató köteles a gyakorlat anyagát beszerezni, abból önállóan felkészülni.</w:t>
      </w:r>
      <w:r w:rsidRPr="00426C1E">
        <w:rPr>
          <w:rFonts w:ascii="Times New Roman" w:eastAsia="Times New Roman" w:hAnsi="Times New Roman" w:cs="Times New Roman"/>
          <w:bCs/>
        </w:rPr>
        <w:tab/>
      </w:r>
    </w:p>
    <w:p w:rsidR="00426C1E" w:rsidRPr="00426C1E" w:rsidRDefault="00426C1E" w:rsidP="00C14833">
      <w:pPr>
        <w:widowControl w:val="0"/>
        <w:numPr>
          <w:ilvl w:val="0"/>
          <w:numId w:val="147"/>
        </w:numPr>
        <w:spacing w:before="120" w:after="120" w:line="240" w:lineRule="auto"/>
        <w:ind w:left="426" w:hanging="142"/>
        <w:jc w:val="both"/>
        <w:rPr>
          <w:rFonts w:ascii="Times New Roman" w:eastAsia="Times New Roman" w:hAnsi="Times New Roman" w:cs="Times New Roman"/>
          <w:bCs/>
        </w:rPr>
      </w:pPr>
      <w:r w:rsidRPr="00426C1E">
        <w:rPr>
          <w:rFonts w:ascii="Times New Roman" w:eastAsia="Times New Roman" w:hAnsi="Times New Roman" w:cs="Times New Roman"/>
          <w:b/>
        </w:rPr>
        <w:t>Félévközi feladatok, ismeretek ellenőrzésének rendje:</w:t>
      </w:r>
      <w:r w:rsidRPr="00426C1E">
        <w:rPr>
          <w:rFonts w:ascii="Times New Roman" w:eastAsia="Times New Roman" w:hAnsi="Times New Roman" w:cs="Times New Roman"/>
          <w:bCs/>
        </w:rPr>
        <w:t xml:space="preserve"> Az ismeretek ellenőrzése a különböző mozgásformák bemutatásával történik. Az oktató az alábbi szempontok alapján értékeli a hallgatót:</w:t>
      </w:r>
      <w:r w:rsidRPr="00426C1E">
        <w:rPr>
          <w:rFonts w:ascii="Times New Roman" w:hAnsi="Times New Roman" w:cs="Times New Roman"/>
        </w:rPr>
        <w:t xml:space="preserve"> az elégséges értékeléshez mozgásformánként el kell érni a minimum pontszámot, valamint az összesített pontszám tekintetében el kell érni a 130 pontot. A mozgásformák a következők: 3200m futás, fekvőtámasz, felülés, függeszkedés, közelharc alaptechnikák, eséstechnikák, dobástechnikák, szabadulások Sikertelen kísérlet esetén, a hallgatónak a félév folyamán kétszer van lehetősége a javításra. </w:t>
      </w:r>
    </w:p>
    <w:p w:rsidR="00426C1E" w:rsidRPr="00426C1E" w:rsidRDefault="00426C1E" w:rsidP="00C14833">
      <w:pPr>
        <w:widowControl w:val="0"/>
        <w:numPr>
          <w:ilvl w:val="0"/>
          <w:numId w:val="147"/>
        </w:numPr>
        <w:spacing w:before="120" w:after="120" w:line="240" w:lineRule="auto"/>
        <w:ind w:left="426" w:hanging="142"/>
        <w:jc w:val="both"/>
        <w:rPr>
          <w:rFonts w:ascii="Times New Roman" w:eastAsia="Times New Roman" w:hAnsi="Times New Roman" w:cs="Times New Roman"/>
          <w:b/>
          <w:bCs/>
        </w:rPr>
      </w:pPr>
      <w:r w:rsidRPr="00426C1E">
        <w:rPr>
          <w:rFonts w:ascii="Times New Roman" w:eastAsia="Times New Roman" w:hAnsi="Times New Roman" w:cs="Times New Roman"/>
          <w:b/>
          <w:bCs/>
        </w:rPr>
        <w:lastRenderedPageBreak/>
        <w:t xml:space="preserve">Az értékelés, az aláírás és a kreditek megszerzésének pontos feltételei: </w:t>
      </w:r>
      <w:r w:rsidRPr="00426C1E">
        <w:rPr>
          <w:rFonts w:ascii="Times New Roman" w:hAnsi="Times New Roman" w:cs="Times New Roman"/>
          <w:bCs/>
        </w:rPr>
        <w:t>Az aláírás feltétele tanórák 70%-án történő aktív részvétel</w:t>
      </w:r>
      <w:r w:rsidRPr="00426C1E">
        <w:rPr>
          <w:rFonts w:ascii="Times New Roman" w:hAnsi="Times New Roman" w:cs="Times New Roman"/>
        </w:rPr>
        <w:t xml:space="preserve">, valamint az elégséges értékeléshez mozgásformánként el kell érni a minimum pontszámot, valamint az összesített pontszám tekintetében el kell érni a 130 pontot. </w:t>
      </w:r>
    </w:p>
    <w:p w:rsidR="00426C1E" w:rsidRPr="00426C1E" w:rsidRDefault="00426C1E" w:rsidP="00C14833">
      <w:pPr>
        <w:widowControl w:val="0"/>
        <w:numPr>
          <w:ilvl w:val="1"/>
          <w:numId w:val="147"/>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426C1E">
        <w:rPr>
          <w:rFonts w:ascii="Times New Roman" w:eastAsia="Times New Roman" w:hAnsi="Times New Roman" w:cs="Times New Roman"/>
          <w:b/>
        </w:rPr>
        <w:t>Az aláírás megszerzésének feltételei:</w:t>
      </w:r>
      <w:r w:rsidRPr="00426C1E">
        <w:rPr>
          <w:rFonts w:ascii="Times New Roman" w:hAnsi="Times New Roman" w:cs="Times New Roman"/>
          <w:bCs/>
        </w:rPr>
        <w:t xml:space="preserve"> Az aláírás feltétele tanórák 70%-án történő aktív részvétel</w:t>
      </w:r>
      <w:r w:rsidRPr="00426C1E">
        <w:rPr>
          <w:rFonts w:ascii="Times New Roman" w:hAnsi="Times New Roman" w:cs="Times New Roman"/>
        </w:rPr>
        <w:t>. valamint az elégséges értékeléshez mozgásformánként el kell érni a minimum pontszámot, valamint az összesített pontszám tekintetében el kell érni a minimális 130 pontot.</w:t>
      </w:r>
    </w:p>
    <w:p w:rsidR="00426C1E" w:rsidRPr="00426C1E" w:rsidRDefault="00426C1E" w:rsidP="00C14833">
      <w:pPr>
        <w:widowControl w:val="0"/>
        <w:numPr>
          <w:ilvl w:val="1"/>
          <w:numId w:val="147"/>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426C1E">
        <w:rPr>
          <w:rFonts w:ascii="Times New Roman" w:eastAsia="Times New Roman" w:hAnsi="Times New Roman" w:cs="Times New Roman"/>
          <w:b/>
        </w:rPr>
        <w:t>Az értékelés:</w:t>
      </w:r>
      <w:r w:rsidRPr="00426C1E">
        <w:rPr>
          <w:rFonts w:ascii="Times New Roman" w:eastAsia="Times New Roman" w:hAnsi="Times New Roman" w:cs="Times New Roman"/>
        </w:rPr>
        <w:t xml:space="preserve"> Gyakorlati jegy megszerzése: A</w:t>
      </w:r>
      <w:r w:rsidRPr="00426C1E">
        <w:rPr>
          <w:rFonts w:ascii="Times New Roman" w:hAnsi="Times New Roman" w:cs="Times New Roman"/>
        </w:rPr>
        <w:t>z elégséges értékeléshez mozgásformánként el kell érni a minimum pontszámot, valamint az összesített pontszám tekintetében el kell érni a minimális 130 pontot. 130-199 pont elégséges, 200-269 pont közepes, 270-339 pont jó 340-400 kiváló osztályzatot jelent</w:t>
      </w:r>
      <w:r w:rsidRPr="00426C1E">
        <w:rPr>
          <w:rFonts w:ascii="Times New Roman" w:eastAsia="Times New Roman" w:hAnsi="Times New Roman" w:cs="Times New Roman"/>
        </w:rPr>
        <w:t>.</w:t>
      </w:r>
    </w:p>
    <w:p w:rsidR="00426C1E" w:rsidRPr="00426C1E" w:rsidRDefault="00426C1E" w:rsidP="00C14833">
      <w:pPr>
        <w:widowControl w:val="0"/>
        <w:numPr>
          <w:ilvl w:val="1"/>
          <w:numId w:val="147"/>
        </w:numPr>
        <w:tabs>
          <w:tab w:val="left" w:pos="709"/>
          <w:tab w:val="left" w:pos="993"/>
          <w:tab w:val="num" w:pos="2069"/>
        </w:tabs>
        <w:spacing w:before="120" w:after="120" w:line="240" w:lineRule="auto"/>
        <w:ind w:left="426" w:firstLine="0"/>
        <w:rPr>
          <w:rFonts w:ascii="Times New Roman" w:eastAsia="Times New Roman" w:hAnsi="Times New Roman" w:cs="Times New Roman"/>
        </w:rPr>
      </w:pPr>
      <w:r w:rsidRPr="00426C1E">
        <w:rPr>
          <w:rFonts w:ascii="Times New Roman" w:eastAsia="Times New Roman" w:hAnsi="Times New Roman" w:cs="Times New Roman"/>
          <w:b/>
        </w:rPr>
        <w:t xml:space="preserve">A kreditek megszerzésének feltételei: </w:t>
      </w:r>
      <w:r w:rsidRPr="00426C1E">
        <w:rPr>
          <w:rFonts w:ascii="Times New Roman" w:eastAsia="Times New Roman" w:hAnsi="Times New Roman" w:cs="Times New Roman"/>
        </w:rPr>
        <w:t xml:space="preserve">A mozgásformák minimum szintjeinek </w:t>
      </w:r>
      <w:r w:rsidR="00887DC4">
        <w:rPr>
          <w:rFonts w:ascii="Times New Roman" w:eastAsia="Times New Roman" w:hAnsi="Times New Roman" w:cs="Times New Roman"/>
        </w:rPr>
        <w:t xml:space="preserve">(egy pont) </w:t>
      </w:r>
      <w:r w:rsidRPr="00426C1E">
        <w:rPr>
          <w:rFonts w:ascii="Times New Roman" w:eastAsia="Times New Roman" w:hAnsi="Times New Roman" w:cs="Times New Roman"/>
        </w:rPr>
        <w:t>és a minimum összpontszámnak az elérése.</w:t>
      </w:r>
    </w:p>
    <w:p w:rsidR="00426C1E" w:rsidRPr="00426C1E" w:rsidRDefault="00426C1E" w:rsidP="00C14833">
      <w:pPr>
        <w:widowControl w:val="0"/>
        <w:numPr>
          <w:ilvl w:val="0"/>
          <w:numId w:val="147"/>
        </w:numPr>
        <w:tabs>
          <w:tab w:val="num" w:pos="360"/>
        </w:tabs>
        <w:spacing w:before="120" w:after="120" w:line="240" w:lineRule="auto"/>
        <w:ind w:left="426" w:hanging="142"/>
        <w:rPr>
          <w:rFonts w:ascii="Times New Roman" w:eastAsia="Times New Roman" w:hAnsi="Times New Roman" w:cs="Times New Roman"/>
          <w:bCs/>
        </w:rPr>
      </w:pPr>
      <w:r w:rsidRPr="00426C1E">
        <w:rPr>
          <w:rFonts w:ascii="Times New Roman" w:eastAsia="Times New Roman" w:hAnsi="Times New Roman" w:cs="Times New Roman"/>
          <w:b/>
          <w:bCs/>
        </w:rPr>
        <w:t>Irodalomjegyzék:</w:t>
      </w:r>
    </w:p>
    <w:p w:rsidR="00426C1E" w:rsidRPr="00426C1E" w:rsidRDefault="00426C1E" w:rsidP="00C14833">
      <w:pPr>
        <w:widowControl w:val="0"/>
        <w:numPr>
          <w:ilvl w:val="1"/>
          <w:numId w:val="147"/>
        </w:numPr>
        <w:tabs>
          <w:tab w:val="left" w:pos="567"/>
          <w:tab w:val="left" w:pos="851"/>
          <w:tab w:val="num" w:pos="2069"/>
        </w:tabs>
        <w:spacing w:before="120" w:after="120" w:line="240" w:lineRule="auto"/>
        <w:ind w:left="426" w:hanging="142"/>
        <w:rPr>
          <w:rFonts w:ascii="Times New Roman" w:eastAsia="Times New Roman" w:hAnsi="Times New Roman" w:cs="Times New Roman"/>
          <w:bCs/>
        </w:rPr>
      </w:pPr>
      <w:r w:rsidRPr="00426C1E">
        <w:rPr>
          <w:rFonts w:ascii="Times New Roman" w:eastAsia="Times New Roman" w:hAnsi="Times New Roman" w:cs="Times New Roman"/>
          <w:b/>
          <w:bCs/>
        </w:rPr>
        <w:t>Kötelező irodalom:</w:t>
      </w:r>
    </w:p>
    <w:p w:rsidR="00426C1E" w:rsidRPr="00426C1E" w:rsidRDefault="00426C1E" w:rsidP="00C14833">
      <w:pPr>
        <w:pStyle w:val="Listaszerbekezds"/>
        <w:widowControl w:val="0"/>
        <w:numPr>
          <w:ilvl w:val="0"/>
          <w:numId w:val="148"/>
        </w:numPr>
        <w:spacing w:after="0" w:line="240" w:lineRule="auto"/>
        <w:rPr>
          <w:rFonts w:ascii="Times New Roman" w:eastAsia="Times New Roman" w:hAnsi="Times New Roman" w:cs="Times New Roman"/>
        </w:rPr>
      </w:pPr>
      <w:r w:rsidRPr="00426C1E">
        <w:rPr>
          <w:rFonts w:ascii="Times New Roman" w:hAnsi="Times New Roman" w:cs="Times New Roman"/>
        </w:rPr>
        <w:t>A Magyar Honvédség Katonai Testnevelés Kiképzés és Sportbajnokságok szabályzata</w:t>
      </w:r>
      <w:r w:rsidR="00887DC4">
        <w:rPr>
          <w:rFonts w:ascii="Times New Roman" w:hAnsi="Times New Roman" w:cs="Times New Roman"/>
        </w:rPr>
        <w:t xml:space="preserve"> </w:t>
      </w:r>
      <w:r w:rsidRPr="00426C1E">
        <w:rPr>
          <w:rFonts w:ascii="Times New Roman" w:hAnsi="Times New Roman" w:cs="Times New Roman"/>
        </w:rPr>
        <w:t>(A Magyar Honvédség Kiadványa 2017)</w:t>
      </w:r>
    </w:p>
    <w:p w:rsidR="00426C1E" w:rsidRPr="00426C1E" w:rsidRDefault="00426C1E" w:rsidP="00C14833">
      <w:pPr>
        <w:widowControl w:val="0"/>
        <w:numPr>
          <w:ilvl w:val="1"/>
          <w:numId w:val="147"/>
        </w:numPr>
        <w:tabs>
          <w:tab w:val="num" w:pos="567"/>
          <w:tab w:val="num" w:pos="2069"/>
        </w:tabs>
        <w:spacing w:before="120" w:after="120" w:line="240" w:lineRule="auto"/>
        <w:ind w:left="993" w:hanging="709"/>
        <w:rPr>
          <w:rFonts w:ascii="Times New Roman" w:eastAsia="Times New Roman" w:hAnsi="Times New Roman" w:cs="Times New Roman"/>
          <w:b/>
          <w:bCs/>
        </w:rPr>
      </w:pPr>
      <w:r w:rsidRPr="00426C1E">
        <w:rPr>
          <w:rFonts w:ascii="Times New Roman" w:eastAsia="Times New Roman" w:hAnsi="Times New Roman" w:cs="Times New Roman"/>
          <w:b/>
          <w:bCs/>
        </w:rPr>
        <w:t>Ajánlott irodalom:</w:t>
      </w:r>
    </w:p>
    <w:p w:rsidR="00426C1E" w:rsidRPr="00426C1E" w:rsidRDefault="00426C1E" w:rsidP="00C14833">
      <w:pPr>
        <w:pStyle w:val="lfej"/>
        <w:numPr>
          <w:ilvl w:val="0"/>
          <w:numId w:val="149"/>
        </w:numPr>
        <w:spacing w:before="120"/>
        <w:rPr>
          <w:rFonts w:ascii="Times New Roman" w:hAnsi="Times New Roman" w:cs="Times New Roman"/>
          <w:bCs/>
        </w:rPr>
      </w:pPr>
      <w:r w:rsidRPr="00426C1E">
        <w:rPr>
          <w:rFonts w:ascii="Times New Roman" w:hAnsi="Times New Roman" w:cs="Times New Roman"/>
          <w:bCs/>
        </w:rPr>
        <w:t>Vincze J. Közelharc BJKMF jegyzet 1998</w:t>
      </w:r>
      <w:r w:rsidRPr="00426C1E">
        <w:rPr>
          <w:rFonts w:ascii="Times New Roman" w:hAnsi="Times New Roman" w:cs="Times New Roman"/>
          <w:b/>
          <w:bCs/>
        </w:rPr>
        <w:t xml:space="preserve"> </w:t>
      </w:r>
    </w:p>
    <w:p w:rsidR="00426C1E" w:rsidRPr="00426C1E" w:rsidRDefault="00426C1E" w:rsidP="00C14833">
      <w:pPr>
        <w:pStyle w:val="lfej"/>
        <w:numPr>
          <w:ilvl w:val="0"/>
          <w:numId w:val="149"/>
        </w:numPr>
        <w:spacing w:before="120"/>
        <w:rPr>
          <w:rFonts w:ascii="Times New Roman" w:hAnsi="Times New Roman" w:cs="Times New Roman"/>
          <w:bCs/>
        </w:rPr>
      </w:pPr>
      <w:r w:rsidRPr="00426C1E">
        <w:rPr>
          <w:rFonts w:ascii="Times New Roman" w:hAnsi="Times New Roman" w:cs="Times New Roman"/>
          <w:bCs/>
        </w:rPr>
        <w:t xml:space="preserve">Eleki-Kovács: A közelharc mozgásanyagához szükséges testi képességek és fejlesztésük lehetőségei – Szentendre: KLKF, 1996. </w:t>
      </w:r>
    </w:p>
    <w:p w:rsidR="00426C1E" w:rsidRPr="00426C1E" w:rsidRDefault="00426C1E" w:rsidP="00C14833">
      <w:pPr>
        <w:pStyle w:val="lfej"/>
        <w:numPr>
          <w:ilvl w:val="0"/>
          <w:numId w:val="149"/>
        </w:numPr>
        <w:spacing w:before="120"/>
        <w:rPr>
          <w:rFonts w:ascii="Times New Roman" w:hAnsi="Times New Roman" w:cs="Times New Roman"/>
          <w:bCs/>
        </w:rPr>
      </w:pPr>
      <w:r w:rsidRPr="00426C1E">
        <w:rPr>
          <w:rFonts w:ascii="Times New Roman" w:hAnsi="Times New Roman" w:cs="Times New Roman"/>
          <w:bCs/>
        </w:rPr>
        <w:t xml:space="preserve">Eleki-Kovács: A katonai közelharc eszközös technikái – Szentendre: KLKF, 1997 </w:t>
      </w:r>
    </w:p>
    <w:p w:rsidR="00426C1E" w:rsidRPr="00426C1E" w:rsidRDefault="00426C1E" w:rsidP="00426C1E">
      <w:pPr>
        <w:pStyle w:val="Listaszerbekezds"/>
        <w:widowControl w:val="0"/>
        <w:spacing w:after="0" w:line="240" w:lineRule="auto"/>
        <w:rPr>
          <w:rFonts w:ascii="Times New Roman" w:eastAsia="Times New Roman" w:hAnsi="Times New Roman" w:cs="Times New Roman"/>
        </w:rPr>
      </w:pPr>
    </w:p>
    <w:p w:rsidR="00426C1E" w:rsidRPr="00426C1E" w:rsidRDefault="00426C1E" w:rsidP="00426C1E">
      <w:pPr>
        <w:widowControl w:val="0"/>
        <w:spacing w:before="120" w:after="120" w:line="240" w:lineRule="auto"/>
        <w:jc w:val="both"/>
        <w:rPr>
          <w:rFonts w:ascii="Times New Roman" w:eastAsia="Times New Roman" w:hAnsi="Times New Roman" w:cs="Times New Roman"/>
          <w:bCs/>
        </w:rPr>
      </w:pPr>
      <w:r w:rsidRPr="00426C1E">
        <w:rPr>
          <w:rFonts w:ascii="Times New Roman" w:eastAsia="Times New Roman" w:hAnsi="Times New Roman" w:cs="Times New Roman"/>
          <w:bCs/>
        </w:rPr>
        <w:t>Budapest, 2020-01-21.</w:t>
      </w:r>
    </w:p>
    <w:p w:rsidR="00426C1E" w:rsidRPr="00426C1E" w:rsidRDefault="00426C1E" w:rsidP="00426C1E">
      <w:pPr>
        <w:widowControl w:val="0"/>
        <w:spacing w:before="120" w:after="120" w:line="240" w:lineRule="auto"/>
        <w:jc w:val="both"/>
        <w:rPr>
          <w:rFonts w:ascii="Times New Roman" w:eastAsia="Times New Roman" w:hAnsi="Times New Roman" w:cs="Times New Roman"/>
          <w:bCs/>
        </w:rPr>
      </w:pPr>
    </w:p>
    <w:p w:rsidR="00426C1E" w:rsidRPr="00426C1E" w:rsidRDefault="00426C1E" w:rsidP="00426C1E">
      <w:pPr>
        <w:widowControl w:val="0"/>
        <w:spacing w:after="0" w:line="240" w:lineRule="auto"/>
        <w:jc w:val="right"/>
        <w:rPr>
          <w:rFonts w:ascii="Times New Roman" w:eastAsia="Times New Roman" w:hAnsi="Times New Roman" w:cs="Times New Roman"/>
          <w:b/>
          <w:bCs/>
        </w:rPr>
      </w:pPr>
      <w:r w:rsidRPr="00426C1E">
        <w:rPr>
          <w:rFonts w:ascii="Times New Roman" w:eastAsia="Times New Roman" w:hAnsi="Times New Roman" w:cs="Times New Roman"/>
          <w:b/>
          <w:bCs/>
        </w:rPr>
        <w:t xml:space="preserve">Molnár Imre alezredes, </w:t>
      </w:r>
    </w:p>
    <w:p w:rsidR="00426C1E" w:rsidRPr="00426C1E" w:rsidRDefault="00426C1E" w:rsidP="00426C1E">
      <w:pPr>
        <w:widowControl w:val="0"/>
        <w:spacing w:after="0" w:line="240" w:lineRule="auto"/>
        <w:jc w:val="right"/>
        <w:rPr>
          <w:rFonts w:ascii="Times New Roman" w:eastAsia="Times New Roman" w:hAnsi="Times New Roman" w:cs="Times New Roman"/>
          <w:bCs/>
        </w:rPr>
      </w:pPr>
      <w:r w:rsidRPr="00426C1E">
        <w:rPr>
          <w:rFonts w:ascii="Times New Roman" w:eastAsia="Times New Roman" w:hAnsi="Times New Roman" w:cs="Times New Roman"/>
          <w:bCs/>
        </w:rPr>
        <w:t>KTSK Testnevelő tanár, sk.</w:t>
      </w:r>
    </w:p>
    <w:p w:rsidR="00426C1E" w:rsidRDefault="00426C1E" w:rsidP="00426C1E"/>
    <w:p w:rsidR="009B01B1" w:rsidRDefault="009B01B1">
      <w:pPr>
        <w:spacing w:after="200" w:line="276" w:lineRule="auto"/>
        <w:rPr>
          <w:rFonts w:ascii="Times New Roman" w:hAnsi="Times New Roman" w:cs="Times New Roman"/>
          <w:sz w:val="24"/>
        </w:rPr>
      </w:pPr>
    </w:p>
    <w:p w:rsidR="00DF04E7" w:rsidRDefault="00DF04E7">
      <w:pPr>
        <w:spacing w:after="200" w:line="276" w:lineRule="auto"/>
        <w:rPr>
          <w:rFonts w:ascii="Times New Roman" w:hAnsi="Times New Roman" w:cs="Times New Roman"/>
          <w:sz w:val="24"/>
        </w:rPr>
      </w:pPr>
      <w:r>
        <w:rPr>
          <w:rFonts w:ascii="Times New Roman" w:hAnsi="Times New Roman" w:cs="Times New Roman"/>
          <w:sz w:val="24"/>
        </w:rPr>
        <w:br w:type="page"/>
      </w:r>
    </w:p>
    <w:tbl>
      <w:tblPr>
        <w:tblW w:w="11669" w:type="dxa"/>
        <w:tblInd w:w="113" w:type="dxa"/>
        <w:tblLook w:val="01E0" w:firstRow="1" w:lastRow="1" w:firstColumn="1" w:lastColumn="1" w:noHBand="0" w:noVBand="0"/>
      </w:tblPr>
      <w:tblGrid>
        <w:gridCol w:w="4855"/>
        <w:gridCol w:w="1620"/>
        <w:gridCol w:w="2597"/>
        <w:gridCol w:w="2597"/>
      </w:tblGrid>
      <w:tr w:rsidR="00D543A9" w:rsidRPr="00D543A9" w:rsidTr="00D543A9">
        <w:tc>
          <w:tcPr>
            <w:tcW w:w="4855" w:type="dxa"/>
            <w:tcBorders>
              <w:bottom w:val="single" w:sz="4" w:space="0" w:color="auto"/>
            </w:tcBorders>
          </w:tcPr>
          <w:p w:rsidR="00D543A9" w:rsidRPr="00D543A9" w:rsidRDefault="00D543A9" w:rsidP="00D543A9">
            <w:pPr>
              <w:spacing w:after="0" w:line="240" w:lineRule="auto"/>
              <w:jc w:val="center"/>
              <w:rPr>
                <w:rFonts w:ascii="Times New Roman" w:eastAsia="Times New Roman" w:hAnsi="Times New Roman" w:cs="Times New Roman"/>
                <w:b/>
                <w:smallCaps/>
                <w:lang w:eastAsia="hu-HU"/>
              </w:rPr>
            </w:pPr>
            <w:r w:rsidRPr="00D543A9">
              <w:rPr>
                <w:rFonts w:ascii="Times New Roman" w:eastAsia="Times New Roman" w:hAnsi="Times New Roman" w:cs="Times New Roman"/>
                <w:b/>
                <w:smallCaps/>
                <w:lang w:eastAsia="hu-HU"/>
              </w:rPr>
              <w:lastRenderedPageBreak/>
              <w:t>Nemzeti Közszolgálati Egyetem</w:t>
            </w:r>
          </w:p>
        </w:tc>
        <w:tc>
          <w:tcPr>
            <w:tcW w:w="1620" w:type="dxa"/>
          </w:tcPr>
          <w:p w:rsidR="00D543A9" w:rsidRPr="00D543A9" w:rsidRDefault="00D543A9" w:rsidP="00D543A9">
            <w:pPr>
              <w:spacing w:after="0" w:line="240" w:lineRule="auto"/>
              <w:jc w:val="both"/>
              <w:rPr>
                <w:rFonts w:ascii="Times New Roman" w:eastAsia="Times New Roman" w:hAnsi="Times New Roman" w:cs="Times New Roman"/>
                <w:lang w:eastAsia="hu-HU"/>
              </w:rPr>
            </w:pPr>
          </w:p>
        </w:tc>
        <w:tc>
          <w:tcPr>
            <w:tcW w:w="2597" w:type="dxa"/>
          </w:tcPr>
          <w:p w:rsidR="00D543A9" w:rsidRPr="00D543A9" w:rsidRDefault="00D543A9" w:rsidP="00D543A9">
            <w:pPr>
              <w:spacing w:after="0" w:line="240" w:lineRule="auto"/>
              <w:jc w:val="right"/>
              <w:rPr>
                <w:rFonts w:ascii="Times New Roman" w:eastAsia="Times New Roman" w:hAnsi="Times New Roman" w:cs="Times New Roman"/>
                <w:lang w:eastAsia="hu-HU"/>
              </w:rPr>
            </w:pPr>
          </w:p>
        </w:tc>
        <w:tc>
          <w:tcPr>
            <w:tcW w:w="2597" w:type="dxa"/>
          </w:tcPr>
          <w:p w:rsidR="00D543A9" w:rsidRPr="00D543A9" w:rsidRDefault="00D543A9" w:rsidP="00D543A9">
            <w:pPr>
              <w:spacing w:after="0" w:line="240" w:lineRule="auto"/>
              <w:jc w:val="right"/>
              <w:rPr>
                <w:rFonts w:ascii="Times New Roman" w:eastAsia="Times New Roman" w:hAnsi="Times New Roman" w:cs="Times New Roman"/>
                <w:lang w:eastAsia="hu-HU"/>
              </w:rPr>
            </w:pPr>
          </w:p>
        </w:tc>
      </w:tr>
      <w:tr w:rsidR="00D543A9" w:rsidRPr="00D543A9" w:rsidTr="00D543A9">
        <w:tc>
          <w:tcPr>
            <w:tcW w:w="4855" w:type="dxa"/>
            <w:tcBorders>
              <w:top w:val="single" w:sz="4" w:space="0" w:color="auto"/>
            </w:tcBorders>
          </w:tcPr>
          <w:p w:rsidR="00D543A9" w:rsidRPr="00D543A9" w:rsidRDefault="00D543A9" w:rsidP="00D543A9">
            <w:pPr>
              <w:spacing w:after="0" w:line="240" w:lineRule="auto"/>
              <w:jc w:val="center"/>
              <w:rPr>
                <w:rFonts w:ascii="Times New Roman" w:eastAsia="Times New Roman" w:hAnsi="Times New Roman" w:cs="Times New Roman"/>
                <w:b/>
                <w:lang w:eastAsia="hu-HU"/>
              </w:rPr>
            </w:pPr>
            <w:r w:rsidRPr="00D543A9">
              <w:rPr>
                <w:rFonts w:ascii="Times New Roman" w:eastAsia="Calibri" w:hAnsi="Times New Roman" w:cs="Times New Roman"/>
                <w:b/>
              </w:rPr>
              <w:t>Hadtudományi és Honvédtisztképző Kar</w:t>
            </w:r>
          </w:p>
        </w:tc>
        <w:tc>
          <w:tcPr>
            <w:tcW w:w="1620" w:type="dxa"/>
          </w:tcPr>
          <w:p w:rsidR="00D543A9" w:rsidRPr="00D543A9" w:rsidRDefault="00D543A9" w:rsidP="00D543A9">
            <w:pPr>
              <w:spacing w:after="0" w:line="240" w:lineRule="auto"/>
              <w:jc w:val="both"/>
              <w:rPr>
                <w:rFonts w:ascii="Times New Roman" w:eastAsia="Times New Roman" w:hAnsi="Times New Roman" w:cs="Times New Roman"/>
                <w:lang w:eastAsia="hu-HU"/>
              </w:rPr>
            </w:pPr>
          </w:p>
        </w:tc>
        <w:tc>
          <w:tcPr>
            <w:tcW w:w="2597" w:type="dxa"/>
          </w:tcPr>
          <w:p w:rsidR="00D543A9" w:rsidRPr="00D543A9" w:rsidRDefault="00D543A9" w:rsidP="00D543A9">
            <w:pPr>
              <w:spacing w:after="0" w:line="240" w:lineRule="auto"/>
              <w:jc w:val="both"/>
              <w:rPr>
                <w:rFonts w:ascii="Times New Roman" w:eastAsia="Times New Roman" w:hAnsi="Times New Roman" w:cs="Times New Roman"/>
                <w:lang w:eastAsia="hu-HU"/>
              </w:rPr>
            </w:pPr>
          </w:p>
        </w:tc>
        <w:tc>
          <w:tcPr>
            <w:tcW w:w="2597" w:type="dxa"/>
          </w:tcPr>
          <w:p w:rsidR="00D543A9" w:rsidRPr="00D543A9" w:rsidRDefault="00D543A9" w:rsidP="00D543A9">
            <w:pPr>
              <w:spacing w:after="0" w:line="240" w:lineRule="auto"/>
              <w:jc w:val="both"/>
              <w:rPr>
                <w:rFonts w:ascii="Times New Roman" w:eastAsia="Times New Roman" w:hAnsi="Times New Roman" w:cs="Times New Roman"/>
                <w:lang w:eastAsia="hu-HU"/>
              </w:rPr>
            </w:pPr>
          </w:p>
        </w:tc>
      </w:tr>
    </w:tbl>
    <w:p w:rsidR="00D543A9" w:rsidRPr="00D543A9" w:rsidRDefault="00D543A9" w:rsidP="00D543A9">
      <w:pPr>
        <w:widowControl w:val="0"/>
        <w:spacing w:before="120" w:after="120" w:line="240" w:lineRule="auto"/>
        <w:ind w:left="426" w:hanging="142"/>
        <w:jc w:val="center"/>
        <w:rPr>
          <w:rFonts w:ascii="Times New Roman" w:eastAsia="Times New Roman" w:hAnsi="Times New Roman" w:cs="Times New Roman"/>
          <w:b/>
          <w:bCs/>
        </w:rPr>
      </w:pPr>
    </w:p>
    <w:p w:rsidR="00D543A9" w:rsidRPr="00D543A9" w:rsidRDefault="00D543A9" w:rsidP="00D543A9">
      <w:pPr>
        <w:widowControl w:val="0"/>
        <w:spacing w:before="120" w:after="120" w:line="240" w:lineRule="auto"/>
        <w:ind w:left="426" w:hanging="142"/>
        <w:jc w:val="center"/>
        <w:rPr>
          <w:rFonts w:ascii="Times New Roman" w:eastAsia="Times New Roman" w:hAnsi="Times New Roman" w:cs="Times New Roman"/>
          <w:b/>
          <w:bCs/>
        </w:rPr>
      </w:pPr>
      <w:r w:rsidRPr="00D543A9">
        <w:rPr>
          <w:rFonts w:ascii="Times New Roman" w:eastAsia="Times New Roman" w:hAnsi="Times New Roman" w:cs="Times New Roman"/>
          <w:b/>
          <w:bCs/>
        </w:rPr>
        <w:t>TANTÁRGYI PROGRAM</w:t>
      </w:r>
    </w:p>
    <w:p w:rsidR="00D543A9" w:rsidRPr="00D543A9" w:rsidRDefault="00D543A9" w:rsidP="00980876">
      <w:pPr>
        <w:widowControl w:val="0"/>
        <w:numPr>
          <w:ilvl w:val="0"/>
          <w:numId w:val="840"/>
        </w:numPr>
        <w:tabs>
          <w:tab w:val="num" w:pos="567"/>
        </w:tabs>
        <w:spacing w:before="120" w:after="120" w:line="240" w:lineRule="auto"/>
        <w:ind w:left="426" w:hanging="142"/>
        <w:rPr>
          <w:rFonts w:ascii="Times New Roman" w:eastAsia="Times New Roman" w:hAnsi="Times New Roman" w:cs="Times New Roman"/>
          <w:bCs/>
        </w:rPr>
      </w:pPr>
      <w:r w:rsidRPr="00D543A9">
        <w:rPr>
          <w:rFonts w:ascii="Times New Roman" w:eastAsia="Times New Roman" w:hAnsi="Times New Roman" w:cs="Times New Roman"/>
          <w:b/>
          <w:bCs/>
        </w:rPr>
        <w:t xml:space="preserve">A tantárgy kódja: </w:t>
      </w:r>
      <w:r w:rsidRPr="00D543A9">
        <w:rPr>
          <w:rFonts w:ascii="Times New Roman" w:eastAsia="Calibri" w:hAnsi="Times New Roman" w:cs="Times New Roman"/>
          <w:bCs/>
        </w:rPr>
        <w:t>HKTSKA04</w:t>
      </w:r>
    </w:p>
    <w:p w:rsidR="00D543A9" w:rsidRPr="00D543A9" w:rsidRDefault="00D543A9" w:rsidP="00980876">
      <w:pPr>
        <w:widowControl w:val="0"/>
        <w:numPr>
          <w:ilvl w:val="0"/>
          <w:numId w:val="840"/>
        </w:numPr>
        <w:tabs>
          <w:tab w:val="num" w:pos="567"/>
        </w:tabs>
        <w:spacing w:before="120" w:after="120" w:line="240" w:lineRule="auto"/>
        <w:ind w:left="426" w:hanging="142"/>
        <w:rPr>
          <w:rFonts w:ascii="Times New Roman" w:eastAsia="Times New Roman" w:hAnsi="Times New Roman" w:cs="Times New Roman"/>
          <w:b/>
          <w:bCs/>
        </w:rPr>
      </w:pPr>
      <w:r w:rsidRPr="00D543A9">
        <w:rPr>
          <w:rFonts w:ascii="Times New Roman" w:eastAsia="Times New Roman" w:hAnsi="Times New Roman" w:cs="Times New Roman"/>
          <w:b/>
          <w:bCs/>
        </w:rPr>
        <w:t>A tantárgy megnevezése (magyarul):</w:t>
      </w:r>
      <w:r w:rsidRPr="00D543A9">
        <w:rPr>
          <w:rFonts w:ascii="Times New Roman" w:eastAsia="Times New Roman" w:hAnsi="Times New Roman" w:cs="Times New Roman"/>
          <w:bCs/>
        </w:rPr>
        <w:t xml:space="preserve"> </w:t>
      </w:r>
      <w:r w:rsidRPr="00D543A9">
        <w:rPr>
          <w:rFonts w:ascii="Times New Roman" w:eastAsia="Calibri" w:hAnsi="Times New Roman" w:cs="Times New Roman"/>
          <w:bCs/>
        </w:rPr>
        <w:t xml:space="preserve">Katonai testnevelés IV. </w:t>
      </w:r>
    </w:p>
    <w:p w:rsidR="00D543A9" w:rsidRPr="00D543A9" w:rsidRDefault="00D543A9" w:rsidP="00980876">
      <w:pPr>
        <w:widowControl w:val="0"/>
        <w:numPr>
          <w:ilvl w:val="0"/>
          <w:numId w:val="840"/>
        </w:numPr>
        <w:tabs>
          <w:tab w:val="num" w:pos="567"/>
        </w:tabs>
        <w:spacing w:before="120" w:after="120" w:line="240" w:lineRule="auto"/>
        <w:ind w:left="426" w:hanging="142"/>
        <w:rPr>
          <w:rFonts w:ascii="Times New Roman" w:eastAsia="Times New Roman" w:hAnsi="Times New Roman" w:cs="Times New Roman"/>
          <w:b/>
          <w:bCs/>
          <w:lang w:val="en-GB"/>
        </w:rPr>
      </w:pPr>
      <w:r w:rsidRPr="00D543A9">
        <w:rPr>
          <w:rFonts w:ascii="Times New Roman" w:eastAsia="Times New Roman" w:hAnsi="Times New Roman" w:cs="Times New Roman"/>
          <w:b/>
          <w:bCs/>
        </w:rPr>
        <w:t xml:space="preserve">A tantárgy megnevezése (angolul): </w:t>
      </w:r>
      <w:r w:rsidRPr="00D543A9">
        <w:rPr>
          <w:rFonts w:ascii="Times New Roman" w:eastAsia="Calibri" w:hAnsi="Times New Roman" w:cs="Times New Roman"/>
          <w:bCs/>
        </w:rPr>
        <w:t>Military Physical Education IV.</w:t>
      </w:r>
      <w:r w:rsidRPr="00D543A9">
        <w:rPr>
          <w:rFonts w:ascii="Times New Roman" w:eastAsia="Times New Roman" w:hAnsi="Times New Roman" w:cs="Times New Roman"/>
          <w:bCs/>
          <w:highlight w:val="lightGray"/>
        </w:rPr>
        <w:t xml:space="preserve"> </w:t>
      </w:r>
    </w:p>
    <w:p w:rsidR="00D543A9" w:rsidRPr="00D543A9" w:rsidRDefault="00D543A9" w:rsidP="00980876">
      <w:pPr>
        <w:widowControl w:val="0"/>
        <w:numPr>
          <w:ilvl w:val="0"/>
          <w:numId w:val="840"/>
        </w:numPr>
        <w:tabs>
          <w:tab w:val="num" w:pos="567"/>
        </w:tabs>
        <w:spacing w:before="120" w:after="120" w:line="240" w:lineRule="auto"/>
        <w:ind w:left="426" w:hanging="142"/>
        <w:rPr>
          <w:rFonts w:ascii="Times New Roman" w:eastAsia="Times New Roman" w:hAnsi="Times New Roman" w:cs="Times New Roman"/>
          <w:b/>
          <w:bCs/>
        </w:rPr>
      </w:pPr>
      <w:r w:rsidRPr="00D543A9">
        <w:rPr>
          <w:rFonts w:ascii="Times New Roman" w:eastAsia="Times New Roman" w:hAnsi="Times New Roman" w:cs="Times New Roman"/>
          <w:b/>
          <w:bCs/>
        </w:rPr>
        <w:t xml:space="preserve">Kreditérték és képzési karakter: </w:t>
      </w:r>
    </w:p>
    <w:p w:rsidR="00D543A9" w:rsidRPr="00D543A9" w:rsidRDefault="00D543A9" w:rsidP="00980876">
      <w:pPr>
        <w:widowControl w:val="0"/>
        <w:numPr>
          <w:ilvl w:val="1"/>
          <w:numId w:val="840"/>
        </w:numPr>
        <w:spacing w:before="120" w:after="120" w:line="240" w:lineRule="auto"/>
        <w:ind w:left="851" w:hanging="425"/>
        <w:contextualSpacing/>
        <w:rPr>
          <w:rFonts w:ascii="Times New Roman" w:eastAsia="Times New Roman" w:hAnsi="Times New Roman" w:cs="Times New Roman"/>
          <w:b/>
          <w:bCs/>
        </w:rPr>
      </w:pPr>
      <w:r w:rsidRPr="00D543A9">
        <w:rPr>
          <w:rFonts w:ascii="Times New Roman" w:eastAsia="Times New Roman" w:hAnsi="Times New Roman" w:cs="Times New Roman"/>
          <w:bCs/>
        </w:rPr>
        <w:t>2 kredit</w:t>
      </w:r>
    </w:p>
    <w:p w:rsidR="00D543A9" w:rsidRPr="00D543A9" w:rsidRDefault="00D543A9" w:rsidP="00980876">
      <w:pPr>
        <w:widowControl w:val="0"/>
        <w:numPr>
          <w:ilvl w:val="1"/>
          <w:numId w:val="840"/>
        </w:numPr>
        <w:spacing w:before="120" w:after="120" w:line="240" w:lineRule="auto"/>
        <w:ind w:left="850" w:hanging="425"/>
        <w:rPr>
          <w:rFonts w:ascii="Times New Roman" w:eastAsia="Times New Roman" w:hAnsi="Times New Roman" w:cs="Times New Roman"/>
          <w:b/>
          <w:bCs/>
        </w:rPr>
      </w:pPr>
      <w:r w:rsidRPr="00D543A9">
        <w:rPr>
          <w:rFonts w:ascii="Times New Roman" w:eastAsia="Times New Roman" w:hAnsi="Times New Roman" w:cs="Times New Roman"/>
          <w:bCs/>
        </w:rPr>
        <w:t>a tantárgy elméleti vagy gyakorlati jellegének mértéke: 100</w:t>
      </w:r>
      <w:r w:rsidRPr="00D543A9">
        <w:rPr>
          <w:rFonts w:ascii="Times New Roman" w:eastAsia="Times New Roman" w:hAnsi="Times New Roman" w:cs="Times New Roman"/>
          <w:b/>
          <w:bCs/>
        </w:rPr>
        <w:t>%</w:t>
      </w:r>
      <w:r w:rsidRPr="00D543A9">
        <w:rPr>
          <w:rFonts w:ascii="Times New Roman" w:eastAsia="Times New Roman" w:hAnsi="Times New Roman" w:cs="Times New Roman"/>
          <w:bCs/>
        </w:rPr>
        <w:t xml:space="preserve"> gyakorlat, </w:t>
      </w:r>
    </w:p>
    <w:p w:rsidR="00D543A9" w:rsidRPr="00D543A9" w:rsidRDefault="00D543A9" w:rsidP="00980876">
      <w:pPr>
        <w:widowControl w:val="0"/>
        <w:numPr>
          <w:ilvl w:val="0"/>
          <w:numId w:val="840"/>
        </w:numPr>
        <w:spacing w:before="120" w:after="120" w:line="240" w:lineRule="auto"/>
        <w:ind w:left="426" w:hanging="142"/>
        <w:jc w:val="both"/>
        <w:rPr>
          <w:rFonts w:ascii="Times New Roman" w:eastAsia="Times New Roman" w:hAnsi="Times New Roman" w:cs="Times New Roman"/>
          <w:bCs/>
        </w:rPr>
      </w:pPr>
      <w:r w:rsidRPr="00D543A9">
        <w:rPr>
          <w:rFonts w:ascii="Times New Roman" w:eastAsia="Times New Roman" w:hAnsi="Times New Roman" w:cs="Times New Roman"/>
          <w:b/>
          <w:bCs/>
        </w:rPr>
        <w:t xml:space="preserve">A szak(ok), szakirányok/specializációk megnevezése (ahol oktatják): </w:t>
      </w:r>
      <w:r w:rsidRPr="00D543A9">
        <w:rPr>
          <w:rFonts w:ascii="Times New Roman" w:eastAsia="Calibri" w:hAnsi="Times New Roman" w:cs="Times New Roman"/>
          <w:bCs/>
        </w:rPr>
        <w:t>Katonai Vezető-, Katonai Üzemeltetés-, Katonai Logisztika, Állami Légiközlekedési alapképzési szak.</w:t>
      </w:r>
      <w:r w:rsidRPr="00D543A9">
        <w:rPr>
          <w:rFonts w:ascii="Times New Roman" w:eastAsia="Times New Roman" w:hAnsi="Times New Roman" w:cs="Times New Roman"/>
          <w:bCs/>
          <w:highlight w:val="lightGray"/>
        </w:rPr>
        <w:t xml:space="preserve"> </w:t>
      </w:r>
    </w:p>
    <w:p w:rsidR="00D543A9" w:rsidRPr="00D543A9" w:rsidRDefault="00D543A9" w:rsidP="00980876">
      <w:pPr>
        <w:numPr>
          <w:ilvl w:val="0"/>
          <w:numId w:val="840"/>
        </w:numPr>
        <w:tabs>
          <w:tab w:val="right" w:pos="900"/>
          <w:tab w:val="center" w:pos="4536"/>
          <w:tab w:val="right" w:pos="9072"/>
        </w:tabs>
        <w:spacing w:before="120" w:after="0" w:line="240" w:lineRule="auto"/>
        <w:ind w:left="426" w:hanging="142"/>
        <w:rPr>
          <w:rFonts w:ascii="Times New Roman" w:eastAsia="Calibri" w:hAnsi="Times New Roman" w:cs="Times New Roman"/>
          <w:bCs/>
        </w:rPr>
      </w:pPr>
      <w:r w:rsidRPr="00D543A9">
        <w:rPr>
          <w:rFonts w:ascii="Times New Roman" w:eastAsia="Times New Roman" w:hAnsi="Times New Roman" w:cs="Times New Roman"/>
          <w:b/>
          <w:bCs/>
        </w:rPr>
        <w:t xml:space="preserve">Az oktatásért felelős oktatási szervezeti egység megnevezése: </w:t>
      </w:r>
      <w:r w:rsidRPr="00D543A9">
        <w:rPr>
          <w:rFonts w:ascii="Times New Roman" w:eastAsia="Calibri" w:hAnsi="Times New Roman" w:cs="Times New Roman"/>
          <w:bCs/>
        </w:rPr>
        <w:t>NKE HHK, Tatonai Testnevelési és Sportközpont</w:t>
      </w:r>
    </w:p>
    <w:p w:rsidR="00D543A9" w:rsidRPr="00D543A9" w:rsidRDefault="00D543A9" w:rsidP="00980876">
      <w:pPr>
        <w:numPr>
          <w:ilvl w:val="0"/>
          <w:numId w:val="840"/>
        </w:numPr>
        <w:tabs>
          <w:tab w:val="right" w:pos="900"/>
          <w:tab w:val="center" w:pos="4536"/>
          <w:tab w:val="right" w:pos="9072"/>
        </w:tabs>
        <w:spacing w:before="120" w:after="0" w:line="240" w:lineRule="auto"/>
        <w:ind w:left="426" w:hanging="142"/>
        <w:rPr>
          <w:rFonts w:ascii="Times New Roman" w:eastAsia="Calibri" w:hAnsi="Times New Roman" w:cs="Times New Roman"/>
          <w:bCs/>
        </w:rPr>
      </w:pPr>
      <w:r w:rsidRPr="00D543A9">
        <w:rPr>
          <w:rFonts w:ascii="Times New Roman" w:eastAsia="Times New Roman" w:hAnsi="Times New Roman" w:cs="Times New Roman"/>
          <w:b/>
          <w:bCs/>
        </w:rPr>
        <w:t>A tantárgyfelelős oktató neve, beosztása, tudományos fokozata:</w:t>
      </w:r>
      <w:r w:rsidRPr="00D543A9">
        <w:rPr>
          <w:rFonts w:ascii="Times New Roman" w:eastAsia="Times New Roman" w:hAnsi="Times New Roman" w:cs="Times New Roman"/>
          <w:bCs/>
        </w:rPr>
        <w:t xml:space="preserve"> </w:t>
      </w:r>
      <w:r w:rsidRPr="00D543A9">
        <w:rPr>
          <w:rFonts w:ascii="Times New Roman" w:eastAsia="Calibri" w:hAnsi="Times New Roman" w:cs="Times New Roman"/>
          <w:bCs/>
        </w:rPr>
        <w:t>Molnár Imre, Katonai Testnevelési és Sportközpont testnevelő tanár</w:t>
      </w:r>
      <w:r w:rsidRPr="00D543A9">
        <w:rPr>
          <w:rFonts w:ascii="Times New Roman" w:eastAsia="Times New Roman" w:hAnsi="Times New Roman" w:cs="Times New Roman"/>
          <w:bCs/>
          <w:highlight w:val="lightGray"/>
        </w:rPr>
        <w:t xml:space="preserve"> </w:t>
      </w:r>
    </w:p>
    <w:p w:rsidR="00D543A9" w:rsidRPr="00D543A9" w:rsidRDefault="00D543A9" w:rsidP="00980876">
      <w:pPr>
        <w:widowControl w:val="0"/>
        <w:numPr>
          <w:ilvl w:val="0"/>
          <w:numId w:val="840"/>
        </w:numPr>
        <w:spacing w:before="120" w:after="120" w:line="240" w:lineRule="auto"/>
        <w:ind w:left="426" w:hanging="142"/>
        <w:rPr>
          <w:rFonts w:ascii="Times New Roman" w:eastAsia="Times New Roman" w:hAnsi="Times New Roman" w:cs="Times New Roman"/>
          <w:bCs/>
        </w:rPr>
      </w:pPr>
      <w:r w:rsidRPr="00D543A9">
        <w:rPr>
          <w:rFonts w:ascii="Times New Roman" w:eastAsia="Times New Roman" w:hAnsi="Times New Roman" w:cs="Times New Roman"/>
          <w:b/>
          <w:bCs/>
        </w:rPr>
        <w:t>A tanórák száma és típusa</w:t>
      </w:r>
    </w:p>
    <w:p w:rsidR="00D543A9" w:rsidRPr="00D543A9" w:rsidRDefault="00D543A9" w:rsidP="00980876">
      <w:pPr>
        <w:widowControl w:val="0"/>
        <w:numPr>
          <w:ilvl w:val="1"/>
          <w:numId w:val="840"/>
        </w:numPr>
        <w:tabs>
          <w:tab w:val="num" w:pos="709"/>
          <w:tab w:val="num" w:pos="2069"/>
        </w:tabs>
        <w:spacing w:before="120" w:after="120" w:line="240" w:lineRule="auto"/>
        <w:ind w:left="851" w:hanging="425"/>
        <w:rPr>
          <w:rFonts w:ascii="Times New Roman" w:eastAsia="Times New Roman" w:hAnsi="Times New Roman" w:cs="Times New Roman"/>
          <w:bCs/>
        </w:rPr>
      </w:pPr>
      <w:r w:rsidRPr="00D543A9">
        <w:rPr>
          <w:rFonts w:ascii="Times New Roman" w:eastAsia="Times New Roman" w:hAnsi="Times New Roman" w:cs="Times New Roman"/>
          <w:bCs/>
        </w:rPr>
        <w:t>össz óraszám/félév: 28</w:t>
      </w:r>
    </w:p>
    <w:p w:rsidR="00D543A9" w:rsidRPr="00D543A9" w:rsidRDefault="00D543A9" w:rsidP="00980876">
      <w:pPr>
        <w:widowControl w:val="0"/>
        <w:numPr>
          <w:ilvl w:val="2"/>
          <w:numId w:val="840"/>
        </w:numPr>
        <w:tabs>
          <w:tab w:val="num" w:pos="709"/>
          <w:tab w:val="num" w:pos="1134"/>
        </w:tabs>
        <w:spacing w:before="120" w:after="120" w:line="240" w:lineRule="auto"/>
        <w:ind w:left="851" w:hanging="425"/>
        <w:rPr>
          <w:rFonts w:ascii="Times New Roman" w:eastAsia="Times New Roman" w:hAnsi="Times New Roman" w:cs="Times New Roman"/>
          <w:bCs/>
        </w:rPr>
      </w:pPr>
      <w:r w:rsidRPr="00D543A9">
        <w:rPr>
          <w:rFonts w:ascii="Times New Roman" w:eastAsia="Times New Roman" w:hAnsi="Times New Roman" w:cs="Times New Roman"/>
          <w:bCs/>
        </w:rPr>
        <w:t>nappali munkarend: 28 óra/félév (0 EA + 0 SZ + 28 GY)</w:t>
      </w:r>
    </w:p>
    <w:p w:rsidR="00D543A9" w:rsidRPr="00D543A9" w:rsidRDefault="00D543A9" w:rsidP="00980876">
      <w:pPr>
        <w:widowControl w:val="0"/>
        <w:numPr>
          <w:ilvl w:val="2"/>
          <w:numId w:val="840"/>
        </w:numPr>
        <w:tabs>
          <w:tab w:val="num" w:pos="709"/>
          <w:tab w:val="num" w:pos="1134"/>
        </w:tabs>
        <w:spacing w:before="120" w:after="120" w:line="240" w:lineRule="auto"/>
        <w:ind w:left="851" w:hanging="425"/>
        <w:rPr>
          <w:rFonts w:ascii="Times New Roman" w:eastAsia="Times New Roman" w:hAnsi="Times New Roman" w:cs="Times New Roman"/>
          <w:bCs/>
        </w:rPr>
      </w:pPr>
      <w:r w:rsidRPr="00D543A9">
        <w:rPr>
          <w:rFonts w:ascii="Times New Roman" w:eastAsia="Times New Roman" w:hAnsi="Times New Roman" w:cs="Times New Roman"/>
          <w:bCs/>
        </w:rPr>
        <w:t>levelező munkarend: -</w:t>
      </w:r>
    </w:p>
    <w:p w:rsidR="00D543A9" w:rsidRPr="00D543A9" w:rsidRDefault="00D543A9" w:rsidP="00980876">
      <w:pPr>
        <w:widowControl w:val="0"/>
        <w:numPr>
          <w:ilvl w:val="1"/>
          <w:numId w:val="840"/>
        </w:numPr>
        <w:tabs>
          <w:tab w:val="num" w:pos="709"/>
          <w:tab w:val="num" w:pos="2069"/>
        </w:tabs>
        <w:spacing w:before="120" w:after="120" w:line="240" w:lineRule="auto"/>
        <w:ind w:left="851" w:hanging="425"/>
        <w:rPr>
          <w:rFonts w:ascii="Times New Roman" w:eastAsia="Times New Roman" w:hAnsi="Times New Roman" w:cs="Times New Roman"/>
          <w:bCs/>
        </w:rPr>
      </w:pPr>
      <w:r w:rsidRPr="00D543A9">
        <w:rPr>
          <w:rFonts w:ascii="Times New Roman" w:eastAsia="Times New Roman" w:hAnsi="Times New Roman" w:cs="Times New Roman"/>
          <w:bCs/>
        </w:rPr>
        <w:t>heti óraszám - nappali munkarend: 2 óra/hét</w:t>
      </w:r>
    </w:p>
    <w:p w:rsidR="00D543A9" w:rsidRPr="00D543A9" w:rsidRDefault="00D543A9" w:rsidP="00980876">
      <w:pPr>
        <w:widowControl w:val="0"/>
        <w:numPr>
          <w:ilvl w:val="1"/>
          <w:numId w:val="840"/>
        </w:numPr>
        <w:tabs>
          <w:tab w:val="num" w:pos="709"/>
          <w:tab w:val="num" w:pos="2069"/>
        </w:tabs>
        <w:spacing w:before="120" w:after="120" w:line="240" w:lineRule="auto"/>
        <w:ind w:left="851" w:hanging="425"/>
        <w:rPr>
          <w:rFonts w:ascii="Times New Roman" w:eastAsia="Times New Roman" w:hAnsi="Times New Roman" w:cs="Times New Roman"/>
          <w:bCs/>
        </w:rPr>
      </w:pPr>
      <w:r w:rsidRPr="00D543A9">
        <w:rPr>
          <w:rFonts w:ascii="Times New Roman" w:eastAsia="Calibri" w:hAnsi="Times New Roman" w:cs="Times New Roman"/>
        </w:rPr>
        <w:t>Az ismeret átadásában alkalmazandó további sajátos módok, jellemzők:-</w:t>
      </w:r>
    </w:p>
    <w:p w:rsidR="00D543A9" w:rsidRPr="00D543A9" w:rsidRDefault="00D543A9" w:rsidP="00980876">
      <w:pPr>
        <w:widowControl w:val="0"/>
        <w:numPr>
          <w:ilvl w:val="0"/>
          <w:numId w:val="840"/>
        </w:numPr>
        <w:spacing w:before="120" w:after="120" w:line="240" w:lineRule="auto"/>
        <w:ind w:left="426" w:hanging="142"/>
        <w:rPr>
          <w:rFonts w:ascii="Times New Roman" w:eastAsia="Times New Roman" w:hAnsi="Times New Roman" w:cs="Times New Roman"/>
          <w:bCs/>
        </w:rPr>
      </w:pPr>
      <w:r w:rsidRPr="00D543A9">
        <w:rPr>
          <w:rFonts w:ascii="Times New Roman" w:eastAsia="Times New Roman" w:hAnsi="Times New Roman" w:cs="Times New Roman"/>
          <w:b/>
          <w:bCs/>
        </w:rPr>
        <w:t>A tantárgy szakmai tartalma (magyarul):</w:t>
      </w:r>
      <w:r w:rsidRPr="00D543A9">
        <w:rPr>
          <w:rFonts w:ascii="Times New Roman" w:eastAsia="Times New Roman" w:hAnsi="Times New Roman" w:cs="Times New Roman"/>
          <w:bCs/>
        </w:rPr>
        <w:t xml:space="preserve"> </w:t>
      </w:r>
      <w:r w:rsidRPr="00D543A9">
        <w:rPr>
          <w:rFonts w:ascii="Times New Roman" w:eastAsia="Calibri" w:hAnsi="Times New Roman" w:cs="Times New Roman"/>
          <w:bCs/>
        </w:rPr>
        <w:t xml:space="preserve">Kondicionális képességek fejlesztése. Emeltszintű katonai közelharc ismeretek elsajátítása. </w:t>
      </w:r>
    </w:p>
    <w:p w:rsidR="00D543A9" w:rsidRPr="00D543A9" w:rsidRDefault="00D543A9" w:rsidP="00D543A9">
      <w:pPr>
        <w:widowControl w:val="0"/>
        <w:tabs>
          <w:tab w:val="num" w:pos="426"/>
        </w:tabs>
        <w:spacing w:before="120" w:after="120" w:line="240" w:lineRule="auto"/>
        <w:ind w:left="426"/>
        <w:jc w:val="both"/>
        <w:rPr>
          <w:rFonts w:ascii="Times New Roman" w:eastAsia="Times New Roman" w:hAnsi="Times New Roman" w:cs="Times New Roman"/>
          <w:bCs/>
          <w:lang w:val="en-GB"/>
        </w:rPr>
      </w:pPr>
      <w:r w:rsidRPr="00D543A9">
        <w:rPr>
          <w:rFonts w:ascii="Times New Roman" w:eastAsia="Times New Roman" w:hAnsi="Times New Roman" w:cs="Times New Roman"/>
          <w:b/>
          <w:bCs/>
        </w:rPr>
        <w:t>A tantárgy szakmai tartalma (angolul) (</w:t>
      </w:r>
      <w:r w:rsidRPr="00D543A9">
        <w:rPr>
          <w:rFonts w:ascii="Times New Roman" w:eastAsia="Times New Roman" w:hAnsi="Times New Roman" w:cs="Times New Roman"/>
          <w:b/>
          <w:bCs/>
          <w:lang w:val="en-US"/>
        </w:rPr>
        <w:t>Course description</w:t>
      </w:r>
      <w:r w:rsidRPr="00D543A9">
        <w:rPr>
          <w:rFonts w:ascii="Times New Roman" w:eastAsia="Times New Roman" w:hAnsi="Times New Roman" w:cs="Times New Roman"/>
          <w:b/>
          <w:bCs/>
        </w:rPr>
        <w:t xml:space="preserve">): </w:t>
      </w:r>
      <w:r w:rsidRPr="00D543A9">
        <w:rPr>
          <w:rFonts w:ascii="Times New Roman" w:eastAsia="Calibri" w:hAnsi="Times New Roman" w:cs="Times New Roman"/>
          <w:lang w:val="en-GB"/>
        </w:rPr>
        <w:t xml:space="preserve">Development of physical skills, </w:t>
      </w:r>
      <w:r w:rsidRPr="00D543A9">
        <w:rPr>
          <w:rFonts w:ascii="Times New Roman" w:eastAsia="Times New Roman" w:hAnsi="Times New Roman" w:cs="Times New Roman"/>
          <w:bCs/>
          <w:lang w:val="en-US"/>
        </w:rPr>
        <w:t>acquiring</w:t>
      </w:r>
      <w:r w:rsidRPr="00D543A9">
        <w:rPr>
          <w:rFonts w:ascii="Times New Roman" w:eastAsia="Calibri" w:hAnsi="Times New Roman" w:cs="Times New Roman"/>
          <w:lang w:val="en-GB"/>
        </w:rPr>
        <w:t xml:space="preserve"> advanced military close combat skills.</w:t>
      </w:r>
    </w:p>
    <w:p w:rsidR="00D543A9" w:rsidRPr="00D543A9" w:rsidRDefault="00D543A9" w:rsidP="00980876">
      <w:pPr>
        <w:widowControl w:val="0"/>
        <w:numPr>
          <w:ilvl w:val="0"/>
          <w:numId w:val="840"/>
        </w:numPr>
        <w:tabs>
          <w:tab w:val="num" w:pos="1418"/>
        </w:tabs>
        <w:spacing w:before="120" w:after="120" w:line="240" w:lineRule="auto"/>
        <w:ind w:left="426" w:hanging="142"/>
        <w:rPr>
          <w:rFonts w:ascii="Times New Roman" w:eastAsia="Times New Roman" w:hAnsi="Times New Roman" w:cs="Times New Roman"/>
          <w:bCs/>
        </w:rPr>
      </w:pPr>
      <w:r w:rsidRPr="00D543A9">
        <w:rPr>
          <w:rFonts w:ascii="Times New Roman" w:eastAsia="Times New Roman" w:hAnsi="Times New Roman" w:cs="Times New Roman"/>
          <w:b/>
          <w:bCs/>
        </w:rPr>
        <w:t xml:space="preserve">Elérendő kompetenciák (magyarul): </w:t>
      </w:r>
    </w:p>
    <w:p w:rsidR="00D543A9" w:rsidRPr="00D543A9" w:rsidRDefault="00D543A9" w:rsidP="00D543A9">
      <w:pPr>
        <w:widowControl w:val="0"/>
        <w:spacing w:before="120" w:after="120" w:line="240" w:lineRule="auto"/>
        <w:ind w:left="426"/>
        <w:jc w:val="both"/>
        <w:rPr>
          <w:rFonts w:ascii="Times New Roman" w:eastAsia="Times New Roman" w:hAnsi="Times New Roman" w:cs="Times New Roman"/>
          <w:b/>
          <w:bCs/>
        </w:rPr>
      </w:pPr>
      <w:r w:rsidRPr="00D543A9">
        <w:rPr>
          <w:rFonts w:ascii="Times New Roman" w:eastAsia="Times New Roman" w:hAnsi="Times New Roman" w:cs="Times New Roman"/>
          <w:b/>
          <w:bCs/>
        </w:rPr>
        <w:t xml:space="preserve">Tudása: </w:t>
      </w:r>
    </w:p>
    <w:p w:rsidR="00D543A9" w:rsidRPr="00D543A9" w:rsidRDefault="00D543A9" w:rsidP="00C14833">
      <w:pPr>
        <w:widowControl w:val="0"/>
        <w:numPr>
          <w:ilvl w:val="0"/>
          <w:numId w:val="150"/>
        </w:numPr>
        <w:spacing w:before="120" w:after="120" w:line="240" w:lineRule="auto"/>
        <w:contextualSpacing/>
        <w:rPr>
          <w:rFonts w:ascii="Times New Roman" w:eastAsia="Times New Roman" w:hAnsi="Times New Roman" w:cs="Times New Roman"/>
          <w:bCs/>
        </w:rPr>
      </w:pPr>
      <w:r w:rsidRPr="00D543A9">
        <w:rPr>
          <w:rFonts w:ascii="Times New Roman" w:eastAsia="Times New Roman" w:hAnsi="Times New Roman" w:cs="Times New Roman"/>
          <w:bCs/>
        </w:rPr>
        <w:t xml:space="preserve">Fejleszteni a közelharchoz szükséges kondicionális képességeket. </w:t>
      </w:r>
    </w:p>
    <w:p w:rsidR="00D543A9" w:rsidRPr="00D543A9" w:rsidRDefault="00D543A9" w:rsidP="00C14833">
      <w:pPr>
        <w:widowControl w:val="0"/>
        <w:numPr>
          <w:ilvl w:val="0"/>
          <w:numId w:val="150"/>
        </w:numPr>
        <w:spacing w:before="120" w:after="120" w:line="240" w:lineRule="auto"/>
        <w:contextualSpacing/>
        <w:rPr>
          <w:rFonts w:ascii="Times New Roman" w:eastAsia="Times New Roman" w:hAnsi="Times New Roman" w:cs="Times New Roman"/>
          <w:bCs/>
        </w:rPr>
      </w:pPr>
      <w:r w:rsidRPr="00D543A9">
        <w:rPr>
          <w:rFonts w:ascii="Times New Roman" w:eastAsia="Times New Roman" w:hAnsi="Times New Roman" w:cs="Times New Roman"/>
          <w:bCs/>
        </w:rPr>
        <w:t xml:space="preserve">A hallgatók szituációs helyzetekben alkalmazzák az alapszintű közelharc oktatásban szerzett ismereteiket. </w:t>
      </w:r>
    </w:p>
    <w:p w:rsidR="00D543A9" w:rsidRPr="00D543A9" w:rsidRDefault="00D543A9" w:rsidP="00C14833">
      <w:pPr>
        <w:widowControl w:val="0"/>
        <w:numPr>
          <w:ilvl w:val="0"/>
          <w:numId w:val="150"/>
        </w:numPr>
        <w:spacing w:before="120" w:after="120" w:line="240" w:lineRule="auto"/>
        <w:contextualSpacing/>
        <w:rPr>
          <w:rFonts w:ascii="Times New Roman" w:eastAsia="Times New Roman" w:hAnsi="Times New Roman" w:cs="Times New Roman"/>
          <w:bCs/>
        </w:rPr>
      </w:pPr>
      <w:r w:rsidRPr="00D543A9">
        <w:rPr>
          <w:rFonts w:ascii="Times New Roman" w:eastAsia="Times New Roman" w:hAnsi="Times New Roman" w:cs="Times New Roman"/>
          <w:bCs/>
        </w:rPr>
        <w:t xml:space="preserve">A NKE honvéd tisztjelöltjei bevethetők legyenek a NATO feladatok speciális ismereteket követelő teljesítésére, nem csak tradicionális megsemmisítő, hanem őrzésvédelmi és katonai rendészeti esetekre is. </w:t>
      </w:r>
    </w:p>
    <w:p w:rsidR="00D543A9" w:rsidRPr="00D543A9" w:rsidRDefault="00D543A9" w:rsidP="00C14833">
      <w:pPr>
        <w:widowControl w:val="0"/>
        <w:numPr>
          <w:ilvl w:val="0"/>
          <w:numId w:val="150"/>
        </w:numPr>
        <w:spacing w:before="120" w:after="120" w:line="240" w:lineRule="auto"/>
        <w:ind w:left="782" w:hanging="357"/>
        <w:rPr>
          <w:rFonts w:ascii="Times New Roman" w:eastAsia="Times New Roman" w:hAnsi="Times New Roman" w:cs="Times New Roman"/>
          <w:bCs/>
        </w:rPr>
      </w:pPr>
      <w:r w:rsidRPr="00D543A9">
        <w:rPr>
          <w:rFonts w:ascii="Times New Roman" w:eastAsia="Times New Roman" w:hAnsi="Times New Roman" w:cs="Times New Roman"/>
          <w:bCs/>
        </w:rPr>
        <w:t xml:space="preserve">Ismerjék meg a maroklőfegyverek közelharc jellemző használatát és a vele való fenyegetett helyzetek semlegesítésének módjait.   </w:t>
      </w:r>
    </w:p>
    <w:p w:rsidR="00D543A9" w:rsidRPr="00D543A9" w:rsidRDefault="00D543A9" w:rsidP="00D543A9">
      <w:pPr>
        <w:widowControl w:val="0"/>
        <w:spacing w:before="120" w:after="120" w:line="240" w:lineRule="auto"/>
        <w:ind w:left="426"/>
        <w:jc w:val="both"/>
        <w:rPr>
          <w:rFonts w:ascii="Times New Roman" w:eastAsia="Times New Roman" w:hAnsi="Times New Roman" w:cs="Times New Roman"/>
          <w:b/>
          <w:bCs/>
        </w:rPr>
      </w:pPr>
      <w:r w:rsidRPr="00D543A9">
        <w:rPr>
          <w:rFonts w:ascii="Times New Roman" w:eastAsia="Times New Roman" w:hAnsi="Times New Roman" w:cs="Times New Roman"/>
          <w:b/>
          <w:bCs/>
        </w:rPr>
        <w:t xml:space="preserve">Képességei: </w:t>
      </w:r>
    </w:p>
    <w:p w:rsidR="00D543A9" w:rsidRPr="00D543A9" w:rsidRDefault="00D543A9" w:rsidP="00C14833">
      <w:pPr>
        <w:widowControl w:val="0"/>
        <w:numPr>
          <w:ilvl w:val="0"/>
          <w:numId w:val="150"/>
        </w:numPr>
        <w:spacing w:before="120" w:after="120" w:line="240" w:lineRule="auto"/>
        <w:contextualSpacing/>
        <w:rPr>
          <w:rFonts w:ascii="Times New Roman" w:eastAsia="Times New Roman" w:hAnsi="Times New Roman" w:cs="Times New Roman"/>
          <w:bCs/>
        </w:rPr>
      </w:pPr>
      <w:r w:rsidRPr="00D543A9">
        <w:rPr>
          <w:rFonts w:ascii="Times New Roman" w:eastAsia="Times New Roman" w:hAnsi="Times New Roman" w:cs="Times New Roman"/>
          <w:bCs/>
        </w:rPr>
        <w:t xml:space="preserve">Felismeri a szakterületi alapproblémákat. </w:t>
      </w:r>
    </w:p>
    <w:p w:rsidR="00D543A9" w:rsidRPr="00D543A9" w:rsidRDefault="00D543A9" w:rsidP="00C14833">
      <w:pPr>
        <w:widowControl w:val="0"/>
        <w:numPr>
          <w:ilvl w:val="0"/>
          <w:numId w:val="150"/>
        </w:numPr>
        <w:spacing w:before="120" w:after="120" w:line="240" w:lineRule="auto"/>
        <w:contextualSpacing/>
        <w:rPr>
          <w:rFonts w:ascii="Times New Roman" w:eastAsia="Times New Roman" w:hAnsi="Times New Roman" w:cs="Times New Roman"/>
          <w:bCs/>
        </w:rPr>
      </w:pPr>
      <w:r w:rsidRPr="00D543A9">
        <w:rPr>
          <w:rFonts w:ascii="Times New Roman" w:eastAsia="Times New Roman" w:hAnsi="Times New Roman" w:cs="Times New Roman"/>
          <w:bCs/>
        </w:rPr>
        <w:t xml:space="preserve">Kiválasztja és helyesen alkalmazza a megfelelő sporttudományi adatfelvételi elemző módszereket. </w:t>
      </w:r>
    </w:p>
    <w:p w:rsidR="00D543A9" w:rsidRPr="00D543A9" w:rsidRDefault="00D543A9" w:rsidP="00C14833">
      <w:pPr>
        <w:widowControl w:val="0"/>
        <w:numPr>
          <w:ilvl w:val="0"/>
          <w:numId w:val="150"/>
        </w:numPr>
        <w:spacing w:before="120" w:after="120" w:line="240" w:lineRule="auto"/>
        <w:ind w:left="782" w:hanging="357"/>
        <w:rPr>
          <w:rFonts w:ascii="Times New Roman" w:eastAsia="Times New Roman" w:hAnsi="Times New Roman" w:cs="Times New Roman"/>
          <w:bCs/>
        </w:rPr>
      </w:pPr>
      <w:r w:rsidRPr="00D543A9">
        <w:rPr>
          <w:rFonts w:ascii="Times New Roman" w:eastAsia="Times New Roman" w:hAnsi="Times New Roman" w:cs="Times New Roman"/>
          <w:bCs/>
        </w:rPr>
        <w:t>Képes a konfliktuskezelési módszerek közötti választásra, a hatékony kommunikációra.</w:t>
      </w:r>
    </w:p>
    <w:p w:rsidR="00D543A9" w:rsidRPr="00D543A9" w:rsidRDefault="00D543A9" w:rsidP="00D543A9">
      <w:pPr>
        <w:widowControl w:val="0"/>
        <w:spacing w:before="120" w:after="120" w:line="240" w:lineRule="auto"/>
        <w:ind w:left="426"/>
        <w:rPr>
          <w:rFonts w:ascii="Times New Roman" w:eastAsia="Times New Roman" w:hAnsi="Times New Roman" w:cs="Times New Roman"/>
          <w:b/>
          <w:bCs/>
        </w:rPr>
      </w:pPr>
      <w:r w:rsidRPr="00D543A9">
        <w:rPr>
          <w:rFonts w:ascii="Times New Roman" w:eastAsia="Times New Roman" w:hAnsi="Times New Roman" w:cs="Times New Roman"/>
          <w:b/>
          <w:bCs/>
        </w:rPr>
        <w:t xml:space="preserve">Attitűdje: </w:t>
      </w:r>
    </w:p>
    <w:p w:rsidR="00D543A9" w:rsidRPr="00D543A9" w:rsidRDefault="00D543A9" w:rsidP="00C14833">
      <w:pPr>
        <w:widowControl w:val="0"/>
        <w:numPr>
          <w:ilvl w:val="0"/>
          <w:numId w:val="150"/>
        </w:numPr>
        <w:spacing w:before="120" w:after="120" w:line="240" w:lineRule="auto"/>
        <w:contextualSpacing/>
        <w:rPr>
          <w:rFonts w:ascii="Times New Roman" w:eastAsia="Times New Roman" w:hAnsi="Times New Roman" w:cs="Times New Roman"/>
          <w:bCs/>
        </w:rPr>
      </w:pPr>
      <w:r w:rsidRPr="00D543A9">
        <w:rPr>
          <w:rFonts w:ascii="Times New Roman" w:eastAsia="Times New Roman" w:hAnsi="Times New Roman" w:cs="Times New Roman"/>
          <w:bCs/>
        </w:rPr>
        <w:t>Törekszik a problémák megoldására sporttudomány területén.</w:t>
      </w:r>
    </w:p>
    <w:p w:rsidR="00D543A9" w:rsidRPr="00D543A9" w:rsidRDefault="00D543A9" w:rsidP="00D543A9">
      <w:pPr>
        <w:widowControl w:val="0"/>
        <w:spacing w:before="120" w:after="120" w:line="240" w:lineRule="auto"/>
        <w:ind w:left="426"/>
        <w:rPr>
          <w:rFonts w:ascii="Times New Roman" w:eastAsia="Times New Roman" w:hAnsi="Times New Roman" w:cs="Times New Roman"/>
          <w:b/>
          <w:bCs/>
        </w:rPr>
      </w:pPr>
      <w:r w:rsidRPr="00D543A9">
        <w:rPr>
          <w:rFonts w:ascii="Times New Roman" w:eastAsia="Times New Roman" w:hAnsi="Times New Roman" w:cs="Times New Roman"/>
          <w:b/>
          <w:bCs/>
        </w:rPr>
        <w:lastRenderedPageBreak/>
        <w:t xml:space="preserve">Autonómiája és felelőssége: </w:t>
      </w:r>
    </w:p>
    <w:p w:rsidR="00D543A9" w:rsidRPr="00D543A9" w:rsidRDefault="00D543A9" w:rsidP="00C14833">
      <w:pPr>
        <w:widowControl w:val="0"/>
        <w:numPr>
          <w:ilvl w:val="0"/>
          <w:numId w:val="150"/>
        </w:numPr>
        <w:spacing w:before="120" w:after="120" w:line="240" w:lineRule="auto"/>
        <w:ind w:left="782" w:hanging="357"/>
        <w:rPr>
          <w:rFonts w:ascii="Times New Roman" w:eastAsia="Times New Roman" w:hAnsi="Times New Roman" w:cs="Times New Roman"/>
          <w:bCs/>
        </w:rPr>
      </w:pPr>
      <w:r w:rsidRPr="00D543A9">
        <w:rPr>
          <w:rFonts w:ascii="Times New Roman" w:eastAsia="Times New Roman" w:hAnsi="Times New Roman" w:cs="Times New Roman"/>
          <w:bCs/>
        </w:rPr>
        <w:t>Képviseli</w:t>
      </w:r>
      <w:r w:rsidRPr="00D543A9">
        <w:rPr>
          <w:rFonts w:ascii="Times New Roman" w:eastAsia="Times New Roman" w:hAnsi="Times New Roman" w:cs="Times New Roman"/>
          <w:b/>
          <w:bCs/>
        </w:rPr>
        <w:t xml:space="preserve"> </w:t>
      </w:r>
      <w:r w:rsidRPr="00D543A9">
        <w:rPr>
          <w:rFonts w:ascii="Times New Roman" w:eastAsia="Times New Roman" w:hAnsi="Times New Roman" w:cs="Times New Roman"/>
          <w:bCs/>
        </w:rPr>
        <w:t>szakmáját fórumokon, teljes mértékben együttműködik a szakmai és civil szervezetekkel.</w:t>
      </w:r>
    </w:p>
    <w:p w:rsidR="00D543A9" w:rsidRPr="00D543A9" w:rsidRDefault="00D543A9" w:rsidP="00D543A9">
      <w:pPr>
        <w:widowControl w:val="0"/>
        <w:spacing w:before="120" w:after="120" w:line="240" w:lineRule="auto"/>
        <w:ind w:left="426"/>
        <w:rPr>
          <w:rFonts w:ascii="Times New Roman" w:eastAsia="Times New Roman" w:hAnsi="Times New Roman" w:cs="Times New Roman"/>
          <w:b/>
          <w:bCs/>
          <w:lang w:val="en-US"/>
        </w:rPr>
      </w:pPr>
      <w:r w:rsidRPr="00D543A9">
        <w:rPr>
          <w:rFonts w:ascii="Times New Roman" w:eastAsia="Times New Roman" w:hAnsi="Times New Roman" w:cs="Times New Roman"/>
          <w:b/>
          <w:bCs/>
        </w:rPr>
        <w:t>Elérendő kompetenciák (angolul) (</w:t>
      </w:r>
      <w:r w:rsidRPr="00D543A9">
        <w:rPr>
          <w:rFonts w:ascii="Times New Roman" w:eastAsia="Times New Roman" w:hAnsi="Times New Roman" w:cs="Times New Roman"/>
          <w:b/>
          <w:bCs/>
          <w:lang w:val="en-US"/>
        </w:rPr>
        <w:t xml:space="preserve">Competences – English): </w:t>
      </w:r>
    </w:p>
    <w:p w:rsidR="00D543A9" w:rsidRPr="00D543A9" w:rsidRDefault="00D543A9" w:rsidP="00D543A9">
      <w:pPr>
        <w:widowControl w:val="0"/>
        <w:spacing w:before="120" w:after="120" w:line="240" w:lineRule="auto"/>
        <w:ind w:left="426"/>
        <w:rPr>
          <w:rFonts w:ascii="Times New Roman" w:eastAsia="Times New Roman" w:hAnsi="Times New Roman" w:cs="Times New Roman"/>
          <w:b/>
          <w:bCs/>
        </w:rPr>
      </w:pPr>
      <w:r w:rsidRPr="00D543A9">
        <w:rPr>
          <w:rFonts w:ascii="Times New Roman" w:eastAsia="Times New Roman" w:hAnsi="Times New Roman" w:cs="Times New Roman"/>
          <w:b/>
          <w:bCs/>
        </w:rPr>
        <w:t xml:space="preserve">Knowledge: </w:t>
      </w:r>
    </w:p>
    <w:p w:rsidR="00D543A9" w:rsidRPr="00D543A9" w:rsidRDefault="00D543A9" w:rsidP="00C14833">
      <w:pPr>
        <w:numPr>
          <w:ilvl w:val="0"/>
          <w:numId w:val="150"/>
        </w:numPr>
        <w:spacing w:after="0" w:line="240" w:lineRule="auto"/>
        <w:ind w:left="851"/>
        <w:rPr>
          <w:rFonts w:ascii="Times New Roman" w:eastAsia="Calibri" w:hAnsi="Times New Roman" w:cs="Times New Roman"/>
          <w:lang w:val="en-GB"/>
        </w:rPr>
      </w:pPr>
      <w:r w:rsidRPr="00D543A9">
        <w:rPr>
          <w:rFonts w:ascii="Times New Roman" w:eastAsia="Calibri" w:hAnsi="Times New Roman" w:cs="Times New Roman"/>
          <w:lang w:val="en-GB"/>
        </w:rPr>
        <w:t>To develop the physical skills needed for military close combat.</w:t>
      </w:r>
    </w:p>
    <w:p w:rsidR="00D543A9" w:rsidRPr="00D543A9" w:rsidRDefault="00D543A9" w:rsidP="00C14833">
      <w:pPr>
        <w:numPr>
          <w:ilvl w:val="0"/>
          <w:numId w:val="150"/>
        </w:numPr>
        <w:spacing w:after="0" w:line="240" w:lineRule="auto"/>
        <w:ind w:left="851"/>
        <w:rPr>
          <w:rFonts w:ascii="Times New Roman" w:eastAsia="Calibri" w:hAnsi="Times New Roman" w:cs="Times New Roman"/>
          <w:lang w:val="en-GB"/>
        </w:rPr>
      </w:pPr>
      <w:r w:rsidRPr="00D543A9">
        <w:rPr>
          <w:rFonts w:ascii="Times New Roman" w:eastAsia="Calibri" w:hAnsi="Times New Roman" w:cs="Times New Roman"/>
          <w:lang w:val="en-GB"/>
        </w:rPr>
        <w:t xml:space="preserve">Students apply their knowledge of basic close combat training in situational incidents. </w:t>
      </w:r>
    </w:p>
    <w:p w:rsidR="00D543A9" w:rsidRPr="00D543A9" w:rsidRDefault="00D543A9" w:rsidP="00C14833">
      <w:pPr>
        <w:numPr>
          <w:ilvl w:val="0"/>
          <w:numId w:val="150"/>
        </w:numPr>
        <w:spacing w:after="0" w:line="240" w:lineRule="auto"/>
        <w:ind w:left="851"/>
        <w:rPr>
          <w:rFonts w:ascii="Times New Roman" w:eastAsia="Calibri" w:hAnsi="Times New Roman" w:cs="Times New Roman"/>
          <w:lang w:val="en-GB"/>
        </w:rPr>
      </w:pPr>
      <w:r w:rsidRPr="00D543A9">
        <w:rPr>
          <w:rFonts w:ascii="Times New Roman" w:eastAsia="Calibri" w:hAnsi="Times New Roman" w:cs="Times New Roman"/>
          <w:lang w:val="en-GB"/>
        </w:rPr>
        <w:t>The officer cadets of NUPS could be deployed to perform NATO missions requiring specialized knowledge, not only for traditional destruction, but also for guard and military policing.</w:t>
      </w:r>
    </w:p>
    <w:p w:rsidR="00D543A9" w:rsidRPr="00D543A9" w:rsidRDefault="00D543A9" w:rsidP="00C14833">
      <w:pPr>
        <w:numPr>
          <w:ilvl w:val="0"/>
          <w:numId w:val="150"/>
        </w:numPr>
        <w:spacing w:after="0" w:line="240" w:lineRule="auto"/>
        <w:ind w:left="851"/>
        <w:rPr>
          <w:rFonts w:ascii="Times New Roman" w:eastAsia="Calibri" w:hAnsi="Times New Roman" w:cs="Times New Roman"/>
          <w:lang w:val="en-GB"/>
        </w:rPr>
      </w:pPr>
      <w:r w:rsidRPr="00D543A9">
        <w:rPr>
          <w:rFonts w:ascii="Times New Roman" w:eastAsia="Calibri" w:hAnsi="Times New Roman" w:cs="Times New Roman"/>
          <w:lang w:val="en-GB"/>
        </w:rPr>
        <w:t>Become familiar with the typical use of handguns in close combat and the ways to counteract threat situations.</w:t>
      </w:r>
    </w:p>
    <w:p w:rsidR="00D543A9" w:rsidRPr="00D543A9" w:rsidRDefault="00D543A9" w:rsidP="00D543A9">
      <w:pPr>
        <w:widowControl w:val="0"/>
        <w:spacing w:before="120" w:after="120" w:line="240" w:lineRule="auto"/>
        <w:ind w:left="426"/>
        <w:rPr>
          <w:rFonts w:ascii="Times New Roman" w:eastAsia="Times New Roman" w:hAnsi="Times New Roman" w:cs="Times New Roman"/>
          <w:b/>
          <w:bCs/>
        </w:rPr>
      </w:pPr>
      <w:r w:rsidRPr="00D543A9">
        <w:rPr>
          <w:rFonts w:ascii="Times New Roman" w:eastAsia="Times New Roman" w:hAnsi="Times New Roman" w:cs="Times New Roman"/>
          <w:b/>
          <w:bCs/>
        </w:rPr>
        <w:t xml:space="preserve">Capabilities: </w:t>
      </w:r>
    </w:p>
    <w:p w:rsidR="00D543A9" w:rsidRPr="00D543A9" w:rsidRDefault="00D543A9" w:rsidP="00C14833">
      <w:pPr>
        <w:numPr>
          <w:ilvl w:val="0"/>
          <w:numId w:val="15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cs="Times New Roman"/>
          <w:lang w:val="en-GB"/>
        </w:rPr>
      </w:pPr>
      <w:r w:rsidRPr="00D543A9">
        <w:rPr>
          <w:rFonts w:ascii="Times New Roman" w:eastAsia="Times New Roman" w:hAnsi="Times New Roman" w:cs="Times New Roman"/>
          <w:lang w:val="en-GB"/>
        </w:rPr>
        <w:t xml:space="preserve">Recognizes basic issues in the field. </w:t>
      </w:r>
    </w:p>
    <w:p w:rsidR="00D543A9" w:rsidRPr="00D543A9" w:rsidRDefault="00D543A9" w:rsidP="00C14833">
      <w:pPr>
        <w:numPr>
          <w:ilvl w:val="0"/>
          <w:numId w:val="15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cs="Times New Roman"/>
          <w:lang w:val="en-GB"/>
        </w:rPr>
      </w:pPr>
      <w:r w:rsidRPr="00D543A9">
        <w:rPr>
          <w:rFonts w:ascii="Times New Roman" w:eastAsia="Times New Roman" w:hAnsi="Times New Roman" w:cs="Times New Roman"/>
          <w:lang w:val="en-GB"/>
        </w:rPr>
        <w:t>Selects and correctly applies the appropriate sports science data analysis methods.</w:t>
      </w:r>
    </w:p>
    <w:p w:rsidR="00D543A9" w:rsidRPr="00D543A9" w:rsidRDefault="00D543A9" w:rsidP="00C14833">
      <w:pPr>
        <w:numPr>
          <w:ilvl w:val="0"/>
          <w:numId w:val="15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cs="Times New Roman"/>
          <w:lang w:val="en-GB"/>
        </w:rPr>
      </w:pPr>
      <w:r w:rsidRPr="00D543A9">
        <w:rPr>
          <w:rFonts w:ascii="Times New Roman" w:eastAsia="Times New Roman" w:hAnsi="Times New Roman" w:cs="Times New Roman"/>
          <w:lang w:val="en-GB"/>
        </w:rPr>
        <w:t xml:space="preserve">They can choose between conflict management methods and to communicate effectively. </w:t>
      </w:r>
    </w:p>
    <w:p w:rsidR="00D543A9" w:rsidRPr="00D543A9" w:rsidRDefault="00D543A9" w:rsidP="00D543A9">
      <w:pPr>
        <w:widowControl w:val="0"/>
        <w:spacing w:before="120" w:after="120" w:line="240" w:lineRule="auto"/>
        <w:ind w:left="426"/>
        <w:rPr>
          <w:rFonts w:ascii="Times New Roman" w:eastAsia="Times New Roman" w:hAnsi="Times New Roman" w:cs="Times New Roman"/>
          <w:b/>
          <w:bCs/>
        </w:rPr>
      </w:pPr>
      <w:r w:rsidRPr="00D543A9">
        <w:rPr>
          <w:rFonts w:ascii="Times New Roman" w:eastAsia="Times New Roman" w:hAnsi="Times New Roman" w:cs="Times New Roman"/>
          <w:b/>
          <w:bCs/>
        </w:rPr>
        <w:t xml:space="preserve">Attitude: </w:t>
      </w:r>
    </w:p>
    <w:p w:rsidR="00D543A9" w:rsidRPr="00D543A9" w:rsidRDefault="00D543A9" w:rsidP="00C14833">
      <w:pPr>
        <w:numPr>
          <w:ilvl w:val="0"/>
          <w:numId w:val="150"/>
        </w:numPr>
        <w:spacing w:after="0" w:line="240" w:lineRule="auto"/>
        <w:rPr>
          <w:rFonts w:ascii="Times New Roman" w:eastAsia="Times New Roman" w:hAnsi="Times New Roman" w:cs="Times New Roman"/>
          <w:lang w:val="en-GB"/>
        </w:rPr>
      </w:pPr>
      <w:r w:rsidRPr="00D543A9">
        <w:rPr>
          <w:rFonts w:ascii="Times New Roman" w:eastAsia="Times New Roman" w:hAnsi="Times New Roman" w:cs="Times New Roman"/>
          <w:lang w:val="en-GB"/>
        </w:rPr>
        <w:t>He /She strives to solve problems in the field of sports science.</w:t>
      </w:r>
    </w:p>
    <w:p w:rsidR="00D543A9" w:rsidRPr="00D543A9" w:rsidRDefault="00D543A9" w:rsidP="00D543A9">
      <w:pPr>
        <w:widowControl w:val="0"/>
        <w:spacing w:before="120" w:after="120" w:line="240" w:lineRule="auto"/>
        <w:ind w:left="426"/>
        <w:rPr>
          <w:rFonts w:ascii="Times New Roman" w:eastAsia="Times New Roman" w:hAnsi="Times New Roman" w:cs="Times New Roman"/>
          <w:b/>
          <w:bCs/>
        </w:rPr>
      </w:pPr>
      <w:r w:rsidRPr="00D543A9">
        <w:rPr>
          <w:rFonts w:ascii="Times New Roman" w:eastAsia="Times New Roman" w:hAnsi="Times New Roman" w:cs="Times New Roman"/>
          <w:b/>
          <w:bCs/>
        </w:rPr>
        <w:t xml:space="preserve">Autonomy and responsibility: </w:t>
      </w:r>
    </w:p>
    <w:p w:rsidR="00D543A9" w:rsidRPr="00D543A9" w:rsidRDefault="00D543A9" w:rsidP="00C14833">
      <w:pPr>
        <w:numPr>
          <w:ilvl w:val="0"/>
          <w:numId w:val="15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cs="Times New Roman"/>
          <w:lang w:val="en-GB"/>
        </w:rPr>
      </w:pPr>
      <w:r w:rsidRPr="00D543A9">
        <w:rPr>
          <w:rFonts w:ascii="Times New Roman" w:eastAsia="Times New Roman" w:hAnsi="Times New Roman" w:cs="Times New Roman"/>
          <w:lang w:val="en-GB"/>
        </w:rPr>
        <w:t>He / She represents their profession in forums, and fully cooperates with professional and non-governmental organizations.</w:t>
      </w:r>
    </w:p>
    <w:p w:rsidR="00D543A9" w:rsidRPr="00D543A9" w:rsidRDefault="00D543A9" w:rsidP="00980876">
      <w:pPr>
        <w:widowControl w:val="0"/>
        <w:numPr>
          <w:ilvl w:val="0"/>
          <w:numId w:val="840"/>
        </w:numPr>
        <w:tabs>
          <w:tab w:val="num" w:pos="1418"/>
        </w:tabs>
        <w:spacing w:before="120" w:after="120" w:line="240" w:lineRule="auto"/>
        <w:ind w:left="426" w:hanging="142"/>
        <w:rPr>
          <w:rFonts w:ascii="Times New Roman" w:eastAsia="Times New Roman" w:hAnsi="Times New Roman" w:cs="Times New Roman"/>
          <w:bCs/>
        </w:rPr>
      </w:pPr>
      <w:r w:rsidRPr="00D543A9">
        <w:rPr>
          <w:rFonts w:ascii="Times New Roman" w:eastAsia="Times New Roman" w:hAnsi="Times New Roman" w:cs="Times New Roman"/>
          <w:b/>
          <w:bCs/>
        </w:rPr>
        <w:t xml:space="preserve">Előtanulmányi követelmények: </w:t>
      </w:r>
      <w:r w:rsidRPr="00D543A9">
        <w:rPr>
          <w:rFonts w:ascii="Times New Roman" w:eastAsia="Times New Roman" w:hAnsi="Times New Roman" w:cs="Times New Roman"/>
          <w:bCs/>
        </w:rPr>
        <w:t>Katonai testnevelés I, II, III. teljesítése</w:t>
      </w:r>
    </w:p>
    <w:p w:rsidR="00D543A9" w:rsidRPr="00D543A9" w:rsidRDefault="00D543A9" w:rsidP="00980876">
      <w:pPr>
        <w:widowControl w:val="0"/>
        <w:numPr>
          <w:ilvl w:val="0"/>
          <w:numId w:val="840"/>
        </w:numPr>
        <w:tabs>
          <w:tab w:val="num" w:pos="1418"/>
        </w:tabs>
        <w:spacing w:before="120" w:after="120" w:line="240" w:lineRule="auto"/>
        <w:ind w:left="426" w:hanging="142"/>
        <w:rPr>
          <w:rFonts w:ascii="Times New Roman" w:eastAsia="Times New Roman" w:hAnsi="Times New Roman" w:cs="Times New Roman"/>
          <w:b/>
          <w:bCs/>
        </w:rPr>
      </w:pPr>
      <w:r w:rsidRPr="00D543A9">
        <w:rPr>
          <w:rFonts w:ascii="Times New Roman" w:eastAsia="Times New Roman" w:hAnsi="Times New Roman" w:cs="Times New Roman"/>
          <w:b/>
          <w:bCs/>
        </w:rPr>
        <w:t xml:space="preserve">A tantárgy tananyagának leírása, tematika. </w:t>
      </w:r>
    </w:p>
    <w:p w:rsidR="00D543A9" w:rsidRPr="00D543A9" w:rsidRDefault="00D543A9" w:rsidP="00980876">
      <w:pPr>
        <w:widowControl w:val="0"/>
        <w:numPr>
          <w:ilvl w:val="1"/>
          <w:numId w:val="840"/>
        </w:numPr>
        <w:spacing w:before="120" w:after="120" w:line="240" w:lineRule="auto"/>
        <w:ind w:left="992" w:hanging="567"/>
        <w:contextualSpacing/>
        <w:rPr>
          <w:rFonts w:ascii="Times New Roman" w:eastAsia="Calibri" w:hAnsi="Times New Roman" w:cs="Times New Roman"/>
          <w:i/>
        </w:rPr>
      </w:pPr>
      <w:r w:rsidRPr="00D543A9">
        <w:rPr>
          <w:rFonts w:ascii="Times New Roman" w:eastAsia="Times New Roman" w:hAnsi="Times New Roman" w:cs="Times New Roman"/>
          <w:bCs/>
        </w:rPr>
        <w:t xml:space="preserve">Speciális kondicionális képességek fejlesztése a katonai közelharc ismeretanyagához adaptálva. </w:t>
      </w:r>
      <w:r w:rsidRPr="00D543A9">
        <w:rPr>
          <w:rFonts w:ascii="Times New Roman" w:eastAsia="Calibri" w:hAnsi="Times New Roman" w:cs="Times New Roman"/>
          <w:i/>
        </w:rPr>
        <w:t>(Development of special conditioning capabilities adapted to military melee knowledge.)</w:t>
      </w:r>
    </w:p>
    <w:p w:rsidR="00D543A9" w:rsidRPr="00D543A9" w:rsidRDefault="00D543A9" w:rsidP="00980876">
      <w:pPr>
        <w:widowControl w:val="0"/>
        <w:numPr>
          <w:ilvl w:val="1"/>
          <w:numId w:val="840"/>
        </w:numPr>
        <w:spacing w:before="120" w:after="120" w:line="240" w:lineRule="auto"/>
        <w:ind w:left="992" w:hanging="567"/>
        <w:contextualSpacing/>
        <w:rPr>
          <w:rFonts w:ascii="Times New Roman" w:eastAsia="Calibri" w:hAnsi="Times New Roman" w:cs="Times New Roman"/>
          <w:i/>
        </w:rPr>
      </w:pPr>
      <w:r w:rsidRPr="00D543A9">
        <w:rPr>
          <w:rFonts w:ascii="Times New Roman" w:eastAsia="Times New Roman" w:hAnsi="Times New Roman" w:cs="Times New Roman"/>
          <w:bCs/>
        </w:rPr>
        <w:t xml:space="preserve">Természetes mozgások: Biztonsági rendszabályok ismertetése és betartatása a képzés során. </w:t>
      </w:r>
      <w:r w:rsidRPr="00D543A9">
        <w:rPr>
          <w:rFonts w:ascii="Times New Roman" w:eastAsia="Calibri" w:hAnsi="Times New Roman" w:cs="Times New Roman"/>
          <w:i/>
        </w:rPr>
        <w:t>(Natural Movements: Introducing and enforcing safety rules during training.)</w:t>
      </w:r>
    </w:p>
    <w:p w:rsidR="00D543A9" w:rsidRPr="00D543A9" w:rsidRDefault="00D543A9" w:rsidP="00980876">
      <w:pPr>
        <w:widowControl w:val="0"/>
        <w:numPr>
          <w:ilvl w:val="1"/>
          <w:numId w:val="840"/>
        </w:numPr>
        <w:spacing w:before="120" w:after="120" w:line="240" w:lineRule="auto"/>
        <w:ind w:left="992" w:hanging="567"/>
        <w:contextualSpacing/>
        <w:rPr>
          <w:rFonts w:ascii="Times New Roman" w:eastAsia="Calibri" w:hAnsi="Times New Roman" w:cs="Times New Roman"/>
          <w:i/>
        </w:rPr>
      </w:pPr>
      <w:r w:rsidRPr="00D543A9">
        <w:rPr>
          <w:rFonts w:ascii="Times New Roman" w:eastAsia="Times New Roman" w:hAnsi="Times New Roman" w:cs="Times New Roman"/>
          <w:bCs/>
        </w:rPr>
        <w:t>Testhelyzetek, mozdulat és mozgás változtatások harci szituációkban.</w:t>
      </w:r>
      <w:r w:rsidRPr="00D543A9">
        <w:rPr>
          <w:rFonts w:ascii="Times New Roman" w:eastAsia="Calibri" w:hAnsi="Times New Roman" w:cs="Times New Roman"/>
          <w:i/>
        </w:rPr>
        <w:t xml:space="preserve"> (Postures, movement and movement changes in combat situations.)</w:t>
      </w:r>
    </w:p>
    <w:p w:rsidR="00D543A9" w:rsidRPr="00D543A9" w:rsidRDefault="00D543A9" w:rsidP="00980876">
      <w:pPr>
        <w:widowControl w:val="0"/>
        <w:numPr>
          <w:ilvl w:val="1"/>
          <w:numId w:val="840"/>
        </w:numPr>
        <w:spacing w:before="120" w:after="120" w:line="240" w:lineRule="auto"/>
        <w:ind w:left="992" w:hanging="567"/>
        <w:contextualSpacing/>
        <w:rPr>
          <w:rFonts w:ascii="Times New Roman" w:eastAsia="Times New Roman" w:hAnsi="Times New Roman" w:cs="Times New Roman"/>
          <w:bCs/>
          <w:i/>
        </w:rPr>
      </w:pPr>
      <w:r w:rsidRPr="00D543A9">
        <w:rPr>
          <w:rFonts w:ascii="Times New Roman" w:eastAsia="Times New Roman" w:hAnsi="Times New Roman" w:cs="Times New Roman"/>
          <w:bCs/>
        </w:rPr>
        <w:t>Esések. Gurulások, dobás előkészítések és dobások, földre viteli technikák. (</w:t>
      </w:r>
      <w:r w:rsidRPr="00D543A9">
        <w:rPr>
          <w:rFonts w:ascii="Times New Roman" w:eastAsia="Calibri" w:hAnsi="Times New Roman" w:cs="Times New Roman"/>
          <w:i/>
        </w:rPr>
        <w:t>Waterfalls.</w:t>
      </w:r>
      <w:r w:rsidRPr="00D543A9">
        <w:rPr>
          <w:rFonts w:ascii="Times New Roman" w:eastAsia="Calibri" w:hAnsi="Times New Roman" w:cs="Times New Roman"/>
          <w:i/>
          <w:shd w:val="clear" w:color="auto" w:fill="F5F5F5"/>
        </w:rPr>
        <w:t xml:space="preserve"> </w:t>
      </w:r>
      <w:r w:rsidRPr="00D543A9">
        <w:rPr>
          <w:rFonts w:ascii="Times New Roman" w:eastAsia="Calibri" w:hAnsi="Times New Roman" w:cs="Times New Roman"/>
          <w:i/>
        </w:rPr>
        <w:t>Rolls, throw preparation and throws, landing techniques.)</w:t>
      </w:r>
    </w:p>
    <w:p w:rsidR="00D543A9" w:rsidRPr="00D543A9" w:rsidRDefault="00D543A9" w:rsidP="00980876">
      <w:pPr>
        <w:widowControl w:val="0"/>
        <w:numPr>
          <w:ilvl w:val="1"/>
          <w:numId w:val="840"/>
        </w:numPr>
        <w:spacing w:before="120" w:after="120" w:line="240" w:lineRule="auto"/>
        <w:ind w:left="992" w:hanging="567"/>
        <w:contextualSpacing/>
        <w:rPr>
          <w:rFonts w:ascii="Times New Roman" w:eastAsia="Calibri" w:hAnsi="Times New Roman" w:cs="Times New Roman"/>
          <w:i/>
        </w:rPr>
      </w:pPr>
      <w:r w:rsidRPr="00D543A9">
        <w:rPr>
          <w:rFonts w:ascii="Times New Roman" w:eastAsia="Times New Roman" w:hAnsi="Times New Roman" w:cs="Times New Roman"/>
          <w:bCs/>
        </w:rPr>
        <w:t xml:space="preserve">Technikailag képzett ütések, rúgások kivitelezései és ezek védései. </w:t>
      </w:r>
      <w:r w:rsidRPr="00D543A9">
        <w:rPr>
          <w:rFonts w:ascii="Times New Roman" w:eastAsia="Calibri" w:hAnsi="Times New Roman" w:cs="Times New Roman"/>
          <w:i/>
        </w:rPr>
        <w:t>(Technically trained punches, kicks and their defenses.)</w:t>
      </w:r>
    </w:p>
    <w:p w:rsidR="00D543A9" w:rsidRPr="00D543A9" w:rsidRDefault="00D543A9" w:rsidP="00980876">
      <w:pPr>
        <w:widowControl w:val="0"/>
        <w:numPr>
          <w:ilvl w:val="1"/>
          <w:numId w:val="840"/>
        </w:numPr>
        <w:spacing w:before="120" w:after="120" w:line="240" w:lineRule="auto"/>
        <w:ind w:left="992" w:hanging="567"/>
        <w:contextualSpacing/>
        <w:rPr>
          <w:rFonts w:ascii="Times New Roman" w:eastAsia="Calibri" w:hAnsi="Times New Roman" w:cs="Times New Roman"/>
          <w:i/>
        </w:rPr>
      </w:pPr>
      <w:r w:rsidRPr="00D543A9">
        <w:rPr>
          <w:rFonts w:ascii="Times New Roman" w:eastAsia="Times New Roman" w:hAnsi="Times New Roman" w:cs="Times New Roman"/>
          <w:bCs/>
        </w:rPr>
        <w:t xml:space="preserve">Maroklőfegyver használata, fegyver elővétele, lőhelyzetek </w:t>
      </w:r>
      <w:r w:rsidRPr="00D543A9">
        <w:rPr>
          <w:rFonts w:ascii="Times New Roman" w:eastAsia="Calibri" w:hAnsi="Times New Roman" w:cs="Times New Roman"/>
          <w:i/>
        </w:rPr>
        <w:t>(Use of a handgun, weapon retrieval, shooting situations)</w:t>
      </w:r>
    </w:p>
    <w:p w:rsidR="00D543A9" w:rsidRPr="00D543A9" w:rsidRDefault="00D543A9" w:rsidP="00980876">
      <w:pPr>
        <w:widowControl w:val="0"/>
        <w:numPr>
          <w:ilvl w:val="1"/>
          <w:numId w:val="840"/>
        </w:numPr>
        <w:spacing w:before="120" w:after="120" w:line="240" w:lineRule="auto"/>
        <w:ind w:left="992" w:hanging="567"/>
        <w:contextualSpacing/>
        <w:rPr>
          <w:rFonts w:ascii="Times New Roman" w:eastAsia="Calibri" w:hAnsi="Times New Roman" w:cs="Times New Roman"/>
          <w:i/>
        </w:rPr>
      </w:pPr>
      <w:r w:rsidRPr="00D543A9">
        <w:rPr>
          <w:rFonts w:ascii="Times New Roman" w:eastAsia="Times New Roman" w:hAnsi="Times New Roman" w:cs="Times New Roman"/>
          <w:bCs/>
        </w:rPr>
        <w:t xml:space="preserve">Védekezés maroklőfegyver ellen. </w:t>
      </w:r>
      <w:r w:rsidRPr="00D543A9">
        <w:rPr>
          <w:rFonts w:ascii="Times New Roman" w:eastAsia="Calibri" w:hAnsi="Times New Roman" w:cs="Times New Roman"/>
          <w:i/>
        </w:rPr>
        <w:t>(Defend against a handgun.)</w:t>
      </w:r>
    </w:p>
    <w:p w:rsidR="00D543A9" w:rsidRPr="00D543A9" w:rsidRDefault="00D543A9" w:rsidP="00980876">
      <w:pPr>
        <w:widowControl w:val="0"/>
        <w:numPr>
          <w:ilvl w:val="1"/>
          <w:numId w:val="840"/>
        </w:numPr>
        <w:spacing w:before="120" w:after="120" w:line="240" w:lineRule="auto"/>
        <w:ind w:left="992" w:hanging="567"/>
        <w:contextualSpacing/>
        <w:rPr>
          <w:rFonts w:ascii="Times New Roman" w:eastAsia="Calibri" w:hAnsi="Times New Roman" w:cs="Times New Roman"/>
          <w:i/>
        </w:rPr>
      </w:pPr>
      <w:r w:rsidRPr="00D543A9">
        <w:rPr>
          <w:rFonts w:ascii="Times New Roman" w:eastAsia="Times New Roman" w:hAnsi="Times New Roman" w:cs="Times New Roman"/>
          <w:bCs/>
        </w:rPr>
        <w:t xml:space="preserve">Gépkarabély használata fegyverként és szükségeszközként </w:t>
      </w:r>
      <w:r w:rsidRPr="00D543A9">
        <w:rPr>
          <w:rFonts w:ascii="Times New Roman" w:eastAsia="Calibri" w:hAnsi="Times New Roman" w:cs="Times New Roman"/>
          <w:i/>
        </w:rPr>
        <w:t>(Use assault rifles as weapons and accessories)</w:t>
      </w:r>
    </w:p>
    <w:p w:rsidR="00D543A9" w:rsidRPr="00D543A9" w:rsidRDefault="00D543A9" w:rsidP="00980876">
      <w:pPr>
        <w:widowControl w:val="0"/>
        <w:numPr>
          <w:ilvl w:val="1"/>
          <w:numId w:val="840"/>
        </w:numPr>
        <w:spacing w:before="120" w:after="120" w:line="240" w:lineRule="auto"/>
        <w:ind w:left="992" w:hanging="567"/>
        <w:contextualSpacing/>
        <w:rPr>
          <w:rFonts w:ascii="Times New Roman" w:eastAsia="Calibri" w:hAnsi="Times New Roman" w:cs="Times New Roman"/>
          <w:i/>
        </w:rPr>
      </w:pPr>
      <w:r w:rsidRPr="00D543A9">
        <w:rPr>
          <w:rFonts w:ascii="Times New Roman" w:eastAsia="Times New Roman" w:hAnsi="Times New Roman" w:cs="Times New Roman"/>
          <w:bCs/>
        </w:rPr>
        <w:t xml:space="preserve">Szükségeszközök használata </w:t>
      </w:r>
      <w:r w:rsidRPr="00D543A9">
        <w:rPr>
          <w:rFonts w:ascii="Times New Roman" w:eastAsia="Calibri" w:hAnsi="Times New Roman" w:cs="Times New Roman"/>
          <w:i/>
        </w:rPr>
        <w:t>(Use of necessities)</w:t>
      </w:r>
    </w:p>
    <w:p w:rsidR="00D543A9" w:rsidRPr="00D543A9" w:rsidRDefault="00D543A9" w:rsidP="00980876">
      <w:pPr>
        <w:widowControl w:val="0"/>
        <w:numPr>
          <w:ilvl w:val="1"/>
          <w:numId w:val="840"/>
        </w:numPr>
        <w:spacing w:before="120" w:after="120" w:line="240" w:lineRule="auto"/>
        <w:ind w:left="992" w:hanging="567"/>
        <w:contextualSpacing/>
        <w:rPr>
          <w:rFonts w:ascii="Times New Roman" w:eastAsia="Calibri" w:hAnsi="Times New Roman" w:cs="Times New Roman"/>
          <w:i/>
        </w:rPr>
      </w:pPr>
      <w:r w:rsidRPr="00D543A9">
        <w:rPr>
          <w:rFonts w:ascii="Times New Roman" w:eastAsia="Times New Roman" w:hAnsi="Times New Roman" w:cs="Times New Roman"/>
          <w:bCs/>
        </w:rPr>
        <w:t xml:space="preserve">Védekezés kés és bottámadás ellen. Ellentámadás </w:t>
      </w:r>
      <w:r w:rsidRPr="00D543A9">
        <w:rPr>
          <w:rFonts w:ascii="Times New Roman" w:eastAsia="Calibri" w:hAnsi="Times New Roman" w:cs="Times New Roman"/>
          <w:i/>
        </w:rPr>
        <w:t>(Defend against knife and stick attack. Counterattack)</w:t>
      </w:r>
    </w:p>
    <w:p w:rsidR="00D543A9" w:rsidRPr="00D543A9" w:rsidRDefault="00D543A9" w:rsidP="00980876">
      <w:pPr>
        <w:widowControl w:val="0"/>
        <w:numPr>
          <w:ilvl w:val="1"/>
          <w:numId w:val="840"/>
        </w:numPr>
        <w:spacing w:before="120" w:after="120" w:line="240" w:lineRule="auto"/>
        <w:ind w:left="992" w:hanging="567"/>
        <w:contextualSpacing/>
        <w:rPr>
          <w:rFonts w:ascii="Times New Roman" w:eastAsia="Calibri" w:hAnsi="Times New Roman" w:cs="Times New Roman"/>
          <w:i/>
        </w:rPr>
      </w:pPr>
      <w:r w:rsidRPr="00D543A9">
        <w:rPr>
          <w:rFonts w:ascii="Times New Roman" w:eastAsia="Times New Roman" w:hAnsi="Times New Roman" w:cs="Times New Roman"/>
          <w:bCs/>
        </w:rPr>
        <w:t xml:space="preserve">Elfogás, bilincselés, motozás, elvezetés együttműködő és ellenálló személy ellen.  </w:t>
      </w:r>
      <w:r w:rsidRPr="00D543A9">
        <w:rPr>
          <w:rFonts w:ascii="Times New Roman" w:eastAsia="Calibri" w:hAnsi="Times New Roman" w:cs="Times New Roman"/>
          <w:i/>
        </w:rPr>
        <w:t>(Capture, handcuff, motivate, lead against a cooperative and resilient person.)</w:t>
      </w:r>
    </w:p>
    <w:p w:rsidR="00D543A9" w:rsidRPr="00D543A9" w:rsidRDefault="00D543A9" w:rsidP="00980876">
      <w:pPr>
        <w:widowControl w:val="0"/>
        <w:numPr>
          <w:ilvl w:val="1"/>
          <w:numId w:val="840"/>
        </w:numPr>
        <w:spacing w:before="120" w:after="120" w:line="240" w:lineRule="auto"/>
        <w:ind w:left="992" w:hanging="567"/>
        <w:contextualSpacing/>
        <w:rPr>
          <w:rFonts w:ascii="Times New Roman" w:eastAsia="Calibri" w:hAnsi="Times New Roman" w:cs="Times New Roman"/>
          <w:i/>
        </w:rPr>
      </w:pPr>
      <w:r w:rsidRPr="00D543A9">
        <w:rPr>
          <w:rFonts w:ascii="Times New Roman" w:eastAsia="Times New Roman" w:hAnsi="Times New Roman" w:cs="Times New Roman"/>
          <w:bCs/>
        </w:rPr>
        <w:t xml:space="preserve">Járőrfeladatok, ellenőrző pontok, terror fenyegetés </w:t>
      </w:r>
      <w:r w:rsidRPr="00D543A9">
        <w:rPr>
          <w:rFonts w:ascii="Times New Roman" w:eastAsia="Calibri" w:hAnsi="Times New Roman" w:cs="Times New Roman"/>
          <w:i/>
        </w:rPr>
        <w:t>(Patrol missions, checkpoints, terror threat)</w:t>
      </w:r>
    </w:p>
    <w:p w:rsidR="00D543A9" w:rsidRPr="00D543A9" w:rsidRDefault="00D543A9" w:rsidP="00980876">
      <w:pPr>
        <w:widowControl w:val="0"/>
        <w:numPr>
          <w:ilvl w:val="1"/>
          <w:numId w:val="840"/>
        </w:numPr>
        <w:spacing w:before="120" w:after="120" w:line="240" w:lineRule="auto"/>
        <w:ind w:left="992" w:hanging="567"/>
        <w:contextualSpacing/>
        <w:rPr>
          <w:rFonts w:ascii="Times New Roman" w:eastAsia="Calibri" w:hAnsi="Times New Roman" w:cs="Times New Roman"/>
          <w:i/>
        </w:rPr>
      </w:pPr>
      <w:r w:rsidRPr="00D543A9">
        <w:rPr>
          <w:rFonts w:ascii="Times New Roman" w:eastAsia="Times New Roman" w:hAnsi="Times New Roman" w:cs="Times New Roman"/>
          <w:bCs/>
        </w:rPr>
        <w:t xml:space="preserve">Mozgásformák ellenőrzése </w:t>
      </w:r>
      <w:r w:rsidRPr="00D543A9">
        <w:rPr>
          <w:rFonts w:ascii="Times New Roman" w:eastAsia="Calibri" w:hAnsi="Times New Roman" w:cs="Times New Roman"/>
          <w:i/>
        </w:rPr>
        <w:t>(Checking motion forms)</w:t>
      </w:r>
    </w:p>
    <w:p w:rsidR="00D543A9" w:rsidRPr="00D543A9" w:rsidRDefault="00D543A9" w:rsidP="00980876">
      <w:pPr>
        <w:widowControl w:val="0"/>
        <w:numPr>
          <w:ilvl w:val="0"/>
          <w:numId w:val="840"/>
        </w:numPr>
        <w:tabs>
          <w:tab w:val="num" w:pos="1418"/>
        </w:tabs>
        <w:spacing w:before="120" w:after="120" w:line="240" w:lineRule="auto"/>
        <w:ind w:left="426" w:hanging="142"/>
        <w:rPr>
          <w:rFonts w:ascii="Times New Roman" w:eastAsia="Times New Roman" w:hAnsi="Times New Roman" w:cs="Times New Roman"/>
          <w:bCs/>
        </w:rPr>
      </w:pPr>
      <w:r w:rsidRPr="00D543A9">
        <w:rPr>
          <w:rFonts w:ascii="Times New Roman" w:eastAsia="Times New Roman" w:hAnsi="Times New Roman" w:cs="Times New Roman"/>
          <w:b/>
          <w:bCs/>
        </w:rPr>
        <w:t>A tantárgy meghirdetésének gyakorisága a tantervben történő félévi elhelyezkedése:</w:t>
      </w:r>
      <w:r w:rsidRPr="00D543A9">
        <w:rPr>
          <w:rFonts w:ascii="Times New Roman" w:eastAsia="Calibri" w:hAnsi="Times New Roman" w:cs="Times New Roman"/>
          <w:bCs/>
        </w:rPr>
        <w:t xml:space="preserve"> tavaszi / 4. félév</w:t>
      </w:r>
    </w:p>
    <w:p w:rsidR="00D543A9" w:rsidRPr="00D543A9" w:rsidRDefault="00D543A9" w:rsidP="00980876">
      <w:pPr>
        <w:widowControl w:val="0"/>
        <w:numPr>
          <w:ilvl w:val="0"/>
          <w:numId w:val="840"/>
        </w:numPr>
        <w:tabs>
          <w:tab w:val="num" w:pos="1418"/>
        </w:tabs>
        <w:spacing w:before="120" w:after="120" w:line="240" w:lineRule="auto"/>
        <w:ind w:left="426" w:hanging="142"/>
        <w:rPr>
          <w:rFonts w:ascii="Times New Roman" w:eastAsia="Times New Roman" w:hAnsi="Times New Roman" w:cs="Times New Roman"/>
          <w:bCs/>
        </w:rPr>
      </w:pPr>
      <w:r w:rsidRPr="00D543A9">
        <w:rPr>
          <w:rFonts w:ascii="Times New Roman" w:eastAsia="Times New Roman" w:hAnsi="Times New Roman" w:cs="Times New Roman"/>
          <w:b/>
          <w:bCs/>
        </w:rPr>
        <w:lastRenderedPageBreak/>
        <w:t>A tanórákon való részvétel követelményei, az elfogadható hiányzások mértéke, a távolmaradás pótlásának lehetősége:</w:t>
      </w:r>
    </w:p>
    <w:p w:rsidR="00D543A9" w:rsidRPr="00D543A9" w:rsidRDefault="00D543A9" w:rsidP="00D543A9">
      <w:pPr>
        <w:widowControl w:val="0"/>
        <w:spacing w:before="120" w:after="120" w:line="240" w:lineRule="auto"/>
        <w:ind w:left="426"/>
        <w:jc w:val="both"/>
        <w:rPr>
          <w:rFonts w:ascii="Times New Roman" w:eastAsia="Times New Roman" w:hAnsi="Times New Roman" w:cs="Times New Roman"/>
          <w:bCs/>
        </w:rPr>
      </w:pPr>
      <w:r w:rsidRPr="00D543A9">
        <w:rPr>
          <w:rFonts w:ascii="Times New Roman" w:eastAsia="Calibri" w:hAnsi="Times New Roman" w:cs="Times New Roman"/>
          <w:bCs/>
        </w:rPr>
        <w:t xml:space="preserve">A </w:t>
      </w:r>
      <w:r w:rsidRPr="00D543A9">
        <w:rPr>
          <w:rFonts w:ascii="Times New Roman" w:eastAsia="Times New Roman" w:hAnsi="Times New Roman" w:cs="Times New Roman"/>
          <w:bCs/>
        </w:rPr>
        <w:t>honvéd</w:t>
      </w:r>
      <w:r w:rsidRPr="00D543A9">
        <w:rPr>
          <w:rFonts w:ascii="Times New Roman" w:eastAsia="Calibri" w:hAnsi="Times New Roman" w:cs="Times New Roman"/>
          <w:bCs/>
        </w:rPr>
        <w:t xml:space="preserve"> tisztjelöltek részvétele a foglalkozáson kötelező. Betegség, szabadság miatti hiányzások mértéke maximálisan 30% lehet. Vezénylés, szolgálat miatti távollét nem számít bele a hiányzásba. </w:t>
      </w:r>
      <w:r w:rsidRPr="00D543A9">
        <w:rPr>
          <w:rFonts w:ascii="Times New Roman" w:eastAsia="Times New Roman" w:hAnsi="Times New Roman" w:cs="Times New Roman"/>
          <w:bCs/>
        </w:rPr>
        <w:t>A hallgatónak a tanórák legalább 70%-án jelen kell lennie, 30%-ot meghaladó hiányzás esetén a félév teljesítése nem írható alá. A hallgató köteles a gyakorlat anyagát beszerezni, abból önállóan felkészülni.</w:t>
      </w:r>
    </w:p>
    <w:p w:rsidR="00D543A9" w:rsidRPr="00D543A9" w:rsidRDefault="00D543A9" w:rsidP="00980876">
      <w:pPr>
        <w:widowControl w:val="0"/>
        <w:numPr>
          <w:ilvl w:val="0"/>
          <w:numId w:val="840"/>
        </w:numPr>
        <w:tabs>
          <w:tab w:val="num" w:pos="1418"/>
        </w:tabs>
        <w:spacing w:before="120" w:after="120" w:line="240" w:lineRule="auto"/>
        <w:ind w:left="426" w:hanging="142"/>
        <w:rPr>
          <w:rFonts w:ascii="Times New Roman" w:eastAsia="Times New Roman" w:hAnsi="Times New Roman" w:cs="Times New Roman"/>
          <w:bCs/>
        </w:rPr>
      </w:pPr>
      <w:r w:rsidRPr="00D543A9">
        <w:rPr>
          <w:rFonts w:ascii="Times New Roman" w:eastAsia="Times New Roman" w:hAnsi="Times New Roman" w:cs="Times New Roman"/>
          <w:b/>
          <w:bCs/>
        </w:rPr>
        <w:t>Félévközi</w:t>
      </w:r>
      <w:r w:rsidRPr="00D543A9">
        <w:rPr>
          <w:rFonts w:ascii="Times New Roman" w:eastAsia="Times New Roman" w:hAnsi="Times New Roman" w:cs="Times New Roman"/>
          <w:b/>
        </w:rPr>
        <w:t xml:space="preserve"> feladatok, ismeretek ellenőrzésének rendje:</w:t>
      </w:r>
    </w:p>
    <w:p w:rsidR="00D543A9" w:rsidRPr="00D543A9" w:rsidRDefault="00D543A9" w:rsidP="00D543A9">
      <w:pPr>
        <w:widowControl w:val="0"/>
        <w:spacing w:before="120" w:after="120" w:line="240" w:lineRule="auto"/>
        <w:ind w:left="426"/>
        <w:jc w:val="both"/>
        <w:rPr>
          <w:rFonts w:ascii="Times New Roman" w:eastAsia="Times New Roman" w:hAnsi="Times New Roman" w:cs="Times New Roman"/>
          <w:bCs/>
        </w:rPr>
      </w:pPr>
      <w:r w:rsidRPr="00D543A9">
        <w:rPr>
          <w:rFonts w:ascii="Times New Roman" w:eastAsia="Times New Roman" w:hAnsi="Times New Roman" w:cs="Times New Roman"/>
          <w:bCs/>
        </w:rPr>
        <w:t>Az ismeretek ellenőrzése a különböző mozgásformák bemutatásával történik. Az oktató az alábbi szempontok alapján értékeli a hallgatót:</w:t>
      </w:r>
      <w:r w:rsidRPr="00D543A9">
        <w:rPr>
          <w:rFonts w:ascii="Times New Roman" w:eastAsia="Calibri" w:hAnsi="Times New Roman" w:cs="Times New Roman"/>
        </w:rPr>
        <w:t xml:space="preserve"> az elégséges értékeléshez mozgásformánként el kell érni a minimum egy pontot, valamint az összesített pontszám tekintetében el kell érni a 130 pontot. A mozgásformák a következők: 3200m futás, fekvőtámasz, felülés, függeszkedés, közelharc alaptechnikák, fegyveres és eszközös technikák, fogoly ejtés, rögzítés, elvezetés, küzdelem és technika alkamazása. Sikertelen kísérlet esetén, a hallgatónak a félév folyamán kétszer van lehetősége a javításra. </w:t>
      </w:r>
    </w:p>
    <w:p w:rsidR="00D543A9" w:rsidRPr="00D543A9" w:rsidRDefault="00D543A9" w:rsidP="00980876">
      <w:pPr>
        <w:widowControl w:val="0"/>
        <w:numPr>
          <w:ilvl w:val="0"/>
          <w:numId w:val="840"/>
        </w:numPr>
        <w:tabs>
          <w:tab w:val="num" w:pos="1418"/>
        </w:tabs>
        <w:spacing w:before="120" w:after="120" w:line="240" w:lineRule="auto"/>
        <w:ind w:left="426" w:hanging="142"/>
        <w:rPr>
          <w:rFonts w:ascii="Times New Roman" w:eastAsia="Times New Roman" w:hAnsi="Times New Roman" w:cs="Times New Roman"/>
          <w:b/>
          <w:bCs/>
        </w:rPr>
      </w:pPr>
      <w:r w:rsidRPr="00D543A9">
        <w:rPr>
          <w:rFonts w:ascii="Times New Roman" w:eastAsia="Times New Roman" w:hAnsi="Times New Roman" w:cs="Times New Roman"/>
          <w:b/>
          <w:bCs/>
        </w:rPr>
        <w:t>Az értékelés, az aláírás és a kreditek megszerzésének pontos feltételei:</w:t>
      </w:r>
    </w:p>
    <w:p w:rsidR="00D543A9" w:rsidRPr="00D543A9" w:rsidRDefault="00D543A9" w:rsidP="00980876">
      <w:pPr>
        <w:widowControl w:val="0"/>
        <w:numPr>
          <w:ilvl w:val="1"/>
          <w:numId w:val="838"/>
        </w:numPr>
        <w:tabs>
          <w:tab w:val="left" w:pos="993"/>
        </w:tabs>
        <w:spacing w:before="120" w:after="120" w:line="240" w:lineRule="auto"/>
        <w:ind w:hanging="562"/>
        <w:contextualSpacing/>
        <w:jc w:val="both"/>
        <w:rPr>
          <w:rFonts w:ascii="Times New Roman" w:eastAsia="Times New Roman" w:hAnsi="Times New Roman" w:cs="Times New Roman"/>
        </w:rPr>
      </w:pPr>
      <w:r w:rsidRPr="00D543A9">
        <w:rPr>
          <w:rFonts w:ascii="Times New Roman" w:eastAsia="Times New Roman" w:hAnsi="Times New Roman" w:cs="Times New Roman"/>
          <w:b/>
        </w:rPr>
        <w:t>Az aláírás megszerzésének feltételei:</w:t>
      </w:r>
      <w:r w:rsidRPr="00D543A9">
        <w:rPr>
          <w:rFonts w:ascii="Times New Roman" w:eastAsia="Calibri" w:hAnsi="Times New Roman" w:cs="Times New Roman"/>
          <w:bCs/>
        </w:rPr>
        <w:t xml:space="preserve"> Az aláírás feltétele tanórák 70%-án történő aktív részvétel</w:t>
      </w:r>
      <w:r w:rsidRPr="00D543A9">
        <w:rPr>
          <w:rFonts w:ascii="Times New Roman" w:eastAsia="Calibri" w:hAnsi="Times New Roman" w:cs="Times New Roman"/>
        </w:rPr>
        <w:t>. valamint az elégséges értékeléshez mozgásformánként el kell érni a minimum egy pontot, valamint az összesített pontszám tekintetében el kell érni a minimális 130 pontot.</w:t>
      </w:r>
    </w:p>
    <w:p w:rsidR="00D543A9" w:rsidRPr="00D543A9" w:rsidRDefault="00D543A9" w:rsidP="00980876">
      <w:pPr>
        <w:widowControl w:val="0"/>
        <w:numPr>
          <w:ilvl w:val="1"/>
          <w:numId w:val="838"/>
        </w:numPr>
        <w:tabs>
          <w:tab w:val="left" w:pos="993"/>
        </w:tabs>
        <w:spacing w:before="120" w:after="120" w:line="240" w:lineRule="auto"/>
        <w:ind w:hanging="562"/>
        <w:contextualSpacing/>
        <w:jc w:val="both"/>
        <w:rPr>
          <w:rFonts w:ascii="Times New Roman" w:eastAsia="Times New Roman" w:hAnsi="Times New Roman" w:cs="Times New Roman"/>
        </w:rPr>
      </w:pPr>
      <w:r w:rsidRPr="00D543A9">
        <w:rPr>
          <w:rFonts w:ascii="Times New Roman" w:eastAsia="Times New Roman" w:hAnsi="Times New Roman" w:cs="Times New Roman"/>
          <w:b/>
        </w:rPr>
        <w:t>Az értékelés:</w:t>
      </w:r>
      <w:r w:rsidRPr="00D543A9">
        <w:rPr>
          <w:rFonts w:ascii="Times New Roman" w:eastAsia="Times New Roman" w:hAnsi="Times New Roman" w:cs="Times New Roman"/>
        </w:rPr>
        <w:t xml:space="preserve"> Gyakorlati jegy megszerzése: A</w:t>
      </w:r>
      <w:r w:rsidRPr="00D543A9">
        <w:rPr>
          <w:rFonts w:ascii="Times New Roman" w:eastAsia="Calibri" w:hAnsi="Times New Roman" w:cs="Times New Roman"/>
        </w:rPr>
        <w:t>z elégséges értékeléshez mozgásformánként el kell érni a minimum pontszámot, valamint az összesített pontszám tekintetében el kell érni a minimális 130 pontot. 130-199 pont elégséges, 200-269 pont közepes, 270-339 pont jó 340-400 kiváló osztályzatot jelent</w:t>
      </w:r>
      <w:r w:rsidRPr="00D543A9">
        <w:rPr>
          <w:rFonts w:ascii="Times New Roman" w:eastAsia="Times New Roman" w:hAnsi="Times New Roman" w:cs="Times New Roman"/>
        </w:rPr>
        <w:t>.</w:t>
      </w:r>
    </w:p>
    <w:p w:rsidR="00D543A9" w:rsidRPr="00D543A9" w:rsidRDefault="00D543A9" w:rsidP="00980876">
      <w:pPr>
        <w:widowControl w:val="0"/>
        <w:numPr>
          <w:ilvl w:val="1"/>
          <w:numId w:val="838"/>
        </w:numPr>
        <w:tabs>
          <w:tab w:val="left" w:pos="993"/>
        </w:tabs>
        <w:spacing w:before="120" w:after="120" w:line="240" w:lineRule="auto"/>
        <w:ind w:hanging="562"/>
        <w:contextualSpacing/>
        <w:jc w:val="both"/>
        <w:rPr>
          <w:rFonts w:ascii="Times New Roman" w:eastAsia="Times New Roman" w:hAnsi="Times New Roman" w:cs="Times New Roman"/>
        </w:rPr>
      </w:pPr>
      <w:r w:rsidRPr="00D543A9">
        <w:rPr>
          <w:rFonts w:ascii="Times New Roman" w:eastAsia="Times New Roman" w:hAnsi="Times New Roman" w:cs="Times New Roman"/>
          <w:b/>
        </w:rPr>
        <w:t xml:space="preserve">A kreditek megszerzésének feltételei: </w:t>
      </w:r>
      <w:r w:rsidRPr="00D543A9">
        <w:rPr>
          <w:rFonts w:ascii="Times New Roman" w:eastAsia="Times New Roman" w:hAnsi="Times New Roman" w:cs="Times New Roman"/>
        </w:rPr>
        <w:t>A mozgásformák minimum szintjein(egy pont) és a minimum összpontszámnak az elérése.</w:t>
      </w:r>
    </w:p>
    <w:p w:rsidR="00D543A9" w:rsidRPr="00D543A9" w:rsidRDefault="00D543A9" w:rsidP="00980876">
      <w:pPr>
        <w:widowControl w:val="0"/>
        <w:numPr>
          <w:ilvl w:val="0"/>
          <w:numId w:val="840"/>
        </w:numPr>
        <w:tabs>
          <w:tab w:val="num" w:pos="1418"/>
        </w:tabs>
        <w:spacing w:before="120" w:after="120" w:line="240" w:lineRule="auto"/>
        <w:ind w:left="426" w:hanging="142"/>
        <w:rPr>
          <w:rFonts w:ascii="Times New Roman" w:eastAsia="Times New Roman" w:hAnsi="Times New Roman" w:cs="Times New Roman"/>
          <w:bCs/>
        </w:rPr>
      </w:pPr>
      <w:r w:rsidRPr="00D543A9">
        <w:rPr>
          <w:rFonts w:ascii="Times New Roman" w:eastAsia="Times New Roman" w:hAnsi="Times New Roman" w:cs="Times New Roman"/>
          <w:b/>
          <w:bCs/>
        </w:rPr>
        <w:t>Irodalomjegyzék:</w:t>
      </w:r>
    </w:p>
    <w:p w:rsidR="00D543A9" w:rsidRPr="00D543A9" w:rsidRDefault="00D543A9" w:rsidP="00D543A9">
      <w:pPr>
        <w:widowControl w:val="0"/>
        <w:tabs>
          <w:tab w:val="left" w:pos="567"/>
          <w:tab w:val="left" w:pos="851"/>
        </w:tabs>
        <w:spacing w:before="120" w:after="120" w:line="240" w:lineRule="auto"/>
        <w:ind w:left="1206" w:hanging="922"/>
        <w:rPr>
          <w:rFonts w:ascii="Times New Roman" w:eastAsia="Times New Roman" w:hAnsi="Times New Roman" w:cs="Times New Roman"/>
          <w:bCs/>
        </w:rPr>
      </w:pPr>
      <w:r w:rsidRPr="00D543A9">
        <w:rPr>
          <w:rFonts w:ascii="Times New Roman" w:eastAsia="Times New Roman" w:hAnsi="Times New Roman" w:cs="Times New Roman"/>
          <w:b/>
          <w:bCs/>
        </w:rPr>
        <w:t>17.1. Kötelező irodalom:</w:t>
      </w:r>
    </w:p>
    <w:p w:rsidR="00D543A9" w:rsidRPr="00D543A9" w:rsidRDefault="00D543A9" w:rsidP="00980876">
      <w:pPr>
        <w:widowControl w:val="0"/>
        <w:numPr>
          <w:ilvl w:val="0"/>
          <w:numId w:val="837"/>
        </w:numPr>
        <w:tabs>
          <w:tab w:val="left" w:pos="993"/>
        </w:tabs>
        <w:spacing w:before="120" w:after="120" w:line="240" w:lineRule="auto"/>
        <w:ind w:left="993" w:hanging="426"/>
        <w:rPr>
          <w:rFonts w:ascii="Times New Roman" w:eastAsia="Times New Roman" w:hAnsi="Times New Roman" w:cs="Times New Roman"/>
          <w:bCs/>
        </w:rPr>
      </w:pPr>
      <w:r w:rsidRPr="00D543A9">
        <w:rPr>
          <w:rFonts w:ascii="Times New Roman" w:eastAsia="Calibri" w:hAnsi="Times New Roman" w:cs="Times New Roman"/>
        </w:rPr>
        <w:t>A Magyar Honvédség Katonai Testnevelés Kiképzés és Sportbajnokságok szabályzata (A Magyar Honvédség Kiadványa 2017)</w:t>
      </w:r>
    </w:p>
    <w:p w:rsidR="00D543A9" w:rsidRPr="00D543A9" w:rsidRDefault="00D543A9" w:rsidP="00D543A9">
      <w:pPr>
        <w:widowControl w:val="0"/>
        <w:spacing w:before="120" w:after="120" w:line="240" w:lineRule="auto"/>
        <w:ind w:left="1206" w:hanging="922"/>
        <w:rPr>
          <w:rFonts w:ascii="Times New Roman" w:eastAsia="Times New Roman" w:hAnsi="Times New Roman" w:cs="Times New Roman"/>
          <w:b/>
          <w:bCs/>
        </w:rPr>
      </w:pPr>
      <w:r w:rsidRPr="00D543A9">
        <w:rPr>
          <w:rFonts w:ascii="Times New Roman" w:eastAsia="Times New Roman" w:hAnsi="Times New Roman" w:cs="Times New Roman"/>
          <w:b/>
          <w:bCs/>
        </w:rPr>
        <w:t>17.2. Ajánlott irodalom:</w:t>
      </w:r>
    </w:p>
    <w:p w:rsidR="00D543A9" w:rsidRPr="00D543A9" w:rsidRDefault="00D543A9" w:rsidP="00980876">
      <w:pPr>
        <w:widowControl w:val="0"/>
        <w:numPr>
          <w:ilvl w:val="0"/>
          <w:numId w:val="839"/>
        </w:numPr>
        <w:tabs>
          <w:tab w:val="left" w:pos="993"/>
        </w:tabs>
        <w:spacing w:before="120" w:after="120" w:line="240" w:lineRule="auto"/>
        <w:ind w:left="567" w:hanging="77"/>
        <w:contextualSpacing/>
        <w:rPr>
          <w:rFonts w:ascii="Times New Roman" w:eastAsia="Calibri" w:hAnsi="Times New Roman" w:cs="Times New Roman"/>
        </w:rPr>
      </w:pPr>
      <w:r w:rsidRPr="00D543A9">
        <w:rPr>
          <w:rFonts w:ascii="Times New Roman" w:eastAsia="Calibri" w:hAnsi="Times New Roman" w:cs="Times New Roman"/>
          <w:bCs/>
        </w:rPr>
        <w:t xml:space="preserve">Vincze J. </w:t>
      </w:r>
      <w:r w:rsidRPr="00D543A9">
        <w:rPr>
          <w:rFonts w:ascii="Times New Roman" w:eastAsia="Calibri" w:hAnsi="Times New Roman" w:cs="Times New Roman"/>
        </w:rPr>
        <w:t xml:space="preserve">Közelharc BJKMF jegyzet 1998 </w:t>
      </w:r>
    </w:p>
    <w:p w:rsidR="00D543A9" w:rsidRPr="00D543A9" w:rsidRDefault="00D543A9" w:rsidP="00980876">
      <w:pPr>
        <w:widowControl w:val="0"/>
        <w:numPr>
          <w:ilvl w:val="0"/>
          <w:numId w:val="839"/>
        </w:numPr>
        <w:tabs>
          <w:tab w:val="left" w:pos="993"/>
        </w:tabs>
        <w:spacing w:before="120" w:after="120" w:line="240" w:lineRule="auto"/>
        <w:ind w:left="993" w:hanging="503"/>
        <w:contextualSpacing/>
        <w:rPr>
          <w:rFonts w:ascii="Times New Roman" w:eastAsia="Calibri" w:hAnsi="Times New Roman" w:cs="Times New Roman"/>
          <w:bCs/>
        </w:rPr>
      </w:pPr>
      <w:r w:rsidRPr="00D543A9">
        <w:rPr>
          <w:rFonts w:ascii="Times New Roman" w:eastAsia="Calibri" w:hAnsi="Times New Roman" w:cs="Times New Roman"/>
          <w:bCs/>
        </w:rPr>
        <w:t xml:space="preserve">Eleki-Kovács: A közelharc mozgásanyagához szükséges testi képességek és fejlesztésük lehetőségei – Szentendre: KLKF, 1996. </w:t>
      </w:r>
    </w:p>
    <w:p w:rsidR="00D543A9" w:rsidRPr="00D543A9" w:rsidRDefault="00D543A9" w:rsidP="00980876">
      <w:pPr>
        <w:widowControl w:val="0"/>
        <w:numPr>
          <w:ilvl w:val="0"/>
          <w:numId w:val="839"/>
        </w:numPr>
        <w:tabs>
          <w:tab w:val="left" w:pos="993"/>
        </w:tabs>
        <w:spacing w:before="120" w:after="120" w:line="240" w:lineRule="auto"/>
        <w:ind w:left="567" w:hanging="77"/>
        <w:contextualSpacing/>
        <w:rPr>
          <w:rFonts w:ascii="Times New Roman" w:eastAsia="Calibri" w:hAnsi="Times New Roman" w:cs="Times New Roman"/>
          <w:bCs/>
        </w:rPr>
      </w:pPr>
      <w:r w:rsidRPr="00D543A9">
        <w:rPr>
          <w:rFonts w:ascii="Times New Roman" w:eastAsia="Calibri" w:hAnsi="Times New Roman" w:cs="Times New Roman"/>
          <w:bCs/>
        </w:rPr>
        <w:t>Eleki-Kovács: A katonai közelharc eszközös technikái – Szentendre: KLKF, 1997</w:t>
      </w:r>
    </w:p>
    <w:p w:rsidR="00D543A9" w:rsidRPr="00D543A9" w:rsidRDefault="00D543A9" w:rsidP="00D543A9">
      <w:pPr>
        <w:widowControl w:val="0"/>
        <w:spacing w:after="0" w:line="240" w:lineRule="auto"/>
        <w:jc w:val="both"/>
        <w:rPr>
          <w:rFonts w:ascii="Times New Roman" w:eastAsia="Times New Roman" w:hAnsi="Times New Roman" w:cs="Times New Roman"/>
          <w:highlight w:val="lightGray"/>
        </w:rPr>
      </w:pPr>
    </w:p>
    <w:p w:rsidR="00D543A9" w:rsidRPr="00D543A9" w:rsidRDefault="00D543A9" w:rsidP="00D543A9">
      <w:pPr>
        <w:widowControl w:val="0"/>
        <w:spacing w:after="0" w:line="240" w:lineRule="auto"/>
        <w:rPr>
          <w:rFonts w:ascii="Times New Roman" w:eastAsia="Times New Roman" w:hAnsi="Times New Roman" w:cs="Times New Roman"/>
          <w:bCs/>
        </w:rPr>
      </w:pPr>
      <w:r w:rsidRPr="00D543A9">
        <w:rPr>
          <w:rFonts w:ascii="Times New Roman" w:eastAsia="Times New Roman" w:hAnsi="Times New Roman" w:cs="Times New Roman"/>
          <w:bCs/>
        </w:rPr>
        <w:t>Budapest, 2020. március 12.</w:t>
      </w:r>
    </w:p>
    <w:p w:rsidR="00D543A9" w:rsidRPr="00D543A9" w:rsidRDefault="00D543A9" w:rsidP="00D543A9">
      <w:pPr>
        <w:widowControl w:val="0"/>
        <w:spacing w:after="0" w:line="240" w:lineRule="auto"/>
        <w:ind w:left="5103"/>
        <w:jc w:val="right"/>
        <w:rPr>
          <w:rFonts w:ascii="Times New Roman" w:eastAsia="Times New Roman" w:hAnsi="Times New Roman" w:cs="Times New Roman"/>
          <w:bCs/>
        </w:rPr>
      </w:pPr>
      <w:r w:rsidRPr="00D543A9">
        <w:rPr>
          <w:rFonts w:ascii="Times New Roman" w:eastAsia="Times New Roman" w:hAnsi="Times New Roman" w:cs="Times New Roman"/>
          <w:bCs/>
        </w:rPr>
        <w:t>Molnár Imre</w:t>
      </w:r>
    </w:p>
    <w:p w:rsidR="00D543A9" w:rsidRPr="00D543A9" w:rsidRDefault="00D543A9" w:rsidP="00D543A9">
      <w:pPr>
        <w:widowControl w:val="0"/>
        <w:spacing w:after="0" w:line="240" w:lineRule="auto"/>
        <w:ind w:left="5103"/>
        <w:jc w:val="right"/>
        <w:rPr>
          <w:rFonts w:ascii="Times New Roman" w:eastAsia="Times New Roman" w:hAnsi="Times New Roman" w:cs="Times New Roman"/>
          <w:bCs/>
        </w:rPr>
      </w:pPr>
      <w:r w:rsidRPr="00D543A9">
        <w:rPr>
          <w:rFonts w:ascii="Times New Roman" w:eastAsia="Times New Roman" w:hAnsi="Times New Roman" w:cs="Times New Roman"/>
          <w:bCs/>
        </w:rPr>
        <w:t>testnevelő tanár, sk.</w:t>
      </w:r>
    </w:p>
    <w:p w:rsidR="00D543A9" w:rsidRDefault="00D543A9">
      <w:r>
        <w:br w:type="page"/>
      </w:r>
    </w:p>
    <w:tbl>
      <w:tblPr>
        <w:tblW w:w="11669" w:type="dxa"/>
        <w:tblInd w:w="113" w:type="dxa"/>
        <w:tblLook w:val="01E0" w:firstRow="1" w:lastRow="1" w:firstColumn="1" w:lastColumn="1" w:noHBand="0" w:noVBand="0"/>
      </w:tblPr>
      <w:tblGrid>
        <w:gridCol w:w="4855"/>
        <w:gridCol w:w="1620"/>
        <w:gridCol w:w="2597"/>
        <w:gridCol w:w="2597"/>
      </w:tblGrid>
      <w:tr w:rsidR="00DF04E7" w:rsidRPr="00DF04E7" w:rsidTr="00DF04E7">
        <w:tc>
          <w:tcPr>
            <w:tcW w:w="4855" w:type="dxa"/>
            <w:tcBorders>
              <w:top w:val="nil"/>
              <w:left w:val="nil"/>
              <w:bottom w:val="single" w:sz="4" w:space="0" w:color="auto"/>
              <w:right w:val="nil"/>
            </w:tcBorders>
            <w:hideMark/>
          </w:tcPr>
          <w:p w:rsidR="00DF04E7" w:rsidRPr="00DF04E7" w:rsidRDefault="00DF04E7">
            <w:pPr>
              <w:spacing w:after="0" w:line="240" w:lineRule="auto"/>
              <w:jc w:val="center"/>
              <w:rPr>
                <w:rFonts w:ascii="Times New Roman" w:eastAsia="Times New Roman" w:hAnsi="Times New Roman" w:cs="Times New Roman"/>
                <w:b/>
                <w:smallCaps/>
                <w:lang w:eastAsia="hu-HU"/>
              </w:rPr>
            </w:pPr>
            <w:r w:rsidRPr="00DF04E7">
              <w:rPr>
                <w:rFonts w:ascii="Times New Roman" w:eastAsia="Times New Roman" w:hAnsi="Times New Roman" w:cs="Times New Roman"/>
                <w:b/>
                <w:smallCaps/>
                <w:lang w:eastAsia="hu-HU"/>
              </w:rPr>
              <w:lastRenderedPageBreak/>
              <w:t>Nemzeti Közszolgálati Egyetem</w:t>
            </w:r>
          </w:p>
        </w:tc>
        <w:tc>
          <w:tcPr>
            <w:tcW w:w="1620" w:type="dxa"/>
          </w:tcPr>
          <w:p w:rsidR="00DF04E7" w:rsidRPr="00DF04E7" w:rsidRDefault="00DF04E7">
            <w:pPr>
              <w:spacing w:after="0" w:line="240" w:lineRule="auto"/>
              <w:jc w:val="both"/>
              <w:rPr>
                <w:rFonts w:ascii="Times New Roman" w:eastAsia="Times New Roman" w:hAnsi="Times New Roman" w:cs="Times New Roman"/>
                <w:lang w:eastAsia="hu-HU"/>
              </w:rPr>
            </w:pPr>
          </w:p>
        </w:tc>
        <w:tc>
          <w:tcPr>
            <w:tcW w:w="2597" w:type="dxa"/>
          </w:tcPr>
          <w:p w:rsidR="00DF04E7" w:rsidRPr="00DF04E7" w:rsidRDefault="00DF04E7">
            <w:pPr>
              <w:spacing w:after="0" w:line="240" w:lineRule="auto"/>
              <w:jc w:val="right"/>
              <w:rPr>
                <w:rFonts w:ascii="Times New Roman" w:eastAsia="Times New Roman" w:hAnsi="Times New Roman" w:cs="Times New Roman"/>
                <w:lang w:eastAsia="hu-HU"/>
              </w:rPr>
            </w:pPr>
          </w:p>
        </w:tc>
        <w:tc>
          <w:tcPr>
            <w:tcW w:w="2597" w:type="dxa"/>
          </w:tcPr>
          <w:p w:rsidR="00DF04E7" w:rsidRPr="00DF04E7" w:rsidRDefault="00DF04E7">
            <w:pPr>
              <w:spacing w:after="0" w:line="240" w:lineRule="auto"/>
              <w:jc w:val="right"/>
              <w:rPr>
                <w:rFonts w:ascii="Times New Roman" w:eastAsia="Times New Roman" w:hAnsi="Times New Roman" w:cs="Times New Roman"/>
                <w:lang w:eastAsia="hu-HU"/>
              </w:rPr>
            </w:pPr>
          </w:p>
        </w:tc>
      </w:tr>
      <w:tr w:rsidR="00DF04E7" w:rsidRPr="00DF04E7" w:rsidTr="00DF04E7">
        <w:tc>
          <w:tcPr>
            <w:tcW w:w="4855" w:type="dxa"/>
            <w:tcBorders>
              <w:top w:val="single" w:sz="4" w:space="0" w:color="auto"/>
              <w:left w:val="nil"/>
              <w:bottom w:val="nil"/>
              <w:right w:val="nil"/>
            </w:tcBorders>
            <w:hideMark/>
          </w:tcPr>
          <w:p w:rsidR="00DF04E7" w:rsidRPr="00DF04E7" w:rsidRDefault="00DF04E7">
            <w:pPr>
              <w:spacing w:after="0" w:line="240" w:lineRule="auto"/>
              <w:jc w:val="center"/>
              <w:rPr>
                <w:rFonts w:ascii="Times New Roman" w:eastAsia="Times New Roman" w:hAnsi="Times New Roman" w:cs="Times New Roman"/>
                <w:b/>
                <w:lang w:eastAsia="hu-HU"/>
              </w:rPr>
            </w:pPr>
            <w:r w:rsidRPr="00DF04E7">
              <w:rPr>
                <w:rFonts w:ascii="Times New Roman" w:hAnsi="Times New Roman" w:cs="Times New Roman"/>
                <w:b/>
              </w:rPr>
              <w:t>Hadtudományi és Honvédtisztképző Kar</w:t>
            </w:r>
          </w:p>
        </w:tc>
        <w:tc>
          <w:tcPr>
            <w:tcW w:w="1620" w:type="dxa"/>
          </w:tcPr>
          <w:p w:rsidR="00DF04E7" w:rsidRPr="00DF04E7" w:rsidRDefault="00DF04E7">
            <w:pPr>
              <w:spacing w:after="0" w:line="240" w:lineRule="auto"/>
              <w:jc w:val="both"/>
              <w:rPr>
                <w:rFonts w:ascii="Times New Roman" w:eastAsia="Times New Roman" w:hAnsi="Times New Roman" w:cs="Times New Roman"/>
                <w:lang w:eastAsia="hu-HU"/>
              </w:rPr>
            </w:pPr>
          </w:p>
        </w:tc>
        <w:tc>
          <w:tcPr>
            <w:tcW w:w="2597" w:type="dxa"/>
          </w:tcPr>
          <w:p w:rsidR="00DF04E7" w:rsidRPr="00DF04E7" w:rsidRDefault="00DF04E7">
            <w:pPr>
              <w:spacing w:after="0" w:line="240" w:lineRule="auto"/>
              <w:jc w:val="both"/>
              <w:rPr>
                <w:rFonts w:ascii="Times New Roman" w:eastAsia="Times New Roman" w:hAnsi="Times New Roman" w:cs="Times New Roman"/>
                <w:lang w:eastAsia="hu-HU"/>
              </w:rPr>
            </w:pPr>
          </w:p>
        </w:tc>
        <w:tc>
          <w:tcPr>
            <w:tcW w:w="2597" w:type="dxa"/>
          </w:tcPr>
          <w:p w:rsidR="00DF04E7" w:rsidRPr="00DF04E7" w:rsidRDefault="00DF04E7">
            <w:pPr>
              <w:spacing w:after="0" w:line="240" w:lineRule="auto"/>
              <w:jc w:val="both"/>
              <w:rPr>
                <w:rFonts w:ascii="Times New Roman" w:eastAsia="Times New Roman" w:hAnsi="Times New Roman" w:cs="Times New Roman"/>
                <w:lang w:eastAsia="hu-HU"/>
              </w:rPr>
            </w:pPr>
          </w:p>
        </w:tc>
      </w:tr>
    </w:tbl>
    <w:p w:rsidR="00DF04E7" w:rsidRPr="00DF04E7" w:rsidRDefault="00DF04E7" w:rsidP="00DF04E7">
      <w:pPr>
        <w:widowControl w:val="0"/>
        <w:spacing w:before="120" w:after="120" w:line="240" w:lineRule="auto"/>
        <w:ind w:left="426" w:hanging="142"/>
        <w:jc w:val="center"/>
        <w:rPr>
          <w:rFonts w:ascii="Times New Roman" w:eastAsia="Times New Roman" w:hAnsi="Times New Roman" w:cs="Times New Roman"/>
          <w:b/>
          <w:bCs/>
        </w:rPr>
      </w:pPr>
    </w:p>
    <w:p w:rsidR="00DF04E7" w:rsidRPr="00DF04E7" w:rsidRDefault="00DF04E7" w:rsidP="00DF04E7">
      <w:pPr>
        <w:widowControl w:val="0"/>
        <w:spacing w:before="120" w:after="120" w:line="240" w:lineRule="auto"/>
        <w:ind w:left="426" w:hanging="142"/>
        <w:jc w:val="center"/>
        <w:rPr>
          <w:rFonts w:ascii="Times New Roman" w:eastAsia="Times New Roman" w:hAnsi="Times New Roman" w:cs="Times New Roman"/>
          <w:b/>
          <w:bCs/>
        </w:rPr>
      </w:pPr>
      <w:r w:rsidRPr="00DF04E7">
        <w:rPr>
          <w:rFonts w:ascii="Times New Roman" w:eastAsia="Times New Roman" w:hAnsi="Times New Roman" w:cs="Times New Roman"/>
          <w:b/>
          <w:bCs/>
        </w:rPr>
        <w:t>TANTÁRGYI PROGRAM</w:t>
      </w:r>
    </w:p>
    <w:p w:rsidR="00DF04E7" w:rsidRPr="00DF04E7" w:rsidRDefault="00DF04E7" w:rsidP="00C14833">
      <w:pPr>
        <w:widowControl w:val="0"/>
        <w:numPr>
          <w:ilvl w:val="0"/>
          <w:numId w:val="155"/>
        </w:numPr>
        <w:spacing w:before="120" w:after="120" w:line="240" w:lineRule="auto"/>
        <w:ind w:left="426" w:hanging="142"/>
        <w:rPr>
          <w:rFonts w:ascii="Times New Roman" w:eastAsia="Times New Roman" w:hAnsi="Times New Roman" w:cs="Times New Roman"/>
          <w:bCs/>
        </w:rPr>
      </w:pPr>
      <w:r w:rsidRPr="00DF04E7">
        <w:rPr>
          <w:rFonts w:ascii="Times New Roman" w:eastAsia="Times New Roman" w:hAnsi="Times New Roman" w:cs="Times New Roman"/>
          <w:b/>
          <w:bCs/>
        </w:rPr>
        <w:t xml:space="preserve">A tantárgy kódja: </w:t>
      </w:r>
      <w:r w:rsidRPr="00DF04E7">
        <w:rPr>
          <w:rFonts w:ascii="Times New Roman" w:hAnsi="Times New Roman" w:cs="Times New Roman"/>
          <w:bCs/>
        </w:rPr>
        <w:t>HKTSKA05</w:t>
      </w:r>
    </w:p>
    <w:p w:rsidR="00DF04E7" w:rsidRPr="00DF04E7" w:rsidRDefault="00DF04E7" w:rsidP="00C14833">
      <w:pPr>
        <w:widowControl w:val="0"/>
        <w:numPr>
          <w:ilvl w:val="0"/>
          <w:numId w:val="155"/>
        </w:numPr>
        <w:spacing w:before="120" w:after="120" w:line="240" w:lineRule="auto"/>
        <w:ind w:left="426" w:hanging="142"/>
        <w:rPr>
          <w:rFonts w:ascii="Times New Roman" w:eastAsia="Times New Roman" w:hAnsi="Times New Roman" w:cs="Times New Roman"/>
          <w:b/>
          <w:bCs/>
          <w:lang w:val="en-GB"/>
        </w:rPr>
      </w:pPr>
      <w:r w:rsidRPr="00DF04E7">
        <w:rPr>
          <w:rFonts w:ascii="Times New Roman" w:eastAsia="Times New Roman" w:hAnsi="Times New Roman" w:cs="Times New Roman"/>
          <w:b/>
          <w:bCs/>
        </w:rPr>
        <w:t xml:space="preserve">A tantárgy megnevezése (magyarul): </w:t>
      </w:r>
      <w:r w:rsidRPr="00DF04E7">
        <w:rPr>
          <w:rFonts w:ascii="Times New Roman" w:hAnsi="Times New Roman" w:cs="Times New Roman"/>
          <w:bCs/>
        </w:rPr>
        <w:t xml:space="preserve">Katonai testnevelés V. </w:t>
      </w:r>
    </w:p>
    <w:p w:rsidR="00DF04E7" w:rsidRPr="00DF04E7" w:rsidRDefault="00DF04E7" w:rsidP="00C14833">
      <w:pPr>
        <w:widowControl w:val="0"/>
        <w:numPr>
          <w:ilvl w:val="0"/>
          <w:numId w:val="155"/>
        </w:numPr>
        <w:spacing w:before="120" w:after="120" w:line="240" w:lineRule="auto"/>
        <w:ind w:left="426" w:hanging="142"/>
        <w:rPr>
          <w:rFonts w:ascii="Times New Roman" w:eastAsia="Times New Roman" w:hAnsi="Times New Roman" w:cs="Times New Roman"/>
          <w:b/>
          <w:bCs/>
          <w:lang w:val="en-GB"/>
        </w:rPr>
      </w:pPr>
      <w:r w:rsidRPr="00DF04E7">
        <w:rPr>
          <w:rFonts w:ascii="Times New Roman" w:eastAsia="Times New Roman" w:hAnsi="Times New Roman" w:cs="Times New Roman"/>
          <w:b/>
          <w:bCs/>
        </w:rPr>
        <w:t xml:space="preserve">A tantárgy megnevezése (angolul): </w:t>
      </w:r>
      <w:r w:rsidRPr="00DF04E7">
        <w:rPr>
          <w:rFonts w:ascii="Times New Roman" w:hAnsi="Times New Roman" w:cs="Times New Roman"/>
          <w:bCs/>
        </w:rPr>
        <w:t>Military Physical Education V.</w:t>
      </w:r>
    </w:p>
    <w:p w:rsidR="00DF04E7" w:rsidRPr="00DF04E7" w:rsidRDefault="00DF04E7" w:rsidP="00C14833">
      <w:pPr>
        <w:widowControl w:val="0"/>
        <w:numPr>
          <w:ilvl w:val="0"/>
          <w:numId w:val="155"/>
        </w:numPr>
        <w:spacing w:before="120" w:after="120" w:line="240" w:lineRule="auto"/>
        <w:ind w:left="426" w:hanging="142"/>
        <w:rPr>
          <w:rFonts w:ascii="Times New Roman" w:eastAsia="Times New Roman" w:hAnsi="Times New Roman" w:cs="Times New Roman"/>
          <w:b/>
          <w:bCs/>
        </w:rPr>
      </w:pPr>
      <w:r w:rsidRPr="00DF04E7">
        <w:rPr>
          <w:rFonts w:ascii="Times New Roman" w:eastAsia="Times New Roman" w:hAnsi="Times New Roman" w:cs="Times New Roman"/>
          <w:b/>
          <w:bCs/>
        </w:rPr>
        <w:t xml:space="preserve">Kreditérték és képzési karakter: </w:t>
      </w:r>
    </w:p>
    <w:p w:rsidR="00DF04E7" w:rsidRPr="00DF04E7" w:rsidRDefault="00DF04E7" w:rsidP="00C14833">
      <w:pPr>
        <w:pStyle w:val="Listaszerbekezds"/>
        <w:widowControl w:val="0"/>
        <w:numPr>
          <w:ilvl w:val="1"/>
          <w:numId w:val="155"/>
        </w:numPr>
        <w:spacing w:before="120" w:after="120" w:line="240" w:lineRule="auto"/>
        <w:ind w:left="993" w:hanging="426"/>
        <w:rPr>
          <w:rFonts w:ascii="Times New Roman" w:eastAsia="Times New Roman" w:hAnsi="Times New Roman" w:cs="Times New Roman"/>
          <w:b/>
          <w:bCs/>
        </w:rPr>
      </w:pPr>
      <w:r w:rsidRPr="00DF04E7">
        <w:rPr>
          <w:rFonts w:ascii="Times New Roman" w:eastAsia="Times New Roman" w:hAnsi="Times New Roman" w:cs="Times New Roman"/>
          <w:bCs/>
        </w:rPr>
        <w:t>2 kredit</w:t>
      </w:r>
    </w:p>
    <w:p w:rsidR="00DF04E7" w:rsidRPr="00DF04E7" w:rsidRDefault="00DF04E7" w:rsidP="00C14833">
      <w:pPr>
        <w:pStyle w:val="Listaszerbekezds"/>
        <w:widowControl w:val="0"/>
        <w:numPr>
          <w:ilvl w:val="1"/>
          <w:numId w:val="155"/>
        </w:numPr>
        <w:spacing w:before="120" w:after="120" w:line="240" w:lineRule="auto"/>
        <w:ind w:left="993" w:hanging="426"/>
        <w:rPr>
          <w:rFonts w:ascii="Times New Roman" w:eastAsia="Times New Roman" w:hAnsi="Times New Roman" w:cs="Times New Roman"/>
          <w:b/>
          <w:bCs/>
        </w:rPr>
      </w:pPr>
      <w:r w:rsidRPr="00DF04E7">
        <w:rPr>
          <w:rFonts w:ascii="Times New Roman" w:eastAsia="Times New Roman" w:hAnsi="Times New Roman" w:cs="Times New Roman"/>
          <w:bCs/>
        </w:rPr>
        <w:t>a tantárgy elméleti vagy gyakorlati jellegének mértéke: 100% gyakorlat</w:t>
      </w:r>
    </w:p>
    <w:p w:rsidR="00DF04E7" w:rsidRPr="00DF04E7" w:rsidRDefault="00DF04E7" w:rsidP="00C14833">
      <w:pPr>
        <w:widowControl w:val="0"/>
        <w:numPr>
          <w:ilvl w:val="0"/>
          <w:numId w:val="155"/>
        </w:numPr>
        <w:spacing w:before="120" w:after="120" w:line="240" w:lineRule="auto"/>
        <w:ind w:left="426" w:hanging="142"/>
        <w:jc w:val="both"/>
        <w:rPr>
          <w:rFonts w:ascii="Times New Roman" w:eastAsia="Times New Roman" w:hAnsi="Times New Roman" w:cs="Times New Roman"/>
          <w:bCs/>
        </w:rPr>
      </w:pPr>
      <w:r w:rsidRPr="00DF04E7">
        <w:rPr>
          <w:rFonts w:ascii="Times New Roman" w:eastAsia="Times New Roman" w:hAnsi="Times New Roman" w:cs="Times New Roman"/>
          <w:b/>
          <w:bCs/>
        </w:rPr>
        <w:t xml:space="preserve">A szak(ok), szakirányok/specializációk megnevezése (ahol oktatják): </w:t>
      </w:r>
      <w:r w:rsidRPr="00DF04E7">
        <w:rPr>
          <w:rFonts w:ascii="Times New Roman" w:hAnsi="Times New Roman" w:cs="Times New Roman"/>
          <w:bCs/>
        </w:rPr>
        <w:t>Katonai Vezető-, Katonai Üzemeltetés-, Katonai Logisztika, Állami Légiközlekedési alapképzési szak.</w:t>
      </w:r>
    </w:p>
    <w:p w:rsidR="00DF04E7" w:rsidRPr="00DF04E7" w:rsidRDefault="00DF04E7" w:rsidP="00C14833">
      <w:pPr>
        <w:pStyle w:val="lfej"/>
        <w:numPr>
          <w:ilvl w:val="0"/>
          <w:numId w:val="155"/>
        </w:numPr>
        <w:tabs>
          <w:tab w:val="clear" w:pos="720"/>
          <w:tab w:val="right" w:pos="900"/>
        </w:tabs>
        <w:spacing w:before="120"/>
        <w:ind w:left="426" w:hanging="142"/>
        <w:jc w:val="both"/>
        <w:rPr>
          <w:rFonts w:ascii="Times New Roman" w:hAnsi="Times New Roman" w:cs="Times New Roman"/>
          <w:bCs/>
        </w:rPr>
      </w:pPr>
      <w:r w:rsidRPr="00DF04E7">
        <w:rPr>
          <w:rFonts w:ascii="Times New Roman" w:eastAsia="Times New Roman" w:hAnsi="Times New Roman" w:cs="Times New Roman"/>
          <w:b/>
          <w:bCs/>
        </w:rPr>
        <w:t xml:space="preserve">Az oktatásért felelős oktatási szervezeti egység megnevezése: </w:t>
      </w:r>
      <w:r w:rsidRPr="00DF04E7">
        <w:rPr>
          <w:rFonts w:ascii="Times New Roman" w:hAnsi="Times New Roman" w:cs="Times New Roman"/>
          <w:bCs/>
        </w:rPr>
        <w:t>Katonai Testnevelési és Sportközpont.</w:t>
      </w:r>
    </w:p>
    <w:p w:rsidR="00DF04E7" w:rsidRPr="00DF04E7" w:rsidRDefault="00DF04E7" w:rsidP="00C14833">
      <w:pPr>
        <w:pStyle w:val="lfej"/>
        <w:numPr>
          <w:ilvl w:val="0"/>
          <w:numId w:val="155"/>
        </w:numPr>
        <w:tabs>
          <w:tab w:val="clear" w:pos="720"/>
          <w:tab w:val="right" w:pos="900"/>
        </w:tabs>
        <w:spacing w:before="120"/>
        <w:ind w:left="426" w:hanging="142"/>
        <w:jc w:val="both"/>
        <w:rPr>
          <w:rFonts w:ascii="Times New Roman" w:hAnsi="Times New Roman" w:cs="Times New Roman"/>
          <w:bCs/>
        </w:rPr>
      </w:pPr>
      <w:r w:rsidRPr="00DF04E7">
        <w:rPr>
          <w:rFonts w:ascii="Times New Roman" w:eastAsia="Times New Roman" w:hAnsi="Times New Roman" w:cs="Times New Roman"/>
          <w:b/>
          <w:bCs/>
        </w:rPr>
        <w:t xml:space="preserve">A tantárgyfelelős oktató neve, beosztása, tudományos fokozata: </w:t>
      </w:r>
      <w:r w:rsidRPr="00DF04E7">
        <w:rPr>
          <w:rFonts w:ascii="Times New Roman" w:hAnsi="Times New Roman" w:cs="Times New Roman"/>
          <w:bCs/>
        </w:rPr>
        <w:t>Dr. Prókainé dr. Kovács Tímea alezredes Katonai Testnevelési és Sportközpont testnevelő tanár.</w:t>
      </w:r>
    </w:p>
    <w:p w:rsidR="00DF04E7" w:rsidRPr="00DF04E7" w:rsidRDefault="00DF04E7" w:rsidP="00C14833">
      <w:pPr>
        <w:widowControl w:val="0"/>
        <w:numPr>
          <w:ilvl w:val="0"/>
          <w:numId w:val="155"/>
        </w:numPr>
        <w:spacing w:before="120" w:after="120" w:line="240" w:lineRule="auto"/>
        <w:ind w:left="426" w:hanging="142"/>
        <w:rPr>
          <w:rFonts w:ascii="Times New Roman" w:eastAsia="Times New Roman" w:hAnsi="Times New Roman" w:cs="Times New Roman"/>
          <w:bCs/>
        </w:rPr>
      </w:pPr>
      <w:r w:rsidRPr="00DF04E7">
        <w:rPr>
          <w:rFonts w:ascii="Times New Roman" w:eastAsia="Times New Roman" w:hAnsi="Times New Roman" w:cs="Times New Roman"/>
          <w:b/>
          <w:bCs/>
        </w:rPr>
        <w:t>A tanórák száma és típusa</w:t>
      </w:r>
    </w:p>
    <w:p w:rsidR="00DF04E7" w:rsidRPr="00DF04E7" w:rsidRDefault="00DF04E7" w:rsidP="00C14833">
      <w:pPr>
        <w:widowControl w:val="0"/>
        <w:numPr>
          <w:ilvl w:val="1"/>
          <w:numId w:val="155"/>
        </w:numPr>
        <w:spacing w:before="120" w:after="120" w:line="240" w:lineRule="auto"/>
        <w:ind w:left="851" w:hanging="425"/>
        <w:rPr>
          <w:rFonts w:ascii="Times New Roman" w:eastAsia="Times New Roman" w:hAnsi="Times New Roman" w:cs="Times New Roman"/>
          <w:bCs/>
        </w:rPr>
      </w:pPr>
      <w:r w:rsidRPr="00DF04E7">
        <w:rPr>
          <w:rFonts w:ascii="Times New Roman" w:eastAsia="Times New Roman" w:hAnsi="Times New Roman" w:cs="Times New Roman"/>
          <w:bCs/>
        </w:rPr>
        <w:t>össz óraszám/félév: 56</w:t>
      </w:r>
    </w:p>
    <w:p w:rsidR="00DF04E7" w:rsidRPr="00DF04E7" w:rsidRDefault="00DF04E7" w:rsidP="00C14833">
      <w:pPr>
        <w:widowControl w:val="0"/>
        <w:numPr>
          <w:ilvl w:val="2"/>
          <w:numId w:val="155"/>
        </w:numPr>
        <w:tabs>
          <w:tab w:val="clear" w:pos="1800"/>
        </w:tabs>
        <w:spacing w:before="120" w:after="120" w:line="240" w:lineRule="auto"/>
        <w:ind w:left="1214"/>
        <w:rPr>
          <w:rFonts w:ascii="Times New Roman" w:eastAsia="Times New Roman" w:hAnsi="Times New Roman" w:cs="Times New Roman"/>
          <w:bCs/>
        </w:rPr>
      </w:pPr>
      <w:r w:rsidRPr="00DF04E7">
        <w:rPr>
          <w:rFonts w:ascii="Times New Roman" w:eastAsia="Times New Roman" w:hAnsi="Times New Roman" w:cs="Times New Roman"/>
          <w:bCs/>
        </w:rPr>
        <w:t>nappali munkarend: 56 (0 EA + 0 SZ + 56 GY)</w:t>
      </w:r>
    </w:p>
    <w:p w:rsidR="00DF04E7" w:rsidRPr="00DF04E7" w:rsidRDefault="00DF04E7" w:rsidP="00C14833">
      <w:pPr>
        <w:widowControl w:val="0"/>
        <w:numPr>
          <w:ilvl w:val="2"/>
          <w:numId w:val="155"/>
        </w:numPr>
        <w:tabs>
          <w:tab w:val="clear" w:pos="1800"/>
        </w:tabs>
        <w:spacing w:before="120" w:after="120" w:line="240" w:lineRule="auto"/>
        <w:ind w:left="1214"/>
        <w:rPr>
          <w:rFonts w:ascii="Times New Roman" w:eastAsia="Times New Roman" w:hAnsi="Times New Roman" w:cs="Times New Roman"/>
          <w:bCs/>
        </w:rPr>
      </w:pPr>
      <w:r w:rsidRPr="00DF04E7">
        <w:rPr>
          <w:rFonts w:ascii="Times New Roman" w:eastAsia="Times New Roman" w:hAnsi="Times New Roman" w:cs="Times New Roman"/>
          <w:bCs/>
        </w:rPr>
        <w:t>levelező munkarend: -</w:t>
      </w:r>
    </w:p>
    <w:p w:rsidR="00DF04E7" w:rsidRPr="00DF04E7" w:rsidRDefault="00DF04E7" w:rsidP="00C14833">
      <w:pPr>
        <w:widowControl w:val="0"/>
        <w:numPr>
          <w:ilvl w:val="1"/>
          <w:numId w:val="155"/>
        </w:numPr>
        <w:spacing w:before="120" w:after="120" w:line="240" w:lineRule="auto"/>
        <w:ind w:left="851" w:hanging="425"/>
        <w:rPr>
          <w:rFonts w:ascii="Times New Roman" w:eastAsia="Times New Roman" w:hAnsi="Times New Roman" w:cs="Times New Roman"/>
          <w:bCs/>
        </w:rPr>
      </w:pPr>
      <w:r w:rsidRPr="00DF04E7">
        <w:rPr>
          <w:rFonts w:ascii="Times New Roman" w:eastAsia="Times New Roman" w:hAnsi="Times New Roman" w:cs="Times New Roman"/>
          <w:bCs/>
        </w:rPr>
        <w:t>heti óraszám - nappali munkarend: 4</w:t>
      </w:r>
    </w:p>
    <w:p w:rsidR="00DF04E7" w:rsidRPr="00DF04E7" w:rsidRDefault="00DF04E7" w:rsidP="00C14833">
      <w:pPr>
        <w:widowControl w:val="0"/>
        <w:numPr>
          <w:ilvl w:val="1"/>
          <w:numId w:val="155"/>
        </w:numPr>
        <w:spacing w:before="120" w:after="120" w:line="240" w:lineRule="auto"/>
        <w:ind w:left="851" w:hanging="425"/>
        <w:rPr>
          <w:rFonts w:ascii="Times New Roman" w:eastAsia="Times New Roman" w:hAnsi="Times New Roman" w:cs="Times New Roman"/>
          <w:bCs/>
        </w:rPr>
      </w:pPr>
      <w:r w:rsidRPr="00DF04E7">
        <w:rPr>
          <w:rFonts w:ascii="Times New Roman" w:hAnsi="Times New Roman" w:cs="Times New Roman"/>
        </w:rPr>
        <w:t>Az ismeret átadásában alkalmazandó további sajátos módok, jellemzők:-</w:t>
      </w:r>
    </w:p>
    <w:p w:rsidR="00DF04E7" w:rsidRPr="00DF04E7" w:rsidRDefault="00DF04E7" w:rsidP="00C14833">
      <w:pPr>
        <w:widowControl w:val="0"/>
        <w:numPr>
          <w:ilvl w:val="0"/>
          <w:numId w:val="155"/>
        </w:numPr>
        <w:spacing w:before="120" w:after="120" w:line="240" w:lineRule="auto"/>
        <w:ind w:left="426" w:hanging="142"/>
        <w:jc w:val="both"/>
        <w:rPr>
          <w:rFonts w:ascii="Times New Roman" w:eastAsia="Times New Roman" w:hAnsi="Times New Roman" w:cs="Times New Roman"/>
          <w:bCs/>
        </w:rPr>
      </w:pPr>
      <w:r w:rsidRPr="00DF04E7">
        <w:rPr>
          <w:rFonts w:ascii="Times New Roman" w:eastAsia="Times New Roman" w:hAnsi="Times New Roman" w:cs="Times New Roman"/>
          <w:b/>
          <w:bCs/>
        </w:rPr>
        <w:t xml:space="preserve">A tantárgy szakmai tartalma (magyarul): </w:t>
      </w:r>
      <w:r w:rsidRPr="00DF04E7">
        <w:rPr>
          <w:rFonts w:ascii="Times New Roman" w:hAnsi="Times New Roman" w:cs="Times New Roman"/>
          <w:bCs/>
        </w:rPr>
        <w:t>Kondicionális képességek fejlesztése. Úszás- vízi kiképzés I., Katonai sportok, akadálypálya. Kézigránát hajítás.</w:t>
      </w:r>
    </w:p>
    <w:p w:rsidR="00DF04E7" w:rsidRPr="00DF04E7" w:rsidRDefault="00DF04E7" w:rsidP="00DF04E7">
      <w:pPr>
        <w:widowControl w:val="0"/>
        <w:spacing w:before="120" w:after="120" w:line="240" w:lineRule="auto"/>
        <w:ind w:left="426"/>
        <w:rPr>
          <w:rFonts w:ascii="Times New Roman" w:eastAsia="Times New Roman" w:hAnsi="Times New Roman" w:cs="Times New Roman"/>
          <w:bCs/>
          <w:lang w:val="en-GB"/>
        </w:rPr>
      </w:pPr>
      <w:r w:rsidRPr="00DF04E7">
        <w:rPr>
          <w:rFonts w:ascii="Times New Roman" w:eastAsia="Times New Roman" w:hAnsi="Times New Roman" w:cs="Times New Roman"/>
          <w:b/>
          <w:bCs/>
        </w:rPr>
        <w:t>A tantárgy szakmai tartalma (angolul) (</w:t>
      </w:r>
      <w:r w:rsidRPr="00DF04E7">
        <w:rPr>
          <w:rFonts w:ascii="Times New Roman" w:eastAsia="Times New Roman" w:hAnsi="Times New Roman" w:cs="Times New Roman"/>
          <w:b/>
          <w:bCs/>
          <w:lang w:val="en-US"/>
        </w:rPr>
        <w:t>Course description</w:t>
      </w:r>
      <w:r w:rsidRPr="00DF04E7">
        <w:rPr>
          <w:rFonts w:ascii="Times New Roman" w:eastAsia="Times New Roman" w:hAnsi="Times New Roman" w:cs="Times New Roman"/>
          <w:b/>
          <w:bCs/>
        </w:rPr>
        <w:t>):</w:t>
      </w:r>
    </w:p>
    <w:p w:rsidR="00DF04E7" w:rsidRPr="00DF04E7" w:rsidRDefault="00DF04E7" w:rsidP="00DF04E7">
      <w:pPr>
        <w:pStyle w:val="Listaszerbekezds"/>
        <w:widowControl w:val="0"/>
        <w:spacing w:before="120" w:after="120" w:line="240" w:lineRule="auto"/>
        <w:ind w:left="426"/>
        <w:jc w:val="both"/>
        <w:rPr>
          <w:rFonts w:ascii="Times New Roman" w:hAnsi="Times New Roman" w:cs="Times New Roman"/>
          <w:lang w:val="en-GB"/>
        </w:rPr>
      </w:pPr>
      <w:r w:rsidRPr="00DF04E7">
        <w:rPr>
          <w:rFonts w:ascii="Times New Roman" w:hAnsi="Times New Roman" w:cs="Times New Roman"/>
          <w:lang w:val="en-GB"/>
        </w:rPr>
        <w:t>Development of physical skills. Swimming water training I., Military sports, obstacle course, structure of the human body,basic anatomicknowledge. Hand grenade throwing.</w:t>
      </w:r>
    </w:p>
    <w:p w:rsidR="00DF04E7" w:rsidRPr="00DF04E7" w:rsidRDefault="00DF04E7" w:rsidP="00DF04E7">
      <w:pPr>
        <w:pStyle w:val="Listaszerbekezds"/>
        <w:widowControl w:val="0"/>
        <w:spacing w:before="120" w:after="120" w:line="240" w:lineRule="auto"/>
        <w:ind w:left="426"/>
        <w:jc w:val="both"/>
        <w:rPr>
          <w:rFonts w:ascii="Times New Roman" w:eastAsia="Times New Roman" w:hAnsi="Times New Roman" w:cs="Times New Roman"/>
          <w:bCs/>
          <w:lang w:val="en-GB"/>
        </w:rPr>
      </w:pPr>
    </w:p>
    <w:p w:rsidR="00DF04E7" w:rsidRPr="00DF04E7" w:rsidRDefault="00DF04E7" w:rsidP="00C14833">
      <w:pPr>
        <w:pStyle w:val="Listaszerbekezds"/>
        <w:widowControl w:val="0"/>
        <w:numPr>
          <w:ilvl w:val="0"/>
          <w:numId w:val="155"/>
        </w:numPr>
        <w:tabs>
          <w:tab w:val="clear" w:pos="720"/>
        </w:tabs>
        <w:spacing w:before="120" w:after="120" w:line="240" w:lineRule="auto"/>
        <w:ind w:left="426" w:hanging="142"/>
        <w:rPr>
          <w:rFonts w:ascii="Times New Roman" w:eastAsia="Times New Roman" w:hAnsi="Times New Roman" w:cs="Times New Roman"/>
          <w:bCs/>
        </w:rPr>
      </w:pPr>
      <w:r w:rsidRPr="00DF04E7">
        <w:rPr>
          <w:rFonts w:ascii="Times New Roman" w:eastAsia="Times New Roman" w:hAnsi="Times New Roman" w:cs="Times New Roman"/>
          <w:b/>
          <w:bCs/>
        </w:rPr>
        <w:t>Elérendő kompetenciák (magyarul):</w:t>
      </w:r>
    </w:p>
    <w:p w:rsidR="00DF04E7" w:rsidRPr="00DF04E7" w:rsidRDefault="00DF04E7" w:rsidP="00DF04E7">
      <w:pPr>
        <w:widowControl w:val="0"/>
        <w:spacing w:before="120" w:after="120" w:line="240" w:lineRule="auto"/>
        <w:ind w:left="426"/>
        <w:jc w:val="both"/>
        <w:rPr>
          <w:rFonts w:ascii="Times New Roman" w:eastAsia="Times New Roman" w:hAnsi="Times New Roman" w:cs="Times New Roman"/>
          <w:b/>
          <w:bCs/>
        </w:rPr>
      </w:pPr>
      <w:r w:rsidRPr="00DF04E7">
        <w:rPr>
          <w:rFonts w:ascii="Times New Roman" w:eastAsia="Times New Roman" w:hAnsi="Times New Roman" w:cs="Times New Roman"/>
          <w:b/>
          <w:bCs/>
        </w:rPr>
        <w:t xml:space="preserve">Tudása: </w:t>
      </w:r>
    </w:p>
    <w:p w:rsidR="00DF04E7" w:rsidRPr="00DF04E7" w:rsidRDefault="00DF04E7" w:rsidP="00C14833">
      <w:pPr>
        <w:pStyle w:val="Listaszerbekezds"/>
        <w:widowControl w:val="0"/>
        <w:numPr>
          <w:ilvl w:val="0"/>
          <w:numId w:val="154"/>
        </w:numPr>
        <w:spacing w:before="120" w:after="120" w:line="240" w:lineRule="auto"/>
        <w:jc w:val="both"/>
        <w:rPr>
          <w:rFonts w:ascii="Times New Roman" w:eastAsia="Times New Roman" w:hAnsi="Times New Roman" w:cs="Times New Roman"/>
          <w:bCs/>
        </w:rPr>
      </w:pPr>
      <w:r w:rsidRPr="00DF04E7">
        <w:rPr>
          <w:rFonts w:ascii="Times New Roman" w:eastAsia="Times New Roman" w:hAnsi="Times New Roman" w:cs="Times New Roman"/>
          <w:bCs/>
        </w:rPr>
        <w:t xml:space="preserve">Az NKE honvéd tisztjelöltjei sajátítsák el a vízhez szoktatás gyakorlatait. </w:t>
      </w:r>
    </w:p>
    <w:p w:rsidR="00DF04E7" w:rsidRPr="00DF04E7" w:rsidRDefault="00DF04E7" w:rsidP="00C14833">
      <w:pPr>
        <w:pStyle w:val="Listaszerbekezds"/>
        <w:widowControl w:val="0"/>
        <w:numPr>
          <w:ilvl w:val="0"/>
          <w:numId w:val="154"/>
        </w:numPr>
        <w:spacing w:before="120" w:after="120" w:line="240" w:lineRule="auto"/>
        <w:jc w:val="both"/>
        <w:rPr>
          <w:rFonts w:ascii="Times New Roman" w:eastAsia="Times New Roman" w:hAnsi="Times New Roman" w:cs="Times New Roman"/>
          <w:bCs/>
        </w:rPr>
      </w:pPr>
      <w:r w:rsidRPr="00DF04E7">
        <w:rPr>
          <w:rFonts w:ascii="Times New Roman" w:eastAsia="Times New Roman" w:hAnsi="Times New Roman" w:cs="Times New Roman"/>
          <w:bCs/>
        </w:rPr>
        <w:t xml:space="preserve">A mell-hát-gyors úszás technikájának jártasság vagy készség szintű ismerete. </w:t>
      </w:r>
    </w:p>
    <w:p w:rsidR="00DF04E7" w:rsidRPr="00DF04E7" w:rsidRDefault="00DF04E7" w:rsidP="00C14833">
      <w:pPr>
        <w:pStyle w:val="Listaszerbekezds"/>
        <w:widowControl w:val="0"/>
        <w:numPr>
          <w:ilvl w:val="0"/>
          <w:numId w:val="154"/>
        </w:numPr>
        <w:spacing w:before="120" w:after="120" w:line="240" w:lineRule="auto"/>
        <w:jc w:val="both"/>
        <w:rPr>
          <w:rFonts w:ascii="Times New Roman" w:eastAsia="Times New Roman" w:hAnsi="Times New Roman" w:cs="Times New Roman"/>
          <w:bCs/>
        </w:rPr>
      </w:pPr>
      <w:r w:rsidRPr="00DF04E7">
        <w:rPr>
          <w:rFonts w:ascii="Times New Roman" w:eastAsia="Times New Roman" w:hAnsi="Times New Roman" w:cs="Times New Roman"/>
          <w:bCs/>
        </w:rPr>
        <w:t xml:space="preserve">Úszás versenyszabályzat ismerete. </w:t>
      </w:r>
    </w:p>
    <w:p w:rsidR="00DF04E7" w:rsidRPr="00DF04E7" w:rsidRDefault="00DF04E7" w:rsidP="00C14833">
      <w:pPr>
        <w:pStyle w:val="Listaszerbekezds"/>
        <w:widowControl w:val="0"/>
        <w:numPr>
          <w:ilvl w:val="0"/>
          <w:numId w:val="154"/>
        </w:numPr>
        <w:spacing w:before="120" w:after="120" w:line="240" w:lineRule="auto"/>
        <w:jc w:val="both"/>
        <w:rPr>
          <w:rFonts w:ascii="Times New Roman" w:eastAsia="Times New Roman" w:hAnsi="Times New Roman" w:cs="Times New Roman"/>
          <w:bCs/>
        </w:rPr>
      </w:pPr>
      <w:r w:rsidRPr="00DF04E7">
        <w:rPr>
          <w:rFonts w:ascii="Times New Roman" w:eastAsia="Times New Roman" w:hAnsi="Times New Roman" w:cs="Times New Roman"/>
          <w:bCs/>
        </w:rPr>
        <w:t xml:space="preserve">A katonai sportversenyek megismerése, a szükséges képességek elsajátítása. </w:t>
      </w:r>
    </w:p>
    <w:p w:rsidR="00DF04E7" w:rsidRPr="00DF04E7" w:rsidRDefault="00DF04E7" w:rsidP="00C14833">
      <w:pPr>
        <w:pStyle w:val="Listaszerbekezds"/>
        <w:widowControl w:val="0"/>
        <w:numPr>
          <w:ilvl w:val="0"/>
          <w:numId w:val="154"/>
        </w:numPr>
        <w:spacing w:before="120" w:after="120" w:line="240" w:lineRule="auto"/>
        <w:jc w:val="both"/>
        <w:rPr>
          <w:rFonts w:ascii="Times New Roman" w:eastAsia="Times New Roman" w:hAnsi="Times New Roman" w:cs="Times New Roman"/>
          <w:bCs/>
        </w:rPr>
      </w:pPr>
      <w:r w:rsidRPr="00DF04E7">
        <w:rPr>
          <w:rFonts w:ascii="Times New Roman" w:eastAsia="Times New Roman" w:hAnsi="Times New Roman" w:cs="Times New Roman"/>
          <w:bCs/>
        </w:rPr>
        <w:t>Elméleti ismeretszerzés a testünk felépítéséről.</w:t>
      </w:r>
    </w:p>
    <w:p w:rsidR="00DF04E7" w:rsidRPr="00DF04E7" w:rsidRDefault="00DF04E7" w:rsidP="00DF04E7">
      <w:pPr>
        <w:widowControl w:val="0"/>
        <w:spacing w:before="120" w:after="120" w:line="240" w:lineRule="auto"/>
        <w:ind w:left="426"/>
        <w:jc w:val="both"/>
        <w:rPr>
          <w:rFonts w:ascii="Times New Roman" w:eastAsia="Times New Roman" w:hAnsi="Times New Roman" w:cs="Times New Roman"/>
          <w:b/>
          <w:bCs/>
        </w:rPr>
      </w:pPr>
      <w:r w:rsidRPr="00DF04E7">
        <w:rPr>
          <w:rFonts w:ascii="Times New Roman" w:eastAsia="Times New Roman" w:hAnsi="Times New Roman" w:cs="Times New Roman"/>
          <w:b/>
          <w:bCs/>
        </w:rPr>
        <w:t xml:space="preserve">Képességei: </w:t>
      </w:r>
    </w:p>
    <w:p w:rsidR="00DF04E7" w:rsidRPr="00DF04E7" w:rsidRDefault="00DF04E7" w:rsidP="00C14833">
      <w:pPr>
        <w:pStyle w:val="Listaszerbekezds"/>
        <w:widowControl w:val="0"/>
        <w:numPr>
          <w:ilvl w:val="0"/>
          <w:numId w:val="154"/>
        </w:numPr>
        <w:spacing w:before="120" w:after="120" w:line="240" w:lineRule="auto"/>
        <w:jc w:val="both"/>
        <w:rPr>
          <w:rFonts w:ascii="Times New Roman" w:eastAsia="Times New Roman" w:hAnsi="Times New Roman" w:cs="Times New Roman"/>
          <w:bCs/>
        </w:rPr>
      </w:pPr>
      <w:r w:rsidRPr="00DF04E7">
        <w:rPr>
          <w:rFonts w:ascii="Times New Roman" w:eastAsia="Times New Roman" w:hAnsi="Times New Roman" w:cs="Times New Roman"/>
          <w:bCs/>
        </w:rPr>
        <w:t xml:space="preserve">Képes legyen a választott úszásnem 200 méter leúszására. </w:t>
      </w:r>
    </w:p>
    <w:p w:rsidR="00DF04E7" w:rsidRPr="00DF04E7" w:rsidRDefault="00DF04E7" w:rsidP="00C14833">
      <w:pPr>
        <w:pStyle w:val="Listaszerbekezds"/>
        <w:widowControl w:val="0"/>
        <w:numPr>
          <w:ilvl w:val="0"/>
          <w:numId w:val="154"/>
        </w:numPr>
        <w:spacing w:before="120" w:after="120" w:line="240" w:lineRule="auto"/>
        <w:jc w:val="both"/>
        <w:rPr>
          <w:rFonts w:ascii="Times New Roman" w:eastAsia="Times New Roman" w:hAnsi="Times New Roman" w:cs="Times New Roman"/>
          <w:bCs/>
        </w:rPr>
      </w:pPr>
      <w:r w:rsidRPr="00DF04E7">
        <w:rPr>
          <w:rFonts w:ascii="Times New Roman" w:eastAsia="Times New Roman" w:hAnsi="Times New Roman" w:cs="Times New Roman"/>
          <w:bCs/>
        </w:rPr>
        <w:t xml:space="preserve">Képes az egészséges életmód tervezésére. </w:t>
      </w:r>
    </w:p>
    <w:p w:rsidR="00DF04E7" w:rsidRPr="00DF04E7" w:rsidRDefault="00DF04E7" w:rsidP="00C14833">
      <w:pPr>
        <w:pStyle w:val="Listaszerbekezds"/>
        <w:widowControl w:val="0"/>
        <w:numPr>
          <w:ilvl w:val="0"/>
          <w:numId w:val="154"/>
        </w:numPr>
        <w:spacing w:before="120" w:after="120" w:line="240" w:lineRule="auto"/>
        <w:jc w:val="both"/>
        <w:rPr>
          <w:rFonts w:ascii="Times New Roman" w:eastAsia="Times New Roman" w:hAnsi="Times New Roman" w:cs="Times New Roman"/>
          <w:bCs/>
        </w:rPr>
      </w:pPr>
      <w:r w:rsidRPr="00DF04E7">
        <w:rPr>
          <w:rFonts w:ascii="Times New Roman" w:eastAsia="Times New Roman" w:hAnsi="Times New Roman" w:cs="Times New Roman"/>
          <w:bCs/>
        </w:rPr>
        <w:t>Képes a balesetek esetén elsősegélynyújtásra.</w:t>
      </w:r>
    </w:p>
    <w:p w:rsidR="00DF04E7" w:rsidRPr="00DF04E7" w:rsidRDefault="00DF04E7" w:rsidP="00DF04E7">
      <w:pPr>
        <w:widowControl w:val="0"/>
        <w:spacing w:before="120" w:after="120" w:line="240" w:lineRule="auto"/>
        <w:ind w:left="426"/>
        <w:jc w:val="both"/>
        <w:rPr>
          <w:rFonts w:ascii="Times New Roman" w:eastAsia="Times New Roman" w:hAnsi="Times New Roman" w:cs="Times New Roman"/>
          <w:b/>
          <w:bCs/>
        </w:rPr>
      </w:pPr>
      <w:r w:rsidRPr="00DF04E7">
        <w:rPr>
          <w:rFonts w:ascii="Times New Roman" w:eastAsia="Times New Roman" w:hAnsi="Times New Roman" w:cs="Times New Roman"/>
          <w:b/>
          <w:bCs/>
        </w:rPr>
        <w:t xml:space="preserve">Attitűdje: </w:t>
      </w:r>
    </w:p>
    <w:p w:rsidR="00DF04E7" w:rsidRPr="00DF04E7" w:rsidRDefault="00DF04E7" w:rsidP="00C14833">
      <w:pPr>
        <w:pStyle w:val="Listaszerbekezds"/>
        <w:widowControl w:val="0"/>
        <w:numPr>
          <w:ilvl w:val="0"/>
          <w:numId w:val="154"/>
        </w:numPr>
        <w:spacing w:before="120" w:after="120" w:line="240" w:lineRule="auto"/>
        <w:jc w:val="both"/>
        <w:rPr>
          <w:rFonts w:ascii="Times New Roman" w:eastAsia="Times New Roman" w:hAnsi="Times New Roman" w:cs="Times New Roman"/>
          <w:bCs/>
        </w:rPr>
      </w:pPr>
      <w:r w:rsidRPr="00DF04E7">
        <w:rPr>
          <w:rFonts w:ascii="Times New Roman" w:eastAsia="Times New Roman" w:hAnsi="Times New Roman" w:cs="Times New Roman"/>
          <w:bCs/>
        </w:rPr>
        <w:t xml:space="preserve">Mélyen elkötelezett a minőségi sportszakmai munkavégzés mellett. </w:t>
      </w:r>
    </w:p>
    <w:p w:rsidR="00DF04E7" w:rsidRPr="00DF04E7" w:rsidRDefault="00DF04E7" w:rsidP="00C14833">
      <w:pPr>
        <w:pStyle w:val="Listaszerbekezds"/>
        <w:widowControl w:val="0"/>
        <w:numPr>
          <w:ilvl w:val="0"/>
          <w:numId w:val="154"/>
        </w:numPr>
        <w:spacing w:before="120" w:after="120" w:line="240" w:lineRule="auto"/>
        <w:jc w:val="both"/>
        <w:rPr>
          <w:rFonts w:ascii="Times New Roman" w:eastAsia="Times New Roman" w:hAnsi="Times New Roman" w:cs="Times New Roman"/>
          <w:bCs/>
        </w:rPr>
      </w:pPr>
      <w:r w:rsidRPr="00DF04E7">
        <w:rPr>
          <w:rFonts w:ascii="Times New Roman" w:eastAsia="Times New Roman" w:hAnsi="Times New Roman" w:cs="Times New Roman"/>
          <w:bCs/>
        </w:rPr>
        <w:t xml:space="preserve">Az egészséges életmódra a fizikai erőnlét fejlesztésére ösztönző szemléletmóddal rendelkezik. </w:t>
      </w:r>
    </w:p>
    <w:p w:rsidR="00DF04E7" w:rsidRPr="00DF04E7" w:rsidRDefault="00DF04E7" w:rsidP="00C14833">
      <w:pPr>
        <w:pStyle w:val="Listaszerbekezds"/>
        <w:widowControl w:val="0"/>
        <w:numPr>
          <w:ilvl w:val="0"/>
          <w:numId w:val="154"/>
        </w:numPr>
        <w:spacing w:before="120" w:after="120" w:line="240" w:lineRule="auto"/>
        <w:jc w:val="both"/>
        <w:rPr>
          <w:rFonts w:ascii="Times New Roman" w:eastAsia="Times New Roman" w:hAnsi="Times New Roman" w:cs="Times New Roman"/>
          <w:bCs/>
        </w:rPr>
      </w:pPr>
      <w:r w:rsidRPr="00DF04E7">
        <w:rPr>
          <w:rFonts w:ascii="Times New Roman" w:eastAsia="Times New Roman" w:hAnsi="Times New Roman" w:cs="Times New Roman"/>
          <w:bCs/>
        </w:rPr>
        <w:lastRenderedPageBreak/>
        <w:t>Törekszik a problémák megoldására a sport és hadtudomány területén.</w:t>
      </w:r>
    </w:p>
    <w:p w:rsidR="00DF04E7" w:rsidRPr="00DF04E7" w:rsidRDefault="00DF04E7" w:rsidP="00DF04E7">
      <w:pPr>
        <w:widowControl w:val="0"/>
        <w:spacing w:before="120" w:after="120" w:line="240" w:lineRule="auto"/>
        <w:ind w:left="426"/>
        <w:jc w:val="both"/>
        <w:rPr>
          <w:rFonts w:ascii="Times New Roman" w:eastAsia="Times New Roman" w:hAnsi="Times New Roman" w:cs="Times New Roman"/>
          <w:b/>
          <w:bCs/>
        </w:rPr>
      </w:pPr>
      <w:r w:rsidRPr="00DF04E7">
        <w:rPr>
          <w:rFonts w:ascii="Times New Roman" w:eastAsia="Times New Roman" w:hAnsi="Times New Roman" w:cs="Times New Roman"/>
          <w:b/>
          <w:bCs/>
        </w:rPr>
        <w:t>Autonómiája és felelőssége:</w:t>
      </w:r>
    </w:p>
    <w:p w:rsidR="00DF04E7" w:rsidRPr="00DF04E7" w:rsidRDefault="00DF04E7" w:rsidP="00C14833">
      <w:pPr>
        <w:pStyle w:val="Listaszerbekezds"/>
        <w:widowControl w:val="0"/>
        <w:numPr>
          <w:ilvl w:val="0"/>
          <w:numId w:val="154"/>
        </w:numPr>
        <w:spacing w:before="120" w:after="120" w:line="240" w:lineRule="auto"/>
        <w:jc w:val="both"/>
        <w:rPr>
          <w:rFonts w:ascii="Times New Roman" w:eastAsia="Times New Roman" w:hAnsi="Times New Roman" w:cs="Times New Roman"/>
          <w:bCs/>
        </w:rPr>
      </w:pPr>
      <w:r w:rsidRPr="00DF04E7">
        <w:rPr>
          <w:rFonts w:ascii="Times New Roman" w:eastAsia="Times New Roman" w:hAnsi="Times New Roman" w:cs="Times New Roman"/>
          <w:bCs/>
        </w:rPr>
        <w:t xml:space="preserve">A tanult mozgáskészletet kreatívan használja, eredeti mozgásokat, mozgásfolyamatokat, játékokat alkot. </w:t>
      </w:r>
    </w:p>
    <w:p w:rsidR="00DF04E7" w:rsidRPr="00DF04E7" w:rsidRDefault="00DF04E7" w:rsidP="00C14833">
      <w:pPr>
        <w:pStyle w:val="Listaszerbekezds"/>
        <w:widowControl w:val="0"/>
        <w:numPr>
          <w:ilvl w:val="0"/>
          <w:numId w:val="154"/>
        </w:numPr>
        <w:spacing w:before="120" w:after="120" w:line="240" w:lineRule="auto"/>
        <w:jc w:val="both"/>
        <w:rPr>
          <w:rFonts w:ascii="Times New Roman" w:eastAsia="Times New Roman" w:hAnsi="Times New Roman" w:cs="Times New Roman"/>
          <w:bCs/>
        </w:rPr>
      </w:pPr>
      <w:r w:rsidRPr="00DF04E7">
        <w:rPr>
          <w:rFonts w:ascii="Times New Roman" w:eastAsia="Times New Roman" w:hAnsi="Times New Roman" w:cs="Times New Roman"/>
          <w:bCs/>
        </w:rPr>
        <w:t>Nyitott az új és bevált nemzetközi elsősorban európai módszertan, illetve gyakorlat iránt, hogy hívatása gyakorlása során megfeleljen az új követelményeknek, kihívásoknak.</w:t>
      </w:r>
    </w:p>
    <w:p w:rsidR="00DF04E7" w:rsidRPr="00DF04E7" w:rsidRDefault="00DF04E7" w:rsidP="00DF04E7">
      <w:pPr>
        <w:widowControl w:val="0"/>
        <w:spacing w:before="120" w:after="120" w:line="240" w:lineRule="auto"/>
        <w:ind w:left="426"/>
        <w:rPr>
          <w:rFonts w:ascii="Times New Roman" w:eastAsia="Times New Roman" w:hAnsi="Times New Roman" w:cs="Times New Roman"/>
          <w:b/>
          <w:bCs/>
          <w:lang w:val="en-US"/>
        </w:rPr>
      </w:pPr>
      <w:r w:rsidRPr="00DF04E7">
        <w:rPr>
          <w:rFonts w:ascii="Times New Roman" w:eastAsia="Times New Roman" w:hAnsi="Times New Roman" w:cs="Times New Roman"/>
          <w:b/>
          <w:bCs/>
        </w:rPr>
        <w:t>Elérendő kompetenciák (angolul) (</w:t>
      </w:r>
      <w:r w:rsidRPr="00DF04E7">
        <w:rPr>
          <w:rFonts w:ascii="Times New Roman" w:eastAsia="Times New Roman" w:hAnsi="Times New Roman" w:cs="Times New Roman"/>
          <w:b/>
          <w:bCs/>
          <w:lang w:val="en-US"/>
        </w:rPr>
        <w:t xml:space="preserve">Competences – English): </w:t>
      </w:r>
    </w:p>
    <w:p w:rsidR="00DF04E7" w:rsidRPr="00DF04E7" w:rsidRDefault="00DF04E7" w:rsidP="00DF04E7">
      <w:pPr>
        <w:ind w:left="426"/>
        <w:jc w:val="both"/>
        <w:rPr>
          <w:rFonts w:ascii="Times New Roman" w:eastAsia="Times New Roman" w:hAnsi="Times New Roman" w:cs="Times New Roman"/>
          <w:lang w:val="en-GB"/>
        </w:rPr>
      </w:pPr>
      <w:r w:rsidRPr="00DF04E7">
        <w:rPr>
          <w:rFonts w:ascii="Times New Roman" w:eastAsia="Times New Roman" w:hAnsi="Times New Roman" w:cs="Times New Roman"/>
          <w:b/>
          <w:lang w:val="en-GB"/>
        </w:rPr>
        <w:t>Knowledge</w:t>
      </w:r>
      <w:r w:rsidRPr="00DF04E7">
        <w:rPr>
          <w:rFonts w:ascii="Times New Roman" w:eastAsia="Times New Roman" w:hAnsi="Times New Roman" w:cs="Times New Roman"/>
          <w:lang w:val="en-GB"/>
        </w:rPr>
        <w:t>:</w:t>
      </w:r>
    </w:p>
    <w:p w:rsidR="00DF04E7" w:rsidRPr="00DF04E7" w:rsidRDefault="00DF04E7" w:rsidP="00C14833">
      <w:pPr>
        <w:pStyle w:val="Listaszerbekezds"/>
        <w:numPr>
          <w:ilvl w:val="0"/>
          <w:numId w:val="154"/>
        </w:numPr>
        <w:spacing w:line="256" w:lineRule="auto"/>
        <w:jc w:val="both"/>
        <w:rPr>
          <w:rFonts w:ascii="Times New Roman" w:eastAsia="Times New Roman" w:hAnsi="Times New Roman" w:cs="Times New Roman"/>
          <w:lang w:val="en-GB"/>
        </w:rPr>
      </w:pPr>
      <w:r w:rsidRPr="00DF04E7">
        <w:rPr>
          <w:rFonts w:ascii="Times New Roman" w:eastAsia="Times New Roman" w:hAnsi="Times New Roman" w:cs="Times New Roman"/>
          <w:lang w:val="en-GB"/>
        </w:rPr>
        <w:t xml:space="preserve"> </w:t>
      </w:r>
      <w:r w:rsidRPr="00DF04E7">
        <w:rPr>
          <w:rFonts w:ascii="Times New Roman" w:hAnsi="Times New Roman" w:cs="Times New Roman"/>
          <w:lang w:val="en-GB"/>
        </w:rPr>
        <w:t xml:space="preserve">NUPS officer cadet should master water education exercises. </w:t>
      </w:r>
    </w:p>
    <w:p w:rsidR="00DF04E7" w:rsidRPr="00DF04E7" w:rsidRDefault="00DF04E7" w:rsidP="00C14833">
      <w:pPr>
        <w:pStyle w:val="Listaszerbekezds"/>
        <w:numPr>
          <w:ilvl w:val="0"/>
          <w:numId w:val="154"/>
        </w:numPr>
        <w:spacing w:line="256" w:lineRule="auto"/>
        <w:jc w:val="both"/>
        <w:rPr>
          <w:rFonts w:ascii="Times New Roman" w:eastAsia="Times New Roman" w:hAnsi="Times New Roman" w:cs="Times New Roman"/>
          <w:lang w:val="en-GB"/>
        </w:rPr>
      </w:pPr>
      <w:r w:rsidRPr="00DF04E7">
        <w:rPr>
          <w:rFonts w:ascii="Times New Roman" w:hAnsi="Times New Roman" w:cs="Times New Roman"/>
          <w:lang w:val="en-GB"/>
        </w:rPr>
        <w:t xml:space="preserve">Knowledge of proficiency or ability in the technique of breast-back- freestyle swim. </w:t>
      </w:r>
    </w:p>
    <w:p w:rsidR="00DF04E7" w:rsidRPr="00DF04E7" w:rsidRDefault="00DF04E7" w:rsidP="00C14833">
      <w:pPr>
        <w:pStyle w:val="Listaszerbekezds"/>
        <w:numPr>
          <w:ilvl w:val="0"/>
          <w:numId w:val="154"/>
        </w:numPr>
        <w:spacing w:line="256" w:lineRule="auto"/>
        <w:jc w:val="both"/>
        <w:rPr>
          <w:rFonts w:ascii="Times New Roman" w:eastAsia="Times New Roman" w:hAnsi="Times New Roman" w:cs="Times New Roman"/>
          <w:lang w:val="en-GB"/>
        </w:rPr>
      </w:pPr>
      <w:r w:rsidRPr="00DF04E7">
        <w:rPr>
          <w:rFonts w:ascii="Times New Roman" w:hAnsi="Times New Roman" w:cs="Times New Roman"/>
          <w:lang w:val="en-GB"/>
        </w:rPr>
        <w:t xml:space="preserve">Knowledge of swimming competition rules. </w:t>
      </w:r>
    </w:p>
    <w:p w:rsidR="00DF04E7" w:rsidRPr="00DF04E7" w:rsidRDefault="00DF04E7" w:rsidP="00C14833">
      <w:pPr>
        <w:pStyle w:val="Listaszerbekezds"/>
        <w:numPr>
          <w:ilvl w:val="0"/>
          <w:numId w:val="154"/>
        </w:numPr>
        <w:spacing w:line="256" w:lineRule="auto"/>
        <w:jc w:val="both"/>
        <w:rPr>
          <w:rFonts w:ascii="Times New Roman" w:eastAsia="Times New Roman" w:hAnsi="Times New Roman" w:cs="Times New Roman"/>
          <w:lang w:val="en-GB"/>
        </w:rPr>
      </w:pPr>
      <w:r w:rsidRPr="00DF04E7">
        <w:rPr>
          <w:rFonts w:ascii="Times New Roman" w:hAnsi="Times New Roman" w:cs="Times New Roman"/>
          <w:lang w:val="en-GB"/>
        </w:rPr>
        <w:t xml:space="preserve">To learn about military sports competitions, to acquire the necessary skills. </w:t>
      </w:r>
    </w:p>
    <w:p w:rsidR="00DF04E7" w:rsidRPr="00DF04E7" w:rsidRDefault="00DF04E7" w:rsidP="00C14833">
      <w:pPr>
        <w:pStyle w:val="Listaszerbekezds"/>
        <w:numPr>
          <w:ilvl w:val="0"/>
          <w:numId w:val="154"/>
        </w:numPr>
        <w:spacing w:line="256" w:lineRule="auto"/>
        <w:jc w:val="both"/>
        <w:rPr>
          <w:rFonts w:ascii="Times New Roman" w:eastAsia="Times New Roman" w:hAnsi="Times New Roman" w:cs="Times New Roman"/>
          <w:lang w:val="en-GB"/>
        </w:rPr>
      </w:pPr>
      <w:r w:rsidRPr="00DF04E7">
        <w:rPr>
          <w:rFonts w:ascii="Times New Roman" w:hAnsi="Times New Roman" w:cs="Times New Roman"/>
          <w:lang w:val="en-GB"/>
        </w:rPr>
        <w:t>Theoretical knowledge of the structure of our body.</w:t>
      </w:r>
    </w:p>
    <w:p w:rsidR="00DF04E7" w:rsidRPr="00DF04E7" w:rsidRDefault="00DF04E7" w:rsidP="00DF04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Times New Roman" w:eastAsia="Times New Roman" w:hAnsi="Times New Roman" w:cs="Times New Roman"/>
          <w:lang w:val="en-GB"/>
        </w:rPr>
      </w:pPr>
      <w:r w:rsidRPr="00DF04E7">
        <w:rPr>
          <w:rFonts w:ascii="Times New Roman" w:eastAsia="Times New Roman" w:hAnsi="Times New Roman" w:cs="Times New Roman"/>
          <w:b/>
          <w:lang w:val="en-GB"/>
        </w:rPr>
        <w:t>Capabilities</w:t>
      </w:r>
      <w:r w:rsidRPr="00DF04E7">
        <w:rPr>
          <w:rFonts w:ascii="Times New Roman" w:eastAsia="Times New Roman" w:hAnsi="Times New Roman" w:cs="Times New Roman"/>
          <w:lang w:val="en-GB"/>
        </w:rPr>
        <w:t xml:space="preserve">: </w:t>
      </w:r>
    </w:p>
    <w:p w:rsidR="00DF04E7" w:rsidRPr="00DF04E7" w:rsidRDefault="00DF04E7" w:rsidP="00C14833">
      <w:pPr>
        <w:pStyle w:val="Listaszerbekezds"/>
        <w:numPr>
          <w:ilvl w:val="0"/>
          <w:numId w:val="15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eastAsia="Times New Roman" w:hAnsi="Times New Roman" w:cs="Times New Roman"/>
          <w:lang w:val="en-GB"/>
        </w:rPr>
      </w:pPr>
      <w:r w:rsidRPr="00DF04E7">
        <w:rPr>
          <w:rFonts w:ascii="Times New Roman" w:eastAsia="Times New Roman" w:hAnsi="Times New Roman" w:cs="Times New Roman"/>
          <w:lang w:val="en-GB"/>
        </w:rPr>
        <w:t xml:space="preserve">Be able to swim 200 meters in the chosen swim. </w:t>
      </w:r>
    </w:p>
    <w:p w:rsidR="00DF04E7" w:rsidRPr="00DF04E7" w:rsidRDefault="00DF04E7" w:rsidP="00C14833">
      <w:pPr>
        <w:pStyle w:val="Listaszerbekezds"/>
        <w:numPr>
          <w:ilvl w:val="0"/>
          <w:numId w:val="15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eastAsia="Times New Roman" w:hAnsi="Times New Roman" w:cs="Times New Roman"/>
          <w:lang w:val="en-GB"/>
        </w:rPr>
      </w:pPr>
      <w:r w:rsidRPr="00DF04E7">
        <w:rPr>
          <w:rFonts w:ascii="Times New Roman" w:eastAsia="Times New Roman" w:hAnsi="Times New Roman" w:cs="Times New Roman"/>
          <w:lang w:val="en-GB"/>
        </w:rPr>
        <w:t xml:space="preserve">He /She can plan a healthy lifestyle. </w:t>
      </w:r>
    </w:p>
    <w:p w:rsidR="00DF04E7" w:rsidRPr="00DF04E7" w:rsidRDefault="00DF04E7" w:rsidP="00C14833">
      <w:pPr>
        <w:pStyle w:val="Listaszerbekezds"/>
        <w:numPr>
          <w:ilvl w:val="0"/>
          <w:numId w:val="15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eastAsia="Times New Roman" w:hAnsi="Times New Roman" w:cs="Times New Roman"/>
          <w:lang w:val="en-GB"/>
        </w:rPr>
      </w:pPr>
      <w:r w:rsidRPr="00DF04E7">
        <w:rPr>
          <w:rFonts w:ascii="Times New Roman" w:eastAsia="Times New Roman" w:hAnsi="Times New Roman" w:cs="Times New Roman"/>
          <w:lang w:val="en-GB"/>
        </w:rPr>
        <w:t>Able to provide first aid in the event of an accident.</w:t>
      </w:r>
    </w:p>
    <w:p w:rsidR="00DF04E7" w:rsidRPr="00DF04E7" w:rsidRDefault="00DF04E7" w:rsidP="00DF04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Times New Roman" w:eastAsia="Times New Roman" w:hAnsi="Times New Roman" w:cs="Times New Roman"/>
          <w:b/>
          <w:lang w:val="en-GB"/>
        </w:rPr>
      </w:pPr>
      <w:r w:rsidRPr="00DF04E7">
        <w:rPr>
          <w:rFonts w:ascii="Times New Roman" w:eastAsia="Times New Roman" w:hAnsi="Times New Roman" w:cs="Times New Roman"/>
          <w:b/>
          <w:lang w:val="en-GB"/>
        </w:rPr>
        <w:t>Attitude:</w:t>
      </w:r>
    </w:p>
    <w:p w:rsidR="00DF04E7" w:rsidRPr="00DF04E7" w:rsidRDefault="00DF04E7" w:rsidP="00C14833">
      <w:pPr>
        <w:pStyle w:val="Listaszerbekezds"/>
        <w:numPr>
          <w:ilvl w:val="0"/>
          <w:numId w:val="15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val="en-GB"/>
        </w:rPr>
      </w:pPr>
      <w:r w:rsidRPr="00DF04E7">
        <w:rPr>
          <w:rFonts w:ascii="Times New Roman" w:eastAsia="Times New Roman" w:hAnsi="Times New Roman" w:cs="Times New Roman"/>
          <w:b/>
          <w:lang w:val="en-GB"/>
        </w:rPr>
        <w:t xml:space="preserve"> </w:t>
      </w:r>
      <w:r w:rsidRPr="00DF04E7">
        <w:rPr>
          <w:rFonts w:ascii="Times New Roman" w:eastAsia="Times New Roman" w:hAnsi="Times New Roman" w:cs="Times New Roman"/>
          <w:lang w:val="en-GB"/>
        </w:rPr>
        <w:t xml:space="preserve">He came very close to working in quality sports. </w:t>
      </w:r>
    </w:p>
    <w:p w:rsidR="00DF04E7" w:rsidRPr="00DF04E7" w:rsidRDefault="00DF04E7" w:rsidP="00C14833">
      <w:pPr>
        <w:pStyle w:val="Listaszerbekezds"/>
        <w:numPr>
          <w:ilvl w:val="0"/>
          <w:numId w:val="15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val="en-GB"/>
        </w:rPr>
      </w:pPr>
      <w:r w:rsidRPr="00DF04E7">
        <w:rPr>
          <w:rFonts w:ascii="Times New Roman" w:eastAsia="Times New Roman" w:hAnsi="Times New Roman" w:cs="Times New Roman"/>
          <w:lang w:val="en-GB"/>
        </w:rPr>
        <w:t xml:space="preserve">He /She has a stimulating attitude towards a healthy lifestyle and the development of physical fitness. </w:t>
      </w:r>
    </w:p>
    <w:p w:rsidR="00DF04E7" w:rsidRPr="00DF04E7" w:rsidRDefault="00DF04E7" w:rsidP="00C14833">
      <w:pPr>
        <w:pStyle w:val="Listaszerbekezds"/>
        <w:numPr>
          <w:ilvl w:val="0"/>
          <w:numId w:val="15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ascii="Times New Roman" w:eastAsia="Times New Roman" w:hAnsi="Times New Roman" w:cs="Times New Roman"/>
          <w:lang w:val="en-GB"/>
        </w:rPr>
      </w:pPr>
      <w:r w:rsidRPr="00DF04E7">
        <w:rPr>
          <w:rFonts w:ascii="Times New Roman" w:eastAsia="Times New Roman" w:hAnsi="Times New Roman" w:cs="Times New Roman"/>
          <w:lang w:val="en-GB"/>
        </w:rPr>
        <w:t>He /She strives to solve problems in the field of sports and military science.</w:t>
      </w:r>
    </w:p>
    <w:p w:rsidR="00DF04E7" w:rsidRPr="00DF04E7" w:rsidRDefault="00DF04E7" w:rsidP="00DF04E7">
      <w:pPr>
        <w:pStyle w:val="HTML-kntformzott"/>
        <w:ind w:left="426"/>
        <w:jc w:val="both"/>
        <w:rPr>
          <w:rFonts w:ascii="Times New Roman" w:hAnsi="Times New Roman" w:cs="Times New Roman"/>
          <w:b/>
          <w:sz w:val="22"/>
          <w:szCs w:val="22"/>
          <w:lang w:val="en-GB"/>
        </w:rPr>
      </w:pPr>
      <w:r w:rsidRPr="00DF04E7">
        <w:rPr>
          <w:rFonts w:ascii="Times New Roman" w:hAnsi="Times New Roman" w:cs="Times New Roman"/>
          <w:b/>
          <w:sz w:val="22"/>
          <w:szCs w:val="22"/>
          <w:lang w:val="en-GB"/>
        </w:rPr>
        <w:t>Autonomy and responsibility:</w:t>
      </w:r>
    </w:p>
    <w:p w:rsidR="00DF04E7" w:rsidRPr="00DF04E7" w:rsidRDefault="00DF04E7" w:rsidP="00C14833">
      <w:pPr>
        <w:pStyle w:val="HTML-kntformzott"/>
        <w:numPr>
          <w:ilvl w:val="0"/>
          <w:numId w:val="154"/>
        </w:numPr>
        <w:jc w:val="both"/>
        <w:rPr>
          <w:rFonts w:ascii="Times New Roman" w:hAnsi="Times New Roman" w:cs="Times New Roman"/>
          <w:sz w:val="22"/>
          <w:szCs w:val="22"/>
          <w:lang w:val="en-GB"/>
        </w:rPr>
      </w:pPr>
      <w:r w:rsidRPr="00DF04E7">
        <w:rPr>
          <w:rFonts w:ascii="Times New Roman" w:hAnsi="Times New Roman" w:cs="Times New Roman"/>
          <w:b/>
          <w:sz w:val="22"/>
          <w:szCs w:val="22"/>
          <w:lang w:val="en-GB"/>
        </w:rPr>
        <w:t xml:space="preserve"> </w:t>
      </w:r>
      <w:r w:rsidRPr="00DF04E7">
        <w:rPr>
          <w:rFonts w:ascii="Times New Roman" w:hAnsi="Times New Roman" w:cs="Times New Roman"/>
          <w:sz w:val="22"/>
          <w:szCs w:val="22"/>
          <w:lang w:val="en-GB"/>
        </w:rPr>
        <w:t xml:space="preserve">He /She uses the learned motion sets creatively, creating original motions, movement processes, and games. </w:t>
      </w:r>
    </w:p>
    <w:p w:rsidR="00DF04E7" w:rsidRPr="00DF04E7" w:rsidRDefault="00DF04E7" w:rsidP="00C14833">
      <w:pPr>
        <w:pStyle w:val="HTML-kntformzott"/>
        <w:numPr>
          <w:ilvl w:val="0"/>
          <w:numId w:val="154"/>
        </w:numPr>
        <w:jc w:val="both"/>
        <w:rPr>
          <w:rFonts w:ascii="Times New Roman" w:hAnsi="Times New Roman" w:cs="Times New Roman"/>
          <w:sz w:val="22"/>
          <w:szCs w:val="22"/>
          <w:lang w:val="en-GB"/>
        </w:rPr>
      </w:pPr>
      <w:r w:rsidRPr="00DF04E7">
        <w:rPr>
          <w:rFonts w:ascii="Times New Roman" w:hAnsi="Times New Roman" w:cs="Times New Roman"/>
          <w:sz w:val="22"/>
          <w:szCs w:val="22"/>
          <w:lang w:val="en-GB"/>
        </w:rPr>
        <w:t>He / She is open to new and proven international, primarily European, methodologies and practices to meet new requirements and challenges in the exercise of his/her profession.</w:t>
      </w:r>
    </w:p>
    <w:p w:rsidR="00DF04E7" w:rsidRPr="00DF04E7" w:rsidRDefault="00DF04E7" w:rsidP="00C14833">
      <w:pPr>
        <w:widowControl w:val="0"/>
        <w:numPr>
          <w:ilvl w:val="0"/>
          <w:numId w:val="155"/>
        </w:numPr>
        <w:spacing w:before="120" w:after="120" w:line="240" w:lineRule="auto"/>
        <w:ind w:left="426" w:hanging="142"/>
        <w:rPr>
          <w:rFonts w:ascii="Times New Roman" w:eastAsia="Times New Roman" w:hAnsi="Times New Roman" w:cs="Times New Roman"/>
          <w:bCs/>
        </w:rPr>
      </w:pPr>
      <w:r w:rsidRPr="00DF04E7">
        <w:rPr>
          <w:rFonts w:ascii="Times New Roman" w:eastAsia="Times New Roman" w:hAnsi="Times New Roman" w:cs="Times New Roman"/>
          <w:b/>
          <w:bCs/>
        </w:rPr>
        <w:t xml:space="preserve">Előtanulmányi követelmények: </w:t>
      </w:r>
      <w:r w:rsidRPr="00DF04E7">
        <w:rPr>
          <w:rFonts w:ascii="Times New Roman" w:eastAsia="Times New Roman" w:hAnsi="Times New Roman" w:cs="Times New Roman"/>
          <w:bCs/>
        </w:rPr>
        <w:t>nincs</w:t>
      </w:r>
    </w:p>
    <w:p w:rsidR="00DF04E7" w:rsidRPr="00DF04E7" w:rsidRDefault="00DF04E7" w:rsidP="00C14833">
      <w:pPr>
        <w:widowControl w:val="0"/>
        <w:numPr>
          <w:ilvl w:val="0"/>
          <w:numId w:val="155"/>
        </w:numPr>
        <w:spacing w:before="120" w:after="120" w:line="240" w:lineRule="auto"/>
        <w:ind w:left="426" w:hanging="142"/>
        <w:rPr>
          <w:rFonts w:ascii="Times New Roman" w:eastAsia="Times New Roman" w:hAnsi="Times New Roman" w:cs="Times New Roman"/>
          <w:b/>
          <w:bCs/>
        </w:rPr>
      </w:pPr>
      <w:r w:rsidRPr="00DF04E7">
        <w:rPr>
          <w:rFonts w:ascii="Times New Roman" w:eastAsia="Times New Roman" w:hAnsi="Times New Roman" w:cs="Times New Roman"/>
          <w:b/>
          <w:bCs/>
        </w:rPr>
        <w:t>A tantárgy tananyagának leírása, tematika.</w:t>
      </w:r>
    </w:p>
    <w:p w:rsidR="00DF04E7" w:rsidRPr="00DF04E7" w:rsidRDefault="00DF04E7" w:rsidP="00EB017F">
      <w:pPr>
        <w:widowControl w:val="0"/>
        <w:tabs>
          <w:tab w:val="left" w:pos="851"/>
        </w:tabs>
        <w:spacing w:after="0" w:line="240" w:lineRule="auto"/>
        <w:ind w:left="851" w:hanging="567"/>
        <w:jc w:val="both"/>
        <w:rPr>
          <w:rFonts w:ascii="Times New Roman" w:eastAsia="Times New Roman" w:hAnsi="Times New Roman" w:cs="Times New Roman"/>
          <w:bCs/>
          <w:i/>
          <w:iCs/>
        </w:rPr>
      </w:pPr>
      <w:r w:rsidRPr="00DF04E7">
        <w:rPr>
          <w:rFonts w:ascii="Times New Roman" w:eastAsia="Times New Roman" w:hAnsi="Times New Roman" w:cs="Times New Roman"/>
          <w:b/>
          <w:bCs/>
        </w:rPr>
        <w:t xml:space="preserve">12.1. </w:t>
      </w:r>
      <w:r w:rsidR="00D543A9">
        <w:rPr>
          <w:rFonts w:ascii="Times New Roman" w:eastAsia="Times New Roman" w:hAnsi="Times New Roman" w:cs="Times New Roman"/>
          <w:b/>
          <w:bCs/>
        </w:rPr>
        <w:tab/>
      </w:r>
      <w:r w:rsidRPr="00DF04E7">
        <w:rPr>
          <w:rFonts w:ascii="Times New Roman" w:eastAsia="Times New Roman" w:hAnsi="Times New Roman" w:cs="Times New Roman"/>
          <w:bCs/>
        </w:rPr>
        <w:t>Úszás vízi kiképzés I. Az úszás szerepe a kiképzésben, biztonsági rendszabályok ismertetése.</w:t>
      </w:r>
      <w:r w:rsidRPr="00DF04E7">
        <w:rPr>
          <w:rFonts w:ascii="Times New Roman" w:hAnsi="Times New Roman" w:cs="Times New Roman"/>
          <w:color w:val="222222"/>
          <w:shd w:val="clear" w:color="auto" w:fill="F8F9FA"/>
        </w:rPr>
        <w:t xml:space="preserve"> </w:t>
      </w:r>
      <w:r w:rsidRPr="00DF04E7">
        <w:rPr>
          <w:rFonts w:ascii="Times New Roman" w:hAnsi="Times New Roman" w:cs="Times New Roman"/>
          <w:i/>
          <w:iCs/>
          <w:color w:val="222222"/>
          <w:shd w:val="clear" w:color="auto" w:fill="F8F9FA"/>
        </w:rPr>
        <w:t>(Swimming Water Training I. The role of swimming in training, safety regulations.)</w:t>
      </w:r>
    </w:p>
    <w:p w:rsidR="00DF04E7" w:rsidRPr="00DF04E7" w:rsidRDefault="00DF04E7" w:rsidP="00EB017F">
      <w:pPr>
        <w:pStyle w:val="HTML-kntformzott"/>
        <w:tabs>
          <w:tab w:val="left" w:pos="851"/>
        </w:tabs>
        <w:ind w:left="851" w:hanging="567"/>
        <w:jc w:val="both"/>
        <w:rPr>
          <w:rFonts w:ascii="Times New Roman" w:hAnsi="Times New Roman" w:cs="Times New Roman"/>
          <w:i/>
          <w:iCs/>
          <w:color w:val="222222"/>
          <w:sz w:val="22"/>
          <w:szCs w:val="22"/>
        </w:rPr>
      </w:pPr>
      <w:r w:rsidRPr="00DF04E7">
        <w:rPr>
          <w:rFonts w:ascii="Times New Roman" w:hAnsi="Times New Roman" w:cs="Times New Roman"/>
          <w:b/>
          <w:bCs/>
          <w:sz w:val="22"/>
          <w:szCs w:val="22"/>
        </w:rPr>
        <w:t xml:space="preserve">12.2. </w:t>
      </w:r>
      <w:r w:rsidRPr="00DF04E7">
        <w:rPr>
          <w:rFonts w:ascii="Times New Roman" w:hAnsi="Times New Roman" w:cs="Times New Roman"/>
          <w:bCs/>
          <w:sz w:val="22"/>
          <w:szCs w:val="22"/>
        </w:rPr>
        <w:t>Az úszó technikák megalapozása, a vízhez szoktatás gyakorlati alapjainak elsajátítása.</w:t>
      </w:r>
      <w:r w:rsidRPr="00DF04E7">
        <w:rPr>
          <w:rFonts w:ascii="Times New Roman" w:hAnsi="Times New Roman" w:cs="Times New Roman"/>
          <w:color w:val="222222"/>
          <w:sz w:val="22"/>
          <w:szCs w:val="22"/>
          <w:lang w:val="en"/>
        </w:rPr>
        <w:t xml:space="preserve"> </w:t>
      </w:r>
      <w:r w:rsidRPr="00DF04E7">
        <w:rPr>
          <w:rFonts w:ascii="Times New Roman" w:hAnsi="Times New Roman" w:cs="Times New Roman"/>
          <w:i/>
          <w:iCs/>
          <w:color w:val="222222"/>
          <w:sz w:val="22"/>
          <w:szCs w:val="22"/>
          <w:lang w:val="en"/>
        </w:rPr>
        <w:t>(Fundamentals of floating techniques, practical training in water training.)</w:t>
      </w:r>
    </w:p>
    <w:p w:rsidR="00DF04E7" w:rsidRPr="00DF04E7" w:rsidRDefault="00DF04E7" w:rsidP="00EB017F">
      <w:pPr>
        <w:widowControl w:val="0"/>
        <w:tabs>
          <w:tab w:val="left" w:pos="851"/>
        </w:tabs>
        <w:spacing w:after="0" w:line="240" w:lineRule="auto"/>
        <w:ind w:left="851" w:hanging="567"/>
        <w:jc w:val="both"/>
        <w:rPr>
          <w:rFonts w:ascii="Times New Roman" w:eastAsia="Times New Roman" w:hAnsi="Times New Roman" w:cs="Times New Roman"/>
          <w:bCs/>
          <w:i/>
          <w:iCs/>
        </w:rPr>
      </w:pPr>
      <w:r w:rsidRPr="00DF04E7">
        <w:rPr>
          <w:rFonts w:ascii="Times New Roman" w:eastAsia="Times New Roman" w:hAnsi="Times New Roman" w:cs="Times New Roman"/>
          <w:b/>
          <w:bCs/>
        </w:rPr>
        <w:t xml:space="preserve">12.3. </w:t>
      </w:r>
      <w:r w:rsidR="00D543A9">
        <w:rPr>
          <w:rFonts w:ascii="Times New Roman" w:eastAsia="Times New Roman" w:hAnsi="Times New Roman" w:cs="Times New Roman"/>
          <w:b/>
          <w:bCs/>
        </w:rPr>
        <w:tab/>
      </w:r>
      <w:r w:rsidRPr="00DF04E7">
        <w:rPr>
          <w:rFonts w:ascii="Times New Roman" w:eastAsia="Times New Roman" w:hAnsi="Times New Roman" w:cs="Times New Roman"/>
          <w:bCs/>
        </w:rPr>
        <w:t>A hátúszás technikájának elsajátítása, úszó állóképesség, vízbiztonság vízbiztonság növelése fejlesztése.</w:t>
      </w:r>
      <w:r w:rsidRPr="00DF04E7">
        <w:rPr>
          <w:rFonts w:ascii="Times New Roman" w:hAnsi="Times New Roman" w:cs="Times New Roman"/>
          <w:color w:val="222222"/>
          <w:shd w:val="clear" w:color="auto" w:fill="F8F9FA"/>
        </w:rPr>
        <w:t xml:space="preserve"> </w:t>
      </w:r>
      <w:r w:rsidRPr="00DF04E7">
        <w:rPr>
          <w:rFonts w:ascii="Times New Roman" w:hAnsi="Times New Roman" w:cs="Times New Roman"/>
          <w:i/>
          <w:iCs/>
          <w:color w:val="222222"/>
          <w:shd w:val="clear" w:color="auto" w:fill="F8F9FA"/>
        </w:rPr>
        <w:t>(Mastering the technique of backstroke, improving floating endurance, water safety and water safety.)</w:t>
      </w:r>
    </w:p>
    <w:p w:rsidR="00DF04E7" w:rsidRPr="00DF04E7" w:rsidRDefault="00DF04E7" w:rsidP="00EB017F">
      <w:pPr>
        <w:pStyle w:val="HTML-kntformzott"/>
        <w:tabs>
          <w:tab w:val="left" w:pos="851"/>
        </w:tabs>
        <w:ind w:left="851" w:hanging="567"/>
        <w:jc w:val="both"/>
        <w:rPr>
          <w:rFonts w:ascii="Times New Roman" w:hAnsi="Times New Roman" w:cs="Times New Roman"/>
          <w:i/>
          <w:iCs/>
          <w:color w:val="222222"/>
          <w:sz w:val="22"/>
          <w:szCs w:val="22"/>
        </w:rPr>
      </w:pPr>
      <w:r w:rsidRPr="00DF04E7">
        <w:rPr>
          <w:rFonts w:ascii="Times New Roman" w:hAnsi="Times New Roman" w:cs="Times New Roman"/>
          <w:b/>
          <w:bCs/>
          <w:sz w:val="22"/>
          <w:szCs w:val="22"/>
        </w:rPr>
        <w:t xml:space="preserve">12.4. </w:t>
      </w:r>
      <w:r w:rsidR="00D543A9">
        <w:rPr>
          <w:rFonts w:ascii="Times New Roman" w:hAnsi="Times New Roman" w:cs="Times New Roman"/>
          <w:b/>
          <w:bCs/>
          <w:sz w:val="22"/>
          <w:szCs w:val="22"/>
        </w:rPr>
        <w:tab/>
      </w:r>
      <w:r w:rsidRPr="00DF04E7">
        <w:rPr>
          <w:rFonts w:ascii="Times New Roman" w:hAnsi="Times New Roman" w:cs="Times New Roman"/>
          <w:bCs/>
          <w:sz w:val="22"/>
          <w:szCs w:val="22"/>
        </w:rPr>
        <w:t>A mellúszás technikájának elsajátítása, úszó állóképesség fejlesztése.</w:t>
      </w:r>
      <w:r w:rsidRPr="00DF04E7">
        <w:rPr>
          <w:rFonts w:ascii="Times New Roman" w:hAnsi="Times New Roman" w:cs="Times New Roman"/>
          <w:color w:val="222222"/>
          <w:sz w:val="22"/>
          <w:szCs w:val="22"/>
          <w:lang w:val="en"/>
        </w:rPr>
        <w:t xml:space="preserve"> </w:t>
      </w:r>
      <w:r w:rsidRPr="00DF04E7">
        <w:rPr>
          <w:rFonts w:ascii="Times New Roman" w:hAnsi="Times New Roman" w:cs="Times New Roman"/>
          <w:i/>
          <w:iCs/>
          <w:color w:val="222222"/>
          <w:sz w:val="22"/>
          <w:szCs w:val="22"/>
          <w:lang w:val="en"/>
        </w:rPr>
        <w:t>(Mastering the technique of breaststroke and improving floating endurance.)</w:t>
      </w:r>
    </w:p>
    <w:p w:rsidR="00DF04E7" w:rsidRPr="00DF04E7" w:rsidRDefault="00DF04E7" w:rsidP="00EB017F">
      <w:pPr>
        <w:pStyle w:val="HTML-kntformzott"/>
        <w:tabs>
          <w:tab w:val="left" w:pos="851"/>
        </w:tabs>
        <w:ind w:left="851" w:hanging="567"/>
        <w:jc w:val="both"/>
        <w:rPr>
          <w:rFonts w:ascii="Times New Roman" w:hAnsi="Times New Roman" w:cs="Times New Roman"/>
          <w:i/>
          <w:iCs/>
          <w:color w:val="222222"/>
          <w:sz w:val="22"/>
          <w:szCs w:val="22"/>
        </w:rPr>
      </w:pPr>
      <w:r w:rsidRPr="00DF04E7">
        <w:rPr>
          <w:rFonts w:ascii="Times New Roman" w:hAnsi="Times New Roman" w:cs="Times New Roman"/>
          <w:b/>
          <w:bCs/>
          <w:sz w:val="22"/>
          <w:szCs w:val="22"/>
        </w:rPr>
        <w:t xml:space="preserve">12.5. </w:t>
      </w:r>
      <w:r w:rsidRPr="00DF04E7">
        <w:rPr>
          <w:rFonts w:ascii="Times New Roman" w:hAnsi="Times New Roman" w:cs="Times New Roman"/>
          <w:bCs/>
          <w:sz w:val="22"/>
          <w:szCs w:val="22"/>
        </w:rPr>
        <w:t>A gyorsúszás technikájának elsajátítása, úszó állóképesség fejlesztése.</w:t>
      </w:r>
      <w:r w:rsidRPr="00DF04E7">
        <w:rPr>
          <w:rFonts w:ascii="Times New Roman" w:hAnsi="Times New Roman" w:cs="Times New Roman"/>
          <w:color w:val="222222"/>
          <w:sz w:val="22"/>
          <w:szCs w:val="22"/>
          <w:lang w:val="en"/>
        </w:rPr>
        <w:t xml:space="preserve"> </w:t>
      </w:r>
      <w:r w:rsidRPr="00DF04E7">
        <w:rPr>
          <w:rFonts w:ascii="Times New Roman" w:hAnsi="Times New Roman" w:cs="Times New Roman"/>
          <w:i/>
          <w:iCs/>
          <w:color w:val="222222"/>
          <w:sz w:val="22"/>
          <w:szCs w:val="22"/>
          <w:lang w:val="en"/>
        </w:rPr>
        <w:t>(Mastering the technique of freestyle swimming and improving floating endurance.)</w:t>
      </w:r>
    </w:p>
    <w:p w:rsidR="00DF04E7" w:rsidRPr="00DF04E7" w:rsidRDefault="00DF04E7" w:rsidP="00EB017F">
      <w:pPr>
        <w:pStyle w:val="HTML-kntformzott"/>
        <w:tabs>
          <w:tab w:val="left" w:pos="851"/>
        </w:tabs>
        <w:ind w:left="851" w:hanging="567"/>
        <w:jc w:val="both"/>
        <w:rPr>
          <w:rFonts w:ascii="Times New Roman" w:hAnsi="Times New Roman" w:cs="Times New Roman"/>
          <w:color w:val="222222"/>
          <w:sz w:val="22"/>
          <w:szCs w:val="22"/>
        </w:rPr>
      </w:pPr>
      <w:r w:rsidRPr="00DF04E7">
        <w:rPr>
          <w:rFonts w:ascii="Times New Roman" w:hAnsi="Times New Roman" w:cs="Times New Roman"/>
          <w:b/>
          <w:bCs/>
          <w:sz w:val="22"/>
          <w:szCs w:val="22"/>
        </w:rPr>
        <w:t xml:space="preserve">12.6. </w:t>
      </w:r>
      <w:r w:rsidR="00D543A9">
        <w:rPr>
          <w:rFonts w:ascii="Times New Roman" w:hAnsi="Times New Roman" w:cs="Times New Roman"/>
          <w:b/>
          <w:bCs/>
          <w:sz w:val="22"/>
          <w:szCs w:val="22"/>
        </w:rPr>
        <w:tab/>
      </w:r>
      <w:r w:rsidRPr="00DF04E7">
        <w:rPr>
          <w:rFonts w:ascii="Times New Roman" w:hAnsi="Times New Roman" w:cs="Times New Roman"/>
          <w:bCs/>
          <w:sz w:val="22"/>
          <w:szCs w:val="22"/>
        </w:rPr>
        <w:t>Katonai sportok ismerete az akadálypálya elemeinek elsajátításán keresztül.</w:t>
      </w:r>
      <w:r w:rsidRPr="00DF04E7">
        <w:rPr>
          <w:rFonts w:ascii="Times New Roman" w:hAnsi="Times New Roman" w:cs="Times New Roman"/>
          <w:color w:val="222222"/>
          <w:sz w:val="22"/>
          <w:szCs w:val="22"/>
          <w:lang w:val="en"/>
        </w:rPr>
        <w:t xml:space="preserve"> (Knowledge of military sports through mastery of obstacle course.)</w:t>
      </w:r>
    </w:p>
    <w:p w:rsidR="00DF04E7" w:rsidRPr="00DF04E7" w:rsidRDefault="00DF04E7" w:rsidP="00EB017F">
      <w:pPr>
        <w:widowControl w:val="0"/>
        <w:tabs>
          <w:tab w:val="left" w:pos="851"/>
        </w:tabs>
        <w:spacing w:after="0" w:line="240" w:lineRule="auto"/>
        <w:ind w:left="851" w:hanging="567"/>
        <w:jc w:val="both"/>
        <w:rPr>
          <w:rFonts w:ascii="Times New Roman" w:eastAsia="Times New Roman" w:hAnsi="Times New Roman" w:cs="Times New Roman"/>
          <w:bCs/>
        </w:rPr>
      </w:pPr>
      <w:r w:rsidRPr="00DF04E7">
        <w:rPr>
          <w:rFonts w:ascii="Times New Roman" w:eastAsia="Times New Roman" w:hAnsi="Times New Roman" w:cs="Times New Roman"/>
          <w:b/>
          <w:bCs/>
        </w:rPr>
        <w:t>12.7.</w:t>
      </w:r>
      <w:r>
        <w:rPr>
          <w:rFonts w:ascii="Times New Roman" w:eastAsia="Times New Roman" w:hAnsi="Times New Roman" w:cs="Times New Roman"/>
          <w:b/>
          <w:bCs/>
        </w:rPr>
        <w:t xml:space="preserve"> </w:t>
      </w:r>
      <w:r w:rsidR="00D543A9">
        <w:rPr>
          <w:rFonts w:ascii="Times New Roman" w:eastAsia="Times New Roman" w:hAnsi="Times New Roman" w:cs="Times New Roman"/>
          <w:b/>
          <w:bCs/>
        </w:rPr>
        <w:tab/>
      </w:r>
      <w:r w:rsidRPr="00DF04E7">
        <w:rPr>
          <w:rFonts w:ascii="Times New Roman" w:eastAsia="Times New Roman" w:hAnsi="Times New Roman" w:cs="Times New Roman"/>
          <w:bCs/>
        </w:rPr>
        <w:t>Természetes és mesterséges akadályok leküzdése. Mélybe-fel- és átugrások.      Emelések és hordások.</w:t>
      </w:r>
      <w:r w:rsidRPr="00DF04E7">
        <w:rPr>
          <w:rFonts w:ascii="Times New Roman" w:eastAsia="Times New Roman" w:hAnsi="Times New Roman" w:cs="Times New Roman"/>
          <w:i/>
        </w:rPr>
        <w:t xml:space="preserve"> (Completing natural and artificial obstacles).</w:t>
      </w:r>
    </w:p>
    <w:p w:rsidR="00DF04E7" w:rsidRPr="00DF04E7" w:rsidRDefault="00DF04E7" w:rsidP="00EB017F">
      <w:pPr>
        <w:widowControl w:val="0"/>
        <w:tabs>
          <w:tab w:val="left" w:pos="851"/>
        </w:tabs>
        <w:spacing w:after="0" w:line="240" w:lineRule="auto"/>
        <w:ind w:left="851" w:hanging="567"/>
        <w:jc w:val="both"/>
        <w:rPr>
          <w:rFonts w:ascii="Times New Roman" w:eastAsia="Times New Roman" w:hAnsi="Times New Roman" w:cs="Times New Roman"/>
          <w:bCs/>
        </w:rPr>
      </w:pPr>
      <w:r w:rsidRPr="00DF04E7">
        <w:rPr>
          <w:rFonts w:ascii="Times New Roman" w:eastAsia="Times New Roman" w:hAnsi="Times New Roman" w:cs="Times New Roman"/>
          <w:b/>
          <w:bCs/>
        </w:rPr>
        <w:t xml:space="preserve">12.8. </w:t>
      </w:r>
      <w:r w:rsidR="00D543A9">
        <w:rPr>
          <w:rFonts w:ascii="Times New Roman" w:eastAsia="Times New Roman" w:hAnsi="Times New Roman" w:cs="Times New Roman"/>
          <w:b/>
          <w:bCs/>
        </w:rPr>
        <w:tab/>
      </w:r>
      <w:r w:rsidRPr="00DF04E7">
        <w:rPr>
          <w:rFonts w:ascii="Times New Roman" w:eastAsia="Times New Roman" w:hAnsi="Times New Roman" w:cs="Times New Roman"/>
          <w:bCs/>
        </w:rPr>
        <w:t>Mászások, függeszkedések. Egyensúly gyakorlatok. Kiegészítő gyakorlatok tornaszereken. Társhordások.</w:t>
      </w:r>
      <w:r w:rsidRPr="00DF04E7">
        <w:rPr>
          <w:rFonts w:ascii="Times New Roman" w:hAnsi="Times New Roman" w:cs="Times New Roman"/>
          <w:color w:val="222222"/>
          <w:shd w:val="clear" w:color="auto" w:fill="F8F9FA"/>
        </w:rPr>
        <w:t xml:space="preserve"> (Climbing, hanging. Balance exercises. Additional exercises on gymnastic equipment. Carrying co jams.)</w:t>
      </w:r>
    </w:p>
    <w:p w:rsidR="00DF04E7" w:rsidRPr="00DF04E7" w:rsidRDefault="00DF04E7" w:rsidP="00EB017F">
      <w:pPr>
        <w:widowControl w:val="0"/>
        <w:tabs>
          <w:tab w:val="left" w:pos="851"/>
        </w:tabs>
        <w:spacing w:after="0" w:line="240" w:lineRule="auto"/>
        <w:ind w:left="851" w:hanging="567"/>
        <w:jc w:val="both"/>
        <w:rPr>
          <w:rFonts w:ascii="Times New Roman" w:eastAsia="Times New Roman" w:hAnsi="Times New Roman" w:cs="Times New Roman"/>
          <w:bCs/>
        </w:rPr>
      </w:pPr>
      <w:r w:rsidRPr="00DF04E7">
        <w:rPr>
          <w:rFonts w:ascii="Times New Roman" w:eastAsia="Times New Roman" w:hAnsi="Times New Roman" w:cs="Times New Roman"/>
          <w:b/>
          <w:bCs/>
        </w:rPr>
        <w:t xml:space="preserve">12.9. </w:t>
      </w:r>
      <w:r w:rsidRPr="00DF04E7">
        <w:rPr>
          <w:rFonts w:ascii="Times New Roman" w:eastAsia="Times New Roman" w:hAnsi="Times New Roman" w:cs="Times New Roman"/>
          <w:bCs/>
        </w:rPr>
        <w:t xml:space="preserve">Mozgásformák ellenőrzése </w:t>
      </w:r>
      <w:r w:rsidRPr="00DF04E7">
        <w:rPr>
          <w:rFonts w:ascii="Times New Roman" w:hAnsi="Times New Roman" w:cs="Times New Roman"/>
          <w:bCs/>
          <w:i/>
        </w:rPr>
        <w:t>(Physical tests)</w:t>
      </w:r>
    </w:p>
    <w:p w:rsidR="00DF04E7" w:rsidRPr="00DF04E7" w:rsidRDefault="00DF04E7" w:rsidP="00EB017F">
      <w:pPr>
        <w:widowControl w:val="0"/>
        <w:tabs>
          <w:tab w:val="left" w:pos="851"/>
        </w:tabs>
        <w:spacing w:after="0" w:line="240" w:lineRule="auto"/>
        <w:ind w:left="851" w:hanging="567"/>
        <w:jc w:val="both"/>
        <w:rPr>
          <w:rFonts w:ascii="Times New Roman" w:eastAsia="Times New Roman" w:hAnsi="Times New Roman" w:cs="Times New Roman"/>
          <w:bCs/>
        </w:rPr>
      </w:pPr>
      <w:r w:rsidRPr="00DF04E7">
        <w:rPr>
          <w:rFonts w:ascii="Times New Roman" w:eastAsia="Times New Roman" w:hAnsi="Times New Roman" w:cs="Times New Roman"/>
          <w:b/>
          <w:bCs/>
        </w:rPr>
        <w:lastRenderedPageBreak/>
        <w:t>12.10.</w:t>
      </w:r>
      <w:r w:rsidRPr="00DF04E7">
        <w:rPr>
          <w:rFonts w:ascii="Times New Roman" w:eastAsia="Times New Roman" w:hAnsi="Times New Roman" w:cs="Times New Roman"/>
          <w:bCs/>
        </w:rPr>
        <w:t xml:space="preserve"> Dobóképesség fejlesztése. A kézigránát célba dobás mozgástechnikájának változatos körülmények között történő végrehajtása. (fekvő, térdelő és álló testhelyzetből)</w:t>
      </w:r>
      <w:r w:rsidRPr="00DF04E7">
        <w:rPr>
          <w:rFonts w:ascii="Times New Roman" w:hAnsi="Times New Roman" w:cs="Times New Roman"/>
          <w:i/>
        </w:rPr>
        <w:t xml:space="preserve"> (Handgranade throwing: throwing projectiles to the target and distance, from lying, kneeling and standing position)</w:t>
      </w:r>
    </w:p>
    <w:p w:rsidR="00DF04E7" w:rsidRPr="00DF04E7" w:rsidRDefault="00DF04E7" w:rsidP="00C14833">
      <w:pPr>
        <w:widowControl w:val="0"/>
        <w:numPr>
          <w:ilvl w:val="0"/>
          <w:numId w:val="155"/>
        </w:numPr>
        <w:spacing w:before="120" w:after="120" w:line="240" w:lineRule="auto"/>
        <w:ind w:left="426" w:hanging="142"/>
        <w:jc w:val="both"/>
        <w:rPr>
          <w:rFonts w:ascii="Times New Roman" w:eastAsia="Times New Roman" w:hAnsi="Times New Roman" w:cs="Times New Roman"/>
          <w:bCs/>
        </w:rPr>
      </w:pPr>
      <w:r w:rsidRPr="00DF04E7">
        <w:rPr>
          <w:rFonts w:ascii="Times New Roman" w:eastAsia="Times New Roman" w:hAnsi="Times New Roman" w:cs="Times New Roman"/>
          <w:b/>
          <w:bCs/>
        </w:rPr>
        <w:t xml:space="preserve">A tantárgy meghirdetésének gyakorisága a tantervben történő félévi elhelyezkedése: </w:t>
      </w:r>
      <w:r w:rsidRPr="00DF04E7">
        <w:rPr>
          <w:rFonts w:ascii="Times New Roman" w:hAnsi="Times New Roman" w:cs="Times New Roman"/>
          <w:bCs/>
        </w:rPr>
        <w:t>V. félév</w:t>
      </w:r>
    </w:p>
    <w:p w:rsidR="00D543A9" w:rsidRPr="00790D58" w:rsidRDefault="00D543A9" w:rsidP="00C14833">
      <w:pPr>
        <w:widowControl w:val="0"/>
        <w:numPr>
          <w:ilvl w:val="0"/>
          <w:numId w:val="155"/>
        </w:numPr>
        <w:spacing w:before="120" w:after="120" w:line="240" w:lineRule="auto"/>
        <w:jc w:val="both"/>
        <w:rPr>
          <w:rFonts w:ascii="Times New Roman" w:eastAsia="Times New Roman" w:hAnsi="Times New Roman" w:cs="Times New Roman"/>
          <w:bCs/>
        </w:rPr>
      </w:pPr>
      <w:r w:rsidRPr="00790D58">
        <w:rPr>
          <w:rFonts w:ascii="Times New Roman" w:eastAsia="Times New Roman" w:hAnsi="Times New Roman" w:cs="Times New Roman"/>
          <w:b/>
          <w:bCs/>
        </w:rPr>
        <w:t>A tanórákon való részvétel követelményei, az elfogadható hiányzások mértéke, a távolmaradás pótlásának lehetősége:</w:t>
      </w:r>
      <w:r w:rsidRPr="00790D58">
        <w:rPr>
          <w:rFonts w:ascii="Times New Roman" w:hAnsi="Times New Roman" w:cs="Times New Roman"/>
          <w:bCs/>
        </w:rPr>
        <w:t xml:space="preserve"> A honvédtisztjelöltek részvétele a foglalkozásokon kötelező. Betegség, szabadság miatti hiányzások mértéke maximálisan 30% lehet. Vezénylés, szolgálat miatti távollét nem számít bele a hiányzásba.</w:t>
      </w:r>
      <w:r w:rsidRPr="00790D58">
        <w:rPr>
          <w:rFonts w:ascii="Times New Roman" w:eastAsia="Times New Roman" w:hAnsi="Times New Roman" w:cs="Times New Roman"/>
          <w:bCs/>
        </w:rPr>
        <w:t xml:space="preserve"> A hallgatónak a tanórák legalább 70 %-án jelen kell lennie, 30 %-ot meghaladó hiányzás esetén a félév teljesítése nem írható alá. A hallgató köteles a gyakorlat anyagát beszerezni, abból önállóan felkészülni.</w:t>
      </w:r>
    </w:p>
    <w:p w:rsidR="00D543A9" w:rsidRPr="00790D58" w:rsidRDefault="00D543A9" w:rsidP="00C14833">
      <w:pPr>
        <w:widowControl w:val="0"/>
        <w:numPr>
          <w:ilvl w:val="0"/>
          <w:numId w:val="155"/>
        </w:numPr>
        <w:spacing w:before="120" w:after="120" w:line="240" w:lineRule="auto"/>
        <w:jc w:val="both"/>
        <w:rPr>
          <w:rFonts w:ascii="Times New Roman" w:eastAsia="Times New Roman" w:hAnsi="Times New Roman" w:cs="Times New Roman"/>
          <w:b/>
          <w:bCs/>
        </w:rPr>
      </w:pPr>
      <w:r w:rsidRPr="00790D58">
        <w:rPr>
          <w:rFonts w:ascii="Times New Roman" w:eastAsia="Times New Roman" w:hAnsi="Times New Roman" w:cs="Times New Roman"/>
          <w:b/>
          <w:bCs/>
        </w:rPr>
        <w:t>Félévközi</w:t>
      </w:r>
      <w:r w:rsidRPr="00790D58">
        <w:rPr>
          <w:rFonts w:ascii="Times New Roman" w:eastAsia="Times New Roman" w:hAnsi="Times New Roman" w:cs="Times New Roman"/>
          <w:b/>
        </w:rPr>
        <w:t xml:space="preserve"> feladatok, ismeretek ellenőrzésének rendje: </w:t>
      </w:r>
      <w:r w:rsidRPr="00790D58">
        <w:rPr>
          <w:rFonts w:ascii="Times New Roman" w:eastAsia="Times New Roman" w:hAnsi="Times New Roman" w:cs="Times New Roman"/>
          <w:bCs/>
        </w:rPr>
        <w:t>Az ismeretek ellenőrzése a különböző mozgásformák bemutatásával történik. Az oktató az alábbi szempontok alapján értékeli a hallgatót:</w:t>
      </w:r>
      <w:r w:rsidRPr="00790D58">
        <w:rPr>
          <w:rFonts w:ascii="Times New Roman" w:hAnsi="Times New Roman" w:cs="Times New Roman"/>
        </w:rPr>
        <w:t xml:space="preserve"> az elégséges értékeléshez mozgásformánként el kell érni a minimum egy pontszámot (1 pontot), valamint az összesített pontszám tekintetében el kell érni a 130 pontot. A mozgásformák a következők: 3200m futás, fekvőtámasz, felülés, függeszkedés. 200m úszás, akadálypálya gyakorlat, 3200m futás gyakorlóban, kézigránát hajítás célba. Sikertelen kísérlet esetén, a hallgatónak a félév folyamán kétszer van lehetősége a javításra.</w:t>
      </w:r>
    </w:p>
    <w:p w:rsidR="00D543A9" w:rsidRPr="00790D58" w:rsidRDefault="00D543A9" w:rsidP="00C14833">
      <w:pPr>
        <w:widowControl w:val="0"/>
        <w:numPr>
          <w:ilvl w:val="0"/>
          <w:numId w:val="155"/>
        </w:numPr>
        <w:spacing w:before="120" w:after="120" w:line="240" w:lineRule="auto"/>
        <w:jc w:val="both"/>
        <w:rPr>
          <w:rFonts w:ascii="Times New Roman" w:eastAsia="Times New Roman" w:hAnsi="Times New Roman" w:cs="Times New Roman"/>
          <w:b/>
          <w:bCs/>
        </w:rPr>
      </w:pPr>
      <w:r w:rsidRPr="00790D58">
        <w:rPr>
          <w:rFonts w:ascii="Times New Roman" w:eastAsia="Times New Roman" w:hAnsi="Times New Roman" w:cs="Times New Roman"/>
          <w:b/>
          <w:bCs/>
        </w:rPr>
        <w:t xml:space="preserve">Az értékelés, az aláírás és a kreditek megszerzésének pontos feltételei: </w:t>
      </w:r>
      <w:r w:rsidRPr="00790D58">
        <w:rPr>
          <w:rFonts w:ascii="Times New Roman" w:hAnsi="Times New Roman" w:cs="Times New Roman"/>
          <w:bCs/>
        </w:rPr>
        <w:t>Az aláírás feltétele tanórák 70%-án történő aktív részvétel</w:t>
      </w:r>
      <w:r w:rsidRPr="00790D58">
        <w:rPr>
          <w:rFonts w:ascii="Times New Roman" w:hAnsi="Times New Roman" w:cs="Times New Roman"/>
        </w:rPr>
        <w:t>, valamint az elégséges értékeléshez mozgásformánként el kell érni a minimum egy pontszámot (1 pontot), valamint az összesített pontszám tekintetében el kell érni a 130 pontot.</w:t>
      </w:r>
    </w:p>
    <w:p w:rsidR="00D543A9" w:rsidRPr="00790D58" w:rsidRDefault="00D543A9" w:rsidP="00D543A9">
      <w:pPr>
        <w:widowControl w:val="0"/>
        <w:tabs>
          <w:tab w:val="left" w:pos="1276"/>
        </w:tabs>
        <w:spacing w:before="120" w:after="120" w:line="240" w:lineRule="auto"/>
        <w:ind w:left="1134" w:hanging="426"/>
        <w:jc w:val="both"/>
        <w:rPr>
          <w:rFonts w:ascii="Times New Roman" w:eastAsia="Times New Roman" w:hAnsi="Times New Roman" w:cs="Times New Roman"/>
        </w:rPr>
      </w:pPr>
      <w:r w:rsidRPr="00790D58">
        <w:rPr>
          <w:rFonts w:ascii="Times New Roman" w:eastAsia="Times New Roman" w:hAnsi="Times New Roman" w:cs="Times New Roman"/>
          <w:b/>
        </w:rPr>
        <w:t>16.1. Az aláírás megszerzésének feltételei:</w:t>
      </w:r>
      <w:r w:rsidRPr="00790D58">
        <w:rPr>
          <w:rFonts w:ascii="Times New Roman" w:hAnsi="Times New Roman" w:cs="Times New Roman"/>
          <w:bCs/>
        </w:rPr>
        <w:t xml:space="preserve"> Az aláírás feltétele tanórák 70%-án történő aktív részvétel</w:t>
      </w:r>
      <w:r w:rsidRPr="00790D58">
        <w:rPr>
          <w:rFonts w:ascii="Times New Roman" w:hAnsi="Times New Roman" w:cs="Times New Roman"/>
        </w:rPr>
        <w:t>, valamint az elégséges értékeléshez mozgásformánként el kell érni a minimum egy pontszámot (1 pontot), valamint az összesített pontszám tekintetében el kell érni a minimális 130 pontot.</w:t>
      </w:r>
    </w:p>
    <w:p w:rsidR="00D543A9" w:rsidRPr="00790D58" w:rsidRDefault="00D543A9" w:rsidP="00D543A9">
      <w:pPr>
        <w:widowControl w:val="0"/>
        <w:tabs>
          <w:tab w:val="left" w:pos="1276"/>
        </w:tabs>
        <w:spacing w:before="120" w:after="120" w:line="240" w:lineRule="auto"/>
        <w:ind w:left="1134" w:hanging="426"/>
        <w:jc w:val="both"/>
        <w:rPr>
          <w:rFonts w:ascii="Times New Roman" w:eastAsia="Times New Roman" w:hAnsi="Times New Roman" w:cs="Times New Roman"/>
        </w:rPr>
      </w:pPr>
      <w:r w:rsidRPr="00790D58">
        <w:rPr>
          <w:rFonts w:ascii="Times New Roman" w:eastAsia="Times New Roman" w:hAnsi="Times New Roman" w:cs="Times New Roman"/>
          <w:b/>
        </w:rPr>
        <w:t xml:space="preserve">16.2. Az értékelés: </w:t>
      </w:r>
      <w:r w:rsidRPr="00790D58">
        <w:rPr>
          <w:rFonts w:ascii="Times New Roman" w:eastAsia="Times New Roman" w:hAnsi="Times New Roman" w:cs="Times New Roman"/>
        </w:rPr>
        <w:t>Gyakorlati jegy megszerzése: A</w:t>
      </w:r>
      <w:r w:rsidRPr="00790D58">
        <w:rPr>
          <w:rFonts w:ascii="Times New Roman" w:hAnsi="Times New Roman" w:cs="Times New Roman"/>
        </w:rPr>
        <w:t>z elégséges értékeléshez mozgásformánként el kell érni a minimum egy pontszámot (1 pontot), valamint az összesített pontszám tekintetében el kell érni a minimális 130 pontot. 130-199 pont elégséges, 200-269 pont közepes, 270-339 pont jó 340-400 kiváló osztályzatot jelent</w:t>
      </w:r>
      <w:r w:rsidRPr="00790D58">
        <w:rPr>
          <w:rFonts w:ascii="Times New Roman" w:eastAsia="Times New Roman" w:hAnsi="Times New Roman" w:cs="Times New Roman"/>
        </w:rPr>
        <w:t>.</w:t>
      </w:r>
    </w:p>
    <w:p w:rsidR="00D543A9" w:rsidRPr="00790D58" w:rsidRDefault="00D543A9" w:rsidP="00D543A9">
      <w:pPr>
        <w:widowControl w:val="0"/>
        <w:tabs>
          <w:tab w:val="left" w:pos="1276"/>
        </w:tabs>
        <w:spacing w:before="120" w:after="120" w:line="240" w:lineRule="auto"/>
        <w:ind w:left="1134" w:hanging="426"/>
        <w:jc w:val="both"/>
        <w:rPr>
          <w:rFonts w:ascii="Times New Roman" w:eastAsia="Times New Roman" w:hAnsi="Times New Roman" w:cs="Times New Roman"/>
        </w:rPr>
      </w:pPr>
      <w:r w:rsidRPr="00790D58">
        <w:rPr>
          <w:rFonts w:ascii="Times New Roman" w:eastAsia="Times New Roman" w:hAnsi="Times New Roman" w:cs="Times New Roman"/>
          <w:b/>
        </w:rPr>
        <w:t xml:space="preserve">16.3. A kreditek megszerzésének feltételei: </w:t>
      </w:r>
      <w:r w:rsidRPr="00790D58">
        <w:rPr>
          <w:rFonts w:ascii="Times New Roman" w:eastAsia="Times New Roman" w:hAnsi="Times New Roman" w:cs="Times New Roman"/>
        </w:rPr>
        <w:t>A mozgásformák minimum szintjeinek és a minimum összpontszámnak az elérése.</w:t>
      </w:r>
    </w:p>
    <w:p w:rsidR="00DF04E7" w:rsidRPr="00DF04E7" w:rsidRDefault="00DF04E7" w:rsidP="00C14833">
      <w:pPr>
        <w:widowControl w:val="0"/>
        <w:numPr>
          <w:ilvl w:val="0"/>
          <w:numId w:val="155"/>
        </w:numPr>
        <w:spacing w:before="120" w:after="120" w:line="240" w:lineRule="auto"/>
        <w:ind w:left="426" w:hanging="142"/>
        <w:jc w:val="both"/>
        <w:rPr>
          <w:rFonts w:ascii="Times New Roman" w:eastAsia="Times New Roman" w:hAnsi="Times New Roman" w:cs="Times New Roman"/>
          <w:bCs/>
        </w:rPr>
      </w:pPr>
      <w:r w:rsidRPr="00DF04E7">
        <w:rPr>
          <w:rFonts w:ascii="Times New Roman" w:eastAsia="Times New Roman" w:hAnsi="Times New Roman" w:cs="Times New Roman"/>
          <w:b/>
          <w:bCs/>
        </w:rPr>
        <w:t>Irodalomjegyzék:</w:t>
      </w:r>
    </w:p>
    <w:p w:rsidR="00DF04E7" w:rsidRPr="00DF04E7" w:rsidRDefault="00DF04E7" w:rsidP="00DF04E7">
      <w:pPr>
        <w:widowControl w:val="0"/>
        <w:tabs>
          <w:tab w:val="left" w:pos="993"/>
        </w:tabs>
        <w:spacing w:before="120" w:after="120" w:line="240" w:lineRule="auto"/>
        <w:ind w:left="426"/>
        <w:rPr>
          <w:rFonts w:ascii="Times New Roman" w:eastAsia="Times New Roman" w:hAnsi="Times New Roman" w:cs="Times New Roman"/>
          <w:bCs/>
        </w:rPr>
      </w:pPr>
      <w:r w:rsidRPr="00DF04E7">
        <w:rPr>
          <w:rFonts w:ascii="Times New Roman" w:eastAsia="Times New Roman" w:hAnsi="Times New Roman" w:cs="Times New Roman"/>
          <w:b/>
          <w:bCs/>
        </w:rPr>
        <w:t>17.1. Kötelező irodalom:</w:t>
      </w:r>
    </w:p>
    <w:p w:rsidR="00DF04E7" w:rsidRPr="00DF04E7" w:rsidRDefault="00DF04E7" w:rsidP="00DF04E7">
      <w:pPr>
        <w:widowControl w:val="0"/>
        <w:tabs>
          <w:tab w:val="left" w:pos="708"/>
        </w:tabs>
        <w:spacing w:after="0" w:line="240" w:lineRule="auto"/>
        <w:ind w:left="709" w:hanging="283"/>
        <w:rPr>
          <w:rFonts w:ascii="Times New Roman" w:eastAsia="Times New Roman" w:hAnsi="Times New Roman" w:cs="Times New Roman"/>
          <w:highlight w:val="lightGray"/>
        </w:rPr>
      </w:pPr>
      <w:r w:rsidRPr="00DF04E7">
        <w:rPr>
          <w:rFonts w:ascii="Times New Roman" w:hAnsi="Times New Roman" w:cs="Times New Roman"/>
        </w:rPr>
        <w:t>1. A Magyar Honvédség Katonai Testnevelés Kiképzés és Sportbajnokságok szabályzata (A Magyar Honvédség Kiadványa 2017.)</w:t>
      </w:r>
    </w:p>
    <w:p w:rsidR="00DF04E7" w:rsidRPr="00DF04E7" w:rsidRDefault="00DF04E7" w:rsidP="00DF04E7">
      <w:pPr>
        <w:widowControl w:val="0"/>
        <w:tabs>
          <w:tab w:val="left" w:pos="708"/>
        </w:tabs>
        <w:spacing w:before="120" w:after="120" w:line="240" w:lineRule="auto"/>
        <w:ind w:firstLine="426"/>
        <w:rPr>
          <w:rFonts w:ascii="Times New Roman" w:eastAsia="Times New Roman" w:hAnsi="Times New Roman" w:cs="Times New Roman"/>
          <w:b/>
          <w:bCs/>
        </w:rPr>
      </w:pPr>
      <w:r w:rsidRPr="00DF04E7">
        <w:rPr>
          <w:rFonts w:ascii="Times New Roman" w:eastAsia="Times New Roman" w:hAnsi="Times New Roman" w:cs="Times New Roman"/>
          <w:b/>
          <w:bCs/>
        </w:rPr>
        <w:t>17.2. Ajánlott irodalom:</w:t>
      </w:r>
    </w:p>
    <w:p w:rsidR="00DF04E7" w:rsidRPr="00DF04E7" w:rsidRDefault="00DF04E7" w:rsidP="00DF04E7">
      <w:pPr>
        <w:widowControl w:val="0"/>
        <w:tabs>
          <w:tab w:val="left" w:pos="708"/>
        </w:tabs>
        <w:spacing w:after="0" w:line="240" w:lineRule="auto"/>
        <w:ind w:left="709" w:hanging="283"/>
        <w:rPr>
          <w:rFonts w:ascii="Times New Roman" w:eastAsia="Times New Roman" w:hAnsi="Times New Roman" w:cs="Times New Roman"/>
          <w:highlight w:val="lightGray"/>
        </w:rPr>
      </w:pPr>
      <w:r w:rsidRPr="00DF04E7">
        <w:rPr>
          <w:rFonts w:ascii="Times New Roman" w:hAnsi="Times New Roman" w:cs="Times New Roman"/>
        </w:rPr>
        <w:t>1.</w:t>
      </w:r>
      <w:r w:rsidRPr="00DF04E7">
        <w:rPr>
          <w:rFonts w:ascii="Times New Roman" w:hAnsi="Times New Roman" w:cs="Times New Roman"/>
        </w:rPr>
        <w:tab/>
        <w:t>Arold Imre: Az úszás oktatása Sport kiadó 1978. ISBN:9632530187</w:t>
      </w:r>
    </w:p>
    <w:p w:rsidR="00DF04E7" w:rsidRPr="00DF04E7" w:rsidRDefault="00DF04E7" w:rsidP="00DF04E7">
      <w:pPr>
        <w:widowControl w:val="0"/>
        <w:tabs>
          <w:tab w:val="left" w:pos="708"/>
        </w:tabs>
        <w:spacing w:after="0" w:line="240" w:lineRule="auto"/>
        <w:ind w:left="709" w:hanging="283"/>
        <w:rPr>
          <w:rFonts w:ascii="Times New Roman" w:eastAsia="Times New Roman" w:hAnsi="Times New Roman" w:cs="Times New Roman"/>
          <w:highlight w:val="lightGray"/>
        </w:rPr>
      </w:pPr>
    </w:p>
    <w:p w:rsidR="00DF04E7" w:rsidRPr="00DF04E7" w:rsidRDefault="00DF04E7" w:rsidP="00DF04E7">
      <w:pPr>
        <w:widowControl w:val="0"/>
        <w:tabs>
          <w:tab w:val="left" w:pos="708"/>
        </w:tabs>
        <w:spacing w:before="120" w:after="120" w:line="240" w:lineRule="auto"/>
        <w:jc w:val="both"/>
        <w:rPr>
          <w:rFonts w:ascii="Times New Roman" w:eastAsia="Times New Roman" w:hAnsi="Times New Roman" w:cs="Times New Roman"/>
          <w:bCs/>
        </w:rPr>
      </w:pPr>
      <w:r w:rsidRPr="00DF04E7">
        <w:rPr>
          <w:rFonts w:ascii="Times New Roman" w:eastAsia="Times New Roman" w:hAnsi="Times New Roman" w:cs="Times New Roman"/>
          <w:bCs/>
        </w:rPr>
        <w:t>Budapest, 2020-01-21.</w:t>
      </w:r>
    </w:p>
    <w:p w:rsidR="00DF04E7" w:rsidRPr="00CE26FB" w:rsidRDefault="00DF04E7" w:rsidP="00EB017F">
      <w:pPr>
        <w:widowControl w:val="0"/>
        <w:spacing w:after="0" w:line="240" w:lineRule="auto"/>
        <w:ind w:left="4111"/>
        <w:jc w:val="center"/>
        <w:rPr>
          <w:rFonts w:ascii="Times New Roman" w:eastAsia="Times New Roman" w:hAnsi="Times New Roman" w:cs="Times New Roman"/>
          <w:b/>
          <w:bCs/>
        </w:rPr>
      </w:pPr>
      <w:r w:rsidRPr="00CE26FB">
        <w:rPr>
          <w:rFonts w:ascii="Times New Roman" w:eastAsia="Times New Roman" w:hAnsi="Times New Roman" w:cs="Times New Roman"/>
          <w:b/>
          <w:bCs/>
        </w:rPr>
        <w:t>Dr. Prókainé dr. Kovács Tímea alezredes,</w:t>
      </w:r>
    </w:p>
    <w:p w:rsidR="00DF04E7" w:rsidRPr="00DF04E7" w:rsidRDefault="00DF04E7" w:rsidP="00EB017F">
      <w:pPr>
        <w:widowControl w:val="0"/>
        <w:spacing w:after="0" w:line="240" w:lineRule="auto"/>
        <w:ind w:left="4111"/>
        <w:jc w:val="center"/>
        <w:rPr>
          <w:rFonts w:ascii="Times New Roman" w:hAnsi="Times New Roman" w:cs="Times New Roman"/>
        </w:rPr>
      </w:pPr>
      <w:r w:rsidRPr="00DF04E7">
        <w:rPr>
          <w:rFonts w:ascii="Times New Roman" w:eastAsia="Times New Roman" w:hAnsi="Times New Roman" w:cs="Times New Roman"/>
          <w:bCs/>
        </w:rPr>
        <w:t>KTSK testnevelő tanár, sk</w:t>
      </w:r>
      <w:r w:rsidRPr="00DF04E7">
        <w:rPr>
          <w:rFonts w:ascii="Times New Roman" w:eastAsia="Times New Roman" w:hAnsi="Times New Roman" w:cs="Times New Roman"/>
          <w:bCs/>
          <w:highlight w:val="lightGray"/>
        </w:rPr>
        <w:t>.</w:t>
      </w:r>
    </w:p>
    <w:p w:rsidR="00DF04E7" w:rsidRDefault="00DF04E7">
      <w:pPr>
        <w:spacing w:after="200" w:line="276" w:lineRule="auto"/>
        <w:rPr>
          <w:rFonts w:ascii="Times New Roman" w:hAnsi="Times New Roman" w:cs="Times New Roman"/>
          <w:sz w:val="24"/>
        </w:rPr>
      </w:pPr>
    </w:p>
    <w:p w:rsidR="00CE26FB" w:rsidRDefault="00CE26FB">
      <w:pPr>
        <w:spacing w:after="200" w:line="276" w:lineRule="auto"/>
        <w:rPr>
          <w:rFonts w:ascii="Times New Roman" w:hAnsi="Times New Roman" w:cs="Times New Roman"/>
          <w:sz w:val="24"/>
        </w:rPr>
      </w:pPr>
      <w:r>
        <w:rPr>
          <w:rFonts w:ascii="Times New Roman" w:hAnsi="Times New Roman" w:cs="Times New Roman"/>
          <w:sz w:val="24"/>
        </w:rPr>
        <w:br w:type="page"/>
      </w:r>
    </w:p>
    <w:tbl>
      <w:tblPr>
        <w:tblW w:w="11669" w:type="dxa"/>
        <w:tblInd w:w="113" w:type="dxa"/>
        <w:tblLook w:val="01E0" w:firstRow="1" w:lastRow="1" w:firstColumn="1" w:lastColumn="1" w:noHBand="0" w:noVBand="0"/>
      </w:tblPr>
      <w:tblGrid>
        <w:gridCol w:w="4855"/>
        <w:gridCol w:w="1620"/>
        <w:gridCol w:w="2597"/>
        <w:gridCol w:w="2597"/>
      </w:tblGrid>
      <w:tr w:rsidR="00584D88" w:rsidRPr="00584D88" w:rsidTr="00584D88">
        <w:tc>
          <w:tcPr>
            <w:tcW w:w="4855" w:type="dxa"/>
            <w:tcBorders>
              <w:top w:val="nil"/>
              <w:left w:val="nil"/>
              <w:bottom w:val="single" w:sz="4" w:space="0" w:color="auto"/>
              <w:right w:val="nil"/>
            </w:tcBorders>
            <w:hideMark/>
          </w:tcPr>
          <w:p w:rsidR="00584D88" w:rsidRPr="00584D88" w:rsidRDefault="00584D88">
            <w:pPr>
              <w:spacing w:after="0" w:line="240" w:lineRule="auto"/>
              <w:jc w:val="center"/>
              <w:rPr>
                <w:rFonts w:ascii="Times New Roman" w:eastAsia="Times New Roman" w:hAnsi="Times New Roman" w:cs="Times New Roman"/>
                <w:b/>
                <w:smallCaps/>
                <w:lang w:eastAsia="hu-HU"/>
              </w:rPr>
            </w:pPr>
            <w:r w:rsidRPr="00584D88">
              <w:rPr>
                <w:rFonts w:ascii="Times New Roman" w:eastAsia="Times New Roman" w:hAnsi="Times New Roman" w:cs="Times New Roman"/>
                <w:b/>
                <w:smallCaps/>
                <w:lang w:eastAsia="hu-HU"/>
              </w:rPr>
              <w:lastRenderedPageBreak/>
              <w:t>Nemzeti Közszolgálati Egyetem</w:t>
            </w:r>
          </w:p>
        </w:tc>
        <w:tc>
          <w:tcPr>
            <w:tcW w:w="1620" w:type="dxa"/>
          </w:tcPr>
          <w:p w:rsidR="00584D88" w:rsidRPr="00584D88" w:rsidRDefault="00584D88">
            <w:pPr>
              <w:spacing w:after="0" w:line="240" w:lineRule="auto"/>
              <w:jc w:val="both"/>
              <w:rPr>
                <w:rFonts w:ascii="Times New Roman" w:eastAsia="Times New Roman" w:hAnsi="Times New Roman" w:cs="Times New Roman"/>
                <w:lang w:eastAsia="hu-HU"/>
              </w:rPr>
            </w:pPr>
          </w:p>
        </w:tc>
        <w:tc>
          <w:tcPr>
            <w:tcW w:w="2597" w:type="dxa"/>
          </w:tcPr>
          <w:p w:rsidR="00584D88" w:rsidRPr="00584D88" w:rsidRDefault="00584D88">
            <w:pPr>
              <w:spacing w:after="0" w:line="240" w:lineRule="auto"/>
              <w:jc w:val="right"/>
              <w:rPr>
                <w:rFonts w:ascii="Times New Roman" w:eastAsia="Times New Roman" w:hAnsi="Times New Roman" w:cs="Times New Roman"/>
                <w:lang w:eastAsia="hu-HU"/>
              </w:rPr>
            </w:pPr>
          </w:p>
        </w:tc>
        <w:tc>
          <w:tcPr>
            <w:tcW w:w="2597" w:type="dxa"/>
          </w:tcPr>
          <w:p w:rsidR="00584D88" w:rsidRPr="00584D88" w:rsidRDefault="00584D88">
            <w:pPr>
              <w:spacing w:after="0" w:line="240" w:lineRule="auto"/>
              <w:jc w:val="right"/>
              <w:rPr>
                <w:rFonts w:ascii="Times New Roman" w:eastAsia="Times New Roman" w:hAnsi="Times New Roman" w:cs="Times New Roman"/>
                <w:lang w:eastAsia="hu-HU"/>
              </w:rPr>
            </w:pPr>
          </w:p>
        </w:tc>
      </w:tr>
      <w:tr w:rsidR="00584D88" w:rsidRPr="00584D88" w:rsidTr="00584D88">
        <w:tc>
          <w:tcPr>
            <w:tcW w:w="4855" w:type="dxa"/>
            <w:tcBorders>
              <w:top w:val="single" w:sz="4" w:space="0" w:color="auto"/>
              <w:left w:val="nil"/>
              <w:bottom w:val="nil"/>
              <w:right w:val="nil"/>
            </w:tcBorders>
            <w:hideMark/>
          </w:tcPr>
          <w:p w:rsidR="00584D88" w:rsidRPr="00584D88" w:rsidRDefault="00584D88">
            <w:pPr>
              <w:spacing w:after="0" w:line="240" w:lineRule="auto"/>
              <w:jc w:val="center"/>
              <w:rPr>
                <w:rFonts w:ascii="Times New Roman" w:eastAsia="Times New Roman" w:hAnsi="Times New Roman" w:cs="Times New Roman"/>
                <w:b/>
                <w:lang w:eastAsia="hu-HU"/>
              </w:rPr>
            </w:pPr>
            <w:r w:rsidRPr="00584D88">
              <w:rPr>
                <w:rFonts w:ascii="Times New Roman" w:hAnsi="Times New Roman" w:cs="Times New Roman"/>
                <w:b/>
              </w:rPr>
              <w:t>Hadtudományi és Honvédtisztképző Kar</w:t>
            </w:r>
          </w:p>
        </w:tc>
        <w:tc>
          <w:tcPr>
            <w:tcW w:w="1620" w:type="dxa"/>
          </w:tcPr>
          <w:p w:rsidR="00584D88" w:rsidRPr="00584D88" w:rsidRDefault="00584D88">
            <w:pPr>
              <w:spacing w:after="0" w:line="240" w:lineRule="auto"/>
              <w:jc w:val="both"/>
              <w:rPr>
                <w:rFonts w:ascii="Times New Roman" w:eastAsia="Times New Roman" w:hAnsi="Times New Roman" w:cs="Times New Roman"/>
                <w:lang w:eastAsia="hu-HU"/>
              </w:rPr>
            </w:pPr>
          </w:p>
        </w:tc>
        <w:tc>
          <w:tcPr>
            <w:tcW w:w="2597" w:type="dxa"/>
          </w:tcPr>
          <w:p w:rsidR="00584D88" w:rsidRPr="00584D88" w:rsidRDefault="00584D88">
            <w:pPr>
              <w:spacing w:after="0" w:line="240" w:lineRule="auto"/>
              <w:jc w:val="both"/>
              <w:rPr>
                <w:rFonts w:ascii="Times New Roman" w:eastAsia="Times New Roman" w:hAnsi="Times New Roman" w:cs="Times New Roman"/>
                <w:lang w:eastAsia="hu-HU"/>
              </w:rPr>
            </w:pPr>
          </w:p>
        </w:tc>
        <w:tc>
          <w:tcPr>
            <w:tcW w:w="2597" w:type="dxa"/>
          </w:tcPr>
          <w:p w:rsidR="00584D88" w:rsidRPr="00584D88" w:rsidRDefault="00584D88">
            <w:pPr>
              <w:spacing w:after="0" w:line="240" w:lineRule="auto"/>
              <w:jc w:val="both"/>
              <w:rPr>
                <w:rFonts w:ascii="Times New Roman" w:eastAsia="Times New Roman" w:hAnsi="Times New Roman" w:cs="Times New Roman"/>
                <w:lang w:eastAsia="hu-HU"/>
              </w:rPr>
            </w:pPr>
          </w:p>
        </w:tc>
      </w:tr>
    </w:tbl>
    <w:p w:rsidR="00584D88" w:rsidRPr="00584D88" w:rsidRDefault="00584D88" w:rsidP="00584D88">
      <w:pPr>
        <w:widowControl w:val="0"/>
        <w:spacing w:before="120" w:after="120" w:line="240" w:lineRule="auto"/>
        <w:ind w:left="426" w:hanging="142"/>
        <w:jc w:val="center"/>
        <w:rPr>
          <w:rFonts w:ascii="Times New Roman" w:eastAsia="Times New Roman" w:hAnsi="Times New Roman" w:cs="Times New Roman"/>
          <w:b/>
          <w:bCs/>
        </w:rPr>
      </w:pPr>
    </w:p>
    <w:p w:rsidR="00584D88" w:rsidRPr="00584D88" w:rsidRDefault="00584D88" w:rsidP="00584D88">
      <w:pPr>
        <w:widowControl w:val="0"/>
        <w:spacing w:before="120" w:after="120" w:line="240" w:lineRule="auto"/>
        <w:ind w:left="426" w:hanging="142"/>
        <w:jc w:val="center"/>
        <w:rPr>
          <w:rFonts w:ascii="Times New Roman" w:eastAsia="Times New Roman" w:hAnsi="Times New Roman" w:cs="Times New Roman"/>
          <w:b/>
          <w:bCs/>
        </w:rPr>
      </w:pPr>
      <w:r w:rsidRPr="00584D88">
        <w:rPr>
          <w:rFonts w:ascii="Times New Roman" w:eastAsia="Times New Roman" w:hAnsi="Times New Roman" w:cs="Times New Roman"/>
          <w:b/>
          <w:bCs/>
        </w:rPr>
        <w:t>TANTÁRGYI PROGRAM</w:t>
      </w:r>
    </w:p>
    <w:p w:rsidR="00584D88" w:rsidRPr="00584D88" w:rsidRDefault="00584D88" w:rsidP="00C14833">
      <w:pPr>
        <w:widowControl w:val="0"/>
        <w:numPr>
          <w:ilvl w:val="0"/>
          <w:numId w:val="158"/>
        </w:numPr>
        <w:tabs>
          <w:tab w:val="num" w:pos="567"/>
        </w:tabs>
        <w:spacing w:before="120" w:after="120" w:line="240" w:lineRule="auto"/>
        <w:ind w:left="426" w:hanging="142"/>
        <w:rPr>
          <w:rFonts w:ascii="Times New Roman" w:eastAsia="Times New Roman" w:hAnsi="Times New Roman" w:cs="Times New Roman"/>
          <w:bCs/>
        </w:rPr>
      </w:pPr>
      <w:r w:rsidRPr="00584D88">
        <w:rPr>
          <w:rFonts w:ascii="Times New Roman" w:eastAsia="Times New Roman" w:hAnsi="Times New Roman" w:cs="Times New Roman"/>
          <w:b/>
          <w:bCs/>
        </w:rPr>
        <w:t xml:space="preserve">A tantárgy kódja: </w:t>
      </w:r>
      <w:r w:rsidRPr="00584D88">
        <w:rPr>
          <w:rFonts w:ascii="Times New Roman" w:hAnsi="Times New Roman" w:cs="Times New Roman"/>
          <w:bCs/>
        </w:rPr>
        <w:t>HKTSKA06</w:t>
      </w:r>
    </w:p>
    <w:p w:rsidR="00584D88" w:rsidRPr="00584D88" w:rsidRDefault="00584D88" w:rsidP="00C14833">
      <w:pPr>
        <w:widowControl w:val="0"/>
        <w:numPr>
          <w:ilvl w:val="0"/>
          <w:numId w:val="158"/>
        </w:numPr>
        <w:tabs>
          <w:tab w:val="num" w:pos="567"/>
        </w:tabs>
        <w:spacing w:before="120" w:after="120" w:line="240" w:lineRule="auto"/>
        <w:ind w:left="426" w:hanging="142"/>
        <w:rPr>
          <w:rFonts w:ascii="Times New Roman" w:eastAsia="Times New Roman" w:hAnsi="Times New Roman" w:cs="Times New Roman"/>
          <w:b/>
          <w:bCs/>
          <w:lang w:val="en-GB"/>
        </w:rPr>
      </w:pPr>
      <w:r w:rsidRPr="00584D88">
        <w:rPr>
          <w:rFonts w:ascii="Times New Roman" w:eastAsia="Times New Roman" w:hAnsi="Times New Roman" w:cs="Times New Roman"/>
          <w:b/>
          <w:bCs/>
        </w:rPr>
        <w:t xml:space="preserve">A tantárgy megnevezése (magyarul): </w:t>
      </w:r>
      <w:r w:rsidRPr="00584D88">
        <w:rPr>
          <w:rFonts w:ascii="Times New Roman" w:hAnsi="Times New Roman" w:cs="Times New Roman"/>
          <w:bCs/>
        </w:rPr>
        <w:t xml:space="preserve">Katonai testnevelés VI. </w:t>
      </w:r>
    </w:p>
    <w:p w:rsidR="00584D88" w:rsidRPr="00584D88" w:rsidRDefault="00584D88" w:rsidP="00C14833">
      <w:pPr>
        <w:widowControl w:val="0"/>
        <w:numPr>
          <w:ilvl w:val="0"/>
          <w:numId w:val="158"/>
        </w:numPr>
        <w:tabs>
          <w:tab w:val="num" w:pos="567"/>
        </w:tabs>
        <w:spacing w:before="120" w:after="120" w:line="240" w:lineRule="auto"/>
        <w:ind w:left="426" w:hanging="142"/>
        <w:rPr>
          <w:rFonts w:ascii="Times New Roman" w:eastAsia="Times New Roman" w:hAnsi="Times New Roman" w:cs="Times New Roman"/>
          <w:b/>
          <w:bCs/>
          <w:lang w:val="en-GB"/>
        </w:rPr>
      </w:pPr>
      <w:r w:rsidRPr="00584D88">
        <w:rPr>
          <w:rFonts w:ascii="Times New Roman" w:eastAsia="Times New Roman" w:hAnsi="Times New Roman" w:cs="Times New Roman"/>
          <w:b/>
          <w:bCs/>
        </w:rPr>
        <w:t xml:space="preserve">A tantárgy megnevezése (angolul): </w:t>
      </w:r>
      <w:r w:rsidRPr="00584D88">
        <w:rPr>
          <w:rFonts w:ascii="Times New Roman" w:hAnsi="Times New Roman" w:cs="Times New Roman"/>
          <w:bCs/>
        </w:rPr>
        <w:t>Military Physical Education VI.</w:t>
      </w:r>
    </w:p>
    <w:p w:rsidR="00584D88" w:rsidRPr="00584D88" w:rsidRDefault="00584D88" w:rsidP="00C14833">
      <w:pPr>
        <w:widowControl w:val="0"/>
        <w:numPr>
          <w:ilvl w:val="0"/>
          <w:numId w:val="158"/>
        </w:numPr>
        <w:tabs>
          <w:tab w:val="num" w:pos="567"/>
        </w:tabs>
        <w:spacing w:before="120" w:after="120" w:line="240" w:lineRule="auto"/>
        <w:ind w:left="426" w:hanging="142"/>
        <w:rPr>
          <w:rFonts w:ascii="Times New Roman" w:eastAsia="Times New Roman" w:hAnsi="Times New Roman" w:cs="Times New Roman"/>
          <w:b/>
          <w:bCs/>
        </w:rPr>
      </w:pPr>
      <w:r w:rsidRPr="00584D88">
        <w:rPr>
          <w:rFonts w:ascii="Times New Roman" w:eastAsia="Times New Roman" w:hAnsi="Times New Roman" w:cs="Times New Roman"/>
          <w:b/>
          <w:bCs/>
        </w:rPr>
        <w:t xml:space="preserve">Kreditérték és képzési karakter: </w:t>
      </w:r>
    </w:p>
    <w:p w:rsidR="00584D88" w:rsidRPr="00584D88" w:rsidRDefault="00584D88" w:rsidP="00C14833">
      <w:pPr>
        <w:pStyle w:val="Listaszerbekezds"/>
        <w:widowControl w:val="0"/>
        <w:numPr>
          <w:ilvl w:val="1"/>
          <w:numId w:val="158"/>
        </w:numPr>
        <w:spacing w:before="120" w:after="120" w:line="240" w:lineRule="auto"/>
        <w:ind w:left="993" w:hanging="426"/>
        <w:rPr>
          <w:rFonts w:ascii="Times New Roman" w:eastAsia="Times New Roman" w:hAnsi="Times New Roman" w:cs="Times New Roman"/>
          <w:b/>
          <w:bCs/>
        </w:rPr>
      </w:pPr>
      <w:r w:rsidRPr="00584D88">
        <w:rPr>
          <w:rFonts w:ascii="Times New Roman" w:eastAsia="Times New Roman" w:hAnsi="Times New Roman" w:cs="Times New Roman"/>
          <w:bCs/>
        </w:rPr>
        <w:t>2 kredit</w:t>
      </w:r>
    </w:p>
    <w:p w:rsidR="00584D88" w:rsidRPr="00584D88" w:rsidRDefault="00584D88" w:rsidP="00C14833">
      <w:pPr>
        <w:pStyle w:val="Listaszerbekezds"/>
        <w:widowControl w:val="0"/>
        <w:numPr>
          <w:ilvl w:val="1"/>
          <w:numId w:val="158"/>
        </w:numPr>
        <w:spacing w:before="120" w:after="120" w:line="240" w:lineRule="auto"/>
        <w:ind w:left="993" w:hanging="426"/>
        <w:rPr>
          <w:rFonts w:ascii="Times New Roman" w:eastAsia="Times New Roman" w:hAnsi="Times New Roman" w:cs="Times New Roman"/>
          <w:b/>
          <w:bCs/>
        </w:rPr>
      </w:pPr>
      <w:r w:rsidRPr="00584D88">
        <w:rPr>
          <w:rFonts w:ascii="Times New Roman" w:eastAsia="Times New Roman" w:hAnsi="Times New Roman" w:cs="Times New Roman"/>
          <w:bCs/>
        </w:rPr>
        <w:t>a tantárgy elméleti vagy gyakorlati jellegének mértéke: 100% gyakorlat</w:t>
      </w:r>
    </w:p>
    <w:p w:rsidR="00584D88" w:rsidRPr="00584D88" w:rsidRDefault="00584D88" w:rsidP="00C14833">
      <w:pPr>
        <w:widowControl w:val="0"/>
        <w:numPr>
          <w:ilvl w:val="0"/>
          <w:numId w:val="158"/>
        </w:numPr>
        <w:spacing w:before="120" w:after="120" w:line="240" w:lineRule="auto"/>
        <w:ind w:left="426" w:hanging="142"/>
        <w:jc w:val="both"/>
        <w:rPr>
          <w:rFonts w:ascii="Times New Roman" w:eastAsia="Times New Roman" w:hAnsi="Times New Roman" w:cs="Times New Roman"/>
          <w:bCs/>
        </w:rPr>
      </w:pPr>
      <w:r w:rsidRPr="00584D88">
        <w:rPr>
          <w:rFonts w:ascii="Times New Roman" w:eastAsia="Times New Roman" w:hAnsi="Times New Roman" w:cs="Times New Roman"/>
          <w:b/>
          <w:bCs/>
        </w:rPr>
        <w:t>A szak(ok), szakirányok/specializációk megnevezése (ahol oktatják):</w:t>
      </w:r>
      <w:r w:rsidRPr="00584D88">
        <w:rPr>
          <w:rFonts w:ascii="Times New Roman" w:hAnsi="Times New Roman" w:cs="Times New Roman"/>
          <w:bCs/>
        </w:rPr>
        <w:t>Katonai Vezető-, Katonai Üzemeltetés-, Katonai Logisztika, Állami Légiközlekedési alapképzési szak.</w:t>
      </w:r>
    </w:p>
    <w:p w:rsidR="00584D88" w:rsidRPr="00584D88" w:rsidRDefault="00584D88" w:rsidP="00C14833">
      <w:pPr>
        <w:pStyle w:val="lfej"/>
        <w:numPr>
          <w:ilvl w:val="0"/>
          <w:numId w:val="158"/>
        </w:numPr>
        <w:tabs>
          <w:tab w:val="clear" w:pos="720"/>
          <w:tab w:val="right" w:pos="900"/>
          <w:tab w:val="num" w:pos="1560"/>
        </w:tabs>
        <w:spacing w:before="120"/>
        <w:ind w:left="426" w:hanging="142"/>
        <w:rPr>
          <w:rFonts w:ascii="Times New Roman" w:hAnsi="Times New Roman" w:cs="Times New Roman"/>
          <w:bCs/>
        </w:rPr>
      </w:pPr>
      <w:r w:rsidRPr="00584D88">
        <w:rPr>
          <w:rFonts w:ascii="Times New Roman" w:eastAsia="Times New Roman" w:hAnsi="Times New Roman" w:cs="Times New Roman"/>
          <w:b/>
          <w:bCs/>
        </w:rPr>
        <w:t xml:space="preserve">Az oktatásért felelős oktatási szervezeti egység megnevezése: </w:t>
      </w:r>
      <w:r w:rsidRPr="00584D88">
        <w:rPr>
          <w:rFonts w:ascii="Times New Roman" w:hAnsi="Times New Roman" w:cs="Times New Roman"/>
          <w:bCs/>
        </w:rPr>
        <w:t>Katonai Testnevelési és Sportközpont.</w:t>
      </w:r>
    </w:p>
    <w:p w:rsidR="00584D88" w:rsidRPr="00584D88" w:rsidRDefault="00584D88" w:rsidP="00C14833">
      <w:pPr>
        <w:pStyle w:val="lfej"/>
        <w:numPr>
          <w:ilvl w:val="0"/>
          <w:numId w:val="158"/>
        </w:numPr>
        <w:tabs>
          <w:tab w:val="clear" w:pos="720"/>
          <w:tab w:val="right" w:pos="900"/>
          <w:tab w:val="num" w:pos="1701"/>
        </w:tabs>
        <w:spacing w:before="120"/>
        <w:ind w:left="426" w:hanging="142"/>
        <w:jc w:val="both"/>
        <w:rPr>
          <w:rFonts w:ascii="Times New Roman" w:hAnsi="Times New Roman" w:cs="Times New Roman"/>
          <w:bCs/>
        </w:rPr>
      </w:pPr>
      <w:r w:rsidRPr="00584D88">
        <w:rPr>
          <w:rFonts w:ascii="Times New Roman" w:eastAsia="Times New Roman" w:hAnsi="Times New Roman" w:cs="Times New Roman"/>
          <w:b/>
          <w:bCs/>
        </w:rPr>
        <w:t xml:space="preserve">A tantárgyfelelős oktató neve, beosztása, tudományos fokozata: </w:t>
      </w:r>
      <w:r w:rsidRPr="00584D88">
        <w:rPr>
          <w:rFonts w:ascii="Times New Roman" w:hAnsi="Times New Roman" w:cs="Times New Roman"/>
          <w:bCs/>
        </w:rPr>
        <w:t>Dr. Prókainé dr. Kovács Tímea alezredes Katonai Testnevelési és Sportközpont testnevelő tanár.</w:t>
      </w:r>
    </w:p>
    <w:p w:rsidR="00584D88" w:rsidRPr="00584D88" w:rsidRDefault="00584D88" w:rsidP="00C14833">
      <w:pPr>
        <w:widowControl w:val="0"/>
        <w:numPr>
          <w:ilvl w:val="0"/>
          <w:numId w:val="158"/>
        </w:numPr>
        <w:spacing w:before="120" w:after="120" w:line="240" w:lineRule="auto"/>
        <w:ind w:left="426" w:hanging="142"/>
        <w:rPr>
          <w:rFonts w:ascii="Times New Roman" w:eastAsia="Times New Roman" w:hAnsi="Times New Roman" w:cs="Times New Roman"/>
          <w:bCs/>
        </w:rPr>
      </w:pPr>
      <w:r w:rsidRPr="00584D88">
        <w:rPr>
          <w:rFonts w:ascii="Times New Roman" w:eastAsia="Times New Roman" w:hAnsi="Times New Roman" w:cs="Times New Roman"/>
          <w:b/>
          <w:bCs/>
        </w:rPr>
        <w:t>A tanórák száma és típusa</w:t>
      </w:r>
    </w:p>
    <w:p w:rsidR="00584D88" w:rsidRPr="00584D88" w:rsidRDefault="00584D88" w:rsidP="00C14833">
      <w:pPr>
        <w:widowControl w:val="0"/>
        <w:numPr>
          <w:ilvl w:val="1"/>
          <w:numId w:val="158"/>
        </w:numPr>
        <w:tabs>
          <w:tab w:val="num" w:pos="709"/>
          <w:tab w:val="num" w:pos="2069"/>
        </w:tabs>
        <w:spacing w:before="120" w:after="120" w:line="240" w:lineRule="auto"/>
        <w:ind w:left="851" w:hanging="425"/>
        <w:rPr>
          <w:rFonts w:ascii="Times New Roman" w:eastAsia="Times New Roman" w:hAnsi="Times New Roman" w:cs="Times New Roman"/>
          <w:bCs/>
        </w:rPr>
      </w:pPr>
      <w:r w:rsidRPr="00584D88">
        <w:rPr>
          <w:rFonts w:ascii="Times New Roman" w:eastAsia="Times New Roman" w:hAnsi="Times New Roman" w:cs="Times New Roman"/>
          <w:bCs/>
        </w:rPr>
        <w:t>össz óraszám/félév: 42</w:t>
      </w:r>
    </w:p>
    <w:p w:rsidR="00584D88" w:rsidRPr="00584D88" w:rsidRDefault="00584D88" w:rsidP="00C14833">
      <w:pPr>
        <w:widowControl w:val="0"/>
        <w:numPr>
          <w:ilvl w:val="2"/>
          <w:numId w:val="158"/>
        </w:numPr>
        <w:tabs>
          <w:tab w:val="clear" w:pos="1800"/>
          <w:tab w:val="num" w:pos="1430"/>
        </w:tabs>
        <w:spacing w:before="120" w:after="120" w:line="240" w:lineRule="auto"/>
        <w:ind w:left="1214"/>
        <w:rPr>
          <w:rFonts w:ascii="Times New Roman" w:eastAsia="Times New Roman" w:hAnsi="Times New Roman" w:cs="Times New Roman"/>
          <w:bCs/>
        </w:rPr>
      </w:pPr>
      <w:r w:rsidRPr="00584D88">
        <w:rPr>
          <w:rFonts w:ascii="Times New Roman" w:eastAsia="Times New Roman" w:hAnsi="Times New Roman" w:cs="Times New Roman"/>
          <w:bCs/>
        </w:rPr>
        <w:t>nappali munkarend: 42 (0 EA + 0 SZ + 42 GY)</w:t>
      </w:r>
    </w:p>
    <w:p w:rsidR="00584D88" w:rsidRPr="00584D88" w:rsidRDefault="00584D88" w:rsidP="00C14833">
      <w:pPr>
        <w:widowControl w:val="0"/>
        <w:numPr>
          <w:ilvl w:val="2"/>
          <w:numId w:val="158"/>
        </w:numPr>
        <w:tabs>
          <w:tab w:val="clear" w:pos="1800"/>
          <w:tab w:val="num" w:pos="1430"/>
        </w:tabs>
        <w:spacing w:before="120" w:after="120" w:line="240" w:lineRule="auto"/>
        <w:ind w:left="1214"/>
        <w:rPr>
          <w:rFonts w:ascii="Times New Roman" w:eastAsia="Times New Roman" w:hAnsi="Times New Roman" w:cs="Times New Roman"/>
          <w:bCs/>
        </w:rPr>
      </w:pPr>
      <w:r w:rsidRPr="00584D88">
        <w:rPr>
          <w:rFonts w:ascii="Times New Roman" w:eastAsia="Times New Roman" w:hAnsi="Times New Roman" w:cs="Times New Roman"/>
          <w:bCs/>
        </w:rPr>
        <w:t>levelező munkarend: -</w:t>
      </w:r>
    </w:p>
    <w:p w:rsidR="00584D88" w:rsidRPr="00584D88" w:rsidRDefault="00584D88" w:rsidP="00C14833">
      <w:pPr>
        <w:widowControl w:val="0"/>
        <w:numPr>
          <w:ilvl w:val="1"/>
          <w:numId w:val="158"/>
        </w:numPr>
        <w:tabs>
          <w:tab w:val="num" w:pos="709"/>
          <w:tab w:val="num" w:pos="2069"/>
        </w:tabs>
        <w:spacing w:before="120" w:after="120" w:line="240" w:lineRule="auto"/>
        <w:ind w:left="851" w:hanging="425"/>
        <w:rPr>
          <w:rFonts w:ascii="Times New Roman" w:eastAsia="Times New Roman" w:hAnsi="Times New Roman" w:cs="Times New Roman"/>
          <w:bCs/>
        </w:rPr>
      </w:pPr>
      <w:r w:rsidRPr="00584D88">
        <w:rPr>
          <w:rFonts w:ascii="Times New Roman" w:eastAsia="Times New Roman" w:hAnsi="Times New Roman" w:cs="Times New Roman"/>
          <w:bCs/>
        </w:rPr>
        <w:t xml:space="preserve">heti óraszám - nappali munkarend: 3 </w:t>
      </w:r>
    </w:p>
    <w:p w:rsidR="00584D88" w:rsidRPr="00584D88" w:rsidRDefault="00584D88" w:rsidP="00C14833">
      <w:pPr>
        <w:widowControl w:val="0"/>
        <w:numPr>
          <w:ilvl w:val="1"/>
          <w:numId w:val="158"/>
        </w:numPr>
        <w:tabs>
          <w:tab w:val="num" w:pos="709"/>
          <w:tab w:val="num" w:pos="2069"/>
        </w:tabs>
        <w:spacing w:before="120" w:after="120" w:line="240" w:lineRule="auto"/>
        <w:ind w:left="851" w:hanging="425"/>
        <w:rPr>
          <w:rFonts w:ascii="Times New Roman" w:eastAsia="Times New Roman" w:hAnsi="Times New Roman" w:cs="Times New Roman"/>
          <w:bCs/>
        </w:rPr>
      </w:pPr>
      <w:r w:rsidRPr="00584D88">
        <w:rPr>
          <w:rFonts w:ascii="Times New Roman" w:hAnsi="Times New Roman" w:cs="Times New Roman"/>
        </w:rPr>
        <w:t>Az ismeret átadásában alkalmazandó további sajátos módok, jellemzők:-</w:t>
      </w:r>
    </w:p>
    <w:p w:rsidR="00584D88" w:rsidRPr="00584D88" w:rsidRDefault="00584D88" w:rsidP="00C14833">
      <w:pPr>
        <w:widowControl w:val="0"/>
        <w:numPr>
          <w:ilvl w:val="0"/>
          <w:numId w:val="158"/>
        </w:numPr>
        <w:spacing w:before="120" w:after="120" w:line="240" w:lineRule="auto"/>
        <w:ind w:left="426" w:hanging="142"/>
        <w:jc w:val="both"/>
        <w:rPr>
          <w:rFonts w:ascii="Times New Roman" w:eastAsia="Times New Roman" w:hAnsi="Times New Roman" w:cs="Times New Roman"/>
          <w:bCs/>
        </w:rPr>
      </w:pPr>
      <w:r w:rsidRPr="00584D88">
        <w:rPr>
          <w:rFonts w:ascii="Times New Roman" w:eastAsia="Times New Roman" w:hAnsi="Times New Roman" w:cs="Times New Roman"/>
          <w:b/>
          <w:bCs/>
        </w:rPr>
        <w:t xml:space="preserve">A tantárgy szakmai tartalma (magyarul): </w:t>
      </w:r>
      <w:r w:rsidRPr="00584D88">
        <w:rPr>
          <w:rFonts w:ascii="Times New Roman" w:hAnsi="Times New Roman" w:cs="Times New Roman"/>
          <w:bCs/>
        </w:rPr>
        <w:t>Kondicionális képességek fejlesztése.  Úszás- vízi kiképzés II., Az akadálypálya elemeinek, elemcsoportjainak parciális majd globális leküzdése egyénileg majd szakaszkötelékben is. Nehezítő körülmények, feltételek melletti feladat abszolválás (sérült társ cipelésével). A kardvívás oktatása I.</w:t>
      </w:r>
    </w:p>
    <w:p w:rsidR="00584D88" w:rsidRPr="00584D88" w:rsidRDefault="00584D88" w:rsidP="00584D88">
      <w:pPr>
        <w:pStyle w:val="Listaszerbekezds"/>
        <w:ind w:left="426"/>
        <w:jc w:val="both"/>
        <w:rPr>
          <w:rFonts w:ascii="Times New Roman" w:hAnsi="Times New Roman" w:cs="Times New Roman"/>
          <w:lang w:val="en-GB"/>
        </w:rPr>
      </w:pPr>
      <w:r w:rsidRPr="00584D88">
        <w:rPr>
          <w:rFonts w:ascii="Times New Roman" w:eastAsia="Times New Roman" w:hAnsi="Times New Roman" w:cs="Times New Roman"/>
          <w:b/>
          <w:bCs/>
        </w:rPr>
        <w:t>A tantárgy szakmai tartalma (angolul) (</w:t>
      </w:r>
      <w:r w:rsidRPr="00584D88">
        <w:rPr>
          <w:rFonts w:ascii="Times New Roman" w:eastAsia="Times New Roman" w:hAnsi="Times New Roman" w:cs="Times New Roman"/>
          <w:b/>
          <w:bCs/>
          <w:lang w:val="en-US"/>
        </w:rPr>
        <w:t>Course description</w:t>
      </w:r>
      <w:r w:rsidRPr="00584D88">
        <w:rPr>
          <w:rFonts w:ascii="Times New Roman" w:eastAsia="Times New Roman" w:hAnsi="Times New Roman" w:cs="Times New Roman"/>
          <w:b/>
          <w:bCs/>
        </w:rPr>
        <w:t xml:space="preserve">): </w:t>
      </w:r>
      <w:r w:rsidRPr="00584D88">
        <w:rPr>
          <w:rFonts w:ascii="Times New Roman" w:hAnsi="Times New Roman" w:cs="Times New Roman"/>
          <w:lang w:val="en-GB"/>
        </w:rPr>
        <w:t xml:space="preserve">Development of physical skills. Swimming water training II., Partial and global overcoming of the elements and groups of elements obstacle course individually as well as in the form of squad or platoon. Completion of the task under difficult circumstances (carrying an injured companion), physiological functioning of the human body. Teaching of sabre fencing I. </w:t>
      </w:r>
    </w:p>
    <w:p w:rsidR="00584D88" w:rsidRPr="00584D88" w:rsidRDefault="00584D88" w:rsidP="00584D88">
      <w:pPr>
        <w:pStyle w:val="Listaszerbekezds"/>
        <w:widowControl w:val="0"/>
        <w:spacing w:before="120" w:after="120" w:line="240" w:lineRule="auto"/>
        <w:ind w:left="426"/>
        <w:rPr>
          <w:rFonts w:ascii="Times New Roman" w:eastAsia="Times New Roman" w:hAnsi="Times New Roman" w:cs="Times New Roman"/>
          <w:bCs/>
          <w:lang w:val="en-GB"/>
        </w:rPr>
      </w:pPr>
    </w:p>
    <w:p w:rsidR="00584D88" w:rsidRPr="00584D88" w:rsidRDefault="00584D88" w:rsidP="00C14833">
      <w:pPr>
        <w:pStyle w:val="Listaszerbekezds"/>
        <w:widowControl w:val="0"/>
        <w:numPr>
          <w:ilvl w:val="0"/>
          <w:numId w:val="158"/>
        </w:numPr>
        <w:spacing w:before="120" w:after="120" w:line="240" w:lineRule="auto"/>
        <w:ind w:left="426" w:hanging="142"/>
        <w:rPr>
          <w:rFonts w:ascii="Times New Roman" w:eastAsia="Times New Roman" w:hAnsi="Times New Roman" w:cs="Times New Roman"/>
          <w:bCs/>
        </w:rPr>
      </w:pPr>
      <w:r w:rsidRPr="00584D88">
        <w:rPr>
          <w:rFonts w:ascii="Times New Roman" w:eastAsia="Times New Roman" w:hAnsi="Times New Roman" w:cs="Times New Roman"/>
          <w:b/>
          <w:bCs/>
        </w:rPr>
        <w:t xml:space="preserve">Elérendő kompetenciák (magyarul): </w:t>
      </w:r>
    </w:p>
    <w:p w:rsidR="00584D88" w:rsidRPr="00584D88" w:rsidRDefault="00584D88" w:rsidP="00584D88">
      <w:pPr>
        <w:widowControl w:val="0"/>
        <w:spacing w:before="120" w:after="120" w:line="240" w:lineRule="auto"/>
        <w:ind w:left="426"/>
        <w:jc w:val="both"/>
        <w:rPr>
          <w:rFonts w:ascii="Times New Roman" w:eastAsia="Times New Roman" w:hAnsi="Times New Roman" w:cs="Times New Roman"/>
          <w:b/>
          <w:bCs/>
        </w:rPr>
      </w:pPr>
      <w:r w:rsidRPr="00584D88">
        <w:rPr>
          <w:rFonts w:ascii="Times New Roman" w:eastAsia="Times New Roman" w:hAnsi="Times New Roman" w:cs="Times New Roman"/>
          <w:b/>
          <w:bCs/>
        </w:rPr>
        <w:t xml:space="preserve">Tudása: </w:t>
      </w:r>
    </w:p>
    <w:p w:rsidR="00584D88" w:rsidRPr="00584D88" w:rsidRDefault="00584D88" w:rsidP="00C14833">
      <w:pPr>
        <w:pStyle w:val="Listaszerbekezds"/>
        <w:widowControl w:val="0"/>
        <w:numPr>
          <w:ilvl w:val="0"/>
          <w:numId w:val="156"/>
        </w:numPr>
        <w:spacing w:before="120" w:after="120" w:line="240" w:lineRule="auto"/>
        <w:jc w:val="both"/>
        <w:rPr>
          <w:rFonts w:ascii="Times New Roman" w:eastAsia="Times New Roman" w:hAnsi="Times New Roman" w:cs="Times New Roman"/>
          <w:bCs/>
        </w:rPr>
      </w:pPr>
      <w:r w:rsidRPr="00584D88">
        <w:rPr>
          <w:rFonts w:ascii="Times New Roman" w:eastAsia="Times New Roman" w:hAnsi="Times New Roman" w:cs="Times New Roman"/>
          <w:bCs/>
        </w:rPr>
        <w:t xml:space="preserve">Úszóképességek fejlesztése, mentési technikák megismerése. </w:t>
      </w:r>
    </w:p>
    <w:p w:rsidR="00584D88" w:rsidRPr="00584D88" w:rsidRDefault="00584D88" w:rsidP="00C14833">
      <w:pPr>
        <w:pStyle w:val="Listaszerbekezds"/>
        <w:widowControl w:val="0"/>
        <w:numPr>
          <w:ilvl w:val="0"/>
          <w:numId w:val="156"/>
        </w:numPr>
        <w:spacing w:before="120" w:after="120" w:line="240" w:lineRule="auto"/>
        <w:jc w:val="both"/>
        <w:rPr>
          <w:rFonts w:ascii="Times New Roman" w:eastAsia="Times New Roman" w:hAnsi="Times New Roman" w:cs="Times New Roman"/>
          <w:bCs/>
        </w:rPr>
      </w:pPr>
      <w:r w:rsidRPr="00584D88">
        <w:rPr>
          <w:rFonts w:ascii="Times New Roman" w:eastAsia="Times New Roman" w:hAnsi="Times New Roman" w:cs="Times New Roman"/>
          <w:bCs/>
        </w:rPr>
        <w:t xml:space="preserve">Fejleszteni a kondicionális és koordinációs képességeket. </w:t>
      </w:r>
    </w:p>
    <w:p w:rsidR="00584D88" w:rsidRPr="00584D88" w:rsidRDefault="00584D88" w:rsidP="00C14833">
      <w:pPr>
        <w:pStyle w:val="Listaszerbekezds"/>
        <w:widowControl w:val="0"/>
        <w:numPr>
          <w:ilvl w:val="0"/>
          <w:numId w:val="156"/>
        </w:numPr>
        <w:spacing w:before="120" w:after="120" w:line="240" w:lineRule="auto"/>
        <w:jc w:val="both"/>
        <w:rPr>
          <w:rFonts w:ascii="Times New Roman" w:eastAsia="Times New Roman" w:hAnsi="Times New Roman" w:cs="Times New Roman"/>
          <w:bCs/>
        </w:rPr>
      </w:pPr>
      <w:r w:rsidRPr="00584D88">
        <w:rPr>
          <w:rFonts w:ascii="Times New Roman" w:eastAsia="Times New Roman" w:hAnsi="Times New Roman" w:cs="Times New Roman"/>
          <w:bCs/>
        </w:rPr>
        <w:t>Szerezzen ismeretet az emberi test működéséről élettani szempontból.</w:t>
      </w:r>
    </w:p>
    <w:p w:rsidR="00584D88" w:rsidRPr="00584D88" w:rsidRDefault="00584D88" w:rsidP="00584D88">
      <w:pPr>
        <w:widowControl w:val="0"/>
        <w:spacing w:before="120" w:after="120" w:line="240" w:lineRule="auto"/>
        <w:ind w:left="426"/>
        <w:jc w:val="both"/>
        <w:rPr>
          <w:rFonts w:ascii="Times New Roman" w:eastAsia="Times New Roman" w:hAnsi="Times New Roman" w:cs="Times New Roman"/>
          <w:b/>
          <w:bCs/>
        </w:rPr>
      </w:pPr>
      <w:r w:rsidRPr="00584D88">
        <w:rPr>
          <w:rFonts w:ascii="Times New Roman" w:eastAsia="Times New Roman" w:hAnsi="Times New Roman" w:cs="Times New Roman"/>
          <w:b/>
          <w:bCs/>
        </w:rPr>
        <w:t xml:space="preserve">Képességei: </w:t>
      </w:r>
    </w:p>
    <w:p w:rsidR="00584D88" w:rsidRPr="00584D88" w:rsidRDefault="00584D88" w:rsidP="00C14833">
      <w:pPr>
        <w:pStyle w:val="Listaszerbekezds"/>
        <w:widowControl w:val="0"/>
        <w:numPr>
          <w:ilvl w:val="0"/>
          <w:numId w:val="156"/>
        </w:numPr>
        <w:spacing w:before="120" w:after="120" w:line="240" w:lineRule="auto"/>
        <w:jc w:val="both"/>
        <w:rPr>
          <w:rFonts w:ascii="Times New Roman" w:eastAsia="Times New Roman" w:hAnsi="Times New Roman" w:cs="Times New Roman"/>
          <w:bCs/>
        </w:rPr>
      </w:pPr>
      <w:r w:rsidRPr="00584D88">
        <w:rPr>
          <w:rFonts w:ascii="Times New Roman" w:eastAsia="Times New Roman" w:hAnsi="Times New Roman" w:cs="Times New Roman"/>
          <w:bCs/>
        </w:rPr>
        <w:t xml:space="preserve">Szerezzen jártasságot az akadálypálya elemeinek legoptimálisabb leküzdésében. </w:t>
      </w:r>
    </w:p>
    <w:p w:rsidR="00584D88" w:rsidRPr="00584D88" w:rsidRDefault="00584D88" w:rsidP="00C14833">
      <w:pPr>
        <w:pStyle w:val="Listaszerbekezds"/>
        <w:widowControl w:val="0"/>
        <w:numPr>
          <w:ilvl w:val="0"/>
          <w:numId w:val="156"/>
        </w:numPr>
        <w:spacing w:before="120" w:after="120" w:line="240" w:lineRule="auto"/>
        <w:jc w:val="both"/>
        <w:rPr>
          <w:rFonts w:ascii="Times New Roman" w:eastAsia="Times New Roman" w:hAnsi="Times New Roman" w:cs="Times New Roman"/>
          <w:bCs/>
        </w:rPr>
      </w:pPr>
      <w:r w:rsidRPr="00584D88">
        <w:rPr>
          <w:rFonts w:ascii="Times New Roman" w:eastAsia="Times New Roman" w:hAnsi="Times New Roman" w:cs="Times New Roman"/>
          <w:bCs/>
        </w:rPr>
        <w:t xml:space="preserve">Testi képességeik fejlesztése révén minimalizálja a sérülésveszély lehetőségét. </w:t>
      </w:r>
    </w:p>
    <w:p w:rsidR="00584D88" w:rsidRPr="00584D88" w:rsidRDefault="00584D88" w:rsidP="00584D88">
      <w:pPr>
        <w:widowControl w:val="0"/>
        <w:spacing w:before="120" w:after="120" w:line="240" w:lineRule="auto"/>
        <w:ind w:left="426"/>
        <w:jc w:val="both"/>
        <w:rPr>
          <w:rFonts w:ascii="Times New Roman" w:eastAsia="Times New Roman" w:hAnsi="Times New Roman" w:cs="Times New Roman"/>
          <w:b/>
          <w:bCs/>
        </w:rPr>
      </w:pPr>
      <w:r w:rsidRPr="00584D88">
        <w:rPr>
          <w:rFonts w:ascii="Times New Roman" w:eastAsia="Times New Roman" w:hAnsi="Times New Roman" w:cs="Times New Roman"/>
          <w:b/>
          <w:bCs/>
        </w:rPr>
        <w:t xml:space="preserve">Attitűdje: </w:t>
      </w:r>
    </w:p>
    <w:p w:rsidR="00584D88" w:rsidRPr="00584D88" w:rsidRDefault="00584D88" w:rsidP="00C14833">
      <w:pPr>
        <w:pStyle w:val="Listaszerbekezds"/>
        <w:widowControl w:val="0"/>
        <w:numPr>
          <w:ilvl w:val="0"/>
          <w:numId w:val="156"/>
        </w:numPr>
        <w:spacing w:before="120" w:after="120" w:line="240" w:lineRule="auto"/>
        <w:jc w:val="both"/>
        <w:rPr>
          <w:rFonts w:ascii="Times New Roman" w:eastAsia="Times New Roman" w:hAnsi="Times New Roman" w:cs="Times New Roman"/>
          <w:bCs/>
        </w:rPr>
      </w:pPr>
      <w:r w:rsidRPr="00584D88">
        <w:rPr>
          <w:rFonts w:ascii="Times New Roman" w:eastAsia="Times New Roman" w:hAnsi="Times New Roman" w:cs="Times New Roman"/>
          <w:bCs/>
        </w:rPr>
        <w:t xml:space="preserve">Elfogadja és elismeri az életpálya tervezés fontosságát. </w:t>
      </w:r>
    </w:p>
    <w:p w:rsidR="00584D88" w:rsidRPr="00584D88" w:rsidRDefault="00584D88" w:rsidP="00C14833">
      <w:pPr>
        <w:pStyle w:val="Listaszerbekezds"/>
        <w:widowControl w:val="0"/>
        <w:numPr>
          <w:ilvl w:val="0"/>
          <w:numId w:val="156"/>
        </w:numPr>
        <w:spacing w:before="120" w:after="120" w:line="240" w:lineRule="auto"/>
        <w:jc w:val="both"/>
        <w:rPr>
          <w:rFonts w:ascii="Times New Roman" w:eastAsia="Times New Roman" w:hAnsi="Times New Roman" w:cs="Times New Roman"/>
          <w:bCs/>
        </w:rPr>
      </w:pPr>
      <w:r w:rsidRPr="00584D88">
        <w:rPr>
          <w:rFonts w:ascii="Times New Roman" w:eastAsia="Times New Roman" w:hAnsi="Times New Roman" w:cs="Times New Roman"/>
          <w:bCs/>
        </w:rPr>
        <w:t>Törekszik az életen át tartó tanulásra a munka világában és azon kívül is.</w:t>
      </w:r>
    </w:p>
    <w:p w:rsidR="00584D88" w:rsidRPr="00584D88" w:rsidRDefault="00584D88" w:rsidP="00584D88">
      <w:pPr>
        <w:widowControl w:val="0"/>
        <w:spacing w:before="120" w:after="120" w:line="240" w:lineRule="auto"/>
        <w:ind w:left="426"/>
        <w:jc w:val="both"/>
        <w:rPr>
          <w:rFonts w:ascii="Times New Roman" w:eastAsia="Times New Roman" w:hAnsi="Times New Roman" w:cs="Times New Roman"/>
          <w:b/>
          <w:bCs/>
        </w:rPr>
      </w:pPr>
      <w:r w:rsidRPr="00584D88">
        <w:rPr>
          <w:rFonts w:ascii="Times New Roman" w:eastAsia="Times New Roman" w:hAnsi="Times New Roman" w:cs="Times New Roman"/>
          <w:b/>
          <w:bCs/>
        </w:rPr>
        <w:lastRenderedPageBreak/>
        <w:t>Autonómiája és felelőssége:</w:t>
      </w:r>
    </w:p>
    <w:p w:rsidR="00584D88" w:rsidRPr="00584D88" w:rsidRDefault="00584D88" w:rsidP="00C14833">
      <w:pPr>
        <w:pStyle w:val="Listaszerbekezds"/>
        <w:widowControl w:val="0"/>
        <w:numPr>
          <w:ilvl w:val="0"/>
          <w:numId w:val="156"/>
        </w:numPr>
        <w:spacing w:before="120" w:after="120" w:line="240" w:lineRule="auto"/>
        <w:jc w:val="both"/>
        <w:rPr>
          <w:rFonts w:ascii="Times New Roman" w:eastAsia="Times New Roman" w:hAnsi="Times New Roman" w:cs="Times New Roman"/>
          <w:bCs/>
        </w:rPr>
      </w:pPr>
      <w:r w:rsidRPr="00584D88">
        <w:rPr>
          <w:rFonts w:ascii="Times New Roman" w:eastAsia="Times New Roman" w:hAnsi="Times New Roman" w:cs="Times New Roman"/>
          <w:b/>
          <w:bCs/>
        </w:rPr>
        <w:t xml:space="preserve"> </w:t>
      </w:r>
      <w:r w:rsidRPr="00584D88">
        <w:rPr>
          <w:rFonts w:ascii="Times New Roman" w:eastAsia="Times New Roman" w:hAnsi="Times New Roman" w:cs="Times New Roman"/>
          <w:bCs/>
        </w:rPr>
        <w:t>Olyan mozgásformákat, tevékenységeket, sportágakat ismer, amelyek egyrészt divatosak, megfelelnek a korszellemnek, és amelyek bizonyítják, hogy a sport elsősorban örömforrás, kaland, játék, másrészt életünk bármely szakaszában nehézségek nélkül űzhetik majd.</w:t>
      </w:r>
    </w:p>
    <w:p w:rsidR="00584D88" w:rsidRPr="00584D88" w:rsidRDefault="00584D88" w:rsidP="00584D88">
      <w:pPr>
        <w:widowControl w:val="0"/>
        <w:spacing w:before="120" w:after="120" w:line="240" w:lineRule="auto"/>
        <w:ind w:left="426"/>
        <w:rPr>
          <w:rFonts w:ascii="Times New Roman" w:eastAsia="Times New Roman" w:hAnsi="Times New Roman" w:cs="Times New Roman"/>
          <w:b/>
          <w:bCs/>
          <w:lang w:val="en-US"/>
        </w:rPr>
      </w:pPr>
      <w:r w:rsidRPr="00584D88">
        <w:rPr>
          <w:rFonts w:ascii="Times New Roman" w:eastAsia="Times New Roman" w:hAnsi="Times New Roman" w:cs="Times New Roman"/>
          <w:b/>
          <w:bCs/>
        </w:rPr>
        <w:t>Elérendő kompetenciák (angolul) (</w:t>
      </w:r>
      <w:r w:rsidRPr="00584D88">
        <w:rPr>
          <w:rFonts w:ascii="Times New Roman" w:eastAsia="Times New Roman" w:hAnsi="Times New Roman" w:cs="Times New Roman"/>
          <w:b/>
          <w:bCs/>
          <w:lang w:val="en-US"/>
        </w:rPr>
        <w:t xml:space="preserve">Competences – English): </w:t>
      </w:r>
    </w:p>
    <w:p w:rsidR="00584D88" w:rsidRPr="00584D88" w:rsidRDefault="00584D88" w:rsidP="00584D88">
      <w:pPr>
        <w:ind w:left="426"/>
        <w:jc w:val="both"/>
        <w:rPr>
          <w:rFonts w:ascii="Times New Roman" w:eastAsia="Times New Roman" w:hAnsi="Times New Roman" w:cs="Times New Roman"/>
          <w:lang w:val="en-GB"/>
        </w:rPr>
      </w:pPr>
      <w:r w:rsidRPr="00584D88">
        <w:rPr>
          <w:rFonts w:ascii="Times New Roman" w:eastAsia="Times New Roman" w:hAnsi="Times New Roman" w:cs="Times New Roman"/>
          <w:b/>
          <w:lang w:val="en-GB"/>
        </w:rPr>
        <w:t>Knowledge</w:t>
      </w:r>
      <w:r w:rsidRPr="00584D88">
        <w:rPr>
          <w:rFonts w:ascii="Times New Roman" w:eastAsia="Times New Roman" w:hAnsi="Times New Roman" w:cs="Times New Roman"/>
          <w:lang w:val="en-GB"/>
        </w:rPr>
        <w:t xml:space="preserve">: </w:t>
      </w:r>
    </w:p>
    <w:p w:rsidR="00584D88" w:rsidRPr="00584D88" w:rsidRDefault="00584D88" w:rsidP="00C14833">
      <w:pPr>
        <w:pStyle w:val="Listaszerbekezds"/>
        <w:numPr>
          <w:ilvl w:val="0"/>
          <w:numId w:val="156"/>
        </w:numPr>
        <w:spacing w:line="256" w:lineRule="auto"/>
        <w:jc w:val="both"/>
        <w:rPr>
          <w:rFonts w:ascii="Times New Roman" w:eastAsia="Times New Roman" w:hAnsi="Times New Roman" w:cs="Times New Roman"/>
          <w:lang w:val="en-GB"/>
        </w:rPr>
      </w:pPr>
      <w:r w:rsidRPr="00584D88">
        <w:rPr>
          <w:rFonts w:ascii="Times New Roman" w:hAnsi="Times New Roman" w:cs="Times New Roman"/>
          <w:lang w:val="en-GB"/>
        </w:rPr>
        <w:t xml:space="preserve">To develop swimming skills, learning rescue techniques. </w:t>
      </w:r>
    </w:p>
    <w:p w:rsidR="00584D88" w:rsidRPr="00584D88" w:rsidRDefault="00584D88" w:rsidP="00C14833">
      <w:pPr>
        <w:pStyle w:val="Listaszerbekezds"/>
        <w:numPr>
          <w:ilvl w:val="0"/>
          <w:numId w:val="156"/>
        </w:numPr>
        <w:spacing w:line="256" w:lineRule="auto"/>
        <w:jc w:val="both"/>
        <w:rPr>
          <w:rFonts w:ascii="Times New Roman" w:eastAsia="Times New Roman" w:hAnsi="Times New Roman" w:cs="Times New Roman"/>
          <w:lang w:val="en-GB"/>
        </w:rPr>
      </w:pPr>
      <w:r w:rsidRPr="00584D88">
        <w:rPr>
          <w:rFonts w:ascii="Times New Roman" w:hAnsi="Times New Roman" w:cs="Times New Roman"/>
          <w:lang w:val="en-GB"/>
        </w:rPr>
        <w:t xml:space="preserve">To develop physical and coordination skills. </w:t>
      </w:r>
    </w:p>
    <w:p w:rsidR="00584D88" w:rsidRPr="00584D88" w:rsidRDefault="00584D88" w:rsidP="00C14833">
      <w:pPr>
        <w:pStyle w:val="Listaszerbekezds"/>
        <w:numPr>
          <w:ilvl w:val="0"/>
          <w:numId w:val="156"/>
        </w:numPr>
        <w:spacing w:line="256" w:lineRule="auto"/>
        <w:jc w:val="both"/>
        <w:rPr>
          <w:rFonts w:ascii="Times New Roman" w:eastAsia="Times New Roman" w:hAnsi="Times New Roman" w:cs="Times New Roman"/>
          <w:lang w:val="en-GB"/>
        </w:rPr>
      </w:pPr>
      <w:r w:rsidRPr="00584D88">
        <w:rPr>
          <w:rFonts w:ascii="Times New Roman" w:hAnsi="Times New Roman" w:cs="Times New Roman"/>
          <w:lang w:val="en-GB"/>
        </w:rPr>
        <w:t>To get knowledge about the physiological function of the human body.</w:t>
      </w:r>
    </w:p>
    <w:p w:rsidR="00584D88" w:rsidRPr="00584D88" w:rsidRDefault="00584D88" w:rsidP="00584D88">
      <w:pPr>
        <w:ind w:left="426"/>
        <w:jc w:val="both"/>
        <w:rPr>
          <w:rFonts w:ascii="Times New Roman" w:eastAsia="Times New Roman" w:hAnsi="Times New Roman" w:cs="Times New Roman"/>
          <w:lang w:val="en-GB"/>
        </w:rPr>
      </w:pPr>
      <w:r w:rsidRPr="00584D88">
        <w:rPr>
          <w:rFonts w:ascii="Times New Roman" w:eastAsia="Times New Roman" w:hAnsi="Times New Roman" w:cs="Times New Roman"/>
          <w:b/>
          <w:lang w:val="en-GB"/>
        </w:rPr>
        <w:t>Capabilities</w:t>
      </w:r>
      <w:r w:rsidRPr="00584D88">
        <w:rPr>
          <w:rFonts w:ascii="Times New Roman" w:eastAsia="Times New Roman" w:hAnsi="Times New Roman" w:cs="Times New Roman"/>
          <w:lang w:val="en-GB"/>
        </w:rPr>
        <w:t>:</w:t>
      </w:r>
    </w:p>
    <w:p w:rsidR="00584D88" w:rsidRPr="00584D88" w:rsidRDefault="00584D88" w:rsidP="00C14833">
      <w:pPr>
        <w:pStyle w:val="Listaszerbekezds"/>
        <w:numPr>
          <w:ilvl w:val="0"/>
          <w:numId w:val="156"/>
        </w:numPr>
        <w:spacing w:line="256" w:lineRule="auto"/>
        <w:jc w:val="both"/>
        <w:rPr>
          <w:rFonts w:ascii="Times New Roman" w:hAnsi="Times New Roman" w:cs="Times New Roman"/>
          <w:lang w:val="en-GB"/>
        </w:rPr>
      </w:pPr>
      <w:r w:rsidRPr="00584D88">
        <w:rPr>
          <w:rFonts w:ascii="Times New Roman" w:eastAsia="Times New Roman" w:hAnsi="Times New Roman" w:cs="Times New Roman"/>
          <w:lang w:val="en-GB"/>
        </w:rPr>
        <w:t xml:space="preserve"> </w:t>
      </w:r>
      <w:r w:rsidRPr="00584D88">
        <w:rPr>
          <w:rFonts w:ascii="Times New Roman" w:hAnsi="Times New Roman" w:cs="Times New Roman"/>
          <w:lang w:val="en-GB"/>
        </w:rPr>
        <w:t xml:space="preserve">Gain proficiency in overcoming the elements of the obstacle course. </w:t>
      </w:r>
    </w:p>
    <w:p w:rsidR="00584D88" w:rsidRPr="00584D88" w:rsidRDefault="00584D88" w:rsidP="00C14833">
      <w:pPr>
        <w:pStyle w:val="Listaszerbekezds"/>
        <w:numPr>
          <w:ilvl w:val="0"/>
          <w:numId w:val="156"/>
        </w:numPr>
        <w:spacing w:line="256" w:lineRule="auto"/>
        <w:jc w:val="both"/>
        <w:rPr>
          <w:rFonts w:ascii="Times New Roman" w:hAnsi="Times New Roman" w:cs="Times New Roman"/>
          <w:lang w:val="en-GB"/>
        </w:rPr>
      </w:pPr>
      <w:r w:rsidRPr="00584D88">
        <w:rPr>
          <w:rFonts w:ascii="Times New Roman" w:hAnsi="Times New Roman" w:cs="Times New Roman"/>
          <w:lang w:val="en-GB"/>
        </w:rPr>
        <w:t>Minimizing the risk of injury by improving their physical abilities.</w:t>
      </w:r>
    </w:p>
    <w:p w:rsidR="00584D88" w:rsidRPr="00584D88" w:rsidRDefault="00584D88" w:rsidP="00584D88">
      <w:pPr>
        <w:ind w:left="426"/>
        <w:jc w:val="both"/>
        <w:rPr>
          <w:rFonts w:ascii="Times New Roman" w:eastAsia="Times New Roman" w:hAnsi="Times New Roman" w:cs="Times New Roman"/>
          <w:b/>
          <w:lang w:val="en-GB"/>
        </w:rPr>
      </w:pPr>
      <w:r w:rsidRPr="00584D88">
        <w:rPr>
          <w:rFonts w:ascii="Times New Roman" w:eastAsia="Times New Roman" w:hAnsi="Times New Roman" w:cs="Times New Roman"/>
          <w:b/>
          <w:lang w:val="en-GB"/>
        </w:rPr>
        <w:t>Attitude:</w:t>
      </w:r>
    </w:p>
    <w:p w:rsidR="00584D88" w:rsidRPr="00584D88" w:rsidRDefault="00584D88" w:rsidP="00C14833">
      <w:pPr>
        <w:pStyle w:val="Listaszerbekezds"/>
        <w:numPr>
          <w:ilvl w:val="0"/>
          <w:numId w:val="156"/>
        </w:numPr>
        <w:spacing w:line="256" w:lineRule="auto"/>
        <w:jc w:val="both"/>
        <w:rPr>
          <w:rFonts w:ascii="Times New Roman" w:hAnsi="Times New Roman" w:cs="Times New Roman"/>
          <w:lang w:val="en-GB"/>
        </w:rPr>
      </w:pPr>
      <w:r w:rsidRPr="00584D88">
        <w:rPr>
          <w:rFonts w:ascii="Times New Roman" w:hAnsi="Times New Roman" w:cs="Times New Roman"/>
          <w:lang w:val="en-GB"/>
        </w:rPr>
        <w:t>He/ She accepts and recognizes the importance of career planning and strives for lifelong learning within and outside the world of work.</w:t>
      </w:r>
    </w:p>
    <w:p w:rsidR="00584D88" w:rsidRPr="00584D88" w:rsidRDefault="00584D88" w:rsidP="00584D88">
      <w:pPr>
        <w:widowControl w:val="0"/>
        <w:spacing w:before="120" w:after="120" w:line="240" w:lineRule="auto"/>
        <w:ind w:left="426"/>
        <w:jc w:val="both"/>
        <w:rPr>
          <w:rFonts w:ascii="Times New Roman" w:eastAsia="Times New Roman" w:hAnsi="Times New Roman" w:cs="Times New Roman"/>
          <w:b/>
          <w:lang w:val="en-GB"/>
        </w:rPr>
      </w:pPr>
      <w:r w:rsidRPr="00584D88">
        <w:rPr>
          <w:rFonts w:ascii="Times New Roman" w:eastAsia="Times New Roman" w:hAnsi="Times New Roman" w:cs="Times New Roman"/>
          <w:b/>
          <w:lang w:val="en-GB"/>
        </w:rPr>
        <w:t>Autonomy and responsibility:</w:t>
      </w:r>
    </w:p>
    <w:p w:rsidR="00584D88" w:rsidRPr="00584D88" w:rsidRDefault="00584D88" w:rsidP="00C14833">
      <w:pPr>
        <w:pStyle w:val="Listaszerbekezds"/>
        <w:widowControl w:val="0"/>
        <w:numPr>
          <w:ilvl w:val="0"/>
          <w:numId w:val="156"/>
        </w:numPr>
        <w:spacing w:before="120" w:after="120" w:line="240" w:lineRule="auto"/>
        <w:jc w:val="both"/>
        <w:rPr>
          <w:rFonts w:ascii="Times New Roman" w:eastAsia="Times New Roman" w:hAnsi="Times New Roman" w:cs="Times New Roman"/>
          <w:lang w:val="en-GB"/>
        </w:rPr>
      </w:pPr>
      <w:r w:rsidRPr="00584D88">
        <w:rPr>
          <w:rFonts w:ascii="Times New Roman" w:eastAsia="Times New Roman" w:hAnsi="Times New Roman" w:cs="Times New Roman"/>
          <w:b/>
          <w:lang w:val="en-GB"/>
        </w:rPr>
        <w:t xml:space="preserve"> </w:t>
      </w:r>
      <w:r w:rsidRPr="00584D88">
        <w:rPr>
          <w:rFonts w:ascii="Times New Roman" w:eastAsia="Times New Roman" w:hAnsi="Times New Roman" w:cs="Times New Roman"/>
          <w:lang w:val="en-GB"/>
        </w:rPr>
        <w:t>He/ She knows forms of exercise that are both fashionable, in keeping with the spirit of the times, and which prove that sports can primarily be a source of fun, adventure, play, and  can be done at any stage of their lives without difficulty.</w:t>
      </w:r>
    </w:p>
    <w:p w:rsidR="00584D88" w:rsidRPr="00584D88" w:rsidRDefault="00584D88" w:rsidP="00C14833">
      <w:pPr>
        <w:widowControl w:val="0"/>
        <w:numPr>
          <w:ilvl w:val="0"/>
          <w:numId w:val="158"/>
        </w:numPr>
        <w:spacing w:before="120" w:after="120" w:line="240" w:lineRule="auto"/>
        <w:ind w:left="426" w:hanging="142"/>
        <w:rPr>
          <w:rFonts w:ascii="Times New Roman" w:eastAsia="Times New Roman" w:hAnsi="Times New Roman" w:cs="Times New Roman"/>
          <w:bCs/>
        </w:rPr>
      </w:pPr>
      <w:r w:rsidRPr="00584D88">
        <w:rPr>
          <w:rFonts w:ascii="Times New Roman" w:eastAsia="Times New Roman" w:hAnsi="Times New Roman" w:cs="Times New Roman"/>
          <w:b/>
          <w:bCs/>
        </w:rPr>
        <w:t xml:space="preserve">Előtanulmányi követelmények: </w:t>
      </w:r>
      <w:r w:rsidRPr="00584D88">
        <w:rPr>
          <w:rFonts w:ascii="Times New Roman" w:eastAsia="Times New Roman" w:hAnsi="Times New Roman" w:cs="Times New Roman"/>
          <w:bCs/>
        </w:rPr>
        <w:t>nincs</w:t>
      </w:r>
    </w:p>
    <w:p w:rsidR="00584D88" w:rsidRPr="00584D88" w:rsidRDefault="00584D88" w:rsidP="00C14833">
      <w:pPr>
        <w:widowControl w:val="0"/>
        <w:numPr>
          <w:ilvl w:val="0"/>
          <w:numId w:val="158"/>
        </w:numPr>
        <w:spacing w:before="120" w:after="120" w:line="240" w:lineRule="auto"/>
        <w:ind w:left="284" w:firstLine="0"/>
        <w:rPr>
          <w:rFonts w:ascii="Times New Roman" w:eastAsia="Times New Roman" w:hAnsi="Times New Roman" w:cs="Times New Roman"/>
          <w:bCs/>
        </w:rPr>
      </w:pPr>
      <w:r w:rsidRPr="00584D88">
        <w:rPr>
          <w:rFonts w:ascii="Times New Roman" w:eastAsia="Times New Roman" w:hAnsi="Times New Roman" w:cs="Times New Roman"/>
          <w:b/>
          <w:bCs/>
        </w:rPr>
        <w:t>A tantárgy tananyagának leírása, tematika.</w:t>
      </w:r>
    </w:p>
    <w:p w:rsidR="00584D88" w:rsidRPr="00584D88" w:rsidRDefault="00584D88" w:rsidP="00EB017F">
      <w:pPr>
        <w:widowControl w:val="0"/>
        <w:spacing w:after="120" w:line="240" w:lineRule="auto"/>
        <w:ind w:left="284"/>
        <w:jc w:val="both"/>
        <w:rPr>
          <w:rFonts w:ascii="Times New Roman" w:eastAsia="Times New Roman" w:hAnsi="Times New Roman" w:cs="Times New Roman"/>
          <w:bCs/>
          <w:i/>
          <w:iCs/>
        </w:rPr>
      </w:pPr>
      <w:r w:rsidRPr="00584D88">
        <w:rPr>
          <w:rFonts w:ascii="Times New Roman" w:eastAsia="Times New Roman" w:hAnsi="Times New Roman" w:cs="Times New Roman"/>
          <w:b/>
          <w:bCs/>
        </w:rPr>
        <w:t xml:space="preserve">12.1. </w:t>
      </w:r>
      <w:r w:rsidRPr="00584D88">
        <w:rPr>
          <w:rFonts w:ascii="Times New Roman" w:eastAsia="Times New Roman" w:hAnsi="Times New Roman" w:cs="Times New Roman"/>
          <w:bCs/>
        </w:rPr>
        <w:t>Kardvívás oktatása I. Alapvető biztonsági rendszabályok ismertetése.</w:t>
      </w:r>
      <w:r w:rsidRPr="00584D88">
        <w:rPr>
          <w:rFonts w:ascii="Times New Roman" w:hAnsi="Times New Roman" w:cs="Times New Roman"/>
          <w:i/>
        </w:rPr>
        <w:t xml:space="preserve"> </w:t>
      </w:r>
      <w:r w:rsidRPr="00584D88">
        <w:rPr>
          <w:rFonts w:ascii="Times New Roman" w:hAnsi="Times New Roman" w:cs="Times New Roman"/>
          <w:i/>
          <w:iCs/>
        </w:rPr>
        <w:t>( Fencing with sword)</w:t>
      </w:r>
    </w:p>
    <w:p w:rsidR="00584D88" w:rsidRPr="00584D88" w:rsidRDefault="00584D88" w:rsidP="00EB017F">
      <w:pPr>
        <w:pStyle w:val="HTML-kntformzott"/>
        <w:spacing w:after="120"/>
        <w:ind w:left="284"/>
        <w:jc w:val="both"/>
        <w:rPr>
          <w:rFonts w:ascii="Times New Roman" w:hAnsi="Times New Roman" w:cs="Times New Roman"/>
          <w:i/>
          <w:iCs/>
          <w:color w:val="222222"/>
          <w:sz w:val="22"/>
          <w:szCs w:val="22"/>
        </w:rPr>
      </w:pPr>
      <w:r w:rsidRPr="00584D88">
        <w:rPr>
          <w:rFonts w:ascii="Times New Roman" w:hAnsi="Times New Roman" w:cs="Times New Roman"/>
          <w:b/>
          <w:bCs/>
          <w:sz w:val="22"/>
          <w:szCs w:val="22"/>
        </w:rPr>
        <w:t>12.2.</w:t>
      </w:r>
      <w:r w:rsidRPr="00584D88">
        <w:rPr>
          <w:rFonts w:ascii="Times New Roman" w:hAnsi="Times New Roman" w:cs="Times New Roman"/>
          <w:bCs/>
          <w:sz w:val="22"/>
          <w:szCs w:val="22"/>
        </w:rPr>
        <w:t xml:space="preserve"> A szálfegyver és a védőfelszerelések helyes használata. (kard, mint szálfegyver alkalmazásának lehetőségei, sisak, hónalj védő, plasztron, kesztyű)</w:t>
      </w:r>
      <w:r w:rsidRPr="00584D88">
        <w:rPr>
          <w:rFonts w:ascii="Times New Roman" w:hAnsi="Times New Roman" w:cs="Times New Roman"/>
          <w:color w:val="222222"/>
          <w:sz w:val="22"/>
          <w:szCs w:val="22"/>
          <w:lang w:val="en"/>
        </w:rPr>
        <w:t xml:space="preserve"> </w:t>
      </w:r>
      <w:r w:rsidRPr="00584D88">
        <w:rPr>
          <w:rFonts w:ascii="Times New Roman" w:hAnsi="Times New Roman" w:cs="Times New Roman"/>
          <w:i/>
          <w:iCs/>
          <w:color w:val="222222"/>
          <w:sz w:val="22"/>
          <w:szCs w:val="22"/>
          <w:lang w:val="en"/>
        </w:rPr>
        <w:t>(Correct use of fiber weapon and protective equipment. )</w:t>
      </w:r>
    </w:p>
    <w:p w:rsidR="00584D88" w:rsidRPr="00584D88" w:rsidRDefault="00584D88" w:rsidP="00EB017F">
      <w:pPr>
        <w:widowControl w:val="0"/>
        <w:spacing w:after="120" w:line="240" w:lineRule="auto"/>
        <w:ind w:left="284"/>
        <w:jc w:val="both"/>
        <w:rPr>
          <w:rFonts w:ascii="Times New Roman" w:eastAsia="Times New Roman" w:hAnsi="Times New Roman" w:cs="Times New Roman"/>
          <w:bCs/>
          <w:i/>
          <w:iCs/>
        </w:rPr>
      </w:pPr>
      <w:r w:rsidRPr="00584D88">
        <w:rPr>
          <w:rFonts w:ascii="Times New Roman" w:eastAsia="Times New Roman" w:hAnsi="Times New Roman" w:cs="Times New Roman"/>
          <w:b/>
          <w:bCs/>
        </w:rPr>
        <w:t>12.3.</w:t>
      </w:r>
      <w:r w:rsidRPr="00584D88">
        <w:rPr>
          <w:rFonts w:ascii="Times New Roman" w:eastAsia="Times New Roman" w:hAnsi="Times New Roman" w:cs="Times New Roman"/>
          <w:bCs/>
        </w:rPr>
        <w:t xml:space="preserve"> Támadható felületek ismertetése. Támadások védések és ezek alaptechnikái.</w:t>
      </w:r>
      <w:r w:rsidRPr="00584D88">
        <w:rPr>
          <w:rFonts w:ascii="Times New Roman" w:hAnsi="Times New Roman" w:cs="Times New Roman"/>
          <w:color w:val="222222"/>
          <w:shd w:val="clear" w:color="auto" w:fill="F8F9FA"/>
        </w:rPr>
        <w:t xml:space="preserve"> </w:t>
      </w:r>
      <w:r w:rsidRPr="00584D88">
        <w:rPr>
          <w:rFonts w:ascii="Times New Roman" w:hAnsi="Times New Roman" w:cs="Times New Roman"/>
          <w:i/>
          <w:iCs/>
          <w:color w:val="222222"/>
          <w:shd w:val="clear" w:color="auto" w:fill="F8F9FA"/>
        </w:rPr>
        <w:t>(Attacks are defenses and their basic techniques.)</w:t>
      </w:r>
    </w:p>
    <w:p w:rsidR="00584D88" w:rsidRPr="00584D88" w:rsidRDefault="00584D88" w:rsidP="00EB017F">
      <w:pPr>
        <w:pStyle w:val="HTML-kntformzott"/>
        <w:spacing w:after="120"/>
        <w:ind w:left="284"/>
        <w:jc w:val="both"/>
        <w:rPr>
          <w:rFonts w:ascii="Times New Roman" w:hAnsi="Times New Roman" w:cs="Times New Roman"/>
          <w:i/>
          <w:iCs/>
          <w:color w:val="222222"/>
          <w:sz w:val="22"/>
          <w:szCs w:val="22"/>
        </w:rPr>
      </w:pPr>
      <w:r w:rsidRPr="00584D88">
        <w:rPr>
          <w:rFonts w:ascii="Times New Roman" w:hAnsi="Times New Roman" w:cs="Times New Roman"/>
          <w:b/>
          <w:bCs/>
          <w:sz w:val="22"/>
          <w:szCs w:val="22"/>
        </w:rPr>
        <w:t>12.4.</w:t>
      </w:r>
      <w:r w:rsidRPr="00584D88">
        <w:rPr>
          <w:rFonts w:ascii="Times New Roman" w:hAnsi="Times New Roman" w:cs="Times New Roman"/>
          <w:bCs/>
          <w:sz w:val="22"/>
          <w:szCs w:val="22"/>
        </w:rPr>
        <w:t xml:space="preserve"> Kardvíváshoz szükséges előkészítő és rávezető gyakorlatok elsajátításai.</w:t>
      </w:r>
      <w:r w:rsidRPr="00584D88">
        <w:rPr>
          <w:rFonts w:ascii="Times New Roman" w:hAnsi="Times New Roman" w:cs="Times New Roman"/>
          <w:color w:val="222222"/>
          <w:sz w:val="22"/>
          <w:szCs w:val="22"/>
          <w:lang w:val="en"/>
        </w:rPr>
        <w:t xml:space="preserve"> </w:t>
      </w:r>
      <w:r w:rsidRPr="00584D88">
        <w:rPr>
          <w:rFonts w:ascii="Times New Roman" w:hAnsi="Times New Roman" w:cs="Times New Roman"/>
          <w:i/>
          <w:iCs/>
          <w:color w:val="222222"/>
          <w:sz w:val="22"/>
          <w:szCs w:val="22"/>
          <w:lang w:val="en"/>
        </w:rPr>
        <w:t>(Preparatory and lead exercises for sword fencing)</w:t>
      </w:r>
    </w:p>
    <w:p w:rsidR="00584D88" w:rsidRPr="00584D88" w:rsidRDefault="00584D88" w:rsidP="00EB017F">
      <w:pPr>
        <w:widowControl w:val="0"/>
        <w:spacing w:after="120" w:line="240" w:lineRule="auto"/>
        <w:ind w:left="284"/>
        <w:jc w:val="both"/>
        <w:rPr>
          <w:rFonts w:ascii="Times New Roman" w:eastAsia="Times New Roman" w:hAnsi="Times New Roman" w:cs="Times New Roman"/>
          <w:bCs/>
          <w:i/>
          <w:iCs/>
        </w:rPr>
      </w:pPr>
      <w:r w:rsidRPr="00584D88">
        <w:rPr>
          <w:rFonts w:ascii="Times New Roman" w:eastAsia="Times New Roman" w:hAnsi="Times New Roman" w:cs="Times New Roman"/>
          <w:b/>
          <w:bCs/>
        </w:rPr>
        <w:t xml:space="preserve">12.5. </w:t>
      </w:r>
      <w:r w:rsidRPr="00584D88">
        <w:rPr>
          <w:rFonts w:ascii="Times New Roman" w:eastAsia="Times New Roman" w:hAnsi="Times New Roman" w:cs="Times New Roman"/>
          <w:bCs/>
        </w:rPr>
        <w:t>A vízből mentés metodikájának elméleti és gyakorlati szintű elsajátítása.</w:t>
      </w:r>
      <w:r w:rsidRPr="00584D88">
        <w:rPr>
          <w:rFonts w:ascii="Times New Roman" w:hAnsi="Times New Roman" w:cs="Times New Roman"/>
          <w:color w:val="222222"/>
          <w:shd w:val="clear" w:color="auto" w:fill="F8F9FA"/>
        </w:rPr>
        <w:t xml:space="preserve"> </w:t>
      </w:r>
      <w:r w:rsidRPr="00584D88">
        <w:rPr>
          <w:rFonts w:ascii="Times New Roman" w:hAnsi="Times New Roman" w:cs="Times New Roman"/>
          <w:i/>
          <w:iCs/>
          <w:color w:val="222222"/>
          <w:shd w:val="clear" w:color="auto" w:fill="F8F9FA"/>
        </w:rPr>
        <w:t>(water rescue)</w:t>
      </w:r>
    </w:p>
    <w:p w:rsidR="00584D88" w:rsidRPr="00584D88" w:rsidRDefault="00584D88" w:rsidP="00EB017F">
      <w:pPr>
        <w:widowControl w:val="0"/>
        <w:spacing w:after="120" w:line="240" w:lineRule="auto"/>
        <w:ind w:left="284"/>
        <w:jc w:val="both"/>
        <w:rPr>
          <w:rFonts w:ascii="Times New Roman" w:eastAsia="Times New Roman" w:hAnsi="Times New Roman" w:cs="Times New Roman"/>
          <w:bCs/>
          <w:i/>
          <w:iCs/>
        </w:rPr>
      </w:pPr>
      <w:r w:rsidRPr="00584D88">
        <w:rPr>
          <w:rFonts w:ascii="Times New Roman" w:eastAsia="Times New Roman" w:hAnsi="Times New Roman" w:cs="Times New Roman"/>
          <w:b/>
          <w:bCs/>
        </w:rPr>
        <w:t xml:space="preserve">12.6. </w:t>
      </w:r>
      <w:r w:rsidRPr="00584D88">
        <w:rPr>
          <w:rFonts w:ascii="Times New Roman" w:eastAsia="Times New Roman" w:hAnsi="Times New Roman" w:cs="Times New Roman"/>
          <w:bCs/>
        </w:rPr>
        <w:t>A fuldokló megközelítése megragadása, szállító fogások, kiemelések, elsősegélynyújtás technikája.</w:t>
      </w:r>
      <w:r w:rsidRPr="00584D88">
        <w:rPr>
          <w:rFonts w:ascii="Times New Roman" w:hAnsi="Times New Roman" w:cs="Times New Roman"/>
          <w:color w:val="222222"/>
          <w:shd w:val="clear" w:color="auto" w:fill="F8F9FA"/>
        </w:rPr>
        <w:t xml:space="preserve"> </w:t>
      </w:r>
      <w:r w:rsidRPr="00584D88">
        <w:rPr>
          <w:rFonts w:ascii="Times New Roman" w:hAnsi="Times New Roman" w:cs="Times New Roman"/>
          <w:i/>
          <w:iCs/>
          <w:color w:val="222222"/>
          <w:shd w:val="clear" w:color="auto" w:fill="F8F9FA"/>
        </w:rPr>
        <w:t>(first aid technique.)</w:t>
      </w:r>
    </w:p>
    <w:p w:rsidR="00584D88" w:rsidRPr="00584D88" w:rsidRDefault="00584D88" w:rsidP="00EB017F">
      <w:pPr>
        <w:pStyle w:val="HTML-kntformzott"/>
        <w:spacing w:after="120"/>
        <w:ind w:left="284"/>
        <w:jc w:val="both"/>
        <w:rPr>
          <w:rFonts w:ascii="Times New Roman" w:hAnsi="Times New Roman" w:cs="Times New Roman"/>
          <w:i/>
          <w:iCs/>
          <w:color w:val="222222"/>
          <w:sz w:val="22"/>
          <w:szCs w:val="22"/>
          <w:lang w:val="en"/>
        </w:rPr>
      </w:pPr>
      <w:r w:rsidRPr="00584D88">
        <w:rPr>
          <w:rFonts w:ascii="Times New Roman" w:hAnsi="Times New Roman" w:cs="Times New Roman"/>
          <w:b/>
          <w:bCs/>
          <w:sz w:val="22"/>
          <w:szCs w:val="22"/>
        </w:rPr>
        <w:t>12.7.</w:t>
      </w:r>
      <w:r w:rsidRPr="00584D88">
        <w:rPr>
          <w:rFonts w:ascii="Times New Roman" w:hAnsi="Times New Roman" w:cs="Times New Roman"/>
          <w:bCs/>
          <w:sz w:val="22"/>
          <w:szCs w:val="22"/>
        </w:rPr>
        <w:t xml:space="preserve"> Általános hatású és sokoldalúan fejlesztő szabad-és szabadgyakorlati alapformájú mozdulatsorok elsajátítása.</w:t>
      </w:r>
      <w:r w:rsidRPr="00584D88">
        <w:rPr>
          <w:rFonts w:ascii="Times New Roman" w:hAnsi="Times New Roman" w:cs="Times New Roman"/>
          <w:color w:val="222222"/>
          <w:sz w:val="22"/>
          <w:szCs w:val="22"/>
          <w:lang w:val="en"/>
        </w:rPr>
        <w:t xml:space="preserve"> </w:t>
      </w:r>
      <w:r w:rsidRPr="00584D88">
        <w:rPr>
          <w:rFonts w:ascii="Times New Roman" w:hAnsi="Times New Roman" w:cs="Times New Roman"/>
          <w:i/>
          <w:iCs/>
          <w:color w:val="222222"/>
          <w:sz w:val="22"/>
          <w:szCs w:val="22"/>
          <w:lang w:val="en"/>
        </w:rPr>
        <w:t>(versatile developer free practice)</w:t>
      </w:r>
    </w:p>
    <w:p w:rsidR="00584D88" w:rsidRPr="00584D88" w:rsidRDefault="00584D88" w:rsidP="00EB017F">
      <w:pPr>
        <w:widowControl w:val="0"/>
        <w:spacing w:after="120" w:line="240" w:lineRule="auto"/>
        <w:ind w:left="284"/>
        <w:jc w:val="both"/>
        <w:rPr>
          <w:rFonts w:ascii="Times New Roman" w:eastAsia="Times New Roman" w:hAnsi="Times New Roman" w:cs="Times New Roman"/>
          <w:bCs/>
          <w:i/>
          <w:iCs/>
        </w:rPr>
      </w:pPr>
      <w:r w:rsidRPr="00584D88">
        <w:rPr>
          <w:rFonts w:ascii="Times New Roman" w:eastAsia="Times New Roman" w:hAnsi="Times New Roman" w:cs="Times New Roman"/>
          <w:b/>
          <w:bCs/>
        </w:rPr>
        <w:t>12.8.</w:t>
      </w:r>
      <w:r w:rsidRPr="00584D88">
        <w:rPr>
          <w:rFonts w:ascii="Times New Roman" w:eastAsia="Times New Roman" w:hAnsi="Times New Roman" w:cs="Times New Roman"/>
          <w:bCs/>
        </w:rPr>
        <w:t xml:space="preserve"> A felkészítés alapjául szolgálnak a természetes mozgások: menetek, futások, ugrások, dobások, emelések, társhordások, mászások, függeszkedések.</w:t>
      </w:r>
      <w:r w:rsidRPr="00584D88">
        <w:rPr>
          <w:rFonts w:ascii="Times New Roman" w:hAnsi="Times New Roman" w:cs="Times New Roman"/>
          <w:color w:val="222222"/>
          <w:shd w:val="clear" w:color="auto" w:fill="F8F9FA"/>
        </w:rPr>
        <w:t xml:space="preserve"> </w:t>
      </w:r>
      <w:r w:rsidRPr="00584D88">
        <w:rPr>
          <w:rFonts w:ascii="Times New Roman" w:hAnsi="Times New Roman" w:cs="Times New Roman"/>
          <w:i/>
          <w:iCs/>
          <w:color w:val="222222"/>
          <w:shd w:val="clear" w:color="auto" w:fill="F8F9FA"/>
        </w:rPr>
        <w:t>(natural movements)</w:t>
      </w:r>
    </w:p>
    <w:p w:rsidR="00584D88" w:rsidRPr="00584D88" w:rsidRDefault="00584D88" w:rsidP="00EB017F">
      <w:pPr>
        <w:pStyle w:val="HTML-kntformzott"/>
        <w:spacing w:after="120"/>
        <w:ind w:left="284"/>
        <w:jc w:val="both"/>
        <w:rPr>
          <w:rFonts w:ascii="Times New Roman" w:hAnsi="Times New Roman" w:cs="Times New Roman"/>
          <w:color w:val="222222"/>
          <w:sz w:val="22"/>
          <w:szCs w:val="22"/>
        </w:rPr>
      </w:pPr>
      <w:r w:rsidRPr="00584D88">
        <w:rPr>
          <w:rFonts w:ascii="Times New Roman" w:hAnsi="Times New Roman" w:cs="Times New Roman"/>
          <w:b/>
          <w:bCs/>
          <w:sz w:val="22"/>
          <w:szCs w:val="22"/>
        </w:rPr>
        <w:t>12.9.</w:t>
      </w:r>
      <w:r w:rsidRPr="00584D88">
        <w:rPr>
          <w:rFonts w:ascii="Times New Roman" w:hAnsi="Times New Roman" w:cs="Times New Roman"/>
          <w:bCs/>
          <w:sz w:val="22"/>
          <w:szCs w:val="22"/>
        </w:rPr>
        <w:t xml:space="preserve"> Kiegészítő jellegű gyakorlatok végzése tornaszereken szabadtéri komplex kondicionáló készleteken.</w:t>
      </w:r>
      <w:r w:rsidRPr="00584D88">
        <w:rPr>
          <w:rFonts w:ascii="Times New Roman" w:hAnsi="Times New Roman" w:cs="Times New Roman"/>
          <w:color w:val="222222"/>
          <w:sz w:val="22"/>
          <w:szCs w:val="22"/>
          <w:lang w:val="en"/>
        </w:rPr>
        <w:t xml:space="preserve"> </w:t>
      </w:r>
      <w:r w:rsidRPr="00584D88">
        <w:rPr>
          <w:rFonts w:ascii="Times New Roman" w:hAnsi="Times New Roman" w:cs="Times New Roman"/>
          <w:i/>
          <w:iCs/>
          <w:color w:val="222222"/>
          <w:sz w:val="22"/>
          <w:szCs w:val="22"/>
          <w:lang w:val="en"/>
        </w:rPr>
        <w:t>(Performing complementary exercises on gymnastic equipment in outdoor complex fitness sets.)</w:t>
      </w:r>
    </w:p>
    <w:p w:rsidR="00584D88" w:rsidRPr="00584D88" w:rsidRDefault="00584D88" w:rsidP="00EB017F">
      <w:pPr>
        <w:widowControl w:val="0"/>
        <w:spacing w:after="120" w:line="240" w:lineRule="auto"/>
        <w:ind w:left="284"/>
        <w:jc w:val="both"/>
        <w:rPr>
          <w:rFonts w:ascii="Times New Roman" w:eastAsia="Times New Roman" w:hAnsi="Times New Roman" w:cs="Times New Roman"/>
          <w:bCs/>
          <w:i/>
          <w:iCs/>
        </w:rPr>
      </w:pPr>
      <w:r w:rsidRPr="00584D88">
        <w:rPr>
          <w:rFonts w:ascii="Times New Roman" w:eastAsia="Times New Roman" w:hAnsi="Times New Roman" w:cs="Times New Roman"/>
          <w:b/>
          <w:bCs/>
        </w:rPr>
        <w:t>12.10.</w:t>
      </w:r>
      <w:r w:rsidRPr="00584D88">
        <w:rPr>
          <w:rFonts w:ascii="Times New Roman" w:eastAsia="Times New Roman" w:hAnsi="Times New Roman" w:cs="Times New Roman"/>
          <w:bCs/>
        </w:rPr>
        <w:t xml:space="preserve"> Természetes és mesterséges akadályok leküzdése.</w:t>
      </w:r>
      <w:r w:rsidRPr="00584D88">
        <w:rPr>
          <w:rFonts w:ascii="Times New Roman" w:hAnsi="Times New Roman" w:cs="Times New Roman"/>
          <w:color w:val="222222"/>
          <w:shd w:val="clear" w:color="auto" w:fill="F8F9FA"/>
        </w:rPr>
        <w:t xml:space="preserve"> </w:t>
      </w:r>
      <w:r w:rsidRPr="00584D88">
        <w:rPr>
          <w:rFonts w:ascii="Times New Roman" w:hAnsi="Times New Roman" w:cs="Times New Roman"/>
          <w:i/>
          <w:iCs/>
          <w:color w:val="222222"/>
          <w:shd w:val="clear" w:color="auto" w:fill="F8F9FA"/>
        </w:rPr>
        <w:t>(Overcoming natural and artificial barriers.)</w:t>
      </w:r>
    </w:p>
    <w:p w:rsidR="00584D88" w:rsidRPr="00584D88" w:rsidRDefault="00584D88" w:rsidP="00EB017F">
      <w:pPr>
        <w:widowControl w:val="0"/>
        <w:spacing w:after="120" w:line="240" w:lineRule="auto"/>
        <w:ind w:left="284"/>
        <w:jc w:val="both"/>
        <w:rPr>
          <w:rFonts w:ascii="Times New Roman" w:eastAsia="Times New Roman" w:hAnsi="Times New Roman" w:cs="Times New Roman"/>
          <w:bCs/>
        </w:rPr>
      </w:pPr>
      <w:r w:rsidRPr="00584D88">
        <w:rPr>
          <w:rFonts w:ascii="Times New Roman" w:eastAsia="Times New Roman" w:hAnsi="Times New Roman" w:cs="Times New Roman"/>
          <w:b/>
          <w:bCs/>
        </w:rPr>
        <w:t>12.11.</w:t>
      </w:r>
      <w:r w:rsidRPr="00584D88">
        <w:rPr>
          <w:rFonts w:ascii="Times New Roman" w:eastAsia="Times New Roman" w:hAnsi="Times New Roman" w:cs="Times New Roman"/>
          <w:bCs/>
        </w:rPr>
        <w:t xml:space="preserve"> Emelések és hordások.</w:t>
      </w:r>
      <w:r w:rsidRPr="00584D88">
        <w:rPr>
          <w:rFonts w:ascii="Times New Roman" w:hAnsi="Times New Roman" w:cs="Times New Roman"/>
          <w:color w:val="222222"/>
          <w:shd w:val="clear" w:color="auto" w:fill="F8F9FA"/>
        </w:rPr>
        <w:t xml:space="preserve"> </w:t>
      </w:r>
      <w:r w:rsidRPr="00584D88">
        <w:rPr>
          <w:rFonts w:ascii="Times New Roman" w:hAnsi="Times New Roman" w:cs="Times New Roman"/>
          <w:bCs/>
          <w:i/>
          <w:iCs/>
        </w:rPr>
        <w:t>(Lifts and Carriers)</w:t>
      </w:r>
    </w:p>
    <w:p w:rsidR="00584D88" w:rsidRPr="00584D88" w:rsidRDefault="00584D88" w:rsidP="00EB017F">
      <w:pPr>
        <w:widowControl w:val="0"/>
        <w:spacing w:after="120" w:line="240" w:lineRule="auto"/>
        <w:ind w:left="284"/>
        <w:jc w:val="both"/>
        <w:rPr>
          <w:rFonts w:ascii="Times New Roman" w:eastAsia="Times New Roman" w:hAnsi="Times New Roman" w:cs="Times New Roman"/>
          <w:bCs/>
        </w:rPr>
      </w:pPr>
      <w:r w:rsidRPr="00584D88">
        <w:rPr>
          <w:rFonts w:ascii="Times New Roman" w:eastAsia="Times New Roman" w:hAnsi="Times New Roman" w:cs="Times New Roman"/>
          <w:b/>
          <w:bCs/>
        </w:rPr>
        <w:lastRenderedPageBreak/>
        <w:t xml:space="preserve">12.12. </w:t>
      </w:r>
      <w:r w:rsidRPr="00584D88">
        <w:rPr>
          <w:rFonts w:ascii="Times New Roman" w:eastAsia="Times New Roman" w:hAnsi="Times New Roman" w:cs="Times New Roman"/>
          <w:bCs/>
        </w:rPr>
        <w:t>Mozgásformák ellenőrzése</w:t>
      </w:r>
      <w:r w:rsidRPr="00584D88">
        <w:rPr>
          <w:rFonts w:ascii="Times New Roman" w:eastAsia="Times New Roman" w:hAnsi="Times New Roman" w:cs="Times New Roman"/>
          <w:bCs/>
          <w:i/>
          <w:iCs/>
        </w:rPr>
        <w:t>.</w:t>
      </w:r>
      <w:r w:rsidRPr="00584D88">
        <w:rPr>
          <w:rFonts w:ascii="Times New Roman" w:hAnsi="Times New Roman" w:cs="Times New Roman"/>
          <w:bCs/>
          <w:i/>
          <w:iCs/>
        </w:rPr>
        <w:t xml:space="preserve"> ( Physical tests)</w:t>
      </w:r>
    </w:p>
    <w:p w:rsidR="00584D88" w:rsidRPr="00584D88" w:rsidRDefault="00584D88" w:rsidP="00C14833">
      <w:pPr>
        <w:widowControl w:val="0"/>
        <w:numPr>
          <w:ilvl w:val="0"/>
          <w:numId w:val="158"/>
        </w:numPr>
        <w:spacing w:before="120" w:after="120" w:line="240" w:lineRule="auto"/>
        <w:ind w:left="426" w:hanging="142"/>
        <w:rPr>
          <w:rFonts w:ascii="Times New Roman" w:eastAsia="Times New Roman" w:hAnsi="Times New Roman" w:cs="Times New Roman"/>
          <w:bCs/>
        </w:rPr>
      </w:pPr>
      <w:r w:rsidRPr="00584D88">
        <w:rPr>
          <w:rFonts w:ascii="Times New Roman" w:eastAsia="Times New Roman" w:hAnsi="Times New Roman" w:cs="Times New Roman"/>
          <w:b/>
          <w:bCs/>
        </w:rPr>
        <w:t xml:space="preserve">A tantárgy meghirdetésének gyakorisága a tantervben történő félévi elhelyezkedése: </w:t>
      </w:r>
      <w:r w:rsidRPr="00584D88">
        <w:rPr>
          <w:rFonts w:ascii="Times New Roman" w:hAnsi="Times New Roman" w:cs="Times New Roman"/>
          <w:bCs/>
        </w:rPr>
        <w:t>VI. félév.</w:t>
      </w:r>
    </w:p>
    <w:p w:rsidR="00584D88" w:rsidRPr="00584D88" w:rsidRDefault="00584D88" w:rsidP="00C14833">
      <w:pPr>
        <w:pStyle w:val="Listaszerbekezds"/>
        <w:widowControl w:val="0"/>
        <w:numPr>
          <w:ilvl w:val="0"/>
          <w:numId w:val="158"/>
        </w:numPr>
        <w:tabs>
          <w:tab w:val="clear" w:pos="720"/>
          <w:tab w:val="num" w:pos="993"/>
        </w:tabs>
        <w:spacing w:before="120" w:after="120" w:line="240" w:lineRule="auto"/>
        <w:ind w:left="426" w:hanging="142"/>
        <w:jc w:val="both"/>
        <w:rPr>
          <w:rFonts w:ascii="Times New Roman" w:eastAsia="Times New Roman" w:hAnsi="Times New Roman" w:cs="Times New Roman"/>
          <w:bCs/>
        </w:rPr>
      </w:pPr>
      <w:r w:rsidRPr="00584D88">
        <w:rPr>
          <w:rFonts w:ascii="Times New Roman" w:eastAsia="Times New Roman" w:hAnsi="Times New Roman" w:cs="Times New Roman"/>
          <w:b/>
          <w:bCs/>
        </w:rPr>
        <w:t>A tanórákon való részvétel követelményei, az elfogadható hiányzások mértéke, a távolmaradás pótlásának lehetősége:</w:t>
      </w:r>
      <w:r w:rsidRPr="00584D88">
        <w:rPr>
          <w:rFonts w:ascii="Times New Roman" w:hAnsi="Times New Roman" w:cs="Times New Roman"/>
          <w:bCs/>
        </w:rPr>
        <w:t xml:space="preserve"> A honvéd tisztjelöltek részvétele a foglalkozásokon kötelező. Betegség, szabadság miatti hiányzások mértéke maximálisan 30% lehet. Vezénylés, szolgálat miatti távollét nem számít bele a hiányzásba.</w:t>
      </w:r>
      <w:r w:rsidRPr="00584D88">
        <w:rPr>
          <w:rFonts w:ascii="Times New Roman" w:eastAsia="Times New Roman" w:hAnsi="Times New Roman" w:cs="Times New Roman"/>
          <w:bCs/>
        </w:rPr>
        <w:t xml:space="preserve"> A hallgatónak a tanórák legalább 70 %-án jelen kell lennie, 30 %-ot meghaladó hiányzás esetén a félév teljesítése nem írható alá. A hallgató köteles a gyakorlat anyagát beszerezni, abból önállóan felkészülni.</w:t>
      </w:r>
    </w:p>
    <w:p w:rsidR="005A03A6" w:rsidRPr="00790D58" w:rsidRDefault="005A03A6" w:rsidP="00C14833">
      <w:pPr>
        <w:widowControl w:val="0"/>
        <w:numPr>
          <w:ilvl w:val="0"/>
          <w:numId w:val="158"/>
        </w:numPr>
        <w:spacing w:before="120" w:after="120" w:line="240" w:lineRule="auto"/>
        <w:ind w:left="426" w:hanging="142"/>
        <w:jc w:val="both"/>
        <w:rPr>
          <w:rFonts w:ascii="Times New Roman" w:eastAsia="Times New Roman" w:hAnsi="Times New Roman" w:cs="Times New Roman"/>
          <w:bCs/>
        </w:rPr>
      </w:pPr>
      <w:r w:rsidRPr="00790D58">
        <w:rPr>
          <w:rFonts w:ascii="Times New Roman" w:eastAsia="Times New Roman" w:hAnsi="Times New Roman" w:cs="Times New Roman"/>
          <w:b/>
        </w:rPr>
        <w:t xml:space="preserve">Félévközi </w:t>
      </w:r>
      <w:r w:rsidRPr="005A03A6">
        <w:rPr>
          <w:rFonts w:ascii="Times New Roman" w:eastAsia="Times New Roman" w:hAnsi="Times New Roman" w:cs="Times New Roman"/>
          <w:b/>
          <w:bCs/>
        </w:rPr>
        <w:t>feladatok</w:t>
      </w:r>
      <w:r w:rsidRPr="00790D58">
        <w:rPr>
          <w:rFonts w:ascii="Times New Roman" w:eastAsia="Times New Roman" w:hAnsi="Times New Roman" w:cs="Times New Roman"/>
          <w:b/>
        </w:rPr>
        <w:t xml:space="preserve">, ismeretek ellenőrzésének rendje: </w:t>
      </w:r>
      <w:r w:rsidRPr="00790D58">
        <w:rPr>
          <w:rFonts w:ascii="Times New Roman" w:eastAsia="Times New Roman" w:hAnsi="Times New Roman" w:cs="Times New Roman"/>
          <w:bCs/>
        </w:rPr>
        <w:t>Az ismeretek ellenőrzése a különböző mozgásformák bemutatásával történik. Az oktató az alábbi szempontok alapján értékeli a hallgatót:</w:t>
      </w:r>
      <w:r w:rsidRPr="00790D58">
        <w:rPr>
          <w:rFonts w:ascii="Times New Roman" w:hAnsi="Times New Roman" w:cs="Times New Roman"/>
        </w:rPr>
        <w:t xml:space="preserve"> az elégséges értékeléshez mozgásformánként el kell érni a minimum egy pontszámot (1 pontot), valamint az összesített pontszám tekintetében el kell érni a 130 pontot. A mozgásformák a következők: 3200m futás, fekvőtámasz, felülés, függeszkedés, 200m fegyveres futás gyakorlóban, 200m úszás, búvárúszás, akadálypálya gyakorlat, vívás I. Sikertelen kísérlet esetén, a hallgatónak a félév folyamán kétszer van lehetősége a javításra. </w:t>
      </w:r>
    </w:p>
    <w:p w:rsidR="00584D88" w:rsidRPr="00584D88" w:rsidRDefault="00584D88" w:rsidP="00C14833">
      <w:pPr>
        <w:widowControl w:val="0"/>
        <w:numPr>
          <w:ilvl w:val="0"/>
          <w:numId w:val="158"/>
        </w:numPr>
        <w:spacing w:before="120" w:after="120" w:line="240" w:lineRule="auto"/>
        <w:ind w:left="426" w:hanging="142"/>
        <w:jc w:val="both"/>
        <w:rPr>
          <w:rFonts w:ascii="Times New Roman" w:eastAsia="Times New Roman" w:hAnsi="Times New Roman" w:cs="Times New Roman"/>
          <w:bCs/>
        </w:rPr>
      </w:pPr>
      <w:r w:rsidRPr="00584D88">
        <w:rPr>
          <w:rFonts w:ascii="Times New Roman" w:eastAsia="Times New Roman" w:hAnsi="Times New Roman" w:cs="Times New Roman"/>
          <w:b/>
          <w:bCs/>
        </w:rPr>
        <w:t xml:space="preserve">Az értékelés, az aláírás és a kreditek megszerzésének pontos feltételei: </w:t>
      </w:r>
      <w:r w:rsidRPr="00584D88">
        <w:rPr>
          <w:rFonts w:ascii="Times New Roman" w:hAnsi="Times New Roman" w:cs="Times New Roman"/>
          <w:bCs/>
        </w:rPr>
        <w:t>Az aláírás feltétele tanórák 70%-án történő aktív részvétel</w:t>
      </w:r>
      <w:r w:rsidRPr="00584D88">
        <w:rPr>
          <w:rFonts w:ascii="Times New Roman" w:hAnsi="Times New Roman" w:cs="Times New Roman"/>
        </w:rPr>
        <w:t xml:space="preserve">, valamint az elégséges értékeléshez mozgásformánként el kell érni a minimum pontszámot, valamint az összesített pontszám tekintetében el kell érni a 130 pontot. </w:t>
      </w:r>
    </w:p>
    <w:p w:rsidR="00584D88" w:rsidRPr="00584D88" w:rsidRDefault="00584D88" w:rsidP="00584D88">
      <w:pPr>
        <w:pStyle w:val="Listaszerbekezds"/>
        <w:widowControl w:val="0"/>
        <w:spacing w:before="120" w:after="120" w:line="240" w:lineRule="auto"/>
        <w:ind w:left="426"/>
        <w:jc w:val="both"/>
        <w:rPr>
          <w:rFonts w:ascii="Times New Roman" w:eastAsia="Times New Roman" w:hAnsi="Times New Roman" w:cs="Times New Roman"/>
        </w:rPr>
      </w:pPr>
      <w:r w:rsidRPr="00584D88">
        <w:rPr>
          <w:rFonts w:ascii="Times New Roman" w:eastAsia="Times New Roman" w:hAnsi="Times New Roman" w:cs="Times New Roman"/>
          <w:b/>
        </w:rPr>
        <w:t>16.1. Az aláírás megszerzésének feltételei:</w:t>
      </w:r>
      <w:r w:rsidRPr="00584D88">
        <w:rPr>
          <w:rFonts w:ascii="Times New Roman" w:hAnsi="Times New Roman" w:cs="Times New Roman"/>
          <w:bCs/>
        </w:rPr>
        <w:t xml:space="preserve"> Az aláírás feltétele tanórák 70%-án történő aktív részvétel</w:t>
      </w:r>
      <w:r w:rsidRPr="00584D88">
        <w:rPr>
          <w:rFonts w:ascii="Times New Roman" w:hAnsi="Times New Roman" w:cs="Times New Roman"/>
        </w:rPr>
        <w:t>, valamint az elégséges értékeléshez mozgásformánként el kell érni a minimum pontszámot, valamint az összesített pontszám tekintetében el kell érni a minimális 130 pontot.</w:t>
      </w:r>
    </w:p>
    <w:p w:rsidR="00584D88" w:rsidRPr="00584D88" w:rsidRDefault="00584D88" w:rsidP="00584D88">
      <w:pPr>
        <w:pStyle w:val="Listaszerbekezds"/>
        <w:widowControl w:val="0"/>
        <w:spacing w:before="120" w:after="120" w:line="240" w:lineRule="auto"/>
        <w:ind w:left="426"/>
        <w:jc w:val="both"/>
        <w:rPr>
          <w:rFonts w:ascii="Times New Roman" w:eastAsia="Times New Roman" w:hAnsi="Times New Roman" w:cs="Times New Roman"/>
        </w:rPr>
      </w:pPr>
      <w:r w:rsidRPr="00584D88">
        <w:rPr>
          <w:rFonts w:ascii="Times New Roman" w:eastAsia="Times New Roman" w:hAnsi="Times New Roman" w:cs="Times New Roman"/>
          <w:b/>
        </w:rPr>
        <w:t xml:space="preserve">16.2. Az értékelés: </w:t>
      </w:r>
      <w:r w:rsidRPr="00584D88">
        <w:rPr>
          <w:rFonts w:ascii="Times New Roman" w:eastAsia="Times New Roman" w:hAnsi="Times New Roman" w:cs="Times New Roman"/>
        </w:rPr>
        <w:t>Gyakorlati jegy megszerzése: A</w:t>
      </w:r>
      <w:r w:rsidRPr="00584D88">
        <w:rPr>
          <w:rFonts w:ascii="Times New Roman" w:hAnsi="Times New Roman" w:cs="Times New Roman"/>
        </w:rPr>
        <w:t>z elégséges értékeléshez mozgásformánként el kell érni a minimum pontszámot, valamint az összesített pontszám tekintetében el kell érni a minimális 130 pontot. 130-199 pont elégséges, 200-269 pont közepes, 270-339 pont jó 340-400 kiváló osztályzatot jelent</w:t>
      </w:r>
      <w:r w:rsidRPr="00584D88">
        <w:rPr>
          <w:rFonts w:ascii="Times New Roman" w:eastAsia="Times New Roman" w:hAnsi="Times New Roman" w:cs="Times New Roman"/>
        </w:rPr>
        <w:t>.</w:t>
      </w:r>
    </w:p>
    <w:p w:rsidR="00584D88" w:rsidRPr="00584D88" w:rsidRDefault="00584D88" w:rsidP="00584D88">
      <w:pPr>
        <w:pStyle w:val="Listaszerbekezds"/>
        <w:widowControl w:val="0"/>
        <w:spacing w:before="120" w:after="120" w:line="240" w:lineRule="auto"/>
        <w:ind w:left="426"/>
        <w:jc w:val="both"/>
        <w:rPr>
          <w:rFonts w:ascii="Times New Roman" w:eastAsia="Times New Roman" w:hAnsi="Times New Roman" w:cs="Times New Roman"/>
        </w:rPr>
      </w:pPr>
      <w:r w:rsidRPr="00584D88">
        <w:rPr>
          <w:rFonts w:ascii="Times New Roman" w:eastAsia="Times New Roman" w:hAnsi="Times New Roman" w:cs="Times New Roman"/>
          <w:b/>
        </w:rPr>
        <w:t xml:space="preserve">16.3. A kreditek megszerzésének feltételei: </w:t>
      </w:r>
      <w:r w:rsidRPr="00584D88">
        <w:rPr>
          <w:rFonts w:ascii="Times New Roman" w:eastAsia="Times New Roman" w:hAnsi="Times New Roman" w:cs="Times New Roman"/>
        </w:rPr>
        <w:t>A mozgásformák minimum szintjeinek és a minimum összpontszámnak az elérése.</w:t>
      </w:r>
    </w:p>
    <w:p w:rsidR="00584D88" w:rsidRPr="00584D88" w:rsidRDefault="00584D88" w:rsidP="00584D88">
      <w:pPr>
        <w:widowControl w:val="0"/>
        <w:tabs>
          <w:tab w:val="left" w:pos="284"/>
        </w:tabs>
        <w:spacing w:before="120" w:after="120" w:line="240" w:lineRule="auto"/>
        <w:ind w:left="426" w:hanging="426"/>
        <w:jc w:val="both"/>
        <w:rPr>
          <w:rFonts w:ascii="Times New Roman" w:eastAsia="Times New Roman" w:hAnsi="Times New Roman" w:cs="Times New Roman"/>
          <w:bCs/>
        </w:rPr>
      </w:pPr>
      <w:r w:rsidRPr="00584D88">
        <w:rPr>
          <w:rFonts w:ascii="Times New Roman" w:eastAsia="Times New Roman" w:hAnsi="Times New Roman" w:cs="Times New Roman"/>
          <w:b/>
          <w:bCs/>
        </w:rPr>
        <w:t>17.</w:t>
      </w:r>
      <w:r w:rsidRPr="00584D88">
        <w:rPr>
          <w:rFonts w:ascii="Times New Roman" w:eastAsia="Times New Roman" w:hAnsi="Times New Roman" w:cs="Times New Roman"/>
          <w:b/>
          <w:bCs/>
        </w:rPr>
        <w:tab/>
        <w:t>Irodalomjegyzék:</w:t>
      </w:r>
    </w:p>
    <w:p w:rsidR="00584D88" w:rsidRPr="00584D88" w:rsidRDefault="00584D88" w:rsidP="00C14833">
      <w:pPr>
        <w:pStyle w:val="Listaszerbekezds"/>
        <w:widowControl w:val="0"/>
        <w:numPr>
          <w:ilvl w:val="1"/>
          <w:numId w:val="157"/>
        </w:numPr>
        <w:tabs>
          <w:tab w:val="left" w:pos="709"/>
        </w:tabs>
        <w:spacing w:before="120" w:after="120" w:line="240" w:lineRule="auto"/>
        <w:rPr>
          <w:rFonts w:ascii="Times New Roman" w:eastAsia="Times New Roman" w:hAnsi="Times New Roman" w:cs="Times New Roman"/>
          <w:bCs/>
        </w:rPr>
      </w:pPr>
      <w:r w:rsidRPr="00584D88">
        <w:rPr>
          <w:rFonts w:ascii="Times New Roman" w:eastAsia="Times New Roman" w:hAnsi="Times New Roman" w:cs="Times New Roman"/>
          <w:b/>
          <w:bCs/>
        </w:rPr>
        <w:t>Kötelező irodalom:</w:t>
      </w:r>
    </w:p>
    <w:p w:rsidR="00584D88" w:rsidRPr="00584D88" w:rsidRDefault="00584D88" w:rsidP="00584D88">
      <w:pPr>
        <w:widowControl w:val="0"/>
        <w:spacing w:after="0" w:line="240" w:lineRule="auto"/>
        <w:ind w:left="709" w:hanging="283"/>
        <w:rPr>
          <w:rFonts w:ascii="Times New Roman" w:eastAsia="Times New Roman" w:hAnsi="Times New Roman" w:cs="Times New Roman"/>
          <w:highlight w:val="lightGray"/>
        </w:rPr>
      </w:pPr>
      <w:r w:rsidRPr="00584D88">
        <w:rPr>
          <w:rFonts w:ascii="Times New Roman" w:hAnsi="Times New Roman" w:cs="Times New Roman"/>
        </w:rPr>
        <w:t>1. A Magyar Honvédség Katonai Testnevelés Kiképzés és Sportbajnokságok szabályzata (A Magyar Honvédség Kiadványa 2017.)</w:t>
      </w:r>
    </w:p>
    <w:p w:rsidR="00584D88" w:rsidRPr="00584D88" w:rsidRDefault="00584D88" w:rsidP="00C14833">
      <w:pPr>
        <w:pStyle w:val="Listaszerbekezds"/>
        <w:widowControl w:val="0"/>
        <w:numPr>
          <w:ilvl w:val="1"/>
          <w:numId w:val="157"/>
        </w:numPr>
        <w:spacing w:before="120" w:after="120" w:line="240" w:lineRule="auto"/>
        <w:rPr>
          <w:rFonts w:ascii="Times New Roman" w:eastAsia="Times New Roman" w:hAnsi="Times New Roman" w:cs="Times New Roman"/>
          <w:b/>
          <w:bCs/>
        </w:rPr>
      </w:pPr>
      <w:r w:rsidRPr="00584D88">
        <w:rPr>
          <w:rFonts w:ascii="Times New Roman" w:eastAsia="Times New Roman" w:hAnsi="Times New Roman" w:cs="Times New Roman"/>
          <w:b/>
          <w:bCs/>
        </w:rPr>
        <w:t>Ajánlott irodalom:</w:t>
      </w:r>
    </w:p>
    <w:p w:rsidR="00584D88" w:rsidRPr="00584D88" w:rsidRDefault="00584D88" w:rsidP="00584D88">
      <w:pPr>
        <w:pStyle w:val="Listaszerbekezds"/>
        <w:widowControl w:val="0"/>
        <w:spacing w:after="0" w:line="240" w:lineRule="auto"/>
        <w:ind w:hanging="294"/>
        <w:rPr>
          <w:rFonts w:ascii="Times New Roman" w:hAnsi="Times New Roman" w:cs="Times New Roman"/>
        </w:rPr>
      </w:pPr>
      <w:r w:rsidRPr="00584D88">
        <w:rPr>
          <w:rFonts w:ascii="Times New Roman" w:hAnsi="Times New Roman" w:cs="Times New Roman"/>
        </w:rPr>
        <w:t>1. Arold Imre: Az úszás oktatása Sport kiadó 1979. ISBN:9632530187</w:t>
      </w:r>
    </w:p>
    <w:p w:rsidR="00584D88" w:rsidRPr="00584D88" w:rsidRDefault="00584D88" w:rsidP="00584D88">
      <w:pPr>
        <w:pStyle w:val="Listaszerbekezds"/>
        <w:widowControl w:val="0"/>
        <w:spacing w:after="0" w:line="240" w:lineRule="auto"/>
        <w:ind w:hanging="294"/>
        <w:rPr>
          <w:rFonts w:ascii="Times New Roman" w:hAnsi="Times New Roman" w:cs="Times New Roman"/>
        </w:rPr>
      </w:pPr>
      <w:r w:rsidRPr="00584D88">
        <w:rPr>
          <w:rFonts w:ascii="Times New Roman" w:hAnsi="Times New Roman" w:cs="Times New Roman"/>
        </w:rPr>
        <w:t>2. Szepesi László: Vívás tanulás csoportban Ludovika Egyetemi kiadó Nonpr. Kft. 2007.</w:t>
      </w:r>
    </w:p>
    <w:p w:rsidR="00584D88" w:rsidRPr="00584D88" w:rsidRDefault="005A03A6" w:rsidP="00584D88">
      <w:pPr>
        <w:pStyle w:val="Listaszerbekezds"/>
        <w:widowControl w:val="0"/>
        <w:spacing w:after="0" w:line="240" w:lineRule="auto"/>
        <w:ind w:hanging="294"/>
        <w:rPr>
          <w:rFonts w:ascii="Times New Roman" w:eastAsia="Times New Roman" w:hAnsi="Times New Roman" w:cs="Times New Roman"/>
          <w:highlight w:val="lightGray"/>
        </w:rPr>
      </w:pPr>
      <w:r>
        <w:rPr>
          <w:rFonts w:ascii="Times New Roman" w:hAnsi="Times New Roman" w:cs="Times New Roman"/>
        </w:rPr>
        <w:t xml:space="preserve">    </w:t>
      </w:r>
      <w:r w:rsidR="00584D88" w:rsidRPr="00584D88">
        <w:rPr>
          <w:rFonts w:ascii="Times New Roman" w:hAnsi="Times New Roman" w:cs="Times New Roman"/>
        </w:rPr>
        <w:t>ISBN:9789639542945</w:t>
      </w:r>
    </w:p>
    <w:p w:rsidR="00584D88" w:rsidRPr="00584D88" w:rsidRDefault="00584D88" w:rsidP="00584D88">
      <w:pPr>
        <w:pStyle w:val="Listaszerbekezds"/>
        <w:widowControl w:val="0"/>
        <w:spacing w:after="0" w:line="240" w:lineRule="auto"/>
        <w:rPr>
          <w:rFonts w:ascii="Times New Roman" w:eastAsia="Times New Roman" w:hAnsi="Times New Roman" w:cs="Times New Roman"/>
          <w:highlight w:val="lightGray"/>
        </w:rPr>
      </w:pPr>
    </w:p>
    <w:p w:rsidR="00584D88" w:rsidRPr="00584D88" w:rsidRDefault="00584D88" w:rsidP="00584D88">
      <w:pPr>
        <w:widowControl w:val="0"/>
        <w:spacing w:before="120" w:after="120" w:line="240" w:lineRule="auto"/>
        <w:jc w:val="both"/>
        <w:rPr>
          <w:rFonts w:ascii="Times New Roman" w:eastAsia="Times New Roman" w:hAnsi="Times New Roman" w:cs="Times New Roman"/>
          <w:bCs/>
        </w:rPr>
      </w:pPr>
      <w:r w:rsidRPr="00584D88">
        <w:rPr>
          <w:rFonts w:ascii="Times New Roman" w:eastAsia="Times New Roman" w:hAnsi="Times New Roman" w:cs="Times New Roman"/>
          <w:bCs/>
        </w:rPr>
        <w:t>Budapest, 2020-01-21.</w:t>
      </w:r>
    </w:p>
    <w:p w:rsidR="00584D88" w:rsidRDefault="00584D88" w:rsidP="00EB017F">
      <w:pPr>
        <w:widowControl w:val="0"/>
        <w:spacing w:before="120" w:after="120" w:line="240" w:lineRule="auto"/>
        <w:ind w:left="4820"/>
        <w:jc w:val="center"/>
        <w:rPr>
          <w:rFonts w:ascii="Times New Roman" w:eastAsia="Times New Roman" w:hAnsi="Times New Roman" w:cs="Times New Roman"/>
          <w:bCs/>
        </w:rPr>
      </w:pPr>
    </w:p>
    <w:p w:rsidR="00584D88" w:rsidRPr="00584D88" w:rsidRDefault="00584D88" w:rsidP="00EB017F">
      <w:pPr>
        <w:widowControl w:val="0"/>
        <w:spacing w:after="0" w:line="240" w:lineRule="auto"/>
        <w:ind w:left="4820"/>
        <w:jc w:val="center"/>
        <w:rPr>
          <w:rFonts w:ascii="Times New Roman" w:eastAsia="Times New Roman" w:hAnsi="Times New Roman" w:cs="Times New Roman"/>
          <w:b/>
          <w:bCs/>
        </w:rPr>
      </w:pPr>
      <w:r w:rsidRPr="00584D88">
        <w:rPr>
          <w:rFonts w:ascii="Times New Roman" w:eastAsia="Times New Roman" w:hAnsi="Times New Roman" w:cs="Times New Roman"/>
          <w:b/>
          <w:bCs/>
        </w:rPr>
        <w:t>Dr. Prókainé dr. Kovács Tímea alezredes,</w:t>
      </w:r>
    </w:p>
    <w:p w:rsidR="00584D88" w:rsidRPr="00584D88" w:rsidRDefault="00584D88" w:rsidP="00EB017F">
      <w:pPr>
        <w:widowControl w:val="0"/>
        <w:spacing w:after="0" w:line="240" w:lineRule="auto"/>
        <w:ind w:left="4820"/>
        <w:jc w:val="center"/>
        <w:rPr>
          <w:rFonts w:ascii="Times New Roman" w:hAnsi="Times New Roman" w:cs="Times New Roman"/>
        </w:rPr>
      </w:pPr>
      <w:r w:rsidRPr="00584D88">
        <w:rPr>
          <w:rFonts w:ascii="Times New Roman" w:eastAsia="Times New Roman" w:hAnsi="Times New Roman" w:cs="Times New Roman"/>
          <w:bCs/>
        </w:rPr>
        <w:t>KTSK testnevelő tanár, sk</w:t>
      </w:r>
      <w:r w:rsidRPr="00584D88">
        <w:rPr>
          <w:rFonts w:ascii="Times New Roman" w:eastAsia="Times New Roman" w:hAnsi="Times New Roman" w:cs="Times New Roman"/>
          <w:bCs/>
          <w:highlight w:val="lightGray"/>
        </w:rPr>
        <w:t>.</w:t>
      </w:r>
    </w:p>
    <w:p w:rsidR="00CE26FB" w:rsidRDefault="00CE26FB">
      <w:pPr>
        <w:spacing w:after="200" w:line="276" w:lineRule="auto"/>
        <w:rPr>
          <w:rFonts w:ascii="Times New Roman" w:hAnsi="Times New Roman" w:cs="Times New Roman"/>
          <w:sz w:val="24"/>
        </w:rPr>
      </w:pPr>
    </w:p>
    <w:p w:rsidR="00584D88" w:rsidRDefault="00584D88">
      <w:pPr>
        <w:spacing w:after="200" w:line="276" w:lineRule="auto"/>
        <w:rPr>
          <w:rFonts w:ascii="Times New Roman" w:hAnsi="Times New Roman" w:cs="Times New Roman"/>
          <w:sz w:val="24"/>
        </w:rPr>
      </w:pPr>
      <w:r>
        <w:rPr>
          <w:rFonts w:ascii="Times New Roman" w:hAnsi="Times New Roman" w:cs="Times New Roman"/>
          <w:sz w:val="24"/>
        </w:rPr>
        <w:br w:type="page"/>
      </w:r>
    </w:p>
    <w:tbl>
      <w:tblPr>
        <w:tblW w:w="11669" w:type="dxa"/>
        <w:tblInd w:w="113" w:type="dxa"/>
        <w:tblLook w:val="01E0" w:firstRow="1" w:lastRow="1" w:firstColumn="1" w:lastColumn="1" w:noHBand="0" w:noVBand="0"/>
      </w:tblPr>
      <w:tblGrid>
        <w:gridCol w:w="4855"/>
        <w:gridCol w:w="1620"/>
        <w:gridCol w:w="2597"/>
        <w:gridCol w:w="2597"/>
      </w:tblGrid>
      <w:tr w:rsidR="00584D88" w:rsidRPr="00584D88" w:rsidTr="00584D88">
        <w:tc>
          <w:tcPr>
            <w:tcW w:w="4855" w:type="dxa"/>
            <w:tcBorders>
              <w:top w:val="nil"/>
              <w:left w:val="nil"/>
              <w:bottom w:val="single" w:sz="4" w:space="0" w:color="auto"/>
              <w:right w:val="nil"/>
            </w:tcBorders>
            <w:hideMark/>
          </w:tcPr>
          <w:p w:rsidR="00584D88" w:rsidRPr="00584D88" w:rsidRDefault="00584D88">
            <w:pPr>
              <w:spacing w:after="0" w:line="240" w:lineRule="auto"/>
              <w:jc w:val="center"/>
              <w:rPr>
                <w:rFonts w:ascii="Times New Roman" w:eastAsia="Times New Roman" w:hAnsi="Times New Roman" w:cs="Times New Roman"/>
                <w:b/>
                <w:smallCaps/>
                <w:lang w:eastAsia="hu-HU"/>
              </w:rPr>
            </w:pPr>
            <w:r w:rsidRPr="00584D88">
              <w:rPr>
                <w:rFonts w:ascii="Times New Roman" w:eastAsia="Times New Roman" w:hAnsi="Times New Roman" w:cs="Times New Roman"/>
                <w:b/>
                <w:smallCaps/>
                <w:lang w:eastAsia="hu-HU"/>
              </w:rPr>
              <w:lastRenderedPageBreak/>
              <w:t>Nemzeti Közszolgálati Egyetem</w:t>
            </w:r>
          </w:p>
        </w:tc>
        <w:tc>
          <w:tcPr>
            <w:tcW w:w="1620" w:type="dxa"/>
          </w:tcPr>
          <w:p w:rsidR="00584D88" w:rsidRPr="00584D88" w:rsidRDefault="00584D88">
            <w:pPr>
              <w:spacing w:after="0" w:line="240" w:lineRule="auto"/>
              <w:jc w:val="both"/>
              <w:rPr>
                <w:rFonts w:ascii="Times New Roman" w:eastAsia="Times New Roman" w:hAnsi="Times New Roman" w:cs="Times New Roman"/>
                <w:lang w:eastAsia="hu-HU"/>
              </w:rPr>
            </w:pPr>
          </w:p>
        </w:tc>
        <w:tc>
          <w:tcPr>
            <w:tcW w:w="2597" w:type="dxa"/>
          </w:tcPr>
          <w:p w:rsidR="00584D88" w:rsidRPr="00584D88" w:rsidRDefault="00584D88">
            <w:pPr>
              <w:spacing w:after="0" w:line="240" w:lineRule="auto"/>
              <w:jc w:val="right"/>
              <w:rPr>
                <w:rFonts w:ascii="Times New Roman" w:eastAsia="Times New Roman" w:hAnsi="Times New Roman" w:cs="Times New Roman"/>
                <w:lang w:eastAsia="hu-HU"/>
              </w:rPr>
            </w:pPr>
          </w:p>
        </w:tc>
        <w:tc>
          <w:tcPr>
            <w:tcW w:w="2597" w:type="dxa"/>
          </w:tcPr>
          <w:p w:rsidR="00584D88" w:rsidRPr="00584D88" w:rsidRDefault="00584D88">
            <w:pPr>
              <w:spacing w:after="0" w:line="240" w:lineRule="auto"/>
              <w:jc w:val="right"/>
              <w:rPr>
                <w:rFonts w:ascii="Times New Roman" w:eastAsia="Times New Roman" w:hAnsi="Times New Roman" w:cs="Times New Roman"/>
                <w:lang w:eastAsia="hu-HU"/>
              </w:rPr>
            </w:pPr>
          </w:p>
        </w:tc>
      </w:tr>
      <w:tr w:rsidR="00584D88" w:rsidRPr="00584D88" w:rsidTr="00584D88">
        <w:tc>
          <w:tcPr>
            <w:tcW w:w="4855" w:type="dxa"/>
            <w:tcBorders>
              <w:top w:val="single" w:sz="4" w:space="0" w:color="auto"/>
              <w:left w:val="nil"/>
              <w:bottom w:val="nil"/>
              <w:right w:val="nil"/>
            </w:tcBorders>
            <w:hideMark/>
          </w:tcPr>
          <w:p w:rsidR="00584D88" w:rsidRPr="00584D88" w:rsidRDefault="00584D88">
            <w:pPr>
              <w:spacing w:after="0" w:line="240" w:lineRule="auto"/>
              <w:jc w:val="center"/>
              <w:rPr>
                <w:rFonts w:ascii="Times New Roman" w:eastAsia="Times New Roman" w:hAnsi="Times New Roman" w:cs="Times New Roman"/>
                <w:b/>
                <w:lang w:eastAsia="hu-HU"/>
              </w:rPr>
            </w:pPr>
            <w:r w:rsidRPr="00584D88">
              <w:rPr>
                <w:rFonts w:ascii="Times New Roman" w:hAnsi="Times New Roman" w:cs="Times New Roman"/>
                <w:b/>
              </w:rPr>
              <w:t>Hadtudományi és Honvédtisztképző Kar</w:t>
            </w:r>
          </w:p>
        </w:tc>
        <w:tc>
          <w:tcPr>
            <w:tcW w:w="1620" w:type="dxa"/>
          </w:tcPr>
          <w:p w:rsidR="00584D88" w:rsidRPr="00584D88" w:rsidRDefault="00584D88">
            <w:pPr>
              <w:spacing w:after="0" w:line="240" w:lineRule="auto"/>
              <w:jc w:val="both"/>
              <w:rPr>
                <w:rFonts w:ascii="Times New Roman" w:eastAsia="Times New Roman" w:hAnsi="Times New Roman" w:cs="Times New Roman"/>
                <w:lang w:eastAsia="hu-HU"/>
              </w:rPr>
            </w:pPr>
          </w:p>
        </w:tc>
        <w:tc>
          <w:tcPr>
            <w:tcW w:w="2597" w:type="dxa"/>
          </w:tcPr>
          <w:p w:rsidR="00584D88" w:rsidRPr="00584D88" w:rsidRDefault="00584D88">
            <w:pPr>
              <w:spacing w:after="0" w:line="240" w:lineRule="auto"/>
              <w:jc w:val="both"/>
              <w:rPr>
                <w:rFonts w:ascii="Times New Roman" w:eastAsia="Times New Roman" w:hAnsi="Times New Roman" w:cs="Times New Roman"/>
                <w:lang w:eastAsia="hu-HU"/>
              </w:rPr>
            </w:pPr>
          </w:p>
        </w:tc>
        <w:tc>
          <w:tcPr>
            <w:tcW w:w="2597" w:type="dxa"/>
          </w:tcPr>
          <w:p w:rsidR="00584D88" w:rsidRPr="00584D88" w:rsidRDefault="00584D88">
            <w:pPr>
              <w:spacing w:after="0" w:line="240" w:lineRule="auto"/>
              <w:jc w:val="both"/>
              <w:rPr>
                <w:rFonts w:ascii="Times New Roman" w:eastAsia="Times New Roman" w:hAnsi="Times New Roman" w:cs="Times New Roman"/>
                <w:lang w:eastAsia="hu-HU"/>
              </w:rPr>
            </w:pPr>
          </w:p>
        </w:tc>
      </w:tr>
    </w:tbl>
    <w:p w:rsidR="00584D88" w:rsidRPr="00584D88" w:rsidRDefault="00584D88" w:rsidP="00584D88">
      <w:pPr>
        <w:widowControl w:val="0"/>
        <w:spacing w:before="120" w:after="120" w:line="240" w:lineRule="auto"/>
        <w:ind w:left="426" w:hanging="142"/>
        <w:jc w:val="center"/>
        <w:rPr>
          <w:rFonts w:ascii="Times New Roman" w:eastAsia="Times New Roman" w:hAnsi="Times New Roman" w:cs="Times New Roman"/>
          <w:b/>
          <w:bCs/>
        </w:rPr>
      </w:pPr>
    </w:p>
    <w:p w:rsidR="00584D88" w:rsidRPr="00584D88" w:rsidRDefault="00584D88" w:rsidP="00584D88">
      <w:pPr>
        <w:widowControl w:val="0"/>
        <w:spacing w:before="120" w:after="120" w:line="240" w:lineRule="auto"/>
        <w:ind w:left="426" w:hanging="142"/>
        <w:jc w:val="center"/>
        <w:rPr>
          <w:rFonts w:ascii="Times New Roman" w:eastAsia="Times New Roman" w:hAnsi="Times New Roman" w:cs="Times New Roman"/>
          <w:b/>
          <w:bCs/>
        </w:rPr>
      </w:pPr>
      <w:r w:rsidRPr="00584D88">
        <w:rPr>
          <w:rFonts w:ascii="Times New Roman" w:eastAsia="Times New Roman" w:hAnsi="Times New Roman" w:cs="Times New Roman"/>
          <w:b/>
          <w:bCs/>
        </w:rPr>
        <w:t>TANTÁRGYI PROGRAM</w:t>
      </w:r>
    </w:p>
    <w:p w:rsidR="00584D88" w:rsidRPr="00584D88" w:rsidRDefault="00584D88" w:rsidP="00C14833">
      <w:pPr>
        <w:widowControl w:val="0"/>
        <w:numPr>
          <w:ilvl w:val="0"/>
          <w:numId w:val="161"/>
        </w:numPr>
        <w:tabs>
          <w:tab w:val="num" w:pos="567"/>
        </w:tabs>
        <w:spacing w:before="120" w:after="120" w:line="240" w:lineRule="auto"/>
        <w:ind w:left="426" w:hanging="142"/>
        <w:rPr>
          <w:rFonts w:ascii="Times New Roman" w:eastAsia="Times New Roman" w:hAnsi="Times New Roman" w:cs="Times New Roman"/>
          <w:bCs/>
        </w:rPr>
      </w:pPr>
      <w:r w:rsidRPr="00584D88">
        <w:rPr>
          <w:rFonts w:ascii="Times New Roman" w:eastAsia="Times New Roman" w:hAnsi="Times New Roman" w:cs="Times New Roman"/>
          <w:b/>
          <w:bCs/>
        </w:rPr>
        <w:t xml:space="preserve">A tantárgy kódja: </w:t>
      </w:r>
      <w:r w:rsidRPr="00584D88">
        <w:rPr>
          <w:rFonts w:ascii="Times New Roman" w:hAnsi="Times New Roman" w:cs="Times New Roman"/>
          <w:bCs/>
        </w:rPr>
        <w:t>HKTSKA07</w:t>
      </w:r>
    </w:p>
    <w:p w:rsidR="00584D88" w:rsidRPr="00584D88" w:rsidRDefault="00584D88" w:rsidP="00C14833">
      <w:pPr>
        <w:widowControl w:val="0"/>
        <w:numPr>
          <w:ilvl w:val="0"/>
          <w:numId w:val="161"/>
        </w:numPr>
        <w:tabs>
          <w:tab w:val="num" w:pos="567"/>
        </w:tabs>
        <w:spacing w:before="120" w:after="120" w:line="240" w:lineRule="auto"/>
        <w:ind w:left="426" w:hanging="142"/>
        <w:rPr>
          <w:rFonts w:ascii="Times New Roman" w:eastAsia="Times New Roman" w:hAnsi="Times New Roman" w:cs="Times New Roman"/>
          <w:b/>
          <w:bCs/>
          <w:lang w:val="en-GB"/>
        </w:rPr>
      </w:pPr>
      <w:r w:rsidRPr="00584D88">
        <w:rPr>
          <w:rFonts w:ascii="Times New Roman" w:eastAsia="Times New Roman" w:hAnsi="Times New Roman" w:cs="Times New Roman"/>
          <w:b/>
          <w:bCs/>
        </w:rPr>
        <w:t xml:space="preserve">A tantárgy megnevezése (magyarul): </w:t>
      </w:r>
      <w:r w:rsidRPr="00584D88">
        <w:rPr>
          <w:rFonts w:ascii="Times New Roman" w:hAnsi="Times New Roman" w:cs="Times New Roman"/>
          <w:bCs/>
        </w:rPr>
        <w:t xml:space="preserve">Katonai testnevelés VII. </w:t>
      </w:r>
    </w:p>
    <w:p w:rsidR="00584D88" w:rsidRPr="00584D88" w:rsidRDefault="00584D88" w:rsidP="00C14833">
      <w:pPr>
        <w:widowControl w:val="0"/>
        <w:numPr>
          <w:ilvl w:val="0"/>
          <w:numId w:val="161"/>
        </w:numPr>
        <w:tabs>
          <w:tab w:val="num" w:pos="567"/>
        </w:tabs>
        <w:spacing w:before="120" w:after="120" w:line="240" w:lineRule="auto"/>
        <w:ind w:left="426" w:hanging="142"/>
        <w:rPr>
          <w:rFonts w:ascii="Times New Roman" w:eastAsia="Times New Roman" w:hAnsi="Times New Roman" w:cs="Times New Roman"/>
          <w:b/>
          <w:bCs/>
          <w:lang w:val="en-GB"/>
        </w:rPr>
      </w:pPr>
      <w:r w:rsidRPr="00584D88">
        <w:rPr>
          <w:rFonts w:ascii="Times New Roman" w:eastAsia="Times New Roman" w:hAnsi="Times New Roman" w:cs="Times New Roman"/>
          <w:b/>
          <w:bCs/>
        </w:rPr>
        <w:t xml:space="preserve">A tantárgy megnevezése (angolul): </w:t>
      </w:r>
      <w:r w:rsidRPr="00584D88">
        <w:rPr>
          <w:rFonts w:ascii="Times New Roman" w:hAnsi="Times New Roman" w:cs="Times New Roman"/>
          <w:bCs/>
        </w:rPr>
        <w:t>Military Physical Education VII.</w:t>
      </w:r>
    </w:p>
    <w:p w:rsidR="00584D88" w:rsidRPr="00584D88" w:rsidRDefault="00584D88" w:rsidP="00C14833">
      <w:pPr>
        <w:widowControl w:val="0"/>
        <w:numPr>
          <w:ilvl w:val="0"/>
          <w:numId w:val="161"/>
        </w:numPr>
        <w:tabs>
          <w:tab w:val="num" w:pos="567"/>
        </w:tabs>
        <w:spacing w:before="120" w:after="120" w:line="240" w:lineRule="auto"/>
        <w:ind w:left="426" w:hanging="142"/>
        <w:rPr>
          <w:rFonts w:ascii="Times New Roman" w:eastAsia="Times New Roman" w:hAnsi="Times New Roman" w:cs="Times New Roman"/>
          <w:b/>
          <w:bCs/>
        </w:rPr>
      </w:pPr>
      <w:r w:rsidRPr="00584D88">
        <w:rPr>
          <w:rFonts w:ascii="Times New Roman" w:eastAsia="Times New Roman" w:hAnsi="Times New Roman" w:cs="Times New Roman"/>
          <w:b/>
          <w:bCs/>
        </w:rPr>
        <w:t xml:space="preserve">Kreditérték és képzési karakter: </w:t>
      </w:r>
    </w:p>
    <w:p w:rsidR="00584D88" w:rsidRPr="00584D88" w:rsidRDefault="00584D88" w:rsidP="00C14833">
      <w:pPr>
        <w:pStyle w:val="Listaszerbekezds"/>
        <w:widowControl w:val="0"/>
        <w:numPr>
          <w:ilvl w:val="1"/>
          <w:numId w:val="161"/>
        </w:numPr>
        <w:spacing w:before="120" w:after="120" w:line="240" w:lineRule="auto"/>
        <w:ind w:left="993" w:hanging="426"/>
        <w:rPr>
          <w:rFonts w:ascii="Times New Roman" w:eastAsia="Times New Roman" w:hAnsi="Times New Roman" w:cs="Times New Roman"/>
          <w:b/>
          <w:bCs/>
        </w:rPr>
      </w:pPr>
      <w:r w:rsidRPr="00584D88">
        <w:rPr>
          <w:rFonts w:ascii="Times New Roman" w:eastAsia="Times New Roman" w:hAnsi="Times New Roman" w:cs="Times New Roman"/>
          <w:bCs/>
        </w:rPr>
        <w:t>2 kredit</w:t>
      </w:r>
    </w:p>
    <w:p w:rsidR="00584D88" w:rsidRPr="00584D88" w:rsidRDefault="00584D88" w:rsidP="00C14833">
      <w:pPr>
        <w:pStyle w:val="Listaszerbekezds"/>
        <w:widowControl w:val="0"/>
        <w:numPr>
          <w:ilvl w:val="1"/>
          <w:numId w:val="161"/>
        </w:numPr>
        <w:spacing w:before="120" w:after="120" w:line="240" w:lineRule="auto"/>
        <w:ind w:left="993" w:hanging="426"/>
        <w:rPr>
          <w:rFonts w:ascii="Times New Roman" w:eastAsia="Times New Roman" w:hAnsi="Times New Roman" w:cs="Times New Roman"/>
          <w:b/>
          <w:bCs/>
        </w:rPr>
      </w:pPr>
      <w:r w:rsidRPr="00584D88">
        <w:rPr>
          <w:rFonts w:ascii="Times New Roman" w:eastAsia="Times New Roman" w:hAnsi="Times New Roman" w:cs="Times New Roman"/>
          <w:bCs/>
        </w:rPr>
        <w:t>a tantárgy elméleti vagy gyakorlati jellegének mértéke: 100% gyakorlat</w:t>
      </w:r>
    </w:p>
    <w:p w:rsidR="00584D88" w:rsidRPr="00584D88" w:rsidRDefault="00584D88" w:rsidP="00C14833">
      <w:pPr>
        <w:widowControl w:val="0"/>
        <w:numPr>
          <w:ilvl w:val="0"/>
          <w:numId w:val="161"/>
        </w:numPr>
        <w:spacing w:before="120" w:after="120" w:line="240" w:lineRule="auto"/>
        <w:ind w:left="426" w:hanging="142"/>
        <w:jc w:val="both"/>
        <w:rPr>
          <w:rFonts w:ascii="Times New Roman" w:eastAsia="Times New Roman" w:hAnsi="Times New Roman" w:cs="Times New Roman"/>
          <w:bCs/>
        </w:rPr>
      </w:pPr>
      <w:r w:rsidRPr="00584D88">
        <w:rPr>
          <w:rFonts w:ascii="Times New Roman" w:eastAsia="Times New Roman" w:hAnsi="Times New Roman" w:cs="Times New Roman"/>
          <w:b/>
          <w:bCs/>
        </w:rPr>
        <w:t>A szak(ok), szakirányok/specializációk megnevezése (ahol oktatják):</w:t>
      </w:r>
      <w:r w:rsidRPr="00584D88">
        <w:rPr>
          <w:rFonts w:ascii="Times New Roman" w:hAnsi="Times New Roman" w:cs="Times New Roman"/>
          <w:bCs/>
        </w:rPr>
        <w:t>Katonai Vezető-, Katonai Üzemeltetés-, Katonai Logisztika, Állami Légiközlekedési alapképzési szak.</w:t>
      </w:r>
    </w:p>
    <w:p w:rsidR="00584D88" w:rsidRPr="00584D88" w:rsidRDefault="00584D88" w:rsidP="00C14833">
      <w:pPr>
        <w:pStyle w:val="lfej"/>
        <w:numPr>
          <w:ilvl w:val="0"/>
          <w:numId w:val="161"/>
        </w:numPr>
        <w:tabs>
          <w:tab w:val="clear" w:pos="720"/>
          <w:tab w:val="right" w:pos="900"/>
        </w:tabs>
        <w:spacing w:before="120"/>
        <w:ind w:left="426" w:hanging="142"/>
        <w:rPr>
          <w:rFonts w:ascii="Times New Roman" w:hAnsi="Times New Roman" w:cs="Times New Roman"/>
          <w:bCs/>
        </w:rPr>
      </w:pPr>
      <w:r w:rsidRPr="00584D88">
        <w:rPr>
          <w:rFonts w:ascii="Times New Roman" w:eastAsia="Times New Roman" w:hAnsi="Times New Roman" w:cs="Times New Roman"/>
          <w:b/>
          <w:bCs/>
        </w:rPr>
        <w:t xml:space="preserve">Az oktatásért felelős oktatási szervezeti egység megnevezése: </w:t>
      </w:r>
      <w:r w:rsidRPr="00584D88">
        <w:rPr>
          <w:rFonts w:ascii="Times New Roman" w:hAnsi="Times New Roman" w:cs="Times New Roman"/>
          <w:bCs/>
        </w:rPr>
        <w:t>Katonai Testnevelési és Sportközpont.</w:t>
      </w:r>
    </w:p>
    <w:p w:rsidR="00584D88" w:rsidRPr="00584D88" w:rsidRDefault="00584D88" w:rsidP="00C14833">
      <w:pPr>
        <w:pStyle w:val="lfej"/>
        <w:numPr>
          <w:ilvl w:val="0"/>
          <w:numId w:val="161"/>
        </w:numPr>
        <w:tabs>
          <w:tab w:val="clear" w:pos="720"/>
          <w:tab w:val="right" w:pos="900"/>
        </w:tabs>
        <w:spacing w:before="120"/>
        <w:ind w:left="426" w:hanging="142"/>
        <w:jc w:val="both"/>
        <w:rPr>
          <w:rFonts w:ascii="Times New Roman" w:hAnsi="Times New Roman" w:cs="Times New Roman"/>
          <w:bCs/>
        </w:rPr>
      </w:pPr>
      <w:r w:rsidRPr="00584D88">
        <w:rPr>
          <w:rFonts w:ascii="Times New Roman" w:eastAsia="Times New Roman" w:hAnsi="Times New Roman" w:cs="Times New Roman"/>
          <w:b/>
          <w:bCs/>
        </w:rPr>
        <w:t xml:space="preserve">A tantárgyfelelős oktató neve, beosztása, tudományos fokozata: </w:t>
      </w:r>
      <w:r w:rsidRPr="00584D88">
        <w:rPr>
          <w:rFonts w:ascii="Times New Roman" w:hAnsi="Times New Roman" w:cs="Times New Roman"/>
          <w:bCs/>
        </w:rPr>
        <w:t>Dr. Prókainé dr. Kovács Tímea alezredes Katonai Testnevelési és Sportközpont testnevelő tanár.</w:t>
      </w:r>
    </w:p>
    <w:p w:rsidR="00584D88" w:rsidRPr="00584D88" w:rsidRDefault="00584D88" w:rsidP="00C14833">
      <w:pPr>
        <w:widowControl w:val="0"/>
        <w:numPr>
          <w:ilvl w:val="0"/>
          <w:numId w:val="161"/>
        </w:numPr>
        <w:spacing w:before="120" w:after="120" w:line="240" w:lineRule="auto"/>
        <w:ind w:left="426" w:hanging="142"/>
        <w:rPr>
          <w:rFonts w:ascii="Times New Roman" w:eastAsia="Times New Roman" w:hAnsi="Times New Roman" w:cs="Times New Roman"/>
          <w:bCs/>
        </w:rPr>
      </w:pPr>
      <w:r w:rsidRPr="00584D88">
        <w:rPr>
          <w:rFonts w:ascii="Times New Roman" w:eastAsia="Times New Roman" w:hAnsi="Times New Roman" w:cs="Times New Roman"/>
          <w:b/>
          <w:bCs/>
        </w:rPr>
        <w:t>A tanórák száma és típusa</w:t>
      </w:r>
    </w:p>
    <w:p w:rsidR="00584D88" w:rsidRPr="00584D88" w:rsidRDefault="00584D88" w:rsidP="00C14833">
      <w:pPr>
        <w:widowControl w:val="0"/>
        <w:numPr>
          <w:ilvl w:val="1"/>
          <w:numId w:val="161"/>
        </w:numPr>
        <w:tabs>
          <w:tab w:val="num" w:pos="709"/>
          <w:tab w:val="num" w:pos="2069"/>
        </w:tabs>
        <w:spacing w:before="120" w:after="120" w:line="240" w:lineRule="auto"/>
        <w:ind w:left="851" w:hanging="425"/>
        <w:rPr>
          <w:rFonts w:ascii="Times New Roman" w:eastAsia="Times New Roman" w:hAnsi="Times New Roman" w:cs="Times New Roman"/>
          <w:bCs/>
        </w:rPr>
      </w:pPr>
      <w:r w:rsidRPr="00584D88">
        <w:rPr>
          <w:rFonts w:ascii="Times New Roman" w:eastAsia="Times New Roman" w:hAnsi="Times New Roman" w:cs="Times New Roman"/>
          <w:bCs/>
        </w:rPr>
        <w:t>össz óraszám/félév: 42</w:t>
      </w:r>
    </w:p>
    <w:p w:rsidR="00584D88" w:rsidRPr="00584D88" w:rsidRDefault="00584D88" w:rsidP="00C14833">
      <w:pPr>
        <w:widowControl w:val="0"/>
        <w:numPr>
          <w:ilvl w:val="2"/>
          <w:numId w:val="161"/>
        </w:numPr>
        <w:tabs>
          <w:tab w:val="clear" w:pos="1800"/>
          <w:tab w:val="num" w:pos="1430"/>
        </w:tabs>
        <w:spacing w:before="120" w:after="120" w:line="240" w:lineRule="auto"/>
        <w:ind w:left="1214"/>
        <w:rPr>
          <w:rFonts w:ascii="Times New Roman" w:eastAsia="Times New Roman" w:hAnsi="Times New Roman" w:cs="Times New Roman"/>
          <w:bCs/>
        </w:rPr>
      </w:pPr>
      <w:r w:rsidRPr="00584D88">
        <w:rPr>
          <w:rFonts w:ascii="Times New Roman" w:eastAsia="Times New Roman" w:hAnsi="Times New Roman" w:cs="Times New Roman"/>
          <w:bCs/>
        </w:rPr>
        <w:t>nappali munkarend: 42 (0 EA + 0 SZ + 42 GY)</w:t>
      </w:r>
    </w:p>
    <w:p w:rsidR="00584D88" w:rsidRPr="00584D88" w:rsidRDefault="00584D88" w:rsidP="00C14833">
      <w:pPr>
        <w:widowControl w:val="0"/>
        <w:numPr>
          <w:ilvl w:val="2"/>
          <w:numId w:val="161"/>
        </w:numPr>
        <w:tabs>
          <w:tab w:val="clear" w:pos="1800"/>
          <w:tab w:val="num" w:pos="1430"/>
        </w:tabs>
        <w:spacing w:before="120" w:after="120" w:line="240" w:lineRule="auto"/>
        <w:ind w:left="1214"/>
        <w:rPr>
          <w:rFonts w:ascii="Times New Roman" w:eastAsia="Times New Roman" w:hAnsi="Times New Roman" w:cs="Times New Roman"/>
          <w:bCs/>
        </w:rPr>
      </w:pPr>
      <w:r w:rsidRPr="00584D88">
        <w:rPr>
          <w:rFonts w:ascii="Times New Roman" w:eastAsia="Times New Roman" w:hAnsi="Times New Roman" w:cs="Times New Roman"/>
          <w:bCs/>
        </w:rPr>
        <w:t>levelező munkarend: -</w:t>
      </w:r>
    </w:p>
    <w:p w:rsidR="00584D88" w:rsidRPr="00584D88" w:rsidRDefault="00584D88" w:rsidP="00C14833">
      <w:pPr>
        <w:widowControl w:val="0"/>
        <w:numPr>
          <w:ilvl w:val="1"/>
          <w:numId w:val="161"/>
        </w:numPr>
        <w:tabs>
          <w:tab w:val="num" w:pos="709"/>
          <w:tab w:val="num" w:pos="2069"/>
        </w:tabs>
        <w:spacing w:before="120" w:after="120" w:line="240" w:lineRule="auto"/>
        <w:ind w:left="851" w:hanging="425"/>
        <w:rPr>
          <w:rFonts w:ascii="Times New Roman" w:eastAsia="Times New Roman" w:hAnsi="Times New Roman" w:cs="Times New Roman"/>
          <w:bCs/>
        </w:rPr>
      </w:pPr>
      <w:r w:rsidRPr="00584D88">
        <w:rPr>
          <w:rFonts w:ascii="Times New Roman" w:eastAsia="Times New Roman" w:hAnsi="Times New Roman" w:cs="Times New Roman"/>
          <w:bCs/>
        </w:rPr>
        <w:t xml:space="preserve">heti óraszám - nappali munkarend: 3 </w:t>
      </w:r>
    </w:p>
    <w:p w:rsidR="00584D88" w:rsidRPr="00584D88" w:rsidRDefault="00584D88" w:rsidP="00C14833">
      <w:pPr>
        <w:widowControl w:val="0"/>
        <w:numPr>
          <w:ilvl w:val="1"/>
          <w:numId w:val="161"/>
        </w:numPr>
        <w:tabs>
          <w:tab w:val="num" w:pos="709"/>
          <w:tab w:val="num" w:pos="2069"/>
        </w:tabs>
        <w:spacing w:before="120" w:after="120" w:line="240" w:lineRule="auto"/>
        <w:ind w:left="851" w:hanging="425"/>
        <w:rPr>
          <w:rFonts w:ascii="Times New Roman" w:eastAsia="Times New Roman" w:hAnsi="Times New Roman" w:cs="Times New Roman"/>
          <w:bCs/>
        </w:rPr>
      </w:pPr>
      <w:r w:rsidRPr="00584D88">
        <w:rPr>
          <w:rFonts w:ascii="Times New Roman" w:hAnsi="Times New Roman" w:cs="Times New Roman"/>
        </w:rPr>
        <w:t>Az ismeret átadásában alkalmazandó további sajátos módok, jellemzők:-</w:t>
      </w:r>
    </w:p>
    <w:p w:rsidR="00584D88" w:rsidRPr="00584D88" w:rsidRDefault="00584D88" w:rsidP="00C14833">
      <w:pPr>
        <w:widowControl w:val="0"/>
        <w:numPr>
          <w:ilvl w:val="0"/>
          <w:numId w:val="161"/>
        </w:numPr>
        <w:spacing w:before="120" w:after="120" w:line="240" w:lineRule="auto"/>
        <w:ind w:left="426" w:hanging="142"/>
        <w:jc w:val="both"/>
        <w:rPr>
          <w:rFonts w:ascii="Times New Roman" w:eastAsia="Times New Roman" w:hAnsi="Times New Roman" w:cs="Times New Roman"/>
          <w:bCs/>
        </w:rPr>
      </w:pPr>
      <w:r w:rsidRPr="00584D88">
        <w:rPr>
          <w:rFonts w:ascii="Times New Roman" w:eastAsia="Times New Roman" w:hAnsi="Times New Roman" w:cs="Times New Roman"/>
          <w:b/>
          <w:bCs/>
        </w:rPr>
        <w:t xml:space="preserve">A tantárgy szakmai tartalma (magyarul): </w:t>
      </w:r>
      <w:r w:rsidRPr="00584D88">
        <w:rPr>
          <w:rFonts w:ascii="Times New Roman" w:hAnsi="Times New Roman" w:cs="Times New Roman"/>
          <w:bCs/>
        </w:rPr>
        <w:t>Katonai sportok, Katonai Háromtusa Bajnokság. A kardvívás oktatása II. Az akadálypálya elemeinek leküzdése a verseny technika elsajátítása. Akadályváltó. Úszás.</w:t>
      </w:r>
    </w:p>
    <w:p w:rsidR="00584D88" w:rsidRPr="00584D88" w:rsidRDefault="00584D88" w:rsidP="00584D88">
      <w:pPr>
        <w:widowControl w:val="0"/>
        <w:spacing w:before="120" w:after="120" w:line="240" w:lineRule="auto"/>
        <w:ind w:left="426"/>
        <w:jc w:val="both"/>
        <w:rPr>
          <w:rFonts w:ascii="Times New Roman" w:eastAsia="Times New Roman" w:hAnsi="Times New Roman" w:cs="Times New Roman"/>
          <w:bCs/>
        </w:rPr>
      </w:pPr>
      <w:r w:rsidRPr="00584D88">
        <w:rPr>
          <w:rFonts w:ascii="Times New Roman" w:eastAsia="Times New Roman" w:hAnsi="Times New Roman" w:cs="Times New Roman"/>
          <w:b/>
          <w:bCs/>
        </w:rPr>
        <w:t>A tantárgy szakmai tartalma (angolul) (</w:t>
      </w:r>
      <w:r w:rsidRPr="00584D88">
        <w:rPr>
          <w:rFonts w:ascii="Times New Roman" w:eastAsia="Times New Roman" w:hAnsi="Times New Roman" w:cs="Times New Roman"/>
          <w:b/>
          <w:bCs/>
          <w:lang w:val="en-US"/>
        </w:rPr>
        <w:t>Course description</w:t>
      </w:r>
      <w:r w:rsidRPr="00584D88">
        <w:rPr>
          <w:rFonts w:ascii="Times New Roman" w:eastAsia="Times New Roman" w:hAnsi="Times New Roman" w:cs="Times New Roman"/>
          <w:b/>
          <w:bCs/>
        </w:rPr>
        <w:t xml:space="preserve">): </w:t>
      </w:r>
      <w:r w:rsidRPr="00584D88">
        <w:rPr>
          <w:rFonts w:ascii="Times New Roman" w:hAnsi="Times New Roman" w:cs="Times New Roman"/>
          <w:lang w:val="en-GB"/>
        </w:rPr>
        <w:t>Military sports, military triathlon. Training in sabre fencing II. Overcoming obstacles, mastering the racing techniques, obstacle relay, swimming.</w:t>
      </w:r>
    </w:p>
    <w:p w:rsidR="00584D88" w:rsidRPr="00584D88" w:rsidRDefault="00584D88" w:rsidP="00C14833">
      <w:pPr>
        <w:pStyle w:val="Listaszerbekezds"/>
        <w:widowControl w:val="0"/>
        <w:numPr>
          <w:ilvl w:val="0"/>
          <w:numId w:val="161"/>
        </w:numPr>
        <w:tabs>
          <w:tab w:val="clear" w:pos="720"/>
          <w:tab w:val="num" w:pos="993"/>
        </w:tabs>
        <w:spacing w:before="120" w:after="120" w:line="240" w:lineRule="auto"/>
        <w:ind w:left="426" w:hanging="142"/>
        <w:rPr>
          <w:rFonts w:ascii="Times New Roman" w:eastAsia="Times New Roman" w:hAnsi="Times New Roman" w:cs="Times New Roman"/>
          <w:bCs/>
        </w:rPr>
      </w:pPr>
      <w:r w:rsidRPr="00584D88">
        <w:rPr>
          <w:rFonts w:ascii="Times New Roman" w:eastAsia="Times New Roman" w:hAnsi="Times New Roman" w:cs="Times New Roman"/>
          <w:b/>
          <w:bCs/>
        </w:rPr>
        <w:t xml:space="preserve">Elérendő kompetenciák (magyarul): </w:t>
      </w:r>
    </w:p>
    <w:p w:rsidR="00584D88" w:rsidRPr="00584D88" w:rsidRDefault="00584D88" w:rsidP="00584D88">
      <w:pPr>
        <w:widowControl w:val="0"/>
        <w:spacing w:before="120" w:after="0" w:line="240" w:lineRule="auto"/>
        <w:ind w:left="425"/>
        <w:jc w:val="both"/>
        <w:rPr>
          <w:rFonts w:ascii="Times New Roman" w:eastAsia="Times New Roman" w:hAnsi="Times New Roman" w:cs="Times New Roman"/>
          <w:b/>
          <w:lang w:val="en-GB"/>
        </w:rPr>
      </w:pPr>
      <w:r w:rsidRPr="00584D88">
        <w:rPr>
          <w:rFonts w:ascii="Times New Roman" w:eastAsia="Times New Roman" w:hAnsi="Times New Roman" w:cs="Times New Roman"/>
          <w:b/>
          <w:lang w:val="en-GB"/>
        </w:rPr>
        <w:t xml:space="preserve">Tudása: </w:t>
      </w:r>
    </w:p>
    <w:p w:rsidR="00584D88" w:rsidRPr="00584D88" w:rsidRDefault="00584D88" w:rsidP="00C14833">
      <w:pPr>
        <w:pStyle w:val="Listaszerbekezds"/>
        <w:widowControl w:val="0"/>
        <w:numPr>
          <w:ilvl w:val="0"/>
          <w:numId w:val="159"/>
        </w:numPr>
        <w:spacing w:before="120" w:after="120" w:line="240" w:lineRule="auto"/>
        <w:jc w:val="both"/>
        <w:rPr>
          <w:rFonts w:ascii="Times New Roman" w:eastAsia="Times New Roman" w:hAnsi="Times New Roman" w:cs="Times New Roman"/>
          <w:bCs/>
        </w:rPr>
      </w:pPr>
      <w:r w:rsidRPr="00584D88">
        <w:rPr>
          <w:rFonts w:ascii="Times New Roman" w:eastAsia="Times New Roman" w:hAnsi="Times New Roman" w:cs="Times New Roman"/>
          <w:bCs/>
        </w:rPr>
        <w:t xml:space="preserve">Kondicionális és koordinációs képességek fejlesztése. </w:t>
      </w:r>
    </w:p>
    <w:p w:rsidR="00584D88" w:rsidRPr="00584D88" w:rsidRDefault="00584D88" w:rsidP="00C14833">
      <w:pPr>
        <w:pStyle w:val="Listaszerbekezds"/>
        <w:widowControl w:val="0"/>
        <w:numPr>
          <w:ilvl w:val="0"/>
          <w:numId w:val="159"/>
        </w:numPr>
        <w:spacing w:before="120" w:after="120" w:line="240" w:lineRule="auto"/>
        <w:jc w:val="both"/>
        <w:rPr>
          <w:rFonts w:ascii="Times New Roman" w:eastAsia="Times New Roman" w:hAnsi="Times New Roman" w:cs="Times New Roman"/>
          <w:bCs/>
        </w:rPr>
      </w:pPr>
      <w:r w:rsidRPr="00584D88">
        <w:rPr>
          <w:rFonts w:ascii="Times New Roman" w:eastAsia="Times New Roman" w:hAnsi="Times New Roman" w:cs="Times New Roman"/>
          <w:bCs/>
        </w:rPr>
        <w:t xml:space="preserve">Az NKE honvéd tisztjelöltjei szerezzenek ismeretet a kardvívás alap és küzdőtechnikáiról. </w:t>
      </w:r>
    </w:p>
    <w:p w:rsidR="00584D88" w:rsidRPr="00584D88" w:rsidRDefault="00584D88" w:rsidP="00C14833">
      <w:pPr>
        <w:pStyle w:val="Listaszerbekezds"/>
        <w:widowControl w:val="0"/>
        <w:numPr>
          <w:ilvl w:val="0"/>
          <w:numId w:val="159"/>
        </w:numPr>
        <w:spacing w:before="120" w:after="120" w:line="240" w:lineRule="auto"/>
        <w:jc w:val="both"/>
        <w:rPr>
          <w:rFonts w:ascii="Times New Roman" w:eastAsia="Times New Roman" w:hAnsi="Times New Roman" w:cs="Times New Roman"/>
          <w:bCs/>
        </w:rPr>
      </w:pPr>
      <w:r w:rsidRPr="00584D88">
        <w:rPr>
          <w:rFonts w:ascii="Times New Roman" w:eastAsia="Times New Roman" w:hAnsi="Times New Roman" w:cs="Times New Roman"/>
          <w:bCs/>
        </w:rPr>
        <w:t xml:space="preserve">Versenyszabályzat verseny lebonyolítása. </w:t>
      </w:r>
    </w:p>
    <w:p w:rsidR="00584D88" w:rsidRPr="00584D88" w:rsidRDefault="00584D88" w:rsidP="00C14833">
      <w:pPr>
        <w:pStyle w:val="Listaszerbekezds"/>
        <w:widowControl w:val="0"/>
        <w:numPr>
          <w:ilvl w:val="0"/>
          <w:numId w:val="159"/>
        </w:numPr>
        <w:spacing w:before="120" w:after="120" w:line="240" w:lineRule="auto"/>
        <w:jc w:val="both"/>
        <w:rPr>
          <w:rFonts w:ascii="Times New Roman" w:eastAsia="Times New Roman" w:hAnsi="Times New Roman" w:cs="Times New Roman"/>
          <w:bCs/>
        </w:rPr>
      </w:pPr>
      <w:r w:rsidRPr="00584D88">
        <w:rPr>
          <w:rFonts w:ascii="Times New Roman" w:eastAsia="Times New Roman" w:hAnsi="Times New Roman" w:cs="Times New Roman"/>
          <w:bCs/>
        </w:rPr>
        <w:t xml:space="preserve">Kézigránát dobás mozgástechnikájának ismerete. </w:t>
      </w:r>
    </w:p>
    <w:p w:rsidR="00584D88" w:rsidRPr="00584D88" w:rsidRDefault="00584D88" w:rsidP="00584D88">
      <w:pPr>
        <w:widowControl w:val="0"/>
        <w:spacing w:before="120" w:after="0" w:line="240" w:lineRule="auto"/>
        <w:ind w:left="425"/>
        <w:jc w:val="both"/>
        <w:rPr>
          <w:rFonts w:ascii="Times New Roman" w:eastAsia="Times New Roman" w:hAnsi="Times New Roman" w:cs="Times New Roman"/>
          <w:b/>
          <w:lang w:val="en-GB"/>
        </w:rPr>
      </w:pPr>
      <w:r w:rsidRPr="00584D88">
        <w:rPr>
          <w:rFonts w:ascii="Times New Roman" w:eastAsia="Times New Roman" w:hAnsi="Times New Roman" w:cs="Times New Roman"/>
          <w:b/>
          <w:lang w:val="en-GB"/>
        </w:rPr>
        <w:t>Képességei:</w:t>
      </w:r>
    </w:p>
    <w:p w:rsidR="00584D88" w:rsidRPr="00584D88" w:rsidRDefault="00584D88" w:rsidP="00C14833">
      <w:pPr>
        <w:pStyle w:val="Listaszerbekezds"/>
        <w:widowControl w:val="0"/>
        <w:numPr>
          <w:ilvl w:val="0"/>
          <w:numId w:val="159"/>
        </w:numPr>
        <w:spacing w:before="120" w:after="120" w:line="240" w:lineRule="auto"/>
        <w:jc w:val="both"/>
        <w:rPr>
          <w:rFonts w:ascii="Times New Roman" w:eastAsia="Times New Roman" w:hAnsi="Times New Roman" w:cs="Times New Roman"/>
          <w:bCs/>
        </w:rPr>
      </w:pPr>
      <w:r w:rsidRPr="00584D88">
        <w:rPr>
          <w:rFonts w:ascii="Times New Roman" w:eastAsia="Times New Roman" w:hAnsi="Times New Roman" w:cs="Times New Roman"/>
          <w:b/>
          <w:bCs/>
          <w:lang w:val="en-GB"/>
        </w:rPr>
        <w:t xml:space="preserve"> </w:t>
      </w:r>
      <w:r w:rsidRPr="00584D88">
        <w:rPr>
          <w:rFonts w:ascii="Times New Roman" w:eastAsia="Times New Roman" w:hAnsi="Times New Roman" w:cs="Times New Roman"/>
          <w:bCs/>
        </w:rPr>
        <w:t xml:space="preserve">Rendelkezzék az állóképesség és az erő – állóképesség megfelelő szintjével. </w:t>
      </w:r>
    </w:p>
    <w:p w:rsidR="00584D88" w:rsidRPr="00584D88" w:rsidRDefault="00584D88" w:rsidP="00C14833">
      <w:pPr>
        <w:pStyle w:val="Listaszerbekezds"/>
        <w:widowControl w:val="0"/>
        <w:numPr>
          <w:ilvl w:val="0"/>
          <w:numId w:val="159"/>
        </w:numPr>
        <w:spacing w:before="120" w:after="120" w:line="240" w:lineRule="auto"/>
        <w:jc w:val="both"/>
        <w:rPr>
          <w:rFonts w:ascii="Times New Roman" w:eastAsia="Times New Roman" w:hAnsi="Times New Roman" w:cs="Times New Roman"/>
          <w:bCs/>
        </w:rPr>
      </w:pPr>
      <w:r w:rsidRPr="00584D88">
        <w:rPr>
          <w:rFonts w:ascii="Times New Roman" w:eastAsia="Times New Roman" w:hAnsi="Times New Roman" w:cs="Times New Roman"/>
          <w:bCs/>
        </w:rPr>
        <w:t>Legyen képes a kézigránát megfelelő technikával történő elhajítására.</w:t>
      </w:r>
    </w:p>
    <w:p w:rsidR="00584D88" w:rsidRPr="00584D88" w:rsidRDefault="00584D88" w:rsidP="00584D88">
      <w:pPr>
        <w:widowControl w:val="0"/>
        <w:spacing w:before="120" w:after="0" w:line="240" w:lineRule="auto"/>
        <w:ind w:left="425"/>
        <w:jc w:val="both"/>
        <w:rPr>
          <w:rFonts w:ascii="Times New Roman" w:eastAsia="Times New Roman" w:hAnsi="Times New Roman" w:cs="Times New Roman"/>
          <w:b/>
          <w:lang w:val="en-GB"/>
        </w:rPr>
      </w:pPr>
      <w:r w:rsidRPr="00584D88">
        <w:rPr>
          <w:rFonts w:ascii="Times New Roman" w:eastAsia="Times New Roman" w:hAnsi="Times New Roman" w:cs="Times New Roman"/>
          <w:b/>
          <w:lang w:val="en-GB"/>
        </w:rPr>
        <w:t>Attitűdje:</w:t>
      </w:r>
    </w:p>
    <w:p w:rsidR="00584D88" w:rsidRPr="00584D88" w:rsidRDefault="00584D88" w:rsidP="00C14833">
      <w:pPr>
        <w:pStyle w:val="Listaszerbekezds"/>
        <w:widowControl w:val="0"/>
        <w:numPr>
          <w:ilvl w:val="0"/>
          <w:numId w:val="159"/>
        </w:numPr>
        <w:spacing w:before="120" w:after="120" w:line="240" w:lineRule="auto"/>
        <w:jc w:val="both"/>
        <w:rPr>
          <w:rFonts w:ascii="Times New Roman" w:eastAsia="Times New Roman" w:hAnsi="Times New Roman" w:cs="Times New Roman"/>
          <w:bCs/>
        </w:rPr>
      </w:pPr>
      <w:r w:rsidRPr="00584D88">
        <w:rPr>
          <w:rFonts w:ascii="Times New Roman" w:eastAsia="Times New Roman" w:hAnsi="Times New Roman" w:cs="Times New Roman"/>
          <w:b/>
          <w:bCs/>
          <w:lang w:val="en-GB"/>
        </w:rPr>
        <w:t xml:space="preserve"> </w:t>
      </w:r>
      <w:r w:rsidRPr="00584D88">
        <w:rPr>
          <w:rFonts w:ascii="Times New Roman" w:eastAsia="Times New Roman" w:hAnsi="Times New Roman" w:cs="Times New Roman"/>
          <w:bCs/>
        </w:rPr>
        <w:t xml:space="preserve">Nyitott ismereteinek gyarapítása iránt. </w:t>
      </w:r>
    </w:p>
    <w:p w:rsidR="00584D88" w:rsidRPr="00584D88" w:rsidRDefault="00584D88" w:rsidP="00C14833">
      <w:pPr>
        <w:pStyle w:val="Listaszerbekezds"/>
        <w:widowControl w:val="0"/>
        <w:numPr>
          <w:ilvl w:val="0"/>
          <w:numId w:val="159"/>
        </w:numPr>
        <w:spacing w:before="120" w:after="120" w:line="240" w:lineRule="auto"/>
        <w:jc w:val="both"/>
        <w:rPr>
          <w:rFonts w:ascii="Times New Roman" w:eastAsia="Times New Roman" w:hAnsi="Times New Roman" w:cs="Times New Roman"/>
          <w:bCs/>
        </w:rPr>
      </w:pPr>
      <w:r w:rsidRPr="00584D88">
        <w:rPr>
          <w:rFonts w:ascii="Times New Roman" w:eastAsia="Times New Roman" w:hAnsi="Times New Roman" w:cs="Times New Roman"/>
          <w:bCs/>
        </w:rPr>
        <w:t>Munkájában és emberi kapcsolataiban megbízhatóság jellemzi.</w:t>
      </w:r>
    </w:p>
    <w:p w:rsidR="00584D88" w:rsidRPr="00584D88" w:rsidRDefault="00584D88" w:rsidP="00584D88">
      <w:pPr>
        <w:widowControl w:val="0"/>
        <w:spacing w:before="120" w:after="0" w:line="240" w:lineRule="auto"/>
        <w:ind w:left="425"/>
        <w:jc w:val="both"/>
        <w:rPr>
          <w:rFonts w:ascii="Times New Roman" w:eastAsia="Times New Roman" w:hAnsi="Times New Roman" w:cs="Times New Roman"/>
          <w:b/>
          <w:lang w:val="en-GB"/>
        </w:rPr>
      </w:pPr>
      <w:r w:rsidRPr="00584D88">
        <w:rPr>
          <w:rFonts w:ascii="Times New Roman" w:eastAsia="Times New Roman" w:hAnsi="Times New Roman" w:cs="Times New Roman"/>
          <w:b/>
          <w:lang w:val="en-GB"/>
        </w:rPr>
        <w:t>Autonómiája és felelőssége:</w:t>
      </w:r>
    </w:p>
    <w:p w:rsidR="00584D88" w:rsidRPr="00584D88" w:rsidRDefault="00584D88" w:rsidP="00C14833">
      <w:pPr>
        <w:pStyle w:val="Listaszerbekezds"/>
        <w:widowControl w:val="0"/>
        <w:numPr>
          <w:ilvl w:val="0"/>
          <w:numId w:val="159"/>
        </w:numPr>
        <w:spacing w:before="120" w:after="120" w:line="240" w:lineRule="auto"/>
        <w:jc w:val="both"/>
        <w:rPr>
          <w:rFonts w:ascii="Times New Roman" w:eastAsia="Times New Roman" w:hAnsi="Times New Roman" w:cs="Times New Roman"/>
          <w:bCs/>
        </w:rPr>
      </w:pPr>
      <w:r w:rsidRPr="00584D88">
        <w:rPr>
          <w:rFonts w:ascii="Times New Roman" w:eastAsia="Times New Roman" w:hAnsi="Times New Roman" w:cs="Times New Roman"/>
          <w:b/>
          <w:bCs/>
          <w:lang w:val="en-GB"/>
        </w:rPr>
        <w:t xml:space="preserve"> </w:t>
      </w:r>
      <w:r w:rsidRPr="00584D88">
        <w:rPr>
          <w:rFonts w:ascii="Times New Roman" w:eastAsia="Times New Roman" w:hAnsi="Times New Roman" w:cs="Times New Roman"/>
          <w:bCs/>
        </w:rPr>
        <w:t xml:space="preserve">Kooperatív és kreatív együttműködés kialakítására törekszik a honvédség területen működő </w:t>
      </w:r>
      <w:r w:rsidRPr="00584D88">
        <w:rPr>
          <w:rFonts w:ascii="Times New Roman" w:eastAsia="Times New Roman" w:hAnsi="Times New Roman" w:cs="Times New Roman"/>
          <w:bCs/>
        </w:rPr>
        <w:lastRenderedPageBreak/>
        <w:t>szervezetekkel érintettekkel.</w:t>
      </w:r>
    </w:p>
    <w:p w:rsidR="00584D88" w:rsidRPr="00584D88" w:rsidRDefault="00584D88" w:rsidP="00584D88">
      <w:pPr>
        <w:widowControl w:val="0"/>
        <w:spacing w:before="120" w:after="120" w:line="240" w:lineRule="auto"/>
        <w:ind w:left="426"/>
        <w:jc w:val="both"/>
        <w:rPr>
          <w:rFonts w:ascii="Times New Roman" w:eastAsia="Times New Roman" w:hAnsi="Times New Roman" w:cs="Times New Roman"/>
          <w:b/>
          <w:bCs/>
          <w:lang w:val="en-US"/>
        </w:rPr>
      </w:pPr>
      <w:r w:rsidRPr="00584D88">
        <w:rPr>
          <w:rFonts w:ascii="Times New Roman" w:eastAsia="Times New Roman" w:hAnsi="Times New Roman" w:cs="Times New Roman"/>
          <w:b/>
          <w:bCs/>
        </w:rPr>
        <w:t>Elérendő kompetenciák (angolul) (</w:t>
      </w:r>
      <w:r w:rsidRPr="00584D88">
        <w:rPr>
          <w:rFonts w:ascii="Times New Roman" w:eastAsia="Times New Roman" w:hAnsi="Times New Roman" w:cs="Times New Roman"/>
          <w:b/>
          <w:bCs/>
          <w:lang w:val="en-US"/>
        </w:rPr>
        <w:t xml:space="preserve">Competences – English): </w:t>
      </w:r>
    </w:p>
    <w:p w:rsidR="00584D88" w:rsidRPr="00584D88" w:rsidRDefault="00584D88" w:rsidP="00584D88">
      <w:pPr>
        <w:widowControl w:val="0"/>
        <w:spacing w:before="120" w:after="0" w:line="240" w:lineRule="auto"/>
        <w:ind w:left="425"/>
        <w:jc w:val="both"/>
        <w:rPr>
          <w:rFonts w:ascii="Times New Roman" w:eastAsia="Times New Roman" w:hAnsi="Times New Roman" w:cs="Times New Roman"/>
          <w:b/>
          <w:lang w:val="en-GB"/>
        </w:rPr>
      </w:pPr>
      <w:r w:rsidRPr="00584D88">
        <w:rPr>
          <w:rFonts w:ascii="Times New Roman" w:eastAsia="Times New Roman" w:hAnsi="Times New Roman" w:cs="Times New Roman"/>
          <w:b/>
          <w:lang w:val="en-GB"/>
        </w:rPr>
        <w:t>Knowledge:</w:t>
      </w:r>
    </w:p>
    <w:p w:rsidR="00584D88" w:rsidRPr="00584D88" w:rsidRDefault="00584D88" w:rsidP="00C14833">
      <w:pPr>
        <w:pStyle w:val="Listaszerbekezds"/>
        <w:widowControl w:val="0"/>
        <w:numPr>
          <w:ilvl w:val="0"/>
          <w:numId w:val="159"/>
        </w:numPr>
        <w:spacing w:before="120" w:after="120" w:line="240" w:lineRule="auto"/>
        <w:jc w:val="both"/>
        <w:rPr>
          <w:rFonts w:ascii="Times New Roman" w:eastAsia="Times New Roman" w:hAnsi="Times New Roman" w:cs="Times New Roman"/>
          <w:bCs/>
        </w:rPr>
      </w:pPr>
      <w:r w:rsidRPr="00584D88">
        <w:rPr>
          <w:rFonts w:ascii="Times New Roman" w:eastAsia="Times New Roman" w:hAnsi="Times New Roman" w:cs="Times New Roman"/>
          <w:bCs/>
          <w:lang w:val="en-GB"/>
        </w:rPr>
        <w:t xml:space="preserve"> </w:t>
      </w:r>
      <w:r w:rsidRPr="00584D88">
        <w:rPr>
          <w:rFonts w:ascii="Times New Roman" w:eastAsia="Times New Roman" w:hAnsi="Times New Roman" w:cs="Times New Roman"/>
          <w:bCs/>
        </w:rPr>
        <w:t xml:space="preserve">To develop physical and coordination skills. </w:t>
      </w:r>
    </w:p>
    <w:p w:rsidR="00584D88" w:rsidRPr="00584D88" w:rsidRDefault="00584D88" w:rsidP="00C14833">
      <w:pPr>
        <w:pStyle w:val="Listaszerbekezds"/>
        <w:widowControl w:val="0"/>
        <w:numPr>
          <w:ilvl w:val="0"/>
          <w:numId w:val="159"/>
        </w:numPr>
        <w:spacing w:before="120" w:after="120" w:line="240" w:lineRule="auto"/>
        <w:jc w:val="both"/>
        <w:rPr>
          <w:rFonts w:ascii="Times New Roman" w:eastAsia="Times New Roman" w:hAnsi="Times New Roman" w:cs="Times New Roman"/>
          <w:bCs/>
        </w:rPr>
      </w:pPr>
      <w:r w:rsidRPr="00584D88">
        <w:rPr>
          <w:rFonts w:ascii="Times New Roman" w:eastAsia="Times New Roman" w:hAnsi="Times New Roman" w:cs="Times New Roman"/>
          <w:bCs/>
        </w:rPr>
        <w:t xml:space="preserve">NUPS officer cadets acquire knowledge of basic and martial arts techniques.Competition rules, conducting of competition. </w:t>
      </w:r>
    </w:p>
    <w:p w:rsidR="00584D88" w:rsidRPr="00584D88" w:rsidRDefault="00584D88" w:rsidP="00C14833">
      <w:pPr>
        <w:pStyle w:val="Listaszerbekezds"/>
        <w:widowControl w:val="0"/>
        <w:numPr>
          <w:ilvl w:val="0"/>
          <w:numId w:val="159"/>
        </w:numPr>
        <w:spacing w:before="120" w:after="120" w:line="240" w:lineRule="auto"/>
        <w:jc w:val="both"/>
        <w:rPr>
          <w:rFonts w:ascii="Times New Roman" w:eastAsia="Times New Roman" w:hAnsi="Times New Roman" w:cs="Times New Roman"/>
          <w:bCs/>
        </w:rPr>
      </w:pPr>
      <w:r w:rsidRPr="00584D88">
        <w:rPr>
          <w:rFonts w:ascii="Times New Roman" w:eastAsia="Times New Roman" w:hAnsi="Times New Roman" w:cs="Times New Roman"/>
          <w:bCs/>
        </w:rPr>
        <w:t xml:space="preserve">Knowledge of movement techniques for throwing hand grenades. </w:t>
      </w:r>
    </w:p>
    <w:p w:rsidR="00584D88" w:rsidRPr="00584D88" w:rsidRDefault="00584D88" w:rsidP="00584D88">
      <w:pPr>
        <w:widowControl w:val="0"/>
        <w:spacing w:before="120" w:after="0" w:line="240" w:lineRule="auto"/>
        <w:ind w:left="425"/>
        <w:jc w:val="both"/>
        <w:rPr>
          <w:rFonts w:ascii="Times New Roman" w:eastAsia="Times New Roman" w:hAnsi="Times New Roman" w:cs="Times New Roman"/>
          <w:b/>
          <w:lang w:val="en-GB"/>
        </w:rPr>
      </w:pPr>
      <w:r w:rsidRPr="00584D88">
        <w:rPr>
          <w:rFonts w:ascii="Times New Roman" w:eastAsia="Times New Roman" w:hAnsi="Times New Roman" w:cs="Times New Roman"/>
          <w:b/>
          <w:lang w:val="en-GB"/>
        </w:rPr>
        <w:t>Capabilities:</w:t>
      </w:r>
    </w:p>
    <w:p w:rsidR="00584D88" w:rsidRPr="00584D88" w:rsidRDefault="00584D88" w:rsidP="00C14833">
      <w:pPr>
        <w:pStyle w:val="Listaszerbekezds"/>
        <w:widowControl w:val="0"/>
        <w:numPr>
          <w:ilvl w:val="0"/>
          <w:numId w:val="159"/>
        </w:numPr>
        <w:spacing w:before="120" w:after="120" w:line="240" w:lineRule="auto"/>
        <w:jc w:val="both"/>
        <w:rPr>
          <w:rFonts w:ascii="Times New Roman" w:eastAsia="Times New Roman" w:hAnsi="Times New Roman" w:cs="Times New Roman"/>
          <w:bCs/>
        </w:rPr>
      </w:pPr>
      <w:r w:rsidRPr="00584D88">
        <w:rPr>
          <w:rFonts w:ascii="Times New Roman" w:eastAsia="Times New Roman" w:hAnsi="Times New Roman" w:cs="Times New Roman"/>
          <w:bCs/>
          <w:lang w:val="en-GB"/>
        </w:rPr>
        <w:t xml:space="preserve"> </w:t>
      </w:r>
      <w:r w:rsidRPr="00584D88">
        <w:rPr>
          <w:rFonts w:ascii="Times New Roman" w:eastAsia="Times New Roman" w:hAnsi="Times New Roman" w:cs="Times New Roman"/>
          <w:bCs/>
        </w:rPr>
        <w:t>Have an appropriate level of endurance and strength-endurance.</w:t>
      </w:r>
    </w:p>
    <w:p w:rsidR="00584D88" w:rsidRPr="00584D88" w:rsidRDefault="00584D88" w:rsidP="00C14833">
      <w:pPr>
        <w:pStyle w:val="Listaszerbekezds"/>
        <w:widowControl w:val="0"/>
        <w:numPr>
          <w:ilvl w:val="0"/>
          <w:numId w:val="159"/>
        </w:numPr>
        <w:spacing w:before="120" w:after="120" w:line="240" w:lineRule="auto"/>
        <w:jc w:val="both"/>
        <w:rPr>
          <w:rFonts w:ascii="Times New Roman" w:eastAsia="Times New Roman" w:hAnsi="Times New Roman" w:cs="Times New Roman"/>
          <w:bCs/>
        </w:rPr>
      </w:pPr>
      <w:r w:rsidRPr="00584D88">
        <w:rPr>
          <w:rFonts w:ascii="Times New Roman" w:eastAsia="Times New Roman" w:hAnsi="Times New Roman" w:cs="Times New Roman"/>
          <w:bCs/>
        </w:rPr>
        <w:t>Be able to throw the grenade with proper technique.</w:t>
      </w:r>
    </w:p>
    <w:p w:rsidR="00584D88" w:rsidRPr="00584D88" w:rsidRDefault="00584D88" w:rsidP="00584D88">
      <w:pPr>
        <w:widowControl w:val="0"/>
        <w:spacing w:before="120" w:after="0" w:line="240" w:lineRule="auto"/>
        <w:ind w:left="425"/>
        <w:jc w:val="both"/>
        <w:rPr>
          <w:rFonts w:ascii="Times New Roman" w:eastAsia="Times New Roman" w:hAnsi="Times New Roman" w:cs="Times New Roman"/>
          <w:b/>
          <w:lang w:val="en-GB"/>
        </w:rPr>
      </w:pPr>
      <w:r w:rsidRPr="00584D88">
        <w:rPr>
          <w:rFonts w:ascii="Times New Roman" w:eastAsia="Times New Roman" w:hAnsi="Times New Roman" w:cs="Times New Roman"/>
          <w:b/>
          <w:lang w:val="en-GB"/>
        </w:rPr>
        <w:t>Attitudes</w:t>
      </w:r>
    </w:p>
    <w:p w:rsidR="00584D88" w:rsidRPr="00584D88" w:rsidRDefault="00584D88" w:rsidP="00C14833">
      <w:pPr>
        <w:pStyle w:val="Listaszerbekezds"/>
        <w:numPr>
          <w:ilvl w:val="0"/>
          <w:numId w:val="159"/>
        </w:numPr>
        <w:spacing w:line="256" w:lineRule="auto"/>
        <w:jc w:val="both"/>
        <w:rPr>
          <w:rFonts w:ascii="Times New Roman" w:hAnsi="Times New Roman" w:cs="Times New Roman"/>
          <w:lang w:val="en-GB"/>
        </w:rPr>
      </w:pPr>
      <w:r w:rsidRPr="00584D88">
        <w:rPr>
          <w:rFonts w:ascii="Times New Roman" w:eastAsia="Times New Roman" w:hAnsi="Times New Roman" w:cs="Times New Roman"/>
          <w:lang w:val="en-GB"/>
        </w:rPr>
        <w:t xml:space="preserve">Open to increase his/her knowledge. </w:t>
      </w:r>
    </w:p>
    <w:p w:rsidR="00584D88" w:rsidRPr="00584D88" w:rsidRDefault="00584D88" w:rsidP="00C14833">
      <w:pPr>
        <w:pStyle w:val="Listaszerbekezds"/>
        <w:numPr>
          <w:ilvl w:val="0"/>
          <w:numId w:val="159"/>
        </w:numPr>
        <w:spacing w:line="256" w:lineRule="auto"/>
        <w:jc w:val="both"/>
        <w:rPr>
          <w:rFonts w:ascii="Times New Roman" w:hAnsi="Times New Roman" w:cs="Times New Roman"/>
          <w:lang w:val="en-GB"/>
        </w:rPr>
      </w:pPr>
      <w:r w:rsidRPr="00584D88">
        <w:rPr>
          <w:rFonts w:ascii="Times New Roman" w:eastAsia="Times New Roman" w:hAnsi="Times New Roman" w:cs="Times New Roman"/>
          <w:lang w:val="en-GB"/>
        </w:rPr>
        <w:t>He/ She is characterized by reliability in his/her work and human relationships.</w:t>
      </w:r>
    </w:p>
    <w:p w:rsidR="00584D88" w:rsidRPr="00584D88" w:rsidRDefault="00584D88" w:rsidP="00584D88">
      <w:pPr>
        <w:widowControl w:val="0"/>
        <w:spacing w:before="120" w:after="0" w:line="240" w:lineRule="auto"/>
        <w:ind w:left="425"/>
        <w:jc w:val="both"/>
        <w:rPr>
          <w:rFonts w:ascii="Times New Roman" w:eastAsia="Times New Roman" w:hAnsi="Times New Roman" w:cs="Times New Roman"/>
          <w:b/>
          <w:lang w:val="en-GB"/>
        </w:rPr>
      </w:pPr>
      <w:r w:rsidRPr="00584D88">
        <w:rPr>
          <w:rFonts w:ascii="Times New Roman" w:eastAsia="Times New Roman" w:hAnsi="Times New Roman" w:cs="Times New Roman"/>
          <w:b/>
          <w:lang w:val="en-GB"/>
        </w:rPr>
        <w:t xml:space="preserve">Autonomy and responsibility: </w:t>
      </w:r>
    </w:p>
    <w:p w:rsidR="00584D88" w:rsidRPr="00584D88" w:rsidRDefault="00584D88" w:rsidP="00C14833">
      <w:pPr>
        <w:pStyle w:val="Listaszerbekezds"/>
        <w:widowControl w:val="0"/>
        <w:numPr>
          <w:ilvl w:val="0"/>
          <w:numId w:val="159"/>
        </w:numPr>
        <w:spacing w:after="120" w:line="240" w:lineRule="auto"/>
        <w:ind w:left="782" w:hanging="357"/>
        <w:jc w:val="both"/>
        <w:rPr>
          <w:rFonts w:ascii="Times New Roman" w:eastAsia="Times New Roman" w:hAnsi="Times New Roman" w:cs="Times New Roman"/>
          <w:bCs/>
        </w:rPr>
      </w:pPr>
      <w:r w:rsidRPr="00584D88">
        <w:rPr>
          <w:rFonts w:ascii="Times New Roman" w:eastAsia="Times New Roman" w:hAnsi="Times New Roman" w:cs="Times New Roman"/>
          <w:bCs/>
        </w:rPr>
        <w:t>He /She strives to establish cooperative and creative cooperation with organizations and stakeholders working in the field of defence.</w:t>
      </w:r>
    </w:p>
    <w:p w:rsidR="00584D88" w:rsidRPr="00584D88" w:rsidRDefault="00584D88" w:rsidP="00C14833">
      <w:pPr>
        <w:pStyle w:val="Listaszerbekezds"/>
        <w:widowControl w:val="0"/>
        <w:numPr>
          <w:ilvl w:val="0"/>
          <w:numId w:val="161"/>
        </w:numPr>
        <w:tabs>
          <w:tab w:val="clear" w:pos="720"/>
          <w:tab w:val="num" w:pos="993"/>
        </w:tabs>
        <w:spacing w:before="120" w:after="120" w:line="240" w:lineRule="auto"/>
        <w:ind w:left="426" w:hanging="142"/>
        <w:rPr>
          <w:rFonts w:ascii="Times New Roman" w:eastAsia="Times New Roman" w:hAnsi="Times New Roman" w:cs="Times New Roman"/>
          <w:bCs/>
        </w:rPr>
      </w:pPr>
      <w:r w:rsidRPr="00584D88">
        <w:rPr>
          <w:rFonts w:ascii="Times New Roman" w:eastAsia="Times New Roman" w:hAnsi="Times New Roman" w:cs="Times New Roman"/>
          <w:b/>
          <w:bCs/>
        </w:rPr>
        <w:t xml:space="preserve">Előtanulmányi követelmények: </w:t>
      </w:r>
      <w:r w:rsidRPr="00584D88">
        <w:rPr>
          <w:rFonts w:ascii="Times New Roman" w:eastAsia="Times New Roman" w:hAnsi="Times New Roman" w:cs="Times New Roman"/>
          <w:bCs/>
        </w:rPr>
        <w:t>Katonai testnevelés IV, V, VI. teljesítése.</w:t>
      </w:r>
    </w:p>
    <w:p w:rsidR="00584D88" w:rsidRPr="00584D88" w:rsidRDefault="00584D88" w:rsidP="00C14833">
      <w:pPr>
        <w:pStyle w:val="Listaszerbekezds"/>
        <w:widowControl w:val="0"/>
        <w:numPr>
          <w:ilvl w:val="0"/>
          <w:numId w:val="161"/>
        </w:numPr>
        <w:tabs>
          <w:tab w:val="clear" w:pos="720"/>
          <w:tab w:val="num" w:pos="993"/>
        </w:tabs>
        <w:spacing w:before="120" w:after="120" w:line="240" w:lineRule="auto"/>
        <w:ind w:left="426" w:hanging="142"/>
        <w:rPr>
          <w:rFonts w:ascii="Times New Roman" w:eastAsia="Times New Roman" w:hAnsi="Times New Roman" w:cs="Times New Roman"/>
          <w:bCs/>
        </w:rPr>
      </w:pPr>
      <w:r w:rsidRPr="00584D88">
        <w:rPr>
          <w:rFonts w:ascii="Times New Roman" w:eastAsia="Times New Roman" w:hAnsi="Times New Roman" w:cs="Times New Roman"/>
          <w:b/>
          <w:bCs/>
        </w:rPr>
        <w:t>A tantárgy tananyagának leírása, tematika.</w:t>
      </w:r>
    </w:p>
    <w:p w:rsidR="00584D88" w:rsidRPr="00584D88" w:rsidRDefault="00584D88" w:rsidP="00584D88">
      <w:pPr>
        <w:widowControl w:val="0"/>
        <w:spacing w:after="120" w:line="240" w:lineRule="auto"/>
        <w:ind w:left="425"/>
        <w:jc w:val="both"/>
        <w:rPr>
          <w:rFonts w:ascii="Times New Roman" w:eastAsia="Times New Roman" w:hAnsi="Times New Roman" w:cs="Times New Roman"/>
          <w:bCs/>
        </w:rPr>
      </w:pPr>
      <w:r w:rsidRPr="00584D88">
        <w:rPr>
          <w:rFonts w:ascii="Times New Roman" w:eastAsia="Times New Roman" w:hAnsi="Times New Roman" w:cs="Times New Roman"/>
          <w:b/>
          <w:bCs/>
        </w:rPr>
        <w:t>12.1.</w:t>
      </w:r>
      <w:r w:rsidRPr="00584D88">
        <w:rPr>
          <w:rFonts w:ascii="Times New Roman" w:eastAsia="Times New Roman" w:hAnsi="Times New Roman" w:cs="Times New Roman"/>
          <w:bCs/>
        </w:rPr>
        <w:t>Kardvívás oktatása II. Egyenes vágás (szúrás) kis közép és nagy távolságról.</w:t>
      </w:r>
      <w:r w:rsidRPr="00584D88">
        <w:rPr>
          <w:rFonts w:ascii="Times New Roman" w:hAnsi="Times New Roman" w:cs="Times New Roman"/>
          <w:i/>
        </w:rPr>
        <w:t xml:space="preserve"> ( Fencing with sword)</w:t>
      </w:r>
    </w:p>
    <w:p w:rsidR="00584D88" w:rsidRPr="00584D88" w:rsidRDefault="00584D88" w:rsidP="00584D88">
      <w:pPr>
        <w:widowControl w:val="0"/>
        <w:spacing w:after="120" w:line="240" w:lineRule="auto"/>
        <w:ind w:left="425"/>
        <w:jc w:val="both"/>
        <w:rPr>
          <w:rFonts w:ascii="Times New Roman" w:eastAsia="Times New Roman" w:hAnsi="Times New Roman" w:cs="Times New Roman"/>
          <w:bCs/>
          <w:i/>
          <w:iCs/>
        </w:rPr>
      </w:pPr>
      <w:r w:rsidRPr="00584D88">
        <w:rPr>
          <w:rFonts w:ascii="Times New Roman" w:eastAsia="Times New Roman" w:hAnsi="Times New Roman" w:cs="Times New Roman"/>
          <w:b/>
          <w:bCs/>
        </w:rPr>
        <w:t>12.2.</w:t>
      </w:r>
      <w:r w:rsidRPr="00584D88">
        <w:rPr>
          <w:rFonts w:ascii="Times New Roman" w:eastAsia="Times New Roman" w:hAnsi="Times New Roman" w:cs="Times New Roman"/>
          <w:bCs/>
        </w:rPr>
        <w:t xml:space="preserve"> Vágás (szúrás), vágás hárítás -vágás (szúrás) gyakorlat csoportok mesterrel és párokban.</w:t>
      </w:r>
      <w:r w:rsidRPr="00584D88">
        <w:rPr>
          <w:rFonts w:ascii="Times New Roman" w:hAnsi="Times New Roman" w:cs="Times New Roman"/>
          <w:color w:val="222222"/>
          <w:shd w:val="clear" w:color="auto" w:fill="F8F9FA"/>
        </w:rPr>
        <w:t xml:space="preserve"> </w:t>
      </w:r>
      <w:r w:rsidRPr="00584D88">
        <w:rPr>
          <w:rFonts w:ascii="Times New Roman" w:hAnsi="Times New Roman" w:cs="Times New Roman"/>
          <w:i/>
          <w:iCs/>
          <w:color w:val="222222"/>
          <w:shd w:val="clear" w:color="auto" w:fill="F8F9FA"/>
        </w:rPr>
        <w:t>(Cutting (sting), cutting sting-cutting (sting) practice with groups of masters and pairs.)</w:t>
      </w:r>
    </w:p>
    <w:p w:rsidR="00584D88" w:rsidRPr="00584D88" w:rsidRDefault="00584D88" w:rsidP="00584D88">
      <w:pPr>
        <w:widowControl w:val="0"/>
        <w:spacing w:after="120" w:line="240" w:lineRule="auto"/>
        <w:ind w:left="425"/>
        <w:jc w:val="both"/>
        <w:rPr>
          <w:rFonts w:ascii="Times New Roman" w:eastAsia="Times New Roman" w:hAnsi="Times New Roman" w:cs="Times New Roman"/>
          <w:bCs/>
          <w:i/>
          <w:iCs/>
        </w:rPr>
      </w:pPr>
      <w:r w:rsidRPr="00584D88">
        <w:rPr>
          <w:rFonts w:ascii="Times New Roman" w:eastAsia="Times New Roman" w:hAnsi="Times New Roman" w:cs="Times New Roman"/>
          <w:b/>
          <w:bCs/>
        </w:rPr>
        <w:t>12.3.</w:t>
      </w:r>
      <w:r w:rsidRPr="00584D88">
        <w:rPr>
          <w:rFonts w:ascii="Times New Roman" w:eastAsia="Times New Roman" w:hAnsi="Times New Roman" w:cs="Times New Roman"/>
          <w:bCs/>
        </w:rPr>
        <w:t xml:space="preserve"> Egyszerű, félkör és körhárítások és visszavágások (szúrások).</w:t>
      </w:r>
      <w:r w:rsidRPr="00584D88">
        <w:rPr>
          <w:rFonts w:ascii="Times New Roman" w:hAnsi="Times New Roman" w:cs="Times New Roman"/>
          <w:color w:val="222222"/>
          <w:shd w:val="clear" w:color="auto" w:fill="F8F9FA"/>
        </w:rPr>
        <w:t xml:space="preserve"> </w:t>
      </w:r>
      <w:r w:rsidRPr="00584D88">
        <w:rPr>
          <w:rFonts w:ascii="Times New Roman" w:hAnsi="Times New Roman" w:cs="Times New Roman"/>
          <w:i/>
          <w:iCs/>
          <w:color w:val="222222"/>
          <w:shd w:val="clear" w:color="auto" w:fill="F8F9FA"/>
        </w:rPr>
        <w:t>(Simple, semicircular and circumferential, and retrograde.)</w:t>
      </w:r>
    </w:p>
    <w:p w:rsidR="00584D88" w:rsidRPr="00584D88" w:rsidRDefault="00584D88" w:rsidP="00584D88">
      <w:pPr>
        <w:pStyle w:val="HTML-kntformzott"/>
        <w:spacing w:after="120"/>
        <w:ind w:left="425"/>
        <w:rPr>
          <w:rFonts w:ascii="Times New Roman" w:hAnsi="Times New Roman" w:cs="Times New Roman"/>
          <w:i/>
          <w:iCs/>
          <w:color w:val="222222"/>
          <w:sz w:val="22"/>
          <w:szCs w:val="22"/>
        </w:rPr>
      </w:pPr>
      <w:r w:rsidRPr="00584D88">
        <w:rPr>
          <w:rFonts w:ascii="Times New Roman" w:hAnsi="Times New Roman" w:cs="Times New Roman"/>
          <w:b/>
          <w:bCs/>
          <w:sz w:val="22"/>
          <w:szCs w:val="22"/>
        </w:rPr>
        <w:t>12.4.</w:t>
      </w:r>
      <w:r w:rsidRPr="00584D88">
        <w:rPr>
          <w:rFonts w:ascii="Times New Roman" w:hAnsi="Times New Roman" w:cs="Times New Roman"/>
          <w:bCs/>
          <w:sz w:val="22"/>
          <w:szCs w:val="22"/>
        </w:rPr>
        <w:t xml:space="preserve"> A támadásokkal párhuzamosan azok védései és a védést követő egyenes visszavágások (szúrások).</w:t>
      </w:r>
      <w:r w:rsidRPr="00584D88">
        <w:rPr>
          <w:rFonts w:ascii="Times New Roman" w:hAnsi="Times New Roman" w:cs="Times New Roman"/>
          <w:color w:val="222222"/>
          <w:sz w:val="22"/>
          <w:szCs w:val="22"/>
          <w:lang w:val="en"/>
        </w:rPr>
        <w:t xml:space="preserve"> </w:t>
      </w:r>
      <w:r w:rsidRPr="00584D88">
        <w:rPr>
          <w:rFonts w:ascii="Times New Roman" w:hAnsi="Times New Roman" w:cs="Times New Roman"/>
          <w:i/>
          <w:iCs/>
          <w:color w:val="222222"/>
          <w:sz w:val="22"/>
          <w:szCs w:val="22"/>
          <w:lang w:val="en"/>
        </w:rPr>
        <w:t>(In parallel to the attacks, their defenses and straight rebounds (stings) following the defense.)</w:t>
      </w:r>
    </w:p>
    <w:p w:rsidR="00584D88" w:rsidRPr="00584D88" w:rsidRDefault="00584D88" w:rsidP="00584D88">
      <w:pPr>
        <w:widowControl w:val="0"/>
        <w:spacing w:after="120" w:line="240" w:lineRule="auto"/>
        <w:ind w:left="425"/>
        <w:jc w:val="both"/>
        <w:rPr>
          <w:rFonts w:ascii="Times New Roman" w:eastAsia="Times New Roman" w:hAnsi="Times New Roman" w:cs="Times New Roman"/>
          <w:bCs/>
          <w:i/>
          <w:iCs/>
        </w:rPr>
      </w:pPr>
      <w:r w:rsidRPr="00584D88">
        <w:rPr>
          <w:rFonts w:ascii="Times New Roman" w:eastAsia="Times New Roman" w:hAnsi="Times New Roman" w:cs="Times New Roman"/>
          <w:b/>
          <w:bCs/>
        </w:rPr>
        <w:t>12.5.</w:t>
      </w:r>
      <w:r w:rsidRPr="00584D88">
        <w:rPr>
          <w:rFonts w:ascii="Times New Roman" w:eastAsia="Times New Roman" w:hAnsi="Times New Roman" w:cs="Times New Roman"/>
          <w:bCs/>
        </w:rPr>
        <w:t xml:space="preserve"> Katonai sportok: A katonai sportok elsajátítása a katonai versenyszámainak végrehajtásán keresztül. Futások gyakorlóban, fegyverrel.</w:t>
      </w:r>
      <w:r w:rsidRPr="00584D88">
        <w:rPr>
          <w:rFonts w:ascii="Times New Roman" w:hAnsi="Times New Roman" w:cs="Times New Roman"/>
          <w:color w:val="222222"/>
          <w:shd w:val="clear" w:color="auto" w:fill="F8F9FA"/>
        </w:rPr>
        <w:t xml:space="preserve"> </w:t>
      </w:r>
      <w:r w:rsidRPr="00584D88">
        <w:rPr>
          <w:rFonts w:ascii="Times New Roman" w:hAnsi="Times New Roman" w:cs="Times New Roman"/>
          <w:i/>
          <w:iCs/>
          <w:color w:val="222222"/>
          <w:shd w:val="clear" w:color="auto" w:fill="F8F9FA"/>
        </w:rPr>
        <w:t>(Military Sports: Acquire military sports by completing military competitions. Runs practicing with a gun.)</w:t>
      </w:r>
    </w:p>
    <w:p w:rsidR="00584D88" w:rsidRPr="00584D88" w:rsidRDefault="00584D88" w:rsidP="00584D88">
      <w:pPr>
        <w:widowControl w:val="0"/>
        <w:tabs>
          <w:tab w:val="left" w:pos="993"/>
        </w:tabs>
        <w:spacing w:after="120" w:line="240" w:lineRule="auto"/>
        <w:ind w:left="425"/>
        <w:jc w:val="both"/>
        <w:rPr>
          <w:rFonts w:ascii="Times New Roman" w:eastAsia="Times New Roman" w:hAnsi="Times New Roman" w:cs="Times New Roman"/>
          <w:i/>
          <w:iCs/>
        </w:rPr>
      </w:pPr>
      <w:r w:rsidRPr="00584D88">
        <w:rPr>
          <w:rFonts w:ascii="Times New Roman" w:eastAsia="Times New Roman" w:hAnsi="Times New Roman" w:cs="Times New Roman"/>
          <w:b/>
          <w:bCs/>
        </w:rPr>
        <w:t>12.6.</w:t>
      </w:r>
      <w:r w:rsidRPr="00584D88">
        <w:rPr>
          <w:rFonts w:ascii="Times New Roman" w:eastAsia="Times New Roman" w:hAnsi="Times New Roman" w:cs="Times New Roman"/>
          <w:bCs/>
        </w:rPr>
        <w:t xml:space="preserve"> Természetes és mesterséges akadályok leküzdése</w:t>
      </w:r>
      <w:r w:rsidRPr="00584D88">
        <w:rPr>
          <w:rFonts w:ascii="Times New Roman" w:eastAsia="Times New Roman" w:hAnsi="Times New Roman" w:cs="Times New Roman"/>
          <w:bCs/>
          <w:i/>
          <w:iCs/>
        </w:rPr>
        <w:t>.</w:t>
      </w:r>
      <w:r w:rsidRPr="00584D88">
        <w:rPr>
          <w:rFonts w:ascii="Times New Roman" w:eastAsia="Times New Roman" w:hAnsi="Times New Roman" w:cs="Times New Roman"/>
          <w:i/>
          <w:iCs/>
        </w:rPr>
        <w:t xml:space="preserve"> (Completing natural and artificial</w:t>
      </w:r>
      <w:r w:rsidRPr="00584D88">
        <w:rPr>
          <w:rFonts w:ascii="Times New Roman" w:eastAsia="Times New Roman" w:hAnsi="Times New Roman" w:cs="Times New Roman"/>
          <w:i/>
        </w:rPr>
        <w:t xml:space="preserve"> </w:t>
      </w:r>
      <w:r w:rsidRPr="00584D88">
        <w:rPr>
          <w:rFonts w:ascii="Times New Roman" w:eastAsia="Times New Roman" w:hAnsi="Times New Roman" w:cs="Times New Roman"/>
          <w:i/>
          <w:iCs/>
        </w:rPr>
        <w:t>obstacles).</w:t>
      </w:r>
    </w:p>
    <w:p w:rsidR="00584D88" w:rsidRPr="00584D88" w:rsidRDefault="00584D88" w:rsidP="00584D88">
      <w:pPr>
        <w:widowControl w:val="0"/>
        <w:spacing w:after="120" w:line="240" w:lineRule="auto"/>
        <w:ind w:left="425"/>
        <w:jc w:val="both"/>
        <w:rPr>
          <w:rFonts w:ascii="Times New Roman" w:eastAsia="Times New Roman" w:hAnsi="Times New Roman" w:cs="Times New Roman"/>
          <w:bCs/>
        </w:rPr>
      </w:pPr>
      <w:r w:rsidRPr="00584D88">
        <w:rPr>
          <w:rFonts w:ascii="Times New Roman" w:eastAsia="Times New Roman" w:hAnsi="Times New Roman" w:cs="Times New Roman"/>
          <w:b/>
          <w:bCs/>
        </w:rPr>
        <w:t>12.7.</w:t>
      </w:r>
      <w:r w:rsidRPr="00584D88">
        <w:rPr>
          <w:rFonts w:ascii="Times New Roman" w:eastAsia="Times New Roman" w:hAnsi="Times New Roman" w:cs="Times New Roman"/>
          <w:bCs/>
        </w:rPr>
        <w:t xml:space="preserve"> Mászások,függeszkedések,fékező ereszkedések ferde létrán, egyensúlyt kinesztézist fejlesztő gyakorlatok.</w:t>
      </w:r>
      <w:r w:rsidRPr="00584D88">
        <w:rPr>
          <w:rFonts w:ascii="Times New Roman" w:hAnsi="Times New Roman" w:cs="Times New Roman"/>
          <w:color w:val="222222"/>
          <w:shd w:val="clear" w:color="auto" w:fill="F8F9FA"/>
        </w:rPr>
        <w:t xml:space="preserve"> </w:t>
      </w:r>
      <w:r w:rsidRPr="00584D88">
        <w:rPr>
          <w:rFonts w:ascii="Times New Roman" w:hAnsi="Times New Roman" w:cs="Times New Roman"/>
          <w:i/>
          <w:iCs/>
          <w:color w:val="222222"/>
          <w:shd w:val="clear" w:color="auto" w:fill="F8F9FA"/>
        </w:rPr>
        <w:t>(Climbing, hanging, braking descent on sloping ladders, exercises to improve equilibrium kinesesthesia.)</w:t>
      </w:r>
    </w:p>
    <w:p w:rsidR="00584D88" w:rsidRPr="00584D88" w:rsidRDefault="00584D88" w:rsidP="00584D88">
      <w:pPr>
        <w:widowControl w:val="0"/>
        <w:spacing w:after="120" w:line="240" w:lineRule="auto"/>
        <w:ind w:left="425"/>
        <w:jc w:val="both"/>
        <w:rPr>
          <w:rFonts w:ascii="Times New Roman" w:eastAsia="Times New Roman" w:hAnsi="Times New Roman" w:cs="Times New Roman"/>
          <w:bCs/>
          <w:i/>
          <w:iCs/>
        </w:rPr>
      </w:pPr>
      <w:r w:rsidRPr="00584D88">
        <w:rPr>
          <w:rFonts w:ascii="Times New Roman" w:eastAsia="Times New Roman" w:hAnsi="Times New Roman" w:cs="Times New Roman"/>
          <w:b/>
          <w:bCs/>
        </w:rPr>
        <w:t>12.8.</w:t>
      </w:r>
      <w:r w:rsidRPr="00584D88">
        <w:rPr>
          <w:rFonts w:ascii="Times New Roman" w:eastAsia="Times New Roman" w:hAnsi="Times New Roman" w:cs="Times New Roman"/>
          <w:bCs/>
        </w:rPr>
        <w:t xml:space="preserve"> Erő, (max.erő, erőállóképesség, gyorserő) fejlesztő módszerek.</w:t>
      </w:r>
      <w:r w:rsidRPr="00584D88">
        <w:rPr>
          <w:rFonts w:ascii="Times New Roman" w:hAnsi="Times New Roman" w:cs="Times New Roman"/>
          <w:color w:val="222222"/>
          <w:shd w:val="clear" w:color="auto" w:fill="F8F9FA"/>
        </w:rPr>
        <w:t xml:space="preserve"> </w:t>
      </w:r>
      <w:r w:rsidRPr="00584D88">
        <w:rPr>
          <w:rFonts w:ascii="Times New Roman" w:hAnsi="Times New Roman" w:cs="Times New Roman"/>
          <w:i/>
          <w:iCs/>
          <w:color w:val="222222"/>
          <w:shd w:val="clear" w:color="auto" w:fill="F8F9FA"/>
        </w:rPr>
        <w:t>(Strength (max. Force, endurance, fast force) development methods)</w:t>
      </w:r>
    </w:p>
    <w:p w:rsidR="00584D88" w:rsidRPr="00584D88" w:rsidRDefault="00584D88" w:rsidP="00584D88">
      <w:pPr>
        <w:widowControl w:val="0"/>
        <w:spacing w:after="120" w:line="240" w:lineRule="auto"/>
        <w:ind w:left="425"/>
        <w:jc w:val="both"/>
        <w:rPr>
          <w:rFonts w:ascii="Times New Roman" w:eastAsia="Times New Roman" w:hAnsi="Times New Roman" w:cs="Times New Roman"/>
          <w:bCs/>
        </w:rPr>
      </w:pPr>
      <w:r w:rsidRPr="00584D88">
        <w:rPr>
          <w:rFonts w:ascii="Times New Roman" w:eastAsia="Times New Roman" w:hAnsi="Times New Roman" w:cs="Times New Roman"/>
          <w:b/>
          <w:bCs/>
        </w:rPr>
        <w:t>12.9.</w:t>
      </w:r>
      <w:r w:rsidRPr="00584D88">
        <w:rPr>
          <w:rFonts w:ascii="Times New Roman" w:eastAsia="Times New Roman" w:hAnsi="Times New Roman" w:cs="Times New Roman"/>
          <w:bCs/>
        </w:rPr>
        <w:t xml:space="preserve"> A gyorsaság fejlesztése.</w:t>
      </w:r>
      <w:r w:rsidRPr="00584D88">
        <w:rPr>
          <w:rFonts w:ascii="Times New Roman" w:hAnsi="Times New Roman" w:cs="Times New Roman"/>
          <w:color w:val="222222"/>
          <w:shd w:val="clear" w:color="auto" w:fill="F8F9FA"/>
        </w:rPr>
        <w:t xml:space="preserve"> </w:t>
      </w:r>
      <w:r w:rsidRPr="00584D88">
        <w:rPr>
          <w:rFonts w:ascii="Times New Roman" w:hAnsi="Times New Roman" w:cs="Times New Roman"/>
          <w:i/>
          <w:iCs/>
          <w:color w:val="222222"/>
          <w:shd w:val="clear" w:color="auto" w:fill="F8F9FA"/>
        </w:rPr>
        <w:t>(Developing speed.)</w:t>
      </w:r>
    </w:p>
    <w:p w:rsidR="00584D88" w:rsidRPr="00584D88" w:rsidRDefault="00584D88" w:rsidP="00584D88">
      <w:pPr>
        <w:widowControl w:val="0"/>
        <w:spacing w:after="120" w:line="240" w:lineRule="auto"/>
        <w:ind w:left="425"/>
        <w:rPr>
          <w:rFonts w:ascii="Times New Roman" w:eastAsia="Times New Roman" w:hAnsi="Times New Roman" w:cs="Times New Roman"/>
          <w:bCs/>
        </w:rPr>
      </w:pPr>
      <w:r w:rsidRPr="00584D88">
        <w:rPr>
          <w:rFonts w:ascii="Times New Roman" w:eastAsia="Times New Roman" w:hAnsi="Times New Roman" w:cs="Times New Roman"/>
          <w:b/>
          <w:bCs/>
        </w:rPr>
        <w:t>12.10.</w:t>
      </w:r>
      <w:r w:rsidRPr="00584D88">
        <w:rPr>
          <w:rFonts w:ascii="Times New Roman" w:eastAsia="Times New Roman" w:hAnsi="Times New Roman" w:cs="Times New Roman"/>
          <w:bCs/>
        </w:rPr>
        <w:t xml:space="preserve"> Mozgásformák ellenőrzése</w:t>
      </w:r>
      <w:r w:rsidRPr="00584D88">
        <w:rPr>
          <w:rFonts w:ascii="Times New Roman" w:eastAsia="Times New Roman" w:hAnsi="Times New Roman" w:cs="Times New Roman"/>
          <w:bCs/>
          <w:i/>
          <w:iCs/>
        </w:rPr>
        <w:t>.</w:t>
      </w:r>
      <w:r w:rsidRPr="00584D88">
        <w:rPr>
          <w:rFonts w:ascii="Times New Roman" w:hAnsi="Times New Roman" w:cs="Times New Roman"/>
          <w:bCs/>
          <w:i/>
          <w:iCs/>
        </w:rPr>
        <w:t xml:space="preserve"> ( Physical tests)</w:t>
      </w:r>
    </w:p>
    <w:p w:rsidR="00584D88" w:rsidRPr="00584D88" w:rsidRDefault="00584D88" w:rsidP="00C14833">
      <w:pPr>
        <w:pStyle w:val="Listaszerbekezds"/>
        <w:widowControl w:val="0"/>
        <w:numPr>
          <w:ilvl w:val="0"/>
          <w:numId w:val="161"/>
        </w:numPr>
        <w:tabs>
          <w:tab w:val="clear" w:pos="720"/>
          <w:tab w:val="num" w:pos="993"/>
        </w:tabs>
        <w:spacing w:before="120" w:after="120" w:line="240" w:lineRule="auto"/>
        <w:ind w:left="426" w:hanging="142"/>
        <w:rPr>
          <w:rFonts w:ascii="Times New Roman" w:eastAsia="Times New Roman" w:hAnsi="Times New Roman" w:cs="Times New Roman"/>
          <w:bCs/>
        </w:rPr>
      </w:pPr>
      <w:r w:rsidRPr="00584D88">
        <w:rPr>
          <w:rFonts w:ascii="Times New Roman" w:eastAsia="Times New Roman" w:hAnsi="Times New Roman" w:cs="Times New Roman"/>
          <w:b/>
          <w:bCs/>
        </w:rPr>
        <w:t xml:space="preserve">A tantárgy meghirdetésének gyakorisága a tantervben történő félévi elhelyezkedése: </w:t>
      </w:r>
      <w:r w:rsidRPr="00584D88">
        <w:rPr>
          <w:rFonts w:ascii="Times New Roman" w:hAnsi="Times New Roman" w:cs="Times New Roman"/>
          <w:bCs/>
        </w:rPr>
        <w:t>VII. félév.</w:t>
      </w:r>
    </w:p>
    <w:p w:rsidR="00584D88" w:rsidRPr="00584D88" w:rsidRDefault="00584D88" w:rsidP="00C14833">
      <w:pPr>
        <w:pStyle w:val="Listaszerbekezds"/>
        <w:widowControl w:val="0"/>
        <w:numPr>
          <w:ilvl w:val="0"/>
          <w:numId w:val="161"/>
        </w:numPr>
        <w:tabs>
          <w:tab w:val="clear" w:pos="720"/>
          <w:tab w:val="num" w:pos="993"/>
        </w:tabs>
        <w:spacing w:before="120" w:after="120" w:line="240" w:lineRule="auto"/>
        <w:ind w:left="426" w:hanging="142"/>
        <w:jc w:val="both"/>
        <w:rPr>
          <w:rFonts w:ascii="Times New Roman" w:eastAsia="Times New Roman" w:hAnsi="Times New Roman" w:cs="Times New Roman"/>
          <w:bCs/>
        </w:rPr>
      </w:pPr>
      <w:r w:rsidRPr="00584D88">
        <w:rPr>
          <w:rFonts w:ascii="Times New Roman" w:eastAsia="Times New Roman" w:hAnsi="Times New Roman" w:cs="Times New Roman"/>
          <w:b/>
          <w:bCs/>
        </w:rPr>
        <w:t>A tanórákon való részvétel követelményei, az elfogadható hiányzások mértéke, a távolmaradás pótlásának lehetősége:</w:t>
      </w:r>
      <w:r w:rsidRPr="00584D88">
        <w:rPr>
          <w:rFonts w:ascii="Times New Roman" w:hAnsi="Times New Roman" w:cs="Times New Roman"/>
          <w:bCs/>
        </w:rPr>
        <w:t xml:space="preserve"> A honvéd tisztjelöltek részvétele a foglalkozásokon kötelező. Betegség, szabadság miatti hiányzások mértéke maximálisan 30% lehet. Vezénylés, szolgálat miatti távollét nem számít bele a hiányzásba.</w:t>
      </w:r>
      <w:r w:rsidRPr="00584D88">
        <w:rPr>
          <w:rFonts w:ascii="Times New Roman" w:eastAsia="Times New Roman" w:hAnsi="Times New Roman" w:cs="Times New Roman"/>
          <w:b/>
          <w:bCs/>
          <w:i/>
          <w:color w:val="FF0000"/>
        </w:rPr>
        <w:t xml:space="preserve"> </w:t>
      </w:r>
      <w:r w:rsidRPr="00584D88">
        <w:rPr>
          <w:rFonts w:ascii="Times New Roman" w:eastAsia="Times New Roman" w:hAnsi="Times New Roman" w:cs="Times New Roman"/>
          <w:bCs/>
        </w:rPr>
        <w:t xml:space="preserve">A hallgatónak a tanórák legalább 70 %-án jelen kell lennie, 30 %-ot meghaladó hiányzás esetén a félév teljesítése nem írható alá. A hallgató </w:t>
      </w:r>
      <w:r w:rsidRPr="00584D88">
        <w:rPr>
          <w:rFonts w:ascii="Times New Roman" w:eastAsia="Times New Roman" w:hAnsi="Times New Roman" w:cs="Times New Roman"/>
          <w:bCs/>
        </w:rPr>
        <w:lastRenderedPageBreak/>
        <w:t>köteles a gyakorlat anyagát beszerezni, abból önállóan felkészülni.</w:t>
      </w:r>
    </w:p>
    <w:p w:rsidR="00584D88" w:rsidRPr="00584D88" w:rsidRDefault="00584D88" w:rsidP="00C14833">
      <w:pPr>
        <w:widowControl w:val="0"/>
        <w:numPr>
          <w:ilvl w:val="0"/>
          <w:numId w:val="161"/>
        </w:numPr>
        <w:spacing w:before="120" w:after="120" w:line="240" w:lineRule="auto"/>
        <w:ind w:left="426" w:hanging="142"/>
        <w:jc w:val="both"/>
        <w:rPr>
          <w:rFonts w:ascii="Times New Roman" w:eastAsia="Times New Roman" w:hAnsi="Times New Roman" w:cs="Times New Roman"/>
          <w:bCs/>
        </w:rPr>
      </w:pPr>
      <w:r w:rsidRPr="00584D88">
        <w:rPr>
          <w:rFonts w:ascii="Times New Roman" w:eastAsia="Times New Roman" w:hAnsi="Times New Roman" w:cs="Times New Roman"/>
          <w:b/>
        </w:rPr>
        <w:t xml:space="preserve">Félévközi feladatok, ismeretek ellenőrzésének rendje: </w:t>
      </w:r>
      <w:r w:rsidRPr="00584D88">
        <w:rPr>
          <w:rFonts w:ascii="Times New Roman" w:eastAsia="Times New Roman" w:hAnsi="Times New Roman" w:cs="Times New Roman"/>
          <w:bCs/>
        </w:rPr>
        <w:t xml:space="preserve">Az ismeretek ellenőrzése a különböző mozgásformák bemutatásával történik. </w:t>
      </w:r>
      <w:r w:rsidR="005A03A6" w:rsidRPr="00790D58">
        <w:rPr>
          <w:rFonts w:ascii="Times New Roman" w:eastAsia="Times New Roman" w:hAnsi="Times New Roman" w:cs="Times New Roman"/>
          <w:bCs/>
        </w:rPr>
        <w:t>Az oktató az alábbi szempontok alapján értékeli a hallgatót:</w:t>
      </w:r>
      <w:r w:rsidR="005A03A6" w:rsidRPr="00790D58">
        <w:rPr>
          <w:rFonts w:ascii="Times New Roman" w:hAnsi="Times New Roman" w:cs="Times New Roman"/>
        </w:rPr>
        <w:t xml:space="preserve"> az elégséges értékeléshez mozgásformánként el kell érni a minimum egy pontszámot (1 pontot), valamint az összesített pontszám tekintetében el kell érni a 130 pontot. </w:t>
      </w:r>
      <w:r w:rsidRPr="00584D88">
        <w:rPr>
          <w:rFonts w:ascii="Times New Roman" w:hAnsi="Times New Roman" w:cs="Times New Roman"/>
        </w:rPr>
        <w:t xml:space="preserve">A mozgásformák a következők: 3200m futás, fekvőtámasz, felülés, függeszkedés, 3200m fegyveres futás gyakorlóban, 200m úszás, akadálypálya gyakorlat, vívás II. Sikertelen kísérlet esetén, a hallgatónak a félév folyamán kétszer van lehetősége a javításra. </w:t>
      </w:r>
    </w:p>
    <w:p w:rsidR="00584D88" w:rsidRPr="00584D88" w:rsidRDefault="00584D88" w:rsidP="00C14833">
      <w:pPr>
        <w:pStyle w:val="Listaszerbekezds"/>
        <w:widowControl w:val="0"/>
        <w:numPr>
          <w:ilvl w:val="0"/>
          <w:numId w:val="161"/>
        </w:numPr>
        <w:tabs>
          <w:tab w:val="clear" w:pos="720"/>
          <w:tab w:val="num" w:pos="993"/>
        </w:tabs>
        <w:spacing w:before="120" w:after="120" w:line="240" w:lineRule="auto"/>
        <w:ind w:left="426" w:hanging="142"/>
        <w:jc w:val="both"/>
        <w:rPr>
          <w:rFonts w:ascii="Times New Roman" w:eastAsia="Times New Roman" w:hAnsi="Times New Roman" w:cs="Times New Roman"/>
          <w:bCs/>
        </w:rPr>
      </w:pPr>
      <w:r w:rsidRPr="00584D88">
        <w:rPr>
          <w:rFonts w:ascii="Times New Roman" w:eastAsia="Times New Roman" w:hAnsi="Times New Roman" w:cs="Times New Roman"/>
          <w:b/>
        </w:rPr>
        <w:t xml:space="preserve">Az értékelés, az aláírás és a kreditek megszerzésének pontos feltételei: </w:t>
      </w:r>
      <w:r w:rsidRPr="00584D88">
        <w:rPr>
          <w:rFonts w:ascii="Times New Roman" w:hAnsi="Times New Roman" w:cs="Times New Roman"/>
        </w:rPr>
        <w:t xml:space="preserve">Az aláírás feltétele tanórák 70%-án történő aktív részvétel, valamint az elégséges értékeléshez mozgásformánként el kell érni </w:t>
      </w:r>
      <w:r w:rsidR="005A03A6" w:rsidRPr="00790D58">
        <w:rPr>
          <w:rFonts w:ascii="Times New Roman" w:hAnsi="Times New Roman" w:cs="Times New Roman"/>
        </w:rPr>
        <w:t>a minimum egy pontszámot (1 pontot),</w:t>
      </w:r>
      <w:r w:rsidRPr="00584D88">
        <w:rPr>
          <w:rFonts w:ascii="Times New Roman" w:hAnsi="Times New Roman" w:cs="Times New Roman"/>
        </w:rPr>
        <w:t xml:space="preserve"> valamint az összesített pontszám tekintetében el kell érni a 130 pontot. </w:t>
      </w:r>
    </w:p>
    <w:p w:rsidR="005A03A6" w:rsidRPr="00790D58" w:rsidRDefault="005A03A6" w:rsidP="005A03A6">
      <w:pPr>
        <w:pStyle w:val="Listaszerbekezds"/>
        <w:widowControl w:val="0"/>
        <w:spacing w:before="120" w:after="120" w:line="240" w:lineRule="auto"/>
        <w:ind w:left="1276" w:hanging="567"/>
        <w:jc w:val="both"/>
        <w:rPr>
          <w:rFonts w:ascii="Times New Roman" w:hAnsi="Times New Roman" w:cs="Times New Roman"/>
        </w:rPr>
      </w:pPr>
      <w:r w:rsidRPr="00790D58">
        <w:rPr>
          <w:rFonts w:ascii="Times New Roman" w:eastAsia="Times New Roman" w:hAnsi="Times New Roman" w:cs="Times New Roman"/>
          <w:b/>
        </w:rPr>
        <w:t>16.1. Az aláírás megszerzésének feltételei:</w:t>
      </w:r>
      <w:r w:rsidRPr="00790D58">
        <w:rPr>
          <w:rFonts w:ascii="Times New Roman" w:hAnsi="Times New Roman" w:cs="Times New Roman"/>
          <w:bCs/>
        </w:rPr>
        <w:t xml:space="preserve"> Az aláírás feltétele tanórák 70%-án történő aktív részvétel</w:t>
      </w:r>
      <w:r w:rsidRPr="00790D58">
        <w:rPr>
          <w:rFonts w:ascii="Times New Roman" w:hAnsi="Times New Roman" w:cs="Times New Roman"/>
        </w:rPr>
        <w:t>, valamint az elégséges értékeléshez mozgásformánként el kell érni a minimum egy pontszámot (1 pontot), valamint az összesített pontszám tekintetében el kell érni a minimális 130 pontot.</w:t>
      </w:r>
    </w:p>
    <w:p w:rsidR="005A03A6" w:rsidRPr="00790D58" w:rsidRDefault="005A03A6" w:rsidP="005A03A6">
      <w:pPr>
        <w:pStyle w:val="Listaszerbekezds"/>
        <w:widowControl w:val="0"/>
        <w:spacing w:before="120" w:after="120" w:line="240" w:lineRule="auto"/>
        <w:ind w:left="1276" w:hanging="567"/>
        <w:jc w:val="both"/>
        <w:rPr>
          <w:rFonts w:ascii="Times New Roman" w:eastAsia="Times New Roman" w:hAnsi="Times New Roman" w:cs="Times New Roman"/>
        </w:rPr>
      </w:pPr>
      <w:r w:rsidRPr="00790D58">
        <w:rPr>
          <w:rFonts w:ascii="Times New Roman" w:eastAsia="Times New Roman" w:hAnsi="Times New Roman" w:cs="Times New Roman"/>
          <w:b/>
        </w:rPr>
        <w:t xml:space="preserve">16.2. Az értékelés: </w:t>
      </w:r>
      <w:r w:rsidRPr="00790D58">
        <w:rPr>
          <w:rFonts w:ascii="Times New Roman" w:eastAsia="Times New Roman" w:hAnsi="Times New Roman" w:cs="Times New Roman"/>
        </w:rPr>
        <w:t>Gyakorlati jegy megszerzése: A</w:t>
      </w:r>
      <w:r w:rsidRPr="00790D58">
        <w:rPr>
          <w:rFonts w:ascii="Times New Roman" w:hAnsi="Times New Roman" w:cs="Times New Roman"/>
        </w:rPr>
        <w:t xml:space="preserve">z elégséges értékeléshez mozgásformánként el kell érni a minimum egy pontszámot (1 pontot), valamint az összesített pontszám </w:t>
      </w:r>
      <w:r w:rsidRPr="005A03A6">
        <w:rPr>
          <w:rFonts w:ascii="Times New Roman" w:eastAsia="Times New Roman" w:hAnsi="Times New Roman" w:cs="Times New Roman"/>
        </w:rPr>
        <w:t>tekintetében</w:t>
      </w:r>
      <w:r w:rsidRPr="00790D58">
        <w:rPr>
          <w:rFonts w:ascii="Times New Roman" w:hAnsi="Times New Roman" w:cs="Times New Roman"/>
        </w:rPr>
        <w:t xml:space="preserve"> el kell érni a minimális 130 pontot. 130-199 pont elégséges, 200-269 pont közepes, 270-339 pont jó 340-400 kiváló osztályzatot jelent</w:t>
      </w:r>
      <w:r w:rsidRPr="00790D58">
        <w:rPr>
          <w:rFonts w:ascii="Times New Roman" w:eastAsia="Times New Roman" w:hAnsi="Times New Roman" w:cs="Times New Roman"/>
        </w:rPr>
        <w:t>.</w:t>
      </w:r>
    </w:p>
    <w:p w:rsidR="005A03A6" w:rsidRPr="00790D58" w:rsidRDefault="005A03A6" w:rsidP="005A03A6">
      <w:pPr>
        <w:pStyle w:val="Listaszerbekezds"/>
        <w:widowControl w:val="0"/>
        <w:spacing w:before="120" w:after="120" w:line="240" w:lineRule="auto"/>
        <w:ind w:left="1276" w:hanging="567"/>
        <w:jc w:val="both"/>
        <w:rPr>
          <w:rFonts w:ascii="Times New Roman" w:eastAsia="Times New Roman" w:hAnsi="Times New Roman" w:cs="Times New Roman"/>
        </w:rPr>
      </w:pPr>
      <w:r w:rsidRPr="00790D58">
        <w:rPr>
          <w:rFonts w:ascii="Times New Roman" w:eastAsia="Times New Roman" w:hAnsi="Times New Roman" w:cs="Times New Roman"/>
          <w:b/>
        </w:rPr>
        <w:t xml:space="preserve">16.3. A kreditek megszerzésének feltételei: </w:t>
      </w:r>
      <w:r w:rsidRPr="00790D58">
        <w:rPr>
          <w:rFonts w:ascii="Times New Roman" w:eastAsia="Times New Roman" w:hAnsi="Times New Roman" w:cs="Times New Roman"/>
        </w:rPr>
        <w:t>A mozgásformák minimum szintjeinek és a minimum összpontszámnak az elérése.</w:t>
      </w:r>
    </w:p>
    <w:p w:rsidR="00584D88" w:rsidRPr="00584D88" w:rsidRDefault="00584D88" w:rsidP="00C14833">
      <w:pPr>
        <w:pStyle w:val="Listaszerbekezds"/>
        <w:widowControl w:val="0"/>
        <w:numPr>
          <w:ilvl w:val="0"/>
          <w:numId w:val="161"/>
        </w:numPr>
        <w:tabs>
          <w:tab w:val="clear" w:pos="720"/>
          <w:tab w:val="num" w:pos="993"/>
        </w:tabs>
        <w:spacing w:before="120" w:after="120" w:line="240" w:lineRule="auto"/>
        <w:ind w:left="426" w:hanging="142"/>
        <w:rPr>
          <w:rFonts w:ascii="Times New Roman" w:eastAsia="Times New Roman" w:hAnsi="Times New Roman" w:cs="Times New Roman"/>
          <w:bCs/>
        </w:rPr>
      </w:pPr>
      <w:r w:rsidRPr="00584D88">
        <w:rPr>
          <w:rFonts w:ascii="Times New Roman" w:eastAsia="Times New Roman" w:hAnsi="Times New Roman" w:cs="Times New Roman"/>
          <w:b/>
          <w:bCs/>
        </w:rPr>
        <w:t>Irodalomjegyzék:</w:t>
      </w:r>
    </w:p>
    <w:p w:rsidR="00584D88" w:rsidRPr="00584D88" w:rsidRDefault="00584D88" w:rsidP="00584D88">
      <w:pPr>
        <w:widowControl w:val="0"/>
        <w:tabs>
          <w:tab w:val="left" w:pos="851"/>
        </w:tabs>
        <w:spacing w:before="120" w:after="120" w:line="240" w:lineRule="auto"/>
        <w:ind w:left="426"/>
        <w:rPr>
          <w:rFonts w:ascii="Times New Roman" w:eastAsia="Times New Roman" w:hAnsi="Times New Roman" w:cs="Times New Roman"/>
          <w:bCs/>
        </w:rPr>
      </w:pPr>
      <w:r w:rsidRPr="00584D88">
        <w:rPr>
          <w:rFonts w:ascii="Times New Roman" w:eastAsia="Times New Roman" w:hAnsi="Times New Roman" w:cs="Times New Roman"/>
          <w:b/>
          <w:bCs/>
        </w:rPr>
        <w:t>17.1. Kötelező irodalom:</w:t>
      </w:r>
    </w:p>
    <w:p w:rsidR="00584D88" w:rsidRPr="00A065A5" w:rsidRDefault="00584D88" w:rsidP="00980876">
      <w:pPr>
        <w:pStyle w:val="Listaszerbekezds"/>
        <w:widowControl w:val="0"/>
        <w:numPr>
          <w:ilvl w:val="0"/>
          <w:numId w:val="773"/>
        </w:numPr>
        <w:spacing w:after="0" w:line="240" w:lineRule="auto"/>
        <w:rPr>
          <w:rFonts w:ascii="Times New Roman" w:eastAsia="Times New Roman" w:hAnsi="Times New Roman" w:cs="Times New Roman"/>
          <w:highlight w:val="lightGray"/>
        </w:rPr>
      </w:pPr>
      <w:r w:rsidRPr="00A065A5">
        <w:rPr>
          <w:rFonts w:ascii="Times New Roman" w:hAnsi="Times New Roman" w:cs="Times New Roman"/>
        </w:rPr>
        <w:t>A Magyar Honvédség Katonai Testnevelés Kiképzés és Sportbajnokságok szabályzata (A Magyar Honvédség Kiadványa 2017.)</w:t>
      </w:r>
    </w:p>
    <w:p w:rsidR="00A065A5" w:rsidRPr="00A065A5" w:rsidRDefault="00A065A5" w:rsidP="00A065A5">
      <w:pPr>
        <w:pStyle w:val="Listaszerbekezds"/>
        <w:widowControl w:val="0"/>
        <w:spacing w:after="0" w:line="240" w:lineRule="auto"/>
        <w:ind w:left="851"/>
        <w:rPr>
          <w:rFonts w:ascii="Times New Roman" w:eastAsia="Times New Roman" w:hAnsi="Times New Roman" w:cs="Times New Roman"/>
          <w:highlight w:val="lightGray"/>
        </w:rPr>
      </w:pPr>
    </w:p>
    <w:p w:rsidR="00584D88" w:rsidRPr="00584D88" w:rsidRDefault="00584D88" w:rsidP="00C14833">
      <w:pPr>
        <w:pStyle w:val="Listaszerbekezds"/>
        <w:widowControl w:val="0"/>
        <w:numPr>
          <w:ilvl w:val="1"/>
          <w:numId w:val="160"/>
        </w:numPr>
        <w:spacing w:before="120" w:after="120" w:line="240" w:lineRule="auto"/>
        <w:rPr>
          <w:rFonts w:ascii="Times New Roman" w:eastAsia="Times New Roman" w:hAnsi="Times New Roman" w:cs="Times New Roman"/>
          <w:b/>
          <w:bCs/>
        </w:rPr>
      </w:pPr>
      <w:r w:rsidRPr="00584D88">
        <w:rPr>
          <w:rFonts w:ascii="Times New Roman" w:eastAsia="Times New Roman" w:hAnsi="Times New Roman" w:cs="Times New Roman"/>
          <w:b/>
          <w:bCs/>
        </w:rPr>
        <w:t>Ajánlott irodalom:</w:t>
      </w:r>
    </w:p>
    <w:p w:rsidR="00A065A5" w:rsidRPr="00A065A5" w:rsidRDefault="00584D88" w:rsidP="00980876">
      <w:pPr>
        <w:pStyle w:val="Listaszerbekezds"/>
        <w:widowControl w:val="0"/>
        <w:numPr>
          <w:ilvl w:val="0"/>
          <w:numId w:val="774"/>
        </w:numPr>
        <w:spacing w:after="0" w:line="240" w:lineRule="auto"/>
        <w:rPr>
          <w:rFonts w:ascii="Times New Roman" w:eastAsia="Times New Roman" w:hAnsi="Times New Roman" w:cs="Times New Roman"/>
          <w:highlight w:val="lightGray"/>
        </w:rPr>
      </w:pPr>
      <w:r w:rsidRPr="00A065A5">
        <w:rPr>
          <w:rFonts w:ascii="Times New Roman" w:hAnsi="Times New Roman" w:cs="Times New Roman"/>
        </w:rPr>
        <w:t>Arold Imre: Az úszás oktatása Sport kiadó 1979. ISBN:</w:t>
      </w:r>
      <w:r w:rsidR="00A065A5">
        <w:rPr>
          <w:rFonts w:ascii="Times New Roman" w:hAnsi="Times New Roman" w:cs="Times New Roman"/>
        </w:rPr>
        <w:t xml:space="preserve"> </w:t>
      </w:r>
      <w:r w:rsidRPr="00A065A5">
        <w:rPr>
          <w:rFonts w:ascii="Times New Roman" w:hAnsi="Times New Roman" w:cs="Times New Roman"/>
        </w:rPr>
        <w:t>9632530187</w:t>
      </w:r>
    </w:p>
    <w:p w:rsidR="00584D88" w:rsidRPr="00A065A5" w:rsidRDefault="00584D88" w:rsidP="00980876">
      <w:pPr>
        <w:pStyle w:val="Listaszerbekezds"/>
        <w:widowControl w:val="0"/>
        <w:numPr>
          <w:ilvl w:val="0"/>
          <w:numId w:val="774"/>
        </w:numPr>
        <w:spacing w:after="0" w:line="240" w:lineRule="auto"/>
        <w:rPr>
          <w:rFonts w:ascii="Times New Roman" w:eastAsia="Times New Roman" w:hAnsi="Times New Roman" w:cs="Times New Roman"/>
          <w:highlight w:val="lightGray"/>
        </w:rPr>
      </w:pPr>
      <w:r w:rsidRPr="00A065A5">
        <w:rPr>
          <w:rFonts w:ascii="Times New Roman" w:hAnsi="Times New Roman" w:cs="Times New Roman"/>
        </w:rPr>
        <w:t>Szepesi László: Vívás tanulás csoportban Ludovika Egyetemi kiadó Nonpr. Kft. 2007.</w:t>
      </w:r>
      <w:r w:rsidR="00A065A5" w:rsidRPr="00A065A5">
        <w:rPr>
          <w:rFonts w:ascii="Times New Roman" w:hAnsi="Times New Roman" w:cs="Times New Roman"/>
        </w:rPr>
        <w:t xml:space="preserve"> </w:t>
      </w:r>
      <w:r w:rsidRPr="00A065A5">
        <w:rPr>
          <w:rFonts w:ascii="Times New Roman" w:hAnsi="Times New Roman" w:cs="Times New Roman"/>
        </w:rPr>
        <w:t>ISBN:</w:t>
      </w:r>
      <w:r w:rsidR="00A065A5">
        <w:rPr>
          <w:rFonts w:ascii="Times New Roman" w:hAnsi="Times New Roman" w:cs="Times New Roman"/>
        </w:rPr>
        <w:t xml:space="preserve"> </w:t>
      </w:r>
      <w:r w:rsidRPr="00A065A5">
        <w:rPr>
          <w:rFonts w:ascii="Times New Roman" w:hAnsi="Times New Roman" w:cs="Times New Roman"/>
        </w:rPr>
        <w:t>9789639542945</w:t>
      </w:r>
    </w:p>
    <w:p w:rsidR="00584D88" w:rsidRPr="00584D88" w:rsidRDefault="00584D88" w:rsidP="00584D88">
      <w:pPr>
        <w:pStyle w:val="Listaszerbekezds"/>
        <w:widowControl w:val="0"/>
        <w:spacing w:after="0" w:line="240" w:lineRule="auto"/>
        <w:rPr>
          <w:rFonts w:ascii="Times New Roman" w:eastAsia="Times New Roman" w:hAnsi="Times New Roman" w:cs="Times New Roman"/>
          <w:highlight w:val="lightGray"/>
        </w:rPr>
      </w:pPr>
    </w:p>
    <w:p w:rsidR="00584D88" w:rsidRPr="00584D88" w:rsidRDefault="00584D88" w:rsidP="00584D88">
      <w:pPr>
        <w:widowControl w:val="0"/>
        <w:spacing w:before="120" w:after="120" w:line="240" w:lineRule="auto"/>
        <w:jc w:val="both"/>
        <w:rPr>
          <w:rFonts w:ascii="Times New Roman" w:eastAsia="Times New Roman" w:hAnsi="Times New Roman" w:cs="Times New Roman"/>
          <w:bCs/>
        </w:rPr>
      </w:pPr>
      <w:r w:rsidRPr="00584D88">
        <w:rPr>
          <w:rFonts w:ascii="Times New Roman" w:eastAsia="Times New Roman" w:hAnsi="Times New Roman" w:cs="Times New Roman"/>
          <w:bCs/>
        </w:rPr>
        <w:t>Budapest, 2020-01-21.</w:t>
      </w:r>
    </w:p>
    <w:p w:rsidR="00584D88" w:rsidRPr="00584D88" w:rsidRDefault="00584D88" w:rsidP="00584D88">
      <w:pPr>
        <w:widowControl w:val="0"/>
        <w:spacing w:before="120" w:after="120" w:line="240" w:lineRule="auto"/>
        <w:jc w:val="both"/>
        <w:rPr>
          <w:rFonts w:ascii="Times New Roman" w:eastAsia="Times New Roman" w:hAnsi="Times New Roman" w:cs="Times New Roman"/>
          <w:bCs/>
        </w:rPr>
      </w:pPr>
    </w:p>
    <w:p w:rsidR="00584D88" w:rsidRPr="00584D88" w:rsidRDefault="00584D88" w:rsidP="00584D88">
      <w:pPr>
        <w:widowControl w:val="0"/>
        <w:spacing w:after="0" w:line="240" w:lineRule="auto"/>
        <w:jc w:val="right"/>
        <w:rPr>
          <w:rFonts w:ascii="Times New Roman" w:eastAsia="Times New Roman" w:hAnsi="Times New Roman" w:cs="Times New Roman"/>
          <w:b/>
          <w:bCs/>
        </w:rPr>
      </w:pPr>
      <w:r w:rsidRPr="00584D88">
        <w:rPr>
          <w:rFonts w:ascii="Times New Roman" w:eastAsia="Times New Roman" w:hAnsi="Times New Roman" w:cs="Times New Roman"/>
          <w:b/>
          <w:bCs/>
        </w:rPr>
        <w:t xml:space="preserve">Dr. Prókainé dr. Kovács Tímea alezredes, </w:t>
      </w:r>
    </w:p>
    <w:p w:rsidR="00584D88" w:rsidRPr="00584D88" w:rsidRDefault="00584D88" w:rsidP="00584D88">
      <w:pPr>
        <w:widowControl w:val="0"/>
        <w:spacing w:after="0" w:line="240" w:lineRule="auto"/>
        <w:jc w:val="right"/>
        <w:rPr>
          <w:rFonts w:ascii="Times New Roman" w:hAnsi="Times New Roman" w:cs="Times New Roman"/>
        </w:rPr>
      </w:pPr>
      <w:r w:rsidRPr="00584D88">
        <w:rPr>
          <w:rFonts w:ascii="Times New Roman" w:eastAsia="Times New Roman" w:hAnsi="Times New Roman" w:cs="Times New Roman"/>
          <w:bCs/>
        </w:rPr>
        <w:t>KTSK testnevelő tanár, sk.</w:t>
      </w:r>
    </w:p>
    <w:p w:rsidR="00584D88" w:rsidRDefault="00584D88">
      <w:pPr>
        <w:spacing w:after="200" w:line="276" w:lineRule="auto"/>
        <w:rPr>
          <w:rFonts w:ascii="Times New Roman" w:hAnsi="Times New Roman" w:cs="Times New Roman"/>
          <w:sz w:val="24"/>
        </w:rPr>
      </w:pPr>
    </w:p>
    <w:p w:rsidR="00584D88" w:rsidRDefault="00584D88">
      <w:pPr>
        <w:spacing w:after="200" w:line="276" w:lineRule="auto"/>
        <w:rPr>
          <w:rFonts w:ascii="Times New Roman" w:hAnsi="Times New Roman" w:cs="Times New Roman"/>
          <w:sz w:val="24"/>
        </w:rPr>
      </w:pPr>
      <w:r>
        <w:rPr>
          <w:rFonts w:ascii="Times New Roman" w:hAnsi="Times New Roman" w:cs="Times New Roman"/>
          <w:sz w:val="24"/>
        </w:rPr>
        <w:br w:type="page"/>
      </w:r>
    </w:p>
    <w:tbl>
      <w:tblPr>
        <w:tblW w:w="9072" w:type="dxa"/>
        <w:tblInd w:w="113" w:type="dxa"/>
        <w:tblLook w:val="01E0" w:firstRow="1" w:lastRow="1" w:firstColumn="1" w:lastColumn="1" w:noHBand="0" w:noVBand="0"/>
      </w:tblPr>
      <w:tblGrid>
        <w:gridCol w:w="4855"/>
        <w:gridCol w:w="1620"/>
        <w:gridCol w:w="2597"/>
      </w:tblGrid>
      <w:tr w:rsidR="00B87469" w:rsidRPr="00B87469" w:rsidTr="00B87469">
        <w:tc>
          <w:tcPr>
            <w:tcW w:w="4855" w:type="dxa"/>
            <w:tcBorders>
              <w:top w:val="nil"/>
              <w:left w:val="nil"/>
              <w:bottom w:val="single" w:sz="4" w:space="0" w:color="auto"/>
              <w:right w:val="nil"/>
            </w:tcBorders>
            <w:hideMark/>
          </w:tcPr>
          <w:p w:rsidR="00B87469" w:rsidRPr="00B87469" w:rsidRDefault="00B87469">
            <w:pPr>
              <w:spacing w:after="0" w:line="240" w:lineRule="auto"/>
              <w:jc w:val="center"/>
              <w:rPr>
                <w:rFonts w:ascii="Times New Roman" w:eastAsia="Times New Roman" w:hAnsi="Times New Roman" w:cs="Times New Roman"/>
                <w:b/>
                <w:smallCaps/>
                <w:lang w:eastAsia="hu-HU"/>
              </w:rPr>
            </w:pPr>
            <w:r w:rsidRPr="00B87469">
              <w:rPr>
                <w:rFonts w:ascii="Times New Roman" w:eastAsia="Times New Roman" w:hAnsi="Times New Roman" w:cs="Times New Roman"/>
                <w:b/>
                <w:smallCaps/>
                <w:lang w:eastAsia="hu-HU"/>
              </w:rPr>
              <w:lastRenderedPageBreak/>
              <w:t>Nemzeti Közszolgálati Egyetem</w:t>
            </w:r>
          </w:p>
        </w:tc>
        <w:tc>
          <w:tcPr>
            <w:tcW w:w="1620" w:type="dxa"/>
          </w:tcPr>
          <w:p w:rsidR="00B87469" w:rsidRPr="00B87469" w:rsidRDefault="00B87469">
            <w:pPr>
              <w:spacing w:after="0" w:line="240" w:lineRule="auto"/>
              <w:jc w:val="both"/>
              <w:rPr>
                <w:rFonts w:ascii="Times New Roman" w:eastAsia="Times New Roman" w:hAnsi="Times New Roman" w:cs="Times New Roman"/>
                <w:lang w:eastAsia="hu-HU"/>
              </w:rPr>
            </w:pPr>
          </w:p>
        </w:tc>
        <w:tc>
          <w:tcPr>
            <w:tcW w:w="2597" w:type="dxa"/>
          </w:tcPr>
          <w:p w:rsidR="00B87469" w:rsidRPr="00B87469" w:rsidRDefault="00B87469">
            <w:pPr>
              <w:spacing w:after="0" w:line="240" w:lineRule="auto"/>
              <w:jc w:val="right"/>
              <w:rPr>
                <w:rFonts w:ascii="Times New Roman" w:eastAsia="Times New Roman" w:hAnsi="Times New Roman" w:cs="Times New Roman"/>
                <w:lang w:eastAsia="hu-HU"/>
              </w:rPr>
            </w:pPr>
          </w:p>
        </w:tc>
      </w:tr>
      <w:tr w:rsidR="00B87469" w:rsidRPr="00B87469" w:rsidTr="00B87469">
        <w:tc>
          <w:tcPr>
            <w:tcW w:w="4855" w:type="dxa"/>
            <w:tcBorders>
              <w:top w:val="single" w:sz="4" w:space="0" w:color="auto"/>
              <w:left w:val="nil"/>
              <w:bottom w:val="nil"/>
              <w:right w:val="nil"/>
            </w:tcBorders>
            <w:hideMark/>
          </w:tcPr>
          <w:p w:rsidR="00B87469" w:rsidRPr="00B87469" w:rsidRDefault="00B87469">
            <w:pPr>
              <w:spacing w:after="0" w:line="240" w:lineRule="auto"/>
              <w:jc w:val="center"/>
              <w:rPr>
                <w:rFonts w:ascii="Times New Roman" w:eastAsia="Times New Roman" w:hAnsi="Times New Roman" w:cs="Times New Roman"/>
                <w:b/>
                <w:lang w:eastAsia="hu-HU"/>
              </w:rPr>
            </w:pPr>
            <w:r w:rsidRPr="00B87469">
              <w:rPr>
                <w:rFonts w:ascii="Times New Roman" w:eastAsia="Times New Roman" w:hAnsi="Times New Roman" w:cs="Times New Roman"/>
                <w:b/>
                <w:lang w:eastAsia="hu-HU"/>
              </w:rPr>
              <w:t>Hadtudományi és Honvédtisztképző Kar</w:t>
            </w:r>
          </w:p>
        </w:tc>
        <w:tc>
          <w:tcPr>
            <w:tcW w:w="1620" w:type="dxa"/>
          </w:tcPr>
          <w:p w:rsidR="00B87469" w:rsidRPr="00B87469" w:rsidRDefault="00B87469">
            <w:pPr>
              <w:spacing w:after="0" w:line="240" w:lineRule="auto"/>
              <w:jc w:val="both"/>
              <w:rPr>
                <w:rFonts w:ascii="Times New Roman" w:eastAsia="Times New Roman" w:hAnsi="Times New Roman" w:cs="Times New Roman"/>
                <w:lang w:eastAsia="hu-HU"/>
              </w:rPr>
            </w:pPr>
          </w:p>
        </w:tc>
        <w:tc>
          <w:tcPr>
            <w:tcW w:w="2597" w:type="dxa"/>
          </w:tcPr>
          <w:p w:rsidR="00B87469" w:rsidRPr="00B87469" w:rsidRDefault="00B87469">
            <w:pPr>
              <w:spacing w:after="0" w:line="240" w:lineRule="auto"/>
              <w:jc w:val="both"/>
              <w:rPr>
                <w:rFonts w:ascii="Times New Roman" w:eastAsia="Times New Roman" w:hAnsi="Times New Roman" w:cs="Times New Roman"/>
                <w:lang w:eastAsia="hu-HU"/>
              </w:rPr>
            </w:pPr>
          </w:p>
        </w:tc>
      </w:tr>
    </w:tbl>
    <w:p w:rsidR="00B87469" w:rsidRPr="00B87469" w:rsidRDefault="00B87469" w:rsidP="00B87469">
      <w:pPr>
        <w:widowControl w:val="0"/>
        <w:spacing w:before="120" w:after="120" w:line="240" w:lineRule="auto"/>
        <w:ind w:left="426" w:hanging="142"/>
        <w:jc w:val="center"/>
        <w:rPr>
          <w:rFonts w:ascii="Times New Roman" w:eastAsia="Times New Roman" w:hAnsi="Times New Roman" w:cs="Times New Roman"/>
          <w:b/>
          <w:bCs/>
        </w:rPr>
      </w:pPr>
    </w:p>
    <w:p w:rsidR="00B87469" w:rsidRPr="00B87469" w:rsidRDefault="00B87469" w:rsidP="00B87469">
      <w:pPr>
        <w:widowControl w:val="0"/>
        <w:spacing w:before="120" w:after="120" w:line="240" w:lineRule="auto"/>
        <w:ind w:left="426" w:hanging="142"/>
        <w:jc w:val="center"/>
        <w:rPr>
          <w:rFonts w:ascii="Times New Roman" w:eastAsia="Times New Roman" w:hAnsi="Times New Roman" w:cs="Times New Roman"/>
          <w:b/>
          <w:bCs/>
        </w:rPr>
      </w:pPr>
      <w:r w:rsidRPr="00B87469">
        <w:rPr>
          <w:rFonts w:ascii="Times New Roman" w:eastAsia="Times New Roman" w:hAnsi="Times New Roman" w:cs="Times New Roman"/>
          <w:b/>
          <w:bCs/>
        </w:rPr>
        <w:t>TANTÁRGYI PROGRAM</w:t>
      </w:r>
    </w:p>
    <w:p w:rsidR="00B87469" w:rsidRPr="00B87469" w:rsidRDefault="00B87469" w:rsidP="00980876">
      <w:pPr>
        <w:widowControl w:val="0"/>
        <w:numPr>
          <w:ilvl w:val="0"/>
          <w:numId w:val="163"/>
        </w:numPr>
        <w:spacing w:before="120" w:after="120" w:line="240" w:lineRule="auto"/>
        <w:ind w:left="426" w:hanging="142"/>
        <w:jc w:val="both"/>
        <w:rPr>
          <w:rFonts w:ascii="Times New Roman" w:eastAsia="Times New Roman" w:hAnsi="Times New Roman" w:cs="Times New Roman"/>
          <w:bCs/>
        </w:rPr>
      </w:pPr>
      <w:r w:rsidRPr="00B87469">
        <w:rPr>
          <w:rFonts w:ascii="Times New Roman" w:eastAsia="Times New Roman" w:hAnsi="Times New Roman" w:cs="Times New Roman"/>
          <w:b/>
          <w:bCs/>
        </w:rPr>
        <w:t xml:space="preserve">A tantárgy kódja: </w:t>
      </w:r>
      <w:r w:rsidRPr="00B87469">
        <w:rPr>
          <w:rFonts w:ascii="Times New Roman" w:hAnsi="Times New Roman" w:cs="Times New Roman"/>
          <w:bCs/>
        </w:rPr>
        <w:t>HKHPKA18</w:t>
      </w:r>
    </w:p>
    <w:p w:rsidR="00B87469" w:rsidRPr="00B87469" w:rsidRDefault="00B87469" w:rsidP="00980876">
      <w:pPr>
        <w:widowControl w:val="0"/>
        <w:numPr>
          <w:ilvl w:val="0"/>
          <w:numId w:val="163"/>
        </w:numPr>
        <w:spacing w:before="120" w:after="120" w:line="240" w:lineRule="auto"/>
        <w:ind w:left="426" w:hanging="142"/>
        <w:jc w:val="both"/>
        <w:rPr>
          <w:rFonts w:ascii="Times New Roman" w:eastAsia="Times New Roman" w:hAnsi="Times New Roman" w:cs="Times New Roman"/>
          <w:b/>
          <w:bCs/>
          <w:lang w:val="en-GB"/>
        </w:rPr>
      </w:pPr>
      <w:r w:rsidRPr="00B87469">
        <w:rPr>
          <w:rFonts w:ascii="Times New Roman" w:eastAsia="Times New Roman" w:hAnsi="Times New Roman" w:cs="Times New Roman"/>
          <w:b/>
          <w:bCs/>
        </w:rPr>
        <w:t>A tantárgy megnevezése (magyarul):</w:t>
      </w:r>
      <w:r w:rsidRPr="00B87469">
        <w:rPr>
          <w:rFonts w:ascii="Times New Roman" w:eastAsia="Times New Roman" w:hAnsi="Times New Roman" w:cs="Times New Roman"/>
          <w:bCs/>
        </w:rPr>
        <w:t xml:space="preserve"> </w:t>
      </w:r>
      <w:r w:rsidRPr="00B87469">
        <w:rPr>
          <w:rFonts w:ascii="Times New Roman" w:hAnsi="Times New Roman" w:cs="Times New Roman"/>
          <w:bCs/>
        </w:rPr>
        <w:t>Csapatgyakoroltatás 1.</w:t>
      </w:r>
    </w:p>
    <w:p w:rsidR="00B87469" w:rsidRPr="00B87469" w:rsidRDefault="00B87469" w:rsidP="00980876">
      <w:pPr>
        <w:widowControl w:val="0"/>
        <w:numPr>
          <w:ilvl w:val="0"/>
          <w:numId w:val="163"/>
        </w:numPr>
        <w:tabs>
          <w:tab w:val="num" w:pos="567"/>
        </w:tabs>
        <w:spacing w:before="120" w:after="120" w:line="240" w:lineRule="auto"/>
        <w:ind w:left="426" w:hanging="142"/>
        <w:jc w:val="both"/>
        <w:rPr>
          <w:rFonts w:ascii="Times New Roman" w:eastAsia="Times New Roman" w:hAnsi="Times New Roman" w:cs="Times New Roman"/>
          <w:b/>
          <w:bCs/>
          <w:lang w:val="en-GB"/>
        </w:rPr>
      </w:pPr>
      <w:r w:rsidRPr="00B87469">
        <w:rPr>
          <w:rFonts w:ascii="Times New Roman" w:eastAsia="Times New Roman" w:hAnsi="Times New Roman" w:cs="Times New Roman"/>
          <w:b/>
          <w:bCs/>
        </w:rPr>
        <w:t xml:space="preserve">A tantárgy megnevezése (angolul): </w:t>
      </w:r>
      <w:r w:rsidRPr="00B87469">
        <w:rPr>
          <w:rFonts w:ascii="Times New Roman" w:eastAsia="Times New Roman" w:hAnsi="Times New Roman" w:cs="Times New Roman"/>
          <w:bCs/>
        </w:rPr>
        <w:t>Unit Practice 1.</w:t>
      </w:r>
    </w:p>
    <w:p w:rsidR="00B87469" w:rsidRPr="00B87469" w:rsidRDefault="00B87469" w:rsidP="00980876">
      <w:pPr>
        <w:widowControl w:val="0"/>
        <w:numPr>
          <w:ilvl w:val="0"/>
          <w:numId w:val="163"/>
        </w:numPr>
        <w:tabs>
          <w:tab w:val="num" w:pos="567"/>
        </w:tabs>
        <w:spacing w:before="120" w:after="120" w:line="240" w:lineRule="auto"/>
        <w:ind w:left="426" w:hanging="142"/>
        <w:jc w:val="both"/>
        <w:rPr>
          <w:rFonts w:ascii="Times New Roman" w:eastAsia="Times New Roman" w:hAnsi="Times New Roman" w:cs="Times New Roman"/>
          <w:b/>
          <w:bCs/>
        </w:rPr>
      </w:pPr>
      <w:r w:rsidRPr="00B87469">
        <w:rPr>
          <w:rFonts w:ascii="Times New Roman" w:eastAsia="Times New Roman" w:hAnsi="Times New Roman" w:cs="Times New Roman"/>
          <w:b/>
          <w:bCs/>
        </w:rPr>
        <w:t xml:space="preserve">Kreditérték és képzési karakter: </w:t>
      </w:r>
    </w:p>
    <w:p w:rsidR="00B87469" w:rsidRPr="00B87469" w:rsidRDefault="00B87469" w:rsidP="00980876">
      <w:pPr>
        <w:pStyle w:val="Listaszerbekezds"/>
        <w:widowControl w:val="0"/>
        <w:numPr>
          <w:ilvl w:val="1"/>
          <w:numId w:val="163"/>
        </w:numPr>
        <w:spacing w:before="120" w:after="120" w:line="240" w:lineRule="auto"/>
        <w:ind w:left="993" w:hanging="426"/>
        <w:jc w:val="both"/>
        <w:rPr>
          <w:rFonts w:ascii="Times New Roman" w:eastAsia="Times New Roman" w:hAnsi="Times New Roman" w:cs="Times New Roman"/>
          <w:b/>
          <w:bCs/>
        </w:rPr>
      </w:pPr>
      <w:r w:rsidRPr="00B87469">
        <w:rPr>
          <w:rFonts w:ascii="Times New Roman" w:eastAsia="Times New Roman" w:hAnsi="Times New Roman" w:cs="Times New Roman"/>
          <w:bCs/>
        </w:rPr>
        <w:t>6 kredit</w:t>
      </w:r>
    </w:p>
    <w:p w:rsidR="00B87469" w:rsidRPr="00B87469" w:rsidRDefault="00B87469" w:rsidP="00980876">
      <w:pPr>
        <w:pStyle w:val="Listaszerbekezds"/>
        <w:widowControl w:val="0"/>
        <w:numPr>
          <w:ilvl w:val="1"/>
          <w:numId w:val="163"/>
        </w:numPr>
        <w:spacing w:before="120" w:after="120" w:line="240" w:lineRule="auto"/>
        <w:ind w:left="993" w:hanging="426"/>
        <w:jc w:val="both"/>
        <w:rPr>
          <w:rFonts w:ascii="Times New Roman" w:eastAsia="Times New Roman" w:hAnsi="Times New Roman" w:cs="Times New Roman"/>
          <w:b/>
          <w:bCs/>
        </w:rPr>
      </w:pPr>
      <w:r w:rsidRPr="00B87469">
        <w:rPr>
          <w:rFonts w:ascii="Times New Roman" w:eastAsia="Times New Roman" w:hAnsi="Times New Roman" w:cs="Times New Roman"/>
          <w:bCs/>
        </w:rPr>
        <w:t>a tantárgy elméleti vagy gyakorlati jellegének mértéke: 100</w:t>
      </w:r>
      <w:r w:rsidRPr="00B87469">
        <w:rPr>
          <w:rFonts w:ascii="Times New Roman" w:eastAsia="Times New Roman" w:hAnsi="Times New Roman" w:cs="Times New Roman"/>
          <w:b/>
          <w:bCs/>
        </w:rPr>
        <w:t xml:space="preserve"> </w:t>
      </w:r>
      <w:r w:rsidRPr="00B87469">
        <w:rPr>
          <w:rFonts w:ascii="Times New Roman" w:eastAsia="Times New Roman" w:hAnsi="Times New Roman" w:cs="Times New Roman"/>
          <w:bCs/>
        </w:rPr>
        <w:t>% gyakorlat, 0 % elmélet</w:t>
      </w:r>
    </w:p>
    <w:p w:rsidR="00B87469" w:rsidRPr="00B87469" w:rsidRDefault="00B87469" w:rsidP="00980876">
      <w:pPr>
        <w:widowControl w:val="0"/>
        <w:numPr>
          <w:ilvl w:val="0"/>
          <w:numId w:val="163"/>
        </w:numPr>
        <w:spacing w:before="120" w:after="120" w:line="240" w:lineRule="auto"/>
        <w:ind w:left="426" w:hanging="142"/>
        <w:jc w:val="both"/>
        <w:rPr>
          <w:rFonts w:ascii="Times New Roman" w:eastAsia="Times New Roman" w:hAnsi="Times New Roman" w:cs="Times New Roman"/>
          <w:bCs/>
        </w:rPr>
      </w:pPr>
      <w:r w:rsidRPr="00B87469">
        <w:rPr>
          <w:rFonts w:ascii="Times New Roman" w:eastAsia="Times New Roman" w:hAnsi="Times New Roman" w:cs="Times New Roman"/>
          <w:b/>
          <w:bCs/>
        </w:rPr>
        <w:t>A szak(ok), szakirányok/specializációk megnevezése (ahol oktatják):</w:t>
      </w:r>
      <w:r w:rsidRPr="00B87469">
        <w:rPr>
          <w:rFonts w:ascii="Times New Roman" w:eastAsia="Times New Roman" w:hAnsi="Times New Roman" w:cs="Times New Roman"/>
          <w:bCs/>
        </w:rPr>
        <w:t xml:space="preserve"> </w:t>
      </w:r>
      <w:r w:rsidRPr="00B87469">
        <w:rPr>
          <w:rFonts w:ascii="Times New Roman" w:hAnsi="Times New Roman" w:cs="Times New Roman"/>
          <w:bCs/>
        </w:rPr>
        <w:t>Katonai logisztika alapképzési szak</w:t>
      </w:r>
    </w:p>
    <w:p w:rsidR="00B87469" w:rsidRPr="00B87469" w:rsidRDefault="00B87469" w:rsidP="00980876">
      <w:pPr>
        <w:widowControl w:val="0"/>
        <w:numPr>
          <w:ilvl w:val="0"/>
          <w:numId w:val="163"/>
        </w:numPr>
        <w:tabs>
          <w:tab w:val="num" w:pos="567"/>
        </w:tabs>
        <w:spacing w:before="120" w:after="120" w:line="240" w:lineRule="auto"/>
        <w:ind w:left="426" w:hanging="142"/>
        <w:jc w:val="both"/>
        <w:rPr>
          <w:rFonts w:ascii="Times New Roman" w:eastAsia="Times New Roman" w:hAnsi="Times New Roman" w:cs="Times New Roman"/>
          <w:bCs/>
        </w:rPr>
      </w:pPr>
      <w:r w:rsidRPr="00B87469">
        <w:rPr>
          <w:rFonts w:ascii="Times New Roman" w:eastAsia="Times New Roman" w:hAnsi="Times New Roman" w:cs="Times New Roman"/>
          <w:b/>
          <w:bCs/>
        </w:rPr>
        <w:t xml:space="preserve">Az oktatásért felelős oktatási szervezeti egység megnevezése: </w:t>
      </w:r>
      <w:r w:rsidRPr="00B87469">
        <w:rPr>
          <w:rFonts w:ascii="Times New Roman" w:hAnsi="Times New Roman" w:cs="Times New Roman"/>
          <w:bCs/>
        </w:rPr>
        <w:t>NKE HHK Hadtáp, Pénzügyi és Katonai Közlekedési Tanszék</w:t>
      </w:r>
    </w:p>
    <w:p w:rsidR="00B87469" w:rsidRPr="00B87469" w:rsidRDefault="00B87469" w:rsidP="00980876">
      <w:pPr>
        <w:widowControl w:val="0"/>
        <w:numPr>
          <w:ilvl w:val="0"/>
          <w:numId w:val="163"/>
        </w:numPr>
        <w:tabs>
          <w:tab w:val="num" w:pos="567"/>
        </w:tabs>
        <w:spacing w:before="120" w:after="120" w:line="240" w:lineRule="auto"/>
        <w:ind w:left="426" w:hanging="142"/>
        <w:jc w:val="both"/>
        <w:rPr>
          <w:rFonts w:ascii="Times New Roman" w:eastAsia="Times New Roman" w:hAnsi="Times New Roman" w:cs="Times New Roman"/>
          <w:bCs/>
        </w:rPr>
      </w:pPr>
      <w:r w:rsidRPr="00B87469">
        <w:rPr>
          <w:rFonts w:ascii="Times New Roman" w:eastAsia="Times New Roman" w:hAnsi="Times New Roman" w:cs="Times New Roman"/>
          <w:b/>
          <w:bCs/>
        </w:rPr>
        <w:t>A tantárgyfelelős oktató neve, beosztása, tudományos fokozata:</w:t>
      </w:r>
      <w:r w:rsidRPr="00B87469">
        <w:rPr>
          <w:rFonts w:ascii="Times New Roman" w:eastAsia="Times New Roman" w:hAnsi="Times New Roman" w:cs="Times New Roman"/>
          <w:bCs/>
        </w:rPr>
        <w:t xml:space="preserve"> </w:t>
      </w:r>
      <w:r w:rsidRPr="00B87469">
        <w:rPr>
          <w:rFonts w:ascii="Times New Roman" w:hAnsi="Times New Roman" w:cs="Times New Roman"/>
          <w:bCs/>
        </w:rPr>
        <w:t>Szajkó Gyula, gyakorlati oktató</w:t>
      </w:r>
    </w:p>
    <w:p w:rsidR="00B87469" w:rsidRPr="00B87469" w:rsidRDefault="00B87469" w:rsidP="00980876">
      <w:pPr>
        <w:widowControl w:val="0"/>
        <w:numPr>
          <w:ilvl w:val="0"/>
          <w:numId w:val="163"/>
        </w:numPr>
        <w:spacing w:before="120" w:after="120" w:line="240" w:lineRule="auto"/>
        <w:ind w:left="426" w:hanging="142"/>
        <w:jc w:val="both"/>
        <w:rPr>
          <w:rFonts w:ascii="Times New Roman" w:eastAsia="Times New Roman" w:hAnsi="Times New Roman" w:cs="Times New Roman"/>
          <w:bCs/>
        </w:rPr>
      </w:pPr>
      <w:r w:rsidRPr="00B87469">
        <w:rPr>
          <w:rFonts w:ascii="Times New Roman" w:eastAsia="Times New Roman" w:hAnsi="Times New Roman" w:cs="Times New Roman"/>
          <w:b/>
          <w:bCs/>
        </w:rPr>
        <w:t>A tanórák száma és típusa</w:t>
      </w:r>
    </w:p>
    <w:p w:rsidR="00B87469" w:rsidRPr="00B87469" w:rsidRDefault="00B87469" w:rsidP="00980876">
      <w:pPr>
        <w:widowControl w:val="0"/>
        <w:numPr>
          <w:ilvl w:val="1"/>
          <w:numId w:val="163"/>
        </w:numPr>
        <w:tabs>
          <w:tab w:val="num" w:pos="709"/>
          <w:tab w:val="num" w:pos="2069"/>
        </w:tabs>
        <w:spacing w:before="120" w:after="120" w:line="240" w:lineRule="auto"/>
        <w:ind w:left="851" w:hanging="425"/>
        <w:jc w:val="both"/>
        <w:rPr>
          <w:rFonts w:ascii="Times New Roman" w:eastAsia="Times New Roman" w:hAnsi="Times New Roman" w:cs="Times New Roman"/>
          <w:bCs/>
        </w:rPr>
      </w:pPr>
      <w:r w:rsidRPr="00B87469">
        <w:rPr>
          <w:rFonts w:ascii="Times New Roman" w:eastAsia="Times New Roman" w:hAnsi="Times New Roman" w:cs="Times New Roman"/>
          <w:bCs/>
        </w:rPr>
        <w:t>össz óraszám/félév: 90</w:t>
      </w:r>
    </w:p>
    <w:p w:rsidR="00B87469" w:rsidRPr="00B87469" w:rsidRDefault="00B87469" w:rsidP="00980876">
      <w:pPr>
        <w:widowControl w:val="0"/>
        <w:numPr>
          <w:ilvl w:val="2"/>
          <w:numId w:val="163"/>
        </w:numPr>
        <w:tabs>
          <w:tab w:val="num" w:pos="709"/>
          <w:tab w:val="num" w:pos="1134"/>
        </w:tabs>
        <w:spacing w:before="120" w:after="120" w:line="240" w:lineRule="auto"/>
        <w:ind w:left="993" w:hanging="425"/>
        <w:jc w:val="both"/>
        <w:rPr>
          <w:rFonts w:ascii="Times New Roman" w:eastAsia="Times New Roman" w:hAnsi="Times New Roman" w:cs="Times New Roman"/>
          <w:bCs/>
        </w:rPr>
      </w:pPr>
      <w:r w:rsidRPr="00B87469">
        <w:rPr>
          <w:rFonts w:ascii="Times New Roman" w:eastAsia="Times New Roman" w:hAnsi="Times New Roman" w:cs="Times New Roman"/>
          <w:bCs/>
        </w:rPr>
        <w:t>nappali munkarend: (0 EA + 0 SZ + 90 GY)</w:t>
      </w:r>
    </w:p>
    <w:p w:rsidR="00B87469" w:rsidRPr="00B87469" w:rsidRDefault="00B87469" w:rsidP="00980876">
      <w:pPr>
        <w:widowControl w:val="0"/>
        <w:numPr>
          <w:ilvl w:val="2"/>
          <w:numId w:val="163"/>
        </w:numPr>
        <w:tabs>
          <w:tab w:val="num" w:pos="709"/>
          <w:tab w:val="num" w:pos="1134"/>
        </w:tabs>
        <w:spacing w:before="120" w:after="120" w:line="240" w:lineRule="auto"/>
        <w:ind w:left="993" w:hanging="425"/>
        <w:jc w:val="both"/>
        <w:rPr>
          <w:rFonts w:ascii="Times New Roman" w:eastAsia="Times New Roman" w:hAnsi="Times New Roman" w:cs="Times New Roman"/>
          <w:bCs/>
        </w:rPr>
      </w:pPr>
      <w:r w:rsidRPr="00B87469">
        <w:rPr>
          <w:rFonts w:ascii="Times New Roman" w:eastAsia="Times New Roman" w:hAnsi="Times New Roman" w:cs="Times New Roman"/>
          <w:bCs/>
        </w:rPr>
        <w:t>levelező munkarend: -</w:t>
      </w:r>
    </w:p>
    <w:p w:rsidR="00B87469" w:rsidRPr="00B87469" w:rsidRDefault="00B87469" w:rsidP="00980876">
      <w:pPr>
        <w:widowControl w:val="0"/>
        <w:numPr>
          <w:ilvl w:val="1"/>
          <w:numId w:val="163"/>
        </w:numPr>
        <w:tabs>
          <w:tab w:val="num" w:pos="709"/>
          <w:tab w:val="num" w:pos="2069"/>
        </w:tabs>
        <w:spacing w:before="120" w:after="120" w:line="240" w:lineRule="auto"/>
        <w:ind w:left="851" w:hanging="425"/>
        <w:jc w:val="both"/>
        <w:rPr>
          <w:rFonts w:ascii="Times New Roman" w:eastAsia="Times New Roman" w:hAnsi="Times New Roman" w:cs="Times New Roman"/>
          <w:bCs/>
        </w:rPr>
      </w:pPr>
      <w:r w:rsidRPr="00B87469">
        <w:rPr>
          <w:rFonts w:ascii="Times New Roman" w:eastAsia="Times New Roman" w:hAnsi="Times New Roman" w:cs="Times New Roman"/>
          <w:bCs/>
        </w:rPr>
        <w:t>heti óraszám - nappali munkarend: 3 hét egybefüggően tervezendő</w:t>
      </w:r>
    </w:p>
    <w:p w:rsidR="00B87469" w:rsidRPr="00B87469" w:rsidRDefault="00B87469" w:rsidP="00980876">
      <w:pPr>
        <w:widowControl w:val="0"/>
        <w:numPr>
          <w:ilvl w:val="1"/>
          <w:numId w:val="163"/>
        </w:numPr>
        <w:tabs>
          <w:tab w:val="num" w:pos="709"/>
          <w:tab w:val="num" w:pos="2069"/>
        </w:tabs>
        <w:spacing w:before="120" w:after="120" w:line="240" w:lineRule="auto"/>
        <w:ind w:left="851" w:hanging="425"/>
        <w:jc w:val="both"/>
        <w:rPr>
          <w:rFonts w:ascii="Times New Roman" w:eastAsia="Times New Roman" w:hAnsi="Times New Roman" w:cs="Times New Roman"/>
          <w:bCs/>
        </w:rPr>
      </w:pPr>
      <w:r w:rsidRPr="00B87469">
        <w:rPr>
          <w:rFonts w:ascii="Times New Roman" w:hAnsi="Times New Roman" w:cs="Times New Roman"/>
        </w:rPr>
        <w:t>Az ismeret átadásában alkalmazandó további sajátos módok, jellemzők:</w:t>
      </w:r>
      <w:r w:rsidRPr="00B87469">
        <w:rPr>
          <w:rFonts w:ascii="Times New Roman" w:hAnsi="Times New Roman" w:cs="Times New Roman"/>
          <w:i/>
        </w:rPr>
        <w:t xml:space="preserve"> A tananyag oktatása és elsajátítása a Magyar Honvédség kijelölt alakulatainál, valós körülmények között, az alakulatnál szolgáló csapattisztek bevonásával történik.</w:t>
      </w:r>
    </w:p>
    <w:p w:rsidR="00B87469" w:rsidRPr="00B87469" w:rsidRDefault="00B87469" w:rsidP="00980876">
      <w:pPr>
        <w:widowControl w:val="0"/>
        <w:numPr>
          <w:ilvl w:val="0"/>
          <w:numId w:val="163"/>
        </w:numPr>
        <w:spacing w:before="120" w:after="120" w:line="240" w:lineRule="auto"/>
        <w:ind w:left="426" w:hanging="142"/>
        <w:jc w:val="both"/>
        <w:rPr>
          <w:rFonts w:ascii="Times New Roman" w:eastAsia="Times New Roman" w:hAnsi="Times New Roman" w:cs="Times New Roman"/>
          <w:bCs/>
        </w:rPr>
      </w:pPr>
      <w:r w:rsidRPr="00B87469">
        <w:rPr>
          <w:rFonts w:ascii="Times New Roman" w:eastAsia="Times New Roman" w:hAnsi="Times New Roman" w:cs="Times New Roman"/>
          <w:b/>
          <w:bCs/>
        </w:rPr>
        <w:t>A tantárgy szakmai tartalma (magyarul):</w:t>
      </w:r>
      <w:r w:rsidRPr="00B87469">
        <w:rPr>
          <w:rFonts w:ascii="Times New Roman" w:eastAsia="Times New Roman" w:hAnsi="Times New Roman" w:cs="Times New Roman"/>
          <w:bCs/>
        </w:rPr>
        <w:t xml:space="preserve"> A lövészzászlóalj funkcionális logisztikai harcrendi elemeinek telepítése, szállítási, málházási feladatok végrehajtása, a települési körlet szemrevételezése, az alegységek elhelyezésének megtervezése és az őrzés-védelem megszervezése. Megismertetni a honvéd tisztjelöltekkel az MH logisztikai támogatási rendszerét, feladatait.</w:t>
      </w:r>
    </w:p>
    <w:p w:rsidR="00B87469" w:rsidRPr="00B87469" w:rsidRDefault="00B87469" w:rsidP="00B87469">
      <w:pPr>
        <w:widowControl w:val="0"/>
        <w:spacing w:before="120" w:after="120" w:line="240" w:lineRule="auto"/>
        <w:ind w:left="426"/>
        <w:jc w:val="both"/>
        <w:rPr>
          <w:rFonts w:ascii="Times New Roman" w:eastAsia="Times New Roman" w:hAnsi="Times New Roman" w:cs="Times New Roman"/>
          <w:bCs/>
          <w:lang w:val="en-GB"/>
        </w:rPr>
      </w:pPr>
      <w:r w:rsidRPr="00B87469">
        <w:rPr>
          <w:rFonts w:ascii="Times New Roman" w:eastAsia="Times New Roman" w:hAnsi="Times New Roman" w:cs="Times New Roman"/>
          <w:b/>
          <w:bCs/>
        </w:rPr>
        <w:t>A tantárgy szakmai tartalma (angolul) (</w:t>
      </w:r>
      <w:r w:rsidRPr="00B87469">
        <w:rPr>
          <w:rFonts w:ascii="Times New Roman" w:eastAsia="Times New Roman" w:hAnsi="Times New Roman" w:cs="Times New Roman"/>
          <w:b/>
          <w:bCs/>
          <w:lang w:val="en-US"/>
        </w:rPr>
        <w:t>Course description</w:t>
      </w:r>
      <w:r w:rsidRPr="00B87469">
        <w:rPr>
          <w:rFonts w:ascii="Times New Roman" w:eastAsia="Times New Roman" w:hAnsi="Times New Roman" w:cs="Times New Roman"/>
          <w:b/>
          <w:bCs/>
        </w:rPr>
        <w:t xml:space="preserve">): </w:t>
      </w:r>
      <w:r w:rsidRPr="00B87469">
        <w:rPr>
          <w:rFonts w:ascii="Times New Roman" w:eastAsia="Times New Roman" w:hAnsi="Times New Roman" w:cs="Times New Roman"/>
          <w:bCs/>
        </w:rPr>
        <w:t>Setting up of functional logistic support elements of the infantry battalion, carrying out transport tasks and those of loading impedimenta/equipment, survey of settling area, organization of setting the subunits and the safeguarding. Military cadets are familiarized with the system and tasks of the logistical support of the Hungarian Defence Forces.</w:t>
      </w:r>
    </w:p>
    <w:p w:rsidR="00B87469" w:rsidRPr="00B87469" w:rsidRDefault="00B87469" w:rsidP="00980876">
      <w:pPr>
        <w:pStyle w:val="Listaszerbekezds"/>
        <w:widowControl w:val="0"/>
        <w:numPr>
          <w:ilvl w:val="0"/>
          <w:numId w:val="163"/>
        </w:numPr>
        <w:spacing w:before="120" w:after="120" w:line="240" w:lineRule="auto"/>
        <w:ind w:left="426" w:hanging="142"/>
        <w:jc w:val="both"/>
        <w:rPr>
          <w:rFonts w:ascii="Times New Roman" w:eastAsia="Times New Roman" w:hAnsi="Times New Roman" w:cs="Times New Roman"/>
          <w:bCs/>
        </w:rPr>
      </w:pPr>
      <w:r w:rsidRPr="00B87469">
        <w:rPr>
          <w:rFonts w:ascii="Times New Roman" w:eastAsia="Times New Roman" w:hAnsi="Times New Roman" w:cs="Times New Roman"/>
          <w:b/>
          <w:bCs/>
        </w:rPr>
        <w:t>Elérendő kompetenciák (magyarul):</w:t>
      </w:r>
      <w:r w:rsidRPr="00B87469">
        <w:rPr>
          <w:rFonts w:ascii="Times New Roman" w:eastAsia="Times New Roman" w:hAnsi="Times New Roman" w:cs="Times New Roman"/>
          <w:bCs/>
        </w:rPr>
        <w:t xml:space="preserve"> </w:t>
      </w:r>
    </w:p>
    <w:p w:rsidR="00B87469" w:rsidRPr="00B87469" w:rsidRDefault="00B87469" w:rsidP="00B87469">
      <w:pPr>
        <w:widowControl w:val="0"/>
        <w:spacing w:after="0" w:line="240" w:lineRule="auto"/>
        <w:ind w:left="425"/>
        <w:jc w:val="both"/>
        <w:rPr>
          <w:rFonts w:ascii="Times New Roman" w:eastAsia="Times New Roman" w:hAnsi="Times New Roman" w:cs="Times New Roman"/>
          <w:bCs/>
        </w:rPr>
      </w:pPr>
      <w:r w:rsidRPr="00B87469">
        <w:rPr>
          <w:rFonts w:ascii="Times New Roman" w:eastAsia="Times New Roman" w:hAnsi="Times New Roman" w:cs="Times New Roman"/>
          <w:b/>
          <w:bCs/>
        </w:rPr>
        <w:t>Tudása:</w:t>
      </w:r>
    </w:p>
    <w:p w:rsidR="00B87469" w:rsidRPr="00B87469" w:rsidRDefault="00B87469" w:rsidP="00B87469">
      <w:pPr>
        <w:widowControl w:val="0"/>
        <w:spacing w:before="120" w:after="120" w:line="240" w:lineRule="auto"/>
        <w:ind w:left="992" w:hanging="357"/>
        <w:contextualSpacing/>
        <w:jc w:val="both"/>
        <w:rPr>
          <w:rFonts w:ascii="Times New Roman" w:eastAsia="Times New Roman" w:hAnsi="Times New Roman"/>
          <w:bCs/>
        </w:rPr>
      </w:pPr>
      <w:r w:rsidRPr="00B87469">
        <w:rPr>
          <w:rFonts w:ascii="Times New Roman" w:eastAsia="Times New Roman" w:hAnsi="Times New Roman"/>
          <w:bCs/>
        </w:rPr>
        <w:t>-</w:t>
      </w:r>
      <w:r w:rsidRPr="00B87469">
        <w:rPr>
          <w:rFonts w:ascii="Times New Roman" w:eastAsia="Times New Roman" w:hAnsi="Times New Roman"/>
          <w:bCs/>
        </w:rPr>
        <w:tab/>
        <w:t>Ismeri az összfegyvernemi harc megvívásával kapcsolatos alapismereteket, annak főbb jellemzőit, a harctámogatás, a harckiszolgáló támogatás, a haderőnemek, a fegyvernemek és szakcsapatok szervezeti felépítését, harceljárásait.</w:t>
      </w:r>
    </w:p>
    <w:p w:rsidR="00B87469" w:rsidRPr="00B87469" w:rsidRDefault="00B87469" w:rsidP="00B87469">
      <w:pPr>
        <w:widowControl w:val="0"/>
        <w:spacing w:before="120" w:after="120" w:line="240" w:lineRule="auto"/>
        <w:ind w:left="992" w:hanging="357"/>
        <w:contextualSpacing/>
        <w:jc w:val="both"/>
        <w:rPr>
          <w:rFonts w:ascii="Times New Roman" w:eastAsia="Times New Roman" w:hAnsi="Times New Roman"/>
          <w:bCs/>
        </w:rPr>
      </w:pPr>
      <w:r w:rsidRPr="00B87469">
        <w:rPr>
          <w:rFonts w:ascii="Times New Roman" w:eastAsia="Times New Roman" w:hAnsi="Times New Roman"/>
          <w:bCs/>
        </w:rPr>
        <w:t>-</w:t>
      </w:r>
      <w:r w:rsidRPr="00B87469">
        <w:rPr>
          <w:rFonts w:ascii="Times New Roman" w:eastAsia="Times New Roman" w:hAnsi="Times New Roman"/>
          <w:bCs/>
        </w:rPr>
        <w:tab/>
        <w:t>Rendelkezik alapvető vezetői ismeretekkel, tisztában van a vezetői kompetenciákkal és a beosztottak eredményes irányításához szükséges alapvető ismeretekkel, valamint a beosztottakat motiváló képességekkel.</w:t>
      </w:r>
    </w:p>
    <w:p w:rsidR="00B87469" w:rsidRPr="00B87469" w:rsidRDefault="00B87469" w:rsidP="00B87469">
      <w:pPr>
        <w:widowControl w:val="0"/>
        <w:spacing w:before="120" w:after="120" w:line="240" w:lineRule="auto"/>
        <w:ind w:left="992" w:hanging="357"/>
        <w:contextualSpacing/>
        <w:jc w:val="both"/>
        <w:rPr>
          <w:rFonts w:ascii="Times New Roman" w:eastAsia="Times New Roman" w:hAnsi="Times New Roman"/>
          <w:bCs/>
        </w:rPr>
      </w:pPr>
      <w:r w:rsidRPr="00B87469">
        <w:rPr>
          <w:rFonts w:ascii="Times New Roman" w:eastAsia="Times New Roman" w:hAnsi="Times New Roman"/>
          <w:bCs/>
        </w:rPr>
        <w:t>-</w:t>
      </w:r>
      <w:r w:rsidRPr="00B87469">
        <w:rPr>
          <w:rFonts w:ascii="Times New Roman" w:eastAsia="Times New Roman" w:hAnsi="Times New Roman"/>
          <w:bCs/>
        </w:rPr>
        <w:tab/>
        <w:t>Részletesen ismeri az általános logisztikai tevékenység egyes műveleteit, folyamatait.</w:t>
      </w:r>
    </w:p>
    <w:p w:rsidR="00B87469" w:rsidRPr="00B87469" w:rsidRDefault="00B87469" w:rsidP="00B87469">
      <w:pPr>
        <w:widowControl w:val="0"/>
        <w:spacing w:before="120" w:after="120" w:line="240" w:lineRule="auto"/>
        <w:ind w:left="992" w:hanging="357"/>
        <w:contextualSpacing/>
        <w:jc w:val="both"/>
        <w:rPr>
          <w:rFonts w:ascii="Times New Roman" w:eastAsia="Times New Roman" w:hAnsi="Times New Roman"/>
          <w:bCs/>
        </w:rPr>
      </w:pPr>
      <w:r w:rsidRPr="00B87469">
        <w:rPr>
          <w:rFonts w:ascii="Times New Roman" w:eastAsia="Times New Roman" w:hAnsi="Times New Roman"/>
          <w:bCs/>
        </w:rPr>
        <w:t>-</w:t>
      </w:r>
      <w:r w:rsidRPr="00B87469">
        <w:rPr>
          <w:rFonts w:ascii="Times New Roman" w:eastAsia="Times New Roman" w:hAnsi="Times New Roman"/>
          <w:bCs/>
        </w:rPr>
        <w:tab/>
        <w:t>Rendelkezik a logisztikai alegységek napi feladatainak ellátásához és kiképzéséhez szükséges szakmai és kiképzésmódszertani ismeretekkel.</w:t>
      </w:r>
    </w:p>
    <w:p w:rsidR="00B87469" w:rsidRPr="00B87469" w:rsidRDefault="00B87469" w:rsidP="00B87469">
      <w:pPr>
        <w:widowControl w:val="0"/>
        <w:spacing w:before="120" w:after="120" w:line="240" w:lineRule="auto"/>
        <w:ind w:left="992" w:hanging="357"/>
        <w:contextualSpacing/>
        <w:jc w:val="both"/>
        <w:rPr>
          <w:rFonts w:ascii="Times New Roman" w:eastAsia="Times New Roman" w:hAnsi="Times New Roman"/>
          <w:bCs/>
        </w:rPr>
      </w:pPr>
      <w:r w:rsidRPr="00B87469">
        <w:rPr>
          <w:rFonts w:ascii="Times New Roman" w:eastAsia="Times New Roman" w:hAnsi="Times New Roman"/>
          <w:bCs/>
        </w:rPr>
        <w:lastRenderedPageBreak/>
        <w:t>-</w:t>
      </w:r>
      <w:r w:rsidRPr="00B87469">
        <w:rPr>
          <w:rFonts w:ascii="Times New Roman" w:eastAsia="Times New Roman" w:hAnsi="Times New Roman"/>
          <w:bCs/>
        </w:rPr>
        <w:tab/>
        <w:t>Ismeri szakterülete technikai eszközeinek működését.</w:t>
      </w:r>
    </w:p>
    <w:p w:rsidR="00B87469" w:rsidRPr="00B87469" w:rsidRDefault="00B87469" w:rsidP="00B87469">
      <w:pPr>
        <w:widowControl w:val="0"/>
        <w:spacing w:before="120" w:after="0" w:line="240" w:lineRule="auto"/>
        <w:ind w:left="425"/>
        <w:jc w:val="both"/>
        <w:rPr>
          <w:rFonts w:ascii="Times New Roman" w:eastAsia="Times New Roman" w:hAnsi="Times New Roman" w:cs="Times New Roman"/>
          <w:bCs/>
        </w:rPr>
      </w:pPr>
      <w:r w:rsidRPr="00B87469">
        <w:rPr>
          <w:rFonts w:ascii="Times New Roman" w:eastAsia="Times New Roman" w:hAnsi="Times New Roman" w:cs="Times New Roman"/>
          <w:b/>
          <w:bCs/>
        </w:rPr>
        <w:t>Képességei:</w:t>
      </w:r>
      <w:r w:rsidRPr="00B87469">
        <w:rPr>
          <w:rFonts w:ascii="Times New Roman" w:eastAsia="Times New Roman" w:hAnsi="Times New Roman" w:cs="Times New Roman"/>
          <w:bCs/>
        </w:rPr>
        <w:t xml:space="preserve"> </w:t>
      </w:r>
    </w:p>
    <w:p w:rsidR="00B87469" w:rsidRPr="00B87469" w:rsidRDefault="00B87469" w:rsidP="00B87469">
      <w:pPr>
        <w:widowControl w:val="0"/>
        <w:spacing w:before="120" w:after="120" w:line="240" w:lineRule="auto"/>
        <w:ind w:left="992" w:hanging="357"/>
        <w:contextualSpacing/>
        <w:jc w:val="both"/>
        <w:rPr>
          <w:rFonts w:ascii="Times New Roman" w:eastAsia="Times New Roman" w:hAnsi="Times New Roman"/>
          <w:bCs/>
        </w:rPr>
      </w:pPr>
      <w:r w:rsidRPr="00B87469">
        <w:rPr>
          <w:rFonts w:ascii="Times New Roman" w:eastAsia="Times New Roman" w:hAnsi="Times New Roman"/>
          <w:bCs/>
        </w:rPr>
        <w:t>-</w:t>
      </w:r>
      <w:r w:rsidRPr="00B87469">
        <w:rPr>
          <w:rFonts w:ascii="Times New Roman" w:eastAsia="Times New Roman" w:hAnsi="Times New Roman"/>
          <w:bCs/>
        </w:rPr>
        <w:tab/>
        <w:t>Képes a szakmai terminológia magyarul és idegen nyelven történő alkalmazására.</w:t>
      </w:r>
    </w:p>
    <w:p w:rsidR="00B87469" w:rsidRPr="00B87469" w:rsidRDefault="00B87469" w:rsidP="00B87469">
      <w:pPr>
        <w:widowControl w:val="0"/>
        <w:spacing w:before="120" w:after="120" w:line="240" w:lineRule="auto"/>
        <w:ind w:left="992" w:hanging="357"/>
        <w:contextualSpacing/>
        <w:jc w:val="both"/>
        <w:rPr>
          <w:rFonts w:ascii="Times New Roman" w:eastAsia="Times New Roman" w:hAnsi="Times New Roman"/>
          <w:bCs/>
        </w:rPr>
      </w:pPr>
      <w:r w:rsidRPr="00B87469">
        <w:rPr>
          <w:rFonts w:ascii="Times New Roman" w:eastAsia="Times New Roman" w:hAnsi="Times New Roman"/>
          <w:bCs/>
        </w:rPr>
        <w:t>-</w:t>
      </w:r>
      <w:r w:rsidRPr="00B87469">
        <w:rPr>
          <w:rFonts w:ascii="Times New Roman" w:eastAsia="Times New Roman" w:hAnsi="Times New Roman"/>
          <w:bCs/>
        </w:rPr>
        <w:tab/>
        <w:t>Képes a munkaköréhez és feladataihoz kapcsolódó jogszabályi háttér értelmezésére és gyakorlati alkalmazására.</w:t>
      </w:r>
    </w:p>
    <w:p w:rsidR="00B87469" w:rsidRPr="00B87469" w:rsidRDefault="00B87469" w:rsidP="00B87469">
      <w:pPr>
        <w:widowControl w:val="0"/>
        <w:spacing w:before="120" w:after="120" w:line="240" w:lineRule="auto"/>
        <w:ind w:left="992" w:hanging="357"/>
        <w:contextualSpacing/>
        <w:jc w:val="both"/>
        <w:rPr>
          <w:rFonts w:ascii="Times New Roman" w:eastAsia="Times New Roman" w:hAnsi="Times New Roman"/>
          <w:bCs/>
        </w:rPr>
      </w:pPr>
      <w:r w:rsidRPr="00B87469">
        <w:rPr>
          <w:rFonts w:ascii="Times New Roman" w:eastAsia="Times New Roman" w:hAnsi="Times New Roman"/>
          <w:bCs/>
        </w:rPr>
        <w:t>-</w:t>
      </w:r>
      <w:r w:rsidRPr="00B87469">
        <w:rPr>
          <w:rFonts w:ascii="Times New Roman" w:eastAsia="Times New Roman" w:hAnsi="Times New Roman"/>
          <w:bCs/>
        </w:rPr>
        <w:tab/>
        <w:t>Képes beosztottjai általános katonai és szakmai vezetésére, munkájuk hatékony megszervezésére.</w:t>
      </w:r>
    </w:p>
    <w:p w:rsidR="00B87469" w:rsidRPr="00B87469" w:rsidRDefault="00B87469" w:rsidP="00B87469">
      <w:pPr>
        <w:widowControl w:val="0"/>
        <w:spacing w:before="120" w:after="120" w:line="240" w:lineRule="auto"/>
        <w:ind w:left="992" w:hanging="357"/>
        <w:contextualSpacing/>
        <w:jc w:val="both"/>
        <w:rPr>
          <w:rFonts w:ascii="Times New Roman" w:eastAsia="Times New Roman" w:hAnsi="Times New Roman"/>
          <w:bCs/>
        </w:rPr>
      </w:pPr>
      <w:r w:rsidRPr="00B87469">
        <w:rPr>
          <w:rFonts w:ascii="Times New Roman" w:eastAsia="Times New Roman" w:hAnsi="Times New Roman"/>
          <w:bCs/>
        </w:rPr>
        <w:t>-</w:t>
      </w:r>
      <w:r w:rsidRPr="00B87469">
        <w:rPr>
          <w:rFonts w:ascii="Times New Roman" w:eastAsia="Times New Roman" w:hAnsi="Times New Roman"/>
          <w:bCs/>
        </w:rPr>
        <w:tab/>
        <w:t>Képes beosztottjainak a szaktechnikai eszközök használatára történő kiképzését megszervezni és végrehajtani.</w:t>
      </w:r>
    </w:p>
    <w:p w:rsidR="00B87469" w:rsidRPr="00B87469" w:rsidRDefault="00B87469" w:rsidP="00B87469">
      <w:pPr>
        <w:widowControl w:val="0"/>
        <w:spacing w:before="120" w:after="0" w:line="240" w:lineRule="auto"/>
        <w:ind w:left="425"/>
        <w:jc w:val="both"/>
        <w:rPr>
          <w:rFonts w:ascii="Times New Roman" w:eastAsia="Times New Roman" w:hAnsi="Times New Roman" w:cs="Times New Roman"/>
          <w:bCs/>
        </w:rPr>
      </w:pPr>
      <w:r w:rsidRPr="00B87469">
        <w:rPr>
          <w:rFonts w:ascii="Times New Roman" w:eastAsia="Times New Roman" w:hAnsi="Times New Roman" w:cs="Times New Roman"/>
          <w:b/>
          <w:bCs/>
        </w:rPr>
        <w:t>Attitűdje:</w:t>
      </w:r>
      <w:r w:rsidRPr="00B87469">
        <w:rPr>
          <w:rFonts w:ascii="Times New Roman" w:eastAsia="Times New Roman" w:hAnsi="Times New Roman" w:cs="Times New Roman"/>
          <w:bCs/>
        </w:rPr>
        <w:t xml:space="preserve"> </w:t>
      </w:r>
    </w:p>
    <w:p w:rsidR="00B87469" w:rsidRPr="00B87469" w:rsidRDefault="00B87469" w:rsidP="00B87469">
      <w:pPr>
        <w:widowControl w:val="0"/>
        <w:spacing w:before="120" w:after="120" w:line="240" w:lineRule="auto"/>
        <w:ind w:left="992" w:hanging="357"/>
        <w:contextualSpacing/>
        <w:jc w:val="both"/>
        <w:rPr>
          <w:rFonts w:ascii="Times New Roman" w:eastAsia="Times New Roman" w:hAnsi="Times New Roman"/>
          <w:bCs/>
        </w:rPr>
      </w:pPr>
      <w:r w:rsidRPr="00B87469">
        <w:rPr>
          <w:rFonts w:ascii="Times New Roman" w:eastAsia="Times New Roman" w:hAnsi="Times New Roman"/>
          <w:bCs/>
        </w:rPr>
        <w:t>-</w:t>
      </w:r>
      <w:r w:rsidRPr="00B87469">
        <w:rPr>
          <w:rFonts w:ascii="Times New Roman" w:eastAsia="Times New Roman" w:hAnsi="Times New Roman"/>
          <w:bCs/>
        </w:rPr>
        <w:tab/>
        <w:t>Feladatai ellátása során együttműködési készség jellemzi, törekszik a beosztottak bevonására a döntési folyamatokba.</w:t>
      </w:r>
    </w:p>
    <w:p w:rsidR="00B87469" w:rsidRPr="00B87469" w:rsidRDefault="00B87469" w:rsidP="00B87469">
      <w:pPr>
        <w:widowControl w:val="0"/>
        <w:spacing w:before="120" w:after="120" w:line="240" w:lineRule="auto"/>
        <w:ind w:left="992" w:hanging="357"/>
        <w:contextualSpacing/>
        <w:jc w:val="both"/>
        <w:rPr>
          <w:rFonts w:ascii="Times New Roman" w:eastAsia="Times New Roman" w:hAnsi="Times New Roman"/>
          <w:bCs/>
        </w:rPr>
      </w:pPr>
      <w:r w:rsidRPr="00B87469">
        <w:rPr>
          <w:rFonts w:ascii="Times New Roman" w:eastAsia="Times New Roman" w:hAnsi="Times New Roman"/>
          <w:bCs/>
        </w:rPr>
        <w:t>-</w:t>
      </w:r>
      <w:r w:rsidRPr="00B87469">
        <w:rPr>
          <w:rFonts w:ascii="Times New Roman" w:eastAsia="Times New Roman" w:hAnsi="Times New Roman"/>
          <w:bCs/>
        </w:rPr>
        <w:tab/>
        <w:t>A szakmai feladatok ellátása során a rendszerszemlélet és jó szervezőkészség jellemzi.</w:t>
      </w:r>
    </w:p>
    <w:p w:rsidR="00B87469" w:rsidRPr="00B87469" w:rsidRDefault="00B87469" w:rsidP="00B87469">
      <w:pPr>
        <w:widowControl w:val="0"/>
        <w:spacing w:before="120" w:after="120" w:line="240" w:lineRule="auto"/>
        <w:ind w:left="992" w:hanging="357"/>
        <w:contextualSpacing/>
        <w:jc w:val="both"/>
        <w:rPr>
          <w:rFonts w:ascii="Times New Roman" w:eastAsia="Times New Roman" w:hAnsi="Times New Roman"/>
          <w:bCs/>
        </w:rPr>
      </w:pPr>
      <w:r w:rsidRPr="00B87469">
        <w:rPr>
          <w:rFonts w:ascii="Times New Roman" w:eastAsia="Times New Roman" w:hAnsi="Times New Roman"/>
          <w:bCs/>
        </w:rPr>
        <w:t>-</w:t>
      </w:r>
      <w:r w:rsidRPr="00B87469">
        <w:rPr>
          <w:rFonts w:ascii="Times New Roman" w:eastAsia="Times New Roman" w:hAnsi="Times New Roman"/>
          <w:bCs/>
        </w:rPr>
        <w:tab/>
        <w:t>Nyitott szakterülete új eredményei, innovációi iránt, törekszik azok megismerésére, megértésére és alkalmazására, elkötelezett önmaga folyamatos képzésére.</w:t>
      </w:r>
    </w:p>
    <w:p w:rsidR="00B87469" w:rsidRPr="00B87469" w:rsidRDefault="00B87469" w:rsidP="00B87469">
      <w:pPr>
        <w:widowControl w:val="0"/>
        <w:spacing w:before="120" w:after="120" w:line="240" w:lineRule="auto"/>
        <w:ind w:left="992" w:hanging="357"/>
        <w:contextualSpacing/>
        <w:jc w:val="both"/>
        <w:rPr>
          <w:rFonts w:ascii="Times New Roman" w:hAnsi="Times New Roman" w:cs="Times New Roman"/>
        </w:rPr>
      </w:pPr>
      <w:r w:rsidRPr="00B87469">
        <w:rPr>
          <w:rFonts w:ascii="Times New Roman" w:eastAsia="Times New Roman" w:hAnsi="Times New Roman"/>
          <w:bCs/>
        </w:rPr>
        <w:t>-</w:t>
      </w:r>
      <w:r w:rsidRPr="00B87469">
        <w:rPr>
          <w:rFonts w:ascii="Times New Roman" w:eastAsia="Times New Roman" w:hAnsi="Times New Roman"/>
          <w:bCs/>
        </w:rPr>
        <w:tab/>
        <w:t>Tevékenységét a hatékonyság központú szemlélet jellemzi.</w:t>
      </w:r>
    </w:p>
    <w:p w:rsidR="00B87469" w:rsidRPr="00B87469" w:rsidRDefault="00B87469" w:rsidP="00B87469">
      <w:pPr>
        <w:widowControl w:val="0"/>
        <w:spacing w:before="120" w:after="0" w:line="240" w:lineRule="auto"/>
        <w:ind w:left="425"/>
        <w:jc w:val="both"/>
        <w:rPr>
          <w:rFonts w:ascii="Times New Roman" w:eastAsia="Times New Roman" w:hAnsi="Times New Roman" w:cs="Times New Roman"/>
          <w:bCs/>
        </w:rPr>
      </w:pPr>
      <w:r w:rsidRPr="00B87469">
        <w:rPr>
          <w:rFonts w:ascii="Times New Roman" w:eastAsia="Times New Roman" w:hAnsi="Times New Roman" w:cs="Times New Roman"/>
          <w:b/>
          <w:bCs/>
        </w:rPr>
        <w:t>Autonómiája és felelőssége:</w:t>
      </w:r>
    </w:p>
    <w:p w:rsidR="00B87469" w:rsidRPr="00B87469" w:rsidRDefault="00B87469" w:rsidP="00B87469">
      <w:pPr>
        <w:widowControl w:val="0"/>
        <w:spacing w:before="120" w:after="120" w:line="240" w:lineRule="auto"/>
        <w:ind w:left="992" w:hanging="357"/>
        <w:contextualSpacing/>
        <w:jc w:val="both"/>
        <w:rPr>
          <w:rFonts w:ascii="Times New Roman" w:eastAsia="Times New Roman" w:hAnsi="Times New Roman"/>
          <w:bCs/>
        </w:rPr>
      </w:pPr>
      <w:r w:rsidRPr="00B87469">
        <w:rPr>
          <w:rFonts w:ascii="Times New Roman" w:eastAsia="Times New Roman" w:hAnsi="Times New Roman"/>
          <w:bCs/>
        </w:rPr>
        <w:t>-</w:t>
      </w:r>
      <w:r w:rsidRPr="00B87469">
        <w:rPr>
          <w:rFonts w:ascii="Times New Roman" w:eastAsia="Times New Roman" w:hAnsi="Times New Roman"/>
          <w:bCs/>
        </w:rPr>
        <w:tab/>
        <w:t>Az ellátási folyamatok végrehajtása során önállóan döntéseket hoz, azokat felelősséggel, a jogszabályi keretek figyelembevételével végrehajtja.</w:t>
      </w:r>
    </w:p>
    <w:p w:rsidR="00B87469" w:rsidRPr="00B87469" w:rsidRDefault="00B87469" w:rsidP="00B87469">
      <w:pPr>
        <w:widowControl w:val="0"/>
        <w:spacing w:before="120" w:after="120" w:line="240" w:lineRule="auto"/>
        <w:ind w:left="992" w:hanging="357"/>
        <w:contextualSpacing/>
        <w:jc w:val="both"/>
        <w:rPr>
          <w:rFonts w:ascii="Times New Roman" w:eastAsia="Times New Roman" w:hAnsi="Times New Roman"/>
          <w:bCs/>
        </w:rPr>
      </w:pPr>
      <w:r w:rsidRPr="00B87469">
        <w:rPr>
          <w:rFonts w:ascii="Times New Roman" w:eastAsia="Times New Roman" w:hAnsi="Times New Roman"/>
          <w:bCs/>
        </w:rPr>
        <w:t>-</w:t>
      </w:r>
      <w:r w:rsidRPr="00B87469">
        <w:rPr>
          <w:rFonts w:ascii="Times New Roman" w:eastAsia="Times New Roman" w:hAnsi="Times New Roman"/>
          <w:bCs/>
        </w:rPr>
        <w:tab/>
        <w:t>Felelősséget vállal szakbeosztottjaiért, valamint a rábízott szaktechnikai eszközökért és anyagokért.</w:t>
      </w:r>
    </w:p>
    <w:p w:rsidR="00B87469" w:rsidRPr="00B87469" w:rsidRDefault="00B87469" w:rsidP="00B87469">
      <w:pPr>
        <w:widowControl w:val="0"/>
        <w:spacing w:before="120" w:after="0" w:line="240" w:lineRule="auto"/>
        <w:ind w:left="425"/>
        <w:jc w:val="both"/>
        <w:rPr>
          <w:rFonts w:ascii="Times New Roman" w:eastAsia="Times New Roman" w:hAnsi="Times New Roman" w:cs="Times New Roman"/>
          <w:b/>
          <w:bCs/>
          <w:lang w:val="en-US"/>
        </w:rPr>
      </w:pPr>
      <w:r w:rsidRPr="00B87469">
        <w:rPr>
          <w:rFonts w:ascii="Times New Roman" w:eastAsia="Times New Roman" w:hAnsi="Times New Roman" w:cs="Times New Roman"/>
          <w:b/>
          <w:bCs/>
        </w:rPr>
        <w:t>Elérendő kompetenciák (angolul) (</w:t>
      </w:r>
      <w:r w:rsidRPr="00B87469">
        <w:rPr>
          <w:rFonts w:ascii="Times New Roman" w:eastAsia="Times New Roman" w:hAnsi="Times New Roman" w:cs="Times New Roman"/>
          <w:b/>
          <w:bCs/>
          <w:lang w:val="en-US"/>
        </w:rPr>
        <w:t xml:space="preserve">Competences – English): </w:t>
      </w:r>
    </w:p>
    <w:p w:rsidR="00B87469" w:rsidRPr="00B87469" w:rsidRDefault="00B87469" w:rsidP="00B87469">
      <w:pPr>
        <w:widowControl w:val="0"/>
        <w:spacing w:before="120" w:after="0" w:line="240" w:lineRule="auto"/>
        <w:ind w:left="425"/>
        <w:jc w:val="both"/>
        <w:rPr>
          <w:rFonts w:ascii="Times New Roman" w:eastAsia="Times New Roman" w:hAnsi="Times New Roman" w:cs="Times New Roman"/>
          <w:lang w:val="en-GB"/>
        </w:rPr>
      </w:pPr>
      <w:r w:rsidRPr="00B87469">
        <w:rPr>
          <w:rFonts w:ascii="Times New Roman" w:eastAsia="Times New Roman" w:hAnsi="Times New Roman" w:cs="Times New Roman"/>
          <w:b/>
          <w:lang w:val="en-GB"/>
        </w:rPr>
        <w:t>Knowledge</w:t>
      </w:r>
      <w:r w:rsidRPr="00B87469">
        <w:rPr>
          <w:rFonts w:ascii="Times New Roman" w:eastAsia="Times New Roman" w:hAnsi="Times New Roman" w:cs="Times New Roman"/>
          <w:lang w:val="en-GB"/>
        </w:rPr>
        <w:t xml:space="preserve">: </w:t>
      </w:r>
    </w:p>
    <w:p w:rsidR="00B87469" w:rsidRPr="00B87469" w:rsidRDefault="00B87469" w:rsidP="00B87469">
      <w:pPr>
        <w:widowControl w:val="0"/>
        <w:spacing w:before="120" w:after="120" w:line="240" w:lineRule="auto"/>
        <w:ind w:left="992" w:hanging="357"/>
        <w:contextualSpacing/>
        <w:jc w:val="both"/>
        <w:rPr>
          <w:rFonts w:ascii="Times New Roman" w:eastAsia="Times New Roman" w:hAnsi="Times New Roman"/>
          <w:bCs/>
        </w:rPr>
      </w:pPr>
      <w:r w:rsidRPr="00B87469">
        <w:rPr>
          <w:rFonts w:ascii="Times New Roman" w:eastAsia="Times New Roman" w:hAnsi="Times New Roman"/>
          <w:bCs/>
        </w:rPr>
        <w:t>-</w:t>
      </w:r>
      <w:r w:rsidRPr="00B87469">
        <w:rPr>
          <w:rFonts w:ascii="Times New Roman" w:eastAsia="Times New Roman" w:hAnsi="Times New Roman"/>
          <w:bCs/>
        </w:rPr>
        <w:tab/>
        <w:t>Knows the basic procedures and features of the battle carried out by combined arms, the combat service (CS) and combat service support (CSS) tasks, the battle procedures and organizational structures of the military services, branches and specific units.</w:t>
      </w:r>
    </w:p>
    <w:p w:rsidR="00B87469" w:rsidRPr="00B87469" w:rsidRDefault="00B87469" w:rsidP="00B87469">
      <w:pPr>
        <w:widowControl w:val="0"/>
        <w:spacing w:before="120" w:after="120" w:line="240" w:lineRule="auto"/>
        <w:ind w:left="992" w:hanging="357"/>
        <w:contextualSpacing/>
        <w:jc w:val="both"/>
        <w:rPr>
          <w:rFonts w:ascii="Times New Roman" w:eastAsia="Times New Roman" w:hAnsi="Times New Roman"/>
          <w:bCs/>
        </w:rPr>
      </w:pPr>
      <w:r w:rsidRPr="00B87469">
        <w:rPr>
          <w:rFonts w:ascii="Times New Roman" w:eastAsia="Times New Roman" w:hAnsi="Times New Roman"/>
          <w:bCs/>
        </w:rPr>
        <w:t>-</w:t>
      </w:r>
      <w:r w:rsidRPr="00B87469">
        <w:rPr>
          <w:rFonts w:ascii="Times New Roman" w:eastAsia="Times New Roman" w:hAnsi="Times New Roman"/>
          <w:bCs/>
        </w:rPr>
        <w:tab/>
        <w:t>Has and aware of the basic leadership skills, competences, the basic knowledge needed to effectively manage subordinates and also the abilities to motivate them.</w:t>
      </w:r>
    </w:p>
    <w:p w:rsidR="00B87469" w:rsidRPr="00B87469" w:rsidRDefault="00B87469" w:rsidP="00B87469">
      <w:pPr>
        <w:widowControl w:val="0"/>
        <w:spacing w:before="120" w:after="120" w:line="240" w:lineRule="auto"/>
        <w:ind w:left="992" w:hanging="357"/>
        <w:contextualSpacing/>
        <w:jc w:val="both"/>
        <w:rPr>
          <w:rFonts w:ascii="Times New Roman" w:eastAsia="Times New Roman" w:hAnsi="Times New Roman"/>
          <w:bCs/>
        </w:rPr>
      </w:pPr>
      <w:r w:rsidRPr="00B87469">
        <w:rPr>
          <w:rFonts w:ascii="Times New Roman" w:eastAsia="Times New Roman" w:hAnsi="Times New Roman"/>
          <w:bCs/>
        </w:rPr>
        <w:t>-</w:t>
      </w:r>
      <w:r w:rsidRPr="00B87469">
        <w:rPr>
          <w:rFonts w:ascii="Times New Roman" w:eastAsia="Times New Roman" w:hAnsi="Times New Roman"/>
          <w:bCs/>
        </w:rPr>
        <w:tab/>
        <w:t>Thoroughly familiar with the general logistic operations and processes.</w:t>
      </w:r>
    </w:p>
    <w:p w:rsidR="00B87469" w:rsidRPr="00B87469" w:rsidRDefault="00B87469" w:rsidP="00B87469">
      <w:pPr>
        <w:widowControl w:val="0"/>
        <w:spacing w:before="120" w:after="120" w:line="240" w:lineRule="auto"/>
        <w:ind w:left="992" w:hanging="357"/>
        <w:contextualSpacing/>
        <w:jc w:val="both"/>
        <w:rPr>
          <w:rFonts w:ascii="Times New Roman" w:eastAsia="Times New Roman" w:hAnsi="Times New Roman"/>
          <w:bCs/>
        </w:rPr>
      </w:pPr>
      <w:r w:rsidRPr="00B87469">
        <w:rPr>
          <w:rFonts w:ascii="Times New Roman" w:eastAsia="Times New Roman" w:hAnsi="Times New Roman"/>
          <w:bCs/>
        </w:rPr>
        <w:t>-</w:t>
      </w:r>
      <w:r w:rsidRPr="00B87469">
        <w:rPr>
          <w:rFonts w:ascii="Times New Roman" w:eastAsia="Times New Roman" w:hAnsi="Times New Roman"/>
          <w:bCs/>
        </w:rPr>
        <w:tab/>
        <w:t>Has the appropriate professional and training-methodological skills necessary to carry out and train the day-to-day tasks of logistic subunits.</w:t>
      </w:r>
    </w:p>
    <w:p w:rsidR="00B87469" w:rsidRPr="00B87469" w:rsidRDefault="00B87469" w:rsidP="00B87469">
      <w:pPr>
        <w:widowControl w:val="0"/>
        <w:spacing w:before="120" w:after="120" w:line="240" w:lineRule="auto"/>
        <w:ind w:left="992" w:hanging="357"/>
        <w:contextualSpacing/>
        <w:jc w:val="both"/>
        <w:rPr>
          <w:rFonts w:ascii="Times New Roman" w:eastAsia="Times New Roman" w:hAnsi="Times New Roman"/>
          <w:bCs/>
        </w:rPr>
      </w:pPr>
      <w:r w:rsidRPr="00B87469">
        <w:rPr>
          <w:rFonts w:ascii="Times New Roman" w:eastAsia="Times New Roman" w:hAnsi="Times New Roman"/>
          <w:bCs/>
        </w:rPr>
        <w:t>-</w:t>
      </w:r>
      <w:r w:rsidRPr="00B87469">
        <w:rPr>
          <w:rFonts w:ascii="Times New Roman" w:eastAsia="Times New Roman" w:hAnsi="Times New Roman"/>
          <w:bCs/>
        </w:rPr>
        <w:tab/>
        <w:t>Knows the funcionality of the special technical equipments used in his/her field.</w:t>
      </w:r>
    </w:p>
    <w:p w:rsidR="00B87469" w:rsidRPr="00B87469" w:rsidRDefault="00B87469" w:rsidP="00B87469">
      <w:pPr>
        <w:widowControl w:val="0"/>
        <w:spacing w:before="120" w:after="0" w:line="240" w:lineRule="auto"/>
        <w:ind w:left="425"/>
        <w:jc w:val="both"/>
        <w:rPr>
          <w:rFonts w:ascii="Times New Roman" w:eastAsia="Times New Roman" w:hAnsi="Times New Roman" w:cs="Times New Roman"/>
          <w:lang w:val="en-GB"/>
        </w:rPr>
      </w:pPr>
      <w:r w:rsidRPr="00B87469">
        <w:rPr>
          <w:rFonts w:ascii="Times New Roman" w:eastAsia="Times New Roman" w:hAnsi="Times New Roman" w:cs="Times New Roman"/>
          <w:b/>
          <w:lang w:val="en-GB"/>
        </w:rPr>
        <w:t>Capabilities</w:t>
      </w:r>
      <w:r w:rsidRPr="00B87469">
        <w:rPr>
          <w:rFonts w:ascii="Times New Roman" w:eastAsia="Times New Roman" w:hAnsi="Times New Roman" w:cs="Times New Roman"/>
          <w:lang w:val="en-GB"/>
        </w:rPr>
        <w:t xml:space="preserve">: </w:t>
      </w:r>
    </w:p>
    <w:p w:rsidR="00B87469" w:rsidRPr="00B87469" w:rsidRDefault="00B87469" w:rsidP="00B87469">
      <w:pPr>
        <w:widowControl w:val="0"/>
        <w:spacing w:before="120" w:after="120" w:line="240" w:lineRule="auto"/>
        <w:ind w:left="992" w:hanging="357"/>
        <w:contextualSpacing/>
        <w:jc w:val="both"/>
        <w:rPr>
          <w:rFonts w:ascii="Times New Roman" w:eastAsia="Times New Roman" w:hAnsi="Times New Roman"/>
          <w:bCs/>
        </w:rPr>
      </w:pPr>
      <w:r w:rsidRPr="00B87469">
        <w:rPr>
          <w:rFonts w:ascii="Times New Roman" w:eastAsia="Times New Roman" w:hAnsi="Times New Roman"/>
          <w:bCs/>
        </w:rPr>
        <w:t>-</w:t>
      </w:r>
      <w:r w:rsidRPr="00B87469">
        <w:rPr>
          <w:rFonts w:ascii="Times New Roman" w:eastAsia="Times New Roman" w:hAnsi="Times New Roman"/>
          <w:bCs/>
        </w:rPr>
        <w:tab/>
        <w:t>Capable of using the professional terminology in Hungarian and foreign languages.</w:t>
      </w:r>
    </w:p>
    <w:p w:rsidR="00B87469" w:rsidRPr="00B87469" w:rsidRDefault="00B87469" w:rsidP="00B87469">
      <w:pPr>
        <w:widowControl w:val="0"/>
        <w:spacing w:before="120" w:after="120" w:line="240" w:lineRule="auto"/>
        <w:ind w:left="992" w:hanging="357"/>
        <w:contextualSpacing/>
        <w:jc w:val="both"/>
        <w:rPr>
          <w:rFonts w:ascii="Times New Roman" w:eastAsia="Times New Roman" w:hAnsi="Times New Roman"/>
          <w:bCs/>
        </w:rPr>
      </w:pPr>
      <w:r w:rsidRPr="00B87469">
        <w:rPr>
          <w:rFonts w:ascii="Times New Roman" w:eastAsia="Times New Roman" w:hAnsi="Times New Roman"/>
          <w:bCs/>
        </w:rPr>
        <w:t>-</w:t>
      </w:r>
      <w:r w:rsidRPr="00B87469">
        <w:rPr>
          <w:rFonts w:ascii="Times New Roman" w:eastAsia="Times New Roman" w:hAnsi="Times New Roman"/>
          <w:bCs/>
        </w:rPr>
        <w:tab/>
        <w:t>Capable of interpreting and applying in practice the legal background related to his/her job and duties.</w:t>
      </w:r>
    </w:p>
    <w:p w:rsidR="00B87469" w:rsidRPr="00B87469" w:rsidRDefault="00B87469" w:rsidP="00B87469">
      <w:pPr>
        <w:widowControl w:val="0"/>
        <w:spacing w:before="120" w:after="120" w:line="240" w:lineRule="auto"/>
        <w:ind w:left="992" w:hanging="357"/>
        <w:contextualSpacing/>
        <w:jc w:val="both"/>
        <w:rPr>
          <w:rFonts w:ascii="Times New Roman" w:eastAsia="Times New Roman" w:hAnsi="Times New Roman"/>
          <w:bCs/>
        </w:rPr>
      </w:pPr>
      <w:r w:rsidRPr="00B87469">
        <w:rPr>
          <w:rFonts w:ascii="Times New Roman" w:eastAsia="Times New Roman" w:hAnsi="Times New Roman"/>
          <w:bCs/>
        </w:rPr>
        <w:t>-</w:t>
      </w:r>
      <w:r w:rsidRPr="00B87469">
        <w:rPr>
          <w:rFonts w:ascii="Times New Roman" w:eastAsia="Times New Roman" w:hAnsi="Times New Roman"/>
          <w:bCs/>
        </w:rPr>
        <w:tab/>
        <w:t>Capable of commanding his/her subordinates in the general military and professional field and organizing their work in effective way.</w:t>
      </w:r>
    </w:p>
    <w:p w:rsidR="00B87469" w:rsidRPr="00B87469" w:rsidRDefault="00B87469" w:rsidP="00B87469">
      <w:pPr>
        <w:widowControl w:val="0"/>
        <w:spacing w:before="120" w:after="120" w:line="240" w:lineRule="auto"/>
        <w:ind w:left="992" w:hanging="357"/>
        <w:contextualSpacing/>
        <w:jc w:val="both"/>
        <w:rPr>
          <w:rFonts w:ascii="Times New Roman" w:eastAsia="Times New Roman" w:hAnsi="Times New Roman"/>
          <w:bCs/>
        </w:rPr>
      </w:pPr>
      <w:r w:rsidRPr="00B87469">
        <w:rPr>
          <w:rFonts w:ascii="Times New Roman" w:eastAsia="Times New Roman" w:hAnsi="Times New Roman"/>
          <w:bCs/>
        </w:rPr>
        <w:t>-</w:t>
      </w:r>
      <w:r w:rsidRPr="00B87469">
        <w:rPr>
          <w:rFonts w:ascii="Times New Roman" w:eastAsia="Times New Roman" w:hAnsi="Times New Roman"/>
          <w:bCs/>
        </w:rPr>
        <w:tab/>
        <w:t>Capable of organizing and delivering training for his/her subordinates in the use of technical equipment.</w:t>
      </w:r>
    </w:p>
    <w:p w:rsidR="00B87469" w:rsidRPr="00B87469" w:rsidRDefault="00B87469" w:rsidP="00B874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425"/>
        <w:jc w:val="both"/>
        <w:rPr>
          <w:rFonts w:ascii="Times New Roman" w:eastAsia="Times New Roman" w:hAnsi="Times New Roman" w:cs="Times New Roman"/>
          <w:lang w:val="en-GB"/>
        </w:rPr>
      </w:pPr>
      <w:r w:rsidRPr="00B87469">
        <w:rPr>
          <w:rFonts w:ascii="Times New Roman" w:eastAsia="Times New Roman" w:hAnsi="Times New Roman" w:cs="Times New Roman"/>
          <w:b/>
          <w:lang w:val="en-GB"/>
        </w:rPr>
        <w:t>Attitude:</w:t>
      </w:r>
      <w:r w:rsidRPr="00B87469">
        <w:rPr>
          <w:rFonts w:ascii="Times New Roman" w:eastAsia="Times New Roman" w:hAnsi="Times New Roman" w:cs="Times New Roman"/>
          <w:lang w:val="en-GB"/>
        </w:rPr>
        <w:t xml:space="preserve"> </w:t>
      </w:r>
    </w:p>
    <w:p w:rsidR="00B87469" w:rsidRPr="00B87469" w:rsidRDefault="00B87469" w:rsidP="00B87469">
      <w:pPr>
        <w:widowControl w:val="0"/>
        <w:spacing w:before="120" w:after="120" w:line="240" w:lineRule="auto"/>
        <w:ind w:left="992" w:hanging="357"/>
        <w:contextualSpacing/>
        <w:jc w:val="both"/>
        <w:rPr>
          <w:rFonts w:ascii="Times New Roman" w:eastAsia="Times New Roman" w:hAnsi="Times New Roman"/>
          <w:bCs/>
        </w:rPr>
      </w:pPr>
      <w:r w:rsidRPr="00B87469">
        <w:rPr>
          <w:rFonts w:ascii="Times New Roman" w:eastAsia="Times New Roman" w:hAnsi="Times New Roman"/>
          <w:bCs/>
        </w:rPr>
        <w:t>-</w:t>
      </w:r>
      <w:r w:rsidRPr="00B87469">
        <w:rPr>
          <w:rFonts w:ascii="Times New Roman" w:eastAsia="Times New Roman" w:hAnsi="Times New Roman"/>
          <w:bCs/>
        </w:rPr>
        <w:tab/>
        <w:t>Performing his duties he is characterized by a willingness to cooperate with his/her subordinates, and strives to involve them in decision-making processes.</w:t>
      </w:r>
    </w:p>
    <w:p w:rsidR="00B87469" w:rsidRPr="00B87469" w:rsidRDefault="00B87469" w:rsidP="00B87469">
      <w:pPr>
        <w:widowControl w:val="0"/>
        <w:spacing w:before="120" w:after="120" w:line="240" w:lineRule="auto"/>
        <w:ind w:left="992" w:hanging="357"/>
        <w:contextualSpacing/>
        <w:jc w:val="both"/>
        <w:rPr>
          <w:rFonts w:ascii="Times New Roman" w:eastAsia="Times New Roman" w:hAnsi="Times New Roman"/>
          <w:bCs/>
        </w:rPr>
      </w:pPr>
      <w:r w:rsidRPr="00B87469">
        <w:rPr>
          <w:rFonts w:ascii="Times New Roman" w:eastAsia="Times New Roman" w:hAnsi="Times New Roman"/>
          <w:bCs/>
        </w:rPr>
        <w:t>-</w:t>
      </w:r>
      <w:r w:rsidRPr="00B87469">
        <w:rPr>
          <w:rFonts w:ascii="Times New Roman" w:eastAsia="Times New Roman" w:hAnsi="Times New Roman"/>
          <w:bCs/>
        </w:rPr>
        <w:tab/>
        <w:t>His/Her professional work is characterized by a systemic approach and good organizational skills.</w:t>
      </w:r>
    </w:p>
    <w:p w:rsidR="00B87469" w:rsidRPr="00B87469" w:rsidRDefault="00B87469" w:rsidP="00B87469">
      <w:pPr>
        <w:widowControl w:val="0"/>
        <w:spacing w:before="120" w:after="120" w:line="240" w:lineRule="auto"/>
        <w:ind w:left="992" w:hanging="357"/>
        <w:contextualSpacing/>
        <w:jc w:val="both"/>
        <w:rPr>
          <w:rFonts w:ascii="Times New Roman" w:eastAsia="Times New Roman" w:hAnsi="Times New Roman"/>
          <w:bCs/>
        </w:rPr>
      </w:pPr>
      <w:r w:rsidRPr="00B87469">
        <w:rPr>
          <w:rFonts w:ascii="Times New Roman" w:eastAsia="Times New Roman" w:hAnsi="Times New Roman"/>
          <w:bCs/>
        </w:rPr>
        <w:t>-</w:t>
      </w:r>
      <w:r w:rsidRPr="00B87469">
        <w:rPr>
          <w:rFonts w:ascii="Times New Roman" w:eastAsia="Times New Roman" w:hAnsi="Times New Roman"/>
          <w:bCs/>
        </w:rPr>
        <w:tab/>
        <w:t>In his/her specialization he/she is open to new achievements and innovations, strives to know, understand and apply them, and committed to continous self-education.</w:t>
      </w:r>
    </w:p>
    <w:p w:rsidR="00B87469" w:rsidRPr="00B87469" w:rsidRDefault="00B87469" w:rsidP="00B87469">
      <w:pPr>
        <w:widowControl w:val="0"/>
        <w:spacing w:before="120" w:after="120" w:line="240" w:lineRule="auto"/>
        <w:ind w:left="992" w:hanging="357"/>
        <w:contextualSpacing/>
        <w:jc w:val="both"/>
        <w:rPr>
          <w:rFonts w:ascii="Times New Roman" w:eastAsia="Times New Roman" w:hAnsi="Times New Roman"/>
          <w:bCs/>
        </w:rPr>
      </w:pPr>
      <w:r w:rsidRPr="00B87469">
        <w:rPr>
          <w:rFonts w:ascii="Times New Roman" w:eastAsia="Times New Roman" w:hAnsi="Times New Roman"/>
          <w:bCs/>
        </w:rPr>
        <w:t>-</w:t>
      </w:r>
      <w:r w:rsidRPr="00B87469">
        <w:rPr>
          <w:rFonts w:ascii="Times New Roman" w:eastAsia="Times New Roman" w:hAnsi="Times New Roman"/>
          <w:bCs/>
        </w:rPr>
        <w:tab/>
        <w:t>His/Her  working activities are characterized by an efficiency-oriented approach.</w:t>
      </w:r>
    </w:p>
    <w:p w:rsidR="00B87469" w:rsidRPr="00B87469" w:rsidRDefault="00B87469" w:rsidP="00B87469">
      <w:pPr>
        <w:widowControl w:val="0"/>
        <w:spacing w:before="120" w:after="0" w:line="240" w:lineRule="auto"/>
        <w:ind w:left="425"/>
        <w:jc w:val="both"/>
        <w:rPr>
          <w:rFonts w:ascii="Times New Roman" w:eastAsia="Times New Roman" w:hAnsi="Times New Roman" w:cs="Times New Roman"/>
          <w:bCs/>
        </w:rPr>
      </w:pPr>
      <w:r w:rsidRPr="00B87469">
        <w:rPr>
          <w:rFonts w:ascii="Times New Roman" w:eastAsia="Times New Roman" w:hAnsi="Times New Roman" w:cs="Times New Roman"/>
          <w:b/>
          <w:lang w:val="en-GB"/>
        </w:rPr>
        <w:t xml:space="preserve">Autonomy and responsibility: </w:t>
      </w:r>
    </w:p>
    <w:p w:rsidR="00B87469" w:rsidRPr="00B87469" w:rsidRDefault="00B87469" w:rsidP="00B87469">
      <w:pPr>
        <w:widowControl w:val="0"/>
        <w:spacing w:before="120" w:after="120" w:line="240" w:lineRule="auto"/>
        <w:ind w:left="992" w:hanging="357"/>
        <w:contextualSpacing/>
        <w:jc w:val="both"/>
        <w:rPr>
          <w:rFonts w:ascii="Times New Roman" w:eastAsia="Times New Roman" w:hAnsi="Times New Roman"/>
          <w:bCs/>
        </w:rPr>
      </w:pPr>
      <w:r w:rsidRPr="00B87469">
        <w:rPr>
          <w:rFonts w:ascii="Times New Roman" w:eastAsia="Times New Roman" w:hAnsi="Times New Roman"/>
          <w:bCs/>
        </w:rPr>
        <w:t>-</w:t>
      </w:r>
      <w:r w:rsidRPr="00B87469">
        <w:rPr>
          <w:rFonts w:ascii="Times New Roman" w:eastAsia="Times New Roman" w:hAnsi="Times New Roman"/>
          <w:bCs/>
        </w:rPr>
        <w:tab/>
        <w:t>He/She is able to make autonomous decisions in military management processes, and implement them with responsibility within the legal framework.</w:t>
      </w:r>
    </w:p>
    <w:p w:rsidR="00B87469" w:rsidRPr="00B87469" w:rsidRDefault="00B87469" w:rsidP="00B87469">
      <w:pPr>
        <w:widowControl w:val="0"/>
        <w:spacing w:before="120" w:after="120" w:line="240" w:lineRule="auto"/>
        <w:ind w:left="992" w:hanging="357"/>
        <w:contextualSpacing/>
        <w:jc w:val="both"/>
        <w:rPr>
          <w:rFonts w:ascii="Times New Roman" w:eastAsia="Times New Roman" w:hAnsi="Times New Roman" w:cs="Times New Roman"/>
          <w:bCs/>
          <w:lang w:val="en-US"/>
        </w:rPr>
      </w:pPr>
      <w:r w:rsidRPr="00B87469">
        <w:rPr>
          <w:rFonts w:ascii="Times New Roman" w:eastAsia="Times New Roman" w:hAnsi="Times New Roman"/>
          <w:bCs/>
        </w:rPr>
        <w:t>-</w:t>
      </w:r>
      <w:r w:rsidRPr="00B87469">
        <w:rPr>
          <w:rFonts w:ascii="Times New Roman" w:eastAsia="Times New Roman" w:hAnsi="Times New Roman"/>
          <w:bCs/>
        </w:rPr>
        <w:tab/>
        <w:t>He/She takes responsibility for the professional work of his/her subordinates and or the specialized technical equipment and materials entrusted to him/her.</w:t>
      </w:r>
    </w:p>
    <w:p w:rsidR="00B87469" w:rsidRPr="00B87469" w:rsidRDefault="00B87469" w:rsidP="00980876">
      <w:pPr>
        <w:widowControl w:val="0"/>
        <w:numPr>
          <w:ilvl w:val="0"/>
          <w:numId w:val="163"/>
        </w:numPr>
        <w:tabs>
          <w:tab w:val="num" w:pos="567"/>
        </w:tabs>
        <w:spacing w:before="120" w:after="120" w:line="240" w:lineRule="auto"/>
        <w:ind w:left="426" w:hanging="142"/>
        <w:jc w:val="both"/>
        <w:rPr>
          <w:rFonts w:ascii="Times New Roman" w:eastAsia="Times New Roman" w:hAnsi="Times New Roman" w:cs="Times New Roman"/>
          <w:bCs/>
        </w:rPr>
      </w:pPr>
      <w:r w:rsidRPr="00B87469">
        <w:rPr>
          <w:rFonts w:ascii="Times New Roman" w:eastAsia="Times New Roman" w:hAnsi="Times New Roman" w:cs="Times New Roman"/>
          <w:b/>
          <w:bCs/>
        </w:rPr>
        <w:t>Előtanulmányi követelmények:</w:t>
      </w:r>
      <w:r w:rsidRPr="00B87469">
        <w:rPr>
          <w:rFonts w:ascii="Times New Roman" w:eastAsia="Times New Roman" w:hAnsi="Times New Roman" w:cs="Times New Roman"/>
          <w:bCs/>
        </w:rPr>
        <w:t xml:space="preserve"> –</w:t>
      </w:r>
    </w:p>
    <w:p w:rsidR="00B87469" w:rsidRPr="00B87469" w:rsidRDefault="00B87469" w:rsidP="00980876">
      <w:pPr>
        <w:widowControl w:val="0"/>
        <w:numPr>
          <w:ilvl w:val="0"/>
          <w:numId w:val="163"/>
        </w:numPr>
        <w:spacing w:before="120" w:after="120" w:line="240" w:lineRule="auto"/>
        <w:ind w:left="426" w:hanging="142"/>
        <w:jc w:val="both"/>
        <w:rPr>
          <w:rFonts w:ascii="Times New Roman" w:eastAsia="Times New Roman" w:hAnsi="Times New Roman" w:cs="Times New Roman"/>
          <w:b/>
          <w:bCs/>
        </w:rPr>
      </w:pPr>
      <w:r w:rsidRPr="00B87469">
        <w:rPr>
          <w:rFonts w:ascii="Times New Roman" w:eastAsia="Times New Roman" w:hAnsi="Times New Roman" w:cs="Times New Roman"/>
          <w:b/>
          <w:bCs/>
        </w:rPr>
        <w:lastRenderedPageBreak/>
        <w:t>A tantárgy tananyagának leírása, tematika. Description of the subject, curriculum (magyarul, angolul - English):</w:t>
      </w:r>
    </w:p>
    <w:p w:rsidR="00B87469" w:rsidRPr="00B87469" w:rsidRDefault="00B87469" w:rsidP="00980876">
      <w:pPr>
        <w:widowControl w:val="0"/>
        <w:numPr>
          <w:ilvl w:val="1"/>
          <w:numId w:val="163"/>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B87469">
        <w:rPr>
          <w:rFonts w:ascii="Times New Roman" w:eastAsia="Times New Roman" w:hAnsi="Times New Roman" w:cs="Times New Roman"/>
          <w:kern w:val="2"/>
        </w:rPr>
        <w:t>A tantárgy a szakmai tartalomnak megfelelően, külön levezetési- és feladatterv alapján intézményen kívül valósul meg</w:t>
      </w:r>
      <w:r w:rsidRPr="00B87469">
        <w:rPr>
          <w:rFonts w:ascii="Times New Roman" w:eastAsia="Times New Roman" w:hAnsi="Times New Roman" w:cs="Times New Roman"/>
          <w:i/>
          <w:kern w:val="2"/>
        </w:rPr>
        <w:t>. (The course is delivered outside the institution in accordance with the professional content, based on a separate course and assignment plan.)</w:t>
      </w:r>
    </w:p>
    <w:p w:rsidR="00B87469" w:rsidRPr="00B87469" w:rsidRDefault="00B87469" w:rsidP="00980876">
      <w:pPr>
        <w:widowControl w:val="0"/>
        <w:numPr>
          <w:ilvl w:val="0"/>
          <w:numId w:val="163"/>
        </w:numPr>
        <w:tabs>
          <w:tab w:val="num" w:pos="360"/>
        </w:tabs>
        <w:spacing w:before="120" w:after="120" w:line="240" w:lineRule="auto"/>
        <w:ind w:left="426" w:hanging="142"/>
        <w:jc w:val="both"/>
        <w:rPr>
          <w:rFonts w:ascii="Times New Roman" w:eastAsia="Times New Roman" w:hAnsi="Times New Roman" w:cs="Times New Roman"/>
          <w:bCs/>
        </w:rPr>
      </w:pPr>
      <w:r w:rsidRPr="00B87469">
        <w:rPr>
          <w:rFonts w:ascii="Times New Roman" w:eastAsia="Times New Roman" w:hAnsi="Times New Roman" w:cs="Times New Roman"/>
          <w:b/>
          <w:bCs/>
        </w:rPr>
        <w:t xml:space="preserve">A tantárgy meghirdetésének gyakorisága/a tantervben történő félévi elhelyezkedése: </w:t>
      </w:r>
      <w:r w:rsidRPr="00B87469">
        <w:rPr>
          <w:rFonts w:ascii="Times New Roman" w:eastAsia="Times New Roman" w:hAnsi="Times New Roman" w:cs="Times New Roman"/>
          <w:bCs/>
        </w:rPr>
        <w:t>Minden tavaszi szemeszterben / 6. félév</w:t>
      </w:r>
    </w:p>
    <w:p w:rsidR="00B87469" w:rsidRPr="00B87469" w:rsidRDefault="00B87469" w:rsidP="00980876">
      <w:pPr>
        <w:widowControl w:val="0"/>
        <w:numPr>
          <w:ilvl w:val="0"/>
          <w:numId w:val="163"/>
        </w:numPr>
        <w:tabs>
          <w:tab w:val="num" w:pos="360"/>
        </w:tabs>
        <w:spacing w:before="120" w:after="120" w:line="240" w:lineRule="auto"/>
        <w:ind w:left="426" w:hanging="142"/>
        <w:jc w:val="both"/>
        <w:rPr>
          <w:rFonts w:ascii="Times New Roman" w:eastAsia="Times New Roman" w:hAnsi="Times New Roman" w:cs="Times New Roman"/>
          <w:bCs/>
        </w:rPr>
      </w:pPr>
      <w:r w:rsidRPr="00B87469">
        <w:rPr>
          <w:rFonts w:ascii="Times New Roman" w:eastAsia="Times New Roman" w:hAnsi="Times New Roman" w:cs="Times New Roman"/>
          <w:b/>
          <w:bCs/>
        </w:rPr>
        <w:t>A tanórákon való részvétel követelményei, az elfogadható hiányzások mértéke, a távolmaradás pótlásának lehetősége:</w:t>
      </w:r>
      <w:r w:rsidRPr="00B87469">
        <w:rPr>
          <w:rFonts w:ascii="Times New Roman" w:eastAsia="Times New Roman" w:hAnsi="Times New Roman" w:cs="Times New Roman"/>
          <w:bCs/>
        </w:rPr>
        <w:t xml:space="preserve"> A gyakorlaton való részvétel 100%-ban kötelező. Távolmaradás nem engedélyezett. A gyakorlat pótlására csak egy év múlva van lehetősége a hallgatónak.</w:t>
      </w:r>
    </w:p>
    <w:p w:rsidR="00B87469" w:rsidRPr="00B87469" w:rsidRDefault="00B87469" w:rsidP="00980876">
      <w:pPr>
        <w:widowControl w:val="0"/>
        <w:numPr>
          <w:ilvl w:val="0"/>
          <w:numId w:val="163"/>
        </w:numPr>
        <w:tabs>
          <w:tab w:val="num" w:pos="360"/>
        </w:tabs>
        <w:spacing w:before="120" w:after="120" w:line="240" w:lineRule="auto"/>
        <w:ind w:left="426" w:hanging="142"/>
        <w:jc w:val="both"/>
        <w:rPr>
          <w:rFonts w:ascii="Times New Roman" w:eastAsia="Times New Roman" w:hAnsi="Times New Roman" w:cs="Times New Roman"/>
          <w:bCs/>
        </w:rPr>
      </w:pPr>
      <w:r w:rsidRPr="00B87469">
        <w:rPr>
          <w:rFonts w:ascii="Times New Roman" w:eastAsia="Times New Roman" w:hAnsi="Times New Roman" w:cs="Times New Roman"/>
          <w:b/>
        </w:rPr>
        <w:t xml:space="preserve">Félévközi feladatok, ismeretek ellenőrzésének rendje: </w:t>
      </w:r>
      <w:r w:rsidRPr="00B87469">
        <w:rPr>
          <w:rFonts w:ascii="Times New Roman" w:eastAsia="Times New Roman" w:hAnsi="Times New Roman" w:cs="Times New Roman"/>
        </w:rPr>
        <w:t>A tanulmányi munka alapja a gyakorlaton való részvétel.</w:t>
      </w:r>
    </w:p>
    <w:p w:rsidR="00B87469" w:rsidRPr="00B87469" w:rsidRDefault="00B87469" w:rsidP="00980876">
      <w:pPr>
        <w:widowControl w:val="0"/>
        <w:numPr>
          <w:ilvl w:val="0"/>
          <w:numId w:val="163"/>
        </w:numPr>
        <w:spacing w:before="120" w:after="120" w:line="240" w:lineRule="auto"/>
        <w:ind w:left="426" w:hanging="142"/>
        <w:jc w:val="both"/>
        <w:rPr>
          <w:rFonts w:ascii="Times New Roman" w:eastAsia="Times New Roman" w:hAnsi="Times New Roman" w:cs="Times New Roman"/>
          <w:b/>
          <w:bCs/>
        </w:rPr>
      </w:pPr>
      <w:r w:rsidRPr="00B87469">
        <w:rPr>
          <w:rFonts w:ascii="Times New Roman" w:eastAsia="Times New Roman" w:hAnsi="Times New Roman" w:cs="Times New Roman"/>
          <w:b/>
          <w:bCs/>
        </w:rPr>
        <w:t xml:space="preserve">Az értékelés, az aláírás és a kreditek megszerzésének pontos feltételei: </w:t>
      </w:r>
    </w:p>
    <w:p w:rsidR="00B87469" w:rsidRPr="00B87469" w:rsidRDefault="00B87469" w:rsidP="00980876">
      <w:pPr>
        <w:widowControl w:val="0"/>
        <w:numPr>
          <w:ilvl w:val="1"/>
          <w:numId w:val="163"/>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B87469">
        <w:rPr>
          <w:rFonts w:ascii="Times New Roman" w:eastAsia="Times New Roman" w:hAnsi="Times New Roman" w:cs="Times New Roman"/>
          <w:b/>
        </w:rPr>
        <w:t xml:space="preserve">Az aláírás megszerzésének feltételei: </w:t>
      </w:r>
      <w:r w:rsidRPr="00B87469">
        <w:rPr>
          <w:rFonts w:ascii="Times New Roman" w:eastAsia="Times New Roman" w:hAnsi="Times New Roman" w:cs="Times New Roman"/>
        </w:rPr>
        <w:t>Az aláírás feltétele a gyakorlaton történő – 14. pontban meghatározott – részvétel.</w:t>
      </w:r>
    </w:p>
    <w:p w:rsidR="00B87469" w:rsidRPr="00B87469" w:rsidRDefault="00B87469" w:rsidP="00980876">
      <w:pPr>
        <w:widowControl w:val="0"/>
        <w:numPr>
          <w:ilvl w:val="1"/>
          <w:numId w:val="163"/>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B87469">
        <w:rPr>
          <w:rFonts w:ascii="Times New Roman" w:eastAsia="Times New Roman" w:hAnsi="Times New Roman" w:cs="Times New Roman"/>
          <w:b/>
        </w:rPr>
        <w:t xml:space="preserve">Az értékelés: </w:t>
      </w:r>
      <w:r w:rsidRPr="00B87469">
        <w:rPr>
          <w:rFonts w:ascii="Times New Roman" w:eastAsia="Times New Roman" w:hAnsi="Times New Roman" w:cs="Times New Roman"/>
        </w:rPr>
        <w:t>Az ötfokozatú gyakorlati jegy a gyakorlati tevékenységet értékelő által, a kiadott feladattervben megadott feladatok végrehajtásának függvényében, egyénileg kerül meghatározásra.</w:t>
      </w:r>
    </w:p>
    <w:p w:rsidR="00B87469" w:rsidRPr="00B87469" w:rsidRDefault="00B87469" w:rsidP="00980876">
      <w:pPr>
        <w:widowControl w:val="0"/>
        <w:numPr>
          <w:ilvl w:val="1"/>
          <w:numId w:val="163"/>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B87469">
        <w:rPr>
          <w:rFonts w:ascii="Times New Roman" w:eastAsia="Times New Roman" w:hAnsi="Times New Roman" w:cs="Times New Roman"/>
          <w:b/>
        </w:rPr>
        <w:t>A kreditek megszerzésének feltételei:</w:t>
      </w:r>
      <w:r w:rsidRPr="00B87469">
        <w:rPr>
          <w:rFonts w:ascii="Times New Roman" w:eastAsia="Times New Roman" w:hAnsi="Times New Roman" w:cs="Times New Roman"/>
        </w:rPr>
        <w:t xml:space="preserve"> A kreditek megszerzésének feltétele az aláírás megszerzése és a legalább elégséges gyakorlati jegy.</w:t>
      </w:r>
    </w:p>
    <w:p w:rsidR="00B87469" w:rsidRPr="00B87469" w:rsidRDefault="00B87469" w:rsidP="00980876">
      <w:pPr>
        <w:widowControl w:val="0"/>
        <w:numPr>
          <w:ilvl w:val="0"/>
          <w:numId w:val="163"/>
        </w:numPr>
        <w:tabs>
          <w:tab w:val="num" w:pos="360"/>
        </w:tabs>
        <w:spacing w:before="120" w:after="120" w:line="240" w:lineRule="auto"/>
        <w:ind w:left="426" w:hanging="142"/>
        <w:jc w:val="both"/>
        <w:rPr>
          <w:rFonts w:ascii="Times New Roman" w:eastAsia="Times New Roman" w:hAnsi="Times New Roman" w:cs="Times New Roman"/>
          <w:bCs/>
        </w:rPr>
      </w:pPr>
      <w:r w:rsidRPr="00B87469">
        <w:rPr>
          <w:rFonts w:ascii="Times New Roman" w:eastAsia="Times New Roman" w:hAnsi="Times New Roman" w:cs="Times New Roman"/>
          <w:b/>
          <w:bCs/>
        </w:rPr>
        <w:t>Irodalomjegyzék:</w:t>
      </w:r>
    </w:p>
    <w:p w:rsidR="00B87469" w:rsidRPr="00B87469" w:rsidRDefault="00B87469" w:rsidP="00980876">
      <w:pPr>
        <w:widowControl w:val="0"/>
        <w:numPr>
          <w:ilvl w:val="1"/>
          <w:numId w:val="163"/>
        </w:numPr>
        <w:tabs>
          <w:tab w:val="left" w:pos="567"/>
          <w:tab w:val="left" w:pos="851"/>
          <w:tab w:val="num" w:pos="2069"/>
        </w:tabs>
        <w:spacing w:before="120" w:after="120" w:line="240" w:lineRule="auto"/>
        <w:ind w:left="426" w:hanging="142"/>
        <w:jc w:val="both"/>
        <w:rPr>
          <w:rFonts w:ascii="Times New Roman" w:eastAsia="Times New Roman" w:hAnsi="Times New Roman" w:cs="Times New Roman"/>
          <w:bCs/>
        </w:rPr>
      </w:pPr>
      <w:r w:rsidRPr="00B87469">
        <w:rPr>
          <w:rFonts w:ascii="Times New Roman" w:eastAsia="Times New Roman" w:hAnsi="Times New Roman" w:cs="Times New Roman"/>
          <w:b/>
          <w:bCs/>
        </w:rPr>
        <w:t>Kötelező irodalom:</w:t>
      </w:r>
    </w:p>
    <w:p w:rsidR="00A065A5" w:rsidRDefault="00A065A5" w:rsidP="00980876">
      <w:pPr>
        <w:widowControl w:val="0"/>
        <w:numPr>
          <w:ilvl w:val="0"/>
          <w:numId w:val="164"/>
        </w:numPr>
        <w:spacing w:after="0" w:line="240" w:lineRule="auto"/>
        <w:jc w:val="both"/>
        <w:rPr>
          <w:rFonts w:ascii="Times New Roman" w:eastAsia="Times New Roman" w:hAnsi="Times New Roman" w:cs="Times New Roman"/>
        </w:rPr>
      </w:pPr>
      <w:r w:rsidRPr="00B87469">
        <w:rPr>
          <w:rFonts w:ascii="Times New Roman" w:eastAsia="Times New Roman" w:hAnsi="Times New Roman" w:cs="Times New Roman"/>
        </w:rPr>
        <w:t>Módszertani segédlet a logisztikai katonák és alegységek kiképzésére: A Magyar Honvédség Kiképzési és Doktrinális Központ Kiadványa, 2015. (Nyt. szám: Log-224/118)</w:t>
      </w:r>
      <w:r w:rsidRPr="00A065A5">
        <w:rPr>
          <w:rFonts w:ascii="Times New Roman" w:eastAsia="Times New Roman" w:hAnsi="Times New Roman" w:cs="Times New Roman"/>
        </w:rPr>
        <w:t xml:space="preserve"> </w:t>
      </w:r>
    </w:p>
    <w:p w:rsidR="00B87469" w:rsidRPr="00B87469" w:rsidRDefault="00B87469" w:rsidP="00980876">
      <w:pPr>
        <w:widowControl w:val="0"/>
        <w:numPr>
          <w:ilvl w:val="0"/>
          <w:numId w:val="164"/>
        </w:numPr>
        <w:spacing w:after="0" w:line="240" w:lineRule="auto"/>
        <w:jc w:val="both"/>
        <w:rPr>
          <w:rFonts w:ascii="Times New Roman" w:eastAsia="Times New Roman" w:hAnsi="Times New Roman" w:cs="Times New Roman"/>
        </w:rPr>
      </w:pPr>
      <w:r w:rsidRPr="00B87469">
        <w:rPr>
          <w:rFonts w:ascii="Times New Roman" w:hAnsi="Times New Roman" w:cs="Times New Roman"/>
        </w:rPr>
        <w:t>A specializációfelelős és a szakmai elöljáró által kidolgozott</w:t>
      </w:r>
      <w:r w:rsidR="00A065A5">
        <w:rPr>
          <w:rFonts w:ascii="Times New Roman" w:hAnsi="Times New Roman" w:cs="Times New Roman"/>
        </w:rPr>
        <w:t xml:space="preserve">, a gyakorlat végrehajtására vonatkozó </w:t>
      </w:r>
      <w:r w:rsidRPr="00B87469">
        <w:rPr>
          <w:rFonts w:ascii="Times New Roman" w:hAnsi="Times New Roman" w:cs="Times New Roman"/>
        </w:rPr>
        <w:t>feladatterv.</w:t>
      </w:r>
    </w:p>
    <w:p w:rsidR="00B87469" w:rsidRPr="00B87469" w:rsidRDefault="00B87469" w:rsidP="00980876">
      <w:pPr>
        <w:widowControl w:val="0"/>
        <w:numPr>
          <w:ilvl w:val="1"/>
          <w:numId w:val="163"/>
        </w:numPr>
        <w:tabs>
          <w:tab w:val="num" w:pos="567"/>
          <w:tab w:val="num" w:pos="2069"/>
        </w:tabs>
        <w:spacing w:before="120" w:after="120" w:line="240" w:lineRule="auto"/>
        <w:ind w:left="993" w:hanging="709"/>
        <w:jc w:val="both"/>
        <w:rPr>
          <w:rFonts w:ascii="Times New Roman" w:eastAsia="Times New Roman" w:hAnsi="Times New Roman" w:cs="Times New Roman"/>
          <w:b/>
          <w:bCs/>
        </w:rPr>
      </w:pPr>
      <w:r w:rsidRPr="00B87469">
        <w:rPr>
          <w:rFonts w:ascii="Times New Roman" w:eastAsia="Times New Roman" w:hAnsi="Times New Roman" w:cs="Times New Roman"/>
          <w:b/>
          <w:bCs/>
        </w:rPr>
        <w:t>Ajánlott irodalom:</w:t>
      </w:r>
    </w:p>
    <w:p w:rsidR="00B87469" w:rsidRPr="00A065A5" w:rsidRDefault="00B87469" w:rsidP="00980876">
      <w:pPr>
        <w:widowControl w:val="0"/>
        <w:numPr>
          <w:ilvl w:val="0"/>
          <w:numId w:val="165"/>
        </w:numPr>
        <w:spacing w:after="0" w:line="240" w:lineRule="auto"/>
        <w:jc w:val="both"/>
        <w:rPr>
          <w:rFonts w:ascii="Times New Roman" w:eastAsia="Times New Roman" w:hAnsi="Times New Roman" w:cs="Times New Roman"/>
        </w:rPr>
      </w:pPr>
      <w:r w:rsidRPr="00A065A5">
        <w:rPr>
          <w:rFonts w:ascii="Times New Roman" w:eastAsia="Times New Roman" w:hAnsi="Times New Roman" w:cs="Times New Roman"/>
        </w:rPr>
        <w:t xml:space="preserve">APP-6 A földi telepítésű katonai rendszerek grafikai jelei </w:t>
      </w:r>
    </w:p>
    <w:p w:rsidR="00B87469" w:rsidRPr="00A065A5" w:rsidRDefault="00B87469" w:rsidP="00980876">
      <w:pPr>
        <w:widowControl w:val="0"/>
        <w:numPr>
          <w:ilvl w:val="0"/>
          <w:numId w:val="165"/>
        </w:numPr>
        <w:spacing w:after="0" w:line="240" w:lineRule="auto"/>
        <w:jc w:val="both"/>
        <w:rPr>
          <w:rFonts w:ascii="Times New Roman" w:eastAsia="Times New Roman" w:hAnsi="Times New Roman" w:cs="Times New Roman"/>
        </w:rPr>
      </w:pPr>
      <w:r w:rsidRPr="00A065A5">
        <w:rPr>
          <w:rFonts w:ascii="Times New Roman" w:eastAsia="Times New Roman" w:hAnsi="Times New Roman" w:cs="Times New Roman"/>
        </w:rPr>
        <w:t>Kiképzési normák a hadtápkatonák és hadtápalegységek részére: Magyar Honvédség</w:t>
      </w:r>
      <w:r w:rsidR="00A065A5">
        <w:rPr>
          <w:rFonts w:ascii="Times New Roman" w:eastAsia="Times New Roman" w:hAnsi="Times New Roman" w:cs="Times New Roman"/>
        </w:rPr>
        <w:t xml:space="preserve">, </w:t>
      </w:r>
      <w:r w:rsidRPr="00A065A5">
        <w:rPr>
          <w:rFonts w:ascii="Times New Roman" w:eastAsia="Times New Roman" w:hAnsi="Times New Roman" w:cs="Times New Roman"/>
        </w:rPr>
        <w:t>Kiképzési és Doktrinális Központ Kiadványa, 2015. (Nyt. szám: Log-224/119)</w:t>
      </w:r>
    </w:p>
    <w:p w:rsidR="00B87469" w:rsidRPr="00B87469" w:rsidRDefault="00B87469" w:rsidP="00980876">
      <w:pPr>
        <w:widowControl w:val="0"/>
        <w:numPr>
          <w:ilvl w:val="0"/>
          <w:numId w:val="165"/>
        </w:numPr>
        <w:spacing w:after="0" w:line="240" w:lineRule="auto"/>
        <w:jc w:val="both"/>
        <w:rPr>
          <w:rFonts w:ascii="Times New Roman" w:eastAsia="Times New Roman" w:hAnsi="Times New Roman" w:cs="Times New Roman"/>
        </w:rPr>
      </w:pPr>
      <w:r w:rsidRPr="00B87469">
        <w:rPr>
          <w:rFonts w:ascii="Times New Roman" w:eastAsia="Times New Roman" w:hAnsi="Times New Roman" w:cs="Times New Roman"/>
        </w:rPr>
        <w:t>Kiképzési program az MH logisztikai legénységi állományú katonák és alegységek részére: A Magyar Honvédség Kiképzési és Doktrinális Központ Kiadványa, 2015. (Nyt. szám: Log-224/122)</w:t>
      </w:r>
    </w:p>
    <w:p w:rsidR="00B87469" w:rsidRPr="00B87469" w:rsidRDefault="00B87469" w:rsidP="00B87469">
      <w:pPr>
        <w:widowControl w:val="0"/>
        <w:spacing w:before="120" w:after="120" w:line="240" w:lineRule="auto"/>
        <w:jc w:val="both"/>
        <w:rPr>
          <w:rFonts w:ascii="Times New Roman" w:eastAsia="Times New Roman" w:hAnsi="Times New Roman" w:cs="Times New Roman"/>
          <w:bCs/>
        </w:rPr>
      </w:pPr>
    </w:p>
    <w:p w:rsidR="00B87469" w:rsidRPr="00B87469" w:rsidRDefault="00B87469" w:rsidP="00B87469">
      <w:pPr>
        <w:widowControl w:val="0"/>
        <w:spacing w:before="120" w:after="120" w:line="240" w:lineRule="auto"/>
        <w:jc w:val="both"/>
        <w:rPr>
          <w:rFonts w:ascii="Times New Roman" w:eastAsia="Times New Roman" w:hAnsi="Times New Roman" w:cs="Times New Roman"/>
          <w:bCs/>
        </w:rPr>
      </w:pPr>
      <w:r w:rsidRPr="00B87469">
        <w:rPr>
          <w:rFonts w:ascii="Times New Roman" w:eastAsia="Times New Roman" w:hAnsi="Times New Roman" w:cs="Times New Roman"/>
          <w:bCs/>
        </w:rPr>
        <w:t>Budapest, 2020. január 18.</w:t>
      </w:r>
    </w:p>
    <w:p w:rsidR="00B87469" w:rsidRPr="00B87469" w:rsidRDefault="00B87469" w:rsidP="00B87469">
      <w:pPr>
        <w:widowControl w:val="0"/>
        <w:spacing w:after="0" w:line="240" w:lineRule="auto"/>
        <w:ind w:left="7080"/>
        <w:jc w:val="center"/>
        <w:rPr>
          <w:rFonts w:ascii="Times New Roman" w:hAnsi="Times New Roman" w:cs="Times New Roman"/>
          <w:b/>
          <w:bCs/>
        </w:rPr>
      </w:pPr>
      <w:r w:rsidRPr="00B87469">
        <w:rPr>
          <w:rFonts w:ascii="Times New Roman" w:hAnsi="Times New Roman" w:cs="Times New Roman"/>
          <w:b/>
          <w:bCs/>
        </w:rPr>
        <w:t>Szajkó Gyula</w:t>
      </w:r>
    </w:p>
    <w:p w:rsidR="00B87469" w:rsidRPr="00B87469" w:rsidRDefault="00B87469" w:rsidP="00B87469">
      <w:pPr>
        <w:widowControl w:val="0"/>
        <w:spacing w:after="0" w:line="240" w:lineRule="auto"/>
        <w:ind w:left="7080"/>
        <w:jc w:val="both"/>
        <w:rPr>
          <w:rFonts w:ascii="Times New Roman" w:eastAsia="Times New Roman" w:hAnsi="Times New Roman" w:cs="Times New Roman"/>
          <w:bCs/>
        </w:rPr>
      </w:pPr>
      <w:r w:rsidRPr="00B87469">
        <w:rPr>
          <w:rFonts w:ascii="Times New Roman" w:hAnsi="Times New Roman" w:cs="Times New Roman"/>
          <w:bCs/>
        </w:rPr>
        <w:t xml:space="preserve">  gyakorlati oktató s.k.</w:t>
      </w:r>
    </w:p>
    <w:p w:rsidR="00584D88" w:rsidRDefault="00584D88">
      <w:pPr>
        <w:spacing w:after="200" w:line="276" w:lineRule="auto"/>
        <w:rPr>
          <w:rFonts w:ascii="Times New Roman" w:hAnsi="Times New Roman" w:cs="Times New Roman"/>
          <w:sz w:val="24"/>
        </w:rPr>
      </w:pPr>
    </w:p>
    <w:p w:rsidR="00B87469" w:rsidRDefault="00B87469">
      <w:pPr>
        <w:spacing w:after="200" w:line="276" w:lineRule="auto"/>
        <w:rPr>
          <w:rFonts w:ascii="Times New Roman" w:hAnsi="Times New Roman" w:cs="Times New Roman"/>
          <w:sz w:val="24"/>
        </w:rPr>
      </w:pPr>
      <w:r>
        <w:rPr>
          <w:rFonts w:ascii="Times New Roman" w:hAnsi="Times New Roman" w:cs="Times New Roman"/>
          <w:sz w:val="24"/>
        </w:rPr>
        <w:br w:type="page"/>
      </w:r>
    </w:p>
    <w:tbl>
      <w:tblPr>
        <w:tblW w:w="9072" w:type="dxa"/>
        <w:tblInd w:w="113" w:type="dxa"/>
        <w:tblLook w:val="01E0" w:firstRow="1" w:lastRow="1" w:firstColumn="1" w:lastColumn="1" w:noHBand="0" w:noVBand="0"/>
      </w:tblPr>
      <w:tblGrid>
        <w:gridCol w:w="4855"/>
        <w:gridCol w:w="1620"/>
        <w:gridCol w:w="2597"/>
      </w:tblGrid>
      <w:tr w:rsidR="00AB274D" w:rsidTr="00AB274D">
        <w:tc>
          <w:tcPr>
            <w:tcW w:w="4855" w:type="dxa"/>
            <w:tcBorders>
              <w:top w:val="nil"/>
              <w:left w:val="nil"/>
              <w:bottom w:val="single" w:sz="4" w:space="0" w:color="auto"/>
              <w:right w:val="nil"/>
            </w:tcBorders>
            <w:hideMark/>
          </w:tcPr>
          <w:p w:rsidR="00AB274D" w:rsidRDefault="00AB274D">
            <w:pPr>
              <w:spacing w:after="0" w:line="240" w:lineRule="auto"/>
              <w:jc w:val="center"/>
              <w:rPr>
                <w:rFonts w:ascii="Times New Roman" w:eastAsia="Times New Roman" w:hAnsi="Times New Roman" w:cs="Times New Roman"/>
                <w:b/>
                <w:smallCaps/>
                <w:lang w:eastAsia="hu-HU"/>
              </w:rPr>
            </w:pPr>
            <w:r>
              <w:rPr>
                <w:rFonts w:ascii="Times New Roman" w:eastAsia="Times New Roman" w:hAnsi="Times New Roman" w:cs="Times New Roman"/>
                <w:b/>
                <w:smallCaps/>
                <w:lang w:eastAsia="hu-HU"/>
              </w:rPr>
              <w:lastRenderedPageBreak/>
              <w:t>Nemzeti Közszolgálati Egyetem</w:t>
            </w:r>
          </w:p>
        </w:tc>
        <w:tc>
          <w:tcPr>
            <w:tcW w:w="1620" w:type="dxa"/>
          </w:tcPr>
          <w:p w:rsidR="00AB274D" w:rsidRDefault="00AB274D">
            <w:pPr>
              <w:spacing w:after="0" w:line="240" w:lineRule="auto"/>
              <w:jc w:val="both"/>
              <w:rPr>
                <w:rFonts w:ascii="Times New Roman" w:eastAsia="Times New Roman" w:hAnsi="Times New Roman" w:cs="Times New Roman"/>
                <w:lang w:eastAsia="hu-HU"/>
              </w:rPr>
            </w:pPr>
          </w:p>
        </w:tc>
        <w:tc>
          <w:tcPr>
            <w:tcW w:w="2597" w:type="dxa"/>
          </w:tcPr>
          <w:p w:rsidR="00AB274D" w:rsidRDefault="00AB274D">
            <w:pPr>
              <w:spacing w:after="0" w:line="240" w:lineRule="auto"/>
              <w:jc w:val="right"/>
              <w:rPr>
                <w:rFonts w:ascii="Times New Roman" w:eastAsia="Times New Roman" w:hAnsi="Times New Roman" w:cs="Times New Roman"/>
                <w:lang w:eastAsia="hu-HU"/>
              </w:rPr>
            </w:pPr>
          </w:p>
        </w:tc>
      </w:tr>
      <w:tr w:rsidR="00AB274D" w:rsidTr="00AB274D">
        <w:tc>
          <w:tcPr>
            <w:tcW w:w="4855" w:type="dxa"/>
            <w:tcBorders>
              <w:top w:val="single" w:sz="4" w:space="0" w:color="auto"/>
              <w:left w:val="nil"/>
              <w:bottom w:val="nil"/>
              <w:right w:val="nil"/>
            </w:tcBorders>
            <w:hideMark/>
          </w:tcPr>
          <w:p w:rsidR="00AB274D" w:rsidRDefault="00AB274D">
            <w:pPr>
              <w:spacing w:after="0" w:line="240" w:lineRule="auto"/>
              <w:jc w:val="center"/>
              <w:rPr>
                <w:rFonts w:ascii="Times New Roman" w:eastAsia="Times New Roman" w:hAnsi="Times New Roman" w:cs="Times New Roman"/>
                <w:b/>
                <w:lang w:eastAsia="hu-HU"/>
              </w:rPr>
            </w:pPr>
            <w:r>
              <w:rPr>
                <w:rFonts w:ascii="Times New Roman" w:eastAsia="Times New Roman" w:hAnsi="Times New Roman" w:cs="Times New Roman"/>
                <w:b/>
                <w:lang w:eastAsia="hu-HU"/>
              </w:rPr>
              <w:t>Hadtudományi és Honvédtisztképző Kar</w:t>
            </w:r>
          </w:p>
        </w:tc>
        <w:tc>
          <w:tcPr>
            <w:tcW w:w="1620" w:type="dxa"/>
          </w:tcPr>
          <w:p w:rsidR="00AB274D" w:rsidRDefault="00AB274D">
            <w:pPr>
              <w:spacing w:after="0" w:line="240" w:lineRule="auto"/>
              <w:jc w:val="both"/>
              <w:rPr>
                <w:rFonts w:ascii="Times New Roman" w:eastAsia="Times New Roman" w:hAnsi="Times New Roman" w:cs="Times New Roman"/>
                <w:lang w:eastAsia="hu-HU"/>
              </w:rPr>
            </w:pPr>
          </w:p>
        </w:tc>
        <w:tc>
          <w:tcPr>
            <w:tcW w:w="2597" w:type="dxa"/>
          </w:tcPr>
          <w:p w:rsidR="00AB274D" w:rsidRDefault="00AB274D">
            <w:pPr>
              <w:spacing w:after="0" w:line="240" w:lineRule="auto"/>
              <w:jc w:val="both"/>
              <w:rPr>
                <w:rFonts w:ascii="Times New Roman" w:eastAsia="Times New Roman" w:hAnsi="Times New Roman" w:cs="Times New Roman"/>
                <w:lang w:eastAsia="hu-HU"/>
              </w:rPr>
            </w:pPr>
          </w:p>
        </w:tc>
      </w:tr>
    </w:tbl>
    <w:p w:rsidR="00AB274D" w:rsidRDefault="00AB274D" w:rsidP="00AB274D">
      <w:pPr>
        <w:widowControl w:val="0"/>
        <w:spacing w:before="120" w:after="120" w:line="240" w:lineRule="auto"/>
        <w:ind w:left="426" w:hanging="142"/>
        <w:jc w:val="center"/>
        <w:rPr>
          <w:rFonts w:ascii="Times New Roman" w:eastAsia="Times New Roman" w:hAnsi="Times New Roman" w:cs="Times New Roman"/>
          <w:b/>
          <w:bCs/>
        </w:rPr>
      </w:pPr>
    </w:p>
    <w:p w:rsidR="00AB274D" w:rsidRDefault="00AB274D" w:rsidP="00AB274D">
      <w:pPr>
        <w:widowControl w:val="0"/>
        <w:spacing w:before="120" w:after="120" w:line="240" w:lineRule="auto"/>
        <w:ind w:left="426" w:hanging="142"/>
        <w:jc w:val="center"/>
        <w:rPr>
          <w:rFonts w:ascii="Times New Roman" w:eastAsia="Times New Roman" w:hAnsi="Times New Roman" w:cs="Times New Roman"/>
          <w:b/>
          <w:bCs/>
        </w:rPr>
      </w:pPr>
      <w:r>
        <w:rPr>
          <w:rFonts w:ascii="Times New Roman" w:eastAsia="Times New Roman" w:hAnsi="Times New Roman" w:cs="Times New Roman"/>
          <w:b/>
          <w:bCs/>
        </w:rPr>
        <w:t>TANTÁRGYI PROGRAM</w:t>
      </w:r>
    </w:p>
    <w:p w:rsidR="00AB274D" w:rsidRDefault="00AB274D" w:rsidP="00980876">
      <w:pPr>
        <w:widowControl w:val="0"/>
        <w:numPr>
          <w:ilvl w:val="0"/>
          <w:numId w:val="166"/>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 tantárgy kódja: </w:t>
      </w:r>
      <w:r>
        <w:rPr>
          <w:rFonts w:ascii="Times New Roman" w:hAnsi="Times New Roman" w:cs="Times New Roman"/>
          <w:bCs/>
        </w:rPr>
        <w:t>HKHPKA19</w:t>
      </w:r>
    </w:p>
    <w:p w:rsidR="00AB274D" w:rsidRDefault="00AB274D" w:rsidP="00980876">
      <w:pPr>
        <w:widowControl w:val="0"/>
        <w:numPr>
          <w:ilvl w:val="0"/>
          <w:numId w:val="166"/>
        </w:numPr>
        <w:spacing w:before="120" w:after="120" w:line="240" w:lineRule="auto"/>
        <w:ind w:left="426" w:hanging="142"/>
        <w:jc w:val="both"/>
        <w:rPr>
          <w:rFonts w:ascii="Times New Roman" w:eastAsia="Times New Roman" w:hAnsi="Times New Roman" w:cs="Times New Roman"/>
          <w:b/>
          <w:bCs/>
          <w:lang w:val="en-GB"/>
        </w:rPr>
      </w:pPr>
      <w:r>
        <w:rPr>
          <w:rFonts w:ascii="Times New Roman" w:eastAsia="Times New Roman" w:hAnsi="Times New Roman" w:cs="Times New Roman"/>
          <w:b/>
          <w:bCs/>
        </w:rPr>
        <w:t>A tantárgy megnevezése (magyarul):</w:t>
      </w:r>
      <w:r>
        <w:rPr>
          <w:rFonts w:ascii="Times New Roman" w:eastAsia="Times New Roman" w:hAnsi="Times New Roman" w:cs="Times New Roman"/>
          <w:bCs/>
        </w:rPr>
        <w:t xml:space="preserve"> </w:t>
      </w:r>
      <w:r>
        <w:rPr>
          <w:rFonts w:ascii="Times New Roman" w:hAnsi="Times New Roman" w:cs="Times New Roman"/>
          <w:bCs/>
        </w:rPr>
        <w:t>Csapatgyakoroltatás 2.</w:t>
      </w:r>
    </w:p>
    <w:p w:rsidR="00AB274D" w:rsidRDefault="00AB274D" w:rsidP="00980876">
      <w:pPr>
        <w:widowControl w:val="0"/>
        <w:numPr>
          <w:ilvl w:val="0"/>
          <w:numId w:val="166"/>
        </w:numPr>
        <w:tabs>
          <w:tab w:val="num" w:pos="567"/>
        </w:tabs>
        <w:spacing w:before="120" w:after="120" w:line="240" w:lineRule="auto"/>
        <w:ind w:left="426" w:hanging="142"/>
        <w:jc w:val="both"/>
        <w:rPr>
          <w:rFonts w:ascii="Times New Roman" w:eastAsia="Times New Roman" w:hAnsi="Times New Roman" w:cs="Times New Roman"/>
          <w:b/>
          <w:bCs/>
          <w:lang w:val="en-GB"/>
        </w:rPr>
      </w:pPr>
      <w:r>
        <w:rPr>
          <w:rFonts w:ascii="Times New Roman" w:eastAsia="Times New Roman" w:hAnsi="Times New Roman" w:cs="Times New Roman"/>
          <w:b/>
          <w:bCs/>
        </w:rPr>
        <w:t xml:space="preserve">A tantárgy megnevezése (angolul): </w:t>
      </w:r>
      <w:r>
        <w:rPr>
          <w:rFonts w:ascii="Times New Roman" w:eastAsia="Times New Roman" w:hAnsi="Times New Roman" w:cs="Times New Roman"/>
          <w:bCs/>
        </w:rPr>
        <w:t>Unit Practice 2.</w:t>
      </w:r>
    </w:p>
    <w:p w:rsidR="00AB274D" w:rsidRDefault="00AB274D" w:rsidP="00980876">
      <w:pPr>
        <w:widowControl w:val="0"/>
        <w:numPr>
          <w:ilvl w:val="0"/>
          <w:numId w:val="166"/>
        </w:numPr>
        <w:tabs>
          <w:tab w:val="num" w:pos="567"/>
        </w:tabs>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Kreditérték és képzési karakter: </w:t>
      </w:r>
    </w:p>
    <w:p w:rsidR="00AB274D" w:rsidRDefault="00AB274D" w:rsidP="00980876">
      <w:pPr>
        <w:pStyle w:val="Listaszerbekezds"/>
        <w:widowControl w:val="0"/>
        <w:numPr>
          <w:ilvl w:val="1"/>
          <w:numId w:val="166"/>
        </w:numPr>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6 kredit</w:t>
      </w:r>
    </w:p>
    <w:p w:rsidR="00AB274D" w:rsidRDefault="00AB274D" w:rsidP="00980876">
      <w:pPr>
        <w:pStyle w:val="Listaszerbekezds"/>
        <w:widowControl w:val="0"/>
        <w:numPr>
          <w:ilvl w:val="1"/>
          <w:numId w:val="166"/>
        </w:numPr>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a tantárgy elméleti vagy gyakorlati jellegének mértéke: 100</w:t>
      </w:r>
      <w:r>
        <w:rPr>
          <w:rFonts w:ascii="Times New Roman" w:eastAsia="Times New Roman" w:hAnsi="Times New Roman" w:cs="Times New Roman"/>
          <w:b/>
          <w:bCs/>
        </w:rPr>
        <w:t xml:space="preserve"> </w:t>
      </w:r>
      <w:r>
        <w:rPr>
          <w:rFonts w:ascii="Times New Roman" w:eastAsia="Times New Roman" w:hAnsi="Times New Roman" w:cs="Times New Roman"/>
          <w:bCs/>
        </w:rPr>
        <w:t>% gyakorlat, 0 % elmélet</w:t>
      </w:r>
    </w:p>
    <w:p w:rsidR="00AB274D" w:rsidRDefault="00AB274D" w:rsidP="00980876">
      <w:pPr>
        <w:widowControl w:val="0"/>
        <w:numPr>
          <w:ilvl w:val="0"/>
          <w:numId w:val="166"/>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szak(ok), szakirányok/specializációk megnevezése (ahol oktatják):</w:t>
      </w:r>
      <w:r>
        <w:rPr>
          <w:rFonts w:ascii="Times New Roman" w:eastAsia="Times New Roman" w:hAnsi="Times New Roman" w:cs="Times New Roman"/>
          <w:bCs/>
        </w:rPr>
        <w:t xml:space="preserve"> </w:t>
      </w:r>
      <w:r>
        <w:rPr>
          <w:rFonts w:ascii="Times New Roman" w:hAnsi="Times New Roman" w:cs="Times New Roman"/>
          <w:bCs/>
        </w:rPr>
        <w:t>Katonai logisztika alapképzési szak</w:t>
      </w:r>
    </w:p>
    <w:p w:rsidR="00AB274D" w:rsidRDefault="00AB274D" w:rsidP="00980876">
      <w:pPr>
        <w:widowControl w:val="0"/>
        <w:numPr>
          <w:ilvl w:val="0"/>
          <w:numId w:val="166"/>
        </w:numPr>
        <w:tabs>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Az oktatásért felelős oktatási szervezeti egység megnevezése: </w:t>
      </w:r>
      <w:r>
        <w:rPr>
          <w:rFonts w:ascii="Times New Roman" w:hAnsi="Times New Roman" w:cs="Times New Roman"/>
          <w:bCs/>
        </w:rPr>
        <w:t>NKE HHK Hadtáp, Pénzügyi és Katonai Közlekedési Tanszék</w:t>
      </w:r>
    </w:p>
    <w:p w:rsidR="00AB274D" w:rsidRDefault="00AB274D" w:rsidP="00980876">
      <w:pPr>
        <w:widowControl w:val="0"/>
        <w:numPr>
          <w:ilvl w:val="0"/>
          <w:numId w:val="166"/>
        </w:numPr>
        <w:tabs>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tantárgyfelelős oktató neve, beosztása, tudományos fokozata:</w:t>
      </w:r>
      <w:r>
        <w:rPr>
          <w:rFonts w:ascii="Times New Roman" w:eastAsia="Times New Roman" w:hAnsi="Times New Roman" w:cs="Times New Roman"/>
          <w:bCs/>
        </w:rPr>
        <w:t xml:space="preserve"> </w:t>
      </w:r>
      <w:r>
        <w:rPr>
          <w:rFonts w:ascii="Times New Roman" w:hAnsi="Times New Roman" w:cs="Times New Roman"/>
          <w:bCs/>
        </w:rPr>
        <w:t>Szajkó Gyula, gyakorlati oktató</w:t>
      </w:r>
    </w:p>
    <w:p w:rsidR="00AB274D" w:rsidRDefault="00AB274D" w:rsidP="00980876">
      <w:pPr>
        <w:widowControl w:val="0"/>
        <w:numPr>
          <w:ilvl w:val="0"/>
          <w:numId w:val="166"/>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tanórák száma és típusa</w:t>
      </w:r>
    </w:p>
    <w:p w:rsidR="00AB274D" w:rsidRDefault="00AB274D" w:rsidP="00980876">
      <w:pPr>
        <w:widowControl w:val="0"/>
        <w:numPr>
          <w:ilvl w:val="1"/>
          <w:numId w:val="166"/>
        </w:numPr>
        <w:tabs>
          <w:tab w:val="num" w:pos="709"/>
          <w:tab w:val="num" w:pos="2069"/>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össz óraszám/félév: 90</w:t>
      </w:r>
    </w:p>
    <w:p w:rsidR="00AB274D" w:rsidRDefault="00AB274D" w:rsidP="00980876">
      <w:pPr>
        <w:widowControl w:val="0"/>
        <w:numPr>
          <w:ilvl w:val="2"/>
          <w:numId w:val="166"/>
        </w:numPr>
        <w:tabs>
          <w:tab w:val="num" w:pos="709"/>
          <w:tab w:val="num" w:pos="1134"/>
        </w:tabs>
        <w:spacing w:before="120" w:after="120" w:line="240" w:lineRule="auto"/>
        <w:ind w:left="993" w:hanging="425"/>
        <w:jc w:val="both"/>
        <w:rPr>
          <w:rFonts w:ascii="Times New Roman" w:eastAsia="Times New Roman" w:hAnsi="Times New Roman" w:cs="Times New Roman"/>
          <w:bCs/>
        </w:rPr>
      </w:pPr>
      <w:r>
        <w:rPr>
          <w:rFonts w:ascii="Times New Roman" w:eastAsia="Times New Roman" w:hAnsi="Times New Roman" w:cs="Times New Roman"/>
          <w:bCs/>
        </w:rPr>
        <w:t>nappali munkarend: (0 EA + 0 SZ + 90 GY)</w:t>
      </w:r>
    </w:p>
    <w:p w:rsidR="00AB274D" w:rsidRDefault="00AB274D" w:rsidP="00980876">
      <w:pPr>
        <w:widowControl w:val="0"/>
        <w:numPr>
          <w:ilvl w:val="2"/>
          <w:numId w:val="166"/>
        </w:numPr>
        <w:tabs>
          <w:tab w:val="num" w:pos="709"/>
          <w:tab w:val="num" w:pos="1134"/>
        </w:tabs>
        <w:spacing w:before="120" w:after="120" w:line="240" w:lineRule="auto"/>
        <w:ind w:left="993" w:hanging="425"/>
        <w:jc w:val="both"/>
        <w:rPr>
          <w:rFonts w:ascii="Times New Roman" w:eastAsia="Times New Roman" w:hAnsi="Times New Roman" w:cs="Times New Roman"/>
          <w:bCs/>
        </w:rPr>
      </w:pPr>
      <w:r>
        <w:rPr>
          <w:rFonts w:ascii="Times New Roman" w:eastAsia="Times New Roman" w:hAnsi="Times New Roman" w:cs="Times New Roman"/>
          <w:bCs/>
        </w:rPr>
        <w:t>levelező munkarend: -</w:t>
      </w:r>
    </w:p>
    <w:p w:rsidR="00AB274D" w:rsidRDefault="00AB274D" w:rsidP="00980876">
      <w:pPr>
        <w:widowControl w:val="0"/>
        <w:numPr>
          <w:ilvl w:val="1"/>
          <w:numId w:val="166"/>
        </w:numPr>
        <w:tabs>
          <w:tab w:val="num" w:pos="709"/>
          <w:tab w:val="num" w:pos="2069"/>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heti óraszám - nappali munkarend: 3 hét egybefüggően tervezendő</w:t>
      </w:r>
    </w:p>
    <w:p w:rsidR="00AB274D" w:rsidRDefault="00AB274D" w:rsidP="00980876">
      <w:pPr>
        <w:widowControl w:val="0"/>
        <w:numPr>
          <w:ilvl w:val="1"/>
          <w:numId w:val="166"/>
        </w:numPr>
        <w:tabs>
          <w:tab w:val="num" w:pos="709"/>
          <w:tab w:val="num" w:pos="2069"/>
        </w:tabs>
        <w:spacing w:before="120" w:after="120" w:line="240" w:lineRule="auto"/>
        <w:ind w:left="851" w:hanging="425"/>
        <w:jc w:val="both"/>
        <w:rPr>
          <w:rFonts w:ascii="Times New Roman" w:eastAsia="Times New Roman" w:hAnsi="Times New Roman" w:cs="Times New Roman"/>
          <w:bCs/>
        </w:rPr>
      </w:pPr>
      <w:r>
        <w:rPr>
          <w:rFonts w:ascii="Times New Roman" w:hAnsi="Times New Roman" w:cs="Times New Roman"/>
        </w:rPr>
        <w:t>Az ismeret átadásában alkalmazandó további sajátos módok, jellemzők:</w:t>
      </w:r>
      <w:r>
        <w:rPr>
          <w:rFonts w:ascii="Times New Roman" w:hAnsi="Times New Roman" w:cs="Times New Roman"/>
          <w:i/>
        </w:rPr>
        <w:t xml:space="preserve"> A tananyag oktatása és elsajátítása a Magyar Honvédség kijelölt alakulatainál, valós körülmények között, az alakulatnál szolgáló csapattisztek bevonásával történik.</w:t>
      </w:r>
    </w:p>
    <w:p w:rsidR="00AB274D" w:rsidRDefault="00AB274D" w:rsidP="00980876">
      <w:pPr>
        <w:widowControl w:val="0"/>
        <w:numPr>
          <w:ilvl w:val="0"/>
          <w:numId w:val="166"/>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tantárgy szakmai tartalma (magyarul):</w:t>
      </w:r>
      <w:r>
        <w:rPr>
          <w:rFonts w:ascii="Times New Roman" w:eastAsia="Times New Roman" w:hAnsi="Times New Roman" w:cs="Times New Roman"/>
          <w:bCs/>
        </w:rPr>
        <w:t xml:space="preserve"> A közúti szállítások előkészítése, szállítóoszlopok vezetése, az oszlop fedezőbiztosításának megszervezése, ellenséges behatások elhárítása. Töltősor telepítése, a harcból kivont alegységek komplex feltöltése.</w:t>
      </w:r>
    </w:p>
    <w:p w:rsidR="00AB274D" w:rsidRDefault="00AB274D" w:rsidP="00AB274D">
      <w:pPr>
        <w:widowControl w:val="0"/>
        <w:spacing w:before="120" w:after="120" w:line="240" w:lineRule="auto"/>
        <w:ind w:left="426"/>
        <w:jc w:val="both"/>
        <w:rPr>
          <w:rFonts w:ascii="Times New Roman" w:eastAsia="Times New Roman" w:hAnsi="Times New Roman" w:cs="Times New Roman"/>
          <w:bCs/>
          <w:lang w:val="en-GB"/>
        </w:rPr>
      </w:pPr>
      <w:r>
        <w:rPr>
          <w:rFonts w:ascii="Times New Roman" w:eastAsia="Times New Roman" w:hAnsi="Times New Roman" w:cs="Times New Roman"/>
          <w:b/>
          <w:bCs/>
        </w:rPr>
        <w:t>A tantárgy szakmai tartalma (angolul) (</w:t>
      </w:r>
      <w:r>
        <w:rPr>
          <w:rFonts w:ascii="Times New Roman" w:eastAsia="Times New Roman" w:hAnsi="Times New Roman" w:cs="Times New Roman"/>
          <w:b/>
          <w:bCs/>
          <w:lang w:val="en-US"/>
        </w:rPr>
        <w:t>Course description</w:t>
      </w:r>
      <w:r>
        <w:rPr>
          <w:rFonts w:ascii="Times New Roman" w:eastAsia="Times New Roman" w:hAnsi="Times New Roman" w:cs="Times New Roman"/>
          <w:b/>
          <w:bCs/>
        </w:rPr>
        <w:t xml:space="preserve">): </w:t>
      </w:r>
      <w:r>
        <w:rPr>
          <w:rFonts w:ascii="Times New Roman" w:eastAsia="Times New Roman" w:hAnsi="Times New Roman" w:cs="Times New Roman"/>
          <w:bCs/>
        </w:rPr>
        <w:t>Preparing road transportation, commanding transport convoys, organizing the safety cover of the convoy, prevention of hostile impact, setting up loading lines, reloading subunits out of combat.</w:t>
      </w:r>
    </w:p>
    <w:p w:rsidR="00AB274D" w:rsidRDefault="00AB274D" w:rsidP="00980876">
      <w:pPr>
        <w:pStyle w:val="Listaszerbekezds"/>
        <w:widowControl w:val="0"/>
        <w:numPr>
          <w:ilvl w:val="0"/>
          <w:numId w:val="166"/>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Elérendő kompetenciák (magyarul):</w:t>
      </w:r>
      <w:r>
        <w:rPr>
          <w:rFonts w:ascii="Times New Roman" w:eastAsia="Times New Roman" w:hAnsi="Times New Roman" w:cs="Times New Roman"/>
          <w:bCs/>
        </w:rPr>
        <w:t xml:space="preserve"> </w:t>
      </w:r>
    </w:p>
    <w:p w:rsidR="00AB274D" w:rsidRDefault="00AB274D" w:rsidP="00AB274D">
      <w:pPr>
        <w:widowControl w:val="0"/>
        <w:spacing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Tudása:</w:t>
      </w:r>
    </w:p>
    <w:p w:rsidR="00AB274D" w:rsidRDefault="00AB274D" w:rsidP="00AB274D">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Ismeri az összfegyvernemi harc megvívásával kapcsolatos alapismereteket, annak főbb jellemzőit, a harctámogatás, a harckiszolgáló támogatás, a haderőnemek, a fegyvernemek és szakcsapatok szervezeti felépítését, harceljárásait.</w:t>
      </w:r>
    </w:p>
    <w:p w:rsidR="00AB274D" w:rsidRDefault="00AB274D" w:rsidP="00AB274D">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Rendelkezik alapvető vezetői ismeretekkel, tisztában van a vezetői kompetenciákkal és a beosztottak eredményes irányításához szükséges alapvető ismeretekkel, valamint a beosztottakat motiváló képességekkel.</w:t>
      </w:r>
    </w:p>
    <w:p w:rsidR="00AB274D" w:rsidRDefault="00AB274D" w:rsidP="00AB274D">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Részletesen ismeri az általános logisztikai tevékenység egyes műveleteit, folyamatait.</w:t>
      </w:r>
    </w:p>
    <w:p w:rsidR="00AB274D" w:rsidRDefault="00AB274D" w:rsidP="00AB274D">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Rendelkezik a logisztikai alegységek napi feladatainak ellátásához és kiképzéséhez szükséges szakmai és kiképzésmódszertani ismeretekkel.</w:t>
      </w:r>
    </w:p>
    <w:p w:rsidR="00AB274D" w:rsidRDefault="00AB274D" w:rsidP="00AB274D">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Ismeri a békeműveletek rendszerét, a Magyar Honvédség békeműveleti feladatait, valamint az alapvető békefenntartási technikákat.</w:t>
      </w:r>
    </w:p>
    <w:p w:rsidR="00AB274D" w:rsidRDefault="00AB274D" w:rsidP="00AB274D">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Ismeri szakterülete technikai eszközeinek működését.</w:t>
      </w:r>
    </w:p>
    <w:p w:rsidR="00464492" w:rsidRDefault="00464492" w:rsidP="00AB274D">
      <w:pPr>
        <w:widowControl w:val="0"/>
        <w:spacing w:before="120" w:after="0" w:line="240" w:lineRule="auto"/>
        <w:ind w:left="425"/>
        <w:jc w:val="both"/>
        <w:rPr>
          <w:rFonts w:ascii="Times New Roman" w:eastAsia="Times New Roman" w:hAnsi="Times New Roman" w:cs="Times New Roman"/>
          <w:b/>
          <w:bCs/>
        </w:rPr>
      </w:pPr>
    </w:p>
    <w:p w:rsidR="00AB274D" w:rsidRDefault="00AB274D" w:rsidP="00AB274D">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lastRenderedPageBreak/>
        <w:t>Képességei:</w:t>
      </w:r>
      <w:r>
        <w:rPr>
          <w:rFonts w:ascii="Times New Roman" w:eastAsia="Times New Roman" w:hAnsi="Times New Roman" w:cs="Times New Roman"/>
          <w:bCs/>
        </w:rPr>
        <w:t xml:space="preserve"> </w:t>
      </w:r>
    </w:p>
    <w:p w:rsidR="00AB274D" w:rsidRDefault="00AB274D" w:rsidP="00AB274D">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Képes a szakmai terminológia magyarul és idegen nyelven történő alkalmazására.</w:t>
      </w:r>
    </w:p>
    <w:p w:rsidR="00AB274D" w:rsidRDefault="00AB274D" w:rsidP="00AB274D">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Képes a munkaköréhez és feladataihoz kapcsolódó jogszabályi háttér értelmezésére és gyakorlati alkalmazására.</w:t>
      </w:r>
    </w:p>
    <w:p w:rsidR="00AB274D" w:rsidRDefault="00AB274D" w:rsidP="00AB274D">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Képes a munkaköréhez kapcsolódó dokumentumok, nyomtatványok, jegyzőkönyvek, feljegyzések és emlékeztetők önálló elkészítésére, okmányok kitöltésére, a munkaköréhez kapcsolódó események szervezésére, technikai előkészítésére.</w:t>
      </w:r>
    </w:p>
    <w:p w:rsidR="00AB274D" w:rsidRDefault="00AB274D" w:rsidP="00AB274D">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Képes alegység szintű ellátási feladatok végrehajtására, vezetésére békében, különleges jogrendi időszakban, többnemzeti és nemzetközi környezetben végrehajtandó béketámogató műveletekben.</w:t>
      </w:r>
    </w:p>
    <w:p w:rsidR="00AB274D" w:rsidRDefault="00AB274D" w:rsidP="00AB274D">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Képes pontos és precíz logisztikai, illetve gazdálkodási számvetéseket készíteni.</w:t>
      </w:r>
    </w:p>
    <w:p w:rsidR="00AB274D" w:rsidRDefault="00AB274D" w:rsidP="00AB274D">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Képes beosztottjainak a szaktechnikai eszközök használatára történő kiképzését megszervezni és végrehajtani.</w:t>
      </w:r>
    </w:p>
    <w:p w:rsidR="00AB274D" w:rsidRDefault="00AB274D" w:rsidP="00AB274D">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Attitűdje:</w:t>
      </w:r>
      <w:r>
        <w:rPr>
          <w:rFonts w:ascii="Times New Roman" w:eastAsia="Times New Roman" w:hAnsi="Times New Roman" w:cs="Times New Roman"/>
          <w:bCs/>
        </w:rPr>
        <w:t xml:space="preserve"> </w:t>
      </w:r>
    </w:p>
    <w:p w:rsidR="00AB274D" w:rsidRDefault="00AB274D" w:rsidP="00AB274D">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Feladatai ellátása során együttműködési készség jellemzi, törekszik a beosztottak bevonására a döntési folyamatokba.</w:t>
      </w:r>
    </w:p>
    <w:p w:rsidR="00AB274D" w:rsidRDefault="00AB274D" w:rsidP="00AB274D">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Felismeri a rendszerszintű tevékenységben rejlő értékeket, törekszik a logisztikai tevékenységek közötti kapcsolatok értelmezésére.</w:t>
      </w:r>
    </w:p>
    <w:p w:rsidR="00AB274D" w:rsidRDefault="00AB274D" w:rsidP="00AB274D">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A szakmai feladatok ellátása során a rendszerszemlélet és jó szervezőkészség jellemzi.</w:t>
      </w:r>
    </w:p>
    <w:p w:rsidR="00AB274D" w:rsidRDefault="00AB274D" w:rsidP="00AB274D">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Nyitott szakterülete új eredményei, innovációi iránt, törekszik azok megismerésére, megértésére és alkalmazására, elkötelezett önmaga folyamatos képzésére.</w:t>
      </w:r>
    </w:p>
    <w:p w:rsidR="00AB274D" w:rsidRDefault="00AB274D" w:rsidP="00AB274D">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Tevékenységét a hatékonyság központú szemlélet jellemzi.</w:t>
      </w:r>
    </w:p>
    <w:p w:rsidR="00AB274D" w:rsidRDefault="00AB274D" w:rsidP="00AB274D">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Autonómiája és felelőssége:</w:t>
      </w:r>
    </w:p>
    <w:p w:rsidR="00AB274D" w:rsidRDefault="00AB274D" w:rsidP="00AB274D">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Az ellátási folyamatok végrehajtása során önállóan döntéseket hoz, azokat felelősséggel, a jogszabályi keretek figyelembevételével végrehajtja.</w:t>
      </w:r>
    </w:p>
    <w:p w:rsidR="00AB274D" w:rsidRDefault="00AB274D" w:rsidP="00AB274D">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Felelősséget vállal szakbeosztottjaiért, valamint a rábízott szaktechnikai eszközökért és anyagokért.</w:t>
      </w:r>
    </w:p>
    <w:p w:rsidR="00AB274D" w:rsidRDefault="00AB274D" w:rsidP="00AB274D">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Felelősséget vállal számvetéseinek pontosságáért.</w:t>
      </w:r>
    </w:p>
    <w:p w:rsidR="00AB274D" w:rsidRDefault="00AB274D" w:rsidP="00AB274D">
      <w:pPr>
        <w:widowControl w:val="0"/>
        <w:spacing w:before="120" w:after="0" w:line="240" w:lineRule="auto"/>
        <w:ind w:left="425"/>
        <w:jc w:val="both"/>
        <w:rPr>
          <w:rFonts w:ascii="Times New Roman" w:eastAsia="Times New Roman" w:hAnsi="Times New Roman" w:cs="Times New Roman"/>
          <w:b/>
          <w:bCs/>
          <w:lang w:val="en-US"/>
        </w:rPr>
      </w:pPr>
      <w:r>
        <w:rPr>
          <w:rFonts w:ascii="Times New Roman" w:eastAsia="Times New Roman" w:hAnsi="Times New Roman" w:cs="Times New Roman"/>
          <w:b/>
          <w:bCs/>
        </w:rPr>
        <w:t>Elérendő kompetenciák (angolul) (</w:t>
      </w:r>
      <w:r>
        <w:rPr>
          <w:rFonts w:ascii="Times New Roman" w:eastAsia="Times New Roman" w:hAnsi="Times New Roman" w:cs="Times New Roman"/>
          <w:b/>
          <w:bCs/>
          <w:lang w:val="en-US"/>
        </w:rPr>
        <w:t xml:space="preserve">Competences – English): </w:t>
      </w:r>
    </w:p>
    <w:p w:rsidR="00AB274D" w:rsidRDefault="00AB274D" w:rsidP="00AB274D">
      <w:pPr>
        <w:widowControl w:val="0"/>
        <w:spacing w:before="120" w:after="0" w:line="240" w:lineRule="auto"/>
        <w:ind w:left="425"/>
        <w:jc w:val="both"/>
        <w:rPr>
          <w:rFonts w:ascii="Times New Roman" w:eastAsia="Times New Roman" w:hAnsi="Times New Roman" w:cs="Times New Roman"/>
          <w:lang w:val="en-GB"/>
        </w:rPr>
      </w:pPr>
      <w:r>
        <w:rPr>
          <w:rFonts w:ascii="Times New Roman" w:eastAsia="Times New Roman" w:hAnsi="Times New Roman" w:cs="Times New Roman"/>
          <w:b/>
          <w:lang w:val="en-GB"/>
        </w:rPr>
        <w:t>Knowledge</w:t>
      </w:r>
      <w:r>
        <w:rPr>
          <w:rFonts w:ascii="Times New Roman" w:eastAsia="Times New Roman" w:hAnsi="Times New Roman" w:cs="Times New Roman"/>
          <w:lang w:val="en-GB"/>
        </w:rPr>
        <w:t xml:space="preserve">: </w:t>
      </w:r>
    </w:p>
    <w:p w:rsidR="00AB274D" w:rsidRDefault="00AB274D" w:rsidP="00AB274D">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Knows the basic procedures and features of the battle carried out by combined arms, the combat service (CS) and combat service support (CSS) tasks, the battle procedures and organizational structures of the military services, branches and specific units.</w:t>
      </w:r>
    </w:p>
    <w:p w:rsidR="00AB274D" w:rsidRDefault="00AB274D" w:rsidP="00AB274D">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Has and aware of the basic leadership skills, competences, the basic knowledge needed to effectively manage subordinates and also the abilities to motivate them.</w:t>
      </w:r>
    </w:p>
    <w:p w:rsidR="00AB274D" w:rsidRDefault="00AB274D" w:rsidP="00AB274D">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Thoroughly familiar with the general logistic operations and processes.</w:t>
      </w:r>
    </w:p>
    <w:p w:rsidR="00AB274D" w:rsidRDefault="00AB274D" w:rsidP="00AB274D">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Has the appropriate professional and training-methodological skills necessary to carry out and train the day-to-day tasks of logistic subunits.</w:t>
      </w:r>
    </w:p>
    <w:p w:rsidR="00AB274D" w:rsidRDefault="00AB274D" w:rsidP="00AB274D">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Knows the system of Peace Operations, the peace operations of the Hungarian Defence Forces, and the basic peacekeeping procedures.</w:t>
      </w:r>
    </w:p>
    <w:p w:rsidR="00AB274D" w:rsidRDefault="00AB274D" w:rsidP="00AB274D">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Knows the funcionality of the special technical equipments used in his/her field.</w:t>
      </w:r>
    </w:p>
    <w:p w:rsidR="00AB274D" w:rsidRDefault="00AB274D" w:rsidP="00AB274D">
      <w:pPr>
        <w:widowControl w:val="0"/>
        <w:spacing w:before="120" w:after="0" w:line="240" w:lineRule="auto"/>
        <w:ind w:left="425"/>
        <w:jc w:val="both"/>
        <w:rPr>
          <w:rFonts w:ascii="Times New Roman" w:eastAsia="Times New Roman" w:hAnsi="Times New Roman" w:cs="Times New Roman"/>
          <w:lang w:val="en-GB"/>
        </w:rPr>
      </w:pPr>
      <w:r>
        <w:rPr>
          <w:rFonts w:ascii="Times New Roman" w:eastAsia="Times New Roman" w:hAnsi="Times New Roman" w:cs="Times New Roman"/>
          <w:b/>
          <w:lang w:val="en-GB"/>
        </w:rPr>
        <w:t>Capabilities</w:t>
      </w:r>
      <w:r>
        <w:rPr>
          <w:rFonts w:ascii="Times New Roman" w:eastAsia="Times New Roman" w:hAnsi="Times New Roman" w:cs="Times New Roman"/>
          <w:lang w:val="en-GB"/>
        </w:rPr>
        <w:t xml:space="preserve">: </w:t>
      </w:r>
    </w:p>
    <w:p w:rsidR="00AB274D" w:rsidRDefault="00AB274D" w:rsidP="00AB274D">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Capable of using the professional terminology in Hungarian and foreign languages.</w:t>
      </w:r>
    </w:p>
    <w:p w:rsidR="00AB274D" w:rsidRDefault="00AB274D" w:rsidP="00AB274D">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Capable of interpreting and applying in practice the legal background related to his/her job and duties.</w:t>
      </w:r>
    </w:p>
    <w:p w:rsidR="00AB274D" w:rsidRDefault="00AB274D" w:rsidP="00AB274D">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Capable of preparing documents, forms, minutes, notes and memos independently, completing documents, organizing programs and technically preparing events related to his/her job.</w:t>
      </w:r>
    </w:p>
    <w:p w:rsidR="00AB274D" w:rsidRDefault="00AB274D" w:rsidP="00AB274D">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He/She is able to carry out subunit level supply tasks in peace time, during special legal order, or in multinational peace-support operations.</w:t>
      </w:r>
    </w:p>
    <w:p w:rsidR="00AB274D" w:rsidRDefault="00AB274D" w:rsidP="00AB274D">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Capable of making accurate and precise logistic and economic calculations.</w:t>
      </w:r>
    </w:p>
    <w:p w:rsidR="00AB274D" w:rsidRDefault="00AB274D" w:rsidP="00AB274D">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Capable of organizing and delivering training for his/her subordinates in the use of technical equipment.</w:t>
      </w:r>
    </w:p>
    <w:p w:rsidR="00464492" w:rsidRDefault="00464492" w:rsidP="00AB27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425"/>
        <w:jc w:val="both"/>
        <w:rPr>
          <w:rFonts w:ascii="Times New Roman" w:eastAsia="Times New Roman" w:hAnsi="Times New Roman" w:cs="Times New Roman"/>
          <w:b/>
          <w:lang w:val="en-GB"/>
        </w:rPr>
      </w:pPr>
    </w:p>
    <w:p w:rsidR="00AB274D" w:rsidRDefault="00AB274D" w:rsidP="00AB27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425"/>
        <w:jc w:val="both"/>
        <w:rPr>
          <w:rFonts w:ascii="Times New Roman" w:eastAsia="Times New Roman" w:hAnsi="Times New Roman" w:cs="Times New Roman"/>
          <w:lang w:val="en-GB"/>
        </w:rPr>
      </w:pPr>
      <w:r>
        <w:rPr>
          <w:rFonts w:ascii="Times New Roman" w:eastAsia="Times New Roman" w:hAnsi="Times New Roman" w:cs="Times New Roman"/>
          <w:b/>
          <w:lang w:val="en-GB"/>
        </w:rPr>
        <w:lastRenderedPageBreak/>
        <w:t>Attitude:</w:t>
      </w:r>
      <w:r>
        <w:rPr>
          <w:rFonts w:ascii="Times New Roman" w:eastAsia="Times New Roman" w:hAnsi="Times New Roman" w:cs="Times New Roman"/>
          <w:lang w:val="en-GB"/>
        </w:rPr>
        <w:t xml:space="preserve"> </w:t>
      </w:r>
    </w:p>
    <w:p w:rsidR="00AB274D" w:rsidRDefault="00AB274D" w:rsidP="00AB274D">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Performing his duties he is characterized by a willingness to cooperate with his/her subordinates, and strives to involve them in decision-making processes.</w:t>
      </w:r>
    </w:p>
    <w:p w:rsidR="00AB274D" w:rsidRDefault="00AB274D" w:rsidP="00AB274D">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He/She recognizes the value of systemic activities and seeks to understand the relationships among logistics procedures.</w:t>
      </w:r>
    </w:p>
    <w:p w:rsidR="00AB274D" w:rsidRDefault="00AB274D" w:rsidP="00AB274D">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His/Her professional work is characterized by a systemic approach and good organizational skills.</w:t>
      </w:r>
    </w:p>
    <w:p w:rsidR="00AB274D" w:rsidRDefault="00AB274D" w:rsidP="00AB274D">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In his/her specialization he/she is open to new achievements and innovations, strives to know, understand and apply them, and committed to continous self-education.</w:t>
      </w:r>
    </w:p>
    <w:p w:rsidR="00AB274D" w:rsidRDefault="00AB274D" w:rsidP="00AB274D">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lang w:val="en-GB"/>
        </w:rPr>
        <w:t xml:space="preserve">Autonomy and responsibility: </w:t>
      </w:r>
    </w:p>
    <w:p w:rsidR="00AB274D" w:rsidRDefault="00AB274D" w:rsidP="00AB274D">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He/She is able to make autonomous decisions in military management processes, and implement them with responsibility within the legal framework.</w:t>
      </w:r>
    </w:p>
    <w:p w:rsidR="00AB274D" w:rsidRDefault="00AB274D" w:rsidP="00AB274D">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He/She takes responsibility for the professional work of his/her subordinates and or the specialized technical equipment and materials entrusted to him/her.</w:t>
      </w:r>
    </w:p>
    <w:p w:rsidR="00AB274D" w:rsidRDefault="00AB274D" w:rsidP="00AB274D">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He / She takes responsibility for the accuracy of his/her calculations.</w:t>
      </w:r>
    </w:p>
    <w:p w:rsidR="00AB274D" w:rsidRDefault="00AB274D" w:rsidP="00980876">
      <w:pPr>
        <w:widowControl w:val="0"/>
        <w:numPr>
          <w:ilvl w:val="0"/>
          <w:numId w:val="166"/>
        </w:numPr>
        <w:tabs>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Előtanulmányi követelmények: –</w:t>
      </w:r>
    </w:p>
    <w:p w:rsidR="00AB274D" w:rsidRDefault="00AB274D" w:rsidP="00980876">
      <w:pPr>
        <w:widowControl w:val="0"/>
        <w:numPr>
          <w:ilvl w:val="0"/>
          <w:numId w:val="166"/>
        </w:numPr>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A tantárgy tananyagának leírása, tematika. Description of the subject, curriculum (magyarul, angolul - English):</w:t>
      </w:r>
    </w:p>
    <w:p w:rsidR="00AB274D" w:rsidRDefault="00AB274D" w:rsidP="00980876">
      <w:pPr>
        <w:widowControl w:val="0"/>
        <w:numPr>
          <w:ilvl w:val="1"/>
          <w:numId w:val="166"/>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 tantárgy a szakmai tartalomnak megfelelően, külön levezetési- és feladatterv alapján intézményen kívül valósul meg. </w:t>
      </w:r>
      <w:r>
        <w:rPr>
          <w:rFonts w:ascii="Times New Roman" w:eastAsia="Times New Roman" w:hAnsi="Times New Roman" w:cs="Times New Roman"/>
          <w:i/>
          <w:kern w:val="2"/>
        </w:rPr>
        <w:t>(The course is delivered outside the institution in accordance with the professional content, based on a separate course and assignment plan.)</w:t>
      </w:r>
    </w:p>
    <w:p w:rsidR="00AB274D" w:rsidRDefault="00AB274D" w:rsidP="00980876">
      <w:pPr>
        <w:widowControl w:val="0"/>
        <w:numPr>
          <w:ilvl w:val="0"/>
          <w:numId w:val="166"/>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 tantárgy meghirdetésének gyakorisága/a tantervben történő félévi elhelyezkedése: </w:t>
      </w:r>
      <w:r>
        <w:rPr>
          <w:rFonts w:ascii="Times New Roman" w:eastAsia="Times New Roman" w:hAnsi="Times New Roman" w:cs="Times New Roman"/>
          <w:bCs/>
        </w:rPr>
        <w:t>Minden őszi szemeszterben / 7. félév</w:t>
      </w:r>
    </w:p>
    <w:p w:rsidR="00AB274D" w:rsidRDefault="00AB274D" w:rsidP="00980876">
      <w:pPr>
        <w:widowControl w:val="0"/>
        <w:numPr>
          <w:ilvl w:val="0"/>
          <w:numId w:val="166"/>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tanórákon való részvétel követelményei, az elfogadható hiányzások mértéke, a távolmaradás pótlásának lehetősége:</w:t>
      </w:r>
      <w:r>
        <w:rPr>
          <w:rFonts w:ascii="Times New Roman" w:eastAsia="Times New Roman" w:hAnsi="Times New Roman" w:cs="Times New Roman"/>
          <w:bCs/>
        </w:rPr>
        <w:t xml:space="preserve"> A gyakorlaton való részvétel 100%-ban kötelező. Távolmaradás nem engedélyezett. A gyakorlat pótlására a hallgatónak nincs lehetősége.</w:t>
      </w:r>
    </w:p>
    <w:p w:rsidR="00AB274D" w:rsidRDefault="00AB274D" w:rsidP="00980876">
      <w:pPr>
        <w:widowControl w:val="0"/>
        <w:numPr>
          <w:ilvl w:val="0"/>
          <w:numId w:val="166"/>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rPr>
        <w:t xml:space="preserve">Félévközi feladatok, ismeretek ellenőrzésének rendje: </w:t>
      </w:r>
      <w:r>
        <w:rPr>
          <w:rFonts w:ascii="Times New Roman" w:eastAsia="Times New Roman" w:hAnsi="Times New Roman" w:cs="Times New Roman"/>
        </w:rPr>
        <w:t>A tanulmányi munka alapja a gyakorlaton való részvétel.</w:t>
      </w:r>
    </w:p>
    <w:p w:rsidR="00AB274D" w:rsidRDefault="00AB274D" w:rsidP="00980876">
      <w:pPr>
        <w:widowControl w:val="0"/>
        <w:numPr>
          <w:ilvl w:val="0"/>
          <w:numId w:val="166"/>
        </w:numPr>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Az értékelés, az aláírás és a kreditek megszerzésének pontos feltételei: </w:t>
      </w:r>
    </w:p>
    <w:p w:rsidR="00AB274D" w:rsidRPr="00464492" w:rsidRDefault="00AB274D" w:rsidP="00980876">
      <w:pPr>
        <w:widowControl w:val="0"/>
        <w:numPr>
          <w:ilvl w:val="1"/>
          <w:numId w:val="166"/>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464492">
        <w:rPr>
          <w:rFonts w:ascii="Times New Roman" w:eastAsia="Times New Roman" w:hAnsi="Times New Roman" w:cs="Times New Roman"/>
          <w:b/>
        </w:rPr>
        <w:t>Az aláírás megszerzésének feltételei:</w:t>
      </w:r>
      <w:r w:rsidR="00464492" w:rsidRPr="00464492">
        <w:rPr>
          <w:rFonts w:ascii="Times New Roman" w:eastAsia="Times New Roman" w:hAnsi="Times New Roman" w:cs="Times New Roman"/>
          <w:b/>
        </w:rPr>
        <w:t xml:space="preserve"> </w:t>
      </w:r>
      <w:r w:rsidRPr="00464492">
        <w:rPr>
          <w:rFonts w:ascii="Times New Roman" w:eastAsia="Times New Roman" w:hAnsi="Times New Roman" w:cs="Times New Roman"/>
        </w:rPr>
        <w:t>Az aláírás feltétele a gyakorlaton történő – 14. pontban meghatározott – részvétel.</w:t>
      </w:r>
    </w:p>
    <w:p w:rsidR="00AB274D" w:rsidRPr="00464492" w:rsidRDefault="00AB274D" w:rsidP="00980876">
      <w:pPr>
        <w:widowControl w:val="0"/>
        <w:numPr>
          <w:ilvl w:val="1"/>
          <w:numId w:val="166"/>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464492">
        <w:rPr>
          <w:rFonts w:ascii="Times New Roman" w:eastAsia="Times New Roman" w:hAnsi="Times New Roman" w:cs="Times New Roman"/>
          <w:b/>
        </w:rPr>
        <w:t>Az értékelés:</w:t>
      </w:r>
      <w:r w:rsidR="00464492" w:rsidRPr="00464492">
        <w:rPr>
          <w:rFonts w:ascii="Times New Roman" w:eastAsia="Times New Roman" w:hAnsi="Times New Roman" w:cs="Times New Roman"/>
          <w:b/>
        </w:rPr>
        <w:t xml:space="preserve"> </w:t>
      </w:r>
      <w:r w:rsidRPr="00464492">
        <w:rPr>
          <w:rFonts w:ascii="Times New Roman" w:eastAsia="Times New Roman" w:hAnsi="Times New Roman" w:cs="Times New Roman"/>
        </w:rPr>
        <w:t>Az ötfokozatú gyakorlati jegy a gyakorlati tevékenységet értékelő által, a kiadott feladattervben megadott feladatok végrehajtásának függvényében, egyénileg kerül meghatározásra.</w:t>
      </w:r>
    </w:p>
    <w:p w:rsidR="00AB274D" w:rsidRPr="00464492" w:rsidRDefault="00AB274D" w:rsidP="00980876">
      <w:pPr>
        <w:widowControl w:val="0"/>
        <w:numPr>
          <w:ilvl w:val="1"/>
          <w:numId w:val="166"/>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464492">
        <w:rPr>
          <w:rFonts w:ascii="Times New Roman" w:eastAsia="Times New Roman" w:hAnsi="Times New Roman" w:cs="Times New Roman"/>
          <w:b/>
        </w:rPr>
        <w:t>A kreditek megszerzésének feltételei:</w:t>
      </w:r>
      <w:r w:rsidRPr="00464492">
        <w:rPr>
          <w:rFonts w:ascii="Times New Roman" w:eastAsia="Times New Roman" w:hAnsi="Times New Roman" w:cs="Times New Roman"/>
        </w:rPr>
        <w:t xml:space="preserve"> A kreditek megszerzésének feltétele az aláírás megszerzése és a legalább elégséges gyakorlati jegy.</w:t>
      </w:r>
    </w:p>
    <w:p w:rsidR="00AB274D" w:rsidRDefault="00AB274D" w:rsidP="00980876">
      <w:pPr>
        <w:widowControl w:val="0"/>
        <w:numPr>
          <w:ilvl w:val="0"/>
          <w:numId w:val="166"/>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Irodalomjegyzék:</w:t>
      </w:r>
    </w:p>
    <w:p w:rsidR="00AB274D" w:rsidRDefault="00AB274D" w:rsidP="00980876">
      <w:pPr>
        <w:widowControl w:val="0"/>
        <w:numPr>
          <w:ilvl w:val="1"/>
          <w:numId w:val="166"/>
        </w:numPr>
        <w:tabs>
          <w:tab w:val="left" w:pos="567"/>
          <w:tab w:val="left" w:pos="851"/>
          <w:tab w:val="num" w:pos="2069"/>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Kötelező irodalom:</w:t>
      </w:r>
    </w:p>
    <w:p w:rsidR="00AB274D" w:rsidRDefault="00AB274D" w:rsidP="00980876">
      <w:pPr>
        <w:widowControl w:val="0"/>
        <w:numPr>
          <w:ilvl w:val="0"/>
          <w:numId w:val="167"/>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Módszertani segédlet a logisztikai katonák és alegységek kiképzésére: A Magyar Honvédség Kiképzési és Doktrinális Központ Kiadványa, 2015. (Nyt. szám: Log-224/118)</w:t>
      </w:r>
    </w:p>
    <w:p w:rsidR="00A065A5" w:rsidRPr="00B87469" w:rsidRDefault="00A065A5" w:rsidP="00980876">
      <w:pPr>
        <w:widowControl w:val="0"/>
        <w:numPr>
          <w:ilvl w:val="0"/>
          <w:numId w:val="167"/>
        </w:numPr>
        <w:spacing w:after="0" w:line="240" w:lineRule="auto"/>
        <w:jc w:val="both"/>
        <w:rPr>
          <w:rFonts w:ascii="Times New Roman" w:eastAsia="Times New Roman" w:hAnsi="Times New Roman" w:cs="Times New Roman"/>
        </w:rPr>
      </w:pPr>
      <w:r w:rsidRPr="00B87469">
        <w:rPr>
          <w:rFonts w:ascii="Times New Roman" w:hAnsi="Times New Roman" w:cs="Times New Roman"/>
        </w:rPr>
        <w:t>A specializációfelelős és a szakmai elöljáró által kidolgozott</w:t>
      </w:r>
      <w:r>
        <w:rPr>
          <w:rFonts w:ascii="Times New Roman" w:hAnsi="Times New Roman" w:cs="Times New Roman"/>
        </w:rPr>
        <w:t xml:space="preserve">, a gyakorlat végrehajtására vonatkozó </w:t>
      </w:r>
      <w:r w:rsidRPr="00B87469">
        <w:rPr>
          <w:rFonts w:ascii="Times New Roman" w:hAnsi="Times New Roman" w:cs="Times New Roman"/>
        </w:rPr>
        <w:t>feladatterv.</w:t>
      </w:r>
    </w:p>
    <w:p w:rsidR="00AB274D" w:rsidRDefault="00AB274D" w:rsidP="00980876">
      <w:pPr>
        <w:widowControl w:val="0"/>
        <w:numPr>
          <w:ilvl w:val="1"/>
          <w:numId w:val="166"/>
        </w:numPr>
        <w:tabs>
          <w:tab w:val="num" w:pos="567"/>
          <w:tab w:val="num" w:pos="2069"/>
        </w:tabs>
        <w:spacing w:before="120" w:after="120" w:line="240" w:lineRule="auto"/>
        <w:ind w:left="993" w:hanging="709"/>
        <w:jc w:val="both"/>
        <w:rPr>
          <w:rFonts w:ascii="Times New Roman" w:eastAsia="Times New Roman" w:hAnsi="Times New Roman" w:cs="Times New Roman"/>
          <w:b/>
          <w:bCs/>
        </w:rPr>
      </w:pPr>
      <w:r>
        <w:rPr>
          <w:rFonts w:ascii="Times New Roman" w:eastAsia="Times New Roman" w:hAnsi="Times New Roman" w:cs="Times New Roman"/>
          <w:b/>
          <w:bCs/>
        </w:rPr>
        <w:t>Ajánlott irodalom:</w:t>
      </w:r>
    </w:p>
    <w:p w:rsidR="00AB274D" w:rsidRDefault="00AB274D" w:rsidP="00980876">
      <w:pPr>
        <w:widowControl w:val="0"/>
        <w:numPr>
          <w:ilvl w:val="0"/>
          <w:numId w:val="168"/>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APP-6 A földi telepítésű katonai rendszerek grafikai jelei </w:t>
      </w:r>
      <w:r w:rsidR="00464492">
        <w:rPr>
          <w:rFonts w:ascii="Times New Roman" w:eastAsia="Times New Roman" w:hAnsi="Times New Roman" w:cs="Times New Roman"/>
        </w:rPr>
        <w:t>(NATO kiadvány)</w:t>
      </w:r>
    </w:p>
    <w:p w:rsidR="00AB274D" w:rsidRDefault="00AB274D" w:rsidP="00980876">
      <w:pPr>
        <w:widowControl w:val="0"/>
        <w:numPr>
          <w:ilvl w:val="0"/>
          <w:numId w:val="168"/>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Kiképzési normák a hadtápkatonák és hadtápalegységek részére: Magyar Honvédség Kiképzési és Doktrinális Központ Kiadványa, 2015. (Nyt. szám: Log-224/119)</w:t>
      </w:r>
    </w:p>
    <w:p w:rsidR="00AB274D" w:rsidRDefault="00AB274D" w:rsidP="00980876">
      <w:pPr>
        <w:widowControl w:val="0"/>
        <w:numPr>
          <w:ilvl w:val="0"/>
          <w:numId w:val="168"/>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Kiképzési program az MH logisztikai legénységi állományú katonák és alegységek részére: A Magyar Honvédség Kiképzési és Doktrinális Központ Kiadványa, 2015. (Nyt. szám: Log-224/122)</w:t>
      </w:r>
    </w:p>
    <w:p w:rsidR="00AB274D" w:rsidRDefault="00AB274D" w:rsidP="00AB274D">
      <w:pPr>
        <w:widowControl w:val="0"/>
        <w:spacing w:before="120" w:after="120" w:line="240" w:lineRule="auto"/>
        <w:jc w:val="both"/>
        <w:rPr>
          <w:rFonts w:ascii="Times New Roman" w:eastAsia="Times New Roman" w:hAnsi="Times New Roman" w:cs="Times New Roman"/>
          <w:bCs/>
        </w:rPr>
      </w:pPr>
    </w:p>
    <w:p w:rsidR="00AB274D" w:rsidRDefault="00AB274D" w:rsidP="00AB274D">
      <w:pPr>
        <w:widowControl w:val="0"/>
        <w:spacing w:before="120" w:after="120" w:line="240" w:lineRule="auto"/>
        <w:jc w:val="both"/>
        <w:rPr>
          <w:rFonts w:ascii="Times New Roman" w:eastAsia="Times New Roman" w:hAnsi="Times New Roman" w:cs="Times New Roman"/>
          <w:bCs/>
        </w:rPr>
      </w:pPr>
      <w:r>
        <w:rPr>
          <w:rFonts w:ascii="Times New Roman" w:eastAsia="Times New Roman" w:hAnsi="Times New Roman" w:cs="Times New Roman"/>
          <w:bCs/>
        </w:rPr>
        <w:t>Budapest, 2020. január 18.</w:t>
      </w:r>
    </w:p>
    <w:p w:rsidR="00AB274D" w:rsidRDefault="00AB274D" w:rsidP="00AB274D">
      <w:pPr>
        <w:widowControl w:val="0"/>
        <w:spacing w:before="120" w:after="120" w:line="240" w:lineRule="auto"/>
        <w:jc w:val="both"/>
        <w:rPr>
          <w:rFonts w:ascii="Times New Roman" w:eastAsia="Times New Roman" w:hAnsi="Times New Roman" w:cs="Times New Roman"/>
          <w:bCs/>
        </w:rPr>
      </w:pPr>
    </w:p>
    <w:p w:rsidR="00AB274D" w:rsidRDefault="00AB274D" w:rsidP="00AB274D">
      <w:pPr>
        <w:widowControl w:val="0"/>
        <w:spacing w:after="0" w:line="240" w:lineRule="auto"/>
        <w:ind w:left="6372" w:firstLine="708"/>
        <w:rPr>
          <w:rFonts w:ascii="Times New Roman" w:hAnsi="Times New Roman" w:cs="Times New Roman"/>
          <w:b/>
          <w:bCs/>
        </w:rPr>
      </w:pPr>
      <w:r>
        <w:rPr>
          <w:rFonts w:ascii="Times New Roman" w:hAnsi="Times New Roman" w:cs="Times New Roman"/>
          <w:b/>
          <w:bCs/>
        </w:rPr>
        <w:t xml:space="preserve">     Szajkó Gyula</w:t>
      </w:r>
    </w:p>
    <w:p w:rsidR="00AB274D" w:rsidRDefault="00AB274D" w:rsidP="00AB274D">
      <w:pPr>
        <w:widowControl w:val="0"/>
        <w:spacing w:after="0" w:line="240" w:lineRule="auto"/>
        <w:ind w:left="7080"/>
        <w:jc w:val="both"/>
        <w:rPr>
          <w:rFonts w:ascii="Times New Roman" w:eastAsia="Times New Roman" w:hAnsi="Times New Roman" w:cs="Times New Roman"/>
          <w:bCs/>
        </w:rPr>
      </w:pPr>
      <w:r>
        <w:rPr>
          <w:rFonts w:ascii="Times New Roman" w:hAnsi="Times New Roman" w:cs="Times New Roman"/>
          <w:bCs/>
        </w:rPr>
        <w:t xml:space="preserve"> gyakorlati oktató s.k.</w:t>
      </w:r>
    </w:p>
    <w:p w:rsidR="00B87469" w:rsidRDefault="00B87469">
      <w:pPr>
        <w:spacing w:after="200" w:line="276" w:lineRule="auto"/>
        <w:rPr>
          <w:rFonts w:ascii="Times New Roman" w:hAnsi="Times New Roman" w:cs="Times New Roman"/>
          <w:sz w:val="24"/>
        </w:rPr>
      </w:pPr>
    </w:p>
    <w:p w:rsidR="00E36B2F" w:rsidRDefault="00E36B2F">
      <w:pPr>
        <w:spacing w:after="200" w:line="276" w:lineRule="auto"/>
        <w:rPr>
          <w:rFonts w:ascii="Times New Roman" w:hAnsi="Times New Roman" w:cs="Times New Roman"/>
          <w:sz w:val="24"/>
        </w:rPr>
      </w:pPr>
      <w:r>
        <w:rPr>
          <w:rFonts w:ascii="Times New Roman" w:hAnsi="Times New Roman" w:cs="Times New Roman"/>
          <w:sz w:val="24"/>
        </w:rPr>
        <w:br w:type="page"/>
      </w:r>
    </w:p>
    <w:p w:rsidR="00B87469" w:rsidRDefault="00B87469">
      <w:pPr>
        <w:spacing w:after="200" w:line="276" w:lineRule="auto"/>
        <w:rPr>
          <w:rFonts w:ascii="Times New Roman" w:hAnsi="Times New Roman" w:cs="Times New Roman"/>
          <w:sz w:val="24"/>
        </w:rPr>
      </w:pPr>
    </w:p>
    <w:p w:rsidR="007F6328" w:rsidRPr="000D7125" w:rsidRDefault="007F6328" w:rsidP="000D7125">
      <w:pPr>
        <w:pStyle w:val="Cmsor1"/>
        <w:jc w:val="center"/>
        <w:rPr>
          <w:rFonts w:eastAsia="Calibri"/>
          <w:i w:val="0"/>
          <w:szCs w:val="22"/>
          <w:u w:val="none"/>
        </w:rPr>
      </w:pPr>
      <w:bookmarkStart w:id="56" w:name="_Toc37240846"/>
      <w:r w:rsidRPr="000D7125">
        <w:rPr>
          <w:rFonts w:eastAsia="Calibri"/>
          <w:i w:val="0"/>
          <w:szCs w:val="22"/>
          <w:u w:val="none"/>
        </w:rPr>
        <w:t>II. A specializációk anyaga</w:t>
      </w:r>
      <w:bookmarkEnd w:id="56"/>
    </w:p>
    <w:p w:rsidR="007F6328" w:rsidRDefault="007F6328" w:rsidP="00D9638D">
      <w:pPr>
        <w:spacing w:after="200" w:line="276" w:lineRule="auto"/>
        <w:jc w:val="center"/>
        <w:rPr>
          <w:rFonts w:ascii="Times New Roman" w:hAnsi="Times New Roman" w:cs="Times New Roman"/>
          <w:b/>
          <w:color w:val="FF0000"/>
          <w:sz w:val="24"/>
        </w:rPr>
      </w:pPr>
    </w:p>
    <w:p w:rsidR="00B87469" w:rsidRPr="000D7125" w:rsidRDefault="00DC5C4B" w:rsidP="00DC5C4B">
      <w:pPr>
        <w:pStyle w:val="Cmsor1"/>
        <w:spacing w:before="2040"/>
        <w:ind w:left="-76"/>
        <w:jc w:val="center"/>
        <w:rPr>
          <w:rFonts w:eastAsia="Calibri"/>
          <w:i w:val="0"/>
          <w:szCs w:val="22"/>
          <w:u w:val="none"/>
        </w:rPr>
      </w:pPr>
      <w:bookmarkStart w:id="57" w:name="_Toc37240847"/>
      <w:r>
        <w:rPr>
          <w:rFonts w:eastAsia="Calibri"/>
          <w:i w:val="0"/>
          <w:szCs w:val="22"/>
          <w:u w:val="none"/>
        </w:rPr>
        <w:t xml:space="preserve">a) </w:t>
      </w:r>
      <w:r w:rsidR="00B87469" w:rsidRPr="000D7125">
        <w:rPr>
          <w:rFonts w:eastAsia="Calibri"/>
          <w:i w:val="0"/>
          <w:szCs w:val="22"/>
          <w:u w:val="none"/>
        </w:rPr>
        <w:t>Hadtáp specializáció</w:t>
      </w:r>
      <w:bookmarkEnd w:id="57"/>
    </w:p>
    <w:p w:rsidR="00B87469" w:rsidRDefault="00B87469">
      <w:pPr>
        <w:spacing w:after="200" w:line="276" w:lineRule="auto"/>
        <w:rPr>
          <w:rFonts w:ascii="Times New Roman" w:hAnsi="Times New Roman" w:cs="Times New Roman"/>
          <w:sz w:val="24"/>
        </w:rPr>
      </w:pPr>
    </w:p>
    <w:p w:rsidR="00742852" w:rsidRDefault="00742852">
      <w:pPr>
        <w:spacing w:after="200" w:line="276" w:lineRule="auto"/>
        <w:rPr>
          <w:rFonts w:ascii="Times New Roman" w:hAnsi="Times New Roman" w:cs="Times New Roman"/>
          <w:sz w:val="24"/>
        </w:rPr>
      </w:pPr>
      <w:r>
        <w:rPr>
          <w:rFonts w:ascii="Times New Roman" w:hAnsi="Times New Roman" w:cs="Times New Roman"/>
          <w:sz w:val="24"/>
        </w:rPr>
        <w:br w:type="page"/>
      </w:r>
    </w:p>
    <w:tbl>
      <w:tblPr>
        <w:tblW w:w="9072" w:type="dxa"/>
        <w:tblInd w:w="113" w:type="dxa"/>
        <w:tblLook w:val="01E0" w:firstRow="1" w:lastRow="1" w:firstColumn="1" w:lastColumn="1" w:noHBand="0" w:noVBand="0"/>
      </w:tblPr>
      <w:tblGrid>
        <w:gridCol w:w="4855"/>
        <w:gridCol w:w="1620"/>
        <w:gridCol w:w="2597"/>
      </w:tblGrid>
      <w:tr w:rsidR="0043570D" w:rsidTr="0043570D">
        <w:tc>
          <w:tcPr>
            <w:tcW w:w="4855" w:type="dxa"/>
            <w:tcBorders>
              <w:top w:val="nil"/>
              <w:left w:val="nil"/>
              <w:bottom w:val="single" w:sz="4" w:space="0" w:color="auto"/>
              <w:right w:val="nil"/>
            </w:tcBorders>
            <w:hideMark/>
          </w:tcPr>
          <w:p w:rsidR="0043570D" w:rsidRDefault="0043570D">
            <w:pPr>
              <w:spacing w:after="0" w:line="240" w:lineRule="auto"/>
              <w:jc w:val="center"/>
              <w:rPr>
                <w:rFonts w:ascii="Times New Roman" w:eastAsia="Times New Roman" w:hAnsi="Times New Roman" w:cs="Times New Roman"/>
                <w:b/>
                <w:smallCaps/>
                <w:lang w:eastAsia="hu-HU"/>
              </w:rPr>
            </w:pPr>
            <w:r>
              <w:rPr>
                <w:rFonts w:ascii="Times New Roman" w:eastAsia="Times New Roman" w:hAnsi="Times New Roman" w:cs="Times New Roman"/>
                <w:b/>
                <w:smallCaps/>
                <w:lang w:eastAsia="hu-HU"/>
              </w:rPr>
              <w:lastRenderedPageBreak/>
              <w:t>Nemzeti Közszolgálati Egyetem</w:t>
            </w:r>
          </w:p>
        </w:tc>
        <w:tc>
          <w:tcPr>
            <w:tcW w:w="1620" w:type="dxa"/>
          </w:tcPr>
          <w:p w:rsidR="0043570D" w:rsidRDefault="0043570D">
            <w:pPr>
              <w:spacing w:after="0" w:line="240" w:lineRule="auto"/>
              <w:jc w:val="both"/>
              <w:rPr>
                <w:rFonts w:ascii="Times New Roman" w:eastAsia="Times New Roman" w:hAnsi="Times New Roman" w:cs="Times New Roman"/>
                <w:lang w:eastAsia="hu-HU"/>
              </w:rPr>
            </w:pPr>
          </w:p>
        </w:tc>
        <w:tc>
          <w:tcPr>
            <w:tcW w:w="2597" w:type="dxa"/>
          </w:tcPr>
          <w:p w:rsidR="0043570D" w:rsidRDefault="0043570D">
            <w:pPr>
              <w:spacing w:after="0" w:line="240" w:lineRule="auto"/>
              <w:jc w:val="right"/>
              <w:rPr>
                <w:rFonts w:ascii="Times New Roman" w:eastAsia="Times New Roman" w:hAnsi="Times New Roman" w:cs="Times New Roman"/>
                <w:lang w:eastAsia="hu-HU"/>
              </w:rPr>
            </w:pPr>
          </w:p>
        </w:tc>
      </w:tr>
      <w:tr w:rsidR="0043570D" w:rsidTr="0043570D">
        <w:tc>
          <w:tcPr>
            <w:tcW w:w="4855" w:type="dxa"/>
            <w:tcBorders>
              <w:top w:val="single" w:sz="4" w:space="0" w:color="auto"/>
              <w:left w:val="nil"/>
              <w:bottom w:val="nil"/>
              <w:right w:val="nil"/>
            </w:tcBorders>
            <w:hideMark/>
          </w:tcPr>
          <w:p w:rsidR="0043570D" w:rsidRDefault="0043570D">
            <w:pPr>
              <w:spacing w:after="0" w:line="240" w:lineRule="auto"/>
              <w:jc w:val="center"/>
              <w:rPr>
                <w:rFonts w:ascii="Times New Roman" w:eastAsia="Times New Roman" w:hAnsi="Times New Roman" w:cs="Times New Roman"/>
                <w:b/>
                <w:lang w:eastAsia="hu-HU"/>
              </w:rPr>
            </w:pPr>
            <w:r>
              <w:rPr>
                <w:rFonts w:ascii="Times New Roman" w:eastAsia="Times New Roman" w:hAnsi="Times New Roman" w:cs="Times New Roman"/>
                <w:b/>
                <w:lang w:eastAsia="hu-HU"/>
              </w:rPr>
              <w:t>Hadtudományi és Honvédtisztképző Kar</w:t>
            </w:r>
          </w:p>
        </w:tc>
        <w:tc>
          <w:tcPr>
            <w:tcW w:w="1620" w:type="dxa"/>
          </w:tcPr>
          <w:p w:rsidR="0043570D" w:rsidRDefault="0043570D">
            <w:pPr>
              <w:spacing w:after="0" w:line="240" w:lineRule="auto"/>
              <w:jc w:val="both"/>
              <w:rPr>
                <w:rFonts w:ascii="Times New Roman" w:eastAsia="Times New Roman" w:hAnsi="Times New Roman" w:cs="Times New Roman"/>
                <w:lang w:eastAsia="hu-HU"/>
              </w:rPr>
            </w:pPr>
          </w:p>
        </w:tc>
        <w:tc>
          <w:tcPr>
            <w:tcW w:w="2597" w:type="dxa"/>
          </w:tcPr>
          <w:p w:rsidR="0043570D" w:rsidRDefault="0043570D">
            <w:pPr>
              <w:spacing w:after="0" w:line="240" w:lineRule="auto"/>
              <w:jc w:val="both"/>
              <w:rPr>
                <w:rFonts w:ascii="Times New Roman" w:eastAsia="Times New Roman" w:hAnsi="Times New Roman" w:cs="Times New Roman"/>
                <w:lang w:eastAsia="hu-HU"/>
              </w:rPr>
            </w:pPr>
          </w:p>
        </w:tc>
      </w:tr>
    </w:tbl>
    <w:p w:rsidR="0043570D" w:rsidRDefault="0043570D" w:rsidP="0043570D">
      <w:pPr>
        <w:widowControl w:val="0"/>
        <w:spacing w:before="120" w:after="120" w:line="240" w:lineRule="auto"/>
        <w:ind w:left="426" w:hanging="142"/>
        <w:jc w:val="center"/>
        <w:rPr>
          <w:rFonts w:ascii="Times New Roman" w:eastAsia="Times New Roman" w:hAnsi="Times New Roman" w:cs="Times New Roman"/>
          <w:b/>
          <w:bCs/>
        </w:rPr>
      </w:pPr>
    </w:p>
    <w:p w:rsidR="0043570D" w:rsidRDefault="0043570D" w:rsidP="0043570D">
      <w:pPr>
        <w:widowControl w:val="0"/>
        <w:spacing w:before="120" w:after="120" w:line="240" w:lineRule="auto"/>
        <w:ind w:left="426" w:hanging="142"/>
        <w:jc w:val="center"/>
        <w:rPr>
          <w:rFonts w:ascii="Times New Roman" w:eastAsia="Times New Roman" w:hAnsi="Times New Roman" w:cs="Times New Roman"/>
          <w:b/>
          <w:bCs/>
        </w:rPr>
      </w:pPr>
      <w:r>
        <w:rPr>
          <w:rFonts w:ascii="Times New Roman" w:eastAsia="Times New Roman" w:hAnsi="Times New Roman" w:cs="Times New Roman"/>
          <w:b/>
          <w:bCs/>
        </w:rPr>
        <w:t>TANTÁRGYI PROGRAM</w:t>
      </w:r>
    </w:p>
    <w:p w:rsidR="0043570D" w:rsidRDefault="0043570D" w:rsidP="00980876">
      <w:pPr>
        <w:widowControl w:val="0"/>
        <w:numPr>
          <w:ilvl w:val="0"/>
          <w:numId w:val="172"/>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 tantárgy kódja: </w:t>
      </w:r>
      <w:r>
        <w:rPr>
          <w:rFonts w:ascii="Times New Roman" w:hAnsi="Times New Roman" w:cs="Times New Roman"/>
          <w:bCs/>
        </w:rPr>
        <w:t>HKHPKA500</w:t>
      </w:r>
    </w:p>
    <w:p w:rsidR="0043570D" w:rsidRDefault="0043570D" w:rsidP="00980876">
      <w:pPr>
        <w:widowControl w:val="0"/>
        <w:numPr>
          <w:ilvl w:val="0"/>
          <w:numId w:val="172"/>
        </w:numPr>
        <w:spacing w:before="120" w:after="120" w:line="240" w:lineRule="auto"/>
        <w:ind w:left="426" w:hanging="142"/>
        <w:jc w:val="both"/>
        <w:rPr>
          <w:rFonts w:ascii="Times New Roman" w:eastAsia="Times New Roman" w:hAnsi="Times New Roman" w:cs="Times New Roman"/>
          <w:b/>
          <w:bCs/>
          <w:lang w:val="en-GB"/>
        </w:rPr>
      </w:pPr>
      <w:r>
        <w:rPr>
          <w:rFonts w:ascii="Times New Roman" w:eastAsia="Times New Roman" w:hAnsi="Times New Roman" w:cs="Times New Roman"/>
          <w:b/>
          <w:bCs/>
        </w:rPr>
        <w:t>A tantárgy megnevezése (magyarul):</w:t>
      </w:r>
      <w:r>
        <w:rPr>
          <w:rFonts w:ascii="Times New Roman" w:eastAsia="Times New Roman" w:hAnsi="Times New Roman" w:cs="Times New Roman"/>
          <w:bCs/>
        </w:rPr>
        <w:t xml:space="preserve"> </w:t>
      </w:r>
      <w:r>
        <w:rPr>
          <w:rFonts w:ascii="Times New Roman" w:hAnsi="Times New Roman" w:cs="Times New Roman"/>
          <w:bCs/>
        </w:rPr>
        <w:t>Számvitel I. (Alapok)</w:t>
      </w:r>
    </w:p>
    <w:p w:rsidR="0043570D" w:rsidRDefault="0043570D" w:rsidP="00980876">
      <w:pPr>
        <w:widowControl w:val="0"/>
        <w:numPr>
          <w:ilvl w:val="0"/>
          <w:numId w:val="172"/>
        </w:numPr>
        <w:tabs>
          <w:tab w:val="num" w:pos="567"/>
        </w:tabs>
        <w:spacing w:before="120" w:after="120" w:line="240" w:lineRule="auto"/>
        <w:ind w:left="426" w:hanging="142"/>
        <w:jc w:val="both"/>
        <w:rPr>
          <w:rFonts w:ascii="Times New Roman" w:eastAsia="Times New Roman" w:hAnsi="Times New Roman" w:cs="Times New Roman"/>
          <w:b/>
          <w:bCs/>
          <w:lang w:val="en-GB"/>
        </w:rPr>
      </w:pPr>
      <w:r>
        <w:rPr>
          <w:rFonts w:ascii="Times New Roman" w:eastAsia="Times New Roman" w:hAnsi="Times New Roman" w:cs="Times New Roman"/>
          <w:b/>
          <w:bCs/>
        </w:rPr>
        <w:t xml:space="preserve">A tantárgy megnevezése (angolul): </w:t>
      </w:r>
      <w:r>
        <w:rPr>
          <w:rFonts w:ascii="Times New Roman" w:eastAsia="Times New Roman" w:hAnsi="Times New Roman" w:cs="Times New Roman"/>
        </w:rPr>
        <w:t>Accounting I. (Basics)</w:t>
      </w:r>
    </w:p>
    <w:p w:rsidR="0043570D" w:rsidRDefault="0043570D" w:rsidP="00980876">
      <w:pPr>
        <w:widowControl w:val="0"/>
        <w:numPr>
          <w:ilvl w:val="0"/>
          <w:numId w:val="172"/>
        </w:numPr>
        <w:tabs>
          <w:tab w:val="num" w:pos="567"/>
        </w:tabs>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Kreditérték és képzési karakter: </w:t>
      </w:r>
    </w:p>
    <w:p w:rsidR="0043570D" w:rsidRDefault="0043570D" w:rsidP="00980876">
      <w:pPr>
        <w:pStyle w:val="Listaszerbekezds"/>
        <w:widowControl w:val="0"/>
        <w:numPr>
          <w:ilvl w:val="1"/>
          <w:numId w:val="172"/>
        </w:numPr>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3 kredit</w:t>
      </w:r>
    </w:p>
    <w:p w:rsidR="0043570D" w:rsidRDefault="0043570D" w:rsidP="00980876">
      <w:pPr>
        <w:pStyle w:val="Listaszerbekezds"/>
        <w:widowControl w:val="0"/>
        <w:numPr>
          <w:ilvl w:val="1"/>
          <w:numId w:val="172"/>
        </w:numPr>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a tantárgy elméleti vagy gyakorlati jellegének mértéke: 67</w:t>
      </w:r>
      <w:r>
        <w:rPr>
          <w:rFonts w:ascii="Times New Roman" w:eastAsia="Times New Roman" w:hAnsi="Times New Roman" w:cs="Times New Roman"/>
          <w:b/>
          <w:bCs/>
        </w:rPr>
        <w:t xml:space="preserve"> </w:t>
      </w:r>
      <w:r>
        <w:rPr>
          <w:rFonts w:ascii="Times New Roman" w:eastAsia="Times New Roman" w:hAnsi="Times New Roman" w:cs="Times New Roman"/>
          <w:bCs/>
        </w:rPr>
        <w:t>% gyakorlat, 33 % elmélet</w:t>
      </w:r>
    </w:p>
    <w:p w:rsidR="0043570D" w:rsidRDefault="0043570D" w:rsidP="00980876">
      <w:pPr>
        <w:widowControl w:val="0"/>
        <w:numPr>
          <w:ilvl w:val="0"/>
          <w:numId w:val="172"/>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szak(ok), szakirányok/specializációk megnevezése (ahol oktatják):</w:t>
      </w:r>
      <w:r>
        <w:rPr>
          <w:rFonts w:ascii="Times New Roman" w:eastAsia="Times New Roman" w:hAnsi="Times New Roman" w:cs="Times New Roman"/>
          <w:bCs/>
        </w:rPr>
        <w:t xml:space="preserve"> </w:t>
      </w:r>
      <w:r>
        <w:rPr>
          <w:rFonts w:ascii="Times New Roman" w:hAnsi="Times New Roman" w:cs="Times New Roman"/>
          <w:bCs/>
        </w:rPr>
        <w:t>Katonai logisztika alapképzési szak, hadtáp specializáció, katonai pénzügyi specializáció</w:t>
      </w:r>
    </w:p>
    <w:p w:rsidR="0043570D" w:rsidRDefault="0043570D" w:rsidP="00980876">
      <w:pPr>
        <w:widowControl w:val="0"/>
        <w:numPr>
          <w:ilvl w:val="0"/>
          <w:numId w:val="172"/>
        </w:numPr>
        <w:tabs>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Az oktatásért felelős oktatási szervezeti egység megnevezése: </w:t>
      </w:r>
      <w:r>
        <w:rPr>
          <w:rFonts w:ascii="Times New Roman" w:hAnsi="Times New Roman" w:cs="Times New Roman"/>
          <w:bCs/>
        </w:rPr>
        <w:t>NKE HHK Hadtáp, Pénzügyi és Katonai Közlekedési Tanszék</w:t>
      </w:r>
    </w:p>
    <w:p w:rsidR="0043570D" w:rsidRDefault="0043570D" w:rsidP="00980876">
      <w:pPr>
        <w:widowControl w:val="0"/>
        <w:numPr>
          <w:ilvl w:val="0"/>
          <w:numId w:val="172"/>
        </w:numPr>
        <w:tabs>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tantárgyfelelős oktató neve, beosztása, tudományos fokozata:</w:t>
      </w:r>
      <w:r>
        <w:rPr>
          <w:rFonts w:ascii="Times New Roman" w:eastAsia="Times New Roman" w:hAnsi="Times New Roman" w:cs="Times New Roman"/>
          <w:bCs/>
        </w:rPr>
        <w:t xml:space="preserve"> </w:t>
      </w:r>
      <w:r>
        <w:rPr>
          <w:rFonts w:ascii="Times New Roman" w:hAnsi="Times New Roman" w:cs="Times New Roman"/>
          <w:bCs/>
        </w:rPr>
        <w:t>Dr. Pap Andrea, egyetemi docens, (PhD)</w:t>
      </w:r>
    </w:p>
    <w:p w:rsidR="0043570D" w:rsidRDefault="0043570D" w:rsidP="00980876">
      <w:pPr>
        <w:widowControl w:val="0"/>
        <w:numPr>
          <w:ilvl w:val="0"/>
          <w:numId w:val="172"/>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tanórák száma és típusa</w:t>
      </w:r>
    </w:p>
    <w:p w:rsidR="0043570D" w:rsidRDefault="0043570D" w:rsidP="00980876">
      <w:pPr>
        <w:widowControl w:val="0"/>
        <w:numPr>
          <w:ilvl w:val="1"/>
          <w:numId w:val="172"/>
        </w:numPr>
        <w:tabs>
          <w:tab w:val="num" w:pos="709"/>
          <w:tab w:val="num" w:pos="2069"/>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össz óraszám/félév: 42</w:t>
      </w:r>
    </w:p>
    <w:p w:rsidR="0043570D" w:rsidRDefault="0043570D" w:rsidP="00980876">
      <w:pPr>
        <w:widowControl w:val="0"/>
        <w:numPr>
          <w:ilvl w:val="2"/>
          <w:numId w:val="172"/>
        </w:numPr>
        <w:tabs>
          <w:tab w:val="num" w:pos="709"/>
          <w:tab w:val="num" w:pos="1134"/>
        </w:tabs>
        <w:spacing w:before="120" w:after="120" w:line="240" w:lineRule="auto"/>
        <w:ind w:left="993" w:hanging="425"/>
        <w:jc w:val="both"/>
        <w:rPr>
          <w:rFonts w:ascii="Times New Roman" w:eastAsia="Times New Roman" w:hAnsi="Times New Roman" w:cs="Times New Roman"/>
          <w:bCs/>
        </w:rPr>
      </w:pPr>
      <w:r>
        <w:rPr>
          <w:rFonts w:ascii="Times New Roman" w:eastAsia="Times New Roman" w:hAnsi="Times New Roman" w:cs="Times New Roman"/>
          <w:bCs/>
        </w:rPr>
        <w:t>nappali munkarend: (14 EA + 0 SZ + 28 GY)</w:t>
      </w:r>
    </w:p>
    <w:p w:rsidR="0043570D" w:rsidRDefault="0043570D" w:rsidP="00980876">
      <w:pPr>
        <w:widowControl w:val="0"/>
        <w:numPr>
          <w:ilvl w:val="2"/>
          <w:numId w:val="172"/>
        </w:numPr>
        <w:tabs>
          <w:tab w:val="num" w:pos="709"/>
          <w:tab w:val="num" w:pos="1134"/>
        </w:tabs>
        <w:spacing w:before="120" w:after="120" w:line="240" w:lineRule="auto"/>
        <w:ind w:left="993" w:hanging="425"/>
        <w:jc w:val="both"/>
        <w:rPr>
          <w:rFonts w:ascii="Times New Roman" w:eastAsia="Times New Roman" w:hAnsi="Times New Roman" w:cs="Times New Roman"/>
          <w:bCs/>
        </w:rPr>
      </w:pPr>
      <w:r>
        <w:rPr>
          <w:rFonts w:ascii="Times New Roman" w:eastAsia="Times New Roman" w:hAnsi="Times New Roman" w:cs="Times New Roman"/>
          <w:bCs/>
        </w:rPr>
        <w:t>levelező munkarend: -</w:t>
      </w:r>
    </w:p>
    <w:p w:rsidR="0043570D" w:rsidRDefault="0043570D" w:rsidP="00980876">
      <w:pPr>
        <w:widowControl w:val="0"/>
        <w:numPr>
          <w:ilvl w:val="1"/>
          <w:numId w:val="172"/>
        </w:numPr>
        <w:tabs>
          <w:tab w:val="num" w:pos="709"/>
          <w:tab w:val="num" w:pos="2069"/>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heti óraszám - nappali munkarend: 3</w:t>
      </w:r>
    </w:p>
    <w:p w:rsidR="0043570D" w:rsidRDefault="0043570D" w:rsidP="00980876">
      <w:pPr>
        <w:widowControl w:val="0"/>
        <w:numPr>
          <w:ilvl w:val="1"/>
          <w:numId w:val="172"/>
        </w:numPr>
        <w:tabs>
          <w:tab w:val="num" w:pos="709"/>
          <w:tab w:val="num" w:pos="2069"/>
        </w:tabs>
        <w:spacing w:before="120" w:after="120" w:line="240" w:lineRule="auto"/>
        <w:ind w:left="851" w:hanging="425"/>
        <w:jc w:val="both"/>
        <w:rPr>
          <w:rFonts w:ascii="Times New Roman" w:eastAsia="Times New Roman" w:hAnsi="Times New Roman" w:cs="Times New Roman"/>
          <w:bCs/>
        </w:rPr>
      </w:pPr>
      <w:r>
        <w:rPr>
          <w:rFonts w:ascii="Times New Roman" w:hAnsi="Times New Roman" w:cs="Times New Roman"/>
        </w:rPr>
        <w:t>Az ismeret átadásában alkalmazandó további sajátos módok, jellemzők:</w:t>
      </w:r>
      <w:r>
        <w:rPr>
          <w:rFonts w:ascii="Times New Roman" w:hAnsi="Times New Roman" w:cs="Times New Roman"/>
          <w:i/>
        </w:rPr>
        <w:t xml:space="preserve"> Az ismeretek feldolgozása vegyes tanulási program (blended learning) alapján történik.</w:t>
      </w:r>
    </w:p>
    <w:p w:rsidR="0043570D" w:rsidRDefault="0043570D" w:rsidP="00980876">
      <w:pPr>
        <w:widowControl w:val="0"/>
        <w:numPr>
          <w:ilvl w:val="0"/>
          <w:numId w:val="172"/>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tantárgy szakmai tartalma (magyarul):</w:t>
      </w:r>
      <w:r>
        <w:rPr>
          <w:rFonts w:ascii="Times New Roman" w:eastAsia="Times New Roman" w:hAnsi="Times New Roman" w:cs="Times New Roman"/>
          <w:bCs/>
        </w:rPr>
        <w:t xml:space="preserve"> Megismertetni a honvéd tisztjelöltekkel a számviteli elszámolás módszereit.</w:t>
      </w:r>
    </w:p>
    <w:p w:rsidR="0043570D" w:rsidRDefault="0043570D" w:rsidP="0043570D">
      <w:pPr>
        <w:widowControl w:val="0"/>
        <w:spacing w:before="120" w:after="120" w:line="240" w:lineRule="auto"/>
        <w:ind w:left="426"/>
        <w:jc w:val="both"/>
        <w:rPr>
          <w:rFonts w:ascii="Times New Roman" w:eastAsia="Times New Roman" w:hAnsi="Times New Roman" w:cs="Times New Roman"/>
          <w:bCs/>
          <w:lang w:val="en-GB"/>
        </w:rPr>
      </w:pPr>
      <w:r>
        <w:rPr>
          <w:rFonts w:ascii="Times New Roman" w:eastAsia="Times New Roman" w:hAnsi="Times New Roman" w:cs="Times New Roman"/>
          <w:b/>
          <w:bCs/>
        </w:rPr>
        <w:t>A tantárgy szakmai tartalma (angolul) (</w:t>
      </w:r>
      <w:r>
        <w:rPr>
          <w:rFonts w:ascii="Times New Roman" w:eastAsia="Times New Roman" w:hAnsi="Times New Roman" w:cs="Times New Roman"/>
          <w:b/>
          <w:bCs/>
          <w:lang w:val="en-US"/>
        </w:rPr>
        <w:t>Course description</w:t>
      </w:r>
      <w:r>
        <w:rPr>
          <w:rFonts w:ascii="Times New Roman" w:eastAsia="Times New Roman" w:hAnsi="Times New Roman" w:cs="Times New Roman"/>
          <w:b/>
          <w:bCs/>
        </w:rPr>
        <w:t xml:space="preserve">): </w:t>
      </w:r>
      <w:r>
        <w:rPr>
          <w:rFonts w:ascii="Times New Roman" w:eastAsia="Times New Roman" w:hAnsi="Times New Roman" w:cs="Times New Roman"/>
        </w:rPr>
        <w:t>Military officer cadets are familiarized with the methods of accounting.</w:t>
      </w:r>
    </w:p>
    <w:p w:rsidR="0043570D" w:rsidRDefault="0043570D" w:rsidP="00980876">
      <w:pPr>
        <w:pStyle w:val="Listaszerbekezds"/>
        <w:widowControl w:val="0"/>
        <w:numPr>
          <w:ilvl w:val="0"/>
          <w:numId w:val="172"/>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Elérendő kompetenciák (magyarul):</w:t>
      </w:r>
      <w:r>
        <w:rPr>
          <w:rFonts w:ascii="Times New Roman" w:eastAsia="Times New Roman" w:hAnsi="Times New Roman" w:cs="Times New Roman"/>
          <w:bCs/>
        </w:rPr>
        <w:t xml:space="preserve"> </w:t>
      </w:r>
    </w:p>
    <w:p w:rsidR="0043570D" w:rsidRDefault="0043570D" w:rsidP="0043570D">
      <w:pPr>
        <w:widowControl w:val="0"/>
        <w:spacing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Tudása:</w:t>
      </w:r>
    </w:p>
    <w:p w:rsidR="0043570D" w:rsidRDefault="0043570D" w:rsidP="0043570D">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Ismeri a gazdaság és a piacok működésének alapjait, törvényszerűségeit.</w:t>
      </w:r>
    </w:p>
    <w:p w:rsidR="0043570D" w:rsidRDefault="0043570D" w:rsidP="0043570D">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Ismeri a magyar számvitel rendszerét, alapelveit.</w:t>
      </w:r>
    </w:p>
    <w:p w:rsidR="0043570D" w:rsidRDefault="0043570D" w:rsidP="0043570D">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Mélyrehatóan ismeri a gazdasági események könyvelésének és a könyvviteli elszámolásoknak a rendszerét.</w:t>
      </w:r>
    </w:p>
    <w:p w:rsidR="0043570D" w:rsidRDefault="0043570D" w:rsidP="0043570D">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Képességei:</w:t>
      </w:r>
    </w:p>
    <w:p w:rsidR="0043570D" w:rsidRDefault="0043570D" w:rsidP="0043570D">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Képes összeállítani a beszámoló részét képező mérleget és eredménykimutatást, valamint lekönyvelni az alapvető és az összetett gazdasági eseményeket.</w:t>
      </w:r>
    </w:p>
    <w:p w:rsidR="0043570D" w:rsidRDefault="0043570D" w:rsidP="0043570D">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Képes valós és megbízható képet alkotni a gazdálkodó szervezetek vagyonáról, pénzügyi helyzetéről, gazdálkodásának szabályszerűségéről.</w:t>
      </w:r>
    </w:p>
    <w:p w:rsidR="0043570D" w:rsidRDefault="0043570D" w:rsidP="0043570D">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Attitűdje:</w:t>
      </w:r>
      <w:r>
        <w:rPr>
          <w:rFonts w:ascii="Times New Roman" w:eastAsia="Times New Roman" w:hAnsi="Times New Roman" w:cs="Times New Roman"/>
          <w:bCs/>
        </w:rPr>
        <w:t xml:space="preserve"> </w:t>
      </w:r>
    </w:p>
    <w:p w:rsidR="0043570D" w:rsidRDefault="0043570D" w:rsidP="0043570D">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Nyitott szakterülete új eredményei, innovációi iránt, törekszik azok megismerésére, megértésére és alkalmazására, elkötelezett önmaga folyamatos képzésére.</w:t>
      </w:r>
    </w:p>
    <w:p w:rsidR="0043570D" w:rsidRDefault="0043570D" w:rsidP="0043570D">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A minőségi szakmai munkavégzés iránt elkötelezett, azt a pontosságra való törekvés jellemzi.</w:t>
      </w:r>
    </w:p>
    <w:p w:rsidR="0043570D" w:rsidRDefault="0043570D" w:rsidP="0043570D">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Felismeri a rendszerszintű tevékenységben rejlő értékeket, törekszik a logisztikai tevékenységek közötti kapcsolatok értelmezésére.</w:t>
      </w:r>
    </w:p>
    <w:p w:rsidR="0043570D" w:rsidRDefault="0043570D" w:rsidP="0043570D">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lastRenderedPageBreak/>
        <w:t>Autonómiája és felelőssége:</w:t>
      </w:r>
    </w:p>
    <w:p w:rsidR="0043570D" w:rsidRDefault="0043570D" w:rsidP="0043570D">
      <w:pPr>
        <w:widowControl w:val="0"/>
        <w:spacing w:before="120" w:after="120" w:line="240" w:lineRule="auto"/>
        <w:ind w:left="993" w:hanging="360"/>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Felelősséget vállal számvetéseinek pontosságáért.</w:t>
      </w:r>
    </w:p>
    <w:p w:rsidR="0043570D" w:rsidRDefault="0043570D" w:rsidP="0043570D">
      <w:pPr>
        <w:widowControl w:val="0"/>
        <w:spacing w:before="120" w:after="0" w:line="240" w:lineRule="auto"/>
        <w:ind w:left="425"/>
        <w:jc w:val="both"/>
        <w:rPr>
          <w:rFonts w:ascii="Times New Roman" w:eastAsia="Times New Roman" w:hAnsi="Times New Roman" w:cs="Times New Roman"/>
          <w:b/>
          <w:bCs/>
          <w:lang w:val="en-US"/>
        </w:rPr>
      </w:pPr>
      <w:r>
        <w:rPr>
          <w:rFonts w:ascii="Times New Roman" w:eastAsia="Times New Roman" w:hAnsi="Times New Roman" w:cs="Times New Roman"/>
          <w:b/>
          <w:bCs/>
        </w:rPr>
        <w:t>Elérendő kompetenciák (angolul) (</w:t>
      </w:r>
      <w:r>
        <w:rPr>
          <w:rFonts w:ascii="Times New Roman" w:eastAsia="Times New Roman" w:hAnsi="Times New Roman" w:cs="Times New Roman"/>
          <w:b/>
          <w:bCs/>
          <w:lang w:val="en-US"/>
        </w:rPr>
        <w:t xml:space="preserve">Competences – English): </w:t>
      </w:r>
    </w:p>
    <w:p w:rsidR="0043570D" w:rsidRDefault="0043570D" w:rsidP="0043570D">
      <w:pPr>
        <w:widowControl w:val="0"/>
        <w:spacing w:before="120" w:after="0" w:line="240" w:lineRule="auto"/>
        <w:ind w:left="425"/>
        <w:jc w:val="both"/>
        <w:rPr>
          <w:rFonts w:ascii="Times New Roman" w:eastAsia="Times New Roman" w:hAnsi="Times New Roman" w:cs="Times New Roman"/>
          <w:lang w:val="en-GB"/>
        </w:rPr>
      </w:pPr>
      <w:r>
        <w:rPr>
          <w:rFonts w:ascii="Times New Roman" w:eastAsia="Times New Roman" w:hAnsi="Times New Roman" w:cs="Times New Roman"/>
          <w:b/>
          <w:lang w:val="en-GB"/>
        </w:rPr>
        <w:t>Knowledge</w:t>
      </w:r>
      <w:r>
        <w:rPr>
          <w:rFonts w:ascii="Times New Roman" w:eastAsia="Times New Roman" w:hAnsi="Times New Roman" w:cs="Times New Roman"/>
          <w:lang w:val="en-GB"/>
        </w:rPr>
        <w:t xml:space="preserve">: </w:t>
      </w:r>
    </w:p>
    <w:p w:rsidR="0043570D" w:rsidRDefault="0043570D" w:rsidP="0043570D">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The student knows the basics of the operation of the economy and markets.</w:t>
      </w:r>
    </w:p>
    <w:p w:rsidR="0043570D" w:rsidRDefault="0043570D" w:rsidP="0043570D">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Knows the system and principles of accounting in Hungary.</w:t>
      </w:r>
    </w:p>
    <w:p w:rsidR="0043570D" w:rsidRDefault="0043570D" w:rsidP="0043570D">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He / She has an in-depth knowledge of the system of accounting for economic events.</w:t>
      </w:r>
    </w:p>
    <w:p w:rsidR="0043570D" w:rsidRDefault="0043570D" w:rsidP="0043570D">
      <w:pPr>
        <w:widowControl w:val="0"/>
        <w:spacing w:before="120" w:after="0" w:line="240" w:lineRule="auto"/>
        <w:ind w:left="425"/>
        <w:jc w:val="both"/>
        <w:rPr>
          <w:rFonts w:ascii="Times New Roman" w:eastAsia="Times New Roman" w:hAnsi="Times New Roman" w:cs="Times New Roman"/>
          <w:lang w:val="en-GB"/>
        </w:rPr>
      </w:pPr>
      <w:r>
        <w:rPr>
          <w:rFonts w:ascii="Times New Roman" w:eastAsia="Times New Roman" w:hAnsi="Times New Roman" w:cs="Times New Roman"/>
          <w:b/>
          <w:lang w:val="en-GB"/>
        </w:rPr>
        <w:t>Capabilities</w:t>
      </w:r>
      <w:r>
        <w:rPr>
          <w:rFonts w:ascii="Times New Roman" w:eastAsia="Times New Roman" w:hAnsi="Times New Roman" w:cs="Times New Roman"/>
          <w:lang w:val="en-GB"/>
        </w:rPr>
        <w:t xml:space="preserve">: </w:t>
      </w:r>
    </w:p>
    <w:p w:rsidR="0043570D" w:rsidRDefault="0043570D" w:rsidP="0043570D">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He / She is able to prepare the balance sheet and profit and loss account that is part of the financial statements, and to record major and complex economic events.</w:t>
      </w:r>
    </w:p>
    <w:p w:rsidR="0043570D" w:rsidRDefault="0043570D" w:rsidP="0043570D">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He / She is able to give a real and reliable picture of the assets, financial position and regularity of the business organizations.</w:t>
      </w:r>
    </w:p>
    <w:p w:rsidR="0043570D" w:rsidRDefault="0043570D" w:rsidP="004357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425"/>
        <w:jc w:val="both"/>
        <w:rPr>
          <w:rFonts w:ascii="Times New Roman" w:eastAsia="Times New Roman" w:hAnsi="Times New Roman" w:cs="Times New Roman"/>
          <w:lang w:val="en-GB"/>
        </w:rPr>
      </w:pPr>
      <w:r>
        <w:rPr>
          <w:rFonts w:ascii="Times New Roman" w:eastAsia="Times New Roman" w:hAnsi="Times New Roman" w:cs="Times New Roman"/>
          <w:b/>
          <w:lang w:val="en-GB"/>
        </w:rPr>
        <w:t>Attitude:</w:t>
      </w:r>
      <w:r>
        <w:rPr>
          <w:rFonts w:ascii="Times New Roman" w:eastAsia="Times New Roman" w:hAnsi="Times New Roman" w:cs="Times New Roman"/>
          <w:lang w:val="en-GB"/>
        </w:rPr>
        <w:t xml:space="preserve"> </w:t>
      </w:r>
    </w:p>
    <w:p w:rsidR="0043570D" w:rsidRDefault="0043570D" w:rsidP="0043570D">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In his/her specialization he/she is open to new achievements and innovations, strives to know, understand and apply them, and committed to continous self-education.</w:t>
      </w:r>
    </w:p>
    <w:p w:rsidR="0043570D" w:rsidRDefault="0043570D" w:rsidP="0043570D">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His/Her professional work is characterized by high accuracy and quality.</w:t>
      </w:r>
    </w:p>
    <w:p w:rsidR="0043570D" w:rsidRDefault="0043570D" w:rsidP="0043570D">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He/She recognizes the value of systemic activities and seeks to understand the relationships among logistics procedures.</w:t>
      </w:r>
    </w:p>
    <w:p w:rsidR="0043570D" w:rsidRDefault="0043570D" w:rsidP="0043570D">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lang w:val="en-GB"/>
        </w:rPr>
        <w:t xml:space="preserve">Autonomy and responsibility: </w:t>
      </w:r>
    </w:p>
    <w:p w:rsidR="0043570D" w:rsidRDefault="0043570D" w:rsidP="0043570D">
      <w:pPr>
        <w:widowControl w:val="0"/>
        <w:spacing w:before="120" w:after="120" w:line="240" w:lineRule="auto"/>
        <w:ind w:left="993" w:hanging="360"/>
        <w:contextualSpacing/>
        <w:jc w:val="both"/>
        <w:rPr>
          <w:rFonts w:ascii="Times New Roman" w:eastAsia="Times New Roman" w:hAnsi="Times New Roman" w:cs="Times New Roman"/>
          <w:bCs/>
          <w:lang w:val="en-US"/>
        </w:rPr>
      </w:pPr>
      <w:r>
        <w:rPr>
          <w:rFonts w:ascii="Times New Roman" w:eastAsia="Times New Roman" w:hAnsi="Times New Roman" w:cs="Times New Roman"/>
          <w:bCs/>
          <w:lang w:val="en-US"/>
        </w:rPr>
        <w:t>-</w:t>
      </w:r>
      <w:r>
        <w:rPr>
          <w:rFonts w:ascii="Times New Roman" w:eastAsia="Times New Roman" w:hAnsi="Times New Roman" w:cs="Times New Roman"/>
          <w:bCs/>
          <w:lang w:val="en-US"/>
        </w:rPr>
        <w:tab/>
        <w:t>He / She takes responsibility for the accuracy of his/her calculations.</w:t>
      </w:r>
    </w:p>
    <w:p w:rsidR="0043570D" w:rsidRDefault="0043570D" w:rsidP="00980876">
      <w:pPr>
        <w:widowControl w:val="0"/>
        <w:numPr>
          <w:ilvl w:val="0"/>
          <w:numId w:val="172"/>
        </w:numPr>
        <w:tabs>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Előtanulmányi követelmények:</w:t>
      </w:r>
      <w:r>
        <w:rPr>
          <w:rFonts w:ascii="Times New Roman" w:eastAsia="Times New Roman" w:hAnsi="Times New Roman" w:cs="Times New Roman"/>
          <w:bCs/>
        </w:rPr>
        <w:t xml:space="preserve"> –</w:t>
      </w:r>
    </w:p>
    <w:p w:rsidR="0043570D" w:rsidRDefault="0043570D" w:rsidP="00980876">
      <w:pPr>
        <w:widowControl w:val="0"/>
        <w:numPr>
          <w:ilvl w:val="0"/>
          <w:numId w:val="172"/>
        </w:numPr>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A tantárgy tananyagának leírása, tematika. Description of the subject, curriculum (magyarul, angolul - English):</w:t>
      </w:r>
    </w:p>
    <w:p w:rsidR="0043570D" w:rsidRDefault="0043570D" w:rsidP="00980876">
      <w:pPr>
        <w:widowControl w:val="0"/>
        <w:numPr>
          <w:ilvl w:val="1"/>
          <w:numId w:val="172"/>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 számvitel alapfogalmai. A gazdálkodás, valamint a vállalkozás tartalma. A vállalkozási tevékenység sajátosságai. </w:t>
      </w:r>
      <w:r>
        <w:rPr>
          <w:rFonts w:ascii="Times New Roman" w:eastAsia="Times New Roman" w:hAnsi="Times New Roman" w:cs="Times New Roman"/>
          <w:i/>
          <w:kern w:val="2"/>
        </w:rPr>
        <w:t>(Basic concepts of accounting. Content of management and buisness. Characteristics of entrepreneurial activity.)</w:t>
      </w:r>
    </w:p>
    <w:p w:rsidR="0043570D" w:rsidRDefault="0043570D" w:rsidP="00980876">
      <w:pPr>
        <w:widowControl w:val="0"/>
        <w:numPr>
          <w:ilvl w:val="1"/>
          <w:numId w:val="172"/>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 számvitel területei. </w:t>
      </w:r>
      <w:r>
        <w:rPr>
          <w:rFonts w:ascii="Times New Roman" w:eastAsia="Times New Roman" w:hAnsi="Times New Roman" w:cs="Times New Roman"/>
          <w:i/>
          <w:kern w:val="2"/>
        </w:rPr>
        <w:t>(Fields of accounting.)</w:t>
      </w:r>
    </w:p>
    <w:p w:rsidR="0043570D" w:rsidRDefault="0043570D" w:rsidP="00980876">
      <w:pPr>
        <w:widowControl w:val="0"/>
        <w:numPr>
          <w:ilvl w:val="1"/>
          <w:numId w:val="172"/>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 vállalkozások beszámolási és könyvvezetési kötelezettsége. A beszámoló részei. A mérleg fogalma, fajtái és jellemzői. </w:t>
      </w:r>
      <w:r>
        <w:rPr>
          <w:rFonts w:ascii="Times New Roman" w:eastAsia="Times New Roman" w:hAnsi="Times New Roman" w:cs="Times New Roman"/>
          <w:i/>
          <w:kern w:val="2"/>
        </w:rPr>
        <w:t>(Obligations of buisnesses regarding reporting and accounting. Parts of the annual report. Concept, types and characteristics of the balance sheet.)</w:t>
      </w:r>
    </w:p>
    <w:p w:rsidR="0043570D" w:rsidRDefault="0043570D" w:rsidP="00980876">
      <w:pPr>
        <w:widowControl w:val="0"/>
        <w:numPr>
          <w:ilvl w:val="1"/>
          <w:numId w:val="172"/>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Az egyes mérlegfőcsoportok, mérlegcsoportok tartalma.  A mérlegfőcsoportok részletes tartalma, mérlegösszeállítás. </w:t>
      </w:r>
      <w:r>
        <w:rPr>
          <w:rFonts w:ascii="Times New Roman" w:eastAsia="Times New Roman" w:hAnsi="Times New Roman" w:cs="Times New Roman"/>
          <w:i/>
          <w:kern w:val="2"/>
        </w:rPr>
        <w:t>(Contents of the main balance groups and balance groups. Detailed contents of balance groups, compilation of the balance sheet.)</w:t>
      </w:r>
    </w:p>
    <w:p w:rsidR="0043570D" w:rsidRDefault="0043570D" w:rsidP="00980876">
      <w:pPr>
        <w:widowControl w:val="0"/>
        <w:numPr>
          <w:ilvl w:val="1"/>
          <w:numId w:val="172"/>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1. ZH. A gazdasági események fogalma, csoportosítása. </w:t>
      </w:r>
      <w:r>
        <w:rPr>
          <w:rFonts w:ascii="Times New Roman" w:eastAsia="Times New Roman" w:hAnsi="Times New Roman" w:cs="Times New Roman"/>
          <w:i/>
          <w:kern w:val="2"/>
        </w:rPr>
        <w:t>(Written test. The concept and grouping of economic events.)</w:t>
      </w:r>
    </w:p>
    <w:p w:rsidR="0043570D" w:rsidRDefault="0043570D" w:rsidP="00980876">
      <w:pPr>
        <w:widowControl w:val="0"/>
        <w:numPr>
          <w:ilvl w:val="1"/>
          <w:numId w:val="172"/>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Az alapvető és összetett gazdasági események típusai. A főkönyvi számlával kapcsolatos fogalmak. </w:t>
      </w:r>
      <w:r>
        <w:rPr>
          <w:rFonts w:ascii="Times New Roman" w:eastAsia="Times New Roman" w:hAnsi="Times New Roman" w:cs="Times New Roman"/>
          <w:i/>
          <w:kern w:val="2"/>
        </w:rPr>
        <w:t>(Types of basic and complex economic events. General ledger account concepts.</w:t>
      </w:r>
      <w:r>
        <w:rPr>
          <w:rFonts w:ascii="Times New Roman" w:eastAsia="Times New Roman" w:hAnsi="Times New Roman" w:cs="Times New Roman"/>
          <w:kern w:val="2"/>
        </w:rPr>
        <w:t>)</w:t>
      </w:r>
    </w:p>
    <w:p w:rsidR="0043570D" w:rsidRDefault="0043570D" w:rsidP="00980876">
      <w:pPr>
        <w:widowControl w:val="0"/>
        <w:numPr>
          <w:ilvl w:val="1"/>
          <w:numId w:val="172"/>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Az egyes számlatípusok jellemzői. Könyvelés főkönyvi számlákon I-II. </w:t>
      </w:r>
      <w:r>
        <w:rPr>
          <w:rFonts w:ascii="Times New Roman" w:eastAsia="Times New Roman" w:hAnsi="Times New Roman" w:cs="Times New Roman"/>
          <w:i/>
          <w:kern w:val="2"/>
        </w:rPr>
        <w:t>(Features of each account type. Accounting in general ledger accounts.)</w:t>
      </w:r>
    </w:p>
    <w:p w:rsidR="0043570D" w:rsidRDefault="0043570D" w:rsidP="00980876">
      <w:pPr>
        <w:widowControl w:val="0"/>
        <w:numPr>
          <w:ilvl w:val="1"/>
          <w:numId w:val="172"/>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2. ZH. Az eredménykimutatás tartalma és fajtái.  Az eredménykategóriák részletes tartalma. </w:t>
      </w:r>
      <w:r>
        <w:rPr>
          <w:rFonts w:ascii="Times New Roman" w:eastAsia="Times New Roman" w:hAnsi="Times New Roman" w:cs="Times New Roman"/>
          <w:i/>
          <w:kern w:val="2"/>
        </w:rPr>
        <w:t>(Written test. Content and types of profit and loss account. The detailed content of the result categories.)</w:t>
      </w:r>
    </w:p>
    <w:p w:rsidR="0043570D" w:rsidRDefault="0043570D" w:rsidP="00980876">
      <w:pPr>
        <w:widowControl w:val="0"/>
        <w:numPr>
          <w:ilvl w:val="1"/>
          <w:numId w:val="172"/>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 Az eredménykimutatás összeállítása. </w:t>
      </w:r>
      <w:r>
        <w:rPr>
          <w:rFonts w:ascii="Times New Roman" w:eastAsia="Times New Roman" w:hAnsi="Times New Roman" w:cs="Times New Roman"/>
          <w:i/>
          <w:kern w:val="2"/>
        </w:rPr>
        <w:t>(Compilation of the profit and loss account.)</w:t>
      </w:r>
    </w:p>
    <w:p w:rsidR="0043570D" w:rsidRDefault="0043570D" w:rsidP="00980876">
      <w:pPr>
        <w:widowControl w:val="0"/>
        <w:numPr>
          <w:ilvl w:val="1"/>
          <w:numId w:val="172"/>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 Az eszközök és források értékelésének legfontosabb szabályai. Gyakorlás. </w:t>
      </w:r>
      <w:r>
        <w:rPr>
          <w:rFonts w:ascii="Times New Roman" w:eastAsia="Times New Roman" w:hAnsi="Times New Roman" w:cs="Times New Roman"/>
          <w:i/>
          <w:kern w:val="2"/>
        </w:rPr>
        <w:t>(The most important rules for valuing assets and liabilities. Practice.)</w:t>
      </w:r>
    </w:p>
    <w:p w:rsidR="0043570D" w:rsidRDefault="0043570D" w:rsidP="00980876">
      <w:pPr>
        <w:widowControl w:val="0"/>
        <w:numPr>
          <w:ilvl w:val="0"/>
          <w:numId w:val="172"/>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 tantárgy meghirdetésének gyakorisága/a tantervben történő félévi elhelyezkedése: </w:t>
      </w:r>
      <w:r>
        <w:rPr>
          <w:rFonts w:ascii="Times New Roman" w:eastAsia="Times New Roman" w:hAnsi="Times New Roman" w:cs="Times New Roman"/>
          <w:bCs/>
        </w:rPr>
        <w:t>Minden őszi szemeszterben / 5. félév</w:t>
      </w:r>
    </w:p>
    <w:p w:rsidR="0043570D" w:rsidRDefault="0043570D" w:rsidP="00980876">
      <w:pPr>
        <w:widowControl w:val="0"/>
        <w:numPr>
          <w:ilvl w:val="0"/>
          <w:numId w:val="172"/>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lastRenderedPageBreak/>
        <w:t>A tanórákon való részvétel követelményei, az elfogadható hiányzások mértéke, a távolmaradás pótlásának lehetősége:</w:t>
      </w:r>
      <w:r>
        <w:rPr>
          <w:rFonts w:ascii="Times New Roman" w:eastAsia="Times New Roman" w:hAnsi="Times New Roman" w:cs="Times New Roman"/>
          <w:bCs/>
        </w:rPr>
        <w:t xml:space="preserve"> A tanórákon való részvétel kötelező.</w:t>
      </w:r>
      <w:r>
        <w:rPr>
          <w:rFonts w:ascii="Times New Roman" w:eastAsia="Times New Roman" w:hAnsi="Times New Roman" w:cs="Times New Roman"/>
          <w:b/>
          <w:bCs/>
        </w:rPr>
        <w:t xml:space="preserve"> </w:t>
      </w:r>
      <w:r>
        <w:rPr>
          <w:rFonts w:ascii="Times New Roman" w:eastAsia="Times New Roman" w:hAnsi="Times New Roman" w:cs="Times New Roman"/>
          <w:bCs/>
        </w:rPr>
        <w:t>A félév elfogadásának feltétele a tanórák minimum 80%-án való részvétel. A hallgatónak a kimaradt tananyagot önképzés keretén belül kell elsajátítani. A kimaradt tananyag jobb megértése érdekében az oktató konzultációs lehetőséget biztosíthat.</w:t>
      </w:r>
    </w:p>
    <w:p w:rsidR="0043570D" w:rsidRDefault="0043570D" w:rsidP="00980876">
      <w:pPr>
        <w:widowControl w:val="0"/>
        <w:numPr>
          <w:ilvl w:val="0"/>
          <w:numId w:val="172"/>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rPr>
        <w:t xml:space="preserve">Félévközi feladatok, ismeretek ellenőrzésének rendje: </w:t>
      </w:r>
      <w:r>
        <w:rPr>
          <w:rFonts w:ascii="Times New Roman" w:eastAsia="Times New Roman" w:hAnsi="Times New Roman" w:cs="Times New Roman"/>
        </w:rPr>
        <w:t>A honvéd tisztjelöltek részére a félév elején kiadásra kerül a házi feladat, amelynek beadási határideje az oktató által a félév elején meghatározott időpont, de legkésőbb a szorgalmi időszak utolsó hete.</w:t>
      </w:r>
    </w:p>
    <w:p w:rsidR="0043570D" w:rsidRDefault="0043570D" w:rsidP="00980876">
      <w:pPr>
        <w:widowControl w:val="0"/>
        <w:numPr>
          <w:ilvl w:val="0"/>
          <w:numId w:val="172"/>
        </w:numPr>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Az értékelés, az aláírás és a kreditek megszerzésének pontos feltételei: </w:t>
      </w:r>
    </w:p>
    <w:p w:rsidR="0043570D" w:rsidRDefault="0043570D" w:rsidP="00980876">
      <w:pPr>
        <w:widowControl w:val="0"/>
        <w:numPr>
          <w:ilvl w:val="1"/>
          <w:numId w:val="172"/>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Az aláírás megszerzésének feltételei:</w:t>
      </w:r>
    </w:p>
    <w:p w:rsidR="0043570D" w:rsidRDefault="0043570D" w:rsidP="0043570D">
      <w:pPr>
        <w:widowControl w:val="0"/>
        <w:tabs>
          <w:tab w:val="left" w:pos="993"/>
        </w:tabs>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Az aláírás feltétele a tanórákon történő – 14. pontban meghatározott – részvétel, valamint a zárthelyi dolgozatok sikeres megírása (elfogadáshoz dolgozatonként legalább az 51 % elérése), továbbá a házi feladat határidőre történő beadása.</w:t>
      </w:r>
    </w:p>
    <w:p w:rsidR="0043570D" w:rsidRDefault="0043570D" w:rsidP="00980876">
      <w:pPr>
        <w:widowControl w:val="0"/>
        <w:numPr>
          <w:ilvl w:val="1"/>
          <w:numId w:val="172"/>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Az értékelés:</w:t>
      </w:r>
    </w:p>
    <w:p w:rsidR="0043570D" w:rsidRDefault="0043570D" w:rsidP="0043570D">
      <w:pPr>
        <w:widowControl w:val="0"/>
        <w:tabs>
          <w:tab w:val="left" w:pos="993"/>
        </w:tabs>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A tantárgy vizsgával zárul, amely írásbeli kollokvium. A kollokviumi jegy megállapítása az írásbeli vizsgadolgozat összpontszáma alapján történik, az elégséges szint 51 %.</w:t>
      </w:r>
    </w:p>
    <w:p w:rsidR="0043570D" w:rsidRDefault="0043570D" w:rsidP="00980876">
      <w:pPr>
        <w:widowControl w:val="0"/>
        <w:numPr>
          <w:ilvl w:val="1"/>
          <w:numId w:val="172"/>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 kreditek megszerzésének feltételei:</w:t>
      </w:r>
      <w:r>
        <w:rPr>
          <w:rFonts w:ascii="Times New Roman" w:eastAsia="Times New Roman" w:hAnsi="Times New Roman" w:cs="Times New Roman"/>
        </w:rPr>
        <w:t xml:space="preserve"> </w:t>
      </w:r>
    </w:p>
    <w:p w:rsidR="0043570D" w:rsidRDefault="0043570D" w:rsidP="0043570D">
      <w:pPr>
        <w:widowControl w:val="0"/>
        <w:tabs>
          <w:tab w:val="left" w:pos="993"/>
        </w:tabs>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A kreditek megszerzésének feltétele az aláírás megszerzése és a legalább elégséges kollokviumi jegy.</w:t>
      </w:r>
    </w:p>
    <w:p w:rsidR="0043570D" w:rsidRDefault="0043570D" w:rsidP="00980876">
      <w:pPr>
        <w:widowControl w:val="0"/>
        <w:numPr>
          <w:ilvl w:val="0"/>
          <w:numId w:val="172"/>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Irodalomjegyzék:</w:t>
      </w:r>
    </w:p>
    <w:p w:rsidR="0043570D" w:rsidRDefault="0043570D" w:rsidP="00980876">
      <w:pPr>
        <w:widowControl w:val="0"/>
        <w:numPr>
          <w:ilvl w:val="1"/>
          <w:numId w:val="172"/>
        </w:numPr>
        <w:tabs>
          <w:tab w:val="left" w:pos="567"/>
          <w:tab w:val="left" w:pos="851"/>
          <w:tab w:val="num" w:pos="2069"/>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Kötelező irodalom:</w:t>
      </w:r>
    </w:p>
    <w:p w:rsidR="00A30EA9" w:rsidRPr="00A30EA9" w:rsidRDefault="00A30EA9" w:rsidP="00980876">
      <w:pPr>
        <w:pStyle w:val="Listaszerbekezds"/>
        <w:widowControl w:val="0"/>
        <w:numPr>
          <w:ilvl w:val="0"/>
          <w:numId w:val="753"/>
        </w:numPr>
        <w:spacing w:after="0" w:line="240" w:lineRule="auto"/>
        <w:jc w:val="both"/>
        <w:rPr>
          <w:rFonts w:ascii="Times New Roman" w:eastAsia="Times New Roman" w:hAnsi="Times New Roman" w:cs="Times New Roman"/>
        </w:rPr>
      </w:pPr>
      <w:r w:rsidRPr="00A30EA9">
        <w:rPr>
          <w:rFonts w:ascii="Times New Roman" w:eastAsia="Times New Roman" w:hAnsi="Times New Roman" w:cs="Times New Roman"/>
        </w:rPr>
        <w:t>Csepreginé Gallasz Andrea–Török Tamás Pál: Számviteli alapismeretek. Dialóg Campus, Budapest , 2019 p.174, ISBN 978-963-531-099-9 (PDF)</w:t>
      </w:r>
    </w:p>
    <w:p w:rsidR="0043570D" w:rsidRDefault="0043570D" w:rsidP="00980876">
      <w:pPr>
        <w:widowControl w:val="0"/>
        <w:numPr>
          <w:ilvl w:val="0"/>
          <w:numId w:val="753"/>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Dr. Siklósi Ágnes – Dr. Simon Szilvia – Dr. Veress Attila: Bevezetés a számvitelbe Számvitel alapjai példatár (Perfekt 2015.)</w:t>
      </w:r>
    </w:p>
    <w:p w:rsidR="0043570D" w:rsidRDefault="0043570D" w:rsidP="00980876">
      <w:pPr>
        <w:widowControl w:val="0"/>
        <w:numPr>
          <w:ilvl w:val="0"/>
          <w:numId w:val="753"/>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Pap Andrea: A számvitel alapjai gyakorlófeladatok (elektronikus jegyzet) (Dialóg Campus Kiadó 2018., ISBN 9786155889479)</w:t>
      </w:r>
    </w:p>
    <w:p w:rsidR="0043570D" w:rsidRDefault="0043570D" w:rsidP="00980876">
      <w:pPr>
        <w:widowControl w:val="0"/>
        <w:numPr>
          <w:ilvl w:val="1"/>
          <w:numId w:val="172"/>
        </w:numPr>
        <w:tabs>
          <w:tab w:val="num" w:pos="567"/>
          <w:tab w:val="num" w:pos="2069"/>
        </w:tabs>
        <w:spacing w:before="120" w:after="120" w:line="240" w:lineRule="auto"/>
        <w:ind w:left="993" w:hanging="709"/>
        <w:jc w:val="both"/>
        <w:rPr>
          <w:rFonts w:ascii="Times New Roman" w:eastAsia="Times New Roman" w:hAnsi="Times New Roman" w:cs="Times New Roman"/>
          <w:b/>
          <w:bCs/>
        </w:rPr>
      </w:pPr>
      <w:r>
        <w:rPr>
          <w:rFonts w:ascii="Times New Roman" w:eastAsia="Times New Roman" w:hAnsi="Times New Roman" w:cs="Times New Roman"/>
          <w:b/>
          <w:bCs/>
        </w:rPr>
        <w:t>Ajánlott irodalom:</w:t>
      </w:r>
    </w:p>
    <w:p w:rsidR="00A30EA9" w:rsidRDefault="0043570D" w:rsidP="00980876">
      <w:pPr>
        <w:pStyle w:val="Listaszerbekezds"/>
        <w:widowControl w:val="0"/>
        <w:numPr>
          <w:ilvl w:val="0"/>
          <w:numId w:val="173"/>
        </w:numPr>
        <w:spacing w:after="0" w:line="240" w:lineRule="auto"/>
        <w:jc w:val="both"/>
        <w:rPr>
          <w:rFonts w:ascii="Times New Roman" w:eastAsia="Times New Roman" w:hAnsi="Times New Roman" w:cs="Times New Roman"/>
        </w:rPr>
      </w:pPr>
      <w:r w:rsidRPr="00A30EA9">
        <w:rPr>
          <w:rFonts w:ascii="Times New Roman" w:eastAsia="Times New Roman" w:hAnsi="Times New Roman" w:cs="Times New Roman"/>
        </w:rPr>
        <w:t>Kardos Péter – Dr. Szakács Imre – Tóth Mihály: A számvitel nagy kézikönyve 2019. (Wolters Kluwer (Complex) Kiadó 2019., ISBN 9789632957821)</w:t>
      </w:r>
    </w:p>
    <w:p w:rsidR="00A30EA9" w:rsidRDefault="00A30EA9" w:rsidP="00980876">
      <w:pPr>
        <w:widowControl w:val="0"/>
        <w:numPr>
          <w:ilvl w:val="0"/>
          <w:numId w:val="173"/>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Dr. Sztanó Imre: A számvitel alapjai (Perfekt Zrt. 2019., ISBN </w:t>
      </w:r>
      <w:r>
        <w:rPr>
          <w:rFonts w:ascii="Times New Roman" w:eastAsia="Times New Roman" w:hAnsi="Times New Roman" w:cs="Times New Roman"/>
          <w:bCs/>
        </w:rPr>
        <w:t>9789633948651</w:t>
      </w:r>
      <w:r>
        <w:rPr>
          <w:rFonts w:ascii="Times New Roman" w:eastAsia="Times New Roman" w:hAnsi="Times New Roman" w:cs="Times New Roman"/>
        </w:rPr>
        <w:t>)</w:t>
      </w:r>
    </w:p>
    <w:p w:rsidR="00A30EA9" w:rsidRDefault="00A30EA9" w:rsidP="0043570D">
      <w:pPr>
        <w:widowControl w:val="0"/>
        <w:spacing w:before="120" w:after="120" w:line="240" w:lineRule="auto"/>
        <w:jc w:val="both"/>
        <w:rPr>
          <w:rFonts w:ascii="Times New Roman" w:eastAsia="Times New Roman" w:hAnsi="Times New Roman" w:cs="Times New Roman"/>
          <w:bCs/>
        </w:rPr>
      </w:pPr>
    </w:p>
    <w:p w:rsidR="0043570D" w:rsidRDefault="0043570D" w:rsidP="0043570D">
      <w:pPr>
        <w:widowControl w:val="0"/>
        <w:spacing w:before="120" w:after="120" w:line="240" w:lineRule="auto"/>
        <w:jc w:val="both"/>
        <w:rPr>
          <w:rFonts w:ascii="Times New Roman" w:eastAsia="Times New Roman" w:hAnsi="Times New Roman" w:cs="Times New Roman"/>
          <w:bCs/>
        </w:rPr>
      </w:pPr>
      <w:r>
        <w:rPr>
          <w:rFonts w:ascii="Times New Roman" w:eastAsia="Times New Roman" w:hAnsi="Times New Roman" w:cs="Times New Roman"/>
          <w:bCs/>
        </w:rPr>
        <w:t>Budapest, 2020. január 18.</w:t>
      </w:r>
    </w:p>
    <w:p w:rsidR="0043570D" w:rsidRDefault="0043570D" w:rsidP="0043570D">
      <w:pPr>
        <w:widowControl w:val="0"/>
        <w:spacing w:before="120" w:after="120" w:line="240" w:lineRule="auto"/>
        <w:jc w:val="both"/>
        <w:rPr>
          <w:rFonts w:ascii="Times New Roman" w:eastAsia="Times New Roman" w:hAnsi="Times New Roman" w:cs="Times New Roman"/>
          <w:bCs/>
        </w:rPr>
      </w:pPr>
    </w:p>
    <w:p w:rsidR="0043570D" w:rsidRDefault="0043570D" w:rsidP="00EB017F">
      <w:pPr>
        <w:widowControl w:val="0"/>
        <w:spacing w:after="0" w:line="240" w:lineRule="auto"/>
        <w:ind w:left="4820" w:hanging="6"/>
        <w:jc w:val="center"/>
        <w:rPr>
          <w:rFonts w:ascii="Times New Roman" w:hAnsi="Times New Roman" w:cs="Times New Roman"/>
          <w:b/>
          <w:bCs/>
        </w:rPr>
      </w:pPr>
      <w:r>
        <w:rPr>
          <w:rFonts w:ascii="Times New Roman" w:hAnsi="Times New Roman" w:cs="Times New Roman"/>
          <w:b/>
          <w:bCs/>
        </w:rPr>
        <w:t>Dr. Pap Andrea (PhD)</w:t>
      </w:r>
    </w:p>
    <w:p w:rsidR="0043570D" w:rsidRDefault="0043570D" w:rsidP="00EB017F">
      <w:pPr>
        <w:widowControl w:val="0"/>
        <w:spacing w:after="0" w:line="240" w:lineRule="auto"/>
        <w:ind w:left="4820" w:hanging="6"/>
        <w:jc w:val="center"/>
        <w:rPr>
          <w:rFonts w:ascii="Times New Roman" w:eastAsia="Times New Roman" w:hAnsi="Times New Roman" w:cs="Times New Roman"/>
          <w:bCs/>
        </w:rPr>
      </w:pPr>
      <w:r>
        <w:rPr>
          <w:rFonts w:ascii="Times New Roman" w:hAnsi="Times New Roman" w:cs="Times New Roman"/>
          <w:bCs/>
        </w:rPr>
        <w:t>tanszékvezető, egyetemi docens s.k.</w:t>
      </w:r>
    </w:p>
    <w:p w:rsidR="0043570D" w:rsidRDefault="0043570D" w:rsidP="0043570D">
      <w:pPr>
        <w:rPr>
          <w:rFonts w:ascii="Times New Roman" w:hAnsi="Times New Roman" w:cs="Times New Roman"/>
        </w:rPr>
      </w:pPr>
    </w:p>
    <w:p w:rsidR="00742852" w:rsidRDefault="00742852">
      <w:pPr>
        <w:spacing w:after="200" w:line="276" w:lineRule="auto"/>
        <w:rPr>
          <w:rFonts w:ascii="Times New Roman" w:hAnsi="Times New Roman" w:cs="Times New Roman"/>
          <w:sz w:val="24"/>
        </w:rPr>
      </w:pPr>
    </w:p>
    <w:p w:rsidR="0043570D" w:rsidRDefault="0043570D">
      <w:pPr>
        <w:spacing w:after="200" w:line="276" w:lineRule="auto"/>
        <w:rPr>
          <w:rFonts w:ascii="Times New Roman" w:hAnsi="Times New Roman" w:cs="Times New Roman"/>
          <w:sz w:val="24"/>
        </w:rPr>
      </w:pPr>
      <w:r>
        <w:rPr>
          <w:rFonts w:ascii="Times New Roman" w:hAnsi="Times New Roman" w:cs="Times New Roman"/>
          <w:sz w:val="24"/>
        </w:rPr>
        <w:br w:type="page"/>
      </w:r>
    </w:p>
    <w:tbl>
      <w:tblPr>
        <w:tblW w:w="9072" w:type="dxa"/>
        <w:tblInd w:w="113" w:type="dxa"/>
        <w:tblLook w:val="01E0" w:firstRow="1" w:lastRow="1" w:firstColumn="1" w:lastColumn="1" w:noHBand="0" w:noVBand="0"/>
      </w:tblPr>
      <w:tblGrid>
        <w:gridCol w:w="4855"/>
        <w:gridCol w:w="1620"/>
        <w:gridCol w:w="2597"/>
      </w:tblGrid>
      <w:tr w:rsidR="0043570D" w:rsidTr="0043570D">
        <w:tc>
          <w:tcPr>
            <w:tcW w:w="4855" w:type="dxa"/>
            <w:tcBorders>
              <w:top w:val="nil"/>
              <w:left w:val="nil"/>
              <w:bottom w:val="single" w:sz="4" w:space="0" w:color="auto"/>
              <w:right w:val="nil"/>
            </w:tcBorders>
            <w:hideMark/>
          </w:tcPr>
          <w:p w:rsidR="0043570D" w:rsidRDefault="0043570D">
            <w:pPr>
              <w:spacing w:after="0" w:line="240" w:lineRule="auto"/>
              <w:jc w:val="center"/>
              <w:rPr>
                <w:rFonts w:ascii="Times New Roman" w:eastAsia="Times New Roman" w:hAnsi="Times New Roman" w:cs="Times New Roman"/>
                <w:b/>
                <w:smallCaps/>
                <w:lang w:eastAsia="hu-HU"/>
              </w:rPr>
            </w:pPr>
            <w:r>
              <w:rPr>
                <w:rFonts w:ascii="Times New Roman" w:eastAsia="Times New Roman" w:hAnsi="Times New Roman" w:cs="Times New Roman"/>
                <w:b/>
                <w:smallCaps/>
                <w:lang w:eastAsia="hu-HU"/>
              </w:rPr>
              <w:lastRenderedPageBreak/>
              <w:t>Nemzeti Közszolgálati Egyetem</w:t>
            </w:r>
          </w:p>
        </w:tc>
        <w:tc>
          <w:tcPr>
            <w:tcW w:w="1620" w:type="dxa"/>
          </w:tcPr>
          <w:p w:rsidR="0043570D" w:rsidRDefault="0043570D">
            <w:pPr>
              <w:spacing w:after="0" w:line="240" w:lineRule="auto"/>
              <w:jc w:val="both"/>
              <w:rPr>
                <w:rFonts w:ascii="Times New Roman" w:eastAsia="Times New Roman" w:hAnsi="Times New Roman" w:cs="Times New Roman"/>
                <w:lang w:eastAsia="hu-HU"/>
              </w:rPr>
            </w:pPr>
          </w:p>
        </w:tc>
        <w:tc>
          <w:tcPr>
            <w:tcW w:w="2597" w:type="dxa"/>
          </w:tcPr>
          <w:p w:rsidR="0043570D" w:rsidRDefault="0043570D">
            <w:pPr>
              <w:spacing w:after="0" w:line="240" w:lineRule="auto"/>
              <w:jc w:val="right"/>
              <w:rPr>
                <w:rFonts w:ascii="Times New Roman" w:eastAsia="Times New Roman" w:hAnsi="Times New Roman" w:cs="Times New Roman"/>
                <w:lang w:eastAsia="hu-HU"/>
              </w:rPr>
            </w:pPr>
          </w:p>
        </w:tc>
      </w:tr>
      <w:tr w:rsidR="0043570D" w:rsidTr="0043570D">
        <w:tc>
          <w:tcPr>
            <w:tcW w:w="4855" w:type="dxa"/>
            <w:tcBorders>
              <w:top w:val="single" w:sz="4" w:space="0" w:color="auto"/>
              <w:left w:val="nil"/>
              <w:bottom w:val="nil"/>
              <w:right w:val="nil"/>
            </w:tcBorders>
            <w:hideMark/>
          </w:tcPr>
          <w:p w:rsidR="0043570D" w:rsidRDefault="0043570D">
            <w:pPr>
              <w:pStyle w:val="Szvegtrzs"/>
              <w:spacing w:line="256" w:lineRule="auto"/>
              <w:jc w:val="center"/>
              <w:rPr>
                <w:b/>
                <w:lang w:eastAsia="en-US"/>
              </w:rPr>
            </w:pPr>
            <w:r>
              <w:rPr>
                <w:b/>
                <w:lang w:eastAsia="en-US"/>
              </w:rPr>
              <w:t>Hadtudományi és Honvédtisztképző Kar</w:t>
            </w:r>
          </w:p>
        </w:tc>
        <w:tc>
          <w:tcPr>
            <w:tcW w:w="1620" w:type="dxa"/>
          </w:tcPr>
          <w:p w:rsidR="0043570D" w:rsidRDefault="0043570D">
            <w:pPr>
              <w:pStyle w:val="Szvegtrzs"/>
              <w:spacing w:line="256" w:lineRule="auto"/>
              <w:rPr>
                <w:lang w:eastAsia="en-US"/>
              </w:rPr>
            </w:pPr>
          </w:p>
        </w:tc>
        <w:tc>
          <w:tcPr>
            <w:tcW w:w="2597" w:type="dxa"/>
          </w:tcPr>
          <w:p w:rsidR="0043570D" w:rsidRDefault="0043570D">
            <w:pPr>
              <w:pStyle w:val="Szvegtrzs"/>
              <w:spacing w:line="256" w:lineRule="auto"/>
              <w:rPr>
                <w:lang w:eastAsia="en-US"/>
              </w:rPr>
            </w:pPr>
          </w:p>
        </w:tc>
      </w:tr>
    </w:tbl>
    <w:p w:rsidR="0043570D" w:rsidRDefault="0043570D" w:rsidP="0043570D">
      <w:pPr>
        <w:widowControl w:val="0"/>
        <w:spacing w:before="120" w:after="120" w:line="240" w:lineRule="auto"/>
        <w:ind w:left="426" w:hanging="142"/>
        <w:jc w:val="center"/>
        <w:rPr>
          <w:rFonts w:ascii="Times New Roman" w:eastAsia="Times New Roman" w:hAnsi="Times New Roman" w:cs="Times New Roman"/>
          <w:b/>
          <w:bCs/>
        </w:rPr>
      </w:pPr>
    </w:p>
    <w:p w:rsidR="0043570D" w:rsidRDefault="0043570D" w:rsidP="0043570D">
      <w:pPr>
        <w:widowControl w:val="0"/>
        <w:spacing w:before="120" w:after="120" w:line="240" w:lineRule="auto"/>
        <w:ind w:left="426" w:hanging="142"/>
        <w:jc w:val="center"/>
        <w:rPr>
          <w:rFonts w:ascii="Times New Roman" w:eastAsia="Times New Roman" w:hAnsi="Times New Roman" w:cs="Times New Roman"/>
          <w:b/>
          <w:bCs/>
        </w:rPr>
      </w:pPr>
      <w:r>
        <w:rPr>
          <w:rFonts w:ascii="Times New Roman" w:eastAsia="Times New Roman" w:hAnsi="Times New Roman" w:cs="Times New Roman"/>
          <w:b/>
          <w:bCs/>
        </w:rPr>
        <w:t>TANTÁRGYI PROGRAM</w:t>
      </w:r>
    </w:p>
    <w:p w:rsidR="0043570D" w:rsidRDefault="0043570D" w:rsidP="00980876">
      <w:pPr>
        <w:widowControl w:val="0"/>
        <w:numPr>
          <w:ilvl w:val="0"/>
          <w:numId w:val="176"/>
        </w:numPr>
        <w:tabs>
          <w:tab w:val="clear" w:pos="720"/>
          <w:tab w:val="num" w:pos="567"/>
          <w:tab w:val="num" w:pos="643"/>
        </w:tabs>
        <w:spacing w:before="120" w:after="120" w:line="240" w:lineRule="auto"/>
        <w:ind w:left="643"/>
        <w:jc w:val="both"/>
        <w:rPr>
          <w:rFonts w:ascii="Times New Roman" w:eastAsia="Times New Roman" w:hAnsi="Times New Roman" w:cs="Times New Roman"/>
          <w:bCs/>
        </w:rPr>
      </w:pPr>
      <w:r>
        <w:rPr>
          <w:rFonts w:ascii="Times New Roman" w:eastAsia="Times New Roman" w:hAnsi="Times New Roman" w:cs="Times New Roman"/>
          <w:b/>
          <w:bCs/>
        </w:rPr>
        <w:t xml:space="preserve">A tantárgy kódja: </w:t>
      </w:r>
      <w:r>
        <w:rPr>
          <w:rFonts w:ascii="Times New Roman" w:eastAsia="Times New Roman" w:hAnsi="Times New Roman" w:cs="Times New Roman"/>
          <w:bCs/>
        </w:rPr>
        <w:t>HKHPKA501</w:t>
      </w:r>
    </w:p>
    <w:p w:rsidR="0043570D" w:rsidRDefault="0043570D" w:rsidP="00980876">
      <w:pPr>
        <w:widowControl w:val="0"/>
        <w:numPr>
          <w:ilvl w:val="0"/>
          <w:numId w:val="176"/>
        </w:numPr>
        <w:tabs>
          <w:tab w:val="clear" w:pos="720"/>
          <w:tab w:val="num" w:pos="567"/>
          <w:tab w:val="num" w:pos="643"/>
        </w:tabs>
        <w:spacing w:before="120" w:after="120" w:line="240" w:lineRule="auto"/>
        <w:ind w:left="643"/>
        <w:jc w:val="both"/>
        <w:rPr>
          <w:rFonts w:ascii="Times New Roman" w:eastAsia="Times New Roman" w:hAnsi="Times New Roman" w:cs="Times New Roman"/>
          <w:b/>
          <w:bCs/>
          <w:lang w:val="en-GB"/>
        </w:rPr>
      </w:pPr>
      <w:r>
        <w:rPr>
          <w:rFonts w:ascii="Times New Roman" w:eastAsia="Times New Roman" w:hAnsi="Times New Roman" w:cs="Times New Roman"/>
          <w:b/>
          <w:bCs/>
        </w:rPr>
        <w:t>A tantárgy megnevezése (magyarul):</w:t>
      </w:r>
      <w:r>
        <w:rPr>
          <w:bCs/>
        </w:rPr>
        <w:t xml:space="preserve"> </w:t>
      </w:r>
      <w:r>
        <w:rPr>
          <w:rFonts w:ascii="Times New Roman" w:eastAsia="Times New Roman" w:hAnsi="Times New Roman" w:cs="Times New Roman"/>
          <w:bCs/>
        </w:rPr>
        <w:t>Pénzügyek I. (Alapok)</w:t>
      </w:r>
    </w:p>
    <w:p w:rsidR="0043570D" w:rsidRDefault="0043570D" w:rsidP="00980876">
      <w:pPr>
        <w:widowControl w:val="0"/>
        <w:numPr>
          <w:ilvl w:val="0"/>
          <w:numId w:val="176"/>
        </w:numPr>
        <w:tabs>
          <w:tab w:val="clear" w:pos="720"/>
          <w:tab w:val="num" w:pos="567"/>
          <w:tab w:val="num" w:pos="643"/>
        </w:tabs>
        <w:spacing w:before="120" w:after="120" w:line="240" w:lineRule="auto"/>
        <w:ind w:left="643"/>
        <w:jc w:val="both"/>
        <w:rPr>
          <w:rFonts w:ascii="Times New Roman" w:eastAsia="Times New Roman" w:hAnsi="Times New Roman" w:cs="Times New Roman"/>
          <w:b/>
          <w:bCs/>
          <w:lang w:val="en-GB"/>
        </w:rPr>
      </w:pPr>
      <w:r>
        <w:rPr>
          <w:rFonts w:ascii="Times New Roman" w:eastAsia="Times New Roman" w:hAnsi="Times New Roman" w:cs="Times New Roman"/>
          <w:b/>
          <w:bCs/>
        </w:rPr>
        <w:t>A tantárgy megnevezése (angolul):</w:t>
      </w:r>
      <w:r>
        <w:rPr>
          <w:bCs/>
        </w:rPr>
        <w:t xml:space="preserve"> </w:t>
      </w:r>
      <w:r>
        <w:rPr>
          <w:rFonts w:ascii="Times New Roman" w:eastAsia="Times New Roman" w:hAnsi="Times New Roman" w:cs="Times New Roman"/>
          <w:bCs/>
        </w:rPr>
        <w:t>Basics of Finance</w:t>
      </w:r>
    </w:p>
    <w:p w:rsidR="0043570D" w:rsidRDefault="0043570D" w:rsidP="00980876">
      <w:pPr>
        <w:widowControl w:val="0"/>
        <w:numPr>
          <w:ilvl w:val="0"/>
          <w:numId w:val="176"/>
        </w:numPr>
        <w:spacing w:before="120" w:after="120" w:line="240" w:lineRule="auto"/>
        <w:ind w:left="567" w:hanging="283"/>
        <w:jc w:val="both"/>
        <w:rPr>
          <w:rFonts w:ascii="Times New Roman" w:eastAsia="Times New Roman" w:hAnsi="Times New Roman" w:cs="Times New Roman"/>
          <w:b/>
          <w:bCs/>
        </w:rPr>
      </w:pPr>
      <w:r>
        <w:rPr>
          <w:rFonts w:ascii="Times New Roman" w:eastAsia="Times New Roman" w:hAnsi="Times New Roman" w:cs="Times New Roman"/>
          <w:b/>
          <w:bCs/>
        </w:rPr>
        <w:t xml:space="preserve">Kreditérték és képzési karakter: </w:t>
      </w:r>
    </w:p>
    <w:p w:rsidR="0043570D" w:rsidRDefault="0043570D" w:rsidP="00980876">
      <w:pPr>
        <w:pStyle w:val="Listaszerbekezds"/>
        <w:widowControl w:val="0"/>
        <w:numPr>
          <w:ilvl w:val="1"/>
          <w:numId w:val="176"/>
        </w:numPr>
        <w:tabs>
          <w:tab w:val="clear" w:pos="3977"/>
          <w:tab w:val="num" w:pos="715"/>
        </w:tabs>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3 kredit</w:t>
      </w:r>
    </w:p>
    <w:p w:rsidR="0043570D" w:rsidRDefault="0043570D" w:rsidP="00980876">
      <w:pPr>
        <w:pStyle w:val="Listaszerbekezds"/>
        <w:widowControl w:val="0"/>
        <w:numPr>
          <w:ilvl w:val="1"/>
          <w:numId w:val="176"/>
        </w:numPr>
        <w:tabs>
          <w:tab w:val="clear" w:pos="3977"/>
          <w:tab w:val="num" w:pos="715"/>
        </w:tabs>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a tantárgy elméleti vagy gyakorlati jellegének mértéke: 33</w:t>
      </w:r>
      <w:r>
        <w:rPr>
          <w:rFonts w:ascii="Times New Roman" w:eastAsia="Times New Roman" w:hAnsi="Times New Roman" w:cs="Times New Roman"/>
          <w:b/>
          <w:bCs/>
        </w:rPr>
        <w:t xml:space="preserve"> </w:t>
      </w:r>
      <w:r>
        <w:rPr>
          <w:rFonts w:ascii="Times New Roman" w:eastAsia="Times New Roman" w:hAnsi="Times New Roman" w:cs="Times New Roman"/>
          <w:bCs/>
        </w:rPr>
        <w:t>% gyakorlat, 67 % elmélet</w:t>
      </w:r>
    </w:p>
    <w:p w:rsidR="0043570D" w:rsidRDefault="0043570D" w:rsidP="00980876">
      <w:pPr>
        <w:widowControl w:val="0"/>
        <w:numPr>
          <w:ilvl w:val="0"/>
          <w:numId w:val="176"/>
        </w:numPr>
        <w:tabs>
          <w:tab w:val="clear" w:pos="720"/>
          <w:tab w:val="num" w:pos="643"/>
        </w:tabs>
        <w:spacing w:before="120" w:after="120" w:line="240" w:lineRule="auto"/>
        <w:ind w:left="643"/>
        <w:jc w:val="both"/>
        <w:rPr>
          <w:rFonts w:ascii="Times New Roman" w:eastAsia="Times New Roman" w:hAnsi="Times New Roman" w:cs="Times New Roman"/>
          <w:bCs/>
        </w:rPr>
      </w:pPr>
      <w:r>
        <w:rPr>
          <w:rFonts w:ascii="Times New Roman" w:eastAsia="Times New Roman" w:hAnsi="Times New Roman" w:cs="Times New Roman"/>
          <w:b/>
          <w:bCs/>
        </w:rPr>
        <w:t>A szak(ok), szakirányok/specializációk megnevezése (ahol oktatják):</w:t>
      </w:r>
      <w:r>
        <w:rPr>
          <w:rFonts w:ascii="Times New Roman" w:eastAsia="Times New Roman" w:hAnsi="Times New Roman" w:cs="Times New Roman"/>
          <w:bCs/>
        </w:rPr>
        <w:t xml:space="preserve"> Katonai logisztika alapképzési szak, Hadtáp specializáció, Katonai pénzügyi specializáció</w:t>
      </w:r>
    </w:p>
    <w:p w:rsidR="0043570D" w:rsidRDefault="0043570D" w:rsidP="00980876">
      <w:pPr>
        <w:widowControl w:val="0"/>
        <w:numPr>
          <w:ilvl w:val="0"/>
          <w:numId w:val="176"/>
        </w:numPr>
        <w:tabs>
          <w:tab w:val="clear" w:pos="720"/>
          <w:tab w:val="num" w:pos="567"/>
          <w:tab w:val="num" w:pos="643"/>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Az oktatásért felelős oktatási szervezeti egység megnevezése:</w:t>
      </w:r>
      <w:r>
        <w:rPr>
          <w:bCs/>
        </w:rPr>
        <w:t xml:space="preserve"> </w:t>
      </w:r>
      <w:r>
        <w:rPr>
          <w:rFonts w:ascii="Times New Roman" w:eastAsia="Times New Roman" w:hAnsi="Times New Roman" w:cs="Times New Roman"/>
          <w:bCs/>
        </w:rPr>
        <w:t xml:space="preserve">NKE Hadtudományi és Honvédtisztképző Kar, Hadtáp, Pénzügyi és Katonai Közlekedési Tanszék </w:t>
      </w:r>
    </w:p>
    <w:p w:rsidR="0043570D" w:rsidRDefault="0043570D" w:rsidP="00980876">
      <w:pPr>
        <w:widowControl w:val="0"/>
        <w:numPr>
          <w:ilvl w:val="0"/>
          <w:numId w:val="176"/>
        </w:numPr>
        <w:tabs>
          <w:tab w:val="clear" w:pos="720"/>
          <w:tab w:val="num" w:pos="567"/>
          <w:tab w:val="num" w:pos="643"/>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tantárgyfelelős oktató neve, beosztása, tudományos fokozata:</w:t>
      </w:r>
      <w:r>
        <w:rPr>
          <w:rFonts w:ascii="Times New Roman" w:eastAsia="Times New Roman" w:hAnsi="Times New Roman" w:cs="Times New Roman"/>
          <w:bCs/>
        </w:rPr>
        <w:t xml:space="preserve"> Dr. Nyikos Györgyi, egyetemi docens, PhD</w:t>
      </w:r>
    </w:p>
    <w:p w:rsidR="0043570D" w:rsidRDefault="0043570D" w:rsidP="00980876">
      <w:pPr>
        <w:widowControl w:val="0"/>
        <w:numPr>
          <w:ilvl w:val="0"/>
          <w:numId w:val="176"/>
        </w:numPr>
        <w:tabs>
          <w:tab w:val="clear" w:pos="720"/>
          <w:tab w:val="num" w:pos="643"/>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tanórák száma és típusa</w:t>
      </w:r>
    </w:p>
    <w:p w:rsidR="0043570D" w:rsidRDefault="0043570D" w:rsidP="00980876">
      <w:pPr>
        <w:widowControl w:val="0"/>
        <w:numPr>
          <w:ilvl w:val="1"/>
          <w:numId w:val="176"/>
        </w:numPr>
        <w:tabs>
          <w:tab w:val="clear" w:pos="3977"/>
          <w:tab w:val="num" w:pos="715"/>
          <w:tab w:val="num" w:pos="2069"/>
        </w:tabs>
        <w:spacing w:before="120" w:after="0" w:line="240" w:lineRule="auto"/>
        <w:ind w:left="850" w:hanging="425"/>
        <w:jc w:val="both"/>
        <w:rPr>
          <w:rFonts w:ascii="Times New Roman" w:eastAsia="Times New Roman" w:hAnsi="Times New Roman" w:cs="Times New Roman"/>
          <w:bCs/>
        </w:rPr>
      </w:pPr>
      <w:r>
        <w:rPr>
          <w:rFonts w:ascii="Times New Roman" w:eastAsia="Times New Roman" w:hAnsi="Times New Roman" w:cs="Times New Roman"/>
          <w:bCs/>
        </w:rPr>
        <w:t>össz óraszám/félév:</w:t>
      </w:r>
    </w:p>
    <w:p w:rsidR="0043570D" w:rsidRDefault="0043570D" w:rsidP="00980876">
      <w:pPr>
        <w:pStyle w:val="Listaszerbekezds"/>
        <w:widowControl w:val="0"/>
        <w:numPr>
          <w:ilvl w:val="2"/>
          <w:numId w:val="174"/>
        </w:numPr>
        <w:tabs>
          <w:tab w:val="num" w:pos="1276"/>
          <w:tab w:val="num" w:pos="1800"/>
        </w:tabs>
        <w:spacing w:after="120" w:line="240" w:lineRule="auto"/>
        <w:ind w:hanging="437"/>
        <w:jc w:val="both"/>
        <w:rPr>
          <w:rFonts w:ascii="Times New Roman" w:eastAsia="Times New Roman" w:hAnsi="Times New Roman" w:cs="Times New Roman"/>
          <w:bCs/>
        </w:rPr>
      </w:pPr>
      <w:r>
        <w:rPr>
          <w:rFonts w:ascii="Times New Roman" w:eastAsia="Times New Roman" w:hAnsi="Times New Roman" w:cs="Times New Roman"/>
          <w:bCs/>
        </w:rPr>
        <w:t>nappali munkarend: 42 (28 EA + 0 SZ + 14 GY)</w:t>
      </w:r>
    </w:p>
    <w:p w:rsidR="0043570D" w:rsidRDefault="0043570D" w:rsidP="00980876">
      <w:pPr>
        <w:pStyle w:val="Listaszerbekezds"/>
        <w:widowControl w:val="0"/>
        <w:numPr>
          <w:ilvl w:val="2"/>
          <w:numId w:val="174"/>
        </w:numPr>
        <w:tabs>
          <w:tab w:val="num" w:pos="1276"/>
          <w:tab w:val="num" w:pos="1800"/>
        </w:tabs>
        <w:spacing w:before="120" w:after="120" w:line="240" w:lineRule="auto"/>
        <w:ind w:hanging="437"/>
        <w:jc w:val="both"/>
        <w:rPr>
          <w:rFonts w:ascii="Times New Roman" w:eastAsia="Times New Roman" w:hAnsi="Times New Roman" w:cs="Times New Roman"/>
          <w:bCs/>
        </w:rPr>
      </w:pPr>
      <w:r>
        <w:rPr>
          <w:rFonts w:ascii="Times New Roman" w:eastAsia="Times New Roman" w:hAnsi="Times New Roman" w:cs="Times New Roman"/>
          <w:bCs/>
        </w:rPr>
        <w:t>levelező munkarend: - (- EA + - SZ + - GY)</w:t>
      </w:r>
    </w:p>
    <w:p w:rsidR="0043570D" w:rsidRDefault="0043570D" w:rsidP="00980876">
      <w:pPr>
        <w:widowControl w:val="0"/>
        <w:numPr>
          <w:ilvl w:val="1"/>
          <w:numId w:val="176"/>
        </w:numPr>
        <w:tabs>
          <w:tab w:val="clear" w:pos="3977"/>
          <w:tab w:val="num" w:pos="715"/>
          <w:tab w:val="num" w:pos="2069"/>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heti óraszám - nappali munkarend: 3</w:t>
      </w:r>
    </w:p>
    <w:p w:rsidR="0043570D" w:rsidRDefault="0043570D" w:rsidP="00980876">
      <w:pPr>
        <w:widowControl w:val="0"/>
        <w:numPr>
          <w:ilvl w:val="1"/>
          <w:numId w:val="176"/>
        </w:numPr>
        <w:tabs>
          <w:tab w:val="clear" w:pos="3977"/>
          <w:tab w:val="num" w:pos="715"/>
          <w:tab w:val="num" w:pos="2069"/>
        </w:tabs>
        <w:spacing w:before="120" w:after="120" w:line="240" w:lineRule="auto"/>
        <w:ind w:left="851" w:hanging="425"/>
        <w:jc w:val="both"/>
        <w:rPr>
          <w:rFonts w:ascii="Times New Roman" w:eastAsia="Times New Roman" w:hAnsi="Times New Roman" w:cs="Times New Roman"/>
          <w:bCs/>
        </w:rPr>
      </w:pPr>
      <w:r>
        <w:rPr>
          <w:rFonts w:ascii="Times New Roman" w:hAnsi="Times New Roman" w:cs="Times New Roman"/>
        </w:rPr>
        <w:t>Az ismeret átadásában alkalmazandó további sajátos módok, jellemzők: -</w:t>
      </w:r>
    </w:p>
    <w:p w:rsidR="0043570D" w:rsidRDefault="0043570D" w:rsidP="00980876">
      <w:pPr>
        <w:widowControl w:val="0"/>
        <w:numPr>
          <w:ilvl w:val="0"/>
          <w:numId w:val="176"/>
        </w:numPr>
        <w:tabs>
          <w:tab w:val="clear" w:pos="720"/>
          <w:tab w:val="num" w:pos="643"/>
        </w:tabs>
        <w:spacing w:before="120" w:after="120" w:line="240" w:lineRule="auto"/>
        <w:ind w:left="643"/>
        <w:jc w:val="both"/>
        <w:rPr>
          <w:rFonts w:ascii="Times New Roman" w:eastAsia="Times New Roman" w:hAnsi="Times New Roman" w:cs="Times New Roman"/>
          <w:bCs/>
        </w:rPr>
      </w:pPr>
      <w:r>
        <w:rPr>
          <w:rFonts w:ascii="Times New Roman" w:eastAsia="Times New Roman" w:hAnsi="Times New Roman" w:cs="Times New Roman"/>
          <w:b/>
          <w:bCs/>
        </w:rPr>
        <w:t>A tantárgy szakmai tartalma (magyarul):</w:t>
      </w:r>
      <w:r>
        <w:rPr>
          <w:bCs/>
        </w:rPr>
        <w:t xml:space="preserve"> </w:t>
      </w:r>
      <w:r>
        <w:rPr>
          <w:rFonts w:ascii="Times New Roman" w:eastAsia="Times New Roman" w:hAnsi="Times New Roman" w:cs="Times New Roman"/>
          <w:bCs/>
        </w:rPr>
        <w:t>A pénz kialakulása, a modern pénz funkciói. A pénzügyi politika és a pénzügyi rendszer, pénzügyi piacok és intézményei. Bankrendszer, Banki műveletek. Nemzetközi pénzügyi ismeretek: devizarendszerek, nemzetközi pénzügyi rendszer és intézményei. Az Európai Unió monetáris rendszere. Értékpapírok, értékpapír piaci műveletek..</w:t>
      </w:r>
    </w:p>
    <w:p w:rsidR="0043570D" w:rsidRDefault="0043570D" w:rsidP="0043570D">
      <w:pPr>
        <w:widowControl w:val="0"/>
        <w:spacing w:before="120" w:after="120" w:line="240" w:lineRule="auto"/>
        <w:ind w:left="643"/>
        <w:jc w:val="both"/>
        <w:rPr>
          <w:rFonts w:ascii="Times New Roman" w:eastAsia="Times New Roman" w:hAnsi="Times New Roman" w:cs="Times New Roman"/>
          <w:bCs/>
          <w:lang w:val="en-GB"/>
        </w:rPr>
      </w:pPr>
      <w:r>
        <w:rPr>
          <w:rFonts w:ascii="Times New Roman" w:eastAsia="Times New Roman" w:hAnsi="Times New Roman" w:cs="Times New Roman"/>
          <w:b/>
          <w:bCs/>
        </w:rPr>
        <w:t>A tantárgy szakmai tartalma (angolul) (</w:t>
      </w:r>
      <w:r>
        <w:rPr>
          <w:rFonts w:ascii="Times New Roman" w:eastAsia="Times New Roman" w:hAnsi="Times New Roman" w:cs="Times New Roman"/>
          <w:b/>
          <w:bCs/>
          <w:lang w:val="en-US"/>
        </w:rPr>
        <w:t>Course description</w:t>
      </w:r>
      <w:r>
        <w:rPr>
          <w:rFonts w:ascii="Times New Roman" w:eastAsia="Times New Roman" w:hAnsi="Times New Roman" w:cs="Times New Roman"/>
          <w:b/>
          <w:bCs/>
        </w:rPr>
        <w:t xml:space="preserve">): </w:t>
      </w:r>
      <w:r>
        <w:rPr>
          <w:rFonts w:ascii="Times New Roman" w:eastAsia="Times New Roman" w:hAnsi="Times New Roman" w:cs="Times New Roman"/>
          <w:bCs/>
        </w:rPr>
        <w:t>The formation of money, the functions of modern money. Financial policy and the financial system, financial markets and institutions. Banking systems, banking. International financial knowledge: foreign exchange systems, international financial system and institutions. The monetary system of the European Union. Stocks, Stock market operations.</w:t>
      </w:r>
    </w:p>
    <w:p w:rsidR="0043570D" w:rsidRDefault="0043570D" w:rsidP="00980876">
      <w:pPr>
        <w:pStyle w:val="Listaszerbekezds"/>
        <w:widowControl w:val="0"/>
        <w:numPr>
          <w:ilvl w:val="0"/>
          <w:numId w:val="176"/>
        </w:numPr>
        <w:tabs>
          <w:tab w:val="clear" w:pos="720"/>
          <w:tab w:val="num" w:pos="426"/>
          <w:tab w:val="num" w:pos="643"/>
        </w:tabs>
        <w:spacing w:before="120" w:after="120" w:line="240" w:lineRule="auto"/>
        <w:ind w:left="643"/>
        <w:jc w:val="both"/>
        <w:rPr>
          <w:rFonts w:ascii="Times New Roman" w:eastAsia="Times New Roman" w:hAnsi="Times New Roman" w:cs="Times New Roman"/>
          <w:bCs/>
        </w:rPr>
      </w:pPr>
      <w:r>
        <w:rPr>
          <w:rFonts w:ascii="Times New Roman" w:eastAsia="Times New Roman" w:hAnsi="Times New Roman" w:cs="Times New Roman"/>
          <w:b/>
          <w:bCs/>
        </w:rPr>
        <w:t xml:space="preserve">Elérendő kompetenciák (magyarul): </w:t>
      </w:r>
    </w:p>
    <w:p w:rsidR="0043570D" w:rsidRDefault="0043570D" w:rsidP="00EB017F">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Tudása:</w:t>
      </w:r>
      <w:r>
        <w:rPr>
          <w:rFonts w:ascii="Times New Roman" w:eastAsia="Times New Roman" w:hAnsi="Times New Roman" w:cs="Times New Roman"/>
          <w:bCs/>
        </w:rPr>
        <w:t xml:space="preserve"> </w:t>
      </w:r>
    </w:p>
    <w:p w:rsidR="0043570D" w:rsidRDefault="0043570D" w:rsidP="00980876">
      <w:pPr>
        <w:pStyle w:val="Listaszerbekezds"/>
        <w:widowControl w:val="0"/>
        <w:numPr>
          <w:ilvl w:val="0"/>
          <w:numId w:val="175"/>
        </w:numPr>
        <w:spacing w:after="120" w:line="240" w:lineRule="auto"/>
        <w:ind w:left="788" w:hanging="221"/>
        <w:jc w:val="both"/>
        <w:rPr>
          <w:rFonts w:ascii="Times New Roman" w:eastAsia="Times New Roman" w:hAnsi="Times New Roman" w:cs="Times New Roman"/>
          <w:bCs/>
        </w:rPr>
      </w:pPr>
      <w:r>
        <w:rPr>
          <w:rFonts w:ascii="Times New Roman" w:eastAsia="Times New Roman" w:hAnsi="Times New Roman" w:cs="Times New Roman"/>
          <w:bCs/>
        </w:rPr>
        <w:t>Ismeri a gazdaság és a piacok működésének alapjait, a nemzetgazdaság és a honvédelem kapcsolatrendszerét, a hadiipar működésének törvényszerűségeit.</w:t>
      </w:r>
    </w:p>
    <w:p w:rsidR="0043570D" w:rsidRPr="00EB017F" w:rsidRDefault="0043570D" w:rsidP="00EB017F">
      <w:pPr>
        <w:widowControl w:val="0"/>
        <w:spacing w:before="120" w:after="0" w:line="240" w:lineRule="auto"/>
        <w:ind w:left="425"/>
        <w:jc w:val="both"/>
        <w:rPr>
          <w:rFonts w:ascii="Times New Roman" w:eastAsia="Times New Roman" w:hAnsi="Times New Roman" w:cs="Times New Roman"/>
          <w:b/>
          <w:bCs/>
        </w:rPr>
      </w:pPr>
      <w:r>
        <w:rPr>
          <w:rFonts w:ascii="Times New Roman" w:eastAsia="Times New Roman" w:hAnsi="Times New Roman" w:cs="Times New Roman"/>
          <w:b/>
          <w:bCs/>
        </w:rPr>
        <w:t>Képességei:</w:t>
      </w:r>
      <w:r w:rsidRPr="00EB017F">
        <w:rPr>
          <w:rFonts w:ascii="Times New Roman" w:eastAsia="Times New Roman" w:hAnsi="Times New Roman" w:cs="Times New Roman"/>
          <w:b/>
          <w:bCs/>
        </w:rPr>
        <w:t xml:space="preserve"> </w:t>
      </w:r>
    </w:p>
    <w:p w:rsidR="0043570D" w:rsidRDefault="0043570D" w:rsidP="00980876">
      <w:pPr>
        <w:pStyle w:val="Listaszerbekezds"/>
        <w:widowControl w:val="0"/>
        <w:numPr>
          <w:ilvl w:val="0"/>
          <w:numId w:val="175"/>
        </w:numPr>
        <w:spacing w:before="120" w:after="120" w:line="240" w:lineRule="auto"/>
        <w:ind w:hanging="219"/>
        <w:jc w:val="both"/>
        <w:rPr>
          <w:rFonts w:ascii="Times New Roman" w:eastAsia="Times New Roman" w:hAnsi="Times New Roman" w:cs="Times New Roman"/>
          <w:bCs/>
        </w:rPr>
      </w:pPr>
      <w:r>
        <w:rPr>
          <w:rFonts w:ascii="Times New Roman" w:eastAsia="Times New Roman" w:hAnsi="Times New Roman" w:cs="Times New Roman"/>
          <w:bCs/>
        </w:rPr>
        <w:t>Képes szakterületén újító és innovatív ötletek megfogalmazására.</w:t>
      </w:r>
    </w:p>
    <w:p w:rsidR="0043570D" w:rsidRPr="00EB017F" w:rsidRDefault="0043570D" w:rsidP="00EB017F">
      <w:pPr>
        <w:widowControl w:val="0"/>
        <w:spacing w:before="120" w:after="0" w:line="240" w:lineRule="auto"/>
        <w:ind w:left="425"/>
        <w:jc w:val="both"/>
        <w:rPr>
          <w:rFonts w:ascii="Times New Roman" w:eastAsia="Times New Roman" w:hAnsi="Times New Roman" w:cs="Times New Roman"/>
          <w:b/>
          <w:bCs/>
        </w:rPr>
      </w:pPr>
      <w:r>
        <w:rPr>
          <w:rFonts w:ascii="Times New Roman" w:eastAsia="Times New Roman" w:hAnsi="Times New Roman" w:cs="Times New Roman"/>
          <w:b/>
          <w:bCs/>
        </w:rPr>
        <w:t>Attitűdje:</w:t>
      </w:r>
      <w:r w:rsidRPr="00EB017F">
        <w:rPr>
          <w:rFonts w:ascii="Times New Roman" w:eastAsia="Times New Roman" w:hAnsi="Times New Roman" w:cs="Times New Roman"/>
          <w:b/>
          <w:bCs/>
        </w:rPr>
        <w:t xml:space="preserve"> </w:t>
      </w:r>
    </w:p>
    <w:p w:rsidR="0043570D" w:rsidRDefault="0043570D" w:rsidP="00980876">
      <w:pPr>
        <w:pStyle w:val="Listaszerbekezds"/>
        <w:widowControl w:val="0"/>
        <w:numPr>
          <w:ilvl w:val="0"/>
          <w:numId w:val="175"/>
        </w:numPr>
        <w:spacing w:before="120" w:after="120" w:line="240" w:lineRule="auto"/>
        <w:ind w:hanging="219"/>
        <w:jc w:val="both"/>
        <w:rPr>
          <w:rFonts w:ascii="Times New Roman" w:eastAsia="Times New Roman" w:hAnsi="Times New Roman" w:cs="Times New Roman"/>
          <w:bCs/>
        </w:rPr>
      </w:pPr>
      <w:r>
        <w:rPr>
          <w:rFonts w:ascii="Times New Roman" w:eastAsia="Times New Roman" w:hAnsi="Times New Roman" w:cs="Times New Roman"/>
          <w:bCs/>
        </w:rPr>
        <w:t>Nyitott szakterülete új eredményei, innovációi iránt, törekszik azok megismerésére, megértésére és alkalmazására, elkötelezett önmaga folyamatos képzésére.</w:t>
      </w:r>
    </w:p>
    <w:p w:rsidR="0043570D" w:rsidRPr="00EB017F" w:rsidRDefault="0043570D" w:rsidP="00EB017F">
      <w:pPr>
        <w:widowControl w:val="0"/>
        <w:spacing w:before="120" w:after="0" w:line="240" w:lineRule="auto"/>
        <w:ind w:left="425"/>
        <w:jc w:val="both"/>
        <w:rPr>
          <w:rFonts w:ascii="Times New Roman" w:eastAsia="Times New Roman" w:hAnsi="Times New Roman" w:cs="Times New Roman"/>
          <w:b/>
          <w:bCs/>
        </w:rPr>
      </w:pPr>
      <w:r>
        <w:rPr>
          <w:rFonts w:ascii="Times New Roman" w:eastAsia="Times New Roman" w:hAnsi="Times New Roman" w:cs="Times New Roman"/>
          <w:b/>
          <w:bCs/>
        </w:rPr>
        <w:t>Autonómiája és felelőssége:</w:t>
      </w:r>
      <w:r w:rsidRPr="00EB017F">
        <w:rPr>
          <w:rFonts w:ascii="Times New Roman" w:eastAsia="Times New Roman" w:hAnsi="Times New Roman" w:cs="Times New Roman"/>
          <w:b/>
          <w:bCs/>
        </w:rPr>
        <w:t xml:space="preserve"> </w:t>
      </w:r>
    </w:p>
    <w:p w:rsidR="0043570D" w:rsidRDefault="0043570D" w:rsidP="00980876">
      <w:pPr>
        <w:pStyle w:val="Listaszerbekezds"/>
        <w:widowControl w:val="0"/>
        <w:numPr>
          <w:ilvl w:val="0"/>
          <w:numId w:val="175"/>
        </w:numPr>
        <w:spacing w:before="120" w:after="120" w:line="240" w:lineRule="auto"/>
        <w:ind w:hanging="219"/>
        <w:jc w:val="both"/>
        <w:rPr>
          <w:rFonts w:ascii="Times New Roman" w:eastAsia="Times New Roman" w:hAnsi="Times New Roman" w:cs="Times New Roman"/>
          <w:bCs/>
        </w:rPr>
      </w:pPr>
      <w:r>
        <w:rPr>
          <w:rFonts w:ascii="Times New Roman" w:eastAsia="Times New Roman" w:hAnsi="Times New Roman" w:cs="Times New Roman"/>
          <w:bCs/>
        </w:rPr>
        <w:t xml:space="preserve">Tisztában van döntéseinek, tevékenységének a műszaki eszközökre, illetve a gazdálkodási </w:t>
      </w:r>
      <w:r>
        <w:rPr>
          <w:rFonts w:ascii="Times New Roman" w:eastAsia="Times New Roman" w:hAnsi="Times New Roman" w:cs="Times New Roman"/>
          <w:bCs/>
        </w:rPr>
        <w:lastRenderedPageBreak/>
        <w:t>fegyelemre gyakorolt hatásaival, következményeivel.</w:t>
      </w:r>
    </w:p>
    <w:p w:rsidR="0043570D" w:rsidRDefault="0043570D" w:rsidP="0043570D">
      <w:pPr>
        <w:widowControl w:val="0"/>
        <w:spacing w:before="120" w:after="120" w:line="240" w:lineRule="auto"/>
        <w:ind w:left="426"/>
        <w:jc w:val="both"/>
        <w:rPr>
          <w:rFonts w:ascii="Times New Roman" w:eastAsia="Times New Roman" w:hAnsi="Times New Roman" w:cs="Times New Roman"/>
          <w:b/>
          <w:bCs/>
          <w:lang w:val="en-US"/>
        </w:rPr>
      </w:pPr>
      <w:r>
        <w:rPr>
          <w:rFonts w:ascii="Times New Roman" w:eastAsia="Times New Roman" w:hAnsi="Times New Roman" w:cs="Times New Roman"/>
          <w:b/>
          <w:bCs/>
        </w:rPr>
        <w:t>Elérendő kompetenciák (angolul) (</w:t>
      </w:r>
      <w:r>
        <w:rPr>
          <w:rFonts w:ascii="Times New Roman" w:eastAsia="Times New Roman" w:hAnsi="Times New Roman" w:cs="Times New Roman"/>
          <w:b/>
          <w:bCs/>
          <w:lang w:val="en-US"/>
        </w:rPr>
        <w:t xml:space="preserve">Competences – English): </w:t>
      </w:r>
    </w:p>
    <w:p w:rsidR="0043570D" w:rsidRPr="00EB017F" w:rsidRDefault="0043570D" w:rsidP="00EB017F">
      <w:pPr>
        <w:widowControl w:val="0"/>
        <w:spacing w:before="120" w:after="0" w:line="240" w:lineRule="auto"/>
        <w:ind w:left="425"/>
        <w:jc w:val="both"/>
        <w:rPr>
          <w:rFonts w:ascii="Times New Roman" w:eastAsia="Times New Roman" w:hAnsi="Times New Roman" w:cs="Times New Roman"/>
          <w:b/>
          <w:bCs/>
        </w:rPr>
      </w:pPr>
      <w:r w:rsidRPr="00EB017F">
        <w:rPr>
          <w:rFonts w:ascii="Times New Roman" w:eastAsia="Times New Roman" w:hAnsi="Times New Roman" w:cs="Times New Roman"/>
          <w:b/>
          <w:bCs/>
        </w:rPr>
        <w:t xml:space="preserve">Knowledge: </w:t>
      </w:r>
    </w:p>
    <w:p w:rsidR="0043570D" w:rsidRDefault="0043570D" w:rsidP="00980876">
      <w:pPr>
        <w:pStyle w:val="Listaszerbekezds"/>
        <w:widowControl w:val="0"/>
        <w:numPr>
          <w:ilvl w:val="0"/>
          <w:numId w:val="175"/>
        </w:numPr>
        <w:spacing w:before="120" w:after="120" w:line="240" w:lineRule="auto"/>
        <w:ind w:hanging="219"/>
        <w:jc w:val="both"/>
        <w:rPr>
          <w:rFonts w:ascii="Times New Roman" w:eastAsia="Times New Roman" w:hAnsi="Times New Roman" w:cs="Times New Roman"/>
          <w:lang w:val="en-GB"/>
        </w:rPr>
      </w:pPr>
      <w:r>
        <w:rPr>
          <w:rFonts w:ascii="Times New Roman" w:eastAsia="Times New Roman" w:hAnsi="Times New Roman" w:cs="Times New Roman"/>
          <w:lang w:val="en-GB"/>
        </w:rPr>
        <w:t>The student knows the basics of the operation of the economy and the markets, the system of relations between the national economy and the defense sector, the regularities of the operation of the military industry.</w:t>
      </w:r>
    </w:p>
    <w:p w:rsidR="0043570D" w:rsidRPr="00EB017F" w:rsidRDefault="0043570D" w:rsidP="00EB017F">
      <w:pPr>
        <w:widowControl w:val="0"/>
        <w:spacing w:before="120" w:after="0" w:line="240" w:lineRule="auto"/>
        <w:ind w:left="425"/>
        <w:jc w:val="both"/>
        <w:rPr>
          <w:rFonts w:ascii="Times New Roman" w:eastAsia="Times New Roman" w:hAnsi="Times New Roman" w:cs="Times New Roman"/>
          <w:b/>
          <w:bCs/>
        </w:rPr>
      </w:pPr>
      <w:r w:rsidRPr="00EB017F">
        <w:rPr>
          <w:rFonts w:ascii="Times New Roman" w:eastAsia="Times New Roman" w:hAnsi="Times New Roman" w:cs="Times New Roman"/>
          <w:b/>
          <w:bCs/>
        </w:rPr>
        <w:t xml:space="preserve">Capabilities: </w:t>
      </w:r>
    </w:p>
    <w:p w:rsidR="0043570D" w:rsidRDefault="0043570D" w:rsidP="00980876">
      <w:pPr>
        <w:pStyle w:val="Listaszerbekezds"/>
        <w:widowControl w:val="0"/>
        <w:numPr>
          <w:ilvl w:val="0"/>
          <w:numId w:val="175"/>
        </w:numPr>
        <w:spacing w:before="120" w:after="120" w:line="240" w:lineRule="auto"/>
        <w:ind w:hanging="219"/>
        <w:jc w:val="both"/>
        <w:rPr>
          <w:rFonts w:ascii="Times New Roman" w:eastAsia="Times New Roman" w:hAnsi="Times New Roman" w:cs="Times New Roman"/>
          <w:b/>
          <w:lang w:val="en-GB"/>
        </w:rPr>
      </w:pPr>
      <w:r>
        <w:rPr>
          <w:rFonts w:ascii="Times New Roman" w:eastAsia="Times New Roman" w:hAnsi="Times New Roman" w:cs="Times New Roman"/>
          <w:lang w:val="en-GB"/>
        </w:rPr>
        <w:t>He / she is able to formulate new and innovative ideas in his or her field</w:t>
      </w:r>
      <w:r>
        <w:rPr>
          <w:rFonts w:ascii="Times New Roman" w:eastAsia="Times New Roman" w:hAnsi="Times New Roman" w:cs="Times New Roman"/>
          <w:b/>
          <w:lang w:val="en-GB"/>
        </w:rPr>
        <w:t>.</w:t>
      </w:r>
    </w:p>
    <w:p w:rsidR="0043570D" w:rsidRPr="00EB017F" w:rsidRDefault="0043570D" w:rsidP="00EB017F">
      <w:pPr>
        <w:widowControl w:val="0"/>
        <w:spacing w:before="120" w:after="0" w:line="240" w:lineRule="auto"/>
        <w:ind w:left="425"/>
        <w:jc w:val="both"/>
        <w:rPr>
          <w:rFonts w:ascii="Times New Roman" w:eastAsia="Times New Roman" w:hAnsi="Times New Roman" w:cs="Times New Roman"/>
          <w:b/>
          <w:bCs/>
        </w:rPr>
      </w:pPr>
      <w:r w:rsidRPr="00EB017F">
        <w:rPr>
          <w:rFonts w:ascii="Times New Roman" w:eastAsia="Times New Roman" w:hAnsi="Times New Roman" w:cs="Times New Roman"/>
          <w:b/>
          <w:bCs/>
        </w:rPr>
        <w:t xml:space="preserve">Attitude: </w:t>
      </w:r>
    </w:p>
    <w:p w:rsidR="0043570D" w:rsidRDefault="0043570D" w:rsidP="00980876">
      <w:pPr>
        <w:pStyle w:val="Listaszerbekezds"/>
        <w:widowControl w:val="0"/>
        <w:numPr>
          <w:ilvl w:val="0"/>
          <w:numId w:val="175"/>
        </w:numPr>
        <w:spacing w:before="120" w:after="120" w:line="240" w:lineRule="auto"/>
        <w:ind w:hanging="219"/>
        <w:jc w:val="both"/>
        <w:rPr>
          <w:rFonts w:ascii="Times New Roman" w:eastAsia="Times New Roman" w:hAnsi="Times New Roman" w:cs="Times New Roman"/>
          <w:b/>
          <w:lang w:val="en-GB"/>
        </w:rPr>
      </w:pPr>
      <w:r>
        <w:rPr>
          <w:rFonts w:ascii="Times New Roman" w:eastAsia="Times New Roman" w:hAnsi="Times New Roman" w:cs="Times New Roman"/>
          <w:lang w:val="en-GB"/>
        </w:rPr>
        <w:t>He/she is open to new achievements and innovations in his/her field of knowledge, seeks to know, understand and apply them, and is committed to a continuous training of himself.</w:t>
      </w:r>
    </w:p>
    <w:p w:rsidR="0043570D" w:rsidRPr="00EB017F" w:rsidRDefault="0043570D" w:rsidP="00EB017F">
      <w:pPr>
        <w:widowControl w:val="0"/>
        <w:spacing w:before="120" w:after="0" w:line="240" w:lineRule="auto"/>
        <w:ind w:left="425"/>
        <w:jc w:val="both"/>
        <w:rPr>
          <w:rFonts w:ascii="Times New Roman" w:eastAsia="Times New Roman" w:hAnsi="Times New Roman" w:cs="Times New Roman"/>
          <w:b/>
          <w:bCs/>
        </w:rPr>
      </w:pPr>
      <w:r w:rsidRPr="00EB017F">
        <w:rPr>
          <w:rFonts w:ascii="Times New Roman" w:eastAsia="Times New Roman" w:hAnsi="Times New Roman" w:cs="Times New Roman"/>
          <w:b/>
          <w:bCs/>
        </w:rPr>
        <w:t xml:space="preserve">Autonomy and responsibility: </w:t>
      </w:r>
    </w:p>
    <w:p w:rsidR="0043570D" w:rsidRDefault="0043570D" w:rsidP="00980876">
      <w:pPr>
        <w:pStyle w:val="Listaszerbekezds"/>
        <w:numPr>
          <w:ilvl w:val="0"/>
          <w:numId w:val="17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19"/>
        <w:jc w:val="both"/>
        <w:rPr>
          <w:rFonts w:ascii="Times New Roman" w:eastAsia="Times New Roman" w:hAnsi="Times New Roman" w:cs="Times New Roman"/>
          <w:lang w:val="en-GB"/>
        </w:rPr>
      </w:pPr>
      <w:r>
        <w:rPr>
          <w:rFonts w:ascii="Times New Roman" w:eastAsia="Times New Roman" w:hAnsi="Times New Roman" w:cs="Times New Roman"/>
          <w:lang w:val="en-GB"/>
        </w:rPr>
        <w:t>He / she is aware of the impact of his / her decisions and activities on technical devices and financial discipline.</w:t>
      </w:r>
    </w:p>
    <w:p w:rsidR="0043570D" w:rsidRDefault="0043570D" w:rsidP="00980876">
      <w:pPr>
        <w:widowControl w:val="0"/>
        <w:numPr>
          <w:ilvl w:val="0"/>
          <w:numId w:val="176"/>
        </w:numPr>
        <w:tabs>
          <w:tab w:val="clear" w:pos="720"/>
          <w:tab w:val="num" w:pos="643"/>
        </w:tabs>
        <w:spacing w:before="120" w:after="120" w:line="240" w:lineRule="auto"/>
        <w:ind w:left="643"/>
        <w:jc w:val="both"/>
        <w:rPr>
          <w:rFonts w:ascii="Times New Roman" w:eastAsia="Times New Roman" w:hAnsi="Times New Roman" w:cs="Times New Roman"/>
          <w:bCs/>
        </w:rPr>
      </w:pPr>
      <w:r>
        <w:rPr>
          <w:rFonts w:ascii="Times New Roman" w:eastAsia="Times New Roman" w:hAnsi="Times New Roman" w:cs="Times New Roman"/>
          <w:b/>
          <w:bCs/>
        </w:rPr>
        <w:t xml:space="preserve">Előtanulmányi követelmények: </w:t>
      </w:r>
      <w:r>
        <w:rPr>
          <w:rFonts w:ascii="Times New Roman" w:eastAsia="Times New Roman" w:hAnsi="Times New Roman" w:cs="Times New Roman"/>
          <w:bCs/>
        </w:rPr>
        <w:t>Közgazdaságtan II. (HKHPKA101)</w:t>
      </w:r>
    </w:p>
    <w:p w:rsidR="0043570D" w:rsidRDefault="0043570D" w:rsidP="00980876">
      <w:pPr>
        <w:widowControl w:val="0"/>
        <w:numPr>
          <w:ilvl w:val="0"/>
          <w:numId w:val="176"/>
        </w:numPr>
        <w:tabs>
          <w:tab w:val="clear" w:pos="720"/>
          <w:tab w:val="num" w:pos="643"/>
        </w:tabs>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A tantárgy tananyagának leírása, tematika. Description of the subject, curriculum (magyarul, angolul - English):</w:t>
      </w:r>
    </w:p>
    <w:p w:rsidR="0043570D" w:rsidRDefault="0043570D" w:rsidP="00980876">
      <w:pPr>
        <w:widowControl w:val="0"/>
        <w:numPr>
          <w:ilvl w:val="1"/>
          <w:numId w:val="176"/>
        </w:numPr>
        <w:tabs>
          <w:tab w:val="clear" w:pos="3977"/>
          <w:tab w:val="left" w:pos="709"/>
          <w:tab w:val="left" w:pos="993"/>
          <w:tab w:val="num" w:pos="2069"/>
        </w:tabs>
        <w:spacing w:after="0" w:line="240" w:lineRule="auto"/>
        <w:ind w:left="992" w:hanging="567"/>
        <w:jc w:val="both"/>
        <w:rPr>
          <w:rFonts w:ascii="Times New Roman" w:eastAsia="Times New Roman" w:hAnsi="Times New Roman" w:cs="Times New Roman"/>
          <w:i/>
          <w:kern w:val="2"/>
        </w:rPr>
      </w:pPr>
      <w:r>
        <w:rPr>
          <w:rFonts w:ascii="Times New Roman" w:eastAsia="Times New Roman" w:hAnsi="Times New Roman" w:cs="Times New Roman"/>
          <w:b/>
        </w:rPr>
        <w:t xml:space="preserve"> </w:t>
      </w:r>
      <w:r>
        <w:rPr>
          <w:rFonts w:ascii="Times New Roman" w:eastAsia="Times New Roman" w:hAnsi="Times New Roman" w:cs="Times New Roman"/>
          <w:kern w:val="2"/>
        </w:rPr>
        <w:t xml:space="preserve">A pénz kialakulásának folyamata, a pénz funkciói. A pénzhelyettesek megjelenése. A modern pénz lényege, teremtésének módjai, pénzmultiplikátor. </w:t>
      </w:r>
      <w:r>
        <w:rPr>
          <w:rFonts w:ascii="Times New Roman" w:eastAsia="Times New Roman" w:hAnsi="Times New Roman" w:cs="Times New Roman"/>
          <w:i/>
          <w:kern w:val="2"/>
        </w:rPr>
        <w:t>(The process of money formation, the functions of money. Appearance of cash deputies. The essence of modern money, ways to create it, money multiplier.)</w:t>
      </w:r>
    </w:p>
    <w:p w:rsidR="0043570D" w:rsidRDefault="0043570D" w:rsidP="00980876">
      <w:pPr>
        <w:widowControl w:val="0"/>
        <w:numPr>
          <w:ilvl w:val="1"/>
          <w:numId w:val="176"/>
        </w:numPr>
        <w:tabs>
          <w:tab w:val="clear" w:pos="3977"/>
          <w:tab w:val="left" w:pos="709"/>
          <w:tab w:val="left" w:pos="993"/>
          <w:tab w:val="num" w:pos="2069"/>
        </w:tabs>
        <w:spacing w:after="0" w:line="240" w:lineRule="auto"/>
        <w:ind w:left="992" w:hanging="567"/>
        <w:jc w:val="both"/>
        <w:rPr>
          <w:rFonts w:ascii="Times New Roman" w:eastAsia="Times New Roman" w:hAnsi="Times New Roman" w:cs="Times New Roman"/>
          <w:i/>
          <w:kern w:val="2"/>
        </w:rPr>
      </w:pPr>
      <w:r>
        <w:rPr>
          <w:rFonts w:ascii="Times New Roman" w:eastAsia="Times New Roman" w:hAnsi="Times New Roman" w:cs="Times New Roman"/>
          <w:kern w:val="2"/>
        </w:rPr>
        <w:t xml:space="preserve">A pénzügyi politika és a pénzügyi rendszer. Monetáris, fiskális és devizapolitika. Az infláció jellemzői és hatásai. Pénzügyi piacok, pénzügyi közvetítő intézmények Bankrendszerek, banki műveletek, nemzetközi bankári tevékenység. </w:t>
      </w:r>
      <w:r>
        <w:rPr>
          <w:rFonts w:ascii="Times New Roman" w:eastAsia="Times New Roman" w:hAnsi="Times New Roman" w:cs="Times New Roman"/>
          <w:i/>
          <w:kern w:val="2"/>
        </w:rPr>
        <w:t>(Financial policy and the financial system. Monetary, fiscal and foreign exchange policies. Characteristics and effects of inflation. Financial markets, financial intermediaries Banking systems, banking, international banking.)</w:t>
      </w:r>
    </w:p>
    <w:p w:rsidR="0043570D" w:rsidRDefault="0043570D" w:rsidP="00980876">
      <w:pPr>
        <w:widowControl w:val="0"/>
        <w:numPr>
          <w:ilvl w:val="1"/>
          <w:numId w:val="176"/>
        </w:numPr>
        <w:tabs>
          <w:tab w:val="clear" w:pos="3977"/>
          <w:tab w:val="left" w:pos="709"/>
          <w:tab w:val="left" w:pos="993"/>
          <w:tab w:val="num" w:pos="2069"/>
        </w:tabs>
        <w:spacing w:after="0" w:line="240" w:lineRule="auto"/>
        <w:ind w:left="992" w:hanging="567"/>
        <w:jc w:val="both"/>
        <w:rPr>
          <w:rFonts w:ascii="Times New Roman" w:eastAsia="Times New Roman" w:hAnsi="Times New Roman" w:cs="Times New Roman"/>
          <w:i/>
          <w:kern w:val="2"/>
        </w:rPr>
      </w:pPr>
      <w:r>
        <w:rPr>
          <w:rFonts w:ascii="Times New Roman" w:eastAsia="Times New Roman" w:hAnsi="Times New Roman" w:cs="Times New Roman"/>
          <w:kern w:val="2"/>
        </w:rPr>
        <w:t xml:space="preserve">Értékpapírok, értékpapír piaci műveletek: az értékpapírok típusai, a tőzsde működése, azonnali és határidős ügyletek, befektetések értékelése. </w:t>
      </w:r>
      <w:r>
        <w:rPr>
          <w:rFonts w:ascii="Times New Roman" w:eastAsia="Times New Roman" w:hAnsi="Times New Roman" w:cs="Times New Roman"/>
          <w:i/>
          <w:kern w:val="2"/>
        </w:rPr>
        <w:t>(Stock exchange operation, spot and futures transactions, investment valuation)</w:t>
      </w:r>
    </w:p>
    <w:p w:rsidR="0043570D" w:rsidRDefault="0043570D" w:rsidP="00980876">
      <w:pPr>
        <w:widowControl w:val="0"/>
        <w:numPr>
          <w:ilvl w:val="1"/>
          <w:numId w:val="176"/>
        </w:numPr>
        <w:tabs>
          <w:tab w:val="clear" w:pos="3977"/>
          <w:tab w:val="left" w:pos="709"/>
          <w:tab w:val="left" w:pos="993"/>
          <w:tab w:val="num" w:pos="2069"/>
        </w:tabs>
        <w:spacing w:after="0" w:line="240" w:lineRule="auto"/>
        <w:ind w:left="992" w:hanging="567"/>
        <w:jc w:val="both"/>
        <w:rPr>
          <w:rFonts w:ascii="Times New Roman" w:eastAsia="Times New Roman" w:hAnsi="Times New Roman" w:cs="Times New Roman"/>
          <w:i/>
          <w:kern w:val="2"/>
        </w:rPr>
      </w:pPr>
      <w:r>
        <w:rPr>
          <w:rFonts w:ascii="Times New Roman" w:eastAsia="Times New Roman" w:hAnsi="Times New Roman" w:cs="Times New Roman"/>
          <w:kern w:val="2"/>
        </w:rPr>
        <w:t xml:space="preserve">Nemzetközi pénzügyi kapcsolatok: konvertibilitás, devizaárfolyam, paritás, árfolyam elméletek, , devizaügyletek, devizarendszerek, nemzetközi pénzügyi rendszer és intézményei, az Európai Unió monetáris rendszere, uniós konvergencia. </w:t>
      </w:r>
      <w:r>
        <w:rPr>
          <w:rFonts w:ascii="Times New Roman" w:eastAsia="Times New Roman" w:hAnsi="Times New Roman" w:cs="Times New Roman"/>
          <w:i/>
          <w:kern w:val="2"/>
        </w:rPr>
        <w:t>(International financial relations: convertibility, exchange rate, parity, exchange rate theories,, foreign exchange transactions, foreign exchange systems, international financial system and institutions, European Union monetary system, EU convergence)</w:t>
      </w:r>
    </w:p>
    <w:p w:rsidR="0043570D" w:rsidRDefault="0043570D" w:rsidP="00980876">
      <w:pPr>
        <w:pStyle w:val="Listaszerbekezds"/>
        <w:widowControl w:val="0"/>
        <w:numPr>
          <w:ilvl w:val="0"/>
          <w:numId w:val="176"/>
        </w:numPr>
        <w:tabs>
          <w:tab w:val="clear" w:pos="720"/>
          <w:tab w:val="num" w:pos="643"/>
          <w:tab w:val="left" w:pos="709"/>
          <w:tab w:val="left" w:pos="993"/>
        </w:tabs>
        <w:spacing w:before="120" w:after="120" w:line="240" w:lineRule="auto"/>
        <w:ind w:left="643"/>
        <w:jc w:val="both"/>
        <w:rPr>
          <w:rFonts w:ascii="Times New Roman" w:eastAsia="Times New Roman" w:hAnsi="Times New Roman" w:cs="Times New Roman"/>
          <w:bCs/>
        </w:rPr>
      </w:pPr>
      <w:r>
        <w:rPr>
          <w:rFonts w:ascii="Times New Roman" w:eastAsia="Times New Roman" w:hAnsi="Times New Roman" w:cs="Times New Roman"/>
          <w:b/>
          <w:bCs/>
        </w:rPr>
        <w:t xml:space="preserve">A tantárgy meghirdetésének gyakorisága/a tantervben történő félévi elhelyezkedése: </w:t>
      </w:r>
      <w:r>
        <w:rPr>
          <w:rFonts w:ascii="Times New Roman" w:eastAsia="Times New Roman" w:hAnsi="Times New Roman" w:cs="Times New Roman"/>
          <w:bCs/>
        </w:rPr>
        <w:t>a tanév 1. (őszi) félévében.</w:t>
      </w:r>
    </w:p>
    <w:p w:rsidR="0043570D" w:rsidRDefault="0043570D" w:rsidP="00980876">
      <w:pPr>
        <w:widowControl w:val="0"/>
        <w:numPr>
          <w:ilvl w:val="0"/>
          <w:numId w:val="176"/>
        </w:numPr>
        <w:tabs>
          <w:tab w:val="clear" w:pos="720"/>
          <w:tab w:val="num" w:pos="643"/>
        </w:tabs>
        <w:spacing w:before="120" w:after="120" w:line="240" w:lineRule="auto"/>
        <w:ind w:left="643"/>
        <w:jc w:val="both"/>
        <w:rPr>
          <w:rFonts w:ascii="Times New Roman" w:eastAsia="Times New Roman" w:hAnsi="Times New Roman" w:cs="Times New Roman"/>
          <w:bCs/>
        </w:rPr>
      </w:pPr>
      <w:r>
        <w:rPr>
          <w:rFonts w:ascii="Times New Roman" w:eastAsia="Times New Roman" w:hAnsi="Times New Roman" w:cs="Times New Roman"/>
          <w:b/>
          <w:bCs/>
        </w:rPr>
        <w:t>A tanórákon való részvétel követelményei, az elfogadható hiányzások mértéke, a távolmaradás pótlásának lehetősége:</w:t>
      </w:r>
      <w:r>
        <w:rPr>
          <w:rFonts w:ascii="Times New Roman" w:eastAsia="Times New Roman" w:hAnsi="Times New Roman" w:cs="Times New Roman"/>
          <w:bCs/>
        </w:rPr>
        <w:t xml:space="preserve"> a tanórákon való jelenlét kötelező, az elfogadható és igazolt hiányzások száma maximum a tanórák 30%-áig terjedhet, az ismeretek pótlásáról a hallgató gondoskodik. A hiányzások elfogadható mértékének túllépése az aláírás megtagadását vonja maga után.</w:t>
      </w:r>
    </w:p>
    <w:p w:rsidR="0043570D" w:rsidRDefault="0043570D" w:rsidP="00980876">
      <w:pPr>
        <w:widowControl w:val="0"/>
        <w:numPr>
          <w:ilvl w:val="0"/>
          <w:numId w:val="176"/>
        </w:numPr>
        <w:tabs>
          <w:tab w:val="clear" w:pos="720"/>
          <w:tab w:val="num" w:pos="643"/>
        </w:tabs>
        <w:spacing w:before="120" w:after="120" w:line="240" w:lineRule="auto"/>
        <w:jc w:val="both"/>
        <w:rPr>
          <w:rFonts w:ascii="Times New Roman" w:eastAsia="Times New Roman" w:hAnsi="Times New Roman" w:cs="Times New Roman"/>
        </w:rPr>
      </w:pPr>
      <w:r>
        <w:rPr>
          <w:rFonts w:ascii="Times New Roman" w:eastAsia="Times New Roman" w:hAnsi="Times New Roman" w:cs="Times New Roman"/>
          <w:b/>
        </w:rPr>
        <w:t>Félévközi feladatok, ismeretek ellenőrzésének rendje:</w:t>
      </w:r>
      <w:r>
        <w:rPr>
          <w:rFonts w:ascii="Times New Roman" w:eastAsia="Times New Roman" w:hAnsi="Times New Roman" w:cs="Times New Roman"/>
        </w:rPr>
        <w:t xml:space="preserve"> A hallgató a félév során egy az oktató által meghatározott téma önálló feldolgozását követően, abból előadást tart. A hallgató a félév egy zárthelyi dolgozatot ír. A zárthelyi dolgozatok értékelése ötfokozatú skála alapján történik (50 %-tól elégséges, 65 %-tól közepes, 75-tól % jó, 85 %-tól jeles). </w:t>
      </w:r>
    </w:p>
    <w:p w:rsidR="0043570D" w:rsidRDefault="0043570D" w:rsidP="0043570D">
      <w:pPr>
        <w:widowControl w:val="0"/>
        <w:spacing w:before="120" w:after="120" w:line="240" w:lineRule="auto"/>
        <w:ind w:left="720"/>
        <w:jc w:val="both"/>
        <w:rPr>
          <w:rFonts w:ascii="Times New Roman" w:eastAsia="Times New Roman" w:hAnsi="Times New Roman" w:cs="Times New Roman"/>
          <w:bCs/>
        </w:rPr>
      </w:pPr>
      <w:r>
        <w:rPr>
          <w:rFonts w:ascii="Times New Roman" w:eastAsia="Times New Roman" w:hAnsi="Times New Roman" w:cs="Times New Roman"/>
        </w:rPr>
        <w:t>A zárthelyi dolgozat egyszer pótolható, illetve sikertelensége esetén javítható.</w:t>
      </w:r>
    </w:p>
    <w:p w:rsidR="0043570D" w:rsidRDefault="0043570D" w:rsidP="00980876">
      <w:pPr>
        <w:widowControl w:val="0"/>
        <w:numPr>
          <w:ilvl w:val="0"/>
          <w:numId w:val="176"/>
        </w:numPr>
        <w:tabs>
          <w:tab w:val="clear" w:pos="720"/>
          <w:tab w:val="num" w:pos="643"/>
        </w:tabs>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lastRenderedPageBreak/>
        <w:t xml:space="preserve">Az értékelés, az aláírás és a kreditek megszerzésének pontos feltételei: </w:t>
      </w:r>
    </w:p>
    <w:p w:rsidR="0043570D" w:rsidRDefault="0043570D" w:rsidP="00980876">
      <w:pPr>
        <w:widowControl w:val="0"/>
        <w:numPr>
          <w:ilvl w:val="1"/>
          <w:numId w:val="176"/>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Az aláírás megszerzésének feltételei:</w:t>
      </w:r>
      <w:r>
        <w:rPr>
          <w:rFonts w:ascii="Times New Roman" w:eastAsia="Times New Roman" w:hAnsi="Times New Roman" w:cs="Times New Roman"/>
        </w:rPr>
        <w:t xml:space="preserve"> Az aláírás megszerzésének feltétele a 14. pontban meghatározott arányú részvétel a foglalkozásokon és a 15. pontban meghatározott félévközi feladatok legalább elégséges teljesítése.</w:t>
      </w:r>
    </w:p>
    <w:p w:rsidR="0043570D" w:rsidRDefault="0043570D" w:rsidP="00980876">
      <w:pPr>
        <w:widowControl w:val="0"/>
        <w:numPr>
          <w:ilvl w:val="1"/>
          <w:numId w:val="176"/>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Az értékelés:</w:t>
      </w:r>
      <w:r>
        <w:rPr>
          <w:rFonts w:ascii="Times New Roman" w:eastAsia="Times New Roman" w:hAnsi="Times New Roman" w:cs="Times New Roman"/>
        </w:rPr>
        <w:t xml:space="preserve"> Kollokvium– írásbeli vizsga. A Tanszék beszámoló felkészülési kérdéseket ad ki. A vizsga tartalmát az előadáson elhangzottak és az alább felsorolt kötelező és ajánlott irodalmak anyagai képezik. A vizsgadolgozat értékelése: 0-50% - elégtelen, 51-70% - elégséges, 71-80% - közepe, 81-90% - jó, 91-100% - jeles</w:t>
      </w:r>
    </w:p>
    <w:p w:rsidR="0043570D" w:rsidRDefault="0043570D" w:rsidP="00980876">
      <w:pPr>
        <w:widowControl w:val="0"/>
        <w:numPr>
          <w:ilvl w:val="1"/>
          <w:numId w:val="176"/>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 kreditek megszerzésének feltételei:</w:t>
      </w:r>
      <w:r>
        <w:rPr>
          <w:rFonts w:ascii="Times New Roman" w:eastAsia="Times New Roman" w:hAnsi="Times New Roman" w:cs="Times New Roman"/>
        </w:rPr>
        <w:t xml:space="preserve"> </w:t>
      </w:r>
    </w:p>
    <w:p w:rsidR="0043570D" w:rsidRDefault="0043570D" w:rsidP="0043570D">
      <w:pPr>
        <w:widowControl w:val="0"/>
        <w:tabs>
          <w:tab w:val="left" w:pos="993"/>
        </w:tabs>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A kreditek megszerzésének feltétele az aláírás megszerzése és legalább elégséges kollokviumi jegy.</w:t>
      </w:r>
    </w:p>
    <w:p w:rsidR="0043570D" w:rsidRDefault="0043570D" w:rsidP="00980876">
      <w:pPr>
        <w:widowControl w:val="0"/>
        <w:numPr>
          <w:ilvl w:val="0"/>
          <w:numId w:val="176"/>
        </w:numPr>
        <w:tabs>
          <w:tab w:val="clear" w:pos="720"/>
          <w:tab w:val="num" w:pos="360"/>
          <w:tab w:val="num" w:pos="643"/>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Irodalomjegyzék:</w:t>
      </w:r>
    </w:p>
    <w:p w:rsidR="0043570D" w:rsidRDefault="0043570D" w:rsidP="00980876">
      <w:pPr>
        <w:widowControl w:val="0"/>
        <w:numPr>
          <w:ilvl w:val="1"/>
          <w:numId w:val="176"/>
        </w:numPr>
        <w:tabs>
          <w:tab w:val="clear" w:pos="3977"/>
          <w:tab w:val="num" w:pos="567"/>
          <w:tab w:val="num" w:pos="715"/>
          <w:tab w:val="num" w:pos="2069"/>
        </w:tabs>
        <w:spacing w:before="120" w:after="120" w:line="240" w:lineRule="auto"/>
        <w:ind w:left="993" w:hanging="709"/>
        <w:jc w:val="both"/>
        <w:rPr>
          <w:rFonts w:ascii="Times New Roman" w:eastAsia="Times New Roman" w:hAnsi="Times New Roman" w:cs="Times New Roman"/>
          <w:b/>
          <w:bCs/>
        </w:rPr>
      </w:pPr>
      <w:r>
        <w:rPr>
          <w:rFonts w:ascii="Times New Roman" w:eastAsia="Times New Roman" w:hAnsi="Times New Roman" w:cs="Times New Roman"/>
          <w:b/>
          <w:bCs/>
        </w:rPr>
        <w:t>Kötelező irodalom:</w:t>
      </w:r>
    </w:p>
    <w:p w:rsidR="0043570D" w:rsidRDefault="00602ACB" w:rsidP="00980876">
      <w:pPr>
        <w:pStyle w:val="Listaszerbekezds"/>
        <w:widowControl w:val="0"/>
        <w:numPr>
          <w:ilvl w:val="2"/>
          <w:numId w:val="177"/>
        </w:numPr>
        <w:tabs>
          <w:tab w:val="left" w:pos="993"/>
        </w:tabs>
        <w:spacing w:before="120" w:after="120" w:line="240" w:lineRule="auto"/>
        <w:jc w:val="both"/>
        <w:rPr>
          <w:rFonts w:ascii="Times New Roman" w:eastAsia="Times New Roman" w:hAnsi="Times New Roman" w:cs="Times New Roman"/>
        </w:rPr>
      </w:pPr>
      <w:r>
        <w:rPr>
          <w:rFonts w:ascii="Times New Roman" w:eastAsia="Times New Roman" w:hAnsi="Times New Roman" w:cs="Times New Roman"/>
        </w:rPr>
        <w:t xml:space="preserve">Dr. Madár Péter (szerk): </w:t>
      </w:r>
      <w:r w:rsidR="0043570D">
        <w:rPr>
          <w:rFonts w:ascii="Times New Roman" w:eastAsia="Times New Roman" w:hAnsi="Times New Roman" w:cs="Times New Roman"/>
        </w:rPr>
        <w:t>Pénzügyek alapjai (UNI</w:t>
      </w:r>
      <w:r>
        <w:rPr>
          <w:rFonts w:ascii="Times New Roman" w:eastAsia="Times New Roman" w:hAnsi="Times New Roman" w:cs="Times New Roman"/>
        </w:rPr>
        <w:t xml:space="preserve">Ó Lap- és Könyvkiadó, </w:t>
      </w:r>
      <w:r w:rsidR="0043570D">
        <w:rPr>
          <w:rFonts w:ascii="Times New Roman" w:eastAsia="Times New Roman" w:hAnsi="Times New Roman" w:cs="Times New Roman"/>
        </w:rPr>
        <w:t xml:space="preserve">2007) </w:t>
      </w:r>
    </w:p>
    <w:p w:rsidR="0043570D" w:rsidRDefault="0043570D" w:rsidP="00980876">
      <w:pPr>
        <w:pStyle w:val="Listaszerbekezds"/>
        <w:widowControl w:val="0"/>
        <w:numPr>
          <w:ilvl w:val="2"/>
          <w:numId w:val="177"/>
        </w:numPr>
        <w:tabs>
          <w:tab w:val="left" w:pos="993"/>
        </w:tabs>
        <w:spacing w:before="120" w:after="120" w:line="240" w:lineRule="auto"/>
        <w:jc w:val="both"/>
        <w:rPr>
          <w:rFonts w:ascii="Times New Roman" w:eastAsia="Times New Roman" w:hAnsi="Times New Roman" w:cs="Times New Roman"/>
        </w:rPr>
      </w:pPr>
      <w:r>
        <w:rPr>
          <w:rFonts w:ascii="Times New Roman" w:eastAsia="Times New Roman" w:hAnsi="Times New Roman" w:cs="Times New Roman"/>
        </w:rPr>
        <w:t>Magyar Gábor: Pénzügyi navigátor (szerzői kiadás, ISBN: 9632168410)</w:t>
      </w:r>
    </w:p>
    <w:p w:rsidR="0043570D" w:rsidRPr="00EB017F" w:rsidRDefault="0043570D" w:rsidP="00980876">
      <w:pPr>
        <w:widowControl w:val="0"/>
        <w:numPr>
          <w:ilvl w:val="1"/>
          <w:numId w:val="176"/>
        </w:numPr>
        <w:tabs>
          <w:tab w:val="clear" w:pos="3977"/>
          <w:tab w:val="num" w:pos="567"/>
          <w:tab w:val="num" w:pos="715"/>
          <w:tab w:val="num" w:pos="2069"/>
        </w:tabs>
        <w:spacing w:before="120" w:after="120" w:line="240" w:lineRule="auto"/>
        <w:ind w:left="993" w:hanging="709"/>
        <w:jc w:val="both"/>
        <w:rPr>
          <w:rFonts w:ascii="Times New Roman" w:eastAsia="Times New Roman" w:hAnsi="Times New Roman" w:cs="Times New Roman"/>
        </w:rPr>
      </w:pPr>
      <w:r w:rsidRPr="00EB017F">
        <w:rPr>
          <w:rFonts w:ascii="Times New Roman" w:eastAsia="Times New Roman" w:hAnsi="Times New Roman" w:cs="Times New Roman"/>
          <w:b/>
          <w:bCs/>
        </w:rPr>
        <w:t>Ajánlott irodalom:</w:t>
      </w:r>
      <w:r w:rsidR="00EB017F">
        <w:rPr>
          <w:rFonts w:ascii="Times New Roman" w:eastAsia="Times New Roman" w:hAnsi="Times New Roman" w:cs="Times New Roman"/>
          <w:b/>
          <w:bCs/>
        </w:rPr>
        <w:t xml:space="preserve"> </w:t>
      </w:r>
      <w:r w:rsidRPr="00EB017F">
        <w:rPr>
          <w:rFonts w:ascii="Times New Roman" w:eastAsia="Times New Roman" w:hAnsi="Times New Roman" w:cs="Times New Roman"/>
        </w:rPr>
        <w:t>-</w:t>
      </w:r>
    </w:p>
    <w:p w:rsidR="00EB017F" w:rsidRDefault="00EB017F" w:rsidP="0043570D">
      <w:pPr>
        <w:widowControl w:val="0"/>
        <w:spacing w:before="120" w:after="120" w:line="240" w:lineRule="auto"/>
        <w:jc w:val="both"/>
        <w:rPr>
          <w:rFonts w:ascii="Times New Roman" w:eastAsia="Times New Roman" w:hAnsi="Times New Roman" w:cs="Times New Roman"/>
          <w:bCs/>
        </w:rPr>
      </w:pPr>
    </w:p>
    <w:p w:rsidR="0043570D" w:rsidRDefault="0043570D" w:rsidP="00EB017F">
      <w:pPr>
        <w:widowControl w:val="0"/>
        <w:spacing w:before="120" w:after="120" w:line="240" w:lineRule="auto"/>
        <w:ind w:firstLine="284"/>
        <w:jc w:val="both"/>
        <w:rPr>
          <w:rFonts w:ascii="Times New Roman" w:eastAsia="Times New Roman" w:hAnsi="Times New Roman" w:cs="Times New Roman"/>
          <w:bCs/>
        </w:rPr>
      </w:pPr>
      <w:r>
        <w:rPr>
          <w:rFonts w:ascii="Times New Roman" w:eastAsia="Times New Roman" w:hAnsi="Times New Roman" w:cs="Times New Roman"/>
          <w:bCs/>
        </w:rPr>
        <w:t>Budapest, 2020.02.20.</w:t>
      </w:r>
    </w:p>
    <w:p w:rsidR="0043570D" w:rsidRDefault="0043570D" w:rsidP="0043570D">
      <w:pPr>
        <w:widowControl w:val="0"/>
        <w:spacing w:before="120" w:after="120" w:line="240" w:lineRule="auto"/>
        <w:jc w:val="both"/>
        <w:rPr>
          <w:rFonts w:ascii="Times New Roman" w:eastAsia="Times New Roman" w:hAnsi="Times New Roman" w:cs="Times New Roman"/>
          <w:bCs/>
        </w:rPr>
      </w:pPr>
    </w:p>
    <w:p w:rsidR="0043570D" w:rsidRPr="0043570D" w:rsidRDefault="00DE13A3" w:rsidP="0043570D">
      <w:pPr>
        <w:widowControl w:val="0"/>
        <w:spacing w:after="0" w:line="240" w:lineRule="auto"/>
        <w:ind w:left="5664" w:firstLine="708"/>
        <w:jc w:val="center"/>
        <w:rPr>
          <w:rFonts w:ascii="Times New Roman" w:eastAsia="Times New Roman" w:hAnsi="Times New Roman" w:cs="Times New Roman"/>
          <w:b/>
          <w:bCs/>
        </w:rPr>
      </w:pPr>
      <w:r>
        <w:rPr>
          <w:rFonts w:ascii="Times New Roman" w:eastAsia="Times New Roman" w:hAnsi="Times New Roman" w:cs="Times New Roman"/>
          <w:b/>
          <w:bCs/>
        </w:rPr>
        <w:t>Dr.</w:t>
      </w:r>
      <w:r w:rsidR="0043570D" w:rsidRPr="0043570D">
        <w:rPr>
          <w:rFonts w:ascii="Times New Roman" w:eastAsia="Times New Roman" w:hAnsi="Times New Roman" w:cs="Times New Roman"/>
          <w:b/>
          <w:bCs/>
        </w:rPr>
        <w:t xml:space="preserve"> Nyikos Györgyi</w:t>
      </w:r>
    </w:p>
    <w:p w:rsidR="0043570D" w:rsidRDefault="0043570D" w:rsidP="0043570D">
      <w:pPr>
        <w:widowControl w:val="0"/>
        <w:spacing w:after="0" w:line="240" w:lineRule="auto"/>
        <w:ind w:left="5664" w:firstLine="708"/>
        <w:jc w:val="center"/>
        <w:rPr>
          <w:rFonts w:ascii="Times New Roman" w:eastAsia="Times New Roman" w:hAnsi="Times New Roman" w:cs="Times New Roman"/>
          <w:bCs/>
        </w:rPr>
      </w:pPr>
      <w:r>
        <w:rPr>
          <w:rFonts w:ascii="Times New Roman" w:eastAsia="Times New Roman" w:hAnsi="Times New Roman" w:cs="Times New Roman"/>
          <w:bCs/>
        </w:rPr>
        <w:t>egyetemi docens sk.</w:t>
      </w:r>
    </w:p>
    <w:p w:rsidR="0043570D" w:rsidRDefault="0043570D" w:rsidP="0043570D">
      <w:pPr>
        <w:widowControl w:val="0"/>
        <w:spacing w:before="120" w:after="120" w:line="240" w:lineRule="auto"/>
        <w:jc w:val="right"/>
        <w:rPr>
          <w:rFonts w:ascii="Times New Roman" w:eastAsia="Times New Roman" w:hAnsi="Times New Roman" w:cs="Times New Roman"/>
          <w:bCs/>
        </w:rPr>
      </w:pPr>
    </w:p>
    <w:p w:rsidR="0043570D" w:rsidRDefault="0043570D">
      <w:pPr>
        <w:spacing w:after="200" w:line="276" w:lineRule="auto"/>
        <w:rPr>
          <w:rFonts w:ascii="Times New Roman" w:hAnsi="Times New Roman" w:cs="Times New Roman"/>
          <w:sz w:val="24"/>
        </w:rPr>
      </w:pPr>
    </w:p>
    <w:p w:rsidR="00CD29C1" w:rsidRDefault="00CD29C1">
      <w:pPr>
        <w:spacing w:after="200" w:line="276" w:lineRule="auto"/>
        <w:rPr>
          <w:rFonts w:ascii="Times New Roman" w:hAnsi="Times New Roman" w:cs="Times New Roman"/>
          <w:sz w:val="24"/>
        </w:rPr>
      </w:pPr>
      <w:r>
        <w:rPr>
          <w:rFonts w:ascii="Times New Roman" w:hAnsi="Times New Roman" w:cs="Times New Roman"/>
          <w:sz w:val="24"/>
        </w:rPr>
        <w:br w:type="page"/>
      </w:r>
    </w:p>
    <w:tbl>
      <w:tblPr>
        <w:tblW w:w="9072" w:type="dxa"/>
        <w:tblInd w:w="113" w:type="dxa"/>
        <w:tblLook w:val="01E0" w:firstRow="1" w:lastRow="1" w:firstColumn="1" w:lastColumn="1" w:noHBand="0" w:noVBand="0"/>
      </w:tblPr>
      <w:tblGrid>
        <w:gridCol w:w="4855"/>
        <w:gridCol w:w="1620"/>
        <w:gridCol w:w="2597"/>
      </w:tblGrid>
      <w:tr w:rsidR="00CD29C1" w:rsidTr="00CD29C1">
        <w:tc>
          <w:tcPr>
            <w:tcW w:w="4855" w:type="dxa"/>
            <w:tcBorders>
              <w:top w:val="nil"/>
              <w:left w:val="nil"/>
              <w:bottom w:val="single" w:sz="4" w:space="0" w:color="auto"/>
              <w:right w:val="nil"/>
            </w:tcBorders>
            <w:hideMark/>
          </w:tcPr>
          <w:p w:rsidR="00CD29C1" w:rsidRDefault="00CD29C1">
            <w:pPr>
              <w:spacing w:after="0" w:line="240" w:lineRule="auto"/>
              <w:jc w:val="center"/>
              <w:rPr>
                <w:rFonts w:ascii="Times New Roman" w:eastAsia="Times New Roman" w:hAnsi="Times New Roman" w:cs="Times New Roman"/>
                <w:b/>
                <w:smallCaps/>
                <w:lang w:eastAsia="hu-HU"/>
              </w:rPr>
            </w:pPr>
            <w:r>
              <w:rPr>
                <w:rFonts w:ascii="Times New Roman" w:eastAsia="Times New Roman" w:hAnsi="Times New Roman" w:cs="Times New Roman"/>
                <w:b/>
                <w:smallCaps/>
                <w:lang w:eastAsia="hu-HU"/>
              </w:rPr>
              <w:lastRenderedPageBreak/>
              <w:t>Nemzeti Közszolgálati Egyetem</w:t>
            </w:r>
          </w:p>
        </w:tc>
        <w:tc>
          <w:tcPr>
            <w:tcW w:w="1620" w:type="dxa"/>
          </w:tcPr>
          <w:p w:rsidR="00CD29C1" w:rsidRDefault="00CD29C1">
            <w:pPr>
              <w:spacing w:after="0" w:line="240" w:lineRule="auto"/>
              <w:jc w:val="both"/>
              <w:rPr>
                <w:rFonts w:ascii="Times New Roman" w:eastAsia="Times New Roman" w:hAnsi="Times New Roman" w:cs="Times New Roman"/>
                <w:lang w:eastAsia="hu-HU"/>
              </w:rPr>
            </w:pPr>
          </w:p>
        </w:tc>
        <w:tc>
          <w:tcPr>
            <w:tcW w:w="2597" w:type="dxa"/>
          </w:tcPr>
          <w:p w:rsidR="00CD29C1" w:rsidRDefault="00CD29C1">
            <w:pPr>
              <w:spacing w:after="0" w:line="240" w:lineRule="auto"/>
              <w:jc w:val="right"/>
              <w:rPr>
                <w:rFonts w:ascii="Times New Roman" w:eastAsia="Times New Roman" w:hAnsi="Times New Roman" w:cs="Times New Roman"/>
                <w:lang w:eastAsia="hu-HU"/>
              </w:rPr>
            </w:pPr>
          </w:p>
        </w:tc>
      </w:tr>
      <w:tr w:rsidR="00CD29C1" w:rsidTr="00CD29C1">
        <w:tc>
          <w:tcPr>
            <w:tcW w:w="4855" w:type="dxa"/>
            <w:tcBorders>
              <w:top w:val="single" w:sz="4" w:space="0" w:color="auto"/>
              <w:left w:val="nil"/>
              <w:bottom w:val="nil"/>
              <w:right w:val="nil"/>
            </w:tcBorders>
            <w:hideMark/>
          </w:tcPr>
          <w:p w:rsidR="00CD29C1" w:rsidRDefault="00CD29C1">
            <w:pPr>
              <w:spacing w:after="0" w:line="240" w:lineRule="auto"/>
              <w:jc w:val="center"/>
              <w:rPr>
                <w:rFonts w:ascii="Times New Roman" w:eastAsia="Times New Roman" w:hAnsi="Times New Roman" w:cs="Times New Roman"/>
                <w:b/>
                <w:lang w:eastAsia="hu-HU"/>
              </w:rPr>
            </w:pPr>
            <w:r>
              <w:rPr>
                <w:rFonts w:ascii="Times New Roman" w:eastAsia="Times New Roman" w:hAnsi="Times New Roman" w:cs="Times New Roman"/>
                <w:b/>
                <w:lang w:eastAsia="hu-HU"/>
              </w:rPr>
              <w:t>Hadtudományi és Honvédtisztképző Kar</w:t>
            </w:r>
          </w:p>
        </w:tc>
        <w:tc>
          <w:tcPr>
            <w:tcW w:w="1620" w:type="dxa"/>
          </w:tcPr>
          <w:p w:rsidR="00CD29C1" w:rsidRDefault="00CD29C1">
            <w:pPr>
              <w:spacing w:after="0" w:line="240" w:lineRule="auto"/>
              <w:jc w:val="both"/>
              <w:rPr>
                <w:rFonts w:ascii="Times New Roman" w:eastAsia="Times New Roman" w:hAnsi="Times New Roman" w:cs="Times New Roman"/>
                <w:lang w:eastAsia="hu-HU"/>
              </w:rPr>
            </w:pPr>
          </w:p>
        </w:tc>
        <w:tc>
          <w:tcPr>
            <w:tcW w:w="2597" w:type="dxa"/>
          </w:tcPr>
          <w:p w:rsidR="00CD29C1" w:rsidRDefault="00CD29C1">
            <w:pPr>
              <w:spacing w:after="0" w:line="240" w:lineRule="auto"/>
              <w:jc w:val="both"/>
              <w:rPr>
                <w:rFonts w:ascii="Times New Roman" w:eastAsia="Times New Roman" w:hAnsi="Times New Roman" w:cs="Times New Roman"/>
                <w:lang w:eastAsia="hu-HU"/>
              </w:rPr>
            </w:pPr>
          </w:p>
        </w:tc>
      </w:tr>
    </w:tbl>
    <w:p w:rsidR="00CD29C1" w:rsidRDefault="00CD29C1" w:rsidP="00CD29C1">
      <w:pPr>
        <w:widowControl w:val="0"/>
        <w:spacing w:before="120" w:after="120" w:line="240" w:lineRule="auto"/>
        <w:ind w:left="426" w:hanging="142"/>
        <w:jc w:val="center"/>
        <w:rPr>
          <w:rFonts w:ascii="Times New Roman" w:eastAsia="Times New Roman" w:hAnsi="Times New Roman" w:cs="Times New Roman"/>
          <w:b/>
          <w:bCs/>
        </w:rPr>
      </w:pPr>
    </w:p>
    <w:p w:rsidR="00CD29C1" w:rsidRDefault="00CD29C1" w:rsidP="00CD29C1">
      <w:pPr>
        <w:widowControl w:val="0"/>
        <w:spacing w:before="120" w:after="120" w:line="240" w:lineRule="auto"/>
        <w:ind w:left="426" w:hanging="142"/>
        <w:jc w:val="center"/>
        <w:rPr>
          <w:rFonts w:ascii="Times New Roman" w:eastAsia="Times New Roman" w:hAnsi="Times New Roman" w:cs="Times New Roman"/>
          <w:b/>
          <w:bCs/>
        </w:rPr>
      </w:pPr>
      <w:r>
        <w:rPr>
          <w:rFonts w:ascii="Times New Roman" w:eastAsia="Times New Roman" w:hAnsi="Times New Roman" w:cs="Times New Roman"/>
          <w:b/>
          <w:bCs/>
        </w:rPr>
        <w:t>TANTÁRGYI PROGRAM</w:t>
      </w:r>
    </w:p>
    <w:p w:rsidR="00CD29C1" w:rsidRDefault="00CD29C1" w:rsidP="00980876">
      <w:pPr>
        <w:widowControl w:val="0"/>
        <w:numPr>
          <w:ilvl w:val="0"/>
          <w:numId w:val="185"/>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 tantárgy kódja: </w:t>
      </w:r>
      <w:r>
        <w:rPr>
          <w:rFonts w:ascii="Times New Roman" w:hAnsi="Times New Roman" w:cs="Times New Roman"/>
          <w:bCs/>
        </w:rPr>
        <w:t>HKHPKA104</w:t>
      </w:r>
    </w:p>
    <w:p w:rsidR="00CD29C1" w:rsidRDefault="00CD29C1" w:rsidP="00980876">
      <w:pPr>
        <w:widowControl w:val="0"/>
        <w:numPr>
          <w:ilvl w:val="0"/>
          <w:numId w:val="185"/>
        </w:numPr>
        <w:spacing w:before="120" w:after="120" w:line="240" w:lineRule="auto"/>
        <w:ind w:left="426" w:hanging="142"/>
        <w:jc w:val="both"/>
        <w:rPr>
          <w:rFonts w:ascii="Times New Roman" w:eastAsia="Times New Roman" w:hAnsi="Times New Roman" w:cs="Times New Roman"/>
          <w:b/>
          <w:bCs/>
          <w:lang w:val="en-GB"/>
        </w:rPr>
      </w:pPr>
      <w:r>
        <w:rPr>
          <w:rFonts w:ascii="Times New Roman" w:eastAsia="Times New Roman" w:hAnsi="Times New Roman" w:cs="Times New Roman"/>
          <w:b/>
          <w:bCs/>
        </w:rPr>
        <w:t>A tantárgy megnevezése (magyarul):</w:t>
      </w:r>
      <w:r>
        <w:rPr>
          <w:rFonts w:ascii="Times New Roman" w:eastAsia="Times New Roman" w:hAnsi="Times New Roman" w:cs="Times New Roman"/>
          <w:bCs/>
        </w:rPr>
        <w:t xml:space="preserve"> </w:t>
      </w:r>
      <w:r>
        <w:rPr>
          <w:rFonts w:ascii="Times New Roman" w:hAnsi="Times New Roman" w:cs="Times New Roman"/>
          <w:bCs/>
        </w:rPr>
        <w:t>Gazdálkodás és menedzsment</w:t>
      </w:r>
    </w:p>
    <w:p w:rsidR="00CD29C1" w:rsidRDefault="00CD29C1" w:rsidP="00980876">
      <w:pPr>
        <w:widowControl w:val="0"/>
        <w:numPr>
          <w:ilvl w:val="0"/>
          <w:numId w:val="185"/>
        </w:numPr>
        <w:tabs>
          <w:tab w:val="num" w:pos="567"/>
        </w:tabs>
        <w:spacing w:before="120" w:after="120" w:line="240" w:lineRule="auto"/>
        <w:ind w:left="426" w:hanging="142"/>
        <w:jc w:val="both"/>
        <w:rPr>
          <w:rFonts w:ascii="Times New Roman" w:eastAsia="Times New Roman" w:hAnsi="Times New Roman" w:cs="Times New Roman"/>
          <w:b/>
          <w:bCs/>
          <w:lang w:val="en-GB"/>
        </w:rPr>
      </w:pPr>
      <w:r>
        <w:rPr>
          <w:rFonts w:ascii="Times New Roman" w:eastAsia="Times New Roman" w:hAnsi="Times New Roman" w:cs="Times New Roman"/>
          <w:b/>
          <w:bCs/>
        </w:rPr>
        <w:t xml:space="preserve">A tantárgy megnevezése (angolul): </w:t>
      </w:r>
      <w:r>
        <w:rPr>
          <w:rFonts w:ascii="Times New Roman" w:hAnsi="Times New Roman" w:cs="Times New Roman"/>
          <w:bCs/>
        </w:rPr>
        <w:t>Business Economics and Management</w:t>
      </w:r>
    </w:p>
    <w:p w:rsidR="00CD29C1" w:rsidRDefault="00CD29C1" w:rsidP="00980876">
      <w:pPr>
        <w:widowControl w:val="0"/>
        <w:numPr>
          <w:ilvl w:val="0"/>
          <w:numId w:val="185"/>
        </w:numPr>
        <w:tabs>
          <w:tab w:val="num" w:pos="567"/>
        </w:tabs>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Kreditérték és képzési karakter: </w:t>
      </w:r>
    </w:p>
    <w:p w:rsidR="00CD29C1" w:rsidRDefault="00CD29C1" w:rsidP="00980876">
      <w:pPr>
        <w:pStyle w:val="Listaszerbekezds"/>
        <w:widowControl w:val="0"/>
        <w:numPr>
          <w:ilvl w:val="1"/>
          <w:numId w:val="185"/>
        </w:numPr>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3 kredit</w:t>
      </w:r>
    </w:p>
    <w:p w:rsidR="00CD29C1" w:rsidRDefault="00CD29C1" w:rsidP="00980876">
      <w:pPr>
        <w:pStyle w:val="Listaszerbekezds"/>
        <w:widowControl w:val="0"/>
        <w:numPr>
          <w:ilvl w:val="1"/>
          <w:numId w:val="185"/>
        </w:numPr>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a tantárgy elméleti vagy gyakorlati jellegének mértéke: 34</w:t>
      </w:r>
      <w:r>
        <w:rPr>
          <w:rFonts w:ascii="Times New Roman" w:eastAsia="Times New Roman" w:hAnsi="Times New Roman" w:cs="Times New Roman"/>
          <w:b/>
          <w:bCs/>
        </w:rPr>
        <w:t xml:space="preserve"> </w:t>
      </w:r>
      <w:r>
        <w:rPr>
          <w:rFonts w:ascii="Times New Roman" w:eastAsia="Times New Roman" w:hAnsi="Times New Roman" w:cs="Times New Roman"/>
          <w:bCs/>
        </w:rPr>
        <w:t>% gyakorlat, 66 % elmélet</w:t>
      </w:r>
    </w:p>
    <w:p w:rsidR="00CD29C1" w:rsidRDefault="00CD29C1" w:rsidP="00980876">
      <w:pPr>
        <w:widowControl w:val="0"/>
        <w:numPr>
          <w:ilvl w:val="0"/>
          <w:numId w:val="185"/>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szak(ok), szakirányok/specializációk megnevezése (ahol oktatják):</w:t>
      </w:r>
      <w:r>
        <w:rPr>
          <w:rFonts w:ascii="Times New Roman" w:eastAsia="Times New Roman" w:hAnsi="Times New Roman" w:cs="Times New Roman"/>
          <w:bCs/>
        </w:rPr>
        <w:t xml:space="preserve"> </w:t>
      </w:r>
      <w:r>
        <w:rPr>
          <w:rFonts w:ascii="Times New Roman" w:hAnsi="Times New Roman" w:cs="Times New Roman"/>
          <w:bCs/>
        </w:rPr>
        <w:t>Katonai logisztika alapképzési (</w:t>
      </w:r>
      <w:r w:rsidR="00137B8A">
        <w:rPr>
          <w:rFonts w:ascii="Times New Roman" w:hAnsi="Times New Roman" w:cs="Times New Roman"/>
          <w:bCs/>
        </w:rPr>
        <w:t>BSc</w:t>
      </w:r>
      <w:r>
        <w:rPr>
          <w:rFonts w:ascii="Times New Roman" w:hAnsi="Times New Roman" w:cs="Times New Roman"/>
          <w:bCs/>
        </w:rPr>
        <w:t>) szak, Hadtáp specializáció, Katonai pénzügyi specializáció</w:t>
      </w:r>
    </w:p>
    <w:p w:rsidR="00CD29C1" w:rsidRDefault="00CD29C1" w:rsidP="00980876">
      <w:pPr>
        <w:widowControl w:val="0"/>
        <w:numPr>
          <w:ilvl w:val="0"/>
          <w:numId w:val="185"/>
        </w:numPr>
        <w:tabs>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Az oktatásért felelős oktatási szervezeti egység megnevezése: </w:t>
      </w:r>
      <w:r>
        <w:rPr>
          <w:rFonts w:ascii="Times New Roman" w:hAnsi="Times New Roman" w:cs="Times New Roman"/>
          <w:bCs/>
        </w:rPr>
        <w:t>NKE HHK Hadtáp, Pénzügyi és Katonai Közlekedési Tanszék</w:t>
      </w:r>
    </w:p>
    <w:p w:rsidR="00CD29C1" w:rsidRDefault="00CD29C1" w:rsidP="00980876">
      <w:pPr>
        <w:widowControl w:val="0"/>
        <w:numPr>
          <w:ilvl w:val="0"/>
          <w:numId w:val="185"/>
        </w:numPr>
        <w:tabs>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tantárgyfelelős oktató neve, beosztása, tudományos fokozata:</w:t>
      </w:r>
      <w:r>
        <w:rPr>
          <w:rFonts w:ascii="Times New Roman" w:eastAsia="Times New Roman" w:hAnsi="Times New Roman" w:cs="Times New Roman"/>
          <w:bCs/>
        </w:rPr>
        <w:t xml:space="preserve"> </w:t>
      </w:r>
      <w:r>
        <w:rPr>
          <w:rFonts w:ascii="Times New Roman" w:hAnsi="Times New Roman" w:cs="Times New Roman"/>
          <w:bCs/>
        </w:rPr>
        <w:t>Dr. Fülöp Katalin egyetemi docens (PhD)</w:t>
      </w:r>
    </w:p>
    <w:p w:rsidR="00CD29C1" w:rsidRDefault="00CD29C1" w:rsidP="00980876">
      <w:pPr>
        <w:widowControl w:val="0"/>
        <w:numPr>
          <w:ilvl w:val="0"/>
          <w:numId w:val="185"/>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tanórák száma és típusa</w:t>
      </w:r>
    </w:p>
    <w:p w:rsidR="00CD29C1" w:rsidRDefault="00CD29C1" w:rsidP="00980876">
      <w:pPr>
        <w:widowControl w:val="0"/>
        <w:numPr>
          <w:ilvl w:val="1"/>
          <w:numId w:val="185"/>
        </w:numPr>
        <w:tabs>
          <w:tab w:val="num" w:pos="709"/>
          <w:tab w:val="num" w:pos="2069"/>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össz óraszám/félév:</w:t>
      </w:r>
    </w:p>
    <w:p w:rsidR="00CD29C1" w:rsidRDefault="00CD29C1" w:rsidP="00980876">
      <w:pPr>
        <w:widowControl w:val="0"/>
        <w:numPr>
          <w:ilvl w:val="2"/>
          <w:numId w:val="185"/>
        </w:numPr>
        <w:tabs>
          <w:tab w:val="num" w:pos="709"/>
          <w:tab w:val="num" w:pos="1134"/>
        </w:tabs>
        <w:spacing w:before="120" w:after="120" w:line="240" w:lineRule="auto"/>
        <w:ind w:left="993" w:hanging="425"/>
        <w:jc w:val="both"/>
        <w:rPr>
          <w:rFonts w:ascii="Times New Roman" w:eastAsia="Times New Roman" w:hAnsi="Times New Roman" w:cs="Times New Roman"/>
          <w:bCs/>
        </w:rPr>
      </w:pPr>
      <w:r>
        <w:rPr>
          <w:rFonts w:ascii="Times New Roman" w:eastAsia="Times New Roman" w:hAnsi="Times New Roman" w:cs="Times New Roman"/>
          <w:bCs/>
        </w:rPr>
        <w:t>nappali munkarend: 42 (28 EA + 2 SZ + 12 GY)</w:t>
      </w:r>
    </w:p>
    <w:p w:rsidR="00CD29C1" w:rsidRDefault="00CD29C1" w:rsidP="00980876">
      <w:pPr>
        <w:widowControl w:val="0"/>
        <w:numPr>
          <w:ilvl w:val="2"/>
          <w:numId w:val="185"/>
        </w:numPr>
        <w:tabs>
          <w:tab w:val="num" w:pos="709"/>
          <w:tab w:val="num" w:pos="1134"/>
        </w:tabs>
        <w:spacing w:before="120" w:after="120" w:line="240" w:lineRule="auto"/>
        <w:ind w:left="993" w:hanging="425"/>
        <w:jc w:val="both"/>
        <w:rPr>
          <w:rFonts w:ascii="Times New Roman" w:eastAsia="Times New Roman" w:hAnsi="Times New Roman" w:cs="Times New Roman"/>
          <w:bCs/>
        </w:rPr>
      </w:pPr>
      <w:r>
        <w:rPr>
          <w:rFonts w:ascii="Times New Roman" w:eastAsia="Times New Roman" w:hAnsi="Times New Roman" w:cs="Times New Roman"/>
          <w:bCs/>
        </w:rPr>
        <w:t>levelező munkarend: -</w:t>
      </w:r>
    </w:p>
    <w:p w:rsidR="00CD29C1" w:rsidRDefault="00CD29C1" w:rsidP="00980876">
      <w:pPr>
        <w:widowControl w:val="0"/>
        <w:numPr>
          <w:ilvl w:val="1"/>
          <w:numId w:val="185"/>
        </w:numPr>
        <w:tabs>
          <w:tab w:val="num" w:pos="709"/>
          <w:tab w:val="num" w:pos="2069"/>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heti óraszám - nappali munkarend: 3</w:t>
      </w:r>
    </w:p>
    <w:p w:rsidR="00CD29C1" w:rsidRDefault="00CD29C1" w:rsidP="00980876">
      <w:pPr>
        <w:widowControl w:val="0"/>
        <w:numPr>
          <w:ilvl w:val="1"/>
          <w:numId w:val="185"/>
        </w:numPr>
        <w:tabs>
          <w:tab w:val="num" w:pos="709"/>
          <w:tab w:val="num" w:pos="2069"/>
        </w:tabs>
        <w:spacing w:before="120" w:after="120" w:line="240" w:lineRule="auto"/>
        <w:ind w:left="851" w:hanging="425"/>
        <w:jc w:val="both"/>
        <w:rPr>
          <w:rFonts w:ascii="Times New Roman" w:eastAsia="Times New Roman" w:hAnsi="Times New Roman" w:cs="Times New Roman"/>
          <w:bCs/>
        </w:rPr>
      </w:pPr>
      <w:r>
        <w:rPr>
          <w:rFonts w:ascii="Times New Roman" w:hAnsi="Times New Roman" w:cs="Times New Roman"/>
        </w:rPr>
        <w:t>Az ismeret átadásában alkalmazandó további sajátos módok, jellemzők:</w:t>
      </w:r>
      <w:r>
        <w:rPr>
          <w:rFonts w:ascii="Times New Roman" w:hAnsi="Times New Roman" w:cs="Times New Roman"/>
          <w:i/>
        </w:rPr>
        <w:t xml:space="preserve"> –</w:t>
      </w:r>
    </w:p>
    <w:p w:rsidR="00CD29C1" w:rsidRDefault="00CD29C1" w:rsidP="00980876">
      <w:pPr>
        <w:widowControl w:val="0"/>
        <w:numPr>
          <w:ilvl w:val="0"/>
          <w:numId w:val="185"/>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tantárgy szakmai tartalma (magyarul):</w:t>
      </w:r>
      <w:r>
        <w:rPr>
          <w:rFonts w:ascii="Times New Roman" w:eastAsia="Times New Roman" w:hAnsi="Times New Roman" w:cs="Times New Roman"/>
          <w:bCs/>
        </w:rPr>
        <w:t xml:space="preserve"> </w:t>
      </w:r>
      <w:r>
        <w:rPr>
          <w:rFonts w:ascii="Times New Roman" w:hAnsi="Times New Roman" w:cs="Times New Roman"/>
          <w:bCs/>
        </w:rPr>
        <w:t>Vállalatok létrehozásának célja, a vállalati működés és gazdálkodás alapvető törvényszerűségei, a vállalati működés funkcionális területei.</w:t>
      </w:r>
    </w:p>
    <w:p w:rsidR="00CD29C1" w:rsidRDefault="00CD29C1" w:rsidP="00CD29C1">
      <w:pPr>
        <w:widowControl w:val="0"/>
        <w:spacing w:before="120" w:after="120" w:line="240" w:lineRule="auto"/>
        <w:ind w:left="426"/>
        <w:jc w:val="both"/>
        <w:rPr>
          <w:rFonts w:ascii="Times New Roman" w:eastAsia="Times New Roman" w:hAnsi="Times New Roman" w:cs="Times New Roman"/>
          <w:bCs/>
          <w:lang w:val="en-US"/>
        </w:rPr>
      </w:pPr>
      <w:r>
        <w:rPr>
          <w:rFonts w:ascii="Times New Roman" w:eastAsia="Times New Roman" w:hAnsi="Times New Roman" w:cs="Times New Roman"/>
          <w:b/>
          <w:bCs/>
        </w:rPr>
        <w:t>A tantárgy szakmai tartalma (angolul) (</w:t>
      </w:r>
      <w:r>
        <w:rPr>
          <w:rFonts w:ascii="Times New Roman" w:eastAsia="Times New Roman" w:hAnsi="Times New Roman" w:cs="Times New Roman"/>
          <w:b/>
          <w:bCs/>
          <w:lang w:val="en-US"/>
        </w:rPr>
        <w:t xml:space="preserve">Course description): </w:t>
      </w:r>
      <w:r>
        <w:rPr>
          <w:rFonts w:ascii="Times New Roman" w:eastAsia="Times New Roman" w:hAnsi="Times New Roman" w:cs="Times New Roman"/>
          <w:bCs/>
          <w:lang w:val="en-US" w:eastAsia="hu-HU"/>
        </w:rPr>
        <w:t>Goals and benefits of business entities, fundamental principles of business managing, functional branches of daily operation</w:t>
      </w:r>
      <w:r>
        <w:rPr>
          <w:rFonts w:ascii="Times New Roman" w:hAnsi="Times New Roman" w:cs="Times New Roman"/>
          <w:bCs/>
          <w:lang w:val="en-US"/>
        </w:rPr>
        <w:t xml:space="preserve">. </w:t>
      </w:r>
    </w:p>
    <w:p w:rsidR="00CD29C1" w:rsidRDefault="00CD29C1" w:rsidP="00980876">
      <w:pPr>
        <w:pStyle w:val="Listaszerbekezds"/>
        <w:widowControl w:val="0"/>
        <w:numPr>
          <w:ilvl w:val="0"/>
          <w:numId w:val="185"/>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Elérendő kompetenciák (magyarul):</w:t>
      </w:r>
      <w:r>
        <w:rPr>
          <w:rFonts w:ascii="Times New Roman" w:eastAsia="Times New Roman" w:hAnsi="Times New Roman" w:cs="Times New Roman"/>
          <w:bCs/>
        </w:rPr>
        <w:t xml:space="preserve"> </w:t>
      </w:r>
    </w:p>
    <w:p w:rsidR="00CD29C1" w:rsidRDefault="00CD29C1" w:rsidP="00CD29C1">
      <w:pPr>
        <w:widowControl w:val="0"/>
        <w:spacing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Tudása:</w:t>
      </w:r>
    </w:p>
    <w:p w:rsidR="00CD29C1" w:rsidRDefault="00CD29C1" w:rsidP="00980876">
      <w:pPr>
        <w:pStyle w:val="Listaszerbekezds"/>
        <w:widowControl w:val="0"/>
        <w:numPr>
          <w:ilvl w:val="0"/>
          <w:numId w:val="754"/>
        </w:numPr>
        <w:spacing w:after="0" w:line="240" w:lineRule="auto"/>
        <w:jc w:val="both"/>
        <w:rPr>
          <w:rFonts w:ascii="Times New Roman" w:eastAsia="Times New Roman" w:hAnsi="Times New Roman" w:cs="Times New Roman"/>
          <w:bCs/>
        </w:rPr>
      </w:pPr>
      <w:r>
        <w:rPr>
          <w:rFonts w:ascii="Times New Roman" w:hAnsi="Times New Roman" w:cs="Times New Roman"/>
        </w:rPr>
        <w:t>Ismeri a gazdaság és a piacok működésének alapjait</w:t>
      </w:r>
      <w:r>
        <w:rPr>
          <w:rFonts w:ascii="Times New Roman" w:eastAsia="Times New Roman" w:hAnsi="Times New Roman" w:cs="Times New Roman"/>
          <w:bCs/>
        </w:rPr>
        <w:t>.</w:t>
      </w:r>
    </w:p>
    <w:p w:rsidR="00CD29C1" w:rsidRDefault="00CD29C1" w:rsidP="00980876">
      <w:pPr>
        <w:pStyle w:val="Listaszerbekezds"/>
        <w:widowControl w:val="0"/>
        <w:numPr>
          <w:ilvl w:val="0"/>
          <w:numId w:val="754"/>
        </w:numPr>
        <w:spacing w:after="0" w:line="240" w:lineRule="auto"/>
        <w:jc w:val="both"/>
        <w:rPr>
          <w:rFonts w:ascii="Times New Roman" w:hAnsi="Times New Roman" w:cs="Times New Roman"/>
        </w:rPr>
      </w:pPr>
      <w:r>
        <w:rPr>
          <w:rFonts w:ascii="Times New Roman" w:hAnsi="Times New Roman" w:cs="Times New Roman"/>
        </w:rPr>
        <w:t>Rendelkezik alapvető vezetői ismeretekkel, tisztában van a vezetői kompetenciákkal és a beosztottak eredményes irányításához szükséges alapvető ismeretekkel, valamint a beosztottakat motiváló képességekkel.</w:t>
      </w:r>
    </w:p>
    <w:p w:rsidR="00CD29C1" w:rsidRDefault="00CD29C1" w:rsidP="00980876">
      <w:pPr>
        <w:pStyle w:val="Listaszerbekezds"/>
        <w:widowControl w:val="0"/>
        <w:numPr>
          <w:ilvl w:val="0"/>
          <w:numId w:val="754"/>
        </w:numPr>
        <w:spacing w:after="0" w:line="240" w:lineRule="auto"/>
        <w:jc w:val="both"/>
        <w:rPr>
          <w:rFonts w:ascii="Times New Roman" w:hAnsi="Times New Roman" w:cs="Times New Roman"/>
        </w:rPr>
      </w:pPr>
      <w:r>
        <w:rPr>
          <w:rFonts w:ascii="Times New Roman" w:hAnsi="Times New Roman" w:cs="Times New Roman"/>
        </w:rPr>
        <w:t>Mélyrehatóan ismeri a katonai logisztikai gazdálkodás feladatait, valamint annak eszköz- és információs rendszerét.</w:t>
      </w:r>
    </w:p>
    <w:p w:rsidR="00CD29C1" w:rsidRDefault="00CD29C1" w:rsidP="00CD29C1">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Képességei:</w:t>
      </w:r>
      <w:r>
        <w:rPr>
          <w:rFonts w:ascii="Times New Roman" w:eastAsia="Times New Roman" w:hAnsi="Times New Roman" w:cs="Times New Roman"/>
          <w:bCs/>
        </w:rPr>
        <w:t xml:space="preserve"> </w:t>
      </w:r>
    </w:p>
    <w:p w:rsidR="00CD29C1" w:rsidRDefault="00CD29C1" w:rsidP="00980876">
      <w:pPr>
        <w:pStyle w:val="Listaszerbekezds"/>
        <w:widowControl w:val="0"/>
        <w:numPr>
          <w:ilvl w:val="0"/>
          <w:numId w:val="754"/>
        </w:numPr>
        <w:spacing w:after="0" w:line="240" w:lineRule="auto"/>
        <w:jc w:val="both"/>
        <w:rPr>
          <w:rFonts w:ascii="Times New Roman" w:hAnsi="Times New Roman" w:cs="Times New Roman"/>
        </w:rPr>
      </w:pPr>
      <w:r>
        <w:rPr>
          <w:rFonts w:ascii="Times New Roman" w:hAnsi="Times New Roman" w:cs="Times New Roman"/>
        </w:rPr>
        <w:t>Képes valós és megbízható képet alkotni a gazdálkodó szervezetek vagyonáról, pénzügyi helyzetéről, gazdálkodásának szabályszerűségéről.</w:t>
      </w:r>
    </w:p>
    <w:p w:rsidR="00CD29C1" w:rsidRDefault="00CD29C1" w:rsidP="00980876">
      <w:pPr>
        <w:pStyle w:val="Listaszerbekezds"/>
        <w:widowControl w:val="0"/>
        <w:numPr>
          <w:ilvl w:val="0"/>
          <w:numId w:val="754"/>
        </w:numPr>
        <w:spacing w:after="0" w:line="240" w:lineRule="auto"/>
        <w:jc w:val="both"/>
        <w:rPr>
          <w:rFonts w:ascii="Times New Roman" w:hAnsi="Times New Roman" w:cs="Times New Roman"/>
        </w:rPr>
      </w:pPr>
      <w:r>
        <w:rPr>
          <w:rFonts w:ascii="Times New Roman" w:hAnsi="Times New Roman" w:cs="Times New Roman"/>
        </w:rPr>
        <w:t>Képes pontos és precíz logisztikai, illetve gazdálkodási számvetéseket készíteni.</w:t>
      </w:r>
    </w:p>
    <w:p w:rsidR="00CD29C1" w:rsidRDefault="00CD29C1" w:rsidP="00980876">
      <w:pPr>
        <w:pStyle w:val="Listaszerbekezds"/>
        <w:widowControl w:val="0"/>
        <w:numPr>
          <w:ilvl w:val="0"/>
          <w:numId w:val="754"/>
        </w:numPr>
        <w:spacing w:after="0" w:line="240" w:lineRule="auto"/>
        <w:jc w:val="both"/>
        <w:rPr>
          <w:rFonts w:ascii="Times New Roman" w:hAnsi="Times New Roman" w:cs="Times New Roman"/>
        </w:rPr>
      </w:pPr>
      <w:r>
        <w:rPr>
          <w:rFonts w:ascii="Times New Roman" w:hAnsi="Times New Roman" w:cs="Times New Roman"/>
        </w:rPr>
        <w:t>Képes gazdálkodási feladatok alapszintű tervezésére, szervezésére, irányítására és az ebből adódó tevékenységek gazdasági elemzésinek végrehajtására.</w:t>
      </w:r>
    </w:p>
    <w:p w:rsidR="00CD29C1" w:rsidRDefault="00CD29C1" w:rsidP="00980876">
      <w:pPr>
        <w:pStyle w:val="Listaszerbekezds"/>
        <w:widowControl w:val="0"/>
        <w:numPr>
          <w:ilvl w:val="0"/>
          <w:numId w:val="754"/>
        </w:numPr>
        <w:spacing w:after="0" w:line="240" w:lineRule="auto"/>
        <w:jc w:val="both"/>
        <w:rPr>
          <w:rFonts w:ascii="Times New Roman" w:hAnsi="Times New Roman" w:cs="Times New Roman"/>
        </w:rPr>
      </w:pPr>
      <w:r>
        <w:rPr>
          <w:rFonts w:ascii="Times New Roman" w:hAnsi="Times New Roman" w:cs="Times New Roman"/>
        </w:rPr>
        <w:t>Képes szakterületén újító és innovatív ötletek megfogalmazására.</w:t>
      </w:r>
    </w:p>
    <w:p w:rsidR="00CD29C1" w:rsidRDefault="00CD29C1" w:rsidP="00CD29C1">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Attitűdje:</w:t>
      </w:r>
      <w:r>
        <w:rPr>
          <w:rFonts w:ascii="Times New Roman" w:eastAsia="Times New Roman" w:hAnsi="Times New Roman" w:cs="Times New Roman"/>
          <w:bCs/>
        </w:rPr>
        <w:t xml:space="preserve"> </w:t>
      </w:r>
    </w:p>
    <w:p w:rsidR="00CD29C1" w:rsidRDefault="00CD29C1" w:rsidP="00980876">
      <w:pPr>
        <w:pStyle w:val="Listaszerbekezds"/>
        <w:widowControl w:val="0"/>
        <w:numPr>
          <w:ilvl w:val="0"/>
          <w:numId w:val="754"/>
        </w:numPr>
        <w:spacing w:after="0" w:line="240" w:lineRule="auto"/>
        <w:jc w:val="both"/>
        <w:rPr>
          <w:rFonts w:ascii="Times New Roman" w:hAnsi="Times New Roman" w:cs="Times New Roman"/>
        </w:rPr>
      </w:pPr>
      <w:r>
        <w:rPr>
          <w:rFonts w:ascii="Times New Roman" w:hAnsi="Times New Roman" w:cs="Times New Roman"/>
        </w:rPr>
        <w:t>A minőségi szakmai munkavégzés iránt elkötelezett, azt a pontosságra való törekvés jellemzi.</w:t>
      </w:r>
    </w:p>
    <w:p w:rsidR="00CD29C1" w:rsidRDefault="00CD29C1" w:rsidP="00980876">
      <w:pPr>
        <w:pStyle w:val="Listaszerbekezds"/>
        <w:widowControl w:val="0"/>
        <w:numPr>
          <w:ilvl w:val="0"/>
          <w:numId w:val="754"/>
        </w:numPr>
        <w:spacing w:after="0" w:line="240" w:lineRule="auto"/>
        <w:jc w:val="both"/>
        <w:rPr>
          <w:rFonts w:ascii="Times New Roman" w:hAnsi="Times New Roman" w:cs="Times New Roman"/>
        </w:rPr>
      </w:pPr>
      <w:r>
        <w:rPr>
          <w:rFonts w:ascii="Times New Roman" w:hAnsi="Times New Roman" w:cs="Times New Roman"/>
        </w:rPr>
        <w:lastRenderedPageBreak/>
        <w:t>Felismeri a rendszerszintű tevékenységben rejlő értékeket, törekszik a logisztikai tevékenységek közötti kapcsolatok értelmezésére.</w:t>
      </w:r>
    </w:p>
    <w:p w:rsidR="00CD29C1" w:rsidRDefault="00CD29C1" w:rsidP="00980876">
      <w:pPr>
        <w:pStyle w:val="Listaszerbekezds"/>
        <w:widowControl w:val="0"/>
        <w:numPr>
          <w:ilvl w:val="0"/>
          <w:numId w:val="754"/>
        </w:numPr>
        <w:spacing w:after="0" w:line="240" w:lineRule="auto"/>
        <w:jc w:val="both"/>
        <w:rPr>
          <w:rFonts w:ascii="Times New Roman" w:hAnsi="Times New Roman" w:cs="Times New Roman"/>
        </w:rPr>
      </w:pPr>
      <w:r>
        <w:rPr>
          <w:rFonts w:ascii="Times New Roman" w:hAnsi="Times New Roman" w:cs="Times New Roman"/>
        </w:rPr>
        <w:t>Tevékenységét a hatékonyság központú szemlélet jellemzi.</w:t>
      </w:r>
    </w:p>
    <w:p w:rsidR="00CD29C1" w:rsidRDefault="00CD29C1" w:rsidP="00CD29C1">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Autonómiája és felelőssége:</w:t>
      </w:r>
    </w:p>
    <w:p w:rsidR="00CD29C1" w:rsidRDefault="00CD29C1" w:rsidP="00980876">
      <w:pPr>
        <w:pStyle w:val="Listaszerbekezds"/>
        <w:widowControl w:val="0"/>
        <w:numPr>
          <w:ilvl w:val="0"/>
          <w:numId w:val="754"/>
        </w:numPr>
        <w:spacing w:after="0" w:line="240" w:lineRule="auto"/>
        <w:jc w:val="both"/>
        <w:rPr>
          <w:rFonts w:ascii="Times New Roman" w:hAnsi="Times New Roman" w:cs="Times New Roman"/>
        </w:rPr>
      </w:pPr>
      <w:r>
        <w:rPr>
          <w:rFonts w:ascii="Times New Roman" w:hAnsi="Times New Roman" w:cs="Times New Roman"/>
        </w:rPr>
        <w:t>Felelősséget vállal számvetéseinek pontosságáért.</w:t>
      </w:r>
    </w:p>
    <w:p w:rsidR="00CD29C1" w:rsidRDefault="00CD29C1" w:rsidP="00CD29C1">
      <w:pPr>
        <w:widowControl w:val="0"/>
        <w:spacing w:before="120" w:after="0" w:line="240" w:lineRule="auto"/>
        <w:ind w:left="425"/>
        <w:jc w:val="both"/>
        <w:rPr>
          <w:rFonts w:ascii="Times New Roman" w:eastAsia="Times New Roman" w:hAnsi="Times New Roman" w:cs="Times New Roman"/>
          <w:b/>
          <w:bCs/>
          <w:lang w:val="en-US"/>
        </w:rPr>
      </w:pPr>
      <w:r>
        <w:rPr>
          <w:rFonts w:ascii="Times New Roman" w:eastAsia="Times New Roman" w:hAnsi="Times New Roman" w:cs="Times New Roman"/>
          <w:b/>
          <w:bCs/>
        </w:rPr>
        <w:t>Elérendő kompetenciák (angolul) (</w:t>
      </w:r>
      <w:r>
        <w:rPr>
          <w:rFonts w:ascii="Times New Roman" w:eastAsia="Times New Roman" w:hAnsi="Times New Roman" w:cs="Times New Roman"/>
          <w:b/>
          <w:bCs/>
          <w:lang w:val="en-US"/>
        </w:rPr>
        <w:t xml:space="preserve">Competences – English): </w:t>
      </w:r>
    </w:p>
    <w:p w:rsidR="00CD29C1" w:rsidRDefault="00CD29C1" w:rsidP="00CD29C1">
      <w:pPr>
        <w:widowControl w:val="0"/>
        <w:spacing w:before="120" w:after="0" w:line="240" w:lineRule="auto"/>
        <w:ind w:left="425"/>
        <w:jc w:val="both"/>
        <w:rPr>
          <w:rFonts w:ascii="Times New Roman" w:eastAsia="Times New Roman" w:hAnsi="Times New Roman" w:cs="Times New Roman"/>
          <w:lang w:val="en-GB"/>
        </w:rPr>
      </w:pPr>
      <w:r>
        <w:rPr>
          <w:rFonts w:ascii="Times New Roman" w:eastAsia="Times New Roman" w:hAnsi="Times New Roman" w:cs="Times New Roman"/>
          <w:b/>
          <w:lang w:val="en-GB"/>
        </w:rPr>
        <w:t>Knowledge</w:t>
      </w:r>
      <w:r>
        <w:rPr>
          <w:rFonts w:ascii="Times New Roman" w:eastAsia="Times New Roman" w:hAnsi="Times New Roman" w:cs="Times New Roman"/>
          <w:lang w:val="en-GB"/>
        </w:rPr>
        <w:t xml:space="preserve">: </w:t>
      </w:r>
    </w:p>
    <w:p w:rsidR="00CD29C1" w:rsidRPr="00EB017F" w:rsidRDefault="00CD29C1" w:rsidP="00980876">
      <w:pPr>
        <w:pStyle w:val="Listaszerbekezds"/>
        <w:widowControl w:val="0"/>
        <w:numPr>
          <w:ilvl w:val="0"/>
          <w:numId w:val="754"/>
        </w:numPr>
        <w:spacing w:after="0" w:line="240" w:lineRule="auto"/>
        <w:jc w:val="both"/>
        <w:rPr>
          <w:rFonts w:ascii="Times New Roman" w:hAnsi="Times New Roman" w:cs="Times New Roman"/>
        </w:rPr>
      </w:pPr>
      <w:r w:rsidRPr="00EB017F">
        <w:rPr>
          <w:rFonts w:ascii="Times New Roman" w:hAnsi="Times New Roman" w:cs="Times New Roman"/>
        </w:rPr>
        <w:t>To be familiar with market mechanism and the principles of economics.</w:t>
      </w:r>
    </w:p>
    <w:p w:rsidR="00CD29C1" w:rsidRPr="00EB017F" w:rsidRDefault="00CD29C1" w:rsidP="00980876">
      <w:pPr>
        <w:pStyle w:val="Listaszerbekezds"/>
        <w:widowControl w:val="0"/>
        <w:numPr>
          <w:ilvl w:val="0"/>
          <w:numId w:val="754"/>
        </w:numPr>
        <w:spacing w:after="0" w:line="240" w:lineRule="auto"/>
        <w:jc w:val="both"/>
        <w:rPr>
          <w:rFonts w:ascii="Times New Roman" w:hAnsi="Times New Roman" w:cs="Times New Roman"/>
        </w:rPr>
      </w:pPr>
      <w:r w:rsidRPr="00EB017F">
        <w:rPr>
          <w:rFonts w:ascii="Times New Roman" w:hAnsi="Times New Roman" w:cs="Times New Roman"/>
        </w:rPr>
        <w:t>To have basic leadership competence, and to be able to motivate his/her subordinates.</w:t>
      </w:r>
    </w:p>
    <w:p w:rsidR="00CD29C1" w:rsidRPr="00EB017F" w:rsidRDefault="00CD29C1" w:rsidP="00980876">
      <w:pPr>
        <w:pStyle w:val="Listaszerbekezds"/>
        <w:widowControl w:val="0"/>
        <w:numPr>
          <w:ilvl w:val="0"/>
          <w:numId w:val="754"/>
        </w:numPr>
        <w:spacing w:after="0" w:line="240" w:lineRule="auto"/>
        <w:jc w:val="both"/>
        <w:rPr>
          <w:rFonts w:ascii="Times New Roman" w:hAnsi="Times New Roman" w:cs="Times New Roman"/>
        </w:rPr>
      </w:pPr>
      <w:r w:rsidRPr="00EB017F">
        <w:rPr>
          <w:rFonts w:ascii="Times New Roman" w:hAnsi="Times New Roman" w:cs="Times New Roman"/>
        </w:rPr>
        <w:t>To be deeply familiar with the tasks of military management and the used methods and information systems.</w:t>
      </w:r>
    </w:p>
    <w:p w:rsidR="00CD29C1" w:rsidRDefault="00CD29C1" w:rsidP="00CD29C1">
      <w:pPr>
        <w:widowControl w:val="0"/>
        <w:spacing w:before="120" w:after="0" w:line="240" w:lineRule="auto"/>
        <w:ind w:left="425"/>
        <w:jc w:val="both"/>
        <w:rPr>
          <w:rFonts w:ascii="Times New Roman" w:eastAsia="Times New Roman" w:hAnsi="Times New Roman" w:cs="Times New Roman"/>
          <w:lang w:val="en-GB"/>
        </w:rPr>
      </w:pPr>
      <w:r>
        <w:rPr>
          <w:rFonts w:ascii="Times New Roman" w:eastAsia="Times New Roman" w:hAnsi="Times New Roman" w:cs="Times New Roman"/>
          <w:b/>
          <w:lang w:val="en-GB"/>
        </w:rPr>
        <w:t>Capabilities</w:t>
      </w:r>
      <w:r>
        <w:rPr>
          <w:rFonts w:ascii="Times New Roman" w:eastAsia="Times New Roman" w:hAnsi="Times New Roman" w:cs="Times New Roman"/>
          <w:lang w:val="en-GB"/>
        </w:rPr>
        <w:t xml:space="preserve">: </w:t>
      </w:r>
    </w:p>
    <w:p w:rsidR="00CD29C1" w:rsidRPr="00EB017F" w:rsidRDefault="00CD29C1" w:rsidP="00980876">
      <w:pPr>
        <w:pStyle w:val="Listaszerbekezds"/>
        <w:widowControl w:val="0"/>
        <w:numPr>
          <w:ilvl w:val="0"/>
          <w:numId w:val="754"/>
        </w:numPr>
        <w:spacing w:after="0" w:line="240" w:lineRule="auto"/>
        <w:jc w:val="both"/>
        <w:rPr>
          <w:rFonts w:ascii="Times New Roman" w:hAnsi="Times New Roman" w:cs="Times New Roman"/>
        </w:rPr>
      </w:pPr>
      <w:r>
        <w:rPr>
          <w:rFonts w:ascii="Times New Roman" w:eastAsia="Times New Roman" w:hAnsi="Times New Roman" w:cs="Times New Roman"/>
          <w:lang w:val="en-GB"/>
        </w:rPr>
        <w:t>To be able to</w:t>
      </w:r>
      <w:r w:rsidRPr="00EB017F">
        <w:rPr>
          <w:rFonts w:ascii="Times New Roman" w:hAnsi="Times New Roman" w:cs="Times New Roman"/>
        </w:rPr>
        <w:t xml:space="preserve"> create a complete and reliable picture of the financial situation of government and non-government entities. </w:t>
      </w:r>
    </w:p>
    <w:p w:rsidR="00CD29C1" w:rsidRPr="00EB017F" w:rsidRDefault="00CD29C1" w:rsidP="00980876">
      <w:pPr>
        <w:pStyle w:val="Listaszerbekezds"/>
        <w:widowControl w:val="0"/>
        <w:numPr>
          <w:ilvl w:val="0"/>
          <w:numId w:val="754"/>
        </w:numPr>
        <w:spacing w:after="0" w:line="240" w:lineRule="auto"/>
        <w:jc w:val="both"/>
        <w:rPr>
          <w:rFonts w:ascii="Times New Roman" w:hAnsi="Times New Roman" w:cs="Times New Roman"/>
        </w:rPr>
      </w:pPr>
      <w:r w:rsidRPr="00EB017F">
        <w:rPr>
          <w:rFonts w:ascii="Times New Roman" w:hAnsi="Times New Roman" w:cs="Times New Roman"/>
        </w:rPr>
        <w:t>To have ability to make accurate logistical and economic calculations.</w:t>
      </w:r>
    </w:p>
    <w:p w:rsidR="00CD29C1" w:rsidRPr="00EB017F" w:rsidRDefault="00CD29C1" w:rsidP="00980876">
      <w:pPr>
        <w:pStyle w:val="Listaszerbekezds"/>
        <w:widowControl w:val="0"/>
        <w:numPr>
          <w:ilvl w:val="0"/>
          <w:numId w:val="754"/>
        </w:numPr>
        <w:spacing w:after="0" w:line="240" w:lineRule="auto"/>
        <w:jc w:val="both"/>
        <w:rPr>
          <w:rFonts w:ascii="Times New Roman" w:hAnsi="Times New Roman" w:cs="Times New Roman"/>
        </w:rPr>
      </w:pPr>
      <w:r w:rsidRPr="00EB017F">
        <w:rPr>
          <w:rFonts w:ascii="Times New Roman" w:hAnsi="Times New Roman" w:cs="Times New Roman"/>
        </w:rPr>
        <w:t>To be able to plan, organise, control and evaluate management and financial tasks.</w:t>
      </w:r>
    </w:p>
    <w:p w:rsidR="00CD29C1" w:rsidRDefault="00CD29C1" w:rsidP="00980876">
      <w:pPr>
        <w:pStyle w:val="Listaszerbekezds"/>
        <w:widowControl w:val="0"/>
        <w:numPr>
          <w:ilvl w:val="0"/>
          <w:numId w:val="754"/>
        </w:numPr>
        <w:spacing w:after="0" w:line="240" w:lineRule="auto"/>
        <w:jc w:val="both"/>
        <w:rPr>
          <w:rFonts w:ascii="Times New Roman" w:eastAsia="Times New Roman" w:hAnsi="Times New Roman" w:cs="Times New Roman"/>
          <w:lang w:val="en-GB"/>
        </w:rPr>
      </w:pPr>
      <w:r w:rsidRPr="00EB017F">
        <w:rPr>
          <w:rFonts w:ascii="Times New Roman" w:hAnsi="Times New Roman" w:cs="Times New Roman"/>
        </w:rPr>
        <w:t>To have ability</w:t>
      </w:r>
      <w:r>
        <w:rPr>
          <w:rFonts w:ascii="Times New Roman" w:eastAsia="Times New Roman" w:hAnsi="Times New Roman" w:cs="Times New Roman"/>
          <w:lang w:val="en-GB"/>
        </w:rPr>
        <w:t xml:space="preserve"> to create new, innovative ideas in his/her professional field.</w:t>
      </w:r>
    </w:p>
    <w:p w:rsidR="00CD29C1" w:rsidRDefault="00CD29C1" w:rsidP="00CD2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425"/>
        <w:jc w:val="both"/>
        <w:rPr>
          <w:rFonts w:ascii="Times New Roman" w:eastAsia="Times New Roman" w:hAnsi="Times New Roman" w:cs="Times New Roman"/>
          <w:lang w:val="en-GB"/>
        </w:rPr>
      </w:pPr>
      <w:r>
        <w:rPr>
          <w:rFonts w:ascii="Times New Roman" w:eastAsia="Times New Roman" w:hAnsi="Times New Roman" w:cs="Times New Roman"/>
          <w:b/>
          <w:lang w:val="en-GB"/>
        </w:rPr>
        <w:t>Attitude:</w:t>
      </w:r>
      <w:r>
        <w:rPr>
          <w:rFonts w:ascii="Times New Roman" w:eastAsia="Times New Roman" w:hAnsi="Times New Roman" w:cs="Times New Roman"/>
          <w:lang w:val="en-GB"/>
        </w:rPr>
        <w:t xml:space="preserve"> </w:t>
      </w:r>
    </w:p>
    <w:p w:rsidR="00CD29C1" w:rsidRPr="00EB017F" w:rsidRDefault="00CD29C1" w:rsidP="00980876">
      <w:pPr>
        <w:pStyle w:val="Listaszerbekezds"/>
        <w:widowControl w:val="0"/>
        <w:numPr>
          <w:ilvl w:val="0"/>
          <w:numId w:val="754"/>
        </w:numPr>
        <w:spacing w:after="0" w:line="240" w:lineRule="auto"/>
        <w:jc w:val="both"/>
        <w:rPr>
          <w:rFonts w:ascii="Times New Roman" w:hAnsi="Times New Roman" w:cs="Times New Roman"/>
        </w:rPr>
      </w:pPr>
      <w:r>
        <w:rPr>
          <w:rFonts w:ascii="Times New Roman" w:eastAsia="Times New Roman" w:hAnsi="Times New Roman" w:cs="Times New Roman"/>
          <w:lang w:val="en-GB"/>
        </w:rPr>
        <w:t xml:space="preserve">To be committed </w:t>
      </w:r>
      <w:r w:rsidRPr="00EB017F">
        <w:rPr>
          <w:rFonts w:ascii="Times New Roman" w:hAnsi="Times New Roman" w:cs="Times New Roman"/>
        </w:rPr>
        <w:t>to high standard work and accuracy.</w:t>
      </w:r>
    </w:p>
    <w:p w:rsidR="00CD29C1" w:rsidRPr="00EB017F" w:rsidRDefault="00CD29C1" w:rsidP="00980876">
      <w:pPr>
        <w:pStyle w:val="Listaszerbekezds"/>
        <w:widowControl w:val="0"/>
        <w:numPr>
          <w:ilvl w:val="0"/>
          <w:numId w:val="754"/>
        </w:numPr>
        <w:spacing w:after="0" w:line="240" w:lineRule="auto"/>
        <w:jc w:val="both"/>
        <w:rPr>
          <w:rFonts w:ascii="Times New Roman" w:hAnsi="Times New Roman" w:cs="Times New Roman"/>
        </w:rPr>
      </w:pPr>
      <w:r w:rsidRPr="00EB017F">
        <w:rPr>
          <w:rFonts w:ascii="Times New Roman" w:hAnsi="Times New Roman" w:cs="Times New Roman"/>
        </w:rPr>
        <w:t>To be able to recognize the advantages and opportunities offered by well-structured activities and to be seeking to understand the logical connections among logistic activities.</w:t>
      </w:r>
    </w:p>
    <w:p w:rsidR="00CD29C1" w:rsidRDefault="00CD29C1" w:rsidP="00980876">
      <w:pPr>
        <w:pStyle w:val="Listaszerbekezds"/>
        <w:widowControl w:val="0"/>
        <w:numPr>
          <w:ilvl w:val="0"/>
          <w:numId w:val="754"/>
        </w:numPr>
        <w:spacing w:after="0" w:line="240" w:lineRule="auto"/>
        <w:jc w:val="both"/>
        <w:rPr>
          <w:rFonts w:ascii="Times New Roman" w:eastAsia="Times New Roman" w:hAnsi="Times New Roman" w:cs="Times New Roman"/>
          <w:lang w:val="en-GB"/>
        </w:rPr>
      </w:pPr>
      <w:r w:rsidRPr="00EB017F">
        <w:rPr>
          <w:rFonts w:ascii="Times New Roman" w:hAnsi="Times New Roman" w:cs="Times New Roman"/>
        </w:rPr>
        <w:t>To be characterized</w:t>
      </w:r>
      <w:r>
        <w:rPr>
          <w:rFonts w:ascii="Times New Roman" w:eastAsia="Times New Roman" w:hAnsi="Times New Roman" w:cs="Times New Roman"/>
          <w:lang w:val="en-GB"/>
        </w:rPr>
        <w:t xml:space="preserve"> by efficiency-based attitude.    </w:t>
      </w:r>
    </w:p>
    <w:p w:rsidR="00CD29C1" w:rsidRDefault="00CD29C1" w:rsidP="00CD29C1">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lang w:val="en-GB"/>
        </w:rPr>
        <w:t xml:space="preserve">Autonomy and responsibility: </w:t>
      </w:r>
    </w:p>
    <w:p w:rsidR="00CD29C1" w:rsidRDefault="00CD29C1" w:rsidP="00980876">
      <w:pPr>
        <w:pStyle w:val="Listaszerbekezds"/>
        <w:widowControl w:val="0"/>
        <w:numPr>
          <w:ilvl w:val="0"/>
          <w:numId w:val="754"/>
        </w:numPr>
        <w:spacing w:after="0" w:line="240" w:lineRule="auto"/>
        <w:jc w:val="both"/>
        <w:rPr>
          <w:rFonts w:ascii="Times New Roman" w:eastAsia="Times New Roman" w:hAnsi="Times New Roman" w:cs="Times New Roman"/>
          <w:bCs/>
          <w:lang w:val="en-US"/>
        </w:rPr>
      </w:pPr>
      <w:r>
        <w:rPr>
          <w:rFonts w:ascii="Times New Roman" w:eastAsia="Times New Roman" w:hAnsi="Times New Roman" w:cs="Times New Roman"/>
          <w:bCs/>
          <w:lang w:val="en-US"/>
        </w:rPr>
        <w:t xml:space="preserve">Take </w:t>
      </w:r>
      <w:r w:rsidRPr="00EB017F">
        <w:rPr>
          <w:rFonts w:ascii="Times New Roman" w:hAnsi="Times New Roman" w:cs="Times New Roman"/>
        </w:rPr>
        <w:t>responsibility</w:t>
      </w:r>
      <w:r>
        <w:rPr>
          <w:rFonts w:ascii="Times New Roman" w:eastAsia="Times New Roman" w:hAnsi="Times New Roman" w:cs="Times New Roman"/>
          <w:bCs/>
          <w:lang w:val="en-US"/>
        </w:rPr>
        <w:t xml:space="preserve"> for the accuracy of the calculations.  </w:t>
      </w:r>
    </w:p>
    <w:p w:rsidR="00CD29C1" w:rsidRPr="00A424FC" w:rsidRDefault="00CD29C1" w:rsidP="00980876">
      <w:pPr>
        <w:widowControl w:val="0"/>
        <w:numPr>
          <w:ilvl w:val="0"/>
          <w:numId w:val="185"/>
        </w:numPr>
        <w:tabs>
          <w:tab w:val="num" w:pos="567"/>
        </w:tabs>
        <w:spacing w:before="120" w:after="120" w:line="240" w:lineRule="auto"/>
        <w:ind w:left="426" w:hanging="142"/>
        <w:jc w:val="both"/>
        <w:rPr>
          <w:rFonts w:ascii="Times New Roman" w:eastAsia="Times New Roman" w:hAnsi="Times New Roman" w:cs="Times New Roman"/>
          <w:bCs/>
          <w:highlight w:val="yellow"/>
        </w:rPr>
      </w:pPr>
      <w:r w:rsidRPr="00A424FC">
        <w:rPr>
          <w:rFonts w:ascii="Times New Roman" w:eastAsia="Times New Roman" w:hAnsi="Times New Roman" w:cs="Times New Roman"/>
          <w:b/>
          <w:bCs/>
          <w:highlight w:val="yellow"/>
        </w:rPr>
        <w:t xml:space="preserve">Előtanulmányi követelmények: </w:t>
      </w:r>
      <w:r w:rsidR="00A424FC" w:rsidRPr="00A424FC">
        <w:rPr>
          <w:rFonts w:ascii="Times New Roman" w:eastAsia="Times New Roman" w:hAnsi="Times New Roman" w:cs="Times New Roman"/>
          <w:bCs/>
          <w:highlight w:val="yellow"/>
        </w:rPr>
        <w:t>HKHPKA100 Közgazdaságtan I.</w:t>
      </w:r>
    </w:p>
    <w:p w:rsidR="00CD29C1" w:rsidRDefault="00CD29C1" w:rsidP="00980876">
      <w:pPr>
        <w:widowControl w:val="0"/>
        <w:numPr>
          <w:ilvl w:val="0"/>
          <w:numId w:val="185"/>
        </w:numPr>
        <w:spacing w:before="120" w:after="120" w:line="240" w:lineRule="auto"/>
        <w:ind w:left="426" w:hanging="142"/>
        <w:jc w:val="both"/>
        <w:rPr>
          <w:rFonts w:ascii="Times New Roman" w:eastAsia="Times New Roman" w:hAnsi="Times New Roman" w:cs="Times New Roman"/>
          <w:b/>
          <w:bCs/>
          <w:lang w:val="en-US"/>
        </w:rPr>
      </w:pPr>
      <w:r>
        <w:rPr>
          <w:rFonts w:ascii="Times New Roman" w:eastAsia="Times New Roman" w:hAnsi="Times New Roman" w:cs="Times New Roman"/>
          <w:b/>
          <w:bCs/>
          <w:lang w:val="en-US"/>
        </w:rPr>
        <w:t>A tantárgy tananyagának leírása, tematika. Description of the subject, curriculum (magyarul, angolul - English):</w:t>
      </w:r>
    </w:p>
    <w:p w:rsidR="00CD29C1" w:rsidRDefault="00CD29C1" w:rsidP="00980876">
      <w:pPr>
        <w:widowControl w:val="0"/>
        <w:numPr>
          <w:ilvl w:val="1"/>
          <w:numId w:val="185"/>
        </w:numPr>
        <w:tabs>
          <w:tab w:val="num" w:pos="2069"/>
        </w:tabs>
        <w:spacing w:before="120" w:after="120" w:line="240" w:lineRule="auto"/>
        <w:ind w:left="993" w:hanging="567"/>
        <w:jc w:val="both"/>
        <w:rPr>
          <w:rFonts w:ascii="Times New Roman" w:eastAsia="Times New Roman" w:hAnsi="Times New Roman" w:cs="Times New Roman"/>
          <w:i/>
          <w:lang w:val="en-US"/>
        </w:rPr>
      </w:pPr>
      <w:r>
        <w:rPr>
          <w:rFonts w:ascii="Times New Roman" w:hAnsi="Times New Roman" w:cs="Times New Roman"/>
          <w:bCs/>
          <w:lang w:val="en-US"/>
        </w:rPr>
        <w:t>Vállalat létrehozásának célja, vállalat környezete. Vállalati típusok, vállalat érintettjei.</w:t>
      </w:r>
      <w:r>
        <w:rPr>
          <w:rFonts w:ascii="Times New Roman" w:eastAsia="Times New Roman" w:hAnsi="Times New Roman" w:cs="Times New Roman"/>
          <w:lang w:val="en-US"/>
        </w:rPr>
        <w:t xml:space="preserve"> </w:t>
      </w:r>
      <w:r>
        <w:rPr>
          <w:rFonts w:ascii="Times New Roman" w:eastAsia="Times New Roman" w:hAnsi="Times New Roman" w:cs="Times New Roman"/>
          <w:i/>
          <w:lang w:val="en-US"/>
        </w:rPr>
        <w:t>(</w:t>
      </w:r>
      <w:r>
        <w:rPr>
          <w:rFonts w:ascii="Times New Roman" w:hAnsi="Times New Roman" w:cs="Times New Roman"/>
          <w:bCs/>
          <w:i/>
          <w:lang w:val="en-US"/>
        </w:rPr>
        <w:t>Goals and benefits of business entities</w:t>
      </w:r>
      <w:r>
        <w:rPr>
          <w:rFonts w:ascii="Times New Roman" w:eastAsia="Times New Roman" w:hAnsi="Times New Roman" w:cs="Times New Roman"/>
          <w:i/>
          <w:lang w:val="en-US"/>
        </w:rPr>
        <w:t>. Micro and macro environment. Stakeholders.)</w:t>
      </w:r>
    </w:p>
    <w:p w:rsidR="00CD29C1" w:rsidRDefault="00CD29C1" w:rsidP="00980876">
      <w:pPr>
        <w:widowControl w:val="0"/>
        <w:numPr>
          <w:ilvl w:val="1"/>
          <w:numId w:val="185"/>
        </w:numPr>
        <w:tabs>
          <w:tab w:val="num" w:pos="2069"/>
        </w:tabs>
        <w:spacing w:before="120" w:after="120" w:line="240" w:lineRule="auto"/>
        <w:ind w:left="993" w:hanging="567"/>
        <w:jc w:val="both"/>
        <w:rPr>
          <w:rFonts w:ascii="Times New Roman" w:eastAsia="Times New Roman" w:hAnsi="Times New Roman" w:cs="Times New Roman"/>
          <w:lang w:val="en-US"/>
        </w:rPr>
      </w:pPr>
      <w:r>
        <w:rPr>
          <w:rFonts w:ascii="Times New Roman" w:eastAsia="Times New Roman" w:hAnsi="Times New Roman" w:cs="Times New Roman"/>
          <w:bCs/>
          <w:lang w:val="en-US"/>
        </w:rPr>
        <w:t xml:space="preserve">Vállalat piacra lépése, vállalat piaci helyzete. </w:t>
      </w:r>
      <w:r>
        <w:rPr>
          <w:rFonts w:ascii="Times New Roman" w:eastAsia="Times New Roman" w:hAnsi="Times New Roman" w:cs="Times New Roman"/>
          <w:bCs/>
          <w:i/>
          <w:lang w:val="en-US"/>
        </w:rPr>
        <w:t>(Market entry. Market analysis.)</w:t>
      </w:r>
    </w:p>
    <w:p w:rsidR="00CD29C1" w:rsidRDefault="00CD29C1" w:rsidP="00980876">
      <w:pPr>
        <w:widowControl w:val="0"/>
        <w:numPr>
          <w:ilvl w:val="1"/>
          <w:numId w:val="185"/>
        </w:numPr>
        <w:tabs>
          <w:tab w:val="num" w:pos="2069"/>
        </w:tabs>
        <w:spacing w:before="120" w:after="120" w:line="240" w:lineRule="auto"/>
        <w:ind w:left="993" w:hanging="567"/>
        <w:jc w:val="both"/>
        <w:rPr>
          <w:rFonts w:ascii="Times New Roman" w:eastAsia="Times New Roman" w:hAnsi="Times New Roman" w:cs="Times New Roman"/>
          <w:lang w:val="en-US"/>
        </w:rPr>
      </w:pPr>
      <w:r>
        <w:rPr>
          <w:rFonts w:ascii="Times New Roman" w:hAnsi="Times New Roman" w:cs="Times New Roman"/>
          <w:bCs/>
          <w:lang w:val="en-US"/>
        </w:rPr>
        <w:t>Vállalati stratégia kialakításának szempontjai. Vezetői döntéshozatal, stratégia-menedzsment.</w:t>
      </w:r>
      <w:r>
        <w:rPr>
          <w:rFonts w:ascii="Times New Roman" w:hAnsi="Times New Roman" w:cs="Times New Roman"/>
          <w:lang w:val="en-US"/>
        </w:rPr>
        <w:t xml:space="preserve"> </w:t>
      </w:r>
      <w:r>
        <w:rPr>
          <w:rFonts w:ascii="Times New Roman" w:eastAsia="Times New Roman" w:hAnsi="Times New Roman" w:cs="Times New Roman"/>
          <w:i/>
          <w:lang w:val="en-US"/>
        </w:rPr>
        <w:t>(Business strategy. Strategy management</w:t>
      </w:r>
      <w:r>
        <w:rPr>
          <w:rFonts w:ascii="Times New Roman" w:eastAsia="Times New Roman" w:hAnsi="Times New Roman" w:cs="Times New Roman"/>
          <w:bCs/>
          <w:i/>
          <w:lang w:val="en-US"/>
        </w:rPr>
        <w:t>.</w:t>
      </w:r>
      <w:r>
        <w:rPr>
          <w:rFonts w:ascii="Times New Roman" w:eastAsia="Times New Roman" w:hAnsi="Times New Roman" w:cs="Times New Roman"/>
          <w:i/>
          <w:lang w:val="en-US"/>
        </w:rPr>
        <w:t>)</w:t>
      </w:r>
    </w:p>
    <w:p w:rsidR="00CD29C1" w:rsidRDefault="00CD29C1" w:rsidP="00980876">
      <w:pPr>
        <w:widowControl w:val="0"/>
        <w:numPr>
          <w:ilvl w:val="1"/>
          <w:numId w:val="185"/>
        </w:numPr>
        <w:tabs>
          <w:tab w:val="num" w:pos="2069"/>
        </w:tabs>
        <w:spacing w:before="120" w:after="120" w:line="240" w:lineRule="auto"/>
        <w:ind w:left="993" w:hanging="567"/>
        <w:jc w:val="both"/>
        <w:rPr>
          <w:rFonts w:ascii="Times New Roman" w:eastAsia="Times New Roman" w:hAnsi="Times New Roman" w:cs="Times New Roman"/>
          <w:lang w:val="en-US"/>
        </w:rPr>
      </w:pPr>
      <w:r>
        <w:rPr>
          <w:rFonts w:ascii="Times New Roman" w:hAnsi="Times New Roman" w:cs="Times New Roman"/>
          <w:bCs/>
          <w:lang w:val="en-US"/>
        </w:rPr>
        <w:t>Üzleti tervezés.</w:t>
      </w:r>
      <w:r>
        <w:rPr>
          <w:rFonts w:ascii="Times New Roman" w:eastAsia="Times New Roman" w:hAnsi="Times New Roman" w:cs="Times New Roman"/>
          <w:lang w:val="en-US"/>
        </w:rPr>
        <w:t xml:space="preserve"> </w:t>
      </w:r>
      <w:r>
        <w:rPr>
          <w:rFonts w:ascii="Times New Roman" w:eastAsia="Times New Roman" w:hAnsi="Times New Roman" w:cs="Times New Roman"/>
          <w:i/>
          <w:lang w:val="en-US"/>
        </w:rPr>
        <w:t>(Business planning</w:t>
      </w:r>
      <w:r>
        <w:rPr>
          <w:rFonts w:ascii="Times New Roman" w:eastAsia="Times New Roman" w:hAnsi="Times New Roman" w:cs="Times New Roman"/>
          <w:bCs/>
          <w:i/>
          <w:lang w:val="en-US"/>
        </w:rPr>
        <w:t>.</w:t>
      </w:r>
      <w:r>
        <w:rPr>
          <w:rFonts w:ascii="Times New Roman" w:eastAsia="Times New Roman" w:hAnsi="Times New Roman" w:cs="Times New Roman"/>
          <w:i/>
          <w:lang w:val="en-US"/>
        </w:rPr>
        <w:t>)</w:t>
      </w:r>
    </w:p>
    <w:p w:rsidR="00CD29C1" w:rsidRDefault="00CD29C1" w:rsidP="00980876">
      <w:pPr>
        <w:widowControl w:val="0"/>
        <w:numPr>
          <w:ilvl w:val="1"/>
          <w:numId w:val="185"/>
        </w:numPr>
        <w:tabs>
          <w:tab w:val="num" w:pos="2069"/>
        </w:tabs>
        <w:spacing w:before="120" w:after="120" w:line="240" w:lineRule="auto"/>
        <w:ind w:left="993" w:hanging="567"/>
        <w:jc w:val="both"/>
        <w:rPr>
          <w:rFonts w:ascii="Times New Roman" w:eastAsia="Times New Roman" w:hAnsi="Times New Roman" w:cs="Times New Roman"/>
          <w:lang w:val="en-US"/>
        </w:rPr>
      </w:pPr>
      <w:r>
        <w:rPr>
          <w:rFonts w:ascii="Times New Roman" w:eastAsia="Times New Roman" w:hAnsi="Times New Roman" w:cs="Times New Roman"/>
          <w:bCs/>
          <w:lang w:val="en-US"/>
        </w:rPr>
        <w:t>Kontrolling</w:t>
      </w:r>
      <w:r>
        <w:rPr>
          <w:rFonts w:ascii="Times New Roman" w:eastAsia="Times New Roman" w:hAnsi="Times New Roman" w:cs="Times New Roman"/>
          <w:lang w:val="en-US"/>
        </w:rPr>
        <w:t xml:space="preserve">. </w:t>
      </w:r>
      <w:r>
        <w:rPr>
          <w:rFonts w:ascii="Times New Roman" w:eastAsia="Times New Roman" w:hAnsi="Times New Roman" w:cs="Times New Roman"/>
          <w:i/>
          <w:lang w:val="en-US"/>
        </w:rPr>
        <w:t>(Controlling.)</w:t>
      </w:r>
      <w:r>
        <w:rPr>
          <w:rFonts w:ascii="Times New Roman" w:eastAsia="Times New Roman" w:hAnsi="Times New Roman" w:cs="Times New Roman"/>
          <w:lang w:val="en-US"/>
        </w:rPr>
        <w:t xml:space="preserve"> </w:t>
      </w:r>
    </w:p>
    <w:p w:rsidR="00CD29C1" w:rsidRDefault="00CD29C1" w:rsidP="00980876">
      <w:pPr>
        <w:widowControl w:val="0"/>
        <w:numPr>
          <w:ilvl w:val="1"/>
          <w:numId w:val="185"/>
        </w:numPr>
        <w:tabs>
          <w:tab w:val="num" w:pos="2069"/>
        </w:tabs>
        <w:spacing w:before="120" w:after="120" w:line="240" w:lineRule="auto"/>
        <w:ind w:left="993" w:hanging="567"/>
        <w:jc w:val="both"/>
        <w:rPr>
          <w:rFonts w:ascii="Times New Roman" w:eastAsia="Times New Roman" w:hAnsi="Times New Roman" w:cs="Times New Roman"/>
          <w:i/>
          <w:lang w:val="en-US"/>
        </w:rPr>
      </w:pPr>
      <w:r>
        <w:rPr>
          <w:rFonts w:ascii="Times New Roman" w:eastAsia="Times New Roman" w:hAnsi="Times New Roman" w:cs="Times New Roman"/>
          <w:bCs/>
          <w:lang w:val="en-US"/>
        </w:rPr>
        <w:t xml:space="preserve">Vállalati információs rendszerek, döntéstámogató rendszerek. </w:t>
      </w:r>
      <w:r>
        <w:rPr>
          <w:rFonts w:ascii="Times New Roman" w:eastAsia="Times New Roman" w:hAnsi="Times New Roman" w:cs="Times New Roman"/>
          <w:bCs/>
          <w:i/>
          <w:lang w:val="en-US"/>
        </w:rPr>
        <w:t>(Information flow. Decision support system.)</w:t>
      </w:r>
    </w:p>
    <w:p w:rsidR="00CD29C1" w:rsidRDefault="00CD29C1" w:rsidP="00980876">
      <w:pPr>
        <w:widowControl w:val="0"/>
        <w:numPr>
          <w:ilvl w:val="1"/>
          <w:numId w:val="185"/>
        </w:numPr>
        <w:tabs>
          <w:tab w:val="num" w:pos="2069"/>
        </w:tabs>
        <w:spacing w:before="120" w:after="120" w:line="240" w:lineRule="auto"/>
        <w:ind w:left="993" w:hanging="567"/>
        <w:jc w:val="both"/>
        <w:rPr>
          <w:rFonts w:ascii="Times New Roman" w:eastAsia="Times New Roman" w:hAnsi="Times New Roman" w:cs="Times New Roman"/>
          <w:lang w:val="en-US"/>
        </w:rPr>
      </w:pPr>
      <w:r>
        <w:rPr>
          <w:rFonts w:ascii="Times New Roman" w:eastAsia="Times New Roman" w:hAnsi="Times New Roman" w:cs="Times New Roman"/>
          <w:bCs/>
          <w:lang w:val="en-US"/>
        </w:rPr>
        <w:t xml:space="preserve">Kutatás-fejlesztés, innováció. </w:t>
      </w:r>
      <w:r>
        <w:rPr>
          <w:rFonts w:ascii="Times New Roman" w:eastAsia="Times New Roman" w:hAnsi="Times New Roman" w:cs="Times New Roman"/>
          <w:bCs/>
          <w:i/>
          <w:lang w:val="en-US"/>
        </w:rPr>
        <w:t>(Research and development, innovation.)</w:t>
      </w:r>
    </w:p>
    <w:p w:rsidR="00CD29C1" w:rsidRDefault="00CD29C1" w:rsidP="00980876">
      <w:pPr>
        <w:widowControl w:val="0"/>
        <w:numPr>
          <w:ilvl w:val="1"/>
          <w:numId w:val="185"/>
        </w:numPr>
        <w:tabs>
          <w:tab w:val="num" w:pos="2069"/>
        </w:tabs>
        <w:spacing w:before="120" w:after="120" w:line="240" w:lineRule="auto"/>
        <w:ind w:left="993" w:hanging="567"/>
        <w:jc w:val="both"/>
        <w:rPr>
          <w:rFonts w:ascii="Times New Roman" w:eastAsia="Times New Roman" w:hAnsi="Times New Roman" w:cs="Times New Roman"/>
          <w:lang w:val="en-US"/>
        </w:rPr>
      </w:pPr>
      <w:r>
        <w:rPr>
          <w:rFonts w:ascii="Times New Roman" w:eastAsia="Times New Roman" w:hAnsi="Times New Roman" w:cs="Times New Roman"/>
          <w:bCs/>
          <w:lang w:val="en-US" w:eastAsia="hu-HU"/>
        </w:rPr>
        <w:t xml:space="preserve">Projektmenedzsment, folyamatmenedzsment. </w:t>
      </w:r>
      <w:r>
        <w:rPr>
          <w:rFonts w:ascii="Times New Roman" w:eastAsia="Times New Roman" w:hAnsi="Times New Roman" w:cs="Times New Roman"/>
          <w:bCs/>
          <w:i/>
          <w:lang w:val="en-US" w:eastAsia="hu-HU"/>
        </w:rPr>
        <w:t>(Project management)</w:t>
      </w:r>
    </w:p>
    <w:p w:rsidR="00CD29C1" w:rsidRDefault="00CD29C1" w:rsidP="00980876">
      <w:pPr>
        <w:widowControl w:val="0"/>
        <w:numPr>
          <w:ilvl w:val="1"/>
          <w:numId w:val="185"/>
        </w:numPr>
        <w:tabs>
          <w:tab w:val="num" w:pos="2069"/>
        </w:tabs>
        <w:spacing w:before="120" w:after="120" w:line="240" w:lineRule="auto"/>
        <w:ind w:left="993" w:hanging="567"/>
        <w:jc w:val="both"/>
        <w:rPr>
          <w:rFonts w:ascii="Times New Roman" w:eastAsia="Times New Roman" w:hAnsi="Times New Roman" w:cs="Times New Roman"/>
          <w:i/>
          <w:lang w:val="en-US"/>
        </w:rPr>
      </w:pPr>
      <w:r>
        <w:rPr>
          <w:rFonts w:ascii="Times New Roman" w:eastAsia="Times New Roman" w:hAnsi="Times New Roman" w:cs="Times New Roman"/>
          <w:bCs/>
          <w:lang w:val="en-US"/>
        </w:rPr>
        <w:t xml:space="preserve">Tárgyi eszköz-, anyag-, készlet- és forgóeszköz-gazdálkodás. </w:t>
      </w:r>
      <w:r>
        <w:rPr>
          <w:rFonts w:ascii="Times New Roman" w:eastAsia="Times New Roman" w:hAnsi="Times New Roman" w:cs="Times New Roman"/>
          <w:bCs/>
          <w:i/>
          <w:lang w:val="en-US" w:eastAsia="hu-HU"/>
        </w:rPr>
        <w:t>(Material resource management)</w:t>
      </w:r>
    </w:p>
    <w:p w:rsidR="00CD29C1" w:rsidRDefault="00CD29C1" w:rsidP="00980876">
      <w:pPr>
        <w:widowControl w:val="0"/>
        <w:numPr>
          <w:ilvl w:val="1"/>
          <w:numId w:val="185"/>
        </w:numPr>
        <w:tabs>
          <w:tab w:val="num" w:pos="2069"/>
        </w:tabs>
        <w:spacing w:before="120" w:after="120" w:line="240" w:lineRule="auto"/>
        <w:ind w:left="993" w:hanging="567"/>
        <w:jc w:val="both"/>
        <w:rPr>
          <w:rFonts w:ascii="Times New Roman" w:eastAsia="Times New Roman" w:hAnsi="Times New Roman" w:cs="Times New Roman"/>
          <w:lang w:val="en-US"/>
        </w:rPr>
      </w:pPr>
      <w:r>
        <w:rPr>
          <w:rFonts w:ascii="Times New Roman" w:eastAsia="Times New Roman" w:hAnsi="Times New Roman" w:cs="Times New Roman"/>
          <w:bCs/>
          <w:lang w:val="en-US"/>
        </w:rPr>
        <w:t xml:space="preserve"> Humán-erőforrás gazdálkodás. </w:t>
      </w:r>
      <w:r>
        <w:rPr>
          <w:rFonts w:ascii="Times New Roman" w:eastAsia="Times New Roman" w:hAnsi="Times New Roman" w:cs="Times New Roman"/>
          <w:bCs/>
          <w:i/>
          <w:lang w:val="en-US"/>
        </w:rPr>
        <w:t>(Human resource management.)</w:t>
      </w:r>
    </w:p>
    <w:p w:rsidR="00CD29C1" w:rsidRDefault="00CD29C1" w:rsidP="00980876">
      <w:pPr>
        <w:widowControl w:val="0"/>
        <w:numPr>
          <w:ilvl w:val="1"/>
          <w:numId w:val="185"/>
        </w:numPr>
        <w:tabs>
          <w:tab w:val="num" w:pos="2069"/>
        </w:tabs>
        <w:spacing w:before="120" w:after="120" w:line="240" w:lineRule="auto"/>
        <w:ind w:left="993" w:hanging="567"/>
        <w:jc w:val="both"/>
        <w:rPr>
          <w:rFonts w:ascii="Times New Roman" w:eastAsia="Times New Roman" w:hAnsi="Times New Roman" w:cs="Times New Roman"/>
          <w:lang w:val="en-US"/>
        </w:rPr>
      </w:pPr>
      <w:r>
        <w:rPr>
          <w:rFonts w:ascii="Times New Roman" w:eastAsia="Times New Roman" w:hAnsi="Times New Roman" w:cs="Times New Roman"/>
          <w:lang w:val="en-US"/>
        </w:rPr>
        <w:t xml:space="preserve"> </w:t>
      </w:r>
      <w:r>
        <w:rPr>
          <w:rFonts w:ascii="Times New Roman" w:eastAsia="Times New Roman" w:hAnsi="Times New Roman" w:cs="Times New Roman"/>
          <w:bCs/>
          <w:lang w:val="en-US"/>
        </w:rPr>
        <w:t>Marketing. (</w:t>
      </w:r>
      <w:r>
        <w:rPr>
          <w:rFonts w:ascii="Times New Roman" w:eastAsia="Times New Roman" w:hAnsi="Times New Roman" w:cs="Times New Roman"/>
          <w:bCs/>
          <w:i/>
          <w:lang w:val="en-US"/>
        </w:rPr>
        <w:t>Marketing.)</w:t>
      </w:r>
    </w:p>
    <w:p w:rsidR="00CD29C1" w:rsidRDefault="00CD29C1" w:rsidP="00980876">
      <w:pPr>
        <w:widowControl w:val="0"/>
        <w:numPr>
          <w:ilvl w:val="1"/>
          <w:numId w:val="185"/>
        </w:numPr>
        <w:tabs>
          <w:tab w:val="num" w:pos="2069"/>
        </w:tabs>
        <w:spacing w:before="120" w:after="120" w:line="240" w:lineRule="auto"/>
        <w:ind w:left="993" w:hanging="567"/>
        <w:jc w:val="both"/>
        <w:rPr>
          <w:rFonts w:ascii="Times New Roman" w:eastAsia="Times New Roman" w:hAnsi="Times New Roman" w:cs="Times New Roman"/>
          <w:lang w:val="en-US"/>
        </w:rPr>
      </w:pPr>
      <w:r>
        <w:rPr>
          <w:rFonts w:ascii="Times New Roman" w:eastAsia="Times New Roman" w:hAnsi="Times New Roman" w:cs="Times New Roman"/>
          <w:lang w:val="en-US"/>
        </w:rPr>
        <w:t xml:space="preserve"> </w:t>
      </w:r>
      <w:r>
        <w:rPr>
          <w:rFonts w:ascii="Times New Roman" w:eastAsia="Times New Roman" w:hAnsi="Times New Roman" w:cs="Times New Roman"/>
          <w:bCs/>
          <w:lang w:val="en-US"/>
        </w:rPr>
        <w:t>Projektmunkák bemutatása</w:t>
      </w:r>
      <w:r>
        <w:rPr>
          <w:rFonts w:ascii="Times New Roman" w:eastAsia="Times New Roman" w:hAnsi="Times New Roman" w:cs="Times New Roman"/>
          <w:bCs/>
          <w:i/>
          <w:lang w:val="en-US"/>
        </w:rPr>
        <w:t>. (Presentations of the project tasks.)</w:t>
      </w:r>
    </w:p>
    <w:p w:rsidR="00CD29C1" w:rsidRDefault="00CD29C1" w:rsidP="00980876">
      <w:pPr>
        <w:widowControl w:val="0"/>
        <w:numPr>
          <w:ilvl w:val="0"/>
          <w:numId w:val="185"/>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 tantárgy meghirdetésének gyakorisága/a tantervben történő félévi elhelyezkedése: </w:t>
      </w:r>
      <w:r>
        <w:rPr>
          <w:rFonts w:ascii="Times New Roman" w:eastAsia="Times New Roman" w:hAnsi="Times New Roman" w:cs="Times New Roman"/>
          <w:bCs/>
        </w:rPr>
        <w:t>Minden őszi szemeszterben/5. félév</w:t>
      </w:r>
    </w:p>
    <w:p w:rsidR="00CD29C1" w:rsidRDefault="00CD29C1" w:rsidP="00980876">
      <w:pPr>
        <w:widowControl w:val="0"/>
        <w:numPr>
          <w:ilvl w:val="0"/>
          <w:numId w:val="185"/>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lastRenderedPageBreak/>
        <w:t>A tanórákon való részvétel követelményei, az elfogadható hiányzások mértéke, a távolmaradás pótlásának lehetősége:</w:t>
      </w:r>
      <w:r>
        <w:rPr>
          <w:rFonts w:ascii="Times New Roman" w:eastAsia="Times New Roman" w:hAnsi="Times New Roman" w:cs="Times New Roman"/>
          <w:bCs/>
        </w:rPr>
        <w:t xml:space="preserve"> A tanórákon való részvétel kötelező.</w:t>
      </w:r>
      <w:r>
        <w:rPr>
          <w:rFonts w:ascii="Times New Roman" w:eastAsia="Times New Roman" w:hAnsi="Times New Roman" w:cs="Times New Roman"/>
          <w:b/>
          <w:bCs/>
        </w:rPr>
        <w:t xml:space="preserve"> </w:t>
      </w:r>
      <w:r>
        <w:rPr>
          <w:rFonts w:ascii="Times New Roman" w:eastAsia="Times New Roman" w:hAnsi="Times New Roman" w:cs="Times New Roman"/>
          <w:bCs/>
        </w:rPr>
        <w:t>A félév elfogadásának feltétele a tanórák minimum 70%-án való részvétel. Ennél magasabb mértékű távolmaradás pótlása az oktató engedélyével történhet.</w:t>
      </w:r>
    </w:p>
    <w:p w:rsidR="00CD29C1" w:rsidRDefault="00CD29C1" w:rsidP="00980876">
      <w:pPr>
        <w:widowControl w:val="0"/>
        <w:numPr>
          <w:ilvl w:val="0"/>
          <w:numId w:val="185"/>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rPr>
        <w:t xml:space="preserve">Félévközi feladatok, ismeretek ellenőrzésének rendje: </w:t>
      </w:r>
      <w:r>
        <w:rPr>
          <w:rFonts w:ascii="Times New Roman" w:hAnsi="Times New Roman"/>
        </w:rPr>
        <w:t>A félév során két csoportos feladatot kapnak a hallgatók. Ezen feladatok értékelése a szorgalmi időszak utolsó óráján történik, ahol a csoportoknak prezentálni kell projektmunkájuk eredményét</w:t>
      </w:r>
      <w:r>
        <w:rPr>
          <w:rFonts w:ascii="Times New Roman" w:eastAsia="Times New Roman" w:hAnsi="Times New Roman" w:cs="Times New Roman"/>
        </w:rPr>
        <w:t>. A félév során két darab zárthelyi dolgozat megírására is sor kerül.</w:t>
      </w:r>
    </w:p>
    <w:p w:rsidR="00CD29C1" w:rsidRDefault="00CD29C1" w:rsidP="00980876">
      <w:pPr>
        <w:widowControl w:val="0"/>
        <w:numPr>
          <w:ilvl w:val="0"/>
          <w:numId w:val="185"/>
        </w:numPr>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Az értékelés, az aláírás és a kreditek megszerzésének pontos feltételei: </w:t>
      </w:r>
    </w:p>
    <w:p w:rsidR="00CD29C1" w:rsidRDefault="00CD29C1" w:rsidP="00980876">
      <w:pPr>
        <w:widowControl w:val="0"/>
        <w:numPr>
          <w:ilvl w:val="1"/>
          <w:numId w:val="185"/>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Az aláírás megszerzésének feltételei:</w:t>
      </w:r>
    </w:p>
    <w:p w:rsidR="00CD29C1" w:rsidRDefault="00CD29C1" w:rsidP="00CD29C1">
      <w:pPr>
        <w:widowControl w:val="0"/>
        <w:tabs>
          <w:tab w:val="left" w:pos="993"/>
        </w:tabs>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Az aláírás feltétele a tanórákon történő – 14. pontban meghatározott – részvétel, a csoportfeladatok megfelelő szintű megoldása, valamint a zárthelyi dolgozatok elégséges szintű megírása.</w:t>
      </w:r>
    </w:p>
    <w:p w:rsidR="00CD29C1" w:rsidRDefault="00CD29C1" w:rsidP="00980876">
      <w:pPr>
        <w:widowControl w:val="0"/>
        <w:numPr>
          <w:ilvl w:val="1"/>
          <w:numId w:val="185"/>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Az értékelés:</w:t>
      </w:r>
    </w:p>
    <w:p w:rsidR="00CD29C1" w:rsidRDefault="00CD29C1" w:rsidP="00CD29C1">
      <w:pPr>
        <w:widowControl w:val="0"/>
        <w:tabs>
          <w:tab w:val="left" w:pos="993"/>
        </w:tabs>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A csoportfeladatokat prezentálásuk után közvetlenül a kurzus oktatói közösen értékelik. A prezentációk között rangsort állítanak fel, és a rangsor alapján pontokat kapnak a csoportok, amely pontok hozzáadódónak a két zárthelyi dolgozat eredményéhez.</w:t>
      </w:r>
    </w:p>
    <w:p w:rsidR="00CD29C1" w:rsidRDefault="00CD29C1" w:rsidP="00980876">
      <w:pPr>
        <w:widowControl w:val="0"/>
        <w:numPr>
          <w:ilvl w:val="1"/>
          <w:numId w:val="185"/>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 kreditek megszerzésének feltételei:</w:t>
      </w:r>
      <w:r>
        <w:rPr>
          <w:rFonts w:ascii="Times New Roman" w:eastAsia="Times New Roman" w:hAnsi="Times New Roman" w:cs="Times New Roman"/>
        </w:rPr>
        <w:t xml:space="preserve"> </w:t>
      </w:r>
    </w:p>
    <w:p w:rsidR="00CD29C1" w:rsidRDefault="00CD29C1" w:rsidP="00CD29C1">
      <w:pPr>
        <w:widowControl w:val="0"/>
        <w:tabs>
          <w:tab w:val="left" w:pos="993"/>
        </w:tabs>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 xml:space="preserve">A kreditek </w:t>
      </w:r>
      <w:bookmarkStart w:id="58" w:name="_Hlk26248811"/>
      <w:r>
        <w:rPr>
          <w:rFonts w:ascii="Times New Roman" w:eastAsia="Times New Roman" w:hAnsi="Times New Roman" w:cs="Times New Roman"/>
        </w:rPr>
        <w:t xml:space="preserve">megszerzése </w:t>
      </w:r>
      <w:bookmarkEnd w:id="58"/>
      <w:r>
        <w:rPr>
          <w:rFonts w:ascii="Times New Roman" w:eastAsia="Times New Roman" w:hAnsi="Times New Roman" w:cs="Times New Roman"/>
        </w:rPr>
        <w:t>az ötfokozatú értékeléssel történik a 16.2-es pontban leírt értékelés alapján.</w:t>
      </w:r>
    </w:p>
    <w:p w:rsidR="00CD29C1" w:rsidRDefault="00CD29C1" w:rsidP="00980876">
      <w:pPr>
        <w:widowControl w:val="0"/>
        <w:numPr>
          <w:ilvl w:val="0"/>
          <w:numId w:val="185"/>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Irodalomjegyzék:</w:t>
      </w:r>
    </w:p>
    <w:p w:rsidR="00CD29C1" w:rsidRDefault="00CD29C1" w:rsidP="00980876">
      <w:pPr>
        <w:widowControl w:val="0"/>
        <w:numPr>
          <w:ilvl w:val="1"/>
          <w:numId w:val="185"/>
        </w:numPr>
        <w:tabs>
          <w:tab w:val="left" w:pos="567"/>
          <w:tab w:val="left" w:pos="851"/>
          <w:tab w:val="num" w:pos="2069"/>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Kötelező irodalom:</w:t>
      </w:r>
    </w:p>
    <w:p w:rsidR="00602ACB" w:rsidRPr="00602ACB" w:rsidRDefault="00602ACB" w:rsidP="00980876">
      <w:pPr>
        <w:pStyle w:val="Listaszerbekezds"/>
        <w:widowControl w:val="0"/>
        <w:numPr>
          <w:ilvl w:val="0"/>
          <w:numId w:val="186"/>
        </w:numPr>
        <w:spacing w:after="0" w:line="240" w:lineRule="auto"/>
        <w:jc w:val="both"/>
        <w:rPr>
          <w:rFonts w:ascii="Times New Roman" w:hAnsi="Times New Roman" w:cs="Times New Roman"/>
          <w:bCs/>
        </w:rPr>
      </w:pPr>
      <w:r>
        <w:rPr>
          <w:rFonts w:ascii="Times New Roman" w:eastAsia="Times New Roman" w:hAnsi="Times New Roman" w:cs="Times New Roman"/>
        </w:rPr>
        <w:t xml:space="preserve">Roóz </w:t>
      </w:r>
      <w:r w:rsidRPr="00602ACB">
        <w:rPr>
          <w:rFonts w:ascii="Times New Roman" w:hAnsi="Times New Roman" w:cs="Times New Roman"/>
          <w:bCs/>
        </w:rPr>
        <w:t>József - Heidrich Balázs: Vállalati gazdaságtan és menedzsment alapjai Digitális Tankönyvtár, 2013.</w:t>
      </w:r>
    </w:p>
    <w:p w:rsidR="00602ACB" w:rsidRPr="00602ACB" w:rsidRDefault="00CD29C1" w:rsidP="00980876">
      <w:pPr>
        <w:pStyle w:val="Listaszerbekezds"/>
        <w:widowControl w:val="0"/>
        <w:numPr>
          <w:ilvl w:val="0"/>
          <w:numId w:val="186"/>
        </w:numPr>
        <w:spacing w:after="0" w:line="240" w:lineRule="auto"/>
        <w:jc w:val="both"/>
        <w:rPr>
          <w:rFonts w:ascii="Times New Roman" w:hAnsi="Times New Roman" w:cs="Times New Roman"/>
          <w:bCs/>
        </w:rPr>
      </w:pPr>
      <w:r>
        <w:rPr>
          <w:rFonts w:ascii="Times New Roman" w:hAnsi="Times New Roman" w:cs="Times New Roman"/>
          <w:bCs/>
        </w:rPr>
        <w:t xml:space="preserve">Chikán Attila: Vállalatgazdaságtan Aula Kiadó Kft., 2008. ISBN: 9789639698604 </w:t>
      </w:r>
    </w:p>
    <w:p w:rsidR="00602ACB" w:rsidRDefault="00602ACB" w:rsidP="00980876">
      <w:pPr>
        <w:pStyle w:val="Listaszerbekezds"/>
        <w:widowControl w:val="0"/>
        <w:numPr>
          <w:ilvl w:val="0"/>
          <w:numId w:val="186"/>
        </w:numPr>
        <w:spacing w:after="0" w:line="240" w:lineRule="auto"/>
        <w:jc w:val="both"/>
        <w:rPr>
          <w:rFonts w:ascii="Times New Roman" w:eastAsia="Times New Roman" w:hAnsi="Times New Roman" w:cs="Times New Roman"/>
          <w:bCs/>
        </w:rPr>
      </w:pPr>
      <w:r>
        <w:rPr>
          <w:rFonts w:ascii="Times New Roman" w:hAnsi="Times New Roman" w:cs="Times New Roman"/>
          <w:bCs/>
        </w:rPr>
        <w:t>Philip Kotler: Marketing-menedzsment Akadémia Kiadó 2006. ISBN 9630583489</w:t>
      </w:r>
    </w:p>
    <w:p w:rsidR="00CD29C1" w:rsidRDefault="00CD29C1" w:rsidP="00980876">
      <w:pPr>
        <w:widowControl w:val="0"/>
        <w:numPr>
          <w:ilvl w:val="1"/>
          <w:numId w:val="185"/>
        </w:numPr>
        <w:tabs>
          <w:tab w:val="num" w:pos="567"/>
          <w:tab w:val="num" w:pos="2069"/>
        </w:tabs>
        <w:spacing w:before="120" w:after="120" w:line="240" w:lineRule="auto"/>
        <w:ind w:left="993" w:hanging="709"/>
        <w:jc w:val="both"/>
        <w:rPr>
          <w:rFonts w:ascii="Times New Roman" w:eastAsia="Times New Roman" w:hAnsi="Times New Roman" w:cs="Times New Roman"/>
          <w:b/>
          <w:bCs/>
        </w:rPr>
      </w:pPr>
      <w:r>
        <w:rPr>
          <w:rFonts w:ascii="Times New Roman" w:eastAsia="Times New Roman" w:hAnsi="Times New Roman" w:cs="Times New Roman"/>
          <w:b/>
          <w:bCs/>
        </w:rPr>
        <w:t>Ajánlott irodalom:</w:t>
      </w:r>
    </w:p>
    <w:p w:rsidR="00CD29C1" w:rsidRDefault="00CD29C1" w:rsidP="00980876">
      <w:pPr>
        <w:pStyle w:val="Listaszerbekezds"/>
        <w:widowControl w:val="0"/>
        <w:numPr>
          <w:ilvl w:val="0"/>
          <w:numId w:val="775"/>
        </w:num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Fülöp Gyula: Stratégiai menedzsment - Elmélet és gyakorlat Perfekt Zrt. 2008. ISBN: 9789633947487</w:t>
      </w:r>
    </w:p>
    <w:p w:rsidR="00CD29C1" w:rsidRDefault="00CD29C1" w:rsidP="00980876">
      <w:pPr>
        <w:pStyle w:val="Listaszerbekezds"/>
        <w:widowControl w:val="0"/>
        <w:numPr>
          <w:ilvl w:val="0"/>
          <w:numId w:val="775"/>
        </w:num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Szőrös Krisztina - Kresalek Péter: Üzleti tervezés Digitális Tankönyvtár, 2013.</w:t>
      </w:r>
    </w:p>
    <w:p w:rsidR="00CD29C1" w:rsidRDefault="00CD29C1" w:rsidP="00980876">
      <w:pPr>
        <w:pStyle w:val="Listaszerbekezds"/>
        <w:widowControl w:val="0"/>
        <w:numPr>
          <w:ilvl w:val="0"/>
          <w:numId w:val="775"/>
        </w:num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Tóth Béla: Humán erőforrás menedzselése Digitális Tankönyvtár, 2011.</w:t>
      </w:r>
    </w:p>
    <w:p w:rsidR="00CD29C1" w:rsidRDefault="00CD29C1" w:rsidP="00980876">
      <w:pPr>
        <w:pStyle w:val="Listaszerbekezds"/>
        <w:widowControl w:val="0"/>
        <w:numPr>
          <w:ilvl w:val="0"/>
          <w:numId w:val="775"/>
        </w:num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Kovács Imre: Integrált vállalatirányítási rendszerek Digitális Tankönyvtár, 2011.</w:t>
      </w:r>
    </w:p>
    <w:p w:rsidR="00CD29C1" w:rsidRDefault="00CD29C1" w:rsidP="00980876">
      <w:pPr>
        <w:pStyle w:val="Listaszerbekezds"/>
        <w:widowControl w:val="0"/>
        <w:numPr>
          <w:ilvl w:val="0"/>
          <w:numId w:val="775"/>
        </w:num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Szakály Dezső: Innovációmenedzsment Digitális Tankönyvtár, 2013.</w:t>
      </w:r>
    </w:p>
    <w:p w:rsidR="00CD29C1" w:rsidRDefault="00CD29C1" w:rsidP="00CD29C1">
      <w:pPr>
        <w:widowControl w:val="0"/>
        <w:spacing w:before="120" w:after="120" w:line="240" w:lineRule="auto"/>
        <w:jc w:val="both"/>
        <w:rPr>
          <w:rFonts w:ascii="Times New Roman" w:eastAsia="Times New Roman" w:hAnsi="Times New Roman" w:cs="Times New Roman"/>
          <w:bCs/>
        </w:rPr>
      </w:pPr>
    </w:p>
    <w:p w:rsidR="00CD29C1" w:rsidRDefault="00CD29C1" w:rsidP="00CD29C1">
      <w:pPr>
        <w:widowControl w:val="0"/>
        <w:spacing w:before="120" w:after="120" w:line="240" w:lineRule="auto"/>
        <w:jc w:val="both"/>
        <w:rPr>
          <w:rFonts w:ascii="Times New Roman" w:eastAsia="Times New Roman" w:hAnsi="Times New Roman" w:cs="Times New Roman"/>
          <w:bCs/>
        </w:rPr>
      </w:pPr>
      <w:r>
        <w:rPr>
          <w:rFonts w:ascii="Times New Roman" w:eastAsia="Times New Roman" w:hAnsi="Times New Roman" w:cs="Times New Roman"/>
          <w:bCs/>
        </w:rPr>
        <w:t>Budapest, 2020. január 22.</w:t>
      </w:r>
    </w:p>
    <w:p w:rsidR="00CD29C1" w:rsidRDefault="00CD29C1" w:rsidP="00CD29C1">
      <w:pPr>
        <w:widowControl w:val="0"/>
        <w:spacing w:before="120" w:after="120" w:line="240" w:lineRule="auto"/>
        <w:jc w:val="both"/>
        <w:rPr>
          <w:rFonts w:ascii="Times New Roman" w:eastAsia="Times New Roman" w:hAnsi="Times New Roman" w:cs="Times New Roman"/>
          <w:bCs/>
        </w:rPr>
      </w:pPr>
    </w:p>
    <w:p w:rsidR="00CD29C1" w:rsidRPr="00CD29C1" w:rsidRDefault="00CD29C1" w:rsidP="00CD29C1">
      <w:pPr>
        <w:widowControl w:val="0"/>
        <w:spacing w:after="0" w:line="240" w:lineRule="auto"/>
        <w:jc w:val="center"/>
        <w:rPr>
          <w:rFonts w:ascii="Times New Roman" w:hAnsi="Times New Roman" w:cs="Times New Roman"/>
          <w:b/>
          <w:bCs/>
        </w:rPr>
      </w:pPr>
      <w:r w:rsidRPr="00CD29C1">
        <w:rPr>
          <w:rFonts w:ascii="Times New Roman" w:hAnsi="Times New Roman" w:cs="Times New Roman"/>
          <w:b/>
          <w:bCs/>
        </w:rPr>
        <w:t xml:space="preserve">                                                                                                              Dr. Fülöp Katalin</w:t>
      </w:r>
    </w:p>
    <w:p w:rsidR="00CD29C1" w:rsidRDefault="00CD29C1" w:rsidP="00CD29C1">
      <w:pPr>
        <w:widowControl w:val="0"/>
        <w:spacing w:after="0" w:line="240" w:lineRule="auto"/>
        <w:jc w:val="center"/>
        <w:rPr>
          <w:rFonts w:ascii="Times New Roman" w:eastAsia="Times New Roman" w:hAnsi="Times New Roman" w:cs="Times New Roman"/>
          <w:bCs/>
        </w:rPr>
      </w:pPr>
      <w:r>
        <w:rPr>
          <w:rFonts w:ascii="Times New Roman" w:hAnsi="Times New Roman" w:cs="Times New Roman"/>
          <w:bCs/>
        </w:rPr>
        <w:t xml:space="preserve">                                                                                                              egyetemi docens</w:t>
      </w:r>
    </w:p>
    <w:p w:rsidR="00CD29C1" w:rsidRDefault="00CD29C1" w:rsidP="00CD29C1">
      <w:pPr>
        <w:rPr>
          <w:rFonts w:ascii="Times New Roman" w:hAnsi="Times New Roman" w:cs="Times New Roman"/>
        </w:rPr>
      </w:pPr>
    </w:p>
    <w:p w:rsidR="00CD29C1" w:rsidRDefault="00CD29C1">
      <w:pPr>
        <w:spacing w:after="200" w:line="276" w:lineRule="auto"/>
        <w:rPr>
          <w:rFonts w:ascii="Times New Roman" w:hAnsi="Times New Roman" w:cs="Times New Roman"/>
          <w:sz w:val="24"/>
        </w:rPr>
      </w:pPr>
    </w:p>
    <w:p w:rsidR="00CD29C1" w:rsidRDefault="00CD29C1">
      <w:pPr>
        <w:spacing w:after="200" w:line="276" w:lineRule="auto"/>
        <w:rPr>
          <w:rFonts w:ascii="Times New Roman" w:hAnsi="Times New Roman" w:cs="Times New Roman"/>
          <w:sz w:val="24"/>
        </w:rPr>
      </w:pPr>
      <w:r>
        <w:rPr>
          <w:rFonts w:ascii="Times New Roman" w:hAnsi="Times New Roman" w:cs="Times New Roman"/>
          <w:sz w:val="24"/>
        </w:rPr>
        <w:br w:type="page"/>
      </w:r>
    </w:p>
    <w:tbl>
      <w:tblPr>
        <w:tblW w:w="9072" w:type="dxa"/>
        <w:tblInd w:w="113" w:type="dxa"/>
        <w:tblLook w:val="01E0" w:firstRow="1" w:lastRow="1" w:firstColumn="1" w:lastColumn="1" w:noHBand="0" w:noVBand="0"/>
      </w:tblPr>
      <w:tblGrid>
        <w:gridCol w:w="4855"/>
        <w:gridCol w:w="1620"/>
        <w:gridCol w:w="2597"/>
      </w:tblGrid>
      <w:tr w:rsidR="00276952" w:rsidTr="00276952">
        <w:tc>
          <w:tcPr>
            <w:tcW w:w="4855" w:type="dxa"/>
            <w:tcBorders>
              <w:top w:val="nil"/>
              <w:left w:val="nil"/>
              <w:bottom w:val="single" w:sz="4" w:space="0" w:color="auto"/>
              <w:right w:val="nil"/>
            </w:tcBorders>
            <w:hideMark/>
          </w:tcPr>
          <w:p w:rsidR="00276952" w:rsidRDefault="00276952">
            <w:pPr>
              <w:spacing w:after="0" w:line="240" w:lineRule="auto"/>
              <w:jc w:val="center"/>
              <w:rPr>
                <w:rFonts w:ascii="Times New Roman" w:eastAsia="Times New Roman" w:hAnsi="Times New Roman" w:cs="Times New Roman"/>
                <w:b/>
                <w:smallCaps/>
                <w:lang w:eastAsia="hu-HU"/>
              </w:rPr>
            </w:pPr>
            <w:r>
              <w:rPr>
                <w:rFonts w:ascii="Times New Roman" w:eastAsia="Times New Roman" w:hAnsi="Times New Roman" w:cs="Times New Roman"/>
                <w:b/>
                <w:smallCaps/>
                <w:lang w:eastAsia="hu-HU"/>
              </w:rPr>
              <w:lastRenderedPageBreak/>
              <w:t>Nemzeti Közszolgálati Egyetem</w:t>
            </w:r>
          </w:p>
        </w:tc>
        <w:tc>
          <w:tcPr>
            <w:tcW w:w="1620" w:type="dxa"/>
          </w:tcPr>
          <w:p w:rsidR="00276952" w:rsidRDefault="00276952">
            <w:pPr>
              <w:spacing w:after="0" w:line="240" w:lineRule="auto"/>
              <w:jc w:val="both"/>
              <w:rPr>
                <w:rFonts w:ascii="Times New Roman" w:eastAsia="Times New Roman" w:hAnsi="Times New Roman" w:cs="Times New Roman"/>
                <w:lang w:eastAsia="hu-HU"/>
              </w:rPr>
            </w:pPr>
          </w:p>
        </w:tc>
        <w:tc>
          <w:tcPr>
            <w:tcW w:w="2597" w:type="dxa"/>
          </w:tcPr>
          <w:p w:rsidR="00276952" w:rsidRDefault="00276952">
            <w:pPr>
              <w:spacing w:after="0" w:line="240" w:lineRule="auto"/>
              <w:jc w:val="right"/>
              <w:rPr>
                <w:rFonts w:ascii="Times New Roman" w:eastAsia="Times New Roman" w:hAnsi="Times New Roman" w:cs="Times New Roman"/>
                <w:lang w:eastAsia="hu-HU"/>
              </w:rPr>
            </w:pPr>
          </w:p>
        </w:tc>
      </w:tr>
      <w:tr w:rsidR="00276952" w:rsidTr="00276952">
        <w:tc>
          <w:tcPr>
            <w:tcW w:w="4855" w:type="dxa"/>
            <w:tcBorders>
              <w:top w:val="single" w:sz="4" w:space="0" w:color="auto"/>
              <w:left w:val="nil"/>
              <w:bottom w:val="nil"/>
              <w:right w:val="nil"/>
            </w:tcBorders>
            <w:hideMark/>
          </w:tcPr>
          <w:p w:rsidR="00276952" w:rsidRDefault="00276952">
            <w:pPr>
              <w:pStyle w:val="Szvegtrzs"/>
              <w:spacing w:line="256" w:lineRule="auto"/>
              <w:jc w:val="center"/>
              <w:rPr>
                <w:b/>
                <w:lang w:eastAsia="en-US"/>
              </w:rPr>
            </w:pPr>
            <w:r>
              <w:rPr>
                <w:b/>
                <w:lang w:eastAsia="en-US"/>
              </w:rPr>
              <w:t>Hadtudományi és Honvédtisztképző Kar</w:t>
            </w:r>
          </w:p>
        </w:tc>
        <w:tc>
          <w:tcPr>
            <w:tcW w:w="1620" w:type="dxa"/>
          </w:tcPr>
          <w:p w:rsidR="00276952" w:rsidRDefault="00276952">
            <w:pPr>
              <w:pStyle w:val="Szvegtrzs"/>
              <w:spacing w:line="256" w:lineRule="auto"/>
              <w:rPr>
                <w:lang w:eastAsia="en-US"/>
              </w:rPr>
            </w:pPr>
          </w:p>
        </w:tc>
        <w:tc>
          <w:tcPr>
            <w:tcW w:w="2597" w:type="dxa"/>
          </w:tcPr>
          <w:p w:rsidR="00276952" w:rsidRDefault="00276952">
            <w:pPr>
              <w:pStyle w:val="Szvegtrzs"/>
              <w:spacing w:line="256" w:lineRule="auto"/>
              <w:rPr>
                <w:lang w:eastAsia="en-US"/>
              </w:rPr>
            </w:pPr>
          </w:p>
        </w:tc>
      </w:tr>
    </w:tbl>
    <w:p w:rsidR="00276952" w:rsidRDefault="00276952" w:rsidP="00276952">
      <w:pPr>
        <w:widowControl w:val="0"/>
        <w:spacing w:before="120" w:after="120" w:line="240" w:lineRule="auto"/>
        <w:ind w:left="426" w:hanging="142"/>
        <w:jc w:val="center"/>
        <w:rPr>
          <w:rFonts w:ascii="Times New Roman" w:eastAsia="Times New Roman" w:hAnsi="Times New Roman" w:cs="Times New Roman"/>
          <w:b/>
          <w:bCs/>
        </w:rPr>
      </w:pPr>
    </w:p>
    <w:p w:rsidR="00276952" w:rsidRDefault="00276952" w:rsidP="00276952">
      <w:pPr>
        <w:widowControl w:val="0"/>
        <w:spacing w:before="120" w:after="120" w:line="240" w:lineRule="auto"/>
        <w:ind w:left="426" w:hanging="142"/>
        <w:jc w:val="center"/>
        <w:rPr>
          <w:rFonts w:ascii="Times New Roman" w:eastAsia="Times New Roman" w:hAnsi="Times New Roman" w:cs="Times New Roman"/>
          <w:b/>
          <w:bCs/>
        </w:rPr>
      </w:pPr>
      <w:r>
        <w:rPr>
          <w:rFonts w:ascii="Times New Roman" w:eastAsia="Times New Roman" w:hAnsi="Times New Roman" w:cs="Times New Roman"/>
          <w:b/>
          <w:bCs/>
        </w:rPr>
        <w:t>TANTÁRGYI PROGRAM</w:t>
      </w:r>
    </w:p>
    <w:p w:rsidR="00276952" w:rsidRDefault="00276952" w:rsidP="00980876">
      <w:pPr>
        <w:widowControl w:val="0"/>
        <w:numPr>
          <w:ilvl w:val="0"/>
          <w:numId w:val="190"/>
        </w:numPr>
        <w:tabs>
          <w:tab w:val="clear" w:pos="720"/>
          <w:tab w:val="num" w:pos="501"/>
        </w:tabs>
        <w:spacing w:before="120" w:after="120" w:line="240" w:lineRule="auto"/>
        <w:ind w:left="501"/>
        <w:jc w:val="both"/>
        <w:rPr>
          <w:rFonts w:ascii="Times New Roman" w:eastAsia="Times New Roman" w:hAnsi="Times New Roman" w:cs="Times New Roman"/>
          <w:bCs/>
        </w:rPr>
      </w:pPr>
      <w:r>
        <w:rPr>
          <w:rFonts w:ascii="Times New Roman" w:eastAsia="Times New Roman" w:hAnsi="Times New Roman" w:cs="Times New Roman"/>
          <w:b/>
          <w:bCs/>
        </w:rPr>
        <w:t xml:space="preserve">A tantárgy kódja: </w:t>
      </w:r>
      <w:r>
        <w:rPr>
          <w:rFonts w:ascii="Times New Roman" w:eastAsia="Times New Roman" w:hAnsi="Times New Roman" w:cs="Times New Roman"/>
          <w:bCs/>
        </w:rPr>
        <w:t>HKHPKA503</w:t>
      </w:r>
    </w:p>
    <w:p w:rsidR="00276952" w:rsidRDefault="00276952" w:rsidP="00980876">
      <w:pPr>
        <w:widowControl w:val="0"/>
        <w:numPr>
          <w:ilvl w:val="0"/>
          <w:numId w:val="190"/>
        </w:numPr>
        <w:tabs>
          <w:tab w:val="clear" w:pos="720"/>
          <w:tab w:val="num" w:pos="501"/>
        </w:tabs>
        <w:spacing w:before="120" w:after="120" w:line="240" w:lineRule="auto"/>
        <w:ind w:left="501"/>
        <w:jc w:val="both"/>
        <w:rPr>
          <w:rFonts w:ascii="Times New Roman" w:eastAsia="Times New Roman" w:hAnsi="Times New Roman" w:cs="Times New Roman"/>
          <w:b/>
          <w:bCs/>
          <w:lang w:val="en-GB"/>
        </w:rPr>
      </w:pPr>
      <w:r>
        <w:rPr>
          <w:rFonts w:ascii="Times New Roman" w:eastAsia="Times New Roman" w:hAnsi="Times New Roman" w:cs="Times New Roman"/>
          <w:b/>
          <w:bCs/>
        </w:rPr>
        <w:t>A tantárgy megnevezése (magyarul):</w:t>
      </w:r>
      <w:r>
        <w:rPr>
          <w:bCs/>
        </w:rPr>
        <w:t xml:space="preserve"> </w:t>
      </w:r>
      <w:r>
        <w:rPr>
          <w:rFonts w:ascii="Times New Roman" w:eastAsia="Times New Roman" w:hAnsi="Times New Roman" w:cs="Times New Roman"/>
          <w:bCs/>
        </w:rPr>
        <w:t>Államháztartási és katonai pénzügyi ismeretek I.</w:t>
      </w:r>
    </w:p>
    <w:p w:rsidR="00276952" w:rsidRDefault="00276952" w:rsidP="00980876">
      <w:pPr>
        <w:widowControl w:val="0"/>
        <w:numPr>
          <w:ilvl w:val="0"/>
          <w:numId w:val="190"/>
        </w:numPr>
        <w:tabs>
          <w:tab w:val="clear" w:pos="720"/>
          <w:tab w:val="num" w:pos="501"/>
        </w:tabs>
        <w:spacing w:before="120" w:after="120" w:line="240" w:lineRule="auto"/>
        <w:ind w:left="501"/>
        <w:jc w:val="both"/>
        <w:rPr>
          <w:rFonts w:ascii="Times New Roman" w:eastAsia="Times New Roman" w:hAnsi="Times New Roman" w:cs="Times New Roman"/>
          <w:b/>
          <w:bCs/>
          <w:lang w:val="en-GB"/>
        </w:rPr>
      </w:pPr>
      <w:r>
        <w:rPr>
          <w:rFonts w:ascii="Times New Roman" w:eastAsia="Times New Roman" w:hAnsi="Times New Roman" w:cs="Times New Roman"/>
          <w:b/>
          <w:bCs/>
        </w:rPr>
        <w:t>A tantárgy megnevezése (angolul):</w:t>
      </w:r>
      <w:r>
        <w:rPr>
          <w:bCs/>
        </w:rPr>
        <w:t xml:space="preserve"> </w:t>
      </w:r>
      <w:r>
        <w:rPr>
          <w:rFonts w:ascii="Times New Roman" w:eastAsia="Times New Roman" w:hAnsi="Times New Roman" w:cs="Times New Roman"/>
          <w:bCs/>
        </w:rPr>
        <w:t>Public Finance and Military Budget I.</w:t>
      </w:r>
    </w:p>
    <w:p w:rsidR="00276952" w:rsidRDefault="00276952" w:rsidP="00980876">
      <w:pPr>
        <w:widowControl w:val="0"/>
        <w:numPr>
          <w:ilvl w:val="0"/>
          <w:numId w:val="190"/>
        </w:numPr>
        <w:tabs>
          <w:tab w:val="clear" w:pos="720"/>
          <w:tab w:val="num" w:pos="501"/>
        </w:tabs>
        <w:spacing w:before="120" w:after="120" w:line="240" w:lineRule="auto"/>
        <w:ind w:left="501"/>
        <w:jc w:val="both"/>
        <w:rPr>
          <w:rFonts w:ascii="Times New Roman" w:eastAsia="Times New Roman" w:hAnsi="Times New Roman" w:cs="Times New Roman"/>
          <w:b/>
          <w:bCs/>
          <w:lang w:val="en-GB"/>
        </w:rPr>
      </w:pPr>
      <w:r>
        <w:rPr>
          <w:rFonts w:ascii="Times New Roman" w:eastAsia="Times New Roman" w:hAnsi="Times New Roman" w:cs="Times New Roman"/>
          <w:b/>
          <w:bCs/>
        </w:rPr>
        <w:t xml:space="preserve">Kreditérték és képzési karakter: </w:t>
      </w:r>
    </w:p>
    <w:p w:rsidR="00276952" w:rsidRDefault="00276952" w:rsidP="00980876">
      <w:pPr>
        <w:pStyle w:val="Listaszerbekezds"/>
        <w:widowControl w:val="0"/>
        <w:numPr>
          <w:ilvl w:val="1"/>
          <w:numId w:val="190"/>
        </w:numPr>
        <w:tabs>
          <w:tab w:val="clear" w:pos="3977"/>
          <w:tab w:val="num" w:pos="780"/>
        </w:tabs>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2 kredit</w:t>
      </w:r>
    </w:p>
    <w:p w:rsidR="00276952" w:rsidRDefault="00276952" w:rsidP="00980876">
      <w:pPr>
        <w:pStyle w:val="Listaszerbekezds"/>
        <w:widowControl w:val="0"/>
        <w:numPr>
          <w:ilvl w:val="1"/>
          <w:numId w:val="190"/>
        </w:numPr>
        <w:tabs>
          <w:tab w:val="clear" w:pos="3977"/>
          <w:tab w:val="num" w:pos="780"/>
        </w:tabs>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a tantárgy elméleti vagy gyakorlati jellegének mértéke: 50</w:t>
      </w:r>
      <w:r>
        <w:rPr>
          <w:rFonts w:ascii="Times New Roman" w:eastAsia="Times New Roman" w:hAnsi="Times New Roman" w:cs="Times New Roman"/>
          <w:b/>
          <w:bCs/>
        </w:rPr>
        <w:t xml:space="preserve"> </w:t>
      </w:r>
      <w:r>
        <w:rPr>
          <w:rFonts w:ascii="Times New Roman" w:eastAsia="Times New Roman" w:hAnsi="Times New Roman" w:cs="Times New Roman"/>
          <w:bCs/>
        </w:rPr>
        <w:t>% gyakorlat, 50 % elmélet</w:t>
      </w:r>
    </w:p>
    <w:p w:rsidR="00276952" w:rsidRDefault="00276952" w:rsidP="00980876">
      <w:pPr>
        <w:widowControl w:val="0"/>
        <w:numPr>
          <w:ilvl w:val="0"/>
          <w:numId w:val="190"/>
        </w:numPr>
        <w:tabs>
          <w:tab w:val="clear" w:pos="720"/>
          <w:tab w:val="num" w:pos="501"/>
        </w:tabs>
        <w:spacing w:before="120" w:after="120" w:line="240" w:lineRule="auto"/>
        <w:ind w:left="501"/>
        <w:jc w:val="both"/>
        <w:rPr>
          <w:rFonts w:ascii="Times New Roman" w:eastAsia="Times New Roman" w:hAnsi="Times New Roman" w:cs="Times New Roman"/>
          <w:bCs/>
        </w:rPr>
      </w:pPr>
      <w:r>
        <w:rPr>
          <w:rFonts w:ascii="Times New Roman" w:eastAsia="Times New Roman" w:hAnsi="Times New Roman" w:cs="Times New Roman"/>
          <w:b/>
          <w:bCs/>
        </w:rPr>
        <w:t>A szak(ok), szakirányok/specializációk megnevezése (ahol oktatják):</w:t>
      </w:r>
      <w:r>
        <w:rPr>
          <w:rFonts w:ascii="Times New Roman" w:eastAsia="Times New Roman" w:hAnsi="Times New Roman" w:cs="Times New Roman"/>
          <w:bCs/>
        </w:rPr>
        <w:t xml:space="preserve"> Katonai logisztika alapképzési szak, Hadtáp specializáció, Katonai pénzügyi specializáció</w:t>
      </w:r>
    </w:p>
    <w:p w:rsidR="00276952" w:rsidRDefault="00276952" w:rsidP="00980876">
      <w:pPr>
        <w:widowControl w:val="0"/>
        <w:numPr>
          <w:ilvl w:val="0"/>
          <w:numId w:val="190"/>
        </w:numPr>
        <w:tabs>
          <w:tab w:val="clear" w:pos="720"/>
          <w:tab w:val="num" w:pos="501"/>
          <w:tab w:val="num" w:pos="567"/>
        </w:tabs>
        <w:spacing w:before="120" w:after="120" w:line="240" w:lineRule="auto"/>
        <w:ind w:left="426" w:hanging="284"/>
        <w:jc w:val="both"/>
        <w:rPr>
          <w:rFonts w:ascii="Times New Roman" w:eastAsia="Times New Roman" w:hAnsi="Times New Roman" w:cs="Times New Roman"/>
          <w:bCs/>
        </w:rPr>
      </w:pPr>
      <w:r>
        <w:rPr>
          <w:rFonts w:ascii="Times New Roman" w:eastAsia="Times New Roman" w:hAnsi="Times New Roman" w:cs="Times New Roman"/>
          <w:b/>
          <w:bCs/>
        </w:rPr>
        <w:t>Az oktatásért felelős oktatási szervezeti egység megnevezése:</w:t>
      </w:r>
      <w:r>
        <w:rPr>
          <w:bCs/>
        </w:rPr>
        <w:t xml:space="preserve"> </w:t>
      </w:r>
      <w:r>
        <w:rPr>
          <w:rFonts w:ascii="Times New Roman" w:eastAsia="Times New Roman" w:hAnsi="Times New Roman" w:cs="Times New Roman"/>
          <w:bCs/>
        </w:rPr>
        <w:t xml:space="preserve">NKE Hadtudományi és Honvédtisztképző Kar, Hadtáp, Pénzügyi és Katonai Közlekedési Tanszék </w:t>
      </w:r>
    </w:p>
    <w:p w:rsidR="00276952" w:rsidRDefault="00276952" w:rsidP="00980876">
      <w:pPr>
        <w:widowControl w:val="0"/>
        <w:numPr>
          <w:ilvl w:val="0"/>
          <w:numId w:val="190"/>
        </w:numPr>
        <w:tabs>
          <w:tab w:val="clear" w:pos="720"/>
          <w:tab w:val="num" w:pos="501"/>
          <w:tab w:val="num" w:pos="567"/>
        </w:tabs>
        <w:spacing w:before="120" w:after="120" w:line="240" w:lineRule="auto"/>
        <w:ind w:left="426" w:hanging="284"/>
        <w:jc w:val="both"/>
        <w:rPr>
          <w:rFonts w:ascii="Times New Roman" w:eastAsia="Times New Roman" w:hAnsi="Times New Roman" w:cs="Times New Roman"/>
          <w:bCs/>
        </w:rPr>
      </w:pPr>
      <w:r>
        <w:rPr>
          <w:rFonts w:ascii="Times New Roman" w:eastAsia="Times New Roman" w:hAnsi="Times New Roman" w:cs="Times New Roman"/>
          <w:b/>
          <w:bCs/>
        </w:rPr>
        <w:t>A tantárgyfelelős oktató neve, beosztása, tudományos fokozata:</w:t>
      </w:r>
      <w:r>
        <w:rPr>
          <w:rFonts w:ascii="Times New Roman" w:eastAsia="Times New Roman" w:hAnsi="Times New Roman" w:cs="Times New Roman"/>
          <w:bCs/>
        </w:rPr>
        <w:t xml:space="preserve"> Dr. Taksás Balázs (PhD), egyetemi docens</w:t>
      </w:r>
    </w:p>
    <w:p w:rsidR="00276952" w:rsidRDefault="00276952" w:rsidP="00980876">
      <w:pPr>
        <w:widowControl w:val="0"/>
        <w:numPr>
          <w:ilvl w:val="0"/>
          <w:numId w:val="190"/>
        </w:numPr>
        <w:tabs>
          <w:tab w:val="clear" w:pos="720"/>
          <w:tab w:val="num" w:pos="501"/>
        </w:tabs>
        <w:spacing w:before="120" w:after="120" w:line="240" w:lineRule="auto"/>
        <w:ind w:left="426" w:hanging="284"/>
        <w:jc w:val="both"/>
        <w:rPr>
          <w:rFonts w:ascii="Times New Roman" w:eastAsia="Times New Roman" w:hAnsi="Times New Roman" w:cs="Times New Roman"/>
          <w:bCs/>
        </w:rPr>
      </w:pPr>
      <w:r>
        <w:rPr>
          <w:rFonts w:ascii="Times New Roman" w:eastAsia="Times New Roman" w:hAnsi="Times New Roman" w:cs="Times New Roman"/>
          <w:b/>
          <w:bCs/>
        </w:rPr>
        <w:t>A tanórák száma és típusa</w:t>
      </w:r>
    </w:p>
    <w:p w:rsidR="00276952" w:rsidRDefault="00276952" w:rsidP="00980876">
      <w:pPr>
        <w:widowControl w:val="0"/>
        <w:numPr>
          <w:ilvl w:val="1"/>
          <w:numId w:val="190"/>
        </w:numPr>
        <w:tabs>
          <w:tab w:val="clear" w:pos="3977"/>
          <w:tab w:val="num" w:pos="709"/>
          <w:tab w:val="num" w:pos="780"/>
          <w:tab w:val="num" w:pos="2069"/>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össz óraszám/félév:</w:t>
      </w:r>
    </w:p>
    <w:p w:rsidR="00276952" w:rsidRDefault="00276952" w:rsidP="00276952">
      <w:pPr>
        <w:widowControl w:val="0"/>
        <w:tabs>
          <w:tab w:val="num" w:pos="1134"/>
          <w:tab w:val="num" w:pos="1581"/>
        </w:tabs>
        <w:spacing w:before="120" w:after="120" w:line="240" w:lineRule="auto"/>
        <w:ind w:left="426" w:firstLine="283"/>
        <w:jc w:val="both"/>
        <w:rPr>
          <w:rFonts w:ascii="Times New Roman" w:eastAsia="Times New Roman" w:hAnsi="Times New Roman" w:cs="Times New Roman"/>
          <w:bCs/>
        </w:rPr>
      </w:pPr>
      <w:r>
        <w:rPr>
          <w:rFonts w:ascii="Times New Roman" w:eastAsia="Times New Roman" w:hAnsi="Times New Roman" w:cs="Times New Roman"/>
          <w:bCs/>
        </w:rPr>
        <w:t>8.1.1.</w:t>
      </w:r>
      <w:r>
        <w:rPr>
          <w:rFonts w:ascii="Times New Roman" w:eastAsia="Times New Roman" w:hAnsi="Times New Roman" w:cs="Times New Roman"/>
          <w:bCs/>
        </w:rPr>
        <w:tab/>
        <w:t>nappali munkarend: 28 (14 EA + 0 SZ + 14 GY)</w:t>
      </w:r>
    </w:p>
    <w:p w:rsidR="00276952" w:rsidRDefault="00276952" w:rsidP="00276952">
      <w:pPr>
        <w:widowControl w:val="0"/>
        <w:tabs>
          <w:tab w:val="num" w:pos="1134"/>
          <w:tab w:val="num" w:pos="1581"/>
        </w:tabs>
        <w:spacing w:before="120" w:after="120" w:line="240" w:lineRule="auto"/>
        <w:ind w:left="426" w:firstLine="283"/>
        <w:jc w:val="both"/>
        <w:rPr>
          <w:rFonts w:ascii="Times New Roman" w:eastAsia="Times New Roman" w:hAnsi="Times New Roman" w:cs="Times New Roman"/>
          <w:bCs/>
        </w:rPr>
      </w:pPr>
      <w:r>
        <w:rPr>
          <w:rFonts w:ascii="Times New Roman" w:eastAsia="Times New Roman" w:hAnsi="Times New Roman" w:cs="Times New Roman"/>
          <w:bCs/>
        </w:rPr>
        <w:t>8.1.2.</w:t>
      </w:r>
      <w:r>
        <w:rPr>
          <w:rFonts w:ascii="Times New Roman" w:eastAsia="Times New Roman" w:hAnsi="Times New Roman" w:cs="Times New Roman"/>
          <w:bCs/>
        </w:rPr>
        <w:tab/>
        <w:t>levelező munkarend: - (- EA + - SZ + - GY)</w:t>
      </w:r>
    </w:p>
    <w:p w:rsidR="00276952" w:rsidRDefault="00276952" w:rsidP="00980876">
      <w:pPr>
        <w:widowControl w:val="0"/>
        <w:numPr>
          <w:ilvl w:val="1"/>
          <w:numId w:val="190"/>
        </w:numPr>
        <w:tabs>
          <w:tab w:val="clear" w:pos="3977"/>
          <w:tab w:val="num" w:pos="709"/>
          <w:tab w:val="num" w:pos="780"/>
          <w:tab w:val="num" w:pos="2069"/>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heti óraszám - nappali munkarend: 2</w:t>
      </w:r>
    </w:p>
    <w:p w:rsidR="00276952" w:rsidRDefault="00276952" w:rsidP="00980876">
      <w:pPr>
        <w:widowControl w:val="0"/>
        <w:numPr>
          <w:ilvl w:val="1"/>
          <w:numId w:val="190"/>
        </w:numPr>
        <w:tabs>
          <w:tab w:val="clear" w:pos="3977"/>
          <w:tab w:val="num" w:pos="709"/>
          <w:tab w:val="num" w:pos="780"/>
          <w:tab w:val="num" w:pos="2069"/>
        </w:tabs>
        <w:spacing w:before="120" w:after="120" w:line="240" w:lineRule="auto"/>
        <w:ind w:left="851" w:hanging="425"/>
        <w:jc w:val="both"/>
        <w:rPr>
          <w:rFonts w:ascii="Times New Roman" w:eastAsia="Times New Roman" w:hAnsi="Times New Roman" w:cs="Times New Roman"/>
          <w:bCs/>
        </w:rPr>
      </w:pPr>
      <w:r>
        <w:rPr>
          <w:rFonts w:ascii="Times New Roman" w:hAnsi="Times New Roman" w:cs="Times New Roman"/>
        </w:rPr>
        <w:t xml:space="preserve">Az ismeret átadásában alkalmazandó további sajátos módok, jellemzők: - </w:t>
      </w:r>
    </w:p>
    <w:p w:rsidR="00276952" w:rsidRDefault="00276952" w:rsidP="00980876">
      <w:pPr>
        <w:widowControl w:val="0"/>
        <w:numPr>
          <w:ilvl w:val="0"/>
          <w:numId w:val="190"/>
        </w:numPr>
        <w:tabs>
          <w:tab w:val="clear" w:pos="720"/>
          <w:tab w:val="num" w:pos="501"/>
        </w:tabs>
        <w:spacing w:before="120" w:after="120" w:line="240" w:lineRule="auto"/>
        <w:ind w:left="426" w:hanging="284"/>
        <w:jc w:val="both"/>
        <w:rPr>
          <w:rFonts w:ascii="Times New Roman" w:eastAsia="Times New Roman" w:hAnsi="Times New Roman" w:cs="Times New Roman"/>
          <w:bCs/>
        </w:rPr>
      </w:pPr>
      <w:r>
        <w:rPr>
          <w:rFonts w:ascii="Times New Roman" w:eastAsia="Times New Roman" w:hAnsi="Times New Roman" w:cs="Times New Roman"/>
          <w:b/>
          <w:bCs/>
        </w:rPr>
        <w:t>A tantárgy szakmai tartalma (magyarul):</w:t>
      </w:r>
      <w:r>
        <w:rPr>
          <w:bCs/>
        </w:rPr>
        <w:t xml:space="preserve"> </w:t>
      </w:r>
      <w:r>
        <w:rPr>
          <w:rFonts w:ascii="Times New Roman" w:eastAsia="Times New Roman" w:hAnsi="Times New Roman" w:cs="Times New Roman"/>
          <w:bCs/>
        </w:rPr>
        <w:t>Az államháztartás alapfogalmai, rendszere, szerkezete. A költségvetési szervek működésének, gazdálkodásának rendje. A katonai gazdálkodás alapfogalmai, a HM fejezet költségvetési gazdálkodása, annak sajátosságai, részterületei, vertikális és horizontális folyamatai</w:t>
      </w:r>
    </w:p>
    <w:p w:rsidR="00276952" w:rsidRDefault="00276952" w:rsidP="00276952">
      <w:pPr>
        <w:widowControl w:val="0"/>
        <w:spacing w:before="120" w:after="120" w:line="240" w:lineRule="auto"/>
        <w:ind w:left="426"/>
        <w:jc w:val="both"/>
        <w:rPr>
          <w:rFonts w:ascii="Times New Roman" w:eastAsia="Times New Roman" w:hAnsi="Times New Roman" w:cs="Times New Roman"/>
          <w:bCs/>
          <w:lang w:val="en-GB"/>
        </w:rPr>
      </w:pPr>
      <w:r>
        <w:rPr>
          <w:rFonts w:ascii="Times New Roman" w:eastAsia="Times New Roman" w:hAnsi="Times New Roman" w:cs="Times New Roman"/>
          <w:b/>
          <w:bCs/>
        </w:rPr>
        <w:t>A tantárgy szakmai tartalma (angolul) (</w:t>
      </w:r>
      <w:r>
        <w:rPr>
          <w:rFonts w:ascii="Times New Roman" w:eastAsia="Times New Roman" w:hAnsi="Times New Roman" w:cs="Times New Roman"/>
          <w:b/>
          <w:bCs/>
          <w:lang w:val="en-US"/>
        </w:rPr>
        <w:t>Course description</w:t>
      </w:r>
      <w:r>
        <w:rPr>
          <w:rFonts w:ascii="Times New Roman" w:eastAsia="Times New Roman" w:hAnsi="Times New Roman" w:cs="Times New Roman"/>
          <w:b/>
          <w:bCs/>
        </w:rPr>
        <w:t xml:space="preserve">): </w:t>
      </w:r>
      <w:r>
        <w:rPr>
          <w:rFonts w:ascii="Times New Roman" w:eastAsia="Times New Roman" w:hAnsi="Times New Roman" w:cs="Times New Roman"/>
          <w:bCs/>
        </w:rPr>
        <w:t>Basic concepts, system and structure of public finance. The order of operation and management of budgetary entities. Basic concepts of military management, budget management of the MoD chapter, its peculiarities, sub-areas, vertical and horizontal processes</w:t>
      </w:r>
    </w:p>
    <w:p w:rsidR="00276952" w:rsidRDefault="00276952" w:rsidP="00980876">
      <w:pPr>
        <w:pStyle w:val="Listaszerbekezds"/>
        <w:widowControl w:val="0"/>
        <w:numPr>
          <w:ilvl w:val="0"/>
          <w:numId w:val="190"/>
        </w:numPr>
        <w:tabs>
          <w:tab w:val="clear" w:pos="720"/>
          <w:tab w:val="num" w:pos="501"/>
        </w:tabs>
        <w:spacing w:before="120" w:after="120" w:line="240" w:lineRule="auto"/>
        <w:ind w:left="501" w:hanging="359"/>
        <w:jc w:val="both"/>
        <w:rPr>
          <w:rFonts w:ascii="Times New Roman" w:eastAsia="Times New Roman" w:hAnsi="Times New Roman" w:cs="Times New Roman"/>
          <w:bCs/>
        </w:rPr>
      </w:pPr>
      <w:r>
        <w:rPr>
          <w:rFonts w:ascii="Times New Roman" w:eastAsia="Times New Roman" w:hAnsi="Times New Roman" w:cs="Times New Roman"/>
          <w:b/>
          <w:bCs/>
        </w:rPr>
        <w:t xml:space="preserve">Elérendő kompetenciák (magyarul): </w:t>
      </w:r>
    </w:p>
    <w:p w:rsidR="00276952" w:rsidRDefault="00276952" w:rsidP="00276952">
      <w:pPr>
        <w:widowControl w:val="0"/>
        <w:spacing w:before="120" w:after="120" w:line="240" w:lineRule="auto"/>
        <w:ind w:left="426"/>
        <w:jc w:val="both"/>
        <w:rPr>
          <w:rFonts w:ascii="Times New Roman" w:eastAsia="Times New Roman" w:hAnsi="Times New Roman" w:cs="Times New Roman"/>
          <w:bCs/>
        </w:rPr>
      </w:pPr>
      <w:r>
        <w:rPr>
          <w:rFonts w:ascii="Times New Roman" w:eastAsia="Times New Roman" w:hAnsi="Times New Roman" w:cs="Times New Roman"/>
          <w:b/>
          <w:bCs/>
        </w:rPr>
        <w:t>Tudása:</w:t>
      </w:r>
      <w:r>
        <w:rPr>
          <w:rFonts w:ascii="Times New Roman" w:eastAsia="Times New Roman" w:hAnsi="Times New Roman" w:cs="Times New Roman"/>
          <w:bCs/>
        </w:rPr>
        <w:t xml:space="preserve"> </w:t>
      </w:r>
    </w:p>
    <w:p w:rsidR="00276952" w:rsidRDefault="00276952" w:rsidP="00980876">
      <w:pPr>
        <w:pStyle w:val="Listaszerbekezds"/>
        <w:widowControl w:val="0"/>
        <w:numPr>
          <w:ilvl w:val="0"/>
          <w:numId w:val="187"/>
        </w:numPr>
        <w:spacing w:before="120" w:after="120" w:line="240" w:lineRule="auto"/>
        <w:ind w:hanging="219"/>
        <w:jc w:val="both"/>
        <w:rPr>
          <w:rFonts w:ascii="Times New Roman" w:eastAsia="Times New Roman" w:hAnsi="Times New Roman" w:cs="Times New Roman"/>
          <w:bCs/>
        </w:rPr>
      </w:pPr>
      <w:r>
        <w:rPr>
          <w:rFonts w:ascii="Times New Roman" w:eastAsia="Times New Roman" w:hAnsi="Times New Roman" w:cs="Times New Roman"/>
          <w:bCs/>
        </w:rPr>
        <w:t>Ismeri a gazdaság és a piacok működésének alapjait, a nemzetgazdaság és a honvédelem kapcsolatrendszerét, a hadiipar működésének törvényszerűségeit.</w:t>
      </w:r>
    </w:p>
    <w:p w:rsidR="00276952" w:rsidRDefault="00276952" w:rsidP="00276952">
      <w:pPr>
        <w:widowControl w:val="0"/>
        <w:spacing w:before="120" w:after="120" w:line="240" w:lineRule="auto"/>
        <w:ind w:left="426"/>
        <w:jc w:val="both"/>
        <w:rPr>
          <w:rFonts w:ascii="Times New Roman" w:eastAsia="Times New Roman" w:hAnsi="Times New Roman" w:cs="Times New Roman"/>
          <w:bCs/>
        </w:rPr>
      </w:pPr>
      <w:r>
        <w:rPr>
          <w:rFonts w:ascii="Times New Roman" w:eastAsia="Times New Roman" w:hAnsi="Times New Roman" w:cs="Times New Roman"/>
          <w:b/>
          <w:bCs/>
        </w:rPr>
        <w:t>Képességei:</w:t>
      </w:r>
      <w:r>
        <w:rPr>
          <w:rFonts w:ascii="Times New Roman" w:eastAsia="Times New Roman" w:hAnsi="Times New Roman" w:cs="Times New Roman"/>
          <w:bCs/>
        </w:rPr>
        <w:t xml:space="preserve"> </w:t>
      </w:r>
    </w:p>
    <w:p w:rsidR="00276952" w:rsidRDefault="00276952" w:rsidP="00980876">
      <w:pPr>
        <w:pStyle w:val="Listaszerbekezds"/>
        <w:widowControl w:val="0"/>
        <w:numPr>
          <w:ilvl w:val="0"/>
          <w:numId w:val="188"/>
        </w:numPr>
        <w:spacing w:before="120" w:after="120" w:line="240" w:lineRule="auto"/>
        <w:ind w:hanging="219"/>
        <w:jc w:val="both"/>
        <w:rPr>
          <w:rFonts w:ascii="Times New Roman" w:eastAsia="Times New Roman" w:hAnsi="Times New Roman" w:cs="Times New Roman"/>
          <w:bCs/>
        </w:rPr>
      </w:pPr>
      <w:r>
        <w:rPr>
          <w:rFonts w:ascii="Times New Roman" w:eastAsia="Times New Roman" w:hAnsi="Times New Roman" w:cs="Times New Roman"/>
          <w:bCs/>
          <w:kern w:val="2"/>
        </w:rPr>
        <w:t xml:space="preserve">Képes a logisztikai folyamatok és a Magyar Honvédség logisztikai rendszere közötti </w:t>
      </w:r>
      <w:r>
        <w:rPr>
          <w:rFonts w:ascii="Times New Roman" w:eastAsia="Times New Roman" w:hAnsi="Times New Roman" w:cs="Times New Roman"/>
          <w:bCs/>
        </w:rPr>
        <w:t>kapcsolatok, illetve összefüggések értelmezésére és azok beosztottak felé történő átadására.</w:t>
      </w:r>
    </w:p>
    <w:p w:rsidR="00276952" w:rsidRDefault="00276952" w:rsidP="00276952">
      <w:pPr>
        <w:widowControl w:val="0"/>
        <w:spacing w:before="120" w:after="120" w:line="240" w:lineRule="auto"/>
        <w:ind w:left="426"/>
        <w:jc w:val="both"/>
        <w:rPr>
          <w:rFonts w:ascii="Times New Roman" w:eastAsia="Times New Roman" w:hAnsi="Times New Roman" w:cs="Times New Roman"/>
          <w:b/>
          <w:bCs/>
        </w:rPr>
      </w:pPr>
      <w:r>
        <w:rPr>
          <w:rFonts w:ascii="Times New Roman" w:eastAsia="Times New Roman" w:hAnsi="Times New Roman" w:cs="Times New Roman"/>
          <w:b/>
          <w:bCs/>
        </w:rPr>
        <w:t>Attitűdje:</w:t>
      </w:r>
    </w:p>
    <w:p w:rsidR="00276952" w:rsidRDefault="00276952" w:rsidP="00980876">
      <w:pPr>
        <w:pStyle w:val="Listaszerbekezds"/>
        <w:widowControl w:val="0"/>
        <w:numPr>
          <w:ilvl w:val="0"/>
          <w:numId w:val="189"/>
        </w:numPr>
        <w:spacing w:before="120" w:after="120" w:line="240" w:lineRule="auto"/>
        <w:ind w:hanging="219"/>
        <w:jc w:val="both"/>
        <w:rPr>
          <w:rFonts w:ascii="Times New Roman" w:eastAsia="Times New Roman" w:hAnsi="Times New Roman" w:cs="Times New Roman"/>
          <w:bCs/>
          <w:kern w:val="2"/>
        </w:rPr>
      </w:pPr>
      <w:r>
        <w:rPr>
          <w:rFonts w:ascii="Times New Roman" w:eastAsia="Times New Roman" w:hAnsi="Times New Roman" w:cs="Times New Roman"/>
          <w:bCs/>
          <w:kern w:val="2"/>
        </w:rPr>
        <w:t>Felismeri a rendszerszintű tevékenységben rejlő értékeket, törekszik a logisztikai tevékenységek közötti kapcsolatok értelmezésére.</w:t>
      </w:r>
    </w:p>
    <w:p w:rsidR="00276952" w:rsidRDefault="00276952" w:rsidP="00276952">
      <w:pPr>
        <w:widowControl w:val="0"/>
        <w:spacing w:before="120" w:after="120" w:line="240" w:lineRule="auto"/>
        <w:ind w:left="426"/>
        <w:jc w:val="both"/>
        <w:rPr>
          <w:rFonts w:ascii="Times New Roman" w:eastAsia="Times New Roman" w:hAnsi="Times New Roman" w:cs="Times New Roman"/>
          <w:bCs/>
        </w:rPr>
      </w:pPr>
      <w:r>
        <w:rPr>
          <w:rFonts w:ascii="Times New Roman" w:eastAsia="Times New Roman" w:hAnsi="Times New Roman" w:cs="Times New Roman"/>
          <w:b/>
          <w:bCs/>
        </w:rPr>
        <w:t>Autonómiája és felelőssége:</w:t>
      </w:r>
      <w:r>
        <w:rPr>
          <w:rFonts w:ascii="Times New Roman" w:eastAsia="Times New Roman" w:hAnsi="Times New Roman" w:cs="Times New Roman"/>
          <w:bCs/>
        </w:rPr>
        <w:t xml:space="preserve"> </w:t>
      </w:r>
    </w:p>
    <w:p w:rsidR="00276952" w:rsidRDefault="00276952" w:rsidP="00980876">
      <w:pPr>
        <w:pStyle w:val="Listaszerbekezds"/>
        <w:widowControl w:val="0"/>
        <w:numPr>
          <w:ilvl w:val="0"/>
          <w:numId w:val="189"/>
        </w:numPr>
        <w:spacing w:before="120" w:after="120" w:line="240" w:lineRule="auto"/>
        <w:ind w:hanging="219"/>
        <w:jc w:val="both"/>
        <w:rPr>
          <w:rFonts w:ascii="Times New Roman" w:eastAsia="Times New Roman" w:hAnsi="Times New Roman" w:cs="Times New Roman"/>
          <w:bCs/>
        </w:rPr>
      </w:pPr>
      <w:r>
        <w:rPr>
          <w:rFonts w:ascii="Times New Roman" w:eastAsia="Times New Roman" w:hAnsi="Times New Roman" w:cs="Times New Roman"/>
          <w:bCs/>
          <w:kern w:val="2"/>
        </w:rPr>
        <w:t xml:space="preserve">Az alegység, illetve egység szintű katonai logisztikai, valamint katonai gazdálkodási </w:t>
      </w:r>
      <w:r>
        <w:rPr>
          <w:rFonts w:ascii="Times New Roman" w:eastAsia="Times New Roman" w:hAnsi="Times New Roman" w:cs="Times New Roman"/>
          <w:bCs/>
          <w:kern w:val="2"/>
        </w:rPr>
        <w:lastRenderedPageBreak/>
        <w:t>folyamatokban képes önállóan döntéseket hozni, azokat felelősséggel, a jogszabályi keretek figyelembevételével végrehajtani</w:t>
      </w:r>
      <w:r>
        <w:rPr>
          <w:rFonts w:ascii="Times New Roman" w:eastAsia="Times New Roman" w:hAnsi="Times New Roman" w:cs="Times New Roman"/>
          <w:bCs/>
        </w:rPr>
        <w:t>.</w:t>
      </w:r>
    </w:p>
    <w:p w:rsidR="00276952" w:rsidRDefault="00276952" w:rsidP="00276952">
      <w:pPr>
        <w:widowControl w:val="0"/>
        <w:spacing w:before="120" w:after="120" w:line="240" w:lineRule="auto"/>
        <w:ind w:left="426"/>
        <w:jc w:val="both"/>
        <w:rPr>
          <w:rFonts w:ascii="Times New Roman" w:eastAsia="Times New Roman" w:hAnsi="Times New Roman" w:cs="Times New Roman"/>
          <w:b/>
          <w:bCs/>
          <w:lang w:val="en-US"/>
        </w:rPr>
      </w:pPr>
      <w:r>
        <w:rPr>
          <w:rFonts w:ascii="Times New Roman" w:eastAsia="Times New Roman" w:hAnsi="Times New Roman" w:cs="Times New Roman"/>
          <w:b/>
          <w:bCs/>
        </w:rPr>
        <w:t>Elérendő kompetenciák (angolul) (</w:t>
      </w:r>
      <w:r>
        <w:rPr>
          <w:rFonts w:ascii="Times New Roman" w:eastAsia="Times New Roman" w:hAnsi="Times New Roman" w:cs="Times New Roman"/>
          <w:b/>
          <w:bCs/>
          <w:lang w:val="en-US"/>
        </w:rPr>
        <w:t xml:space="preserve">Competences – English): </w:t>
      </w:r>
    </w:p>
    <w:p w:rsidR="00276952" w:rsidRDefault="00276952" w:rsidP="00276952">
      <w:pPr>
        <w:widowControl w:val="0"/>
        <w:spacing w:before="120" w:after="120" w:line="240" w:lineRule="auto"/>
        <w:ind w:left="426"/>
        <w:jc w:val="both"/>
      </w:pPr>
      <w:r>
        <w:rPr>
          <w:rFonts w:ascii="Times New Roman" w:eastAsia="Times New Roman" w:hAnsi="Times New Roman" w:cs="Times New Roman"/>
          <w:b/>
          <w:lang w:val="en-GB"/>
        </w:rPr>
        <w:t>Knowledge</w:t>
      </w:r>
      <w:r>
        <w:rPr>
          <w:rFonts w:ascii="Times New Roman" w:eastAsia="Times New Roman" w:hAnsi="Times New Roman" w:cs="Times New Roman"/>
          <w:lang w:val="en-GB"/>
        </w:rPr>
        <w:t>:</w:t>
      </w:r>
      <w:r>
        <w:rPr>
          <w:lang w:val="en-GB"/>
        </w:rPr>
        <w:t xml:space="preserve"> </w:t>
      </w:r>
    </w:p>
    <w:p w:rsidR="00276952" w:rsidRDefault="00276952" w:rsidP="00980876">
      <w:pPr>
        <w:pStyle w:val="Listaszerbekezds"/>
        <w:widowControl w:val="0"/>
        <w:numPr>
          <w:ilvl w:val="0"/>
          <w:numId w:val="189"/>
        </w:numPr>
        <w:spacing w:before="120" w:after="120" w:line="240" w:lineRule="auto"/>
        <w:ind w:hanging="219"/>
        <w:jc w:val="both"/>
        <w:rPr>
          <w:rFonts w:ascii="Times New Roman" w:eastAsia="Times New Roman" w:hAnsi="Times New Roman" w:cs="Times New Roman"/>
          <w:lang w:val="en-GB"/>
        </w:rPr>
      </w:pPr>
      <w:r>
        <w:rPr>
          <w:rFonts w:ascii="Times New Roman" w:eastAsia="Times New Roman" w:hAnsi="Times New Roman" w:cs="Times New Roman"/>
          <w:lang w:val="en-GB"/>
        </w:rPr>
        <w:t>The student knows the basics of the operation of the economy and the markets, the system of relations between the national economy and the defense sector, the regularities of the operation of the military industry.</w:t>
      </w:r>
    </w:p>
    <w:p w:rsidR="00276952" w:rsidRDefault="00276952" w:rsidP="00276952">
      <w:pPr>
        <w:widowControl w:val="0"/>
        <w:spacing w:before="120" w:after="120" w:line="240" w:lineRule="auto"/>
        <w:ind w:left="426"/>
        <w:jc w:val="both"/>
        <w:rPr>
          <w:rFonts w:ascii="Times New Roman" w:eastAsia="Times New Roman" w:hAnsi="Times New Roman" w:cs="Times New Roman"/>
          <w:b/>
          <w:lang w:val="en-GB"/>
        </w:rPr>
      </w:pPr>
      <w:r>
        <w:rPr>
          <w:rFonts w:ascii="Times New Roman" w:eastAsia="Times New Roman" w:hAnsi="Times New Roman" w:cs="Times New Roman"/>
          <w:b/>
          <w:lang w:val="en-GB"/>
        </w:rPr>
        <w:t xml:space="preserve">Capabilities: </w:t>
      </w:r>
    </w:p>
    <w:p w:rsidR="00276952" w:rsidRDefault="00276952" w:rsidP="00980876">
      <w:pPr>
        <w:pStyle w:val="Listaszerbekezds"/>
        <w:widowControl w:val="0"/>
        <w:numPr>
          <w:ilvl w:val="0"/>
          <w:numId w:val="189"/>
        </w:numPr>
        <w:spacing w:before="120" w:after="120" w:line="240" w:lineRule="auto"/>
        <w:ind w:hanging="219"/>
        <w:jc w:val="both"/>
        <w:rPr>
          <w:rFonts w:ascii="Times New Roman" w:eastAsia="Times New Roman" w:hAnsi="Times New Roman" w:cs="Times New Roman"/>
          <w:b/>
          <w:lang w:val="en-GB"/>
        </w:rPr>
      </w:pPr>
      <w:r>
        <w:rPr>
          <w:rFonts w:ascii="Times New Roman" w:eastAsia="Times New Roman" w:hAnsi="Times New Roman" w:cs="Times New Roman"/>
          <w:lang w:val="en-GB"/>
        </w:rPr>
        <w:t>He / she is able to interpret the relationships between the logistics processes and the logistics system of the Hungarian Defense Forces and to pass them on to subordinates.</w:t>
      </w:r>
    </w:p>
    <w:p w:rsidR="00276952" w:rsidRDefault="00276952" w:rsidP="002769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lang w:val="en-GB"/>
        </w:rPr>
      </w:pPr>
      <w:r>
        <w:rPr>
          <w:rFonts w:ascii="Times New Roman" w:eastAsia="Times New Roman" w:hAnsi="Times New Roman" w:cs="Times New Roman"/>
          <w:b/>
          <w:lang w:val="en-GB"/>
        </w:rPr>
        <w:t>Attitude:</w:t>
      </w:r>
      <w:r>
        <w:rPr>
          <w:rFonts w:ascii="Times New Roman" w:eastAsia="Times New Roman" w:hAnsi="Times New Roman" w:cs="Times New Roman"/>
          <w:lang w:val="en-GB"/>
        </w:rPr>
        <w:t xml:space="preserve"> </w:t>
      </w:r>
    </w:p>
    <w:p w:rsidR="00276952" w:rsidRDefault="00276952" w:rsidP="00980876">
      <w:pPr>
        <w:pStyle w:val="Listaszerbekezds"/>
        <w:widowControl w:val="0"/>
        <w:numPr>
          <w:ilvl w:val="0"/>
          <w:numId w:val="189"/>
        </w:numPr>
        <w:spacing w:before="120" w:after="120" w:line="240" w:lineRule="auto"/>
        <w:ind w:hanging="219"/>
        <w:jc w:val="both"/>
        <w:rPr>
          <w:rFonts w:ascii="Times New Roman" w:eastAsia="Times New Roman" w:hAnsi="Times New Roman" w:cs="Times New Roman"/>
          <w:lang w:val="en-GB"/>
        </w:rPr>
      </w:pPr>
      <w:r>
        <w:rPr>
          <w:rFonts w:ascii="Times New Roman" w:eastAsia="Times New Roman" w:hAnsi="Times New Roman" w:cs="Times New Roman"/>
          <w:lang w:val="en-GB"/>
        </w:rPr>
        <w:t>Recognizes the intrinsic value of systemic activities, seeks to understand the relationships between logistics activities.</w:t>
      </w:r>
    </w:p>
    <w:p w:rsidR="00276952" w:rsidRDefault="00276952" w:rsidP="00276952">
      <w:pPr>
        <w:widowControl w:val="0"/>
        <w:spacing w:before="120" w:after="120" w:line="240" w:lineRule="auto"/>
        <w:ind w:left="426"/>
        <w:jc w:val="both"/>
        <w:rPr>
          <w:rFonts w:ascii="Times New Roman" w:eastAsia="Times New Roman" w:hAnsi="Times New Roman" w:cs="Times New Roman"/>
          <w:b/>
          <w:lang w:val="en-GB"/>
        </w:rPr>
      </w:pPr>
      <w:r>
        <w:rPr>
          <w:rFonts w:ascii="Times New Roman" w:eastAsia="Times New Roman" w:hAnsi="Times New Roman" w:cs="Times New Roman"/>
          <w:b/>
          <w:lang w:val="en-GB"/>
        </w:rPr>
        <w:t>Autonomy and responsibility:</w:t>
      </w:r>
    </w:p>
    <w:p w:rsidR="00276952" w:rsidRDefault="00276952" w:rsidP="00980876">
      <w:pPr>
        <w:pStyle w:val="Listaszerbekezds"/>
        <w:widowControl w:val="0"/>
        <w:numPr>
          <w:ilvl w:val="0"/>
          <w:numId w:val="189"/>
        </w:numPr>
        <w:spacing w:before="120" w:after="120" w:line="240" w:lineRule="auto"/>
        <w:ind w:hanging="219"/>
        <w:jc w:val="both"/>
        <w:rPr>
          <w:rFonts w:ascii="Times New Roman" w:eastAsia="Times New Roman" w:hAnsi="Times New Roman" w:cs="Times New Roman"/>
          <w:lang w:val="en-GB"/>
        </w:rPr>
      </w:pPr>
      <w:r>
        <w:rPr>
          <w:lang w:val="en-GB"/>
        </w:rPr>
        <w:t xml:space="preserve"> </w:t>
      </w:r>
      <w:r>
        <w:rPr>
          <w:rFonts w:ascii="Times New Roman" w:eastAsia="Times New Roman" w:hAnsi="Times New Roman" w:cs="Times New Roman"/>
          <w:lang w:val="en-GB"/>
        </w:rPr>
        <w:t>He / she is able to make decisions in sub-unit and unit-level military logistics and military management processes, with responsibility and within the legal framework</w:t>
      </w:r>
    </w:p>
    <w:p w:rsidR="00276952" w:rsidRDefault="00276952" w:rsidP="00276952">
      <w:pPr>
        <w:pStyle w:val="Listaszerbekezds"/>
        <w:widowControl w:val="0"/>
        <w:spacing w:before="120" w:after="120" w:line="240" w:lineRule="auto"/>
        <w:ind w:left="786"/>
        <w:jc w:val="both"/>
        <w:rPr>
          <w:rFonts w:ascii="Times New Roman" w:eastAsia="Times New Roman" w:hAnsi="Times New Roman" w:cs="Times New Roman"/>
          <w:lang w:val="en-GB"/>
        </w:rPr>
      </w:pPr>
    </w:p>
    <w:p w:rsidR="00276952" w:rsidRDefault="00276952" w:rsidP="00980876">
      <w:pPr>
        <w:pStyle w:val="Listaszerbekezds"/>
        <w:widowControl w:val="0"/>
        <w:numPr>
          <w:ilvl w:val="0"/>
          <w:numId w:val="190"/>
        </w:numPr>
        <w:tabs>
          <w:tab w:val="clear" w:pos="720"/>
          <w:tab w:val="num" w:pos="501"/>
        </w:tabs>
        <w:spacing w:before="120" w:after="120" w:line="240" w:lineRule="auto"/>
        <w:ind w:left="501"/>
        <w:jc w:val="both"/>
        <w:rPr>
          <w:rFonts w:ascii="Times New Roman" w:eastAsia="Times New Roman" w:hAnsi="Times New Roman" w:cs="Times New Roman"/>
          <w:lang w:val="en-GB"/>
        </w:rPr>
      </w:pPr>
      <w:r>
        <w:rPr>
          <w:rFonts w:ascii="Times New Roman" w:eastAsia="Times New Roman" w:hAnsi="Times New Roman" w:cs="Times New Roman"/>
          <w:b/>
          <w:lang w:val="en-GB"/>
        </w:rPr>
        <w:t>Előtanulmányi követelmények</w:t>
      </w:r>
      <w:r>
        <w:rPr>
          <w:rFonts w:ascii="Times New Roman" w:eastAsia="Times New Roman" w:hAnsi="Times New Roman" w:cs="Times New Roman"/>
          <w:b/>
          <w:bCs/>
        </w:rPr>
        <w:t xml:space="preserve">: </w:t>
      </w:r>
      <w:r>
        <w:rPr>
          <w:rFonts w:ascii="Times New Roman" w:eastAsia="Times New Roman" w:hAnsi="Times New Roman" w:cs="Times New Roman"/>
          <w:bCs/>
        </w:rPr>
        <w:t>Pénzügyek I. (Alapok) HKHPKA501</w:t>
      </w:r>
    </w:p>
    <w:p w:rsidR="00276952" w:rsidRDefault="00276952" w:rsidP="00276952">
      <w:pPr>
        <w:pStyle w:val="Listaszerbekezds"/>
        <w:widowControl w:val="0"/>
        <w:spacing w:before="120" w:after="120" w:line="240" w:lineRule="auto"/>
        <w:ind w:left="501"/>
        <w:jc w:val="both"/>
        <w:rPr>
          <w:rFonts w:ascii="Times New Roman" w:eastAsia="Times New Roman" w:hAnsi="Times New Roman" w:cs="Times New Roman"/>
          <w:lang w:val="en-GB"/>
        </w:rPr>
      </w:pPr>
    </w:p>
    <w:p w:rsidR="00276952" w:rsidRDefault="00276952" w:rsidP="00980876">
      <w:pPr>
        <w:pStyle w:val="Listaszerbekezds"/>
        <w:widowControl w:val="0"/>
        <w:numPr>
          <w:ilvl w:val="0"/>
          <w:numId w:val="190"/>
        </w:numPr>
        <w:tabs>
          <w:tab w:val="clear" w:pos="720"/>
          <w:tab w:val="num" w:pos="501"/>
        </w:tabs>
        <w:spacing w:before="120" w:after="120" w:line="240" w:lineRule="auto"/>
        <w:ind w:left="501"/>
        <w:jc w:val="both"/>
        <w:rPr>
          <w:rFonts w:ascii="Times New Roman" w:eastAsia="Times New Roman" w:hAnsi="Times New Roman" w:cs="Times New Roman"/>
          <w:lang w:val="en-GB"/>
        </w:rPr>
      </w:pPr>
      <w:r>
        <w:rPr>
          <w:rFonts w:ascii="Times New Roman" w:eastAsia="Times New Roman" w:hAnsi="Times New Roman" w:cs="Times New Roman"/>
          <w:b/>
          <w:bCs/>
        </w:rPr>
        <w:t>A tantárgy tananyagának leírása, tematika. Description of the subject, curriculum (magyarul, angolul - English):</w:t>
      </w:r>
    </w:p>
    <w:p w:rsidR="00276952" w:rsidRDefault="00276952" w:rsidP="00980876">
      <w:pPr>
        <w:widowControl w:val="0"/>
        <w:numPr>
          <w:ilvl w:val="1"/>
          <w:numId w:val="190"/>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Az államháztartás alapfogalmai, alapelvei, rendszere, szerkezete. A központi és az önkormányzati alrendszer feladatai, gazdálkodásuk és finanszírozásuk rendje. </w:t>
      </w:r>
      <w:r>
        <w:rPr>
          <w:rFonts w:ascii="Times New Roman" w:eastAsia="Times New Roman" w:hAnsi="Times New Roman" w:cs="Times New Roman"/>
          <w:i/>
          <w:kern w:val="2"/>
        </w:rPr>
        <w:t>(Basic concepts, principles, system, structure of public finance. Tasks of the central and local government subsystems, the order of their management and financing.)</w:t>
      </w:r>
    </w:p>
    <w:p w:rsidR="00276952" w:rsidRDefault="00276952" w:rsidP="00980876">
      <w:pPr>
        <w:widowControl w:val="0"/>
        <w:numPr>
          <w:ilvl w:val="1"/>
          <w:numId w:val="190"/>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Az állami költségvetés bevételei és kiadásai, egyenlege; a költségvetési hiány az államadósság fogalma és kezelése; a költségvetés tervezésének, végrehajtásának folyamata, hatáskörök. </w:t>
      </w:r>
      <w:r>
        <w:rPr>
          <w:rFonts w:ascii="Times New Roman" w:eastAsia="Times New Roman" w:hAnsi="Times New Roman" w:cs="Times New Roman"/>
          <w:i/>
          <w:kern w:val="2"/>
        </w:rPr>
        <w:t>(State budget revenue and expenditure, balance; budget deficit; the concept and management of public debt; budget planning and implementation process, powers)</w:t>
      </w:r>
    </w:p>
    <w:p w:rsidR="00276952" w:rsidRDefault="00276952" w:rsidP="00980876">
      <w:pPr>
        <w:widowControl w:val="0"/>
        <w:numPr>
          <w:ilvl w:val="1"/>
          <w:numId w:val="190"/>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Az államháztartás működésének finanszírozása: a Magyar Államkincstár feladatai, számlavezetés, előirányzat felhasználási keretek biztosítása, ellenőrzése. </w:t>
      </w:r>
      <w:r>
        <w:rPr>
          <w:rFonts w:ascii="Times New Roman" w:eastAsia="Times New Roman" w:hAnsi="Times New Roman" w:cs="Times New Roman"/>
          <w:i/>
          <w:kern w:val="2"/>
        </w:rPr>
        <w:t>(Financing the operation of public finances: tasks of the Hungarian State Treasury, keeping accounts, ensuring and controlling the use of appropriations.)</w:t>
      </w:r>
    </w:p>
    <w:p w:rsidR="00276952" w:rsidRDefault="00276952" w:rsidP="00980876">
      <w:pPr>
        <w:widowControl w:val="0"/>
        <w:numPr>
          <w:ilvl w:val="1"/>
          <w:numId w:val="190"/>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A költségvetési előirányzatokkal való gazdálkodás (tervezés, felhasználás, beszámolás) szabályai, feladatai</w:t>
      </w:r>
      <w:r>
        <w:rPr>
          <w:rFonts w:ascii="Times New Roman" w:eastAsia="Times New Roman" w:hAnsi="Times New Roman" w:cs="Times New Roman"/>
          <w:i/>
          <w:kern w:val="2"/>
        </w:rPr>
        <w:t>. (Rules and tasks of management of budget appropriations (planning, utilization, reporting))</w:t>
      </w:r>
    </w:p>
    <w:p w:rsidR="00276952" w:rsidRDefault="00276952" w:rsidP="00980876">
      <w:pPr>
        <w:widowControl w:val="0"/>
        <w:numPr>
          <w:ilvl w:val="1"/>
          <w:numId w:val="190"/>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 költségvetési szervek fogalma, és feladatai, típusai, alapításuk, megszüntetésük. A költségvetési szervek vezetőinek, gazdasági szervezetének feladatai, és felelőssége. </w:t>
      </w:r>
      <w:r>
        <w:rPr>
          <w:rFonts w:ascii="Times New Roman" w:eastAsia="Times New Roman" w:hAnsi="Times New Roman" w:cs="Times New Roman"/>
          <w:i/>
          <w:kern w:val="2"/>
        </w:rPr>
        <w:t>(The concept of budgetary organs, their tasks, types, their establishment and dissolution. Duties and responsibilities of the heads of budgetary institutions, their economic organization.)</w:t>
      </w:r>
    </w:p>
    <w:p w:rsidR="00276952" w:rsidRDefault="00276952" w:rsidP="00980876">
      <w:pPr>
        <w:widowControl w:val="0"/>
        <w:numPr>
          <w:ilvl w:val="1"/>
          <w:numId w:val="190"/>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 katonai gazdálkodás alapfogalmai, a védelmi kiadások helye az államháztartás rendszerében. </w:t>
      </w:r>
      <w:r>
        <w:rPr>
          <w:rFonts w:ascii="Times New Roman" w:eastAsia="Times New Roman" w:hAnsi="Times New Roman" w:cs="Times New Roman"/>
          <w:i/>
          <w:kern w:val="2"/>
        </w:rPr>
        <w:t>(Basic concepts of military management, place of defense expenditures in the system of public finances.)</w:t>
      </w:r>
    </w:p>
    <w:p w:rsidR="00276952" w:rsidRDefault="00276952" w:rsidP="00980876">
      <w:pPr>
        <w:widowControl w:val="0"/>
        <w:numPr>
          <w:ilvl w:val="1"/>
          <w:numId w:val="190"/>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 HM fejezet költségvetési gazdálkodása, annak sajátosságai. </w:t>
      </w:r>
      <w:r>
        <w:rPr>
          <w:rFonts w:ascii="Times New Roman" w:eastAsia="Times New Roman" w:hAnsi="Times New Roman" w:cs="Times New Roman"/>
          <w:i/>
          <w:kern w:val="2"/>
        </w:rPr>
        <w:t>(Budgetary management of the MoD chapter, its peculiarities.)</w:t>
      </w:r>
    </w:p>
    <w:p w:rsidR="00276952" w:rsidRDefault="00276952" w:rsidP="00980876">
      <w:pPr>
        <w:widowControl w:val="0"/>
        <w:numPr>
          <w:ilvl w:val="1"/>
          <w:numId w:val="190"/>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 Magyar Honvédség gazdálkodásának szervezete, tagozódása, központi és intézményi gazdálkodás. </w:t>
      </w:r>
      <w:r>
        <w:rPr>
          <w:rFonts w:ascii="Times New Roman" w:eastAsia="Times New Roman" w:hAnsi="Times New Roman" w:cs="Times New Roman"/>
          <w:i/>
          <w:kern w:val="2"/>
        </w:rPr>
        <w:t xml:space="preserve">(Organization, division, central and institutional management of the </w:t>
      </w:r>
      <w:r>
        <w:rPr>
          <w:rFonts w:ascii="Times New Roman" w:eastAsia="Times New Roman" w:hAnsi="Times New Roman" w:cs="Times New Roman"/>
          <w:i/>
          <w:kern w:val="2"/>
        </w:rPr>
        <w:lastRenderedPageBreak/>
        <w:t>Hungarian Defense Forces)</w:t>
      </w:r>
    </w:p>
    <w:p w:rsidR="00276952" w:rsidRDefault="00276952" w:rsidP="00980876">
      <w:pPr>
        <w:pStyle w:val="Listaszerbekezds"/>
        <w:widowControl w:val="0"/>
        <w:numPr>
          <w:ilvl w:val="0"/>
          <w:numId w:val="190"/>
        </w:numPr>
        <w:tabs>
          <w:tab w:val="clear" w:pos="720"/>
          <w:tab w:val="num" w:pos="501"/>
          <w:tab w:val="left" w:pos="709"/>
          <w:tab w:val="left" w:pos="993"/>
        </w:tabs>
        <w:spacing w:before="120" w:after="120" w:line="240" w:lineRule="auto"/>
        <w:ind w:left="501"/>
        <w:jc w:val="both"/>
        <w:rPr>
          <w:rFonts w:ascii="Times New Roman" w:eastAsia="Times New Roman" w:hAnsi="Times New Roman" w:cs="Times New Roman"/>
          <w:bCs/>
        </w:rPr>
      </w:pPr>
      <w:r>
        <w:rPr>
          <w:rFonts w:ascii="Times New Roman" w:eastAsia="Times New Roman" w:hAnsi="Times New Roman" w:cs="Times New Roman"/>
          <w:b/>
          <w:bCs/>
        </w:rPr>
        <w:t xml:space="preserve">A tantárgy meghirdetésének gyakorisága/a tantervben történő félévi elhelyezkedése: </w:t>
      </w:r>
      <w:r>
        <w:rPr>
          <w:rFonts w:ascii="Times New Roman" w:eastAsia="Times New Roman" w:hAnsi="Times New Roman" w:cs="Times New Roman"/>
          <w:bCs/>
        </w:rPr>
        <w:t>a tanév 1. (őszi) félévében.</w:t>
      </w:r>
    </w:p>
    <w:p w:rsidR="00276952" w:rsidRDefault="00276952" w:rsidP="00980876">
      <w:pPr>
        <w:widowControl w:val="0"/>
        <w:numPr>
          <w:ilvl w:val="0"/>
          <w:numId w:val="190"/>
        </w:numPr>
        <w:tabs>
          <w:tab w:val="clear" w:pos="720"/>
          <w:tab w:val="num" w:pos="501"/>
        </w:tabs>
        <w:spacing w:before="120" w:after="120" w:line="240" w:lineRule="auto"/>
        <w:ind w:left="501"/>
        <w:jc w:val="both"/>
        <w:rPr>
          <w:rFonts w:ascii="Times New Roman" w:eastAsia="Times New Roman" w:hAnsi="Times New Roman" w:cs="Times New Roman"/>
          <w:bCs/>
        </w:rPr>
      </w:pPr>
      <w:r>
        <w:rPr>
          <w:rFonts w:ascii="Times New Roman" w:eastAsia="Times New Roman" w:hAnsi="Times New Roman" w:cs="Times New Roman"/>
          <w:b/>
          <w:bCs/>
        </w:rPr>
        <w:t>A tanórákon való részvétel követelményei, az elfogadható hiányzások mértéke, a távolmaradás pótlásának lehetősége:</w:t>
      </w:r>
      <w:r>
        <w:rPr>
          <w:rFonts w:ascii="Times New Roman" w:eastAsia="Times New Roman" w:hAnsi="Times New Roman" w:cs="Times New Roman"/>
          <w:bCs/>
        </w:rPr>
        <w:t xml:space="preserve"> a tanórákon való jelenlét kötelező, az elfogadható és igazolt hiányzások száma maximum a tanórák 30%-áig terjedhet, az ismeretek pótlásáról a hallgató gondoskodik. A hiányzások elfogadható mértékének túllépése az aláírás megtagadását vonja maga után.</w:t>
      </w:r>
    </w:p>
    <w:p w:rsidR="00276952" w:rsidRDefault="00276952" w:rsidP="00980876">
      <w:pPr>
        <w:widowControl w:val="0"/>
        <w:numPr>
          <w:ilvl w:val="0"/>
          <w:numId w:val="190"/>
        </w:numPr>
        <w:tabs>
          <w:tab w:val="clear" w:pos="720"/>
          <w:tab w:val="num" w:pos="501"/>
        </w:tabs>
        <w:spacing w:before="120" w:after="120" w:line="240" w:lineRule="auto"/>
        <w:ind w:left="501"/>
        <w:jc w:val="both"/>
        <w:rPr>
          <w:rFonts w:ascii="Times New Roman" w:eastAsia="Times New Roman" w:hAnsi="Times New Roman" w:cs="Times New Roman"/>
          <w:bCs/>
        </w:rPr>
      </w:pPr>
      <w:r>
        <w:rPr>
          <w:rFonts w:ascii="Times New Roman" w:eastAsia="Times New Roman" w:hAnsi="Times New Roman" w:cs="Times New Roman"/>
          <w:b/>
        </w:rPr>
        <w:t>Félévközi feladatok, ismeretek ellenőrzésének rendje:</w:t>
      </w:r>
      <w:r>
        <w:rPr>
          <w:rFonts w:ascii="Times New Roman" w:eastAsia="Times New Roman" w:hAnsi="Times New Roman" w:cs="Times New Roman"/>
        </w:rPr>
        <w:t xml:space="preserve"> A hallgató a félév során egy zárthelyi dolgozatot ír. A zárthelyi dolgozatok értékelése ötfokozatú skála alapján történik (50 %-tól elégséges, 65 %-tól közepes, 75-tól % jó, 85 %-tól jeles). A zárthelyi dolgozat egyszer pótolható, illetve sikertelensége esetén javítható.</w:t>
      </w:r>
    </w:p>
    <w:p w:rsidR="00276952" w:rsidRDefault="00276952" w:rsidP="00980876">
      <w:pPr>
        <w:widowControl w:val="0"/>
        <w:numPr>
          <w:ilvl w:val="0"/>
          <w:numId w:val="190"/>
        </w:numPr>
        <w:tabs>
          <w:tab w:val="clear" w:pos="720"/>
          <w:tab w:val="num" w:pos="501"/>
        </w:tabs>
        <w:spacing w:before="120" w:after="120" w:line="240" w:lineRule="auto"/>
        <w:ind w:left="426" w:hanging="284"/>
        <w:jc w:val="both"/>
        <w:rPr>
          <w:rFonts w:ascii="Times New Roman" w:eastAsia="Times New Roman" w:hAnsi="Times New Roman" w:cs="Times New Roman"/>
          <w:b/>
          <w:bCs/>
        </w:rPr>
      </w:pPr>
      <w:r>
        <w:rPr>
          <w:rFonts w:ascii="Times New Roman" w:eastAsia="Times New Roman" w:hAnsi="Times New Roman" w:cs="Times New Roman"/>
          <w:b/>
          <w:bCs/>
        </w:rPr>
        <w:t xml:space="preserve">Az értékelés, az aláírás és a kreditek megszerzésének pontos feltételei: </w:t>
      </w:r>
    </w:p>
    <w:p w:rsidR="00276952" w:rsidRDefault="00276952" w:rsidP="00980876">
      <w:pPr>
        <w:widowControl w:val="0"/>
        <w:numPr>
          <w:ilvl w:val="1"/>
          <w:numId w:val="190"/>
        </w:numPr>
        <w:tabs>
          <w:tab w:val="clear" w:pos="3977"/>
          <w:tab w:val="left" w:pos="709"/>
          <w:tab w:val="num" w:pos="780"/>
          <w:tab w:val="left" w:pos="993"/>
          <w:tab w:val="num" w:pos="2069"/>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Az aláírás megszerzésének feltételei:</w:t>
      </w:r>
      <w:r>
        <w:rPr>
          <w:rFonts w:ascii="Times New Roman" w:eastAsia="Times New Roman" w:hAnsi="Times New Roman" w:cs="Times New Roman"/>
        </w:rPr>
        <w:t xml:space="preserve"> Az aláírás megszerzésének feltétele a 14. pontban meghatározott arányú részvétel a foglalkozásokon és a 15. pontban meghatározott félévközi feladatok legalább elégséges teljesítése.</w:t>
      </w:r>
    </w:p>
    <w:p w:rsidR="00276952" w:rsidRDefault="00276952" w:rsidP="00980876">
      <w:pPr>
        <w:widowControl w:val="0"/>
        <w:numPr>
          <w:ilvl w:val="1"/>
          <w:numId w:val="190"/>
        </w:numPr>
        <w:tabs>
          <w:tab w:val="clear" w:pos="3977"/>
          <w:tab w:val="left" w:pos="709"/>
          <w:tab w:val="num" w:pos="780"/>
          <w:tab w:val="left" w:pos="993"/>
          <w:tab w:val="num" w:pos="2069"/>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Az értékelés:</w:t>
      </w:r>
      <w:r>
        <w:rPr>
          <w:rFonts w:ascii="Times New Roman" w:eastAsia="Times New Roman" w:hAnsi="Times New Roman" w:cs="Times New Roman"/>
        </w:rPr>
        <w:t xml:space="preserve"> Kollokvium– szóbeli vizsga. A Tanszék beszámoló felkészülési kérdéseket ad ki. A vizsga tartalmát az előadáson elhangzottak és az alább felsorolt kötelező és ajánlott irodalmak anyagai képezik.</w:t>
      </w:r>
    </w:p>
    <w:p w:rsidR="00276952" w:rsidRDefault="00276952" w:rsidP="00980876">
      <w:pPr>
        <w:widowControl w:val="0"/>
        <w:numPr>
          <w:ilvl w:val="1"/>
          <w:numId w:val="190"/>
        </w:numPr>
        <w:tabs>
          <w:tab w:val="clear" w:pos="3977"/>
          <w:tab w:val="left" w:pos="709"/>
          <w:tab w:val="num" w:pos="780"/>
          <w:tab w:val="left" w:pos="993"/>
          <w:tab w:val="num" w:pos="2069"/>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 kreditek megszerzésének feltételei:</w:t>
      </w:r>
      <w:r>
        <w:rPr>
          <w:rFonts w:ascii="Times New Roman" w:eastAsia="Times New Roman" w:hAnsi="Times New Roman" w:cs="Times New Roman"/>
        </w:rPr>
        <w:t xml:space="preserve"> A kreditek megszerzésének feltétele az aláírás megszerzése és legalább elégséges kollokviumi jegy.</w:t>
      </w:r>
    </w:p>
    <w:p w:rsidR="00276952" w:rsidRDefault="00276952" w:rsidP="00980876">
      <w:pPr>
        <w:widowControl w:val="0"/>
        <w:numPr>
          <w:ilvl w:val="0"/>
          <w:numId w:val="190"/>
        </w:numPr>
        <w:tabs>
          <w:tab w:val="clear" w:pos="720"/>
          <w:tab w:val="num" w:pos="360"/>
          <w:tab w:val="num" w:pos="501"/>
        </w:tabs>
        <w:spacing w:before="120" w:after="120" w:line="240" w:lineRule="auto"/>
        <w:ind w:left="426" w:hanging="284"/>
        <w:jc w:val="both"/>
        <w:rPr>
          <w:rFonts w:ascii="Times New Roman" w:eastAsia="Times New Roman" w:hAnsi="Times New Roman" w:cs="Times New Roman"/>
          <w:bCs/>
        </w:rPr>
      </w:pPr>
      <w:r>
        <w:rPr>
          <w:rFonts w:ascii="Times New Roman" w:eastAsia="Times New Roman" w:hAnsi="Times New Roman" w:cs="Times New Roman"/>
          <w:b/>
          <w:bCs/>
        </w:rPr>
        <w:t>Irodalomjegyzék:</w:t>
      </w:r>
    </w:p>
    <w:p w:rsidR="00276952" w:rsidRDefault="00276952" w:rsidP="00980876">
      <w:pPr>
        <w:widowControl w:val="0"/>
        <w:numPr>
          <w:ilvl w:val="1"/>
          <w:numId w:val="190"/>
        </w:numPr>
        <w:tabs>
          <w:tab w:val="clear" w:pos="3977"/>
          <w:tab w:val="num" w:pos="567"/>
          <w:tab w:val="num" w:pos="780"/>
          <w:tab w:val="num" w:pos="2069"/>
        </w:tabs>
        <w:spacing w:before="120" w:after="120" w:line="240" w:lineRule="auto"/>
        <w:ind w:left="993" w:hanging="709"/>
        <w:jc w:val="both"/>
        <w:rPr>
          <w:rFonts w:ascii="Times New Roman" w:eastAsia="Times New Roman" w:hAnsi="Times New Roman" w:cs="Times New Roman"/>
          <w:b/>
          <w:bCs/>
        </w:rPr>
      </w:pPr>
      <w:r>
        <w:rPr>
          <w:rFonts w:ascii="Times New Roman" w:eastAsia="Times New Roman" w:hAnsi="Times New Roman" w:cs="Times New Roman"/>
          <w:b/>
          <w:bCs/>
        </w:rPr>
        <w:t>Kötelező irodalom:</w:t>
      </w:r>
    </w:p>
    <w:p w:rsidR="00276952" w:rsidRDefault="00276952" w:rsidP="00980876">
      <w:pPr>
        <w:pStyle w:val="Listaszerbekezds"/>
        <w:widowControl w:val="0"/>
        <w:numPr>
          <w:ilvl w:val="2"/>
          <w:numId w:val="191"/>
        </w:numPr>
        <w:spacing w:before="120" w:after="120" w:line="240" w:lineRule="auto"/>
        <w:ind w:left="993" w:hanging="363"/>
        <w:jc w:val="both"/>
        <w:rPr>
          <w:rFonts w:ascii="Times New Roman" w:eastAsia="Times New Roman" w:hAnsi="Times New Roman" w:cs="Times New Roman"/>
        </w:rPr>
      </w:pPr>
      <w:r>
        <w:rPr>
          <w:rFonts w:ascii="Times New Roman" w:eastAsia="Times New Roman" w:hAnsi="Times New Roman" w:cs="Times New Roman"/>
        </w:rPr>
        <w:t>Koháriné dr. Papp Edit: Államháztartási ismeretek (PR-312/11, Perfekt K.)</w:t>
      </w:r>
    </w:p>
    <w:p w:rsidR="00A30EA9" w:rsidRPr="00A30EA9" w:rsidRDefault="00A30EA9" w:rsidP="00980876">
      <w:pPr>
        <w:pStyle w:val="Listaszerbekezds"/>
        <w:widowControl w:val="0"/>
        <w:numPr>
          <w:ilvl w:val="2"/>
          <w:numId w:val="191"/>
        </w:numPr>
        <w:spacing w:before="120" w:after="120" w:line="240" w:lineRule="auto"/>
        <w:ind w:left="993" w:hanging="363"/>
        <w:jc w:val="both"/>
        <w:rPr>
          <w:rFonts w:ascii="Times New Roman" w:eastAsia="Times New Roman" w:hAnsi="Times New Roman" w:cs="Times New Roman"/>
          <w:highlight w:val="yellow"/>
        </w:rPr>
      </w:pPr>
      <w:r w:rsidRPr="00A30EA9">
        <w:rPr>
          <w:rFonts w:ascii="Times New Roman" w:eastAsia="Times New Roman" w:hAnsi="Times New Roman" w:cs="Times New Roman"/>
          <w:highlight w:val="yellow"/>
        </w:rPr>
        <w:t>Kolozsi Pál Péter: Közpénzügyek és államháztartás (Dialóg Campus Kiadó, Budapest 2017) p.104, ISBN 978-615-5764-12-7 (elektronikus)</w:t>
      </w:r>
    </w:p>
    <w:p w:rsidR="004E0714" w:rsidRPr="00453026" w:rsidRDefault="004E0714" w:rsidP="00980876">
      <w:pPr>
        <w:pStyle w:val="Listaszerbekezds"/>
        <w:widowControl w:val="0"/>
        <w:numPr>
          <w:ilvl w:val="2"/>
          <w:numId w:val="191"/>
        </w:numPr>
        <w:spacing w:before="120" w:after="120" w:line="240" w:lineRule="auto"/>
        <w:ind w:left="993" w:hanging="363"/>
        <w:jc w:val="both"/>
        <w:rPr>
          <w:rFonts w:ascii="Times New Roman" w:eastAsia="Times New Roman" w:hAnsi="Times New Roman" w:cs="Times New Roman"/>
          <w:bCs/>
          <w:highlight w:val="yellow"/>
        </w:rPr>
      </w:pPr>
      <w:r w:rsidRPr="00453026">
        <w:rPr>
          <w:rFonts w:ascii="Times New Roman" w:hAnsi="Times New Roman" w:cs="Times New Roman"/>
          <w:bCs/>
          <w:highlight w:val="yellow"/>
        </w:rPr>
        <w:t xml:space="preserve">Hatályos </w:t>
      </w:r>
      <w:r w:rsidRPr="00453026">
        <w:rPr>
          <w:rFonts w:ascii="Times New Roman" w:eastAsia="Times New Roman" w:hAnsi="Times New Roman" w:cs="Times New Roman"/>
          <w:highlight w:val="yellow"/>
        </w:rPr>
        <w:t>szakterületi</w:t>
      </w:r>
      <w:r w:rsidRPr="00453026">
        <w:rPr>
          <w:rFonts w:ascii="Times New Roman" w:hAnsi="Times New Roman" w:cs="Times New Roman"/>
          <w:bCs/>
          <w:highlight w:val="yellow"/>
        </w:rPr>
        <w:t xml:space="preserve"> </w:t>
      </w:r>
      <w:r w:rsidR="00453026">
        <w:rPr>
          <w:rFonts w:ascii="Times New Roman" w:hAnsi="Times New Roman" w:cs="Times New Roman"/>
          <w:bCs/>
          <w:highlight w:val="yellow"/>
        </w:rPr>
        <w:t xml:space="preserve">HM és </w:t>
      </w:r>
      <w:r w:rsidRPr="00453026">
        <w:rPr>
          <w:rFonts w:ascii="Times New Roman" w:hAnsi="Times New Roman" w:cs="Times New Roman"/>
          <w:bCs/>
          <w:highlight w:val="yellow"/>
        </w:rPr>
        <w:t>MH</w:t>
      </w:r>
      <w:r w:rsidR="00453026">
        <w:rPr>
          <w:rFonts w:ascii="Times New Roman" w:hAnsi="Times New Roman" w:cs="Times New Roman"/>
          <w:bCs/>
          <w:highlight w:val="yellow"/>
        </w:rPr>
        <w:t>P</w:t>
      </w:r>
      <w:r w:rsidRPr="00453026">
        <w:rPr>
          <w:rFonts w:ascii="Times New Roman" w:hAnsi="Times New Roman" w:cs="Times New Roman"/>
          <w:bCs/>
          <w:highlight w:val="yellow"/>
        </w:rPr>
        <w:t xml:space="preserve"> </w:t>
      </w:r>
      <w:r w:rsidRPr="00453026">
        <w:rPr>
          <w:rFonts w:ascii="Times New Roman" w:eastAsia="Times New Roman" w:hAnsi="Times New Roman" w:cs="Times New Roman"/>
          <w:bCs/>
          <w:highlight w:val="yellow"/>
        </w:rPr>
        <w:t>szabályzók.</w:t>
      </w:r>
    </w:p>
    <w:p w:rsidR="00276952" w:rsidRDefault="00276952" w:rsidP="00980876">
      <w:pPr>
        <w:widowControl w:val="0"/>
        <w:numPr>
          <w:ilvl w:val="1"/>
          <w:numId w:val="190"/>
        </w:numPr>
        <w:tabs>
          <w:tab w:val="clear" w:pos="3977"/>
          <w:tab w:val="num" w:pos="567"/>
          <w:tab w:val="num" w:pos="780"/>
          <w:tab w:val="num" w:pos="2069"/>
        </w:tabs>
        <w:spacing w:before="120" w:after="120" w:line="240" w:lineRule="auto"/>
        <w:ind w:left="993" w:hanging="709"/>
        <w:jc w:val="both"/>
        <w:rPr>
          <w:rFonts w:ascii="Times New Roman" w:eastAsia="Times New Roman" w:hAnsi="Times New Roman" w:cs="Times New Roman"/>
          <w:b/>
          <w:bCs/>
        </w:rPr>
      </w:pPr>
      <w:r>
        <w:rPr>
          <w:rFonts w:ascii="Times New Roman" w:eastAsia="Times New Roman" w:hAnsi="Times New Roman" w:cs="Times New Roman"/>
          <w:b/>
          <w:bCs/>
        </w:rPr>
        <w:t>Ajánlott irodalom:</w:t>
      </w:r>
    </w:p>
    <w:p w:rsidR="00276952" w:rsidRPr="00276952" w:rsidRDefault="00276952" w:rsidP="00980876">
      <w:pPr>
        <w:pStyle w:val="Listaszerbekezds"/>
        <w:widowControl w:val="0"/>
        <w:numPr>
          <w:ilvl w:val="2"/>
          <w:numId w:val="776"/>
        </w:numPr>
        <w:spacing w:before="120" w:after="120" w:line="240" w:lineRule="auto"/>
        <w:ind w:left="993" w:hanging="363"/>
        <w:jc w:val="both"/>
        <w:rPr>
          <w:rFonts w:ascii="Times New Roman" w:eastAsia="Times New Roman" w:hAnsi="Times New Roman" w:cs="Times New Roman"/>
        </w:rPr>
      </w:pPr>
      <w:r w:rsidRPr="00276952">
        <w:rPr>
          <w:rFonts w:ascii="Times New Roman" w:eastAsia="Times New Roman" w:hAnsi="Times New Roman" w:cs="Times New Roman"/>
        </w:rPr>
        <w:t>A szükséges mértékben a tananyag elsajátítását segítő más jogszabályok, szakutasítások, intézkedések.</w:t>
      </w:r>
    </w:p>
    <w:p w:rsidR="00276952" w:rsidRDefault="00276952" w:rsidP="00276952">
      <w:pPr>
        <w:pStyle w:val="Listaszerbekezds"/>
        <w:widowControl w:val="0"/>
        <w:tabs>
          <w:tab w:val="left" w:pos="993"/>
        </w:tabs>
        <w:spacing w:before="120" w:after="120" w:line="240" w:lineRule="auto"/>
        <w:ind w:left="1584"/>
        <w:jc w:val="both"/>
        <w:rPr>
          <w:rFonts w:ascii="Times New Roman" w:eastAsia="Times New Roman" w:hAnsi="Times New Roman" w:cs="Times New Roman"/>
        </w:rPr>
      </w:pPr>
    </w:p>
    <w:p w:rsidR="00276952" w:rsidRDefault="00276952" w:rsidP="00276952">
      <w:pPr>
        <w:widowControl w:val="0"/>
        <w:spacing w:before="120" w:after="120" w:line="240" w:lineRule="auto"/>
        <w:jc w:val="both"/>
        <w:rPr>
          <w:rFonts w:ascii="Times New Roman" w:eastAsia="Times New Roman" w:hAnsi="Times New Roman" w:cs="Times New Roman"/>
          <w:bCs/>
        </w:rPr>
      </w:pPr>
      <w:r>
        <w:rPr>
          <w:rFonts w:ascii="Times New Roman" w:eastAsia="Times New Roman" w:hAnsi="Times New Roman" w:cs="Times New Roman"/>
          <w:bCs/>
        </w:rPr>
        <w:t>Budapest, 2020.02.20.</w:t>
      </w:r>
    </w:p>
    <w:p w:rsidR="00276952" w:rsidRDefault="00276952" w:rsidP="00276952">
      <w:pPr>
        <w:widowControl w:val="0"/>
        <w:spacing w:before="120" w:after="120" w:line="240" w:lineRule="auto"/>
        <w:jc w:val="both"/>
        <w:rPr>
          <w:rFonts w:ascii="Times New Roman" w:eastAsia="Times New Roman" w:hAnsi="Times New Roman" w:cs="Times New Roman"/>
          <w:bCs/>
        </w:rPr>
      </w:pPr>
    </w:p>
    <w:p w:rsidR="00276952" w:rsidRPr="00276952" w:rsidRDefault="00276952" w:rsidP="00276952">
      <w:pPr>
        <w:widowControl w:val="0"/>
        <w:spacing w:after="0" w:line="240" w:lineRule="auto"/>
        <w:ind w:left="5664" w:firstLine="708"/>
        <w:jc w:val="center"/>
        <w:rPr>
          <w:rFonts w:ascii="Times New Roman" w:eastAsia="Times New Roman" w:hAnsi="Times New Roman" w:cs="Times New Roman"/>
          <w:b/>
          <w:bCs/>
        </w:rPr>
      </w:pPr>
      <w:r w:rsidRPr="00276952">
        <w:rPr>
          <w:rFonts w:ascii="Times New Roman" w:eastAsia="Times New Roman" w:hAnsi="Times New Roman" w:cs="Times New Roman"/>
          <w:b/>
          <w:bCs/>
        </w:rPr>
        <w:t>Dr. Taksás Balázs (PhD)</w:t>
      </w:r>
    </w:p>
    <w:p w:rsidR="00276952" w:rsidRDefault="00276952" w:rsidP="00276952">
      <w:pPr>
        <w:widowControl w:val="0"/>
        <w:spacing w:after="0" w:line="240" w:lineRule="auto"/>
        <w:ind w:left="5664" w:firstLine="708"/>
        <w:jc w:val="center"/>
        <w:rPr>
          <w:rFonts w:ascii="Times New Roman" w:eastAsia="Times New Roman" w:hAnsi="Times New Roman" w:cs="Times New Roman"/>
          <w:bCs/>
        </w:rPr>
      </w:pPr>
      <w:r>
        <w:rPr>
          <w:rFonts w:ascii="Times New Roman" w:eastAsia="Times New Roman" w:hAnsi="Times New Roman" w:cs="Times New Roman"/>
          <w:bCs/>
        </w:rPr>
        <w:t>egyetemi docens s.k.</w:t>
      </w:r>
    </w:p>
    <w:p w:rsidR="00CD29C1" w:rsidRDefault="00CD29C1">
      <w:pPr>
        <w:spacing w:after="200" w:line="276" w:lineRule="auto"/>
        <w:rPr>
          <w:rFonts w:ascii="Times New Roman" w:hAnsi="Times New Roman" w:cs="Times New Roman"/>
          <w:sz w:val="24"/>
        </w:rPr>
      </w:pPr>
    </w:p>
    <w:p w:rsidR="00276952" w:rsidRDefault="00276952">
      <w:pPr>
        <w:spacing w:after="200" w:line="276" w:lineRule="auto"/>
        <w:rPr>
          <w:rFonts w:ascii="Times New Roman" w:hAnsi="Times New Roman" w:cs="Times New Roman"/>
          <w:sz w:val="24"/>
        </w:rPr>
      </w:pPr>
      <w:r>
        <w:rPr>
          <w:rFonts w:ascii="Times New Roman" w:hAnsi="Times New Roman" w:cs="Times New Roman"/>
          <w:sz w:val="24"/>
        </w:rPr>
        <w:br w:type="page"/>
      </w:r>
    </w:p>
    <w:tbl>
      <w:tblPr>
        <w:tblW w:w="9072" w:type="dxa"/>
        <w:tblInd w:w="113" w:type="dxa"/>
        <w:tblLook w:val="01E0" w:firstRow="1" w:lastRow="1" w:firstColumn="1" w:lastColumn="1" w:noHBand="0" w:noVBand="0"/>
      </w:tblPr>
      <w:tblGrid>
        <w:gridCol w:w="4855"/>
        <w:gridCol w:w="1620"/>
        <w:gridCol w:w="2597"/>
      </w:tblGrid>
      <w:tr w:rsidR="00276952" w:rsidRPr="00276952" w:rsidTr="00276952">
        <w:tc>
          <w:tcPr>
            <w:tcW w:w="4855" w:type="dxa"/>
            <w:tcBorders>
              <w:top w:val="nil"/>
              <w:left w:val="nil"/>
              <w:bottom w:val="single" w:sz="4" w:space="0" w:color="auto"/>
              <w:right w:val="nil"/>
            </w:tcBorders>
            <w:hideMark/>
          </w:tcPr>
          <w:p w:rsidR="00276952" w:rsidRPr="00276952" w:rsidRDefault="00276952">
            <w:pPr>
              <w:spacing w:after="0" w:line="240" w:lineRule="auto"/>
              <w:jc w:val="center"/>
              <w:rPr>
                <w:rFonts w:ascii="Times New Roman" w:eastAsia="Times New Roman" w:hAnsi="Times New Roman" w:cs="Times New Roman"/>
                <w:b/>
                <w:smallCaps/>
                <w:lang w:eastAsia="hu-HU"/>
              </w:rPr>
            </w:pPr>
            <w:r w:rsidRPr="00276952">
              <w:rPr>
                <w:rFonts w:ascii="Times New Roman" w:eastAsia="Times New Roman" w:hAnsi="Times New Roman" w:cs="Times New Roman"/>
                <w:b/>
                <w:smallCaps/>
                <w:lang w:eastAsia="hu-HU"/>
              </w:rPr>
              <w:lastRenderedPageBreak/>
              <w:t>Nemzeti Közszolgálati Egyetem</w:t>
            </w:r>
          </w:p>
        </w:tc>
        <w:tc>
          <w:tcPr>
            <w:tcW w:w="1620" w:type="dxa"/>
          </w:tcPr>
          <w:p w:rsidR="00276952" w:rsidRPr="00276952" w:rsidRDefault="00276952">
            <w:pPr>
              <w:spacing w:after="0" w:line="240" w:lineRule="auto"/>
              <w:jc w:val="both"/>
              <w:rPr>
                <w:rFonts w:ascii="Times New Roman" w:eastAsia="Times New Roman" w:hAnsi="Times New Roman" w:cs="Times New Roman"/>
                <w:lang w:eastAsia="hu-HU"/>
              </w:rPr>
            </w:pPr>
          </w:p>
        </w:tc>
        <w:tc>
          <w:tcPr>
            <w:tcW w:w="2597" w:type="dxa"/>
          </w:tcPr>
          <w:p w:rsidR="00276952" w:rsidRPr="00276952" w:rsidRDefault="00276952">
            <w:pPr>
              <w:spacing w:after="0" w:line="240" w:lineRule="auto"/>
              <w:jc w:val="right"/>
              <w:rPr>
                <w:rFonts w:ascii="Times New Roman" w:eastAsia="Times New Roman" w:hAnsi="Times New Roman" w:cs="Times New Roman"/>
                <w:lang w:eastAsia="hu-HU"/>
              </w:rPr>
            </w:pPr>
          </w:p>
        </w:tc>
      </w:tr>
      <w:tr w:rsidR="00276952" w:rsidRPr="00276952" w:rsidTr="00276952">
        <w:tc>
          <w:tcPr>
            <w:tcW w:w="4855" w:type="dxa"/>
            <w:tcBorders>
              <w:top w:val="single" w:sz="4" w:space="0" w:color="auto"/>
              <w:left w:val="nil"/>
              <w:bottom w:val="nil"/>
              <w:right w:val="nil"/>
            </w:tcBorders>
            <w:hideMark/>
          </w:tcPr>
          <w:p w:rsidR="00276952" w:rsidRPr="00276952" w:rsidRDefault="00276952">
            <w:pPr>
              <w:spacing w:after="0" w:line="240" w:lineRule="auto"/>
              <w:jc w:val="center"/>
              <w:rPr>
                <w:rFonts w:ascii="Times New Roman" w:eastAsia="Times New Roman" w:hAnsi="Times New Roman" w:cs="Times New Roman"/>
                <w:b/>
                <w:lang w:eastAsia="hu-HU"/>
              </w:rPr>
            </w:pPr>
            <w:r w:rsidRPr="00276952">
              <w:rPr>
                <w:rFonts w:ascii="Times New Roman" w:eastAsia="Times New Roman" w:hAnsi="Times New Roman" w:cs="Times New Roman"/>
                <w:b/>
                <w:lang w:eastAsia="hu-HU"/>
              </w:rPr>
              <w:t>Hadtudományi és Honvédtisztképző Kar</w:t>
            </w:r>
          </w:p>
        </w:tc>
        <w:tc>
          <w:tcPr>
            <w:tcW w:w="1620" w:type="dxa"/>
          </w:tcPr>
          <w:p w:rsidR="00276952" w:rsidRPr="00276952" w:rsidRDefault="00276952">
            <w:pPr>
              <w:spacing w:after="0" w:line="240" w:lineRule="auto"/>
              <w:jc w:val="both"/>
              <w:rPr>
                <w:rFonts w:ascii="Times New Roman" w:eastAsia="Times New Roman" w:hAnsi="Times New Roman" w:cs="Times New Roman"/>
                <w:lang w:eastAsia="hu-HU"/>
              </w:rPr>
            </w:pPr>
          </w:p>
        </w:tc>
        <w:tc>
          <w:tcPr>
            <w:tcW w:w="2597" w:type="dxa"/>
          </w:tcPr>
          <w:p w:rsidR="00276952" w:rsidRPr="00276952" w:rsidRDefault="00276952">
            <w:pPr>
              <w:spacing w:after="0" w:line="240" w:lineRule="auto"/>
              <w:jc w:val="both"/>
              <w:rPr>
                <w:rFonts w:ascii="Times New Roman" w:eastAsia="Times New Roman" w:hAnsi="Times New Roman" w:cs="Times New Roman"/>
                <w:lang w:eastAsia="hu-HU"/>
              </w:rPr>
            </w:pPr>
          </w:p>
        </w:tc>
      </w:tr>
    </w:tbl>
    <w:p w:rsidR="00276952" w:rsidRPr="00276952" w:rsidRDefault="00276952" w:rsidP="00276952">
      <w:pPr>
        <w:widowControl w:val="0"/>
        <w:spacing w:before="120" w:after="120" w:line="240" w:lineRule="auto"/>
        <w:ind w:left="426" w:hanging="142"/>
        <w:jc w:val="center"/>
        <w:rPr>
          <w:rFonts w:ascii="Times New Roman" w:eastAsia="Times New Roman" w:hAnsi="Times New Roman" w:cs="Times New Roman"/>
          <w:b/>
          <w:bCs/>
        </w:rPr>
      </w:pPr>
    </w:p>
    <w:p w:rsidR="00276952" w:rsidRPr="00276952" w:rsidRDefault="00276952" w:rsidP="00276952">
      <w:pPr>
        <w:widowControl w:val="0"/>
        <w:spacing w:before="120" w:after="120" w:line="240" w:lineRule="auto"/>
        <w:ind w:left="426" w:hanging="142"/>
        <w:jc w:val="center"/>
        <w:rPr>
          <w:rFonts w:ascii="Times New Roman" w:eastAsia="Times New Roman" w:hAnsi="Times New Roman" w:cs="Times New Roman"/>
          <w:b/>
          <w:bCs/>
        </w:rPr>
      </w:pPr>
      <w:r w:rsidRPr="00276952">
        <w:rPr>
          <w:rFonts w:ascii="Times New Roman" w:eastAsia="Times New Roman" w:hAnsi="Times New Roman" w:cs="Times New Roman"/>
          <w:b/>
          <w:bCs/>
        </w:rPr>
        <w:t>TANTÁRGYI PROGRAM</w:t>
      </w:r>
    </w:p>
    <w:p w:rsidR="00276952" w:rsidRPr="00276952" w:rsidRDefault="00276952" w:rsidP="00980876">
      <w:pPr>
        <w:widowControl w:val="0"/>
        <w:numPr>
          <w:ilvl w:val="0"/>
          <w:numId w:val="192"/>
        </w:numPr>
        <w:spacing w:before="120" w:after="120" w:line="240" w:lineRule="auto"/>
        <w:ind w:left="426" w:hanging="142"/>
        <w:jc w:val="both"/>
        <w:rPr>
          <w:rFonts w:ascii="Times New Roman" w:eastAsia="Times New Roman" w:hAnsi="Times New Roman" w:cs="Times New Roman"/>
          <w:bCs/>
        </w:rPr>
      </w:pPr>
      <w:r w:rsidRPr="00276952">
        <w:rPr>
          <w:rFonts w:ascii="Times New Roman" w:eastAsia="Times New Roman" w:hAnsi="Times New Roman" w:cs="Times New Roman"/>
          <w:b/>
          <w:bCs/>
        </w:rPr>
        <w:t xml:space="preserve">A tantárgy kódja: </w:t>
      </w:r>
      <w:r w:rsidRPr="00276952">
        <w:rPr>
          <w:rFonts w:ascii="Times New Roman" w:eastAsia="Times New Roman" w:hAnsi="Times New Roman" w:cs="Times New Roman"/>
          <w:bCs/>
          <w:lang w:eastAsia="hu-HU"/>
        </w:rPr>
        <w:t>HKHPKA105</w:t>
      </w:r>
    </w:p>
    <w:p w:rsidR="00276952" w:rsidRPr="00276952" w:rsidRDefault="00276952" w:rsidP="00980876">
      <w:pPr>
        <w:widowControl w:val="0"/>
        <w:numPr>
          <w:ilvl w:val="0"/>
          <w:numId w:val="192"/>
        </w:numPr>
        <w:spacing w:before="120" w:after="120" w:line="240" w:lineRule="auto"/>
        <w:ind w:left="426" w:hanging="142"/>
        <w:jc w:val="both"/>
        <w:rPr>
          <w:rFonts w:ascii="Times New Roman" w:eastAsia="Times New Roman" w:hAnsi="Times New Roman" w:cs="Times New Roman"/>
          <w:b/>
          <w:bCs/>
          <w:lang w:val="en-GB"/>
        </w:rPr>
      </w:pPr>
      <w:r w:rsidRPr="00276952">
        <w:rPr>
          <w:rFonts w:ascii="Times New Roman" w:eastAsia="Times New Roman" w:hAnsi="Times New Roman" w:cs="Times New Roman"/>
          <w:b/>
          <w:bCs/>
        </w:rPr>
        <w:t>A tantárgy megnevezése (magyarul):</w:t>
      </w:r>
      <w:r w:rsidRPr="00276952">
        <w:rPr>
          <w:rFonts w:ascii="Times New Roman" w:eastAsia="Times New Roman" w:hAnsi="Times New Roman" w:cs="Times New Roman"/>
          <w:bCs/>
        </w:rPr>
        <w:t xml:space="preserve"> Ellátó alegységek vezetése</w:t>
      </w:r>
    </w:p>
    <w:p w:rsidR="00276952" w:rsidRPr="00276952" w:rsidRDefault="00276952" w:rsidP="00980876">
      <w:pPr>
        <w:widowControl w:val="0"/>
        <w:numPr>
          <w:ilvl w:val="0"/>
          <w:numId w:val="192"/>
        </w:numPr>
        <w:tabs>
          <w:tab w:val="num" w:pos="567"/>
        </w:tabs>
        <w:spacing w:before="120" w:after="120" w:line="240" w:lineRule="auto"/>
        <w:ind w:left="426" w:hanging="142"/>
        <w:jc w:val="both"/>
        <w:rPr>
          <w:rFonts w:ascii="Times New Roman" w:eastAsia="Times New Roman" w:hAnsi="Times New Roman" w:cs="Times New Roman"/>
          <w:b/>
          <w:bCs/>
          <w:lang w:val="en-GB"/>
        </w:rPr>
      </w:pPr>
      <w:r w:rsidRPr="00276952">
        <w:rPr>
          <w:rFonts w:ascii="Times New Roman" w:eastAsia="Times New Roman" w:hAnsi="Times New Roman" w:cs="Times New Roman"/>
          <w:b/>
          <w:bCs/>
        </w:rPr>
        <w:t xml:space="preserve">A tantárgy megnevezése (angolul): </w:t>
      </w:r>
      <w:r w:rsidRPr="00276952">
        <w:rPr>
          <w:rFonts w:ascii="Times New Roman" w:eastAsia="Times New Roman" w:hAnsi="Times New Roman" w:cs="Times New Roman"/>
          <w:bCs/>
        </w:rPr>
        <w:t>Leadership of supply subunits</w:t>
      </w:r>
    </w:p>
    <w:p w:rsidR="00276952" w:rsidRPr="00276952" w:rsidRDefault="00276952" w:rsidP="00980876">
      <w:pPr>
        <w:widowControl w:val="0"/>
        <w:numPr>
          <w:ilvl w:val="0"/>
          <w:numId w:val="192"/>
        </w:numPr>
        <w:tabs>
          <w:tab w:val="num" w:pos="567"/>
        </w:tabs>
        <w:spacing w:before="120" w:after="120" w:line="240" w:lineRule="auto"/>
        <w:ind w:left="426" w:hanging="142"/>
        <w:jc w:val="both"/>
        <w:rPr>
          <w:rFonts w:ascii="Times New Roman" w:eastAsia="Times New Roman" w:hAnsi="Times New Roman" w:cs="Times New Roman"/>
          <w:b/>
          <w:bCs/>
        </w:rPr>
      </w:pPr>
      <w:r w:rsidRPr="00276952">
        <w:rPr>
          <w:rFonts w:ascii="Times New Roman" w:eastAsia="Times New Roman" w:hAnsi="Times New Roman" w:cs="Times New Roman"/>
          <w:b/>
          <w:bCs/>
        </w:rPr>
        <w:t xml:space="preserve">Kreditérték és képzési karakter: </w:t>
      </w:r>
    </w:p>
    <w:p w:rsidR="00276952" w:rsidRPr="00276952" w:rsidRDefault="00276952" w:rsidP="00980876">
      <w:pPr>
        <w:pStyle w:val="Listaszerbekezds"/>
        <w:widowControl w:val="0"/>
        <w:numPr>
          <w:ilvl w:val="1"/>
          <w:numId w:val="192"/>
        </w:numPr>
        <w:tabs>
          <w:tab w:val="clear" w:pos="3977"/>
          <w:tab w:val="num" w:pos="2275"/>
        </w:tabs>
        <w:spacing w:before="120" w:after="120" w:line="240" w:lineRule="auto"/>
        <w:ind w:left="993" w:hanging="426"/>
        <w:jc w:val="both"/>
        <w:rPr>
          <w:rFonts w:ascii="Times New Roman" w:eastAsia="Times New Roman" w:hAnsi="Times New Roman" w:cs="Times New Roman"/>
          <w:b/>
          <w:bCs/>
        </w:rPr>
      </w:pPr>
      <w:r w:rsidRPr="00276952">
        <w:rPr>
          <w:rFonts w:ascii="Times New Roman" w:eastAsia="Times New Roman" w:hAnsi="Times New Roman" w:cs="Times New Roman"/>
          <w:bCs/>
        </w:rPr>
        <w:t>3 kredit</w:t>
      </w:r>
    </w:p>
    <w:p w:rsidR="00276952" w:rsidRPr="00276952" w:rsidRDefault="00276952" w:rsidP="00980876">
      <w:pPr>
        <w:pStyle w:val="Listaszerbekezds"/>
        <w:widowControl w:val="0"/>
        <w:numPr>
          <w:ilvl w:val="1"/>
          <w:numId w:val="192"/>
        </w:numPr>
        <w:tabs>
          <w:tab w:val="clear" w:pos="3977"/>
          <w:tab w:val="num" w:pos="2275"/>
        </w:tabs>
        <w:spacing w:before="120" w:after="120" w:line="240" w:lineRule="auto"/>
        <w:ind w:left="993" w:hanging="426"/>
        <w:jc w:val="both"/>
        <w:rPr>
          <w:rFonts w:ascii="Times New Roman" w:eastAsia="Times New Roman" w:hAnsi="Times New Roman" w:cs="Times New Roman"/>
          <w:b/>
          <w:bCs/>
        </w:rPr>
      </w:pPr>
      <w:r w:rsidRPr="00276952">
        <w:rPr>
          <w:rFonts w:ascii="Times New Roman" w:eastAsia="Times New Roman" w:hAnsi="Times New Roman" w:cs="Times New Roman"/>
          <w:bCs/>
        </w:rPr>
        <w:t>a tantárgy elméleti vagy gyakorlati jellegének mértéke: 50</w:t>
      </w:r>
      <w:r w:rsidRPr="00276952">
        <w:rPr>
          <w:rFonts w:ascii="Times New Roman" w:eastAsia="Times New Roman" w:hAnsi="Times New Roman" w:cs="Times New Roman"/>
          <w:b/>
          <w:bCs/>
        </w:rPr>
        <w:t xml:space="preserve"> </w:t>
      </w:r>
      <w:r w:rsidRPr="00276952">
        <w:rPr>
          <w:rFonts w:ascii="Times New Roman" w:eastAsia="Times New Roman" w:hAnsi="Times New Roman" w:cs="Times New Roman"/>
          <w:bCs/>
        </w:rPr>
        <w:t>% gyakorlat, 50 % elmélet</w:t>
      </w:r>
    </w:p>
    <w:p w:rsidR="00276952" w:rsidRPr="00276952" w:rsidRDefault="00276952" w:rsidP="00980876">
      <w:pPr>
        <w:widowControl w:val="0"/>
        <w:numPr>
          <w:ilvl w:val="0"/>
          <w:numId w:val="192"/>
        </w:numPr>
        <w:spacing w:before="120" w:after="120" w:line="240" w:lineRule="auto"/>
        <w:ind w:left="426" w:hanging="142"/>
        <w:jc w:val="both"/>
        <w:rPr>
          <w:rFonts w:ascii="Times New Roman" w:eastAsia="Times New Roman" w:hAnsi="Times New Roman" w:cs="Times New Roman"/>
          <w:bCs/>
        </w:rPr>
      </w:pPr>
      <w:r w:rsidRPr="00276952">
        <w:rPr>
          <w:rFonts w:ascii="Times New Roman" w:eastAsia="Times New Roman" w:hAnsi="Times New Roman" w:cs="Times New Roman"/>
          <w:b/>
          <w:bCs/>
        </w:rPr>
        <w:t>A szak(ok), szakirányok/specializációk megnevezése (ahol oktatják):</w:t>
      </w:r>
      <w:r w:rsidRPr="00276952">
        <w:rPr>
          <w:rFonts w:ascii="Times New Roman" w:eastAsia="Times New Roman" w:hAnsi="Times New Roman" w:cs="Times New Roman"/>
          <w:bCs/>
        </w:rPr>
        <w:t xml:space="preserve"> </w:t>
      </w:r>
      <w:r w:rsidRPr="00276952">
        <w:rPr>
          <w:rFonts w:ascii="Times New Roman" w:hAnsi="Times New Roman" w:cs="Times New Roman"/>
          <w:bCs/>
        </w:rPr>
        <w:t>Katonai logisztika alapképzési szak minden specializáció</w:t>
      </w:r>
    </w:p>
    <w:p w:rsidR="00276952" w:rsidRPr="00276952" w:rsidRDefault="00276952" w:rsidP="00980876">
      <w:pPr>
        <w:widowControl w:val="0"/>
        <w:numPr>
          <w:ilvl w:val="0"/>
          <w:numId w:val="192"/>
        </w:numPr>
        <w:tabs>
          <w:tab w:val="num" w:pos="567"/>
        </w:tabs>
        <w:spacing w:before="120" w:after="120" w:line="240" w:lineRule="auto"/>
        <w:ind w:left="426" w:hanging="142"/>
        <w:jc w:val="both"/>
        <w:rPr>
          <w:rFonts w:ascii="Times New Roman" w:eastAsia="Times New Roman" w:hAnsi="Times New Roman" w:cs="Times New Roman"/>
          <w:bCs/>
        </w:rPr>
      </w:pPr>
      <w:r w:rsidRPr="00276952">
        <w:rPr>
          <w:rFonts w:ascii="Times New Roman" w:eastAsia="Times New Roman" w:hAnsi="Times New Roman" w:cs="Times New Roman"/>
          <w:b/>
          <w:bCs/>
        </w:rPr>
        <w:t xml:space="preserve">Az oktatásért felelős oktatási szervezeti egység megnevezése: </w:t>
      </w:r>
      <w:r w:rsidRPr="00276952">
        <w:rPr>
          <w:rFonts w:ascii="Times New Roman" w:hAnsi="Times New Roman" w:cs="Times New Roman"/>
          <w:bCs/>
        </w:rPr>
        <w:t>NKE HHK Hadtáp, Pénzügyi és Katonai Közlekedési Tanszék</w:t>
      </w:r>
    </w:p>
    <w:p w:rsidR="00276952" w:rsidRPr="00B0428D" w:rsidRDefault="00276952" w:rsidP="00980876">
      <w:pPr>
        <w:widowControl w:val="0"/>
        <w:numPr>
          <w:ilvl w:val="0"/>
          <w:numId w:val="192"/>
        </w:numPr>
        <w:tabs>
          <w:tab w:val="num" w:pos="567"/>
        </w:tabs>
        <w:spacing w:before="120" w:after="120" w:line="240" w:lineRule="auto"/>
        <w:ind w:left="426" w:hanging="142"/>
        <w:jc w:val="both"/>
        <w:rPr>
          <w:rFonts w:ascii="Times New Roman" w:eastAsia="Times New Roman" w:hAnsi="Times New Roman" w:cs="Times New Roman"/>
          <w:bCs/>
          <w:highlight w:val="yellow"/>
        </w:rPr>
      </w:pPr>
      <w:r w:rsidRPr="00276952">
        <w:rPr>
          <w:rFonts w:ascii="Times New Roman" w:eastAsia="Times New Roman" w:hAnsi="Times New Roman" w:cs="Times New Roman"/>
          <w:b/>
          <w:bCs/>
        </w:rPr>
        <w:t>A tantárgyfelelős oktató neve, beosztása, tudományos fokozata:</w:t>
      </w:r>
      <w:r w:rsidRPr="00276952">
        <w:rPr>
          <w:rFonts w:ascii="Times New Roman" w:eastAsia="Times New Roman" w:hAnsi="Times New Roman" w:cs="Times New Roman"/>
          <w:bCs/>
        </w:rPr>
        <w:t xml:space="preserve"> </w:t>
      </w:r>
      <w:r w:rsidRPr="00B0428D">
        <w:rPr>
          <w:rFonts w:ascii="Times New Roman" w:hAnsi="Times New Roman" w:cs="Times New Roman"/>
          <w:bCs/>
          <w:highlight w:val="yellow"/>
        </w:rPr>
        <w:t xml:space="preserve">Dr. </w:t>
      </w:r>
      <w:r w:rsidR="00B0428D" w:rsidRPr="00B0428D">
        <w:rPr>
          <w:rFonts w:ascii="Times New Roman" w:hAnsi="Times New Roman" w:cs="Times New Roman"/>
          <w:bCs/>
          <w:highlight w:val="yellow"/>
        </w:rPr>
        <w:t>Sári Gábor</w:t>
      </w:r>
      <w:r w:rsidRPr="00B0428D">
        <w:rPr>
          <w:rFonts w:ascii="Times New Roman" w:hAnsi="Times New Roman" w:cs="Times New Roman"/>
          <w:bCs/>
          <w:highlight w:val="yellow"/>
        </w:rPr>
        <w:t xml:space="preserve">  (PhD)</w:t>
      </w:r>
    </w:p>
    <w:p w:rsidR="00276952" w:rsidRPr="00276952" w:rsidRDefault="00276952" w:rsidP="00980876">
      <w:pPr>
        <w:widowControl w:val="0"/>
        <w:numPr>
          <w:ilvl w:val="0"/>
          <w:numId w:val="192"/>
        </w:numPr>
        <w:spacing w:before="120" w:after="120" w:line="240" w:lineRule="auto"/>
        <w:ind w:left="426" w:hanging="142"/>
        <w:jc w:val="both"/>
        <w:rPr>
          <w:rFonts w:ascii="Times New Roman" w:eastAsia="Times New Roman" w:hAnsi="Times New Roman" w:cs="Times New Roman"/>
          <w:bCs/>
        </w:rPr>
      </w:pPr>
      <w:r w:rsidRPr="00276952">
        <w:rPr>
          <w:rFonts w:ascii="Times New Roman" w:eastAsia="Times New Roman" w:hAnsi="Times New Roman" w:cs="Times New Roman"/>
          <w:b/>
          <w:bCs/>
        </w:rPr>
        <w:t>A tanórák száma és típusa</w:t>
      </w:r>
    </w:p>
    <w:p w:rsidR="00276952" w:rsidRPr="00276952" w:rsidRDefault="00276952" w:rsidP="00980876">
      <w:pPr>
        <w:widowControl w:val="0"/>
        <w:numPr>
          <w:ilvl w:val="1"/>
          <w:numId w:val="192"/>
        </w:numPr>
        <w:tabs>
          <w:tab w:val="clear" w:pos="3977"/>
          <w:tab w:val="num" w:pos="709"/>
          <w:tab w:val="num" w:pos="2069"/>
          <w:tab w:val="num" w:pos="2275"/>
        </w:tabs>
        <w:spacing w:before="120" w:after="120" w:line="240" w:lineRule="auto"/>
        <w:ind w:left="851" w:hanging="425"/>
        <w:jc w:val="both"/>
        <w:rPr>
          <w:rFonts w:ascii="Times New Roman" w:eastAsia="Times New Roman" w:hAnsi="Times New Roman" w:cs="Times New Roman"/>
          <w:bCs/>
        </w:rPr>
      </w:pPr>
      <w:r w:rsidRPr="00276952">
        <w:rPr>
          <w:rFonts w:ascii="Times New Roman" w:eastAsia="Times New Roman" w:hAnsi="Times New Roman" w:cs="Times New Roman"/>
          <w:bCs/>
        </w:rPr>
        <w:t>össz óraszám/félév: 28</w:t>
      </w:r>
    </w:p>
    <w:p w:rsidR="00276952" w:rsidRPr="00276952" w:rsidRDefault="00276952" w:rsidP="00980876">
      <w:pPr>
        <w:widowControl w:val="0"/>
        <w:numPr>
          <w:ilvl w:val="2"/>
          <w:numId w:val="192"/>
        </w:numPr>
        <w:tabs>
          <w:tab w:val="num" w:pos="709"/>
          <w:tab w:val="num" w:pos="1134"/>
        </w:tabs>
        <w:spacing w:before="120" w:after="120" w:line="240" w:lineRule="auto"/>
        <w:ind w:left="993" w:hanging="425"/>
        <w:jc w:val="both"/>
        <w:rPr>
          <w:rFonts w:ascii="Times New Roman" w:eastAsia="Times New Roman" w:hAnsi="Times New Roman" w:cs="Times New Roman"/>
          <w:bCs/>
        </w:rPr>
      </w:pPr>
      <w:r w:rsidRPr="00276952">
        <w:rPr>
          <w:rFonts w:ascii="Times New Roman" w:eastAsia="Times New Roman" w:hAnsi="Times New Roman" w:cs="Times New Roman"/>
          <w:bCs/>
        </w:rPr>
        <w:t>nappali munkarend: (14 EA + 0 SZ + 14 GY)</w:t>
      </w:r>
    </w:p>
    <w:p w:rsidR="00276952" w:rsidRPr="00276952" w:rsidRDefault="00276952" w:rsidP="00980876">
      <w:pPr>
        <w:widowControl w:val="0"/>
        <w:numPr>
          <w:ilvl w:val="2"/>
          <w:numId w:val="192"/>
        </w:numPr>
        <w:tabs>
          <w:tab w:val="num" w:pos="709"/>
          <w:tab w:val="num" w:pos="1134"/>
        </w:tabs>
        <w:spacing w:before="120" w:after="120" w:line="240" w:lineRule="auto"/>
        <w:ind w:left="993" w:hanging="425"/>
        <w:jc w:val="both"/>
        <w:rPr>
          <w:rFonts w:ascii="Times New Roman" w:eastAsia="Times New Roman" w:hAnsi="Times New Roman" w:cs="Times New Roman"/>
          <w:bCs/>
        </w:rPr>
      </w:pPr>
      <w:r w:rsidRPr="00276952">
        <w:rPr>
          <w:rFonts w:ascii="Times New Roman" w:eastAsia="Times New Roman" w:hAnsi="Times New Roman" w:cs="Times New Roman"/>
          <w:bCs/>
        </w:rPr>
        <w:t>levelező munkarend: -</w:t>
      </w:r>
    </w:p>
    <w:p w:rsidR="00276952" w:rsidRPr="00276952" w:rsidRDefault="00276952" w:rsidP="00980876">
      <w:pPr>
        <w:widowControl w:val="0"/>
        <w:numPr>
          <w:ilvl w:val="1"/>
          <w:numId w:val="192"/>
        </w:numPr>
        <w:tabs>
          <w:tab w:val="clear" w:pos="3977"/>
          <w:tab w:val="num" w:pos="709"/>
          <w:tab w:val="num" w:pos="2069"/>
          <w:tab w:val="num" w:pos="2275"/>
        </w:tabs>
        <w:spacing w:before="120" w:after="120" w:line="240" w:lineRule="auto"/>
        <w:ind w:left="851" w:hanging="425"/>
        <w:jc w:val="both"/>
        <w:rPr>
          <w:rFonts w:ascii="Times New Roman" w:eastAsia="Times New Roman" w:hAnsi="Times New Roman" w:cs="Times New Roman"/>
          <w:bCs/>
        </w:rPr>
      </w:pPr>
      <w:r w:rsidRPr="00276952">
        <w:rPr>
          <w:rFonts w:ascii="Times New Roman" w:eastAsia="Times New Roman" w:hAnsi="Times New Roman" w:cs="Times New Roman"/>
          <w:bCs/>
        </w:rPr>
        <w:t>heti óraszám - nappali munkarend: 2</w:t>
      </w:r>
    </w:p>
    <w:p w:rsidR="00276952" w:rsidRPr="00276952" w:rsidRDefault="00276952" w:rsidP="00980876">
      <w:pPr>
        <w:widowControl w:val="0"/>
        <w:numPr>
          <w:ilvl w:val="1"/>
          <w:numId w:val="192"/>
        </w:numPr>
        <w:tabs>
          <w:tab w:val="clear" w:pos="3977"/>
          <w:tab w:val="num" w:pos="709"/>
          <w:tab w:val="num" w:pos="2069"/>
          <w:tab w:val="num" w:pos="2275"/>
        </w:tabs>
        <w:spacing w:before="120" w:after="120" w:line="240" w:lineRule="auto"/>
        <w:ind w:left="851" w:hanging="425"/>
        <w:jc w:val="both"/>
        <w:rPr>
          <w:rFonts w:ascii="Times New Roman" w:eastAsia="Times New Roman" w:hAnsi="Times New Roman" w:cs="Times New Roman"/>
          <w:bCs/>
        </w:rPr>
      </w:pPr>
      <w:r w:rsidRPr="00276952">
        <w:rPr>
          <w:rFonts w:ascii="Times New Roman" w:hAnsi="Times New Roman" w:cs="Times New Roman"/>
        </w:rPr>
        <w:t>Az ismeret átadásában alkalmazandó további sajátos módok, jellemzők:</w:t>
      </w:r>
      <w:r w:rsidRPr="00276952">
        <w:rPr>
          <w:rFonts w:ascii="Times New Roman" w:hAnsi="Times New Roman" w:cs="Times New Roman"/>
          <w:i/>
        </w:rPr>
        <w:t xml:space="preserve"> Az ismeretek elsajátítása vegyes tanulási program (blended learning) alapján történik.</w:t>
      </w:r>
    </w:p>
    <w:p w:rsidR="00276952" w:rsidRPr="00276952" w:rsidRDefault="00276952" w:rsidP="00980876">
      <w:pPr>
        <w:widowControl w:val="0"/>
        <w:numPr>
          <w:ilvl w:val="0"/>
          <w:numId w:val="192"/>
        </w:numPr>
        <w:spacing w:before="120" w:after="120" w:line="240" w:lineRule="auto"/>
        <w:ind w:left="426" w:hanging="142"/>
        <w:jc w:val="both"/>
        <w:rPr>
          <w:rFonts w:ascii="Times New Roman" w:eastAsia="Times New Roman" w:hAnsi="Times New Roman" w:cs="Times New Roman"/>
          <w:bCs/>
        </w:rPr>
      </w:pPr>
      <w:r w:rsidRPr="00276952">
        <w:rPr>
          <w:rFonts w:ascii="Times New Roman" w:eastAsia="Times New Roman" w:hAnsi="Times New Roman" w:cs="Times New Roman"/>
          <w:b/>
          <w:bCs/>
        </w:rPr>
        <w:t xml:space="preserve">A tantárgy szakmai tartalma (magyarul): </w:t>
      </w:r>
      <w:r w:rsidRPr="00276952">
        <w:rPr>
          <w:rFonts w:ascii="Times New Roman" w:eastAsia="Times New Roman" w:hAnsi="Times New Roman" w:cs="Times New Roman"/>
          <w:bCs/>
        </w:rPr>
        <w:t>Megismertetni a honvéd tisztjelöltekkel az ellátó alegységek rendeltetését, feladatrendszerét, a szakaszparancsnoki beosztással összefüggő jogokat és kötelességeket, a szaktechnikai eszközök leltározását, a gépjármű igénybevételi szabályokat, a zászlóalj szintű funkcionális logisztikai támogatási elemek telepítését.</w:t>
      </w:r>
    </w:p>
    <w:p w:rsidR="00276952" w:rsidRPr="00276952" w:rsidRDefault="00276952" w:rsidP="00276952">
      <w:pPr>
        <w:widowControl w:val="0"/>
        <w:spacing w:before="120" w:after="120" w:line="240" w:lineRule="auto"/>
        <w:ind w:left="426"/>
        <w:jc w:val="both"/>
        <w:rPr>
          <w:rFonts w:ascii="Times New Roman" w:eastAsia="Times New Roman" w:hAnsi="Times New Roman" w:cs="Times New Roman"/>
          <w:bCs/>
          <w:lang w:val="en-GB"/>
        </w:rPr>
      </w:pPr>
      <w:r w:rsidRPr="00276952">
        <w:rPr>
          <w:rFonts w:ascii="Times New Roman" w:eastAsia="Times New Roman" w:hAnsi="Times New Roman" w:cs="Times New Roman"/>
          <w:b/>
          <w:bCs/>
        </w:rPr>
        <w:t>A tantárgy szakmai tartalma (angolul) (</w:t>
      </w:r>
      <w:r w:rsidRPr="00276952">
        <w:rPr>
          <w:rFonts w:ascii="Times New Roman" w:eastAsia="Times New Roman" w:hAnsi="Times New Roman" w:cs="Times New Roman"/>
          <w:b/>
          <w:bCs/>
          <w:lang w:val="en-US"/>
        </w:rPr>
        <w:t>Course description</w:t>
      </w:r>
      <w:r w:rsidRPr="00276952">
        <w:rPr>
          <w:rFonts w:ascii="Times New Roman" w:eastAsia="Times New Roman" w:hAnsi="Times New Roman" w:cs="Times New Roman"/>
          <w:b/>
          <w:bCs/>
        </w:rPr>
        <w:t xml:space="preserve">): </w:t>
      </w:r>
      <w:r w:rsidRPr="00276952">
        <w:rPr>
          <w:rFonts w:ascii="Times New Roman" w:eastAsia="Times New Roman" w:hAnsi="Times New Roman" w:cs="Times New Roman"/>
          <w:bCs/>
        </w:rPr>
        <w:t>The aim of the course is to introduce cadets to the missions and tasks of the supply subunits, the rights and responsibilities of the platoon leader, the inventory of special materials, the rules of using military vehicles and the deployment of battalion level functional logistic support elements.</w:t>
      </w:r>
    </w:p>
    <w:p w:rsidR="00276952" w:rsidRPr="00276952" w:rsidRDefault="00276952" w:rsidP="00980876">
      <w:pPr>
        <w:pStyle w:val="Listaszerbekezds"/>
        <w:widowControl w:val="0"/>
        <w:numPr>
          <w:ilvl w:val="0"/>
          <w:numId w:val="192"/>
        </w:numPr>
        <w:spacing w:before="120" w:after="120" w:line="240" w:lineRule="auto"/>
        <w:ind w:left="426" w:hanging="142"/>
        <w:jc w:val="both"/>
        <w:rPr>
          <w:rFonts w:ascii="Times New Roman" w:eastAsia="Times New Roman" w:hAnsi="Times New Roman" w:cs="Times New Roman"/>
          <w:bCs/>
        </w:rPr>
      </w:pPr>
      <w:r w:rsidRPr="00276952">
        <w:rPr>
          <w:rFonts w:ascii="Times New Roman" w:eastAsia="Times New Roman" w:hAnsi="Times New Roman" w:cs="Times New Roman"/>
          <w:b/>
          <w:bCs/>
        </w:rPr>
        <w:t>Elérendő kompetenciák (magyarul):</w:t>
      </w:r>
      <w:r w:rsidRPr="00276952">
        <w:rPr>
          <w:rFonts w:ascii="Times New Roman" w:eastAsia="Times New Roman" w:hAnsi="Times New Roman" w:cs="Times New Roman"/>
          <w:bCs/>
        </w:rPr>
        <w:t xml:space="preserve"> </w:t>
      </w:r>
    </w:p>
    <w:p w:rsidR="00276952" w:rsidRPr="00276952" w:rsidRDefault="00276952" w:rsidP="00276952">
      <w:pPr>
        <w:widowControl w:val="0"/>
        <w:spacing w:after="0" w:line="240" w:lineRule="auto"/>
        <w:ind w:left="425"/>
        <w:jc w:val="both"/>
        <w:rPr>
          <w:rFonts w:ascii="Times New Roman" w:eastAsia="Times New Roman" w:hAnsi="Times New Roman" w:cs="Times New Roman"/>
          <w:bCs/>
        </w:rPr>
      </w:pPr>
      <w:r w:rsidRPr="00276952">
        <w:rPr>
          <w:rFonts w:ascii="Times New Roman" w:eastAsia="Times New Roman" w:hAnsi="Times New Roman" w:cs="Times New Roman"/>
          <w:b/>
          <w:bCs/>
        </w:rPr>
        <w:t>Tudása:</w:t>
      </w:r>
    </w:p>
    <w:p w:rsidR="00276952" w:rsidRPr="00276952" w:rsidRDefault="00276952" w:rsidP="00276952">
      <w:pPr>
        <w:widowControl w:val="0"/>
        <w:spacing w:before="120" w:after="120" w:line="240" w:lineRule="auto"/>
        <w:ind w:left="993" w:hanging="360"/>
        <w:contextualSpacing/>
        <w:jc w:val="both"/>
        <w:rPr>
          <w:rFonts w:ascii="Times New Roman" w:eastAsia="Times New Roman" w:hAnsi="Times New Roman"/>
          <w:bCs/>
        </w:rPr>
      </w:pPr>
      <w:r w:rsidRPr="00276952">
        <w:rPr>
          <w:rFonts w:ascii="Times New Roman" w:eastAsia="Times New Roman" w:hAnsi="Times New Roman"/>
          <w:bCs/>
        </w:rPr>
        <w:t>-</w:t>
      </w:r>
      <w:r w:rsidRPr="00276952">
        <w:rPr>
          <w:rFonts w:ascii="Times New Roman" w:eastAsia="Times New Roman" w:hAnsi="Times New Roman"/>
          <w:bCs/>
        </w:rPr>
        <w:tab/>
        <w:t>Rendelkezik a logisztikai alegységek napi feladatainak ellátásához és kiképzéséhez szükséges szakmai ismeretekkel.</w:t>
      </w:r>
    </w:p>
    <w:p w:rsidR="00276952" w:rsidRPr="00276952" w:rsidRDefault="00276952" w:rsidP="00276952">
      <w:pPr>
        <w:widowControl w:val="0"/>
        <w:spacing w:before="120" w:after="0" w:line="240" w:lineRule="auto"/>
        <w:ind w:left="425"/>
        <w:jc w:val="both"/>
        <w:rPr>
          <w:rFonts w:ascii="Times New Roman" w:eastAsia="Times New Roman" w:hAnsi="Times New Roman" w:cs="Times New Roman"/>
          <w:bCs/>
        </w:rPr>
      </w:pPr>
      <w:r w:rsidRPr="00276952">
        <w:rPr>
          <w:rFonts w:ascii="Times New Roman" w:eastAsia="Times New Roman" w:hAnsi="Times New Roman" w:cs="Times New Roman"/>
          <w:b/>
          <w:bCs/>
        </w:rPr>
        <w:t>Képességei:</w:t>
      </w:r>
      <w:r w:rsidRPr="00276952">
        <w:rPr>
          <w:rFonts w:ascii="Times New Roman" w:eastAsia="Times New Roman" w:hAnsi="Times New Roman" w:cs="Times New Roman"/>
          <w:bCs/>
        </w:rPr>
        <w:t xml:space="preserve"> </w:t>
      </w:r>
    </w:p>
    <w:p w:rsidR="00276952" w:rsidRPr="00276952" w:rsidRDefault="00276952" w:rsidP="00276952">
      <w:pPr>
        <w:widowControl w:val="0"/>
        <w:spacing w:before="120" w:after="120" w:line="240" w:lineRule="auto"/>
        <w:ind w:left="993" w:hanging="360"/>
        <w:contextualSpacing/>
        <w:jc w:val="both"/>
        <w:rPr>
          <w:rFonts w:ascii="Times New Roman" w:eastAsia="Times New Roman" w:hAnsi="Times New Roman"/>
          <w:bCs/>
        </w:rPr>
      </w:pPr>
      <w:r w:rsidRPr="00276952">
        <w:rPr>
          <w:rFonts w:ascii="Times New Roman" w:eastAsia="Times New Roman" w:hAnsi="Times New Roman"/>
          <w:bCs/>
        </w:rPr>
        <w:t>-</w:t>
      </w:r>
      <w:r w:rsidRPr="00276952">
        <w:rPr>
          <w:rFonts w:ascii="Times New Roman" w:eastAsia="Times New Roman" w:hAnsi="Times New Roman"/>
          <w:bCs/>
        </w:rPr>
        <w:tab/>
        <w:t>Képes a munkaköréhez és feladataihoz kapcsolódó jogszabályi háttér értelmezésére és gyakorlati alkalmazására.</w:t>
      </w:r>
    </w:p>
    <w:p w:rsidR="00276952" w:rsidRPr="00276952" w:rsidRDefault="00276952" w:rsidP="00276952">
      <w:pPr>
        <w:widowControl w:val="0"/>
        <w:spacing w:before="120" w:after="120" w:line="240" w:lineRule="auto"/>
        <w:ind w:left="993" w:hanging="360"/>
        <w:contextualSpacing/>
        <w:jc w:val="both"/>
        <w:rPr>
          <w:rFonts w:ascii="Times New Roman" w:eastAsia="Times New Roman" w:hAnsi="Times New Roman"/>
          <w:bCs/>
        </w:rPr>
      </w:pPr>
      <w:r w:rsidRPr="00276952">
        <w:rPr>
          <w:rFonts w:ascii="Times New Roman" w:eastAsia="Times New Roman" w:hAnsi="Times New Roman"/>
          <w:bCs/>
        </w:rPr>
        <w:t>-</w:t>
      </w:r>
      <w:r w:rsidRPr="00276952">
        <w:rPr>
          <w:rFonts w:ascii="Times New Roman" w:eastAsia="Times New Roman" w:hAnsi="Times New Roman"/>
          <w:bCs/>
        </w:rPr>
        <w:tab/>
        <w:t>Képes a beosztottjai általános katonai és szakmai vezetésére, munkájuk hatékony megszervezésére, alegység szintű ellátási feladatok végrehajtására, vezetésére békében és különleges jogrendi időszakban.</w:t>
      </w:r>
    </w:p>
    <w:p w:rsidR="00276952" w:rsidRPr="00276952" w:rsidRDefault="00276952" w:rsidP="00276952">
      <w:pPr>
        <w:widowControl w:val="0"/>
        <w:spacing w:before="120" w:after="120" w:line="240" w:lineRule="auto"/>
        <w:ind w:left="993" w:hanging="360"/>
        <w:contextualSpacing/>
        <w:jc w:val="both"/>
        <w:rPr>
          <w:rFonts w:ascii="Times New Roman" w:eastAsia="Times New Roman" w:hAnsi="Times New Roman"/>
          <w:bCs/>
        </w:rPr>
      </w:pPr>
      <w:r w:rsidRPr="00276952">
        <w:rPr>
          <w:rFonts w:ascii="Times New Roman" w:eastAsia="Times New Roman" w:hAnsi="Times New Roman"/>
          <w:bCs/>
        </w:rPr>
        <w:t>-</w:t>
      </w:r>
      <w:r w:rsidRPr="00276952">
        <w:rPr>
          <w:rFonts w:ascii="Times New Roman" w:eastAsia="Times New Roman" w:hAnsi="Times New Roman"/>
          <w:bCs/>
        </w:rPr>
        <w:tab/>
        <w:t>Képes a beosztottjainak a hadtáp szaktechnikai eszközök használatára történő kiképzését megszervezni és végrehajtani.</w:t>
      </w:r>
    </w:p>
    <w:p w:rsidR="00276952" w:rsidRPr="00276952" w:rsidRDefault="00276952" w:rsidP="00276952">
      <w:pPr>
        <w:widowControl w:val="0"/>
        <w:spacing w:before="120" w:after="0" w:line="240" w:lineRule="auto"/>
        <w:ind w:left="425"/>
        <w:jc w:val="both"/>
        <w:rPr>
          <w:rFonts w:ascii="Times New Roman" w:eastAsia="Times New Roman" w:hAnsi="Times New Roman" w:cs="Times New Roman"/>
          <w:bCs/>
        </w:rPr>
      </w:pPr>
      <w:r w:rsidRPr="00276952">
        <w:rPr>
          <w:rFonts w:ascii="Times New Roman" w:eastAsia="Times New Roman" w:hAnsi="Times New Roman" w:cs="Times New Roman"/>
          <w:b/>
          <w:bCs/>
        </w:rPr>
        <w:t>Attitűdje:</w:t>
      </w:r>
      <w:r w:rsidRPr="00276952">
        <w:rPr>
          <w:rFonts w:ascii="Times New Roman" w:eastAsia="Times New Roman" w:hAnsi="Times New Roman" w:cs="Times New Roman"/>
          <w:bCs/>
        </w:rPr>
        <w:t xml:space="preserve"> </w:t>
      </w:r>
    </w:p>
    <w:p w:rsidR="00276952" w:rsidRPr="00276952" w:rsidRDefault="00276952" w:rsidP="00276952">
      <w:pPr>
        <w:widowControl w:val="0"/>
        <w:spacing w:before="120" w:after="120" w:line="240" w:lineRule="auto"/>
        <w:ind w:left="993" w:hanging="360"/>
        <w:contextualSpacing/>
        <w:jc w:val="both"/>
        <w:rPr>
          <w:rFonts w:ascii="Times New Roman" w:eastAsia="Times New Roman" w:hAnsi="Times New Roman"/>
          <w:bCs/>
        </w:rPr>
      </w:pPr>
      <w:r w:rsidRPr="00276952">
        <w:rPr>
          <w:rFonts w:ascii="Times New Roman" w:eastAsia="Times New Roman" w:hAnsi="Times New Roman"/>
          <w:bCs/>
        </w:rPr>
        <w:t>-</w:t>
      </w:r>
      <w:r w:rsidRPr="00276952">
        <w:rPr>
          <w:rFonts w:ascii="Times New Roman" w:eastAsia="Times New Roman" w:hAnsi="Times New Roman"/>
          <w:bCs/>
        </w:rPr>
        <w:tab/>
        <w:t>Felismeri a rendszerszintű tevékenységben rejlő értékeket.</w:t>
      </w:r>
    </w:p>
    <w:p w:rsidR="00276952" w:rsidRPr="00276952" w:rsidRDefault="00276952" w:rsidP="00276952">
      <w:pPr>
        <w:widowControl w:val="0"/>
        <w:spacing w:before="120" w:after="120" w:line="240" w:lineRule="auto"/>
        <w:ind w:left="993" w:hanging="360"/>
        <w:contextualSpacing/>
        <w:jc w:val="both"/>
        <w:rPr>
          <w:rFonts w:ascii="Times New Roman" w:eastAsia="Times New Roman" w:hAnsi="Times New Roman"/>
          <w:bCs/>
        </w:rPr>
      </w:pPr>
      <w:r w:rsidRPr="00276952">
        <w:rPr>
          <w:rFonts w:ascii="Times New Roman" w:eastAsia="Times New Roman" w:hAnsi="Times New Roman"/>
          <w:bCs/>
        </w:rPr>
        <w:t>-</w:t>
      </w:r>
      <w:r w:rsidRPr="00276952">
        <w:rPr>
          <w:rFonts w:ascii="Times New Roman" w:eastAsia="Times New Roman" w:hAnsi="Times New Roman"/>
          <w:bCs/>
        </w:rPr>
        <w:tab/>
        <w:t xml:space="preserve">Törekszik a logisztikai tevékenységek közötti kapcsolatok értelmezésére. </w:t>
      </w:r>
    </w:p>
    <w:p w:rsidR="00276952" w:rsidRPr="00276952" w:rsidRDefault="00276952" w:rsidP="00276952">
      <w:pPr>
        <w:widowControl w:val="0"/>
        <w:spacing w:before="120" w:after="120" w:line="240" w:lineRule="auto"/>
        <w:ind w:left="993" w:hanging="360"/>
        <w:contextualSpacing/>
        <w:jc w:val="both"/>
        <w:rPr>
          <w:rFonts w:ascii="Times New Roman" w:eastAsia="Times New Roman" w:hAnsi="Times New Roman"/>
          <w:bCs/>
        </w:rPr>
      </w:pPr>
      <w:r w:rsidRPr="00276952">
        <w:rPr>
          <w:rFonts w:ascii="Times New Roman" w:eastAsia="Times New Roman" w:hAnsi="Times New Roman"/>
          <w:bCs/>
        </w:rPr>
        <w:lastRenderedPageBreak/>
        <w:t>-</w:t>
      </w:r>
      <w:r w:rsidRPr="00276952">
        <w:rPr>
          <w:rFonts w:ascii="Times New Roman" w:eastAsia="Times New Roman" w:hAnsi="Times New Roman"/>
          <w:bCs/>
        </w:rPr>
        <w:tab/>
        <w:t>Feladatainak végrehajtása során az együttműködésre törekszik.</w:t>
      </w:r>
    </w:p>
    <w:p w:rsidR="00276952" w:rsidRPr="00276952" w:rsidRDefault="00276952" w:rsidP="00276952">
      <w:pPr>
        <w:widowControl w:val="0"/>
        <w:spacing w:before="120" w:after="120" w:line="240" w:lineRule="auto"/>
        <w:ind w:left="993" w:hanging="360"/>
        <w:contextualSpacing/>
        <w:jc w:val="both"/>
        <w:rPr>
          <w:rFonts w:ascii="Times New Roman" w:eastAsia="Times New Roman" w:hAnsi="Times New Roman"/>
          <w:bCs/>
        </w:rPr>
      </w:pPr>
      <w:r w:rsidRPr="00276952">
        <w:rPr>
          <w:rFonts w:ascii="Times New Roman" w:eastAsia="Times New Roman" w:hAnsi="Times New Roman"/>
          <w:bCs/>
        </w:rPr>
        <w:t>-</w:t>
      </w:r>
      <w:r w:rsidRPr="00276952">
        <w:rPr>
          <w:rFonts w:ascii="Times New Roman" w:eastAsia="Times New Roman" w:hAnsi="Times New Roman"/>
          <w:bCs/>
        </w:rPr>
        <w:tab/>
        <w:t>Tevékenységét a hatékonyság központú szemlélet és jó szervezőkészség jellemzi.</w:t>
      </w:r>
    </w:p>
    <w:p w:rsidR="00276952" w:rsidRPr="00276952" w:rsidRDefault="00276952" w:rsidP="00276952">
      <w:pPr>
        <w:widowControl w:val="0"/>
        <w:spacing w:before="120" w:after="120" w:line="240" w:lineRule="auto"/>
        <w:ind w:left="993" w:hanging="360"/>
        <w:contextualSpacing/>
        <w:jc w:val="both"/>
        <w:rPr>
          <w:rFonts w:ascii="Times New Roman" w:eastAsia="Times New Roman" w:hAnsi="Times New Roman"/>
          <w:bCs/>
        </w:rPr>
      </w:pPr>
      <w:r w:rsidRPr="00276952">
        <w:rPr>
          <w:rFonts w:ascii="Times New Roman" w:eastAsia="Times New Roman" w:hAnsi="Times New Roman"/>
          <w:bCs/>
        </w:rPr>
        <w:t>-</w:t>
      </w:r>
      <w:r w:rsidRPr="00276952">
        <w:rPr>
          <w:rFonts w:ascii="Times New Roman" w:eastAsia="Times New Roman" w:hAnsi="Times New Roman"/>
          <w:bCs/>
        </w:rPr>
        <w:tab/>
        <w:t>A hadtáp szakmai feladatok ellátása során a rendszerszemlélet és jó szervezőkészség jellemzi.</w:t>
      </w:r>
    </w:p>
    <w:p w:rsidR="00276952" w:rsidRPr="00276952" w:rsidRDefault="00276952" w:rsidP="00276952">
      <w:pPr>
        <w:widowControl w:val="0"/>
        <w:spacing w:before="120" w:after="120" w:line="240" w:lineRule="auto"/>
        <w:ind w:left="993" w:hanging="360"/>
        <w:contextualSpacing/>
        <w:jc w:val="both"/>
        <w:rPr>
          <w:rFonts w:ascii="Times New Roman" w:eastAsia="Times New Roman" w:hAnsi="Times New Roman"/>
          <w:bCs/>
        </w:rPr>
      </w:pPr>
      <w:r w:rsidRPr="00276952">
        <w:rPr>
          <w:rFonts w:ascii="Times New Roman" w:eastAsia="Times New Roman" w:hAnsi="Times New Roman"/>
          <w:bCs/>
        </w:rPr>
        <w:t>-</w:t>
      </w:r>
      <w:r w:rsidRPr="00276952">
        <w:rPr>
          <w:rFonts w:ascii="Times New Roman" w:eastAsia="Times New Roman" w:hAnsi="Times New Roman"/>
          <w:bCs/>
        </w:rPr>
        <w:tab/>
        <w:t>Nyitott a hadtáp szakterület új tudományos eredményei iránt.</w:t>
      </w:r>
    </w:p>
    <w:p w:rsidR="00276952" w:rsidRPr="00276952" w:rsidRDefault="00276952" w:rsidP="00276952">
      <w:pPr>
        <w:widowControl w:val="0"/>
        <w:spacing w:before="120" w:after="120" w:line="240" w:lineRule="auto"/>
        <w:ind w:left="993" w:hanging="360"/>
        <w:contextualSpacing/>
        <w:jc w:val="both"/>
        <w:rPr>
          <w:rFonts w:ascii="Times New Roman" w:eastAsia="Times New Roman" w:hAnsi="Times New Roman"/>
          <w:bCs/>
        </w:rPr>
      </w:pPr>
      <w:r w:rsidRPr="00276952">
        <w:rPr>
          <w:rFonts w:ascii="Times New Roman" w:eastAsia="Times New Roman" w:hAnsi="Times New Roman"/>
          <w:bCs/>
        </w:rPr>
        <w:t>-</w:t>
      </w:r>
      <w:r w:rsidRPr="00276952">
        <w:rPr>
          <w:rFonts w:ascii="Times New Roman" w:eastAsia="Times New Roman" w:hAnsi="Times New Roman"/>
          <w:bCs/>
        </w:rPr>
        <w:tab/>
        <w:t>Képes a hadtáp szakterületen bekövetkező változásokhoz és fejlődéshez jól alkalmazkodni.</w:t>
      </w:r>
    </w:p>
    <w:p w:rsidR="00276952" w:rsidRPr="00276952" w:rsidRDefault="00276952" w:rsidP="00276952">
      <w:pPr>
        <w:widowControl w:val="0"/>
        <w:spacing w:before="120" w:after="0" w:line="240" w:lineRule="auto"/>
        <w:ind w:left="425"/>
        <w:jc w:val="both"/>
        <w:rPr>
          <w:rFonts w:ascii="Times New Roman" w:eastAsia="Times New Roman" w:hAnsi="Times New Roman" w:cs="Times New Roman"/>
          <w:bCs/>
        </w:rPr>
      </w:pPr>
      <w:r w:rsidRPr="00276952">
        <w:rPr>
          <w:rFonts w:ascii="Times New Roman" w:eastAsia="Times New Roman" w:hAnsi="Times New Roman" w:cs="Times New Roman"/>
          <w:b/>
          <w:bCs/>
        </w:rPr>
        <w:t>Autonómiája és felelőssége:</w:t>
      </w:r>
    </w:p>
    <w:p w:rsidR="00276952" w:rsidRPr="00276952" w:rsidRDefault="00276952" w:rsidP="00276952">
      <w:pPr>
        <w:widowControl w:val="0"/>
        <w:spacing w:before="120" w:after="120" w:line="240" w:lineRule="auto"/>
        <w:ind w:left="993" w:hanging="360"/>
        <w:contextualSpacing/>
        <w:jc w:val="both"/>
        <w:rPr>
          <w:rFonts w:ascii="Times New Roman" w:eastAsia="Times New Roman" w:hAnsi="Times New Roman"/>
          <w:bCs/>
        </w:rPr>
      </w:pPr>
      <w:r w:rsidRPr="00276952">
        <w:rPr>
          <w:rFonts w:ascii="Times New Roman" w:eastAsia="Times New Roman" w:hAnsi="Times New Roman"/>
          <w:bCs/>
        </w:rPr>
        <w:t>-</w:t>
      </w:r>
      <w:r w:rsidRPr="00276952">
        <w:rPr>
          <w:rFonts w:ascii="Times New Roman" w:eastAsia="Times New Roman" w:hAnsi="Times New Roman"/>
          <w:bCs/>
        </w:rPr>
        <w:tab/>
        <w:t>Az ellátási folyamatok végrehajtása során önállóan döntéseket hoz, azokat felelősséggel, a jogszabályi keretek figyelembevételével végrehajtja.</w:t>
      </w:r>
    </w:p>
    <w:p w:rsidR="00276952" w:rsidRPr="00276952" w:rsidRDefault="00276952" w:rsidP="00276952">
      <w:pPr>
        <w:widowControl w:val="0"/>
        <w:spacing w:before="120" w:after="120" w:line="240" w:lineRule="auto"/>
        <w:ind w:left="993" w:hanging="360"/>
        <w:contextualSpacing/>
        <w:jc w:val="both"/>
        <w:rPr>
          <w:rFonts w:ascii="Times New Roman" w:eastAsia="Times New Roman" w:hAnsi="Times New Roman"/>
          <w:bCs/>
        </w:rPr>
      </w:pPr>
      <w:r w:rsidRPr="00276952">
        <w:rPr>
          <w:rFonts w:ascii="Times New Roman" w:eastAsia="Times New Roman" w:hAnsi="Times New Roman"/>
          <w:bCs/>
        </w:rPr>
        <w:t>-</w:t>
      </w:r>
      <w:r w:rsidRPr="00276952">
        <w:rPr>
          <w:rFonts w:ascii="Times New Roman" w:eastAsia="Times New Roman" w:hAnsi="Times New Roman"/>
          <w:bCs/>
        </w:rPr>
        <w:tab/>
        <w:t>Felelősséget vállal a rábízott hadtáp szaktechnikai eszközökért és anyagokért.</w:t>
      </w:r>
    </w:p>
    <w:p w:rsidR="00276952" w:rsidRPr="00276952" w:rsidRDefault="00276952" w:rsidP="00276952">
      <w:pPr>
        <w:widowControl w:val="0"/>
        <w:spacing w:before="120" w:after="120" w:line="240" w:lineRule="auto"/>
        <w:ind w:left="993" w:hanging="360"/>
        <w:contextualSpacing/>
        <w:jc w:val="both"/>
        <w:rPr>
          <w:rFonts w:ascii="Times New Roman" w:eastAsia="Times New Roman" w:hAnsi="Times New Roman"/>
          <w:bCs/>
        </w:rPr>
      </w:pPr>
      <w:r w:rsidRPr="00276952">
        <w:rPr>
          <w:rFonts w:ascii="Times New Roman" w:eastAsia="Times New Roman" w:hAnsi="Times New Roman"/>
          <w:bCs/>
        </w:rPr>
        <w:t>-</w:t>
      </w:r>
      <w:r w:rsidRPr="00276952">
        <w:rPr>
          <w:rFonts w:ascii="Times New Roman" w:eastAsia="Times New Roman" w:hAnsi="Times New Roman"/>
          <w:bCs/>
        </w:rPr>
        <w:tab/>
        <w:t>Tisztában van döntéseinek, tevékenységének a műszaki eszközökre, gyakorolt hatásaival, következményeivel.</w:t>
      </w:r>
    </w:p>
    <w:p w:rsidR="00276952" w:rsidRPr="00276952" w:rsidRDefault="00276952" w:rsidP="00276952">
      <w:pPr>
        <w:widowControl w:val="0"/>
        <w:spacing w:before="120" w:after="120" w:line="240" w:lineRule="auto"/>
        <w:ind w:left="993" w:hanging="360"/>
        <w:contextualSpacing/>
        <w:jc w:val="both"/>
        <w:rPr>
          <w:rFonts w:ascii="Times New Roman" w:eastAsia="Times New Roman" w:hAnsi="Times New Roman"/>
          <w:bCs/>
        </w:rPr>
      </w:pPr>
      <w:r w:rsidRPr="00276952">
        <w:rPr>
          <w:rFonts w:ascii="Times New Roman" w:eastAsia="Times New Roman" w:hAnsi="Times New Roman"/>
          <w:bCs/>
        </w:rPr>
        <w:t>-</w:t>
      </w:r>
      <w:r w:rsidRPr="00276952">
        <w:rPr>
          <w:rFonts w:ascii="Times New Roman" w:eastAsia="Times New Roman" w:hAnsi="Times New Roman"/>
          <w:bCs/>
        </w:rPr>
        <w:tab/>
        <w:t>Felelősséget vállal a vezetése alatt álló beosztottjainak szakmai tevékenységéért.</w:t>
      </w:r>
    </w:p>
    <w:p w:rsidR="00276952" w:rsidRPr="00276952" w:rsidRDefault="00276952" w:rsidP="00276952">
      <w:pPr>
        <w:widowControl w:val="0"/>
        <w:spacing w:before="120" w:after="0" w:line="240" w:lineRule="auto"/>
        <w:ind w:left="425"/>
        <w:jc w:val="both"/>
        <w:rPr>
          <w:rFonts w:ascii="Times New Roman" w:eastAsia="Times New Roman" w:hAnsi="Times New Roman" w:cs="Times New Roman"/>
          <w:b/>
          <w:bCs/>
          <w:lang w:val="en-US"/>
        </w:rPr>
      </w:pPr>
      <w:r w:rsidRPr="00276952">
        <w:rPr>
          <w:rFonts w:ascii="Times New Roman" w:eastAsia="Times New Roman" w:hAnsi="Times New Roman" w:cs="Times New Roman"/>
          <w:b/>
          <w:bCs/>
        </w:rPr>
        <w:t>Elérendő kompetenciák (angolul) (</w:t>
      </w:r>
      <w:r w:rsidRPr="00276952">
        <w:rPr>
          <w:rFonts w:ascii="Times New Roman" w:eastAsia="Times New Roman" w:hAnsi="Times New Roman" w:cs="Times New Roman"/>
          <w:b/>
          <w:bCs/>
          <w:lang w:val="en-US"/>
        </w:rPr>
        <w:t xml:space="preserve">Competences – English): </w:t>
      </w:r>
    </w:p>
    <w:p w:rsidR="00276952" w:rsidRPr="00276952" w:rsidRDefault="00276952" w:rsidP="00276952">
      <w:pPr>
        <w:widowControl w:val="0"/>
        <w:spacing w:before="120" w:after="0" w:line="240" w:lineRule="auto"/>
        <w:ind w:left="425"/>
        <w:jc w:val="both"/>
        <w:rPr>
          <w:rFonts w:ascii="Times New Roman" w:eastAsia="Times New Roman" w:hAnsi="Times New Roman" w:cs="Times New Roman"/>
          <w:lang w:val="en-GB"/>
        </w:rPr>
      </w:pPr>
      <w:r w:rsidRPr="00276952">
        <w:rPr>
          <w:rFonts w:ascii="Times New Roman" w:eastAsia="Times New Roman" w:hAnsi="Times New Roman" w:cs="Times New Roman"/>
          <w:b/>
          <w:lang w:val="en-GB"/>
        </w:rPr>
        <w:t>Knowledge</w:t>
      </w:r>
      <w:r w:rsidRPr="00276952">
        <w:rPr>
          <w:rFonts w:ascii="Times New Roman" w:eastAsia="Times New Roman" w:hAnsi="Times New Roman" w:cs="Times New Roman"/>
          <w:lang w:val="en-GB"/>
        </w:rPr>
        <w:t xml:space="preserve">: </w:t>
      </w:r>
    </w:p>
    <w:p w:rsidR="00276952" w:rsidRPr="00276952" w:rsidRDefault="00276952" w:rsidP="00276952">
      <w:pPr>
        <w:widowControl w:val="0"/>
        <w:spacing w:before="120" w:after="120" w:line="240" w:lineRule="auto"/>
        <w:ind w:left="993" w:hanging="360"/>
        <w:contextualSpacing/>
        <w:jc w:val="both"/>
        <w:rPr>
          <w:rFonts w:ascii="Times New Roman" w:eastAsia="Times New Roman" w:hAnsi="Times New Roman"/>
          <w:bCs/>
        </w:rPr>
      </w:pPr>
      <w:r w:rsidRPr="00276952">
        <w:rPr>
          <w:rFonts w:ascii="Times New Roman" w:eastAsia="Times New Roman" w:hAnsi="Times New Roman"/>
          <w:bCs/>
        </w:rPr>
        <w:t>-</w:t>
      </w:r>
      <w:r w:rsidRPr="00276952">
        <w:rPr>
          <w:rFonts w:ascii="Times New Roman" w:eastAsia="Times New Roman" w:hAnsi="Times New Roman"/>
          <w:bCs/>
        </w:rPr>
        <w:tab/>
        <w:t>Cadets have the professional knowledge necessary to carry out the day-to-day tasks of the logistic units.</w:t>
      </w:r>
    </w:p>
    <w:p w:rsidR="00276952" w:rsidRPr="00276952" w:rsidRDefault="00276952" w:rsidP="00276952">
      <w:pPr>
        <w:widowControl w:val="0"/>
        <w:spacing w:before="120" w:after="0" w:line="240" w:lineRule="auto"/>
        <w:ind w:left="425"/>
        <w:jc w:val="both"/>
        <w:rPr>
          <w:rFonts w:ascii="Times New Roman" w:eastAsia="Times New Roman" w:hAnsi="Times New Roman" w:cs="Times New Roman"/>
          <w:lang w:val="en-GB"/>
        </w:rPr>
      </w:pPr>
      <w:r w:rsidRPr="00276952">
        <w:rPr>
          <w:rFonts w:ascii="Times New Roman" w:eastAsia="Times New Roman" w:hAnsi="Times New Roman" w:cs="Times New Roman"/>
          <w:b/>
          <w:lang w:val="en-GB"/>
        </w:rPr>
        <w:t>Capabilities</w:t>
      </w:r>
      <w:r w:rsidRPr="00276952">
        <w:rPr>
          <w:rFonts w:ascii="Times New Roman" w:eastAsia="Times New Roman" w:hAnsi="Times New Roman" w:cs="Times New Roman"/>
          <w:lang w:val="en-GB"/>
        </w:rPr>
        <w:t xml:space="preserve">: </w:t>
      </w:r>
    </w:p>
    <w:p w:rsidR="00276952" w:rsidRPr="00276952" w:rsidRDefault="00276952" w:rsidP="00276952">
      <w:pPr>
        <w:widowControl w:val="0"/>
        <w:spacing w:before="120" w:after="120" w:line="240" w:lineRule="auto"/>
        <w:ind w:left="993" w:hanging="360"/>
        <w:contextualSpacing/>
        <w:jc w:val="both"/>
        <w:rPr>
          <w:rFonts w:ascii="Times New Roman" w:eastAsia="Times New Roman" w:hAnsi="Times New Roman"/>
          <w:bCs/>
        </w:rPr>
      </w:pPr>
      <w:r w:rsidRPr="00276952">
        <w:rPr>
          <w:rFonts w:ascii="Times New Roman" w:eastAsia="Times New Roman" w:hAnsi="Times New Roman"/>
          <w:bCs/>
        </w:rPr>
        <w:t>-</w:t>
      </w:r>
      <w:r w:rsidRPr="00276952">
        <w:rPr>
          <w:rFonts w:ascii="Times New Roman" w:eastAsia="Times New Roman" w:hAnsi="Times New Roman"/>
          <w:bCs/>
        </w:rPr>
        <w:tab/>
        <w:t>Cadets are able to interpret and apply the legal context relevant to their job and duties; they are able to provide general and military leadership to their subordinates.</w:t>
      </w:r>
    </w:p>
    <w:p w:rsidR="00276952" w:rsidRPr="00276952" w:rsidRDefault="00276952" w:rsidP="00276952">
      <w:pPr>
        <w:widowControl w:val="0"/>
        <w:spacing w:before="120" w:after="120" w:line="240" w:lineRule="auto"/>
        <w:ind w:left="993" w:hanging="360"/>
        <w:contextualSpacing/>
        <w:jc w:val="both"/>
        <w:rPr>
          <w:rFonts w:ascii="Times New Roman" w:eastAsia="Times New Roman" w:hAnsi="Times New Roman"/>
          <w:bCs/>
        </w:rPr>
      </w:pPr>
      <w:r w:rsidRPr="00276952">
        <w:rPr>
          <w:rFonts w:ascii="Times New Roman" w:eastAsia="Times New Roman" w:hAnsi="Times New Roman"/>
          <w:bCs/>
        </w:rPr>
        <w:t>-</w:t>
      </w:r>
      <w:r w:rsidRPr="00276952">
        <w:rPr>
          <w:rFonts w:ascii="Times New Roman" w:eastAsia="Times New Roman" w:hAnsi="Times New Roman"/>
          <w:bCs/>
        </w:rPr>
        <w:tab/>
        <w:t>Cadets can effectively organise their work, execute the logistic activities on subunit level in both peace and state of emergency.</w:t>
      </w:r>
    </w:p>
    <w:p w:rsidR="00276952" w:rsidRPr="00276952" w:rsidRDefault="00276952" w:rsidP="00276952">
      <w:pPr>
        <w:widowControl w:val="0"/>
        <w:spacing w:before="120" w:after="120" w:line="240" w:lineRule="auto"/>
        <w:ind w:left="993" w:hanging="360"/>
        <w:contextualSpacing/>
        <w:jc w:val="both"/>
        <w:rPr>
          <w:rFonts w:ascii="Times New Roman" w:eastAsia="Times New Roman" w:hAnsi="Times New Roman"/>
          <w:bCs/>
        </w:rPr>
      </w:pPr>
      <w:r w:rsidRPr="00276952">
        <w:rPr>
          <w:rFonts w:ascii="Times New Roman" w:eastAsia="Times New Roman" w:hAnsi="Times New Roman"/>
          <w:bCs/>
        </w:rPr>
        <w:t>-</w:t>
      </w:r>
      <w:r w:rsidRPr="00276952">
        <w:rPr>
          <w:rFonts w:ascii="Times New Roman" w:eastAsia="Times New Roman" w:hAnsi="Times New Roman"/>
          <w:bCs/>
        </w:rPr>
        <w:tab/>
        <w:t>They can also organise, coordinate and execute the training of their subordinates regarding the use of the logistic technical tools.</w:t>
      </w:r>
    </w:p>
    <w:p w:rsidR="00276952" w:rsidRPr="00276952" w:rsidRDefault="00276952" w:rsidP="002769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425"/>
        <w:jc w:val="both"/>
        <w:rPr>
          <w:rFonts w:ascii="Times New Roman" w:eastAsia="Times New Roman" w:hAnsi="Times New Roman" w:cs="Times New Roman"/>
          <w:lang w:val="en-GB"/>
        </w:rPr>
      </w:pPr>
      <w:r w:rsidRPr="00276952">
        <w:rPr>
          <w:rFonts w:ascii="Times New Roman" w:eastAsia="Times New Roman" w:hAnsi="Times New Roman" w:cs="Times New Roman"/>
          <w:b/>
          <w:lang w:val="en-GB"/>
        </w:rPr>
        <w:t>Attitude:</w:t>
      </w:r>
      <w:r w:rsidRPr="00276952">
        <w:rPr>
          <w:rFonts w:ascii="Times New Roman" w:eastAsia="Times New Roman" w:hAnsi="Times New Roman" w:cs="Times New Roman"/>
          <w:lang w:val="en-GB"/>
        </w:rPr>
        <w:t xml:space="preserve"> </w:t>
      </w:r>
    </w:p>
    <w:p w:rsidR="00276952" w:rsidRPr="00276952" w:rsidRDefault="00276952" w:rsidP="00276952">
      <w:pPr>
        <w:widowControl w:val="0"/>
        <w:spacing w:before="120" w:after="120" w:line="240" w:lineRule="auto"/>
        <w:ind w:left="993" w:hanging="360"/>
        <w:contextualSpacing/>
        <w:jc w:val="both"/>
        <w:rPr>
          <w:rFonts w:ascii="Times New Roman" w:eastAsia="Times New Roman" w:hAnsi="Times New Roman"/>
          <w:bCs/>
        </w:rPr>
      </w:pPr>
      <w:r w:rsidRPr="00276952">
        <w:rPr>
          <w:rFonts w:ascii="Times New Roman" w:eastAsia="Times New Roman" w:hAnsi="Times New Roman"/>
          <w:bCs/>
        </w:rPr>
        <w:t>-</w:t>
      </w:r>
      <w:r w:rsidRPr="00276952">
        <w:rPr>
          <w:rFonts w:ascii="Times New Roman" w:eastAsia="Times New Roman" w:hAnsi="Times New Roman"/>
          <w:bCs/>
        </w:rPr>
        <w:tab/>
        <w:t>Cadets recognize the value of operating in a larger system; they seek to understand the relationships between logistics activities.</w:t>
      </w:r>
    </w:p>
    <w:p w:rsidR="00276952" w:rsidRPr="00276952" w:rsidRDefault="00276952" w:rsidP="00276952">
      <w:pPr>
        <w:widowControl w:val="0"/>
        <w:spacing w:before="120" w:after="120" w:line="240" w:lineRule="auto"/>
        <w:ind w:left="993" w:hanging="360"/>
        <w:contextualSpacing/>
        <w:jc w:val="both"/>
        <w:rPr>
          <w:rFonts w:ascii="Times New Roman" w:eastAsia="Times New Roman" w:hAnsi="Times New Roman"/>
          <w:bCs/>
        </w:rPr>
      </w:pPr>
      <w:r w:rsidRPr="00276952">
        <w:rPr>
          <w:rFonts w:ascii="Times New Roman" w:eastAsia="Times New Roman" w:hAnsi="Times New Roman"/>
          <w:bCs/>
        </w:rPr>
        <w:t>-</w:t>
      </w:r>
      <w:r w:rsidRPr="00276952">
        <w:rPr>
          <w:rFonts w:ascii="Times New Roman" w:eastAsia="Times New Roman" w:hAnsi="Times New Roman"/>
          <w:bCs/>
        </w:rPr>
        <w:tab/>
        <w:t>Cadets strive for cooperation while executing their tasks with an efficiency-oriented approach.</w:t>
      </w:r>
    </w:p>
    <w:p w:rsidR="00276952" w:rsidRPr="00276952" w:rsidRDefault="00276952" w:rsidP="00276952">
      <w:pPr>
        <w:widowControl w:val="0"/>
        <w:spacing w:before="120" w:after="120" w:line="240" w:lineRule="auto"/>
        <w:ind w:left="993" w:hanging="360"/>
        <w:contextualSpacing/>
        <w:jc w:val="both"/>
        <w:rPr>
          <w:rFonts w:ascii="Times New Roman" w:eastAsia="Times New Roman" w:hAnsi="Times New Roman"/>
          <w:bCs/>
        </w:rPr>
      </w:pPr>
      <w:r w:rsidRPr="00276952">
        <w:rPr>
          <w:rFonts w:ascii="Times New Roman" w:eastAsia="Times New Roman" w:hAnsi="Times New Roman"/>
          <w:bCs/>
        </w:rPr>
        <w:t>-</w:t>
      </w:r>
      <w:r w:rsidRPr="00276952">
        <w:rPr>
          <w:rFonts w:ascii="Times New Roman" w:eastAsia="Times New Roman" w:hAnsi="Times New Roman"/>
          <w:bCs/>
        </w:rPr>
        <w:tab/>
        <w:t>Cadets are able to execute their tasks independently and in larger groups.</w:t>
      </w:r>
    </w:p>
    <w:p w:rsidR="00276952" w:rsidRPr="00276952" w:rsidRDefault="00276952" w:rsidP="00276952">
      <w:pPr>
        <w:widowControl w:val="0"/>
        <w:spacing w:before="120" w:after="120" w:line="240" w:lineRule="auto"/>
        <w:ind w:left="993" w:hanging="360"/>
        <w:contextualSpacing/>
        <w:jc w:val="both"/>
        <w:rPr>
          <w:rFonts w:ascii="Times New Roman" w:eastAsia="Times New Roman" w:hAnsi="Times New Roman"/>
          <w:bCs/>
        </w:rPr>
      </w:pPr>
      <w:r w:rsidRPr="00276952">
        <w:rPr>
          <w:rFonts w:ascii="Times New Roman" w:eastAsia="Times New Roman" w:hAnsi="Times New Roman"/>
          <w:bCs/>
        </w:rPr>
        <w:t>-</w:t>
      </w:r>
      <w:r w:rsidRPr="00276952">
        <w:rPr>
          <w:rFonts w:ascii="Times New Roman" w:eastAsia="Times New Roman" w:hAnsi="Times New Roman"/>
          <w:bCs/>
        </w:rPr>
        <w:tab/>
        <w:t>They strive for cooperation and effective task execution.</w:t>
      </w:r>
    </w:p>
    <w:p w:rsidR="00276952" w:rsidRPr="00276952" w:rsidRDefault="00276952" w:rsidP="00276952">
      <w:pPr>
        <w:widowControl w:val="0"/>
        <w:spacing w:before="120" w:after="120" w:line="240" w:lineRule="auto"/>
        <w:ind w:left="993" w:hanging="360"/>
        <w:contextualSpacing/>
        <w:jc w:val="both"/>
        <w:rPr>
          <w:rFonts w:ascii="Times New Roman" w:eastAsia="Times New Roman" w:hAnsi="Times New Roman"/>
          <w:bCs/>
        </w:rPr>
      </w:pPr>
      <w:r w:rsidRPr="00276952">
        <w:rPr>
          <w:rFonts w:ascii="Times New Roman" w:eastAsia="Times New Roman" w:hAnsi="Times New Roman"/>
          <w:bCs/>
        </w:rPr>
        <w:t>-</w:t>
      </w:r>
      <w:r w:rsidRPr="00276952">
        <w:rPr>
          <w:rFonts w:ascii="Times New Roman" w:eastAsia="Times New Roman" w:hAnsi="Times New Roman"/>
          <w:bCs/>
        </w:rPr>
        <w:tab/>
        <w:t>Cadets are open to new scientific achievements in the field of military logistics and are able to adapt to changes and developments in this field.</w:t>
      </w:r>
    </w:p>
    <w:p w:rsidR="00276952" w:rsidRPr="00276952" w:rsidRDefault="00276952" w:rsidP="00276952">
      <w:pPr>
        <w:widowControl w:val="0"/>
        <w:spacing w:before="120" w:after="0" w:line="240" w:lineRule="auto"/>
        <w:ind w:left="425"/>
        <w:jc w:val="both"/>
        <w:rPr>
          <w:rFonts w:ascii="Times New Roman" w:eastAsia="Times New Roman" w:hAnsi="Times New Roman" w:cs="Times New Roman"/>
          <w:bCs/>
        </w:rPr>
      </w:pPr>
      <w:r w:rsidRPr="00276952">
        <w:rPr>
          <w:rFonts w:ascii="Times New Roman" w:eastAsia="Times New Roman" w:hAnsi="Times New Roman" w:cs="Times New Roman"/>
          <w:b/>
          <w:lang w:val="en-GB"/>
        </w:rPr>
        <w:t xml:space="preserve">Autonomy and responsibility: </w:t>
      </w:r>
    </w:p>
    <w:p w:rsidR="00276952" w:rsidRPr="00276952" w:rsidRDefault="00276952" w:rsidP="00276952">
      <w:pPr>
        <w:widowControl w:val="0"/>
        <w:spacing w:before="120" w:after="120" w:line="240" w:lineRule="auto"/>
        <w:ind w:left="993" w:hanging="360"/>
        <w:contextualSpacing/>
        <w:jc w:val="both"/>
        <w:rPr>
          <w:rFonts w:ascii="Times New Roman" w:eastAsia="Times New Roman" w:hAnsi="Times New Roman"/>
          <w:bCs/>
        </w:rPr>
      </w:pPr>
      <w:r w:rsidRPr="00276952">
        <w:rPr>
          <w:rFonts w:ascii="Times New Roman" w:eastAsia="Times New Roman" w:hAnsi="Times New Roman"/>
          <w:bCs/>
        </w:rPr>
        <w:t>-</w:t>
      </w:r>
      <w:r w:rsidRPr="00276952">
        <w:rPr>
          <w:rFonts w:ascii="Times New Roman" w:eastAsia="Times New Roman" w:hAnsi="Times New Roman"/>
          <w:bCs/>
        </w:rPr>
        <w:tab/>
        <w:t>Cadets are able to make independent decisions at subunit level in military logistics processes, and to implement them responsibly within the legal framework.</w:t>
      </w:r>
    </w:p>
    <w:p w:rsidR="00276952" w:rsidRPr="00276952" w:rsidRDefault="00276952" w:rsidP="00276952">
      <w:pPr>
        <w:widowControl w:val="0"/>
        <w:spacing w:before="120" w:after="120" w:line="240" w:lineRule="auto"/>
        <w:ind w:left="993" w:hanging="360"/>
        <w:contextualSpacing/>
        <w:jc w:val="both"/>
        <w:rPr>
          <w:rFonts w:ascii="Times New Roman" w:eastAsia="Times New Roman" w:hAnsi="Times New Roman"/>
          <w:bCs/>
        </w:rPr>
      </w:pPr>
      <w:r w:rsidRPr="00276952">
        <w:rPr>
          <w:rFonts w:ascii="Times New Roman" w:eastAsia="Times New Roman" w:hAnsi="Times New Roman"/>
          <w:bCs/>
        </w:rPr>
        <w:t>-</w:t>
      </w:r>
      <w:r w:rsidRPr="00276952">
        <w:rPr>
          <w:rFonts w:ascii="Times New Roman" w:eastAsia="Times New Roman" w:hAnsi="Times New Roman"/>
          <w:bCs/>
        </w:rPr>
        <w:tab/>
        <w:t>Cadets are aware of the effects and consequences of their decisions and activities on technical tools and discipline.</w:t>
      </w:r>
    </w:p>
    <w:p w:rsidR="00276952" w:rsidRDefault="00276952" w:rsidP="00276952">
      <w:pPr>
        <w:widowControl w:val="0"/>
        <w:spacing w:after="120" w:line="240" w:lineRule="auto"/>
        <w:ind w:left="992" w:hanging="357"/>
        <w:contextualSpacing/>
        <w:jc w:val="both"/>
        <w:rPr>
          <w:rFonts w:ascii="Times New Roman" w:eastAsia="Times New Roman" w:hAnsi="Times New Roman"/>
          <w:bCs/>
        </w:rPr>
      </w:pPr>
      <w:r w:rsidRPr="00276952">
        <w:rPr>
          <w:rFonts w:ascii="Times New Roman" w:eastAsia="Times New Roman" w:hAnsi="Times New Roman"/>
          <w:bCs/>
        </w:rPr>
        <w:t>-</w:t>
      </w:r>
      <w:r w:rsidRPr="00276952">
        <w:rPr>
          <w:rFonts w:ascii="Times New Roman" w:eastAsia="Times New Roman" w:hAnsi="Times New Roman"/>
          <w:bCs/>
        </w:rPr>
        <w:tab/>
        <w:t>They are responsible for the professional activities of their subordinates.</w:t>
      </w:r>
    </w:p>
    <w:p w:rsidR="00276952" w:rsidRPr="00276952" w:rsidRDefault="00276952" w:rsidP="00980876">
      <w:pPr>
        <w:widowControl w:val="0"/>
        <w:numPr>
          <w:ilvl w:val="0"/>
          <w:numId w:val="192"/>
        </w:numPr>
        <w:tabs>
          <w:tab w:val="num" w:pos="567"/>
        </w:tabs>
        <w:spacing w:before="120" w:after="120" w:line="240" w:lineRule="auto"/>
        <w:ind w:left="426" w:hanging="142"/>
        <w:jc w:val="both"/>
        <w:rPr>
          <w:rFonts w:ascii="Times New Roman" w:eastAsia="Times New Roman" w:hAnsi="Times New Roman" w:cs="Times New Roman"/>
          <w:bCs/>
        </w:rPr>
      </w:pPr>
      <w:r w:rsidRPr="00276952">
        <w:rPr>
          <w:rFonts w:ascii="Times New Roman" w:eastAsia="Times New Roman" w:hAnsi="Times New Roman" w:cs="Times New Roman"/>
          <w:b/>
          <w:bCs/>
        </w:rPr>
        <w:t xml:space="preserve">Előtanulmányi követelmények: </w:t>
      </w:r>
      <w:r w:rsidRPr="00276952">
        <w:rPr>
          <w:rFonts w:ascii="Times New Roman" w:eastAsia="Times New Roman" w:hAnsi="Times New Roman" w:cs="Times New Roman"/>
          <w:bCs/>
        </w:rPr>
        <w:t xml:space="preserve"> Logisztikai szakkiképzés módszertana (HKHPKA12)</w:t>
      </w:r>
    </w:p>
    <w:p w:rsidR="00276952" w:rsidRPr="00276952" w:rsidRDefault="00276952" w:rsidP="00980876">
      <w:pPr>
        <w:widowControl w:val="0"/>
        <w:numPr>
          <w:ilvl w:val="0"/>
          <w:numId w:val="192"/>
        </w:numPr>
        <w:spacing w:before="120" w:after="120" w:line="240" w:lineRule="auto"/>
        <w:ind w:left="426" w:hanging="142"/>
        <w:jc w:val="both"/>
        <w:rPr>
          <w:rFonts w:ascii="Times New Roman" w:eastAsia="Times New Roman" w:hAnsi="Times New Roman" w:cs="Times New Roman"/>
          <w:b/>
          <w:bCs/>
        </w:rPr>
      </w:pPr>
      <w:r w:rsidRPr="00276952">
        <w:rPr>
          <w:rFonts w:ascii="Times New Roman" w:eastAsia="Times New Roman" w:hAnsi="Times New Roman" w:cs="Times New Roman"/>
          <w:b/>
          <w:bCs/>
        </w:rPr>
        <w:t>A tantárgy tananyagának leírása, tematika. Description of the subject, curriculum (magyarul, angolul - English):</w:t>
      </w:r>
    </w:p>
    <w:p w:rsidR="00276952" w:rsidRPr="00276952" w:rsidRDefault="00276952" w:rsidP="00980876">
      <w:pPr>
        <w:widowControl w:val="0"/>
        <w:numPr>
          <w:ilvl w:val="1"/>
          <w:numId w:val="192"/>
        </w:numPr>
        <w:tabs>
          <w:tab w:val="clear" w:pos="3977"/>
          <w:tab w:val="left" w:pos="709"/>
          <w:tab w:val="left" w:pos="993"/>
          <w:tab w:val="num" w:pos="2069"/>
          <w:tab w:val="num" w:pos="2275"/>
        </w:tabs>
        <w:spacing w:before="120" w:after="120" w:line="240" w:lineRule="auto"/>
        <w:ind w:left="993" w:hanging="567"/>
        <w:jc w:val="both"/>
        <w:rPr>
          <w:rFonts w:ascii="Times New Roman" w:eastAsia="Times New Roman" w:hAnsi="Times New Roman" w:cs="Times New Roman"/>
          <w:kern w:val="2"/>
        </w:rPr>
      </w:pPr>
      <w:r w:rsidRPr="00276952">
        <w:rPr>
          <w:rFonts w:ascii="Times New Roman" w:eastAsia="Times New Roman" w:hAnsi="Times New Roman" w:cs="Times New Roman"/>
          <w:kern w:val="2"/>
        </w:rPr>
        <w:t xml:space="preserve">A szerződéses katonai szolgálat jogszabályi keretei. </w:t>
      </w:r>
      <w:r w:rsidRPr="00276952">
        <w:rPr>
          <w:rFonts w:ascii="Times New Roman" w:eastAsia="Times New Roman" w:hAnsi="Times New Roman" w:cs="Times New Roman"/>
          <w:i/>
          <w:kern w:val="2"/>
        </w:rPr>
        <w:t>(Legal framework of the contracted military service.)</w:t>
      </w:r>
    </w:p>
    <w:p w:rsidR="00276952" w:rsidRPr="00276952" w:rsidRDefault="00276952" w:rsidP="00980876">
      <w:pPr>
        <w:widowControl w:val="0"/>
        <w:numPr>
          <w:ilvl w:val="1"/>
          <w:numId w:val="192"/>
        </w:numPr>
        <w:tabs>
          <w:tab w:val="clear" w:pos="3977"/>
          <w:tab w:val="left" w:pos="709"/>
          <w:tab w:val="left" w:pos="993"/>
          <w:tab w:val="num" w:pos="2069"/>
          <w:tab w:val="num" w:pos="2275"/>
        </w:tabs>
        <w:spacing w:before="120" w:after="120" w:line="240" w:lineRule="auto"/>
        <w:ind w:left="993" w:hanging="567"/>
        <w:jc w:val="both"/>
        <w:rPr>
          <w:rFonts w:ascii="Times New Roman" w:eastAsia="Times New Roman" w:hAnsi="Times New Roman" w:cs="Times New Roman"/>
          <w:kern w:val="2"/>
        </w:rPr>
      </w:pPr>
      <w:r w:rsidRPr="00276952">
        <w:rPr>
          <w:rFonts w:ascii="Times New Roman" w:eastAsia="Times New Roman" w:hAnsi="Times New Roman" w:cs="Times New Roman"/>
          <w:kern w:val="2"/>
        </w:rPr>
        <w:t xml:space="preserve">Az ellátó alegységek típusai, rendeltetése, feladatrendszere. </w:t>
      </w:r>
      <w:r w:rsidRPr="00276952">
        <w:rPr>
          <w:rFonts w:ascii="Times New Roman" w:eastAsia="Times New Roman" w:hAnsi="Times New Roman" w:cs="Times New Roman"/>
          <w:i/>
          <w:kern w:val="2"/>
        </w:rPr>
        <w:t>(Types, missions and tasks of the supply subunits.)</w:t>
      </w:r>
    </w:p>
    <w:p w:rsidR="00276952" w:rsidRPr="00276952" w:rsidRDefault="00276952" w:rsidP="00980876">
      <w:pPr>
        <w:widowControl w:val="0"/>
        <w:numPr>
          <w:ilvl w:val="1"/>
          <w:numId w:val="192"/>
        </w:numPr>
        <w:tabs>
          <w:tab w:val="clear" w:pos="3977"/>
          <w:tab w:val="left" w:pos="709"/>
          <w:tab w:val="left" w:pos="993"/>
          <w:tab w:val="num" w:pos="2069"/>
          <w:tab w:val="num" w:pos="2275"/>
        </w:tabs>
        <w:spacing w:before="120" w:after="120" w:line="240" w:lineRule="auto"/>
        <w:ind w:left="993" w:hanging="567"/>
        <w:jc w:val="both"/>
        <w:rPr>
          <w:rFonts w:ascii="Times New Roman" w:eastAsia="Times New Roman" w:hAnsi="Times New Roman" w:cs="Times New Roman"/>
          <w:kern w:val="2"/>
        </w:rPr>
      </w:pPr>
      <w:r w:rsidRPr="00276952">
        <w:rPr>
          <w:rFonts w:ascii="Times New Roman" w:eastAsia="Times New Roman" w:hAnsi="Times New Roman" w:cs="Times New Roman"/>
          <w:kern w:val="2"/>
        </w:rPr>
        <w:t xml:space="preserve">A szakaszparancsnoki beosztással összefüggő jogok és kötelességek. </w:t>
      </w:r>
      <w:r w:rsidRPr="00276952">
        <w:rPr>
          <w:rFonts w:ascii="Times New Roman" w:eastAsia="Times New Roman" w:hAnsi="Times New Roman" w:cs="Times New Roman"/>
          <w:i/>
          <w:kern w:val="2"/>
        </w:rPr>
        <w:t>(Rights and obligations of the platoon leader.)</w:t>
      </w:r>
    </w:p>
    <w:p w:rsidR="00276952" w:rsidRPr="00276952" w:rsidRDefault="00276952" w:rsidP="00980876">
      <w:pPr>
        <w:widowControl w:val="0"/>
        <w:numPr>
          <w:ilvl w:val="1"/>
          <w:numId w:val="192"/>
        </w:numPr>
        <w:tabs>
          <w:tab w:val="clear" w:pos="3977"/>
          <w:tab w:val="left" w:pos="709"/>
          <w:tab w:val="left" w:pos="993"/>
          <w:tab w:val="num" w:pos="2069"/>
          <w:tab w:val="num" w:pos="2275"/>
        </w:tabs>
        <w:spacing w:before="120" w:after="120" w:line="240" w:lineRule="auto"/>
        <w:ind w:left="993" w:hanging="567"/>
        <w:jc w:val="both"/>
        <w:rPr>
          <w:rFonts w:ascii="Times New Roman" w:eastAsia="Times New Roman" w:hAnsi="Times New Roman" w:cs="Times New Roman"/>
          <w:kern w:val="2"/>
        </w:rPr>
      </w:pPr>
      <w:r w:rsidRPr="00276952">
        <w:rPr>
          <w:rFonts w:ascii="Times New Roman" w:eastAsia="Times New Roman" w:hAnsi="Times New Roman" w:cs="Times New Roman"/>
          <w:kern w:val="2"/>
        </w:rPr>
        <w:t xml:space="preserve">A gépjármű igénybevétel szabályai és a szaktechnikai eszközök javításba adásának folyamata, a beosztás átadás-átvételének szabályai, a szaktechnikai eszközök leltározása (6 órás foglalkozás csapatnál). </w:t>
      </w:r>
      <w:r w:rsidRPr="00276952">
        <w:rPr>
          <w:rFonts w:ascii="Times New Roman" w:eastAsia="Times New Roman" w:hAnsi="Times New Roman" w:cs="Times New Roman"/>
          <w:i/>
          <w:kern w:val="2"/>
        </w:rPr>
        <w:t xml:space="preserve">(Rules of the using service cars, maintenance process of the special technical equipment, rules of the handover-takeover of the position, inventory of the </w:t>
      </w:r>
      <w:r w:rsidRPr="00276952">
        <w:rPr>
          <w:rFonts w:ascii="Times New Roman" w:eastAsia="Times New Roman" w:hAnsi="Times New Roman" w:cs="Times New Roman"/>
          <w:i/>
          <w:kern w:val="2"/>
        </w:rPr>
        <w:lastRenderedPageBreak/>
        <w:t>special technical equipment (6 hours practical training with a unit))</w:t>
      </w:r>
    </w:p>
    <w:p w:rsidR="00276952" w:rsidRPr="00276952" w:rsidRDefault="00276952" w:rsidP="00980876">
      <w:pPr>
        <w:widowControl w:val="0"/>
        <w:numPr>
          <w:ilvl w:val="1"/>
          <w:numId w:val="192"/>
        </w:numPr>
        <w:tabs>
          <w:tab w:val="clear" w:pos="3977"/>
          <w:tab w:val="left" w:pos="709"/>
          <w:tab w:val="left" w:pos="993"/>
          <w:tab w:val="num" w:pos="2069"/>
          <w:tab w:val="num" w:pos="2275"/>
        </w:tabs>
        <w:spacing w:before="120" w:after="120" w:line="240" w:lineRule="auto"/>
        <w:ind w:left="993" w:hanging="567"/>
        <w:jc w:val="both"/>
        <w:rPr>
          <w:rFonts w:ascii="Times New Roman" w:eastAsia="Times New Roman" w:hAnsi="Times New Roman" w:cs="Times New Roman"/>
          <w:kern w:val="2"/>
        </w:rPr>
      </w:pPr>
      <w:r w:rsidRPr="00276952">
        <w:rPr>
          <w:rFonts w:ascii="Times New Roman" w:eastAsia="Times New Roman" w:hAnsi="Times New Roman" w:cs="Times New Roman"/>
          <w:kern w:val="2"/>
        </w:rPr>
        <w:t xml:space="preserve">Az alegység kiképzésének tervezése, szervezése. </w:t>
      </w:r>
      <w:r w:rsidRPr="00276952">
        <w:rPr>
          <w:rFonts w:ascii="Times New Roman" w:eastAsia="Times New Roman" w:hAnsi="Times New Roman" w:cs="Times New Roman"/>
          <w:i/>
          <w:kern w:val="2"/>
        </w:rPr>
        <w:t>(Planning and organizing of the training of the subunit.)</w:t>
      </w:r>
    </w:p>
    <w:p w:rsidR="00276952" w:rsidRPr="00276952" w:rsidRDefault="00276952" w:rsidP="00980876">
      <w:pPr>
        <w:widowControl w:val="0"/>
        <w:numPr>
          <w:ilvl w:val="1"/>
          <w:numId w:val="192"/>
        </w:numPr>
        <w:tabs>
          <w:tab w:val="clear" w:pos="3977"/>
          <w:tab w:val="left" w:pos="709"/>
          <w:tab w:val="left" w:pos="993"/>
          <w:tab w:val="num" w:pos="2069"/>
          <w:tab w:val="num" w:pos="2275"/>
        </w:tabs>
        <w:spacing w:before="120" w:after="120" w:line="240" w:lineRule="auto"/>
        <w:ind w:left="993" w:hanging="567"/>
        <w:jc w:val="both"/>
        <w:rPr>
          <w:rFonts w:ascii="Times New Roman" w:eastAsia="Times New Roman" w:hAnsi="Times New Roman" w:cs="Times New Roman"/>
          <w:kern w:val="2"/>
        </w:rPr>
      </w:pPr>
      <w:r w:rsidRPr="00276952">
        <w:rPr>
          <w:rFonts w:ascii="Times New Roman" w:eastAsia="Times New Roman" w:hAnsi="Times New Roman" w:cs="Times New Roman"/>
          <w:kern w:val="2"/>
        </w:rPr>
        <w:t xml:space="preserve">ZH. megírása. </w:t>
      </w:r>
      <w:r w:rsidRPr="00276952">
        <w:rPr>
          <w:rFonts w:ascii="Times New Roman" w:eastAsia="Times New Roman" w:hAnsi="Times New Roman" w:cs="Times New Roman"/>
          <w:i/>
          <w:kern w:val="2"/>
        </w:rPr>
        <w:t>(Test)</w:t>
      </w:r>
    </w:p>
    <w:p w:rsidR="00276952" w:rsidRPr="00276952" w:rsidRDefault="00276952" w:rsidP="00980876">
      <w:pPr>
        <w:widowControl w:val="0"/>
        <w:numPr>
          <w:ilvl w:val="0"/>
          <w:numId w:val="192"/>
        </w:numPr>
        <w:tabs>
          <w:tab w:val="num" w:pos="360"/>
        </w:tabs>
        <w:spacing w:before="120" w:after="120" w:line="240" w:lineRule="auto"/>
        <w:ind w:left="426" w:hanging="142"/>
        <w:jc w:val="both"/>
        <w:rPr>
          <w:rFonts w:ascii="Times New Roman" w:eastAsia="Times New Roman" w:hAnsi="Times New Roman" w:cs="Times New Roman"/>
          <w:bCs/>
        </w:rPr>
      </w:pPr>
      <w:r w:rsidRPr="00276952">
        <w:rPr>
          <w:rFonts w:ascii="Times New Roman" w:eastAsia="Times New Roman" w:hAnsi="Times New Roman" w:cs="Times New Roman"/>
          <w:b/>
          <w:bCs/>
        </w:rPr>
        <w:t xml:space="preserve">A tantárgy meghirdetésének gyakorisága/a tantervben történő félévi elhelyezkedése: </w:t>
      </w:r>
      <w:r w:rsidRPr="00276952">
        <w:rPr>
          <w:rFonts w:ascii="Times New Roman" w:eastAsia="Times New Roman" w:hAnsi="Times New Roman" w:cs="Times New Roman"/>
          <w:bCs/>
        </w:rPr>
        <w:t>Minden őszi szemeszterben / 5. félév</w:t>
      </w:r>
    </w:p>
    <w:p w:rsidR="00276952" w:rsidRPr="00276952" w:rsidRDefault="00276952" w:rsidP="00980876">
      <w:pPr>
        <w:widowControl w:val="0"/>
        <w:numPr>
          <w:ilvl w:val="0"/>
          <w:numId w:val="192"/>
        </w:numPr>
        <w:tabs>
          <w:tab w:val="num" w:pos="360"/>
        </w:tabs>
        <w:spacing w:before="120" w:after="120" w:line="240" w:lineRule="auto"/>
        <w:ind w:left="426" w:hanging="142"/>
        <w:jc w:val="both"/>
        <w:rPr>
          <w:rFonts w:ascii="Times New Roman" w:eastAsia="Times New Roman" w:hAnsi="Times New Roman" w:cs="Times New Roman"/>
          <w:bCs/>
        </w:rPr>
      </w:pPr>
      <w:r w:rsidRPr="00276952">
        <w:rPr>
          <w:rFonts w:ascii="Times New Roman" w:eastAsia="Times New Roman" w:hAnsi="Times New Roman" w:cs="Times New Roman"/>
          <w:b/>
          <w:bCs/>
        </w:rPr>
        <w:t>A tanórákon való részvétel követelményei, az elfogadható hiányzások mértéke, a távolmaradás pótlásának lehetősége:</w:t>
      </w:r>
      <w:r w:rsidRPr="00276952">
        <w:rPr>
          <w:rFonts w:ascii="Times New Roman" w:eastAsia="Times New Roman" w:hAnsi="Times New Roman" w:cs="Times New Roman"/>
          <w:bCs/>
        </w:rPr>
        <w:t xml:space="preserve"> Az órákon való részvétel legalább 75 %-ban kötelező. A hallgatónak a kimaradt tananyagot önképzés keretén belül kell elsajátítani. A csapatnál végrehajtott két gyakorlati foglalkozáson a részvétel kötelező.</w:t>
      </w:r>
    </w:p>
    <w:p w:rsidR="00276952" w:rsidRPr="00276952" w:rsidRDefault="00276952" w:rsidP="00980876">
      <w:pPr>
        <w:widowControl w:val="0"/>
        <w:numPr>
          <w:ilvl w:val="0"/>
          <w:numId w:val="192"/>
        </w:numPr>
        <w:tabs>
          <w:tab w:val="num" w:pos="360"/>
        </w:tabs>
        <w:spacing w:before="120" w:after="120" w:line="240" w:lineRule="auto"/>
        <w:ind w:left="426" w:hanging="142"/>
        <w:jc w:val="both"/>
        <w:rPr>
          <w:rFonts w:ascii="Times New Roman" w:eastAsia="Times New Roman" w:hAnsi="Times New Roman" w:cs="Times New Roman"/>
          <w:bCs/>
        </w:rPr>
      </w:pPr>
      <w:r w:rsidRPr="00276952">
        <w:rPr>
          <w:rFonts w:ascii="Times New Roman" w:eastAsia="Times New Roman" w:hAnsi="Times New Roman" w:cs="Times New Roman"/>
          <w:b/>
        </w:rPr>
        <w:t xml:space="preserve">Félévközi feladatok, ismeretek ellenőrzésének rendje: </w:t>
      </w:r>
      <w:r w:rsidRPr="00276952">
        <w:rPr>
          <w:rFonts w:ascii="Times New Roman" w:eastAsia="Times New Roman" w:hAnsi="Times New Roman" w:cs="Times New Roman"/>
          <w:bCs/>
        </w:rPr>
        <w:t>A félév végén egy zárthelyi dolgozatot kell írni. A zárhelyi dolgozat elégséges osztályzatához minimum az összpontszám 51%-át el kell érni. Az elégtelen zárthelyi dolgozat egy alkalommal javítható. A két gyakorlati foglalkozáson egy-egy, legalább elégséges osztályzatot kell szerezni.</w:t>
      </w:r>
    </w:p>
    <w:p w:rsidR="00276952" w:rsidRPr="00276952" w:rsidRDefault="00276952" w:rsidP="00980876">
      <w:pPr>
        <w:widowControl w:val="0"/>
        <w:numPr>
          <w:ilvl w:val="0"/>
          <w:numId w:val="192"/>
        </w:numPr>
        <w:spacing w:before="120" w:after="120" w:line="240" w:lineRule="auto"/>
        <w:ind w:left="426" w:hanging="142"/>
        <w:jc w:val="both"/>
        <w:rPr>
          <w:rFonts w:ascii="Times New Roman" w:eastAsia="Times New Roman" w:hAnsi="Times New Roman" w:cs="Times New Roman"/>
          <w:b/>
          <w:bCs/>
        </w:rPr>
      </w:pPr>
      <w:r w:rsidRPr="00276952">
        <w:rPr>
          <w:rFonts w:ascii="Times New Roman" w:eastAsia="Times New Roman" w:hAnsi="Times New Roman" w:cs="Times New Roman"/>
          <w:b/>
          <w:bCs/>
        </w:rPr>
        <w:t xml:space="preserve">Az értékelés, az aláírás és a kreditek megszerzésének pontos feltételei: </w:t>
      </w:r>
    </w:p>
    <w:p w:rsidR="00276952" w:rsidRPr="00276952" w:rsidRDefault="00276952" w:rsidP="00980876">
      <w:pPr>
        <w:widowControl w:val="0"/>
        <w:numPr>
          <w:ilvl w:val="1"/>
          <w:numId w:val="192"/>
        </w:numPr>
        <w:tabs>
          <w:tab w:val="clear" w:pos="3977"/>
          <w:tab w:val="left" w:pos="709"/>
          <w:tab w:val="left" w:pos="993"/>
          <w:tab w:val="num" w:pos="2069"/>
          <w:tab w:val="num" w:pos="2275"/>
        </w:tabs>
        <w:spacing w:before="120" w:after="120" w:line="240" w:lineRule="auto"/>
        <w:ind w:left="426" w:firstLine="0"/>
        <w:jc w:val="both"/>
        <w:rPr>
          <w:rFonts w:ascii="Times New Roman" w:eastAsia="Times New Roman" w:hAnsi="Times New Roman" w:cs="Times New Roman"/>
        </w:rPr>
      </w:pPr>
      <w:r w:rsidRPr="00276952">
        <w:rPr>
          <w:rFonts w:ascii="Times New Roman" w:eastAsia="Times New Roman" w:hAnsi="Times New Roman" w:cs="Times New Roman"/>
          <w:b/>
        </w:rPr>
        <w:t xml:space="preserve">Az aláírás megszerzésének feltételei: </w:t>
      </w:r>
      <w:r w:rsidRPr="00276952">
        <w:rPr>
          <w:rFonts w:ascii="Times New Roman" w:eastAsia="Times New Roman" w:hAnsi="Times New Roman" w:cs="Times New Roman"/>
        </w:rPr>
        <w:t>Az aláírás megszerzésének feltétele a 14. pontban meghatározott arányú részvétel a foglalkozásokon és a 15. pontban meghatározott félévközi feladatok legalább elégséges teljesítése.</w:t>
      </w:r>
    </w:p>
    <w:p w:rsidR="00276952" w:rsidRPr="00276952" w:rsidRDefault="00276952" w:rsidP="00980876">
      <w:pPr>
        <w:widowControl w:val="0"/>
        <w:numPr>
          <w:ilvl w:val="1"/>
          <w:numId w:val="192"/>
        </w:numPr>
        <w:tabs>
          <w:tab w:val="clear" w:pos="3977"/>
          <w:tab w:val="left" w:pos="709"/>
          <w:tab w:val="left" w:pos="993"/>
          <w:tab w:val="num" w:pos="2069"/>
          <w:tab w:val="num" w:pos="2275"/>
        </w:tabs>
        <w:spacing w:before="120" w:after="120" w:line="240" w:lineRule="auto"/>
        <w:ind w:left="426" w:firstLine="0"/>
        <w:jc w:val="both"/>
        <w:rPr>
          <w:rFonts w:ascii="Times New Roman" w:eastAsia="Times New Roman" w:hAnsi="Times New Roman" w:cs="Times New Roman"/>
        </w:rPr>
      </w:pPr>
      <w:r w:rsidRPr="00276952">
        <w:rPr>
          <w:rFonts w:ascii="Times New Roman" w:eastAsia="Times New Roman" w:hAnsi="Times New Roman" w:cs="Times New Roman"/>
          <w:b/>
        </w:rPr>
        <w:t xml:space="preserve">Az értékelés: </w:t>
      </w:r>
      <w:r w:rsidRPr="00276952">
        <w:rPr>
          <w:rFonts w:ascii="Times New Roman" w:eastAsia="Times New Roman" w:hAnsi="Times New Roman" w:cs="Times New Roman"/>
        </w:rPr>
        <w:t xml:space="preserve">A tantárgy </w:t>
      </w:r>
      <w:r w:rsidRPr="00276952">
        <w:rPr>
          <w:rFonts w:ascii="Times New Roman" w:eastAsia="Times New Roman" w:hAnsi="Times New Roman" w:cs="Times New Roman"/>
          <w:b/>
        </w:rPr>
        <w:t>gyakorlati jeggyel</w:t>
      </w:r>
      <w:r w:rsidRPr="00276952">
        <w:rPr>
          <w:rFonts w:ascii="Times New Roman" w:eastAsia="Times New Roman" w:hAnsi="Times New Roman" w:cs="Times New Roman"/>
        </w:rPr>
        <w:t xml:space="preserve"> zárul. A gyakorlati jegy a zárhelyi dolgozat és a két gyakorlati foglalkozáson szerzett egy-egy elégséges osztályzat egyszerű számtani átlaga alapján kerül meghatározásra.</w:t>
      </w:r>
    </w:p>
    <w:p w:rsidR="00276952" w:rsidRPr="00276952" w:rsidRDefault="00276952" w:rsidP="00980876">
      <w:pPr>
        <w:widowControl w:val="0"/>
        <w:numPr>
          <w:ilvl w:val="1"/>
          <w:numId w:val="192"/>
        </w:numPr>
        <w:tabs>
          <w:tab w:val="clear" w:pos="3977"/>
          <w:tab w:val="left" w:pos="709"/>
          <w:tab w:val="left" w:pos="993"/>
          <w:tab w:val="num" w:pos="2069"/>
          <w:tab w:val="num" w:pos="2275"/>
        </w:tabs>
        <w:spacing w:before="120" w:after="120" w:line="240" w:lineRule="auto"/>
        <w:ind w:left="426" w:firstLine="0"/>
        <w:jc w:val="both"/>
        <w:rPr>
          <w:rFonts w:ascii="Times New Roman" w:eastAsia="Times New Roman" w:hAnsi="Times New Roman" w:cs="Times New Roman"/>
        </w:rPr>
      </w:pPr>
      <w:r w:rsidRPr="00276952">
        <w:rPr>
          <w:rFonts w:ascii="Times New Roman" w:eastAsia="Times New Roman" w:hAnsi="Times New Roman" w:cs="Times New Roman"/>
          <w:b/>
        </w:rPr>
        <w:t>A kreditek megszerzésének feltételei:</w:t>
      </w:r>
      <w:r w:rsidRPr="00276952">
        <w:rPr>
          <w:rFonts w:ascii="Times New Roman" w:eastAsia="Times New Roman" w:hAnsi="Times New Roman" w:cs="Times New Roman"/>
        </w:rPr>
        <w:t xml:space="preserve"> A kreditek megszerzésének feltétele az aláírás megszerzése és a legalább elégséges gyakorlati jegy.</w:t>
      </w:r>
    </w:p>
    <w:p w:rsidR="00276952" w:rsidRPr="00276952" w:rsidRDefault="00276952" w:rsidP="00980876">
      <w:pPr>
        <w:widowControl w:val="0"/>
        <w:numPr>
          <w:ilvl w:val="0"/>
          <w:numId w:val="192"/>
        </w:numPr>
        <w:tabs>
          <w:tab w:val="num" w:pos="360"/>
        </w:tabs>
        <w:spacing w:before="120" w:after="120" w:line="240" w:lineRule="auto"/>
        <w:ind w:left="426" w:hanging="142"/>
        <w:jc w:val="both"/>
        <w:rPr>
          <w:rFonts w:ascii="Times New Roman" w:eastAsia="Times New Roman" w:hAnsi="Times New Roman" w:cs="Times New Roman"/>
          <w:bCs/>
        </w:rPr>
      </w:pPr>
      <w:r w:rsidRPr="00276952">
        <w:rPr>
          <w:rFonts w:ascii="Times New Roman" w:eastAsia="Times New Roman" w:hAnsi="Times New Roman" w:cs="Times New Roman"/>
          <w:b/>
          <w:bCs/>
        </w:rPr>
        <w:t>Irodalomjegyzék:</w:t>
      </w:r>
    </w:p>
    <w:p w:rsidR="00276952" w:rsidRPr="00276952" w:rsidRDefault="00276952" w:rsidP="00980876">
      <w:pPr>
        <w:widowControl w:val="0"/>
        <w:numPr>
          <w:ilvl w:val="1"/>
          <w:numId w:val="192"/>
        </w:numPr>
        <w:tabs>
          <w:tab w:val="clear" w:pos="3977"/>
          <w:tab w:val="left" w:pos="567"/>
          <w:tab w:val="left" w:pos="851"/>
          <w:tab w:val="num" w:pos="2069"/>
          <w:tab w:val="num" w:pos="2275"/>
        </w:tabs>
        <w:spacing w:before="120" w:after="120" w:line="240" w:lineRule="auto"/>
        <w:ind w:left="426" w:hanging="142"/>
        <w:jc w:val="both"/>
        <w:rPr>
          <w:rFonts w:ascii="Times New Roman" w:eastAsia="Times New Roman" w:hAnsi="Times New Roman" w:cs="Times New Roman"/>
          <w:bCs/>
        </w:rPr>
      </w:pPr>
      <w:r w:rsidRPr="00276952">
        <w:rPr>
          <w:rFonts w:ascii="Times New Roman" w:eastAsia="Times New Roman" w:hAnsi="Times New Roman" w:cs="Times New Roman"/>
          <w:b/>
          <w:bCs/>
        </w:rPr>
        <w:t>Kötelező irodalom:</w:t>
      </w:r>
    </w:p>
    <w:p w:rsidR="00276952" w:rsidRPr="00453026" w:rsidRDefault="00276952" w:rsidP="00980876">
      <w:pPr>
        <w:widowControl w:val="0"/>
        <w:numPr>
          <w:ilvl w:val="0"/>
          <w:numId w:val="193"/>
        </w:numPr>
        <w:spacing w:after="0" w:line="240" w:lineRule="auto"/>
        <w:ind w:left="1134"/>
        <w:jc w:val="both"/>
        <w:rPr>
          <w:rFonts w:ascii="Times New Roman" w:eastAsia="Times New Roman" w:hAnsi="Times New Roman" w:cs="Times New Roman"/>
        </w:rPr>
      </w:pPr>
      <w:r w:rsidRPr="00453026">
        <w:rPr>
          <w:rFonts w:ascii="Times New Roman" w:eastAsia="Times New Roman" w:hAnsi="Times New Roman" w:cs="Times New Roman"/>
        </w:rPr>
        <w:t>Magyar Honvédség Összhaderőnemi Logisztikai Támogatás Doktrína, A HVK Logisztikai Csoportfőnökség Kiadványa, Budapest, 2015. (3. kiadás)</w:t>
      </w:r>
    </w:p>
    <w:p w:rsidR="00276952" w:rsidRPr="00453026" w:rsidRDefault="00A10AA9" w:rsidP="00980876">
      <w:pPr>
        <w:widowControl w:val="0"/>
        <w:numPr>
          <w:ilvl w:val="0"/>
          <w:numId w:val="193"/>
        </w:numPr>
        <w:spacing w:after="0" w:line="240" w:lineRule="auto"/>
        <w:ind w:left="1134"/>
        <w:jc w:val="both"/>
        <w:rPr>
          <w:rFonts w:ascii="Times New Roman" w:eastAsia="Times New Roman" w:hAnsi="Times New Roman" w:cs="Times New Roman"/>
        </w:rPr>
      </w:pPr>
      <w:r w:rsidRPr="00453026">
        <w:rPr>
          <w:rFonts w:ascii="Times New Roman" w:eastAsia="Times New Roman" w:hAnsi="Times New Roman" w:cs="Times New Roman"/>
        </w:rPr>
        <w:t>Ált/23</w:t>
      </w:r>
      <w:r w:rsidR="00276952" w:rsidRPr="00453026">
        <w:rPr>
          <w:rFonts w:ascii="Times New Roman" w:eastAsia="Times New Roman" w:hAnsi="Times New Roman" w:cs="Times New Roman"/>
        </w:rPr>
        <w:t xml:space="preserve"> </w:t>
      </w:r>
      <w:r w:rsidRPr="00453026">
        <w:rPr>
          <w:rFonts w:ascii="Times New Roman" w:eastAsia="Times New Roman" w:hAnsi="Times New Roman" w:cs="Times New Roman"/>
        </w:rPr>
        <w:t xml:space="preserve">A </w:t>
      </w:r>
      <w:r w:rsidR="00276952" w:rsidRPr="00453026">
        <w:rPr>
          <w:rFonts w:ascii="Times New Roman" w:eastAsia="Times New Roman" w:hAnsi="Times New Roman" w:cs="Times New Roman"/>
        </w:rPr>
        <w:t>Magyar Honvédség Szol</w:t>
      </w:r>
      <w:r w:rsidRPr="00453026">
        <w:rPr>
          <w:rFonts w:ascii="Times New Roman" w:eastAsia="Times New Roman" w:hAnsi="Times New Roman" w:cs="Times New Roman"/>
        </w:rPr>
        <w:t>gálati Szabályzata, a Magyar Honvédség kiadványa, 2007.</w:t>
      </w:r>
    </w:p>
    <w:p w:rsidR="00276952" w:rsidRPr="00453026" w:rsidRDefault="00276952" w:rsidP="00980876">
      <w:pPr>
        <w:widowControl w:val="0"/>
        <w:numPr>
          <w:ilvl w:val="0"/>
          <w:numId w:val="193"/>
        </w:numPr>
        <w:spacing w:after="0" w:line="240" w:lineRule="auto"/>
        <w:ind w:left="1134"/>
        <w:jc w:val="both"/>
        <w:rPr>
          <w:rFonts w:ascii="Times New Roman" w:eastAsia="Times New Roman" w:hAnsi="Times New Roman" w:cs="Times New Roman"/>
        </w:rPr>
      </w:pPr>
      <w:r w:rsidRPr="00453026">
        <w:rPr>
          <w:rFonts w:ascii="Times New Roman" w:eastAsia="Times New Roman" w:hAnsi="Times New Roman" w:cs="Times New Roman"/>
        </w:rPr>
        <w:t>Ált/50, A Magyar Honvédség Alaki Szabályzat</w:t>
      </w:r>
      <w:r w:rsidR="00A10AA9" w:rsidRPr="00453026">
        <w:rPr>
          <w:rFonts w:ascii="Times New Roman" w:eastAsia="Times New Roman" w:hAnsi="Times New Roman" w:cs="Times New Roman"/>
        </w:rPr>
        <w:t>a</w:t>
      </w:r>
      <w:r w:rsidRPr="00453026">
        <w:rPr>
          <w:rFonts w:ascii="Times New Roman" w:eastAsia="Times New Roman" w:hAnsi="Times New Roman" w:cs="Times New Roman"/>
        </w:rPr>
        <w:t>, a Magyar Honvédség kiadványa, 2010.</w:t>
      </w:r>
    </w:p>
    <w:p w:rsidR="00276952" w:rsidRPr="00602ACB" w:rsidRDefault="00276952" w:rsidP="00980876">
      <w:pPr>
        <w:widowControl w:val="0"/>
        <w:numPr>
          <w:ilvl w:val="1"/>
          <w:numId w:val="192"/>
        </w:numPr>
        <w:tabs>
          <w:tab w:val="clear" w:pos="3977"/>
          <w:tab w:val="num" w:pos="567"/>
        </w:tabs>
        <w:spacing w:before="120" w:after="120" w:line="240" w:lineRule="auto"/>
        <w:ind w:left="993" w:hanging="709"/>
        <w:jc w:val="both"/>
        <w:rPr>
          <w:rFonts w:ascii="Times New Roman" w:eastAsia="Times New Roman" w:hAnsi="Times New Roman" w:cs="Times New Roman"/>
          <w:b/>
          <w:bCs/>
        </w:rPr>
      </w:pPr>
      <w:r w:rsidRPr="00602ACB">
        <w:rPr>
          <w:rFonts w:ascii="Times New Roman" w:eastAsia="Times New Roman" w:hAnsi="Times New Roman" w:cs="Times New Roman"/>
          <w:b/>
          <w:bCs/>
        </w:rPr>
        <w:t>Ajánlott irodalom:</w:t>
      </w:r>
    </w:p>
    <w:p w:rsidR="00276952" w:rsidRPr="00276952" w:rsidRDefault="00276952" w:rsidP="00980876">
      <w:pPr>
        <w:widowControl w:val="0"/>
        <w:numPr>
          <w:ilvl w:val="0"/>
          <w:numId w:val="194"/>
        </w:numPr>
        <w:spacing w:after="0" w:line="240" w:lineRule="auto"/>
        <w:ind w:left="1134"/>
        <w:jc w:val="both"/>
        <w:rPr>
          <w:rFonts w:ascii="Times New Roman" w:eastAsia="Times New Roman" w:hAnsi="Times New Roman" w:cs="Times New Roman"/>
        </w:rPr>
      </w:pPr>
      <w:r w:rsidRPr="00276952">
        <w:rPr>
          <w:rFonts w:ascii="Times New Roman" w:eastAsia="Times New Roman" w:hAnsi="Times New Roman" w:cs="Times New Roman"/>
        </w:rPr>
        <w:t>AAP-6(U)2. NATO szakkifejezések és meghatározások szógyűjteménye</w:t>
      </w:r>
    </w:p>
    <w:p w:rsidR="00276952" w:rsidRPr="00276952" w:rsidRDefault="00276952" w:rsidP="00980876">
      <w:pPr>
        <w:widowControl w:val="0"/>
        <w:numPr>
          <w:ilvl w:val="0"/>
          <w:numId w:val="194"/>
        </w:numPr>
        <w:spacing w:after="0" w:line="240" w:lineRule="auto"/>
        <w:ind w:left="1134"/>
        <w:jc w:val="both"/>
        <w:rPr>
          <w:rFonts w:ascii="Times New Roman" w:eastAsia="Times New Roman" w:hAnsi="Times New Roman" w:cs="Times New Roman"/>
        </w:rPr>
      </w:pPr>
      <w:r w:rsidRPr="00276952">
        <w:rPr>
          <w:rFonts w:ascii="Times New Roman" w:eastAsia="Times New Roman" w:hAnsi="Times New Roman" w:cs="Times New Roman"/>
        </w:rPr>
        <w:t>APP-6 A Földi telepítésű katonai rendszerek grafikai jelei</w:t>
      </w:r>
    </w:p>
    <w:p w:rsidR="00276952" w:rsidRPr="00276952" w:rsidRDefault="00276952" w:rsidP="00980876">
      <w:pPr>
        <w:widowControl w:val="0"/>
        <w:numPr>
          <w:ilvl w:val="0"/>
          <w:numId w:val="194"/>
        </w:numPr>
        <w:spacing w:after="0" w:line="240" w:lineRule="auto"/>
        <w:ind w:left="1134"/>
        <w:jc w:val="both"/>
        <w:rPr>
          <w:rFonts w:ascii="Times New Roman" w:eastAsia="Times New Roman" w:hAnsi="Times New Roman" w:cs="Times New Roman"/>
        </w:rPr>
      </w:pPr>
      <w:r w:rsidRPr="00276952">
        <w:rPr>
          <w:rFonts w:ascii="Times New Roman" w:eastAsia="Times New Roman" w:hAnsi="Times New Roman" w:cs="Times New Roman"/>
        </w:rPr>
        <w:t>318/2006; 18/2002; 19/2002 HM rendeletek a kártérítési felelősség egyes szabályairól</w:t>
      </w:r>
    </w:p>
    <w:p w:rsidR="00276952" w:rsidRDefault="00276952" w:rsidP="00276952">
      <w:pPr>
        <w:widowControl w:val="0"/>
        <w:spacing w:before="120" w:after="120" w:line="240" w:lineRule="auto"/>
        <w:jc w:val="both"/>
        <w:rPr>
          <w:rFonts w:ascii="Times New Roman" w:eastAsia="Times New Roman" w:hAnsi="Times New Roman" w:cs="Times New Roman"/>
          <w:bCs/>
        </w:rPr>
      </w:pPr>
    </w:p>
    <w:p w:rsidR="00276952" w:rsidRPr="00276952" w:rsidRDefault="00276952" w:rsidP="00056F25">
      <w:pPr>
        <w:widowControl w:val="0"/>
        <w:spacing w:before="120" w:after="120" w:line="240" w:lineRule="auto"/>
        <w:ind w:firstLine="708"/>
        <w:jc w:val="both"/>
        <w:rPr>
          <w:rFonts w:ascii="Times New Roman" w:eastAsia="Times New Roman" w:hAnsi="Times New Roman" w:cs="Times New Roman"/>
          <w:bCs/>
        </w:rPr>
      </w:pPr>
      <w:r w:rsidRPr="00276952">
        <w:rPr>
          <w:rFonts w:ascii="Times New Roman" w:eastAsia="Times New Roman" w:hAnsi="Times New Roman" w:cs="Times New Roman"/>
          <w:bCs/>
        </w:rPr>
        <w:t>Budapest, 2020. január 14.</w:t>
      </w:r>
    </w:p>
    <w:p w:rsidR="00276952" w:rsidRPr="00276952" w:rsidRDefault="00276952" w:rsidP="00B0428D">
      <w:pPr>
        <w:widowControl w:val="0"/>
        <w:spacing w:after="0" w:line="240" w:lineRule="auto"/>
        <w:ind w:left="5664" w:firstLine="708"/>
        <w:jc w:val="center"/>
        <w:rPr>
          <w:rFonts w:ascii="Times New Roman" w:hAnsi="Times New Roman" w:cs="Times New Roman"/>
          <w:b/>
          <w:bCs/>
        </w:rPr>
      </w:pPr>
      <w:r w:rsidRPr="00276952">
        <w:rPr>
          <w:rFonts w:ascii="Times New Roman" w:hAnsi="Times New Roman" w:cs="Times New Roman"/>
          <w:b/>
          <w:bCs/>
        </w:rPr>
        <w:t xml:space="preserve">   </w:t>
      </w:r>
      <w:r w:rsidRPr="00B0428D">
        <w:rPr>
          <w:rFonts w:ascii="Times New Roman" w:hAnsi="Times New Roman" w:cs="Times New Roman"/>
          <w:b/>
          <w:bCs/>
          <w:highlight w:val="yellow"/>
        </w:rPr>
        <w:t xml:space="preserve">Dr. </w:t>
      </w:r>
      <w:r w:rsidR="00B0428D" w:rsidRPr="00B0428D">
        <w:rPr>
          <w:rFonts w:ascii="Times New Roman" w:hAnsi="Times New Roman" w:cs="Times New Roman"/>
          <w:b/>
          <w:bCs/>
          <w:highlight w:val="yellow"/>
        </w:rPr>
        <w:t>Sári Gábor</w:t>
      </w:r>
      <w:r w:rsidRPr="00276952">
        <w:rPr>
          <w:rFonts w:ascii="Times New Roman" w:hAnsi="Times New Roman" w:cs="Times New Roman"/>
          <w:b/>
          <w:bCs/>
        </w:rPr>
        <w:t xml:space="preserve"> (PhD)</w:t>
      </w:r>
      <w:r w:rsidR="00B0428D">
        <w:rPr>
          <w:rFonts w:ascii="Times New Roman" w:hAnsi="Times New Roman" w:cs="Times New Roman"/>
          <w:b/>
          <w:bCs/>
        </w:rPr>
        <w:t xml:space="preserve"> </w:t>
      </w:r>
      <w:r w:rsidRPr="00276952">
        <w:rPr>
          <w:rFonts w:ascii="Times New Roman" w:hAnsi="Times New Roman" w:cs="Times New Roman"/>
          <w:bCs/>
        </w:rPr>
        <w:t>s.k.</w:t>
      </w:r>
    </w:p>
    <w:p w:rsidR="00276952" w:rsidRDefault="00276952">
      <w:pPr>
        <w:spacing w:after="200" w:line="276" w:lineRule="auto"/>
        <w:rPr>
          <w:rFonts w:ascii="Times New Roman" w:hAnsi="Times New Roman" w:cs="Times New Roman"/>
          <w:sz w:val="24"/>
        </w:rPr>
      </w:pPr>
      <w:r>
        <w:rPr>
          <w:rFonts w:ascii="Times New Roman" w:hAnsi="Times New Roman" w:cs="Times New Roman"/>
          <w:sz w:val="24"/>
        </w:rPr>
        <w:br w:type="page"/>
      </w:r>
    </w:p>
    <w:tbl>
      <w:tblPr>
        <w:tblW w:w="9072" w:type="dxa"/>
        <w:tblInd w:w="113" w:type="dxa"/>
        <w:tblLook w:val="01E0" w:firstRow="1" w:lastRow="1" w:firstColumn="1" w:lastColumn="1" w:noHBand="0" w:noVBand="0"/>
      </w:tblPr>
      <w:tblGrid>
        <w:gridCol w:w="4855"/>
        <w:gridCol w:w="1620"/>
        <w:gridCol w:w="2597"/>
      </w:tblGrid>
      <w:tr w:rsidR="00276952" w:rsidTr="00276952">
        <w:tc>
          <w:tcPr>
            <w:tcW w:w="4855" w:type="dxa"/>
            <w:tcBorders>
              <w:top w:val="nil"/>
              <w:left w:val="nil"/>
              <w:bottom w:val="single" w:sz="4" w:space="0" w:color="auto"/>
              <w:right w:val="nil"/>
            </w:tcBorders>
            <w:hideMark/>
          </w:tcPr>
          <w:p w:rsidR="00276952" w:rsidRDefault="00276952">
            <w:pPr>
              <w:spacing w:after="0" w:line="240" w:lineRule="auto"/>
              <w:jc w:val="center"/>
              <w:rPr>
                <w:rFonts w:ascii="Times New Roman" w:eastAsia="Times New Roman" w:hAnsi="Times New Roman" w:cs="Times New Roman"/>
                <w:b/>
                <w:smallCaps/>
                <w:lang w:eastAsia="hu-HU"/>
              </w:rPr>
            </w:pPr>
            <w:r>
              <w:rPr>
                <w:rFonts w:ascii="Times New Roman" w:eastAsia="Times New Roman" w:hAnsi="Times New Roman" w:cs="Times New Roman"/>
                <w:b/>
                <w:smallCaps/>
                <w:lang w:eastAsia="hu-HU"/>
              </w:rPr>
              <w:lastRenderedPageBreak/>
              <w:t>Nemzeti Közszolgálati Egyetem</w:t>
            </w:r>
          </w:p>
        </w:tc>
        <w:tc>
          <w:tcPr>
            <w:tcW w:w="1620" w:type="dxa"/>
          </w:tcPr>
          <w:p w:rsidR="00276952" w:rsidRDefault="00276952">
            <w:pPr>
              <w:spacing w:after="0" w:line="240" w:lineRule="auto"/>
              <w:jc w:val="both"/>
              <w:rPr>
                <w:rFonts w:ascii="Times New Roman" w:eastAsia="Times New Roman" w:hAnsi="Times New Roman" w:cs="Times New Roman"/>
                <w:lang w:eastAsia="hu-HU"/>
              </w:rPr>
            </w:pPr>
          </w:p>
        </w:tc>
        <w:tc>
          <w:tcPr>
            <w:tcW w:w="2597" w:type="dxa"/>
          </w:tcPr>
          <w:p w:rsidR="00276952" w:rsidRDefault="00276952">
            <w:pPr>
              <w:spacing w:after="0" w:line="240" w:lineRule="auto"/>
              <w:jc w:val="right"/>
              <w:rPr>
                <w:rFonts w:ascii="Times New Roman" w:eastAsia="Times New Roman" w:hAnsi="Times New Roman" w:cs="Times New Roman"/>
                <w:lang w:eastAsia="hu-HU"/>
              </w:rPr>
            </w:pPr>
          </w:p>
        </w:tc>
      </w:tr>
      <w:tr w:rsidR="00276952" w:rsidTr="00276952">
        <w:tc>
          <w:tcPr>
            <w:tcW w:w="4855" w:type="dxa"/>
            <w:tcBorders>
              <w:top w:val="single" w:sz="4" w:space="0" w:color="auto"/>
              <w:left w:val="nil"/>
              <w:bottom w:val="nil"/>
              <w:right w:val="nil"/>
            </w:tcBorders>
            <w:hideMark/>
          </w:tcPr>
          <w:p w:rsidR="00276952" w:rsidRDefault="00276952">
            <w:pPr>
              <w:spacing w:after="0" w:line="240" w:lineRule="auto"/>
              <w:jc w:val="center"/>
              <w:rPr>
                <w:rFonts w:ascii="Times New Roman" w:eastAsia="Times New Roman" w:hAnsi="Times New Roman" w:cs="Times New Roman"/>
                <w:b/>
                <w:lang w:eastAsia="hu-HU"/>
              </w:rPr>
            </w:pPr>
            <w:r>
              <w:rPr>
                <w:rFonts w:ascii="Times New Roman" w:eastAsia="Times New Roman" w:hAnsi="Times New Roman" w:cs="Times New Roman"/>
                <w:b/>
                <w:lang w:eastAsia="hu-HU"/>
              </w:rPr>
              <w:t>Hadtudományi és Honvédtisztképző Kar</w:t>
            </w:r>
          </w:p>
        </w:tc>
        <w:tc>
          <w:tcPr>
            <w:tcW w:w="1620" w:type="dxa"/>
          </w:tcPr>
          <w:p w:rsidR="00276952" w:rsidRDefault="00276952">
            <w:pPr>
              <w:spacing w:after="0" w:line="240" w:lineRule="auto"/>
              <w:jc w:val="both"/>
              <w:rPr>
                <w:rFonts w:ascii="Times New Roman" w:eastAsia="Times New Roman" w:hAnsi="Times New Roman" w:cs="Times New Roman"/>
                <w:lang w:eastAsia="hu-HU"/>
              </w:rPr>
            </w:pPr>
          </w:p>
        </w:tc>
        <w:tc>
          <w:tcPr>
            <w:tcW w:w="2597" w:type="dxa"/>
          </w:tcPr>
          <w:p w:rsidR="00276952" w:rsidRDefault="00276952">
            <w:pPr>
              <w:spacing w:after="0" w:line="240" w:lineRule="auto"/>
              <w:jc w:val="both"/>
              <w:rPr>
                <w:rFonts w:ascii="Times New Roman" w:eastAsia="Times New Roman" w:hAnsi="Times New Roman" w:cs="Times New Roman"/>
                <w:lang w:eastAsia="hu-HU"/>
              </w:rPr>
            </w:pPr>
          </w:p>
        </w:tc>
      </w:tr>
    </w:tbl>
    <w:p w:rsidR="00276952" w:rsidRDefault="00276952" w:rsidP="00276952">
      <w:pPr>
        <w:widowControl w:val="0"/>
        <w:spacing w:before="120" w:after="120" w:line="240" w:lineRule="auto"/>
        <w:ind w:left="426" w:hanging="142"/>
        <w:jc w:val="center"/>
        <w:rPr>
          <w:rFonts w:ascii="Times New Roman" w:eastAsia="Times New Roman" w:hAnsi="Times New Roman" w:cs="Times New Roman"/>
          <w:b/>
          <w:bCs/>
        </w:rPr>
      </w:pPr>
    </w:p>
    <w:p w:rsidR="00276952" w:rsidRDefault="00276952" w:rsidP="00276952">
      <w:pPr>
        <w:widowControl w:val="0"/>
        <w:spacing w:before="120" w:after="120" w:line="240" w:lineRule="auto"/>
        <w:ind w:left="426" w:hanging="142"/>
        <w:jc w:val="center"/>
        <w:rPr>
          <w:rFonts w:ascii="Times New Roman" w:eastAsia="Times New Roman" w:hAnsi="Times New Roman" w:cs="Times New Roman"/>
          <w:b/>
          <w:bCs/>
        </w:rPr>
      </w:pPr>
      <w:r>
        <w:rPr>
          <w:rFonts w:ascii="Times New Roman" w:eastAsia="Times New Roman" w:hAnsi="Times New Roman" w:cs="Times New Roman"/>
          <w:b/>
          <w:bCs/>
        </w:rPr>
        <w:t>TANTÁRGYI PROGRAM</w:t>
      </w:r>
    </w:p>
    <w:p w:rsidR="00276952" w:rsidRDefault="00276952" w:rsidP="00980876">
      <w:pPr>
        <w:widowControl w:val="0"/>
        <w:numPr>
          <w:ilvl w:val="0"/>
          <w:numId w:val="196"/>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 tantárgy kódja: </w:t>
      </w:r>
      <w:r>
        <w:rPr>
          <w:rFonts w:ascii="Times New Roman" w:hAnsi="Times New Roman" w:cs="Times New Roman"/>
          <w:bCs/>
        </w:rPr>
        <w:t>HKHKPA108</w:t>
      </w:r>
    </w:p>
    <w:p w:rsidR="00276952" w:rsidRDefault="00276952" w:rsidP="00980876">
      <w:pPr>
        <w:widowControl w:val="0"/>
        <w:numPr>
          <w:ilvl w:val="0"/>
          <w:numId w:val="196"/>
        </w:numPr>
        <w:spacing w:before="120" w:after="120" w:line="240" w:lineRule="auto"/>
        <w:ind w:left="426" w:hanging="142"/>
        <w:jc w:val="both"/>
        <w:rPr>
          <w:rFonts w:ascii="Times New Roman" w:eastAsia="Times New Roman" w:hAnsi="Times New Roman" w:cs="Times New Roman"/>
          <w:b/>
          <w:bCs/>
          <w:lang w:val="en-GB"/>
        </w:rPr>
      </w:pPr>
      <w:r>
        <w:rPr>
          <w:rFonts w:ascii="Times New Roman" w:eastAsia="Times New Roman" w:hAnsi="Times New Roman" w:cs="Times New Roman"/>
          <w:b/>
          <w:bCs/>
        </w:rPr>
        <w:t>A tantárgy megnevezése (magyarul):</w:t>
      </w:r>
      <w:r>
        <w:rPr>
          <w:rFonts w:ascii="Times New Roman" w:eastAsia="Times New Roman" w:hAnsi="Times New Roman" w:cs="Times New Roman"/>
          <w:bCs/>
        </w:rPr>
        <w:t xml:space="preserve"> </w:t>
      </w:r>
      <w:r>
        <w:rPr>
          <w:rFonts w:ascii="Times New Roman" w:hAnsi="Times New Roman" w:cs="Times New Roman"/>
          <w:bCs/>
        </w:rPr>
        <w:t>Hadtáp anyagismeret és gyártástechnológia</w:t>
      </w:r>
    </w:p>
    <w:p w:rsidR="00276952" w:rsidRDefault="00276952" w:rsidP="00980876">
      <w:pPr>
        <w:widowControl w:val="0"/>
        <w:numPr>
          <w:ilvl w:val="0"/>
          <w:numId w:val="196"/>
        </w:numPr>
        <w:spacing w:before="120" w:after="120" w:line="240" w:lineRule="auto"/>
        <w:ind w:left="426" w:hanging="142"/>
        <w:jc w:val="both"/>
        <w:rPr>
          <w:rFonts w:ascii="Times New Roman" w:eastAsia="Times New Roman" w:hAnsi="Times New Roman" w:cs="Times New Roman"/>
          <w:bCs/>
          <w:lang w:val="en-GB"/>
        </w:rPr>
      </w:pPr>
      <w:r>
        <w:rPr>
          <w:rFonts w:ascii="Times New Roman" w:eastAsia="Times New Roman" w:hAnsi="Times New Roman" w:cs="Times New Roman"/>
          <w:b/>
          <w:bCs/>
        </w:rPr>
        <w:t xml:space="preserve">A tantárgy megnevezése (angolul): </w:t>
      </w:r>
      <w:r>
        <w:rPr>
          <w:rFonts w:ascii="Times New Roman" w:eastAsia="Times New Roman" w:hAnsi="Times New Roman" w:cs="Times New Roman"/>
          <w:bCs/>
        </w:rPr>
        <w:t>Material Knowledge and Production Technology</w:t>
      </w:r>
      <w:r>
        <w:rPr>
          <w:rFonts w:ascii="Times New Roman" w:eastAsia="Times New Roman" w:hAnsi="Times New Roman" w:cs="Times New Roman"/>
          <w:b/>
          <w:bCs/>
        </w:rPr>
        <w:t xml:space="preserve"> </w:t>
      </w:r>
      <w:r>
        <w:rPr>
          <w:rFonts w:ascii="Times New Roman" w:eastAsia="Times New Roman" w:hAnsi="Times New Roman" w:cs="Times New Roman"/>
          <w:bCs/>
        </w:rPr>
        <w:t>of Supply Materials used in the Army</w:t>
      </w:r>
    </w:p>
    <w:p w:rsidR="00276952" w:rsidRDefault="00276952" w:rsidP="00980876">
      <w:pPr>
        <w:widowControl w:val="0"/>
        <w:numPr>
          <w:ilvl w:val="0"/>
          <w:numId w:val="196"/>
        </w:numPr>
        <w:tabs>
          <w:tab w:val="num" w:pos="567"/>
        </w:tabs>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Kreditérték és képzési karakter: </w:t>
      </w:r>
    </w:p>
    <w:p w:rsidR="00276952" w:rsidRDefault="00276952" w:rsidP="00980876">
      <w:pPr>
        <w:pStyle w:val="Listaszerbekezds"/>
        <w:widowControl w:val="0"/>
        <w:numPr>
          <w:ilvl w:val="1"/>
          <w:numId w:val="196"/>
        </w:numPr>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4 kredit</w:t>
      </w:r>
    </w:p>
    <w:p w:rsidR="00276952" w:rsidRDefault="00276952" w:rsidP="00980876">
      <w:pPr>
        <w:pStyle w:val="Listaszerbekezds"/>
        <w:widowControl w:val="0"/>
        <w:numPr>
          <w:ilvl w:val="1"/>
          <w:numId w:val="196"/>
        </w:numPr>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a tantárgy elméleti vagy gyakorlati jellegének mértéke: 67</w:t>
      </w:r>
      <w:r>
        <w:rPr>
          <w:rFonts w:ascii="Times New Roman" w:eastAsia="Times New Roman" w:hAnsi="Times New Roman" w:cs="Times New Roman"/>
          <w:b/>
          <w:bCs/>
        </w:rPr>
        <w:t xml:space="preserve"> </w:t>
      </w:r>
      <w:r>
        <w:rPr>
          <w:rFonts w:ascii="Times New Roman" w:eastAsia="Times New Roman" w:hAnsi="Times New Roman" w:cs="Times New Roman"/>
          <w:bCs/>
        </w:rPr>
        <w:t>% elmélet, 33 % gyakorlat</w:t>
      </w:r>
    </w:p>
    <w:p w:rsidR="00276952" w:rsidRDefault="00276952" w:rsidP="00980876">
      <w:pPr>
        <w:widowControl w:val="0"/>
        <w:numPr>
          <w:ilvl w:val="0"/>
          <w:numId w:val="196"/>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szak(ok), szakirányok/specializációk megnevezése (ahol oktatják):</w:t>
      </w:r>
      <w:r>
        <w:rPr>
          <w:rFonts w:ascii="Times New Roman" w:eastAsia="Times New Roman" w:hAnsi="Times New Roman" w:cs="Times New Roman"/>
          <w:bCs/>
        </w:rPr>
        <w:t xml:space="preserve"> </w:t>
      </w:r>
      <w:r>
        <w:rPr>
          <w:rFonts w:ascii="Times New Roman" w:hAnsi="Times New Roman" w:cs="Times New Roman"/>
          <w:bCs/>
        </w:rPr>
        <w:t>Katonai logisztika alapképzési (</w:t>
      </w:r>
      <w:r w:rsidR="00137B8A">
        <w:rPr>
          <w:rFonts w:ascii="Times New Roman" w:hAnsi="Times New Roman" w:cs="Times New Roman"/>
          <w:bCs/>
        </w:rPr>
        <w:t>BSc</w:t>
      </w:r>
      <w:r>
        <w:rPr>
          <w:rFonts w:ascii="Times New Roman" w:hAnsi="Times New Roman" w:cs="Times New Roman"/>
          <w:bCs/>
        </w:rPr>
        <w:t>) szak</w:t>
      </w:r>
    </w:p>
    <w:p w:rsidR="00276952" w:rsidRDefault="00276952" w:rsidP="00980876">
      <w:pPr>
        <w:widowControl w:val="0"/>
        <w:numPr>
          <w:ilvl w:val="0"/>
          <w:numId w:val="196"/>
        </w:numPr>
        <w:tabs>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Az oktatásért felelős oktatási szervezeti egység megnevezése: </w:t>
      </w:r>
      <w:r>
        <w:rPr>
          <w:rFonts w:ascii="Times New Roman" w:hAnsi="Times New Roman" w:cs="Times New Roman"/>
          <w:bCs/>
        </w:rPr>
        <w:t>NKE HHK Hadtáp, Pénzügyi és Katonai Közlekedési Tanszék</w:t>
      </w:r>
    </w:p>
    <w:p w:rsidR="00276952" w:rsidRDefault="00276952" w:rsidP="00980876">
      <w:pPr>
        <w:widowControl w:val="0"/>
        <w:numPr>
          <w:ilvl w:val="0"/>
          <w:numId w:val="196"/>
        </w:numPr>
        <w:tabs>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tantárgyfelelős oktató neve, beosztása, tudományos fokozata:</w:t>
      </w:r>
      <w:r>
        <w:rPr>
          <w:rFonts w:ascii="Times New Roman" w:eastAsia="Times New Roman" w:hAnsi="Times New Roman" w:cs="Times New Roman"/>
          <w:bCs/>
        </w:rPr>
        <w:t xml:space="preserve"> </w:t>
      </w:r>
      <w:r>
        <w:rPr>
          <w:rFonts w:ascii="Times New Roman" w:hAnsi="Times New Roman" w:cs="Times New Roman"/>
          <w:bCs/>
        </w:rPr>
        <w:t>Dr. Venekei József Péter, PhD, egyetemi docens</w:t>
      </w:r>
    </w:p>
    <w:p w:rsidR="00276952" w:rsidRDefault="00276952" w:rsidP="00980876">
      <w:pPr>
        <w:widowControl w:val="0"/>
        <w:numPr>
          <w:ilvl w:val="0"/>
          <w:numId w:val="196"/>
        </w:numPr>
        <w:tabs>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tanórák száma és típusa</w:t>
      </w:r>
    </w:p>
    <w:p w:rsidR="00276952" w:rsidRDefault="00276952" w:rsidP="00980876">
      <w:pPr>
        <w:widowControl w:val="0"/>
        <w:numPr>
          <w:ilvl w:val="1"/>
          <w:numId w:val="196"/>
        </w:numPr>
        <w:tabs>
          <w:tab w:val="num" w:pos="709"/>
          <w:tab w:val="num" w:pos="2069"/>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össz óraszám/félév: 42</w:t>
      </w:r>
    </w:p>
    <w:p w:rsidR="00276952" w:rsidRDefault="00276952" w:rsidP="00980876">
      <w:pPr>
        <w:widowControl w:val="0"/>
        <w:numPr>
          <w:ilvl w:val="2"/>
          <w:numId w:val="196"/>
        </w:numPr>
        <w:tabs>
          <w:tab w:val="num" w:pos="709"/>
          <w:tab w:val="num" w:pos="1134"/>
        </w:tabs>
        <w:spacing w:before="120" w:after="120" w:line="240" w:lineRule="auto"/>
        <w:ind w:left="993" w:hanging="425"/>
        <w:jc w:val="both"/>
        <w:rPr>
          <w:rFonts w:ascii="Times New Roman" w:eastAsia="Times New Roman" w:hAnsi="Times New Roman" w:cs="Times New Roman"/>
          <w:bCs/>
        </w:rPr>
      </w:pPr>
      <w:r>
        <w:rPr>
          <w:rFonts w:ascii="Times New Roman" w:eastAsia="Times New Roman" w:hAnsi="Times New Roman" w:cs="Times New Roman"/>
          <w:bCs/>
        </w:rPr>
        <w:t>nappali munkarend: 42 (28 EA + 0 SZ + 14 GY)</w:t>
      </w:r>
    </w:p>
    <w:p w:rsidR="00276952" w:rsidRDefault="00276952" w:rsidP="00980876">
      <w:pPr>
        <w:widowControl w:val="0"/>
        <w:numPr>
          <w:ilvl w:val="2"/>
          <w:numId w:val="196"/>
        </w:numPr>
        <w:tabs>
          <w:tab w:val="num" w:pos="709"/>
          <w:tab w:val="num" w:pos="1134"/>
        </w:tabs>
        <w:spacing w:before="120" w:after="120" w:line="240" w:lineRule="auto"/>
        <w:ind w:left="993" w:hanging="425"/>
        <w:jc w:val="both"/>
        <w:rPr>
          <w:rFonts w:ascii="Times New Roman" w:eastAsia="Times New Roman" w:hAnsi="Times New Roman" w:cs="Times New Roman"/>
          <w:bCs/>
        </w:rPr>
      </w:pPr>
      <w:r>
        <w:rPr>
          <w:rFonts w:ascii="Times New Roman" w:eastAsia="Times New Roman" w:hAnsi="Times New Roman" w:cs="Times New Roman"/>
          <w:bCs/>
        </w:rPr>
        <w:t>levelező munkarend: -</w:t>
      </w:r>
    </w:p>
    <w:p w:rsidR="00276952" w:rsidRDefault="00276952" w:rsidP="00980876">
      <w:pPr>
        <w:widowControl w:val="0"/>
        <w:numPr>
          <w:ilvl w:val="1"/>
          <w:numId w:val="196"/>
        </w:numPr>
        <w:tabs>
          <w:tab w:val="num" w:pos="709"/>
          <w:tab w:val="num" w:pos="2069"/>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heti óraszám - nappali munkarend: 3</w:t>
      </w:r>
    </w:p>
    <w:p w:rsidR="00276952" w:rsidRDefault="00276952" w:rsidP="00980876">
      <w:pPr>
        <w:widowControl w:val="0"/>
        <w:numPr>
          <w:ilvl w:val="1"/>
          <w:numId w:val="196"/>
        </w:numPr>
        <w:tabs>
          <w:tab w:val="num" w:pos="709"/>
          <w:tab w:val="num" w:pos="2069"/>
        </w:tabs>
        <w:spacing w:before="120" w:after="120" w:line="240" w:lineRule="auto"/>
        <w:ind w:left="851" w:hanging="425"/>
        <w:jc w:val="both"/>
        <w:rPr>
          <w:rFonts w:ascii="Times New Roman" w:eastAsia="Times New Roman" w:hAnsi="Times New Roman" w:cs="Times New Roman"/>
          <w:bCs/>
        </w:rPr>
      </w:pPr>
      <w:r>
        <w:rPr>
          <w:rFonts w:ascii="Times New Roman" w:hAnsi="Times New Roman" w:cs="Times New Roman"/>
        </w:rPr>
        <w:t>Az ismeret átadásában alkalmazandó további sajátos módok, jellemzők:</w:t>
      </w:r>
      <w:r>
        <w:rPr>
          <w:rFonts w:ascii="Times New Roman" w:hAnsi="Times New Roman" w:cs="Times New Roman"/>
          <w:i/>
        </w:rPr>
        <w:t xml:space="preserve"> –</w:t>
      </w:r>
    </w:p>
    <w:p w:rsidR="00276952" w:rsidRDefault="00276952" w:rsidP="00980876">
      <w:pPr>
        <w:widowControl w:val="0"/>
        <w:numPr>
          <w:ilvl w:val="0"/>
          <w:numId w:val="196"/>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 tantárgy szakmai tartalma (magyarul): </w:t>
      </w:r>
      <w:r>
        <w:rPr>
          <w:rFonts w:ascii="Times New Roman" w:hAnsi="Times New Roman" w:cs="Times New Roman"/>
          <w:bCs/>
        </w:rPr>
        <w:t>A tantárgy a táplálkozás élettani alapfogalmakkal, az élelmiszerek csoportosításával, a tartósított élelmiszerekkel, az élelmezési szakanyagokkal és azok jellemzésével, a romlandó és nem romlandó élelmiszerek tárolásával foglalkozik.  Bemutatja a kőolaj kitermelésének módszereit, az atmoszférikus és a vákuum desztillációs folyamatokat, a kőolajtermékek átalakításának folyamatait, a NATO egységes üzemanyag koncepcióját, a Magyar Honvédségnél használatos üzemanyagok csoportosítását, a hajtó-, kenő- és karbantartó anyagok összetételét, fizikai-kémiai tulajdonságaikat és alkalmazásuk rendjét.</w:t>
      </w:r>
    </w:p>
    <w:p w:rsidR="00276952" w:rsidRDefault="00276952" w:rsidP="00276952">
      <w:pPr>
        <w:widowControl w:val="0"/>
        <w:spacing w:before="120" w:after="120" w:line="240" w:lineRule="auto"/>
        <w:ind w:left="426"/>
        <w:jc w:val="both"/>
        <w:rPr>
          <w:rFonts w:ascii="Times New Roman" w:eastAsia="Times New Roman" w:hAnsi="Times New Roman" w:cs="Times New Roman"/>
          <w:b/>
          <w:bCs/>
        </w:rPr>
      </w:pPr>
      <w:r>
        <w:rPr>
          <w:rFonts w:ascii="Times New Roman" w:eastAsia="Times New Roman" w:hAnsi="Times New Roman" w:cs="Times New Roman"/>
          <w:b/>
          <w:bCs/>
        </w:rPr>
        <w:t xml:space="preserve">A tantárgy szakmai tartalma (angolul) (Course description): </w:t>
      </w:r>
      <w:r>
        <w:rPr>
          <w:rFonts w:ascii="Times New Roman" w:eastAsia="Times New Roman" w:hAnsi="Times New Roman" w:cs="Times New Roman"/>
          <w:bCs/>
        </w:rPr>
        <w:t>The subject deals with the basics of nutrition physiology, grouping of foods, preserved food. characterization of food and the storage of perishable and non-perishable food. It also introduces the methods of oil mining, atmospheric and vacuum distillation, processes of transformation of petroleum products, the  Nato Single Fuel Concept, grouping of fuel used by the Hungarian Defence Forces,  composition, physico-chemical properties and the way of application of Petrol, Oil, Lubricants (POL) and oil based maintenance materials.</w:t>
      </w:r>
    </w:p>
    <w:p w:rsidR="00276952" w:rsidRDefault="00276952" w:rsidP="00980876">
      <w:pPr>
        <w:widowControl w:val="0"/>
        <w:numPr>
          <w:ilvl w:val="0"/>
          <w:numId w:val="196"/>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Elérendő kompetenciák (magyarul):</w:t>
      </w:r>
    </w:p>
    <w:p w:rsidR="00276952" w:rsidRDefault="00276952" w:rsidP="00276952">
      <w:pPr>
        <w:widowControl w:val="0"/>
        <w:spacing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Tudása:</w:t>
      </w:r>
    </w:p>
    <w:p w:rsidR="00276952" w:rsidRDefault="00276952" w:rsidP="00276952">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Ismeri a hadtáp szakanyagok csoportosítását, azok előállítását.</w:t>
      </w:r>
    </w:p>
    <w:p w:rsidR="00276952" w:rsidRDefault="00276952" w:rsidP="00276952">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Ismeri a hadtáp szakterület anyagainak fizikai-kémiai tulajdonságait, és azok helyes alkalmazását.</w:t>
      </w:r>
    </w:p>
    <w:p w:rsidR="00276952" w:rsidRDefault="00276952" w:rsidP="00276952">
      <w:pPr>
        <w:widowControl w:val="0"/>
        <w:spacing w:before="120" w:after="0" w:line="240" w:lineRule="auto"/>
        <w:ind w:left="425"/>
        <w:jc w:val="both"/>
        <w:rPr>
          <w:rFonts w:ascii="Times New Roman" w:eastAsia="Times New Roman" w:hAnsi="Times New Roman" w:cs="Times New Roman"/>
          <w:b/>
          <w:bCs/>
        </w:rPr>
      </w:pPr>
      <w:r>
        <w:rPr>
          <w:rFonts w:ascii="Times New Roman" w:eastAsia="Times New Roman" w:hAnsi="Times New Roman" w:cs="Times New Roman"/>
          <w:b/>
          <w:bCs/>
        </w:rPr>
        <w:t>Képességei:</w:t>
      </w:r>
    </w:p>
    <w:p w:rsidR="00276952" w:rsidRDefault="00276952" w:rsidP="00276952">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Képes a hadtáp szakanyagok helyes alkalmazására.</w:t>
      </w:r>
    </w:p>
    <w:p w:rsidR="00276952" w:rsidRDefault="00276952" w:rsidP="00276952">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 xml:space="preserve">Képes beosztottjainak a hadtáp szakanyagok alkalmazására történő kiképzését </w:t>
      </w:r>
      <w:r>
        <w:rPr>
          <w:rFonts w:ascii="Times New Roman" w:eastAsia="Times New Roman" w:hAnsi="Times New Roman"/>
          <w:bCs/>
        </w:rPr>
        <w:lastRenderedPageBreak/>
        <w:t>megszervezni és végrehajtani.</w:t>
      </w:r>
    </w:p>
    <w:p w:rsidR="00276952" w:rsidRDefault="00276952" w:rsidP="00276952">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Attitűdje:</w:t>
      </w:r>
      <w:r>
        <w:rPr>
          <w:rFonts w:ascii="Times New Roman" w:eastAsia="Times New Roman" w:hAnsi="Times New Roman" w:cs="Times New Roman"/>
          <w:bCs/>
        </w:rPr>
        <w:t xml:space="preserve"> </w:t>
      </w:r>
    </w:p>
    <w:p w:rsidR="00276952" w:rsidRDefault="00276952" w:rsidP="00276952">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A hadtáp szakmai feladatok ellátása során a rendszerszemlélet és jó szervezőkészség jellemzi.</w:t>
      </w:r>
    </w:p>
    <w:p w:rsidR="00276952" w:rsidRDefault="00276952" w:rsidP="00276952">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Nyitott a hadtáp szakterület új tudományos eredményei iránt, képes a hadtáp szakterületen bekövetkező változásokhoz és fejlődéshez jól alkalmazkodni.</w:t>
      </w:r>
    </w:p>
    <w:p w:rsidR="00276952" w:rsidRDefault="00276952" w:rsidP="00276952">
      <w:pPr>
        <w:widowControl w:val="0"/>
        <w:spacing w:before="24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Autonómiája és felelőssége:</w:t>
      </w:r>
    </w:p>
    <w:p w:rsidR="00276952" w:rsidRDefault="00276952" w:rsidP="00276952">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Az ellátási folyamatok végrehajtása során önállóan döntéseket hoz, azokat felelősséggel, a jogszabályi keretek figyelembevételével végrehajtja.</w:t>
      </w:r>
    </w:p>
    <w:p w:rsidR="00276952" w:rsidRDefault="00276952" w:rsidP="00276952">
      <w:pPr>
        <w:widowControl w:val="0"/>
        <w:spacing w:before="120" w:after="120" w:line="240" w:lineRule="auto"/>
        <w:ind w:left="993" w:hanging="360"/>
        <w:contextualSpacing/>
        <w:jc w:val="both"/>
        <w:rPr>
          <w:rFonts w:ascii="Times New Roman" w:hAnsi="Times New Roman" w:cs="Times New Roman"/>
          <w:sz w:val="24"/>
          <w:szCs w:val="24"/>
        </w:rPr>
      </w:pPr>
      <w:r>
        <w:rPr>
          <w:rFonts w:ascii="Times New Roman" w:eastAsia="Times New Roman" w:hAnsi="Times New Roman"/>
          <w:bCs/>
        </w:rPr>
        <w:t>-</w:t>
      </w:r>
      <w:r>
        <w:rPr>
          <w:rFonts w:ascii="Times New Roman" w:eastAsia="Times New Roman" w:hAnsi="Times New Roman"/>
          <w:bCs/>
        </w:rPr>
        <w:tab/>
        <w:t>Felelősséget vállal a rábízott hadtáp szakanyagokért.</w:t>
      </w:r>
    </w:p>
    <w:p w:rsidR="00276952" w:rsidRDefault="00276952" w:rsidP="00276952">
      <w:pPr>
        <w:widowControl w:val="0"/>
        <w:spacing w:before="240" w:after="0" w:line="240" w:lineRule="auto"/>
        <w:ind w:left="425"/>
        <w:jc w:val="both"/>
        <w:rPr>
          <w:rFonts w:ascii="Times New Roman" w:eastAsia="Times New Roman" w:hAnsi="Times New Roman" w:cs="Times New Roman"/>
          <w:b/>
          <w:bCs/>
          <w:lang w:val="en-US"/>
        </w:rPr>
      </w:pPr>
      <w:r>
        <w:rPr>
          <w:rFonts w:ascii="Times New Roman" w:eastAsia="Times New Roman" w:hAnsi="Times New Roman" w:cs="Times New Roman"/>
          <w:b/>
          <w:bCs/>
        </w:rPr>
        <w:t>Elérendő kompetenciák (angolul) (</w:t>
      </w:r>
      <w:r>
        <w:rPr>
          <w:rFonts w:ascii="Times New Roman" w:eastAsia="Times New Roman" w:hAnsi="Times New Roman" w:cs="Times New Roman"/>
          <w:b/>
          <w:bCs/>
          <w:lang w:val="en-US"/>
        </w:rPr>
        <w:t xml:space="preserve">Competences – English): </w:t>
      </w:r>
    </w:p>
    <w:p w:rsidR="00276952" w:rsidRDefault="00276952" w:rsidP="00276952">
      <w:pPr>
        <w:widowControl w:val="0"/>
        <w:spacing w:before="120" w:after="0" w:line="240" w:lineRule="auto"/>
        <w:ind w:left="425"/>
        <w:jc w:val="both"/>
        <w:rPr>
          <w:rFonts w:ascii="Times New Roman" w:eastAsia="Times New Roman" w:hAnsi="Times New Roman" w:cs="Times New Roman"/>
          <w:lang w:val="en-GB"/>
        </w:rPr>
      </w:pPr>
      <w:r>
        <w:rPr>
          <w:rFonts w:ascii="Times New Roman" w:eastAsia="Times New Roman" w:hAnsi="Times New Roman" w:cs="Times New Roman"/>
          <w:b/>
          <w:lang w:val="en-GB"/>
        </w:rPr>
        <w:t>Knowledge</w:t>
      </w:r>
      <w:r>
        <w:rPr>
          <w:rFonts w:ascii="Times New Roman" w:eastAsia="Times New Roman" w:hAnsi="Times New Roman" w:cs="Times New Roman"/>
          <w:lang w:val="en-GB"/>
        </w:rPr>
        <w:t xml:space="preserve">: </w:t>
      </w:r>
    </w:p>
    <w:p w:rsidR="00276952" w:rsidRDefault="00276952" w:rsidP="00276952">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Knows the classification of supply materials and their production.technology.</w:t>
      </w:r>
    </w:p>
    <w:p w:rsidR="00276952" w:rsidRDefault="00276952" w:rsidP="00276952">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Knows the physico-chemical properties of the supply materials and how to use them.</w:t>
      </w:r>
    </w:p>
    <w:p w:rsidR="00276952" w:rsidRDefault="00276952" w:rsidP="00276952">
      <w:pPr>
        <w:widowControl w:val="0"/>
        <w:spacing w:before="120" w:after="0" w:line="240" w:lineRule="auto"/>
        <w:ind w:left="425"/>
        <w:jc w:val="both"/>
        <w:rPr>
          <w:rFonts w:ascii="Times New Roman" w:eastAsia="Times New Roman" w:hAnsi="Times New Roman" w:cs="Times New Roman"/>
          <w:lang w:val="en-GB"/>
        </w:rPr>
      </w:pPr>
      <w:r>
        <w:rPr>
          <w:rFonts w:ascii="Times New Roman" w:eastAsia="Times New Roman" w:hAnsi="Times New Roman" w:cs="Times New Roman"/>
          <w:b/>
          <w:lang w:val="en-GB"/>
        </w:rPr>
        <w:t>Capabilities</w:t>
      </w:r>
      <w:r>
        <w:rPr>
          <w:rFonts w:ascii="Times New Roman" w:eastAsia="Times New Roman" w:hAnsi="Times New Roman" w:cs="Times New Roman"/>
          <w:lang w:val="en-GB"/>
        </w:rPr>
        <w:t xml:space="preserve">: </w:t>
      </w:r>
    </w:p>
    <w:p w:rsidR="00276952" w:rsidRDefault="00276952" w:rsidP="00276952">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To be capable of using supply materials correctly.</w:t>
      </w:r>
    </w:p>
    <w:p w:rsidR="00276952" w:rsidRDefault="00276952" w:rsidP="00276952">
      <w:pPr>
        <w:widowControl w:val="0"/>
        <w:spacing w:before="120" w:after="120" w:line="240" w:lineRule="auto"/>
        <w:ind w:left="993" w:hanging="360"/>
        <w:contextualSpacing/>
        <w:jc w:val="both"/>
        <w:rPr>
          <w:rFonts w:ascii="Times New Roman" w:eastAsia="Times New Roman" w:hAnsi="Times New Roman" w:cs="Times New Roman"/>
          <w:lang w:val="en-GB"/>
        </w:rPr>
      </w:pPr>
      <w:r>
        <w:rPr>
          <w:rFonts w:ascii="Times New Roman" w:eastAsia="Times New Roman" w:hAnsi="Times New Roman"/>
          <w:bCs/>
        </w:rPr>
        <w:t>-</w:t>
      </w:r>
      <w:r>
        <w:rPr>
          <w:rFonts w:ascii="Times New Roman" w:eastAsia="Times New Roman" w:hAnsi="Times New Roman"/>
          <w:bCs/>
        </w:rPr>
        <w:tab/>
        <w:t>To be capable of organizing and</w:t>
      </w:r>
      <w:r>
        <w:rPr>
          <w:rFonts w:ascii="Times New Roman" w:eastAsia="Times New Roman" w:hAnsi="Times New Roman" w:cs="Times New Roman"/>
          <w:lang w:val="en-GB"/>
        </w:rPr>
        <w:t xml:space="preserve"> delivering training for his/her staff in the use of supply materials.</w:t>
      </w:r>
    </w:p>
    <w:p w:rsidR="00276952" w:rsidRDefault="00276952" w:rsidP="002769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425"/>
        <w:jc w:val="both"/>
        <w:rPr>
          <w:rFonts w:ascii="Times New Roman" w:eastAsia="Times New Roman" w:hAnsi="Times New Roman" w:cs="Times New Roman"/>
          <w:lang w:val="en-GB"/>
        </w:rPr>
      </w:pPr>
      <w:r>
        <w:rPr>
          <w:rFonts w:ascii="Times New Roman" w:eastAsia="Times New Roman" w:hAnsi="Times New Roman" w:cs="Times New Roman"/>
          <w:b/>
          <w:lang w:val="en-GB"/>
        </w:rPr>
        <w:t>Attitude:</w:t>
      </w:r>
      <w:r>
        <w:rPr>
          <w:rFonts w:ascii="Times New Roman" w:eastAsia="Times New Roman" w:hAnsi="Times New Roman" w:cs="Times New Roman"/>
          <w:lang w:val="en-GB"/>
        </w:rPr>
        <w:t xml:space="preserve"> </w:t>
      </w:r>
    </w:p>
    <w:p w:rsidR="00276952" w:rsidRDefault="00276952" w:rsidP="00276952">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His/Her professional work is characterized by a systemic approach and good organizational skills.</w:t>
      </w:r>
    </w:p>
    <w:p w:rsidR="00276952" w:rsidRDefault="00276952" w:rsidP="00276952">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He/She is open to new scientific achievements, and well adapted to changes and developments in the field of supply.</w:t>
      </w:r>
    </w:p>
    <w:p w:rsidR="00276952" w:rsidRDefault="00276952" w:rsidP="00276952">
      <w:pPr>
        <w:widowControl w:val="0"/>
        <w:spacing w:before="24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lang w:val="en-GB"/>
        </w:rPr>
        <w:t xml:space="preserve">Autonomy and responsibility: </w:t>
      </w:r>
    </w:p>
    <w:p w:rsidR="00276952" w:rsidRDefault="00276952" w:rsidP="00276952">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In the course of the implementation of the supply processes, he/she makes decisions independently, executes them in a highly responsible way and within the legal framework.</w:t>
      </w:r>
    </w:p>
    <w:p w:rsidR="00276952" w:rsidRDefault="00276952" w:rsidP="00276952">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He/She is responsible for the provided materials.</w:t>
      </w:r>
    </w:p>
    <w:p w:rsidR="00276952" w:rsidRDefault="00276952" w:rsidP="00980876">
      <w:pPr>
        <w:widowControl w:val="0"/>
        <w:numPr>
          <w:ilvl w:val="0"/>
          <w:numId w:val="196"/>
        </w:numPr>
        <w:tabs>
          <w:tab w:val="num" w:pos="567"/>
        </w:tabs>
        <w:spacing w:before="24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Előtanulmányi követelmények: -</w:t>
      </w:r>
      <w:r>
        <w:rPr>
          <w:rFonts w:ascii="Times New Roman" w:eastAsia="Times New Roman" w:hAnsi="Times New Roman" w:cs="Times New Roman"/>
          <w:bCs/>
        </w:rPr>
        <w:t xml:space="preserve"> </w:t>
      </w:r>
    </w:p>
    <w:p w:rsidR="00276952" w:rsidRDefault="00276952" w:rsidP="00980876">
      <w:pPr>
        <w:widowControl w:val="0"/>
        <w:numPr>
          <w:ilvl w:val="0"/>
          <w:numId w:val="196"/>
        </w:numPr>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A tantárgy tananyagának leírása, tematika. Description of the subject, curriculum (magyarul, angolul - English):</w:t>
      </w:r>
    </w:p>
    <w:p w:rsidR="00276952" w:rsidRDefault="00276952" w:rsidP="00980876">
      <w:pPr>
        <w:widowControl w:val="0"/>
        <w:numPr>
          <w:ilvl w:val="1"/>
          <w:numId w:val="196"/>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Táplálkozás élettani alapfogalmak és az élelmiszerek csoportosítása. </w:t>
      </w:r>
      <w:r>
        <w:rPr>
          <w:rFonts w:ascii="Times New Roman" w:eastAsia="Times New Roman" w:hAnsi="Times New Roman" w:cs="Times New Roman"/>
          <w:i/>
          <w:kern w:val="2"/>
        </w:rPr>
        <w:t>(Basics of Nutrition Physiology, Grouping of Foods.)</w:t>
      </w:r>
    </w:p>
    <w:p w:rsidR="00276952" w:rsidRDefault="00276952" w:rsidP="00980876">
      <w:pPr>
        <w:widowControl w:val="0"/>
        <w:numPr>
          <w:ilvl w:val="1"/>
          <w:numId w:val="196"/>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Az élelmezési szakanyagok és a tartósított élelmiszerek fajtái és jellemzése. </w:t>
      </w:r>
      <w:r>
        <w:rPr>
          <w:rFonts w:ascii="Times New Roman" w:eastAsia="Times New Roman" w:hAnsi="Times New Roman" w:cs="Times New Roman"/>
          <w:i/>
          <w:kern w:val="2"/>
        </w:rPr>
        <w:t>(Types and Characteristics of Nutritional Materials and Preserved Foods.)</w:t>
      </w:r>
    </w:p>
    <w:p w:rsidR="00276952" w:rsidRDefault="00276952" w:rsidP="00980876">
      <w:pPr>
        <w:widowControl w:val="0"/>
        <w:numPr>
          <w:ilvl w:val="1"/>
          <w:numId w:val="196"/>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 romlandó és nem romlandó élelmiszerek tárolása. </w:t>
      </w:r>
      <w:r>
        <w:rPr>
          <w:rFonts w:ascii="Times New Roman" w:eastAsia="Times New Roman" w:hAnsi="Times New Roman" w:cs="Times New Roman"/>
          <w:i/>
          <w:kern w:val="2"/>
        </w:rPr>
        <w:t>(Storage of Perishable and Non-Perishable Food.)</w:t>
      </w:r>
    </w:p>
    <w:p w:rsidR="00276952" w:rsidRDefault="00276952" w:rsidP="00980876">
      <w:pPr>
        <w:widowControl w:val="0"/>
        <w:numPr>
          <w:ilvl w:val="1"/>
          <w:numId w:val="196"/>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 kőolaj kitermelése és lepárlása. </w:t>
      </w:r>
      <w:r>
        <w:rPr>
          <w:rFonts w:ascii="Times New Roman" w:eastAsia="Times New Roman" w:hAnsi="Times New Roman" w:cs="Times New Roman"/>
          <w:i/>
          <w:kern w:val="2"/>
        </w:rPr>
        <w:t>(Extraction and Distillation of Oil.)</w:t>
      </w:r>
    </w:p>
    <w:p w:rsidR="00276952" w:rsidRDefault="00276952" w:rsidP="00980876">
      <w:pPr>
        <w:widowControl w:val="0"/>
        <w:numPr>
          <w:ilvl w:val="1"/>
          <w:numId w:val="196"/>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 kőolajtermékek átalakításának folyamatai. </w:t>
      </w:r>
      <w:r>
        <w:rPr>
          <w:rFonts w:ascii="Times New Roman" w:eastAsia="Times New Roman" w:hAnsi="Times New Roman" w:cs="Times New Roman"/>
          <w:i/>
          <w:kern w:val="2"/>
        </w:rPr>
        <w:t>(Processes for the Conversion of Petroleum Products)</w:t>
      </w:r>
    </w:p>
    <w:p w:rsidR="00276952" w:rsidRDefault="00276952" w:rsidP="00980876">
      <w:pPr>
        <w:widowControl w:val="0"/>
        <w:numPr>
          <w:ilvl w:val="1"/>
          <w:numId w:val="196"/>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 Magyar Honvédségnél használatos hajtó-, kenő- és karbantartó anyagok jellemzése és alkalmazásának területei. </w:t>
      </w:r>
      <w:r>
        <w:rPr>
          <w:rFonts w:ascii="Times New Roman" w:eastAsia="Times New Roman" w:hAnsi="Times New Roman" w:cs="Times New Roman"/>
          <w:i/>
          <w:kern w:val="2"/>
        </w:rPr>
        <w:t>(Characteristics of the Petrol, Oil and Lubricants used in Hungarian Defence Forces and Fields of their Application.)</w:t>
      </w:r>
    </w:p>
    <w:p w:rsidR="00276952" w:rsidRDefault="00276952" w:rsidP="00980876">
      <w:pPr>
        <w:widowControl w:val="0"/>
        <w:numPr>
          <w:ilvl w:val="1"/>
          <w:numId w:val="196"/>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 NATO egységes hajtóanyag koncepció tartalma és az egységes hajtóanyag alkalmazásának szabályai. </w:t>
      </w:r>
      <w:r>
        <w:rPr>
          <w:rFonts w:ascii="Times New Roman" w:eastAsia="Times New Roman" w:hAnsi="Times New Roman" w:cs="Times New Roman"/>
          <w:i/>
          <w:kern w:val="2"/>
        </w:rPr>
        <w:t>(NATO Single Fuel Concept and its Regulations.)</w:t>
      </w:r>
    </w:p>
    <w:p w:rsidR="00276952" w:rsidRDefault="00276952" w:rsidP="00980876">
      <w:pPr>
        <w:widowControl w:val="0"/>
        <w:numPr>
          <w:ilvl w:val="0"/>
          <w:numId w:val="196"/>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 tantárgy meghirdetésének gyakorisága/a tantervben történő félévi elhelyezkedése: </w:t>
      </w:r>
      <w:r>
        <w:rPr>
          <w:rFonts w:ascii="Times New Roman" w:eastAsia="Times New Roman" w:hAnsi="Times New Roman" w:cs="Times New Roman"/>
          <w:bCs/>
        </w:rPr>
        <w:t>Minden őszi szemeszterben / 5. félév</w:t>
      </w:r>
    </w:p>
    <w:p w:rsidR="00276952" w:rsidRDefault="00276952" w:rsidP="00980876">
      <w:pPr>
        <w:widowControl w:val="0"/>
        <w:numPr>
          <w:ilvl w:val="0"/>
          <w:numId w:val="196"/>
        </w:numPr>
        <w:tabs>
          <w:tab w:val="num" w:pos="360"/>
        </w:tabs>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A tanórákon való részvétel követelményei, az elfogadható hiányzások mértéke, a távolmaradás pótlásának lehetősége:</w:t>
      </w:r>
      <w:r>
        <w:rPr>
          <w:rFonts w:ascii="Times New Roman" w:eastAsia="Times New Roman" w:hAnsi="Times New Roman" w:cs="Times New Roman"/>
          <w:bCs/>
        </w:rPr>
        <w:t xml:space="preserve"> Részvétel az órák legalább 50%-án, a kimaradt </w:t>
      </w:r>
      <w:r>
        <w:rPr>
          <w:rFonts w:ascii="Times New Roman" w:eastAsia="Times New Roman" w:hAnsi="Times New Roman" w:cs="Times New Roman"/>
          <w:bCs/>
        </w:rPr>
        <w:lastRenderedPageBreak/>
        <w:t>tananyagot önképzés keretén belül kell elsajátítani. A kiesett tananyag jobb megértése érdekében az oktatók konzultációs lehetőséget biztosítanak.</w:t>
      </w:r>
    </w:p>
    <w:p w:rsidR="00276952" w:rsidRDefault="00276952" w:rsidP="00980876">
      <w:pPr>
        <w:widowControl w:val="0"/>
        <w:numPr>
          <w:ilvl w:val="0"/>
          <w:numId w:val="196"/>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rPr>
        <w:t xml:space="preserve">Félévközi feladatok, ismeretek ellenőrzésének rendje: </w:t>
      </w:r>
      <w:r>
        <w:rPr>
          <w:rFonts w:ascii="Times New Roman" w:eastAsia="Times New Roman" w:hAnsi="Times New Roman" w:cs="Times New Roman"/>
          <w:bCs/>
        </w:rPr>
        <w:t xml:space="preserve">A félév előadásait lezáró zárthelyi dolgozat legalább elégséges szintű megírása. Az elégséges értékeléshez 50% + 1 pontot kell teljesíteni. A dolgozatban teszt, esszé jellegű kérdések és írásbeli gyakorlati feladatok egyaránt szerepelnek. A zárthelyi dolgozat témáit a kötelező irodalmak anyagából, illetve az előadásokon elhangzott ismeretanyagból kell összeállítani. </w:t>
      </w:r>
    </w:p>
    <w:p w:rsidR="00276952" w:rsidRDefault="00276952" w:rsidP="00980876">
      <w:pPr>
        <w:widowControl w:val="0"/>
        <w:numPr>
          <w:ilvl w:val="0"/>
          <w:numId w:val="196"/>
        </w:numPr>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Az értékelés, az aláírás és a kreditek megszerzésének pontos feltételei: </w:t>
      </w:r>
    </w:p>
    <w:p w:rsidR="00276952" w:rsidRDefault="00276952" w:rsidP="00980876">
      <w:pPr>
        <w:widowControl w:val="0"/>
        <w:numPr>
          <w:ilvl w:val="1"/>
          <w:numId w:val="196"/>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Az aláírás megszerzésének feltételei:</w:t>
      </w:r>
    </w:p>
    <w:p w:rsidR="00276952" w:rsidRDefault="00276952" w:rsidP="00276952">
      <w:pPr>
        <w:widowControl w:val="0"/>
        <w:tabs>
          <w:tab w:val="left" w:pos="993"/>
        </w:tabs>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Az aláírás feltétele a tanórákon történő – 14. pontban meghatározott – részvétel, valamint a zárthelyi dolgozat sikeres megírása.</w:t>
      </w:r>
    </w:p>
    <w:p w:rsidR="00276952" w:rsidRDefault="00276952" w:rsidP="00980876">
      <w:pPr>
        <w:widowControl w:val="0"/>
        <w:numPr>
          <w:ilvl w:val="1"/>
          <w:numId w:val="196"/>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Az értékelés:</w:t>
      </w:r>
    </w:p>
    <w:p w:rsidR="00276952" w:rsidRDefault="00276952" w:rsidP="00276952">
      <w:pPr>
        <w:widowControl w:val="0"/>
        <w:tabs>
          <w:tab w:val="left" w:pos="993"/>
        </w:tabs>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 xml:space="preserve">Írásbeli kollokvium, háromfokozatú értékeléssel. A számonkérés tárgya az előadásokon elhangzott tananyag, a kötelező irodalom vonatkozó részei, valamint az előadásokon és a kötelező irodalomban hivatkozott jogszabályok vonatkozó részei. </w:t>
      </w:r>
    </w:p>
    <w:p w:rsidR="00276952" w:rsidRDefault="00276952" w:rsidP="00980876">
      <w:pPr>
        <w:widowControl w:val="0"/>
        <w:numPr>
          <w:ilvl w:val="1"/>
          <w:numId w:val="196"/>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 kreditek megszerzésének feltételei:</w:t>
      </w:r>
      <w:r>
        <w:rPr>
          <w:rFonts w:ascii="Times New Roman" w:eastAsia="Times New Roman" w:hAnsi="Times New Roman" w:cs="Times New Roman"/>
        </w:rPr>
        <w:t xml:space="preserve"> </w:t>
      </w:r>
    </w:p>
    <w:p w:rsidR="00276952" w:rsidRDefault="00276952" w:rsidP="00276952">
      <w:pPr>
        <w:widowControl w:val="0"/>
        <w:tabs>
          <w:tab w:val="left" w:pos="993"/>
        </w:tabs>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A kreditek megszerzésének feltétele az aláírás megszerzése és legalább elégséges kollokviumi jegy.</w:t>
      </w:r>
    </w:p>
    <w:p w:rsidR="00276952" w:rsidRDefault="00276952" w:rsidP="00980876">
      <w:pPr>
        <w:widowControl w:val="0"/>
        <w:numPr>
          <w:ilvl w:val="0"/>
          <w:numId w:val="196"/>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Irodalomjegyzék:</w:t>
      </w:r>
    </w:p>
    <w:p w:rsidR="00276952" w:rsidRDefault="00276952" w:rsidP="00980876">
      <w:pPr>
        <w:widowControl w:val="0"/>
        <w:numPr>
          <w:ilvl w:val="1"/>
          <w:numId w:val="196"/>
        </w:numPr>
        <w:tabs>
          <w:tab w:val="left" w:pos="567"/>
          <w:tab w:val="left" w:pos="851"/>
          <w:tab w:val="num" w:pos="2069"/>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Kötelező irodalom:</w:t>
      </w:r>
    </w:p>
    <w:p w:rsidR="00276952" w:rsidRDefault="00276952" w:rsidP="00980876">
      <w:pPr>
        <w:pStyle w:val="Listaszerbekezds"/>
        <w:numPr>
          <w:ilvl w:val="0"/>
          <w:numId w:val="195"/>
        </w:numPr>
        <w:spacing w:line="256" w:lineRule="auto"/>
        <w:ind w:left="709" w:hanging="283"/>
        <w:rPr>
          <w:rFonts w:ascii="Times New Roman" w:eastAsia="Times New Roman" w:hAnsi="Times New Roman" w:cs="Times New Roman"/>
          <w:bCs/>
        </w:rPr>
      </w:pPr>
      <w:r>
        <w:rPr>
          <w:rFonts w:ascii="Times New Roman" w:eastAsia="Times New Roman" w:hAnsi="Times New Roman" w:cs="Times New Roman"/>
          <w:bCs/>
        </w:rPr>
        <w:t>Táplálkozás- és élelmezéstan (Kereskedelmi és Vendéglá</w:t>
      </w:r>
      <w:r w:rsidR="00A10AA9">
        <w:rPr>
          <w:rFonts w:ascii="Times New Roman" w:eastAsia="Times New Roman" w:hAnsi="Times New Roman" w:cs="Times New Roman"/>
          <w:bCs/>
        </w:rPr>
        <w:t xml:space="preserve">tóipari Főiskola, Közgazdasági </w:t>
      </w:r>
      <w:r>
        <w:rPr>
          <w:rFonts w:ascii="Times New Roman" w:eastAsia="Times New Roman" w:hAnsi="Times New Roman" w:cs="Times New Roman"/>
          <w:bCs/>
        </w:rPr>
        <w:t>és Jogi Könyvkiadó, Budapest, 1977., ISBN 963 220 539 1)</w:t>
      </w:r>
    </w:p>
    <w:p w:rsidR="00276952" w:rsidRDefault="00276952" w:rsidP="00980876">
      <w:pPr>
        <w:pStyle w:val="Listaszerbekezds"/>
        <w:numPr>
          <w:ilvl w:val="0"/>
          <w:numId w:val="195"/>
        </w:numPr>
        <w:spacing w:line="256" w:lineRule="auto"/>
        <w:ind w:left="709" w:hanging="283"/>
        <w:rPr>
          <w:rFonts w:ascii="Times New Roman" w:eastAsia="Times New Roman" w:hAnsi="Times New Roman" w:cs="Times New Roman"/>
          <w:bCs/>
        </w:rPr>
      </w:pPr>
      <w:r>
        <w:rPr>
          <w:rFonts w:ascii="Times New Roman" w:eastAsia="Times New Roman" w:hAnsi="Times New Roman" w:cs="Times New Roman"/>
          <w:bCs/>
        </w:rPr>
        <w:t>Hosszú Gyula: Táplálkozás-élettani alapismeretek és élelmezési szakanyagok tárolásának szabályai (BJKMF, Budapest, 1993.)</w:t>
      </w:r>
    </w:p>
    <w:p w:rsidR="00276952" w:rsidRDefault="00276952" w:rsidP="00980876">
      <w:pPr>
        <w:pStyle w:val="Listaszerbekezds"/>
        <w:widowControl w:val="0"/>
        <w:numPr>
          <w:ilvl w:val="0"/>
          <w:numId w:val="195"/>
        </w:numPr>
        <w:tabs>
          <w:tab w:val="left" w:pos="567"/>
          <w:tab w:val="left" w:pos="851"/>
        </w:tabs>
        <w:spacing w:before="120" w:after="120" w:line="240" w:lineRule="auto"/>
        <w:ind w:left="709" w:hanging="283"/>
        <w:jc w:val="both"/>
        <w:rPr>
          <w:rFonts w:ascii="Times New Roman" w:eastAsia="Times New Roman" w:hAnsi="Times New Roman" w:cs="Times New Roman"/>
          <w:bCs/>
        </w:rPr>
      </w:pPr>
      <w:r>
        <w:rPr>
          <w:rFonts w:ascii="Times New Roman" w:eastAsia="Times New Roman" w:hAnsi="Times New Roman" w:cs="Times New Roman"/>
          <w:bCs/>
        </w:rPr>
        <w:t>Nagy Anikó: Anyagismeret és gyártástechnológia (Főiskolai jegyzet, 2001.)</w:t>
      </w:r>
    </w:p>
    <w:p w:rsidR="00276952" w:rsidRDefault="00276952" w:rsidP="00980876">
      <w:pPr>
        <w:widowControl w:val="0"/>
        <w:numPr>
          <w:ilvl w:val="1"/>
          <w:numId w:val="196"/>
        </w:numPr>
        <w:tabs>
          <w:tab w:val="num" w:pos="567"/>
          <w:tab w:val="num" w:pos="2069"/>
        </w:tabs>
        <w:spacing w:before="120" w:after="120" w:line="240" w:lineRule="auto"/>
        <w:ind w:left="993" w:hanging="709"/>
        <w:jc w:val="both"/>
        <w:rPr>
          <w:rFonts w:ascii="Times New Roman" w:eastAsia="Times New Roman" w:hAnsi="Times New Roman" w:cs="Times New Roman"/>
          <w:b/>
          <w:bCs/>
        </w:rPr>
      </w:pPr>
      <w:r>
        <w:rPr>
          <w:rFonts w:ascii="Times New Roman" w:eastAsia="Times New Roman" w:hAnsi="Times New Roman" w:cs="Times New Roman"/>
          <w:b/>
          <w:bCs/>
        </w:rPr>
        <w:t>Ajánlott irodalom:</w:t>
      </w:r>
    </w:p>
    <w:p w:rsidR="00276952" w:rsidRPr="00276952" w:rsidRDefault="00276952" w:rsidP="00980876">
      <w:pPr>
        <w:pStyle w:val="Listaszerbekezds"/>
        <w:numPr>
          <w:ilvl w:val="0"/>
          <w:numId w:val="197"/>
        </w:numPr>
        <w:spacing w:line="256" w:lineRule="auto"/>
        <w:ind w:left="709" w:hanging="283"/>
        <w:rPr>
          <w:rFonts w:ascii="Times New Roman" w:eastAsia="Times New Roman" w:hAnsi="Times New Roman" w:cs="Times New Roman"/>
          <w:bCs/>
        </w:rPr>
      </w:pPr>
      <w:r w:rsidRPr="00276952">
        <w:rPr>
          <w:rFonts w:ascii="Times New Roman" w:eastAsia="Times New Roman" w:hAnsi="Times New Roman" w:cs="Times New Roman"/>
          <w:bCs/>
        </w:rPr>
        <w:t>Élelmiszerismeret I. (Közgazdasági és Jogi Könyvkiadó, Budapest 1993., ISBN 963222690 9)</w:t>
      </w:r>
    </w:p>
    <w:p w:rsidR="00276952" w:rsidRPr="00276952" w:rsidRDefault="00276952" w:rsidP="00980876">
      <w:pPr>
        <w:pStyle w:val="Listaszerbekezds"/>
        <w:numPr>
          <w:ilvl w:val="0"/>
          <w:numId w:val="197"/>
        </w:numPr>
        <w:spacing w:line="256" w:lineRule="auto"/>
        <w:ind w:left="709" w:hanging="283"/>
        <w:rPr>
          <w:rFonts w:ascii="Times New Roman" w:eastAsia="Times New Roman" w:hAnsi="Times New Roman" w:cs="Times New Roman"/>
          <w:bCs/>
        </w:rPr>
      </w:pPr>
      <w:r w:rsidRPr="00276952">
        <w:rPr>
          <w:rFonts w:ascii="Times New Roman" w:eastAsia="Times New Roman" w:hAnsi="Times New Roman" w:cs="Times New Roman"/>
          <w:bCs/>
        </w:rPr>
        <w:t xml:space="preserve">Élelmiszerismeret II. (Közgazdasági és Jogi Könyvkiadó, Budapest 1995,.ISBN 963222841 3) </w:t>
      </w:r>
    </w:p>
    <w:p w:rsidR="00A10AA9" w:rsidRDefault="00276952" w:rsidP="00980876">
      <w:pPr>
        <w:pStyle w:val="Listaszerbekezds"/>
        <w:numPr>
          <w:ilvl w:val="0"/>
          <w:numId w:val="197"/>
        </w:numPr>
        <w:spacing w:line="256" w:lineRule="auto"/>
        <w:ind w:left="709" w:hanging="283"/>
        <w:rPr>
          <w:rFonts w:ascii="Times New Roman" w:eastAsia="Times New Roman" w:hAnsi="Times New Roman" w:cs="Times New Roman"/>
          <w:bCs/>
        </w:rPr>
      </w:pPr>
      <w:r w:rsidRPr="00276952">
        <w:rPr>
          <w:rFonts w:ascii="Times New Roman" w:eastAsia="Times New Roman" w:hAnsi="Times New Roman" w:cs="Times New Roman"/>
          <w:bCs/>
        </w:rPr>
        <w:t>EVE STANAG</w:t>
      </w:r>
      <w:r w:rsidRPr="00A10AA9">
        <w:rPr>
          <w:rFonts w:ascii="Times New Roman" w:eastAsia="Times New Roman" w:hAnsi="Times New Roman" w:cs="Times New Roman"/>
          <w:bCs/>
        </w:rPr>
        <w:t xml:space="preserve"> 2115 (NATO Defence Policy and Planning International Staff, 2005)</w:t>
      </w:r>
      <w:r w:rsidR="00A10AA9" w:rsidRPr="00A10AA9">
        <w:rPr>
          <w:rFonts w:ascii="Times New Roman" w:eastAsia="Times New Roman" w:hAnsi="Times New Roman" w:cs="Times New Roman"/>
          <w:bCs/>
        </w:rPr>
        <w:t xml:space="preserve"> </w:t>
      </w:r>
    </w:p>
    <w:p w:rsidR="00A10AA9" w:rsidRPr="00453026" w:rsidRDefault="00A10AA9" w:rsidP="00980876">
      <w:pPr>
        <w:pStyle w:val="Listaszerbekezds"/>
        <w:numPr>
          <w:ilvl w:val="0"/>
          <w:numId w:val="197"/>
        </w:numPr>
        <w:spacing w:line="256" w:lineRule="auto"/>
        <w:ind w:left="709" w:hanging="283"/>
        <w:rPr>
          <w:rFonts w:ascii="Times New Roman" w:eastAsia="Times New Roman" w:hAnsi="Times New Roman" w:cs="Times New Roman"/>
          <w:bCs/>
        </w:rPr>
      </w:pPr>
      <w:r w:rsidRPr="00453026">
        <w:rPr>
          <w:rFonts w:ascii="Times New Roman" w:eastAsia="Times New Roman" w:hAnsi="Times New Roman" w:cs="Times New Roman"/>
          <w:bCs/>
        </w:rPr>
        <w:t>Allied Joint Doctrine for Logistics-4 (AJP-4) Edition B -Version 1, NATO kiadvány, 2018.</w:t>
      </w:r>
    </w:p>
    <w:p w:rsidR="00276952" w:rsidRDefault="00276952" w:rsidP="00276952">
      <w:pPr>
        <w:widowControl w:val="0"/>
        <w:spacing w:before="120" w:after="120" w:line="240" w:lineRule="auto"/>
        <w:jc w:val="both"/>
        <w:rPr>
          <w:rFonts w:ascii="Times New Roman" w:eastAsia="Times New Roman" w:hAnsi="Times New Roman" w:cs="Times New Roman"/>
          <w:bCs/>
        </w:rPr>
      </w:pPr>
    </w:p>
    <w:p w:rsidR="00276952" w:rsidRDefault="00276952" w:rsidP="00276952">
      <w:pPr>
        <w:widowControl w:val="0"/>
        <w:spacing w:before="120" w:after="120" w:line="240" w:lineRule="auto"/>
        <w:jc w:val="both"/>
        <w:rPr>
          <w:rFonts w:ascii="Times New Roman" w:eastAsia="Times New Roman" w:hAnsi="Times New Roman" w:cs="Times New Roman"/>
          <w:bCs/>
        </w:rPr>
      </w:pPr>
      <w:r>
        <w:rPr>
          <w:rFonts w:ascii="Times New Roman" w:eastAsia="Times New Roman" w:hAnsi="Times New Roman" w:cs="Times New Roman"/>
          <w:bCs/>
        </w:rPr>
        <w:t>Budapest, 2020. február 25.</w:t>
      </w:r>
    </w:p>
    <w:p w:rsidR="00276952" w:rsidRDefault="00276952" w:rsidP="00276952">
      <w:pPr>
        <w:widowControl w:val="0"/>
        <w:spacing w:before="120" w:after="120" w:line="240" w:lineRule="auto"/>
        <w:jc w:val="both"/>
        <w:rPr>
          <w:rFonts w:ascii="Times New Roman" w:eastAsia="Times New Roman" w:hAnsi="Times New Roman" w:cs="Times New Roman"/>
          <w:bCs/>
        </w:rPr>
      </w:pPr>
    </w:p>
    <w:p w:rsidR="00276952" w:rsidRDefault="00276952" w:rsidP="00276952">
      <w:pPr>
        <w:widowControl w:val="0"/>
        <w:spacing w:after="0" w:line="240" w:lineRule="auto"/>
        <w:ind w:left="4248" w:firstLine="708"/>
        <w:jc w:val="center"/>
        <w:rPr>
          <w:rFonts w:ascii="Times New Roman" w:hAnsi="Times New Roman" w:cs="Times New Roman"/>
          <w:b/>
          <w:bCs/>
        </w:rPr>
      </w:pPr>
      <w:r>
        <w:rPr>
          <w:rFonts w:ascii="Times New Roman" w:hAnsi="Times New Roman" w:cs="Times New Roman"/>
          <w:b/>
          <w:bCs/>
        </w:rPr>
        <w:t>Dr. Venekei József Péter (PhD)</w:t>
      </w:r>
    </w:p>
    <w:p w:rsidR="00276952" w:rsidRDefault="00276952" w:rsidP="00276952">
      <w:pPr>
        <w:widowControl w:val="0"/>
        <w:spacing w:after="0" w:line="240" w:lineRule="auto"/>
        <w:ind w:left="4248" w:firstLine="708"/>
        <w:jc w:val="center"/>
        <w:rPr>
          <w:rFonts w:ascii="Times New Roman" w:eastAsia="Times New Roman" w:hAnsi="Times New Roman" w:cs="Times New Roman"/>
          <w:bCs/>
        </w:rPr>
      </w:pPr>
      <w:r>
        <w:rPr>
          <w:rFonts w:ascii="Times New Roman" w:hAnsi="Times New Roman" w:cs="Times New Roman"/>
          <w:bCs/>
        </w:rPr>
        <w:t>egyetemi docens s.k.</w:t>
      </w:r>
    </w:p>
    <w:p w:rsidR="00276952" w:rsidRDefault="00276952">
      <w:pPr>
        <w:spacing w:after="200" w:line="276" w:lineRule="auto"/>
        <w:rPr>
          <w:rFonts w:ascii="Times New Roman" w:hAnsi="Times New Roman" w:cs="Times New Roman"/>
          <w:sz w:val="24"/>
        </w:rPr>
      </w:pPr>
    </w:p>
    <w:p w:rsidR="004829FA" w:rsidRDefault="004829FA">
      <w:pPr>
        <w:spacing w:after="200" w:line="276" w:lineRule="auto"/>
        <w:rPr>
          <w:rFonts w:ascii="Times New Roman" w:hAnsi="Times New Roman" w:cs="Times New Roman"/>
          <w:sz w:val="24"/>
        </w:rPr>
      </w:pPr>
      <w:r>
        <w:rPr>
          <w:rFonts w:ascii="Times New Roman" w:hAnsi="Times New Roman" w:cs="Times New Roman"/>
          <w:sz w:val="24"/>
        </w:rPr>
        <w:br w:type="page"/>
      </w:r>
    </w:p>
    <w:tbl>
      <w:tblPr>
        <w:tblW w:w="9072" w:type="dxa"/>
        <w:tblInd w:w="113" w:type="dxa"/>
        <w:tblLook w:val="01E0" w:firstRow="1" w:lastRow="1" w:firstColumn="1" w:lastColumn="1" w:noHBand="0" w:noVBand="0"/>
      </w:tblPr>
      <w:tblGrid>
        <w:gridCol w:w="4855"/>
        <w:gridCol w:w="1620"/>
        <w:gridCol w:w="2597"/>
      </w:tblGrid>
      <w:tr w:rsidR="004829FA" w:rsidTr="004829FA">
        <w:tc>
          <w:tcPr>
            <w:tcW w:w="4855" w:type="dxa"/>
            <w:tcBorders>
              <w:top w:val="nil"/>
              <w:left w:val="nil"/>
              <w:bottom w:val="single" w:sz="4" w:space="0" w:color="auto"/>
              <w:right w:val="nil"/>
            </w:tcBorders>
            <w:hideMark/>
          </w:tcPr>
          <w:p w:rsidR="004829FA" w:rsidRDefault="004829FA">
            <w:pPr>
              <w:spacing w:after="0" w:line="240" w:lineRule="auto"/>
              <w:jc w:val="center"/>
              <w:rPr>
                <w:rFonts w:ascii="Times New Roman" w:eastAsia="Times New Roman" w:hAnsi="Times New Roman" w:cs="Times New Roman"/>
                <w:b/>
                <w:smallCaps/>
                <w:lang w:eastAsia="hu-HU"/>
              </w:rPr>
            </w:pPr>
            <w:r>
              <w:rPr>
                <w:rFonts w:ascii="Times New Roman" w:eastAsia="Times New Roman" w:hAnsi="Times New Roman" w:cs="Times New Roman"/>
                <w:b/>
                <w:smallCaps/>
                <w:lang w:eastAsia="hu-HU"/>
              </w:rPr>
              <w:lastRenderedPageBreak/>
              <w:t>Nemzeti Közszolgálati Egyetem</w:t>
            </w:r>
          </w:p>
        </w:tc>
        <w:tc>
          <w:tcPr>
            <w:tcW w:w="1620" w:type="dxa"/>
          </w:tcPr>
          <w:p w:rsidR="004829FA" w:rsidRDefault="004829FA">
            <w:pPr>
              <w:spacing w:after="0" w:line="240" w:lineRule="auto"/>
              <w:jc w:val="both"/>
              <w:rPr>
                <w:rFonts w:ascii="Times New Roman" w:eastAsia="Times New Roman" w:hAnsi="Times New Roman" w:cs="Times New Roman"/>
                <w:lang w:eastAsia="hu-HU"/>
              </w:rPr>
            </w:pPr>
          </w:p>
        </w:tc>
        <w:tc>
          <w:tcPr>
            <w:tcW w:w="2597" w:type="dxa"/>
          </w:tcPr>
          <w:p w:rsidR="004829FA" w:rsidRDefault="004829FA">
            <w:pPr>
              <w:spacing w:after="0" w:line="240" w:lineRule="auto"/>
              <w:jc w:val="right"/>
              <w:rPr>
                <w:rFonts w:ascii="Times New Roman" w:eastAsia="Times New Roman" w:hAnsi="Times New Roman" w:cs="Times New Roman"/>
                <w:lang w:eastAsia="hu-HU"/>
              </w:rPr>
            </w:pPr>
          </w:p>
        </w:tc>
      </w:tr>
      <w:tr w:rsidR="004829FA" w:rsidTr="004829FA">
        <w:tc>
          <w:tcPr>
            <w:tcW w:w="4855" w:type="dxa"/>
            <w:tcBorders>
              <w:top w:val="single" w:sz="4" w:space="0" w:color="auto"/>
              <w:left w:val="nil"/>
              <w:bottom w:val="nil"/>
              <w:right w:val="nil"/>
            </w:tcBorders>
            <w:hideMark/>
          </w:tcPr>
          <w:p w:rsidR="004829FA" w:rsidRDefault="004829FA">
            <w:pPr>
              <w:spacing w:after="0" w:line="240" w:lineRule="auto"/>
              <w:jc w:val="center"/>
              <w:rPr>
                <w:rFonts w:ascii="Times New Roman" w:eastAsia="Times New Roman" w:hAnsi="Times New Roman" w:cs="Times New Roman"/>
                <w:b/>
                <w:lang w:eastAsia="hu-HU"/>
              </w:rPr>
            </w:pPr>
            <w:r>
              <w:rPr>
                <w:rFonts w:ascii="Times New Roman" w:eastAsia="Times New Roman" w:hAnsi="Times New Roman" w:cs="Times New Roman"/>
                <w:b/>
                <w:lang w:eastAsia="hu-HU"/>
              </w:rPr>
              <w:t>Hadtudományi és Honvédtisztképző Kar</w:t>
            </w:r>
          </w:p>
        </w:tc>
        <w:tc>
          <w:tcPr>
            <w:tcW w:w="1620" w:type="dxa"/>
          </w:tcPr>
          <w:p w:rsidR="004829FA" w:rsidRDefault="004829FA">
            <w:pPr>
              <w:spacing w:after="0" w:line="240" w:lineRule="auto"/>
              <w:jc w:val="both"/>
              <w:rPr>
                <w:rFonts w:ascii="Times New Roman" w:eastAsia="Times New Roman" w:hAnsi="Times New Roman" w:cs="Times New Roman"/>
                <w:lang w:eastAsia="hu-HU"/>
              </w:rPr>
            </w:pPr>
          </w:p>
        </w:tc>
        <w:tc>
          <w:tcPr>
            <w:tcW w:w="2597" w:type="dxa"/>
          </w:tcPr>
          <w:p w:rsidR="004829FA" w:rsidRDefault="004829FA">
            <w:pPr>
              <w:spacing w:after="0" w:line="240" w:lineRule="auto"/>
              <w:jc w:val="both"/>
              <w:rPr>
                <w:rFonts w:ascii="Times New Roman" w:eastAsia="Times New Roman" w:hAnsi="Times New Roman" w:cs="Times New Roman"/>
                <w:lang w:eastAsia="hu-HU"/>
              </w:rPr>
            </w:pPr>
          </w:p>
        </w:tc>
      </w:tr>
    </w:tbl>
    <w:p w:rsidR="004829FA" w:rsidRDefault="004829FA" w:rsidP="004829FA">
      <w:pPr>
        <w:widowControl w:val="0"/>
        <w:spacing w:before="120" w:after="120" w:line="240" w:lineRule="auto"/>
        <w:ind w:left="426" w:hanging="142"/>
        <w:jc w:val="center"/>
        <w:rPr>
          <w:rFonts w:ascii="Times New Roman" w:eastAsia="Times New Roman" w:hAnsi="Times New Roman" w:cs="Times New Roman"/>
          <w:b/>
          <w:bCs/>
        </w:rPr>
      </w:pPr>
    </w:p>
    <w:p w:rsidR="004829FA" w:rsidRDefault="004829FA" w:rsidP="004829FA">
      <w:pPr>
        <w:widowControl w:val="0"/>
        <w:spacing w:before="120" w:after="120" w:line="240" w:lineRule="auto"/>
        <w:ind w:left="426" w:hanging="142"/>
        <w:jc w:val="center"/>
        <w:rPr>
          <w:rFonts w:ascii="Times New Roman" w:eastAsia="Times New Roman" w:hAnsi="Times New Roman" w:cs="Times New Roman"/>
          <w:b/>
          <w:bCs/>
        </w:rPr>
      </w:pPr>
      <w:r>
        <w:rPr>
          <w:rFonts w:ascii="Times New Roman" w:eastAsia="Times New Roman" w:hAnsi="Times New Roman" w:cs="Times New Roman"/>
          <w:b/>
          <w:bCs/>
        </w:rPr>
        <w:t>TANTÁRGYI PROGRAM</w:t>
      </w:r>
    </w:p>
    <w:p w:rsidR="004829FA" w:rsidRDefault="004829FA" w:rsidP="00980876">
      <w:pPr>
        <w:widowControl w:val="0"/>
        <w:numPr>
          <w:ilvl w:val="0"/>
          <w:numId w:val="198"/>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 tantárgy kódja: </w:t>
      </w:r>
      <w:r>
        <w:rPr>
          <w:rFonts w:ascii="Times New Roman" w:hAnsi="Times New Roman" w:cs="Times New Roman"/>
          <w:bCs/>
        </w:rPr>
        <w:t>HKHPKA502</w:t>
      </w:r>
    </w:p>
    <w:p w:rsidR="004829FA" w:rsidRDefault="004829FA" w:rsidP="00980876">
      <w:pPr>
        <w:widowControl w:val="0"/>
        <w:numPr>
          <w:ilvl w:val="0"/>
          <w:numId w:val="198"/>
        </w:numPr>
        <w:spacing w:before="120" w:after="120" w:line="240" w:lineRule="auto"/>
        <w:ind w:left="426" w:hanging="142"/>
        <w:jc w:val="both"/>
        <w:rPr>
          <w:rFonts w:ascii="Times New Roman" w:eastAsia="Times New Roman" w:hAnsi="Times New Roman" w:cs="Times New Roman"/>
          <w:b/>
          <w:bCs/>
          <w:lang w:val="en-GB"/>
        </w:rPr>
      </w:pPr>
      <w:r>
        <w:rPr>
          <w:rFonts w:ascii="Times New Roman" w:eastAsia="Times New Roman" w:hAnsi="Times New Roman" w:cs="Times New Roman"/>
          <w:b/>
          <w:bCs/>
        </w:rPr>
        <w:t>A tantárgy megnevezése (magyarul):</w:t>
      </w:r>
      <w:r>
        <w:rPr>
          <w:rFonts w:ascii="Times New Roman" w:eastAsia="Times New Roman" w:hAnsi="Times New Roman" w:cs="Times New Roman"/>
          <w:bCs/>
        </w:rPr>
        <w:t xml:space="preserve"> </w:t>
      </w:r>
      <w:r>
        <w:rPr>
          <w:rFonts w:ascii="Times New Roman" w:hAnsi="Times New Roman" w:cs="Times New Roman"/>
          <w:bCs/>
        </w:rPr>
        <w:t>Pénzügyi gazdasági elemzés</w:t>
      </w:r>
    </w:p>
    <w:p w:rsidR="004829FA" w:rsidRDefault="004829FA" w:rsidP="00980876">
      <w:pPr>
        <w:widowControl w:val="0"/>
        <w:numPr>
          <w:ilvl w:val="0"/>
          <w:numId w:val="198"/>
        </w:numPr>
        <w:tabs>
          <w:tab w:val="num" w:pos="567"/>
        </w:tabs>
        <w:spacing w:before="120" w:after="120" w:line="240" w:lineRule="auto"/>
        <w:ind w:left="426" w:hanging="142"/>
        <w:jc w:val="both"/>
        <w:rPr>
          <w:rFonts w:ascii="Times New Roman" w:eastAsia="Times New Roman" w:hAnsi="Times New Roman" w:cs="Times New Roman"/>
          <w:b/>
          <w:bCs/>
          <w:lang w:val="en-GB"/>
        </w:rPr>
      </w:pPr>
      <w:r>
        <w:rPr>
          <w:rFonts w:ascii="Times New Roman" w:eastAsia="Times New Roman" w:hAnsi="Times New Roman" w:cs="Times New Roman"/>
          <w:b/>
          <w:bCs/>
        </w:rPr>
        <w:t xml:space="preserve">A tantárgy megnevezése (angolul): </w:t>
      </w:r>
      <w:r>
        <w:rPr>
          <w:rFonts w:ascii="Times New Roman" w:eastAsia="Times New Roman" w:hAnsi="Times New Roman" w:cs="Times New Roman"/>
        </w:rPr>
        <w:t>Financial and Economic Analysis</w:t>
      </w:r>
    </w:p>
    <w:p w:rsidR="004829FA" w:rsidRDefault="004829FA" w:rsidP="00980876">
      <w:pPr>
        <w:widowControl w:val="0"/>
        <w:numPr>
          <w:ilvl w:val="0"/>
          <w:numId w:val="198"/>
        </w:numPr>
        <w:tabs>
          <w:tab w:val="num" w:pos="567"/>
        </w:tabs>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Kreditérték és képzési karakter: </w:t>
      </w:r>
    </w:p>
    <w:p w:rsidR="004829FA" w:rsidRDefault="004829FA" w:rsidP="00980876">
      <w:pPr>
        <w:pStyle w:val="Listaszerbekezds"/>
        <w:widowControl w:val="0"/>
        <w:numPr>
          <w:ilvl w:val="1"/>
          <w:numId w:val="198"/>
        </w:numPr>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4 kredit</w:t>
      </w:r>
    </w:p>
    <w:p w:rsidR="004829FA" w:rsidRDefault="004829FA" w:rsidP="00980876">
      <w:pPr>
        <w:pStyle w:val="Listaszerbekezds"/>
        <w:widowControl w:val="0"/>
        <w:numPr>
          <w:ilvl w:val="1"/>
          <w:numId w:val="198"/>
        </w:numPr>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a tantárgy elméleti vagy gyakorlati jellegének mértéke: 67</w:t>
      </w:r>
      <w:r>
        <w:rPr>
          <w:rFonts w:ascii="Times New Roman" w:eastAsia="Times New Roman" w:hAnsi="Times New Roman" w:cs="Times New Roman"/>
          <w:b/>
          <w:bCs/>
        </w:rPr>
        <w:t xml:space="preserve"> </w:t>
      </w:r>
      <w:r>
        <w:rPr>
          <w:rFonts w:ascii="Times New Roman" w:eastAsia="Times New Roman" w:hAnsi="Times New Roman" w:cs="Times New Roman"/>
          <w:bCs/>
        </w:rPr>
        <w:t>% gyakorlat, 33 % elmélet</w:t>
      </w:r>
    </w:p>
    <w:p w:rsidR="004829FA" w:rsidRDefault="004829FA" w:rsidP="00980876">
      <w:pPr>
        <w:widowControl w:val="0"/>
        <w:numPr>
          <w:ilvl w:val="0"/>
          <w:numId w:val="198"/>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szak(ok), szakirányok/specializációk megnevezése (ahol oktatják):</w:t>
      </w:r>
      <w:r>
        <w:rPr>
          <w:rFonts w:ascii="Times New Roman" w:eastAsia="Times New Roman" w:hAnsi="Times New Roman" w:cs="Times New Roman"/>
          <w:bCs/>
        </w:rPr>
        <w:t xml:space="preserve"> </w:t>
      </w:r>
      <w:r>
        <w:rPr>
          <w:rFonts w:ascii="Times New Roman" w:hAnsi="Times New Roman" w:cs="Times New Roman"/>
          <w:bCs/>
        </w:rPr>
        <w:t>Katonai logisztika alapképzési szak, hadtáp specializáció, katonai pénzügyi specializáció</w:t>
      </w:r>
    </w:p>
    <w:p w:rsidR="004829FA" w:rsidRDefault="004829FA" w:rsidP="00980876">
      <w:pPr>
        <w:widowControl w:val="0"/>
        <w:numPr>
          <w:ilvl w:val="0"/>
          <w:numId w:val="198"/>
        </w:numPr>
        <w:tabs>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Az oktatásért felelős oktatási szervezeti egység megnevezése: </w:t>
      </w:r>
      <w:r>
        <w:rPr>
          <w:rFonts w:ascii="Times New Roman" w:hAnsi="Times New Roman" w:cs="Times New Roman"/>
          <w:bCs/>
        </w:rPr>
        <w:t>NKE HHK Hadtáp, Pénzügyi és Katonai Közlekedési Tanszék</w:t>
      </w:r>
    </w:p>
    <w:p w:rsidR="004829FA" w:rsidRDefault="004829FA" w:rsidP="00980876">
      <w:pPr>
        <w:widowControl w:val="0"/>
        <w:numPr>
          <w:ilvl w:val="0"/>
          <w:numId w:val="198"/>
        </w:numPr>
        <w:tabs>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tantárgyfelelős oktató neve, beosztása, tudományos fokozata:</w:t>
      </w:r>
      <w:r>
        <w:rPr>
          <w:rFonts w:ascii="Times New Roman" w:eastAsia="Times New Roman" w:hAnsi="Times New Roman" w:cs="Times New Roman"/>
          <w:bCs/>
        </w:rPr>
        <w:t xml:space="preserve"> </w:t>
      </w:r>
      <w:r w:rsidR="00DE13A3">
        <w:rPr>
          <w:rFonts w:ascii="Times New Roman" w:hAnsi="Times New Roman" w:cs="Times New Roman"/>
          <w:bCs/>
        </w:rPr>
        <w:t xml:space="preserve">Dr. </w:t>
      </w:r>
      <w:r>
        <w:rPr>
          <w:rFonts w:ascii="Times New Roman" w:hAnsi="Times New Roman" w:cs="Times New Roman"/>
          <w:bCs/>
        </w:rPr>
        <w:t>Nyikos Györgyi, egyetemi docens, (PhD)</w:t>
      </w:r>
    </w:p>
    <w:p w:rsidR="004829FA" w:rsidRDefault="004829FA" w:rsidP="00980876">
      <w:pPr>
        <w:widowControl w:val="0"/>
        <w:numPr>
          <w:ilvl w:val="0"/>
          <w:numId w:val="198"/>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tanórák száma és típusa</w:t>
      </w:r>
    </w:p>
    <w:p w:rsidR="004829FA" w:rsidRDefault="004829FA" w:rsidP="00980876">
      <w:pPr>
        <w:widowControl w:val="0"/>
        <w:numPr>
          <w:ilvl w:val="1"/>
          <w:numId w:val="198"/>
        </w:numPr>
        <w:tabs>
          <w:tab w:val="num" w:pos="709"/>
          <w:tab w:val="num" w:pos="2069"/>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össz óraszám/félév: 42</w:t>
      </w:r>
    </w:p>
    <w:p w:rsidR="004829FA" w:rsidRDefault="004829FA" w:rsidP="00980876">
      <w:pPr>
        <w:widowControl w:val="0"/>
        <w:numPr>
          <w:ilvl w:val="2"/>
          <w:numId w:val="198"/>
        </w:numPr>
        <w:tabs>
          <w:tab w:val="num" w:pos="709"/>
          <w:tab w:val="num" w:pos="1134"/>
        </w:tabs>
        <w:spacing w:before="120" w:after="120" w:line="240" w:lineRule="auto"/>
        <w:ind w:left="993" w:hanging="425"/>
        <w:jc w:val="both"/>
        <w:rPr>
          <w:rFonts w:ascii="Times New Roman" w:eastAsia="Times New Roman" w:hAnsi="Times New Roman" w:cs="Times New Roman"/>
          <w:bCs/>
        </w:rPr>
      </w:pPr>
      <w:r>
        <w:rPr>
          <w:rFonts w:ascii="Times New Roman" w:eastAsia="Times New Roman" w:hAnsi="Times New Roman" w:cs="Times New Roman"/>
          <w:bCs/>
        </w:rPr>
        <w:t>nappali munkarend: (14 EA + 0 SZ + 28 GY)</w:t>
      </w:r>
    </w:p>
    <w:p w:rsidR="004829FA" w:rsidRDefault="004829FA" w:rsidP="00980876">
      <w:pPr>
        <w:widowControl w:val="0"/>
        <w:numPr>
          <w:ilvl w:val="2"/>
          <w:numId w:val="198"/>
        </w:numPr>
        <w:tabs>
          <w:tab w:val="num" w:pos="709"/>
          <w:tab w:val="num" w:pos="1134"/>
        </w:tabs>
        <w:spacing w:before="120" w:after="120" w:line="240" w:lineRule="auto"/>
        <w:ind w:left="993" w:hanging="425"/>
        <w:jc w:val="both"/>
        <w:rPr>
          <w:rFonts w:ascii="Times New Roman" w:eastAsia="Times New Roman" w:hAnsi="Times New Roman" w:cs="Times New Roman"/>
          <w:bCs/>
        </w:rPr>
      </w:pPr>
      <w:r>
        <w:rPr>
          <w:rFonts w:ascii="Times New Roman" w:eastAsia="Times New Roman" w:hAnsi="Times New Roman" w:cs="Times New Roman"/>
          <w:bCs/>
        </w:rPr>
        <w:t>levelező munkarend: -</w:t>
      </w:r>
    </w:p>
    <w:p w:rsidR="004829FA" w:rsidRDefault="004829FA" w:rsidP="00980876">
      <w:pPr>
        <w:widowControl w:val="0"/>
        <w:numPr>
          <w:ilvl w:val="1"/>
          <w:numId w:val="198"/>
        </w:numPr>
        <w:tabs>
          <w:tab w:val="num" w:pos="709"/>
          <w:tab w:val="num" w:pos="2069"/>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heti óraszám - nappali munkarend: 3</w:t>
      </w:r>
    </w:p>
    <w:p w:rsidR="004829FA" w:rsidRDefault="004829FA" w:rsidP="00980876">
      <w:pPr>
        <w:widowControl w:val="0"/>
        <w:numPr>
          <w:ilvl w:val="1"/>
          <w:numId w:val="198"/>
        </w:numPr>
        <w:tabs>
          <w:tab w:val="num" w:pos="709"/>
          <w:tab w:val="num" w:pos="2069"/>
        </w:tabs>
        <w:spacing w:before="120" w:after="120" w:line="240" w:lineRule="auto"/>
        <w:ind w:left="851" w:hanging="425"/>
        <w:jc w:val="both"/>
        <w:rPr>
          <w:rFonts w:ascii="Times New Roman" w:eastAsia="Times New Roman" w:hAnsi="Times New Roman" w:cs="Times New Roman"/>
          <w:bCs/>
        </w:rPr>
      </w:pPr>
      <w:r>
        <w:rPr>
          <w:rFonts w:ascii="Times New Roman" w:hAnsi="Times New Roman" w:cs="Times New Roman"/>
        </w:rPr>
        <w:t>Az ismeret átadásában alkalmazandó további sajátos módok, jellemzők:</w:t>
      </w:r>
      <w:r>
        <w:rPr>
          <w:rFonts w:ascii="Times New Roman" w:hAnsi="Times New Roman" w:cs="Times New Roman"/>
          <w:i/>
        </w:rPr>
        <w:t xml:space="preserve"> Az ismeretek feldolgozása vegyes tanulási program (blended learning) alapján történik.</w:t>
      </w:r>
    </w:p>
    <w:p w:rsidR="004829FA" w:rsidRDefault="004829FA" w:rsidP="00980876">
      <w:pPr>
        <w:widowControl w:val="0"/>
        <w:numPr>
          <w:ilvl w:val="0"/>
          <w:numId w:val="198"/>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tantárgy szakmai tartalma (magyarul):</w:t>
      </w:r>
      <w:r>
        <w:rPr>
          <w:rFonts w:ascii="Times New Roman" w:eastAsia="Times New Roman" w:hAnsi="Times New Roman" w:cs="Times New Roman"/>
          <w:bCs/>
        </w:rPr>
        <w:t xml:space="preserve"> Megismertetni a honvéd tisztjelöltekkel a gazdasági elemzés lényegét, módszereit.</w:t>
      </w:r>
    </w:p>
    <w:p w:rsidR="004829FA" w:rsidRDefault="004829FA" w:rsidP="004829FA">
      <w:pPr>
        <w:widowControl w:val="0"/>
        <w:spacing w:before="120" w:after="120" w:line="240" w:lineRule="auto"/>
        <w:ind w:left="426"/>
        <w:jc w:val="both"/>
        <w:rPr>
          <w:rFonts w:ascii="Times New Roman" w:eastAsia="Times New Roman" w:hAnsi="Times New Roman" w:cs="Times New Roman"/>
          <w:bCs/>
          <w:lang w:val="en-GB"/>
        </w:rPr>
      </w:pPr>
      <w:r>
        <w:rPr>
          <w:rFonts w:ascii="Times New Roman" w:eastAsia="Times New Roman" w:hAnsi="Times New Roman" w:cs="Times New Roman"/>
          <w:b/>
          <w:bCs/>
        </w:rPr>
        <w:t>A tantárgy szakmai tartalma (angolul) (</w:t>
      </w:r>
      <w:r>
        <w:rPr>
          <w:rFonts w:ascii="Times New Roman" w:eastAsia="Times New Roman" w:hAnsi="Times New Roman" w:cs="Times New Roman"/>
          <w:b/>
          <w:bCs/>
          <w:lang w:val="en-US"/>
        </w:rPr>
        <w:t>Course description</w:t>
      </w:r>
      <w:r>
        <w:rPr>
          <w:rFonts w:ascii="Times New Roman" w:eastAsia="Times New Roman" w:hAnsi="Times New Roman" w:cs="Times New Roman"/>
          <w:b/>
          <w:bCs/>
        </w:rPr>
        <w:t xml:space="preserve">): </w:t>
      </w:r>
      <w:r>
        <w:rPr>
          <w:rFonts w:ascii="Times New Roman" w:eastAsia="Times New Roman" w:hAnsi="Times New Roman" w:cs="Times New Roman"/>
          <w:lang w:val="en-US"/>
        </w:rPr>
        <w:t>The goal of this subject is to make the cadets understand the goals, methods and tools of economic analysis.</w:t>
      </w:r>
    </w:p>
    <w:p w:rsidR="004829FA" w:rsidRDefault="004829FA" w:rsidP="00980876">
      <w:pPr>
        <w:pStyle w:val="Listaszerbekezds"/>
        <w:widowControl w:val="0"/>
        <w:numPr>
          <w:ilvl w:val="0"/>
          <w:numId w:val="198"/>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Elérendő kompetenciák (magyarul):</w:t>
      </w:r>
      <w:r>
        <w:rPr>
          <w:rFonts w:ascii="Times New Roman" w:eastAsia="Times New Roman" w:hAnsi="Times New Roman" w:cs="Times New Roman"/>
          <w:bCs/>
        </w:rPr>
        <w:t xml:space="preserve"> </w:t>
      </w:r>
    </w:p>
    <w:p w:rsidR="004829FA" w:rsidRDefault="004829FA" w:rsidP="004829FA">
      <w:pPr>
        <w:widowControl w:val="0"/>
        <w:spacing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Tudása:</w:t>
      </w:r>
    </w:p>
    <w:p w:rsidR="004829FA" w:rsidRDefault="004829FA" w:rsidP="004829FA">
      <w:pPr>
        <w:widowControl w:val="0"/>
        <w:spacing w:before="120" w:after="120" w:line="240" w:lineRule="auto"/>
        <w:ind w:left="993" w:hanging="360"/>
        <w:contextualSpacing/>
        <w:jc w:val="both"/>
        <w:rPr>
          <w:rFonts w:ascii="Times New Roman" w:eastAsia="Times New Roman" w:hAnsi="Times New Roman" w:cs="Times New Roman"/>
          <w:bCs/>
        </w:rPr>
      </w:pPr>
      <w:r>
        <w:rPr>
          <w:rFonts w:ascii="Times New Roman" w:eastAsia="Times New Roman" w:hAnsi="Times New Roman" w:cs="Times New Roman"/>
          <w:bCs/>
        </w:rPr>
        <w:t>-</w:t>
      </w:r>
      <w:r>
        <w:rPr>
          <w:rFonts w:ascii="Times New Roman" w:eastAsia="Times New Roman" w:hAnsi="Times New Roman" w:cs="Times New Roman"/>
          <w:bCs/>
        </w:rPr>
        <w:tab/>
        <w:t>Ismeri a gazdaság és a piacok működésének alapjait, törvényszerűségeit.</w:t>
      </w:r>
    </w:p>
    <w:p w:rsidR="004829FA" w:rsidRDefault="004829FA" w:rsidP="004829FA">
      <w:pPr>
        <w:widowControl w:val="0"/>
        <w:spacing w:before="120" w:after="120" w:line="240" w:lineRule="auto"/>
        <w:ind w:left="993" w:hanging="360"/>
        <w:contextualSpacing/>
        <w:jc w:val="both"/>
        <w:rPr>
          <w:rFonts w:ascii="Times New Roman" w:eastAsia="Times New Roman" w:hAnsi="Times New Roman" w:cs="Times New Roman"/>
          <w:bCs/>
        </w:rPr>
      </w:pPr>
      <w:r>
        <w:rPr>
          <w:rFonts w:ascii="Times New Roman" w:eastAsia="Times New Roman" w:hAnsi="Times New Roman" w:cs="Times New Roman"/>
          <w:bCs/>
        </w:rPr>
        <w:t>-</w:t>
      </w:r>
      <w:r>
        <w:rPr>
          <w:rFonts w:ascii="Times New Roman" w:eastAsia="Times New Roman" w:hAnsi="Times New Roman" w:cs="Times New Roman"/>
          <w:bCs/>
        </w:rPr>
        <w:tab/>
        <w:t>Ismeri a gazdasági elemzés szerepét a gazdaságban és a közszolgálat különböző területein.</w:t>
      </w:r>
    </w:p>
    <w:p w:rsidR="004829FA" w:rsidRDefault="004829FA" w:rsidP="004829FA">
      <w:pPr>
        <w:widowControl w:val="0"/>
        <w:spacing w:before="120" w:after="120" w:line="240" w:lineRule="auto"/>
        <w:ind w:left="993" w:hanging="360"/>
        <w:contextualSpacing/>
        <w:jc w:val="both"/>
        <w:rPr>
          <w:rFonts w:ascii="Times New Roman" w:eastAsia="Times New Roman" w:hAnsi="Times New Roman" w:cs="Times New Roman"/>
          <w:bCs/>
        </w:rPr>
      </w:pPr>
      <w:r>
        <w:rPr>
          <w:rFonts w:ascii="Times New Roman" w:eastAsia="Times New Roman" w:hAnsi="Times New Roman" w:cs="Times New Roman"/>
          <w:bCs/>
        </w:rPr>
        <w:t>-</w:t>
      </w:r>
      <w:r>
        <w:rPr>
          <w:rFonts w:ascii="Times New Roman" w:eastAsia="Times New Roman" w:hAnsi="Times New Roman" w:cs="Times New Roman"/>
          <w:bCs/>
        </w:rPr>
        <w:tab/>
        <w:t>Mélyrehatóan ismeri a pénzügyi-gazdasági elemzés alapvető módszereit, alkalmazási területeit az operatív döntés-előkészítésben, továbbá az éves beszámoló elemzésének módszereit.</w:t>
      </w:r>
    </w:p>
    <w:p w:rsidR="004829FA" w:rsidRDefault="004829FA" w:rsidP="004829FA">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Képességei:</w:t>
      </w:r>
    </w:p>
    <w:p w:rsidR="004829FA" w:rsidRDefault="004829FA" w:rsidP="004829FA">
      <w:pPr>
        <w:widowControl w:val="0"/>
        <w:spacing w:before="120" w:after="120" w:line="240" w:lineRule="auto"/>
        <w:ind w:left="993" w:hanging="360"/>
        <w:contextualSpacing/>
        <w:jc w:val="both"/>
        <w:rPr>
          <w:rFonts w:ascii="Times New Roman" w:eastAsia="Times New Roman" w:hAnsi="Times New Roman" w:cs="Times New Roman"/>
          <w:bCs/>
        </w:rPr>
      </w:pPr>
      <w:r>
        <w:rPr>
          <w:rFonts w:ascii="Times New Roman" w:eastAsia="Times New Roman" w:hAnsi="Times New Roman" w:cs="Times New Roman"/>
          <w:bCs/>
        </w:rPr>
        <w:t>-</w:t>
      </w:r>
      <w:r>
        <w:rPr>
          <w:rFonts w:ascii="Times New Roman" w:eastAsia="Times New Roman" w:hAnsi="Times New Roman" w:cs="Times New Roman"/>
          <w:bCs/>
        </w:rPr>
        <w:tab/>
        <w:t>Képes valós és megbízható képet alkotni a gazdálkodó szervezetek vagyonáról, pénzügyi helyzetéről, gazdálkodásának szabályszerűségéről.</w:t>
      </w:r>
    </w:p>
    <w:p w:rsidR="004829FA" w:rsidRDefault="004829FA" w:rsidP="004829FA">
      <w:pPr>
        <w:widowControl w:val="0"/>
        <w:spacing w:before="120" w:after="120" w:line="240" w:lineRule="auto"/>
        <w:ind w:left="993" w:hanging="360"/>
        <w:contextualSpacing/>
        <w:jc w:val="both"/>
        <w:rPr>
          <w:rFonts w:ascii="Times New Roman" w:eastAsia="Times New Roman" w:hAnsi="Times New Roman" w:cs="Times New Roman"/>
          <w:bCs/>
        </w:rPr>
      </w:pPr>
      <w:r>
        <w:rPr>
          <w:rFonts w:ascii="Times New Roman" w:eastAsia="Times New Roman" w:hAnsi="Times New Roman" w:cs="Times New Roman"/>
          <w:bCs/>
        </w:rPr>
        <w:t>-</w:t>
      </w:r>
      <w:r>
        <w:rPr>
          <w:rFonts w:ascii="Times New Roman" w:eastAsia="Times New Roman" w:hAnsi="Times New Roman" w:cs="Times New Roman"/>
          <w:bCs/>
        </w:rPr>
        <w:tab/>
        <w:t>Képes pontos és precíz logisztikai, illetve gazdálkodási számvetéseket készíteni.</w:t>
      </w:r>
    </w:p>
    <w:p w:rsidR="004829FA" w:rsidRDefault="004829FA" w:rsidP="004829FA">
      <w:pPr>
        <w:widowControl w:val="0"/>
        <w:spacing w:before="120" w:after="120" w:line="240" w:lineRule="auto"/>
        <w:ind w:left="993" w:hanging="360"/>
        <w:contextualSpacing/>
        <w:jc w:val="both"/>
        <w:rPr>
          <w:rFonts w:ascii="Times New Roman" w:eastAsia="Times New Roman" w:hAnsi="Times New Roman" w:cs="Times New Roman"/>
          <w:bCs/>
        </w:rPr>
      </w:pPr>
      <w:r>
        <w:rPr>
          <w:rFonts w:ascii="Times New Roman" w:eastAsia="Times New Roman" w:hAnsi="Times New Roman" w:cs="Times New Roman"/>
          <w:bCs/>
        </w:rPr>
        <w:t>-</w:t>
      </w:r>
      <w:r>
        <w:rPr>
          <w:rFonts w:ascii="Times New Roman" w:eastAsia="Times New Roman" w:hAnsi="Times New Roman" w:cs="Times New Roman"/>
          <w:bCs/>
        </w:rPr>
        <w:tab/>
        <w:t>Képes gazdálkodási feladatok alapszintű tervezésére, szervezésére, irányítására és az ebből adódó tevékenységek gazdasági elemzésinek végrehajtására.</w:t>
      </w:r>
    </w:p>
    <w:p w:rsidR="004829FA" w:rsidRDefault="004829FA" w:rsidP="004829FA">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Attitűdje:</w:t>
      </w:r>
      <w:r>
        <w:rPr>
          <w:rFonts w:ascii="Times New Roman" w:eastAsia="Times New Roman" w:hAnsi="Times New Roman" w:cs="Times New Roman"/>
          <w:bCs/>
        </w:rPr>
        <w:t xml:space="preserve"> </w:t>
      </w:r>
    </w:p>
    <w:p w:rsidR="004829FA" w:rsidRDefault="004829FA" w:rsidP="004829FA">
      <w:pPr>
        <w:widowControl w:val="0"/>
        <w:spacing w:before="120" w:after="120" w:line="240" w:lineRule="auto"/>
        <w:ind w:left="993" w:hanging="360"/>
        <w:contextualSpacing/>
        <w:jc w:val="both"/>
        <w:rPr>
          <w:rFonts w:ascii="Times New Roman" w:eastAsia="Times New Roman" w:hAnsi="Times New Roman" w:cs="Times New Roman"/>
          <w:bCs/>
        </w:rPr>
      </w:pPr>
      <w:r>
        <w:rPr>
          <w:rFonts w:ascii="Times New Roman" w:eastAsia="Times New Roman" w:hAnsi="Times New Roman" w:cs="Times New Roman"/>
          <w:bCs/>
        </w:rPr>
        <w:t>-</w:t>
      </w:r>
      <w:r>
        <w:rPr>
          <w:rFonts w:ascii="Times New Roman" w:eastAsia="Times New Roman" w:hAnsi="Times New Roman" w:cs="Times New Roman"/>
          <w:bCs/>
        </w:rPr>
        <w:tab/>
        <w:t xml:space="preserve">Nyitott szakterülete új eredményei, innovációi iránt, törekszik azok megismerésére, </w:t>
      </w:r>
      <w:r w:rsidRPr="00056F25">
        <w:rPr>
          <w:rFonts w:ascii="Times New Roman" w:eastAsia="Times New Roman" w:hAnsi="Times New Roman"/>
          <w:bCs/>
        </w:rPr>
        <w:t>megértésére</w:t>
      </w:r>
      <w:r>
        <w:rPr>
          <w:rFonts w:ascii="Times New Roman" w:eastAsia="Times New Roman" w:hAnsi="Times New Roman" w:cs="Times New Roman"/>
          <w:bCs/>
        </w:rPr>
        <w:t xml:space="preserve"> és alkalmazására, elkötelezett önmaga folyamatos képzésére.</w:t>
      </w:r>
    </w:p>
    <w:p w:rsidR="004829FA" w:rsidRDefault="004829FA" w:rsidP="004829FA">
      <w:pPr>
        <w:widowControl w:val="0"/>
        <w:spacing w:before="120" w:after="120" w:line="240" w:lineRule="auto"/>
        <w:ind w:left="993" w:hanging="360"/>
        <w:contextualSpacing/>
        <w:jc w:val="both"/>
        <w:rPr>
          <w:rFonts w:ascii="Times New Roman" w:eastAsia="Times New Roman" w:hAnsi="Times New Roman" w:cs="Times New Roman"/>
          <w:bCs/>
        </w:rPr>
      </w:pPr>
      <w:r>
        <w:rPr>
          <w:rFonts w:ascii="Times New Roman" w:eastAsia="Times New Roman" w:hAnsi="Times New Roman" w:cs="Times New Roman"/>
          <w:bCs/>
        </w:rPr>
        <w:t>-</w:t>
      </w:r>
      <w:r>
        <w:rPr>
          <w:rFonts w:ascii="Times New Roman" w:eastAsia="Times New Roman" w:hAnsi="Times New Roman" w:cs="Times New Roman"/>
          <w:bCs/>
        </w:rPr>
        <w:tab/>
        <w:t>A minőségi szakmai munkavégzés iránt elkötelezett, azt a pontosságra való törekvés jellemzi.</w:t>
      </w:r>
    </w:p>
    <w:p w:rsidR="004829FA" w:rsidRDefault="004829FA" w:rsidP="004829FA">
      <w:pPr>
        <w:widowControl w:val="0"/>
        <w:spacing w:before="120" w:after="120" w:line="240" w:lineRule="auto"/>
        <w:ind w:left="993" w:hanging="360"/>
        <w:contextualSpacing/>
        <w:jc w:val="both"/>
        <w:rPr>
          <w:rFonts w:ascii="Times New Roman" w:eastAsia="Times New Roman" w:hAnsi="Times New Roman" w:cs="Times New Roman"/>
          <w:bCs/>
        </w:rPr>
      </w:pPr>
      <w:r>
        <w:rPr>
          <w:rFonts w:ascii="Times New Roman" w:eastAsia="Times New Roman" w:hAnsi="Times New Roman" w:cs="Times New Roman"/>
          <w:bCs/>
        </w:rPr>
        <w:lastRenderedPageBreak/>
        <w:t>-</w:t>
      </w:r>
      <w:r>
        <w:rPr>
          <w:rFonts w:ascii="Times New Roman" w:eastAsia="Times New Roman" w:hAnsi="Times New Roman" w:cs="Times New Roman"/>
          <w:bCs/>
        </w:rPr>
        <w:tab/>
        <w:t>Felismeri a rendszerszintű tevékenységben rejlő értékeket, törekszik a logisztikai tevékenységek közötti kapcsolatok értelmezésére.</w:t>
      </w:r>
    </w:p>
    <w:p w:rsidR="004829FA" w:rsidRDefault="004829FA" w:rsidP="004829FA">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Autonómiája és felelőssége:</w:t>
      </w:r>
    </w:p>
    <w:p w:rsidR="004829FA" w:rsidRDefault="004829FA" w:rsidP="004829FA">
      <w:pPr>
        <w:widowControl w:val="0"/>
        <w:spacing w:before="120" w:after="120" w:line="240" w:lineRule="auto"/>
        <w:ind w:left="993" w:hanging="360"/>
        <w:contextualSpacing/>
        <w:jc w:val="both"/>
        <w:rPr>
          <w:rFonts w:ascii="Times New Roman" w:eastAsia="Times New Roman" w:hAnsi="Times New Roman" w:cs="Times New Roman"/>
          <w:bCs/>
        </w:rPr>
      </w:pPr>
      <w:r>
        <w:rPr>
          <w:rFonts w:ascii="Times New Roman" w:eastAsia="Times New Roman" w:hAnsi="Times New Roman" w:cs="Times New Roman"/>
          <w:bCs/>
        </w:rPr>
        <w:t>-</w:t>
      </w:r>
      <w:r>
        <w:rPr>
          <w:rFonts w:ascii="Times New Roman" w:eastAsia="Times New Roman" w:hAnsi="Times New Roman" w:cs="Times New Roman"/>
          <w:bCs/>
        </w:rPr>
        <w:tab/>
        <w:t>Felelősséget vállal számvetéseinek pontosságáért.</w:t>
      </w:r>
    </w:p>
    <w:p w:rsidR="004829FA" w:rsidRDefault="004829FA" w:rsidP="004829FA">
      <w:pPr>
        <w:widowControl w:val="0"/>
        <w:spacing w:before="120" w:after="0" w:line="240" w:lineRule="auto"/>
        <w:ind w:left="425"/>
        <w:jc w:val="both"/>
        <w:rPr>
          <w:rFonts w:ascii="Times New Roman" w:eastAsia="Times New Roman" w:hAnsi="Times New Roman" w:cs="Times New Roman"/>
          <w:b/>
          <w:bCs/>
          <w:lang w:val="en-US"/>
        </w:rPr>
      </w:pPr>
      <w:r>
        <w:rPr>
          <w:rFonts w:ascii="Times New Roman" w:eastAsia="Times New Roman" w:hAnsi="Times New Roman" w:cs="Times New Roman"/>
          <w:b/>
          <w:bCs/>
        </w:rPr>
        <w:t>Elérendő kompetenciák (angolul) (</w:t>
      </w:r>
      <w:r>
        <w:rPr>
          <w:rFonts w:ascii="Times New Roman" w:eastAsia="Times New Roman" w:hAnsi="Times New Roman" w:cs="Times New Roman"/>
          <w:b/>
          <w:bCs/>
          <w:lang w:val="en-US"/>
        </w:rPr>
        <w:t xml:space="preserve">Competences – English): </w:t>
      </w:r>
    </w:p>
    <w:p w:rsidR="004829FA" w:rsidRDefault="004829FA" w:rsidP="004829FA">
      <w:pPr>
        <w:widowControl w:val="0"/>
        <w:spacing w:before="120" w:after="0" w:line="240" w:lineRule="auto"/>
        <w:ind w:left="425"/>
        <w:jc w:val="both"/>
        <w:rPr>
          <w:rFonts w:ascii="Times New Roman" w:eastAsia="Times New Roman" w:hAnsi="Times New Roman" w:cs="Times New Roman"/>
          <w:lang w:val="en-GB"/>
        </w:rPr>
      </w:pPr>
      <w:r>
        <w:rPr>
          <w:rFonts w:ascii="Times New Roman" w:eastAsia="Times New Roman" w:hAnsi="Times New Roman" w:cs="Times New Roman"/>
          <w:b/>
          <w:lang w:val="en-GB"/>
        </w:rPr>
        <w:t>Knowledge</w:t>
      </w:r>
      <w:r>
        <w:rPr>
          <w:rFonts w:ascii="Times New Roman" w:eastAsia="Times New Roman" w:hAnsi="Times New Roman" w:cs="Times New Roman"/>
          <w:lang w:val="en-GB"/>
        </w:rPr>
        <w:t xml:space="preserve">: </w:t>
      </w:r>
    </w:p>
    <w:p w:rsidR="004829FA" w:rsidRDefault="004829FA" w:rsidP="004829FA">
      <w:pPr>
        <w:widowControl w:val="0"/>
        <w:spacing w:before="120" w:after="120" w:line="240" w:lineRule="auto"/>
        <w:ind w:left="993" w:hanging="360"/>
        <w:contextualSpacing/>
        <w:jc w:val="both"/>
        <w:rPr>
          <w:rFonts w:ascii="Times New Roman" w:eastAsia="Times New Roman" w:hAnsi="Times New Roman" w:cs="Times New Roman"/>
          <w:bCs/>
        </w:rPr>
      </w:pPr>
      <w:r>
        <w:rPr>
          <w:rFonts w:ascii="Times New Roman" w:eastAsia="Times New Roman" w:hAnsi="Times New Roman" w:cs="Times New Roman"/>
          <w:bCs/>
        </w:rPr>
        <w:t>-</w:t>
      </w:r>
      <w:r>
        <w:rPr>
          <w:rFonts w:ascii="Times New Roman" w:eastAsia="Times New Roman" w:hAnsi="Times New Roman" w:cs="Times New Roman"/>
          <w:bCs/>
        </w:rPr>
        <w:tab/>
        <w:t>Knows the basics of the operation of the economy and the markets.</w:t>
      </w:r>
    </w:p>
    <w:p w:rsidR="004829FA" w:rsidRDefault="004829FA" w:rsidP="004829FA">
      <w:pPr>
        <w:widowControl w:val="0"/>
        <w:spacing w:before="120" w:after="120" w:line="240" w:lineRule="auto"/>
        <w:ind w:left="993" w:hanging="360"/>
        <w:contextualSpacing/>
        <w:jc w:val="both"/>
        <w:rPr>
          <w:rFonts w:ascii="Times New Roman" w:eastAsia="Times New Roman" w:hAnsi="Times New Roman" w:cs="Times New Roman"/>
          <w:bCs/>
        </w:rPr>
      </w:pPr>
      <w:r>
        <w:rPr>
          <w:rFonts w:ascii="Times New Roman" w:eastAsia="Times New Roman" w:hAnsi="Times New Roman" w:cs="Times New Roman"/>
          <w:bCs/>
        </w:rPr>
        <w:t>-</w:t>
      </w:r>
      <w:r>
        <w:rPr>
          <w:rFonts w:ascii="Times New Roman" w:eastAsia="Times New Roman" w:hAnsi="Times New Roman" w:cs="Times New Roman"/>
          <w:bCs/>
        </w:rPr>
        <w:tab/>
        <w:t>Knows the role of economic analysis in the economy and in various areas of public service.</w:t>
      </w:r>
    </w:p>
    <w:p w:rsidR="004829FA" w:rsidRDefault="004829FA" w:rsidP="004829FA">
      <w:pPr>
        <w:widowControl w:val="0"/>
        <w:spacing w:before="120" w:after="120" w:line="240" w:lineRule="auto"/>
        <w:ind w:left="993" w:hanging="360"/>
        <w:contextualSpacing/>
        <w:jc w:val="both"/>
        <w:rPr>
          <w:rFonts w:ascii="Times New Roman" w:eastAsia="Times New Roman" w:hAnsi="Times New Roman" w:cs="Times New Roman"/>
          <w:bCs/>
        </w:rPr>
      </w:pPr>
      <w:r>
        <w:rPr>
          <w:rFonts w:ascii="Times New Roman" w:eastAsia="Times New Roman" w:hAnsi="Times New Roman" w:cs="Times New Roman"/>
          <w:bCs/>
        </w:rPr>
        <w:t>-</w:t>
      </w:r>
      <w:r>
        <w:rPr>
          <w:rFonts w:ascii="Times New Roman" w:eastAsia="Times New Roman" w:hAnsi="Times New Roman" w:cs="Times New Roman"/>
          <w:bCs/>
        </w:rPr>
        <w:tab/>
        <w:t>Has thorough knowledge of the basic techniques of financial-economic analysis, its areas of application in operational decision-making and the methods of analysing annual reports.</w:t>
      </w:r>
    </w:p>
    <w:p w:rsidR="004829FA" w:rsidRDefault="004829FA" w:rsidP="004829FA">
      <w:pPr>
        <w:widowControl w:val="0"/>
        <w:spacing w:before="120" w:after="0" w:line="240" w:lineRule="auto"/>
        <w:ind w:left="425"/>
        <w:jc w:val="both"/>
        <w:rPr>
          <w:rFonts w:ascii="Times New Roman" w:eastAsia="Times New Roman" w:hAnsi="Times New Roman" w:cs="Times New Roman"/>
          <w:lang w:val="en-GB"/>
        </w:rPr>
      </w:pPr>
      <w:r>
        <w:rPr>
          <w:rFonts w:ascii="Times New Roman" w:eastAsia="Times New Roman" w:hAnsi="Times New Roman" w:cs="Times New Roman"/>
          <w:b/>
          <w:lang w:val="en-GB"/>
        </w:rPr>
        <w:t>Capabilities</w:t>
      </w:r>
      <w:r>
        <w:rPr>
          <w:rFonts w:ascii="Times New Roman" w:eastAsia="Times New Roman" w:hAnsi="Times New Roman" w:cs="Times New Roman"/>
          <w:lang w:val="en-GB"/>
        </w:rPr>
        <w:t xml:space="preserve">: </w:t>
      </w:r>
    </w:p>
    <w:p w:rsidR="004829FA" w:rsidRDefault="004829FA" w:rsidP="004829FA">
      <w:pPr>
        <w:widowControl w:val="0"/>
        <w:spacing w:before="120" w:after="120" w:line="240" w:lineRule="auto"/>
        <w:ind w:left="993" w:hanging="360"/>
        <w:contextualSpacing/>
        <w:jc w:val="both"/>
        <w:rPr>
          <w:rFonts w:ascii="Times New Roman" w:eastAsia="Times New Roman" w:hAnsi="Times New Roman" w:cs="Times New Roman"/>
          <w:bCs/>
        </w:rPr>
      </w:pPr>
      <w:r>
        <w:rPr>
          <w:rFonts w:ascii="Times New Roman" w:eastAsia="Times New Roman" w:hAnsi="Times New Roman" w:cs="Times New Roman"/>
          <w:bCs/>
        </w:rPr>
        <w:t>-</w:t>
      </w:r>
      <w:r>
        <w:rPr>
          <w:rFonts w:ascii="Times New Roman" w:eastAsia="Times New Roman" w:hAnsi="Times New Roman" w:cs="Times New Roman"/>
          <w:bCs/>
        </w:rPr>
        <w:tab/>
        <w:t>He/She is able to give a real and reliable picture of the assets, financial position and regularity of the business organizations.</w:t>
      </w:r>
    </w:p>
    <w:p w:rsidR="004829FA" w:rsidRDefault="004829FA" w:rsidP="004829FA">
      <w:pPr>
        <w:widowControl w:val="0"/>
        <w:spacing w:before="120" w:after="120" w:line="240" w:lineRule="auto"/>
        <w:ind w:left="993" w:hanging="360"/>
        <w:contextualSpacing/>
        <w:jc w:val="both"/>
        <w:rPr>
          <w:rFonts w:ascii="Times New Roman" w:eastAsia="Times New Roman" w:hAnsi="Times New Roman" w:cs="Times New Roman"/>
          <w:bCs/>
        </w:rPr>
      </w:pPr>
      <w:r>
        <w:rPr>
          <w:rFonts w:ascii="Times New Roman" w:eastAsia="Times New Roman" w:hAnsi="Times New Roman" w:cs="Times New Roman"/>
          <w:bCs/>
        </w:rPr>
        <w:t>-</w:t>
      </w:r>
      <w:r>
        <w:rPr>
          <w:rFonts w:ascii="Times New Roman" w:eastAsia="Times New Roman" w:hAnsi="Times New Roman" w:cs="Times New Roman"/>
          <w:bCs/>
        </w:rPr>
        <w:tab/>
        <w:t>Capable of making accurate and precise logistic and economic calculations.</w:t>
      </w:r>
    </w:p>
    <w:p w:rsidR="004829FA" w:rsidRDefault="004829FA" w:rsidP="004829FA">
      <w:pPr>
        <w:widowControl w:val="0"/>
        <w:spacing w:before="120" w:after="120" w:line="240" w:lineRule="auto"/>
        <w:ind w:left="993" w:hanging="360"/>
        <w:contextualSpacing/>
        <w:jc w:val="both"/>
        <w:rPr>
          <w:rFonts w:ascii="Times New Roman" w:eastAsia="Times New Roman" w:hAnsi="Times New Roman" w:cs="Times New Roman"/>
          <w:bCs/>
        </w:rPr>
      </w:pPr>
      <w:r>
        <w:rPr>
          <w:rFonts w:ascii="Times New Roman" w:eastAsia="Times New Roman" w:hAnsi="Times New Roman" w:cs="Times New Roman"/>
          <w:bCs/>
        </w:rPr>
        <w:t>-</w:t>
      </w:r>
      <w:r>
        <w:rPr>
          <w:rFonts w:ascii="Times New Roman" w:eastAsia="Times New Roman" w:hAnsi="Times New Roman" w:cs="Times New Roman"/>
          <w:bCs/>
        </w:rPr>
        <w:tab/>
        <w:t>Able to plan, organize, manage, and perform economic analysis of basic business tasks.</w:t>
      </w:r>
    </w:p>
    <w:p w:rsidR="004829FA" w:rsidRDefault="004829FA" w:rsidP="0048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425"/>
        <w:jc w:val="both"/>
        <w:rPr>
          <w:rFonts w:ascii="Times New Roman" w:eastAsia="Times New Roman" w:hAnsi="Times New Roman" w:cs="Times New Roman"/>
          <w:lang w:val="en-GB"/>
        </w:rPr>
      </w:pPr>
      <w:r>
        <w:rPr>
          <w:rFonts w:ascii="Times New Roman" w:eastAsia="Times New Roman" w:hAnsi="Times New Roman" w:cs="Times New Roman"/>
          <w:b/>
          <w:lang w:val="en-GB"/>
        </w:rPr>
        <w:t>Attitude:</w:t>
      </w:r>
      <w:r>
        <w:rPr>
          <w:rFonts w:ascii="Times New Roman" w:eastAsia="Times New Roman" w:hAnsi="Times New Roman" w:cs="Times New Roman"/>
          <w:lang w:val="en-GB"/>
        </w:rPr>
        <w:t xml:space="preserve"> </w:t>
      </w:r>
    </w:p>
    <w:p w:rsidR="004829FA" w:rsidRDefault="004829FA" w:rsidP="004829FA">
      <w:pPr>
        <w:widowControl w:val="0"/>
        <w:spacing w:before="120" w:after="120" w:line="240" w:lineRule="auto"/>
        <w:ind w:left="993" w:hanging="360"/>
        <w:contextualSpacing/>
        <w:jc w:val="both"/>
        <w:rPr>
          <w:rFonts w:ascii="Times New Roman" w:eastAsia="Times New Roman" w:hAnsi="Times New Roman" w:cs="Times New Roman"/>
          <w:bCs/>
        </w:rPr>
      </w:pPr>
      <w:r>
        <w:rPr>
          <w:rFonts w:ascii="Times New Roman" w:eastAsia="Times New Roman" w:hAnsi="Times New Roman" w:cs="Times New Roman"/>
          <w:bCs/>
        </w:rPr>
        <w:t>-</w:t>
      </w:r>
      <w:r>
        <w:rPr>
          <w:rFonts w:ascii="Times New Roman" w:eastAsia="Times New Roman" w:hAnsi="Times New Roman" w:cs="Times New Roman"/>
          <w:bCs/>
        </w:rPr>
        <w:tab/>
        <w:t>In his/her specialization he/she is open to new achievements and innovations, strives to know, understand and apply them, and committed to continous self-education.</w:t>
      </w:r>
    </w:p>
    <w:p w:rsidR="004829FA" w:rsidRDefault="004829FA" w:rsidP="004829FA">
      <w:pPr>
        <w:widowControl w:val="0"/>
        <w:spacing w:before="120" w:after="120" w:line="240" w:lineRule="auto"/>
        <w:ind w:left="993" w:hanging="360"/>
        <w:contextualSpacing/>
        <w:jc w:val="both"/>
        <w:rPr>
          <w:rFonts w:ascii="Times New Roman" w:eastAsia="Times New Roman" w:hAnsi="Times New Roman" w:cs="Times New Roman"/>
          <w:bCs/>
        </w:rPr>
      </w:pPr>
      <w:r>
        <w:rPr>
          <w:rFonts w:ascii="Times New Roman" w:eastAsia="Times New Roman" w:hAnsi="Times New Roman" w:cs="Times New Roman"/>
          <w:bCs/>
        </w:rPr>
        <w:t>-</w:t>
      </w:r>
      <w:r>
        <w:rPr>
          <w:rFonts w:ascii="Times New Roman" w:eastAsia="Times New Roman" w:hAnsi="Times New Roman" w:cs="Times New Roman"/>
          <w:bCs/>
        </w:rPr>
        <w:tab/>
        <w:t>His/Her professional work is characterized by high accuracy and quality.</w:t>
      </w:r>
    </w:p>
    <w:p w:rsidR="004829FA" w:rsidRDefault="004829FA" w:rsidP="004829FA">
      <w:pPr>
        <w:widowControl w:val="0"/>
        <w:spacing w:before="120" w:after="120" w:line="240" w:lineRule="auto"/>
        <w:ind w:left="993" w:hanging="360"/>
        <w:contextualSpacing/>
        <w:jc w:val="both"/>
        <w:rPr>
          <w:rFonts w:ascii="Times New Roman" w:eastAsia="Times New Roman" w:hAnsi="Times New Roman" w:cs="Times New Roman"/>
          <w:bCs/>
        </w:rPr>
      </w:pPr>
      <w:r>
        <w:rPr>
          <w:rFonts w:ascii="Times New Roman" w:eastAsia="Times New Roman" w:hAnsi="Times New Roman" w:cs="Times New Roman"/>
          <w:bCs/>
        </w:rPr>
        <w:t>-</w:t>
      </w:r>
      <w:r>
        <w:rPr>
          <w:rFonts w:ascii="Times New Roman" w:eastAsia="Times New Roman" w:hAnsi="Times New Roman" w:cs="Times New Roman"/>
          <w:bCs/>
        </w:rPr>
        <w:tab/>
        <w:t>He/She recognizes the value of systemic activities and seeks to understand the relationships among logistics procedures.</w:t>
      </w:r>
    </w:p>
    <w:p w:rsidR="004829FA" w:rsidRDefault="004829FA" w:rsidP="004829FA">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lang w:val="en-GB"/>
        </w:rPr>
        <w:t xml:space="preserve">Autonomy and responsibility: </w:t>
      </w:r>
    </w:p>
    <w:p w:rsidR="004829FA" w:rsidRDefault="004829FA" w:rsidP="004829FA">
      <w:pPr>
        <w:widowControl w:val="0"/>
        <w:spacing w:before="120" w:after="120" w:line="240" w:lineRule="auto"/>
        <w:ind w:left="993" w:hanging="360"/>
        <w:contextualSpacing/>
        <w:jc w:val="both"/>
        <w:rPr>
          <w:rFonts w:ascii="Times New Roman" w:eastAsia="Times New Roman" w:hAnsi="Times New Roman" w:cs="Times New Roman"/>
          <w:bCs/>
          <w:lang w:val="en-US"/>
        </w:rPr>
      </w:pPr>
      <w:r>
        <w:rPr>
          <w:rFonts w:ascii="Times New Roman" w:eastAsia="Times New Roman" w:hAnsi="Times New Roman" w:cs="Times New Roman"/>
          <w:bCs/>
          <w:lang w:val="en-US"/>
        </w:rPr>
        <w:t>-</w:t>
      </w:r>
      <w:r>
        <w:rPr>
          <w:rFonts w:ascii="Times New Roman" w:eastAsia="Times New Roman" w:hAnsi="Times New Roman" w:cs="Times New Roman"/>
          <w:bCs/>
          <w:lang w:val="en-US"/>
        </w:rPr>
        <w:tab/>
        <w:t>He / She takes responsibility for the accuracy of his/her calculations.</w:t>
      </w:r>
    </w:p>
    <w:p w:rsidR="004829FA" w:rsidRDefault="004829FA" w:rsidP="00980876">
      <w:pPr>
        <w:widowControl w:val="0"/>
        <w:numPr>
          <w:ilvl w:val="0"/>
          <w:numId w:val="198"/>
        </w:numPr>
        <w:tabs>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Előtanulmányi követelmények:</w:t>
      </w:r>
    </w:p>
    <w:p w:rsidR="004829FA" w:rsidRPr="004829FA" w:rsidRDefault="004829FA" w:rsidP="00980876">
      <w:pPr>
        <w:pStyle w:val="Listaszerbekezds"/>
        <w:widowControl w:val="0"/>
        <w:numPr>
          <w:ilvl w:val="1"/>
          <w:numId w:val="199"/>
        </w:numPr>
        <w:spacing w:before="120" w:after="120" w:line="240" w:lineRule="auto"/>
        <w:jc w:val="both"/>
        <w:rPr>
          <w:rFonts w:ascii="Times New Roman" w:eastAsia="Times New Roman" w:hAnsi="Times New Roman" w:cs="Times New Roman"/>
          <w:bCs/>
        </w:rPr>
      </w:pPr>
      <w:r w:rsidRPr="004829FA">
        <w:rPr>
          <w:rFonts w:ascii="Times New Roman" w:eastAsia="Times New Roman" w:hAnsi="Times New Roman" w:cs="Times New Roman"/>
        </w:rPr>
        <w:t>Statisztika (HKHPKA102)</w:t>
      </w:r>
    </w:p>
    <w:p w:rsidR="004829FA" w:rsidRPr="004829FA" w:rsidRDefault="004829FA" w:rsidP="00980876">
      <w:pPr>
        <w:pStyle w:val="Listaszerbekezds"/>
        <w:widowControl w:val="0"/>
        <w:numPr>
          <w:ilvl w:val="1"/>
          <w:numId w:val="199"/>
        </w:numPr>
        <w:spacing w:before="120" w:after="120" w:line="240" w:lineRule="auto"/>
        <w:jc w:val="both"/>
        <w:rPr>
          <w:rFonts w:ascii="Times New Roman" w:eastAsia="Times New Roman" w:hAnsi="Times New Roman" w:cs="Times New Roman"/>
          <w:bCs/>
        </w:rPr>
      </w:pPr>
      <w:r w:rsidRPr="004829FA">
        <w:rPr>
          <w:rFonts w:ascii="Times New Roman" w:eastAsia="Times New Roman" w:hAnsi="Times New Roman" w:cs="Times New Roman"/>
        </w:rPr>
        <w:t>Számvitel I. (Alapok) (HKHPKA500)</w:t>
      </w:r>
    </w:p>
    <w:p w:rsidR="004829FA" w:rsidRDefault="004829FA" w:rsidP="00980876">
      <w:pPr>
        <w:widowControl w:val="0"/>
        <w:numPr>
          <w:ilvl w:val="0"/>
          <w:numId w:val="198"/>
        </w:numPr>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A tantárgy tananyagának leírása, tematika. Description of the subject, curriculum (magyarul, angolul - English):</w:t>
      </w:r>
    </w:p>
    <w:p w:rsidR="004829FA" w:rsidRDefault="004829FA" w:rsidP="00980876">
      <w:pPr>
        <w:widowControl w:val="0"/>
        <w:numPr>
          <w:ilvl w:val="1"/>
          <w:numId w:val="198"/>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A gazdasági elemzés célja, feladata, helye a nemzetgazdaságban</w:t>
      </w:r>
      <w:r>
        <w:rPr>
          <w:rFonts w:ascii="Times New Roman" w:eastAsia="Times New Roman" w:hAnsi="Times New Roman" w:cs="Times New Roman"/>
          <w:i/>
          <w:kern w:val="2"/>
        </w:rPr>
        <w:t>. (The aim, task and place of economic analysis in the national economy.)</w:t>
      </w:r>
    </w:p>
    <w:p w:rsidR="004829FA" w:rsidRDefault="004829FA" w:rsidP="00980876">
      <w:pPr>
        <w:widowControl w:val="0"/>
        <w:numPr>
          <w:ilvl w:val="1"/>
          <w:numId w:val="198"/>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Összehasonlítások az elemzésben: az összehasonlíthatóság biztosítása a torzító tényezők kiszűrésével: árkorrekció, egyenérték-számítás stb. </w:t>
      </w:r>
      <w:r>
        <w:rPr>
          <w:rFonts w:ascii="Times New Roman" w:eastAsia="Times New Roman" w:hAnsi="Times New Roman" w:cs="Times New Roman"/>
          <w:i/>
          <w:kern w:val="2"/>
        </w:rPr>
        <w:t>(Comparisons in analysis: ensuring comparability by eliminating bias: price adjustment, equivalence calculation, etc.)</w:t>
      </w:r>
    </w:p>
    <w:p w:rsidR="004829FA" w:rsidRDefault="004829FA" w:rsidP="00980876">
      <w:pPr>
        <w:widowControl w:val="0"/>
        <w:numPr>
          <w:ilvl w:val="1"/>
          <w:numId w:val="198"/>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Az operatív döntéstámogatás elemzési módszerei (gazdasági kalkulációk alkalmazása a döntés-előkészítés folyamán): költségkalkulációk, önköltségszámítás, műszaki fejlesztéshez kapcsolódó kalkulációk, optimális termékösszetétel meghatározása. </w:t>
      </w:r>
      <w:r>
        <w:rPr>
          <w:rFonts w:ascii="Times New Roman" w:eastAsia="Times New Roman" w:hAnsi="Times New Roman" w:cs="Times New Roman"/>
          <w:i/>
          <w:kern w:val="2"/>
        </w:rPr>
        <w:t>(Methods of analysis of operational decision support (application of economic calculations during decision preparation): cost calculations, self-cost calculations, calculations related to technical development, determination of the optimal product composition.)</w:t>
      </w:r>
    </w:p>
    <w:p w:rsidR="004829FA" w:rsidRDefault="004829FA" w:rsidP="00980876">
      <w:pPr>
        <w:widowControl w:val="0"/>
        <w:numPr>
          <w:ilvl w:val="1"/>
          <w:numId w:val="198"/>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1. ZH. megírása. </w:t>
      </w:r>
      <w:r>
        <w:rPr>
          <w:rFonts w:ascii="Times New Roman" w:eastAsia="Times New Roman" w:hAnsi="Times New Roman" w:cs="Times New Roman"/>
          <w:i/>
          <w:kern w:val="2"/>
        </w:rPr>
        <w:t>(Written test)</w:t>
      </w:r>
    </w:p>
    <w:p w:rsidR="004829FA" w:rsidRDefault="004829FA" w:rsidP="00980876">
      <w:pPr>
        <w:widowControl w:val="0"/>
        <w:numPr>
          <w:ilvl w:val="1"/>
          <w:numId w:val="198"/>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Erőforrás-elemzési módszerek: a termelési eszközök és készletek elemzése, a munkaerő- és bérgazdálkodás elemzése. </w:t>
      </w:r>
      <w:r>
        <w:rPr>
          <w:rFonts w:ascii="Times New Roman" w:eastAsia="Times New Roman" w:hAnsi="Times New Roman" w:cs="Times New Roman"/>
          <w:i/>
          <w:kern w:val="2"/>
        </w:rPr>
        <w:t>(Resource analysis methods: analysis of production assets and inventories, analysis of labor and wage management.)</w:t>
      </w:r>
    </w:p>
    <w:p w:rsidR="004829FA" w:rsidRDefault="004829FA" w:rsidP="00980876">
      <w:pPr>
        <w:widowControl w:val="0"/>
        <w:numPr>
          <w:ilvl w:val="1"/>
          <w:numId w:val="198"/>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 termelés és értékesítés alakulásának elemzése. </w:t>
      </w:r>
      <w:r>
        <w:rPr>
          <w:rFonts w:ascii="Times New Roman" w:eastAsia="Times New Roman" w:hAnsi="Times New Roman" w:cs="Times New Roman"/>
          <w:i/>
          <w:kern w:val="2"/>
        </w:rPr>
        <w:t>(Analysis of production and sales trends.)</w:t>
      </w:r>
    </w:p>
    <w:p w:rsidR="004829FA" w:rsidRDefault="004829FA" w:rsidP="00980876">
      <w:pPr>
        <w:widowControl w:val="0"/>
        <w:numPr>
          <w:ilvl w:val="1"/>
          <w:numId w:val="198"/>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Az éves beszámoló elemzésének szerepe a gazdálkodásban. </w:t>
      </w:r>
      <w:r>
        <w:rPr>
          <w:rFonts w:ascii="Times New Roman" w:eastAsia="Times New Roman" w:hAnsi="Times New Roman" w:cs="Times New Roman"/>
          <w:i/>
          <w:kern w:val="2"/>
        </w:rPr>
        <w:t>(The role of annual report analysis in management.)</w:t>
      </w:r>
    </w:p>
    <w:p w:rsidR="004829FA" w:rsidRDefault="004829FA" w:rsidP="00980876">
      <w:pPr>
        <w:widowControl w:val="0"/>
        <w:numPr>
          <w:ilvl w:val="1"/>
          <w:numId w:val="198"/>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 vagyoni helyzet elemzésének módszerei: a fontosabb vagyonelemek fogalma, összetétele, tőkeszerkezeti mutatók. </w:t>
      </w:r>
      <w:r>
        <w:rPr>
          <w:rFonts w:ascii="Times New Roman" w:eastAsia="Times New Roman" w:hAnsi="Times New Roman" w:cs="Times New Roman"/>
          <w:i/>
          <w:kern w:val="2"/>
        </w:rPr>
        <w:t>(Methods of analyzing the financial situation: the concept, composition of capital assets, capital structure indicators.)</w:t>
      </w:r>
    </w:p>
    <w:p w:rsidR="004829FA" w:rsidRDefault="004829FA" w:rsidP="00980876">
      <w:pPr>
        <w:widowControl w:val="0"/>
        <w:numPr>
          <w:ilvl w:val="1"/>
          <w:numId w:val="198"/>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lastRenderedPageBreak/>
        <w:t xml:space="preserve">A pénzügyi helyzet elemzésének módszerei: likviditási mérleg, pénzügyi mutatók, az adósságállomány vizsgálata, cash flow-elemzés. </w:t>
      </w:r>
      <w:r>
        <w:rPr>
          <w:rFonts w:ascii="Times New Roman" w:eastAsia="Times New Roman" w:hAnsi="Times New Roman" w:cs="Times New Roman"/>
          <w:i/>
          <w:kern w:val="2"/>
        </w:rPr>
        <w:t>(Methods for analyzing financial position: liquidity balance sheet, financial ratios, debt analysis, cash flow analysis.)</w:t>
      </w:r>
    </w:p>
    <w:p w:rsidR="004829FA" w:rsidRDefault="004829FA" w:rsidP="00980876">
      <w:pPr>
        <w:widowControl w:val="0"/>
        <w:numPr>
          <w:ilvl w:val="1"/>
          <w:numId w:val="198"/>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 A vállalati teljesítmény mérésének módszerei: a hatékonyság vizsgálata, a jövedelmezőség vizsgálata, a mutatószámok közötti összefüggések. </w:t>
      </w:r>
      <w:r>
        <w:rPr>
          <w:rFonts w:ascii="Times New Roman" w:eastAsia="Times New Roman" w:hAnsi="Times New Roman" w:cs="Times New Roman"/>
          <w:i/>
          <w:kern w:val="2"/>
        </w:rPr>
        <w:t>(Methods of measuring corporate performance: efficiency analysis, profitability analysis, relationships between indicators.)</w:t>
      </w:r>
    </w:p>
    <w:p w:rsidR="004829FA" w:rsidRDefault="004829FA" w:rsidP="00980876">
      <w:pPr>
        <w:widowControl w:val="0"/>
        <w:numPr>
          <w:ilvl w:val="1"/>
          <w:numId w:val="198"/>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 Gyakorlás. 2. ZH. megírása. </w:t>
      </w:r>
      <w:r>
        <w:rPr>
          <w:rFonts w:ascii="Times New Roman" w:eastAsia="Times New Roman" w:hAnsi="Times New Roman" w:cs="Times New Roman"/>
          <w:i/>
          <w:kern w:val="2"/>
        </w:rPr>
        <w:t>(Practice, written test.)</w:t>
      </w:r>
    </w:p>
    <w:p w:rsidR="004829FA" w:rsidRDefault="004829FA" w:rsidP="00980876">
      <w:pPr>
        <w:widowControl w:val="0"/>
        <w:numPr>
          <w:ilvl w:val="0"/>
          <w:numId w:val="198"/>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 tantárgy meghirdetésének gyakorisága/a tantervben történő félévi elhelyezkedése: </w:t>
      </w:r>
      <w:r>
        <w:rPr>
          <w:rFonts w:ascii="Times New Roman" w:eastAsia="Times New Roman" w:hAnsi="Times New Roman" w:cs="Times New Roman"/>
          <w:bCs/>
        </w:rPr>
        <w:t>Minden tavaszi szemeszterben / 6. félév</w:t>
      </w:r>
    </w:p>
    <w:p w:rsidR="004829FA" w:rsidRDefault="004829FA" w:rsidP="00980876">
      <w:pPr>
        <w:widowControl w:val="0"/>
        <w:numPr>
          <w:ilvl w:val="0"/>
          <w:numId w:val="198"/>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tanórákon való részvétel követelményei, az elfogadható hiányzások mértéke, a távolmaradás pótlásának lehetősége:</w:t>
      </w:r>
      <w:r>
        <w:rPr>
          <w:rFonts w:ascii="Times New Roman" w:eastAsia="Times New Roman" w:hAnsi="Times New Roman" w:cs="Times New Roman"/>
          <w:bCs/>
        </w:rPr>
        <w:t xml:space="preserve"> A tanórákon való részvétel kötelező.</w:t>
      </w:r>
      <w:r>
        <w:rPr>
          <w:rFonts w:ascii="Times New Roman" w:eastAsia="Times New Roman" w:hAnsi="Times New Roman" w:cs="Times New Roman"/>
          <w:b/>
          <w:bCs/>
        </w:rPr>
        <w:t xml:space="preserve"> </w:t>
      </w:r>
      <w:r>
        <w:rPr>
          <w:rFonts w:ascii="Times New Roman" w:eastAsia="Times New Roman" w:hAnsi="Times New Roman" w:cs="Times New Roman"/>
          <w:bCs/>
        </w:rPr>
        <w:t>A félév elfogadásának feltétele a tanórák minimum 80%-án való részvétel. Ennél magasabb mértékű távolmaradás pótlása az oktató engedélyével történhet. A hallgatónak a kimaradt tananyagot önképzés keretén belül kell elsajátítani. A kimaradt tananyag jobb megértése érdekében az oktató konzultációs lehetőséget biztosíthat.</w:t>
      </w:r>
    </w:p>
    <w:p w:rsidR="004829FA" w:rsidRDefault="004829FA" w:rsidP="00980876">
      <w:pPr>
        <w:widowControl w:val="0"/>
        <w:numPr>
          <w:ilvl w:val="0"/>
          <w:numId w:val="198"/>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rPr>
        <w:t xml:space="preserve">Félévközi feladatok, ismeretek ellenőrzésének rendje: </w:t>
      </w:r>
      <w:r>
        <w:rPr>
          <w:rFonts w:ascii="Times New Roman" w:eastAsia="Times New Roman" w:hAnsi="Times New Roman" w:cs="Times New Roman"/>
        </w:rPr>
        <w:t>A honvéd tisztjelöltek a félév elején a kiadott listából választanak egy vállalkozást, amelyet a félév során tanult módszerekkel leelemeznek. Az elemzés beadásának határideje az oktató által a félév elején meghatározott időpont, de legkésőbb a szorgalmi időszak utolsó hete.</w:t>
      </w:r>
    </w:p>
    <w:p w:rsidR="004829FA" w:rsidRDefault="004829FA" w:rsidP="00980876">
      <w:pPr>
        <w:widowControl w:val="0"/>
        <w:numPr>
          <w:ilvl w:val="0"/>
          <w:numId w:val="198"/>
        </w:numPr>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Az értékelés, az aláírás és a kreditek megszerzésének pontos feltételei: </w:t>
      </w:r>
    </w:p>
    <w:p w:rsidR="004829FA" w:rsidRPr="004829FA" w:rsidRDefault="004829FA" w:rsidP="00980876">
      <w:pPr>
        <w:widowControl w:val="0"/>
        <w:numPr>
          <w:ilvl w:val="1"/>
          <w:numId w:val="198"/>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4829FA">
        <w:rPr>
          <w:rFonts w:ascii="Times New Roman" w:eastAsia="Times New Roman" w:hAnsi="Times New Roman" w:cs="Times New Roman"/>
          <w:b/>
        </w:rPr>
        <w:t xml:space="preserve">Az aláírás megszerzésének feltételei: </w:t>
      </w:r>
      <w:r w:rsidRPr="004829FA">
        <w:rPr>
          <w:rFonts w:ascii="Times New Roman" w:eastAsia="Times New Roman" w:hAnsi="Times New Roman" w:cs="Times New Roman"/>
        </w:rPr>
        <w:t>Az aláírás feltétele a tanórákon történő – 14. pontban meghatározott – részvétel, valamint a zárthelyi dolgozatok sikeres megírása, továbbá a házidolgozat határidőre történő beadása.</w:t>
      </w:r>
    </w:p>
    <w:p w:rsidR="004829FA" w:rsidRPr="004829FA" w:rsidRDefault="004829FA" w:rsidP="00980876">
      <w:pPr>
        <w:widowControl w:val="0"/>
        <w:numPr>
          <w:ilvl w:val="1"/>
          <w:numId w:val="198"/>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4829FA">
        <w:rPr>
          <w:rFonts w:ascii="Times New Roman" w:eastAsia="Times New Roman" w:hAnsi="Times New Roman" w:cs="Times New Roman"/>
          <w:b/>
        </w:rPr>
        <w:t xml:space="preserve">Az értékelés: </w:t>
      </w:r>
      <w:r w:rsidRPr="004829FA">
        <w:rPr>
          <w:rFonts w:ascii="Times New Roman" w:eastAsia="Times New Roman" w:hAnsi="Times New Roman" w:cs="Times New Roman"/>
        </w:rPr>
        <w:t>Az ötfokozatú évközi jegy a zárthelyi dolgozatok egyszerű számtani átlaga alapján kerül kialakításra, amelyek esetében az elégséges jegy elérése, dolgozatonként az 51%. A dolgozat eredményébe beleszámít a házidolgozat elkészítésének minősége. A zárthelyi dolgozatok pótlására a szorgalmi időszakban egyszer van lehetőség.</w:t>
      </w:r>
    </w:p>
    <w:p w:rsidR="004829FA" w:rsidRPr="004829FA" w:rsidRDefault="004829FA" w:rsidP="00980876">
      <w:pPr>
        <w:widowControl w:val="0"/>
        <w:numPr>
          <w:ilvl w:val="1"/>
          <w:numId w:val="198"/>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4829FA">
        <w:rPr>
          <w:rFonts w:ascii="Times New Roman" w:eastAsia="Times New Roman" w:hAnsi="Times New Roman" w:cs="Times New Roman"/>
          <w:b/>
        </w:rPr>
        <w:t>A kreditek megszerzésének feltételei:</w:t>
      </w:r>
      <w:r w:rsidRPr="004829FA">
        <w:rPr>
          <w:rFonts w:ascii="Times New Roman" w:eastAsia="Times New Roman" w:hAnsi="Times New Roman" w:cs="Times New Roman"/>
        </w:rPr>
        <w:t xml:space="preserve"> A kreditek megszerzésének feltétele az aláírás megszerzése és a legalább elégséges évközi jegy.</w:t>
      </w:r>
    </w:p>
    <w:p w:rsidR="004829FA" w:rsidRDefault="004829FA" w:rsidP="00980876">
      <w:pPr>
        <w:widowControl w:val="0"/>
        <w:numPr>
          <w:ilvl w:val="0"/>
          <w:numId w:val="198"/>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Irodalomjegyzék:</w:t>
      </w:r>
    </w:p>
    <w:p w:rsidR="004829FA" w:rsidRDefault="004829FA" w:rsidP="00980876">
      <w:pPr>
        <w:widowControl w:val="0"/>
        <w:numPr>
          <w:ilvl w:val="1"/>
          <w:numId w:val="198"/>
        </w:numPr>
        <w:tabs>
          <w:tab w:val="left" w:pos="567"/>
          <w:tab w:val="left" w:pos="851"/>
          <w:tab w:val="num" w:pos="2069"/>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Kötelező irodalom:</w:t>
      </w:r>
    </w:p>
    <w:p w:rsidR="004829FA" w:rsidRDefault="004829FA" w:rsidP="00980876">
      <w:pPr>
        <w:widowControl w:val="0"/>
        <w:numPr>
          <w:ilvl w:val="0"/>
          <w:numId w:val="200"/>
        </w:numPr>
        <w:spacing w:after="0" w:line="240" w:lineRule="auto"/>
        <w:ind w:left="1134"/>
        <w:jc w:val="both"/>
        <w:rPr>
          <w:rFonts w:ascii="Times New Roman" w:eastAsia="Times New Roman" w:hAnsi="Times New Roman" w:cs="Times New Roman"/>
        </w:rPr>
      </w:pPr>
      <w:r>
        <w:rPr>
          <w:rFonts w:ascii="Times New Roman" w:eastAsia="Times New Roman" w:hAnsi="Times New Roman" w:cs="Times New Roman"/>
        </w:rPr>
        <w:t>Nagy Anikó: Pénzügyi-gazdasági elemzés (elektronikus tansegédlet, NKE Budapest, 2012.)</w:t>
      </w:r>
    </w:p>
    <w:p w:rsidR="004829FA" w:rsidRDefault="004829FA" w:rsidP="00980876">
      <w:pPr>
        <w:widowControl w:val="0"/>
        <w:numPr>
          <w:ilvl w:val="0"/>
          <w:numId w:val="200"/>
        </w:numPr>
        <w:spacing w:after="0" w:line="240" w:lineRule="auto"/>
        <w:ind w:left="1134"/>
        <w:jc w:val="both"/>
        <w:rPr>
          <w:rFonts w:ascii="Times New Roman" w:eastAsia="Times New Roman" w:hAnsi="Times New Roman" w:cs="Times New Roman"/>
        </w:rPr>
      </w:pPr>
      <w:r>
        <w:rPr>
          <w:rFonts w:ascii="Times New Roman" w:eastAsia="Times New Roman" w:hAnsi="Times New Roman" w:cs="Times New Roman"/>
        </w:rPr>
        <w:t>Nagy Anikó: Képletgyűjtemény (elektronikus tansegédlet, NKE 2012.)</w:t>
      </w:r>
    </w:p>
    <w:p w:rsidR="004829FA" w:rsidRDefault="004829FA" w:rsidP="00980876">
      <w:pPr>
        <w:widowControl w:val="0"/>
        <w:numPr>
          <w:ilvl w:val="1"/>
          <w:numId w:val="198"/>
        </w:numPr>
        <w:tabs>
          <w:tab w:val="num" w:pos="567"/>
          <w:tab w:val="num" w:pos="2069"/>
        </w:tabs>
        <w:spacing w:before="120" w:after="120" w:line="240" w:lineRule="auto"/>
        <w:ind w:left="993" w:hanging="709"/>
        <w:jc w:val="both"/>
        <w:rPr>
          <w:rFonts w:ascii="Times New Roman" w:eastAsia="Times New Roman" w:hAnsi="Times New Roman" w:cs="Times New Roman"/>
          <w:b/>
          <w:bCs/>
        </w:rPr>
      </w:pPr>
      <w:r>
        <w:rPr>
          <w:rFonts w:ascii="Times New Roman" w:eastAsia="Times New Roman" w:hAnsi="Times New Roman" w:cs="Times New Roman"/>
          <w:b/>
          <w:bCs/>
        </w:rPr>
        <w:t>Ajánlott irodalom:</w:t>
      </w:r>
    </w:p>
    <w:p w:rsidR="004829FA" w:rsidRDefault="004829FA" w:rsidP="00980876">
      <w:pPr>
        <w:widowControl w:val="0"/>
        <w:numPr>
          <w:ilvl w:val="0"/>
          <w:numId w:val="201"/>
        </w:numPr>
        <w:spacing w:after="0" w:line="240" w:lineRule="auto"/>
        <w:ind w:left="1134"/>
        <w:jc w:val="both"/>
        <w:rPr>
          <w:rFonts w:ascii="Times New Roman" w:eastAsia="Times New Roman" w:hAnsi="Times New Roman" w:cs="Times New Roman"/>
        </w:rPr>
      </w:pPr>
      <w:r>
        <w:rPr>
          <w:rFonts w:ascii="Times New Roman" w:eastAsia="Times New Roman" w:hAnsi="Times New Roman" w:cs="Times New Roman"/>
        </w:rPr>
        <w:t>Dr. Körmendi Lajos – Kresalek Péter: A vállalkozások elemzésének módszertani alapjai (Perfekt Budapest, 2006. ISBN: 9789633946602)</w:t>
      </w:r>
    </w:p>
    <w:p w:rsidR="004829FA" w:rsidRDefault="004829FA" w:rsidP="00980876">
      <w:pPr>
        <w:widowControl w:val="0"/>
        <w:numPr>
          <w:ilvl w:val="0"/>
          <w:numId w:val="201"/>
        </w:numPr>
        <w:spacing w:after="0" w:line="240" w:lineRule="auto"/>
        <w:ind w:left="1134"/>
        <w:jc w:val="both"/>
        <w:rPr>
          <w:rFonts w:ascii="Times New Roman" w:eastAsia="Times New Roman" w:hAnsi="Times New Roman" w:cs="Times New Roman"/>
        </w:rPr>
      </w:pPr>
      <w:r>
        <w:rPr>
          <w:rFonts w:ascii="Times New Roman" w:eastAsia="Times New Roman" w:hAnsi="Times New Roman" w:cs="Times New Roman"/>
        </w:rPr>
        <w:t>Dr. Birher Ilona – Blumné Bán Erika – Kresalek Péter – Dr. Pucsek József – Sándor Lászlóné Dr. – Dr. Sztanó Imre – Takácsné Lengyel Andrea: Példatár a vállalkozások tevékenységének gazdasági elemzéséhez (Perfekt Kiadó, 2010. ISBN: 9789633946589)</w:t>
      </w:r>
    </w:p>
    <w:p w:rsidR="004829FA" w:rsidRDefault="004829FA" w:rsidP="00980876">
      <w:pPr>
        <w:widowControl w:val="0"/>
        <w:numPr>
          <w:ilvl w:val="0"/>
          <w:numId w:val="201"/>
        </w:numPr>
        <w:spacing w:after="0" w:line="240" w:lineRule="auto"/>
        <w:ind w:left="1134"/>
        <w:jc w:val="both"/>
        <w:rPr>
          <w:rFonts w:ascii="Times New Roman" w:eastAsia="Times New Roman" w:hAnsi="Times New Roman" w:cs="Times New Roman"/>
        </w:rPr>
      </w:pPr>
      <w:r>
        <w:rPr>
          <w:rFonts w:ascii="Times New Roman" w:eastAsia="Times New Roman" w:hAnsi="Times New Roman" w:cs="Times New Roman"/>
        </w:rPr>
        <w:t>Dr. Bíró Tibor – Kresalek Péter – Dr. Pucsek József – Dr. Sztanó Imre: Vállalkozások tevékenységének komplex elemzése (Perfekt Kiadó, 2016. ISBN: 9789633948514)</w:t>
      </w:r>
    </w:p>
    <w:p w:rsidR="004829FA" w:rsidRDefault="004829FA" w:rsidP="004829FA">
      <w:pPr>
        <w:widowControl w:val="0"/>
        <w:spacing w:before="120" w:after="120" w:line="240" w:lineRule="auto"/>
        <w:jc w:val="both"/>
        <w:rPr>
          <w:rFonts w:ascii="Times New Roman" w:eastAsia="Times New Roman" w:hAnsi="Times New Roman" w:cs="Times New Roman"/>
          <w:bCs/>
        </w:rPr>
      </w:pPr>
    </w:p>
    <w:p w:rsidR="004829FA" w:rsidRDefault="004829FA" w:rsidP="004829FA">
      <w:pPr>
        <w:widowControl w:val="0"/>
        <w:spacing w:before="120" w:after="120" w:line="240" w:lineRule="auto"/>
        <w:jc w:val="both"/>
        <w:rPr>
          <w:rFonts w:ascii="Times New Roman" w:eastAsia="Times New Roman" w:hAnsi="Times New Roman" w:cs="Times New Roman"/>
          <w:bCs/>
        </w:rPr>
      </w:pPr>
      <w:r>
        <w:rPr>
          <w:rFonts w:ascii="Times New Roman" w:eastAsia="Times New Roman" w:hAnsi="Times New Roman" w:cs="Times New Roman"/>
          <w:bCs/>
        </w:rPr>
        <w:t>Budapest, 2019. december 18.</w:t>
      </w:r>
    </w:p>
    <w:p w:rsidR="004829FA" w:rsidRDefault="004829FA" w:rsidP="004829FA">
      <w:pPr>
        <w:widowControl w:val="0"/>
        <w:spacing w:after="0" w:line="240" w:lineRule="auto"/>
        <w:jc w:val="right"/>
        <w:rPr>
          <w:rFonts w:ascii="Times New Roman" w:hAnsi="Times New Roman" w:cs="Times New Roman"/>
          <w:b/>
          <w:bCs/>
        </w:rPr>
      </w:pPr>
      <w:r>
        <w:rPr>
          <w:rFonts w:ascii="Times New Roman" w:hAnsi="Times New Roman" w:cs="Times New Roman"/>
          <w:b/>
          <w:bCs/>
        </w:rPr>
        <w:t>Dr. Nyikos Györgyi (PhD)</w:t>
      </w:r>
    </w:p>
    <w:p w:rsidR="004829FA" w:rsidRDefault="004829FA" w:rsidP="004829FA">
      <w:pPr>
        <w:widowControl w:val="0"/>
        <w:spacing w:after="0" w:line="240" w:lineRule="auto"/>
        <w:ind w:left="6372"/>
        <w:jc w:val="both"/>
        <w:rPr>
          <w:rFonts w:ascii="Times New Roman" w:eastAsia="Times New Roman" w:hAnsi="Times New Roman" w:cs="Times New Roman"/>
          <w:bCs/>
        </w:rPr>
      </w:pPr>
      <w:r>
        <w:rPr>
          <w:rFonts w:ascii="Times New Roman" w:hAnsi="Times New Roman" w:cs="Times New Roman"/>
          <w:bCs/>
        </w:rPr>
        <w:t xml:space="preserve">      egyetemi docens s.k.</w:t>
      </w:r>
    </w:p>
    <w:p w:rsidR="005A0C26" w:rsidRDefault="005A0C26">
      <w:r>
        <w:br w:type="page"/>
      </w:r>
    </w:p>
    <w:tbl>
      <w:tblPr>
        <w:tblW w:w="9072" w:type="dxa"/>
        <w:tblInd w:w="113" w:type="dxa"/>
        <w:tblLook w:val="01E0" w:firstRow="1" w:lastRow="1" w:firstColumn="1" w:lastColumn="1" w:noHBand="0" w:noVBand="0"/>
      </w:tblPr>
      <w:tblGrid>
        <w:gridCol w:w="4855"/>
        <w:gridCol w:w="1620"/>
        <w:gridCol w:w="2597"/>
      </w:tblGrid>
      <w:tr w:rsidR="000414B9" w:rsidTr="000414B9">
        <w:tc>
          <w:tcPr>
            <w:tcW w:w="4855" w:type="dxa"/>
            <w:tcBorders>
              <w:top w:val="nil"/>
              <w:left w:val="nil"/>
              <w:bottom w:val="single" w:sz="4" w:space="0" w:color="auto"/>
              <w:right w:val="nil"/>
            </w:tcBorders>
            <w:hideMark/>
          </w:tcPr>
          <w:p w:rsidR="000414B9" w:rsidRDefault="000414B9">
            <w:pPr>
              <w:spacing w:after="0" w:line="240" w:lineRule="auto"/>
              <w:jc w:val="center"/>
              <w:rPr>
                <w:rFonts w:ascii="Times New Roman" w:eastAsia="Times New Roman" w:hAnsi="Times New Roman" w:cs="Times New Roman"/>
                <w:b/>
                <w:smallCaps/>
                <w:lang w:eastAsia="hu-HU"/>
              </w:rPr>
            </w:pPr>
            <w:r>
              <w:rPr>
                <w:rFonts w:ascii="Times New Roman" w:eastAsia="Times New Roman" w:hAnsi="Times New Roman" w:cs="Times New Roman"/>
                <w:b/>
                <w:smallCaps/>
                <w:lang w:eastAsia="hu-HU"/>
              </w:rPr>
              <w:lastRenderedPageBreak/>
              <w:t>Nemzeti Közszolgálati Egyetem</w:t>
            </w:r>
          </w:p>
        </w:tc>
        <w:tc>
          <w:tcPr>
            <w:tcW w:w="1620" w:type="dxa"/>
          </w:tcPr>
          <w:p w:rsidR="000414B9" w:rsidRDefault="000414B9">
            <w:pPr>
              <w:spacing w:after="0" w:line="240" w:lineRule="auto"/>
              <w:jc w:val="both"/>
              <w:rPr>
                <w:rFonts w:ascii="Times New Roman" w:eastAsia="Times New Roman" w:hAnsi="Times New Roman" w:cs="Times New Roman"/>
                <w:lang w:eastAsia="hu-HU"/>
              </w:rPr>
            </w:pPr>
          </w:p>
        </w:tc>
        <w:tc>
          <w:tcPr>
            <w:tcW w:w="2597" w:type="dxa"/>
          </w:tcPr>
          <w:p w:rsidR="000414B9" w:rsidRDefault="000414B9">
            <w:pPr>
              <w:spacing w:after="0" w:line="240" w:lineRule="auto"/>
              <w:jc w:val="right"/>
              <w:rPr>
                <w:rFonts w:ascii="Times New Roman" w:eastAsia="Times New Roman" w:hAnsi="Times New Roman" w:cs="Times New Roman"/>
                <w:lang w:eastAsia="hu-HU"/>
              </w:rPr>
            </w:pPr>
          </w:p>
        </w:tc>
      </w:tr>
      <w:tr w:rsidR="000414B9" w:rsidTr="000414B9">
        <w:tc>
          <w:tcPr>
            <w:tcW w:w="4855" w:type="dxa"/>
            <w:tcBorders>
              <w:top w:val="single" w:sz="4" w:space="0" w:color="auto"/>
              <w:left w:val="nil"/>
              <w:bottom w:val="nil"/>
              <w:right w:val="nil"/>
            </w:tcBorders>
            <w:hideMark/>
          </w:tcPr>
          <w:p w:rsidR="000414B9" w:rsidRDefault="000414B9">
            <w:pPr>
              <w:spacing w:after="0" w:line="240" w:lineRule="auto"/>
              <w:jc w:val="center"/>
              <w:rPr>
                <w:rFonts w:ascii="Times New Roman" w:eastAsia="Times New Roman" w:hAnsi="Times New Roman" w:cs="Times New Roman"/>
                <w:b/>
                <w:lang w:eastAsia="hu-HU"/>
              </w:rPr>
            </w:pPr>
            <w:r>
              <w:rPr>
                <w:rFonts w:ascii="Times New Roman" w:eastAsia="Times New Roman" w:hAnsi="Times New Roman" w:cs="Times New Roman"/>
                <w:b/>
                <w:lang w:eastAsia="hu-HU"/>
              </w:rPr>
              <w:t>Hadtudományi és Honvédtisztképző Kar</w:t>
            </w:r>
          </w:p>
        </w:tc>
        <w:tc>
          <w:tcPr>
            <w:tcW w:w="1620" w:type="dxa"/>
          </w:tcPr>
          <w:p w:rsidR="000414B9" w:rsidRDefault="000414B9">
            <w:pPr>
              <w:spacing w:after="0" w:line="240" w:lineRule="auto"/>
              <w:jc w:val="both"/>
              <w:rPr>
                <w:rFonts w:ascii="Times New Roman" w:eastAsia="Times New Roman" w:hAnsi="Times New Roman" w:cs="Times New Roman"/>
                <w:lang w:eastAsia="hu-HU"/>
              </w:rPr>
            </w:pPr>
          </w:p>
        </w:tc>
        <w:tc>
          <w:tcPr>
            <w:tcW w:w="2597" w:type="dxa"/>
          </w:tcPr>
          <w:p w:rsidR="000414B9" w:rsidRDefault="000414B9">
            <w:pPr>
              <w:spacing w:after="0" w:line="240" w:lineRule="auto"/>
              <w:jc w:val="both"/>
              <w:rPr>
                <w:rFonts w:ascii="Times New Roman" w:eastAsia="Times New Roman" w:hAnsi="Times New Roman" w:cs="Times New Roman"/>
                <w:lang w:eastAsia="hu-HU"/>
              </w:rPr>
            </w:pPr>
          </w:p>
        </w:tc>
      </w:tr>
    </w:tbl>
    <w:p w:rsidR="000414B9" w:rsidRDefault="000414B9" w:rsidP="000414B9">
      <w:pPr>
        <w:widowControl w:val="0"/>
        <w:spacing w:before="120" w:after="120" w:line="240" w:lineRule="auto"/>
        <w:ind w:left="426" w:hanging="142"/>
        <w:jc w:val="center"/>
        <w:rPr>
          <w:rFonts w:ascii="Times New Roman" w:eastAsia="Times New Roman" w:hAnsi="Times New Roman" w:cs="Times New Roman"/>
          <w:b/>
          <w:bCs/>
        </w:rPr>
      </w:pPr>
    </w:p>
    <w:p w:rsidR="000414B9" w:rsidRDefault="000414B9" w:rsidP="000414B9">
      <w:pPr>
        <w:widowControl w:val="0"/>
        <w:spacing w:before="120" w:after="120" w:line="240" w:lineRule="auto"/>
        <w:ind w:left="426" w:hanging="142"/>
        <w:jc w:val="center"/>
        <w:rPr>
          <w:rFonts w:ascii="Times New Roman" w:eastAsia="Times New Roman" w:hAnsi="Times New Roman" w:cs="Times New Roman"/>
          <w:b/>
          <w:bCs/>
        </w:rPr>
      </w:pPr>
      <w:r>
        <w:rPr>
          <w:rFonts w:ascii="Times New Roman" w:eastAsia="Times New Roman" w:hAnsi="Times New Roman" w:cs="Times New Roman"/>
          <w:b/>
          <w:bCs/>
        </w:rPr>
        <w:t>TANTÁRGYI PROGRAM</w:t>
      </w:r>
    </w:p>
    <w:p w:rsidR="000414B9" w:rsidRDefault="000414B9" w:rsidP="00980876">
      <w:pPr>
        <w:widowControl w:val="0"/>
        <w:numPr>
          <w:ilvl w:val="0"/>
          <w:numId w:val="203"/>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 tantárgy kódja: </w:t>
      </w:r>
      <w:r>
        <w:rPr>
          <w:rFonts w:ascii="Times New Roman" w:hAnsi="Times New Roman" w:cs="Times New Roman"/>
          <w:bCs/>
        </w:rPr>
        <w:t>HKHPKA106</w:t>
      </w:r>
    </w:p>
    <w:p w:rsidR="000414B9" w:rsidRDefault="000414B9" w:rsidP="00980876">
      <w:pPr>
        <w:widowControl w:val="0"/>
        <w:numPr>
          <w:ilvl w:val="0"/>
          <w:numId w:val="203"/>
        </w:numPr>
        <w:spacing w:before="120" w:after="120" w:line="240" w:lineRule="auto"/>
        <w:ind w:left="426" w:hanging="142"/>
        <w:jc w:val="both"/>
        <w:rPr>
          <w:rFonts w:ascii="Times New Roman" w:eastAsia="Times New Roman" w:hAnsi="Times New Roman" w:cs="Times New Roman"/>
          <w:b/>
          <w:bCs/>
          <w:lang w:val="en-GB"/>
        </w:rPr>
      </w:pPr>
      <w:r>
        <w:rPr>
          <w:rFonts w:ascii="Times New Roman" w:eastAsia="Times New Roman" w:hAnsi="Times New Roman" w:cs="Times New Roman"/>
          <w:b/>
          <w:bCs/>
        </w:rPr>
        <w:t>A tantárgy megnevezése (magyarul):</w:t>
      </w:r>
      <w:r>
        <w:rPr>
          <w:rFonts w:ascii="Times New Roman" w:eastAsia="Times New Roman" w:hAnsi="Times New Roman" w:cs="Times New Roman"/>
          <w:bCs/>
        </w:rPr>
        <w:t xml:space="preserve"> </w:t>
      </w:r>
      <w:r>
        <w:rPr>
          <w:rFonts w:ascii="Times New Roman" w:hAnsi="Times New Roman" w:cs="Times New Roman"/>
          <w:bCs/>
        </w:rPr>
        <w:t>Katonai ellátás- és szolgáltatásmenedzsment</w:t>
      </w:r>
    </w:p>
    <w:p w:rsidR="000414B9" w:rsidRDefault="000414B9" w:rsidP="00980876">
      <w:pPr>
        <w:widowControl w:val="0"/>
        <w:numPr>
          <w:ilvl w:val="0"/>
          <w:numId w:val="203"/>
        </w:numPr>
        <w:spacing w:before="120" w:after="120" w:line="240" w:lineRule="auto"/>
        <w:ind w:left="426" w:hanging="142"/>
        <w:jc w:val="both"/>
        <w:rPr>
          <w:rFonts w:ascii="Times New Roman" w:eastAsia="Times New Roman" w:hAnsi="Times New Roman" w:cs="Times New Roman"/>
          <w:b/>
          <w:bCs/>
          <w:lang w:val="en-GB"/>
        </w:rPr>
      </w:pPr>
      <w:r>
        <w:rPr>
          <w:rFonts w:ascii="Times New Roman" w:eastAsia="Times New Roman" w:hAnsi="Times New Roman" w:cs="Times New Roman"/>
          <w:b/>
          <w:bCs/>
        </w:rPr>
        <w:t xml:space="preserve">A tantárgy megnevezése (angolul): </w:t>
      </w:r>
      <w:r>
        <w:rPr>
          <w:rFonts w:ascii="Times New Roman" w:hAnsi="Times New Roman" w:cs="Times New Roman"/>
          <w:bCs/>
        </w:rPr>
        <w:t>Military Supply and Service Management</w:t>
      </w:r>
    </w:p>
    <w:p w:rsidR="000414B9" w:rsidRDefault="000414B9" w:rsidP="00980876">
      <w:pPr>
        <w:widowControl w:val="0"/>
        <w:numPr>
          <w:ilvl w:val="0"/>
          <w:numId w:val="203"/>
        </w:numPr>
        <w:tabs>
          <w:tab w:val="num" w:pos="567"/>
        </w:tabs>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Kreditérték és képzési karakter: </w:t>
      </w:r>
    </w:p>
    <w:p w:rsidR="000414B9" w:rsidRDefault="000414B9" w:rsidP="00980876">
      <w:pPr>
        <w:pStyle w:val="Listaszerbekezds"/>
        <w:widowControl w:val="0"/>
        <w:numPr>
          <w:ilvl w:val="1"/>
          <w:numId w:val="203"/>
        </w:numPr>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2 kredit</w:t>
      </w:r>
    </w:p>
    <w:p w:rsidR="000414B9" w:rsidRDefault="000414B9" w:rsidP="00980876">
      <w:pPr>
        <w:pStyle w:val="Listaszerbekezds"/>
        <w:widowControl w:val="0"/>
        <w:numPr>
          <w:ilvl w:val="1"/>
          <w:numId w:val="203"/>
        </w:numPr>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a tantárgy elméleti vagy gyakorlati jellegének mértéke: 0</w:t>
      </w:r>
      <w:r>
        <w:rPr>
          <w:rFonts w:ascii="Times New Roman" w:eastAsia="Times New Roman" w:hAnsi="Times New Roman" w:cs="Times New Roman"/>
          <w:b/>
          <w:bCs/>
        </w:rPr>
        <w:t xml:space="preserve"> </w:t>
      </w:r>
      <w:r>
        <w:rPr>
          <w:rFonts w:ascii="Times New Roman" w:eastAsia="Times New Roman" w:hAnsi="Times New Roman" w:cs="Times New Roman"/>
          <w:bCs/>
        </w:rPr>
        <w:t>% gyakorlat, 100 % elmélet</w:t>
      </w:r>
    </w:p>
    <w:p w:rsidR="000414B9" w:rsidRDefault="000414B9" w:rsidP="00980876">
      <w:pPr>
        <w:widowControl w:val="0"/>
        <w:numPr>
          <w:ilvl w:val="0"/>
          <w:numId w:val="203"/>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szak(ok), szakirányok/specializációk megnevezése (ahol oktatják):</w:t>
      </w:r>
      <w:r>
        <w:rPr>
          <w:rFonts w:ascii="Times New Roman" w:eastAsia="Times New Roman" w:hAnsi="Times New Roman" w:cs="Times New Roman"/>
          <w:bCs/>
        </w:rPr>
        <w:t xml:space="preserve"> </w:t>
      </w:r>
      <w:r>
        <w:rPr>
          <w:rFonts w:ascii="Times New Roman" w:hAnsi="Times New Roman" w:cs="Times New Roman"/>
          <w:bCs/>
        </w:rPr>
        <w:t>Katonai logisztika alapképzési (</w:t>
      </w:r>
      <w:r w:rsidR="00137B8A">
        <w:rPr>
          <w:rFonts w:ascii="Times New Roman" w:hAnsi="Times New Roman" w:cs="Times New Roman"/>
          <w:bCs/>
        </w:rPr>
        <w:t>BSc</w:t>
      </w:r>
      <w:r>
        <w:rPr>
          <w:rFonts w:ascii="Times New Roman" w:hAnsi="Times New Roman" w:cs="Times New Roman"/>
          <w:bCs/>
        </w:rPr>
        <w:t>) szak, Hadtáp specializáció, Katonai pénzügyi specializáció</w:t>
      </w:r>
    </w:p>
    <w:p w:rsidR="000414B9" w:rsidRDefault="000414B9" w:rsidP="00980876">
      <w:pPr>
        <w:widowControl w:val="0"/>
        <w:numPr>
          <w:ilvl w:val="0"/>
          <w:numId w:val="203"/>
        </w:numPr>
        <w:tabs>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Az oktatásért felelős oktatási szervezeti egység megnevezése: </w:t>
      </w:r>
      <w:r>
        <w:rPr>
          <w:rFonts w:ascii="Times New Roman" w:hAnsi="Times New Roman" w:cs="Times New Roman"/>
          <w:bCs/>
        </w:rPr>
        <w:t>NKE HHK Hadtáp, Pénzügyi és Katonai Közlekedési Tanszék</w:t>
      </w:r>
    </w:p>
    <w:p w:rsidR="000414B9" w:rsidRDefault="000414B9" w:rsidP="00980876">
      <w:pPr>
        <w:widowControl w:val="0"/>
        <w:numPr>
          <w:ilvl w:val="0"/>
          <w:numId w:val="203"/>
        </w:numPr>
        <w:tabs>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tantárgyfelelős oktató neve, beosztása, tudományos fokozata:</w:t>
      </w:r>
      <w:r>
        <w:rPr>
          <w:rFonts w:ascii="Times New Roman" w:eastAsia="Times New Roman" w:hAnsi="Times New Roman" w:cs="Times New Roman"/>
          <w:bCs/>
        </w:rPr>
        <w:t xml:space="preserve"> </w:t>
      </w:r>
      <w:r>
        <w:rPr>
          <w:rFonts w:ascii="Times New Roman" w:hAnsi="Times New Roman" w:cs="Times New Roman"/>
          <w:bCs/>
        </w:rPr>
        <w:t>Dr. Taksás Balázs százados egyetemi docens, PhD</w:t>
      </w:r>
    </w:p>
    <w:p w:rsidR="000414B9" w:rsidRDefault="000414B9" w:rsidP="00980876">
      <w:pPr>
        <w:widowControl w:val="0"/>
        <w:numPr>
          <w:ilvl w:val="0"/>
          <w:numId w:val="203"/>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tanórák száma és típusa</w:t>
      </w:r>
    </w:p>
    <w:p w:rsidR="000414B9" w:rsidRDefault="000414B9" w:rsidP="00980876">
      <w:pPr>
        <w:widowControl w:val="0"/>
        <w:numPr>
          <w:ilvl w:val="1"/>
          <w:numId w:val="203"/>
        </w:numPr>
        <w:tabs>
          <w:tab w:val="num" w:pos="709"/>
          <w:tab w:val="num" w:pos="2069"/>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össz óraszám/félév:</w:t>
      </w:r>
      <w:r w:rsidR="00B51013" w:rsidRPr="00B51013">
        <w:rPr>
          <w:rFonts w:ascii="Times New Roman" w:eastAsia="Times New Roman" w:hAnsi="Times New Roman" w:cs="Times New Roman"/>
          <w:bCs/>
        </w:rPr>
        <w:t xml:space="preserve"> </w:t>
      </w:r>
      <w:r w:rsidR="00B51013">
        <w:rPr>
          <w:rFonts w:ascii="Times New Roman" w:eastAsia="Times New Roman" w:hAnsi="Times New Roman" w:cs="Times New Roman"/>
          <w:bCs/>
        </w:rPr>
        <w:t>28</w:t>
      </w:r>
    </w:p>
    <w:p w:rsidR="000414B9" w:rsidRDefault="000414B9" w:rsidP="00980876">
      <w:pPr>
        <w:widowControl w:val="0"/>
        <w:numPr>
          <w:ilvl w:val="2"/>
          <w:numId w:val="203"/>
        </w:numPr>
        <w:tabs>
          <w:tab w:val="num" w:pos="709"/>
          <w:tab w:val="num" w:pos="1134"/>
        </w:tabs>
        <w:spacing w:after="0" w:line="240" w:lineRule="auto"/>
        <w:ind w:left="992" w:hanging="425"/>
        <w:jc w:val="both"/>
        <w:rPr>
          <w:rFonts w:ascii="Times New Roman" w:eastAsia="Times New Roman" w:hAnsi="Times New Roman" w:cs="Times New Roman"/>
          <w:bCs/>
        </w:rPr>
      </w:pPr>
      <w:r>
        <w:rPr>
          <w:rFonts w:ascii="Times New Roman" w:eastAsia="Times New Roman" w:hAnsi="Times New Roman" w:cs="Times New Roman"/>
          <w:bCs/>
        </w:rPr>
        <w:t xml:space="preserve">nappali munkarend: </w:t>
      </w:r>
      <w:r w:rsidR="00B51013">
        <w:rPr>
          <w:rFonts w:ascii="Times New Roman" w:eastAsia="Times New Roman" w:hAnsi="Times New Roman" w:cs="Times New Roman"/>
          <w:bCs/>
        </w:rPr>
        <w:t xml:space="preserve">(28 EA + 0 </w:t>
      </w:r>
      <w:r>
        <w:rPr>
          <w:rFonts w:ascii="Times New Roman" w:eastAsia="Times New Roman" w:hAnsi="Times New Roman" w:cs="Times New Roman"/>
          <w:bCs/>
        </w:rPr>
        <w:t>SZ + 0 GY)</w:t>
      </w:r>
    </w:p>
    <w:p w:rsidR="000414B9" w:rsidRDefault="000414B9" w:rsidP="00980876">
      <w:pPr>
        <w:widowControl w:val="0"/>
        <w:numPr>
          <w:ilvl w:val="2"/>
          <w:numId w:val="203"/>
        </w:numPr>
        <w:tabs>
          <w:tab w:val="num" w:pos="709"/>
          <w:tab w:val="num" w:pos="1134"/>
        </w:tabs>
        <w:spacing w:after="0" w:line="240" w:lineRule="auto"/>
        <w:ind w:left="992" w:hanging="425"/>
        <w:jc w:val="both"/>
        <w:rPr>
          <w:rFonts w:ascii="Times New Roman" w:eastAsia="Times New Roman" w:hAnsi="Times New Roman" w:cs="Times New Roman"/>
          <w:bCs/>
        </w:rPr>
      </w:pPr>
      <w:r>
        <w:rPr>
          <w:rFonts w:ascii="Times New Roman" w:eastAsia="Times New Roman" w:hAnsi="Times New Roman" w:cs="Times New Roman"/>
          <w:bCs/>
        </w:rPr>
        <w:t>levelező munkarend: -</w:t>
      </w:r>
    </w:p>
    <w:p w:rsidR="000414B9" w:rsidRDefault="000414B9" w:rsidP="00980876">
      <w:pPr>
        <w:widowControl w:val="0"/>
        <w:numPr>
          <w:ilvl w:val="1"/>
          <w:numId w:val="203"/>
        </w:numPr>
        <w:tabs>
          <w:tab w:val="num" w:pos="709"/>
          <w:tab w:val="num" w:pos="2069"/>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heti óraszám - nappali munkarend: 2</w:t>
      </w:r>
    </w:p>
    <w:p w:rsidR="000414B9" w:rsidRDefault="000414B9" w:rsidP="00980876">
      <w:pPr>
        <w:widowControl w:val="0"/>
        <w:numPr>
          <w:ilvl w:val="1"/>
          <w:numId w:val="203"/>
        </w:numPr>
        <w:tabs>
          <w:tab w:val="num" w:pos="709"/>
          <w:tab w:val="num" w:pos="2069"/>
        </w:tabs>
        <w:spacing w:before="120" w:after="120" w:line="240" w:lineRule="auto"/>
        <w:ind w:left="851" w:hanging="425"/>
        <w:jc w:val="both"/>
        <w:rPr>
          <w:rFonts w:ascii="Times New Roman" w:eastAsia="Times New Roman" w:hAnsi="Times New Roman" w:cs="Times New Roman"/>
          <w:bCs/>
        </w:rPr>
      </w:pPr>
      <w:r>
        <w:rPr>
          <w:rFonts w:ascii="Times New Roman" w:hAnsi="Times New Roman" w:cs="Times New Roman"/>
        </w:rPr>
        <w:t>Az ismeret átadásában alkalmazandó további sajátos módok, jellemzők:</w:t>
      </w:r>
      <w:r>
        <w:rPr>
          <w:rFonts w:ascii="Times New Roman" w:hAnsi="Times New Roman" w:cs="Times New Roman"/>
          <w:i/>
        </w:rPr>
        <w:t xml:space="preserve"> </w:t>
      </w:r>
      <w:r>
        <w:rPr>
          <w:rFonts w:ascii="Times New Roman" w:hAnsi="Times New Roman" w:cs="Times New Roman"/>
        </w:rPr>
        <w:t>A hallgatóknak a tanult elméleti ismereteiket többször is gyakorlati vitán kell bizonyítaniuk, ahol is egy adott téma kapcsán a számukra az oktató által kiválasztott álláspontot kell képviselniük.</w:t>
      </w:r>
    </w:p>
    <w:p w:rsidR="000414B9" w:rsidRDefault="000414B9" w:rsidP="00980876">
      <w:pPr>
        <w:widowControl w:val="0"/>
        <w:numPr>
          <w:ilvl w:val="0"/>
          <w:numId w:val="203"/>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tantárgy szakmai tartalma (magyarul):</w:t>
      </w:r>
      <w:r>
        <w:rPr>
          <w:rFonts w:ascii="Times New Roman" w:eastAsia="Times New Roman" w:hAnsi="Times New Roman" w:cs="Times New Roman"/>
          <w:bCs/>
        </w:rPr>
        <w:t xml:space="preserve"> </w:t>
      </w:r>
      <w:r>
        <w:rPr>
          <w:rFonts w:ascii="Times New Roman" w:hAnsi="Times New Roman" w:cs="Times New Roman"/>
          <w:bCs/>
        </w:rPr>
        <w:t>A tantárgy a katonai ellátás működésének szabályszerűségeivel foglalkozik. Bemutatja a civil és katonai ellátási lánc különbségeit, a belső és a külső ellátás előnyeit és hátrányait, a katonai ellátási lánc békeidőszaki, különleges jogrendi és műveleti működését.</w:t>
      </w:r>
    </w:p>
    <w:p w:rsidR="000414B9" w:rsidRDefault="000414B9" w:rsidP="000414B9">
      <w:pPr>
        <w:widowControl w:val="0"/>
        <w:spacing w:before="120" w:after="120" w:line="240" w:lineRule="auto"/>
        <w:ind w:left="426"/>
        <w:jc w:val="both"/>
        <w:rPr>
          <w:rFonts w:ascii="Times New Roman" w:eastAsia="Times New Roman" w:hAnsi="Times New Roman" w:cs="Times New Roman"/>
          <w:bCs/>
          <w:lang w:val="en-US"/>
        </w:rPr>
      </w:pPr>
      <w:r>
        <w:rPr>
          <w:rFonts w:ascii="Times New Roman" w:eastAsia="Times New Roman" w:hAnsi="Times New Roman" w:cs="Times New Roman"/>
          <w:b/>
          <w:bCs/>
        </w:rPr>
        <w:t>A tantárgy szakmai tartalma (angolul) (</w:t>
      </w:r>
      <w:r>
        <w:rPr>
          <w:rFonts w:ascii="Times New Roman" w:eastAsia="Times New Roman" w:hAnsi="Times New Roman" w:cs="Times New Roman"/>
          <w:b/>
          <w:bCs/>
          <w:lang w:val="en-US"/>
        </w:rPr>
        <w:t>Course description</w:t>
      </w:r>
      <w:r>
        <w:rPr>
          <w:rFonts w:ascii="Times New Roman" w:eastAsia="Times New Roman" w:hAnsi="Times New Roman" w:cs="Times New Roman"/>
          <w:b/>
          <w:bCs/>
        </w:rPr>
        <w:t xml:space="preserve">): </w:t>
      </w:r>
      <w:r>
        <w:rPr>
          <w:rFonts w:ascii="Times New Roman" w:hAnsi="Times New Roman" w:cs="Times New Roman"/>
          <w:bCs/>
          <w:lang w:val="en-US"/>
        </w:rPr>
        <w:t xml:space="preserve">The subject deals with the fundamental function of the military supply chain. It presents the differences between civilian and military supply chains, the advantages and disadvantages of military outsourcing and the functioning of military supply chain in peace time, in special legislation time and in multinational operations. </w:t>
      </w:r>
    </w:p>
    <w:p w:rsidR="000414B9" w:rsidRDefault="000414B9" w:rsidP="00980876">
      <w:pPr>
        <w:pStyle w:val="Listaszerbekezds"/>
        <w:widowControl w:val="0"/>
        <w:numPr>
          <w:ilvl w:val="0"/>
          <w:numId w:val="203"/>
        </w:numPr>
        <w:spacing w:before="120" w:after="120" w:line="240" w:lineRule="auto"/>
        <w:ind w:left="499" w:hanging="142"/>
        <w:jc w:val="both"/>
        <w:rPr>
          <w:rFonts w:ascii="Times New Roman" w:eastAsia="Times New Roman" w:hAnsi="Times New Roman" w:cs="Times New Roman"/>
          <w:bCs/>
        </w:rPr>
      </w:pPr>
      <w:r>
        <w:rPr>
          <w:rFonts w:ascii="Times New Roman" w:eastAsia="Times New Roman" w:hAnsi="Times New Roman" w:cs="Times New Roman"/>
          <w:b/>
          <w:bCs/>
        </w:rPr>
        <w:t>Elérendő kompetenciák (magyarul):</w:t>
      </w:r>
      <w:r>
        <w:rPr>
          <w:rFonts w:ascii="Times New Roman" w:eastAsia="Times New Roman" w:hAnsi="Times New Roman" w:cs="Times New Roman"/>
          <w:bCs/>
        </w:rPr>
        <w:t xml:space="preserve"> </w:t>
      </w:r>
    </w:p>
    <w:p w:rsidR="000414B9" w:rsidRDefault="000414B9" w:rsidP="000414B9">
      <w:pPr>
        <w:widowControl w:val="0"/>
        <w:spacing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Tudása:</w:t>
      </w:r>
    </w:p>
    <w:p w:rsidR="000414B9" w:rsidRPr="00056F25" w:rsidRDefault="000414B9" w:rsidP="00980876">
      <w:pPr>
        <w:pStyle w:val="Listaszerbekezds"/>
        <w:widowControl w:val="0"/>
        <w:numPr>
          <w:ilvl w:val="0"/>
          <w:numId w:val="755"/>
        </w:numPr>
        <w:spacing w:after="120" w:line="240" w:lineRule="auto"/>
        <w:ind w:left="782" w:hanging="357"/>
        <w:jc w:val="both"/>
        <w:rPr>
          <w:rFonts w:ascii="Times New Roman" w:eastAsia="Times New Roman" w:hAnsi="Times New Roman"/>
          <w:bCs/>
        </w:rPr>
      </w:pPr>
      <w:r w:rsidRPr="00056F25">
        <w:rPr>
          <w:rFonts w:ascii="Times New Roman" w:hAnsi="Times New Roman" w:cs="Times New Roman"/>
        </w:rPr>
        <w:t xml:space="preserve">Ismeri a </w:t>
      </w:r>
      <w:r w:rsidRPr="00056F25">
        <w:rPr>
          <w:rFonts w:ascii="Times New Roman" w:eastAsia="Times New Roman" w:hAnsi="Times New Roman"/>
          <w:bCs/>
        </w:rPr>
        <w:t>gazdaság és a piacok működésének alapjait, a nemzetgazdaság és a honvédelem kapcsolatrendszerét, a hadiipar működésének törvényszerűségeit.</w:t>
      </w:r>
    </w:p>
    <w:p w:rsidR="000414B9" w:rsidRPr="00056F25" w:rsidRDefault="000414B9" w:rsidP="00980876">
      <w:pPr>
        <w:pStyle w:val="Listaszerbekezds"/>
        <w:widowControl w:val="0"/>
        <w:numPr>
          <w:ilvl w:val="0"/>
          <w:numId w:val="755"/>
        </w:numPr>
        <w:spacing w:before="120" w:after="120" w:line="240" w:lineRule="auto"/>
        <w:jc w:val="both"/>
        <w:rPr>
          <w:rFonts w:ascii="Times New Roman" w:eastAsia="Times New Roman" w:hAnsi="Times New Roman"/>
          <w:bCs/>
        </w:rPr>
      </w:pPr>
      <w:r w:rsidRPr="00056F25">
        <w:rPr>
          <w:rFonts w:ascii="Times New Roman" w:eastAsia="Times New Roman" w:hAnsi="Times New Roman"/>
          <w:bCs/>
        </w:rPr>
        <w:t>Ismeri a hadtáp szakanyagok csoportosítását, azok előállítását, nemzetgazdaságból történő beszerzéseinek lehetőségeit.</w:t>
      </w:r>
    </w:p>
    <w:p w:rsidR="000414B9" w:rsidRDefault="000414B9" w:rsidP="000414B9">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Képességei:</w:t>
      </w:r>
      <w:r>
        <w:rPr>
          <w:rFonts w:ascii="Times New Roman" w:eastAsia="Times New Roman" w:hAnsi="Times New Roman" w:cs="Times New Roman"/>
          <w:bCs/>
        </w:rPr>
        <w:t xml:space="preserve"> </w:t>
      </w:r>
    </w:p>
    <w:p w:rsidR="000414B9" w:rsidRPr="00056F25" w:rsidRDefault="000414B9" w:rsidP="00980876">
      <w:pPr>
        <w:pStyle w:val="Listaszerbekezds"/>
        <w:widowControl w:val="0"/>
        <w:numPr>
          <w:ilvl w:val="0"/>
          <w:numId w:val="755"/>
        </w:numPr>
        <w:spacing w:after="120" w:line="240" w:lineRule="auto"/>
        <w:ind w:left="782" w:hanging="357"/>
        <w:jc w:val="both"/>
        <w:rPr>
          <w:rFonts w:ascii="Times New Roman" w:eastAsia="Times New Roman" w:hAnsi="Times New Roman"/>
          <w:bCs/>
        </w:rPr>
      </w:pPr>
      <w:r w:rsidRPr="00056F25">
        <w:rPr>
          <w:rFonts w:ascii="Times New Roman" w:eastAsia="Times New Roman" w:hAnsi="Times New Roman"/>
          <w:bCs/>
        </w:rPr>
        <w:t>Képes a logisztikai folyamatok és a Magyar Honvédség logisztikai rendszere közötti kapcsolatok, illetve összefüggések értelmezésére.</w:t>
      </w:r>
    </w:p>
    <w:p w:rsidR="000414B9" w:rsidRPr="00056F25" w:rsidRDefault="000414B9" w:rsidP="00980876">
      <w:pPr>
        <w:pStyle w:val="Listaszerbekezds"/>
        <w:widowControl w:val="0"/>
        <w:numPr>
          <w:ilvl w:val="0"/>
          <w:numId w:val="755"/>
        </w:numPr>
        <w:spacing w:before="120" w:after="120" w:line="240" w:lineRule="auto"/>
        <w:jc w:val="both"/>
        <w:rPr>
          <w:rFonts w:ascii="Times New Roman" w:eastAsia="Times New Roman" w:hAnsi="Times New Roman"/>
          <w:bCs/>
        </w:rPr>
      </w:pPr>
      <w:r w:rsidRPr="00056F25">
        <w:rPr>
          <w:rFonts w:ascii="Times New Roman" w:eastAsia="Times New Roman" w:hAnsi="Times New Roman"/>
          <w:bCs/>
        </w:rPr>
        <w:t>Képes szakterületén újító és innovatív ötletek megfogalmazására.</w:t>
      </w:r>
    </w:p>
    <w:p w:rsidR="000414B9" w:rsidRPr="00056F25" w:rsidRDefault="000414B9" w:rsidP="00980876">
      <w:pPr>
        <w:pStyle w:val="Listaszerbekezds"/>
        <w:widowControl w:val="0"/>
        <w:numPr>
          <w:ilvl w:val="0"/>
          <w:numId w:val="755"/>
        </w:numPr>
        <w:spacing w:before="120" w:after="120" w:line="240" w:lineRule="auto"/>
        <w:jc w:val="both"/>
        <w:rPr>
          <w:rFonts w:ascii="Times New Roman" w:eastAsia="Times New Roman" w:hAnsi="Times New Roman"/>
          <w:bCs/>
        </w:rPr>
      </w:pPr>
      <w:r w:rsidRPr="00056F25">
        <w:rPr>
          <w:rFonts w:ascii="Times New Roman" w:eastAsia="Times New Roman" w:hAnsi="Times New Roman"/>
          <w:bCs/>
        </w:rPr>
        <w:t xml:space="preserve">Képes alegység szintű ellátási feladatok végrehajtására, vezetésére békében, különleges jogrendi időszakban, többnemzeti és nemzetközi környezetben végrehajtandó béketámogató </w:t>
      </w:r>
      <w:r w:rsidRPr="00056F25">
        <w:rPr>
          <w:rFonts w:ascii="Times New Roman" w:eastAsia="Times New Roman" w:hAnsi="Times New Roman"/>
          <w:bCs/>
        </w:rPr>
        <w:lastRenderedPageBreak/>
        <w:t>műveletekben.</w:t>
      </w:r>
    </w:p>
    <w:p w:rsidR="000414B9" w:rsidRDefault="000414B9" w:rsidP="000414B9">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Attitűdje:</w:t>
      </w:r>
      <w:r>
        <w:rPr>
          <w:rFonts w:ascii="Times New Roman" w:eastAsia="Times New Roman" w:hAnsi="Times New Roman" w:cs="Times New Roman"/>
          <w:bCs/>
        </w:rPr>
        <w:t xml:space="preserve"> </w:t>
      </w:r>
    </w:p>
    <w:p w:rsidR="000414B9" w:rsidRPr="00056F25" w:rsidRDefault="000414B9" w:rsidP="00980876">
      <w:pPr>
        <w:pStyle w:val="Listaszerbekezds"/>
        <w:widowControl w:val="0"/>
        <w:numPr>
          <w:ilvl w:val="0"/>
          <w:numId w:val="755"/>
        </w:numPr>
        <w:spacing w:after="120" w:line="240" w:lineRule="auto"/>
        <w:ind w:left="782" w:hanging="357"/>
        <w:jc w:val="both"/>
        <w:rPr>
          <w:rFonts w:ascii="Times New Roman" w:eastAsia="Times New Roman" w:hAnsi="Times New Roman"/>
          <w:bCs/>
        </w:rPr>
      </w:pPr>
      <w:r w:rsidRPr="00056F25">
        <w:rPr>
          <w:rFonts w:ascii="Times New Roman" w:eastAsia="Times New Roman" w:hAnsi="Times New Roman"/>
          <w:bCs/>
        </w:rPr>
        <w:t>Felismeri a rendszerszintű tevékenységben rejlő értékeket, törekszik a logisztikai tevékenységek közötti kapcsolatok értelmezésére.</w:t>
      </w:r>
    </w:p>
    <w:p w:rsidR="000414B9" w:rsidRPr="00056F25" w:rsidRDefault="000414B9" w:rsidP="00980876">
      <w:pPr>
        <w:pStyle w:val="Listaszerbekezds"/>
        <w:widowControl w:val="0"/>
        <w:numPr>
          <w:ilvl w:val="0"/>
          <w:numId w:val="755"/>
        </w:numPr>
        <w:spacing w:before="120" w:after="120" w:line="240" w:lineRule="auto"/>
        <w:jc w:val="both"/>
        <w:rPr>
          <w:rFonts w:ascii="Times New Roman" w:eastAsia="Times New Roman" w:hAnsi="Times New Roman"/>
          <w:bCs/>
        </w:rPr>
      </w:pPr>
      <w:r w:rsidRPr="00056F25">
        <w:rPr>
          <w:rFonts w:ascii="Times New Roman" w:eastAsia="Times New Roman" w:hAnsi="Times New Roman"/>
          <w:bCs/>
        </w:rPr>
        <w:t>Tevékenységét a hatékonyság központú szemlélet jellemzi.</w:t>
      </w:r>
    </w:p>
    <w:p w:rsidR="000414B9" w:rsidRDefault="000414B9" w:rsidP="000414B9">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Autonómiája és felelőssége:</w:t>
      </w:r>
    </w:p>
    <w:p w:rsidR="000414B9" w:rsidRPr="00056F25" w:rsidRDefault="000414B9" w:rsidP="00980876">
      <w:pPr>
        <w:pStyle w:val="Listaszerbekezds"/>
        <w:widowControl w:val="0"/>
        <w:numPr>
          <w:ilvl w:val="0"/>
          <w:numId w:val="755"/>
        </w:numPr>
        <w:spacing w:after="120" w:line="240" w:lineRule="auto"/>
        <w:ind w:left="782" w:hanging="357"/>
        <w:jc w:val="both"/>
        <w:rPr>
          <w:rFonts w:ascii="Times New Roman" w:eastAsia="Times New Roman" w:hAnsi="Times New Roman"/>
          <w:bCs/>
        </w:rPr>
      </w:pPr>
      <w:r w:rsidRPr="00056F25">
        <w:rPr>
          <w:rFonts w:ascii="Times New Roman" w:eastAsia="Times New Roman" w:hAnsi="Times New Roman"/>
          <w:bCs/>
        </w:rPr>
        <w:t>Szakmai feladatainak elvégzése során felelősségteljesen együttműködik más szakterület képzett szakembereivel is.</w:t>
      </w:r>
    </w:p>
    <w:p w:rsidR="000414B9" w:rsidRPr="00056F25" w:rsidRDefault="000414B9" w:rsidP="00980876">
      <w:pPr>
        <w:pStyle w:val="Listaszerbekezds"/>
        <w:widowControl w:val="0"/>
        <w:numPr>
          <w:ilvl w:val="0"/>
          <w:numId w:val="755"/>
        </w:numPr>
        <w:spacing w:after="120" w:line="240" w:lineRule="auto"/>
        <w:ind w:left="782" w:hanging="357"/>
        <w:jc w:val="both"/>
        <w:rPr>
          <w:rFonts w:ascii="Times New Roman" w:eastAsia="Times New Roman" w:hAnsi="Times New Roman"/>
          <w:bCs/>
        </w:rPr>
      </w:pPr>
      <w:r w:rsidRPr="00056F25">
        <w:rPr>
          <w:rFonts w:ascii="Times New Roman" w:eastAsia="Times New Roman" w:hAnsi="Times New Roman"/>
          <w:bCs/>
        </w:rPr>
        <w:t>Szakterületén belül képes rendszer-szemléletűen gondolkodni.</w:t>
      </w:r>
    </w:p>
    <w:p w:rsidR="000414B9" w:rsidRDefault="000414B9" w:rsidP="000414B9">
      <w:pPr>
        <w:widowControl w:val="0"/>
        <w:spacing w:before="120" w:after="0" w:line="240" w:lineRule="auto"/>
        <w:ind w:left="425"/>
        <w:jc w:val="both"/>
        <w:rPr>
          <w:rFonts w:ascii="Times New Roman" w:eastAsia="Times New Roman" w:hAnsi="Times New Roman" w:cs="Times New Roman"/>
          <w:b/>
          <w:bCs/>
          <w:lang w:val="en-US"/>
        </w:rPr>
      </w:pPr>
      <w:r>
        <w:rPr>
          <w:rFonts w:ascii="Times New Roman" w:eastAsia="Times New Roman" w:hAnsi="Times New Roman" w:cs="Times New Roman"/>
          <w:b/>
          <w:bCs/>
        </w:rPr>
        <w:t>Elérendő kompetenciák (angolul) (</w:t>
      </w:r>
      <w:r>
        <w:rPr>
          <w:rFonts w:ascii="Times New Roman" w:eastAsia="Times New Roman" w:hAnsi="Times New Roman" w:cs="Times New Roman"/>
          <w:b/>
          <w:bCs/>
          <w:lang w:val="en-US"/>
        </w:rPr>
        <w:t xml:space="preserve">Competences – English): </w:t>
      </w:r>
    </w:p>
    <w:p w:rsidR="000414B9" w:rsidRDefault="000414B9" w:rsidP="000414B9">
      <w:pPr>
        <w:widowControl w:val="0"/>
        <w:spacing w:before="120" w:after="0" w:line="240" w:lineRule="auto"/>
        <w:ind w:left="425"/>
        <w:jc w:val="both"/>
        <w:rPr>
          <w:rFonts w:ascii="Times New Roman" w:eastAsia="Times New Roman" w:hAnsi="Times New Roman" w:cs="Times New Roman"/>
          <w:lang w:val="en-GB"/>
        </w:rPr>
      </w:pPr>
      <w:r>
        <w:rPr>
          <w:rFonts w:ascii="Times New Roman" w:eastAsia="Times New Roman" w:hAnsi="Times New Roman" w:cs="Times New Roman"/>
          <w:b/>
          <w:lang w:val="en-GB"/>
        </w:rPr>
        <w:t>Knowledge</w:t>
      </w:r>
      <w:r>
        <w:rPr>
          <w:rFonts w:ascii="Times New Roman" w:eastAsia="Times New Roman" w:hAnsi="Times New Roman" w:cs="Times New Roman"/>
          <w:lang w:val="en-GB"/>
        </w:rPr>
        <w:t xml:space="preserve">: </w:t>
      </w:r>
    </w:p>
    <w:p w:rsidR="000414B9" w:rsidRPr="00056F25" w:rsidRDefault="000414B9" w:rsidP="00980876">
      <w:pPr>
        <w:pStyle w:val="Listaszerbekezds"/>
        <w:widowControl w:val="0"/>
        <w:numPr>
          <w:ilvl w:val="0"/>
          <w:numId w:val="755"/>
        </w:numPr>
        <w:spacing w:after="120" w:line="240" w:lineRule="auto"/>
        <w:ind w:left="782" w:hanging="357"/>
        <w:jc w:val="both"/>
        <w:rPr>
          <w:rFonts w:ascii="Times New Roman" w:eastAsia="Times New Roman" w:hAnsi="Times New Roman"/>
          <w:bCs/>
        </w:rPr>
      </w:pPr>
      <w:r w:rsidRPr="00056F25">
        <w:rPr>
          <w:rFonts w:ascii="Times New Roman" w:eastAsia="Times New Roman" w:hAnsi="Times New Roman"/>
          <w:bCs/>
        </w:rPr>
        <w:t xml:space="preserve">To be able to familiar with market mechanisms, the principles of economics, the relation between national economy and defense and the functioning of defense industry. </w:t>
      </w:r>
    </w:p>
    <w:p w:rsidR="000414B9" w:rsidRPr="00056F25" w:rsidRDefault="000414B9" w:rsidP="00980876">
      <w:pPr>
        <w:pStyle w:val="Listaszerbekezds"/>
        <w:widowControl w:val="0"/>
        <w:numPr>
          <w:ilvl w:val="0"/>
          <w:numId w:val="755"/>
        </w:numPr>
        <w:spacing w:after="120" w:line="240" w:lineRule="auto"/>
        <w:ind w:left="782" w:hanging="357"/>
        <w:jc w:val="both"/>
        <w:rPr>
          <w:rFonts w:ascii="Times New Roman" w:eastAsia="Times New Roman" w:hAnsi="Times New Roman"/>
          <w:bCs/>
        </w:rPr>
      </w:pPr>
      <w:r w:rsidRPr="00056F25">
        <w:rPr>
          <w:rFonts w:ascii="Times New Roman" w:eastAsia="Times New Roman" w:hAnsi="Times New Roman"/>
          <w:bCs/>
        </w:rPr>
        <w:t>To be able to familiar with the types of supply materials, their productions processes and possible procurement sources.</w:t>
      </w:r>
    </w:p>
    <w:p w:rsidR="000414B9" w:rsidRDefault="000414B9" w:rsidP="000414B9">
      <w:pPr>
        <w:widowControl w:val="0"/>
        <w:spacing w:before="120" w:after="0" w:line="240" w:lineRule="auto"/>
        <w:ind w:left="425"/>
        <w:jc w:val="both"/>
        <w:rPr>
          <w:rFonts w:ascii="Times New Roman" w:eastAsia="Times New Roman" w:hAnsi="Times New Roman" w:cs="Times New Roman"/>
          <w:lang w:val="en-GB"/>
        </w:rPr>
      </w:pPr>
      <w:r>
        <w:rPr>
          <w:rFonts w:ascii="Times New Roman" w:eastAsia="Times New Roman" w:hAnsi="Times New Roman" w:cs="Times New Roman"/>
          <w:b/>
          <w:lang w:val="en-GB"/>
        </w:rPr>
        <w:t>Capabilities</w:t>
      </w:r>
      <w:r>
        <w:rPr>
          <w:rFonts w:ascii="Times New Roman" w:eastAsia="Times New Roman" w:hAnsi="Times New Roman" w:cs="Times New Roman"/>
          <w:lang w:val="en-GB"/>
        </w:rPr>
        <w:t xml:space="preserve">: </w:t>
      </w:r>
    </w:p>
    <w:p w:rsidR="000414B9" w:rsidRPr="00056F25" w:rsidRDefault="000414B9" w:rsidP="00980876">
      <w:pPr>
        <w:pStyle w:val="Listaszerbekezds"/>
        <w:widowControl w:val="0"/>
        <w:numPr>
          <w:ilvl w:val="0"/>
          <w:numId w:val="755"/>
        </w:numPr>
        <w:spacing w:after="120" w:line="240" w:lineRule="auto"/>
        <w:ind w:left="782" w:hanging="357"/>
        <w:jc w:val="both"/>
        <w:rPr>
          <w:rFonts w:ascii="Times New Roman" w:eastAsia="Times New Roman" w:hAnsi="Times New Roman"/>
          <w:bCs/>
        </w:rPr>
      </w:pPr>
      <w:r w:rsidRPr="00056F25">
        <w:rPr>
          <w:rFonts w:ascii="Times New Roman" w:eastAsia="Times New Roman" w:hAnsi="Times New Roman"/>
          <w:bCs/>
        </w:rPr>
        <w:t xml:space="preserve">To be able to understand the connections in logistic field between the national economy and the HDF. </w:t>
      </w:r>
    </w:p>
    <w:p w:rsidR="000414B9" w:rsidRPr="00056F25" w:rsidRDefault="000414B9" w:rsidP="00980876">
      <w:pPr>
        <w:pStyle w:val="Listaszerbekezds"/>
        <w:widowControl w:val="0"/>
        <w:numPr>
          <w:ilvl w:val="0"/>
          <w:numId w:val="755"/>
        </w:numPr>
        <w:spacing w:after="120" w:line="240" w:lineRule="auto"/>
        <w:ind w:left="782" w:hanging="357"/>
        <w:jc w:val="both"/>
        <w:rPr>
          <w:rFonts w:ascii="Times New Roman" w:eastAsia="Times New Roman" w:hAnsi="Times New Roman"/>
          <w:bCs/>
        </w:rPr>
      </w:pPr>
      <w:r w:rsidRPr="00056F25">
        <w:rPr>
          <w:rFonts w:ascii="Times New Roman" w:eastAsia="Times New Roman" w:hAnsi="Times New Roman"/>
          <w:bCs/>
        </w:rPr>
        <w:t>To have ability to create new, innovative ideas in his/her professional field.</w:t>
      </w:r>
    </w:p>
    <w:p w:rsidR="000414B9" w:rsidRPr="00056F25" w:rsidRDefault="000414B9" w:rsidP="00980876">
      <w:pPr>
        <w:pStyle w:val="Listaszerbekezds"/>
        <w:widowControl w:val="0"/>
        <w:numPr>
          <w:ilvl w:val="0"/>
          <w:numId w:val="755"/>
        </w:numPr>
        <w:spacing w:after="120" w:line="240" w:lineRule="auto"/>
        <w:ind w:left="782" w:hanging="357"/>
        <w:jc w:val="both"/>
        <w:rPr>
          <w:rFonts w:ascii="Times New Roman" w:eastAsia="Times New Roman" w:hAnsi="Times New Roman"/>
          <w:bCs/>
        </w:rPr>
      </w:pPr>
      <w:r w:rsidRPr="00056F25">
        <w:rPr>
          <w:rFonts w:ascii="Times New Roman" w:eastAsia="Times New Roman" w:hAnsi="Times New Roman"/>
          <w:bCs/>
        </w:rPr>
        <w:t>To have ability to lead and execute sub-unit level supply tasks both in peace and crisis time even in multinational peace support operations.</w:t>
      </w:r>
    </w:p>
    <w:p w:rsidR="000414B9" w:rsidRDefault="000414B9" w:rsidP="000414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425"/>
        <w:jc w:val="both"/>
        <w:rPr>
          <w:rFonts w:ascii="Times New Roman" w:eastAsia="Times New Roman" w:hAnsi="Times New Roman" w:cs="Times New Roman"/>
          <w:lang w:val="en-GB"/>
        </w:rPr>
      </w:pPr>
      <w:r>
        <w:rPr>
          <w:rFonts w:ascii="Times New Roman" w:eastAsia="Times New Roman" w:hAnsi="Times New Roman" w:cs="Times New Roman"/>
          <w:b/>
          <w:lang w:val="en-GB"/>
        </w:rPr>
        <w:t>Attitude:</w:t>
      </w:r>
      <w:r>
        <w:rPr>
          <w:rFonts w:ascii="Times New Roman" w:eastAsia="Times New Roman" w:hAnsi="Times New Roman" w:cs="Times New Roman"/>
          <w:lang w:val="en-GB"/>
        </w:rPr>
        <w:t xml:space="preserve"> </w:t>
      </w:r>
    </w:p>
    <w:p w:rsidR="000414B9" w:rsidRPr="00056F25" w:rsidRDefault="000414B9" w:rsidP="00980876">
      <w:pPr>
        <w:pStyle w:val="Listaszerbekezds"/>
        <w:widowControl w:val="0"/>
        <w:numPr>
          <w:ilvl w:val="0"/>
          <w:numId w:val="755"/>
        </w:numPr>
        <w:spacing w:after="120" w:line="240" w:lineRule="auto"/>
        <w:ind w:left="782" w:hanging="357"/>
        <w:jc w:val="both"/>
        <w:rPr>
          <w:rFonts w:ascii="Times New Roman" w:eastAsia="Times New Roman" w:hAnsi="Times New Roman"/>
          <w:bCs/>
        </w:rPr>
      </w:pPr>
      <w:r w:rsidRPr="00056F25">
        <w:rPr>
          <w:rFonts w:ascii="Times New Roman" w:eastAsia="Times New Roman" w:hAnsi="Times New Roman"/>
          <w:bCs/>
        </w:rPr>
        <w:t>To be able to recognize the advantages and opportunities offered by well-structured activities and to be seeking to understand the logical connections among logistic activities.</w:t>
      </w:r>
    </w:p>
    <w:p w:rsidR="000414B9" w:rsidRPr="00056F25" w:rsidRDefault="000414B9" w:rsidP="00980876">
      <w:pPr>
        <w:pStyle w:val="Listaszerbekezds"/>
        <w:widowControl w:val="0"/>
        <w:numPr>
          <w:ilvl w:val="0"/>
          <w:numId w:val="755"/>
        </w:numPr>
        <w:spacing w:after="120" w:line="240" w:lineRule="auto"/>
        <w:ind w:left="782" w:hanging="357"/>
        <w:jc w:val="both"/>
        <w:rPr>
          <w:rFonts w:ascii="Times New Roman" w:eastAsia="Times New Roman" w:hAnsi="Times New Roman"/>
          <w:bCs/>
        </w:rPr>
      </w:pPr>
      <w:r w:rsidRPr="00056F25">
        <w:rPr>
          <w:rFonts w:ascii="Times New Roman" w:eastAsia="Times New Roman" w:hAnsi="Times New Roman"/>
          <w:bCs/>
        </w:rPr>
        <w:t xml:space="preserve">To be characterized by efficiency-based attitude.    </w:t>
      </w:r>
    </w:p>
    <w:p w:rsidR="000414B9" w:rsidRDefault="000414B9" w:rsidP="000414B9">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lang w:val="en-GB"/>
        </w:rPr>
        <w:t xml:space="preserve">Autonomy and responsibility: </w:t>
      </w:r>
    </w:p>
    <w:p w:rsidR="000414B9" w:rsidRPr="00056F25" w:rsidRDefault="000414B9" w:rsidP="00980876">
      <w:pPr>
        <w:pStyle w:val="Listaszerbekezds"/>
        <w:widowControl w:val="0"/>
        <w:numPr>
          <w:ilvl w:val="0"/>
          <w:numId w:val="755"/>
        </w:numPr>
        <w:spacing w:after="120" w:line="240" w:lineRule="auto"/>
        <w:ind w:left="782" w:hanging="357"/>
        <w:jc w:val="both"/>
        <w:rPr>
          <w:rFonts w:ascii="Times New Roman" w:eastAsia="Times New Roman" w:hAnsi="Times New Roman"/>
          <w:bCs/>
        </w:rPr>
      </w:pPr>
      <w:r w:rsidRPr="00056F25">
        <w:rPr>
          <w:rFonts w:ascii="Times New Roman" w:eastAsia="Times New Roman" w:hAnsi="Times New Roman"/>
          <w:bCs/>
        </w:rPr>
        <w:t>To have intention to cooperate and coordinate with other professions in the daily tasks.</w:t>
      </w:r>
    </w:p>
    <w:p w:rsidR="000414B9" w:rsidRPr="00056F25" w:rsidRDefault="000414B9" w:rsidP="00980876">
      <w:pPr>
        <w:pStyle w:val="Listaszerbekezds"/>
        <w:widowControl w:val="0"/>
        <w:numPr>
          <w:ilvl w:val="0"/>
          <w:numId w:val="755"/>
        </w:numPr>
        <w:spacing w:after="120" w:line="240" w:lineRule="auto"/>
        <w:ind w:left="782" w:hanging="357"/>
        <w:jc w:val="both"/>
        <w:rPr>
          <w:rFonts w:ascii="Times New Roman" w:eastAsia="Times New Roman" w:hAnsi="Times New Roman"/>
          <w:bCs/>
        </w:rPr>
      </w:pPr>
      <w:r w:rsidRPr="00056F25">
        <w:rPr>
          <w:rFonts w:ascii="Times New Roman" w:eastAsia="Times New Roman" w:hAnsi="Times New Roman"/>
          <w:bCs/>
        </w:rPr>
        <w:t xml:space="preserve">To possess system-based approach towards professional tasks and challenges. </w:t>
      </w:r>
    </w:p>
    <w:p w:rsidR="000414B9" w:rsidRDefault="000414B9" w:rsidP="00980876">
      <w:pPr>
        <w:widowControl w:val="0"/>
        <w:numPr>
          <w:ilvl w:val="0"/>
          <w:numId w:val="203"/>
        </w:numPr>
        <w:tabs>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Előtanulmányi követelmények: </w:t>
      </w:r>
      <w:r>
        <w:rPr>
          <w:rFonts w:ascii="Times New Roman" w:eastAsia="Times New Roman" w:hAnsi="Times New Roman" w:cs="Times New Roman"/>
          <w:bCs/>
        </w:rPr>
        <w:t>HKHPKA13 Logisztikai támogatás alapjai</w:t>
      </w:r>
    </w:p>
    <w:p w:rsidR="000414B9" w:rsidRDefault="000414B9" w:rsidP="00980876">
      <w:pPr>
        <w:widowControl w:val="0"/>
        <w:numPr>
          <w:ilvl w:val="0"/>
          <w:numId w:val="203"/>
        </w:numPr>
        <w:spacing w:before="120" w:after="120" w:line="240" w:lineRule="auto"/>
        <w:ind w:left="426" w:hanging="142"/>
        <w:jc w:val="both"/>
        <w:rPr>
          <w:rFonts w:ascii="Times New Roman" w:eastAsia="Times New Roman" w:hAnsi="Times New Roman" w:cs="Times New Roman"/>
          <w:b/>
          <w:bCs/>
          <w:lang w:val="en-US"/>
        </w:rPr>
      </w:pPr>
      <w:r>
        <w:rPr>
          <w:rFonts w:ascii="Times New Roman" w:eastAsia="Times New Roman" w:hAnsi="Times New Roman" w:cs="Times New Roman"/>
          <w:b/>
          <w:bCs/>
          <w:lang w:val="en-US"/>
        </w:rPr>
        <w:t>A tantárgy tananyagának leírása, tematika. Description of the subject, curriculum (magyarul, angolul - English):</w:t>
      </w:r>
    </w:p>
    <w:p w:rsidR="000414B9" w:rsidRDefault="000414B9" w:rsidP="00980876">
      <w:pPr>
        <w:widowControl w:val="0"/>
        <w:numPr>
          <w:ilvl w:val="1"/>
          <w:numId w:val="203"/>
        </w:numPr>
        <w:tabs>
          <w:tab w:val="num" w:pos="2069"/>
        </w:tabs>
        <w:spacing w:before="120" w:after="120" w:line="240" w:lineRule="auto"/>
        <w:ind w:left="993" w:hanging="567"/>
        <w:jc w:val="both"/>
        <w:rPr>
          <w:rFonts w:ascii="Times New Roman" w:eastAsia="Times New Roman" w:hAnsi="Times New Roman" w:cs="Times New Roman"/>
          <w:lang w:val="en-US"/>
        </w:rPr>
      </w:pPr>
      <w:r>
        <w:rPr>
          <w:rFonts w:ascii="Times New Roman" w:hAnsi="Times New Roman"/>
          <w:bCs/>
          <w:lang w:val="en-US"/>
        </w:rPr>
        <w:t>A Magyar Honvédség szervezeti struktúrája, alárendeltségi, utaltsági viszonyok, ellátási felelősségek</w:t>
      </w:r>
      <w:r>
        <w:rPr>
          <w:rFonts w:ascii="Times New Roman" w:hAnsi="Times New Roman"/>
          <w:lang w:val="en-US"/>
        </w:rPr>
        <w:t>.</w:t>
      </w:r>
      <w:r>
        <w:rPr>
          <w:rFonts w:ascii="Times New Roman" w:eastAsia="Times New Roman" w:hAnsi="Times New Roman" w:cs="Times New Roman"/>
          <w:lang w:val="en-US"/>
        </w:rPr>
        <w:t xml:space="preserve"> </w:t>
      </w:r>
      <w:r>
        <w:rPr>
          <w:rFonts w:ascii="Times New Roman" w:eastAsia="Times New Roman" w:hAnsi="Times New Roman" w:cs="Times New Roman"/>
          <w:i/>
          <w:lang w:val="en-US"/>
        </w:rPr>
        <w:t>(Command and control structure of the HDF.)</w:t>
      </w:r>
    </w:p>
    <w:p w:rsidR="000414B9" w:rsidRDefault="000414B9" w:rsidP="00980876">
      <w:pPr>
        <w:widowControl w:val="0"/>
        <w:numPr>
          <w:ilvl w:val="1"/>
          <w:numId w:val="203"/>
        </w:numPr>
        <w:tabs>
          <w:tab w:val="num" w:pos="2069"/>
        </w:tabs>
        <w:spacing w:before="120" w:after="120" w:line="240" w:lineRule="auto"/>
        <w:ind w:left="993" w:hanging="567"/>
        <w:jc w:val="both"/>
        <w:rPr>
          <w:rFonts w:ascii="Times New Roman" w:eastAsia="Times New Roman" w:hAnsi="Times New Roman" w:cs="Times New Roman"/>
          <w:lang w:val="en-US"/>
        </w:rPr>
      </w:pPr>
      <w:r>
        <w:rPr>
          <w:rFonts w:ascii="Times New Roman" w:hAnsi="Times New Roman" w:cs="Times New Roman"/>
          <w:bCs/>
          <w:lang w:val="en-US"/>
        </w:rPr>
        <w:t>Folyamatszervezés alapjai.</w:t>
      </w:r>
      <w:r>
        <w:rPr>
          <w:rFonts w:ascii="Times New Roman" w:hAnsi="Times New Roman" w:cs="Times New Roman"/>
          <w:lang w:val="en-US"/>
        </w:rPr>
        <w:t xml:space="preserve"> </w:t>
      </w:r>
      <w:r>
        <w:rPr>
          <w:rFonts w:ascii="Times New Roman" w:eastAsia="Times New Roman" w:hAnsi="Times New Roman" w:cs="Times New Roman"/>
          <w:i/>
          <w:lang w:val="en-US"/>
        </w:rPr>
        <w:t>(</w:t>
      </w:r>
      <w:r>
        <w:rPr>
          <w:rFonts w:ascii="Times New Roman" w:eastAsia="Times New Roman" w:hAnsi="Times New Roman" w:cs="Times New Roman"/>
          <w:bCs/>
          <w:i/>
          <w:lang w:val="en-US"/>
        </w:rPr>
        <w:t>Basics of process management.</w:t>
      </w:r>
      <w:r>
        <w:rPr>
          <w:rFonts w:ascii="Times New Roman" w:eastAsia="Times New Roman" w:hAnsi="Times New Roman" w:cs="Times New Roman"/>
          <w:i/>
          <w:lang w:val="en-US"/>
        </w:rPr>
        <w:t>)</w:t>
      </w:r>
    </w:p>
    <w:p w:rsidR="000414B9" w:rsidRDefault="000414B9" w:rsidP="00980876">
      <w:pPr>
        <w:widowControl w:val="0"/>
        <w:numPr>
          <w:ilvl w:val="1"/>
          <w:numId w:val="203"/>
        </w:numPr>
        <w:tabs>
          <w:tab w:val="num" w:pos="2069"/>
        </w:tabs>
        <w:spacing w:before="120" w:after="120" w:line="240" w:lineRule="auto"/>
        <w:ind w:left="993" w:hanging="567"/>
        <w:jc w:val="both"/>
        <w:rPr>
          <w:rFonts w:ascii="Times New Roman" w:eastAsia="Times New Roman" w:hAnsi="Times New Roman" w:cs="Times New Roman"/>
          <w:i/>
          <w:lang w:val="en-US"/>
        </w:rPr>
      </w:pPr>
      <w:r>
        <w:rPr>
          <w:rFonts w:ascii="Times New Roman" w:hAnsi="Times New Roman" w:cs="Times New Roman"/>
          <w:lang w:val="en-US"/>
        </w:rPr>
        <w:t xml:space="preserve">Folyamatszervezési szoftverek. </w:t>
      </w:r>
      <w:r>
        <w:rPr>
          <w:rFonts w:ascii="Times New Roman" w:eastAsia="Times New Roman" w:hAnsi="Times New Roman" w:cs="Times New Roman"/>
          <w:lang w:val="en-US"/>
        </w:rPr>
        <w:t xml:space="preserve"> </w:t>
      </w:r>
      <w:r>
        <w:rPr>
          <w:rFonts w:ascii="Times New Roman" w:eastAsia="Times New Roman" w:hAnsi="Times New Roman" w:cs="Times New Roman"/>
          <w:i/>
          <w:lang w:val="en-US"/>
        </w:rPr>
        <w:t>(Process management softwares</w:t>
      </w:r>
      <w:r>
        <w:rPr>
          <w:rFonts w:ascii="Times New Roman" w:eastAsia="Times New Roman" w:hAnsi="Times New Roman" w:cs="Times New Roman"/>
          <w:bCs/>
          <w:i/>
          <w:lang w:val="en-US"/>
        </w:rPr>
        <w:t>.</w:t>
      </w:r>
      <w:r>
        <w:rPr>
          <w:rFonts w:ascii="Times New Roman" w:eastAsia="Times New Roman" w:hAnsi="Times New Roman" w:cs="Times New Roman"/>
          <w:i/>
          <w:lang w:val="en-US"/>
        </w:rPr>
        <w:t>)</w:t>
      </w:r>
    </w:p>
    <w:p w:rsidR="000414B9" w:rsidRDefault="000414B9" w:rsidP="00980876">
      <w:pPr>
        <w:widowControl w:val="0"/>
        <w:numPr>
          <w:ilvl w:val="1"/>
          <w:numId w:val="203"/>
        </w:numPr>
        <w:tabs>
          <w:tab w:val="num" w:pos="2069"/>
        </w:tabs>
        <w:spacing w:before="120" w:after="120" w:line="240" w:lineRule="auto"/>
        <w:ind w:left="993" w:hanging="567"/>
        <w:jc w:val="both"/>
        <w:rPr>
          <w:rFonts w:ascii="Times New Roman" w:eastAsia="Times New Roman" w:hAnsi="Times New Roman" w:cs="Times New Roman"/>
          <w:i/>
          <w:lang w:val="en-US"/>
        </w:rPr>
      </w:pPr>
      <w:r>
        <w:rPr>
          <w:rFonts w:ascii="Times New Roman" w:eastAsia="Times New Roman" w:hAnsi="Times New Roman" w:cs="Times New Roman"/>
          <w:lang w:val="en-US"/>
        </w:rPr>
        <w:t xml:space="preserve">Értékláncok és ellátási láncok. Transznacionalizáció. </w:t>
      </w:r>
      <w:r>
        <w:rPr>
          <w:rFonts w:ascii="Times New Roman" w:eastAsia="Times New Roman" w:hAnsi="Times New Roman" w:cs="Times New Roman"/>
          <w:i/>
          <w:lang w:val="en-US"/>
        </w:rPr>
        <w:t>(Transnationalized supply and vale chains.)</w:t>
      </w:r>
    </w:p>
    <w:p w:rsidR="000414B9" w:rsidRDefault="000414B9" w:rsidP="00980876">
      <w:pPr>
        <w:widowControl w:val="0"/>
        <w:numPr>
          <w:ilvl w:val="1"/>
          <w:numId w:val="203"/>
        </w:numPr>
        <w:tabs>
          <w:tab w:val="num" w:pos="2069"/>
        </w:tabs>
        <w:spacing w:before="120" w:after="120" w:line="240" w:lineRule="auto"/>
        <w:ind w:left="993" w:hanging="567"/>
        <w:jc w:val="both"/>
        <w:rPr>
          <w:rFonts w:ascii="Times New Roman" w:eastAsia="Times New Roman" w:hAnsi="Times New Roman" w:cs="Times New Roman"/>
          <w:i/>
          <w:lang w:val="en-US"/>
        </w:rPr>
      </w:pPr>
      <w:r>
        <w:rPr>
          <w:rFonts w:ascii="Times New Roman" w:eastAsia="Times New Roman" w:hAnsi="Times New Roman" w:cs="Times New Roman"/>
          <w:lang w:val="en-US"/>
        </w:rPr>
        <w:t xml:space="preserve">Szolgáltatás típusok, szolgáltatás-menedzsment. </w:t>
      </w:r>
      <w:r>
        <w:rPr>
          <w:rFonts w:ascii="Times New Roman" w:eastAsia="Times New Roman" w:hAnsi="Times New Roman" w:cs="Times New Roman"/>
          <w:i/>
          <w:lang w:val="en-US"/>
        </w:rPr>
        <w:t>(Service types and service management.)</w:t>
      </w:r>
    </w:p>
    <w:p w:rsidR="000414B9" w:rsidRDefault="000414B9" w:rsidP="00980876">
      <w:pPr>
        <w:widowControl w:val="0"/>
        <w:numPr>
          <w:ilvl w:val="1"/>
          <w:numId w:val="203"/>
        </w:numPr>
        <w:tabs>
          <w:tab w:val="num" w:pos="2069"/>
        </w:tabs>
        <w:spacing w:before="120" w:after="120" w:line="240" w:lineRule="auto"/>
        <w:ind w:left="993" w:hanging="567"/>
        <w:jc w:val="both"/>
        <w:rPr>
          <w:rFonts w:ascii="Times New Roman" w:eastAsia="Times New Roman" w:hAnsi="Times New Roman" w:cs="Times New Roman"/>
          <w:i/>
          <w:lang w:val="en-US"/>
        </w:rPr>
      </w:pPr>
      <w:r>
        <w:rPr>
          <w:rFonts w:ascii="Times New Roman" w:eastAsia="Times New Roman" w:hAnsi="Times New Roman" w:cs="Times New Roman"/>
          <w:lang w:val="en-US"/>
        </w:rPr>
        <w:t>Civil és katonai ellátási lánc eltérő prioritásai</w:t>
      </w:r>
      <w:r>
        <w:rPr>
          <w:rFonts w:ascii="Times New Roman" w:eastAsia="Times New Roman" w:hAnsi="Times New Roman" w:cs="Times New Roman"/>
          <w:i/>
          <w:lang w:val="en-US"/>
        </w:rPr>
        <w:t>. (Differences between civilian and military supply chains.)</w:t>
      </w:r>
    </w:p>
    <w:p w:rsidR="000414B9" w:rsidRDefault="000414B9" w:rsidP="00980876">
      <w:pPr>
        <w:widowControl w:val="0"/>
        <w:numPr>
          <w:ilvl w:val="1"/>
          <w:numId w:val="203"/>
        </w:numPr>
        <w:tabs>
          <w:tab w:val="num" w:pos="2069"/>
        </w:tabs>
        <w:spacing w:before="120" w:after="120" w:line="240" w:lineRule="auto"/>
        <w:ind w:left="993" w:hanging="567"/>
        <w:jc w:val="both"/>
        <w:rPr>
          <w:rFonts w:ascii="Times New Roman" w:eastAsia="Times New Roman" w:hAnsi="Times New Roman" w:cs="Times New Roman"/>
          <w:i/>
          <w:lang w:val="en-US"/>
        </w:rPr>
      </w:pPr>
      <w:r>
        <w:rPr>
          <w:rFonts w:ascii="Times New Roman" w:eastAsia="Times New Roman" w:hAnsi="Times New Roman" w:cs="Times New Roman"/>
          <w:lang w:val="en-US"/>
        </w:rPr>
        <w:t xml:space="preserve">NATO ellátási lánc alapelvek. Szakágak és feladatköreik az MH-ban. </w:t>
      </w:r>
      <w:r>
        <w:rPr>
          <w:rFonts w:ascii="Times New Roman" w:eastAsia="Times New Roman" w:hAnsi="Times New Roman" w:cs="Times New Roman"/>
          <w:i/>
          <w:lang w:val="en-US"/>
        </w:rPr>
        <w:t>(Basic rules in NATO logistics.)</w:t>
      </w:r>
    </w:p>
    <w:p w:rsidR="000414B9" w:rsidRDefault="000414B9" w:rsidP="00980876">
      <w:pPr>
        <w:widowControl w:val="0"/>
        <w:numPr>
          <w:ilvl w:val="1"/>
          <w:numId w:val="203"/>
        </w:numPr>
        <w:tabs>
          <w:tab w:val="num" w:pos="2069"/>
        </w:tabs>
        <w:spacing w:before="120" w:after="120" w:line="240" w:lineRule="auto"/>
        <w:ind w:left="993" w:hanging="567"/>
        <w:jc w:val="both"/>
        <w:rPr>
          <w:rFonts w:ascii="Times New Roman" w:eastAsia="Times New Roman" w:hAnsi="Times New Roman" w:cs="Times New Roman"/>
          <w:i/>
          <w:lang w:val="en-US"/>
        </w:rPr>
      </w:pPr>
      <w:r>
        <w:rPr>
          <w:rFonts w:ascii="Times New Roman" w:eastAsia="Times New Roman" w:hAnsi="Times New Roman" w:cs="Times New Roman"/>
          <w:lang w:val="en-US"/>
        </w:rPr>
        <w:t xml:space="preserve">Békeellátás, nemzetközi műveleti ellátás, különleges jogrendi ellátás láncai. </w:t>
      </w:r>
      <w:r>
        <w:rPr>
          <w:rFonts w:ascii="Times New Roman" w:eastAsia="Times New Roman" w:hAnsi="Times New Roman" w:cs="Times New Roman"/>
          <w:i/>
          <w:lang w:val="en-US"/>
        </w:rPr>
        <w:t xml:space="preserve">(Military supply chains in peacetime, crisis time and in </w:t>
      </w:r>
      <w:r>
        <w:rPr>
          <w:rFonts w:ascii="Times New Roman" w:eastAsia="Times New Roman" w:hAnsi="Times New Roman" w:cs="Times New Roman"/>
          <w:i/>
        </w:rPr>
        <w:t xml:space="preserve">multinational </w:t>
      </w:r>
      <w:r>
        <w:rPr>
          <w:rFonts w:ascii="Times New Roman" w:eastAsia="Times New Roman" w:hAnsi="Times New Roman" w:cs="Times New Roman"/>
          <w:i/>
          <w:lang w:val="en-US"/>
        </w:rPr>
        <w:t>operations.)</w:t>
      </w:r>
    </w:p>
    <w:p w:rsidR="000414B9" w:rsidRDefault="000414B9" w:rsidP="00980876">
      <w:pPr>
        <w:widowControl w:val="0"/>
        <w:numPr>
          <w:ilvl w:val="1"/>
          <w:numId w:val="203"/>
        </w:numPr>
        <w:tabs>
          <w:tab w:val="num" w:pos="2069"/>
        </w:tabs>
        <w:spacing w:before="120" w:after="120" w:line="240" w:lineRule="auto"/>
        <w:ind w:left="993" w:hanging="567"/>
        <w:jc w:val="both"/>
        <w:rPr>
          <w:rFonts w:ascii="Times New Roman" w:eastAsia="Times New Roman" w:hAnsi="Times New Roman" w:cs="Times New Roman"/>
          <w:i/>
          <w:lang w:val="en-US"/>
        </w:rPr>
      </w:pPr>
      <w:r>
        <w:rPr>
          <w:rFonts w:ascii="Times New Roman" w:eastAsia="Times New Roman" w:hAnsi="Times New Roman" w:cs="Times New Roman"/>
          <w:lang w:val="en-US"/>
        </w:rPr>
        <w:t xml:space="preserve"> Belső ellátás kontra külső (szerződéses) ellátás. Előnyök – hátrányok. </w:t>
      </w:r>
      <w:r>
        <w:rPr>
          <w:rFonts w:ascii="Times New Roman" w:eastAsia="Times New Roman" w:hAnsi="Times New Roman" w:cs="Times New Roman"/>
          <w:i/>
          <w:lang w:val="en-US"/>
        </w:rPr>
        <w:t>(Insourcing or outsourcing. Advantages and backwards.)</w:t>
      </w:r>
    </w:p>
    <w:p w:rsidR="000414B9" w:rsidRDefault="000414B9" w:rsidP="00980876">
      <w:pPr>
        <w:widowControl w:val="0"/>
        <w:numPr>
          <w:ilvl w:val="1"/>
          <w:numId w:val="203"/>
        </w:numPr>
        <w:tabs>
          <w:tab w:val="num" w:pos="2069"/>
        </w:tabs>
        <w:spacing w:before="120" w:after="120" w:line="240" w:lineRule="auto"/>
        <w:ind w:left="993" w:hanging="567"/>
        <w:jc w:val="both"/>
        <w:rPr>
          <w:rFonts w:ascii="Times New Roman" w:eastAsia="Times New Roman" w:hAnsi="Times New Roman" w:cs="Times New Roman"/>
          <w:i/>
          <w:lang w:val="en-US"/>
        </w:rPr>
      </w:pPr>
      <w:r>
        <w:rPr>
          <w:rFonts w:ascii="Times New Roman" w:eastAsia="Times New Roman" w:hAnsi="Times New Roman" w:cs="Times New Roman"/>
          <w:lang w:val="en-US"/>
        </w:rPr>
        <w:lastRenderedPageBreak/>
        <w:t xml:space="preserve"> Szerződéses ellátás – kontraktor logisztika. Outsourcing megoldások. </w:t>
      </w:r>
      <w:r>
        <w:rPr>
          <w:rFonts w:ascii="Times New Roman" w:eastAsia="Times New Roman" w:hAnsi="Times New Roman" w:cs="Times New Roman"/>
          <w:i/>
          <w:lang w:val="en-US"/>
        </w:rPr>
        <w:t>(Contractor logistics, outsourcing solutions.)</w:t>
      </w:r>
    </w:p>
    <w:p w:rsidR="000414B9" w:rsidRDefault="000414B9" w:rsidP="00980876">
      <w:pPr>
        <w:widowControl w:val="0"/>
        <w:numPr>
          <w:ilvl w:val="0"/>
          <w:numId w:val="203"/>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 tantárgy meghirdetésének gyakorisága/a tantervben történő félévi elhelyezkedése: </w:t>
      </w:r>
      <w:r>
        <w:rPr>
          <w:rFonts w:ascii="Times New Roman" w:eastAsia="Times New Roman" w:hAnsi="Times New Roman" w:cs="Times New Roman"/>
          <w:bCs/>
        </w:rPr>
        <w:t>Minden tavaszi szemeszterben / 6. félév</w:t>
      </w:r>
    </w:p>
    <w:p w:rsidR="000414B9" w:rsidRDefault="000414B9" w:rsidP="00980876">
      <w:pPr>
        <w:widowControl w:val="0"/>
        <w:numPr>
          <w:ilvl w:val="0"/>
          <w:numId w:val="203"/>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tanórákon való részvétel követelményei, az elfogadható hiányzások mértéke, a távolmaradás pótlásának lehetősége:</w:t>
      </w:r>
      <w:r>
        <w:rPr>
          <w:rFonts w:ascii="Times New Roman" w:eastAsia="Times New Roman" w:hAnsi="Times New Roman" w:cs="Times New Roman"/>
          <w:bCs/>
        </w:rPr>
        <w:t xml:space="preserve"> A tanórákon való részvétel kötelező.</w:t>
      </w:r>
      <w:r>
        <w:rPr>
          <w:rFonts w:ascii="Times New Roman" w:eastAsia="Times New Roman" w:hAnsi="Times New Roman" w:cs="Times New Roman"/>
          <w:b/>
          <w:bCs/>
        </w:rPr>
        <w:t xml:space="preserve"> </w:t>
      </w:r>
      <w:r>
        <w:rPr>
          <w:rFonts w:ascii="Times New Roman" w:eastAsia="Times New Roman" w:hAnsi="Times New Roman" w:cs="Times New Roman"/>
          <w:bCs/>
        </w:rPr>
        <w:t xml:space="preserve">A félév elfogadásának feltétele a tanórák minimum 70%-án való részvétel. Ennél magasabb mértékű távolmaradás pótlása az oktató engedélyével történhet. </w:t>
      </w:r>
    </w:p>
    <w:p w:rsidR="000414B9" w:rsidRDefault="000414B9" w:rsidP="00980876">
      <w:pPr>
        <w:widowControl w:val="0"/>
        <w:numPr>
          <w:ilvl w:val="0"/>
          <w:numId w:val="203"/>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rPr>
        <w:t xml:space="preserve">Félévközi feladatok, ismeretek ellenőrzésének rendje: </w:t>
      </w:r>
      <w:r>
        <w:rPr>
          <w:rFonts w:ascii="Times New Roman" w:hAnsi="Times New Roman"/>
        </w:rPr>
        <w:t>A honvéd tisztjelöltek minden tárgykör feldolgozása után egyéni vagy csoportos házi feladatot kapnak, melynek ellenőrzése a következő tárgykör feldolgozása a szorgalmi időszak vége előtt megtörténik. A szemináriumra vitatémák kerülnek kiosztásra, a honvéd tisztjelölteknek a különböző szerepekre kell felkészülniük.</w:t>
      </w:r>
    </w:p>
    <w:p w:rsidR="000414B9" w:rsidRDefault="000414B9" w:rsidP="00980876">
      <w:pPr>
        <w:widowControl w:val="0"/>
        <w:numPr>
          <w:ilvl w:val="0"/>
          <w:numId w:val="203"/>
        </w:numPr>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Az értékelés, az aláírás és a kreditek megszerzésének pontos feltételei: </w:t>
      </w:r>
    </w:p>
    <w:p w:rsidR="000414B9" w:rsidRDefault="000414B9" w:rsidP="00980876">
      <w:pPr>
        <w:widowControl w:val="0"/>
        <w:numPr>
          <w:ilvl w:val="1"/>
          <w:numId w:val="203"/>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Az aláírás megszerzésének feltételei:</w:t>
      </w:r>
    </w:p>
    <w:p w:rsidR="000414B9" w:rsidRDefault="000414B9" w:rsidP="000414B9">
      <w:pPr>
        <w:widowControl w:val="0"/>
        <w:tabs>
          <w:tab w:val="left" w:pos="993"/>
        </w:tabs>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Az aláírás feltétele a tanórákon – 14. pontban meghatározott – részvétel, a félévközi feladatok megfelelő minőségű prezentálása, valamint a szemináriumi foglalkozáson történő részvétel.</w:t>
      </w:r>
    </w:p>
    <w:p w:rsidR="000414B9" w:rsidRDefault="000414B9" w:rsidP="00980876">
      <w:pPr>
        <w:widowControl w:val="0"/>
        <w:numPr>
          <w:ilvl w:val="1"/>
          <w:numId w:val="203"/>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Az értékelés:</w:t>
      </w:r>
    </w:p>
    <w:p w:rsidR="000414B9" w:rsidRDefault="000414B9" w:rsidP="000414B9">
      <w:pPr>
        <w:widowControl w:val="0"/>
        <w:tabs>
          <w:tab w:val="left" w:pos="993"/>
        </w:tabs>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Az évközi feladataikra a honvéd tisztjelöltek pontot kapnak, amely összeadódik az írásbeli vizsgán szerzett pontszámmal.</w:t>
      </w:r>
    </w:p>
    <w:p w:rsidR="000414B9" w:rsidRDefault="000414B9" w:rsidP="00980876">
      <w:pPr>
        <w:widowControl w:val="0"/>
        <w:numPr>
          <w:ilvl w:val="1"/>
          <w:numId w:val="203"/>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 kreditek megszerzésének feltételei:</w:t>
      </w:r>
      <w:r>
        <w:rPr>
          <w:rFonts w:ascii="Times New Roman" w:eastAsia="Times New Roman" w:hAnsi="Times New Roman" w:cs="Times New Roman"/>
        </w:rPr>
        <w:t xml:space="preserve"> </w:t>
      </w:r>
    </w:p>
    <w:p w:rsidR="000414B9" w:rsidRDefault="000414B9" w:rsidP="000414B9">
      <w:pPr>
        <w:widowControl w:val="0"/>
        <w:tabs>
          <w:tab w:val="left" w:pos="993"/>
        </w:tabs>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A kreditek megszerzése ötfokozatú értékeléssel záródó írásbeli vizsgán történik.</w:t>
      </w:r>
    </w:p>
    <w:p w:rsidR="000414B9" w:rsidRDefault="000414B9" w:rsidP="00980876">
      <w:pPr>
        <w:widowControl w:val="0"/>
        <w:numPr>
          <w:ilvl w:val="0"/>
          <w:numId w:val="203"/>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Irodalomjegyzék:</w:t>
      </w:r>
    </w:p>
    <w:p w:rsidR="000414B9" w:rsidRDefault="000414B9" w:rsidP="00980876">
      <w:pPr>
        <w:widowControl w:val="0"/>
        <w:numPr>
          <w:ilvl w:val="1"/>
          <w:numId w:val="203"/>
        </w:numPr>
        <w:tabs>
          <w:tab w:val="left" w:pos="567"/>
          <w:tab w:val="left" w:pos="851"/>
          <w:tab w:val="num" w:pos="2069"/>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Kötelező irodalom:</w:t>
      </w:r>
    </w:p>
    <w:p w:rsidR="00061759" w:rsidRPr="00061759" w:rsidRDefault="00061759" w:rsidP="00980876">
      <w:pPr>
        <w:pStyle w:val="Listaszerbekezds"/>
        <w:widowControl w:val="0"/>
        <w:numPr>
          <w:ilvl w:val="0"/>
          <w:numId w:val="202"/>
        </w:numPr>
        <w:spacing w:after="0" w:line="240" w:lineRule="auto"/>
        <w:jc w:val="both"/>
        <w:rPr>
          <w:rFonts w:ascii="Times New Roman" w:hAnsi="Times New Roman" w:cs="Times New Roman"/>
          <w:bCs/>
        </w:rPr>
      </w:pPr>
      <w:r w:rsidRPr="009773A4">
        <w:rPr>
          <w:rFonts w:ascii="Times New Roman" w:hAnsi="Times New Roman" w:cs="Times New Roman"/>
          <w:bCs/>
        </w:rPr>
        <w:t>Henczi Lajos – Murvai László</w:t>
      </w:r>
      <w:r>
        <w:rPr>
          <w:rFonts w:ascii="Times New Roman" w:hAnsi="Times New Roman" w:cs="Times New Roman"/>
          <w:bCs/>
        </w:rPr>
        <w:t>:</w:t>
      </w:r>
      <w:r w:rsidRPr="009773A4">
        <w:rPr>
          <w:rFonts w:ascii="Times New Roman" w:hAnsi="Times New Roman" w:cs="Times New Roman"/>
          <w:bCs/>
        </w:rPr>
        <w:t xml:space="preserve"> Projekttervezés és projektmenedzsment Saldo, 2012 ISBN: 9789636383992</w:t>
      </w:r>
    </w:p>
    <w:p w:rsidR="00061759" w:rsidRPr="00061759" w:rsidRDefault="00061759" w:rsidP="00980876">
      <w:pPr>
        <w:pStyle w:val="Listaszerbekezds"/>
        <w:widowControl w:val="0"/>
        <w:numPr>
          <w:ilvl w:val="0"/>
          <w:numId w:val="202"/>
        </w:numPr>
        <w:spacing w:after="0" w:line="240" w:lineRule="auto"/>
        <w:jc w:val="both"/>
        <w:rPr>
          <w:rFonts w:ascii="Times New Roman" w:hAnsi="Times New Roman" w:cs="Times New Roman"/>
          <w:bCs/>
        </w:rPr>
      </w:pPr>
      <w:r w:rsidRPr="00061759">
        <w:rPr>
          <w:rFonts w:ascii="Times New Roman" w:hAnsi="Times New Roman" w:cs="Times New Roman"/>
          <w:bCs/>
        </w:rPr>
        <w:t>Heidrich Balázs: Szolgáltatásmenedzsment Human Telex Consulting, Budapest, 2006. ISBN 963-229-812-8</w:t>
      </w:r>
    </w:p>
    <w:p w:rsidR="00061759" w:rsidRPr="00061759" w:rsidRDefault="00061759" w:rsidP="00980876">
      <w:pPr>
        <w:pStyle w:val="Listaszerbekezds"/>
        <w:widowControl w:val="0"/>
        <w:numPr>
          <w:ilvl w:val="0"/>
          <w:numId w:val="202"/>
        </w:numPr>
        <w:spacing w:after="0" w:line="240" w:lineRule="auto"/>
        <w:jc w:val="both"/>
        <w:rPr>
          <w:rFonts w:ascii="Times New Roman" w:hAnsi="Times New Roman" w:cs="Times New Roman"/>
          <w:bCs/>
        </w:rPr>
      </w:pPr>
      <w:r w:rsidRPr="00061759">
        <w:rPr>
          <w:rFonts w:ascii="Times New Roman" w:hAnsi="Times New Roman" w:cs="Times New Roman"/>
          <w:bCs/>
        </w:rPr>
        <w:t>KPMG tanácsadó Kft.: Logisztikai outsourcing Magyarországon Budapest, 2009</w:t>
      </w:r>
    </w:p>
    <w:p w:rsidR="00061759" w:rsidRPr="00061759" w:rsidRDefault="00061759" w:rsidP="00980876">
      <w:pPr>
        <w:pStyle w:val="Listaszerbekezds"/>
        <w:widowControl w:val="0"/>
        <w:numPr>
          <w:ilvl w:val="0"/>
          <w:numId w:val="202"/>
        </w:numPr>
        <w:spacing w:after="0" w:line="240" w:lineRule="auto"/>
        <w:jc w:val="both"/>
        <w:rPr>
          <w:rFonts w:ascii="Times New Roman" w:hAnsi="Times New Roman" w:cs="Times New Roman"/>
          <w:bCs/>
        </w:rPr>
      </w:pPr>
      <w:r w:rsidRPr="009773A4">
        <w:rPr>
          <w:rFonts w:ascii="Times New Roman" w:hAnsi="Times New Roman" w:cs="Times New Roman"/>
          <w:bCs/>
        </w:rPr>
        <w:t xml:space="preserve">NATO </w:t>
      </w:r>
      <w:r>
        <w:rPr>
          <w:rFonts w:ascii="Times New Roman" w:hAnsi="Times New Roman" w:cs="Times New Roman"/>
          <w:bCs/>
        </w:rPr>
        <w:t>Logisztikai Kézikönyv</w:t>
      </w:r>
    </w:p>
    <w:p w:rsidR="000414B9" w:rsidRDefault="000414B9" w:rsidP="00980876">
      <w:pPr>
        <w:widowControl w:val="0"/>
        <w:numPr>
          <w:ilvl w:val="1"/>
          <w:numId w:val="203"/>
        </w:numPr>
        <w:tabs>
          <w:tab w:val="num" w:pos="567"/>
          <w:tab w:val="num" w:pos="2069"/>
        </w:tabs>
        <w:spacing w:before="120" w:after="120" w:line="240" w:lineRule="auto"/>
        <w:ind w:left="993" w:hanging="709"/>
        <w:jc w:val="both"/>
        <w:rPr>
          <w:rFonts w:ascii="Times New Roman" w:eastAsia="Times New Roman" w:hAnsi="Times New Roman" w:cs="Times New Roman"/>
          <w:b/>
          <w:bCs/>
        </w:rPr>
      </w:pPr>
      <w:r>
        <w:rPr>
          <w:rFonts w:ascii="Times New Roman" w:eastAsia="Times New Roman" w:hAnsi="Times New Roman" w:cs="Times New Roman"/>
          <w:b/>
          <w:bCs/>
        </w:rPr>
        <w:t xml:space="preserve"> Ajánlott irodalom:</w:t>
      </w:r>
    </w:p>
    <w:p w:rsidR="000414B9" w:rsidRDefault="000414B9" w:rsidP="00980876">
      <w:pPr>
        <w:pStyle w:val="Listaszerbekezds"/>
        <w:widowControl w:val="0"/>
        <w:numPr>
          <w:ilvl w:val="0"/>
          <w:numId w:val="801"/>
        </w:numPr>
        <w:spacing w:after="0" w:line="240" w:lineRule="auto"/>
        <w:jc w:val="both"/>
        <w:rPr>
          <w:rFonts w:ascii="Times New Roman" w:eastAsia="Times New Roman" w:hAnsi="Times New Roman" w:cs="Times New Roman"/>
          <w:bCs/>
        </w:rPr>
      </w:pPr>
      <w:r>
        <w:rPr>
          <w:rFonts w:ascii="Times New Roman" w:hAnsi="Times New Roman" w:cs="Times New Roman"/>
          <w:bCs/>
        </w:rPr>
        <w:t>Hoffman István: Önkormányzati közszolgáltatások szervezése és igazgatása – Az elmélet és a gyakorlat tükrében ELTE Eötvös Kiadó, 2009 ISBN: 9789632840888</w:t>
      </w:r>
    </w:p>
    <w:p w:rsidR="000414B9" w:rsidRPr="00A55B23" w:rsidRDefault="000414B9" w:rsidP="00980876">
      <w:pPr>
        <w:pStyle w:val="Listaszerbekezds"/>
        <w:widowControl w:val="0"/>
        <w:numPr>
          <w:ilvl w:val="0"/>
          <w:numId w:val="801"/>
        </w:numPr>
        <w:spacing w:after="0" w:line="240" w:lineRule="auto"/>
        <w:jc w:val="both"/>
        <w:rPr>
          <w:rFonts w:ascii="Times New Roman" w:eastAsia="Times New Roman" w:hAnsi="Times New Roman" w:cs="Times New Roman"/>
          <w:bCs/>
        </w:rPr>
      </w:pPr>
      <w:r>
        <w:rPr>
          <w:rFonts w:ascii="Times New Roman" w:hAnsi="Times New Roman" w:cs="Times New Roman"/>
        </w:rPr>
        <w:t>Ballé, Michael – Ballé, Freddy: A tisztelet ereje – regény a lean szemléletű vezetésről Lean Enterprise Institute, 2015. ISBN: 9789631223576.</w:t>
      </w:r>
    </w:p>
    <w:p w:rsidR="00A55B23" w:rsidRPr="00A55B23" w:rsidRDefault="00A55B23" w:rsidP="00980876">
      <w:pPr>
        <w:pStyle w:val="Listaszerbekezds"/>
        <w:widowControl w:val="0"/>
        <w:numPr>
          <w:ilvl w:val="0"/>
          <w:numId w:val="801"/>
        </w:numPr>
        <w:spacing w:after="0" w:line="240" w:lineRule="auto"/>
        <w:jc w:val="both"/>
        <w:rPr>
          <w:rFonts w:ascii="Times New Roman" w:hAnsi="Times New Roman" w:cs="Times New Roman"/>
          <w:bCs/>
          <w:highlight w:val="yellow"/>
        </w:rPr>
      </w:pPr>
      <w:r w:rsidRPr="00A55B23">
        <w:rPr>
          <w:rFonts w:ascii="Times New Roman" w:hAnsi="Times New Roman" w:cs="Times New Roman"/>
          <w:bCs/>
          <w:highlight w:val="yellow"/>
        </w:rPr>
        <w:t>Gansler, J. S.: Democracy's Arsenal: Creating a Twenty-First-Century Defense Industry The MIT Press, 2011 ISBN: 9780262072991</w:t>
      </w:r>
    </w:p>
    <w:p w:rsidR="00A55B23" w:rsidRDefault="00A55B23" w:rsidP="00A55B23">
      <w:pPr>
        <w:pStyle w:val="Listaszerbekezds"/>
        <w:widowControl w:val="0"/>
        <w:spacing w:after="0" w:line="240" w:lineRule="auto"/>
        <w:jc w:val="both"/>
        <w:rPr>
          <w:rFonts w:ascii="Times New Roman" w:eastAsia="Times New Roman" w:hAnsi="Times New Roman" w:cs="Times New Roman"/>
          <w:bCs/>
        </w:rPr>
      </w:pPr>
    </w:p>
    <w:p w:rsidR="000414B9" w:rsidRDefault="000414B9" w:rsidP="000414B9">
      <w:pPr>
        <w:widowControl w:val="0"/>
        <w:spacing w:before="120" w:after="120" w:line="240" w:lineRule="auto"/>
        <w:jc w:val="both"/>
        <w:rPr>
          <w:rFonts w:ascii="Times New Roman" w:eastAsia="Times New Roman" w:hAnsi="Times New Roman" w:cs="Times New Roman"/>
          <w:bCs/>
        </w:rPr>
      </w:pPr>
      <w:r>
        <w:rPr>
          <w:rFonts w:ascii="Times New Roman" w:eastAsia="Times New Roman" w:hAnsi="Times New Roman" w:cs="Times New Roman"/>
          <w:bCs/>
        </w:rPr>
        <w:t>Budapest, 2020. január 22.</w:t>
      </w:r>
    </w:p>
    <w:p w:rsidR="000414B9" w:rsidRDefault="000414B9" w:rsidP="000414B9">
      <w:pPr>
        <w:widowControl w:val="0"/>
        <w:spacing w:before="120" w:after="120" w:line="240" w:lineRule="auto"/>
        <w:jc w:val="both"/>
        <w:rPr>
          <w:rFonts w:ascii="Times New Roman" w:eastAsia="Times New Roman" w:hAnsi="Times New Roman" w:cs="Times New Roman"/>
          <w:bCs/>
        </w:rPr>
      </w:pPr>
    </w:p>
    <w:p w:rsidR="000414B9" w:rsidRPr="000414B9" w:rsidRDefault="000414B9" w:rsidP="000414B9">
      <w:pPr>
        <w:widowControl w:val="0"/>
        <w:spacing w:after="0" w:line="240" w:lineRule="auto"/>
        <w:jc w:val="right"/>
        <w:rPr>
          <w:rFonts w:ascii="Times New Roman" w:hAnsi="Times New Roman" w:cs="Times New Roman"/>
          <w:b/>
          <w:bCs/>
        </w:rPr>
      </w:pPr>
      <w:r w:rsidRPr="000414B9">
        <w:rPr>
          <w:rFonts w:ascii="Times New Roman" w:hAnsi="Times New Roman" w:cs="Times New Roman"/>
          <w:b/>
          <w:bCs/>
        </w:rPr>
        <w:t>Dr. Taksás Balázs százados PhD</w:t>
      </w:r>
    </w:p>
    <w:p w:rsidR="000414B9" w:rsidRDefault="000414B9" w:rsidP="000414B9">
      <w:pPr>
        <w:widowControl w:val="0"/>
        <w:spacing w:after="0" w:line="240" w:lineRule="auto"/>
        <w:jc w:val="center"/>
        <w:rPr>
          <w:rFonts w:ascii="Times New Roman" w:eastAsia="Times New Roman" w:hAnsi="Times New Roman" w:cs="Times New Roman"/>
          <w:bCs/>
        </w:rPr>
      </w:pPr>
      <w:r>
        <w:rPr>
          <w:rFonts w:ascii="Times New Roman" w:hAnsi="Times New Roman" w:cs="Times New Roman"/>
          <w:bCs/>
        </w:rPr>
        <w:t xml:space="preserve">                                                                                                                egyetemi docens</w:t>
      </w:r>
    </w:p>
    <w:p w:rsidR="004829FA" w:rsidRDefault="004829FA" w:rsidP="004829FA">
      <w:pPr>
        <w:rPr>
          <w:rFonts w:ascii="Times New Roman" w:hAnsi="Times New Roman" w:cs="Times New Roman"/>
        </w:rPr>
      </w:pPr>
    </w:p>
    <w:p w:rsidR="000414B9" w:rsidRDefault="000414B9">
      <w:pPr>
        <w:spacing w:after="200" w:line="276" w:lineRule="auto"/>
        <w:rPr>
          <w:rFonts w:ascii="Times New Roman" w:hAnsi="Times New Roman" w:cs="Times New Roman"/>
          <w:sz w:val="24"/>
        </w:rPr>
      </w:pPr>
      <w:r>
        <w:rPr>
          <w:rFonts w:ascii="Times New Roman" w:hAnsi="Times New Roman" w:cs="Times New Roman"/>
          <w:sz w:val="24"/>
        </w:rPr>
        <w:br w:type="page"/>
      </w:r>
    </w:p>
    <w:tbl>
      <w:tblPr>
        <w:tblW w:w="9072" w:type="dxa"/>
        <w:tblInd w:w="113" w:type="dxa"/>
        <w:tblLook w:val="01E0" w:firstRow="1" w:lastRow="1" w:firstColumn="1" w:lastColumn="1" w:noHBand="0" w:noVBand="0"/>
      </w:tblPr>
      <w:tblGrid>
        <w:gridCol w:w="4855"/>
        <w:gridCol w:w="1620"/>
        <w:gridCol w:w="2597"/>
      </w:tblGrid>
      <w:tr w:rsidR="000414B9" w:rsidTr="000414B9">
        <w:tc>
          <w:tcPr>
            <w:tcW w:w="4855" w:type="dxa"/>
            <w:tcBorders>
              <w:top w:val="nil"/>
              <w:left w:val="nil"/>
              <w:bottom w:val="single" w:sz="4" w:space="0" w:color="auto"/>
              <w:right w:val="nil"/>
            </w:tcBorders>
            <w:hideMark/>
          </w:tcPr>
          <w:p w:rsidR="000414B9" w:rsidRDefault="000414B9">
            <w:pPr>
              <w:spacing w:after="0" w:line="240" w:lineRule="auto"/>
              <w:jc w:val="center"/>
              <w:rPr>
                <w:rFonts w:ascii="Times New Roman" w:eastAsia="Times New Roman" w:hAnsi="Times New Roman" w:cs="Times New Roman"/>
                <w:b/>
                <w:smallCaps/>
                <w:lang w:eastAsia="hu-HU"/>
              </w:rPr>
            </w:pPr>
            <w:r>
              <w:rPr>
                <w:rFonts w:ascii="Times New Roman" w:eastAsia="Times New Roman" w:hAnsi="Times New Roman" w:cs="Times New Roman"/>
                <w:b/>
                <w:smallCaps/>
                <w:lang w:eastAsia="hu-HU"/>
              </w:rPr>
              <w:lastRenderedPageBreak/>
              <w:t>Nemzeti Közszolgálati Egyetem</w:t>
            </w:r>
          </w:p>
        </w:tc>
        <w:tc>
          <w:tcPr>
            <w:tcW w:w="1620" w:type="dxa"/>
          </w:tcPr>
          <w:p w:rsidR="000414B9" w:rsidRDefault="000414B9">
            <w:pPr>
              <w:spacing w:after="0" w:line="240" w:lineRule="auto"/>
              <w:jc w:val="both"/>
              <w:rPr>
                <w:rFonts w:ascii="Times New Roman" w:eastAsia="Times New Roman" w:hAnsi="Times New Roman" w:cs="Times New Roman"/>
                <w:lang w:eastAsia="hu-HU"/>
              </w:rPr>
            </w:pPr>
          </w:p>
        </w:tc>
        <w:tc>
          <w:tcPr>
            <w:tcW w:w="2597" w:type="dxa"/>
          </w:tcPr>
          <w:p w:rsidR="000414B9" w:rsidRDefault="000414B9">
            <w:pPr>
              <w:spacing w:after="0" w:line="240" w:lineRule="auto"/>
              <w:jc w:val="right"/>
              <w:rPr>
                <w:rFonts w:ascii="Times New Roman" w:eastAsia="Times New Roman" w:hAnsi="Times New Roman" w:cs="Times New Roman"/>
                <w:lang w:eastAsia="hu-HU"/>
              </w:rPr>
            </w:pPr>
          </w:p>
        </w:tc>
      </w:tr>
      <w:tr w:rsidR="000414B9" w:rsidTr="000414B9">
        <w:tc>
          <w:tcPr>
            <w:tcW w:w="4855" w:type="dxa"/>
            <w:tcBorders>
              <w:top w:val="single" w:sz="4" w:space="0" w:color="auto"/>
              <w:left w:val="nil"/>
              <w:bottom w:val="nil"/>
              <w:right w:val="nil"/>
            </w:tcBorders>
            <w:hideMark/>
          </w:tcPr>
          <w:p w:rsidR="000414B9" w:rsidRDefault="000414B9">
            <w:pPr>
              <w:spacing w:after="0" w:line="240" w:lineRule="auto"/>
              <w:jc w:val="center"/>
              <w:rPr>
                <w:rFonts w:ascii="Times New Roman" w:eastAsia="Times New Roman" w:hAnsi="Times New Roman" w:cs="Times New Roman"/>
                <w:b/>
                <w:lang w:eastAsia="hu-HU"/>
              </w:rPr>
            </w:pPr>
            <w:r>
              <w:rPr>
                <w:rFonts w:ascii="Times New Roman" w:eastAsia="Times New Roman" w:hAnsi="Times New Roman" w:cs="Times New Roman"/>
                <w:b/>
                <w:lang w:eastAsia="hu-HU"/>
              </w:rPr>
              <w:t>Hadtudományi és Honvédtisztképző Kar</w:t>
            </w:r>
          </w:p>
        </w:tc>
        <w:tc>
          <w:tcPr>
            <w:tcW w:w="1620" w:type="dxa"/>
          </w:tcPr>
          <w:p w:rsidR="000414B9" w:rsidRDefault="000414B9">
            <w:pPr>
              <w:spacing w:after="0" w:line="240" w:lineRule="auto"/>
              <w:jc w:val="both"/>
              <w:rPr>
                <w:rFonts w:ascii="Times New Roman" w:eastAsia="Times New Roman" w:hAnsi="Times New Roman" w:cs="Times New Roman"/>
                <w:lang w:eastAsia="hu-HU"/>
              </w:rPr>
            </w:pPr>
          </w:p>
        </w:tc>
        <w:tc>
          <w:tcPr>
            <w:tcW w:w="2597" w:type="dxa"/>
          </w:tcPr>
          <w:p w:rsidR="000414B9" w:rsidRDefault="000414B9">
            <w:pPr>
              <w:spacing w:after="0" w:line="240" w:lineRule="auto"/>
              <w:jc w:val="both"/>
              <w:rPr>
                <w:rFonts w:ascii="Times New Roman" w:eastAsia="Times New Roman" w:hAnsi="Times New Roman" w:cs="Times New Roman"/>
                <w:lang w:eastAsia="hu-HU"/>
              </w:rPr>
            </w:pPr>
          </w:p>
        </w:tc>
      </w:tr>
    </w:tbl>
    <w:p w:rsidR="000414B9" w:rsidRDefault="000414B9" w:rsidP="000414B9">
      <w:pPr>
        <w:widowControl w:val="0"/>
        <w:spacing w:before="120" w:after="120" w:line="240" w:lineRule="auto"/>
        <w:ind w:left="426" w:hanging="142"/>
        <w:jc w:val="center"/>
        <w:rPr>
          <w:rFonts w:ascii="Times New Roman" w:eastAsia="Times New Roman" w:hAnsi="Times New Roman" w:cs="Times New Roman"/>
          <w:b/>
          <w:bCs/>
        </w:rPr>
      </w:pPr>
    </w:p>
    <w:p w:rsidR="000414B9" w:rsidRDefault="000414B9" w:rsidP="000414B9">
      <w:pPr>
        <w:widowControl w:val="0"/>
        <w:spacing w:before="120" w:after="120" w:line="240" w:lineRule="auto"/>
        <w:ind w:left="426" w:hanging="142"/>
        <w:jc w:val="center"/>
        <w:rPr>
          <w:rFonts w:ascii="Times New Roman" w:eastAsia="Times New Roman" w:hAnsi="Times New Roman" w:cs="Times New Roman"/>
          <w:b/>
          <w:bCs/>
        </w:rPr>
      </w:pPr>
      <w:r>
        <w:rPr>
          <w:rFonts w:ascii="Times New Roman" w:eastAsia="Times New Roman" w:hAnsi="Times New Roman" w:cs="Times New Roman"/>
          <w:b/>
          <w:bCs/>
        </w:rPr>
        <w:t>TANTÁRGYI PROGRAM</w:t>
      </w:r>
    </w:p>
    <w:p w:rsidR="000414B9" w:rsidRDefault="000414B9" w:rsidP="00980876">
      <w:pPr>
        <w:widowControl w:val="0"/>
        <w:numPr>
          <w:ilvl w:val="0"/>
          <w:numId w:val="204"/>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 tantárgy kódja: </w:t>
      </w:r>
      <w:r>
        <w:rPr>
          <w:rFonts w:ascii="Times New Roman" w:hAnsi="Times New Roman" w:cs="Times New Roman"/>
          <w:bCs/>
        </w:rPr>
        <w:t>HKHPKA107</w:t>
      </w:r>
    </w:p>
    <w:p w:rsidR="000414B9" w:rsidRDefault="000414B9" w:rsidP="00980876">
      <w:pPr>
        <w:widowControl w:val="0"/>
        <w:numPr>
          <w:ilvl w:val="0"/>
          <w:numId w:val="204"/>
        </w:numPr>
        <w:spacing w:before="120" w:after="120" w:line="240" w:lineRule="auto"/>
        <w:ind w:left="426" w:hanging="142"/>
        <w:jc w:val="both"/>
        <w:rPr>
          <w:rFonts w:ascii="Times New Roman" w:eastAsia="Times New Roman" w:hAnsi="Times New Roman" w:cs="Times New Roman"/>
          <w:b/>
          <w:bCs/>
          <w:lang w:val="en-GB"/>
        </w:rPr>
      </w:pPr>
      <w:r>
        <w:rPr>
          <w:rFonts w:ascii="Times New Roman" w:eastAsia="Times New Roman" w:hAnsi="Times New Roman" w:cs="Times New Roman"/>
          <w:b/>
          <w:bCs/>
        </w:rPr>
        <w:t>A tantárgy megnevezése (magyarul):</w:t>
      </w:r>
      <w:r>
        <w:rPr>
          <w:rFonts w:ascii="Times New Roman" w:eastAsia="Times New Roman" w:hAnsi="Times New Roman" w:cs="Times New Roman"/>
          <w:bCs/>
        </w:rPr>
        <w:t xml:space="preserve"> </w:t>
      </w:r>
      <w:r>
        <w:rPr>
          <w:rFonts w:ascii="Times New Roman" w:hAnsi="Times New Roman" w:cs="Times New Roman"/>
          <w:bCs/>
        </w:rPr>
        <w:t>Katonai erőforrás- és környezetgazdaságtan</w:t>
      </w:r>
    </w:p>
    <w:p w:rsidR="000414B9" w:rsidRDefault="000414B9" w:rsidP="00980876">
      <w:pPr>
        <w:pStyle w:val="lfej"/>
        <w:numPr>
          <w:ilvl w:val="0"/>
          <w:numId w:val="204"/>
        </w:numPr>
        <w:tabs>
          <w:tab w:val="clear" w:pos="720"/>
          <w:tab w:val="num" w:pos="644"/>
          <w:tab w:val="right" w:pos="900"/>
        </w:tabs>
        <w:spacing w:before="120"/>
        <w:ind w:left="426" w:hanging="142"/>
        <w:jc w:val="both"/>
        <w:rPr>
          <w:rFonts w:ascii="Times New Roman" w:hAnsi="Times New Roman" w:cs="Times New Roman"/>
          <w:bCs/>
        </w:rPr>
      </w:pPr>
      <w:r>
        <w:rPr>
          <w:rFonts w:ascii="Times New Roman" w:eastAsia="Times New Roman" w:hAnsi="Times New Roman" w:cs="Times New Roman"/>
          <w:b/>
          <w:bCs/>
        </w:rPr>
        <w:t xml:space="preserve">A tantárgy megnevezése (angolul): </w:t>
      </w:r>
      <w:r>
        <w:rPr>
          <w:rFonts w:ascii="Times New Roman" w:hAnsi="Times New Roman" w:cs="Times New Roman"/>
          <w:bCs/>
        </w:rPr>
        <w:t xml:space="preserve">Military Resourse and Environmental Economics </w:t>
      </w:r>
    </w:p>
    <w:p w:rsidR="000414B9" w:rsidRDefault="000414B9" w:rsidP="00980876">
      <w:pPr>
        <w:widowControl w:val="0"/>
        <w:numPr>
          <w:ilvl w:val="0"/>
          <w:numId w:val="204"/>
        </w:numPr>
        <w:tabs>
          <w:tab w:val="num" w:pos="567"/>
        </w:tabs>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Kreditérték és képzési karakter: </w:t>
      </w:r>
    </w:p>
    <w:p w:rsidR="000414B9" w:rsidRDefault="000414B9" w:rsidP="00980876">
      <w:pPr>
        <w:pStyle w:val="Listaszerbekezds"/>
        <w:widowControl w:val="0"/>
        <w:numPr>
          <w:ilvl w:val="1"/>
          <w:numId w:val="204"/>
        </w:numPr>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2 kredit</w:t>
      </w:r>
    </w:p>
    <w:p w:rsidR="000414B9" w:rsidRDefault="000414B9" w:rsidP="00980876">
      <w:pPr>
        <w:pStyle w:val="Listaszerbekezds"/>
        <w:widowControl w:val="0"/>
        <w:numPr>
          <w:ilvl w:val="1"/>
          <w:numId w:val="204"/>
        </w:numPr>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a tantárgy elméleti vagy gyakorlati jellegének mértéke: 50</w:t>
      </w:r>
      <w:r>
        <w:rPr>
          <w:rFonts w:ascii="Times New Roman" w:eastAsia="Times New Roman" w:hAnsi="Times New Roman" w:cs="Times New Roman"/>
          <w:b/>
          <w:bCs/>
        </w:rPr>
        <w:t xml:space="preserve"> </w:t>
      </w:r>
      <w:r>
        <w:rPr>
          <w:rFonts w:ascii="Times New Roman" w:eastAsia="Times New Roman" w:hAnsi="Times New Roman" w:cs="Times New Roman"/>
          <w:bCs/>
        </w:rPr>
        <w:t>% gyakorlat, 50 % elmélet</w:t>
      </w:r>
    </w:p>
    <w:p w:rsidR="000414B9" w:rsidRDefault="000414B9" w:rsidP="00980876">
      <w:pPr>
        <w:widowControl w:val="0"/>
        <w:numPr>
          <w:ilvl w:val="0"/>
          <w:numId w:val="204"/>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szak(ok), szakirányok/specializációk megnevezése (ahol oktatják):</w:t>
      </w:r>
      <w:r>
        <w:rPr>
          <w:rFonts w:ascii="Times New Roman" w:eastAsia="Times New Roman" w:hAnsi="Times New Roman" w:cs="Times New Roman"/>
          <w:bCs/>
        </w:rPr>
        <w:t xml:space="preserve"> </w:t>
      </w:r>
      <w:r>
        <w:rPr>
          <w:rFonts w:ascii="Times New Roman" w:hAnsi="Times New Roman" w:cs="Times New Roman"/>
          <w:bCs/>
        </w:rPr>
        <w:t>Katonai logisztika alapképzési (</w:t>
      </w:r>
      <w:r w:rsidR="00137B8A">
        <w:rPr>
          <w:rFonts w:ascii="Times New Roman" w:hAnsi="Times New Roman" w:cs="Times New Roman"/>
          <w:bCs/>
        </w:rPr>
        <w:t>BSc</w:t>
      </w:r>
      <w:r>
        <w:rPr>
          <w:rFonts w:ascii="Times New Roman" w:hAnsi="Times New Roman" w:cs="Times New Roman"/>
          <w:bCs/>
        </w:rPr>
        <w:t>) szak, Hadtáp specializáció</w:t>
      </w:r>
    </w:p>
    <w:p w:rsidR="000414B9" w:rsidRDefault="000414B9" w:rsidP="00980876">
      <w:pPr>
        <w:widowControl w:val="0"/>
        <w:numPr>
          <w:ilvl w:val="0"/>
          <w:numId w:val="204"/>
        </w:numPr>
        <w:tabs>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Az oktatásért felelős oktatási szervezeti egység megnevezése: </w:t>
      </w:r>
      <w:r>
        <w:rPr>
          <w:rFonts w:ascii="Times New Roman" w:hAnsi="Times New Roman" w:cs="Times New Roman"/>
          <w:bCs/>
        </w:rPr>
        <w:t>NKE HHK Hadtáp, Pénzügyi és Katonai Közlekedési Tanszék</w:t>
      </w:r>
    </w:p>
    <w:p w:rsidR="000414B9" w:rsidRDefault="000414B9" w:rsidP="00980876">
      <w:pPr>
        <w:widowControl w:val="0"/>
        <w:numPr>
          <w:ilvl w:val="0"/>
          <w:numId w:val="204"/>
        </w:numPr>
        <w:tabs>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tantárgyfelelős oktató neve, beosztása, tudományos fokozata:</w:t>
      </w:r>
      <w:r>
        <w:rPr>
          <w:rFonts w:ascii="Times New Roman" w:eastAsia="Times New Roman" w:hAnsi="Times New Roman" w:cs="Times New Roman"/>
          <w:bCs/>
        </w:rPr>
        <w:t xml:space="preserve"> </w:t>
      </w:r>
      <w:r>
        <w:rPr>
          <w:rFonts w:ascii="Times New Roman" w:hAnsi="Times New Roman" w:cs="Times New Roman"/>
          <w:bCs/>
        </w:rPr>
        <w:t>Dr. Taksás Balázs százados, egyetemi docens, PhD</w:t>
      </w:r>
    </w:p>
    <w:p w:rsidR="000414B9" w:rsidRDefault="000414B9" w:rsidP="00980876">
      <w:pPr>
        <w:widowControl w:val="0"/>
        <w:numPr>
          <w:ilvl w:val="0"/>
          <w:numId w:val="204"/>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tanórák száma és típusa</w:t>
      </w:r>
    </w:p>
    <w:p w:rsidR="000414B9" w:rsidRDefault="000414B9" w:rsidP="00980876">
      <w:pPr>
        <w:widowControl w:val="0"/>
        <w:numPr>
          <w:ilvl w:val="1"/>
          <w:numId w:val="204"/>
        </w:numPr>
        <w:tabs>
          <w:tab w:val="num" w:pos="709"/>
          <w:tab w:val="num" w:pos="2069"/>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össz óraszám/félév:</w:t>
      </w:r>
    </w:p>
    <w:p w:rsidR="000414B9" w:rsidRDefault="000414B9" w:rsidP="00980876">
      <w:pPr>
        <w:widowControl w:val="0"/>
        <w:numPr>
          <w:ilvl w:val="2"/>
          <w:numId w:val="204"/>
        </w:numPr>
        <w:tabs>
          <w:tab w:val="num" w:pos="709"/>
          <w:tab w:val="num" w:pos="1134"/>
        </w:tabs>
        <w:spacing w:before="120" w:after="120" w:line="240" w:lineRule="auto"/>
        <w:ind w:left="993" w:hanging="425"/>
        <w:jc w:val="both"/>
        <w:rPr>
          <w:rFonts w:ascii="Times New Roman" w:eastAsia="Times New Roman" w:hAnsi="Times New Roman" w:cs="Times New Roman"/>
          <w:bCs/>
        </w:rPr>
      </w:pPr>
      <w:r>
        <w:rPr>
          <w:rFonts w:ascii="Times New Roman" w:eastAsia="Times New Roman" w:hAnsi="Times New Roman" w:cs="Times New Roman"/>
          <w:bCs/>
        </w:rPr>
        <w:t>nappali munkarend: 28 (14 EA + 0 SZ + 14 GY)</w:t>
      </w:r>
    </w:p>
    <w:p w:rsidR="000414B9" w:rsidRDefault="000414B9" w:rsidP="00980876">
      <w:pPr>
        <w:widowControl w:val="0"/>
        <w:numPr>
          <w:ilvl w:val="2"/>
          <w:numId w:val="204"/>
        </w:numPr>
        <w:tabs>
          <w:tab w:val="num" w:pos="709"/>
          <w:tab w:val="num" w:pos="1134"/>
        </w:tabs>
        <w:spacing w:before="120" w:after="120" w:line="240" w:lineRule="auto"/>
        <w:ind w:left="993" w:hanging="425"/>
        <w:jc w:val="both"/>
        <w:rPr>
          <w:rFonts w:ascii="Times New Roman" w:eastAsia="Times New Roman" w:hAnsi="Times New Roman" w:cs="Times New Roman"/>
          <w:bCs/>
        </w:rPr>
      </w:pPr>
      <w:r>
        <w:rPr>
          <w:rFonts w:ascii="Times New Roman" w:eastAsia="Times New Roman" w:hAnsi="Times New Roman" w:cs="Times New Roman"/>
          <w:bCs/>
        </w:rPr>
        <w:t>levelező munkarend: -</w:t>
      </w:r>
    </w:p>
    <w:p w:rsidR="000414B9" w:rsidRDefault="000414B9" w:rsidP="00980876">
      <w:pPr>
        <w:widowControl w:val="0"/>
        <w:numPr>
          <w:ilvl w:val="1"/>
          <w:numId w:val="204"/>
        </w:numPr>
        <w:tabs>
          <w:tab w:val="num" w:pos="709"/>
          <w:tab w:val="num" w:pos="2069"/>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heti óraszám - nappali munkarend: 2</w:t>
      </w:r>
    </w:p>
    <w:p w:rsidR="000414B9" w:rsidRDefault="000414B9" w:rsidP="00980876">
      <w:pPr>
        <w:widowControl w:val="0"/>
        <w:numPr>
          <w:ilvl w:val="1"/>
          <w:numId w:val="204"/>
        </w:numPr>
        <w:tabs>
          <w:tab w:val="num" w:pos="709"/>
          <w:tab w:val="num" w:pos="2069"/>
        </w:tabs>
        <w:spacing w:before="120" w:after="120" w:line="240" w:lineRule="auto"/>
        <w:ind w:left="851" w:hanging="425"/>
        <w:jc w:val="both"/>
        <w:rPr>
          <w:rFonts w:ascii="Times New Roman" w:eastAsia="Times New Roman" w:hAnsi="Times New Roman" w:cs="Times New Roman"/>
          <w:bCs/>
        </w:rPr>
      </w:pPr>
      <w:r>
        <w:rPr>
          <w:rFonts w:ascii="Times New Roman" w:hAnsi="Times New Roman" w:cs="Times New Roman"/>
        </w:rPr>
        <w:t>Az ismeret átadásában alkalmazandó további sajátos módok, jellemzők:</w:t>
      </w:r>
      <w:r>
        <w:rPr>
          <w:rFonts w:ascii="Times New Roman" w:hAnsi="Times New Roman" w:cs="Times New Roman"/>
          <w:i/>
        </w:rPr>
        <w:t xml:space="preserve"> –</w:t>
      </w:r>
    </w:p>
    <w:p w:rsidR="000414B9" w:rsidRDefault="000414B9" w:rsidP="00980876">
      <w:pPr>
        <w:widowControl w:val="0"/>
        <w:numPr>
          <w:ilvl w:val="0"/>
          <w:numId w:val="204"/>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tantárgy szakmai tartalma (magyarul):</w:t>
      </w:r>
      <w:r>
        <w:rPr>
          <w:rFonts w:ascii="Times New Roman" w:eastAsia="Times New Roman" w:hAnsi="Times New Roman" w:cs="Times New Roman"/>
          <w:bCs/>
        </w:rPr>
        <w:t xml:space="preserve"> </w:t>
      </w:r>
      <w:r>
        <w:rPr>
          <w:rFonts w:ascii="Times New Roman" w:hAnsi="Times New Roman" w:cs="Times New Roman"/>
          <w:bCs/>
        </w:rPr>
        <w:t>A tantárgy a katonai ellátás működtetéséhez szükséges erőforrások, alapanyagok, késztermékek beszerzési forrásainak megismertetésével, valamint a katonai ellátás környezetre gyakorolt hatásaival foglalkozik.</w:t>
      </w:r>
    </w:p>
    <w:p w:rsidR="000414B9" w:rsidRDefault="000414B9" w:rsidP="000414B9">
      <w:pPr>
        <w:widowControl w:val="0"/>
        <w:spacing w:before="120" w:after="120" w:line="240" w:lineRule="auto"/>
        <w:ind w:left="426"/>
        <w:jc w:val="both"/>
        <w:rPr>
          <w:rFonts w:ascii="Times New Roman" w:eastAsia="Times New Roman" w:hAnsi="Times New Roman" w:cs="Times New Roman"/>
          <w:bCs/>
          <w:lang w:val="en-US"/>
        </w:rPr>
      </w:pPr>
      <w:r>
        <w:rPr>
          <w:rFonts w:ascii="Times New Roman" w:eastAsia="Times New Roman" w:hAnsi="Times New Roman" w:cs="Times New Roman"/>
          <w:b/>
          <w:bCs/>
        </w:rPr>
        <w:t>A tantárgy szakmai tartalma (angolul) (</w:t>
      </w:r>
      <w:r>
        <w:rPr>
          <w:rFonts w:ascii="Times New Roman" w:eastAsia="Times New Roman" w:hAnsi="Times New Roman" w:cs="Times New Roman"/>
          <w:b/>
          <w:bCs/>
          <w:lang w:val="en-US"/>
        </w:rPr>
        <w:t>Course description</w:t>
      </w:r>
      <w:r>
        <w:rPr>
          <w:rFonts w:ascii="Times New Roman" w:eastAsia="Times New Roman" w:hAnsi="Times New Roman" w:cs="Times New Roman"/>
          <w:b/>
          <w:bCs/>
        </w:rPr>
        <w:t xml:space="preserve">): </w:t>
      </w:r>
      <w:r>
        <w:rPr>
          <w:rFonts w:ascii="Times New Roman" w:hAnsi="Times New Roman" w:cs="Times New Roman"/>
          <w:bCs/>
        </w:rPr>
        <w:t>The subject presents the possible domestic sources of resources, materials, services and products needed for the functioning of military supply, and also with the environmental effects of military supply processes</w:t>
      </w:r>
      <w:r>
        <w:rPr>
          <w:rFonts w:ascii="Times New Roman" w:hAnsi="Times New Roman" w:cs="Times New Roman"/>
          <w:bCs/>
          <w:lang w:val="en-US"/>
        </w:rPr>
        <w:t xml:space="preserve">. </w:t>
      </w:r>
    </w:p>
    <w:p w:rsidR="000414B9" w:rsidRDefault="000414B9" w:rsidP="00980876">
      <w:pPr>
        <w:pStyle w:val="Listaszerbekezds"/>
        <w:widowControl w:val="0"/>
        <w:numPr>
          <w:ilvl w:val="0"/>
          <w:numId w:val="204"/>
        </w:numPr>
        <w:spacing w:before="120" w:after="120" w:line="240" w:lineRule="auto"/>
        <w:ind w:left="499" w:hanging="142"/>
        <w:jc w:val="both"/>
        <w:rPr>
          <w:rFonts w:ascii="Times New Roman" w:eastAsia="Times New Roman" w:hAnsi="Times New Roman" w:cs="Times New Roman"/>
          <w:bCs/>
        </w:rPr>
      </w:pPr>
      <w:r>
        <w:rPr>
          <w:rFonts w:ascii="Times New Roman" w:eastAsia="Times New Roman" w:hAnsi="Times New Roman" w:cs="Times New Roman"/>
          <w:b/>
          <w:bCs/>
        </w:rPr>
        <w:t>Elérendő kompetenciák (magyarul):</w:t>
      </w:r>
      <w:r>
        <w:rPr>
          <w:rFonts w:ascii="Times New Roman" w:eastAsia="Times New Roman" w:hAnsi="Times New Roman" w:cs="Times New Roman"/>
          <w:bCs/>
        </w:rPr>
        <w:t xml:space="preserve"> </w:t>
      </w:r>
    </w:p>
    <w:p w:rsidR="000414B9" w:rsidRDefault="000414B9" w:rsidP="000414B9">
      <w:pPr>
        <w:widowControl w:val="0"/>
        <w:spacing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Tudása:</w:t>
      </w:r>
    </w:p>
    <w:p w:rsidR="000414B9" w:rsidRPr="00056F25" w:rsidRDefault="000414B9" w:rsidP="00980876">
      <w:pPr>
        <w:pStyle w:val="Listaszerbekezds"/>
        <w:widowControl w:val="0"/>
        <w:numPr>
          <w:ilvl w:val="0"/>
          <w:numId w:val="755"/>
        </w:numPr>
        <w:spacing w:after="120" w:line="240" w:lineRule="auto"/>
        <w:ind w:left="782" w:hanging="357"/>
        <w:jc w:val="both"/>
        <w:rPr>
          <w:rFonts w:ascii="Times New Roman" w:eastAsia="Times New Roman" w:hAnsi="Times New Roman"/>
          <w:bCs/>
        </w:rPr>
      </w:pPr>
      <w:r w:rsidRPr="00056F25">
        <w:rPr>
          <w:rFonts w:ascii="Times New Roman" w:eastAsia="Times New Roman" w:hAnsi="Times New Roman"/>
          <w:bCs/>
        </w:rPr>
        <w:t>Ismeri a gazdaság és a piacok működésének alapjait, a nemzetgazdaság és a honvédelem kapcsolatrendszerét, a hadiipar működésének törvényszerűségeit.</w:t>
      </w:r>
    </w:p>
    <w:p w:rsidR="000414B9" w:rsidRPr="00056F25" w:rsidRDefault="000414B9" w:rsidP="00980876">
      <w:pPr>
        <w:pStyle w:val="Listaszerbekezds"/>
        <w:widowControl w:val="0"/>
        <w:numPr>
          <w:ilvl w:val="0"/>
          <w:numId w:val="755"/>
        </w:numPr>
        <w:spacing w:after="120" w:line="240" w:lineRule="auto"/>
        <w:ind w:left="782" w:hanging="357"/>
        <w:jc w:val="both"/>
        <w:rPr>
          <w:rFonts w:ascii="Times New Roman" w:eastAsia="Times New Roman" w:hAnsi="Times New Roman"/>
          <w:bCs/>
        </w:rPr>
      </w:pPr>
      <w:r w:rsidRPr="00056F25">
        <w:rPr>
          <w:rFonts w:ascii="Times New Roman" w:eastAsia="Times New Roman" w:hAnsi="Times New Roman"/>
          <w:bCs/>
        </w:rPr>
        <w:t>Ismeri a hadtáp szakanyagok csoportosítását, azok előállítását, nemzetgazdaságból történő beszerzéseinek lehetőségeit.</w:t>
      </w:r>
    </w:p>
    <w:p w:rsidR="000414B9" w:rsidRPr="00056F25" w:rsidRDefault="000414B9" w:rsidP="00980876">
      <w:pPr>
        <w:pStyle w:val="Listaszerbekezds"/>
        <w:widowControl w:val="0"/>
        <w:numPr>
          <w:ilvl w:val="0"/>
          <w:numId w:val="755"/>
        </w:numPr>
        <w:spacing w:after="120" w:line="240" w:lineRule="auto"/>
        <w:ind w:left="782" w:hanging="357"/>
        <w:jc w:val="both"/>
        <w:rPr>
          <w:rFonts w:ascii="Times New Roman" w:eastAsia="Times New Roman" w:hAnsi="Times New Roman"/>
          <w:bCs/>
        </w:rPr>
      </w:pPr>
      <w:r w:rsidRPr="00056F25">
        <w:rPr>
          <w:rFonts w:ascii="Times New Roman" w:eastAsia="Times New Roman" w:hAnsi="Times New Roman"/>
          <w:bCs/>
        </w:rPr>
        <w:t>Mélyrehatóan ismeri az üzemanyag szakterület szakmai feladatait.</w:t>
      </w:r>
    </w:p>
    <w:p w:rsidR="000414B9" w:rsidRPr="00056F25" w:rsidRDefault="000414B9" w:rsidP="00980876">
      <w:pPr>
        <w:pStyle w:val="Listaszerbekezds"/>
        <w:widowControl w:val="0"/>
        <w:numPr>
          <w:ilvl w:val="0"/>
          <w:numId w:val="755"/>
        </w:numPr>
        <w:spacing w:after="120" w:line="240" w:lineRule="auto"/>
        <w:ind w:left="782" w:hanging="357"/>
        <w:jc w:val="both"/>
        <w:rPr>
          <w:rFonts w:ascii="Times New Roman" w:eastAsia="Times New Roman" w:hAnsi="Times New Roman"/>
          <w:bCs/>
        </w:rPr>
      </w:pPr>
      <w:r w:rsidRPr="00056F25">
        <w:rPr>
          <w:rFonts w:ascii="Times New Roman" w:eastAsia="Times New Roman" w:hAnsi="Times New Roman"/>
          <w:bCs/>
        </w:rPr>
        <w:t>Mélyrehatóan ismeri az élelmezési szakterület szakmai feladatait.</w:t>
      </w:r>
    </w:p>
    <w:p w:rsidR="000414B9" w:rsidRDefault="000414B9" w:rsidP="00980876">
      <w:pPr>
        <w:pStyle w:val="Listaszerbekezds"/>
        <w:widowControl w:val="0"/>
        <w:numPr>
          <w:ilvl w:val="0"/>
          <w:numId w:val="755"/>
        </w:numPr>
        <w:spacing w:after="120" w:line="240" w:lineRule="auto"/>
        <w:ind w:left="782" w:hanging="357"/>
        <w:jc w:val="both"/>
        <w:rPr>
          <w:rFonts w:ascii="Times New Roman" w:hAnsi="Times New Roman" w:cs="Times New Roman"/>
        </w:rPr>
      </w:pPr>
      <w:r w:rsidRPr="00056F25">
        <w:rPr>
          <w:rFonts w:ascii="Times New Roman" w:eastAsia="Times New Roman" w:hAnsi="Times New Roman"/>
          <w:bCs/>
        </w:rPr>
        <w:t>Mélyrehatóan</w:t>
      </w:r>
      <w:r>
        <w:rPr>
          <w:rFonts w:ascii="Times New Roman" w:hAnsi="Times New Roman" w:cs="Times New Roman"/>
        </w:rPr>
        <w:t xml:space="preserve"> ismeri a ruházati szakterület szakmai feladatait.</w:t>
      </w:r>
    </w:p>
    <w:p w:rsidR="000414B9" w:rsidRDefault="000414B9" w:rsidP="000414B9">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Képességei:</w:t>
      </w:r>
      <w:r>
        <w:rPr>
          <w:rFonts w:ascii="Times New Roman" w:eastAsia="Times New Roman" w:hAnsi="Times New Roman" w:cs="Times New Roman"/>
          <w:bCs/>
        </w:rPr>
        <w:t xml:space="preserve"> </w:t>
      </w:r>
    </w:p>
    <w:p w:rsidR="000414B9" w:rsidRPr="00056F25" w:rsidRDefault="000414B9" w:rsidP="00980876">
      <w:pPr>
        <w:pStyle w:val="Listaszerbekezds"/>
        <w:widowControl w:val="0"/>
        <w:numPr>
          <w:ilvl w:val="0"/>
          <w:numId w:val="755"/>
        </w:numPr>
        <w:spacing w:after="120" w:line="240" w:lineRule="auto"/>
        <w:ind w:left="782" w:hanging="357"/>
        <w:jc w:val="both"/>
        <w:rPr>
          <w:rFonts w:ascii="Times New Roman" w:eastAsia="Times New Roman" w:hAnsi="Times New Roman"/>
          <w:bCs/>
        </w:rPr>
      </w:pPr>
      <w:r>
        <w:rPr>
          <w:rFonts w:ascii="Times New Roman" w:hAnsi="Times New Roman" w:cs="Times New Roman"/>
        </w:rPr>
        <w:t xml:space="preserve">Képes </w:t>
      </w:r>
      <w:r w:rsidRPr="00056F25">
        <w:rPr>
          <w:rFonts w:ascii="Times New Roman" w:eastAsia="Times New Roman" w:hAnsi="Times New Roman"/>
          <w:bCs/>
        </w:rPr>
        <w:t>a logisztikai folyamatok és a Magyar Honvédség logisztikai rendszere közötti kapcsolatok, illetve összefüggések értelmezésére.</w:t>
      </w:r>
    </w:p>
    <w:p w:rsidR="000414B9" w:rsidRPr="00056F25" w:rsidRDefault="000414B9" w:rsidP="00980876">
      <w:pPr>
        <w:pStyle w:val="Listaszerbekezds"/>
        <w:widowControl w:val="0"/>
        <w:numPr>
          <w:ilvl w:val="0"/>
          <w:numId w:val="755"/>
        </w:numPr>
        <w:spacing w:after="120" w:line="240" w:lineRule="auto"/>
        <w:ind w:left="782" w:hanging="357"/>
        <w:jc w:val="both"/>
        <w:rPr>
          <w:rFonts w:ascii="Times New Roman" w:eastAsia="Times New Roman" w:hAnsi="Times New Roman"/>
          <w:bCs/>
        </w:rPr>
      </w:pPr>
      <w:r w:rsidRPr="00056F25">
        <w:rPr>
          <w:rFonts w:ascii="Times New Roman" w:eastAsia="Times New Roman" w:hAnsi="Times New Roman"/>
          <w:bCs/>
        </w:rPr>
        <w:t>Képes egység szintű közbeszerzéseket lefolytatni.</w:t>
      </w:r>
    </w:p>
    <w:p w:rsidR="000414B9" w:rsidRDefault="000414B9" w:rsidP="00980876">
      <w:pPr>
        <w:pStyle w:val="Listaszerbekezds"/>
        <w:widowControl w:val="0"/>
        <w:numPr>
          <w:ilvl w:val="0"/>
          <w:numId w:val="755"/>
        </w:numPr>
        <w:spacing w:after="120" w:line="240" w:lineRule="auto"/>
        <w:ind w:left="782" w:hanging="357"/>
        <w:jc w:val="both"/>
        <w:rPr>
          <w:rFonts w:ascii="Times New Roman" w:hAnsi="Times New Roman" w:cs="Times New Roman"/>
        </w:rPr>
      </w:pPr>
      <w:r w:rsidRPr="00056F25">
        <w:rPr>
          <w:rFonts w:ascii="Times New Roman" w:eastAsia="Times New Roman" w:hAnsi="Times New Roman"/>
          <w:bCs/>
        </w:rPr>
        <w:t>Képes gazdálkodási feladatok alapszintű tervezésére, szervezésére, irányítására és az ebből adódó tevékenységek</w:t>
      </w:r>
      <w:r>
        <w:rPr>
          <w:rFonts w:ascii="Times New Roman" w:hAnsi="Times New Roman" w:cs="Times New Roman"/>
        </w:rPr>
        <w:t xml:space="preserve"> gazdasági elemzésinek végrehajtására.</w:t>
      </w:r>
    </w:p>
    <w:p w:rsidR="00056F25" w:rsidRDefault="00056F25" w:rsidP="000414B9">
      <w:pPr>
        <w:widowControl w:val="0"/>
        <w:spacing w:before="120" w:after="0" w:line="240" w:lineRule="auto"/>
        <w:ind w:left="425"/>
        <w:jc w:val="both"/>
        <w:rPr>
          <w:rFonts w:ascii="Times New Roman" w:eastAsia="Times New Roman" w:hAnsi="Times New Roman" w:cs="Times New Roman"/>
          <w:b/>
          <w:bCs/>
        </w:rPr>
      </w:pPr>
    </w:p>
    <w:p w:rsidR="000414B9" w:rsidRDefault="000414B9" w:rsidP="000414B9">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lastRenderedPageBreak/>
        <w:t>Attitűdje:</w:t>
      </w:r>
      <w:r>
        <w:rPr>
          <w:rFonts w:ascii="Times New Roman" w:eastAsia="Times New Roman" w:hAnsi="Times New Roman" w:cs="Times New Roman"/>
          <w:bCs/>
        </w:rPr>
        <w:t xml:space="preserve"> </w:t>
      </w:r>
    </w:p>
    <w:p w:rsidR="000414B9" w:rsidRPr="00056F25" w:rsidRDefault="000414B9" w:rsidP="00980876">
      <w:pPr>
        <w:pStyle w:val="Listaszerbekezds"/>
        <w:widowControl w:val="0"/>
        <w:numPr>
          <w:ilvl w:val="0"/>
          <w:numId w:val="755"/>
        </w:numPr>
        <w:spacing w:after="120" w:line="240" w:lineRule="auto"/>
        <w:ind w:left="782" w:hanging="357"/>
        <w:jc w:val="both"/>
        <w:rPr>
          <w:rFonts w:ascii="Times New Roman" w:eastAsia="Times New Roman" w:hAnsi="Times New Roman"/>
          <w:bCs/>
        </w:rPr>
      </w:pPr>
      <w:r>
        <w:rPr>
          <w:rFonts w:ascii="Times New Roman" w:hAnsi="Times New Roman" w:cs="Times New Roman"/>
        </w:rPr>
        <w:t>Felis</w:t>
      </w:r>
      <w:r w:rsidRPr="00056F25">
        <w:rPr>
          <w:rFonts w:ascii="Times New Roman" w:eastAsia="Times New Roman" w:hAnsi="Times New Roman"/>
          <w:bCs/>
        </w:rPr>
        <w:t>meri a rendszerszintű tevékenységben rejlő értékeket, törekszik a logisztikai tevékenységek közötti kapcsolatok értelmezésére.</w:t>
      </w:r>
    </w:p>
    <w:p w:rsidR="000414B9" w:rsidRDefault="000414B9" w:rsidP="00980876">
      <w:pPr>
        <w:pStyle w:val="Listaszerbekezds"/>
        <w:widowControl w:val="0"/>
        <w:numPr>
          <w:ilvl w:val="0"/>
          <w:numId w:val="755"/>
        </w:numPr>
        <w:spacing w:after="120" w:line="240" w:lineRule="auto"/>
        <w:ind w:left="782" w:hanging="357"/>
        <w:jc w:val="both"/>
        <w:rPr>
          <w:rFonts w:ascii="Times New Roman" w:hAnsi="Times New Roman" w:cs="Times New Roman"/>
        </w:rPr>
      </w:pPr>
      <w:r w:rsidRPr="00056F25">
        <w:rPr>
          <w:rFonts w:ascii="Times New Roman" w:eastAsia="Times New Roman" w:hAnsi="Times New Roman"/>
          <w:bCs/>
        </w:rPr>
        <w:t>Tevékenységét</w:t>
      </w:r>
      <w:r>
        <w:rPr>
          <w:rFonts w:ascii="Times New Roman" w:hAnsi="Times New Roman" w:cs="Times New Roman"/>
        </w:rPr>
        <w:t xml:space="preserve"> a hatékonyság központú szemlélet jellemzi.</w:t>
      </w:r>
    </w:p>
    <w:p w:rsidR="000414B9" w:rsidRDefault="000414B9" w:rsidP="000414B9">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Autonómiája és felelőssége:</w:t>
      </w:r>
    </w:p>
    <w:p w:rsidR="000414B9" w:rsidRPr="00056F25" w:rsidRDefault="000414B9" w:rsidP="00980876">
      <w:pPr>
        <w:pStyle w:val="Listaszerbekezds"/>
        <w:widowControl w:val="0"/>
        <w:numPr>
          <w:ilvl w:val="0"/>
          <w:numId w:val="755"/>
        </w:numPr>
        <w:spacing w:after="120" w:line="240" w:lineRule="auto"/>
        <w:ind w:left="782" w:hanging="357"/>
        <w:jc w:val="both"/>
        <w:rPr>
          <w:rFonts w:ascii="Times New Roman" w:eastAsia="Times New Roman" w:hAnsi="Times New Roman"/>
          <w:bCs/>
        </w:rPr>
      </w:pPr>
      <w:r w:rsidRPr="00056F25">
        <w:rPr>
          <w:rFonts w:ascii="Times New Roman" w:eastAsia="Times New Roman" w:hAnsi="Times New Roman"/>
          <w:bCs/>
        </w:rPr>
        <w:t>Szakmai feladatainak elvégzése során felelősségteljesen együttműködik más szakterület képzett szakembereivel is.</w:t>
      </w:r>
    </w:p>
    <w:p w:rsidR="000414B9" w:rsidRPr="00056F25" w:rsidRDefault="000414B9" w:rsidP="00980876">
      <w:pPr>
        <w:pStyle w:val="Listaszerbekezds"/>
        <w:widowControl w:val="0"/>
        <w:numPr>
          <w:ilvl w:val="0"/>
          <w:numId w:val="755"/>
        </w:numPr>
        <w:spacing w:after="120" w:line="240" w:lineRule="auto"/>
        <w:ind w:left="782" w:hanging="357"/>
        <w:jc w:val="both"/>
        <w:rPr>
          <w:rFonts w:ascii="Times New Roman" w:eastAsia="Times New Roman" w:hAnsi="Times New Roman"/>
          <w:bCs/>
        </w:rPr>
      </w:pPr>
      <w:r w:rsidRPr="00056F25">
        <w:rPr>
          <w:rFonts w:ascii="Times New Roman" w:eastAsia="Times New Roman" w:hAnsi="Times New Roman"/>
          <w:bCs/>
        </w:rPr>
        <w:t>Szakterületén belül képes rendszer-szemléletűen gondolkodni.</w:t>
      </w:r>
    </w:p>
    <w:p w:rsidR="000414B9" w:rsidRDefault="000414B9" w:rsidP="000414B9">
      <w:pPr>
        <w:widowControl w:val="0"/>
        <w:spacing w:before="120" w:after="0" w:line="240" w:lineRule="auto"/>
        <w:ind w:left="425"/>
        <w:jc w:val="both"/>
        <w:rPr>
          <w:rFonts w:ascii="Times New Roman" w:eastAsia="Times New Roman" w:hAnsi="Times New Roman" w:cs="Times New Roman"/>
          <w:b/>
          <w:bCs/>
          <w:lang w:val="en-US"/>
        </w:rPr>
      </w:pPr>
      <w:r>
        <w:rPr>
          <w:rFonts w:ascii="Times New Roman" w:eastAsia="Times New Roman" w:hAnsi="Times New Roman" w:cs="Times New Roman"/>
          <w:b/>
          <w:bCs/>
        </w:rPr>
        <w:t>Elérendő kompetenciák (angolul) (</w:t>
      </w:r>
      <w:r>
        <w:rPr>
          <w:rFonts w:ascii="Times New Roman" w:eastAsia="Times New Roman" w:hAnsi="Times New Roman" w:cs="Times New Roman"/>
          <w:b/>
          <w:bCs/>
          <w:lang w:val="en-US"/>
        </w:rPr>
        <w:t xml:space="preserve">Competences – English): </w:t>
      </w:r>
    </w:p>
    <w:p w:rsidR="000414B9" w:rsidRDefault="000414B9" w:rsidP="000414B9">
      <w:pPr>
        <w:widowControl w:val="0"/>
        <w:spacing w:before="120" w:after="0" w:line="240" w:lineRule="auto"/>
        <w:ind w:left="425"/>
        <w:jc w:val="both"/>
        <w:rPr>
          <w:rFonts w:ascii="Times New Roman" w:eastAsia="Times New Roman" w:hAnsi="Times New Roman" w:cs="Times New Roman"/>
          <w:lang w:val="en-GB"/>
        </w:rPr>
      </w:pPr>
      <w:r>
        <w:rPr>
          <w:rFonts w:ascii="Times New Roman" w:eastAsia="Times New Roman" w:hAnsi="Times New Roman" w:cs="Times New Roman"/>
          <w:b/>
          <w:lang w:val="en-GB"/>
        </w:rPr>
        <w:t>Knowledge</w:t>
      </w:r>
      <w:r>
        <w:rPr>
          <w:rFonts w:ascii="Times New Roman" w:eastAsia="Times New Roman" w:hAnsi="Times New Roman" w:cs="Times New Roman"/>
          <w:lang w:val="en-GB"/>
        </w:rPr>
        <w:t xml:space="preserve">: </w:t>
      </w:r>
    </w:p>
    <w:p w:rsidR="000414B9" w:rsidRPr="00056F25" w:rsidRDefault="000414B9" w:rsidP="00980876">
      <w:pPr>
        <w:pStyle w:val="Listaszerbekezds"/>
        <w:widowControl w:val="0"/>
        <w:numPr>
          <w:ilvl w:val="0"/>
          <w:numId w:val="755"/>
        </w:numPr>
        <w:spacing w:after="120" w:line="240" w:lineRule="auto"/>
        <w:ind w:left="782" w:hanging="357"/>
        <w:jc w:val="both"/>
        <w:rPr>
          <w:rFonts w:ascii="Times New Roman" w:eastAsia="Times New Roman" w:hAnsi="Times New Roman"/>
          <w:bCs/>
        </w:rPr>
      </w:pPr>
      <w:r w:rsidRPr="00056F25">
        <w:rPr>
          <w:rFonts w:ascii="Times New Roman" w:eastAsia="Times New Roman" w:hAnsi="Times New Roman"/>
          <w:bCs/>
        </w:rPr>
        <w:t xml:space="preserve">To be familiar with market mechanisms, the principles of economics, the relation between national economy and defense and the functioning of defense industry. </w:t>
      </w:r>
    </w:p>
    <w:p w:rsidR="000414B9" w:rsidRPr="00056F25" w:rsidRDefault="000414B9" w:rsidP="00980876">
      <w:pPr>
        <w:pStyle w:val="Listaszerbekezds"/>
        <w:widowControl w:val="0"/>
        <w:numPr>
          <w:ilvl w:val="0"/>
          <w:numId w:val="755"/>
        </w:numPr>
        <w:spacing w:after="120" w:line="240" w:lineRule="auto"/>
        <w:ind w:left="782" w:hanging="357"/>
        <w:jc w:val="both"/>
        <w:rPr>
          <w:rFonts w:ascii="Times New Roman" w:eastAsia="Times New Roman" w:hAnsi="Times New Roman"/>
          <w:bCs/>
        </w:rPr>
      </w:pPr>
      <w:r w:rsidRPr="00056F25">
        <w:rPr>
          <w:rFonts w:ascii="Times New Roman" w:eastAsia="Times New Roman" w:hAnsi="Times New Roman"/>
          <w:bCs/>
        </w:rPr>
        <w:t>To be familiar with the types of supply materials, their productions processes and possible procurement sources.</w:t>
      </w:r>
    </w:p>
    <w:p w:rsidR="000414B9" w:rsidRPr="00056F25" w:rsidRDefault="000414B9" w:rsidP="00980876">
      <w:pPr>
        <w:pStyle w:val="Listaszerbekezds"/>
        <w:widowControl w:val="0"/>
        <w:numPr>
          <w:ilvl w:val="0"/>
          <w:numId w:val="755"/>
        </w:numPr>
        <w:spacing w:after="120" w:line="240" w:lineRule="auto"/>
        <w:ind w:left="782" w:hanging="357"/>
        <w:jc w:val="both"/>
        <w:rPr>
          <w:rFonts w:ascii="Times New Roman" w:eastAsia="Times New Roman" w:hAnsi="Times New Roman"/>
          <w:bCs/>
        </w:rPr>
      </w:pPr>
      <w:r w:rsidRPr="00056F25">
        <w:rPr>
          <w:rFonts w:ascii="Times New Roman" w:eastAsia="Times New Roman" w:hAnsi="Times New Roman"/>
          <w:bCs/>
        </w:rPr>
        <w:t>To be deeply familiar with the processes of fuel supply.</w:t>
      </w:r>
    </w:p>
    <w:p w:rsidR="000414B9" w:rsidRPr="00056F25" w:rsidRDefault="000414B9" w:rsidP="00980876">
      <w:pPr>
        <w:pStyle w:val="Listaszerbekezds"/>
        <w:widowControl w:val="0"/>
        <w:numPr>
          <w:ilvl w:val="0"/>
          <w:numId w:val="755"/>
        </w:numPr>
        <w:spacing w:after="120" w:line="240" w:lineRule="auto"/>
        <w:ind w:left="782" w:hanging="357"/>
        <w:jc w:val="both"/>
        <w:rPr>
          <w:rFonts w:ascii="Times New Roman" w:eastAsia="Times New Roman" w:hAnsi="Times New Roman"/>
          <w:bCs/>
        </w:rPr>
      </w:pPr>
      <w:r w:rsidRPr="00056F25">
        <w:rPr>
          <w:rFonts w:ascii="Times New Roman" w:eastAsia="Times New Roman" w:hAnsi="Times New Roman"/>
          <w:bCs/>
        </w:rPr>
        <w:t>To be deeply familiar with the processes of food supply.</w:t>
      </w:r>
    </w:p>
    <w:p w:rsidR="000414B9" w:rsidRPr="00056F25" w:rsidRDefault="000414B9" w:rsidP="00980876">
      <w:pPr>
        <w:pStyle w:val="Listaszerbekezds"/>
        <w:widowControl w:val="0"/>
        <w:numPr>
          <w:ilvl w:val="0"/>
          <w:numId w:val="755"/>
        </w:numPr>
        <w:spacing w:after="120" w:line="240" w:lineRule="auto"/>
        <w:ind w:left="782" w:hanging="357"/>
        <w:jc w:val="both"/>
        <w:rPr>
          <w:rFonts w:ascii="Times New Roman" w:eastAsia="Times New Roman" w:hAnsi="Times New Roman"/>
          <w:bCs/>
        </w:rPr>
      </w:pPr>
      <w:r w:rsidRPr="00056F25">
        <w:rPr>
          <w:rFonts w:ascii="Times New Roman" w:eastAsia="Times New Roman" w:hAnsi="Times New Roman"/>
          <w:bCs/>
        </w:rPr>
        <w:t>To be deeply familiar with the processes of clothing supply.</w:t>
      </w:r>
    </w:p>
    <w:p w:rsidR="000414B9" w:rsidRDefault="000414B9" w:rsidP="000414B9">
      <w:pPr>
        <w:widowControl w:val="0"/>
        <w:spacing w:before="120" w:after="0" w:line="240" w:lineRule="auto"/>
        <w:ind w:left="425"/>
        <w:jc w:val="both"/>
        <w:rPr>
          <w:rFonts w:ascii="Times New Roman" w:eastAsia="Times New Roman" w:hAnsi="Times New Roman" w:cs="Times New Roman"/>
          <w:lang w:val="en-GB"/>
        </w:rPr>
      </w:pPr>
      <w:r>
        <w:rPr>
          <w:rFonts w:ascii="Times New Roman" w:eastAsia="Times New Roman" w:hAnsi="Times New Roman" w:cs="Times New Roman"/>
          <w:b/>
          <w:lang w:val="en-GB"/>
        </w:rPr>
        <w:t>Capabilities</w:t>
      </w:r>
      <w:r>
        <w:rPr>
          <w:rFonts w:ascii="Times New Roman" w:eastAsia="Times New Roman" w:hAnsi="Times New Roman" w:cs="Times New Roman"/>
          <w:lang w:val="en-GB"/>
        </w:rPr>
        <w:t xml:space="preserve">: </w:t>
      </w:r>
    </w:p>
    <w:p w:rsidR="000414B9" w:rsidRPr="00056F25" w:rsidRDefault="000414B9" w:rsidP="00980876">
      <w:pPr>
        <w:pStyle w:val="Listaszerbekezds"/>
        <w:widowControl w:val="0"/>
        <w:numPr>
          <w:ilvl w:val="0"/>
          <w:numId w:val="755"/>
        </w:numPr>
        <w:spacing w:after="120" w:line="240" w:lineRule="auto"/>
        <w:ind w:left="782" w:hanging="357"/>
        <w:jc w:val="both"/>
        <w:rPr>
          <w:rFonts w:ascii="Times New Roman" w:eastAsia="Times New Roman" w:hAnsi="Times New Roman"/>
          <w:bCs/>
        </w:rPr>
      </w:pPr>
      <w:r w:rsidRPr="00056F25">
        <w:rPr>
          <w:rFonts w:ascii="Times New Roman" w:eastAsia="Times New Roman" w:hAnsi="Times New Roman"/>
          <w:bCs/>
        </w:rPr>
        <w:t xml:space="preserve">To be able to understand the connections in logistic field between the national economy and the HDF. </w:t>
      </w:r>
    </w:p>
    <w:p w:rsidR="000414B9" w:rsidRPr="00056F25" w:rsidRDefault="000414B9" w:rsidP="00980876">
      <w:pPr>
        <w:pStyle w:val="Listaszerbekezds"/>
        <w:widowControl w:val="0"/>
        <w:numPr>
          <w:ilvl w:val="0"/>
          <w:numId w:val="755"/>
        </w:numPr>
        <w:spacing w:after="120" w:line="240" w:lineRule="auto"/>
        <w:ind w:left="782" w:hanging="357"/>
        <w:jc w:val="both"/>
        <w:rPr>
          <w:rFonts w:ascii="Times New Roman" w:eastAsia="Times New Roman" w:hAnsi="Times New Roman"/>
          <w:bCs/>
        </w:rPr>
      </w:pPr>
      <w:r w:rsidRPr="00056F25">
        <w:rPr>
          <w:rFonts w:ascii="Times New Roman" w:eastAsia="Times New Roman" w:hAnsi="Times New Roman"/>
          <w:bCs/>
        </w:rPr>
        <w:t>To be able to execute public procurements on unit level.</w:t>
      </w:r>
    </w:p>
    <w:p w:rsidR="000414B9" w:rsidRPr="00056F25" w:rsidRDefault="000414B9" w:rsidP="00980876">
      <w:pPr>
        <w:pStyle w:val="Listaszerbekezds"/>
        <w:widowControl w:val="0"/>
        <w:numPr>
          <w:ilvl w:val="0"/>
          <w:numId w:val="755"/>
        </w:numPr>
        <w:spacing w:after="120" w:line="240" w:lineRule="auto"/>
        <w:ind w:left="782" w:hanging="357"/>
        <w:jc w:val="both"/>
        <w:rPr>
          <w:rFonts w:ascii="Times New Roman" w:eastAsia="Times New Roman" w:hAnsi="Times New Roman"/>
          <w:bCs/>
        </w:rPr>
      </w:pPr>
      <w:r w:rsidRPr="00056F25">
        <w:rPr>
          <w:rFonts w:ascii="Times New Roman" w:eastAsia="Times New Roman" w:hAnsi="Times New Roman"/>
          <w:bCs/>
        </w:rPr>
        <w:t xml:space="preserve">To be able to plan, organise, control and evaluate management and financial tasks. </w:t>
      </w:r>
    </w:p>
    <w:p w:rsidR="000414B9" w:rsidRDefault="000414B9" w:rsidP="000414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425"/>
        <w:jc w:val="both"/>
        <w:rPr>
          <w:rFonts w:ascii="Times New Roman" w:eastAsia="Times New Roman" w:hAnsi="Times New Roman" w:cs="Times New Roman"/>
          <w:lang w:val="en-GB"/>
        </w:rPr>
      </w:pPr>
      <w:r>
        <w:rPr>
          <w:rFonts w:ascii="Times New Roman" w:eastAsia="Times New Roman" w:hAnsi="Times New Roman" w:cs="Times New Roman"/>
          <w:b/>
          <w:lang w:val="en-GB"/>
        </w:rPr>
        <w:t>Attitude:</w:t>
      </w:r>
      <w:r>
        <w:rPr>
          <w:rFonts w:ascii="Times New Roman" w:eastAsia="Times New Roman" w:hAnsi="Times New Roman" w:cs="Times New Roman"/>
          <w:lang w:val="en-GB"/>
        </w:rPr>
        <w:t xml:space="preserve"> </w:t>
      </w:r>
    </w:p>
    <w:p w:rsidR="000414B9" w:rsidRPr="00056F25" w:rsidRDefault="000414B9" w:rsidP="00980876">
      <w:pPr>
        <w:pStyle w:val="Listaszerbekezds"/>
        <w:widowControl w:val="0"/>
        <w:numPr>
          <w:ilvl w:val="0"/>
          <w:numId w:val="755"/>
        </w:numPr>
        <w:spacing w:after="120" w:line="240" w:lineRule="auto"/>
        <w:ind w:left="782" w:hanging="357"/>
        <w:jc w:val="both"/>
        <w:rPr>
          <w:rFonts w:ascii="Times New Roman" w:eastAsia="Times New Roman" w:hAnsi="Times New Roman"/>
          <w:bCs/>
        </w:rPr>
      </w:pPr>
      <w:r w:rsidRPr="00056F25">
        <w:rPr>
          <w:rFonts w:ascii="Times New Roman" w:eastAsia="Times New Roman" w:hAnsi="Times New Roman"/>
          <w:bCs/>
        </w:rPr>
        <w:t>To be able to recognize the advantages and opportunities offered by well-structured activities and to be seeking to understand the logical connections among logistic activities.</w:t>
      </w:r>
    </w:p>
    <w:p w:rsidR="000414B9" w:rsidRPr="00056F25" w:rsidRDefault="000414B9" w:rsidP="00980876">
      <w:pPr>
        <w:pStyle w:val="Listaszerbekezds"/>
        <w:widowControl w:val="0"/>
        <w:numPr>
          <w:ilvl w:val="0"/>
          <w:numId w:val="755"/>
        </w:numPr>
        <w:spacing w:after="120" w:line="240" w:lineRule="auto"/>
        <w:ind w:left="782" w:hanging="357"/>
        <w:jc w:val="both"/>
        <w:rPr>
          <w:rFonts w:ascii="Times New Roman" w:eastAsia="Times New Roman" w:hAnsi="Times New Roman"/>
          <w:bCs/>
        </w:rPr>
      </w:pPr>
      <w:r w:rsidRPr="00056F25">
        <w:rPr>
          <w:rFonts w:ascii="Times New Roman" w:eastAsia="Times New Roman" w:hAnsi="Times New Roman"/>
          <w:bCs/>
        </w:rPr>
        <w:t xml:space="preserve">To be characterized by efficiency-based attitude.    </w:t>
      </w:r>
    </w:p>
    <w:p w:rsidR="000414B9" w:rsidRDefault="000414B9" w:rsidP="000414B9">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lang w:val="en-GB"/>
        </w:rPr>
        <w:t xml:space="preserve">Autonomy and responsibility: </w:t>
      </w:r>
    </w:p>
    <w:p w:rsidR="000414B9" w:rsidRPr="00056F25" w:rsidRDefault="000414B9" w:rsidP="00980876">
      <w:pPr>
        <w:pStyle w:val="Listaszerbekezds"/>
        <w:widowControl w:val="0"/>
        <w:numPr>
          <w:ilvl w:val="0"/>
          <w:numId w:val="755"/>
        </w:numPr>
        <w:spacing w:after="120" w:line="240" w:lineRule="auto"/>
        <w:ind w:left="782" w:hanging="357"/>
        <w:jc w:val="both"/>
        <w:rPr>
          <w:rFonts w:ascii="Times New Roman" w:eastAsia="Times New Roman" w:hAnsi="Times New Roman"/>
          <w:bCs/>
        </w:rPr>
      </w:pPr>
      <w:r w:rsidRPr="00056F25">
        <w:rPr>
          <w:rFonts w:ascii="Times New Roman" w:eastAsia="Times New Roman" w:hAnsi="Times New Roman"/>
          <w:bCs/>
        </w:rPr>
        <w:t>To have intention to cooperate and coordinate with other professions in the daily tasks.</w:t>
      </w:r>
    </w:p>
    <w:p w:rsidR="000414B9" w:rsidRPr="00056F25" w:rsidRDefault="000414B9" w:rsidP="00980876">
      <w:pPr>
        <w:pStyle w:val="Listaszerbekezds"/>
        <w:widowControl w:val="0"/>
        <w:numPr>
          <w:ilvl w:val="0"/>
          <w:numId w:val="755"/>
        </w:numPr>
        <w:spacing w:after="120" w:line="240" w:lineRule="auto"/>
        <w:ind w:left="782" w:hanging="357"/>
        <w:jc w:val="both"/>
        <w:rPr>
          <w:rFonts w:ascii="Times New Roman" w:eastAsia="Times New Roman" w:hAnsi="Times New Roman"/>
          <w:bCs/>
        </w:rPr>
      </w:pPr>
      <w:r w:rsidRPr="00056F25">
        <w:rPr>
          <w:rFonts w:ascii="Times New Roman" w:eastAsia="Times New Roman" w:hAnsi="Times New Roman"/>
          <w:bCs/>
        </w:rPr>
        <w:t xml:space="preserve">To possess system-based approach towards professional tasks and challenges. </w:t>
      </w:r>
    </w:p>
    <w:p w:rsidR="000414B9" w:rsidRDefault="000414B9" w:rsidP="00980876">
      <w:pPr>
        <w:widowControl w:val="0"/>
        <w:numPr>
          <w:ilvl w:val="0"/>
          <w:numId w:val="204"/>
        </w:numPr>
        <w:tabs>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Előtanulmányi követelmények: </w:t>
      </w:r>
      <w:r>
        <w:rPr>
          <w:rFonts w:ascii="Times New Roman" w:eastAsia="Times New Roman" w:hAnsi="Times New Roman" w:cs="Times New Roman"/>
          <w:bCs/>
        </w:rPr>
        <w:t>-</w:t>
      </w:r>
    </w:p>
    <w:p w:rsidR="000414B9" w:rsidRDefault="000414B9" w:rsidP="00980876">
      <w:pPr>
        <w:widowControl w:val="0"/>
        <w:numPr>
          <w:ilvl w:val="0"/>
          <w:numId w:val="204"/>
        </w:numPr>
        <w:spacing w:before="120" w:after="120" w:line="240" w:lineRule="auto"/>
        <w:ind w:left="426" w:hanging="142"/>
        <w:jc w:val="both"/>
        <w:rPr>
          <w:rFonts w:ascii="Times New Roman" w:eastAsia="Times New Roman" w:hAnsi="Times New Roman" w:cs="Times New Roman"/>
          <w:b/>
          <w:bCs/>
          <w:lang w:val="en-US"/>
        </w:rPr>
      </w:pPr>
      <w:r>
        <w:rPr>
          <w:rFonts w:ascii="Times New Roman" w:eastAsia="Times New Roman" w:hAnsi="Times New Roman" w:cs="Times New Roman"/>
          <w:b/>
          <w:bCs/>
          <w:lang w:val="en-US"/>
        </w:rPr>
        <w:t>A tantárgy tananyagának leírása, tematika. Description of the subject, curriculum (magyarul, angolul - English):</w:t>
      </w:r>
    </w:p>
    <w:p w:rsidR="000414B9" w:rsidRDefault="000414B9" w:rsidP="00980876">
      <w:pPr>
        <w:widowControl w:val="0"/>
        <w:numPr>
          <w:ilvl w:val="1"/>
          <w:numId w:val="204"/>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i/>
          <w:lang w:val="en-US"/>
        </w:rPr>
      </w:pPr>
      <w:r>
        <w:rPr>
          <w:rFonts w:ascii="Times New Roman" w:hAnsi="Times New Roman"/>
          <w:bCs/>
        </w:rPr>
        <w:t>Erőforrás-gazdaságtan. Természeti erőforrások csoportosítása</w:t>
      </w:r>
      <w:r>
        <w:rPr>
          <w:rFonts w:ascii="Times New Roman" w:hAnsi="Times New Roman"/>
          <w:lang w:val="en-US"/>
        </w:rPr>
        <w:t>.</w:t>
      </w:r>
      <w:r>
        <w:rPr>
          <w:rFonts w:ascii="Times New Roman" w:eastAsia="Times New Roman" w:hAnsi="Times New Roman" w:cs="Times New Roman"/>
          <w:lang w:val="en-US"/>
        </w:rPr>
        <w:t xml:space="preserve"> </w:t>
      </w:r>
      <w:r>
        <w:rPr>
          <w:rFonts w:ascii="Times New Roman" w:eastAsia="Times New Roman" w:hAnsi="Times New Roman" w:cs="Times New Roman"/>
          <w:i/>
          <w:lang w:val="en-US"/>
        </w:rPr>
        <w:t>(Economics of resources. Types of natural resources.)</w:t>
      </w:r>
    </w:p>
    <w:p w:rsidR="000414B9" w:rsidRDefault="000414B9" w:rsidP="00980876">
      <w:pPr>
        <w:widowControl w:val="0"/>
        <w:numPr>
          <w:ilvl w:val="1"/>
          <w:numId w:val="204"/>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i/>
          <w:lang w:val="en-US"/>
        </w:rPr>
      </w:pPr>
      <w:r>
        <w:rPr>
          <w:rFonts w:ascii="Times New Roman" w:hAnsi="Times New Roman" w:cs="Times New Roman"/>
          <w:bCs/>
        </w:rPr>
        <w:t>Energiahordozók. Nemzetközi és hazai kitermelés, szállítási útvonalak és módozatok, feldolgozás, energiatermelés. Magyarország energiamérlege, a hazai energetikai szektor és szereplői</w:t>
      </w:r>
      <w:r>
        <w:rPr>
          <w:rFonts w:ascii="Times New Roman" w:hAnsi="Times New Roman" w:cs="Times New Roman"/>
          <w:bCs/>
          <w:lang w:val="en-US"/>
        </w:rPr>
        <w:t>.</w:t>
      </w:r>
      <w:r>
        <w:rPr>
          <w:rFonts w:ascii="Times New Roman" w:hAnsi="Times New Roman" w:cs="Times New Roman"/>
          <w:lang w:val="en-US"/>
        </w:rPr>
        <w:t xml:space="preserve"> </w:t>
      </w:r>
      <w:r>
        <w:rPr>
          <w:rFonts w:ascii="Times New Roman" w:eastAsia="Times New Roman" w:hAnsi="Times New Roman" w:cs="Times New Roman"/>
          <w:i/>
          <w:lang w:val="en-US"/>
        </w:rPr>
        <w:t>(</w:t>
      </w:r>
      <w:r>
        <w:rPr>
          <w:rFonts w:ascii="Times New Roman" w:eastAsia="Times New Roman" w:hAnsi="Times New Roman" w:cs="Times New Roman"/>
          <w:bCs/>
          <w:i/>
          <w:lang w:val="en-US"/>
        </w:rPr>
        <w:t>Energy carriers. Domestic and international extractions, transportation methods and routes. Energy balance of Hungary and the Hungarian energetic sector.</w:t>
      </w:r>
      <w:r>
        <w:rPr>
          <w:rFonts w:ascii="Times New Roman" w:eastAsia="Times New Roman" w:hAnsi="Times New Roman" w:cs="Times New Roman"/>
          <w:i/>
          <w:lang w:val="en-US"/>
        </w:rPr>
        <w:t>)</w:t>
      </w:r>
    </w:p>
    <w:p w:rsidR="000414B9" w:rsidRDefault="000414B9" w:rsidP="00980876">
      <w:pPr>
        <w:widowControl w:val="0"/>
        <w:numPr>
          <w:ilvl w:val="1"/>
          <w:numId w:val="204"/>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i/>
          <w:lang w:val="en-US"/>
        </w:rPr>
      </w:pPr>
      <w:r>
        <w:rPr>
          <w:rFonts w:ascii="Times New Roman" w:hAnsi="Times New Roman" w:cs="Times New Roman"/>
        </w:rPr>
        <w:t>Magyarország mezőgazdasága és élelmiszeripara regionális lebontásban</w:t>
      </w:r>
      <w:r>
        <w:rPr>
          <w:rFonts w:ascii="Times New Roman" w:hAnsi="Times New Roman" w:cs="Times New Roman"/>
          <w:i/>
          <w:lang w:val="en-US"/>
        </w:rPr>
        <w:t xml:space="preserve">. </w:t>
      </w:r>
      <w:r>
        <w:rPr>
          <w:rFonts w:ascii="Times New Roman" w:eastAsia="Times New Roman" w:hAnsi="Times New Roman" w:cs="Times New Roman"/>
          <w:i/>
          <w:lang w:val="en-US"/>
        </w:rPr>
        <w:t xml:space="preserve"> (Agriculture and food industry in Hungary and their regional allocation</w:t>
      </w:r>
      <w:r>
        <w:rPr>
          <w:rFonts w:ascii="Times New Roman" w:eastAsia="Times New Roman" w:hAnsi="Times New Roman" w:cs="Times New Roman"/>
          <w:bCs/>
          <w:i/>
          <w:lang w:val="en-US"/>
        </w:rPr>
        <w:t>.</w:t>
      </w:r>
      <w:r>
        <w:rPr>
          <w:rFonts w:ascii="Times New Roman" w:eastAsia="Times New Roman" w:hAnsi="Times New Roman" w:cs="Times New Roman"/>
          <w:i/>
          <w:lang w:val="en-US"/>
        </w:rPr>
        <w:t>)</w:t>
      </w:r>
    </w:p>
    <w:p w:rsidR="000414B9" w:rsidRDefault="000414B9" w:rsidP="00980876">
      <w:pPr>
        <w:widowControl w:val="0"/>
        <w:numPr>
          <w:ilvl w:val="1"/>
          <w:numId w:val="204"/>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i/>
          <w:lang w:val="en-US"/>
        </w:rPr>
      </w:pPr>
      <w:r>
        <w:rPr>
          <w:rFonts w:ascii="Times New Roman" w:eastAsia="Times New Roman" w:hAnsi="Times New Roman" w:cs="Times New Roman"/>
        </w:rPr>
        <w:t>Magyarország könnyűipara</w:t>
      </w:r>
      <w:r>
        <w:rPr>
          <w:rFonts w:ascii="Times New Roman" w:eastAsia="Times New Roman" w:hAnsi="Times New Roman" w:cs="Times New Roman"/>
          <w:lang w:val="en-US"/>
        </w:rPr>
        <w:t xml:space="preserve">. </w:t>
      </w:r>
      <w:r>
        <w:rPr>
          <w:rFonts w:ascii="Times New Roman" w:eastAsia="Times New Roman" w:hAnsi="Times New Roman" w:cs="Times New Roman"/>
          <w:i/>
          <w:lang w:val="en-US"/>
        </w:rPr>
        <w:t>(Light industry in Hungary.)</w:t>
      </w:r>
    </w:p>
    <w:p w:rsidR="000414B9" w:rsidRDefault="000414B9" w:rsidP="00980876">
      <w:pPr>
        <w:widowControl w:val="0"/>
        <w:numPr>
          <w:ilvl w:val="1"/>
          <w:numId w:val="204"/>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lang w:val="en-US"/>
        </w:rPr>
      </w:pPr>
      <w:r>
        <w:rPr>
          <w:rFonts w:ascii="Times New Roman" w:eastAsia="Times New Roman" w:hAnsi="Times New Roman" w:cs="Times New Roman"/>
        </w:rPr>
        <w:t>Üzemlátogatás energiapiaci szereplőnél</w:t>
      </w:r>
      <w:r>
        <w:rPr>
          <w:rFonts w:ascii="Times New Roman" w:eastAsia="Times New Roman" w:hAnsi="Times New Roman" w:cs="Times New Roman"/>
          <w:lang w:val="en-US"/>
        </w:rPr>
        <w:t xml:space="preserve">. </w:t>
      </w:r>
      <w:r>
        <w:rPr>
          <w:rFonts w:ascii="Times New Roman" w:eastAsia="Times New Roman" w:hAnsi="Times New Roman" w:cs="Times New Roman"/>
          <w:i/>
          <w:lang w:val="en-US"/>
        </w:rPr>
        <w:t>(Plant visit at an energetic sector actor.)</w:t>
      </w:r>
    </w:p>
    <w:p w:rsidR="000414B9" w:rsidRDefault="000414B9" w:rsidP="00980876">
      <w:pPr>
        <w:widowControl w:val="0"/>
        <w:numPr>
          <w:ilvl w:val="1"/>
          <w:numId w:val="204"/>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lang w:val="en-US"/>
        </w:rPr>
      </w:pPr>
      <w:r>
        <w:rPr>
          <w:rFonts w:ascii="Times New Roman" w:eastAsia="Times New Roman" w:hAnsi="Times New Roman" w:cs="Times New Roman"/>
        </w:rPr>
        <w:t>Üzemlátogatás élelmiszeripari szereplőnél</w:t>
      </w:r>
      <w:r>
        <w:rPr>
          <w:rFonts w:ascii="Times New Roman" w:eastAsia="Times New Roman" w:hAnsi="Times New Roman" w:cs="Times New Roman"/>
          <w:lang w:val="en-US"/>
        </w:rPr>
        <w:t xml:space="preserve">. </w:t>
      </w:r>
      <w:r>
        <w:rPr>
          <w:rFonts w:ascii="Times New Roman" w:eastAsia="Times New Roman" w:hAnsi="Times New Roman" w:cs="Times New Roman"/>
          <w:i/>
          <w:lang w:val="en-US"/>
        </w:rPr>
        <w:t>(Factory visit at a food industrial actor.)</w:t>
      </w:r>
    </w:p>
    <w:p w:rsidR="000414B9" w:rsidRDefault="000414B9" w:rsidP="00980876">
      <w:pPr>
        <w:widowControl w:val="0"/>
        <w:numPr>
          <w:ilvl w:val="1"/>
          <w:numId w:val="204"/>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i/>
          <w:lang w:val="en-US"/>
        </w:rPr>
      </w:pPr>
      <w:r>
        <w:rPr>
          <w:rFonts w:ascii="Times New Roman" w:eastAsia="Times New Roman" w:hAnsi="Times New Roman" w:cs="Times New Roman"/>
        </w:rPr>
        <w:t>Üzemlátogatás könnyűipari (textil- és ruhaipari) szereplőnél</w:t>
      </w:r>
      <w:r>
        <w:rPr>
          <w:rFonts w:ascii="Times New Roman" w:eastAsia="Times New Roman" w:hAnsi="Times New Roman" w:cs="Times New Roman"/>
          <w:lang w:val="en-US"/>
        </w:rPr>
        <w:t xml:space="preserve">. </w:t>
      </w:r>
      <w:r>
        <w:rPr>
          <w:rFonts w:ascii="Times New Roman" w:eastAsia="Times New Roman" w:hAnsi="Times New Roman" w:cs="Times New Roman"/>
          <w:i/>
          <w:lang w:val="en-US"/>
        </w:rPr>
        <w:t>(Factory visit at a textile and clothing industrial actor.)</w:t>
      </w:r>
    </w:p>
    <w:p w:rsidR="000414B9" w:rsidRDefault="000414B9" w:rsidP="00980876">
      <w:pPr>
        <w:widowControl w:val="0"/>
        <w:numPr>
          <w:ilvl w:val="1"/>
          <w:numId w:val="204"/>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i/>
          <w:lang w:val="en-US"/>
        </w:rPr>
      </w:pPr>
      <w:r>
        <w:rPr>
          <w:rFonts w:ascii="Times New Roman" w:eastAsia="Times New Roman" w:hAnsi="Times New Roman" w:cs="Times New Roman"/>
        </w:rPr>
        <w:t>Erőforrás- és környezetgazdálkodás alapelvei. Életciklus-mérleg</w:t>
      </w:r>
      <w:r>
        <w:rPr>
          <w:rFonts w:ascii="Times New Roman" w:eastAsia="Times New Roman" w:hAnsi="Times New Roman" w:cs="Times New Roman"/>
          <w:lang w:val="en-US"/>
        </w:rPr>
        <w:t xml:space="preserve">. </w:t>
      </w:r>
      <w:r>
        <w:rPr>
          <w:rFonts w:ascii="Times New Roman" w:eastAsia="Times New Roman" w:hAnsi="Times New Roman" w:cs="Times New Roman"/>
        </w:rPr>
        <w:t xml:space="preserve">A katonai gazdálkodás és katonai műveletek negatív hatása a bennünket körülvevő környezetre. </w:t>
      </w:r>
      <w:r>
        <w:rPr>
          <w:rFonts w:ascii="Times New Roman" w:eastAsia="Times New Roman" w:hAnsi="Times New Roman" w:cs="Times New Roman"/>
          <w:i/>
          <w:lang w:val="en-US"/>
        </w:rPr>
        <w:t xml:space="preserve">(Basics of </w:t>
      </w:r>
      <w:r>
        <w:rPr>
          <w:rFonts w:ascii="Times New Roman" w:eastAsia="Times New Roman" w:hAnsi="Times New Roman" w:cs="Times New Roman"/>
          <w:i/>
          <w:lang w:val="en-US"/>
        </w:rPr>
        <w:lastRenderedPageBreak/>
        <w:t>environmental economics. Circular economy conception. Negative effects of military operations and military logistics on natural environment.)</w:t>
      </w:r>
    </w:p>
    <w:p w:rsidR="000414B9" w:rsidRDefault="000414B9" w:rsidP="00980876">
      <w:pPr>
        <w:widowControl w:val="0"/>
        <w:numPr>
          <w:ilvl w:val="0"/>
          <w:numId w:val="204"/>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 tantárgy meghirdetésének gyakorisága/a tantervben történő félévi elhelyezkedése: </w:t>
      </w:r>
      <w:r>
        <w:rPr>
          <w:rFonts w:ascii="Times New Roman" w:eastAsia="Times New Roman" w:hAnsi="Times New Roman" w:cs="Times New Roman"/>
          <w:bCs/>
        </w:rPr>
        <w:t>Minden tavaszi szemeszterben / 6. félév</w:t>
      </w:r>
    </w:p>
    <w:p w:rsidR="000414B9" w:rsidRDefault="000414B9" w:rsidP="00980876">
      <w:pPr>
        <w:widowControl w:val="0"/>
        <w:numPr>
          <w:ilvl w:val="0"/>
          <w:numId w:val="204"/>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tanórákon való részvétel követelményei, az elfogadható hiányzások mértéke, a távolmaradás pótlásának lehetősége:</w:t>
      </w:r>
      <w:r>
        <w:rPr>
          <w:rFonts w:ascii="Times New Roman" w:eastAsia="Times New Roman" w:hAnsi="Times New Roman" w:cs="Times New Roman"/>
          <w:bCs/>
        </w:rPr>
        <w:t xml:space="preserve"> A tanórákon való részvétel kötelező.</w:t>
      </w:r>
      <w:r>
        <w:rPr>
          <w:rFonts w:ascii="Times New Roman" w:eastAsia="Times New Roman" w:hAnsi="Times New Roman" w:cs="Times New Roman"/>
          <w:b/>
          <w:bCs/>
        </w:rPr>
        <w:t xml:space="preserve"> </w:t>
      </w:r>
      <w:r>
        <w:rPr>
          <w:rFonts w:ascii="Times New Roman" w:eastAsia="Times New Roman" w:hAnsi="Times New Roman" w:cs="Times New Roman"/>
          <w:bCs/>
        </w:rPr>
        <w:t>A félév elfogadásának feltétele a tanórák minimum 50%-án való részvétel. Ennél magasabb mértékű távolmaradás az oktató engedélyével történhet.</w:t>
      </w:r>
    </w:p>
    <w:p w:rsidR="000414B9" w:rsidRDefault="000414B9" w:rsidP="00980876">
      <w:pPr>
        <w:widowControl w:val="0"/>
        <w:numPr>
          <w:ilvl w:val="0"/>
          <w:numId w:val="204"/>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rPr>
        <w:t>Félévközi feladatok, ismeretek ellenőrzésének rendje:</w:t>
      </w:r>
      <w:r>
        <w:rPr>
          <w:rFonts w:ascii="Times New Roman" w:hAnsi="Times New Roman"/>
          <w:sz w:val="24"/>
        </w:rPr>
        <w:t xml:space="preserve"> </w:t>
      </w:r>
      <w:r>
        <w:rPr>
          <w:rFonts w:ascii="Times New Roman" w:hAnsi="Times New Roman"/>
        </w:rPr>
        <w:t xml:space="preserve">A honvéd tisztjelölteknek a tanórákon tanultak alapján fel kell készülniük az üzemlátogatásra. a félév végén zárthelyi dolgozat megírására kerül sor. </w:t>
      </w:r>
    </w:p>
    <w:p w:rsidR="000414B9" w:rsidRDefault="000414B9" w:rsidP="00980876">
      <w:pPr>
        <w:widowControl w:val="0"/>
        <w:numPr>
          <w:ilvl w:val="0"/>
          <w:numId w:val="204"/>
        </w:numPr>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Az értékelés, az aláírás és a kreditek megszerzésének pontos feltételei: </w:t>
      </w:r>
    </w:p>
    <w:p w:rsidR="000414B9" w:rsidRDefault="000414B9" w:rsidP="00980876">
      <w:pPr>
        <w:widowControl w:val="0"/>
        <w:numPr>
          <w:ilvl w:val="1"/>
          <w:numId w:val="204"/>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Az aláírás megszerzésének feltételei:</w:t>
      </w:r>
    </w:p>
    <w:p w:rsidR="000414B9" w:rsidRDefault="000414B9" w:rsidP="000414B9">
      <w:pPr>
        <w:widowControl w:val="0"/>
        <w:tabs>
          <w:tab w:val="left" w:pos="993"/>
        </w:tabs>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Az aláírás feltétele a tanórákon – 14. pontban meghatározott – részvétel, valamint a zárthelyi dolgozat sikeres megírása. A zárthelyi dolgozat egyszer pótolható.</w:t>
      </w:r>
    </w:p>
    <w:p w:rsidR="000414B9" w:rsidRDefault="000414B9" w:rsidP="00980876">
      <w:pPr>
        <w:widowControl w:val="0"/>
        <w:numPr>
          <w:ilvl w:val="1"/>
          <w:numId w:val="204"/>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Az értékelés:</w:t>
      </w:r>
    </w:p>
    <w:p w:rsidR="000414B9" w:rsidRDefault="000414B9" w:rsidP="000414B9">
      <w:pPr>
        <w:widowControl w:val="0"/>
        <w:tabs>
          <w:tab w:val="left" w:pos="993"/>
        </w:tabs>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A zárthelyi dolgozat ötfokozatú értékeléssel zárul. A honvéd tisztjelöltek üzemlátogatásra történő felkészülése a félév értékelésének része.</w:t>
      </w:r>
    </w:p>
    <w:p w:rsidR="000414B9" w:rsidRDefault="000414B9" w:rsidP="00980876">
      <w:pPr>
        <w:widowControl w:val="0"/>
        <w:numPr>
          <w:ilvl w:val="1"/>
          <w:numId w:val="204"/>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 kreditek megszerzésének feltételei:</w:t>
      </w:r>
      <w:r>
        <w:rPr>
          <w:rFonts w:ascii="Times New Roman" w:eastAsia="Times New Roman" w:hAnsi="Times New Roman" w:cs="Times New Roman"/>
        </w:rPr>
        <w:t xml:space="preserve"> </w:t>
      </w:r>
    </w:p>
    <w:p w:rsidR="000414B9" w:rsidRDefault="000414B9" w:rsidP="000414B9">
      <w:pPr>
        <w:widowControl w:val="0"/>
        <w:tabs>
          <w:tab w:val="left" w:pos="993"/>
        </w:tabs>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A kreditek megszerzése a 16.2-es pontban meghatározott értékelés során legalább elégséges (2) érdemjegy megszerzése.</w:t>
      </w:r>
    </w:p>
    <w:p w:rsidR="000414B9" w:rsidRDefault="000414B9" w:rsidP="00980876">
      <w:pPr>
        <w:widowControl w:val="0"/>
        <w:numPr>
          <w:ilvl w:val="0"/>
          <w:numId w:val="204"/>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Irodalomjegyzék:</w:t>
      </w:r>
    </w:p>
    <w:p w:rsidR="000414B9" w:rsidRDefault="000414B9" w:rsidP="00980876">
      <w:pPr>
        <w:widowControl w:val="0"/>
        <w:numPr>
          <w:ilvl w:val="1"/>
          <w:numId w:val="204"/>
        </w:numPr>
        <w:tabs>
          <w:tab w:val="left" w:pos="567"/>
          <w:tab w:val="left" w:pos="851"/>
          <w:tab w:val="num" w:pos="2069"/>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Kötelező irodalom:</w:t>
      </w:r>
    </w:p>
    <w:p w:rsidR="000414B9" w:rsidRDefault="000414B9" w:rsidP="00980876">
      <w:pPr>
        <w:widowControl w:val="0"/>
        <w:numPr>
          <w:ilvl w:val="0"/>
          <w:numId w:val="205"/>
        </w:numPr>
        <w:spacing w:after="0" w:line="240" w:lineRule="auto"/>
        <w:jc w:val="both"/>
        <w:rPr>
          <w:rFonts w:ascii="Times New Roman" w:eastAsia="Times New Roman" w:hAnsi="Times New Roman" w:cs="Times New Roman"/>
          <w:bCs/>
        </w:rPr>
      </w:pPr>
      <w:r>
        <w:rPr>
          <w:rFonts w:ascii="Times New Roman" w:hAnsi="Times New Roman" w:cs="Times New Roman"/>
          <w:bCs/>
        </w:rPr>
        <w:t xml:space="preserve">Bora Gyula – Korompai Attila: A természeti erőforrások gazdaságtana és földrajza Aula Kiadó Kft. Budapest, 2003. ISBN: 963947827X </w:t>
      </w:r>
    </w:p>
    <w:p w:rsidR="000414B9" w:rsidRDefault="000414B9" w:rsidP="00980876">
      <w:pPr>
        <w:widowControl w:val="0"/>
        <w:numPr>
          <w:ilvl w:val="0"/>
          <w:numId w:val="205"/>
        </w:num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Kerekes Sándor: Környezetgazdaságtan alapjai Aula Kiadó Kft. Budapest 2007. ISBN: 9789639698253</w:t>
      </w:r>
    </w:p>
    <w:p w:rsidR="000414B9" w:rsidRDefault="000414B9" w:rsidP="00980876">
      <w:pPr>
        <w:widowControl w:val="0"/>
        <w:numPr>
          <w:ilvl w:val="1"/>
          <w:numId w:val="204"/>
        </w:numPr>
        <w:tabs>
          <w:tab w:val="num" w:pos="567"/>
          <w:tab w:val="num" w:pos="2069"/>
        </w:tabs>
        <w:spacing w:before="120" w:after="120" w:line="240" w:lineRule="auto"/>
        <w:ind w:left="993" w:hanging="709"/>
        <w:jc w:val="both"/>
        <w:rPr>
          <w:rFonts w:ascii="Times New Roman" w:eastAsia="Times New Roman" w:hAnsi="Times New Roman" w:cs="Times New Roman"/>
          <w:b/>
          <w:bCs/>
        </w:rPr>
      </w:pPr>
      <w:r>
        <w:rPr>
          <w:rFonts w:ascii="Times New Roman" w:eastAsia="Times New Roman" w:hAnsi="Times New Roman" w:cs="Times New Roman"/>
          <w:b/>
          <w:bCs/>
        </w:rPr>
        <w:t>Ajánlott irodalom:</w:t>
      </w:r>
    </w:p>
    <w:p w:rsidR="000414B9" w:rsidRPr="000414B9" w:rsidRDefault="000414B9" w:rsidP="00980876">
      <w:pPr>
        <w:widowControl w:val="0"/>
        <w:numPr>
          <w:ilvl w:val="0"/>
          <w:numId w:val="206"/>
        </w:numPr>
        <w:spacing w:after="0" w:line="240" w:lineRule="auto"/>
        <w:jc w:val="both"/>
        <w:rPr>
          <w:rFonts w:ascii="Times New Roman" w:hAnsi="Times New Roman" w:cs="Times New Roman"/>
          <w:bCs/>
        </w:rPr>
      </w:pPr>
      <w:r>
        <w:rPr>
          <w:rFonts w:ascii="Times New Roman" w:hAnsi="Times New Roman" w:cs="Times New Roman"/>
          <w:bCs/>
        </w:rPr>
        <w:t xml:space="preserve">Vidéki Imre. (szerk.): Fejezetek az ipar- és közlekedésföldrajzból ELTE Eötvös Kiadó Kft. Budapest, 2008. ISBN: 9789634639886 </w:t>
      </w:r>
    </w:p>
    <w:p w:rsidR="000414B9" w:rsidRPr="000414B9" w:rsidRDefault="000414B9" w:rsidP="00980876">
      <w:pPr>
        <w:widowControl w:val="0"/>
        <w:numPr>
          <w:ilvl w:val="0"/>
          <w:numId w:val="206"/>
        </w:numPr>
        <w:spacing w:after="0" w:line="240" w:lineRule="auto"/>
        <w:jc w:val="both"/>
        <w:rPr>
          <w:rFonts w:ascii="Times New Roman" w:hAnsi="Times New Roman" w:cs="Times New Roman"/>
          <w:bCs/>
        </w:rPr>
      </w:pPr>
      <w:r>
        <w:rPr>
          <w:rFonts w:ascii="Times New Roman" w:hAnsi="Times New Roman" w:cs="Times New Roman"/>
          <w:bCs/>
        </w:rPr>
        <w:t>Központi Statisztikai Hivatal aktuális évkönyve</w:t>
      </w:r>
    </w:p>
    <w:p w:rsidR="000414B9" w:rsidRDefault="000414B9" w:rsidP="000414B9">
      <w:pPr>
        <w:widowControl w:val="0"/>
        <w:spacing w:before="120" w:after="120" w:line="240" w:lineRule="auto"/>
        <w:jc w:val="both"/>
        <w:rPr>
          <w:rFonts w:ascii="Times New Roman" w:eastAsia="Times New Roman" w:hAnsi="Times New Roman" w:cs="Times New Roman"/>
          <w:bCs/>
        </w:rPr>
      </w:pPr>
    </w:p>
    <w:p w:rsidR="000414B9" w:rsidRDefault="000414B9" w:rsidP="000414B9">
      <w:pPr>
        <w:widowControl w:val="0"/>
        <w:spacing w:before="120" w:after="120" w:line="240" w:lineRule="auto"/>
        <w:jc w:val="both"/>
        <w:rPr>
          <w:rFonts w:ascii="Times New Roman" w:eastAsia="Times New Roman" w:hAnsi="Times New Roman" w:cs="Times New Roman"/>
          <w:bCs/>
        </w:rPr>
      </w:pPr>
      <w:r>
        <w:rPr>
          <w:rFonts w:ascii="Times New Roman" w:eastAsia="Times New Roman" w:hAnsi="Times New Roman" w:cs="Times New Roman"/>
          <w:bCs/>
        </w:rPr>
        <w:t>Budapest, 2020. január 22.</w:t>
      </w:r>
    </w:p>
    <w:p w:rsidR="000414B9" w:rsidRDefault="000414B9" w:rsidP="000414B9">
      <w:pPr>
        <w:widowControl w:val="0"/>
        <w:spacing w:before="120" w:after="120" w:line="240" w:lineRule="auto"/>
        <w:jc w:val="both"/>
        <w:rPr>
          <w:rFonts w:ascii="Times New Roman" w:eastAsia="Times New Roman" w:hAnsi="Times New Roman" w:cs="Times New Roman"/>
          <w:bCs/>
        </w:rPr>
      </w:pPr>
    </w:p>
    <w:p w:rsidR="000414B9" w:rsidRPr="000414B9" w:rsidRDefault="000414B9" w:rsidP="000414B9">
      <w:pPr>
        <w:widowControl w:val="0"/>
        <w:spacing w:after="0" w:line="240" w:lineRule="auto"/>
        <w:jc w:val="right"/>
        <w:rPr>
          <w:rFonts w:ascii="Times New Roman" w:hAnsi="Times New Roman" w:cs="Times New Roman"/>
          <w:b/>
          <w:bCs/>
        </w:rPr>
      </w:pPr>
      <w:r w:rsidRPr="000414B9">
        <w:rPr>
          <w:rFonts w:ascii="Times New Roman" w:hAnsi="Times New Roman" w:cs="Times New Roman"/>
          <w:b/>
          <w:bCs/>
        </w:rPr>
        <w:t>Dr. Taksás Balázs százados PhD</w:t>
      </w:r>
    </w:p>
    <w:p w:rsidR="000414B9" w:rsidRDefault="000414B9" w:rsidP="000414B9">
      <w:pPr>
        <w:widowControl w:val="0"/>
        <w:spacing w:after="0" w:line="240" w:lineRule="auto"/>
        <w:jc w:val="center"/>
        <w:rPr>
          <w:rFonts w:ascii="Times New Roman" w:eastAsia="Times New Roman" w:hAnsi="Times New Roman" w:cs="Times New Roman"/>
          <w:bCs/>
        </w:rPr>
      </w:pPr>
      <w:r>
        <w:rPr>
          <w:rFonts w:ascii="Times New Roman" w:hAnsi="Times New Roman" w:cs="Times New Roman"/>
          <w:bCs/>
        </w:rPr>
        <w:t xml:space="preserve">                                                                                                                    egyetemi docens</w:t>
      </w:r>
    </w:p>
    <w:p w:rsidR="000414B9" w:rsidRDefault="000414B9" w:rsidP="000414B9">
      <w:pPr>
        <w:rPr>
          <w:rFonts w:ascii="Times New Roman" w:hAnsi="Times New Roman" w:cs="Times New Roman"/>
        </w:rPr>
      </w:pPr>
    </w:p>
    <w:p w:rsidR="000414B9" w:rsidRDefault="000414B9">
      <w:pPr>
        <w:spacing w:after="200" w:line="276" w:lineRule="auto"/>
        <w:rPr>
          <w:rFonts w:ascii="Times New Roman" w:hAnsi="Times New Roman" w:cs="Times New Roman"/>
          <w:sz w:val="24"/>
        </w:rPr>
      </w:pPr>
      <w:r>
        <w:rPr>
          <w:rFonts w:ascii="Times New Roman" w:hAnsi="Times New Roman" w:cs="Times New Roman"/>
          <w:sz w:val="24"/>
        </w:rPr>
        <w:br w:type="page"/>
      </w:r>
    </w:p>
    <w:tbl>
      <w:tblPr>
        <w:tblW w:w="9072" w:type="dxa"/>
        <w:tblInd w:w="113" w:type="dxa"/>
        <w:tblLook w:val="01E0" w:firstRow="1" w:lastRow="1" w:firstColumn="1" w:lastColumn="1" w:noHBand="0" w:noVBand="0"/>
      </w:tblPr>
      <w:tblGrid>
        <w:gridCol w:w="4855"/>
        <w:gridCol w:w="1620"/>
        <w:gridCol w:w="2597"/>
      </w:tblGrid>
      <w:tr w:rsidR="00905D8D" w:rsidTr="00905D8D">
        <w:tc>
          <w:tcPr>
            <w:tcW w:w="4855" w:type="dxa"/>
            <w:tcBorders>
              <w:top w:val="nil"/>
              <w:left w:val="nil"/>
              <w:bottom w:val="single" w:sz="4" w:space="0" w:color="auto"/>
              <w:right w:val="nil"/>
            </w:tcBorders>
            <w:hideMark/>
          </w:tcPr>
          <w:p w:rsidR="00905D8D" w:rsidRDefault="00905D8D">
            <w:pPr>
              <w:spacing w:after="0" w:line="240" w:lineRule="auto"/>
              <w:jc w:val="center"/>
              <w:rPr>
                <w:rFonts w:ascii="Times New Roman" w:eastAsia="Times New Roman" w:hAnsi="Times New Roman" w:cs="Times New Roman"/>
                <w:b/>
                <w:smallCaps/>
                <w:lang w:eastAsia="hu-HU"/>
              </w:rPr>
            </w:pPr>
            <w:r>
              <w:rPr>
                <w:rFonts w:ascii="Times New Roman" w:eastAsia="Times New Roman" w:hAnsi="Times New Roman" w:cs="Times New Roman"/>
                <w:b/>
                <w:smallCaps/>
                <w:lang w:eastAsia="hu-HU"/>
              </w:rPr>
              <w:lastRenderedPageBreak/>
              <w:t>Nemzeti Közszolgálati Egyetem</w:t>
            </w:r>
          </w:p>
        </w:tc>
        <w:tc>
          <w:tcPr>
            <w:tcW w:w="1620" w:type="dxa"/>
          </w:tcPr>
          <w:p w:rsidR="00905D8D" w:rsidRDefault="00905D8D">
            <w:pPr>
              <w:spacing w:after="0" w:line="240" w:lineRule="auto"/>
              <w:jc w:val="both"/>
              <w:rPr>
                <w:rFonts w:ascii="Times New Roman" w:eastAsia="Times New Roman" w:hAnsi="Times New Roman" w:cs="Times New Roman"/>
                <w:lang w:eastAsia="hu-HU"/>
              </w:rPr>
            </w:pPr>
          </w:p>
        </w:tc>
        <w:tc>
          <w:tcPr>
            <w:tcW w:w="2597" w:type="dxa"/>
          </w:tcPr>
          <w:p w:rsidR="00905D8D" w:rsidRDefault="00905D8D">
            <w:pPr>
              <w:spacing w:after="0" w:line="240" w:lineRule="auto"/>
              <w:jc w:val="right"/>
              <w:rPr>
                <w:rFonts w:ascii="Times New Roman" w:eastAsia="Times New Roman" w:hAnsi="Times New Roman" w:cs="Times New Roman"/>
                <w:lang w:eastAsia="hu-HU"/>
              </w:rPr>
            </w:pPr>
          </w:p>
        </w:tc>
      </w:tr>
      <w:tr w:rsidR="00905D8D" w:rsidTr="00905D8D">
        <w:tc>
          <w:tcPr>
            <w:tcW w:w="4855" w:type="dxa"/>
            <w:tcBorders>
              <w:top w:val="single" w:sz="4" w:space="0" w:color="auto"/>
              <w:left w:val="nil"/>
              <w:bottom w:val="nil"/>
              <w:right w:val="nil"/>
            </w:tcBorders>
            <w:hideMark/>
          </w:tcPr>
          <w:p w:rsidR="00905D8D" w:rsidRDefault="00905D8D">
            <w:pPr>
              <w:spacing w:after="0" w:line="240" w:lineRule="auto"/>
              <w:jc w:val="center"/>
              <w:rPr>
                <w:rFonts w:ascii="Times New Roman" w:eastAsia="Times New Roman" w:hAnsi="Times New Roman" w:cs="Times New Roman"/>
                <w:b/>
                <w:lang w:eastAsia="hu-HU"/>
              </w:rPr>
            </w:pPr>
            <w:r>
              <w:rPr>
                <w:rFonts w:ascii="Times New Roman" w:eastAsia="Times New Roman" w:hAnsi="Times New Roman" w:cs="Times New Roman"/>
                <w:b/>
                <w:lang w:eastAsia="hu-HU"/>
              </w:rPr>
              <w:t>Hadtudományi és Honvédtisztképző Kar</w:t>
            </w:r>
          </w:p>
        </w:tc>
        <w:tc>
          <w:tcPr>
            <w:tcW w:w="1620" w:type="dxa"/>
          </w:tcPr>
          <w:p w:rsidR="00905D8D" w:rsidRDefault="00905D8D">
            <w:pPr>
              <w:spacing w:after="0" w:line="240" w:lineRule="auto"/>
              <w:jc w:val="both"/>
              <w:rPr>
                <w:rFonts w:ascii="Times New Roman" w:eastAsia="Times New Roman" w:hAnsi="Times New Roman" w:cs="Times New Roman"/>
                <w:lang w:eastAsia="hu-HU"/>
              </w:rPr>
            </w:pPr>
          </w:p>
        </w:tc>
        <w:tc>
          <w:tcPr>
            <w:tcW w:w="2597" w:type="dxa"/>
          </w:tcPr>
          <w:p w:rsidR="00905D8D" w:rsidRDefault="00905D8D">
            <w:pPr>
              <w:spacing w:after="0" w:line="240" w:lineRule="auto"/>
              <w:jc w:val="both"/>
              <w:rPr>
                <w:rFonts w:ascii="Times New Roman" w:eastAsia="Times New Roman" w:hAnsi="Times New Roman" w:cs="Times New Roman"/>
                <w:lang w:eastAsia="hu-HU"/>
              </w:rPr>
            </w:pPr>
          </w:p>
        </w:tc>
      </w:tr>
    </w:tbl>
    <w:p w:rsidR="00905D8D" w:rsidRDefault="00905D8D" w:rsidP="00905D8D">
      <w:pPr>
        <w:widowControl w:val="0"/>
        <w:spacing w:before="120" w:after="120" w:line="240" w:lineRule="auto"/>
        <w:ind w:left="426" w:hanging="142"/>
        <w:jc w:val="center"/>
        <w:rPr>
          <w:rFonts w:ascii="Times New Roman" w:eastAsia="Times New Roman" w:hAnsi="Times New Roman" w:cs="Times New Roman"/>
          <w:b/>
          <w:bCs/>
        </w:rPr>
      </w:pPr>
    </w:p>
    <w:p w:rsidR="00905D8D" w:rsidRDefault="00905D8D" w:rsidP="00905D8D">
      <w:pPr>
        <w:widowControl w:val="0"/>
        <w:spacing w:before="120" w:after="120" w:line="240" w:lineRule="auto"/>
        <w:ind w:left="426" w:hanging="142"/>
        <w:jc w:val="center"/>
        <w:rPr>
          <w:rFonts w:ascii="Times New Roman" w:eastAsia="Times New Roman" w:hAnsi="Times New Roman" w:cs="Times New Roman"/>
          <w:b/>
          <w:bCs/>
        </w:rPr>
      </w:pPr>
      <w:r>
        <w:rPr>
          <w:rFonts w:ascii="Times New Roman" w:eastAsia="Times New Roman" w:hAnsi="Times New Roman" w:cs="Times New Roman"/>
          <w:b/>
          <w:bCs/>
        </w:rPr>
        <w:t>TANTÁRGYI PROGRAM</w:t>
      </w:r>
    </w:p>
    <w:p w:rsidR="00905D8D" w:rsidRDefault="00905D8D" w:rsidP="00980876">
      <w:pPr>
        <w:widowControl w:val="0"/>
        <w:numPr>
          <w:ilvl w:val="0"/>
          <w:numId w:val="207"/>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 tantárgy kódja: </w:t>
      </w:r>
      <w:r>
        <w:rPr>
          <w:rFonts w:ascii="Times New Roman" w:hAnsi="Times New Roman" w:cs="Times New Roman"/>
          <w:bCs/>
        </w:rPr>
        <w:t>HKHKPA109</w:t>
      </w:r>
    </w:p>
    <w:p w:rsidR="00905D8D" w:rsidRDefault="00905D8D" w:rsidP="00980876">
      <w:pPr>
        <w:widowControl w:val="0"/>
        <w:numPr>
          <w:ilvl w:val="0"/>
          <w:numId w:val="207"/>
        </w:numPr>
        <w:spacing w:before="120" w:after="120" w:line="240" w:lineRule="auto"/>
        <w:ind w:left="426" w:hanging="142"/>
        <w:jc w:val="both"/>
        <w:rPr>
          <w:rFonts w:ascii="Times New Roman" w:eastAsia="Times New Roman" w:hAnsi="Times New Roman" w:cs="Times New Roman"/>
          <w:b/>
          <w:bCs/>
          <w:lang w:val="en-GB"/>
        </w:rPr>
      </w:pPr>
      <w:r>
        <w:rPr>
          <w:rFonts w:ascii="Times New Roman" w:eastAsia="Times New Roman" w:hAnsi="Times New Roman" w:cs="Times New Roman"/>
          <w:b/>
          <w:bCs/>
        </w:rPr>
        <w:t>A tantárgy megnevezése (magyarul):</w:t>
      </w:r>
      <w:r>
        <w:rPr>
          <w:rFonts w:ascii="Times New Roman" w:eastAsia="Times New Roman" w:hAnsi="Times New Roman" w:cs="Times New Roman"/>
          <w:bCs/>
        </w:rPr>
        <w:t xml:space="preserve"> </w:t>
      </w:r>
      <w:r>
        <w:rPr>
          <w:rFonts w:ascii="Times New Roman" w:hAnsi="Times New Roman" w:cs="Times New Roman"/>
          <w:bCs/>
        </w:rPr>
        <w:t>Hadtáp szaktechnikai eszközök</w:t>
      </w:r>
    </w:p>
    <w:p w:rsidR="00905D8D" w:rsidRDefault="00905D8D" w:rsidP="00980876">
      <w:pPr>
        <w:widowControl w:val="0"/>
        <w:numPr>
          <w:ilvl w:val="0"/>
          <w:numId w:val="207"/>
        </w:numPr>
        <w:spacing w:before="120" w:after="120" w:line="240" w:lineRule="auto"/>
        <w:ind w:left="426" w:hanging="142"/>
        <w:jc w:val="both"/>
        <w:rPr>
          <w:rFonts w:ascii="Times New Roman" w:eastAsia="Times New Roman" w:hAnsi="Times New Roman" w:cs="Times New Roman"/>
          <w:bCs/>
          <w:lang w:val="en-GB"/>
        </w:rPr>
      </w:pPr>
      <w:r>
        <w:rPr>
          <w:rFonts w:ascii="Times New Roman" w:eastAsia="Times New Roman" w:hAnsi="Times New Roman" w:cs="Times New Roman"/>
          <w:b/>
          <w:bCs/>
        </w:rPr>
        <w:t>A tantárgy megnevezése (angolul):</w:t>
      </w:r>
      <w:r>
        <w:rPr>
          <w:rFonts w:ascii="Times New Roman" w:eastAsia="Times New Roman" w:hAnsi="Times New Roman" w:cs="Times New Roman"/>
          <w:bCs/>
          <w:sz w:val="24"/>
          <w:szCs w:val="24"/>
          <w:lang w:eastAsia="x-none"/>
        </w:rPr>
        <w:t xml:space="preserve"> Technical Equipment of the Army Supply Services</w:t>
      </w:r>
      <w:r>
        <w:rPr>
          <w:rFonts w:ascii="Times New Roman" w:eastAsia="Times New Roman" w:hAnsi="Times New Roman" w:cs="Times New Roman"/>
          <w:b/>
          <w:bCs/>
        </w:rPr>
        <w:t xml:space="preserve"> </w:t>
      </w:r>
    </w:p>
    <w:p w:rsidR="00905D8D" w:rsidRDefault="00905D8D" w:rsidP="00980876">
      <w:pPr>
        <w:widowControl w:val="0"/>
        <w:numPr>
          <w:ilvl w:val="0"/>
          <w:numId w:val="207"/>
        </w:numPr>
        <w:tabs>
          <w:tab w:val="num" w:pos="567"/>
        </w:tabs>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Kreditérték és képzési karakter: </w:t>
      </w:r>
    </w:p>
    <w:p w:rsidR="00905D8D" w:rsidRDefault="00905D8D" w:rsidP="00980876">
      <w:pPr>
        <w:pStyle w:val="Listaszerbekezds"/>
        <w:widowControl w:val="0"/>
        <w:numPr>
          <w:ilvl w:val="1"/>
          <w:numId w:val="207"/>
        </w:numPr>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4 kredit</w:t>
      </w:r>
    </w:p>
    <w:p w:rsidR="00905D8D" w:rsidRDefault="00905D8D" w:rsidP="00980876">
      <w:pPr>
        <w:pStyle w:val="Listaszerbekezds"/>
        <w:widowControl w:val="0"/>
        <w:numPr>
          <w:ilvl w:val="1"/>
          <w:numId w:val="207"/>
        </w:numPr>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a tantárgy elméleti vagy gyakorlati jellegének mértéke: 33</w:t>
      </w:r>
      <w:r>
        <w:rPr>
          <w:rFonts w:ascii="Times New Roman" w:eastAsia="Times New Roman" w:hAnsi="Times New Roman" w:cs="Times New Roman"/>
          <w:b/>
          <w:bCs/>
        </w:rPr>
        <w:t xml:space="preserve"> </w:t>
      </w:r>
      <w:r>
        <w:rPr>
          <w:rFonts w:ascii="Times New Roman" w:eastAsia="Times New Roman" w:hAnsi="Times New Roman" w:cs="Times New Roman"/>
          <w:bCs/>
        </w:rPr>
        <w:t>% elmélet,  67 % gyakorlat</w:t>
      </w:r>
    </w:p>
    <w:p w:rsidR="00905D8D" w:rsidRDefault="00905D8D" w:rsidP="00980876">
      <w:pPr>
        <w:widowControl w:val="0"/>
        <w:numPr>
          <w:ilvl w:val="0"/>
          <w:numId w:val="207"/>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szak(ok), szakirányok/specializációk megnevezése (ahol oktatják):</w:t>
      </w:r>
      <w:r>
        <w:rPr>
          <w:rFonts w:ascii="Times New Roman" w:eastAsia="Times New Roman" w:hAnsi="Times New Roman" w:cs="Times New Roman"/>
          <w:bCs/>
        </w:rPr>
        <w:t xml:space="preserve"> </w:t>
      </w:r>
      <w:r>
        <w:rPr>
          <w:rFonts w:ascii="Times New Roman" w:hAnsi="Times New Roman" w:cs="Times New Roman"/>
          <w:bCs/>
        </w:rPr>
        <w:t>Katonai logisztika alapképzési (</w:t>
      </w:r>
      <w:r w:rsidR="00137B8A">
        <w:rPr>
          <w:rFonts w:ascii="Times New Roman" w:hAnsi="Times New Roman" w:cs="Times New Roman"/>
          <w:bCs/>
        </w:rPr>
        <w:t>BSc</w:t>
      </w:r>
      <w:r>
        <w:rPr>
          <w:rFonts w:ascii="Times New Roman" w:hAnsi="Times New Roman" w:cs="Times New Roman"/>
          <w:bCs/>
        </w:rPr>
        <w:t>) szak</w:t>
      </w:r>
    </w:p>
    <w:p w:rsidR="00905D8D" w:rsidRDefault="00905D8D" w:rsidP="00980876">
      <w:pPr>
        <w:widowControl w:val="0"/>
        <w:numPr>
          <w:ilvl w:val="0"/>
          <w:numId w:val="207"/>
        </w:numPr>
        <w:tabs>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Az oktatásért felelős oktatási szervezeti egység megnevezése: </w:t>
      </w:r>
      <w:r>
        <w:rPr>
          <w:rFonts w:ascii="Times New Roman" w:hAnsi="Times New Roman" w:cs="Times New Roman"/>
          <w:bCs/>
        </w:rPr>
        <w:t>NKE HHK Hadtáp, Pénzügyi és Katonai Közlekedési Tanszék</w:t>
      </w:r>
    </w:p>
    <w:p w:rsidR="00905D8D" w:rsidRDefault="00905D8D" w:rsidP="00980876">
      <w:pPr>
        <w:widowControl w:val="0"/>
        <w:numPr>
          <w:ilvl w:val="0"/>
          <w:numId w:val="207"/>
        </w:numPr>
        <w:tabs>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tantárgyfelelős oktató neve, beosztása, tudományos fokozata:</w:t>
      </w:r>
      <w:r>
        <w:rPr>
          <w:rFonts w:ascii="Times New Roman" w:eastAsia="Times New Roman" w:hAnsi="Times New Roman" w:cs="Times New Roman"/>
          <w:bCs/>
        </w:rPr>
        <w:t xml:space="preserve"> </w:t>
      </w:r>
      <w:r>
        <w:rPr>
          <w:rFonts w:ascii="Times New Roman" w:hAnsi="Times New Roman" w:cs="Times New Roman"/>
          <w:bCs/>
        </w:rPr>
        <w:t>Dr. Venekei József Péter, egyetemi adjunktus, (PhD)</w:t>
      </w:r>
    </w:p>
    <w:p w:rsidR="00905D8D" w:rsidRDefault="00905D8D" w:rsidP="00980876">
      <w:pPr>
        <w:widowControl w:val="0"/>
        <w:numPr>
          <w:ilvl w:val="0"/>
          <w:numId w:val="207"/>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tanórák száma és típusa</w:t>
      </w:r>
    </w:p>
    <w:p w:rsidR="00905D8D" w:rsidRPr="00E417A4" w:rsidRDefault="00905D8D" w:rsidP="00980876">
      <w:pPr>
        <w:widowControl w:val="0"/>
        <w:numPr>
          <w:ilvl w:val="1"/>
          <w:numId w:val="207"/>
        </w:numPr>
        <w:tabs>
          <w:tab w:val="num" w:pos="709"/>
          <w:tab w:val="num" w:pos="2069"/>
        </w:tabs>
        <w:spacing w:before="120" w:after="120" w:line="240" w:lineRule="auto"/>
        <w:ind w:left="851" w:hanging="425"/>
        <w:jc w:val="both"/>
        <w:rPr>
          <w:rFonts w:ascii="Times New Roman" w:eastAsia="Times New Roman" w:hAnsi="Times New Roman" w:cs="Times New Roman"/>
          <w:bCs/>
          <w:highlight w:val="yellow"/>
        </w:rPr>
      </w:pPr>
      <w:r>
        <w:rPr>
          <w:rFonts w:ascii="Times New Roman" w:eastAsia="Times New Roman" w:hAnsi="Times New Roman" w:cs="Times New Roman"/>
          <w:bCs/>
        </w:rPr>
        <w:t xml:space="preserve">össz óraszám/félév: </w:t>
      </w:r>
      <w:r w:rsidRPr="00E417A4">
        <w:rPr>
          <w:rFonts w:ascii="Times New Roman" w:eastAsia="Times New Roman" w:hAnsi="Times New Roman" w:cs="Times New Roman"/>
          <w:bCs/>
          <w:highlight w:val="yellow"/>
        </w:rPr>
        <w:t>4</w:t>
      </w:r>
      <w:r w:rsidR="00E417A4" w:rsidRPr="00E417A4">
        <w:rPr>
          <w:rFonts w:ascii="Times New Roman" w:eastAsia="Times New Roman" w:hAnsi="Times New Roman" w:cs="Times New Roman"/>
          <w:bCs/>
          <w:highlight w:val="yellow"/>
        </w:rPr>
        <w:t>2</w:t>
      </w:r>
    </w:p>
    <w:p w:rsidR="00905D8D" w:rsidRDefault="00905D8D" w:rsidP="00980876">
      <w:pPr>
        <w:widowControl w:val="0"/>
        <w:numPr>
          <w:ilvl w:val="2"/>
          <w:numId w:val="207"/>
        </w:numPr>
        <w:tabs>
          <w:tab w:val="num" w:pos="709"/>
          <w:tab w:val="num" w:pos="1134"/>
        </w:tabs>
        <w:spacing w:before="120" w:after="120" w:line="240" w:lineRule="auto"/>
        <w:ind w:left="993" w:hanging="425"/>
        <w:jc w:val="both"/>
        <w:rPr>
          <w:rFonts w:ascii="Times New Roman" w:eastAsia="Times New Roman" w:hAnsi="Times New Roman" w:cs="Times New Roman"/>
          <w:bCs/>
        </w:rPr>
      </w:pPr>
      <w:r>
        <w:rPr>
          <w:rFonts w:ascii="Times New Roman" w:eastAsia="Times New Roman" w:hAnsi="Times New Roman" w:cs="Times New Roman"/>
          <w:bCs/>
        </w:rPr>
        <w:t xml:space="preserve">nappali munkarend: </w:t>
      </w:r>
      <w:r w:rsidRPr="00E417A4">
        <w:rPr>
          <w:rFonts w:ascii="Times New Roman" w:eastAsia="Times New Roman" w:hAnsi="Times New Roman" w:cs="Times New Roman"/>
          <w:bCs/>
          <w:highlight w:val="yellow"/>
        </w:rPr>
        <w:t>4</w:t>
      </w:r>
      <w:r w:rsidR="00E417A4" w:rsidRPr="00E417A4">
        <w:rPr>
          <w:rFonts w:ascii="Times New Roman" w:eastAsia="Times New Roman" w:hAnsi="Times New Roman" w:cs="Times New Roman"/>
          <w:bCs/>
          <w:highlight w:val="yellow"/>
        </w:rPr>
        <w:t>2</w:t>
      </w:r>
      <w:r>
        <w:rPr>
          <w:rFonts w:ascii="Times New Roman" w:eastAsia="Times New Roman" w:hAnsi="Times New Roman" w:cs="Times New Roman"/>
          <w:bCs/>
        </w:rPr>
        <w:t xml:space="preserve"> (14 EA + 0 SZ + 28 GY)</w:t>
      </w:r>
    </w:p>
    <w:p w:rsidR="00905D8D" w:rsidRDefault="00905D8D" w:rsidP="00980876">
      <w:pPr>
        <w:widowControl w:val="0"/>
        <w:numPr>
          <w:ilvl w:val="2"/>
          <w:numId w:val="207"/>
        </w:numPr>
        <w:tabs>
          <w:tab w:val="num" w:pos="709"/>
          <w:tab w:val="num" w:pos="1134"/>
        </w:tabs>
        <w:spacing w:before="120" w:after="120" w:line="240" w:lineRule="auto"/>
        <w:ind w:left="993" w:hanging="425"/>
        <w:jc w:val="both"/>
        <w:rPr>
          <w:rFonts w:ascii="Times New Roman" w:eastAsia="Times New Roman" w:hAnsi="Times New Roman" w:cs="Times New Roman"/>
          <w:bCs/>
        </w:rPr>
      </w:pPr>
      <w:r>
        <w:rPr>
          <w:rFonts w:ascii="Times New Roman" w:eastAsia="Times New Roman" w:hAnsi="Times New Roman" w:cs="Times New Roman"/>
          <w:bCs/>
        </w:rPr>
        <w:t>levelező munkarend: -</w:t>
      </w:r>
    </w:p>
    <w:p w:rsidR="00905D8D" w:rsidRDefault="00905D8D" w:rsidP="00980876">
      <w:pPr>
        <w:widowControl w:val="0"/>
        <w:numPr>
          <w:ilvl w:val="1"/>
          <w:numId w:val="207"/>
        </w:numPr>
        <w:tabs>
          <w:tab w:val="num" w:pos="709"/>
          <w:tab w:val="num" w:pos="2069"/>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heti óraszám - nappali munkarend: 3</w:t>
      </w:r>
    </w:p>
    <w:p w:rsidR="00905D8D" w:rsidRDefault="00905D8D" w:rsidP="00980876">
      <w:pPr>
        <w:widowControl w:val="0"/>
        <w:numPr>
          <w:ilvl w:val="1"/>
          <w:numId w:val="207"/>
        </w:numPr>
        <w:tabs>
          <w:tab w:val="num" w:pos="709"/>
          <w:tab w:val="num" w:pos="2069"/>
        </w:tabs>
        <w:spacing w:before="120" w:after="120" w:line="240" w:lineRule="auto"/>
        <w:ind w:left="851" w:hanging="425"/>
        <w:jc w:val="both"/>
        <w:rPr>
          <w:rFonts w:ascii="Times New Roman" w:eastAsia="Times New Roman" w:hAnsi="Times New Roman" w:cs="Times New Roman"/>
          <w:bCs/>
        </w:rPr>
      </w:pPr>
      <w:r>
        <w:rPr>
          <w:rFonts w:ascii="Times New Roman" w:hAnsi="Times New Roman" w:cs="Times New Roman"/>
        </w:rPr>
        <w:t>Az ismeret átadásában alkalmazandó további sajátos módok, jellemzők:</w:t>
      </w:r>
      <w:r>
        <w:rPr>
          <w:rFonts w:ascii="Times New Roman" w:hAnsi="Times New Roman" w:cs="Times New Roman"/>
          <w:i/>
        </w:rPr>
        <w:t xml:space="preserve"> –</w:t>
      </w:r>
    </w:p>
    <w:p w:rsidR="00905D8D" w:rsidRDefault="00905D8D" w:rsidP="00980876">
      <w:pPr>
        <w:widowControl w:val="0"/>
        <w:numPr>
          <w:ilvl w:val="0"/>
          <w:numId w:val="207"/>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 tantárgy szakmai tartalma (magyarul): </w:t>
      </w:r>
      <w:r>
        <w:rPr>
          <w:rFonts w:ascii="Times New Roman" w:hAnsi="Times New Roman" w:cs="Times New Roman"/>
          <w:bCs/>
        </w:rPr>
        <w:t>A tantárgy a vas- és acélgyártás, az alumíniumgyártás technológiájának alapjaival, a fémfeldolgozás termékeivel, az üzemanyag szolgálat szaktechnikai eszközeinek felosztásával, az üzemanyag tároló eszközökkel és az üzemanyag szállító- és kiszolgáló eszközökkel foglalkozik. Bemutatja az élelmezési szolgálat szaktechnikai eszközeinek felosztását, a konyhagépek szerepét a katonai ellátásban, a tábori élelmezési szaktechnikai eszközöket és felszereléseket, az ivóvíz szállítás, az ételkészítés, a kenyérellátás és a hűtés tábori technikai eszközeit, valamint a kenyértároló szaktechnikai eszközöket.</w:t>
      </w:r>
    </w:p>
    <w:p w:rsidR="00905D8D" w:rsidRDefault="00905D8D" w:rsidP="00905D8D">
      <w:pPr>
        <w:widowControl w:val="0"/>
        <w:spacing w:before="120" w:after="120" w:line="240" w:lineRule="auto"/>
        <w:ind w:left="426"/>
        <w:jc w:val="both"/>
        <w:rPr>
          <w:rFonts w:ascii="Times New Roman" w:eastAsia="Times New Roman" w:hAnsi="Times New Roman" w:cs="Times New Roman"/>
          <w:b/>
          <w:bCs/>
        </w:rPr>
      </w:pPr>
      <w:r>
        <w:rPr>
          <w:rFonts w:ascii="Times New Roman" w:eastAsia="Times New Roman" w:hAnsi="Times New Roman" w:cs="Times New Roman"/>
          <w:b/>
          <w:bCs/>
        </w:rPr>
        <w:t xml:space="preserve">A tantárgy szakmai tartalma (angolul) (Course description): </w:t>
      </w:r>
    </w:p>
    <w:p w:rsidR="00905D8D" w:rsidRDefault="00905D8D" w:rsidP="00905D8D">
      <w:pPr>
        <w:widowControl w:val="0"/>
        <w:spacing w:before="120" w:after="120" w:line="240" w:lineRule="auto"/>
        <w:ind w:left="426"/>
        <w:jc w:val="both"/>
        <w:rPr>
          <w:rFonts w:ascii="Times New Roman" w:eastAsia="Times New Roman" w:hAnsi="Times New Roman" w:cs="Times New Roman"/>
          <w:bCs/>
        </w:rPr>
      </w:pPr>
      <w:r>
        <w:rPr>
          <w:rFonts w:ascii="Times New Roman" w:eastAsia="Times New Roman" w:hAnsi="Times New Roman" w:cs="Times New Roman"/>
          <w:bCs/>
        </w:rPr>
        <w:t>The subject deals with the basics of iron, steel and aluminium production technology, products of metal processing technology, grouping of technical equipment of military units’ fuel services, equipment for fuel storage and the equipment for fuel transportation. It also introduces the grouping of the technical equipment of military units’ food services, the role of kitchen devices in military supply tasks, the field food service equipment including the technical equipment for water and bread supply.</w:t>
      </w:r>
    </w:p>
    <w:p w:rsidR="00905D8D" w:rsidRDefault="00905D8D" w:rsidP="00980876">
      <w:pPr>
        <w:widowControl w:val="0"/>
        <w:numPr>
          <w:ilvl w:val="0"/>
          <w:numId w:val="207"/>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Elérendő kompetenciák (magyarul):</w:t>
      </w:r>
    </w:p>
    <w:p w:rsidR="00905D8D" w:rsidRDefault="00905D8D" w:rsidP="00905D8D">
      <w:pPr>
        <w:widowControl w:val="0"/>
        <w:spacing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Tudása:</w:t>
      </w:r>
    </w:p>
    <w:p w:rsidR="00905D8D" w:rsidRDefault="00905D8D" w:rsidP="00905D8D">
      <w:pPr>
        <w:widowControl w:val="0"/>
        <w:spacing w:before="120" w:after="120" w:line="240" w:lineRule="auto"/>
        <w:ind w:left="993" w:hanging="360"/>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Ismeri a hadtáp szakterület szaktechnikai eszközeinek működését.</w:t>
      </w:r>
    </w:p>
    <w:p w:rsidR="00905D8D" w:rsidRDefault="00905D8D" w:rsidP="00905D8D">
      <w:pPr>
        <w:widowControl w:val="0"/>
        <w:spacing w:before="120" w:after="0" w:line="240" w:lineRule="auto"/>
        <w:ind w:left="425"/>
        <w:jc w:val="both"/>
        <w:rPr>
          <w:rFonts w:ascii="Times New Roman" w:eastAsia="Times New Roman" w:hAnsi="Times New Roman" w:cs="Times New Roman"/>
          <w:b/>
          <w:bCs/>
        </w:rPr>
      </w:pPr>
      <w:r>
        <w:rPr>
          <w:rFonts w:ascii="Times New Roman" w:eastAsia="Times New Roman" w:hAnsi="Times New Roman" w:cs="Times New Roman"/>
          <w:b/>
          <w:bCs/>
        </w:rPr>
        <w:t>Képességei:</w:t>
      </w:r>
    </w:p>
    <w:p w:rsidR="00905D8D" w:rsidRDefault="00905D8D" w:rsidP="00905D8D">
      <w:pPr>
        <w:widowControl w:val="0"/>
        <w:spacing w:before="120" w:after="120" w:line="240" w:lineRule="auto"/>
        <w:ind w:left="993" w:hanging="360"/>
        <w:contextualSpacing/>
        <w:jc w:val="both"/>
        <w:rPr>
          <w:rFonts w:ascii="Times New Roman" w:eastAsia="Times New Roman" w:hAnsi="Times New Roman" w:cs="Times New Roman"/>
          <w:bCs/>
        </w:rPr>
      </w:pPr>
      <w:r>
        <w:rPr>
          <w:rFonts w:ascii="Times New Roman" w:eastAsia="Times New Roman" w:hAnsi="Times New Roman" w:cs="Times New Roman"/>
          <w:bCs/>
        </w:rPr>
        <w:t>-</w:t>
      </w:r>
      <w:r>
        <w:rPr>
          <w:rFonts w:ascii="Times New Roman" w:eastAsia="Times New Roman" w:hAnsi="Times New Roman" w:cs="Times New Roman"/>
          <w:bCs/>
        </w:rPr>
        <w:tab/>
        <w:t>Képes beosztottjainak a hadtáp szaktechnikai eszközök használatára történő kiképzését megszervezni és végrehajtani.</w:t>
      </w:r>
    </w:p>
    <w:p w:rsidR="00905D8D" w:rsidRDefault="00905D8D" w:rsidP="00905D8D">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Attitűdje:</w:t>
      </w:r>
      <w:r>
        <w:rPr>
          <w:rFonts w:ascii="Times New Roman" w:eastAsia="Times New Roman" w:hAnsi="Times New Roman" w:cs="Times New Roman"/>
          <w:bCs/>
        </w:rPr>
        <w:t xml:space="preserve"> </w:t>
      </w:r>
    </w:p>
    <w:p w:rsidR="00905D8D" w:rsidRDefault="00905D8D" w:rsidP="00905D8D">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 xml:space="preserve">A hadtáp szakmai feladatok ellátása során a rendszerszemlélet és jó szervezőkészség </w:t>
      </w:r>
      <w:r>
        <w:rPr>
          <w:rFonts w:ascii="Times New Roman" w:eastAsia="Times New Roman" w:hAnsi="Times New Roman"/>
          <w:bCs/>
        </w:rPr>
        <w:lastRenderedPageBreak/>
        <w:t>jellemzi.</w:t>
      </w:r>
    </w:p>
    <w:p w:rsidR="00905D8D" w:rsidRDefault="00905D8D" w:rsidP="00905D8D">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Nyitott a hadtáp szakterület új tudományos eredményei iránt, képes a hadtáp szakterületen bekövetkező változásokhoz és fejlődéshez jól alkalmazkodni.</w:t>
      </w:r>
    </w:p>
    <w:p w:rsidR="00905D8D" w:rsidRDefault="00905D8D" w:rsidP="00905D8D">
      <w:pPr>
        <w:widowControl w:val="0"/>
        <w:spacing w:before="24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Autonómiája és felelőssége:</w:t>
      </w:r>
    </w:p>
    <w:p w:rsidR="00905D8D" w:rsidRDefault="00905D8D" w:rsidP="00905D8D">
      <w:pPr>
        <w:widowControl w:val="0"/>
        <w:spacing w:before="120" w:after="120" w:line="240" w:lineRule="auto"/>
        <w:ind w:left="993" w:hanging="360"/>
        <w:contextualSpacing/>
        <w:jc w:val="both"/>
        <w:rPr>
          <w:rFonts w:ascii="Times New Roman" w:hAnsi="Times New Roman" w:cs="Times New Roman"/>
        </w:rPr>
      </w:pPr>
      <w:r>
        <w:rPr>
          <w:rFonts w:ascii="Times New Roman" w:eastAsia="Times New Roman" w:hAnsi="Times New Roman"/>
          <w:bCs/>
        </w:rPr>
        <w:t>-</w:t>
      </w:r>
      <w:r>
        <w:rPr>
          <w:rFonts w:ascii="Times New Roman" w:eastAsia="Times New Roman" w:hAnsi="Times New Roman"/>
          <w:bCs/>
        </w:rPr>
        <w:tab/>
        <w:t>Az</w:t>
      </w:r>
      <w:r>
        <w:rPr>
          <w:rFonts w:ascii="Times New Roman" w:hAnsi="Times New Roman" w:cs="Times New Roman"/>
        </w:rPr>
        <w:t xml:space="preserve"> ellátási folyamatok végrehajtása során önállóan döntéseket hoz, azokat felelősséggel, a jogszabályi keretek figyelembevételével végrehajtja.</w:t>
      </w:r>
    </w:p>
    <w:p w:rsidR="00905D8D" w:rsidRDefault="00905D8D" w:rsidP="00905D8D">
      <w:pPr>
        <w:widowControl w:val="0"/>
        <w:spacing w:before="120" w:after="120" w:line="240" w:lineRule="auto"/>
        <w:ind w:left="993" w:hanging="360"/>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Felelősséget vállal a rábízott hadtáp szaktechnikai eszközökért.</w:t>
      </w:r>
    </w:p>
    <w:p w:rsidR="00905D8D" w:rsidRDefault="00905D8D" w:rsidP="00905D8D">
      <w:pPr>
        <w:widowControl w:val="0"/>
        <w:spacing w:before="240" w:after="0" w:line="240" w:lineRule="auto"/>
        <w:ind w:left="425"/>
        <w:jc w:val="both"/>
        <w:rPr>
          <w:rFonts w:ascii="Times New Roman" w:eastAsia="Times New Roman" w:hAnsi="Times New Roman" w:cs="Times New Roman"/>
          <w:b/>
          <w:bCs/>
          <w:lang w:val="en-US"/>
        </w:rPr>
      </w:pPr>
      <w:r>
        <w:rPr>
          <w:rFonts w:ascii="Times New Roman" w:eastAsia="Times New Roman" w:hAnsi="Times New Roman" w:cs="Times New Roman"/>
          <w:b/>
          <w:bCs/>
        </w:rPr>
        <w:t>Elérendő kompetenciák (angolul) (</w:t>
      </w:r>
      <w:r>
        <w:rPr>
          <w:rFonts w:ascii="Times New Roman" w:eastAsia="Times New Roman" w:hAnsi="Times New Roman" w:cs="Times New Roman"/>
          <w:b/>
          <w:bCs/>
          <w:lang w:val="en-US"/>
        </w:rPr>
        <w:t xml:space="preserve">Competences – English): </w:t>
      </w:r>
    </w:p>
    <w:p w:rsidR="00905D8D" w:rsidRDefault="00905D8D" w:rsidP="00905D8D">
      <w:pPr>
        <w:widowControl w:val="0"/>
        <w:spacing w:before="120" w:after="0" w:line="240" w:lineRule="auto"/>
        <w:ind w:left="425"/>
        <w:jc w:val="both"/>
        <w:rPr>
          <w:rFonts w:ascii="Times New Roman" w:eastAsia="Times New Roman" w:hAnsi="Times New Roman" w:cs="Times New Roman"/>
          <w:lang w:val="en-GB"/>
        </w:rPr>
      </w:pPr>
      <w:r>
        <w:rPr>
          <w:rFonts w:ascii="Times New Roman" w:eastAsia="Times New Roman" w:hAnsi="Times New Roman" w:cs="Times New Roman"/>
          <w:b/>
          <w:lang w:val="en-GB"/>
        </w:rPr>
        <w:t>Knowledge</w:t>
      </w:r>
      <w:r>
        <w:rPr>
          <w:rFonts w:ascii="Times New Roman" w:eastAsia="Times New Roman" w:hAnsi="Times New Roman" w:cs="Times New Roman"/>
          <w:lang w:val="en-GB"/>
        </w:rPr>
        <w:t xml:space="preserve">: </w:t>
      </w:r>
    </w:p>
    <w:p w:rsidR="00905D8D" w:rsidRDefault="00905D8D" w:rsidP="00905D8D">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Knows the operation of the technical equipment used in the Army Supply Services.</w:t>
      </w:r>
    </w:p>
    <w:p w:rsidR="00905D8D" w:rsidRDefault="00905D8D" w:rsidP="00905D8D">
      <w:pPr>
        <w:widowControl w:val="0"/>
        <w:spacing w:before="120" w:after="0" w:line="240" w:lineRule="auto"/>
        <w:ind w:left="425"/>
        <w:jc w:val="both"/>
        <w:rPr>
          <w:rFonts w:ascii="Times New Roman" w:eastAsia="Times New Roman" w:hAnsi="Times New Roman" w:cs="Times New Roman"/>
          <w:lang w:val="en-GB"/>
        </w:rPr>
      </w:pPr>
      <w:r>
        <w:rPr>
          <w:rFonts w:ascii="Times New Roman" w:eastAsia="Times New Roman" w:hAnsi="Times New Roman" w:cs="Times New Roman"/>
          <w:b/>
          <w:lang w:val="en-GB"/>
        </w:rPr>
        <w:t>Capabilities</w:t>
      </w:r>
      <w:r>
        <w:rPr>
          <w:rFonts w:ascii="Times New Roman" w:eastAsia="Times New Roman" w:hAnsi="Times New Roman" w:cs="Times New Roman"/>
          <w:lang w:val="en-GB"/>
        </w:rPr>
        <w:t xml:space="preserve">: </w:t>
      </w:r>
    </w:p>
    <w:p w:rsidR="00905D8D" w:rsidRDefault="00905D8D" w:rsidP="00905D8D">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To be capable of operating the technical equipment of the Army Supply Services.</w:t>
      </w:r>
    </w:p>
    <w:p w:rsidR="00905D8D" w:rsidRDefault="00905D8D" w:rsidP="00905D8D">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To be capable of organizing and delivering training for his/her staff in the operation of technical equipment of the Army Supply Services.</w:t>
      </w:r>
    </w:p>
    <w:p w:rsidR="00905D8D" w:rsidRDefault="00905D8D" w:rsidP="0090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425"/>
        <w:jc w:val="both"/>
        <w:rPr>
          <w:rFonts w:ascii="Times New Roman" w:eastAsia="Times New Roman" w:hAnsi="Times New Roman" w:cs="Times New Roman"/>
          <w:lang w:val="en-GB"/>
        </w:rPr>
      </w:pPr>
      <w:r>
        <w:rPr>
          <w:rFonts w:ascii="Times New Roman" w:eastAsia="Times New Roman" w:hAnsi="Times New Roman" w:cs="Times New Roman"/>
          <w:b/>
          <w:lang w:val="en-GB"/>
        </w:rPr>
        <w:t>Attitude:</w:t>
      </w:r>
      <w:r>
        <w:rPr>
          <w:rFonts w:ascii="Times New Roman" w:eastAsia="Times New Roman" w:hAnsi="Times New Roman" w:cs="Times New Roman"/>
          <w:lang w:val="en-GB"/>
        </w:rPr>
        <w:t xml:space="preserve"> </w:t>
      </w:r>
    </w:p>
    <w:p w:rsidR="00905D8D" w:rsidRDefault="00905D8D" w:rsidP="00905D8D">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His/Her professional work is characterized by a systemic approach and good organizational skills.</w:t>
      </w:r>
    </w:p>
    <w:p w:rsidR="00905D8D" w:rsidRDefault="00905D8D" w:rsidP="00905D8D">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He/She is open to new scientific achievements, and well adapted to changes and developments in the field of supply.</w:t>
      </w:r>
    </w:p>
    <w:p w:rsidR="00905D8D" w:rsidRDefault="00905D8D" w:rsidP="00905D8D">
      <w:pPr>
        <w:widowControl w:val="0"/>
        <w:spacing w:before="24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lang w:val="en-GB"/>
        </w:rPr>
        <w:t xml:space="preserve">Autonomy and responsibility: </w:t>
      </w:r>
    </w:p>
    <w:p w:rsidR="00905D8D" w:rsidRDefault="00905D8D" w:rsidP="00905D8D">
      <w:pPr>
        <w:widowControl w:val="0"/>
        <w:spacing w:before="120" w:after="120" w:line="240" w:lineRule="auto"/>
        <w:ind w:left="993" w:hanging="360"/>
        <w:contextualSpacing/>
        <w:jc w:val="both"/>
        <w:rPr>
          <w:rFonts w:ascii="Times New Roman" w:eastAsia="Times New Roman" w:hAnsi="Times New Roman" w:cs="Times New Roman"/>
          <w:bCs/>
          <w:lang w:val="en-US"/>
        </w:rPr>
      </w:pPr>
      <w:r>
        <w:rPr>
          <w:rFonts w:ascii="Times New Roman" w:eastAsia="Times New Roman" w:hAnsi="Times New Roman" w:cs="Times New Roman"/>
          <w:bCs/>
          <w:lang w:val="en-US"/>
        </w:rPr>
        <w:t>-</w:t>
      </w:r>
      <w:r>
        <w:rPr>
          <w:rFonts w:ascii="Times New Roman" w:eastAsia="Times New Roman" w:hAnsi="Times New Roman" w:cs="Times New Roman"/>
          <w:bCs/>
          <w:lang w:val="en-US"/>
        </w:rPr>
        <w:tab/>
        <w:t xml:space="preserve">In </w:t>
      </w:r>
      <w:r>
        <w:rPr>
          <w:rFonts w:ascii="Times New Roman" w:eastAsia="Times New Roman" w:hAnsi="Times New Roman"/>
          <w:bCs/>
        </w:rPr>
        <w:t>the</w:t>
      </w:r>
      <w:r>
        <w:rPr>
          <w:rFonts w:ascii="Times New Roman" w:eastAsia="Times New Roman" w:hAnsi="Times New Roman" w:cs="Times New Roman"/>
          <w:bCs/>
          <w:lang w:val="en-US"/>
        </w:rPr>
        <w:t xml:space="preserve"> course of the implementation of the supply processes, he/she makes decisions independently, executes them in a highly responsible way and within the legal framework.</w:t>
      </w:r>
    </w:p>
    <w:p w:rsidR="00905D8D" w:rsidRDefault="00905D8D" w:rsidP="00905D8D">
      <w:pPr>
        <w:widowControl w:val="0"/>
        <w:spacing w:before="120" w:after="120" w:line="240" w:lineRule="auto"/>
        <w:ind w:left="993" w:hanging="360"/>
        <w:contextualSpacing/>
        <w:jc w:val="both"/>
        <w:rPr>
          <w:rFonts w:ascii="Times New Roman" w:eastAsia="Times New Roman" w:hAnsi="Times New Roman" w:cs="Times New Roman"/>
          <w:bCs/>
          <w:lang w:val="en-US"/>
        </w:rPr>
      </w:pPr>
      <w:r>
        <w:rPr>
          <w:rFonts w:ascii="Times New Roman" w:eastAsia="Times New Roman" w:hAnsi="Times New Roman" w:cs="Times New Roman"/>
          <w:bCs/>
          <w:lang w:val="en-US"/>
        </w:rPr>
        <w:t>-</w:t>
      </w:r>
      <w:r>
        <w:rPr>
          <w:rFonts w:ascii="Times New Roman" w:eastAsia="Times New Roman" w:hAnsi="Times New Roman" w:cs="Times New Roman"/>
          <w:bCs/>
          <w:lang w:val="en-US"/>
        </w:rPr>
        <w:tab/>
        <w:t xml:space="preserve">He/She is responsible for the provided technical equipment.  </w:t>
      </w:r>
    </w:p>
    <w:p w:rsidR="00905D8D" w:rsidRDefault="00905D8D" w:rsidP="00980876">
      <w:pPr>
        <w:widowControl w:val="0"/>
        <w:numPr>
          <w:ilvl w:val="0"/>
          <w:numId w:val="207"/>
        </w:numPr>
        <w:tabs>
          <w:tab w:val="num" w:pos="567"/>
        </w:tabs>
        <w:spacing w:before="24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Előtanulmányi követelmények: -</w:t>
      </w:r>
      <w:r>
        <w:rPr>
          <w:rFonts w:ascii="Times New Roman" w:eastAsia="Times New Roman" w:hAnsi="Times New Roman" w:cs="Times New Roman"/>
          <w:bCs/>
          <w:color w:val="FF0000"/>
          <w:sz w:val="24"/>
          <w:szCs w:val="24"/>
          <w:lang w:eastAsia="x-none"/>
        </w:rPr>
        <w:t xml:space="preserve"> </w:t>
      </w:r>
    </w:p>
    <w:p w:rsidR="00905D8D" w:rsidRDefault="00905D8D" w:rsidP="00980876">
      <w:pPr>
        <w:widowControl w:val="0"/>
        <w:numPr>
          <w:ilvl w:val="0"/>
          <w:numId w:val="207"/>
        </w:numPr>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A tantárgy tananyagának leírása, tematika. Description of the subject, curriculum (magyarul, angolul - English):</w:t>
      </w:r>
    </w:p>
    <w:p w:rsidR="00905D8D" w:rsidRDefault="00905D8D" w:rsidP="00980876">
      <w:pPr>
        <w:widowControl w:val="0"/>
        <w:numPr>
          <w:ilvl w:val="1"/>
          <w:numId w:val="207"/>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Az üzemanyag szolgálatnál alkalmazott konstrukciós anyagok gyártástechnológiája és jellemzése. </w:t>
      </w:r>
      <w:r>
        <w:rPr>
          <w:rFonts w:ascii="Times New Roman" w:eastAsia="Times New Roman" w:hAnsi="Times New Roman" w:cs="Times New Roman"/>
          <w:i/>
          <w:kern w:val="2"/>
        </w:rPr>
        <w:t>(Production Technology and Characterization of Construction Materials used in Fuel Service.)</w:t>
      </w:r>
    </w:p>
    <w:p w:rsidR="00905D8D" w:rsidRDefault="00905D8D" w:rsidP="00980876">
      <w:pPr>
        <w:widowControl w:val="0"/>
        <w:numPr>
          <w:ilvl w:val="1"/>
          <w:numId w:val="207"/>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Üzemanyag tároló-, szállító- és kiszolgáló eszközök jellemzése és alkalmazása. </w:t>
      </w:r>
      <w:r>
        <w:rPr>
          <w:rFonts w:ascii="Times New Roman" w:eastAsia="Times New Roman" w:hAnsi="Times New Roman" w:cs="Times New Roman"/>
          <w:i/>
          <w:kern w:val="2"/>
        </w:rPr>
        <w:t>(Characterization and Application of Fuel Storage, Transport and Service Devices.)</w:t>
      </w:r>
    </w:p>
    <w:p w:rsidR="00905D8D" w:rsidRDefault="00905D8D" w:rsidP="00980876">
      <w:pPr>
        <w:widowControl w:val="0"/>
        <w:numPr>
          <w:ilvl w:val="1"/>
          <w:numId w:val="207"/>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Az üzemanyag szolgálat segédberendezései és alkalmazásuk területei. </w:t>
      </w:r>
      <w:r>
        <w:rPr>
          <w:rFonts w:ascii="Times New Roman" w:eastAsia="Times New Roman" w:hAnsi="Times New Roman" w:cs="Times New Roman"/>
          <w:i/>
          <w:kern w:val="2"/>
        </w:rPr>
        <w:t>(Auxiliary Equipment for the Fuel Services and Areas of their Application.)</w:t>
      </w:r>
    </w:p>
    <w:p w:rsidR="00905D8D" w:rsidRDefault="00905D8D" w:rsidP="00980876">
      <w:pPr>
        <w:widowControl w:val="0"/>
        <w:numPr>
          <w:ilvl w:val="1"/>
          <w:numId w:val="207"/>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Az élelmezési szolgálat technikai eszközeinek felosztása, jellemzésük és alkalmazásuk. </w:t>
      </w:r>
      <w:r>
        <w:rPr>
          <w:rFonts w:ascii="Times New Roman" w:eastAsia="Times New Roman" w:hAnsi="Times New Roman" w:cs="Times New Roman"/>
          <w:i/>
          <w:kern w:val="2"/>
        </w:rPr>
        <w:t>(Division, Characterization and Application of the Equipment Used in the Army Food Service.)</w:t>
      </w:r>
    </w:p>
    <w:p w:rsidR="00905D8D" w:rsidRDefault="00905D8D" w:rsidP="00980876">
      <w:pPr>
        <w:widowControl w:val="0"/>
        <w:numPr>
          <w:ilvl w:val="1"/>
          <w:numId w:val="207"/>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Konyhagépek szerepe a katonai ellátásban. </w:t>
      </w:r>
      <w:r>
        <w:rPr>
          <w:rFonts w:ascii="Times New Roman" w:eastAsia="Times New Roman" w:hAnsi="Times New Roman" w:cs="Times New Roman"/>
          <w:i/>
          <w:kern w:val="2"/>
        </w:rPr>
        <w:t>(The Role of Kitchen Appliances in Military Supply.)</w:t>
      </w:r>
    </w:p>
    <w:p w:rsidR="00905D8D" w:rsidRDefault="00905D8D" w:rsidP="00980876">
      <w:pPr>
        <w:widowControl w:val="0"/>
        <w:numPr>
          <w:ilvl w:val="1"/>
          <w:numId w:val="207"/>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Tábori élelmezési szaktechnikai eszközök jellemzése és alkalmazásuk területei. </w:t>
      </w:r>
      <w:r>
        <w:rPr>
          <w:rFonts w:ascii="Times New Roman" w:eastAsia="Times New Roman" w:hAnsi="Times New Roman" w:cs="Times New Roman"/>
          <w:i/>
          <w:kern w:val="2"/>
        </w:rPr>
        <w:t>(Characterization of Field Equipment of Food Services and their Fields of Application.)</w:t>
      </w:r>
    </w:p>
    <w:p w:rsidR="00905D8D" w:rsidRDefault="00905D8D" w:rsidP="00980876">
      <w:pPr>
        <w:widowControl w:val="0"/>
        <w:numPr>
          <w:ilvl w:val="1"/>
          <w:numId w:val="207"/>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Az ivóvíz ellátás technikai eszközei. </w:t>
      </w:r>
      <w:r>
        <w:rPr>
          <w:rFonts w:ascii="Times New Roman" w:eastAsia="Times New Roman" w:hAnsi="Times New Roman" w:cs="Times New Roman"/>
          <w:i/>
          <w:kern w:val="2"/>
        </w:rPr>
        <w:t>(Technical Equipment of Water Supply.)</w:t>
      </w:r>
    </w:p>
    <w:p w:rsidR="00905D8D" w:rsidRDefault="00905D8D" w:rsidP="00980876">
      <w:pPr>
        <w:widowControl w:val="0"/>
        <w:numPr>
          <w:ilvl w:val="0"/>
          <w:numId w:val="207"/>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 tantárgy meghirdetésének gyakorisága/a tantervben történő félévi elhelyezkedése: </w:t>
      </w:r>
      <w:r>
        <w:rPr>
          <w:rFonts w:ascii="Times New Roman" w:eastAsia="Times New Roman" w:hAnsi="Times New Roman" w:cs="Times New Roman"/>
          <w:bCs/>
        </w:rPr>
        <w:t>Minden tavaszi szemeszterben / 6. félév</w:t>
      </w:r>
    </w:p>
    <w:p w:rsidR="00905D8D" w:rsidRDefault="00905D8D" w:rsidP="00980876">
      <w:pPr>
        <w:widowControl w:val="0"/>
        <w:numPr>
          <w:ilvl w:val="0"/>
          <w:numId w:val="207"/>
        </w:numPr>
        <w:tabs>
          <w:tab w:val="num" w:pos="360"/>
        </w:tabs>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A tanórákon való részvétel követelményei, az elfogadható hiányzások mértéke, a távolmaradás pótlásának lehetősége:</w:t>
      </w:r>
      <w:r>
        <w:rPr>
          <w:rFonts w:ascii="Times New Roman" w:eastAsia="Times New Roman" w:hAnsi="Times New Roman" w:cs="Times New Roman"/>
          <w:bCs/>
        </w:rPr>
        <w:t xml:space="preserve"> Részvétel az órák legalább 50%-án, a kimaradt tananyagot önképzés keretén belül kell elsajátítani. A kiesett tananyag jobb megértése érdekében az oktatók konzultációs lehetőséget biztosítanak.</w:t>
      </w:r>
    </w:p>
    <w:p w:rsidR="00905D8D" w:rsidRDefault="00905D8D" w:rsidP="00980876">
      <w:pPr>
        <w:widowControl w:val="0"/>
        <w:numPr>
          <w:ilvl w:val="0"/>
          <w:numId w:val="207"/>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rPr>
        <w:lastRenderedPageBreak/>
        <w:t xml:space="preserve">Félévközi feladatok, ismeretek ellenőrzésének rendje: </w:t>
      </w:r>
      <w:r>
        <w:rPr>
          <w:rFonts w:ascii="Times New Roman" w:eastAsia="Times New Roman" w:hAnsi="Times New Roman" w:cs="Times New Roman"/>
          <w:bCs/>
        </w:rPr>
        <w:t xml:space="preserve">A félév előadásait lezáró zárthelyi dolgozat legalább elégséges szintű megírása. Az elégséges értékeléshez 50% + 1 pontot kell teljesíteni. A dolgozatban teszt, esszé jellegű kérdések és írásbeli gyakorlati feladatok egyaránt szerepelnek. A zárthelyi dolgozat témáit a kötelező irodalmak anyagából, illetve az előadásokon elhangzott ismeretanyagból kell összeállítani. </w:t>
      </w:r>
    </w:p>
    <w:p w:rsidR="00905D8D" w:rsidRDefault="00905D8D" w:rsidP="00980876">
      <w:pPr>
        <w:widowControl w:val="0"/>
        <w:numPr>
          <w:ilvl w:val="0"/>
          <w:numId w:val="207"/>
        </w:numPr>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Az értékelés, az aláírás és a kreditek megszerzésének pontos feltételei: </w:t>
      </w:r>
    </w:p>
    <w:p w:rsidR="00905D8D" w:rsidRDefault="00905D8D" w:rsidP="00980876">
      <w:pPr>
        <w:widowControl w:val="0"/>
        <w:numPr>
          <w:ilvl w:val="1"/>
          <w:numId w:val="207"/>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Az aláírás megszerzésének feltételei:</w:t>
      </w:r>
    </w:p>
    <w:p w:rsidR="00905D8D" w:rsidRDefault="00905D8D" w:rsidP="00905D8D">
      <w:pPr>
        <w:widowControl w:val="0"/>
        <w:tabs>
          <w:tab w:val="left" w:pos="993"/>
        </w:tabs>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Az aláírás feltétele a tanórákon történő – 14. pontban meghatározott – részvétel, valamint a zárthelyi dolgozat sikeres megírása.</w:t>
      </w:r>
    </w:p>
    <w:p w:rsidR="00905D8D" w:rsidRDefault="00905D8D" w:rsidP="00980876">
      <w:pPr>
        <w:widowControl w:val="0"/>
        <w:numPr>
          <w:ilvl w:val="1"/>
          <w:numId w:val="207"/>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Az értékelés:</w:t>
      </w:r>
    </w:p>
    <w:p w:rsidR="00905D8D" w:rsidRDefault="00905D8D" w:rsidP="00905D8D">
      <w:pPr>
        <w:widowControl w:val="0"/>
        <w:tabs>
          <w:tab w:val="left" w:pos="993"/>
        </w:tabs>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 xml:space="preserve">Az ötfokozatú évközi jegy a zárthelyi dolgozat eredménye, valamint a félév során nyújtott egyéni gyakorlati teljesítmény alapján kerül kialakításra. </w:t>
      </w:r>
    </w:p>
    <w:p w:rsidR="00905D8D" w:rsidRDefault="00905D8D" w:rsidP="00980876">
      <w:pPr>
        <w:widowControl w:val="0"/>
        <w:numPr>
          <w:ilvl w:val="1"/>
          <w:numId w:val="207"/>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 kreditek megszerzésének feltételei:</w:t>
      </w:r>
      <w:r>
        <w:rPr>
          <w:rFonts w:ascii="Times New Roman" w:eastAsia="Times New Roman" w:hAnsi="Times New Roman" w:cs="Times New Roman"/>
        </w:rPr>
        <w:t xml:space="preserve"> </w:t>
      </w:r>
    </w:p>
    <w:p w:rsidR="00905D8D" w:rsidRDefault="00905D8D" w:rsidP="00905D8D">
      <w:pPr>
        <w:widowControl w:val="0"/>
        <w:tabs>
          <w:tab w:val="left" w:pos="993"/>
        </w:tabs>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A kreditek megszerzésének feltétele az aláírás megszerzése és legalább elégséges évközi jegy.</w:t>
      </w:r>
    </w:p>
    <w:p w:rsidR="00905D8D" w:rsidRDefault="00905D8D" w:rsidP="00980876">
      <w:pPr>
        <w:widowControl w:val="0"/>
        <w:numPr>
          <w:ilvl w:val="0"/>
          <w:numId w:val="207"/>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Irodalomjegyzék:</w:t>
      </w:r>
    </w:p>
    <w:p w:rsidR="00905D8D" w:rsidRDefault="00905D8D" w:rsidP="00980876">
      <w:pPr>
        <w:widowControl w:val="0"/>
        <w:numPr>
          <w:ilvl w:val="1"/>
          <w:numId w:val="207"/>
        </w:numPr>
        <w:tabs>
          <w:tab w:val="left" w:pos="567"/>
          <w:tab w:val="left" w:pos="851"/>
          <w:tab w:val="num" w:pos="2069"/>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Kötelező irodalom:</w:t>
      </w:r>
    </w:p>
    <w:p w:rsidR="00905D8D" w:rsidRDefault="00905D8D" w:rsidP="00980876">
      <w:pPr>
        <w:pStyle w:val="Listaszerbekezds"/>
        <w:numPr>
          <w:ilvl w:val="0"/>
          <w:numId w:val="208"/>
        </w:numPr>
        <w:spacing w:line="256" w:lineRule="auto"/>
        <w:rPr>
          <w:rFonts w:ascii="Times New Roman" w:eastAsia="Times New Roman" w:hAnsi="Times New Roman" w:cs="Times New Roman"/>
          <w:bCs/>
        </w:rPr>
      </w:pPr>
      <w:r>
        <w:rPr>
          <w:rFonts w:ascii="Times New Roman" w:eastAsia="Times New Roman" w:hAnsi="Times New Roman" w:cs="Times New Roman"/>
          <w:bCs/>
          <w:sz w:val="24"/>
          <w:szCs w:val="24"/>
          <w:lang w:eastAsia="hu-HU"/>
        </w:rPr>
        <w:t>Venekei József: Üzemanyag-szaktechnikai eszközök (BJKMF jegyzet, 1992.</w:t>
      </w:r>
    </w:p>
    <w:p w:rsidR="00905D8D" w:rsidRDefault="00905D8D" w:rsidP="00980876">
      <w:pPr>
        <w:pStyle w:val="Listaszerbekezds"/>
        <w:numPr>
          <w:ilvl w:val="0"/>
          <w:numId w:val="208"/>
        </w:numPr>
        <w:spacing w:line="256" w:lineRule="auto"/>
        <w:rPr>
          <w:rFonts w:ascii="Times New Roman" w:eastAsia="Times New Roman" w:hAnsi="Times New Roman" w:cs="Times New Roman"/>
          <w:bCs/>
        </w:rPr>
      </w:pPr>
      <w:r>
        <w:rPr>
          <w:rFonts w:ascii="Times New Roman" w:eastAsia="Times New Roman" w:hAnsi="Times New Roman" w:cs="Times New Roman"/>
          <w:bCs/>
        </w:rPr>
        <w:t xml:space="preserve"> RÁBA H-25 vízszállító gépkocsi kezelési, karbantartási, műszaki utasítás</w:t>
      </w:r>
    </w:p>
    <w:p w:rsidR="00905D8D" w:rsidRDefault="00905D8D" w:rsidP="00980876">
      <w:pPr>
        <w:pStyle w:val="Listaszerbekezds"/>
        <w:numPr>
          <w:ilvl w:val="0"/>
          <w:numId w:val="208"/>
        </w:numPr>
        <w:spacing w:line="256" w:lineRule="auto"/>
        <w:rPr>
          <w:rFonts w:ascii="Times New Roman" w:eastAsia="Times New Roman" w:hAnsi="Times New Roman" w:cs="Times New Roman"/>
          <w:bCs/>
        </w:rPr>
      </w:pPr>
      <w:r>
        <w:rPr>
          <w:rFonts w:ascii="Times New Roman" w:eastAsia="Times New Roman" w:hAnsi="Times New Roman" w:cs="Times New Roman"/>
          <w:bCs/>
        </w:rPr>
        <w:t xml:space="preserve">69 M mozgókonyha kezelési, karbantartási, műszaki utasítás </w:t>
      </w:r>
    </w:p>
    <w:p w:rsidR="00905D8D" w:rsidRDefault="00905D8D" w:rsidP="00980876">
      <w:pPr>
        <w:pStyle w:val="Listaszerbekezds"/>
        <w:numPr>
          <w:ilvl w:val="0"/>
          <w:numId w:val="208"/>
        </w:numPr>
        <w:spacing w:line="256" w:lineRule="auto"/>
        <w:rPr>
          <w:rFonts w:ascii="Times New Roman" w:eastAsia="Times New Roman" w:hAnsi="Times New Roman" w:cs="Times New Roman"/>
          <w:bCs/>
        </w:rPr>
      </w:pPr>
      <w:r>
        <w:rPr>
          <w:rFonts w:ascii="Times New Roman" w:eastAsia="Times New Roman" w:hAnsi="Times New Roman" w:cs="Times New Roman"/>
          <w:bCs/>
        </w:rPr>
        <w:t xml:space="preserve">Kenyérszállító gépkocsi kezelési, karbantartási, műszaki utasítás </w:t>
      </w:r>
    </w:p>
    <w:p w:rsidR="00905D8D" w:rsidRDefault="00905D8D" w:rsidP="00980876">
      <w:pPr>
        <w:pStyle w:val="Listaszerbekezds"/>
        <w:widowControl w:val="0"/>
        <w:numPr>
          <w:ilvl w:val="0"/>
          <w:numId w:val="208"/>
        </w:numPr>
        <w:spacing w:before="120" w:after="12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Hűtőgépkocsik kezelési, karbantartási műszaki utasításai </w:t>
      </w:r>
    </w:p>
    <w:p w:rsidR="00905D8D" w:rsidRDefault="00905D8D" w:rsidP="00980876">
      <w:pPr>
        <w:widowControl w:val="0"/>
        <w:numPr>
          <w:ilvl w:val="1"/>
          <w:numId w:val="207"/>
        </w:numPr>
        <w:tabs>
          <w:tab w:val="num" w:pos="567"/>
          <w:tab w:val="num" w:pos="2069"/>
        </w:tabs>
        <w:spacing w:before="120" w:after="120" w:line="240" w:lineRule="auto"/>
        <w:ind w:left="993" w:hanging="709"/>
        <w:jc w:val="both"/>
        <w:rPr>
          <w:rFonts w:ascii="Times New Roman" w:eastAsia="Times New Roman" w:hAnsi="Times New Roman" w:cs="Times New Roman"/>
          <w:b/>
          <w:bCs/>
        </w:rPr>
      </w:pPr>
      <w:r>
        <w:rPr>
          <w:rFonts w:ascii="Times New Roman" w:eastAsia="Times New Roman" w:hAnsi="Times New Roman" w:cs="Times New Roman"/>
          <w:b/>
          <w:bCs/>
        </w:rPr>
        <w:t>Ajánlott irodalom:</w:t>
      </w:r>
    </w:p>
    <w:p w:rsidR="00905D8D" w:rsidRDefault="00905D8D" w:rsidP="00980876">
      <w:pPr>
        <w:pStyle w:val="Listaszerbekezds"/>
        <w:numPr>
          <w:ilvl w:val="0"/>
          <w:numId w:val="209"/>
        </w:numPr>
        <w:spacing w:line="256" w:lineRule="auto"/>
        <w:rPr>
          <w:rFonts w:ascii="Times New Roman" w:eastAsia="Times New Roman" w:hAnsi="Times New Roman" w:cs="Times New Roman"/>
          <w:bCs/>
        </w:rPr>
      </w:pPr>
      <w:r>
        <w:rPr>
          <w:rFonts w:ascii="Times New Roman" w:hAnsi="Times New Roman" w:cs="Times New Roman"/>
          <w:bCs/>
        </w:rPr>
        <w:t xml:space="preserve">Tábori élelmezési szaktechnikai eszközök és felszerelések ismertetője </w:t>
      </w:r>
    </w:p>
    <w:p w:rsidR="00905D8D" w:rsidRDefault="00905D8D" w:rsidP="00905D8D">
      <w:pPr>
        <w:widowControl w:val="0"/>
        <w:spacing w:before="120" w:after="120" w:line="240" w:lineRule="auto"/>
        <w:jc w:val="both"/>
        <w:rPr>
          <w:rFonts w:ascii="Times New Roman" w:eastAsia="Times New Roman" w:hAnsi="Times New Roman" w:cs="Times New Roman"/>
          <w:bCs/>
        </w:rPr>
      </w:pPr>
    </w:p>
    <w:p w:rsidR="00905D8D" w:rsidRDefault="00905D8D" w:rsidP="00905D8D">
      <w:pPr>
        <w:widowControl w:val="0"/>
        <w:spacing w:before="120" w:after="120" w:line="240" w:lineRule="auto"/>
        <w:jc w:val="both"/>
        <w:rPr>
          <w:rFonts w:ascii="Times New Roman" w:eastAsia="Times New Roman" w:hAnsi="Times New Roman" w:cs="Times New Roman"/>
          <w:bCs/>
        </w:rPr>
      </w:pPr>
      <w:r>
        <w:rPr>
          <w:rFonts w:ascii="Times New Roman" w:eastAsia="Times New Roman" w:hAnsi="Times New Roman" w:cs="Times New Roman"/>
          <w:bCs/>
        </w:rPr>
        <w:t>Budapest, 2020. február 25.</w:t>
      </w:r>
    </w:p>
    <w:p w:rsidR="00905D8D" w:rsidRDefault="00905D8D" w:rsidP="00905D8D">
      <w:pPr>
        <w:widowControl w:val="0"/>
        <w:spacing w:before="120" w:after="120" w:line="240" w:lineRule="auto"/>
        <w:jc w:val="both"/>
        <w:rPr>
          <w:rFonts w:ascii="Times New Roman" w:eastAsia="Times New Roman" w:hAnsi="Times New Roman" w:cs="Times New Roman"/>
          <w:bCs/>
        </w:rPr>
      </w:pPr>
    </w:p>
    <w:p w:rsidR="00905D8D" w:rsidRDefault="00905D8D" w:rsidP="00905D8D">
      <w:pPr>
        <w:widowControl w:val="0"/>
        <w:spacing w:after="0" w:line="240" w:lineRule="auto"/>
        <w:ind w:left="4956" w:firstLine="708"/>
        <w:jc w:val="center"/>
        <w:rPr>
          <w:rFonts w:ascii="Times New Roman" w:hAnsi="Times New Roman" w:cs="Times New Roman"/>
          <w:b/>
          <w:bCs/>
        </w:rPr>
      </w:pPr>
      <w:r>
        <w:rPr>
          <w:rFonts w:ascii="Times New Roman" w:hAnsi="Times New Roman" w:cs="Times New Roman"/>
          <w:b/>
          <w:bCs/>
        </w:rPr>
        <w:t>Dr. Venekei József Péter (PhD)</w:t>
      </w:r>
    </w:p>
    <w:p w:rsidR="00905D8D" w:rsidRDefault="00905D8D" w:rsidP="00905D8D">
      <w:pPr>
        <w:widowControl w:val="0"/>
        <w:spacing w:after="0" w:line="240" w:lineRule="auto"/>
        <w:ind w:left="4956" w:firstLine="708"/>
        <w:jc w:val="center"/>
        <w:rPr>
          <w:rFonts w:ascii="Times New Roman" w:eastAsia="Times New Roman" w:hAnsi="Times New Roman" w:cs="Times New Roman"/>
          <w:bCs/>
        </w:rPr>
      </w:pPr>
      <w:r>
        <w:rPr>
          <w:rFonts w:ascii="Times New Roman" w:hAnsi="Times New Roman" w:cs="Times New Roman"/>
          <w:bCs/>
        </w:rPr>
        <w:t>egyetemi docens s.k.</w:t>
      </w:r>
    </w:p>
    <w:p w:rsidR="000414B9" w:rsidRDefault="000414B9">
      <w:pPr>
        <w:spacing w:after="200" w:line="276" w:lineRule="auto"/>
        <w:rPr>
          <w:rFonts w:ascii="Times New Roman" w:hAnsi="Times New Roman" w:cs="Times New Roman"/>
          <w:sz w:val="24"/>
        </w:rPr>
      </w:pPr>
    </w:p>
    <w:p w:rsidR="00905D8D" w:rsidRDefault="00905D8D">
      <w:pPr>
        <w:spacing w:after="200" w:line="276" w:lineRule="auto"/>
        <w:rPr>
          <w:rFonts w:ascii="Times New Roman" w:hAnsi="Times New Roman" w:cs="Times New Roman"/>
          <w:sz w:val="24"/>
        </w:rPr>
      </w:pPr>
      <w:r>
        <w:rPr>
          <w:rFonts w:ascii="Times New Roman" w:hAnsi="Times New Roman" w:cs="Times New Roman"/>
          <w:sz w:val="24"/>
        </w:rPr>
        <w:br w:type="page"/>
      </w:r>
    </w:p>
    <w:tbl>
      <w:tblPr>
        <w:tblW w:w="9072" w:type="dxa"/>
        <w:tblInd w:w="113" w:type="dxa"/>
        <w:tblLook w:val="01E0" w:firstRow="1" w:lastRow="1" w:firstColumn="1" w:lastColumn="1" w:noHBand="0" w:noVBand="0"/>
      </w:tblPr>
      <w:tblGrid>
        <w:gridCol w:w="4855"/>
        <w:gridCol w:w="1620"/>
        <w:gridCol w:w="2597"/>
      </w:tblGrid>
      <w:tr w:rsidR="0091380E" w:rsidTr="0091380E">
        <w:tc>
          <w:tcPr>
            <w:tcW w:w="4855" w:type="dxa"/>
            <w:tcBorders>
              <w:top w:val="nil"/>
              <w:left w:val="nil"/>
              <w:bottom w:val="single" w:sz="4" w:space="0" w:color="auto"/>
              <w:right w:val="nil"/>
            </w:tcBorders>
            <w:hideMark/>
          </w:tcPr>
          <w:p w:rsidR="0091380E" w:rsidRDefault="0091380E">
            <w:pPr>
              <w:spacing w:after="0" w:line="240" w:lineRule="auto"/>
              <w:jc w:val="center"/>
              <w:rPr>
                <w:rFonts w:ascii="Times New Roman" w:eastAsia="Times New Roman" w:hAnsi="Times New Roman" w:cs="Times New Roman"/>
                <w:b/>
                <w:smallCaps/>
                <w:lang w:eastAsia="hu-HU"/>
              </w:rPr>
            </w:pPr>
            <w:r>
              <w:rPr>
                <w:rFonts w:ascii="Times New Roman" w:eastAsia="Times New Roman" w:hAnsi="Times New Roman" w:cs="Times New Roman"/>
                <w:b/>
                <w:smallCaps/>
                <w:lang w:eastAsia="hu-HU"/>
              </w:rPr>
              <w:lastRenderedPageBreak/>
              <w:t>Nemzeti Közszolgálati Egyetem</w:t>
            </w:r>
          </w:p>
        </w:tc>
        <w:tc>
          <w:tcPr>
            <w:tcW w:w="1620" w:type="dxa"/>
          </w:tcPr>
          <w:p w:rsidR="0091380E" w:rsidRDefault="0091380E">
            <w:pPr>
              <w:spacing w:after="0" w:line="240" w:lineRule="auto"/>
              <w:jc w:val="both"/>
              <w:rPr>
                <w:rFonts w:ascii="Times New Roman" w:eastAsia="Times New Roman" w:hAnsi="Times New Roman" w:cs="Times New Roman"/>
                <w:lang w:eastAsia="hu-HU"/>
              </w:rPr>
            </w:pPr>
          </w:p>
        </w:tc>
        <w:tc>
          <w:tcPr>
            <w:tcW w:w="2597" w:type="dxa"/>
          </w:tcPr>
          <w:p w:rsidR="0091380E" w:rsidRDefault="0091380E">
            <w:pPr>
              <w:spacing w:after="0" w:line="240" w:lineRule="auto"/>
              <w:jc w:val="right"/>
              <w:rPr>
                <w:rFonts w:ascii="Times New Roman" w:eastAsia="Times New Roman" w:hAnsi="Times New Roman" w:cs="Times New Roman"/>
                <w:lang w:eastAsia="hu-HU"/>
              </w:rPr>
            </w:pPr>
          </w:p>
        </w:tc>
      </w:tr>
      <w:tr w:rsidR="0091380E" w:rsidTr="0091380E">
        <w:tc>
          <w:tcPr>
            <w:tcW w:w="4855" w:type="dxa"/>
            <w:tcBorders>
              <w:top w:val="single" w:sz="4" w:space="0" w:color="auto"/>
              <w:left w:val="nil"/>
              <w:bottom w:val="nil"/>
              <w:right w:val="nil"/>
            </w:tcBorders>
            <w:hideMark/>
          </w:tcPr>
          <w:p w:rsidR="0091380E" w:rsidRDefault="0091380E">
            <w:pPr>
              <w:pStyle w:val="Szvegtrzs"/>
              <w:spacing w:line="256" w:lineRule="auto"/>
              <w:jc w:val="center"/>
              <w:rPr>
                <w:b/>
                <w:lang w:eastAsia="en-US"/>
              </w:rPr>
            </w:pPr>
            <w:r>
              <w:rPr>
                <w:b/>
                <w:lang w:eastAsia="en-US"/>
              </w:rPr>
              <w:t>Hadtudományi és Honvédtisztképző Kar</w:t>
            </w:r>
          </w:p>
        </w:tc>
        <w:tc>
          <w:tcPr>
            <w:tcW w:w="1620" w:type="dxa"/>
          </w:tcPr>
          <w:p w:rsidR="0091380E" w:rsidRDefault="0091380E">
            <w:pPr>
              <w:pStyle w:val="Szvegtrzs"/>
              <w:spacing w:line="256" w:lineRule="auto"/>
              <w:rPr>
                <w:lang w:eastAsia="en-US"/>
              </w:rPr>
            </w:pPr>
          </w:p>
        </w:tc>
        <w:tc>
          <w:tcPr>
            <w:tcW w:w="2597" w:type="dxa"/>
          </w:tcPr>
          <w:p w:rsidR="0091380E" w:rsidRDefault="0091380E">
            <w:pPr>
              <w:pStyle w:val="Szvegtrzs"/>
              <w:spacing w:line="256" w:lineRule="auto"/>
              <w:rPr>
                <w:lang w:eastAsia="en-US"/>
              </w:rPr>
            </w:pPr>
          </w:p>
        </w:tc>
      </w:tr>
    </w:tbl>
    <w:p w:rsidR="0091380E" w:rsidRDefault="0091380E" w:rsidP="0091380E">
      <w:pPr>
        <w:widowControl w:val="0"/>
        <w:spacing w:before="120" w:after="120" w:line="240" w:lineRule="auto"/>
        <w:ind w:left="426" w:hanging="142"/>
        <w:jc w:val="center"/>
        <w:rPr>
          <w:rFonts w:ascii="Times New Roman" w:eastAsia="Times New Roman" w:hAnsi="Times New Roman" w:cs="Times New Roman"/>
          <w:b/>
          <w:bCs/>
        </w:rPr>
      </w:pPr>
    </w:p>
    <w:p w:rsidR="0091380E" w:rsidRDefault="0091380E" w:rsidP="0091380E">
      <w:pPr>
        <w:widowControl w:val="0"/>
        <w:spacing w:before="120" w:after="120" w:line="240" w:lineRule="auto"/>
        <w:ind w:left="426" w:hanging="142"/>
        <w:jc w:val="center"/>
        <w:rPr>
          <w:rFonts w:ascii="Times New Roman" w:eastAsia="Times New Roman" w:hAnsi="Times New Roman" w:cs="Times New Roman"/>
          <w:b/>
          <w:bCs/>
        </w:rPr>
      </w:pPr>
      <w:r>
        <w:rPr>
          <w:rFonts w:ascii="Times New Roman" w:eastAsia="Times New Roman" w:hAnsi="Times New Roman" w:cs="Times New Roman"/>
          <w:b/>
          <w:bCs/>
        </w:rPr>
        <w:t>TANTÁRGYI PROGRAM</w:t>
      </w:r>
    </w:p>
    <w:p w:rsidR="0091380E" w:rsidRPr="00904373" w:rsidRDefault="0091380E" w:rsidP="00980876">
      <w:pPr>
        <w:widowControl w:val="0"/>
        <w:numPr>
          <w:ilvl w:val="0"/>
          <w:numId w:val="212"/>
        </w:numPr>
        <w:tabs>
          <w:tab w:val="clear" w:pos="720"/>
          <w:tab w:val="num" w:pos="643"/>
        </w:tabs>
        <w:spacing w:before="120" w:after="120" w:line="240" w:lineRule="auto"/>
        <w:ind w:left="643"/>
        <w:jc w:val="both"/>
        <w:rPr>
          <w:rFonts w:ascii="Times New Roman" w:eastAsia="Times New Roman" w:hAnsi="Times New Roman" w:cs="Times New Roman"/>
          <w:bCs/>
        </w:rPr>
      </w:pPr>
      <w:r w:rsidRPr="00904373">
        <w:rPr>
          <w:rFonts w:ascii="Times New Roman" w:eastAsia="Times New Roman" w:hAnsi="Times New Roman" w:cs="Times New Roman"/>
          <w:b/>
          <w:bCs/>
        </w:rPr>
        <w:t xml:space="preserve">A tantárgy kódja: </w:t>
      </w:r>
      <w:r w:rsidR="001E021A" w:rsidRPr="00904373">
        <w:rPr>
          <w:rFonts w:ascii="Times New Roman" w:eastAsia="Times New Roman" w:hAnsi="Times New Roman" w:cs="Times New Roman"/>
          <w:bCs/>
        </w:rPr>
        <w:t>HKHPKA50</w:t>
      </w:r>
      <w:r w:rsidR="00732436" w:rsidRPr="00904373">
        <w:rPr>
          <w:rFonts w:ascii="Times New Roman" w:eastAsia="Times New Roman" w:hAnsi="Times New Roman" w:cs="Times New Roman"/>
          <w:bCs/>
        </w:rPr>
        <w:t>7</w:t>
      </w:r>
    </w:p>
    <w:p w:rsidR="0091380E" w:rsidRPr="00904373" w:rsidRDefault="0091380E" w:rsidP="00980876">
      <w:pPr>
        <w:widowControl w:val="0"/>
        <w:numPr>
          <w:ilvl w:val="0"/>
          <w:numId w:val="212"/>
        </w:numPr>
        <w:tabs>
          <w:tab w:val="clear" w:pos="720"/>
          <w:tab w:val="num" w:pos="643"/>
        </w:tabs>
        <w:spacing w:before="120" w:after="120" w:line="240" w:lineRule="auto"/>
        <w:ind w:left="643"/>
        <w:jc w:val="both"/>
        <w:rPr>
          <w:rFonts w:ascii="Times New Roman" w:eastAsia="Times New Roman" w:hAnsi="Times New Roman" w:cs="Times New Roman"/>
          <w:b/>
          <w:bCs/>
          <w:lang w:val="en-GB"/>
        </w:rPr>
      </w:pPr>
      <w:r w:rsidRPr="00904373">
        <w:rPr>
          <w:rFonts w:ascii="Times New Roman" w:eastAsia="Times New Roman" w:hAnsi="Times New Roman" w:cs="Times New Roman"/>
          <w:b/>
          <w:bCs/>
        </w:rPr>
        <w:t>A tantárgy megnevezése (magyarul):</w:t>
      </w:r>
      <w:r w:rsidRPr="00904373">
        <w:rPr>
          <w:bCs/>
        </w:rPr>
        <w:t xml:space="preserve"> </w:t>
      </w:r>
      <w:r w:rsidR="001E021A" w:rsidRPr="00904373">
        <w:rPr>
          <w:rFonts w:ascii="Times New Roman" w:eastAsia="Times New Roman" w:hAnsi="Times New Roman" w:cs="Times New Roman"/>
          <w:bCs/>
        </w:rPr>
        <w:t>Költségvetési számvitel</w:t>
      </w:r>
    </w:p>
    <w:p w:rsidR="0091380E" w:rsidRPr="00904373" w:rsidRDefault="0091380E" w:rsidP="00980876">
      <w:pPr>
        <w:widowControl w:val="0"/>
        <w:numPr>
          <w:ilvl w:val="0"/>
          <w:numId w:val="212"/>
        </w:numPr>
        <w:tabs>
          <w:tab w:val="clear" w:pos="720"/>
          <w:tab w:val="num" w:pos="643"/>
        </w:tabs>
        <w:spacing w:before="120" w:after="120" w:line="240" w:lineRule="auto"/>
        <w:ind w:left="643"/>
        <w:jc w:val="both"/>
        <w:rPr>
          <w:rFonts w:ascii="Times New Roman" w:eastAsia="Times New Roman" w:hAnsi="Times New Roman" w:cs="Times New Roman"/>
          <w:b/>
          <w:bCs/>
          <w:lang w:val="en-GB"/>
        </w:rPr>
      </w:pPr>
      <w:r w:rsidRPr="00904373">
        <w:rPr>
          <w:rFonts w:ascii="Times New Roman" w:eastAsia="Times New Roman" w:hAnsi="Times New Roman" w:cs="Times New Roman"/>
          <w:b/>
          <w:bCs/>
        </w:rPr>
        <w:t>A tantárgy megnevezése (angolul):</w:t>
      </w:r>
      <w:r w:rsidRPr="00904373">
        <w:rPr>
          <w:bCs/>
        </w:rPr>
        <w:t xml:space="preserve"> </w:t>
      </w:r>
      <w:r w:rsidRPr="00904373">
        <w:rPr>
          <w:rFonts w:ascii="Times New Roman" w:eastAsia="Times New Roman" w:hAnsi="Times New Roman" w:cs="Times New Roman"/>
          <w:bCs/>
        </w:rPr>
        <w:t>Public Service Accounting</w:t>
      </w:r>
    </w:p>
    <w:p w:rsidR="0091380E" w:rsidRPr="00904373" w:rsidRDefault="0091380E" w:rsidP="00980876">
      <w:pPr>
        <w:widowControl w:val="0"/>
        <w:numPr>
          <w:ilvl w:val="0"/>
          <w:numId w:val="212"/>
        </w:numPr>
        <w:tabs>
          <w:tab w:val="clear" w:pos="720"/>
          <w:tab w:val="num" w:pos="993"/>
        </w:tabs>
        <w:spacing w:before="120" w:after="120" w:line="240" w:lineRule="auto"/>
        <w:ind w:left="567" w:hanging="283"/>
        <w:jc w:val="both"/>
        <w:rPr>
          <w:rFonts w:ascii="Times New Roman" w:eastAsia="Times New Roman" w:hAnsi="Times New Roman" w:cs="Times New Roman"/>
          <w:b/>
          <w:bCs/>
        </w:rPr>
      </w:pPr>
      <w:r w:rsidRPr="00904373">
        <w:rPr>
          <w:rFonts w:ascii="Times New Roman" w:eastAsia="Times New Roman" w:hAnsi="Times New Roman" w:cs="Times New Roman"/>
          <w:b/>
          <w:bCs/>
        </w:rPr>
        <w:t xml:space="preserve">Kreditérték és képzési karakter: </w:t>
      </w:r>
    </w:p>
    <w:p w:rsidR="0091380E" w:rsidRPr="003E2B32" w:rsidRDefault="003E2B32" w:rsidP="00980876">
      <w:pPr>
        <w:pStyle w:val="Listaszerbekezds"/>
        <w:widowControl w:val="0"/>
        <w:numPr>
          <w:ilvl w:val="1"/>
          <w:numId w:val="212"/>
        </w:numPr>
        <w:tabs>
          <w:tab w:val="clear" w:pos="3977"/>
          <w:tab w:val="num" w:pos="432"/>
        </w:tabs>
        <w:spacing w:before="120" w:after="120" w:line="240" w:lineRule="auto"/>
        <w:ind w:left="993" w:hanging="426"/>
        <w:jc w:val="both"/>
        <w:rPr>
          <w:rFonts w:ascii="Times New Roman" w:eastAsia="Times New Roman" w:hAnsi="Times New Roman" w:cs="Times New Roman"/>
          <w:b/>
          <w:bCs/>
          <w:highlight w:val="yellow"/>
        </w:rPr>
      </w:pPr>
      <w:r w:rsidRPr="003E2B32">
        <w:rPr>
          <w:rFonts w:ascii="Times New Roman" w:eastAsia="Times New Roman" w:hAnsi="Times New Roman" w:cs="Times New Roman"/>
          <w:bCs/>
          <w:highlight w:val="yellow"/>
        </w:rPr>
        <w:t>4</w:t>
      </w:r>
      <w:r w:rsidR="0091380E" w:rsidRPr="003E2B32">
        <w:rPr>
          <w:rFonts w:ascii="Times New Roman" w:eastAsia="Times New Roman" w:hAnsi="Times New Roman" w:cs="Times New Roman"/>
          <w:bCs/>
          <w:highlight w:val="yellow"/>
        </w:rPr>
        <w:t xml:space="preserve"> kredit</w:t>
      </w:r>
    </w:p>
    <w:p w:rsidR="0091380E" w:rsidRPr="00904373" w:rsidRDefault="0091380E" w:rsidP="00980876">
      <w:pPr>
        <w:pStyle w:val="Listaszerbekezds"/>
        <w:widowControl w:val="0"/>
        <w:numPr>
          <w:ilvl w:val="1"/>
          <w:numId w:val="212"/>
        </w:numPr>
        <w:tabs>
          <w:tab w:val="clear" w:pos="3977"/>
          <w:tab w:val="num" w:pos="432"/>
        </w:tabs>
        <w:spacing w:before="120" w:after="120" w:line="240" w:lineRule="auto"/>
        <w:ind w:left="993" w:hanging="426"/>
        <w:jc w:val="both"/>
        <w:rPr>
          <w:rFonts w:ascii="Times New Roman" w:eastAsia="Times New Roman" w:hAnsi="Times New Roman" w:cs="Times New Roman"/>
          <w:b/>
          <w:bCs/>
        </w:rPr>
      </w:pPr>
      <w:r w:rsidRPr="00904373">
        <w:rPr>
          <w:rFonts w:ascii="Times New Roman" w:eastAsia="Times New Roman" w:hAnsi="Times New Roman" w:cs="Times New Roman"/>
          <w:bCs/>
        </w:rPr>
        <w:t xml:space="preserve">a tantárgy elméleti vagy gyakorlati jellegének mértéke: </w:t>
      </w:r>
      <w:r w:rsidR="008C366F" w:rsidRPr="00904373">
        <w:rPr>
          <w:rFonts w:ascii="Times New Roman" w:eastAsia="Times New Roman" w:hAnsi="Times New Roman" w:cs="Times New Roman"/>
          <w:bCs/>
        </w:rPr>
        <w:t>66</w:t>
      </w:r>
      <w:r w:rsidRPr="00904373">
        <w:rPr>
          <w:rFonts w:ascii="Times New Roman" w:eastAsia="Times New Roman" w:hAnsi="Times New Roman" w:cs="Times New Roman"/>
          <w:b/>
          <w:bCs/>
        </w:rPr>
        <w:t xml:space="preserve"> </w:t>
      </w:r>
      <w:r w:rsidRPr="00904373">
        <w:rPr>
          <w:rFonts w:ascii="Times New Roman" w:eastAsia="Times New Roman" w:hAnsi="Times New Roman" w:cs="Times New Roman"/>
          <w:bCs/>
        </w:rPr>
        <w:t xml:space="preserve">% gyakorlat, </w:t>
      </w:r>
      <w:r w:rsidR="008C366F" w:rsidRPr="00904373">
        <w:rPr>
          <w:rFonts w:ascii="Times New Roman" w:eastAsia="Times New Roman" w:hAnsi="Times New Roman" w:cs="Times New Roman"/>
          <w:bCs/>
        </w:rPr>
        <w:t>33</w:t>
      </w:r>
      <w:r w:rsidRPr="00904373">
        <w:rPr>
          <w:rFonts w:ascii="Times New Roman" w:eastAsia="Times New Roman" w:hAnsi="Times New Roman" w:cs="Times New Roman"/>
          <w:bCs/>
        </w:rPr>
        <w:t xml:space="preserve"> % elmélet</w:t>
      </w:r>
    </w:p>
    <w:p w:rsidR="0091380E" w:rsidRPr="00904373" w:rsidRDefault="0091380E" w:rsidP="00980876">
      <w:pPr>
        <w:widowControl w:val="0"/>
        <w:numPr>
          <w:ilvl w:val="0"/>
          <w:numId w:val="212"/>
        </w:numPr>
        <w:tabs>
          <w:tab w:val="clear" w:pos="720"/>
          <w:tab w:val="num" w:pos="643"/>
        </w:tabs>
        <w:spacing w:before="120" w:after="120" w:line="240" w:lineRule="auto"/>
        <w:ind w:left="643"/>
        <w:jc w:val="both"/>
        <w:rPr>
          <w:rFonts w:ascii="Times New Roman" w:eastAsia="Times New Roman" w:hAnsi="Times New Roman" w:cs="Times New Roman"/>
          <w:bCs/>
        </w:rPr>
      </w:pPr>
      <w:r w:rsidRPr="00904373">
        <w:rPr>
          <w:rFonts w:ascii="Times New Roman" w:eastAsia="Times New Roman" w:hAnsi="Times New Roman" w:cs="Times New Roman"/>
          <w:b/>
          <w:bCs/>
        </w:rPr>
        <w:t>A szak(ok), szakirányok/specializációk megnevezése (ahol oktatják):</w:t>
      </w:r>
      <w:r w:rsidRPr="00904373">
        <w:rPr>
          <w:rFonts w:ascii="Times New Roman" w:eastAsia="Times New Roman" w:hAnsi="Times New Roman" w:cs="Times New Roman"/>
          <w:bCs/>
        </w:rPr>
        <w:t xml:space="preserve"> Katonai logisztika alapképzési szak, </w:t>
      </w:r>
      <w:r w:rsidR="00904373" w:rsidRPr="00904373">
        <w:rPr>
          <w:rFonts w:ascii="Times New Roman" w:eastAsia="Times New Roman" w:hAnsi="Times New Roman" w:cs="Times New Roman"/>
          <w:bCs/>
        </w:rPr>
        <w:t>Hadtáp</w:t>
      </w:r>
      <w:r w:rsidRPr="00904373">
        <w:rPr>
          <w:rFonts w:ascii="Times New Roman" w:eastAsia="Times New Roman" w:hAnsi="Times New Roman" w:cs="Times New Roman"/>
          <w:bCs/>
        </w:rPr>
        <w:t xml:space="preserve"> specializáció</w:t>
      </w:r>
    </w:p>
    <w:p w:rsidR="0091380E" w:rsidRDefault="0091380E" w:rsidP="00980876">
      <w:pPr>
        <w:widowControl w:val="0"/>
        <w:numPr>
          <w:ilvl w:val="0"/>
          <w:numId w:val="212"/>
        </w:numPr>
        <w:tabs>
          <w:tab w:val="clear" w:pos="720"/>
          <w:tab w:val="num" w:pos="643"/>
        </w:tabs>
        <w:spacing w:before="120" w:after="120" w:line="240" w:lineRule="auto"/>
        <w:ind w:left="643"/>
        <w:jc w:val="both"/>
        <w:rPr>
          <w:rFonts w:ascii="Times New Roman" w:eastAsia="Times New Roman" w:hAnsi="Times New Roman" w:cs="Times New Roman"/>
          <w:bCs/>
        </w:rPr>
      </w:pPr>
      <w:r>
        <w:rPr>
          <w:rFonts w:ascii="Times New Roman" w:eastAsia="Times New Roman" w:hAnsi="Times New Roman" w:cs="Times New Roman"/>
          <w:b/>
          <w:bCs/>
        </w:rPr>
        <w:t>Az oktatásért felelős oktatási szervezeti egység megnevezése:</w:t>
      </w:r>
      <w:r>
        <w:rPr>
          <w:bCs/>
        </w:rPr>
        <w:t xml:space="preserve"> </w:t>
      </w:r>
      <w:r>
        <w:rPr>
          <w:rFonts w:ascii="Times New Roman" w:eastAsia="Times New Roman" w:hAnsi="Times New Roman" w:cs="Times New Roman"/>
          <w:bCs/>
        </w:rPr>
        <w:t xml:space="preserve">NKE Hadtudományi és Honvédtisztképző Kar, Hadtáp, Pénzügyi és Katonai Közlekedési Tanszék </w:t>
      </w:r>
    </w:p>
    <w:p w:rsidR="0091380E" w:rsidRDefault="0091380E" w:rsidP="00980876">
      <w:pPr>
        <w:widowControl w:val="0"/>
        <w:numPr>
          <w:ilvl w:val="0"/>
          <w:numId w:val="212"/>
        </w:numPr>
        <w:tabs>
          <w:tab w:val="clear" w:pos="720"/>
          <w:tab w:val="num" w:pos="643"/>
        </w:tabs>
        <w:spacing w:before="120" w:after="120" w:line="240" w:lineRule="auto"/>
        <w:ind w:left="643"/>
        <w:jc w:val="both"/>
        <w:rPr>
          <w:rFonts w:ascii="Times New Roman" w:eastAsia="Times New Roman" w:hAnsi="Times New Roman" w:cs="Times New Roman"/>
          <w:bCs/>
        </w:rPr>
      </w:pPr>
      <w:r>
        <w:rPr>
          <w:rFonts w:ascii="Times New Roman" w:eastAsia="Times New Roman" w:hAnsi="Times New Roman" w:cs="Times New Roman"/>
          <w:b/>
          <w:bCs/>
        </w:rPr>
        <w:t>A tantárgyfelelős oktató neve, beosztása, tudományos fokozata:</w:t>
      </w:r>
      <w:r>
        <w:rPr>
          <w:rFonts w:ascii="Times New Roman" w:eastAsia="Times New Roman" w:hAnsi="Times New Roman" w:cs="Times New Roman"/>
          <w:bCs/>
        </w:rPr>
        <w:t xml:space="preserve"> Dr. Hutkai Zsuzsanna, adjunktus, PhD</w:t>
      </w:r>
    </w:p>
    <w:p w:rsidR="0091380E" w:rsidRDefault="0091380E" w:rsidP="00980876">
      <w:pPr>
        <w:widowControl w:val="0"/>
        <w:numPr>
          <w:ilvl w:val="0"/>
          <w:numId w:val="212"/>
        </w:numPr>
        <w:tabs>
          <w:tab w:val="clear" w:pos="720"/>
          <w:tab w:val="num" w:pos="643"/>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tanórák száma és típusa</w:t>
      </w:r>
    </w:p>
    <w:p w:rsidR="0091380E" w:rsidRDefault="0091380E" w:rsidP="00980876">
      <w:pPr>
        <w:widowControl w:val="0"/>
        <w:numPr>
          <w:ilvl w:val="1"/>
          <w:numId w:val="212"/>
        </w:numPr>
        <w:tabs>
          <w:tab w:val="clear" w:pos="3977"/>
          <w:tab w:val="num" w:pos="432"/>
          <w:tab w:val="num" w:pos="709"/>
          <w:tab w:val="num" w:pos="2069"/>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össz óraszám/félév:</w:t>
      </w:r>
      <w:r w:rsidR="00E07F3A" w:rsidRPr="00E07F3A">
        <w:rPr>
          <w:rFonts w:ascii="Times New Roman" w:eastAsia="Times New Roman" w:hAnsi="Times New Roman" w:cs="Times New Roman"/>
          <w:bCs/>
        </w:rPr>
        <w:t xml:space="preserve"> </w:t>
      </w:r>
      <w:r w:rsidR="00E07F3A">
        <w:rPr>
          <w:rFonts w:ascii="Times New Roman" w:eastAsia="Times New Roman" w:hAnsi="Times New Roman" w:cs="Times New Roman"/>
          <w:bCs/>
        </w:rPr>
        <w:t>42</w:t>
      </w:r>
    </w:p>
    <w:p w:rsidR="0091380E" w:rsidRDefault="0091380E" w:rsidP="00980876">
      <w:pPr>
        <w:pStyle w:val="Listaszerbekezds"/>
        <w:widowControl w:val="0"/>
        <w:numPr>
          <w:ilvl w:val="2"/>
          <w:numId w:val="210"/>
        </w:numPr>
        <w:tabs>
          <w:tab w:val="num" w:pos="1134"/>
          <w:tab w:val="num" w:pos="1800"/>
        </w:tabs>
        <w:spacing w:before="120" w:after="120" w:line="240" w:lineRule="auto"/>
        <w:ind w:hanging="437"/>
        <w:jc w:val="both"/>
        <w:rPr>
          <w:rFonts w:ascii="Times New Roman" w:eastAsia="Times New Roman" w:hAnsi="Times New Roman" w:cs="Times New Roman"/>
          <w:bCs/>
        </w:rPr>
      </w:pPr>
      <w:r>
        <w:rPr>
          <w:rFonts w:ascii="Times New Roman" w:eastAsia="Times New Roman" w:hAnsi="Times New Roman" w:cs="Times New Roman"/>
          <w:bCs/>
        </w:rPr>
        <w:t>nappali munkarend: (14 EA + 0 SZ + 28 GY)</w:t>
      </w:r>
    </w:p>
    <w:p w:rsidR="0091380E" w:rsidRDefault="0091380E" w:rsidP="00980876">
      <w:pPr>
        <w:pStyle w:val="Listaszerbekezds"/>
        <w:widowControl w:val="0"/>
        <w:numPr>
          <w:ilvl w:val="2"/>
          <w:numId w:val="210"/>
        </w:numPr>
        <w:tabs>
          <w:tab w:val="num" w:pos="1134"/>
          <w:tab w:val="num" w:pos="1800"/>
        </w:tabs>
        <w:spacing w:before="120" w:after="120" w:line="240" w:lineRule="auto"/>
        <w:ind w:hanging="437"/>
        <w:jc w:val="both"/>
        <w:rPr>
          <w:rFonts w:ascii="Times New Roman" w:eastAsia="Times New Roman" w:hAnsi="Times New Roman" w:cs="Times New Roman"/>
          <w:bCs/>
        </w:rPr>
      </w:pPr>
      <w:r>
        <w:rPr>
          <w:rFonts w:ascii="Times New Roman" w:eastAsia="Times New Roman" w:hAnsi="Times New Roman" w:cs="Times New Roman"/>
          <w:bCs/>
        </w:rPr>
        <w:t>levelező munkarend: - (- EA + - SZ + - GY)</w:t>
      </w:r>
    </w:p>
    <w:p w:rsidR="0091380E" w:rsidRDefault="0091380E" w:rsidP="00980876">
      <w:pPr>
        <w:widowControl w:val="0"/>
        <w:numPr>
          <w:ilvl w:val="1"/>
          <w:numId w:val="212"/>
        </w:numPr>
        <w:tabs>
          <w:tab w:val="clear" w:pos="3977"/>
          <w:tab w:val="num" w:pos="432"/>
          <w:tab w:val="num" w:pos="709"/>
          <w:tab w:val="num" w:pos="2069"/>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heti óraszám - nappali munkarend: 3</w:t>
      </w:r>
      <w:r w:rsidR="00025E73">
        <w:rPr>
          <w:rFonts w:ascii="Times New Roman" w:eastAsia="Times New Roman" w:hAnsi="Times New Roman" w:cs="Times New Roman"/>
          <w:bCs/>
        </w:rPr>
        <w:t xml:space="preserve"> (1+2)</w:t>
      </w:r>
    </w:p>
    <w:p w:rsidR="0091380E" w:rsidRDefault="0091380E" w:rsidP="00980876">
      <w:pPr>
        <w:widowControl w:val="0"/>
        <w:numPr>
          <w:ilvl w:val="1"/>
          <w:numId w:val="212"/>
        </w:numPr>
        <w:tabs>
          <w:tab w:val="clear" w:pos="3977"/>
          <w:tab w:val="num" w:pos="432"/>
          <w:tab w:val="num" w:pos="709"/>
          <w:tab w:val="num" w:pos="2069"/>
        </w:tabs>
        <w:spacing w:before="120" w:after="120" w:line="240" w:lineRule="auto"/>
        <w:ind w:left="851" w:hanging="425"/>
        <w:jc w:val="both"/>
        <w:rPr>
          <w:rFonts w:ascii="Times New Roman" w:eastAsia="Times New Roman" w:hAnsi="Times New Roman" w:cs="Times New Roman"/>
          <w:bCs/>
        </w:rPr>
      </w:pPr>
      <w:r>
        <w:rPr>
          <w:rFonts w:ascii="Times New Roman" w:hAnsi="Times New Roman" w:cs="Times New Roman"/>
        </w:rPr>
        <w:t>Az ismeret átadásában alkalmazandó további sajátos módok, jellemzők: -</w:t>
      </w:r>
    </w:p>
    <w:p w:rsidR="0091380E" w:rsidRDefault="0091380E" w:rsidP="00980876">
      <w:pPr>
        <w:widowControl w:val="0"/>
        <w:numPr>
          <w:ilvl w:val="0"/>
          <w:numId w:val="212"/>
        </w:numPr>
        <w:tabs>
          <w:tab w:val="clear" w:pos="720"/>
          <w:tab w:val="num" w:pos="643"/>
        </w:tabs>
        <w:spacing w:before="120" w:after="120" w:line="240" w:lineRule="auto"/>
        <w:ind w:left="643"/>
        <w:jc w:val="both"/>
        <w:rPr>
          <w:rFonts w:ascii="Times New Roman" w:eastAsia="Times New Roman" w:hAnsi="Times New Roman" w:cs="Times New Roman"/>
          <w:bCs/>
        </w:rPr>
      </w:pPr>
      <w:r>
        <w:rPr>
          <w:rFonts w:ascii="Times New Roman" w:eastAsia="Times New Roman" w:hAnsi="Times New Roman" w:cs="Times New Roman"/>
          <w:b/>
          <w:bCs/>
        </w:rPr>
        <w:t>A tantárgy szakmai tartalma (magyarul):</w:t>
      </w:r>
      <w:r>
        <w:rPr>
          <w:bCs/>
        </w:rPr>
        <w:t xml:space="preserve"> </w:t>
      </w:r>
      <w:r>
        <w:rPr>
          <w:rFonts w:ascii="Times New Roman" w:eastAsia="Times New Roman" w:hAnsi="Times New Roman" w:cs="Times New Roman"/>
          <w:bCs/>
        </w:rPr>
        <w:t>A HM tárca számvitele. A költségvetési és pénzügyi számvitel sajátosságainak bemutatása, főkönyvi nyilvántartásban való megjelenése. Az MH beszámolási kötelezettségének bemutatása.</w:t>
      </w:r>
    </w:p>
    <w:p w:rsidR="0091380E" w:rsidRDefault="0091380E" w:rsidP="0091380E">
      <w:pPr>
        <w:widowControl w:val="0"/>
        <w:spacing w:before="120" w:after="120" w:line="240" w:lineRule="auto"/>
        <w:ind w:left="709"/>
        <w:jc w:val="both"/>
        <w:rPr>
          <w:rFonts w:ascii="Times New Roman" w:eastAsia="Times New Roman" w:hAnsi="Times New Roman" w:cs="Times New Roman"/>
          <w:bCs/>
          <w:lang w:val="en-GB"/>
        </w:rPr>
      </w:pPr>
      <w:r>
        <w:rPr>
          <w:rFonts w:ascii="Times New Roman" w:eastAsia="Times New Roman" w:hAnsi="Times New Roman" w:cs="Times New Roman"/>
          <w:b/>
          <w:bCs/>
        </w:rPr>
        <w:t>A tantárgy szakmai tartalma (angolul) (</w:t>
      </w:r>
      <w:r>
        <w:rPr>
          <w:rFonts w:ascii="Times New Roman" w:eastAsia="Times New Roman" w:hAnsi="Times New Roman" w:cs="Times New Roman"/>
          <w:b/>
          <w:bCs/>
          <w:lang w:val="en-US"/>
        </w:rPr>
        <w:t>Course description</w:t>
      </w:r>
      <w:r>
        <w:rPr>
          <w:rFonts w:ascii="Times New Roman" w:eastAsia="Times New Roman" w:hAnsi="Times New Roman" w:cs="Times New Roman"/>
          <w:b/>
          <w:bCs/>
        </w:rPr>
        <w:t xml:space="preserve">): </w:t>
      </w:r>
      <w:r>
        <w:rPr>
          <w:rFonts w:ascii="Times New Roman" w:eastAsia="Times New Roman" w:hAnsi="Times New Roman" w:cs="Times New Roman"/>
          <w:bCs/>
          <w:lang w:val="en-GB"/>
        </w:rPr>
        <w:t>Accounting in the MoD. Presentation of the features of budgetary and financial accounting, its appearance in the general ledger register. MoD's reporting obligations</w:t>
      </w:r>
      <w:r>
        <w:rPr>
          <w:rFonts w:ascii="Times New Roman" w:eastAsia="Times New Roman" w:hAnsi="Times New Roman" w:cs="Times New Roman"/>
          <w:bCs/>
        </w:rPr>
        <w:t>.</w:t>
      </w:r>
    </w:p>
    <w:p w:rsidR="0091380E" w:rsidRDefault="0091380E" w:rsidP="00980876">
      <w:pPr>
        <w:pStyle w:val="Listaszerbekezds"/>
        <w:widowControl w:val="0"/>
        <w:numPr>
          <w:ilvl w:val="0"/>
          <w:numId w:val="212"/>
        </w:numPr>
        <w:tabs>
          <w:tab w:val="clear" w:pos="720"/>
          <w:tab w:val="num" w:pos="426"/>
          <w:tab w:val="num" w:pos="643"/>
        </w:tabs>
        <w:spacing w:before="120" w:after="120" w:line="240" w:lineRule="auto"/>
        <w:ind w:left="643"/>
        <w:jc w:val="both"/>
        <w:rPr>
          <w:rFonts w:ascii="Times New Roman" w:eastAsia="Times New Roman" w:hAnsi="Times New Roman" w:cs="Times New Roman"/>
          <w:bCs/>
        </w:rPr>
      </w:pPr>
      <w:r>
        <w:rPr>
          <w:rFonts w:ascii="Times New Roman" w:eastAsia="Times New Roman" w:hAnsi="Times New Roman" w:cs="Times New Roman"/>
          <w:b/>
          <w:bCs/>
        </w:rPr>
        <w:t xml:space="preserve">Elérendő kompetenciák (magyarul): </w:t>
      </w:r>
    </w:p>
    <w:p w:rsidR="0091380E" w:rsidRDefault="0091380E" w:rsidP="00056F25">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Tudása:</w:t>
      </w:r>
      <w:r>
        <w:rPr>
          <w:rFonts w:ascii="Times New Roman" w:eastAsia="Times New Roman" w:hAnsi="Times New Roman" w:cs="Times New Roman"/>
          <w:bCs/>
        </w:rPr>
        <w:t xml:space="preserve"> </w:t>
      </w:r>
    </w:p>
    <w:p w:rsidR="0091380E" w:rsidRDefault="0091380E" w:rsidP="00980876">
      <w:pPr>
        <w:pStyle w:val="Listaszerbekezds"/>
        <w:widowControl w:val="0"/>
        <w:numPr>
          <w:ilvl w:val="0"/>
          <w:numId w:val="211"/>
        </w:numPr>
        <w:spacing w:after="120" w:line="240" w:lineRule="auto"/>
        <w:ind w:left="788" w:hanging="221"/>
        <w:jc w:val="both"/>
        <w:rPr>
          <w:rFonts w:ascii="Times New Roman" w:eastAsia="Times New Roman" w:hAnsi="Times New Roman" w:cs="Times New Roman"/>
          <w:bCs/>
        </w:rPr>
      </w:pPr>
      <w:r>
        <w:rPr>
          <w:rFonts w:ascii="Times New Roman" w:eastAsia="Times New Roman" w:hAnsi="Times New Roman" w:cs="Times New Roman"/>
          <w:bCs/>
        </w:rPr>
        <w:t>Ismeri a Honvédelmi Minisztérium számviteli rendszerét, gazdálkodásának szabályait. Ismeri a költségvetési szervek zárszámadására, beszámolására vonatkozó szabályokat.</w:t>
      </w:r>
    </w:p>
    <w:p w:rsidR="0091380E" w:rsidRPr="00056F25" w:rsidRDefault="0091380E" w:rsidP="00056F25">
      <w:pPr>
        <w:widowControl w:val="0"/>
        <w:spacing w:before="120" w:after="0" w:line="240" w:lineRule="auto"/>
        <w:ind w:left="425"/>
        <w:jc w:val="both"/>
        <w:rPr>
          <w:rFonts w:ascii="Times New Roman" w:eastAsia="Times New Roman" w:hAnsi="Times New Roman" w:cs="Times New Roman"/>
          <w:b/>
          <w:bCs/>
        </w:rPr>
      </w:pPr>
      <w:r>
        <w:rPr>
          <w:rFonts w:ascii="Times New Roman" w:eastAsia="Times New Roman" w:hAnsi="Times New Roman" w:cs="Times New Roman"/>
          <w:b/>
          <w:bCs/>
        </w:rPr>
        <w:t>Képességei:</w:t>
      </w:r>
      <w:r w:rsidRPr="00056F25">
        <w:rPr>
          <w:rFonts w:ascii="Times New Roman" w:eastAsia="Times New Roman" w:hAnsi="Times New Roman" w:cs="Times New Roman"/>
          <w:b/>
          <w:bCs/>
        </w:rPr>
        <w:t xml:space="preserve"> </w:t>
      </w:r>
    </w:p>
    <w:p w:rsidR="0091380E" w:rsidRDefault="0091380E" w:rsidP="00980876">
      <w:pPr>
        <w:pStyle w:val="Listaszerbekezds"/>
        <w:widowControl w:val="0"/>
        <w:numPr>
          <w:ilvl w:val="0"/>
          <w:numId w:val="211"/>
        </w:numPr>
        <w:spacing w:before="120" w:after="120" w:line="240" w:lineRule="auto"/>
        <w:ind w:hanging="219"/>
        <w:jc w:val="both"/>
        <w:rPr>
          <w:rFonts w:ascii="Times New Roman" w:eastAsia="Times New Roman" w:hAnsi="Times New Roman" w:cs="Times New Roman"/>
          <w:bCs/>
        </w:rPr>
      </w:pPr>
      <w:r>
        <w:rPr>
          <w:rFonts w:ascii="Times New Roman" w:eastAsia="Times New Roman" w:hAnsi="Times New Roman" w:cs="Times New Roman"/>
          <w:bCs/>
        </w:rPr>
        <w:t>Más szakterületekkel együttműködve részt vesz a gazdálkodó szervezetek költségvetésének tervezésében, a gazdálkodás végrehajtásával és a beszámolással kapcsolatos feladatokban..</w:t>
      </w:r>
    </w:p>
    <w:p w:rsidR="0091380E" w:rsidRPr="00056F25" w:rsidRDefault="0091380E" w:rsidP="00056F25">
      <w:pPr>
        <w:widowControl w:val="0"/>
        <w:spacing w:before="120" w:after="0" w:line="240" w:lineRule="auto"/>
        <w:ind w:left="425"/>
        <w:jc w:val="both"/>
        <w:rPr>
          <w:rFonts w:ascii="Times New Roman" w:eastAsia="Times New Roman" w:hAnsi="Times New Roman" w:cs="Times New Roman"/>
          <w:b/>
          <w:bCs/>
        </w:rPr>
      </w:pPr>
      <w:r>
        <w:rPr>
          <w:rFonts w:ascii="Times New Roman" w:eastAsia="Times New Roman" w:hAnsi="Times New Roman" w:cs="Times New Roman"/>
          <w:b/>
          <w:bCs/>
        </w:rPr>
        <w:t>Attitűdje:</w:t>
      </w:r>
      <w:r w:rsidRPr="00056F25">
        <w:rPr>
          <w:rFonts w:ascii="Times New Roman" w:eastAsia="Times New Roman" w:hAnsi="Times New Roman" w:cs="Times New Roman"/>
          <w:b/>
          <w:bCs/>
        </w:rPr>
        <w:t xml:space="preserve"> </w:t>
      </w:r>
    </w:p>
    <w:p w:rsidR="0091380E" w:rsidRDefault="0091380E" w:rsidP="00980876">
      <w:pPr>
        <w:pStyle w:val="Listaszerbekezds"/>
        <w:widowControl w:val="0"/>
        <w:numPr>
          <w:ilvl w:val="0"/>
          <w:numId w:val="211"/>
        </w:numPr>
        <w:spacing w:before="120" w:after="120" w:line="240" w:lineRule="auto"/>
        <w:ind w:hanging="219"/>
        <w:jc w:val="both"/>
        <w:rPr>
          <w:rFonts w:ascii="Times New Roman" w:eastAsia="Times New Roman" w:hAnsi="Times New Roman" w:cs="Times New Roman"/>
          <w:bCs/>
        </w:rPr>
      </w:pPr>
      <w:r>
        <w:rPr>
          <w:rFonts w:ascii="Times New Roman" w:eastAsia="Times New Roman" w:hAnsi="Times New Roman" w:cs="Times New Roman"/>
          <w:bCs/>
        </w:rPr>
        <w:t>Különös figyelmet fordít a pénzügyi területnél elvárt jogszerű, szabálykövető, pontos munkavégzésre.</w:t>
      </w:r>
    </w:p>
    <w:p w:rsidR="0091380E" w:rsidRPr="00056F25" w:rsidRDefault="0091380E" w:rsidP="00056F25">
      <w:pPr>
        <w:widowControl w:val="0"/>
        <w:spacing w:before="120" w:after="0" w:line="240" w:lineRule="auto"/>
        <w:ind w:left="425"/>
        <w:jc w:val="both"/>
        <w:rPr>
          <w:rFonts w:ascii="Times New Roman" w:eastAsia="Times New Roman" w:hAnsi="Times New Roman" w:cs="Times New Roman"/>
          <w:b/>
          <w:bCs/>
        </w:rPr>
      </w:pPr>
      <w:r>
        <w:rPr>
          <w:rFonts w:ascii="Times New Roman" w:eastAsia="Times New Roman" w:hAnsi="Times New Roman" w:cs="Times New Roman"/>
          <w:b/>
          <w:bCs/>
        </w:rPr>
        <w:t>Autonómiája és felelőssége:</w:t>
      </w:r>
      <w:r w:rsidRPr="00056F25">
        <w:rPr>
          <w:rFonts w:ascii="Times New Roman" w:eastAsia="Times New Roman" w:hAnsi="Times New Roman" w:cs="Times New Roman"/>
          <w:b/>
          <w:bCs/>
        </w:rPr>
        <w:t xml:space="preserve"> </w:t>
      </w:r>
    </w:p>
    <w:p w:rsidR="0091380E" w:rsidRDefault="0091380E" w:rsidP="00980876">
      <w:pPr>
        <w:pStyle w:val="Listaszerbekezds"/>
        <w:widowControl w:val="0"/>
        <w:numPr>
          <w:ilvl w:val="0"/>
          <w:numId w:val="211"/>
        </w:numPr>
        <w:spacing w:before="120" w:after="120" w:line="240" w:lineRule="auto"/>
        <w:ind w:hanging="219"/>
        <w:jc w:val="both"/>
        <w:rPr>
          <w:rFonts w:ascii="Times New Roman" w:eastAsia="Times New Roman" w:hAnsi="Times New Roman" w:cs="Times New Roman"/>
          <w:bCs/>
        </w:rPr>
      </w:pPr>
      <w:r>
        <w:rPr>
          <w:rFonts w:ascii="Times New Roman" w:eastAsia="Times New Roman" w:hAnsi="Times New Roman" w:cs="Times New Roman"/>
          <w:bCs/>
        </w:rPr>
        <w:t>A gazdálkodás támogató és pénzügyi ellátó referatúra feladatkörébe tartozó gazdálkodási kérdésekben önállóan döntéseket hoz.</w:t>
      </w:r>
    </w:p>
    <w:p w:rsidR="00056F25" w:rsidRDefault="00056F25">
      <w:pPr>
        <w:spacing w:after="200" w:line="276" w:lineRule="auto"/>
        <w:rPr>
          <w:rFonts w:ascii="Times New Roman" w:eastAsia="Times New Roman" w:hAnsi="Times New Roman" w:cs="Times New Roman"/>
          <w:b/>
          <w:bCs/>
        </w:rPr>
      </w:pPr>
      <w:r>
        <w:rPr>
          <w:rFonts w:ascii="Times New Roman" w:eastAsia="Times New Roman" w:hAnsi="Times New Roman" w:cs="Times New Roman"/>
          <w:b/>
          <w:bCs/>
        </w:rPr>
        <w:br w:type="page"/>
      </w:r>
    </w:p>
    <w:p w:rsidR="0091380E" w:rsidRDefault="0091380E" w:rsidP="0091380E">
      <w:pPr>
        <w:widowControl w:val="0"/>
        <w:spacing w:before="120" w:after="120" w:line="240" w:lineRule="auto"/>
        <w:ind w:left="426"/>
        <w:jc w:val="both"/>
        <w:rPr>
          <w:rFonts w:ascii="Times New Roman" w:eastAsia="Times New Roman" w:hAnsi="Times New Roman" w:cs="Times New Roman"/>
          <w:b/>
          <w:bCs/>
          <w:lang w:val="en-US"/>
        </w:rPr>
      </w:pPr>
      <w:r>
        <w:rPr>
          <w:rFonts w:ascii="Times New Roman" w:eastAsia="Times New Roman" w:hAnsi="Times New Roman" w:cs="Times New Roman"/>
          <w:b/>
          <w:bCs/>
        </w:rPr>
        <w:lastRenderedPageBreak/>
        <w:t>Elérendő kompetenciák (angolul) (</w:t>
      </w:r>
      <w:r>
        <w:rPr>
          <w:rFonts w:ascii="Times New Roman" w:eastAsia="Times New Roman" w:hAnsi="Times New Roman" w:cs="Times New Roman"/>
          <w:b/>
          <w:bCs/>
          <w:lang w:val="en-US"/>
        </w:rPr>
        <w:t xml:space="preserve">Competences – English): </w:t>
      </w:r>
    </w:p>
    <w:p w:rsidR="0091380E" w:rsidRPr="00056F25" w:rsidRDefault="0091380E" w:rsidP="00056F25">
      <w:pPr>
        <w:widowControl w:val="0"/>
        <w:spacing w:before="120" w:after="0" w:line="240" w:lineRule="auto"/>
        <w:ind w:left="425"/>
        <w:jc w:val="both"/>
        <w:rPr>
          <w:rFonts w:ascii="Times New Roman" w:eastAsia="Times New Roman" w:hAnsi="Times New Roman" w:cs="Times New Roman"/>
          <w:b/>
          <w:bCs/>
        </w:rPr>
      </w:pPr>
      <w:r w:rsidRPr="00056F25">
        <w:rPr>
          <w:rFonts w:ascii="Times New Roman" w:eastAsia="Times New Roman" w:hAnsi="Times New Roman" w:cs="Times New Roman"/>
          <w:b/>
          <w:bCs/>
        </w:rPr>
        <w:t xml:space="preserve">Knowledge: </w:t>
      </w:r>
    </w:p>
    <w:p w:rsidR="0091380E" w:rsidRDefault="0091380E" w:rsidP="00980876">
      <w:pPr>
        <w:pStyle w:val="Listaszerbekezds"/>
        <w:widowControl w:val="0"/>
        <w:numPr>
          <w:ilvl w:val="0"/>
          <w:numId w:val="211"/>
        </w:numPr>
        <w:spacing w:before="120" w:after="120" w:line="256" w:lineRule="auto"/>
        <w:ind w:hanging="219"/>
        <w:jc w:val="both"/>
        <w:rPr>
          <w:rFonts w:ascii="Times New Roman" w:eastAsia="Times New Roman" w:hAnsi="Times New Roman" w:cs="Times New Roman"/>
        </w:rPr>
      </w:pPr>
      <w:r>
        <w:rPr>
          <w:rFonts w:ascii="Times New Roman" w:eastAsia="Times New Roman" w:hAnsi="Times New Roman" w:cs="Times New Roman"/>
          <w:lang w:val="en"/>
        </w:rPr>
        <w:t>He/She knows the accounting system of the Ministry of Defense and the rules of its management. He/She knows the rules concerning the accounting and reporting of the budgetary bodies.</w:t>
      </w:r>
    </w:p>
    <w:p w:rsidR="0091380E" w:rsidRPr="00056F25" w:rsidRDefault="0091380E" w:rsidP="00056F25">
      <w:pPr>
        <w:widowControl w:val="0"/>
        <w:spacing w:before="120" w:after="0" w:line="240" w:lineRule="auto"/>
        <w:ind w:left="425"/>
        <w:jc w:val="both"/>
        <w:rPr>
          <w:rFonts w:ascii="Times New Roman" w:eastAsia="Times New Roman" w:hAnsi="Times New Roman" w:cs="Times New Roman"/>
          <w:b/>
          <w:bCs/>
        </w:rPr>
      </w:pPr>
      <w:r w:rsidRPr="00056F25">
        <w:rPr>
          <w:rFonts w:ascii="Times New Roman" w:eastAsia="Times New Roman" w:hAnsi="Times New Roman" w:cs="Times New Roman"/>
          <w:b/>
          <w:bCs/>
        </w:rPr>
        <w:t xml:space="preserve">Capabilities: </w:t>
      </w:r>
    </w:p>
    <w:p w:rsidR="0091380E" w:rsidRDefault="0091380E" w:rsidP="00980876">
      <w:pPr>
        <w:pStyle w:val="Listaszerbekezds"/>
        <w:widowControl w:val="0"/>
        <w:numPr>
          <w:ilvl w:val="0"/>
          <w:numId w:val="211"/>
        </w:numPr>
        <w:spacing w:before="120" w:after="120" w:line="240" w:lineRule="auto"/>
        <w:ind w:hanging="219"/>
        <w:jc w:val="both"/>
        <w:rPr>
          <w:rFonts w:ascii="Times New Roman" w:eastAsia="Times New Roman" w:hAnsi="Times New Roman" w:cs="Times New Roman"/>
          <w:lang w:val="en-GB"/>
        </w:rPr>
      </w:pPr>
      <w:r>
        <w:rPr>
          <w:rFonts w:ascii="Times New Roman" w:eastAsia="Times New Roman" w:hAnsi="Times New Roman" w:cs="Times New Roman"/>
          <w:lang w:val="en-GB"/>
        </w:rPr>
        <w:t>Collaborates with other areas of expertise in planning, implementing, and reporting on the military organizations' budgets.</w:t>
      </w:r>
    </w:p>
    <w:p w:rsidR="0091380E" w:rsidRPr="00056F25" w:rsidRDefault="0091380E" w:rsidP="00056F25">
      <w:pPr>
        <w:widowControl w:val="0"/>
        <w:spacing w:before="120" w:after="0" w:line="240" w:lineRule="auto"/>
        <w:ind w:left="425"/>
        <w:jc w:val="both"/>
        <w:rPr>
          <w:rFonts w:ascii="Times New Roman" w:eastAsia="Times New Roman" w:hAnsi="Times New Roman" w:cs="Times New Roman"/>
          <w:b/>
          <w:bCs/>
        </w:rPr>
      </w:pPr>
      <w:r w:rsidRPr="00056F25">
        <w:rPr>
          <w:rFonts w:ascii="Times New Roman" w:eastAsia="Times New Roman" w:hAnsi="Times New Roman" w:cs="Times New Roman"/>
          <w:b/>
          <w:bCs/>
        </w:rPr>
        <w:t xml:space="preserve">Attitude: </w:t>
      </w:r>
    </w:p>
    <w:p w:rsidR="0091380E" w:rsidRDefault="0091380E" w:rsidP="00980876">
      <w:pPr>
        <w:pStyle w:val="Listaszerbekezds"/>
        <w:widowControl w:val="0"/>
        <w:numPr>
          <w:ilvl w:val="0"/>
          <w:numId w:val="211"/>
        </w:numPr>
        <w:spacing w:before="120" w:after="120" w:line="240" w:lineRule="auto"/>
        <w:ind w:hanging="219"/>
        <w:jc w:val="both"/>
        <w:rPr>
          <w:rFonts w:ascii="Times New Roman" w:eastAsia="Times New Roman" w:hAnsi="Times New Roman" w:cs="Times New Roman"/>
          <w:b/>
          <w:lang w:val="en-GB"/>
        </w:rPr>
      </w:pPr>
      <w:r>
        <w:rPr>
          <w:rFonts w:ascii="Times New Roman" w:eastAsia="Times New Roman" w:hAnsi="Times New Roman" w:cs="Times New Roman"/>
          <w:lang w:val="en-GB"/>
        </w:rPr>
        <w:t>He/she pays particular attention to the legal, regulatory, and accurate work required in the financial field.</w:t>
      </w:r>
    </w:p>
    <w:p w:rsidR="0091380E" w:rsidRPr="00056F25" w:rsidRDefault="0091380E" w:rsidP="00056F25">
      <w:pPr>
        <w:widowControl w:val="0"/>
        <w:spacing w:before="120" w:after="0" w:line="240" w:lineRule="auto"/>
        <w:ind w:left="425"/>
        <w:jc w:val="both"/>
        <w:rPr>
          <w:rFonts w:ascii="Times New Roman" w:eastAsia="Times New Roman" w:hAnsi="Times New Roman" w:cs="Times New Roman"/>
          <w:b/>
          <w:bCs/>
        </w:rPr>
      </w:pPr>
      <w:r w:rsidRPr="00056F25">
        <w:rPr>
          <w:rFonts w:ascii="Times New Roman" w:eastAsia="Times New Roman" w:hAnsi="Times New Roman" w:cs="Times New Roman"/>
          <w:b/>
          <w:bCs/>
        </w:rPr>
        <w:t xml:space="preserve">Autonomy and responsibility: </w:t>
      </w:r>
    </w:p>
    <w:p w:rsidR="0091380E" w:rsidRDefault="0091380E" w:rsidP="00980876">
      <w:pPr>
        <w:pStyle w:val="Listaszerbekezds"/>
        <w:numPr>
          <w:ilvl w:val="0"/>
          <w:numId w:val="2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19"/>
        <w:jc w:val="both"/>
        <w:rPr>
          <w:rFonts w:ascii="Times New Roman" w:eastAsia="Times New Roman" w:hAnsi="Times New Roman" w:cs="Times New Roman"/>
          <w:lang w:val="en-GB"/>
        </w:rPr>
      </w:pPr>
      <w:r>
        <w:rPr>
          <w:rFonts w:ascii="Times New Roman" w:eastAsia="Times New Roman" w:hAnsi="Times New Roman" w:cs="Times New Roman"/>
          <w:lang w:val="en-GB"/>
        </w:rPr>
        <w:t>He / she makes independent decisions on management issues within the scope of his / her financial management portfolio.</w:t>
      </w:r>
    </w:p>
    <w:p w:rsidR="0091380E" w:rsidRDefault="0091380E" w:rsidP="00980876">
      <w:pPr>
        <w:widowControl w:val="0"/>
        <w:numPr>
          <w:ilvl w:val="0"/>
          <w:numId w:val="212"/>
        </w:numPr>
        <w:tabs>
          <w:tab w:val="clear" w:pos="720"/>
          <w:tab w:val="num" w:pos="643"/>
        </w:tabs>
        <w:spacing w:before="120" w:after="120" w:line="240" w:lineRule="auto"/>
        <w:ind w:left="643"/>
        <w:jc w:val="both"/>
        <w:rPr>
          <w:rFonts w:ascii="Times New Roman" w:eastAsia="Times New Roman" w:hAnsi="Times New Roman" w:cs="Times New Roman"/>
          <w:bCs/>
        </w:rPr>
      </w:pPr>
      <w:r>
        <w:rPr>
          <w:rFonts w:ascii="Times New Roman" w:eastAsia="Times New Roman" w:hAnsi="Times New Roman" w:cs="Times New Roman"/>
          <w:b/>
          <w:bCs/>
        </w:rPr>
        <w:t xml:space="preserve">Előtanulmányi követelmények: </w:t>
      </w:r>
      <w:r>
        <w:rPr>
          <w:rFonts w:ascii="Times New Roman" w:eastAsia="Times New Roman" w:hAnsi="Times New Roman" w:cs="Times New Roman"/>
          <w:bCs/>
        </w:rPr>
        <w:t>Számvitel I. (Alapok) HKHPKA500</w:t>
      </w:r>
    </w:p>
    <w:p w:rsidR="0091380E" w:rsidRDefault="0091380E" w:rsidP="00980876">
      <w:pPr>
        <w:widowControl w:val="0"/>
        <w:numPr>
          <w:ilvl w:val="0"/>
          <w:numId w:val="212"/>
        </w:numPr>
        <w:tabs>
          <w:tab w:val="clear" w:pos="720"/>
          <w:tab w:val="num" w:pos="643"/>
        </w:tabs>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A tantárgy tananyagának leírása, tematika. Description of the subject, curriculum (magyarul, angolul - English):</w:t>
      </w:r>
    </w:p>
    <w:p w:rsidR="0091380E" w:rsidRDefault="0091380E" w:rsidP="00980876">
      <w:pPr>
        <w:widowControl w:val="0"/>
        <w:numPr>
          <w:ilvl w:val="1"/>
          <w:numId w:val="212"/>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Az államháztartás számviteléről szóló kormányrendelet és a számviteli alapelvek áttekintése. </w:t>
      </w:r>
      <w:r>
        <w:rPr>
          <w:rFonts w:ascii="Times New Roman" w:eastAsia="Times New Roman" w:hAnsi="Times New Roman" w:cs="Times New Roman"/>
          <w:i/>
          <w:kern w:val="2"/>
        </w:rPr>
        <w:t>(Government Decree on Public Accounting and Review of accounting principles)</w:t>
      </w:r>
    </w:p>
    <w:p w:rsidR="0091380E" w:rsidRDefault="0091380E" w:rsidP="00980876">
      <w:pPr>
        <w:widowControl w:val="0"/>
        <w:numPr>
          <w:ilvl w:val="1"/>
          <w:numId w:val="212"/>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Az államháztartás számviteléről szóló kormányrendelet és a számviteli alapelvek alkalmazása a honvédelmi szervek számvitelében. </w:t>
      </w:r>
      <w:r>
        <w:rPr>
          <w:rFonts w:ascii="Times New Roman" w:eastAsia="Times New Roman" w:hAnsi="Times New Roman" w:cs="Times New Roman"/>
          <w:i/>
          <w:kern w:val="2"/>
        </w:rPr>
        <w:t>(Government Decree on Public Accounting and application of accounting principles in the accounting of defense organizations.)</w:t>
      </w:r>
    </w:p>
    <w:p w:rsidR="0091380E" w:rsidRDefault="0091380E" w:rsidP="00980876">
      <w:pPr>
        <w:widowControl w:val="0"/>
        <w:numPr>
          <w:ilvl w:val="1"/>
          <w:numId w:val="212"/>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 költségvetési és pénzügyi számvitel sajátosságainak elméleti és gyakorlati bemutatása. </w:t>
      </w:r>
      <w:r>
        <w:rPr>
          <w:rFonts w:ascii="Times New Roman" w:eastAsia="Times New Roman" w:hAnsi="Times New Roman" w:cs="Times New Roman"/>
          <w:i/>
          <w:kern w:val="2"/>
        </w:rPr>
        <w:t>(Public accounting and accountig in theory and in practice.)</w:t>
      </w:r>
    </w:p>
    <w:p w:rsidR="0091380E" w:rsidRDefault="0091380E" w:rsidP="00980876">
      <w:pPr>
        <w:widowControl w:val="0"/>
        <w:numPr>
          <w:ilvl w:val="1"/>
          <w:numId w:val="212"/>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 nemzeti vagyonba tartozó befektetett eszközök jellemzői, számviteli elszámolásuk. Az eszközök bekerülési értéke, az értékcsökkenés, értékvesztés elszámolásának szabályai, a mérlegérték meghatározása. </w:t>
      </w:r>
      <w:r>
        <w:rPr>
          <w:rFonts w:ascii="Times New Roman" w:eastAsia="Times New Roman" w:hAnsi="Times New Roman" w:cs="Times New Roman"/>
          <w:i/>
          <w:kern w:val="2"/>
        </w:rPr>
        <w:t>(Characteristics of the national assets and their accounting. Cost of assets, rules for accounting for depreciation and impairment, determination of book value.)</w:t>
      </w:r>
    </w:p>
    <w:p w:rsidR="0091380E" w:rsidRDefault="0091380E" w:rsidP="00980876">
      <w:pPr>
        <w:widowControl w:val="0"/>
        <w:numPr>
          <w:ilvl w:val="1"/>
          <w:numId w:val="212"/>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i/>
          <w:kern w:val="2"/>
        </w:rPr>
      </w:pPr>
      <w:r>
        <w:rPr>
          <w:rFonts w:ascii="Times New Roman" w:eastAsia="Times New Roman" w:hAnsi="Times New Roman" w:cs="Times New Roman"/>
          <w:kern w:val="2"/>
        </w:rPr>
        <w:t xml:space="preserve">A nemzeti vagyonba tartozó forgóeszközök jellemzői, számviteli elszámolásuk. Az eszközök bekerülési értéke, az értékvesztés elszámolásának szabályai, a mérlegérték meghatározása. </w:t>
      </w:r>
      <w:r>
        <w:rPr>
          <w:rFonts w:ascii="Times New Roman" w:eastAsia="Times New Roman" w:hAnsi="Times New Roman" w:cs="Times New Roman"/>
          <w:i/>
          <w:kern w:val="2"/>
        </w:rPr>
        <w:t>(Characteristics of current assets belonging to national assets, their accounting. The cost of assets, the rules for accounting for impairment, the determination of book values.)</w:t>
      </w:r>
    </w:p>
    <w:p w:rsidR="0091380E" w:rsidRDefault="0091380E" w:rsidP="00980876">
      <w:pPr>
        <w:widowControl w:val="0"/>
        <w:numPr>
          <w:ilvl w:val="1"/>
          <w:numId w:val="212"/>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 nemzeti vagyonba tartozó egyéb eszközök és források jellemzői, számviteli elszámolásuk. Az eszközök, források bekerülési értéke, az értékvesztés elszámolásának szabályai, a mérlegérték meghatározása. </w:t>
      </w:r>
      <w:r>
        <w:rPr>
          <w:rFonts w:ascii="Times New Roman" w:eastAsia="Times New Roman" w:hAnsi="Times New Roman" w:cs="Times New Roman"/>
          <w:i/>
          <w:kern w:val="2"/>
        </w:rPr>
        <w:t>(Characteristics of current assets belonging to national assets, their accounting. The cost of assets, the rules for accounting for impairment, the determination of book values.)</w:t>
      </w:r>
    </w:p>
    <w:p w:rsidR="0091380E" w:rsidRDefault="0091380E" w:rsidP="00980876">
      <w:pPr>
        <w:widowControl w:val="0"/>
        <w:numPr>
          <w:ilvl w:val="1"/>
          <w:numId w:val="212"/>
        </w:numPr>
        <w:tabs>
          <w:tab w:val="clear" w:pos="3977"/>
          <w:tab w:val="left" w:pos="709"/>
          <w:tab w:val="left" w:pos="993"/>
          <w:tab w:val="num" w:pos="2069"/>
        </w:tabs>
        <w:spacing w:before="120" w:after="120" w:line="240" w:lineRule="auto"/>
        <w:ind w:left="993" w:hanging="567"/>
        <w:jc w:val="both"/>
        <w:rPr>
          <w:rFonts w:ascii="Times New Roman" w:hAnsi="Times New Roman"/>
          <w:color w:val="000000"/>
          <w:lang w:eastAsia="x-none"/>
        </w:rPr>
      </w:pPr>
      <w:r>
        <w:rPr>
          <w:rFonts w:ascii="Times New Roman" w:eastAsia="Times New Roman" w:hAnsi="Times New Roman" w:cs="Times New Roman"/>
          <w:kern w:val="2"/>
        </w:rPr>
        <w:t xml:space="preserve">Az előirányzat gazdálkodás, a követelések, kötelezettségvállalások elszámolásának szabályai. </w:t>
      </w:r>
      <w:r>
        <w:rPr>
          <w:rFonts w:ascii="Times New Roman" w:eastAsia="Times New Roman" w:hAnsi="Times New Roman" w:cs="Times New Roman"/>
          <w:i/>
          <w:kern w:val="2"/>
        </w:rPr>
        <w:t>(Appropriations management, rules for the settlement of receivables and commitments.)</w:t>
      </w:r>
    </w:p>
    <w:p w:rsidR="0091380E" w:rsidRDefault="0091380E" w:rsidP="00980876">
      <w:pPr>
        <w:pStyle w:val="Listaszerbekezds"/>
        <w:widowControl w:val="0"/>
        <w:numPr>
          <w:ilvl w:val="0"/>
          <w:numId w:val="212"/>
        </w:numPr>
        <w:tabs>
          <w:tab w:val="clear" w:pos="720"/>
          <w:tab w:val="num" w:pos="643"/>
          <w:tab w:val="left" w:pos="709"/>
          <w:tab w:val="left" w:pos="993"/>
        </w:tabs>
        <w:spacing w:before="120" w:after="120" w:line="240" w:lineRule="auto"/>
        <w:ind w:left="643"/>
        <w:jc w:val="both"/>
        <w:rPr>
          <w:rFonts w:ascii="Times New Roman" w:eastAsia="Times New Roman" w:hAnsi="Times New Roman" w:cs="Times New Roman"/>
          <w:bCs/>
        </w:rPr>
      </w:pPr>
      <w:r>
        <w:rPr>
          <w:rFonts w:ascii="Times New Roman" w:eastAsia="Times New Roman" w:hAnsi="Times New Roman" w:cs="Times New Roman"/>
          <w:b/>
          <w:bCs/>
        </w:rPr>
        <w:t xml:space="preserve">A tantárgy meghirdetésének gyakorisága/a tantervben történő félévi elhelyezkedése: </w:t>
      </w:r>
      <w:r>
        <w:rPr>
          <w:rFonts w:ascii="Times New Roman" w:eastAsia="Times New Roman" w:hAnsi="Times New Roman" w:cs="Times New Roman"/>
          <w:bCs/>
        </w:rPr>
        <w:t>a tanév 2. (tavaszi) félévében.</w:t>
      </w:r>
    </w:p>
    <w:p w:rsidR="0091380E" w:rsidRDefault="0091380E" w:rsidP="00980876">
      <w:pPr>
        <w:widowControl w:val="0"/>
        <w:numPr>
          <w:ilvl w:val="0"/>
          <w:numId w:val="212"/>
        </w:numPr>
        <w:tabs>
          <w:tab w:val="clear" w:pos="720"/>
          <w:tab w:val="num" w:pos="643"/>
        </w:tabs>
        <w:spacing w:before="120" w:after="120" w:line="240" w:lineRule="auto"/>
        <w:ind w:left="643"/>
        <w:jc w:val="both"/>
        <w:rPr>
          <w:rFonts w:ascii="Times New Roman" w:eastAsia="Times New Roman" w:hAnsi="Times New Roman" w:cs="Times New Roman"/>
          <w:bCs/>
        </w:rPr>
      </w:pPr>
      <w:r>
        <w:rPr>
          <w:rFonts w:ascii="Times New Roman" w:eastAsia="Times New Roman" w:hAnsi="Times New Roman" w:cs="Times New Roman"/>
          <w:b/>
          <w:bCs/>
        </w:rPr>
        <w:lastRenderedPageBreak/>
        <w:t>A tanórákon való részvétel követelményei, az elfogadható hiányzások mértéke, a távolmaradás pótlásának lehetősége:</w:t>
      </w:r>
      <w:r>
        <w:rPr>
          <w:rFonts w:ascii="Times New Roman" w:eastAsia="Times New Roman" w:hAnsi="Times New Roman" w:cs="Times New Roman"/>
          <w:bCs/>
        </w:rPr>
        <w:t xml:space="preserve"> a tanórákon való jelenlét kötelező, az elfogadható és igazolt hiányzások száma maximum a tanórák 20%-áig terjedhet, az ismeretek pótlásáról a hallgató gondoskodik. A hiányzások elfogadható mértékének túllépése az aláírás megtagadását vonja maga után.</w:t>
      </w:r>
    </w:p>
    <w:p w:rsidR="0091380E" w:rsidRDefault="0091380E" w:rsidP="00980876">
      <w:pPr>
        <w:widowControl w:val="0"/>
        <w:numPr>
          <w:ilvl w:val="0"/>
          <w:numId w:val="212"/>
        </w:numPr>
        <w:tabs>
          <w:tab w:val="clear" w:pos="720"/>
          <w:tab w:val="num" w:pos="643"/>
        </w:tabs>
        <w:spacing w:before="120" w:after="120" w:line="240" w:lineRule="auto"/>
        <w:jc w:val="both"/>
        <w:rPr>
          <w:rFonts w:ascii="Times New Roman" w:eastAsia="Times New Roman" w:hAnsi="Times New Roman" w:cs="Times New Roman"/>
        </w:rPr>
      </w:pPr>
      <w:r>
        <w:rPr>
          <w:rFonts w:ascii="Times New Roman" w:eastAsia="Times New Roman" w:hAnsi="Times New Roman" w:cs="Times New Roman"/>
          <w:b/>
        </w:rPr>
        <w:t>Félévközi feladatok, ismeretek ellenőrzésének rendje:</w:t>
      </w:r>
      <w:r>
        <w:rPr>
          <w:rFonts w:ascii="Times New Roman" w:eastAsia="Times New Roman" w:hAnsi="Times New Roman" w:cs="Times New Roman"/>
        </w:rPr>
        <w:t xml:space="preserve"> A hallgató a félév során egy az oktató által meghatározott téma önálló feldolgozását követően, abból előadást tart. A hallgató a félév három zárthelyi dolgozatot ír. A zárthelyi dolgozatok értékelése ötfokozatú skála alapján történik (50 %-tól elégséges, 65 %-tól közepes, 75-tól % jó, 85 %-tól jeles). </w:t>
      </w:r>
    </w:p>
    <w:p w:rsidR="0091380E" w:rsidRDefault="0091380E" w:rsidP="0091380E">
      <w:pPr>
        <w:widowControl w:val="0"/>
        <w:spacing w:before="120" w:after="120" w:line="240" w:lineRule="auto"/>
        <w:ind w:left="720"/>
        <w:jc w:val="both"/>
        <w:rPr>
          <w:rFonts w:ascii="Times New Roman" w:eastAsia="Times New Roman" w:hAnsi="Times New Roman" w:cs="Times New Roman"/>
          <w:bCs/>
        </w:rPr>
      </w:pPr>
      <w:r>
        <w:rPr>
          <w:rFonts w:ascii="Times New Roman" w:eastAsia="Times New Roman" w:hAnsi="Times New Roman" w:cs="Times New Roman"/>
        </w:rPr>
        <w:t>A zárthelyi dolgozat egyszer pótolható, illetve sikertelensége esetén javítható.</w:t>
      </w:r>
    </w:p>
    <w:p w:rsidR="0091380E" w:rsidRDefault="0091380E" w:rsidP="00980876">
      <w:pPr>
        <w:widowControl w:val="0"/>
        <w:numPr>
          <w:ilvl w:val="0"/>
          <w:numId w:val="212"/>
        </w:numPr>
        <w:tabs>
          <w:tab w:val="clear" w:pos="720"/>
          <w:tab w:val="num" w:pos="643"/>
        </w:tabs>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Az értékelés, az aláírás és a kreditek megszerzésének pontos feltételei: </w:t>
      </w:r>
    </w:p>
    <w:p w:rsidR="0091380E" w:rsidRDefault="0091380E" w:rsidP="00980876">
      <w:pPr>
        <w:widowControl w:val="0"/>
        <w:numPr>
          <w:ilvl w:val="1"/>
          <w:numId w:val="212"/>
        </w:numPr>
        <w:tabs>
          <w:tab w:val="clear" w:pos="3977"/>
          <w:tab w:val="num" w:pos="432"/>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Az aláírás megszerzésének feltételei:</w:t>
      </w:r>
      <w:r>
        <w:rPr>
          <w:rFonts w:ascii="Times New Roman" w:eastAsia="Times New Roman" w:hAnsi="Times New Roman" w:cs="Times New Roman"/>
        </w:rPr>
        <w:t xml:space="preserve"> Az aláírás megszerzésének feltétele a 14. pontban meghatározott arányú részvétel a foglalkozásokon és a 15. pontban meghatározott félévközi feladatok legalább elégséges teljesítése.</w:t>
      </w:r>
    </w:p>
    <w:p w:rsidR="0091380E" w:rsidRDefault="0091380E" w:rsidP="00980876">
      <w:pPr>
        <w:widowControl w:val="0"/>
        <w:numPr>
          <w:ilvl w:val="1"/>
          <w:numId w:val="212"/>
        </w:numPr>
        <w:tabs>
          <w:tab w:val="clear" w:pos="3977"/>
          <w:tab w:val="num" w:pos="432"/>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Az értékelés:</w:t>
      </w:r>
      <w:r>
        <w:rPr>
          <w:rFonts w:ascii="Times New Roman" w:eastAsia="Times New Roman" w:hAnsi="Times New Roman" w:cs="Times New Roman"/>
        </w:rPr>
        <w:t xml:space="preserve"> Félévközi jegy</w:t>
      </w:r>
      <w:r w:rsidR="008C366F">
        <w:rPr>
          <w:rFonts w:ascii="Times New Roman" w:eastAsia="Times New Roman" w:hAnsi="Times New Roman" w:cs="Times New Roman"/>
        </w:rPr>
        <w:t xml:space="preserve"> a 15 pontban felsorolt számonkérések értékelésének szzámtani átlaga alapján.</w:t>
      </w:r>
    </w:p>
    <w:p w:rsidR="0091380E" w:rsidRDefault="0091380E" w:rsidP="00980876">
      <w:pPr>
        <w:widowControl w:val="0"/>
        <w:numPr>
          <w:ilvl w:val="1"/>
          <w:numId w:val="212"/>
        </w:numPr>
        <w:tabs>
          <w:tab w:val="clear" w:pos="3977"/>
          <w:tab w:val="num" w:pos="432"/>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 kreditek megszerzésének feltételei:</w:t>
      </w:r>
      <w:r>
        <w:rPr>
          <w:rFonts w:ascii="Times New Roman" w:eastAsia="Times New Roman" w:hAnsi="Times New Roman" w:cs="Times New Roman"/>
        </w:rPr>
        <w:t xml:space="preserve"> </w:t>
      </w:r>
    </w:p>
    <w:p w:rsidR="0091380E" w:rsidRDefault="0091380E" w:rsidP="0091380E">
      <w:pPr>
        <w:widowControl w:val="0"/>
        <w:tabs>
          <w:tab w:val="left" w:pos="993"/>
        </w:tabs>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A kreditek megszerzésének feltétele az aláírás megszerzése és a zárthelyi dolgozatok legalább elégséges teljesítése, a félévközi jegy eredménye a zárthelyi dolgozatok egyszerű számtani átlaga.</w:t>
      </w:r>
    </w:p>
    <w:p w:rsidR="0091380E" w:rsidRDefault="0091380E" w:rsidP="00980876">
      <w:pPr>
        <w:widowControl w:val="0"/>
        <w:numPr>
          <w:ilvl w:val="0"/>
          <w:numId w:val="212"/>
        </w:numPr>
        <w:tabs>
          <w:tab w:val="clear" w:pos="720"/>
          <w:tab w:val="num" w:pos="360"/>
          <w:tab w:val="num" w:pos="643"/>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Irodalomjegyzék:</w:t>
      </w:r>
    </w:p>
    <w:p w:rsidR="0091380E" w:rsidRDefault="0091380E" w:rsidP="00980876">
      <w:pPr>
        <w:widowControl w:val="0"/>
        <w:numPr>
          <w:ilvl w:val="1"/>
          <w:numId w:val="212"/>
        </w:numPr>
        <w:tabs>
          <w:tab w:val="clear" w:pos="3977"/>
          <w:tab w:val="num" w:pos="432"/>
          <w:tab w:val="num" w:pos="567"/>
          <w:tab w:val="num" w:pos="2069"/>
        </w:tabs>
        <w:spacing w:before="120" w:after="120" w:line="240" w:lineRule="auto"/>
        <w:ind w:left="993" w:hanging="709"/>
        <w:jc w:val="both"/>
        <w:rPr>
          <w:rFonts w:ascii="Times New Roman" w:eastAsia="Times New Roman" w:hAnsi="Times New Roman" w:cs="Times New Roman"/>
          <w:b/>
          <w:bCs/>
        </w:rPr>
      </w:pPr>
      <w:r>
        <w:rPr>
          <w:rFonts w:ascii="Times New Roman" w:eastAsia="Times New Roman" w:hAnsi="Times New Roman" w:cs="Times New Roman"/>
          <w:b/>
          <w:bCs/>
        </w:rPr>
        <w:t>Kötelező irodalom:</w:t>
      </w:r>
    </w:p>
    <w:p w:rsidR="0091380E" w:rsidRDefault="0091380E" w:rsidP="00980876">
      <w:pPr>
        <w:widowControl w:val="0"/>
        <w:numPr>
          <w:ilvl w:val="2"/>
          <w:numId w:val="212"/>
        </w:numPr>
        <w:spacing w:before="120" w:after="120" w:line="240" w:lineRule="auto"/>
        <w:ind w:left="993"/>
        <w:jc w:val="both"/>
        <w:rPr>
          <w:rFonts w:ascii="Times New Roman" w:eastAsia="Times New Roman" w:hAnsi="Times New Roman" w:cs="Times New Roman"/>
          <w:bCs/>
        </w:rPr>
      </w:pPr>
      <w:r>
        <w:rPr>
          <w:rFonts w:ascii="Times New Roman" w:eastAsia="Times New Roman" w:hAnsi="Times New Roman" w:cs="Times New Roman"/>
          <w:bCs/>
        </w:rPr>
        <w:t>Lilliné Fecz Ildikó: Államháztartási számvitel a gyakorlatban 2</w:t>
      </w:r>
      <w:r w:rsidR="008C366F">
        <w:rPr>
          <w:rFonts w:ascii="Times New Roman" w:eastAsia="Times New Roman" w:hAnsi="Times New Roman" w:cs="Times New Roman"/>
          <w:bCs/>
        </w:rPr>
        <w:t>015</w:t>
      </w:r>
      <w:r>
        <w:rPr>
          <w:rFonts w:ascii="Times New Roman" w:eastAsia="Times New Roman" w:hAnsi="Times New Roman" w:cs="Times New Roman"/>
          <w:bCs/>
        </w:rPr>
        <w:t xml:space="preserve">, Saldo Kiadó 2015. </w:t>
      </w:r>
    </w:p>
    <w:p w:rsidR="0091380E" w:rsidRDefault="0091380E" w:rsidP="00980876">
      <w:pPr>
        <w:widowControl w:val="0"/>
        <w:numPr>
          <w:ilvl w:val="2"/>
          <w:numId w:val="212"/>
        </w:numPr>
        <w:spacing w:before="120" w:after="120" w:line="240" w:lineRule="auto"/>
        <w:ind w:left="993"/>
        <w:jc w:val="both"/>
        <w:rPr>
          <w:rFonts w:ascii="Times New Roman" w:eastAsia="Times New Roman" w:hAnsi="Times New Roman" w:cs="Times New Roman"/>
          <w:bCs/>
        </w:rPr>
      </w:pPr>
      <w:r>
        <w:rPr>
          <w:rFonts w:ascii="Times New Roman" w:eastAsia="Times New Roman" w:hAnsi="Times New Roman" w:cs="Times New Roman"/>
          <w:bCs/>
        </w:rPr>
        <w:t>Lilliné Fecz Ildikó: Államháztartási szervezetek számlatükre 2015, Saldo Kiadó 2015.</w:t>
      </w:r>
    </w:p>
    <w:p w:rsidR="0091380E" w:rsidRPr="00056F25" w:rsidRDefault="0091380E" w:rsidP="00980876">
      <w:pPr>
        <w:widowControl w:val="0"/>
        <w:numPr>
          <w:ilvl w:val="1"/>
          <w:numId w:val="212"/>
        </w:numPr>
        <w:tabs>
          <w:tab w:val="clear" w:pos="3977"/>
          <w:tab w:val="num" w:pos="432"/>
          <w:tab w:val="num" w:pos="567"/>
          <w:tab w:val="num" w:pos="643"/>
          <w:tab w:val="num" w:pos="2069"/>
        </w:tabs>
        <w:spacing w:before="120" w:after="120" w:line="240" w:lineRule="auto"/>
        <w:ind w:left="993" w:hanging="709"/>
        <w:jc w:val="both"/>
        <w:rPr>
          <w:rFonts w:ascii="Times New Roman" w:eastAsia="Times New Roman" w:hAnsi="Times New Roman" w:cs="Times New Roman"/>
          <w:b/>
          <w:bCs/>
        </w:rPr>
      </w:pPr>
      <w:r w:rsidRPr="00056F25">
        <w:rPr>
          <w:rFonts w:ascii="Times New Roman" w:eastAsia="Times New Roman" w:hAnsi="Times New Roman" w:cs="Times New Roman"/>
          <w:b/>
          <w:bCs/>
        </w:rPr>
        <w:t xml:space="preserve">Ajánlott irodalom: </w:t>
      </w:r>
      <w:r w:rsidR="008C366F" w:rsidRPr="00056F25">
        <w:rPr>
          <w:rFonts w:ascii="Times New Roman" w:eastAsia="Times New Roman" w:hAnsi="Times New Roman" w:cs="Times New Roman"/>
          <w:b/>
          <w:bCs/>
        </w:rPr>
        <w:t>-</w:t>
      </w:r>
    </w:p>
    <w:p w:rsidR="00056F25" w:rsidRDefault="00056F25" w:rsidP="0091380E">
      <w:pPr>
        <w:widowControl w:val="0"/>
        <w:spacing w:before="120" w:after="120" w:line="240" w:lineRule="auto"/>
        <w:jc w:val="both"/>
        <w:rPr>
          <w:rFonts w:ascii="Times New Roman" w:eastAsia="Times New Roman" w:hAnsi="Times New Roman" w:cs="Times New Roman"/>
          <w:bCs/>
        </w:rPr>
      </w:pPr>
    </w:p>
    <w:p w:rsidR="0091380E" w:rsidRDefault="0091380E" w:rsidP="0091380E">
      <w:pPr>
        <w:widowControl w:val="0"/>
        <w:spacing w:before="120" w:after="120" w:line="240" w:lineRule="auto"/>
        <w:jc w:val="both"/>
        <w:rPr>
          <w:rFonts w:ascii="Times New Roman" w:eastAsia="Times New Roman" w:hAnsi="Times New Roman" w:cs="Times New Roman"/>
          <w:bCs/>
        </w:rPr>
      </w:pPr>
      <w:r>
        <w:rPr>
          <w:rFonts w:ascii="Times New Roman" w:eastAsia="Times New Roman" w:hAnsi="Times New Roman" w:cs="Times New Roman"/>
          <w:bCs/>
        </w:rPr>
        <w:t>Budapest, 2020.02.20.</w:t>
      </w:r>
    </w:p>
    <w:p w:rsidR="0091380E" w:rsidRPr="008C366F" w:rsidRDefault="0091380E" w:rsidP="0091380E">
      <w:pPr>
        <w:widowControl w:val="0"/>
        <w:spacing w:before="120" w:after="120" w:line="240" w:lineRule="auto"/>
        <w:jc w:val="right"/>
        <w:rPr>
          <w:rFonts w:ascii="Times New Roman" w:eastAsia="Times New Roman" w:hAnsi="Times New Roman" w:cs="Times New Roman"/>
          <w:b/>
          <w:bCs/>
        </w:rPr>
      </w:pPr>
      <w:r w:rsidRPr="008C366F">
        <w:rPr>
          <w:rFonts w:ascii="Times New Roman" w:eastAsia="Times New Roman" w:hAnsi="Times New Roman" w:cs="Times New Roman"/>
          <w:b/>
          <w:bCs/>
        </w:rPr>
        <w:t>Dr. Hutkai Zsuzsanna (PhD)</w:t>
      </w:r>
    </w:p>
    <w:p w:rsidR="0091380E" w:rsidRDefault="0091380E" w:rsidP="0091380E">
      <w:pPr>
        <w:widowControl w:val="0"/>
        <w:spacing w:before="120" w:after="120" w:line="240" w:lineRule="auto"/>
        <w:jc w:val="right"/>
        <w:rPr>
          <w:rFonts w:ascii="Times New Roman" w:eastAsia="Times New Roman" w:hAnsi="Times New Roman" w:cs="Times New Roman"/>
          <w:bCs/>
        </w:rPr>
      </w:pPr>
      <w:r>
        <w:rPr>
          <w:rFonts w:ascii="Times New Roman" w:eastAsia="Times New Roman" w:hAnsi="Times New Roman" w:cs="Times New Roman"/>
          <w:bCs/>
        </w:rPr>
        <w:t>egyetemi adjunktus s.k.</w:t>
      </w:r>
    </w:p>
    <w:p w:rsidR="00905D8D" w:rsidRDefault="00905D8D">
      <w:pPr>
        <w:spacing w:after="200" w:line="276" w:lineRule="auto"/>
        <w:rPr>
          <w:rFonts w:ascii="Times New Roman" w:hAnsi="Times New Roman" w:cs="Times New Roman"/>
          <w:sz w:val="24"/>
        </w:rPr>
      </w:pPr>
    </w:p>
    <w:p w:rsidR="003C6A32" w:rsidRDefault="003C6A32">
      <w:pPr>
        <w:spacing w:after="200" w:line="276" w:lineRule="auto"/>
        <w:rPr>
          <w:rFonts w:ascii="Times New Roman" w:hAnsi="Times New Roman" w:cs="Times New Roman"/>
          <w:sz w:val="24"/>
        </w:rPr>
      </w:pPr>
      <w:r>
        <w:rPr>
          <w:rFonts w:ascii="Times New Roman" w:hAnsi="Times New Roman" w:cs="Times New Roman"/>
          <w:sz w:val="24"/>
        </w:rPr>
        <w:br w:type="page"/>
      </w:r>
    </w:p>
    <w:tbl>
      <w:tblPr>
        <w:tblW w:w="9072" w:type="dxa"/>
        <w:tblInd w:w="113" w:type="dxa"/>
        <w:tblLook w:val="01E0" w:firstRow="1" w:lastRow="1" w:firstColumn="1" w:lastColumn="1" w:noHBand="0" w:noVBand="0"/>
      </w:tblPr>
      <w:tblGrid>
        <w:gridCol w:w="4855"/>
        <w:gridCol w:w="1620"/>
        <w:gridCol w:w="2597"/>
      </w:tblGrid>
      <w:tr w:rsidR="003C6A32" w:rsidTr="003C6A32">
        <w:tc>
          <w:tcPr>
            <w:tcW w:w="4855" w:type="dxa"/>
            <w:tcBorders>
              <w:top w:val="nil"/>
              <w:left w:val="nil"/>
              <w:bottom w:val="single" w:sz="4" w:space="0" w:color="auto"/>
              <w:right w:val="nil"/>
            </w:tcBorders>
            <w:hideMark/>
          </w:tcPr>
          <w:p w:rsidR="003C6A32" w:rsidRDefault="003C6A32">
            <w:pPr>
              <w:spacing w:after="0" w:line="240" w:lineRule="auto"/>
              <w:jc w:val="center"/>
              <w:rPr>
                <w:rFonts w:ascii="Times New Roman" w:eastAsia="Times New Roman" w:hAnsi="Times New Roman" w:cs="Times New Roman"/>
                <w:b/>
                <w:smallCaps/>
                <w:lang w:eastAsia="hu-HU"/>
              </w:rPr>
            </w:pPr>
            <w:r>
              <w:rPr>
                <w:rFonts w:ascii="Times New Roman" w:eastAsia="Times New Roman" w:hAnsi="Times New Roman" w:cs="Times New Roman"/>
                <w:b/>
                <w:smallCaps/>
                <w:lang w:eastAsia="hu-HU"/>
              </w:rPr>
              <w:lastRenderedPageBreak/>
              <w:t>Nemzeti Közszolgálati Egyetem</w:t>
            </w:r>
          </w:p>
        </w:tc>
        <w:tc>
          <w:tcPr>
            <w:tcW w:w="1620" w:type="dxa"/>
          </w:tcPr>
          <w:p w:rsidR="003C6A32" w:rsidRDefault="003C6A32">
            <w:pPr>
              <w:spacing w:after="0" w:line="240" w:lineRule="auto"/>
              <w:jc w:val="both"/>
              <w:rPr>
                <w:rFonts w:ascii="Times New Roman" w:eastAsia="Times New Roman" w:hAnsi="Times New Roman" w:cs="Times New Roman"/>
                <w:lang w:eastAsia="hu-HU"/>
              </w:rPr>
            </w:pPr>
          </w:p>
        </w:tc>
        <w:tc>
          <w:tcPr>
            <w:tcW w:w="2597" w:type="dxa"/>
          </w:tcPr>
          <w:p w:rsidR="003C6A32" w:rsidRDefault="003C6A32">
            <w:pPr>
              <w:spacing w:after="0" w:line="240" w:lineRule="auto"/>
              <w:jc w:val="right"/>
              <w:rPr>
                <w:rFonts w:ascii="Times New Roman" w:eastAsia="Times New Roman" w:hAnsi="Times New Roman" w:cs="Times New Roman"/>
                <w:lang w:eastAsia="hu-HU"/>
              </w:rPr>
            </w:pPr>
          </w:p>
        </w:tc>
      </w:tr>
      <w:tr w:rsidR="003C6A32" w:rsidTr="003C6A32">
        <w:tc>
          <w:tcPr>
            <w:tcW w:w="4855" w:type="dxa"/>
            <w:tcBorders>
              <w:top w:val="single" w:sz="4" w:space="0" w:color="auto"/>
              <w:left w:val="nil"/>
              <w:bottom w:val="nil"/>
              <w:right w:val="nil"/>
            </w:tcBorders>
            <w:hideMark/>
          </w:tcPr>
          <w:p w:rsidR="003C6A32" w:rsidRDefault="003C6A32">
            <w:pPr>
              <w:spacing w:after="0" w:line="240" w:lineRule="auto"/>
              <w:jc w:val="center"/>
              <w:rPr>
                <w:rFonts w:ascii="Times New Roman" w:eastAsia="Times New Roman" w:hAnsi="Times New Roman" w:cs="Times New Roman"/>
                <w:b/>
                <w:lang w:eastAsia="hu-HU"/>
              </w:rPr>
            </w:pPr>
            <w:r>
              <w:rPr>
                <w:rFonts w:ascii="Times New Roman" w:eastAsia="Times New Roman" w:hAnsi="Times New Roman" w:cs="Times New Roman"/>
                <w:b/>
                <w:lang w:eastAsia="hu-HU"/>
              </w:rPr>
              <w:t>Hadtudományi és Honvédtisztképző Kar</w:t>
            </w:r>
          </w:p>
        </w:tc>
        <w:tc>
          <w:tcPr>
            <w:tcW w:w="1620" w:type="dxa"/>
          </w:tcPr>
          <w:p w:rsidR="003C6A32" w:rsidRDefault="003C6A32">
            <w:pPr>
              <w:spacing w:after="0" w:line="240" w:lineRule="auto"/>
              <w:jc w:val="both"/>
              <w:rPr>
                <w:rFonts w:ascii="Times New Roman" w:eastAsia="Times New Roman" w:hAnsi="Times New Roman" w:cs="Times New Roman"/>
                <w:lang w:eastAsia="hu-HU"/>
              </w:rPr>
            </w:pPr>
          </w:p>
        </w:tc>
        <w:tc>
          <w:tcPr>
            <w:tcW w:w="2597" w:type="dxa"/>
          </w:tcPr>
          <w:p w:rsidR="003C6A32" w:rsidRDefault="003C6A32">
            <w:pPr>
              <w:spacing w:after="0" w:line="240" w:lineRule="auto"/>
              <w:jc w:val="both"/>
              <w:rPr>
                <w:rFonts w:ascii="Times New Roman" w:eastAsia="Times New Roman" w:hAnsi="Times New Roman" w:cs="Times New Roman"/>
                <w:lang w:eastAsia="hu-HU"/>
              </w:rPr>
            </w:pPr>
          </w:p>
        </w:tc>
      </w:tr>
    </w:tbl>
    <w:p w:rsidR="003C6A32" w:rsidRDefault="003C6A32" w:rsidP="003C6A32">
      <w:pPr>
        <w:widowControl w:val="0"/>
        <w:spacing w:before="120" w:after="120" w:line="240" w:lineRule="auto"/>
        <w:ind w:left="426" w:hanging="142"/>
        <w:jc w:val="center"/>
        <w:rPr>
          <w:rFonts w:ascii="Times New Roman" w:eastAsia="Times New Roman" w:hAnsi="Times New Roman" w:cs="Times New Roman"/>
          <w:b/>
          <w:bCs/>
        </w:rPr>
      </w:pPr>
    </w:p>
    <w:p w:rsidR="003C6A32" w:rsidRDefault="003C6A32" w:rsidP="003C6A32">
      <w:pPr>
        <w:widowControl w:val="0"/>
        <w:spacing w:before="120" w:after="120" w:line="240" w:lineRule="auto"/>
        <w:ind w:left="426" w:hanging="142"/>
        <w:jc w:val="center"/>
        <w:rPr>
          <w:rFonts w:ascii="Times New Roman" w:eastAsia="Times New Roman" w:hAnsi="Times New Roman" w:cs="Times New Roman"/>
          <w:b/>
          <w:bCs/>
        </w:rPr>
      </w:pPr>
      <w:r>
        <w:rPr>
          <w:rFonts w:ascii="Times New Roman" w:eastAsia="Times New Roman" w:hAnsi="Times New Roman" w:cs="Times New Roman"/>
          <w:b/>
          <w:bCs/>
        </w:rPr>
        <w:t>TANTÁRGYI PROGRAM</w:t>
      </w:r>
    </w:p>
    <w:p w:rsidR="003C6A32" w:rsidRDefault="003C6A32" w:rsidP="00980876">
      <w:pPr>
        <w:widowControl w:val="0"/>
        <w:numPr>
          <w:ilvl w:val="0"/>
          <w:numId w:val="213"/>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 tantárgy kódja: </w:t>
      </w:r>
      <w:r>
        <w:rPr>
          <w:rFonts w:ascii="Times New Roman" w:eastAsia="Times New Roman" w:hAnsi="Times New Roman" w:cs="Times New Roman"/>
          <w:bCs/>
          <w:lang w:eastAsia="hu-HU"/>
        </w:rPr>
        <w:t>HKHPKA110</w:t>
      </w:r>
    </w:p>
    <w:p w:rsidR="003C6A32" w:rsidRDefault="003C6A32" w:rsidP="00980876">
      <w:pPr>
        <w:widowControl w:val="0"/>
        <w:numPr>
          <w:ilvl w:val="0"/>
          <w:numId w:val="213"/>
        </w:numPr>
        <w:spacing w:before="120" w:after="120" w:line="240" w:lineRule="auto"/>
        <w:ind w:left="426" w:hanging="142"/>
        <w:jc w:val="both"/>
        <w:rPr>
          <w:rFonts w:ascii="Times New Roman" w:eastAsia="Times New Roman" w:hAnsi="Times New Roman" w:cs="Times New Roman"/>
          <w:b/>
          <w:bCs/>
          <w:lang w:val="en-GB"/>
        </w:rPr>
      </w:pPr>
      <w:r>
        <w:rPr>
          <w:rFonts w:ascii="Times New Roman" w:eastAsia="Times New Roman" w:hAnsi="Times New Roman" w:cs="Times New Roman"/>
          <w:b/>
          <w:bCs/>
        </w:rPr>
        <w:t>A tantárgy megnevezése (magyarul):</w:t>
      </w:r>
      <w:r>
        <w:rPr>
          <w:rFonts w:ascii="Times New Roman" w:eastAsia="Times New Roman" w:hAnsi="Times New Roman" w:cs="Times New Roman"/>
          <w:bCs/>
        </w:rPr>
        <w:t xml:space="preserve"> Katonai gazdálkodás HA</w:t>
      </w:r>
    </w:p>
    <w:p w:rsidR="003C6A32" w:rsidRDefault="003C6A32" w:rsidP="00980876">
      <w:pPr>
        <w:widowControl w:val="0"/>
        <w:numPr>
          <w:ilvl w:val="0"/>
          <w:numId w:val="213"/>
        </w:numPr>
        <w:tabs>
          <w:tab w:val="num" w:pos="567"/>
        </w:tabs>
        <w:spacing w:before="120" w:after="120" w:line="240" w:lineRule="auto"/>
        <w:ind w:left="426" w:hanging="142"/>
        <w:jc w:val="both"/>
        <w:rPr>
          <w:rFonts w:ascii="Times New Roman" w:eastAsia="Times New Roman" w:hAnsi="Times New Roman" w:cs="Times New Roman"/>
          <w:b/>
          <w:bCs/>
          <w:lang w:val="en-GB"/>
        </w:rPr>
      </w:pPr>
      <w:r>
        <w:rPr>
          <w:rFonts w:ascii="Times New Roman" w:eastAsia="Times New Roman" w:hAnsi="Times New Roman" w:cs="Times New Roman"/>
          <w:b/>
          <w:bCs/>
        </w:rPr>
        <w:t xml:space="preserve">A tantárgy megnevezése (angolul): </w:t>
      </w:r>
      <w:r>
        <w:rPr>
          <w:rFonts w:ascii="Times New Roman" w:eastAsia="Times New Roman" w:hAnsi="Times New Roman" w:cs="Times New Roman"/>
          <w:bCs/>
          <w:lang w:eastAsia="hu-HU"/>
        </w:rPr>
        <w:t>Military Budgeting HA</w:t>
      </w:r>
    </w:p>
    <w:p w:rsidR="003C6A32" w:rsidRDefault="003C6A32" w:rsidP="00980876">
      <w:pPr>
        <w:widowControl w:val="0"/>
        <w:numPr>
          <w:ilvl w:val="0"/>
          <w:numId w:val="213"/>
        </w:numPr>
        <w:tabs>
          <w:tab w:val="num" w:pos="567"/>
        </w:tabs>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Kreditérték és képzési karakter: </w:t>
      </w:r>
    </w:p>
    <w:p w:rsidR="003C6A32" w:rsidRDefault="003C6A32" w:rsidP="00980876">
      <w:pPr>
        <w:pStyle w:val="Listaszerbekezds"/>
        <w:widowControl w:val="0"/>
        <w:numPr>
          <w:ilvl w:val="1"/>
          <w:numId w:val="213"/>
        </w:numPr>
        <w:tabs>
          <w:tab w:val="clear" w:pos="3977"/>
          <w:tab w:val="num" w:pos="2275"/>
        </w:tabs>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5 kredit</w:t>
      </w:r>
    </w:p>
    <w:p w:rsidR="003C6A32" w:rsidRDefault="003C6A32" w:rsidP="00980876">
      <w:pPr>
        <w:pStyle w:val="Listaszerbekezds"/>
        <w:widowControl w:val="0"/>
        <w:numPr>
          <w:ilvl w:val="1"/>
          <w:numId w:val="213"/>
        </w:numPr>
        <w:tabs>
          <w:tab w:val="clear" w:pos="3977"/>
          <w:tab w:val="num" w:pos="2275"/>
        </w:tabs>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a tantárgy elméleti vagy gyakorlati jellegének mértéke: 60</w:t>
      </w:r>
      <w:r>
        <w:rPr>
          <w:rFonts w:ascii="Times New Roman" w:eastAsia="Times New Roman" w:hAnsi="Times New Roman" w:cs="Times New Roman"/>
          <w:b/>
          <w:bCs/>
        </w:rPr>
        <w:t xml:space="preserve"> </w:t>
      </w:r>
      <w:r>
        <w:rPr>
          <w:rFonts w:ascii="Times New Roman" w:eastAsia="Times New Roman" w:hAnsi="Times New Roman" w:cs="Times New Roman"/>
          <w:bCs/>
        </w:rPr>
        <w:t>% gyakorlat, 40 % elmélet</w:t>
      </w:r>
    </w:p>
    <w:p w:rsidR="003C6A32" w:rsidRDefault="003C6A32" w:rsidP="00980876">
      <w:pPr>
        <w:widowControl w:val="0"/>
        <w:numPr>
          <w:ilvl w:val="0"/>
          <w:numId w:val="213"/>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szak(ok), szakirányok/specializációk megnevezése (ahol oktatják):</w:t>
      </w:r>
      <w:r>
        <w:rPr>
          <w:rFonts w:ascii="Times New Roman" w:eastAsia="Times New Roman" w:hAnsi="Times New Roman" w:cs="Times New Roman"/>
          <w:bCs/>
        </w:rPr>
        <w:t xml:space="preserve"> </w:t>
      </w:r>
      <w:r>
        <w:rPr>
          <w:rFonts w:ascii="Times New Roman" w:hAnsi="Times New Roman" w:cs="Times New Roman"/>
          <w:bCs/>
        </w:rPr>
        <w:t>Katonai logisztika alapképzési szak, hadtáp specializáció</w:t>
      </w:r>
    </w:p>
    <w:p w:rsidR="003C6A32" w:rsidRDefault="003C6A32" w:rsidP="00980876">
      <w:pPr>
        <w:widowControl w:val="0"/>
        <w:numPr>
          <w:ilvl w:val="0"/>
          <w:numId w:val="213"/>
        </w:numPr>
        <w:tabs>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Az oktatásért felelős oktatási szervezeti egység megnevezése: </w:t>
      </w:r>
      <w:r>
        <w:rPr>
          <w:rFonts w:ascii="Times New Roman" w:hAnsi="Times New Roman" w:cs="Times New Roman"/>
          <w:bCs/>
        </w:rPr>
        <w:t>NKE HHK Hadtáp, Pénzügyi és Katonai Közlekedési Tanszék</w:t>
      </w:r>
    </w:p>
    <w:p w:rsidR="003C6A32" w:rsidRDefault="003C6A32" w:rsidP="00980876">
      <w:pPr>
        <w:widowControl w:val="0"/>
        <w:numPr>
          <w:ilvl w:val="0"/>
          <w:numId w:val="213"/>
        </w:numPr>
        <w:tabs>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tantárgyfelelős oktató neve, beosztása, tudományos fokozata:</w:t>
      </w:r>
      <w:r>
        <w:rPr>
          <w:rFonts w:ascii="Times New Roman" w:eastAsia="Times New Roman" w:hAnsi="Times New Roman" w:cs="Times New Roman"/>
          <w:bCs/>
        </w:rPr>
        <w:t xml:space="preserve"> </w:t>
      </w:r>
      <w:r>
        <w:rPr>
          <w:rFonts w:ascii="Times New Roman" w:hAnsi="Times New Roman" w:cs="Times New Roman"/>
          <w:bCs/>
        </w:rPr>
        <w:t>Dr. Pap Andrea, egyetemi docens, (PhD)</w:t>
      </w:r>
    </w:p>
    <w:p w:rsidR="003C6A32" w:rsidRDefault="003C6A32" w:rsidP="00980876">
      <w:pPr>
        <w:widowControl w:val="0"/>
        <w:numPr>
          <w:ilvl w:val="0"/>
          <w:numId w:val="213"/>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tanórák száma és típusa</w:t>
      </w:r>
    </w:p>
    <w:p w:rsidR="003C6A32" w:rsidRDefault="003C6A32" w:rsidP="00980876">
      <w:pPr>
        <w:widowControl w:val="0"/>
        <w:numPr>
          <w:ilvl w:val="1"/>
          <w:numId w:val="213"/>
        </w:numPr>
        <w:tabs>
          <w:tab w:val="clear" w:pos="3977"/>
          <w:tab w:val="num" w:pos="709"/>
          <w:tab w:val="num" w:pos="2069"/>
          <w:tab w:val="num" w:pos="2275"/>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össz óraszám/félév: 70</w:t>
      </w:r>
    </w:p>
    <w:p w:rsidR="003C6A32" w:rsidRDefault="003C6A32" w:rsidP="00980876">
      <w:pPr>
        <w:widowControl w:val="0"/>
        <w:numPr>
          <w:ilvl w:val="2"/>
          <w:numId w:val="213"/>
        </w:numPr>
        <w:tabs>
          <w:tab w:val="num" w:pos="709"/>
          <w:tab w:val="num" w:pos="1134"/>
        </w:tabs>
        <w:spacing w:before="120" w:after="120" w:line="240" w:lineRule="auto"/>
        <w:ind w:left="993" w:hanging="425"/>
        <w:jc w:val="both"/>
        <w:rPr>
          <w:rFonts w:ascii="Times New Roman" w:eastAsia="Times New Roman" w:hAnsi="Times New Roman" w:cs="Times New Roman"/>
          <w:bCs/>
        </w:rPr>
      </w:pPr>
      <w:r>
        <w:rPr>
          <w:rFonts w:ascii="Times New Roman" w:eastAsia="Times New Roman" w:hAnsi="Times New Roman" w:cs="Times New Roman"/>
          <w:bCs/>
        </w:rPr>
        <w:t>nappali munkarend: (28 EA + 0 SZ + 42 GY)</w:t>
      </w:r>
    </w:p>
    <w:p w:rsidR="003C6A32" w:rsidRDefault="003C6A32" w:rsidP="00980876">
      <w:pPr>
        <w:widowControl w:val="0"/>
        <w:numPr>
          <w:ilvl w:val="2"/>
          <w:numId w:val="213"/>
        </w:numPr>
        <w:tabs>
          <w:tab w:val="num" w:pos="709"/>
          <w:tab w:val="num" w:pos="1134"/>
        </w:tabs>
        <w:spacing w:before="120" w:after="120" w:line="240" w:lineRule="auto"/>
        <w:ind w:left="993" w:hanging="425"/>
        <w:jc w:val="both"/>
        <w:rPr>
          <w:rFonts w:ascii="Times New Roman" w:eastAsia="Times New Roman" w:hAnsi="Times New Roman" w:cs="Times New Roman"/>
          <w:bCs/>
        </w:rPr>
      </w:pPr>
      <w:r>
        <w:rPr>
          <w:rFonts w:ascii="Times New Roman" w:eastAsia="Times New Roman" w:hAnsi="Times New Roman" w:cs="Times New Roman"/>
          <w:bCs/>
        </w:rPr>
        <w:t>levelező munkarend: -</w:t>
      </w:r>
    </w:p>
    <w:p w:rsidR="003C6A32" w:rsidRDefault="003C6A32" w:rsidP="00980876">
      <w:pPr>
        <w:widowControl w:val="0"/>
        <w:numPr>
          <w:ilvl w:val="1"/>
          <w:numId w:val="213"/>
        </w:numPr>
        <w:tabs>
          <w:tab w:val="clear" w:pos="3977"/>
          <w:tab w:val="num" w:pos="709"/>
          <w:tab w:val="num" w:pos="2069"/>
          <w:tab w:val="num" w:pos="2275"/>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heti óraszám - nappali munkarend: 5</w:t>
      </w:r>
    </w:p>
    <w:p w:rsidR="003C6A32" w:rsidRDefault="003C6A32" w:rsidP="00980876">
      <w:pPr>
        <w:widowControl w:val="0"/>
        <w:numPr>
          <w:ilvl w:val="1"/>
          <w:numId w:val="213"/>
        </w:numPr>
        <w:tabs>
          <w:tab w:val="clear" w:pos="3977"/>
          <w:tab w:val="num" w:pos="709"/>
          <w:tab w:val="num" w:pos="2069"/>
          <w:tab w:val="num" w:pos="2275"/>
        </w:tabs>
        <w:spacing w:before="120" w:after="120" w:line="240" w:lineRule="auto"/>
        <w:ind w:left="851" w:hanging="425"/>
        <w:jc w:val="both"/>
        <w:rPr>
          <w:rFonts w:ascii="Times New Roman" w:eastAsia="Times New Roman" w:hAnsi="Times New Roman" w:cs="Times New Roman"/>
          <w:bCs/>
        </w:rPr>
      </w:pPr>
      <w:r>
        <w:rPr>
          <w:rFonts w:ascii="Times New Roman" w:hAnsi="Times New Roman" w:cs="Times New Roman"/>
        </w:rPr>
        <w:t>Az ismeret átadásában alkalmazandó további sajátos módok, jellemzők:</w:t>
      </w:r>
      <w:r>
        <w:rPr>
          <w:rFonts w:ascii="Times New Roman" w:hAnsi="Times New Roman" w:cs="Times New Roman"/>
          <w:i/>
        </w:rPr>
        <w:t xml:space="preserve"> Az ismeretek feldolgozása vegyes tanulási program (blended learning) alapján történik.</w:t>
      </w:r>
    </w:p>
    <w:p w:rsidR="003C6A32" w:rsidRDefault="003C6A32" w:rsidP="00980876">
      <w:pPr>
        <w:widowControl w:val="0"/>
        <w:numPr>
          <w:ilvl w:val="0"/>
          <w:numId w:val="213"/>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tantárgy szakmai tartalma (magyarul):</w:t>
      </w:r>
      <w:r>
        <w:rPr>
          <w:rFonts w:ascii="Times New Roman" w:eastAsia="Times New Roman" w:hAnsi="Times New Roman" w:cs="Times New Roman"/>
          <w:bCs/>
        </w:rPr>
        <w:t xml:space="preserve"> </w:t>
      </w:r>
      <w:r>
        <w:rPr>
          <w:rFonts w:ascii="Times New Roman" w:eastAsia="Times New Roman" w:hAnsi="Times New Roman" w:cs="Times New Roman"/>
          <w:lang w:eastAsia="hu-HU"/>
        </w:rPr>
        <w:t xml:space="preserve">Megismertetni a honvéd tisztjelöltekkel a katonai szervezetek költségvetési-logisztikai gazdálkodását, a gazdálkodás folyamatait, részfeladatait, az előirányzatok tervezésének, jóváhagyásának, felhasználásának és módosításának szabályait, feladatait, továbbá a nyilvántartás, okmányolás rendszerét hazai és missziós körülmények között, valamint a különleges jogrendi időszak bevezetése során jelentkező logisztikai feladatokat. </w:t>
      </w:r>
      <w:r>
        <w:rPr>
          <w:rFonts w:ascii="Times New Roman" w:eastAsia="Times New Roman" w:hAnsi="Times New Roman" w:cs="Times New Roman"/>
          <w:bCs/>
          <w:lang w:eastAsia="x-none"/>
        </w:rPr>
        <w:t>A LOGFAS rendszer szerepe a logisztikai műveletek végrehajtása során. A LOGFAS Adat Menedzser modul felépítése, használata. Elektronikus állománytáblák létrehozása. Anyagi-technikai harcérték jelentések létrehozása. Feladattervek, szükségleti jegyzékek, diszpozíciós listák létrehozása. Földrajzi menedzser modul felépítése, használata. Térképek létrehozása és használata. Az ADAMS rendszer használata.</w:t>
      </w:r>
    </w:p>
    <w:p w:rsidR="003C6A32" w:rsidRDefault="003C6A32" w:rsidP="003C6A32">
      <w:pPr>
        <w:widowControl w:val="0"/>
        <w:spacing w:before="120" w:after="120" w:line="240" w:lineRule="auto"/>
        <w:ind w:left="426"/>
        <w:jc w:val="both"/>
        <w:rPr>
          <w:rFonts w:ascii="Times New Roman" w:eastAsia="Times New Roman" w:hAnsi="Times New Roman" w:cs="Times New Roman"/>
          <w:bCs/>
          <w:lang w:eastAsia="hu-HU"/>
        </w:rPr>
      </w:pPr>
      <w:r>
        <w:rPr>
          <w:rFonts w:ascii="Times New Roman" w:eastAsia="Times New Roman" w:hAnsi="Times New Roman" w:cs="Times New Roman"/>
          <w:b/>
          <w:bCs/>
        </w:rPr>
        <w:t>A tantárgy szakmai tartalma (angolul) (</w:t>
      </w:r>
      <w:r>
        <w:rPr>
          <w:rFonts w:ascii="Times New Roman" w:eastAsia="Times New Roman" w:hAnsi="Times New Roman" w:cs="Times New Roman"/>
          <w:b/>
          <w:bCs/>
          <w:lang w:val="en-US"/>
        </w:rPr>
        <w:t>Course description</w:t>
      </w:r>
      <w:r>
        <w:rPr>
          <w:rFonts w:ascii="Times New Roman" w:eastAsia="Times New Roman" w:hAnsi="Times New Roman" w:cs="Times New Roman"/>
          <w:b/>
          <w:bCs/>
        </w:rPr>
        <w:t xml:space="preserve">): </w:t>
      </w:r>
      <w:r>
        <w:rPr>
          <w:rFonts w:ascii="Times New Roman" w:eastAsia="Times New Roman" w:hAnsi="Times New Roman" w:cs="Times New Roman"/>
          <w:bCs/>
          <w:lang w:eastAsia="hu-HU"/>
        </w:rPr>
        <w:t>Military cadets are familiarized with military organisations’ management of the logistic budget, the processes and subtasks of budgeting, the rules and tasks of the planning, approval, use and modification of estimates, the system of registration and documentation in Hungary and on operations abroad as well as the logistic tasks in a state of emergency. The role of the LOGFAS system in carrying out logistic operations. The structure and use of the LOGFAS Data Management module. The creation of electronic Tables of Organisation and Equipment. The creation of Joint Force Element Tables (JFET). Using the Logistics Reporting (LOGREP). Making task plans, Statements of Requirement (SOR) and Allied Disposition Lists (ADL). The structure and use of the Geo Manager module. Making and using electronical maps. Using the Allied Deployment and Movement planning module.</w:t>
      </w:r>
    </w:p>
    <w:p w:rsidR="003C6A32" w:rsidRDefault="003C6A32" w:rsidP="003C6A32">
      <w:pPr>
        <w:widowControl w:val="0"/>
        <w:spacing w:before="120" w:after="120" w:line="240" w:lineRule="auto"/>
        <w:ind w:left="426"/>
        <w:jc w:val="both"/>
        <w:rPr>
          <w:rFonts w:ascii="Times New Roman" w:eastAsia="Times New Roman" w:hAnsi="Times New Roman" w:cs="Times New Roman"/>
          <w:bCs/>
          <w:lang w:val="en-GB"/>
        </w:rPr>
      </w:pPr>
    </w:p>
    <w:p w:rsidR="003C6A32" w:rsidRDefault="003C6A32" w:rsidP="00980876">
      <w:pPr>
        <w:pStyle w:val="Listaszerbekezds"/>
        <w:widowControl w:val="0"/>
        <w:numPr>
          <w:ilvl w:val="0"/>
          <w:numId w:val="213"/>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lastRenderedPageBreak/>
        <w:t>Elérendő kompetenciák (magyarul):</w:t>
      </w:r>
      <w:r>
        <w:rPr>
          <w:rFonts w:ascii="Times New Roman" w:eastAsia="Times New Roman" w:hAnsi="Times New Roman" w:cs="Times New Roman"/>
          <w:bCs/>
        </w:rPr>
        <w:t xml:space="preserve"> </w:t>
      </w:r>
    </w:p>
    <w:p w:rsidR="003C6A32" w:rsidRDefault="003C6A32" w:rsidP="003C6A32">
      <w:pPr>
        <w:widowControl w:val="0"/>
        <w:spacing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Tudása:</w:t>
      </w:r>
    </w:p>
    <w:p w:rsidR="003C6A32" w:rsidRDefault="003C6A32" w:rsidP="003C6A32">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Ismeri a gazdaság és a piacok működésének alapjait, a nemzetgazdaság és a honvédelem kapcsolatrendszerét, a hadiipar működésének törvényszerűségeit.</w:t>
      </w:r>
    </w:p>
    <w:p w:rsidR="003C6A32" w:rsidRDefault="003C6A32" w:rsidP="003C6A32">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Mélyrehatóan ismeri a katonai logisztikai gazdálkodás feladatait, valamint annak eszköz- és információs rendszerét.</w:t>
      </w:r>
    </w:p>
    <w:p w:rsidR="003C6A32" w:rsidRDefault="003C6A32" w:rsidP="003C6A32">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Ismeri a hadtáp szakanyagok csoportosítását, azok előállítását, nemzetgazdaságból történő beszerzéseinek lehetőségeit, és a közbeszerzések lefolytatásának rendjét.</w:t>
      </w:r>
    </w:p>
    <w:p w:rsidR="003C6A32" w:rsidRDefault="003C6A32" w:rsidP="003C6A32">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Képességei:</w:t>
      </w:r>
      <w:r>
        <w:rPr>
          <w:rFonts w:ascii="Times New Roman" w:eastAsia="Times New Roman" w:hAnsi="Times New Roman" w:cs="Times New Roman"/>
          <w:bCs/>
        </w:rPr>
        <w:t xml:space="preserve"> </w:t>
      </w:r>
    </w:p>
    <w:p w:rsidR="003C6A32" w:rsidRDefault="003C6A32" w:rsidP="003C6A32">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Képes alegység szintű ellátási feladatok végrehajtására, vezetésére békében, különleges jogrendi időszakban, többnemzeti és nemzetközi környezetben végrehajtandó béketámogató műveletekben.</w:t>
      </w:r>
    </w:p>
    <w:p w:rsidR="003C6A32" w:rsidRDefault="003C6A32" w:rsidP="003C6A32">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Képes gazdálkodási feladatok alapszintű tervezésére, szervezésére, irányítására és az ebből adódó tevékenységek gazdasági elemzésinek végrehajtására.</w:t>
      </w:r>
    </w:p>
    <w:p w:rsidR="003C6A32" w:rsidRDefault="003C6A32" w:rsidP="003C6A32">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Attitűdje:</w:t>
      </w:r>
      <w:r>
        <w:rPr>
          <w:rFonts w:ascii="Times New Roman" w:eastAsia="Times New Roman" w:hAnsi="Times New Roman" w:cs="Times New Roman"/>
          <w:bCs/>
        </w:rPr>
        <w:t xml:space="preserve"> </w:t>
      </w:r>
    </w:p>
    <w:p w:rsidR="003C6A32" w:rsidRDefault="003C6A32" w:rsidP="003C6A32">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A hadtáp szakmai feladatok ellátása során a rendszerszemlélet és jó szervezőkészség jellemzi.</w:t>
      </w:r>
    </w:p>
    <w:p w:rsidR="003C6A32" w:rsidRDefault="003C6A32" w:rsidP="003C6A32">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Nyitott a hadtáp szakterület új tudományos eredményei iránt, képes a hadtáp szakterületen bekövetkező változásokhoz és fejlődéshez jól alkalmazkodni.</w:t>
      </w:r>
    </w:p>
    <w:p w:rsidR="003C6A32" w:rsidRDefault="003C6A32" w:rsidP="003C6A32">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Tevékenységét a hatékonyság központú szemlélet jellemzi.</w:t>
      </w:r>
    </w:p>
    <w:p w:rsidR="003C6A32" w:rsidRDefault="003C6A32" w:rsidP="003C6A32">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Autonómiája és felelőssége:</w:t>
      </w:r>
    </w:p>
    <w:p w:rsidR="003C6A32" w:rsidRDefault="003C6A32" w:rsidP="003C6A32">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Tisztában van döntéseinek, tevékenységének a műszaki eszközökre, illetve a gazdálkodási fegyelemre gyakorolt hatásaival, következményeivel.</w:t>
      </w:r>
    </w:p>
    <w:p w:rsidR="003C6A32" w:rsidRDefault="003C6A32" w:rsidP="003C6A32">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Az ellátási folyamatok végrehajtása során önállóan döntéseket hoz, azokat felelősséggel, a jogszabályi keretek figyelembevételével végrehajtja.</w:t>
      </w:r>
    </w:p>
    <w:p w:rsidR="003C6A32" w:rsidRDefault="003C6A32" w:rsidP="003C6A32">
      <w:pPr>
        <w:widowControl w:val="0"/>
        <w:spacing w:before="120" w:after="120" w:line="240" w:lineRule="auto"/>
        <w:ind w:left="993" w:hanging="360"/>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Felelősséget vállal számvetéseinek pontosságáért.</w:t>
      </w:r>
    </w:p>
    <w:p w:rsidR="003C6A32" w:rsidRDefault="003C6A32" w:rsidP="003C6A32">
      <w:pPr>
        <w:widowControl w:val="0"/>
        <w:spacing w:before="120" w:after="0" w:line="240" w:lineRule="auto"/>
        <w:ind w:left="425"/>
        <w:jc w:val="both"/>
        <w:rPr>
          <w:rFonts w:ascii="Times New Roman" w:eastAsia="Times New Roman" w:hAnsi="Times New Roman" w:cs="Times New Roman"/>
          <w:b/>
          <w:bCs/>
          <w:lang w:val="en-US"/>
        </w:rPr>
      </w:pPr>
      <w:r>
        <w:rPr>
          <w:rFonts w:ascii="Times New Roman" w:eastAsia="Times New Roman" w:hAnsi="Times New Roman" w:cs="Times New Roman"/>
          <w:b/>
          <w:bCs/>
        </w:rPr>
        <w:t>Elérendő kompetenciák (angolul) (</w:t>
      </w:r>
      <w:r>
        <w:rPr>
          <w:rFonts w:ascii="Times New Roman" w:eastAsia="Times New Roman" w:hAnsi="Times New Roman" w:cs="Times New Roman"/>
          <w:b/>
          <w:bCs/>
          <w:lang w:val="en-US"/>
        </w:rPr>
        <w:t xml:space="preserve">Competences – English): </w:t>
      </w:r>
    </w:p>
    <w:p w:rsidR="003C6A32" w:rsidRDefault="003C6A32" w:rsidP="003C6A32">
      <w:pPr>
        <w:widowControl w:val="0"/>
        <w:spacing w:before="120" w:after="0" w:line="240" w:lineRule="auto"/>
        <w:ind w:left="425"/>
        <w:jc w:val="both"/>
        <w:rPr>
          <w:rFonts w:ascii="Times New Roman" w:eastAsia="Times New Roman" w:hAnsi="Times New Roman" w:cs="Times New Roman"/>
          <w:lang w:val="en-GB"/>
        </w:rPr>
      </w:pPr>
      <w:r>
        <w:rPr>
          <w:rFonts w:ascii="Times New Roman" w:eastAsia="Times New Roman" w:hAnsi="Times New Roman" w:cs="Times New Roman"/>
          <w:b/>
          <w:lang w:val="en-GB"/>
        </w:rPr>
        <w:t>Knowledge</w:t>
      </w:r>
      <w:r>
        <w:rPr>
          <w:rFonts w:ascii="Times New Roman" w:eastAsia="Times New Roman" w:hAnsi="Times New Roman" w:cs="Times New Roman"/>
          <w:lang w:val="en-GB"/>
        </w:rPr>
        <w:t xml:space="preserve">: </w:t>
      </w:r>
    </w:p>
    <w:p w:rsidR="003C6A32" w:rsidRDefault="003C6A32" w:rsidP="003C6A32">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 xml:space="preserve">To be able to familiar with market mechanisms, the principles of economics, the relation between national economy and defense and the functioning of defense industry. </w:t>
      </w:r>
    </w:p>
    <w:p w:rsidR="003C6A32" w:rsidRDefault="003C6A32" w:rsidP="003C6A32">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To be deeply familiar with the tasks of military management and the used methods and information systems.</w:t>
      </w:r>
    </w:p>
    <w:p w:rsidR="003C6A32" w:rsidRDefault="003C6A32" w:rsidP="003C6A32">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To be familiar with the types of supply materials, their productions processes and possible procurement sources.</w:t>
      </w:r>
    </w:p>
    <w:p w:rsidR="003C6A32" w:rsidRDefault="003C6A32" w:rsidP="003C6A32">
      <w:pPr>
        <w:widowControl w:val="0"/>
        <w:spacing w:before="120" w:after="0" w:line="240" w:lineRule="auto"/>
        <w:ind w:left="425"/>
        <w:jc w:val="both"/>
        <w:rPr>
          <w:rFonts w:ascii="Times New Roman" w:eastAsia="Times New Roman" w:hAnsi="Times New Roman" w:cs="Times New Roman"/>
          <w:lang w:val="en-GB"/>
        </w:rPr>
      </w:pPr>
      <w:r>
        <w:rPr>
          <w:rFonts w:ascii="Times New Roman" w:eastAsia="Times New Roman" w:hAnsi="Times New Roman" w:cs="Times New Roman"/>
          <w:b/>
          <w:lang w:val="en-GB"/>
        </w:rPr>
        <w:t>Capabilities</w:t>
      </w:r>
      <w:r>
        <w:rPr>
          <w:rFonts w:ascii="Times New Roman" w:eastAsia="Times New Roman" w:hAnsi="Times New Roman" w:cs="Times New Roman"/>
          <w:lang w:val="en-GB"/>
        </w:rPr>
        <w:t xml:space="preserve">: </w:t>
      </w:r>
    </w:p>
    <w:p w:rsidR="003C6A32" w:rsidRDefault="003C6A32" w:rsidP="003C6A32">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To have ability to lead and execute supply tasks both in peace and crisis time even in joint peace support operations.</w:t>
      </w:r>
    </w:p>
    <w:p w:rsidR="003C6A32" w:rsidRDefault="003C6A32" w:rsidP="003C6A32">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To be able to plan, organise, control and evaluate management and financial tasks.</w:t>
      </w:r>
    </w:p>
    <w:p w:rsidR="003C6A32" w:rsidRDefault="003C6A32" w:rsidP="003C6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425"/>
        <w:jc w:val="both"/>
        <w:rPr>
          <w:rFonts w:ascii="Times New Roman" w:eastAsia="Times New Roman" w:hAnsi="Times New Roman" w:cs="Times New Roman"/>
          <w:lang w:val="en-GB"/>
        </w:rPr>
      </w:pPr>
      <w:r>
        <w:rPr>
          <w:rFonts w:ascii="Times New Roman" w:eastAsia="Times New Roman" w:hAnsi="Times New Roman" w:cs="Times New Roman"/>
          <w:b/>
          <w:lang w:val="en-GB"/>
        </w:rPr>
        <w:t>Attitude:</w:t>
      </w:r>
      <w:r>
        <w:rPr>
          <w:rFonts w:ascii="Times New Roman" w:eastAsia="Times New Roman" w:hAnsi="Times New Roman" w:cs="Times New Roman"/>
          <w:lang w:val="en-GB"/>
        </w:rPr>
        <w:t xml:space="preserve"> </w:t>
      </w:r>
    </w:p>
    <w:p w:rsidR="003C6A32" w:rsidRDefault="003C6A32" w:rsidP="003C6A32">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His/Her professional work is characterized by a systemic approach and good organizational skills.</w:t>
      </w:r>
    </w:p>
    <w:p w:rsidR="003C6A32" w:rsidRDefault="003C6A32" w:rsidP="003C6A32">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He/She is open to new scientific achievements, and well adapted to changes and developments in the field of supply.</w:t>
      </w:r>
    </w:p>
    <w:p w:rsidR="003C6A32" w:rsidRDefault="003C6A32" w:rsidP="003C6A32">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To be characterized by efficiency-based attitude.</w:t>
      </w:r>
    </w:p>
    <w:p w:rsidR="003C6A32" w:rsidRDefault="003C6A32" w:rsidP="003C6A32">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 xml:space="preserve">Autonomy and responsibility: </w:t>
      </w:r>
    </w:p>
    <w:p w:rsidR="003C6A32" w:rsidRDefault="003C6A32" w:rsidP="003C6A32">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r>
      <w:r>
        <w:rPr>
          <w:rFonts w:ascii="Times New Roman" w:eastAsia="Times New Roman" w:hAnsi="Times New Roman" w:cs="Times New Roman"/>
          <w:bCs/>
          <w:lang w:val="en-US"/>
        </w:rPr>
        <w:t>To be fully aware with the effects of his/her decision for the technical equipment and budgetary discipline.</w:t>
      </w:r>
    </w:p>
    <w:p w:rsidR="003C6A32" w:rsidRDefault="003C6A32" w:rsidP="003C6A32">
      <w:pPr>
        <w:widowControl w:val="0"/>
        <w:spacing w:before="120" w:after="120" w:line="240" w:lineRule="auto"/>
        <w:ind w:left="993" w:hanging="360"/>
        <w:contextualSpacing/>
        <w:jc w:val="both"/>
        <w:rPr>
          <w:rFonts w:ascii="Times New Roman" w:eastAsia="Times New Roman" w:hAnsi="Times New Roman" w:cs="Times New Roman"/>
          <w:bCs/>
          <w:lang w:val="en-US"/>
        </w:rPr>
      </w:pPr>
      <w:r>
        <w:rPr>
          <w:rFonts w:ascii="Times New Roman" w:eastAsia="Times New Roman" w:hAnsi="Times New Roman"/>
          <w:bCs/>
        </w:rPr>
        <w:t>-</w:t>
      </w:r>
      <w:r>
        <w:rPr>
          <w:rFonts w:ascii="Times New Roman" w:eastAsia="Times New Roman" w:hAnsi="Times New Roman"/>
          <w:bCs/>
        </w:rPr>
        <w:tab/>
      </w:r>
      <w:r>
        <w:rPr>
          <w:rFonts w:ascii="Times New Roman" w:eastAsia="Times New Roman" w:hAnsi="Times New Roman" w:cs="Times New Roman"/>
          <w:bCs/>
          <w:lang w:val="en-US"/>
        </w:rPr>
        <w:t>In the course of the implementation of the supply processes, he/she makes decisions independently, executes them in a highly responsible way and within the legal framework.</w:t>
      </w:r>
    </w:p>
    <w:p w:rsidR="003C6A32" w:rsidRDefault="003C6A32" w:rsidP="003C6A32">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cs="Times New Roman"/>
          <w:bCs/>
          <w:lang w:val="en-US"/>
        </w:rPr>
        <w:t>-</w:t>
      </w:r>
      <w:r>
        <w:rPr>
          <w:rFonts w:ascii="Times New Roman" w:eastAsia="Times New Roman" w:hAnsi="Times New Roman" w:cs="Times New Roman"/>
          <w:bCs/>
          <w:lang w:val="en-US"/>
        </w:rPr>
        <w:tab/>
        <w:t>Take responsibility for the accuracy of the calculations.</w:t>
      </w:r>
    </w:p>
    <w:p w:rsidR="003C6A32" w:rsidRPr="003C6A32" w:rsidRDefault="003C6A32" w:rsidP="00980876">
      <w:pPr>
        <w:widowControl w:val="0"/>
        <w:numPr>
          <w:ilvl w:val="0"/>
          <w:numId w:val="213"/>
        </w:numPr>
        <w:tabs>
          <w:tab w:val="num" w:pos="567"/>
        </w:tabs>
        <w:spacing w:before="120" w:after="120" w:line="240" w:lineRule="auto"/>
        <w:ind w:left="426" w:hanging="142"/>
        <w:jc w:val="both"/>
        <w:rPr>
          <w:rFonts w:ascii="Times New Roman" w:eastAsia="Times New Roman" w:hAnsi="Times New Roman" w:cs="Times New Roman"/>
          <w:bCs/>
        </w:rPr>
      </w:pPr>
      <w:r w:rsidRPr="003C6A32">
        <w:rPr>
          <w:rFonts w:ascii="Times New Roman" w:eastAsia="Times New Roman" w:hAnsi="Times New Roman" w:cs="Times New Roman"/>
          <w:b/>
          <w:bCs/>
        </w:rPr>
        <w:t>Előtanulmányi követelmények:</w:t>
      </w:r>
      <w:r w:rsidRPr="003C6A32">
        <w:rPr>
          <w:rFonts w:ascii="Times New Roman" w:eastAsia="Times New Roman" w:hAnsi="Times New Roman" w:cs="Times New Roman"/>
          <w:bCs/>
        </w:rPr>
        <w:t xml:space="preserve"> Katonai logisztikai gazdálkodás alapjai (HKHPKA10)</w:t>
      </w:r>
    </w:p>
    <w:p w:rsidR="00056F25" w:rsidRDefault="00056F25">
      <w:pPr>
        <w:spacing w:after="200" w:line="276" w:lineRule="auto"/>
        <w:rPr>
          <w:rFonts w:ascii="Times New Roman" w:eastAsia="Times New Roman" w:hAnsi="Times New Roman" w:cs="Times New Roman"/>
          <w:b/>
          <w:bCs/>
        </w:rPr>
      </w:pPr>
      <w:r>
        <w:rPr>
          <w:rFonts w:ascii="Times New Roman" w:eastAsia="Times New Roman" w:hAnsi="Times New Roman" w:cs="Times New Roman"/>
          <w:b/>
          <w:bCs/>
        </w:rPr>
        <w:br w:type="page"/>
      </w:r>
    </w:p>
    <w:p w:rsidR="003C6A32" w:rsidRDefault="003C6A32" w:rsidP="00980876">
      <w:pPr>
        <w:widowControl w:val="0"/>
        <w:numPr>
          <w:ilvl w:val="0"/>
          <w:numId w:val="213"/>
        </w:numPr>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lastRenderedPageBreak/>
        <w:t>A tantárgy tananyagának leírása, tematika. Description of the subject, curriculum (magyarul, angolul - English):</w:t>
      </w:r>
    </w:p>
    <w:p w:rsidR="003C6A32" w:rsidRDefault="003C6A32" w:rsidP="00980876">
      <w:pPr>
        <w:widowControl w:val="0"/>
        <w:numPr>
          <w:ilvl w:val="1"/>
          <w:numId w:val="213"/>
        </w:numPr>
        <w:tabs>
          <w:tab w:val="clear" w:pos="3977"/>
          <w:tab w:val="left" w:pos="709"/>
          <w:tab w:val="left" w:pos="993"/>
          <w:tab w:val="num" w:pos="2069"/>
          <w:tab w:val="num" w:pos="2275"/>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 katonai szervezetek helye, szerepe a fejezet gazdálkodási rendszerében. </w:t>
      </w:r>
      <w:r>
        <w:rPr>
          <w:rFonts w:ascii="Times New Roman" w:eastAsia="Times New Roman" w:hAnsi="Times New Roman" w:cs="Times New Roman"/>
          <w:i/>
          <w:kern w:val="2"/>
        </w:rPr>
        <w:t>(Role and structure of the military organizations in the chapter’s management system.)</w:t>
      </w:r>
    </w:p>
    <w:p w:rsidR="003C6A32" w:rsidRDefault="003C6A32" w:rsidP="00980876">
      <w:pPr>
        <w:widowControl w:val="0"/>
        <w:numPr>
          <w:ilvl w:val="1"/>
          <w:numId w:val="213"/>
        </w:numPr>
        <w:tabs>
          <w:tab w:val="clear" w:pos="3977"/>
          <w:tab w:val="left" w:pos="709"/>
          <w:tab w:val="left" w:pos="993"/>
          <w:tab w:val="num" w:pos="2069"/>
          <w:tab w:val="num" w:pos="2275"/>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Pénzügyi-logisztikai feladatok a gazdálkodás megszervezésében és végrehajtásában, az ezzel kapcsolatos felelősségi és hatáskörök. </w:t>
      </w:r>
      <w:r>
        <w:rPr>
          <w:rFonts w:ascii="Times New Roman" w:eastAsia="Times New Roman" w:hAnsi="Times New Roman" w:cs="Times New Roman"/>
          <w:i/>
          <w:kern w:val="2"/>
        </w:rPr>
        <w:t>(Financial-logistic tasks during the planning and execution of management.)</w:t>
      </w:r>
    </w:p>
    <w:p w:rsidR="003C6A32" w:rsidRDefault="003C6A32" w:rsidP="00980876">
      <w:pPr>
        <w:widowControl w:val="0"/>
        <w:numPr>
          <w:ilvl w:val="1"/>
          <w:numId w:val="213"/>
        </w:numPr>
        <w:tabs>
          <w:tab w:val="clear" w:pos="3977"/>
          <w:tab w:val="left" w:pos="709"/>
          <w:tab w:val="left" w:pos="993"/>
          <w:tab w:val="num" w:pos="2069"/>
          <w:tab w:val="num" w:pos="2275"/>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Az előirányzatok tervezésével kapcsolatos feladatok. Tervjavaslat készítése. Az előirányzatok felhasználásának, módosításának szabályai. </w:t>
      </w:r>
      <w:r>
        <w:rPr>
          <w:rFonts w:ascii="Times New Roman" w:eastAsia="Times New Roman" w:hAnsi="Times New Roman" w:cs="Times New Roman"/>
          <w:i/>
          <w:kern w:val="2"/>
        </w:rPr>
        <w:t>(Tasks regarding budget appropriation. Preparation of the Estimate Plan. Rules of modifying and useing budgetary funds.)</w:t>
      </w:r>
    </w:p>
    <w:p w:rsidR="003C6A32" w:rsidRDefault="003C6A32" w:rsidP="00980876">
      <w:pPr>
        <w:widowControl w:val="0"/>
        <w:numPr>
          <w:ilvl w:val="1"/>
          <w:numId w:val="213"/>
        </w:numPr>
        <w:tabs>
          <w:tab w:val="clear" w:pos="3977"/>
          <w:tab w:val="left" w:pos="709"/>
          <w:tab w:val="left" w:pos="993"/>
          <w:tab w:val="num" w:pos="2069"/>
          <w:tab w:val="num" w:pos="2275"/>
        </w:tabs>
        <w:spacing w:before="120" w:after="120" w:line="240" w:lineRule="auto"/>
        <w:ind w:left="426" w:firstLine="0"/>
        <w:jc w:val="both"/>
        <w:rPr>
          <w:rFonts w:ascii="Times New Roman" w:eastAsia="Times New Roman" w:hAnsi="Times New Roman" w:cs="Times New Roman"/>
          <w:lang w:val="en-US"/>
        </w:rPr>
      </w:pPr>
      <w:r>
        <w:rPr>
          <w:rFonts w:ascii="Times New Roman" w:eastAsia="Times New Roman" w:hAnsi="Times New Roman" w:cs="Times New Roman"/>
          <w:bCs/>
        </w:rPr>
        <w:t>A beszámolás rendje</w:t>
      </w:r>
      <w:r>
        <w:rPr>
          <w:rFonts w:ascii="Times New Roman" w:eastAsia="Times New Roman" w:hAnsi="Times New Roman" w:cs="Times New Roman"/>
        </w:rPr>
        <w:t xml:space="preserve">. </w:t>
      </w:r>
      <w:r>
        <w:rPr>
          <w:rFonts w:ascii="Times New Roman" w:eastAsia="Times New Roman" w:hAnsi="Times New Roman" w:cs="Times New Roman"/>
          <w:i/>
        </w:rPr>
        <w:t>(Rules of Financial Reporting.)</w:t>
      </w:r>
    </w:p>
    <w:p w:rsidR="003C6A32" w:rsidRDefault="003C6A32" w:rsidP="00980876">
      <w:pPr>
        <w:widowControl w:val="0"/>
        <w:numPr>
          <w:ilvl w:val="1"/>
          <w:numId w:val="213"/>
        </w:numPr>
        <w:tabs>
          <w:tab w:val="clear" w:pos="3977"/>
          <w:tab w:val="left" w:pos="709"/>
          <w:tab w:val="left" w:pos="993"/>
          <w:tab w:val="num" w:pos="2069"/>
          <w:tab w:val="num" w:pos="2275"/>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A gazdálkodással kapcsolatos dokumentumok köre, kezelése, nyilvántartási feladatok. Kötelezettségvállalási, ellenjegyzési, érvényesítési, utalványozási jogkörök</w:t>
      </w:r>
      <w:r>
        <w:rPr>
          <w:rFonts w:ascii="Times New Roman" w:eastAsia="Times New Roman" w:hAnsi="Times New Roman" w:cs="Times New Roman"/>
          <w:i/>
          <w:kern w:val="2"/>
        </w:rPr>
        <w:t>. (Tasks regarding the documents connected to management. Commitment, countersigning (corroboration), assignment, validation tasks.)</w:t>
      </w:r>
    </w:p>
    <w:p w:rsidR="003C6A32" w:rsidRDefault="003C6A32" w:rsidP="00980876">
      <w:pPr>
        <w:widowControl w:val="0"/>
        <w:numPr>
          <w:ilvl w:val="1"/>
          <w:numId w:val="213"/>
        </w:numPr>
        <w:tabs>
          <w:tab w:val="clear" w:pos="3977"/>
          <w:tab w:val="left" w:pos="709"/>
          <w:tab w:val="left" w:pos="993"/>
          <w:tab w:val="num" w:pos="2069"/>
          <w:tab w:val="num" w:pos="2275"/>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Költségvetési beszámolás szabályai, a beszámoló elkészítésének részfeladatai. A tananyaggal kapcsolatos gyakorlati feladatok végrehajtása. </w:t>
      </w:r>
      <w:r>
        <w:rPr>
          <w:rFonts w:ascii="Times New Roman" w:eastAsia="Times New Roman" w:hAnsi="Times New Roman" w:cs="Times New Roman"/>
          <w:i/>
          <w:kern w:val="2"/>
        </w:rPr>
        <w:t>(Rules of Budgetary Financial Reporting, tasks of preparing the Annual Report. Solving practical problems regarding the subject.)</w:t>
      </w:r>
    </w:p>
    <w:p w:rsidR="003C6A32" w:rsidRDefault="003C6A32" w:rsidP="00980876">
      <w:pPr>
        <w:widowControl w:val="0"/>
        <w:numPr>
          <w:ilvl w:val="1"/>
          <w:numId w:val="213"/>
        </w:numPr>
        <w:tabs>
          <w:tab w:val="clear" w:pos="3977"/>
          <w:tab w:val="left" w:pos="709"/>
          <w:tab w:val="left" w:pos="993"/>
          <w:tab w:val="num" w:pos="2069"/>
          <w:tab w:val="num" w:pos="2275"/>
        </w:tabs>
        <w:spacing w:before="120" w:after="120" w:line="240" w:lineRule="auto"/>
        <w:ind w:left="426" w:firstLine="0"/>
        <w:jc w:val="both"/>
        <w:rPr>
          <w:rFonts w:ascii="Times New Roman" w:eastAsia="Times New Roman" w:hAnsi="Times New Roman" w:cs="Times New Roman"/>
          <w:lang w:val="en-US"/>
        </w:rPr>
      </w:pPr>
      <w:r>
        <w:rPr>
          <w:rFonts w:ascii="Times New Roman" w:eastAsia="Times New Roman" w:hAnsi="Times New Roman" w:cs="Times New Roman"/>
          <w:lang w:val="en-US"/>
        </w:rPr>
        <w:t xml:space="preserve">1. zh. megírása. </w:t>
      </w:r>
      <w:r>
        <w:rPr>
          <w:rFonts w:ascii="Times New Roman" w:eastAsia="Times New Roman" w:hAnsi="Times New Roman" w:cs="Times New Roman"/>
          <w:i/>
          <w:lang w:val="en-US"/>
        </w:rPr>
        <w:t>(Written test I.)</w:t>
      </w:r>
    </w:p>
    <w:p w:rsidR="003C6A32" w:rsidRDefault="003C6A32" w:rsidP="00980876">
      <w:pPr>
        <w:widowControl w:val="0"/>
        <w:numPr>
          <w:ilvl w:val="1"/>
          <w:numId w:val="213"/>
        </w:numPr>
        <w:tabs>
          <w:tab w:val="clear" w:pos="3977"/>
          <w:tab w:val="left" w:pos="709"/>
          <w:tab w:val="left" w:pos="993"/>
          <w:tab w:val="num" w:pos="2069"/>
          <w:tab w:val="num" w:pos="2275"/>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Az alap Logisztikai Információs Rendszer (aLOGIR) rendeltetése, felépítése, használata. </w:t>
      </w:r>
      <w:r>
        <w:rPr>
          <w:rFonts w:ascii="Times New Roman" w:eastAsia="Times New Roman" w:hAnsi="Times New Roman" w:cs="Times New Roman"/>
          <w:i/>
          <w:kern w:val="2"/>
        </w:rPr>
        <w:t>(Role, structure, functions of aLOGIR logistic information system.)</w:t>
      </w:r>
    </w:p>
    <w:p w:rsidR="003C6A32" w:rsidRDefault="003C6A32" w:rsidP="00980876">
      <w:pPr>
        <w:widowControl w:val="0"/>
        <w:numPr>
          <w:ilvl w:val="1"/>
          <w:numId w:val="213"/>
        </w:numPr>
        <w:tabs>
          <w:tab w:val="clear" w:pos="3977"/>
          <w:tab w:val="left" w:pos="709"/>
          <w:tab w:val="left" w:pos="993"/>
          <w:tab w:val="num" w:pos="2069"/>
          <w:tab w:val="num" w:pos="2275"/>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 NATO LOGFAS rendszer rendeltetése és felépítése. </w:t>
      </w:r>
      <w:r>
        <w:rPr>
          <w:rFonts w:ascii="Times New Roman" w:eastAsia="Times New Roman" w:hAnsi="Times New Roman" w:cs="Times New Roman"/>
          <w:i/>
          <w:kern w:val="2"/>
        </w:rPr>
        <w:t>(Structure and functions of MATO LOGFAS information system.)</w:t>
      </w:r>
    </w:p>
    <w:p w:rsidR="003C6A32" w:rsidRDefault="003C6A32" w:rsidP="00980876">
      <w:pPr>
        <w:widowControl w:val="0"/>
        <w:numPr>
          <w:ilvl w:val="1"/>
          <w:numId w:val="213"/>
        </w:numPr>
        <w:tabs>
          <w:tab w:val="clear" w:pos="3977"/>
          <w:tab w:val="left" w:pos="709"/>
          <w:tab w:val="left" w:pos="993"/>
          <w:tab w:val="num" w:pos="2069"/>
          <w:tab w:val="num" w:pos="2275"/>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rPr>
        <w:t xml:space="preserve"> </w:t>
      </w:r>
      <w:r>
        <w:rPr>
          <w:rFonts w:ascii="Times New Roman" w:eastAsia="Times New Roman" w:hAnsi="Times New Roman" w:cs="Times New Roman"/>
          <w:kern w:val="2"/>
        </w:rPr>
        <w:t xml:space="preserve">Az LDM modul rendeltetése, felépítése és használata. </w:t>
      </w:r>
      <w:r>
        <w:rPr>
          <w:rFonts w:ascii="Times New Roman" w:eastAsia="Times New Roman" w:hAnsi="Times New Roman" w:cs="Times New Roman"/>
          <w:i/>
          <w:kern w:val="2"/>
        </w:rPr>
        <w:t>(Structure and functions of the LDM module.)</w:t>
      </w:r>
    </w:p>
    <w:p w:rsidR="003C6A32" w:rsidRDefault="003C6A32" w:rsidP="00980876">
      <w:pPr>
        <w:widowControl w:val="0"/>
        <w:numPr>
          <w:ilvl w:val="1"/>
          <w:numId w:val="213"/>
        </w:numPr>
        <w:tabs>
          <w:tab w:val="clear" w:pos="3977"/>
          <w:tab w:val="left" w:pos="709"/>
          <w:tab w:val="left" w:pos="993"/>
          <w:tab w:val="num" w:pos="2069"/>
          <w:tab w:val="num" w:pos="2275"/>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rPr>
        <w:t xml:space="preserve"> </w:t>
      </w:r>
      <w:r>
        <w:rPr>
          <w:rFonts w:ascii="Times New Roman" w:eastAsia="Times New Roman" w:hAnsi="Times New Roman" w:cs="Times New Roman"/>
          <w:kern w:val="2"/>
        </w:rPr>
        <w:t xml:space="preserve">A Geo Manager modul rendeltetése, felépítése és használata. </w:t>
      </w:r>
      <w:r>
        <w:rPr>
          <w:rFonts w:ascii="Times New Roman" w:eastAsia="Times New Roman" w:hAnsi="Times New Roman" w:cs="Times New Roman"/>
          <w:i/>
          <w:kern w:val="2"/>
        </w:rPr>
        <w:t>(Structure and functions of the Geo Manager module.)</w:t>
      </w:r>
    </w:p>
    <w:p w:rsidR="003C6A32" w:rsidRDefault="003C6A32" w:rsidP="00980876">
      <w:pPr>
        <w:widowControl w:val="0"/>
        <w:numPr>
          <w:ilvl w:val="1"/>
          <w:numId w:val="213"/>
        </w:numPr>
        <w:tabs>
          <w:tab w:val="clear" w:pos="3977"/>
          <w:tab w:val="left" w:pos="709"/>
          <w:tab w:val="left" w:pos="993"/>
          <w:tab w:val="num" w:pos="2069"/>
          <w:tab w:val="num" w:pos="2275"/>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Az ADAMS modul rendeltetése, felépítése és használata. </w:t>
      </w:r>
      <w:r>
        <w:rPr>
          <w:rFonts w:ascii="Times New Roman" w:eastAsia="Times New Roman" w:hAnsi="Times New Roman" w:cs="Times New Roman"/>
          <w:i/>
          <w:kern w:val="2"/>
        </w:rPr>
        <w:t>(Structure and functions of the ADAMS module.)</w:t>
      </w:r>
    </w:p>
    <w:p w:rsidR="003C6A32" w:rsidRDefault="003C6A32" w:rsidP="00980876">
      <w:pPr>
        <w:widowControl w:val="0"/>
        <w:numPr>
          <w:ilvl w:val="1"/>
          <w:numId w:val="213"/>
        </w:numPr>
        <w:tabs>
          <w:tab w:val="clear" w:pos="3977"/>
          <w:tab w:val="left" w:pos="709"/>
          <w:tab w:val="left" w:pos="993"/>
          <w:tab w:val="num" w:pos="2069"/>
          <w:tab w:val="num" w:pos="2275"/>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rPr>
        <w:t xml:space="preserve"> </w:t>
      </w:r>
      <w:r>
        <w:rPr>
          <w:rFonts w:ascii="Times New Roman" w:eastAsia="Times New Roman" w:hAnsi="Times New Roman" w:cs="Times New Roman"/>
          <w:kern w:val="2"/>
        </w:rPr>
        <w:t xml:space="preserve">A különleges jogrendi időszak bevezetése során jelentkező logisztikai feladatok tervezése, szervezése, továbbá tervezés okmányai, kitöltésének szabályai. </w:t>
      </w:r>
      <w:r>
        <w:rPr>
          <w:rFonts w:ascii="Times New Roman" w:eastAsia="Times New Roman" w:hAnsi="Times New Roman" w:cs="Times New Roman"/>
          <w:i/>
          <w:kern w:val="2"/>
        </w:rPr>
        <w:t>(Planning and organising logistic support tasks in time of special legal orders.)</w:t>
      </w:r>
    </w:p>
    <w:p w:rsidR="003C6A32" w:rsidRDefault="003C6A32" w:rsidP="00980876">
      <w:pPr>
        <w:widowControl w:val="0"/>
        <w:numPr>
          <w:ilvl w:val="1"/>
          <w:numId w:val="213"/>
        </w:numPr>
        <w:tabs>
          <w:tab w:val="clear" w:pos="3977"/>
          <w:tab w:val="left" w:pos="709"/>
          <w:tab w:val="left" w:pos="993"/>
          <w:tab w:val="num" w:pos="2069"/>
          <w:tab w:val="num" w:pos="2275"/>
        </w:tabs>
        <w:spacing w:before="120" w:after="120" w:line="240" w:lineRule="auto"/>
        <w:ind w:left="993" w:hanging="567"/>
        <w:jc w:val="both"/>
        <w:rPr>
          <w:rFonts w:ascii="Times New Roman" w:eastAsia="Times New Roman" w:hAnsi="Times New Roman" w:cs="Times New Roman"/>
          <w:i/>
          <w:lang w:val="en-US"/>
        </w:rPr>
      </w:pPr>
      <w:r>
        <w:rPr>
          <w:rFonts w:ascii="Times New Roman" w:eastAsia="Times New Roman" w:hAnsi="Times New Roman" w:cs="Times New Roman"/>
        </w:rPr>
        <w:t xml:space="preserve"> </w:t>
      </w:r>
      <w:r>
        <w:rPr>
          <w:rFonts w:ascii="Times New Roman" w:eastAsia="Times New Roman" w:hAnsi="Times New Roman" w:cs="Times New Roman"/>
          <w:kern w:val="2"/>
        </w:rPr>
        <w:t xml:space="preserve">Az anyagok utalványozása, leltározás, selejtezése, a káreljárás lefolytatása. </w:t>
      </w:r>
      <w:r>
        <w:rPr>
          <w:rFonts w:ascii="Times New Roman" w:eastAsia="Times New Roman" w:hAnsi="Times New Roman" w:cs="Times New Roman"/>
          <w:i/>
          <w:kern w:val="2"/>
        </w:rPr>
        <w:t>(The concept, purpose and tasks of inventory and scrapping.)</w:t>
      </w:r>
    </w:p>
    <w:p w:rsidR="003C6A32" w:rsidRDefault="003C6A32" w:rsidP="00980876">
      <w:pPr>
        <w:widowControl w:val="0"/>
        <w:numPr>
          <w:ilvl w:val="1"/>
          <w:numId w:val="213"/>
        </w:numPr>
        <w:tabs>
          <w:tab w:val="clear" w:pos="3977"/>
          <w:tab w:val="left" w:pos="709"/>
          <w:tab w:val="left" w:pos="993"/>
          <w:tab w:val="num" w:pos="2069"/>
          <w:tab w:val="num" w:pos="2275"/>
        </w:tabs>
        <w:spacing w:before="120" w:after="120" w:line="240" w:lineRule="auto"/>
        <w:ind w:left="426" w:firstLine="0"/>
        <w:jc w:val="both"/>
        <w:rPr>
          <w:rFonts w:ascii="Times New Roman" w:eastAsia="Times New Roman" w:hAnsi="Times New Roman" w:cs="Times New Roman"/>
          <w:lang w:val="en-US"/>
        </w:rPr>
      </w:pPr>
      <w:r>
        <w:rPr>
          <w:rFonts w:ascii="Times New Roman" w:eastAsia="Times New Roman" w:hAnsi="Times New Roman" w:cs="Times New Roman"/>
          <w:lang w:val="en-US"/>
        </w:rPr>
        <w:t xml:space="preserve"> 2. zh. megírása. </w:t>
      </w:r>
      <w:r>
        <w:rPr>
          <w:rFonts w:ascii="Times New Roman" w:eastAsia="Times New Roman" w:hAnsi="Times New Roman" w:cs="Times New Roman"/>
          <w:i/>
          <w:lang w:val="en-US"/>
        </w:rPr>
        <w:t>(Written test II.)</w:t>
      </w:r>
    </w:p>
    <w:p w:rsidR="003C6A32" w:rsidRDefault="003C6A32" w:rsidP="00980876">
      <w:pPr>
        <w:widowControl w:val="0"/>
        <w:numPr>
          <w:ilvl w:val="0"/>
          <w:numId w:val="213"/>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 tantárgy meghirdetésének gyakorisága/a tantervben történő félévi elhelyezkedése: </w:t>
      </w:r>
      <w:r>
        <w:rPr>
          <w:rFonts w:ascii="Times New Roman" w:eastAsia="Times New Roman" w:hAnsi="Times New Roman" w:cs="Times New Roman"/>
          <w:bCs/>
        </w:rPr>
        <w:t>Minden őszi szemeszterben / 7. félév</w:t>
      </w:r>
    </w:p>
    <w:p w:rsidR="003C6A32" w:rsidRDefault="003C6A32" w:rsidP="00980876">
      <w:pPr>
        <w:widowControl w:val="0"/>
        <w:numPr>
          <w:ilvl w:val="0"/>
          <w:numId w:val="213"/>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tanórákon való részvétel követelményei, az elfogadható hiányzások mértéke, a távolmaradás pótlásának lehetősége:</w:t>
      </w:r>
      <w:r>
        <w:rPr>
          <w:rFonts w:ascii="Times New Roman" w:eastAsia="Times New Roman" w:hAnsi="Times New Roman" w:cs="Times New Roman"/>
          <w:bCs/>
        </w:rPr>
        <w:t xml:space="preserve"> A tanórákon való részvétel kötelező.</w:t>
      </w:r>
      <w:r>
        <w:rPr>
          <w:rFonts w:ascii="Times New Roman" w:eastAsia="Times New Roman" w:hAnsi="Times New Roman" w:cs="Times New Roman"/>
          <w:b/>
          <w:bCs/>
        </w:rPr>
        <w:t xml:space="preserve"> </w:t>
      </w:r>
      <w:r>
        <w:rPr>
          <w:rFonts w:ascii="Times New Roman" w:eastAsia="Times New Roman" w:hAnsi="Times New Roman" w:cs="Times New Roman"/>
          <w:bCs/>
        </w:rPr>
        <w:t>A félév elfogadásának feltétele a tanórák minimum 80%-án való részvétel. Ennél magasabb mértékű távolmaradás pótlása az oktató engedélyével történhet. A hallgatónak a kimaradt tananyagot önképzés keretén belül kell elsajátítani. A kimaradt elméleti tananyag jobb megértése érdekében az oktatók konzultációs lehetőséget biztosíthatnak.</w:t>
      </w:r>
    </w:p>
    <w:p w:rsidR="003C6A32" w:rsidRDefault="003C6A32" w:rsidP="00980876">
      <w:pPr>
        <w:widowControl w:val="0"/>
        <w:numPr>
          <w:ilvl w:val="0"/>
          <w:numId w:val="213"/>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rPr>
        <w:t xml:space="preserve">Félévközi </w:t>
      </w:r>
      <w:r w:rsidRPr="003C6A32">
        <w:rPr>
          <w:rFonts w:ascii="Times New Roman" w:eastAsia="Times New Roman" w:hAnsi="Times New Roman" w:cs="Times New Roman"/>
          <w:b/>
          <w:bCs/>
        </w:rPr>
        <w:t>feladatok</w:t>
      </w:r>
      <w:r>
        <w:rPr>
          <w:rFonts w:ascii="Times New Roman" w:eastAsia="Times New Roman" w:hAnsi="Times New Roman" w:cs="Times New Roman"/>
          <w:b/>
        </w:rPr>
        <w:t xml:space="preserve">, ismeretek ellenőrzésének rendje: </w:t>
      </w:r>
      <w:r>
        <w:rPr>
          <w:rFonts w:ascii="Times New Roman" w:eastAsia="Times New Roman" w:hAnsi="Times New Roman" w:cs="Times New Roman"/>
        </w:rPr>
        <w:t xml:space="preserve">A honvéd tisztjelöltek a tanórákon </w:t>
      </w:r>
      <w:r>
        <w:rPr>
          <w:rFonts w:ascii="Times New Roman" w:eastAsia="Times New Roman" w:hAnsi="Times New Roman" w:cs="Times New Roman"/>
        </w:rPr>
        <w:lastRenderedPageBreak/>
        <w:t>egyéni vagy csoportos házi feladatot kapnak, melynek ellenőrzése a következő tanóra előtt megtörténik.</w:t>
      </w:r>
    </w:p>
    <w:p w:rsidR="003C6A32" w:rsidRDefault="003C6A32" w:rsidP="00980876">
      <w:pPr>
        <w:widowControl w:val="0"/>
        <w:numPr>
          <w:ilvl w:val="0"/>
          <w:numId w:val="213"/>
        </w:numPr>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Az értékelés, az aláírás és a kreditek megszerzésének pontos feltételei: </w:t>
      </w:r>
    </w:p>
    <w:p w:rsidR="003C6A32" w:rsidRDefault="003C6A32" w:rsidP="00980876">
      <w:pPr>
        <w:widowControl w:val="0"/>
        <w:numPr>
          <w:ilvl w:val="1"/>
          <w:numId w:val="213"/>
        </w:numPr>
        <w:tabs>
          <w:tab w:val="clear" w:pos="3977"/>
          <w:tab w:val="left" w:pos="709"/>
          <w:tab w:val="left" w:pos="993"/>
          <w:tab w:val="num" w:pos="2069"/>
          <w:tab w:val="num" w:pos="2275"/>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Az aláírás megszerzésének feltételei:</w:t>
      </w:r>
    </w:p>
    <w:p w:rsidR="003C6A32" w:rsidRDefault="003C6A32" w:rsidP="003C6A32">
      <w:pPr>
        <w:widowControl w:val="0"/>
        <w:tabs>
          <w:tab w:val="left" w:pos="993"/>
        </w:tabs>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Az aláírás feltétele a tanórákon történő – 14. pontban meghatározott – részvétel, valamint a zárthelyi dolgozatok (12. pont) sikeres megírása.</w:t>
      </w:r>
    </w:p>
    <w:p w:rsidR="003C6A32" w:rsidRDefault="003C6A32" w:rsidP="00980876">
      <w:pPr>
        <w:widowControl w:val="0"/>
        <w:numPr>
          <w:ilvl w:val="1"/>
          <w:numId w:val="213"/>
        </w:numPr>
        <w:tabs>
          <w:tab w:val="clear" w:pos="3977"/>
          <w:tab w:val="left" w:pos="709"/>
          <w:tab w:val="left" w:pos="993"/>
          <w:tab w:val="num" w:pos="2069"/>
          <w:tab w:val="num" w:pos="2275"/>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Az értékelés:</w:t>
      </w:r>
    </w:p>
    <w:p w:rsidR="003C6A32" w:rsidRDefault="003C6A32" w:rsidP="003C6A32">
      <w:pPr>
        <w:widowControl w:val="0"/>
        <w:tabs>
          <w:tab w:val="left" w:pos="993"/>
        </w:tabs>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Az ötfokozatú évközi jegy a zárthelyi dolgozatok eredménye (egyszerű számtani átlag) alapján kerül kialakításra. Az elégséges értékeléshez 50% + 1 pontot kell teljesíteni. A dolgozat kérdéseiben teszt és esszé jellegű kérdések egyaránt szerepelnek. A zárhelyi dolgozat témáit a kötelező irodalmak anyagából, valamint az előadásokon elhangzott ismeretanyagból kell összeállítani. A dolgozatok eredményébe beleszámít a házi feladatok elkészítésének minősége. A dolgozatok pótlására a félév során egyszer van lehetőség.</w:t>
      </w:r>
    </w:p>
    <w:p w:rsidR="003C6A32" w:rsidRDefault="003C6A32" w:rsidP="00980876">
      <w:pPr>
        <w:widowControl w:val="0"/>
        <w:numPr>
          <w:ilvl w:val="1"/>
          <w:numId w:val="213"/>
        </w:numPr>
        <w:tabs>
          <w:tab w:val="clear" w:pos="3977"/>
          <w:tab w:val="left" w:pos="709"/>
          <w:tab w:val="left" w:pos="993"/>
          <w:tab w:val="num" w:pos="2069"/>
          <w:tab w:val="num" w:pos="2275"/>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 kreditek megszerzésének feltételei:</w:t>
      </w:r>
      <w:r>
        <w:rPr>
          <w:rFonts w:ascii="Times New Roman" w:eastAsia="Times New Roman" w:hAnsi="Times New Roman" w:cs="Times New Roman"/>
        </w:rPr>
        <w:t xml:space="preserve"> </w:t>
      </w:r>
    </w:p>
    <w:p w:rsidR="003C6A32" w:rsidRDefault="003C6A32" w:rsidP="003C6A32">
      <w:pPr>
        <w:widowControl w:val="0"/>
        <w:tabs>
          <w:tab w:val="left" w:pos="993"/>
        </w:tabs>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A kreditek megszerzésének feltétele az aláírás megszerzése és a legalább elégséges évközi jegy.</w:t>
      </w:r>
    </w:p>
    <w:p w:rsidR="001E1853" w:rsidRPr="001E1853" w:rsidRDefault="003C6A32" w:rsidP="001E1853">
      <w:pPr>
        <w:widowControl w:val="0"/>
        <w:numPr>
          <w:ilvl w:val="0"/>
          <w:numId w:val="213"/>
        </w:numPr>
        <w:spacing w:before="120" w:after="120" w:line="240" w:lineRule="auto"/>
        <w:ind w:left="426" w:hanging="142"/>
        <w:jc w:val="both"/>
        <w:rPr>
          <w:rFonts w:ascii="Times New Roman" w:eastAsia="Times New Roman" w:hAnsi="Times New Roman" w:cs="Times New Roman"/>
          <w:bCs/>
        </w:rPr>
      </w:pPr>
      <w:r w:rsidRPr="001E1853">
        <w:rPr>
          <w:rFonts w:ascii="Times New Roman" w:eastAsia="Times New Roman" w:hAnsi="Times New Roman" w:cs="Times New Roman"/>
          <w:b/>
          <w:bCs/>
        </w:rPr>
        <w:t>Irodalomjegyzék:</w:t>
      </w:r>
      <w:r w:rsidR="00453026" w:rsidRPr="001E1853">
        <w:rPr>
          <w:rFonts w:ascii="Times New Roman" w:eastAsia="Times New Roman" w:hAnsi="Times New Roman" w:cs="Times New Roman"/>
          <w:b/>
          <w:bCs/>
        </w:rPr>
        <w:t xml:space="preserve"> </w:t>
      </w:r>
      <w:r w:rsidR="001E1853" w:rsidRPr="001E1853">
        <w:rPr>
          <w:rFonts w:ascii="Times New Roman" w:eastAsia="Times New Roman" w:hAnsi="Times New Roman" w:cs="Times New Roman"/>
        </w:rPr>
        <w:t xml:space="preserve">A tantárgy speciális katonai-szakmai tartalma miatt </w:t>
      </w:r>
      <w:r w:rsidR="001E1853">
        <w:rPr>
          <w:rFonts w:ascii="Times New Roman" w:eastAsia="Times New Roman" w:hAnsi="Times New Roman" w:cs="Times New Roman"/>
        </w:rPr>
        <w:t xml:space="preserve">döntően </w:t>
      </w:r>
      <w:r w:rsidR="001E1853" w:rsidRPr="001E1853">
        <w:rPr>
          <w:rFonts w:ascii="Times New Roman" w:eastAsia="Times New Roman" w:hAnsi="Times New Roman" w:cs="Times New Roman"/>
        </w:rPr>
        <w:t>csak jogszabályi irodalom áll rendelkezésre</w:t>
      </w:r>
      <w:r w:rsidR="001E1853" w:rsidRPr="001E1853">
        <w:rPr>
          <w:rFonts w:ascii="Times New Roman" w:eastAsia="Times New Roman" w:hAnsi="Times New Roman" w:cs="Times New Roman"/>
          <w:bCs/>
          <w:caps/>
        </w:rPr>
        <w:t>.</w:t>
      </w:r>
    </w:p>
    <w:p w:rsidR="003C6A32" w:rsidRPr="001E1853" w:rsidRDefault="003C6A32" w:rsidP="00980876">
      <w:pPr>
        <w:widowControl w:val="0"/>
        <w:numPr>
          <w:ilvl w:val="1"/>
          <w:numId w:val="213"/>
        </w:numPr>
        <w:tabs>
          <w:tab w:val="clear" w:pos="3977"/>
          <w:tab w:val="left" w:pos="567"/>
          <w:tab w:val="left" w:pos="851"/>
          <w:tab w:val="num" w:pos="2069"/>
          <w:tab w:val="num" w:pos="2275"/>
        </w:tabs>
        <w:spacing w:before="120" w:after="120" w:line="240" w:lineRule="auto"/>
        <w:ind w:left="426" w:hanging="142"/>
        <w:jc w:val="both"/>
        <w:rPr>
          <w:rFonts w:ascii="Times New Roman" w:eastAsia="Times New Roman" w:hAnsi="Times New Roman" w:cs="Times New Roman"/>
          <w:bCs/>
        </w:rPr>
      </w:pPr>
      <w:r w:rsidRPr="001E1853">
        <w:rPr>
          <w:rFonts w:ascii="Times New Roman" w:eastAsia="Times New Roman" w:hAnsi="Times New Roman" w:cs="Times New Roman"/>
          <w:b/>
          <w:bCs/>
        </w:rPr>
        <w:t>Kötelező irodalom:</w:t>
      </w:r>
    </w:p>
    <w:p w:rsidR="003C6A32" w:rsidRDefault="003C6A32" w:rsidP="00980876">
      <w:pPr>
        <w:widowControl w:val="0"/>
        <w:numPr>
          <w:ilvl w:val="0"/>
          <w:numId w:val="214"/>
        </w:numPr>
        <w:spacing w:after="0" w:line="240" w:lineRule="auto"/>
        <w:ind w:left="993"/>
        <w:jc w:val="both"/>
        <w:rPr>
          <w:rFonts w:ascii="Times New Roman" w:eastAsia="Times New Roman" w:hAnsi="Times New Roman" w:cs="Times New Roman"/>
        </w:rPr>
      </w:pPr>
      <w:r>
        <w:rPr>
          <w:rFonts w:ascii="Times New Roman" w:eastAsia="Times New Roman" w:hAnsi="Times New Roman" w:cs="Times New Roman"/>
          <w:bCs/>
        </w:rPr>
        <w:t>Koháriné dr. Papp Edit: Államháztartási ismeretek (Perfekt 2011 ISBN 9789633946763)</w:t>
      </w:r>
    </w:p>
    <w:p w:rsidR="003C6A32" w:rsidRDefault="003C6A32" w:rsidP="00980876">
      <w:pPr>
        <w:widowControl w:val="0"/>
        <w:numPr>
          <w:ilvl w:val="0"/>
          <w:numId w:val="214"/>
        </w:numPr>
        <w:spacing w:after="0" w:line="240" w:lineRule="auto"/>
        <w:ind w:left="993"/>
        <w:jc w:val="both"/>
        <w:rPr>
          <w:rFonts w:ascii="Times New Roman" w:eastAsia="Times New Roman" w:hAnsi="Times New Roman" w:cs="Times New Roman"/>
        </w:rPr>
      </w:pPr>
      <w:r>
        <w:rPr>
          <w:rFonts w:ascii="Times New Roman" w:eastAsia="Times New Roman" w:hAnsi="Times New Roman" w:cs="Times New Roman"/>
          <w:bCs/>
        </w:rPr>
        <w:t>2011.évi CXCV tv. az államháztartásról</w:t>
      </w:r>
    </w:p>
    <w:p w:rsidR="003C6A32" w:rsidRDefault="003C6A32" w:rsidP="00980876">
      <w:pPr>
        <w:widowControl w:val="0"/>
        <w:numPr>
          <w:ilvl w:val="0"/>
          <w:numId w:val="214"/>
        </w:numPr>
        <w:spacing w:after="0" w:line="240" w:lineRule="auto"/>
        <w:ind w:left="993"/>
        <w:jc w:val="both"/>
        <w:rPr>
          <w:rFonts w:ascii="Times New Roman" w:eastAsia="Times New Roman" w:hAnsi="Times New Roman" w:cs="Times New Roman"/>
        </w:rPr>
      </w:pPr>
      <w:r>
        <w:rPr>
          <w:rFonts w:ascii="Times New Roman" w:eastAsia="Times New Roman" w:hAnsi="Times New Roman" w:cs="Times New Roman"/>
          <w:bCs/>
        </w:rPr>
        <w:t>368/2011 (XII.31.) Korm. rendelet az államháztartásról szóló törvény végrehajtásáról</w:t>
      </w:r>
    </w:p>
    <w:p w:rsidR="003C6A32" w:rsidRDefault="003C6A32" w:rsidP="00980876">
      <w:pPr>
        <w:widowControl w:val="0"/>
        <w:numPr>
          <w:ilvl w:val="0"/>
          <w:numId w:val="214"/>
        </w:numPr>
        <w:spacing w:after="0" w:line="240" w:lineRule="auto"/>
        <w:ind w:left="993"/>
        <w:jc w:val="both"/>
        <w:rPr>
          <w:rFonts w:ascii="Times New Roman" w:eastAsia="Times New Roman" w:hAnsi="Times New Roman" w:cs="Times New Roman"/>
        </w:rPr>
      </w:pPr>
      <w:r>
        <w:rPr>
          <w:rFonts w:ascii="Times New Roman" w:eastAsia="Times New Roman" w:hAnsi="Times New Roman" w:cs="Times New Roman"/>
          <w:bCs/>
        </w:rPr>
        <w:t>346/2009. (XII.30.) Korm. rendelet a honvédelmi szervek működésének az államháztartás működési rendjétől eltérő szabályairól</w:t>
      </w:r>
    </w:p>
    <w:p w:rsidR="003C6A32" w:rsidRDefault="003C6A32" w:rsidP="00980876">
      <w:pPr>
        <w:widowControl w:val="0"/>
        <w:numPr>
          <w:ilvl w:val="0"/>
          <w:numId w:val="214"/>
        </w:numPr>
        <w:spacing w:after="0" w:line="240" w:lineRule="auto"/>
        <w:ind w:left="993"/>
        <w:jc w:val="both"/>
        <w:rPr>
          <w:rFonts w:ascii="Times New Roman" w:eastAsia="Times New Roman" w:hAnsi="Times New Roman" w:cs="Times New Roman"/>
        </w:rPr>
      </w:pPr>
      <w:r>
        <w:rPr>
          <w:rFonts w:ascii="Times New Roman" w:eastAsia="Times New Roman" w:hAnsi="Times New Roman" w:cs="Times New Roman"/>
        </w:rPr>
        <w:t>47/2018. (XII. 21.) HM utasítás a Honvédelmi Minisztérium fejezet központi és intézményi gazdálkodásának rendjéről</w:t>
      </w:r>
    </w:p>
    <w:p w:rsidR="003C6A32" w:rsidRDefault="003C6A32" w:rsidP="00980876">
      <w:pPr>
        <w:widowControl w:val="0"/>
        <w:numPr>
          <w:ilvl w:val="1"/>
          <w:numId w:val="213"/>
        </w:numPr>
        <w:tabs>
          <w:tab w:val="clear" w:pos="3977"/>
          <w:tab w:val="num" w:pos="567"/>
          <w:tab w:val="num" w:pos="2069"/>
          <w:tab w:val="num" w:pos="2275"/>
        </w:tabs>
        <w:spacing w:before="120" w:after="120" w:line="240" w:lineRule="auto"/>
        <w:ind w:left="993" w:hanging="709"/>
        <w:jc w:val="both"/>
        <w:rPr>
          <w:rFonts w:ascii="Times New Roman" w:eastAsia="Times New Roman" w:hAnsi="Times New Roman" w:cs="Times New Roman"/>
          <w:b/>
          <w:bCs/>
        </w:rPr>
      </w:pPr>
      <w:r>
        <w:rPr>
          <w:rFonts w:ascii="Times New Roman" w:eastAsia="Times New Roman" w:hAnsi="Times New Roman" w:cs="Times New Roman"/>
          <w:b/>
          <w:bCs/>
        </w:rPr>
        <w:t>Ajánlott irodalom:</w:t>
      </w:r>
    </w:p>
    <w:p w:rsidR="003C6A32" w:rsidRDefault="003C6A32" w:rsidP="00980876">
      <w:pPr>
        <w:widowControl w:val="0"/>
        <w:numPr>
          <w:ilvl w:val="0"/>
          <w:numId w:val="215"/>
        </w:numPr>
        <w:spacing w:after="0" w:line="240" w:lineRule="auto"/>
        <w:ind w:left="993"/>
        <w:jc w:val="both"/>
        <w:rPr>
          <w:rFonts w:ascii="Times New Roman" w:eastAsia="Times New Roman" w:hAnsi="Times New Roman" w:cs="Times New Roman"/>
        </w:rPr>
      </w:pPr>
      <w:r>
        <w:rPr>
          <w:rFonts w:ascii="Times New Roman" w:eastAsia="Times New Roman" w:hAnsi="Times New Roman" w:cs="Times New Roman"/>
        </w:rPr>
        <w:t xml:space="preserve">2015. évi CXLIII. </w:t>
      </w:r>
      <w:r w:rsidRPr="00453026">
        <w:rPr>
          <w:rFonts w:ascii="Times New Roman" w:eastAsia="Times New Roman" w:hAnsi="Times New Roman" w:cs="Times New Roman"/>
        </w:rPr>
        <w:t>törvény</w:t>
      </w:r>
      <w:r>
        <w:rPr>
          <w:rFonts w:ascii="Times New Roman" w:eastAsia="Times New Roman" w:hAnsi="Times New Roman" w:cs="Times New Roman"/>
        </w:rPr>
        <w:t xml:space="preserve"> a közbeszerzésekről</w:t>
      </w:r>
    </w:p>
    <w:p w:rsidR="00453026" w:rsidRDefault="00453026" w:rsidP="00980876">
      <w:pPr>
        <w:widowControl w:val="0"/>
        <w:numPr>
          <w:ilvl w:val="0"/>
          <w:numId w:val="215"/>
        </w:numPr>
        <w:spacing w:after="0" w:line="240" w:lineRule="auto"/>
        <w:ind w:left="993"/>
        <w:jc w:val="both"/>
        <w:rPr>
          <w:rFonts w:ascii="Times New Roman" w:eastAsia="Times New Roman" w:hAnsi="Times New Roman" w:cs="Times New Roman"/>
        </w:rPr>
      </w:pPr>
      <w:r>
        <w:rPr>
          <w:rFonts w:ascii="Times New Roman" w:eastAsia="Times New Roman" w:hAnsi="Times New Roman" w:cs="Times New Roman"/>
        </w:rPr>
        <w:t>NATO Logistics Functional Area Services (LOGFAS) ver. 6.1 Tutorial</w:t>
      </w:r>
    </w:p>
    <w:p w:rsidR="003C6A32" w:rsidRDefault="003C6A32" w:rsidP="003C6A32">
      <w:pPr>
        <w:widowControl w:val="0"/>
        <w:spacing w:before="120" w:after="120" w:line="240" w:lineRule="auto"/>
        <w:jc w:val="both"/>
        <w:rPr>
          <w:rFonts w:ascii="Times New Roman" w:eastAsia="Times New Roman" w:hAnsi="Times New Roman" w:cs="Times New Roman"/>
          <w:bCs/>
        </w:rPr>
      </w:pPr>
    </w:p>
    <w:p w:rsidR="003C6A32" w:rsidRDefault="003C6A32" w:rsidP="003C6A32">
      <w:pPr>
        <w:widowControl w:val="0"/>
        <w:spacing w:before="120" w:after="120" w:line="240" w:lineRule="auto"/>
        <w:jc w:val="both"/>
        <w:rPr>
          <w:rFonts w:ascii="Times New Roman" w:eastAsia="Times New Roman" w:hAnsi="Times New Roman" w:cs="Times New Roman"/>
          <w:bCs/>
        </w:rPr>
      </w:pPr>
      <w:r>
        <w:rPr>
          <w:rFonts w:ascii="Times New Roman" w:eastAsia="Times New Roman" w:hAnsi="Times New Roman" w:cs="Times New Roman"/>
          <w:bCs/>
        </w:rPr>
        <w:t>Budapest, 2020. január 14.</w:t>
      </w:r>
    </w:p>
    <w:p w:rsidR="003C6A32" w:rsidRDefault="003C6A32" w:rsidP="003C6A32">
      <w:pPr>
        <w:widowControl w:val="0"/>
        <w:spacing w:before="120" w:after="120" w:line="240" w:lineRule="auto"/>
        <w:jc w:val="both"/>
        <w:rPr>
          <w:rFonts w:ascii="Times New Roman" w:eastAsia="Times New Roman" w:hAnsi="Times New Roman" w:cs="Times New Roman"/>
          <w:bCs/>
        </w:rPr>
      </w:pPr>
    </w:p>
    <w:p w:rsidR="003C6A32" w:rsidRDefault="003C6A32" w:rsidP="003C6A32">
      <w:pPr>
        <w:widowControl w:val="0"/>
        <w:spacing w:after="0" w:line="240" w:lineRule="auto"/>
        <w:ind w:left="5664"/>
        <w:jc w:val="center"/>
        <w:rPr>
          <w:rFonts w:ascii="Times New Roman" w:hAnsi="Times New Roman" w:cs="Times New Roman"/>
          <w:b/>
          <w:bCs/>
        </w:rPr>
      </w:pPr>
      <w:r>
        <w:rPr>
          <w:rFonts w:ascii="Times New Roman" w:hAnsi="Times New Roman" w:cs="Times New Roman"/>
          <w:b/>
          <w:bCs/>
        </w:rPr>
        <w:t xml:space="preserve">   Dr. Pap Andrea (PhD)</w:t>
      </w:r>
    </w:p>
    <w:p w:rsidR="003C6A32" w:rsidRDefault="003C6A32" w:rsidP="003C6A32">
      <w:pPr>
        <w:widowControl w:val="0"/>
        <w:spacing w:after="0" w:line="240" w:lineRule="auto"/>
        <w:jc w:val="right"/>
        <w:rPr>
          <w:rFonts w:ascii="Times New Roman" w:hAnsi="Times New Roman" w:cs="Times New Roman"/>
          <w:b/>
          <w:bCs/>
        </w:rPr>
      </w:pPr>
      <w:r>
        <w:rPr>
          <w:rFonts w:ascii="Times New Roman" w:hAnsi="Times New Roman" w:cs="Times New Roman"/>
          <w:bCs/>
        </w:rPr>
        <w:t>tanszékvezető, egyetemi docens s.k.</w:t>
      </w:r>
    </w:p>
    <w:p w:rsidR="003C6A32" w:rsidRDefault="003C6A32">
      <w:pPr>
        <w:spacing w:after="200" w:line="276" w:lineRule="auto"/>
        <w:rPr>
          <w:rFonts w:ascii="Times New Roman" w:hAnsi="Times New Roman" w:cs="Times New Roman"/>
          <w:sz w:val="24"/>
        </w:rPr>
      </w:pPr>
    </w:p>
    <w:p w:rsidR="007C6539" w:rsidRDefault="007C6539">
      <w:pPr>
        <w:spacing w:after="200" w:line="276" w:lineRule="auto"/>
        <w:rPr>
          <w:rFonts w:ascii="Times New Roman" w:hAnsi="Times New Roman" w:cs="Times New Roman"/>
          <w:sz w:val="24"/>
        </w:rPr>
      </w:pPr>
      <w:r>
        <w:rPr>
          <w:rFonts w:ascii="Times New Roman" w:hAnsi="Times New Roman" w:cs="Times New Roman"/>
          <w:sz w:val="24"/>
        </w:rPr>
        <w:br w:type="page"/>
      </w:r>
    </w:p>
    <w:tbl>
      <w:tblPr>
        <w:tblW w:w="9072" w:type="dxa"/>
        <w:tblInd w:w="113" w:type="dxa"/>
        <w:tblLook w:val="01E0" w:firstRow="1" w:lastRow="1" w:firstColumn="1" w:lastColumn="1" w:noHBand="0" w:noVBand="0"/>
      </w:tblPr>
      <w:tblGrid>
        <w:gridCol w:w="4855"/>
        <w:gridCol w:w="1620"/>
        <w:gridCol w:w="2597"/>
      </w:tblGrid>
      <w:tr w:rsidR="007C6539" w:rsidTr="007C6539">
        <w:tc>
          <w:tcPr>
            <w:tcW w:w="4855" w:type="dxa"/>
            <w:tcBorders>
              <w:top w:val="nil"/>
              <w:left w:val="nil"/>
              <w:bottom w:val="single" w:sz="4" w:space="0" w:color="auto"/>
              <w:right w:val="nil"/>
            </w:tcBorders>
            <w:hideMark/>
          </w:tcPr>
          <w:p w:rsidR="007C6539" w:rsidRDefault="007C6539">
            <w:pPr>
              <w:spacing w:after="0" w:line="240" w:lineRule="auto"/>
              <w:jc w:val="center"/>
              <w:rPr>
                <w:rFonts w:ascii="Times New Roman" w:eastAsia="Times New Roman" w:hAnsi="Times New Roman" w:cs="Times New Roman"/>
                <w:b/>
                <w:smallCaps/>
                <w:lang w:eastAsia="hu-HU"/>
              </w:rPr>
            </w:pPr>
            <w:r>
              <w:rPr>
                <w:rFonts w:ascii="Times New Roman" w:eastAsia="Times New Roman" w:hAnsi="Times New Roman" w:cs="Times New Roman"/>
                <w:b/>
                <w:smallCaps/>
                <w:lang w:eastAsia="hu-HU"/>
              </w:rPr>
              <w:lastRenderedPageBreak/>
              <w:t>Nemzeti Közszolgálati Egyetem</w:t>
            </w:r>
          </w:p>
        </w:tc>
        <w:tc>
          <w:tcPr>
            <w:tcW w:w="1620" w:type="dxa"/>
          </w:tcPr>
          <w:p w:rsidR="007C6539" w:rsidRDefault="007C6539">
            <w:pPr>
              <w:spacing w:after="0" w:line="240" w:lineRule="auto"/>
              <w:jc w:val="both"/>
              <w:rPr>
                <w:rFonts w:ascii="Times New Roman" w:eastAsia="Times New Roman" w:hAnsi="Times New Roman" w:cs="Times New Roman"/>
                <w:lang w:eastAsia="hu-HU"/>
              </w:rPr>
            </w:pPr>
          </w:p>
        </w:tc>
        <w:tc>
          <w:tcPr>
            <w:tcW w:w="2597" w:type="dxa"/>
          </w:tcPr>
          <w:p w:rsidR="007C6539" w:rsidRDefault="007C6539">
            <w:pPr>
              <w:spacing w:after="0" w:line="240" w:lineRule="auto"/>
              <w:jc w:val="right"/>
              <w:rPr>
                <w:rFonts w:ascii="Times New Roman" w:eastAsia="Times New Roman" w:hAnsi="Times New Roman" w:cs="Times New Roman"/>
                <w:lang w:eastAsia="hu-HU"/>
              </w:rPr>
            </w:pPr>
          </w:p>
        </w:tc>
      </w:tr>
      <w:tr w:rsidR="007C6539" w:rsidTr="007C6539">
        <w:tc>
          <w:tcPr>
            <w:tcW w:w="4855" w:type="dxa"/>
            <w:tcBorders>
              <w:top w:val="single" w:sz="4" w:space="0" w:color="auto"/>
              <w:left w:val="nil"/>
              <w:bottom w:val="nil"/>
              <w:right w:val="nil"/>
            </w:tcBorders>
            <w:hideMark/>
          </w:tcPr>
          <w:p w:rsidR="007C6539" w:rsidRDefault="007C6539">
            <w:pPr>
              <w:spacing w:after="0" w:line="240" w:lineRule="auto"/>
              <w:jc w:val="center"/>
              <w:rPr>
                <w:rFonts w:ascii="Times New Roman" w:eastAsia="Times New Roman" w:hAnsi="Times New Roman" w:cs="Times New Roman"/>
                <w:b/>
                <w:lang w:eastAsia="hu-HU"/>
              </w:rPr>
            </w:pPr>
            <w:r>
              <w:rPr>
                <w:rFonts w:ascii="Times New Roman" w:eastAsia="Times New Roman" w:hAnsi="Times New Roman" w:cs="Times New Roman"/>
                <w:b/>
                <w:lang w:eastAsia="hu-HU"/>
              </w:rPr>
              <w:t>Hadtudományi és Honvédtisztképző Kar</w:t>
            </w:r>
          </w:p>
        </w:tc>
        <w:tc>
          <w:tcPr>
            <w:tcW w:w="1620" w:type="dxa"/>
          </w:tcPr>
          <w:p w:rsidR="007C6539" w:rsidRDefault="007C6539">
            <w:pPr>
              <w:spacing w:after="0" w:line="240" w:lineRule="auto"/>
              <w:jc w:val="both"/>
              <w:rPr>
                <w:rFonts w:ascii="Times New Roman" w:eastAsia="Times New Roman" w:hAnsi="Times New Roman" w:cs="Times New Roman"/>
                <w:lang w:eastAsia="hu-HU"/>
              </w:rPr>
            </w:pPr>
          </w:p>
        </w:tc>
        <w:tc>
          <w:tcPr>
            <w:tcW w:w="2597" w:type="dxa"/>
          </w:tcPr>
          <w:p w:rsidR="007C6539" w:rsidRDefault="007C6539">
            <w:pPr>
              <w:spacing w:after="0" w:line="240" w:lineRule="auto"/>
              <w:jc w:val="both"/>
              <w:rPr>
                <w:rFonts w:ascii="Times New Roman" w:eastAsia="Times New Roman" w:hAnsi="Times New Roman" w:cs="Times New Roman"/>
                <w:lang w:eastAsia="hu-HU"/>
              </w:rPr>
            </w:pPr>
          </w:p>
        </w:tc>
      </w:tr>
    </w:tbl>
    <w:p w:rsidR="007C6539" w:rsidRDefault="007C6539" w:rsidP="007C6539">
      <w:pPr>
        <w:widowControl w:val="0"/>
        <w:spacing w:before="120" w:after="120" w:line="240" w:lineRule="auto"/>
        <w:ind w:left="426" w:hanging="142"/>
        <w:jc w:val="center"/>
        <w:rPr>
          <w:rFonts w:ascii="Times New Roman" w:eastAsia="Times New Roman" w:hAnsi="Times New Roman" w:cs="Times New Roman"/>
          <w:b/>
          <w:bCs/>
        </w:rPr>
      </w:pPr>
    </w:p>
    <w:p w:rsidR="007C6539" w:rsidRDefault="007C6539" w:rsidP="007C6539">
      <w:pPr>
        <w:widowControl w:val="0"/>
        <w:spacing w:before="120" w:after="120" w:line="240" w:lineRule="auto"/>
        <w:ind w:left="426" w:hanging="142"/>
        <w:jc w:val="center"/>
        <w:rPr>
          <w:rFonts w:ascii="Times New Roman" w:eastAsia="Times New Roman" w:hAnsi="Times New Roman" w:cs="Times New Roman"/>
          <w:b/>
          <w:bCs/>
        </w:rPr>
      </w:pPr>
      <w:r>
        <w:rPr>
          <w:rFonts w:ascii="Times New Roman" w:eastAsia="Times New Roman" w:hAnsi="Times New Roman" w:cs="Times New Roman"/>
          <w:b/>
          <w:bCs/>
        </w:rPr>
        <w:t>TANTÁRGYI PROGRAM</w:t>
      </w:r>
    </w:p>
    <w:p w:rsidR="007C6539" w:rsidRDefault="007C6539" w:rsidP="00980876">
      <w:pPr>
        <w:widowControl w:val="0"/>
        <w:numPr>
          <w:ilvl w:val="0"/>
          <w:numId w:val="216"/>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 tantárgy kódja: </w:t>
      </w:r>
      <w:r>
        <w:rPr>
          <w:rFonts w:ascii="Times New Roman" w:eastAsia="Times New Roman" w:hAnsi="Times New Roman" w:cs="Times New Roman"/>
          <w:bCs/>
        </w:rPr>
        <w:t>HKHPKA114</w:t>
      </w:r>
    </w:p>
    <w:p w:rsidR="007C6539" w:rsidRDefault="007C6539" w:rsidP="00980876">
      <w:pPr>
        <w:widowControl w:val="0"/>
        <w:numPr>
          <w:ilvl w:val="0"/>
          <w:numId w:val="216"/>
        </w:numPr>
        <w:spacing w:before="120" w:after="120" w:line="240" w:lineRule="auto"/>
        <w:ind w:left="426" w:hanging="142"/>
        <w:jc w:val="both"/>
        <w:rPr>
          <w:rFonts w:ascii="Times New Roman" w:eastAsia="Times New Roman" w:hAnsi="Times New Roman" w:cs="Times New Roman"/>
          <w:b/>
          <w:bCs/>
          <w:lang w:val="en-GB"/>
        </w:rPr>
      </w:pPr>
      <w:r>
        <w:rPr>
          <w:rFonts w:ascii="Times New Roman" w:eastAsia="Times New Roman" w:hAnsi="Times New Roman" w:cs="Times New Roman"/>
          <w:b/>
          <w:bCs/>
        </w:rPr>
        <w:t>A tantárgy megnevezése (magyarul):</w:t>
      </w:r>
      <w:r>
        <w:rPr>
          <w:rFonts w:ascii="Times New Roman" w:eastAsia="Times New Roman" w:hAnsi="Times New Roman" w:cs="Times New Roman"/>
          <w:bCs/>
        </w:rPr>
        <w:t xml:space="preserve"> Elhelyezési-, humán- és térképanyag ellátás</w:t>
      </w:r>
    </w:p>
    <w:p w:rsidR="007C6539" w:rsidRDefault="007C6539" w:rsidP="00980876">
      <w:pPr>
        <w:widowControl w:val="0"/>
        <w:numPr>
          <w:ilvl w:val="0"/>
          <w:numId w:val="216"/>
        </w:numPr>
        <w:tabs>
          <w:tab w:val="num" w:pos="567"/>
        </w:tabs>
        <w:spacing w:before="120" w:after="120" w:line="240" w:lineRule="auto"/>
        <w:ind w:left="426" w:hanging="142"/>
        <w:jc w:val="both"/>
        <w:rPr>
          <w:rFonts w:ascii="Times New Roman" w:eastAsia="Times New Roman" w:hAnsi="Times New Roman" w:cs="Times New Roman"/>
          <w:b/>
          <w:bCs/>
          <w:lang w:val="en-GB"/>
        </w:rPr>
      </w:pPr>
      <w:r>
        <w:rPr>
          <w:rFonts w:ascii="Times New Roman" w:eastAsia="Times New Roman" w:hAnsi="Times New Roman" w:cs="Times New Roman"/>
          <w:b/>
          <w:bCs/>
        </w:rPr>
        <w:t xml:space="preserve">A tantárgy megnevezése (angolul): </w:t>
      </w:r>
      <w:r>
        <w:rPr>
          <w:rFonts w:ascii="Times New Roman" w:eastAsia="Times New Roman" w:hAnsi="Times New Roman" w:cs="Times New Roman"/>
          <w:bCs/>
        </w:rPr>
        <w:t>Provision of Accommodation, Office Supplies and Military Maps</w:t>
      </w:r>
    </w:p>
    <w:p w:rsidR="007C6539" w:rsidRDefault="007C6539" w:rsidP="00980876">
      <w:pPr>
        <w:widowControl w:val="0"/>
        <w:numPr>
          <w:ilvl w:val="0"/>
          <w:numId w:val="216"/>
        </w:numPr>
        <w:tabs>
          <w:tab w:val="num" w:pos="567"/>
        </w:tabs>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Kreditérték és képzési karakter: </w:t>
      </w:r>
    </w:p>
    <w:p w:rsidR="007C6539" w:rsidRDefault="007C6539" w:rsidP="00980876">
      <w:pPr>
        <w:pStyle w:val="Listaszerbekezds"/>
        <w:widowControl w:val="0"/>
        <w:numPr>
          <w:ilvl w:val="1"/>
          <w:numId w:val="216"/>
        </w:numPr>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4 kredit</w:t>
      </w:r>
    </w:p>
    <w:p w:rsidR="007C6539" w:rsidRDefault="007C6539" w:rsidP="00980876">
      <w:pPr>
        <w:pStyle w:val="Listaszerbekezds"/>
        <w:widowControl w:val="0"/>
        <w:numPr>
          <w:ilvl w:val="1"/>
          <w:numId w:val="216"/>
        </w:numPr>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a tantárgy elméleti vagy gyakorlati jellegének mértéke: 33</w:t>
      </w:r>
      <w:r>
        <w:rPr>
          <w:rFonts w:ascii="Times New Roman" w:eastAsia="Times New Roman" w:hAnsi="Times New Roman" w:cs="Times New Roman"/>
          <w:b/>
          <w:bCs/>
        </w:rPr>
        <w:t xml:space="preserve"> </w:t>
      </w:r>
      <w:r>
        <w:rPr>
          <w:rFonts w:ascii="Times New Roman" w:eastAsia="Times New Roman" w:hAnsi="Times New Roman" w:cs="Times New Roman"/>
          <w:bCs/>
        </w:rPr>
        <w:t>% gyakorlat, 67 % elmélet</w:t>
      </w:r>
    </w:p>
    <w:p w:rsidR="007C6539" w:rsidRDefault="007C6539" w:rsidP="00980876">
      <w:pPr>
        <w:widowControl w:val="0"/>
        <w:numPr>
          <w:ilvl w:val="0"/>
          <w:numId w:val="216"/>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szak(ok), szakirányok/specializációk megnevezése (ahol oktatják):</w:t>
      </w:r>
      <w:r>
        <w:rPr>
          <w:rFonts w:ascii="Times New Roman" w:eastAsia="Times New Roman" w:hAnsi="Times New Roman" w:cs="Times New Roman"/>
          <w:bCs/>
        </w:rPr>
        <w:t xml:space="preserve"> </w:t>
      </w:r>
      <w:r>
        <w:rPr>
          <w:rFonts w:ascii="Times New Roman" w:hAnsi="Times New Roman" w:cs="Times New Roman"/>
          <w:bCs/>
        </w:rPr>
        <w:t>Katonai logisztika alapképzési szak, hadtáp specializáció</w:t>
      </w:r>
    </w:p>
    <w:p w:rsidR="007C6539" w:rsidRDefault="007C6539" w:rsidP="00980876">
      <w:pPr>
        <w:widowControl w:val="0"/>
        <w:numPr>
          <w:ilvl w:val="0"/>
          <w:numId w:val="216"/>
        </w:numPr>
        <w:tabs>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Az oktatásért felelős oktatási szervezeti egység megnevezése: </w:t>
      </w:r>
      <w:r>
        <w:rPr>
          <w:rFonts w:ascii="Times New Roman" w:hAnsi="Times New Roman" w:cs="Times New Roman"/>
          <w:bCs/>
        </w:rPr>
        <w:t>NKE HHK Hadtáp, Pénzügyi és Katonai Közlekedési Tanszék</w:t>
      </w:r>
    </w:p>
    <w:p w:rsidR="007C6539" w:rsidRDefault="007C6539" w:rsidP="00980876">
      <w:pPr>
        <w:widowControl w:val="0"/>
        <w:numPr>
          <w:ilvl w:val="0"/>
          <w:numId w:val="216"/>
        </w:numPr>
        <w:tabs>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tantárgyfelelős oktató neve, beosztása, tudományos fokozata:</w:t>
      </w:r>
      <w:r>
        <w:rPr>
          <w:rFonts w:ascii="Times New Roman" w:eastAsia="Times New Roman" w:hAnsi="Times New Roman" w:cs="Times New Roman"/>
          <w:bCs/>
        </w:rPr>
        <w:t xml:space="preserve"> </w:t>
      </w:r>
      <w:r>
        <w:rPr>
          <w:rFonts w:ascii="Times New Roman" w:hAnsi="Times New Roman" w:cs="Times New Roman"/>
          <w:bCs/>
        </w:rPr>
        <w:t>Dr. Dénes Kálmán, egyetemi docens, (PhD)</w:t>
      </w:r>
    </w:p>
    <w:p w:rsidR="007C6539" w:rsidRDefault="007C6539" w:rsidP="00980876">
      <w:pPr>
        <w:widowControl w:val="0"/>
        <w:numPr>
          <w:ilvl w:val="0"/>
          <w:numId w:val="216"/>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tanórák száma és típusa</w:t>
      </w:r>
    </w:p>
    <w:p w:rsidR="007C6539" w:rsidRDefault="007C6539" w:rsidP="00980876">
      <w:pPr>
        <w:widowControl w:val="0"/>
        <w:numPr>
          <w:ilvl w:val="1"/>
          <w:numId w:val="216"/>
        </w:numPr>
        <w:tabs>
          <w:tab w:val="num" w:pos="709"/>
          <w:tab w:val="num" w:pos="2069"/>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össz óraszám/félév: 42</w:t>
      </w:r>
    </w:p>
    <w:p w:rsidR="007C6539" w:rsidRDefault="007C6539" w:rsidP="00980876">
      <w:pPr>
        <w:widowControl w:val="0"/>
        <w:numPr>
          <w:ilvl w:val="2"/>
          <w:numId w:val="216"/>
        </w:numPr>
        <w:tabs>
          <w:tab w:val="num" w:pos="709"/>
          <w:tab w:val="num" w:pos="1134"/>
        </w:tabs>
        <w:spacing w:before="120" w:after="120" w:line="240" w:lineRule="auto"/>
        <w:ind w:left="993" w:hanging="425"/>
        <w:jc w:val="both"/>
        <w:rPr>
          <w:rFonts w:ascii="Times New Roman" w:eastAsia="Times New Roman" w:hAnsi="Times New Roman" w:cs="Times New Roman"/>
          <w:bCs/>
        </w:rPr>
      </w:pPr>
      <w:r>
        <w:rPr>
          <w:rFonts w:ascii="Times New Roman" w:eastAsia="Times New Roman" w:hAnsi="Times New Roman" w:cs="Times New Roman"/>
          <w:bCs/>
        </w:rPr>
        <w:t>nappali munkarend: (28 EA + 0 SZ + 14 GY)</w:t>
      </w:r>
    </w:p>
    <w:p w:rsidR="007C6539" w:rsidRDefault="007C6539" w:rsidP="00980876">
      <w:pPr>
        <w:widowControl w:val="0"/>
        <w:numPr>
          <w:ilvl w:val="2"/>
          <w:numId w:val="216"/>
        </w:numPr>
        <w:tabs>
          <w:tab w:val="num" w:pos="709"/>
          <w:tab w:val="num" w:pos="1134"/>
        </w:tabs>
        <w:spacing w:before="120" w:after="120" w:line="240" w:lineRule="auto"/>
        <w:ind w:left="993" w:hanging="425"/>
        <w:jc w:val="both"/>
        <w:rPr>
          <w:rFonts w:ascii="Times New Roman" w:eastAsia="Times New Roman" w:hAnsi="Times New Roman" w:cs="Times New Roman"/>
          <w:bCs/>
        </w:rPr>
      </w:pPr>
      <w:r>
        <w:rPr>
          <w:rFonts w:ascii="Times New Roman" w:eastAsia="Times New Roman" w:hAnsi="Times New Roman" w:cs="Times New Roman"/>
          <w:bCs/>
        </w:rPr>
        <w:t>levelező munkarend: -</w:t>
      </w:r>
    </w:p>
    <w:p w:rsidR="007C6539" w:rsidRDefault="007C6539" w:rsidP="00980876">
      <w:pPr>
        <w:widowControl w:val="0"/>
        <w:numPr>
          <w:ilvl w:val="1"/>
          <w:numId w:val="216"/>
        </w:numPr>
        <w:tabs>
          <w:tab w:val="num" w:pos="709"/>
          <w:tab w:val="num" w:pos="2069"/>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heti óraszám - nappali munkarend: 3</w:t>
      </w:r>
    </w:p>
    <w:p w:rsidR="007C6539" w:rsidRDefault="007C6539" w:rsidP="00980876">
      <w:pPr>
        <w:widowControl w:val="0"/>
        <w:numPr>
          <w:ilvl w:val="1"/>
          <w:numId w:val="216"/>
        </w:numPr>
        <w:tabs>
          <w:tab w:val="num" w:pos="709"/>
          <w:tab w:val="num" w:pos="2069"/>
        </w:tabs>
        <w:spacing w:before="120" w:after="120" w:line="240" w:lineRule="auto"/>
        <w:ind w:left="851" w:hanging="425"/>
        <w:jc w:val="both"/>
        <w:rPr>
          <w:rFonts w:ascii="Times New Roman" w:eastAsia="Times New Roman" w:hAnsi="Times New Roman" w:cs="Times New Roman"/>
          <w:bCs/>
        </w:rPr>
      </w:pPr>
      <w:r>
        <w:rPr>
          <w:rFonts w:ascii="Times New Roman" w:hAnsi="Times New Roman" w:cs="Times New Roman"/>
        </w:rPr>
        <w:t>Az ismeret átadásában alkalmazandó további sajátos módok, jellemzők:</w:t>
      </w:r>
      <w:r>
        <w:rPr>
          <w:rFonts w:ascii="Times New Roman" w:hAnsi="Times New Roman" w:cs="Times New Roman"/>
          <w:i/>
        </w:rPr>
        <w:t xml:space="preserve"> –</w:t>
      </w:r>
    </w:p>
    <w:p w:rsidR="007C6539" w:rsidRDefault="007C6539" w:rsidP="00980876">
      <w:pPr>
        <w:widowControl w:val="0"/>
        <w:numPr>
          <w:ilvl w:val="0"/>
          <w:numId w:val="216"/>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 tantárgy szakmai tartalma (magyarul): </w:t>
      </w:r>
      <w:r>
        <w:rPr>
          <w:rFonts w:ascii="Times New Roman" w:eastAsia="Times New Roman" w:hAnsi="Times New Roman" w:cs="Times New Roman"/>
          <w:bCs/>
        </w:rPr>
        <w:t xml:space="preserve">Megismertetni a honvéd tisztjelölteket </w:t>
      </w:r>
      <w:r>
        <w:rPr>
          <w:rFonts w:ascii="Times New Roman" w:eastAsia="Times New Roman" w:hAnsi="Times New Roman" w:cs="Times New Roman"/>
          <w:bCs/>
          <w:lang w:val="x-none"/>
        </w:rPr>
        <w:t>a csapat</w:t>
      </w:r>
      <w:r>
        <w:rPr>
          <w:rFonts w:ascii="Times New Roman" w:eastAsia="Times New Roman" w:hAnsi="Times New Roman" w:cs="Times New Roman"/>
          <w:bCs/>
        </w:rPr>
        <w:t>- és közép</w:t>
      </w:r>
      <w:r>
        <w:rPr>
          <w:rFonts w:ascii="Times New Roman" w:eastAsia="Times New Roman" w:hAnsi="Times New Roman" w:cs="Times New Roman"/>
          <w:bCs/>
          <w:lang w:val="x-none"/>
        </w:rPr>
        <w:t xml:space="preserve">szintű </w:t>
      </w:r>
      <w:r>
        <w:rPr>
          <w:rFonts w:ascii="Times New Roman" w:eastAsia="Times New Roman" w:hAnsi="Times New Roman" w:cs="Times New Roman"/>
          <w:bCs/>
        </w:rPr>
        <w:t>elhelyezési-, humán- és térképészeti szakanyagellátás</w:t>
      </w:r>
      <w:r>
        <w:rPr>
          <w:rFonts w:ascii="Times New Roman" w:eastAsia="Times New Roman" w:hAnsi="Times New Roman" w:cs="Times New Roman"/>
          <w:bCs/>
          <w:lang w:val="x-none"/>
        </w:rPr>
        <w:t xml:space="preserve"> sajátosságaival, az ellátást irányító logisztikai tiszt feladataival</w:t>
      </w:r>
      <w:r>
        <w:rPr>
          <w:rFonts w:ascii="Times New Roman" w:eastAsia="Times New Roman" w:hAnsi="Times New Roman" w:cs="Times New Roman"/>
          <w:bCs/>
        </w:rPr>
        <w:t>, valamint az elhelyezési infrastrukturális biztosítással.</w:t>
      </w:r>
    </w:p>
    <w:p w:rsidR="007C6539" w:rsidRDefault="007C6539" w:rsidP="007C6539">
      <w:pPr>
        <w:widowControl w:val="0"/>
        <w:spacing w:before="120" w:after="120" w:line="240" w:lineRule="auto"/>
        <w:ind w:left="426"/>
        <w:jc w:val="both"/>
        <w:rPr>
          <w:rFonts w:ascii="Times New Roman" w:eastAsia="Times New Roman" w:hAnsi="Times New Roman" w:cs="Times New Roman"/>
          <w:bCs/>
          <w:lang w:val="en-GB"/>
        </w:rPr>
      </w:pPr>
      <w:r>
        <w:rPr>
          <w:rFonts w:ascii="Times New Roman" w:eastAsia="Times New Roman" w:hAnsi="Times New Roman" w:cs="Times New Roman"/>
          <w:b/>
          <w:bCs/>
        </w:rPr>
        <w:t>A tantárgy szakmai tartalma (angolul) (</w:t>
      </w:r>
      <w:r>
        <w:rPr>
          <w:rFonts w:ascii="Times New Roman" w:eastAsia="Times New Roman" w:hAnsi="Times New Roman" w:cs="Times New Roman"/>
          <w:b/>
          <w:bCs/>
          <w:lang w:val="en-US"/>
        </w:rPr>
        <w:t>Course description</w:t>
      </w:r>
      <w:r>
        <w:rPr>
          <w:rFonts w:ascii="Times New Roman" w:eastAsia="Times New Roman" w:hAnsi="Times New Roman" w:cs="Times New Roman"/>
          <w:b/>
          <w:bCs/>
        </w:rPr>
        <w:t>):</w:t>
      </w:r>
      <w:r>
        <w:rPr>
          <w:rFonts w:ascii="Times New Roman" w:eastAsia="Times New Roman" w:hAnsi="Times New Roman" w:cs="Times New Roman"/>
          <w:bCs/>
        </w:rPr>
        <w:t xml:space="preserve"> Military officer cadets are familiarized with the specific characteristics of the provision of accommodation, office supplies and military maps on unit and central levels, the tasks of the logistics officer responsible for it and the infrastructural provision of accommodation facilities.</w:t>
      </w:r>
    </w:p>
    <w:p w:rsidR="007C6539" w:rsidRDefault="007C6539" w:rsidP="00980876">
      <w:pPr>
        <w:pStyle w:val="Listaszerbekezds"/>
        <w:widowControl w:val="0"/>
        <w:numPr>
          <w:ilvl w:val="0"/>
          <w:numId w:val="216"/>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Elérendő kompetenciák (magyarul):</w:t>
      </w:r>
      <w:r>
        <w:rPr>
          <w:rFonts w:ascii="Times New Roman" w:eastAsia="Times New Roman" w:hAnsi="Times New Roman" w:cs="Times New Roman"/>
          <w:bCs/>
        </w:rPr>
        <w:t xml:space="preserve"> </w:t>
      </w:r>
    </w:p>
    <w:p w:rsidR="007C6539" w:rsidRDefault="007C6539" w:rsidP="007C6539">
      <w:pPr>
        <w:widowControl w:val="0"/>
        <w:spacing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Tudása:</w:t>
      </w:r>
    </w:p>
    <w:p w:rsidR="007C6539" w:rsidRDefault="007C6539" w:rsidP="007C6539">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Ismeri az elhelyezési szakterület alapvető szakmai és ellátási feladatait.</w:t>
      </w:r>
    </w:p>
    <w:p w:rsidR="007C6539" w:rsidRDefault="007C6539" w:rsidP="007C6539">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Ismeri a térkép- és humánanyag szakterület alapvető szakmai és ellátási feladatait.</w:t>
      </w:r>
    </w:p>
    <w:p w:rsidR="007C6539" w:rsidRDefault="007C6539" w:rsidP="007C6539">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Képességei:</w:t>
      </w:r>
      <w:r>
        <w:rPr>
          <w:rFonts w:ascii="Times New Roman" w:eastAsia="Times New Roman" w:hAnsi="Times New Roman" w:cs="Times New Roman"/>
          <w:bCs/>
        </w:rPr>
        <w:t xml:space="preserve"> </w:t>
      </w:r>
    </w:p>
    <w:p w:rsidR="007C6539" w:rsidRDefault="007C6539" w:rsidP="007C6539">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Képes alegység szintű ellátási feladatok végrehajtására, vezetésére békében, különleges jogrendi időszakban, többnemzeti és nemzetközi környezetben végrehajtandó béketámogató műveletekben.</w:t>
      </w:r>
    </w:p>
    <w:p w:rsidR="007C6539" w:rsidRDefault="007C6539" w:rsidP="007C6539">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Képes gazdálkodási feladatok alapszintű tervezésére, szervezésére, irányítására és az ebből adódó tevékenységek gazdasági elemzésinek végrehajtására.</w:t>
      </w:r>
    </w:p>
    <w:p w:rsidR="007C6539" w:rsidRDefault="007C6539" w:rsidP="007C6539">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Képes a szakterületek informatikai rendszereinek alkalmazó szintű használatára.</w:t>
      </w:r>
    </w:p>
    <w:p w:rsidR="007C6539" w:rsidRDefault="007C6539" w:rsidP="007C6539">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Attitűdje:</w:t>
      </w:r>
      <w:r>
        <w:rPr>
          <w:rFonts w:ascii="Times New Roman" w:eastAsia="Times New Roman" w:hAnsi="Times New Roman" w:cs="Times New Roman"/>
          <w:bCs/>
        </w:rPr>
        <w:t xml:space="preserve"> </w:t>
      </w:r>
    </w:p>
    <w:p w:rsidR="007C6539" w:rsidRDefault="007C6539" w:rsidP="007C6539">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A szakmai feladatok ellátása során a rendszerszemlélet és jó szervezőkészség jellemzi.</w:t>
      </w:r>
    </w:p>
    <w:p w:rsidR="007C6539" w:rsidRDefault="007C6539" w:rsidP="007C6539">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Nyitott a szakterületek új tudományos eredményei iránt, képes szakterületeken bekövetkező változásokhoz és fejlődéshez jól alkalmazkodni.</w:t>
      </w:r>
    </w:p>
    <w:p w:rsidR="007C6539" w:rsidRDefault="007C6539" w:rsidP="007C6539">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lastRenderedPageBreak/>
        <w:t>-</w:t>
      </w:r>
      <w:r>
        <w:rPr>
          <w:rFonts w:ascii="Times New Roman" w:eastAsia="Times New Roman" w:hAnsi="Times New Roman"/>
          <w:bCs/>
        </w:rPr>
        <w:tab/>
        <w:t>Tevékenységét a hatékonyság központú szemlélet jellemzi.</w:t>
      </w:r>
    </w:p>
    <w:p w:rsidR="007C6539" w:rsidRDefault="007C6539" w:rsidP="007C6539">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Autonómiája és felelőssége:</w:t>
      </w:r>
    </w:p>
    <w:p w:rsidR="007C6539" w:rsidRDefault="007C6539" w:rsidP="007C6539">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Az ellátási folyamatok végrehajtása során önállóan döntéseket hoz, azokat felelősséggel, a jogszabályi keretek figyelembevételével végrehajtja.</w:t>
      </w:r>
    </w:p>
    <w:p w:rsidR="007C6539" w:rsidRDefault="007C6539" w:rsidP="007C6539">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Felelősséget vállal szakbeosztottjaiért, valamint a rábízott szaktechnikai eszközökért és anyagokért.</w:t>
      </w:r>
    </w:p>
    <w:p w:rsidR="007C6539" w:rsidRDefault="007C6539" w:rsidP="007C6539">
      <w:pPr>
        <w:widowControl w:val="0"/>
        <w:spacing w:before="120" w:after="120" w:line="240" w:lineRule="auto"/>
        <w:ind w:left="993" w:hanging="360"/>
        <w:contextualSpacing/>
        <w:jc w:val="both"/>
        <w:rPr>
          <w:rFonts w:ascii="Times New Roman" w:hAnsi="Times New Roman" w:cs="Times New Roman"/>
        </w:rPr>
      </w:pPr>
      <w:r>
        <w:rPr>
          <w:rFonts w:ascii="Times New Roman" w:eastAsia="Times New Roman" w:hAnsi="Times New Roman"/>
          <w:bCs/>
        </w:rPr>
        <w:t>-</w:t>
      </w:r>
      <w:r>
        <w:rPr>
          <w:rFonts w:ascii="Times New Roman" w:eastAsia="Times New Roman" w:hAnsi="Times New Roman"/>
          <w:bCs/>
        </w:rPr>
        <w:tab/>
        <w:t>Felelősséget vállal számvetéseinek pontosságáért</w:t>
      </w:r>
      <w:r>
        <w:rPr>
          <w:rFonts w:ascii="Times New Roman" w:hAnsi="Times New Roman" w:cs="Times New Roman"/>
        </w:rPr>
        <w:t>.</w:t>
      </w:r>
    </w:p>
    <w:p w:rsidR="007C6539" w:rsidRDefault="007C6539" w:rsidP="007C6539">
      <w:pPr>
        <w:widowControl w:val="0"/>
        <w:spacing w:before="120" w:after="0" w:line="240" w:lineRule="auto"/>
        <w:ind w:left="425"/>
        <w:jc w:val="both"/>
        <w:rPr>
          <w:rFonts w:ascii="Times New Roman" w:eastAsia="Times New Roman" w:hAnsi="Times New Roman" w:cs="Times New Roman"/>
          <w:b/>
          <w:bCs/>
          <w:lang w:val="en-US"/>
        </w:rPr>
      </w:pPr>
      <w:r>
        <w:rPr>
          <w:rFonts w:ascii="Times New Roman" w:eastAsia="Times New Roman" w:hAnsi="Times New Roman" w:cs="Times New Roman"/>
          <w:b/>
          <w:bCs/>
        </w:rPr>
        <w:t>Elérendő kompetenciák (angolul) (</w:t>
      </w:r>
      <w:r>
        <w:rPr>
          <w:rFonts w:ascii="Times New Roman" w:eastAsia="Times New Roman" w:hAnsi="Times New Roman" w:cs="Times New Roman"/>
          <w:b/>
          <w:bCs/>
          <w:lang w:val="en-US"/>
        </w:rPr>
        <w:t xml:space="preserve">Competences – English): </w:t>
      </w:r>
    </w:p>
    <w:p w:rsidR="007C6539" w:rsidRDefault="007C6539" w:rsidP="007C6539">
      <w:pPr>
        <w:widowControl w:val="0"/>
        <w:spacing w:before="120" w:after="0" w:line="240" w:lineRule="auto"/>
        <w:ind w:left="425"/>
        <w:jc w:val="both"/>
        <w:rPr>
          <w:rFonts w:ascii="Times New Roman" w:eastAsia="Times New Roman" w:hAnsi="Times New Roman" w:cs="Times New Roman"/>
          <w:lang w:val="en-GB"/>
        </w:rPr>
      </w:pPr>
      <w:r>
        <w:rPr>
          <w:rFonts w:ascii="Times New Roman" w:eastAsia="Times New Roman" w:hAnsi="Times New Roman" w:cs="Times New Roman"/>
          <w:b/>
          <w:lang w:val="en-GB"/>
        </w:rPr>
        <w:t>Knowledge</w:t>
      </w:r>
      <w:r>
        <w:rPr>
          <w:rFonts w:ascii="Times New Roman" w:eastAsia="Times New Roman" w:hAnsi="Times New Roman" w:cs="Times New Roman"/>
          <w:lang w:val="en-GB"/>
        </w:rPr>
        <w:t xml:space="preserve">: </w:t>
      </w:r>
    </w:p>
    <w:p w:rsidR="007C6539" w:rsidRDefault="007C6539" w:rsidP="007C6539">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He/She knows the professional and supply tasks of the provision of accommodation.</w:t>
      </w:r>
    </w:p>
    <w:p w:rsidR="007C6539" w:rsidRDefault="007C6539" w:rsidP="007C6539">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He/She knows the professional and supply tasks of the provision of office supplies and military maps.</w:t>
      </w:r>
    </w:p>
    <w:p w:rsidR="007C6539" w:rsidRDefault="007C6539" w:rsidP="007C6539">
      <w:pPr>
        <w:widowControl w:val="0"/>
        <w:spacing w:before="120" w:after="0" w:line="240" w:lineRule="auto"/>
        <w:ind w:left="425"/>
        <w:jc w:val="both"/>
        <w:rPr>
          <w:rFonts w:ascii="Times New Roman" w:eastAsia="Times New Roman" w:hAnsi="Times New Roman" w:cs="Times New Roman"/>
          <w:lang w:val="en-GB"/>
        </w:rPr>
      </w:pPr>
      <w:r>
        <w:rPr>
          <w:rFonts w:ascii="Times New Roman" w:eastAsia="Times New Roman" w:hAnsi="Times New Roman" w:cs="Times New Roman"/>
          <w:b/>
          <w:lang w:val="en-GB"/>
        </w:rPr>
        <w:t>Capabilities</w:t>
      </w:r>
      <w:r>
        <w:rPr>
          <w:rFonts w:ascii="Times New Roman" w:eastAsia="Times New Roman" w:hAnsi="Times New Roman" w:cs="Times New Roman"/>
          <w:lang w:val="en-GB"/>
        </w:rPr>
        <w:t xml:space="preserve">: </w:t>
      </w:r>
    </w:p>
    <w:p w:rsidR="007C6539" w:rsidRDefault="007C6539" w:rsidP="007C6539">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He/She is able to carry out subunit level supply tasks in peace time, during special legal order, or in multinational peace-support operations.</w:t>
      </w:r>
    </w:p>
    <w:p w:rsidR="007C6539" w:rsidRDefault="007C6539" w:rsidP="007C6539">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He/She is able to plan, organize, manage, and perform basic business task, and their economic analysis.</w:t>
      </w:r>
    </w:p>
    <w:p w:rsidR="007C6539" w:rsidRDefault="007C6539" w:rsidP="007C6539">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He/She is capable of using IT systems in his/her field of expertise at user level.</w:t>
      </w:r>
    </w:p>
    <w:p w:rsidR="007C6539" w:rsidRDefault="007C6539" w:rsidP="007C65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425"/>
        <w:jc w:val="both"/>
        <w:rPr>
          <w:rFonts w:ascii="Times New Roman" w:eastAsia="Times New Roman" w:hAnsi="Times New Roman" w:cs="Times New Roman"/>
          <w:lang w:val="en-GB"/>
        </w:rPr>
      </w:pPr>
      <w:r>
        <w:rPr>
          <w:rFonts w:ascii="Times New Roman" w:eastAsia="Times New Roman" w:hAnsi="Times New Roman" w:cs="Times New Roman"/>
          <w:b/>
          <w:lang w:val="en-GB"/>
        </w:rPr>
        <w:t>Attitude:</w:t>
      </w:r>
      <w:r>
        <w:rPr>
          <w:rFonts w:ascii="Times New Roman" w:eastAsia="Times New Roman" w:hAnsi="Times New Roman" w:cs="Times New Roman"/>
          <w:lang w:val="en-GB"/>
        </w:rPr>
        <w:t xml:space="preserve"> </w:t>
      </w:r>
    </w:p>
    <w:p w:rsidR="007C6539" w:rsidRDefault="007C6539" w:rsidP="007C6539">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His/Her professional approach is characterized by a systemic approach and good organizational skills.</w:t>
      </w:r>
    </w:p>
    <w:p w:rsidR="007C6539" w:rsidRDefault="007C6539" w:rsidP="007C6539">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He/She is open to know and accept professional, technological development and innovation in his/her field, and also to adapt them.</w:t>
      </w:r>
    </w:p>
    <w:p w:rsidR="007C6539" w:rsidRDefault="007C6539" w:rsidP="007C6539">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His/Her working activities are characterized by an efficiency-oriented approach.</w:t>
      </w:r>
    </w:p>
    <w:p w:rsidR="007C6539" w:rsidRDefault="007C6539" w:rsidP="007C6539">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lang w:val="en-GB"/>
        </w:rPr>
        <w:t xml:space="preserve">Autonomy and responsibility: </w:t>
      </w:r>
    </w:p>
    <w:p w:rsidR="007C6539" w:rsidRDefault="007C6539" w:rsidP="007C6539">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He/She is able to make decisions independently in the processes arising in the field of military supply, and to implement them with responsibility and within the legal framework.</w:t>
      </w:r>
    </w:p>
    <w:p w:rsidR="007C6539" w:rsidRDefault="007C6539" w:rsidP="007C6539">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He/She takes responsibility for the professional work of his/her subordinates and or the specialized technical equipment and materials entrusted to him/her.</w:t>
      </w:r>
    </w:p>
    <w:p w:rsidR="007C6539" w:rsidRDefault="007C6539" w:rsidP="007C6539">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He/She takes responsibility for the accuracy of his/her calculations.</w:t>
      </w:r>
    </w:p>
    <w:p w:rsidR="007C6539" w:rsidRPr="007C6539" w:rsidRDefault="007C6539" w:rsidP="00980876">
      <w:pPr>
        <w:widowControl w:val="0"/>
        <w:numPr>
          <w:ilvl w:val="0"/>
          <w:numId w:val="216"/>
        </w:numPr>
        <w:tabs>
          <w:tab w:val="num" w:pos="567"/>
        </w:tabs>
        <w:spacing w:before="120" w:after="120" w:line="240" w:lineRule="auto"/>
        <w:ind w:left="426" w:hanging="142"/>
        <w:jc w:val="both"/>
        <w:rPr>
          <w:rFonts w:ascii="Times New Roman" w:eastAsia="Times New Roman" w:hAnsi="Times New Roman" w:cs="Times New Roman"/>
          <w:bCs/>
        </w:rPr>
      </w:pPr>
      <w:r w:rsidRPr="007C6539">
        <w:rPr>
          <w:rFonts w:ascii="Times New Roman" w:eastAsia="Times New Roman" w:hAnsi="Times New Roman" w:cs="Times New Roman"/>
          <w:b/>
          <w:bCs/>
        </w:rPr>
        <w:t xml:space="preserve">Előtanulmányi követelmények: </w:t>
      </w:r>
      <w:r w:rsidRPr="007C6539">
        <w:rPr>
          <w:rFonts w:ascii="Times New Roman" w:eastAsia="Times New Roman" w:hAnsi="Times New Roman" w:cs="Times New Roman"/>
          <w:bCs/>
        </w:rPr>
        <w:t>Katonai ellátás- és szolgáltatásmenedzsment (HKHPKA106)</w:t>
      </w:r>
    </w:p>
    <w:p w:rsidR="007C6539" w:rsidRDefault="007C6539" w:rsidP="00980876">
      <w:pPr>
        <w:widowControl w:val="0"/>
        <w:numPr>
          <w:ilvl w:val="0"/>
          <w:numId w:val="216"/>
        </w:numPr>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A tantárgy tananyagának leírása, tematika. Description of the subject, curriculum (magyarul, angolul - English):</w:t>
      </w:r>
    </w:p>
    <w:p w:rsidR="007C6539" w:rsidRDefault="007C6539" w:rsidP="00980876">
      <w:pPr>
        <w:widowControl w:val="0"/>
        <w:numPr>
          <w:ilvl w:val="1"/>
          <w:numId w:val="216"/>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lang w:val="en-US"/>
        </w:rPr>
      </w:pPr>
      <w:r>
        <w:rPr>
          <w:rFonts w:ascii="Times New Roman" w:eastAsia="Times New Roman" w:hAnsi="Times New Roman" w:cs="Times New Roman"/>
          <w:bCs/>
        </w:rPr>
        <w:t xml:space="preserve">Elhelyezési szakanyag-gazdálkodás. </w:t>
      </w:r>
      <w:r>
        <w:rPr>
          <w:rFonts w:ascii="Times New Roman" w:eastAsia="Times New Roman" w:hAnsi="Times New Roman" w:cs="Times New Roman"/>
          <w:bCs/>
          <w:i/>
        </w:rPr>
        <w:t>(Provision of Accommodation.)</w:t>
      </w:r>
    </w:p>
    <w:p w:rsidR="007C6539" w:rsidRDefault="007C6539" w:rsidP="00980876">
      <w:pPr>
        <w:widowControl w:val="0"/>
        <w:numPr>
          <w:ilvl w:val="1"/>
          <w:numId w:val="216"/>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 tábori elhelyezés helye, szerepe a Magyar Honvédségben. </w:t>
      </w:r>
      <w:r>
        <w:rPr>
          <w:rFonts w:ascii="Times New Roman" w:eastAsia="Times New Roman" w:hAnsi="Times New Roman" w:cs="Times New Roman"/>
          <w:i/>
          <w:kern w:val="2"/>
        </w:rPr>
        <w:t>(The place of camp accomodation and its role in the Hungarian Defense Forces.)</w:t>
      </w:r>
    </w:p>
    <w:p w:rsidR="007C6539" w:rsidRDefault="007C6539" w:rsidP="00980876">
      <w:pPr>
        <w:widowControl w:val="0"/>
        <w:numPr>
          <w:ilvl w:val="1"/>
          <w:numId w:val="216"/>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lang w:val="en-US"/>
        </w:rPr>
      </w:pPr>
      <w:r>
        <w:rPr>
          <w:rFonts w:ascii="Times New Roman" w:eastAsia="Times New Roman" w:hAnsi="Times New Roman" w:cs="Times New Roman"/>
          <w:bCs/>
        </w:rPr>
        <w:t xml:space="preserve">1. zh. megírása. </w:t>
      </w:r>
      <w:r>
        <w:rPr>
          <w:rFonts w:ascii="Times New Roman" w:eastAsia="Times New Roman" w:hAnsi="Times New Roman" w:cs="Times New Roman"/>
          <w:bCs/>
          <w:i/>
        </w:rPr>
        <w:t>(Written test.)</w:t>
      </w:r>
    </w:p>
    <w:p w:rsidR="007C6539" w:rsidRDefault="007C6539" w:rsidP="00980876">
      <w:pPr>
        <w:widowControl w:val="0"/>
        <w:numPr>
          <w:ilvl w:val="1"/>
          <w:numId w:val="216"/>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 táborok közműellátása és az utak kialakítása. </w:t>
      </w:r>
      <w:r>
        <w:rPr>
          <w:rFonts w:ascii="Times New Roman" w:eastAsia="Times New Roman" w:hAnsi="Times New Roman" w:cs="Times New Roman"/>
          <w:i/>
          <w:kern w:val="2"/>
        </w:rPr>
        <w:t>(Public supply of military camps and construction of roads.)</w:t>
      </w:r>
    </w:p>
    <w:p w:rsidR="007C6539" w:rsidRDefault="007C6539" w:rsidP="00980876">
      <w:pPr>
        <w:widowControl w:val="0"/>
        <w:numPr>
          <w:ilvl w:val="1"/>
          <w:numId w:val="216"/>
        </w:numPr>
        <w:tabs>
          <w:tab w:val="left" w:pos="709"/>
          <w:tab w:val="left" w:pos="993"/>
          <w:tab w:val="num" w:pos="2069"/>
        </w:tabs>
        <w:spacing w:before="120" w:after="120" w:line="256" w:lineRule="auto"/>
        <w:ind w:left="426" w:firstLine="0"/>
        <w:jc w:val="both"/>
        <w:rPr>
          <w:rFonts w:ascii="Times New Roman" w:eastAsia="Times New Roman" w:hAnsi="Times New Roman" w:cs="Times New Roman"/>
          <w:b/>
        </w:rPr>
      </w:pPr>
      <w:r>
        <w:rPr>
          <w:rFonts w:ascii="Times New Roman" w:eastAsia="Times New Roman" w:hAnsi="Times New Roman" w:cs="Times New Roman"/>
        </w:rPr>
        <w:t xml:space="preserve">Az infrastrukturális támogatás rendszere. </w:t>
      </w:r>
      <w:r>
        <w:rPr>
          <w:rFonts w:ascii="Times New Roman" w:eastAsia="Times New Roman" w:hAnsi="Times New Roman" w:cs="Times New Roman"/>
          <w:i/>
        </w:rPr>
        <w:t>(</w:t>
      </w:r>
      <w:r>
        <w:rPr>
          <w:rFonts w:ascii="Times New Roman" w:eastAsia="Times New Roman" w:hAnsi="Times New Roman" w:cs="Times New Roman"/>
          <w:i/>
          <w:lang w:val="en"/>
        </w:rPr>
        <w:t>Infrastructure support system.)</w:t>
      </w:r>
    </w:p>
    <w:p w:rsidR="007C6539" w:rsidRDefault="007C6539" w:rsidP="00980876">
      <w:pPr>
        <w:widowControl w:val="0"/>
        <w:numPr>
          <w:ilvl w:val="1"/>
          <w:numId w:val="216"/>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b/>
          <w:lang w:val="en-US"/>
        </w:rPr>
      </w:pPr>
      <w:r>
        <w:rPr>
          <w:rFonts w:ascii="Times New Roman" w:eastAsia="Times New Roman" w:hAnsi="Times New Roman" w:cs="Times New Roman"/>
        </w:rPr>
        <w:t>2. zh. megírása</w:t>
      </w:r>
      <w:r>
        <w:rPr>
          <w:rFonts w:ascii="Times New Roman" w:eastAsia="Times New Roman" w:hAnsi="Times New Roman" w:cs="Times New Roman"/>
          <w:b/>
          <w:i/>
        </w:rPr>
        <w:t xml:space="preserve">. </w:t>
      </w:r>
      <w:r>
        <w:rPr>
          <w:rFonts w:ascii="Times New Roman" w:eastAsia="Times New Roman" w:hAnsi="Times New Roman" w:cs="Times New Roman"/>
          <w:i/>
        </w:rPr>
        <w:t>(Written test.)</w:t>
      </w:r>
    </w:p>
    <w:p w:rsidR="007C6539" w:rsidRDefault="007C6539" w:rsidP="00980876">
      <w:pPr>
        <w:widowControl w:val="0"/>
        <w:numPr>
          <w:ilvl w:val="1"/>
          <w:numId w:val="216"/>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 humán és térképészeti szakanyagellátás helye és szerepe a Magyar Honvédségben. </w:t>
      </w:r>
      <w:r>
        <w:rPr>
          <w:rFonts w:ascii="Times New Roman" w:eastAsia="Times New Roman" w:hAnsi="Times New Roman" w:cs="Times New Roman"/>
          <w:i/>
          <w:kern w:val="2"/>
        </w:rPr>
        <w:t>(The place and role of human and cartographic material supply in the Hungarian Defense Forces.)</w:t>
      </w:r>
    </w:p>
    <w:p w:rsidR="007C6539" w:rsidRDefault="007C6539" w:rsidP="00980876">
      <w:pPr>
        <w:widowControl w:val="0"/>
        <w:numPr>
          <w:ilvl w:val="1"/>
          <w:numId w:val="216"/>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Az elhelyezési, humán és térképészeti szakanyagok készletgazdálkodása. </w:t>
      </w:r>
      <w:r>
        <w:rPr>
          <w:rFonts w:ascii="Times New Roman" w:eastAsia="Times New Roman" w:hAnsi="Times New Roman" w:cs="Times New Roman"/>
          <w:i/>
          <w:kern w:val="2"/>
        </w:rPr>
        <w:t>(The provision of accommodation, office supplies and military maps.)</w:t>
      </w:r>
    </w:p>
    <w:p w:rsidR="007C6539" w:rsidRDefault="007C6539" w:rsidP="00980876">
      <w:pPr>
        <w:widowControl w:val="0"/>
        <w:numPr>
          <w:ilvl w:val="1"/>
          <w:numId w:val="216"/>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Az elhelyezési, humán és térképészeti szakanyagok beszerzési sajátosságai. </w:t>
      </w:r>
      <w:r>
        <w:rPr>
          <w:rFonts w:ascii="Times New Roman" w:eastAsia="Times New Roman" w:hAnsi="Times New Roman" w:cs="Times New Roman"/>
          <w:i/>
          <w:kern w:val="2"/>
        </w:rPr>
        <w:t>(Peculiarities of purchasing accommodation, office supplies and cartographic materials.)</w:t>
      </w:r>
    </w:p>
    <w:p w:rsidR="007C6539" w:rsidRDefault="007C6539" w:rsidP="00980876">
      <w:pPr>
        <w:widowControl w:val="0"/>
        <w:numPr>
          <w:ilvl w:val="1"/>
          <w:numId w:val="216"/>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Az elhelyezési, humán és térképészeti szakanyagok selejtezésének sajátosságai. </w:t>
      </w:r>
      <w:r>
        <w:rPr>
          <w:rFonts w:ascii="Times New Roman" w:eastAsia="Times New Roman" w:hAnsi="Times New Roman" w:cs="Times New Roman"/>
          <w:i/>
          <w:kern w:val="2"/>
        </w:rPr>
        <w:lastRenderedPageBreak/>
        <w:t>(Peculiarities of scrapping accommodation, office supplies and cartographic materials.)</w:t>
      </w:r>
    </w:p>
    <w:p w:rsidR="007C6539" w:rsidRDefault="007C6539" w:rsidP="00980876">
      <w:pPr>
        <w:widowControl w:val="0"/>
        <w:numPr>
          <w:ilvl w:val="1"/>
          <w:numId w:val="216"/>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lang w:val="en-US"/>
        </w:rPr>
      </w:pPr>
      <w:r>
        <w:rPr>
          <w:rFonts w:ascii="Times New Roman" w:eastAsia="Times New Roman" w:hAnsi="Times New Roman" w:cs="Times New Roman"/>
          <w:bCs/>
        </w:rPr>
        <w:t xml:space="preserve">3. zh. megírása. </w:t>
      </w:r>
      <w:r>
        <w:rPr>
          <w:rFonts w:ascii="Times New Roman" w:eastAsia="Times New Roman" w:hAnsi="Times New Roman" w:cs="Times New Roman"/>
          <w:bCs/>
          <w:i/>
        </w:rPr>
        <w:t>(Written test.)</w:t>
      </w:r>
    </w:p>
    <w:p w:rsidR="007C6539" w:rsidRDefault="007C6539" w:rsidP="00980876">
      <w:pPr>
        <w:widowControl w:val="0"/>
        <w:numPr>
          <w:ilvl w:val="0"/>
          <w:numId w:val="216"/>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 tantárgy meghirdetésének gyakorisága/a tantervben történő félévi elhelyezkedése: </w:t>
      </w:r>
      <w:r>
        <w:rPr>
          <w:rFonts w:ascii="Times New Roman" w:eastAsia="Times New Roman" w:hAnsi="Times New Roman" w:cs="Times New Roman"/>
          <w:bCs/>
        </w:rPr>
        <w:t>Minden őszi szemeszterben / 7. félév</w:t>
      </w:r>
    </w:p>
    <w:p w:rsidR="007C6539" w:rsidRDefault="007C6539" w:rsidP="00980876">
      <w:pPr>
        <w:widowControl w:val="0"/>
        <w:numPr>
          <w:ilvl w:val="0"/>
          <w:numId w:val="216"/>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tanórákon való részvétel követelményei, az elfogadható hiányzások mértéke, a távolmaradás pótlásának lehetősége:</w:t>
      </w:r>
      <w:r>
        <w:rPr>
          <w:rFonts w:ascii="Times New Roman" w:eastAsia="Times New Roman" w:hAnsi="Times New Roman" w:cs="Times New Roman"/>
          <w:bCs/>
        </w:rPr>
        <w:t xml:space="preserve"> A tanórákon való részvétel kötelező.</w:t>
      </w:r>
      <w:r>
        <w:rPr>
          <w:rFonts w:ascii="Times New Roman" w:eastAsia="Times New Roman" w:hAnsi="Times New Roman" w:cs="Times New Roman"/>
          <w:b/>
          <w:bCs/>
        </w:rPr>
        <w:t xml:space="preserve"> </w:t>
      </w:r>
      <w:r>
        <w:rPr>
          <w:rFonts w:ascii="Times New Roman" w:eastAsia="Times New Roman" w:hAnsi="Times New Roman" w:cs="Times New Roman"/>
          <w:bCs/>
        </w:rPr>
        <w:t>A félév elfogadásának feltétele a tanórák minimum 70%-án való részvétel. Ennél magasabb mértékű távolmaradás pótlása az oktató engedélyével történhet. A hallgatónak a kimaradt tananyagot önképzés keretén belül kell elsajátítani. A kimaradt tananyag jobb megértése érdekében az oktatók konzultációs lehetőséget biztosíthatnak.</w:t>
      </w:r>
    </w:p>
    <w:p w:rsidR="007C6539" w:rsidRDefault="007C6539" w:rsidP="00980876">
      <w:pPr>
        <w:widowControl w:val="0"/>
        <w:numPr>
          <w:ilvl w:val="0"/>
          <w:numId w:val="216"/>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rPr>
        <w:t xml:space="preserve">Félévközi feladatok, ismeretek ellenőrzésének rendje: </w:t>
      </w:r>
      <w:r>
        <w:rPr>
          <w:rFonts w:ascii="Times New Roman" w:eastAsia="Times New Roman" w:hAnsi="Times New Roman" w:cs="Times New Roman"/>
        </w:rPr>
        <w:t>A honvéd tisztjelöltek a tanórákon egyéni vagy csoportos házi feladatot kapnak, melynek ellenőrzése a következő tanóra előtt megtörténik, továbbá három zárhelyi dolgozat kerül megírásra a 12. pontban meghatározottak szerint.</w:t>
      </w:r>
    </w:p>
    <w:p w:rsidR="007C6539" w:rsidRDefault="007C6539" w:rsidP="00980876">
      <w:pPr>
        <w:widowControl w:val="0"/>
        <w:numPr>
          <w:ilvl w:val="0"/>
          <w:numId w:val="216"/>
        </w:numPr>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Az értékelés, az aláírás és a kreditek megszerzésének pontos feltételei: </w:t>
      </w:r>
    </w:p>
    <w:p w:rsidR="007C6539" w:rsidRPr="00786ACB" w:rsidRDefault="007C6539" w:rsidP="00980876">
      <w:pPr>
        <w:widowControl w:val="0"/>
        <w:numPr>
          <w:ilvl w:val="1"/>
          <w:numId w:val="216"/>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786ACB">
        <w:rPr>
          <w:rFonts w:ascii="Times New Roman" w:eastAsia="Times New Roman" w:hAnsi="Times New Roman" w:cs="Times New Roman"/>
          <w:b/>
        </w:rPr>
        <w:t>Az aláírás megszerzésének feltételei:</w:t>
      </w:r>
      <w:r w:rsidR="00786ACB">
        <w:rPr>
          <w:rFonts w:ascii="Times New Roman" w:eastAsia="Times New Roman" w:hAnsi="Times New Roman" w:cs="Times New Roman"/>
          <w:b/>
        </w:rPr>
        <w:t xml:space="preserve"> </w:t>
      </w:r>
      <w:r w:rsidRPr="00786ACB">
        <w:rPr>
          <w:rFonts w:ascii="Times New Roman" w:eastAsia="Times New Roman" w:hAnsi="Times New Roman" w:cs="Times New Roman"/>
        </w:rPr>
        <w:t>Az aláírás feltétele a tanórákon történő – 14. pontban meghatározott – részvétel, valamint a zárthelyi dolgozatok sikeres megírása.</w:t>
      </w:r>
    </w:p>
    <w:p w:rsidR="007C6539" w:rsidRPr="00786ACB" w:rsidRDefault="007C6539" w:rsidP="00980876">
      <w:pPr>
        <w:widowControl w:val="0"/>
        <w:numPr>
          <w:ilvl w:val="1"/>
          <w:numId w:val="216"/>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786ACB">
        <w:rPr>
          <w:rFonts w:ascii="Times New Roman" w:eastAsia="Times New Roman" w:hAnsi="Times New Roman" w:cs="Times New Roman"/>
          <w:b/>
        </w:rPr>
        <w:t>Az értékelés:</w:t>
      </w:r>
      <w:r w:rsidR="00786ACB" w:rsidRPr="00786ACB">
        <w:rPr>
          <w:rFonts w:ascii="Times New Roman" w:eastAsia="Times New Roman" w:hAnsi="Times New Roman" w:cs="Times New Roman"/>
          <w:b/>
        </w:rPr>
        <w:t xml:space="preserve"> </w:t>
      </w:r>
      <w:r w:rsidRPr="00786ACB">
        <w:rPr>
          <w:rFonts w:ascii="Times New Roman" w:eastAsia="Times New Roman" w:hAnsi="Times New Roman" w:cs="Times New Roman"/>
        </w:rPr>
        <w:t>Az ötfokozatú évközi jegy a zárthelyi dolgozatok eredménye alapján (egyszerű számtani átlag) kerül kialakításra. A zárthelyi dolgozatok pontszáma a számonkért tananyag mennyiségétől függően eltérő. Minden dolgozatnak külön-külön legalább az elégséges szintet el kell érnie, amely 50% + 1 pont. A dolgozat eredményébe beleszámít a házi feladatok elkészítésének minősége.</w:t>
      </w:r>
    </w:p>
    <w:p w:rsidR="007C6539" w:rsidRPr="00786ACB" w:rsidRDefault="007C6539" w:rsidP="00980876">
      <w:pPr>
        <w:widowControl w:val="0"/>
        <w:numPr>
          <w:ilvl w:val="1"/>
          <w:numId w:val="216"/>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786ACB">
        <w:rPr>
          <w:rFonts w:ascii="Times New Roman" w:eastAsia="Times New Roman" w:hAnsi="Times New Roman" w:cs="Times New Roman"/>
          <w:b/>
        </w:rPr>
        <w:t>A kreditek megszerzésének feltételei:</w:t>
      </w:r>
      <w:r w:rsidRPr="00786ACB">
        <w:rPr>
          <w:rFonts w:ascii="Times New Roman" w:eastAsia="Times New Roman" w:hAnsi="Times New Roman" w:cs="Times New Roman"/>
        </w:rPr>
        <w:t xml:space="preserve"> A kreditek megszerzésének feltétele az aláírás megszerzése és a legalább elégséges évközi jegy.</w:t>
      </w:r>
    </w:p>
    <w:p w:rsidR="007C6539" w:rsidRDefault="007C6539" w:rsidP="00980876">
      <w:pPr>
        <w:widowControl w:val="0"/>
        <w:numPr>
          <w:ilvl w:val="0"/>
          <w:numId w:val="216"/>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Irodalomjegyzék:</w:t>
      </w:r>
    </w:p>
    <w:p w:rsidR="007C6539" w:rsidRDefault="007C6539" w:rsidP="00980876">
      <w:pPr>
        <w:widowControl w:val="0"/>
        <w:numPr>
          <w:ilvl w:val="1"/>
          <w:numId w:val="216"/>
        </w:numPr>
        <w:tabs>
          <w:tab w:val="left" w:pos="567"/>
          <w:tab w:val="left" w:pos="851"/>
          <w:tab w:val="num" w:pos="2069"/>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Kötelező irodalom:</w:t>
      </w:r>
    </w:p>
    <w:p w:rsidR="007C6539" w:rsidRDefault="007C6539" w:rsidP="00980876">
      <w:pPr>
        <w:widowControl w:val="0"/>
        <w:numPr>
          <w:ilvl w:val="0"/>
          <w:numId w:val="217"/>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Magyar Honvédség Összhaderőnemi Logisztikai Támogatás Doktrína, A HVK Logisztikai Csoportfőnökség Kiadványa, Budapest, 2015. (3. kiadás)</w:t>
      </w:r>
    </w:p>
    <w:p w:rsidR="007C6539" w:rsidRDefault="007C6539" w:rsidP="00980876">
      <w:pPr>
        <w:widowControl w:val="0"/>
        <w:numPr>
          <w:ilvl w:val="0"/>
          <w:numId w:val="217"/>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Elhelyezési infrastrukturális biztosítás (MH ÖHP kiadvány, 2015)</w:t>
      </w:r>
    </w:p>
    <w:p w:rsidR="007C6539" w:rsidRDefault="007C6539" w:rsidP="00980876">
      <w:pPr>
        <w:widowControl w:val="0"/>
        <w:numPr>
          <w:ilvl w:val="0"/>
          <w:numId w:val="217"/>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56/2015. (X.21.) HM utasítás a Honvédelmi Minisztérium vagyonkezelésében lévő eszközök selejtezéséről és a selejtezési jogkörök gyakorlásáról</w:t>
      </w:r>
    </w:p>
    <w:p w:rsidR="007C6539" w:rsidRDefault="007C6539" w:rsidP="00980876">
      <w:pPr>
        <w:widowControl w:val="0"/>
        <w:numPr>
          <w:ilvl w:val="0"/>
          <w:numId w:val="217"/>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Htp/10. Hadtáp szabályzat, A Magyar Honvédség Kiadványa, Budapest, 2015.</w:t>
      </w:r>
    </w:p>
    <w:p w:rsidR="007C6539" w:rsidRDefault="007C6539" w:rsidP="00980876">
      <w:pPr>
        <w:widowControl w:val="0"/>
        <w:numPr>
          <w:ilvl w:val="0"/>
          <w:numId w:val="217"/>
        </w:numPr>
        <w:spacing w:after="0" w:line="240" w:lineRule="auto"/>
        <w:jc w:val="both"/>
        <w:rPr>
          <w:rFonts w:ascii="Times New Roman" w:eastAsia="Times New Roman" w:hAnsi="Times New Roman" w:cs="Times New Roman"/>
        </w:rPr>
      </w:pPr>
      <w:r>
        <w:rPr>
          <w:rFonts w:ascii="Times New Roman" w:eastAsia="Times New Roman" w:hAnsi="Times New Roman" w:cs="Times New Roman"/>
          <w:bCs/>
        </w:rPr>
        <w:t>Htp/7. Hadtáp Szabályzat a térképészeti szakanyagellátó szakterület részére, A Magyar Honvédség Kiadványa, Budapest, 2017.</w:t>
      </w:r>
    </w:p>
    <w:p w:rsidR="007C6539" w:rsidRDefault="007C6539" w:rsidP="00980876">
      <w:pPr>
        <w:widowControl w:val="0"/>
        <w:numPr>
          <w:ilvl w:val="0"/>
          <w:numId w:val="217"/>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A kötelező irodalmakban hivatkozott jogszabályok és HM belső szabályzók.</w:t>
      </w:r>
    </w:p>
    <w:p w:rsidR="007C6539" w:rsidRDefault="007C6539" w:rsidP="00980876">
      <w:pPr>
        <w:widowControl w:val="0"/>
        <w:numPr>
          <w:ilvl w:val="1"/>
          <w:numId w:val="216"/>
        </w:numPr>
        <w:tabs>
          <w:tab w:val="num" w:pos="567"/>
        </w:tabs>
        <w:spacing w:before="120" w:after="120" w:line="240" w:lineRule="auto"/>
        <w:ind w:left="993" w:hanging="709"/>
        <w:jc w:val="both"/>
        <w:rPr>
          <w:rFonts w:ascii="Times New Roman" w:eastAsia="Times New Roman" w:hAnsi="Times New Roman" w:cs="Times New Roman"/>
          <w:b/>
          <w:bCs/>
        </w:rPr>
      </w:pPr>
      <w:r>
        <w:rPr>
          <w:rFonts w:ascii="Times New Roman" w:eastAsia="Times New Roman" w:hAnsi="Times New Roman" w:cs="Times New Roman"/>
        </w:rPr>
        <w:t>5/2011. (</w:t>
      </w:r>
      <w:r>
        <w:rPr>
          <w:rFonts w:ascii="Times New Roman" w:eastAsia="Times New Roman" w:hAnsi="Times New Roman" w:cs="Times New Roman"/>
          <w:b/>
          <w:bCs/>
        </w:rPr>
        <w:t>Ajánlott irodalom:</w:t>
      </w:r>
    </w:p>
    <w:p w:rsidR="007C6539" w:rsidRDefault="007C6539" w:rsidP="00980876">
      <w:pPr>
        <w:widowControl w:val="0"/>
        <w:numPr>
          <w:ilvl w:val="0"/>
          <w:numId w:val="218"/>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10/2017. (HK.5.) HVK LOGCSF szakutasítás az „MH Üzemeltetési Norma a Magyar Honvédség szervezetei kiképzési eszközzel és anyaggal történő ellátásához és a technikai eszközök üzemeltetéséhez” című kiadvány kiadásáról</w:t>
      </w:r>
    </w:p>
    <w:p w:rsidR="007C6539" w:rsidRDefault="007C6539" w:rsidP="00980876">
      <w:pPr>
        <w:widowControl w:val="0"/>
        <w:numPr>
          <w:ilvl w:val="0"/>
          <w:numId w:val="218"/>
        </w:numPr>
        <w:spacing w:after="0" w:line="240" w:lineRule="auto"/>
        <w:jc w:val="both"/>
        <w:rPr>
          <w:rFonts w:ascii="Times New Roman" w:eastAsia="Times New Roman" w:hAnsi="Times New Roman" w:cs="Times New Roman"/>
        </w:rPr>
      </w:pPr>
      <w:r w:rsidRPr="007C6539">
        <w:rPr>
          <w:rFonts w:ascii="Times New Roman" w:eastAsia="Times New Roman" w:hAnsi="Times New Roman" w:cs="Times New Roman"/>
        </w:rPr>
        <w:t>2012. évi</w:t>
      </w:r>
      <w:r>
        <w:rPr>
          <w:rFonts w:ascii="Times New Roman" w:eastAsia="Times New Roman" w:hAnsi="Times New Roman" w:cs="Times New Roman"/>
          <w:bCs/>
        </w:rPr>
        <w:t xml:space="preserve"> CCV. törvény a honvédek jogállásáról</w:t>
      </w:r>
    </w:p>
    <w:p w:rsidR="00786ACB" w:rsidRDefault="00786ACB" w:rsidP="007C6539">
      <w:pPr>
        <w:widowControl w:val="0"/>
        <w:spacing w:before="120" w:after="120" w:line="240" w:lineRule="auto"/>
        <w:jc w:val="both"/>
        <w:rPr>
          <w:rFonts w:ascii="Times New Roman" w:eastAsia="Times New Roman" w:hAnsi="Times New Roman" w:cs="Times New Roman"/>
          <w:bCs/>
        </w:rPr>
      </w:pPr>
    </w:p>
    <w:p w:rsidR="007C6539" w:rsidRDefault="007C6539" w:rsidP="007C6539">
      <w:pPr>
        <w:widowControl w:val="0"/>
        <w:spacing w:before="120" w:after="120" w:line="240" w:lineRule="auto"/>
        <w:jc w:val="both"/>
        <w:rPr>
          <w:rFonts w:ascii="Times New Roman" w:eastAsia="Times New Roman" w:hAnsi="Times New Roman" w:cs="Times New Roman"/>
          <w:bCs/>
        </w:rPr>
      </w:pPr>
      <w:r>
        <w:rPr>
          <w:rFonts w:ascii="Times New Roman" w:eastAsia="Times New Roman" w:hAnsi="Times New Roman" w:cs="Times New Roman"/>
          <w:bCs/>
        </w:rPr>
        <w:t>Budapest, 2020. január 18.</w:t>
      </w:r>
    </w:p>
    <w:p w:rsidR="007C6539" w:rsidRDefault="007C6539" w:rsidP="007C6539">
      <w:pPr>
        <w:widowControl w:val="0"/>
        <w:spacing w:after="0" w:line="240" w:lineRule="auto"/>
        <w:jc w:val="right"/>
        <w:rPr>
          <w:rFonts w:ascii="Times New Roman" w:hAnsi="Times New Roman" w:cs="Times New Roman"/>
          <w:b/>
          <w:bCs/>
        </w:rPr>
      </w:pPr>
      <w:r>
        <w:rPr>
          <w:rFonts w:ascii="Times New Roman" w:hAnsi="Times New Roman" w:cs="Times New Roman"/>
          <w:b/>
          <w:bCs/>
        </w:rPr>
        <w:t>Dr. Dénes Kálmán (PhD)</w:t>
      </w:r>
    </w:p>
    <w:p w:rsidR="007C6539" w:rsidRDefault="007C6539" w:rsidP="007C6539">
      <w:pPr>
        <w:widowControl w:val="0"/>
        <w:spacing w:after="0" w:line="240" w:lineRule="auto"/>
        <w:ind w:left="6372"/>
        <w:jc w:val="both"/>
        <w:rPr>
          <w:rFonts w:ascii="Times New Roman" w:eastAsia="Times New Roman" w:hAnsi="Times New Roman" w:cs="Times New Roman"/>
          <w:bCs/>
        </w:rPr>
      </w:pPr>
      <w:r>
        <w:rPr>
          <w:rFonts w:ascii="Times New Roman" w:hAnsi="Times New Roman" w:cs="Times New Roman"/>
          <w:bCs/>
        </w:rPr>
        <w:t xml:space="preserve">            egyetemi docens s.k.</w:t>
      </w:r>
    </w:p>
    <w:p w:rsidR="007C6539" w:rsidRDefault="007C6539">
      <w:pPr>
        <w:spacing w:after="200" w:line="276" w:lineRule="auto"/>
        <w:rPr>
          <w:rFonts w:ascii="Times New Roman" w:hAnsi="Times New Roman" w:cs="Times New Roman"/>
          <w:sz w:val="24"/>
        </w:rPr>
      </w:pPr>
    </w:p>
    <w:p w:rsidR="00786ACB" w:rsidRDefault="00786ACB">
      <w:pPr>
        <w:spacing w:after="200" w:line="276" w:lineRule="auto"/>
        <w:rPr>
          <w:rFonts w:ascii="Times New Roman" w:hAnsi="Times New Roman" w:cs="Times New Roman"/>
          <w:sz w:val="24"/>
        </w:rPr>
      </w:pPr>
    </w:p>
    <w:tbl>
      <w:tblPr>
        <w:tblW w:w="9072" w:type="dxa"/>
        <w:tblInd w:w="113" w:type="dxa"/>
        <w:tblLook w:val="01E0" w:firstRow="1" w:lastRow="1" w:firstColumn="1" w:lastColumn="1" w:noHBand="0" w:noVBand="0"/>
      </w:tblPr>
      <w:tblGrid>
        <w:gridCol w:w="4855"/>
        <w:gridCol w:w="1620"/>
        <w:gridCol w:w="2597"/>
      </w:tblGrid>
      <w:tr w:rsidR="002B3076" w:rsidTr="002B3076">
        <w:tc>
          <w:tcPr>
            <w:tcW w:w="4855" w:type="dxa"/>
            <w:tcBorders>
              <w:top w:val="nil"/>
              <w:left w:val="nil"/>
              <w:bottom w:val="single" w:sz="4" w:space="0" w:color="auto"/>
              <w:right w:val="nil"/>
            </w:tcBorders>
            <w:hideMark/>
          </w:tcPr>
          <w:p w:rsidR="002B3076" w:rsidRDefault="002B3076">
            <w:pPr>
              <w:spacing w:after="0" w:line="240" w:lineRule="auto"/>
              <w:jc w:val="center"/>
              <w:rPr>
                <w:rFonts w:ascii="Times New Roman" w:eastAsia="Times New Roman" w:hAnsi="Times New Roman" w:cs="Times New Roman"/>
                <w:b/>
                <w:smallCaps/>
                <w:lang w:eastAsia="hu-HU"/>
              </w:rPr>
            </w:pPr>
            <w:r>
              <w:rPr>
                <w:rFonts w:ascii="Times New Roman" w:eastAsia="Times New Roman" w:hAnsi="Times New Roman" w:cs="Times New Roman"/>
                <w:b/>
                <w:smallCaps/>
                <w:lang w:eastAsia="hu-HU"/>
              </w:rPr>
              <w:lastRenderedPageBreak/>
              <w:t>Nemzeti Közszolgálati Egyetem</w:t>
            </w:r>
          </w:p>
        </w:tc>
        <w:tc>
          <w:tcPr>
            <w:tcW w:w="1620" w:type="dxa"/>
          </w:tcPr>
          <w:p w:rsidR="002B3076" w:rsidRDefault="002B3076">
            <w:pPr>
              <w:spacing w:after="0" w:line="240" w:lineRule="auto"/>
              <w:jc w:val="both"/>
              <w:rPr>
                <w:rFonts w:ascii="Times New Roman" w:eastAsia="Times New Roman" w:hAnsi="Times New Roman" w:cs="Times New Roman"/>
                <w:lang w:eastAsia="hu-HU"/>
              </w:rPr>
            </w:pPr>
          </w:p>
        </w:tc>
        <w:tc>
          <w:tcPr>
            <w:tcW w:w="2597" w:type="dxa"/>
          </w:tcPr>
          <w:p w:rsidR="002B3076" w:rsidRDefault="002B3076">
            <w:pPr>
              <w:spacing w:after="0" w:line="240" w:lineRule="auto"/>
              <w:jc w:val="right"/>
              <w:rPr>
                <w:rFonts w:ascii="Times New Roman" w:eastAsia="Times New Roman" w:hAnsi="Times New Roman" w:cs="Times New Roman"/>
                <w:lang w:eastAsia="hu-HU"/>
              </w:rPr>
            </w:pPr>
          </w:p>
        </w:tc>
      </w:tr>
      <w:tr w:rsidR="002B3076" w:rsidTr="002B3076">
        <w:tc>
          <w:tcPr>
            <w:tcW w:w="4855" w:type="dxa"/>
            <w:tcBorders>
              <w:top w:val="single" w:sz="4" w:space="0" w:color="auto"/>
              <w:left w:val="nil"/>
              <w:bottom w:val="nil"/>
              <w:right w:val="nil"/>
            </w:tcBorders>
            <w:hideMark/>
          </w:tcPr>
          <w:p w:rsidR="002B3076" w:rsidRDefault="002B3076">
            <w:pPr>
              <w:spacing w:after="0" w:line="240" w:lineRule="auto"/>
              <w:jc w:val="center"/>
              <w:rPr>
                <w:rFonts w:ascii="Times New Roman" w:eastAsia="Times New Roman" w:hAnsi="Times New Roman" w:cs="Times New Roman"/>
                <w:b/>
                <w:lang w:eastAsia="hu-HU"/>
              </w:rPr>
            </w:pPr>
            <w:r>
              <w:rPr>
                <w:rFonts w:ascii="Times New Roman" w:eastAsia="Times New Roman" w:hAnsi="Times New Roman" w:cs="Times New Roman"/>
                <w:b/>
                <w:lang w:eastAsia="hu-HU"/>
              </w:rPr>
              <w:t>Hadtudományi és Honvédtisztképző Kar</w:t>
            </w:r>
          </w:p>
        </w:tc>
        <w:tc>
          <w:tcPr>
            <w:tcW w:w="1620" w:type="dxa"/>
          </w:tcPr>
          <w:p w:rsidR="002B3076" w:rsidRDefault="002B3076">
            <w:pPr>
              <w:spacing w:after="0" w:line="240" w:lineRule="auto"/>
              <w:jc w:val="both"/>
              <w:rPr>
                <w:rFonts w:ascii="Times New Roman" w:eastAsia="Times New Roman" w:hAnsi="Times New Roman" w:cs="Times New Roman"/>
                <w:lang w:eastAsia="hu-HU"/>
              </w:rPr>
            </w:pPr>
          </w:p>
        </w:tc>
        <w:tc>
          <w:tcPr>
            <w:tcW w:w="2597" w:type="dxa"/>
          </w:tcPr>
          <w:p w:rsidR="002B3076" w:rsidRDefault="002B3076">
            <w:pPr>
              <w:spacing w:after="0" w:line="240" w:lineRule="auto"/>
              <w:jc w:val="both"/>
              <w:rPr>
                <w:rFonts w:ascii="Times New Roman" w:eastAsia="Times New Roman" w:hAnsi="Times New Roman" w:cs="Times New Roman"/>
                <w:lang w:eastAsia="hu-HU"/>
              </w:rPr>
            </w:pPr>
          </w:p>
        </w:tc>
      </w:tr>
    </w:tbl>
    <w:p w:rsidR="002B3076" w:rsidRDefault="002B3076" w:rsidP="002B3076">
      <w:pPr>
        <w:widowControl w:val="0"/>
        <w:spacing w:before="120" w:after="120" w:line="240" w:lineRule="auto"/>
        <w:ind w:left="426" w:hanging="142"/>
        <w:jc w:val="center"/>
        <w:rPr>
          <w:rFonts w:ascii="Times New Roman" w:eastAsia="Times New Roman" w:hAnsi="Times New Roman" w:cs="Times New Roman"/>
          <w:b/>
          <w:bCs/>
        </w:rPr>
      </w:pPr>
    </w:p>
    <w:p w:rsidR="002B3076" w:rsidRDefault="002B3076" w:rsidP="002B3076">
      <w:pPr>
        <w:widowControl w:val="0"/>
        <w:spacing w:before="120" w:after="120" w:line="240" w:lineRule="auto"/>
        <w:ind w:left="426" w:hanging="142"/>
        <w:jc w:val="center"/>
        <w:rPr>
          <w:rFonts w:ascii="Times New Roman" w:eastAsia="Times New Roman" w:hAnsi="Times New Roman" w:cs="Times New Roman"/>
          <w:b/>
          <w:bCs/>
        </w:rPr>
      </w:pPr>
      <w:r>
        <w:rPr>
          <w:rFonts w:ascii="Times New Roman" w:eastAsia="Times New Roman" w:hAnsi="Times New Roman" w:cs="Times New Roman"/>
          <w:b/>
          <w:bCs/>
        </w:rPr>
        <w:t>TANTÁRGYI PROGRAM</w:t>
      </w:r>
    </w:p>
    <w:p w:rsidR="002B3076" w:rsidRDefault="002B3076" w:rsidP="00980876">
      <w:pPr>
        <w:widowControl w:val="0"/>
        <w:numPr>
          <w:ilvl w:val="0"/>
          <w:numId w:val="219"/>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 tantárgy kódja: </w:t>
      </w:r>
      <w:r>
        <w:rPr>
          <w:rFonts w:ascii="Times New Roman" w:hAnsi="Times New Roman" w:cs="Times New Roman"/>
          <w:bCs/>
        </w:rPr>
        <w:t>HKHPKA112</w:t>
      </w:r>
    </w:p>
    <w:p w:rsidR="002B3076" w:rsidRDefault="002B3076" w:rsidP="00980876">
      <w:pPr>
        <w:widowControl w:val="0"/>
        <w:numPr>
          <w:ilvl w:val="0"/>
          <w:numId w:val="219"/>
        </w:numPr>
        <w:spacing w:before="120" w:after="120" w:line="240" w:lineRule="auto"/>
        <w:ind w:left="426" w:hanging="142"/>
        <w:jc w:val="both"/>
        <w:rPr>
          <w:rFonts w:ascii="Times New Roman" w:eastAsia="Times New Roman" w:hAnsi="Times New Roman" w:cs="Times New Roman"/>
          <w:b/>
          <w:bCs/>
          <w:lang w:val="en-GB"/>
        </w:rPr>
      </w:pPr>
      <w:r>
        <w:rPr>
          <w:rFonts w:ascii="Times New Roman" w:eastAsia="Times New Roman" w:hAnsi="Times New Roman" w:cs="Times New Roman"/>
          <w:b/>
          <w:bCs/>
        </w:rPr>
        <w:t>A tantárgy megnevezése (magyarul):</w:t>
      </w:r>
      <w:r>
        <w:rPr>
          <w:rFonts w:ascii="Times New Roman" w:eastAsia="Times New Roman" w:hAnsi="Times New Roman" w:cs="Times New Roman"/>
          <w:bCs/>
        </w:rPr>
        <w:t xml:space="preserve"> Üzemanyag ellátás</w:t>
      </w:r>
    </w:p>
    <w:p w:rsidR="002B3076" w:rsidRDefault="002B3076" w:rsidP="00980876">
      <w:pPr>
        <w:widowControl w:val="0"/>
        <w:numPr>
          <w:ilvl w:val="0"/>
          <w:numId w:val="219"/>
        </w:numPr>
        <w:spacing w:before="120" w:after="120" w:line="240" w:lineRule="auto"/>
        <w:ind w:left="426" w:hanging="142"/>
        <w:jc w:val="both"/>
        <w:rPr>
          <w:rFonts w:ascii="Times New Roman" w:eastAsia="Times New Roman" w:hAnsi="Times New Roman" w:cs="Times New Roman"/>
          <w:bCs/>
          <w:lang w:val="en-GB"/>
        </w:rPr>
      </w:pPr>
      <w:r>
        <w:rPr>
          <w:rFonts w:ascii="Times New Roman" w:eastAsia="Times New Roman" w:hAnsi="Times New Roman" w:cs="Times New Roman"/>
          <w:b/>
          <w:bCs/>
        </w:rPr>
        <w:t>A tantárgy megnevezése (angolul):</w:t>
      </w:r>
      <w:r>
        <w:rPr>
          <w:rFonts w:ascii="Times New Roman" w:eastAsia="Times New Roman" w:hAnsi="Times New Roman" w:cs="Times New Roman"/>
          <w:bCs/>
          <w:sz w:val="24"/>
          <w:szCs w:val="24"/>
          <w:lang w:eastAsia="x-none"/>
        </w:rPr>
        <w:t xml:space="preserve"> Fuel Supply</w:t>
      </w:r>
      <w:r>
        <w:rPr>
          <w:rFonts w:ascii="Times New Roman" w:eastAsia="Times New Roman" w:hAnsi="Times New Roman" w:cs="Times New Roman"/>
          <w:b/>
          <w:bCs/>
        </w:rPr>
        <w:t xml:space="preserve"> </w:t>
      </w:r>
    </w:p>
    <w:p w:rsidR="002B3076" w:rsidRDefault="002B3076" w:rsidP="00980876">
      <w:pPr>
        <w:widowControl w:val="0"/>
        <w:numPr>
          <w:ilvl w:val="0"/>
          <w:numId w:val="219"/>
        </w:numPr>
        <w:tabs>
          <w:tab w:val="num" w:pos="567"/>
        </w:tabs>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Kreditérték és képzési karakter: </w:t>
      </w:r>
    </w:p>
    <w:p w:rsidR="002B3076" w:rsidRDefault="002B3076" w:rsidP="00980876">
      <w:pPr>
        <w:pStyle w:val="Listaszerbekezds"/>
        <w:widowControl w:val="0"/>
        <w:numPr>
          <w:ilvl w:val="1"/>
          <w:numId w:val="219"/>
        </w:numPr>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5 kredit</w:t>
      </w:r>
    </w:p>
    <w:p w:rsidR="002B3076" w:rsidRDefault="002B3076" w:rsidP="00980876">
      <w:pPr>
        <w:pStyle w:val="Listaszerbekezds"/>
        <w:widowControl w:val="0"/>
        <w:numPr>
          <w:ilvl w:val="1"/>
          <w:numId w:val="219"/>
        </w:numPr>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a tantárgy elméleti vagy gyakorlati jellegének mértéke: 40</w:t>
      </w:r>
      <w:r>
        <w:rPr>
          <w:rFonts w:ascii="Times New Roman" w:eastAsia="Times New Roman" w:hAnsi="Times New Roman" w:cs="Times New Roman"/>
          <w:b/>
          <w:bCs/>
        </w:rPr>
        <w:t xml:space="preserve"> </w:t>
      </w:r>
      <w:r>
        <w:rPr>
          <w:rFonts w:ascii="Times New Roman" w:eastAsia="Times New Roman" w:hAnsi="Times New Roman" w:cs="Times New Roman"/>
          <w:bCs/>
        </w:rPr>
        <w:t>% elmélet, 60 % gyakorlat</w:t>
      </w:r>
    </w:p>
    <w:p w:rsidR="002B3076" w:rsidRDefault="002B3076" w:rsidP="00980876">
      <w:pPr>
        <w:widowControl w:val="0"/>
        <w:numPr>
          <w:ilvl w:val="0"/>
          <w:numId w:val="219"/>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szak(ok), szakirányok/specializációk megnevezése (ahol oktatják):</w:t>
      </w:r>
      <w:r>
        <w:rPr>
          <w:rFonts w:ascii="Times New Roman" w:eastAsia="Times New Roman" w:hAnsi="Times New Roman" w:cs="Times New Roman"/>
          <w:bCs/>
        </w:rPr>
        <w:t xml:space="preserve"> </w:t>
      </w:r>
      <w:r>
        <w:rPr>
          <w:rFonts w:ascii="Times New Roman" w:hAnsi="Times New Roman" w:cs="Times New Roman"/>
          <w:bCs/>
        </w:rPr>
        <w:t>Katonai logisztika alapképzési (</w:t>
      </w:r>
      <w:r w:rsidR="00137B8A">
        <w:rPr>
          <w:rFonts w:ascii="Times New Roman" w:hAnsi="Times New Roman" w:cs="Times New Roman"/>
          <w:bCs/>
        </w:rPr>
        <w:t>BSc</w:t>
      </w:r>
      <w:r>
        <w:rPr>
          <w:rFonts w:ascii="Times New Roman" w:hAnsi="Times New Roman" w:cs="Times New Roman"/>
          <w:bCs/>
        </w:rPr>
        <w:t>) szak</w:t>
      </w:r>
    </w:p>
    <w:p w:rsidR="002B3076" w:rsidRDefault="002B3076" w:rsidP="00980876">
      <w:pPr>
        <w:widowControl w:val="0"/>
        <w:numPr>
          <w:ilvl w:val="0"/>
          <w:numId w:val="219"/>
        </w:numPr>
        <w:tabs>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Az oktatásért felelős oktatási szervezeti egység megnevezése: </w:t>
      </w:r>
      <w:r>
        <w:rPr>
          <w:rFonts w:ascii="Times New Roman" w:hAnsi="Times New Roman" w:cs="Times New Roman"/>
          <w:bCs/>
        </w:rPr>
        <w:t>NKE HHK Hadtáp, Pénzügyi és Katonai Közlekedési Tanszék</w:t>
      </w:r>
    </w:p>
    <w:p w:rsidR="002B3076" w:rsidRDefault="002B3076" w:rsidP="00980876">
      <w:pPr>
        <w:widowControl w:val="0"/>
        <w:numPr>
          <w:ilvl w:val="0"/>
          <w:numId w:val="219"/>
        </w:numPr>
        <w:tabs>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tantárgyfelelős oktató neve, beosztása, tudományos fokozata:</w:t>
      </w:r>
      <w:r>
        <w:rPr>
          <w:rFonts w:ascii="Times New Roman" w:eastAsia="Times New Roman" w:hAnsi="Times New Roman" w:cs="Times New Roman"/>
          <w:bCs/>
        </w:rPr>
        <w:t xml:space="preserve"> </w:t>
      </w:r>
      <w:r>
        <w:rPr>
          <w:rFonts w:ascii="Times New Roman" w:hAnsi="Times New Roman" w:cs="Times New Roman"/>
          <w:bCs/>
        </w:rPr>
        <w:t>Dr. Venekei József Péter, egyetemi adjunktus, (PhD)</w:t>
      </w:r>
    </w:p>
    <w:p w:rsidR="002B3076" w:rsidRDefault="002B3076" w:rsidP="00980876">
      <w:pPr>
        <w:widowControl w:val="0"/>
        <w:numPr>
          <w:ilvl w:val="0"/>
          <w:numId w:val="219"/>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tanórák száma és típusa</w:t>
      </w:r>
    </w:p>
    <w:p w:rsidR="002B3076" w:rsidRDefault="002B3076" w:rsidP="00980876">
      <w:pPr>
        <w:widowControl w:val="0"/>
        <w:numPr>
          <w:ilvl w:val="1"/>
          <w:numId w:val="219"/>
        </w:numPr>
        <w:tabs>
          <w:tab w:val="num" w:pos="709"/>
          <w:tab w:val="num" w:pos="2069"/>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össz óraszám/félév: 70</w:t>
      </w:r>
    </w:p>
    <w:p w:rsidR="002B3076" w:rsidRDefault="002B3076" w:rsidP="00980876">
      <w:pPr>
        <w:widowControl w:val="0"/>
        <w:numPr>
          <w:ilvl w:val="2"/>
          <w:numId w:val="219"/>
        </w:numPr>
        <w:tabs>
          <w:tab w:val="num" w:pos="709"/>
          <w:tab w:val="num" w:pos="1134"/>
        </w:tabs>
        <w:spacing w:before="120" w:after="120" w:line="240" w:lineRule="auto"/>
        <w:ind w:left="993" w:hanging="425"/>
        <w:jc w:val="both"/>
        <w:rPr>
          <w:rFonts w:ascii="Times New Roman" w:eastAsia="Times New Roman" w:hAnsi="Times New Roman" w:cs="Times New Roman"/>
          <w:bCs/>
        </w:rPr>
      </w:pPr>
      <w:r>
        <w:rPr>
          <w:rFonts w:ascii="Times New Roman" w:eastAsia="Times New Roman" w:hAnsi="Times New Roman" w:cs="Times New Roman"/>
          <w:bCs/>
        </w:rPr>
        <w:t>nappali munkarend: 70 (28 EA + 0 SZ + 42 GY)</w:t>
      </w:r>
    </w:p>
    <w:p w:rsidR="002B3076" w:rsidRDefault="002B3076" w:rsidP="00980876">
      <w:pPr>
        <w:widowControl w:val="0"/>
        <w:numPr>
          <w:ilvl w:val="2"/>
          <w:numId w:val="219"/>
        </w:numPr>
        <w:tabs>
          <w:tab w:val="num" w:pos="709"/>
          <w:tab w:val="num" w:pos="1134"/>
        </w:tabs>
        <w:spacing w:before="120" w:after="120" w:line="240" w:lineRule="auto"/>
        <w:ind w:left="993" w:hanging="425"/>
        <w:jc w:val="both"/>
        <w:rPr>
          <w:rFonts w:ascii="Times New Roman" w:eastAsia="Times New Roman" w:hAnsi="Times New Roman" w:cs="Times New Roman"/>
          <w:bCs/>
        </w:rPr>
      </w:pPr>
      <w:r>
        <w:rPr>
          <w:rFonts w:ascii="Times New Roman" w:eastAsia="Times New Roman" w:hAnsi="Times New Roman" w:cs="Times New Roman"/>
          <w:bCs/>
        </w:rPr>
        <w:t>levelező munkarend: -</w:t>
      </w:r>
    </w:p>
    <w:p w:rsidR="002B3076" w:rsidRDefault="002B3076" w:rsidP="00980876">
      <w:pPr>
        <w:widowControl w:val="0"/>
        <w:numPr>
          <w:ilvl w:val="1"/>
          <w:numId w:val="219"/>
        </w:numPr>
        <w:tabs>
          <w:tab w:val="num" w:pos="709"/>
          <w:tab w:val="num" w:pos="2069"/>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heti óraszám - nappali munkarend: 5</w:t>
      </w:r>
      <w:r w:rsidR="00233B67">
        <w:rPr>
          <w:rFonts w:ascii="Times New Roman" w:eastAsia="Times New Roman" w:hAnsi="Times New Roman" w:cs="Times New Roman"/>
          <w:bCs/>
        </w:rPr>
        <w:t xml:space="preserve"> (2+3)</w:t>
      </w:r>
    </w:p>
    <w:p w:rsidR="002B3076" w:rsidRDefault="002B3076" w:rsidP="00980876">
      <w:pPr>
        <w:widowControl w:val="0"/>
        <w:numPr>
          <w:ilvl w:val="1"/>
          <w:numId w:val="219"/>
        </w:numPr>
        <w:tabs>
          <w:tab w:val="num" w:pos="709"/>
          <w:tab w:val="num" w:pos="2069"/>
        </w:tabs>
        <w:spacing w:before="120" w:after="120" w:line="240" w:lineRule="auto"/>
        <w:ind w:left="851" w:hanging="425"/>
        <w:jc w:val="both"/>
        <w:rPr>
          <w:rFonts w:ascii="Times New Roman" w:eastAsia="Times New Roman" w:hAnsi="Times New Roman" w:cs="Times New Roman"/>
          <w:bCs/>
        </w:rPr>
      </w:pPr>
      <w:r>
        <w:rPr>
          <w:rFonts w:ascii="Times New Roman" w:hAnsi="Times New Roman" w:cs="Times New Roman"/>
        </w:rPr>
        <w:t>Az ismeret átadásában alkalmazandó további sajátos módok, jellemzők:</w:t>
      </w:r>
      <w:r>
        <w:rPr>
          <w:rFonts w:ascii="Times New Roman" w:hAnsi="Times New Roman" w:cs="Times New Roman"/>
          <w:i/>
        </w:rPr>
        <w:t xml:space="preserve"> –</w:t>
      </w:r>
    </w:p>
    <w:p w:rsidR="002B3076" w:rsidRDefault="002B3076" w:rsidP="00980876">
      <w:pPr>
        <w:widowControl w:val="0"/>
        <w:numPr>
          <w:ilvl w:val="0"/>
          <w:numId w:val="219"/>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 tantárgy szakmai tartalma (magyarul): </w:t>
      </w:r>
      <w:r>
        <w:rPr>
          <w:rFonts w:ascii="Times New Roman" w:eastAsia="Times New Roman" w:hAnsi="Times New Roman" w:cs="Times New Roman"/>
          <w:bCs/>
        </w:rPr>
        <w:t>Az üzemanyag szolgálat felső,- közép- és csapatszintű szervezeteinek felépítése, feladatrendszere. Üzemanyag-raktárak laktanyai és tábori elhelyezésben. Az üzemanyagok és üzemanyag-technikai eszközök tárolása. Az üzemanyagok szállítása, ADR előírások. A éves hajtóanyag fogyasztási keretek tervezése, jóváhagyása, nyilvántartási szabályai. A szükségleti számvetés. A hajtó- kenő- és karbantartó anyagok, valamint az üzemanyag-szaktechnikai eszközök beszerzése. Üzemanyag- és üzemanyag-technikai eszköz készlet modellek. A laktanyai üzemanyag-ellátás megszervezése és végrehajtása, okmányai. Üzemanyag ellátás vezénylések, gyakorlatok alkalmával. A szolgálat leltározásának specifikus feladatai. A szolgálat belső ellenőrzéseinek megszervezése és végrehajtása. Az üzemanyag szolgálat szakbeosztásainak átadás-átvétele. Az üzemanyag szolgálat KFR feladatai. Műveletek üzemanyag számvetése.</w:t>
      </w:r>
    </w:p>
    <w:p w:rsidR="002B3076" w:rsidRDefault="002B3076" w:rsidP="002B3076">
      <w:pPr>
        <w:widowControl w:val="0"/>
        <w:spacing w:before="120" w:after="120" w:line="240" w:lineRule="auto"/>
        <w:ind w:left="426"/>
        <w:jc w:val="both"/>
        <w:rPr>
          <w:rFonts w:ascii="Times New Roman" w:eastAsia="Times New Roman" w:hAnsi="Times New Roman" w:cs="Times New Roman"/>
          <w:b/>
          <w:bCs/>
        </w:rPr>
      </w:pPr>
      <w:r>
        <w:rPr>
          <w:rFonts w:ascii="Times New Roman" w:eastAsia="Times New Roman" w:hAnsi="Times New Roman" w:cs="Times New Roman"/>
          <w:b/>
          <w:bCs/>
        </w:rPr>
        <w:t xml:space="preserve">A tantárgy szakmai tartalma (angolul) (Course description): </w:t>
      </w:r>
      <w:r>
        <w:rPr>
          <w:rFonts w:ascii="Times New Roman" w:eastAsia="Times New Roman" w:hAnsi="Times New Roman" w:cs="Times New Roman"/>
          <w:bCs/>
        </w:rPr>
        <w:t>Structure and tasks of tactical, operational and strategic level fuel service organizations. Storage of fuel, storage operations. Fuel transportation obeying ADR regulations. Planning, approval and register of the yearly Approved Quantity of Fuel used by the military organizations. Calculation for sustainment with fuel. Procurement of petroleum products, lubricants and techinical equipment of the Army Fuel Service. Modelling of fuel stocks. Planning of supply with fuel in barracks environment and its documentation. Ways of supply outside the Barracks. Specific tasks of stock taking (Inventory). Organization and implementation of internal controls. Handover/Takeover (HOTO) tasks of assignments. Calculation of the needed amount of fuel for operational needs.</w:t>
      </w:r>
    </w:p>
    <w:p w:rsidR="002B3076" w:rsidRDefault="002B3076" w:rsidP="00980876">
      <w:pPr>
        <w:widowControl w:val="0"/>
        <w:numPr>
          <w:ilvl w:val="0"/>
          <w:numId w:val="219"/>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Elérendő kompetenciák (magyarul):</w:t>
      </w:r>
    </w:p>
    <w:p w:rsidR="002B3076" w:rsidRDefault="002B3076" w:rsidP="002B3076">
      <w:pPr>
        <w:widowControl w:val="0"/>
        <w:spacing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Tudása:</w:t>
      </w:r>
    </w:p>
    <w:p w:rsidR="002B3076" w:rsidRDefault="002B3076" w:rsidP="002B3076">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 xml:space="preserve">Ismeri a hadtáp szakanyagok készletezésének, tárolásának, nyilvántartásának és </w:t>
      </w:r>
      <w:r>
        <w:rPr>
          <w:rFonts w:ascii="Times New Roman" w:eastAsia="Times New Roman" w:hAnsi="Times New Roman"/>
          <w:bCs/>
        </w:rPr>
        <w:lastRenderedPageBreak/>
        <w:t>leltározásának, valamint ezen folyamatok ellenőrzésének feladatait és kötelezettségeit.</w:t>
      </w:r>
    </w:p>
    <w:p w:rsidR="002B3076" w:rsidRDefault="002B3076" w:rsidP="002B3076">
      <w:pPr>
        <w:widowControl w:val="0"/>
        <w:spacing w:before="120" w:after="120" w:line="240" w:lineRule="auto"/>
        <w:ind w:left="993" w:hanging="360"/>
        <w:contextualSpacing/>
        <w:jc w:val="both"/>
        <w:rPr>
          <w:rFonts w:ascii="Times New Roman" w:hAnsi="Times New Roman" w:cs="Times New Roman"/>
        </w:rPr>
      </w:pPr>
      <w:r>
        <w:rPr>
          <w:rFonts w:ascii="Times New Roman" w:eastAsia="Times New Roman" w:hAnsi="Times New Roman"/>
          <w:bCs/>
        </w:rPr>
        <w:t>-</w:t>
      </w:r>
      <w:r>
        <w:rPr>
          <w:rFonts w:ascii="Times New Roman" w:eastAsia="Times New Roman" w:hAnsi="Times New Roman"/>
          <w:bCs/>
        </w:rPr>
        <w:tab/>
        <w:t>Mélyrehatóan ismeri az üzemanyag szakterület szakmai feladatait, a Magyar Honvédség üzemanyag ellátási rendszerének felépítését</w:t>
      </w:r>
      <w:r>
        <w:rPr>
          <w:rFonts w:ascii="Times New Roman" w:hAnsi="Times New Roman" w:cs="Times New Roman"/>
        </w:rPr>
        <w:t>.</w:t>
      </w:r>
    </w:p>
    <w:p w:rsidR="002B3076" w:rsidRDefault="002B3076" w:rsidP="00056F25">
      <w:pPr>
        <w:widowControl w:val="0"/>
        <w:spacing w:before="240" w:after="0" w:line="240" w:lineRule="auto"/>
        <w:ind w:left="425"/>
        <w:jc w:val="both"/>
        <w:rPr>
          <w:rFonts w:ascii="Times New Roman" w:eastAsia="Times New Roman" w:hAnsi="Times New Roman" w:cs="Times New Roman"/>
          <w:b/>
          <w:bCs/>
        </w:rPr>
      </w:pPr>
      <w:r>
        <w:rPr>
          <w:rFonts w:ascii="Times New Roman" w:eastAsia="Times New Roman" w:hAnsi="Times New Roman" w:cs="Times New Roman"/>
          <w:b/>
          <w:bCs/>
        </w:rPr>
        <w:t>Képességei:</w:t>
      </w:r>
    </w:p>
    <w:p w:rsidR="002B3076" w:rsidRDefault="002B3076" w:rsidP="002B3076">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Képes alegység szintű ellátási feladatok végrehajtására, vezetésére békében, különleges jogrendi időszakban, többnemzeti és nemzetközi környezetben végrehajtandó béketámogató műveletekben.</w:t>
      </w:r>
    </w:p>
    <w:p w:rsidR="002B3076" w:rsidRDefault="002B3076" w:rsidP="002B3076">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Képes a hadtáp szakterület informatikai rendszereinek alkalmazó szintű használatára.</w:t>
      </w:r>
    </w:p>
    <w:p w:rsidR="002B3076" w:rsidRDefault="002B3076" w:rsidP="002B3076">
      <w:pPr>
        <w:widowControl w:val="0"/>
        <w:spacing w:before="120" w:after="120" w:line="240" w:lineRule="auto"/>
        <w:ind w:left="993" w:hanging="360"/>
        <w:contextualSpacing/>
        <w:jc w:val="both"/>
        <w:rPr>
          <w:rFonts w:ascii="Times New Roman" w:eastAsia="Times New Roman" w:hAnsi="Times New Roman" w:cs="Times New Roman"/>
          <w:bCs/>
        </w:rPr>
      </w:pPr>
      <w:r>
        <w:rPr>
          <w:rFonts w:ascii="Times New Roman" w:eastAsia="Times New Roman" w:hAnsi="Times New Roman"/>
          <w:bCs/>
        </w:rPr>
        <w:t>-</w:t>
      </w:r>
      <w:r>
        <w:rPr>
          <w:rFonts w:ascii="Times New Roman" w:eastAsia="Times New Roman" w:hAnsi="Times New Roman"/>
          <w:bCs/>
        </w:rPr>
        <w:tab/>
        <w:t>Képes gazdálkodási feladatok alapszintű tervezésére, szervezésére, irányítására és az ebből adódó tevékenységek gazdasági elemzésinek végrehajtására.</w:t>
      </w:r>
    </w:p>
    <w:p w:rsidR="002B3076" w:rsidRPr="00056F25" w:rsidRDefault="002B3076" w:rsidP="00056F25">
      <w:pPr>
        <w:widowControl w:val="0"/>
        <w:spacing w:before="240" w:after="0" w:line="240" w:lineRule="auto"/>
        <w:ind w:left="425"/>
        <w:jc w:val="both"/>
        <w:rPr>
          <w:rFonts w:ascii="Times New Roman" w:eastAsia="Times New Roman" w:hAnsi="Times New Roman" w:cs="Times New Roman"/>
          <w:b/>
          <w:bCs/>
        </w:rPr>
      </w:pPr>
      <w:r>
        <w:rPr>
          <w:rFonts w:ascii="Times New Roman" w:eastAsia="Times New Roman" w:hAnsi="Times New Roman" w:cs="Times New Roman"/>
          <w:b/>
          <w:bCs/>
        </w:rPr>
        <w:t>Attitűdje:</w:t>
      </w:r>
      <w:r w:rsidRPr="00056F25">
        <w:rPr>
          <w:rFonts w:ascii="Times New Roman" w:eastAsia="Times New Roman" w:hAnsi="Times New Roman" w:cs="Times New Roman"/>
          <w:b/>
          <w:bCs/>
        </w:rPr>
        <w:t xml:space="preserve"> </w:t>
      </w:r>
    </w:p>
    <w:p w:rsidR="002B3076" w:rsidRDefault="002B3076" w:rsidP="002B3076">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A hadtáp szakmai feladatok ellátása során a rendszerszemlélet és jó szervezőkészség jellemzi.</w:t>
      </w:r>
    </w:p>
    <w:p w:rsidR="002B3076" w:rsidRDefault="002B3076" w:rsidP="002B3076">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Nyitott a hadtáp szakterület új tudományos eredményei iránt, képes a hadtáp szakterületen bekövetkező változásokhoz és fejlődéshez jól alkalmazkodni.</w:t>
      </w:r>
    </w:p>
    <w:p w:rsidR="002B3076" w:rsidRDefault="002B3076" w:rsidP="002B3076">
      <w:pPr>
        <w:widowControl w:val="0"/>
        <w:spacing w:before="24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Autonómiája és felelőssége:</w:t>
      </w:r>
    </w:p>
    <w:p w:rsidR="002B3076" w:rsidRDefault="002B3076" w:rsidP="002B3076">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Az ellátási folyamatok végrehajtása során önállóan döntéseket hoz, azokat felelősséggel, a jogszabályi keretek figyelembevételével végrehajtja.</w:t>
      </w:r>
    </w:p>
    <w:p w:rsidR="002B3076" w:rsidRDefault="002B3076" w:rsidP="002B3076">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Felelősséget vállal szakbeosztottjaiért, valamint a rábízott hadtáp szaktechnikai eszközökért és anyagokért.</w:t>
      </w:r>
    </w:p>
    <w:p w:rsidR="002B3076" w:rsidRDefault="002B3076" w:rsidP="002B3076">
      <w:pPr>
        <w:widowControl w:val="0"/>
        <w:spacing w:before="120" w:after="120" w:line="240" w:lineRule="auto"/>
        <w:ind w:left="993" w:hanging="360"/>
        <w:contextualSpacing/>
        <w:jc w:val="both"/>
        <w:rPr>
          <w:rFonts w:ascii="Times New Roman" w:hAnsi="Times New Roman" w:cs="Times New Roman"/>
          <w:sz w:val="24"/>
          <w:szCs w:val="24"/>
        </w:rPr>
      </w:pPr>
      <w:r>
        <w:rPr>
          <w:rFonts w:ascii="Times New Roman" w:eastAsia="Times New Roman" w:hAnsi="Times New Roman"/>
          <w:bCs/>
        </w:rPr>
        <w:t>-</w:t>
      </w:r>
      <w:r>
        <w:rPr>
          <w:rFonts w:ascii="Times New Roman" w:eastAsia="Times New Roman" w:hAnsi="Times New Roman"/>
          <w:bCs/>
        </w:rPr>
        <w:tab/>
        <w:t>Felelősséget vállal számvetéseinek pontosságáért</w:t>
      </w:r>
      <w:r>
        <w:rPr>
          <w:rFonts w:ascii="Times New Roman" w:hAnsi="Times New Roman" w:cs="Times New Roman"/>
          <w:sz w:val="24"/>
          <w:szCs w:val="24"/>
        </w:rPr>
        <w:t>.</w:t>
      </w:r>
    </w:p>
    <w:p w:rsidR="002B3076" w:rsidRDefault="002B3076" w:rsidP="002B3076">
      <w:pPr>
        <w:widowControl w:val="0"/>
        <w:spacing w:before="120" w:after="0" w:line="240" w:lineRule="auto"/>
        <w:ind w:left="425"/>
        <w:jc w:val="both"/>
        <w:rPr>
          <w:rFonts w:ascii="Times New Roman" w:eastAsia="Times New Roman" w:hAnsi="Times New Roman" w:cs="Times New Roman"/>
          <w:b/>
          <w:bCs/>
          <w:lang w:val="en-US"/>
        </w:rPr>
      </w:pPr>
      <w:r>
        <w:rPr>
          <w:rFonts w:ascii="Times New Roman" w:eastAsia="Times New Roman" w:hAnsi="Times New Roman" w:cs="Times New Roman"/>
          <w:b/>
          <w:bCs/>
        </w:rPr>
        <w:t>Elérendő kompetenciák (angolul) (</w:t>
      </w:r>
      <w:r>
        <w:rPr>
          <w:rFonts w:ascii="Times New Roman" w:eastAsia="Times New Roman" w:hAnsi="Times New Roman" w:cs="Times New Roman"/>
          <w:b/>
          <w:bCs/>
          <w:lang w:val="en-US"/>
        </w:rPr>
        <w:t xml:space="preserve">Competences – English): </w:t>
      </w:r>
    </w:p>
    <w:p w:rsidR="002B3076" w:rsidRDefault="002B3076" w:rsidP="002B3076">
      <w:pPr>
        <w:widowControl w:val="0"/>
        <w:spacing w:before="120" w:after="0" w:line="240" w:lineRule="auto"/>
        <w:ind w:left="425"/>
        <w:jc w:val="both"/>
        <w:rPr>
          <w:rFonts w:ascii="Times New Roman" w:eastAsia="Times New Roman" w:hAnsi="Times New Roman" w:cs="Times New Roman"/>
          <w:lang w:val="en-GB"/>
        </w:rPr>
      </w:pPr>
      <w:r>
        <w:rPr>
          <w:rFonts w:ascii="Times New Roman" w:eastAsia="Times New Roman" w:hAnsi="Times New Roman" w:cs="Times New Roman"/>
          <w:b/>
          <w:lang w:val="en-GB"/>
        </w:rPr>
        <w:t>Knowledge</w:t>
      </w:r>
      <w:r>
        <w:rPr>
          <w:rFonts w:ascii="Times New Roman" w:eastAsia="Times New Roman" w:hAnsi="Times New Roman" w:cs="Times New Roman"/>
          <w:lang w:val="en-GB"/>
        </w:rPr>
        <w:t xml:space="preserve">: </w:t>
      </w:r>
    </w:p>
    <w:p w:rsidR="002B3076" w:rsidRDefault="002B3076" w:rsidP="002B3076">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Knows the rules and responsibilities of stockpiling, storing, recording and inventory of military supply materials and supervising these processes.</w:t>
      </w:r>
    </w:p>
    <w:p w:rsidR="002B3076" w:rsidRDefault="002B3076" w:rsidP="002B3076">
      <w:pPr>
        <w:widowControl w:val="0"/>
        <w:spacing w:before="120" w:after="120" w:line="240" w:lineRule="auto"/>
        <w:ind w:left="993" w:hanging="360"/>
        <w:contextualSpacing/>
        <w:jc w:val="both"/>
        <w:rPr>
          <w:rFonts w:ascii="Times New Roman" w:eastAsia="Times New Roman" w:hAnsi="Times New Roman" w:cs="Times New Roman"/>
          <w:lang w:val="en-GB"/>
        </w:rPr>
      </w:pPr>
      <w:r>
        <w:rPr>
          <w:rFonts w:ascii="Times New Roman" w:eastAsia="Times New Roman" w:hAnsi="Times New Roman"/>
          <w:bCs/>
        </w:rPr>
        <w:t>-</w:t>
      </w:r>
      <w:r>
        <w:rPr>
          <w:rFonts w:ascii="Times New Roman" w:eastAsia="Times New Roman" w:hAnsi="Times New Roman"/>
          <w:bCs/>
        </w:rPr>
        <w:tab/>
        <w:t>He is thoroughly familiar with the professional tasks and the struckture of the Army Fuel Services of the Hungarian Defence Forc</w:t>
      </w:r>
      <w:r>
        <w:rPr>
          <w:rFonts w:ascii="Times New Roman" w:eastAsia="Times New Roman" w:hAnsi="Times New Roman" w:cs="Times New Roman"/>
          <w:lang w:val="en-GB"/>
        </w:rPr>
        <w:t>es.</w:t>
      </w:r>
    </w:p>
    <w:p w:rsidR="002B3076" w:rsidRPr="00056F25" w:rsidRDefault="002B3076" w:rsidP="00056F25">
      <w:pPr>
        <w:widowControl w:val="0"/>
        <w:spacing w:before="240" w:after="0" w:line="240" w:lineRule="auto"/>
        <w:ind w:left="425"/>
        <w:jc w:val="both"/>
        <w:rPr>
          <w:rFonts w:ascii="Times New Roman" w:eastAsia="Times New Roman" w:hAnsi="Times New Roman" w:cs="Times New Roman"/>
          <w:b/>
          <w:bCs/>
        </w:rPr>
      </w:pPr>
      <w:r w:rsidRPr="00056F25">
        <w:rPr>
          <w:rFonts w:ascii="Times New Roman" w:eastAsia="Times New Roman" w:hAnsi="Times New Roman" w:cs="Times New Roman"/>
          <w:b/>
          <w:bCs/>
        </w:rPr>
        <w:t xml:space="preserve">Capabilities: </w:t>
      </w:r>
    </w:p>
    <w:p w:rsidR="002B3076" w:rsidRDefault="002B3076" w:rsidP="002B3076">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To be capable of operating the technical equipment of the Army Supply Services.</w:t>
      </w:r>
    </w:p>
    <w:p w:rsidR="002B3076" w:rsidRDefault="002B3076" w:rsidP="002B3076">
      <w:pPr>
        <w:widowControl w:val="0"/>
        <w:spacing w:before="120" w:after="120" w:line="240" w:lineRule="auto"/>
        <w:ind w:left="993" w:hanging="360"/>
        <w:contextualSpacing/>
        <w:jc w:val="both"/>
        <w:rPr>
          <w:rFonts w:ascii="Times New Roman" w:eastAsia="Times New Roman" w:hAnsi="Times New Roman" w:cs="Times New Roman"/>
          <w:lang w:val="en-GB"/>
        </w:rPr>
      </w:pPr>
      <w:r>
        <w:rPr>
          <w:rFonts w:ascii="Times New Roman" w:eastAsia="Times New Roman" w:hAnsi="Times New Roman"/>
          <w:bCs/>
        </w:rPr>
        <w:t>-</w:t>
      </w:r>
      <w:r>
        <w:rPr>
          <w:rFonts w:ascii="Times New Roman" w:eastAsia="Times New Roman" w:hAnsi="Times New Roman"/>
          <w:bCs/>
        </w:rPr>
        <w:tab/>
        <w:t>To be capable of organizing and delivering training for his/her staff in the operation of the technical equipment of the Army Supply</w:t>
      </w:r>
      <w:r>
        <w:rPr>
          <w:rFonts w:ascii="Times New Roman" w:eastAsia="Times New Roman" w:hAnsi="Times New Roman" w:cs="Times New Roman"/>
          <w:lang w:val="en-GB"/>
        </w:rPr>
        <w:t xml:space="preserve"> Services.</w:t>
      </w:r>
    </w:p>
    <w:p w:rsidR="002B3076" w:rsidRPr="00056F25" w:rsidRDefault="002B3076" w:rsidP="00056F25">
      <w:pPr>
        <w:widowControl w:val="0"/>
        <w:spacing w:before="240" w:after="0" w:line="240" w:lineRule="auto"/>
        <w:ind w:left="425"/>
        <w:jc w:val="both"/>
        <w:rPr>
          <w:rFonts w:ascii="Times New Roman" w:eastAsia="Times New Roman" w:hAnsi="Times New Roman" w:cs="Times New Roman"/>
          <w:b/>
          <w:bCs/>
        </w:rPr>
      </w:pPr>
      <w:r w:rsidRPr="00056F25">
        <w:rPr>
          <w:rFonts w:ascii="Times New Roman" w:eastAsia="Times New Roman" w:hAnsi="Times New Roman" w:cs="Times New Roman"/>
          <w:b/>
          <w:bCs/>
        </w:rPr>
        <w:t xml:space="preserve">Attitude: </w:t>
      </w:r>
    </w:p>
    <w:p w:rsidR="002B3076" w:rsidRDefault="002B3076" w:rsidP="002B3076">
      <w:pPr>
        <w:widowControl w:val="0"/>
        <w:spacing w:before="120" w:after="120" w:line="240" w:lineRule="auto"/>
        <w:ind w:left="993" w:hanging="360"/>
        <w:contextualSpacing/>
        <w:jc w:val="both"/>
        <w:rPr>
          <w:rFonts w:ascii="Times New Roman" w:eastAsia="Times New Roman" w:hAnsi="Times New Roman" w:cs="Times New Roman"/>
          <w:lang w:val="en-GB"/>
        </w:rPr>
      </w:pPr>
      <w:r>
        <w:rPr>
          <w:rFonts w:ascii="Times New Roman" w:eastAsia="Times New Roman" w:hAnsi="Times New Roman" w:cs="Times New Roman"/>
          <w:lang w:val="en-GB"/>
        </w:rPr>
        <w:t>-</w:t>
      </w:r>
      <w:r>
        <w:rPr>
          <w:rFonts w:ascii="Times New Roman" w:eastAsia="Times New Roman" w:hAnsi="Times New Roman" w:cs="Times New Roman"/>
          <w:lang w:val="en-GB"/>
        </w:rPr>
        <w:tab/>
        <w:t>His/Her professional work is characterized by a systemic approach and good organizational skills.</w:t>
      </w:r>
    </w:p>
    <w:p w:rsidR="002B3076" w:rsidRDefault="002B3076" w:rsidP="002B3076">
      <w:pPr>
        <w:widowControl w:val="0"/>
        <w:spacing w:before="120" w:after="120" w:line="240" w:lineRule="auto"/>
        <w:ind w:left="993" w:hanging="360"/>
        <w:contextualSpacing/>
        <w:jc w:val="both"/>
        <w:rPr>
          <w:rFonts w:ascii="Times New Roman" w:eastAsia="Times New Roman" w:hAnsi="Times New Roman" w:cs="Times New Roman"/>
          <w:lang w:val="en-GB"/>
        </w:rPr>
      </w:pPr>
      <w:r>
        <w:rPr>
          <w:rFonts w:ascii="Times New Roman" w:eastAsia="Times New Roman" w:hAnsi="Times New Roman" w:cs="Times New Roman"/>
          <w:lang w:val="en-GB"/>
        </w:rPr>
        <w:t>-</w:t>
      </w:r>
      <w:r>
        <w:rPr>
          <w:rFonts w:ascii="Times New Roman" w:eastAsia="Times New Roman" w:hAnsi="Times New Roman" w:cs="Times New Roman"/>
          <w:lang w:val="en-GB"/>
        </w:rPr>
        <w:tab/>
        <w:t>He/She is open to new scientific achievements, and well adapted to changes and developments in the field of supply.</w:t>
      </w:r>
    </w:p>
    <w:p w:rsidR="002B3076" w:rsidRDefault="002B3076" w:rsidP="002B3076">
      <w:pPr>
        <w:widowControl w:val="0"/>
        <w:spacing w:before="24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lang w:val="en-GB"/>
        </w:rPr>
        <w:t xml:space="preserve">Autonomy and responsibility: </w:t>
      </w:r>
    </w:p>
    <w:p w:rsidR="002B3076" w:rsidRDefault="002B3076" w:rsidP="002B3076">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In the course of the implementation of the supply processes, he/she makes decisions independently, executes them in a highly responsible way and within the legal framework.</w:t>
      </w:r>
    </w:p>
    <w:p w:rsidR="002B3076" w:rsidRDefault="002B3076" w:rsidP="002B3076">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He/She is responsible for the provided technical equipment</w:t>
      </w:r>
      <w:r>
        <w:rPr>
          <w:rFonts w:ascii="Times New Roman" w:eastAsia="Times New Roman" w:hAnsi="Times New Roman" w:cs="Times New Roman"/>
          <w:bCs/>
          <w:lang w:val="en-US"/>
        </w:rPr>
        <w:t xml:space="preserve">.  </w:t>
      </w:r>
    </w:p>
    <w:p w:rsidR="002B3076" w:rsidRPr="002B3076" w:rsidRDefault="002B3076" w:rsidP="00980876">
      <w:pPr>
        <w:widowControl w:val="0"/>
        <w:numPr>
          <w:ilvl w:val="0"/>
          <w:numId w:val="219"/>
        </w:numPr>
        <w:spacing w:before="24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Előtanulmányi követelmények: </w:t>
      </w:r>
    </w:p>
    <w:p w:rsidR="002B3076" w:rsidRDefault="002B3076" w:rsidP="00980876">
      <w:pPr>
        <w:pStyle w:val="Listaszerbekezds"/>
        <w:widowControl w:val="0"/>
        <w:numPr>
          <w:ilvl w:val="0"/>
          <w:numId w:val="220"/>
        </w:numPr>
        <w:spacing w:before="120" w:after="120" w:line="240" w:lineRule="auto"/>
        <w:jc w:val="both"/>
        <w:rPr>
          <w:rFonts w:ascii="Times New Roman" w:eastAsia="Times New Roman" w:hAnsi="Times New Roman"/>
          <w:bCs/>
        </w:rPr>
      </w:pPr>
      <w:r w:rsidRPr="002B3076">
        <w:rPr>
          <w:rFonts w:ascii="Times New Roman" w:eastAsia="Times New Roman" w:hAnsi="Times New Roman"/>
          <w:bCs/>
        </w:rPr>
        <w:t xml:space="preserve">Hadtáp anyagismeret és gyártástechnológia HKHKPA108, </w:t>
      </w:r>
    </w:p>
    <w:p w:rsidR="002B3076" w:rsidRPr="002B3076" w:rsidRDefault="002B3076" w:rsidP="00980876">
      <w:pPr>
        <w:pStyle w:val="Listaszerbekezds"/>
        <w:widowControl w:val="0"/>
        <w:numPr>
          <w:ilvl w:val="0"/>
          <w:numId w:val="220"/>
        </w:numPr>
        <w:spacing w:before="120" w:after="120" w:line="240" w:lineRule="auto"/>
        <w:jc w:val="both"/>
        <w:rPr>
          <w:rFonts w:ascii="Times New Roman" w:eastAsia="Times New Roman" w:hAnsi="Times New Roman"/>
          <w:bCs/>
        </w:rPr>
      </w:pPr>
      <w:r w:rsidRPr="002B3076">
        <w:rPr>
          <w:rFonts w:ascii="Times New Roman" w:eastAsia="Times New Roman" w:hAnsi="Times New Roman"/>
          <w:bCs/>
        </w:rPr>
        <w:t>Hadtáp szaktechnikai eszközök HKHKPA109.</w:t>
      </w:r>
    </w:p>
    <w:p w:rsidR="002B3076" w:rsidRDefault="002B3076" w:rsidP="00980876">
      <w:pPr>
        <w:widowControl w:val="0"/>
        <w:numPr>
          <w:ilvl w:val="0"/>
          <w:numId w:val="219"/>
        </w:numPr>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A tantárgy tananyagának leírása, tematika. Description of the subject, curriculum (magyarul, angolul - English):</w:t>
      </w:r>
    </w:p>
    <w:p w:rsidR="002B3076" w:rsidRDefault="002B3076" w:rsidP="00980876">
      <w:pPr>
        <w:widowControl w:val="0"/>
        <w:numPr>
          <w:ilvl w:val="1"/>
          <w:numId w:val="219"/>
        </w:numPr>
        <w:tabs>
          <w:tab w:val="left" w:pos="709"/>
          <w:tab w:val="left" w:pos="993"/>
          <w:tab w:val="num" w:pos="2069"/>
        </w:tabs>
        <w:spacing w:after="0" w:line="240" w:lineRule="auto"/>
        <w:ind w:left="992"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Az üzemanyag szolgálat felső,- közép- és csapatszintű szervezeteinek felépítése, feladatrendszere. </w:t>
      </w:r>
      <w:r>
        <w:rPr>
          <w:rFonts w:ascii="Times New Roman" w:eastAsia="Times New Roman" w:hAnsi="Times New Roman" w:cs="Times New Roman"/>
          <w:i/>
          <w:kern w:val="2"/>
        </w:rPr>
        <w:t>(Organization and Tasks of the Fuel Services on Strategic, Operational and Tactical level.)</w:t>
      </w:r>
    </w:p>
    <w:p w:rsidR="002B3076" w:rsidRDefault="002B3076" w:rsidP="00980876">
      <w:pPr>
        <w:widowControl w:val="0"/>
        <w:numPr>
          <w:ilvl w:val="1"/>
          <w:numId w:val="219"/>
        </w:numPr>
        <w:tabs>
          <w:tab w:val="left" w:pos="709"/>
          <w:tab w:val="left" w:pos="993"/>
          <w:tab w:val="num" w:pos="2069"/>
        </w:tabs>
        <w:spacing w:after="0" w:line="240" w:lineRule="auto"/>
        <w:ind w:left="992"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Üzemanyag-raktárak laktanyai és tábori elhelyezésben. Az üzemanyagok és üzemanyag-technikai eszközök tárolása. </w:t>
      </w:r>
      <w:r>
        <w:rPr>
          <w:rFonts w:ascii="Times New Roman" w:eastAsia="Times New Roman" w:hAnsi="Times New Roman" w:cs="Times New Roman"/>
          <w:i/>
          <w:kern w:val="2"/>
        </w:rPr>
        <w:t>(Storage Facilities In and Out of the Barracks.)</w:t>
      </w:r>
    </w:p>
    <w:p w:rsidR="002B3076" w:rsidRDefault="002B3076" w:rsidP="00980876">
      <w:pPr>
        <w:widowControl w:val="0"/>
        <w:numPr>
          <w:ilvl w:val="1"/>
          <w:numId w:val="219"/>
        </w:numPr>
        <w:tabs>
          <w:tab w:val="left" w:pos="709"/>
          <w:tab w:val="left" w:pos="993"/>
          <w:tab w:val="num" w:pos="2069"/>
        </w:tabs>
        <w:spacing w:after="0" w:line="240" w:lineRule="auto"/>
        <w:ind w:left="992" w:hanging="567"/>
        <w:jc w:val="both"/>
        <w:rPr>
          <w:rFonts w:ascii="Times New Roman" w:eastAsia="Times New Roman" w:hAnsi="Times New Roman" w:cs="Times New Roman"/>
          <w:kern w:val="2"/>
        </w:rPr>
      </w:pPr>
      <w:r>
        <w:rPr>
          <w:rFonts w:ascii="Times New Roman" w:eastAsia="Times New Roman" w:hAnsi="Times New Roman" w:cs="Times New Roman"/>
          <w:kern w:val="2"/>
        </w:rPr>
        <w:lastRenderedPageBreak/>
        <w:t xml:space="preserve">Az üzemanyagok szállítása, ADR előírások. </w:t>
      </w:r>
      <w:r>
        <w:rPr>
          <w:rFonts w:ascii="Times New Roman" w:eastAsia="Times New Roman" w:hAnsi="Times New Roman" w:cs="Times New Roman"/>
          <w:i/>
          <w:kern w:val="2"/>
        </w:rPr>
        <w:t>(Transportation of Fuels, ADR Regulations.)</w:t>
      </w:r>
    </w:p>
    <w:p w:rsidR="002B3076" w:rsidRDefault="002B3076" w:rsidP="00980876">
      <w:pPr>
        <w:widowControl w:val="0"/>
        <w:numPr>
          <w:ilvl w:val="1"/>
          <w:numId w:val="219"/>
        </w:numPr>
        <w:tabs>
          <w:tab w:val="left" w:pos="709"/>
          <w:tab w:val="left" w:pos="993"/>
          <w:tab w:val="num" w:pos="2069"/>
        </w:tabs>
        <w:spacing w:after="0" w:line="240" w:lineRule="auto"/>
        <w:ind w:left="992"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Az üzemanyag ellátás megszervezése és végrehajtása laktanyai körülmények között. </w:t>
      </w:r>
      <w:r>
        <w:rPr>
          <w:rFonts w:ascii="Times New Roman" w:eastAsia="Times New Roman" w:hAnsi="Times New Roman" w:cs="Times New Roman"/>
          <w:i/>
          <w:kern w:val="2"/>
        </w:rPr>
        <w:t>(Organization and Execution of Fuel Supply in the Barracks.)</w:t>
      </w:r>
    </w:p>
    <w:p w:rsidR="002B3076" w:rsidRDefault="002B3076" w:rsidP="00980876">
      <w:pPr>
        <w:widowControl w:val="0"/>
        <w:numPr>
          <w:ilvl w:val="1"/>
          <w:numId w:val="219"/>
        </w:numPr>
        <w:tabs>
          <w:tab w:val="left" w:pos="709"/>
          <w:tab w:val="left" w:pos="993"/>
          <w:tab w:val="num" w:pos="2069"/>
        </w:tabs>
        <w:spacing w:after="0" w:line="240" w:lineRule="auto"/>
        <w:ind w:left="992"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Az üzemanyag ellátás megszervezése és végrehajtása tábori körülmények között, kihelyezések és vezénylések alkalmával. </w:t>
      </w:r>
      <w:r>
        <w:rPr>
          <w:rFonts w:ascii="Times New Roman" w:eastAsia="Times New Roman" w:hAnsi="Times New Roman" w:cs="Times New Roman"/>
          <w:i/>
          <w:kern w:val="2"/>
        </w:rPr>
        <w:t>(Organization and execution of fuel supply outside of the Barracks)</w:t>
      </w:r>
    </w:p>
    <w:p w:rsidR="002B3076" w:rsidRDefault="002B3076" w:rsidP="00980876">
      <w:pPr>
        <w:widowControl w:val="0"/>
        <w:numPr>
          <w:ilvl w:val="1"/>
          <w:numId w:val="219"/>
        </w:numPr>
        <w:tabs>
          <w:tab w:val="left" w:pos="709"/>
          <w:tab w:val="left" w:pos="993"/>
          <w:tab w:val="num" w:pos="2069"/>
        </w:tabs>
        <w:spacing w:after="0" w:line="240" w:lineRule="auto"/>
        <w:ind w:left="992"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Az üzemanyag szolgálat belső ellenőrzése, a leltározás végrehajtásának specifikus feladatai. </w:t>
      </w:r>
      <w:r>
        <w:rPr>
          <w:rFonts w:ascii="Times New Roman" w:eastAsia="Times New Roman" w:hAnsi="Times New Roman" w:cs="Times New Roman"/>
          <w:i/>
          <w:kern w:val="2"/>
        </w:rPr>
        <w:t>(Internal Inspection of the Fuel Service, Specific Tasks of Inventory.)</w:t>
      </w:r>
    </w:p>
    <w:p w:rsidR="002B3076" w:rsidRDefault="002B3076" w:rsidP="00980876">
      <w:pPr>
        <w:widowControl w:val="0"/>
        <w:numPr>
          <w:ilvl w:val="1"/>
          <w:numId w:val="219"/>
        </w:numPr>
        <w:tabs>
          <w:tab w:val="left" w:pos="709"/>
          <w:tab w:val="left" w:pos="993"/>
          <w:tab w:val="num" w:pos="2069"/>
        </w:tabs>
        <w:spacing w:after="0" w:line="240" w:lineRule="auto"/>
        <w:ind w:left="992"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Az üzemanyag szolgálat KFR feladatai, műveletek üzemanyag biztosítása. </w:t>
      </w:r>
      <w:r>
        <w:rPr>
          <w:rFonts w:ascii="Times New Roman" w:eastAsia="Times New Roman" w:hAnsi="Times New Roman" w:cs="Times New Roman"/>
          <w:i/>
          <w:kern w:val="2"/>
        </w:rPr>
        <w:t>(Provide Military Operations with Fuel.)</w:t>
      </w:r>
    </w:p>
    <w:p w:rsidR="002B3076" w:rsidRDefault="002B3076" w:rsidP="00980876">
      <w:pPr>
        <w:widowControl w:val="0"/>
        <w:numPr>
          <w:ilvl w:val="1"/>
          <w:numId w:val="219"/>
        </w:numPr>
        <w:tabs>
          <w:tab w:val="left" w:pos="709"/>
          <w:tab w:val="left" w:pos="993"/>
          <w:tab w:val="num" w:pos="2069"/>
        </w:tabs>
        <w:spacing w:after="0" w:line="240" w:lineRule="auto"/>
        <w:ind w:left="992"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Az üzemanyag szolgálat átadás-átvételének feladatai. </w:t>
      </w:r>
      <w:r>
        <w:rPr>
          <w:rFonts w:ascii="Times New Roman" w:eastAsia="Times New Roman" w:hAnsi="Times New Roman" w:cs="Times New Roman"/>
          <w:i/>
          <w:kern w:val="2"/>
        </w:rPr>
        <w:t>(HOTO of the Assignment.)</w:t>
      </w:r>
    </w:p>
    <w:p w:rsidR="002B3076" w:rsidRDefault="002B3076" w:rsidP="00980876">
      <w:pPr>
        <w:widowControl w:val="0"/>
        <w:numPr>
          <w:ilvl w:val="0"/>
          <w:numId w:val="219"/>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 tantárgy meghirdetésének gyakorisága/a tantervben történő félévi elhelyezkedése: </w:t>
      </w:r>
      <w:r>
        <w:rPr>
          <w:rFonts w:ascii="Times New Roman" w:eastAsia="Times New Roman" w:hAnsi="Times New Roman" w:cs="Times New Roman"/>
          <w:bCs/>
        </w:rPr>
        <w:t>Minden őszi szemeszterben / 7. félév</w:t>
      </w:r>
    </w:p>
    <w:p w:rsidR="002B3076" w:rsidRDefault="002B3076" w:rsidP="00980876">
      <w:pPr>
        <w:widowControl w:val="0"/>
        <w:numPr>
          <w:ilvl w:val="0"/>
          <w:numId w:val="219"/>
        </w:numPr>
        <w:tabs>
          <w:tab w:val="num" w:pos="360"/>
        </w:tabs>
        <w:spacing w:before="120" w:after="120" w:line="240" w:lineRule="auto"/>
        <w:ind w:left="426" w:hanging="142"/>
        <w:rPr>
          <w:rFonts w:ascii="Times New Roman" w:eastAsia="Times New Roman" w:hAnsi="Times New Roman" w:cs="Times New Roman"/>
          <w:b/>
          <w:bCs/>
        </w:rPr>
      </w:pPr>
      <w:r>
        <w:rPr>
          <w:rFonts w:ascii="Times New Roman" w:eastAsia="Times New Roman" w:hAnsi="Times New Roman" w:cs="Times New Roman"/>
          <w:b/>
          <w:bCs/>
        </w:rPr>
        <w:t>A tanórákon való részvétel követelményei, az elfogadható hiányzások mértéke, a távolmaradás pótlásának lehetősége:</w:t>
      </w:r>
      <w:r>
        <w:rPr>
          <w:rFonts w:ascii="Times New Roman" w:eastAsia="Times New Roman" w:hAnsi="Times New Roman" w:cs="Times New Roman"/>
          <w:bCs/>
        </w:rPr>
        <w:t xml:space="preserve"> Részvétel az órák legalább 50%-án, a kimaradt tananyagot önképzés keretén belül kell elsajátítani. A kiesett tananyag jobb megértése érdekében az oktatók konzultációs lehetőséget biztosítanak.</w:t>
      </w:r>
    </w:p>
    <w:p w:rsidR="002B3076" w:rsidRDefault="002B3076" w:rsidP="00980876">
      <w:pPr>
        <w:widowControl w:val="0"/>
        <w:numPr>
          <w:ilvl w:val="0"/>
          <w:numId w:val="219"/>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rPr>
        <w:t xml:space="preserve">Félévközi feladatok, ismeretek ellenőrzésének rendje: </w:t>
      </w:r>
      <w:r>
        <w:rPr>
          <w:rFonts w:ascii="Times New Roman" w:eastAsia="Times New Roman" w:hAnsi="Times New Roman" w:cs="Times New Roman"/>
          <w:bCs/>
        </w:rPr>
        <w:t xml:space="preserve">A félév előadásait lezáró zárthelyi dolgozat legalább elégséges szintű megírása. Az elégséges értékeléshez 50% + 1 pontot kell teljesíteni. A dolgozatban teszt, esszé jellegű kérdések és írásbeli gyakorlati feladatok egyaránt szerepelnek. A zárthelyi dolgozat témáit a kötelező irodalmak anyagából, illetve az előadásokon elhangzott ismeretanyagból kell összeállítani. </w:t>
      </w:r>
    </w:p>
    <w:p w:rsidR="002B3076" w:rsidRDefault="002B3076" w:rsidP="00980876">
      <w:pPr>
        <w:widowControl w:val="0"/>
        <w:numPr>
          <w:ilvl w:val="0"/>
          <w:numId w:val="219"/>
        </w:numPr>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Az értékelés, az aláírás és a kreditek megszerzésének pontos feltételei: </w:t>
      </w:r>
    </w:p>
    <w:p w:rsidR="002B3076" w:rsidRPr="002B3076" w:rsidRDefault="002B3076" w:rsidP="00980876">
      <w:pPr>
        <w:widowControl w:val="0"/>
        <w:numPr>
          <w:ilvl w:val="1"/>
          <w:numId w:val="219"/>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2B3076">
        <w:rPr>
          <w:rFonts w:ascii="Times New Roman" w:eastAsia="Times New Roman" w:hAnsi="Times New Roman" w:cs="Times New Roman"/>
          <w:b/>
        </w:rPr>
        <w:t xml:space="preserve">Az aláírás megszerzésének feltételei: </w:t>
      </w:r>
      <w:r w:rsidRPr="002B3076">
        <w:rPr>
          <w:rFonts w:ascii="Times New Roman" w:eastAsia="Times New Roman" w:hAnsi="Times New Roman" w:cs="Times New Roman"/>
        </w:rPr>
        <w:t>Az aláírás feltétele a tanórákon történő – 14. pontban meghatározott – részvétel, valamint a zárthelyi dolgozat sikeres megírása.</w:t>
      </w:r>
    </w:p>
    <w:p w:rsidR="002B3076" w:rsidRPr="002B3076" w:rsidRDefault="002B3076" w:rsidP="00980876">
      <w:pPr>
        <w:widowControl w:val="0"/>
        <w:numPr>
          <w:ilvl w:val="1"/>
          <w:numId w:val="219"/>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2B3076">
        <w:rPr>
          <w:rFonts w:ascii="Times New Roman" w:eastAsia="Times New Roman" w:hAnsi="Times New Roman" w:cs="Times New Roman"/>
          <w:b/>
        </w:rPr>
        <w:t xml:space="preserve">Az értékelés: </w:t>
      </w:r>
      <w:r w:rsidRPr="002B3076">
        <w:rPr>
          <w:rFonts w:ascii="Times New Roman" w:eastAsia="Times New Roman" w:hAnsi="Times New Roman" w:cs="Times New Roman"/>
        </w:rPr>
        <w:t xml:space="preserve">Írásbeli kollokvium. A számonkérés tárgya az előadásokon elhangzott tananyag, a kötelező irodalom vonatkozó részei, valamint az előadásokon és a kötelező irodalomban hivatkozott jogszabályok vonatkozó részei.  </w:t>
      </w:r>
    </w:p>
    <w:p w:rsidR="002B3076" w:rsidRPr="002B3076" w:rsidRDefault="002B3076" w:rsidP="00980876">
      <w:pPr>
        <w:widowControl w:val="0"/>
        <w:numPr>
          <w:ilvl w:val="1"/>
          <w:numId w:val="219"/>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2B3076">
        <w:rPr>
          <w:rFonts w:ascii="Times New Roman" w:eastAsia="Times New Roman" w:hAnsi="Times New Roman" w:cs="Times New Roman"/>
          <w:b/>
        </w:rPr>
        <w:t>A kreditek megszerzésének feltételei:</w:t>
      </w:r>
      <w:r w:rsidRPr="002B3076">
        <w:rPr>
          <w:rFonts w:ascii="Times New Roman" w:eastAsia="Times New Roman" w:hAnsi="Times New Roman" w:cs="Times New Roman"/>
        </w:rPr>
        <w:t xml:space="preserve"> A kreditek megszerzésének feltétele az aláírás megszerzése és legalább elégséges kollokviumi jegy.</w:t>
      </w:r>
    </w:p>
    <w:p w:rsidR="002B3076" w:rsidRPr="00E76428" w:rsidRDefault="002B3076" w:rsidP="00980876">
      <w:pPr>
        <w:widowControl w:val="0"/>
        <w:numPr>
          <w:ilvl w:val="0"/>
          <w:numId w:val="219"/>
        </w:numPr>
        <w:tabs>
          <w:tab w:val="num" w:pos="360"/>
        </w:tabs>
        <w:spacing w:before="120" w:after="120" w:line="240" w:lineRule="auto"/>
        <w:ind w:left="426" w:hanging="142"/>
        <w:jc w:val="both"/>
        <w:rPr>
          <w:rFonts w:ascii="Times New Roman" w:eastAsia="Times New Roman" w:hAnsi="Times New Roman" w:cs="Times New Roman"/>
          <w:bCs/>
        </w:rPr>
      </w:pPr>
      <w:r w:rsidRPr="00E76428">
        <w:rPr>
          <w:rFonts w:ascii="Times New Roman" w:eastAsia="Times New Roman" w:hAnsi="Times New Roman" w:cs="Times New Roman"/>
          <w:b/>
          <w:bCs/>
        </w:rPr>
        <w:t>Irodalomjegyzék:</w:t>
      </w:r>
    </w:p>
    <w:p w:rsidR="002B3076" w:rsidRPr="00E76428" w:rsidRDefault="002B3076" w:rsidP="00980876">
      <w:pPr>
        <w:widowControl w:val="0"/>
        <w:numPr>
          <w:ilvl w:val="1"/>
          <w:numId w:val="219"/>
        </w:numPr>
        <w:tabs>
          <w:tab w:val="left" w:pos="567"/>
          <w:tab w:val="left" w:pos="851"/>
          <w:tab w:val="num" w:pos="2069"/>
        </w:tabs>
        <w:spacing w:before="120" w:after="120" w:line="240" w:lineRule="auto"/>
        <w:ind w:left="426" w:hanging="142"/>
        <w:jc w:val="both"/>
        <w:rPr>
          <w:rFonts w:ascii="Times New Roman" w:eastAsia="Times New Roman" w:hAnsi="Times New Roman" w:cs="Times New Roman"/>
          <w:bCs/>
        </w:rPr>
      </w:pPr>
      <w:r w:rsidRPr="00E76428">
        <w:rPr>
          <w:rFonts w:ascii="Times New Roman" w:eastAsia="Times New Roman" w:hAnsi="Times New Roman" w:cs="Times New Roman"/>
          <w:b/>
          <w:bCs/>
        </w:rPr>
        <w:t>Kötelező irodalom:</w:t>
      </w:r>
    </w:p>
    <w:p w:rsidR="002B3076" w:rsidRPr="00E76428" w:rsidRDefault="002B3076" w:rsidP="00980876">
      <w:pPr>
        <w:pStyle w:val="Listaszerbekezds"/>
        <w:numPr>
          <w:ilvl w:val="0"/>
          <w:numId w:val="221"/>
        </w:numPr>
        <w:spacing w:line="256" w:lineRule="auto"/>
        <w:rPr>
          <w:rFonts w:ascii="Times New Roman" w:eastAsia="Times New Roman" w:hAnsi="Times New Roman" w:cs="Times New Roman"/>
          <w:bCs/>
          <w:lang w:eastAsia="hu-HU"/>
        </w:rPr>
      </w:pPr>
      <w:r w:rsidRPr="00E76428">
        <w:rPr>
          <w:rFonts w:ascii="Times New Roman" w:eastAsia="Times New Roman" w:hAnsi="Times New Roman" w:cs="Times New Roman"/>
          <w:bCs/>
          <w:lang w:eastAsia="hu-HU"/>
        </w:rPr>
        <w:t>Htp/1 Szabályzat az Üzemanyag Szakterület részére, A Magyar Honvédség Kiadványa, Budapest 2015.</w:t>
      </w:r>
    </w:p>
    <w:p w:rsidR="002B3076" w:rsidRPr="00E76428" w:rsidRDefault="002B3076" w:rsidP="00980876">
      <w:pPr>
        <w:pStyle w:val="Listaszerbekezds"/>
        <w:numPr>
          <w:ilvl w:val="0"/>
          <w:numId w:val="221"/>
        </w:numPr>
        <w:spacing w:line="256" w:lineRule="auto"/>
        <w:rPr>
          <w:rFonts w:ascii="Times New Roman" w:eastAsia="Times New Roman" w:hAnsi="Times New Roman" w:cs="Times New Roman"/>
          <w:bCs/>
          <w:lang w:eastAsia="hu-HU"/>
        </w:rPr>
      </w:pPr>
      <w:r w:rsidRPr="00E76428">
        <w:rPr>
          <w:rFonts w:ascii="Times New Roman" w:eastAsia="Times New Roman" w:hAnsi="Times New Roman" w:cs="Times New Roman"/>
          <w:bCs/>
          <w:lang w:eastAsia="hu-HU"/>
        </w:rPr>
        <w:t>Üzemanyag fogyasztási normák (Szakutasítás), A Magyar Honvédség Kiadványa, Budapest, 2015.</w:t>
      </w:r>
    </w:p>
    <w:p w:rsidR="002B3076" w:rsidRPr="00E76428" w:rsidRDefault="002B3076" w:rsidP="00980876">
      <w:pPr>
        <w:pStyle w:val="Listaszerbekezds"/>
        <w:numPr>
          <w:ilvl w:val="0"/>
          <w:numId w:val="221"/>
        </w:numPr>
        <w:spacing w:line="256" w:lineRule="auto"/>
        <w:rPr>
          <w:rFonts w:ascii="Times New Roman" w:eastAsia="Times New Roman" w:hAnsi="Times New Roman" w:cs="Times New Roman"/>
          <w:bCs/>
          <w:lang w:eastAsia="hu-HU"/>
        </w:rPr>
      </w:pPr>
      <w:r w:rsidRPr="00E76428">
        <w:rPr>
          <w:rFonts w:ascii="Times New Roman" w:eastAsia="Times New Roman" w:hAnsi="Times New Roman" w:cs="Times New Roman"/>
          <w:bCs/>
          <w:lang w:eastAsia="hu-HU"/>
        </w:rPr>
        <w:t>Ált/217 Magyar Honvédség Összhaderőnemi Logisztikai Támogatás Doktrína, A HVK Logisztikai Csoportfőnökség Kiadványa, Budapest, 2015. (3. kiadás)</w:t>
      </w:r>
    </w:p>
    <w:p w:rsidR="002B3076" w:rsidRPr="00E76428" w:rsidRDefault="002B3076" w:rsidP="00980876">
      <w:pPr>
        <w:widowControl w:val="0"/>
        <w:numPr>
          <w:ilvl w:val="1"/>
          <w:numId w:val="219"/>
        </w:numPr>
        <w:tabs>
          <w:tab w:val="num" w:pos="567"/>
          <w:tab w:val="num" w:pos="2069"/>
        </w:tabs>
        <w:spacing w:before="120" w:after="120" w:line="240" w:lineRule="auto"/>
        <w:ind w:left="993" w:hanging="709"/>
        <w:jc w:val="both"/>
        <w:rPr>
          <w:rFonts w:ascii="Times New Roman" w:eastAsia="Times New Roman" w:hAnsi="Times New Roman" w:cs="Times New Roman"/>
          <w:b/>
          <w:bCs/>
        </w:rPr>
      </w:pPr>
      <w:r w:rsidRPr="00E76428">
        <w:rPr>
          <w:rFonts w:ascii="Times New Roman" w:eastAsia="Times New Roman" w:hAnsi="Times New Roman" w:cs="Times New Roman"/>
          <w:b/>
          <w:bCs/>
        </w:rPr>
        <w:t>Ajánlott irodalom:</w:t>
      </w:r>
    </w:p>
    <w:p w:rsidR="002B3076" w:rsidRPr="00E76428" w:rsidRDefault="002B3076" w:rsidP="00980876">
      <w:pPr>
        <w:pStyle w:val="Listaszerbekezds"/>
        <w:numPr>
          <w:ilvl w:val="0"/>
          <w:numId w:val="222"/>
        </w:numPr>
        <w:spacing w:line="256" w:lineRule="auto"/>
        <w:rPr>
          <w:rFonts w:ascii="Times New Roman" w:eastAsia="Times New Roman" w:hAnsi="Times New Roman" w:cs="Times New Roman"/>
          <w:bCs/>
        </w:rPr>
      </w:pPr>
      <w:r w:rsidRPr="00E76428">
        <w:rPr>
          <w:rFonts w:ascii="Times New Roman" w:hAnsi="Times New Roman" w:cs="Times New Roman"/>
          <w:bCs/>
        </w:rPr>
        <w:t xml:space="preserve">EVE </w:t>
      </w:r>
      <w:r w:rsidRPr="00E76428">
        <w:rPr>
          <w:rFonts w:ascii="Times New Roman" w:eastAsia="Times New Roman" w:hAnsi="Times New Roman" w:cs="Times New Roman"/>
          <w:bCs/>
          <w:lang w:eastAsia="hu-HU"/>
        </w:rPr>
        <w:t>STANAG</w:t>
      </w:r>
      <w:r w:rsidRPr="00E76428">
        <w:rPr>
          <w:rFonts w:ascii="Times New Roman" w:hAnsi="Times New Roman" w:cs="Times New Roman"/>
          <w:bCs/>
        </w:rPr>
        <w:t xml:space="preserve"> 2115 Ed. 6 (NATO Defence Policy and Planning International Staff, 2005)</w:t>
      </w:r>
    </w:p>
    <w:p w:rsidR="002B3076" w:rsidRDefault="002B3076" w:rsidP="002B3076">
      <w:pPr>
        <w:widowControl w:val="0"/>
        <w:spacing w:before="120" w:after="120" w:line="240" w:lineRule="auto"/>
        <w:jc w:val="both"/>
        <w:rPr>
          <w:rFonts w:ascii="Times New Roman" w:eastAsia="Times New Roman" w:hAnsi="Times New Roman" w:cs="Times New Roman"/>
          <w:bCs/>
        </w:rPr>
      </w:pPr>
    </w:p>
    <w:p w:rsidR="002B3076" w:rsidRDefault="002B3076" w:rsidP="002B3076">
      <w:pPr>
        <w:widowControl w:val="0"/>
        <w:spacing w:before="120" w:after="120" w:line="240" w:lineRule="auto"/>
        <w:jc w:val="both"/>
        <w:rPr>
          <w:rFonts w:ascii="Times New Roman" w:eastAsia="Times New Roman" w:hAnsi="Times New Roman" w:cs="Times New Roman"/>
          <w:bCs/>
        </w:rPr>
      </w:pPr>
      <w:r>
        <w:rPr>
          <w:rFonts w:ascii="Times New Roman" w:eastAsia="Times New Roman" w:hAnsi="Times New Roman" w:cs="Times New Roman"/>
          <w:bCs/>
        </w:rPr>
        <w:t>Budapest, 2020. február 25.</w:t>
      </w:r>
    </w:p>
    <w:p w:rsidR="002B3076" w:rsidRDefault="002B3076" w:rsidP="002B3076">
      <w:pPr>
        <w:widowControl w:val="0"/>
        <w:spacing w:after="0" w:line="240" w:lineRule="auto"/>
        <w:rPr>
          <w:rFonts w:ascii="Times New Roman" w:hAnsi="Times New Roman" w:cs="Times New Roman"/>
          <w:b/>
          <w:bCs/>
        </w:rPr>
      </w:pPr>
      <w:r>
        <w:rPr>
          <w:rFonts w:ascii="Times New Roman" w:hAnsi="Times New Roman" w:cs="Times New Roman"/>
          <w:bCs/>
        </w:rPr>
        <w:t xml:space="preserve">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
          <w:bCs/>
        </w:rPr>
        <w:t>Dr. Venekei József Péter (PhD)</w:t>
      </w:r>
    </w:p>
    <w:p w:rsidR="002B3076" w:rsidRDefault="002B3076" w:rsidP="002B3076">
      <w:pPr>
        <w:widowControl w:val="0"/>
        <w:spacing w:after="0" w:line="240" w:lineRule="auto"/>
        <w:ind w:left="5664" w:firstLine="708"/>
        <w:rPr>
          <w:rFonts w:ascii="Times New Roman" w:hAnsi="Times New Roman" w:cs="Times New Roman"/>
        </w:rPr>
      </w:pPr>
      <w:r>
        <w:rPr>
          <w:rFonts w:ascii="Times New Roman" w:hAnsi="Times New Roman" w:cs="Times New Roman"/>
          <w:bCs/>
        </w:rPr>
        <w:t>egyetemi docens s.k.</w:t>
      </w:r>
    </w:p>
    <w:p w:rsidR="00E76428" w:rsidRDefault="00E76428">
      <w:r>
        <w:br w:type="page"/>
      </w:r>
    </w:p>
    <w:tbl>
      <w:tblPr>
        <w:tblW w:w="9072" w:type="dxa"/>
        <w:tblInd w:w="113" w:type="dxa"/>
        <w:tblLook w:val="01E0" w:firstRow="1" w:lastRow="1" w:firstColumn="1" w:lastColumn="1" w:noHBand="0" w:noVBand="0"/>
      </w:tblPr>
      <w:tblGrid>
        <w:gridCol w:w="4855"/>
        <w:gridCol w:w="1620"/>
        <w:gridCol w:w="2597"/>
      </w:tblGrid>
      <w:tr w:rsidR="002E3187" w:rsidTr="002E3187">
        <w:tc>
          <w:tcPr>
            <w:tcW w:w="4855" w:type="dxa"/>
            <w:tcBorders>
              <w:top w:val="nil"/>
              <w:left w:val="nil"/>
              <w:bottom w:val="single" w:sz="4" w:space="0" w:color="auto"/>
              <w:right w:val="nil"/>
            </w:tcBorders>
            <w:hideMark/>
          </w:tcPr>
          <w:p w:rsidR="002E3187" w:rsidRDefault="002E3187">
            <w:pPr>
              <w:spacing w:after="0" w:line="240" w:lineRule="auto"/>
              <w:jc w:val="center"/>
              <w:rPr>
                <w:rFonts w:ascii="Times New Roman" w:eastAsia="Times New Roman" w:hAnsi="Times New Roman" w:cs="Times New Roman"/>
                <w:b/>
                <w:smallCaps/>
                <w:lang w:eastAsia="hu-HU"/>
              </w:rPr>
            </w:pPr>
            <w:r>
              <w:rPr>
                <w:rFonts w:ascii="Times New Roman" w:eastAsia="Times New Roman" w:hAnsi="Times New Roman" w:cs="Times New Roman"/>
                <w:b/>
                <w:smallCaps/>
                <w:lang w:eastAsia="hu-HU"/>
              </w:rPr>
              <w:lastRenderedPageBreak/>
              <w:t>Nemzeti Közszolgálati Egyetem</w:t>
            </w:r>
          </w:p>
        </w:tc>
        <w:tc>
          <w:tcPr>
            <w:tcW w:w="1620" w:type="dxa"/>
          </w:tcPr>
          <w:p w:rsidR="002E3187" w:rsidRDefault="002E3187">
            <w:pPr>
              <w:spacing w:after="0" w:line="240" w:lineRule="auto"/>
              <w:jc w:val="both"/>
              <w:rPr>
                <w:rFonts w:ascii="Times New Roman" w:eastAsia="Times New Roman" w:hAnsi="Times New Roman" w:cs="Times New Roman"/>
                <w:lang w:eastAsia="hu-HU"/>
              </w:rPr>
            </w:pPr>
          </w:p>
        </w:tc>
        <w:tc>
          <w:tcPr>
            <w:tcW w:w="2597" w:type="dxa"/>
          </w:tcPr>
          <w:p w:rsidR="002E3187" w:rsidRDefault="002E3187">
            <w:pPr>
              <w:spacing w:after="0" w:line="240" w:lineRule="auto"/>
              <w:jc w:val="right"/>
              <w:rPr>
                <w:rFonts w:ascii="Times New Roman" w:eastAsia="Times New Roman" w:hAnsi="Times New Roman" w:cs="Times New Roman"/>
                <w:lang w:eastAsia="hu-HU"/>
              </w:rPr>
            </w:pPr>
          </w:p>
        </w:tc>
      </w:tr>
      <w:tr w:rsidR="002E3187" w:rsidTr="002E3187">
        <w:tc>
          <w:tcPr>
            <w:tcW w:w="4855" w:type="dxa"/>
            <w:tcBorders>
              <w:top w:val="single" w:sz="4" w:space="0" w:color="auto"/>
              <w:left w:val="nil"/>
              <w:bottom w:val="nil"/>
              <w:right w:val="nil"/>
            </w:tcBorders>
            <w:hideMark/>
          </w:tcPr>
          <w:p w:rsidR="002E3187" w:rsidRDefault="002E3187">
            <w:pPr>
              <w:spacing w:after="0" w:line="240" w:lineRule="auto"/>
              <w:jc w:val="center"/>
              <w:rPr>
                <w:rFonts w:ascii="Times New Roman" w:eastAsia="Times New Roman" w:hAnsi="Times New Roman" w:cs="Times New Roman"/>
                <w:b/>
                <w:lang w:eastAsia="hu-HU"/>
              </w:rPr>
            </w:pPr>
            <w:r>
              <w:rPr>
                <w:rFonts w:ascii="Times New Roman" w:eastAsia="Times New Roman" w:hAnsi="Times New Roman" w:cs="Times New Roman"/>
                <w:b/>
                <w:lang w:eastAsia="hu-HU"/>
              </w:rPr>
              <w:t>Hadtudományi és Honvédtisztképző Kar</w:t>
            </w:r>
          </w:p>
        </w:tc>
        <w:tc>
          <w:tcPr>
            <w:tcW w:w="1620" w:type="dxa"/>
          </w:tcPr>
          <w:p w:rsidR="002E3187" w:rsidRDefault="002E3187">
            <w:pPr>
              <w:spacing w:after="0" w:line="240" w:lineRule="auto"/>
              <w:jc w:val="both"/>
              <w:rPr>
                <w:rFonts w:ascii="Times New Roman" w:eastAsia="Times New Roman" w:hAnsi="Times New Roman" w:cs="Times New Roman"/>
                <w:lang w:eastAsia="hu-HU"/>
              </w:rPr>
            </w:pPr>
          </w:p>
        </w:tc>
        <w:tc>
          <w:tcPr>
            <w:tcW w:w="2597" w:type="dxa"/>
          </w:tcPr>
          <w:p w:rsidR="002E3187" w:rsidRDefault="002E3187">
            <w:pPr>
              <w:spacing w:after="0" w:line="240" w:lineRule="auto"/>
              <w:jc w:val="both"/>
              <w:rPr>
                <w:rFonts w:ascii="Times New Roman" w:eastAsia="Times New Roman" w:hAnsi="Times New Roman" w:cs="Times New Roman"/>
                <w:lang w:eastAsia="hu-HU"/>
              </w:rPr>
            </w:pPr>
          </w:p>
        </w:tc>
      </w:tr>
    </w:tbl>
    <w:p w:rsidR="002E3187" w:rsidRDefault="002E3187" w:rsidP="002E3187">
      <w:pPr>
        <w:widowControl w:val="0"/>
        <w:spacing w:before="120" w:after="120" w:line="240" w:lineRule="auto"/>
        <w:ind w:left="426" w:hanging="142"/>
        <w:jc w:val="center"/>
        <w:rPr>
          <w:rFonts w:ascii="Times New Roman" w:eastAsia="Times New Roman" w:hAnsi="Times New Roman" w:cs="Times New Roman"/>
          <w:b/>
          <w:bCs/>
        </w:rPr>
      </w:pPr>
    </w:p>
    <w:p w:rsidR="002E3187" w:rsidRDefault="002E3187" w:rsidP="002E3187">
      <w:pPr>
        <w:widowControl w:val="0"/>
        <w:spacing w:before="120" w:after="120" w:line="240" w:lineRule="auto"/>
        <w:ind w:left="426" w:hanging="142"/>
        <w:jc w:val="center"/>
        <w:rPr>
          <w:rFonts w:ascii="Times New Roman" w:eastAsia="Times New Roman" w:hAnsi="Times New Roman" w:cs="Times New Roman"/>
          <w:b/>
          <w:bCs/>
        </w:rPr>
      </w:pPr>
      <w:r>
        <w:rPr>
          <w:rFonts w:ascii="Times New Roman" w:eastAsia="Times New Roman" w:hAnsi="Times New Roman" w:cs="Times New Roman"/>
          <w:b/>
          <w:bCs/>
        </w:rPr>
        <w:t>TANTÁRGYI PROGRAM</w:t>
      </w:r>
    </w:p>
    <w:p w:rsidR="002E3187" w:rsidRDefault="002E3187" w:rsidP="00980876">
      <w:pPr>
        <w:widowControl w:val="0"/>
        <w:numPr>
          <w:ilvl w:val="0"/>
          <w:numId w:val="223"/>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 tantárgy kódja: </w:t>
      </w:r>
      <w:r>
        <w:rPr>
          <w:rFonts w:ascii="Times New Roman" w:hAnsi="Times New Roman" w:cs="Times New Roman"/>
          <w:bCs/>
        </w:rPr>
        <w:t>HKHPKA113</w:t>
      </w:r>
    </w:p>
    <w:p w:rsidR="002E3187" w:rsidRDefault="002E3187" w:rsidP="00980876">
      <w:pPr>
        <w:widowControl w:val="0"/>
        <w:numPr>
          <w:ilvl w:val="0"/>
          <w:numId w:val="223"/>
        </w:numPr>
        <w:spacing w:before="120" w:after="120" w:line="240" w:lineRule="auto"/>
        <w:ind w:left="426" w:hanging="142"/>
        <w:jc w:val="both"/>
        <w:rPr>
          <w:rFonts w:ascii="Times New Roman" w:eastAsia="Times New Roman" w:hAnsi="Times New Roman" w:cs="Times New Roman"/>
          <w:b/>
          <w:bCs/>
          <w:lang w:val="en-GB"/>
        </w:rPr>
      </w:pPr>
      <w:r>
        <w:rPr>
          <w:rFonts w:ascii="Times New Roman" w:eastAsia="Times New Roman" w:hAnsi="Times New Roman" w:cs="Times New Roman"/>
          <w:b/>
          <w:bCs/>
        </w:rPr>
        <w:t>A tantárgy megnevezése (magyarul):</w:t>
      </w:r>
      <w:r>
        <w:rPr>
          <w:rFonts w:ascii="Times New Roman" w:eastAsia="Times New Roman" w:hAnsi="Times New Roman" w:cs="Times New Roman"/>
          <w:bCs/>
        </w:rPr>
        <w:t xml:space="preserve"> </w:t>
      </w:r>
      <w:r>
        <w:rPr>
          <w:rFonts w:ascii="Times New Roman" w:hAnsi="Times New Roman" w:cs="Times New Roman"/>
          <w:bCs/>
        </w:rPr>
        <w:t>Élelmezési ellátás</w:t>
      </w:r>
    </w:p>
    <w:p w:rsidR="002E3187" w:rsidRDefault="002E3187" w:rsidP="00980876">
      <w:pPr>
        <w:widowControl w:val="0"/>
        <w:numPr>
          <w:ilvl w:val="0"/>
          <w:numId w:val="223"/>
        </w:numPr>
        <w:tabs>
          <w:tab w:val="num" w:pos="567"/>
        </w:tabs>
        <w:spacing w:before="120" w:after="120" w:line="240" w:lineRule="auto"/>
        <w:ind w:left="426" w:hanging="142"/>
        <w:jc w:val="both"/>
        <w:rPr>
          <w:rFonts w:ascii="Times New Roman" w:eastAsia="Times New Roman" w:hAnsi="Times New Roman" w:cs="Times New Roman"/>
          <w:b/>
          <w:bCs/>
          <w:lang w:val="en-GB"/>
        </w:rPr>
      </w:pPr>
      <w:r>
        <w:rPr>
          <w:rFonts w:ascii="Times New Roman" w:eastAsia="Times New Roman" w:hAnsi="Times New Roman" w:cs="Times New Roman"/>
          <w:b/>
          <w:bCs/>
        </w:rPr>
        <w:t xml:space="preserve">A tantárgy megnevezése (angolul): </w:t>
      </w:r>
      <w:r>
        <w:rPr>
          <w:rFonts w:ascii="Times New Roman" w:hAnsi="Times New Roman" w:cs="Times New Roman"/>
          <w:bCs/>
        </w:rPr>
        <w:t>Food Supply</w:t>
      </w:r>
    </w:p>
    <w:p w:rsidR="002E3187" w:rsidRDefault="002E3187" w:rsidP="00980876">
      <w:pPr>
        <w:widowControl w:val="0"/>
        <w:numPr>
          <w:ilvl w:val="0"/>
          <w:numId w:val="223"/>
        </w:numPr>
        <w:tabs>
          <w:tab w:val="num" w:pos="567"/>
        </w:tabs>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Kreditérték és képzési karakter: </w:t>
      </w:r>
    </w:p>
    <w:p w:rsidR="002E3187" w:rsidRDefault="002E3187" w:rsidP="00980876">
      <w:pPr>
        <w:pStyle w:val="Listaszerbekezds"/>
        <w:widowControl w:val="0"/>
        <w:numPr>
          <w:ilvl w:val="1"/>
          <w:numId w:val="223"/>
        </w:numPr>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5 kredit</w:t>
      </w:r>
    </w:p>
    <w:p w:rsidR="002E3187" w:rsidRDefault="002E3187" w:rsidP="00980876">
      <w:pPr>
        <w:pStyle w:val="Listaszerbekezds"/>
        <w:widowControl w:val="0"/>
        <w:numPr>
          <w:ilvl w:val="1"/>
          <w:numId w:val="223"/>
        </w:numPr>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a tantárgy elméleti vagy gyakorlati jellegének mértéke: 60</w:t>
      </w:r>
      <w:r>
        <w:rPr>
          <w:rFonts w:ascii="Times New Roman" w:eastAsia="Times New Roman" w:hAnsi="Times New Roman" w:cs="Times New Roman"/>
          <w:b/>
          <w:bCs/>
        </w:rPr>
        <w:t xml:space="preserve"> </w:t>
      </w:r>
      <w:r>
        <w:rPr>
          <w:rFonts w:ascii="Times New Roman" w:eastAsia="Times New Roman" w:hAnsi="Times New Roman" w:cs="Times New Roman"/>
          <w:bCs/>
        </w:rPr>
        <w:t>% gyakorlat, 40 % elmélet</w:t>
      </w:r>
    </w:p>
    <w:p w:rsidR="002E3187" w:rsidRDefault="002E3187" w:rsidP="00980876">
      <w:pPr>
        <w:widowControl w:val="0"/>
        <w:numPr>
          <w:ilvl w:val="0"/>
          <w:numId w:val="223"/>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szak(ok), szakirányok/specializációk megnevezése (ahol oktatják):</w:t>
      </w:r>
      <w:r>
        <w:rPr>
          <w:rFonts w:ascii="Times New Roman" w:eastAsia="Times New Roman" w:hAnsi="Times New Roman" w:cs="Times New Roman"/>
          <w:bCs/>
        </w:rPr>
        <w:t xml:space="preserve"> </w:t>
      </w:r>
      <w:r>
        <w:rPr>
          <w:rFonts w:ascii="Times New Roman" w:hAnsi="Times New Roman" w:cs="Times New Roman"/>
          <w:bCs/>
        </w:rPr>
        <w:t>Katonai logisztika alapképzési szak, hadtáp specializáció</w:t>
      </w:r>
    </w:p>
    <w:p w:rsidR="002E3187" w:rsidRDefault="002E3187" w:rsidP="00980876">
      <w:pPr>
        <w:widowControl w:val="0"/>
        <w:numPr>
          <w:ilvl w:val="0"/>
          <w:numId w:val="223"/>
        </w:numPr>
        <w:tabs>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Az oktatásért felelős oktatási szervezeti egység megnevezése: </w:t>
      </w:r>
      <w:r>
        <w:rPr>
          <w:rFonts w:ascii="Times New Roman" w:hAnsi="Times New Roman" w:cs="Times New Roman"/>
          <w:bCs/>
        </w:rPr>
        <w:t>NKE HHK Hadtáp, Pénzügyi és Katonai Közlekedési Tanszék</w:t>
      </w:r>
    </w:p>
    <w:p w:rsidR="002E3187" w:rsidRDefault="002E3187" w:rsidP="00980876">
      <w:pPr>
        <w:widowControl w:val="0"/>
        <w:numPr>
          <w:ilvl w:val="0"/>
          <w:numId w:val="223"/>
        </w:numPr>
        <w:tabs>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tantárgyfelelős oktató neve, beosztása, tudományos fokozata:</w:t>
      </w:r>
      <w:r>
        <w:rPr>
          <w:rFonts w:ascii="Times New Roman" w:eastAsia="Times New Roman" w:hAnsi="Times New Roman" w:cs="Times New Roman"/>
          <w:bCs/>
        </w:rPr>
        <w:t xml:space="preserve"> </w:t>
      </w:r>
      <w:r>
        <w:rPr>
          <w:rFonts w:ascii="Times New Roman" w:hAnsi="Times New Roman" w:cs="Times New Roman"/>
          <w:bCs/>
        </w:rPr>
        <w:t>Dr. Pap Andrea, egyetemi docens, (PhD)</w:t>
      </w:r>
    </w:p>
    <w:p w:rsidR="002E3187" w:rsidRDefault="002E3187" w:rsidP="00980876">
      <w:pPr>
        <w:widowControl w:val="0"/>
        <w:numPr>
          <w:ilvl w:val="0"/>
          <w:numId w:val="223"/>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tanórák száma és típusa</w:t>
      </w:r>
    </w:p>
    <w:p w:rsidR="002E3187" w:rsidRDefault="002E3187" w:rsidP="00980876">
      <w:pPr>
        <w:widowControl w:val="0"/>
        <w:numPr>
          <w:ilvl w:val="1"/>
          <w:numId w:val="223"/>
        </w:numPr>
        <w:tabs>
          <w:tab w:val="num" w:pos="709"/>
          <w:tab w:val="num" w:pos="2069"/>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össz óraszám/félév: 70</w:t>
      </w:r>
    </w:p>
    <w:p w:rsidR="002E3187" w:rsidRDefault="002E3187" w:rsidP="00980876">
      <w:pPr>
        <w:widowControl w:val="0"/>
        <w:numPr>
          <w:ilvl w:val="2"/>
          <w:numId w:val="223"/>
        </w:numPr>
        <w:tabs>
          <w:tab w:val="num" w:pos="709"/>
          <w:tab w:val="num" w:pos="1134"/>
        </w:tabs>
        <w:spacing w:before="120" w:after="120" w:line="240" w:lineRule="auto"/>
        <w:ind w:left="993" w:hanging="425"/>
        <w:jc w:val="both"/>
        <w:rPr>
          <w:rFonts w:ascii="Times New Roman" w:eastAsia="Times New Roman" w:hAnsi="Times New Roman" w:cs="Times New Roman"/>
          <w:bCs/>
        </w:rPr>
      </w:pPr>
      <w:r>
        <w:rPr>
          <w:rFonts w:ascii="Times New Roman" w:eastAsia="Times New Roman" w:hAnsi="Times New Roman" w:cs="Times New Roman"/>
          <w:bCs/>
        </w:rPr>
        <w:t>nappali munkarend: (28 EA + 0 SZ + 42 GY)</w:t>
      </w:r>
    </w:p>
    <w:p w:rsidR="002E3187" w:rsidRDefault="002E3187" w:rsidP="00980876">
      <w:pPr>
        <w:widowControl w:val="0"/>
        <w:numPr>
          <w:ilvl w:val="2"/>
          <w:numId w:val="223"/>
        </w:numPr>
        <w:tabs>
          <w:tab w:val="num" w:pos="709"/>
          <w:tab w:val="num" w:pos="1134"/>
        </w:tabs>
        <w:spacing w:before="120" w:after="120" w:line="240" w:lineRule="auto"/>
        <w:ind w:left="993" w:hanging="425"/>
        <w:jc w:val="both"/>
        <w:rPr>
          <w:rFonts w:ascii="Times New Roman" w:eastAsia="Times New Roman" w:hAnsi="Times New Roman" w:cs="Times New Roman"/>
          <w:bCs/>
        </w:rPr>
      </w:pPr>
      <w:r>
        <w:rPr>
          <w:rFonts w:ascii="Times New Roman" w:eastAsia="Times New Roman" w:hAnsi="Times New Roman" w:cs="Times New Roman"/>
          <w:bCs/>
        </w:rPr>
        <w:t>levelező munkarend: -</w:t>
      </w:r>
    </w:p>
    <w:p w:rsidR="002E3187" w:rsidRDefault="002E3187" w:rsidP="00980876">
      <w:pPr>
        <w:widowControl w:val="0"/>
        <w:numPr>
          <w:ilvl w:val="1"/>
          <w:numId w:val="223"/>
        </w:numPr>
        <w:tabs>
          <w:tab w:val="num" w:pos="709"/>
          <w:tab w:val="num" w:pos="2069"/>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 xml:space="preserve">heti óraszám - nappali munkarend: </w:t>
      </w:r>
      <w:r w:rsidR="00233B67" w:rsidRPr="00233B67">
        <w:rPr>
          <w:rFonts w:ascii="Times New Roman" w:eastAsia="Times New Roman" w:hAnsi="Times New Roman" w:cs="Times New Roman"/>
          <w:bCs/>
          <w:color w:val="FF0000"/>
          <w:highlight w:val="yellow"/>
        </w:rPr>
        <w:t>5 (2+3)</w:t>
      </w:r>
    </w:p>
    <w:p w:rsidR="002E3187" w:rsidRDefault="002E3187" w:rsidP="00980876">
      <w:pPr>
        <w:widowControl w:val="0"/>
        <w:numPr>
          <w:ilvl w:val="1"/>
          <w:numId w:val="223"/>
        </w:numPr>
        <w:tabs>
          <w:tab w:val="num" w:pos="709"/>
          <w:tab w:val="num" w:pos="2069"/>
        </w:tabs>
        <w:spacing w:before="120" w:after="120" w:line="240" w:lineRule="auto"/>
        <w:ind w:left="851" w:hanging="425"/>
        <w:jc w:val="both"/>
        <w:rPr>
          <w:rFonts w:ascii="Times New Roman" w:eastAsia="Times New Roman" w:hAnsi="Times New Roman" w:cs="Times New Roman"/>
          <w:bCs/>
        </w:rPr>
      </w:pPr>
      <w:r>
        <w:rPr>
          <w:rFonts w:ascii="Times New Roman" w:hAnsi="Times New Roman" w:cs="Times New Roman"/>
        </w:rPr>
        <w:t>Az ismeret átadásában alkalmazandó további sajátos módok, jellemzők:</w:t>
      </w:r>
      <w:r>
        <w:rPr>
          <w:rFonts w:ascii="Times New Roman" w:hAnsi="Times New Roman" w:cs="Times New Roman"/>
          <w:i/>
        </w:rPr>
        <w:t xml:space="preserve"> Az ismeretek feldolgozása vegyes tanulási program (blended learning) alapján történik.</w:t>
      </w:r>
    </w:p>
    <w:p w:rsidR="002E3187" w:rsidRDefault="002E3187" w:rsidP="00980876">
      <w:pPr>
        <w:widowControl w:val="0"/>
        <w:numPr>
          <w:ilvl w:val="0"/>
          <w:numId w:val="223"/>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tantárgy szakmai tartalma (magyarul):</w:t>
      </w:r>
      <w:r>
        <w:rPr>
          <w:rFonts w:ascii="Times New Roman" w:eastAsia="Times New Roman" w:hAnsi="Times New Roman" w:cs="Times New Roman"/>
          <w:bCs/>
        </w:rPr>
        <w:t xml:space="preserve"> Megismertetni a honvéd tisztjelöltekkel az MH élelmezési ellátási rendszerét, feladatait.</w:t>
      </w:r>
    </w:p>
    <w:p w:rsidR="002E3187" w:rsidRDefault="002E3187" w:rsidP="002E3187">
      <w:pPr>
        <w:widowControl w:val="0"/>
        <w:spacing w:before="120" w:after="120" w:line="240" w:lineRule="auto"/>
        <w:ind w:left="426"/>
        <w:jc w:val="both"/>
        <w:rPr>
          <w:rFonts w:ascii="Times New Roman" w:eastAsia="Times New Roman" w:hAnsi="Times New Roman" w:cs="Times New Roman"/>
          <w:bCs/>
          <w:lang w:val="en-GB"/>
        </w:rPr>
      </w:pPr>
      <w:r>
        <w:rPr>
          <w:rFonts w:ascii="Times New Roman" w:eastAsia="Times New Roman" w:hAnsi="Times New Roman" w:cs="Times New Roman"/>
          <w:b/>
          <w:bCs/>
        </w:rPr>
        <w:t>A tantárgy szakmai tartalma (angolul) (</w:t>
      </w:r>
      <w:r>
        <w:rPr>
          <w:rFonts w:ascii="Times New Roman" w:eastAsia="Times New Roman" w:hAnsi="Times New Roman" w:cs="Times New Roman"/>
          <w:b/>
          <w:bCs/>
          <w:lang w:val="en-US"/>
        </w:rPr>
        <w:t>Course description</w:t>
      </w:r>
      <w:r>
        <w:rPr>
          <w:rFonts w:ascii="Times New Roman" w:eastAsia="Times New Roman" w:hAnsi="Times New Roman" w:cs="Times New Roman"/>
          <w:b/>
          <w:bCs/>
        </w:rPr>
        <w:t xml:space="preserve">): </w:t>
      </w:r>
      <w:r>
        <w:rPr>
          <w:rFonts w:ascii="Times New Roman" w:eastAsia="Times New Roman" w:hAnsi="Times New Roman" w:cs="Times New Roman"/>
          <w:bCs/>
        </w:rPr>
        <w:t>Military cadets are familiarized with the system and tasks of the catering service of the Hungarian Defence Forces.</w:t>
      </w:r>
    </w:p>
    <w:p w:rsidR="002E3187" w:rsidRDefault="002E3187" w:rsidP="00980876">
      <w:pPr>
        <w:pStyle w:val="Listaszerbekezds"/>
        <w:widowControl w:val="0"/>
        <w:numPr>
          <w:ilvl w:val="0"/>
          <w:numId w:val="223"/>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Elérendő kompetenciák (magyarul):</w:t>
      </w:r>
      <w:r>
        <w:rPr>
          <w:rFonts w:ascii="Times New Roman" w:eastAsia="Times New Roman" w:hAnsi="Times New Roman" w:cs="Times New Roman"/>
          <w:bCs/>
        </w:rPr>
        <w:t xml:space="preserve"> </w:t>
      </w:r>
    </w:p>
    <w:p w:rsidR="002E3187" w:rsidRDefault="002E3187" w:rsidP="002E3187">
      <w:pPr>
        <w:widowControl w:val="0"/>
        <w:spacing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Tudása:</w:t>
      </w:r>
    </w:p>
    <w:p w:rsidR="002E3187" w:rsidRDefault="002E3187" w:rsidP="002E3187">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Ismeri a hadtáp szakanyagok csoportosítását, azok előállítását, nemzetgazdaságból történő beszerzéseinek lehetőségeit, és a közbeszerzések lefolytatásának rendjét.</w:t>
      </w:r>
    </w:p>
    <w:p w:rsidR="002E3187" w:rsidRDefault="002E3187" w:rsidP="002E3187">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Mélyrehatóan ismeri az élelmezési szakterület szakmai feladatait, a Magyar Honvédség élelemzési ellátási rendszerének felépítését.</w:t>
      </w:r>
    </w:p>
    <w:p w:rsidR="002E3187" w:rsidRDefault="002E3187" w:rsidP="002E3187">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Képességei:</w:t>
      </w:r>
      <w:r>
        <w:rPr>
          <w:rFonts w:ascii="Times New Roman" w:eastAsia="Times New Roman" w:hAnsi="Times New Roman" w:cs="Times New Roman"/>
          <w:bCs/>
        </w:rPr>
        <w:t xml:space="preserve"> </w:t>
      </w:r>
    </w:p>
    <w:p w:rsidR="002E3187" w:rsidRDefault="002E3187" w:rsidP="002E3187">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Képes alegység szintű ellátási feladatok végrehajtására, vezetésére békében, különleges jogrendi időszakban, többnemzeti és nemzetközi környezetben végrehajtandó béketámogató műveletekben.</w:t>
      </w:r>
    </w:p>
    <w:p w:rsidR="002E3187" w:rsidRDefault="002E3187" w:rsidP="002E3187">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Képes beosztottjainak a hadtáp szaktechnikai eszközök használatára történő kiképzését megszervezni és végrehajtani.</w:t>
      </w:r>
    </w:p>
    <w:p w:rsidR="002E3187" w:rsidRDefault="002E3187" w:rsidP="002E3187">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Képes gazdálkodási feladatok alapszintű tervezésére, szervezésére, irányítására és az ebből adódó tevékenységek gazdasági elemzésinek végrehajtására.</w:t>
      </w:r>
    </w:p>
    <w:p w:rsidR="002E3187" w:rsidRDefault="002E3187" w:rsidP="002E3187">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Attitűdje:</w:t>
      </w:r>
      <w:r>
        <w:rPr>
          <w:rFonts w:ascii="Times New Roman" w:eastAsia="Times New Roman" w:hAnsi="Times New Roman" w:cs="Times New Roman"/>
          <w:bCs/>
        </w:rPr>
        <w:t xml:space="preserve"> </w:t>
      </w:r>
    </w:p>
    <w:p w:rsidR="002E3187" w:rsidRDefault="002E3187" w:rsidP="002E3187">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A hadtáp szakmai feladatok ellátása során a rendszerszemlélet és jó szervezőkészség jellemzi.</w:t>
      </w:r>
    </w:p>
    <w:p w:rsidR="002E3187" w:rsidRDefault="002E3187" w:rsidP="002E3187">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 xml:space="preserve">Nyitott a hadtáp szakterület új tudományos eredményei iránt, képes a hadtáp szakterületen </w:t>
      </w:r>
      <w:r>
        <w:rPr>
          <w:rFonts w:ascii="Times New Roman" w:eastAsia="Times New Roman" w:hAnsi="Times New Roman"/>
          <w:bCs/>
        </w:rPr>
        <w:lastRenderedPageBreak/>
        <w:t>bekövetkező változásokhoz és fejlődéshez jól alkalmazkodni.</w:t>
      </w:r>
    </w:p>
    <w:p w:rsidR="002E3187" w:rsidRDefault="002E3187" w:rsidP="002E3187">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Tevékenységét a hatékonyság központú szemlélet jellemzi.</w:t>
      </w:r>
    </w:p>
    <w:p w:rsidR="002E3187" w:rsidRDefault="002E3187" w:rsidP="002E3187">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Autonómiája és felelőssége:</w:t>
      </w:r>
    </w:p>
    <w:p w:rsidR="002E3187" w:rsidRDefault="002E3187" w:rsidP="002E3187">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Az ellátási folyamatok végrehajtása során önállóan döntéseket hoz, azokat felelősséggel, a jogszabályi keretek figyelembevételével végrehajtja.</w:t>
      </w:r>
    </w:p>
    <w:p w:rsidR="002E3187" w:rsidRDefault="002E3187" w:rsidP="002E3187">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Felelősséget vállal szakbeosztottjaiért, valamint a rábízott hadtáp szaktechnikai eszközökért és anyagokért.</w:t>
      </w:r>
    </w:p>
    <w:p w:rsidR="002E3187" w:rsidRDefault="002E3187" w:rsidP="002E3187">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Felelősséget vállal számvetéseinek pontosságáért.</w:t>
      </w:r>
    </w:p>
    <w:p w:rsidR="002E3187" w:rsidRDefault="002E3187" w:rsidP="002E3187">
      <w:pPr>
        <w:widowControl w:val="0"/>
        <w:spacing w:before="120" w:after="0" w:line="240" w:lineRule="auto"/>
        <w:ind w:left="425"/>
        <w:jc w:val="both"/>
        <w:rPr>
          <w:rFonts w:ascii="Times New Roman" w:eastAsia="Times New Roman" w:hAnsi="Times New Roman" w:cs="Times New Roman"/>
          <w:b/>
          <w:bCs/>
          <w:lang w:val="en-US"/>
        </w:rPr>
      </w:pPr>
      <w:r>
        <w:rPr>
          <w:rFonts w:ascii="Times New Roman" w:eastAsia="Times New Roman" w:hAnsi="Times New Roman" w:cs="Times New Roman"/>
          <w:b/>
          <w:bCs/>
        </w:rPr>
        <w:t>Elérendő kompetenciák (angolul) (</w:t>
      </w:r>
      <w:r>
        <w:rPr>
          <w:rFonts w:ascii="Times New Roman" w:eastAsia="Times New Roman" w:hAnsi="Times New Roman" w:cs="Times New Roman"/>
          <w:b/>
          <w:bCs/>
          <w:lang w:val="en-US"/>
        </w:rPr>
        <w:t xml:space="preserve">Competences – English): </w:t>
      </w:r>
    </w:p>
    <w:p w:rsidR="002E3187" w:rsidRDefault="002E3187" w:rsidP="002E3187">
      <w:pPr>
        <w:widowControl w:val="0"/>
        <w:spacing w:before="120" w:after="0" w:line="240" w:lineRule="auto"/>
        <w:ind w:left="425"/>
        <w:jc w:val="both"/>
        <w:rPr>
          <w:rFonts w:ascii="Times New Roman" w:eastAsia="Times New Roman" w:hAnsi="Times New Roman" w:cs="Times New Roman"/>
          <w:lang w:val="en-GB"/>
        </w:rPr>
      </w:pPr>
      <w:r>
        <w:rPr>
          <w:rFonts w:ascii="Times New Roman" w:eastAsia="Times New Roman" w:hAnsi="Times New Roman" w:cs="Times New Roman"/>
          <w:b/>
          <w:lang w:val="en-GB"/>
        </w:rPr>
        <w:t>Knowledge</w:t>
      </w:r>
      <w:r>
        <w:rPr>
          <w:rFonts w:ascii="Times New Roman" w:eastAsia="Times New Roman" w:hAnsi="Times New Roman" w:cs="Times New Roman"/>
          <w:lang w:val="en-GB"/>
        </w:rPr>
        <w:t xml:space="preserve">: </w:t>
      </w:r>
    </w:p>
    <w:p w:rsidR="002E3187" w:rsidRDefault="002E3187" w:rsidP="002E3187">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To be able to familiar with the types of supply materials, their productions processes and possible procurement sources.</w:t>
      </w:r>
    </w:p>
    <w:p w:rsidR="002E3187" w:rsidRDefault="002E3187" w:rsidP="002E3187">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To be able to deeply familiar with the structure and tasks of the Food Supply Service in the HDF.</w:t>
      </w:r>
    </w:p>
    <w:p w:rsidR="002E3187" w:rsidRDefault="002E3187" w:rsidP="002E3187">
      <w:pPr>
        <w:widowControl w:val="0"/>
        <w:spacing w:before="120" w:after="0" w:line="240" w:lineRule="auto"/>
        <w:ind w:left="425"/>
        <w:jc w:val="both"/>
        <w:rPr>
          <w:rFonts w:ascii="Times New Roman" w:eastAsia="Times New Roman" w:hAnsi="Times New Roman" w:cs="Times New Roman"/>
          <w:lang w:val="en-GB"/>
        </w:rPr>
      </w:pPr>
      <w:r>
        <w:rPr>
          <w:rFonts w:ascii="Times New Roman" w:eastAsia="Times New Roman" w:hAnsi="Times New Roman" w:cs="Times New Roman"/>
          <w:b/>
          <w:lang w:val="en-GB"/>
        </w:rPr>
        <w:t>Capabilities</w:t>
      </w:r>
      <w:r>
        <w:rPr>
          <w:rFonts w:ascii="Times New Roman" w:eastAsia="Times New Roman" w:hAnsi="Times New Roman" w:cs="Times New Roman"/>
          <w:lang w:val="en-GB"/>
        </w:rPr>
        <w:t xml:space="preserve">: </w:t>
      </w:r>
    </w:p>
    <w:p w:rsidR="002E3187" w:rsidRDefault="002E3187" w:rsidP="002E3187">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To be capable of operating the technical equipment of the Army Supply Services.</w:t>
      </w:r>
    </w:p>
    <w:p w:rsidR="002E3187" w:rsidRDefault="002E3187" w:rsidP="002E3187">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To be capable of organizing and delivering training for his/her staff in the operation of the technical equipment of the Army Supply Services.</w:t>
      </w:r>
    </w:p>
    <w:p w:rsidR="002E3187" w:rsidRDefault="002E3187" w:rsidP="00056F25">
      <w:pPr>
        <w:widowControl w:val="0"/>
        <w:spacing w:before="120" w:after="120" w:line="240" w:lineRule="auto"/>
        <w:ind w:left="992" w:hanging="357"/>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To be able to plan, organise, control and evaluate management and financial tasks.</w:t>
      </w:r>
    </w:p>
    <w:p w:rsidR="002E3187" w:rsidRPr="00056F25" w:rsidRDefault="002E3187" w:rsidP="00056F25">
      <w:pPr>
        <w:widowControl w:val="0"/>
        <w:spacing w:before="120" w:after="0" w:line="240" w:lineRule="auto"/>
        <w:ind w:left="425"/>
        <w:jc w:val="both"/>
        <w:rPr>
          <w:rFonts w:ascii="Times New Roman" w:eastAsia="Times New Roman" w:hAnsi="Times New Roman" w:cs="Times New Roman"/>
          <w:b/>
          <w:lang w:val="en-GB"/>
        </w:rPr>
      </w:pPr>
      <w:r>
        <w:rPr>
          <w:rFonts w:ascii="Times New Roman" w:eastAsia="Times New Roman" w:hAnsi="Times New Roman" w:cs="Times New Roman"/>
          <w:b/>
          <w:lang w:val="en-GB"/>
        </w:rPr>
        <w:t>Attitude:</w:t>
      </w:r>
      <w:r w:rsidRPr="00056F25">
        <w:rPr>
          <w:rFonts w:ascii="Times New Roman" w:eastAsia="Times New Roman" w:hAnsi="Times New Roman" w:cs="Times New Roman"/>
          <w:b/>
          <w:lang w:val="en-GB"/>
        </w:rPr>
        <w:t xml:space="preserve"> </w:t>
      </w:r>
    </w:p>
    <w:p w:rsidR="002E3187" w:rsidRDefault="002E3187" w:rsidP="002E3187">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His/Her professional work is characterized by a systemic approach and good organizational skills. He/She is open to new scientific achievements, and well adapted to changes and developments in the field of supply.</w:t>
      </w:r>
    </w:p>
    <w:p w:rsidR="002E3187" w:rsidRDefault="002E3187" w:rsidP="002E3187">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 xml:space="preserve">To be characterized by efficiency-based attitude.    </w:t>
      </w:r>
    </w:p>
    <w:p w:rsidR="002E3187" w:rsidRDefault="002E3187" w:rsidP="00056F25">
      <w:pPr>
        <w:widowControl w:val="0"/>
        <w:spacing w:before="120" w:after="0" w:line="240" w:lineRule="auto"/>
        <w:ind w:left="425"/>
        <w:jc w:val="both"/>
        <w:rPr>
          <w:rFonts w:ascii="Times New Roman" w:eastAsia="Times New Roman" w:hAnsi="Times New Roman" w:cs="Times New Roman"/>
          <w:b/>
          <w:lang w:val="en-GB"/>
        </w:rPr>
      </w:pPr>
      <w:r>
        <w:rPr>
          <w:rFonts w:ascii="Times New Roman" w:eastAsia="Times New Roman" w:hAnsi="Times New Roman" w:cs="Times New Roman"/>
          <w:b/>
          <w:lang w:val="en-GB"/>
        </w:rPr>
        <w:t xml:space="preserve">Autonomy and responsibility: </w:t>
      </w:r>
    </w:p>
    <w:p w:rsidR="002E3187" w:rsidRDefault="002E3187" w:rsidP="002E3187">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In the course of the implementation of the supply processes, he/she makes decisions independently, executes them in a highly responsible way and within the legal framework.</w:t>
      </w:r>
    </w:p>
    <w:p w:rsidR="002E3187" w:rsidRDefault="002E3187" w:rsidP="002E3187">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He/She is responsible for the provided technical equipment.</w:t>
      </w:r>
    </w:p>
    <w:p w:rsidR="002E3187" w:rsidRDefault="002E3187" w:rsidP="002E3187">
      <w:pPr>
        <w:widowControl w:val="0"/>
        <w:spacing w:before="120" w:after="120" w:line="240" w:lineRule="auto"/>
        <w:ind w:left="993" w:hanging="360"/>
        <w:contextualSpacing/>
        <w:jc w:val="both"/>
        <w:rPr>
          <w:rFonts w:ascii="Times New Roman" w:eastAsia="Times New Roman" w:hAnsi="Times New Roman" w:cs="Times New Roman"/>
          <w:bCs/>
          <w:lang w:val="en-US"/>
        </w:rPr>
      </w:pPr>
      <w:r>
        <w:rPr>
          <w:rFonts w:ascii="Times New Roman" w:eastAsia="Times New Roman" w:hAnsi="Times New Roman"/>
          <w:bCs/>
        </w:rPr>
        <w:t>-</w:t>
      </w:r>
      <w:r>
        <w:rPr>
          <w:rFonts w:ascii="Times New Roman" w:eastAsia="Times New Roman" w:hAnsi="Times New Roman"/>
          <w:bCs/>
        </w:rPr>
        <w:tab/>
        <w:t xml:space="preserve">Take responsibility for the accuracy of the calculations. </w:t>
      </w:r>
      <w:r>
        <w:rPr>
          <w:rFonts w:ascii="Times New Roman" w:eastAsia="Times New Roman" w:hAnsi="Times New Roman" w:cs="Times New Roman"/>
          <w:bCs/>
          <w:lang w:val="en-US"/>
        </w:rPr>
        <w:t xml:space="preserve"> </w:t>
      </w:r>
    </w:p>
    <w:p w:rsidR="002E3187" w:rsidRDefault="002E3187" w:rsidP="00980876">
      <w:pPr>
        <w:widowControl w:val="0"/>
        <w:numPr>
          <w:ilvl w:val="0"/>
          <w:numId w:val="223"/>
        </w:numPr>
        <w:tabs>
          <w:tab w:val="num" w:pos="567"/>
        </w:tabs>
        <w:spacing w:before="24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Előtanulmányi követelmények:</w:t>
      </w:r>
    </w:p>
    <w:p w:rsidR="002E3187" w:rsidRPr="002E3187" w:rsidRDefault="002E3187" w:rsidP="00980876">
      <w:pPr>
        <w:pStyle w:val="Listaszerbekezds"/>
        <w:widowControl w:val="0"/>
        <w:numPr>
          <w:ilvl w:val="1"/>
          <w:numId w:val="224"/>
        </w:numPr>
        <w:spacing w:before="120" w:after="120" w:line="240" w:lineRule="auto"/>
        <w:jc w:val="both"/>
        <w:rPr>
          <w:rFonts w:ascii="Times New Roman" w:eastAsia="Times New Roman" w:hAnsi="Times New Roman" w:cs="Times New Roman"/>
          <w:bCs/>
        </w:rPr>
      </w:pPr>
      <w:r w:rsidRPr="002E3187">
        <w:rPr>
          <w:rFonts w:ascii="Times New Roman" w:eastAsia="Times New Roman" w:hAnsi="Times New Roman" w:cs="Times New Roman"/>
          <w:bCs/>
        </w:rPr>
        <w:t>Katonai ellátás- és szolgáltatásmenedzsment (HKHPKA106)</w:t>
      </w:r>
    </w:p>
    <w:p w:rsidR="002E3187" w:rsidRPr="002E3187" w:rsidRDefault="002E3187" w:rsidP="00980876">
      <w:pPr>
        <w:pStyle w:val="Listaszerbekezds"/>
        <w:widowControl w:val="0"/>
        <w:numPr>
          <w:ilvl w:val="1"/>
          <w:numId w:val="224"/>
        </w:numPr>
        <w:spacing w:before="120" w:after="120" w:line="240" w:lineRule="auto"/>
        <w:jc w:val="both"/>
        <w:rPr>
          <w:rFonts w:ascii="Times New Roman" w:eastAsia="Times New Roman" w:hAnsi="Times New Roman" w:cs="Times New Roman"/>
          <w:bCs/>
        </w:rPr>
      </w:pPr>
      <w:r w:rsidRPr="002E3187">
        <w:rPr>
          <w:rFonts w:ascii="Times New Roman" w:eastAsia="Times New Roman" w:hAnsi="Times New Roman" w:cs="Times New Roman"/>
          <w:bCs/>
        </w:rPr>
        <w:t>Hadtáp szaktechnikai eszközök (HKHPKA109)</w:t>
      </w:r>
    </w:p>
    <w:p w:rsidR="002E3187" w:rsidRDefault="002E3187" w:rsidP="00980876">
      <w:pPr>
        <w:widowControl w:val="0"/>
        <w:numPr>
          <w:ilvl w:val="0"/>
          <w:numId w:val="223"/>
        </w:numPr>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A tantárgy tananyagának leírása, tematika. Description of the subject, curriculum (magyarul, angolul - English):</w:t>
      </w:r>
    </w:p>
    <w:p w:rsidR="002E3187" w:rsidRDefault="002E3187" w:rsidP="00980876">
      <w:pPr>
        <w:widowControl w:val="0"/>
        <w:numPr>
          <w:ilvl w:val="1"/>
          <w:numId w:val="223"/>
        </w:numPr>
        <w:tabs>
          <w:tab w:val="left" w:pos="709"/>
          <w:tab w:val="left" w:pos="993"/>
          <w:tab w:val="num" w:pos="2069"/>
        </w:tabs>
        <w:spacing w:before="120" w:after="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Az élelmezési szakterület szervezeti felépítése, állományának feladatai. </w:t>
      </w:r>
      <w:r>
        <w:rPr>
          <w:rFonts w:ascii="Times New Roman" w:eastAsia="Times New Roman" w:hAnsi="Times New Roman" w:cs="Times New Roman"/>
          <w:i/>
          <w:kern w:val="2"/>
        </w:rPr>
        <w:t>(Organization and tasks of the food services.)</w:t>
      </w:r>
    </w:p>
    <w:p w:rsidR="002E3187" w:rsidRDefault="002E3187" w:rsidP="00980876">
      <w:pPr>
        <w:widowControl w:val="0"/>
        <w:numPr>
          <w:ilvl w:val="1"/>
          <w:numId w:val="223"/>
        </w:numPr>
        <w:tabs>
          <w:tab w:val="left" w:pos="709"/>
          <w:tab w:val="left" w:pos="993"/>
          <w:tab w:val="num" w:pos="2069"/>
        </w:tabs>
        <w:spacing w:before="120" w:after="0" w:line="240" w:lineRule="auto"/>
        <w:ind w:left="426" w:firstLine="0"/>
        <w:jc w:val="both"/>
        <w:rPr>
          <w:rFonts w:ascii="Times New Roman" w:eastAsia="Times New Roman" w:hAnsi="Times New Roman" w:cs="Times New Roman"/>
          <w:lang w:val="en-US"/>
        </w:rPr>
      </w:pPr>
      <w:r>
        <w:rPr>
          <w:rFonts w:ascii="Times New Roman" w:hAnsi="Times New Roman"/>
          <w:lang w:val="en-US"/>
        </w:rPr>
        <w:t xml:space="preserve">A élelmezési anyagok készletezésének rendje. </w:t>
      </w:r>
      <w:r>
        <w:rPr>
          <w:rFonts w:ascii="Times New Roman" w:hAnsi="Times New Roman"/>
          <w:i/>
          <w:lang w:val="en-US"/>
        </w:rPr>
        <w:t>(Storing food supply materials.)</w:t>
      </w:r>
    </w:p>
    <w:p w:rsidR="002E3187" w:rsidRDefault="002E3187" w:rsidP="00980876">
      <w:pPr>
        <w:widowControl w:val="0"/>
        <w:numPr>
          <w:ilvl w:val="1"/>
          <w:numId w:val="223"/>
        </w:numPr>
        <w:tabs>
          <w:tab w:val="left" w:pos="709"/>
          <w:tab w:val="left" w:pos="993"/>
          <w:tab w:val="num" w:pos="2069"/>
        </w:tabs>
        <w:spacing w:before="120" w:after="0" w:line="240" w:lineRule="auto"/>
        <w:ind w:left="426" w:firstLine="0"/>
        <w:jc w:val="both"/>
        <w:rPr>
          <w:rFonts w:ascii="Times New Roman" w:eastAsia="Times New Roman" w:hAnsi="Times New Roman" w:cs="Times New Roman"/>
          <w:lang w:val="en-US"/>
        </w:rPr>
      </w:pPr>
      <w:r>
        <w:rPr>
          <w:rFonts w:ascii="Times New Roman" w:hAnsi="Times New Roman"/>
          <w:lang w:val="en-US"/>
        </w:rPr>
        <w:t xml:space="preserve">Az élelmezési normák igényjogosultjai, a felszámítás szabályai. </w:t>
      </w:r>
      <w:r>
        <w:rPr>
          <w:rFonts w:ascii="Times New Roman" w:hAnsi="Times New Roman"/>
          <w:i/>
          <w:lang w:val="en-US"/>
        </w:rPr>
        <w:t>(Food supply norms.)</w:t>
      </w:r>
    </w:p>
    <w:p w:rsidR="002E3187" w:rsidRDefault="002E3187" w:rsidP="00980876">
      <w:pPr>
        <w:widowControl w:val="0"/>
        <w:numPr>
          <w:ilvl w:val="1"/>
          <w:numId w:val="223"/>
        </w:numPr>
        <w:tabs>
          <w:tab w:val="left" w:pos="709"/>
          <w:tab w:val="left" w:pos="993"/>
          <w:tab w:val="num" w:pos="2069"/>
        </w:tabs>
        <w:spacing w:before="120" w:after="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Az élelmezési szakterület gazdálkodásának elszámoltatása, a jelentés tartalma. </w:t>
      </w:r>
      <w:r>
        <w:rPr>
          <w:rFonts w:ascii="Times New Roman" w:eastAsia="Times New Roman" w:hAnsi="Times New Roman" w:cs="Times New Roman"/>
          <w:i/>
          <w:kern w:val="2"/>
        </w:rPr>
        <w:t>(Reports of the Food Supply Service.)</w:t>
      </w:r>
    </w:p>
    <w:p w:rsidR="002E3187" w:rsidRDefault="002E3187" w:rsidP="00980876">
      <w:pPr>
        <w:widowControl w:val="0"/>
        <w:numPr>
          <w:ilvl w:val="1"/>
          <w:numId w:val="223"/>
        </w:numPr>
        <w:tabs>
          <w:tab w:val="left" w:pos="709"/>
          <w:tab w:val="left" w:pos="993"/>
          <w:tab w:val="num" w:pos="2069"/>
        </w:tabs>
        <w:spacing w:before="120" w:after="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Az élelmezési illetmény felszámítása és összesítése. </w:t>
      </w:r>
      <w:r>
        <w:rPr>
          <w:rFonts w:ascii="Times New Roman" w:eastAsia="Times New Roman" w:hAnsi="Times New Roman" w:cs="Times New Roman"/>
          <w:i/>
          <w:kern w:val="2"/>
        </w:rPr>
        <w:t>(Calculation of the food supply allowance.)</w:t>
      </w:r>
    </w:p>
    <w:p w:rsidR="002E3187" w:rsidRDefault="002E3187" w:rsidP="00980876">
      <w:pPr>
        <w:widowControl w:val="0"/>
        <w:numPr>
          <w:ilvl w:val="1"/>
          <w:numId w:val="223"/>
        </w:numPr>
        <w:tabs>
          <w:tab w:val="left" w:pos="709"/>
          <w:tab w:val="left" w:pos="993"/>
          <w:tab w:val="num" w:pos="2069"/>
        </w:tabs>
        <w:spacing w:before="120" w:after="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Az élelmezési szakterület költségvetési előirányzat tervezésének szabályai. </w:t>
      </w:r>
      <w:r>
        <w:rPr>
          <w:rFonts w:ascii="Times New Roman" w:eastAsia="Times New Roman" w:hAnsi="Times New Roman" w:cs="Times New Roman"/>
          <w:i/>
          <w:kern w:val="2"/>
        </w:rPr>
        <w:t>(Planning regulations for food supply service budget calculations.)</w:t>
      </w:r>
    </w:p>
    <w:p w:rsidR="002E3187" w:rsidRDefault="002E3187" w:rsidP="00980876">
      <w:pPr>
        <w:widowControl w:val="0"/>
        <w:numPr>
          <w:ilvl w:val="1"/>
          <w:numId w:val="223"/>
        </w:numPr>
        <w:tabs>
          <w:tab w:val="left" w:pos="709"/>
          <w:tab w:val="left" w:pos="993"/>
          <w:tab w:val="num" w:pos="2069"/>
        </w:tabs>
        <w:spacing w:before="120" w:after="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Az étlap összeállításának folyamata, gyakorlati megvalósulása. Az étrend elkészítése. Gyakorlatok élelmezési biztosítása, étlap összeállítása. </w:t>
      </w:r>
      <w:r>
        <w:rPr>
          <w:rFonts w:ascii="Times New Roman" w:eastAsia="Times New Roman" w:hAnsi="Times New Roman" w:cs="Times New Roman"/>
          <w:i/>
          <w:kern w:val="2"/>
        </w:rPr>
        <w:t>(Planning the menu and executing catering during trainings.)</w:t>
      </w:r>
    </w:p>
    <w:p w:rsidR="002E3187" w:rsidRDefault="002E3187" w:rsidP="00980876">
      <w:pPr>
        <w:widowControl w:val="0"/>
        <w:numPr>
          <w:ilvl w:val="1"/>
          <w:numId w:val="223"/>
        </w:numPr>
        <w:tabs>
          <w:tab w:val="left" w:pos="709"/>
          <w:tab w:val="left" w:pos="993"/>
          <w:tab w:val="num" w:pos="2069"/>
        </w:tabs>
        <w:spacing w:before="120" w:after="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Az élelmezési szakterület vezető beosztás átadás-átvétele, a jegyzőkönyv tartalma. </w:t>
      </w:r>
      <w:r>
        <w:rPr>
          <w:rFonts w:ascii="Times New Roman" w:eastAsia="Times New Roman" w:hAnsi="Times New Roman" w:cs="Times New Roman"/>
          <w:i/>
          <w:kern w:val="2"/>
        </w:rPr>
        <w:t>(HOTO of the assignment.)</w:t>
      </w:r>
    </w:p>
    <w:p w:rsidR="002E3187" w:rsidRDefault="002E3187" w:rsidP="00980876">
      <w:pPr>
        <w:widowControl w:val="0"/>
        <w:numPr>
          <w:ilvl w:val="1"/>
          <w:numId w:val="223"/>
        </w:numPr>
        <w:tabs>
          <w:tab w:val="left" w:pos="709"/>
          <w:tab w:val="left" w:pos="993"/>
          <w:tab w:val="num" w:pos="2069"/>
        </w:tabs>
        <w:spacing w:before="120" w:after="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lastRenderedPageBreak/>
        <w:t xml:space="preserve">Az élelmezési szakanyagok leltározásának rendje, okmányok kitöltése. </w:t>
      </w:r>
      <w:r>
        <w:rPr>
          <w:rFonts w:ascii="Times New Roman" w:eastAsia="Times New Roman" w:hAnsi="Times New Roman" w:cs="Times New Roman"/>
          <w:i/>
          <w:kern w:val="2"/>
        </w:rPr>
        <w:t>(Inventory tasks in the field of food supply.)</w:t>
      </w:r>
    </w:p>
    <w:p w:rsidR="002E3187" w:rsidRDefault="002E3187" w:rsidP="00980876">
      <w:pPr>
        <w:widowControl w:val="0"/>
        <w:numPr>
          <w:ilvl w:val="1"/>
          <w:numId w:val="223"/>
        </w:numPr>
        <w:tabs>
          <w:tab w:val="left" w:pos="709"/>
          <w:tab w:val="left" w:pos="993"/>
          <w:tab w:val="num" w:pos="2069"/>
        </w:tabs>
        <w:spacing w:before="120" w:after="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 káreljárás lefolytatásának menete, a kárfelvételi jegyzőkönyv tartalma. </w:t>
      </w:r>
      <w:r>
        <w:rPr>
          <w:rFonts w:ascii="Times New Roman" w:eastAsia="Times New Roman" w:hAnsi="Times New Roman" w:cs="Times New Roman"/>
          <w:i/>
          <w:kern w:val="2"/>
        </w:rPr>
        <w:t>(Investigation process of damages.)</w:t>
      </w:r>
    </w:p>
    <w:p w:rsidR="002E3187" w:rsidRDefault="002E3187" w:rsidP="00980876">
      <w:pPr>
        <w:widowControl w:val="0"/>
        <w:numPr>
          <w:ilvl w:val="1"/>
          <w:numId w:val="223"/>
        </w:numPr>
        <w:tabs>
          <w:tab w:val="left" w:pos="709"/>
          <w:tab w:val="left" w:pos="993"/>
          <w:tab w:val="num" w:pos="2069"/>
        </w:tabs>
        <w:spacing w:before="120" w:after="0" w:line="240" w:lineRule="auto"/>
        <w:ind w:left="426" w:firstLine="0"/>
        <w:jc w:val="both"/>
        <w:rPr>
          <w:rFonts w:ascii="Times New Roman" w:eastAsia="Times New Roman" w:hAnsi="Times New Roman" w:cs="Times New Roman"/>
          <w:lang w:val="en-US"/>
        </w:rPr>
      </w:pPr>
      <w:r>
        <w:rPr>
          <w:rFonts w:ascii="Times New Roman" w:hAnsi="Times New Roman"/>
          <w:lang w:val="en-US"/>
        </w:rPr>
        <w:t xml:space="preserve">Az élelmezési szakanyagok selejtezésének rendje. </w:t>
      </w:r>
      <w:r>
        <w:rPr>
          <w:rFonts w:ascii="Times New Roman" w:hAnsi="Times New Roman"/>
          <w:i/>
          <w:lang w:val="en-US"/>
        </w:rPr>
        <w:t>(Sorting out food supply materials.)</w:t>
      </w:r>
    </w:p>
    <w:p w:rsidR="002E3187" w:rsidRDefault="002E3187" w:rsidP="00980876">
      <w:pPr>
        <w:widowControl w:val="0"/>
        <w:numPr>
          <w:ilvl w:val="1"/>
          <w:numId w:val="223"/>
        </w:numPr>
        <w:tabs>
          <w:tab w:val="left" w:pos="709"/>
          <w:tab w:val="left" w:pos="993"/>
          <w:tab w:val="num" w:pos="2069"/>
        </w:tabs>
        <w:spacing w:before="120" w:after="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Az élelmezési szakterület KFR feladatai. </w:t>
      </w:r>
      <w:r>
        <w:rPr>
          <w:rFonts w:ascii="Times New Roman" w:eastAsia="Times New Roman" w:hAnsi="Times New Roman" w:cs="Times New Roman"/>
          <w:i/>
          <w:kern w:val="2"/>
        </w:rPr>
        <w:t>(Tasks of the Food Supply Service at the time of mobilization.)</w:t>
      </w:r>
    </w:p>
    <w:p w:rsidR="002E3187" w:rsidRDefault="002E3187" w:rsidP="00980876">
      <w:pPr>
        <w:widowControl w:val="0"/>
        <w:numPr>
          <w:ilvl w:val="1"/>
          <w:numId w:val="223"/>
        </w:numPr>
        <w:tabs>
          <w:tab w:val="left" w:pos="709"/>
          <w:tab w:val="left" w:pos="993"/>
          <w:tab w:val="num" w:pos="2069"/>
        </w:tabs>
        <w:spacing w:before="120" w:after="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Az élelmezési szakterület belső ellenőrzésének rendje, végrehajtása, okmányai. </w:t>
      </w:r>
      <w:r>
        <w:rPr>
          <w:rFonts w:ascii="Times New Roman" w:eastAsia="Times New Roman" w:hAnsi="Times New Roman" w:cs="Times New Roman"/>
          <w:i/>
          <w:kern w:val="2"/>
        </w:rPr>
        <w:t>(Internal inspection of the Food Service.)</w:t>
      </w:r>
    </w:p>
    <w:p w:rsidR="002E3187" w:rsidRDefault="002E3187" w:rsidP="00980876">
      <w:pPr>
        <w:widowControl w:val="0"/>
        <w:numPr>
          <w:ilvl w:val="1"/>
          <w:numId w:val="223"/>
        </w:numPr>
        <w:tabs>
          <w:tab w:val="left" w:pos="709"/>
          <w:tab w:val="left" w:pos="993"/>
          <w:tab w:val="num" w:pos="2069"/>
        </w:tabs>
        <w:spacing w:before="120" w:after="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Az aLOGIR program felépítése, működtetése, használata. </w:t>
      </w:r>
      <w:r>
        <w:rPr>
          <w:rFonts w:ascii="Times New Roman" w:eastAsia="Times New Roman" w:hAnsi="Times New Roman" w:cs="Times New Roman"/>
          <w:i/>
          <w:kern w:val="2"/>
        </w:rPr>
        <w:t>(Structure and functions of aLOGIR information system.)</w:t>
      </w:r>
    </w:p>
    <w:p w:rsidR="002E3187" w:rsidRDefault="002E3187" w:rsidP="00980876">
      <w:pPr>
        <w:widowControl w:val="0"/>
        <w:numPr>
          <w:ilvl w:val="1"/>
          <w:numId w:val="223"/>
        </w:numPr>
        <w:tabs>
          <w:tab w:val="left" w:pos="709"/>
          <w:tab w:val="left" w:pos="993"/>
          <w:tab w:val="num" w:pos="2069"/>
        </w:tabs>
        <w:spacing w:before="120" w:after="0" w:line="240" w:lineRule="auto"/>
        <w:ind w:left="426" w:firstLine="0"/>
        <w:jc w:val="both"/>
        <w:rPr>
          <w:rFonts w:ascii="Times New Roman" w:eastAsia="Times New Roman" w:hAnsi="Times New Roman" w:cs="Times New Roman"/>
          <w:lang w:val="en-US"/>
        </w:rPr>
      </w:pPr>
      <w:r>
        <w:rPr>
          <w:rFonts w:ascii="Times New Roman" w:hAnsi="Times New Roman"/>
          <w:lang w:val="en-US"/>
        </w:rPr>
        <w:t xml:space="preserve">A HACCP rendszer lényege. </w:t>
      </w:r>
      <w:r>
        <w:rPr>
          <w:rFonts w:ascii="Times New Roman" w:hAnsi="Times New Roman"/>
          <w:i/>
          <w:lang w:val="en-US"/>
        </w:rPr>
        <w:t>(HACCP system.)</w:t>
      </w:r>
    </w:p>
    <w:p w:rsidR="002E3187" w:rsidRDefault="002E3187" w:rsidP="00980876">
      <w:pPr>
        <w:widowControl w:val="0"/>
        <w:numPr>
          <w:ilvl w:val="1"/>
          <w:numId w:val="223"/>
        </w:numPr>
        <w:tabs>
          <w:tab w:val="left" w:pos="709"/>
          <w:tab w:val="left" w:pos="993"/>
          <w:tab w:val="num" w:pos="2069"/>
        </w:tabs>
        <w:spacing w:before="120" w:after="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Az élelmezési szakterületnél használt okmányok kitöltésének szabályai. </w:t>
      </w:r>
      <w:r>
        <w:rPr>
          <w:rFonts w:ascii="Times New Roman" w:eastAsia="Times New Roman" w:hAnsi="Times New Roman" w:cs="Times New Roman"/>
          <w:i/>
          <w:kern w:val="2"/>
        </w:rPr>
        <w:t>(Documentations of the Food Supply Service.)</w:t>
      </w:r>
    </w:p>
    <w:p w:rsidR="002E3187" w:rsidRDefault="002E3187" w:rsidP="00980876">
      <w:pPr>
        <w:widowControl w:val="0"/>
        <w:numPr>
          <w:ilvl w:val="0"/>
          <w:numId w:val="223"/>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 tantárgy meghirdetésének gyakorisága/a tantervben történő félévi elhelyezkedése: </w:t>
      </w:r>
      <w:r>
        <w:rPr>
          <w:rFonts w:ascii="Times New Roman" w:eastAsia="Times New Roman" w:hAnsi="Times New Roman" w:cs="Times New Roman"/>
          <w:bCs/>
        </w:rPr>
        <w:t>Minden őszi szemeszterben / 7. félév</w:t>
      </w:r>
    </w:p>
    <w:p w:rsidR="002E3187" w:rsidRDefault="002E3187" w:rsidP="00980876">
      <w:pPr>
        <w:widowControl w:val="0"/>
        <w:numPr>
          <w:ilvl w:val="0"/>
          <w:numId w:val="223"/>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tanórákon való részvétel követelményei, az elfogadható hiányzások mértéke, a távolmaradás pótlásának lehetősége:</w:t>
      </w:r>
      <w:r>
        <w:rPr>
          <w:rFonts w:ascii="Times New Roman" w:eastAsia="Times New Roman" w:hAnsi="Times New Roman" w:cs="Times New Roman"/>
          <w:bCs/>
        </w:rPr>
        <w:t xml:space="preserve"> A tanórákon való részvétel kötelező.</w:t>
      </w:r>
      <w:r>
        <w:rPr>
          <w:rFonts w:ascii="Times New Roman" w:eastAsia="Times New Roman" w:hAnsi="Times New Roman" w:cs="Times New Roman"/>
          <w:b/>
          <w:bCs/>
        </w:rPr>
        <w:t xml:space="preserve"> </w:t>
      </w:r>
      <w:r>
        <w:rPr>
          <w:rFonts w:ascii="Times New Roman" w:eastAsia="Times New Roman" w:hAnsi="Times New Roman" w:cs="Times New Roman"/>
          <w:bCs/>
        </w:rPr>
        <w:t>A félév elfogadásának feltétele a tanórák minimum 70%-án való részvétel. Ennél magasabb mértékű távolmaradás pótlása az oktató engedélyével történhet. A hallgatónak a kimaradt tananyagot önképzés keretén belül kell elsajátítani. A kimaradt tananyag jobb megértése érdekében az oktató konzultációs lehetőséget biztosíthat.</w:t>
      </w:r>
    </w:p>
    <w:p w:rsidR="002E3187" w:rsidRDefault="002E3187" w:rsidP="00980876">
      <w:pPr>
        <w:widowControl w:val="0"/>
        <w:numPr>
          <w:ilvl w:val="0"/>
          <w:numId w:val="223"/>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rPr>
        <w:t xml:space="preserve">Félévközi feladatok, ismeretek ellenőrzésének rendje: </w:t>
      </w:r>
      <w:r>
        <w:rPr>
          <w:rFonts w:ascii="Times New Roman" w:eastAsia="Times New Roman" w:hAnsi="Times New Roman" w:cs="Times New Roman"/>
        </w:rPr>
        <w:t>A honvéd tisztjelöltek a tanórákon egyéni vagy csoportos házi feladatot kapnak, melynek ellenőrzése a következő tanóra előtt megtörténik, továbbá a félév során három zárthelyi dolgozat kerül megírásra a 12. pontban meghatározottak szerint.</w:t>
      </w:r>
    </w:p>
    <w:p w:rsidR="002E3187" w:rsidRDefault="002E3187" w:rsidP="00980876">
      <w:pPr>
        <w:widowControl w:val="0"/>
        <w:numPr>
          <w:ilvl w:val="0"/>
          <w:numId w:val="223"/>
        </w:numPr>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Az értékelés, az aláírás és a kreditek megszerzésének pontos feltételei: </w:t>
      </w:r>
    </w:p>
    <w:p w:rsidR="002E3187" w:rsidRDefault="002E3187" w:rsidP="00980876">
      <w:pPr>
        <w:widowControl w:val="0"/>
        <w:numPr>
          <w:ilvl w:val="1"/>
          <w:numId w:val="223"/>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Az aláírás megszerzésének feltételei:</w:t>
      </w:r>
    </w:p>
    <w:p w:rsidR="002E3187" w:rsidRDefault="002E3187" w:rsidP="002E3187">
      <w:pPr>
        <w:widowControl w:val="0"/>
        <w:tabs>
          <w:tab w:val="left" w:pos="993"/>
        </w:tabs>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Az aláírás feltétele a tanórákon történő – 14. pontban meghatározott – részvétel, valamint a zárthelyi dolgozatok sikeres megírása.</w:t>
      </w:r>
    </w:p>
    <w:p w:rsidR="002E3187" w:rsidRDefault="002E3187" w:rsidP="00980876">
      <w:pPr>
        <w:widowControl w:val="0"/>
        <w:numPr>
          <w:ilvl w:val="1"/>
          <w:numId w:val="223"/>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Az értékelés:</w:t>
      </w:r>
    </w:p>
    <w:p w:rsidR="002E3187" w:rsidRDefault="002E3187" w:rsidP="002E3187">
      <w:pPr>
        <w:widowControl w:val="0"/>
        <w:tabs>
          <w:tab w:val="left" w:pos="993"/>
        </w:tabs>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Az ötfokozatú évközi jegy a zárthelyi dolgozatok eredménye alapján (egyszerű számtani átlag) kerül kialakításra. A zárthelyi dolgozatok pontszáma a számonkért tananyag mennyiségétől függően eltérő. Minden dolgozatnak külön-külön legalább az elégséges szintet el kell érnie, amely 50% + 1 pont. A dolgozat eredményébe beleszámít a házi feladatok elkészítésének minősége. A dolgozatok pótlására és javítására a félév során egyszer van lehetőség.</w:t>
      </w:r>
    </w:p>
    <w:p w:rsidR="002E3187" w:rsidRDefault="002E3187" w:rsidP="00980876">
      <w:pPr>
        <w:widowControl w:val="0"/>
        <w:numPr>
          <w:ilvl w:val="1"/>
          <w:numId w:val="223"/>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 kreditek megszerzésének feltételei:</w:t>
      </w:r>
      <w:r>
        <w:rPr>
          <w:rFonts w:ascii="Times New Roman" w:eastAsia="Times New Roman" w:hAnsi="Times New Roman" w:cs="Times New Roman"/>
        </w:rPr>
        <w:t xml:space="preserve"> </w:t>
      </w:r>
    </w:p>
    <w:p w:rsidR="002E3187" w:rsidRDefault="002E3187" w:rsidP="002E3187">
      <w:pPr>
        <w:widowControl w:val="0"/>
        <w:tabs>
          <w:tab w:val="left" w:pos="993"/>
        </w:tabs>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A kreditek megszerzésének feltétele az aláírás megszerzése és a legalább elégséges évközi jegy.</w:t>
      </w:r>
    </w:p>
    <w:p w:rsidR="002E3187" w:rsidRDefault="002E3187" w:rsidP="00980876">
      <w:pPr>
        <w:widowControl w:val="0"/>
        <w:numPr>
          <w:ilvl w:val="0"/>
          <w:numId w:val="223"/>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Irodalomjegyzék:</w:t>
      </w:r>
    </w:p>
    <w:p w:rsidR="002E3187" w:rsidRDefault="002E3187" w:rsidP="00980876">
      <w:pPr>
        <w:widowControl w:val="0"/>
        <w:numPr>
          <w:ilvl w:val="1"/>
          <w:numId w:val="223"/>
        </w:numPr>
        <w:tabs>
          <w:tab w:val="left" w:pos="567"/>
          <w:tab w:val="left" w:pos="851"/>
          <w:tab w:val="num" w:pos="2069"/>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Kötelező irodalom:</w:t>
      </w:r>
    </w:p>
    <w:p w:rsidR="002E3187" w:rsidRDefault="002E3187" w:rsidP="00980876">
      <w:pPr>
        <w:widowControl w:val="0"/>
        <w:numPr>
          <w:ilvl w:val="0"/>
          <w:numId w:val="225"/>
        </w:numPr>
        <w:spacing w:after="0" w:line="240" w:lineRule="auto"/>
        <w:jc w:val="both"/>
        <w:rPr>
          <w:rFonts w:ascii="Times New Roman" w:eastAsia="Times New Roman" w:hAnsi="Times New Roman" w:cs="Times New Roman"/>
        </w:rPr>
      </w:pPr>
      <w:r>
        <w:rPr>
          <w:rFonts w:ascii="Times New Roman" w:hAnsi="Times New Roman" w:cs="Times New Roman"/>
        </w:rPr>
        <w:t>Htp/8 Hadtáp Szabályzat az élelmezési szakterület részére, A Magyar Honvédség Kiadványa, Budapest, 2016.</w:t>
      </w:r>
    </w:p>
    <w:p w:rsidR="002E3187" w:rsidRDefault="002E3187" w:rsidP="00980876">
      <w:pPr>
        <w:widowControl w:val="0"/>
        <w:numPr>
          <w:ilvl w:val="0"/>
          <w:numId w:val="225"/>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12/2018. HM VGHÁT szakutasítása az MH élelmezési pénz- és anyagnormáit tartalmazó Normafüzet kiadásáról</w:t>
      </w:r>
    </w:p>
    <w:p w:rsidR="002E3187" w:rsidRDefault="002E3187" w:rsidP="00980876">
      <w:pPr>
        <w:widowControl w:val="0"/>
        <w:numPr>
          <w:ilvl w:val="0"/>
          <w:numId w:val="225"/>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14/2018 (IX.17.) HM rendelet a Magyar Honvédség élelmezési ellátásáról</w:t>
      </w:r>
    </w:p>
    <w:p w:rsidR="00E76428" w:rsidRDefault="00E76428" w:rsidP="00980876">
      <w:pPr>
        <w:widowControl w:val="0"/>
        <w:numPr>
          <w:ilvl w:val="0"/>
          <w:numId w:val="225"/>
        </w:numPr>
        <w:spacing w:after="0" w:line="240" w:lineRule="auto"/>
        <w:jc w:val="both"/>
        <w:rPr>
          <w:rFonts w:ascii="Times New Roman" w:eastAsia="Times New Roman" w:hAnsi="Times New Roman" w:cs="Times New Roman"/>
        </w:rPr>
      </w:pPr>
      <w:r w:rsidRPr="00E76428">
        <w:rPr>
          <w:rFonts w:ascii="Times New Roman" w:eastAsia="Times New Roman" w:hAnsi="Times New Roman" w:cs="Times New Roman"/>
        </w:rPr>
        <w:lastRenderedPageBreak/>
        <w:t>Az élelmiszer-biztonság és a HACCP rendszer elméleti alapjai című főnökségi kiadvány</w:t>
      </w:r>
      <w:r>
        <w:rPr>
          <w:rFonts w:ascii="Times New Roman" w:eastAsia="Times New Roman" w:hAnsi="Times New Roman" w:cs="Times New Roman"/>
        </w:rPr>
        <w:t xml:space="preserve">. (Hatálybaléptete a </w:t>
      </w:r>
      <w:r w:rsidRPr="00E76428">
        <w:rPr>
          <w:rFonts w:ascii="Times New Roman" w:eastAsia="Times New Roman" w:hAnsi="Times New Roman" w:cs="Times New Roman"/>
        </w:rPr>
        <w:t>22/2009. (HK 2/2010.) HM FLÜ intézkedés</w:t>
      </w:r>
      <w:r>
        <w:rPr>
          <w:rFonts w:ascii="Times New Roman" w:eastAsia="Times New Roman" w:hAnsi="Times New Roman" w:cs="Times New Roman"/>
        </w:rPr>
        <w:t>)</w:t>
      </w:r>
    </w:p>
    <w:p w:rsidR="002E3187" w:rsidRDefault="002E3187" w:rsidP="00980876">
      <w:pPr>
        <w:widowControl w:val="0"/>
        <w:numPr>
          <w:ilvl w:val="0"/>
          <w:numId w:val="225"/>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A kötelező irodal</w:t>
      </w:r>
      <w:r w:rsidR="00E76428">
        <w:rPr>
          <w:rFonts w:ascii="Times New Roman" w:eastAsia="Times New Roman" w:hAnsi="Times New Roman" w:cs="Times New Roman"/>
        </w:rPr>
        <w:t xml:space="preserve">makban hivatkozott jogszabályok, </w:t>
      </w:r>
      <w:r>
        <w:rPr>
          <w:rFonts w:ascii="Times New Roman" w:eastAsia="Times New Roman" w:hAnsi="Times New Roman" w:cs="Times New Roman"/>
        </w:rPr>
        <w:t xml:space="preserve">HM </w:t>
      </w:r>
      <w:r w:rsidR="00E76428">
        <w:rPr>
          <w:rFonts w:ascii="Times New Roman" w:eastAsia="Times New Roman" w:hAnsi="Times New Roman" w:cs="Times New Roman"/>
        </w:rPr>
        <w:t xml:space="preserve">és MHP </w:t>
      </w:r>
      <w:r>
        <w:rPr>
          <w:rFonts w:ascii="Times New Roman" w:eastAsia="Times New Roman" w:hAnsi="Times New Roman" w:cs="Times New Roman"/>
        </w:rPr>
        <w:t>belső szabályzók.</w:t>
      </w:r>
    </w:p>
    <w:p w:rsidR="002E3187" w:rsidRDefault="002E3187" w:rsidP="00980876">
      <w:pPr>
        <w:widowControl w:val="0"/>
        <w:numPr>
          <w:ilvl w:val="1"/>
          <w:numId w:val="223"/>
        </w:numPr>
        <w:tabs>
          <w:tab w:val="num" w:pos="567"/>
          <w:tab w:val="num" w:pos="2069"/>
        </w:tabs>
        <w:spacing w:before="120" w:after="120" w:line="240" w:lineRule="auto"/>
        <w:ind w:left="993" w:hanging="709"/>
        <w:jc w:val="both"/>
        <w:rPr>
          <w:rFonts w:ascii="Times New Roman" w:eastAsia="Times New Roman" w:hAnsi="Times New Roman" w:cs="Times New Roman"/>
          <w:b/>
          <w:bCs/>
        </w:rPr>
      </w:pPr>
      <w:r>
        <w:rPr>
          <w:rFonts w:ascii="Times New Roman" w:eastAsia="Times New Roman" w:hAnsi="Times New Roman" w:cs="Times New Roman"/>
          <w:b/>
          <w:bCs/>
        </w:rPr>
        <w:t>Ajánlott irodalom:</w:t>
      </w:r>
    </w:p>
    <w:p w:rsidR="002E3187" w:rsidRDefault="002E3187" w:rsidP="00980876">
      <w:pPr>
        <w:widowControl w:val="0"/>
        <w:numPr>
          <w:ilvl w:val="0"/>
          <w:numId w:val="226"/>
        </w:numPr>
        <w:spacing w:after="0" w:line="240" w:lineRule="auto"/>
        <w:jc w:val="both"/>
        <w:rPr>
          <w:rFonts w:ascii="Times New Roman" w:eastAsia="Times New Roman" w:hAnsi="Times New Roman" w:cs="Times New Roman"/>
        </w:rPr>
      </w:pPr>
      <w:r w:rsidRPr="002E3187">
        <w:rPr>
          <w:rFonts w:ascii="Times New Roman" w:hAnsi="Times New Roman" w:cs="Times New Roman"/>
        </w:rPr>
        <w:t>Magyar</w:t>
      </w:r>
      <w:r>
        <w:rPr>
          <w:rFonts w:ascii="Times New Roman" w:eastAsia="Times New Roman" w:hAnsi="Times New Roman" w:cs="Times New Roman"/>
        </w:rPr>
        <w:t xml:space="preserve"> Honvédség Összhaderőnemi Logisztikai Támogatás Doktrína, A HVK Logisztikai Csoportfőnökség Kiadványa, Budapest, 2015. (3. kiadás)</w:t>
      </w:r>
    </w:p>
    <w:p w:rsidR="002E3187" w:rsidRDefault="002E3187" w:rsidP="002E3187">
      <w:pPr>
        <w:widowControl w:val="0"/>
        <w:spacing w:before="120" w:after="120" w:line="240" w:lineRule="auto"/>
        <w:jc w:val="both"/>
        <w:rPr>
          <w:rFonts w:ascii="Times New Roman" w:eastAsia="Times New Roman" w:hAnsi="Times New Roman" w:cs="Times New Roman"/>
          <w:bCs/>
        </w:rPr>
      </w:pPr>
    </w:p>
    <w:p w:rsidR="002E3187" w:rsidRDefault="002E3187" w:rsidP="002E3187">
      <w:pPr>
        <w:widowControl w:val="0"/>
        <w:spacing w:before="120" w:after="120" w:line="240" w:lineRule="auto"/>
        <w:jc w:val="both"/>
        <w:rPr>
          <w:rFonts w:ascii="Times New Roman" w:eastAsia="Times New Roman" w:hAnsi="Times New Roman" w:cs="Times New Roman"/>
          <w:bCs/>
        </w:rPr>
      </w:pPr>
      <w:r>
        <w:rPr>
          <w:rFonts w:ascii="Times New Roman" w:eastAsia="Times New Roman" w:hAnsi="Times New Roman" w:cs="Times New Roman"/>
          <w:bCs/>
        </w:rPr>
        <w:t>Budapest, 2019. december 18.</w:t>
      </w:r>
    </w:p>
    <w:p w:rsidR="002E3187" w:rsidRDefault="002E3187" w:rsidP="002E3187">
      <w:pPr>
        <w:widowControl w:val="0"/>
        <w:spacing w:before="120" w:after="120" w:line="240" w:lineRule="auto"/>
        <w:jc w:val="both"/>
        <w:rPr>
          <w:rFonts w:ascii="Times New Roman" w:eastAsia="Times New Roman" w:hAnsi="Times New Roman" w:cs="Times New Roman"/>
          <w:bCs/>
        </w:rPr>
      </w:pPr>
    </w:p>
    <w:p w:rsidR="002E3187" w:rsidRDefault="002E3187" w:rsidP="002E3187">
      <w:pPr>
        <w:widowControl w:val="0"/>
        <w:spacing w:after="0" w:line="240" w:lineRule="auto"/>
        <w:ind w:left="4956" w:firstLine="708"/>
        <w:jc w:val="center"/>
        <w:rPr>
          <w:rFonts w:ascii="Times New Roman" w:hAnsi="Times New Roman" w:cs="Times New Roman"/>
          <w:b/>
          <w:bCs/>
        </w:rPr>
      </w:pPr>
      <w:r>
        <w:rPr>
          <w:rFonts w:ascii="Times New Roman" w:hAnsi="Times New Roman" w:cs="Times New Roman"/>
          <w:b/>
          <w:bCs/>
        </w:rPr>
        <w:t>Dr. Pap Andrea (PhD)</w:t>
      </w:r>
    </w:p>
    <w:p w:rsidR="002E3187" w:rsidRDefault="002E3187" w:rsidP="002E3187">
      <w:pPr>
        <w:widowControl w:val="0"/>
        <w:spacing w:after="0" w:line="240" w:lineRule="auto"/>
        <w:jc w:val="right"/>
        <w:rPr>
          <w:rFonts w:ascii="Times New Roman" w:eastAsia="Times New Roman" w:hAnsi="Times New Roman" w:cs="Times New Roman"/>
          <w:bCs/>
        </w:rPr>
      </w:pPr>
      <w:r>
        <w:rPr>
          <w:rFonts w:ascii="Times New Roman" w:hAnsi="Times New Roman" w:cs="Times New Roman"/>
          <w:bCs/>
        </w:rPr>
        <w:t>tanszékvezető, egyetemi docens, s.k.</w:t>
      </w:r>
    </w:p>
    <w:p w:rsidR="002E3187" w:rsidRDefault="002E3187" w:rsidP="002E3187">
      <w:pPr>
        <w:rPr>
          <w:rFonts w:ascii="Times New Roman" w:hAnsi="Times New Roman" w:cs="Times New Roman"/>
        </w:rPr>
      </w:pPr>
    </w:p>
    <w:p w:rsidR="006009AA" w:rsidRDefault="006009AA">
      <w:pPr>
        <w:spacing w:after="200" w:line="276" w:lineRule="auto"/>
        <w:rPr>
          <w:rFonts w:ascii="Times New Roman" w:hAnsi="Times New Roman" w:cs="Times New Roman"/>
          <w:sz w:val="24"/>
        </w:rPr>
      </w:pPr>
      <w:r>
        <w:rPr>
          <w:rFonts w:ascii="Times New Roman" w:hAnsi="Times New Roman" w:cs="Times New Roman"/>
          <w:sz w:val="24"/>
        </w:rPr>
        <w:br w:type="page"/>
      </w:r>
    </w:p>
    <w:tbl>
      <w:tblPr>
        <w:tblW w:w="9072" w:type="dxa"/>
        <w:tblInd w:w="113" w:type="dxa"/>
        <w:tblLook w:val="01E0" w:firstRow="1" w:lastRow="1" w:firstColumn="1" w:lastColumn="1" w:noHBand="0" w:noVBand="0"/>
      </w:tblPr>
      <w:tblGrid>
        <w:gridCol w:w="4855"/>
        <w:gridCol w:w="1620"/>
        <w:gridCol w:w="2597"/>
      </w:tblGrid>
      <w:tr w:rsidR="006009AA" w:rsidTr="006009AA">
        <w:tc>
          <w:tcPr>
            <w:tcW w:w="4855" w:type="dxa"/>
            <w:tcBorders>
              <w:top w:val="nil"/>
              <w:left w:val="nil"/>
              <w:bottom w:val="single" w:sz="4" w:space="0" w:color="auto"/>
              <w:right w:val="nil"/>
            </w:tcBorders>
            <w:hideMark/>
          </w:tcPr>
          <w:p w:rsidR="006009AA" w:rsidRDefault="006009AA">
            <w:pPr>
              <w:spacing w:after="0" w:line="240" w:lineRule="auto"/>
              <w:jc w:val="center"/>
              <w:rPr>
                <w:rFonts w:ascii="Times New Roman" w:eastAsia="Times New Roman" w:hAnsi="Times New Roman" w:cs="Times New Roman"/>
                <w:b/>
                <w:smallCaps/>
                <w:lang w:eastAsia="hu-HU"/>
              </w:rPr>
            </w:pPr>
            <w:r>
              <w:rPr>
                <w:rFonts w:ascii="Times New Roman" w:eastAsia="Times New Roman" w:hAnsi="Times New Roman" w:cs="Times New Roman"/>
                <w:b/>
                <w:smallCaps/>
                <w:lang w:eastAsia="hu-HU"/>
              </w:rPr>
              <w:lastRenderedPageBreak/>
              <w:t>Nemzeti Közszolgálati Egyetem</w:t>
            </w:r>
          </w:p>
        </w:tc>
        <w:tc>
          <w:tcPr>
            <w:tcW w:w="1620" w:type="dxa"/>
          </w:tcPr>
          <w:p w:rsidR="006009AA" w:rsidRDefault="006009AA">
            <w:pPr>
              <w:spacing w:after="0" w:line="240" w:lineRule="auto"/>
              <w:jc w:val="both"/>
              <w:rPr>
                <w:rFonts w:ascii="Times New Roman" w:eastAsia="Times New Roman" w:hAnsi="Times New Roman" w:cs="Times New Roman"/>
                <w:lang w:eastAsia="hu-HU"/>
              </w:rPr>
            </w:pPr>
          </w:p>
        </w:tc>
        <w:tc>
          <w:tcPr>
            <w:tcW w:w="2597" w:type="dxa"/>
          </w:tcPr>
          <w:p w:rsidR="006009AA" w:rsidRDefault="006009AA">
            <w:pPr>
              <w:spacing w:after="0" w:line="240" w:lineRule="auto"/>
              <w:jc w:val="right"/>
              <w:rPr>
                <w:rFonts w:ascii="Times New Roman" w:eastAsia="Times New Roman" w:hAnsi="Times New Roman" w:cs="Times New Roman"/>
                <w:lang w:eastAsia="hu-HU"/>
              </w:rPr>
            </w:pPr>
          </w:p>
        </w:tc>
      </w:tr>
      <w:tr w:rsidR="006009AA" w:rsidTr="006009AA">
        <w:tc>
          <w:tcPr>
            <w:tcW w:w="4855" w:type="dxa"/>
            <w:tcBorders>
              <w:top w:val="single" w:sz="4" w:space="0" w:color="auto"/>
              <w:left w:val="nil"/>
              <w:bottom w:val="nil"/>
              <w:right w:val="nil"/>
            </w:tcBorders>
            <w:hideMark/>
          </w:tcPr>
          <w:p w:rsidR="006009AA" w:rsidRDefault="006009AA">
            <w:pPr>
              <w:spacing w:after="0" w:line="240" w:lineRule="auto"/>
              <w:jc w:val="center"/>
              <w:rPr>
                <w:rFonts w:ascii="Times New Roman" w:eastAsia="Times New Roman" w:hAnsi="Times New Roman" w:cs="Times New Roman"/>
                <w:b/>
                <w:lang w:eastAsia="hu-HU"/>
              </w:rPr>
            </w:pPr>
            <w:r>
              <w:rPr>
                <w:rFonts w:ascii="Times New Roman" w:eastAsia="Times New Roman" w:hAnsi="Times New Roman" w:cs="Times New Roman"/>
                <w:b/>
                <w:lang w:eastAsia="hu-HU"/>
              </w:rPr>
              <w:t>Hadtudományi és Honvédtisztképző Kar</w:t>
            </w:r>
          </w:p>
        </w:tc>
        <w:tc>
          <w:tcPr>
            <w:tcW w:w="1620" w:type="dxa"/>
          </w:tcPr>
          <w:p w:rsidR="006009AA" w:rsidRDefault="006009AA">
            <w:pPr>
              <w:spacing w:after="0" w:line="240" w:lineRule="auto"/>
              <w:jc w:val="both"/>
              <w:rPr>
                <w:rFonts w:ascii="Times New Roman" w:eastAsia="Times New Roman" w:hAnsi="Times New Roman" w:cs="Times New Roman"/>
                <w:lang w:eastAsia="hu-HU"/>
              </w:rPr>
            </w:pPr>
          </w:p>
        </w:tc>
        <w:tc>
          <w:tcPr>
            <w:tcW w:w="2597" w:type="dxa"/>
          </w:tcPr>
          <w:p w:rsidR="006009AA" w:rsidRDefault="006009AA">
            <w:pPr>
              <w:spacing w:after="0" w:line="240" w:lineRule="auto"/>
              <w:jc w:val="both"/>
              <w:rPr>
                <w:rFonts w:ascii="Times New Roman" w:eastAsia="Times New Roman" w:hAnsi="Times New Roman" w:cs="Times New Roman"/>
                <w:lang w:eastAsia="hu-HU"/>
              </w:rPr>
            </w:pPr>
          </w:p>
        </w:tc>
      </w:tr>
    </w:tbl>
    <w:p w:rsidR="006009AA" w:rsidRDefault="006009AA" w:rsidP="006009AA">
      <w:pPr>
        <w:widowControl w:val="0"/>
        <w:spacing w:before="120" w:after="120" w:line="240" w:lineRule="auto"/>
        <w:ind w:left="426" w:hanging="142"/>
        <w:jc w:val="center"/>
        <w:rPr>
          <w:rFonts w:ascii="Times New Roman" w:eastAsia="Times New Roman" w:hAnsi="Times New Roman" w:cs="Times New Roman"/>
          <w:b/>
          <w:bCs/>
        </w:rPr>
      </w:pPr>
    </w:p>
    <w:p w:rsidR="006009AA" w:rsidRDefault="006009AA" w:rsidP="006009AA">
      <w:pPr>
        <w:widowControl w:val="0"/>
        <w:spacing w:before="120" w:after="120" w:line="240" w:lineRule="auto"/>
        <w:ind w:left="426" w:hanging="142"/>
        <w:jc w:val="center"/>
        <w:rPr>
          <w:rFonts w:ascii="Times New Roman" w:eastAsia="Times New Roman" w:hAnsi="Times New Roman" w:cs="Times New Roman"/>
          <w:b/>
          <w:bCs/>
        </w:rPr>
      </w:pPr>
      <w:r>
        <w:rPr>
          <w:rFonts w:ascii="Times New Roman" w:eastAsia="Times New Roman" w:hAnsi="Times New Roman" w:cs="Times New Roman"/>
          <w:b/>
          <w:bCs/>
        </w:rPr>
        <w:t>TANTÁRGYI PROGRAM</w:t>
      </w:r>
    </w:p>
    <w:p w:rsidR="006009AA" w:rsidRDefault="006009AA" w:rsidP="00980876">
      <w:pPr>
        <w:widowControl w:val="0"/>
        <w:numPr>
          <w:ilvl w:val="0"/>
          <w:numId w:val="235"/>
        </w:numPr>
        <w:tabs>
          <w:tab w:val="num" w:pos="426"/>
        </w:tabs>
        <w:spacing w:before="120" w:after="120" w:line="240" w:lineRule="auto"/>
        <w:ind w:left="641" w:hanging="357"/>
        <w:jc w:val="both"/>
        <w:rPr>
          <w:rFonts w:ascii="Times New Roman" w:eastAsia="Times New Roman" w:hAnsi="Times New Roman" w:cs="Times New Roman"/>
          <w:bCs/>
        </w:rPr>
      </w:pPr>
      <w:r>
        <w:rPr>
          <w:rFonts w:ascii="Times New Roman" w:eastAsia="Times New Roman" w:hAnsi="Times New Roman" w:cs="Times New Roman"/>
          <w:b/>
          <w:bCs/>
        </w:rPr>
        <w:t xml:space="preserve">A tantárgy kódja: </w:t>
      </w:r>
      <w:r>
        <w:rPr>
          <w:rFonts w:ascii="Times New Roman" w:eastAsia="Times New Roman" w:hAnsi="Times New Roman" w:cs="Times New Roman"/>
          <w:bCs/>
        </w:rPr>
        <w:t>HKHPKA111</w:t>
      </w:r>
    </w:p>
    <w:p w:rsidR="006009AA" w:rsidRDefault="006009AA" w:rsidP="00980876">
      <w:pPr>
        <w:widowControl w:val="0"/>
        <w:numPr>
          <w:ilvl w:val="0"/>
          <w:numId w:val="235"/>
        </w:numPr>
        <w:tabs>
          <w:tab w:val="num" w:pos="426"/>
        </w:tabs>
        <w:spacing w:before="120" w:after="120" w:line="240" w:lineRule="auto"/>
        <w:ind w:left="641" w:hanging="357"/>
        <w:jc w:val="both"/>
        <w:rPr>
          <w:rFonts w:ascii="Times New Roman" w:eastAsia="Times New Roman" w:hAnsi="Times New Roman" w:cs="Times New Roman"/>
          <w:b/>
          <w:bCs/>
          <w:lang w:val="en-GB"/>
        </w:rPr>
      </w:pPr>
      <w:r>
        <w:rPr>
          <w:rFonts w:ascii="Times New Roman" w:eastAsia="Times New Roman" w:hAnsi="Times New Roman" w:cs="Times New Roman"/>
          <w:b/>
          <w:bCs/>
        </w:rPr>
        <w:t>A tantárgy megnevezése (magyarul):</w:t>
      </w:r>
      <w:r>
        <w:rPr>
          <w:rFonts w:ascii="Times New Roman" w:eastAsia="Times New Roman" w:hAnsi="Times New Roman" w:cs="Times New Roman"/>
          <w:bCs/>
        </w:rPr>
        <w:t xml:space="preserve"> </w:t>
      </w:r>
      <w:r>
        <w:rPr>
          <w:rFonts w:ascii="Times New Roman" w:hAnsi="Times New Roman" w:cs="Times New Roman"/>
          <w:bCs/>
        </w:rPr>
        <w:t>Ruházati ellátás</w:t>
      </w:r>
    </w:p>
    <w:p w:rsidR="006009AA" w:rsidRDefault="006009AA" w:rsidP="00980876">
      <w:pPr>
        <w:widowControl w:val="0"/>
        <w:numPr>
          <w:ilvl w:val="0"/>
          <w:numId w:val="235"/>
        </w:numPr>
        <w:tabs>
          <w:tab w:val="num" w:pos="567"/>
        </w:tabs>
        <w:spacing w:before="120" w:after="120" w:line="240" w:lineRule="auto"/>
        <w:ind w:left="426" w:hanging="142"/>
        <w:jc w:val="both"/>
        <w:rPr>
          <w:rFonts w:ascii="Times New Roman" w:eastAsia="Times New Roman" w:hAnsi="Times New Roman" w:cs="Times New Roman"/>
          <w:b/>
          <w:bCs/>
          <w:lang w:val="en-GB"/>
        </w:rPr>
      </w:pPr>
      <w:r>
        <w:rPr>
          <w:rFonts w:ascii="Times New Roman" w:eastAsia="Times New Roman" w:hAnsi="Times New Roman" w:cs="Times New Roman"/>
          <w:b/>
          <w:bCs/>
        </w:rPr>
        <w:t xml:space="preserve">A tantárgy megnevezése (angolul): </w:t>
      </w:r>
      <w:r>
        <w:rPr>
          <w:rFonts w:ascii="Times New Roman" w:hAnsi="Times New Roman" w:cs="Times New Roman"/>
          <w:bCs/>
        </w:rPr>
        <w:t>Supply of Military Clothing</w:t>
      </w:r>
    </w:p>
    <w:p w:rsidR="006009AA" w:rsidRDefault="006009AA" w:rsidP="00980876">
      <w:pPr>
        <w:widowControl w:val="0"/>
        <w:numPr>
          <w:ilvl w:val="0"/>
          <w:numId w:val="235"/>
        </w:numPr>
        <w:tabs>
          <w:tab w:val="num" w:pos="567"/>
        </w:tabs>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Kreditérték és képzési karakter: </w:t>
      </w:r>
    </w:p>
    <w:p w:rsidR="006009AA" w:rsidRDefault="006009AA" w:rsidP="00980876">
      <w:pPr>
        <w:pStyle w:val="Listaszerbekezds"/>
        <w:widowControl w:val="0"/>
        <w:numPr>
          <w:ilvl w:val="1"/>
          <w:numId w:val="235"/>
        </w:numPr>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5 kredit</w:t>
      </w:r>
    </w:p>
    <w:p w:rsidR="006009AA" w:rsidRDefault="006009AA" w:rsidP="00980876">
      <w:pPr>
        <w:pStyle w:val="Listaszerbekezds"/>
        <w:widowControl w:val="0"/>
        <w:numPr>
          <w:ilvl w:val="1"/>
          <w:numId w:val="235"/>
        </w:numPr>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 xml:space="preserve">a tantárgy elméleti vagy </w:t>
      </w:r>
      <w:r w:rsidR="00B30AF2">
        <w:rPr>
          <w:rFonts w:ascii="Times New Roman" w:eastAsia="Times New Roman" w:hAnsi="Times New Roman" w:cs="Times New Roman"/>
          <w:bCs/>
        </w:rPr>
        <w:t xml:space="preserve">gyakorlati jellegének mértéke: </w:t>
      </w:r>
      <w:r w:rsidR="00B30AF2" w:rsidRPr="00B30AF2">
        <w:rPr>
          <w:rFonts w:ascii="Times New Roman" w:eastAsia="Times New Roman" w:hAnsi="Times New Roman" w:cs="Times New Roman"/>
          <w:bCs/>
          <w:highlight w:val="yellow"/>
        </w:rPr>
        <w:t>6</w:t>
      </w:r>
      <w:r w:rsidRPr="00B30AF2">
        <w:rPr>
          <w:rFonts w:ascii="Times New Roman" w:eastAsia="Times New Roman" w:hAnsi="Times New Roman" w:cs="Times New Roman"/>
          <w:bCs/>
          <w:highlight w:val="yellow"/>
        </w:rPr>
        <w:t>0</w:t>
      </w:r>
      <w:r w:rsidRPr="00B30AF2">
        <w:rPr>
          <w:rFonts w:ascii="Times New Roman" w:eastAsia="Times New Roman" w:hAnsi="Times New Roman" w:cs="Times New Roman"/>
          <w:b/>
          <w:bCs/>
          <w:highlight w:val="yellow"/>
        </w:rPr>
        <w:t xml:space="preserve"> </w:t>
      </w:r>
      <w:r w:rsidR="00B30AF2" w:rsidRPr="00B30AF2">
        <w:rPr>
          <w:rFonts w:ascii="Times New Roman" w:eastAsia="Times New Roman" w:hAnsi="Times New Roman" w:cs="Times New Roman"/>
          <w:bCs/>
          <w:highlight w:val="yellow"/>
        </w:rPr>
        <w:t>% gyakorlat, 4</w:t>
      </w:r>
      <w:r w:rsidRPr="00B30AF2">
        <w:rPr>
          <w:rFonts w:ascii="Times New Roman" w:eastAsia="Times New Roman" w:hAnsi="Times New Roman" w:cs="Times New Roman"/>
          <w:bCs/>
          <w:highlight w:val="yellow"/>
        </w:rPr>
        <w:t>0 % elmélet</w:t>
      </w:r>
    </w:p>
    <w:p w:rsidR="006009AA" w:rsidRDefault="006009AA" w:rsidP="00980876">
      <w:pPr>
        <w:widowControl w:val="0"/>
        <w:numPr>
          <w:ilvl w:val="0"/>
          <w:numId w:val="235"/>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szak(ok), szakirányok/specializációk megnevezése (ahol oktatják):</w:t>
      </w:r>
      <w:r>
        <w:rPr>
          <w:rFonts w:ascii="Times New Roman" w:eastAsia="Times New Roman" w:hAnsi="Times New Roman" w:cs="Times New Roman"/>
          <w:bCs/>
        </w:rPr>
        <w:t xml:space="preserve"> </w:t>
      </w:r>
      <w:r>
        <w:rPr>
          <w:rFonts w:ascii="Times New Roman" w:hAnsi="Times New Roman" w:cs="Times New Roman"/>
          <w:bCs/>
        </w:rPr>
        <w:t>Katonai logisztika alapképzési szak, Hadtáp specializáció</w:t>
      </w:r>
    </w:p>
    <w:p w:rsidR="006009AA" w:rsidRDefault="006009AA" w:rsidP="00980876">
      <w:pPr>
        <w:widowControl w:val="0"/>
        <w:numPr>
          <w:ilvl w:val="0"/>
          <w:numId w:val="235"/>
        </w:numPr>
        <w:tabs>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Az oktatásért felelős oktatási szervezeti egység megnevezése: </w:t>
      </w:r>
      <w:r>
        <w:rPr>
          <w:rFonts w:ascii="Times New Roman" w:hAnsi="Times New Roman" w:cs="Times New Roman"/>
          <w:bCs/>
        </w:rPr>
        <w:t>NKE HHK Hadtáp, Pénzügyi és Katonai Közlekedési Tanszék</w:t>
      </w:r>
    </w:p>
    <w:p w:rsidR="006009AA" w:rsidRDefault="006009AA" w:rsidP="00980876">
      <w:pPr>
        <w:widowControl w:val="0"/>
        <w:numPr>
          <w:ilvl w:val="0"/>
          <w:numId w:val="235"/>
        </w:numPr>
        <w:tabs>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tantárgyfelelős oktató neve, beosztása, tudományos fokozata:</w:t>
      </w:r>
      <w:r>
        <w:rPr>
          <w:rFonts w:ascii="Times New Roman" w:eastAsia="Times New Roman" w:hAnsi="Times New Roman" w:cs="Times New Roman"/>
          <w:bCs/>
        </w:rPr>
        <w:t xml:space="preserve"> </w:t>
      </w:r>
      <w:r>
        <w:rPr>
          <w:rFonts w:ascii="Times New Roman" w:hAnsi="Times New Roman" w:cs="Times New Roman"/>
          <w:bCs/>
        </w:rPr>
        <w:t>Dr. Venekei József, egyetemi docens, (PhD)</w:t>
      </w:r>
    </w:p>
    <w:p w:rsidR="006009AA" w:rsidRDefault="006009AA" w:rsidP="00980876">
      <w:pPr>
        <w:widowControl w:val="0"/>
        <w:numPr>
          <w:ilvl w:val="0"/>
          <w:numId w:val="235"/>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tanórák száma és típusa</w:t>
      </w:r>
    </w:p>
    <w:p w:rsidR="006009AA" w:rsidRPr="00B30AF2" w:rsidRDefault="006009AA" w:rsidP="00980876">
      <w:pPr>
        <w:widowControl w:val="0"/>
        <w:numPr>
          <w:ilvl w:val="1"/>
          <w:numId w:val="235"/>
        </w:numPr>
        <w:tabs>
          <w:tab w:val="num" w:pos="709"/>
          <w:tab w:val="num" w:pos="2069"/>
        </w:tabs>
        <w:spacing w:before="120" w:after="120" w:line="240" w:lineRule="auto"/>
        <w:ind w:left="851" w:hanging="425"/>
        <w:jc w:val="both"/>
        <w:rPr>
          <w:rFonts w:ascii="Times New Roman" w:eastAsia="Times New Roman" w:hAnsi="Times New Roman" w:cs="Times New Roman"/>
          <w:bCs/>
          <w:highlight w:val="yellow"/>
        </w:rPr>
      </w:pPr>
      <w:r>
        <w:rPr>
          <w:rFonts w:ascii="Times New Roman" w:eastAsia="Times New Roman" w:hAnsi="Times New Roman" w:cs="Times New Roman"/>
          <w:bCs/>
        </w:rPr>
        <w:t>össz óraszám/félév:</w:t>
      </w:r>
      <w:r w:rsidR="00B30AF2">
        <w:rPr>
          <w:rFonts w:ascii="Times New Roman" w:eastAsia="Times New Roman" w:hAnsi="Times New Roman" w:cs="Times New Roman"/>
          <w:bCs/>
        </w:rPr>
        <w:t xml:space="preserve"> </w:t>
      </w:r>
      <w:r w:rsidR="00B30AF2" w:rsidRPr="00B30AF2">
        <w:rPr>
          <w:rFonts w:ascii="Times New Roman" w:eastAsia="Times New Roman" w:hAnsi="Times New Roman" w:cs="Times New Roman"/>
          <w:bCs/>
          <w:highlight w:val="yellow"/>
        </w:rPr>
        <w:t>70</w:t>
      </w:r>
    </w:p>
    <w:p w:rsidR="006009AA" w:rsidRPr="00B30AF2" w:rsidRDefault="006009AA" w:rsidP="00980876">
      <w:pPr>
        <w:widowControl w:val="0"/>
        <w:numPr>
          <w:ilvl w:val="2"/>
          <w:numId w:val="235"/>
        </w:numPr>
        <w:tabs>
          <w:tab w:val="num" w:pos="709"/>
          <w:tab w:val="num" w:pos="1134"/>
        </w:tabs>
        <w:spacing w:before="120" w:after="120" w:line="240" w:lineRule="auto"/>
        <w:ind w:left="993" w:hanging="425"/>
        <w:jc w:val="both"/>
        <w:rPr>
          <w:rFonts w:ascii="Times New Roman" w:eastAsia="Times New Roman" w:hAnsi="Times New Roman" w:cs="Times New Roman"/>
          <w:bCs/>
          <w:highlight w:val="yellow"/>
        </w:rPr>
      </w:pPr>
      <w:r w:rsidRPr="00B30AF2">
        <w:rPr>
          <w:rFonts w:ascii="Times New Roman" w:eastAsia="Times New Roman" w:hAnsi="Times New Roman" w:cs="Times New Roman"/>
          <w:bCs/>
          <w:highlight w:val="yellow"/>
        </w:rPr>
        <w:t xml:space="preserve">nappali munkarend: </w:t>
      </w:r>
      <w:r w:rsidR="00B30AF2" w:rsidRPr="00B30AF2">
        <w:rPr>
          <w:rFonts w:ascii="Times New Roman" w:eastAsia="Times New Roman" w:hAnsi="Times New Roman" w:cs="Times New Roman"/>
          <w:bCs/>
          <w:highlight w:val="yellow"/>
        </w:rPr>
        <w:t>70</w:t>
      </w:r>
      <w:r w:rsidRPr="00B30AF2">
        <w:rPr>
          <w:rFonts w:ascii="Times New Roman" w:eastAsia="Times New Roman" w:hAnsi="Times New Roman" w:cs="Times New Roman"/>
          <w:bCs/>
          <w:highlight w:val="yellow"/>
        </w:rPr>
        <w:t xml:space="preserve"> (28 EA + 0 SZ + </w:t>
      </w:r>
      <w:r w:rsidR="00B30AF2" w:rsidRPr="00B30AF2">
        <w:rPr>
          <w:rFonts w:ascii="Times New Roman" w:eastAsia="Times New Roman" w:hAnsi="Times New Roman" w:cs="Times New Roman"/>
          <w:bCs/>
          <w:highlight w:val="yellow"/>
        </w:rPr>
        <w:t>42</w:t>
      </w:r>
      <w:r w:rsidRPr="00B30AF2">
        <w:rPr>
          <w:rFonts w:ascii="Times New Roman" w:eastAsia="Times New Roman" w:hAnsi="Times New Roman" w:cs="Times New Roman"/>
          <w:bCs/>
          <w:highlight w:val="yellow"/>
        </w:rPr>
        <w:t xml:space="preserve"> GY)</w:t>
      </w:r>
    </w:p>
    <w:p w:rsidR="006009AA" w:rsidRDefault="006009AA" w:rsidP="00980876">
      <w:pPr>
        <w:widowControl w:val="0"/>
        <w:numPr>
          <w:ilvl w:val="2"/>
          <w:numId w:val="235"/>
        </w:numPr>
        <w:tabs>
          <w:tab w:val="num" w:pos="709"/>
          <w:tab w:val="num" w:pos="1134"/>
        </w:tabs>
        <w:spacing w:before="120" w:after="120" w:line="240" w:lineRule="auto"/>
        <w:ind w:left="993" w:hanging="425"/>
        <w:jc w:val="both"/>
        <w:rPr>
          <w:rFonts w:ascii="Times New Roman" w:eastAsia="Times New Roman" w:hAnsi="Times New Roman" w:cs="Times New Roman"/>
          <w:bCs/>
        </w:rPr>
      </w:pPr>
      <w:r>
        <w:rPr>
          <w:rFonts w:ascii="Times New Roman" w:eastAsia="Times New Roman" w:hAnsi="Times New Roman" w:cs="Times New Roman"/>
          <w:bCs/>
        </w:rPr>
        <w:t>levelező munkarend: -</w:t>
      </w:r>
    </w:p>
    <w:p w:rsidR="006009AA" w:rsidRDefault="006009AA" w:rsidP="00980876">
      <w:pPr>
        <w:widowControl w:val="0"/>
        <w:numPr>
          <w:ilvl w:val="1"/>
          <w:numId w:val="235"/>
        </w:numPr>
        <w:tabs>
          <w:tab w:val="num" w:pos="709"/>
          <w:tab w:val="num" w:pos="2069"/>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heti óraszám - nappali munkarend: 5</w:t>
      </w:r>
      <w:r w:rsidR="00B30AF2">
        <w:rPr>
          <w:rFonts w:ascii="Times New Roman" w:eastAsia="Times New Roman" w:hAnsi="Times New Roman" w:cs="Times New Roman"/>
          <w:bCs/>
        </w:rPr>
        <w:t xml:space="preserve"> (2+3)</w:t>
      </w:r>
    </w:p>
    <w:p w:rsidR="006009AA" w:rsidRDefault="006009AA" w:rsidP="00980876">
      <w:pPr>
        <w:widowControl w:val="0"/>
        <w:numPr>
          <w:ilvl w:val="1"/>
          <w:numId w:val="235"/>
        </w:numPr>
        <w:tabs>
          <w:tab w:val="num" w:pos="709"/>
          <w:tab w:val="num" w:pos="2069"/>
        </w:tabs>
        <w:spacing w:before="120" w:after="120" w:line="240" w:lineRule="auto"/>
        <w:ind w:left="851" w:hanging="425"/>
        <w:jc w:val="both"/>
        <w:rPr>
          <w:rFonts w:ascii="Times New Roman" w:eastAsia="Times New Roman" w:hAnsi="Times New Roman" w:cs="Times New Roman"/>
          <w:bCs/>
        </w:rPr>
      </w:pPr>
      <w:r>
        <w:rPr>
          <w:rFonts w:ascii="Times New Roman" w:hAnsi="Times New Roman" w:cs="Times New Roman"/>
        </w:rPr>
        <w:t>Az ismeret átadásában alkalmazandó további sajátos módok, jellemzők:</w:t>
      </w:r>
      <w:r>
        <w:rPr>
          <w:rFonts w:ascii="Times New Roman" w:hAnsi="Times New Roman" w:cs="Times New Roman"/>
          <w:i/>
        </w:rPr>
        <w:t xml:space="preserve"> –</w:t>
      </w:r>
    </w:p>
    <w:p w:rsidR="006009AA" w:rsidRDefault="006009AA" w:rsidP="00980876">
      <w:pPr>
        <w:widowControl w:val="0"/>
        <w:numPr>
          <w:ilvl w:val="0"/>
          <w:numId w:val="235"/>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tantárgy szakmai tartalma (magyarul):</w:t>
      </w:r>
      <w:r>
        <w:rPr>
          <w:rFonts w:ascii="Times New Roman" w:eastAsia="Times New Roman" w:hAnsi="Times New Roman" w:cs="Times New Roman"/>
          <w:bCs/>
        </w:rPr>
        <w:t xml:space="preserve"> </w:t>
      </w:r>
      <w:r>
        <w:rPr>
          <w:rFonts w:ascii="Times New Roman" w:hAnsi="Times New Roman" w:cs="Times New Roman"/>
          <w:bCs/>
        </w:rPr>
        <w:t>A tantárgy a csapatszintű ruházati ellátás feladataival foglalkozik.</w:t>
      </w:r>
    </w:p>
    <w:p w:rsidR="006009AA" w:rsidRDefault="006009AA" w:rsidP="006009AA">
      <w:pPr>
        <w:widowControl w:val="0"/>
        <w:spacing w:before="120" w:after="120" w:line="240" w:lineRule="auto"/>
        <w:ind w:left="426"/>
        <w:jc w:val="both"/>
        <w:rPr>
          <w:rFonts w:ascii="Times New Roman" w:hAnsi="Times New Roman" w:cs="Times New Roman"/>
          <w:bCs/>
          <w:lang w:val="en-US"/>
        </w:rPr>
      </w:pPr>
      <w:r>
        <w:rPr>
          <w:rFonts w:ascii="Times New Roman" w:eastAsia="Times New Roman" w:hAnsi="Times New Roman" w:cs="Times New Roman"/>
          <w:b/>
          <w:bCs/>
        </w:rPr>
        <w:t>A tantárgy szakmai tartalma (angolul) (</w:t>
      </w:r>
      <w:r>
        <w:rPr>
          <w:rFonts w:ascii="Times New Roman" w:eastAsia="Times New Roman" w:hAnsi="Times New Roman" w:cs="Times New Roman"/>
          <w:b/>
          <w:bCs/>
          <w:lang w:val="en-US"/>
        </w:rPr>
        <w:t>Course description</w:t>
      </w:r>
      <w:r>
        <w:rPr>
          <w:rFonts w:ascii="Times New Roman" w:eastAsia="Times New Roman" w:hAnsi="Times New Roman" w:cs="Times New Roman"/>
          <w:b/>
          <w:bCs/>
        </w:rPr>
        <w:t xml:space="preserve">): </w:t>
      </w:r>
      <w:r>
        <w:rPr>
          <w:rFonts w:ascii="Times New Roman" w:hAnsi="Times New Roman" w:cs="Times New Roman"/>
          <w:bCs/>
          <w:lang w:val="en-US"/>
        </w:rPr>
        <w:t>This subject deals with tasks of supply clothing on tactical level.</w:t>
      </w:r>
    </w:p>
    <w:p w:rsidR="006009AA" w:rsidRDefault="006009AA" w:rsidP="00980876">
      <w:pPr>
        <w:pStyle w:val="Listaszerbekezds"/>
        <w:widowControl w:val="0"/>
        <w:numPr>
          <w:ilvl w:val="0"/>
          <w:numId w:val="235"/>
        </w:numPr>
        <w:tabs>
          <w:tab w:val="num" w:pos="426"/>
        </w:tabs>
        <w:spacing w:before="120" w:after="120" w:line="240" w:lineRule="auto"/>
        <w:jc w:val="both"/>
        <w:rPr>
          <w:rFonts w:ascii="Times New Roman" w:hAnsi="Times New Roman" w:cs="Times New Roman"/>
          <w:bCs/>
          <w:lang w:val="en-US"/>
        </w:rPr>
      </w:pPr>
      <w:r>
        <w:rPr>
          <w:rFonts w:ascii="Times New Roman" w:eastAsia="Times New Roman" w:hAnsi="Times New Roman" w:cs="Times New Roman"/>
          <w:b/>
          <w:bCs/>
        </w:rPr>
        <w:t>Elérendő kompetenciák (magyarul):</w:t>
      </w:r>
      <w:r>
        <w:rPr>
          <w:rFonts w:ascii="Times New Roman" w:eastAsia="Times New Roman" w:hAnsi="Times New Roman" w:cs="Times New Roman"/>
          <w:bCs/>
        </w:rPr>
        <w:t xml:space="preserve"> </w:t>
      </w:r>
    </w:p>
    <w:p w:rsidR="006009AA" w:rsidRDefault="006009AA" w:rsidP="006009AA">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Tudása:</w:t>
      </w:r>
    </w:p>
    <w:p w:rsidR="006009AA" w:rsidRDefault="006009AA" w:rsidP="00980876">
      <w:pPr>
        <w:pStyle w:val="Listaszerbekezds"/>
        <w:widowControl w:val="0"/>
        <w:numPr>
          <w:ilvl w:val="0"/>
          <w:numId w:val="227"/>
        </w:numPr>
        <w:spacing w:after="0" w:line="240" w:lineRule="auto"/>
        <w:ind w:left="992" w:hanging="357"/>
        <w:jc w:val="both"/>
        <w:rPr>
          <w:rFonts w:ascii="Times New Roman" w:hAnsi="Times New Roman" w:cs="Times New Roman"/>
        </w:rPr>
      </w:pPr>
      <w:r>
        <w:rPr>
          <w:rFonts w:ascii="Times New Roman" w:hAnsi="Times New Roman" w:cs="Times New Roman"/>
        </w:rPr>
        <w:t>Mélyrehatóan ismeri a ruházati szakterület szakmai feladatait, a Magyar Honvédség ruházati ellátási rendszerének felépítését.</w:t>
      </w:r>
    </w:p>
    <w:p w:rsidR="006009AA" w:rsidRDefault="006009AA" w:rsidP="006009AA">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Képességei:</w:t>
      </w:r>
      <w:r>
        <w:rPr>
          <w:rFonts w:ascii="Times New Roman" w:eastAsia="Times New Roman" w:hAnsi="Times New Roman" w:cs="Times New Roman"/>
          <w:bCs/>
        </w:rPr>
        <w:t xml:space="preserve"> </w:t>
      </w:r>
    </w:p>
    <w:p w:rsidR="006009AA" w:rsidRDefault="006009AA" w:rsidP="00980876">
      <w:pPr>
        <w:pStyle w:val="Listaszerbekezds"/>
        <w:widowControl w:val="0"/>
        <w:numPr>
          <w:ilvl w:val="0"/>
          <w:numId w:val="227"/>
        </w:numPr>
        <w:spacing w:after="0" w:line="240" w:lineRule="auto"/>
        <w:ind w:left="992" w:hanging="357"/>
        <w:jc w:val="both"/>
        <w:rPr>
          <w:rFonts w:ascii="Times New Roman" w:hAnsi="Times New Roman" w:cs="Times New Roman"/>
        </w:rPr>
      </w:pPr>
      <w:r>
        <w:rPr>
          <w:rFonts w:ascii="Times New Roman" w:hAnsi="Times New Roman" w:cs="Times New Roman"/>
        </w:rPr>
        <w:t>Képes alegységszintű ellátási feladatok végrehajtására, vezetésére békében, különleges jogrendi időszakban, többnemzeti és nemzetközi környezetben végrehajtandó béketámogató műveletekben.</w:t>
      </w:r>
    </w:p>
    <w:p w:rsidR="006009AA" w:rsidRDefault="006009AA" w:rsidP="00980876">
      <w:pPr>
        <w:pStyle w:val="Listaszerbekezds"/>
        <w:widowControl w:val="0"/>
        <w:numPr>
          <w:ilvl w:val="0"/>
          <w:numId w:val="227"/>
        </w:numPr>
        <w:spacing w:after="0" w:line="240" w:lineRule="auto"/>
        <w:ind w:left="992" w:hanging="357"/>
        <w:jc w:val="both"/>
        <w:rPr>
          <w:rFonts w:ascii="Times New Roman" w:hAnsi="Times New Roman" w:cs="Times New Roman"/>
        </w:rPr>
      </w:pPr>
      <w:r>
        <w:rPr>
          <w:rFonts w:ascii="Times New Roman" w:hAnsi="Times New Roman" w:cs="Times New Roman"/>
        </w:rPr>
        <w:t>Képes gazdálkodási feladatok alapszintű tervezésére, szervezésére, irányítására és az ebből adódó tevékenységek gazdasági elemzésinek végrehajtására.</w:t>
      </w:r>
    </w:p>
    <w:p w:rsidR="006009AA" w:rsidRDefault="006009AA" w:rsidP="00980876">
      <w:pPr>
        <w:pStyle w:val="Listaszerbekezds"/>
        <w:widowControl w:val="0"/>
        <w:numPr>
          <w:ilvl w:val="0"/>
          <w:numId w:val="227"/>
        </w:numPr>
        <w:spacing w:after="0" w:line="240" w:lineRule="auto"/>
        <w:ind w:left="992" w:hanging="357"/>
        <w:jc w:val="both"/>
        <w:rPr>
          <w:rFonts w:ascii="Times New Roman" w:hAnsi="Times New Roman" w:cs="Times New Roman"/>
        </w:rPr>
      </w:pPr>
      <w:r>
        <w:rPr>
          <w:rFonts w:ascii="Times New Roman" w:hAnsi="Times New Roman" w:cs="Times New Roman"/>
        </w:rPr>
        <w:t>Képes egység szintű közbeszerzéseket lefolytatni.</w:t>
      </w:r>
    </w:p>
    <w:p w:rsidR="006009AA" w:rsidRDefault="006009AA" w:rsidP="006009AA">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Attitűdje:</w:t>
      </w:r>
      <w:r>
        <w:rPr>
          <w:rFonts w:ascii="Times New Roman" w:eastAsia="Times New Roman" w:hAnsi="Times New Roman" w:cs="Times New Roman"/>
          <w:bCs/>
        </w:rPr>
        <w:t xml:space="preserve"> </w:t>
      </w:r>
    </w:p>
    <w:p w:rsidR="006009AA" w:rsidRDefault="006009AA" w:rsidP="00980876">
      <w:pPr>
        <w:pStyle w:val="Listaszerbekezds"/>
        <w:numPr>
          <w:ilvl w:val="0"/>
          <w:numId w:val="228"/>
        </w:numPr>
        <w:autoSpaceDE w:val="0"/>
        <w:autoSpaceDN w:val="0"/>
        <w:adjustRightInd w:val="0"/>
        <w:spacing w:after="0" w:line="240" w:lineRule="auto"/>
        <w:ind w:left="992" w:hanging="357"/>
        <w:jc w:val="both"/>
        <w:rPr>
          <w:rFonts w:ascii="Times New Roman" w:hAnsi="Times New Roman" w:cs="Times New Roman"/>
        </w:rPr>
      </w:pPr>
      <w:r>
        <w:rPr>
          <w:rFonts w:ascii="Times New Roman" w:hAnsi="Times New Roman" w:cs="Times New Roman"/>
        </w:rPr>
        <w:t>A hadtáp szakmai feladatok ellátása során a rendszerszemlélet és jó szervezőkészség jellemzi.</w:t>
      </w:r>
    </w:p>
    <w:p w:rsidR="006009AA" w:rsidRDefault="006009AA" w:rsidP="00980876">
      <w:pPr>
        <w:pStyle w:val="Listaszerbekezds"/>
        <w:numPr>
          <w:ilvl w:val="0"/>
          <w:numId w:val="228"/>
        </w:numPr>
        <w:autoSpaceDE w:val="0"/>
        <w:autoSpaceDN w:val="0"/>
        <w:adjustRightInd w:val="0"/>
        <w:spacing w:after="0" w:line="240" w:lineRule="auto"/>
        <w:ind w:left="992" w:hanging="357"/>
        <w:jc w:val="both"/>
        <w:rPr>
          <w:rFonts w:ascii="Times New Roman" w:hAnsi="Times New Roman" w:cs="Times New Roman"/>
        </w:rPr>
      </w:pPr>
      <w:r>
        <w:rPr>
          <w:rFonts w:ascii="Times New Roman" w:hAnsi="Times New Roman" w:cs="Times New Roman"/>
        </w:rPr>
        <w:t>Nyitott a hadtáp szakterületek új tudományos eredményei iránt, képes a hadtáp szakterületeken bekövetkező változásokhoz és fejlődéshez jól alkalmazkodni.</w:t>
      </w:r>
    </w:p>
    <w:p w:rsidR="006009AA" w:rsidRDefault="006009AA" w:rsidP="006009AA">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Autonómiája és felelőssége:</w:t>
      </w:r>
    </w:p>
    <w:p w:rsidR="006009AA" w:rsidRDefault="006009AA" w:rsidP="00980876">
      <w:pPr>
        <w:pStyle w:val="Listaszerbekezds"/>
        <w:widowControl w:val="0"/>
        <w:numPr>
          <w:ilvl w:val="0"/>
          <w:numId w:val="229"/>
        </w:numPr>
        <w:spacing w:after="0" w:line="240" w:lineRule="auto"/>
        <w:ind w:left="992" w:hanging="357"/>
        <w:jc w:val="both"/>
        <w:rPr>
          <w:rFonts w:ascii="Times New Roman" w:hAnsi="Times New Roman" w:cs="Times New Roman"/>
        </w:rPr>
      </w:pPr>
      <w:r>
        <w:rPr>
          <w:rFonts w:ascii="Times New Roman" w:hAnsi="Times New Roman" w:cs="Times New Roman"/>
        </w:rPr>
        <w:t>Felelősséget vállal számvetéseinek pontosságáért.</w:t>
      </w:r>
    </w:p>
    <w:p w:rsidR="006009AA" w:rsidRDefault="006009AA" w:rsidP="00980876">
      <w:pPr>
        <w:pStyle w:val="Listaszerbekezds"/>
        <w:widowControl w:val="0"/>
        <w:numPr>
          <w:ilvl w:val="0"/>
          <w:numId w:val="229"/>
        </w:numPr>
        <w:spacing w:after="0" w:line="240" w:lineRule="auto"/>
        <w:ind w:left="992" w:hanging="357"/>
        <w:jc w:val="both"/>
        <w:rPr>
          <w:rFonts w:ascii="Times New Roman" w:hAnsi="Times New Roman" w:cs="Times New Roman"/>
        </w:rPr>
      </w:pPr>
      <w:r>
        <w:rPr>
          <w:rFonts w:ascii="Times New Roman" w:eastAsia="Times New Roman" w:hAnsi="Times New Roman" w:cs="Times New Roman"/>
          <w:bCs/>
        </w:rPr>
        <w:lastRenderedPageBreak/>
        <w:t>Az ellátási folyamatok végrehajtása során önállóan döntéseket hoz, azokat felelősséggel, a jogszabályi keretek figyelembevételével végrehajtja.</w:t>
      </w:r>
    </w:p>
    <w:p w:rsidR="006009AA" w:rsidRDefault="006009AA" w:rsidP="006009AA">
      <w:pPr>
        <w:widowControl w:val="0"/>
        <w:spacing w:before="120" w:after="0" w:line="240" w:lineRule="auto"/>
        <w:ind w:left="425"/>
        <w:jc w:val="both"/>
        <w:rPr>
          <w:rFonts w:ascii="Times New Roman" w:eastAsia="Times New Roman" w:hAnsi="Times New Roman" w:cs="Times New Roman"/>
          <w:b/>
          <w:bCs/>
          <w:lang w:val="en-US"/>
        </w:rPr>
      </w:pPr>
      <w:r>
        <w:rPr>
          <w:rFonts w:ascii="Times New Roman" w:eastAsia="Times New Roman" w:hAnsi="Times New Roman" w:cs="Times New Roman"/>
          <w:b/>
          <w:bCs/>
        </w:rPr>
        <w:t>Elérendő kompetenciák (angolul) (</w:t>
      </w:r>
      <w:r>
        <w:rPr>
          <w:rFonts w:ascii="Times New Roman" w:eastAsia="Times New Roman" w:hAnsi="Times New Roman" w:cs="Times New Roman"/>
          <w:b/>
          <w:bCs/>
          <w:lang w:val="en-US"/>
        </w:rPr>
        <w:t xml:space="preserve">Competences – English): </w:t>
      </w:r>
    </w:p>
    <w:p w:rsidR="006009AA" w:rsidRDefault="006009AA" w:rsidP="006009AA">
      <w:pPr>
        <w:widowControl w:val="0"/>
        <w:spacing w:before="120" w:after="0" w:line="240" w:lineRule="auto"/>
        <w:ind w:left="425"/>
        <w:jc w:val="both"/>
        <w:rPr>
          <w:rFonts w:ascii="Times New Roman" w:eastAsia="Times New Roman" w:hAnsi="Times New Roman" w:cs="Times New Roman"/>
          <w:lang w:val="en-GB"/>
        </w:rPr>
      </w:pPr>
      <w:r>
        <w:rPr>
          <w:rFonts w:ascii="Times New Roman" w:eastAsia="Times New Roman" w:hAnsi="Times New Roman" w:cs="Times New Roman"/>
          <w:b/>
          <w:lang w:val="en-GB"/>
        </w:rPr>
        <w:t>Knowledge</w:t>
      </w:r>
      <w:r>
        <w:rPr>
          <w:rFonts w:ascii="Times New Roman" w:eastAsia="Times New Roman" w:hAnsi="Times New Roman" w:cs="Times New Roman"/>
          <w:lang w:val="en-GB"/>
        </w:rPr>
        <w:t xml:space="preserve">: </w:t>
      </w:r>
    </w:p>
    <w:p w:rsidR="006009AA" w:rsidRDefault="006009AA" w:rsidP="00980876">
      <w:pPr>
        <w:pStyle w:val="Listaszerbekezds"/>
        <w:widowControl w:val="0"/>
        <w:numPr>
          <w:ilvl w:val="0"/>
          <w:numId w:val="230"/>
        </w:numPr>
        <w:spacing w:after="0" w:line="240" w:lineRule="auto"/>
        <w:ind w:left="992" w:hanging="357"/>
        <w:jc w:val="both"/>
        <w:rPr>
          <w:rFonts w:ascii="Times New Roman" w:eastAsia="Times New Roman" w:hAnsi="Times New Roman" w:cs="Times New Roman"/>
          <w:lang w:val="en-GB"/>
        </w:rPr>
      </w:pPr>
      <w:r>
        <w:rPr>
          <w:rFonts w:ascii="Times New Roman" w:eastAsia="Times New Roman" w:hAnsi="Times New Roman" w:cs="Times New Roman"/>
          <w:lang w:val="en-GB"/>
        </w:rPr>
        <w:t>To be able to familiar with professional tasks of clothing field and structure of supply clothing system in the Hungarian Defence Forces.</w:t>
      </w:r>
    </w:p>
    <w:p w:rsidR="006009AA" w:rsidRDefault="006009AA" w:rsidP="006009AA">
      <w:pPr>
        <w:widowControl w:val="0"/>
        <w:spacing w:before="120" w:after="0" w:line="240" w:lineRule="auto"/>
        <w:ind w:left="425"/>
        <w:jc w:val="both"/>
        <w:rPr>
          <w:rFonts w:ascii="Times New Roman" w:eastAsia="Times New Roman" w:hAnsi="Times New Roman" w:cs="Times New Roman"/>
          <w:lang w:val="en-GB"/>
        </w:rPr>
      </w:pPr>
      <w:r>
        <w:rPr>
          <w:rFonts w:ascii="Times New Roman" w:eastAsia="Times New Roman" w:hAnsi="Times New Roman" w:cs="Times New Roman"/>
          <w:b/>
          <w:lang w:val="en-GB"/>
        </w:rPr>
        <w:t>Capabilities</w:t>
      </w:r>
      <w:r>
        <w:rPr>
          <w:rFonts w:ascii="Times New Roman" w:eastAsia="Times New Roman" w:hAnsi="Times New Roman" w:cs="Times New Roman"/>
          <w:lang w:val="en-GB"/>
        </w:rPr>
        <w:t xml:space="preserve">: </w:t>
      </w:r>
    </w:p>
    <w:p w:rsidR="006009AA" w:rsidRDefault="006009AA" w:rsidP="00980876">
      <w:pPr>
        <w:pStyle w:val="Listaszerbekezds"/>
        <w:widowControl w:val="0"/>
        <w:numPr>
          <w:ilvl w:val="0"/>
          <w:numId w:val="230"/>
        </w:numPr>
        <w:spacing w:after="0" w:line="240" w:lineRule="auto"/>
        <w:ind w:left="992" w:hanging="357"/>
        <w:jc w:val="both"/>
        <w:rPr>
          <w:rFonts w:ascii="Times New Roman" w:eastAsia="Times New Roman" w:hAnsi="Times New Roman" w:cs="Times New Roman"/>
          <w:lang w:val="en-GB"/>
        </w:rPr>
      </w:pPr>
      <w:r>
        <w:rPr>
          <w:rFonts w:ascii="Times New Roman" w:eastAsia="Times New Roman" w:hAnsi="Times New Roman" w:cs="Times New Roman"/>
          <w:lang w:val="en-GB"/>
        </w:rPr>
        <w:t>To have ability to conduct supply tasks on sub-unit level in peace time and wartime and in peace support operation.</w:t>
      </w:r>
    </w:p>
    <w:p w:rsidR="006009AA" w:rsidRDefault="006009AA" w:rsidP="00980876">
      <w:pPr>
        <w:pStyle w:val="Listaszerbekezds"/>
        <w:widowControl w:val="0"/>
        <w:numPr>
          <w:ilvl w:val="0"/>
          <w:numId w:val="230"/>
        </w:numPr>
        <w:spacing w:after="0" w:line="240" w:lineRule="auto"/>
        <w:ind w:left="992" w:hanging="357"/>
        <w:jc w:val="both"/>
        <w:rPr>
          <w:rFonts w:ascii="Times New Roman" w:eastAsia="Times New Roman" w:hAnsi="Times New Roman" w:cs="Times New Roman"/>
          <w:lang w:val="en-GB"/>
        </w:rPr>
      </w:pPr>
      <w:r>
        <w:rPr>
          <w:rFonts w:ascii="Times New Roman" w:eastAsia="Times New Roman" w:hAnsi="Times New Roman" w:cs="Times New Roman"/>
          <w:lang w:val="en-GB"/>
        </w:rPr>
        <w:t xml:space="preserve">To be able to plan, organise, control and evaluate management and financial tasks. </w:t>
      </w:r>
    </w:p>
    <w:p w:rsidR="006009AA" w:rsidRDefault="006009AA" w:rsidP="00980876">
      <w:pPr>
        <w:pStyle w:val="Listaszerbekezds"/>
        <w:widowControl w:val="0"/>
        <w:numPr>
          <w:ilvl w:val="0"/>
          <w:numId w:val="230"/>
        </w:numPr>
        <w:spacing w:after="0" w:line="240" w:lineRule="auto"/>
        <w:ind w:left="992" w:hanging="357"/>
        <w:jc w:val="both"/>
        <w:rPr>
          <w:rFonts w:ascii="Times New Roman" w:eastAsia="Times New Roman" w:hAnsi="Times New Roman" w:cs="Times New Roman"/>
          <w:lang w:val="en-GB"/>
        </w:rPr>
      </w:pPr>
      <w:r>
        <w:rPr>
          <w:rFonts w:ascii="Times New Roman" w:eastAsia="Times New Roman" w:hAnsi="Times New Roman" w:cs="Times New Roman"/>
          <w:lang w:val="en-GB"/>
        </w:rPr>
        <w:t>To be able to execute public procurements on unit level.</w:t>
      </w:r>
    </w:p>
    <w:p w:rsidR="006009AA" w:rsidRDefault="006009AA" w:rsidP="00600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425"/>
        <w:jc w:val="both"/>
        <w:rPr>
          <w:rFonts w:ascii="Times New Roman" w:eastAsia="Times New Roman" w:hAnsi="Times New Roman" w:cs="Times New Roman"/>
          <w:lang w:val="en-GB"/>
        </w:rPr>
      </w:pPr>
      <w:r>
        <w:rPr>
          <w:rFonts w:ascii="Times New Roman" w:eastAsia="Times New Roman" w:hAnsi="Times New Roman" w:cs="Times New Roman"/>
          <w:b/>
          <w:lang w:val="en-GB"/>
        </w:rPr>
        <w:t>Attitude:</w:t>
      </w:r>
      <w:r>
        <w:rPr>
          <w:rFonts w:ascii="Times New Roman" w:eastAsia="Times New Roman" w:hAnsi="Times New Roman" w:cs="Times New Roman"/>
          <w:lang w:val="en-GB"/>
        </w:rPr>
        <w:t xml:space="preserve"> </w:t>
      </w:r>
    </w:p>
    <w:p w:rsidR="006009AA" w:rsidRDefault="006009AA" w:rsidP="00980876">
      <w:pPr>
        <w:pStyle w:val="Listaszerbekezds"/>
        <w:numPr>
          <w:ilvl w:val="0"/>
          <w:numId w:val="231"/>
        </w:numPr>
        <w:spacing w:after="0" w:line="240" w:lineRule="auto"/>
        <w:ind w:left="992" w:hanging="357"/>
        <w:jc w:val="both"/>
        <w:rPr>
          <w:rFonts w:ascii="Times New Roman" w:eastAsia="Times New Roman" w:hAnsi="Times New Roman" w:cs="Times New Roman"/>
          <w:lang w:val="en-GB"/>
        </w:rPr>
      </w:pPr>
      <w:r>
        <w:rPr>
          <w:rFonts w:ascii="Times New Roman" w:eastAsia="Times New Roman" w:hAnsi="Times New Roman" w:cs="Times New Roman"/>
          <w:lang w:val="en-GB"/>
        </w:rPr>
        <w:t>To be open to the new scientific result of supply field and to be able to conform to the new change and development of supply field.</w:t>
      </w:r>
    </w:p>
    <w:p w:rsidR="006009AA" w:rsidRDefault="006009AA" w:rsidP="00980876">
      <w:pPr>
        <w:pStyle w:val="Listaszerbekezds"/>
        <w:numPr>
          <w:ilvl w:val="0"/>
          <w:numId w:val="231"/>
        </w:numPr>
        <w:spacing w:after="0" w:line="240" w:lineRule="auto"/>
        <w:ind w:left="992" w:hanging="357"/>
        <w:jc w:val="both"/>
        <w:rPr>
          <w:rFonts w:ascii="Times New Roman" w:eastAsia="Times New Roman" w:hAnsi="Times New Roman" w:cs="Times New Roman"/>
          <w:lang w:val="en-GB"/>
        </w:rPr>
      </w:pPr>
      <w:r>
        <w:rPr>
          <w:rFonts w:ascii="Times New Roman" w:eastAsia="Times New Roman" w:hAnsi="Times New Roman" w:cs="Times New Roman"/>
          <w:lang w:val="en-GB"/>
        </w:rPr>
        <w:t xml:space="preserve">To be characterized by system approach attitude and organizational skills. </w:t>
      </w:r>
    </w:p>
    <w:p w:rsidR="006009AA" w:rsidRDefault="006009AA" w:rsidP="006009AA">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lang w:val="en-GB"/>
        </w:rPr>
        <w:t xml:space="preserve">Autonomy and responsibility: </w:t>
      </w:r>
    </w:p>
    <w:p w:rsidR="006009AA" w:rsidRDefault="006009AA" w:rsidP="00980876">
      <w:pPr>
        <w:pStyle w:val="Listaszerbekezds"/>
        <w:widowControl w:val="0"/>
        <w:numPr>
          <w:ilvl w:val="0"/>
          <w:numId w:val="232"/>
        </w:numPr>
        <w:spacing w:after="0" w:line="240" w:lineRule="auto"/>
        <w:ind w:left="992" w:hanging="357"/>
        <w:jc w:val="both"/>
        <w:rPr>
          <w:rFonts w:ascii="Times New Roman" w:eastAsia="Times New Roman" w:hAnsi="Times New Roman" w:cs="Times New Roman"/>
          <w:bCs/>
          <w:lang w:val="en-US"/>
        </w:rPr>
      </w:pPr>
      <w:r>
        <w:rPr>
          <w:rFonts w:ascii="Times New Roman" w:eastAsia="Times New Roman" w:hAnsi="Times New Roman" w:cs="Times New Roman"/>
          <w:bCs/>
          <w:lang w:val="en-US"/>
        </w:rPr>
        <w:t xml:space="preserve">Take responsibility for the accuracy of the calculations. </w:t>
      </w:r>
    </w:p>
    <w:p w:rsidR="006009AA" w:rsidRDefault="006009AA" w:rsidP="00980876">
      <w:pPr>
        <w:pStyle w:val="Listaszerbekezds"/>
        <w:widowControl w:val="0"/>
        <w:numPr>
          <w:ilvl w:val="0"/>
          <w:numId w:val="232"/>
        </w:numPr>
        <w:spacing w:after="0" w:line="240" w:lineRule="auto"/>
        <w:ind w:left="992" w:hanging="357"/>
        <w:jc w:val="both"/>
        <w:rPr>
          <w:rFonts w:ascii="Times New Roman" w:eastAsia="Times New Roman" w:hAnsi="Times New Roman" w:cs="Times New Roman"/>
          <w:bCs/>
          <w:lang w:val="en-US"/>
        </w:rPr>
      </w:pPr>
      <w:r>
        <w:rPr>
          <w:rFonts w:ascii="Times New Roman" w:eastAsia="Times New Roman" w:hAnsi="Times New Roman" w:cs="Times New Roman"/>
          <w:bCs/>
          <w:lang w:val="en-US"/>
        </w:rPr>
        <w:t>Make decision when he conduct supply tasks taking into account his responsibility and laws.</w:t>
      </w:r>
    </w:p>
    <w:p w:rsidR="006009AA" w:rsidRDefault="006009AA" w:rsidP="00980876">
      <w:pPr>
        <w:widowControl w:val="0"/>
        <w:numPr>
          <w:ilvl w:val="0"/>
          <w:numId w:val="235"/>
        </w:numPr>
        <w:tabs>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Előtanulmányi követelmények: </w:t>
      </w:r>
    </w:p>
    <w:p w:rsidR="006009AA" w:rsidRPr="006009AA" w:rsidRDefault="006009AA" w:rsidP="00980876">
      <w:pPr>
        <w:pStyle w:val="Listaszerbekezds"/>
        <w:widowControl w:val="0"/>
        <w:numPr>
          <w:ilvl w:val="1"/>
          <w:numId w:val="236"/>
        </w:numPr>
        <w:spacing w:before="120" w:after="120" w:line="240" w:lineRule="auto"/>
        <w:jc w:val="both"/>
        <w:rPr>
          <w:rFonts w:ascii="Times New Roman" w:eastAsia="Times New Roman" w:hAnsi="Times New Roman" w:cs="Times New Roman"/>
          <w:bCs/>
        </w:rPr>
      </w:pPr>
      <w:r w:rsidRPr="006009AA">
        <w:rPr>
          <w:rFonts w:ascii="Times New Roman" w:eastAsia="Times New Roman" w:hAnsi="Times New Roman" w:cs="Times New Roman"/>
          <w:bCs/>
        </w:rPr>
        <w:t>Katonai ellátás-és szolgáltatásmenedzsment (HKHPKA106)</w:t>
      </w:r>
    </w:p>
    <w:p w:rsidR="006009AA" w:rsidRPr="006009AA" w:rsidRDefault="006009AA" w:rsidP="00980876">
      <w:pPr>
        <w:pStyle w:val="Listaszerbekezds"/>
        <w:widowControl w:val="0"/>
        <w:numPr>
          <w:ilvl w:val="1"/>
          <w:numId w:val="236"/>
        </w:numPr>
        <w:spacing w:before="120" w:after="120" w:line="240" w:lineRule="auto"/>
        <w:jc w:val="both"/>
        <w:rPr>
          <w:rFonts w:ascii="Times New Roman" w:eastAsia="Times New Roman" w:hAnsi="Times New Roman" w:cs="Times New Roman"/>
          <w:bCs/>
        </w:rPr>
      </w:pPr>
      <w:r w:rsidRPr="006009AA">
        <w:rPr>
          <w:rFonts w:ascii="Times New Roman" w:eastAsia="Times New Roman" w:hAnsi="Times New Roman" w:cs="Times New Roman"/>
          <w:bCs/>
        </w:rPr>
        <w:t>Hadtáp anyagismeret és gyártástechnológia (HKHPKA108)</w:t>
      </w:r>
    </w:p>
    <w:p w:rsidR="006009AA" w:rsidRDefault="006009AA" w:rsidP="00980876">
      <w:pPr>
        <w:widowControl w:val="0"/>
        <w:numPr>
          <w:ilvl w:val="0"/>
          <w:numId w:val="235"/>
        </w:numPr>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A tantárgy tananyagának leírása, tematika. Description of the subject, curriculum (magyarul, angolul - English):</w:t>
      </w:r>
    </w:p>
    <w:p w:rsidR="006009AA" w:rsidRDefault="006009AA" w:rsidP="00980876">
      <w:pPr>
        <w:widowControl w:val="0"/>
        <w:numPr>
          <w:ilvl w:val="1"/>
          <w:numId w:val="235"/>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b/>
          <w:lang w:val="en-US"/>
        </w:rPr>
      </w:pPr>
      <w:r>
        <w:rPr>
          <w:rFonts w:ascii="Times New Roman" w:hAnsi="Times New Roman"/>
          <w:bCs/>
        </w:rPr>
        <w:t>Az</w:t>
      </w:r>
      <w:r>
        <w:rPr>
          <w:rFonts w:ascii="Times New Roman" w:hAnsi="Times New Roman"/>
          <w:bCs/>
          <w:lang w:val="en-US"/>
        </w:rPr>
        <w:t xml:space="preserve"> MH</w:t>
      </w:r>
      <w:r>
        <w:rPr>
          <w:rFonts w:ascii="Times New Roman" w:hAnsi="Times New Roman"/>
          <w:bCs/>
        </w:rPr>
        <w:t xml:space="preserve"> ruházati szakterületének feladatai</w:t>
      </w:r>
      <w:r>
        <w:rPr>
          <w:rFonts w:ascii="Times New Roman" w:hAnsi="Times New Roman"/>
          <w:lang w:val="en-US"/>
        </w:rPr>
        <w:t>. A</w:t>
      </w:r>
      <w:r>
        <w:rPr>
          <w:rFonts w:ascii="Times New Roman" w:hAnsi="Times New Roman"/>
        </w:rPr>
        <w:t xml:space="preserve"> szakterület vezetése</w:t>
      </w:r>
      <w:r>
        <w:rPr>
          <w:rFonts w:ascii="Times New Roman" w:hAnsi="Times New Roman"/>
          <w:lang w:val="en-US"/>
        </w:rPr>
        <w:t>. A</w:t>
      </w:r>
      <w:r>
        <w:rPr>
          <w:rFonts w:ascii="Times New Roman" w:hAnsi="Times New Roman"/>
        </w:rPr>
        <w:t xml:space="preserve"> szakbeosztások átadás-átvétele</w:t>
      </w:r>
      <w:r>
        <w:rPr>
          <w:rFonts w:ascii="Times New Roman" w:hAnsi="Times New Roman"/>
          <w:lang w:val="en-US"/>
        </w:rPr>
        <w:t>.</w:t>
      </w:r>
      <w:r>
        <w:rPr>
          <w:rFonts w:ascii="Times New Roman" w:eastAsia="Times New Roman" w:hAnsi="Times New Roman" w:cs="Times New Roman"/>
          <w:i/>
          <w:lang w:val="en-US"/>
        </w:rPr>
        <w:t xml:space="preserve"> (The tasks of clothing supply filed in the HDF. Lead of this field. The tasks of hand over take over of the assignment.)</w:t>
      </w:r>
    </w:p>
    <w:p w:rsidR="006009AA" w:rsidRDefault="006009AA" w:rsidP="00980876">
      <w:pPr>
        <w:widowControl w:val="0"/>
        <w:numPr>
          <w:ilvl w:val="1"/>
          <w:numId w:val="235"/>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i/>
          <w:lang w:val="en-US"/>
        </w:rPr>
      </w:pPr>
      <w:r>
        <w:rPr>
          <w:rFonts w:ascii="Times New Roman" w:eastAsia="Times New Roman" w:hAnsi="Times New Roman" w:cs="Times New Roman"/>
          <w:bCs/>
        </w:rPr>
        <w:t xml:space="preserve">A ruházati illetmény-gazdálkodás. A gazdálkodás elemzése. A ruházati beszerzési eljárások. </w:t>
      </w:r>
      <w:r>
        <w:rPr>
          <w:rFonts w:ascii="Times New Roman" w:eastAsia="Times New Roman" w:hAnsi="Times New Roman" w:cs="Times New Roman"/>
          <w:bCs/>
          <w:i/>
        </w:rPr>
        <w:t>(Management of</w:t>
      </w:r>
      <w:r>
        <w:rPr>
          <w:rFonts w:ascii="Times New Roman" w:eastAsia="Times New Roman" w:hAnsi="Times New Roman" w:cs="Times New Roman"/>
          <w:bCs/>
          <w:i/>
          <w:lang w:val="en-GB"/>
        </w:rPr>
        <w:t xml:space="preserve"> the clothing field</w:t>
      </w:r>
      <w:r>
        <w:rPr>
          <w:rFonts w:ascii="Times New Roman" w:eastAsia="Times New Roman" w:hAnsi="Times New Roman" w:cs="Times New Roman"/>
          <w:bCs/>
          <w:i/>
          <w:lang w:val="en-US"/>
        </w:rPr>
        <w:t>. Analysis of the management. Process of the procurement of the clothing field.</w:t>
      </w:r>
      <w:r>
        <w:rPr>
          <w:rFonts w:ascii="Times New Roman" w:eastAsia="Times New Roman" w:hAnsi="Times New Roman" w:cs="Times New Roman"/>
          <w:bCs/>
          <w:i/>
        </w:rPr>
        <w:t>)</w:t>
      </w:r>
    </w:p>
    <w:p w:rsidR="006009AA" w:rsidRDefault="006009AA" w:rsidP="00980876">
      <w:pPr>
        <w:widowControl w:val="0"/>
        <w:numPr>
          <w:ilvl w:val="1"/>
          <w:numId w:val="235"/>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i/>
        </w:rPr>
      </w:pPr>
      <w:r>
        <w:rPr>
          <w:rFonts w:ascii="Times New Roman" w:hAnsi="Times New Roman" w:cs="Times New Roman"/>
          <w:bCs/>
        </w:rPr>
        <w:t>Ruházati eszköz és készletgazdálkodás rendszere. Az állomány ellátása. Ruházati szolgáltatások</w:t>
      </w:r>
      <w:r>
        <w:rPr>
          <w:rFonts w:ascii="Times New Roman" w:hAnsi="Times New Roman" w:cs="Times New Roman"/>
          <w:bCs/>
          <w:i/>
        </w:rPr>
        <w:t xml:space="preserve">. </w:t>
      </w:r>
      <w:r>
        <w:rPr>
          <w:rFonts w:ascii="Times New Roman" w:eastAsia="Times New Roman" w:hAnsi="Times New Roman" w:cs="Times New Roman"/>
          <w:i/>
          <w:lang w:val="en-US"/>
        </w:rPr>
        <w:t>(The system of the clothing inventory and asset management</w:t>
      </w:r>
      <w:r>
        <w:rPr>
          <w:rFonts w:ascii="Times New Roman" w:eastAsia="Times New Roman" w:hAnsi="Times New Roman" w:cs="Times New Roman"/>
          <w:bCs/>
          <w:i/>
          <w:lang w:val="en-US"/>
        </w:rPr>
        <w:t>. Supply of the distaff. The clothing services.</w:t>
      </w:r>
      <w:r>
        <w:rPr>
          <w:rFonts w:ascii="Times New Roman" w:eastAsia="Times New Roman" w:hAnsi="Times New Roman" w:cs="Times New Roman"/>
          <w:i/>
          <w:lang w:val="en-US"/>
        </w:rPr>
        <w:t>)</w:t>
      </w:r>
    </w:p>
    <w:p w:rsidR="006009AA" w:rsidRDefault="006009AA" w:rsidP="00980876">
      <w:pPr>
        <w:widowControl w:val="0"/>
        <w:numPr>
          <w:ilvl w:val="1"/>
          <w:numId w:val="235"/>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i/>
          <w:lang w:val="en-US"/>
        </w:rPr>
      </w:pPr>
      <w:r>
        <w:rPr>
          <w:rFonts w:ascii="Times New Roman" w:hAnsi="Times New Roman" w:cs="Times New Roman"/>
        </w:rPr>
        <w:t>Béketámogató műveletek</w:t>
      </w:r>
      <w:r>
        <w:rPr>
          <w:rFonts w:ascii="Times New Roman" w:hAnsi="Times New Roman" w:cs="Times New Roman"/>
          <w:lang w:val="smj-SE"/>
        </w:rPr>
        <w:t xml:space="preserve"> ruházati</w:t>
      </w:r>
      <w:r>
        <w:rPr>
          <w:rFonts w:ascii="Times New Roman" w:hAnsi="Times New Roman" w:cs="Times New Roman"/>
        </w:rPr>
        <w:t xml:space="preserve"> biztosítása</w:t>
      </w:r>
      <w:r>
        <w:rPr>
          <w:rFonts w:ascii="Times New Roman" w:hAnsi="Times New Roman" w:cs="Times New Roman"/>
          <w:lang w:val="en-US"/>
        </w:rPr>
        <w:t>. A</w:t>
      </w:r>
      <w:r>
        <w:rPr>
          <w:rFonts w:ascii="Times New Roman" w:hAnsi="Times New Roman" w:cs="Times New Roman"/>
        </w:rPr>
        <w:t xml:space="preserve"> ruházati szakterület ellenőrzési feladatai</w:t>
      </w:r>
      <w:r>
        <w:rPr>
          <w:rFonts w:ascii="Times New Roman" w:hAnsi="Times New Roman" w:cs="Times New Roman"/>
          <w:lang w:val="en-US"/>
        </w:rPr>
        <w:t>.</w:t>
      </w:r>
      <w:r>
        <w:rPr>
          <w:rFonts w:ascii="Times New Roman" w:eastAsia="Times New Roman" w:hAnsi="Times New Roman" w:cs="Times New Roman"/>
          <w:b/>
          <w:lang w:val="en-US"/>
        </w:rPr>
        <w:t xml:space="preserve"> </w:t>
      </w:r>
      <w:r>
        <w:rPr>
          <w:rFonts w:ascii="Times New Roman" w:eastAsia="Times New Roman" w:hAnsi="Times New Roman" w:cs="Times New Roman"/>
          <w:i/>
          <w:lang w:val="en-US"/>
        </w:rPr>
        <w:t>(</w:t>
      </w:r>
      <w:r>
        <w:rPr>
          <w:rFonts w:ascii="Times New Roman" w:eastAsia="Times New Roman" w:hAnsi="Times New Roman" w:cs="Times New Roman"/>
          <w:bCs/>
          <w:i/>
          <w:lang w:val="en-US"/>
        </w:rPr>
        <w:t>Clothing Supply of the Peace Support Operation. Inspection tasks of clothing field.</w:t>
      </w:r>
      <w:r>
        <w:rPr>
          <w:rFonts w:ascii="Times New Roman" w:eastAsia="Times New Roman" w:hAnsi="Times New Roman" w:cs="Times New Roman"/>
          <w:i/>
          <w:lang w:val="en-US"/>
        </w:rPr>
        <w:t>)</w:t>
      </w:r>
    </w:p>
    <w:p w:rsidR="006009AA" w:rsidRDefault="006009AA" w:rsidP="00980876">
      <w:pPr>
        <w:widowControl w:val="0"/>
        <w:numPr>
          <w:ilvl w:val="0"/>
          <w:numId w:val="235"/>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 tantárgy meghirdetésének gyakorisága/a tantervben történő félévi elhelyezkedése: </w:t>
      </w:r>
      <w:r>
        <w:rPr>
          <w:rFonts w:ascii="Times New Roman" w:eastAsia="Times New Roman" w:hAnsi="Times New Roman" w:cs="Times New Roman"/>
          <w:bCs/>
        </w:rPr>
        <w:t xml:space="preserve">Minden őszi szemeszterben / </w:t>
      </w:r>
      <w:r w:rsidR="00761B55" w:rsidRPr="00761B55">
        <w:rPr>
          <w:rFonts w:ascii="Times New Roman" w:eastAsia="Times New Roman" w:hAnsi="Times New Roman" w:cs="Times New Roman"/>
          <w:bCs/>
          <w:highlight w:val="yellow"/>
        </w:rPr>
        <w:t>8</w:t>
      </w:r>
      <w:r w:rsidRPr="00761B55">
        <w:rPr>
          <w:rFonts w:ascii="Times New Roman" w:eastAsia="Times New Roman" w:hAnsi="Times New Roman" w:cs="Times New Roman"/>
          <w:bCs/>
          <w:highlight w:val="yellow"/>
        </w:rPr>
        <w:t>. félév</w:t>
      </w:r>
    </w:p>
    <w:p w:rsidR="006009AA" w:rsidRDefault="006009AA" w:rsidP="00980876">
      <w:pPr>
        <w:widowControl w:val="0"/>
        <w:numPr>
          <w:ilvl w:val="0"/>
          <w:numId w:val="235"/>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tanórákon való részvétel követelményei, az elfogadható hiányzások mértéke, a távolmaradás pótlásának lehetősége:</w:t>
      </w:r>
      <w:r>
        <w:rPr>
          <w:rFonts w:ascii="Times New Roman" w:eastAsia="Times New Roman" w:hAnsi="Times New Roman" w:cs="Times New Roman"/>
          <w:bCs/>
        </w:rPr>
        <w:t xml:space="preserve"> A tanórákon való részvétel kötelező.</w:t>
      </w:r>
      <w:r>
        <w:rPr>
          <w:rFonts w:ascii="Times New Roman" w:eastAsia="Times New Roman" w:hAnsi="Times New Roman" w:cs="Times New Roman"/>
          <w:b/>
          <w:bCs/>
        </w:rPr>
        <w:t xml:space="preserve"> </w:t>
      </w:r>
      <w:r>
        <w:rPr>
          <w:rFonts w:ascii="Times New Roman" w:eastAsia="Times New Roman" w:hAnsi="Times New Roman" w:cs="Times New Roman"/>
          <w:bCs/>
        </w:rPr>
        <w:t>A félév elfogadásának feltétele a tanórák minimum 70%-án való részvétel. Ennél magasabb mértékű távolmaradás pótlása az oktató engedélyével történhet.</w:t>
      </w:r>
    </w:p>
    <w:p w:rsidR="006009AA" w:rsidRDefault="006009AA" w:rsidP="00980876">
      <w:pPr>
        <w:widowControl w:val="0"/>
        <w:numPr>
          <w:ilvl w:val="0"/>
          <w:numId w:val="235"/>
        </w:numPr>
        <w:tabs>
          <w:tab w:val="num" w:pos="360"/>
        </w:tabs>
        <w:spacing w:before="120" w:after="120" w:line="240" w:lineRule="auto"/>
        <w:ind w:left="426" w:hanging="142"/>
        <w:jc w:val="both"/>
        <w:rPr>
          <w:rFonts w:ascii="Times New Roman" w:hAnsi="Times New Roman"/>
        </w:rPr>
      </w:pPr>
      <w:r>
        <w:rPr>
          <w:rFonts w:ascii="Times New Roman" w:eastAsia="Times New Roman" w:hAnsi="Times New Roman" w:cs="Times New Roman"/>
          <w:b/>
        </w:rPr>
        <w:t xml:space="preserve">Félévközi feladatok, ismeretek ellenőrzésének rendje: </w:t>
      </w:r>
      <w:r>
        <w:rPr>
          <w:rFonts w:ascii="Times New Roman" w:hAnsi="Times New Roman"/>
          <w:lang w:val="x-none"/>
        </w:rPr>
        <w:t>A félév során egy zárthelyi dolgozatot ke</w:t>
      </w:r>
      <w:r>
        <w:rPr>
          <w:rFonts w:ascii="Times New Roman" w:hAnsi="Times New Roman"/>
        </w:rPr>
        <w:t>l</w:t>
      </w:r>
      <w:r>
        <w:rPr>
          <w:rFonts w:ascii="Times New Roman" w:hAnsi="Times New Roman"/>
          <w:lang w:val="x-none"/>
        </w:rPr>
        <w:t>l megír</w:t>
      </w:r>
      <w:r>
        <w:rPr>
          <w:rFonts w:ascii="Times New Roman" w:hAnsi="Times New Roman"/>
        </w:rPr>
        <w:t>ni</w:t>
      </w:r>
      <w:r>
        <w:rPr>
          <w:rFonts w:ascii="Times New Roman" w:hAnsi="Times New Roman"/>
          <w:lang w:val="x-none"/>
        </w:rPr>
        <w:t xml:space="preserve">. </w:t>
      </w:r>
      <w:r>
        <w:rPr>
          <w:rFonts w:ascii="Times New Roman" w:hAnsi="Times New Roman"/>
        </w:rPr>
        <w:t xml:space="preserve">A zárthelyi dolgozat ötfokozatú skálán értékelendő, 50%+1 pont elégséges, 60% közepes, 75% jó, 90% jeles. </w:t>
      </w:r>
      <w:r>
        <w:rPr>
          <w:rFonts w:ascii="Times New Roman" w:hAnsi="Times New Roman"/>
          <w:lang w:val="x-none"/>
        </w:rPr>
        <w:t xml:space="preserve">Az elégtelen osztályzatra értékelt dolgozatot a szorgalmi és a vizsgaidőszakban is egy-egy alkalommal lehet pótolni. </w:t>
      </w:r>
    </w:p>
    <w:p w:rsidR="005A596B" w:rsidRDefault="005A596B">
      <w:pPr>
        <w:spacing w:after="200" w:line="276" w:lineRule="auto"/>
        <w:rPr>
          <w:rFonts w:ascii="Times New Roman" w:eastAsia="Times New Roman" w:hAnsi="Times New Roman" w:cs="Times New Roman"/>
          <w:b/>
          <w:bCs/>
        </w:rPr>
      </w:pPr>
      <w:r>
        <w:rPr>
          <w:rFonts w:ascii="Times New Roman" w:eastAsia="Times New Roman" w:hAnsi="Times New Roman" w:cs="Times New Roman"/>
          <w:b/>
          <w:bCs/>
        </w:rPr>
        <w:br w:type="page"/>
      </w:r>
    </w:p>
    <w:p w:rsidR="006009AA" w:rsidRDefault="006009AA" w:rsidP="00980876">
      <w:pPr>
        <w:widowControl w:val="0"/>
        <w:numPr>
          <w:ilvl w:val="0"/>
          <w:numId w:val="235"/>
        </w:numPr>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lastRenderedPageBreak/>
        <w:t>Az értékelés, az aláírás és a kreditek megszerzésének pontos feltételei:</w:t>
      </w:r>
    </w:p>
    <w:p w:rsidR="006009AA" w:rsidRDefault="006009AA" w:rsidP="00980876">
      <w:pPr>
        <w:widowControl w:val="0"/>
        <w:numPr>
          <w:ilvl w:val="1"/>
          <w:numId w:val="235"/>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Az aláírás megszerzésének feltételei:</w:t>
      </w:r>
    </w:p>
    <w:p w:rsidR="006009AA" w:rsidRDefault="006009AA" w:rsidP="006009AA">
      <w:pPr>
        <w:widowControl w:val="0"/>
        <w:tabs>
          <w:tab w:val="left" w:pos="993"/>
        </w:tabs>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Az aláírás feltétele a tanórákon történő – 14. pontban meghatározott – részvétel, valamint a zárthelyi dolgozat sikeres (50% +1pont) megírása.</w:t>
      </w:r>
    </w:p>
    <w:p w:rsidR="006009AA" w:rsidRDefault="006009AA" w:rsidP="00980876">
      <w:pPr>
        <w:widowControl w:val="0"/>
        <w:numPr>
          <w:ilvl w:val="1"/>
          <w:numId w:val="235"/>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Az értékelés:</w:t>
      </w:r>
    </w:p>
    <w:p w:rsidR="006009AA" w:rsidRDefault="006009AA" w:rsidP="006009AA">
      <w:pPr>
        <w:widowControl w:val="0"/>
        <w:tabs>
          <w:tab w:val="left" w:pos="993"/>
        </w:tabs>
        <w:spacing w:before="120" w:after="120" w:line="240" w:lineRule="auto"/>
        <w:ind w:left="426"/>
        <w:jc w:val="both"/>
        <w:rPr>
          <w:rFonts w:ascii="Times New Roman" w:eastAsia="Times New Roman" w:hAnsi="Times New Roman" w:cs="Times New Roman"/>
          <w:lang w:val="x-none"/>
        </w:rPr>
      </w:pPr>
      <w:r>
        <w:rPr>
          <w:rFonts w:ascii="Times New Roman" w:eastAsia="Times New Roman" w:hAnsi="Times New Roman" w:cs="Times New Roman"/>
          <w:lang w:val="x-none"/>
        </w:rPr>
        <w:t xml:space="preserve">A félév végén a kollokvium szóbeli, amelynek eredményébe a félévközi munka beszámítható. </w:t>
      </w:r>
      <w:r>
        <w:rPr>
          <w:rFonts w:ascii="Times New Roman" w:eastAsia="Times New Roman" w:hAnsi="Times New Roman" w:cs="Times New Roman"/>
        </w:rPr>
        <w:t xml:space="preserve">A kollokviumra a hallgatók csak felkészülési témaköröket kapnak kézhez, melyek felölelik a félév teljes tananyagát és a vizsgatételek kérdéseit. </w:t>
      </w:r>
      <w:r>
        <w:rPr>
          <w:rFonts w:ascii="Times New Roman" w:eastAsia="Times New Roman" w:hAnsi="Times New Roman" w:cs="Times New Roman"/>
          <w:lang w:val="x-none"/>
        </w:rPr>
        <w:t xml:space="preserve">A </w:t>
      </w:r>
      <w:r>
        <w:rPr>
          <w:rFonts w:ascii="Times New Roman" w:eastAsia="Times New Roman" w:hAnsi="Times New Roman" w:cs="Times New Roman"/>
        </w:rPr>
        <w:t>szóbeli vizsga értékelése</w:t>
      </w:r>
      <w:r>
        <w:rPr>
          <w:rFonts w:ascii="Times New Roman" w:eastAsia="Times New Roman" w:hAnsi="Times New Roman" w:cs="Times New Roman"/>
          <w:lang w:val="x-none"/>
        </w:rPr>
        <w:t xml:space="preserve"> ötfokozatú skálán </w:t>
      </w:r>
      <w:r>
        <w:rPr>
          <w:rFonts w:ascii="Times New Roman" w:eastAsia="Times New Roman" w:hAnsi="Times New Roman" w:cs="Times New Roman"/>
        </w:rPr>
        <w:t>történik</w:t>
      </w:r>
      <w:r>
        <w:rPr>
          <w:rFonts w:ascii="Times New Roman" w:eastAsia="Times New Roman" w:hAnsi="Times New Roman" w:cs="Times New Roman"/>
          <w:lang w:val="x-none"/>
        </w:rPr>
        <w:t>.</w:t>
      </w:r>
    </w:p>
    <w:p w:rsidR="006009AA" w:rsidRDefault="006009AA" w:rsidP="00980876">
      <w:pPr>
        <w:widowControl w:val="0"/>
        <w:numPr>
          <w:ilvl w:val="1"/>
          <w:numId w:val="235"/>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 kreditek megszerzésének feltételei:</w:t>
      </w:r>
      <w:r>
        <w:rPr>
          <w:rFonts w:ascii="Times New Roman" w:eastAsia="Times New Roman" w:hAnsi="Times New Roman" w:cs="Times New Roman"/>
        </w:rPr>
        <w:t xml:space="preserve"> </w:t>
      </w:r>
    </w:p>
    <w:p w:rsidR="006009AA" w:rsidRDefault="006009AA" w:rsidP="006009AA">
      <w:pPr>
        <w:widowControl w:val="0"/>
        <w:tabs>
          <w:tab w:val="left" w:pos="993"/>
        </w:tabs>
        <w:spacing w:before="120" w:after="120" w:line="240" w:lineRule="auto"/>
        <w:ind w:left="426"/>
        <w:jc w:val="both"/>
        <w:rPr>
          <w:rFonts w:ascii="Times New Roman" w:eastAsia="Times New Roman" w:hAnsi="Times New Roman" w:cs="Times New Roman"/>
          <w:lang w:eastAsia="x-none"/>
        </w:rPr>
      </w:pPr>
      <w:r>
        <w:rPr>
          <w:rFonts w:ascii="Times New Roman" w:eastAsia="Times New Roman" w:hAnsi="Times New Roman" w:cs="Times New Roman"/>
          <w:lang w:eastAsia="x-none"/>
        </w:rPr>
        <w:t>A kreditek megszerzésének feltételei az aláírás megszerzése és legalább elégséges vizsgajegy.</w:t>
      </w:r>
    </w:p>
    <w:p w:rsidR="006009AA" w:rsidRDefault="006009AA" w:rsidP="00980876">
      <w:pPr>
        <w:widowControl w:val="0"/>
        <w:numPr>
          <w:ilvl w:val="0"/>
          <w:numId w:val="235"/>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Irodalomjegyzék:</w:t>
      </w:r>
    </w:p>
    <w:p w:rsidR="006009AA" w:rsidRDefault="006009AA" w:rsidP="00980876">
      <w:pPr>
        <w:widowControl w:val="0"/>
        <w:numPr>
          <w:ilvl w:val="1"/>
          <w:numId w:val="235"/>
        </w:numPr>
        <w:tabs>
          <w:tab w:val="left" w:pos="567"/>
          <w:tab w:val="left" w:pos="851"/>
          <w:tab w:val="num" w:pos="2069"/>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Kötelező irodalom:</w:t>
      </w:r>
    </w:p>
    <w:p w:rsidR="006009AA" w:rsidRPr="006009AA" w:rsidRDefault="006009AA" w:rsidP="00980876">
      <w:pPr>
        <w:pStyle w:val="Listaszerbekezds"/>
        <w:widowControl w:val="0"/>
        <w:numPr>
          <w:ilvl w:val="0"/>
          <w:numId w:val="756"/>
        </w:numPr>
        <w:spacing w:after="0" w:line="240" w:lineRule="auto"/>
        <w:jc w:val="both"/>
        <w:rPr>
          <w:rFonts w:ascii="Times New Roman" w:hAnsi="Times New Roman" w:cs="Times New Roman"/>
          <w:bCs/>
        </w:rPr>
      </w:pPr>
      <w:r>
        <w:rPr>
          <w:rFonts w:ascii="Times New Roman" w:eastAsia="Times New Roman" w:hAnsi="Times New Roman" w:cs="Times New Roman"/>
          <w:lang w:eastAsia="x-none"/>
        </w:rPr>
        <w:t>Htp</w:t>
      </w:r>
      <w:r>
        <w:rPr>
          <w:rFonts w:ascii="Times New Roman" w:eastAsia="Times New Roman" w:hAnsi="Times New Roman" w:cs="Times New Roman"/>
          <w:lang w:val="en-GB" w:eastAsia="x-none"/>
        </w:rPr>
        <w:t xml:space="preserve">/3 </w:t>
      </w:r>
      <w:r w:rsidRPr="006009AA">
        <w:rPr>
          <w:rFonts w:ascii="Times New Roman" w:hAnsi="Times New Roman" w:cs="Times New Roman"/>
          <w:bCs/>
        </w:rPr>
        <w:t xml:space="preserve">Hadtáp szabályzat a ruházati szakterület részére. </w:t>
      </w:r>
    </w:p>
    <w:p w:rsidR="006009AA" w:rsidRDefault="006009AA" w:rsidP="00980876">
      <w:pPr>
        <w:pStyle w:val="Listaszerbekezds"/>
        <w:widowControl w:val="0"/>
        <w:numPr>
          <w:ilvl w:val="0"/>
          <w:numId w:val="756"/>
        </w:numPr>
        <w:spacing w:after="0" w:line="240" w:lineRule="auto"/>
        <w:jc w:val="both"/>
        <w:rPr>
          <w:rFonts w:ascii="Times New Roman" w:eastAsia="Times New Roman" w:hAnsi="Times New Roman" w:cs="Times New Roman"/>
          <w:lang w:val="en-GB" w:eastAsia="x-none"/>
        </w:rPr>
      </w:pPr>
      <w:r w:rsidRPr="006009AA">
        <w:rPr>
          <w:rFonts w:ascii="Times New Roman" w:hAnsi="Times New Roman" w:cs="Times New Roman"/>
          <w:bCs/>
        </w:rPr>
        <w:t>A kötelező iro</w:t>
      </w:r>
      <w:r>
        <w:rPr>
          <w:rFonts w:ascii="Times New Roman" w:eastAsia="Times New Roman" w:hAnsi="Times New Roman" w:cs="Times New Roman"/>
          <w:lang w:val="en-GB" w:eastAsia="x-none"/>
        </w:rPr>
        <w:t>dalmakban hivatkozott jogszabályok és HM belső szabályzók.</w:t>
      </w:r>
    </w:p>
    <w:p w:rsidR="006009AA" w:rsidRDefault="006009AA" w:rsidP="006009AA">
      <w:pPr>
        <w:pStyle w:val="Listaszerbekezds"/>
        <w:ind w:left="644"/>
        <w:rPr>
          <w:rFonts w:ascii="Times New Roman" w:eastAsia="Times New Roman" w:hAnsi="Times New Roman" w:cs="Times New Roman"/>
          <w:lang w:val="en-GB" w:eastAsia="x-none"/>
        </w:rPr>
      </w:pPr>
    </w:p>
    <w:p w:rsidR="006009AA" w:rsidRDefault="006009AA" w:rsidP="00980876">
      <w:pPr>
        <w:pStyle w:val="Listaszerbekezds"/>
        <w:widowControl w:val="0"/>
        <w:numPr>
          <w:ilvl w:val="1"/>
          <w:numId w:val="233"/>
        </w:numPr>
        <w:spacing w:after="0" w:line="240" w:lineRule="auto"/>
        <w:ind w:left="851" w:hanging="567"/>
        <w:jc w:val="both"/>
        <w:rPr>
          <w:rFonts w:ascii="Times New Roman" w:eastAsia="Times New Roman" w:hAnsi="Times New Roman" w:cs="Times New Roman"/>
        </w:rPr>
      </w:pPr>
      <w:r>
        <w:rPr>
          <w:rFonts w:ascii="Times New Roman" w:eastAsia="Times New Roman" w:hAnsi="Times New Roman" w:cs="Times New Roman"/>
          <w:b/>
          <w:bCs/>
        </w:rPr>
        <w:t>Ajánlott irodalom:</w:t>
      </w:r>
    </w:p>
    <w:p w:rsidR="006009AA" w:rsidRDefault="006009AA" w:rsidP="006009AA">
      <w:pPr>
        <w:pStyle w:val="Listaszerbekezds"/>
        <w:widowControl w:val="0"/>
        <w:spacing w:after="0" w:line="240" w:lineRule="auto"/>
        <w:ind w:left="851"/>
        <w:jc w:val="both"/>
        <w:rPr>
          <w:rFonts w:ascii="Times New Roman" w:eastAsia="Times New Roman" w:hAnsi="Times New Roman" w:cs="Times New Roman"/>
        </w:rPr>
      </w:pPr>
    </w:p>
    <w:p w:rsidR="006009AA" w:rsidRDefault="006009AA" w:rsidP="00980876">
      <w:pPr>
        <w:pStyle w:val="Listaszerbekezds"/>
        <w:widowControl w:val="0"/>
        <w:numPr>
          <w:ilvl w:val="0"/>
          <w:numId w:val="237"/>
        </w:numPr>
        <w:spacing w:after="0" w:line="240" w:lineRule="auto"/>
        <w:jc w:val="both"/>
        <w:rPr>
          <w:rFonts w:ascii="Times New Roman" w:eastAsia="Times New Roman" w:hAnsi="Times New Roman" w:cs="Times New Roman"/>
        </w:rPr>
      </w:pPr>
      <w:r>
        <w:rPr>
          <w:rFonts w:ascii="Times New Roman" w:hAnsi="Times New Roman" w:cs="Times New Roman"/>
          <w:bCs/>
        </w:rPr>
        <w:t>A 14/</w:t>
      </w:r>
      <w:r w:rsidRPr="006009AA">
        <w:rPr>
          <w:rFonts w:ascii="Times New Roman" w:eastAsia="Times New Roman" w:hAnsi="Times New Roman" w:cs="Times New Roman"/>
          <w:lang w:eastAsia="x-none"/>
        </w:rPr>
        <w:t>2014</w:t>
      </w:r>
      <w:r>
        <w:rPr>
          <w:rFonts w:ascii="Times New Roman" w:hAnsi="Times New Roman" w:cs="Times New Roman"/>
          <w:bCs/>
        </w:rPr>
        <w:t>. (II. 14.) HM utasítás a Méretes Szabóság szolgáltatásainak igénybevételéről, az igényjogosultság engedélyezéséről, valamint a készíttethető egyenruházati termékek köréről</w:t>
      </w:r>
    </w:p>
    <w:p w:rsidR="006009AA" w:rsidRDefault="006009AA" w:rsidP="006009AA">
      <w:pPr>
        <w:widowControl w:val="0"/>
        <w:spacing w:before="120" w:after="120" w:line="240" w:lineRule="auto"/>
        <w:jc w:val="both"/>
        <w:rPr>
          <w:rFonts w:ascii="Times New Roman" w:eastAsia="Times New Roman" w:hAnsi="Times New Roman" w:cs="Times New Roman"/>
          <w:bCs/>
        </w:rPr>
      </w:pPr>
    </w:p>
    <w:p w:rsidR="006009AA" w:rsidRDefault="006009AA" w:rsidP="006009AA">
      <w:pPr>
        <w:widowControl w:val="0"/>
        <w:spacing w:before="120" w:after="120" w:line="240" w:lineRule="auto"/>
        <w:jc w:val="both"/>
        <w:rPr>
          <w:rFonts w:ascii="Times New Roman" w:eastAsia="Times New Roman" w:hAnsi="Times New Roman" w:cs="Times New Roman"/>
          <w:bCs/>
        </w:rPr>
      </w:pPr>
      <w:r>
        <w:rPr>
          <w:rFonts w:ascii="Times New Roman" w:eastAsia="Times New Roman" w:hAnsi="Times New Roman" w:cs="Times New Roman"/>
          <w:bCs/>
        </w:rPr>
        <w:t>Budapest, 2020. február 20.</w:t>
      </w:r>
    </w:p>
    <w:p w:rsidR="006009AA" w:rsidRDefault="006009AA" w:rsidP="006009AA">
      <w:pPr>
        <w:widowControl w:val="0"/>
        <w:spacing w:before="120" w:after="120" w:line="240" w:lineRule="auto"/>
        <w:jc w:val="both"/>
        <w:rPr>
          <w:rFonts w:ascii="Times New Roman" w:eastAsia="Times New Roman" w:hAnsi="Times New Roman" w:cs="Times New Roman"/>
          <w:bCs/>
        </w:rPr>
      </w:pPr>
    </w:p>
    <w:p w:rsidR="006009AA" w:rsidRPr="006009AA" w:rsidRDefault="006009AA" w:rsidP="006009AA">
      <w:pPr>
        <w:widowControl w:val="0"/>
        <w:spacing w:after="0" w:line="240" w:lineRule="auto"/>
        <w:jc w:val="right"/>
        <w:rPr>
          <w:rFonts w:ascii="Times New Roman" w:hAnsi="Times New Roman" w:cs="Times New Roman"/>
          <w:b/>
          <w:bCs/>
        </w:rPr>
      </w:pPr>
      <w:r w:rsidRPr="006009AA">
        <w:rPr>
          <w:rFonts w:ascii="Times New Roman" w:hAnsi="Times New Roman" w:cs="Times New Roman"/>
          <w:b/>
          <w:bCs/>
        </w:rPr>
        <w:t>Dr. Venekei József (PhD)</w:t>
      </w:r>
    </w:p>
    <w:p w:rsidR="006009AA" w:rsidRDefault="006009AA" w:rsidP="006009AA">
      <w:pPr>
        <w:widowControl w:val="0"/>
        <w:spacing w:after="0" w:line="240" w:lineRule="auto"/>
        <w:jc w:val="center"/>
        <w:rPr>
          <w:rFonts w:ascii="Times New Roman" w:eastAsia="Times New Roman" w:hAnsi="Times New Roman" w:cs="Times New Roman"/>
          <w:bCs/>
        </w:rPr>
      </w:pPr>
      <w:r>
        <w:rPr>
          <w:rFonts w:ascii="Times New Roman" w:hAnsi="Times New Roman" w:cs="Times New Roman"/>
          <w:bCs/>
        </w:rPr>
        <w:t xml:space="preserve">                                                                                                                            egyetemi docens</w:t>
      </w:r>
      <w:r w:rsidR="00C52AA9">
        <w:rPr>
          <w:rFonts w:ascii="Times New Roman" w:hAnsi="Times New Roman" w:cs="Times New Roman"/>
          <w:bCs/>
        </w:rPr>
        <w:t xml:space="preserve"> sk.</w:t>
      </w:r>
    </w:p>
    <w:p w:rsidR="006009AA" w:rsidRDefault="006009AA">
      <w:pPr>
        <w:spacing w:after="200" w:line="276" w:lineRule="auto"/>
        <w:rPr>
          <w:rFonts w:ascii="Times New Roman" w:hAnsi="Times New Roman" w:cs="Times New Roman"/>
          <w:sz w:val="24"/>
        </w:rPr>
      </w:pPr>
    </w:p>
    <w:p w:rsidR="006009AA" w:rsidRDefault="006009AA">
      <w:pPr>
        <w:spacing w:after="200" w:line="276" w:lineRule="auto"/>
        <w:rPr>
          <w:rFonts w:ascii="Times New Roman" w:hAnsi="Times New Roman" w:cs="Times New Roman"/>
          <w:sz w:val="24"/>
        </w:rPr>
      </w:pPr>
      <w:r>
        <w:rPr>
          <w:rFonts w:ascii="Times New Roman" w:hAnsi="Times New Roman" w:cs="Times New Roman"/>
          <w:sz w:val="24"/>
        </w:rPr>
        <w:br w:type="page"/>
      </w:r>
    </w:p>
    <w:tbl>
      <w:tblPr>
        <w:tblW w:w="9072" w:type="dxa"/>
        <w:tblInd w:w="113" w:type="dxa"/>
        <w:tblLook w:val="01E0" w:firstRow="1" w:lastRow="1" w:firstColumn="1" w:lastColumn="1" w:noHBand="0" w:noVBand="0"/>
      </w:tblPr>
      <w:tblGrid>
        <w:gridCol w:w="4855"/>
        <w:gridCol w:w="1620"/>
        <w:gridCol w:w="2597"/>
      </w:tblGrid>
      <w:tr w:rsidR="00E261E0" w:rsidTr="00E261E0">
        <w:tc>
          <w:tcPr>
            <w:tcW w:w="4855" w:type="dxa"/>
            <w:tcBorders>
              <w:top w:val="nil"/>
              <w:left w:val="nil"/>
              <w:bottom w:val="single" w:sz="4" w:space="0" w:color="auto"/>
              <w:right w:val="nil"/>
            </w:tcBorders>
            <w:hideMark/>
          </w:tcPr>
          <w:p w:rsidR="00E261E0" w:rsidRDefault="00E261E0">
            <w:pPr>
              <w:spacing w:after="0" w:line="240" w:lineRule="auto"/>
              <w:jc w:val="center"/>
              <w:rPr>
                <w:rFonts w:ascii="Times New Roman" w:eastAsia="Times New Roman" w:hAnsi="Times New Roman" w:cs="Times New Roman"/>
                <w:b/>
                <w:smallCaps/>
                <w:lang w:eastAsia="hu-HU"/>
              </w:rPr>
            </w:pPr>
            <w:r>
              <w:rPr>
                <w:rFonts w:ascii="Times New Roman" w:eastAsia="Times New Roman" w:hAnsi="Times New Roman" w:cs="Times New Roman"/>
                <w:b/>
                <w:smallCaps/>
                <w:lang w:eastAsia="hu-HU"/>
              </w:rPr>
              <w:lastRenderedPageBreak/>
              <w:t>Nemzeti Közszolgálati Egyetem</w:t>
            </w:r>
          </w:p>
        </w:tc>
        <w:tc>
          <w:tcPr>
            <w:tcW w:w="1620" w:type="dxa"/>
          </w:tcPr>
          <w:p w:rsidR="00E261E0" w:rsidRDefault="00E261E0">
            <w:pPr>
              <w:spacing w:after="0" w:line="240" w:lineRule="auto"/>
              <w:jc w:val="both"/>
              <w:rPr>
                <w:rFonts w:ascii="Times New Roman" w:eastAsia="Times New Roman" w:hAnsi="Times New Roman" w:cs="Times New Roman"/>
                <w:lang w:eastAsia="hu-HU"/>
              </w:rPr>
            </w:pPr>
          </w:p>
        </w:tc>
        <w:tc>
          <w:tcPr>
            <w:tcW w:w="2597" w:type="dxa"/>
          </w:tcPr>
          <w:p w:rsidR="00E261E0" w:rsidRDefault="00E261E0">
            <w:pPr>
              <w:spacing w:after="0" w:line="240" w:lineRule="auto"/>
              <w:jc w:val="right"/>
              <w:rPr>
                <w:rFonts w:ascii="Times New Roman" w:eastAsia="Times New Roman" w:hAnsi="Times New Roman" w:cs="Times New Roman"/>
                <w:lang w:eastAsia="hu-HU"/>
              </w:rPr>
            </w:pPr>
          </w:p>
        </w:tc>
      </w:tr>
      <w:tr w:rsidR="00E261E0" w:rsidTr="00E261E0">
        <w:tc>
          <w:tcPr>
            <w:tcW w:w="4855" w:type="dxa"/>
            <w:tcBorders>
              <w:top w:val="single" w:sz="4" w:space="0" w:color="auto"/>
              <w:left w:val="nil"/>
              <w:bottom w:val="nil"/>
              <w:right w:val="nil"/>
            </w:tcBorders>
            <w:hideMark/>
          </w:tcPr>
          <w:p w:rsidR="00E261E0" w:rsidRDefault="00E261E0">
            <w:pPr>
              <w:spacing w:after="0" w:line="240" w:lineRule="auto"/>
              <w:jc w:val="center"/>
              <w:rPr>
                <w:rFonts w:ascii="Times New Roman" w:eastAsia="Times New Roman" w:hAnsi="Times New Roman" w:cs="Times New Roman"/>
                <w:b/>
                <w:lang w:eastAsia="hu-HU"/>
              </w:rPr>
            </w:pPr>
            <w:r>
              <w:rPr>
                <w:rFonts w:ascii="Times New Roman" w:eastAsia="Times New Roman" w:hAnsi="Times New Roman" w:cs="Times New Roman"/>
                <w:b/>
                <w:lang w:eastAsia="hu-HU"/>
              </w:rPr>
              <w:t>Hadtudományi és Honvédtisztképző Kar</w:t>
            </w:r>
          </w:p>
        </w:tc>
        <w:tc>
          <w:tcPr>
            <w:tcW w:w="1620" w:type="dxa"/>
          </w:tcPr>
          <w:p w:rsidR="00E261E0" w:rsidRDefault="00E261E0">
            <w:pPr>
              <w:spacing w:after="0" w:line="240" w:lineRule="auto"/>
              <w:jc w:val="both"/>
              <w:rPr>
                <w:rFonts w:ascii="Times New Roman" w:eastAsia="Times New Roman" w:hAnsi="Times New Roman" w:cs="Times New Roman"/>
                <w:lang w:eastAsia="hu-HU"/>
              </w:rPr>
            </w:pPr>
          </w:p>
        </w:tc>
        <w:tc>
          <w:tcPr>
            <w:tcW w:w="2597" w:type="dxa"/>
          </w:tcPr>
          <w:p w:rsidR="00E261E0" w:rsidRDefault="00E261E0">
            <w:pPr>
              <w:spacing w:after="0" w:line="240" w:lineRule="auto"/>
              <w:jc w:val="both"/>
              <w:rPr>
                <w:rFonts w:ascii="Times New Roman" w:eastAsia="Times New Roman" w:hAnsi="Times New Roman" w:cs="Times New Roman"/>
                <w:lang w:eastAsia="hu-HU"/>
              </w:rPr>
            </w:pPr>
          </w:p>
        </w:tc>
      </w:tr>
    </w:tbl>
    <w:p w:rsidR="00E261E0" w:rsidRDefault="00E261E0" w:rsidP="00E261E0">
      <w:pPr>
        <w:widowControl w:val="0"/>
        <w:spacing w:before="120" w:after="120" w:line="240" w:lineRule="auto"/>
        <w:ind w:left="426" w:hanging="142"/>
        <w:jc w:val="center"/>
        <w:rPr>
          <w:rFonts w:ascii="Times New Roman" w:eastAsia="Times New Roman" w:hAnsi="Times New Roman" w:cs="Times New Roman"/>
          <w:b/>
          <w:bCs/>
        </w:rPr>
      </w:pPr>
    </w:p>
    <w:p w:rsidR="00E261E0" w:rsidRDefault="00E261E0" w:rsidP="00E261E0">
      <w:pPr>
        <w:widowControl w:val="0"/>
        <w:spacing w:before="120" w:after="120" w:line="240" w:lineRule="auto"/>
        <w:ind w:left="426" w:hanging="142"/>
        <w:jc w:val="center"/>
        <w:rPr>
          <w:rFonts w:ascii="Times New Roman" w:eastAsia="Times New Roman" w:hAnsi="Times New Roman" w:cs="Times New Roman"/>
          <w:b/>
          <w:bCs/>
        </w:rPr>
      </w:pPr>
      <w:r>
        <w:rPr>
          <w:rFonts w:ascii="Times New Roman" w:eastAsia="Times New Roman" w:hAnsi="Times New Roman" w:cs="Times New Roman"/>
          <w:b/>
          <w:bCs/>
        </w:rPr>
        <w:t>TANTÁRGYI PROGRAM</w:t>
      </w:r>
    </w:p>
    <w:p w:rsidR="00E261E0" w:rsidRDefault="00E261E0" w:rsidP="00980876">
      <w:pPr>
        <w:widowControl w:val="0"/>
        <w:numPr>
          <w:ilvl w:val="0"/>
          <w:numId w:val="239"/>
        </w:numPr>
        <w:tabs>
          <w:tab w:val="num" w:pos="426"/>
        </w:tabs>
        <w:spacing w:before="120" w:after="120" w:line="240" w:lineRule="auto"/>
        <w:ind w:left="641" w:hanging="357"/>
        <w:jc w:val="both"/>
        <w:rPr>
          <w:rFonts w:ascii="Times New Roman" w:eastAsia="Times New Roman" w:hAnsi="Times New Roman" w:cs="Times New Roman"/>
          <w:bCs/>
        </w:rPr>
      </w:pPr>
      <w:r>
        <w:rPr>
          <w:rFonts w:ascii="Times New Roman" w:eastAsia="Times New Roman" w:hAnsi="Times New Roman" w:cs="Times New Roman"/>
          <w:b/>
          <w:bCs/>
        </w:rPr>
        <w:t xml:space="preserve">A tantárgy kódja: </w:t>
      </w:r>
      <w:r>
        <w:rPr>
          <w:rFonts w:ascii="Times New Roman" w:eastAsia="Times New Roman" w:hAnsi="Times New Roman" w:cs="Times New Roman"/>
          <w:bCs/>
        </w:rPr>
        <w:t>HKHPKA115</w:t>
      </w:r>
    </w:p>
    <w:p w:rsidR="00E261E0" w:rsidRDefault="00E261E0" w:rsidP="00980876">
      <w:pPr>
        <w:widowControl w:val="0"/>
        <w:numPr>
          <w:ilvl w:val="0"/>
          <w:numId w:val="239"/>
        </w:numPr>
        <w:tabs>
          <w:tab w:val="num" w:pos="426"/>
        </w:tabs>
        <w:spacing w:before="120" w:after="120" w:line="240" w:lineRule="auto"/>
        <w:ind w:left="641" w:hanging="357"/>
        <w:jc w:val="both"/>
        <w:rPr>
          <w:rFonts w:ascii="Times New Roman" w:eastAsia="Times New Roman" w:hAnsi="Times New Roman" w:cs="Times New Roman"/>
          <w:b/>
          <w:bCs/>
          <w:lang w:val="en-GB"/>
        </w:rPr>
      </w:pPr>
      <w:r>
        <w:rPr>
          <w:rFonts w:ascii="Times New Roman" w:eastAsia="Times New Roman" w:hAnsi="Times New Roman" w:cs="Times New Roman"/>
          <w:b/>
          <w:bCs/>
        </w:rPr>
        <w:t>A tantárgy megnevezése (magyarul):</w:t>
      </w:r>
      <w:r>
        <w:rPr>
          <w:rFonts w:ascii="Times New Roman" w:eastAsia="Times New Roman" w:hAnsi="Times New Roman" w:cs="Times New Roman"/>
          <w:bCs/>
        </w:rPr>
        <w:t xml:space="preserve"> </w:t>
      </w:r>
      <w:r>
        <w:rPr>
          <w:rFonts w:ascii="Times New Roman" w:hAnsi="Times New Roman" w:cs="Times New Roman"/>
          <w:bCs/>
        </w:rPr>
        <w:t>Hadtáp szakellenőrzés</w:t>
      </w:r>
    </w:p>
    <w:p w:rsidR="00E261E0" w:rsidRDefault="00E261E0" w:rsidP="00980876">
      <w:pPr>
        <w:widowControl w:val="0"/>
        <w:numPr>
          <w:ilvl w:val="0"/>
          <w:numId w:val="239"/>
        </w:numPr>
        <w:tabs>
          <w:tab w:val="num" w:pos="567"/>
        </w:tabs>
        <w:spacing w:before="120" w:after="120" w:line="240" w:lineRule="auto"/>
        <w:ind w:left="426" w:hanging="142"/>
        <w:jc w:val="both"/>
        <w:rPr>
          <w:rFonts w:ascii="Times New Roman" w:eastAsia="Times New Roman" w:hAnsi="Times New Roman" w:cs="Times New Roman"/>
          <w:b/>
          <w:bCs/>
          <w:lang w:val="en-GB"/>
        </w:rPr>
      </w:pPr>
      <w:r>
        <w:rPr>
          <w:rFonts w:ascii="Times New Roman" w:eastAsia="Times New Roman" w:hAnsi="Times New Roman" w:cs="Times New Roman"/>
          <w:b/>
          <w:bCs/>
        </w:rPr>
        <w:t xml:space="preserve">A tantárgy megnevezése (angolul): </w:t>
      </w:r>
      <w:r>
        <w:rPr>
          <w:rFonts w:ascii="Times New Roman" w:hAnsi="Times New Roman" w:cs="Times New Roman"/>
          <w:bCs/>
        </w:rPr>
        <w:t>Control of Military Supply Service</w:t>
      </w:r>
    </w:p>
    <w:p w:rsidR="00E261E0" w:rsidRDefault="00E261E0" w:rsidP="00980876">
      <w:pPr>
        <w:widowControl w:val="0"/>
        <w:numPr>
          <w:ilvl w:val="0"/>
          <w:numId w:val="239"/>
        </w:numPr>
        <w:tabs>
          <w:tab w:val="num" w:pos="567"/>
        </w:tabs>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Kreditérték és képzési karakter: </w:t>
      </w:r>
    </w:p>
    <w:p w:rsidR="00E261E0" w:rsidRDefault="00E261E0" w:rsidP="00980876">
      <w:pPr>
        <w:pStyle w:val="Listaszerbekezds"/>
        <w:widowControl w:val="0"/>
        <w:numPr>
          <w:ilvl w:val="1"/>
          <w:numId w:val="239"/>
        </w:numPr>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4 kredit</w:t>
      </w:r>
    </w:p>
    <w:p w:rsidR="00E261E0" w:rsidRDefault="00E261E0" w:rsidP="00980876">
      <w:pPr>
        <w:pStyle w:val="Listaszerbekezds"/>
        <w:widowControl w:val="0"/>
        <w:numPr>
          <w:ilvl w:val="1"/>
          <w:numId w:val="239"/>
        </w:numPr>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a tantárgy elméleti vagy gyakorlati jellegének mértéke: 33</w:t>
      </w:r>
      <w:r>
        <w:rPr>
          <w:rFonts w:ascii="Times New Roman" w:eastAsia="Times New Roman" w:hAnsi="Times New Roman" w:cs="Times New Roman"/>
          <w:b/>
          <w:bCs/>
        </w:rPr>
        <w:t xml:space="preserve"> </w:t>
      </w:r>
      <w:r>
        <w:rPr>
          <w:rFonts w:ascii="Times New Roman" w:eastAsia="Times New Roman" w:hAnsi="Times New Roman" w:cs="Times New Roman"/>
          <w:bCs/>
        </w:rPr>
        <w:t>% gyakorlat, 67 % elmélet</w:t>
      </w:r>
    </w:p>
    <w:p w:rsidR="00E261E0" w:rsidRDefault="00E261E0" w:rsidP="00980876">
      <w:pPr>
        <w:widowControl w:val="0"/>
        <w:numPr>
          <w:ilvl w:val="0"/>
          <w:numId w:val="239"/>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szak(ok), szakirányok/specializációk megnevezése (ahol oktatják):</w:t>
      </w:r>
      <w:r>
        <w:rPr>
          <w:rFonts w:ascii="Times New Roman" w:eastAsia="Times New Roman" w:hAnsi="Times New Roman" w:cs="Times New Roman"/>
          <w:bCs/>
        </w:rPr>
        <w:t xml:space="preserve"> </w:t>
      </w:r>
      <w:r>
        <w:rPr>
          <w:rFonts w:ascii="Times New Roman" w:hAnsi="Times New Roman" w:cs="Times New Roman"/>
          <w:bCs/>
        </w:rPr>
        <w:t>Katonai logisztika alapképzési (</w:t>
      </w:r>
      <w:r w:rsidR="00137B8A">
        <w:rPr>
          <w:rFonts w:ascii="Times New Roman" w:hAnsi="Times New Roman" w:cs="Times New Roman"/>
          <w:bCs/>
        </w:rPr>
        <w:t>BSc</w:t>
      </w:r>
      <w:r>
        <w:rPr>
          <w:rFonts w:ascii="Times New Roman" w:hAnsi="Times New Roman" w:cs="Times New Roman"/>
          <w:bCs/>
        </w:rPr>
        <w:t>) szak, Hadtáp specializáció</w:t>
      </w:r>
    </w:p>
    <w:p w:rsidR="00E261E0" w:rsidRDefault="00E261E0" w:rsidP="00980876">
      <w:pPr>
        <w:widowControl w:val="0"/>
        <w:numPr>
          <w:ilvl w:val="0"/>
          <w:numId w:val="239"/>
        </w:numPr>
        <w:tabs>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Az oktatásért felelős oktatási szervezeti egység megnevezése: </w:t>
      </w:r>
      <w:r>
        <w:rPr>
          <w:rFonts w:ascii="Times New Roman" w:hAnsi="Times New Roman" w:cs="Times New Roman"/>
          <w:bCs/>
        </w:rPr>
        <w:t>NKE HHK Hadtáp, Pénzügyi és Katonai Közlekedési Tanszék</w:t>
      </w:r>
    </w:p>
    <w:p w:rsidR="00E261E0" w:rsidRDefault="00E261E0" w:rsidP="00980876">
      <w:pPr>
        <w:widowControl w:val="0"/>
        <w:numPr>
          <w:ilvl w:val="0"/>
          <w:numId w:val="239"/>
        </w:numPr>
        <w:tabs>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tantárgyfelelős oktató neve, beosztása, tudományos fokozata:</w:t>
      </w:r>
      <w:r>
        <w:rPr>
          <w:rFonts w:ascii="Times New Roman" w:eastAsia="Times New Roman" w:hAnsi="Times New Roman" w:cs="Times New Roman"/>
          <w:bCs/>
        </w:rPr>
        <w:t xml:space="preserve"> </w:t>
      </w:r>
      <w:r>
        <w:rPr>
          <w:rFonts w:ascii="Times New Roman" w:hAnsi="Times New Roman" w:cs="Times New Roman"/>
          <w:bCs/>
        </w:rPr>
        <w:t>Dr. Venekei József, egyetemi docens, (PhD)</w:t>
      </w:r>
    </w:p>
    <w:p w:rsidR="00E261E0" w:rsidRDefault="00E261E0" w:rsidP="00980876">
      <w:pPr>
        <w:widowControl w:val="0"/>
        <w:numPr>
          <w:ilvl w:val="0"/>
          <w:numId w:val="239"/>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tanórák száma és típusa</w:t>
      </w:r>
    </w:p>
    <w:p w:rsidR="00E261E0" w:rsidRDefault="00E261E0" w:rsidP="00980876">
      <w:pPr>
        <w:widowControl w:val="0"/>
        <w:numPr>
          <w:ilvl w:val="1"/>
          <w:numId w:val="239"/>
        </w:numPr>
        <w:tabs>
          <w:tab w:val="num" w:pos="709"/>
          <w:tab w:val="num" w:pos="2069"/>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össz óraszám/félév:</w:t>
      </w:r>
    </w:p>
    <w:p w:rsidR="00E261E0" w:rsidRDefault="00E261E0" w:rsidP="00980876">
      <w:pPr>
        <w:widowControl w:val="0"/>
        <w:numPr>
          <w:ilvl w:val="2"/>
          <w:numId w:val="239"/>
        </w:numPr>
        <w:tabs>
          <w:tab w:val="num" w:pos="709"/>
          <w:tab w:val="num" w:pos="1134"/>
        </w:tabs>
        <w:spacing w:before="120" w:after="120" w:line="240" w:lineRule="auto"/>
        <w:ind w:left="993" w:hanging="425"/>
        <w:jc w:val="both"/>
        <w:rPr>
          <w:rFonts w:ascii="Times New Roman" w:eastAsia="Times New Roman" w:hAnsi="Times New Roman" w:cs="Times New Roman"/>
          <w:bCs/>
        </w:rPr>
      </w:pPr>
      <w:r>
        <w:rPr>
          <w:rFonts w:ascii="Times New Roman" w:eastAsia="Times New Roman" w:hAnsi="Times New Roman" w:cs="Times New Roman"/>
          <w:bCs/>
        </w:rPr>
        <w:t>nappali munkarend: 42 (28 EA + 0 SZ + 14 GY)</w:t>
      </w:r>
    </w:p>
    <w:p w:rsidR="00E261E0" w:rsidRDefault="00E261E0" w:rsidP="00980876">
      <w:pPr>
        <w:widowControl w:val="0"/>
        <w:numPr>
          <w:ilvl w:val="2"/>
          <w:numId w:val="239"/>
        </w:numPr>
        <w:tabs>
          <w:tab w:val="num" w:pos="709"/>
          <w:tab w:val="num" w:pos="1134"/>
        </w:tabs>
        <w:spacing w:before="120" w:after="120" w:line="240" w:lineRule="auto"/>
        <w:ind w:left="993" w:hanging="425"/>
        <w:jc w:val="both"/>
        <w:rPr>
          <w:rFonts w:ascii="Times New Roman" w:eastAsia="Times New Roman" w:hAnsi="Times New Roman" w:cs="Times New Roman"/>
          <w:bCs/>
        </w:rPr>
      </w:pPr>
      <w:r>
        <w:rPr>
          <w:rFonts w:ascii="Times New Roman" w:eastAsia="Times New Roman" w:hAnsi="Times New Roman" w:cs="Times New Roman"/>
          <w:bCs/>
        </w:rPr>
        <w:t>levelező munkarend: -</w:t>
      </w:r>
    </w:p>
    <w:p w:rsidR="00E261E0" w:rsidRDefault="00E261E0" w:rsidP="00980876">
      <w:pPr>
        <w:widowControl w:val="0"/>
        <w:numPr>
          <w:ilvl w:val="1"/>
          <w:numId w:val="239"/>
        </w:numPr>
        <w:tabs>
          <w:tab w:val="num" w:pos="709"/>
          <w:tab w:val="num" w:pos="2069"/>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heti óraszám - nappali munkarend: 3</w:t>
      </w:r>
    </w:p>
    <w:p w:rsidR="00E261E0" w:rsidRDefault="00E261E0" w:rsidP="00980876">
      <w:pPr>
        <w:widowControl w:val="0"/>
        <w:numPr>
          <w:ilvl w:val="1"/>
          <w:numId w:val="239"/>
        </w:numPr>
        <w:tabs>
          <w:tab w:val="num" w:pos="709"/>
          <w:tab w:val="num" w:pos="2069"/>
        </w:tabs>
        <w:spacing w:before="120" w:after="120" w:line="240" w:lineRule="auto"/>
        <w:ind w:left="851" w:hanging="425"/>
        <w:jc w:val="both"/>
        <w:rPr>
          <w:rFonts w:ascii="Times New Roman" w:eastAsia="Times New Roman" w:hAnsi="Times New Roman" w:cs="Times New Roman"/>
          <w:bCs/>
        </w:rPr>
      </w:pPr>
      <w:r>
        <w:rPr>
          <w:rFonts w:ascii="Times New Roman" w:hAnsi="Times New Roman" w:cs="Times New Roman"/>
        </w:rPr>
        <w:t>Az ismeret átadásában alkalmazandó további sajátos módok, jellemzők:</w:t>
      </w:r>
      <w:r>
        <w:rPr>
          <w:rFonts w:ascii="Times New Roman" w:hAnsi="Times New Roman" w:cs="Times New Roman"/>
          <w:i/>
        </w:rPr>
        <w:t xml:space="preserve"> –</w:t>
      </w:r>
    </w:p>
    <w:p w:rsidR="00E261E0" w:rsidRDefault="00E261E0" w:rsidP="00980876">
      <w:pPr>
        <w:widowControl w:val="0"/>
        <w:numPr>
          <w:ilvl w:val="0"/>
          <w:numId w:val="239"/>
        </w:numPr>
        <w:spacing w:after="120" w:line="256" w:lineRule="auto"/>
        <w:ind w:left="426" w:hanging="142"/>
        <w:jc w:val="both"/>
        <w:rPr>
          <w:rFonts w:ascii="Times New Roman" w:hAnsi="Times New Roman" w:cs="Times New Roman"/>
          <w:b/>
          <w:bCs/>
        </w:rPr>
      </w:pPr>
      <w:r>
        <w:rPr>
          <w:rFonts w:ascii="Times New Roman" w:eastAsia="Times New Roman" w:hAnsi="Times New Roman" w:cs="Times New Roman"/>
          <w:b/>
          <w:bCs/>
        </w:rPr>
        <w:t>A tantárgy szakmai tartalma (magyarul):</w:t>
      </w:r>
      <w:r>
        <w:rPr>
          <w:rFonts w:ascii="Times New Roman" w:eastAsia="Times New Roman" w:hAnsi="Times New Roman" w:cs="Times New Roman"/>
          <w:bCs/>
        </w:rPr>
        <w:t xml:space="preserve"> </w:t>
      </w:r>
      <w:r>
        <w:rPr>
          <w:rFonts w:ascii="Times New Roman" w:hAnsi="Times New Roman" w:cs="Times New Roman"/>
          <w:bCs/>
        </w:rPr>
        <w:t>A Megismertetni a honvéd tisztjelöltekkel a hadtáp felügyeleti és belső szakellenőrzés helyét, szerepét, általános és specifikus feladatait, az ellenőrzés módszertanát, az eljárási szabályokat, továbbá az ellenőrzések végrehajtásának szakaszait, szakmai követelményeit, az anyagi felelősség szabályait és az eljárási szabályokat káresetek esetén.</w:t>
      </w:r>
    </w:p>
    <w:p w:rsidR="00E261E0" w:rsidRDefault="00E261E0" w:rsidP="00E261E0">
      <w:pPr>
        <w:widowControl w:val="0"/>
        <w:spacing w:after="120"/>
        <w:ind w:left="426"/>
        <w:jc w:val="both"/>
        <w:rPr>
          <w:rFonts w:ascii="Times New Roman" w:hAnsi="Times New Roman" w:cs="Times New Roman"/>
          <w:b/>
          <w:bCs/>
        </w:rPr>
      </w:pPr>
      <w:r>
        <w:rPr>
          <w:rFonts w:ascii="Times New Roman" w:eastAsia="Times New Roman" w:hAnsi="Times New Roman" w:cs="Times New Roman"/>
          <w:b/>
          <w:bCs/>
        </w:rPr>
        <w:t>A tantárgy szakmai tartalma (angolul) (</w:t>
      </w:r>
      <w:r>
        <w:rPr>
          <w:rFonts w:ascii="Times New Roman" w:eastAsia="Times New Roman" w:hAnsi="Times New Roman" w:cs="Times New Roman"/>
          <w:b/>
          <w:bCs/>
          <w:lang w:val="en-US"/>
        </w:rPr>
        <w:t>Course description</w:t>
      </w:r>
      <w:r>
        <w:rPr>
          <w:rFonts w:ascii="Times New Roman" w:eastAsia="Times New Roman" w:hAnsi="Times New Roman" w:cs="Times New Roman"/>
          <w:b/>
          <w:bCs/>
        </w:rPr>
        <w:t xml:space="preserve">): </w:t>
      </w:r>
      <w:r>
        <w:rPr>
          <w:rFonts w:ascii="Times New Roman" w:hAnsi="Times New Roman" w:cs="Times New Roman"/>
          <w:bCs/>
          <w:lang w:val="en-GB"/>
        </w:rPr>
        <w:t>Military officer cadets are familiarized with the place, role and the general and specific tasks of the supervisory and internal control of the military supply service, the methodology of control, the procedures as well as the phases and requirements of the controlling process, the rules of financial liability and the procedures in case of damage or loss.</w:t>
      </w:r>
    </w:p>
    <w:p w:rsidR="00E261E0" w:rsidRDefault="00E261E0" w:rsidP="00980876">
      <w:pPr>
        <w:pStyle w:val="Listaszerbekezds"/>
        <w:widowControl w:val="0"/>
        <w:numPr>
          <w:ilvl w:val="0"/>
          <w:numId w:val="239"/>
        </w:numPr>
        <w:spacing w:before="120" w:after="120" w:line="240" w:lineRule="auto"/>
        <w:ind w:left="426" w:hanging="142"/>
        <w:jc w:val="both"/>
        <w:rPr>
          <w:rFonts w:ascii="Times New Roman" w:hAnsi="Times New Roman" w:cs="Times New Roman"/>
          <w:bCs/>
          <w:lang w:val="en-US"/>
        </w:rPr>
      </w:pPr>
      <w:r>
        <w:rPr>
          <w:rFonts w:ascii="Times New Roman" w:eastAsia="Times New Roman" w:hAnsi="Times New Roman" w:cs="Times New Roman"/>
          <w:b/>
          <w:bCs/>
        </w:rPr>
        <w:t>Elérendő kompetenciák (magyarul):</w:t>
      </w:r>
      <w:r>
        <w:rPr>
          <w:rFonts w:ascii="Times New Roman" w:eastAsia="Times New Roman" w:hAnsi="Times New Roman" w:cs="Times New Roman"/>
          <w:bCs/>
        </w:rPr>
        <w:t xml:space="preserve"> </w:t>
      </w:r>
    </w:p>
    <w:p w:rsidR="00E261E0" w:rsidRDefault="00E261E0" w:rsidP="00E261E0">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Tudása:</w:t>
      </w:r>
    </w:p>
    <w:p w:rsidR="00E261E0" w:rsidRDefault="00E261E0" w:rsidP="00980876">
      <w:pPr>
        <w:pStyle w:val="Listaszerbekezds"/>
        <w:widowControl w:val="0"/>
        <w:numPr>
          <w:ilvl w:val="0"/>
          <w:numId w:val="238"/>
        </w:numPr>
        <w:spacing w:after="0" w:line="240" w:lineRule="auto"/>
        <w:ind w:left="851" w:hanging="357"/>
        <w:jc w:val="both"/>
        <w:rPr>
          <w:rFonts w:ascii="Times New Roman" w:hAnsi="Times New Roman" w:cs="Times New Roman"/>
        </w:rPr>
      </w:pPr>
      <w:r>
        <w:rPr>
          <w:rFonts w:ascii="Times New Roman" w:hAnsi="Times New Roman" w:cs="Times New Roman"/>
        </w:rPr>
        <w:t>Ismeri a hadtáp szakanyagok készletezésének, tárolásának, nyilvántartásának és leltározásának, valamint ezen folyamatok ellenőrzésének feladatait és kötelezettségeit.</w:t>
      </w:r>
    </w:p>
    <w:p w:rsidR="00E261E0" w:rsidRDefault="00E261E0" w:rsidP="00E261E0">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Képességei:</w:t>
      </w:r>
      <w:r>
        <w:rPr>
          <w:rFonts w:ascii="Times New Roman" w:eastAsia="Times New Roman" w:hAnsi="Times New Roman" w:cs="Times New Roman"/>
          <w:bCs/>
        </w:rPr>
        <w:t xml:space="preserve"> </w:t>
      </w:r>
    </w:p>
    <w:p w:rsidR="00E261E0" w:rsidRDefault="00E261E0" w:rsidP="00980876">
      <w:pPr>
        <w:pStyle w:val="Listaszerbekezds"/>
        <w:widowControl w:val="0"/>
        <w:numPr>
          <w:ilvl w:val="0"/>
          <w:numId w:val="238"/>
        </w:numPr>
        <w:spacing w:after="0" w:line="240" w:lineRule="auto"/>
        <w:ind w:left="851" w:hanging="357"/>
        <w:jc w:val="both"/>
        <w:rPr>
          <w:rFonts w:ascii="Times New Roman" w:hAnsi="Times New Roman" w:cs="Times New Roman"/>
        </w:rPr>
      </w:pPr>
      <w:r>
        <w:rPr>
          <w:rFonts w:ascii="Times New Roman" w:hAnsi="Times New Roman" w:cs="Times New Roman"/>
        </w:rPr>
        <w:t>Képes alegységszintű ellátási feladatok végrehajtására, vezetésére békében, különleges jogrendi időszakban, többnemzeti és nemzetközi környezetben végrehajtandó béketámogató műveletekben.</w:t>
      </w:r>
    </w:p>
    <w:p w:rsidR="00E261E0" w:rsidRDefault="00E261E0" w:rsidP="00980876">
      <w:pPr>
        <w:pStyle w:val="Listaszerbekezds"/>
        <w:widowControl w:val="0"/>
        <w:numPr>
          <w:ilvl w:val="0"/>
          <w:numId w:val="238"/>
        </w:numPr>
        <w:spacing w:after="0" w:line="240" w:lineRule="auto"/>
        <w:ind w:left="851" w:hanging="357"/>
        <w:jc w:val="both"/>
        <w:rPr>
          <w:rFonts w:ascii="Times New Roman" w:hAnsi="Times New Roman" w:cs="Times New Roman"/>
        </w:rPr>
      </w:pPr>
      <w:r>
        <w:rPr>
          <w:rFonts w:ascii="Times New Roman" w:hAnsi="Times New Roman" w:cs="Times New Roman"/>
        </w:rPr>
        <w:t>Képes gazdálkodási feladatok alapszintű tervezésére, szervezésére, irányítására és az ebből adódó tevékenységek gazdasági elemzésinek végrehajtására.</w:t>
      </w:r>
    </w:p>
    <w:p w:rsidR="00E261E0" w:rsidRDefault="00E261E0" w:rsidP="00980876">
      <w:pPr>
        <w:pStyle w:val="Listaszerbekezds"/>
        <w:widowControl w:val="0"/>
        <w:numPr>
          <w:ilvl w:val="0"/>
          <w:numId w:val="238"/>
        </w:numPr>
        <w:spacing w:after="0" w:line="240" w:lineRule="auto"/>
        <w:ind w:left="851" w:hanging="357"/>
        <w:jc w:val="both"/>
        <w:rPr>
          <w:rFonts w:ascii="Times New Roman" w:hAnsi="Times New Roman" w:cs="Times New Roman"/>
        </w:rPr>
      </w:pPr>
      <w:r>
        <w:rPr>
          <w:rFonts w:ascii="Times New Roman" w:hAnsi="Times New Roman" w:cs="Times New Roman"/>
        </w:rPr>
        <w:t>Képes egység szintű közbeszerzéseket lefolytatni.</w:t>
      </w:r>
    </w:p>
    <w:p w:rsidR="005A596B" w:rsidRDefault="005A596B" w:rsidP="00E261E0">
      <w:pPr>
        <w:widowControl w:val="0"/>
        <w:spacing w:before="120" w:after="0" w:line="240" w:lineRule="auto"/>
        <w:ind w:left="425"/>
        <w:jc w:val="both"/>
        <w:rPr>
          <w:rFonts w:ascii="Times New Roman" w:eastAsia="Times New Roman" w:hAnsi="Times New Roman" w:cs="Times New Roman"/>
          <w:b/>
          <w:bCs/>
        </w:rPr>
      </w:pPr>
    </w:p>
    <w:p w:rsidR="00E261E0" w:rsidRDefault="00E261E0" w:rsidP="00E261E0">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lastRenderedPageBreak/>
        <w:t>Attitűdje:</w:t>
      </w:r>
      <w:r>
        <w:rPr>
          <w:rFonts w:ascii="Times New Roman" w:eastAsia="Times New Roman" w:hAnsi="Times New Roman" w:cs="Times New Roman"/>
          <w:bCs/>
        </w:rPr>
        <w:t xml:space="preserve"> </w:t>
      </w:r>
    </w:p>
    <w:p w:rsidR="00E261E0" w:rsidRDefault="00E261E0" w:rsidP="00980876">
      <w:pPr>
        <w:pStyle w:val="Listaszerbekezds"/>
        <w:widowControl w:val="0"/>
        <w:numPr>
          <w:ilvl w:val="0"/>
          <w:numId w:val="238"/>
        </w:numPr>
        <w:spacing w:after="0" w:line="240" w:lineRule="auto"/>
        <w:ind w:left="851" w:hanging="357"/>
        <w:jc w:val="both"/>
        <w:rPr>
          <w:rFonts w:ascii="Times New Roman" w:hAnsi="Times New Roman" w:cs="Times New Roman"/>
        </w:rPr>
      </w:pPr>
      <w:r>
        <w:rPr>
          <w:rFonts w:ascii="Times New Roman" w:hAnsi="Times New Roman" w:cs="Times New Roman"/>
        </w:rPr>
        <w:t>A hadtáp szakmai feladatok ellátása során a rendszerszemlélet és jó szervezőkészség jellemzi.</w:t>
      </w:r>
    </w:p>
    <w:p w:rsidR="00E261E0" w:rsidRDefault="00E261E0" w:rsidP="00980876">
      <w:pPr>
        <w:pStyle w:val="Listaszerbekezds"/>
        <w:widowControl w:val="0"/>
        <w:numPr>
          <w:ilvl w:val="0"/>
          <w:numId w:val="238"/>
        </w:numPr>
        <w:spacing w:after="0" w:line="240" w:lineRule="auto"/>
        <w:ind w:left="851" w:hanging="357"/>
        <w:jc w:val="both"/>
        <w:rPr>
          <w:rFonts w:ascii="Times New Roman" w:hAnsi="Times New Roman" w:cs="Times New Roman"/>
        </w:rPr>
      </w:pPr>
      <w:r>
        <w:rPr>
          <w:rFonts w:ascii="Times New Roman" w:hAnsi="Times New Roman" w:cs="Times New Roman"/>
        </w:rPr>
        <w:t>Nyitott a hadtáp szakterületek új tudományos eredményei iránt, képes a hadtáp szakterületeken bekövetkező változásokhoz és fejlődéshez jól alkalmazkodni.</w:t>
      </w:r>
    </w:p>
    <w:p w:rsidR="00E261E0" w:rsidRDefault="00E261E0" w:rsidP="00E261E0">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Autonómiája és felelőssége:</w:t>
      </w:r>
    </w:p>
    <w:p w:rsidR="00E261E0" w:rsidRDefault="00E261E0" w:rsidP="00980876">
      <w:pPr>
        <w:pStyle w:val="Listaszerbekezds"/>
        <w:widowControl w:val="0"/>
        <w:numPr>
          <w:ilvl w:val="0"/>
          <w:numId w:val="238"/>
        </w:numPr>
        <w:spacing w:after="0" w:line="240" w:lineRule="auto"/>
        <w:ind w:left="851" w:hanging="357"/>
        <w:jc w:val="both"/>
        <w:rPr>
          <w:rFonts w:ascii="Times New Roman" w:hAnsi="Times New Roman" w:cs="Times New Roman"/>
        </w:rPr>
      </w:pPr>
      <w:r>
        <w:rPr>
          <w:rFonts w:ascii="Times New Roman" w:hAnsi="Times New Roman" w:cs="Times New Roman"/>
        </w:rPr>
        <w:t>Felelősséget vállal számvetéseinek pontosságáért.</w:t>
      </w:r>
    </w:p>
    <w:p w:rsidR="00E261E0" w:rsidRDefault="00E261E0" w:rsidP="00980876">
      <w:pPr>
        <w:pStyle w:val="Listaszerbekezds"/>
        <w:widowControl w:val="0"/>
        <w:numPr>
          <w:ilvl w:val="0"/>
          <w:numId w:val="238"/>
        </w:numPr>
        <w:spacing w:after="0" w:line="240" w:lineRule="auto"/>
        <w:ind w:left="851" w:hanging="357"/>
        <w:jc w:val="both"/>
        <w:rPr>
          <w:rFonts w:ascii="Times New Roman" w:hAnsi="Times New Roman" w:cs="Times New Roman"/>
        </w:rPr>
      </w:pPr>
      <w:r>
        <w:rPr>
          <w:rFonts w:ascii="Times New Roman" w:eastAsia="Times New Roman" w:hAnsi="Times New Roman" w:cs="Times New Roman"/>
          <w:bCs/>
        </w:rPr>
        <w:t xml:space="preserve">Az ellátási folyamatok végrehajtása során önállóan döntéseket hoz, azokat felelősséggel, a </w:t>
      </w:r>
      <w:r w:rsidRPr="005A596B">
        <w:rPr>
          <w:rFonts w:ascii="Times New Roman" w:hAnsi="Times New Roman" w:cs="Times New Roman"/>
        </w:rPr>
        <w:t>jogszabályi</w:t>
      </w:r>
      <w:r>
        <w:rPr>
          <w:rFonts w:ascii="Times New Roman" w:eastAsia="Times New Roman" w:hAnsi="Times New Roman" w:cs="Times New Roman"/>
          <w:bCs/>
        </w:rPr>
        <w:t xml:space="preserve"> keretek figyelembevételével végrehajtja.</w:t>
      </w:r>
    </w:p>
    <w:p w:rsidR="00E261E0" w:rsidRDefault="00E261E0" w:rsidP="00E261E0">
      <w:pPr>
        <w:widowControl w:val="0"/>
        <w:spacing w:before="120" w:after="0" w:line="240" w:lineRule="auto"/>
        <w:ind w:left="425"/>
        <w:jc w:val="both"/>
        <w:rPr>
          <w:rFonts w:ascii="Times New Roman" w:eastAsia="Times New Roman" w:hAnsi="Times New Roman" w:cs="Times New Roman"/>
          <w:b/>
          <w:bCs/>
          <w:lang w:val="en-US"/>
        </w:rPr>
      </w:pPr>
      <w:r>
        <w:rPr>
          <w:rFonts w:ascii="Times New Roman" w:eastAsia="Times New Roman" w:hAnsi="Times New Roman" w:cs="Times New Roman"/>
          <w:b/>
          <w:bCs/>
        </w:rPr>
        <w:t>Elérendő kompetenciák (angolul) (</w:t>
      </w:r>
      <w:r>
        <w:rPr>
          <w:rFonts w:ascii="Times New Roman" w:eastAsia="Times New Roman" w:hAnsi="Times New Roman" w:cs="Times New Roman"/>
          <w:b/>
          <w:bCs/>
          <w:lang w:val="en-US"/>
        </w:rPr>
        <w:t xml:space="preserve">Competences – English): </w:t>
      </w:r>
    </w:p>
    <w:p w:rsidR="00E261E0" w:rsidRDefault="00E261E0" w:rsidP="00E261E0">
      <w:pPr>
        <w:widowControl w:val="0"/>
        <w:spacing w:before="120" w:after="0" w:line="240" w:lineRule="auto"/>
        <w:ind w:left="425"/>
        <w:jc w:val="both"/>
        <w:rPr>
          <w:rFonts w:ascii="Times New Roman" w:eastAsia="Times New Roman" w:hAnsi="Times New Roman" w:cs="Times New Roman"/>
          <w:lang w:val="en-GB"/>
        </w:rPr>
      </w:pPr>
      <w:r>
        <w:rPr>
          <w:rFonts w:ascii="Times New Roman" w:eastAsia="Times New Roman" w:hAnsi="Times New Roman" w:cs="Times New Roman"/>
          <w:b/>
          <w:lang w:val="en-GB"/>
        </w:rPr>
        <w:t>Knowledge</w:t>
      </w:r>
      <w:r>
        <w:rPr>
          <w:rFonts w:ascii="Times New Roman" w:eastAsia="Times New Roman" w:hAnsi="Times New Roman" w:cs="Times New Roman"/>
          <w:lang w:val="en-GB"/>
        </w:rPr>
        <w:t xml:space="preserve">: </w:t>
      </w:r>
    </w:p>
    <w:p w:rsidR="00E261E0" w:rsidRDefault="00E261E0" w:rsidP="00980876">
      <w:pPr>
        <w:pStyle w:val="Listaszerbekezds"/>
        <w:widowControl w:val="0"/>
        <w:numPr>
          <w:ilvl w:val="0"/>
          <w:numId w:val="238"/>
        </w:numPr>
        <w:spacing w:after="0" w:line="240" w:lineRule="auto"/>
        <w:ind w:left="851" w:hanging="357"/>
        <w:jc w:val="both"/>
        <w:rPr>
          <w:rFonts w:ascii="Times New Roman" w:eastAsia="Times New Roman" w:hAnsi="Times New Roman" w:cs="Times New Roman"/>
          <w:lang w:val="en-GB"/>
        </w:rPr>
      </w:pPr>
      <w:r>
        <w:rPr>
          <w:rFonts w:ascii="Times New Roman" w:eastAsia="Times New Roman" w:hAnsi="Times New Roman" w:cs="Times New Roman"/>
          <w:lang w:val="en-GB"/>
        </w:rPr>
        <w:t>To be able to familiar with stocking, storage, inventory and records of the supply materials and the control tasks and obligations of these processes.</w:t>
      </w:r>
    </w:p>
    <w:p w:rsidR="00E261E0" w:rsidRDefault="00E261E0" w:rsidP="00E261E0">
      <w:pPr>
        <w:widowControl w:val="0"/>
        <w:spacing w:before="120" w:after="0" w:line="240" w:lineRule="auto"/>
        <w:ind w:left="425"/>
        <w:jc w:val="both"/>
        <w:rPr>
          <w:rFonts w:ascii="Times New Roman" w:eastAsia="Times New Roman" w:hAnsi="Times New Roman" w:cs="Times New Roman"/>
          <w:lang w:val="en-GB"/>
        </w:rPr>
      </w:pPr>
      <w:r>
        <w:rPr>
          <w:rFonts w:ascii="Times New Roman" w:eastAsia="Times New Roman" w:hAnsi="Times New Roman" w:cs="Times New Roman"/>
          <w:b/>
          <w:lang w:val="en-GB"/>
        </w:rPr>
        <w:t>Capabilities</w:t>
      </w:r>
      <w:r>
        <w:rPr>
          <w:rFonts w:ascii="Times New Roman" w:eastAsia="Times New Roman" w:hAnsi="Times New Roman" w:cs="Times New Roman"/>
          <w:lang w:val="en-GB"/>
        </w:rPr>
        <w:t xml:space="preserve">: </w:t>
      </w:r>
    </w:p>
    <w:p w:rsidR="00E261E0" w:rsidRDefault="00E261E0" w:rsidP="00980876">
      <w:pPr>
        <w:pStyle w:val="Listaszerbekezds"/>
        <w:widowControl w:val="0"/>
        <w:numPr>
          <w:ilvl w:val="0"/>
          <w:numId w:val="238"/>
        </w:numPr>
        <w:spacing w:after="0" w:line="240" w:lineRule="auto"/>
        <w:ind w:left="851" w:hanging="357"/>
        <w:jc w:val="both"/>
        <w:rPr>
          <w:rFonts w:ascii="Times New Roman" w:eastAsia="Times New Roman" w:hAnsi="Times New Roman" w:cs="Times New Roman"/>
          <w:lang w:val="en-GB"/>
        </w:rPr>
      </w:pPr>
      <w:r>
        <w:rPr>
          <w:rFonts w:ascii="Times New Roman" w:eastAsia="Times New Roman" w:hAnsi="Times New Roman" w:cs="Times New Roman"/>
          <w:lang w:val="en-GB"/>
        </w:rPr>
        <w:t>To have ability to conduct supply tasks on sub-unit level in peace time and wartime and in peace support operation.</w:t>
      </w:r>
    </w:p>
    <w:p w:rsidR="00E261E0" w:rsidRDefault="00E261E0" w:rsidP="00980876">
      <w:pPr>
        <w:pStyle w:val="Listaszerbekezds"/>
        <w:widowControl w:val="0"/>
        <w:numPr>
          <w:ilvl w:val="0"/>
          <w:numId w:val="238"/>
        </w:numPr>
        <w:spacing w:after="0" w:line="240" w:lineRule="auto"/>
        <w:ind w:left="851" w:hanging="357"/>
        <w:jc w:val="both"/>
        <w:rPr>
          <w:rFonts w:ascii="Times New Roman" w:eastAsia="Times New Roman" w:hAnsi="Times New Roman" w:cs="Times New Roman"/>
          <w:lang w:val="en-GB"/>
        </w:rPr>
      </w:pPr>
      <w:r>
        <w:rPr>
          <w:rFonts w:ascii="Times New Roman" w:eastAsia="Times New Roman" w:hAnsi="Times New Roman" w:cs="Times New Roman"/>
          <w:lang w:val="en-GB"/>
        </w:rPr>
        <w:t xml:space="preserve">To be able to plan, organise, control and evaluate management and financial tasks. </w:t>
      </w:r>
    </w:p>
    <w:p w:rsidR="00E261E0" w:rsidRDefault="00E261E0" w:rsidP="00980876">
      <w:pPr>
        <w:pStyle w:val="Listaszerbekezds"/>
        <w:widowControl w:val="0"/>
        <w:numPr>
          <w:ilvl w:val="0"/>
          <w:numId w:val="238"/>
        </w:numPr>
        <w:spacing w:after="0" w:line="240" w:lineRule="auto"/>
        <w:ind w:left="851" w:hanging="357"/>
        <w:jc w:val="both"/>
        <w:rPr>
          <w:rFonts w:ascii="Times New Roman" w:eastAsia="Times New Roman" w:hAnsi="Times New Roman" w:cs="Times New Roman"/>
          <w:lang w:val="en-GB"/>
        </w:rPr>
      </w:pPr>
      <w:r>
        <w:rPr>
          <w:rFonts w:ascii="Times New Roman" w:eastAsia="Times New Roman" w:hAnsi="Times New Roman" w:cs="Times New Roman"/>
          <w:lang w:val="en-GB"/>
        </w:rPr>
        <w:t>To be able to execute public procurements on unit level.</w:t>
      </w:r>
    </w:p>
    <w:p w:rsidR="00E261E0" w:rsidRDefault="00E261E0" w:rsidP="00E26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425"/>
        <w:jc w:val="both"/>
        <w:rPr>
          <w:rFonts w:ascii="Times New Roman" w:eastAsia="Times New Roman" w:hAnsi="Times New Roman" w:cs="Times New Roman"/>
          <w:lang w:val="en-GB"/>
        </w:rPr>
      </w:pPr>
      <w:r>
        <w:rPr>
          <w:rFonts w:ascii="Times New Roman" w:eastAsia="Times New Roman" w:hAnsi="Times New Roman" w:cs="Times New Roman"/>
          <w:b/>
          <w:lang w:val="en-GB"/>
        </w:rPr>
        <w:t>Attitude:</w:t>
      </w:r>
      <w:r>
        <w:rPr>
          <w:rFonts w:ascii="Times New Roman" w:eastAsia="Times New Roman" w:hAnsi="Times New Roman" w:cs="Times New Roman"/>
          <w:lang w:val="en-GB"/>
        </w:rPr>
        <w:t xml:space="preserve"> </w:t>
      </w:r>
    </w:p>
    <w:p w:rsidR="00E261E0" w:rsidRDefault="00E261E0" w:rsidP="00980876">
      <w:pPr>
        <w:pStyle w:val="Listaszerbekezds"/>
        <w:widowControl w:val="0"/>
        <w:numPr>
          <w:ilvl w:val="0"/>
          <w:numId w:val="238"/>
        </w:numPr>
        <w:spacing w:after="0" w:line="240" w:lineRule="auto"/>
        <w:ind w:left="851" w:hanging="357"/>
        <w:jc w:val="both"/>
        <w:rPr>
          <w:rFonts w:ascii="Times New Roman" w:eastAsia="Times New Roman" w:hAnsi="Times New Roman" w:cs="Times New Roman"/>
          <w:lang w:val="en-GB"/>
        </w:rPr>
      </w:pPr>
      <w:r>
        <w:rPr>
          <w:rFonts w:ascii="Times New Roman" w:eastAsia="Times New Roman" w:hAnsi="Times New Roman" w:cs="Times New Roman"/>
          <w:lang w:val="en-GB"/>
        </w:rPr>
        <w:t>To be characterized by system approach attitude and organizational skills.</w:t>
      </w:r>
    </w:p>
    <w:p w:rsidR="00E261E0" w:rsidRDefault="00E261E0" w:rsidP="00980876">
      <w:pPr>
        <w:pStyle w:val="Listaszerbekezds"/>
        <w:widowControl w:val="0"/>
        <w:numPr>
          <w:ilvl w:val="0"/>
          <w:numId w:val="238"/>
        </w:numPr>
        <w:spacing w:after="0" w:line="240" w:lineRule="auto"/>
        <w:ind w:left="851" w:hanging="357"/>
        <w:jc w:val="both"/>
        <w:rPr>
          <w:rFonts w:ascii="Times New Roman" w:eastAsia="Times New Roman" w:hAnsi="Times New Roman" w:cs="Times New Roman"/>
          <w:lang w:val="en-GB"/>
        </w:rPr>
      </w:pPr>
      <w:r>
        <w:rPr>
          <w:rFonts w:ascii="Times New Roman" w:eastAsia="Times New Roman" w:hAnsi="Times New Roman" w:cs="Times New Roman"/>
          <w:lang w:val="en-GB"/>
        </w:rPr>
        <w:t>To be open to the new scientific result of supply field and to be able to conform to the new change and development of supply field.</w:t>
      </w:r>
    </w:p>
    <w:p w:rsidR="00E261E0" w:rsidRDefault="00E261E0" w:rsidP="00E261E0">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lang w:val="en-GB"/>
        </w:rPr>
        <w:t xml:space="preserve">Autonomy and responsibility: </w:t>
      </w:r>
    </w:p>
    <w:p w:rsidR="00E261E0" w:rsidRPr="005A596B" w:rsidRDefault="00E261E0" w:rsidP="00980876">
      <w:pPr>
        <w:pStyle w:val="Listaszerbekezds"/>
        <w:widowControl w:val="0"/>
        <w:numPr>
          <w:ilvl w:val="0"/>
          <w:numId w:val="238"/>
        </w:numPr>
        <w:spacing w:after="0" w:line="240" w:lineRule="auto"/>
        <w:ind w:left="851" w:hanging="357"/>
        <w:jc w:val="both"/>
        <w:rPr>
          <w:rFonts w:ascii="Times New Roman" w:eastAsia="Times New Roman" w:hAnsi="Times New Roman" w:cs="Times New Roman"/>
          <w:lang w:val="en-GB"/>
        </w:rPr>
      </w:pPr>
      <w:r>
        <w:rPr>
          <w:rFonts w:ascii="Times New Roman" w:eastAsia="Times New Roman" w:hAnsi="Times New Roman" w:cs="Times New Roman"/>
          <w:bCs/>
          <w:lang w:val="en-US"/>
        </w:rPr>
        <w:t xml:space="preserve">Take </w:t>
      </w:r>
      <w:r w:rsidRPr="005A596B">
        <w:rPr>
          <w:rFonts w:ascii="Times New Roman" w:eastAsia="Times New Roman" w:hAnsi="Times New Roman" w:cs="Times New Roman"/>
          <w:lang w:val="en-GB"/>
        </w:rPr>
        <w:t xml:space="preserve">responsibility for the accuracy of the calculations. </w:t>
      </w:r>
    </w:p>
    <w:p w:rsidR="00E261E0" w:rsidRDefault="00E261E0" w:rsidP="00980876">
      <w:pPr>
        <w:pStyle w:val="Listaszerbekezds"/>
        <w:widowControl w:val="0"/>
        <w:numPr>
          <w:ilvl w:val="0"/>
          <w:numId w:val="238"/>
        </w:numPr>
        <w:spacing w:after="0" w:line="240" w:lineRule="auto"/>
        <w:ind w:left="851" w:hanging="357"/>
        <w:jc w:val="both"/>
        <w:rPr>
          <w:rFonts w:ascii="Times New Roman" w:eastAsia="Times New Roman" w:hAnsi="Times New Roman" w:cs="Times New Roman"/>
          <w:bCs/>
          <w:lang w:val="en-US"/>
        </w:rPr>
      </w:pPr>
      <w:r w:rsidRPr="005A596B">
        <w:rPr>
          <w:rFonts w:ascii="Times New Roman" w:eastAsia="Times New Roman" w:hAnsi="Times New Roman" w:cs="Times New Roman"/>
          <w:lang w:val="en-GB"/>
        </w:rPr>
        <w:t>Make decisio</w:t>
      </w:r>
      <w:r>
        <w:rPr>
          <w:rFonts w:ascii="Times New Roman" w:eastAsia="Times New Roman" w:hAnsi="Times New Roman" w:cs="Times New Roman"/>
          <w:bCs/>
          <w:lang w:val="en-US"/>
        </w:rPr>
        <w:t>n when he conduct supply tasks taking into account his responsibility and laws.</w:t>
      </w:r>
    </w:p>
    <w:p w:rsidR="00E261E0" w:rsidRDefault="00E261E0" w:rsidP="00980876">
      <w:pPr>
        <w:widowControl w:val="0"/>
        <w:numPr>
          <w:ilvl w:val="0"/>
          <w:numId w:val="239"/>
        </w:numPr>
        <w:tabs>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Előtanulmányi követelmények: </w:t>
      </w:r>
      <w:r>
        <w:rPr>
          <w:rFonts w:ascii="Times New Roman" w:eastAsia="Times New Roman" w:hAnsi="Times New Roman" w:cs="Times New Roman"/>
          <w:bCs/>
        </w:rPr>
        <w:t>nincs</w:t>
      </w:r>
    </w:p>
    <w:p w:rsidR="00E261E0" w:rsidRDefault="00E261E0" w:rsidP="00980876">
      <w:pPr>
        <w:widowControl w:val="0"/>
        <w:numPr>
          <w:ilvl w:val="0"/>
          <w:numId w:val="239"/>
        </w:numPr>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A tantárgy tananyagának leírása, tematika. Description of the subject, curriculum (magyarul, angolul - English):</w:t>
      </w:r>
    </w:p>
    <w:p w:rsidR="00E261E0" w:rsidRDefault="00E261E0" w:rsidP="00980876">
      <w:pPr>
        <w:widowControl w:val="0"/>
        <w:numPr>
          <w:ilvl w:val="1"/>
          <w:numId w:val="239"/>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b/>
          <w:lang w:val="en-US"/>
        </w:rPr>
      </w:pPr>
      <w:r>
        <w:rPr>
          <w:rFonts w:ascii="Times New Roman" w:hAnsi="Times New Roman"/>
          <w:bCs/>
        </w:rPr>
        <w:t>Az élelmezési szakterület szolgálati személyeinek ellenőrzési kötelmei</w:t>
      </w:r>
      <w:r>
        <w:rPr>
          <w:rFonts w:ascii="Times New Roman" w:hAnsi="Times New Roman"/>
          <w:bCs/>
          <w:lang w:val="en-US"/>
        </w:rPr>
        <w:t>,</w:t>
      </w:r>
      <w:r>
        <w:rPr>
          <w:rFonts w:ascii="Times New Roman" w:hAnsi="Times New Roman"/>
          <w:bCs/>
        </w:rPr>
        <w:t xml:space="preserve"> azok tartalma</w:t>
      </w:r>
      <w:r>
        <w:rPr>
          <w:rFonts w:ascii="Times New Roman" w:hAnsi="Times New Roman"/>
          <w:bCs/>
          <w:lang w:val="en-US"/>
        </w:rPr>
        <w:t>,</w:t>
      </w:r>
      <w:r>
        <w:rPr>
          <w:rFonts w:ascii="Times New Roman" w:hAnsi="Times New Roman"/>
          <w:bCs/>
        </w:rPr>
        <w:t xml:space="preserve"> gyakorisága</w:t>
      </w:r>
      <w:r>
        <w:rPr>
          <w:rFonts w:ascii="Times New Roman" w:hAnsi="Times New Roman"/>
          <w:bCs/>
          <w:lang w:val="en-US"/>
        </w:rPr>
        <w:t>.</w:t>
      </w:r>
      <w:r>
        <w:rPr>
          <w:rFonts w:ascii="Times New Roman" w:hAnsi="Times New Roman"/>
          <w:bCs/>
        </w:rPr>
        <w:t xml:space="preserve"> Az élelmezési ellátás belső szakmai ellenőrzése</w:t>
      </w:r>
      <w:r>
        <w:rPr>
          <w:rFonts w:ascii="Times New Roman" w:hAnsi="Times New Roman"/>
          <w:bCs/>
          <w:lang w:val="en-US"/>
        </w:rPr>
        <w:t>,</w:t>
      </w:r>
      <w:r>
        <w:rPr>
          <w:rFonts w:ascii="Times New Roman" w:hAnsi="Times New Roman"/>
          <w:bCs/>
        </w:rPr>
        <w:t xml:space="preserve"> az ellenőrzés szempontjai</w:t>
      </w:r>
      <w:r>
        <w:rPr>
          <w:rFonts w:ascii="Times New Roman" w:hAnsi="Times New Roman"/>
          <w:bCs/>
          <w:lang w:val="en-US"/>
        </w:rPr>
        <w:t>.</w:t>
      </w:r>
      <w:r>
        <w:rPr>
          <w:rFonts w:ascii="Times New Roman" w:hAnsi="Times New Roman"/>
          <w:bCs/>
        </w:rPr>
        <w:t xml:space="preserve"> Az élelmezési szakmai ellenőrzések nyilvántartása</w:t>
      </w:r>
      <w:r>
        <w:rPr>
          <w:rFonts w:ascii="Times New Roman" w:hAnsi="Times New Roman"/>
          <w:bCs/>
          <w:lang w:val="en-US"/>
        </w:rPr>
        <w:t>.</w:t>
      </w:r>
      <w:r>
        <w:rPr>
          <w:rFonts w:ascii="Times New Roman" w:eastAsia="Times New Roman" w:hAnsi="Times New Roman" w:cs="Times New Roman"/>
          <w:b/>
          <w:lang w:val="en-US"/>
        </w:rPr>
        <w:t xml:space="preserve"> (</w:t>
      </w:r>
      <w:r>
        <w:rPr>
          <w:rFonts w:ascii="Times New Roman" w:eastAsia="Times New Roman" w:hAnsi="Times New Roman" w:cs="Times New Roman"/>
          <w:i/>
          <w:lang w:val="en-US"/>
        </w:rPr>
        <w:t>The control tasks of the service personnel of the food supply field, their content and frequency. The internal control of the food supply, aspects of the control.</w:t>
      </w:r>
      <w:r>
        <w:rPr>
          <w:rFonts w:ascii="Times New Roman" w:eastAsia="Times New Roman" w:hAnsi="Times New Roman" w:cs="Times New Roman"/>
          <w:bCs/>
          <w:i/>
          <w:lang w:val="en-US"/>
        </w:rPr>
        <w:t xml:space="preserve"> The records of professional food inspections.)</w:t>
      </w:r>
    </w:p>
    <w:p w:rsidR="00E261E0" w:rsidRDefault="00E261E0" w:rsidP="00980876">
      <w:pPr>
        <w:widowControl w:val="0"/>
        <w:numPr>
          <w:ilvl w:val="1"/>
          <w:numId w:val="239"/>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lang w:val="en-US"/>
        </w:rPr>
      </w:pPr>
      <w:r>
        <w:rPr>
          <w:rFonts w:ascii="Times New Roman" w:eastAsia="Times New Roman" w:hAnsi="Times New Roman" w:cs="Times New Roman"/>
          <w:lang w:val="en-US"/>
        </w:rPr>
        <w:t>A</w:t>
      </w:r>
      <w:r>
        <w:rPr>
          <w:rFonts w:ascii="Times New Roman" w:eastAsia="Times New Roman" w:hAnsi="Times New Roman" w:cs="Times New Roman"/>
        </w:rPr>
        <w:t xml:space="preserve"> szakterület negyedéves elszámoltatása</w:t>
      </w:r>
      <w:r>
        <w:rPr>
          <w:rFonts w:ascii="Times New Roman" w:eastAsia="Times New Roman" w:hAnsi="Times New Roman" w:cs="Times New Roman"/>
          <w:lang w:val="en-US"/>
        </w:rPr>
        <w:t>.</w:t>
      </w:r>
      <w:r>
        <w:rPr>
          <w:rFonts w:ascii="Times New Roman" w:eastAsia="Times New Roman" w:hAnsi="Times New Roman" w:cs="Times New Roman"/>
        </w:rPr>
        <w:t xml:space="preserve"> Az élelmezési szakanyagokkal történő ellátás rendje</w:t>
      </w:r>
      <w:r>
        <w:rPr>
          <w:rFonts w:ascii="Times New Roman" w:eastAsia="Times New Roman" w:hAnsi="Times New Roman" w:cs="Times New Roman"/>
          <w:lang w:val="en-US"/>
        </w:rPr>
        <w:t>,</w:t>
      </w:r>
      <w:r>
        <w:rPr>
          <w:rFonts w:ascii="Times New Roman" w:eastAsia="Times New Roman" w:hAnsi="Times New Roman" w:cs="Times New Roman"/>
        </w:rPr>
        <w:t xml:space="preserve"> az utalványozás szabályai</w:t>
      </w:r>
      <w:r>
        <w:rPr>
          <w:rFonts w:ascii="Times New Roman" w:eastAsia="Times New Roman" w:hAnsi="Times New Roman" w:cs="Times New Roman"/>
          <w:lang w:val="en-US"/>
        </w:rPr>
        <w:t>,</w:t>
      </w:r>
      <w:r>
        <w:rPr>
          <w:rFonts w:ascii="Times New Roman" w:eastAsia="Times New Roman" w:hAnsi="Times New Roman" w:cs="Times New Roman"/>
        </w:rPr>
        <w:t xml:space="preserve"> az egyeztetések végrehajtása</w:t>
      </w:r>
      <w:r>
        <w:rPr>
          <w:rFonts w:ascii="Times New Roman" w:eastAsia="Times New Roman" w:hAnsi="Times New Roman" w:cs="Times New Roman"/>
          <w:lang w:val="en-US"/>
        </w:rPr>
        <w:t xml:space="preserve">. </w:t>
      </w:r>
      <w:r>
        <w:rPr>
          <w:rFonts w:ascii="Times New Roman" w:eastAsia="Times New Roman" w:hAnsi="Times New Roman" w:cs="Times New Roman"/>
          <w:i/>
          <w:lang w:val="en-US"/>
        </w:rPr>
        <w:t>(The quarterly reports of the field. The rules for supply of food materials, the rules of records, conducting of comparison.)</w:t>
      </w:r>
      <w:r>
        <w:rPr>
          <w:rFonts w:ascii="Times New Roman" w:eastAsia="Times New Roman" w:hAnsi="Times New Roman" w:cs="Times New Roman"/>
          <w:b/>
          <w:lang w:val="en-US"/>
        </w:rPr>
        <w:t xml:space="preserve"> </w:t>
      </w:r>
    </w:p>
    <w:p w:rsidR="00E261E0" w:rsidRDefault="00E261E0" w:rsidP="00980876">
      <w:pPr>
        <w:widowControl w:val="0"/>
        <w:numPr>
          <w:ilvl w:val="1"/>
          <w:numId w:val="239"/>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i/>
          <w:lang w:val="en-US"/>
        </w:rPr>
      </w:pPr>
      <w:r>
        <w:rPr>
          <w:rFonts w:ascii="Times New Roman" w:eastAsia="Times New Roman" w:hAnsi="Times New Roman" w:cs="Times New Roman"/>
          <w:bCs/>
        </w:rPr>
        <w:t>Az üzemanyag szakterület szolgálati személyeinek ellenőrzési kötelmei, azok tartalma, gyakorisága. Az üzemanyag töltőállomás átadás-átvétele, annak ellenőrzése</w:t>
      </w:r>
      <w:r>
        <w:rPr>
          <w:rFonts w:ascii="Times New Roman" w:eastAsia="Times New Roman" w:hAnsi="Times New Roman" w:cs="Times New Roman"/>
          <w:bCs/>
          <w:i/>
        </w:rPr>
        <w:t>. (The</w:t>
      </w:r>
      <w:r>
        <w:rPr>
          <w:rFonts w:ascii="Times New Roman" w:eastAsia="Times New Roman" w:hAnsi="Times New Roman" w:cs="Times New Roman"/>
          <w:bCs/>
          <w:i/>
          <w:lang w:val="en-GB"/>
        </w:rPr>
        <w:t xml:space="preserve"> control tasks</w:t>
      </w:r>
      <w:r>
        <w:rPr>
          <w:rFonts w:ascii="Times New Roman" w:eastAsia="Times New Roman" w:hAnsi="Times New Roman" w:cs="Times New Roman"/>
          <w:bCs/>
          <w:i/>
        </w:rPr>
        <w:t xml:space="preserve"> of</w:t>
      </w:r>
      <w:r>
        <w:rPr>
          <w:rFonts w:ascii="Times New Roman" w:eastAsia="Times New Roman" w:hAnsi="Times New Roman" w:cs="Times New Roman"/>
          <w:bCs/>
          <w:i/>
          <w:lang w:val="en-GB"/>
        </w:rPr>
        <w:t xml:space="preserve"> the</w:t>
      </w:r>
      <w:r>
        <w:rPr>
          <w:rFonts w:ascii="Times New Roman" w:eastAsia="Times New Roman" w:hAnsi="Times New Roman" w:cs="Times New Roman"/>
          <w:bCs/>
          <w:i/>
        </w:rPr>
        <w:t xml:space="preserve"> service</w:t>
      </w:r>
      <w:r>
        <w:rPr>
          <w:rFonts w:ascii="Times New Roman" w:eastAsia="Times New Roman" w:hAnsi="Times New Roman" w:cs="Times New Roman"/>
          <w:bCs/>
          <w:i/>
          <w:lang w:val="en-GB"/>
        </w:rPr>
        <w:t xml:space="preserve"> personnel</w:t>
      </w:r>
      <w:r>
        <w:rPr>
          <w:rFonts w:ascii="Times New Roman" w:eastAsia="Times New Roman" w:hAnsi="Times New Roman" w:cs="Times New Roman"/>
          <w:bCs/>
          <w:i/>
        </w:rPr>
        <w:t xml:space="preserve"> of</w:t>
      </w:r>
      <w:r>
        <w:rPr>
          <w:rFonts w:ascii="Times New Roman" w:eastAsia="Times New Roman" w:hAnsi="Times New Roman" w:cs="Times New Roman"/>
          <w:bCs/>
          <w:i/>
          <w:lang w:val="en-GB"/>
        </w:rPr>
        <w:t xml:space="preserve"> the fuel supply field</w:t>
      </w:r>
      <w:r>
        <w:rPr>
          <w:rFonts w:ascii="Times New Roman" w:eastAsia="Times New Roman" w:hAnsi="Times New Roman" w:cs="Times New Roman"/>
          <w:bCs/>
          <w:i/>
        </w:rPr>
        <w:t>,</w:t>
      </w:r>
      <w:r>
        <w:rPr>
          <w:rFonts w:ascii="Times New Roman" w:eastAsia="Times New Roman" w:hAnsi="Times New Roman" w:cs="Times New Roman"/>
          <w:bCs/>
          <w:i/>
          <w:lang w:val="en-GB"/>
        </w:rPr>
        <w:t xml:space="preserve"> their content</w:t>
      </w:r>
      <w:r>
        <w:rPr>
          <w:rFonts w:ascii="Times New Roman" w:eastAsia="Times New Roman" w:hAnsi="Times New Roman" w:cs="Times New Roman"/>
          <w:bCs/>
          <w:i/>
        </w:rPr>
        <w:t xml:space="preserve"> and</w:t>
      </w:r>
      <w:r>
        <w:rPr>
          <w:rFonts w:ascii="Times New Roman" w:eastAsia="Times New Roman" w:hAnsi="Times New Roman" w:cs="Times New Roman"/>
          <w:bCs/>
          <w:i/>
          <w:lang w:val="en-GB"/>
        </w:rPr>
        <w:t xml:space="preserve"> frequency</w:t>
      </w:r>
      <w:r>
        <w:rPr>
          <w:rFonts w:ascii="Times New Roman" w:eastAsia="Times New Roman" w:hAnsi="Times New Roman" w:cs="Times New Roman"/>
          <w:bCs/>
          <w:i/>
        </w:rPr>
        <w:t>. The</w:t>
      </w:r>
      <w:r>
        <w:rPr>
          <w:rFonts w:ascii="Times New Roman" w:eastAsia="Times New Roman" w:hAnsi="Times New Roman" w:cs="Times New Roman"/>
          <w:bCs/>
          <w:i/>
          <w:lang w:val="en-GB"/>
        </w:rPr>
        <w:t xml:space="preserve"> tasks</w:t>
      </w:r>
      <w:r>
        <w:rPr>
          <w:rFonts w:ascii="Times New Roman" w:eastAsia="Times New Roman" w:hAnsi="Times New Roman" w:cs="Times New Roman"/>
          <w:bCs/>
          <w:i/>
        </w:rPr>
        <w:t xml:space="preserve"> of</w:t>
      </w:r>
      <w:r>
        <w:rPr>
          <w:rFonts w:ascii="Times New Roman" w:eastAsia="Times New Roman" w:hAnsi="Times New Roman" w:cs="Times New Roman"/>
          <w:bCs/>
          <w:i/>
          <w:lang w:val="en-GB"/>
        </w:rPr>
        <w:t xml:space="preserve"> the hand</w:t>
      </w:r>
      <w:r>
        <w:rPr>
          <w:rFonts w:ascii="Times New Roman" w:eastAsia="Times New Roman" w:hAnsi="Times New Roman" w:cs="Times New Roman"/>
          <w:bCs/>
          <w:i/>
        </w:rPr>
        <w:t xml:space="preserve"> over</w:t>
      </w:r>
      <w:r>
        <w:rPr>
          <w:rFonts w:ascii="Times New Roman" w:eastAsia="Times New Roman" w:hAnsi="Times New Roman" w:cs="Times New Roman"/>
          <w:bCs/>
          <w:i/>
          <w:lang w:val="en-GB"/>
        </w:rPr>
        <w:t xml:space="preserve"> take</w:t>
      </w:r>
      <w:r>
        <w:rPr>
          <w:rFonts w:ascii="Times New Roman" w:eastAsia="Times New Roman" w:hAnsi="Times New Roman" w:cs="Times New Roman"/>
          <w:bCs/>
          <w:i/>
        </w:rPr>
        <w:t xml:space="preserve"> over of</w:t>
      </w:r>
      <w:r>
        <w:rPr>
          <w:rFonts w:ascii="Times New Roman" w:eastAsia="Times New Roman" w:hAnsi="Times New Roman" w:cs="Times New Roman"/>
          <w:bCs/>
          <w:i/>
          <w:lang w:val="en-GB"/>
        </w:rPr>
        <w:t xml:space="preserve"> the</w:t>
      </w:r>
      <w:r>
        <w:rPr>
          <w:rFonts w:ascii="Times New Roman" w:eastAsia="Times New Roman" w:hAnsi="Times New Roman" w:cs="Times New Roman"/>
          <w:bCs/>
          <w:i/>
        </w:rPr>
        <w:t xml:space="preserve"> service</w:t>
      </w:r>
      <w:r>
        <w:rPr>
          <w:rFonts w:ascii="Times New Roman" w:eastAsia="Times New Roman" w:hAnsi="Times New Roman" w:cs="Times New Roman"/>
          <w:bCs/>
          <w:i/>
          <w:lang w:val="en-GB"/>
        </w:rPr>
        <w:t xml:space="preserve"> station</w:t>
      </w:r>
      <w:r>
        <w:rPr>
          <w:rFonts w:ascii="Times New Roman" w:eastAsia="Times New Roman" w:hAnsi="Times New Roman" w:cs="Times New Roman"/>
          <w:bCs/>
          <w:i/>
        </w:rPr>
        <w:t xml:space="preserve"> and</w:t>
      </w:r>
      <w:r>
        <w:rPr>
          <w:rFonts w:ascii="Times New Roman" w:eastAsia="Times New Roman" w:hAnsi="Times New Roman" w:cs="Times New Roman"/>
          <w:bCs/>
          <w:i/>
          <w:lang w:val="en-GB"/>
        </w:rPr>
        <w:t xml:space="preserve"> their control tasks</w:t>
      </w:r>
      <w:r>
        <w:rPr>
          <w:rFonts w:ascii="Times New Roman" w:eastAsia="Times New Roman" w:hAnsi="Times New Roman" w:cs="Times New Roman"/>
          <w:bCs/>
          <w:i/>
        </w:rPr>
        <w:t>.)</w:t>
      </w:r>
    </w:p>
    <w:p w:rsidR="00E261E0" w:rsidRDefault="00E261E0" w:rsidP="00980876">
      <w:pPr>
        <w:widowControl w:val="0"/>
        <w:numPr>
          <w:ilvl w:val="1"/>
          <w:numId w:val="239"/>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i/>
        </w:rPr>
      </w:pPr>
      <w:r>
        <w:rPr>
          <w:rFonts w:ascii="Times New Roman" w:hAnsi="Times New Roman" w:cs="Times New Roman"/>
          <w:bCs/>
        </w:rPr>
        <w:t xml:space="preserve">Az üzemanyag szaktechnikai eszközök kötelező felülvizsgálatai, azok tartalma, gyakorisága, dokumentálása. Az üzemanyag szakanyagok minőségellenőrzésének rendje, dokumentálása. </w:t>
      </w:r>
      <w:r>
        <w:rPr>
          <w:rFonts w:ascii="Times New Roman" w:eastAsia="Times New Roman" w:hAnsi="Times New Roman" w:cs="Times New Roman"/>
          <w:i/>
          <w:lang w:val="en-US"/>
        </w:rPr>
        <w:t>(The compulsory reviews of the fuel equipment, their content, frequency and documentation. The rules and documentation of the quality control of fuel materials.)</w:t>
      </w:r>
    </w:p>
    <w:p w:rsidR="00E261E0" w:rsidRDefault="00E261E0" w:rsidP="00980876">
      <w:pPr>
        <w:widowControl w:val="0"/>
        <w:numPr>
          <w:ilvl w:val="1"/>
          <w:numId w:val="239"/>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i/>
          <w:lang w:val="en-US"/>
        </w:rPr>
      </w:pPr>
      <w:r>
        <w:rPr>
          <w:rFonts w:ascii="Times New Roman" w:hAnsi="Times New Roman" w:cs="Times New Roman"/>
        </w:rPr>
        <w:t>A ruházati szakterület szolgálati személyeinek ellenőrzési kötelmei, azok tartalma, gyakorisága</w:t>
      </w:r>
      <w:r>
        <w:rPr>
          <w:rFonts w:ascii="Times New Roman" w:hAnsi="Times New Roman" w:cs="Times New Roman"/>
          <w:lang w:val="en-US"/>
        </w:rPr>
        <w:t>. A</w:t>
      </w:r>
      <w:r>
        <w:rPr>
          <w:rFonts w:ascii="Times New Roman" w:hAnsi="Times New Roman" w:cs="Times New Roman"/>
        </w:rPr>
        <w:t xml:space="preserve"> ruházati anyagok minőségi és mennyiségi megóvása</w:t>
      </w:r>
      <w:r>
        <w:rPr>
          <w:rFonts w:ascii="Times New Roman" w:hAnsi="Times New Roman" w:cs="Times New Roman"/>
          <w:lang w:val="en-US"/>
        </w:rPr>
        <w:t xml:space="preserve"> a</w:t>
      </w:r>
      <w:r>
        <w:rPr>
          <w:rFonts w:ascii="Times New Roman" w:hAnsi="Times New Roman" w:cs="Times New Roman"/>
        </w:rPr>
        <w:t xml:space="preserve"> tárolás feltételeinek megléte</w:t>
      </w:r>
      <w:r>
        <w:rPr>
          <w:rFonts w:ascii="Times New Roman" w:hAnsi="Times New Roman" w:cs="Times New Roman"/>
          <w:lang w:val="en-US"/>
        </w:rPr>
        <w:t xml:space="preserve">. </w:t>
      </w:r>
      <w:r>
        <w:rPr>
          <w:rFonts w:ascii="Times New Roman" w:eastAsia="Times New Roman" w:hAnsi="Times New Roman" w:cs="Times New Roman"/>
          <w:i/>
          <w:lang w:val="en-US"/>
        </w:rPr>
        <w:t xml:space="preserve">(The control tasks of the service personnel of the food supply field, their content and frequency. </w:t>
      </w:r>
      <w:r>
        <w:rPr>
          <w:rFonts w:ascii="Times New Roman" w:eastAsia="Times New Roman" w:hAnsi="Times New Roman" w:cs="Times New Roman"/>
          <w:bCs/>
          <w:i/>
          <w:lang w:val="en-US"/>
        </w:rPr>
        <w:t xml:space="preserve">The preservation of quality and quantity of clothing materials, existence of </w:t>
      </w:r>
      <w:r>
        <w:rPr>
          <w:rFonts w:ascii="Times New Roman" w:eastAsia="Times New Roman" w:hAnsi="Times New Roman" w:cs="Times New Roman"/>
          <w:bCs/>
          <w:i/>
          <w:lang w:val="en-US"/>
        </w:rPr>
        <w:lastRenderedPageBreak/>
        <w:t>storage conditions.)</w:t>
      </w:r>
    </w:p>
    <w:p w:rsidR="00E261E0" w:rsidRDefault="00E261E0" w:rsidP="00980876">
      <w:pPr>
        <w:widowControl w:val="0"/>
        <w:numPr>
          <w:ilvl w:val="1"/>
          <w:numId w:val="239"/>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b/>
          <w:lang w:val="en-US"/>
        </w:rPr>
      </w:pPr>
      <w:r>
        <w:rPr>
          <w:rFonts w:ascii="Times New Roman" w:eastAsia="Times New Roman" w:hAnsi="Times New Roman" w:cs="Times New Roman"/>
          <w:lang w:val="en-US"/>
        </w:rPr>
        <w:t>A</w:t>
      </w:r>
      <w:r>
        <w:rPr>
          <w:rFonts w:ascii="Times New Roman" w:eastAsia="Times New Roman" w:hAnsi="Times New Roman" w:cs="Times New Roman"/>
        </w:rPr>
        <w:t xml:space="preserve"> ruházati szakanyagokkal történő ellátás rendje</w:t>
      </w:r>
      <w:r>
        <w:rPr>
          <w:rFonts w:ascii="Times New Roman" w:eastAsia="Times New Roman" w:hAnsi="Times New Roman" w:cs="Times New Roman"/>
          <w:lang w:val="en-US"/>
        </w:rPr>
        <w:t>. A</w:t>
      </w:r>
      <w:r>
        <w:rPr>
          <w:rFonts w:ascii="Times New Roman" w:eastAsia="Times New Roman" w:hAnsi="Times New Roman" w:cs="Times New Roman"/>
        </w:rPr>
        <w:t xml:space="preserve"> szakági költségvetés és nyilvántartás helyzete</w:t>
      </w:r>
      <w:r>
        <w:rPr>
          <w:rFonts w:ascii="Times New Roman" w:eastAsia="Times New Roman" w:hAnsi="Times New Roman" w:cs="Times New Roman"/>
          <w:lang w:val="en-US"/>
        </w:rPr>
        <w:t xml:space="preserve">. </w:t>
      </w:r>
      <w:r>
        <w:rPr>
          <w:rFonts w:ascii="Times New Roman" w:eastAsia="Times New Roman" w:hAnsi="Times New Roman" w:cs="Times New Roman"/>
          <w:i/>
          <w:lang w:val="en-US"/>
        </w:rPr>
        <w:t>(The rules for supply of clothing materials. The field budget and records position.)</w:t>
      </w:r>
      <w:r>
        <w:rPr>
          <w:rFonts w:ascii="Times New Roman" w:eastAsia="Times New Roman" w:hAnsi="Times New Roman" w:cs="Times New Roman"/>
          <w:b/>
          <w:lang w:val="en-US"/>
        </w:rPr>
        <w:t xml:space="preserve"> </w:t>
      </w:r>
    </w:p>
    <w:p w:rsidR="00E261E0" w:rsidRDefault="00E261E0" w:rsidP="00980876">
      <w:pPr>
        <w:widowControl w:val="0"/>
        <w:numPr>
          <w:ilvl w:val="0"/>
          <w:numId w:val="239"/>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 tantárgy meghirdetésének gyakorisága/a tantervben történő félévi elhelyezkedése: </w:t>
      </w:r>
      <w:r>
        <w:rPr>
          <w:rFonts w:ascii="Times New Roman" w:eastAsia="Times New Roman" w:hAnsi="Times New Roman" w:cs="Times New Roman"/>
          <w:bCs/>
        </w:rPr>
        <w:t>Minden őszi szemeszterben / 8. félév</w:t>
      </w:r>
    </w:p>
    <w:p w:rsidR="00E261E0" w:rsidRDefault="00E261E0" w:rsidP="00980876">
      <w:pPr>
        <w:widowControl w:val="0"/>
        <w:numPr>
          <w:ilvl w:val="0"/>
          <w:numId w:val="239"/>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tanórákon való részvétel követelményei, az elfogadható hiányzások mértéke, a távolmaradás pótlásának lehetősége:</w:t>
      </w:r>
      <w:r>
        <w:rPr>
          <w:rFonts w:ascii="Times New Roman" w:eastAsia="Times New Roman" w:hAnsi="Times New Roman" w:cs="Times New Roman"/>
          <w:bCs/>
        </w:rPr>
        <w:t xml:space="preserve"> A tanórákon való részvétel kötelező.</w:t>
      </w:r>
      <w:r>
        <w:rPr>
          <w:rFonts w:ascii="Times New Roman" w:eastAsia="Times New Roman" w:hAnsi="Times New Roman" w:cs="Times New Roman"/>
          <w:b/>
          <w:bCs/>
        </w:rPr>
        <w:t xml:space="preserve"> </w:t>
      </w:r>
      <w:r>
        <w:rPr>
          <w:rFonts w:ascii="Times New Roman" w:eastAsia="Times New Roman" w:hAnsi="Times New Roman" w:cs="Times New Roman"/>
          <w:bCs/>
        </w:rPr>
        <w:t>A félév elfogadásának feltétele a tanórák minimum 70%-án való részvétel. Ennél magasabb mértékű távolmaradás pótlása az oktató engedélyével történhet.</w:t>
      </w:r>
    </w:p>
    <w:p w:rsidR="00E261E0" w:rsidRDefault="00E261E0" w:rsidP="00980876">
      <w:pPr>
        <w:widowControl w:val="0"/>
        <w:numPr>
          <w:ilvl w:val="0"/>
          <w:numId w:val="239"/>
        </w:numPr>
        <w:tabs>
          <w:tab w:val="num" w:pos="360"/>
        </w:tabs>
        <w:spacing w:before="120" w:after="120" w:line="240" w:lineRule="auto"/>
        <w:ind w:left="426" w:hanging="142"/>
        <w:jc w:val="both"/>
        <w:rPr>
          <w:rFonts w:ascii="Times New Roman" w:hAnsi="Times New Roman"/>
        </w:rPr>
      </w:pPr>
      <w:r>
        <w:rPr>
          <w:rFonts w:ascii="Times New Roman" w:eastAsia="Times New Roman" w:hAnsi="Times New Roman" w:cs="Times New Roman"/>
          <w:b/>
        </w:rPr>
        <w:t xml:space="preserve">Félévközi feladatok, ismeretek ellenőrzésének rendje: </w:t>
      </w:r>
      <w:r>
        <w:rPr>
          <w:rFonts w:ascii="Times New Roman" w:hAnsi="Times New Roman"/>
          <w:lang w:val="x-none"/>
        </w:rPr>
        <w:t>A</w:t>
      </w:r>
      <w:r>
        <w:rPr>
          <w:rFonts w:ascii="Times New Roman" w:hAnsi="Times New Roman"/>
        </w:rPr>
        <w:t xml:space="preserve"> félév során egy zárthelyi dolgozatot kel</w:t>
      </w:r>
      <w:r>
        <w:rPr>
          <w:rFonts w:ascii="Times New Roman" w:hAnsi="Times New Roman"/>
          <w:lang w:val="x-none"/>
        </w:rPr>
        <w:t>l</w:t>
      </w:r>
      <w:r>
        <w:rPr>
          <w:rFonts w:ascii="Times New Roman" w:hAnsi="Times New Roman"/>
        </w:rPr>
        <w:t xml:space="preserve"> megírni</w:t>
      </w:r>
      <w:r>
        <w:rPr>
          <w:rFonts w:ascii="Times New Roman" w:hAnsi="Times New Roman"/>
          <w:lang w:val="x-none"/>
        </w:rPr>
        <w:t xml:space="preserve">. </w:t>
      </w:r>
      <w:r>
        <w:rPr>
          <w:rFonts w:ascii="Times New Roman" w:hAnsi="Times New Roman"/>
        </w:rPr>
        <w:t>A zárthelyi dolgozat ötfokozatú skálán értékelendő, 50%+1 pont elégséges, 60% közepes, 75% jó, 90% jeles. Az elégtelen osztályzatra értékelt dolgozatot</w:t>
      </w:r>
      <w:r>
        <w:rPr>
          <w:rFonts w:ascii="Times New Roman" w:hAnsi="Times New Roman"/>
          <w:lang w:val="x-none"/>
        </w:rPr>
        <w:t xml:space="preserve"> a</w:t>
      </w:r>
      <w:r>
        <w:rPr>
          <w:rFonts w:ascii="Times New Roman" w:hAnsi="Times New Roman"/>
        </w:rPr>
        <w:t xml:space="preserve"> szorgalmi és</w:t>
      </w:r>
      <w:r>
        <w:rPr>
          <w:rFonts w:ascii="Times New Roman" w:hAnsi="Times New Roman"/>
          <w:lang w:val="x-none"/>
        </w:rPr>
        <w:t xml:space="preserve"> a</w:t>
      </w:r>
      <w:r>
        <w:rPr>
          <w:rFonts w:ascii="Times New Roman" w:hAnsi="Times New Roman"/>
        </w:rPr>
        <w:t xml:space="preserve"> vizsgaidőszakban</w:t>
      </w:r>
      <w:r>
        <w:rPr>
          <w:rFonts w:ascii="Times New Roman" w:hAnsi="Times New Roman"/>
          <w:lang w:val="x-none"/>
        </w:rPr>
        <w:t xml:space="preserve"> is</w:t>
      </w:r>
      <w:r>
        <w:rPr>
          <w:rFonts w:ascii="Times New Roman" w:hAnsi="Times New Roman"/>
        </w:rPr>
        <w:t xml:space="preserve"> egy-egy alkalommal lehet pótolni</w:t>
      </w:r>
      <w:r>
        <w:rPr>
          <w:rFonts w:ascii="Times New Roman" w:hAnsi="Times New Roman"/>
          <w:lang w:val="x-none"/>
        </w:rPr>
        <w:t xml:space="preserve">. </w:t>
      </w:r>
    </w:p>
    <w:p w:rsidR="00E261E0" w:rsidRDefault="00E261E0" w:rsidP="00980876">
      <w:pPr>
        <w:widowControl w:val="0"/>
        <w:numPr>
          <w:ilvl w:val="0"/>
          <w:numId w:val="239"/>
        </w:numPr>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Az értékelés, az aláírás és a kreditek megszerzésének pontos feltételei:</w:t>
      </w:r>
    </w:p>
    <w:p w:rsidR="00E261E0" w:rsidRDefault="00E261E0" w:rsidP="00980876">
      <w:pPr>
        <w:widowControl w:val="0"/>
        <w:numPr>
          <w:ilvl w:val="1"/>
          <w:numId w:val="239"/>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Az aláírás megszerzésének feltételei:</w:t>
      </w:r>
    </w:p>
    <w:p w:rsidR="00E261E0" w:rsidRDefault="00E261E0" w:rsidP="00E261E0">
      <w:pPr>
        <w:widowControl w:val="0"/>
        <w:tabs>
          <w:tab w:val="left" w:pos="993"/>
        </w:tabs>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Az aláírás feltétele a tanórákon történő – 14. pontban meghatározott – részvétel, valamint a zárthelyi dolgozat sikeres (50% +1pont) megírása.</w:t>
      </w:r>
    </w:p>
    <w:p w:rsidR="00E261E0" w:rsidRDefault="00E261E0" w:rsidP="00980876">
      <w:pPr>
        <w:widowControl w:val="0"/>
        <w:numPr>
          <w:ilvl w:val="1"/>
          <w:numId w:val="239"/>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Az értékelés:</w:t>
      </w:r>
    </w:p>
    <w:p w:rsidR="00E261E0" w:rsidRDefault="00E261E0" w:rsidP="00E261E0">
      <w:pPr>
        <w:widowControl w:val="0"/>
        <w:tabs>
          <w:tab w:val="left" w:pos="993"/>
        </w:tabs>
        <w:spacing w:before="120" w:after="120" w:line="240" w:lineRule="auto"/>
        <w:ind w:left="426"/>
        <w:jc w:val="both"/>
        <w:rPr>
          <w:rFonts w:ascii="Times New Roman" w:eastAsia="Times New Roman" w:hAnsi="Times New Roman" w:cs="Times New Roman"/>
          <w:lang w:val="x-none"/>
        </w:rPr>
      </w:pPr>
      <w:r>
        <w:rPr>
          <w:rFonts w:ascii="Times New Roman" w:eastAsia="Times New Roman" w:hAnsi="Times New Roman" w:cs="Times New Roman"/>
          <w:lang w:val="x-none"/>
        </w:rPr>
        <w:t>A</w:t>
      </w:r>
      <w:r>
        <w:rPr>
          <w:rFonts w:ascii="Times New Roman" w:eastAsia="Times New Roman" w:hAnsi="Times New Roman" w:cs="Times New Roman"/>
        </w:rPr>
        <w:t xml:space="preserve"> tantárgy félévközi jeggyel zárul</w:t>
      </w:r>
      <w:r>
        <w:rPr>
          <w:rFonts w:ascii="Times New Roman" w:eastAsia="Times New Roman" w:hAnsi="Times New Roman" w:cs="Times New Roman"/>
          <w:lang w:val="x-none"/>
        </w:rPr>
        <w:t xml:space="preserve">, </w:t>
      </w:r>
      <w:r>
        <w:rPr>
          <w:rFonts w:ascii="Times New Roman" w:eastAsia="Times New Roman" w:hAnsi="Times New Roman" w:cs="Times New Roman"/>
        </w:rPr>
        <w:t>amely</w:t>
      </w:r>
      <w:r>
        <w:rPr>
          <w:rFonts w:ascii="Times New Roman" w:eastAsia="Times New Roman" w:hAnsi="Times New Roman" w:cs="Times New Roman"/>
          <w:lang w:val="x-none"/>
        </w:rPr>
        <w:t xml:space="preserve"> a</w:t>
      </w:r>
      <w:r>
        <w:rPr>
          <w:rFonts w:ascii="Times New Roman" w:eastAsia="Times New Roman" w:hAnsi="Times New Roman" w:cs="Times New Roman"/>
        </w:rPr>
        <w:t xml:space="preserve"> zárthelyi dolgozatra kapott osztályzatok alapján kerül meghatározásra</w:t>
      </w:r>
      <w:r>
        <w:rPr>
          <w:rFonts w:ascii="Times New Roman" w:eastAsia="Times New Roman" w:hAnsi="Times New Roman" w:cs="Times New Roman"/>
          <w:lang w:val="x-none"/>
        </w:rPr>
        <w:t>.</w:t>
      </w:r>
    </w:p>
    <w:p w:rsidR="00E261E0" w:rsidRDefault="00E261E0" w:rsidP="00980876">
      <w:pPr>
        <w:widowControl w:val="0"/>
        <w:numPr>
          <w:ilvl w:val="1"/>
          <w:numId w:val="239"/>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 kreditek megszerzésének feltételei:</w:t>
      </w:r>
      <w:r>
        <w:rPr>
          <w:rFonts w:ascii="Times New Roman" w:eastAsia="Times New Roman" w:hAnsi="Times New Roman" w:cs="Times New Roman"/>
        </w:rPr>
        <w:t xml:space="preserve"> </w:t>
      </w:r>
    </w:p>
    <w:p w:rsidR="00E261E0" w:rsidRDefault="00E261E0" w:rsidP="00E261E0">
      <w:pPr>
        <w:widowControl w:val="0"/>
        <w:tabs>
          <w:tab w:val="left" w:pos="993"/>
        </w:tabs>
        <w:spacing w:before="120" w:after="120" w:line="240" w:lineRule="auto"/>
        <w:ind w:left="426"/>
        <w:jc w:val="both"/>
        <w:rPr>
          <w:rFonts w:ascii="Times New Roman" w:eastAsia="Times New Roman" w:hAnsi="Times New Roman" w:cs="Times New Roman"/>
          <w:lang w:eastAsia="x-none"/>
        </w:rPr>
      </w:pPr>
      <w:r>
        <w:rPr>
          <w:rFonts w:ascii="Times New Roman" w:eastAsia="Times New Roman" w:hAnsi="Times New Roman" w:cs="Times New Roman"/>
          <w:lang w:eastAsia="x-none"/>
        </w:rPr>
        <w:t>A kreditek megszerzésének feltétele az aláírás megszerzése és legalább elégséges félévközi jegy.</w:t>
      </w:r>
    </w:p>
    <w:p w:rsidR="00E261E0" w:rsidRDefault="00E261E0" w:rsidP="00980876">
      <w:pPr>
        <w:widowControl w:val="0"/>
        <w:numPr>
          <w:ilvl w:val="0"/>
          <w:numId w:val="239"/>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Irodalomjegyzék:</w:t>
      </w:r>
    </w:p>
    <w:p w:rsidR="00E261E0" w:rsidRDefault="00E261E0" w:rsidP="00980876">
      <w:pPr>
        <w:widowControl w:val="0"/>
        <w:numPr>
          <w:ilvl w:val="1"/>
          <w:numId w:val="239"/>
        </w:numPr>
        <w:tabs>
          <w:tab w:val="left" w:pos="567"/>
          <w:tab w:val="left" w:pos="851"/>
          <w:tab w:val="num" w:pos="2069"/>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Kötelező irodalom:</w:t>
      </w:r>
    </w:p>
    <w:p w:rsidR="00E261E0" w:rsidRDefault="00E261E0" w:rsidP="00980876">
      <w:pPr>
        <w:pStyle w:val="Listaszerbekezds"/>
        <w:numPr>
          <w:ilvl w:val="0"/>
          <w:numId w:val="240"/>
        </w:numPr>
        <w:spacing w:line="256" w:lineRule="auto"/>
        <w:rPr>
          <w:rFonts w:ascii="Times New Roman" w:eastAsia="Times New Roman" w:hAnsi="Times New Roman" w:cs="Times New Roman"/>
          <w:lang w:eastAsia="x-none"/>
        </w:rPr>
      </w:pPr>
      <w:r>
        <w:rPr>
          <w:rFonts w:ascii="Times New Roman" w:eastAsia="Times New Roman" w:hAnsi="Times New Roman" w:cs="Times New Roman"/>
          <w:lang w:eastAsia="x-none"/>
        </w:rPr>
        <w:t>Htp</w:t>
      </w:r>
      <w:r>
        <w:rPr>
          <w:rFonts w:ascii="Times New Roman" w:eastAsia="Times New Roman" w:hAnsi="Times New Roman" w:cs="Times New Roman"/>
          <w:lang w:val="en-GB" w:eastAsia="x-none"/>
        </w:rPr>
        <w:t>/1 Hadtáp szabályzat az üzemanyag szakterület részére.</w:t>
      </w:r>
    </w:p>
    <w:p w:rsidR="00E261E0" w:rsidRDefault="00E261E0" w:rsidP="00980876">
      <w:pPr>
        <w:pStyle w:val="Listaszerbekezds"/>
        <w:numPr>
          <w:ilvl w:val="0"/>
          <w:numId w:val="240"/>
        </w:numPr>
        <w:spacing w:line="256" w:lineRule="auto"/>
        <w:rPr>
          <w:rFonts w:ascii="Times New Roman" w:eastAsia="Times New Roman" w:hAnsi="Times New Roman" w:cs="Times New Roman"/>
          <w:lang w:val="en-GB" w:eastAsia="x-none"/>
        </w:rPr>
      </w:pPr>
      <w:r>
        <w:rPr>
          <w:rFonts w:ascii="Times New Roman" w:eastAsia="Times New Roman" w:hAnsi="Times New Roman" w:cs="Times New Roman"/>
          <w:lang w:eastAsia="x-none"/>
        </w:rPr>
        <w:t>Htp</w:t>
      </w:r>
      <w:r>
        <w:rPr>
          <w:rFonts w:ascii="Times New Roman" w:eastAsia="Times New Roman" w:hAnsi="Times New Roman" w:cs="Times New Roman"/>
          <w:lang w:val="en-GB" w:eastAsia="x-none"/>
        </w:rPr>
        <w:t>/3 Hadtáp szabályzat a ruházati szakterület részére.</w:t>
      </w:r>
    </w:p>
    <w:p w:rsidR="00E261E0" w:rsidRDefault="00E261E0" w:rsidP="00980876">
      <w:pPr>
        <w:pStyle w:val="Listaszerbekezds"/>
        <w:numPr>
          <w:ilvl w:val="0"/>
          <w:numId w:val="240"/>
        </w:numPr>
        <w:spacing w:line="256" w:lineRule="auto"/>
        <w:rPr>
          <w:rFonts w:ascii="Times New Roman" w:eastAsia="Times New Roman" w:hAnsi="Times New Roman" w:cs="Times New Roman"/>
          <w:lang w:val="en-GB" w:eastAsia="x-none"/>
        </w:rPr>
      </w:pPr>
      <w:r>
        <w:rPr>
          <w:rFonts w:ascii="Times New Roman" w:eastAsia="Times New Roman" w:hAnsi="Times New Roman" w:cs="Times New Roman"/>
          <w:lang w:eastAsia="x-none"/>
        </w:rPr>
        <w:t>Htp/8 Hadtáp szabályzat az élelmezési szakterület részére.</w:t>
      </w:r>
    </w:p>
    <w:p w:rsidR="00E261E0" w:rsidRDefault="00E261E0" w:rsidP="00980876">
      <w:pPr>
        <w:widowControl w:val="0"/>
        <w:numPr>
          <w:ilvl w:val="1"/>
          <w:numId w:val="239"/>
        </w:numPr>
        <w:tabs>
          <w:tab w:val="left" w:pos="567"/>
          <w:tab w:val="left" w:pos="851"/>
          <w:tab w:val="num" w:pos="2069"/>
        </w:tabs>
        <w:spacing w:before="120" w:after="120" w:line="240" w:lineRule="auto"/>
        <w:ind w:left="426" w:hanging="142"/>
        <w:jc w:val="both"/>
        <w:rPr>
          <w:rFonts w:ascii="Times New Roman" w:eastAsia="Times New Roman" w:hAnsi="Times New Roman" w:cs="Times New Roman"/>
        </w:rPr>
      </w:pPr>
      <w:r>
        <w:rPr>
          <w:rFonts w:ascii="Times New Roman" w:eastAsia="Times New Roman" w:hAnsi="Times New Roman" w:cs="Times New Roman"/>
          <w:b/>
          <w:bCs/>
        </w:rPr>
        <w:t>Ajánlott irodalom:</w:t>
      </w:r>
    </w:p>
    <w:p w:rsidR="00E261E0" w:rsidRPr="00FA100C" w:rsidRDefault="00E261E0" w:rsidP="00980876">
      <w:pPr>
        <w:pStyle w:val="Listaszerbekezds"/>
        <w:numPr>
          <w:ilvl w:val="0"/>
          <w:numId w:val="241"/>
        </w:numPr>
        <w:spacing w:line="256" w:lineRule="auto"/>
        <w:rPr>
          <w:rFonts w:ascii="Times New Roman" w:eastAsia="Times New Roman" w:hAnsi="Times New Roman" w:cs="Times New Roman"/>
          <w:lang w:val="en-GB" w:eastAsia="x-none"/>
        </w:rPr>
      </w:pPr>
      <w:r>
        <w:rPr>
          <w:rFonts w:ascii="Times New Roman" w:eastAsia="Times New Roman" w:hAnsi="Times New Roman" w:cs="Times New Roman"/>
        </w:rPr>
        <w:t xml:space="preserve">Htp/10 </w:t>
      </w:r>
      <w:r w:rsidRPr="00FA100C">
        <w:rPr>
          <w:rFonts w:ascii="Times New Roman" w:eastAsia="Times New Roman" w:hAnsi="Times New Roman" w:cs="Times New Roman"/>
          <w:lang w:val="en-GB" w:eastAsia="x-none"/>
        </w:rPr>
        <w:t>Hadtáp szabályzat</w:t>
      </w:r>
    </w:p>
    <w:p w:rsidR="00E261E0" w:rsidRPr="00FA100C" w:rsidRDefault="00E261E0" w:rsidP="00980876">
      <w:pPr>
        <w:pStyle w:val="Listaszerbekezds"/>
        <w:numPr>
          <w:ilvl w:val="0"/>
          <w:numId w:val="241"/>
        </w:numPr>
        <w:spacing w:line="256" w:lineRule="auto"/>
        <w:rPr>
          <w:rFonts w:ascii="Times New Roman" w:eastAsia="Times New Roman" w:hAnsi="Times New Roman" w:cs="Times New Roman"/>
          <w:lang w:val="en-GB" w:eastAsia="x-none"/>
        </w:rPr>
      </w:pPr>
      <w:r w:rsidRPr="00FA100C">
        <w:rPr>
          <w:rFonts w:ascii="Times New Roman" w:eastAsia="Times New Roman" w:hAnsi="Times New Roman" w:cs="Times New Roman"/>
          <w:lang w:val="en-GB" w:eastAsia="x-none"/>
        </w:rPr>
        <w:t>A 370/2011. (XII. 31.) Korm. rendelet a költségvetési szervek belső kontrollrendszeréről és belső ellenőrzéséről.</w:t>
      </w:r>
    </w:p>
    <w:p w:rsidR="00E261E0" w:rsidRDefault="00E261E0" w:rsidP="00980876">
      <w:pPr>
        <w:pStyle w:val="Listaszerbekezds"/>
        <w:numPr>
          <w:ilvl w:val="0"/>
          <w:numId w:val="241"/>
        </w:numPr>
        <w:spacing w:line="256" w:lineRule="auto"/>
        <w:rPr>
          <w:rFonts w:ascii="Times New Roman" w:eastAsia="Times New Roman" w:hAnsi="Times New Roman" w:cs="Times New Roman"/>
        </w:rPr>
      </w:pPr>
      <w:r w:rsidRPr="00FA100C">
        <w:rPr>
          <w:rFonts w:ascii="Times New Roman" w:eastAsia="Times New Roman" w:hAnsi="Times New Roman" w:cs="Times New Roman"/>
          <w:lang w:val="en-GB" w:eastAsia="x-none"/>
        </w:rPr>
        <w:t>33/2014 (IV.30.) HM utasítás Honvédelmi Minisztérium fejezet államháztartási belső rendjének</w:t>
      </w:r>
      <w:r>
        <w:rPr>
          <w:rFonts w:ascii="Times New Roman" w:eastAsia="Times New Roman" w:hAnsi="Times New Roman" w:cs="Times New Roman"/>
        </w:rPr>
        <w:t xml:space="preserve"> szabályairól.</w:t>
      </w:r>
    </w:p>
    <w:p w:rsidR="00E261E0" w:rsidRDefault="00E261E0" w:rsidP="00E261E0">
      <w:pPr>
        <w:pStyle w:val="Listaszerbekezds"/>
        <w:ind w:left="709"/>
        <w:rPr>
          <w:rFonts w:ascii="Times New Roman" w:eastAsia="Times New Roman" w:hAnsi="Times New Roman" w:cs="Times New Roman"/>
        </w:rPr>
      </w:pPr>
    </w:p>
    <w:p w:rsidR="00E261E0" w:rsidRDefault="00E261E0" w:rsidP="00E261E0">
      <w:pPr>
        <w:widowControl w:val="0"/>
        <w:spacing w:before="120" w:after="120" w:line="240" w:lineRule="auto"/>
        <w:jc w:val="both"/>
        <w:rPr>
          <w:rFonts w:ascii="Times New Roman" w:eastAsia="Times New Roman" w:hAnsi="Times New Roman" w:cs="Times New Roman"/>
          <w:bCs/>
        </w:rPr>
      </w:pPr>
      <w:r>
        <w:rPr>
          <w:rFonts w:ascii="Times New Roman" w:eastAsia="Times New Roman" w:hAnsi="Times New Roman" w:cs="Times New Roman"/>
          <w:bCs/>
        </w:rPr>
        <w:t>Budapest, 2020. február 20.</w:t>
      </w:r>
    </w:p>
    <w:p w:rsidR="00E261E0" w:rsidRDefault="00E261E0" w:rsidP="00E261E0">
      <w:pPr>
        <w:widowControl w:val="0"/>
        <w:spacing w:before="120" w:after="120" w:line="240" w:lineRule="auto"/>
        <w:jc w:val="both"/>
        <w:rPr>
          <w:rFonts w:ascii="Times New Roman" w:eastAsia="Times New Roman" w:hAnsi="Times New Roman" w:cs="Times New Roman"/>
          <w:bCs/>
        </w:rPr>
      </w:pPr>
    </w:p>
    <w:p w:rsidR="00E261E0" w:rsidRPr="00E261E0" w:rsidRDefault="00E261E0" w:rsidP="00E261E0">
      <w:pPr>
        <w:widowControl w:val="0"/>
        <w:spacing w:after="0" w:line="240" w:lineRule="auto"/>
        <w:ind w:left="4956" w:firstLine="1416"/>
        <w:rPr>
          <w:rFonts w:ascii="Times New Roman" w:hAnsi="Times New Roman" w:cs="Times New Roman"/>
          <w:b/>
          <w:bCs/>
        </w:rPr>
      </w:pPr>
      <w:r w:rsidRPr="00E261E0">
        <w:rPr>
          <w:rFonts w:ascii="Times New Roman" w:hAnsi="Times New Roman" w:cs="Times New Roman"/>
          <w:b/>
          <w:bCs/>
        </w:rPr>
        <w:t>Dr. Venekei József (PhD)</w:t>
      </w:r>
    </w:p>
    <w:p w:rsidR="00E261E0" w:rsidRDefault="00E261E0" w:rsidP="00E261E0">
      <w:pPr>
        <w:widowControl w:val="0"/>
        <w:spacing w:after="0" w:line="240" w:lineRule="auto"/>
        <w:jc w:val="center"/>
        <w:rPr>
          <w:rFonts w:ascii="Times New Roman" w:eastAsia="Times New Roman" w:hAnsi="Times New Roman" w:cs="Times New Roman"/>
          <w:bCs/>
        </w:rPr>
      </w:pP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 xml:space="preserve">      egyetemi docens</w:t>
      </w:r>
      <w:r w:rsidR="00C52AA9">
        <w:rPr>
          <w:rFonts w:ascii="Times New Roman" w:hAnsi="Times New Roman" w:cs="Times New Roman"/>
          <w:bCs/>
        </w:rPr>
        <w:t xml:space="preserve"> sk.</w:t>
      </w:r>
    </w:p>
    <w:p w:rsidR="006009AA" w:rsidRDefault="006009AA">
      <w:pPr>
        <w:spacing w:after="200" w:line="276" w:lineRule="auto"/>
        <w:rPr>
          <w:rFonts w:ascii="Times New Roman" w:hAnsi="Times New Roman" w:cs="Times New Roman"/>
          <w:sz w:val="24"/>
        </w:rPr>
      </w:pPr>
    </w:p>
    <w:p w:rsidR="00FA100C" w:rsidRDefault="00FA100C">
      <w:pPr>
        <w:spacing w:after="200" w:line="276" w:lineRule="auto"/>
        <w:rPr>
          <w:rFonts w:ascii="Times New Roman" w:hAnsi="Times New Roman" w:cs="Times New Roman"/>
          <w:sz w:val="24"/>
        </w:rPr>
      </w:pPr>
      <w:r>
        <w:rPr>
          <w:rFonts w:ascii="Times New Roman" w:hAnsi="Times New Roman" w:cs="Times New Roman"/>
          <w:sz w:val="24"/>
        </w:rPr>
        <w:br w:type="page"/>
      </w:r>
    </w:p>
    <w:tbl>
      <w:tblPr>
        <w:tblW w:w="9072" w:type="dxa"/>
        <w:tblInd w:w="113" w:type="dxa"/>
        <w:tblLook w:val="01E0" w:firstRow="1" w:lastRow="1" w:firstColumn="1" w:lastColumn="1" w:noHBand="0" w:noVBand="0"/>
      </w:tblPr>
      <w:tblGrid>
        <w:gridCol w:w="4855"/>
        <w:gridCol w:w="1620"/>
        <w:gridCol w:w="2597"/>
      </w:tblGrid>
      <w:tr w:rsidR="002A4651" w:rsidTr="002A4651">
        <w:tc>
          <w:tcPr>
            <w:tcW w:w="4855" w:type="dxa"/>
            <w:tcBorders>
              <w:top w:val="nil"/>
              <w:left w:val="nil"/>
              <w:bottom w:val="single" w:sz="4" w:space="0" w:color="auto"/>
              <w:right w:val="nil"/>
            </w:tcBorders>
            <w:hideMark/>
          </w:tcPr>
          <w:p w:rsidR="002A4651" w:rsidRDefault="002A4651">
            <w:pPr>
              <w:spacing w:after="0" w:line="240" w:lineRule="auto"/>
              <w:jc w:val="center"/>
              <w:rPr>
                <w:rFonts w:ascii="Times New Roman" w:eastAsia="Times New Roman" w:hAnsi="Times New Roman" w:cs="Times New Roman"/>
                <w:b/>
                <w:smallCaps/>
                <w:lang w:eastAsia="hu-HU"/>
              </w:rPr>
            </w:pPr>
            <w:r>
              <w:rPr>
                <w:rFonts w:ascii="Times New Roman" w:eastAsia="Times New Roman" w:hAnsi="Times New Roman" w:cs="Times New Roman"/>
                <w:b/>
                <w:smallCaps/>
                <w:lang w:eastAsia="hu-HU"/>
              </w:rPr>
              <w:lastRenderedPageBreak/>
              <w:t>Nemzeti Közszolgálati Egyetem</w:t>
            </w:r>
          </w:p>
        </w:tc>
        <w:tc>
          <w:tcPr>
            <w:tcW w:w="1620" w:type="dxa"/>
          </w:tcPr>
          <w:p w:rsidR="002A4651" w:rsidRDefault="002A4651">
            <w:pPr>
              <w:spacing w:after="0" w:line="240" w:lineRule="auto"/>
              <w:jc w:val="both"/>
              <w:rPr>
                <w:rFonts w:ascii="Times New Roman" w:eastAsia="Times New Roman" w:hAnsi="Times New Roman" w:cs="Times New Roman"/>
                <w:lang w:eastAsia="hu-HU"/>
              </w:rPr>
            </w:pPr>
          </w:p>
        </w:tc>
        <w:tc>
          <w:tcPr>
            <w:tcW w:w="2597" w:type="dxa"/>
          </w:tcPr>
          <w:p w:rsidR="002A4651" w:rsidRDefault="002A4651">
            <w:pPr>
              <w:spacing w:after="0" w:line="240" w:lineRule="auto"/>
              <w:jc w:val="right"/>
              <w:rPr>
                <w:rFonts w:ascii="Times New Roman" w:eastAsia="Times New Roman" w:hAnsi="Times New Roman" w:cs="Times New Roman"/>
                <w:lang w:eastAsia="hu-HU"/>
              </w:rPr>
            </w:pPr>
          </w:p>
        </w:tc>
      </w:tr>
      <w:tr w:rsidR="002A4651" w:rsidTr="002A4651">
        <w:tc>
          <w:tcPr>
            <w:tcW w:w="4855" w:type="dxa"/>
            <w:tcBorders>
              <w:top w:val="single" w:sz="4" w:space="0" w:color="auto"/>
              <w:left w:val="nil"/>
              <w:bottom w:val="nil"/>
              <w:right w:val="nil"/>
            </w:tcBorders>
            <w:hideMark/>
          </w:tcPr>
          <w:p w:rsidR="002A4651" w:rsidRDefault="002A4651">
            <w:pPr>
              <w:spacing w:after="0" w:line="240" w:lineRule="auto"/>
              <w:jc w:val="center"/>
              <w:rPr>
                <w:rFonts w:ascii="Times New Roman" w:eastAsia="Times New Roman" w:hAnsi="Times New Roman" w:cs="Times New Roman"/>
                <w:b/>
                <w:lang w:eastAsia="hu-HU"/>
              </w:rPr>
            </w:pPr>
            <w:r>
              <w:rPr>
                <w:rFonts w:ascii="Times New Roman" w:eastAsia="Times New Roman" w:hAnsi="Times New Roman" w:cs="Times New Roman"/>
                <w:b/>
                <w:lang w:eastAsia="hu-HU"/>
              </w:rPr>
              <w:t>Hadtudományi és Honvédtisztképző Kar</w:t>
            </w:r>
          </w:p>
        </w:tc>
        <w:tc>
          <w:tcPr>
            <w:tcW w:w="1620" w:type="dxa"/>
          </w:tcPr>
          <w:p w:rsidR="002A4651" w:rsidRDefault="002A4651">
            <w:pPr>
              <w:spacing w:after="0" w:line="240" w:lineRule="auto"/>
              <w:jc w:val="both"/>
              <w:rPr>
                <w:rFonts w:ascii="Times New Roman" w:eastAsia="Times New Roman" w:hAnsi="Times New Roman" w:cs="Times New Roman"/>
                <w:lang w:eastAsia="hu-HU"/>
              </w:rPr>
            </w:pPr>
          </w:p>
        </w:tc>
        <w:tc>
          <w:tcPr>
            <w:tcW w:w="2597" w:type="dxa"/>
          </w:tcPr>
          <w:p w:rsidR="002A4651" w:rsidRDefault="002A4651">
            <w:pPr>
              <w:spacing w:after="0" w:line="240" w:lineRule="auto"/>
              <w:jc w:val="both"/>
              <w:rPr>
                <w:rFonts w:ascii="Times New Roman" w:eastAsia="Times New Roman" w:hAnsi="Times New Roman" w:cs="Times New Roman"/>
                <w:lang w:eastAsia="hu-HU"/>
              </w:rPr>
            </w:pPr>
          </w:p>
        </w:tc>
      </w:tr>
    </w:tbl>
    <w:p w:rsidR="002A4651" w:rsidRDefault="002A4651" w:rsidP="002A4651">
      <w:pPr>
        <w:widowControl w:val="0"/>
        <w:spacing w:before="120" w:after="120" w:line="240" w:lineRule="auto"/>
        <w:ind w:left="426" w:hanging="142"/>
        <w:jc w:val="center"/>
        <w:rPr>
          <w:rFonts w:ascii="Times New Roman" w:eastAsia="Times New Roman" w:hAnsi="Times New Roman" w:cs="Times New Roman"/>
          <w:b/>
          <w:bCs/>
        </w:rPr>
      </w:pPr>
    </w:p>
    <w:p w:rsidR="002A4651" w:rsidRDefault="002A4651" w:rsidP="002A4651">
      <w:pPr>
        <w:widowControl w:val="0"/>
        <w:spacing w:before="120" w:after="120" w:line="240" w:lineRule="auto"/>
        <w:ind w:left="426" w:hanging="142"/>
        <w:jc w:val="center"/>
        <w:rPr>
          <w:rFonts w:ascii="Times New Roman" w:eastAsia="Times New Roman" w:hAnsi="Times New Roman" w:cs="Times New Roman"/>
          <w:b/>
          <w:bCs/>
        </w:rPr>
      </w:pPr>
      <w:r>
        <w:rPr>
          <w:rFonts w:ascii="Times New Roman" w:eastAsia="Times New Roman" w:hAnsi="Times New Roman" w:cs="Times New Roman"/>
          <w:b/>
          <w:bCs/>
        </w:rPr>
        <w:t>TANTÁRGYI PROGRAM</w:t>
      </w:r>
    </w:p>
    <w:p w:rsidR="002A4651" w:rsidRDefault="002A4651" w:rsidP="00980876">
      <w:pPr>
        <w:widowControl w:val="0"/>
        <w:numPr>
          <w:ilvl w:val="0"/>
          <w:numId w:val="242"/>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 tantárgy kódja: </w:t>
      </w:r>
      <w:r>
        <w:rPr>
          <w:rFonts w:ascii="Times New Roman" w:hAnsi="Times New Roman" w:cs="Times New Roman"/>
          <w:bCs/>
        </w:rPr>
        <w:t>HKHKPA116</w:t>
      </w:r>
    </w:p>
    <w:p w:rsidR="002A4651" w:rsidRDefault="002A4651" w:rsidP="00980876">
      <w:pPr>
        <w:widowControl w:val="0"/>
        <w:numPr>
          <w:ilvl w:val="0"/>
          <w:numId w:val="242"/>
        </w:numPr>
        <w:spacing w:before="120" w:after="120" w:line="240" w:lineRule="auto"/>
        <w:ind w:left="426" w:hanging="142"/>
        <w:jc w:val="both"/>
        <w:rPr>
          <w:rFonts w:ascii="Times New Roman" w:eastAsia="Times New Roman" w:hAnsi="Times New Roman" w:cs="Times New Roman"/>
          <w:b/>
          <w:bCs/>
          <w:lang w:val="en-GB"/>
        </w:rPr>
      </w:pPr>
      <w:r>
        <w:rPr>
          <w:rFonts w:ascii="Times New Roman" w:eastAsia="Times New Roman" w:hAnsi="Times New Roman" w:cs="Times New Roman"/>
          <w:b/>
          <w:bCs/>
        </w:rPr>
        <w:t>A tantárgy megnevezése (magyarul):</w:t>
      </w:r>
      <w:r>
        <w:rPr>
          <w:rFonts w:ascii="Times New Roman" w:eastAsia="Times New Roman" w:hAnsi="Times New Roman" w:cs="Times New Roman"/>
          <w:bCs/>
        </w:rPr>
        <w:t xml:space="preserve"> NATO Informatika</w:t>
      </w:r>
    </w:p>
    <w:p w:rsidR="002A4651" w:rsidRDefault="002A4651" w:rsidP="00980876">
      <w:pPr>
        <w:widowControl w:val="0"/>
        <w:numPr>
          <w:ilvl w:val="0"/>
          <w:numId w:val="242"/>
        </w:numPr>
        <w:spacing w:before="120" w:after="120" w:line="240" w:lineRule="auto"/>
        <w:ind w:left="426" w:hanging="142"/>
        <w:jc w:val="both"/>
        <w:rPr>
          <w:rFonts w:ascii="Times New Roman" w:eastAsia="Times New Roman" w:hAnsi="Times New Roman" w:cs="Times New Roman"/>
          <w:bCs/>
          <w:lang w:val="en-GB"/>
        </w:rPr>
      </w:pPr>
      <w:r>
        <w:rPr>
          <w:rFonts w:ascii="Times New Roman" w:eastAsia="Times New Roman" w:hAnsi="Times New Roman" w:cs="Times New Roman"/>
          <w:b/>
          <w:bCs/>
        </w:rPr>
        <w:t>A tantárgy megnevezése (angolul):</w:t>
      </w:r>
      <w:r>
        <w:rPr>
          <w:rFonts w:ascii="Times New Roman" w:eastAsia="Times New Roman" w:hAnsi="Times New Roman" w:cs="Times New Roman"/>
          <w:bCs/>
          <w:sz w:val="24"/>
          <w:szCs w:val="24"/>
          <w:lang w:eastAsia="x-none"/>
        </w:rPr>
        <w:t xml:space="preserve"> NATO Logistics Functional Area Services (LOGFAS)</w:t>
      </w:r>
      <w:r>
        <w:rPr>
          <w:rFonts w:ascii="Times New Roman" w:eastAsia="Times New Roman" w:hAnsi="Times New Roman" w:cs="Times New Roman"/>
          <w:b/>
          <w:bCs/>
        </w:rPr>
        <w:t xml:space="preserve"> </w:t>
      </w:r>
    </w:p>
    <w:p w:rsidR="002A4651" w:rsidRDefault="002A4651" w:rsidP="00980876">
      <w:pPr>
        <w:widowControl w:val="0"/>
        <w:numPr>
          <w:ilvl w:val="0"/>
          <w:numId w:val="242"/>
        </w:numPr>
        <w:tabs>
          <w:tab w:val="num" w:pos="567"/>
        </w:tabs>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Kreditérték és képzési karakter: </w:t>
      </w:r>
    </w:p>
    <w:p w:rsidR="002A4651" w:rsidRDefault="002A4651" w:rsidP="00980876">
      <w:pPr>
        <w:pStyle w:val="Listaszerbekezds"/>
        <w:widowControl w:val="0"/>
        <w:numPr>
          <w:ilvl w:val="1"/>
          <w:numId w:val="242"/>
        </w:numPr>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2 kredit</w:t>
      </w:r>
    </w:p>
    <w:p w:rsidR="002A4651" w:rsidRDefault="002A4651" w:rsidP="00980876">
      <w:pPr>
        <w:pStyle w:val="Listaszerbekezds"/>
        <w:widowControl w:val="0"/>
        <w:numPr>
          <w:ilvl w:val="1"/>
          <w:numId w:val="242"/>
        </w:numPr>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a tantárgy elméleti vagy gyakorlati jellegének mértéke: 0</w:t>
      </w:r>
      <w:r>
        <w:rPr>
          <w:rFonts w:ascii="Times New Roman" w:eastAsia="Times New Roman" w:hAnsi="Times New Roman" w:cs="Times New Roman"/>
          <w:b/>
          <w:bCs/>
        </w:rPr>
        <w:t xml:space="preserve"> </w:t>
      </w:r>
      <w:r>
        <w:rPr>
          <w:rFonts w:ascii="Times New Roman" w:eastAsia="Times New Roman" w:hAnsi="Times New Roman" w:cs="Times New Roman"/>
          <w:bCs/>
        </w:rPr>
        <w:t>% elmélet, 100 % gyakorlat</w:t>
      </w:r>
    </w:p>
    <w:p w:rsidR="002A4651" w:rsidRDefault="002A4651" w:rsidP="00980876">
      <w:pPr>
        <w:widowControl w:val="0"/>
        <w:numPr>
          <w:ilvl w:val="0"/>
          <w:numId w:val="242"/>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szak(ok), szakirányok/specializációk megnevezése (ahol oktatják):</w:t>
      </w:r>
      <w:r>
        <w:rPr>
          <w:rFonts w:ascii="Times New Roman" w:eastAsia="Times New Roman" w:hAnsi="Times New Roman" w:cs="Times New Roman"/>
          <w:bCs/>
        </w:rPr>
        <w:t xml:space="preserve"> </w:t>
      </w:r>
      <w:r>
        <w:rPr>
          <w:rFonts w:ascii="Times New Roman" w:hAnsi="Times New Roman" w:cs="Times New Roman"/>
          <w:bCs/>
        </w:rPr>
        <w:t>Katonai logisztika alapképzési (</w:t>
      </w:r>
      <w:r w:rsidR="00137B8A">
        <w:rPr>
          <w:rFonts w:ascii="Times New Roman" w:hAnsi="Times New Roman" w:cs="Times New Roman"/>
          <w:bCs/>
        </w:rPr>
        <w:t>BSc</w:t>
      </w:r>
      <w:r>
        <w:rPr>
          <w:rFonts w:ascii="Times New Roman" w:hAnsi="Times New Roman" w:cs="Times New Roman"/>
          <w:bCs/>
        </w:rPr>
        <w:t>) szak</w:t>
      </w:r>
    </w:p>
    <w:p w:rsidR="002A4651" w:rsidRDefault="002A4651" w:rsidP="00980876">
      <w:pPr>
        <w:widowControl w:val="0"/>
        <w:numPr>
          <w:ilvl w:val="0"/>
          <w:numId w:val="242"/>
        </w:numPr>
        <w:tabs>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Az oktatásért felelős oktatási szervezeti egység megnevezése: </w:t>
      </w:r>
      <w:r>
        <w:rPr>
          <w:rFonts w:ascii="Times New Roman" w:hAnsi="Times New Roman" w:cs="Times New Roman"/>
          <w:bCs/>
        </w:rPr>
        <w:t>NKE HHK Hadtáp, Pénzügyi és Katonai Közlekedési Tanszék</w:t>
      </w:r>
    </w:p>
    <w:p w:rsidR="002A4651" w:rsidRDefault="002A4651" w:rsidP="00980876">
      <w:pPr>
        <w:widowControl w:val="0"/>
        <w:numPr>
          <w:ilvl w:val="0"/>
          <w:numId w:val="242"/>
        </w:numPr>
        <w:tabs>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tantárgyfelelős oktató neve, beosztása, tudományos fokozata:</w:t>
      </w:r>
      <w:r>
        <w:rPr>
          <w:rFonts w:ascii="Times New Roman" w:eastAsia="Times New Roman" w:hAnsi="Times New Roman" w:cs="Times New Roman"/>
          <w:bCs/>
        </w:rPr>
        <w:t xml:space="preserve"> </w:t>
      </w:r>
      <w:r>
        <w:rPr>
          <w:rFonts w:ascii="Times New Roman" w:hAnsi="Times New Roman" w:cs="Times New Roman"/>
          <w:bCs/>
        </w:rPr>
        <w:t>Dr. Venekei József Péter, PhD, egyetemi docens</w:t>
      </w:r>
    </w:p>
    <w:p w:rsidR="002A4651" w:rsidRDefault="002A4651" w:rsidP="00980876">
      <w:pPr>
        <w:widowControl w:val="0"/>
        <w:numPr>
          <w:ilvl w:val="0"/>
          <w:numId w:val="242"/>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tanórák száma és típusa</w:t>
      </w:r>
    </w:p>
    <w:p w:rsidR="002A4651" w:rsidRDefault="002A4651" w:rsidP="00980876">
      <w:pPr>
        <w:widowControl w:val="0"/>
        <w:numPr>
          <w:ilvl w:val="1"/>
          <w:numId w:val="242"/>
        </w:numPr>
        <w:tabs>
          <w:tab w:val="num" w:pos="709"/>
          <w:tab w:val="num" w:pos="2069"/>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össz óraszám/félév: 28</w:t>
      </w:r>
    </w:p>
    <w:p w:rsidR="002A4651" w:rsidRDefault="002A4651" w:rsidP="00980876">
      <w:pPr>
        <w:widowControl w:val="0"/>
        <w:numPr>
          <w:ilvl w:val="2"/>
          <w:numId w:val="242"/>
        </w:numPr>
        <w:tabs>
          <w:tab w:val="num" w:pos="709"/>
          <w:tab w:val="num" w:pos="1134"/>
        </w:tabs>
        <w:spacing w:before="120" w:after="120" w:line="240" w:lineRule="auto"/>
        <w:ind w:left="993" w:hanging="425"/>
        <w:jc w:val="both"/>
        <w:rPr>
          <w:rFonts w:ascii="Times New Roman" w:eastAsia="Times New Roman" w:hAnsi="Times New Roman" w:cs="Times New Roman"/>
          <w:bCs/>
        </w:rPr>
      </w:pPr>
      <w:r>
        <w:rPr>
          <w:rFonts w:ascii="Times New Roman" w:eastAsia="Times New Roman" w:hAnsi="Times New Roman" w:cs="Times New Roman"/>
          <w:bCs/>
        </w:rPr>
        <w:t>nappali munkarend: 28 (0 EA + 0 SZ + 28 GY)</w:t>
      </w:r>
    </w:p>
    <w:p w:rsidR="002A4651" w:rsidRDefault="002A4651" w:rsidP="00980876">
      <w:pPr>
        <w:widowControl w:val="0"/>
        <w:numPr>
          <w:ilvl w:val="2"/>
          <w:numId w:val="242"/>
        </w:numPr>
        <w:tabs>
          <w:tab w:val="num" w:pos="709"/>
          <w:tab w:val="num" w:pos="1134"/>
        </w:tabs>
        <w:spacing w:before="120" w:after="120" w:line="240" w:lineRule="auto"/>
        <w:ind w:left="993" w:hanging="425"/>
        <w:jc w:val="both"/>
        <w:rPr>
          <w:rFonts w:ascii="Times New Roman" w:eastAsia="Times New Roman" w:hAnsi="Times New Roman" w:cs="Times New Roman"/>
          <w:bCs/>
        </w:rPr>
      </w:pPr>
      <w:r>
        <w:rPr>
          <w:rFonts w:ascii="Times New Roman" w:eastAsia="Times New Roman" w:hAnsi="Times New Roman" w:cs="Times New Roman"/>
          <w:bCs/>
        </w:rPr>
        <w:t>levelező munkarend: -</w:t>
      </w:r>
    </w:p>
    <w:p w:rsidR="002A4651" w:rsidRDefault="002A4651" w:rsidP="00980876">
      <w:pPr>
        <w:widowControl w:val="0"/>
        <w:numPr>
          <w:ilvl w:val="1"/>
          <w:numId w:val="242"/>
        </w:numPr>
        <w:tabs>
          <w:tab w:val="num" w:pos="709"/>
          <w:tab w:val="num" w:pos="2069"/>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heti óraszám - nappali munkarend: 2</w:t>
      </w:r>
    </w:p>
    <w:p w:rsidR="002A4651" w:rsidRDefault="002A4651" w:rsidP="00980876">
      <w:pPr>
        <w:widowControl w:val="0"/>
        <w:numPr>
          <w:ilvl w:val="1"/>
          <w:numId w:val="242"/>
        </w:numPr>
        <w:tabs>
          <w:tab w:val="num" w:pos="709"/>
          <w:tab w:val="num" w:pos="2069"/>
        </w:tabs>
        <w:spacing w:before="120" w:after="120" w:line="240" w:lineRule="auto"/>
        <w:ind w:left="851" w:hanging="425"/>
        <w:jc w:val="both"/>
        <w:rPr>
          <w:rFonts w:ascii="Times New Roman" w:eastAsia="Times New Roman" w:hAnsi="Times New Roman" w:cs="Times New Roman"/>
          <w:bCs/>
        </w:rPr>
      </w:pPr>
      <w:r>
        <w:rPr>
          <w:rFonts w:ascii="Times New Roman" w:hAnsi="Times New Roman" w:cs="Times New Roman"/>
        </w:rPr>
        <w:t>Az ismeret átadásában alkalmazandó további sajátos módok, jellemzők:</w:t>
      </w:r>
      <w:r>
        <w:rPr>
          <w:rFonts w:ascii="Times New Roman" w:hAnsi="Times New Roman" w:cs="Times New Roman"/>
          <w:i/>
        </w:rPr>
        <w:t xml:space="preserve"> –</w:t>
      </w:r>
    </w:p>
    <w:p w:rsidR="002A4651" w:rsidRDefault="002A4651" w:rsidP="00980876">
      <w:pPr>
        <w:widowControl w:val="0"/>
        <w:numPr>
          <w:ilvl w:val="0"/>
          <w:numId w:val="242"/>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tantárgy szakmai tartalma (magyarul):</w:t>
      </w:r>
      <w:r>
        <w:rPr>
          <w:rFonts w:ascii="Times New Roman" w:eastAsia="Times New Roman" w:hAnsi="Times New Roman" w:cs="Times New Roman"/>
          <w:bCs/>
        </w:rPr>
        <w:t xml:space="preserve"> </w:t>
      </w:r>
      <w:r>
        <w:rPr>
          <w:rFonts w:ascii="Times New Roman" w:hAnsi="Times New Roman" w:cs="Times New Roman"/>
          <w:bCs/>
        </w:rPr>
        <w:t xml:space="preserve">A LOGFAS rendszer szerepe a logisztikai műveletek végrehajtása során. A Logisztikai Adat Menedzser modul felépítése, használata. Elektronikus állománytáblák létrehozása. Harcérték táblázatok létrehozása. Anyagi-technikai harcérték jelentések létrehozása. Feladattervek, diszpozíciós listák létrehozása. Földrajzi menedzser modul felépítése, használata. Térképek létrehozása. Érdekes pontok létrehozása és adatok hozzárendelése. Saját térképek beimportálása koordináták alapján. Multimodális útvonal hálózatok létrehozása. Szállítástervező modul felépítése és használata. Részletes telepítési tervek létrehozása. Szállítóeszköz igény lehívása. </w:t>
      </w:r>
    </w:p>
    <w:p w:rsidR="002A4651" w:rsidRDefault="002A4651" w:rsidP="002A4651">
      <w:pPr>
        <w:widowControl w:val="0"/>
        <w:spacing w:before="120" w:after="120" w:line="240" w:lineRule="auto"/>
        <w:ind w:left="426"/>
        <w:jc w:val="both"/>
        <w:rPr>
          <w:rFonts w:ascii="Times New Roman" w:eastAsia="Times New Roman" w:hAnsi="Times New Roman" w:cs="Times New Roman"/>
          <w:b/>
          <w:bCs/>
        </w:rPr>
      </w:pPr>
      <w:r>
        <w:rPr>
          <w:rFonts w:ascii="Times New Roman" w:eastAsia="Times New Roman" w:hAnsi="Times New Roman" w:cs="Times New Roman"/>
          <w:b/>
          <w:bCs/>
        </w:rPr>
        <w:t>A tantárgy szakmai tartalma (angolul) (</w:t>
      </w:r>
      <w:r>
        <w:rPr>
          <w:rFonts w:ascii="Times New Roman" w:eastAsia="Times New Roman" w:hAnsi="Times New Roman" w:cs="Times New Roman"/>
          <w:b/>
          <w:bCs/>
          <w:lang w:val="en-US"/>
        </w:rPr>
        <w:t>Course description</w:t>
      </w:r>
      <w:r>
        <w:rPr>
          <w:rFonts w:ascii="Times New Roman" w:eastAsia="Times New Roman" w:hAnsi="Times New Roman" w:cs="Times New Roman"/>
          <w:b/>
          <w:bCs/>
        </w:rPr>
        <w:t xml:space="preserve">): </w:t>
      </w:r>
      <w:r>
        <w:rPr>
          <w:rFonts w:ascii="Times New Roman" w:eastAsia="Times New Roman" w:hAnsi="Times New Roman" w:cs="Times New Roman"/>
          <w:bCs/>
        </w:rPr>
        <w:t>Role of LOGF(A)S in Military Operations. Application of LOGFAS Data Management Modul (LDM). Creating Joint Force Element Tables (JFET) in LDM. Creating Tasks, Statement of Requirements and Allied Disposition Lists. Use of the Geo Manager Module. Creating own maps in Geo Manager. Creating multimodal supply routes, measuring the distances between two nods. Allied Deployment and Movement System (ADAMS). Basics of using ADAMS. Creating Detailed Deployment Plan (DDP). Calculation for the needed transport assets.</w:t>
      </w:r>
    </w:p>
    <w:p w:rsidR="002A4651" w:rsidRDefault="002A4651" w:rsidP="00980876">
      <w:pPr>
        <w:pStyle w:val="Listaszerbekezds"/>
        <w:widowControl w:val="0"/>
        <w:numPr>
          <w:ilvl w:val="0"/>
          <w:numId w:val="242"/>
        </w:numPr>
        <w:spacing w:before="120" w:after="120" w:line="240" w:lineRule="auto"/>
        <w:jc w:val="both"/>
        <w:rPr>
          <w:rFonts w:ascii="Times New Roman" w:eastAsia="Times New Roman" w:hAnsi="Times New Roman" w:cs="Times New Roman"/>
          <w:b/>
          <w:bCs/>
        </w:rPr>
      </w:pPr>
      <w:r>
        <w:rPr>
          <w:rFonts w:ascii="Times New Roman" w:eastAsia="Times New Roman" w:hAnsi="Times New Roman" w:cs="Times New Roman"/>
          <w:b/>
          <w:bCs/>
        </w:rPr>
        <w:t>Elérendő kompetenciák (magyarul):</w:t>
      </w:r>
    </w:p>
    <w:p w:rsidR="002A4651" w:rsidRDefault="002A4651" w:rsidP="002A4651">
      <w:pPr>
        <w:widowControl w:val="0"/>
        <w:spacing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Tudása:</w:t>
      </w:r>
    </w:p>
    <w:p w:rsidR="002A4651" w:rsidRDefault="002A4651" w:rsidP="002A4651">
      <w:pPr>
        <w:widowControl w:val="0"/>
        <w:spacing w:before="120" w:after="120" w:line="240" w:lineRule="auto"/>
        <w:ind w:left="993" w:hanging="360"/>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 xml:space="preserve">Ismeri a NATO logisztikai információs rendszerének felépítését és használatát. </w:t>
      </w:r>
    </w:p>
    <w:p w:rsidR="002A4651" w:rsidRDefault="002A4651" w:rsidP="002A4651">
      <w:pPr>
        <w:widowControl w:val="0"/>
        <w:spacing w:before="120" w:after="0" w:line="240" w:lineRule="auto"/>
        <w:ind w:left="425"/>
        <w:jc w:val="both"/>
        <w:rPr>
          <w:rFonts w:ascii="Times New Roman" w:eastAsia="Times New Roman" w:hAnsi="Times New Roman" w:cs="Times New Roman"/>
          <w:b/>
          <w:bCs/>
        </w:rPr>
      </w:pPr>
      <w:r>
        <w:rPr>
          <w:rFonts w:ascii="Times New Roman" w:eastAsia="Times New Roman" w:hAnsi="Times New Roman" w:cs="Times New Roman"/>
          <w:b/>
          <w:bCs/>
        </w:rPr>
        <w:t>Képességei:</w:t>
      </w:r>
    </w:p>
    <w:p w:rsidR="002A4651" w:rsidRDefault="002A4651" w:rsidP="002A4651">
      <w:pPr>
        <w:widowControl w:val="0"/>
        <w:spacing w:before="120" w:after="120" w:line="240" w:lineRule="auto"/>
        <w:ind w:left="993" w:hanging="360"/>
        <w:contextualSpacing/>
        <w:jc w:val="both"/>
        <w:rPr>
          <w:rFonts w:ascii="Times New Roman" w:eastAsia="Times New Roman" w:hAnsi="Times New Roman" w:cs="Times New Roman"/>
          <w:bCs/>
        </w:rPr>
      </w:pPr>
      <w:r>
        <w:rPr>
          <w:rFonts w:ascii="Times New Roman" w:eastAsia="Times New Roman" w:hAnsi="Times New Roman" w:cs="Times New Roman"/>
          <w:bCs/>
        </w:rPr>
        <w:t>-</w:t>
      </w:r>
      <w:r>
        <w:rPr>
          <w:rFonts w:ascii="Times New Roman" w:eastAsia="Times New Roman" w:hAnsi="Times New Roman" w:cs="Times New Roman"/>
          <w:bCs/>
        </w:rPr>
        <w:tab/>
        <w:t>Képes a NATO logisztikai információs rendszerének alkalmazására a katonai műveletek végrehajtása során.</w:t>
      </w:r>
    </w:p>
    <w:p w:rsidR="002A4651" w:rsidRDefault="002A4651" w:rsidP="002A4651">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Attitűdje:</w:t>
      </w:r>
      <w:r>
        <w:rPr>
          <w:rFonts w:ascii="Times New Roman" w:eastAsia="Times New Roman" w:hAnsi="Times New Roman" w:cs="Times New Roman"/>
          <w:bCs/>
        </w:rPr>
        <w:t xml:space="preserve"> </w:t>
      </w:r>
    </w:p>
    <w:p w:rsidR="002A4651" w:rsidRDefault="002A4651" w:rsidP="002A4651">
      <w:pPr>
        <w:widowControl w:val="0"/>
        <w:spacing w:before="120" w:after="120" w:line="240" w:lineRule="auto"/>
        <w:ind w:left="993" w:hanging="360"/>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 xml:space="preserve">A hadtáp szakmai feladatok ellátása során a rendszerszemlélet és jó szervezőkészség </w:t>
      </w:r>
      <w:r>
        <w:rPr>
          <w:rFonts w:ascii="Times New Roman" w:hAnsi="Times New Roman" w:cs="Times New Roman"/>
        </w:rPr>
        <w:lastRenderedPageBreak/>
        <w:t xml:space="preserve">jellemzi. </w:t>
      </w:r>
    </w:p>
    <w:p w:rsidR="002A4651" w:rsidRDefault="002A4651" w:rsidP="002A4651">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Autonómiája és felelőssége:</w:t>
      </w:r>
    </w:p>
    <w:p w:rsidR="002A4651" w:rsidRDefault="002A4651" w:rsidP="002A4651">
      <w:pPr>
        <w:widowControl w:val="0"/>
        <w:spacing w:before="120" w:after="120" w:line="240" w:lineRule="auto"/>
        <w:ind w:left="993" w:hanging="360"/>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Felelősséget vállal számvetéseinek pontosságáért.</w:t>
      </w:r>
    </w:p>
    <w:p w:rsidR="002A4651" w:rsidRDefault="002A4651" w:rsidP="002A4651">
      <w:pPr>
        <w:widowControl w:val="0"/>
        <w:spacing w:before="120" w:after="0" w:line="240" w:lineRule="auto"/>
        <w:ind w:left="425"/>
        <w:jc w:val="both"/>
        <w:rPr>
          <w:rFonts w:ascii="Times New Roman" w:eastAsia="Times New Roman" w:hAnsi="Times New Roman" w:cs="Times New Roman"/>
          <w:b/>
          <w:bCs/>
          <w:lang w:val="en-US"/>
        </w:rPr>
      </w:pPr>
      <w:r>
        <w:rPr>
          <w:rFonts w:ascii="Times New Roman" w:eastAsia="Times New Roman" w:hAnsi="Times New Roman" w:cs="Times New Roman"/>
          <w:b/>
          <w:bCs/>
        </w:rPr>
        <w:t>Elérendő kompetenciák (angolul) (</w:t>
      </w:r>
      <w:r>
        <w:rPr>
          <w:rFonts w:ascii="Times New Roman" w:eastAsia="Times New Roman" w:hAnsi="Times New Roman" w:cs="Times New Roman"/>
          <w:b/>
          <w:bCs/>
          <w:lang w:val="en-US"/>
        </w:rPr>
        <w:t>Competences – English):</w:t>
      </w:r>
    </w:p>
    <w:p w:rsidR="002A4651" w:rsidRDefault="002A4651" w:rsidP="002A4651">
      <w:pPr>
        <w:widowControl w:val="0"/>
        <w:spacing w:before="120" w:after="0" w:line="240" w:lineRule="auto"/>
        <w:ind w:left="425"/>
        <w:jc w:val="both"/>
        <w:rPr>
          <w:rFonts w:ascii="Times New Roman" w:eastAsia="Times New Roman" w:hAnsi="Times New Roman" w:cs="Times New Roman"/>
          <w:lang w:val="en-GB"/>
        </w:rPr>
      </w:pPr>
      <w:r>
        <w:rPr>
          <w:rFonts w:ascii="Times New Roman" w:eastAsia="Times New Roman" w:hAnsi="Times New Roman" w:cs="Times New Roman"/>
          <w:b/>
          <w:lang w:val="en-GB"/>
        </w:rPr>
        <w:t>Knowledge</w:t>
      </w:r>
      <w:r>
        <w:rPr>
          <w:rFonts w:ascii="Times New Roman" w:eastAsia="Times New Roman" w:hAnsi="Times New Roman" w:cs="Times New Roman"/>
          <w:lang w:val="en-GB"/>
        </w:rPr>
        <w:t>:</w:t>
      </w:r>
    </w:p>
    <w:p w:rsidR="002A4651" w:rsidRDefault="002A4651" w:rsidP="002A4651">
      <w:pPr>
        <w:widowControl w:val="0"/>
        <w:spacing w:before="120" w:after="120" w:line="240" w:lineRule="auto"/>
        <w:ind w:left="993" w:hanging="360"/>
        <w:contextualSpacing/>
        <w:jc w:val="both"/>
        <w:rPr>
          <w:rFonts w:ascii="Times New Roman" w:eastAsia="Times New Roman" w:hAnsi="Times New Roman" w:cs="Times New Roman"/>
          <w:lang w:val="en-GB"/>
        </w:rPr>
      </w:pPr>
      <w:r>
        <w:rPr>
          <w:rFonts w:ascii="Times New Roman" w:eastAsia="Times New Roman" w:hAnsi="Times New Roman" w:cs="Times New Roman"/>
          <w:lang w:val="en-GB"/>
        </w:rPr>
        <w:t>-</w:t>
      </w:r>
      <w:r>
        <w:rPr>
          <w:rFonts w:ascii="Times New Roman" w:eastAsia="Times New Roman" w:hAnsi="Times New Roman" w:cs="Times New Roman"/>
          <w:lang w:val="en-GB"/>
        </w:rPr>
        <w:tab/>
        <w:t xml:space="preserve">Knows the structure and application of NATO Logistic Functional Area Services (LOGFAS). </w:t>
      </w:r>
    </w:p>
    <w:p w:rsidR="002A4651" w:rsidRDefault="002A4651" w:rsidP="002A4651">
      <w:pPr>
        <w:widowControl w:val="0"/>
        <w:spacing w:before="120" w:after="0" w:line="240" w:lineRule="auto"/>
        <w:ind w:left="425"/>
        <w:jc w:val="both"/>
        <w:rPr>
          <w:rFonts w:ascii="Times New Roman" w:eastAsia="Times New Roman" w:hAnsi="Times New Roman" w:cs="Times New Roman"/>
          <w:lang w:val="en-GB"/>
        </w:rPr>
      </w:pPr>
      <w:r>
        <w:rPr>
          <w:rFonts w:ascii="Times New Roman" w:eastAsia="Times New Roman" w:hAnsi="Times New Roman" w:cs="Times New Roman"/>
          <w:b/>
          <w:lang w:val="en-GB"/>
        </w:rPr>
        <w:t>Capabilities</w:t>
      </w:r>
      <w:r>
        <w:rPr>
          <w:rFonts w:ascii="Times New Roman" w:eastAsia="Times New Roman" w:hAnsi="Times New Roman" w:cs="Times New Roman"/>
          <w:lang w:val="en-GB"/>
        </w:rPr>
        <w:t xml:space="preserve">: </w:t>
      </w:r>
    </w:p>
    <w:p w:rsidR="002A4651" w:rsidRDefault="002A4651" w:rsidP="002A4651">
      <w:pPr>
        <w:widowControl w:val="0"/>
        <w:spacing w:before="120" w:after="120" w:line="240" w:lineRule="auto"/>
        <w:ind w:left="993" w:hanging="360"/>
        <w:contextualSpacing/>
        <w:jc w:val="both"/>
        <w:rPr>
          <w:rFonts w:ascii="Times New Roman" w:eastAsia="Times New Roman" w:hAnsi="Times New Roman" w:cs="Times New Roman"/>
          <w:lang w:val="en-GB"/>
        </w:rPr>
      </w:pPr>
      <w:r>
        <w:rPr>
          <w:rFonts w:ascii="Times New Roman" w:eastAsia="Times New Roman" w:hAnsi="Times New Roman" w:cs="Times New Roman"/>
          <w:lang w:val="en-GB"/>
        </w:rPr>
        <w:t>-</w:t>
      </w:r>
      <w:r>
        <w:rPr>
          <w:rFonts w:ascii="Times New Roman" w:eastAsia="Times New Roman" w:hAnsi="Times New Roman" w:cs="Times New Roman"/>
          <w:lang w:val="en-GB"/>
        </w:rPr>
        <w:tab/>
        <w:t>To be capable of operating the NATO LOGFAS during military operations.</w:t>
      </w:r>
    </w:p>
    <w:p w:rsidR="002A4651" w:rsidRDefault="002A4651" w:rsidP="002A46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425"/>
        <w:jc w:val="both"/>
        <w:rPr>
          <w:rFonts w:ascii="Times New Roman" w:eastAsia="Times New Roman" w:hAnsi="Times New Roman" w:cs="Times New Roman"/>
          <w:lang w:val="en-GB"/>
        </w:rPr>
      </w:pPr>
      <w:r>
        <w:rPr>
          <w:rFonts w:ascii="Times New Roman" w:eastAsia="Times New Roman" w:hAnsi="Times New Roman" w:cs="Times New Roman"/>
          <w:b/>
          <w:lang w:val="en-GB"/>
        </w:rPr>
        <w:t>Attitude:</w:t>
      </w:r>
      <w:r>
        <w:rPr>
          <w:rFonts w:ascii="Times New Roman" w:eastAsia="Times New Roman" w:hAnsi="Times New Roman" w:cs="Times New Roman"/>
          <w:lang w:val="en-GB"/>
        </w:rPr>
        <w:t xml:space="preserve"> </w:t>
      </w:r>
    </w:p>
    <w:p w:rsidR="002A4651" w:rsidRDefault="002A4651" w:rsidP="002A4651">
      <w:pPr>
        <w:widowControl w:val="0"/>
        <w:spacing w:before="120" w:after="120" w:line="240" w:lineRule="auto"/>
        <w:ind w:left="993" w:hanging="360"/>
        <w:contextualSpacing/>
        <w:jc w:val="both"/>
        <w:rPr>
          <w:rFonts w:ascii="Times New Roman" w:eastAsia="Times New Roman" w:hAnsi="Times New Roman" w:cs="Times New Roman"/>
          <w:lang w:val="en-GB"/>
        </w:rPr>
      </w:pPr>
      <w:r>
        <w:rPr>
          <w:rFonts w:ascii="Times New Roman" w:eastAsia="Times New Roman" w:hAnsi="Times New Roman" w:cs="Times New Roman"/>
          <w:lang w:val="en-GB"/>
        </w:rPr>
        <w:t>-</w:t>
      </w:r>
      <w:r>
        <w:rPr>
          <w:rFonts w:ascii="Times New Roman" w:eastAsia="Times New Roman" w:hAnsi="Times New Roman" w:cs="Times New Roman"/>
          <w:lang w:val="en-GB"/>
        </w:rPr>
        <w:tab/>
        <w:t xml:space="preserve">His/Her professional work is characterized by a systemic approach and good organizational skills. </w:t>
      </w:r>
    </w:p>
    <w:p w:rsidR="002A4651" w:rsidRDefault="002A4651" w:rsidP="002A4651">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lang w:val="en-GB"/>
        </w:rPr>
        <w:t xml:space="preserve">Autonomy and responsibility: </w:t>
      </w:r>
    </w:p>
    <w:p w:rsidR="002A4651" w:rsidRDefault="002A4651" w:rsidP="002A4651">
      <w:pPr>
        <w:widowControl w:val="0"/>
        <w:spacing w:before="120" w:after="120" w:line="240" w:lineRule="auto"/>
        <w:ind w:left="993" w:hanging="360"/>
        <w:contextualSpacing/>
        <w:jc w:val="both"/>
        <w:rPr>
          <w:rFonts w:ascii="Times New Roman" w:eastAsia="Times New Roman" w:hAnsi="Times New Roman" w:cs="Times New Roman"/>
          <w:bCs/>
          <w:lang w:val="en-US"/>
        </w:rPr>
      </w:pPr>
      <w:r>
        <w:rPr>
          <w:rFonts w:ascii="Times New Roman" w:eastAsia="Times New Roman" w:hAnsi="Times New Roman" w:cs="Times New Roman"/>
          <w:bCs/>
          <w:lang w:val="en-US"/>
        </w:rPr>
        <w:t>-</w:t>
      </w:r>
      <w:r>
        <w:rPr>
          <w:rFonts w:ascii="Times New Roman" w:eastAsia="Times New Roman" w:hAnsi="Times New Roman" w:cs="Times New Roman"/>
          <w:bCs/>
          <w:lang w:val="en-US"/>
        </w:rPr>
        <w:tab/>
        <w:t xml:space="preserve">He/She is taking responsibility for his/her calculations.  </w:t>
      </w:r>
    </w:p>
    <w:p w:rsidR="002A4651" w:rsidRDefault="002A4651" w:rsidP="00980876">
      <w:pPr>
        <w:widowControl w:val="0"/>
        <w:numPr>
          <w:ilvl w:val="0"/>
          <w:numId w:val="242"/>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Előtanulmányi követelmények: -</w:t>
      </w:r>
      <w:r>
        <w:rPr>
          <w:rFonts w:ascii="Times New Roman" w:eastAsia="Times New Roman" w:hAnsi="Times New Roman" w:cs="Times New Roman"/>
          <w:bCs/>
        </w:rPr>
        <w:t xml:space="preserve"> </w:t>
      </w:r>
    </w:p>
    <w:p w:rsidR="002A4651" w:rsidRDefault="002A4651" w:rsidP="00980876">
      <w:pPr>
        <w:widowControl w:val="0"/>
        <w:numPr>
          <w:ilvl w:val="0"/>
          <w:numId w:val="242"/>
        </w:numPr>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A tantárgy tananyagának leírása, tematika. Description of the subject, curriculum (magyarul, angolul - English):</w:t>
      </w:r>
    </w:p>
    <w:p w:rsidR="002A4651" w:rsidRDefault="002A4651" w:rsidP="00980876">
      <w:pPr>
        <w:widowControl w:val="0"/>
        <w:numPr>
          <w:ilvl w:val="1"/>
          <w:numId w:val="242"/>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 NATO LOGFAS rendszer rendeltetése és felépítése. </w:t>
      </w:r>
      <w:r>
        <w:rPr>
          <w:rFonts w:ascii="Times New Roman" w:eastAsia="Times New Roman" w:hAnsi="Times New Roman" w:cs="Times New Roman"/>
          <w:i/>
          <w:kern w:val="2"/>
        </w:rPr>
        <w:t>(Function and Structure of the NATO LOGFAS System.)</w:t>
      </w:r>
    </w:p>
    <w:p w:rsidR="002A4651" w:rsidRDefault="002A4651" w:rsidP="00980876">
      <w:pPr>
        <w:widowControl w:val="0"/>
        <w:numPr>
          <w:ilvl w:val="1"/>
          <w:numId w:val="242"/>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Az LDM modul rendeltetése, felépítése és használata. </w:t>
      </w:r>
      <w:r>
        <w:rPr>
          <w:rFonts w:ascii="Times New Roman" w:eastAsia="Times New Roman" w:hAnsi="Times New Roman" w:cs="Times New Roman"/>
          <w:i/>
          <w:kern w:val="2"/>
        </w:rPr>
        <w:t>(Function, Structure and Application of the LDM Module.)</w:t>
      </w:r>
    </w:p>
    <w:p w:rsidR="002A4651" w:rsidRDefault="002A4651" w:rsidP="00980876">
      <w:pPr>
        <w:widowControl w:val="0"/>
        <w:numPr>
          <w:ilvl w:val="1"/>
          <w:numId w:val="242"/>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 Geo Manager modul rendeltetése, felépítése és használata. </w:t>
      </w:r>
      <w:r>
        <w:rPr>
          <w:rFonts w:ascii="Times New Roman" w:eastAsia="Times New Roman" w:hAnsi="Times New Roman" w:cs="Times New Roman"/>
          <w:i/>
          <w:kern w:val="2"/>
        </w:rPr>
        <w:t>(Function, Structure and Application of the Geo Manager Module.)</w:t>
      </w:r>
    </w:p>
    <w:p w:rsidR="002A4651" w:rsidRDefault="002A4651" w:rsidP="00980876">
      <w:pPr>
        <w:widowControl w:val="0"/>
        <w:numPr>
          <w:ilvl w:val="1"/>
          <w:numId w:val="242"/>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Az ADAMS modul rendeltetése, felépítése és használata. </w:t>
      </w:r>
      <w:r>
        <w:rPr>
          <w:rFonts w:ascii="Times New Roman" w:eastAsia="Times New Roman" w:hAnsi="Times New Roman" w:cs="Times New Roman"/>
          <w:i/>
          <w:kern w:val="2"/>
        </w:rPr>
        <w:t>(Function, Structure and Application of the ADAMS Module.)</w:t>
      </w:r>
    </w:p>
    <w:p w:rsidR="002A4651" w:rsidRDefault="002A4651" w:rsidP="00980876">
      <w:pPr>
        <w:widowControl w:val="0"/>
        <w:numPr>
          <w:ilvl w:val="0"/>
          <w:numId w:val="242"/>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 tantárgy meghirdetésének gyakorisága/a tantervben történő félévi elhelyezkedése: </w:t>
      </w:r>
      <w:r>
        <w:rPr>
          <w:rFonts w:ascii="Times New Roman" w:eastAsia="Times New Roman" w:hAnsi="Times New Roman" w:cs="Times New Roman"/>
          <w:bCs/>
        </w:rPr>
        <w:t>Minden tavaszi szemeszterben / 8. félév</w:t>
      </w:r>
    </w:p>
    <w:p w:rsidR="002A4651" w:rsidRDefault="002A4651" w:rsidP="00980876">
      <w:pPr>
        <w:widowControl w:val="0"/>
        <w:numPr>
          <w:ilvl w:val="0"/>
          <w:numId w:val="242"/>
        </w:numPr>
        <w:tabs>
          <w:tab w:val="num" w:pos="360"/>
        </w:tabs>
        <w:spacing w:before="120" w:after="120" w:line="240" w:lineRule="auto"/>
        <w:ind w:left="426" w:hanging="142"/>
        <w:rPr>
          <w:rFonts w:ascii="Times New Roman" w:eastAsia="Times New Roman" w:hAnsi="Times New Roman" w:cs="Times New Roman"/>
          <w:b/>
          <w:bCs/>
        </w:rPr>
      </w:pPr>
      <w:r>
        <w:rPr>
          <w:rFonts w:ascii="Times New Roman" w:eastAsia="Times New Roman" w:hAnsi="Times New Roman" w:cs="Times New Roman"/>
          <w:b/>
          <w:bCs/>
        </w:rPr>
        <w:t>A tanórákon való részvétel követelményei, az elfogadható hiányzások mértéke, a távolmaradás pótlásának lehetősége:</w:t>
      </w:r>
      <w:r>
        <w:rPr>
          <w:rFonts w:ascii="Times New Roman" w:eastAsia="Times New Roman" w:hAnsi="Times New Roman" w:cs="Times New Roman"/>
          <w:bCs/>
        </w:rPr>
        <w:t xml:space="preserve"> Részvétel az órák legalább 50%-án, a kimaradt gyakorlati feladatokat tanórán kívül kell elkészíteni. A kiesett tananyag jobb megértése érdekében az oktatók konzultációs lehetőséget biztosítanak.</w:t>
      </w:r>
    </w:p>
    <w:p w:rsidR="002A4651" w:rsidRDefault="002A4651" w:rsidP="00980876">
      <w:pPr>
        <w:widowControl w:val="0"/>
        <w:numPr>
          <w:ilvl w:val="0"/>
          <w:numId w:val="242"/>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rPr>
        <w:t xml:space="preserve">Félévközi feladatok, ismeretek ellenőrzésének rendje: </w:t>
      </w:r>
      <w:r>
        <w:rPr>
          <w:rFonts w:ascii="Times New Roman" w:eastAsia="Times New Roman" w:hAnsi="Times New Roman" w:cs="Times New Roman"/>
          <w:bCs/>
        </w:rPr>
        <w:t>A félév gyakorlati feladatait lezáró zárthelyi dolgozat legalább elégséges szintű megírása. Az elégséges értékeléshez 50% + 1 pontot kell teljesíteni. A dolgozatban írásbeli gyakorlati feladatok szerepelnek. A zárthelyi dolgozat anyagát a foglalkozások során elsajátított gyakorlati feladatoknak megfelelően kell összeállítani.</w:t>
      </w:r>
    </w:p>
    <w:p w:rsidR="002A4651" w:rsidRDefault="002A4651" w:rsidP="00980876">
      <w:pPr>
        <w:widowControl w:val="0"/>
        <w:numPr>
          <w:ilvl w:val="0"/>
          <w:numId w:val="242"/>
        </w:numPr>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Az értékelés, az aláírás és a kreditek megszerzésének pontos feltételei: </w:t>
      </w:r>
    </w:p>
    <w:p w:rsidR="002A4651" w:rsidRDefault="002A4651" w:rsidP="00980876">
      <w:pPr>
        <w:widowControl w:val="0"/>
        <w:numPr>
          <w:ilvl w:val="1"/>
          <w:numId w:val="242"/>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Az aláírás megszerzésének feltételei:</w:t>
      </w:r>
    </w:p>
    <w:p w:rsidR="002A4651" w:rsidRDefault="002A4651" w:rsidP="002A4651">
      <w:pPr>
        <w:widowControl w:val="0"/>
        <w:tabs>
          <w:tab w:val="left" w:pos="993"/>
        </w:tabs>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Az aláírás feltétele a tanórákon történő – 14. pontban meghatározott – részvétel, valamint a zárthelyi dolgozat sikeres megírása.</w:t>
      </w:r>
    </w:p>
    <w:p w:rsidR="002A4651" w:rsidRDefault="002A4651" w:rsidP="00980876">
      <w:pPr>
        <w:widowControl w:val="0"/>
        <w:numPr>
          <w:ilvl w:val="1"/>
          <w:numId w:val="242"/>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Az értékelés:</w:t>
      </w:r>
    </w:p>
    <w:p w:rsidR="002A4651" w:rsidRDefault="002A4651" w:rsidP="002A4651">
      <w:pPr>
        <w:widowControl w:val="0"/>
        <w:tabs>
          <w:tab w:val="left" w:pos="993"/>
        </w:tabs>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 xml:space="preserve">Gyakorlati jegy. Az ötfokozatú gyakorlati jegy a zárthelyi dolgozat eredménye, valamint a félév során nyújtott egyéni gyakorlati teljesítmény alapján kerül kialakításra. </w:t>
      </w:r>
    </w:p>
    <w:p w:rsidR="002A4651" w:rsidRDefault="002A4651" w:rsidP="00980876">
      <w:pPr>
        <w:widowControl w:val="0"/>
        <w:numPr>
          <w:ilvl w:val="1"/>
          <w:numId w:val="242"/>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 kreditek megszerzésének feltételei:</w:t>
      </w:r>
      <w:r>
        <w:rPr>
          <w:rFonts w:ascii="Times New Roman" w:eastAsia="Times New Roman" w:hAnsi="Times New Roman" w:cs="Times New Roman"/>
        </w:rPr>
        <w:t xml:space="preserve"> </w:t>
      </w:r>
    </w:p>
    <w:p w:rsidR="002A4651" w:rsidRDefault="002A4651" w:rsidP="002A4651">
      <w:pPr>
        <w:widowControl w:val="0"/>
        <w:tabs>
          <w:tab w:val="left" w:pos="993"/>
        </w:tabs>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A kreditek megszerzésének feltétele az aláírás megszerzése és legalább elégséges gyakorlati jegy.</w:t>
      </w:r>
    </w:p>
    <w:p w:rsidR="005A596B" w:rsidRDefault="005A596B">
      <w:pPr>
        <w:spacing w:after="200" w:line="276" w:lineRule="auto"/>
        <w:rPr>
          <w:rFonts w:ascii="Times New Roman" w:eastAsia="Times New Roman" w:hAnsi="Times New Roman" w:cs="Times New Roman"/>
          <w:b/>
          <w:bCs/>
        </w:rPr>
      </w:pPr>
      <w:r>
        <w:rPr>
          <w:rFonts w:ascii="Times New Roman" w:eastAsia="Times New Roman" w:hAnsi="Times New Roman" w:cs="Times New Roman"/>
          <w:b/>
          <w:bCs/>
        </w:rPr>
        <w:br w:type="page"/>
      </w:r>
    </w:p>
    <w:p w:rsidR="002A4651" w:rsidRDefault="002A4651" w:rsidP="00980876">
      <w:pPr>
        <w:widowControl w:val="0"/>
        <w:numPr>
          <w:ilvl w:val="0"/>
          <w:numId w:val="242"/>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lastRenderedPageBreak/>
        <w:t>Irodalomjegyzék:</w:t>
      </w:r>
    </w:p>
    <w:p w:rsidR="002A4651" w:rsidRDefault="002A4651" w:rsidP="00980876">
      <w:pPr>
        <w:widowControl w:val="0"/>
        <w:numPr>
          <w:ilvl w:val="1"/>
          <w:numId w:val="242"/>
        </w:numPr>
        <w:tabs>
          <w:tab w:val="left" w:pos="567"/>
          <w:tab w:val="left" w:pos="851"/>
          <w:tab w:val="num" w:pos="2069"/>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Kötelező irodalom:</w:t>
      </w:r>
    </w:p>
    <w:p w:rsidR="002A4651" w:rsidRPr="001E1853" w:rsidRDefault="002A4651" w:rsidP="00980876">
      <w:pPr>
        <w:pStyle w:val="Listaszerbekezds"/>
        <w:numPr>
          <w:ilvl w:val="0"/>
          <w:numId w:val="243"/>
        </w:numPr>
        <w:spacing w:line="256" w:lineRule="auto"/>
        <w:rPr>
          <w:rFonts w:ascii="Times New Roman" w:eastAsia="Times New Roman" w:hAnsi="Times New Roman" w:cs="Times New Roman"/>
          <w:bCs/>
          <w:szCs w:val="24"/>
          <w:lang w:eastAsia="hu-HU"/>
        </w:rPr>
      </w:pPr>
      <w:r w:rsidRPr="001E1853">
        <w:rPr>
          <w:rFonts w:ascii="Times New Roman" w:eastAsia="Times New Roman" w:hAnsi="Times New Roman" w:cs="Times New Roman"/>
          <w:bCs/>
          <w:szCs w:val="24"/>
          <w:lang w:eastAsia="hu-HU"/>
        </w:rPr>
        <w:t xml:space="preserve">NATO Logistics Functional Area Services (LOGFAS) ver. 6.1 Tutorial </w:t>
      </w:r>
    </w:p>
    <w:p w:rsidR="002A4651" w:rsidRDefault="002A4651" w:rsidP="00980876">
      <w:pPr>
        <w:widowControl w:val="0"/>
        <w:numPr>
          <w:ilvl w:val="1"/>
          <w:numId w:val="242"/>
        </w:numPr>
        <w:tabs>
          <w:tab w:val="num" w:pos="567"/>
          <w:tab w:val="num" w:pos="2069"/>
        </w:tabs>
        <w:spacing w:before="120" w:after="120" w:line="240" w:lineRule="auto"/>
        <w:ind w:left="993" w:hanging="709"/>
        <w:jc w:val="both"/>
        <w:rPr>
          <w:rFonts w:ascii="Times New Roman" w:eastAsia="Times New Roman" w:hAnsi="Times New Roman" w:cs="Times New Roman"/>
          <w:b/>
          <w:bCs/>
        </w:rPr>
      </w:pPr>
      <w:r>
        <w:rPr>
          <w:rFonts w:ascii="Times New Roman" w:eastAsia="Times New Roman" w:hAnsi="Times New Roman" w:cs="Times New Roman"/>
          <w:b/>
          <w:bCs/>
        </w:rPr>
        <w:t>Ajánlott irodalom:</w:t>
      </w:r>
    </w:p>
    <w:p w:rsidR="002A4651" w:rsidRDefault="002A4651" w:rsidP="00980876">
      <w:pPr>
        <w:pStyle w:val="Listaszerbekezds"/>
        <w:widowControl w:val="0"/>
        <w:numPr>
          <w:ilvl w:val="0"/>
          <w:numId w:val="244"/>
        </w:numPr>
        <w:spacing w:before="120" w:after="120" w:line="240" w:lineRule="auto"/>
        <w:jc w:val="both"/>
        <w:rPr>
          <w:rFonts w:ascii="Times New Roman" w:eastAsia="Times New Roman" w:hAnsi="Times New Roman" w:cs="Times New Roman"/>
          <w:bCs/>
        </w:rPr>
      </w:pPr>
      <w:r>
        <w:rPr>
          <w:rFonts w:ascii="Times New Roman" w:hAnsi="Times New Roman" w:cs="Times New Roman"/>
          <w:bCs/>
        </w:rPr>
        <w:t>EVE STANAG 2115 Ed. 6 (NATO Defence Policy and Planning International Staff, 2005)</w:t>
      </w:r>
    </w:p>
    <w:p w:rsidR="002A4651" w:rsidRDefault="002A4651" w:rsidP="002A4651">
      <w:pPr>
        <w:pStyle w:val="Listaszerbekezds"/>
        <w:widowControl w:val="0"/>
        <w:spacing w:before="120" w:after="120" w:line="240" w:lineRule="auto"/>
        <w:jc w:val="both"/>
        <w:rPr>
          <w:rFonts w:ascii="Times New Roman" w:eastAsia="Times New Roman" w:hAnsi="Times New Roman" w:cs="Times New Roman"/>
          <w:bCs/>
        </w:rPr>
      </w:pPr>
    </w:p>
    <w:p w:rsidR="002A4651" w:rsidRDefault="002A4651" w:rsidP="002A4651">
      <w:pPr>
        <w:widowControl w:val="0"/>
        <w:spacing w:before="120" w:after="120" w:line="240" w:lineRule="auto"/>
        <w:jc w:val="both"/>
        <w:rPr>
          <w:rFonts w:ascii="Times New Roman" w:eastAsia="Times New Roman" w:hAnsi="Times New Roman" w:cs="Times New Roman"/>
          <w:bCs/>
        </w:rPr>
      </w:pPr>
      <w:r>
        <w:rPr>
          <w:rFonts w:ascii="Times New Roman" w:eastAsia="Times New Roman" w:hAnsi="Times New Roman" w:cs="Times New Roman"/>
          <w:bCs/>
        </w:rPr>
        <w:t>Budapest, 2020. február 25.</w:t>
      </w:r>
    </w:p>
    <w:p w:rsidR="002A4651" w:rsidRDefault="002A4651" w:rsidP="002A4651">
      <w:pPr>
        <w:widowControl w:val="0"/>
        <w:spacing w:after="0" w:line="240" w:lineRule="auto"/>
        <w:rPr>
          <w:rFonts w:ascii="Times New Roman" w:hAnsi="Times New Roman" w:cs="Times New Roman"/>
          <w:b/>
          <w:bCs/>
        </w:rPr>
      </w:pPr>
      <w:r>
        <w:rPr>
          <w:rFonts w:ascii="Times New Roman" w:hAnsi="Times New Roman" w:cs="Times New Roman"/>
          <w:bCs/>
        </w:rPr>
        <w:t xml:space="preserve">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
          <w:bCs/>
        </w:rPr>
        <w:t>Dr. Venekei József Péter (PhD)</w:t>
      </w:r>
    </w:p>
    <w:p w:rsidR="002A4651" w:rsidRDefault="002A4651" w:rsidP="002A4651">
      <w:pPr>
        <w:widowControl w:val="0"/>
        <w:spacing w:after="0" w:line="240" w:lineRule="auto"/>
        <w:ind w:left="5664" w:firstLine="708"/>
        <w:rPr>
          <w:rFonts w:ascii="Times New Roman" w:hAnsi="Times New Roman" w:cs="Times New Roman"/>
          <w:bCs/>
        </w:rPr>
      </w:pPr>
      <w:r>
        <w:rPr>
          <w:rFonts w:ascii="Times New Roman" w:hAnsi="Times New Roman" w:cs="Times New Roman"/>
          <w:bCs/>
        </w:rPr>
        <w:t>egyetemi docens s.k.</w:t>
      </w:r>
    </w:p>
    <w:p w:rsidR="00FA100C" w:rsidRDefault="00FA100C">
      <w:pPr>
        <w:spacing w:after="200" w:line="276" w:lineRule="auto"/>
        <w:rPr>
          <w:rFonts w:ascii="Times New Roman" w:hAnsi="Times New Roman" w:cs="Times New Roman"/>
          <w:sz w:val="24"/>
        </w:rPr>
      </w:pPr>
    </w:p>
    <w:p w:rsidR="00253511" w:rsidRDefault="00253511">
      <w:pPr>
        <w:spacing w:after="200" w:line="276" w:lineRule="auto"/>
        <w:rPr>
          <w:rFonts w:ascii="Times New Roman" w:hAnsi="Times New Roman" w:cs="Times New Roman"/>
          <w:sz w:val="24"/>
        </w:rPr>
      </w:pPr>
      <w:r>
        <w:rPr>
          <w:rFonts w:ascii="Times New Roman" w:hAnsi="Times New Roman" w:cs="Times New Roman"/>
          <w:sz w:val="24"/>
        </w:rPr>
        <w:br w:type="page"/>
      </w:r>
    </w:p>
    <w:tbl>
      <w:tblPr>
        <w:tblW w:w="9072" w:type="dxa"/>
        <w:tblInd w:w="113" w:type="dxa"/>
        <w:tblLook w:val="01E0" w:firstRow="1" w:lastRow="1" w:firstColumn="1" w:lastColumn="1" w:noHBand="0" w:noVBand="0"/>
      </w:tblPr>
      <w:tblGrid>
        <w:gridCol w:w="4855"/>
        <w:gridCol w:w="1620"/>
        <w:gridCol w:w="2597"/>
      </w:tblGrid>
      <w:tr w:rsidR="00253511" w:rsidTr="00253511">
        <w:tc>
          <w:tcPr>
            <w:tcW w:w="4855" w:type="dxa"/>
            <w:tcBorders>
              <w:top w:val="nil"/>
              <w:left w:val="nil"/>
              <w:bottom w:val="single" w:sz="4" w:space="0" w:color="auto"/>
              <w:right w:val="nil"/>
            </w:tcBorders>
            <w:hideMark/>
          </w:tcPr>
          <w:p w:rsidR="00253511" w:rsidRDefault="00253511">
            <w:pPr>
              <w:spacing w:after="0" w:line="240" w:lineRule="auto"/>
              <w:jc w:val="center"/>
              <w:rPr>
                <w:rFonts w:ascii="Times New Roman" w:eastAsia="Times New Roman" w:hAnsi="Times New Roman" w:cs="Times New Roman"/>
                <w:b/>
                <w:smallCaps/>
                <w:lang w:eastAsia="hu-HU"/>
              </w:rPr>
            </w:pPr>
            <w:r>
              <w:rPr>
                <w:rFonts w:ascii="Times New Roman" w:eastAsia="Times New Roman" w:hAnsi="Times New Roman" w:cs="Times New Roman"/>
                <w:b/>
                <w:smallCaps/>
                <w:lang w:eastAsia="hu-HU"/>
              </w:rPr>
              <w:lastRenderedPageBreak/>
              <w:t>Nemzeti Közszolgálati Egyetem</w:t>
            </w:r>
          </w:p>
        </w:tc>
        <w:tc>
          <w:tcPr>
            <w:tcW w:w="1620" w:type="dxa"/>
          </w:tcPr>
          <w:p w:rsidR="00253511" w:rsidRDefault="00253511">
            <w:pPr>
              <w:spacing w:after="0" w:line="240" w:lineRule="auto"/>
              <w:jc w:val="both"/>
              <w:rPr>
                <w:rFonts w:ascii="Times New Roman" w:eastAsia="Times New Roman" w:hAnsi="Times New Roman" w:cs="Times New Roman"/>
                <w:lang w:eastAsia="hu-HU"/>
              </w:rPr>
            </w:pPr>
          </w:p>
        </w:tc>
        <w:tc>
          <w:tcPr>
            <w:tcW w:w="2597" w:type="dxa"/>
          </w:tcPr>
          <w:p w:rsidR="00253511" w:rsidRDefault="00253511">
            <w:pPr>
              <w:spacing w:after="0" w:line="240" w:lineRule="auto"/>
              <w:jc w:val="right"/>
              <w:rPr>
                <w:rFonts w:ascii="Times New Roman" w:eastAsia="Times New Roman" w:hAnsi="Times New Roman" w:cs="Times New Roman"/>
                <w:lang w:eastAsia="hu-HU"/>
              </w:rPr>
            </w:pPr>
          </w:p>
        </w:tc>
      </w:tr>
      <w:tr w:rsidR="00253511" w:rsidTr="00253511">
        <w:tc>
          <w:tcPr>
            <w:tcW w:w="4855" w:type="dxa"/>
            <w:tcBorders>
              <w:top w:val="single" w:sz="4" w:space="0" w:color="auto"/>
              <w:left w:val="nil"/>
              <w:bottom w:val="nil"/>
              <w:right w:val="nil"/>
            </w:tcBorders>
            <w:hideMark/>
          </w:tcPr>
          <w:p w:rsidR="00253511" w:rsidRDefault="00253511">
            <w:pPr>
              <w:spacing w:after="0" w:line="240" w:lineRule="auto"/>
              <w:jc w:val="center"/>
              <w:rPr>
                <w:rFonts w:ascii="Times New Roman" w:eastAsia="Times New Roman" w:hAnsi="Times New Roman" w:cs="Times New Roman"/>
                <w:b/>
                <w:lang w:eastAsia="hu-HU"/>
              </w:rPr>
            </w:pPr>
            <w:r>
              <w:rPr>
                <w:rFonts w:ascii="Times New Roman" w:eastAsia="Times New Roman" w:hAnsi="Times New Roman" w:cs="Times New Roman"/>
                <w:b/>
                <w:lang w:eastAsia="hu-HU"/>
              </w:rPr>
              <w:t>Hadtudományi és Honvédtisztképző Kar</w:t>
            </w:r>
          </w:p>
        </w:tc>
        <w:tc>
          <w:tcPr>
            <w:tcW w:w="1620" w:type="dxa"/>
          </w:tcPr>
          <w:p w:rsidR="00253511" w:rsidRDefault="00253511">
            <w:pPr>
              <w:spacing w:after="0" w:line="240" w:lineRule="auto"/>
              <w:jc w:val="both"/>
              <w:rPr>
                <w:rFonts w:ascii="Times New Roman" w:eastAsia="Times New Roman" w:hAnsi="Times New Roman" w:cs="Times New Roman"/>
                <w:lang w:eastAsia="hu-HU"/>
              </w:rPr>
            </w:pPr>
          </w:p>
        </w:tc>
        <w:tc>
          <w:tcPr>
            <w:tcW w:w="2597" w:type="dxa"/>
          </w:tcPr>
          <w:p w:rsidR="00253511" w:rsidRDefault="00253511">
            <w:pPr>
              <w:spacing w:after="0" w:line="240" w:lineRule="auto"/>
              <w:jc w:val="both"/>
              <w:rPr>
                <w:rFonts w:ascii="Times New Roman" w:eastAsia="Times New Roman" w:hAnsi="Times New Roman" w:cs="Times New Roman"/>
                <w:lang w:eastAsia="hu-HU"/>
              </w:rPr>
            </w:pPr>
          </w:p>
        </w:tc>
      </w:tr>
    </w:tbl>
    <w:p w:rsidR="00253511" w:rsidRDefault="00253511" w:rsidP="00253511">
      <w:pPr>
        <w:widowControl w:val="0"/>
        <w:spacing w:before="120" w:after="120" w:line="240" w:lineRule="auto"/>
        <w:ind w:left="426" w:hanging="142"/>
        <w:jc w:val="center"/>
        <w:rPr>
          <w:rFonts w:ascii="Times New Roman" w:eastAsia="Times New Roman" w:hAnsi="Times New Roman" w:cs="Times New Roman"/>
          <w:b/>
          <w:bCs/>
        </w:rPr>
      </w:pPr>
    </w:p>
    <w:p w:rsidR="00253511" w:rsidRDefault="00253511" w:rsidP="00253511">
      <w:pPr>
        <w:widowControl w:val="0"/>
        <w:spacing w:before="120" w:after="120" w:line="240" w:lineRule="auto"/>
        <w:ind w:left="426" w:hanging="142"/>
        <w:jc w:val="center"/>
        <w:rPr>
          <w:rFonts w:ascii="Times New Roman" w:eastAsia="Times New Roman" w:hAnsi="Times New Roman" w:cs="Times New Roman"/>
          <w:b/>
          <w:bCs/>
        </w:rPr>
      </w:pPr>
      <w:r>
        <w:rPr>
          <w:rFonts w:ascii="Times New Roman" w:eastAsia="Times New Roman" w:hAnsi="Times New Roman" w:cs="Times New Roman"/>
          <w:b/>
          <w:bCs/>
        </w:rPr>
        <w:t>TANTÁRGYI PROGRAM</w:t>
      </w:r>
    </w:p>
    <w:p w:rsidR="00253511" w:rsidRDefault="00253511" w:rsidP="00980876">
      <w:pPr>
        <w:widowControl w:val="0"/>
        <w:numPr>
          <w:ilvl w:val="0"/>
          <w:numId w:val="247"/>
        </w:numPr>
        <w:tabs>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 tantárgy kódja: </w:t>
      </w:r>
      <w:r w:rsidR="006402BC" w:rsidRPr="006402BC">
        <w:rPr>
          <w:rFonts w:ascii="Times New Roman" w:hAnsi="Times New Roman" w:cs="Times New Roman"/>
          <w:bCs/>
        </w:rPr>
        <w:t>HKHPKA117</w:t>
      </w:r>
    </w:p>
    <w:p w:rsidR="00253511" w:rsidRDefault="00253511" w:rsidP="00980876">
      <w:pPr>
        <w:widowControl w:val="0"/>
        <w:numPr>
          <w:ilvl w:val="0"/>
          <w:numId w:val="247"/>
        </w:numPr>
        <w:tabs>
          <w:tab w:val="num" w:pos="567"/>
        </w:tabs>
        <w:spacing w:before="120" w:after="120" w:line="240" w:lineRule="auto"/>
        <w:ind w:left="426" w:hanging="142"/>
        <w:jc w:val="both"/>
        <w:rPr>
          <w:rFonts w:ascii="Times New Roman" w:eastAsia="Times New Roman" w:hAnsi="Times New Roman" w:cs="Times New Roman"/>
          <w:b/>
          <w:bCs/>
          <w:lang w:val="en-GB"/>
        </w:rPr>
      </w:pPr>
      <w:r>
        <w:rPr>
          <w:rFonts w:ascii="Times New Roman" w:eastAsia="Times New Roman" w:hAnsi="Times New Roman" w:cs="Times New Roman"/>
          <w:b/>
          <w:bCs/>
        </w:rPr>
        <w:t>A tantárgy megnevezése (magyarul):</w:t>
      </w:r>
      <w:r>
        <w:rPr>
          <w:rFonts w:ascii="Times New Roman" w:eastAsia="Times New Roman" w:hAnsi="Times New Roman" w:cs="Times New Roman"/>
          <w:bCs/>
        </w:rPr>
        <w:t xml:space="preserve"> </w:t>
      </w:r>
      <w:r>
        <w:rPr>
          <w:rFonts w:ascii="Times New Roman" w:hAnsi="Times New Roman" w:cs="Times New Roman"/>
          <w:bCs/>
        </w:rPr>
        <w:t>Beszerzési ismeretek</w:t>
      </w:r>
    </w:p>
    <w:p w:rsidR="00253511" w:rsidRDefault="00253511" w:rsidP="00980876">
      <w:pPr>
        <w:widowControl w:val="0"/>
        <w:numPr>
          <w:ilvl w:val="0"/>
          <w:numId w:val="247"/>
        </w:numPr>
        <w:tabs>
          <w:tab w:val="num" w:pos="567"/>
        </w:tabs>
        <w:spacing w:before="120" w:after="120" w:line="240" w:lineRule="auto"/>
        <w:ind w:left="426" w:hanging="142"/>
        <w:jc w:val="both"/>
        <w:rPr>
          <w:rFonts w:ascii="Times New Roman" w:eastAsia="Times New Roman" w:hAnsi="Times New Roman" w:cs="Times New Roman"/>
          <w:b/>
          <w:bCs/>
          <w:lang w:val="en-GB"/>
        </w:rPr>
      </w:pPr>
      <w:r>
        <w:rPr>
          <w:rFonts w:ascii="Times New Roman" w:eastAsia="Times New Roman" w:hAnsi="Times New Roman" w:cs="Times New Roman"/>
          <w:b/>
          <w:bCs/>
        </w:rPr>
        <w:t xml:space="preserve">A tantárgy megnevezése (angolul): </w:t>
      </w:r>
      <w:r>
        <w:rPr>
          <w:rFonts w:ascii="Times New Roman" w:hAnsi="Times New Roman" w:cs="Times New Roman"/>
          <w:bCs/>
          <w:lang w:val="en-GB"/>
        </w:rPr>
        <w:t>Knowledge of procurement</w:t>
      </w:r>
    </w:p>
    <w:p w:rsidR="00253511" w:rsidRDefault="00253511" w:rsidP="00980876">
      <w:pPr>
        <w:widowControl w:val="0"/>
        <w:numPr>
          <w:ilvl w:val="0"/>
          <w:numId w:val="247"/>
        </w:numPr>
        <w:tabs>
          <w:tab w:val="num" w:pos="567"/>
        </w:tabs>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Kreditérték és képzési karakter: </w:t>
      </w:r>
    </w:p>
    <w:p w:rsidR="00253511" w:rsidRDefault="00253511" w:rsidP="00980876">
      <w:pPr>
        <w:widowControl w:val="0"/>
        <w:numPr>
          <w:ilvl w:val="1"/>
          <w:numId w:val="247"/>
        </w:numPr>
        <w:tabs>
          <w:tab w:val="clear" w:pos="3977"/>
          <w:tab w:val="num" w:pos="716"/>
        </w:tabs>
        <w:spacing w:before="120" w:after="120" w:line="240" w:lineRule="auto"/>
        <w:ind w:left="993" w:hanging="426"/>
        <w:contextualSpacing/>
        <w:jc w:val="both"/>
        <w:rPr>
          <w:rFonts w:ascii="Times New Roman" w:eastAsia="Times New Roman" w:hAnsi="Times New Roman" w:cs="Times New Roman"/>
          <w:b/>
          <w:bCs/>
        </w:rPr>
      </w:pPr>
      <w:r>
        <w:rPr>
          <w:rFonts w:ascii="Times New Roman" w:eastAsia="Times New Roman" w:hAnsi="Times New Roman" w:cs="Times New Roman"/>
          <w:bCs/>
        </w:rPr>
        <w:t>2 kredit</w:t>
      </w:r>
    </w:p>
    <w:p w:rsidR="00253511" w:rsidRDefault="00253511" w:rsidP="00980876">
      <w:pPr>
        <w:widowControl w:val="0"/>
        <w:numPr>
          <w:ilvl w:val="1"/>
          <w:numId w:val="247"/>
        </w:numPr>
        <w:tabs>
          <w:tab w:val="clear" w:pos="3977"/>
          <w:tab w:val="num" w:pos="716"/>
        </w:tabs>
        <w:spacing w:before="120" w:after="120" w:line="240" w:lineRule="auto"/>
        <w:ind w:left="993" w:hanging="426"/>
        <w:contextualSpacing/>
        <w:jc w:val="both"/>
        <w:rPr>
          <w:rFonts w:ascii="Times New Roman" w:eastAsia="Times New Roman" w:hAnsi="Times New Roman" w:cs="Times New Roman"/>
          <w:b/>
          <w:bCs/>
        </w:rPr>
      </w:pPr>
      <w:r>
        <w:rPr>
          <w:rFonts w:ascii="Times New Roman" w:eastAsia="Times New Roman" w:hAnsi="Times New Roman" w:cs="Times New Roman"/>
          <w:bCs/>
        </w:rPr>
        <w:t>a tantárgy elméleti vagy gyakorlati jellegének mértéke: 20% gyakorlat, 80% elmélet</w:t>
      </w:r>
      <w:r>
        <w:rPr>
          <w:rFonts w:ascii="Times New Roman" w:eastAsia="Times New Roman" w:hAnsi="Times New Roman" w:cs="Times New Roman"/>
          <w:b/>
          <w:bCs/>
          <w:color w:val="FFFFFF" w:themeColor="background1"/>
        </w:rPr>
        <w:t>/specializációk megnevezése (ahol oktatják):</w:t>
      </w:r>
      <w:r>
        <w:rPr>
          <w:rFonts w:ascii="Times New Roman" w:eastAsia="Times New Roman" w:hAnsi="Times New Roman" w:cs="Times New Roman"/>
          <w:bCs/>
          <w:color w:val="FFFFFF" w:themeColor="background1"/>
        </w:rPr>
        <w:t xml:space="preserve"> </w:t>
      </w:r>
      <w:r>
        <w:rPr>
          <w:rFonts w:ascii="Times New Roman" w:hAnsi="Times New Roman" w:cs="Times New Roman"/>
          <w:bCs/>
          <w:color w:val="FFFFFF" w:themeColor="background1"/>
        </w:rPr>
        <w:t xml:space="preserve">NKE HHK </w:t>
      </w:r>
    </w:p>
    <w:p w:rsidR="00253511" w:rsidRDefault="00253511" w:rsidP="00980876">
      <w:pPr>
        <w:widowControl w:val="0"/>
        <w:numPr>
          <w:ilvl w:val="0"/>
          <w:numId w:val="247"/>
        </w:numPr>
        <w:tabs>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 szak(ok), szakirányok/specializációk megnevezése (ahol oktatják): </w:t>
      </w:r>
      <w:r>
        <w:rPr>
          <w:rFonts w:ascii="Times New Roman" w:eastAsia="Times New Roman" w:hAnsi="Times New Roman" w:cs="Times New Roman"/>
          <w:bCs/>
        </w:rPr>
        <w:t>Katonai logisztika alapképzési (</w:t>
      </w:r>
      <w:r w:rsidR="00137B8A">
        <w:rPr>
          <w:rFonts w:ascii="Times New Roman" w:eastAsia="Times New Roman" w:hAnsi="Times New Roman" w:cs="Times New Roman"/>
          <w:bCs/>
        </w:rPr>
        <w:t>BSc</w:t>
      </w:r>
      <w:r>
        <w:rPr>
          <w:rFonts w:ascii="Times New Roman" w:eastAsia="Times New Roman" w:hAnsi="Times New Roman" w:cs="Times New Roman"/>
          <w:bCs/>
        </w:rPr>
        <w:t>) szak hadtáp specializáció, katonai közlekedési specializáció, katonai pénzügyi specializáció.</w:t>
      </w:r>
    </w:p>
    <w:p w:rsidR="00253511" w:rsidRDefault="00253511" w:rsidP="00980876">
      <w:pPr>
        <w:widowControl w:val="0"/>
        <w:numPr>
          <w:ilvl w:val="0"/>
          <w:numId w:val="247"/>
        </w:numPr>
        <w:tabs>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Az oktatásért felelős oktatási szervezeti egység megnevezése: </w:t>
      </w:r>
      <w:r>
        <w:rPr>
          <w:rFonts w:ascii="Times New Roman" w:eastAsia="Times New Roman" w:hAnsi="Times New Roman" w:cs="Times New Roman"/>
          <w:bCs/>
        </w:rPr>
        <w:t>NKE HHK Hadtáp, Pénzügyi és Katonai Közlekedési Tanszék</w:t>
      </w:r>
    </w:p>
    <w:p w:rsidR="00253511" w:rsidRDefault="00253511" w:rsidP="00980876">
      <w:pPr>
        <w:widowControl w:val="0"/>
        <w:numPr>
          <w:ilvl w:val="0"/>
          <w:numId w:val="247"/>
        </w:numPr>
        <w:tabs>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tantárgyfelelős oktató neve, beosztása, tudományos fokozata:</w:t>
      </w:r>
      <w:r>
        <w:rPr>
          <w:rFonts w:ascii="Times New Roman" w:eastAsia="Times New Roman" w:hAnsi="Times New Roman" w:cs="Times New Roman"/>
          <w:bCs/>
        </w:rPr>
        <w:t xml:space="preserve"> </w:t>
      </w:r>
      <w:r>
        <w:rPr>
          <w:rFonts w:ascii="Times New Roman" w:hAnsi="Times New Roman" w:cs="Times New Roman"/>
          <w:bCs/>
        </w:rPr>
        <w:t>Dr. Derzsényi Attila, PhD adjunktus</w:t>
      </w:r>
    </w:p>
    <w:p w:rsidR="00253511" w:rsidRDefault="00253511" w:rsidP="00980876">
      <w:pPr>
        <w:widowControl w:val="0"/>
        <w:numPr>
          <w:ilvl w:val="0"/>
          <w:numId w:val="247"/>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tanórák száma és típusa</w:t>
      </w:r>
    </w:p>
    <w:p w:rsidR="00253511" w:rsidRDefault="00253511" w:rsidP="00980876">
      <w:pPr>
        <w:widowControl w:val="0"/>
        <w:numPr>
          <w:ilvl w:val="1"/>
          <w:numId w:val="247"/>
        </w:numPr>
        <w:tabs>
          <w:tab w:val="clear" w:pos="3977"/>
          <w:tab w:val="num" w:pos="716"/>
          <w:tab w:val="num" w:pos="2069"/>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össz óraszám/félév:</w:t>
      </w:r>
    </w:p>
    <w:p w:rsidR="00253511" w:rsidRDefault="00253511" w:rsidP="00980876">
      <w:pPr>
        <w:widowControl w:val="0"/>
        <w:numPr>
          <w:ilvl w:val="2"/>
          <w:numId w:val="247"/>
        </w:numPr>
        <w:tabs>
          <w:tab w:val="num" w:pos="709"/>
          <w:tab w:val="num" w:pos="1134"/>
        </w:tabs>
        <w:spacing w:after="0" w:line="240" w:lineRule="auto"/>
        <w:ind w:left="1134" w:hanging="425"/>
        <w:jc w:val="both"/>
        <w:rPr>
          <w:rFonts w:ascii="Times New Roman" w:eastAsia="Times New Roman" w:hAnsi="Times New Roman" w:cs="Times New Roman"/>
          <w:bCs/>
        </w:rPr>
      </w:pPr>
      <w:r>
        <w:rPr>
          <w:rFonts w:ascii="Times New Roman" w:eastAsia="Times New Roman" w:hAnsi="Times New Roman" w:cs="Times New Roman"/>
          <w:bCs/>
        </w:rPr>
        <w:t>nappali munkarend: 28 (24 EA + 4 SZ + 0 GY)</w:t>
      </w:r>
    </w:p>
    <w:p w:rsidR="00253511" w:rsidRDefault="00253511" w:rsidP="00980876">
      <w:pPr>
        <w:widowControl w:val="0"/>
        <w:numPr>
          <w:ilvl w:val="2"/>
          <w:numId w:val="247"/>
        </w:numPr>
        <w:tabs>
          <w:tab w:val="num" w:pos="709"/>
          <w:tab w:val="num" w:pos="1134"/>
        </w:tabs>
        <w:spacing w:after="0" w:line="240" w:lineRule="auto"/>
        <w:ind w:left="1134" w:hanging="425"/>
        <w:jc w:val="both"/>
        <w:rPr>
          <w:rFonts w:ascii="Times New Roman" w:eastAsia="Times New Roman" w:hAnsi="Times New Roman" w:cs="Times New Roman"/>
          <w:bCs/>
        </w:rPr>
      </w:pPr>
      <w:r>
        <w:rPr>
          <w:rFonts w:ascii="Times New Roman" w:eastAsia="Times New Roman" w:hAnsi="Times New Roman" w:cs="Times New Roman"/>
          <w:bCs/>
        </w:rPr>
        <w:t>levelező munkarend: -</w:t>
      </w:r>
    </w:p>
    <w:p w:rsidR="00253511" w:rsidRDefault="00253511" w:rsidP="00980876">
      <w:pPr>
        <w:widowControl w:val="0"/>
        <w:numPr>
          <w:ilvl w:val="1"/>
          <w:numId w:val="247"/>
        </w:numPr>
        <w:tabs>
          <w:tab w:val="clear" w:pos="3977"/>
          <w:tab w:val="num" w:pos="716"/>
          <w:tab w:val="num" w:pos="2069"/>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heti óraszám - nappali munkarend: 2</w:t>
      </w:r>
    </w:p>
    <w:p w:rsidR="00253511" w:rsidRDefault="00253511" w:rsidP="00980876">
      <w:pPr>
        <w:widowControl w:val="0"/>
        <w:numPr>
          <w:ilvl w:val="1"/>
          <w:numId w:val="247"/>
        </w:numPr>
        <w:tabs>
          <w:tab w:val="clear" w:pos="3977"/>
          <w:tab w:val="num" w:pos="716"/>
          <w:tab w:val="num" w:pos="2069"/>
        </w:tabs>
        <w:spacing w:before="120" w:after="120" w:line="240" w:lineRule="auto"/>
        <w:ind w:left="851" w:hanging="425"/>
        <w:jc w:val="both"/>
        <w:rPr>
          <w:rFonts w:ascii="Times New Roman" w:eastAsia="Times New Roman" w:hAnsi="Times New Roman" w:cs="Times New Roman"/>
          <w:bCs/>
        </w:rPr>
      </w:pPr>
      <w:r>
        <w:rPr>
          <w:rFonts w:ascii="Times New Roman" w:hAnsi="Times New Roman" w:cs="Times New Roman"/>
        </w:rPr>
        <w:t>Az ismeret átadásában alkalmazandó további sajátos módok, jellemzők:</w:t>
      </w:r>
      <w:r>
        <w:rPr>
          <w:rFonts w:ascii="Times New Roman" w:hAnsi="Times New Roman" w:cs="Times New Roman"/>
          <w:i/>
        </w:rPr>
        <w:t xml:space="preserve"> –</w:t>
      </w:r>
    </w:p>
    <w:p w:rsidR="00253511" w:rsidRDefault="00253511" w:rsidP="00980876">
      <w:pPr>
        <w:widowControl w:val="0"/>
        <w:numPr>
          <w:ilvl w:val="0"/>
          <w:numId w:val="247"/>
        </w:numPr>
        <w:spacing w:before="120" w:after="120" w:line="240" w:lineRule="auto"/>
        <w:ind w:left="426" w:hanging="142"/>
        <w:jc w:val="both"/>
        <w:rPr>
          <w:rFonts w:ascii="Times New Roman" w:eastAsia="Times New Roman" w:hAnsi="Times New Roman" w:cs="Times New Roman"/>
          <w:bCs/>
          <w:lang w:val="en-GB"/>
        </w:rPr>
      </w:pPr>
      <w:r>
        <w:rPr>
          <w:rFonts w:ascii="Times New Roman" w:eastAsia="Times New Roman" w:hAnsi="Times New Roman" w:cs="Times New Roman"/>
          <w:b/>
          <w:bCs/>
        </w:rPr>
        <w:t>A tantárgy szakmai tartalma (magyarul):</w:t>
      </w:r>
    </w:p>
    <w:p w:rsidR="00253511" w:rsidRDefault="00253511" w:rsidP="00253511">
      <w:pPr>
        <w:pStyle w:val="lfej"/>
        <w:tabs>
          <w:tab w:val="right" w:pos="900"/>
        </w:tabs>
        <w:spacing w:before="120"/>
        <w:ind w:left="360"/>
        <w:jc w:val="both"/>
        <w:rPr>
          <w:rFonts w:ascii="Times New Roman" w:hAnsi="Times New Roman" w:cs="Times New Roman"/>
          <w:bCs/>
        </w:rPr>
      </w:pPr>
      <w:r>
        <w:rPr>
          <w:rFonts w:ascii="Times New Roman" w:hAnsi="Times New Roman" w:cs="Times New Roman"/>
          <w:bCs/>
        </w:rPr>
        <w:t>A hallgatók átfogó módon ismerkedhetnek meg a Magyar Honvédség beszerzését meghatározó alapvető jogszabályokkal, és a beszerzés működését befolyásoló intézkedésekkel. A védelmi, közbeszerzési és speciális katonai eljárások előkészítésének és lefolytatásának alapjai. A szakmai, beszerzési, jogi és pénzügyi szakértelemmel rendelkező tagok feladatai és felelősségei. A honvédség beszerzési eljárásainak sajátosságai.</w:t>
      </w:r>
    </w:p>
    <w:p w:rsidR="00253511" w:rsidRDefault="00253511" w:rsidP="00253511">
      <w:pPr>
        <w:widowControl w:val="0"/>
        <w:spacing w:before="120" w:after="120" w:line="240" w:lineRule="auto"/>
        <w:ind w:left="426"/>
        <w:jc w:val="both"/>
        <w:rPr>
          <w:rFonts w:ascii="Times New Roman" w:eastAsia="Times New Roman" w:hAnsi="Times New Roman" w:cs="Times New Roman"/>
          <w:bCs/>
        </w:rPr>
      </w:pPr>
      <w:r>
        <w:rPr>
          <w:rFonts w:ascii="Times New Roman" w:eastAsia="Times New Roman" w:hAnsi="Times New Roman" w:cs="Times New Roman"/>
          <w:b/>
          <w:bCs/>
        </w:rPr>
        <w:t>A tantárgy szakmai tartalma (angolul) (</w:t>
      </w:r>
      <w:r>
        <w:rPr>
          <w:rFonts w:ascii="Times New Roman" w:eastAsia="Times New Roman" w:hAnsi="Times New Roman" w:cs="Times New Roman"/>
          <w:b/>
          <w:bCs/>
          <w:lang w:val="en-US"/>
        </w:rPr>
        <w:t>Course description</w:t>
      </w:r>
      <w:r>
        <w:rPr>
          <w:rFonts w:ascii="Times New Roman" w:eastAsia="Times New Roman" w:hAnsi="Times New Roman" w:cs="Times New Roman"/>
          <w:b/>
          <w:bCs/>
        </w:rPr>
        <w:t>):</w:t>
      </w:r>
    </w:p>
    <w:p w:rsidR="00253511" w:rsidRDefault="00253511" w:rsidP="00253511">
      <w:pPr>
        <w:tabs>
          <w:tab w:val="right" w:pos="426"/>
          <w:tab w:val="center" w:pos="4536"/>
          <w:tab w:val="right" w:pos="9072"/>
        </w:tabs>
        <w:spacing w:after="0" w:line="240" w:lineRule="auto"/>
        <w:ind w:left="426"/>
        <w:jc w:val="both"/>
        <w:rPr>
          <w:rFonts w:ascii="Times New Roman" w:eastAsia="Times New Roman" w:hAnsi="Times New Roman" w:cs="Times New Roman"/>
          <w:bCs/>
          <w:lang w:val="en-GB" w:eastAsia="hu-HU"/>
        </w:rPr>
      </w:pPr>
      <w:r>
        <w:rPr>
          <w:rFonts w:ascii="Times New Roman" w:eastAsia="Times New Roman" w:hAnsi="Times New Roman" w:cs="Times New Roman"/>
          <w:bCs/>
          <w:lang w:val="en" w:eastAsia="hu-HU"/>
        </w:rPr>
        <w:t xml:space="preserve">Students can get acquainted with the basic laws defining the procurement of the Hungarian Defense Forces and the professional measures affecting the operation of procurement. </w:t>
      </w:r>
      <w:r>
        <w:rPr>
          <w:rFonts w:ascii="Times New Roman" w:eastAsia="Times New Roman" w:hAnsi="Times New Roman" w:cs="Times New Roman"/>
          <w:bCs/>
          <w:lang w:val="en-GB" w:eastAsia="hu-HU"/>
        </w:rPr>
        <w:t>The preparation and conduct of the defence and security, public procurement and special military procedures. Duties and responsibilities of the professional, legal, financial and procurement members</w:t>
      </w:r>
    </w:p>
    <w:p w:rsidR="00253511" w:rsidRDefault="00253511" w:rsidP="00980876">
      <w:pPr>
        <w:widowControl w:val="0"/>
        <w:numPr>
          <w:ilvl w:val="0"/>
          <w:numId w:val="247"/>
        </w:numPr>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Elérendő kompetenciák (magyarul):</w:t>
      </w:r>
    </w:p>
    <w:p w:rsidR="00253511" w:rsidRDefault="00253511" w:rsidP="00253511">
      <w:pPr>
        <w:spacing w:before="120" w:after="0" w:line="240" w:lineRule="auto"/>
        <w:ind w:left="426" w:right="141"/>
        <w:jc w:val="both"/>
        <w:rPr>
          <w:rFonts w:ascii="Times New Roman" w:hAnsi="Times New Roman" w:cs="Times New Roman"/>
          <w:bCs/>
        </w:rPr>
      </w:pPr>
      <w:r>
        <w:rPr>
          <w:rFonts w:ascii="Times New Roman" w:hAnsi="Times New Roman" w:cs="Times New Roman"/>
          <w:bCs/>
        </w:rPr>
        <w:t xml:space="preserve">A katonai beszerzéshez kapcsolódó jogi szabályozók, alapvető fogalmak, alapelvek, valamint a katonai beszerzési eljárásrenddel, az intézményrendszerével kapcsolatos jogi és igazgatási,  a  gazdasági  és pénzügyi, valamint  a menedzsment  tudományok  területéről szerzett,  elméleti  és  gyakorlati ismeretek elsajátítása és azok  alkalmazási  készsége,  honvédség specialitásainak figyelembevételével. </w:t>
      </w:r>
    </w:p>
    <w:p w:rsidR="006402BC" w:rsidRDefault="00253511" w:rsidP="00253511">
      <w:pPr>
        <w:spacing w:before="120" w:after="0" w:line="240" w:lineRule="auto"/>
        <w:ind w:left="426" w:right="141"/>
        <w:jc w:val="both"/>
        <w:rPr>
          <w:rFonts w:ascii="Times New Roman" w:hAnsi="Times New Roman" w:cs="Times New Roman"/>
          <w:b/>
          <w:bCs/>
        </w:rPr>
      </w:pPr>
      <w:r>
        <w:rPr>
          <w:rFonts w:ascii="Times New Roman" w:hAnsi="Times New Roman" w:cs="Times New Roman"/>
          <w:b/>
          <w:bCs/>
        </w:rPr>
        <w:t xml:space="preserve">Tudás: </w:t>
      </w:r>
    </w:p>
    <w:p w:rsidR="00253511" w:rsidRPr="006402BC" w:rsidRDefault="00253511" w:rsidP="00980876">
      <w:pPr>
        <w:pStyle w:val="Listaszerbekezds"/>
        <w:numPr>
          <w:ilvl w:val="0"/>
          <w:numId w:val="305"/>
        </w:numPr>
        <w:spacing w:before="120" w:after="0" w:line="240" w:lineRule="auto"/>
        <w:ind w:right="141"/>
        <w:jc w:val="both"/>
        <w:rPr>
          <w:rFonts w:ascii="Times New Roman" w:hAnsi="Times New Roman" w:cs="Times New Roman"/>
          <w:b/>
          <w:bCs/>
        </w:rPr>
      </w:pPr>
      <w:r w:rsidRPr="006402BC">
        <w:rPr>
          <w:rFonts w:ascii="Times New Roman" w:hAnsi="Times New Roman" w:cs="Times New Roman"/>
          <w:bCs/>
        </w:rPr>
        <w:t>Ismeri a katonai beszerzés tartalmát, rendszerének elemeit és azok rendeltetését.</w:t>
      </w:r>
      <w:r w:rsidRPr="006402BC">
        <w:rPr>
          <w:rFonts w:ascii="Times New Roman" w:hAnsi="Times New Roman" w:cs="Times New Roman"/>
          <w:b/>
          <w:bCs/>
        </w:rPr>
        <w:t xml:space="preserve">  </w:t>
      </w:r>
    </w:p>
    <w:p w:rsidR="006402BC" w:rsidRDefault="00253511" w:rsidP="00253511">
      <w:pPr>
        <w:spacing w:before="120" w:after="0" w:line="240" w:lineRule="auto"/>
        <w:ind w:left="426" w:right="141"/>
        <w:jc w:val="both"/>
        <w:rPr>
          <w:rFonts w:ascii="Times New Roman" w:hAnsi="Times New Roman" w:cs="Times New Roman"/>
          <w:b/>
          <w:bCs/>
        </w:rPr>
      </w:pPr>
      <w:r>
        <w:rPr>
          <w:rFonts w:ascii="Times New Roman" w:hAnsi="Times New Roman" w:cs="Times New Roman"/>
          <w:b/>
          <w:bCs/>
        </w:rPr>
        <w:lastRenderedPageBreak/>
        <w:t xml:space="preserve">Képesség: </w:t>
      </w:r>
    </w:p>
    <w:p w:rsidR="006402BC" w:rsidRDefault="00253511" w:rsidP="00980876">
      <w:pPr>
        <w:pStyle w:val="Listaszerbekezds"/>
        <w:numPr>
          <w:ilvl w:val="0"/>
          <w:numId w:val="305"/>
        </w:numPr>
        <w:spacing w:before="120" w:after="0" w:line="240" w:lineRule="auto"/>
        <w:ind w:right="141"/>
        <w:jc w:val="both"/>
        <w:rPr>
          <w:rFonts w:ascii="Times New Roman" w:hAnsi="Times New Roman" w:cs="Times New Roman"/>
          <w:bCs/>
        </w:rPr>
      </w:pPr>
      <w:r>
        <w:rPr>
          <w:rFonts w:ascii="Times New Roman" w:hAnsi="Times New Roman" w:cs="Times New Roman"/>
          <w:bCs/>
        </w:rPr>
        <w:t xml:space="preserve">Képes a megszerzett tudás alkalmazására és gyakorlati hasznosítására, a problémamegoldó technikák használatára. </w:t>
      </w:r>
    </w:p>
    <w:p w:rsidR="00253511" w:rsidRDefault="00253511" w:rsidP="00980876">
      <w:pPr>
        <w:pStyle w:val="Listaszerbekezds"/>
        <w:numPr>
          <w:ilvl w:val="0"/>
          <w:numId w:val="305"/>
        </w:numPr>
        <w:spacing w:before="120" w:after="0" w:line="240" w:lineRule="auto"/>
        <w:ind w:right="141"/>
        <w:jc w:val="both"/>
        <w:rPr>
          <w:rFonts w:ascii="Times New Roman" w:hAnsi="Times New Roman" w:cs="Times New Roman"/>
          <w:b/>
          <w:bCs/>
        </w:rPr>
      </w:pPr>
      <w:r>
        <w:rPr>
          <w:rFonts w:ascii="Times New Roman" w:hAnsi="Times New Roman" w:cs="Times New Roman"/>
          <w:bCs/>
        </w:rPr>
        <w:t>Ismerjék és legyenek képesek részt venni a honvédség beszerzési eljárásaiban</w:t>
      </w:r>
      <w:r>
        <w:rPr>
          <w:rFonts w:ascii="Times New Roman" w:hAnsi="Times New Roman" w:cs="Times New Roman"/>
          <w:b/>
          <w:bCs/>
        </w:rPr>
        <w:t>.</w:t>
      </w:r>
    </w:p>
    <w:p w:rsidR="006402BC" w:rsidRDefault="00253511" w:rsidP="00253511">
      <w:pPr>
        <w:spacing w:before="120" w:after="0" w:line="240" w:lineRule="auto"/>
        <w:ind w:left="426" w:right="141"/>
        <w:jc w:val="both"/>
        <w:rPr>
          <w:rFonts w:ascii="Times New Roman" w:hAnsi="Times New Roman" w:cs="Times New Roman"/>
          <w:b/>
          <w:bCs/>
        </w:rPr>
      </w:pPr>
      <w:r>
        <w:rPr>
          <w:rFonts w:ascii="Times New Roman" w:hAnsi="Times New Roman" w:cs="Times New Roman"/>
          <w:b/>
          <w:bCs/>
        </w:rPr>
        <w:t xml:space="preserve">Attitűd: </w:t>
      </w:r>
    </w:p>
    <w:p w:rsidR="00253511" w:rsidRPr="006402BC" w:rsidRDefault="00253511" w:rsidP="00980876">
      <w:pPr>
        <w:pStyle w:val="Listaszerbekezds"/>
        <w:numPr>
          <w:ilvl w:val="0"/>
          <w:numId w:val="305"/>
        </w:numPr>
        <w:spacing w:before="120" w:after="0" w:line="240" w:lineRule="auto"/>
        <w:ind w:right="141"/>
        <w:jc w:val="both"/>
        <w:rPr>
          <w:rFonts w:ascii="Times New Roman" w:hAnsi="Times New Roman" w:cs="Times New Roman"/>
          <w:bCs/>
        </w:rPr>
      </w:pPr>
      <w:r w:rsidRPr="006402BC">
        <w:rPr>
          <w:rFonts w:ascii="Times New Roman" w:hAnsi="Times New Roman" w:cs="Times New Roman"/>
          <w:bCs/>
        </w:rPr>
        <w:t>Elkötelezett</w:t>
      </w:r>
      <w:r>
        <w:rPr>
          <w:rFonts w:ascii="Times New Roman" w:hAnsi="Times New Roman" w:cs="Times New Roman"/>
          <w:bCs/>
        </w:rPr>
        <w:t xml:space="preserve"> abban, hogy felkészülten, ismereteit folyamatosan fejlesztve átültesse a gyakorlatba az országvédelem stratégiai céljait, és a szövetségi rendszer érdekeinek megfelelően alakítsa a saját kompetenciájába tartozó folyamatokat.</w:t>
      </w:r>
    </w:p>
    <w:p w:rsidR="006402BC" w:rsidRDefault="00253511" w:rsidP="00253511">
      <w:pPr>
        <w:spacing w:before="120" w:after="0" w:line="240" w:lineRule="auto"/>
        <w:ind w:left="426" w:right="141"/>
        <w:jc w:val="both"/>
        <w:rPr>
          <w:rFonts w:ascii="Times New Roman" w:hAnsi="Times New Roman" w:cs="Times New Roman"/>
          <w:b/>
          <w:bCs/>
        </w:rPr>
      </w:pPr>
      <w:r>
        <w:rPr>
          <w:rFonts w:ascii="Times New Roman" w:hAnsi="Times New Roman" w:cs="Times New Roman"/>
          <w:b/>
          <w:bCs/>
        </w:rPr>
        <w:t xml:space="preserve">Autonómia és felelősség: </w:t>
      </w:r>
    </w:p>
    <w:p w:rsidR="006402BC" w:rsidRDefault="00253511" w:rsidP="00980876">
      <w:pPr>
        <w:pStyle w:val="Listaszerbekezds"/>
        <w:numPr>
          <w:ilvl w:val="0"/>
          <w:numId w:val="305"/>
        </w:numPr>
        <w:spacing w:before="120" w:after="0" w:line="240" w:lineRule="auto"/>
        <w:ind w:right="141"/>
        <w:jc w:val="both"/>
        <w:rPr>
          <w:rFonts w:ascii="Times New Roman" w:hAnsi="Times New Roman" w:cs="Times New Roman"/>
          <w:bCs/>
        </w:rPr>
      </w:pPr>
      <w:r>
        <w:rPr>
          <w:rFonts w:ascii="Times New Roman" w:hAnsi="Times New Roman" w:cs="Times New Roman"/>
          <w:bCs/>
        </w:rPr>
        <w:t xml:space="preserve">Elsajátított ismeretei és megszerzett készségei alapján szakmailag megfelelő módon értelmezi és alkalmazza a megszerzett metódusokat, elemző-értékelő módszereket. </w:t>
      </w:r>
    </w:p>
    <w:p w:rsidR="006402BC" w:rsidRDefault="00253511" w:rsidP="00980876">
      <w:pPr>
        <w:pStyle w:val="Listaszerbekezds"/>
        <w:numPr>
          <w:ilvl w:val="0"/>
          <w:numId w:val="305"/>
        </w:numPr>
        <w:spacing w:before="120" w:after="0" w:line="240" w:lineRule="auto"/>
        <w:ind w:right="141"/>
        <w:jc w:val="both"/>
        <w:rPr>
          <w:rFonts w:ascii="Times New Roman" w:hAnsi="Times New Roman" w:cs="Times New Roman"/>
          <w:bCs/>
        </w:rPr>
      </w:pPr>
      <w:r>
        <w:rPr>
          <w:rFonts w:ascii="Times New Roman" w:hAnsi="Times New Roman" w:cs="Times New Roman"/>
          <w:bCs/>
        </w:rPr>
        <w:t xml:space="preserve">A rábízott szakmai területeket tudása és képességei legjavát alkalmazva elemzi-értékeli, a döntések előkészítésében, meghozatalában és végrehajtásában következetes. </w:t>
      </w:r>
    </w:p>
    <w:p w:rsidR="00253511" w:rsidRPr="006402BC" w:rsidRDefault="00253511" w:rsidP="00980876">
      <w:pPr>
        <w:pStyle w:val="Listaszerbekezds"/>
        <w:numPr>
          <w:ilvl w:val="0"/>
          <w:numId w:val="305"/>
        </w:numPr>
        <w:spacing w:before="120" w:after="0" w:line="240" w:lineRule="auto"/>
        <w:ind w:right="141"/>
        <w:jc w:val="both"/>
        <w:rPr>
          <w:rFonts w:ascii="Times New Roman" w:hAnsi="Times New Roman" w:cs="Times New Roman"/>
          <w:bCs/>
        </w:rPr>
      </w:pPr>
      <w:r>
        <w:rPr>
          <w:rFonts w:ascii="Times New Roman" w:hAnsi="Times New Roman" w:cs="Times New Roman"/>
          <w:bCs/>
        </w:rPr>
        <w:t>Felelősséget vállal önmaga folyamatos fejlesztésére és képzésére</w:t>
      </w:r>
    </w:p>
    <w:p w:rsidR="00253511" w:rsidRDefault="00253511" w:rsidP="00253511">
      <w:pPr>
        <w:spacing w:before="120" w:after="0" w:line="240" w:lineRule="auto"/>
        <w:ind w:right="141" w:firstLine="357"/>
        <w:jc w:val="both"/>
        <w:rPr>
          <w:rFonts w:ascii="Times New Roman" w:hAnsi="Times New Roman" w:cs="Times New Roman"/>
          <w:b/>
          <w:bCs/>
          <w:lang w:val="en-US"/>
        </w:rPr>
      </w:pPr>
      <w:r>
        <w:rPr>
          <w:rFonts w:ascii="Times New Roman" w:hAnsi="Times New Roman" w:cs="Times New Roman"/>
          <w:b/>
          <w:bCs/>
        </w:rPr>
        <w:t>Elérendő kompetenciák (angolul) (</w:t>
      </w:r>
      <w:r>
        <w:rPr>
          <w:rFonts w:ascii="Times New Roman" w:hAnsi="Times New Roman" w:cs="Times New Roman"/>
          <w:b/>
          <w:bCs/>
          <w:lang w:val="en-US"/>
        </w:rPr>
        <w:t xml:space="preserve">Competences – English): </w:t>
      </w:r>
    </w:p>
    <w:p w:rsidR="00253511" w:rsidRDefault="00253511" w:rsidP="002535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357"/>
        <w:jc w:val="both"/>
        <w:rPr>
          <w:rFonts w:ascii="Times New Roman" w:eastAsia="Times New Roman" w:hAnsi="Times New Roman" w:cs="Times New Roman"/>
          <w:lang w:val="en-GB" w:eastAsia="hu-HU"/>
        </w:rPr>
      </w:pPr>
      <w:r>
        <w:rPr>
          <w:rFonts w:ascii="Times New Roman" w:eastAsia="Times New Roman" w:hAnsi="Times New Roman" w:cs="Times New Roman"/>
          <w:lang w:val="en-GB" w:eastAsia="hu-HU"/>
        </w:rPr>
        <w:t xml:space="preserve">In  this  subject,  the  students  gain  knowledge  of  legal  regulations  related  to  military procurement,  get  to  know  basic  concepts,  principles  and  patterns  of  military  procurement procedures, as well as the institutional system of military procurement. Furthermore, students can acquire knowledge from legal, administrative, economic and financial fields by taking into account the specialties of Military. </w:t>
      </w:r>
    </w:p>
    <w:p w:rsidR="006402BC" w:rsidRDefault="00253511" w:rsidP="002535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357"/>
        <w:jc w:val="both"/>
        <w:rPr>
          <w:rFonts w:ascii="Times New Roman" w:eastAsia="Times New Roman" w:hAnsi="Times New Roman" w:cs="Times New Roman"/>
          <w:b/>
          <w:lang w:val="en-GB" w:eastAsia="hu-HU"/>
        </w:rPr>
      </w:pPr>
      <w:r>
        <w:rPr>
          <w:rFonts w:ascii="Times New Roman" w:eastAsia="Times New Roman" w:hAnsi="Times New Roman" w:cs="Times New Roman"/>
          <w:b/>
          <w:lang w:val="en-GB" w:eastAsia="hu-HU"/>
        </w:rPr>
        <w:t xml:space="preserve">Knowledge: </w:t>
      </w:r>
    </w:p>
    <w:p w:rsidR="00253511" w:rsidRDefault="00253511" w:rsidP="00980876">
      <w:pPr>
        <w:pStyle w:val="Listaszerbekezds"/>
        <w:numPr>
          <w:ilvl w:val="0"/>
          <w:numId w:val="305"/>
        </w:numPr>
        <w:spacing w:before="120" w:after="0" w:line="240" w:lineRule="auto"/>
        <w:ind w:right="141"/>
        <w:jc w:val="both"/>
        <w:rPr>
          <w:rFonts w:ascii="Times New Roman" w:eastAsia="Times New Roman" w:hAnsi="Times New Roman" w:cs="Times New Roman"/>
          <w:b/>
          <w:lang w:val="en-GB" w:eastAsia="hu-HU"/>
        </w:rPr>
      </w:pPr>
      <w:r>
        <w:rPr>
          <w:rFonts w:ascii="Times New Roman" w:eastAsia="Times New Roman" w:hAnsi="Times New Roman" w:cs="Times New Roman"/>
          <w:lang w:val="en-GB" w:eastAsia="hu-HU"/>
        </w:rPr>
        <w:t xml:space="preserve">Student </w:t>
      </w:r>
      <w:r w:rsidRPr="006402BC">
        <w:rPr>
          <w:rFonts w:ascii="Times New Roman" w:hAnsi="Times New Roman" w:cs="Times New Roman"/>
          <w:bCs/>
        </w:rPr>
        <w:t>knows</w:t>
      </w:r>
      <w:r>
        <w:rPr>
          <w:rFonts w:ascii="Times New Roman" w:eastAsia="Times New Roman" w:hAnsi="Times New Roman" w:cs="Times New Roman"/>
          <w:lang w:val="en-GB" w:eastAsia="hu-HU"/>
        </w:rPr>
        <w:t xml:space="preserve"> the contents of the military procurement system, its system elements and destination specifications as well.</w:t>
      </w:r>
    </w:p>
    <w:p w:rsidR="006402BC" w:rsidRDefault="00253511" w:rsidP="002535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357"/>
        <w:jc w:val="both"/>
        <w:rPr>
          <w:rFonts w:ascii="Times New Roman" w:eastAsia="Times New Roman" w:hAnsi="Times New Roman" w:cs="Times New Roman"/>
          <w:b/>
          <w:lang w:val="en-GB" w:eastAsia="hu-HU"/>
        </w:rPr>
      </w:pPr>
      <w:r>
        <w:rPr>
          <w:rFonts w:ascii="Times New Roman" w:eastAsia="Times New Roman" w:hAnsi="Times New Roman" w:cs="Times New Roman"/>
          <w:b/>
          <w:lang w:val="en-GB" w:eastAsia="hu-HU"/>
        </w:rPr>
        <w:t xml:space="preserve">Abilities: </w:t>
      </w:r>
    </w:p>
    <w:p w:rsidR="006402BC" w:rsidRDefault="00253511" w:rsidP="00980876">
      <w:pPr>
        <w:pStyle w:val="Listaszerbekezds"/>
        <w:numPr>
          <w:ilvl w:val="0"/>
          <w:numId w:val="305"/>
        </w:numPr>
        <w:spacing w:before="120" w:after="0" w:line="240" w:lineRule="auto"/>
        <w:ind w:right="141"/>
        <w:jc w:val="both"/>
        <w:rPr>
          <w:rFonts w:ascii="Times New Roman" w:hAnsi="Times New Roman" w:cs="Times New Roman"/>
          <w:bCs/>
        </w:rPr>
      </w:pPr>
      <w:r w:rsidRPr="006402BC">
        <w:rPr>
          <w:rFonts w:ascii="Times New Roman" w:hAnsi="Times New Roman" w:cs="Times New Roman"/>
          <w:bCs/>
        </w:rPr>
        <w:t xml:space="preserve">He/she is able to use problem solving techniques, and apply the acquired knowledge in practice. </w:t>
      </w:r>
    </w:p>
    <w:p w:rsidR="00253511" w:rsidRPr="006402BC" w:rsidRDefault="00253511" w:rsidP="00980876">
      <w:pPr>
        <w:pStyle w:val="Listaszerbekezds"/>
        <w:numPr>
          <w:ilvl w:val="0"/>
          <w:numId w:val="305"/>
        </w:numPr>
        <w:spacing w:before="120" w:after="0" w:line="240" w:lineRule="auto"/>
        <w:ind w:right="141"/>
        <w:jc w:val="both"/>
        <w:rPr>
          <w:rFonts w:ascii="Times New Roman" w:hAnsi="Times New Roman" w:cs="Times New Roman"/>
          <w:bCs/>
        </w:rPr>
      </w:pPr>
      <w:r w:rsidRPr="006402BC">
        <w:rPr>
          <w:rFonts w:ascii="Times New Roman" w:hAnsi="Times New Roman" w:cs="Times New Roman"/>
          <w:bCs/>
        </w:rPr>
        <w:t>Get to know and be able to participate in the military procurement procedures</w:t>
      </w:r>
    </w:p>
    <w:p w:rsidR="006402BC" w:rsidRDefault="00253511" w:rsidP="002535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357"/>
        <w:jc w:val="both"/>
        <w:rPr>
          <w:rFonts w:ascii="Times New Roman" w:eastAsia="Times New Roman" w:hAnsi="Times New Roman" w:cs="Times New Roman"/>
          <w:b/>
          <w:lang w:val="en-GB" w:eastAsia="hu-HU"/>
        </w:rPr>
      </w:pPr>
      <w:r>
        <w:rPr>
          <w:rFonts w:ascii="Times New Roman" w:eastAsia="Times New Roman" w:hAnsi="Times New Roman" w:cs="Times New Roman"/>
          <w:b/>
          <w:lang w:val="en-GB" w:eastAsia="hu-HU"/>
        </w:rPr>
        <w:t xml:space="preserve">Attitude: </w:t>
      </w:r>
    </w:p>
    <w:p w:rsidR="006402BC" w:rsidRPr="006402BC" w:rsidRDefault="00253511" w:rsidP="00980876">
      <w:pPr>
        <w:pStyle w:val="Listaszerbekezds"/>
        <w:numPr>
          <w:ilvl w:val="0"/>
          <w:numId w:val="305"/>
        </w:numPr>
        <w:spacing w:before="120" w:after="0" w:line="240" w:lineRule="auto"/>
        <w:ind w:right="141"/>
        <w:jc w:val="both"/>
        <w:rPr>
          <w:rFonts w:ascii="Times New Roman" w:hAnsi="Times New Roman" w:cs="Times New Roman"/>
          <w:bCs/>
        </w:rPr>
      </w:pPr>
      <w:r w:rsidRPr="006402BC">
        <w:rPr>
          <w:rFonts w:ascii="Times New Roman" w:hAnsi="Times New Roman" w:cs="Times New Roman"/>
          <w:bCs/>
        </w:rPr>
        <w:t>He</w:t>
      </w:r>
      <w:r w:rsidR="006402BC" w:rsidRPr="006402BC">
        <w:rPr>
          <w:rFonts w:ascii="Times New Roman" w:hAnsi="Times New Roman" w:cs="Times New Roman"/>
          <w:bCs/>
        </w:rPr>
        <w:t>/she</w:t>
      </w:r>
      <w:r w:rsidRPr="006402BC">
        <w:rPr>
          <w:rFonts w:ascii="Times New Roman" w:hAnsi="Times New Roman" w:cs="Times New Roman"/>
          <w:bCs/>
        </w:rPr>
        <w:t xml:space="preserve"> is committed to putting the strategic goals of national defense into practice and developing the processes within his competence in the interests of the federal system. </w:t>
      </w:r>
    </w:p>
    <w:p w:rsidR="00253511" w:rsidRPr="006402BC" w:rsidRDefault="00253511" w:rsidP="00980876">
      <w:pPr>
        <w:pStyle w:val="Listaszerbekezds"/>
        <w:numPr>
          <w:ilvl w:val="0"/>
          <w:numId w:val="305"/>
        </w:numPr>
        <w:spacing w:before="120" w:after="0" w:line="240" w:lineRule="auto"/>
        <w:ind w:right="141"/>
        <w:jc w:val="both"/>
        <w:rPr>
          <w:rFonts w:ascii="Times New Roman" w:hAnsi="Times New Roman" w:cs="Times New Roman"/>
          <w:bCs/>
        </w:rPr>
      </w:pPr>
      <w:r w:rsidRPr="006402BC">
        <w:rPr>
          <w:rFonts w:ascii="Times New Roman" w:hAnsi="Times New Roman" w:cs="Times New Roman"/>
          <w:bCs/>
        </w:rPr>
        <w:t>He</w:t>
      </w:r>
      <w:r w:rsidR="006402BC" w:rsidRPr="006402BC">
        <w:rPr>
          <w:rFonts w:ascii="Times New Roman" w:hAnsi="Times New Roman" w:cs="Times New Roman"/>
          <w:bCs/>
        </w:rPr>
        <w:t>/she</w:t>
      </w:r>
      <w:r w:rsidRPr="006402BC">
        <w:rPr>
          <w:rFonts w:ascii="Times New Roman" w:hAnsi="Times New Roman" w:cs="Times New Roman"/>
          <w:bCs/>
        </w:rPr>
        <w:t xml:space="preserve"> is committed to the mid-level formulation of principles and guidelines, putting combat-operational thinking into practice.</w:t>
      </w:r>
    </w:p>
    <w:p w:rsidR="006402BC" w:rsidRDefault="00253511" w:rsidP="002535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357"/>
        <w:jc w:val="both"/>
        <w:rPr>
          <w:rFonts w:ascii="Times New Roman" w:eastAsia="Times New Roman" w:hAnsi="Times New Roman" w:cs="Times New Roman"/>
          <w:b/>
          <w:lang w:val="en-GB" w:eastAsia="hu-HU"/>
        </w:rPr>
      </w:pPr>
      <w:r>
        <w:rPr>
          <w:rFonts w:ascii="Times New Roman" w:eastAsia="Times New Roman" w:hAnsi="Times New Roman" w:cs="Times New Roman"/>
          <w:b/>
          <w:lang w:val="en-GB" w:eastAsia="hu-HU"/>
        </w:rPr>
        <w:t xml:space="preserve">Autonomy and responsibility: </w:t>
      </w:r>
    </w:p>
    <w:p w:rsidR="006402BC" w:rsidRPr="006402BC" w:rsidRDefault="00253511" w:rsidP="00980876">
      <w:pPr>
        <w:pStyle w:val="Listaszerbekezds"/>
        <w:numPr>
          <w:ilvl w:val="0"/>
          <w:numId w:val="305"/>
        </w:numPr>
        <w:spacing w:before="120" w:after="0" w:line="240" w:lineRule="auto"/>
        <w:ind w:right="141"/>
        <w:jc w:val="both"/>
        <w:rPr>
          <w:rFonts w:ascii="Times New Roman" w:hAnsi="Times New Roman" w:cs="Times New Roman"/>
          <w:bCs/>
        </w:rPr>
      </w:pPr>
      <w:r w:rsidRPr="006402BC">
        <w:rPr>
          <w:rFonts w:ascii="Times New Roman" w:hAnsi="Times New Roman" w:cs="Times New Roman"/>
          <w:bCs/>
        </w:rPr>
        <w:t xml:space="preserve">Based on his / her acquired knowledge and acquired skills, he / she interprets and applies acquired methods in a professional manner. </w:t>
      </w:r>
    </w:p>
    <w:p w:rsidR="006402BC" w:rsidRPr="006402BC" w:rsidRDefault="00253511" w:rsidP="00980876">
      <w:pPr>
        <w:pStyle w:val="Listaszerbekezds"/>
        <w:numPr>
          <w:ilvl w:val="0"/>
          <w:numId w:val="305"/>
        </w:numPr>
        <w:spacing w:before="120" w:after="0" w:line="240" w:lineRule="auto"/>
        <w:ind w:right="141"/>
        <w:jc w:val="both"/>
        <w:rPr>
          <w:rFonts w:ascii="Times New Roman" w:hAnsi="Times New Roman" w:cs="Times New Roman"/>
          <w:bCs/>
        </w:rPr>
      </w:pPr>
      <w:r w:rsidRPr="006402BC">
        <w:rPr>
          <w:rFonts w:ascii="Times New Roman" w:hAnsi="Times New Roman" w:cs="Times New Roman"/>
          <w:bCs/>
        </w:rPr>
        <w:t xml:space="preserve">The professional areas entrusted to him / her are analyzed and evaluated to the best of their knowledge and abilities, and are consistent in the preparation, decision-making and implementation of decisions. </w:t>
      </w:r>
    </w:p>
    <w:p w:rsidR="00253511" w:rsidRPr="006402BC" w:rsidRDefault="00253511" w:rsidP="00980876">
      <w:pPr>
        <w:pStyle w:val="Listaszerbekezds"/>
        <w:numPr>
          <w:ilvl w:val="0"/>
          <w:numId w:val="305"/>
        </w:numPr>
        <w:spacing w:before="120" w:after="0" w:line="240" w:lineRule="auto"/>
        <w:ind w:right="141"/>
        <w:jc w:val="both"/>
        <w:rPr>
          <w:rFonts w:ascii="Times New Roman" w:hAnsi="Times New Roman" w:cs="Times New Roman"/>
          <w:bCs/>
        </w:rPr>
      </w:pPr>
      <w:r w:rsidRPr="006402BC">
        <w:rPr>
          <w:rFonts w:ascii="Times New Roman" w:hAnsi="Times New Roman" w:cs="Times New Roman"/>
          <w:bCs/>
        </w:rPr>
        <w:t>He takes responsibility for the continuous devel</w:t>
      </w:r>
      <w:r w:rsidR="006402BC">
        <w:rPr>
          <w:rFonts w:ascii="Times New Roman" w:hAnsi="Times New Roman" w:cs="Times New Roman"/>
          <w:bCs/>
        </w:rPr>
        <w:t>opment and training of himself.</w:t>
      </w:r>
    </w:p>
    <w:p w:rsidR="00253511" w:rsidRDefault="00253511" w:rsidP="00980876">
      <w:pPr>
        <w:widowControl w:val="0"/>
        <w:numPr>
          <w:ilvl w:val="0"/>
          <w:numId w:val="247"/>
        </w:numPr>
        <w:tabs>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Előtanulmányi követelmények: </w:t>
      </w:r>
      <w:r>
        <w:rPr>
          <w:rFonts w:ascii="Times New Roman" w:eastAsia="Times New Roman" w:hAnsi="Times New Roman" w:cs="Times New Roman"/>
          <w:bCs/>
        </w:rPr>
        <w:t>nincs</w:t>
      </w:r>
    </w:p>
    <w:p w:rsidR="00253511" w:rsidRDefault="00253511" w:rsidP="00980876">
      <w:pPr>
        <w:widowControl w:val="0"/>
        <w:numPr>
          <w:ilvl w:val="0"/>
          <w:numId w:val="247"/>
        </w:numPr>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A tantárgy tananyagának leírása, tematika. </w:t>
      </w:r>
      <w:r>
        <w:rPr>
          <w:rFonts w:ascii="Times New Roman" w:eastAsia="Times New Roman" w:hAnsi="Times New Roman" w:cs="Times New Roman"/>
          <w:b/>
          <w:bCs/>
          <w:lang w:val="en-GB"/>
        </w:rPr>
        <w:t>Description of the subject</w:t>
      </w:r>
      <w:r>
        <w:rPr>
          <w:rFonts w:ascii="Times New Roman" w:eastAsia="Times New Roman" w:hAnsi="Times New Roman" w:cs="Times New Roman"/>
          <w:b/>
          <w:bCs/>
        </w:rPr>
        <w:t>, curriculum (magyarul, angolul - English):</w:t>
      </w:r>
    </w:p>
    <w:p w:rsidR="00253511" w:rsidRPr="00253511" w:rsidRDefault="00253511" w:rsidP="00980876">
      <w:pPr>
        <w:numPr>
          <w:ilvl w:val="1"/>
          <w:numId w:val="247"/>
        </w:numPr>
        <w:tabs>
          <w:tab w:val="clear" w:pos="3977"/>
          <w:tab w:val="num" w:pos="716"/>
        </w:tabs>
        <w:spacing w:after="0" w:line="240" w:lineRule="auto"/>
        <w:ind w:left="993" w:right="142" w:hanging="567"/>
        <w:jc w:val="both"/>
        <w:rPr>
          <w:rFonts w:ascii="Times New Roman" w:hAnsi="Times New Roman" w:cs="Times New Roman"/>
          <w:i/>
          <w:lang w:val="en-GB"/>
        </w:rPr>
      </w:pPr>
      <w:r>
        <w:rPr>
          <w:rFonts w:ascii="Times New Roman" w:hAnsi="Times New Roman" w:cs="Times New Roman"/>
        </w:rPr>
        <w:t>A honvédség által alkalmazott beszerzési, eljárási típusok</w:t>
      </w:r>
      <w:r>
        <w:rPr>
          <w:rFonts w:ascii="Times New Roman" w:hAnsi="Times New Roman" w:cs="Times New Roman"/>
          <w:b/>
        </w:rPr>
        <w:t xml:space="preserve"> </w:t>
      </w:r>
      <w:r w:rsidRPr="00253511">
        <w:rPr>
          <w:rFonts w:ascii="Times New Roman" w:hAnsi="Times New Roman" w:cs="Times New Roman"/>
          <w:i/>
        </w:rPr>
        <w:t>(</w:t>
      </w:r>
      <w:r w:rsidRPr="00253511">
        <w:rPr>
          <w:rFonts w:ascii="Times New Roman" w:hAnsi="Times New Roman" w:cs="Times New Roman"/>
          <w:i/>
          <w:lang w:val="en-GB"/>
        </w:rPr>
        <w:t>Types of procurement procedures applied by the military)</w:t>
      </w:r>
    </w:p>
    <w:p w:rsidR="00253511" w:rsidRPr="00253511" w:rsidRDefault="00253511" w:rsidP="00980876">
      <w:pPr>
        <w:numPr>
          <w:ilvl w:val="1"/>
          <w:numId w:val="247"/>
        </w:numPr>
        <w:tabs>
          <w:tab w:val="clear" w:pos="3977"/>
          <w:tab w:val="num" w:pos="716"/>
        </w:tabs>
        <w:spacing w:after="0" w:line="240" w:lineRule="auto"/>
        <w:ind w:left="993" w:right="142" w:hanging="567"/>
        <w:jc w:val="both"/>
        <w:rPr>
          <w:rFonts w:ascii="Times New Roman" w:hAnsi="Times New Roman" w:cs="Times New Roman"/>
          <w:i/>
        </w:rPr>
      </w:pPr>
      <w:r>
        <w:rPr>
          <w:rFonts w:ascii="Times New Roman" w:hAnsi="Times New Roman" w:cs="Times New Roman"/>
        </w:rPr>
        <w:t>A katonai beszerzés a logisztikai támogatás rendszerében</w:t>
      </w:r>
      <w:r>
        <w:rPr>
          <w:rFonts w:ascii="Times New Roman" w:hAnsi="Times New Roman" w:cs="Times New Roman"/>
          <w:b/>
        </w:rPr>
        <w:t xml:space="preserve"> </w:t>
      </w:r>
      <w:r w:rsidRPr="00253511">
        <w:rPr>
          <w:rFonts w:ascii="Times New Roman" w:hAnsi="Times New Roman" w:cs="Times New Roman"/>
          <w:i/>
        </w:rPr>
        <w:t>(The military acquisition in the logistic support system)</w:t>
      </w:r>
    </w:p>
    <w:p w:rsidR="00253511" w:rsidRDefault="00253511" w:rsidP="00980876">
      <w:pPr>
        <w:numPr>
          <w:ilvl w:val="1"/>
          <w:numId w:val="247"/>
        </w:numPr>
        <w:tabs>
          <w:tab w:val="clear" w:pos="3977"/>
          <w:tab w:val="num" w:pos="716"/>
        </w:tabs>
        <w:spacing w:after="0" w:line="240" w:lineRule="auto"/>
        <w:ind w:left="993" w:right="142" w:hanging="567"/>
        <w:jc w:val="both"/>
        <w:rPr>
          <w:rFonts w:ascii="Times New Roman" w:hAnsi="Times New Roman" w:cs="Times New Roman"/>
          <w:b/>
        </w:rPr>
      </w:pPr>
      <w:r>
        <w:rPr>
          <w:rFonts w:ascii="Times New Roman" w:hAnsi="Times New Roman" w:cs="Times New Roman"/>
        </w:rPr>
        <w:lastRenderedPageBreak/>
        <w:t xml:space="preserve">Beszerzés előkészítés feladatai </w:t>
      </w:r>
      <w:r w:rsidRPr="00253511">
        <w:rPr>
          <w:rFonts w:ascii="Times New Roman" w:hAnsi="Times New Roman" w:cs="Times New Roman"/>
          <w:i/>
        </w:rPr>
        <w:t>(Preparation of procurement)</w:t>
      </w:r>
    </w:p>
    <w:p w:rsidR="00253511" w:rsidRPr="00253511" w:rsidRDefault="00253511" w:rsidP="00980876">
      <w:pPr>
        <w:numPr>
          <w:ilvl w:val="1"/>
          <w:numId w:val="247"/>
        </w:numPr>
        <w:tabs>
          <w:tab w:val="clear" w:pos="3977"/>
          <w:tab w:val="num" w:pos="716"/>
        </w:tabs>
        <w:spacing w:after="0" w:line="240" w:lineRule="auto"/>
        <w:ind w:left="993" w:right="142" w:hanging="567"/>
        <w:jc w:val="both"/>
        <w:rPr>
          <w:rFonts w:ascii="Times New Roman" w:hAnsi="Times New Roman" w:cs="Times New Roman"/>
          <w:i/>
        </w:rPr>
      </w:pPr>
      <w:r>
        <w:rPr>
          <w:rFonts w:ascii="Times New Roman" w:hAnsi="Times New Roman" w:cs="Times New Roman"/>
        </w:rPr>
        <w:t>Katonai beszerzés szabályozása</w:t>
      </w:r>
      <w:r>
        <w:rPr>
          <w:rFonts w:ascii="Times New Roman" w:hAnsi="Times New Roman" w:cs="Times New Roman"/>
          <w:b/>
        </w:rPr>
        <w:t xml:space="preserve"> </w:t>
      </w:r>
      <w:r w:rsidRPr="00253511">
        <w:rPr>
          <w:rFonts w:ascii="Times New Roman" w:hAnsi="Times New Roman" w:cs="Times New Roman"/>
          <w:i/>
        </w:rPr>
        <w:t>(Rules of military procurement)</w:t>
      </w:r>
    </w:p>
    <w:p w:rsidR="00253511" w:rsidRDefault="00253511" w:rsidP="00980876">
      <w:pPr>
        <w:numPr>
          <w:ilvl w:val="1"/>
          <w:numId w:val="247"/>
        </w:numPr>
        <w:tabs>
          <w:tab w:val="clear" w:pos="3977"/>
          <w:tab w:val="num" w:pos="716"/>
        </w:tabs>
        <w:spacing w:after="0" w:line="240" w:lineRule="auto"/>
        <w:ind w:left="993" w:right="142" w:hanging="567"/>
        <w:jc w:val="both"/>
        <w:rPr>
          <w:rFonts w:ascii="Times New Roman" w:hAnsi="Times New Roman" w:cs="Times New Roman"/>
          <w:b/>
        </w:rPr>
      </w:pPr>
      <w:r>
        <w:rPr>
          <w:rFonts w:ascii="Times New Roman" w:hAnsi="Times New Roman" w:cs="Times New Roman"/>
        </w:rPr>
        <w:t>Beszerzési eljárások lefolytatásának rendje</w:t>
      </w:r>
      <w:r>
        <w:rPr>
          <w:rFonts w:ascii="Times New Roman" w:hAnsi="Times New Roman" w:cs="Times New Roman"/>
          <w:b/>
        </w:rPr>
        <w:t xml:space="preserve"> </w:t>
      </w:r>
      <w:r w:rsidRPr="00253511">
        <w:rPr>
          <w:rFonts w:ascii="Times New Roman" w:hAnsi="Times New Roman" w:cs="Times New Roman"/>
          <w:i/>
        </w:rPr>
        <w:t>(Order os procurement procedures)</w:t>
      </w:r>
    </w:p>
    <w:p w:rsidR="00253511" w:rsidRPr="00253511" w:rsidRDefault="00253511" w:rsidP="00980876">
      <w:pPr>
        <w:numPr>
          <w:ilvl w:val="1"/>
          <w:numId w:val="247"/>
        </w:numPr>
        <w:tabs>
          <w:tab w:val="clear" w:pos="3977"/>
          <w:tab w:val="num" w:pos="716"/>
        </w:tabs>
        <w:spacing w:after="0" w:line="240" w:lineRule="auto"/>
        <w:ind w:left="993" w:right="142" w:hanging="567"/>
        <w:jc w:val="both"/>
        <w:rPr>
          <w:rFonts w:ascii="Times New Roman" w:hAnsi="Times New Roman" w:cs="Times New Roman"/>
          <w:i/>
        </w:rPr>
      </w:pPr>
      <w:r>
        <w:rPr>
          <w:rFonts w:ascii="Times New Roman" w:hAnsi="Times New Roman" w:cs="Times New Roman"/>
        </w:rPr>
        <w:t xml:space="preserve">A különleges jogrend időszakának beszerzési előírásai </w:t>
      </w:r>
      <w:r w:rsidRPr="00253511">
        <w:rPr>
          <w:rFonts w:ascii="Times New Roman" w:hAnsi="Times New Roman" w:cs="Times New Roman"/>
          <w:i/>
        </w:rPr>
        <w:t>(Procurement rules and principles of the qualified period.)</w:t>
      </w:r>
    </w:p>
    <w:p w:rsidR="00253511" w:rsidRDefault="00253511" w:rsidP="00980876">
      <w:pPr>
        <w:numPr>
          <w:ilvl w:val="1"/>
          <w:numId w:val="247"/>
        </w:numPr>
        <w:tabs>
          <w:tab w:val="clear" w:pos="3977"/>
          <w:tab w:val="num" w:pos="716"/>
        </w:tabs>
        <w:spacing w:after="0" w:line="240" w:lineRule="auto"/>
        <w:ind w:left="993" w:right="142" w:hanging="567"/>
        <w:jc w:val="both"/>
        <w:rPr>
          <w:rFonts w:ascii="Times New Roman" w:hAnsi="Times New Roman" w:cs="Times New Roman"/>
        </w:rPr>
      </w:pPr>
      <w:r>
        <w:rPr>
          <w:rFonts w:ascii="Times New Roman" w:hAnsi="Times New Roman" w:cs="Times New Roman"/>
        </w:rPr>
        <w:t xml:space="preserve">Beszerzés a gyakorlatban </w:t>
      </w:r>
      <w:r w:rsidRPr="00253511">
        <w:rPr>
          <w:rFonts w:ascii="Times New Roman" w:hAnsi="Times New Roman" w:cs="Times New Roman"/>
          <w:i/>
        </w:rPr>
        <w:t>(Procurement in practice)</w:t>
      </w:r>
      <w:r>
        <w:rPr>
          <w:rFonts w:ascii="Times New Roman" w:hAnsi="Times New Roman" w:cs="Times New Roman"/>
          <w:lang w:val="en-GB"/>
        </w:rPr>
        <w:t xml:space="preserve"> </w:t>
      </w:r>
    </w:p>
    <w:p w:rsidR="00253511" w:rsidRDefault="00253511" w:rsidP="000D5D9E">
      <w:pPr>
        <w:spacing w:after="0" w:line="240" w:lineRule="auto"/>
        <w:ind w:right="142" w:firstLine="426"/>
        <w:jc w:val="both"/>
        <w:rPr>
          <w:rFonts w:ascii="Times New Roman" w:hAnsi="Times New Roman" w:cs="Times New Roman"/>
          <w:b/>
        </w:rPr>
      </w:pPr>
      <w:r>
        <w:rPr>
          <w:rFonts w:ascii="Times New Roman" w:hAnsi="Times New Roman" w:cs="Times New Roman"/>
          <w:b/>
        </w:rPr>
        <w:t xml:space="preserve">12.15. </w:t>
      </w:r>
      <w:r>
        <w:rPr>
          <w:rFonts w:ascii="Times New Roman" w:hAnsi="Times New Roman" w:cs="Times New Roman"/>
        </w:rPr>
        <w:t>Zárthelyi dolgozat</w:t>
      </w:r>
      <w:r>
        <w:rPr>
          <w:rFonts w:ascii="Times New Roman" w:hAnsi="Times New Roman" w:cs="Times New Roman"/>
          <w:b/>
        </w:rPr>
        <w:t xml:space="preserve"> </w:t>
      </w:r>
      <w:r w:rsidRPr="00253511">
        <w:rPr>
          <w:rFonts w:ascii="Times New Roman" w:hAnsi="Times New Roman" w:cs="Times New Roman"/>
          <w:i/>
        </w:rPr>
        <w:t>(Paper)</w:t>
      </w:r>
    </w:p>
    <w:p w:rsidR="00253511" w:rsidRDefault="00253511" w:rsidP="00980876">
      <w:pPr>
        <w:widowControl w:val="0"/>
        <w:numPr>
          <w:ilvl w:val="0"/>
          <w:numId w:val="247"/>
        </w:numPr>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A tantárgy meghirdetésének gyakorisága/a tantervben történő félévi elhelyezkedése: </w:t>
      </w:r>
      <w:r>
        <w:rPr>
          <w:rFonts w:ascii="Times New Roman" w:eastAsia="Times New Roman" w:hAnsi="Times New Roman" w:cs="Times New Roman"/>
          <w:bCs/>
        </w:rPr>
        <w:t>8. félév</w:t>
      </w:r>
      <w:r>
        <w:rPr>
          <w:rFonts w:ascii="Times New Roman" w:eastAsia="Times New Roman" w:hAnsi="Times New Roman" w:cs="Times New Roman"/>
          <w:b/>
          <w:bCs/>
        </w:rPr>
        <w:t>.</w:t>
      </w:r>
    </w:p>
    <w:p w:rsidR="00253511" w:rsidRDefault="00253511" w:rsidP="00980876">
      <w:pPr>
        <w:widowControl w:val="0"/>
        <w:numPr>
          <w:ilvl w:val="0"/>
          <w:numId w:val="247"/>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tanórákon való részvétel követelményei, az elfogadható hiányzások mértéke, a távolmaradás pótlásának lehetősége:</w:t>
      </w:r>
      <w:r w:rsidR="006402BC">
        <w:rPr>
          <w:rFonts w:ascii="Times New Roman" w:eastAsia="Times New Roman" w:hAnsi="Times New Roman" w:cs="Times New Roman"/>
          <w:b/>
          <w:bCs/>
        </w:rPr>
        <w:t xml:space="preserve"> </w:t>
      </w:r>
    </w:p>
    <w:p w:rsidR="00253511" w:rsidRDefault="00253511" w:rsidP="00980876">
      <w:pPr>
        <w:numPr>
          <w:ilvl w:val="0"/>
          <w:numId w:val="245"/>
        </w:numPr>
        <w:tabs>
          <w:tab w:val="center" w:pos="4536"/>
          <w:tab w:val="right" w:pos="9072"/>
        </w:tabs>
        <w:spacing w:after="0" w:line="240" w:lineRule="auto"/>
        <w:ind w:left="851" w:hanging="210"/>
        <w:jc w:val="both"/>
        <w:rPr>
          <w:rFonts w:ascii="Times New Roman" w:hAnsi="Times New Roman" w:cs="Times New Roman"/>
          <w:bCs/>
        </w:rPr>
      </w:pPr>
      <w:r>
        <w:rPr>
          <w:rFonts w:ascii="Times New Roman" w:hAnsi="Times New Roman" w:cs="Times New Roman"/>
          <w:bCs/>
        </w:rPr>
        <w:t>a foglalkozásokon a részvétel kötelező (minimum 80%)</w:t>
      </w:r>
    </w:p>
    <w:p w:rsidR="00253511" w:rsidRDefault="00253511" w:rsidP="00980876">
      <w:pPr>
        <w:numPr>
          <w:ilvl w:val="0"/>
          <w:numId w:val="245"/>
        </w:numPr>
        <w:tabs>
          <w:tab w:val="center" w:pos="4536"/>
          <w:tab w:val="right" w:pos="9072"/>
        </w:tabs>
        <w:spacing w:after="0" w:line="240" w:lineRule="auto"/>
        <w:ind w:left="851" w:hanging="210"/>
        <w:jc w:val="both"/>
        <w:rPr>
          <w:rFonts w:ascii="Times New Roman" w:hAnsi="Times New Roman" w:cs="Times New Roman"/>
          <w:bCs/>
        </w:rPr>
      </w:pPr>
      <w:r>
        <w:rPr>
          <w:rFonts w:ascii="Times New Roman" w:hAnsi="Times New Roman" w:cs="Times New Roman"/>
          <w:bCs/>
        </w:rPr>
        <w:t>rövid/tartós távolmaradás indokolt esetben (orvosi, szolgálati) pótolható, amely pótlás egyéni megbeszélés szerint történik.</w:t>
      </w:r>
    </w:p>
    <w:p w:rsidR="00253511" w:rsidRDefault="00253511" w:rsidP="00980876">
      <w:pPr>
        <w:widowControl w:val="0"/>
        <w:numPr>
          <w:ilvl w:val="0"/>
          <w:numId w:val="247"/>
        </w:numPr>
        <w:tabs>
          <w:tab w:val="clear" w:pos="72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rPr>
        <w:t xml:space="preserve">Félévközi feladatok, ismeretek ellenőrzésének rendje: </w:t>
      </w:r>
    </w:p>
    <w:p w:rsidR="00253511" w:rsidRDefault="00253511" w:rsidP="00980876">
      <w:pPr>
        <w:numPr>
          <w:ilvl w:val="0"/>
          <w:numId w:val="245"/>
        </w:numPr>
        <w:tabs>
          <w:tab w:val="center" w:pos="4536"/>
          <w:tab w:val="right" w:pos="9072"/>
        </w:tabs>
        <w:spacing w:after="0" w:line="240" w:lineRule="auto"/>
        <w:ind w:left="851" w:hanging="210"/>
        <w:jc w:val="both"/>
        <w:rPr>
          <w:rFonts w:ascii="Times New Roman" w:hAnsi="Times New Roman" w:cs="Times New Roman"/>
          <w:bCs/>
        </w:rPr>
      </w:pPr>
      <w:r>
        <w:rPr>
          <w:rFonts w:ascii="Times New Roman" w:hAnsi="Times New Roman" w:cs="Times New Roman"/>
          <w:bCs/>
        </w:rPr>
        <w:t>a szemináriumokra kiadott forrásanyagok feldolgozása - csoportmunka</w:t>
      </w:r>
    </w:p>
    <w:p w:rsidR="00253511" w:rsidRDefault="00253511" w:rsidP="00980876">
      <w:pPr>
        <w:numPr>
          <w:ilvl w:val="0"/>
          <w:numId w:val="245"/>
        </w:numPr>
        <w:tabs>
          <w:tab w:val="center" w:pos="4536"/>
          <w:tab w:val="right" w:pos="9072"/>
        </w:tabs>
        <w:spacing w:after="0" w:line="240" w:lineRule="auto"/>
        <w:ind w:left="851" w:hanging="210"/>
        <w:jc w:val="both"/>
        <w:rPr>
          <w:rFonts w:ascii="Times New Roman" w:hAnsi="Times New Roman" w:cs="Times New Roman"/>
          <w:bCs/>
        </w:rPr>
      </w:pPr>
      <w:r>
        <w:rPr>
          <w:rFonts w:ascii="Times New Roman" w:hAnsi="Times New Roman" w:cs="Times New Roman"/>
          <w:bCs/>
        </w:rPr>
        <w:t>adott szempontok alapján elkészített rövid szóbeli előadás (ppt) – egyéni munka</w:t>
      </w:r>
    </w:p>
    <w:p w:rsidR="00253511" w:rsidRPr="000D5D9E" w:rsidRDefault="00253511" w:rsidP="00980876">
      <w:pPr>
        <w:numPr>
          <w:ilvl w:val="0"/>
          <w:numId w:val="245"/>
        </w:numPr>
        <w:tabs>
          <w:tab w:val="center" w:pos="4536"/>
          <w:tab w:val="right" w:pos="9072"/>
        </w:tabs>
        <w:spacing w:after="0" w:line="240" w:lineRule="auto"/>
        <w:ind w:left="851" w:hanging="210"/>
        <w:jc w:val="both"/>
        <w:rPr>
          <w:rFonts w:ascii="Times New Roman" w:hAnsi="Times New Roman" w:cs="Times New Roman"/>
          <w:bCs/>
        </w:rPr>
      </w:pPr>
      <w:r w:rsidRPr="000D5D9E">
        <w:rPr>
          <w:rFonts w:ascii="Times New Roman" w:hAnsi="Times New Roman" w:cs="Times New Roman"/>
          <w:bCs/>
        </w:rPr>
        <w:t>a félév végén: zárthelyi dolgozat, a dolgozat értékelése szummatív:</w:t>
      </w:r>
    </w:p>
    <w:p w:rsidR="00253511" w:rsidRPr="00253511" w:rsidRDefault="00253511" w:rsidP="00980876">
      <w:pPr>
        <w:pStyle w:val="Listaszerbekezds"/>
        <w:widowControl w:val="0"/>
        <w:numPr>
          <w:ilvl w:val="3"/>
          <w:numId w:val="248"/>
        </w:numPr>
        <w:tabs>
          <w:tab w:val="left" w:pos="993"/>
        </w:tabs>
        <w:spacing w:after="0" w:line="240" w:lineRule="auto"/>
        <w:jc w:val="both"/>
        <w:rPr>
          <w:rFonts w:ascii="Times New Roman" w:eastAsia="Times New Roman" w:hAnsi="Times New Roman" w:cs="Times New Roman"/>
        </w:rPr>
      </w:pPr>
      <w:r w:rsidRPr="00253511">
        <w:rPr>
          <w:rFonts w:ascii="Times New Roman" w:eastAsia="Times New Roman" w:hAnsi="Times New Roman" w:cs="Times New Roman"/>
        </w:rPr>
        <w:t xml:space="preserve">  0-50% - elégtelen</w:t>
      </w:r>
    </w:p>
    <w:p w:rsidR="00253511" w:rsidRPr="00253511" w:rsidRDefault="00253511" w:rsidP="00980876">
      <w:pPr>
        <w:pStyle w:val="Listaszerbekezds"/>
        <w:widowControl w:val="0"/>
        <w:numPr>
          <w:ilvl w:val="3"/>
          <w:numId w:val="248"/>
        </w:numPr>
        <w:tabs>
          <w:tab w:val="left" w:pos="993"/>
        </w:tabs>
        <w:spacing w:after="0" w:line="240" w:lineRule="auto"/>
        <w:jc w:val="both"/>
        <w:rPr>
          <w:rFonts w:ascii="Times New Roman" w:eastAsia="Times New Roman" w:hAnsi="Times New Roman" w:cs="Times New Roman"/>
        </w:rPr>
      </w:pPr>
      <w:r w:rsidRPr="00253511">
        <w:rPr>
          <w:rFonts w:ascii="Times New Roman" w:eastAsia="Times New Roman" w:hAnsi="Times New Roman" w:cs="Times New Roman"/>
        </w:rPr>
        <w:t xml:space="preserve">  51-70% - elégséges</w:t>
      </w:r>
    </w:p>
    <w:p w:rsidR="00253511" w:rsidRPr="00253511" w:rsidRDefault="00253511" w:rsidP="00980876">
      <w:pPr>
        <w:pStyle w:val="Listaszerbekezds"/>
        <w:widowControl w:val="0"/>
        <w:numPr>
          <w:ilvl w:val="3"/>
          <w:numId w:val="248"/>
        </w:numPr>
        <w:tabs>
          <w:tab w:val="left" w:pos="993"/>
        </w:tabs>
        <w:spacing w:after="0" w:line="240" w:lineRule="auto"/>
        <w:jc w:val="both"/>
        <w:rPr>
          <w:rFonts w:ascii="Times New Roman" w:eastAsia="Times New Roman" w:hAnsi="Times New Roman" w:cs="Times New Roman"/>
        </w:rPr>
      </w:pPr>
      <w:r w:rsidRPr="00253511">
        <w:rPr>
          <w:rFonts w:ascii="Times New Roman" w:eastAsia="Times New Roman" w:hAnsi="Times New Roman" w:cs="Times New Roman"/>
        </w:rPr>
        <w:t xml:space="preserve">  71-80% - közepes</w:t>
      </w:r>
    </w:p>
    <w:p w:rsidR="00253511" w:rsidRPr="00253511" w:rsidRDefault="00253511" w:rsidP="00980876">
      <w:pPr>
        <w:pStyle w:val="Listaszerbekezds"/>
        <w:widowControl w:val="0"/>
        <w:numPr>
          <w:ilvl w:val="3"/>
          <w:numId w:val="248"/>
        </w:numPr>
        <w:tabs>
          <w:tab w:val="left" w:pos="993"/>
        </w:tabs>
        <w:spacing w:after="0" w:line="240" w:lineRule="auto"/>
        <w:jc w:val="both"/>
        <w:rPr>
          <w:rFonts w:ascii="Times New Roman" w:eastAsia="Times New Roman" w:hAnsi="Times New Roman" w:cs="Times New Roman"/>
        </w:rPr>
      </w:pPr>
      <w:r w:rsidRPr="00253511">
        <w:rPr>
          <w:rFonts w:ascii="Times New Roman" w:eastAsia="Times New Roman" w:hAnsi="Times New Roman" w:cs="Times New Roman"/>
        </w:rPr>
        <w:t xml:space="preserve">  81-90% - jó</w:t>
      </w:r>
    </w:p>
    <w:p w:rsidR="00253511" w:rsidRPr="00253511" w:rsidRDefault="00253511" w:rsidP="00980876">
      <w:pPr>
        <w:pStyle w:val="Listaszerbekezds"/>
        <w:widowControl w:val="0"/>
        <w:numPr>
          <w:ilvl w:val="3"/>
          <w:numId w:val="248"/>
        </w:numPr>
        <w:tabs>
          <w:tab w:val="left" w:pos="993"/>
        </w:tabs>
        <w:spacing w:after="0" w:line="240" w:lineRule="auto"/>
        <w:jc w:val="both"/>
        <w:rPr>
          <w:rFonts w:ascii="Times New Roman" w:eastAsia="Times New Roman" w:hAnsi="Times New Roman" w:cs="Times New Roman"/>
        </w:rPr>
      </w:pPr>
      <w:r w:rsidRPr="00253511">
        <w:rPr>
          <w:rFonts w:ascii="Times New Roman" w:eastAsia="Times New Roman" w:hAnsi="Times New Roman" w:cs="Times New Roman"/>
        </w:rPr>
        <w:t xml:space="preserve">  91-100% - jeles</w:t>
      </w:r>
    </w:p>
    <w:p w:rsidR="00253511" w:rsidRDefault="00253511" w:rsidP="00980876">
      <w:pPr>
        <w:widowControl w:val="0"/>
        <w:numPr>
          <w:ilvl w:val="0"/>
          <w:numId w:val="247"/>
        </w:numPr>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Az értékelés, az aláírás és a kreditek megszerzésének pontos feltételei: </w:t>
      </w:r>
    </w:p>
    <w:p w:rsidR="00253511" w:rsidRPr="00253511" w:rsidRDefault="00253511" w:rsidP="00980876">
      <w:pPr>
        <w:widowControl w:val="0"/>
        <w:numPr>
          <w:ilvl w:val="1"/>
          <w:numId w:val="247"/>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253511">
        <w:rPr>
          <w:rFonts w:ascii="Times New Roman" w:eastAsia="Times New Roman" w:hAnsi="Times New Roman" w:cs="Times New Roman"/>
          <w:b/>
        </w:rPr>
        <w:t xml:space="preserve">Az aláírás megszerzésének feltételei: </w:t>
      </w:r>
      <w:r w:rsidRPr="00253511">
        <w:rPr>
          <w:rFonts w:ascii="Times New Roman" w:eastAsia="Times New Roman" w:hAnsi="Times New Roman" w:cs="Times New Roman"/>
        </w:rPr>
        <w:t>Az aláírás megszerzésének feltétele a 14. pontban meghatározott ará</w:t>
      </w:r>
      <w:r>
        <w:rPr>
          <w:rFonts w:ascii="Times New Roman" w:eastAsia="Times New Roman" w:hAnsi="Times New Roman" w:cs="Times New Roman"/>
        </w:rPr>
        <w:t>nyú részvétel a foglalkozásokon és a 15. pontban meghatározott számonkérések legalább elédséges szintű teljesítése.</w:t>
      </w:r>
    </w:p>
    <w:p w:rsidR="00253511" w:rsidRDefault="00253511" w:rsidP="00980876">
      <w:pPr>
        <w:widowControl w:val="0"/>
        <w:numPr>
          <w:ilvl w:val="1"/>
          <w:numId w:val="247"/>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b/>
        </w:rPr>
      </w:pPr>
      <w:r>
        <w:rPr>
          <w:rFonts w:ascii="Times New Roman" w:eastAsia="Times New Roman" w:hAnsi="Times New Roman" w:cs="Times New Roman"/>
          <w:b/>
        </w:rPr>
        <w:t>Az értékelés:</w:t>
      </w:r>
      <w:r w:rsidRPr="00253511">
        <w:rPr>
          <w:rFonts w:ascii="Times New Roman" w:eastAsia="Times New Roman" w:hAnsi="Times New Roman" w:cs="Times New Roman"/>
        </w:rPr>
        <w:t xml:space="preserve"> </w:t>
      </w:r>
      <w:r>
        <w:rPr>
          <w:rFonts w:ascii="Times New Roman" w:eastAsia="Times New Roman" w:hAnsi="Times New Roman" w:cs="Times New Roman"/>
        </w:rPr>
        <w:t xml:space="preserve">félévközi jegy. </w:t>
      </w:r>
      <w:r w:rsidR="000D5D9E">
        <w:rPr>
          <w:rFonts w:ascii="Times New Roman" w:eastAsia="Times New Roman" w:hAnsi="Times New Roman" w:cs="Times New Roman"/>
        </w:rPr>
        <w:t xml:space="preserve">A félévközi jegy értékeét a 15. pontban meghatározott feladatok értékelésének és a zárthelyi dolgozat érdemjegyének kerekített számtani átlaga adja. </w:t>
      </w:r>
    </w:p>
    <w:p w:rsidR="00253511" w:rsidRPr="006402BC" w:rsidRDefault="00253511" w:rsidP="00980876">
      <w:pPr>
        <w:widowControl w:val="0"/>
        <w:numPr>
          <w:ilvl w:val="1"/>
          <w:numId w:val="247"/>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6402BC">
        <w:rPr>
          <w:rFonts w:ascii="Times New Roman" w:eastAsia="Times New Roman" w:hAnsi="Times New Roman" w:cs="Times New Roman"/>
          <w:b/>
        </w:rPr>
        <w:t xml:space="preserve">A kreditek megszerzésének feltételei: </w:t>
      </w:r>
      <w:r w:rsidRPr="006402BC">
        <w:rPr>
          <w:rFonts w:ascii="Times New Roman" w:eastAsia="Times New Roman" w:hAnsi="Times New Roman" w:cs="Times New Roman"/>
        </w:rPr>
        <w:t>A kreditek megszerzésének feltétele az aláírás megszerzése és legalább elégséges szintű félévközi értékelés.</w:t>
      </w:r>
    </w:p>
    <w:p w:rsidR="00253511" w:rsidRDefault="00253511" w:rsidP="00980876">
      <w:pPr>
        <w:widowControl w:val="0"/>
        <w:numPr>
          <w:ilvl w:val="0"/>
          <w:numId w:val="247"/>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Irodalomjegyzék:</w:t>
      </w:r>
    </w:p>
    <w:p w:rsidR="00253511" w:rsidRDefault="00253511" w:rsidP="00980876">
      <w:pPr>
        <w:widowControl w:val="0"/>
        <w:numPr>
          <w:ilvl w:val="1"/>
          <w:numId w:val="247"/>
        </w:numPr>
        <w:tabs>
          <w:tab w:val="clear" w:pos="3977"/>
          <w:tab w:val="left" w:pos="567"/>
          <w:tab w:val="num" w:pos="716"/>
          <w:tab w:val="left" w:pos="851"/>
          <w:tab w:val="num" w:pos="2069"/>
        </w:tabs>
        <w:spacing w:before="120" w:after="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Kötelező irodalom:</w:t>
      </w:r>
    </w:p>
    <w:p w:rsidR="00D8662C" w:rsidRPr="00A76F74" w:rsidRDefault="00D8662C" w:rsidP="00980876">
      <w:pPr>
        <w:numPr>
          <w:ilvl w:val="0"/>
          <w:numId w:val="779"/>
        </w:numPr>
        <w:tabs>
          <w:tab w:val="right" w:pos="851"/>
          <w:tab w:val="center" w:pos="4536"/>
          <w:tab w:val="right" w:pos="9072"/>
        </w:tabs>
        <w:spacing w:after="0" w:line="240" w:lineRule="auto"/>
        <w:jc w:val="both"/>
        <w:rPr>
          <w:rFonts w:ascii="Times New Roman" w:hAnsi="Times New Roman" w:cs="Times New Roman"/>
          <w:bCs/>
          <w:highlight w:val="yellow"/>
        </w:rPr>
      </w:pPr>
      <w:r w:rsidRPr="00A76F74">
        <w:rPr>
          <w:rFonts w:ascii="Times New Roman" w:hAnsi="Times New Roman" w:cs="Times New Roman"/>
          <w:bCs/>
          <w:highlight w:val="yellow"/>
        </w:rPr>
        <w:t>Holakovszki I.-Lukács T. (2019): A közbeszerzések hazai szabályozása. Nemzeti Közszolgálati Egyetem; Közigazgatási Továbbképzési Intézet,</w:t>
      </w:r>
    </w:p>
    <w:p w:rsidR="00D8662C" w:rsidRDefault="00D8662C" w:rsidP="00980876">
      <w:pPr>
        <w:numPr>
          <w:ilvl w:val="0"/>
          <w:numId w:val="779"/>
        </w:numPr>
        <w:tabs>
          <w:tab w:val="right" w:pos="851"/>
          <w:tab w:val="center" w:pos="4536"/>
          <w:tab w:val="right" w:pos="9072"/>
        </w:tabs>
        <w:spacing w:after="0" w:line="240" w:lineRule="auto"/>
        <w:jc w:val="both"/>
        <w:rPr>
          <w:rFonts w:ascii="Times New Roman" w:hAnsi="Times New Roman" w:cs="Times New Roman"/>
          <w:bCs/>
        </w:rPr>
      </w:pPr>
      <w:r>
        <w:rPr>
          <w:rFonts w:ascii="Times New Roman" w:hAnsi="Times New Roman" w:cs="Times New Roman"/>
          <w:bCs/>
        </w:rPr>
        <w:t xml:space="preserve">Boros Anita –Juhász Péter –Lantos Ottó –Tátrai Tünde (2013): A közbeszerzés alapjai. (II. fejezet, VII. fejezet, VIII. fejezet, XI. fejezet, XIII. fejezet –a 13.1.1. kivételével) Budapest: Wolters Kluwer Kiadó,pp. 15-31., 125-177., 281-319, 322-328. </w:t>
      </w:r>
    </w:p>
    <w:p w:rsidR="00D8662C" w:rsidRDefault="00D8662C" w:rsidP="00980876">
      <w:pPr>
        <w:numPr>
          <w:ilvl w:val="0"/>
          <w:numId w:val="779"/>
        </w:numPr>
        <w:tabs>
          <w:tab w:val="right" w:pos="851"/>
          <w:tab w:val="center" w:pos="4536"/>
          <w:tab w:val="right" w:pos="9072"/>
        </w:tabs>
        <w:spacing w:after="0" w:line="240" w:lineRule="auto"/>
        <w:jc w:val="both"/>
        <w:rPr>
          <w:rFonts w:ascii="Times New Roman" w:hAnsi="Times New Roman" w:cs="Times New Roman"/>
          <w:bCs/>
        </w:rPr>
      </w:pPr>
      <w:r>
        <w:rPr>
          <w:rFonts w:ascii="Times New Roman" w:hAnsi="Times New Roman" w:cs="Times New Roman"/>
          <w:bCs/>
        </w:rPr>
        <w:t>Derzsényi Attila: A katonai beszerzés a logisztikai támogatás rendszerében (PhD értekezés 2018, Budapest, NKE);</w:t>
      </w:r>
    </w:p>
    <w:p w:rsidR="00D8662C" w:rsidRDefault="00D8662C" w:rsidP="00980876">
      <w:pPr>
        <w:widowControl w:val="0"/>
        <w:numPr>
          <w:ilvl w:val="1"/>
          <w:numId w:val="247"/>
        </w:numPr>
        <w:tabs>
          <w:tab w:val="clear" w:pos="3977"/>
          <w:tab w:val="left" w:pos="567"/>
          <w:tab w:val="num" w:pos="716"/>
          <w:tab w:val="left" w:pos="851"/>
          <w:tab w:val="num" w:pos="2069"/>
        </w:tabs>
        <w:spacing w:before="120" w:after="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Ajánlott irodalom:</w:t>
      </w:r>
    </w:p>
    <w:p w:rsidR="00D8662C" w:rsidRPr="00A76F74" w:rsidRDefault="00D8662C" w:rsidP="00980876">
      <w:pPr>
        <w:numPr>
          <w:ilvl w:val="0"/>
          <w:numId w:val="780"/>
        </w:numPr>
        <w:tabs>
          <w:tab w:val="right" w:pos="851"/>
          <w:tab w:val="center" w:pos="4536"/>
          <w:tab w:val="right" w:pos="9072"/>
        </w:tabs>
        <w:spacing w:after="0" w:line="240" w:lineRule="auto"/>
        <w:ind w:left="709" w:hanging="283"/>
        <w:jc w:val="both"/>
        <w:rPr>
          <w:rFonts w:ascii="Times New Roman" w:eastAsia="Times New Roman" w:hAnsi="Times New Roman" w:cs="Times New Roman"/>
          <w:bCs/>
        </w:rPr>
      </w:pPr>
      <w:r>
        <w:rPr>
          <w:rFonts w:ascii="Times New Roman" w:hAnsi="Times New Roman" w:cs="Times New Roman"/>
          <w:bCs/>
        </w:rPr>
        <w:t>A szakirodalmakban hivatkozott jogszabályok, HM és MHP belső szabályzók</w:t>
      </w:r>
    </w:p>
    <w:p w:rsidR="00D8662C" w:rsidRPr="00A76F74" w:rsidRDefault="00D8662C" w:rsidP="00980876">
      <w:pPr>
        <w:numPr>
          <w:ilvl w:val="0"/>
          <w:numId w:val="780"/>
        </w:numPr>
        <w:tabs>
          <w:tab w:val="right" w:pos="851"/>
          <w:tab w:val="center" w:pos="4536"/>
          <w:tab w:val="right" w:pos="9072"/>
        </w:tabs>
        <w:spacing w:after="0" w:line="240" w:lineRule="auto"/>
        <w:ind w:left="709" w:hanging="283"/>
        <w:jc w:val="both"/>
        <w:rPr>
          <w:rFonts w:ascii="Times New Roman" w:hAnsi="Times New Roman" w:cs="Times New Roman"/>
          <w:bCs/>
          <w:highlight w:val="yellow"/>
        </w:rPr>
      </w:pPr>
      <w:r w:rsidRPr="00A76F74">
        <w:rPr>
          <w:rFonts w:ascii="Times New Roman" w:hAnsi="Times New Roman" w:cs="Times New Roman"/>
          <w:bCs/>
          <w:highlight w:val="yellow"/>
        </w:rPr>
        <w:t>Derzsényi Attila: KATONAI BESZERZÉS I., HADMÉRNÖK IX.: (1) pp. 25-39.</w:t>
      </w:r>
    </w:p>
    <w:p w:rsidR="00D8662C" w:rsidRPr="00A76F74" w:rsidRDefault="00D8662C" w:rsidP="00980876">
      <w:pPr>
        <w:numPr>
          <w:ilvl w:val="0"/>
          <w:numId w:val="780"/>
        </w:numPr>
        <w:tabs>
          <w:tab w:val="right" w:pos="851"/>
          <w:tab w:val="center" w:pos="4536"/>
          <w:tab w:val="right" w:pos="9072"/>
        </w:tabs>
        <w:spacing w:after="0" w:line="240" w:lineRule="auto"/>
        <w:ind w:left="709" w:hanging="283"/>
        <w:jc w:val="both"/>
        <w:rPr>
          <w:rFonts w:ascii="Times New Roman" w:hAnsi="Times New Roman" w:cs="Times New Roman"/>
          <w:bCs/>
          <w:highlight w:val="yellow"/>
        </w:rPr>
      </w:pPr>
      <w:r w:rsidRPr="00A76F74">
        <w:rPr>
          <w:rFonts w:ascii="Times New Roman" w:hAnsi="Times New Roman" w:cs="Times New Roman"/>
          <w:bCs/>
          <w:highlight w:val="yellow"/>
        </w:rPr>
        <w:t>Derzsényi Attila: KATONAI BESZERZÉS II., HADMÉRNÖK X: (2) pp. 135-147.</w:t>
      </w:r>
    </w:p>
    <w:p w:rsidR="00253511" w:rsidRDefault="00253511" w:rsidP="004A1361">
      <w:pPr>
        <w:widowControl w:val="0"/>
        <w:spacing w:before="120" w:after="120" w:line="240" w:lineRule="auto"/>
        <w:ind w:firstLine="426"/>
        <w:jc w:val="both"/>
        <w:rPr>
          <w:rFonts w:ascii="Times New Roman" w:eastAsia="Times New Roman" w:hAnsi="Times New Roman" w:cs="Times New Roman"/>
          <w:bCs/>
        </w:rPr>
      </w:pPr>
      <w:r>
        <w:rPr>
          <w:rFonts w:ascii="Times New Roman" w:eastAsia="Times New Roman" w:hAnsi="Times New Roman" w:cs="Times New Roman"/>
          <w:bCs/>
        </w:rPr>
        <w:t>Budapest, 2020. január 20.</w:t>
      </w:r>
    </w:p>
    <w:p w:rsidR="00253511" w:rsidRDefault="00253511" w:rsidP="00253511">
      <w:pPr>
        <w:widowControl w:val="0"/>
        <w:spacing w:after="0" w:line="240" w:lineRule="auto"/>
        <w:jc w:val="center"/>
        <w:rPr>
          <w:rFonts w:ascii="Times New Roman" w:hAnsi="Times New Roman" w:cs="Times New Roman"/>
          <w:b/>
          <w:bCs/>
        </w:rPr>
      </w:pPr>
      <w:r>
        <w:rPr>
          <w:rFonts w:ascii="Times New Roman" w:hAnsi="Times New Roman" w:cs="Times New Roman"/>
          <w:bCs/>
        </w:rPr>
        <w:t xml:space="preserve">                                                                                                                       </w:t>
      </w:r>
      <w:r>
        <w:rPr>
          <w:rFonts w:ascii="Times New Roman" w:hAnsi="Times New Roman" w:cs="Times New Roman"/>
          <w:b/>
          <w:bCs/>
        </w:rPr>
        <w:t>Dr. Derzsényi Attila (PhD)</w:t>
      </w:r>
    </w:p>
    <w:p w:rsidR="00A86AA9" w:rsidRDefault="00253511" w:rsidP="008B7723">
      <w:pPr>
        <w:widowControl w:val="0"/>
        <w:spacing w:after="0" w:line="240" w:lineRule="auto"/>
        <w:jc w:val="center"/>
        <w:rPr>
          <w:rFonts w:ascii="Times New Roman" w:hAnsi="Times New Roman" w:cs="Times New Roman"/>
          <w:sz w:val="24"/>
        </w:rPr>
      </w:pPr>
      <w:r>
        <w:rPr>
          <w:rFonts w:ascii="Times New Roman" w:hAnsi="Times New Roman" w:cs="Times New Roman"/>
          <w:bCs/>
        </w:rPr>
        <w:t xml:space="preserve">                                                                                                                      adjunktus</w:t>
      </w:r>
      <w:r>
        <w:rPr>
          <w:rFonts w:ascii="Times New Roman" w:eastAsia="Times New Roman" w:hAnsi="Times New Roman" w:cs="Times New Roman"/>
          <w:bCs/>
        </w:rPr>
        <w:t xml:space="preserve"> s.k.</w:t>
      </w:r>
      <w:r w:rsidR="00A86AA9">
        <w:rPr>
          <w:rFonts w:ascii="Times New Roman" w:hAnsi="Times New Roman" w:cs="Times New Roman"/>
          <w:sz w:val="24"/>
        </w:rPr>
        <w:br w:type="page"/>
      </w:r>
    </w:p>
    <w:p w:rsidR="007F6328" w:rsidRPr="000D7125" w:rsidRDefault="007F6328" w:rsidP="000D7125">
      <w:pPr>
        <w:pStyle w:val="Cmsor1"/>
        <w:spacing w:before="2040"/>
        <w:jc w:val="center"/>
        <w:rPr>
          <w:rFonts w:eastAsia="Calibri"/>
          <w:i w:val="0"/>
          <w:szCs w:val="22"/>
          <w:u w:val="none"/>
        </w:rPr>
      </w:pPr>
      <w:bookmarkStart w:id="59" w:name="_Toc37240848"/>
      <w:r w:rsidRPr="000D7125">
        <w:rPr>
          <w:rFonts w:eastAsia="Calibri"/>
          <w:i w:val="0"/>
          <w:szCs w:val="22"/>
          <w:u w:val="none"/>
        </w:rPr>
        <w:lastRenderedPageBreak/>
        <w:t>b) Katonai közlekedési specializáció</w:t>
      </w:r>
      <w:bookmarkEnd w:id="59"/>
    </w:p>
    <w:p w:rsidR="007F6328" w:rsidRDefault="007F6328" w:rsidP="00A86AA9">
      <w:pPr>
        <w:spacing w:after="200" w:line="276" w:lineRule="auto"/>
        <w:jc w:val="center"/>
        <w:rPr>
          <w:rFonts w:ascii="Times New Roman" w:hAnsi="Times New Roman" w:cs="Times New Roman"/>
          <w:b/>
          <w:color w:val="FF0000"/>
          <w:sz w:val="24"/>
        </w:rPr>
      </w:pPr>
    </w:p>
    <w:p w:rsidR="00A86AA9" w:rsidRDefault="00A86AA9" w:rsidP="00A86AA9">
      <w:pPr>
        <w:spacing w:after="200" w:line="276" w:lineRule="auto"/>
        <w:jc w:val="center"/>
        <w:rPr>
          <w:rFonts w:ascii="Times New Roman" w:hAnsi="Times New Roman" w:cs="Times New Roman"/>
          <w:sz w:val="24"/>
        </w:rPr>
      </w:pPr>
    </w:p>
    <w:p w:rsidR="00A86AA9" w:rsidRDefault="00A86AA9">
      <w:pPr>
        <w:spacing w:after="200" w:line="276" w:lineRule="auto"/>
        <w:rPr>
          <w:rFonts w:ascii="Times New Roman" w:hAnsi="Times New Roman" w:cs="Times New Roman"/>
          <w:sz w:val="24"/>
        </w:rPr>
      </w:pPr>
      <w:r>
        <w:rPr>
          <w:rFonts w:ascii="Times New Roman" w:hAnsi="Times New Roman" w:cs="Times New Roman"/>
          <w:sz w:val="24"/>
        </w:rPr>
        <w:br w:type="page"/>
      </w:r>
    </w:p>
    <w:tbl>
      <w:tblPr>
        <w:tblW w:w="9072" w:type="dxa"/>
        <w:tblInd w:w="113" w:type="dxa"/>
        <w:tblLook w:val="01E0" w:firstRow="1" w:lastRow="1" w:firstColumn="1" w:lastColumn="1" w:noHBand="0" w:noVBand="0"/>
      </w:tblPr>
      <w:tblGrid>
        <w:gridCol w:w="4855"/>
        <w:gridCol w:w="1620"/>
        <w:gridCol w:w="2597"/>
      </w:tblGrid>
      <w:tr w:rsidR="00AC403B" w:rsidRPr="00AC403B" w:rsidTr="00AC403B">
        <w:tc>
          <w:tcPr>
            <w:tcW w:w="4855" w:type="dxa"/>
            <w:tcBorders>
              <w:top w:val="nil"/>
              <w:left w:val="nil"/>
              <w:bottom w:val="single" w:sz="4" w:space="0" w:color="auto"/>
              <w:right w:val="nil"/>
            </w:tcBorders>
            <w:hideMark/>
          </w:tcPr>
          <w:p w:rsidR="00AC403B" w:rsidRPr="00AC403B" w:rsidRDefault="00AC403B">
            <w:pPr>
              <w:spacing w:after="0" w:line="240" w:lineRule="auto"/>
              <w:jc w:val="center"/>
              <w:rPr>
                <w:rFonts w:ascii="Times New Roman" w:eastAsia="Times New Roman" w:hAnsi="Times New Roman" w:cs="Times New Roman"/>
                <w:b/>
                <w:smallCaps/>
                <w:lang w:eastAsia="hu-HU"/>
              </w:rPr>
            </w:pPr>
            <w:r w:rsidRPr="00AC403B">
              <w:rPr>
                <w:rFonts w:ascii="Times New Roman" w:eastAsia="Times New Roman" w:hAnsi="Times New Roman" w:cs="Times New Roman"/>
                <w:b/>
                <w:smallCaps/>
                <w:lang w:eastAsia="hu-HU"/>
              </w:rPr>
              <w:lastRenderedPageBreak/>
              <w:t>Nemzeti Közszolgálati Egyetem</w:t>
            </w:r>
          </w:p>
        </w:tc>
        <w:tc>
          <w:tcPr>
            <w:tcW w:w="1620" w:type="dxa"/>
          </w:tcPr>
          <w:p w:rsidR="00AC403B" w:rsidRPr="00AC403B" w:rsidRDefault="00AC403B">
            <w:pPr>
              <w:spacing w:after="0" w:line="240" w:lineRule="auto"/>
              <w:jc w:val="both"/>
              <w:rPr>
                <w:rFonts w:ascii="Times New Roman" w:eastAsia="Times New Roman" w:hAnsi="Times New Roman" w:cs="Times New Roman"/>
                <w:lang w:eastAsia="hu-HU"/>
              </w:rPr>
            </w:pPr>
          </w:p>
        </w:tc>
        <w:tc>
          <w:tcPr>
            <w:tcW w:w="2597" w:type="dxa"/>
          </w:tcPr>
          <w:p w:rsidR="00AC403B" w:rsidRPr="00AC403B" w:rsidRDefault="00AC403B">
            <w:pPr>
              <w:spacing w:after="0" w:line="240" w:lineRule="auto"/>
              <w:jc w:val="right"/>
              <w:rPr>
                <w:rFonts w:ascii="Times New Roman" w:eastAsia="Times New Roman" w:hAnsi="Times New Roman" w:cs="Times New Roman"/>
                <w:lang w:eastAsia="hu-HU"/>
              </w:rPr>
            </w:pPr>
          </w:p>
        </w:tc>
      </w:tr>
      <w:tr w:rsidR="00AC403B" w:rsidRPr="00AC403B" w:rsidTr="00AC403B">
        <w:tc>
          <w:tcPr>
            <w:tcW w:w="4855" w:type="dxa"/>
            <w:tcBorders>
              <w:top w:val="single" w:sz="4" w:space="0" w:color="auto"/>
              <w:left w:val="nil"/>
              <w:bottom w:val="nil"/>
              <w:right w:val="nil"/>
            </w:tcBorders>
            <w:hideMark/>
          </w:tcPr>
          <w:p w:rsidR="00AC403B" w:rsidRPr="00AC403B" w:rsidRDefault="00AC403B">
            <w:pPr>
              <w:spacing w:after="0" w:line="240" w:lineRule="auto"/>
              <w:jc w:val="center"/>
              <w:rPr>
                <w:rFonts w:ascii="Times New Roman" w:eastAsia="Times New Roman" w:hAnsi="Times New Roman" w:cs="Times New Roman"/>
                <w:b/>
                <w:lang w:eastAsia="hu-HU"/>
              </w:rPr>
            </w:pPr>
            <w:r w:rsidRPr="00AC403B">
              <w:rPr>
                <w:rFonts w:ascii="Times New Roman" w:eastAsia="Times New Roman" w:hAnsi="Times New Roman" w:cs="Times New Roman"/>
                <w:b/>
                <w:lang w:eastAsia="hu-HU"/>
              </w:rPr>
              <w:t>Hadtudományi és Honvédtisztképző Kar</w:t>
            </w:r>
          </w:p>
        </w:tc>
        <w:tc>
          <w:tcPr>
            <w:tcW w:w="1620" w:type="dxa"/>
          </w:tcPr>
          <w:p w:rsidR="00AC403B" w:rsidRPr="00AC403B" w:rsidRDefault="00AC403B">
            <w:pPr>
              <w:spacing w:after="0" w:line="240" w:lineRule="auto"/>
              <w:jc w:val="both"/>
              <w:rPr>
                <w:rFonts w:ascii="Times New Roman" w:eastAsia="Times New Roman" w:hAnsi="Times New Roman" w:cs="Times New Roman"/>
                <w:lang w:eastAsia="hu-HU"/>
              </w:rPr>
            </w:pPr>
          </w:p>
        </w:tc>
        <w:tc>
          <w:tcPr>
            <w:tcW w:w="2597" w:type="dxa"/>
          </w:tcPr>
          <w:p w:rsidR="00AC403B" w:rsidRPr="00AC403B" w:rsidRDefault="00AC403B">
            <w:pPr>
              <w:spacing w:after="0" w:line="240" w:lineRule="auto"/>
              <w:jc w:val="both"/>
              <w:rPr>
                <w:rFonts w:ascii="Times New Roman" w:eastAsia="Times New Roman" w:hAnsi="Times New Roman" w:cs="Times New Roman"/>
                <w:lang w:eastAsia="hu-HU"/>
              </w:rPr>
            </w:pPr>
          </w:p>
        </w:tc>
      </w:tr>
    </w:tbl>
    <w:p w:rsidR="00AC403B" w:rsidRPr="00AC403B" w:rsidRDefault="00AC403B" w:rsidP="00AC403B">
      <w:pPr>
        <w:widowControl w:val="0"/>
        <w:spacing w:before="120" w:after="120" w:line="240" w:lineRule="auto"/>
        <w:ind w:left="426" w:hanging="142"/>
        <w:jc w:val="center"/>
        <w:rPr>
          <w:rFonts w:ascii="Times New Roman" w:eastAsia="Times New Roman" w:hAnsi="Times New Roman" w:cs="Times New Roman"/>
          <w:b/>
          <w:bCs/>
        </w:rPr>
      </w:pPr>
    </w:p>
    <w:p w:rsidR="00AC403B" w:rsidRPr="00AC403B" w:rsidRDefault="00AC403B" w:rsidP="00AC403B">
      <w:pPr>
        <w:widowControl w:val="0"/>
        <w:spacing w:before="120" w:after="120" w:line="240" w:lineRule="auto"/>
        <w:ind w:left="426" w:hanging="142"/>
        <w:jc w:val="center"/>
        <w:rPr>
          <w:rFonts w:ascii="Times New Roman" w:eastAsia="Times New Roman" w:hAnsi="Times New Roman" w:cs="Times New Roman"/>
          <w:b/>
          <w:bCs/>
        </w:rPr>
      </w:pPr>
      <w:r w:rsidRPr="00AC403B">
        <w:rPr>
          <w:rFonts w:ascii="Times New Roman" w:eastAsia="Times New Roman" w:hAnsi="Times New Roman" w:cs="Times New Roman"/>
          <w:b/>
          <w:bCs/>
        </w:rPr>
        <w:t>TANTÁRGYI PROGRAM</w:t>
      </w:r>
    </w:p>
    <w:p w:rsidR="00AC403B" w:rsidRPr="00AC403B" w:rsidRDefault="00AC403B" w:rsidP="00980876">
      <w:pPr>
        <w:widowControl w:val="0"/>
        <w:numPr>
          <w:ilvl w:val="0"/>
          <w:numId w:val="258"/>
        </w:numPr>
        <w:tabs>
          <w:tab w:val="num" w:pos="567"/>
        </w:tabs>
        <w:spacing w:before="120" w:after="120" w:line="240" w:lineRule="auto"/>
        <w:ind w:left="426" w:hanging="142"/>
        <w:jc w:val="both"/>
        <w:rPr>
          <w:rFonts w:ascii="Times New Roman" w:eastAsia="Times New Roman" w:hAnsi="Times New Roman" w:cs="Times New Roman"/>
          <w:b/>
          <w:bCs/>
        </w:rPr>
      </w:pPr>
      <w:r w:rsidRPr="00AC403B">
        <w:rPr>
          <w:rFonts w:ascii="Times New Roman" w:eastAsia="Times New Roman" w:hAnsi="Times New Roman" w:cs="Times New Roman"/>
          <w:b/>
          <w:bCs/>
        </w:rPr>
        <w:t xml:space="preserve">A tantárgy kódja: </w:t>
      </w:r>
      <w:r w:rsidRPr="00AC403B">
        <w:rPr>
          <w:rFonts w:ascii="Times New Roman" w:eastAsia="Times New Roman" w:hAnsi="Times New Roman" w:cs="Times New Roman"/>
          <w:bCs/>
        </w:rPr>
        <w:t>HKHPKA304</w:t>
      </w:r>
    </w:p>
    <w:p w:rsidR="00AC403B" w:rsidRPr="00AC403B" w:rsidRDefault="00AC403B" w:rsidP="00980876">
      <w:pPr>
        <w:widowControl w:val="0"/>
        <w:numPr>
          <w:ilvl w:val="0"/>
          <w:numId w:val="258"/>
        </w:numPr>
        <w:tabs>
          <w:tab w:val="num" w:pos="567"/>
        </w:tabs>
        <w:spacing w:before="120" w:after="120" w:line="240" w:lineRule="auto"/>
        <w:ind w:left="426" w:hanging="142"/>
        <w:jc w:val="both"/>
        <w:rPr>
          <w:rFonts w:ascii="Times New Roman" w:eastAsia="Times New Roman" w:hAnsi="Times New Roman" w:cs="Times New Roman"/>
          <w:b/>
          <w:bCs/>
          <w:lang w:val="en-GB"/>
        </w:rPr>
      </w:pPr>
      <w:r w:rsidRPr="00AC403B">
        <w:rPr>
          <w:rFonts w:ascii="Times New Roman" w:eastAsia="Times New Roman" w:hAnsi="Times New Roman" w:cs="Times New Roman"/>
          <w:b/>
          <w:bCs/>
        </w:rPr>
        <w:t>A tantárgy megnevezése (magyarul):</w:t>
      </w:r>
      <w:r w:rsidRPr="00AC403B">
        <w:rPr>
          <w:rFonts w:ascii="Times New Roman" w:eastAsia="Times New Roman" w:hAnsi="Times New Roman" w:cs="Times New Roman"/>
          <w:bCs/>
        </w:rPr>
        <w:t xml:space="preserve"> </w:t>
      </w:r>
      <w:r w:rsidRPr="00AC403B">
        <w:rPr>
          <w:rFonts w:ascii="Times New Roman" w:hAnsi="Times New Roman" w:cs="Times New Roman"/>
          <w:bCs/>
        </w:rPr>
        <w:t>Közlekedési folyamatok szabályozási rendszere I.</w:t>
      </w:r>
    </w:p>
    <w:p w:rsidR="00AC403B" w:rsidRPr="00AC403B" w:rsidRDefault="00AC403B" w:rsidP="00980876">
      <w:pPr>
        <w:widowControl w:val="0"/>
        <w:numPr>
          <w:ilvl w:val="0"/>
          <w:numId w:val="258"/>
        </w:numPr>
        <w:tabs>
          <w:tab w:val="num" w:pos="567"/>
        </w:tabs>
        <w:spacing w:before="120" w:after="120" w:line="240" w:lineRule="auto"/>
        <w:ind w:left="426" w:hanging="142"/>
        <w:jc w:val="both"/>
        <w:rPr>
          <w:rFonts w:ascii="Times New Roman" w:eastAsia="Times New Roman" w:hAnsi="Times New Roman" w:cs="Times New Roman"/>
          <w:b/>
          <w:bCs/>
          <w:lang w:val="en-GB"/>
        </w:rPr>
      </w:pPr>
      <w:r w:rsidRPr="00AC403B">
        <w:rPr>
          <w:rFonts w:ascii="Times New Roman" w:eastAsia="Times New Roman" w:hAnsi="Times New Roman" w:cs="Times New Roman"/>
          <w:b/>
          <w:bCs/>
        </w:rPr>
        <w:t xml:space="preserve">A tantárgy megnevezése (angolul): </w:t>
      </w:r>
      <w:r w:rsidRPr="00AC403B">
        <w:rPr>
          <w:rFonts w:ascii="Times New Roman" w:hAnsi="Times New Roman" w:cs="Times New Roman"/>
          <w:bCs/>
        </w:rPr>
        <w:t>Regulatory Regime of Transport Processes I.</w:t>
      </w:r>
    </w:p>
    <w:p w:rsidR="00AC403B" w:rsidRPr="00AC403B" w:rsidRDefault="00AC403B" w:rsidP="00980876">
      <w:pPr>
        <w:widowControl w:val="0"/>
        <w:numPr>
          <w:ilvl w:val="0"/>
          <w:numId w:val="258"/>
        </w:numPr>
        <w:tabs>
          <w:tab w:val="num" w:pos="567"/>
        </w:tabs>
        <w:spacing w:before="120" w:after="120" w:line="240" w:lineRule="auto"/>
        <w:ind w:left="426" w:hanging="142"/>
        <w:jc w:val="both"/>
        <w:rPr>
          <w:rFonts w:ascii="Times New Roman" w:eastAsia="Times New Roman" w:hAnsi="Times New Roman" w:cs="Times New Roman"/>
          <w:b/>
          <w:bCs/>
        </w:rPr>
      </w:pPr>
      <w:r w:rsidRPr="00AC403B">
        <w:rPr>
          <w:rFonts w:ascii="Times New Roman" w:eastAsia="Times New Roman" w:hAnsi="Times New Roman" w:cs="Times New Roman"/>
          <w:b/>
          <w:bCs/>
        </w:rPr>
        <w:t xml:space="preserve">Kreditérték és képzési karakter: </w:t>
      </w:r>
    </w:p>
    <w:p w:rsidR="00AC403B" w:rsidRPr="00AC403B" w:rsidRDefault="00AC403B" w:rsidP="00980876">
      <w:pPr>
        <w:pStyle w:val="Listaszerbekezds"/>
        <w:widowControl w:val="0"/>
        <w:numPr>
          <w:ilvl w:val="1"/>
          <w:numId w:val="258"/>
        </w:numPr>
        <w:spacing w:before="120" w:after="120" w:line="240" w:lineRule="auto"/>
        <w:ind w:left="993" w:hanging="426"/>
        <w:jc w:val="both"/>
        <w:rPr>
          <w:rFonts w:ascii="Times New Roman" w:eastAsia="Times New Roman" w:hAnsi="Times New Roman" w:cs="Times New Roman"/>
          <w:b/>
          <w:bCs/>
        </w:rPr>
      </w:pPr>
      <w:r w:rsidRPr="00AC403B">
        <w:rPr>
          <w:rFonts w:ascii="Times New Roman" w:eastAsia="Times New Roman" w:hAnsi="Times New Roman" w:cs="Times New Roman"/>
          <w:bCs/>
        </w:rPr>
        <w:t>4 kredit</w:t>
      </w:r>
    </w:p>
    <w:p w:rsidR="00AC403B" w:rsidRPr="00AC403B" w:rsidRDefault="00AC403B" w:rsidP="00980876">
      <w:pPr>
        <w:pStyle w:val="Listaszerbekezds"/>
        <w:widowControl w:val="0"/>
        <w:numPr>
          <w:ilvl w:val="1"/>
          <w:numId w:val="258"/>
        </w:numPr>
        <w:spacing w:before="120" w:after="120" w:line="240" w:lineRule="auto"/>
        <w:ind w:left="993" w:hanging="426"/>
        <w:jc w:val="both"/>
        <w:rPr>
          <w:rFonts w:ascii="Times New Roman" w:eastAsia="Times New Roman" w:hAnsi="Times New Roman" w:cs="Times New Roman"/>
          <w:b/>
          <w:bCs/>
        </w:rPr>
      </w:pPr>
      <w:r w:rsidRPr="00AC403B">
        <w:rPr>
          <w:rFonts w:ascii="Times New Roman" w:eastAsia="Times New Roman" w:hAnsi="Times New Roman" w:cs="Times New Roman"/>
          <w:bCs/>
        </w:rPr>
        <w:t>a tantárgy elméleti vagy gyakorlati jellegének mértéke: 25</w:t>
      </w:r>
      <w:r w:rsidRPr="00AC403B">
        <w:rPr>
          <w:rFonts w:ascii="Times New Roman" w:eastAsia="Times New Roman" w:hAnsi="Times New Roman" w:cs="Times New Roman"/>
          <w:b/>
          <w:bCs/>
        </w:rPr>
        <w:t xml:space="preserve"> </w:t>
      </w:r>
      <w:r w:rsidRPr="00AC403B">
        <w:rPr>
          <w:rFonts w:ascii="Times New Roman" w:eastAsia="Times New Roman" w:hAnsi="Times New Roman" w:cs="Times New Roman"/>
          <w:bCs/>
        </w:rPr>
        <w:t>% gyakorlat, 75 % elmélet</w:t>
      </w:r>
    </w:p>
    <w:p w:rsidR="00AC403B" w:rsidRPr="00AC403B" w:rsidRDefault="00AC403B" w:rsidP="00980876">
      <w:pPr>
        <w:widowControl w:val="0"/>
        <w:numPr>
          <w:ilvl w:val="0"/>
          <w:numId w:val="258"/>
        </w:numPr>
        <w:spacing w:before="120" w:after="120" w:line="240" w:lineRule="auto"/>
        <w:ind w:left="426" w:hanging="142"/>
        <w:jc w:val="both"/>
        <w:rPr>
          <w:rFonts w:ascii="Times New Roman" w:eastAsia="Times New Roman" w:hAnsi="Times New Roman" w:cs="Times New Roman"/>
          <w:bCs/>
        </w:rPr>
      </w:pPr>
      <w:r w:rsidRPr="00AC403B">
        <w:rPr>
          <w:rFonts w:ascii="Times New Roman" w:eastAsia="Times New Roman" w:hAnsi="Times New Roman" w:cs="Times New Roman"/>
          <w:b/>
          <w:bCs/>
        </w:rPr>
        <w:t>A szak(ok), szakirányok/specializációk megnevezése (ahol oktatják):</w:t>
      </w:r>
      <w:r w:rsidRPr="00AC403B">
        <w:rPr>
          <w:rFonts w:ascii="Times New Roman" w:eastAsia="Times New Roman" w:hAnsi="Times New Roman" w:cs="Times New Roman"/>
          <w:bCs/>
        </w:rPr>
        <w:t xml:space="preserve"> Katonai logisztika alapképzési szak, Katonai közlekedési specializáció</w:t>
      </w:r>
    </w:p>
    <w:p w:rsidR="00AC403B" w:rsidRPr="00AC403B" w:rsidRDefault="00AC403B" w:rsidP="00980876">
      <w:pPr>
        <w:widowControl w:val="0"/>
        <w:numPr>
          <w:ilvl w:val="0"/>
          <w:numId w:val="258"/>
        </w:numPr>
        <w:tabs>
          <w:tab w:val="num" w:pos="567"/>
        </w:tabs>
        <w:spacing w:before="120" w:after="120" w:line="240" w:lineRule="auto"/>
        <w:ind w:left="426" w:hanging="142"/>
        <w:jc w:val="both"/>
        <w:rPr>
          <w:rFonts w:ascii="Times New Roman" w:eastAsia="Times New Roman" w:hAnsi="Times New Roman" w:cs="Times New Roman"/>
          <w:bCs/>
        </w:rPr>
      </w:pPr>
      <w:r w:rsidRPr="00AC403B">
        <w:rPr>
          <w:rFonts w:ascii="Times New Roman" w:eastAsia="Times New Roman" w:hAnsi="Times New Roman" w:cs="Times New Roman"/>
          <w:b/>
          <w:bCs/>
        </w:rPr>
        <w:t xml:space="preserve">Az oktatásért felelős oktatási szervezeti egység megnevezése: </w:t>
      </w:r>
      <w:r w:rsidRPr="00AC403B">
        <w:rPr>
          <w:rFonts w:ascii="Times New Roman" w:eastAsia="Times New Roman" w:hAnsi="Times New Roman" w:cs="Times New Roman"/>
          <w:bCs/>
        </w:rPr>
        <w:t>NKE HHK, Hadtáp, Pénzügyi és Katonai Közlekedési Tanszék</w:t>
      </w:r>
    </w:p>
    <w:p w:rsidR="00AC403B" w:rsidRPr="00AC403B" w:rsidRDefault="00AC403B" w:rsidP="00980876">
      <w:pPr>
        <w:widowControl w:val="0"/>
        <w:numPr>
          <w:ilvl w:val="0"/>
          <w:numId w:val="258"/>
        </w:numPr>
        <w:tabs>
          <w:tab w:val="num" w:pos="567"/>
        </w:tabs>
        <w:spacing w:before="120" w:after="120" w:line="240" w:lineRule="auto"/>
        <w:ind w:left="426" w:hanging="142"/>
        <w:jc w:val="both"/>
        <w:rPr>
          <w:rFonts w:ascii="Times New Roman" w:eastAsia="Times New Roman" w:hAnsi="Times New Roman" w:cs="Times New Roman"/>
          <w:bCs/>
        </w:rPr>
      </w:pPr>
      <w:r w:rsidRPr="00AC403B">
        <w:rPr>
          <w:rFonts w:ascii="Times New Roman" w:eastAsia="Times New Roman" w:hAnsi="Times New Roman" w:cs="Times New Roman"/>
          <w:b/>
          <w:bCs/>
        </w:rPr>
        <w:t>A tantárgyfelelős oktató neve, beosztása, tudományos fokozata:</w:t>
      </w:r>
      <w:r w:rsidRPr="00AC403B">
        <w:rPr>
          <w:rFonts w:ascii="Times New Roman" w:eastAsia="Times New Roman" w:hAnsi="Times New Roman" w:cs="Times New Roman"/>
          <w:bCs/>
        </w:rPr>
        <w:t xml:space="preserve"> </w:t>
      </w:r>
      <w:r w:rsidRPr="00AC403B">
        <w:rPr>
          <w:rFonts w:ascii="Times New Roman" w:hAnsi="Times New Roman" w:cs="Times New Roman"/>
          <w:lang w:eastAsia="x-none"/>
        </w:rPr>
        <w:t>Dr. Szászi Gábor egyetemi docens, PhD</w:t>
      </w:r>
    </w:p>
    <w:p w:rsidR="00AC403B" w:rsidRPr="00AC403B" w:rsidRDefault="00AC403B" w:rsidP="00980876">
      <w:pPr>
        <w:widowControl w:val="0"/>
        <w:numPr>
          <w:ilvl w:val="0"/>
          <w:numId w:val="258"/>
        </w:numPr>
        <w:spacing w:before="120" w:after="120" w:line="240" w:lineRule="auto"/>
        <w:ind w:left="426" w:hanging="142"/>
        <w:jc w:val="both"/>
        <w:rPr>
          <w:rFonts w:ascii="Times New Roman" w:eastAsia="Times New Roman" w:hAnsi="Times New Roman" w:cs="Times New Roman"/>
          <w:bCs/>
        </w:rPr>
      </w:pPr>
      <w:r w:rsidRPr="00AC403B">
        <w:rPr>
          <w:rFonts w:ascii="Times New Roman" w:eastAsia="Times New Roman" w:hAnsi="Times New Roman" w:cs="Times New Roman"/>
          <w:b/>
          <w:bCs/>
        </w:rPr>
        <w:t>A tanórák száma és típusa</w:t>
      </w:r>
    </w:p>
    <w:p w:rsidR="00AC403B" w:rsidRPr="00AC403B" w:rsidRDefault="00AC403B" w:rsidP="00980876">
      <w:pPr>
        <w:widowControl w:val="0"/>
        <w:numPr>
          <w:ilvl w:val="1"/>
          <w:numId w:val="258"/>
        </w:numPr>
        <w:tabs>
          <w:tab w:val="num" w:pos="709"/>
          <w:tab w:val="num" w:pos="2069"/>
        </w:tabs>
        <w:spacing w:before="120" w:after="120" w:line="240" w:lineRule="auto"/>
        <w:ind w:left="851" w:hanging="425"/>
        <w:jc w:val="both"/>
        <w:rPr>
          <w:rFonts w:ascii="Times New Roman" w:eastAsia="Times New Roman" w:hAnsi="Times New Roman" w:cs="Times New Roman"/>
          <w:bCs/>
        </w:rPr>
      </w:pPr>
      <w:r w:rsidRPr="00AC403B">
        <w:rPr>
          <w:rFonts w:ascii="Times New Roman" w:eastAsia="Times New Roman" w:hAnsi="Times New Roman" w:cs="Times New Roman"/>
          <w:bCs/>
        </w:rPr>
        <w:t>össz óraszám/félév: 56</w:t>
      </w:r>
    </w:p>
    <w:p w:rsidR="00AC403B" w:rsidRPr="00AC403B" w:rsidRDefault="00AC403B" w:rsidP="00980876">
      <w:pPr>
        <w:widowControl w:val="0"/>
        <w:numPr>
          <w:ilvl w:val="2"/>
          <w:numId w:val="258"/>
        </w:numPr>
        <w:tabs>
          <w:tab w:val="num" w:pos="709"/>
          <w:tab w:val="num" w:pos="1134"/>
        </w:tabs>
        <w:spacing w:before="120" w:after="120" w:line="240" w:lineRule="auto"/>
        <w:ind w:left="1134" w:hanging="425"/>
        <w:jc w:val="both"/>
        <w:rPr>
          <w:rFonts w:ascii="Times New Roman" w:eastAsia="Times New Roman" w:hAnsi="Times New Roman" w:cs="Times New Roman"/>
          <w:bCs/>
        </w:rPr>
      </w:pPr>
      <w:r w:rsidRPr="00AC403B">
        <w:rPr>
          <w:rFonts w:ascii="Times New Roman" w:eastAsia="Times New Roman" w:hAnsi="Times New Roman" w:cs="Times New Roman"/>
          <w:bCs/>
        </w:rPr>
        <w:t>nappali munkarend: 56 (42 EA + 0 SZ + 14 GY)</w:t>
      </w:r>
    </w:p>
    <w:p w:rsidR="00AC403B" w:rsidRPr="00AC403B" w:rsidRDefault="00AC403B" w:rsidP="00980876">
      <w:pPr>
        <w:widowControl w:val="0"/>
        <w:numPr>
          <w:ilvl w:val="2"/>
          <w:numId w:val="258"/>
        </w:numPr>
        <w:tabs>
          <w:tab w:val="num" w:pos="709"/>
          <w:tab w:val="num" w:pos="1134"/>
        </w:tabs>
        <w:spacing w:before="120" w:after="120" w:line="240" w:lineRule="auto"/>
        <w:ind w:left="1134" w:hanging="425"/>
        <w:jc w:val="both"/>
        <w:rPr>
          <w:rFonts w:ascii="Times New Roman" w:eastAsia="Times New Roman" w:hAnsi="Times New Roman" w:cs="Times New Roman"/>
          <w:bCs/>
        </w:rPr>
      </w:pPr>
      <w:r w:rsidRPr="00AC403B">
        <w:rPr>
          <w:rFonts w:ascii="Times New Roman" w:eastAsia="Times New Roman" w:hAnsi="Times New Roman" w:cs="Times New Roman"/>
          <w:bCs/>
        </w:rPr>
        <w:t>levelező munkarend: 0 (0 EA + 0 SZ + 0 GY)</w:t>
      </w:r>
    </w:p>
    <w:p w:rsidR="00AC403B" w:rsidRPr="00AC403B" w:rsidRDefault="00AC403B" w:rsidP="00980876">
      <w:pPr>
        <w:widowControl w:val="0"/>
        <w:numPr>
          <w:ilvl w:val="1"/>
          <w:numId w:val="258"/>
        </w:numPr>
        <w:tabs>
          <w:tab w:val="num" w:pos="709"/>
          <w:tab w:val="num" w:pos="2069"/>
        </w:tabs>
        <w:spacing w:before="120" w:after="120" w:line="240" w:lineRule="auto"/>
        <w:ind w:left="851" w:hanging="425"/>
        <w:jc w:val="both"/>
        <w:rPr>
          <w:rFonts w:ascii="Times New Roman" w:eastAsia="Times New Roman" w:hAnsi="Times New Roman" w:cs="Times New Roman"/>
          <w:bCs/>
        </w:rPr>
      </w:pPr>
      <w:r w:rsidRPr="00AC403B">
        <w:rPr>
          <w:rFonts w:ascii="Times New Roman" w:eastAsia="Times New Roman" w:hAnsi="Times New Roman" w:cs="Times New Roman"/>
          <w:bCs/>
        </w:rPr>
        <w:t xml:space="preserve">heti óraszám - nappali munkarend: </w:t>
      </w:r>
      <w:r w:rsidRPr="00AC403B">
        <w:rPr>
          <w:rFonts w:ascii="Times New Roman" w:eastAsia="Times New Roman" w:hAnsi="Times New Roman" w:cs="Times New Roman"/>
        </w:rPr>
        <w:t>4</w:t>
      </w:r>
    </w:p>
    <w:p w:rsidR="00AC403B" w:rsidRPr="00AC403B" w:rsidRDefault="00AC403B" w:rsidP="00980876">
      <w:pPr>
        <w:widowControl w:val="0"/>
        <w:numPr>
          <w:ilvl w:val="1"/>
          <w:numId w:val="258"/>
        </w:numPr>
        <w:tabs>
          <w:tab w:val="num" w:pos="709"/>
          <w:tab w:val="num" w:pos="2069"/>
        </w:tabs>
        <w:spacing w:before="120" w:after="120" w:line="240" w:lineRule="auto"/>
        <w:ind w:left="851" w:hanging="425"/>
        <w:jc w:val="both"/>
        <w:rPr>
          <w:rFonts w:ascii="Times New Roman" w:eastAsia="Times New Roman" w:hAnsi="Times New Roman" w:cs="Times New Roman"/>
          <w:bCs/>
        </w:rPr>
      </w:pPr>
      <w:r w:rsidRPr="00AC403B">
        <w:rPr>
          <w:rFonts w:ascii="Times New Roman" w:hAnsi="Times New Roman" w:cs="Times New Roman"/>
        </w:rPr>
        <w:t>Az ismeret átadásában alkalmazandó további sajátos módok, jellemzők: -</w:t>
      </w:r>
    </w:p>
    <w:p w:rsidR="00AC403B" w:rsidRPr="00AC403B" w:rsidRDefault="00AC403B" w:rsidP="00980876">
      <w:pPr>
        <w:widowControl w:val="0"/>
        <w:numPr>
          <w:ilvl w:val="0"/>
          <w:numId w:val="258"/>
        </w:numPr>
        <w:spacing w:before="120" w:after="120" w:line="240" w:lineRule="auto"/>
        <w:ind w:left="426" w:hanging="142"/>
        <w:jc w:val="both"/>
        <w:rPr>
          <w:rFonts w:ascii="Times New Roman" w:eastAsia="Times New Roman" w:hAnsi="Times New Roman" w:cs="Times New Roman"/>
          <w:bCs/>
        </w:rPr>
      </w:pPr>
      <w:r w:rsidRPr="00AC403B">
        <w:rPr>
          <w:rFonts w:ascii="Times New Roman" w:eastAsia="Times New Roman" w:hAnsi="Times New Roman" w:cs="Times New Roman"/>
          <w:b/>
          <w:bCs/>
        </w:rPr>
        <w:t>A tantárgy szakmai tartalma (magyarul):</w:t>
      </w:r>
      <w:r w:rsidRPr="00AC403B">
        <w:rPr>
          <w:rFonts w:ascii="Times New Roman" w:eastAsia="Times New Roman" w:hAnsi="Times New Roman" w:cs="Times New Roman"/>
          <w:bCs/>
        </w:rPr>
        <w:t xml:space="preserve"> </w:t>
      </w:r>
      <w:r w:rsidRPr="00AC403B">
        <w:rPr>
          <w:rFonts w:ascii="Times New Roman" w:hAnsi="Times New Roman" w:cs="Times New Roman"/>
          <w:bCs/>
        </w:rPr>
        <w:t>A közlekedés közigazgatási-jogi keretei, a közlekedési szolgáltatás nyújtásának jogi előfeltételei. A fuvarjog fogalma, helye a jogrendszerben. A fuvarozási szerződés fogalma, alanyai, a szerződés megkötése és megerősítése. A fuvarozó felelősségének alapjai. Az aktuális jogszabályok katonai szállítási folyamatok tervezése, szervezése során történő alkalmazása.</w:t>
      </w:r>
      <w:r w:rsidRPr="00AC403B">
        <w:rPr>
          <w:rFonts w:ascii="Times New Roman" w:hAnsi="Times New Roman" w:cs="Times New Roman"/>
        </w:rPr>
        <w:t xml:space="preserve"> Árelméleti alapok. Díjszabás fogalma, feladata, vele szemben támasztott követelmények. Áru- és személydíjszabási rendszerek. A közlekedési díjképzés folyamata, sajátosságai. Díjszabási segédeszközök. Tarifapolitika. Díjszabási kooperáció. A katonai szállítások díjképzésének sajátosságai.</w:t>
      </w:r>
    </w:p>
    <w:p w:rsidR="00AC403B" w:rsidRPr="00AC403B" w:rsidRDefault="00AC403B" w:rsidP="00AC403B">
      <w:pPr>
        <w:widowControl w:val="0"/>
        <w:spacing w:before="120" w:after="120" w:line="240" w:lineRule="auto"/>
        <w:ind w:left="426"/>
        <w:jc w:val="both"/>
        <w:rPr>
          <w:rFonts w:ascii="Times New Roman" w:eastAsia="Times New Roman" w:hAnsi="Times New Roman" w:cs="Times New Roman"/>
          <w:bCs/>
          <w:lang w:val="en-GB"/>
        </w:rPr>
      </w:pPr>
      <w:r w:rsidRPr="00AC403B">
        <w:rPr>
          <w:rFonts w:ascii="Times New Roman" w:eastAsia="Times New Roman" w:hAnsi="Times New Roman" w:cs="Times New Roman"/>
          <w:b/>
          <w:bCs/>
        </w:rPr>
        <w:t>A tantárgy szakmai tartalma (angolul) (</w:t>
      </w:r>
      <w:r w:rsidRPr="00AC403B">
        <w:rPr>
          <w:rFonts w:ascii="Times New Roman" w:eastAsia="Times New Roman" w:hAnsi="Times New Roman" w:cs="Times New Roman"/>
          <w:b/>
          <w:bCs/>
          <w:lang w:val="en-US"/>
        </w:rPr>
        <w:t>Course description</w:t>
      </w:r>
      <w:r w:rsidRPr="00AC403B">
        <w:rPr>
          <w:rFonts w:ascii="Times New Roman" w:eastAsia="Times New Roman" w:hAnsi="Times New Roman" w:cs="Times New Roman"/>
          <w:b/>
          <w:bCs/>
        </w:rPr>
        <w:t xml:space="preserve">): </w:t>
      </w:r>
      <w:r w:rsidRPr="00AC403B">
        <w:rPr>
          <w:rFonts w:ascii="Times New Roman" w:hAnsi="Times New Roman" w:cs="Times New Roman"/>
          <w:bCs/>
        </w:rPr>
        <w:t>The legal-administrative regulation of transportation, the legal preconditions of providing transportation services. The concept and place of transport law in the legal system. The concept, the parties, the binding of transport contract/agreement and its confirmation. The basic responsibilities of the shipper. Employment of current laws in the process of planning and organizing the military transportation processes. Basics of cost theoretics. The concept, task and requirements of setting tariffs. Systems of setting individual and merchandise based tariffs. The process and features of trasportation pricing. Tools of pricing, tariff policy, cooperation in setting tariffs. The characteristics of military trasportation pricing.</w:t>
      </w:r>
    </w:p>
    <w:p w:rsidR="00AC403B" w:rsidRPr="00AC403B" w:rsidRDefault="00AC403B" w:rsidP="00980876">
      <w:pPr>
        <w:pStyle w:val="Listaszerbekezds"/>
        <w:widowControl w:val="0"/>
        <w:numPr>
          <w:ilvl w:val="0"/>
          <w:numId w:val="258"/>
        </w:numPr>
        <w:spacing w:before="120" w:after="120" w:line="240" w:lineRule="auto"/>
        <w:jc w:val="both"/>
        <w:rPr>
          <w:rFonts w:ascii="Times New Roman" w:eastAsia="Times New Roman" w:hAnsi="Times New Roman" w:cs="Times New Roman"/>
          <w:bCs/>
        </w:rPr>
      </w:pPr>
      <w:r w:rsidRPr="00AC403B">
        <w:rPr>
          <w:rFonts w:ascii="Times New Roman" w:eastAsia="Times New Roman" w:hAnsi="Times New Roman" w:cs="Times New Roman"/>
          <w:b/>
          <w:bCs/>
        </w:rPr>
        <w:t xml:space="preserve">Elérendő kompetenciák (magyarul): </w:t>
      </w:r>
    </w:p>
    <w:p w:rsidR="00AC403B" w:rsidRPr="00AC403B" w:rsidRDefault="00AC403B" w:rsidP="00AC403B">
      <w:pPr>
        <w:autoSpaceDE w:val="0"/>
        <w:autoSpaceDN w:val="0"/>
        <w:adjustRightInd w:val="0"/>
        <w:spacing w:before="120" w:after="0" w:line="240" w:lineRule="auto"/>
        <w:ind w:left="425"/>
        <w:jc w:val="both"/>
        <w:rPr>
          <w:rFonts w:ascii="Times New Roman" w:eastAsia="Times New Roman" w:hAnsi="Times New Roman" w:cs="Times New Roman"/>
          <w:b/>
          <w:bCs/>
        </w:rPr>
      </w:pPr>
      <w:r w:rsidRPr="00AC403B">
        <w:rPr>
          <w:rFonts w:ascii="Times New Roman" w:eastAsia="Times New Roman" w:hAnsi="Times New Roman" w:cs="Times New Roman"/>
          <w:b/>
          <w:bCs/>
        </w:rPr>
        <w:t xml:space="preserve">Tudása: </w:t>
      </w:r>
    </w:p>
    <w:p w:rsidR="00AC403B" w:rsidRPr="00AC403B" w:rsidRDefault="00AC403B"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C403B">
        <w:rPr>
          <w:rFonts w:ascii="Times New Roman" w:hAnsi="Times New Roman" w:cs="Times New Roman"/>
        </w:rPr>
        <w:t>Ismeri a katonai közlekedési szakterülethez szervesen kapcsolódó logisztikai, menedzsment, környezetvédelmi, minőségbiztosítási, információtechnológiai, jogi, közgazdasági szakterületek alapjait és követelményeit.</w:t>
      </w:r>
    </w:p>
    <w:p w:rsidR="00AC403B" w:rsidRPr="00AC403B" w:rsidRDefault="00AC403B"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C403B">
        <w:rPr>
          <w:rFonts w:ascii="Times New Roman" w:hAnsi="Times New Roman" w:cs="Times New Roman"/>
        </w:rPr>
        <w:lastRenderedPageBreak/>
        <w:t>Ismeri a katonai közlekedési szakterület szaktechnikai eszközeit, a közlekedési pályákat és létesítményeiket, azok igénybevételének és üzemeltetésének szabályait.</w:t>
      </w:r>
    </w:p>
    <w:p w:rsidR="00AC403B" w:rsidRPr="00AC403B" w:rsidRDefault="00AC403B"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C403B">
        <w:rPr>
          <w:rFonts w:ascii="Times New Roman" w:hAnsi="Times New Roman" w:cs="Times New Roman"/>
        </w:rPr>
        <w:t>Ismeri a katonai közlekedési szakanyagok készletezésének, tárolásának, nyilvántartásának és leltározásának, valamint ezen folyamatok ellenőrzésének feladatait és kötelezettségeit.</w:t>
      </w:r>
    </w:p>
    <w:p w:rsidR="00AC403B" w:rsidRPr="00AC403B" w:rsidRDefault="00AC403B"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C403B">
        <w:rPr>
          <w:rFonts w:ascii="Times New Roman" w:hAnsi="Times New Roman" w:cs="Times New Roman"/>
        </w:rPr>
        <w:t>Mélyrehatóan ismeri a katonai közlekedési szakterület szakmai feladatait, a közlekedési szakfeladatok rendszerét, az egyes feladatok végrehajtásának sajátosságait.</w:t>
      </w:r>
    </w:p>
    <w:p w:rsidR="00AC403B" w:rsidRPr="00AC403B" w:rsidRDefault="00AC403B"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C403B">
        <w:rPr>
          <w:rFonts w:ascii="Times New Roman" w:hAnsi="Times New Roman" w:cs="Times New Roman"/>
        </w:rPr>
        <w:t>Ismeri a katonai közlekedési igények felmérésének módszereit és megvalósítási lehetőségeit, gyakorlatát.</w:t>
      </w:r>
    </w:p>
    <w:p w:rsidR="00AC403B" w:rsidRPr="00AC403B" w:rsidRDefault="00AC403B" w:rsidP="00AC403B">
      <w:pPr>
        <w:autoSpaceDE w:val="0"/>
        <w:autoSpaceDN w:val="0"/>
        <w:adjustRightInd w:val="0"/>
        <w:spacing w:before="120" w:after="0" w:line="240" w:lineRule="auto"/>
        <w:ind w:left="425"/>
        <w:jc w:val="both"/>
        <w:rPr>
          <w:rFonts w:ascii="Times New Roman" w:eastAsia="Times New Roman" w:hAnsi="Times New Roman" w:cs="Times New Roman"/>
          <w:bCs/>
        </w:rPr>
      </w:pPr>
      <w:r w:rsidRPr="00AC403B">
        <w:rPr>
          <w:rFonts w:ascii="Times New Roman" w:eastAsia="Times New Roman" w:hAnsi="Times New Roman" w:cs="Times New Roman"/>
          <w:b/>
          <w:bCs/>
        </w:rPr>
        <w:t>Képességei:</w:t>
      </w:r>
      <w:r w:rsidRPr="00AC403B">
        <w:rPr>
          <w:rFonts w:ascii="Times New Roman" w:eastAsia="Times New Roman" w:hAnsi="Times New Roman" w:cs="Times New Roman"/>
          <w:bCs/>
        </w:rPr>
        <w:t xml:space="preserve"> </w:t>
      </w:r>
    </w:p>
    <w:p w:rsidR="00AC403B" w:rsidRPr="00AC403B" w:rsidRDefault="00AC403B"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C403B">
        <w:rPr>
          <w:rFonts w:ascii="Times New Roman" w:hAnsi="Times New Roman" w:cs="Times New Roman"/>
        </w:rPr>
        <w:t>Az általános és specifikus katonai ismeretei és készségei birtokában képes a katonai közlekedési, mozgatási, szállítási feladatok tervezésére, szervezésére és vezetésére.</w:t>
      </w:r>
    </w:p>
    <w:p w:rsidR="00AC403B" w:rsidRPr="00AC403B" w:rsidRDefault="00AC403B"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C403B">
        <w:rPr>
          <w:rFonts w:ascii="Times New Roman" w:hAnsi="Times New Roman" w:cs="Times New Roman"/>
        </w:rPr>
        <w:t>Képes békeidőszakban, válságkezelő, katasztrófa-elhárítási, béketámogató és háborús műveletekben, nemzeti és többnemzeti környezetben a szállító szakalegységek alaprendeltetéséből fakadó feladatai végrehajtásának vezetésére.</w:t>
      </w:r>
    </w:p>
    <w:p w:rsidR="00AC403B" w:rsidRPr="00AC403B" w:rsidRDefault="00AC403B"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C403B">
        <w:rPr>
          <w:rFonts w:ascii="Times New Roman" w:hAnsi="Times New Roman" w:cs="Times New Roman"/>
        </w:rPr>
        <w:t>Képes a közlekedési hálózatok katonai célú alkalmazásának tervezésére, szervezésére és végrehajtására.</w:t>
      </w:r>
    </w:p>
    <w:p w:rsidR="00AC403B" w:rsidRPr="00AC403B" w:rsidRDefault="00AC403B"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C403B">
        <w:rPr>
          <w:rFonts w:ascii="Times New Roman" w:hAnsi="Times New Roman" w:cs="Times New Roman"/>
        </w:rPr>
        <w:t>Képes a közlekedési folyamatokat támogató közlekedésinformatikai rendszerek alkalmazására, az azokkal kapcsolatos felhasználói alapkövetelmények megfogalmazására.</w:t>
      </w:r>
    </w:p>
    <w:p w:rsidR="00AC403B" w:rsidRPr="00AC403B" w:rsidRDefault="00AC403B" w:rsidP="00AC403B">
      <w:pPr>
        <w:autoSpaceDE w:val="0"/>
        <w:autoSpaceDN w:val="0"/>
        <w:adjustRightInd w:val="0"/>
        <w:spacing w:before="120" w:after="0" w:line="240" w:lineRule="auto"/>
        <w:ind w:left="425"/>
        <w:jc w:val="both"/>
        <w:rPr>
          <w:rFonts w:ascii="Times New Roman" w:eastAsia="Times New Roman" w:hAnsi="Times New Roman" w:cs="Times New Roman"/>
          <w:b/>
          <w:bCs/>
        </w:rPr>
      </w:pPr>
      <w:r w:rsidRPr="00AC403B">
        <w:rPr>
          <w:rFonts w:ascii="Times New Roman" w:eastAsia="Times New Roman" w:hAnsi="Times New Roman" w:cs="Times New Roman"/>
          <w:b/>
          <w:bCs/>
        </w:rPr>
        <w:t xml:space="preserve">Attitűdje: </w:t>
      </w:r>
    </w:p>
    <w:p w:rsidR="00AC403B" w:rsidRPr="00AC403B" w:rsidRDefault="00AC403B"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C403B">
        <w:rPr>
          <w:rFonts w:ascii="Times New Roman" w:hAnsi="Times New Roman" w:cs="Times New Roman"/>
        </w:rPr>
        <w:t>Nyitott a katonai közlekedési szakterületen zajló szakmai, technológiai fejlesztés és innováció megismerésére és elfogadására, hiteles közvetítésére és azok mindennapi munkájába való beillesztésére.</w:t>
      </w:r>
    </w:p>
    <w:p w:rsidR="00AC403B" w:rsidRPr="00AC403B" w:rsidRDefault="00AC403B"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C403B">
        <w:rPr>
          <w:rFonts w:ascii="Times New Roman" w:hAnsi="Times New Roman" w:cs="Times New Roman"/>
        </w:rPr>
        <w:t>Törekszik arra, hogy önképzése a katonai közlekedési szakterületen folyamatos és szakmai céljaival megegyező legyen.</w:t>
      </w:r>
    </w:p>
    <w:p w:rsidR="00AC403B" w:rsidRPr="00AC403B" w:rsidRDefault="00AC403B"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C403B">
        <w:rPr>
          <w:rFonts w:ascii="Times New Roman" w:hAnsi="Times New Roman" w:cs="Times New Roman"/>
        </w:rPr>
        <w:t>Elkötelezett a minőségi szakmai munkavégzés iránt, különös tekintettel a közlekedési, szállítási feladatok és folyamatok biztonságos végrehajtására.</w:t>
      </w:r>
    </w:p>
    <w:p w:rsidR="00AC403B" w:rsidRPr="00AC403B" w:rsidRDefault="00AC403B"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C403B">
        <w:rPr>
          <w:rFonts w:ascii="Times New Roman" w:hAnsi="Times New Roman" w:cs="Times New Roman"/>
        </w:rPr>
        <w:t>Figyel beosztottjai szakmai fejlődésének előmozdítására, ilyen irányú törekvéseik kezelésére és segítésére.</w:t>
      </w:r>
    </w:p>
    <w:p w:rsidR="00AC403B" w:rsidRPr="00AC403B" w:rsidRDefault="00AC403B"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C403B">
        <w:rPr>
          <w:rFonts w:ascii="Times New Roman" w:hAnsi="Times New Roman" w:cs="Times New Roman"/>
        </w:rPr>
        <w:t>Megosztja tapasztalatait munkatársaival, így segítve fejlődésüket.</w:t>
      </w:r>
    </w:p>
    <w:p w:rsidR="00AC403B" w:rsidRPr="00AC403B" w:rsidRDefault="00AC403B" w:rsidP="00AC403B">
      <w:pPr>
        <w:autoSpaceDE w:val="0"/>
        <w:autoSpaceDN w:val="0"/>
        <w:adjustRightInd w:val="0"/>
        <w:spacing w:before="120" w:after="0" w:line="240" w:lineRule="auto"/>
        <w:ind w:left="425"/>
        <w:jc w:val="both"/>
        <w:rPr>
          <w:rFonts w:ascii="Times New Roman" w:eastAsia="Times New Roman" w:hAnsi="Times New Roman" w:cs="Times New Roman"/>
          <w:b/>
          <w:bCs/>
        </w:rPr>
      </w:pPr>
      <w:r w:rsidRPr="00AC403B">
        <w:rPr>
          <w:rFonts w:ascii="Times New Roman" w:eastAsia="Times New Roman" w:hAnsi="Times New Roman" w:cs="Times New Roman"/>
          <w:b/>
          <w:bCs/>
        </w:rPr>
        <w:t xml:space="preserve">Autonómiája és felelőssége: </w:t>
      </w:r>
    </w:p>
    <w:p w:rsidR="00AC403B" w:rsidRPr="00AC403B" w:rsidRDefault="00AC403B"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C403B">
        <w:rPr>
          <w:rFonts w:ascii="Times New Roman" w:hAnsi="Times New Roman" w:cs="Times New Roman"/>
        </w:rPr>
        <w:t>A katonai közlekedés szakterületén megjelenő folyamatokban képes önállóan döntéseket hozni, azokat felelősséggel, a jogszabályi keretek figyelembevételével végrehajtani.</w:t>
      </w:r>
    </w:p>
    <w:p w:rsidR="00AC403B" w:rsidRPr="00AC403B" w:rsidRDefault="00AC403B"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C403B">
        <w:rPr>
          <w:rFonts w:ascii="Times New Roman" w:hAnsi="Times New Roman" w:cs="Times New Roman"/>
        </w:rPr>
        <w:t>Tisztában van döntéseinek, tevékenységének a katonai logisztikai folyamatok egészére gyakorolt hatásaival, következményeivel.</w:t>
      </w:r>
    </w:p>
    <w:p w:rsidR="00AC403B" w:rsidRPr="00AC403B" w:rsidRDefault="00AC403B"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C403B">
        <w:rPr>
          <w:rFonts w:ascii="Times New Roman" w:hAnsi="Times New Roman" w:cs="Times New Roman"/>
        </w:rPr>
        <w:t>Szakmai feladatainak elvégzése során felelősségteljesen együttműködik más szakterület képzett szakembereivel is.</w:t>
      </w:r>
    </w:p>
    <w:p w:rsidR="00AC403B" w:rsidRPr="00AC403B" w:rsidRDefault="00AC403B"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C403B">
        <w:rPr>
          <w:rFonts w:ascii="Times New Roman" w:hAnsi="Times New Roman" w:cs="Times New Roman"/>
        </w:rPr>
        <w:t>Feltárja az alkalmazott technológiák hiányosságait, a folyamatok kockázatait és kezdeményezi az ezeket csökkentő intézkedések megtételét.</w:t>
      </w:r>
    </w:p>
    <w:p w:rsidR="00AC403B" w:rsidRPr="00AC403B" w:rsidRDefault="00AC403B"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C403B">
        <w:rPr>
          <w:rFonts w:ascii="Times New Roman" w:hAnsi="Times New Roman" w:cs="Times New Roman"/>
        </w:rPr>
        <w:t>Parancsnokának útmutatása alapján irányítja a rábízott személyi állomány munkavégzését, felügyeli a közlekedési, szállítási folyamatok tervezését, szervezését, végrehajtását, a közlekedési szaktechnikai eszközök üzemeltetését.</w:t>
      </w:r>
    </w:p>
    <w:p w:rsidR="00AC403B" w:rsidRPr="00AC403B" w:rsidRDefault="00AC403B"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C403B">
        <w:rPr>
          <w:rFonts w:ascii="Times New Roman" w:hAnsi="Times New Roman" w:cs="Times New Roman"/>
        </w:rPr>
        <w:t>Értékeli a beosztottak munkavégzésének hatékonyságát, eredményességét.</w:t>
      </w:r>
    </w:p>
    <w:p w:rsidR="00AC403B" w:rsidRPr="00AC403B" w:rsidRDefault="00AC403B" w:rsidP="00AC403B">
      <w:pPr>
        <w:widowControl w:val="0"/>
        <w:spacing w:before="120" w:after="120" w:line="240" w:lineRule="auto"/>
        <w:ind w:left="426"/>
        <w:jc w:val="both"/>
        <w:rPr>
          <w:rFonts w:ascii="Times New Roman" w:eastAsia="Times New Roman" w:hAnsi="Times New Roman" w:cs="Times New Roman"/>
          <w:b/>
          <w:bCs/>
          <w:lang w:val="en-US"/>
        </w:rPr>
      </w:pPr>
      <w:r w:rsidRPr="00AC403B">
        <w:rPr>
          <w:rFonts w:ascii="Times New Roman" w:eastAsia="Times New Roman" w:hAnsi="Times New Roman" w:cs="Times New Roman"/>
          <w:b/>
          <w:bCs/>
        </w:rPr>
        <w:t>Elérendő kompetenciák (angolul) (</w:t>
      </w:r>
      <w:r w:rsidRPr="00AC403B">
        <w:rPr>
          <w:rFonts w:ascii="Times New Roman" w:eastAsia="Times New Roman" w:hAnsi="Times New Roman" w:cs="Times New Roman"/>
          <w:b/>
          <w:bCs/>
          <w:lang w:val="en-US"/>
        </w:rPr>
        <w:t xml:space="preserve">Competences – English): </w:t>
      </w:r>
    </w:p>
    <w:p w:rsidR="00AC403B" w:rsidRPr="00AC403B" w:rsidRDefault="00AC403B" w:rsidP="00AC403B">
      <w:pPr>
        <w:widowControl w:val="0"/>
        <w:spacing w:before="120" w:after="120" w:line="240" w:lineRule="auto"/>
        <w:ind w:left="426"/>
        <w:jc w:val="both"/>
        <w:rPr>
          <w:rFonts w:ascii="Times New Roman" w:eastAsia="Times New Roman" w:hAnsi="Times New Roman" w:cs="Times New Roman"/>
          <w:lang w:val="en-GB"/>
        </w:rPr>
      </w:pPr>
      <w:r w:rsidRPr="00AC403B">
        <w:rPr>
          <w:rFonts w:ascii="Times New Roman" w:eastAsia="Times New Roman" w:hAnsi="Times New Roman" w:cs="Times New Roman"/>
          <w:b/>
          <w:lang w:val="en-GB"/>
        </w:rPr>
        <w:t>Knowledge</w:t>
      </w:r>
      <w:r w:rsidRPr="00AC403B">
        <w:rPr>
          <w:rFonts w:ascii="Times New Roman" w:eastAsia="Times New Roman" w:hAnsi="Times New Roman" w:cs="Times New Roman"/>
          <w:lang w:val="en-GB"/>
        </w:rPr>
        <w:t xml:space="preserve">: </w:t>
      </w:r>
    </w:p>
    <w:p w:rsidR="00AC403B" w:rsidRPr="00AC403B" w:rsidRDefault="00AC403B"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C403B">
        <w:rPr>
          <w:rFonts w:ascii="Times New Roman" w:hAnsi="Times New Roman" w:cs="Times New Roman"/>
        </w:rPr>
        <w:t>Knows the basics and requirements of logistics, management, environmental protection, quality assurance, information technology, law and economics, connected to the field of military transportation.</w:t>
      </w:r>
    </w:p>
    <w:p w:rsidR="00AC403B" w:rsidRPr="00AC403B" w:rsidRDefault="00AC403B"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C403B">
        <w:rPr>
          <w:rFonts w:ascii="Times New Roman" w:hAnsi="Times New Roman" w:cs="Times New Roman"/>
        </w:rPr>
        <w:t>Is familiar with the technical equipment used in military transportation, the transportation modes and facilities, and the rules of their use and operation.</w:t>
      </w:r>
    </w:p>
    <w:p w:rsidR="00AC403B" w:rsidRPr="00AC403B" w:rsidRDefault="00AC403B"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C403B">
        <w:rPr>
          <w:rFonts w:ascii="Times New Roman" w:hAnsi="Times New Roman" w:cs="Times New Roman"/>
        </w:rPr>
        <w:t>Is familiar with the tasks and responsibilities of stockpiling, storing, registering and inventorying of military transportation assets and is able to control these processes.</w:t>
      </w:r>
    </w:p>
    <w:p w:rsidR="00AC403B" w:rsidRPr="00AC403B" w:rsidRDefault="00AC403B"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C403B">
        <w:rPr>
          <w:rFonts w:ascii="Times New Roman" w:hAnsi="Times New Roman" w:cs="Times New Roman"/>
        </w:rPr>
        <w:lastRenderedPageBreak/>
        <w:t>Has a profound knowledge of the tasks and the system of military transportation and the unique characteristics of performing each task.</w:t>
      </w:r>
    </w:p>
    <w:p w:rsidR="00AC403B" w:rsidRPr="00AC403B" w:rsidRDefault="00AC403B"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C403B">
        <w:rPr>
          <w:rFonts w:ascii="Times New Roman" w:hAnsi="Times New Roman" w:cs="Times New Roman"/>
        </w:rPr>
        <w:t>Is familiar with the methods of assessing the requirements of military transportation and its feasibility and practical implementation.</w:t>
      </w:r>
    </w:p>
    <w:p w:rsidR="00AC403B" w:rsidRPr="00AC403B" w:rsidRDefault="00AC403B" w:rsidP="00AC403B">
      <w:pPr>
        <w:widowControl w:val="0"/>
        <w:spacing w:before="120" w:after="120" w:line="240" w:lineRule="auto"/>
        <w:ind w:left="426"/>
        <w:jc w:val="both"/>
        <w:rPr>
          <w:rFonts w:ascii="Times New Roman" w:eastAsia="Times New Roman" w:hAnsi="Times New Roman" w:cs="Times New Roman"/>
          <w:b/>
          <w:lang w:val="en-GB"/>
        </w:rPr>
      </w:pPr>
      <w:r w:rsidRPr="00AC403B">
        <w:rPr>
          <w:rFonts w:ascii="Times New Roman" w:eastAsia="Times New Roman" w:hAnsi="Times New Roman" w:cs="Times New Roman"/>
          <w:b/>
          <w:lang w:val="en-GB"/>
        </w:rPr>
        <w:t>Capabilities:</w:t>
      </w:r>
    </w:p>
    <w:p w:rsidR="00AC403B" w:rsidRPr="00AC403B" w:rsidRDefault="00AC403B"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C403B">
        <w:rPr>
          <w:rFonts w:ascii="Times New Roman" w:hAnsi="Times New Roman" w:cs="Times New Roman"/>
        </w:rPr>
        <w:t>Using his/her general and specialized military knowledge and skills, he/she is capable of planning, organizing, and conducting military transport, movement, and transportation tasks.</w:t>
      </w:r>
    </w:p>
    <w:p w:rsidR="00AC403B" w:rsidRPr="00AC403B" w:rsidRDefault="00AC403B"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C403B">
        <w:rPr>
          <w:rFonts w:ascii="Times New Roman" w:hAnsi="Times New Roman" w:cs="Times New Roman"/>
        </w:rPr>
        <w:t>Is capable of leading the execution of the tasks of a military transportation subunit in peace time and in crisis response, disaster relief, peace support and combat operations both in a national and a multinational environment.</w:t>
      </w:r>
    </w:p>
    <w:p w:rsidR="00AC403B" w:rsidRPr="00AC403B" w:rsidRDefault="00AC403B"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C403B">
        <w:rPr>
          <w:rFonts w:ascii="Times New Roman" w:hAnsi="Times New Roman" w:cs="Times New Roman"/>
        </w:rPr>
        <w:t>Is capable of planning, organizing and executing the tasks related to the application of traffic networks for military purposes.</w:t>
      </w:r>
    </w:p>
    <w:p w:rsidR="00AC403B" w:rsidRPr="00AC403B" w:rsidRDefault="00AC403B"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C403B">
        <w:rPr>
          <w:rFonts w:ascii="Times New Roman" w:hAnsi="Times New Roman" w:cs="Times New Roman"/>
        </w:rPr>
        <w:t>Is capable of applying traffic information systems to support transportation processes and formulating the basic user requirements related to them.</w:t>
      </w:r>
    </w:p>
    <w:p w:rsidR="00AC403B" w:rsidRPr="00AC403B" w:rsidRDefault="00AC403B" w:rsidP="00AC403B">
      <w:pPr>
        <w:widowControl w:val="0"/>
        <w:spacing w:before="120" w:after="120" w:line="240" w:lineRule="auto"/>
        <w:ind w:left="426"/>
        <w:jc w:val="both"/>
        <w:rPr>
          <w:rFonts w:ascii="Times New Roman" w:eastAsia="Times New Roman" w:hAnsi="Times New Roman" w:cs="Times New Roman"/>
          <w:b/>
          <w:lang w:val="en-GB"/>
        </w:rPr>
      </w:pPr>
      <w:r w:rsidRPr="00AC403B">
        <w:rPr>
          <w:rFonts w:ascii="Times New Roman" w:eastAsia="Times New Roman" w:hAnsi="Times New Roman" w:cs="Times New Roman"/>
          <w:b/>
          <w:lang w:val="en-GB"/>
        </w:rPr>
        <w:t>Attitude:</w:t>
      </w:r>
    </w:p>
    <w:p w:rsidR="00AC403B" w:rsidRPr="00AC403B" w:rsidRDefault="00AC403B"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C403B">
        <w:rPr>
          <w:rFonts w:ascii="Times New Roman" w:hAnsi="Times New Roman" w:cs="Times New Roman"/>
        </w:rPr>
        <w:t>He/She is ready to become familiar with and adopt the professional and technological development and innovation in the field of military transportation, and also to pass it on and integrate it into his daily work.</w:t>
      </w:r>
    </w:p>
    <w:p w:rsidR="00AC403B" w:rsidRPr="00AC403B" w:rsidRDefault="00AC403B"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C403B">
        <w:rPr>
          <w:rFonts w:ascii="Times New Roman" w:hAnsi="Times New Roman" w:cs="Times New Roman"/>
        </w:rPr>
        <w:t>He/She strives for continuous self-education in the field of military transportation which is consistent with his/her professional goals.</w:t>
      </w:r>
    </w:p>
    <w:p w:rsidR="00AC403B" w:rsidRPr="00AC403B" w:rsidRDefault="00AC403B"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C403B">
        <w:rPr>
          <w:rFonts w:ascii="Times New Roman" w:hAnsi="Times New Roman" w:cs="Times New Roman"/>
        </w:rPr>
        <w:t>He/She is committed to high quality in his/her professional work, with special emphasis on the safe execution of the transportation tasks and processes.</w:t>
      </w:r>
    </w:p>
    <w:p w:rsidR="00AC403B" w:rsidRPr="00AC403B" w:rsidRDefault="00AC403B"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C403B">
        <w:rPr>
          <w:rFonts w:ascii="Times New Roman" w:hAnsi="Times New Roman" w:cs="Times New Roman"/>
        </w:rPr>
        <w:t>He/She is interested in promoting the professional development of his/her subordinates, and provides assistance in their efforts.</w:t>
      </w:r>
    </w:p>
    <w:p w:rsidR="00AC403B" w:rsidRPr="00AC403B" w:rsidRDefault="00AC403B"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C403B">
        <w:rPr>
          <w:rFonts w:ascii="Times New Roman" w:hAnsi="Times New Roman" w:cs="Times New Roman"/>
        </w:rPr>
        <w:t>He/she is willing to share his/her experience with his/her colleagues to further their professional development.</w:t>
      </w:r>
    </w:p>
    <w:p w:rsidR="00AC403B" w:rsidRPr="00AC403B" w:rsidRDefault="00AC403B" w:rsidP="00AC403B">
      <w:pPr>
        <w:widowControl w:val="0"/>
        <w:spacing w:before="120" w:after="120" w:line="240" w:lineRule="auto"/>
        <w:ind w:left="426"/>
        <w:jc w:val="both"/>
        <w:rPr>
          <w:rFonts w:ascii="Times New Roman" w:eastAsia="Times New Roman" w:hAnsi="Times New Roman" w:cs="Times New Roman"/>
          <w:b/>
          <w:lang w:val="en-GB"/>
        </w:rPr>
      </w:pPr>
      <w:r w:rsidRPr="00AC403B">
        <w:rPr>
          <w:rFonts w:ascii="Times New Roman" w:eastAsia="Times New Roman" w:hAnsi="Times New Roman" w:cs="Times New Roman"/>
          <w:b/>
          <w:lang w:val="en-GB"/>
        </w:rPr>
        <w:t xml:space="preserve">Autonomy and responsibility: </w:t>
      </w:r>
    </w:p>
    <w:p w:rsidR="00AC403B" w:rsidRPr="00AC403B" w:rsidRDefault="00AC403B"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C403B">
        <w:rPr>
          <w:rFonts w:ascii="Times New Roman" w:hAnsi="Times New Roman" w:cs="Times New Roman"/>
        </w:rPr>
        <w:t>He/She is able to make decisions independently in the processes arising in the field of military transportation, and to implement them with responsibility and within the legal framework.</w:t>
      </w:r>
    </w:p>
    <w:p w:rsidR="00AC403B" w:rsidRPr="00AC403B" w:rsidRDefault="00AC403B"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C403B">
        <w:rPr>
          <w:rFonts w:ascii="Times New Roman" w:hAnsi="Times New Roman" w:cs="Times New Roman"/>
        </w:rPr>
        <w:t>He/She is aware of the effects and consequences of his decisions and activities on the military logistic processes as a whole.</w:t>
      </w:r>
    </w:p>
    <w:p w:rsidR="00AC403B" w:rsidRPr="00AC403B" w:rsidRDefault="00AC403B"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C403B">
        <w:rPr>
          <w:rFonts w:ascii="Times New Roman" w:hAnsi="Times New Roman" w:cs="Times New Roman"/>
        </w:rPr>
        <w:t xml:space="preserve">During his/her professional duties, he/she is willing to responsibly cooperate with specialists of other areas. </w:t>
      </w:r>
    </w:p>
    <w:p w:rsidR="00AC403B" w:rsidRPr="00AC403B" w:rsidRDefault="00AC403B"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C403B">
        <w:rPr>
          <w:rFonts w:ascii="Times New Roman" w:hAnsi="Times New Roman" w:cs="Times New Roman"/>
        </w:rPr>
        <w:t>He/She can identify the deficiencies and risks in the applied technologies and initiates taking measures to reduce their impact.</w:t>
      </w:r>
    </w:p>
    <w:p w:rsidR="00AC403B" w:rsidRPr="00AC403B" w:rsidRDefault="00AC403B"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C403B">
        <w:rPr>
          <w:rFonts w:ascii="Times New Roman" w:hAnsi="Times New Roman" w:cs="Times New Roman"/>
        </w:rPr>
        <w:t>Under the guidance of his/her commander, he/she controls the work of the personnel under his/her command and supervises the planning, organization and implementation of the transport and transportation processes, and also the operation of the technical equipment used in military transportation.</w:t>
      </w:r>
    </w:p>
    <w:p w:rsidR="00AC403B" w:rsidRPr="00AC403B" w:rsidRDefault="00AC403B"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C403B">
        <w:rPr>
          <w:rFonts w:ascii="Times New Roman" w:hAnsi="Times New Roman" w:cs="Times New Roman"/>
        </w:rPr>
        <w:t>He/She continuously evaluates the efficiency and effectiveness of his/her subordinates' work.</w:t>
      </w:r>
    </w:p>
    <w:p w:rsidR="00AC403B" w:rsidRPr="00AC403B" w:rsidRDefault="00AC403B" w:rsidP="00980876">
      <w:pPr>
        <w:widowControl w:val="0"/>
        <w:numPr>
          <w:ilvl w:val="0"/>
          <w:numId w:val="258"/>
        </w:numPr>
        <w:tabs>
          <w:tab w:val="num" w:pos="567"/>
        </w:tabs>
        <w:spacing w:before="120" w:after="120" w:line="240" w:lineRule="auto"/>
        <w:ind w:left="426" w:hanging="142"/>
        <w:jc w:val="both"/>
        <w:rPr>
          <w:rFonts w:ascii="Times New Roman" w:eastAsia="Times New Roman" w:hAnsi="Times New Roman" w:cs="Times New Roman"/>
          <w:bCs/>
        </w:rPr>
      </w:pPr>
      <w:r w:rsidRPr="00AC403B">
        <w:rPr>
          <w:rFonts w:ascii="Times New Roman" w:eastAsia="Times New Roman" w:hAnsi="Times New Roman" w:cs="Times New Roman"/>
          <w:b/>
          <w:bCs/>
        </w:rPr>
        <w:t xml:space="preserve">Előtanulmányi követelmények: </w:t>
      </w:r>
      <w:r w:rsidRPr="00AC403B">
        <w:rPr>
          <w:rFonts w:ascii="Times New Roman" w:hAnsi="Times New Roman" w:cs="Times New Roman"/>
          <w:bCs/>
        </w:rPr>
        <w:t>Katon</w:t>
      </w:r>
      <w:r w:rsidR="007A5E14">
        <w:rPr>
          <w:rFonts w:ascii="Times New Roman" w:hAnsi="Times New Roman" w:cs="Times New Roman"/>
          <w:bCs/>
        </w:rPr>
        <w:t>ai szállítások alapjai HKHPKA301</w:t>
      </w:r>
    </w:p>
    <w:p w:rsidR="00AC403B" w:rsidRPr="00AC403B" w:rsidRDefault="00AC403B" w:rsidP="00980876">
      <w:pPr>
        <w:widowControl w:val="0"/>
        <w:numPr>
          <w:ilvl w:val="0"/>
          <w:numId w:val="258"/>
        </w:numPr>
        <w:spacing w:before="120" w:after="120" w:line="240" w:lineRule="auto"/>
        <w:ind w:left="426" w:hanging="142"/>
        <w:jc w:val="both"/>
        <w:rPr>
          <w:rFonts w:ascii="Times New Roman" w:eastAsia="Times New Roman" w:hAnsi="Times New Roman" w:cs="Times New Roman"/>
          <w:b/>
          <w:bCs/>
        </w:rPr>
      </w:pPr>
      <w:r w:rsidRPr="00AC403B">
        <w:rPr>
          <w:rFonts w:ascii="Times New Roman" w:eastAsia="Times New Roman" w:hAnsi="Times New Roman" w:cs="Times New Roman"/>
          <w:b/>
          <w:bCs/>
        </w:rPr>
        <w:t>A tantárgy tananyagának leírása, tematika. Description of the subject, curriculum (magyarul, angolul - English):</w:t>
      </w:r>
    </w:p>
    <w:p w:rsidR="00AC403B" w:rsidRPr="00AC403B" w:rsidRDefault="00AC403B" w:rsidP="00980876">
      <w:pPr>
        <w:pStyle w:val="lfej"/>
        <w:numPr>
          <w:ilvl w:val="1"/>
          <w:numId w:val="258"/>
        </w:numPr>
        <w:tabs>
          <w:tab w:val="left" w:pos="708"/>
        </w:tabs>
        <w:ind w:left="993" w:hanging="574"/>
        <w:jc w:val="both"/>
        <w:rPr>
          <w:rFonts w:ascii="Times New Roman" w:hAnsi="Times New Roman" w:cs="Times New Roman"/>
          <w:bCs/>
        </w:rPr>
      </w:pPr>
      <w:r w:rsidRPr="00AC403B">
        <w:rPr>
          <w:rFonts w:ascii="Times New Roman" w:hAnsi="Times New Roman" w:cs="Times New Roman"/>
          <w:bCs/>
        </w:rPr>
        <w:t xml:space="preserve">A közlekedés közigazgatási-jogi keretei, a közlekedési szolgáltatás nyújtásának jogi előfeltételei. </w:t>
      </w:r>
      <w:r w:rsidRPr="00AC403B">
        <w:rPr>
          <w:rFonts w:ascii="Times New Roman" w:hAnsi="Times New Roman" w:cs="Times New Roman"/>
          <w:bCs/>
          <w:i/>
        </w:rPr>
        <w:t>(Administrative-legal framework of transport, legal preconditions for the provision of transport services.)</w:t>
      </w:r>
    </w:p>
    <w:p w:rsidR="00AC403B" w:rsidRPr="00AC403B" w:rsidRDefault="00AC403B" w:rsidP="00980876">
      <w:pPr>
        <w:pStyle w:val="lfej"/>
        <w:numPr>
          <w:ilvl w:val="1"/>
          <w:numId w:val="258"/>
        </w:numPr>
        <w:tabs>
          <w:tab w:val="left" w:pos="708"/>
        </w:tabs>
        <w:ind w:left="993" w:hanging="574"/>
        <w:jc w:val="both"/>
        <w:rPr>
          <w:rFonts w:ascii="Times New Roman" w:hAnsi="Times New Roman" w:cs="Times New Roman"/>
          <w:bCs/>
        </w:rPr>
      </w:pPr>
      <w:r w:rsidRPr="00AC403B">
        <w:rPr>
          <w:rFonts w:ascii="Times New Roman" w:hAnsi="Times New Roman" w:cs="Times New Roman"/>
          <w:bCs/>
        </w:rPr>
        <w:t xml:space="preserve">A fuvarjog fogalma, a fuvarjog történeti előképei, fejlődése, helye a jogrendszerben. </w:t>
      </w:r>
      <w:r w:rsidRPr="00AC403B">
        <w:rPr>
          <w:rFonts w:ascii="Times New Roman" w:hAnsi="Times New Roman" w:cs="Times New Roman"/>
          <w:bCs/>
          <w:i/>
        </w:rPr>
        <w:t>(The concept of freight law, its historical precedents, its development, its placement in a legal system.)</w:t>
      </w:r>
    </w:p>
    <w:p w:rsidR="00AC403B" w:rsidRPr="00AC403B" w:rsidRDefault="00AC403B" w:rsidP="00980876">
      <w:pPr>
        <w:pStyle w:val="lfej"/>
        <w:numPr>
          <w:ilvl w:val="1"/>
          <w:numId w:val="258"/>
        </w:numPr>
        <w:tabs>
          <w:tab w:val="left" w:pos="708"/>
        </w:tabs>
        <w:ind w:left="993" w:hanging="574"/>
        <w:jc w:val="both"/>
        <w:rPr>
          <w:rFonts w:ascii="Times New Roman" w:hAnsi="Times New Roman" w:cs="Times New Roman"/>
          <w:bCs/>
        </w:rPr>
      </w:pPr>
      <w:r w:rsidRPr="00AC403B">
        <w:rPr>
          <w:rFonts w:ascii="Times New Roman" w:hAnsi="Times New Roman" w:cs="Times New Roman"/>
          <w:bCs/>
        </w:rPr>
        <w:lastRenderedPageBreak/>
        <w:t>A fuvarozási szerződés fogalma, alanyai, a jogviszony szerkezete. A fuvarozási szerződés megkötése és megerősítése.</w:t>
      </w:r>
      <w:r w:rsidRPr="00AC403B">
        <w:rPr>
          <w:rStyle w:val="tlid-translation"/>
          <w:rFonts w:ascii="Times New Roman" w:hAnsi="Times New Roman" w:cs="Times New Roman"/>
          <w:lang w:val="en"/>
        </w:rPr>
        <w:t xml:space="preserve"> </w:t>
      </w:r>
      <w:r w:rsidRPr="00AC403B">
        <w:rPr>
          <w:bCs/>
          <w:i/>
        </w:rPr>
        <w:t>(</w:t>
      </w:r>
      <w:r w:rsidRPr="00AC403B">
        <w:rPr>
          <w:rFonts w:ascii="Times New Roman" w:hAnsi="Times New Roman" w:cs="Times New Roman"/>
          <w:bCs/>
          <w:i/>
        </w:rPr>
        <w:t>The concept of the contract of carriage, its subjects, the structure of the legal relationship. Conclusion and recording of the contract of carriage.)</w:t>
      </w:r>
    </w:p>
    <w:p w:rsidR="00AC403B" w:rsidRPr="00AC403B" w:rsidRDefault="00AC403B" w:rsidP="00980876">
      <w:pPr>
        <w:pStyle w:val="lfej"/>
        <w:numPr>
          <w:ilvl w:val="1"/>
          <w:numId w:val="258"/>
        </w:numPr>
        <w:tabs>
          <w:tab w:val="left" w:pos="708"/>
        </w:tabs>
        <w:ind w:left="993" w:hanging="574"/>
        <w:jc w:val="both"/>
        <w:rPr>
          <w:rFonts w:ascii="Times New Roman" w:hAnsi="Times New Roman" w:cs="Times New Roman"/>
          <w:bCs/>
        </w:rPr>
      </w:pPr>
      <w:r w:rsidRPr="00AC403B">
        <w:rPr>
          <w:rFonts w:ascii="Times New Roman" w:hAnsi="Times New Roman" w:cs="Times New Roman"/>
          <w:bCs/>
        </w:rPr>
        <w:t>A küldemény felvétele fuvarozásra (a jármű megrendelése, kiállítása, megrakása, az áru és a csomagolás ellenőrzése, a mennyiségi és minőségi vizsgálat, a fenntartás).</w:t>
      </w:r>
      <w:r w:rsidRPr="00AC403B">
        <w:rPr>
          <w:rStyle w:val="tlid-translation"/>
          <w:rFonts w:ascii="Times New Roman" w:hAnsi="Times New Roman" w:cs="Times New Roman"/>
          <w:lang w:val="en"/>
        </w:rPr>
        <w:t xml:space="preserve"> </w:t>
      </w:r>
      <w:r w:rsidRPr="00AC403B">
        <w:rPr>
          <w:rFonts w:ascii="Times New Roman" w:hAnsi="Times New Roman" w:cs="Times New Roman"/>
          <w:bCs/>
          <w:i/>
        </w:rPr>
        <w:t>(One shipment for picking up a shipment (ordering, displaying, loading, checking price and packaging, proper and quality inspection, maintenance).)</w:t>
      </w:r>
    </w:p>
    <w:p w:rsidR="00AC403B" w:rsidRPr="00AC403B" w:rsidRDefault="00AC403B" w:rsidP="00980876">
      <w:pPr>
        <w:pStyle w:val="lfej"/>
        <w:numPr>
          <w:ilvl w:val="1"/>
          <w:numId w:val="258"/>
        </w:numPr>
        <w:tabs>
          <w:tab w:val="left" w:pos="708"/>
        </w:tabs>
        <w:ind w:left="993" w:hanging="574"/>
        <w:jc w:val="both"/>
        <w:rPr>
          <w:rFonts w:ascii="Times New Roman" w:hAnsi="Times New Roman" w:cs="Times New Roman"/>
          <w:bCs/>
          <w:i/>
        </w:rPr>
      </w:pPr>
      <w:r w:rsidRPr="00AC403B">
        <w:rPr>
          <w:rFonts w:ascii="Times New Roman" w:hAnsi="Times New Roman" w:cs="Times New Roman"/>
          <w:bCs/>
        </w:rPr>
        <w:t xml:space="preserve">A fuvarlevél, a fuvaroztató rendelkezései, nyilatkozatai. </w:t>
      </w:r>
      <w:r w:rsidRPr="00AC403B">
        <w:rPr>
          <w:rFonts w:ascii="Times New Roman" w:hAnsi="Times New Roman" w:cs="Times New Roman"/>
          <w:bCs/>
          <w:i/>
        </w:rPr>
        <w:t>(</w:t>
      </w:r>
      <w:r w:rsidRPr="00AC403B">
        <w:rPr>
          <w:rStyle w:val="tlid-translation"/>
          <w:rFonts w:ascii="Times New Roman" w:hAnsi="Times New Roman" w:cs="Times New Roman"/>
          <w:i/>
          <w:lang w:val="en"/>
        </w:rPr>
        <w:t>The consignment note, the regulations and declarations of the carrier.)</w:t>
      </w:r>
    </w:p>
    <w:p w:rsidR="00AC403B" w:rsidRPr="00AC403B" w:rsidRDefault="00AC403B" w:rsidP="00980876">
      <w:pPr>
        <w:pStyle w:val="lfej"/>
        <w:numPr>
          <w:ilvl w:val="1"/>
          <w:numId w:val="258"/>
        </w:numPr>
        <w:tabs>
          <w:tab w:val="left" w:pos="708"/>
        </w:tabs>
        <w:ind w:left="993" w:hanging="574"/>
        <w:jc w:val="both"/>
        <w:rPr>
          <w:rFonts w:ascii="Times New Roman" w:hAnsi="Times New Roman" w:cs="Times New Roman"/>
          <w:bCs/>
          <w:i/>
        </w:rPr>
      </w:pPr>
      <w:r w:rsidRPr="00AC403B">
        <w:rPr>
          <w:rFonts w:ascii="Times New Roman" w:hAnsi="Times New Roman" w:cs="Times New Roman"/>
          <w:bCs/>
        </w:rPr>
        <w:t>Az árutovábbítás végrehajtása (útvonal, kíséret, a kísérő okmányok, fuvarozási határidő, a fuvarozási akadály, az utólagos rendelkezés, a kiszolgáltatási akadály).</w:t>
      </w:r>
      <w:r w:rsidRPr="00AC403B">
        <w:rPr>
          <w:rStyle w:val="tlid-translation"/>
          <w:rFonts w:ascii="Times New Roman" w:hAnsi="Times New Roman" w:cs="Times New Roman"/>
          <w:lang w:val="en"/>
        </w:rPr>
        <w:t xml:space="preserve"> </w:t>
      </w:r>
      <w:r w:rsidRPr="00AC403B">
        <w:rPr>
          <w:rStyle w:val="tlid-translation"/>
          <w:rFonts w:ascii="Times New Roman" w:hAnsi="Times New Roman" w:cs="Times New Roman"/>
          <w:i/>
          <w:lang w:val="en"/>
        </w:rPr>
        <w:t>(Execution of transit (route, accompanying document, trial document, transport deadline, one transport barrier, retrofitting, service barrier).)</w:t>
      </w:r>
    </w:p>
    <w:p w:rsidR="00AC403B" w:rsidRPr="00AC403B" w:rsidRDefault="00AC403B" w:rsidP="00980876">
      <w:pPr>
        <w:pStyle w:val="lfej"/>
        <w:numPr>
          <w:ilvl w:val="1"/>
          <w:numId w:val="258"/>
        </w:numPr>
        <w:tabs>
          <w:tab w:val="left" w:pos="708"/>
        </w:tabs>
        <w:ind w:left="993" w:hanging="574"/>
        <w:jc w:val="both"/>
        <w:rPr>
          <w:rFonts w:ascii="Times New Roman" w:hAnsi="Times New Roman" w:cs="Times New Roman"/>
          <w:bCs/>
          <w:i/>
        </w:rPr>
      </w:pPr>
      <w:r w:rsidRPr="00AC403B">
        <w:rPr>
          <w:rFonts w:ascii="Times New Roman" w:hAnsi="Times New Roman" w:cs="Times New Roman"/>
          <w:bCs/>
        </w:rPr>
        <w:t xml:space="preserve">A küldemény kiszolgáltatása, a fuvarköltségek megfizetése. </w:t>
      </w:r>
      <w:r w:rsidRPr="00AC403B">
        <w:rPr>
          <w:rFonts w:ascii="Times New Roman" w:hAnsi="Times New Roman" w:cs="Times New Roman"/>
          <w:bCs/>
          <w:i/>
        </w:rPr>
        <w:t>(</w:t>
      </w:r>
      <w:r w:rsidRPr="00AC403B">
        <w:rPr>
          <w:rStyle w:val="tlid-translation"/>
          <w:rFonts w:ascii="Times New Roman" w:hAnsi="Times New Roman" w:cs="Times New Roman"/>
          <w:i/>
          <w:lang w:val="en"/>
        </w:rPr>
        <w:t>Delivery of the consignment, payment of freight costs.)</w:t>
      </w:r>
    </w:p>
    <w:p w:rsidR="00AC403B" w:rsidRPr="00AC403B" w:rsidRDefault="00AC403B" w:rsidP="00980876">
      <w:pPr>
        <w:pStyle w:val="lfej"/>
        <w:numPr>
          <w:ilvl w:val="1"/>
          <w:numId w:val="258"/>
        </w:numPr>
        <w:tabs>
          <w:tab w:val="left" w:pos="708"/>
        </w:tabs>
        <w:ind w:left="993" w:hanging="574"/>
        <w:jc w:val="both"/>
        <w:rPr>
          <w:rFonts w:ascii="Times New Roman" w:hAnsi="Times New Roman" w:cs="Times New Roman"/>
          <w:bCs/>
          <w:i/>
        </w:rPr>
      </w:pPr>
      <w:r w:rsidRPr="00AC403B">
        <w:rPr>
          <w:rFonts w:ascii="Times New Roman" w:hAnsi="Times New Roman" w:cs="Times New Roman"/>
          <w:bCs/>
        </w:rPr>
        <w:t xml:space="preserve">A fuvarozó felelősségének alapjai. Felelősség árukárért és a határidő túllépéséért. </w:t>
      </w:r>
      <w:r w:rsidRPr="00AC403B">
        <w:rPr>
          <w:rFonts w:ascii="Times New Roman" w:hAnsi="Times New Roman" w:cs="Times New Roman"/>
          <w:bCs/>
          <w:i/>
        </w:rPr>
        <w:t>(</w:t>
      </w:r>
      <w:r w:rsidRPr="00AC403B">
        <w:rPr>
          <w:rStyle w:val="tlid-translation"/>
          <w:rFonts w:ascii="Times New Roman" w:hAnsi="Times New Roman" w:cs="Times New Roman"/>
          <w:i/>
          <w:lang w:val="en"/>
        </w:rPr>
        <w:t>Basics of carrier liability. Liability for damage to goods and exceeding a time limit.)</w:t>
      </w:r>
    </w:p>
    <w:p w:rsidR="00AC403B" w:rsidRPr="00AC403B" w:rsidRDefault="00AC403B" w:rsidP="00980876">
      <w:pPr>
        <w:pStyle w:val="lfej"/>
        <w:numPr>
          <w:ilvl w:val="1"/>
          <w:numId w:val="258"/>
        </w:numPr>
        <w:tabs>
          <w:tab w:val="left" w:pos="708"/>
        </w:tabs>
        <w:ind w:left="993" w:hanging="574"/>
        <w:jc w:val="both"/>
        <w:rPr>
          <w:rFonts w:ascii="Times New Roman" w:hAnsi="Times New Roman" w:cs="Times New Roman"/>
          <w:bCs/>
          <w:i/>
        </w:rPr>
      </w:pPr>
      <w:r w:rsidRPr="00AC403B">
        <w:rPr>
          <w:rFonts w:ascii="Times New Roman" w:hAnsi="Times New Roman" w:cs="Times New Roman"/>
          <w:bCs/>
        </w:rPr>
        <w:t>Árelméleti alapok.</w:t>
      </w:r>
      <w:r w:rsidRPr="00AC403B">
        <w:rPr>
          <w:rStyle w:val="tlid-translation"/>
          <w:rFonts w:ascii="Times New Roman" w:hAnsi="Times New Roman" w:cs="Times New Roman"/>
          <w:lang w:val="en"/>
        </w:rPr>
        <w:t xml:space="preserve"> </w:t>
      </w:r>
      <w:r w:rsidRPr="00AC403B">
        <w:rPr>
          <w:rFonts w:ascii="Times New Roman" w:hAnsi="Times New Roman" w:cs="Times New Roman"/>
          <w:bCs/>
        </w:rPr>
        <w:t xml:space="preserve">Díjszabás fogalma, feladata, vele szemben támasztott követelmények. </w:t>
      </w:r>
      <w:r w:rsidRPr="00AC403B">
        <w:rPr>
          <w:rFonts w:ascii="Times New Roman" w:hAnsi="Times New Roman" w:cs="Times New Roman"/>
          <w:bCs/>
          <w:i/>
        </w:rPr>
        <w:t>(</w:t>
      </w:r>
      <w:r w:rsidRPr="00AC403B">
        <w:rPr>
          <w:rStyle w:val="tlid-translation"/>
          <w:rFonts w:ascii="Times New Roman" w:hAnsi="Times New Roman" w:cs="Times New Roman"/>
          <w:i/>
          <w:lang w:val="en"/>
        </w:rPr>
        <w:t>Price Theory. The concept of the tariff, its task, and related regulations.)</w:t>
      </w:r>
    </w:p>
    <w:p w:rsidR="00AC403B" w:rsidRPr="00AC403B" w:rsidRDefault="00AC403B" w:rsidP="00980876">
      <w:pPr>
        <w:pStyle w:val="lfej"/>
        <w:numPr>
          <w:ilvl w:val="1"/>
          <w:numId w:val="258"/>
        </w:numPr>
        <w:tabs>
          <w:tab w:val="left" w:pos="708"/>
        </w:tabs>
        <w:ind w:left="993" w:hanging="574"/>
        <w:jc w:val="both"/>
        <w:rPr>
          <w:rFonts w:ascii="Times New Roman" w:hAnsi="Times New Roman" w:cs="Times New Roman"/>
          <w:bCs/>
        </w:rPr>
      </w:pPr>
      <w:r w:rsidRPr="00AC403B">
        <w:rPr>
          <w:rFonts w:ascii="Times New Roman" w:hAnsi="Times New Roman" w:cs="Times New Roman"/>
          <w:bCs/>
        </w:rPr>
        <w:t>Áru- és személydíjszabási rendszerek.</w:t>
      </w:r>
      <w:r w:rsidRPr="00AC403B">
        <w:rPr>
          <w:rStyle w:val="tlid-translation"/>
          <w:rFonts w:ascii="Times New Roman" w:hAnsi="Times New Roman" w:cs="Times New Roman"/>
          <w:lang w:val="en"/>
        </w:rPr>
        <w:t xml:space="preserve"> </w:t>
      </w:r>
      <w:r w:rsidRPr="00AC403B">
        <w:rPr>
          <w:rStyle w:val="tlid-translation"/>
          <w:rFonts w:ascii="Times New Roman" w:hAnsi="Times New Roman" w:cs="Times New Roman"/>
          <w:b/>
          <w:lang w:val="en"/>
        </w:rPr>
        <w:t>(Goods and person pricing systems.)</w:t>
      </w:r>
    </w:p>
    <w:p w:rsidR="00AC403B" w:rsidRPr="00AC403B" w:rsidRDefault="00AC403B" w:rsidP="00980876">
      <w:pPr>
        <w:pStyle w:val="lfej"/>
        <w:numPr>
          <w:ilvl w:val="1"/>
          <w:numId w:val="258"/>
        </w:numPr>
        <w:tabs>
          <w:tab w:val="left" w:pos="708"/>
        </w:tabs>
        <w:ind w:left="993" w:hanging="574"/>
        <w:jc w:val="both"/>
        <w:rPr>
          <w:rFonts w:ascii="Times New Roman" w:hAnsi="Times New Roman" w:cs="Times New Roman"/>
          <w:bCs/>
          <w:i/>
        </w:rPr>
      </w:pPr>
      <w:r w:rsidRPr="00AC403B">
        <w:rPr>
          <w:rFonts w:ascii="Times New Roman" w:hAnsi="Times New Roman" w:cs="Times New Roman"/>
          <w:bCs/>
        </w:rPr>
        <w:t>A közlekedési díjképzés alapjai: Költségtérítési sor. Közlekedési díjképzés sajátosságai.</w:t>
      </w:r>
      <w:r w:rsidRPr="00AC403B">
        <w:rPr>
          <w:rStyle w:val="tlid-translation"/>
          <w:rFonts w:ascii="Times New Roman" w:hAnsi="Times New Roman" w:cs="Times New Roman"/>
          <w:lang w:val="en"/>
        </w:rPr>
        <w:t xml:space="preserve"> </w:t>
      </w:r>
      <w:r w:rsidRPr="00AC403B">
        <w:rPr>
          <w:rStyle w:val="tlid-translation"/>
          <w:rFonts w:ascii="Times New Roman" w:hAnsi="Times New Roman" w:cs="Times New Roman"/>
          <w:i/>
          <w:lang w:val="en"/>
        </w:rPr>
        <w:t>(Traffic charging basics: Cost recovery line. Features of transport pricing.)</w:t>
      </w:r>
    </w:p>
    <w:p w:rsidR="00AC403B" w:rsidRPr="00AC403B" w:rsidRDefault="00AC403B" w:rsidP="00980876">
      <w:pPr>
        <w:pStyle w:val="lfej"/>
        <w:numPr>
          <w:ilvl w:val="1"/>
          <w:numId w:val="258"/>
        </w:numPr>
        <w:tabs>
          <w:tab w:val="left" w:pos="708"/>
        </w:tabs>
        <w:ind w:left="993" w:hanging="574"/>
        <w:jc w:val="both"/>
        <w:rPr>
          <w:rFonts w:ascii="Times New Roman" w:hAnsi="Times New Roman" w:cs="Times New Roman"/>
          <w:bCs/>
          <w:i/>
        </w:rPr>
      </w:pPr>
      <w:r w:rsidRPr="00AC403B">
        <w:rPr>
          <w:rFonts w:ascii="Times New Roman" w:hAnsi="Times New Roman" w:cs="Times New Roman"/>
          <w:bCs/>
        </w:rPr>
        <w:t>Témazáró dolgozat a kijelölt tárgykörök anyagából.</w:t>
      </w:r>
      <w:r w:rsidRPr="00AC403B">
        <w:rPr>
          <w:rStyle w:val="tlid-translation"/>
          <w:rFonts w:ascii="Times New Roman" w:hAnsi="Times New Roman" w:cs="Times New Roman"/>
          <w:lang w:val="en"/>
        </w:rPr>
        <w:t xml:space="preserve"> </w:t>
      </w:r>
      <w:r w:rsidRPr="00AC403B">
        <w:rPr>
          <w:rStyle w:val="tlid-translation"/>
          <w:rFonts w:ascii="Times New Roman" w:hAnsi="Times New Roman" w:cs="Times New Roman"/>
          <w:i/>
          <w:lang w:val="en"/>
        </w:rPr>
        <w:t>(Thesis closing thesis from the material of the selected topics.)</w:t>
      </w:r>
    </w:p>
    <w:p w:rsidR="00AC403B" w:rsidRPr="00AC403B" w:rsidRDefault="00AC403B" w:rsidP="00980876">
      <w:pPr>
        <w:pStyle w:val="lfej"/>
        <w:numPr>
          <w:ilvl w:val="1"/>
          <w:numId w:val="258"/>
        </w:numPr>
        <w:tabs>
          <w:tab w:val="left" w:pos="708"/>
        </w:tabs>
        <w:ind w:left="993" w:hanging="574"/>
        <w:jc w:val="both"/>
        <w:rPr>
          <w:rFonts w:ascii="Times New Roman" w:hAnsi="Times New Roman" w:cs="Times New Roman"/>
          <w:bCs/>
          <w:i/>
        </w:rPr>
      </w:pPr>
      <w:r w:rsidRPr="00AC403B">
        <w:rPr>
          <w:rFonts w:ascii="Times New Roman" w:hAnsi="Times New Roman" w:cs="Times New Roman"/>
          <w:bCs/>
        </w:rPr>
        <w:t xml:space="preserve">Tarifapolitika, az ár, mint versenytényező a fuvarozásban. </w:t>
      </w:r>
      <w:r w:rsidRPr="00AC403B">
        <w:rPr>
          <w:rFonts w:ascii="Times New Roman" w:hAnsi="Times New Roman" w:cs="Times New Roman"/>
          <w:bCs/>
          <w:i/>
        </w:rPr>
        <w:t>(</w:t>
      </w:r>
      <w:r w:rsidRPr="00AC403B">
        <w:rPr>
          <w:rStyle w:val="tlid-translation"/>
          <w:rFonts w:ascii="Times New Roman" w:hAnsi="Times New Roman" w:cs="Times New Roman"/>
          <w:i/>
          <w:lang w:val="en"/>
        </w:rPr>
        <w:t>Tariff policy, price as a competitive factor in transport.)</w:t>
      </w:r>
    </w:p>
    <w:p w:rsidR="00AC403B" w:rsidRPr="00AC403B" w:rsidRDefault="00AC403B" w:rsidP="00980876">
      <w:pPr>
        <w:pStyle w:val="lfej"/>
        <w:numPr>
          <w:ilvl w:val="1"/>
          <w:numId w:val="258"/>
        </w:numPr>
        <w:tabs>
          <w:tab w:val="left" w:pos="708"/>
        </w:tabs>
        <w:ind w:left="993" w:hanging="574"/>
        <w:jc w:val="both"/>
        <w:rPr>
          <w:rFonts w:ascii="Times New Roman" w:hAnsi="Times New Roman" w:cs="Times New Roman"/>
          <w:bCs/>
        </w:rPr>
      </w:pPr>
      <w:r w:rsidRPr="00AC403B">
        <w:rPr>
          <w:rFonts w:ascii="Times New Roman" w:hAnsi="Times New Roman" w:cs="Times New Roman"/>
          <w:bCs/>
        </w:rPr>
        <w:t>A katonai szállítási feladatok végrehajtása során alkalmazott sajátos díjszabási elvek, eljárások.</w:t>
      </w:r>
      <w:r w:rsidRPr="00AC403B">
        <w:rPr>
          <w:rStyle w:val="tlid-translation"/>
          <w:rFonts w:ascii="Times New Roman" w:hAnsi="Times New Roman" w:cs="Times New Roman"/>
          <w:lang w:val="en"/>
        </w:rPr>
        <w:t xml:space="preserve"> </w:t>
      </w:r>
      <w:r w:rsidRPr="00AC403B">
        <w:rPr>
          <w:rStyle w:val="tlid-translation"/>
          <w:rFonts w:ascii="Times New Roman" w:hAnsi="Times New Roman" w:cs="Times New Roman"/>
          <w:i/>
          <w:lang w:val="en"/>
        </w:rPr>
        <w:t>(Military transportation tasks are carried out during one of their own pricing principles, treatments.)</w:t>
      </w:r>
    </w:p>
    <w:p w:rsidR="00AC403B" w:rsidRPr="00AC403B" w:rsidRDefault="00AC403B" w:rsidP="00980876">
      <w:pPr>
        <w:pStyle w:val="lfej"/>
        <w:numPr>
          <w:ilvl w:val="1"/>
          <w:numId w:val="258"/>
        </w:numPr>
        <w:tabs>
          <w:tab w:val="left" w:pos="708"/>
        </w:tabs>
        <w:ind w:left="993" w:hanging="574"/>
        <w:jc w:val="both"/>
        <w:rPr>
          <w:rFonts w:ascii="Times New Roman" w:hAnsi="Times New Roman" w:cs="Times New Roman"/>
          <w:b/>
          <w:bCs/>
        </w:rPr>
      </w:pPr>
      <w:r w:rsidRPr="00AC403B">
        <w:rPr>
          <w:rFonts w:ascii="Times New Roman" w:hAnsi="Times New Roman" w:cs="Times New Roman"/>
          <w:bCs/>
        </w:rPr>
        <w:t xml:space="preserve">Zárthelyi dolgozat. </w:t>
      </w:r>
      <w:r w:rsidRPr="00AC403B">
        <w:rPr>
          <w:rFonts w:ascii="Times New Roman" w:hAnsi="Times New Roman" w:cs="Times New Roman"/>
          <w:bCs/>
          <w:i/>
        </w:rPr>
        <w:t>(Closed thesis.)</w:t>
      </w:r>
    </w:p>
    <w:p w:rsidR="00AC403B" w:rsidRPr="00AC403B" w:rsidRDefault="00AC403B" w:rsidP="00980876">
      <w:pPr>
        <w:widowControl w:val="0"/>
        <w:numPr>
          <w:ilvl w:val="0"/>
          <w:numId w:val="258"/>
        </w:numPr>
        <w:tabs>
          <w:tab w:val="num" w:pos="360"/>
        </w:tabs>
        <w:spacing w:before="120" w:after="120" w:line="240" w:lineRule="auto"/>
        <w:ind w:left="426" w:hanging="142"/>
        <w:jc w:val="both"/>
        <w:rPr>
          <w:rFonts w:ascii="Times New Roman" w:eastAsia="Times New Roman" w:hAnsi="Times New Roman" w:cs="Times New Roman"/>
          <w:bCs/>
        </w:rPr>
      </w:pPr>
      <w:r w:rsidRPr="00AC403B">
        <w:rPr>
          <w:rFonts w:ascii="Times New Roman" w:eastAsia="Times New Roman" w:hAnsi="Times New Roman" w:cs="Times New Roman"/>
          <w:b/>
          <w:bCs/>
        </w:rPr>
        <w:t xml:space="preserve">A tantárgy meghirdetésének gyakorisága/a tantervben történő félévi elhelyezkedése: </w:t>
      </w:r>
      <w:r w:rsidRPr="00AC403B">
        <w:rPr>
          <w:rFonts w:ascii="Times New Roman" w:eastAsia="Times New Roman" w:hAnsi="Times New Roman" w:cs="Times New Roman"/>
          <w:bCs/>
        </w:rPr>
        <w:t>5. félév</w:t>
      </w:r>
    </w:p>
    <w:p w:rsidR="00AC403B" w:rsidRPr="00AC403B" w:rsidRDefault="00AC403B" w:rsidP="00980876">
      <w:pPr>
        <w:widowControl w:val="0"/>
        <w:numPr>
          <w:ilvl w:val="0"/>
          <w:numId w:val="258"/>
        </w:numPr>
        <w:tabs>
          <w:tab w:val="num" w:pos="360"/>
        </w:tabs>
        <w:spacing w:before="120" w:after="120" w:line="240" w:lineRule="auto"/>
        <w:ind w:left="426" w:hanging="142"/>
        <w:jc w:val="both"/>
        <w:rPr>
          <w:rFonts w:ascii="Times New Roman" w:eastAsia="Times New Roman" w:hAnsi="Times New Roman" w:cs="Times New Roman"/>
          <w:bCs/>
        </w:rPr>
      </w:pPr>
      <w:r w:rsidRPr="00AC403B">
        <w:rPr>
          <w:rFonts w:ascii="Times New Roman" w:eastAsia="Times New Roman" w:hAnsi="Times New Roman" w:cs="Times New Roman"/>
          <w:b/>
          <w:bCs/>
        </w:rPr>
        <w:t>A tanórákon való részvétel követelményei, az elfogadható hiányzások mértéke, a távolmaradás pótlásának lehetősége:</w:t>
      </w:r>
      <w:r w:rsidRPr="00AC403B">
        <w:rPr>
          <w:rFonts w:ascii="Times New Roman" w:eastAsia="Times New Roman" w:hAnsi="Times New Roman" w:cs="Times New Roman"/>
          <w:bCs/>
        </w:rPr>
        <w:t xml:space="preserve"> </w:t>
      </w:r>
    </w:p>
    <w:p w:rsidR="00AC403B" w:rsidRPr="00AC403B" w:rsidRDefault="00AC403B" w:rsidP="00AC403B">
      <w:pPr>
        <w:widowControl w:val="0"/>
        <w:spacing w:before="120" w:after="120" w:line="240" w:lineRule="auto"/>
        <w:ind w:left="426"/>
        <w:jc w:val="both"/>
        <w:rPr>
          <w:rFonts w:ascii="Times New Roman" w:eastAsia="Times New Roman" w:hAnsi="Times New Roman" w:cs="Times New Roman"/>
          <w:bCs/>
          <w:highlight w:val="lightGray"/>
        </w:rPr>
      </w:pPr>
      <w:r w:rsidRPr="00AC403B">
        <w:rPr>
          <w:rFonts w:ascii="Times New Roman" w:eastAsia="Times New Roman" w:hAnsi="Times New Roman" w:cs="Times New Roman"/>
          <w:bCs/>
          <w:lang w:eastAsia="hu-HU"/>
        </w:rPr>
        <w:t>A tanórákon való részvétel kötelező, megengedett hiányzás mértéke 25%. Hiányzás esetén órapótlásra nincs lehetőség, a hallgató az előadás anyagát önállóan pótolja. A 25%-ot meghaladó hiányzás az aláírás megtagadását vonja maga után.</w:t>
      </w:r>
    </w:p>
    <w:p w:rsidR="00AC403B" w:rsidRPr="00AC403B" w:rsidRDefault="00AC403B" w:rsidP="00980876">
      <w:pPr>
        <w:widowControl w:val="0"/>
        <w:numPr>
          <w:ilvl w:val="0"/>
          <w:numId w:val="258"/>
        </w:numPr>
        <w:tabs>
          <w:tab w:val="num" w:pos="360"/>
        </w:tabs>
        <w:spacing w:before="120" w:after="120" w:line="240" w:lineRule="auto"/>
        <w:ind w:left="426" w:hanging="142"/>
        <w:jc w:val="both"/>
        <w:rPr>
          <w:rFonts w:ascii="Times New Roman" w:eastAsia="Times New Roman" w:hAnsi="Times New Roman" w:cs="Times New Roman"/>
          <w:bCs/>
        </w:rPr>
      </w:pPr>
      <w:r w:rsidRPr="00AC403B">
        <w:rPr>
          <w:rFonts w:ascii="Times New Roman" w:eastAsia="Times New Roman" w:hAnsi="Times New Roman" w:cs="Times New Roman"/>
          <w:b/>
        </w:rPr>
        <w:t>Félévközi feladatok, ismeretek ellenőrzésének rendje:</w:t>
      </w:r>
      <w:r w:rsidRPr="00AC403B">
        <w:rPr>
          <w:rFonts w:ascii="Times New Roman" w:eastAsia="Times New Roman" w:hAnsi="Times New Roman" w:cs="Times New Roman"/>
          <w:bCs/>
        </w:rPr>
        <w:t xml:space="preserve"> </w:t>
      </w:r>
    </w:p>
    <w:p w:rsidR="00AC403B" w:rsidRPr="00AC403B" w:rsidRDefault="00AC403B" w:rsidP="00AC403B">
      <w:pPr>
        <w:widowControl w:val="0"/>
        <w:spacing w:before="120" w:after="120" w:line="240" w:lineRule="auto"/>
        <w:ind w:left="426"/>
        <w:jc w:val="both"/>
        <w:rPr>
          <w:rFonts w:ascii="Times New Roman" w:eastAsia="Times New Roman" w:hAnsi="Times New Roman" w:cs="Times New Roman"/>
          <w:lang w:eastAsia="x-none"/>
        </w:rPr>
      </w:pPr>
      <w:r w:rsidRPr="00AC403B">
        <w:rPr>
          <w:rFonts w:ascii="Times New Roman" w:eastAsia="Times New Roman" w:hAnsi="Times New Roman" w:cs="Times New Roman"/>
          <w:lang w:val="x-none" w:eastAsia="x-none"/>
        </w:rPr>
        <w:t>A félév során egy zárthelyi dolgozatot ke</w:t>
      </w:r>
      <w:r w:rsidRPr="00AC403B">
        <w:rPr>
          <w:rFonts w:ascii="Times New Roman" w:eastAsia="Times New Roman" w:hAnsi="Times New Roman" w:cs="Times New Roman"/>
          <w:lang w:eastAsia="x-none"/>
        </w:rPr>
        <w:t>l</w:t>
      </w:r>
      <w:r w:rsidRPr="00AC403B">
        <w:rPr>
          <w:rFonts w:ascii="Times New Roman" w:eastAsia="Times New Roman" w:hAnsi="Times New Roman" w:cs="Times New Roman"/>
          <w:lang w:val="x-none" w:eastAsia="x-none"/>
        </w:rPr>
        <w:t>l megír</w:t>
      </w:r>
      <w:r w:rsidRPr="00AC403B">
        <w:rPr>
          <w:rFonts w:ascii="Times New Roman" w:eastAsia="Times New Roman" w:hAnsi="Times New Roman" w:cs="Times New Roman"/>
          <w:lang w:eastAsia="x-none"/>
        </w:rPr>
        <w:t>ni</w:t>
      </w:r>
      <w:r w:rsidRPr="00AC403B">
        <w:rPr>
          <w:rFonts w:ascii="Times New Roman" w:eastAsia="Times New Roman" w:hAnsi="Times New Roman" w:cs="Times New Roman"/>
          <w:lang w:val="x-none" w:eastAsia="x-none"/>
        </w:rPr>
        <w:t xml:space="preserve">. </w:t>
      </w:r>
      <w:r w:rsidRPr="00AC403B">
        <w:rPr>
          <w:rFonts w:ascii="Times New Roman" w:eastAsia="Times New Roman" w:hAnsi="Times New Roman" w:cs="Times New Roman"/>
          <w:lang w:eastAsia="x-none"/>
        </w:rPr>
        <w:t xml:space="preserve">A zárthelyi dolgozat ötfokozatú skálán értékelendő, 50%+1 pont elégséges, 60% közepes, 75% jó, 90% jeles. </w:t>
      </w:r>
      <w:r w:rsidRPr="00AC403B">
        <w:rPr>
          <w:rFonts w:ascii="Times New Roman" w:eastAsia="Times New Roman" w:hAnsi="Times New Roman" w:cs="Times New Roman"/>
          <w:lang w:val="x-none" w:eastAsia="x-none"/>
        </w:rPr>
        <w:t xml:space="preserve">Az elégtelen osztályzatra értékelt dolgozatot a szorgalmi és a vizsgaidőszakban is egy-egy alkalommal lehet pótolni. </w:t>
      </w:r>
    </w:p>
    <w:p w:rsidR="00AC403B" w:rsidRPr="00AC403B" w:rsidRDefault="00AC403B" w:rsidP="00AC403B">
      <w:pPr>
        <w:widowControl w:val="0"/>
        <w:spacing w:before="120" w:after="120" w:line="240" w:lineRule="auto"/>
        <w:ind w:left="426"/>
        <w:jc w:val="both"/>
        <w:rPr>
          <w:rFonts w:ascii="Times New Roman" w:eastAsia="Times New Roman" w:hAnsi="Times New Roman" w:cs="Times New Roman"/>
          <w:lang w:eastAsia="x-none"/>
        </w:rPr>
      </w:pPr>
      <w:r w:rsidRPr="00AC403B">
        <w:rPr>
          <w:rFonts w:ascii="Times New Roman" w:hAnsi="Times New Roman" w:cs="Times New Roman"/>
          <w:lang w:val="x-none" w:eastAsia="x-none"/>
        </w:rPr>
        <w:t xml:space="preserve">A félév során </w:t>
      </w:r>
      <w:r w:rsidRPr="00AC403B">
        <w:rPr>
          <w:rFonts w:ascii="Times New Roman" w:hAnsi="Times New Roman" w:cs="Times New Roman"/>
          <w:lang w:eastAsia="x-none"/>
        </w:rPr>
        <w:t>egy</w:t>
      </w:r>
      <w:r w:rsidRPr="00AC403B">
        <w:rPr>
          <w:rFonts w:ascii="Times New Roman" w:hAnsi="Times New Roman" w:cs="Times New Roman"/>
          <w:lang w:val="x-none" w:eastAsia="x-none"/>
        </w:rPr>
        <w:t xml:space="preserve"> házi feladatot kell elkészíteni minimálisan 10 oldal</w:t>
      </w:r>
      <w:r w:rsidRPr="00AC403B">
        <w:rPr>
          <w:rFonts w:ascii="Times New Roman" w:hAnsi="Times New Roman" w:cs="Times New Roman"/>
          <w:b/>
          <w:lang w:val="x-none" w:eastAsia="x-none"/>
        </w:rPr>
        <w:t xml:space="preserve"> </w:t>
      </w:r>
      <w:r w:rsidRPr="00AC403B">
        <w:rPr>
          <w:rFonts w:ascii="Times New Roman" w:hAnsi="Times New Roman" w:cs="Times New Roman"/>
          <w:lang w:val="x-none" w:eastAsia="x-none"/>
        </w:rPr>
        <w:t xml:space="preserve">terjedelemben, a szakdolgozatnak megfelelő formai követelményekkel </w:t>
      </w:r>
      <w:r w:rsidRPr="00AC403B">
        <w:rPr>
          <w:rFonts w:ascii="Times New Roman" w:hAnsi="Times New Roman" w:cs="Times New Roman"/>
        </w:rPr>
        <w:t>(TVSZ 5. melléklet)</w:t>
      </w:r>
      <w:r w:rsidRPr="00AC403B">
        <w:rPr>
          <w:rFonts w:ascii="Times New Roman" w:hAnsi="Times New Roman" w:cs="Times New Roman"/>
          <w:lang w:val="x-none" w:eastAsia="x-none"/>
        </w:rPr>
        <w:t xml:space="preserve">. </w:t>
      </w:r>
      <w:r w:rsidRPr="00AC403B">
        <w:rPr>
          <w:rFonts w:ascii="Times New Roman" w:hAnsi="Times New Roman" w:cs="Times New Roman"/>
          <w:lang w:eastAsia="x-none"/>
        </w:rPr>
        <w:t xml:space="preserve">A 10 oldal terjedelembe a bevezető, a fő rész és a befejezés tartozik csak. </w:t>
      </w:r>
      <w:r w:rsidRPr="00AC403B">
        <w:rPr>
          <w:rFonts w:ascii="Times New Roman" w:hAnsi="Times New Roman" w:cs="Times New Roman"/>
          <w:lang w:val="x-none" w:eastAsia="x-none"/>
        </w:rPr>
        <w:t>Az írásbeli munka témáját a hallgató választja</w:t>
      </w:r>
      <w:r w:rsidRPr="00AC403B">
        <w:rPr>
          <w:rFonts w:ascii="Times New Roman" w:hAnsi="Times New Roman" w:cs="Times New Roman"/>
          <w:lang w:eastAsia="x-none"/>
        </w:rPr>
        <w:t>,</w:t>
      </w:r>
      <w:r w:rsidRPr="00AC403B">
        <w:rPr>
          <w:rFonts w:ascii="Times New Roman" w:hAnsi="Times New Roman" w:cs="Times New Roman"/>
          <w:lang w:val="x-none" w:eastAsia="x-none"/>
        </w:rPr>
        <w:t xml:space="preserve"> a kurzus oktatója </w:t>
      </w:r>
      <w:r w:rsidRPr="00AC403B">
        <w:rPr>
          <w:rFonts w:ascii="Times New Roman" w:hAnsi="Times New Roman" w:cs="Times New Roman"/>
          <w:lang w:eastAsia="x-none"/>
        </w:rPr>
        <w:t>jóváhagyja</w:t>
      </w:r>
      <w:r w:rsidRPr="00AC403B">
        <w:rPr>
          <w:rFonts w:ascii="Times New Roman" w:hAnsi="Times New Roman" w:cs="Times New Roman"/>
          <w:lang w:val="x-none" w:eastAsia="x-none"/>
        </w:rPr>
        <w:t xml:space="preserve">. A szorgalmi időszakban a beadási határidőig leadott feladat </w:t>
      </w:r>
      <w:r w:rsidRPr="00AC403B">
        <w:rPr>
          <w:rFonts w:ascii="Times New Roman" w:hAnsi="Times New Roman" w:cs="Times New Roman"/>
          <w:lang w:eastAsia="x-none"/>
        </w:rPr>
        <w:t>ötfokozatú skálán értékelendő</w:t>
      </w:r>
      <w:r w:rsidRPr="00AC403B">
        <w:rPr>
          <w:rFonts w:ascii="Times New Roman" w:hAnsi="Times New Roman" w:cs="Times New Roman"/>
          <w:lang w:val="x-none" w:eastAsia="x-none"/>
        </w:rPr>
        <w:t>, azt javítani a vizsgaidőszak első hetén egy alkalommal lehet.</w:t>
      </w:r>
    </w:p>
    <w:p w:rsidR="00AC403B" w:rsidRPr="00AC403B" w:rsidRDefault="00AC403B" w:rsidP="00980876">
      <w:pPr>
        <w:widowControl w:val="0"/>
        <w:numPr>
          <w:ilvl w:val="0"/>
          <w:numId w:val="258"/>
        </w:numPr>
        <w:spacing w:before="120" w:after="120" w:line="240" w:lineRule="auto"/>
        <w:ind w:left="426" w:hanging="142"/>
        <w:jc w:val="both"/>
        <w:rPr>
          <w:rFonts w:ascii="Times New Roman" w:eastAsia="Times New Roman" w:hAnsi="Times New Roman" w:cs="Times New Roman"/>
          <w:b/>
          <w:bCs/>
        </w:rPr>
      </w:pPr>
      <w:r w:rsidRPr="00AC403B">
        <w:rPr>
          <w:rFonts w:ascii="Times New Roman" w:eastAsia="Times New Roman" w:hAnsi="Times New Roman" w:cs="Times New Roman"/>
          <w:b/>
          <w:bCs/>
        </w:rPr>
        <w:t xml:space="preserve">Az értékelés, az aláírás és a kreditek megszerzésének pontos feltételei: </w:t>
      </w:r>
    </w:p>
    <w:p w:rsidR="00AC403B" w:rsidRPr="00AC403B" w:rsidRDefault="00AC403B" w:rsidP="00980876">
      <w:pPr>
        <w:widowControl w:val="0"/>
        <w:numPr>
          <w:ilvl w:val="1"/>
          <w:numId w:val="258"/>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AC403B">
        <w:rPr>
          <w:rFonts w:ascii="Times New Roman" w:eastAsia="Times New Roman" w:hAnsi="Times New Roman" w:cs="Times New Roman"/>
          <w:b/>
        </w:rPr>
        <w:t>Az aláírás megszerzésének feltételei:</w:t>
      </w:r>
      <w:r w:rsidRPr="00AC403B">
        <w:rPr>
          <w:rFonts w:ascii="Times New Roman" w:eastAsia="Times New Roman" w:hAnsi="Times New Roman" w:cs="Times New Roman"/>
        </w:rPr>
        <w:t xml:space="preserve"> </w:t>
      </w:r>
    </w:p>
    <w:p w:rsidR="00AC403B" w:rsidRPr="00AC403B" w:rsidRDefault="00AC403B" w:rsidP="00AC403B">
      <w:pPr>
        <w:widowControl w:val="0"/>
        <w:spacing w:before="120" w:after="120" w:line="240" w:lineRule="auto"/>
        <w:ind w:left="426"/>
        <w:jc w:val="both"/>
        <w:rPr>
          <w:rFonts w:ascii="Times New Roman" w:hAnsi="Times New Roman" w:cs="Times New Roman"/>
          <w:lang w:val="x-none" w:eastAsia="x-none"/>
        </w:rPr>
      </w:pPr>
      <w:r w:rsidRPr="00AC403B">
        <w:rPr>
          <w:rFonts w:ascii="Times New Roman" w:hAnsi="Times New Roman" w:cs="Times New Roman"/>
          <w:lang w:val="x-none" w:eastAsia="x-none"/>
        </w:rPr>
        <w:t>Az aláírás megszerzésnek feltétele a zárthelyi dolgozat legalább elégséges szinten történő teljesítése (min 50%+1 pont), a kapott féléves feladat határidőre történő leadása és minimálisan elégséges szintű teljesítése, illetve a tanórák legalább 75%-án való megjelenés.</w:t>
      </w:r>
    </w:p>
    <w:p w:rsidR="00AC403B" w:rsidRPr="00AC403B" w:rsidRDefault="00AC403B" w:rsidP="00980876">
      <w:pPr>
        <w:widowControl w:val="0"/>
        <w:numPr>
          <w:ilvl w:val="1"/>
          <w:numId w:val="258"/>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AC403B">
        <w:rPr>
          <w:rFonts w:ascii="Times New Roman" w:eastAsia="Times New Roman" w:hAnsi="Times New Roman" w:cs="Times New Roman"/>
          <w:b/>
        </w:rPr>
        <w:lastRenderedPageBreak/>
        <w:t>Az értékelés:</w:t>
      </w:r>
      <w:r w:rsidRPr="00AC403B">
        <w:rPr>
          <w:rFonts w:ascii="Times New Roman" w:eastAsia="Times New Roman" w:hAnsi="Times New Roman" w:cs="Times New Roman"/>
        </w:rPr>
        <w:t xml:space="preserve"> </w:t>
      </w:r>
    </w:p>
    <w:p w:rsidR="00AC403B" w:rsidRPr="00AC403B" w:rsidRDefault="00AC403B" w:rsidP="00AC403B">
      <w:pPr>
        <w:widowControl w:val="0"/>
        <w:spacing w:before="120" w:after="120" w:line="240" w:lineRule="auto"/>
        <w:ind w:left="426"/>
        <w:jc w:val="both"/>
        <w:rPr>
          <w:rFonts w:ascii="Times New Roman" w:hAnsi="Times New Roman" w:cs="Times New Roman"/>
          <w:lang w:val="x-none" w:eastAsia="x-none"/>
        </w:rPr>
      </w:pPr>
      <w:r w:rsidRPr="00AC403B">
        <w:rPr>
          <w:rFonts w:ascii="Times New Roman" w:hAnsi="Times New Roman" w:cs="Times New Roman"/>
          <w:lang w:val="x-none" w:eastAsia="x-none"/>
        </w:rPr>
        <w:t xml:space="preserve">A félév végén a </w:t>
      </w:r>
      <w:r w:rsidRPr="00AC403B">
        <w:rPr>
          <w:rFonts w:ascii="Times New Roman" w:hAnsi="Times New Roman" w:cs="Times New Roman"/>
          <w:b/>
          <w:lang w:val="x-none" w:eastAsia="x-none"/>
        </w:rPr>
        <w:t>kollokvium</w:t>
      </w:r>
      <w:r w:rsidRPr="00AC403B">
        <w:rPr>
          <w:rFonts w:ascii="Times New Roman" w:hAnsi="Times New Roman" w:cs="Times New Roman"/>
          <w:lang w:val="x-none" w:eastAsia="x-none"/>
        </w:rPr>
        <w:t xml:space="preserve"> szóbeli, amelynek eredményébe a félévközi munka beszámítható. A kollokviumra a hallgatók csak felkészülési témaköröket kapnak kézhez, melyek felölelik a félév teljes tananyagát és a vizsgatételek kérdéseit. A kollokviumon a hallgató a vizsgatétel ismertetésére kapott osztályzata alapján ötfokozatú skálán értékelendő. Ha a vizsgáztató nem győződött meg a hallgató felkészültségéről a vizsgatétel alapján, kérdéseket tehet fel a félév tananyagából, amelyek a kollokvium érdemjegyébe beleszámítandók.</w:t>
      </w:r>
    </w:p>
    <w:p w:rsidR="00AC403B" w:rsidRPr="00AC403B" w:rsidRDefault="00AC403B" w:rsidP="00980876">
      <w:pPr>
        <w:widowControl w:val="0"/>
        <w:numPr>
          <w:ilvl w:val="1"/>
          <w:numId w:val="258"/>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AC403B">
        <w:rPr>
          <w:rFonts w:ascii="Times New Roman" w:eastAsia="Times New Roman" w:hAnsi="Times New Roman" w:cs="Times New Roman"/>
          <w:b/>
        </w:rPr>
        <w:t>A kreditek megszerzésének feltételei:</w:t>
      </w:r>
      <w:r w:rsidRPr="00AC403B">
        <w:rPr>
          <w:rFonts w:ascii="Times New Roman" w:eastAsia="Times New Roman" w:hAnsi="Times New Roman" w:cs="Times New Roman"/>
        </w:rPr>
        <w:t xml:space="preserve"> </w:t>
      </w:r>
    </w:p>
    <w:p w:rsidR="00AC403B" w:rsidRPr="00AC403B" w:rsidRDefault="00AC403B" w:rsidP="00AC403B">
      <w:pPr>
        <w:widowControl w:val="0"/>
        <w:tabs>
          <w:tab w:val="left" w:pos="993"/>
        </w:tabs>
        <w:spacing w:before="120" w:after="120" w:line="240" w:lineRule="auto"/>
        <w:ind w:left="426"/>
        <w:jc w:val="both"/>
        <w:rPr>
          <w:rFonts w:ascii="Times New Roman" w:eastAsia="Times New Roman" w:hAnsi="Times New Roman" w:cs="Times New Roman"/>
        </w:rPr>
      </w:pPr>
      <w:r w:rsidRPr="00AC403B">
        <w:rPr>
          <w:rFonts w:ascii="Times New Roman" w:eastAsia="Times New Roman" w:hAnsi="Times New Roman" w:cs="Times New Roman"/>
        </w:rPr>
        <w:t>A kreditek megszerzésének feltétele az aláírás megszerzése és legalább elégséges vizsgajegy.</w:t>
      </w:r>
    </w:p>
    <w:p w:rsidR="00AC403B" w:rsidRPr="00AC403B" w:rsidRDefault="00AC403B" w:rsidP="00980876">
      <w:pPr>
        <w:widowControl w:val="0"/>
        <w:numPr>
          <w:ilvl w:val="0"/>
          <w:numId w:val="258"/>
        </w:numPr>
        <w:tabs>
          <w:tab w:val="num" w:pos="360"/>
        </w:tabs>
        <w:spacing w:before="120" w:after="120" w:line="240" w:lineRule="auto"/>
        <w:ind w:left="426" w:hanging="142"/>
        <w:jc w:val="both"/>
        <w:rPr>
          <w:rFonts w:ascii="Times New Roman" w:eastAsia="Times New Roman" w:hAnsi="Times New Roman" w:cs="Times New Roman"/>
          <w:bCs/>
        </w:rPr>
      </w:pPr>
      <w:r w:rsidRPr="00AC403B">
        <w:rPr>
          <w:rFonts w:ascii="Times New Roman" w:eastAsia="Times New Roman" w:hAnsi="Times New Roman" w:cs="Times New Roman"/>
          <w:b/>
          <w:bCs/>
        </w:rPr>
        <w:t>Irodalomjegyzék:</w:t>
      </w:r>
    </w:p>
    <w:p w:rsidR="00AC403B" w:rsidRPr="00AC403B" w:rsidRDefault="00AC403B" w:rsidP="00980876">
      <w:pPr>
        <w:widowControl w:val="0"/>
        <w:numPr>
          <w:ilvl w:val="1"/>
          <w:numId w:val="258"/>
        </w:numPr>
        <w:tabs>
          <w:tab w:val="left" w:pos="567"/>
          <w:tab w:val="left" w:pos="851"/>
          <w:tab w:val="num" w:pos="2069"/>
        </w:tabs>
        <w:spacing w:before="120" w:after="120" w:line="240" w:lineRule="auto"/>
        <w:ind w:left="426" w:hanging="142"/>
        <w:jc w:val="both"/>
        <w:rPr>
          <w:rFonts w:ascii="Times New Roman" w:eastAsia="Times New Roman" w:hAnsi="Times New Roman" w:cs="Times New Roman"/>
          <w:bCs/>
        </w:rPr>
      </w:pPr>
      <w:r w:rsidRPr="00AC403B">
        <w:rPr>
          <w:rFonts w:ascii="Times New Roman" w:eastAsia="Times New Roman" w:hAnsi="Times New Roman" w:cs="Times New Roman"/>
          <w:b/>
          <w:bCs/>
        </w:rPr>
        <w:t>Kötelező irodalom:</w:t>
      </w:r>
    </w:p>
    <w:p w:rsidR="00AC403B" w:rsidRPr="00AC403B" w:rsidRDefault="00AC403B" w:rsidP="00980876">
      <w:pPr>
        <w:numPr>
          <w:ilvl w:val="0"/>
          <w:numId w:val="257"/>
        </w:numPr>
        <w:spacing w:after="0" w:line="240" w:lineRule="auto"/>
        <w:jc w:val="both"/>
        <w:rPr>
          <w:rFonts w:ascii="Times New Roman" w:hAnsi="Times New Roman" w:cs="Times New Roman"/>
        </w:rPr>
      </w:pPr>
      <w:r w:rsidRPr="00AC403B">
        <w:rPr>
          <w:rFonts w:ascii="Times New Roman" w:hAnsi="Times New Roman" w:cs="Times New Roman"/>
        </w:rPr>
        <w:t>Dr. Dankó L.: A nemzetközi kereskedelem technikája (Pro Marketing Miskolc Egyesület Miskolc, 2006. ISBN 9630607832  p.317.)</w:t>
      </w:r>
    </w:p>
    <w:p w:rsidR="00AC403B" w:rsidRPr="00AC403B" w:rsidRDefault="00AC403B" w:rsidP="00980876">
      <w:pPr>
        <w:numPr>
          <w:ilvl w:val="0"/>
          <w:numId w:val="257"/>
        </w:numPr>
        <w:spacing w:after="0" w:line="240" w:lineRule="auto"/>
        <w:jc w:val="both"/>
        <w:rPr>
          <w:rFonts w:ascii="Times New Roman" w:hAnsi="Times New Roman" w:cs="Times New Roman"/>
        </w:rPr>
      </w:pPr>
      <w:r w:rsidRPr="00AC403B">
        <w:rPr>
          <w:rFonts w:ascii="Times New Roman" w:hAnsi="Times New Roman" w:cs="Times New Roman"/>
        </w:rPr>
        <w:t>Dr. Szalay Gy.: A fuvarjog alapjai (SZIF Távoktatási jegyezet, Győr, 2002.)</w:t>
      </w:r>
    </w:p>
    <w:p w:rsidR="00AC403B" w:rsidRPr="00AC403B" w:rsidRDefault="00AC403B" w:rsidP="00980876">
      <w:pPr>
        <w:numPr>
          <w:ilvl w:val="0"/>
          <w:numId w:val="257"/>
        </w:numPr>
        <w:spacing w:after="0" w:line="240" w:lineRule="auto"/>
        <w:jc w:val="both"/>
        <w:rPr>
          <w:rFonts w:ascii="Times New Roman" w:hAnsi="Times New Roman" w:cs="Times New Roman"/>
        </w:rPr>
      </w:pPr>
      <w:r w:rsidRPr="00AC403B">
        <w:rPr>
          <w:rFonts w:ascii="Times New Roman" w:hAnsi="Times New Roman" w:cs="Times New Roman"/>
        </w:rPr>
        <w:t>Nyakasné dr. Tátrai Judit: Szállítmányozás I-II. (Magyar Közlekedési Kiadó, Budapest, 2001.)</w:t>
      </w:r>
    </w:p>
    <w:p w:rsidR="00AC403B" w:rsidRPr="00AC403B" w:rsidRDefault="00AC403B" w:rsidP="00980876">
      <w:pPr>
        <w:widowControl w:val="0"/>
        <w:numPr>
          <w:ilvl w:val="1"/>
          <w:numId w:val="258"/>
        </w:numPr>
        <w:tabs>
          <w:tab w:val="num" w:pos="567"/>
          <w:tab w:val="num" w:pos="2069"/>
        </w:tabs>
        <w:spacing w:before="120" w:after="120" w:line="240" w:lineRule="auto"/>
        <w:ind w:left="993" w:hanging="709"/>
        <w:jc w:val="both"/>
        <w:rPr>
          <w:rFonts w:ascii="Times New Roman" w:eastAsia="Times New Roman" w:hAnsi="Times New Roman" w:cs="Times New Roman"/>
          <w:b/>
          <w:bCs/>
        </w:rPr>
      </w:pPr>
      <w:r w:rsidRPr="00AC403B">
        <w:rPr>
          <w:rFonts w:ascii="Times New Roman" w:eastAsia="Times New Roman" w:hAnsi="Times New Roman" w:cs="Times New Roman"/>
          <w:b/>
          <w:bCs/>
        </w:rPr>
        <w:t>Ajánlott irodalom:</w:t>
      </w:r>
    </w:p>
    <w:p w:rsidR="00AC403B" w:rsidRPr="00AC403B" w:rsidRDefault="00AC403B" w:rsidP="00980876">
      <w:pPr>
        <w:numPr>
          <w:ilvl w:val="0"/>
          <w:numId w:val="259"/>
        </w:numPr>
        <w:spacing w:after="0" w:line="240" w:lineRule="auto"/>
        <w:jc w:val="both"/>
        <w:rPr>
          <w:rFonts w:ascii="Times New Roman" w:hAnsi="Times New Roman" w:cs="Times New Roman"/>
        </w:rPr>
      </w:pPr>
      <w:r w:rsidRPr="00AC403B">
        <w:rPr>
          <w:rFonts w:ascii="Times New Roman" w:hAnsi="Times New Roman" w:cs="Times New Roman"/>
        </w:rPr>
        <w:t>Majtényi-Kovács-Szalay: Tengeri fuvarjog (Tankönyvkiadó, Budapest, 1991.)</w:t>
      </w:r>
    </w:p>
    <w:p w:rsidR="00AC403B" w:rsidRPr="00AC403B" w:rsidRDefault="00AC403B" w:rsidP="00980876">
      <w:pPr>
        <w:numPr>
          <w:ilvl w:val="0"/>
          <w:numId w:val="259"/>
        </w:numPr>
        <w:spacing w:after="0" w:line="240" w:lineRule="auto"/>
        <w:jc w:val="both"/>
        <w:rPr>
          <w:rFonts w:ascii="Times New Roman" w:hAnsi="Times New Roman" w:cs="Times New Roman"/>
        </w:rPr>
      </w:pPr>
      <w:r w:rsidRPr="00AC403B">
        <w:rPr>
          <w:rFonts w:ascii="Times New Roman" w:hAnsi="Times New Roman" w:cs="Times New Roman"/>
        </w:rPr>
        <w:t>Baráth F.: Jogi Ismeretek – Fuvarozásjog (Műszaki könyvkiadó, Budapest, 2010. p. 112,  ISBN: 978-963-16-6067-8)</w:t>
      </w:r>
    </w:p>
    <w:p w:rsidR="00AC403B" w:rsidRPr="00AC403B" w:rsidRDefault="00AC403B" w:rsidP="00980876">
      <w:pPr>
        <w:numPr>
          <w:ilvl w:val="0"/>
          <w:numId w:val="259"/>
        </w:numPr>
        <w:spacing w:after="0" w:line="240" w:lineRule="auto"/>
        <w:jc w:val="both"/>
        <w:rPr>
          <w:rFonts w:ascii="Times New Roman" w:hAnsi="Times New Roman" w:cs="Times New Roman"/>
        </w:rPr>
      </w:pPr>
      <w:r w:rsidRPr="00AC403B">
        <w:rPr>
          <w:rFonts w:ascii="Times New Roman" w:hAnsi="Times New Roman" w:cs="Times New Roman"/>
        </w:rPr>
        <w:t>Közlekedési jogszabályok gyűjteménye</w:t>
      </w:r>
    </w:p>
    <w:p w:rsidR="00AC403B" w:rsidRPr="00AC403B" w:rsidRDefault="00AC403B" w:rsidP="00AC403B">
      <w:pPr>
        <w:pStyle w:val="Listaszerbekezds"/>
        <w:widowControl w:val="0"/>
        <w:spacing w:after="0" w:line="240" w:lineRule="auto"/>
        <w:jc w:val="both"/>
        <w:rPr>
          <w:rFonts w:ascii="Times New Roman" w:eastAsia="Times New Roman" w:hAnsi="Times New Roman" w:cs="Times New Roman"/>
          <w:highlight w:val="lightGray"/>
        </w:rPr>
      </w:pPr>
    </w:p>
    <w:p w:rsidR="00AC403B" w:rsidRPr="00AC403B" w:rsidRDefault="00454950" w:rsidP="00AC403B">
      <w:pPr>
        <w:widowControl w:val="0"/>
        <w:spacing w:before="120" w:after="120" w:line="240" w:lineRule="auto"/>
        <w:jc w:val="both"/>
        <w:rPr>
          <w:rFonts w:ascii="Times New Roman" w:eastAsia="Times New Roman" w:hAnsi="Times New Roman" w:cs="Times New Roman"/>
          <w:bCs/>
        </w:rPr>
      </w:pPr>
      <w:r>
        <w:rPr>
          <w:rFonts w:ascii="Times New Roman" w:eastAsia="Times New Roman" w:hAnsi="Times New Roman" w:cs="Times New Roman"/>
          <w:bCs/>
        </w:rPr>
        <w:t>Budapest 2020. március     -n</w:t>
      </w:r>
    </w:p>
    <w:p w:rsidR="00AC403B" w:rsidRPr="00AC403B" w:rsidRDefault="00AC403B" w:rsidP="00AC403B">
      <w:pPr>
        <w:pStyle w:val="lfej"/>
        <w:tabs>
          <w:tab w:val="right" w:pos="900"/>
        </w:tabs>
        <w:spacing w:before="120"/>
        <w:jc w:val="both"/>
        <w:rPr>
          <w:rFonts w:ascii="Times New Roman" w:hAnsi="Times New Roman" w:cs="Times New Roman"/>
          <w:bCs/>
        </w:rPr>
      </w:pPr>
    </w:p>
    <w:p w:rsidR="00AC403B" w:rsidRPr="00AC403B" w:rsidRDefault="00AC403B" w:rsidP="00AC403B">
      <w:pPr>
        <w:pStyle w:val="lfej"/>
        <w:tabs>
          <w:tab w:val="right" w:pos="900"/>
        </w:tabs>
        <w:ind w:left="5103"/>
        <w:jc w:val="center"/>
        <w:rPr>
          <w:rFonts w:ascii="Times New Roman" w:hAnsi="Times New Roman" w:cs="Times New Roman"/>
          <w:b/>
          <w:bCs/>
        </w:rPr>
      </w:pPr>
      <w:r w:rsidRPr="00AC403B">
        <w:rPr>
          <w:rFonts w:ascii="Times New Roman" w:hAnsi="Times New Roman" w:cs="Times New Roman"/>
          <w:b/>
          <w:bCs/>
        </w:rPr>
        <w:t>Dr. Szászi Gábor egyetemi docens, PhD</w:t>
      </w:r>
    </w:p>
    <w:p w:rsidR="00AC403B" w:rsidRPr="00AC403B" w:rsidRDefault="00AC403B" w:rsidP="00AC403B">
      <w:pPr>
        <w:ind w:left="5103"/>
        <w:jc w:val="center"/>
        <w:rPr>
          <w:rFonts w:ascii="Times New Roman" w:hAnsi="Times New Roman" w:cs="Times New Roman"/>
          <w:bCs/>
        </w:rPr>
      </w:pPr>
      <w:r w:rsidRPr="00AC403B">
        <w:rPr>
          <w:rFonts w:ascii="Times New Roman" w:hAnsi="Times New Roman" w:cs="Times New Roman"/>
          <w:bCs/>
        </w:rPr>
        <w:t>tantárgyfelelős</w:t>
      </w:r>
    </w:p>
    <w:p w:rsidR="00A86AA9" w:rsidRDefault="00A86AA9">
      <w:pPr>
        <w:spacing w:after="200" w:line="276" w:lineRule="auto"/>
        <w:rPr>
          <w:rFonts w:ascii="Times New Roman" w:hAnsi="Times New Roman" w:cs="Times New Roman"/>
          <w:sz w:val="24"/>
        </w:rPr>
      </w:pPr>
    </w:p>
    <w:p w:rsidR="00454950" w:rsidRPr="00454950" w:rsidRDefault="00454950">
      <w:pPr>
        <w:spacing w:after="200" w:line="276" w:lineRule="auto"/>
        <w:rPr>
          <w:rFonts w:ascii="Times New Roman" w:hAnsi="Times New Roman" w:cs="Times New Roman"/>
        </w:rPr>
      </w:pPr>
      <w:r w:rsidRPr="00454950">
        <w:rPr>
          <w:rFonts w:ascii="Times New Roman" w:hAnsi="Times New Roman" w:cs="Times New Roman"/>
        </w:rPr>
        <w:br w:type="page"/>
      </w:r>
    </w:p>
    <w:tbl>
      <w:tblPr>
        <w:tblW w:w="9072" w:type="dxa"/>
        <w:tblInd w:w="113" w:type="dxa"/>
        <w:tblLook w:val="01E0" w:firstRow="1" w:lastRow="1" w:firstColumn="1" w:lastColumn="1" w:noHBand="0" w:noVBand="0"/>
      </w:tblPr>
      <w:tblGrid>
        <w:gridCol w:w="4855"/>
        <w:gridCol w:w="1620"/>
        <w:gridCol w:w="2597"/>
      </w:tblGrid>
      <w:tr w:rsidR="00454950" w:rsidRPr="00454950" w:rsidTr="00454950">
        <w:tc>
          <w:tcPr>
            <w:tcW w:w="4855" w:type="dxa"/>
            <w:tcBorders>
              <w:top w:val="nil"/>
              <w:left w:val="nil"/>
              <w:bottom w:val="single" w:sz="4" w:space="0" w:color="auto"/>
              <w:right w:val="nil"/>
            </w:tcBorders>
            <w:hideMark/>
          </w:tcPr>
          <w:p w:rsidR="00454950" w:rsidRPr="00454950" w:rsidRDefault="00454950">
            <w:pPr>
              <w:spacing w:after="0" w:line="240" w:lineRule="auto"/>
              <w:jc w:val="center"/>
              <w:rPr>
                <w:rFonts w:ascii="Times New Roman" w:eastAsia="Times New Roman" w:hAnsi="Times New Roman" w:cs="Times New Roman"/>
                <w:b/>
                <w:smallCaps/>
                <w:lang w:eastAsia="hu-HU"/>
              </w:rPr>
            </w:pPr>
            <w:r w:rsidRPr="00454950">
              <w:rPr>
                <w:rFonts w:ascii="Times New Roman" w:eastAsia="Times New Roman" w:hAnsi="Times New Roman" w:cs="Times New Roman"/>
                <w:b/>
                <w:smallCaps/>
                <w:lang w:eastAsia="hu-HU"/>
              </w:rPr>
              <w:lastRenderedPageBreak/>
              <w:t>Nemzeti Közszolgálati Egyetem</w:t>
            </w:r>
          </w:p>
        </w:tc>
        <w:tc>
          <w:tcPr>
            <w:tcW w:w="1620" w:type="dxa"/>
          </w:tcPr>
          <w:p w:rsidR="00454950" w:rsidRPr="00454950" w:rsidRDefault="00454950">
            <w:pPr>
              <w:spacing w:after="0" w:line="240" w:lineRule="auto"/>
              <w:jc w:val="both"/>
              <w:rPr>
                <w:rFonts w:ascii="Times New Roman" w:eastAsia="Times New Roman" w:hAnsi="Times New Roman" w:cs="Times New Roman"/>
                <w:lang w:eastAsia="hu-HU"/>
              </w:rPr>
            </w:pPr>
          </w:p>
        </w:tc>
        <w:tc>
          <w:tcPr>
            <w:tcW w:w="2597" w:type="dxa"/>
          </w:tcPr>
          <w:p w:rsidR="00454950" w:rsidRPr="00454950" w:rsidRDefault="00454950">
            <w:pPr>
              <w:spacing w:after="0" w:line="240" w:lineRule="auto"/>
              <w:jc w:val="right"/>
              <w:rPr>
                <w:rFonts w:ascii="Times New Roman" w:eastAsia="Times New Roman" w:hAnsi="Times New Roman" w:cs="Times New Roman"/>
                <w:lang w:eastAsia="hu-HU"/>
              </w:rPr>
            </w:pPr>
          </w:p>
        </w:tc>
      </w:tr>
      <w:tr w:rsidR="00454950" w:rsidRPr="00454950" w:rsidTr="00454950">
        <w:tc>
          <w:tcPr>
            <w:tcW w:w="4855" w:type="dxa"/>
            <w:tcBorders>
              <w:top w:val="single" w:sz="4" w:space="0" w:color="auto"/>
              <w:left w:val="nil"/>
              <w:bottom w:val="nil"/>
              <w:right w:val="nil"/>
            </w:tcBorders>
            <w:hideMark/>
          </w:tcPr>
          <w:p w:rsidR="00454950" w:rsidRPr="00454950" w:rsidRDefault="00454950">
            <w:pPr>
              <w:spacing w:after="0" w:line="240" w:lineRule="auto"/>
              <w:jc w:val="center"/>
              <w:rPr>
                <w:rFonts w:ascii="Times New Roman" w:eastAsia="Times New Roman" w:hAnsi="Times New Roman" w:cs="Times New Roman"/>
                <w:b/>
                <w:lang w:eastAsia="hu-HU"/>
              </w:rPr>
            </w:pPr>
            <w:r w:rsidRPr="00454950">
              <w:rPr>
                <w:rFonts w:ascii="Times New Roman" w:eastAsia="Times New Roman" w:hAnsi="Times New Roman" w:cs="Times New Roman"/>
                <w:b/>
                <w:lang w:eastAsia="hu-HU"/>
              </w:rPr>
              <w:t>Hadtudományi és Honvédtisztképző Kar</w:t>
            </w:r>
          </w:p>
        </w:tc>
        <w:tc>
          <w:tcPr>
            <w:tcW w:w="1620" w:type="dxa"/>
          </w:tcPr>
          <w:p w:rsidR="00454950" w:rsidRPr="00454950" w:rsidRDefault="00454950">
            <w:pPr>
              <w:spacing w:after="0" w:line="240" w:lineRule="auto"/>
              <w:jc w:val="both"/>
              <w:rPr>
                <w:rFonts w:ascii="Times New Roman" w:eastAsia="Times New Roman" w:hAnsi="Times New Roman" w:cs="Times New Roman"/>
                <w:lang w:eastAsia="hu-HU"/>
              </w:rPr>
            </w:pPr>
          </w:p>
        </w:tc>
        <w:tc>
          <w:tcPr>
            <w:tcW w:w="2597" w:type="dxa"/>
          </w:tcPr>
          <w:p w:rsidR="00454950" w:rsidRPr="00454950" w:rsidRDefault="00454950">
            <w:pPr>
              <w:spacing w:after="0" w:line="240" w:lineRule="auto"/>
              <w:jc w:val="both"/>
              <w:rPr>
                <w:rFonts w:ascii="Times New Roman" w:eastAsia="Times New Roman" w:hAnsi="Times New Roman" w:cs="Times New Roman"/>
                <w:lang w:eastAsia="hu-HU"/>
              </w:rPr>
            </w:pPr>
          </w:p>
        </w:tc>
      </w:tr>
    </w:tbl>
    <w:p w:rsidR="00454950" w:rsidRPr="00454950" w:rsidRDefault="00454950" w:rsidP="00454950">
      <w:pPr>
        <w:widowControl w:val="0"/>
        <w:spacing w:before="120" w:after="120" w:line="240" w:lineRule="auto"/>
        <w:ind w:left="426" w:hanging="142"/>
        <w:jc w:val="center"/>
        <w:rPr>
          <w:rFonts w:ascii="Times New Roman" w:eastAsia="Times New Roman" w:hAnsi="Times New Roman" w:cs="Times New Roman"/>
          <w:b/>
          <w:bCs/>
        </w:rPr>
      </w:pPr>
    </w:p>
    <w:p w:rsidR="00454950" w:rsidRPr="00454950" w:rsidRDefault="00454950" w:rsidP="00454950">
      <w:pPr>
        <w:widowControl w:val="0"/>
        <w:spacing w:before="120" w:after="120" w:line="240" w:lineRule="auto"/>
        <w:ind w:left="426" w:hanging="142"/>
        <w:jc w:val="center"/>
        <w:rPr>
          <w:rFonts w:ascii="Times New Roman" w:eastAsia="Times New Roman" w:hAnsi="Times New Roman" w:cs="Times New Roman"/>
          <w:b/>
          <w:bCs/>
        </w:rPr>
      </w:pPr>
      <w:r w:rsidRPr="00454950">
        <w:rPr>
          <w:rFonts w:ascii="Times New Roman" w:eastAsia="Times New Roman" w:hAnsi="Times New Roman" w:cs="Times New Roman"/>
          <w:b/>
          <w:bCs/>
        </w:rPr>
        <w:t>TANTÁRGYI PROGRAM</w:t>
      </w:r>
    </w:p>
    <w:p w:rsidR="00454950" w:rsidRPr="00454950" w:rsidRDefault="00454950" w:rsidP="00980876">
      <w:pPr>
        <w:widowControl w:val="0"/>
        <w:numPr>
          <w:ilvl w:val="0"/>
          <w:numId w:val="262"/>
        </w:numPr>
        <w:tabs>
          <w:tab w:val="num" w:pos="567"/>
        </w:tabs>
        <w:spacing w:before="120" w:after="120" w:line="240" w:lineRule="auto"/>
        <w:ind w:left="426" w:hanging="142"/>
        <w:jc w:val="both"/>
        <w:rPr>
          <w:rFonts w:ascii="Times New Roman" w:eastAsia="Times New Roman" w:hAnsi="Times New Roman" w:cs="Times New Roman"/>
          <w:b/>
          <w:bCs/>
        </w:rPr>
      </w:pPr>
      <w:r w:rsidRPr="00454950">
        <w:rPr>
          <w:rFonts w:ascii="Times New Roman" w:eastAsia="Times New Roman" w:hAnsi="Times New Roman" w:cs="Times New Roman"/>
          <w:b/>
          <w:bCs/>
        </w:rPr>
        <w:t xml:space="preserve">A tantárgy kódja: </w:t>
      </w:r>
      <w:r w:rsidRPr="00454950">
        <w:rPr>
          <w:rFonts w:ascii="Times New Roman" w:eastAsia="Times New Roman" w:hAnsi="Times New Roman" w:cs="Times New Roman"/>
          <w:bCs/>
        </w:rPr>
        <w:t>HKHPKA305</w:t>
      </w:r>
    </w:p>
    <w:p w:rsidR="00454950" w:rsidRPr="00454950" w:rsidRDefault="00454950" w:rsidP="00980876">
      <w:pPr>
        <w:widowControl w:val="0"/>
        <w:numPr>
          <w:ilvl w:val="0"/>
          <w:numId w:val="262"/>
        </w:numPr>
        <w:tabs>
          <w:tab w:val="num" w:pos="567"/>
        </w:tabs>
        <w:spacing w:before="120" w:after="120" w:line="240" w:lineRule="auto"/>
        <w:ind w:left="426" w:hanging="142"/>
        <w:jc w:val="both"/>
        <w:rPr>
          <w:rFonts w:ascii="Times New Roman" w:eastAsia="Times New Roman" w:hAnsi="Times New Roman" w:cs="Times New Roman"/>
          <w:b/>
          <w:bCs/>
          <w:lang w:val="en-GB"/>
        </w:rPr>
      </w:pPr>
      <w:r w:rsidRPr="00454950">
        <w:rPr>
          <w:rFonts w:ascii="Times New Roman" w:eastAsia="Times New Roman" w:hAnsi="Times New Roman" w:cs="Times New Roman"/>
          <w:b/>
          <w:bCs/>
        </w:rPr>
        <w:t>A tantárgy megnevezése (magyarul):</w:t>
      </w:r>
      <w:r w:rsidRPr="00454950">
        <w:rPr>
          <w:rFonts w:ascii="Times New Roman" w:eastAsia="Times New Roman" w:hAnsi="Times New Roman" w:cs="Times New Roman"/>
          <w:bCs/>
        </w:rPr>
        <w:t xml:space="preserve"> </w:t>
      </w:r>
      <w:r w:rsidRPr="00454950">
        <w:rPr>
          <w:rFonts w:ascii="Times New Roman" w:hAnsi="Times New Roman" w:cs="Times New Roman"/>
        </w:rPr>
        <w:t>Katonai szállító járművek I.</w:t>
      </w:r>
    </w:p>
    <w:p w:rsidR="00454950" w:rsidRPr="00454950" w:rsidRDefault="00454950" w:rsidP="00980876">
      <w:pPr>
        <w:widowControl w:val="0"/>
        <w:numPr>
          <w:ilvl w:val="0"/>
          <w:numId w:val="262"/>
        </w:numPr>
        <w:tabs>
          <w:tab w:val="num" w:pos="567"/>
        </w:tabs>
        <w:spacing w:before="120" w:after="120" w:line="240" w:lineRule="auto"/>
        <w:ind w:left="426" w:hanging="142"/>
        <w:jc w:val="both"/>
        <w:rPr>
          <w:rFonts w:ascii="Times New Roman" w:eastAsia="Times New Roman" w:hAnsi="Times New Roman" w:cs="Times New Roman"/>
          <w:b/>
          <w:bCs/>
          <w:lang w:val="en-GB"/>
        </w:rPr>
      </w:pPr>
      <w:r w:rsidRPr="00454950">
        <w:rPr>
          <w:rFonts w:ascii="Times New Roman" w:eastAsia="Times New Roman" w:hAnsi="Times New Roman" w:cs="Times New Roman"/>
          <w:b/>
          <w:bCs/>
        </w:rPr>
        <w:t xml:space="preserve">A tantárgy megnevezése (angolul): </w:t>
      </w:r>
      <w:r w:rsidRPr="00454950">
        <w:rPr>
          <w:rFonts w:ascii="Times New Roman" w:hAnsi="Times New Roman" w:cs="Times New Roman"/>
          <w:bCs/>
          <w:lang w:val="en-US"/>
        </w:rPr>
        <w:t>Military Transportation Vehicles</w:t>
      </w:r>
      <w:r w:rsidRPr="00454950">
        <w:rPr>
          <w:rFonts w:ascii="Times New Roman" w:hAnsi="Times New Roman" w:cs="Times New Roman"/>
          <w:bCs/>
        </w:rPr>
        <w:t xml:space="preserve"> I.</w:t>
      </w:r>
    </w:p>
    <w:p w:rsidR="00454950" w:rsidRPr="00454950" w:rsidRDefault="00454950" w:rsidP="00980876">
      <w:pPr>
        <w:widowControl w:val="0"/>
        <w:numPr>
          <w:ilvl w:val="0"/>
          <w:numId w:val="262"/>
        </w:numPr>
        <w:tabs>
          <w:tab w:val="num" w:pos="567"/>
        </w:tabs>
        <w:spacing w:before="120" w:after="120" w:line="240" w:lineRule="auto"/>
        <w:ind w:left="426" w:hanging="142"/>
        <w:jc w:val="both"/>
        <w:rPr>
          <w:rFonts w:ascii="Times New Roman" w:eastAsia="Times New Roman" w:hAnsi="Times New Roman" w:cs="Times New Roman"/>
          <w:b/>
          <w:bCs/>
        </w:rPr>
      </w:pPr>
      <w:r w:rsidRPr="00454950">
        <w:rPr>
          <w:rFonts w:ascii="Times New Roman" w:eastAsia="Times New Roman" w:hAnsi="Times New Roman" w:cs="Times New Roman"/>
          <w:b/>
          <w:bCs/>
        </w:rPr>
        <w:t xml:space="preserve">Kreditérték és képzési karakter: </w:t>
      </w:r>
    </w:p>
    <w:p w:rsidR="00454950" w:rsidRPr="00454950" w:rsidRDefault="00454950" w:rsidP="00980876">
      <w:pPr>
        <w:pStyle w:val="Listaszerbekezds"/>
        <w:widowControl w:val="0"/>
        <w:numPr>
          <w:ilvl w:val="1"/>
          <w:numId w:val="262"/>
        </w:numPr>
        <w:spacing w:before="120" w:after="120" w:line="240" w:lineRule="auto"/>
        <w:ind w:left="993" w:hanging="426"/>
        <w:jc w:val="both"/>
        <w:rPr>
          <w:rFonts w:ascii="Times New Roman" w:eastAsia="Times New Roman" w:hAnsi="Times New Roman" w:cs="Times New Roman"/>
          <w:b/>
          <w:bCs/>
        </w:rPr>
      </w:pPr>
      <w:r w:rsidRPr="00454950">
        <w:rPr>
          <w:rFonts w:ascii="Times New Roman" w:eastAsia="Times New Roman" w:hAnsi="Times New Roman" w:cs="Times New Roman"/>
          <w:bCs/>
        </w:rPr>
        <w:t>4 kredit</w:t>
      </w:r>
    </w:p>
    <w:p w:rsidR="00454950" w:rsidRPr="00454950" w:rsidRDefault="00454950" w:rsidP="00980876">
      <w:pPr>
        <w:pStyle w:val="Listaszerbekezds"/>
        <w:widowControl w:val="0"/>
        <w:numPr>
          <w:ilvl w:val="1"/>
          <w:numId w:val="262"/>
        </w:numPr>
        <w:spacing w:before="120" w:after="120" w:line="240" w:lineRule="auto"/>
        <w:ind w:left="993" w:hanging="426"/>
        <w:jc w:val="both"/>
        <w:rPr>
          <w:rFonts w:ascii="Times New Roman" w:eastAsia="Times New Roman" w:hAnsi="Times New Roman" w:cs="Times New Roman"/>
          <w:b/>
          <w:bCs/>
        </w:rPr>
      </w:pPr>
      <w:r w:rsidRPr="00454950">
        <w:rPr>
          <w:rFonts w:ascii="Times New Roman" w:eastAsia="Times New Roman" w:hAnsi="Times New Roman" w:cs="Times New Roman"/>
          <w:bCs/>
        </w:rPr>
        <w:t>a tantárgy elméleti vagy gyakorlati jellegének mértéke: 25</w:t>
      </w:r>
      <w:r w:rsidRPr="00454950">
        <w:rPr>
          <w:rFonts w:ascii="Times New Roman" w:eastAsia="Times New Roman" w:hAnsi="Times New Roman" w:cs="Times New Roman"/>
          <w:b/>
          <w:bCs/>
        </w:rPr>
        <w:t xml:space="preserve"> </w:t>
      </w:r>
      <w:r w:rsidRPr="00454950">
        <w:rPr>
          <w:rFonts w:ascii="Times New Roman" w:eastAsia="Times New Roman" w:hAnsi="Times New Roman" w:cs="Times New Roman"/>
          <w:bCs/>
        </w:rPr>
        <w:t>% gyakorlat, 75 % elmélet</w:t>
      </w:r>
    </w:p>
    <w:p w:rsidR="00454950" w:rsidRPr="00454950" w:rsidRDefault="00454950" w:rsidP="00980876">
      <w:pPr>
        <w:widowControl w:val="0"/>
        <w:numPr>
          <w:ilvl w:val="0"/>
          <w:numId w:val="262"/>
        </w:numPr>
        <w:spacing w:before="120" w:after="120" w:line="240" w:lineRule="auto"/>
        <w:ind w:left="426" w:hanging="142"/>
        <w:jc w:val="both"/>
        <w:rPr>
          <w:rFonts w:ascii="Times New Roman" w:eastAsia="Times New Roman" w:hAnsi="Times New Roman" w:cs="Times New Roman"/>
          <w:bCs/>
        </w:rPr>
      </w:pPr>
      <w:r w:rsidRPr="00454950">
        <w:rPr>
          <w:rFonts w:ascii="Times New Roman" w:eastAsia="Times New Roman" w:hAnsi="Times New Roman" w:cs="Times New Roman"/>
          <w:b/>
          <w:bCs/>
        </w:rPr>
        <w:t>A szak(ok), szakirányok/specializációk megnevezése (ahol oktatják):</w:t>
      </w:r>
      <w:r w:rsidRPr="00454950">
        <w:rPr>
          <w:rFonts w:ascii="Times New Roman" w:eastAsia="Times New Roman" w:hAnsi="Times New Roman" w:cs="Times New Roman"/>
          <w:bCs/>
        </w:rPr>
        <w:t xml:space="preserve"> Katonai logisztika alapképzési szak, Katonai közlekedési specializáció</w:t>
      </w:r>
    </w:p>
    <w:p w:rsidR="00454950" w:rsidRPr="00454950" w:rsidRDefault="00454950" w:rsidP="00980876">
      <w:pPr>
        <w:widowControl w:val="0"/>
        <w:numPr>
          <w:ilvl w:val="0"/>
          <w:numId w:val="262"/>
        </w:numPr>
        <w:tabs>
          <w:tab w:val="num" w:pos="567"/>
        </w:tabs>
        <w:spacing w:before="120" w:after="120" w:line="240" w:lineRule="auto"/>
        <w:ind w:left="426" w:hanging="142"/>
        <w:jc w:val="both"/>
        <w:rPr>
          <w:rFonts w:ascii="Times New Roman" w:eastAsia="Times New Roman" w:hAnsi="Times New Roman" w:cs="Times New Roman"/>
          <w:bCs/>
        </w:rPr>
      </w:pPr>
      <w:r w:rsidRPr="00454950">
        <w:rPr>
          <w:rFonts w:ascii="Times New Roman" w:eastAsia="Times New Roman" w:hAnsi="Times New Roman" w:cs="Times New Roman"/>
          <w:b/>
          <w:bCs/>
        </w:rPr>
        <w:t xml:space="preserve">Az oktatásért felelős oktatási szervezeti egység megnevezése: </w:t>
      </w:r>
      <w:r w:rsidRPr="00454950">
        <w:rPr>
          <w:rFonts w:ascii="Times New Roman" w:eastAsia="Times New Roman" w:hAnsi="Times New Roman" w:cs="Times New Roman"/>
          <w:bCs/>
        </w:rPr>
        <w:t>NKE HHK, Hadtáp, Pénzügyi és Katonai Közlekedési Tanszék</w:t>
      </w:r>
    </w:p>
    <w:p w:rsidR="00454950" w:rsidRPr="00454950" w:rsidRDefault="00454950" w:rsidP="00980876">
      <w:pPr>
        <w:widowControl w:val="0"/>
        <w:numPr>
          <w:ilvl w:val="0"/>
          <w:numId w:val="262"/>
        </w:numPr>
        <w:tabs>
          <w:tab w:val="num" w:pos="567"/>
        </w:tabs>
        <w:spacing w:before="120" w:after="120" w:line="240" w:lineRule="auto"/>
        <w:ind w:left="426" w:hanging="142"/>
        <w:jc w:val="both"/>
        <w:rPr>
          <w:rFonts w:ascii="Times New Roman" w:eastAsia="Times New Roman" w:hAnsi="Times New Roman" w:cs="Times New Roman"/>
          <w:bCs/>
        </w:rPr>
      </w:pPr>
      <w:r w:rsidRPr="00454950">
        <w:rPr>
          <w:rFonts w:ascii="Times New Roman" w:eastAsia="Times New Roman" w:hAnsi="Times New Roman" w:cs="Times New Roman"/>
          <w:b/>
          <w:bCs/>
        </w:rPr>
        <w:t>A tantárgyfelelős oktató neve, beosztása, tudományos fokozata:</w:t>
      </w:r>
      <w:r w:rsidRPr="00454950">
        <w:rPr>
          <w:rFonts w:ascii="Times New Roman" w:eastAsia="Times New Roman" w:hAnsi="Times New Roman" w:cs="Times New Roman"/>
          <w:bCs/>
        </w:rPr>
        <w:t xml:space="preserve"> Dr. Fábos Róbert, PhD, adjunktus</w:t>
      </w:r>
    </w:p>
    <w:p w:rsidR="00454950" w:rsidRPr="00454950" w:rsidRDefault="00454950" w:rsidP="00980876">
      <w:pPr>
        <w:widowControl w:val="0"/>
        <w:numPr>
          <w:ilvl w:val="0"/>
          <w:numId w:val="262"/>
        </w:numPr>
        <w:spacing w:before="120" w:after="120" w:line="240" w:lineRule="auto"/>
        <w:ind w:left="426" w:hanging="142"/>
        <w:jc w:val="both"/>
        <w:rPr>
          <w:rFonts w:ascii="Times New Roman" w:eastAsia="Times New Roman" w:hAnsi="Times New Roman" w:cs="Times New Roman"/>
          <w:bCs/>
        </w:rPr>
      </w:pPr>
      <w:r w:rsidRPr="00454950">
        <w:rPr>
          <w:rFonts w:ascii="Times New Roman" w:eastAsia="Times New Roman" w:hAnsi="Times New Roman" w:cs="Times New Roman"/>
          <w:b/>
          <w:bCs/>
        </w:rPr>
        <w:t>A tanórák száma és típusa</w:t>
      </w:r>
    </w:p>
    <w:p w:rsidR="00454950" w:rsidRPr="00454950" w:rsidRDefault="00454950" w:rsidP="00980876">
      <w:pPr>
        <w:widowControl w:val="0"/>
        <w:numPr>
          <w:ilvl w:val="1"/>
          <w:numId w:val="262"/>
        </w:numPr>
        <w:tabs>
          <w:tab w:val="num" w:pos="709"/>
          <w:tab w:val="num" w:pos="2069"/>
        </w:tabs>
        <w:spacing w:before="120" w:after="120" w:line="240" w:lineRule="auto"/>
        <w:ind w:left="851" w:hanging="425"/>
        <w:jc w:val="both"/>
        <w:rPr>
          <w:rFonts w:ascii="Times New Roman" w:eastAsia="Times New Roman" w:hAnsi="Times New Roman" w:cs="Times New Roman"/>
          <w:bCs/>
        </w:rPr>
      </w:pPr>
      <w:r w:rsidRPr="00454950">
        <w:rPr>
          <w:rFonts w:ascii="Times New Roman" w:eastAsia="Times New Roman" w:hAnsi="Times New Roman" w:cs="Times New Roman"/>
          <w:bCs/>
        </w:rPr>
        <w:t>össz óraszám/félév: 56</w:t>
      </w:r>
    </w:p>
    <w:p w:rsidR="00454950" w:rsidRPr="00454950" w:rsidRDefault="00454950" w:rsidP="00980876">
      <w:pPr>
        <w:widowControl w:val="0"/>
        <w:numPr>
          <w:ilvl w:val="2"/>
          <w:numId w:val="262"/>
        </w:numPr>
        <w:tabs>
          <w:tab w:val="num" w:pos="709"/>
          <w:tab w:val="num" w:pos="1134"/>
        </w:tabs>
        <w:spacing w:before="120" w:after="120" w:line="240" w:lineRule="auto"/>
        <w:ind w:left="993" w:hanging="425"/>
        <w:jc w:val="both"/>
        <w:rPr>
          <w:rFonts w:ascii="Times New Roman" w:eastAsia="Times New Roman" w:hAnsi="Times New Roman" w:cs="Times New Roman"/>
          <w:bCs/>
        </w:rPr>
      </w:pPr>
      <w:r w:rsidRPr="00454950">
        <w:rPr>
          <w:rFonts w:ascii="Times New Roman" w:eastAsia="Times New Roman" w:hAnsi="Times New Roman" w:cs="Times New Roman"/>
          <w:bCs/>
        </w:rPr>
        <w:t>nappali munkarend: 56 (42 EA + 0 SZ + 14 GY)</w:t>
      </w:r>
    </w:p>
    <w:p w:rsidR="00454950" w:rsidRPr="00454950" w:rsidRDefault="00454950" w:rsidP="00980876">
      <w:pPr>
        <w:widowControl w:val="0"/>
        <w:numPr>
          <w:ilvl w:val="2"/>
          <w:numId w:val="262"/>
        </w:numPr>
        <w:tabs>
          <w:tab w:val="num" w:pos="709"/>
          <w:tab w:val="num" w:pos="1134"/>
        </w:tabs>
        <w:spacing w:before="120" w:after="120" w:line="240" w:lineRule="auto"/>
        <w:ind w:left="993" w:hanging="425"/>
        <w:jc w:val="both"/>
        <w:rPr>
          <w:rFonts w:ascii="Times New Roman" w:eastAsia="Times New Roman" w:hAnsi="Times New Roman" w:cs="Times New Roman"/>
          <w:bCs/>
        </w:rPr>
      </w:pPr>
      <w:r w:rsidRPr="00454950">
        <w:rPr>
          <w:rFonts w:ascii="Times New Roman" w:eastAsia="Times New Roman" w:hAnsi="Times New Roman" w:cs="Times New Roman"/>
          <w:bCs/>
        </w:rPr>
        <w:t>levelező munkarend: 0 (0 EA + 0 SZ + 0 GY)</w:t>
      </w:r>
    </w:p>
    <w:p w:rsidR="00454950" w:rsidRPr="00454950" w:rsidRDefault="00454950" w:rsidP="00980876">
      <w:pPr>
        <w:widowControl w:val="0"/>
        <w:numPr>
          <w:ilvl w:val="1"/>
          <w:numId w:val="262"/>
        </w:numPr>
        <w:tabs>
          <w:tab w:val="num" w:pos="709"/>
          <w:tab w:val="num" w:pos="2069"/>
        </w:tabs>
        <w:spacing w:before="120" w:after="120" w:line="240" w:lineRule="auto"/>
        <w:ind w:left="851" w:hanging="425"/>
        <w:jc w:val="both"/>
        <w:rPr>
          <w:rFonts w:ascii="Times New Roman" w:eastAsia="Times New Roman" w:hAnsi="Times New Roman" w:cs="Times New Roman"/>
          <w:bCs/>
        </w:rPr>
      </w:pPr>
      <w:r w:rsidRPr="00454950">
        <w:rPr>
          <w:rFonts w:ascii="Times New Roman" w:eastAsia="Times New Roman" w:hAnsi="Times New Roman" w:cs="Times New Roman"/>
          <w:bCs/>
        </w:rPr>
        <w:t>heti óraszám - nappali munkarend: 4</w:t>
      </w:r>
    </w:p>
    <w:p w:rsidR="00454950" w:rsidRPr="00454950" w:rsidRDefault="00454950" w:rsidP="00980876">
      <w:pPr>
        <w:widowControl w:val="0"/>
        <w:numPr>
          <w:ilvl w:val="1"/>
          <w:numId w:val="262"/>
        </w:numPr>
        <w:tabs>
          <w:tab w:val="num" w:pos="709"/>
          <w:tab w:val="num" w:pos="2069"/>
        </w:tabs>
        <w:spacing w:before="120" w:after="120" w:line="240" w:lineRule="auto"/>
        <w:ind w:left="851" w:hanging="425"/>
        <w:jc w:val="both"/>
        <w:rPr>
          <w:rFonts w:ascii="Times New Roman" w:eastAsia="Times New Roman" w:hAnsi="Times New Roman" w:cs="Times New Roman"/>
          <w:bCs/>
        </w:rPr>
      </w:pPr>
      <w:r w:rsidRPr="00454950">
        <w:rPr>
          <w:rFonts w:ascii="Times New Roman" w:hAnsi="Times New Roman" w:cs="Times New Roman"/>
        </w:rPr>
        <w:t>Az ismeret átadásában alkalmazandó további sajátos módok, jellemzők: -</w:t>
      </w:r>
    </w:p>
    <w:p w:rsidR="00454950" w:rsidRPr="00454950" w:rsidRDefault="00454950" w:rsidP="00980876">
      <w:pPr>
        <w:widowControl w:val="0"/>
        <w:numPr>
          <w:ilvl w:val="0"/>
          <w:numId w:val="262"/>
        </w:numPr>
        <w:spacing w:before="120" w:after="120" w:line="240" w:lineRule="auto"/>
        <w:ind w:left="426" w:hanging="142"/>
        <w:jc w:val="both"/>
        <w:rPr>
          <w:rFonts w:ascii="Times New Roman" w:eastAsia="Times New Roman" w:hAnsi="Times New Roman" w:cs="Times New Roman"/>
          <w:bCs/>
        </w:rPr>
      </w:pPr>
      <w:r w:rsidRPr="00454950">
        <w:rPr>
          <w:rFonts w:ascii="Times New Roman" w:eastAsia="Times New Roman" w:hAnsi="Times New Roman" w:cs="Times New Roman"/>
          <w:b/>
          <w:bCs/>
        </w:rPr>
        <w:t>A tantárgy szakmai tartalma (magyarul):</w:t>
      </w:r>
      <w:r w:rsidRPr="00454950">
        <w:rPr>
          <w:rFonts w:ascii="Times New Roman" w:eastAsia="Times New Roman" w:hAnsi="Times New Roman" w:cs="Times New Roman"/>
          <w:bCs/>
        </w:rPr>
        <w:t xml:space="preserve"> </w:t>
      </w:r>
      <w:r w:rsidRPr="00454950">
        <w:rPr>
          <w:rFonts w:ascii="Times New Roman" w:hAnsi="Times New Roman" w:cs="Times New Roman"/>
        </w:rPr>
        <w:t>A közlekedési járművek általános ismertetése, hazai és nemzetközi előírások. Gépjárműmotorok általános ismertetése, Ottó- és Diesel-motorok szerkezeti felépítése. Ottó- és Diesel motorok tüzelőellátó berendezése. Benzin befecskendezés, feltöltött Diesel-motorok. A járművek elektromos rendszerei. Gépjármű tengelykapcsolók, hidrodinamikus tengelykapcsolók. Sebességváltók, bolygóműves sebességváltók, automata sebességváltók. Kardántengelyek, kardáncsuklók, homokinetikus rendszerek. Differenciálművek, osztóművek. Gépjárművek kormányzása, kormánygépek, rudazat, szervokormányok. Rugózás, lengéscsillapítás, kerék felfüggesztési módok. Hidraulikus fékrendszerek, ABS, ASR kialakítások, légfékrendszerek. Személygépkocsik és haszonjárművek karosszéria kialakításai.</w:t>
      </w:r>
    </w:p>
    <w:p w:rsidR="00454950" w:rsidRPr="00454950" w:rsidRDefault="00454950" w:rsidP="00454950">
      <w:pPr>
        <w:widowControl w:val="0"/>
        <w:spacing w:before="120" w:after="120" w:line="240" w:lineRule="auto"/>
        <w:ind w:left="426"/>
        <w:jc w:val="both"/>
        <w:rPr>
          <w:rFonts w:ascii="Times New Roman" w:eastAsia="Times New Roman" w:hAnsi="Times New Roman" w:cs="Times New Roman"/>
          <w:bCs/>
          <w:lang w:val="en-GB"/>
        </w:rPr>
      </w:pPr>
      <w:r w:rsidRPr="00454950">
        <w:rPr>
          <w:rFonts w:ascii="Times New Roman" w:eastAsia="Times New Roman" w:hAnsi="Times New Roman" w:cs="Times New Roman"/>
          <w:b/>
          <w:bCs/>
        </w:rPr>
        <w:t>A tantárgy szakmai tartalma (angolul) (</w:t>
      </w:r>
      <w:r w:rsidRPr="00454950">
        <w:rPr>
          <w:rFonts w:ascii="Times New Roman" w:eastAsia="Times New Roman" w:hAnsi="Times New Roman" w:cs="Times New Roman"/>
          <w:b/>
          <w:bCs/>
          <w:lang w:val="en-US"/>
        </w:rPr>
        <w:t>Course description</w:t>
      </w:r>
      <w:r w:rsidRPr="00454950">
        <w:rPr>
          <w:rFonts w:ascii="Times New Roman" w:eastAsia="Times New Roman" w:hAnsi="Times New Roman" w:cs="Times New Roman"/>
          <w:b/>
          <w:bCs/>
        </w:rPr>
        <w:t xml:space="preserve">): </w:t>
      </w:r>
      <w:r w:rsidRPr="00454950">
        <w:rPr>
          <w:rFonts w:ascii="Times New Roman" w:hAnsi="Times New Roman" w:cs="Times New Roman"/>
          <w:bCs/>
        </w:rPr>
        <w:t>General description of transport vehicles, domestic and international regulations. General description of engines, the structure of Otto and Diesel engines. Fuel support facilities of Otto and Diesel engines. Gasoline injection, charged Diesel engines. Electrical systems of vehicles. Automotive and hydrodynamic clutches. Transmissions, planetary transmissions, automatic transmissions. Cardan shafts, cardan joints, homokinetic systems. Differentials, shredders. Steering of motor vehicles, steering engine, rods, power steering. Suspension, shock absorption, wheel suspension modes. Hydraulic braking systems, ABS, ASR designs, air brake systems. Body design of cars and commercial vehicles.</w:t>
      </w:r>
    </w:p>
    <w:p w:rsidR="00454950" w:rsidRPr="00454950" w:rsidRDefault="00454950" w:rsidP="00980876">
      <w:pPr>
        <w:pStyle w:val="Listaszerbekezds"/>
        <w:widowControl w:val="0"/>
        <w:numPr>
          <w:ilvl w:val="0"/>
          <w:numId w:val="262"/>
        </w:numPr>
        <w:spacing w:before="120" w:after="120" w:line="240" w:lineRule="auto"/>
        <w:jc w:val="both"/>
        <w:rPr>
          <w:rFonts w:ascii="Times New Roman" w:eastAsia="Times New Roman" w:hAnsi="Times New Roman" w:cs="Times New Roman"/>
          <w:bCs/>
        </w:rPr>
      </w:pPr>
      <w:r w:rsidRPr="00454950">
        <w:rPr>
          <w:rFonts w:ascii="Times New Roman" w:eastAsia="Times New Roman" w:hAnsi="Times New Roman" w:cs="Times New Roman"/>
          <w:b/>
          <w:bCs/>
        </w:rPr>
        <w:t xml:space="preserve">Elérendő kompetenciák (magyarul): </w:t>
      </w:r>
    </w:p>
    <w:p w:rsidR="00454950" w:rsidRPr="00454950" w:rsidRDefault="00454950" w:rsidP="00454950">
      <w:pPr>
        <w:autoSpaceDE w:val="0"/>
        <w:autoSpaceDN w:val="0"/>
        <w:adjustRightInd w:val="0"/>
        <w:spacing w:before="120" w:after="0" w:line="240" w:lineRule="auto"/>
        <w:ind w:left="425"/>
        <w:jc w:val="both"/>
        <w:rPr>
          <w:rFonts w:ascii="Times New Roman" w:eastAsia="Times New Roman" w:hAnsi="Times New Roman" w:cs="Times New Roman"/>
          <w:b/>
          <w:bCs/>
        </w:rPr>
      </w:pPr>
      <w:r w:rsidRPr="00454950">
        <w:rPr>
          <w:rFonts w:ascii="Times New Roman" w:eastAsia="Times New Roman" w:hAnsi="Times New Roman" w:cs="Times New Roman"/>
          <w:b/>
          <w:bCs/>
        </w:rPr>
        <w:t xml:space="preserve">Tudása: </w:t>
      </w:r>
    </w:p>
    <w:p w:rsidR="00454950" w:rsidRPr="00454950" w:rsidRDefault="00454950" w:rsidP="00980876">
      <w:pPr>
        <w:pStyle w:val="Listaszerbekezds"/>
        <w:numPr>
          <w:ilvl w:val="0"/>
          <w:numId w:val="260"/>
        </w:numPr>
        <w:autoSpaceDE w:val="0"/>
        <w:autoSpaceDN w:val="0"/>
        <w:adjustRightInd w:val="0"/>
        <w:spacing w:after="0" w:line="240" w:lineRule="auto"/>
        <w:ind w:left="709" w:hanging="283"/>
        <w:jc w:val="both"/>
        <w:rPr>
          <w:rFonts w:ascii="Times New Roman" w:hAnsi="Times New Roman" w:cs="Times New Roman"/>
        </w:rPr>
      </w:pPr>
      <w:r w:rsidRPr="00454950">
        <w:rPr>
          <w:rFonts w:ascii="Times New Roman" w:hAnsi="Times New Roman" w:cs="Times New Roman"/>
        </w:rPr>
        <w:t>Ismeri a katonai közlekedési szakterülethez szervesen kapcsolódó logisztikai, menedzsment, környezetvédelmi, minőségbiztosítási, információtechnológiai, jogi, közgazdasági szakterületek alapjait és követelményeit.</w:t>
      </w:r>
    </w:p>
    <w:p w:rsidR="00454950" w:rsidRPr="00454950" w:rsidRDefault="00454950" w:rsidP="00980876">
      <w:pPr>
        <w:pStyle w:val="Listaszerbekezds"/>
        <w:numPr>
          <w:ilvl w:val="0"/>
          <w:numId w:val="260"/>
        </w:numPr>
        <w:autoSpaceDE w:val="0"/>
        <w:autoSpaceDN w:val="0"/>
        <w:adjustRightInd w:val="0"/>
        <w:spacing w:after="0" w:line="240" w:lineRule="auto"/>
        <w:ind w:left="709" w:hanging="283"/>
        <w:jc w:val="both"/>
        <w:rPr>
          <w:rFonts w:ascii="Times New Roman" w:hAnsi="Times New Roman" w:cs="Times New Roman"/>
        </w:rPr>
      </w:pPr>
      <w:r w:rsidRPr="00454950">
        <w:rPr>
          <w:rFonts w:ascii="Times New Roman" w:hAnsi="Times New Roman" w:cs="Times New Roman"/>
        </w:rPr>
        <w:lastRenderedPageBreak/>
        <w:t>Ismeri a katonai közlekedési szakterület szaktechnikai eszközeit, a közlekedési pályákat és létesítményeiket, azok igénybevételének és üzemeltetésének szabályait.</w:t>
      </w:r>
    </w:p>
    <w:p w:rsidR="00454950" w:rsidRPr="00454950" w:rsidRDefault="00454950" w:rsidP="00980876">
      <w:pPr>
        <w:pStyle w:val="Listaszerbekezds"/>
        <w:numPr>
          <w:ilvl w:val="0"/>
          <w:numId w:val="260"/>
        </w:numPr>
        <w:autoSpaceDE w:val="0"/>
        <w:autoSpaceDN w:val="0"/>
        <w:adjustRightInd w:val="0"/>
        <w:spacing w:after="0" w:line="240" w:lineRule="auto"/>
        <w:ind w:left="709" w:hanging="283"/>
        <w:jc w:val="both"/>
        <w:rPr>
          <w:rFonts w:ascii="Times New Roman" w:hAnsi="Times New Roman" w:cs="Times New Roman"/>
        </w:rPr>
      </w:pPr>
      <w:r w:rsidRPr="00454950">
        <w:rPr>
          <w:rFonts w:ascii="Times New Roman" w:hAnsi="Times New Roman" w:cs="Times New Roman"/>
        </w:rPr>
        <w:t>Ismeri a katonai közlekedési szakanyagok készletezésének, tárolásának, nyilvántartásának és leltározásának, valamint ezen folyamatok ellenőrzésének feladatait és kötelezettségeit.</w:t>
      </w:r>
    </w:p>
    <w:p w:rsidR="00454950" w:rsidRPr="00454950" w:rsidRDefault="00454950" w:rsidP="00980876">
      <w:pPr>
        <w:pStyle w:val="Listaszerbekezds"/>
        <w:numPr>
          <w:ilvl w:val="0"/>
          <w:numId w:val="260"/>
        </w:numPr>
        <w:autoSpaceDE w:val="0"/>
        <w:autoSpaceDN w:val="0"/>
        <w:adjustRightInd w:val="0"/>
        <w:spacing w:after="0" w:line="240" w:lineRule="auto"/>
        <w:ind w:left="709" w:hanging="283"/>
        <w:jc w:val="both"/>
        <w:rPr>
          <w:rFonts w:ascii="Times New Roman" w:hAnsi="Times New Roman" w:cs="Times New Roman"/>
        </w:rPr>
      </w:pPr>
      <w:r w:rsidRPr="00454950">
        <w:rPr>
          <w:rFonts w:ascii="Times New Roman" w:hAnsi="Times New Roman" w:cs="Times New Roman"/>
        </w:rPr>
        <w:t>Mélyrehatóan ismeri a katonai közlekedési szakterület szakmai feladatait, a közlekedési szakfeladatok rendszerét, az egyes feladatok végrehajtásának sajátosságait.</w:t>
      </w:r>
    </w:p>
    <w:p w:rsidR="00454950" w:rsidRPr="00454950" w:rsidRDefault="00454950" w:rsidP="00980876">
      <w:pPr>
        <w:pStyle w:val="Listaszerbekezds"/>
        <w:numPr>
          <w:ilvl w:val="0"/>
          <w:numId w:val="260"/>
        </w:numPr>
        <w:autoSpaceDE w:val="0"/>
        <w:autoSpaceDN w:val="0"/>
        <w:adjustRightInd w:val="0"/>
        <w:spacing w:after="0" w:line="240" w:lineRule="auto"/>
        <w:ind w:left="709" w:hanging="283"/>
        <w:jc w:val="both"/>
        <w:rPr>
          <w:rFonts w:ascii="Times New Roman" w:hAnsi="Times New Roman" w:cs="Times New Roman"/>
        </w:rPr>
      </w:pPr>
      <w:r w:rsidRPr="00454950">
        <w:rPr>
          <w:rFonts w:ascii="Times New Roman" w:hAnsi="Times New Roman" w:cs="Times New Roman"/>
        </w:rPr>
        <w:t>Ismeri a katonai közlekedési igények felmérésének módszereit és megvalósítási lehetőségeit, gyakorlatát.</w:t>
      </w:r>
    </w:p>
    <w:p w:rsidR="00454950" w:rsidRPr="00454950" w:rsidRDefault="00454950" w:rsidP="00454950">
      <w:pPr>
        <w:autoSpaceDE w:val="0"/>
        <w:autoSpaceDN w:val="0"/>
        <w:adjustRightInd w:val="0"/>
        <w:spacing w:before="120" w:after="0" w:line="240" w:lineRule="auto"/>
        <w:ind w:left="425"/>
        <w:jc w:val="both"/>
        <w:rPr>
          <w:rFonts w:ascii="Times New Roman" w:eastAsia="Times New Roman" w:hAnsi="Times New Roman" w:cs="Times New Roman"/>
          <w:bCs/>
        </w:rPr>
      </w:pPr>
      <w:r w:rsidRPr="00454950">
        <w:rPr>
          <w:rFonts w:ascii="Times New Roman" w:eastAsia="Times New Roman" w:hAnsi="Times New Roman" w:cs="Times New Roman"/>
          <w:b/>
          <w:bCs/>
        </w:rPr>
        <w:t>Képességei:</w:t>
      </w:r>
      <w:r w:rsidRPr="00454950">
        <w:rPr>
          <w:rFonts w:ascii="Times New Roman" w:eastAsia="Times New Roman" w:hAnsi="Times New Roman" w:cs="Times New Roman"/>
          <w:bCs/>
        </w:rPr>
        <w:t xml:space="preserve"> </w:t>
      </w:r>
    </w:p>
    <w:p w:rsidR="00454950" w:rsidRPr="00454950" w:rsidRDefault="00454950" w:rsidP="00980876">
      <w:pPr>
        <w:pStyle w:val="Listaszerbekezds"/>
        <w:numPr>
          <w:ilvl w:val="0"/>
          <w:numId w:val="260"/>
        </w:numPr>
        <w:autoSpaceDE w:val="0"/>
        <w:autoSpaceDN w:val="0"/>
        <w:adjustRightInd w:val="0"/>
        <w:spacing w:after="0" w:line="240" w:lineRule="auto"/>
        <w:ind w:left="709" w:hanging="283"/>
        <w:jc w:val="both"/>
        <w:rPr>
          <w:rFonts w:ascii="Times New Roman" w:hAnsi="Times New Roman" w:cs="Times New Roman"/>
        </w:rPr>
      </w:pPr>
      <w:r w:rsidRPr="00454950">
        <w:rPr>
          <w:rFonts w:ascii="Times New Roman" w:hAnsi="Times New Roman" w:cs="Times New Roman"/>
        </w:rPr>
        <w:t>Az általános és specifikus katonai ismeretei és készségei birtokában képes a katonai közlekedési, mozgatási, szállítási feladatok tervezésére, szervezésére és vezetésére.</w:t>
      </w:r>
    </w:p>
    <w:p w:rsidR="00454950" w:rsidRPr="00454950" w:rsidRDefault="00454950" w:rsidP="00980876">
      <w:pPr>
        <w:pStyle w:val="Listaszerbekezds"/>
        <w:numPr>
          <w:ilvl w:val="0"/>
          <w:numId w:val="260"/>
        </w:numPr>
        <w:autoSpaceDE w:val="0"/>
        <w:autoSpaceDN w:val="0"/>
        <w:adjustRightInd w:val="0"/>
        <w:spacing w:after="0" w:line="240" w:lineRule="auto"/>
        <w:ind w:left="709" w:hanging="283"/>
        <w:jc w:val="both"/>
        <w:rPr>
          <w:rFonts w:ascii="Times New Roman" w:hAnsi="Times New Roman" w:cs="Times New Roman"/>
        </w:rPr>
      </w:pPr>
      <w:r w:rsidRPr="00454950">
        <w:rPr>
          <w:rFonts w:ascii="Times New Roman" w:hAnsi="Times New Roman" w:cs="Times New Roman"/>
        </w:rPr>
        <w:t>Képes békeidőszakban, válságkezelő, katasztrófa-elhárítási, béketámogató és háborús műveletekben, nemzeti és többnemzeti környezetben a szállító szakalegységek alaprendeltetéséből fakadó feladatai végrehajtásának vezetésére.</w:t>
      </w:r>
    </w:p>
    <w:p w:rsidR="00454950" w:rsidRPr="00454950" w:rsidRDefault="00454950" w:rsidP="00980876">
      <w:pPr>
        <w:pStyle w:val="Listaszerbekezds"/>
        <w:numPr>
          <w:ilvl w:val="0"/>
          <w:numId w:val="260"/>
        </w:numPr>
        <w:autoSpaceDE w:val="0"/>
        <w:autoSpaceDN w:val="0"/>
        <w:adjustRightInd w:val="0"/>
        <w:spacing w:after="0" w:line="240" w:lineRule="auto"/>
        <w:ind w:left="709" w:hanging="283"/>
        <w:jc w:val="both"/>
        <w:rPr>
          <w:rFonts w:ascii="Times New Roman" w:hAnsi="Times New Roman" w:cs="Times New Roman"/>
        </w:rPr>
      </w:pPr>
      <w:r w:rsidRPr="00454950">
        <w:rPr>
          <w:rFonts w:ascii="Times New Roman" w:hAnsi="Times New Roman" w:cs="Times New Roman"/>
        </w:rPr>
        <w:t>Képes a közlekedési hálózatok katonai célú alkalmazásának tervezésére, szervezésére és végrehajtására.</w:t>
      </w:r>
    </w:p>
    <w:p w:rsidR="00454950" w:rsidRPr="00454950" w:rsidRDefault="00454950" w:rsidP="00980876">
      <w:pPr>
        <w:pStyle w:val="Listaszerbekezds"/>
        <w:numPr>
          <w:ilvl w:val="0"/>
          <w:numId w:val="260"/>
        </w:numPr>
        <w:autoSpaceDE w:val="0"/>
        <w:autoSpaceDN w:val="0"/>
        <w:adjustRightInd w:val="0"/>
        <w:spacing w:after="0" w:line="240" w:lineRule="auto"/>
        <w:ind w:left="709" w:hanging="283"/>
        <w:jc w:val="both"/>
        <w:rPr>
          <w:rFonts w:ascii="Times New Roman" w:hAnsi="Times New Roman" w:cs="Times New Roman"/>
        </w:rPr>
      </w:pPr>
      <w:r w:rsidRPr="00454950">
        <w:rPr>
          <w:rFonts w:ascii="Times New Roman" w:hAnsi="Times New Roman" w:cs="Times New Roman"/>
        </w:rPr>
        <w:t>Képes a közlekedési folyamatokat támogató közlekedésinformatikai rendszerek alkalmazására, az azokkal kapcsolatos felhasználói alapkövetelmények megfogalmazására.</w:t>
      </w:r>
    </w:p>
    <w:p w:rsidR="00454950" w:rsidRPr="00454950" w:rsidRDefault="00454950" w:rsidP="00454950">
      <w:pPr>
        <w:autoSpaceDE w:val="0"/>
        <w:autoSpaceDN w:val="0"/>
        <w:adjustRightInd w:val="0"/>
        <w:spacing w:before="120" w:after="0" w:line="240" w:lineRule="auto"/>
        <w:ind w:left="425"/>
        <w:jc w:val="both"/>
        <w:rPr>
          <w:rFonts w:ascii="Times New Roman" w:eastAsia="Times New Roman" w:hAnsi="Times New Roman" w:cs="Times New Roman"/>
          <w:b/>
          <w:bCs/>
        </w:rPr>
      </w:pPr>
      <w:r w:rsidRPr="00454950">
        <w:rPr>
          <w:rFonts w:ascii="Times New Roman" w:eastAsia="Times New Roman" w:hAnsi="Times New Roman" w:cs="Times New Roman"/>
          <w:b/>
          <w:bCs/>
        </w:rPr>
        <w:t xml:space="preserve">Attitűdje: </w:t>
      </w:r>
    </w:p>
    <w:p w:rsidR="00454950" w:rsidRPr="00454950" w:rsidRDefault="00454950" w:rsidP="00980876">
      <w:pPr>
        <w:pStyle w:val="Listaszerbekezds"/>
        <w:numPr>
          <w:ilvl w:val="0"/>
          <w:numId w:val="260"/>
        </w:numPr>
        <w:autoSpaceDE w:val="0"/>
        <w:autoSpaceDN w:val="0"/>
        <w:adjustRightInd w:val="0"/>
        <w:spacing w:after="0" w:line="240" w:lineRule="auto"/>
        <w:ind w:left="709" w:hanging="283"/>
        <w:jc w:val="both"/>
        <w:rPr>
          <w:rFonts w:ascii="Times New Roman" w:hAnsi="Times New Roman" w:cs="Times New Roman"/>
        </w:rPr>
      </w:pPr>
      <w:r w:rsidRPr="00454950">
        <w:rPr>
          <w:rFonts w:ascii="Times New Roman" w:hAnsi="Times New Roman" w:cs="Times New Roman"/>
        </w:rPr>
        <w:t>Nyitott a katonai közlekedési szakterületen zajló szakmai, technológiai fejlesztés és innováció megismerésére és elfogadására, hiteles közvetítésére és azok mindennapi munkájába való beillesztésére.</w:t>
      </w:r>
    </w:p>
    <w:p w:rsidR="00454950" w:rsidRPr="00454950" w:rsidRDefault="00454950" w:rsidP="00980876">
      <w:pPr>
        <w:pStyle w:val="Listaszerbekezds"/>
        <w:numPr>
          <w:ilvl w:val="0"/>
          <w:numId w:val="260"/>
        </w:numPr>
        <w:autoSpaceDE w:val="0"/>
        <w:autoSpaceDN w:val="0"/>
        <w:adjustRightInd w:val="0"/>
        <w:spacing w:after="0" w:line="240" w:lineRule="auto"/>
        <w:ind w:left="709" w:hanging="283"/>
        <w:jc w:val="both"/>
        <w:rPr>
          <w:rFonts w:ascii="Times New Roman" w:hAnsi="Times New Roman" w:cs="Times New Roman"/>
        </w:rPr>
      </w:pPr>
      <w:r w:rsidRPr="00454950">
        <w:rPr>
          <w:rFonts w:ascii="Times New Roman" w:hAnsi="Times New Roman" w:cs="Times New Roman"/>
        </w:rPr>
        <w:t>Törekszik arra, hogy önképzése a katonai közlekedési szakterületen folyamatos és szakmai céljaival megegyező legyen.</w:t>
      </w:r>
    </w:p>
    <w:p w:rsidR="00454950" w:rsidRPr="00454950" w:rsidRDefault="00454950" w:rsidP="00980876">
      <w:pPr>
        <w:pStyle w:val="Listaszerbekezds"/>
        <w:numPr>
          <w:ilvl w:val="0"/>
          <w:numId w:val="260"/>
        </w:numPr>
        <w:autoSpaceDE w:val="0"/>
        <w:autoSpaceDN w:val="0"/>
        <w:adjustRightInd w:val="0"/>
        <w:spacing w:after="0" w:line="240" w:lineRule="auto"/>
        <w:ind w:left="709" w:hanging="283"/>
        <w:jc w:val="both"/>
        <w:rPr>
          <w:rFonts w:ascii="Times New Roman" w:hAnsi="Times New Roman" w:cs="Times New Roman"/>
        </w:rPr>
      </w:pPr>
      <w:r w:rsidRPr="00454950">
        <w:rPr>
          <w:rFonts w:ascii="Times New Roman" w:hAnsi="Times New Roman" w:cs="Times New Roman"/>
        </w:rPr>
        <w:t>Elkötelezett a minőségi szakmai munkavégzés iránt, különös tekintettel a közlekedési, szállítási feladatok és folyamatok biztonságos végrehajtására.</w:t>
      </w:r>
    </w:p>
    <w:p w:rsidR="00454950" w:rsidRPr="00454950" w:rsidRDefault="00454950" w:rsidP="00980876">
      <w:pPr>
        <w:pStyle w:val="Listaszerbekezds"/>
        <w:numPr>
          <w:ilvl w:val="0"/>
          <w:numId w:val="260"/>
        </w:numPr>
        <w:autoSpaceDE w:val="0"/>
        <w:autoSpaceDN w:val="0"/>
        <w:adjustRightInd w:val="0"/>
        <w:spacing w:after="0" w:line="240" w:lineRule="auto"/>
        <w:ind w:left="709" w:hanging="283"/>
        <w:jc w:val="both"/>
        <w:rPr>
          <w:rFonts w:ascii="Times New Roman" w:hAnsi="Times New Roman" w:cs="Times New Roman"/>
        </w:rPr>
      </w:pPr>
      <w:r w:rsidRPr="00454950">
        <w:rPr>
          <w:rFonts w:ascii="Times New Roman" w:hAnsi="Times New Roman" w:cs="Times New Roman"/>
        </w:rPr>
        <w:t>Figyel beosztottjai szakmai fejlődésének előmozdítására, ilyen irányú törekvéseik kezelésére és segítésére.</w:t>
      </w:r>
    </w:p>
    <w:p w:rsidR="00454950" w:rsidRPr="00454950" w:rsidRDefault="00454950" w:rsidP="00980876">
      <w:pPr>
        <w:pStyle w:val="Listaszerbekezds"/>
        <w:numPr>
          <w:ilvl w:val="0"/>
          <w:numId w:val="260"/>
        </w:numPr>
        <w:autoSpaceDE w:val="0"/>
        <w:autoSpaceDN w:val="0"/>
        <w:adjustRightInd w:val="0"/>
        <w:spacing w:after="0" w:line="240" w:lineRule="auto"/>
        <w:ind w:left="709" w:hanging="283"/>
        <w:jc w:val="both"/>
        <w:rPr>
          <w:rFonts w:ascii="Times New Roman" w:hAnsi="Times New Roman" w:cs="Times New Roman"/>
        </w:rPr>
      </w:pPr>
      <w:r w:rsidRPr="00454950">
        <w:rPr>
          <w:rFonts w:ascii="Times New Roman" w:hAnsi="Times New Roman" w:cs="Times New Roman"/>
        </w:rPr>
        <w:t>Megosztja tapasztalatait munkatársaival, így segítve fejlődésüket.</w:t>
      </w:r>
    </w:p>
    <w:p w:rsidR="00454950" w:rsidRPr="00454950" w:rsidRDefault="00454950" w:rsidP="00454950">
      <w:pPr>
        <w:autoSpaceDE w:val="0"/>
        <w:autoSpaceDN w:val="0"/>
        <w:adjustRightInd w:val="0"/>
        <w:spacing w:before="120" w:after="0" w:line="240" w:lineRule="auto"/>
        <w:ind w:left="425"/>
        <w:jc w:val="both"/>
        <w:rPr>
          <w:rFonts w:ascii="Times New Roman" w:eastAsia="Times New Roman" w:hAnsi="Times New Roman" w:cs="Times New Roman"/>
          <w:b/>
          <w:bCs/>
        </w:rPr>
      </w:pPr>
      <w:r w:rsidRPr="00454950">
        <w:rPr>
          <w:rFonts w:ascii="Times New Roman" w:eastAsia="Times New Roman" w:hAnsi="Times New Roman" w:cs="Times New Roman"/>
          <w:b/>
          <w:bCs/>
        </w:rPr>
        <w:t xml:space="preserve">Autonómiája és felelőssége: </w:t>
      </w:r>
    </w:p>
    <w:p w:rsidR="00454950" w:rsidRPr="00454950" w:rsidRDefault="00454950" w:rsidP="00980876">
      <w:pPr>
        <w:pStyle w:val="Listaszerbekezds"/>
        <w:numPr>
          <w:ilvl w:val="0"/>
          <w:numId w:val="260"/>
        </w:numPr>
        <w:autoSpaceDE w:val="0"/>
        <w:autoSpaceDN w:val="0"/>
        <w:adjustRightInd w:val="0"/>
        <w:spacing w:after="0" w:line="240" w:lineRule="auto"/>
        <w:ind w:left="709" w:hanging="283"/>
        <w:jc w:val="both"/>
        <w:rPr>
          <w:rFonts w:ascii="Times New Roman" w:hAnsi="Times New Roman" w:cs="Times New Roman"/>
        </w:rPr>
      </w:pPr>
      <w:r w:rsidRPr="00454950">
        <w:rPr>
          <w:rFonts w:ascii="Times New Roman" w:hAnsi="Times New Roman" w:cs="Times New Roman"/>
        </w:rPr>
        <w:t>A katonai közlekedés szakterületén megjelenő folyamatokban képes önállóan döntéseket hozni, azokat felelősséggel, a jogszabályi keretek figyelembevételével végrehajtani.</w:t>
      </w:r>
    </w:p>
    <w:p w:rsidR="00454950" w:rsidRPr="00454950" w:rsidRDefault="00454950" w:rsidP="00980876">
      <w:pPr>
        <w:pStyle w:val="Listaszerbekezds"/>
        <w:numPr>
          <w:ilvl w:val="0"/>
          <w:numId w:val="260"/>
        </w:numPr>
        <w:autoSpaceDE w:val="0"/>
        <w:autoSpaceDN w:val="0"/>
        <w:adjustRightInd w:val="0"/>
        <w:spacing w:after="0" w:line="240" w:lineRule="auto"/>
        <w:ind w:left="709" w:hanging="283"/>
        <w:jc w:val="both"/>
        <w:rPr>
          <w:rFonts w:ascii="Times New Roman" w:hAnsi="Times New Roman" w:cs="Times New Roman"/>
        </w:rPr>
      </w:pPr>
      <w:r w:rsidRPr="00454950">
        <w:rPr>
          <w:rFonts w:ascii="Times New Roman" w:hAnsi="Times New Roman" w:cs="Times New Roman"/>
        </w:rPr>
        <w:t>Tisztában van döntéseinek, tevékenységének a katonai logisztikai folyamatok egészére gyakorolt hatásaival, következményeivel.</w:t>
      </w:r>
    </w:p>
    <w:p w:rsidR="00454950" w:rsidRPr="00454950" w:rsidRDefault="00454950" w:rsidP="00980876">
      <w:pPr>
        <w:pStyle w:val="Listaszerbekezds"/>
        <w:numPr>
          <w:ilvl w:val="0"/>
          <w:numId w:val="260"/>
        </w:numPr>
        <w:autoSpaceDE w:val="0"/>
        <w:autoSpaceDN w:val="0"/>
        <w:adjustRightInd w:val="0"/>
        <w:spacing w:after="0" w:line="240" w:lineRule="auto"/>
        <w:ind w:left="709" w:hanging="283"/>
        <w:jc w:val="both"/>
        <w:rPr>
          <w:rFonts w:ascii="Times New Roman" w:hAnsi="Times New Roman" w:cs="Times New Roman"/>
        </w:rPr>
      </w:pPr>
      <w:r w:rsidRPr="00454950">
        <w:rPr>
          <w:rFonts w:ascii="Times New Roman" w:hAnsi="Times New Roman" w:cs="Times New Roman"/>
        </w:rPr>
        <w:t>Szakmai feladatainak elvégzése során felelősségteljesen együttműködik más szakterület képzett szakembereivel is.</w:t>
      </w:r>
    </w:p>
    <w:p w:rsidR="00454950" w:rsidRPr="00454950" w:rsidRDefault="00454950" w:rsidP="00980876">
      <w:pPr>
        <w:pStyle w:val="Listaszerbekezds"/>
        <w:numPr>
          <w:ilvl w:val="0"/>
          <w:numId w:val="260"/>
        </w:numPr>
        <w:autoSpaceDE w:val="0"/>
        <w:autoSpaceDN w:val="0"/>
        <w:adjustRightInd w:val="0"/>
        <w:spacing w:after="0" w:line="240" w:lineRule="auto"/>
        <w:ind w:left="709" w:hanging="283"/>
        <w:jc w:val="both"/>
        <w:rPr>
          <w:rFonts w:ascii="Times New Roman" w:hAnsi="Times New Roman" w:cs="Times New Roman"/>
        </w:rPr>
      </w:pPr>
      <w:r w:rsidRPr="00454950">
        <w:rPr>
          <w:rFonts w:ascii="Times New Roman" w:hAnsi="Times New Roman" w:cs="Times New Roman"/>
        </w:rPr>
        <w:t>Feltárja az alkalmazott technológiák hiányosságait, a folyamatok kockázatait és kezdeményezi az ezeket csökkentő intézkedések megtételét.</w:t>
      </w:r>
    </w:p>
    <w:p w:rsidR="00454950" w:rsidRPr="00454950" w:rsidRDefault="00454950" w:rsidP="00980876">
      <w:pPr>
        <w:pStyle w:val="Listaszerbekezds"/>
        <w:numPr>
          <w:ilvl w:val="0"/>
          <w:numId w:val="260"/>
        </w:numPr>
        <w:autoSpaceDE w:val="0"/>
        <w:autoSpaceDN w:val="0"/>
        <w:adjustRightInd w:val="0"/>
        <w:spacing w:after="0" w:line="240" w:lineRule="auto"/>
        <w:ind w:left="709" w:hanging="283"/>
        <w:jc w:val="both"/>
        <w:rPr>
          <w:rFonts w:ascii="Times New Roman" w:hAnsi="Times New Roman" w:cs="Times New Roman"/>
        </w:rPr>
      </w:pPr>
      <w:r w:rsidRPr="00454950">
        <w:rPr>
          <w:rFonts w:ascii="Times New Roman" w:hAnsi="Times New Roman" w:cs="Times New Roman"/>
        </w:rPr>
        <w:t>Parancsnokának útmutatása alapján irányítja a rábízott személyi állomány munkavégzését, felügyeli a közlekedési, szállítási folyamatok tervezését, szervezését, végrehajtását, a közlekedési szaktechnikai eszközök üzemeltetését.</w:t>
      </w:r>
    </w:p>
    <w:p w:rsidR="00454950" w:rsidRPr="00454950" w:rsidRDefault="00454950" w:rsidP="00980876">
      <w:pPr>
        <w:pStyle w:val="Listaszerbekezds"/>
        <w:numPr>
          <w:ilvl w:val="0"/>
          <w:numId w:val="260"/>
        </w:numPr>
        <w:autoSpaceDE w:val="0"/>
        <w:autoSpaceDN w:val="0"/>
        <w:adjustRightInd w:val="0"/>
        <w:spacing w:after="0" w:line="240" w:lineRule="auto"/>
        <w:ind w:left="709" w:hanging="283"/>
        <w:jc w:val="both"/>
        <w:rPr>
          <w:rFonts w:ascii="Times New Roman" w:hAnsi="Times New Roman" w:cs="Times New Roman"/>
        </w:rPr>
      </w:pPr>
      <w:r w:rsidRPr="00454950">
        <w:rPr>
          <w:rFonts w:ascii="Times New Roman" w:hAnsi="Times New Roman" w:cs="Times New Roman"/>
        </w:rPr>
        <w:t>Értékeli a beosztottak munkavégzésének hatékonyságát, eredményességét.</w:t>
      </w:r>
    </w:p>
    <w:p w:rsidR="00454950" w:rsidRPr="00454950" w:rsidRDefault="00454950" w:rsidP="00454950">
      <w:pPr>
        <w:widowControl w:val="0"/>
        <w:spacing w:before="120" w:after="120" w:line="240" w:lineRule="auto"/>
        <w:ind w:left="426"/>
        <w:jc w:val="both"/>
        <w:rPr>
          <w:rFonts w:ascii="Times New Roman" w:eastAsia="Times New Roman" w:hAnsi="Times New Roman" w:cs="Times New Roman"/>
          <w:b/>
          <w:bCs/>
          <w:lang w:val="en-US"/>
        </w:rPr>
      </w:pPr>
      <w:r w:rsidRPr="00454950">
        <w:rPr>
          <w:rFonts w:ascii="Times New Roman" w:eastAsia="Times New Roman" w:hAnsi="Times New Roman" w:cs="Times New Roman"/>
          <w:b/>
          <w:bCs/>
        </w:rPr>
        <w:t>Elérendő kompetenciák (angolul) (</w:t>
      </w:r>
      <w:r w:rsidRPr="00454950">
        <w:rPr>
          <w:rFonts w:ascii="Times New Roman" w:eastAsia="Times New Roman" w:hAnsi="Times New Roman" w:cs="Times New Roman"/>
          <w:b/>
          <w:bCs/>
          <w:lang w:val="en-US"/>
        </w:rPr>
        <w:t xml:space="preserve">Competences – English): </w:t>
      </w:r>
    </w:p>
    <w:p w:rsidR="00454950" w:rsidRPr="00454950" w:rsidRDefault="00454950" w:rsidP="00454950">
      <w:pPr>
        <w:widowControl w:val="0"/>
        <w:spacing w:before="120" w:after="120" w:line="240" w:lineRule="auto"/>
        <w:ind w:left="426"/>
        <w:jc w:val="both"/>
        <w:rPr>
          <w:rFonts w:ascii="Times New Roman" w:eastAsia="Times New Roman" w:hAnsi="Times New Roman" w:cs="Times New Roman"/>
          <w:lang w:val="en-GB"/>
        </w:rPr>
      </w:pPr>
      <w:r w:rsidRPr="00454950">
        <w:rPr>
          <w:rFonts w:ascii="Times New Roman" w:eastAsia="Times New Roman" w:hAnsi="Times New Roman" w:cs="Times New Roman"/>
          <w:b/>
          <w:lang w:val="en-GB"/>
        </w:rPr>
        <w:t>Knowledge</w:t>
      </w:r>
      <w:r w:rsidRPr="00454950">
        <w:rPr>
          <w:rFonts w:ascii="Times New Roman" w:eastAsia="Times New Roman" w:hAnsi="Times New Roman" w:cs="Times New Roman"/>
          <w:lang w:val="en-GB"/>
        </w:rPr>
        <w:t xml:space="preserve">: </w:t>
      </w:r>
    </w:p>
    <w:p w:rsidR="00454950" w:rsidRPr="00454950" w:rsidRDefault="00454950" w:rsidP="00980876">
      <w:pPr>
        <w:pStyle w:val="Listaszerbekezds"/>
        <w:numPr>
          <w:ilvl w:val="0"/>
          <w:numId w:val="260"/>
        </w:numPr>
        <w:autoSpaceDE w:val="0"/>
        <w:autoSpaceDN w:val="0"/>
        <w:adjustRightInd w:val="0"/>
        <w:spacing w:after="0" w:line="240" w:lineRule="auto"/>
        <w:ind w:left="709" w:hanging="283"/>
        <w:jc w:val="both"/>
        <w:rPr>
          <w:rFonts w:ascii="Times New Roman" w:hAnsi="Times New Roman" w:cs="Times New Roman"/>
        </w:rPr>
      </w:pPr>
      <w:r w:rsidRPr="00454950">
        <w:rPr>
          <w:rFonts w:ascii="Times New Roman" w:hAnsi="Times New Roman" w:cs="Times New Roman"/>
        </w:rPr>
        <w:t>Knows the basics and requirements of logistics, management, environmental protection, quality assurance, information technology, law and economics, connected to the field of military transportation.</w:t>
      </w:r>
    </w:p>
    <w:p w:rsidR="00454950" w:rsidRPr="00454950" w:rsidRDefault="00454950" w:rsidP="00980876">
      <w:pPr>
        <w:pStyle w:val="Listaszerbekezds"/>
        <w:numPr>
          <w:ilvl w:val="0"/>
          <w:numId w:val="260"/>
        </w:numPr>
        <w:autoSpaceDE w:val="0"/>
        <w:autoSpaceDN w:val="0"/>
        <w:adjustRightInd w:val="0"/>
        <w:spacing w:after="0" w:line="240" w:lineRule="auto"/>
        <w:ind w:left="709" w:hanging="283"/>
        <w:jc w:val="both"/>
        <w:rPr>
          <w:rFonts w:ascii="Times New Roman" w:hAnsi="Times New Roman" w:cs="Times New Roman"/>
        </w:rPr>
      </w:pPr>
      <w:r w:rsidRPr="00454950">
        <w:rPr>
          <w:rFonts w:ascii="Times New Roman" w:hAnsi="Times New Roman" w:cs="Times New Roman"/>
        </w:rPr>
        <w:t>Is familiar with the technical equipment used in military transportation, the transportation modes and facilities, and the rules of their use and operation.</w:t>
      </w:r>
    </w:p>
    <w:p w:rsidR="00454950" w:rsidRPr="00454950" w:rsidRDefault="00454950" w:rsidP="00980876">
      <w:pPr>
        <w:pStyle w:val="Listaszerbekezds"/>
        <w:numPr>
          <w:ilvl w:val="0"/>
          <w:numId w:val="260"/>
        </w:numPr>
        <w:autoSpaceDE w:val="0"/>
        <w:autoSpaceDN w:val="0"/>
        <w:adjustRightInd w:val="0"/>
        <w:spacing w:after="0" w:line="240" w:lineRule="auto"/>
        <w:ind w:left="709" w:hanging="283"/>
        <w:jc w:val="both"/>
        <w:rPr>
          <w:rFonts w:ascii="Times New Roman" w:hAnsi="Times New Roman" w:cs="Times New Roman"/>
        </w:rPr>
      </w:pPr>
      <w:r w:rsidRPr="00454950">
        <w:rPr>
          <w:rFonts w:ascii="Times New Roman" w:hAnsi="Times New Roman" w:cs="Times New Roman"/>
        </w:rPr>
        <w:t>Is familiar with the tasks and responsibilities of stockpiling, storing, registering and inventorying of military transportation assets and is able to control these processes.</w:t>
      </w:r>
    </w:p>
    <w:p w:rsidR="00454950" w:rsidRPr="00454950" w:rsidRDefault="00454950" w:rsidP="00980876">
      <w:pPr>
        <w:pStyle w:val="Listaszerbekezds"/>
        <w:numPr>
          <w:ilvl w:val="0"/>
          <w:numId w:val="260"/>
        </w:numPr>
        <w:autoSpaceDE w:val="0"/>
        <w:autoSpaceDN w:val="0"/>
        <w:adjustRightInd w:val="0"/>
        <w:spacing w:after="0" w:line="240" w:lineRule="auto"/>
        <w:ind w:left="709" w:hanging="283"/>
        <w:jc w:val="both"/>
        <w:rPr>
          <w:rFonts w:ascii="Times New Roman" w:hAnsi="Times New Roman" w:cs="Times New Roman"/>
        </w:rPr>
      </w:pPr>
      <w:r w:rsidRPr="00454950">
        <w:rPr>
          <w:rFonts w:ascii="Times New Roman" w:hAnsi="Times New Roman" w:cs="Times New Roman"/>
        </w:rPr>
        <w:lastRenderedPageBreak/>
        <w:t>Has a profound knowledge of the tasks and the system of military transportation and the unique characteristics of performing each task.</w:t>
      </w:r>
    </w:p>
    <w:p w:rsidR="00454950" w:rsidRPr="00454950" w:rsidRDefault="00454950" w:rsidP="00980876">
      <w:pPr>
        <w:pStyle w:val="Listaszerbekezds"/>
        <w:numPr>
          <w:ilvl w:val="0"/>
          <w:numId w:val="260"/>
        </w:numPr>
        <w:autoSpaceDE w:val="0"/>
        <w:autoSpaceDN w:val="0"/>
        <w:adjustRightInd w:val="0"/>
        <w:spacing w:after="0" w:line="240" w:lineRule="auto"/>
        <w:ind w:left="709" w:hanging="283"/>
        <w:jc w:val="both"/>
        <w:rPr>
          <w:rFonts w:ascii="Times New Roman" w:hAnsi="Times New Roman" w:cs="Times New Roman"/>
        </w:rPr>
      </w:pPr>
      <w:r w:rsidRPr="00454950">
        <w:rPr>
          <w:rFonts w:ascii="Times New Roman" w:hAnsi="Times New Roman" w:cs="Times New Roman"/>
        </w:rPr>
        <w:t>Is familiar with the methods of assessing the requirements of military transportation and its feasibility and practical implementation.</w:t>
      </w:r>
    </w:p>
    <w:p w:rsidR="00454950" w:rsidRPr="00454950" w:rsidRDefault="00454950" w:rsidP="00454950">
      <w:pPr>
        <w:widowControl w:val="0"/>
        <w:spacing w:before="120" w:after="120" w:line="240" w:lineRule="auto"/>
        <w:ind w:left="426"/>
        <w:jc w:val="both"/>
        <w:rPr>
          <w:rFonts w:ascii="Times New Roman" w:eastAsia="Times New Roman" w:hAnsi="Times New Roman" w:cs="Times New Roman"/>
          <w:lang w:val="en-GB"/>
        </w:rPr>
      </w:pPr>
      <w:r w:rsidRPr="00454950">
        <w:rPr>
          <w:rFonts w:ascii="Times New Roman" w:eastAsia="Times New Roman" w:hAnsi="Times New Roman" w:cs="Times New Roman"/>
          <w:b/>
          <w:lang w:val="en-GB"/>
        </w:rPr>
        <w:t>Capabilities</w:t>
      </w:r>
      <w:r w:rsidRPr="00454950">
        <w:rPr>
          <w:rFonts w:ascii="Times New Roman" w:eastAsia="Times New Roman" w:hAnsi="Times New Roman" w:cs="Times New Roman"/>
          <w:lang w:val="en-GB"/>
        </w:rPr>
        <w:t xml:space="preserve">: </w:t>
      </w:r>
    </w:p>
    <w:p w:rsidR="00454950" w:rsidRPr="00454950" w:rsidRDefault="00454950" w:rsidP="00980876">
      <w:pPr>
        <w:pStyle w:val="Listaszerbekezds"/>
        <w:numPr>
          <w:ilvl w:val="0"/>
          <w:numId w:val="260"/>
        </w:numPr>
        <w:autoSpaceDE w:val="0"/>
        <w:autoSpaceDN w:val="0"/>
        <w:adjustRightInd w:val="0"/>
        <w:spacing w:after="0" w:line="240" w:lineRule="auto"/>
        <w:ind w:left="709" w:hanging="283"/>
        <w:jc w:val="both"/>
        <w:rPr>
          <w:rFonts w:ascii="Times New Roman" w:hAnsi="Times New Roman" w:cs="Times New Roman"/>
        </w:rPr>
      </w:pPr>
      <w:r w:rsidRPr="00454950">
        <w:rPr>
          <w:rFonts w:ascii="Times New Roman" w:hAnsi="Times New Roman" w:cs="Times New Roman"/>
        </w:rPr>
        <w:t>Using his/her general and specialized military knowledge and skills, he/she is capable of planning, organizing, and conducting military transport, movement, and transportation tasks.</w:t>
      </w:r>
    </w:p>
    <w:p w:rsidR="00454950" w:rsidRPr="00454950" w:rsidRDefault="00454950" w:rsidP="00980876">
      <w:pPr>
        <w:pStyle w:val="Listaszerbekezds"/>
        <w:numPr>
          <w:ilvl w:val="0"/>
          <w:numId w:val="260"/>
        </w:numPr>
        <w:autoSpaceDE w:val="0"/>
        <w:autoSpaceDN w:val="0"/>
        <w:adjustRightInd w:val="0"/>
        <w:spacing w:after="0" w:line="240" w:lineRule="auto"/>
        <w:ind w:left="709" w:hanging="283"/>
        <w:jc w:val="both"/>
        <w:rPr>
          <w:rFonts w:ascii="Times New Roman" w:hAnsi="Times New Roman" w:cs="Times New Roman"/>
        </w:rPr>
      </w:pPr>
      <w:r w:rsidRPr="00454950">
        <w:rPr>
          <w:rFonts w:ascii="Times New Roman" w:hAnsi="Times New Roman" w:cs="Times New Roman"/>
        </w:rPr>
        <w:t>Is capable of leading the execution of the tasks of a military transportation subunit in peace time and in crisis response, disaster relief, peace support and combat operations both in a national and a multinational environment.</w:t>
      </w:r>
    </w:p>
    <w:p w:rsidR="00454950" w:rsidRPr="00454950" w:rsidRDefault="00454950" w:rsidP="00980876">
      <w:pPr>
        <w:pStyle w:val="Listaszerbekezds"/>
        <w:numPr>
          <w:ilvl w:val="0"/>
          <w:numId w:val="260"/>
        </w:numPr>
        <w:autoSpaceDE w:val="0"/>
        <w:autoSpaceDN w:val="0"/>
        <w:adjustRightInd w:val="0"/>
        <w:spacing w:after="0" w:line="240" w:lineRule="auto"/>
        <w:ind w:left="709" w:hanging="283"/>
        <w:jc w:val="both"/>
        <w:rPr>
          <w:rFonts w:ascii="Times New Roman" w:hAnsi="Times New Roman" w:cs="Times New Roman"/>
        </w:rPr>
      </w:pPr>
      <w:r w:rsidRPr="00454950">
        <w:rPr>
          <w:rFonts w:ascii="Times New Roman" w:hAnsi="Times New Roman" w:cs="Times New Roman"/>
        </w:rPr>
        <w:t>Is capable of planning, organizing and executing the tasks related to the application of traffic networks for military purposes.</w:t>
      </w:r>
    </w:p>
    <w:p w:rsidR="00454950" w:rsidRPr="00454950" w:rsidRDefault="00454950" w:rsidP="00980876">
      <w:pPr>
        <w:pStyle w:val="Listaszerbekezds"/>
        <w:numPr>
          <w:ilvl w:val="0"/>
          <w:numId w:val="260"/>
        </w:numPr>
        <w:autoSpaceDE w:val="0"/>
        <w:autoSpaceDN w:val="0"/>
        <w:adjustRightInd w:val="0"/>
        <w:spacing w:after="0" w:line="240" w:lineRule="auto"/>
        <w:ind w:left="709" w:hanging="283"/>
        <w:jc w:val="both"/>
        <w:rPr>
          <w:rFonts w:ascii="Times New Roman" w:hAnsi="Times New Roman" w:cs="Times New Roman"/>
        </w:rPr>
      </w:pPr>
      <w:r w:rsidRPr="00454950">
        <w:rPr>
          <w:rFonts w:ascii="Times New Roman" w:hAnsi="Times New Roman" w:cs="Times New Roman"/>
        </w:rPr>
        <w:t>Is capable of applying traffic information systems to support transportation processes and formulating the basic user requirements related to them.</w:t>
      </w:r>
    </w:p>
    <w:p w:rsidR="00454950" w:rsidRPr="00454950" w:rsidRDefault="00454950" w:rsidP="004549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lang w:val="en-GB"/>
        </w:rPr>
      </w:pPr>
      <w:r w:rsidRPr="00454950">
        <w:rPr>
          <w:rFonts w:ascii="Times New Roman" w:eastAsia="Times New Roman" w:hAnsi="Times New Roman" w:cs="Times New Roman"/>
          <w:b/>
          <w:lang w:val="en-GB"/>
        </w:rPr>
        <w:t>Attitude:</w:t>
      </w:r>
      <w:r w:rsidRPr="00454950">
        <w:rPr>
          <w:rFonts w:ascii="Times New Roman" w:eastAsia="Times New Roman" w:hAnsi="Times New Roman" w:cs="Times New Roman"/>
          <w:lang w:val="en-GB"/>
        </w:rPr>
        <w:t xml:space="preserve"> </w:t>
      </w:r>
    </w:p>
    <w:p w:rsidR="00454950" w:rsidRPr="00454950" w:rsidRDefault="00454950" w:rsidP="00980876">
      <w:pPr>
        <w:pStyle w:val="Listaszerbekezds"/>
        <w:numPr>
          <w:ilvl w:val="0"/>
          <w:numId w:val="260"/>
        </w:numPr>
        <w:autoSpaceDE w:val="0"/>
        <w:autoSpaceDN w:val="0"/>
        <w:adjustRightInd w:val="0"/>
        <w:spacing w:after="0" w:line="240" w:lineRule="auto"/>
        <w:ind w:left="709" w:hanging="283"/>
        <w:jc w:val="both"/>
        <w:rPr>
          <w:rFonts w:ascii="Times New Roman" w:hAnsi="Times New Roman" w:cs="Times New Roman"/>
        </w:rPr>
      </w:pPr>
      <w:r w:rsidRPr="00454950">
        <w:rPr>
          <w:rFonts w:ascii="Times New Roman" w:hAnsi="Times New Roman" w:cs="Times New Roman"/>
        </w:rPr>
        <w:t>He/She is ready to become familiar with and adopt the professional and technological development and innovation in the field of military transportation, and also to pass it on and integrate it into his daily work.</w:t>
      </w:r>
    </w:p>
    <w:p w:rsidR="00454950" w:rsidRPr="00454950" w:rsidRDefault="00454950" w:rsidP="00980876">
      <w:pPr>
        <w:pStyle w:val="Listaszerbekezds"/>
        <w:numPr>
          <w:ilvl w:val="0"/>
          <w:numId w:val="260"/>
        </w:numPr>
        <w:autoSpaceDE w:val="0"/>
        <w:autoSpaceDN w:val="0"/>
        <w:adjustRightInd w:val="0"/>
        <w:spacing w:after="0" w:line="240" w:lineRule="auto"/>
        <w:ind w:left="709" w:hanging="283"/>
        <w:jc w:val="both"/>
        <w:rPr>
          <w:rFonts w:ascii="Times New Roman" w:hAnsi="Times New Roman" w:cs="Times New Roman"/>
        </w:rPr>
      </w:pPr>
      <w:r w:rsidRPr="00454950">
        <w:rPr>
          <w:rFonts w:ascii="Times New Roman" w:hAnsi="Times New Roman" w:cs="Times New Roman"/>
        </w:rPr>
        <w:t>He/She strives for continuous self-education in the field of military transportation which is consistent with his/her professional goals.</w:t>
      </w:r>
    </w:p>
    <w:p w:rsidR="00454950" w:rsidRPr="00454950" w:rsidRDefault="00454950" w:rsidP="00980876">
      <w:pPr>
        <w:pStyle w:val="Listaszerbekezds"/>
        <w:numPr>
          <w:ilvl w:val="0"/>
          <w:numId w:val="260"/>
        </w:numPr>
        <w:autoSpaceDE w:val="0"/>
        <w:autoSpaceDN w:val="0"/>
        <w:adjustRightInd w:val="0"/>
        <w:spacing w:after="0" w:line="240" w:lineRule="auto"/>
        <w:ind w:left="709" w:hanging="283"/>
        <w:jc w:val="both"/>
        <w:rPr>
          <w:rFonts w:ascii="Times New Roman" w:hAnsi="Times New Roman" w:cs="Times New Roman"/>
        </w:rPr>
      </w:pPr>
      <w:r w:rsidRPr="00454950">
        <w:rPr>
          <w:rFonts w:ascii="Times New Roman" w:hAnsi="Times New Roman" w:cs="Times New Roman"/>
        </w:rPr>
        <w:t>He/She is committed to high quality in his/her professional work, with special emphasis on the safe execution of the transportation tasks and processes.</w:t>
      </w:r>
    </w:p>
    <w:p w:rsidR="00454950" w:rsidRPr="00454950" w:rsidRDefault="00454950" w:rsidP="00980876">
      <w:pPr>
        <w:pStyle w:val="Listaszerbekezds"/>
        <w:numPr>
          <w:ilvl w:val="0"/>
          <w:numId w:val="260"/>
        </w:numPr>
        <w:autoSpaceDE w:val="0"/>
        <w:autoSpaceDN w:val="0"/>
        <w:adjustRightInd w:val="0"/>
        <w:spacing w:after="0" w:line="240" w:lineRule="auto"/>
        <w:ind w:left="709" w:hanging="283"/>
        <w:jc w:val="both"/>
        <w:rPr>
          <w:rFonts w:ascii="Times New Roman" w:hAnsi="Times New Roman" w:cs="Times New Roman"/>
        </w:rPr>
      </w:pPr>
      <w:r w:rsidRPr="00454950">
        <w:rPr>
          <w:rFonts w:ascii="Times New Roman" w:hAnsi="Times New Roman" w:cs="Times New Roman"/>
        </w:rPr>
        <w:t>He/She is interested in promoting the professional development of his/her subordinates, and provides assistance in their efforts.</w:t>
      </w:r>
    </w:p>
    <w:p w:rsidR="00454950" w:rsidRPr="00454950" w:rsidRDefault="00454950" w:rsidP="00980876">
      <w:pPr>
        <w:pStyle w:val="Listaszerbekezds"/>
        <w:numPr>
          <w:ilvl w:val="0"/>
          <w:numId w:val="260"/>
        </w:numPr>
        <w:autoSpaceDE w:val="0"/>
        <w:autoSpaceDN w:val="0"/>
        <w:adjustRightInd w:val="0"/>
        <w:spacing w:after="0" w:line="240" w:lineRule="auto"/>
        <w:ind w:left="709" w:hanging="283"/>
        <w:jc w:val="both"/>
        <w:rPr>
          <w:rFonts w:ascii="Times New Roman" w:hAnsi="Times New Roman" w:cs="Times New Roman"/>
        </w:rPr>
      </w:pPr>
      <w:r w:rsidRPr="00454950">
        <w:rPr>
          <w:rFonts w:ascii="Times New Roman" w:hAnsi="Times New Roman" w:cs="Times New Roman"/>
        </w:rPr>
        <w:t>He/she is willing to share his/her experience with his/her colleagues to further their professional development.</w:t>
      </w:r>
    </w:p>
    <w:p w:rsidR="00454950" w:rsidRPr="00454950" w:rsidRDefault="00454950" w:rsidP="00454950">
      <w:pPr>
        <w:widowControl w:val="0"/>
        <w:spacing w:before="120" w:after="120" w:line="240" w:lineRule="auto"/>
        <w:ind w:left="426"/>
        <w:jc w:val="both"/>
        <w:rPr>
          <w:rFonts w:ascii="Times New Roman" w:eastAsia="Times New Roman" w:hAnsi="Times New Roman" w:cs="Times New Roman"/>
          <w:b/>
          <w:lang w:val="en-GB"/>
        </w:rPr>
      </w:pPr>
      <w:r w:rsidRPr="00454950">
        <w:rPr>
          <w:rFonts w:ascii="Times New Roman" w:eastAsia="Times New Roman" w:hAnsi="Times New Roman" w:cs="Times New Roman"/>
          <w:b/>
          <w:lang w:val="en-GB"/>
        </w:rPr>
        <w:t xml:space="preserve">Autonomy and responsibility: </w:t>
      </w:r>
    </w:p>
    <w:p w:rsidR="00454950" w:rsidRPr="00454950" w:rsidRDefault="00454950" w:rsidP="00980876">
      <w:pPr>
        <w:pStyle w:val="Listaszerbekezds"/>
        <w:numPr>
          <w:ilvl w:val="0"/>
          <w:numId w:val="260"/>
        </w:numPr>
        <w:autoSpaceDE w:val="0"/>
        <w:autoSpaceDN w:val="0"/>
        <w:adjustRightInd w:val="0"/>
        <w:spacing w:after="0" w:line="240" w:lineRule="auto"/>
        <w:ind w:left="709" w:hanging="283"/>
        <w:jc w:val="both"/>
        <w:rPr>
          <w:rFonts w:ascii="Times New Roman" w:hAnsi="Times New Roman" w:cs="Times New Roman"/>
        </w:rPr>
      </w:pPr>
      <w:r w:rsidRPr="00454950">
        <w:rPr>
          <w:rFonts w:ascii="Times New Roman" w:hAnsi="Times New Roman" w:cs="Times New Roman"/>
        </w:rPr>
        <w:t>He/She is able to make decisions independently in the processes arising in the field of military transportation, and to implement them with responsibility and within the legal framework.</w:t>
      </w:r>
    </w:p>
    <w:p w:rsidR="00454950" w:rsidRPr="00454950" w:rsidRDefault="00454950" w:rsidP="00980876">
      <w:pPr>
        <w:pStyle w:val="Listaszerbekezds"/>
        <w:numPr>
          <w:ilvl w:val="0"/>
          <w:numId w:val="260"/>
        </w:numPr>
        <w:autoSpaceDE w:val="0"/>
        <w:autoSpaceDN w:val="0"/>
        <w:adjustRightInd w:val="0"/>
        <w:spacing w:after="0" w:line="240" w:lineRule="auto"/>
        <w:ind w:left="709" w:hanging="283"/>
        <w:jc w:val="both"/>
        <w:rPr>
          <w:rFonts w:ascii="Times New Roman" w:hAnsi="Times New Roman" w:cs="Times New Roman"/>
        </w:rPr>
      </w:pPr>
      <w:r w:rsidRPr="00454950">
        <w:rPr>
          <w:rFonts w:ascii="Times New Roman" w:hAnsi="Times New Roman" w:cs="Times New Roman"/>
        </w:rPr>
        <w:t>He/She is aware of the effects and consequences of his decisions and activities on the military logistic processes as a whole.</w:t>
      </w:r>
    </w:p>
    <w:p w:rsidR="00454950" w:rsidRPr="00454950" w:rsidRDefault="00454950" w:rsidP="00980876">
      <w:pPr>
        <w:pStyle w:val="Listaszerbekezds"/>
        <w:numPr>
          <w:ilvl w:val="0"/>
          <w:numId w:val="260"/>
        </w:numPr>
        <w:autoSpaceDE w:val="0"/>
        <w:autoSpaceDN w:val="0"/>
        <w:adjustRightInd w:val="0"/>
        <w:spacing w:after="0" w:line="240" w:lineRule="auto"/>
        <w:ind w:left="709" w:hanging="283"/>
        <w:jc w:val="both"/>
        <w:rPr>
          <w:rFonts w:ascii="Times New Roman" w:hAnsi="Times New Roman" w:cs="Times New Roman"/>
        </w:rPr>
      </w:pPr>
      <w:r w:rsidRPr="00454950">
        <w:rPr>
          <w:rFonts w:ascii="Times New Roman" w:hAnsi="Times New Roman" w:cs="Times New Roman"/>
        </w:rPr>
        <w:t xml:space="preserve">During his/her professional duties, he/she is willing to responsibly cooperate with specialists of other areas. </w:t>
      </w:r>
    </w:p>
    <w:p w:rsidR="00454950" w:rsidRPr="00454950" w:rsidRDefault="00454950" w:rsidP="00980876">
      <w:pPr>
        <w:pStyle w:val="Listaszerbekezds"/>
        <w:numPr>
          <w:ilvl w:val="0"/>
          <w:numId w:val="260"/>
        </w:numPr>
        <w:autoSpaceDE w:val="0"/>
        <w:autoSpaceDN w:val="0"/>
        <w:adjustRightInd w:val="0"/>
        <w:spacing w:after="0" w:line="240" w:lineRule="auto"/>
        <w:ind w:left="709" w:hanging="283"/>
        <w:jc w:val="both"/>
        <w:rPr>
          <w:rFonts w:ascii="Times New Roman" w:hAnsi="Times New Roman" w:cs="Times New Roman"/>
        </w:rPr>
      </w:pPr>
      <w:r w:rsidRPr="00454950">
        <w:rPr>
          <w:rFonts w:ascii="Times New Roman" w:hAnsi="Times New Roman" w:cs="Times New Roman"/>
        </w:rPr>
        <w:t>He/She can identify the deficiencies and risks in the applied technologies and initiates taking measures to reduce their impact.</w:t>
      </w:r>
    </w:p>
    <w:p w:rsidR="00454950" w:rsidRPr="00454950" w:rsidRDefault="00454950" w:rsidP="00980876">
      <w:pPr>
        <w:pStyle w:val="Listaszerbekezds"/>
        <w:numPr>
          <w:ilvl w:val="0"/>
          <w:numId w:val="260"/>
        </w:numPr>
        <w:autoSpaceDE w:val="0"/>
        <w:autoSpaceDN w:val="0"/>
        <w:adjustRightInd w:val="0"/>
        <w:spacing w:after="0" w:line="240" w:lineRule="auto"/>
        <w:ind w:left="709" w:hanging="283"/>
        <w:jc w:val="both"/>
        <w:rPr>
          <w:rFonts w:ascii="Times New Roman" w:hAnsi="Times New Roman" w:cs="Times New Roman"/>
        </w:rPr>
      </w:pPr>
      <w:r w:rsidRPr="00454950">
        <w:rPr>
          <w:rFonts w:ascii="Times New Roman" w:hAnsi="Times New Roman" w:cs="Times New Roman"/>
        </w:rPr>
        <w:t>Under the guidance of his/her commander, he/she controls the work of the personnel under his/her command and supervises the planning, organization and implementation of the transport and transportation processes, and also the operation of the technical equipment used in military transportation.</w:t>
      </w:r>
    </w:p>
    <w:p w:rsidR="00454950" w:rsidRPr="00454950" w:rsidRDefault="00454950" w:rsidP="00980876">
      <w:pPr>
        <w:pStyle w:val="Listaszerbekezds"/>
        <w:numPr>
          <w:ilvl w:val="0"/>
          <w:numId w:val="260"/>
        </w:numPr>
        <w:autoSpaceDE w:val="0"/>
        <w:autoSpaceDN w:val="0"/>
        <w:adjustRightInd w:val="0"/>
        <w:spacing w:after="0" w:line="240" w:lineRule="auto"/>
        <w:ind w:left="709" w:hanging="283"/>
        <w:jc w:val="both"/>
        <w:rPr>
          <w:rFonts w:ascii="Times New Roman" w:hAnsi="Times New Roman" w:cs="Times New Roman"/>
        </w:rPr>
      </w:pPr>
      <w:r w:rsidRPr="00454950">
        <w:rPr>
          <w:rFonts w:ascii="Times New Roman" w:hAnsi="Times New Roman" w:cs="Times New Roman"/>
        </w:rPr>
        <w:t>He/She continuously evaluates the efficiency and effectiveness of his/her subordinates' work.</w:t>
      </w:r>
    </w:p>
    <w:p w:rsidR="00454950" w:rsidRPr="00454950" w:rsidRDefault="00454950" w:rsidP="00980876">
      <w:pPr>
        <w:widowControl w:val="0"/>
        <w:numPr>
          <w:ilvl w:val="0"/>
          <w:numId w:val="262"/>
        </w:numPr>
        <w:spacing w:before="120" w:after="120" w:line="240" w:lineRule="auto"/>
        <w:ind w:left="426" w:hanging="142"/>
        <w:jc w:val="both"/>
        <w:rPr>
          <w:rFonts w:ascii="Times New Roman" w:eastAsia="Times New Roman" w:hAnsi="Times New Roman" w:cs="Times New Roman"/>
          <w:b/>
          <w:bCs/>
        </w:rPr>
      </w:pPr>
      <w:r w:rsidRPr="00454950">
        <w:rPr>
          <w:rFonts w:ascii="Times New Roman" w:eastAsia="Times New Roman" w:hAnsi="Times New Roman" w:cs="Times New Roman"/>
          <w:b/>
          <w:bCs/>
        </w:rPr>
        <w:t xml:space="preserve">Előtanulmányi követelmények: </w:t>
      </w:r>
      <w:r w:rsidRPr="00454950">
        <w:rPr>
          <w:rFonts w:ascii="Times New Roman" w:eastAsia="Times New Roman" w:hAnsi="Times New Roman" w:cs="Times New Roman"/>
          <w:bCs/>
        </w:rPr>
        <w:t>Műszaki alapismeretek</w:t>
      </w:r>
      <w:r w:rsidRPr="00454950">
        <w:rPr>
          <w:rFonts w:ascii="Times New Roman" w:eastAsia="Times New Roman" w:hAnsi="Times New Roman" w:cs="Times New Roman"/>
          <w:b/>
          <w:bCs/>
        </w:rPr>
        <w:t xml:space="preserve"> </w:t>
      </w:r>
      <w:r w:rsidR="003A0586">
        <w:rPr>
          <w:rFonts w:ascii="Times New Roman" w:eastAsia="Times New Roman" w:hAnsi="Times New Roman" w:cs="Times New Roman"/>
          <w:b/>
          <w:bCs/>
        </w:rPr>
        <w:t>(</w:t>
      </w:r>
      <w:r w:rsidR="003A0586" w:rsidRPr="00E33E54">
        <w:rPr>
          <w:rFonts w:ascii="Times New Roman" w:eastAsia="Times New Roman" w:hAnsi="Times New Roman" w:cs="Times New Roman"/>
          <w:bCs/>
        </w:rPr>
        <w:t>HKHDTA02</w:t>
      </w:r>
      <w:r w:rsidR="003A0586">
        <w:rPr>
          <w:rFonts w:ascii="Times New Roman" w:eastAsia="Times New Roman" w:hAnsi="Times New Roman" w:cs="Times New Roman"/>
          <w:bCs/>
        </w:rPr>
        <w:t>)</w:t>
      </w:r>
    </w:p>
    <w:p w:rsidR="00454950" w:rsidRPr="00454950" w:rsidRDefault="00454950" w:rsidP="00980876">
      <w:pPr>
        <w:widowControl w:val="0"/>
        <w:numPr>
          <w:ilvl w:val="0"/>
          <w:numId w:val="262"/>
        </w:numPr>
        <w:spacing w:before="120" w:after="120" w:line="240" w:lineRule="auto"/>
        <w:ind w:left="426" w:hanging="142"/>
        <w:jc w:val="both"/>
        <w:rPr>
          <w:rFonts w:ascii="Times New Roman" w:eastAsia="Times New Roman" w:hAnsi="Times New Roman" w:cs="Times New Roman"/>
          <w:b/>
          <w:bCs/>
        </w:rPr>
      </w:pPr>
      <w:r w:rsidRPr="00454950">
        <w:rPr>
          <w:rFonts w:ascii="Times New Roman" w:eastAsia="Times New Roman" w:hAnsi="Times New Roman" w:cs="Times New Roman"/>
          <w:b/>
          <w:bCs/>
        </w:rPr>
        <w:t>A tantárgy tananyagának leírása, tematika. Description of the subject, curriculum (magyarul, angolul - English):</w:t>
      </w:r>
    </w:p>
    <w:p w:rsidR="00454950" w:rsidRPr="00454950" w:rsidRDefault="00454950" w:rsidP="00980876">
      <w:pPr>
        <w:widowControl w:val="0"/>
        <w:numPr>
          <w:ilvl w:val="1"/>
          <w:numId w:val="262"/>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i/>
        </w:rPr>
      </w:pPr>
      <w:r w:rsidRPr="00454950">
        <w:rPr>
          <w:rFonts w:ascii="Times New Roman" w:eastAsia="Times New Roman" w:hAnsi="Times New Roman" w:cs="Times New Roman"/>
        </w:rPr>
        <w:t xml:space="preserve">Belsőégésű motorok csoportosítása, működésének fizikai alapjai. </w:t>
      </w:r>
      <w:r w:rsidRPr="00454950">
        <w:rPr>
          <w:rFonts w:ascii="Times New Roman" w:eastAsia="Times New Roman" w:hAnsi="Times New Roman" w:cs="Times New Roman"/>
          <w:i/>
        </w:rPr>
        <w:t>(</w:t>
      </w:r>
      <w:r w:rsidRPr="00454950">
        <w:rPr>
          <w:rStyle w:val="tlid-translation"/>
          <w:rFonts w:ascii="Times New Roman" w:hAnsi="Times New Roman" w:cs="Times New Roman"/>
          <w:i/>
          <w:lang w:val="en"/>
        </w:rPr>
        <w:t>Grouping of internal combustion engines, physical basis of their operation.)</w:t>
      </w:r>
    </w:p>
    <w:p w:rsidR="00454950" w:rsidRPr="00454950" w:rsidRDefault="00454950" w:rsidP="00980876">
      <w:pPr>
        <w:widowControl w:val="0"/>
        <w:numPr>
          <w:ilvl w:val="1"/>
          <w:numId w:val="262"/>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rPr>
      </w:pPr>
      <w:r w:rsidRPr="00454950">
        <w:rPr>
          <w:rFonts w:ascii="Times New Roman" w:eastAsia="Times New Roman" w:hAnsi="Times New Roman" w:cs="Times New Roman"/>
        </w:rPr>
        <w:t>Tüzelőanyag ellátó rendszerek.</w:t>
      </w:r>
      <w:r w:rsidRPr="00454950">
        <w:rPr>
          <w:rFonts w:ascii="Times New Roman" w:hAnsi="Times New Roman" w:cs="Times New Roman"/>
          <w:lang w:val="en"/>
        </w:rPr>
        <w:t xml:space="preserve"> </w:t>
      </w:r>
      <w:r w:rsidRPr="00454950">
        <w:rPr>
          <w:rFonts w:ascii="Times New Roman" w:hAnsi="Times New Roman" w:cs="Times New Roman"/>
          <w:i/>
          <w:lang w:val="en"/>
        </w:rPr>
        <w:t>(</w:t>
      </w:r>
      <w:r w:rsidRPr="00454950">
        <w:rPr>
          <w:rStyle w:val="tlid-translation"/>
          <w:rFonts w:ascii="Times New Roman" w:hAnsi="Times New Roman" w:cs="Times New Roman"/>
          <w:i/>
          <w:lang w:val="en"/>
        </w:rPr>
        <w:t>Fuel supply systems.)</w:t>
      </w:r>
    </w:p>
    <w:p w:rsidR="00454950" w:rsidRPr="00454950" w:rsidRDefault="00454950" w:rsidP="00980876">
      <w:pPr>
        <w:widowControl w:val="0"/>
        <w:numPr>
          <w:ilvl w:val="1"/>
          <w:numId w:val="262"/>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rPr>
      </w:pPr>
      <w:r w:rsidRPr="00454950">
        <w:rPr>
          <w:rFonts w:ascii="Times New Roman" w:eastAsia="Times New Roman" w:hAnsi="Times New Roman" w:cs="Times New Roman"/>
        </w:rPr>
        <w:t>Hűtés, kenés, károsanyagkibocsátás.</w:t>
      </w:r>
      <w:r w:rsidRPr="00454950">
        <w:rPr>
          <w:rFonts w:ascii="Times New Roman" w:hAnsi="Times New Roman" w:cs="Times New Roman"/>
          <w:lang w:val="en"/>
        </w:rPr>
        <w:t xml:space="preserve"> </w:t>
      </w:r>
      <w:r w:rsidRPr="00454950">
        <w:rPr>
          <w:rFonts w:ascii="Times New Roman" w:hAnsi="Times New Roman" w:cs="Times New Roman"/>
          <w:i/>
          <w:lang w:val="en"/>
        </w:rPr>
        <w:t>(</w:t>
      </w:r>
      <w:r w:rsidRPr="00454950">
        <w:rPr>
          <w:rStyle w:val="tlid-translation"/>
          <w:rFonts w:ascii="Times New Roman" w:hAnsi="Times New Roman" w:cs="Times New Roman"/>
          <w:i/>
          <w:lang w:val="en"/>
        </w:rPr>
        <w:t>Cooling, lubrication, emissions.)</w:t>
      </w:r>
    </w:p>
    <w:p w:rsidR="00454950" w:rsidRPr="00454950" w:rsidRDefault="00454950" w:rsidP="00980876">
      <w:pPr>
        <w:widowControl w:val="0"/>
        <w:numPr>
          <w:ilvl w:val="1"/>
          <w:numId w:val="262"/>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i/>
        </w:rPr>
      </w:pPr>
      <w:r w:rsidRPr="00454950">
        <w:rPr>
          <w:rFonts w:ascii="Times New Roman" w:eastAsia="Times New Roman" w:hAnsi="Times New Roman" w:cs="Times New Roman"/>
        </w:rPr>
        <w:t>Zárthelyi dolgozat.</w:t>
      </w:r>
      <w:r w:rsidRPr="00454950">
        <w:rPr>
          <w:rFonts w:ascii="Times New Roman" w:hAnsi="Times New Roman" w:cs="Times New Roman"/>
          <w:lang w:val="en"/>
        </w:rPr>
        <w:t xml:space="preserve"> </w:t>
      </w:r>
      <w:r w:rsidRPr="00454950">
        <w:rPr>
          <w:rFonts w:ascii="Times New Roman" w:hAnsi="Times New Roman" w:cs="Times New Roman"/>
          <w:i/>
          <w:lang w:val="en"/>
        </w:rPr>
        <w:t>(</w:t>
      </w:r>
      <w:r w:rsidRPr="00454950">
        <w:rPr>
          <w:rStyle w:val="tlid-translation"/>
          <w:rFonts w:ascii="Times New Roman" w:hAnsi="Times New Roman" w:cs="Times New Roman"/>
          <w:i/>
          <w:lang w:val="en"/>
        </w:rPr>
        <w:t>Closed thesis.)</w:t>
      </w:r>
    </w:p>
    <w:p w:rsidR="00454950" w:rsidRPr="00454950" w:rsidRDefault="00454950" w:rsidP="00980876">
      <w:pPr>
        <w:widowControl w:val="0"/>
        <w:numPr>
          <w:ilvl w:val="1"/>
          <w:numId w:val="262"/>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b/>
        </w:rPr>
      </w:pPr>
      <w:r w:rsidRPr="00454950">
        <w:rPr>
          <w:rFonts w:ascii="Times New Roman" w:eastAsia="Times New Roman" w:hAnsi="Times New Roman" w:cs="Times New Roman"/>
        </w:rPr>
        <w:t>Erőátvitel (tengelykapcsoló, sebességváltómű, osztómű, híd).</w:t>
      </w:r>
      <w:r w:rsidRPr="00454950">
        <w:rPr>
          <w:rFonts w:ascii="Times New Roman" w:hAnsi="Times New Roman" w:cs="Times New Roman"/>
          <w:lang w:val="en"/>
        </w:rPr>
        <w:t xml:space="preserve"> </w:t>
      </w:r>
      <w:r w:rsidRPr="00454950">
        <w:rPr>
          <w:rFonts w:ascii="Times New Roman" w:hAnsi="Times New Roman" w:cs="Times New Roman"/>
          <w:i/>
          <w:lang w:val="en"/>
        </w:rPr>
        <w:t>(</w:t>
      </w:r>
      <w:r w:rsidRPr="00454950">
        <w:rPr>
          <w:rStyle w:val="tlid-translation"/>
          <w:rFonts w:ascii="Times New Roman" w:hAnsi="Times New Roman" w:cs="Times New Roman"/>
          <w:i/>
          <w:lang w:val="en"/>
        </w:rPr>
        <w:t>Power transmission (clutch, gearbox, transfer case, bridge).)</w:t>
      </w:r>
    </w:p>
    <w:p w:rsidR="00454950" w:rsidRPr="00454950" w:rsidRDefault="00454950" w:rsidP="00980876">
      <w:pPr>
        <w:widowControl w:val="0"/>
        <w:numPr>
          <w:ilvl w:val="1"/>
          <w:numId w:val="262"/>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i/>
        </w:rPr>
      </w:pPr>
      <w:r w:rsidRPr="00454950">
        <w:rPr>
          <w:rFonts w:ascii="Times New Roman" w:eastAsia="Times New Roman" w:hAnsi="Times New Roman" w:cs="Times New Roman"/>
        </w:rPr>
        <w:lastRenderedPageBreak/>
        <w:t>Fékezés (fékezés elmélete, fékszerkezetek, hidraulikus és légfékek</w:t>
      </w:r>
      <w:r w:rsidRPr="00454950">
        <w:rPr>
          <w:rFonts w:ascii="Times New Roman" w:eastAsia="Times New Roman" w:hAnsi="Times New Roman" w:cs="Times New Roman"/>
          <w:i/>
        </w:rPr>
        <w:t>).</w:t>
      </w:r>
      <w:r w:rsidRPr="00454950">
        <w:rPr>
          <w:rFonts w:ascii="Times New Roman" w:hAnsi="Times New Roman" w:cs="Times New Roman"/>
          <w:i/>
          <w:lang w:val="en"/>
        </w:rPr>
        <w:t xml:space="preserve"> (</w:t>
      </w:r>
      <w:r w:rsidRPr="00454950">
        <w:rPr>
          <w:rStyle w:val="tlid-translation"/>
          <w:rFonts w:ascii="Times New Roman" w:hAnsi="Times New Roman" w:cs="Times New Roman"/>
          <w:i/>
          <w:lang w:val="en"/>
        </w:rPr>
        <w:t>Braking (theory of braking, brake structures, hydraulic and air brakes).)</w:t>
      </w:r>
    </w:p>
    <w:p w:rsidR="00454950" w:rsidRPr="00454950" w:rsidRDefault="00454950" w:rsidP="00980876">
      <w:pPr>
        <w:widowControl w:val="0"/>
        <w:numPr>
          <w:ilvl w:val="1"/>
          <w:numId w:val="262"/>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i/>
        </w:rPr>
      </w:pPr>
      <w:r w:rsidRPr="00454950">
        <w:rPr>
          <w:rFonts w:ascii="Times New Roman" w:eastAsia="Times New Roman" w:hAnsi="Times New Roman" w:cs="Times New Roman"/>
        </w:rPr>
        <w:t>Kormányzás (kormánymechanizmusok, kormánygépek szervoberendezések).</w:t>
      </w:r>
      <w:r w:rsidRPr="00454950">
        <w:rPr>
          <w:rFonts w:ascii="Times New Roman" w:hAnsi="Times New Roman" w:cs="Times New Roman"/>
          <w:lang w:val="en"/>
        </w:rPr>
        <w:t xml:space="preserve"> </w:t>
      </w:r>
      <w:r w:rsidRPr="00454950">
        <w:rPr>
          <w:rFonts w:ascii="Times New Roman" w:hAnsi="Times New Roman" w:cs="Times New Roman"/>
          <w:i/>
          <w:lang w:val="en"/>
        </w:rPr>
        <w:t>(</w:t>
      </w:r>
      <w:r w:rsidRPr="00454950">
        <w:rPr>
          <w:rStyle w:val="tlid-translation"/>
          <w:rFonts w:ascii="Times New Roman" w:hAnsi="Times New Roman" w:cs="Times New Roman"/>
          <w:i/>
          <w:lang w:val="en"/>
        </w:rPr>
        <w:t>Steering (steering mechanisms, steering apparatus servo equipment).)</w:t>
      </w:r>
    </w:p>
    <w:p w:rsidR="00454950" w:rsidRPr="00454950" w:rsidRDefault="00454950" w:rsidP="00980876">
      <w:pPr>
        <w:widowControl w:val="0"/>
        <w:numPr>
          <w:ilvl w:val="1"/>
          <w:numId w:val="262"/>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i/>
        </w:rPr>
      </w:pPr>
      <w:r w:rsidRPr="00454950">
        <w:rPr>
          <w:rFonts w:ascii="Times New Roman" w:eastAsia="Times New Roman" w:hAnsi="Times New Roman" w:cs="Times New Roman"/>
        </w:rPr>
        <w:t>Felfüggesztés (lengések, felfüggesztési rendszerek).</w:t>
      </w:r>
      <w:r w:rsidRPr="00454950">
        <w:rPr>
          <w:rFonts w:ascii="Times New Roman" w:hAnsi="Times New Roman" w:cs="Times New Roman"/>
          <w:lang w:val="en"/>
        </w:rPr>
        <w:t xml:space="preserve"> </w:t>
      </w:r>
      <w:r w:rsidRPr="00454950">
        <w:rPr>
          <w:rFonts w:ascii="Times New Roman" w:hAnsi="Times New Roman" w:cs="Times New Roman"/>
          <w:i/>
          <w:lang w:val="en"/>
        </w:rPr>
        <w:t>(</w:t>
      </w:r>
      <w:r w:rsidRPr="00454950">
        <w:rPr>
          <w:rStyle w:val="tlid-translation"/>
          <w:rFonts w:ascii="Times New Roman" w:hAnsi="Times New Roman" w:cs="Times New Roman"/>
          <w:i/>
          <w:lang w:val="en"/>
        </w:rPr>
        <w:t>Suspension (oscillations, suspension systems).)</w:t>
      </w:r>
    </w:p>
    <w:p w:rsidR="00454950" w:rsidRPr="00454950" w:rsidRDefault="00454950" w:rsidP="00980876">
      <w:pPr>
        <w:widowControl w:val="0"/>
        <w:numPr>
          <w:ilvl w:val="1"/>
          <w:numId w:val="262"/>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i/>
        </w:rPr>
      </w:pPr>
      <w:r w:rsidRPr="00454950">
        <w:rPr>
          <w:rFonts w:ascii="Times New Roman" w:eastAsia="Times New Roman" w:hAnsi="Times New Roman" w:cs="Times New Roman"/>
        </w:rPr>
        <w:t xml:space="preserve">Személygépkocsik és haszonjárművek karosszéria kialakításai. </w:t>
      </w:r>
      <w:r w:rsidRPr="00454950">
        <w:rPr>
          <w:rFonts w:ascii="Times New Roman" w:eastAsia="Times New Roman" w:hAnsi="Times New Roman" w:cs="Times New Roman"/>
          <w:i/>
        </w:rPr>
        <w:t>(</w:t>
      </w:r>
      <w:r w:rsidRPr="00454950">
        <w:rPr>
          <w:rStyle w:val="tlid-translation"/>
          <w:rFonts w:ascii="Times New Roman" w:hAnsi="Times New Roman" w:cs="Times New Roman"/>
          <w:i/>
          <w:lang w:val="en"/>
        </w:rPr>
        <w:t>Bodywork designs for cars and commercial vehicles.)</w:t>
      </w:r>
    </w:p>
    <w:p w:rsidR="00454950" w:rsidRPr="00454950" w:rsidRDefault="00454950" w:rsidP="00980876">
      <w:pPr>
        <w:widowControl w:val="0"/>
        <w:numPr>
          <w:ilvl w:val="1"/>
          <w:numId w:val="262"/>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rPr>
      </w:pPr>
      <w:r w:rsidRPr="00454950">
        <w:rPr>
          <w:rFonts w:ascii="Times New Roman" w:eastAsia="Times New Roman" w:hAnsi="Times New Roman" w:cs="Times New Roman"/>
        </w:rPr>
        <w:t>Zárthelyi dolgozat.</w:t>
      </w:r>
      <w:r w:rsidRPr="00454950">
        <w:rPr>
          <w:rFonts w:ascii="Times New Roman" w:hAnsi="Times New Roman" w:cs="Times New Roman"/>
          <w:lang w:val="en"/>
        </w:rPr>
        <w:t xml:space="preserve"> </w:t>
      </w:r>
      <w:r w:rsidRPr="00454950">
        <w:rPr>
          <w:rFonts w:ascii="Times New Roman" w:hAnsi="Times New Roman" w:cs="Times New Roman"/>
          <w:i/>
          <w:lang w:val="en"/>
        </w:rPr>
        <w:t>(</w:t>
      </w:r>
      <w:r w:rsidRPr="00454950">
        <w:rPr>
          <w:rStyle w:val="tlid-translation"/>
          <w:rFonts w:ascii="Times New Roman" w:hAnsi="Times New Roman" w:cs="Times New Roman"/>
          <w:i/>
          <w:lang w:val="en"/>
        </w:rPr>
        <w:t>Closed thesis.)</w:t>
      </w:r>
    </w:p>
    <w:p w:rsidR="00454950" w:rsidRPr="00454950" w:rsidRDefault="00454950" w:rsidP="00980876">
      <w:pPr>
        <w:widowControl w:val="0"/>
        <w:numPr>
          <w:ilvl w:val="0"/>
          <w:numId w:val="262"/>
        </w:numPr>
        <w:tabs>
          <w:tab w:val="num" w:pos="360"/>
        </w:tabs>
        <w:spacing w:before="120" w:after="120" w:line="240" w:lineRule="auto"/>
        <w:ind w:left="426" w:hanging="142"/>
        <w:jc w:val="both"/>
        <w:rPr>
          <w:rFonts w:ascii="Times New Roman" w:eastAsia="Times New Roman" w:hAnsi="Times New Roman" w:cs="Times New Roman"/>
          <w:bCs/>
        </w:rPr>
      </w:pPr>
      <w:r w:rsidRPr="00454950">
        <w:rPr>
          <w:rFonts w:ascii="Times New Roman" w:eastAsia="Times New Roman" w:hAnsi="Times New Roman" w:cs="Times New Roman"/>
          <w:b/>
          <w:bCs/>
        </w:rPr>
        <w:t xml:space="preserve">A tantárgy meghirdetésének gyakorisága/a tantervben történő félévi elhelyezkedése: </w:t>
      </w:r>
      <w:r w:rsidRPr="00454950">
        <w:rPr>
          <w:rFonts w:ascii="Times New Roman" w:eastAsia="Times New Roman" w:hAnsi="Times New Roman" w:cs="Times New Roman"/>
          <w:bCs/>
        </w:rPr>
        <w:t>5. félév</w:t>
      </w:r>
    </w:p>
    <w:p w:rsidR="00454950" w:rsidRPr="00454950" w:rsidRDefault="00454950" w:rsidP="00980876">
      <w:pPr>
        <w:widowControl w:val="0"/>
        <w:numPr>
          <w:ilvl w:val="0"/>
          <w:numId w:val="262"/>
        </w:numPr>
        <w:tabs>
          <w:tab w:val="num" w:pos="360"/>
        </w:tabs>
        <w:spacing w:before="120" w:after="120" w:line="240" w:lineRule="auto"/>
        <w:ind w:left="426" w:hanging="142"/>
        <w:jc w:val="both"/>
        <w:rPr>
          <w:rFonts w:ascii="Times New Roman" w:eastAsia="Times New Roman" w:hAnsi="Times New Roman" w:cs="Times New Roman"/>
          <w:bCs/>
        </w:rPr>
      </w:pPr>
      <w:r w:rsidRPr="00454950">
        <w:rPr>
          <w:rFonts w:ascii="Times New Roman" w:eastAsia="Times New Roman" w:hAnsi="Times New Roman" w:cs="Times New Roman"/>
          <w:b/>
          <w:bCs/>
        </w:rPr>
        <w:t>A tanórákon való részvétel követelményei, az elfogadható hiányzások mértéke, a távolmaradás pótlásának lehetősége:</w:t>
      </w:r>
      <w:r w:rsidRPr="00454950">
        <w:rPr>
          <w:rFonts w:ascii="Times New Roman" w:eastAsia="Times New Roman" w:hAnsi="Times New Roman" w:cs="Times New Roman"/>
          <w:bCs/>
        </w:rPr>
        <w:t xml:space="preserve"> </w:t>
      </w:r>
    </w:p>
    <w:p w:rsidR="00454950" w:rsidRPr="00454950" w:rsidRDefault="00454950" w:rsidP="00454950">
      <w:pPr>
        <w:widowControl w:val="0"/>
        <w:spacing w:before="120" w:after="120" w:line="240" w:lineRule="auto"/>
        <w:ind w:left="426"/>
        <w:jc w:val="both"/>
        <w:rPr>
          <w:rFonts w:ascii="Times New Roman" w:eastAsia="Times New Roman" w:hAnsi="Times New Roman" w:cs="Times New Roman"/>
          <w:bCs/>
          <w:highlight w:val="lightGray"/>
        </w:rPr>
      </w:pPr>
      <w:r w:rsidRPr="00454950">
        <w:rPr>
          <w:rFonts w:ascii="Times New Roman" w:eastAsia="Times New Roman" w:hAnsi="Times New Roman" w:cs="Times New Roman"/>
          <w:bCs/>
          <w:lang w:eastAsia="hu-HU"/>
        </w:rPr>
        <w:t>A tanórákon való részvétel kötelező, megengedett hiányzás mértéke 25%. Hiányzás esetén órapótlásra nincs lehetőség, a hallgató az előadás anyagát önállóan pótolja. A 25%-ot meghaladó hiányzás az aláírás megtagadását vonja maga után.</w:t>
      </w:r>
    </w:p>
    <w:p w:rsidR="00454950" w:rsidRPr="00454950" w:rsidRDefault="00454950" w:rsidP="00980876">
      <w:pPr>
        <w:widowControl w:val="0"/>
        <w:numPr>
          <w:ilvl w:val="0"/>
          <w:numId w:val="262"/>
        </w:numPr>
        <w:tabs>
          <w:tab w:val="num" w:pos="360"/>
        </w:tabs>
        <w:spacing w:before="120" w:after="120" w:line="240" w:lineRule="auto"/>
        <w:ind w:left="426" w:hanging="142"/>
        <w:jc w:val="both"/>
        <w:rPr>
          <w:rFonts w:ascii="Times New Roman" w:eastAsia="Times New Roman" w:hAnsi="Times New Roman" w:cs="Times New Roman"/>
          <w:bCs/>
        </w:rPr>
      </w:pPr>
      <w:r w:rsidRPr="00454950">
        <w:rPr>
          <w:rFonts w:ascii="Times New Roman" w:eastAsia="Times New Roman" w:hAnsi="Times New Roman" w:cs="Times New Roman"/>
          <w:b/>
        </w:rPr>
        <w:t>Félévközi feladatok, ismeretek ellenőrzésének rendje:</w:t>
      </w:r>
      <w:r w:rsidRPr="00454950">
        <w:rPr>
          <w:rFonts w:ascii="Times New Roman" w:eastAsia="Times New Roman" w:hAnsi="Times New Roman" w:cs="Times New Roman"/>
          <w:bCs/>
        </w:rPr>
        <w:t xml:space="preserve"> </w:t>
      </w:r>
    </w:p>
    <w:p w:rsidR="00454950" w:rsidRPr="00454950" w:rsidRDefault="00454950" w:rsidP="00454950">
      <w:pPr>
        <w:widowControl w:val="0"/>
        <w:spacing w:before="120" w:after="120" w:line="240" w:lineRule="auto"/>
        <w:ind w:left="426"/>
        <w:jc w:val="both"/>
        <w:rPr>
          <w:rFonts w:ascii="Times New Roman" w:eastAsia="Times New Roman" w:hAnsi="Times New Roman" w:cs="Times New Roman"/>
          <w:lang w:eastAsia="x-none"/>
        </w:rPr>
      </w:pPr>
      <w:r w:rsidRPr="00454950">
        <w:rPr>
          <w:rFonts w:ascii="Times New Roman" w:eastAsia="Times New Roman" w:hAnsi="Times New Roman" w:cs="Times New Roman"/>
          <w:lang w:val="x-none" w:eastAsia="x-none"/>
        </w:rPr>
        <w:t xml:space="preserve">A félév során </w:t>
      </w:r>
      <w:r w:rsidRPr="00454950">
        <w:rPr>
          <w:rFonts w:ascii="Times New Roman" w:eastAsia="Times New Roman" w:hAnsi="Times New Roman" w:cs="Times New Roman"/>
          <w:lang w:eastAsia="x-none"/>
        </w:rPr>
        <w:t>két</w:t>
      </w:r>
      <w:r w:rsidRPr="00454950">
        <w:rPr>
          <w:rFonts w:ascii="Times New Roman" w:eastAsia="Times New Roman" w:hAnsi="Times New Roman" w:cs="Times New Roman"/>
          <w:lang w:val="x-none" w:eastAsia="x-none"/>
        </w:rPr>
        <w:t xml:space="preserve"> zárthelyi dolgozatot ke</w:t>
      </w:r>
      <w:r w:rsidRPr="00454950">
        <w:rPr>
          <w:rFonts w:ascii="Times New Roman" w:eastAsia="Times New Roman" w:hAnsi="Times New Roman" w:cs="Times New Roman"/>
          <w:lang w:eastAsia="x-none"/>
        </w:rPr>
        <w:t>l</w:t>
      </w:r>
      <w:r w:rsidRPr="00454950">
        <w:rPr>
          <w:rFonts w:ascii="Times New Roman" w:eastAsia="Times New Roman" w:hAnsi="Times New Roman" w:cs="Times New Roman"/>
          <w:lang w:val="x-none" w:eastAsia="x-none"/>
        </w:rPr>
        <w:t>l megír</w:t>
      </w:r>
      <w:r w:rsidRPr="00454950">
        <w:rPr>
          <w:rFonts w:ascii="Times New Roman" w:eastAsia="Times New Roman" w:hAnsi="Times New Roman" w:cs="Times New Roman"/>
          <w:lang w:eastAsia="x-none"/>
        </w:rPr>
        <w:t>ni</w:t>
      </w:r>
      <w:r w:rsidRPr="00454950">
        <w:rPr>
          <w:rFonts w:ascii="Times New Roman" w:eastAsia="Times New Roman" w:hAnsi="Times New Roman" w:cs="Times New Roman"/>
          <w:lang w:val="x-none" w:eastAsia="x-none"/>
        </w:rPr>
        <w:t xml:space="preserve">. </w:t>
      </w:r>
      <w:r w:rsidRPr="00454950">
        <w:rPr>
          <w:rFonts w:ascii="Times New Roman" w:eastAsia="Times New Roman" w:hAnsi="Times New Roman" w:cs="Times New Roman"/>
          <w:lang w:eastAsia="x-none"/>
        </w:rPr>
        <w:t xml:space="preserve">A zárthelyi dolgozatok ötfokozatú skálán értékelendők, 50%+1 pont elégséges, 60% közepes, 75% jó, 90% jeles. </w:t>
      </w:r>
      <w:r w:rsidRPr="00454950">
        <w:rPr>
          <w:rFonts w:ascii="Times New Roman" w:eastAsia="Times New Roman" w:hAnsi="Times New Roman" w:cs="Times New Roman"/>
          <w:lang w:val="x-none" w:eastAsia="x-none"/>
        </w:rPr>
        <w:t xml:space="preserve">Az elégtelen osztályzatra értékelt dolgozatot a szorgalmi és a vizsgaidőszakban is egy-egy alkalommal lehet pótolni. </w:t>
      </w:r>
    </w:p>
    <w:p w:rsidR="00454950" w:rsidRPr="00454950" w:rsidRDefault="00454950" w:rsidP="00980876">
      <w:pPr>
        <w:widowControl w:val="0"/>
        <w:numPr>
          <w:ilvl w:val="0"/>
          <w:numId w:val="262"/>
        </w:numPr>
        <w:spacing w:before="120" w:after="120" w:line="240" w:lineRule="auto"/>
        <w:ind w:left="426" w:hanging="142"/>
        <w:jc w:val="both"/>
        <w:rPr>
          <w:rFonts w:ascii="Times New Roman" w:eastAsia="Times New Roman" w:hAnsi="Times New Roman" w:cs="Times New Roman"/>
          <w:b/>
          <w:bCs/>
        </w:rPr>
      </w:pPr>
      <w:r w:rsidRPr="00454950">
        <w:rPr>
          <w:rFonts w:ascii="Times New Roman" w:eastAsia="Times New Roman" w:hAnsi="Times New Roman" w:cs="Times New Roman"/>
          <w:b/>
          <w:bCs/>
        </w:rPr>
        <w:t xml:space="preserve">Az értékelés, az aláírás és a kreditek megszerzésének pontos feltételei: </w:t>
      </w:r>
    </w:p>
    <w:p w:rsidR="00454950" w:rsidRPr="00454950" w:rsidRDefault="00454950" w:rsidP="00980876">
      <w:pPr>
        <w:widowControl w:val="0"/>
        <w:numPr>
          <w:ilvl w:val="1"/>
          <w:numId w:val="262"/>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454950">
        <w:rPr>
          <w:rFonts w:ascii="Times New Roman" w:eastAsia="Times New Roman" w:hAnsi="Times New Roman" w:cs="Times New Roman"/>
          <w:b/>
        </w:rPr>
        <w:t>Az aláírás megszerzésének feltételei:</w:t>
      </w:r>
      <w:r w:rsidRPr="00454950">
        <w:rPr>
          <w:rFonts w:ascii="Times New Roman" w:eastAsia="Times New Roman" w:hAnsi="Times New Roman" w:cs="Times New Roman"/>
        </w:rPr>
        <w:t xml:space="preserve"> </w:t>
      </w:r>
    </w:p>
    <w:p w:rsidR="00454950" w:rsidRPr="00454950" w:rsidRDefault="00454950" w:rsidP="00454950">
      <w:pPr>
        <w:spacing w:before="120"/>
        <w:ind w:left="426"/>
        <w:jc w:val="both"/>
        <w:rPr>
          <w:rFonts w:ascii="Times New Roman" w:hAnsi="Times New Roman" w:cs="Times New Roman"/>
        </w:rPr>
      </w:pPr>
      <w:r w:rsidRPr="00454950">
        <w:rPr>
          <w:rFonts w:ascii="Times New Roman" w:hAnsi="Times New Roman" w:cs="Times New Roman"/>
        </w:rPr>
        <w:t xml:space="preserve">Az aláírás megszerzésnek feltétele a zárthelyi dolgozatok egyenként legalább elégséges szinten történő teljesítése (min </w:t>
      </w:r>
      <w:r w:rsidRPr="00454950">
        <w:rPr>
          <w:rFonts w:ascii="Times New Roman" w:eastAsia="Times New Roman" w:hAnsi="Times New Roman" w:cs="Times New Roman"/>
          <w:lang w:eastAsia="x-none"/>
        </w:rPr>
        <w:t>50%+1 pont</w:t>
      </w:r>
      <w:r w:rsidRPr="00454950">
        <w:rPr>
          <w:rFonts w:ascii="Times New Roman" w:hAnsi="Times New Roman" w:cs="Times New Roman"/>
        </w:rPr>
        <w:t>), illetve a tanórák legalább 75%-án való megjelenés.</w:t>
      </w:r>
    </w:p>
    <w:p w:rsidR="00454950" w:rsidRPr="00454950" w:rsidRDefault="00454950" w:rsidP="00980876">
      <w:pPr>
        <w:widowControl w:val="0"/>
        <w:numPr>
          <w:ilvl w:val="1"/>
          <w:numId w:val="262"/>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454950">
        <w:rPr>
          <w:rFonts w:ascii="Times New Roman" w:eastAsia="Times New Roman" w:hAnsi="Times New Roman" w:cs="Times New Roman"/>
          <w:b/>
        </w:rPr>
        <w:t>Az értékelés:</w:t>
      </w:r>
      <w:r w:rsidRPr="00454950">
        <w:rPr>
          <w:rFonts w:ascii="Times New Roman" w:eastAsia="Times New Roman" w:hAnsi="Times New Roman" w:cs="Times New Roman"/>
        </w:rPr>
        <w:t xml:space="preserve"> </w:t>
      </w:r>
    </w:p>
    <w:p w:rsidR="00454950" w:rsidRPr="00454950" w:rsidRDefault="00454950" w:rsidP="00454950">
      <w:pPr>
        <w:spacing w:before="120"/>
        <w:ind w:left="426"/>
        <w:jc w:val="both"/>
        <w:rPr>
          <w:rFonts w:ascii="Times New Roman" w:hAnsi="Times New Roman" w:cs="Times New Roman"/>
          <w:b/>
        </w:rPr>
      </w:pPr>
      <w:r w:rsidRPr="00454950">
        <w:rPr>
          <w:rFonts w:ascii="Times New Roman" w:hAnsi="Times New Roman" w:cs="Times New Roman"/>
        </w:rPr>
        <w:t xml:space="preserve">A tárgy </w:t>
      </w:r>
      <w:r w:rsidRPr="00454950">
        <w:rPr>
          <w:rFonts w:ascii="Times New Roman" w:hAnsi="Times New Roman" w:cs="Times New Roman"/>
          <w:b/>
        </w:rPr>
        <w:t>félévközi értékeléssel</w:t>
      </w:r>
      <w:r w:rsidRPr="00454950">
        <w:rPr>
          <w:rFonts w:ascii="Times New Roman" w:hAnsi="Times New Roman" w:cs="Times New Roman"/>
        </w:rPr>
        <w:t xml:space="preserve"> zárul, amelynek érdemjegyét a zárthelyi dolgozatok kerekített matematikai átlaga alapján kell meghatározni, és amibe az órai munka beszámítható. Kétes jegy esetén (pl. 3,5) a második zárthelyi dolgozat jegyét súlyozottan kell beszámítani.</w:t>
      </w:r>
    </w:p>
    <w:p w:rsidR="00454950" w:rsidRPr="003A0586" w:rsidRDefault="00454950" w:rsidP="00980876">
      <w:pPr>
        <w:widowControl w:val="0"/>
        <w:numPr>
          <w:ilvl w:val="1"/>
          <w:numId w:val="262"/>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3A0586">
        <w:rPr>
          <w:rFonts w:ascii="Times New Roman" w:eastAsia="Times New Roman" w:hAnsi="Times New Roman" w:cs="Times New Roman"/>
          <w:b/>
        </w:rPr>
        <w:t>A kreditek megszerzésének feltételei:</w:t>
      </w:r>
      <w:r w:rsidRPr="003A0586">
        <w:rPr>
          <w:rFonts w:ascii="Times New Roman" w:eastAsia="Times New Roman" w:hAnsi="Times New Roman" w:cs="Times New Roman"/>
        </w:rPr>
        <w:t xml:space="preserve"> A kreditek megszerzésének feltétele az aláírás megszerzése és legalább elégséges félévközi jegy.</w:t>
      </w:r>
    </w:p>
    <w:p w:rsidR="00454950" w:rsidRPr="00454950" w:rsidRDefault="00454950" w:rsidP="00980876">
      <w:pPr>
        <w:widowControl w:val="0"/>
        <w:numPr>
          <w:ilvl w:val="0"/>
          <w:numId w:val="262"/>
        </w:numPr>
        <w:tabs>
          <w:tab w:val="num" w:pos="360"/>
        </w:tabs>
        <w:spacing w:before="120" w:after="120" w:line="240" w:lineRule="auto"/>
        <w:ind w:left="426" w:hanging="142"/>
        <w:jc w:val="both"/>
        <w:rPr>
          <w:rFonts w:ascii="Times New Roman" w:eastAsia="Times New Roman" w:hAnsi="Times New Roman" w:cs="Times New Roman"/>
          <w:bCs/>
        </w:rPr>
      </w:pPr>
      <w:r w:rsidRPr="00454950">
        <w:rPr>
          <w:rFonts w:ascii="Times New Roman" w:eastAsia="Times New Roman" w:hAnsi="Times New Roman" w:cs="Times New Roman"/>
          <w:b/>
          <w:bCs/>
        </w:rPr>
        <w:t>Irodalomjegyzék:</w:t>
      </w:r>
    </w:p>
    <w:p w:rsidR="00454950" w:rsidRPr="00454950" w:rsidRDefault="00454950" w:rsidP="00980876">
      <w:pPr>
        <w:widowControl w:val="0"/>
        <w:numPr>
          <w:ilvl w:val="1"/>
          <w:numId w:val="262"/>
        </w:numPr>
        <w:tabs>
          <w:tab w:val="left" w:pos="567"/>
          <w:tab w:val="left" w:pos="851"/>
          <w:tab w:val="num" w:pos="2069"/>
        </w:tabs>
        <w:spacing w:before="120" w:after="120" w:line="240" w:lineRule="auto"/>
        <w:ind w:left="426" w:hanging="142"/>
        <w:jc w:val="both"/>
        <w:rPr>
          <w:rFonts w:ascii="Times New Roman" w:eastAsia="Times New Roman" w:hAnsi="Times New Roman" w:cs="Times New Roman"/>
          <w:bCs/>
        </w:rPr>
      </w:pPr>
      <w:r w:rsidRPr="00454950">
        <w:rPr>
          <w:rFonts w:ascii="Times New Roman" w:eastAsia="Times New Roman" w:hAnsi="Times New Roman" w:cs="Times New Roman"/>
          <w:b/>
          <w:bCs/>
        </w:rPr>
        <w:t>Kötelező irodalom:</w:t>
      </w:r>
    </w:p>
    <w:p w:rsidR="004A1361" w:rsidRPr="00454950" w:rsidRDefault="004A1361" w:rsidP="00980876">
      <w:pPr>
        <w:pStyle w:val="Listaszerbekezds"/>
        <w:numPr>
          <w:ilvl w:val="0"/>
          <w:numId w:val="261"/>
        </w:numPr>
        <w:spacing w:after="0" w:line="240" w:lineRule="auto"/>
        <w:ind w:left="709"/>
        <w:jc w:val="both"/>
        <w:rPr>
          <w:rFonts w:ascii="Times New Roman" w:hAnsi="Times New Roman" w:cs="Times New Roman"/>
        </w:rPr>
      </w:pPr>
      <w:r w:rsidRPr="00454950">
        <w:rPr>
          <w:rFonts w:ascii="Times New Roman" w:hAnsi="Times New Roman" w:cs="Times New Roman"/>
        </w:rPr>
        <w:t>Gyarmati József: Járművek szerkezete I. (NKE Szolgáltató Nonprofit Kft, Budapest, 2016)</w:t>
      </w:r>
    </w:p>
    <w:p w:rsidR="004A1361" w:rsidRPr="00454950" w:rsidRDefault="004A1361" w:rsidP="00980876">
      <w:pPr>
        <w:pStyle w:val="Listaszerbekezds"/>
        <w:numPr>
          <w:ilvl w:val="0"/>
          <w:numId w:val="261"/>
        </w:numPr>
        <w:spacing w:after="0" w:line="240" w:lineRule="auto"/>
        <w:ind w:left="709"/>
        <w:jc w:val="both"/>
        <w:rPr>
          <w:rFonts w:ascii="Times New Roman" w:hAnsi="Times New Roman" w:cs="Times New Roman"/>
        </w:rPr>
      </w:pPr>
      <w:r w:rsidRPr="00454950">
        <w:rPr>
          <w:rFonts w:ascii="Times New Roman" w:hAnsi="Times New Roman" w:cs="Times New Roman"/>
        </w:rPr>
        <w:t>Vég Róbert: Áruszállító járművek I. (ZMNE Egyetemi jegyzet, Budapest, 2003.)</w:t>
      </w:r>
    </w:p>
    <w:p w:rsidR="004A1361" w:rsidRPr="00454950" w:rsidRDefault="004A1361" w:rsidP="00980876">
      <w:pPr>
        <w:pStyle w:val="Listaszerbekezds"/>
        <w:numPr>
          <w:ilvl w:val="0"/>
          <w:numId w:val="261"/>
        </w:numPr>
        <w:spacing w:after="0" w:line="240" w:lineRule="auto"/>
        <w:ind w:left="709"/>
        <w:jc w:val="both"/>
        <w:rPr>
          <w:rFonts w:ascii="Times New Roman" w:hAnsi="Times New Roman" w:cs="Times New Roman"/>
        </w:rPr>
      </w:pPr>
      <w:r w:rsidRPr="00454950">
        <w:rPr>
          <w:rFonts w:ascii="Times New Roman" w:hAnsi="Times New Roman" w:cs="Times New Roman"/>
        </w:rPr>
        <w:t>Vég Róbert: Áruszállító járművek II. (ZMNE Egyetemi jegyzet, Budapest, 2004.)</w:t>
      </w:r>
    </w:p>
    <w:p w:rsidR="00454950" w:rsidRPr="00454950" w:rsidRDefault="00454950" w:rsidP="00980876">
      <w:pPr>
        <w:widowControl w:val="0"/>
        <w:numPr>
          <w:ilvl w:val="1"/>
          <w:numId w:val="262"/>
        </w:numPr>
        <w:tabs>
          <w:tab w:val="num" w:pos="567"/>
          <w:tab w:val="num" w:pos="2069"/>
        </w:tabs>
        <w:spacing w:before="120" w:after="120" w:line="240" w:lineRule="auto"/>
        <w:ind w:left="993" w:hanging="709"/>
        <w:jc w:val="both"/>
        <w:rPr>
          <w:rFonts w:ascii="Times New Roman" w:eastAsia="Times New Roman" w:hAnsi="Times New Roman" w:cs="Times New Roman"/>
          <w:b/>
          <w:bCs/>
        </w:rPr>
      </w:pPr>
      <w:r w:rsidRPr="00454950">
        <w:rPr>
          <w:rFonts w:ascii="Times New Roman" w:eastAsia="Times New Roman" w:hAnsi="Times New Roman" w:cs="Times New Roman"/>
          <w:b/>
          <w:bCs/>
        </w:rPr>
        <w:t>Ajánlott irodalom:</w:t>
      </w:r>
    </w:p>
    <w:p w:rsidR="00454950" w:rsidRPr="00454950" w:rsidRDefault="00454950" w:rsidP="00980876">
      <w:pPr>
        <w:pStyle w:val="Listaszerbekezds"/>
        <w:numPr>
          <w:ilvl w:val="0"/>
          <w:numId w:val="263"/>
        </w:numPr>
        <w:spacing w:after="0" w:line="240" w:lineRule="auto"/>
        <w:ind w:left="709"/>
        <w:jc w:val="both"/>
        <w:rPr>
          <w:rFonts w:ascii="Times New Roman" w:hAnsi="Times New Roman" w:cs="Times New Roman"/>
        </w:rPr>
      </w:pPr>
      <w:r w:rsidRPr="00454950">
        <w:rPr>
          <w:rFonts w:ascii="Times New Roman" w:hAnsi="Times New Roman" w:cs="Times New Roman"/>
        </w:rPr>
        <w:t>Kalmár István – Stukovszky Zsolt: Belsőégésű motorok folyamatai (Műegyetemi Kiadó, Budapest 1998.)</w:t>
      </w:r>
    </w:p>
    <w:p w:rsidR="00454950" w:rsidRPr="00454950" w:rsidRDefault="00454950" w:rsidP="00980876">
      <w:pPr>
        <w:pStyle w:val="Listaszerbekezds"/>
        <w:numPr>
          <w:ilvl w:val="0"/>
          <w:numId w:val="263"/>
        </w:numPr>
        <w:spacing w:after="0" w:line="240" w:lineRule="auto"/>
        <w:ind w:left="709"/>
        <w:jc w:val="both"/>
        <w:rPr>
          <w:rFonts w:ascii="Times New Roman" w:hAnsi="Times New Roman" w:cs="Times New Roman"/>
        </w:rPr>
      </w:pPr>
      <w:r w:rsidRPr="00454950">
        <w:rPr>
          <w:rFonts w:ascii="Times New Roman" w:hAnsi="Times New Roman" w:cs="Times New Roman"/>
        </w:rPr>
        <w:t>Nézner László: Gépjármű-szerkezettan (Műszaki Könyvkiadó Budapest 1993.)</w:t>
      </w:r>
    </w:p>
    <w:p w:rsidR="00454950" w:rsidRPr="00454950" w:rsidRDefault="00454950" w:rsidP="00980876">
      <w:pPr>
        <w:pStyle w:val="Listaszerbekezds"/>
        <w:numPr>
          <w:ilvl w:val="0"/>
          <w:numId w:val="263"/>
        </w:numPr>
        <w:spacing w:after="0" w:line="240" w:lineRule="auto"/>
        <w:ind w:left="709"/>
        <w:jc w:val="both"/>
        <w:rPr>
          <w:rFonts w:ascii="Times New Roman" w:hAnsi="Times New Roman" w:cs="Times New Roman"/>
        </w:rPr>
      </w:pPr>
      <w:r w:rsidRPr="00454950">
        <w:rPr>
          <w:rFonts w:ascii="Times New Roman" w:hAnsi="Times New Roman" w:cs="Times New Roman"/>
        </w:rPr>
        <w:t>Wilfried- Staudt: Gépjárműtechnika (OMAR Könyvkiadó, Székesfehérvár, 1992.)</w:t>
      </w:r>
    </w:p>
    <w:p w:rsidR="00454950" w:rsidRPr="00454950" w:rsidRDefault="00454950" w:rsidP="00454950">
      <w:pPr>
        <w:pStyle w:val="Listaszerbekezds"/>
        <w:widowControl w:val="0"/>
        <w:spacing w:after="0" w:line="240" w:lineRule="auto"/>
        <w:jc w:val="both"/>
        <w:rPr>
          <w:rFonts w:ascii="Times New Roman" w:eastAsia="Times New Roman" w:hAnsi="Times New Roman" w:cs="Times New Roman"/>
          <w:highlight w:val="lightGray"/>
        </w:rPr>
      </w:pPr>
    </w:p>
    <w:p w:rsidR="00454950" w:rsidRPr="00AC403B" w:rsidRDefault="00454950" w:rsidP="00454950">
      <w:pPr>
        <w:widowControl w:val="0"/>
        <w:spacing w:before="120" w:after="120" w:line="240" w:lineRule="auto"/>
        <w:jc w:val="both"/>
        <w:rPr>
          <w:rFonts w:ascii="Times New Roman" w:eastAsia="Times New Roman" w:hAnsi="Times New Roman" w:cs="Times New Roman"/>
          <w:bCs/>
        </w:rPr>
      </w:pPr>
      <w:r>
        <w:rPr>
          <w:rFonts w:ascii="Times New Roman" w:eastAsia="Times New Roman" w:hAnsi="Times New Roman" w:cs="Times New Roman"/>
          <w:bCs/>
        </w:rPr>
        <w:t>Budapest 2020. március     -n</w:t>
      </w:r>
    </w:p>
    <w:p w:rsidR="00454950" w:rsidRPr="004A4C51" w:rsidRDefault="00454950" w:rsidP="00454950">
      <w:pPr>
        <w:tabs>
          <w:tab w:val="right" w:pos="900"/>
        </w:tabs>
        <w:spacing w:after="0"/>
        <w:rPr>
          <w:rFonts w:ascii="Times New Roman" w:hAnsi="Times New Roman" w:cs="Times New Roman"/>
          <w:bCs/>
          <w:lang w:val="x-none" w:eastAsia="x-none"/>
        </w:rPr>
      </w:pPr>
      <w:r w:rsidRPr="004A4C51">
        <w:rPr>
          <w:rFonts w:ascii="Times New Roman" w:hAnsi="Times New Roman" w:cs="Times New Roman"/>
          <w:lang w:eastAsia="x-none"/>
        </w:rPr>
        <w:tab/>
      </w:r>
      <w:r w:rsidRPr="004A4C51">
        <w:rPr>
          <w:rFonts w:ascii="Times New Roman" w:hAnsi="Times New Roman" w:cs="Times New Roman"/>
          <w:lang w:eastAsia="x-none"/>
        </w:rPr>
        <w:tab/>
      </w:r>
      <w:r w:rsidRPr="004A4C51">
        <w:rPr>
          <w:rFonts w:ascii="Times New Roman" w:hAnsi="Times New Roman" w:cs="Times New Roman"/>
          <w:lang w:eastAsia="x-none"/>
        </w:rPr>
        <w:tab/>
      </w:r>
      <w:r w:rsidRPr="004A4C51">
        <w:rPr>
          <w:rFonts w:ascii="Times New Roman" w:hAnsi="Times New Roman" w:cs="Times New Roman"/>
          <w:lang w:eastAsia="x-none"/>
        </w:rPr>
        <w:tab/>
      </w:r>
      <w:r w:rsidRPr="004A4C51">
        <w:rPr>
          <w:rFonts w:ascii="Times New Roman" w:hAnsi="Times New Roman" w:cs="Times New Roman"/>
          <w:lang w:eastAsia="x-none"/>
        </w:rPr>
        <w:tab/>
      </w:r>
      <w:r w:rsidRPr="004A4C51">
        <w:rPr>
          <w:rFonts w:ascii="Times New Roman" w:hAnsi="Times New Roman" w:cs="Times New Roman"/>
          <w:lang w:eastAsia="x-none"/>
        </w:rPr>
        <w:tab/>
        <w:t xml:space="preserve">  </w:t>
      </w:r>
      <w:r w:rsidRPr="004A4C51">
        <w:rPr>
          <w:rFonts w:ascii="Times New Roman" w:hAnsi="Times New Roman" w:cs="Times New Roman"/>
          <w:lang w:eastAsia="x-none"/>
        </w:rPr>
        <w:tab/>
        <w:t xml:space="preserve">         Dr. Fábos Róbert, PhD</w:t>
      </w:r>
    </w:p>
    <w:p w:rsidR="00454950" w:rsidRPr="004A4C51" w:rsidRDefault="004A4C51" w:rsidP="00454950">
      <w:pPr>
        <w:spacing w:after="0"/>
        <w:ind w:left="5672" w:firstLine="709"/>
        <w:rPr>
          <w:rFonts w:ascii="Times New Roman" w:hAnsi="Times New Roman" w:cs="Times New Roman"/>
          <w:bCs/>
        </w:rPr>
      </w:pPr>
      <w:r w:rsidRPr="004A4C51">
        <w:rPr>
          <w:rFonts w:ascii="Times New Roman" w:hAnsi="Times New Roman" w:cs="Times New Roman"/>
          <w:lang w:eastAsia="x-none"/>
        </w:rPr>
        <w:t>adjunktus</w:t>
      </w:r>
      <w:r w:rsidRPr="004A4C51">
        <w:rPr>
          <w:rFonts w:ascii="Times New Roman" w:hAnsi="Times New Roman" w:cs="Times New Roman"/>
          <w:bCs/>
        </w:rPr>
        <w:t xml:space="preserve"> </w:t>
      </w:r>
      <w:r>
        <w:rPr>
          <w:rFonts w:ascii="Times New Roman" w:hAnsi="Times New Roman" w:cs="Times New Roman"/>
          <w:bCs/>
        </w:rPr>
        <w:t>sk.</w:t>
      </w:r>
    </w:p>
    <w:p w:rsidR="003A0586" w:rsidRPr="00454950" w:rsidRDefault="003A0586" w:rsidP="00454950">
      <w:pPr>
        <w:spacing w:after="0"/>
        <w:ind w:left="5672" w:firstLine="709"/>
        <w:rPr>
          <w:rFonts w:ascii="Times New Roman" w:hAnsi="Times New Roman" w:cs="Times New Roman"/>
          <w:bCs/>
        </w:rPr>
      </w:pPr>
    </w:p>
    <w:tbl>
      <w:tblPr>
        <w:tblW w:w="9072" w:type="dxa"/>
        <w:tblInd w:w="113" w:type="dxa"/>
        <w:tblLook w:val="01E0" w:firstRow="1" w:lastRow="1" w:firstColumn="1" w:lastColumn="1" w:noHBand="0" w:noVBand="0"/>
      </w:tblPr>
      <w:tblGrid>
        <w:gridCol w:w="4855"/>
        <w:gridCol w:w="1620"/>
        <w:gridCol w:w="2597"/>
      </w:tblGrid>
      <w:tr w:rsidR="00C23F6C" w:rsidRPr="00C23F6C" w:rsidTr="00604838">
        <w:tc>
          <w:tcPr>
            <w:tcW w:w="4855" w:type="dxa"/>
            <w:tcBorders>
              <w:bottom w:val="single" w:sz="4" w:space="0" w:color="auto"/>
            </w:tcBorders>
          </w:tcPr>
          <w:p w:rsidR="00C23F6C" w:rsidRPr="00C23F6C" w:rsidRDefault="00C23F6C" w:rsidP="00604838">
            <w:pPr>
              <w:spacing w:after="0" w:line="240" w:lineRule="auto"/>
              <w:jc w:val="center"/>
              <w:rPr>
                <w:rFonts w:ascii="Times New Roman" w:eastAsia="Times New Roman" w:hAnsi="Times New Roman" w:cs="Times New Roman"/>
                <w:b/>
                <w:smallCaps/>
                <w:lang w:eastAsia="hu-HU"/>
              </w:rPr>
            </w:pPr>
            <w:r w:rsidRPr="00C23F6C">
              <w:rPr>
                <w:rFonts w:ascii="Times New Roman" w:eastAsia="Times New Roman" w:hAnsi="Times New Roman" w:cs="Times New Roman"/>
                <w:b/>
                <w:smallCaps/>
                <w:lang w:eastAsia="hu-HU"/>
              </w:rPr>
              <w:lastRenderedPageBreak/>
              <w:t>Nemzeti Közszolgálati Egyetem</w:t>
            </w:r>
          </w:p>
        </w:tc>
        <w:tc>
          <w:tcPr>
            <w:tcW w:w="1620" w:type="dxa"/>
          </w:tcPr>
          <w:p w:rsidR="00C23F6C" w:rsidRPr="00C23F6C" w:rsidRDefault="00C23F6C" w:rsidP="00604838">
            <w:pPr>
              <w:spacing w:after="0" w:line="240" w:lineRule="auto"/>
              <w:jc w:val="both"/>
              <w:rPr>
                <w:rFonts w:ascii="Times New Roman" w:eastAsia="Times New Roman" w:hAnsi="Times New Roman" w:cs="Times New Roman"/>
                <w:lang w:eastAsia="hu-HU"/>
              </w:rPr>
            </w:pPr>
          </w:p>
        </w:tc>
        <w:tc>
          <w:tcPr>
            <w:tcW w:w="2597" w:type="dxa"/>
          </w:tcPr>
          <w:p w:rsidR="00C23F6C" w:rsidRPr="00C23F6C" w:rsidRDefault="00C23F6C" w:rsidP="00604838">
            <w:pPr>
              <w:spacing w:after="0" w:line="240" w:lineRule="auto"/>
              <w:jc w:val="right"/>
              <w:rPr>
                <w:rFonts w:ascii="Times New Roman" w:eastAsia="Times New Roman" w:hAnsi="Times New Roman" w:cs="Times New Roman"/>
                <w:lang w:eastAsia="hu-HU"/>
              </w:rPr>
            </w:pPr>
          </w:p>
        </w:tc>
      </w:tr>
      <w:tr w:rsidR="00C23F6C" w:rsidRPr="00C23F6C" w:rsidTr="00604838">
        <w:tc>
          <w:tcPr>
            <w:tcW w:w="4855" w:type="dxa"/>
            <w:tcBorders>
              <w:top w:val="single" w:sz="4" w:space="0" w:color="auto"/>
            </w:tcBorders>
          </w:tcPr>
          <w:p w:rsidR="00C23F6C" w:rsidRPr="00C23F6C" w:rsidRDefault="00C23F6C" w:rsidP="00604838">
            <w:pPr>
              <w:spacing w:after="0" w:line="240" w:lineRule="auto"/>
              <w:jc w:val="center"/>
              <w:rPr>
                <w:rFonts w:ascii="Times New Roman" w:eastAsia="Times New Roman" w:hAnsi="Times New Roman" w:cs="Times New Roman"/>
                <w:b/>
                <w:lang w:eastAsia="hu-HU"/>
              </w:rPr>
            </w:pPr>
            <w:r w:rsidRPr="00C23F6C">
              <w:rPr>
                <w:rFonts w:ascii="Times New Roman" w:eastAsia="Times New Roman" w:hAnsi="Times New Roman" w:cs="Times New Roman"/>
                <w:b/>
                <w:lang w:eastAsia="hu-HU"/>
              </w:rPr>
              <w:t>Hadtudományi és Honvédtisztképző Kar</w:t>
            </w:r>
          </w:p>
        </w:tc>
        <w:tc>
          <w:tcPr>
            <w:tcW w:w="1620" w:type="dxa"/>
          </w:tcPr>
          <w:p w:rsidR="00C23F6C" w:rsidRPr="00C23F6C" w:rsidRDefault="00C23F6C" w:rsidP="00604838">
            <w:pPr>
              <w:spacing w:after="0" w:line="240" w:lineRule="auto"/>
              <w:jc w:val="both"/>
              <w:rPr>
                <w:rFonts w:ascii="Times New Roman" w:eastAsia="Times New Roman" w:hAnsi="Times New Roman" w:cs="Times New Roman"/>
                <w:lang w:eastAsia="hu-HU"/>
              </w:rPr>
            </w:pPr>
          </w:p>
        </w:tc>
        <w:tc>
          <w:tcPr>
            <w:tcW w:w="2597" w:type="dxa"/>
          </w:tcPr>
          <w:p w:rsidR="00C23F6C" w:rsidRPr="00C23F6C" w:rsidRDefault="00C23F6C" w:rsidP="00604838">
            <w:pPr>
              <w:spacing w:after="0" w:line="240" w:lineRule="auto"/>
              <w:jc w:val="both"/>
              <w:rPr>
                <w:rFonts w:ascii="Times New Roman" w:eastAsia="Times New Roman" w:hAnsi="Times New Roman" w:cs="Times New Roman"/>
                <w:lang w:eastAsia="hu-HU"/>
              </w:rPr>
            </w:pPr>
          </w:p>
        </w:tc>
      </w:tr>
    </w:tbl>
    <w:p w:rsidR="00C23F6C" w:rsidRPr="00C23F6C" w:rsidRDefault="00C23F6C" w:rsidP="00C23F6C">
      <w:pPr>
        <w:widowControl w:val="0"/>
        <w:spacing w:before="120" w:after="120" w:line="240" w:lineRule="auto"/>
        <w:ind w:left="426" w:hanging="142"/>
        <w:jc w:val="center"/>
        <w:rPr>
          <w:rFonts w:ascii="Times New Roman" w:eastAsia="Times New Roman" w:hAnsi="Times New Roman" w:cs="Times New Roman"/>
          <w:b/>
          <w:bCs/>
        </w:rPr>
      </w:pPr>
    </w:p>
    <w:p w:rsidR="00C23F6C" w:rsidRPr="00C23F6C" w:rsidRDefault="00C23F6C" w:rsidP="00C23F6C">
      <w:pPr>
        <w:widowControl w:val="0"/>
        <w:spacing w:before="120" w:after="120" w:line="240" w:lineRule="auto"/>
        <w:ind w:left="426" w:hanging="142"/>
        <w:jc w:val="center"/>
        <w:rPr>
          <w:rFonts w:ascii="Times New Roman" w:eastAsia="Times New Roman" w:hAnsi="Times New Roman" w:cs="Times New Roman"/>
          <w:b/>
          <w:bCs/>
        </w:rPr>
      </w:pPr>
      <w:r w:rsidRPr="00C23F6C">
        <w:rPr>
          <w:rFonts w:ascii="Times New Roman" w:eastAsia="Times New Roman" w:hAnsi="Times New Roman" w:cs="Times New Roman"/>
          <w:b/>
          <w:bCs/>
        </w:rPr>
        <w:t>TANTÁRGYI PROGRAM</w:t>
      </w:r>
    </w:p>
    <w:p w:rsidR="00C23F6C" w:rsidRPr="00C23F6C" w:rsidRDefault="00C23F6C" w:rsidP="00980876">
      <w:pPr>
        <w:widowControl w:val="0"/>
        <w:numPr>
          <w:ilvl w:val="0"/>
          <w:numId w:val="331"/>
        </w:numPr>
        <w:tabs>
          <w:tab w:val="num" w:pos="567"/>
        </w:tabs>
        <w:spacing w:before="120" w:after="120" w:line="240" w:lineRule="auto"/>
        <w:ind w:left="426" w:hanging="142"/>
        <w:jc w:val="both"/>
        <w:rPr>
          <w:rFonts w:ascii="Times New Roman" w:eastAsia="Times New Roman" w:hAnsi="Times New Roman" w:cs="Times New Roman"/>
          <w:b/>
          <w:bCs/>
        </w:rPr>
      </w:pPr>
      <w:r w:rsidRPr="00C23F6C">
        <w:rPr>
          <w:rFonts w:ascii="Times New Roman" w:eastAsia="Times New Roman" w:hAnsi="Times New Roman" w:cs="Times New Roman"/>
          <w:b/>
          <w:bCs/>
        </w:rPr>
        <w:t xml:space="preserve">A tantárgy kódja: </w:t>
      </w:r>
      <w:r w:rsidRPr="00C23F6C">
        <w:rPr>
          <w:rFonts w:ascii="Times New Roman" w:eastAsia="Times New Roman" w:hAnsi="Times New Roman" w:cs="Times New Roman"/>
          <w:lang w:eastAsia="hu-HU"/>
        </w:rPr>
        <w:t>HKHPKA306</w:t>
      </w:r>
    </w:p>
    <w:p w:rsidR="00C23F6C" w:rsidRPr="00C23F6C" w:rsidRDefault="00C23F6C" w:rsidP="00980876">
      <w:pPr>
        <w:widowControl w:val="0"/>
        <w:numPr>
          <w:ilvl w:val="0"/>
          <w:numId w:val="331"/>
        </w:numPr>
        <w:tabs>
          <w:tab w:val="num" w:pos="567"/>
        </w:tabs>
        <w:spacing w:before="120" w:after="120" w:line="240" w:lineRule="auto"/>
        <w:ind w:left="426" w:hanging="142"/>
        <w:jc w:val="both"/>
        <w:rPr>
          <w:rFonts w:ascii="Times New Roman" w:eastAsia="Times New Roman" w:hAnsi="Times New Roman" w:cs="Times New Roman"/>
          <w:b/>
          <w:bCs/>
          <w:lang w:val="en-GB"/>
        </w:rPr>
      </w:pPr>
      <w:r w:rsidRPr="00C23F6C">
        <w:rPr>
          <w:rFonts w:ascii="Times New Roman" w:eastAsia="Times New Roman" w:hAnsi="Times New Roman" w:cs="Times New Roman"/>
          <w:b/>
          <w:bCs/>
        </w:rPr>
        <w:t>A tantárgy megnevezése (magyarul):</w:t>
      </w:r>
      <w:r w:rsidRPr="00C23F6C">
        <w:rPr>
          <w:rFonts w:ascii="Times New Roman" w:eastAsia="Times New Roman" w:hAnsi="Times New Roman" w:cs="Times New Roman"/>
          <w:bCs/>
        </w:rPr>
        <w:t xml:space="preserve"> </w:t>
      </w:r>
      <w:r w:rsidRPr="00C23F6C">
        <w:rPr>
          <w:rFonts w:ascii="Times New Roman" w:hAnsi="Times New Roman" w:cs="Times New Roman"/>
          <w:bCs/>
        </w:rPr>
        <w:t>Közlekedési hálózatok</w:t>
      </w:r>
      <w:r w:rsidRPr="00C23F6C">
        <w:rPr>
          <w:rFonts w:ascii="Times New Roman" w:eastAsia="Times New Roman" w:hAnsi="Times New Roman" w:cs="Times New Roman"/>
          <w:b/>
          <w:bCs/>
        </w:rPr>
        <w:t xml:space="preserve"> </w:t>
      </w:r>
    </w:p>
    <w:p w:rsidR="00C23F6C" w:rsidRPr="00C23F6C" w:rsidRDefault="00C23F6C" w:rsidP="00980876">
      <w:pPr>
        <w:widowControl w:val="0"/>
        <w:numPr>
          <w:ilvl w:val="0"/>
          <w:numId w:val="331"/>
        </w:numPr>
        <w:tabs>
          <w:tab w:val="num" w:pos="567"/>
        </w:tabs>
        <w:spacing w:before="120" w:after="120" w:line="240" w:lineRule="auto"/>
        <w:ind w:left="426" w:hanging="142"/>
        <w:jc w:val="both"/>
        <w:rPr>
          <w:rFonts w:ascii="Times New Roman" w:eastAsia="Times New Roman" w:hAnsi="Times New Roman" w:cs="Times New Roman"/>
          <w:b/>
          <w:bCs/>
          <w:lang w:val="en-GB"/>
        </w:rPr>
      </w:pPr>
      <w:r w:rsidRPr="00C23F6C">
        <w:rPr>
          <w:rFonts w:ascii="Times New Roman" w:eastAsia="Times New Roman" w:hAnsi="Times New Roman" w:cs="Times New Roman"/>
          <w:b/>
          <w:bCs/>
        </w:rPr>
        <w:t xml:space="preserve">A tantárgy megnevezése (angolul): </w:t>
      </w:r>
      <w:r w:rsidRPr="00C23F6C">
        <w:rPr>
          <w:rFonts w:ascii="Times New Roman" w:eastAsia="Times New Roman" w:hAnsi="Times New Roman" w:cs="Times New Roman"/>
          <w:bCs/>
        </w:rPr>
        <w:t>Transport Netwoworks</w:t>
      </w:r>
    </w:p>
    <w:p w:rsidR="00C23F6C" w:rsidRPr="00C23F6C" w:rsidRDefault="00C23F6C" w:rsidP="00980876">
      <w:pPr>
        <w:widowControl w:val="0"/>
        <w:numPr>
          <w:ilvl w:val="0"/>
          <w:numId w:val="331"/>
        </w:numPr>
        <w:tabs>
          <w:tab w:val="num" w:pos="567"/>
        </w:tabs>
        <w:spacing w:before="120" w:after="120" w:line="240" w:lineRule="auto"/>
        <w:ind w:left="426" w:hanging="142"/>
        <w:jc w:val="both"/>
        <w:rPr>
          <w:rFonts w:ascii="Times New Roman" w:eastAsia="Times New Roman" w:hAnsi="Times New Roman" w:cs="Times New Roman"/>
          <w:b/>
          <w:bCs/>
        </w:rPr>
      </w:pPr>
      <w:r w:rsidRPr="00C23F6C">
        <w:rPr>
          <w:rFonts w:ascii="Times New Roman" w:eastAsia="Times New Roman" w:hAnsi="Times New Roman" w:cs="Times New Roman"/>
          <w:b/>
          <w:bCs/>
        </w:rPr>
        <w:t xml:space="preserve">Kreditérték és képzési karakter: </w:t>
      </w:r>
    </w:p>
    <w:p w:rsidR="00C23F6C" w:rsidRPr="00C23F6C" w:rsidRDefault="00C23F6C" w:rsidP="00980876">
      <w:pPr>
        <w:pStyle w:val="Listaszerbekezds"/>
        <w:widowControl w:val="0"/>
        <w:numPr>
          <w:ilvl w:val="1"/>
          <w:numId w:val="331"/>
        </w:numPr>
        <w:tabs>
          <w:tab w:val="clear" w:pos="3977"/>
          <w:tab w:val="num" w:pos="716"/>
        </w:tabs>
        <w:spacing w:before="120" w:after="120" w:line="240" w:lineRule="auto"/>
        <w:ind w:left="993" w:hanging="426"/>
        <w:jc w:val="both"/>
        <w:rPr>
          <w:rFonts w:ascii="Times New Roman" w:eastAsia="Times New Roman" w:hAnsi="Times New Roman" w:cs="Times New Roman"/>
          <w:b/>
          <w:bCs/>
        </w:rPr>
      </w:pPr>
      <w:r w:rsidRPr="00C23F6C">
        <w:rPr>
          <w:rFonts w:ascii="Times New Roman" w:eastAsia="Times New Roman" w:hAnsi="Times New Roman" w:cs="Times New Roman"/>
          <w:bCs/>
        </w:rPr>
        <w:t>3 kredit</w:t>
      </w:r>
    </w:p>
    <w:p w:rsidR="00C23F6C" w:rsidRPr="00C23F6C" w:rsidRDefault="00C23F6C" w:rsidP="00980876">
      <w:pPr>
        <w:pStyle w:val="Listaszerbekezds"/>
        <w:widowControl w:val="0"/>
        <w:numPr>
          <w:ilvl w:val="1"/>
          <w:numId w:val="331"/>
        </w:numPr>
        <w:tabs>
          <w:tab w:val="clear" w:pos="3977"/>
          <w:tab w:val="num" w:pos="716"/>
        </w:tabs>
        <w:spacing w:before="120" w:after="120" w:line="240" w:lineRule="auto"/>
        <w:ind w:left="993"/>
        <w:jc w:val="both"/>
        <w:rPr>
          <w:rFonts w:ascii="Times New Roman" w:eastAsia="Times New Roman" w:hAnsi="Times New Roman" w:cs="Times New Roman"/>
          <w:b/>
          <w:bCs/>
        </w:rPr>
      </w:pPr>
      <w:r w:rsidRPr="00C23F6C">
        <w:rPr>
          <w:rFonts w:ascii="Times New Roman" w:eastAsia="Times New Roman" w:hAnsi="Times New Roman" w:cs="Times New Roman"/>
          <w:bCs/>
        </w:rPr>
        <w:t>a tantárgy elméleti vagy gyakorlati jellegének mértéke: 50% gyakorlat, 50% elmélet</w:t>
      </w:r>
    </w:p>
    <w:p w:rsidR="00C23F6C" w:rsidRPr="00C23F6C" w:rsidRDefault="00C23F6C" w:rsidP="00980876">
      <w:pPr>
        <w:widowControl w:val="0"/>
        <w:numPr>
          <w:ilvl w:val="0"/>
          <w:numId w:val="331"/>
        </w:numPr>
        <w:spacing w:before="120" w:after="120" w:line="240" w:lineRule="auto"/>
        <w:ind w:left="426" w:hanging="142"/>
        <w:jc w:val="both"/>
        <w:rPr>
          <w:rFonts w:ascii="Times New Roman" w:eastAsia="Times New Roman" w:hAnsi="Times New Roman" w:cs="Times New Roman"/>
          <w:bCs/>
        </w:rPr>
      </w:pPr>
      <w:r w:rsidRPr="00C23F6C">
        <w:rPr>
          <w:rFonts w:ascii="Times New Roman" w:eastAsia="Times New Roman" w:hAnsi="Times New Roman" w:cs="Times New Roman"/>
          <w:b/>
          <w:bCs/>
        </w:rPr>
        <w:t>A szak(ok), szakirányok/specializációk megnevezése (ahol oktatják):</w:t>
      </w:r>
      <w:r w:rsidRPr="00C23F6C">
        <w:rPr>
          <w:rFonts w:ascii="Times New Roman" w:eastAsia="Times New Roman" w:hAnsi="Times New Roman" w:cs="Times New Roman"/>
          <w:bCs/>
        </w:rPr>
        <w:t xml:space="preserve"> Katonai logisztika alapképzési (</w:t>
      </w:r>
      <w:r w:rsidR="00137B8A">
        <w:rPr>
          <w:rFonts w:ascii="Times New Roman" w:eastAsia="Times New Roman" w:hAnsi="Times New Roman" w:cs="Times New Roman"/>
          <w:bCs/>
        </w:rPr>
        <w:t>BSc</w:t>
      </w:r>
      <w:r w:rsidRPr="00C23F6C">
        <w:rPr>
          <w:rFonts w:ascii="Times New Roman" w:eastAsia="Times New Roman" w:hAnsi="Times New Roman" w:cs="Times New Roman"/>
          <w:bCs/>
        </w:rPr>
        <w:t>) szak</w:t>
      </w:r>
    </w:p>
    <w:p w:rsidR="00C23F6C" w:rsidRPr="00C23F6C" w:rsidRDefault="00C23F6C" w:rsidP="00980876">
      <w:pPr>
        <w:widowControl w:val="0"/>
        <w:numPr>
          <w:ilvl w:val="0"/>
          <w:numId w:val="331"/>
        </w:numPr>
        <w:tabs>
          <w:tab w:val="num" w:pos="567"/>
        </w:tabs>
        <w:spacing w:before="120" w:after="120" w:line="240" w:lineRule="auto"/>
        <w:ind w:left="426" w:hanging="142"/>
        <w:jc w:val="both"/>
        <w:rPr>
          <w:rFonts w:ascii="Times New Roman" w:eastAsia="Times New Roman" w:hAnsi="Times New Roman" w:cs="Times New Roman"/>
          <w:bCs/>
        </w:rPr>
      </w:pPr>
      <w:r w:rsidRPr="00C23F6C">
        <w:rPr>
          <w:rFonts w:ascii="Times New Roman" w:eastAsia="Times New Roman" w:hAnsi="Times New Roman" w:cs="Times New Roman"/>
          <w:b/>
          <w:bCs/>
        </w:rPr>
        <w:t xml:space="preserve">Az oktatásért felelős oktatási szervezeti egység megnevezése: </w:t>
      </w:r>
      <w:r w:rsidRPr="00C23F6C">
        <w:rPr>
          <w:rFonts w:ascii="Times New Roman" w:eastAsia="Times New Roman" w:hAnsi="Times New Roman" w:cs="Times New Roman"/>
          <w:bCs/>
        </w:rPr>
        <w:t>NKE Hadtudományi és Honvédtisztképző Kar Műveleti Logisztikai Tanszék</w:t>
      </w:r>
    </w:p>
    <w:p w:rsidR="00C23F6C" w:rsidRPr="00C23F6C" w:rsidRDefault="00C23F6C" w:rsidP="00980876">
      <w:pPr>
        <w:widowControl w:val="0"/>
        <w:numPr>
          <w:ilvl w:val="0"/>
          <w:numId w:val="331"/>
        </w:numPr>
        <w:tabs>
          <w:tab w:val="num" w:pos="567"/>
        </w:tabs>
        <w:spacing w:before="120" w:after="120" w:line="240" w:lineRule="auto"/>
        <w:ind w:left="426" w:hanging="142"/>
        <w:jc w:val="both"/>
        <w:rPr>
          <w:rFonts w:ascii="Times New Roman" w:eastAsia="Times New Roman" w:hAnsi="Times New Roman" w:cs="Times New Roman"/>
          <w:bCs/>
        </w:rPr>
      </w:pPr>
      <w:r w:rsidRPr="00C23F6C">
        <w:rPr>
          <w:rFonts w:ascii="Times New Roman" w:eastAsia="Times New Roman" w:hAnsi="Times New Roman" w:cs="Times New Roman"/>
          <w:b/>
          <w:bCs/>
        </w:rPr>
        <w:t>A tantárgyfelelős oktató neve, beosztása, tudományos fokozata:</w:t>
      </w:r>
      <w:r w:rsidRPr="00C23F6C">
        <w:rPr>
          <w:rFonts w:ascii="Times New Roman" w:eastAsia="Times New Roman" w:hAnsi="Times New Roman" w:cs="Times New Roman"/>
          <w:bCs/>
        </w:rPr>
        <w:t xml:space="preserve"> </w:t>
      </w:r>
      <w:r w:rsidRPr="00C23F6C">
        <w:rPr>
          <w:rFonts w:ascii="Times New Roman" w:hAnsi="Times New Roman" w:cs="Times New Roman"/>
          <w:bCs/>
        </w:rPr>
        <w:t>Siposné dr. Kecskeméthy Klára</w:t>
      </w:r>
      <w:r w:rsidRPr="00C23F6C">
        <w:rPr>
          <w:rFonts w:ascii="Times New Roman" w:hAnsi="Times New Roman" w:cs="Times New Roman"/>
          <w:b/>
          <w:bCs/>
        </w:rPr>
        <w:t xml:space="preserve"> </w:t>
      </w:r>
      <w:r w:rsidRPr="00C23F6C">
        <w:rPr>
          <w:rFonts w:ascii="Times New Roman" w:hAnsi="Times New Roman" w:cs="Times New Roman"/>
        </w:rPr>
        <w:t>ezredes, egyetemi tanár</w:t>
      </w:r>
    </w:p>
    <w:p w:rsidR="00C23F6C" w:rsidRPr="00C23F6C" w:rsidRDefault="00C23F6C" w:rsidP="00980876">
      <w:pPr>
        <w:widowControl w:val="0"/>
        <w:numPr>
          <w:ilvl w:val="0"/>
          <w:numId w:val="331"/>
        </w:numPr>
        <w:spacing w:before="120" w:after="120" w:line="240" w:lineRule="auto"/>
        <w:ind w:left="426" w:hanging="142"/>
        <w:jc w:val="both"/>
        <w:rPr>
          <w:rFonts w:ascii="Times New Roman" w:eastAsia="Times New Roman" w:hAnsi="Times New Roman" w:cs="Times New Roman"/>
          <w:bCs/>
        </w:rPr>
      </w:pPr>
      <w:r w:rsidRPr="00C23F6C">
        <w:rPr>
          <w:rFonts w:ascii="Times New Roman" w:eastAsia="Times New Roman" w:hAnsi="Times New Roman" w:cs="Times New Roman"/>
          <w:b/>
          <w:bCs/>
        </w:rPr>
        <w:t>A tanórák száma és típusa</w:t>
      </w:r>
    </w:p>
    <w:p w:rsidR="00C23F6C" w:rsidRPr="00C23F6C" w:rsidRDefault="00C23F6C" w:rsidP="00980876">
      <w:pPr>
        <w:widowControl w:val="0"/>
        <w:numPr>
          <w:ilvl w:val="1"/>
          <w:numId w:val="331"/>
        </w:numPr>
        <w:tabs>
          <w:tab w:val="clear" w:pos="3977"/>
          <w:tab w:val="num" w:pos="709"/>
          <w:tab w:val="num" w:pos="2069"/>
        </w:tabs>
        <w:spacing w:before="120" w:after="120" w:line="240" w:lineRule="auto"/>
        <w:ind w:left="851" w:hanging="425"/>
        <w:jc w:val="both"/>
        <w:rPr>
          <w:rFonts w:ascii="Times New Roman" w:eastAsia="Times New Roman" w:hAnsi="Times New Roman" w:cs="Times New Roman"/>
          <w:bCs/>
        </w:rPr>
      </w:pPr>
      <w:r w:rsidRPr="00C23F6C">
        <w:rPr>
          <w:rFonts w:ascii="Times New Roman" w:eastAsia="Times New Roman" w:hAnsi="Times New Roman" w:cs="Times New Roman"/>
          <w:bCs/>
        </w:rPr>
        <w:t>össz óraszám/félév: 28</w:t>
      </w:r>
    </w:p>
    <w:p w:rsidR="00C23F6C" w:rsidRPr="00C23F6C" w:rsidRDefault="00C23F6C" w:rsidP="00980876">
      <w:pPr>
        <w:widowControl w:val="0"/>
        <w:numPr>
          <w:ilvl w:val="2"/>
          <w:numId w:val="331"/>
        </w:numPr>
        <w:tabs>
          <w:tab w:val="num" w:pos="709"/>
          <w:tab w:val="num" w:pos="1134"/>
        </w:tabs>
        <w:spacing w:before="120" w:after="120" w:line="240" w:lineRule="auto"/>
        <w:ind w:left="993" w:hanging="425"/>
        <w:jc w:val="both"/>
        <w:rPr>
          <w:rFonts w:ascii="Times New Roman" w:eastAsia="Times New Roman" w:hAnsi="Times New Roman" w:cs="Times New Roman"/>
          <w:bCs/>
        </w:rPr>
      </w:pPr>
      <w:r w:rsidRPr="00C23F6C">
        <w:rPr>
          <w:rFonts w:ascii="Times New Roman" w:eastAsia="Times New Roman" w:hAnsi="Times New Roman" w:cs="Times New Roman"/>
          <w:bCs/>
        </w:rPr>
        <w:t>nappali munkarend: 28 (14 EA + 14 GY)</w:t>
      </w:r>
    </w:p>
    <w:p w:rsidR="00C23F6C" w:rsidRPr="00C23F6C" w:rsidRDefault="00C23F6C" w:rsidP="00980876">
      <w:pPr>
        <w:widowControl w:val="0"/>
        <w:numPr>
          <w:ilvl w:val="2"/>
          <w:numId w:val="331"/>
        </w:numPr>
        <w:tabs>
          <w:tab w:val="num" w:pos="709"/>
          <w:tab w:val="num" w:pos="1134"/>
        </w:tabs>
        <w:spacing w:before="120" w:after="120" w:line="240" w:lineRule="auto"/>
        <w:ind w:left="993" w:hanging="425"/>
        <w:jc w:val="both"/>
        <w:rPr>
          <w:rFonts w:ascii="Times New Roman" w:eastAsia="Times New Roman" w:hAnsi="Times New Roman" w:cs="Times New Roman"/>
          <w:bCs/>
        </w:rPr>
      </w:pPr>
      <w:r w:rsidRPr="00C23F6C">
        <w:rPr>
          <w:rFonts w:ascii="Times New Roman" w:eastAsia="Times New Roman" w:hAnsi="Times New Roman" w:cs="Times New Roman"/>
          <w:bCs/>
        </w:rPr>
        <w:t>levelező munkarend: -</w:t>
      </w:r>
    </w:p>
    <w:p w:rsidR="00C23F6C" w:rsidRPr="00C23F6C" w:rsidRDefault="00C23F6C" w:rsidP="00980876">
      <w:pPr>
        <w:widowControl w:val="0"/>
        <w:numPr>
          <w:ilvl w:val="1"/>
          <w:numId w:val="331"/>
        </w:numPr>
        <w:tabs>
          <w:tab w:val="clear" w:pos="3977"/>
          <w:tab w:val="num" w:pos="709"/>
          <w:tab w:val="num" w:pos="2069"/>
        </w:tabs>
        <w:spacing w:before="120" w:after="120" w:line="240" w:lineRule="auto"/>
        <w:ind w:left="851" w:hanging="425"/>
        <w:jc w:val="both"/>
        <w:rPr>
          <w:rFonts w:ascii="Times New Roman" w:eastAsia="Times New Roman" w:hAnsi="Times New Roman" w:cs="Times New Roman"/>
          <w:bCs/>
        </w:rPr>
      </w:pPr>
      <w:r w:rsidRPr="00C23F6C">
        <w:rPr>
          <w:rFonts w:ascii="Times New Roman" w:eastAsia="Times New Roman" w:hAnsi="Times New Roman" w:cs="Times New Roman"/>
          <w:bCs/>
        </w:rPr>
        <w:t>heti óraszám - nappali munkarend: 3</w:t>
      </w:r>
    </w:p>
    <w:p w:rsidR="00C23F6C" w:rsidRPr="00C23F6C" w:rsidRDefault="00C23F6C" w:rsidP="00980876">
      <w:pPr>
        <w:widowControl w:val="0"/>
        <w:numPr>
          <w:ilvl w:val="0"/>
          <w:numId w:val="331"/>
        </w:numPr>
        <w:spacing w:before="120" w:after="120" w:line="240" w:lineRule="auto"/>
        <w:ind w:left="426" w:hanging="142"/>
        <w:jc w:val="both"/>
        <w:rPr>
          <w:rFonts w:ascii="Times New Roman" w:eastAsia="Times New Roman" w:hAnsi="Times New Roman" w:cs="Times New Roman"/>
          <w:bCs/>
        </w:rPr>
      </w:pPr>
      <w:r w:rsidRPr="00C23F6C">
        <w:rPr>
          <w:rFonts w:ascii="Times New Roman" w:eastAsia="Times New Roman" w:hAnsi="Times New Roman" w:cs="Times New Roman"/>
          <w:b/>
          <w:bCs/>
        </w:rPr>
        <w:t>A tantárgy szakmai tartalma (magyarul):</w:t>
      </w:r>
      <w:r w:rsidRPr="00C23F6C">
        <w:rPr>
          <w:rFonts w:ascii="Times New Roman" w:eastAsia="Times New Roman" w:hAnsi="Times New Roman" w:cs="Times New Roman"/>
          <w:bCs/>
        </w:rPr>
        <w:t xml:space="preserve"> </w:t>
      </w:r>
    </w:p>
    <w:p w:rsidR="00C23F6C" w:rsidRPr="00C23F6C" w:rsidRDefault="00C23F6C" w:rsidP="00C23F6C">
      <w:pPr>
        <w:spacing w:line="240" w:lineRule="auto"/>
        <w:ind w:left="284"/>
        <w:jc w:val="both"/>
        <w:rPr>
          <w:rFonts w:ascii="Times New Roman" w:eastAsia="Times New Roman" w:hAnsi="Times New Roman" w:cs="Times New Roman"/>
          <w:bCs/>
        </w:rPr>
      </w:pPr>
      <w:r w:rsidRPr="00C23F6C">
        <w:rPr>
          <w:rFonts w:ascii="Times New Roman" w:hAnsi="Times New Roman" w:cs="Times New Roman"/>
          <w:bCs/>
        </w:rPr>
        <w:t>A hallgatók megismerik a közlekedésföldrajz alapjait és általános kérdéseit, a közlekedési hálózatok kialakulását befolyásoló tényezőket, a gazdasági és a társadalmi környezetre gyakorolt hatásukat, Magyarország és az Európai Unió közlekedési alágazatainak hálózatát, a k</w:t>
      </w:r>
      <w:r w:rsidRPr="00C23F6C">
        <w:rPr>
          <w:rFonts w:ascii="Times New Roman" w:hAnsi="Times New Roman" w:cs="Times New Roman"/>
        </w:rPr>
        <w:t>özlekedéspolitika legfontosabb kérdéseit, az Európai közlekedési folyosókat</w:t>
      </w:r>
      <w:r w:rsidRPr="00C23F6C">
        <w:rPr>
          <w:rFonts w:ascii="Times New Roman" w:eastAsia="Times New Roman" w:hAnsi="Times New Roman" w:cs="Times New Roman"/>
          <w:bCs/>
        </w:rPr>
        <w:t>.</w:t>
      </w:r>
    </w:p>
    <w:p w:rsidR="00C23F6C" w:rsidRPr="00C23F6C" w:rsidRDefault="00C23F6C" w:rsidP="00C23F6C">
      <w:pPr>
        <w:widowControl w:val="0"/>
        <w:spacing w:before="120" w:after="120" w:line="240" w:lineRule="auto"/>
        <w:ind w:firstLine="284"/>
        <w:jc w:val="both"/>
        <w:rPr>
          <w:rFonts w:ascii="Times New Roman" w:eastAsia="Times New Roman" w:hAnsi="Times New Roman" w:cs="Times New Roman"/>
          <w:bCs/>
          <w:lang w:val="en-GB"/>
        </w:rPr>
      </w:pPr>
      <w:r w:rsidRPr="00C23F6C">
        <w:rPr>
          <w:rFonts w:ascii="Times New Roman" w:eastAsia="Times New Roman" w:hAnsi="Times New Roman" w:cs="Times New Roman"/>
          <w:b/>
          <w:bCs/>
        </w:rPr>
        <w:t>A tantárgy szakmai tartalma (angolul) (</w:t>
      </w:r>
      <w:r w:rsidRPr="00C23F6C">
        <w:rPr>
          <w:rFonts w:ascii="Times New Roman" w:eastAsia="Times New Roman" w:hAnsi="Times New Roman" w:cs="Times New Roman"/>
          <w:b/>
          <w:bCs/>
          <w:lang w:val="en-US"/>
        </w:rPr>
        <w:t>Course description</w:t>
      </w:r>
      <w:r w:rsidRPr="00C23F6C">
        <w:rPr>
          <w:rFonts w:ascii="Times New Roman" w:eastAsia="Times New Roman" w:hAnsi="Times New Roman" w:cs="Times New Roman"/>
          <w:b/>
          <w:bCs/>
        </w:rPr>
        <w:t xml:space="preserve">): </w:t>
      </w:r>
    </w:p>
    <w:p w:rsidR="00C23F6C" w:rsidRPr="00C23F6C" w:rsidRDefault="00C23F6C" w:rsidP="00C23F6C">
      <w:pPr>
        <w:pStyle w:val="HTML-kntformzot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jc w:val="both"/>
        <w:rPr>
          <w:rFonts w:ascii="Times New Roman" w:hAnsi="Times New Roman" w:cs="Times New Roman"/>
          <w:sz w:val="22"/>
          <w:szCs w:val="22"/>
        </w:rPr>
      </w:pPr>
      <w:r w:rsidRPr="00C23F6C">
        <w:rPr>
          <w:rFonts w:ascii="Times New Roman" w:hAnsi="Times New Roman" w:cs="Times New Roman"/>
          <w:sz w:val="22"/>
          <w:szCs w:val="22"/>
          <w:lang w:val="en"/>
        </w:rPr>
        <w:t>Students learn about the basics and general questions of transport geography, the factors influencing the development of transport networks, their impact on the economic and social environment, the network and transport sub-sectors of Hungary and the European Union, the transport policy issues and the European transport corridors.</w:t>
      </w:r>
    </w:p>
    <w:p w:rsidR="00C23F6C" w:rsidRPr="00C23F6C" w:rsidRDefault="00C23F6C" w:rsidP="00980876">
      <w:pPr>
        <w:pStyle w:val="Listaszerbekezds"/>
        <w:widowControl w:val="0"/>
        <w:numPr>
          <w:ilvl w:val="0"/>
          <w:numId w:val="331"/>
        </w:numPr>
        <w:spacing w:before="120" w:after="120" w:line="240" w:lineRule="auto"/>
        <w:jc w:val="both"/>
        <w:rPr>
          <w:rFonts w:ascii="Times New Roman" w:eastAsia="Times New Roman" w:hAnsi="Times New Roman" w:cs="Times New Roman"/>
          <w:bCs/>
        </w:rPr>
      </w:pPr>
      <w:r w:rsidRPr="00C23F6C">
        <w:rPr>
          <w:rFonts w:ascii="Times New Roman" w:eastAsia="Times New Roman" w:hAnsi="Times New Roman" w:cs="Times New Roman"/>
          <w:b/>
          <w:bCs/>
        </w:rPr>
        <w:t xml:space="preserve">Elérendő kompetenciák (magyarul): </w:t>
      </w:r>
    </w:p>
    <w:p w:rsidR="00C23F6C" w:rsidRDefault="00C23F6C" w:rsidP="00C23F6C">
      <w:pPr>
        <w:widowControl w:val="0"/>
        <w:spacing w:after="0" w:line="240" w:lineRule="auto"/>
        <w:ind w:left="426"/>
        <w:jc w:val="both"/>
        <w:rPr>
          <w:rFonts w:ascii="Times New Roman" w:eastAsia="Times New Roman" w:hAnsi="Times New Roman" w:cs="Times New Roman"/>
          <w:bCs/>
        </w:rPr>
      </w:pPr>
      <w:r w:rsidRPr="00C23F6C">
        <w:rPr>
          <w:rFonts w:ascii="Times New Roman" w:eastAsia="Times New Roman" w:hAnsi="Times New Roman" w:cs="Times New Roman"/>
          <w:b/>
          <w:bCs/>
        </w:rPr>
        <w:t>Tudása:</w:t>
      </w:r>
      <w:r w:rsidRPr="00C23F6C">
        <w:rPr>
          <w:rFonts w:ascii="Times New Roman" w:eastAsia="Times New Roman" w:hAnsi="Times New Roman" w:cs="Times New Roman"/>
          <w:bCs/>
        </w:rPr>
        <w:t xml:space="preserve"> </w:t>
      </w:r>
    </w:p>
    <w:p w:rsidR="00C23F6C" w:rsidRPr="00C23F6C" w:rsidRDefault="00C23F6C" w:rsidP="00980876">
      <w:pPr>
        <w:pStyle w:val="Listaszerbekezds"/>
        <w:widowControl w:val="0"/>
        <w:numPr>
          <w:ilvl w:val="0"/>
          <w:numId w:val="332"/>
        </w:numPr>
        <w:spacing w:after="0" w:line="240" w:lineRule="auto"/>
        <w:jc w:val="both"/>
        <w:rPr>
          <w:rFonts w:ascii="Times New Roman" w:eastAsia="Times New Roman" w:hAnsi="Times New Roman" w:cs="Times New Roman"/>
          <w:bCs/>
        </w:rPr>
      </w:pPr>
      <w:r w:rsidRPr="00C23F6C">
        <w:rPr>
          <w:rFonts w:ascii="Times New Roman" w:hAnsi="Times New Roman" w:cs="Times New Roman"/>
        </w:rPr>
        <w:t>Ismeri a harc- és hadművelet logisztikai támogatásának és vezetésének elméleti és gyakorlati kérdéseit.</w:t>
      </w:r>
    </w:p>
    <w:p w:rsidR="00C23F6C" w:rsidRDefault="00C23F6C" w:rsidP="00C23F6C">
      <w:pPr>
        <w:autoSpaceDE w:val="0"/>
        <w:autoSpaceDN w:val="0"/>
        <w:adjustRightInd w:val="0"/>
        <w:spacing w:after="0" w:line="240" w:lineRule="auto"/>
        <w:ind w:left="426"/>
        <w:jc w:val="both"/>
        <w:rPr>
          <w:rFonts w:ascii="Times New Roman" w:eastAsia="Times New Roman" w:hAnsi="Times New Roman" w:cs="Times New Roman"/>
          <w:bCs/>
        </w:rPr>
      </w:pPr>
      <w:r w:rsidRPr="00C23F6C">
        <w:rPr>
          <w:rFonts w:ascii="Times New Roman" w:eastAsia="Times New Roman" w:hAnsi="Times New Roman" w:cs="Times New Roman"/>
          <w:b/>
          <w:bCs/>
        </w:rPr>
        <w:t>Képességei:</w:t>
      </w:r>
      <w:r w:rsidRPr="00C23F6C">
        <w:rPr>
          <w:rFonts w:ascii="Times New Roman" w:eastAsia="Times New Roman" w:hAnsi="Times New Roman" w:cs="Times New Roman"/>
          <w:bCs/>
        </w:rPr>
        <w:t xml:space="preserve"> </w:t>
      </w:r>
    </w:p>
    <w:p w:rsidR="00C23F6C" w:rsidRPr="00C23F6C" w:rsidRDefault="00C23F6C" w:rsidP="00980876">
      <w:pPr>
        <w:pStyle w:val="Listaszerbekezds"/>
        <w:widowControl w:val="0"/>
        <w:numPr>
          <w:ilvl w:val="0"/>
          <w:numId w:val="332"/>
        </w:numPr>
        <w:spacing w:after="0" w:line="240" w:lineRule="auto"/>
        <w:jc w:val="both"/>
        <w:rPr>
          <w:rFonts w:ascii="Times New Roman" w:eastAsia="Times New Roman" w:hAnsi="Times New Roman" w:cs="Times New Roman"/>
          <w:bCs/>
        </w:rPr>
      </w:pPr>
      <w:r w:rsidRPr="00C23F6C">
        <w:rPr>
          <w:rFonts w:ascii="Times New Roman" w:hAnsi="Times New Roman" w:cs="Times New Roman"/>
        </w:rPr>
        <w:t>Képes harcászati és hadműveleti törzsekben törzskari feladatok ellátására, logisztikai döntések előkészítésére, a szaktisztek munkájának vezetésére, koordinálására.</w:t>
      </w:r>
    </w:p>
    <w:p w:rsidR="00C23F6C" w:rsidRDefault="00C23F6C" w:rsidP="00C23F6C">
      <w:pPr>
        <w:autoSpaceDE w:val="0"/>
        <w:autoSpaceDN w:val="0"/>
        <w:adjustRightInd w:val="0"/>
        <w:spacing w:after="0" w:line="240" w:lineRule="auto"/>
        <w:ind w:left="426"/>
        <w:jc w:val="both"/>
        <w:rPr>
          <w:rFonts w:ascii="Times New Roman" w:eastAsia="Times New Roman" w:hAnsi="Times New Roman" w:cs="Times New Roman"/>
          <w:bCs/>
        </w:rPr>
      </w:pPr>
      <w:r w:rsidRPr="00C23F6C">
        <w:rPr>
          <w:rFonts w:ascii="Times New Roman" w:eastAsia="Times New Roman" w:hAnsi="Times New Roman" w:cs="Times New Roman"/>
          <w:b/>
          <w:bCs/>
        </w:rPr>
        <w:t>Attitűdje:</w:t>
      </w:r>
      <w:r w:rsidRPr="00C23F6C">
        <w:rPr>
          <w:rFonts w:ascii="Times New Roman" w:eastAsia="Times New Roman" w:hAnsi="Times New Roman" w:cs="Times New Roman"/>
          <w:bCs/>
        </w:rPr>
        <w:t xml:space="preserve"> </w:t>
      </w:r>
    </w:p>
    <w:p w:rsidR="00C23F6C" w:rsidRPr="00C23F6C" w:rsidRDefault="00C23F6C" w:rsidP="00980876">
      <w:pPr>
        <w:pStyle w:val="Listaszerbekezds"/>
        <w:widowControl w:val="0"/>
        <w:numPr>
          <w:ilvl w:val="0"/>
          <w:numId w:val="332"/>
        </w:numPr>
        <w:spacing w:after="0" w:line="240" w:lineRule="auto"/>
        <w:jc w:val="both"/>
        <w:rPr>
          <w:rFonts w:ascii="Times New Roman" w:hAnsi="Times New Roman" w:cs="Times New Roman"/>
        </w:rPr>
      </w:pPr>
      <w:r w:rsidRPr="00C23F6C">
        <w:rPr>
          <w:rFonts w:ascii="Times New Roman" w:hAnsi="Times New Roman" w:cs="Times New Roman"/>
        </w:rPr>
        <w:t>Elkötelezett a működési (műveleti) környezet komplex jelenségeinek harcászati-hadműveleti szemléletű megközelítése tekintetében.</w:t>
      </w:r>
    </w:p>
    <w:p w:rsidR="00C23F6C" w:rsidRDefault="00C23F6C" w:rsidP="00C23F6C">
      <w:pPr>
        <w:autoSpaceDE w:val="0"/>
        <w:autoSpaceDN w:val="0"/>
        <w:adjustRightInd w:val="0"/>
        <w:spacing w:after="0" w:line="240" w:lineRule="auto"/>
        <w:ind w:left="426"/>
        <w:jc w:val="both"/>
        <w:rPr>
          <w:rFonts w:ascii="Times New Roman" w:eastAsia="Times New Roman" w:hAnsi="Times New Roman" w:cs="Times New Roman"/>
          <w:bCs/>
        </w:rPr>
      </w:pPr>
      <w:r w:rsidRPr="00C23F6C">
        <w:rPr>
          <w:rFonts w:ascii="Times New Roman" w:eastAsia="Times New Roman" w:hAnsi="Times New Roman" w:cs="Times New Roman"/>
          <w:b/>
          <w:bCs/>
        </w:rPr>
        <w:t>Autonómiája és felelőssége:</w:t>
      </w:r>
      <w:r w:rsidRPr="00C23F6C">
        <w:rPr>
          <w:rFonts w:ascii="Times New Roman" w:eastAsia="Times New Roman" w:hAnsi="Times New Roman" w:cs="Times New Roman"/>
          <w:bCs/>
        </w:rPr>
        <w:t xml:space="preserve"> </w:t>
      </w:r>
    </w:p>
    <w:p w:rsidR="00C23F6C" w:rsidRPr="00C23F6C" w:rsidRDefault="00C23F6C" w:rsidP="00980876">
      <w:pPr>
        <w:pStyle w:val="Listaszerbekezds"/>
        <w:widowControl w:val="0"/>
        <w:numPr>
          <w:ilvl w:val="0"/>
          <w:numId w:val="332"/>
        </w:numPr>
        <w:spacing w:after="0" w:line="240" w:lineRule="auto"/>
        <w:jc w:val="both"/>
        <w:rPr>
          <w:rFonts w:ascii="Times New Roman" w:eastAsia="Times New Roman" w:hAnsi="Times New Roman" w:cs="Times New Roman"/>
          <w:bCs/>
        </w:rPr>
      </w:pPr>
      <w:r w:rsidRPr="00C23F6C">
        <w:rPr>
          <w:rFonts w:ascii="Times New Roman" w:hAnsi="Times New Roman" w:cs="Times New Roman"/>
        </w:rPr>
        <w:t>Elsajátított ismeretei és megszerzett készségei alapján szakmailag megfelelő módon értelmezi és alkalmazza a megszerzett vezetői-irányítói metódusokat, elemző-értékelő módszereket.</w:t>
      </w:r>
    </w:p>
    <w:p w:rsidR="00C23F6C" w:rsidRPr="00C23F6C" w:rsidRDefault="00C23F6C" w:rsidP="00C23F6C">
      <w:pPr>
        <w:widowControl w:val="0"/>
        <w:spacing w:after="0" w:line="240" w:lineRule="auto"/>
        <w:ind w:left="426"/>
        <w:jc w:val="both"/>
        <w:rPr>
          <w:rFonts w:ascii="Times New Roman" w:eastAsia="Times New Roman" w:hAnsi="Times New Roman" w:cs="Times New Roman"/>
          <w:b/>
          <w:bCs/>
          <w:lang w:val="en-US"/>
        </w:rPr>
      </w:pPr>
      <w:r w:rsidRPr="00C23F6C">
        <w:rPr>
          <w:rFonts w:ascii="Times New Roman" w:eastAsia="Times New Roman" w:hAnsi="Times New Roman" w:cs="Times New Roman"/>
          <w:b/>
          <w:bCs/>
        </w:rPr>
        <w:lastRenderedPageBreak/>
        <w:t>Elérendő kompetenciák (angolul) (</w:t>
      </w:r>
      <w:r w:rsidRPr="00C23F6C">
        <w:rPr>
          <w:rFonts w:ascii="Times New Roman" w:eastAsia="Times New Roman" w:hAnsi="Times New Roman" w:cs="Times New Roman"/>
          <w:b/>
          <w:bCs/>
          <w:lang w:val="en-US"/>
        </w:rPr>
        <w:t xml:space="preserve">Competences – English): </w:t>
      </w:r>
    </w:p>
    <w:p w:rsidR="00C23F6C" w:rsidRDefault="00C23F6C" w:rsidP="00C23F6C">
      <w:pPr>
        <w:pStyle w:val="HTML-kntformzot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426"/>
        <w:jc w:val="both"/>
        <w:rPr>
          <w:rFonts w:ascii="Times New Roman" w:hAnsi="Times New Roman" w:cs="Times New Roman"/>
          <w:sz w:val="22"/>
          <w:szCs w:val="22"/>
          <w:lang w:val="en-GB"/>
        </w:rPr>
      </w:pPr>
      <w:r w:rsidRPr="00C23F6C">
        <w:rPr>
          <w:rFonts w:ascii="Times New Roman" w:hAnsi="Times New Roman" w:cs="Times New Roman"/>
          <w:b/>
          <w:sz w:val="22"/>
          <w:szCs w:val="22"/>
          <w:lang w:val="en-GB"/>
        </w:rPr>
        <w:t>Knowledge</w:t>
      </w:r>
      <w:r w:rsidRPr="00C23F6C">
        <w:rPr>
          <w:rFonts w:ascii="Times New Roman" w:hAnsi="Times New Roman" w:cs="Times New Roman"/>
          <w:sz w:val="22"/>
          <w:szCs w:val="22"/>
          <w:lang w:val="en-GB"/>
        </w:rPr>
        <w:t xml:space="preserve">: </w:t>
      </w:r>
    </w:p>
    <w:p w:rsidR="00C23F6C" w:rsidRPr="00C23F6C" w:rsidRDefault="00C23F6C" w:rsidP="00980876">
      <w:pPr>
        <w:pStyle w:val="Listaszerbekezds"/>
        <w:widowControl w:val="0"/>
        <w:numPr>
          <w:ilvl w:val="0"/>
          <w:numId w:val="332"/>
        </w:numPr>
        <w:spacing w:after="0" w:line="240" w:lineRule="auto"/>
        <w:jc w:val="both"/>
        <w:rPr>
          <w:rFonts w:ascii="Times New Roman" w:hAnsi="Times New Roman" w:cs="Times New Roman"/>
        </w:rPr>
      </w:pPr>
      <w:r w:rsidRPr="00C23F6C">
        <w:rPr>
          <w:rFonts w:ascii="Times New Roman" w:hAnsi="Times New Roman" w:cs="Times New Roman"/>
          <w:lang w:val="en"/>
        </w:rPr>
        <w:t xml:space="preserve">Knows </w:t>
      </w:r>
      <w:r w:rsidRPr="00C23F6C">
        <w:rPr>
          <w:rFonts w:ascii="Times New Roman" w:hAnsi="Times New Roman" w:cs="Times New Roman"/>
        </w:rPr>
        <w:t>theoretical</w:t>
      </w:r>
      <w:r w:rsidRPr="00C23F6C">
        <w:rPr>
          <w:rFonts w:ascii="Times New Roman" w:hAnsi="Times New Roman" w:cs="Times New Roman"/>
          <w:lang w:val="en"/>
        </w:rPr>
        <w:t xml:space="preserve"> and practical issues of logistic support and command of combat and military operations.</w:t>
      </w:r>
    </w:p>
    <w:p w:rsidR="00C23F6C" w:rsidRDefault="00C23F6C" w:rsidP="00C23F6C">
      <w:pPr>
        <w:pStyle w:val="HTML-kntformzot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425"/>
        <w:jc w:val="both"/>
        <w:rPr>
          <w:rFonts w:ascii="Times New Roman" w:hAnsi="Times New Roman" w:cs="Times New Roman"/>
          <w:b/>
          <w:sz w:val="22"/>
          <w:szCs w:val="22"/>
          <w:lang w:val="en-GB"/>
        </w:rPr>
      </w:pPr>
      <w:r w:rsidRPr="00C23F6C">
        <w:rPr>
          <w:rFonts w:ascii="Times New Roman" w:hAnsi="Times New Roman" w:cs="Times New Roman"/>
          <w:b/>
          <w:sz w:val="22"/>
          <w:szCs w:val="22"/>
          <w:lang w:val="en-GB"/>
        </w:rPr>
        <w:t xml:space="preserve">Capabilities: </w:t>
      </w:r>
    </w:p>
    <w:p w:rsidR="00C23F6C" w:rsidRPr="00C23F6C" w:rsidRDefault="00C23F6C" w:rsidP="00980876">
      <w:pPr>
        <w:pStyle w:val="Listaszerbekezds"/>
        <w:widowControl w:val="0"/>
        <w:numPr>
          <w:ilvl w:val="0"/>
          <w:numId w:val="332"/>
        </w:numPr>
        <w:spacing w:after="0" w:line="240" w:lineRule="auto"/>
        <w:jc w:val="both"/>
        <w:rPr>
          <w:rFonts w:ascii="Times New Roman" w:hAnsi="Times New Roman" w:cs="Times New Roman"/>
          <w:lang w:val="en-GB"/>
        </w:rPr>
      </w:pPr>
      <w:r w:rsidRPr="00C23F6C">
        <w:rPr>
          <w:rFonts w:ascii="Times New Roman" w:hAnsi="Times New Roman" w:cs="Times New Roman"/>
          <w:lang w:val="en-GB"/>
        </w:rPr>
        <w:t>Able to perform staff duties in combat and operation, preparation of logistical decisions, management and co-ordination of the work of specialists.</w:t>
      </w:r>
    </w:p>
    <w:p w:rsidR="00C23F6C" w:rsidRDefault="00C23F6C" w:rsidP="00C23F6C">
      <w:pPr>
        <w:pStyle w:val="HTML-kntformzot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425"/>
        <w:jc w:val="both"/>
        <w:rPr>
          <w:rFonts w:ascii="Times New Roman" w:hAnsi="Times New Roman" w:cs="Times New Roman"/>
          <w:sz w:val="22"/>
          <w:szCs w:val="22"/>
          <w:lang w:val="en-GB"/>
        </w:rPr>
      </w:pPr>
      <w:r w:rsidRPr="00C23F6C">
        <w:rPr>
          <w:rFonts w:ascii="Times New Roman" w:hAnsi="Times New Roman" w:cs="Times New Roman"/>
          <w:b/>
          <w:sz w:val="22"/>
          <w:szCs w:val="22"/>
          <w:lang w:val="en-GB"/>
        </w:rPr>
        <w:t>Attitude:</w:t>
      </w:r>
      <w:r w:rsidRPr="00C23F6C">
        <w:rPr>
          <w:rFonts w:ascii="Times New Roman" w:hAnsi="Times New Roman" w:cs="Times New Roman"/>
          <w:sz w:val="22"/>
          <w:szCs w:val="22"/>
          <w:lang w:val="en-GB"/>
        </w:rPr>
        <w:t xml:space="preserve"> </w:t>
      </w:r>
    </w:p>
    <w:p w:rsidR="00C23F6C" w:rsidRPr="00C23F6C" w:rsidRDefault="00C23F6C" w:rsidP="00980876">
      <w:pPr>
        <w:pStyle w:val="Listaszerbekezds"/>
        <w:widowControl w:val="0"/>
        <w:numPr>
          <w:ilvl w:val="0"/>
          <w:numId w:val="332"/>
        </w:numPr>
        <w:spacing w:after="0" w:line="240" w:lineRule="auto"/>
        <w:jc w:val="both"/>
        <w:rPr>
          <w:rFonts w:ascii="Times New Roman" w:hAnsi="Times New Roman" w:cs="Times New Roman"/>
        </w:rPr>
      </w:pPr>
      <w:r w:rsidRPr="00C23F6C">
        <w:rPr>
          <w:rFonts w:ascii="Times New Roman" w:hAnsi="Times New Roman" w:cs="Times New Roman"/>
          <w:lang w:val="en"/>
        </w:rPr>
        <w:t>Committed to a tactical-operational approach to complex phenomena in (operational) environments.</w:t>
      </w:r>
    </w:p>
    <w:p w:rsidR="00C23F6C" w:rsidRDefault="00C23F6C" w:rsidP="00C23F6C">
      <w:pPr>
        <w:pStyle w:val="HTML-kntformzot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425"/>
        <w:jc w:val="both"/>
        <w:rPr>
          <w:rFonts w:ascii="Times New Roman" w:hAnsi="Times New Roman" w:cs="Times New Roman"/>
          <w:b/>
          <w:sz w:val="22"/>
          <w:szCs w:val="22"/>
          <w:lang w:val="en-GB"/>
        </w:rPr>
      </w:pPr>
      <w:r w:rsidRPr="00C23F6C">
        <w:rPr>
          <w:rFonts w:ascii="Times New Roman" w:hAnsi="Times New Roman" w:cs="Times New Roman"/>
          <w:b/>
          <w:sz w:val="22"/>
          <w:szCs w:val="22"/>
          <w:lang w:val="en-GB"/>
        </w:rPr>
        <w:t xml:space="preserve">Autonomy and responsibility: </w:t>
      </w:r>
    </w:p>
    <w:p w:rsidR="00C23F6C" w:rsidRPr="00C23F6C" w:rsidRDefault="00C23F6C" w:rsidP="00980876">
      <w:pPr>
        <w:pStyle w:val="Listaszerbekezds"/>
        <w:widowControl w:val="0"/>
        <w:numPr>
          <w:ilvl w:val="0"/>
          <w:numId w:val="332"/>
        </w:numPr>
        <w:spacing w:after="0" w:line="240" w:lineRule="auto"/>
        <w:jc w:val="both"/>
        <w:rPr>
          <w:rFonts w:ascii="Times New Roman" w:hAnsi="Times New Roman" w:cs="Times New Roman"/>
        </w:rPr>
      </w:pPr>
      <w:r w:rsidRPr="00C23F6C">
        <w:rPr>
          <w:rFonts w:ascii="Times New Roman" w:hAnsi="Times New Roman" w:cs="Times New Roman"/>
          <w:lang w:val="en"/>
        </w:rPr>
        <w:t>Based on his/</w:t>
      </w:r>
      <w:r w:rsidRPr="00C23F6C">
        <w:rPr>
          <w:rFonts w:ascii="Times New Roman" w:hAnsi="Times New Roman" w:cs="Times New Roman"/>
          <w:lang w:val="en-GB"/>
        </w:rPr>
        <w:t>her</w:t>
      </w:r>
      <w:r w:rsidRPr="00C23F6C">
        <w:rPr>
          <w:rFonts w:ascii="Times New Roman" w:hAnsi="Times New Roman" w:cs="Times New Roman"/>
          <w:lang w:val="en"/>
        </w:rPr>
        <w:t xml:space="preserve"> acquired knowledge and skills, he/she interprets and applies the acquired managerial-management and analytical-evaluation methods in a professional manner.</w:t>
      </w:r>
    </w:p>
    <w:p w:rsidR="00C23F6C" w:rsidRPr="00C23F6C" w:rsidRDefault="00C23F6C" w:rsidP="00980876">
      <w:pPr>
        <w:widowControl w:val="0"/>
        <w:numPr>
          <w:ilvl w:val="0"/>
          <w:numId w:val="331"/>
        </w:numPr>
        <w:tabs>
          <w:tab w:val="num" w:pos="567"/>
        </w:tabs>
        <w:spacing w:before="120" w:after="120" w:line="240" w:lineRule="auto"/>
        <w:ind w:left="426" w:hanging="142"/>
        <w:jc w:val="both"/>
        <w:rPr>
          <w:rFonts w:ascii="Times New Roman" w:eastAsia="Times New Roman" w:hAnsi="Times New Roman" w:cs="Times New Roman"/>
          <w:bCs/>
        </w:rPr>
      </w:pPr>
      <w:r w:rsidRPr="00C23F6C">
        <w:rPr>
          <w:rFonts w:ascii="Times New Roman" w:eastAsia="Times New Roman" w:hAnsi="Times New Roman" w:cs="Times New Roman"/>
          <w:b/>
          <w:bCs/>
        </w:rPr>
        <w:t xml:space="preserve">Előtanulmányi követelmények: </w:t>
      </w:r>
      <w:r w:rsidRPr="00C23F6C">
        <w:rPr>
          <w:rFonts w:ascii="Times New Roman" w:eastAsia="Times New Roman" w:hAnsi="Times New Roman" w:cs="Times New Roman"/>
          <w:bCs/>
        </w:rPr>
        <w:t>-</w:t>
      </w:r>
    </w:p>
    <w:p w:rsidR="00C23F6C" w:rsidRPr="00C23F6C" w:rsidRDefault="00C23F6C" w:rsidP="00980876">
      <w:pPr>
        <w:widowControl w:val="0"/>
        <w:numPr>
          <w:ilvl w:val="0"/>
          <w:numId w:val="331"/>
        </w:numPr>
        <w:spacing w:before="120" w:after="120" w:line="240" w:lineRule="auto"/>
        <w:ind w:left="426" w:hanging="142"/>
        <w:jc w:val="both"/>
        <w:rPr>
          <w:rFonts w:ascii="Times New Roman" w:eastAsia="Times New Roman" w:hAnsi="Times New Roman" w:cs="Times New Roman"/>
          <w:b/>
          <w:bCs/>
        </w:rPr>
      </w:pPr>
      <w:r w:rsidRPr="00C23F6C">
        <w:rPr>
          <w:rFonts w:ascii="Times New Roman" w:eastAsia="Times New Roman" w:hAnsi="Times New Roman" w:cs="Times New Roman"/>
          <w:b/>
          <w:bCs/>
        </w:rPr>
        <w:t>A tantárgy tananyagának leírása, tematika. Description of the subject, curriculum (magyarul, angolul - English):</w:t>
      </w:r>
    </w:p>
    <w:p w:rsidR="00C23F6C" w:rsidRPr="00C23F6C" w:rsidRDefault="00C23F6C" w:rsidP="00980876">
      <w:pPr>
        <w:widowControl w:val="0"/>
        <w:numPr>
          <w:ilvl w:val="1"/>
          <w:numId w:val="331"/>
        </w:numPr>
        <w:tabs>
          <w:tab w:val="clear" w:pos="3977"/>
        </w:tabs>
        <w:spacing w:after="0" w:line="240" w:lineRule="auto"/>
        <w:ind w:left="1134" w:hanging="709"/>
        <w:jc w:val="both"/>
        <w:rPr>
          <w:rFonts w:ascii="Times New Roman" w:eastAsia="Times New Roman" w:hAnsi="Times New Roman" w:cs="Times New Roman"/>
        </w:rPr>
      </w:pPr>
      <w:r w:rsidRPr="00C23F6C">
        <w:rPr>
          <w:rFonts w:ascii="Times New Roman" w:hAnsi="Times New Roman" w:cs="Times New Roman"/>
          <w:color w:val="000000"/>
          <w:kern w:val="20"/>
        </w:rPr>
        <w:t>Bemutatkozás, a tantárgy tematikájának bemutatása.  A számonkérés módjainak ismertetése</w:t>
      </w:r>
      <w:r w:rsidRPr="00C23F6C">
        <w:rPr>
          <w:rFonts w:ascii="Times New Roman" w:hAnsi="Times New Roman" w:cs="Times New Roman"/>
        </w:rPr>
        <w:t xml:space="preserve">. </w:t>
      </w:r>
      <w:r w:rsidRPr="00C23F6C">
        <w:rPr>
          <w:rFonts w:ascii="Times New Roman" w:eastAsia="Times New Roman" w:hAnsi="Times New Roman" w:cs="Times New Roman"/>
          <w:b/>
        </w:rPr>
        <w:t xml:space="preserve"> </w:t>
      </w:r>
      <w:r w:rsidRPr="00C23F6C">
        <w:rPr>
          <w:rFonts w:ascii="Times New Roman" w:eastAsia="Times New Roman" w:hAnsi="Times New Roman" w:cs="Times New Roman"/>
          <w:i/>
        </w:rPr>
        <w:t>(Introduction, presentation of the thematic, description of the methods of accountability)</w:t>
      </w:r>
      <w:r w:rsidRPr="00C23F6C">
        <w:rPr>
          <w:rFonts w:ascii="Times New Roman" w:eastAsia="Times New Roman" w:hAnsi="Times New Roman" w:cs="Times New Roman"/>
        </w:rPr>
        <w:t xml:space="preserve">. </w:t>
      </w:r>
    </w:p>
    <w:p w:rsidR="00C23F6C" w:rsidRPr="00C23F6C" w:rsidRDefault="00C23F6C" w:rsidP="00980876">
      <w:pPr>
        <w:widowControl w:val="0"/>
        <w:numPr>
          <w:ilvl w:val="1"/>
          <w:numId w:val="331"/>
        </w:numPr>
        <w:tabs>
          <w:tab w:val="clear" w:pos="3977"/>
        </w:tabs>
        <w:spacing w:after="0" w:line="240" w:lineRule="auto"/>
        <w:ind w:left="1134" w:hanging="709"/>
        <w:jc w:val="both"/>
        <w:rPr>
          <w:rFonts w:ascii="Times New Roman" w:eastAsia="Times New Roman" w:hAnsi="Times New Roman" w:cs="Times New Roman"/>
          <w:b/>
        </w:rPr>
      </w:pPr>
      <w:r w:rsidRPr="00C23F6C">
        <w:rPr>
          <w:rFonts w:ascii="Times New Roman" w:hAnsi="Times New Roman" w:cs="Times New Roman"/>
        </w:rPr>
        <w:t>A közlekedésföldrajz fogalma, tárgya és vizsgálati módszerei</w:t>
      </w:r>
      <w:r w:rsidRPr="00C23F6C">
        <w:rPr>
          <w:rFonts w:ascii="Times New Roman" w:eastAsia="Times New Roman" w:hAnsi="Times New Roman" w:cs="Times New Roman"/>
          <w:bCs/>
        </w:rPr>
        <w:t xml:space="preserve"> </w:t>
      </w:r>
      <w:r w:rsidRPr="00C23F6C">
        <w:rPr>
          <w:rFonts w:ascii="Times New Roman" w:eastAsia="Times New Roman" w:hAnsi="Times New Roman" w:cs="Times New Roman"/>
          <w:bCs/>
          <w:i/>
        </w:rPr>
        <w:t>(Concept, subject and methods of transport geography)</w:t>
      </w:r>
      <w:r w:rsidRPr="00C23F6C">
        <w:rPr>
          <w:rFonts w:ascii="Times New Roman" w:eastAsia="Times New Roman" w:hAnsi="Times New Roman" w:cs="Times New Roman"/>
          <w:bCs/>
        </w:rPr>
        <w:t>.</w:t>
      </w:r>
    </w:p>
    <w:p w:rsidR="00C23F6C" w:rsidRPr="00C23F6C" w:rsidRDefault="00C23F6C" w:rsidP="00980876">
      <w:pPr>
        <w:widowControl w:val="0"/>
        <w:numPr>
          <w:ilvl w:val="1"/>
          <w:numId w:val="331"/>
        </w:numPr>
        <w:tabs>
          <w:tab w:val="clear" w:pos="3977"/>
        </w:tabs>
        <w:spacing w:after="0" w:line="240" w:lineRule="auto"/>
        <w:ind w:left="1134" w:hanging="709"/>
        <w:jc w:val="both"/>
        <w:rPr>
          <w:rFonts w:ascii="Times New Roman" w:eastAsia="Times New Roman" w:hAnsi="Times New Roman" w:cs="Times New Roman"/>
          <w:b/>
        </w:rPr>
      </w:pPr>
      <w:r w:rsidRPr="00C23F6C">
        <w:rPr>
          <w:rFonts w:ascii="Times New Roman" w:hAnsi="Times New Roman" w:cs="Times New Roman"/>
        </w:rPr>
        <w:t>A közlekedésföldrajz alapjai I.</w:t>
      </w:r>
      <w:r w:rsidRPr="00C23F6C">
        <w:rPr>
          <w:rFonts w:ascii="Times New Roman" w:hAnsi="Times New Roman" w:cs="Times New Roman"/>
          <w:color w:val="000000"/>
        </w:rPr>
        <w:t xml:space="preserve"> </w:t>
      </w:r>
      <w:r w:rsidRPr="00C23F6C">
        <w:rPr>
          <w:rFonts w:ascii="Times New Roman" w:eastAsia="Times New Roman" w:hAnsi="Times New Roman" w:cs="Times New Roman"/>
          <w:bCs/>
          <w:i/>
        </w:rPr>
        <w:t>(The basics of transport geography I.</w:t>
      </w:r>
      <w:r w:rsidRPr="00C23F6C">
        <w:rPr>
          <w:rFonts w:ascii="Times New Roman" w:hAnsi="Times New Roman" w:cs="Times New Roman"/>
          <w:i/>
        </w:rPr>
        <w:t>)</w:t>
      </w:r>
    </w:p>
    <w:p w:rsidR="00C23F6C" w:rsidRPr="00C23F6C" w:rsidRDefault="00C23F6C" w:rsidP="00980876">
      <w:pPr>
        <w:widowControl w:val="0"/>
        <w:numPr>
          <w:ilvl w:val="1"/>
          <w:numId w:val="331"/>
        </w:numPr>
        <w:tabs>
          <w:tab w:val="clear" w:pos="3977"/>
        </w:tabs>
        <w:spacing w:after="0" w:line="240" w:lineRule="auto"/>
        <w:ind w:left="1134" w:hanging="709"/>
        <w:jc w:val="both"/>
        <w:rPr>
          <w:rFonts w:ascii="Times New Roman" w:hAnsi="Times New Roman" w:cs="Times New Roman"/>
        </w:rPr>
      </w:pPr>
      <w:r w:rsidRPr="00C23F6C">
        <w:rPr>
          <w:rFonts w:ascii="Times New Roman" w:hAnsi="Times New Roman" w:cs="Times New Roman"/>
        </w:rPr>
        <w:t>A közlekedésföldrajz alapjai II</w:t>
      </w:r>
      <w:r w:rsidRPr="00C23F6C">
        <w:rPr>
          <w:rFonts w:ascii="Times New Roman" w:hAnsi="Times New Roman" w:cs="Times New Roman"/>
          <w:color w:val="000000"/>
        </w:rPr>
        <w:t xml:space="preserve">. </w:t>
      </w:r>
      <w:r w:rsidRPr="00C23F6C">
        <w:rPr>
          <w:rFonts w:ascii="Times New Roman" w:hAnsi="Times New Roman" w:cs="Times New Roman"/>
          <w:i/>
          <w:color w:val="000000"/>
        </w:rPr>
        <w:t>(The basics of transport geography II.</w:t>
      </w:r>
      <w:r w:rsidRPr="00C23F6C">
        <w:rPr>
          <w:rFonts w:ascii="Times New Roman" w:hAnsi="Times New Roman" w:cs="Times New Roman"/>
          <w:i/>
        </w:rPr>
        <w:t>)</w:t>
      </w:r>
    </w:p>
    <w:p w:rsidR="00C23F6C" w:rsidRPr="00C23F6C" w:rsidRDefault="00C23F6C" w:rsidP="00980876">
      <w:pPr>
        <w:widowControl w:val="0"/>
        <w:numPr>
          <w:ilvl w:val="1"/>
          <w:numId w:val="331"/>
        </w:numPr>
        <w:tabs>
          <w:tab w:val="clear" w:pos="3977"/>
        </w:tabs>
        <w:spacing w:after="0" w:line="240" w:lineRule="auto"/>
        <w:ind w:left="1134" w:hanging="709"/>
        <w:jc w:val="both"/>
        <w:rPr>
          <w:rFonts w:ascii="Times New Roman" w:eastAsia="Times New Roman" w:hAnsi="Times New Roman" w:cs="Times New Roman"/>
          <w:b/>
        </w:rPr>
      </w:pPr>
      <w:r w:rsidRPr="00C23F6C">
        <w:rPr>
          <w:rFonts w:ascii="Times New Roman" w:hAnsi="Times New Roman" w:cs="Times New Roman"/>
        </w:rPr>
        <w:t>A közlekedésföldrajz általános kérdései</w:t>
      </w:r>
      <w:r w:rsidRPr="00C23F6C">
        <w:rPr>
          <w:rFonts w:ascii="Times New Roman" w:hAnsi="Times New Roman" w:cs="Times New Roman"/>
          <w:color w:val="000000"/>
        </w:rPr>
        <w:t xml:space="preserve"> </w:t>
      </w:r>
      <w:r w:rsidRPr="00C23F6C">
        <w:rPr>
          <w:rFonts w:ascii="Times New Roman" w:hAnsi="Times New Roman" w:cs="Times New Roman"/>
          <w:i/>
          <w:color w:val="000000"/>
        </w:rPr>
        <w:t>(General questions of transport geography</w:t>
      </w:r>
      <w:r w:rsidRPr="00C23F6C">
        <w:rPr>
          <w:rFonts w:ascii="Times New Roman" w:hAnsi="Times New Roman" w:cs="Times New Roman"/>
          <w:i/>
        </w:rPr>
        <w:t>)</w:t>
      </w:r>
      <w:r w:rsidRPr="00C23F6C">
        <w:rPr>
          <w:rFonts w:ascii="Times New Roman" w:hAnsi="Times New Roman" w:cs="Times New Roman"/>
          <w:color w:val="000000"/>
        </w:rPr>
        <w:t xml:space="preserve"> </w:t>
      </w:r>
    </w:p>
    <w:p w:rsidR="00C23F6C" w:rsidRPr="00C23F6C" w:rsidRDefault="00C23F6C" w:rsidP="00980876">
      <w:pPr>
        <w:widowControl w:val="0"/>
        <w:numPr>
          <w:ilvl w:val="1"/>
          <w:numId w:val="331"/>
        </w:numPr>
        <w:tabs>
          <w:tab w:val="clear" w:pos="3977"/>
        </w:tabs>
        <w:spacing w:after="0" w:line="240" w:lineRule="auto"/>
        <w:ind w:left="1134" w:hanging="709"/>
        <w:jc w:val="both"/>
        <w:rPr>
          <w:rFonts w:ascii="Times New Roman" w:eastAsia="Times New Roman" w:hAnsi="Times New Roman" w:cs="Times New Roman"/>
          <w:b/>
        </w:rPr>
      </w:pPr>
      <w:r w:rsidRPr="00C23F6C">
        <w:rPr>
          <w:rFonts w:ascii="Times New Roman" w:hAnsi="Times New Roman" w:cs="Times New Roman"/>
        </w:rPr>
        <w:t>Európa közlekedésföldrajzi jellemzőinek értékelése</w:t>
      </w:r>
      <w:r w:rsidRPr="00C23F6C">
        <w:rPr>
          <w:rFonts w:ascii="Times New Roman" w:hAnsi="Times New Roman" w:cs="Times New Roman"/>
          <w:color w:val="000000"/>
        </w:rPr>
        <w:t xml:space="preserve"> </w:t>
      </w:r>
      <w:r w:rsidRPr="00C23F6C">
        <w:rPr>
          <w:rFonts w:ascii="Times New Roman" w:hAnsi="Times New Roman" w:cs="Times New Roman"/>
          <w:i/>
          <w:color w:val="000000"/>
        </w:rPr>
        <w:t>(</w:t>
      </w:r>
      <w:r w:rsidRPr="00C23F6C">
        <w:rPr>
          <w:rFonts w:ascii="Times New Roman" w:hAnsi="Times New Roman" w:cs="Times New Roman"/>
          <w:i/>
        </w:rPr>
        <w:t>Evaluation of the transport geography characteristics of Europe)</w:t>
      </w:r>
    </w:p>
    <w:p w:rsidR="00C23F6C" w:rsidRPr="00C23F6C" w:rsidRDefault="00C23F6C" w:rsidP="00980876">
      <w:pPr>
        <w:widowControl w:val="0"/>
        <w:numPr>
          <w:ilvl w:val="1"/>
          <w:numId w:val="331"/>
        </w:numPr>
        <w:tabs>
          <w:tab w:val="clear" w:pos="3977"/>
        </w:tabs>
        <w:spacing w:after="0" w:line="240" w:lineRule="auto"/>
        <w:ind w:left="1134" w:hanging="709"/>
        <w:jc w:val="both"/>
        <w:rPr>
          <w:rFonts w:ascii="Times New Roman" w:eastAsia="Times New Roman" w:hAnsi="Times New Roman" w:cs="Times New Roman"/>
          <w:b/>
        </w:rPr>
      </w:pPr>
      <w:r w:rsidRPr="00C23F6C">
        <w:rPr>
          <w:rFonts w:ascii="Times New Roman" w:hAnsi="Times New Roman" w:cs="Times New Roman"/>
        </w:rPr>
        <w:t xml:space="preserve">Közlekedéspolitika legfontosabb kérdései az EU-ban, Európai közlekedési folyosók </w:t>
      </w:r>
      <w:r w:rsidRPr="00C23F6C">
        <w:rPr>
          <w:rFonts w:ascii="Times New Roman" w:hAnsi="Times New Roman" w:cs="Times New Roman"/>
          <w:i/>
        </w:rPr>
        <w:t>(Key issues of transport policy in EU, European transport corridors)</w:t>
      </w:r>
    </w:p>
    <w:p w:rsidR="00C23F6C" w:rsidRPr="00C23F6C" w:rsidRDefault="00C23F6C" w:rsidP="00980876">
      <w:pPr>
        <w:widowControl w:val="0"/>
        <w:numPr>
          <w:ilvl w:val="1"/>
          <w:numId w:val="331"/>
        </w:numPr>
        <w:tabs>
          <w:tab w:val="clear" w:pos="3977"/>
        </w:tabs>
        <w:spacing w:after="0" w:line="240" w:lineRule="auto"/>
        <w:ind w:left="1134" w:hanging="709"/>
        <w:jc w:val="both"/>
        <w:rPr>
          <w:rFonts w:ascii="Times New Roman" w:eastAsia="Times New Roman" w:hAnsi="Times New Roman" w:cs="Times New Roman"/>
          <w:b/>
        </w:rPr>
      </w:pPr>
      <w:r w:rsidRPr="00C23F6C">
        <w:rPr>
          <w:rFonts w:ascii="Times New Roman" w:hAnsi="Times New Roman" w:cs="Times New Roman"/>
        </w:rPr>
        <w:t xml:space="preserve">Magyarország közlekedés földrajzi jellemzőinek értékelése </w:t>
      </w:r>
      <w:r w:rsidRPr="00C23F6C">
        <w:rPr>
          <w:rFonts w:ascii="Times New Roman" w:hAnsi="Times New Roman" w:cs="Times New Roman"/>
          <w:i/>
        </w:rPr>
        <w:t>(Evaluation of the geographical features of transport geography in Hungary)</w:t>
      </w:r>
    </w:p>
    <w:p w:rsidR="00C23F6C" w:rsidRPr="00C23F6C" w:rsidRDefault="00C23F6C" w:rsidP="00980876">
      <w:pPr>
        <w:widowControl w:val="0"/>
        <w:numPr>
          <w:ilvl w:val="1"/>
          <w:numId w:val="331"/>
        </w:numPr>
        <w:tabs>
          <w:tab w:val="clear" w:pos="3977"/>
        </w:tabs>
        <w:spacing w:after="0" w:line="240" w:lineRule="auto"/>
        <w:ind w:left="1134" w:hanging="709"/>
        <w:jc w:val="both"/>
        <w:rPr>
          <w:rFonts w:ascii="Times New Roman" w:eastAsia="Times New Roman" w:hAnsi="Times New Roman" w:cs="Times New Roman"/>
          <w:b/>
        </w:rPr>
      </w:pPr>
      <w:r w:rsidRPr="00C23F6C">
        <w:rPr>
          <w:rFonts w:ascii="Times New Roman" w:hAnsi="Times New Roman" w:cs="Times New Roman"/>
        </w:rPr>
        <w:t xml:space="preserve">Az ország közlekedési hálózatának közlekedésföldrajzi jellemzői (közút, vasút) </w:t>
      </w:r>
      <w:r w:rsidRPr="00C23F6C">
        <w:rPr>
          <w:rFonts w:ascii="Times New Roman" w:hAnsi="Times New Roman" w:cs="Times New Roman"/>
          <w:i/>
        </w:rPr>
        <w:t>(Geographical characteristics of the country’s transport network (road, railway)</w:t>
      </w:r>
    </w:p>
    <w:p w:rsidR="00C23F6C" w:rsidRPr="00C23F6C" w:rsidRDefault="00C23F6C" w:rsidP="00980876">
      <w:pPr>
        <w:widowControl w:val="0"/>
        <w:numPr>
          <w:ilvl w:val="1"/>
          <w:numId w:val="331"/>
        </w:numPr>
        <w:tabs>
          <w:tab w:val="clear" w:pos="3977"/>
        </w:tabs>
        <w:spacing w:after="0" w:line="240" w:lineRule="auto"/>
        <w:ind w:left="1134" w:hanging="709"/>
        <w:jc w:val="both"/>
        <w:rPr>
          <w:rFonts w:ascii="Times New Roman" w:eastAsia="Times New Roman" w:hAnsi="Times New Roman" w:cs="Times New Roman"/>
          <w:b/>
        </w:rPr>
      </w:pPr>
      <w:r w:rsidRPr="00C23F6C">
        <w:rPr>
          <w:rFonts w:ascii="Times New Roman" w:hAnsi="Times New Roman" w:cs="Times New Roman"/>
        </w:rPr>
        <w:t xml:space="preserve">Az ország közlekedési hálózatának közlekedésföldrajzi jellemzői (vízi) </w:t>
      </w:r>
      <w:r w:rsidRPr="00C23F6C">
        <w:rPr>
          <w:rFonts w:ascii="Times New Roman" w:hAnsi="Times New Roman" w:cs="Times New Roman"/>
          <w:i/>
        </w:rPr>
        <w:t>(Geographical characteristics of the country’s transport network (water)</w:t>
      </w:r>
    </w:p>
    <w:p w:rsidR="00C23F6C" w:rsidRPr="00C23F6C" w:rsidRDefault="00C23F6C" w:rsidP="00980876">
      <w:pPr>
        <w:widowControl w:val="0"/>
        <w:numPr>
          <w:ilvl w:val="1"/>
          <w:numId w:val="331"/>
        </w:numPr>
        <w:tabs>
          <w:tab w:val="clear" w:pos="3977"/>
        </w:tabs>
        <w:spacing w:after="0" w:line="240" w:lineRule="auto"/>
        <w:ind w:left="1134" w:hanging="709"/>
        <w:jc w:val="both"/>
        <w:rPr>
          <w:rFonts w:ascii="Times New Roman" w:eastAsia="Times New Roman" w:hAnsi="Times New Roman" w:cs="Times New Roman"/>
          <w:b/>
        </w:rPr>
      </w:pPr>
      <w:r w:rsidRPr="00C23F6C">
        <w:rPr>
          <w:rFonts w:ascii="Times New Roman" w:hAnsi="Times New Roman" w:cs="Times New Roman"/>
        </w:rPr>
        <w:t xml:space="preserve">Az ország közlekedési hálózatának közlekedésföldrajzi jellemzői (légi) </w:t>
      </w:r>
      <w:r w:rsidRPr="00C23F6C">
        <w:rPr>
          <w:rFonts w:ascii="Times New Roman" w:hAnsi="Times New Roman" w:cs="Times New Roman"/>
          <w:i/>
        </w:rPr>
        <w:t>(Geographical characteristics of the country’s transport network (air)</w:t>
      </w:r>
    </w:p>
    <w:p w:rsidR="00C23F6C" w:rsidRPr="00C23F6C" w:rsidRDefault="00C23F6C" w:rsidP="00980876">
      <w:pPr>
        <w:widowControl w:val="0"/>
        <w:numPr>
          <w:ilvl w:val="1"/>
          <w:numId w:val="331"/>
        </w:numPr>
        <w:tabs>
          <w:tab w:val="clear" w:pos="3977"/>
        </w:tabs>
        <w:spacing w:after="0" w:line="240" w:lineRule="auto"/>
        <w:ind w:left="1134" w:hanging="709"/>
        <w:jc w:val="both"/>
        <w:rPr>
          <w:rFonts w:ascii="Times New Roman" w:eastAsia="Times New Roman" w:hAnsi="Times New Roman" w:cs="Times New Roman"/>
          <w:b/>
        </w:rPr>
      </w:pPr>
      <w:r w:rsidRPr="00C23F6C">
        <w:rPr>
          <w:rFonts w:ascii="Times New Roman" w:hAnsi="Times New Roman" w:cs="Times New Roman"/>
        </w:rPr>
        <w:t xml:space="preserve">Az ország közlekedési hálózatának közlekedésföldrajzi jellemzői (csővezeték) </w:t>
      </w:r>
      <w:r w:rsidRPr="00C23F6C">
        <w:rPr>
          <w:rFonts w:ascii="Times New Roman" w:hAnsi="Times New Roman" w:cs="Times New Roman"/>
          <w:i/>
        </w:rPr>
        <w:t>(Geographical characteristics of the country’s transport network (pipeline)</w:t>
      </w:r>
    </w:p>
    <w:p w:rsidR="00C23F6C" w:rsidRPr="00C23F6C" w:rsidRDefault="00C23F6C" w:rsidP="00980876">
      <w:pPr>
        <w:widowControl w:val="0"/>
        <w:numPr>
          <w:ilvl w:val="1"/>
          <w:numId w:val="331"/>
        </w:numPr>
        <w:tabs>
          <w:tab w:val="clear" w:pos="3977"/>
        </w:tabs>
        <w:spacing w:after="0" w:line="240" w:lineRule="auto"/>
        <w:ind w:left="1134" w:hanging="709"/>
        <w:jc w:val="both"/>
        <w:rPr>
          <w:rFonts w:ascii="Times New Roman" w:eastAsia="Times New Roman" w:hAnsi="Times New Roman" w:cs="Times New Roman"/>
          <w:b/>
        </w:rPr>
      </w:pPr>
      <w:r w:rsidRPr="00C23F6C">
        <w:rPr>
          <w:rFonts w:ascii="Times New Roman" w:hAnsi="Times New Roman" w:cs="Times New Roman"/>
        </w:rPr>
        <w:t xml:space="preserve">Magyarország közlekedési hálózati rendszere, helye, szerepe az európai </w:t>
      </w:r>
      <w:r w:rsidRPr="00C23F6C">
        <w:rPr>
          <w:rFonts w:ascii="Times New Roman" w:hAnsi="Times New Roman" w:cs="Times New Roman"/>
        </w:rPr>
        <w:tab/>
        <w:t xml:space="preserve">közlekedési rendszerben </w:t>
      </w:r>
      <w:r w:rsidRPr="00C23F6C">
        <w:rPr>
          <w:rFonts w:ascii="Times New Roman" w:hAnsi="Times New Roman" w:cs="Times New Roman"/>
          <w:i/>
        </w:rPr>
        <w:t>(Hungary’s transport network system, its place and role in the European transport system)</w:t>
      </w:r>
    </w:p>
    <w:p w:rsidR="00C23F6C" w:rsidRPr="00C23F6C" w:rsidRDefault="00C23F6C" w:rsidP="00980876">
      <w:pPr>
        <w:widowControl w:val="0"/>
        <w:numPr>
          <w:ilvl w:val="1"/>
          <w:numId w:val="331"/>
        </w:numPr>
        <w:tabs>
          <w:tab w:val="clear" w:pos="3977"/>
        </w:tabs>
        <w:spacing w:after="0" w:line="240" w:lineRule="auto"/>
        <w:ind w:left="1134" w:hanging="709"/>
        <w:jc w:val="both"/>
        <w:rPr>
          <w:rFonts w:ascii="Times New Roman" w:eastAsia="Times New Roman" w:hAnsi="Times New Roman" w:cs="Times New Roman"/>
          <w:b/>
        </w:rPr>
      </w:pPr>
      <w:r w:rsidRPr="00C23F6C">
        <w:rPr>
          <w:rFonts w:ascii="Times New Roman" w:hAnsi="Times New Roman" w:cs="Times New Roman"/>
        </w:rPr>
        <w:t xml:space="preserve">Közlekedésföldrajzi tényezők hatása a katonai közlekedési, szállítási feladatok végrehajtására </w:t>
      </w:r>
      <w:r w:rsidRPr="00C23F6C">
        <w:rPr>
          <w:rFonts w:ascii="Times New Roman" w:hAnsi="Times New Roman" w:cs="Times New Roman"/>
          <w:i/>
        </w:rPr>
        <w:t>(The effect of transport geographic factors on the execution of military transport and transport tasks)</w:t>
      </w:r>
    </w:p>
    <w:p w:rsidR="00C23F6C" w:rsidRPr="00C23F6C" w:rsidRDefault="00C23F6C" w:rsidP="00980876">
      <w:pPr>
        <w:widowControl w:val="0"/>
        <w:numPr>
          <w:ilvl w:val="1"/>
          <w:numId w:val="331"/>
        </w:numPr>
        <w:tabs>
          <w:tab w:val="clear" w:pos="3977"/>
        </w:tabs>
        <w:spacing w:after="0" w:line="240" w:lineRule="auto"/>
        <w:ind w:left="1134" w:hanging="709"/>
        <w:jc w:val="both"/>
        <w:rPr>
          <w:rFonts w:ascii="Times New Roman" w:eastAsia="Times New Roman" w:hAnsi="Times New Roman" w:cs="Times New Roman"/>
          <w:b/>
        </w:rPr>
      </w:pPr>
      <w:r w:rsidRPr="00C23F6C">
        <w:rPr>
          <w:rFonts w:ascii="Times New Roman" w:hAnsi="Times New Roman" w:cs="Times New Roman"/>
          <w:i/>
          <w:color w:val="000000"/>
        </w:rPr>
        <w:t xml:space="preserve"> </w:t>
      </w:r>
      <w:r w:rsidRPr="00C23F6C">
        <w:rPr>
          <w:rFonts w:ascii="Times New Roman" w:hAnsi="Times New Roman" w:cs="Times New Roman"/>
        </w:rPr>
        <w:t>Zárthelyi dolgozat</w:t>
      </w:r>
    </w:p>
    <w:p w:rsidR="00C23F6C" w:rsidRPr="00C23F6C" w:rsidRDefault="00C23F6C" w:rsidP="00980876">
      <w:pPr>
        <w:widowControl w:val="0"/>
        <w:numPr>
          <w:ilvl w:val="1"/>
          <w:numId w:val="331"/>
        </w:numPr>
        <w:tabs>
          <w:tab w:val="clear" w:pos="3977"/>
        </w:tabs>
        <w:spacing w:after="0" w:line="240" w:lineRule="auto"/>
        <w:ind w:left="1134" w:hanging="709"/>
        <w:jc w:val="both"/>
        <w:rPr>
          <w:rFonts w:ascii="Times New Roman" w:eastAsia="Times New Roman" w:hAnsi="Times New Roman" w:cs="Times New Roman"/>
        </w:rPr>
      </w:pPr>
      <w:r w:rsidRPr="00C23F6C">
        <w:rPr>
          <w:rFonts w:ascii="Times New Roman" w:eastAsia="Times New Roman" w:hAnsi="Times New Roman" w:cs="Times New Roman"/>
        </w:rPr>
        <w:t xml:space="preserve">Összegzés </w:t>
      </w:r>
      <w:r w:rsidRPr="00C23F6C">
        <w:rPr>
          <w:rFonts w:ascii="Times New Roman" w:eastAsia="Times New Roman" w:hAnsi="Times New Roman" w:cs="Times New Roman"/>
          <w:i/>
        </w:rPr>
        <w:t>(Summary)</w:t>
      </w:r>
      <w:r w:rsidRPr="00C23F6C">
        <w:rPr>
          <w:rFonts w:ascii="Times New Roman" w:eastAsia="Times New Roman" w:hAnsi="Times New Roman" w:cs="Times New Roman"/>
        </w:rPr>
        <w:t xml:space="preserve"> </w:t>
      </w:r>
    </w:p>
    <w:p w:rsidR="00C23F6C" w:rsidRPr="00C23F6C" w:rsidRDefault="00C23F6C" w:rsidP="00980876">
      <w:pPr>
        <w:widowControl w:val="0"/>
        <w:numPr>
          <w:ilvl w:val="0"/>
          <w:numId w:val="331"/>
        </w:numPr>
        <w:tabs>
          <w:tab w:val="num" w:pos="360"/>
        </w:tabs>
        <w:spacing w:before="120" w:after="120" w:line="240" w:lineRule="auto"/>
        <w:ind w:left="426" w:hanging="142"/>
        <w:jc w:val="both"/>
        <w:rPr>
          <w:rFonts w:ascii="Times New Roman" w:eastAsia="Times New Roman" w:hAnsi="Times New Roman" w:cs="Times New Roman"/>
          <w:bCs/>
        </w:rPr>
      </w:pPr>
      <w:r w:rsidRPr="00C23F6C">
        <w:rPr>
          <w:rFonts w:ascii="Times New Roman" w:eastAsia="Times New Roman" w:hAnsi="Times New Roman" w:cs="Times New Roman"/>
          <w:b/>
          <w:bCs/>
        </w:rPr>
        <w:t xml:space="preserve">A tantárgy meghirdetésének gyakorisága/a tantervben történő félévi elhelyezkedése: </w:t>
      </w:r>
      <w:r w:rsidRPr="00C23F6C">
        <w:rPr>
          <w:rFonts w:ascii="Times New Roman" w:eastAsia="Times New Roman" w:hAnsi="Times New Roman" w:cs="Times New Roman"/>
          <w:bCs/>
        </w:rPr>
        <w:t>tanévenként a 7. félévben</w:t>
      </w:r>
    </w:p>
    <w:p w:rsidR="00C23F6C" w:rsidRPr="00C23F6C" w:rsidRDefault="00C23F6C" w:rsidP="00980876">
      <w:pPr>
        <w:widowControl w:val="0"/>
        <w:numPr>
          <w:ilvl w:val="0"/>
          <w:numId w:val="331"/>
        </w:numPr>
        <w:tabs>
          <w:tab w:val="num" w:pos="360"/>
        </w:tabs>
        <w:spacing w:before="120" w:after="120" w:line="240" w:lineRule="auto"/>
        <w:ind w:left="426" w:hanging="142"/>
        <w:jc w:val="both"/>
        <w:rPr>
          <w:rFonts w:ascii="Times New Roman" w:eastAsia="Times New Roman" w:hAnsi="Times New Roman" w:cs="Times New Roman"/>
          <w:bCs/>
        </w:rPr>
      </w:pPr>
      <w:r w:rsidRPr="00C23F6C">
        <w:rPr>
          <w:rFonts w:ascii="Times New Roman" w:eastAsia="Times New Roman" w:hAnsi="Times New Roman" w:cs="Times New Roman"/>
          <w:b/>
          <w:bCs/>
        </w:rPr>
        <w:t>A tanórákon való részvétel követelményei, az elfogadható hiányzások mértéke, a távolmaradás pótlásának lehetősége:</w:t>
      </w:r>
      <w:r w:rsidRPr="00C23F6C">
        <w:rPr>
          <w:rFonts w:ascii="Times New Roman" w:eastAsia="Times New Roman" w:hAnsi="Times New Roman" w:cs="Times New Roman"/>
          <w:bCs/>
        </w:rPr>
        <w:t xml:space="preserve"> </w:t>
      </w:r>
    </w:p>
    <w:p w:rsidR="00C23F6C" w:rsidRPr="00C23F6C" w:rsidRDefault="00C23F6C" w:rsidP="00C23F6C">
      <w:pPr>
        <w:ind w:left="284"/>
        <w:jc w:val="both"/>
        <w:rPr>
          <w:rFonts w:ascii="Times New Roman" w:eastAsia="Times New Roman" w:hAnsi="Times New Roman" w:cs="Times New Roman"/>
          <w:bCs/>
        </w:rPr>
      </w:pPr>
      <w:r w:rsidRPr="00C23F6C">
        <w:rPr>
          <w:rFonts w:ascii="Times New Roman" w:eastAsia="Times New Roman" w:hAnsi="Times New Roman" w:cs="Times New Roman"/>
          <w:bCs/>
        </w:rPr>
        <w:lastRenderedPageBreak/>
        <w:t xml:space="preserve">Részvétel az előadások legalább 70 %-án, a 30 %-ot meghaladó hiányzás esetén a kurzus teljesítése nem írható alá. A tantermi foglalkozásról való távolmaradás esetén a hallgató önképzés keretében pótolja a tananyagot. </w:t>
      </w:r>
    </w:p>
    <w:p w:rsidR="00C23F6C" w:rsidRPr="00C23F6C" w:rsidRDefault="00C23F6C" w:rsidP="00980876">
      <w:pPr>
        <w:widowControl w:val="0"/>
        <w:numPr>
          <w:ilvl w:val="0"/>
          <w:numId w:val="331"/>
        </w:numPr>
        <w:tabs>
          <w:tab w:val="num" w:pos="360"/>
        </w:tabs>
        <w:spacing w:before="120" w:after="120" w:line="240" w:lineRule="auto"/>
        <w:ind w:left="426" w:hanging="142"/>
        <w:jc w:val="both"/>
        <w:rPr>
          <w:rFonts w:ascii="Times New Roman" w:eastAsia="Times New Roman" w:hAnsi="Times New Roman" w:cs="Times New Roman"/>
          <w:bCs/>
        </w:rPr>
      </w:pPr>
      <w:r w:rsidRPr="00C23F6C">
        <w:rPr>
          <w:rFonts w:ascii="Times New Roman" w:eastAsia="Times New Roman" w:hAnsi="Times New Roman" w:cs="Times New Roman"/>
          <w:b/>
        </w:rPr>
        <w:t>Félévközi feladatok, ismeretek ellenőrzésének rendje:</w:t>
      </w:r>
      <w:r w:rsidRPr="00C23F6C">
        <w:rPr>
          <w:rFonts w:ascii="Times New Roman" w:eastAsia="Times New Roman" w:hAnsi="Times New Roman" w:cs="Times New Roman"/>
          <w:bCs/>
        </w:rPr>
        <w:t xml:space="preserve"> </w:t>
      </w:r>
    </w:p>
    <w:p w:rsidR="00C23F6C" w:rsidRPr="00C23F6C" w:rsidRDefault="00C23F6C" w:rsidP="002712A8">
      <w:pPr>
        <w:spacing w:line="240" w:lineRule="auto"/>
        <w:ind w:left="284"/>
        <w:jc w:val="both"/>
        <w:rPr>
          <w:rFonts w:ascii="Times New Roman" w:eastAsia="Times New Roman" w:hAnsi="Times New Roman" w:cs="Times New Roman"/>
          <w:bCs/>
        </w:rPr>
      </w:pPr>
      <w:r w:rsidRPr="00C23F6C">
        <w:rPr>
          <w:rFonts w:ascii="Times New Roman" w:eastAsia="Times New Roman" w:hAnsi="Times New Roman" w:cs="Times New Roman"/>
          <w:bCs/>
        </w:rPr>
        <w:t>Félévközi feladatok típusa: kiselődás és beadandó dolgozat. A kurzus elméleti tananyagához kapcsolódó egy évközi kiselőadás megtartása (15 perc), egy tanulmány és a hozzá kapcsolódó prezentáció elkészítése az előadások, a foglalkozások, valamint a kötelező és ajánlott irodalom ismereteiből. A tanulmány terjedelme 8-10 oldal. A tantárgy sikeres teljesítésének feltétele a feladatok határidőre való elkészítése. A 12.15. foglalkozáson a zárthelyi dolgozat legalább elégséges (2) értékeléssel történő teljesítése.</w:t>
      </w:r>
    </w:p>
    <w:p w:rsidR="00C23F6C" w:rsidRPr="00C23F6C" w:rsidRDefault="00C23F6C" w:rsidP="00980876">
      <w:pPr>
        <w:widowControl w:val="0"/>
        <w:numPr>
          <w:ilvl w:val="0"/>
          <w:numId w:val="331"/>
        </w:numPr>
        <w:spacing w:before="120" w:after="120" w:line="240" w:lineRule="auto"/>
        <w:ind w:left="426" w:hanging="142"/>
        <w:jc w:val="both"/>
        <w:rPr>
          <w:rFonts w:ascii="Times New Roman" w:eastAsia="Times New Roman" w:hAnsi="Times New Roman" w:cs="Times New Roman"/>
          <w:b/>
          <w:bCs/>
        </w:rPr>
      </w:pPr>
      <w:r w:rsidRPr="00C23F6C">
        <w:rPr>
          <w:rFonts w:ascii="Times New Roman" w:eastAsia="Times New Roman" w:hAnsi="Times New Roman" w:cs="Times New Roman"/>
          <w:b/>
          <w:bCs/>
        </w:rPr>
        <w:t xml:space="preserve">Az értékelés, az aláírás és a kreditek megszerzésének pontos feltételei: </w:t>
      </w:r>
    </w:p>
    <w:p w:rsidR="00C23F6C" w:rsidRPr="00C23F6C" w:rsidRDefault="00C23F6C" w:rsidP="002712A8">
      <w:pPr>
        <w:spacing w:line="240" w:lineRule="auto"/>
        <w:ind w:left="284"/>
        <w:jc w:val="both"/>
        <w:rPr>
          <w:rFonts w:ascii="Times New Roman" w:eastAsia="Times New Roman" w:hAnsi="Times New Roman" w:cs="Times New Roman"/>
          <w:bCs/>
        </w:rPr>
      </w:pPr>
      <w:r w:rsidRPr="00C23F6C">
        <w:rPr>
          <w:rFonts w:ascii="Times New Roman" w:eastAsia="Times New Roman" w:hAnsi="Times New Roman" w:cs="Times New Roman"/>
          <w:bCs/>
        </w:rPr>
        <w:t>A félév végi aláírás feltétele, hogy a hallgató az órák legalább 70 %-án vegyen részt. Feltétel még az é</w:t>
      </w:r>
      <w:r w:rsidRPr="00C23F6C">
        <w:rPr>
          <w:rFonts w:ascii="Times New Roman" w:hAnsi="Times New Roman" w:cs="Times New Roman"/>
        </w:rPr>
        <w:t xml:space="preserve">vközi feladat teljesítése: a kurzus elméleti </w:t>
      </w:r>
      <w:r w:rsidRPr="002712A8">
        <w:rPr>
          <w:rFonts w:ascii="Times New Roman" w:eastAsia="Times New Roman" w:hAnsi="Times New Roman" w:cs="Times New Roman"/>
          <w:bCs/>
        </w:rPr>
        <w:t>tananyagához</w:t>
      </w:r>
      <w:r w:rsidRPr="00C23F6C">
        <w:rPr>
          <w:rFonts w:ascii="Times New Roman" w:hAnsi="Times New Roman" w:cs="Times New Roman"/>
        </w:rPr>
        <w:t xml:space="preserve"> kapcsolódó, a hallgatók részére meghatározott témákból </w:t>
      </w:r>
      <w:r w:rsidRPr="00C23F6C">
        <w:rPr>
          <w:rFonts w:ascii="Times New Roman" w:eastAsia="Times New Roman" w:hAnsi="Times New Roman" w:cs="Times New Roman"/>
          <w:bCs/>
        </w:rPr>
        <w:t>egy évközi kiselőadás megtartása, egy tanulmány és a hozzá kapcsolódó prezentáció, valamint a zárthelyi dolgozat legalább elégséges (2) értékeléssel történő teljesítése.</w:t>
      </w:r>
    </w:p>
    <w:p w:rsidR="00C23F6C" w:rsidRPr="00C23F6C" w:rsidRDefault="00C23F6C" w:rsidP="00980876">
      <w:pPr>
        <w:widowControl w:val="0"/>
        <w:numPr>
          <w:ilvl w:val="1"/>
          <w:numId w:val="331"/>
        </w:numPr>
        <w:tabs>
          <w:tab w:val="clear" w:pos="3977"/>
          <w:tab w:val="left" w:pos="709"/>
          <w:tab w:val="left" w:pos="993"/>
          <w:tab w:val="num" w:pos="2069"/>
        </w:tabs>
        <w:spacing w:before="120" w:after="120" w:line="240" w:lineRule="auto"/>
        <w:ind w:left="425" w:firstLine="0"/>
        <w:jc w:val="both"/>
        <w:rPr>
          <w:rFonts w:ascii="Times New Roman" w:hAnsi="Times New Roman" w:cs="Times New Roman"/>
        </w:rPr>
      </w:pPr>
      <w:r w:rsidRPr="00C23F6C">
        <w:rPr>
          <w:rFonts w:ascii="Times New Roman" w:eastAsia="Times New Roman" w:hAnsi="Times New Roman" w:cs="Times New Roman"/>
          <w:b/>
        </w:rPr>
        <w:t>Az aláírás megszerzésének feltételei:</w:t>
      </w:r>
      <w:r w:rsidRPr="00C23F6C">
        <w:rPr>
          <w:rFonts w:ascii="Times New Roman" w:eastAsia="Times New Roman" w:hAnsi="Times New Roman" w:cs="Times New Roman"/>
        </w:rPr>
        <w:t xml:space="preserve"> </w:t>
      </w:r>
      <w:r w:rsidRPr="00C23F6C">
        <w:rPr>
          <w:rFonts w:ascii="Times New Roman" w:hAnsi="Times New Roman" w:cs="Times New Roman"/>
        </w:rPr>
        <w:t>Az aláírás megszerzésének feltétele a 14. pontban meghatározott arányú részvétel a foglalkozásokon és a 15. pontban meghatározott félévközi feladatok legalább elégséges teljesítése.</w:t>
      </w:r>
    </w:p>
    <w:p w:rsidR="00C23F6C" w:rsidRPr="00C23F6C" w:rsidRDefault="00C23F6C" w:rsidP="00980876">
      <w:pPr>
        <w:widowControl w:val="0"/>
        <w:numPr>
          <w:ilvl w:val="1"/>
          <w:numId w:val="331"/>
        </w:numPr>
        <w:tabs>
          <w:tab w:val="clear" w:pos="3977"/>
          <w:tab w:val="left" w:pos="709"/>
          <w:tab w:val="left" w:pos="993"/>
          <w:tab w:val="num" w:pos="2069"/>
        </w:tabs>
        <w:spacing w:before="120" w:after="120" w:line="240" w:lineRule="auto"/>
        <w:ind w:left="426" w:firstLine="0"/>
        <w:contextualSpacing/>
        <w:jc w:val="both"/>
        <w:rPr>
          <w:rFonts w:ascii="Times New Roman" w:eastAsia="Times New Roman" w:hAnsi="Times New Roman" w:cs="Times New Roman"/>
        </w:rPr>
      </w:pPr>
      <w:r w:rsidRPr="00C23F6C">
        <w:rPr>
          <w:rFonts w:ascii="Times New Roman" w:eastAsia="Times New Roman" w:hAnsi="Times New Roman" w:cs="Times New Roman"/>
          <w:b/>
        </w:rPr>
        <w:t xml:space="preserve">Az értékelés: </w:t>
      </w:r>
      <w:r w:rsidRPr="00C23F6C">
        <w:rPr>
          <w:rFonts w:ascii="Times New Roman" w:eastAsia="Times New Roman" w:hAnsi="Times New Roman" w:cs="Times New Roman"/>
        </w:rPr>
        <w:t xml:space="preserve">A 15. pontban meghatározott évközi kiselőadás, a tanulmány és a hozzá kapcsolódó prezentáció, valamint a zárthelyi dolgozta eredményének számtani közepe adja az évközi jegyet. </w:t>
      </w:r>
    </w:p>
    <w:p w:rsidR="00C23F6C" w:rsidRPr="00C23F6C" w:rsidRDefault="00C23F6C" w:rsidP="00980876">
      <w:pPr>
        <w:widowControl w:val="0"/>
        <w:numPr>
          <w:ilvl w:val="1"/>
          <w:numId w:val="331"/>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color w:val="000000" w:themeColor="text1"/>
        </w:rPr>
      </w:pPr>
      <w:r w:rsidRPr="00C23F6C">
        <w:rPr>
          <w:rFonts w:ascii="Times New Roman" w:eastAsia="Times New Roman" w:hAnsi="Times New Roman" w:cs="Times New Roman"/>
          <w:b/>
        </w:rPr>
        <w:t>A kreditek megszerzésének feltételei:</w:t>
      </w:r>
      <w:r w:rsidRPr="00C23F6C">
        <w:rPr>
          <w:rFonts w:ascii="Times New Roman" w:eastAsia="Times New Roman" w:hAnsi="Times New Roman" w:cs="Times New Roman"/>
        </w:rPr>
        <w:t xml:space="preserve"> A kurzus félévközi jeggyel zárul. A kreditek megszerzésének feltétele az aláírás megszerzése és a 16. pontban meghatározott félévközi feladatok legalább elégséges (2) eredménnyel történő értékelése.  </w:t>
      </w:r>
    </w:p>
    <w:p w:rsidR="00C23F6C" w:rsidRPr="00C23F6C" w:rsidRDefault="00C23F6C" w:rsidP="00980876">
      <w:pPr>
        <w:widowControl w:val="0"/>
        <w:numPr>
          <w:ilvl w:val="0"/>
          <w:numId w:val="331"/>
        </w:numPr>
        <w:tabs>
          <w:tab w:val="num" w:pos="360"/>
        </w:tabs>
        <w:spacing w:before="120" w:after="120" w:line="240" w:lineRule="auto"/>
        <w:ind w:left="426" w:hanging="142"/>
        <w:jc w:val="both"/>
        <w:rPr>
          <w:rFonts w:ascii="Times New Roman" w:eastAsia="Times New Roman" w:hAnsi="Times New Roman" w:cs="Times New Roman"/>
          <w:bCs/>
        </w:rPr>
      </w:pPr>
      <w:r w:rsidRPr="00C23F6C">
        <w:rPr>
          <w:rFonts w:ascii="Times New Roman" w:eastAsia="Times New Roman" w:hAnsi="Times New Roman" w:cs="Times New Roman"/>
          <w:b/>
          <w:bCs/>
        </w:rPr>
        <w:t>Irodalomjegyzék:</w:t>
      </w:r>
    </w:p>
    <w:p w:rsidR="00C23F6C" w:rsidRPr="00C23F6C" w:rsidRDefault="00C23F6C" w:rsidP="00980876">
      <w:pPr>
        <w:widowControl w:val="0"/>
        <w:numPr>
          <w:ilvl w:val="1"/>
          <w:numId w:val="331"/>
        </w:numPr>
        <w:tabs>
          <w:tab w:val="clear" w:pos="3977"/>
          <w:tab w:val="left" w:pos="567"/>
          <w:tab w:val="num" w:pos="716"/>
          <w:tab w:val="left" w:pos="851"/>
          <w:tab w:val="num" w:pos="2069"/>
        </w:tabs>
        <w:spacing w:before="120" w:after="120" w:line="240" w:lineRule="auto"/>
        <w:ind w:left="426" w:hanging="142"/>
        <w:jc w:val="both"/>
        <w:rPr>
          <w:rFonts w:ascii="Times New Roman" w:eastAsia="Times New Roman" w:hAnsi="Times New Roman" w:cs="Times New Roman"/>
          <w:bCs/>
        </w:rPr>
      </w:pPr>
      <w:r w:rsidRPr="00C23F6C">
        <w:rPr>
          <w:rFonts w:ascii="Times New Roman" w:eastAsia="Times New Roman" w:hAnsi="Times New Roman" w:cs="Times New Roman"/>
          <w:b/>
          <w:bCs/>
        </w:rPr>
        <w:t>Kötelező irodalom:</w:t>
      </w:r>
    </w:p>
    <w:p w:rsidR="00C23F6C" w:rsidRPr="00C23F6C" w:rsidRDefault="00C23F6C" w:rsidP="00980876">
      <w:pPr>
        <w:pStyle w:val="Listaszerbekezds"/>
        <w:widowControl w:val="0"/>
        <w:numPr>
          <w:ilvl w:val="0"/>
          <w:numId w:val="333"/>
        </w:numPr>
        <w:spacing w:after="0" w:line="240" w:lineRule="auto"/>
        <w:jc w:val="both"/>
        <w:rPr>
          <w:rFonts w:ascii="Times New Roman" w:eastAsia="Times New Roman" w:hAnsi="Times New Roman" w:cs="Times New Roman"/>
        </w:rPr>
      </w:pPr>
      <w:r w:rsidRPr="00C23F6C">
        <w:rPr>
          <w:rFonts w:ascii="Times New Roman" w:hAnsi="Times New Roman" w:cs="Times New Roman"/>
        </w:rPr>
        <w:t>Siposné Kecskeméthy Klára-Szászi Gábor: Közlekedési hálózatok, egyetemi jegyzet, Nordex Nonprofit Kft.- Dialóg Campus Kiadó, Budapest, 2018. ISBN 978-615-5920-84-4</w:t>
      </w:r>
    </w:p>
    <w:p w:rsidR="00C23F6C" w:rsidRPr="00C23F6C" w:rsidRDefault="00C23F6C" w:rsidP="00980876">
      <w:pPr>
        <w:pStyle w:val="Listaszerbekezds"/>
        <w:widowControl w:val="0"/>
        <w:numPr>
          <w:ilvl w:val="0"/>
          <w:numId w:val="333"/>
        </w:numPr>
        <w:spacing w:after="0" w:line="240" w:lineRule="auto"/>
        <w:jc w:val="both"/>
        <w:rPr>
          <w:rFonts w:ascii="Times New Roman" w:eastAsia="Times New Roman" w:hAnsi="Times New Roman" w:cs="Times New Roman"/>
        </w:rPr>
      </w:pPr>
      <w:r w:rsidRPr="00C23F6C">
        <w:rPr>
          <w:rFonts w:ascii="Times New Roman" w:hAnsi="Times New Roman" w:cs="Times New Roman"/>
        </w:rPr>
        <w:t>Szászi Gábor: Közlekedési támogatás szócikkek, In: Forgács Balázs; Gőcze István; Szabó József, Szabó Miklós Krajnc Zoltán (Szerk.) Hadtudományi Lexikon, Új kötet, Ludovika Egyetemi Kiadó, Budapest, 2019. ISBN 978-963-531-095-1</w:t>
      </w:r>
    </w:p>
    <w:p w:rsidR="00C23F6C" w:rsidRPr="00C23F6C" w:rsidRDefault="00C23F6C" w:rsidP="00980876">
      <w:pPr>
        <w:widowControl w:val="0"/>
        <w:numPr>
          <w:ilvl w:val="1"/>
          <w:numId w:val="331"/>
        </w:numPr>
        <w:tabs>
          <w:tab w:val="clear" w:pos="3977"/>
          <w:tab w:val="num" w:pos="567"/>
          <w:tab w:val="num" w:pos="716"/>
          <w:tab w:val="num" w:pos="2069"/>
        </w:tabs>
        <w:spacing w:before="120" w:after="120" w:line="240" w:lineRule="auto"/>
        <w:ind w:left="993" w:hanging="709"/>
        <w:jc w:val="both"/>
        <w:rPr>
          <w:rFonts w:ascii="Times New Roman" w:eastAsia="Times New Roman" w:hAnsi="Times New Roman" w:cs="Times New Roman"/>
          <w:b/>
          <w:bCs/>
        </w:rPr>
      </w:pPr>
      <w:r w:rsidRPr="00C23F6C">
        <w:rPr>
          <w:rFonts w:ascii="Times New Roman" w:eastAsia="Times New Roman" w:hAnsi="Times New Roman" w:cs="Times New Roman"/>
          <w:b/>
          <w:bCs/>
        </w:rPr>
        <w:t>Ajánlott irodalom:</w:t>
      </w:r>
    </w:p>
    <w:p w:rsidR="00C23F6C" w:rsidRPr="00C23F6C" w:rsidRDefault="00C23F6C" w:rsidP="00980876">
      <w:pPr>
        <w:pStyle w:val="Listaszerbekezds"/>
        <w:widowControl w:val="0"/>
        <w:numPr>
          <w:ilvl w:val="0"/>
          <w:numId w:val="334"/>
        </w:numPr>
        <w:spacing w:after="0" w:line="240" w:lineRule="auto"/>
        <w:jc w:val="both"/>
        <w:rPr>
          <w:rFonts w:ascii="Times New Roman" w:eastAsia="Times New Roman" w:hAnsi="Times New Roman" w:cs="Times New Roman"/>
          <w:color w:val="000000" w:themeColor="text1"/>
          <w:highlight w:val="lightGray"/>
        </w:rPr>
      </w:pPr>
      <w:r w:rsidRPr="00C23F6C">
        <w:rPr>
          <w:rFonts w:ascii="Times New Roman" w:hAnsi="Times New Roman" w:cs="Times New Roman"/>
        </w:rPr>
        <w:t>Siposné Kecskeméthy Klára: Katonaföldrajzi szócikkek, In: Forgács Balázs; Gőcze István; Szabó József, Szabó Miklós Krajnc Zoltán (Szerk.) Hadtudományi Lexikon, Új kötet, Ludovika Egyetemi Kiadó, Budapest, 2019. ISBN 978-963-531-095-1</w:t>
      </w:r>
    </w:p>
    <w:p w:rsidR="00C23F6C" w:rsidRPr="00C23F6C" w:rsidRDefault="00C23F6C" w:rsidP="00980876">
      <w:pPr>
        <w:pStyle w:val="Listaszerbekezds"/>
        <w:widowControl w:val="0"/>
        <w:numPr>
          <w:ilvl w:val="0"/>
          <w:numId w:val="334"/>
        </w:numPr>
        <w:spacing w:after="0" w:line="240" w:lineRule="auto"/>
        <w:jc w:val="both"/>
        <w:rPr>
          <w:rFonts w:ascii="Times New Roman" w:eastAsia="Times New Roman" w:hAnsi="Times New Roman" w:cs="Times New Roman"/>
        </w:rPr>
      </w:pPr>
      <w:r w:rsidRPr="00C23F6C">
        <w:rPr>
          <w:rFonts w:ascii="Times New Roman" w:hAnsi="Times New Roman" w:cs="Times New Roman"/>
        </w:rPr>
        <w:t>Erdősi Ferenc: Európa közlekedése és a regionális fejlődés. Dialóg Campus Kiadó, Budapest-Pécs, 2004. ISBN 963-9542-28-8</w:t>
      </w:r>
    </w:p>
    <w:p w:rsidR="00C23F6C" w:rsidRPr="00C23F6C" w:rsidRDefault="00C23F6C" w:rsidP="00980876">
      <w:pPr>
        <w:pStyle w:val="Listaszerbekezds"/>
        <w:widowControl w:val="0"/>
        <w:numPr>
          <w:ilvl w:val="0"/>
          <w:numId w:val="334"/>
        </w:numPr>
        <w:spacing w:after="0" w:line="240" w:lineRule="auto"/>
        <w:jc w:val="both"/>
        <w:rPr>
          <w:rFonts w:ascii="Times New Roman" w:eastAsia="Times New Roman" w:hAnsi="Times New Roman" w:cs="Times New Roman"/>
        </w:rPr>
      </w:pPr>
      <w:r w:rsidRPr="00C23F6C">
        <w:rPr>
          <w:rFonts w:ascii="Times New Roman" w:hAnsi="Times New Roman" w:cs="Times New Roman"/>
        </w:rPr>
        <w:t xml:space="preserve">Veres Lajos: Közlekedési rendszerek a regionális fejlesztési stratégiában. Magyar Közlekedési Kiadó, Budapest, 2004. </w:t>
      </w:r>
      <w:r w:rsidRPr="00C23F6C">
        <w:rPr>
          <w:rFonts w:ascii="Times New Roman" w:hAnsi="Times New Roman" w:cs="Times New Roman"/>
          <w:color w:val="3F3F3F"/>
          <w:shd w:val="clear" w:color="auto" w:fill="FFFFFF"/>
        </w:rPr>
        <w:t> </w:t>
      </w:r>
      <w:r w:rsidRPr="00C23F6C">
        <w:rPr>
          <w:rFonts w:ascii="Times New Roman" w:hAnsi="Times New Roman" w:cs="Times New Roman"/>
          <w:color w:val="000000" w:themeColor="text1"/>
          <w:shd w:val="clear" w:color="auto" w:fill="FFFFFF"/>
        </w:rPr>
        <w:t>ISBN: 963-961118-19</w:t>
      </w:r>
    </w:p>
    <w:p w:rsidR="00C23F6C" w:rsidRPr="00C23F6C" w:rsidRDefault="00C23F6C" w:rsidP="00C23F6C">
      <w:pPr>
        <w:widowControl w:val="0"/>
        <w:spacing w:after="0" w:line="240" w:lineRule="auto"/>
        <w:jc w:val="both"/>
        <w:rPr>
          <w:rFonts w:ascii="Times New Roman" w:eastAsia="Times New Roman" w:hAnsi="Times New Roman" w:cs="Times New Roman"/>
        </w:rPr>
      </w:pPr>
    </w:p>
    <w:p w:rsidR="00C23F6C" w:rsidRPr="00C23F6C" w:rsidRDefault="00C23F6C" w:rsidP="00C23F6C">
      <w:pPr>
        <w:widowControl w:val="0"/>
        <w:spacing w:before="120" w:after="120" w:line="240" w:lineRule="auto"/>
        <w:jc w:val="both"/>
        <w:rPr>
          <w:rFonts w:ascii="Times New Roman" w:eastAsia="Times New Roman" w:hAnsi="Times New Roman" w:cs="Times New Roman"/>
          <w:bCs/>
        </w:rPr>
      </w:pPr>
      <w:r w:rsidRPr="00C23F6C">
        <w:rPr>
          <w:rFonts w:ascii="Times New Roman" w:eastAsia="Times New Roman" w:hAnsi="Times New Roman" w:cs="Times New Roman"/>
          <w:bCs/>
        </w:rPr>
        <w:t xml:space="preserve">Budapest, 2020. március 16. </w:t>
      </w:r>
    </w:p>
    <w:p w:rsidR="00C23F6C" w:rsidRPr="00C23F6C" w:rsidRDefault="00C23F6C" w:rsidP="00C23F6C">
      <w:pPr>
        <w:widowControl w:val="0"/>
        <w:spacing w:before="120" w:after="120" w:line="240" w:lineRule="auto"/>
        <w:jc w:val="both"/>
        <w:rPr>
          <w:rFonts w:ascii="Times New Roman" w:eastAsia="Times New Roman" w:hAnsi="Times New Roman" w:cs="Times New Roman"/>
          <w:bCs/>
        </w:rPr>
      </w:pPr>
    </w:p>
    <w:p w:rsidR="00C23F6C" w:rsidRPr="00604838" w:rsidRDefault="00C23F6C" w:rsidP="00C23F6C">
      <w:pPr>
        <w:pStyle w:val="lfej"/>
        <w:tabs>
          <w:tab w:val="clear" w:pos="4536"/>
          <w:tab w:val="clear" w:pos="9072"/>
          <w:tab w:val="right" w:pos="900"/>
        </w:tabs>
        <w:spacing w:before="120"/>
        <w:jc w:val="right"/>
        <w:rPr>
          <w:rFonts w:ascii="Times New Roman" w:hAnsi="Times New Roman" w:cs="Times New Roman"/>
          <w:b/>
        </w:rPr>
      </w:pPr>
      <w:r w:rsidRPr="00604838">
        <w:rPr>
          <w:rFonts w:ascii="Times New Roman" w:hAnsi="Times New Roman" w:cs="Times New Roman"/>
          <w:b/>
          <w:bCs/>
        </w:rPr>
        <w:t xml:space="preserve">Siposné dr. Kecskeméthy Klára </w:t>
      </w:r>
      <w:r w:rsidRPr="00604838">
        <w:rPr>
          <w:rFonts w:ascii="Times New Roman" w:hAnsi="Times New Roman" w:cs="Times New Roman"/>
          <w:b/>
        </w:rPr>
        <w:t>ezds.</w:t>
      </w:r>
    </w:p>
    <w:p w:rsidR="00C23F6C" w:rsidRPr="00C23F6C" w:rsidRDefault="00C23F6C" w:rsidP="00C23F6C">
      <w:pPr>
        <w:pStyle w:val="lfej"/>
        <w:tabs>
          <w:tab w:val="clear" w:pos="4536"/>
          <w:tab w:val="clear" w:pos="9072"/>
          <w:tab w:val="right" w:pos="900"/>
        </w:tabs>
        <w:ind w:firstLine="6379"/>
        <w:jc w:val="both"/>
        <w:rPr>
          <w:rFonts w:ascii="Times New Roman" w:hAnsi="Times New Roman" w:cs="Times New Roman"/>
          <w:bCs/>
        </w:rPr>
      </w:pPr>
      <w:r w:rsidRPr="00C23F6C">
        <w:rPr>
          <w:rFonts w:ascii="Times New Roman" w:hAnsi="Times New Roman" w:cs="Times New Roman"/>
        </w:rPr>
        <w:t>egyetemi tanár</w:t>
      </w:r>
    </w:p>
    <w:p w:rsidR="00AC33DF" w:rsidRDefault="00AC33DF">
      <w:pPr>
        <w:spacing w:after="200" w:line="276" w:lineRule="auto"/>
        <w:rPr>
          <w:rFonts w:ascii="Times New Roman" w:hAnsi="Times New Roman" w:cs="Times New Roman"/>
          <w:sz w:val="24"/>
        </w:rPr>
      </w:pPr>
      <w:r>
        <w:rPr>
          <w:rFonts w:ascii="Times New Roman" w:hAnsi="Times New Roman" w:cs="Times New Roman"/>
          <w:sz w:val="24"/>
        </w:rPr>
        <w:br w:type="page"/>
      </w:r>
    </w:p>
    <w:tbl>
      <w:tblPr>
        <w:tblW w:w="9072" w:type="dxa"/>
        <w:tblInd w:w="113" w:type="dxa"/>
        <w:tblLook w:val="01E0" w:firstRow="1" w:lastRow="1" w:firstColumn="1" w:lastColumn="1" w:noHBand="0" w:noVBand="0"/>
      </w:tblPr>
      <w:tblGrid>
        <w:gridCol w:w="4855"/>
        <w:gridCol w:w="1620"/>
        <w:gridCol w:w="2597"/>
      </w:tblGrid>
      <w:tr w:rsidR="00AC33DF" w:rsidRPr="00AC33DF" w:rsidTr="00AC33DF">
        <w:tc>
          <w:tcPr>
            <w:tcW w:w="4855" w:type="dxa"/>
            <w:tcBorders>
              <w:top w:val="nil"/>
              <w:left w:val="nil"/>
              <w:bottom w:val="single" w:sz="4" w:space="0" w:color="auto"/>
              <w:right w:val="nil"/>
            </w:tcBorders>
            <w:hideMark/>
          </w:tcPr>
          <w:p w:rsidR="00AC33DF" w:rsidRPr="00AC33DF" w:rsidRDefault="00AC33DF">
            <w:pPr>
              <w:spacing w:after="0" w:line="240" w:lineRule="auto"/>
              <w:jc w:val="center"/>
              <w:rPr>
                <w:rFonts w:ascii="Times New Roman" w:eastAsia="Times New Roman" w:hAnsi="Times New Roman" w:cs="Times New Roman"/>
                <w:b/>
                <w:smallCaps/>
                <w:lang w:eastAsia="hu-HU"/>
              </w:rPr>
            </w:pPr>
            <w:r w:rsidRPr="00AC33DF">
              <w:rPr>
                <w:rFonts w:ascii="Times New Roman" w:eastAsia="Times New Roman" w:hAnsi="Times New Roman" w:cs="Times New Roman"/>
                <w:b/>
                <w:smallCaps/>
                <w:lang w:eastAsia="hu-HU"/>
              </w:rPr>
              <w:lastRenderedPageBreak/>
              <w:t>Nemzeti Közszolgálati Egyetem</w:t>
            </w:r>
          </w:p>
        </w:tc>
        <w:tc>
          <w:tcPr>
            <w:tcW w:w="1620" w:type="dxa"/>
          </w:tcPr>
          <w:p w:rsidR="00AC33DF" w:rsidRPr="00AC33DF" w:rsidRDefault="00AC33DF">
            <w:pPr>
              <w:spacing w:after="0" w:line="240" w:lineRule="auto"/>
              <w:jc w:val="both"/>
              <w:rPr>
                <w:rFonts w:ascii="Times New Roman" w:eastAsia="Times New Roman" w:hAnsi="Times New Roman" w:cs="Times New Roman"/>
                <w:lang w:eastAsia="hu-HU"/>
              </w:rPr>
            </w:pPr>
          </w:p>
        </w:tc>
        <w:tc>
          <w:tcPr>
            <w:tcW w:w="2597" w:type="dxa"/>
          </w:tcPr>
          <w:p w:rsidR="00AC33DF" w:rsidRPr="00AC33DF" w:rsidRDefault="00AC33DF">
            <w:pPr>
              <w:spacing w:after="0" w:line="240" w:lineRule="auto"/>
              <w:jc w:val="right"/>
              <w:rPr>
                <w:rFonts w:ascii="Times New Roman" w:eastAsia="Times New Roman" w:hAnsi="Times New Roman" w:cs="Times New Roman"/>
                <w:lang w:eastAsia="hu-HU"/>
              </w:rPr>
            </w:pPr>
          </w:p>
        </w:tc>
      </w:tr>
      <w:tr w:rsidR="00AC33DF" w:rsidRPr="00AC33DF" w:rsidTr="00AC33DF">
        <w:tc>
          <w:tcPr>
            <w:tcW w:w="4855" w:type="dxa"/>
            <w:tcBorders>
              <w:top w:val="single" w:sz="4" w:space="0" w:color="auto"/>
              <w:left w:val="nil"/>
              <w:bottom w:val="nil"/>
              <w:right w:val="nil"/>
            </w:tcBorders>
            <w:hideMark/>
          </w:tcPr>
          <w:p w:rsidR="00AC33DF" w:rsidRPr="00AC33DF" w:rsidRDefault="00AC33DF">
            <w:pPr>
              <w:spacing w:after="0" w:line="240" w:lineRule="auto"/>
              <w:jc w:val="center"/>
              <w:rPr>
                <w:rFonts w:ascii="Times New Roman" w:eastAsia="Times New Roman" w:hAnsi="Times New Roman" w:cs="Times New Roman"/>
                <w:b/>
                <w:lang w:eastAsia="hu-HU"/>
              </w:rPr>
            </w:pPr>
            <w:r w:rsidRPr="00AC33DF">
              <w:rPr>
                <w:rFonts w:ascii="Times New Roman" w:eastAsia="Times New Roman" w:hAnsi="Times New Roman" w:cs="Times New Roman"/>
                <w:b/>
                <w:lang w:eastAsia="hu-HU"/>
              </w:rPr>
              <w:t>Hadtudományi és Honvédtisztképző Kar</w:t>
            </w:r>
          </w:p>
        </w:tc>
        <w:tc>
          <w:tcPr>
            <w:tcW w:w="1620" w:type="dxa"/>
          </w:tcPr>
          <w:p w:rsidR="00AC33DF" w:rsidRPr="00AC33DF" w:rsidRDefault="00AC33DF">
            <w:pPr>
              <w:spacing w:after="0" w:line="240" w:lineRule="auto"/>
              <w:jc w:val="both"/>
              <w:rPr>
                <w:rFonts w:ascii="Times New Roman" w:eastAsia="Times New Roman" w:hAnsi="Times New Roman" w:cs="Times New Roman"/>
                <w:lang w:eastAsia="hu-HU"/>
              </w:rPr>
            </w:pPr>
          </w:p>
        </w:tc>
        <w:tc>
          <w:tcPr>
            <w:tcW w:w="2597" w:type="dxa"/>
          </w:tcPr>
          <w:p w:rsidR="00AC33DF" w:rsidRPr="00AC33DF" w:rsidRDefault="00AC33DF">
            <w:pPr>
              <w:spacing w:after="0" w:line="240" w:lineRule="auto"/>
              <w:jc w:val="both"/>
              <w:rPr>
                <w:rFonts w:ascii="Times New Roman" w:eastAsia="Times New Roman" w:hAnsi="Times New Roman" w:cs="Times New Roman"/>
                <w:lang w:eastAsia="hu-HU"/>
              </w:rPr>
            </w:pPr>
          </w:p>
        </w:tc>
      </w:tr>
    </w:tbl>
    <w:p w:rsidR="00AC33DF" w:rsidRPr="00AC33DF" w:rsidRDefault="00AC33DF" w:rsidP="00AC33DF">
      <w:pPr>
        <w:widowControl w:val="0"/>
        <w:spacing w:before="120" w:after="120" w:line="240" w:lineRule="auto"/>
        <w:ind w:left="426" w:hanging="142"/>
        <w:jc w:val="center"/>
        <w:rPr>
          <w:rFonts w:ascii="Times New Roman" w:eastAsia="Times New Roman" w:hAnsi="Times New Roman" w:cs="Times New Roman"/>
          <w:b/>
          <w:bCs/>
        </w:rPr>
      </w:pPr>
    </w:p>
    <w:p w:rsidR="00AC33DF" w:rsidRPr="00AC33DF" w:rsidRDefault="00AC33DF" w:rsidP="00AC33DF">
      <w:pPr>
        <w:widowControl w:val="0"/>
        <w:spacing w:before="120" w:after="120" w:line="240" w:lineRule="auto"/>
        <w:ind w:left="426" w:hanging="142"/>
        <w:jc w:val="center"/>
        <w:rPr>
          <w:rFonts w:ascii="Times New Roman" w:eastAsia="Times New Roman" w:hAnsi="Times New Roman" w:cs="Times New Roman"/>
          <w:b/>
          <w:bCs/>
        </w:rPr>
      </w:pPr>
      <w:r w:rsidRPr="00AC33DF">
        <w:rPr>
          <w:rFonts w:ascii="Times New Roman" w:eastAsia="Times New Roman" w:hAnsi="Times New Roman" w:cs="Times New Roman"/>
          <w:b/>
          <w:bCs/>
        </w:rPr>
        <w:t>TANTÁRGYI PROGRAM</w:t>
      </w:r>
    </w:p>
    <w:p w:rsidR="00AC33DF" w:rsidRPr="00AC33DF" w:rsidRDefault="00AC33DF" w:rsidP="00980876">
      <w:pPr>
        <w:widowControl w:val="0"/>
        <w:numPr>
          <w:ilvl w:val="0"/>
          <w:numId w:val="266"/>
        </w:numPr>
        <w:spacing w:before="120" w:after="120" w:line="240" w:lineRule="auto"/>
        <w:ind w:left="426" w:hanging="142"/>
        <w:jc w:val="both"/>
        <w:rPr>
          <w:rFonts w:ascii="Times New Roman" w:eastAsia="Times New Roman" w:hAnsi="Times New Roman" w:cs="Times New Roman"/>
          <w:b/>
          <w:bCs/>
        </w:rPr>
      </w:pPr>
      <w:r w:rsidRPr="00AC33DF">
        <w:rPr>
          <w:rFonts w:ascii="Times New Roman" w:eastAsia="Times New Roman" w:hAnsi="Times New Roman" w:cs="Times New Roman"/>
          <w:b/>
          <w:bCs/>
        </w:rPr>
        <w:t xml:space="preserve">A tantárgy kódja: </w:t>
      </w:r>
      <w:r w:rsidRPr="00AC33DF">
        <w:rPr>
          <w:rFonts w:ascii="Times New Roman" w:eastAsia="Times New Roman" w:hAnsi="Times New Roman" w:cs="Times New Roman"/>
          <w:bCs/>
        </w:rPr>
        <w:t>HKHPKA307</w:t>
      </w:r>
    </w:p>
    <w:p w:rsidR="00AC33DF" w:rsidRPr="00AC33DF" w:rsidRDefault="00AC33DF" w:rsidP="00980876">
      <w:pPr>
        <w:widowControl w:val="0"/>
        <w:numPr>
          <w:ilvl w:val="0"/>
          <w:numId w:val="266"/>
        </w:numPr>
        <w:spacing w:before="120" w:after="120" w:line="240" w:lineRule="auto"/>
        <w:ind w:left="426" w:hanging="142"/>
        <w:jc w:val="both"/>
        <w:rPr>
          <w:rFonts w:ascii="Times New Roman" w:eastAsia="Times New Roman" w:hAnsi="Times New Roman" w:cs="Times New Roman"/>
          <w:b/>
          <w:bCs/>
          <w:lang w:val="en-GB"/>
        </w:rPr>
      </w:pPr>
      <w:r w:rsidRPr="00AC33DF">
        <w:rPr>
          <w:rFonts w:ascii="Times New Roman" w:eastAsia="Times New Roman" w:hAnsi="Times New Roman" w:cs="Times New Roman"/>
          <w:b/>
          <w:bCs/>
        </w:rPr>
        <w:t>A tantárgy megnevezése (magyarul):</w:t>
      </w:r>
      <w:r w:rsidRPr="00AC33DF">
        <w:rPr>
          <w:rFonts w:ascii="Times New Roman" w:eastAsia="Times New Roman" w:hAnsi="Times New Roman" w:cs="Times New Roman"/>
          <w:bCs/>
        </w:rPr>
        <w:t xml:space="preserve"> </w:t>
      </w:r>
      <w:r w:rsidRPr="00AC33DF">
        <w:rPr>
          <w:rFonts w:ascii="Times New Roman" w:hAnsi="Times New Roman" w:cs="Times New Roman"/>
        </w:rPr>
        <w:t>Közlekedési technika</w:t>
      </w:r>
    </w:p>
    <w:p w:rsidR="00AC33DF" w:rsidRPr="00AC33DF" w:rsidRDefault="00AC33DF" w:rsidP="00980876">
      <w:pPr>
        <w:widowControl w:val="0"/>
        <w:numPr>
          <w:ilvl w:val="0"/>
          <w:numId w:val="266"/>
        </w:numPr>
        <w:spacing w:before="120" w:after="120" w:line="240" w:lineRule="auto"/>
        <w:ind w:left="426" w:hanging="142"/>
        <w:jc w:val="both"/>
        <w:rPr>
          <w:rFonts w:ascii="Times New Roman" w:eastAsia="Times New Roman" w:hAnsi="Times New Roman" w:cs="Times New Roman"/>
          <w:b/>
          <w:bCs/>
          <w:lang w:val="en-GB"/>
        </w:rPr>
      </w:pPr>
      <w:r w:rsidRPr="00AC33DF">
        <w:rPr>
          <w:rFonts w:ascii="Times New Roman" w:eastAsia="Times New Roman" w:hAnsi="Times New Roman" w:cs="Times New Roman"/>
          <w:b/>
          <w:bCs/>
        </w:rPr>
        <w:t xml:space="preserve">A tantárgy megnevezése (angolul): </w:t>
      </w:r>
      <w:r w:rsidRPr="00AC33DF">
        <w:rPr>
          <w:rFonts w:ascii="Times New Roman" w:hAnsi="Times New Roman" w:cs="Times New Roman"/>
        </w:rPr>
        <w:t>Transport Technique</w:t>
      </w:r>
    </w:p>
    <w:p w:rsidR="00AC33DF" w:rsidRPr="00AC33DF" w:rsidRDefault="00AC33DF" w:rsidP="00980876">
      <w:pPr>
        <w:widowControl w:val="0"/>
        <w:numPr>
          <w:ilvl w:val="0"/>
          <w:numId w:val="266"/>
        </w:numPr>
        <w:spacing w:before="120" w:after="120" w:line="240" w:lineRule="auto"/>
        <w:ind w:left="426" w:hanging="142"/>
        <w:jc w:val="both"/>
        <w:rPr>
          <w:rFonts w:ascii="Times New Roman" w:eastAsia="Times New Roman" w:hAnsi="Times New Roman" w:cs="Times New Roman"/>
          <w:b/>
          <w:bCs/>
        </w:rPr>
      </w:pPr>
      <w:r w:rsidRPr="00AC33DF">
        <w:rPr>
          <w:rFonts w:ascii="Times New Roman" w:eastAsia="Times New Roman" w:hAnsi="Times New Roman" w:cs="Times New Roman"/>
          <w:b/>
          <w:bCs/>
        </w:rPr>
        <w:t xml:space="preserve">Kreditérték és képzési karakter: </w:t>
      </w:r>
    </w:p>
    <w:p w:rsidR="00AC33DF" w:rsidRPr="00AC33DF" w:rsidRDefault="00AC33DF" w:rsidP="00980876">
      <w:pPr>
        <w:pStyle w:val="Listaszerbekezds"/>
        <w:widowControl w:val="0"/>
        <w:numPr>
          <w:ilvl w:val="1"/>
          <w:numId w:val="266"/>
        </w:numPr>
        <w:spacing w:before="120" w:after="120" w:line="240" w:lineRule="auto"/>
        <w:ind w:left="993" w:hanging="426"/>
        <w:jc w:val="both"/>
        <w:rPr>
          <w:rFonts w:ascii="Times New Roman" w:eastAsia="Times New Roman" w:hAnsi="Times New Roman" w:cs="Times New Roman"/>
          <w:b/>
          <w:bCs/>
        </w:rPr>
      </w:pPr>
      <w:r w:rsidRPr="00AC33DF">
        <w:rPr>
          <w:rFonts w:ascii="Times New Roman" w:eastAsia="Times New Roman" w:hAnsi="Times New Roman" w:cs="Times New Roman"/>
          <w:bCs/>
        </w:rPr>
        <w:t>4 kredit</w:t>
      </w:r>
    </w:p>
    <w:p w:rsidR="00AC33DF" w:rsidRPr="00AC33DF" w:rsidRDefault="00AC33DF" w:rsidP="00980876">
      <w:pPr>
        <w:pStyle w:val="Listaszerbekezds"/>
        <w:widowControl w:val="0"/>
        <w:numPr>
          <w:ilvl w:val="1"/>
          <w:numId w:val="266"/>
        </w:numPr>
        <w:spacing w:before="120" w:after="120" w:line="240" w:lineRule="auto"/>
        <w:ind w:left="993" w:hanging="426"/>
        <w:jc w:val="both"/>
        <w:rPr>
          <w:rFonts w:ascii="Times New Roman" w:eastAsia="Times New Roman" w:hAnsi="Times New Roman" w:cs="Times New Roman"/>
          <w:b/>
          <w:bCs/>
        </w:rPr>
      </w:pPr>
      <w:r w:rsidRPr="00AC33DF">
        <w:rPr>
          <w:rFonts w:ascii="Times New Roman" w:eastAsia="Times New Roman" w:hAnsi="Times New Roman" w:cs="Times New Roman"/>
          <w:bCs/>
        </w:rPr>
        <w:t>a tantárgy elméleti vagy gyakorlati jellegének mértéke:25</w:t>
      </w:r>
      <w:r w:rsidRPr="00AC33DF">
        <w:rPr>
          <w:rFonts w:ascii="Times New Roman" w:eastAsia="Times New Roman" w:hAnsi="Times New Roman" w:cs="Times New Roman"/>
          <w:b/>
          <w:bCs/>
        </w:rPr>
        <w:t xml:space="preserve"> </w:t>
      </w:r>
      <w:r w:rsidRPr="00AC33DF">
        <w:rPr>
          <w:rFonts w:ascii="Times New Roman" w:eastAsia="Times New Roman" w:hAnsi="Times New Roman" w:cs="Times New Roman"/>
          <w:bCs/>
        </w:rPr>
        <w:t>% gyakorlat, 75 % elmélet</w:t>
      </w:r>
    </w:p>
    <w:p w:rsidR="00AC33DF" w:rsidRPr="00AC33DF" w:rsidRDefault="00AC33DF" w:rsidP="00980876">
      <w:pPr>
        <w:widowControl w:val="0"/>
        <w:numPr>
          <w:ilvl w:val="0"/>
          <w:numId w:val="266"/>
        </w:numPr>
        <w:spacing w:before="120" w:after="120" w:line="240" w:lineRule="auto"/>
        <w:ind w:left="426" w:hanging="142"/>
        <w:jc w:val="both"/>
        <w:rPr>
          <w:rFonts w:ascii="Times New Roman" w:eastAsia="Times New Roman" w:hAnsi="Times New Roman" w:cs="Times New Roman"/>
          <w:bCs/>
        </w:rPr>
      </w:pPr>
      <w:r w:rsidRPr="00AC33DF">
        <w:rPr>
          <w:rFonts w:ascii="Times New Roman" w:eastAsia="Times New Roman" w:hAnsi="Times New Roman" w:cs="Times New Roman"/>
          <w:b/>
          <w:bCs/>
        </w:rPr>
        <w:t>A szak(ok), szakirányok/specializációk megnevezése (ahol oktatják):</w:t>
      </w:r>
      <w:r w:rsidRPr="00AC33DF">
        <w:rPr>
          <w:rFonts w:ascii="Times New Roman" w:eastAsia="Times New Roman" w:hAnsi="Times New Roman" w:cs="Times New Roman"/>
          <w:bCs/>
        </w:rPr>
        <w:t xml:space="preserve"> Katonai logisztika alapképzési szak, Katonai közlekedési specializáció</w:t>
      </w:r>
    </w:p>
    <w:p w:rsidR="00AC33DF" w:rsidRPr="00AC33DF" w:rsidRDefault="00AC33DF" w:rsidP="00980876">
      <w:pPr>
        <w:widowControl w:val="0"/>
        <w:numPr>
          <w:ilvl w:val="0"/>
          <w:numId w:val="266"/>
        </w:numPr>
        <w:spacing w:before="120" w:after="120" w:line="240" w:lineRule="auto"/>
        <w:ind w:left="426" w:hanging="142"/>
        <w:jc w:val="both"/>
        <w:rPr>
          <w:rFonts w:ascii="Times New Roman" w:eastAsia="Times New Roman" w:hAnsi="Times New Roman" w:cs="Times New Roman"/>
          <w:bCs/>
        </w:rPr>
      </w:pPr>
      <w:r w:rsidRPr="00AC33DF">
        <w:rPr>
          <w:rFonts w:ascii="Times New Roman" w:eastAsia="Times New Roman" w:hAnsi="Times New Roman" w:cs="Times New Roman"/>
          <w:b/>
          <w:bCs/>
        </w:rPr>
        <w:t xml:space="preserve">Az oktatásért felelős oktatási szervezeti egység megnevezése: </w:t>
      </w:r>
      <w:r w:rsidRPr="00AC33DF">
        <w:rPr>
          <w:rFonts w:ascii="Times New Roman" w:eastAsia="Times New Roman" w:hAnsi="Times New Roman" w:cs="Times New Roman"/>
          <w:bCs/>
        </w:rPr>
        <w:t>NKE HHK, Hadtáp, Pénzügyi és Katonai Közlekedési Tanszék</w:t>
      </w:r>
    </w:p>
    <w:p w:rsidR="00AC33DF" w:rsidRPr="00AC33DF" w:rsidRDefault="00AC33DF" w:rsidP="00980876">
      <w:pPr>
        <w:widowControl w:val="0"/>
        <w:numPr>
          <w:ilvl w:val="0"/>
          <w:numId w:val="266"/>
        </w:numPr>
        <w:spacing w:before="120" w:after="120" w:line="240" w:lineRule="auto"/>
        <w:ind w:left="426" w:hanging="142"/>
        <w:jc w:val="both"/>
        <w:rPr>
          <w:rFonts w:ascii="Times New Roman" w:eastAsia="Times New Roman" w:hAnsi="Times New Roman" w:cs="Times New Roman"/>
          <w:bCs/>
        </w:rPr>
      </w:pPr>
      <w:r w:rsidRPr="00AC33DF">
        <w:rPr>
          <w:rFonts w:ascii="Times New Roman" w:eastAsia="Times New Roman" w:hAnsi="Times New Roman" w:cs="Times New Roman"/>
          <w:b/>
          <w:bCs/>
        </w:rPr>
        <w:t>A tantárgyfelelős oktató neve, beosztása, tudományos fokozata:</w:t>
      </w:r>
      <w:r w:rsidRPr="00AC33DF">
        <w:rPr>
          <w:rFonts w:ascii="Times New Roman" w:eastAsia="Times New Roman" w:hAnsi="Times New Roman" w:cs="Times New Roman"/>
          <w:bCs/>
        </w:rPr>
        <w:t xml:space="preserve"> Dr. Fábos Róbert, PhD, adjunktus</w:t>
      </w:r>
    </w:p>
    <w:p w:rsidR="00AC33DF" w:rsidRPr="00AC33DF" w:rsidRDefault="00AC33DF" w:rsidP="00980876">
      <w:pPr>
        <w:widowControl w:val="0"/>
        <w:numPr>
          <w:ilvl w:val="0"/>
          <w:numId w:val="266"/>
        </w:numPr>
        <w:spacing w:before="120" w:after="120" w:line="240" w:lineRule="auto"/>
        <w:ind w:left="426" w:hanging="142"/>
        <w:jc w:val="both"/>
        <w:rPr>
          <w:rFonts w:ascii="Times New Roman" w:eastAsia="Times New Roman" w:hAnsi="Times New Roman" w:cs="Times New Roman"/>
          <w:bCs/>
        </w:rPr>
      </w:pPr>
      <w:r w:rsidRPr="00AC33DF">
        <w:rPr>
          <w:rFonts w:ascii="Times New Roman" w:eastAsia="Times New Roman" w:hAnsi="Times New Roman" w:cs="Times New Roman"/>
          <w:b/>
          <w:bCs/>
        </w:rPr>
        <w:t>A tanórák száma és típusa</w:t>
      </w:r>
    </w:p>
    <w:p w:rsidR="00AC33DF" w:rsidRPr="00AC33DF" w:rsidRDefault="00AC33DF" w:rsidP="00980876">
      <w:pPr>
        <w:widowControl w:val="0"/>
        <w:numPr>
          <w:ilvl w:val="1"/>
          <w:numId w:val="266"/>
        </w:numPr>
        <w:tabs>
          <w:tab w:val="num" w:pos="2069"/>
        </w:tabs>
        <w:spacing w:before="120" w:after="120" w:line="240" w:lineRule="auto"/>
        <w:ind w:left="851" w:hanging="425"/>
        <w:jc w:val="both"/>
        <w:rPr>
          <w:rFonts w:ascii="Times New Roman" w:eastAsia="Times New Roman" w:hAnsi="Times New Roman" w:cs="Times New Roman"/>
          <w:bCs/>
        </w:rPr>
      </w:pPr>
      <w:r w:rsidRPr="00AC33DF">
        <w:rPr>
          <w:rFonts w:ascii="Times New Roman" w:eastAsia="Times New Roman" w:hAnsi="Times New Roman" w:cs="Times New Roman"/>
          <w:bCs/>
        </w:rPr>
        <w:t>össz óraszám/félév: 56</w:t>
      </w:r>
    </w:p>
    <w:p w:rsidR="00AC33DF" w:rsidRPr="00AC33DF" w:rsidRDefault="00AC33DF" w:rsidP="00980876">
      <w:pPr>
        <w:widowControl w:val="0"/>
        <w:numPr>
          <w:ilvl w:val="2"/>
          <w:numId w:val="266"/>
        </w:numPr>
        <w:tabs>
          <w:tab w:val="num" w:pos="1134"/>
        </w:tabs>
        <w:spacing w:before="120" w:after="120" w:line="240" w:lineRule="auto"/>
        <w:ind w:left="993" w:hanging="425"/>
        <w:jc w:val="both"/>
        <w:rPr>
          <w:rFonts w:ascii="Times New Roman" w:eastAsia="Times New Roman" w:hAnsi="Times New Roman" w:cs="Times New Roman"/>
          <w:bCs/>
        </w:rPr>
      </w:pPr>
      <w:r w:rsidRPr="00AC33DF">
        <w:rPr>
          <w:rFonts w:ascii="Times New Roman" w:eastAsia="Times New Roman" w:hAnsi="Times New Roman" w:cs="Times New Roman"/>
          <w:bCs/>
        </w:rPr>
        <w:t>nappali munkarend: 50 (42 EA + 0 SZ + 14 GY)</w:t>
      </w:r>
    </w:p>
    <w:p w:rsidR="00AC33DF" w:rsidRPr="00AC33DF" w:rsidRDefault="00AC33DF" w:rsidP="00980876">
      <w:pPr>
        <w:widowControl w:val="0"/>
        <w:numPr>
          <w:ilvl w:val="2"/>
          <w:numId w:val="266"/>
        </w:numPr>
        <w:tabs>
          <w:tab w:val="num" w:pos="1134"/>
        </w:tabs>
        <w:spacing w:before="120" w:after="120" w:line="240" w:lineRule="auto"/>
        <w:ind w:left="993" w:hanging="425"/>
        <w:jc w:val="both"/>
        <w:rPr>
          <w:rFonts w:ascii="Times New Roman" w:eastAsia="Times New Roman" w:hAnsi="Times New Roman" w:cs="Times New Roman"/>
          <w:bCs/>
        </w:rPr>
      </w:pPr>
      <w:r w:rsidRPr="00AC33DF">
        <w:rPr>
          <w:rFonts w:ascii="Times New Roman" w:eastAsia="Times New Roman" w:hAnsi="Times New Roman" w:cs="Times New Roman"/>
          <w:bCs/>
        </w:rPr>
        <w:t>levelező munkarend: 0 (0 EA + 0 SZ + 0 GY)</w:t>
      </w:r>
    </w:p>
    <w:p w:rsidR="00AC33DF" w:rsidRPr="00AC33DF" w:rsidRDefault="00AC33DF" w:rsidP="00980876">
      <w:pPr>
        <w:widowControl w:val="0"/>
        <w:numPr>
          <w:ilvl w:val="1"/>
          <w:numId w:val="266"/>
        </w:numPr>
        <w:tabs>
          <w:tab w:val="num" w:pos="2069"/>
        </w:tabs>
        <w:spacing w:before="120" w:after="120" w:line="240" w:lineRule="auto"/>
        <w:ind w:left="851" w:hanging="425"/>
        <w:jc w:val="both"/>
        <w:rPr>
          <w:rFonts w:ascii="Times New Roman" w:eastAsia="Times New Roman" w:hAnsi="Times New Roman" w:cs="Times New Roman"/>
          <w:bCs/>
        </w:rPr>
      </w:pPr>
      <w:r w:rsidRPr="00AC33DF">
        <w:rPr>
          <w:rFonts w:ascii="Times New Roman" w:eastAsia="Times New Roman" w:hAnsi="Times New Roman" w:cs="Times New Roman"/>
          <w:bCs/>
        </w:rPr>
        <w:t>heti óraszám - nappali munkarend: 4</w:t>
      </w:r>
    </w:p>
    <w:p w:rsidR="00AC33DF" w:rsidRPr="00AC33DF" w:rsidRDefault="00AC33DF" w:rsidP="00980876">
      <w:pPr>
        <w:widowControl w:val="0"/>
        <w:numPr>
          <w:ilvl w:val="1"/>
          <w:numId w:val="266"/>
        </w:numPr>
        <w:tabs>
          <w:tab w:val="num" w:pos="2069"/>
        </w:tabs>
        <w:spacing w:before="120" w:after="120" w:line="240" w:lineRule="auto"/>
        <w:ind w:left="851" w:hanging="425"/>
        <w:jc w:val="both"/>
        <w:rPr>
          <w:rFonts w:ascii="Times New Roman" w:eastAsia="Times New Roman" w:hAnsi="Times New Roman" w:cs="Times New Roman"/>
          <w:bCs/>
        </w:rPr>
      </w:pPr>
      <w:r w:rsidRPr="00AC33DF">
        <w:rPr>
          <w:rFonts w:ascii="Times New Roman" w:hAnsi="Times New Roman" w:cs="Times New Roman"/>
        </w:rPr>
        <w:t>Az ismeret átadásában alkalmazandó további sajátos módok, jellemzők: -</w:t>
      </w:r>
    </w:p>
    <w:p w:rsidR="00AC33DF" w:rsidRPr="00AC33DF" w:rsidRDefault="00AC33DF" w:rsidP="00980876">
      <w:pPr>
        <w:widowControl w:val="0"/>
        <w:numPr>
          <w:ilvl w:val="0"/>
          <w:numId w:val="266"/>
        </w:numPr>
        <w:spacing w:before="120" w:after="120" w:line="240" w:lineRule="auto"/>
        <w:ind w:left="426" w:hanging="142"/>
        <w:jc w:val="both"/>
        <w:rPr>
          <w:rFonts w:ascii="Times New Roman" w:eastAsia="Times New Roman" w:hAnsi="Times New Roman" w:cs="Times New Roman"/>
          <w:bCs/>
        </w:rPr>
      </w:pPr>
      <w:r w:rsidRPr="00AC33DF">
        <w:rPr>
          <w:rFonts w:ascii="Times New Roman" w:eastAsia="Times New Roman" w:hAnsi="Times New Roman" w:cs="Times New Roman"/>
          <w:b/>
          <w:bCs/>
        </w:rPr>
        <w:t>A tantárgy szakmai tartalma (magyarul):</w:t>
      </w:r>
      <w:r w:rsidRPr="00AC33DF">
        <w:rPr>
          <w:rFonts w:ascii="Times New Roman" w:eastAsia="Times New Roman" w:hAnsi="Times New Roman" w:cs="Times New Roman"/>
          <w:bCs/>
        </w:rPr>
        <w:t xml:space="preserve"> </w:t>
      </w:r>
      <w:r w:rsidRPr="00AC33DF">
        <w:rPr>
          <w:rFonts w:ascii="Times New Roman" w:hAnsi="Times New Roman" w:cs="Times New Roman"/>
        </w:rPr>
        <w:t>A közlekedési útvonalak tervezése. Vízelvezetés. Közutak pályaszerkezete. Utak tartozékai. A vasúti pálya szerkezete, méretelőírások. Vasútvonalak, vasúti vágányok osztályozása. Kitérőszerkezetek, vágánykapcsolatok. Vasútállomások osztályozása, katonai követelményeik. A természetes vizek fogalma, osztályozása, vízrajzi és egyéb jellemzői. Hajóutak jellemzői, térméretei és jelzései. Légifolyosók paraméterei. Repülőterek, repülőtéri utak, jelzések, jelölések.</w:t>
      </w:r>
    </w:p>
    <w:p w:rsidR="00AC33DF" w:rsidRPr="00AC33DF" w:rsidRDefault="00AC33DF" w:rsidP="00AC33DF">
      <w:pPr>
        <w:widowControl w:val="0"/>
        <w:spacing w:before="120" w:after="120" w:line="240" w:lineRule="auto"/>
        <w:ind w:left="426"/>
        <w:jc w:val="both"/>
        <w:rPr>
          <w:rFonts w:ascii="Times New Roman" w:eastAsia="Times New Roman" w:hAnsi="Times New Roman" w:cs="Times New Roman"/>
          <w:bCs/>
          <w:lang w:val="en-GB"/>
        </w:rPr>
      </w:pPr>
      <w:r w:rsidRPr="00AC33DF">
        <w:rPr>
          <w:rFonts w:ascii="Times New Roman" w:eastAsia="Times New Roman" w:hAnsi="Times New Roman" w:cs="Times New Roman"/>
          <w:b/>
          <w:bCs/>
        </w:rPr>
        <w:t>A tantárgy szakmai tartalma (angolul) (</w:t>
      </w:r>
      <w:r w:rsidRPr="00AC33DF">
        <w:rPr>
          <w:rFonts w:ascii="Times New Roman" w:eastAsia="Times New Roman" w:hAnsi="Times New Roman" w:cs="Times New Roman"/>
          <w:b/>
          <w:bCs/>
          <w:lang w:val="en-US"/>
        </w:rPr>
        <w:t>Course description</w:t>
      </w:r>
      <w:r w:rsidRPr="00AC33DF">
        <w:rPr>
          <w:rFonts w:ascii="Times New Roman" w:eastAsia="Times New Roman" w:hAnsi="Times New Roman" w:cs="Times New Roman"/>
          <w:b/>
          <w:bCs/>
        </w:rPr>
        <w:t xml:space="preserve">): </w:t>
      </w:r>
      <w:r w:rsidRPr="00AC33DF">
        <w:rPr>
          <w:rFonts w:ascii="Times New Roman" w:hAnsi="Times New Roman" w:cs="Times New Roman"/>
          <w:bCs/>
        </w:rPr>
        <w:t>Plannig of traffic routes. Drainage. Path strucure of roads. Accessories of the roads. The structure of the railway track, size specifications. Railway lines, classification of the railway tracks. Side tracks, connections of the tracks. Classification of the railway station and their military requirements. The concepts, classification, hydrograpichal and other characteristics of natural waters. Characteristics, space dimensions and signals of the cruises. Parameter of the air corridor. Airports, airport trips, signals, markings.</w:t>
      </w:r>
    </w:p>
    <w:p w:rsidR="00AC33DF" w:rsidRPr="00AC33DF" w:rsidRDefault="00AC33DF" w:rsidP="00980876">
      <w:pPr>
        <w:pStyle w:val="Listaszerbekezds"/>
        <w:widowControl w:val="0"/>
        <w:numPr>
          <w:ilvl w:val="0"/>
          <w:numId w:val="266"/>
        </w:numPr>
        <w:spacing w:before="120" w:after="120" w:line="240" w:lineRule="auto"/>
        <w:jc w:val="both"/>
        <w:rPr>
          <w:rFonts w:ascii="Times New Roman" w:eastAsia="Times New Roman" w:hAnsi="Times New Roman" w:cs="Times New Roman"/>
          <w:bCs/>
        </w:rPr>
      </w:pPr>
      <w:r w:rsidRPr="00AC33DF">
        <w:rPr>
          <w:rFonts w:ascii="Times New Roman" w:eastAsia="Times New Roman" w:hAnsi="Times New Roman" w:cs="Times New Roman"/>
          <w:b/>
          <w:bCs/>
        </w:rPr>
        <w:t xml:space="preserve">Elérendő kompetenciák (magyarul): </w:t>
      </w:r>
    </w:p>
    <w:p w:rsidR="00AC33DF" w:rsidRPr="00AC33DF" w:rsidRDefault="00AC33DF" w:rsidP="00AC33DF">
      <w:pPr>
        <w:autoSpaceDE w:val="0"/>
        <w:autoSpaceDN w:val="0"/>
        <w:adjustRightInd w:val="0"/>
        <w:spacing w:before="120" w:after="0" w:line="240" w:lineRule="auto"/>
        <w:ind w:left="425"/>
        <w:jc w:val="both"/>
        <w:rPr>
          <w:rFonts w:ascii="Times New Roman" w:eastAsia="Times New Roman" w:hAnsi="Times New Roman" w:cs="Times New Roman"/>
          <w:b/>
          <w:bCs/>
        </w:rPr>
      </w:pPr>
      <w:r w:rsidRPr="00AC33DF">
        <w:rPr>
          <w:rFonts w:ascii="Times New Roman" w:eastAsia="Times New Roman" w:hAnsi="Times New Roman" w:cs="Times New Roman"/>
          <w:b/>
          <w:bCs/>
        </w:rPr>
        <w:t xml:space="preserve">Tudása: </w:t>
      </w:r>
    </w:p>
    <w:p w:rsidR="00AC33DF" w:rsidRPr="00AC33DF" w:rsidRDefault="00AC33DF"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C33DF">
        <w:rPr>
          <w:rFonts w:ascii="Times New Roman" w:hAnsi="Times New Roman" w:cs="Times New Roman"/>
        </w:rPr>
        <w:t>Ismeri a katonai közlekedési szakterülethez szervesen kapcsolódó logisztikai, menedzsment, környezetvédelmi, minőségbiztosítási, információtechnológiai, jogi, közgazdasági szakterületek alapjait és követelményeit.</w:t>
      </w:r>
    </w:p>
    <w:p w:rsidR="00AC33DF" w:rsidRPr="00AC33DF" w:rsidRDefault="00AC33DF"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C33DF">
        <w:rPr>
          <w:rFonts w:ascii="Times New Roman" w:hAnsi="Times New Roman" w:cs="Times New Roman"/>
        </w:rPr>
        <w:t>Ismeri a katonai közlekedési szakterület szaktechnikai eszközeit, a közlekedési pályákat és létesítményeiket, azok igénybevételének és üzemeltetésének szabályait.</w:t>
      </w:r>
    </w:p>
    <w:p w:rsidR="00AC33DF" w:rsidRPr="00AC33DF" w:rsidRDefault="00AC33DF"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C33DF">
        <w:rPr>
          <w:rFonts w:ascii="Times New Roman" w:hAnsi="Times New Roman" w:cs="Times New Roman"/>
        </w:rPr>
        <w:t>Ismeri a katonai közlekedési szakanyagok készletezésének, tárolásának, nyilvántartásának és leltározásának, valamint ezen folyamatok ellenőrzésének feladatait és kötelezettségeit.</w:t>
      </w:r>
    </w:p>
    <w:p w:rsidR="00AC33DF" w:rsidRPr="00AC33DF" w:rsidRDefault="00AC33DF"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C33DF">
        <w:rPr>
          <w:rFonts w:ascii="Times New Roman" w:hAnsi="Times New Roman" w:cs="Times New Roman"/>
        </w:rPr>
        <w:lastRenderedPageBreak/>
        <w:t>Mélyrehatóan ismeri a katonai közlekedési szakterület szakmai feladatait, a közlekedési szakfeladatok rendszerét, az egyes feladatok végrehajtásának sajátosságait.</w:t>
      </w:r>
    </w:p>
    <w:p w:rsidR="00AC33DF" w:rsidRPr="00AC33DF" w:rsidRDefault="00AC33DF"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C33DF">
        <w:rPr>
          <w:rFonts w:ascii="Times New Roman" w:hAnsi="Times New Roman" w:cs="Times New Roman"/>
        </w:rPr>
        <w:t>Ismeri a katonai közlekedési igények felmérésének módszereit és megvalósítási lehetőségeit, gyakorlatát.</w:t>
      </w:r>
    </w:p>
    <w:p w:rsidR="00AC33DF" w:rsidRPr="00AC33DF" w:rsidRDefault="00AC33DF" w:rsidP="00AC33DF">
      <w:pPr>
        <w:autoSpaceDE w:val="0"/>
        <w:autoSpaceDN w:val="0"/>
        <w:adjustRightInd w:val="0"/>
        <w:spacing w:before="120" w:after="0" w:line="240" w:lineRule="auto"/>
        <w:ind w:left="425"/>
        <w:jc w:val="both"/>
        <w:rPr>
          <w:rFonts w:ascii="Times New Roman" w:eastAsia="Times New Roman" w:hAnsi="Times New Roman" w:cs="Times New Roman"/>
          <w:bCs/>
        </w:rPr>
      </w:pPr>
      <w:r w:rsidRPr="00AC33DF">
        <w:rPr>
          <w:rFonts w:ascii="Times New Roman" w:eastAsia="Times New Roman" w:hAnsi="Times New Roman" w:cs="Times New Roman"/>
          <w:b/>
          <w:bCs/>
        </w:rPr>
        <w:t>Képességei:</w:t>
      </w:r>
      <w:r w:rsidRPr="00AC33DF">
        <w:rPr>
          <w:rFonts w:ascii="Times New Roman" w:eastAsia="Times New Roman" w:hAnsi="Times New Roman" w:cs="Times New Roman"/>
          <w:bCs/>
        </w:rPr>
        <w:t xml:space="preserve"> </w:t>
      </w:r>
    </w:p>
    <w:p w:rsidR="00AC33DF" w:rsidRPr="00AC33DF" w:rsidRDefault="00AC33DF"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C33DF">
        <w:rPr>
          <w:rFonts w:ascii="Times New Roman" w:hAnsi="Times New Roman" w:cs="Times New Roman"/>
        </w:rPr>
        <w:t>Az általános és specifikus katonai ismeretei és készségei birtokában képes a katonai közlekedési, mozgatási, szállítási feladatok tervezésére, szervezésére és vezetésére.</w:t>
      </w:r>
    </w:p>
    <w:p w:rsidR="00AC33DF" w:rsidRPr="00AC33DF" w:rsidRDefault="00AC33DF"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C33DF">
        <w:rPr>
          <w:rFonts w:ascii="Times New Roman" w:hAnsi="Times New Roman" w:cs="Times New Roman"/>
        </w:rPr>
        <w:t>Képes békeidőszakban, válságkezelő, katasztrófa-elhárítási, béketámogató és háborús műveletekben, nemzeti és többnemzeti környezetben a szállító szakalegységek alaprendeltetéséből fakadó feladatai végrehajtásának vezetésére.</w:t>
      </w:r>
    </w:p>
    <w:p w:rsidR="00AC33DF" w:rsidRPr="00AC33DF" w:rsidRDefault="00AC33DF"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C33DF">
        <w:rPr>
          <w:rFonts w:ascii="Times New Roman" w:hAnsi="Times New Roman" w:cs="Times New Roman"/>
        </w:rPr>
        <w:t>Képes a közlekedési hálózatok katonai célú alkalmazásának tervezésére, szervezésére és végrehajtására.</w:t>
      </w:r>
    </w:p>
    <w:p w:rsidR="00AC33DF" w:rsidRPr="00AC33DF" w:rsidRDefault="00AC33DF"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C33DF">
        <w:rPr>
          <w:rFonts w:ascii="Times New Roman" w:hAnsi="Times New Roman" w:cs="Times New Roman"/>
        </w:rPr>
        <w:t>Képes a közlekedési folyamatokat támogató közlekedésinformatikai rendszerek alkalmazására, az azokkal kapcsolatos felhasználói alapkövetelmények megfogalmazására.</w:t>
      </w:r>
    </w:p>
    <w:p w:rsidR="00AC33DF" w:rsidRPr="00AC33DF" w:rsidRDefault="00AC33DF" w:rsidP="00AC33DF">
      <w:pPr>
        <w:autoSpaceDE w:val="0"/>
        <w:autoSpaceDN w:val="0"/>
        <w:adjustRightInd w:val="0"/>
        <w:spacing w:before="120" w:after="0" w:line="240" w:lineRule="auto"/>
        <w:ind w:left="425"/>
        <w:jc w:val="both"/>
        <w:rPr>
          <w:rFonts w:ascii="Times New Roman" w:eastAsia="Times New Roman" w:hAnsi="Times New Roman" w:cs="Times New Roman"/>
          <w:b/>
          <w:bCs/>
        </w:rPr>
      </w:pPr>
      <w:r w:rsidRPr="00AC33DF">
        <w:rPr>
          <w:rFonts w:ascii="Times New Roman" w:eastAsia="Times New Roman" w:hAnsi="Times New Roman" w:cs="Times New Roman"/>
          <w:b/>
          <w:bCs/>
        </w:rPr>
        <w:t xml:space="preserve">Attitűdje: </w:t>
      </w:r>
    </w:p>
    <w:p w:rsidR="00AC33DF" w:rsidRPr="00AC33DF" w:rsidRDefault="00AC33DF"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C33DF">
        <w:rPr>
          <w:rFonts w:ascii="Times New Roman" w:hAnsi="Times New Roman" w:cs="Times New Roman"/>
        </w:rPr>
        <w:t>Nyitott a katonai közlekedési szakterületen zajló szakmai, technológiai fejlesztés és innováció megismerésére és elfogadására, hiteles közvetítésére és azok mindennapi munkájába való beillesztésére.</w:t>
      </w:r>
    </w:p>
    <w:p w:rsidR="00AC33DF" w:rsidRPr="00AC33DF" w:rsidRDefault="00AC33DF"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C33DF">
        <w:rPr>
          <w:rFonts w:ascii="Times New Roman" w:hAnsi="Times New Roman" w:cs="Times New Roman"/>
        </w:rPr>
        <w:t>Törekszik arra, hogy önképzése a katonai közlekedési szakterületen folyamatos és szakmai céljaival megegyező legyen.</w:t>
      </w:r>
    </w:p>
    <w:p w:rsidR="00AC33DF" w:rsidRPr="00AC33DF" w:rsidRDefault="00AC33DF"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C33DF">
        <w:rPr>
          <w:rFonts w:ascii="Times New Roman" w:hAnsi="Times New Roman" w:cs="Times New Roman"/>
        </w:rPr>
        <w:t>Elkötelezett a minőségi szakmai munkavégzés iránt, különös tekintettel a közlekedési, szállítási feladatok és folyamatok biztonságos végrehajtására.</w:t>
      </w:r>
    </w:p>
    <w:p w:rsidR="00AC33DF" w:rsidRPr="00AC33DF" w:rsidRDefault="00AC33DF"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C33DF">
        <w:rPr>
          <w:rFonts w:ascii="Times New Roman" w:hAnsi="Times New Roman" w:cs="Times New Roman"/>
        </w:rPr>
        <w:t>Figyel beosztottjai szakmai fejlődésének előmozdítására, ilyen irányú törekvéseik kezelésére és segítésére.</w:t>
      </w:r>
    </w:p>
    <w:p w:rsidR="00AC33DF" w:rsidRPr="00AC33DF" w:rsidRDefault="00AC33DF"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C33DF">
        <w:rPr>
          <w:rFonts w:ascii="Times New Roman" w:hAnsi="Times New Roman" w:cs="Times New Roman"/>
        </w:rPr>
        <w:t>Megosztja tapasztalatait munkatársaival, így segítve fejlődésüket.</w:t>
      </w:r>
    </w:p>
    <w:p w:rsidR="00AC33DF" w:rsidRPr="00AC33DF" w:rsidRDefault="00AC33DF" w:rsidP="00AC33DF">
      <w:pPr>
        <w:autoSpaceDE w:val="0"/>
        <w:autoSpaceDN w:val="0"/>
        <w:adjustRightInd w:val="0"/>
        <w:spacing w:before="120" w:after="0" w:line="240" w:lineRule="auto"/>
        <w:ind w:left="425"/>
        <w:jc w:val="both"/>
        <w:rPr>
          <w:rFonts w:ascii="Times New Roman" w:eastAsia="Times New Roman" w:hAnsi="Times New Roman" w:cs="Times New Roman"/>
          <w:b/>
          <w:bCs/>
        </w:rPr>
      </w:pPr>
      <w:r w:rsidRPr="00AC33DF">
        <w:rPr>
          <w:rFonts w:ascii="Times New Roman" w:eastAsia="Times New Roman" w:hAnsi="Times New Roman" w:cs="Times New Roman"/>
          <w:b/>
          <w:bCs/>
        </w:rPr>
        <w:t xml:space="preserve">Autonómiája és felelőssége: </w:t>
      </w:r>
    </w:p>
    <w:p w:rsidR="00AC33DF" w:rsidRPr="00AC33DF" w:rsidRDefault="00AC33DF"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C33DF">
        <w:rPr>
          <w:rFonts w:ascii="Times New Roman" w:hAnsi="Times New Roman" w:cs="Times New Roman"/>
        </w:rPr>
        <w:t>A katonai közlekedés szakterületén megjelenő folyamatokban képes önállóan döntéseket hozni, azokat felelősséggel, a jogszabályi keretek figyelembevételével végrehajtani.</w:t>
      </w:r>
    </w:p>
    <w:p w:rsidR="00AC33DF" w:rsidRPr="00AC33DF" w:rsidRDefault="00AC33DF"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C33DF">
        <w:rPr>
          <w:rFonts w:ascii="Times New Roman" w:hAnsi="Times New Roman" w:cs="Times New Roman"/>
        </w:rPr>
        <w:t>Tisztában van döntéseinek, tevékenységének a katonai logisztikai folyamatok egészére gyakorolt hatásaival, következményeivel.</w:t>
      </w:r>
    </w:p>
    <w:p w:rsidR="00AC33DF" w:rsidRPr="00AC33DF" w:rsidRDefault="00AC33DF"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C33DF">
        <w:rPr>
          <w:rFonts w:ascii="Times New Roman" w:hAnsi="Times New Roman" w:cs="Times New Roman"/>
        </w:rPr>
        <w:t>Szakmai feladatainak elvégzése során felelősségteljesen együttműködik más szakterület képzett szakembereivel is.</w:t>
      </w:r>
    </w:p>
    <w:p w:rsidR="00AC33DF" w:rsidRPr="00AC33DF" w:rsidRDefault="00AC33DF"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C33DF">
        <w:rPr>
          <w:rFonts w:ascii="Times New Roman" w:hAnsi="Times New Roman" w:cs="Times New Roman"/>
        </w:rPr>
        <w:t>Feltárja az alkalmazott technológiák hiányosságait, a folyamatok kockázatait és kezdeményezi az ezeket csökkentő intézkedések megtételét.</w:t>
      </w:r>
    </w:p>
    <w:p w:rsidR="00AC33DF" w:rsidRPr="00AC33DF" w:rsidRDefault="00AC33DF"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C33DF">
        <w:rPr>
          <w:rFonts w:ascii="Times New Roman" w:hAnsi="Times New Roman" w:cs="Times New Roman"/>
        </w:rPr>
        <w:t>Parancsnokának útmutatása alapján irányítja a rábízott személyi állomány munkavégzését, felügyeli a közlekedési, szállítási folyamatok tervezését, szervezését, végrehajtását, a közlekedési szaktechnikai eszközök üzemeltetését.</w:t>
      </w:r>
    </w:p>
    <w:p w:rsidR="00AC33DF" w:rsidRPr="00AC33DF" w:rsidRDefault="00AC33DF"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C33DF">
        <w:rPr>
          <w:rFonts w:ascii="Times New Roman" w:hAnsi="Times New Roman" w:cs="Times New Roman"/>
        </w:rPr>
        <w:t>Értékeli a beosztottak munkavégzésének hatékonyságát, eredményességét.</w:t>
      </w:r>
    </w:p>
    <w:p w:rsidR="00AC33DF" w:rsidRPr="00AC33DF" w:rsidRDefault="00AC33DF" w:rsidP="00AC33DF">
      <w:pPr>
        <w:widowControl w:val="0"/>
        <w:spacing w:before="120" w:after="120" w:line="240" w:lineRule="auto"/>
        <w:ind w:left="426"/>
        <w:jc w:val="both"/>
        <w:rPr>
          <w:rFonts w:ascii="Times New Roman" w:eastAsia="Times New Roman" w:hAnsi="Times New Roman" w:cs="Times New Roman"/>
          <w:b/>
          <w:bCs/>
          <w:lang w:val="en-US"/>
        </w:rPr>
      </w:pPr>
      <w:r w:rsidRPr="00AC33DF">
        <w:rPr>
          <w:rFonts w:ascii="Times New Roman" w:eastAsia="Times New Roman" w:hAnsi="Times New Roman" w:cs="Times New Roman"/>
          <w:b/>
          <w:bCs/>
        </w:rPr>
        <w:t>Elérendő kompetenciák (angolul) (</w:t>
      </w:r>
      <w:r w:rsidRPr="00AC33DF">
        <w:rPr>
          <w:rFonts w:ascii="Times New Roman" w:eastAsia="Times New Roman" w:hAnsi="Times New Roman" w:cs="Times New Roman"/>
          <w:b/>
          <w:bCs/>
          <w:lang w:val="en-US"/>
        </w:rPr>
        <w:t xml:space="preserve">Competences – English): </w:t>
      </w:r>
    </w:p>
    <w:p w:rsidR="00AC33DF" w:rsidRPr="00AC33DF" w:rsidRDefault="00AC33DF" w:rsidP="00AC33DF">
      <w:pPr>
        <w:widowControl w:val="0"/>
        <w:spacing w:before="120" w:after="120" w:line="240" w:lineRule="auto"/>
        <w:ind w:left="426"/>
        <w:jc w:val="both"/>
        <w:rPr>
          <w:rFonts w:ascii="Times New Roman" w:eastAsia="Times New Roman" w:hAnsi="Times New Roman" w:cs="Times New Roman"/>
          <w:bCs/>
          <w:highlight w:val="lightGray"/>
        </w:rPr>
      </w:pPr>
      <w:r w:rsidRPr="00AC33DF">
        <w:rPr>
          <w:rFonts w:ascii="Times New Roman" w:eastAsia="Times New Roman" w:hAnsi="Times New Roman" w:cs="Times New Roman"/>
          <w:b/>
          <w:lang w:val="en-GB"/>
        </w:rPr>
        <w:t>Knowledge</w:t>
      </w:r>
      <w:r w:rsidRPr="00AC33DF">
        <w:rPr>
          <w:rFonts w:ascii="Times New Roman" w:eastAsia="Times New Roman" w:hAnsi="Times New Roman" w:cs="Times New Roman"/>
          <w:lang w:val="en-GB"/>
        </w:rPr>
        <w:t xml:space="preserve">: </w:t>
      </w:r>
    </w:p>
    <w:p w:rsidR="00AC33DF" w:rsidRPr="00AC33DF" w:rsidRDefault="00AC33DF"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C33DF">
        <w:rPr>
          <w:rFonts w:ascii="Times New Roman" w:hAnsi="Times New Roman" w:cs="Times New Roman"/>
        </w:rPr>
        <w:t>Knows the basics and requirements of logistics, management, environmental protection, quality assurance, information technology, law and economics, connected to the field of military transportation.</w:t>
      </w:r>
    </w:p>
    <w:p w:rsidR="00AC33DF" w:rsidRPr="00AC33DF" w:rsidRDefault="00AC33DF"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C33DF">
        <w:rPr>
          <w:rFonts w:ascii="Times New Roman" w:hAnsi="Times New Roman" w:cs="Times New Roman"/>
        </w:rPr>
        <w:t>Is familiar with the technical equipment used in military transportation, the transportation modes and facilities, and the rules of their use and operation.</w:t>
      </w:r>
    </w:p>
    <w:p w:rsidR="00AC33DF" w:rsidRPr="00AC33DF" w:rsidRDefault="00AC33DF"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C33DF">
        <w:rPr>
          <w:rFonts w:ascii="Times New Roman" w:hAnsi="Times New Roman" w:cs="Times New Roman"/>
        </w:rPr>
        <w:t>Is familiar with the tasks and responsibilities of stockpiling, storing, registering and inventorying of military transportation assets and is able to control these processes.</w:t>
      </w:r>
    </w:p>
    <w:p w:rsidR="00AC33DF" w:rsidRPr="00AC33DF" w:rsidRDefault="00AC33DF"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C33DF">
        <w:rPr>
          <w:rFonts w:ascii="Times New Roman" w:hAnsi="Times New Roman" w:cs="Times New Roman"/>
        </w:rPr>
        <w:t>Has a profound knowledge of the tasks and the system of military transportation and the unique characteristics of performing each task.</w:t>
      </w:r>
    </w:p>
    <w:p w:rsidR="00AC33DF" w:rsidRPr="00AC33DF" w:rsidRDefault="00AC33DF"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C33DF">
        <w:rPr>
          <w:rFonts w:ascii="Times New Roman" w:hAnsi="Times New Roman" w:cs="Times New Roman"/>
        </w:rPr>
        <w:t>Is familiar with the methods of assessing the requirements of military transportation and its feasibility and practical implementation.</w:t>
      </w:r>
    </w:p>
    <w:p w:rsidR="00AC33DF" w:rsidRPr="00AC33DF" w:rsidRDefault="00AC33DF" w:rsidP="00AC33DF">
      <w:pPr>
        <w:widowControl w:val="0"/>
        <w:spacing w:before="120" w:after="120" w:line="240" w:lineRule="auto"/>
        <w:ind w:left="426"/>
        <w:jc w:val="both"/>
        <w:rPr>
          <w:rFonts w:ascii="Times New Roman" w:eastAsia="Times New Roman" w:hAnsi="Times New Roman" w:cs="Times New Roman"/>
          <w:lang w:val="en-GB"/>
        </w:rPr>
      </w:pPr>
    </w:p>
    <w:p w:rsidR="00AC33DF" w:rsidRPr="00AC33DF" w:rsidRDefault="00AC33DF" w:rsidP="00AC33DF">
      <w:pPr>
        <w:widowControl w:val="0"/>
        <w:spacing w:before="120" w:after="120" w:line="240" w:lineRule="auto"/>
        <w:ind w:left="426"/>
        <w:jc w:val="both"/>
        <w:rPr>
          <w:rFonts w:ascii="Times New Roman" w:eastAsia="Times New Roman" w:hAnsi="Times New Roman" w:cs="Times New Roman"/>
          <w:lang w:val="en-GB"/>
        </w:rPr>
      </w:pPr>
      <w:r w:rsidRPr="00AC33DF">
        <w:rPr>
          <w:rFonts w:ascii="Times New Roman" w:eastAsia="Times New Roman" w:hAnsi="Times New Roman" w:cs="Times New Roman"/>
          <w:b/>
          <w:lang w:val="en-GB"/>
        </w:rPr>
        <w:lastRenderedPageBreak/>
        <w:t>Capabilities</w:t>
      </w:r>
      <w:r w:rsidRPr="00AC33DF">
        <w:rPr>
          <w:rFonts w:ascii="Times New Roman" w:eastAsia="Times New Roman" w:hAnsi="Times New Roman" w:cs="Times New Roman"/>
          <w:lang w:val="en-GB"/>
        </w:rPr>
        <w:t>:</w:t>
      </w:r>
    </w:p>
    <w:p w:rsidR="00AC33DF" w:rsidRPr="00AC33DF" w:rsidRDefault="00AC33DF"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C33DF">
        <w:rPr>
          <w:rFonts w:ascii="Times New Roman" w:hAnsi="Times New Roman" w:cs="Times New Roman"/>
        </w:rPr>
        <w:t>Using his/her general and specialized military knowledge and skills, he/she is capable of planning, organizing, and conducting military transport, movement, and transportation tasks.</w:t>
      </w:r>
    </w:p>
    <w:p w:rsidR="00AC33DF" w:rsidRPr="00AC33DF" w:rsidRDefault="00AC33DF"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C33DF">
        <w:rPr>
          <w:rFonts w:ascii="Times New Roman" w:hAnsi="Times New Roman" w:cs="Times New Roman"/>
        </w:rPr>
        <w:t>Is capable of leading the execution of the tasks of a military transportation subunit in peace time and in crisis response, disaster relief, peace support and combat operations both in a national and a multinational environment.</w:t>
      </w:r>
    </w:p>
    <w:p w:rsidR="00AC33DF" w:rsidRPr="00AC33DF" w:rsidRDefault="00AC33DF"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C33DF">
        <w:rPr>
          <w:rFonts w:ascii="Times New Roman" w:hAnsi="Times New Roman" w:cs="Times New Roman"/>
        </w:rPr>
        <w:t>Is capable of planning, organizing and executing the tasks related to the application of traffic networks for military purposes.</w:t>
      </w:r>
    </w:p>
    <w:p w:rsidR="00AC33DF" w:rsidRPr="00AC33DF" w:rsidRDefault="00AC33DF"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C33DF">
        <w:rPr>
          <w:rFonts w:ascii="Times New Roman" w:hAnsi="Times New Roman" w:cs="Times New Roman"/>
        </w:rPr>
        <w:t>Is capable of applying traffic information systems to support transportation processes and formulating the basic user requirements related to them.</w:t>
      </w:r>
    </w:p>
    <w:p w:rsidR="00AC33DF" w:rsidRPr="00AC33DF" w:rsidRDefault="00AC33DF" w:rsidP="00AC33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lang w:val="en-GB"/>
        </w:rPr>
      </w:pPr>
      <w:r w:rsidRPr="00AC33DF">
        <w:rPr>
          <w:rFonts w:ascii="Times New Roman" w:eastAsia="Times New Roman" w:hAnsi="Times New Roman" w:cs="Times New Roman"/>
          <w:b/>
          <w:lang w:val="en-GB"/>
        </w:rPr>
        <w:t>Attitude:</w:t>
      </w:r>
    </w:p>
    <w:p w:rsidR="00AC33DF" w:rsidRPr="00AC33DF" w:rsidRDefault="00AC33DF"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C33DF">
        <w:rPr>
          <w:rFonts w:ascii="Times New Roman" w:hAnsi="Times New Roman" w:cs="Times New Roman"/>
        </w:rPr>
        <w:t>He/She is ready to become familiar with and adopt the professional and technological development and innovation in the field of military transportation, and also to pass it on and integrate it into his daily work.</w:t>
      </w:r>
    </w:p>
    <w:p w:rsidR="00AC33DF" w:rsidRPr="00AC33DF" w:rsidRDefault="00AC33DF"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C33DF">
        <w:rPr>
          <w:rFonts w:ascii="Times New Roman" w:hAnsi="Times New Roman" w:cs="Times New Roman"/>
        </w:rPr>
        <w:t>He/She strives for continuous self-education in the field of military transportation which is consistent with his/her professional goals.</w:t>
      </w:r>
    </w:p>
    <w:p w:rsidR="00AC33DF" w:rsidRPr="00AC33DF" w:rsidRDefault="00AC33DF"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C33DF">
        <w:rPr>
          <w:rFonts w:ascii="Times New Roman" w:hAnsi="Times New Roman" w:cs="Times New Roman"/>
        </w:rPr>
        <w:t>He/She is committed to high quality in his/her professional work, with special emphasis on the safe execution of the transportation tasks and processes.</w:t>
      </w:r>
    </w:p>
    <w:p w:rsidR="00AC33DF" w:rsidRPr="00AC33DF" w:rsidRDefault="00AC33DF"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C33DF">
        <w:rPr>
          <w:rFonts w:ascii="Times New Roman" w:hAnsi="Times New Roman" w:cs="Times New Roman"/>
        </w:rPr>
        <w:t>He/She is interested in promoting the professional development of his/her subordinates, and provides assistance in their efforts.</w:t>
      </w:r>
    </w:p>
    <w:p w:rsidR="00AC33DF" w:rsidRPr="00AC33DF" w:rsidRDefault="00AC33DF"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C33DF">
        <w:rPr>
          <w:rFonts w:ascii="Times New Roman" w:hAnsi="Times New Roman" w:cs="Times New Roman"/>
        </w:rPr>
        <w:t>He/she is willing to share his/her experience with his/her colleagues to further their professional development.</w:t>
      </w:r>
    </w:p>
    <w:p w:rsidR="00AC33DF" w:rsidRPr="00AC33DF" w:rsidRDefault="00AC33DF" w:rsidP="00AC33DF">
      <w:pPr>
        <w:widowControl w:val="0"/>
        <w:spacing w:before="120" w:after="120" w:line="240" w:lineRule="auto"/>
        <w:ind w:left="426"/>
        <w:jc w:val="both"/>
        <w:rPr>
          <w:rFonts w:ascii="Times New Roman" w:eastAsia="Times New Roman" w:hAnsi="Times New Roman" w:cs="Times New Roman"/>
          <w:b/>
          <w:lang w:val="en-GB"/>
        </w:rPr>
      </w:pPr>
      <w:r w:rsidRPr="00AC33DF">
        <w:rPr>
          <w:rFonts w:ascii="Times New Roman" w:eastAsia="Times New Roman" w:hAnsi="Times New Roman" w:cs="Times New Roman"/>
          <w:b/>
          <w:lang w:val="en-GB"/>
        </w:rPr>
        <w:t xml:space="preserve">Autonomy and responsibility: </w:t>
      </w:r>
    </w:p>
    <w:p w:rsidR="00AC33DF" w:rsidRPr="00AC33DF" w:rsidRDefault="00AC33DF"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C33DF">
        <w:rPr>
          <w:rFonts w:ascii="Times New Roman" w:hAnsi="Times New Roman" w:cs="Times New Roman"/>
        </w:rPr>
        <w:t>He/She is able to make decisions independently in the processes arising in the field of military transportation, and to implement them with responsibility and within the legal framework.</w:t>
      </w:r>
    </w:p>
    <w:p w:rsidR="00AC33DF" w:rsidRPr="00AC33DF" w:rsidRDefault="00AC33DF"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C33DF">
        <w:rPr>
          <w:rFonts w:ascii="Times New Roman" w:hAnsi="Times New Roman" w:cs="Times New Roman"/>
        </w:rPr>
        <w:t>He/She is aware of the effects and consequences of his decisions and activities on the military logistic processes as a whole.</w:t>
      </w:r>
    </w:p>
    <w:p w:rsidR="00AC33DF" w:rsidRPr="00AC33DF" w:rsidRDefault="00AC33DF"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C33DF">
        <w:rPr>
          <w:rFonts w:ascii="Times New Roman" w:hAnsi="Times New Roman" w:cs="Times New Roman"/>
        </w:rPr>
        <w:t xml:space="preserve">During his/her professional duties, he/she is willing to responsibly cooperate with specialists of other areas. </w:t>
      </w:r>
    </w:p>
    <w:p w:rsidR="00AC33DF" w:rsidRPr="00AC33DF" w:rsidRDefault="00AC33DF"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C33DF">
        <w:rPr>
          <w:rFonts w:ascii="Times New Roman" w:hAnsi="Times New Roman" w:cs="Times New Roman"/>
        </w:rPr>
        <w:t>He/She can identify the deficiencies and risks in the applied technologies and initiates taking measures to reduce their impact.</w:t>
      </w:r>
    </w:p>
    <w:p w:rsidR="00AC33DF" w:rsidRPr="00AC33DF" w:rsidRDefault="00AC33DF"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C33DF">
        <w:rPr>
          <w:rFonts w:ascii="Times New Roman" w:hAnsi="Times New Roman" w:cs="Times New Roman"/>
        </w:rPr>
        <w:t>Under the guidance of his/her commander, he/she controls the work of the personnel under his/her command and supervises the planning, organization and implementation of the transport and transportation processes, and also the operation of the technical equipment used in military transportation.</w:t>
      </w:r>
    </w:p>
    <w:p w:rsidR="00AC33DF" w:rsidRPr="00AC33DF" w:rsidRDefault="00AC33DF"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C33DF">
        <w:rPr>
          <w:rFonts w:ascii="Times New Roman" w:hAnsi="Times New Roman" w:cs="Times New Roman"/>
        </w:rPr>
        <w:t>He/She continuously evaluates the efficiency and effectiveness of his/her subordinates' work.</w:t>
      </w:r>
    </w:p>
    <w:p w:rsidR="00AC33DF" w:rsidRPr="00AC33DF" w:rsidRDefault="00AC33DF" w:rsidP="00980876">
      <w:pPr>
        <w:widowControl w:val="0"/>
        <w:numPr>
          <w:ilvl w:val="0"/>
          <w:numId w:val="266"/>
        </w:numPr>
        <w:spacing w:before="120" w:after="120" w:line="240" w:lineRule="auto"/>
        <w:ind w:left="426" w:hanging="142"/>
        <w:jc w:val="both"/>
        <w:rPr>
          <w:rFonts w:ascii="Times New Roman" w:eastAsia="Times New Roman" w:hAnsi="Times New Roman" w:cs="Times New Roman"/>
          <w:bCs/>
        </w:rPr>
      </w:pPr>
      <w:r w:rsidRPr="00AC33DF">
        <w:rPr>
          <w:rFonts w:ascii="Times New Roman" w:eastAsia="Times New Roman" w:hAnsi="Times New Roman" w:cs="Times New Roman"/>
          <w:b/>
          <w:bCs/>
        </w:rPr>
        <w:t xml:space="preserve">Előtanulmányi követelmények: </w:t>
      </w:r>
      <w:r w:rsidRPr="00AC33DF">
        <w:rPr>
          <w:rFonts w:ascii="Times New Roman" w:eastAsia="Times New Roman" w:hAnsi="Times New Roman" w:cs="Times New Roman"/>
          <w:bCs/>
        </w:rPr>
        <w:t>Nincs</w:t>
      </w:r>
    </w:p>
    <w:p w:rsidR="00AC33DF" w:rsidRPr="00AC33DF" w:rsidRDefault="00AC33DF" w:rsidP="00980876">
      <w:pPr>
        <w:widowControl w:val="0"/>
        <w:numPr>
          <w:ilvl w:val="0"/>
          <w:numId w:val="266"/>
        </w:numPr>
        <w:spacing w:before="120" w:after="120" w:line="240" w:lineRule="auto"/>
        <w:ind w:left="426" w:hanging="142"/>
        <w:jc w:val="both"/>
        <w:rPr>
          <w:rFonts w:ascii="Times New Roman" w:eastAsia="Times New Roman" w:hAnsi="Times New Roman" w:cs="Times New Roman"/>
          <w:b/>
          <w:bCs/>
        </w:rPr>
      </w:pPr>
      <w:r w:rsidRPr="00AC33DF">
        <w:rPr>
          <w:rFonts w:ascii="Times New Roman" w:eastAsia="Times New Roman" w:hAnsi="Times New Roman" w:cs="Times New Roman"/>
          <w:b/>
          <w:bCs/>
        </w:rPr>
        <w:t>A tantárgy tananyagának leírása, tematika. Description of the subject, curriculum (magyarul, angolul - English):</w:t>
      </w:r>
    </w:p>
    <w:p w:rsidR="00AC33DF" w:rsidRPr="00B96A05" w:rsidRDefault="00AC33DF" w:rsidP="00980876">
      <w:pPr>
        <w:widowControl w:val="0"/>
        <w:numPr>
          <w:ilvl w:val="1"/>
          <w:numId w:val="266"/>
        </w:numPr>
        <w:tabs>
          <w:tab w:val="left" w:pos="709"/>
          <w:tab w:val="left" w:pos="993"/>
        </w:tabs>
        <w:spacing w:before="120" w:after="120" w:line="240" w:lineRule="auto"/>
        <w:ind w:left="993" w:hanging="567"/>
        <w:jc w:val="both"/>
        <w:rPr>
          <w:rFonts w:ascii="Times New Roman" w:eastAsia="Times New Roman" w:hAnsi="Times New Roman" w:cs="Times New Roman"/>
          <w:i/>
        </w:rPr>
      </w:pPr>
      <w:r w:rsidRPr="00AC33DF">
        <w:rPr>
          <w:rFonts w:ascii="Times New Roman" w:eastAsia="Times New Roman" w:hAnsi="Times New Roman" w:cs="Times New Roman"/>
        </w:rPr>
        <w:t>A közlekedési útvonalak tervezési menete. Vízszintes és magassági vonalvezetés.</w:t>
      </w:r>
      <w:r w:rsidRPr="00AC33DF">
        <w:rPr>
          <w:rFonts w:ascii="Times New Roman" w:hAnsi="Times New Roman" w:cs="Times New Roman"/>
          <w:lang w:val="en"/>
        </w:rPr>
        <w:t xml:space="preserve"> </w:t>
      </w:r>
      <w:r w:rsidRPr="00B96A05">
        <w:rPr>
          <w:rFonts w:ascii="Times New Roman" w:hAnsi="Times New Roman" w:cs="Times New Roman"/>
          <w:i/>
          <w:lang w:val="en"/>
        </w:rPr>
        <w:t>(</w:t>
      </w:r>
      <w:r w:rsidRPr="00B96A05">
        <w:rPr>
          <w:rStyle w:val="tlid-translation"/>
          <w:rFonts w:ascii="Times New Roman" w:hAnsi="Times New Roman" w:cs="Times New Roman"/>
          <w:i/>
          <w:lang w:val="en"/>
        </w:rPr>
        <w:t>Traffic planning process. Horizontal and elevation guidance.)</w:t>
      </w:r>
    </w:p>
    <w:p w:rsidR="00AC33DF" w:rsidRPr="00B96A05" w:rsidRDefault="00AC33DF" w:rsidP="00980876">
      <w:pPr>
        <w:widowControl w:val="0"/>
        <w:numPr>
          <w:ilvl w:val="1"/>
          <w:numId w:val="266"/>
        </w:numPr>
        <w:tabs>
          <w:tab w:val="left" w:pos="709"/>
          <w:tab w:val="left" w:pos="993"/>
        </w:tabs>
        <w:spacing w:before="120" w:after="120" w:line="240" w:lineRule="auto"/>
        <w:ind w:left="993" w:hanging="567"/>
        <w:jc w:val="both"/>
        <w:rPr>
          <w:rFonts w:ascii="Times New Roman" w:eastAsia="Times New Roman" w:hAnsi="Times New Roman" w:cs="Times New Roman"/>
          <w:i/>
        </w:rPr>
      </w:pPr>
      <w:r w:rsidRPr="00AC33DF">
        <w:rPr>
          <w:rFonts w:ascii="Times New Roman" w:eastAsia="Times New Roman" w:hAnsi="Times New Roman" w:cs="Times New Roman"/>
        </w:rPr>
        <w:t>Közutak vízelvezetési megoldásai. Közutak hajlékony és merev pályaszerkezete.</w:t>
      </w:r>
      <w:r w:rsidRPr="00AC33DF">
        <w:rPr>
          <w:rFonts w:ascii="Times New Roman" w:hAnsi="Times New Roman" w:cs="Times New Roman"/>
          <w:lang w:val="en"/>
        </w:rPr>
        <w:t xml:space="preserve"> </w:t>
      </w:r>
      <w:r w:rsidRPr="00B96A05">
        <w:rPr>
          <w:rFonts w:ascii="Times New Roman" w:hAnsi="Times New Roman" w:cs="Times New Roman"/>
          <w:i/>
          <w:lang w:val="en"/>
        </w:rPr>
        <w:t>(</w:t>
      </w:r>
      <w:r w:rsidRPr="00B96A05">
        <w:rPr>
          <w:rStyle w:val="tlid-translation"/>
          <w:rFonts w:ascii="Times New Roman" w:hAnsi="Times New Roman" w:cs="Times New Roman"/>
          <w:i/>
          <w:lang w:val="en"/>
        </w:rPr>
        <w:t>Road drainage solutions. Flexible and rigid road structure on public roads.)</w:t>
      </w:r>
    </w:p>
    <w:p w:rsidR="00AC33DF" w:rsidRPr="00B96A05" w:rsidRDefault="00AC33DF" w:rsidP="00980876">
      <w:pPr>
        <w:widowControl w:val="0"/>
        <w:numPr>
          <w:ilvl w:val="1"/>
          <w:numId w:val="266"/>
        </w:numPr>
        <w:tabs>
          <w:tab w:val="left" w:pos="709"/>
          <w:tab w:val="left" w:pos="993"/>
        </w:tabs>
        <w:spacing w:before="120" w:after="120" w:line="240" w:lineRule="auto"/>
        <w:ind w:left="993" w:hanging="567"/>
        <w:jc w:val="both"/>
        <w:rPr>
          <w:rFonts w:ascii="Times New Roman" w:eastAsia="Times New Roman" w:hAnsi="Times New Roman" w:cs="Times New Roman"/>
          <w:i/>
        </w:rPr>
      </w:pPr>
      <w:r w:rsidRPr="00AC33DF">
        <w:rPr>
          <w:rFonts w:ascii="Times New Roman" w:eastAsia="Times New Roman" w:hAnsi="Times New Roman" w:cs="Times New Roman"/>
        </w:rPr>
        <w:t>Közutak forgalomtechnikai elemei. Utak tartozékai.</w:t>
      </w:r>
      <w:r w:rsidRPr="00AC33DF">
        <w:rPr>
          <w:rFonts w:ascii="Times New Roman" w:hAnsi="Times New Roman" w:cs="Times New Roman"/>
          <w:lang w:val="en"/>
        </w:rPr>
        <w:t xml:space="preserve"> </w:t>
      </w:r>
      <w:r w:rsidRPr="00B96A05">
        <w:rPr>
          <w:rFonts w:ascii="Times New Roman" w:hAnsi="Times New Roman" w:cs="Times New Roman"/>
          <w:i/>
          <w:lang w:val="en"/>
        </w:rPr>
        <w:t>(</w:t>
      </w:r>
      <w:r w:rsidRPr="00B96A05">
        <w:rPr>
          <w:rStyle w:val="tlid-translation"/>
          <w:rFonts w:ascii="Times New Roman" w:hAnsi="Times New Roman" w:cs="Times New Roman"/>
          <w:i/>
          <w:lang w:val="en"/>
        </w:rPr>
        <w:t>Traffic elements of public roads. Road accessories.)</w:t>
      </w:r>
    </w:p>
    <w:p w:rsidR="00AC33DF" w:rsidRPr="00AC33DF" w:rsidRDefault="00AC33DF" w:rsidP="00980876">
      <w:pPr>
        <w:widowControl w:val="0"/>
        <w:numPr>
          <w:ilvl w:val="1"/>
          <w:numId w:val="266"/>
        </w:numPr>
        <w:tabs>
          <w:tab w:val="left" w:pos="709"/>
          <w:tab w:val="left" w:pos="993"/>
        </w:tabs>
        <w:spacing w:before="120" w:after="120" w:line="240" w:lineRule="auto"/>
        <w:ind w:left="993" w:hanging="567"/>
        <w:jc w:val="both"/>
        <w:rPr>
          <w:rFonts w:ascii="Times New Roman" w:eastAsia="Times New Roman" w:hAnsi="Times New Roman" w:cs="Times New Roman"/>
        </w:rPr>
      </w:pPr>
      <w:r w:rsidRPr="00AC33DF">
        <w:rPr>
          <w:rFonts w:ascii="Times New Roman" w:eastAsia="Times New Roman" w:hAnsi="Times New Roman" w:cs="Times New Roman"/>
        </w:rPr>
        <w:t>A vasúti pálya szerkezete, méretelőírások. Vasútvonalak osztályozása, jellemzőik</w:t>
      </w:r>
      <w:r w:rsidRPr="00AC33DF">
        <w:rPr>
          <w:rFonts w:ascii="Times New Roman" w:eastAsia="Times New Roman" w:hAnsi="Times New Roman" w:cs="Times New Roman"/>
          <w:b/>
        </w:rPr>
        <w:t>.</w:t>
      </w:r>
      <w:r w:rsidRPr="00AC33DF">
        <w:rPr>
          <w:rFonts w:ascii="Times New Roman" w:hAnsi="Times New Roman" w:cs="Times New Roman"/>
          <w:b/>
          <w:lang w:val="en"/>
        </w:rPr>
        <w:t xml:space="preserve"> </w:t>
      </w:r>
      <w:r w:rsidRPr="00B96A05">
        <w:rPr>
          <w:rFonts w:ascii="Times New Roman" w:hAnsi="Times New Roman" w:cs="Times New Roman"/>
          <w:i/>
          <w:lang w:val="en"/>
        </w:rPr>
        <w:t>(</w:t>
      </w:r>
      <w:r w:rsidRPr="00B96A05">
        <w:rPr>
          <w:rStyle w:val="tlid-translation"/>
          <w:rFonts w:ascii="Times New Roman" w:hAnsi="Times New Roman" w:cs="Times New Roman"/>
          <w:i/>
          <w:lang w:val="en"/>
        </w:rPr>
        <w:t>Structure of the railway track, size specifications. Classification of railway lines and their characteristics.)</w:t>
      </w:r>
    </w:p>
    <w:p w:rsidR="00AC33DF" w:rsidRPr="00B96A05" w:rsidRDefault="00AC33DF" w:rsidP="00980876">
      <w:pPr>
        <w:widowControl w:val="0"/>
        <w:numPr>
          <w:ilvl w:val="1"/>
          <w:numId w:val="266"/>
        </w:numPr>
        <w:tabs>
          <w:tab w:val="left" w:pos="709"/>
          <w:tab w:val="left" w:pos="993"/>
        </w:tabs>
        <w:spacing w:before="120" w:after="120" w:line="240" w:lineRule="auto"/>
        <w:ind w:left="993" w:hanging="567"/>
        <w:jc w:val="both"/>
        <w:rPr>
          <w:rFonts w:ascii="Times New Roman" w:eastAsia="Times New Roman" w:hAnsi="Times New Roman" w:cs="Times New Roman"/>
          <w:i/>
        </w:rPr>
      </w:pPr>
      <w:r w:rsidRPr="00AC33DF">
        <w:rPr>
          <w:rFonts w:ascii="Times New Roman" w:eastAsia="Times New Roman" w:hAnsi="Times New Roman" w:cs="Times New Roman"/>
        </w:rPr>
        <w:t>A vasúti felépítmény kialakítása. Kitérőszerkezetek, vágánykapcsolatok.</w:t>
      </w:r>
      <w:r w:rsidRPr="00AC33DF">
        <w:rPr>
          <w:rFonts w:ascii="Times New Roman" w:hAnsi="Times New Roman" w:cs="Times New Roman"/>
          <w:lang w:val="en"/>
        </w:rPr>
        <w:t xml:space="preserve"> </w:t>
      </w:r>
      <w:r w:rsidRPr="00B96A05">
        <w:rPr>
          <w:rFonts w:ascii="Times New Roman" w:hAnsi="Times New Roman" w:cs="Times New Roman"/>
          <w:i/>
          <w:lang w:val="en"/>
        </w:rPr>
        <w:t>(</w:t>
      </w:r>
      <w:r w:rsidRPr="00B96A05">
        <w:rPr>
          <w:rStyle w:val="tlid-translation"/>
          <w:rFonts w:ascii="Times New Roman" w:hAnsi="Times New Roman" w:cs="Times New Roman"/>
          <w:i/>
          <w:lang w:val="en"/>
        </w:rPr>
        <w:t xml:space="preserve">Railway </w:t>
      </w:r>
      <w:r w:rsidRPr="00B96A05">
        <w:rPr>
          <w:rStyle w:val="tlid-translation"/>
          <w:rFonts w:ascii="Times New Roman" w:hAnsi="Times New Roman" w:cs="Times New Roman"/>
          <w:i/>
          <w:lang w:val="en"/>
        </w:rPr>
        <w:lastRenderedPageBreak/>
        <w:t>superstructure. Bypass structures, track links.)</w:t>
      </w:r>
    </w:p>
    <w:p w:rsidR="00AC33DF" w:rsidRPr="00B96A05" w:rsidRDefault="00AC33DF" w:rsidP="00980876">
      <w:pPr>
        <w:widowControl w:val="0"/>
        <w:numPr>
          <w:ilvl w:val="1"/>
          <w:numId w:val="266"/>
        </w:numPr>
        <w:tabs>
          <w:tab w:val="left" w:pos="709"/>
          <w:tab w:val="left" w:pos="993"/>
        </w:tabs>
        <w:spacing w:before="120" w:after="120" w:line="240" w:lineRule="auto"/>
        <w:ind w:left="993" w:hanging="567"/>
        <w:jc w:val="both"/>
        <w:rPr>
          <w:rFonts w:ascii="Times New Roman" w:eastAsia="Times New Roman" w:hAnsi="Times New Roman" w:cs="Times New Roman"/>
          <w:i/>
        </w:rPr>
      </w:pPr>
      <w:r w:rsidRPr="00AC33DF">
        <w:rPr>
          <w:rFonts w:ascii="Times New Roman" w:eastAsia="Times New Roman" w:hAnsi="Times New Roman" w:cs="Times New Roman"/>
        </w:rPr>
        <w:t>Vasútállomások osztályozása, katonai követelményeik.</w:t>
      </w:r>
      <w:r w:rsidRPr="00AC33DF">
        <w:rPr>
          <w:rFonts w:ascii="Times New Roman" w:hAnsi="Times New Roman" w:cs="Times New Roman"/>
          <w:lang w:val="en"/>
        </w:rPr>
        <w:t xml:space="preserve"> </w:t>
      </w:r>
      <w:r w:rsidRPr="00B96A05">
        <w:rPr>
          <w:rFonts w:ascii="Times New Roman" w:hAnsi="Times New Roman" w:cs="Times New Roman"/>
          <w:i/>
          <w:lang w:val="en"/>
        </w:rPr>
        <w:t>(</w:t>
      </w:r>
      <w:r w:rsidRPr="00B96A05">
        <w:rPr>
          <w:rStyle w:val="tlid-translation"/>
          <w:rFonts w:ascii="Times New Roman" w:hAnsi="Times New Roman" w:cs="Times New Roman"/>
          <w:i/>
          <w:lang w:val="en"/>
        </w:rPr>
        <w:t>Classification of railway stations, their military requirements.)</w:t>
      </w:r>
    </w:p>
    <w:p w:rsidR="00AC33DF" w:rsidRPr="00B96A05" w:rsidRDefault="00AC33DF" w:rsidP="00980876">
      <w:pPr>
        <w:widowControl w:val="0"/>
        <w:numPr>
          <w:ilvl w:val="1"/>
          <w:numId w:val="266"/>
        </w:numPr>
        <w:tabs>
          <w:tab w:val="left" w:pos="709"/>
          <w:tab w:val="left" w:pos="993"/>
        </w:tabs>
        <w:spacing w:before="120" w:after="120" w:line="240" w:lineRule="auto"/>
        <w:ind w:left="993" w:hanging="567"/>
        <w:jc w:val="both"/>
        <w:rPr>
          <w:rFonts w:ascii="Times New Roman" w:eastAsia="Times New Roman" w:hAnsi="Times New Roman" w:cs="Times New Roman"/>
          <w:i/>
        </w:rPr>
      </w:pPr>
      <w:r w:rsidRPr="00AC33DF">
        <w:rPr>
          <w:rFonts w:ascii="Times New Roman" w:eastAsia="Times New Roman" w:hAnsi="Times New Roman" w:cs="Times New Roman"/>
        </w:rPr>
        <w:t>A természetes vizek fogalma, osztályozása, vízrajzi és egyéb jellemzői.</w:t>
      </w:r>
      <w:r w:rsidRPr="00AC33DF">
        <w:rPr>
          <w:rFonts w:ascii="Times New Roman" w:hAnsi="Times New Roman" w:cs="Times New Roman"/>
          <w:lang w:val="en"/>
        </w:rPr>
        <w:t xml:space="preserve"> </w:t>
      </w:r>
      <w:r w:rsidRPr="00B96A05">
        <w:rPr>
          <w:rFonts w:ascii="Times New Roman" w:hAnsi="Times New Roman" w:cs="Times New Roman"/>
          <w:i/>
          <w:lang w:val="en"/>
        </w:rPr>
        <w:t>(</w:t>
      </w:r>
      <w:r w:rsidRPr="00B96A05">
        <w:rPr>
          <w:rStyle w:val="tlid-translation"/>
          <w:rFonts w:ascii="Times New Roman" w:hAnsi="Times New Roman" w:cs="Times New Roman"/>
          <w:i/>
          <w:lang w:val="en"/>
        </w:rPr>
        <w:t>Definition, classification, hydrographic and other characteristics of natural waters.)</w:t>
      </w:r>
    </w:p>
    <w:p w:rsidR="00AC33DF" w:rsidRPr="00B96A05" w:rsidRDefault="00AC33DF" w:rsidP="00980876">
      <w:pPr>
        <w:widowControl w:val="0"/>
        <w:numPr>
          <w:ilvl w:val="1"/>
          <w:numId w:val="266"/>
        </w:numPr>
        <w:tabs>
          <w:tab w:val="left" w:pos="709"/>
          <w:tab w:val="left" w:pos="993"/>
        </w:tabs>
        <w:spacing w:before="120" w:after="120" w:line="240" w:lineRule="auto"/>
        <w:ind w:left="993" w:hanging="567"/>
        <w:jc w:val="both"/>
        <w:rPr>
          <w:rFonts w:ascii="Times New Roman" w:eastAsia="Times New Roman" w:hAnsi="Times New Roman" w:cs="Times New Roman"/>
          <w:i/>
        </w:rPr>
      </w:pPr>
      <w:r w:rsidRPr="00AC33DF">
        <w:rPr>
          <w:rFonts w:ascii="Times New Roman" w:eastAsia="Times New Roman" w:hAnsi="Times New Roman" w:cs="Times New Roman"/>
        </w:rPr>
        <w:t>Hajóutak jellemzői, térméretei és jelzései.</w:t>
      </w:r>
      <w:r w:rsidRPr="00AC33DF">
        <w:rPr>
          <w:rFonts w:ascii="Times New Roman" w:hAnsi="Times New Roman" w:cs="Times New Roman"/>
          <w:lang w:val="en"/>
        </w:rPr>
        <w:t xml:space="preserve"> </w:t>
      </w:r>
      <w:r w:rsidRPr="00B96A05">
        <w:rPr>
          <w:rFonts w:ascii="Times New Roman" w:hAnsi="Times New Roman" w:cs="Times New Roman"/>
          <w:i/>
          <w:lang w:val="en"/>
        </w:rPr>
        <w:t>(</w:t>
      </w:r>
      <w:r w:rsidRPr="00B96A05">
        <w:rPr>
          <w:rStyle w:val="tlid-translation"/>
          <w:rFonts w:ascii="Times New Roman" w:hAnsi="Times New Roman" w:cs="Times New Roman"/>
          <w:i/>
          <w:lang w:val="en"/>
        </w:rPr>
        <w:t>Fairway characteristics, space dimensions and markings.)</w:t>
      </w:r>
    </w:p>
    <w:p w:rsidR="00AC33DF" w:rsidRPr="00B96A05" w:rsidRDefault="00AC33DF" w:rsidP="00980876">
      <w:pPr>
        <w:widowControl w:val="0"/>
        <w:numPr>
          <w:ilvl w:val="1"/>
          <w:numId w:val="266"/>
        </w:numPr>
        <w:tabs>
          <w:tab w:val="left" w:pos="709"/>
          <w:tab w:val="left" w:pos="993"/>
        </w:tabs>
        <w:spacing w:before="120" w:after="120" w:line="240" w:lineRule="auto"/>
        <w:ind w:left="993" w:hanging="567"/>
        <w:jc w:val="both"/>
        <w:rPr>
          <w:rFonts w:ascii="Times New Roman" w:eastAsia="Times New Roman" w:hAnsi="Times New Roman" w:cs="Times New Roman"/>
          <w:i/>
        </w:rPr>
      </w:pPr>
      <w:r w:rsidRPr="00AC33DF">
        <w:rPr>
          <w:rFonts w:ascii="Times New Roman" w:eastAsia="Times New Roman" w:hAnsi="Times New Roman" w:cs="Times New Roman"/>
        </w:rPr>
        <w:t>Légifolyosók paraméterei. Repülőtéri utak, azok jelzései, jelöléseik.</w:t>
      </w:r>
      <w:r w:rsidRPr="00AC33DF">
        <w:rPr>
          <w:rFonts w:ascii="Times New Roman" w:hAnsi="Times New Roman" w:cs="Times New Roman"/>
          <w:lang w:val="en"/>
        </w:rPr>
        <w:t xml:space="preserve"> </w:t>
      </w:r>
      <w:r w:rsidRPr="00B96A05">
        <w:rPr>
          <w:rFonts w:ascii="Times New Roman" w:hAnsi="Times New Roman" w:cs="Times New Roman"/>
          <w:i/>
          <w:lang w:val="en"/>
        </w:rPr>
        <w:t>(</w:t>
      </w:r>
      <w:r w:rsidRPr="00B96A05">
        <w:rPr>
          <w:rStyle w:val="tlid-translation"/>
          <w:rFonts w:ascii="Times New Roman" w:hAnsi="Times New Roman" w:cs="Times New Roman"/>
          <w:i/>
          <w:lang w:val="en"/>
        </w:rPr>
        <w:t>Parameters for air corridors. Airport roads, their signs, markings.)</w:t>
      </w:r>
    </w:p>
    <w:p w:rsidR="00AC33DF" w:rsidRPr="00AC33DF" w:rsidRDefault="00AC33DF" w:rsidP="00980876">
      <w:pPr>
        <w:widowControl w:val="0"/>
        <w:numPr>
          <w:ilvl w:val="1"/>
          <w:numId w:val="266"/>
        </w:numPr>
        <w:tabs>
          <w:tab w:val="left" w:pos="709"/>
          <w:tab w:val="left" w:pos="993"/>
        </w:tabs>
        <w:spacing w:before="120" w:after="120" w:line="240" w:lineRule="auto"/>
        <w:ind w:left="993" w:hanging="567"/>
        <w:jc w:val="both"/>
        <w:rPr>
          <w:rFonts w:ascii="Times New Roman" w:eastAsia="Times New Roman" w:hAnsi="Times New Roman" w:cs="Times New Roman"/>
        </w:rPr>
      </w:pPr>
      <w:r w:rsidRPr="00AC33DF">
        <w:rPr>
          <w:rFonts w:ascii="Times New Roman" w:eastAsia="Times New Roman" w:hAnsi="Times New Roman" w:cs="Times New Roman"/>
        </w:rPr>
        <w:t xml:space="preserve">Zárthelyi dolgozat. </w:t>
      </w:r>
      <w:r w:rsidRPr="00B96A05">
        <w:rPr>
          <w:rFonts w:ascii="Times New Roman" w:eastAsia="Times New Roman" w:hAnsi="Times New Roman" w:cs="Times New Roman"/>
          <w:i/>
        </w:rPr>
        <w:t>(</w:t>
      </w:r>
      <w:r w:rsidRPr="00B96A05">
        <w:rPr>
          <w:rStyle w:val="tlid-translation"/>
          <w:rFonts w:ascii="Times New Roman" w:hAnsi="Times New Roman" w:cs="Times New Roman"/>
          <w:i/>
          <w:lang w:val="en"/>
        </w:rPr>
        <w:t>Closed thesis.)</w:t>
      </w:r>
    </w:p>
    <w:p w:rsidR="00AC33DF" w:rsidRPr="00AC33DF" w:rsidRDefault="00AC33DF" w:rsidP="00980876">
      <w:pPr>
        <w:widowControl w:val="0"/>
        <w:numPr>
          <w:ilvl w:val="0"/>
          <w:numId w:val="266"/>
        </w:numPr>
        <w:spacing w:before="120" w:after="120" w:line="240" w:lineRule="auto"/>
        <w:ind w:left="426" w:hanging="142"/>
        <w:jc w:val="both"/>
        <w:rPr>
          <w:rFonts w:ascii="Times New Roman" w:eastAsia="Times New Roman" w:hAnsi="Times New Roman" w:cs="Times New Roman"/>
          <w:bCs/>
        </w:rPr>
      </w:pPr>
      <w:r w:rsidRPr="00AC33DF">
        <w:rPr>
          <w:rFonts w:ascii="Times New Roman" w:eastAsia="Times New Roman" w:hAnsi="Times New Roman" w:cs="Times New Roman"/>
          <w:b/>
          <w:bCs/>
        </w:rPr>
        <w:t xml:space="preserve">A tantárgy meghirdetésének gyakorisága/a tantervben történő félévi elhelyezkedése: </w:t>
      </w:r>
      <w:r w:rsidRPr="00AC33DF">
        <w:rPr>
          <w:rFonts w:ascii="Times New Roman" w:eastAsia="Times New Roman" w:hAnsi="Times New Roman" w:cs="Times New Roman"/>
          <w:bCs/>
        </w:rPr>
        <w:t>5. félév</w:t>
      </w:r>
    </w:p>
    <w:p w:rsidR="00AC33DF" w:rsidRPr="00AC33DF" w:rsidRDefault="00AC33DF" w:rsidP="00980876">
      <w:pPr>
        <w:widowControl w:val="0"/>
        <w:numPr>
          <w:ilvl w:val="0"/>
          <w:numId w:val="266"/>
        </w:numPr>
        <w:spacing w:before="120" w:after="120" w:line="240" w:lineRule="auto"/>
        <w:ind w:left="426" w:hanging="142"/>
        <w:jc w:val="both"/>
        <w:rPr>
          <w:rFonts w:ascii="Times New Roman" w:eastAsia="Times New Roman" w:hAnsi="Times New Roman" w:cs="Times New Roman"/>
          <w:bCs/>
        </w:rPr>
      </w:pPr>
      <w:r w:rsidRPr="00AC33DF">
        <w:rPr>
          <w:rFonts w:ascii="Times New Roman" w:eastAsia="Times New Roman" w:hAnsi="Times New Roman" w:cs="Times New Roman"/>
          <w:b/>
          <w:bCs/>
        </w:rPr>
        <w:t>A tanórákon való részvétel követelményei, az elfogadható hiányzások mértéke, a távolmaradás pótlásának lehetősége:</w:t>
      </w:r>
      <w:r w:rsidRPr="00AC33DF">
        <w:rPr>
          <w:rFonts w:ascii="Times New Roman" w:eastAsia="Times New Roman" w:hAnsi="Times New Roman" w:cs="Times New Roman"/>
          <w:bCs/>
        </w:rPr>
        <w:t xml:space="preserve"> </w:t>
      </w:r>
    </w:p>
    <w:p w:rsidR="00AC33DF" w:rsidRPr="00AC33DF" w:rsidRDefault="00AC33DF" w:rsidP="00AC33DF">
      <w:pPr>
        <w:widowControl w:val="0"/>
        <w:spacing w:before="120" w:after="120" w:line="240" w:lineRule="auto"/>
        <w:ind w:left="426"/>
        <w:jc w:val="both"/>
        <w:rPr>
          <w:rFonts w:ascii="Times New Roman" w:eastAsia="Times New Roman" w:hAnsi="Times New Roman" w:cs="Times New Roman"/>
          <w:bCs/>
          <w:highlight w:val="lightGray"/>
        </w:rPr>
      </w:pPr>
      <w:r w:rsidRPr="00AC33DF">
        <w:rPr>
          <w:rFonts w:ascii="Times New Roman" w:eastAsia="Times New Roman" w:hAnsi="Times New Roman" w:cs="Times New Roman"/>
          <w:bCs/>
          <w:lang w:eastAsia="hu-HU"/>
        </w:rPr>
        <w:t>A tanórákon való részvétel kötelező, megengedett hiányzás mértéke 25%. Hiányzás esetén órapótlásra nincs lehetőség, a hallgató az előadás anyagát önállóan pótolja. A 25%-ot meghaladó hiányzás az aláírás megtagadását vonja maga után.</w:t>
      </w:r>
    </w:p>
    <w:p w:rsidR="00AC33DF" w:rsidRPr="00AC33DF" w:rsidRDefault="00AC33DF" w:rsidP="00980876">
      <w:pPr>
        <w:widowControl w:val="0"/>
        <w:numPr>
          <w:ilvl w:val="0"/>
          <w:numId w:val="266"/>
        </w:numPr>
        <w:spacing w:before="120" w:after="120" w:line="240" w:lineRule="auto"/>
        <w:ind w:left="426" w:hanging="142"/>
        <w:jc w:val="both"/>
        <w:rPr>
          <w:rFonts w:ascii="Times New Roman" w:eastAsia="Times New Roman" w:hAnsi="Times New Roman" w:cs="Times New Roman"/>
          <w:bCs/>
        </w:rPr>
      </w:pPr>
      <w:r w:rsidRPr="00AC33DF">
        <w:rPr>
          <w:rFonts w:ascii="Times New Roman" w:eastAsia="Times New Roman" w:hAnsi="Times New Roman" w:cs="Times New Roman"/>
          <w:b/>
        </w:rPr>
        <w:t>Félévközi feladatok, ismeretek ellenőrzésének rendje:</w:t>
      </w:r>
      <w:r w:rsidRPr="00AC33DF">
        <w:rPr>
          <w:rFonts w:ascii="Times New Roman" w:eastAsia="Times New Roman" w:hAnsi="Times New Roman" w:cs="Times New Roman"/>
          <w:bCs/>
        </w:rPr>
        <w:t xml:space="preserve"> </w:t>
      </w:r>
    </w:p>
    <w:p w:rsidR="00AC33DF" w:rsidRPr="00AC33DF" w:rsidRDefault="00AC33DF" w:rsidP="00AC33DF">
      <w:pPr>
        <w:widowControl w:val="0"/>
        <w:spacing w:before="120" w:after="120" w:line="240" w:lineRule="auto"/>
        <w:ind w:left="426"/>
        <w:jc w:val="both"/>
        <w:rPr>
          <w:rFonts w:ascii="Times New Roman" w:eastAsia="Times New Roman" w:hAnsi="Times New Roman" w:cs="Times New Roman"/>
          <w:lang w:eastAsia="x-none"/>
        </w:rPr>
      </w:pPr>
      <w:r w:rsidRPr="00AC33DF">
        <w:rPr>
          <w:rFonts w:ascii="Times New Roman" w:eastAsia="Times New Roman" w:hAnsi="Times New Roman" w:cs="Times New Roman"/>
          <w:lang w:val="x-none" w:eastAsia="x-none"/>
        </w:rPr>
        <w:t>A félév során egy zárthelyi dolgozatot ke</w:t>
      </w:r>
      <w:r w:rsidRPr="00AC33DF">
        <w:rPr>
          <w:rFonts w:ascii="Times New Roman" w:eastAsia="Times New Roman" w:hAnsi="Times New Roman" w:cs="Times New Roman"/>
          <w:lang w:eastAsia="x-none"/>
        </w:rPr>
        <w:t>l</w:t>
      </w:r>
      <w:r w:rsidRPr="00AC33DF">
        <w:rPr>
          <w:rFonts w:ascii="Times New Roman" w:eastAsia="Times New Roman" w:hAnsi="Times New Roman" w:cs="Times New Roman"/>
          <w:lang w:val="x-none" w:eastAsia="x-none"/>
        </w:rPr>
        <w:t>l megír</w:t>
      </w:r>
      <w:r w:rsidRPr="00AC33DF">
        <w:rPr>
          <w:rFonts w:ascii="Times New Roman" w:eastAsia="Times New Roman" w:hAnsi="Times New Roman" w:cs="Times New Roman"/>
          <w:lang w:eastAsia="x-none"/>
        </w:rPr>
        <w:t>ni</w:t>
      </w:r>
      <w:r w:rsidRPr="00AC33DF">
        <w:rPr>
          <w:rFonts w:ascii="Times New Roman" w:eastAsia="Times New Roman" w:hAnsi="Times New Roman" w:cs="Times New Roman"/>
          <w:lang w:val="x-none" w:eastAsia="x-none"/>
        </w:rPr>
        <w:t xml:space="preserve">. </w:t>
      </w:r>
      <w:r w:rsidRPr="00AC33DF">
        <w:rPr>
          <w:rFonts w:ascii="Times New Roman" w:eastAsia="Times New Roman" w:hAnsi="Times New Roman" w:cs="Times New Roman"/>
          <w:lang w:eastAsia="x-none"/>
        </w:rPr>
        <w:t xml:space="preserve">A zárthelyi dolgozat ötfokozatú skálán értékelendő, 50%+1 pont elégséges, 60% közepes, 75% jó, 90% jeles. </w:t>
      </w:r>
      <w:r w:rsidRPr="00AC33DF">
        <w:rPr>
          <w:rFonts w:ascii="Times New Roman" w:eastAsia="Times New Roman" w:hAnsi="Times New Roman" w:cs="Times New Roman"/>
          <w:lang w:val="x-none" w:eastAsia="x-none"/>
        </w:rPr>
        <w:t xml:space="preserve">Az elégtelen osztályzatra értékelt dolgozatot a szorgalmi és a vizsgaidőszakban is egy-egy alkalommal lehet pótolni. </w:t>
      </w:r>
    </w:p>
    <w:p w:rsidR="00AC33DF" w:rsidRPr="00AC33DF" w:rsidRDefault="00AC33DF" w:rsidP="00AC33DF">
      <w:pPr>
        <w:widowControl w:val="0"/>
        <w:spacing w:before="120" w:after="120" w:line="240" w:lineRule="auto"/>
        <w:ind w:left="426"/>
        <w:jc w:val="both"/>
        <w:rPr>
          <w:rFonts w:ascii="Times New Roman" w:eastAsia="Times New Roman" w:hAnsi="Times New Roman" w:cs="Times New Roman"/>
          <w:lang w:val="x-none" w:eastAsia="x-none"/>
        </w:rPr>
      </w:pPr>
      <w:r w:rsidRPr="00AC33DF">
        <w:rPr>
          <w:rFonts w:ascii="Times New Roman" w:hAnsi="Times New Roman" w:cs="Times New Roman"/>
          <w:lang w:val="x-none" w:eastAsia="x-none"/>
        </w:rPr>
        <w:t xml:space="preserve">A félév során </w:t>
      </w:r>
      <w:r w:rsidRPr="00AC33DF">
        <w:rPr>
          <w:rFonts w:ascii="Times New Roman" w:hAnsi="Times New Roman" w:cs="Times New Roman"/>
          <w:lang w:eastAsia="x-none"/>
        </w:rPr>
        <w:t>kettő</w:t>
      </w:r>
      <w:r w:rsidRPr="00AC33DF">
        <w:rPr>
          <w:rFonts w:ascii="Times New Roman" w:hAnsi="Times New Roman" w:cs="Times New Roman"/>
          <w:lang w:val="x-none" w:eastAsia="x-none"/>
        </w:rPr>
        <w:t xml:space="preserve"> házi feladatot kell elkészíteni minimálisan 10-10 oldal</w:t>
      </w:r>
      <w:r w:rsidRPr="00AC33DF">
        <w:rPr>
          <w:rFonts w:ascii="Times New Roman" w:hAnsi="Times New Roman" w:cs="Times New Roman"/>
          <w:b/>
          <w:lang w:val="x-none" w:eastAsia="x-none"/>
        </w:rPr>
        <w:t xml:space="preserve"> </w:t>
      </w:r>
      <w:r w:rsidRPr="00AC33DF">
        <w:rPr>
          <w:rFonts w:ascii="Times New Roman" w:hAnsi="Times New Roman" w:cs="Times New Roman"/>
          <w:lang w:val="x-none" w:eastAsia="x-none"/>
        </w:rPr>
        <w:t xml:space="preserve">terjedelemben, a szakdolgozatnak megfelelő formai követelményekkel </w:t>
      </w:r>
      <w:r w:rsidRPr="00AC33DF">
        <w:rPr>
          <w:rFonts w:ascii="Times New Roman" w:hAnsi="Times New Roman" w:cs="Times New Roman"/>
        </w:rPr>
        <w:t>(TVSZ 5. melléklet)</w:t>
      </w:r>
      <w:r w:rsidRPr="00AC33DF">
        <w:rPr>
          <w:rFonts w:ascii="Times New Roman" w:hAnsi="Times New Roman" w:cs="Times New Roman"/>
          <w:lang w:val="x-none" w:eastAsia="x-none"/>
        </w:rPr>
        <w:t xml:space="preserve">. </w:t>
      </w:r>
      <w:r w:rsidRPr="00AC33DF">
        <w:rPr>
          <w:rFonts w:ascii="Times New Roman" w:hAnsi="Times New Roman" w:cs="Times New Roman"/>
          <w:lang w:eastAsia="x-none"/>
        </w:rPr>
        <w:t xml:space="preserve">A 10 oldal terjedelembe a bevezető, a fő rész és a befejezés tartozik csak. </w:t>
      </w:r>
      <w:r w:rsidRPr="00AC33DF">
        <w:rPr>
          <w:rFonts w:ascii="Times New Roman" w:hAnsi="Times New Roman" w:cs="Times New Roman"/>
          <w:lang w:val="x-none" w:eastAsia="x-none"/>
        </w:rPr>
        <w:t>Az írásbeli munkák témáját a hallgató választja a kurzus oktatója által az első összevonáson kiadott témajegyzékből. A szorgalmi időszakban a beadási határidőig leadott feladat</w:t>
      </w:r>
      <w:r w:rsidRPr="00AC33DF">
        <w:rPr>
          <w:rFonts w:ascii="Times New Roman" w:hAnsi="Times New Roman" w:cs="Times New Roman"/>
          <w:lang w:eastAsia="x-none"/>
        </w:rPr>
        <w:t>ok</w:t>
      </w:r>
      <w:r w:rsidRPr="00AC33DF">
        <w:rPr>
          <w:rFonts w:ascii="Times New Roman" w:hAnsi="Times New Roman" w:cs="Times New Roman"/>
          <w:lang w:val="x-none" w:eastAsia="x-none"/>
        </w:rPr>
        <w:t xml:space="preserve"> </w:t>
      </w:r>
      <w:r w:rsidRPr="00AC33DF">
        <w:rPr>
          <w:rFonts w:ascii="Times New Roman" w:hAnsi="Times New Roman" w:cs="Times New Roman"/>
          <w:lang w:eastAsia="x-none"/>
        </w:rPr>
        <w:t>ötfokozatú skálán értékelendők</w:t>
      </w:r>
      <w:r w:rsidRPr="00AC33DF">
        <w:rPr>
          <w:rFonts w:ascii="Times New Roman" w:hAnsi="Times New Roman" w:cs="Times New Roman"/>
          <w:lang w:val="x-none" w:eastAsia="x-none"/>
        </w:rPr>
        <w:t>, az</w:t>
      </w:r>
      <w:r w:rsidRPr="00AC33DF">
        <w:rPr>
          <w:rFonts w:ascii="Times New Roman" w:hAnsi="Times New Roman" w:cs="Times New Roman"/>
          <w:lang w:eastAsia="x-none"/>
        </w:rPr>
        <w:t>oka</w:t>
      </w:r>
      <w:r w:rsidRPr="00AC33DF">
        <w:rPr>
          <w:rFonts w:ascii="Times New Roman" w:hAnsi="Times New Roman" w:cs="Times New Roman"/>
          <w:lang w:val="x-none" w:eastAsia="x-none"/>
        </w:rPr>
        <w:t>t javítani a vizsgaidőszak első hetén egy alkalommal lehet.</w:t>
      </w:r>
    </w:p>
    <w:p w:rsidR="00AC33DF" w:rsidRPr="00AC33DF" w:rsidRDefault="00AC33DF" w:rsidP="00980876">
      <w:pPr>
        <w:widowControl w:val="0"/>
        <w:numPr>
          <w:ilvl w:val="0"/>
          <w:numId w:val="266"/>
        </w:numPr>
        <w:spacing w:before="120" w:after="120" w:line="240" w:lineRule="auto"/>
        <w:ind w:left="426" w:hanging="142"/>
        <w:jc w:val="both"/>
        <w:rPr>
          <w:rFonts w:ascii="Times New Roman" w:eastAsia="Times New Roman" w:hAnsi="Times New Roman" w:cs="Times New Roman"/>
          <w:b/>
          <w:bCs/>
        </w:rPr>
      </w:pPr>
      <w:r w:rsidRPr="00AC33DF">
        <w:rPr>
          <w:rFonts w:ascii="Times New Roman" w:eastAsia="Times New Roman" w:hAnsi="Times New Roman" w:cs="Times New Roman"/>
          <w:b/>
          <w:bCs/>
        </w:rPr>
        <w:t xml:space="preserve">Az értékelés, az aláírás és a kreditek megszerzésének pontos feltételei: </w:t>
      </w:r>
    </w:p>
    <w:p w:rsidR="00AC33DF" w:rsidRPr="00B96A05" w:rsidRDefault="00AC33DF" w:rsidP="00980876">
      <w:pPr>
        <w:widowControl w:val="0"/>
        <w:numPr>
          <w:ilvl w:val="1"/>
          <w:numId w:val="266"/>
        </w:numPr>
        <w:tabs>
          <w:tab w:val="left" w:pos="709"/>
          <w:tab w:val="left" w:pos="993"/>
        </w:tabs>
        <w:spacing w:before="120" w:after="120" w:line="240" w:lineRule="auto"/>
        <w:ind w:left="426" w:firstLine="0"/>
        <w:jc w:val="both"/>
        <w:rPr>
          <w:rFonts w:ascii="Times New Roman" w:hAnsi="Times New Roman" w:cs="Times New Roman"/>
        </w:rPr>
      </w:pPr>
      <w:r w:rsidRPr="00B96A05">
        <w:rPr>
          <w:rFonts w:ascii="Times New Roman" w:eastAsia="Times New Roman" w:hAnsi="Times New Roman" w:cs="Times New Roman"/>
          <w:b/>
        </w:rPr>
        <w:t>Az aláírás megszerzésének feltételei:</w:t>
      </w:r>
      <w:r w:rsidRPr="00B96A05">
        <w:rPr>
          <w:rFonts w:ascii="Times New Roman" w:eastAsia="Times New Roman" w:hAnsi="Times New Roman" w:cs="Times New Roman"/>
        </w:rPr>
        <w:t xml:space="preserve"> </w:t>
      </w:r>
      <w:r w:rsidRPr="00B96A05">
        <w:rPr>
          <w:rFonts w:ascii="Times New Roman" w:hAnsi="Times New Roman" w:cs="Times New Roman"/>
        </w:rPr>
        <w:t xml:space="preserve">Az aláírás megszerzésnek feltétele a zárthelyi dolgozat legalább elégséges szinten történő teljesítése (min </w:t>
      </w:r>
      <w:r w:rsidRPr="00B96A05">
        <w:rPr>
          <w:rFonts w:ascii="Times New Roman" w:eastAsia="Times New Roman" w:hAnsi="Times New Roman" w:cs="Times New Roman"/>
          <w:lang w:eastAsia="x-none"/>
        </w:rPr>
        <w:t>50%+1 pont</w:t>
      </w:r>
      <w:r w:rsidRPr="00B96A05">
        <w:rPr>
          <w:rFonts w:ascii="Times New Roman" w:hAnsi="Times New Roman" w:cs="Times New Roman"/>
        </w:rPr>
        <w:t>), a kapott féléves feladatok határidőre történő leadása és mindkettő minimálisan elégséges szintű teljesítése, illetve a tanórák legalább 75%-án való megjelenés.</w:t>
      </w:r>
    </w:p>
    <w:p w:rsidR="00AC33DF" w:rsidRPr="00B96A05" w:rsidRDefault="00AC33DF" w:rsidP="00980876">
      <w:pPr>
        <w:widowControl w:val="0"/>
        <w:numPr>
          <w:ilvl w:val="1"/>
          <w:numId w:val="266"/>
        </w:numPr>
        <w:tabs>
          <w:tab w:val="left" w:pos="709"/>
          <w:tab w:val="left" w:pos="993"/>
        </w:tabs>
        <w:spacing w:before="120" w:after="120" w:line="240" w:lineRule="auto"/>
        <w:ind w:left="426" w:firstLine="0"/>
        <w:jc w:val="both"/>
        <w:rPr>
          <w:rFonts w:ascii="Times New Roman" w:hAnsi="Times New Roman" w:cs="Times New Roman"/>
          <w:lang w:eastAsia="x-none"/>
        </w:rPr>
      </w:pPr>
      <w:r w:rsidRPr="00B96A05">
        <w:rPr>
          <w:rFonts w:ascii="Times New Roman" w:eastAsia="Times New Roman" w:hAnsi="Times New Roman" w:cs="Times New Roman"/>
          <w:b/>
        </w:rPr>
        <w:t>Az értékelés:</w:t>
      </w:r>
      <w:r w:rsidRPr="00B96A05">
        <w:rPr>
          <w:rFonts w:ascii="Times New Roman" w:eastAsia="Times New Roman" w:hAnsi="Times New Roman" w:cs="Times New Roman"/>
        </w:rPr>
        <w:t xml:space="preserve"> </w:t>
      </w:r>
      <w:r w:rsidRPr="00B96A05">
        <w:rPr>
          <w:rFonts w:ascii="Times New Roman" w:hAnsi="Times New Roman" w:cs="Times New Roman"/>
          <w:lang w:val="x-none" w:eastAsia="x-none"/>
        </w:rPr>
        <w:t xml:space="preserve">A </w:t>
      </w:r>
      <w:r w:rsidRPr="00B96A05">
        <w:rPr>
          <w:rFonts w:ascii="Times New Roman" w:hAnsi="Times New Roman" w:cs="Times New Roman"/>
        </w:rPr>
        <w:t>tantárgy</w:t>
      </w:r>
      <w:r w:rsidRPr="00B96A05">
        <w:rPr>
          <w:rFonts w:ascii="Times New Roman" w:hAnsi="Times New Roman" w:cs="Times New Roman"/>
          <w:lang w:val="x-none" w:eastAsia="x-none"/>
        </w:rPr>
        <w:t xml:space="preserve"> </w:t>
      </w:r>
      <w:r w:rsidRPr="00B96A05">
        <w:rPr>
          <w:rFonts w:ascii="Times New Roman" w:hAnsi="Times New Roman" w:cs="Times New Roman"/>
          <w:b/>
          <w:lang w:val="x-none" w:eastAsia="x-none"/>
        </w:rPr>
        <w:t>félévközi jeggyel</w:t>
      </w:r>
      <w:r w:rsidRPr="00B96A05">
        <w:rPr>
          <w:rFonts w:ascii="Times New Roman" w:hAnsi="Times New Roman" w:cs="Times New Roman"/>
          <w:lang w:val="x-none" w:eastAsia="x-none"/>
        </w:rPr>
        <w:t xml:space="preserve"> zárul, </w:t>
      </w:r>
      <w:r w:rsidRPr="00B96A05">
        <w:rPr>
          <w:rFonts w:ascii="Times New Roman" w:hAnsi="Times New Roman" w:cs="Times New Roman"/>
          <w:lang w:eastAsia="x-none"/>
        </w:rPr>
        <w:t>a</w:t>
      </w:r>
      <w:r w:rsidRPr="00B96A05">
        <w:rPr>
          <w:rFonts w:ascii="Times New Roman" w:hAnsi="Times New Roman" w:cs="Times New Roman"/>
          <w:lang w:val="x-none" w:eastAsia="x-none"/>
        </w:rPr>
        <w:t>mely a zárthelyi dolgozatra és a beadott házi feladatokra kapott osztályzatok alapján kerül meghatározásra egyszerű számtani átlaggal.</w:t>
      </w:r>
    </w:p>
    <w:p w:rsidR="00AC33DF" w:rsidRPr="00B96A05" w:rsidRDefault="00AC33DF" w:rsidP="00980876">
      <w:pPr>
        <w:widowControl w:val="0"/>
        <w:numPr>
          <w:ilvl w:val="1"/>
          <w:numId w:val="266"/>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B96A05">
        <w:rPr>
          <w:rFonts w:ascii="Times New Roman" w:eastAsia="Times New Roman" w:hAnsi="Times New Roman" w:cs="Times New Roman"/>
          <w:b/>
        </w:rPr>
        <w:t>A kreditek megszerzésének feltételei:</w:t>
      </w:r>
      <w:r w:rsidRPr="00B96A05">
        <w:rPr>
          <w:rFonts w:ascii="Times New Roman" w:eastAsia="Times New Roman" w:hAnsi="Times New Roman" w:cs="Times New Roman"/>
        </w:rPr>
        <w:t xml:space="preserve"> A kreditek megszerzésének feltétele az aláírás megszerzése és legalább elégséges félévközi jegy.</w:t>
      </w:r>
    </w:p>
    <w:p w:rsidR="00AC33DF" w:rsidRPr="00AC33DF" w:rsidRDefault="00AC33DF" w:rsidP="00980876">
      <w:pPr>
        <w:widowControl w:val="0"/>
        <w:numPr>
          <w:ilvl w:val="0"/>
          <w:numId w:val="266"/>
        </w:numPr>
        <w:spacing w:before="120" w:after="120" w:line="240" w:lineRule="auto"/>
        <w:ind w:left="426" w:hanging="142"/>
        <w:jc w:val="both"/>
        <w:rPr>
          <w:rFonts w:ascii="Times New Roman" w:eastAsia="Times New Roman" w:hAnsi="Times New Roman" w:cs="Times New Roman"/>
          <w:bCs/>
        </w:rPr>
      </w:pPr>
      <w:r w:rsidRPr="00AC33DF">
        <w:rPr>
          <w:rFonts w:ascii="Times New Roman" w:eastAsia="Times New Roman" w:hAnsi="Times New Roman" w:cs="Times New Roman"/>
          <w:b/>
          <w:bCs/>
        </w:rPr>
        <w:t>Irodalomjegyzék:</w:t>
      </w:r>
    </w:p>
    <w:p w:rsidR="00AC33DF" w:rsidRPr="00AC33DF" w:rsidRDefault="00AC33DF" w:rsidP="00980876">
      <w:pPr>
        <w:widowControl w:val="0"/>
        <w:numPr>
          <w:ilvl w:val="1"/>
          <w:numId w:val="266"/>
        </w:numPr>
        <w:tabs>
          <w:tab w:val="left" w:pos="567"/>
          <w:tab w:val="left" w:pos="851"/>
        </w:tabs>
        <w:spacing w:before="120" w:after="120" w:line="240" w:lineRule="auto"/>
        <w:ind w:left="426" w:hanging="142"/>
        <w:jc w:val="both"/>
        <w:rPr>
          <w:rFonts w:ascii="Times New Roman" w:eastAsia="Times New Roman" w:hAnsi="Times New Roman" w:cs="Times New Roman"/>
          <w:bCs/>
        </w:rPr>
      </w:pPr>
      <w:r w:rsidRPr="00AC33DF">
        <w:rPr>
          <w:rFonts w:ascii="Times New Roman" w:eastAsia="Times New Roman" w:hAnsi="Times New Roman" w:cs="Times New Roman"/>
          <w:b/>
          <w:bCs/>
        </w:rPr>
        <w:t>Kötelező irodalom:</w:t>
      </w:r>
    </w:p>
    <w:p w:rsidR="00AC33DF" w:rsidRPr="00AC33DF" w:rsidRDefault="00AC33DF" w:rsidP="00980876">
      <w:pPr>
        <w:pStyle w:val="Listaszerbekezds"/>
        <w:numPr>
          <w:ilvl w:val="0"/>
          <w:numId w:val="264"/>
        </w:numPr>
        <w:spacing w:after="0" w:line="240" w:lineRule="auto"/>
        <w:jc w:val="both"/>
        <w:rPr>
          <w:rFonts w:ascii="Times New Roman" w:hAnsi="Times New Roman" w:cs="Times New Roman"/>
        </w:rPr>
      </w:pPr>
      <w:r w:rsidRPr="00AC33DF">
        <w:rPr>
          <w:rFonts w:ascii="Times New Roman" w:hAnsi="Times New Roman" w:cs="Times New Roman"/>
        </w:rPr>
        <w:t>Arató K</w:t>
      </w:r>
      <w:r w:rsidR="004A1361">
        <w:rPr>
          <w:rFonts w:ascii="Times New Roman" w:hAnsi="Times New Roman" w:cs="Times New Roman"/>
        </w:rPr>
        <w:t>.</w:t>
      </w:r>
      <w:r w:rsidRPr="00AC33DF">
        <w:rPr>
          <w:rFonts w:ascii="Times New Roman" w:hAnsi="Times New Roman" w:cs="Times New Roman"/>
        </w:rPr>
        <w:t>: Közlekedési technika I. (NOVADAT Bt., Győr 1995)</w:t>
      </w:r>
    </w:p>
    <w:p w:rsidR="00AC33DF" w:rsidRPr="00AC33DF" w:rsidRDefault="00AC33DF" w:rsidP="00980876">
      <w:pPr>
        <w:pStyle w:val="Listaszerbekezds"/>
        <w:numPr>
          <w:ilvl w:val="0"/>
          <w:numId w:val="264"/>
        </w:numPr>
        <w:spacing w:after="0" w:line="240" w:lineRule="auto"/>
        <w:jc w:val="both"/>
        <w:rPr>
          <w:rFonts w:ascii="Times New Roman" w:hAnsi="Times New Roman" w:cs="Times New Roman"/>
        </w:rPr>
      </w:pPr>
      <w:r w:rsidRPr="00AC33DF">
        <w:rPr>
          <w:rFonts w:ascii="Times New Roman" w:hAnsi="Times New Roman" w:cs="Times New Roman"/>
        </w:rPr>
        <w:t>Hatfaludyné-Takácsné: Közlekedésépítés (Műszaki Könyvkiadó, Budapest 1999);</w:t>
      </w:r>
    </w:p>
    <w:p w:rsidR="00AC33DF" w:rsidRPr="00AC33DF" w:rsidRDefault="00AC33DF" w:rsidP="00980876">
      <w:pPr>
        <w:pStyle w:val="Listaszerbekezds"/>
        <w:numPr>
          <w:ilvl w:val="0"/>
          <w:numId w:val="264"/>
        </w:numPr>
        <w:spacing w:after="0" w:line="240" w:lineRule="auto"/>
        <w:jc w:val="both"/>
        <w:rPr>
          <w:rFonts w:ascii="Times New Roman" w:hAnsi="Times New Roman" w:cs="Times New Roman"/>
        </w:rPr>
      </w:pPr>
      <w:r w:rsidRPr="00AC33DF">
        <w:rPr>
          <w:rFonts w:ascii="Times New Roman" w:hAnsi="Times New Roman" w:cs="Times New Roman"/>
        </w:rPr>
        <w:t>Dr. Kőfalvi – Perger: Rakományellenőrzés és rögzítés tehergépjárművön (Hungarocamion, Budapest, 1988);</w:t>
      </w:r>
    </w:p>
    <w:p w:rsidR="00AC33DF" w:rsidRPr="00AC33DF" w:rsidRDefault="00AC33DF" w:rsidP="00980876">
      <w:pPr>
        <w:pStyle w:val="Listaszerbekezds"/>
        <w:numPr>
          <w:ilvl w:val="0"/>
          <w:numId w:val="264"/>
        </w:numPr>
        <w:spacing w:after="0" w:line="240" w:lineRule="auto"/>
        <w:jc w:val="both"/>
        <w:rPr>
          <w:rFonts w:ascii="Times New Roman" w:hAnsi="Times New Roman" w:cs="Times New Roman"/>
        </w:rPr>
      </w:pPr>
      <w:r w:rsidRPr="00AC33DF">
        <w:rPr>
          <w:rFonts w:ascii="Times New Roman" w:hAnsi="Times New Roman" w:cs="Times New Roman"/>
        </w:rPr>
        <w:t>Megyeri J</w:t>
      </w:r>
      <w:r w:rsidR="004A1361">
        <w:rPr>
          <w:rFonts w:ascii="Times New Roman" w:hAnsi="Times New Roman" w:cs="Times New Roman"/>
        </w:rPr>
        <w:t>.</w:t>
      </w:r>
      <w:r w:rsidRPr="00AC33DF">
        <w:rPr>
          <w:rFonts w:ascii="Times New Roman" w:hAnsi="Times New Roman" w:cs="Times New Roman"/>
        </w:rPr>
        <w:t>: Vasútépítéstan (Műegyetem Kiadó, Budapest 1997);</w:t>
      </w:r>
    </w:p>
    <w:p w:rsidR="00AC33DF" w:rsidRPr="00AC33DF" w:rsidRDefault="00AC33DF" w:rsidP="00980876">
      <w:pPr>
        <w:widowControl w:val="0"/>
        <w:numPr>
          <w:ilvl w:val="1"/>
          <w:numId w:val="266"/>
        </w:numPr>
        <w:tabs>
          <w:tab w:val="num" w:pos="2069"/>
        </w:tabs>
        <w:spacing w:before="120" w:after="120" w:line="240" w:lineRule="auto"/>
        <w:ind w:left="993" w:hanging="709"/>
        <w:jc w:val="both"/>
        <w:rPr>
          <w:rFonts w:ascii="Times New Roman" w:eastAsia="Times New Roman" w:hAnsi="Times New Roman" w:cs="Times New Roman"/>
          <w:b/>
          <w:bCs/>
        </w:rPr>
      </w:pPr>
      <w:r w:rsidRPr="00AC33DF">
        <w:rPr>
          <w:rFonts w:ascii="Times New Roman" w:eastAsia="Times New Roman" w:hAnsi="Times New Roman" w:cs="Times New Roman"/>
          <w:b/>
          <w:bCs/>
        </w:rPr>
        <w:t>Ajánlott irodalom:</w:t>
      </w:r>
    </w:p>
    <w:p w:rsidR="00AC33DF" w:rsidRPr="00AC33DF" w:rsidRDefault="00AC33DF" w:rsidP="00980876">
      <w:pPr>
        <w:pStyle w:val="Listaszerbekezds"/>
        <w:numPr>
          <w:ilvl w:val="0"/>
          <w:numId w:val="265"/>
        </w:numPr>
        <w:spacing w:after="0" w:line="240" w:lineRule="auto"/>
        <w:jc w:val="both"/>
        <w:rPr>
          <w:rFonts w:ascii="Times New Roman" w:hAnsi="Times New Roman" w:cs="Times New Roman"/>
        </w:rPr>
      </w:pPr>
      <w:r w:rsidRPr="00AC33DF">
        <w:rPr>
          <w:rFonts w:ascii="Times New Roman" w:hAnsi="Times New Roman" w:cs="Times New Roman"/>
        </w:rPr>
        <w:t>Arató K.: Vasúti szállítás és infrastruktúra I. (Széchenyi István Egyetem Műszaki Tudományi Kar elektronikus jegyzete; Győr, 2009.);</w:t>
      </w:r>
    </w:p>
    <w:p w:rsidR="00AC33DF" w:rsidRPr="00AC33DF" w:rsidRDefault="00AC33DF" w:rsidP="00980876">
      <w:pPr>
        <w:pStyle w:val="Listaszerbekezds"/>
        <w:numPr>
          <w:ilvl w:val="0"/>
          <w:numId w:val="265"/>
        </w:numPr>
        <w:spacing w:after="0" w:line="240" w:lineRule="auto"/>
        <w:jc w:val="both"/>
        <w:rPr>
          <w:rFonts w:ascii="Times New Roman" w:hAnsi="Times New Roman" w:cs="Times New Roman"/>
        </w:rPr>
      </w:pPr>
      <w:r w:rsidRPr="00AC33DF">
        <w:rPr>
          <w:rFonts w:ascii="Times New Roman" w:hAnsi="Times New Roman" w:cs="Times New Roman"/>
        </w:rPr>
        <w:lastRenderedPageBreak/>
        <w:t>Szabó L.: Vasúti szállítás és infrastruktúra II. (Universitas-Győr Nonprofit Kft. Győr, 2009.).</w:t>
      </w:r>
    </w:p>
    <w:p w:rsidR="00AC33DF" w:rsidRPr="00AC33DF" w:rsidRDefault="00AC33DF" w:rsidP="00980876">
      <w:pPr>
        <w:pStyle w:val="Listaszerbekezds"/>
        <w:numPr>
          <w:ilvl w:val="0"/>
          <w:numId w:val="265"/>
        </w:numPr>
        <w:spacing w:after="0" w:line="240" w:lineRule="auto"/>
        <w:jc w:val="both"/>
        <w:rPr>
          <w:rFonts w:ascii="Times New Roman" w:hAnsi="Times New Roman" w:cs="Times New Roman"/>
        </w:rPr>
      </w:pPr>
      <w:r w:rsidRPr="00AC33DF">
        <w:rPr>
          <w:rFonts w:ascii="Times New Roman" w:hAnsi="Times New Roman" w:cs="Times New Roman"/>
        </w:rPr>
        <w:t>Hausel-Arató: Közlekedési technika I., II. (NOVADAT Bt., Győr 1995);</w:t>
      </w:r>
    </w:p>
    <w:p w:rsidR="00AC33DF" w:rsidRPr="00AC33DF" w:rsidRDefault="00AC33DF" w:rsidP="00980876">
      <w:pPr>
        <w:pStyle w:val="Listaszerbekezds"/>
        <w:numPr>
          <w:ilvl w:val="0"/>
          <w:numId w:val="265"/>
        </w:numPr>
        <w:spacing w:after="0" w:line="240" w:lineRule="auto"/>
        <w:jc w:val="both"/>
        <w:rPr>
          <w:rFonts w:ascii="Times New Roman" w:hAnsi="Times New Roman" w:cs="Times New Roman"/>
        </w:rPr>
      </w:pPr>
      <w:r w:rsidRPr="00AC33DF">
        <w:rPr>
          <w:rFonts w:ascii="Times New Roman" w:hAnsi="Times New Roman" w:cs="Times New Roman"/>
        </w:rPr>
        <w:t>Dr. Fi I</w:t>
      </w:r>
      <w:r w:rsidR="004A1361">
        <w:rPr>
          <w:rFonts w:ascii="Times New Roman" w:hAnsi="Times New Roman" w:cs="Times New Roman"/>
        </w:rPr>
        <w:t>.</w:t>
      </w:r>
      <w:r w:rsidRPr="00AC33DF">
        <w:rPr>
          <w:rFonts w:ascii="Times New Roman" w:hAnsi="Times New Roman" w:cs="Times New Roman"/>
        </w:rPr>
        <w:t>: Utak és környezetük tervezése (Műegyetem Kiadó, Budapest, 2000, ISBN 963 420 655 7);</w:t>
      </w:r>
    </w:p>
    <w:p w:rsidR="00AC33DF" w:rsidRPr="00AC33DF" w:rsidRDefault="00AC33DF" w:rsidP="00980876">
      <w:pPr>
        <w:pStyle w:val="Listaszerbekezds"/>
        <w:numPr>
          <w:ilvl w:val="0"/>
          <w:numId w:val="265"/>
        </w:numPr>
        <w:spacing w:after="0" w:line="240" w:lineRule="auto"/>
        <w:jc w:val="both"/>
        <w:rPr>
          <w:rFonts w:ascii="Times New Roman" w:hAnsi="Times New Roman" w:cs="Times New Roman"/>
        </w:rPr>
      </w:pPr>
      <w:r w:rsidRPr="00AC33DF">
        <w:rPr>
          <w:rFonts w:ascii="Times New Roman" w:hAnsi="Times New Roman" w:cs="Times New Roman"/>
        </w:rPr>
        <w:t>Dr. Kozák-Dr. Papp-Dr Varga: Folyami vízépítés (Tankönyvkiadó, Budapest 1990);</w:t>
      </w:r>
    </w:p>
    <w:p w:rsidR="00AC33DF" w:rsidRPr="00AC33DF" w:rsidRDefault="00AC33DF" w:rsidP="00AC33DF">
      <w:pPr>
        <w:pStyle w:val="Listaszerbekezds"/>
        <w:widowControl w:val="0"/>
        <w:spacing w:after="0" w:line="240" w:lineRule="auto"/>
        <w:jc w:val="both"/>
        <w:rPr>
          <w:rFonts w:ascii="Times New Roman" w:eastAsia="Times New Roman" w:hAnsi="Times New Roman" w:cs="Times New Roman"/>
          <w:highlight w:val="lightGray"/>
        </w:rPr>
      </w:pPr>
    </w:p>
    <w:p w:rsidR="00AC33DF" w:rsidRPr="00AC403B" w:rsidRDefault="00AC33DF" w:rsidP="00AC33DF">
      <w:pPr>
        <w:widowControl w:val="0"/>
        <w:spacing w:before="120" w:after="120" w:line="240" w:lineRule="auto"/>
        <w:jc w:val="both"/>
        <w:rPr>
          <w:rFonts w:ascii="Times New Roman" w:eastAsia="Times New Roman" w:hAnsi="Times New Roman" w:cs="Times New Roman"/>
          <w:bCs/>
        </w:rPr>
      </w:pPr>
      <w:r>
        <w:rPr>
          <w:rFonts w:ascii="Times New Roman" w:eastAsia="Times New Roman" w:hAnsi="Times New Roman" w:cs="Times New Roman"/>
          <w:bCs/>
        </w:rPr>
        <w:t>Budapest 2020. március     -n</w:t>
      </w:r>
    </w:p>
    <w:p w:rsidR="00AC33DF" w:rsidRPr="00AC33DF" w:rsidRDefault="00AC33DF" w:rsidP="00AC33DF">
      <w:pPr>
        <w:tabs>
          <w:tab w:val="right" w:pos="900"/>
        </w:tabs>
        <w:spacing w:before="120"/>
        <w:ind w:left="1985" w:hanging="1980"/>
        <w:jc w:val="both"/>
        <w:rPr>
          <w:rFonts w:ascii="Times New Roman" w:hAnsi="Times New Roman" w:cs="Times New Roman"/>
          <w:bCs/>
          <w:lang w:eastAsia="x-none"/>
        </w:rPr>
      </w:pPr>
    </w:p>
    <w:p w:rsidR="00AC33DF" w:rsidRPr="00AC33DF" w:rsidRDefault="00AC33DF" w:rsidP="00AC33DF">
      <w:pPr>
        <w:tabs>
          <w:tab w:val="right" w:pos="900"/>
        </w:tabs>
        <w:spacing w:after="0"/>
        <w:rPr>
          <w:rFonts w:ascii="Times New Roman" w:hAnsi="Times New Roman" w:cs="Times New Roman"/>
          <w:bCs/>
          <w:lang w:val="x-none" w:eastAsia="x-none"/>
        </w:rPr>
      </w:pPr>
      <w:r w:rsidRPr="00AC33DF">
        <w:rPr>
          <w:rFonts w:ascii="Times New Roman" w:hAnsi="Times New Roman" w:cs="Times New Roman"/>
          <w:b/>
          <w:lang w:eastAsia="x-none"/>
        </w:rPr>
        <w:tab/>
      </w:r>
      <w:r w:rsidRPr="00AC33DF">
        <w:rPr>
          <w:rFonts w:ascii="Times New Roman" w:hAnsi="Times New Roman" w:cs="Times New Roman"/>
          <w:b/>
          <w:lang w:eastAsia="x-none"/>
        </w:rPr>
        <w:tab/>
      </w:r>
      <w:r w:rsidRPr="00AC33DF">
        <w:rPr>
          <w:rFonts w:ascii="Times New Roman" w:hAnsi="Times New Roman" w:cs="Times New Roman"/>
          <w:b/>
          <w:lang w:eastAsia="x-none"/>
        </w:rPr>
        <w:tab/>
      </w:r>
      <w:r w:rsidRPr="00AC33DF">
        <w:rPr>
          <w:rFonts w:ascii="Times New Roman" w:hAnsi="Times New Roman" w:cs="Times New Roman"/>
          <w:b/>
          <w:lang w:eastAsia="x-none"/>
        </w:rPr>
        <w:tab/>
      </w:r>
      <w:r w:rsidRPr="00AC33DF">
        <w:rPr>
          <w:rFonts w:ascii="Times New Roman" w:hAnsi="Times New Roman" w:cs="Times New Roman"/>
          <w:b/>
          <w:lang w:eastAsia="x-none"/>
        </w:rPr>
        <w:tab/>
      </w:r>
      <w:r w:rsidRPr="00AC33DF">
        <w:rPr>
          <w:rFonts w:ascii="Times New Roman" w:hAnsi="Times New Roman" w:cs="Times New Roman"/>
          <w:b/>
          <w:lang w:eastAsia="x-none"/>
        </w:rPr>
        <w:tab/>
        <w:t xml:space="preserve">  </w:t>
      </w:r>
      <w:r w:rsidRPr="00AC33DF">
        <w:rPr>
          <w:rFonts w:ascii="Times New Roman" w:hAnsi="Times New Roman" w:cs="Times New Roman"/>
          <w:b/>
          <w:lang w:eastAsia="x-none"/>
        </w:rPr>
        <w:tab/>
        <w:t xml:space="preserve">         Dr. Fábos Róbert adjunktus, PhD</w:t>
      </w:r>
    </w:p>
    <w:p w:rsidR="00AC33DF" w:rsidRPr="00AC33DF" w:rsidRDefault="00AC33DF" w:rsidP="00AC33DF">
      <w:pPr>
        <w:spacing w:after="0"/>
        <w:ind w:left="5672" w:firstLine="709"/>
        <w:rPr>
          <w:rFonts w:ascii="Times New Roman" w:hAnsi="Times New Roman" w:cs="Times New Roman"/>
          <w:bCs/>
        </w:rPr>
      </w:pPr>
      <w:r w:rsidRPr="00AC33DF">
        <w:rPr>
          <w:rFonts w:ascii="Times New Roman" w:hAnsi="Times New Roman" w:cs="Times New Roman"/>
          <w:bCs/>
        </w:rPr>
        <w:t>tantárgyfelelős</w:t>
      </w:r>
    </w:p>
    <w:p w:rsidR="00AC33DF" w:rsidRDefault="00AC33DF">
      <w:pPr>
        <w:spacing w:after="200" w:line="276" w:lineRule="auto"/>
        <w:rPr>
          <w:rFonts w:ascii="Times New Roman" w:hAnsi="Times New Roman" w:cs="Times New Roman"/>
          <w:sz w:val="24"/>
        </w:rPr>
      </w:pPr>
    </w:p>
    <w:p w:rsidR="00A61929" w:rsidRDefault="00A61929">
      <w:pPr>
        <w:spacing w:after="200" w:line="276" w:lineRule="auto"/>
        <w:rPr>
          <w:rFonts w:ascii="Times New Roman" w:hAnsi="Times New Roman" w:cs="Times New Roman"/>
          <w:sz w:val="24"/>
        </w:rPr>
      </w:pPr>
      <w:r>
        <w:rPr>
          <w:rFonts w:ascii="Times New Roman" w:hAnsi="Times New Roman" w:cs="Times New Roman"/>
          <w:sz w:val="24"/>
        </w:rPr>
        <w:br w:type="page"/>
      </w:r>
    </w:p>
    <w:tbl>
      <w:tblPr>
        <w:tblW w:w="9072" w:type="dxa"/>
        <w:tblInd w:w="113" w:type="dxa"/>
        <w:tblLook w:val="01E0" w:firstRow="1" w:lastRow="1" w:firstColumn="1" w:lastColumn="1" w:noHBand="0" w:noVBand="0"/>
      </w:tblPr>
      <w:tblGrid>
        <w:gridCol w:w="4855"/>
        <w:gridCol w:w="1620"/>
        <w:gridCol w:w="2597"/>
      </w:tblGrid>
      <w:tr w:rsidR="00A61929" w:rsidRPr="00A61929" w:rsidTr="00A61929">
        <w:tc>
          <w:tcPr>
            <w:tcW w:w="4855" w:type="dxa"/>
            <w:tcBorders>
              <w:top w:val="nil"/>
              <w:left w:val="nil"/>
              <w:bottom w:val="single" w:sz="4" w:space="0" w:color="auto"/>
              <w:right w:val="nil"/>
            </w:tcBorders>
            <w:hideMark/>
          </w:tcPr>
          <w:p w:rsidR="00A61929" w:rsidRPr="00A61929" w:rsidRDefault="00A61929">
            <w:pPr>
              <w:spacing w:after="0" w:line="240" w:lineRule="auto"/>
              <w:jc w:val="center"/>
              <w:rPr>
                <w:rFonts w:ascii="Times New Roman" w:eastAsia="Times New Roman" w:hAnsi="Times New Roman" w:cs="Times New Roman"/>
                <w:b/>
                <w:smallCaps/>
                <w:lang w:eastAsia="hu-HU"/>
              </w:rPr>
            </w:pPr>
            <w:r w:rsidRPr="00A61929">
              <w:rPr>
                <w:rFonts w:ascii="Times New Roman" w:eastAsia="Times New Roman" w:hAnsi="Times New Roman" w:cs="Times New Roman"/>
                <w:b/>
                <w:smallCaps/>
                <w:lang w:eastAsia="hu-HU"/>
              </w:rPr>
              <w:lastRenderedPageBreak/>
              <w:t>Nemzeti Közszolgálati Egyetem</w:t>
            </w:r>
          </w:p>
        </w:tc>
        <w:tc>
          <w:tcPr>
            <w:tcW w:w="1620" w:type="dxa"/>
          </w:tcPr>
          <w:p w:rsidR="00A61929" w:rsidRPr="00A61929" w:rsidRDefault="00A61929">
            <w:pPr>
              <w:spacing w:after="0" w:line="240" w:lineRule="auto"/>
              <w:jc w:val="both"/>
              <w:rPr>
                <w:rFonts w:ascii="Times New Roman" w:eastAsia="Times New Roman" w:hAnsi="Times New Roman" w:cs="Times New Roman"/>
                <w:lang w:eastAsia="hu-HU"/>
              </w:rPr>
            </w:pPr>
          </w:p>
        </w:tc>
        <w:tc>
          <w:tcPr>
            <w:tcW w:w="2597" w:type="dxa"/>
          </w:tcPr>
          <w:p w:rsidR="00A61929" w:rsidRPr="00A61929" w:rsidRDefault="00A61929">
            <w:pPr>
              <w:spacing w:after="0" w:line="240" w:lineRule="auto"/>
              <w:jc w:val="right"/>
              <w:rPr>
                <w:rFonts w:ascii="Times New Roman" w:eastAsia="Times New Roman" w:hAnsi="Times New Roman" w:cs="Times New Roman"/>
                <w:lang w:eastAsia="hu-HU"/>
              </w:rPr>
            </w:pPr>
          </w:p>
        </w:tc>
      </w:tr>
      <w:tr w:rsidR="00A61929" w:rsidRPr="00A61929" w:rsidTr="00A61929">
        <w:tc>
          <w:tcPr>
            <w:tcW w:w="4855" w:type="dxa"/>
            <w:tcBorders>
              <w:top w:val="single" w:sz="4" w:space="0" w:color="auto"/>
              <w:left w:val="nil"/>
              <w:bottom w:val="nil"/>
              <w:right w:val="nil"/>
            </w:tcBorders>
            <w:hideMark/>
          </w:tcPr>
          <w:p w:rsidR="00A61929" w:rsidRPr="00A61929" w:rsidRDefault="00A61929">
            <w:pPr>
              <w:spacing w:after="0" w:line="240" w:lineRule="auto"/>
              <w:jc w:val="center"/>
              <w:rPr>
                <w:rFonts w:ascii="Times New Roman" w:eastAsia="Times New Roman" w:hAnsi="Times New Roman" w:cs="Times New Roman"/>
                <w:b/>
                <w:lang w:eastAsia="hu-HU"/>
              </w:rPr>
            </w:pPr>
            <w:r w:rsidRPr="00A61929">
              <w:rPr>
                <w:rFonts w:ascii="Times New Roman" w:eastAsia="Times New Roman" w:hAnsi="Times New Roman" w:cs="Times New Roman"/>
                <w:b/>
                <w:lang w:eastAsia="hu-HU"/>
              </w:rPr>
              <w:t>Hadtudományi és Honvédtisztképző Kar</w:t>
            </w:r>
          </w:p>
        </w:tc>
        <w:tc>
          <w:tcPr>
            <w:tcW w:w="1620" w:type="dxa"/>
          </w:tcPr>
          <w:p w:rsidR="00A61929" w:rsidRPr="00A61929" w:rsidRDefault="00A61929">
            <w:pPr>
              <w:spacing w:after="0" w:line="240" w:lineRule="auto"/>
              <w:jc w:val="both"/>
              <w:rPr>
                <w:rFonts w:ascii="Times New Roman" w:eastAsia="Times New Roman" w:hAnsi="Times New Roman" w:cs="Times New Roman"/>
                <w:lang w:eastAsia="hu-HU"/>
              </w:rPr>
            </w:pPr>
          </w:p>
        </w:tc>
        <w:tc>
          <w:tcPr>
            <w:tcW w:w="2597" w:type="dxa"/>
          </w:tcPr>
          <w:p w:rsidR="00A61929" w:rsidRPr="00A61929" w:rsidRDefault="00A61929">
            <w:pPr>
              <w:spacing w:after="0" w:line="240" w:lineRule="auto"/>
              <w:jc w:val="both"/>
              <w:rPr>
                <w:rFonts w:ascii="Times New Roman" w:eastAsia="Times New Roman" w:hAnsi="Times New Roman" w:cs="Times New Roman"/>
                <w:lang w:eastAsia="hu-HU"/>
              </w:rPr>
            </w:pPr>
          </w:p>
        </w:tc>
      </w:tr>
    </w:tbl>
    <w:p w:rsidR="00A61929" w:rsidRPr="00A61929" w:rsidRDefault="00A61929" w:rsidP="00A61929">
      <w:pPr>
        <w:widowControl w:val="0"/>
        <w:spacing w:before="120" w:after="120" w:line="240" w:lineRule="auto"/>
        <w:ind w:left="426" w:hanging="142"/>
        <w:jc w:val="center"/>
        <w:rPr>
          <w:rFonts w:ascii="Times New Roman" w:eastAsia="Times New Roman" w:hAnsi="Times New Roman" w:cs="Times New Roman"/>
          <w:b/>
          <w:bCs/>
        </w:rPr>
      </w:pPr>
    </w:p>
    <w:p w:rsidR="00A61929" w:rsidRPr="00A61929" w:rsidRDefault="00A61929" w:rsidP="00A61929">
      <w:pPr>
        <w:widowControl w:val="0"/>
        <w:spacing w:before="120" w:after="120" w:line="240" w:lineRule="auto"/>
        <w:ind w:left="426" w:hanging="142"/>
        <w:jc w:val="center"/>
        <w:rPr>
          <w:rFonts w:ascii="Times New Roman" w:eastAsia="Times New Roman" w:hAnsi="Times New Roman" w:cs="Times New Roman"/>
          <w:b/>
          <w:bCs/>
        </w:rPr>
      </w:pPr>
      <w:r w:rsidRPr="00A61929">
        <w:rPr>
          <w:rFonts w:ascii="Times New Roman" w:eastAsia="Times New Roman" w:hAnsi="Times New Roman" w:cs="Times New Roman"/>
          <w:b/>
          <w:bCs/>
        </w:rPr>
        <w:t>TANTÁRGYI PROGRAM</w:t>
      </w:r>
    </w:p>
    <w:p w:rsidR="00A61929" w:rsidRPr="00A61929" w:rsidRDefault="00A61929" w:rsidP="00980876">
      <w:pPr>
        <w:widowControl w:val="0"/>
        <w:numPr>
          <w:ilvl w:val="0"/>
          <w:numId w:val="269"/>
        </w:numPr>
        <w:tabs>
          <w:tab w:val="num" w:pos="567"/>
        </w:tabs>
        <w:spacing w:before="120" w:after="120" w:line="240" w:lineRule="auto"/>
        <w:ind w:left="426" w:hanging="142"/>
        <w:jc w:val="both"/>
        <w:rPr>
          <w:rFonts w:ascii="Times New Roman" w:eastAsia="Times New Roman" w:hAnsi="Times New Roman" w:cs="Times New Roman"/>
          <w:bCs/>
        </w:rPr>
      </w:pPr>
      <w:r w:rsidRPr="00A61929">
        <w:rPr>
          <w:rFonts w:ascii="Times New Roman" w:eastAsia="Times New Roman" w:hAnsi="Times New Roman" w:cs="Times New Roman"/>
          <w:b/>
          <w:bCs/>
        </w:rPr>
        <w:t xml:space="preserve">A tantárgy kódja: </w:t>
      </w:r>
      <w:r w:rsidRPr="00A61929">
        <w:rPr>
          <w:rFonts w:ascii="Times New Roman" w:hAnsi="Times New Roman" w:cs="Times New Roman"/>
        </w:rPr>
        <w:t>HKHPKA308</w:t>
      </w:r>
    </w:p>
    <w:p w:rsidR="00A61929" w:rsidRPr="00A61929" w:rsidRDefault="00A61929" w:rsidP="00980876">
      <w:pPr>
        <w:widowControl w:val="0"/>
        <w:numPr>
          <w:ilvl w:val="0"/>
          <w:numId w:val="269"/>
        </w:numPr>
        <w:tabs>
          <w:tab w:val="num" w:pos="567"/>
        </w:tabs>
        <w:spacing w:before="120" w:after="120" w:line="240" w:lineRule="auto"/>
        <w:ind w:left="426" w:hanging="142"/>
        <w:jc w:val="both"/>
        <w:rPr>
          <w:rFonts w:ascii="Times New Roman" w:eastAsia="Times New Roman" w:hAnsi="Times New Roman" w:cs="Times New Roman"/>
          <w:b/>
          <w:bCs/>
          <w:lang w:val="en-GB"/>
        </w:rPr>
      </w:pPr>
      <w:r w:rsidRPr="00A61929">
        <w:rPr>
          <w:rFonts w:ascii="Times New Roman" w:eastAsia="Times New Roman" w:hAnsi="Times New Roman" w:cs="Times New Roman"/>
          <w:b/>
          <w:bCs/>
        </w:rPr>
        <w:t>A tantárgy megnevezése (magyarul):</w:t>
      </w:r>
      <w:r w:rsidRPr="00A61929">
        <w:rPr>
          <w:rFonts w:ascii="Times New Roman" w:eastAsia="Times New Roman" w:hAnsi="Times New Roman" w:cs="Times New Roman"/>
          <w:bCs/>
        </w:rPr>
        <w:t xml:space="preserve"> </w:t>
      </w:r>
      <w:r w:rsidRPr="00A61929">
        <w:rPr>
          <w:rFonts w:ascii="Times New Roman" w:hAnsi="Times New Roman" w:cs="Times New Roman"/>
        </w:rPr>
        <w:t>Szállítási technológiák</w:t>
      </w:r>
    </w:p>
    <w:p w:rsidR="00A61929" w:rsidRPr="00A61929" w:rsidRDefault="00A61929" w:rsidP="00980876">
      <w:pPr>
        <w:widowControl w:val="0"/>
        <w:numPr>
          <w:ilvl w:val="0"/>
          <w:numId w:val="269"/>
        </w:numPr>
        <w:tabs>
          <w:tab w:val="num" w:pos="567"/>
        </w:tabs>
        <w:spacing w:before="120" w:after="120" w:line="240" w:lineRule="auto"/>
        <w:ind w:left="426" w:hanging="142"/>
        <w:jc w:val="both"/>
        <w:rPr>
          <w:rFonts w:ascii="Times New Roman" w:eastAsia="Times New Roman" w:hAnsi="Times New Roman" w:cs="Times New Roman"/>
          <w:b/>
          <w:bCs/>
          <w:lang w:val="en-GB"/>
        </w:rPr>
      </w:pPr>
      <w:r w:rsidRPr="00A61929">
        <w:rPr>
          <w:rFonts w:ascii="Times New Roman" w:eastAsia="Times New Roman" w:hAnsi="Times New Roman" w:cs="Times New Roman"/>
          <w:b/>
          <w:bCs/>
        </w:rPr>
        <w:t xml:space="preserve">A tantárgy megnevezése (angolul): </w:t>
      </w:r>
      <w:r w:rsidRPr="00A61929">
        <w:rPr>
          <w:rFonts w:ascii="Times New Roman" w:hAnsi="Times New Roman" w:cs="Times New Roman"/>
        </w:rPr>
        <w:t>Transportation Technologies</w:t>
      </w:r>
    </w:p>
    <w:p w:rsidR="00A61929" w:rsidRPr="00A61929" w:rsidRDefault="00A61929" w:rsidP="00980876">
      <w:pPr>
        <w:widowControl w:val="0"/>
        <w:numPr>
          <w:ilvl w:val="0"/>
          <w:numId w:val="269"/>
        </w:numPr>
        <w:tabs>
          <w:tab w:val="num" w:pos="567"/>
        </w:tabs>
        <w:spacing w:before="120" w:after="120" w:line="240" w:lineRule="auto"/>
        <w:ind w:left="426" w:hanging="142"/>
        <w:jc w:val="both"/>
        <w:rPr>
          <w:rFonts w:ascii="Times New Roman" w:eastAsia="Times New Roman" w:hAnsi="Times New Roman" w:cs="Times New Roman"/>
          <w:b/>
          <w:bCs/>
        </w:rPr>
      </w:pPr>
      <w:r w:rsidRPr="00A61929">
        <w:rPr>
          <w:rFonts w:ascii="Times New Roman" w:eastAsia="Times New Roman" w:hAnsi="Times New Roman" w:cs="Times New Roman"/>
          <w:b/>
          <w:bCs/>
        </w:rPr>
        <w:t xml:space="preserve">Kreditérték és képzési karakter: </w:t>
      </w:r>
    </w:p>
    <w:p w:rsidR="00A61929" w:rsidRPr="00A61929" w:rsidRDefault="00A61929" w:rsidP="00980876">
      <w:pPr>
        <w:pStyle w:val="Listaszerbekezds"/>
        <w:widowControl w:val="0"/>
        <w:numPr>
          <w:ilvl w:val="1"/>
          <w:numId w:val="269"/>
        </w:numPr>
        <w:spacing w:before="120" w:after="120" w:line="240" w:lineRule="auto"/>
        <w:ind w:left="993" w:hanging="426"/>
        <w:jc w:val="both"/>
        <w:rPr>
          <w:rFonts w:ascii="Times New Roman" w:eastAsia="Times New Roman" w:hAnsi="Times New Roman" w:cs="Times New Roman"/>
          <w:b/>
          <w:bCs/>
        </w:rPr>
      </w:pPr>
      <w:r w:rsidRPr="00A61929">
        <w:rPr>
          <w:rFonts w:ascii="Times New Roman" w:eastAsia="Times New Roman" w:hAnsi="Times New Roman" w:cs="Times New Roman"/>
          <w:bCs/>
        </w:rPr>
        <w:t>3 kredit</w:t>
      </w:r>
    </w:p>
    <w:p w:rsidR="00A61929" w:rsidRPr="00A61929" w:rsidRDefault="00A61929" w:rsidP="00980876">
      <w:pPr>
        <w:pStyle w:val="Listaszerbekezds"/>
        <w:widowControl w:val="0"/>
        <w:numPr>
          <w:ilvl w:val="1"/>
          <w:numId w:val="269"/>
        </w:numPr>
        <w:spacing w:before="120" w:after="120" w:line="240" w:lineRule="auto"/>
        <w:ind w:left="993" w:hanging="426"/>
        <w:jc w:val="both"/>
        <w:rPr>
          <w:rFonts w:ascii="Times New Roman" w:eastAsia="Times New Roman" w:hAnsi="Times New Roman" w:cs="Times New Roman"/>
          <w:b/>
          <w:bCs/>
        </w:rPr>
      </w:pPr>
      <w:r w:rsidRPr="00A61929">
        <w:rPr>
          <w:rFonts w:ascii="Times New Roman" w:eastAsia="Times New Roman" w:hAnsi="Times New Roman" w:cs="Times New Roman"/>
          <w:bCs/>
        </w:rPr>
        <w:t>a tantárgy elméleti vagy gyakorlati jellegének mértéke: 33</w:t>
      </w:r>
      <w:r w:rsidRPr="00A61929">
        <w:rPr>
          <w:rFonts w:ascii="Times New Roman" w:eastAsia="Times New Roman" w:hAnsi="Times New Roman" w:cs="Times New Roman"/>
          <w:b/>
          <w:bCs/>
        </w:rPr>
        <w:t xml:space="preserve"> </w:t>
      </w:r>
      <w:r w:rsidRPr="00A61929">
        <w:rPr>
          <w:rFonts w:ascii="Times New Roman" w:eastAsia="Times New Roman" w:hAnsi="Times New Roman" w:cs="Times New Roman"/>
          <w:bCs/>
        </w:rPr>
        <w:t>% gyakorlat, 67 % elmélet</w:t>
      </w:r>
    </w:p>
    <w:p w:rsidR="00A61929" w:rsidRPr="00A61929" w:rsidRDefault="00A61929" w:rsidP="00980876">
      <w:pPr>
        <w:widowControl w:val="0"/>
        <w:numPr>
          <w:ilvl w:val="0"/>
          <w:numId w:val="269"/>
        </w:numPr>
        <w:spacing w:before="120" w:after="120" w:line="240" w:lineRule="auto"/>
        <w:ind w:left="426" w:hanging="142"/>
        <w:jc w:val="both"/>
        <w:rPr>
          <w:rFonts w:ascii="Times New Roman" w:eastAsia="Times New Roman" w:hAnsi="Times New Roman" w:cs="Times New Roman"/>
          <w:bCs/>
        </w:rPr>
      </w:pPr>
      <w:r w:rsidRPr="00A61929">
        <w:rPr>
          <w:rFonts w:ascii="Times New Roman" w:eastAsia="Times New Roman" w:hAnsi="Times New Roman" w:cs="Times New Roman"/>
          <w:b/>
          <w:bCs/>
        </w:rPr>
        <w:t>A szak(ok), szakirányok/specializációk megnevezése (ahol oktatják):</w:t>
      </w:r>
      <w:r w:rsidRPr="00A61929">
        <w:rPr>
          <w:rFonts w:ascii="Times New Roman" w:eastAsia="Times New Roman" w:hAnsi="Times New Roman" w:cs="Times New Roman"/>
          <w:bCs/>
        </w:rPr>
        <w:t xml:space="preserve"> Katonai logisztika alapképzési szak, Katonai közlekedési specializáció</w:t>
      </w:r>
    </w:p>
    <w:p w:rsidR="00A61929" w:rsidRPr="00A61929" w:rsidRDefault="00A61929" w:rsidP="00980876">
      <w:pPr>
        <w:widowControl w:val="0"/>
        <w:numPr>
          <w:ilvl w:val="0"/>
          <w:numId w:val="269"/>
        </w:numPr>
        <w:tabs>
          <w:tab w:val="num" w:pos="567"/>
        </w:tabs>
        <w:spacing w:before="120" w:after="120" w:line="240" w:lineRule="auto"/>
        <w:ind w:left="426" w:hanging="142"/>
        <w:jc w:val="both"/>
        <w:rPr>
          <w:rFonts w:ascii="Times New Roman" w:eastAsia="Times New Roman" w:hAnsi="Times New Roman" w:cs="Times New Roman"/>
          <w:bCs/>
        </w:rPr>
      </w:pPr>
      <w:r w:rsidRPr="00A61929">
        <w:rPr>
          <w:rFonts w:ascii="Times New Roman" w:eastAsia="Times New Roman" w:hAnsi="Times New Roman" w:cs="Times New Roman"/>
          <w:b/>
          <w:bCs/>
        </w:rPr>
        <w:t xml:space="preserve">Az oktatásért felelős oktatási szervezeti egység megnevezése: </w:t>
      </w:r>
      <w:r w:rsidRPr="00A61929">
        <w:rPr>
          <w:rFonts w:ascii="Times New Roman" w:eastAsia="Times New Roman" w:hAnsi="Times New Roman" w:cs="Times New Roman"/>
          <w:bCs/>
        </w:rPr>
        <w:t>NKE HHK, Hadtáp, Pénzügyi és Katonai Közlekedési Tanszék</w:t>
      </w:r>
    </w:p>
    <w:p w:rsidR="00A61929" w:rsidRPr="00A61929" w:rsidRDefault="00A61929" w:rsidP="00980876">
      <w:pPr>
        <w:widowControl w:val="0"/>
        <w:numPr>
          <w:ilvl w:val="0"/>
          <w:numId w:val="269"/>
        </w:numPr>
        <w:tabs>
          <w:tab w:val="num" w:pos="567"/>
        </w:tabs>
        <w:spacing w:before="120" w:after="120" w:line="240" w:lineRule="auto"/>
        <w:ind w:left="426" w:hanging="142"/>
        <w:jc w:val="both"/>
        <w:rPr>
          <w:rFonts w:ascii="Times New Roman" w:eastAsia="Times New Roman" w:hAnsi="Times New Roman" w:cs="Times New Roman"/>
          <w:bCs/>
        </w:rPr>
      </w:pPr>
      <w:r w:rsidRPr="00A61929">
        <w:rPr>
          <w:rFonts w:ascii="Times New Roman" w:eastAsia="Times New Roman" w:hAnsi="Times New Roman" w:cs="Times New Roman"/>
          <w:b/>
          <w:bCs/>
        </w:rPr>
        <w:t>A tantárgyfelelős oktató neve, beosztása, tudományos fokozata:</w:t>
      </w:r>
      <w:r w:rsidRPr="00A61929">
        <w:rPr>
          <w:rFonts w:ascii="Times New Roman" w:eastAsia="Times New Roman" w:hAnsi="Times New Roman" w:cs="Times New Roman"/>
          <w:bCs/>
        </w:rPr>
        <w:t xml:space="preserve"> Dr. Fábos Róbert, PhD, adjunktus</w:t>
      </w:r>
    </w:p>
    <w:p w:rsidR="00A61929" w:rsidRPr="00A61929" w:rsidRDefault="00A61929" w:rsidP="00980876">
      <w:pPr>
        <w:widowControl w:val="0"/>
        <w:numPr>
          <w:ilvl w:val="0"/>
          <w:numId w:val="269"/>
        </w:numPr>
        <w:spacing w:before="120" w:after="120" w:line="240" w:lineRule="auto"/>
        <w:ind w:left="426" w:hanging="142"/>
        <w:jc w:val="both"/>
        <w:rPr>
          <w:rFonts w:ascii="Times New Roman" w:eastAsia="Times New Roman" w:hAnsi="Times New Roman" w:cs="Times New Roman"/>
          <w:bCs/>
        </w:rPr>
      </w:pPr>
      <w:r w:rsidRPr="00A61929">
        <w:rPr>
          <w:rFonts w:ascii="Times New Roman" w:eastAsia="Times New Roman" w:hAnsi="Times New Roman" w:cs="Times New Roman"/>
          <w:b/>
          <w:bCs/>
        </w:rPr>
        <w:t>A tanórák száma és típusa</w:t>
      </w:r>
    </w:p>
    <w:p w:rsidR="00A61929" w:rsidRPr="00A61929" w:rsidRDefault="00A61929" w:rsidP="00980876">
      <w:pPr>
        <w:widowControl w:val="0"/>
        <w:numPr>
          <w:ilvl w:val="1"/>
          <w:numId w:val="269"/>
        </w:numPr>
        <w:tabs>
          <w:tab w:val="num" w:pos="709"/>
          <w:tab w:val="num" w:pos="2069"/>
        </w:tabs>
        <w:spacing w:before="120" w:after="120" w:line="240" w:lineRule="auto"/>
        <w:ind w:left="851" w:hanging="425"/>
        <w:jc w:val="both"/>
        <w:rPr>
          <w:rFonts w:ascii="Times New Roman" w:eastAsia="Times New Roman" w:hAnsi="Times New Roman" w:cs="Times New Roman"/>
          <w:bCs/>
        </w:rPr>
      </w:pPr>
      <w:r w:rsidRPr="00A61929">
        <w:rPr>
          <w:rFonts w:ascii="Times New Roman" w:eastAsia="Times New Roman" w:hAnsi="Times New Roman" w:cs="Times New Roman"/>
          <w:bCs/>
        </w:rPr>
        <w:t>össz óraszám/félév: 42</w:t>
      </w:r>
    </w:p>
    <w:p w:rsidR="00A61929" w:rsidRPr="00A61929" w:rsidRDefault="00A61929" w:rsidP="00980876">
      <w:pPr>
        <w:widowControl w:val="0"/>
        <w:numPr>
          <w:ilvl w:val="2"/>
          <w:numId w:val="269"/>
        </w:numPr>
        <w:tabs>
          <w:tab w:val="num" w:pos="709"/>
          <w:tab w:val="num" w:pos="1134"/>
        </w:tabs>
        <w:spacing w:before="120" w:after="120" w:line="240" w:lineRule="auto"/>
        <w:ind w:left="993" w:hanging="425"/>
        <w:jc w:val="both"/>
        <w:rPr>
          <w:rFonts w:ascii="Times New Roman" w:eastAsia="Times New Roman" w:hAnsi="Times New Roman" w:cs="Times New Roman"/>
          <w:bCs/>
        </w:rPr>
      </w:pPr>
      <w:r w:rsidRPr="00A61929">
        <w:rPr>
          <w:rFonts w:ascii="Times New Roman" w:eastAsia="Times New Roman" w:hAnsi="Times New Roman" w:cs="Times New Roman"/>
          <w:bCs/>
        </w:rPr>
        <w:t>nappali munkarend: 42 (28 EA + 0 SZ + 14 GY)</w:t>
      </w:r>
    </w:p>
    <w:p w:rsidR="00A61929" w:rsidRPr="00A61929" w:rsidRDefault="00A61929" w:rsidP="00980876">
      <w:pPr>
        <w:widowControl w:val="0"/>
        <w:numPr>
          <w:ilvl w:val="2"/>
          <w:numId w:val="269"/>
        </w:numPr>
        <w:tabs>
          <w:tab w:val="num" w:pos="709"/>
          <w:tab w:val="num" w:pos="1134"/>
        </w:tabs>
        <w:spacing w:before="120" w:after="120" w:line="240" w:lineRule="auto"/>
        <w:ind w:left="993" w:hanging="425"/>
        <w:jc w:val="both"/>
        <w:rPr>
          <w:rFonts w:ascii="Times New Roman" w:eastAsia="Times New Roman" w:hAnsi="Times New Roman" w:cs="Times New Roman"/>
          <w:bCs/>
        </w:rPr>
      </w:pPr>
      <w:r w:rsidRPr="00A61929">
        <w:rPr>
          <w:rFonts w:ascii="Times New Roman" w:eastAsia="Times New Roman" w:hAnsi="Times New Roman" w:cs="Times New Roman"/>
          <w:bCs/>
        </w:rPr>
        <w:t>levelező munkarend: 0 (0 EA + 0 SZ + 0 GY)</w:t>
      </w:r>
    </w:p>
    <w:p w:rsidR="00A61929" w:rsidRPr="00A61929" w:rsidRDefault="00A61929" w:rsidP="00980876">
      <w:pPr>
        <w:widowControl w:val="0"/>
        <w:numPr>
          <w:ilvl w:val="1"/>
          <w:numId w:val="269"/>
        </w:numPr>
        <w:tabs>
          <w:tab w:val="num" w:pos="709"/>
          <w:tab w:val="num" w:pos="2069"/>
        </w:tabs>
        <w:spacing w:before="120" w:after="120" w:line="240" w:lineRule="auto"/>
        <w:ind w:left="851" w:hanging="425"/>
        <w:jc w:val="both"/>
        <w:rPr>
          <w:rFonts w:ascii="Times New Roman" w:eastAsia="Times New Roman" w:hAnsi="Times New Roman" w:cs="Times New Roman"/>
          <w:bCs/>
        </w:rPr>
      </w:pPr>
      <w:r w:rsidRPr="00A61929">
        <w:rPr>
          <w:rFonts w:ascii="Times New Roman" w:eastAsia="Times New Roman" w:hAnsi="Times New Roman" w:cs="Times New Roman"/>
          <w:bCs/>
        </w:rPr>
        <w:t>heti óraszám - nappali munkarend: 3</w:t>
      </w:r>
      <w:r w:rsidR="00C82157">
        <w:rPr>
          <w:rFonts w:ascii="Times New Roman" w:eastAsia="Times New Roman" w:hAnsi="Times New Roman" w:cs="Times New Roman"/>
          <w:bCs/>
        </w:rPr>
        <w:t xml:space="preserve"> (2+1)</w:t>
      </w:r>
    </w:p>
    <w:p w:rsidR="00A61929" w:rsidRPr="00A61929" w:rsidRDefault="00A61929" w:rsidP="00980876">
      <w:pPr>
        <w:widowControl w:val="0"/>
        <w:numPr>
          <w:ilvl w:val="1"/>
          <w:numId w:val="269"/>
        </w:numPr>
        <w:tabs>
          <w:tab w:val="num" w:pos="709"/>
          <w:tab w:val="num" w:pos="2069"/>
        </w:tabs>
        <w:spacing w:before="120" w:after="120" w:line="240" w:lineRule="auto"/>
        <w:ind w:left="851" w:hanging="425"/>
        <w:jc w:val="both"/>
        <w:rPr>
          <w:rFonts w:ascii="Times New Roman" w:eastAsia="Times New Roman" w:hAnsi="Times New Roman" w:cs="Times New Roman"/>
          <w:bCs/>
        </w:rPr>
      </w:pPr>
      <w:r w:rsidRPr="00A61929">
        <w:rPr>
          <w:rFonts w:ascii="Times New Roman" w:hAnsi="Times New Roman" w:cs="Times New Roman"/>
        </w:rPr>
        <w:t>Az ismeret átadásában alkalmazandó további sajátos módok, jellemzők: -</w:t>
      </w:r>
    </w:p>
    <w:p w:rsidR="00A61929" w:rsidRPr="00A61929" w:rsidRDefault="00A61929" w:rsidP="00980876">
      <w:pPr>
        <w:widowControl w:val="0"/>
        <w:numPr>
          <w:ilvl w:val="0"/>
          <w:numId w:val="269"/>
        </w:numPr>
        <w:spacing w:before="120" w:after="120" w:line="240" w:lineRule="auto"/>
        <w:ind w:left="426" w:hanging="142"/>
        <w:jc w:val="both"/>
        <w:rPr>
          <w:rFonts w:ascii="Times New Roman" w:eastAsia="Times New Roman" w:hAnsi="Times New Roman" w:cs="Times New Roman"/>
          <w:bCs/>
        </w:rPr>
      </w:pPr>
      <w:r w:rsidRPr="00A61929">
        <w:rPr>
          <w:rFonts w:ascii="Times New Roman" w:eastAsia="Times New Roman" w:hAnsi="Times New Roman" w:cs="Times New Roman"/>
          <w:b/>
          <w:bCs/>
        </w:rPr>
        <w:t>A tantárgy szakmai tartalma (magyarul):</w:t>
      </w:r>
      <w:r w:rsidRPr="00A61929">
        <w:rPr>
          <w:rFonts w:ascii="Times New Roman" w:eastAsia="Times New Roman" w:hAnsi="Times New Roman" w:cs="Times New Roman"/>
          <w:bCs/>
        </w:rPr>
        <w:t xml:space="preserve"> </w:t>
      </w:r>
      <w:r w:rsidRPr="00A61929">
        <w:rPr>
          <w:rFonts w:ascii="Times New Roman" w:hAnsi="Times New Roman" w:cs="Times New Roman"/>
        </w:rPr>
        <w:t>Az áruáramlatok megjelenési formái. Az árufuvarozás feltételrendszere. Az áruszállítás folyamata. Árufuvarozási formák, szállítási technológiák. Az áruszállítási technológiákkal szemben támasztott speciális katonai követelmények.</w:t>
      </w:r>
    </w:p>
    <w:p w:rsidR="00A61929" w:rsidRPr="00A61929" w:rsidRDefault="00A61929" w:rsidP="00A61929">
      <w:pPr>
        <w:widowControl w:val="0"/>
        <w:spacing w:before="120" w:after="120" w:line="240" w:lineRule="auto"/>
        <w:ind w:left="426"/>
        <w:jc w:val="both"/>
        <w:rPr>
          <w:rFonts w:ascii="Times New Roman" w:eastAsia="Times New Roman" w:hAnsi="Times New Roman" w:cs="Times New Roman"/>
          <w:bCs/>
          <w:lang w:val="en-GB"/>
        </w:rPr>
      </w:pPr>
      <w:r w:rsidRPr="00A61929">
        <w:rPr>
          <w:rFonts w:ascii="Times New Roman" w:eastAsia="Times New Roman" w:hAnsi="Times New Roman" w:cs="Times New Roman"/>
          <w:b/>
          <w:bCs/>
        </w:rPr>
        <w:t>A tantárgy szakmai tartalma (angolul) (</w:t>
      </w:r>
      <w:r w:rsidRPr="00A61929">
        <w:rPr>
          <w:rFonts w:ascii="Times New Roman" w:eastAsia="Times New Roman" w:hAnsi="Times New Roman" w:cs="Times New Roman"/>
          <w:b/>
          <w:bCs/>
          <w:lang w:val="en-US"/>
        </w:rPr>
        <w:t>Course description</w:t>
      </w:r>
      <w:r w:rsidRPr="00A61929">
        <w:rPr>
          <w:rFonts w:ascii="Times New Roman" w:eastAsia="Times New Roman" w:hAnsi="Times New Roman" w:cs="Times New Roman"/>
          <w:b/>
          <w:bCs/>
        </w:rPr>
        <w:t xml:space="preserve">): </w:t>
      </w:r>
      <w:r w:rsidRPr="00A61929">
        <w:rPr>
          <w:rFonts w:ascii="Times New Roman" w:hAnsi="Times New Roman" w:cs="Times New Roman"/>
          <w:bCs/>
        </w:rPr>
        <w:t>The forms of appearance in the flow of products. Conditions of transportation. The process of delivering wares. Forms of shipping, transportation technologies. Special military requirements relating to transportation technologies.</w:t>
      </w:r>
    </w:p>
    <w:p w:rsidR="00A61929" w:rsidRPr="00A61929" w:rsidRDefault="00A61929" w:rsidP="00980876">
      <w:pPr>
        <w:pStyle w:val="Listaszerbekezds"/>
        <w:widowControl w:val="0"/>
        <w:numPr>
          <w:ilvl w:val="0"/>
          <w:numId w:val="269"/>
        </w:numPr>
        <w:spacing w:before="120" w:after="120" w:line="240" w:lineRule="auto"/>
        <w:jc w:val="both"/>
        <w:rPr>
          <w:rFonts w:ascii="Times New Roman" w:eastAsia="Times New Roman" w:hAnsi="Times New Roman" w:cs="Times New Roman"/>
          <w:bCs/>
        </w:rPr>
      </w:pPr>
      <w:r w:rsidRPr="00A61929">
        <w:rPr>
          <w:rFonts w:ascii="Times New Roman" w:eastAsia="Times New Roman" w:hAnsi="Times New Roman" w:cs="Times New Roman"/>
          <w:b/>
          <w:bCs/>
        </w:rPr>
        <w:t xml:space="preserve">Elérendő kompetenciák (magyarul): </w:t>
      </w:r>
    </w:p>
    <w:p w:rsidR="00A61929" w:rsidRPr="00A61929" w:rsidRDefault="00A61929" w:rsidP="00A61929">
      <w:pPr>
        <w:autoSpaceDE w:val="0"/>
        <w:autoSpaceDN w:val="0"/>
        <w:adjustRightInd w:val="0"/>
        <w:spacing w:before="120" w:after="0" w:line="240" w:lineRule="auto"/>
        <w:ind w:left="425"/>
        <w:jc w:val="both"/>
        <w:rPr>
          <w:rFonts w:ascii="Times New Roman" w:eastAsia="Times New Roman" w:hAnsi="Times New Roman" w:cs="Times New Roman"/>
          <w:b/>
          <w:bCs/>
        </w:rPr>
      </w:pPr>
      <w:r w:rsidRPr="00A61929">
        <w:rPr>
          <w:rFonts w:ascii="Times New Roman" w:eastAsia="Times New Roman" w:hAnsi="Times New Roman" w:cs="Times New Roman"/>
          <w:b/>
          <w:bCs/>
        </w:rPr>
        <w:t xml:space="preserve">Tudása: </w:t>
      </w:r>
    </w:p>
    <w:p w:rsidR="00A61929" w:rsidRPr="00A61929" w:rsidRDefault="00A6192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61929">
        <w:rPr>
          <w:rFonts w:ascii="Times New Roman" w:hAnsi="Times New Roman" w:cs="Times New Roman"/>
        </w:rPr>
        <w:t>Ismeri a katonai közlekedési szakterülethez szervesen kapcsolódó logisztikai, menedzsment, környezetvédelmi, minőségbiztosítási, információtechnológiai, jogi, közgazdasági szakterületek alapjait és követelményeit.</w:t>
      </w:r>
    </w:p>
    <w:p w:rsidR="00A61929" w:rsidRPr="00A61929" w:rsidRDefault="00A6192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61929">
        <w:rPr>
          <w:rFonts w:ascii="Times New Roman" w:hAnsi="Times New Roman" w:cs="Times New Roman"/>
        </w:rPr>
        <w:t>Ismeri a katonai közlekedési szakterület szaktechnikai eszközeit, a közlekedési pályákat és létesítményeiket, azok igénybevételének és üzemeltetésének szabályait.</w:t>
      </w:r>
    </w:p>
    <w:p w:rsidR="00A61929" w:rsidRPr="00A61929" w:rsidRDefault="00A6192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61929">
        <w:rPr>
          <w:rFonts w:ascii="Times New Roman" w:hAnsi="Times New Roman" w:cs="Times New Roman"/>
        </w:rPr>
        <w:t>Ismeri a katonai közlekedési szakanyagok készletezésének, tárolásának, nyilvántartásának és leltározásának, valamint ezen folyamatok ellenőrzésének feladatait és kötelezettségeit.</w:t>
      </w:r>
    </w:p>
    <w:p w:rsidR="00A61929" w:rsidRPr="00A61929" w:rsidRDefault="00A6192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61929">
        <w:rPr>
          <w:rFonts w:ascii="Times New Roman" w:hAnsi="Times New Roman" w:cs="Times New Roman"/>
        </w:rPr>
        <w:t>Mélyrehatóan ismeri a katonai közlekedési szakterület szakmai feladatait, a közlekedési szakfeladatok rendszerét, az egyes feladatok végrehajtásának sajátosságait.</w:t>
      </w:r>
    </w:p>
    <w:p w:rsidR="00A61929" w:rsidRPr="00A61929" w:rsidRDefault="00A6192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61929">
        <w:rPr>
          <w:rFonts w:ascii="Times New Roman" w:hAnsi="Times New Roman" w:cs="Times New Roman"/>
        </w:rPr>
        <w:t>Ismeri a katonai közlekedési igények felmérésének módszereit és megvalósítási lehetőségeit, gyakorlatát.</w:t>
      </w:r>
    </w:p>
    <w:p w:rsidR="004A1361" w:rsidRDefault="004A1361" w:rsidP="00A61929">
      <w:pPr>
        <w:autoSpaceDE w:val="0"/>
        <w:autoSpaceDN w:val="0"/>
        <w:adjustRightInd w:val="0"/>
        <w:spacing w:before="120" w:after="0" w:line="240" w:lineRule="auto"/>
        <w:ind w:left="425"/>
        <w:jc w:val="both"/>
        <w:rPr>
          <w:rFonts w:ascii="Times New Roman" w:eastAsia="Times New Roman" w:hAnsi="Times New Roman" w:cs="Times New Roman"/>
          <w:b/>
          <w:bCs/>
        </w:rPr>
      </w:pPr>
    </w:p>
    <w:p w:rsidR="00A61929" w:rsidRPr="00A61929" w:rsidRDefault="00A61929" w:rsidP="00A61929">
      <w:pPr>
        <w:autoSpaceDE w:val="0"/>
        <w:autoSpaceDN w:val="0"/>
        <w:adjustRightInd w:val="0"/>
        <w:spacing w:before="120" w:after="0" w:line="240" w:lineRule="auto"/>
        <w:ind w:left="425"/>
        <w:jc w:val="both"/>
        <w:rPr>
          <w:rFonts w:ascii="Times New Roman" w:eastAsia="Times New Roman" w:hAnsi="Times New Roman" w:cs="Times New Roman"/>
          <w:bCs/>
        </w:rPr>
      </w:pPr>
      <w:r w:rsidRPr="00A61929">
        <w:rPr>
          <w:rFonts w:ascii="Times New Roman" w:eastAsia="Times New Roman" w:hAnsi="Times New Roman" w:cs="Times New Roman"/>
          <w:b/>
          <w:bCs/>
        </w:rPr>
        <w:lastRenderedPageBreak/>
        <w:t>Képességei:</w:t>
      </w:r>
      <w:r w:rsidRPr="00A61929">
        <w:rPr>
          <w:rFonts w:ascii="Times New Roman" w:eastAsia="Times New Roman" w:hAnsi="Times New Roman" w:cs="Times New Roman"/>
          <w:bCs/>
        </w:rPr>
        <w:t xml:space="preserve"> </w:t>
      </w:r>
    </w:p>
    <w:p w:rsidR="00A61929" w:rsidRPr="00A61929" w:rsidRDefault="00A6192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61929">
        <w:rPr>
          <w:rFonts w:ascii="Times New Roman" w:hAnsi="Times New Roman" w:cs="Times New Roman"/>
        </w:rPr>
        <w:t>Az általános és specifikus katonai ismeretei és készségei birtokában képes a katonai közlekedési, mozgatási, szállítási feladatok tervezésére, szervezésére és vezetésére.</w:t>
      </w:r>
    </w:p>
    <w:p w:rsidR="00A61929" w:rsidRPr="00A61929" w:rsidRDefault="00A6192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61929">
        <w:rPr>
          <w:rFonts w:ascii="Times New Roman" w:hAnsi="Times New Roman" w:cs="Times New Roman"/>
        </w:rPr>
        <w:t>Képes békeidőszakban, válságkezelő, katasztrófa-elhárítási, béketámogató és háborús műveletekben, nemzeti és többnemzeti környezetben a szállító szakalegységek alaprendeltetéséből fakadó feladatai végrehajtásának vezetésére.</w:t>
      </w:r>
    </w:p>
    <w:p w:rsidR="00A61929" w:rsidRPr="00A61929" w:rsidRDefault="00A6192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61929">
        <w:rPr>
          <w:rFonts w:ascii="Times New Roman" w:hAnsi="Times New Roman" w:cs="Times New Roman"/>
        </w:rPr>
        <w:t>Képes a közlekedési hálózatok katonai célú alkalmazásának tervezésére, szervezésére és végrehajtására.</w:t>
      </w:r>
    </w:p>
    <w:p w:rsidR="00A61929" w:rsidRPr="00A61929" w:rsidRDefault="00A6192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61929">
        <w:rPr>
          <w:rFonts w:ascii="Times New Roman" w:hAnsi="Times New Roman" w:cs="Times New Roman"/>
        </w:rPr>
        <w:t>Képes a közlekedési folyamatokat támogató közlekedésinformatikai rendszerek alkalmazására, az azokkal kapcsolatos felhasználói alapkövetelmények megfogalmazására.</w:t>
      </w:r>
    </w:p>
    <w:p w:rsidR="00A61929" w:rsidRPr="00A61929" w:rsidRDefault="00A61929" w:rsidP="00A61929">
      <w:pPr>
        <w:autoSpaceDE w:val="0"/>
        <w:autoSpaceDN w:val="0"/>
        <w:adjustRightInd w:val="0"/>
        <w:spacing w:before="120" w:after="0" w:line="240" w:lineRule="auto"/>
        <w:ind w:left="425"/>
        <w:jc w:val="both"/>
        <w:rPr>
          <w:rFonts w:ascii="Times New Roman" w:eastAsia="Times New Roman" w:hAnsi="Times New Roman" w:cs="Times New Roman"/>
          <w:b/>
          <w:bCs/>
        </w:rPr>
      </w:pPr>
      <w:r w:rsidRPr="00A61929">
        <w:rPr>
          <w:rFonts w:ascii="Times New Roman" w:eastAsia="Times New Roman" w:hAnsi="Times New Roman" w:cs="Times New Roman"/>
          <w:b/>
          <w:bCs/>
        </w:rPr>
        <w:t xml:space="preserve">Attitűdje: </w:t>
      </w:r>
    </w:p>
    <w:p w:rsidR="00A61929" w:rsidRPr="00A61929" w:rsidRDefault="00A6192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61929">
        <w:rPr>
          <w:rFonts w:ascii="Times New Roman" w:hAnsi="Times New Roman" w:cs="Times New Roman"/>
        </w:rPr>
        <w:t>Nyitott a katonai közlekedési szakterületen zajló szakmai, technológiai fejlesztés és innováció megismerésére és elfogadására, hiteles közvetítésére és azok mindennapi munkájába való beillesztésére.</w:t>
      </w:r>
    </w:p>
    <w:p w:rsidR="00A61929" w:rsidRPr="00A61929" w:rsidRDefault="00A6192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61929">
        <w:rPr>
          <w:rFonts w:ascii="Times New Roman" w:hAnsi="Times New Roman" w:cs="Times New Roman"/>
        </w:rPr>
        <w:t>Törekszik arra, hogy önképzése a katonai közlekedési szakterületen folyamatos és szakmai céljaival megegyező legyen.</w:t>
      </w:r>
    </w:p>
    <w:p w:rsidR="00A61929" w:rsidRPr="00A61929" w:rsidRDefault="00A6192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61929">
        <w:rPr>
          <w:rFonts w:ascii="Times New Roman" w:hAnsi="Times New Roman" w:cs="Times New Roman"/>
        </w:rPr>
        <w:t>Elkötelezett a minőségi szakmai munkavégzés iránt, különös tekintettel a közlekedési, szállítási feladatok és folyamatok biztonságos végrehajtására.</w:t>
      </w:r>
    </w:p>
    <w:p w:rsidR="00A61929" w:rsidRPr="00A61929" w:rsidRDefault="00A6192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61929">
        <w:rPr>
          <w:rFonts w:ascii="Times New Roman" w:hAnsi="Times New Roman" w:cs="Times New Roman"/>
        </w:rPr>
        <w:t>Figyel beosztottjai szakmai fejlődésének előmozdítására, ilyen irányú törekvéseik kezelésére és segítésére.</w:t>
      </w:r>
    </w:p>
    <w:p w:rsidR="00A61929" w:rsidRPr="00A61929" w:rsidRDefault="00A6192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61929">
        <w:rPr>
          <w:rFonts w:ascii="Times New Roman" w:hAnsi="Times New Roman" w:cs="Times New Roman"/>
        </w:rPr>
        <w:t>Megosztja tapasztalatait munkatársaival, így segítve fejlődésüket.</w:t>
      </w:r>
    </w:p>
    <w:p w:rsidR="00A61929" w:rsidRPr="00A61929" w:rsidRDefault="00A61929" w:rsidP="00A61929">
      <w:pPr>
        <w:autoSpaceDE w:val="0"/>
        <w:autoSpaceDN w:val="0"/>
        <w:adjustRightInd w:val="0"/>
        <w:spacing w:before="120" w:after="0" w:line="240" w:lineRule="auto"/>
        <w:ind w:left="425"/>
        <w:jc w:val="both"/>
        <w:rPr>
          <w:rFonts w:ascii="Times New Roman" w:eastAsia="Times New Roman" w:hAnsi="Times New Roman" w:cs="Times New Roman"/>
          <w:b/>
          <w:bCs/>
        </w:rPr>
      </w:pPr>
      <w:r w:rsidRPr="00A61929">
        <w:rPr>
          <w:rFonts w:ascii="Times New Roman" w:eastAsia="Times New Roman" w:hAnsi="Times New Roman" w:cs="Times New Roman"/>
          <w:b/>
          <w:bCs/>
        </w:rPr>
        <w:t xml:space="preserve">Autonómiája és felelőssége: </w:t>
      </w:r>
    </w:p>
    <w:p w:rsidR="00A61929" w:rsidRPr="00A61929" w:rsidRDefault="00A6192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61929">
        <w:rPr>
          <w:rFonts w:ascii="Times New Roman" w:hAnsi="Times New Roman" w:cs="Times New Roman"/>
        </w:rPr>
        <w:t>A katonai közlekedés szakterületén megjelenő folyamatokban képes önállóan döntéseket hozni, azokat felelősséggel, a jogszabályi keretek figyelembevételével végrehajtani.</w:t>
      </w:r>
    </w:p>
    <w:p w:rsidR="00A61929" w:rsidRPr="00A61929" w:rsidRDefault="00A6192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61929">
        <w:rPr>
          <w:rFonts w:ascii="Times New Roman" w:hAnsi="Times New Roman" w:cs="Times New Roman"/>
        </w:rPr>
        <w:t>Tisztában van döntéseinek, tevékenységének a katonai logisztikai folyamatok egészére gyakorolt hatásaival, következményeivel.</w:t>
      </w:r>
    </w:p>
    <w:p w:rsidR="00A61929" w:rsidRPr="00A61929" w:rsidRDefault="00A6192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61929">
        <w:rPr>
          <w:rFonts w:ascii="Times New Roman" w:hAnsi="Times New Roman" w:cs="Times New Roman"/>
        </w:rPr>
        <w:t>Szakmai feladatainak elvégzése során felelősségteljesen együttműködik más szakterület képzett szakembereivel is.</w:t>
      </w:r>
    </w:p>
    <w:p w:rsidR="00A61929" w:rsidRPr="00A61929" w:rsidRDefault="00A6192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61929">
        <w:rPr>
          <w:rFonts w:ascii="Times New Roman" w:hAnsi="Times New Roman" w:cs="Times New Roman"/>
        </w:rPr>
        <w:t>Feltárja az alkalmazott technológiák hiányosságait, a folyamatok kockázatait és kezdeményezi az ezeket csökkentő intézkedések megtételét.</w:t>
      </w:r>
    </w:p>
    <w:p w:rsidR="00A61929" w:rsidRPr="00A61929" w:rsidRDefault="00A6192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61929">
        <w:rPr>
          <w:rFonts w:ascii="Times New Roman" w:hAnsi="Times New Roman" w:cs="Times New Roman"/>
        </w:rPr>
        <w:t>Parancsnokának útmutatása alapján irányítja a rábízott személyi állomány munkavégzését, felügyeli a közlekedési, szállítási folyamatok tervezését, szervezését, végrehajtását, a közlekedési szaktechnikai eszközök üzemeltetését.</w:t>
      </w:r>
    </w:p>
    <w:p w:rsidR="00A61929" w:rsidRPr="00A61929" w:rsidRDefault="00A6192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61929">
        <w:rPr>
          <w:rFonts w:ascii="Times New Roman" w:hAnsi="Times New Roman" w:cs="Times New Roman"/>
        </w:rPr>
        <w:t>Értékeli a beosztottak munkavégzésének hatékonyságát, eredményességét.</w:t>
      </w:r>
    </w:p>
    <w:p w:rsidR="00A61929" w:rsidRPr="00A61929" w:rsidRDefault="00A61929" w:rsidP="00A61929">
      <w:pPr>
        <w:widowControl w:val="0"/>
        <w:spacing w:before="120" w:after="120" w:line="240" w:lineRule="auto"/>
        <w:ind w:left="426"/>
        <w:jc w:val="both"/>
        <w:rPr>
          <w:rFonts w:ascii="Times New Roman" w:eastAsia="Times New Roman" w:hAnsi="Times New Roman" w:cs="Times New Roman"/>
          <w:b/>
          <w:bCs/>
          <w:lang w:val="en-US"/>
        </w:rPr>
      </w:pPr>
      <w:r w:rsidRPr="00A61929">
        <w:rPr>
          <w:rFonts w:ascii="Times New Roman" w:eastAsia="Times New Roman" w:hAnsi="Times New Roman" w:cs="Times New Roman"/>
          <w:b/>
          <w:bCs/>
        </w:rPr>
        <w:t>Elérendő kompetenciák (angolul) (</w:t>
      </w:r>
      <w:r w:rsidRPr="00A61929">
        <w:rPr>
          <w:rFonts w:ascii="Times New Roman" w:eastAsia="Times New Roman" w:hAnsi="Times New Roman" w:cs="Times New Roman"/>
          <w:b/>
          <w:bCs/>
          <w:lang w:val="en-US"/>
        </w:rPr>
        <w:t xml:space="preserve">Competences – English): </w:t>
      </w:r>
    </w:p>
    <w:p w:rsidR="00A61929" w:rsidRPr="00A61929" w:rsidRDefault="00A61929" w:rsidP="00A61929">
      <w:pPr>
        <w:widowControl w:val="0"/>
        <w:spacing w:before="120" w:after="120" w:line="240" w:lineRule="auto"/>
        <w:ind w:left="426"/>
        <w:jc w:val="both"/>
        <w:rPr>
          <w:rFonts w:ascii="Times New Roman" w:eastAsia="Times New Roman" w:hAnsi="Times New Roman" w:cs="Times New Roman"/>
          <w:lang w:val="en-GB"/>
        </w:rPr>
      </w:pPr>
      <w:r w:rsidRPr="00A61929">
        <w:rPr>
          <w:rFonts w:ascii="Times New Roman" w:eastAsia="Times New Roman" w:hAnsi="Times New Roman" w:cs="Times New Roman"/>
          <w:b/>
          <w:lang w:val="en-GB"/>
        </w:rPr>
        <w:t>Knowledge</w:t>
      </w:r>
      <w:r w:rsidRPr="00A61929">
        <w:rPr>
          <w:rFonts w:ascii="Times New Roman" w:eastAsia="Times New Roman" w:hAnsi="Times New Roman" w:cs="Times New Roman"/>
          <w:lang w:val="en-GB"/>
        </w:rPr>
        <w:t xml:space="preserve">: </w:t>
      </w:r>
    </w:p>
    <w:p w:rsidR="00A61929" w:rsidRPr="00A61929" w:rsidRDefault="00A6192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61929">
        <w:rPr>
          <w:rFonts w:ascii="Times New Roman" w:hAnsi="Times New Roman" w:cs="Times New Roman"/>
        </w:rPr>
        <w:t>Knows the basics and requirements of logistics, management, environmental protection, quality assurance, information technology, law and economics, connected to the field of military transportation.</w:t>
      </w:r>
    </w:p>
    <w:p w:rsidR="00A61929" w:rsidRPr="00A61929" w:rsidRDefault="00A6192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61929">
        <w:rPr>
          <w:rFonts w:ascii="Times New Roman" w:hAnsi="Times New Roman" w:cs="Times New Roman"/>
        </w:rPr>
        <w:t>Is familiar with the technical equipment used in military transportation, the transportation modes and facilities, and the rules of their use and operation.</w:t>
      </w:r>
    </w:p>
    <w:p w:rsidR="00A61929" w:rsidRPr="00A61929" w:rsidRDefault="00A6192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61929">
        <w:rPr>
          <w:rFonts w:ascii="Times New Roman" w:hAnsi="Times New Roman" w:cs="Times New Roman"/>
        </w:rPr>
        <w:t>Is familiar with the tasks and responsibilities of stockpiling, storing, registering and inventorying of military transportation assets and is able to control these processes.</w:t>
      </w:r>
    </w:p>
    <w:p w:rsidR="00A61929" w:rsidRPr="00A61929" w:rsidRDefault="00A6192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61929">
        <w:rPr>
          <w:rFonts w:ascii="Times New Roman" w:hAnsi="Times New Roman" w:cs="Times New Roman"/>
        </w:rPr>
        <w:t>Has a profound knowledge of the tasks and the system of military transportation and the unique characteristics of performing each task.</w:t>
      </w:r>
    </w:p>
    <w:p w:rsidR="00A61929" w:rsidRPr="00A61929" w:rsidRDefault="00A6192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61929">
        <w:rPr>
          <w:rFonts w:ascii="Times New Roman" w:hAnsi="Times New Roman" w:cs="Times New Roman"/>
        </w:rPr>
        <w:t>Is familiar with the methods of assessing the requirements of military transportation and its feasibility and practical implementation.</w:t>
      </w:r>
    </w:p>
    <w:p w:rsidR="00A61929" w:rsidRPr="00A61929" w:rsidRDefault="00A61929" w:rsidP="00A61929">
      <w:pPr>
        <w:widowControl w:val="0"/>
        <w:spacing w:before="120" w:after="120" w:line="240" w:lineRule="auto"/>
        <w:ind w:left="426"/>
        <w:jc w:val="both"/>
        <w:rPr>
          <w:rFonts w:ascii="Times New Roman" w:eastAsia="Times New Roman" w:hAnsi="Times New Roman" w:cs="Times New Roman"/>
          <w:b/>
          <w:lang w:val="en-GB"/>
        </w:rPr>
      </w:pPr>
      <w:r w:rsidRPr="00A61929">
        <w:rPr>
          <w:rFonts w:ascii="Times New Roman" w:eastAsia="Times New Roman" w:hAnsi="Times New Roman" w:cs="Times New Roman"/>
          <w:b/>
          <w:lang w:val="en-GB"/>
        </w:rPr>
        <w:t>Capabilities:</w:t>
      </w:r>
    </w:p>
    <w:p w:rsidR="00A61929" w:rsidRPr="00A61929" w:rsidRDefault="00A6192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61929">
        <w:rPr>
          <w:rFonts w:ascii="Times New Roman" w:hAnsi="Times New Roman" w:cs="Times New Roman"/>
        </w:rPr>
        <w:t>Using his/her general and specialized military knowledge and skills, he/she is capable of planning, organizing, and conducting military transport, movement, and transportation tasks.</w:t>
      </w:r>
    </w:p>
    <w:p w:rsidR="00A61929" w:rsidRPr="00A61929" w:rsidRDefault="00A6192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61929">
        <w:rPr>
          <w:rFonts w:ascii="Times New Roman" w:hAnsi="Times New Roman" w:cs="Times New Roman"/>
        </w:rPr>
        <w:lastRenderedPageBreak/>
        <w:t>Is capable of leading the execution of the tasks of a military transportation subunit in peace time and in crisis response, disaster relief, peace support and combat operations both in a national and a multinational environment.</w:t>
      </w:r>
    </w:p>
    <w:p w:rsidR="00A61929" w:rsidRPr="00A61929" w:rsidRDefault="00A6192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61929">
        <w:rPr>
          <w:rFonts w:ascii="Times New Roman" w:hAnsi="Times New Roman" w:cs="Times New Roman"/>
        </w:rPr>
        <w:t>Is capable of planning, organizing and executing the tasks related to the application of traffic networks for military purposes.</w:t>
      </w:r>
    </w:p>
    <w:p w:rsidR="00A61929" w:rsidRPr="00A61929" w:rsidRDefault="00A6192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61929">
        <w:rPr>
          <w:rFonts w:ascii="Times New Roman" w:hAnsi="Times New Roman" w:cs="Times New Roman"/>
        </w:rPr>
        <w:t>Is capable of applying traffic information systems to support transportation processes and formulating the basic user requirements related to them.</w:t>
      </w:r>
    </w:p>
    <w:p w:rsidR="00A61929" w:rsidRPr="00A61929" w:rsidRDefault="00A61929" w:rsidP="00A61929">
      <w:pPr>
        <w:widowControl w:val="0"/>
        <w:spacing w:before="120" w:after="120" w:line="240" w:lineRule="auto"/>
        <w:ind w:left="426"/>
        <w:jc w:val="both"/>
        <w:rPr>
          <w:rFonts w:ascii="Times New Roman" w:eastAsia="Times New Roman" w:hAnsi="Times New Roman" w:cs="Times New Roman"/>
          <w:b/>
          <w:lang w:val="en-GB"/>
        </w:rPr>
      </w:pPr>
      <w:r w:rsidRPr="00A61929">
        <w:rPr>
          <w:rFonts w:ascii="Times New Roman" w:eastAsia="Times New Roman" w:hAnsi="Times New Roman" w:cs="Times New Roman"/>
          <w:b/>
          <w:lang w:val="en-GB"/>
        </w:rPr>
        <w:t>Attitude:</w:t>
      </w:r>
    </w:p>
    <w:p w:rsidR="00A61929" w:rsidRPr="00A61929" w:rsidRDefault="00A6192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61929">
        <w:rPr>
          <w:rFonts w:ascii="Times New Roman" w:hAnsi="Times New Roman" w:cs="Times New Roman"/>
        </w:rPr>
        <w:t>He/She is ready to become familiar with and adopt the professional and technological development and innovation in the field of military transportation, and also to pass it on and integrate it into his daily work.</w:t>
      </w:r>
    </w:p>
    <w:p w:rsidR="00A61929" w:rsidRPr="00A61929" w:rsidRDefault="00A6192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61929">
        <w:rPr>
          <w:rFonts w:ascii="Times New Roman" w:hAnsi="Times New Roman" w:cs="Times New Roman"/>
        </w:rPr>
        <w:t>He/She strives for continuous self-education in the field of military transportation which is consistent with his/her professional goals.</w:t>
      </w:r>
    </w:p>
    <w:p w:rsidR="00A61929" w:rsidRPr="00A61929" w:rsidRDefault="00A6192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61929">
        <w:rPr>
          <w:rFonts w:ascii="Times New Roman" w:hAnsi="Times New Roman" w:cs="Times New Roman"/>
        </w:rPr>
        <w:t>He/She is committed to high quality in his/her professional work, with special emphasis on the safe execution of the transportation tasks and processes.</w:t>
      </w:r>
    </w:p>
    <w:p w:rsidR="00A61929" w:rsidRPr="00A61929" w:rsidRDefault="00A6192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61929">
        <w:rPr>
          <w:rFonts w:ascii="Times New Roman" w:hAnsi="Times New Roman" w:cs="Times New Roman"/>
        </w:rPr>
        <w:t>He/She is interested in promoting the professional development of his/her subordinates, and provides assistance in their efforts.</w:t>
      </w:r>
    </w:p>
    <w:p w:rsidR="00A61929" w:rsidRPr="00A61929" w:rsidRDefault="00A6192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61929">
        <w:rPr>
          <w:rFonts w:ascii="Times New Roman" w:hAnsi="Times New Roman" w:cs="Times New Roman"/>
        </w:rPr>
        <w:t>He/she is willing to share his/her experience with his/her colleagues to further their professional development.</w:t>
      </w:r>
    </w:p>
    <w:p w:rsidR="00A61929" w:rsidRPr="00A61929" w:rsidRDefault="00A61929" w:rsidP="00A61929">
      <w:pPr>
        <w:widowControl w:val="0"/>
        <w:spacing w:before="120" w:after="120" w:line="240" w:lineRule="auto"/>
        <w:ind w:left="426"/>
        <w:jc w:val="both"/>
        <w:rPr>
          <w:rFonts w:ascii="Times New Roman" w:eastAsia="Times New Roman" w:hAnsi="Times New Roman" w:cs="Times New Roman"/>
          <w:b/>
          <w:lang w:val="en-GB"/>
        </w:rPr>
      </w:pPr>
      <w:r w:rsidRPr="00A61929">
        <w:rPr>
          <w:rFonts w:ascii="Times New Roman" w:eastAsia="Times New Roman" w:hAnsi="Times New Roman" w:cs="Times New Roman"/>
          <w:b/>
          <w:lang w:val="en-GB"/>
        </w:rPr>
        <w:t xml:space="preserve">Autonomy and responsibility: </w:t>
      </w:r>
    </w:p>
    <w:p w:rsidR="00A61929" w:rsidRPr="00A61929" w:rsidRDefault="00A6192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61929">
        <w:rPr>
          <w:rFonts w:ascii="Times New Roman" w:hAnsi="Times New Roman" w:cs="Times New Roman"/>
        </w:rPr>
        <w:t>He/She is able to make decisions independently in the processes arising in the field of military transportation, and to implement them with responsibility and within the legal framework.</w:t>
      </w:r>
    </w:p>
    <w:p w:rsidR="00A61929" w:rsidRPr="00A61929" w:rsidRDefault="00A6192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61929">
        <w:rPr>
          <w:rFonts w:ascii="Times New Roman" w:hAnsi="Times New Roman" w:cs="Times New Roman"/>
        </w:rPr>
        <w:t>He/She is aware of the effects and consequences of his decisions and activities on the military logistic processes as a whole.</w:t>
      </w:r>
    </w:p>
    <w:p w:rsidR="00A61929" w:rsidRPr="00A61929" w:rsidRDefault="00A6192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61929">
        <w:rPr>
          <w:rFonts w:ascii="Times New Roman" w:hAnsi="Times New Roman" w:cs="Times New Roman"/>
        </w:rPr>
        <w:t xml:space="preserve">During his/her professional duties, he/she is willing to responsibly cooperate with specialists of other areas. </w:t>
      </w:r>
    </w:p>
    <w:p w:rsidR="00A61929" w:rsidRPr="00A61929" w:rsidRDefault="00A6192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61929">
        <w:rPr>
          <w:rFonts w:ascii="Times New Roman" w:hAnsi="Times New Roman" w:cs="Times New Roman"/>
        </w:rPr>
        <w:t>He/She can identify the deficiencies and risks in the applied technologies and initiates taking measures to reduce their impact.</w:t>
      </w:r>
    </w:p>
    <w:p w:rsidR="00A61929" w:rsidRPr="00A61929" w:rsidRDefault="00A6192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61929">
        <w:rPr>
          <w:rFonts w:ascii="Times New Roman" w:hAnsi="Times New Roman" w:cs="Times New Roman"/>
        </w:rPr>
        <w:t>Under the guidance of his/her commander, he/she controls the work of the personnel under his/her command and supervises the planning, organization and implementation of the transport and transportation processes, and also the operation of the technical equipment used in military transportation.</w:t>
      </w:r>
    </w:p>
    <w:p w:rsidR="00A61929" w:rsidRPr="00A61929" w:rsidRDefault="00A6192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61929">
        <w:rPr>
          <w:rFonts w:ascii="Times New Roman" w:hAnsi="Times New Roman" w:cs="Times New Roman"/>
        </w:rPr>
        <w:t>He/She continuously evaluates the efficiency and effectiveness of his/her subordinates' work.</w:t>
      </w:r>
    </w:p>
    <w:p w:rsidR="00A61929" w:rsidRPr="00A61929" w:rsidRDefault="00A61929" w:rsidP="00980876">
      <w:pPr>
        <w:widowControl w:val="0"/>
        <w:numPr>
          <w:ilvl w:val="0"/>
          <w:numId w:val="269"/>
        </w:numPr>
        <w:tabs>
          <w:tab w:val="num" w:pos="567"/>
        </w:tabs>
        <w:spacing w:before="120" w:after="120" w:line="240" w:lineRule="auto"/>
        <w:ind w:left="426" w:hanging="142"/>
        <w:jc w:val="both"/>
        <w:rPr>
          <w:rFonts w:ascii="Times New Roman" w:eastAsia="Times New Roman" w:hAnsi="Times New Roman" w:cs="Times New Roman"/>
          <w:bCs/>
        </w:rPr>
      </w:pPr>
      <w:r w:rsidRPr="00A61929">
        <w:rPr>
          <w:rFonts w:ascii="Times New Roman" w:eastAsia="Times New Roman" w:hAnsi="Times New Roman" w:cs="Times New Roman"/>
          <w:b/>
          <w:bCs/>
        </w:rPr>
        <w:t xml:space="preserve">Előtanulmányi követelmények: </w:t>
      </w:r>
      <w:r w:rsidRPr="00A61929">
        <w:rPr>
          <w:rFonts w:ascii="Times New Roman" w:hAnsi="Times New Roman" w:cs="Times New Roman"/>
        </w:rPr>
        <w:t>Katon</w:t>
      </w:r>
      <w:r w:rsidR="007A5E14">
        <w:rPr>
          <w:rFonts w:ascii="Times New Roman" w:hAnsi="Times New Roman" w:cs="Times New Roman"/>
        </w:rPr>
        <w:t>ai szállítások alapjai HKHPKA301</w:t>
      </w:r>
    </w:p>
    <w:p w:rsidR="00A61929" w:rsidRPr="00A61929" w:rsidRDefault="00A61929" w:rsidP="00980876">
      <w:pPr>
        <w:widowControl w:val="0"/>
        <w:numPr>
          <w:ilvl w:val="0"/>
          <w:numId w:val="269"/>
        </w:numPr>
        <w:spacing w:before="120" w:after="120" w:line="240" w:lineRule="auto"/>
        <w:ind w:left="426" w:hanging="142"/>
        <w:jc w:val="both"/>
        <w:rPr>
          <w:rFonts w:ascii="Times New Roman" w:eastAsia="Times New Roman" w:hAnsi="Times New Roman" w:cs="Times New Roman"/>
          <w:b/>
          <w:bCs/>
        </w:rPr>
      </w:pPr>
      <w:r w:rsidRPr="00A61929">
        <w:rPr>
          <w:rFonts w:ascii="Times New Roman" w:eastAsia="Times New Roman" w:hAnsi="Times New Roman" w:cs="Times New Roman"/>
          <w:b/>
          <w:bCs/>
        </w:rPr>
        <w:t>A tantárgy tananyagának leírása, tematika. Description of the subject, curriculum (magyarul, angolul - English):</w:t>
      </w:r>
    </w:p>
    <w:p w:rsidR="00A61929" w:rsidRPr="00A61929" w:rsidRDefault="00A61929" w:rsidP="00980876">
      <w:pPr>
        <w:widowControl w:val="0"/>
        <w:numPr>
          <w:ilvl w:val="1"/>
          <w:numId w:val="269"/>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i/>
        </w:rPr>
      </w:pPr>
      <w:r w:rsidRPr="00A61929">
        <w:rPr>
          <w:rFonts w:ascii="Times New Roman" w:eastAsia="Times New Roman" w:hAnsi="Times New Roman" w:cs="Times New Roman"/>
        </w:rPr>
        <w:t>Az áruáramlatok meghatározása, ráterhelése a közlekedési pályára.</w:t>
      </w:r>
      <w:r w:rsidRPr="00A61929">
        <w:rPr>
          <w:rStyle w:val="tlid-translation"/>
          <w:rFonts w:ascii="Times New Roman" w:hAnsi="Times New Roman" w:cs="Times New Roman"/>
          <w:lang w:val="en"/>
        </w:rPr>
        <w:t xml:space="preserve"> </w:t>
      </w:r>
      <w:r w:rsidRPr="00A61929">
        <w:rPr>
          <w:rStyle w:val="tlid-translation"/>
          <w:rFonts w:ascii="Times New Roman" w:hAnsi="Times New Roman" w:cs="Times New Roman"/>
          <w:i/>
          <w:lang w:val="en"/>
        </w:rPr>
        <w:t>(Definition of freight flows and their load on the traffic flow.)</w:t>
      </w:r>
    </w:p>
    <w:p w:rsidR="00A61929" w:rsidRPr="00A61929" w:rsidRDefault="00A61929" w:rsidP="00980876">
      <w:pPr>
        <w:widowControl w:val="0"/>
        <w:numPr>
          <w:ilvl w:val="1"/>
          <w:numId w:val="269"/>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rPr>
      </w:pPr>
      <w:r w:rsidRPr="00A61929">
        <w:rPr>
          <w:rFonts w:ascii="Times New Roman" w:eastAsia="Times New Roman" w:hAnsi="Times New Roman" w:cs="Times New Roman"/>
        </w:rPr>
        <w:t>Az árufuvarozás feltételrendszere.</w:t>
      </w:r>
      <w:r w:rsidRPr="00A61929">
        <w:rPr>
          <w:rStyle w:val="tlid-translation"/>
          <w:rFonts w:ascii="Times New Roman" w:hAnsi="Times New Roman" w:cs="Times New Roman"/>
          <w:lang w:val="en"/>
        </w:rPr>
        <w:t xml:space="preserve"> </w:t>
      </w:r>
      <w:r w:rsidRPr="00A61929">
        <w:rPr>
          <w:rStyle w:val="tlid-translation"/>
          <w:rFonts w:ascii="Times New Roman" w:hAnsi="Times New Roman" w:cs="Times New Roman"/>
          <w:i/>
          <w:lang w:val="en"/>
        </w:rPr>
        <w:t>(Conditions of carriage of goods.)</w:t>
      </w:r>
    </w:p>
    <w:p w:rsidR="00A61929" w:rsidRPr="00A61929" w:rsidRDefault="00A61929" w:rsidP="00980876">
      <w:pPr>
        <w:widowControl w:val="0"/>
        <w:numPr>
          <w:ilvl w:val="1"/>
          <w:numId w:val="269"/>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i/>
        </w:rPr>
      </w:pPr>
      <w:r w:rsidRPr="00A61929">
        <w:rPr>
          <w:rFonts w:ascii="Times New Roman" w:eastAsia="Times New Roman" w:hAnsi="Times New Roman" w:cs="Times New Roman"/>
        </w:rPr>
        <w:t>Az áruszállítás folyamata az igények megismerésétől az áru kiszolgáltatásáig. Az egyes résztevékenységek szervezésének sajátosságai.</w:t>
      </w:r>
      <w:r w:rsidRPr="00A61929">
        <w:rPr>
          <w:rStyle w:val="tlid-translation"/>
          <w:rFonts w:ascii="Times New Roman" w:hAnsi="Times New Roman" w:cs="Times New Roman"/>
          <w:lang w:val="en"/>
        </w:rPr>
        <w:t xml:space="preserve"> </w:t>
      </w:r>
      <w:r w:rsidRPr="00A61929">
        <w:rPr>
          <w:rStyle w:val="tlid-translation"/>
          <w:rFonts w:ascii="Times New Roman" w:hAnsi="Times New Roman" w:cs="Times New Roman"/>
          <w:i/>
          <w:lang w:val="en"/>
        </w:rPr>
        <w:t>(The process of transportation of goods from the knowledge of the needs to the delivery of the goods. Characteristics of the organization of each sub-activity.)</w:t>
      </w:r>
    </w:p>
    <w:p w:rsidR="00A61929" w:rsidRPr="00A61929" w:rsidRDefault="00A61929" w:rsidP="00980876">
      <w:pPr>
        <w:widowControl w:val="0"/>
        <w:numPr>
          <w:ilvl w:val="1"/>
          <w:numId w:val="269"/>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rPr>
      </w:pPr>
      <w:r w:rsidRPr="00A61929">
        <w:rPr>
          <w:rFonts w:ascii="Times New Roman" w:eastAsia="Times New Roman" w:hAnsi="Times New Roman" w:cs="Times New Roman"/>
        </w:rPr>
        <w:t>Árufuvarozási formák, szállítási technológiák.</w:t>
      </w:r>
      <w:r w:rsidRPr="00A61929">
        <w:rPr>
          <w:rStyle w:val="tlid-translation"/>
          <w:rFonts w:ascii="Times New Roman" w:hAnsi="Times New Roman" w:cs="Times New Roman"/>
          <w:lang w:val="en"/>
        </w:rPr>
        <w:t xml:space="preserve"> </w:t>
      </w:r>
      <w:r w:rsidRPr="00A61929">
        <w:rPr>
          <w:rStyle w:val="tlid-translation"/>
          <w:rFonts w:ascii="Times New Roman" w:hAnsi="Times New Roman" w:cs="Times New Roman"/>
          <w:i/>
          <w:lang w:val="en"/>
        </w:rPr>
        <w:t>(Freight forms, transport technologies.)</w:t>
      </w:r>
    </w:p>
    <w:p w:rsidR="00A61929" w:rsidRPr="00A61929" w:rsidRDefault="00A61929" w:rsidP="00980876">
      <w:pPr>
        <w:widowControl w:val="0"/>
        <w:numPr>
          <w:ilvl w:val="1"/>
          <w:numId w:val="269"/>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rPr>
      </w:pPr>
      <w:r w:rsidRPr="00A61929">
        <w:rPr>
          <w:rFonts w:ascii="Times New Roman" w:eastAsia="Times New Roman" w:hAnsi="Times New Roman" w:cs="Times New Roman"/>
        </w:rPr>
        <w:t xml:space="preserve">A kombinált áruszállítás technológiája. </w:t>
      </w:r>
      <w:r w:rsidRPr="00A61929">
        <w:rPr>
          <w:rFonts w:ascii="Times New Roman" w:eastAsia="Times New Roman" w:hAnsi="Times New Roman" w:cs="Times New Roman"/>
          <w:i/>
        </w:rPr>
        <w:t>(</w:t>
      </w:r>
      <w:r w:rsidRPr="00A61929">
        <w:rPr>
          <w:rStyle w:val="tlid-translation"/>
          <w:rFonts w:ascii="Times New Roman" w:hAnsi="Times New Roman" w:cs="Times New Roman"/>
          <w:i/>
          <w:lang w:val="en"/>
        </w:rPr>
        <w:t>Combined freight technology.)</w:t>
      </w:r>
    </w:p>
    <w:p w:rsidR="00A61929" w:rsidRPr="00A61929" w:rsidRDefault="00A61929" w:rsidP="00980876">
      <w:pPr>
        <w:widowControl w:val="0"/>
        <w:numPr>
          <w:ilvl w:val="1"/>
          <w:numId w:val="269"/>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rPr>
      </w:pPr>
      <w:r w:rsidRPr="00A61929">
        <w:rPr>
          <w:rFonts w:ascii="Times New Roman" w:eastAsia="Times New Roman" w:hAnsi="Times New Roman" w:cs="Times New Roman"/>
        </w:rPr>
        <w:t xml:space="preserve">Az áruszállítási technológiákkal szemben támasztott speciális katonai követelmények. </w:t>
      </w:r>
      <w:r w:rsidRPr="00A61929">
        <w:rPr>
          <w:rFonts w:ascii="Times New Roman" w:eastAsia="Times New Roman" w:hAnsi="Times New Roman" w:cs="Times New Roman"/>
          <w:i/>
        </w:rPr>
        <w:t>(</w:t>
      </w:r>
      <w:r w:rsidRPr="00A61929">
        <w:rPr>
          <w:rStyle w:val="tlid-translation"/>
          <w:rFonts w:ascii="Times New Roman" w:hAnsi="Times New Roman" w:cs="Times New Roman"/>
          <w:i/>
          <w:lang w:val="en"/>
        </w:rPr>
        <w:t>Special military requirements for freight transport technologies.)</w:t>
      </w:r>
    </w:p>
    <w:p w:rsidR="00A61929" w:rsidRPr="00A61929" w:rsidRDefault="00A61929" w:rsidP="00980876">
      <w:pPr>
        <w:widowControl w:val="0"/>
        <w:numPr>
          <w:ilvl w:val="1"/>
          <w:numId w:val="269"/>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rPr>
      </w:pPr>
      <w:r w:rsidRPr="00A61929">
        <w:rPr>
          <w:rFonts w:ascii="Times New Roman" w:eastAsia="Times New Roman" w:hAnsi="Times New Roman" w:cs="Times New Roman"/>
        </w:rPr>
        <w:t>Zárthelyi dolgozat.</w:t>
      </w:r>
      <w:r w:rsidRPr="00A61929">
        <w:rPr>
          <w:rStyle w:val="tlid-translation"/>
          <w:rFonts w:ascii="Times New Roman" w:hAnsi="Times New Roman" w:cs="Times New Roman"/>
          <w:lang w:val="en"/>
        </w:rPr>
        <w:t xml:space="preserve"> </w:t>
      </w:r>
      <w:r w:rsidRPr="00A61929">
        <w:rPr>
          <w:rStyle w:val="tlid-translation"/>
          <w:rFonts w:ascii="Times New Roman" w:hAnsi="Times New Roman" w:cs="Times New Roman"/>
          <w:i/>
          <w:lang w:val="en"/>
        </w:rPr>
        <w:t>(Closed thesis.)</w:t>
      </w:r>
    </w:p>
    <w:p w:rsidR="00A61929" w:rsidRPr="00A61929" w:rsidRDefault="00A61929" w:rsidP="00980876">
      <w:pPr>
        <w:widowControl w:val="0"/>
        <w:numPr>
          <w:ilvl w:val="0"/>
          <w:numId w:val="269"/>
        </w:numPr>
        <w:tabs>
          <w:tab w:val="num" w:pos="360"/>
        </w:tabs>
        <w:spacing w:before="120" w:after="120" w:line="240" w:lineRule="auto"/>
        <w:ind w:left="426" w:hanging="142"/>
        <w:jc w:val="both"/>
        <w:rPr>
          <w:rFonts w:ascii="Times New Roman" w:eastAsia="Times New Roman" w:hAnsi="Times New Roman" w:cs="Times New Roman"/>
          <w:bCs/>
        </w:rPr>
      </w:pPr>
      <w:r w:rsidRPr="00A61929">
        <w:rPr>
          <w:rFonts w:ascii="Times New Roman" w:eastAsia="Times New Roman" w:hAnsi="Times New Roman" w:cs="Times New Roman"/>
          <w:b/>
          <w:bCs/>
        </w:rPr>
        <w:lastRenderedPageBreak/>
        <w:t xml:space="preserve">A tantárgy meghirdetésének gyakorisága/a tantervben történő félévi elhelyezkedése: </w:t>
      </w:r>
      <w:r w:rsidRPr="00A61929">
        <w:rPr>
          <w:rFonts w:ascii="Times New Roman" w:eastAsia="Times New Roman" w:hAnsi="Times New Roman" w:cs="Times New Roman"/>
          <w:bCs/>
        </w:rPr>
        <w:t>5. félév</w:t>
      </w:r>
    </w:p>
    <w:p w:rsidR="00A61929" w:rsidRPr="00A61929" w:rsidRDefault="00A61929" w:rsidP="00980876">
      <w:pPr>
        <w:widowControl w:val="0"/>
        <w:numPr>
          <w:ilvl w:val="0"/>
          <w:numId w:val="269"/>
        </w:numPr>
        <w:tabs>
          <w:tab w:val="num" w:pos="360"/>
        </w:tabs>
        <w:spacing w:before="120" w:after="120" w:line="240" w:lineRule="auto"/>
        <w:ind w:left="426" w:hanging="142"/>
        <w:jc w:val="both"/>
        <w:rPr>
          <w:rFonts w:ascii="Times New Roman" w:eastAsia="Times New Roman" w:hAnsi="Times New Roman" w:cs="Times New Roman"/>
          <w:bCs/>
        </w:rPr>
      </w:pPr>
      <w:r w:rsidRPr="00A61929">
        <w:rPr>
          <w:rFonts w:ascii="Times New Roman" w:eastAsia="Times New Roman" w:hAnsi="Times New Roman" w:cs="Times New Roman"/>
          <w:b/>
          <w:bCs/>
        </w:rPr>
        <w:t>A tanórákon való részvétel követelményei, az elfogadható hiányzások mértéke, a távolmaradás pótlásának lehetősége:</w:t>
      </w:r>
      <w:r w:rsidRPr="00A61929">
        <w:rPr>
          <w:rFonts w:ascii="Times New Roman" w:eastAsia="Times New Roman" w:hAnsi="Times New Roman" w:cs="Times New Roman"/>
          <w:bCs/>
        </w:rPr>
        <w:t xml:space="preserve"> </w:t>
      </w:r>
    </w:p>
    <w:p w:rsidR="00A61929" w:rsidRPr="00A61929" w:rsidRDefault="00A61929" w:rsidP="00A61929">
      <w:pPr>
        <w:widowControl w:val="0"/>
        <w:spacing w:before="120" w:after="120" w:line="240" w:lineRule="auto"/>
        <w:ind w:left="426"/>
        <w:jc w:val="both"/>
        <w:rPr>
          <w:rFonts w:ascii="Times New Roman" w:eastAsia="Times New Roman" w:hAnsi="Times New Roman" w:cs="Times New Roman"/>
          <w:bCs/>
          <w:highlight w:val="lightGray"/>
        </w:rPr>
      </w:pPr>
      <w:r w:rsidRPr="00A61929">
        <w:rPr>
          <w:rFonts w:ascii="Times New Roman" w:eastAsia="Times New Roman" w:hAnsi="Times New Roman" w:cs="Times New Roman"/>
          <w:bCs/>
          <w:lang w:eastAsia="hu-HU"/>
        </w:rPr>
        <w:t>A tanórákon való részvétel kötelező, megengedett hiányzás mértéke 25%. Hiányzás esetén órapótlásra nincs lehetőség, a hallgató az előadás anyagát önállóan pótolja. A 25%-ot meghaladó hiányzás az aláírás megtagadását vonja maga után.</w:t>
      </w:r>
    </w:p>
    <w:p w:rsidR="00A61929" w:rsidRPr="00A61929" w:rsidRDefault="00A61929" w:rsidP="00980876">
      <w:pPr>
        <w:widowControl w:val="0"/>
        <w:numPr>
          <w:ilvl w:val="0"/>
          <w:numId w:val="269"/>
        </w:numPr>
        <w:tabs>
          <w:tab w:val="num" w:pos="360"/>
        </w:tabs>
        <w:spacing w:before="120" w:after="120" w:line="240" w:lineRule="auto"/>
        <w:ind w:left="426" w:hanging="142"/>
        <w:jc w:val="both"/>
        <w:rPr>
          <w:rFonts w:ascii="Times New Roman" w:eastAsia="Times New Roman" w:hAnsi="Times New Roman" w:cs="Times New Roman"/>
          <w:bCs/>
        </w:rPr>
      </w:pPr>
      <w:r w:rsidRPr="00A61929">
        <w:rPr>
          <w:rFonts w:ascii="Times New Roman" w:eastAsia="Times New Roman" w:hAnsi="Times New Roman" w:cs="Times New Roman"/>
          <w:b/>
        </w:rPr>
        <w:t>Félévközi feladatok, ismeretek ellenőrzésének rendje:</w:t>
      </w:r>
      <w:r w:rsidRPr="00A61929">
        <w:rPr>
          <w:rFonts w:ascii="Times New Roman" w:eastAsia="Times New Roman" w:hAnsi="Times New Roman" w:cs="Times New Roman"/>
          <w:bCs/>
        </w:rPr>
        <w:t xml:space="preserve"> </w:t>
      </w:r>
    </w:p>
    <w:p w:rsidR="00A61929" w:rsidRPr="00A61929" w:rsidRDefault="00A61929" w:rsidP="00A61929">
      <w:pPr>
        <w:widowControl w:val="0"/>
        <w:spacing w:before="120" w:after="120" w:line="240" w:lineRule="auto"/>
        <w:ind w:left="426"/>
        <w:jc w:val="both"/>
        <w:rPr>
          <w:rFonts w:ascii="Times New Roman" w:eastAsia="Times New Roman" w:hAnsi="Times New Roman" w:cs="Times New Roman"/>
          <w:lang w:eastAsia="x-none"/>
        </w:rPr>
      </w:pPr>
      <w:r w:rsidRPr="00A61929">
        <w:rPr>
          <w:rFonts w:ascii="Times New Roman" w:eastAsia="Times New Roman" w:hAnsi="Times New Roman" w:cs="Times New Roman"/>
          <w:lang w:val="x-none" w:eastAsia="x-none"/>
        </w:rPr>
        <w:t>A félév során egy zárthelyi dolgozatot ke</w:t>
      </w:r>
      <w:r w:rsidRPr="00A61929">
        <w:rPr>
          <w:rFonts w:ascii="Times New Roman" w:eastAsia="Times New Roman" w:hAnsi="Times New Roman" w:cs="Times New Roman"/>
          <w:lang w:eastAsia="x-none"/>
        </w:rPr>
        <w:t>l</w:t>
      </w:r>
      <w:r w:rsidRPr="00A61929">
        <w:rPr>
          <w:rFonts w:ascii="Times New Roman" w:eastAsia="Times New Roman" w:hAnsi="Times New Roman" w:cs="Times New Roman"/>
          <w:lang w:val="x-none" w:eastAsia="x-none"/>
        </w:rPr>
        <w:t>l megír</w:t>
      </w:r>
      <w:r w:rsidRPr="00A61929">
        <w:rPr>
          <w:rFonts w:ascii="Times New Roman" w:eastAsia="Times New Roman" w:hAnsi="Times New Roman" w:cs="Times New Roman"/>
          <w:lang w:eastAsia="x-none"/>
        </w:rPr>
        <w:t>ni</w:t>
      </w:r>
      <w:r w:rsidRPr="00A61929">
        <w:rPr>
          <w:rFonts w:ascii="Times New Roman" w:eastAsia="Times New Roman" w:hAnsi="Times New Roman" w:cs="Times New Roman"/>
          <w:lang w:val="x-none" w:eastAsia="x-none"/>
        </w:rPr>
        <w:t xml:space="preserve">. </w:t>
      </w:r>
      <w:r w:rsidRPr="00A61929">
        <w:rPr>
          <w:rFonts w:ascii="Times New Roman" w:eastAsia="Times New Roman" w:hAnsi="Times New Roman" w:cs="Times New Roman"/>
          <w:lang w:eastAsia="x-none"/>
        </w:rPr>
        <w:t xml:space="preserve">A zárthelyi dolgozat ötfokozatú skálán értékelendő, 50%+1 pont elégséges, 60% közepes, 75% jó, 90% jeles. </w:t>
      </w:r>
      <w:r w:rsidRPr="00A61929">
        <w:rPr>
          <w:rFonts w:ascii="Times New Roman" w:eastAsia="Times New Roman" w:hAnsi="Times New Roman" w:cs="Times New Roman"/>
          <w:lang w:val="x-none" w:eastAsia="x-none"/>
        </w:rPr>
        <w:t xml:space="preserve">Az elégtelen osztályzatra értékelt dolgozatot a szorgalmi és a vizsgaidőszakban is egy-egy alkalommal lehet pótolni. </w:t>
      </w:r>
    </w:p>
    <w:p w:rsidR="00A61929" w:rsidRPr="00A61929" w:rsidRDefault="00A61929" w:rsidP="00A61929">
      <w:pPr>
        <w:widowControl w:val="0"/>
        <w:spacing w:before="120" w:after="120" w:line="240" w:lineRule="auto"/>
        <w:ind w:left="426"/>
        <w:jc w:val="both"/>
        <w:rPr>
          <w:rFonts w:ascii="Times New Roman" w:eastAsia="Times New Roman" w:hAnsi="Times New Roman" w:cs="Times New Roman"/>
          <w:lang w:val="x-none" w:eastAsia="x-none"/>
        </w:rPr>
      </w:pPr>
      <w:r w:rsidRPr="00A61929">
        <w:rPr>
          <w:rFonts w:ascii="Times New Roman" w:hAnsi="Times New Roman" w:cs="Times New Roman"/>
          <w:lang w:val="x-none" w:eastAsia="x-none"/>
        </w:rPr>
        <w:t xml:space="preserve">A félév során </w:t>
      </w:r>
      <w:r w:rsidRPr="00A61929">
        <w:rPr>
          <w:rFonts w:ascii="Times New Roman" w:hAnsi="Times New Roman" w:cs="Times New Roman"/>
          <w:lang w:eastAsia="x-none"/>
        </w:rPr>
        <w:t>egy</w:t>
      </w:r>
      <w:r w:rsidRPr="00A61929">
        <w:rPr>
          <w:rFonts w:ascii="Times New Roman" w:hAnsi="Times New Roman" w:cs="Times New Roman"/>
          <w:lang w:val="x-none" w:eastAsia="x-none"/>
        </w:rPr>
        <w:t xml:space="preserve"> házi feladatot kell elkészíteni minimálisan 10-10 oldal</w:t>
      </w:r>
      <w:r w:rsidRPr="00A61929">
        <w:rPr>
          <w:rFonts w:ascii="Times New Roman" w:hAnsi="Times New Roman" w:cs="Times New Roman"/>
          <w:b/>
          <w:lang w:val="x-none" w:eastAsia="x-none"/>
        </w:rPr>
        <w:t xml:space="preserve"> </w:t>
      </w:r>
      <w:r w:rsidRPr="00A61929">
        <w:rPr>
          <w:rFonts w:ascii="Times New Roman" w:hAnsi="Times New Roman" w:cs="Times New Roman"/>
          <w:lang w:val="x-none" w:eastAsia="x-none"/>
        </w:rPr>
        <w:t xml:space="preserve">terjedelemben, a szakdolgozatnak megfelelő formai követelményekkel </w:t>
      </w:r>
      <w:r w:rsidRPr="00A61929">
        <w:rPr>
          <w:rFonts w:ascii="Times New Roman" w:hAnsi="Times New Roman" w:cs="Times New Roman"/>
        </w:rPr>
        <w:t>(TVSZ 5. melléklet)</w:t>
      </w:r>
      <w:r w:rsidRPr="00A61929">
        <w:rPr>
          <w:rFonts w:ascii="Times New Roman" w:hAnsi="Times New Roman" w:cs="Times New Roman"/>
          <w:lang w:val="x-none" w:eastAsia="x-none"/>
        </w:rPr>
        <w:t xml:space="preserve">. </w:t>
      </w:r>
      <w:r w:rsidRPr="00A61929">
        <w:rPr>
          <w:rFonts w:ascii="Times New Roman" w:hAnsi="Times New Roman" w:cs="Times New Roman"/>
          <w:lang w:eastAsia="x-none"/>
        </w:rPr>
        <w:t xml:space="preserve">A 10 oldal terjedelembe a bevezető, a fő rész és a befejezés tartozik csak. </w:t>
      </w:r>
      <w:r w:rsidRPr="00A61929">
        <w:rPr>
          <w:rFonts w:ascii="Times New Roman" w:hAnsi="Times New Roman" w:cs="Times New Roman"/>
          <w:lang w:val="x-none" w:eastAsia="x-none"/>
        </w:rPr>
        <w:t>Az írásbeli munka témáját a hallgató választja</w:t>
      </w:r>
      <w:r w:rsidRPr="00A61929">
        <w:rPr>
          <w:rFonts w:ascii="Times New Roman" w:hAnsi="Times New Roman" w:cs="Times New Roman"/>
          <w:lang w:eastAsia="x-none"/>
        </w:rPr>
        <w:t>,</w:t>
      </w:r>
      <w:r w:rsidRPr="00A61929">
        <w:rPr>
          <w:rFonts w:ascii="Times New Roman" w:hAnsi="Times New Roman" w:cs="Times New Roman"/>
          <w:lang w:val="x-none" w:eastAsia="x-none"/>
        </w:rPr>
        <w:t xml:space="preserve"> a kurzus oktatója </w:t>
      </w:r>
      <w:r w:rsidRPr="00A61929">
        <w:rPr>
          <w:rFonts w:ascii="Times New Roman" w:hAnsi="Times New Roman" w:cs="Times New Roman"/>
          <w:lang w:eastAsia="x-none"/>
        </w:rPr>
        <w:t>jóváhagyja</w:t>
      </w:r>
      <w:r w:rsidRPr="00A61929">
        <w:rPr>
          <w:rFonts w:ascii="Times New Roman" w:hAnsi="Times New Roman" w:cs="Times New Roman"/>
          <w:lang w:val="x-none" w:eastAsia="x-none"/>
        </w:rPr>
        <w:t xml:space="preserve">. A szorgalmi időszakban a beadási határidőig leadott feladat </w:t>
      </w:r>
      <w:r w:rsidRPr="00A61929">
        <w:rPr>
          <w:rFonts w:ascii="Times New Roman" w:hAnsi="Times New Roman" w:cs="Times New Roman"/>
          <w:lang w:eastAsia="x-none"/>
        </w:rPr>
        <w:t>ötfokozatú skálán értékelendő</w:t>
      </w:r>
      <w:r w:rsidRPr="00A61929">
        <w:rPr>
          <w:rFonts w:ascii="Times New Roman" w:hAnsi="Times New Roman" w:cs="Times New Roman"/>
          <w:lang w:val="x-none" w:eastAsia="x-none"/>
        </w:rPr>
        <w:t>, azt javítani a vizsgaidőszak első hetén egy alkalommal lehet.</w:t>
      </w:r>
    </w:p>
    <w:p w:rsidR="00A61929" w:rsidRPr="00A61929" w:rsidRDefault="00A61929" w:rsidP="00980876">
      <w:pPr>
        <w:widowControl w:val="0"/>
        <w:numPr>
          <w:ilvl w:val="0"/>
          <w:numId w:val="269"/>
        </w:numPr>
        <w:spacing w:before="120" w:after="120" w:line="240" w:lineRule="auto"/>
        <w:ind w:left="426" w:hanging="142"/>
        <w:jc w:val="both"/>
        <w:rPr>
          <w:rFonts w:ascii="Times New Roman" w:eastAsia="Times New Roman" w:hAnsi="Times New Roman" w:cs="Times New Roman"/>
          <w:b/>
          <w:bCs/>
        </w:rPr>
      </w:pPr>
      <w:r w:rsidRPr="00A61929">
        <w:rPr>
          <w:rFonts w:ascii="Times New Roman" w:eastAsia="Times New Roman" w:hAnsi="Times New Roman" w:cs="Times New Roman"/>
          <w:b/>
          <w:bCs/>
        </w:rPr>
        <w:t xml:space="preserve">Az értékelés, az aláírás és a kreditek megszerzésének pontos feltételei: </w:t>
      </w:r>
    </w:p>
    <w:p w:rsidR="00A61929" w:rsidRPr="004A1361" w:rsidRDefault="00A61929" w:rsidP="00980876">
      <w:pPr>
        <w:widowControl w:val="0"/>
        <w:numPr>
          <w:ilvl w:val="1"/>
          <w:numId w:val="269"/>
        </w:numPr>
        <w:tabs>
          <w:tab w:val="left" w:pos="709"/>
          <w:tab w:val="left" w:pos="993"/>
          <w:tab w:val="num" w:pos="2069"/>
        </w:tabs>
        <w:spacing w:before="120" w:after="120" w:line="240" w:lineRule="auto"/>
        <w:ind w:left="426" w:firstLine="0"/>
        <w:jc w:val="both"/>
        <w:rPr>
          <w:rFonts w:ascii="Times New Roman" w:hAnsi="Times New Roman" w:cs="Times New Roman"/>
        </w:rPr>
      </w:pPr>
      <w:r w:rsidRPr="004A1361">
        <w:rPr>
          <w:rFonts w:ascii="Times New Roman" w:eastAsia="Times New Roman" w:hAnsi="Times New Roman" w:cs="Times New Roman"/>
          <w:b/>
        </w:rPr>
        <w:t>Az aláírás megszerzésének feltételei:</w:t>
      </w:r>
      <w:r w:rsidRPr="004A1361">
        <w:rPr>
          <w:rFonts w:ascii="Times New Roman" w:eastAsia="Times New Roman" w:hAnsi="Times New Roman" w:cs="Times New Roman"/>
        </w:rPr>
        <w:t xml:space="preserve"> </w:t>
      </w:r>
      <w:r w:rsidRPr="004A1361">
        <w:rPr>
          <w:rFonts w:ascii="Times New Roman" w:hAnsi="Times New Roman" w:cs="Times New Roman"/>
        </w:rPr>
        <w:t xml:space="preserve">Az aláírás megszerzésnek feltétele a zárthelyi dolgozat legalább elégséges szinten történő teljesítése (min </w:t>
      </w:r>
      <w:r w:rsidRPr="004A1361">
        <w:rPr>
          <w:rFonts w:ascii="Times New Roman" w:eastAsia="Times New Roman" w:hAnsi="Times New Roman" w:cs="Times New Roman"/>
          <w:lang w:eastAsia="x-none"/>
        </w:rPr>
        <w:t>50%+1 pont</w:t>
      </w:r>
      <w:r w:rsidRPr="004A1361">
        <w:rPr>
          <w:rFonts w:ascii="Times New Roman" w:hAnsi="Times New Roman" w:cs="Times New Roman"/>
        </w:rPr>
        <w:t>), a kapott féléves feladat határidőre történő leadása és minimálisan elégséges szintű teljesítése, illetve a tanórák legalább 75%-án való megjelenés.</w:t>
      </w:r>
    </w:p>
    <w:p w:rsidR="00A61929" w:rsidRPr="00A61929" w:rsidRDefault="00A61929" w:rsidP="00980876">
      <w:pPr>
        <w:widowControl w:val="0"/>
        <w:numPr>
          <w:ilvl w:val="1"/>
          <w:numId w:val="269"/>
        </w:numPr>
        <w:tabs>
          <w:tab w:val="left" w:pos="709"/>
          <w:tab w:val="left" w:pos="993"/>
          <w:tab w:val="num" w:pos="2069"/>
        </w:tabs>
        <w:spacing w:before="120" w:after="120" w:line="240" w:lineRule="auto"/>
        <w:ind w:left="426" w:firstLine="0"/>
        <w:jc w:val="both"/>
        <w:rPr>
          <w:rFonts w:ascii="Times New Roman" w:hAnsi="Times New Roman" w:cs="Times New Roman"/>
          <w:b/>
        </w:rPr>
      </w:pPr>
      <w:r w:rsidRPr="00A61929">
        <w:rPr>
          <w:rFonts w:ascii="Times New Roman" w:eastAsia="Times New Roman" w:hAnsi="Times New Roman" w:cs="Times New Roman"/>
          <w:b/>
        </w:rPr>
        <w:t>Az értékelés:</w:t>
      </w:r>
      <w:r w:rsidRPr="00A61929">
        <w:rPr>
          <w:rFonts w:ascii="Times New Roman" w:eastAsia="Times New Roman" w:hAnsi="Times New Roman" w:cs="Times New Roman"/>
        </w:rPr>
        <w:t xml:space="preserve"> </w:t>
      </w:r>
      <w:r w:rsidRPr="00A61929">
        <w:rPr>
          <w:rFonts w:ascii="Times New Roman" w:hAnsi="Times New Roman" w:cs="Times New Roman"/>
          <w:lang w:val="x-none" w:eastAsia="x-none"/>
        </w:rPr>
        <w:t xml:space="preserve">A tantárgy </w:t>
      </w:r>
      <w:r w:rsidRPr="00A61929">
        <w:rPr>
          <w:rFonts w:ascii="Times New Roman" w:hAnsi="Times New Roman" w:cs="Times New Roman"/>
          <w:b/>
          <w:lang w:val="x-none" w:eastAsia="x-none"/>
        </w:rPr>
        <w:t>félévközi jeggyel</w:t>
      </w:r>
      <w:r w:rsidRPr="00A61929">
        <w:rPr>
          <w:rFonts w:ascii="Times New Roman" w:hAnsi="Times New Roman" w:cs="Times New Roman"/>
          <w:lang w:val="x-none" w:eastAsia="x-none"/>
        </w:rPr>
        <w:t xml:space="preserve"> zárul, </w:t>
      </w:r>
      <w:r w:rsidRPr="00A61929">
        <w:rPr>
          <w:rFonts w:ascii="Times New Roman" w:hAnsi="Times New Roman" w:cs="Times New Roman"/>
          <w:lang w:eastAsia="x-none"/>
        </w:rPr>
        <w:t>a</w:t>
      </w:r>
      <w:r w:rsidRPr="00A61929">
        <w:rPr>
          <w:rFonts w:ascii="Times New Roman" w:hAnsi="Times New Roman" w:cs="Times New Roman"/>
          <w:lang w:val="x-none" w:eastAsia="x-none"/>
        </w:rPr>
        <w:t>mely a zárthelyi dolgozatra és a beadott házi feladatra kapott osztályzatok alapján kerül meghatározásra egyszerű számtani átlaggal.</w:t>
      </w:r>
      <w:r w:rsidRPr="00A61929">
        <w:rPr>
          <w:rFonts w:ascii="Times New Roman" w:hAnsi="Times New Roman" w:cs="Times New Roman"/>
        </w:rPr>
        <w:t xml:space="preserve"> Kétes jegy esetén (pl. 3,5) a zárthelyi jegyét súlyozottan kell beszámítani.</w:t>
      </w:r>
    </w:p>
    <w:p w:rsidR="00A61929" w:rsidRPr="00A61929" w:rsidRDefault="00A61929" w:rsidP="00980876">
      <w:pPr>
        <w:widowControl w:val="0"/>
        <w:numPr>
          <w:ilvl w:val="1"/>
          <w:numId w:val="269"/>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A61929">
        <w:rPr>
          <w:rFonts w:ascii="Times New Roman" w:eastAsia="Times New Roman" w:hAnsi="Times New Roman" w:cs="Times New Roman"/>
          <w:b/>
        </w:rPr>
        <w:t>A kreditek megszerzésének feltételei:</w:t>
      </w:r>
      <w:r w:rsidRPr="00A61929">
        <w:rPr>
          <w:rFonts w:ascii="Times New Roman" w:eastAsia="Times New Roman" w:hAnsi="Times New Roman" w:cs="Times New Roman"/>
        </w:rPr>
        <w:t xml:space="preserve"> A kreditek megszerzésének feltétele az aláírás megszerzése és legalább elégséges félévközi jegy.</w:t>
      </w:r>
    </w:p>
    <w:p w:rsidR="00A61929" w:rsidRPr="00A61929" w:rsidRDefault="00A61929" w:rsidP="00980876">
      <w:pPr>
        <w:widowControl w:val="0"/>
        <w:numPr>
          <w:ilvl w:val="0"/>
          <w:numId w:val="269"/>
        </w:numPr>
        <w:tabs>
          <w:tab w:val="num" w:pos="360"/>
        </w:tabs>
        <w:spacing w:before="120" w:after="120" w:line="240" w:lineRule="auto"/>
        <w:ind w:left="426" w:hanging="142"/>
        <w:jc w:val="both"/>
        <w:rPr>
          <w:rFonts w:ascii="Times New Roman" w:eastAsia="Times New Roman" w:hAnsi="Times New Roman" w:cs="Times New Roman"/>
          <w:bCs/>
        </w:rPr>
      </w:pPr>
      <w:r w:rsidRPr="00A61929">
        <w:rPr>
          <w:rFonts w:ascii="Times New Roman" w:eastAsia="Times New Roman" w:hAnsi="Times New Roman" w:cs="Times New Roman"/>
          <w:b/>
          <w:bCs/>
        </w:rPr>
        <w:t>Irodalomjegyzék:</w:t>
      </w:r>
    </w:p>
    <w:p w:rsidR="00A61929" w:rsidRPr="00A61929" w:rsidRDefault="00A61929" w:rsidP="00980876">
      <w:pPr>
        <w:widowControl w:val="0"/>
        <w:numPr>
          <w:ilvl w:val="1"/>
          <w:numId w:val="269"/>
        </w:numPr>
        <w:tabs>
          <w:tab w:val="left" w:pos="567"/>
          <w:tab w:val="left" w:pos="851"/>
          <w:tab w:val="num" w:pos="2069"/>
        </w:tabs>
        <w:spacing w:before="120" w:after="120" w:line="240" w:lineRule="auto"/>
        <w:ind w:left="426" w:hanging="142"/>
        <w:jc w:val="both"/>
        <w:rPr>
          <w:rFonts w:ascii="Times New Roman" w:eastAsia="Times New Roman" w:hAnsi="Times New Roman" w:cs="Times New Roman"/>
          <w:bCs/>
        </w:rPr>
      </w:pPr>
      <w:r w:rsidRPr="00A61929">
        <w:rPr>
          <w:rFonts w:ascii="Times New Roman" w:eastAsia="Times New Roman" w:hAnsi="Times New Roman" w:cs="Times New Roman"/>
          <w:b/>
          <w:bCs/>
        </w:rPr>
        <w:t>Kötelező irodalom:</w:t>
      </w:r>
    </w:p>
    <w:p w:rsidR="00A61929" w:rsidRPr="00A61929" w:rsidRDefault="00A61929" w:rsidP="00980876">
      <w:pPr>
        <w:pStyle w:val="Listaszerbekezds"/>
        <w:numPr>
          <w:ilvl w:val="0"/>
          <w:numId w:val="268"/>
        </w:numPr>
        <w:spacing w:after="0" w:line="240" w:lineRule="auto"/>
        <w:ind w:left="709"/>
        <w:jc w:val="both"/>
        <w:rPr>
          <w:rFonts w:ascii="Times New Roman" w:hAnsi="Times New Roman" w:cs="Times New Roman"/>
        </w:rPr>
      </w:pPr>
      <w:r w:rsidRPr="00A61929">
        <w:rPr>
          <w:rFonts w:ascii="Times New Roman" w:hAnsi="Times New Roman" w:cs="Times New Roman"/>
        </w:rPr>
        <w:t>Dr. Havas P.: Közlekedési technológia (Kiegészítő elektronikus jegyzet, BME Közlekedésüzemi Tanszék, Budapest, 2012. p.59)</w:t>
      </w:r>
    </w:p>
    <w:p w:rsidR="00A61929" w:rsidRPr="00A61929" w:rsidRDefault="00A61929" w:rsidP="00980876">
      <w:pPr>
        <w:pStyle w:val="Listaszerbekezds"/>
        <w:numPr>
          <w:ilvl w:val="0"/>
          <w:numId w:val="268"/>
        </w:numPr>
        <w:spacing w:after="0" w:line="240" w:lineRule="auto"/>
        <w:ind w:left="709"/>
        <w:jc w:val="both"/>
        <w:rPr>
          <w:rFonts w:ascii="Times New Roman" w:hAnsi="Times New Roman" w:cs="Times New Roman"/>
        </w:rPr>
      </w:pPr>
      <w:r w:rsidRPr="00A61929">
        <w:rPr>
          <w:rFonts w:ascii="Times New Roman" w:hAnsi="Times New Roman" w:cs="Times New Roman"/>
        </w:rPr>
        <w:t>Dr. Mátyus J., Szabó L.: Áruszállítási technológiák I. (Széchenyi István Egyetem Távoktatási tagozat, Győr, 1996. ISBN: 200-00000-040-7-2 p.188.)</w:t>
      </w:r>
    </w:p>
    <w:p w:rsidR="00A61929" w:rsidRPr="00A61929" w:rsidRDefault="00A61929" w:rsidP="00980876">
      <w:pPr>
        <w:pStyle w:val="Listaszerbekezds"/>
        <w:numPr>
          <w:ilvl w:val="0"/>
          <w:numId w:val="268"/>
        </w:numPr>
        <w:spacing w:after="0" w:line="240" w:lineRule="auto"/>
        <w:ind w:left="709"/>
        <w:jc w:val="both"/>
        <w:rPr>
          <w:rFonts w:ascii="Times New Roman" w:hAnsi="Times New Roman" w:cs="Times New Roman"/>
        </w:rPr>
      </w:pPr>
      <w:r w:rsidRPr="00A61929">
        <w:rPr>
          <w:rFonts w:ascii="Times New Roman" w:hAnsi="Times New Roman" w:cs="Times New Roman"/>
        </w:rPr>
        <w:t>Dr. Mátyus J., Dr. Szabó L.: Áruszállítási technológiák II. (Széchenyi István Egyetem Távoktatási tagozat, Győr, 2000. ISBN: 200-00000-030-4-2 p.112.)</w:t>
      </w:r>
    </w:p>
    <w:p w:rsidR="00A61929" w:rsidRPr="00A61929" w:rsidRDefault="00A61929" w:rsidP="00980876">
      <w:pPr>
        <w:widowControl w:val="0"/>
        <w:numPr>
          <w:ilvl w:val="1"/>
          <w:numId w:val="269"/>
        </w:numPr>
        <w:tabs>
          <w:tab w:val="num" w:pos="567"/>
          <w:tab w:val="num" w:pos="2069"/>
        </w:tabs>
        <w:spacing w:before="120" w:after="120" w:line="240" w:lineRule="auto"/>
        <w:ind w:left="993" w:hanging="709"/>
        <w:jc w:val="both"/>
        <w:rPr>
          <w:rFonts w:ascii="Times New Roman" w:eastAsia="Times New Roman" w:hAnsi="Times New Roman" w:cs="Times New Roman"/>
          <w:b/>
          <w:bCs/>
        </w:rPr>
      </w:pPr>
      <w:r w:rsidRPr="00A61929">
        <w:rPr>
          <w:rFonts w:ascii="Times New Roman" w:eastAsia="Times New Roman" w:hAnsi="Times New Roman" w:cs="Times New Roman"/>
          <w:b/>
          <w:bCs/>
        </w:rPr>
        <w:t>Ajánlott irodalom:</w:t>
      </w:r>
    </w:p>
    <w:p w:rsidR="00A61929" w:rsidRPr="00A61929" w:rsidRDefault="00A61929" w:rsidP="00980876">
      <w:pPr>
        <w:pStyle w:val="Listaszerbekezds"/>
        <w:numPr>
          <w:ilvl w:val="0"/>
          <w:numId w:val="267"/>
        </w:numPr>
        <w:spacing w:after="0" w:line="240" w:lineRule="auto"/>
        <w:ind w:left="709"/>
        <w:jc w:val="both"/>
        <w:rPr>
          <w:rFonts w:ascii="Times New Roman" w:hAnsi="Times New Roman" w:cs="Times New Roman"/>
        </w:rPr>
      </w:pPr>
      <w:r w:rsidRPr="00A61929">
        <w:rPr>
          <w:rFonts w:ascii="Times New Roman" w:hAnsi="Times New Roman" w:cs="Times New Roman"/>
        </w:rPr>
        <w:t>Földesi P.(szerk.): LOGISZTIKA I–II. elektronikus jegyzet (Készült a HEFOP 3.3.1-P.-2004-09-0102/1.0 pályázat támogatásával) Győr, 2006. p.339.</w:t>
      </w:r>
    </w:p>
    <w:p w:rsidR="00A61929" w:rsidRPr="00A61929" w:rsidRDefault="00A61929" w:rsidP="00980876">
      <w:pPr>
        <w:pStyle w:val="Listaszerbekezds"/>
        <w:numPr>
          <w:ilvl w:val="0"/>
          <w:numId w:val="267"/>
        </w:numPr>
        <w:spacing w:after="0" w:line="240" w:lineRule="auto"/>
        <w:ind w:left="709"/>
        <w:jc w:val="both"/>
        <w:rPr>
          <w:rFonts w:ascii="Times New Roman" w:hAnsi="Times New Roman" w:cs="Times New Roman"/>
        </w:rPr>
      </w:pPr>
      <w:r w:rsidRPr="00A61929">
        <w:rPr>
          <w:rFonts w:ascii="Times New Roman" w:hAnsi="Times New Roman" w:cs="Times New Roman"/>
        </w:rPr>
        <w:t>Arató K.: Vasúti szállítás és infrastruktúra I. (Széchenyi István Egyetem Műszaki Tudományi Kar elektronikus jegyzet Győr, 2009.)</w:t>
      </w:r>
    </w:p>
    <w:p w:rsidR="00A61929" w:rsidRPr="00A61929" w:rsidRDefault="00A61929" w:rsidP="00980876">
      <w:pPr>
        <w:pStyle w:val="Listaszerbekezds"/>
        <w:numPr>
          <w:ilvl w:val="0"/>
          <w:numId w:val="267"/>
        </w:numPr>
        <w:spacing w:after="0" w:line="240" w:lineRule="auto"/>
        <w:ind w:left="709"/>
        <w:jc w:val="both"/>
        <w:rPr>
          <w:rFonts w:ascii="Times New Roman" w:hAnsi="Times New Roman" w:cs="Times New Roman"/>
        </w:rPr>
      </w:pPr>
      <w:r w:rsidRPr="00A61929">
        <w:rPr>
          <w:rFonts w:ascii="Times New Roman" w:hAnsi="Times New Roman" w:cs="Times New Roman"/>
        </w:rPr>
        <w:t>Dr. Szabó L.: Vasúti szállítás és infrastruktúra II. (Széchenyi István Egyetem Műszaki Tudományi Kar elektronikus jegyzet Győr, 2009. ISBN: 978-96981-949-8-8 p.161)</w:t>
      </w:r>
    </w:p>
    <w:p w:rsidR="00A61929" w:rsidRPr="00A61929" w:rsidRDefault="00A61929" w:rsidP="00A61929">
      <w:pPr>
        <w:pStyle w:val="Listaszerbekezds"/>
        <w:widowControl w:val="0"/>
        <w:spacing w:after="0" w:line="240" w:lineRule="auto"/>
        <w:jc w:val="both"/>
        <w:rPr>
          <w:rFonts w:ascii="Times New Roman" w:eastAsia="Times New Roman" w:hAnsi="Times New Roman" w:cs="Times New Roman"/>
          <w:highlight w:val="lightGray"/>
        </w:rPr>
      </w:pPr>
    </w:p>
    <w:p w:rsidR="00A61929" w:rsidRPr="00AC403B" w:rsidRDefault="00A61929" w:rsidP="00A61929">
      <w:pPr>
        <w:widowControl w:val="0"/>
        <w:spacing w:before="120" w:after="120" w:line="240" w:lineRule="auto"/>
        <w:jc w:val="both"/>
        <w:rPr>
          <w:rFonts w:ascii="Times New Roman" w:eastAsia="Times New Roman" w:hAnsi="Times New Roman" w:cs="Times New Roman"/>
          <w:bCs/>
        </w:rPr>
      </w:pPr>
      <w:r>
        <w:rPr>
          <w:rFonts w:ascii="Times New Roman" w:eastAsia="Times New Roman" w:hAnsi="Times New Roman" w:cs="Times New Roman"/>
          <w:bCs/>
        </w:rPr>
        <w:t>Budapest 2020. március     -n</w:t>
      </w:r>
    </w:p>
    <w:p w:rsidR="00A61929" w:rsidRPr="00A61929" w:rsidRDefault="00A61929" w:rsidP="00A61929">
      <w:pPr>
        <w:tabs>
          <w:tab w:val="right" w:pos="900"/>
        </w:tabs>
        <w:spacing w:before="120"/>
        <w:ind w:left="1985" w:hanging="1980"/>
        <w:jc w:val="both"/>
        <w:rPr>
          <w:rFonts w:ascii="Times New Roman" w:hAnsi="Times New Roman" w:cs="Times New Roman"/>
          <w:bCs/>
          <w:lang w:eastAsia="x-none"/>
        </w:rPr>
      </w:pPr>
    </w:p>
    <w:p w:rsidR="00A61929" w:rsidRPr="00A61929" w:rsidRDefault="00A61929" w:rsidP="00A61929">
      <w:pPr>
        <w:tabs>
          <w:tab w:val="right" w:pos="900"/>
        </w:tabs>
        <w:spacing w:after="0"/>
        <w:rPr>
          <w:rFonts w:ascii="Times New Roman" w:hAnsi="Times New Roman" w:cs="Times New Roman"/>
          <w:bCs/>
          <w:lang w:val="x-none" w:eastAsia="x-none"/>
        </w:rPr>
      </w:pPr>
      <w:r w:rsidRPr="00A61929">
        <w:rPr>
          <w:rFonts w:ascii="Times New Roman" w:hAnsi="Times New Roman" w:cs="Times New Roman"/>
          <w:b/>
          <w:lang w:eastAsia="x-none"/>
        </w:rPr>
        <w:tab/>
      </w:r>
      <w:r w:rsidRPr="00A61929">
        <w:rPr>
          <w:rFonts w:ascii="Times New Roman" w:hAnsi="Times New Roman" w:cs="Times New Roman"/>
          <w:b/>
          <w:lang w:eastAsia="x-none"/>
        </w:rPr>
        <w:tab/>
      </w:r>
      <w:r w:rsidRPr="00A61929">
        <w:rPr>
          <w:rFonts w:ascii="Times New Roman" w:hAnsi="Times New Roman" w:cs="Times New Roman"/>
          <w:b/>
          <w:lang w:eastAsia="x-none"/>
        </w:rPr>
        <w:tab/>
      </w:r>
      <w:r w:rsidRPr="00A61929">
        <w:rPr>
          <w:rFonts w:ascii="Times New Roman" w:hAnsi="Times New Roman" w:cs="Times New Roman"/>
          <w:b/>
          <w:lang w:eastAsia="x-none"/>
        </w:rPr>
        <w:tab/>
      </w:r>
      <w:r w:rsidRPr="00A61929">
        <w:rPr>
          <w:rFonts w:ascii="Times New Roman" w:hAnsi="Times New Roman" w:cs="Times New Roman"/>
          <w:b/>
          <w:lang w:eastAsia="x-none"/>
        </w:rPr>
        <w:tab/>
      </w:r>
      <w:r w:rsidRPr="00A61929">
        <w:rPr>
          <w:rFonts w:ascii="Times New Roman" w:hAnsi="Times New Roman" w:cs="Times New Roman"/>
          <w:b/>
          <w:lang w:eastAsia="x-none"/>
        </w:rPr>
        <w:tab/>
        <w:t xml:space="preserve">  </w:t>
      </w:r>
      <w:r w:rsidRPr="00A61929">
        <w:rPr>
          <w:rFonts w:ascii="Times New Roman" w:hAnsi="Times New Roman" w:cs="Times New Roman"/>
          <w:b/>
          <w:lang w:eastAsia="x-none"/>
        </w:rPr>
        <w:tab/>
        <w:t xml:space="preserve">         Dr. Fábos Róbert adjunktus, PhD</w:t>
      </w:r>
    </w:p>
    <w:p w:rsidR="00461CC2" w:rsidRDefault="00A61929" w:rsidP="004A1361">
      <w:pPr>
        <w:spacing w:after="0"/>
        <w:ind w:left="5672" w:firstLine="709"/>
      </w:pPr>
      <w:r w:rsidRPr="00A61929">
        <w:rPr>
          <w:rFonts w:ascii="Times New Roman" w:hAnsi="Times New Roman" w:cs="Times New Roman"/>
          <w:bCs/>
        </w:rPr>
        <w:t>tantárgyfelelős</w:t>
      </w:r>
      <w:r w:rsidR="00461CC2">
        <w:br w:type="page"/>
      </w:r>
    </w:p>
    <w:tbl>
      <w:tblPr>
        <w:tblW w:w="9072" w:type="dxa"/>
        <w:tblInd w:w="113" w:type="dxa"/>
        <w:tblLook w:val="01E0" w:firstRow="1" w:lastRow="1" w:firstColumn="1" w:lastColumn="1" w:noHBand="0" w:noVBand="0"/>
      </w:tblPr>
      <w:tblGrid>
        <w:gridCol w:w="4855"/>
        <w:gridCol w:w="1620"/>
        <w:gridCol w:w="2597"/>
      </w:tblGrid>
      <w:tr w:rsidR="00D00A95" w:rsidRPr="00D00A95" w:rsidTr="00D00A95">
        <w:tc>
          <w:tcPr>
            <w:tcW w:w="4855" w:type="dxa"/>
            <w:tcBorders>
              <w:top w:val="nil"/>
              <w:left w:val="nil"/>
              <w:bottom w:val="single" w:sz="4" w:space="0" w:color="auto"/>
              <w:right w:val="nil"/>
            </w:tcBorders>
            <w:hideMark/>
          </w:tcPr>
          <w:p w:rsidR="00D00A95" w:rsidRPr="00D00A95" w:rsidRDefault="00D00A95">
            <w:pPr>
              <w:spacing w:after="0" w:line="240" w:lineRule="auto"/>
              <w:jc w:val="center"/>
              <w:rPr>
                <w:rFonts w:ascii="Times New Roman" w:eastAsia="Times New Roman" w:hAnsi="Times New Roman" w:cs="Times New Roman"/>
                <w:b/>
                <w:smallCaps/>
                <w:lang w:eastAsia="hu-HU"/>
              </w:rPr>
            </w:pPr>
            <w:r w:rsidRPr="00D00A95">
              <w:rPr>
                <w:rFonts w:ascii="Times New Roman" w:eastAsia="Times New Roman" w:hAnsi="Times New Roman" w:cs="Times New Roman"/>
                <w:b/>
                <w:smallCaps/>
                <w:lang w:eastAsia="hu-HU"/>
              </w:rPr>
              <w:lastRenderedPageBreak/>
              <w:t>Nemzeti Közszolgálati Egyetem</w:t>
            </w:r>
          </w:p>
        </w:tc>
        <w:tc>
          <w:tcPr>
            <w:tcW w:w="1620" w:type="dxa"/>
          </w:tcPr>
          <w:p w:rsidR="00D00A95" w:rsidRPr="00D00A95" w:rsidRDefault="00D00A95">
            <w:pPr>
              <w:spacing w:after="0" w:line="240" w:lineRule="auto"/>
              <w:jc w:val="both"/>
              <w:rPr>
                <w:rFonts w:ascii="Times New Roman" w:eastAsia="Times New Roman" w:hAnsi="Times New Roman" w:cs="Times New Roman"/>
                <w:lang w:eastAsia="hu-HU"/>
              </w:rPr>
            </w:pPr>
          </w:p>
        </w:tc>
        <w:tc>
          <w:tcPr>
            <w:tcW w:w="2597" w:type="dxa"/>
          </w:tcPr>
          <w:p w:rsidR="00D00A95" w:rsidRPr="00D00A95" w:rsidRDefault="00D00A95">
            <w:pPr>
              <w:spacing w:after="0" w:line="240" w:lineRule="auto"/>
              <w:jc w:val="right"/>
              <w:rPr>
                <w:rFonts w:ascii="Times New Roman" w:eastAsia="Times New Roman" w:hAnsi="Times New Roman" w:cs="Times New Roman"/>
                <w:lang w:eastAsia="hu-HU"/>
              </w:rPr>
            </w:pPr>
          </w:p>
        </w:tc>
      </w:tr>
      <w:tr w:rsidR="00D00A95" w:rsidRPr="00D00A95" w:rsidTr="00D00A95">
        <w:tc>
          <w:tcPr>
            <w:tcW w:w="4855" w:type="dxa"/>
            <w:tcBorders>
              <w:top w:val="single" w:sz="4" w:space="0" w:color="auto"/>
              <w:left w:val="nil"/>
              <w:bottom w:val="nil"/>
              <w:right w:val="nil"/>
            </w:tcBorders>
            <w:hideMark/>
          </w:tcPr>
          <w:p w:rsidR="00D00A95" w:rsidRPr="00D00A95" w:rsidRDefault="00D00A95">
            <w:pPr>
              <w:spacing w:after="0" w:line="240" w:lineRule="auto"/>
              <w:jc w:val="center"/>
              <w:rPr>
                <w:rFonts w:ascii="Times New Roman" w:eastAsia="Times New Roman" w:hAnsi="Times New Roman" w:cs="Times New Roman"/>
                <w:b/>
                <w:lang w:eastAsia="hu-HU"/>
              </w:rPr>
            </w:pPr>
            <w:r w:rsidRPr="00D00A95">
              <w:rPr>
                <w:rFonts w:ascii="Times New Roman" w:eastAsia="Times New Roman" w:hAnsi="Times New Roman" w:cs="Times New Roman"/>
                <w:b/>
                <w:lang w:eastAsia="hu-HU"/>
              </w:rPr>
              <w:t>Hadtudományi és Honvédtisztképző Kar</w:t>
            </w:r>
          </w:p>
        </w:tc>
        <w:tc>
          <w:tcPr>
            <w:tcW w:w="1620" w:type="dxa"/>
          </w:tcPr>
          <w:p w:rsidR="00D00A95" w:rsidRPr="00D00A95" w:rsidRDefault="00D00A95">
            <w:pPr>
              <w:spacing w:after="0" w:line="240" w:lineRule="auto"/>
              <w:jc w:val="both"/>
              <w:rPr>
                <w:rFonts w:ascii="Times New Roman" w:eastAsia="Times New Roman" w:hAnsi="Times New Roman" w:cs="Times New Roman"/>
                <w:lang w:eastAsia="hu-HU"/>
              </w:rPr>
            </w:pPr>
          </w:p>
        </w:tc>
        <w:tc>
          <w:tcPr>
            <w:tcW w:w="2597" w:type="dxa"/>
          </w:tcPr>
          <w:p w:rsidR="00D00A95" w:rsidRPr="00D00A95" w:rsidRDefault="00D00A95">
            <w:pPr>
              <w:spacing w:after="0" w:line="240" w:lineRule="auto"/>
              <w:jc w:val="both"/>
              <w:rPr>
                <w:rFonts w:ascii="Times New Roman" w:eastAsia="Times New Roman" w:hAnsi="Times New Roman" w:cs="Times New Roman"/>
                <w:lang w:eastAsia="hu-HU"/>
              </w:rPr>
            </w:pPr>
          </w:p>
        </w:tc>
      </w:tr>
    </w:tbl>
    <w:p w:rsidR="00D00A95" w:rsidRPr="00D00A95" w:rsidRDefault="00D00A95" w:rsidP="00D00A95">
      <w:pPr>
        <w:widowControl w:val="0"/>
        <w:spacing w:before="120" w:after="120" w:line="240" w:lineRule="auto"/>
        <w:ind w:left="426" w:hanging="142"/>
        <w:jc w:val="center"/>
        <w:rPr>
          <w:rFonts w:ascii="Times New Roman" w:eastAsia="Times New Roman" w:hAnsi="Times New Roman" w:cs="Times New Roman"/>
          <w:b/>
          <w:bCs/>
        </w:rPr>
      </w:pPr>
    </w:p>
    <w:p w:rsidR="00D00A95" w:rsidRPr="00D00A95" w:rsidRDefault="00D00A95" w:rsidP="00D00A95">
      <w:pPr>
        <w:widowControl w:val="0"/>
        <w:spacing w:before="120" w:after="120" w:line="240" w:lineRule="auto"/>
        <w:ind w:left="426" w:hanging="142"/>
        <w:jc w:val="center"/>
        <w:rPr>
          <w:rFonts w:ascii="Times New Roman" w:eastAsia="Times New Roman" w:hAnsi="Times New Roman" w:cs="Times New Roman"/>
          <w:b/>
          <w:bCs/>
        </w:rPr>
      </w:pPr>
      <w:r w:rsidRPr="00D00A95">
        <w:rPr>
          <w:rFonts w:ascii="Times New Roman" w:eastAsia="Times New Roman" w:hAnsi="Times New Roman" w:cs="Times New Roman"/>
          <w:b/>
          <w:bCs/>
        </w:rPr>
        <w:t>TANTÁRGYI PROGRAM</w:t>
      </w:r>
    </w:p>
    <w:p w:rsidR="00D00A95" w:rsidRPr="00D00A95" w:rsidRDefault="00D00A95" w:rsidP="00980876">
      <w:pPr>
        <w:widowControl w:val="0"/>
        <w:numPr>
          <w:ilvl w:val="0"/>
          <w:numId w:val="270"/>
        </w:numPr>
        <w:tabs>
          <w:tab w:val="num" w:pos="567"/>
        </w:tabs>
        <w:spacing w:before="120" w:after="120" w:line="240" w:lineRule="auto"/>
        <w:ind w:left="426" w:hanging="142"/>
        <w:jc w:val="both"/>
        <w:rPr>
          <w:rFonts w:ascii="Times New Roman" w:eastAsia="Times New Roman" w:hAnsi="Times New Roman" w:cs="Times New Roman"/>
          <w:b/>
          <w:bCs/>
        </w:rPr>
      </w:pPr>
      <w:r w:rsidRPr="00D00A95">
        <w:rPr>
          <w:rFonts w:ascii="Times New Roman" w:eastAsia="Times New Roman" w:hAnsi="Times New Roman" w:cs="Times New Roman"/>
          <w:b/>
          <w:bCs/>
        </w:rPr>
        <w:t xml:space="preserve">A tantárgy kódja: </w:t>
      </w:r>
      <w:r w:rsidRPr="00D00A95">
        <w:rPr>
          <w:rFonts w:ascii="Times New Roman" w:eastAsia="Times New Roman" w:hAnsi="Times New Roman" w:cs="Times New Roman"/>
          <w:bCs/>
        </w:rPr>
        <w:t>HKHPKA309</w:t>
      </w:r>
    </w:p>
    <w:p w:rsidR="00D00A95" w:rsidRPr="00D00A95" w:rsidRDefault="00D00A95" w:rsidP="00980876">
      <w:pPr>
        <w:widowControl w:val="0"/>
        <w:numPr>
          <w:ilvl w:val="0"/>
          <w:numId w:val="270"/>
        </w:numPr>
        <w:tabs>
          <w:tab w:val="num" w:pos="567"/>
        </w:tabs>
        <w:spacing w:before="120" w:after="120" w:line="240" w:lineRule="auto"/>
        <w:ind w:left="426" w:hanging="142"/>
        <w:jc w:val="both"/>
        <w:rPr>
          <w:rFonts w:ascii="Times New Roman" w:eastAsia="Times New Roman" w:hAnsi="Times New Roman" w:cs="Times New Roman"/>
          <w:b/>
          <w:bCs/>
          <w:lang w:val="en-GB"/>
        </w:rPr>
      </w:pPr>
      <w:r w:rsidRPr="00D00A95">
        <w:rPr>
          <w:rFonts w:ascii="Times New Roman" w:eastAsia="Times New Roman" w:hAnsi="Times New Roman" w:cs="Times New Roman"/>
          <w:b/>
          <w:bCs/>
        </w:rPr>
        <w:t>A tantárgy megnevezése (magyarul):</w:t>
      </w:r>
      <w:r w:rsidRPr="00D00A95">
        <w:rPr>
          <w:rFonts w:ascii="Times New Roman" w:eastAsia="Times New Roman" w:hAnsi="Times New Roman" w:cs="Times New Roman"/>
          <w:bCs/>
        </w:rPr>
        <w:t xml:space="preserve"> </w:t>
      </w:r>
      <w:r w:rsidRPr="00D00A95">
        <w:rPr>
          <w:rFonts w:ascii="Times New Roman" w:hAnsi="Times New Roman" w:cs="Times New Roman"/>
        </w:rPr>
        <w:t>Katonai közlekedés üzemtana</w:t>
      </w:r>
    </w:p>
    <w:p w:rsidR="00D00A95" w:rsidRPr="00D00A95" w:rsidRDefault="00D00A95" w:rsidP="00980876">
      <w:pPr>
        <w:widowControl w:val="0"/>
        <w:numPr>
          <w:ilvl w:val="0"/>
          <w:numId w:val="270"/>
        </w:numPr>
        <w:tabs>
          <w:tab w:val="num" w:pos="567"/>
        </w:tabs>
        <w:spacing w:before="120" w:after="120" w:line="240" w:lineRule="auto"/>
        <w:ind w:left="426" w:hanging="142"/>
        <w:jc w:val="both"/>
        <w:rPr>
          <w:rFonts w:ascii="Times New Roman" w:eastAsia="Times New Roman" w:hAnsi="Times New Roman" w:cs="Times New Roman"/>
          <w:b/>
          <w:bCs/>
          <w:lang w:val="en-GB"/>
        </w:rPr>
      </w:pPr>
      <w:r w:rsidRPr="00D00A95">
        <w:rPr>
          <w:rFonts w:ascii="Times New Roman" w:eastAsia="Times New Roman" w:hAnsi="Times New Roman" w:cs="Times New Roman"/>
          <w:b/>
          <w:bCs/>
        </w:rPr>
        <w:t xml:space="preserve">A tantárgy megnevezése (angolul): </w:t>
      </w:r>
      <w:r w:rsidRPr="00D00A95">
        <w:rPr>
          <w:rFonts w:ascii="Times New Roman" w:hAnsi="Times New Roman" w:cs="Times New Roman"/>
        </w:rPr>
        <w:t>Military Transport Operation</w:t>
      </w:r>
    </w:p>
    <w:p w:rsidR="00D00A95" w:rsidRPr="00D00A95" w:rsidRDefault="00D00A95" w:rsidP="00980876">
      <w:pPr>
        <w:widowControl w:val="0"/>
        <w:numPr>
          <w:ilvl w:val="0"/>
          <w:numId w:val="270"/>
        </w:numPr>
        <w:tabs>
          <w:tab w:val="num" w:pos="567"/>
        </w:tabs>
        <w:spacing w:before="120" w:after="120" w:line="240" w:lineRule="auto"/>
        <w:ind w:left="426" w:hanging="142"/>
        <w:jc w:val="both"/>
        <w:rPr>
          <w:rFonts w:ascii="Times New Roman" w:eastAsia="Times New Roman" w:hAnsi="Times New Roman" w:cs="Times New Roman"/>
          <w:b/>
          <w:bCs/>
        </w:rPr>
      </w:pPr>
      <w:r w:rsidRPr="00D00A95">
        <w:rPr>
          <w:rFonts w:ascii="Times New Roman" w:eastAsia="Times New Roman" w:hAnsi="Times New Roman" w:cs="Times New Roman"/>
          <w:b/>
          <w:bCs/>
        </w:rPr>
        <w:t xml:space="preserve">Kreditérték és képzési karakter: </w:t>
      </w:r>
    </w:p>
    <w:p w:rsidR="00D00A95" w:rsidRPr="00D00A95" w:rsidRDefault="00D00A95" w:rsidP="00980876">
      <w:pPr>
        <w:pStyle w:val="Listaszerbekezds"/>
        <w:widowControl w:val="0"/>
        <w:numPr>
          <w:ilvl w:val="1"/>
          <w:numId w:val="270"/>
        </w:numPr>
        <w:spacing w:before="120" w:after="120" w:line="240" w:lineRule="auto"/>
        <w:ind w:left="993" w:hanging="426"/>
        <w:jc w:val="both"/>
        <w:rPr>
          <w:rFonts w:ascii="Times New Roman" w:eastAsia="Times New Roman" w:hAnsi="Times New Roman" w:cs="Times New Roman"/>
          <w:b/>
          <w:bCs/>
        </w:rPr>
      </w:pPr>
      <w:r w:rsidRPr="00D00A95">
        <w:rPr>
          <w:rFonts w:ascii="Times New Roman" w:eastAsia="Times New Roman" w:hAnsi="Times New Roman" w:cs="Times New Roman"/>
          <w:bCs/>
        </w:rPr>
        <w:t>3 kredit</w:t>
      </w:r>
    </w:p>
    <w:p w:rsidR="00D00A95" w:rsidRPr="00D00A95" w:rsidRDefault="00D00A95" w:rsidP="00980876">
      <w:pPr>
        <w:pStyle w:val="Listaszerbekezds"/>
        <w:widowControl w:val="0"/>
        <w:numPr>
          <w:ilvl w:val="1"/>
          <w:numId w:val="270"/>
        </w:numPr>
        <w:spacing w:before="120" w:after="120" w:line="240" w:lineRule="auto"/>
        <w:ind w:left="993" w:hanging="426"/>
        <w:jc w:val="both"/>
        <w:rPr>
          <w:rFonts w:ascii="Times New Roman" w:eastAsia="Times New Roman" w:hAnsi="Times New Roman" w:cs="Times New Roman"/>
          <w:b/>
          <w:bCs/>
        </w:rPr>
      </w:pPr>
      <w:r w:rsidRPr="00D00A95">
        <w:rPr>
          <w:rFonts w:ascii="Times New Roman" w:eastAsia="Times New Roman" w:hAnsi="Times New Roman" w:cs="Times New Roman"/>
          <w:bCs/>
        </w:rPr>
        <w:t>a tantárgy elméleti vagy gyakorlati jellegének mértéke: 33</w:t>
      </w:r>
      <w:r w:rsidRPr="00D00A95">
        <w:rPr>
          <w:rFonts w:ascii="Times New Roman" w:eastAsia="Times New Roman" w:hAnsi="Times New Roman" w:cs="Times New Roman"/>
          <w:b/>
          <w:bCs/>
        </w:rPr>
        <w:t xml:space="preserve"> </w:t>
      </w:r>
      <w:r w:rsidRPr="00D00A95">
        <w:rPr>
          <w:rFonts w:ascii="Times New Roman" w:eastAsia="Times New Roman" w:hAnsi="Times New Roman" w:cs="Times New Roman"/>
          <w:bCs/>
        </w:rPr>
        <w:t>% gyakorlat, 67 % elmélet</w:t>
      </w:r>
    </w:p>
    <w:p w:rsidR="00D00A95" w:rsidRPr="00D00A95" w:rsidRDefault="00D00A95" w:rsidP="00980876">
      <w:pPr>
        <w:widowControl w:val="0"/>
        <w:numPr>
          <w:ilvl w:val="0"/>
          <w:numId w:val="270"/>
        </w:numPr>
        <w:spacing w:before="120" w:after="120" w:line="240" w:lineRule="auto"/>
        <w:ind w:left="426" w:hanging="142"/>
        <w:jc w:val="both"/>
        <w:rPr>
          <w:rFonts w:ascii="Times New Roman" w:eastAsia="Times New Roman" w:hAnsi="Times New Roman" w:cs="Times New Roman"/>
          <w:bCs/>
        </w:rPr>
      </w:pPr>
      <w:r w:rsidRPr="00D00A95">
        <w:rPr>
          <w:rFonts w:ascii="Times New Roman" w:eastAsia="Times New Roman" w:hAnsi="Times New Roman" w:cs="Times New Roman"/>
          <w:b/>
          <w:bCs/>
        </w:rPr>
        <w:t>A szak(ok), szakirányok/specializációk megnevezése (ahol oktatják):</w:t>
      </w:r>
      <w:r w:rsidRPr="00D00A95">
        <w:rPr>
          <w:rFonts w:ascii="Times New Roman" w:eastAsia="Times New Roman" w:hAnsi="Times New Roman" w:cs="Times New Roman"/>
          <w:bCs/>
        </w:rPr>
        <w:t xml:space="preserve"> Katonai logisztika alapképzési szak, Katonai közlekedési specializáció</w:t>
      </w:r>
    </w:p>
    <w:p w:rsidR="00D00A95" w:rsidRPr="00D00A95" w:rsidRDefault="00D00A95" w:rsidP="00980876">
      <w:pPr>
        <w:widowControl w:val="0"/>
        <w:numPr>
          <w:ilvl w:val="0"/>
          <w:numId w:val="270"/>
        </w:numPr>
        <w:tabs>
          <w:tab w:val="num" w:pos="567"/>
        </w:tabs>
        <w:spacing w:before="120" w:after="120" w:line="240" w:lineRule="auto"/>
        <w:ind w:left="426" w:hanging="142"/>
        <w:jc w:val="both"/>
        <w:rPr>
          <w:rFonts w:ascii="Times New Roman" w:eastAsia="Times New Roman" w:hAnsi="Times New Roman" w:cs="Times New Roman"/>
          <w:bCs/>
        </w:rPr>
      </w:pPr>
      <w:r w:rsidRPr="00D00A95">
        <w:rPr>
          <w:rFonts w:ascii="Times New Roman" w:eastAsia="Times New Roman" w:hAnsi="Times New Roman" w:cs="Times New Roman"/>
          <w:b/>
          <w:bCs/>
        </w:rPr>
        <w:t xml:space="preserve">Az oktatásért felelős oktatási szervezeti egység megnevezése: </w:t>
      </w:r>
      <w:r w:rsidRPr="00D00A95">
        <w:rPr>
          <w:rFonts w:ascii="Times New Roman" w:eastAsia="Times New Roman" w:hAnsi="Times New Roman" w:cs="Times New Roman"/>
          <w:bCs/>
        </w:rPr>
        <w:t>NKE HHK, Hadtáp, Pénzügyi és Katonai Közlekedési Tanszék</w:t>
      </w:r>
    </w:p>
    <w:p w:rsidR="00D00A95" w:rsidRPr="00D00A95" w:rsidRDefault="00D00A95" w:rsidP="00980876">
      <w:pPr>
        <w:widowControl w:val="0"/>
        <w:numPr>
          <w:ilvl w:val="0"/>
          <w:numId w:val="270"/>
        </w:numPr>
        <w:tabs>
          <w:tab w:val="num" w:pos="567"/>
        </w:tabs>
        <w:spacing w:before="120" w:after="120" w:line="240" w:lineRule="auto"/>
        <w:ind w:left="426" w:hanging="142"/>
        <w:jc w:val="both"/>
        <w:rPr>
          <w:rFonts w:ascii="Times New Roman" w:eastAsia="Times New Roman" w:hAnsi="Times New Roman" w:cs="Times New Roman"/>
          <w:bCs/>
        </w:rPr>
      </w:pPr>
      <w:r w:rsidRPr="00D00A95">
        <w:rPr>
          <w:rFonts w:ascii="Times New Roman" w:eastAsia="Times New Roman" w:hAnsi="Times New Roman" w:cs="Times New Roman"/>
          <w:b/>
          <w:bCs/>
        </w:rPr>
        <w:t>A tantárgyfelelős oktató neve, beosztása, tudományos fokozata:</w:t>
      </w:r>
      <w:r w:rsidRPr="00D00A95">
        <w:rPr>
          <w:rFonts w:ascii="Times New Roman" w:eastAsia="Times New Roman" w:hAnsi="Times New Roman" w:cs="Times New Roman"/>
          <w:bCs/>
        </w:rPr>
        <w:t xml:space="preserve"> Dr. Fábos Róbert, PhD, adjunktus</w:t>
      </w:r>
    </w:p>
    <w:p w:rsidR="00D00A95" w:rsidRPr="00D00A95" w:rsidRDefault="00D00A95" w:rsidP="00980876">
      <w:pPr>
        <w:widowControl w:val="0"/>
        <w:numPr>
          <w:ilvl w:val="0"/>
          <w:numId w:val="270"/>
        </w:numPr>
        <w:spacing w:before="120" w:after="120" w:line="240" w:lineRule="auto"/>
        <w:ind w:left="426" w:hanging="142"/>
        <w:jc w:val="both"/>
        <w:rPr>
          <w:rFonts w:ascii="Times New Roman" w:eastAsia="Times New Roman" w:hAnsi="Times New Roman" w:cs="Times New Roman"/>
          <w:bCs/>
        </w:rPr>
      </w:pPr>
      <w:r w:rsidRPr="00D00A95">
        <w:rPr>
          <w:rFonts w:ascii="Times New Roman" w:eastAsia="Times New Roman" w:hAnsi="Times New Roman" w:cs="Times New Roman"/>
          <w:b/>
          <w:bCs/>
        </w:rPr>
        <w:t>A tanórák száma és típusa</w:t>
      </w:r>
    </w:p>
    <w:p w:rsidR="00D00A95" w:rsidRPr="00D00A95" w:rsidRDefault="00D00A95" w:rsidP="00980876">
      <w:pPr>
        <w:widowControl w:val="0"/>
        <w:numPr>
          <w:ilvl w:val="1"/>
          <w:numId w:val="270"/>
        </w:numPr>
        <w:tabs>
          <w:tab w:val="num" w:pos="709"/>
          <w:tab w:val="num" w:pos="2069"/>
        </w:tabs>
        <w:spacing w:before="120" w:after="120" w:line="240" w:lineRule="auto"/>
        <w:ind w:left="851" w:hanging="425"/>
        <w:jc w:val="both"/>
        <w:rPr>
          <w:rFonts w:ascii="Times New Roman" w:eastAsia="Times New Roman" w:hAnsi="Times New Roman" w:cs="Times New Roman"/>
          <w:bCs/>
        </w:rPr>
      </w:pPr>
      <w:r w:rsidRPr="00D00A95">
        <w:rPr>
          <w:rFonts w:ascii="Times New Roman" w:eastAsia="Times New Roman" w:hAnsi="Times New Roman" w:cs="Times New Roman"/>
          <w:bCs/>
        </w:rPr>
        <w:t>össz óraszám/félév: 42</w:t>
      </w:r>
    </w:p>
    <w:p w:rsidR="00D00A95" w:rsidRPr="00D00A95" w:rsidRDefault="00D00A95" w:rsidP="00980876">
      <w:pPr>
        <w:widowControl w:val="0"/>
        <w:numPr>
          <w:ilvl w:val="2"/>
          <w:numId w:val="270"/>
        </w:numPr>
        <w:tabs>
          <w:tab w:val="num" w:pos="709"/>
          <w:tab w:val="num" w:pos="1134"/>
        </w:tabs>
        <w:spacing w:before="120" w:after="120" w:line="240" w:lineRule="auto"/>
        <w:ind w:left="993" w:hanging="425"/>
        <w:jc w:val="both"/>
        <w:rPr>
          <w:rFonts w:ascii="Times New Roman" w:eastAsia="Times New Roman" w:hAnsi="Times New Roman" w:cs="Times New Roman"/>
          <w:bCs/>
        </w:rPr>
      </w:pPr>
      <w:r w:rsidRPr="00D00A95">
        <w:rPr>
          <w:rFonts w:ascii="Times New Roman" w:eastAsia="Times New Roman" w:hAnsi="Times New Roman" w:cs="Times New Roman"/>
          <w:bCs/>
        </w:rPr>
        <w:t xml:space="preserve">nappali munkarend: </w:t>
      </w:r>
      <w:r w:rsidRPr="00D00A95">
        <w:rPr>
          <w:rFonts w:ascii="Times New Roman" w:eastAsia="Times New Roman" w:hAnsi="Times New Roman" w:cs="Times New Roman"/>
        </w:rPr>
        <w:t>42</w:t>
      </w:r>
      <w:r w:rsidRPr="00D00A95">
        <w:rPr>
          <w:rFonts w:ascii="Times New Roman" w:eastAsia="Times New Roman" w:hAnsi="Times New Roman" w:cs="Times New Roman"/>
          <w:bCs/>
        </w:rPr>
        <w:t xml:space="preserve"> (28 EA + 0 SZ + 14 GY)</w:t>
      </w:r>
    </w:p>
    <w:p w:rsidR="00D00A95" w:rsidRPr="00D00A95" w:rsidRDefault="00D00A95" w:rsidP="00980876">
      <w:pPr>
        <w:widowControl w:val="0"/>
        <w:numPr>
          <w:ilvl w:val="2"/>
          <w:numId w:val="270"/>
        </w:numPr>
        <w:tabs>
          <w:tab w:val="num" w:pos="709"/>
          <w:tab w:val="num" w:pos="1134"/>
        </w:tabs>
        <w:spacing w:before="120" w:after="120" w:line="240" w:lineRule="auto"/>
        <w:ind w:left="993" w:hanging="425"/>
        <w:jc w:val="both"/>
        <w:rPr>
          <w:rFonts w:ascii="Times New Roman" w:eastAsia="Times New Roman" w:hAnsi="Times New Roman" w:cs="Times New Roman"/>
          <w:bCs/>
        </w:rPr>
      </w:pPr>
      <w:r w:rsidRPr="00D00A95">
        <w:rPr>
          <w:rFonts w:ascii="Times New Roman" w:eastAsia="Times New Roman" w:hAnsi="Times New Roman" w:cs="Times New Roman"/>
          <w:bCs/>
        </w:rPr>
        <w:t>levelező munkarend: 0 (0 EA + 0 SZ + 0 GY)</w:t>
      </w:r>
    </w:p>
    <w:p w:rsidR="00D00A95" w:rsidRPr="00D00A95" w:rsidRDefault="00D00A95" w:rsidP="00980876">
      <w:pPr>
        <w:widowControl w:val="0"/>
        <w:numPr>
          <w:ilvl w:val="1"/>
          <w:numId w:val="270"/>
        </w:numPr>
        <w:tabs>
          <w:tab w:val="num" w:pos="709"/>
          <w:tab w:val="num" w:pos="2069"/>
        </w:tabs>
        <w:spacing w:before="120" w:after="120" w:line="240" w:lineRule="auto"/>
        <w:ind w:left="851" w:hanging="425"/>
        <w:jc w:val="both"/>
        <w:rPr>
          <w:rFonts w:ascii="Times New Roman" w:eastAsia="Times New Roman" w:hAnsi="Times New Roman" w:cs="Times New Roman"/>
          <w:bCs/>
        </w:rPr>
      </w:pPr>
      <w:r w:rsidRPr="00D00A95">
        <w:rPr>
          <w:rFonts w:ascii="Times New Roman" w:eastAsia="Times New Roman" w:hAnsi="Times New Roman" w:cs="Times New Roman"/>
          <w:bCs/>
        </w:rPr>
        <w:t xml:space="preserve">heti óraszám - nappali munkarend: </w:t>
      </w:r>
      <w:r w:rsidRPr="00D00A95">
        <w:rPr>
          <w:rFonts w:ascii="Times New Roman" w:eastAsia="Times New Roman" w:hAnsi="Times New Roman" w:cs="Times New Roman"/>
        </w:rPr>
        <w:t>3</w:t>
      </w:r>
    </w:p>
    <w:p w:rsidR="00D00A95" w:rsidRPr="00D00A95" w:rsidRDefault="00D00A95" w:rsidP="00980876">
      <w:pPr>
        <w:widowControl w:val="0"/>
        <w:numPr>
          <w:ilvl w:val="1"/>
          <w:numId w:val="270"/>
        </w:numPr>
        <w:tabs>
          <w:tab w:val="num" w:pos="709"/>
          <w:tab w:val="num" w:pos="2069"/>
        </w:tabs>
        <w:spacing w:before="120" w:after="120" w:line="240" w:lineRule="auto"/>
        <w:ind w:left="851" w:hanging="425"/>
        <w:jc w:val="both"/>
        <w:rPr>
          <w:rFonts w:ascii="Times New Roman" w:eastAsia="Times New Roman" w:hAnsi="Times New Roman" w:cs="Times New Roman"/>
          <w:bCs/>
        </w:rPr>
      </w:pPr>
      <w:r w:rsidRPr="00D00A95">
        <w:rPr>
          <w:rFonts w:ascii="Times New Roman" w:hAnsi="Times New Roman" w:cs="Times New Roman"/>
        </w:rPr>
        <w:t>Az ismeret átadásában alkalmazandó további sajátos módok, jellemzők: -</w:t>
      </w:r>
    </w:p>
    <w:p w:rsidR="00D00A95" w:rsidRPr="00D00A95" w:rsidRDefault="00D00A95" w:rsidP="00980876">
      <w:pPr>
        <w:widowControl w:val="0"/>
        <w:numPr>
          <w:ilvl w:val="0"/>
          <w:numId w:val="270"/>
        </w:numPr>
        <w:spacing w:before="120" w:after="120" w:line="240" w:lineRule="auto"/>
        <w:ind w:left="426" w:hanging="142"/>
        <w:jc w:val="both"/>
        <w:rPr>
          <w:rFonts w:ascii="Times New Roman" w:eastAsia="Times New Roman" w:hAnsi="Times New Roman" w:cs="Times New Roman"/>
          <w:bCs/>
        </w:rPr>
      </w:pPr>
      <w:r w:rsidRPr="00D00A95">
        <w:rPr>
          <w:rFonts w:ascii="Times New Roman" w:eastAsia="Times New Roman" w:hAnsi="Times New Roman" w:cs="Times New Roman"/>
          <w:b/>
          <w:bCs/>
        </w:rPr>
        <w:t>A tantárgy szakmai tartalma (magyarul):</w:t>
      </w:r>
      <w:r w:rsidRPr="00D00A95">
        <w:rPr>
          <w:rFonts w:ascii="Times New Roman" w:eastAsia="Times New Roman" w:hAnsi="Times New Roman" w:cs="Times New Roman"/>
          <w:bCs/>
        </w:rPr>
        <w:t xml:space="preserve"> </w:t>
      </w:r>
      <w:r w:rsidRPr="00D00A95">
        <w:rPr>
          <w:rFonts w:ascii="Times New Roman" w:hAnsi="Times New Roman" w:cs="Times New Roman"/>
        </w:rPr>
        <w:t>A közlekedés teljesítőképessége, alapfogalmak, definíciók, alapösszefüggések. Áruszállítással kapcsolatos alapfogalmak. Az áruszállítási igények oka, befolyásoló tényezői. Áruszállító járattípusok. A vezénylés fogalma, fajtái, elkészítését befolyásoló tényezők.  A közúti közlekedés üzemtani paraméterei. A járműállományt jellemző mutatószámok. A járműállomány kihasználását jellemző mutatószámok, az állomány kihasználásának elemzése. A szállítási idővel és a futásteljesítménnyel kapcsolatos mutatószámok, sebességfogalmak. A szállítási teljesítmény. Üzemi és hasznos teljesítmény, a teljesítmény létrehozásának összetevői. Termelési volumenfüggvények és azok elemzése. A közúti anyagszállítás üzemi és teljesítménymutatói, színvonal paraméterei. A katonai közúti szállítások matematikai összefüggései.</w:t>
      </w:r>
    </w:p>
    <w:p w:rsidR="00D00A95" w:rsidRPr="00D00A95" w:rsidRDefault="00D00A95" w:rsidP="00D00A95">
      <w:pPr>
        <w:widowControl w:val="0"/>
        <w:spacing w:before="120" w:after="120" w:line="240" w:lineRule="auto"/>
        <w:ind w:left="426"/>
        <w:jc w:val="both"/>
        <w:rPr>
          <w:rFonts w:ascii="Times New Roman" w:eastAsia="Times New Roman" w:hAnsi="Times New Roman" w:cs="Times New Roman"/>
          <w:bCs/>
          <w:lang w:val="en-GB"/>
        </w:rPr>
      </w:pPr>
      <w:r w:rsidRPr="00D00A95">
        <w:rPr>
          <w:rFonts w:ascii="Times New Roman" w:eastAsia="Times New Roman" w:hAnsi="Times New Roman" w:cs="Times New Roman"/>
          <w:b/>
          <w:bCs/>
        </w:rPr>
        <w:t>A tantárgy szakmai tartalma (angolul) (</w:t>
      </w:r>
      <w:r w:rsidRPr="00D00A95">
        <w:rPr>
          <w:rFonts w:ascii="Times New Roman" w:eastAsia="Times New Roman" w:hAnsi="Times New Roman" w:cs="Times New Roman"/>
          <w:b/>
          <w:bCs/>
          <w:lang w:val="en-US"/>
        </w:rPr>
        <w:t>Course description</w:t>
      </w:r>
      <w:r w:rsidRPr="00D00A95">
        <w:rPr>
          <w:rFonts w:ascii="Times New Roman" w:eastAsia="Times New Roman" w:hAnsi="Times New Roman" w:cs="Times New Roman"/>
          <w:b/>
          <w:bCs/>
        </w:rPr>
        <w:t xml:space="preserve">): </w:t>
      </w:r>
      <w:r w:rsidRPr="00D00A95">
        <w:rPr>
          <w:rFonts w:ascii="Times New Roman" w:hAnsi="Times New Roman" w:cs="Times New Roman"/>
          <w:bCs/>
        </w:rPr>
        <w:t>Performance of transportation, concepts, definitions, basics. Fundamental conceptions concerning Carriage. The cause and the influencing factors of transportation needs. Freight Types. Concepts, types, of commanding and factors of the creating. The operating parameters of road transport. Characteristics of the vehicle fleet. Characteristics of utilization of vehicle fleet, analysis of stock exploitation. Indicators and speeds related to delivery time and mileage. Delivery performance. Operational and useful performance, components of performance creation. Production volume functions and their analysis. Operating and performance indicators of road material transport and standard parameters. Mathematical relationships of the military road transportation.</w:t>
      </w:r>
    </w:p>
    <w:p w:rsidR="004A1361" w:rsidRDefault="004A1361">
      <w:pPr>
        <w:spacing w:after="200" w:line="276" w:lineRule="auto"/>
        <w:rPr>
          <w:rFonts w:ascii="Times New Roman" w:eastAsia="Times New Roman" w:hAnsi="Times New Roman" w:cs="Times New Roman"/>
          <w:b/>
          <w:bCs/>
        </w:rPr>
      </w:pPr>
      <w:r>
        <w:rPr>
          <w:rFonts w:ascii="Times New Roman" w:eastAsia="Times New Roman" w:hAnsi="Times New Roman" w:cs="Times New Roman"/>
          <w:b/>
          <w:bCs/>
        </w:rPr>
        <w:br w:type="page"/>
      </w:r>
    </w:p>
    <w:p w:rsidR="00D00A95" w:rsidRPr="00D00A95" w:rsidRDefault="00D00A95" w:rsidP="00980876">
      <w:pPr>
        <w:pStyle w:val="Listaszerbekezds"/>
        <w:widowControl w:val="0"/>
        <w:numPr>
          <w:ilvl w:val="0"/>
          <w:numId w:val="270"/>
        </w:numPr>
        <w:spacing w:before="120" w:after="120" w:line="240" w:lineRule="auto"/>
        <w:jc w:val="both"/>
        <w:rPr>
          <w:rFonts w:ascii="Times New Roman" w:eastAsia="Times New Roman" w:hAnsi="Times New Roman" w:cs="Times New Roman"/>
          <w:bCs/>
        </w:rPr>
      </w:pPr>
      <w:r w:rsidRPr="00D00A95">
        <w:rPr>
          <w:rFonts w:ascii="Times New Roman" w:eastAsia="Times New Roman" w:hAnsi="Times New Roman" w:cs="Times New Roman"/>
          <w:b/>
          <w:bCs/>
        </w:rPr>
        <w:lastRenderedPageBreak/>
        <w:t xml:space="preserve">Elérendő kompetenciák (magyarul): </w:t>
      </w:r>
    </w:p>
    <w:p w:rsidR="00D00A95" w:rsidRPr="00D00A95" w:rsidRDefault="00D00A95" w:rsidP="00D00A95">
      <w:pPr>
        <w:autoSpaceDE w:val="0"/>
        <w:autoSpaceDN w:val="0"/>
        <w:adjustRightInd w:val="0"/>
        <w:spacing w:before="120" w:after="0" w:line="240" w:lineRule="auto"/>
        <w:ind w:left="425"/>
        <w:jc w:val="both"/>
        <w:rPr>
          <w:rFonts w:ascii="Times New Roman" w:eastAsia="Times New Roman" w:hAnsi="Times New Roman" w:cs="Times New Roman"/>
          <w:b/>
          <w:bCs/>
        </w:rPr>
      </w:pPr>
      <w:r w:rsidRPr="00D00A95">
        <w:rPr>
          <w:rFonts w:ascii="Times New Roman" w:eastAsia="Times New Roman" w:hAnsi="Times New Roman" w:cs="Times New Roman"/>
          <w:b/>
          <w:bCs/>
        </w:rPr>
        <w:t xml:space="preserve">Tudása: </w:t>
      </w:r>
    </w:p>
    <w:p w:rsidR="00D00A95" w:rsidRPr="00D00A95" w:rsidRDefault="00D00A95"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D00A95">
        <w:rPr>
          <w:rFonts w:ascii="Times New Roman" w:hAnsi="Times New Roman" w:cs="Times New Roman"/>
        </w:rPr>
        <w:t>Ismeri a katonai közlekedési szakterülethez szervesen kapcsolódó logisztikai, menedzsment, környezetvédelmi, minőségbiztosítási, információtechnológiai, jogi, közgazdasági szakterületek alapjait és követelményeit.</w:t>
      </w:r>
    </w:p>
    <w:p w:rsidR="00D00A95" w:rsidRPr="00D00A95" w:rsidRDefault="00D00A95"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D00A95">
        <w:rPr>
          <w:rFonts w:ascii="Times New Roman" w:hAnsi="Times New Roman" w:cs="Times New Roman"/>
        </w:rPr>
        <w:t>Ismeri a katonai közlekedési szakterület szaktechnikai eszközeit, a közlekedési pályákat és létesítményeiket, azok igénybevételének és üzemeltetésének szabályait.</w:t>
      </w:r>
    </w:p>
    <w:p w:rsidR="00D00A95" w:rsidRPr="00D00A95" w:rsidRDefault="00D00A95"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D00A95">
        <w:rPr>
          <w:rFonts w:ascii="Times New Roman" w:hAnsi="Times New Roman" w:cs="Times New Roman"/>
        </w:rPr>
        <w:t>Ismeri a katonai közlekedési szakanyagok készletezésének, tárolásának, nyilvántartásának és leltározásának, valamint ezen folyamatok ellenőrzésének feladatait és kötelezettségeit.</w:t>
      </w:r>
    </w:p>
    <w:p w:rsidR="00D00A95" w:rsidRPr="00D00A95" w:rsidRDefault="00D00A95"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D00A95">
        <w:rPr>
          <w:rFonts w:ascii="Times New Roman" w:hAnsi="Times New Roman" w:cs="Times New Roman"/>
        </w:rPr>
        <w:t>Mélyrehatóan ismeri a katonai közlekedési szakterület szakmai feladatait, a közlekedési szakfeladatok rendszerét, az egyes feladatok végrehajtásának sajátosságait.</w:t>
      </w:r>
    </w:p>
    <w:p w:rsidR="00D00A95" w:rsidRPr="00D00A95" w:rsidRDefault="00D00A95"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D00A95">
        <w:rPr>
          <w:rFonts w:ascii="Times New Roman" w:hAnsi="Times New Roman" w:cs="Times New Roman"/>
        </w:rPr>
        <w:t>Ismeri a katonai közlekedési igények felmérésének módszereit és megvalósítási lehetőségeit, gyakorlatát.</w:t>
      </w:r>
    </w:p>
    <w:p w:rsidR="00D00A95" w:rsidRPr="00D00A95" w:rsidRDefault="00D00A95" w:rsidP="00D00A95">
      <w:pPr>
        <w:autoSpaceDE w:val="0"/>
        <w:autoSpaceDN w:val="0"/>
        <w:adjustRightInd w:val="0"/>
        <w:spacing w:before="120" w:after="0" w:line="240" w:lineRule="auto"/>
        <w:ind w:left="425"/>
        <w:jc w:val="both"/>
        <w:rPr>
          <w:rFonts w:ascii="Times New Roman" w:eastAsia="Times New Roman" w:hAnsi="Times New Roman" w:cs="Times New Roman"/>
          <w:bCs/>
        </w:rPr>
      </w:pPr>
      <w:r w:rsidRPr="00D00A95">
        <w:rPr>
          <w:rFonts w:ascii="Times New Roman" w:eastAsia="Times New Roman" w:hAnsi="Times New Roman" w:cs="Times New Roman"/>
          <w:b/>
          <w:bCs/>
        </w:rPr>
        <w:t>Képességei:</w:t>
      </w:r>
      <w:r w:rsidRPr="00D00A95">
        <w:rPr>
          <w:rFonts w:ascii="Times New Roman" w:eastAsia="Times New Roman" w:hAnsi="Times New Roman" w:cs="Times New Roman"/>
          <w:bCs/>
        </w:rPr>
        <w:t xml:space="preserve"> </w:t>
      </w:r>
    </w:p>
    <w:p w:rsidR="00D00A95" w:rsidRPr="00D00A95" w:rsidRDefault="00D00A95"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D00A95">
        <w:rPr>
          <w:rFonts w:ascii="Times New Roman" w:hAnsi="Times New Roman" w:cs="Times New Roman"/>
        </w:rPr>
        <w:t>Az általános és specifikus katonai ismeretei és készségei birtokában képes a katonai közlekedési, mozgatási, szállítási feladatok tervezésére, szervezésére és vezetésére.</w:t>
      </w:r>
    </w:p>
    <w:p w:rsidR="00D00A95" w:rsidRPr="00D00A95" w:rsidRDefault="00D00A95"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D00A95">
        <w:rPr>
          <w:rFonts w:ascii="Times New Roman" w:hAnsi="Times New Roman" w:cs="Times New Roman"/>
        </w:rPr>
        <w:t>Képes békeidőszakban, válságkezelő, katasztrófa-elhárítási, béketámogató és háborús műveletekben, nemzeti és többnemzeti környezetben a szállító szakalegységek alaprendeltetéséből fakadó feladatai végrehajtásának vezetésére.</w:t>
      </w:r>
    </w:p>
    <w:p w:rsidR="00D00A95" w:rsidRPr="00D00A95" w:rsidRDefault="00D00A95"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D00A95">
        <w:rPr>
          <w:rFonts w:ascii="Times New Roman" w:hAnsi="Times New Roman" w:cs="Times New Roman"/>
        </w:rPr>
        <w:t>Képes a közlekedési hálózatok katonai célú alkalmazásának tervezésére, szervezésére és végrehajtására.</w:t>
      </w:r>
    </w:p>
    <w:p w:rsidR="00D00A95" w:rsidRPr="00D00A95" w:rsidRDefault="00D00A95"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D00A95">
        <w:rPr>
          <w:rFonts w:ascii="Times New Roman" w:hAnsi="Times New Roman" w:cs="Times New Roman"/>
        </w:rPr>
        <w:t>Képes a közlekedési folyamatokat támogató közlekedésinformatikai rendszerek alkalmazására, az azokkal kapcsolatos felhasználói alapkövetelmények megfogalmazására.</w:t>
      </w:r>
    </w:p>
    <w:p w:rsidR="00D00A95" w:rsidRPr="00D00A95" w:rsidRDefault="00D00A95" w:rsidP="00D00A95">
      <w:pPr>
        <w:autoSpaceDE w:val="0"/>
        <w:autoSpaceDN w:val="0"/>
        <w:adjustRightInd w:val="0"/>
        <w:spacing w:before="120" w:after="0" w:line="240" w:lineRule="auto"/>
        <w:ind w:left="425"/>
        <w:jc w:val="both"/>
        <w:rPr>
          <w:rFonts w:ascii="Times New Roman" w:eastAsia="Times New Roman" w:hAnsi="Times New Roman" w:cs="Times New Roman"/>
          <w:b/>
          <w:bCs/>
        </w:rPr>
      </w:pPr>
      <w:r w:rsidRPr="00D00A95">
        <w:rPr>
          <w:rFonts w:ascii="Times New Roman" w:eastAsia="Times New Roman" w:hAnsi="Times New Roman" w:cs="Times New Roman"/>
          <w:b/>
          <w:bCs/>
        </w:rPr>
        <w:t xml:space="preserve">Attitűdje: </w:t>
      </w:r>
    </w:p>
    <w:p w:rsidR="00D00A95" w:rsidRPr="00D00A95" w:rsidRDefault="00D00A95"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D00A95">
        <w:rPr>
          <w:rFonts w:ascii="Times New Roman" w:hAnsi="Times New Roman" w:cs="Times New Roman"/>
        </w:rPr>
        <w:t>Nyitott a katonai közlekedési szakterületen zajló szakmai, technológiai fejlesztés és innováció megismerésére és elfogadására, hiteles közvetítésére és azok mindennapi munkájába való beillesztésére.</w:t>
      </w:r>
    </w:p>
    <w:p w:rsidR="00D00A95" w:rsidRPr="00D00A95" w:rsidRDefault="00D00A95"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D00A95">
        <w:rPr>
          <w:rFonts w:ascii="Times New Roman" w:hAnsi="Times New Roman" w:cs="Times New Roman"/>
        </w:rPr>
        <w:t>Törekszik arra, hogy önképzése a katonai közlekedési szakterületen folyamatos és szakmai céljaival megegyező legyen.</w:t>
      </w:r>
    </w:p>
    <w:p w:rsidR="00D00A95" w:rsidRPr="00D00A95" w:rsidRDefault="00D00A95"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D00A95">
        <w:rPr>
          <w:rFonts w:ascii="Times New Roman" w:hAnsi="Times New Roman" w:cs="Times New Roman"/>
        </w:rPr>
        <w:t>Elkötelezett a minőségi szakmai munkavégzés iránt, különös tekintettel a közlekedési, szállítási feladatok és folyamatok biztonságos végrehajtására.</w:t>
      </w:r>
    </w:p>
    <w:p w:rsidR="00D00A95" w:rsidRPr="00D00A95" w:rsidRDefault="00D00A95"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D00A95">
        <w:rPr>
          <w:rFonts w:ascii="Times New Roman" w:hAnsi="Times New Roman" w:cs="Times New Roman"/>
        </w:rPr>
        <w:t>Figyel beosztottjai szakmai fejlődésének előmozdítására, ilyen irányú törekvéseik kezelésére és segítésére.</w:t>
      </w:r>
    </w:p>
    <w:p w:rsidR="00D00A95" w:rsidRPr="00D00A95" w:rsidRDefault="00D00A95"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D00A95">
        <w:rPr>
          <w:rFonts w:ascii="Times New Roman" w:hAnsi="Times New Roman" w:cs="Times New Roman"/>
        </w:rPr>
        <w:t>Megosztja tapasztalatait munkatársaival, így segítve fejlődésüket.</w:t>
      </w:r>
    </w:p>
    <w:p w:rsidR="00D00A95" w:rsidRPr="00D00A95" w:rsidRDefault="00D00A95" w:rsidP="00D00A95">
      <w:pPr>
        <w:autoSpaceDE w:val="0"/>
        <w:autoSpaceDN w:val="0"/>
        <w:adjustRightInd w:val="0"/>
        <w:spacing w:before="120" w:after="0" w:line="240" w:lineRule="auto"/>
        <w:ind w:left="425"/>
        <w:jc w:val="both"/>
        <w:rPr>
          <w:rFonts w:ascii="Times New Roman" w:eastAsia="Times New Roman" w:hAnsi="Times New Roman" w:cs="Times New Roman"/>
          <w:b/>
          <w:bCs/>
        </w:rPr>
      </w:pPr>
      <w:r w:rsidRPr="00D00A95">
        <w:rPr>
          <w:rFonts w:ascii="Times New Roman" w:eastAsia="Times New Roman" w:hAnsi="Times New Roman" w:cs="Times New Roman"/>
          <w:b/>
          <w:bCs/>
        </w:rPr>
        <w:t xml:space="preserve">Autonómiája és felelőssége: </w:t>
      </w:r>
    </w:p>
    <w:p w:rsidR="00D00A95" w:rsidRPr="00D00A95" w:rsidRDefault="00D00A95"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D00A95">
        <w:rPr>
          <w:rFonts w:ascii="Times New Roman" w:hAnsi="Times New Roman" w:cs="Times New Roman"/>
        </w:rPr>
        <w:t>A katonai közlekedés szakterületén megjelenő folyamatokban képes önállóan döntéseket hozni, azokat felelősséggel, a jogszabályi keretek figyelembevételével végrehajtani.</w:t>
      </w:r>
    </w:p>
    <w:p w:rsidR="00D00A95" w:rsidRPr="00D00A95" w:rsidRDefault="00D00A95"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D00A95">
        <w:rPr>
          <w:rFonts w:ascii="Times New Roman" w:hAnsi="Times New Roman" w:cs="Times New Roman"/>
        </w:rPr>
        <w:t>Tisztában van döntéseinek, tevékenységének a katonai logisztikai folyamatok egészére gyakorolt hatásaival, következményeivel.</w:t>
      </w:r>
    </w:p>
    <w:p w:rsidR="00D00A95" w:rsidRPr="00D00A95" w:rsidRDefault="00D00A95"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D00A95">
        <w:rPr>
          <w:rFonts w:ascii="Times New Roman" w:hAnsi="Times New Roman" w:cs="Times New Roman"/>
        </w:rPr>
        <w:t>Szakmai feladatainak elvégzése során felelősségteljesen együttműködik más szakterület képzett szakembereivel is.</w:t>
      </w:r>
    </w:p>
    <w:p w:rsidR="00D00A95" w:rsidRPr="00D00A95" w:rsidRDefault="00D00A95"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D00A95">
        <w:rPr>
          <w:rFonts w:ascii="Times New Roman" w:hAnsi="Times New Roman" w:cs="Times New Roman"/>
        </w:rPr>
        <w:t>Feltárja az alkalmazott technológiák hiányosságait, a folyamatok kockázatait és kezdeményezi az ezeket csökkentő intézkedések megtételét.</w:t>
      </w:r>
    </w:p>
    <w:p w:rsidR="00D00A95" w:rsidRPr="00D00A95" w:rsidRDefault="00D00A95"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D00A95">
        <w:rPr>
          <w:rFonts w:ascii="Times New Roman" w:hAnsi="Times New Roman" w:cs="Times New Roman"/>
        </w:rPr>
        <w:t>Parancsnokának útmutatása alapján irányítja a rábízott személyi állomány munkavégzését, felügyeli a közlekedési, szállítási folyamatok tervezését, szervezését, végrehajtását, a közlekedési szaktechnikai eszközök üzemeltetését.</w:t>
      </w:r>
    </w:p>
    <w:p w:rsidR="00D00A95" w:rsidRPr="00D00A95" w:rsidRDefault="00D00A95"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D00A95">
        <w:rPr>
          <w:rFonts w:ascii="Times New Roman" w:hAnsi="Times New Roman" w:cs="Times New Roman"/>
        </w:rPr>
        <w:t>Értékeli a beosztottak munkavégzésének hatékonyságát, eredményességét.</w:t>
      </w:r>
    </w:p>
    <w:p w:rsidR="00D00A95" w:rsidRPr="00D00A95" w:rsidRDefault="00D00A95" w:rsidP="00D00A95">
      <w:pPr>
        <w:widowControl w:val="0"/>
        <w:spacing w:before="120" w:after="120" w:line="240" w:lineRule="auto"/>
        <w:ind w:left="426"/>
        <w:jc w:val="both"/>
        <w:rPr>
          <w:rFonts w:ascii="Times New Roman" w:eastAsia="Times New Roman" w:hAnsi="Times New Roman" w:cs="Times New Roman"/>
          <w:b/>
          <w:bCs/>
          <w:lang w:val="en-US"/>
        </w:rPr>
      </w:pPr>
      <w:r w:rsidRPr="00D00A95">
        <w:rPr>
          <w:rFonts w:ascii="Times New Roman" w:eastAsia="Times New Roman" w:hAnsi="Times New Roman" w:cs="Times New Roman"/>
          <w:b/>
          <w:bCs/>
        </w:rPr>
        <w:t>Elérendő kompetenciák (angolul) (</w:t>
      </w:r>
      <w:r w:rsidRPr="00D00A95">
        <w:rPr>
          <w:rFonts w:ascii="Times New Roman" w:eastAsia="Times New Roman" w:hAnsi="Times New Roman" w:cs="Times New Roman"/>
          <w:b/>
          <w:bCs/>
          <w:lang w:val="en-US"/>
        </w:rPr>
        <w:t xml:space="preserve">Competences – English): </w:t>
      </w:r>
    </w:p>
    <w:p w:rsidR="00D00A95" w:rsidRPr="00D00A95" w:rsidRDefault="00D00A95" w:rsidP="00D00A95">
      <w:pPr>
        <w:widowControl w:val="0"/>
        <w:spacing w:before="120" w:after="120" w:line="240" w:lineRule="auto"/>
        <w:ind w:left="426"/>
        <w:jc w:val="both"/>
        <w:rPr>
          <w:rFonts w:ascii="Times New Roman" w:eastAsia="Times New Roman" w:hAnsi="Times New Roman" w:cs="Times New Roman"/>
          <w:lang w:val="en-GB"/>
        </w:rPr>
      </w:pPr>
      <w:r w:rsidRPr="00D00A95">
        <w:rPr>
          <w:rFonts w:ascii="Times New Roman" w:eastAsia="Times New Roman" w:hAnsi="Times New Roman" w:cs="Times New Roman"/>
          <w:b/>
          <w:lang w:val="en-GB"/>
        </w:rPr>
        <w:t>Knowledge</w:t>
      </w:r>
      <w:r w:rsidRPr="00D00A95">
        <w:rPr>
          <w:rFonts w:ascii="Times New Roman" w:eastAsia="Times New Roman" w:hAnsi="Times New Roman" w:cs="Times New Roman"/>
          <w:lang w:val="en-GB"/>
        </w:rPr>
        <w:t xml:space="preserve">: </w:t>
      </w:r>
    </w:p>
    <w:p w:rsidR="00D00A95" w:rsidRPr="00D00A95" w:rsidRDefault="00D00A95"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D00A95">
        <w:rPr>
          <w:rFonts w:ascii="Times New Roman" w:hAnsi="Times New Roman" w:cs="Times New Roman"/>
        </w:rPr>
        <w:t>Knows the basics and requirements of logistics, management, environmental protection, quality assurance, information technology, law and economics, connected to the field of military transportation.</w:t>
      </w:r>
    </w:p>
    <w:p w:rsidR="00D00A95" w:rsidRPr="00D00A95" w:rsidRDefault="00D00A95"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D00A95">
        <w:rPr>
          <w:rFonts w:ascii="Times New Roman" w:hAnsi="Times New Roman" w:cs="Times New Roman"/>
        </w:rPr>
        <w:lastRenderedPageBreak/>
        <w:t>Is familiar with the technical equipment used in military transportation, the transportation modes and facilities, and the rules of their use and operation.</w:t>
      </w:r>
    </w:p>
    <w:p w:rsidR="00D00A95" w:rsidRPr="00D00A95" w:rsidRDefault="00D00A95"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D00A95">
        <w:rPr>
          <w:rFonts w:ascii="Times New Roman" w:hAnsi="Times New Roman" w:cs="Times New Roman"/>
        </w:rPr>
        <w:t>Is familiar with the tasks and responsibilities of stockpiling, storing, registering and inventorying of military transportation assets and is able to control these processes.</w:t>
      </w:r>
    </w:p>
    <w:p w:rsidR="00D00A95" w:rsidRPr="00D00A95" w:rsidRDefault="00D00A95"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D00A95">
        <w:rPr>
          <w:rFonts w:ascii="Times New Roman" w:hAnsi="Times New Roman" w:cs="Times New Roman"/>
        </w:rPr>
        <w:t>Has a profound knowledge of the tasks and the system of military transportation and the unique characteristics of performing each task.</w:t>
      </w:r>
    </w:p>
    <w:p w:rsidR="00D00A95" w:rsidRPr="00D00A95" w:rsidRDefault="00D00A95"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D00A95">
        <w:rPr>
          <w:rFonts w:ascii="Times New Roman" w:hAnsi="Times New Roman" w:cs="Times New Roman"/>
        </w:rPr>
        <w:t>Is familiar with the methods of assessing the requirements of military transportation and its feasibility and practical implementation.</w:t>
      </w:r>
    </w:p>
    <w:p w:rsidR="00D00A95" w:rsidRPr="00D00A95" w:rsidRDefault="00D00A95" w:rsidP="00D00A95">
      <w:pPr>
        <w:widowControl w:val="0"/>
        <w:spacing w:before="120" w:after="120" w:line="240" w:lineRule="auto"/>
        <w:ind w:left="426"/>
        <w:jc w:val="both"/>
        <w:rPr>
          <w:rFonts w:ascii="Times New Roman" w:eastAsia="Times New Roman" w:hAnsi="Times New Roman" w:cs="Times New Roman"/>
          <w:b/>
          <w:lang w:val="en-GB"/>
        </w:rPr>
      </w:pPr>
      <w:r w:rsidRPr="00D00A95">
        <w:rPr>
          <w:rFonts w:ascii="Times New Roman" w:eastAsia="Times New Roman" w:hAnsi="Times New Roman" w:cs="Times New Roman"/>
          <w:b/>
          <w:lang w:val="en-GB"/>
        </w:rPr>
        <w:t>Capabilities:</w:t>
      </w:r>
    </w:p>
    <w:p w:rsidR="00D00A95" w:rsidRPr="00D00A95" w:rsidRDefault="00D00A95"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D00A95">
        <w:rPr>
          <w:rFonts w:ascii="Times New Roman" w:hAnsi="Times New Roman" w:cs="Times New Roman"/>
        </w:rPr>
        <w:t>Using his/her general and specialized military knowledge and skills, he/she is capable of planning, organizing, and conducting military transport, movement, and transportation tasks.</w:t>
      </w:r>
    </w:p>
    <w:p w:rsidR="00D00A95" w:rsidRPr="00D00A95" w:rsidRDefault="00D00A95"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D00A95">
        <w:rPr>
          <w:rFonts w:ascii="Times New Roman" w:hAnsi="Times New Roman" w:cs="Times New Roman"/>
        </w:rPr>
        <w:t>Is capable of leading the execution of the tasks of a military transportation subunit in peace time and in crisis response, disaster relief, peace support and combat operations both in a national and a multinational environment.</w:t>
      </w:r>
    </w:p>
    <w:p w:rsidR="00D00A95" w:rsidRPr="00D00A95" w:rsidRDefault="00D00A95"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D00A95">
        <w:rPr>
          <w:rFonts w:ascii="Times New Roman" w:hAnsi="Times New Roman" w:cs="Times New Roman"/>
        </w:rPr>
        <w:t>Is capable of planning, organizing and executing the tasks related to the application of traffic networks for military purposes.</w:t>
      </w:r>
    </w:p>
    <w:p w:rsidR="00D00A95" w:rsidRPr="00D00A95" w:rsidRDefault="00D00A95"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D00A95">
        <w:rPr>
          <w:rFonts w:ascii="Times New Roman" w:hAnsi="Times New Roman" w:cs="Times New Roman"/>
        </w:rPr>
        <w:t>Is capable of applying traffic information systems to support transportation processes and formulating the basic user requirements related to them.</w:t>
      </w:r>
    </w:p>
    <w:p w:rsidR="00D00A95" w:rsidRPr="00D00A95" w:rsidRDefault="00D00A95" w:rsidP="00D00A95">
      <w:pPr>
        <w:widowControl w:val="0"/>
        <w:spacing w:before="120" w:after="120" w:line="240" w:lineRule="auto"/>
        <w:ind w:left="426"/>
        <w:jc w:val="both"/>
        <w:rPr>
          <w:rFonts w:ascii="Times New Roman" w:eastAsia="Times New Roman" w:hAnsi="Times New Roman" w:cs="Times New Roman"/>
          <w:b/>
          <w:lang w:val="en-GB"/>
        </w:rPr>
      </w:pPr>
      <w:r w:rsidRPr="00D00A95">
        <w:rPr>
          <w:rFonts w:ascii="Times New Roman" w:eastAsia="Times New Roman" w:hAnsi="Times New Roman" w:cs="Times New Roman"/>
          <w:b/>
          <w:lang w:val="en-GB"/>
        </w:rPr>
        <w:t>Attitude:</w:t>
      </w:r>
    </w:p>
    <w:p w:rsidR="00D00A95" w:rsidRPr="00D00A95" w:rsidRDefault="00D00A95"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D00A95">
        <w:rPr>
          <w:rFonts w:ascii="Times New Roman" w:hAnsi="Times New Roman" w:cs="Times New Roman"/>
        </w:rPr>
        <w:t>He/She is ready to become familiar with and adopt the professional and technological development and innovation in the field of military transportation, and also to pass it on and integrate it into his daily work.</w:t>
      </w:r>
    </w:p>
    <w:p w:rsidR="00D00A95" w:rsidRPr="00D00A95" w:rsidRDefault="00D00A95"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D00A95">
        <w:rPr>
          <w:rFonts w:ascii="Times New Roman" w:hAnsi="Times New Roman" w:cs="Times New Roman"/>
        </w:rPr>
        <w:t>He/She strives for continuous self-education in the field of military transportation which is consistent with his/her professional goals.</w:t>
      </w:r>
    </w:p>
    <w:p w:rsidR="00D00A95" w:rsidRPr="00D00A95" w:rsidRDefault="00D00A95"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D00A95">
        <w:rPr>
          <w:rFonts w:ascii="Times New Roman" w:hAnsi="Times New Roman" w:cs="Times New Roman"/>
        </w:rPr>
        <w:t>He/She is committed to high quality in his/her professional work, with special emphasis on the safe execution of the transportation tasks and processes.</w:t>
      </w:r>
    </w:p>
    <w:p w:rsidR="00D00A95" w:rsidRPr="00D00A95" w:rsidRDefault="00D00A95"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D00A95">
        <w:rPr>
          <w:rFonts w:ascii="Times New Roman" w:hAnsi="Times New Roman" w:cs="Times New Roman"/>
        </w:rPr>
        <w:t>He/She is interested in promoting the professional development of his/her subordinates, and provides assistance in their efforts.</w:t>
      </w:r>
    </w:p>
    <w:p w:rsidR="00D00A95" w:rsidRPr="00D00A95" w:rsidRDefault="00D00A95"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D00A95">
        <w:rPr>
          <w:rFonts w:ascii="Times New Roman" w:hAnsi="Times New Roman" w:cs="Times New Roman"/>
        </w:rPr>
        <w:t>He/she is willing to share his/her experience with his/her colleagues to further their professional development.</w:t>
      </w:r>
    </w:p>
    <w:p w:rsidR="00D00A95" w:rsidRPr="00D00A95" w:rsidRDefault="00D00A95" w:rsidP="00D00A95">
      <w:pPr>
        <w:widowControl w:val="0"/>
        <w:spacing w:before="120" w:after="120" w:line="240" w:lineRule="auto"/>
        <w:ind w:left="426"/>
        <w:jc w:val="both"/>
        <w:rPr>
          <w:rFonts w:ascii="Times New Roman" w:eastAsia="Times New Roman" w:hAnsi="Times New Roman" w:cs="Times New Roman"/>
          <w:b/>
          <w:lang w:val="en-GB"/>
        </w:rPr>
      </w:pPr>
      <w:r w:rsidRPr="00D00A95">
        <w:rPr>
          <w:rFonts w:ascii="Times New Roman" w:eastAsia="Times New Roman" w:hAnsi="Times New Roman" w:cs="Times New Roman"/>
          <w:b/>
          <w:lang w:val="en-GB"/>
        </w:rPr>
        <w:t xml:space="preserve">Autonomy and responsibility: </w:t>
      </w:r>
    </w:p>
    <w:p w:rsidR="00D00A95" w:rsidRPr="00D00A95" w:rsidRDefault="00D00A95"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D00A95">
        <w:rPr>
          <w:rFonts w:ascii="Times New Roman" w:hAnsi="Times New Roman" w:cs="Times New Roman"/>
        </w:rPr>
        <w:t>He/She is able to make decisions independently in the processes arising in the field of military transportation, and to implement them with responsibility and within the legal framework.</w:t>
      </w:r>
    </w:p>
    <w:p w:rsidR="00D00A95" w:rsidRPr="00D00A95" w:rsidRDefault="00D00A95"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D00A95">
        <w:rPr>
          <w:rFonts w:ascii="Times New Roman" w:hAnsi="Times New Roman" w:cs="Times New Roman"/>
        </w:rPr>
        <w:t>He/She is aware of the effects and consequences of his decisions and activities on the military logistic processes as a whole.</w:t>
      </w:r>
    </w:p>
    <w:p w:rsidR="00D00A95" w:rsidRPr="00D00A95" w:rsidRDefault="00D00A95"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D00A95">
        <w:rPr>
          <w:rFonts w:ascii="Times New Roman" w:hAnsi="Times New Roman" w:cs="Times New Roman"/>
        </w:rPr>
        <w:t xml:space="preserve">During his/her professional duties, he/she is willing to responsibly cooperate with specialists of other areas. </w:t>
      </w:r>
    </w:p>
    <w:p w:rsidR="00D00A95" w:rsidRPr="00D00A95" w:rsidRDefault="00D00A95"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D00A95">
        <w:rPr>
          <w:rFonts w:ascii="Times New Roman" w:hAnsi="Times New Roman" w:cs="Times New Roman"/>
        </w:rPr>
        <w:t>He/She can identify the deficiencies and risks in the applied technologies and initiates taking measures to reduce their impact.</w:t>
      </w:r>
    </w:p>
    <w:p w:rsidR="00D00A95" w:rsidRPr="00D00A95" w:rsidRDefault="00D00A95"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D00A95">
        <w:rPr>
          <w:rFonts w:ascii="Times New Roman" w:hAnsi="Times New Roman" w:cs="Times New Roman"/>
        </w:rPr>
        <w:t>Under the guidance of his/her commander, he/she controls the work of the personnel under his/her command and supervises the planning, organization and implementation of the transport and transportation processes, and also the operation of the technical equipment used in military transportation.</w:t>
      </w:r>
    </w:p>
    <w:p w:rsidR="00D00A95" w:rsidRPr="00D00A95" w:rsidRDefault="00D00A95"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D00A95">
        <w:rPr>
          <w:rFonts w:ascii="Times New Roman" w:hAnsi="Times New Roman" w:cs="Times New Roman"/>
        </w:rPr>
        <w:t>He/She continuously evaluates the efficiency and effectiveness of his/her subordinates' work.</w:t>
      </w:r>
    </w:p>
    <w:p w:rsidR="00D00A95" w:rsidRPr="00D00A95" w:rsidRDefault="00D00A95" w:rsidP="00980876">
      <w:pPr>
        <w:widowControl w:val="0"/>
        <w:numPr>
          <w:ilvl w:val="0"/>
          <w:numId w:val="270"/>
        </w:numPr>
        <w:tabs>
          <w:tab w:val="num" w:pos="567"/>
        </w:tabs>
        <w:spacing w:before="120" w:after="120" w:line="240" w:lineRule="auto"/>
        <w:ind w:left="426" w:hanging="142"/>
        <w:jc w:val="both"/>
        <w:rPr>
          <w:rFonts w:ascii="Times New Roman" w:eastAsia="Times New Roman" w:hAnsi="Times New Roman" w:cs="Times New Roman"/>
          <w:bCs/>
        </w:rPr>
      </w:pPr>
      <w:r w:rsidRPr="00D00A95">
        <w:rPr>
          <w:rFonts w:ascii="Times New Roman" w:eastAsia="Times New Roman" w:hAnsi="Times New Roman" w:cs="Times New Roman"/>
          <w:b/>
          <w:bCs/>
        </w:rPr>
        <w:t xml:space="preserve">Előtanulmányi követelmények: </w:t>
      </w:r>
      <w:r w:rsidRPr="00D00A95">
        <w:rPr>
          <w:rFonts w:ascii="Times New Roman" w:hAnsi="Times New Roman" w:cs="Times New Roman"/>
          <w:bCs/>
        </w:rPr>
        <w:t>Katon</w:t>
      </w:r>
      <w:r w:rsidR="007A5E14">
        <w:rPr>
          <w:rFonts w:ascii="Times New Roman" w:hAnsi="Times New Roman" w:cs="Times New Roman"/>
          <w:bCs/>
        </w:rPr>
        <w:t>ai szállítások alapjai HKHPKA301</w:t>
      </w:r>
    </w:p>
    <w:p w:rsidR="00D00A95" w:rsidRPr="00D00A95" w:rsidRDefault="00D00A95" w:rsidP="00980876">
      <w:pPr>
        <w:widowControl w:val="0"/>
        <w:numPr>
          <w:ilvl w:val="0"/>
          <w:numId w:val="270"/>
        </w:numPr>
        <w:spacing w:before="120" w:after="120" w:line="240" w:lineRule="auto"/>
        <w:ind w:left="426" w:hanging="142"/>
        <w:jc w:val="both"/>
        <w:rPr>
          <w:rFonts w:ascii="Times New Roman" w:eastAsia="Times New Roman" w:hAnsi="Times New Roman" w:cs="Times New Roman"/>
          <w:b/>
          <w:bCs/>
        </w:rPr>
      </w:pPr>
      <w:r w:rsidRPr="00D00A95">
        <w:rPr>
          <w:rFonts w:ascii="Times New Roman" w:eastAsia="Times New Roman" w:hAnsi="Times New Roman" w:cs="Times New Roman"/>
          <w:b/>
          <w:bCs/>
        </w:rPr>
        <w:t>A tantárgy tananyagának leírása, tematika. Description of the subject, curriculum (magyarul, angolul - English):</w:t>
      </w:r>
    </w:p>
    <w:p w:rsidR="00D00A95" w:rsidRPr="00D00A95" w:rsidRDefault="00D00A95" w:rsidP="00980876">
      <w:pPr>
        <w:widowControl w:val="0"/>
        <w:numPr>
          <w:ilvl w:val="1"/>
          <w:numId w:val="270"/>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i/>
        </w:rPr>
      </w:pPr>
      <w:r w:rsidRPr="00D00A95">
        <w:rPr>
          <w:rFonts w:ascii="Times New Roman" w:eastAsia="Times New Roman" w:hAnsi="Times New Roman" w:cs="Times New Roman"/>
        </w:rPr>
        <w:t>Közlekedés teljesítőképessége, alapfogalmak, alapösszefüggések.</w:t>
      </w:r>
      <w:r w:rsidRPr="00D00A95">
        <w:rPr>
          <w:rStyle w:val="tlid-translation"/>
          <w:rFonts w:ascii="Times New Roman" w:hAnsi="Times New Roman" w:cs="Times New Roman"/>
          <w:lang w:val="en"/>
        </w:rPr>
        <w:t xml:space="preserve"> </w:t>
      </w:r>
      <w:r w:rsidRPr="00D00A95">
        <w:rPr>
          <w:rStyle w:val="tlid-translation"/>
          <w:rFonts w:ascii="Times New Roman" w:hAnsi="Times New Roman" w:cs="Times New Roman"/>
          <w:i/>
          <w:lang w:val="en"/>
        </w:rPr>
        <w:t>(Transport performance, basic concepts, basic connections.)</w:t>
      </w:r>
    </w:p>
    <w:p w:rsidR="00D00A95" w:rsidRPr="00D00A95" w:rsidRDefault="00D00A95" w:rsidP="00980876">
      <w:pPr>
        <w:widowControl w:val="0"/>
        <w:numPr>
          <w:ilvl w:val="1"/>
          <w:numId w:val="270"/>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i/>
        </w:rPr>
      </w:pPr>
      <w:r w:rsidRPr="00D00A95">
        <w:rPr>
          <w:rFonts w:ascii="Times New Roman" w:eastAsia="Times New Roman" w:hAnsi="Times New Roman" w:cs="Times New Roman"/>
        </w:rPr>
        <w:lastRenderedPageBreak/>
        <w:t>Az áruszállítási igények okai, befolyásoló tényezői.</w:t>
      </w:r>
      <w:r w:rsidRPr="00D00A95">
        <w:rPr>
          <w:rStyle w:val="tlid-translation"/>
          <w:rFonts w:ascii="Times New Roman" w:hAnsi="Times New Roman" w:cs="Times New Roman"/>
          <w:lang w:val="en"/>
        </w:rPr>
        <w:t xml:space="preserve"> </w:t>
      </w:r>
      <w:r w:rsidRPr="00D00A95">
        <w:rPr>
          <w:rStyle w:val="tlid-translation"/>
          <w:rFonts w:ascii="Times New Roman" w:hAnsi="Times New Roman" w:cs="Times New Roman"/>
          <w:i/>
          <w:lang w:val="en"/>
        </w:rPr>
        <w:t>(Causes and influencing factors of freight transport needs.)</w:t>
      </w:r>
    </w:p>
    <w:p w:rsidR="00D00A95" w:rsidRPr="00D00A95" w:rsidRDefault="00D00A95" w:rsidP="00980876">
      <w:pPr>
        <w:widowControl w:val="0"/>
        <w:numPr>
          <w:ilvl w:val="1"/>
          <w:numId w:val="270"/>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rPr>
      </w:pPr>
      <w:r w:rsidRPr="00D00A95">
        <w:rPr>
          <w:rFonts w:ascii="Times New Roman" w:eastAsia="Times New Roman" w:hAnsi="Times New Roman" w:cs="Times New Roman"/>
        </w:rPr>
        <w:t>Az áru-, anyagszállító járattípusok.</w:t>
      </w:r>
      <w:r w:rsidRPr="00D00A95">
        <w:rPr>
          <w:rStyle w:val="tlid-translation"/>
          <w:rFonts w:ascii="Times New Roman" w:hAnsi="Times New Roman" w:cs="Times New Roman"/>
          <w:b/>
          <w:lang w:val="en"/>
        </w:rPr>
        <w:t xml:space="preserve"> </w:t>
      </w:r>
      <w:r w:rsidRPr="00D00A95">
        <w:rPr>
          <w:rStyle w:val="tlid-translation"/>
          <w:rFonts w:ascii="Times New Roman" w:hAnsi="Times New Roman" w:cs="Times New Roman"/>
          <w:i/>
          <w:lang w:val="en"/>
        </w:rPr>
        <w:t>(Types of cargo and freight flights.)</w:t>
      </w:r>
    </w:p>
    <w:p w:rsidR="00D00A95" w:rsidRPr="00D00A95" w:rsidRDefault="00D00A95" w:rsidP="00980876">
      <w:pPr>
        <w:widowControl w:val="0"/>
        <w:numPr>
          <w:ilvl w:val="1"/>
          <w:numId w:val="270"/>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b/>
          <w:i/>
        </w:rPr>
      </w:pPr>
      <w:r w:rsidRPr="00D00A95">
        <w:rPr>
          <w:rFonts w:ascii="Times New Roman" w:eastAsia="Times New Roman" w:hAnsi="Times New Roman" w:cs="Times New Roman"/>
        </w:rPr>
        <w:t>A vezénylés fajtái, elkészítését befolyásoló tényezők.</w:t>
      </w:r>
      <w:r w:rsidRPr="00D00A95">
        <w:rPr>
          <w:rStyle w:val="tlid-translation"/>
          <w:rFonts w:ascii="Times New Roman" w:hAnsi="Times New Roman" w:cs="Times New Roman"/>
          <w:lang w:val="en"/>
        </w:rPr>
        <w:t xml:space="preserve"> </w:t>
      </w:r>
      <w:r w:rsidRPr="00D00A95">
        <w:rPr>
          <w:rStyle w:val="tlid-translation"/>
          <w:rFonts w:ascii="Times New Roman" w:hAnsi="Times New Roman" w:cs="Times New Roman"/>
          <w:i/>
          <w:lang w:val="en"/>
        </w:rPr>
        <w:t>(Types of conducting, factors influencing its preparation.)</w:t>
      </w:r>
    </w:p>
    <w:p w:rsidR="00D00A95" w:rsidRPr="00D00A95" w:rsidRDefault="00D00A95" w:rsidP="00980876">
      <w:pPr>
        <w:widowControl w:val="0"/>
        <w:numPr>
          <w:ilvl w:val="1"/>
          <w:numId w:val="270"/>
        </w:numPr>
        <w:tabs>
          <w:tab w:val="left" w:pos="709"/>
          <w:tab w:val="left" w:pos="993"/>
          <w:tab w:val="num" w:pos="2069"/>
        </w:tabs>
        <w:spacing w:before="120" w:after="120" w:line="240" w:lineRule="auto"/>
        <w:ind w:left="993" w:hanging="567"/>
        <w:jc w:val="both"/>
        <w:rPr>
          <w:rStyle w:val="tlid-translation"/>
          <w:rFonts w:ascii="Times New Roman" w:hAnsi="Times New Roman" w:cs="Times New Roman"/>
        </w:rPr>
      </w:pPr>
      <w:r w:rsidRPr="00461CC2">
        <w:rPr>
          <w:rFonts w:ascii="Times New Roman" w:eastAsia="Times New Roman" w:hAnsi="Times New Roman" w:cs="Times New Roman"/>
        </w:rPr>
        <w:t>A közúti áruszállítás mutatószám rendszere</w:t>
      </w:r>
      <w:r w:rsidRPr="00461CC2">
        <w:rPr>
          <w:rStyle w:val="tlid-translation"/>
          <w:i/>
          <w:lang w:val="en"/>
        </w:rPr>
        <w:t>.</w:t>
      </w:r>
      <w:r w:rsidRPr="00461CC2">
        <w:rPr>
          <w:rStyle w:val="tlid-translation"/>
          <w:rFonts w:ascii="Times New Roman" w:hAnsi="Times New Roman" w:cs="Times New Roman"/>
          <w:i/>
          <w:lang w:val="en"/>
        </w:rPr>
        <w:t xml:space="preserve"> (Road Freight Indicator System.)</w:t>
      </w:r>
    </w:p>
    <w:p w:rsidR="00D00A95" w:rsidRPr="00D00A95" w:rsidRDefault="00D00A95" w:rsidP="00980876">
      <w:pPr>
        <w:widowControl w:val="0"/>
        <w:numPr>
          <w:ilvl w:val="1"/>
          <w:numId w:val="270"/>
        </w:numPr>
        <w:tabs>
          <w:tab w:val="left" w:pos="709"/>
          <w:tab w:val="left" w:pos="993"/>
          <w:tab w:val="num" w:pos="2069"/>
        </w:tabs>
        <w:spacing w:before="120" w:after="120" w:line="240" w:lineRule="auto"/>
        <w:ind w:left="993" w:hanging="567"/>
        <w:jc w:val="both"/>
        <w:rPr>
          <w:rFonts w:ascii="Times New Roman" w:hAnsi="Times New Roman" w:cs="Times New Roman"/>
        </w:rPr>
      </w:pPr>
      <w:r w:rsidRPr="00D00A95">
        <w:rPr>
          <w:rFonts w:ascii="Times New Roman" w:eastAsia="Times New Roman" w:hAnsi="Times New Roman" w:cs="Times New Roman"/>
        </w:rPr>
        <w:t>A közúti járműállományt jellemző mutatószámok.</w:t>
      </w:r>
      <w:r w:rsidRPr="00D00A95">
        <w:rPr>
          <w:rStyle w:val="tlid-translation"/>
          <w:rFonts w:ascii="Times New Roman" w:hAnsi="Times New Roman" w:cs="Times New Roman"/>
          <w:lang w:val="en"/>
        </w:rPr>
        <w:t xml:space="preserve"> </w:t>
      </w:r>
      <w:r w:rsidRPr="00D00A95">
        <w:rPr>
          <w:rStyle w:val="tlid-translation"/>
          <w:rFonts w:ascii="Times New Roman" w:hAnsi="Times New Roman" w:cs="Times New Roman"/>
          <w:i/>
          <w:lang w:val="en"/>
        </w:rPr>
        <w:t>(Indicators specific to road vehicles.)</w:t>
      </w:r>
    </w:p>
    <w:p w:rsidR="00D00A95" w:rsidRPr="00D00A95" w:rsidRDefault="00D00A95" w:rsidP="00980876">
      <w:pPr>
        <w:widowControl w:val="0"/>
        <w:numPr>
          <w:ilvl w:val="1"/>
          <w:numId w:val="270"/>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rPr>
      </w:pPr>
      <w:r w:rsidRPr="00D00A95">
        <w:rPr>
          <w:rFonts w:ascii="Times New Roman" w:eastAsia="Times New Roman" w:hAnsi="Times New Roman" w:cs="Times New Roman"/>
        </w:rPr>
        <w:t>A közúti járműállomány kihasználását jellemző mutatószámok, az állomány kihasználásának elemzése.</w:t>
      </w:r>
      <w:r w:rsidRPr="00D00A95">
        <w:rPr>
          <w:rStyle w:val="tlid-translation"/>
          <w:rFonts w:ascii="Times New Roman" w:hAnsi="Times New Roman" w:cs="Times New Roman"/>
          <w:lang w:val="en"/>
        </w:rPr>
        <w:t xml:space="preserve"> </w:t>
      </w:r>
      <w:r w:rsidRPr="00D00A95">
        <w:rPr>
          <w:rStyle w:val="tlid-translation"/>
          <w:rFonts w:ascii="Times New Roman" w:hAnsi="Times New Roman" w:cs="Times New Roman"/>
          <w:i/>
          <w:lang w:val="en"/>
        </w:rPr>
        <w:t>(Indicators characterizing the utilization of road vehicles, analysis of the utilization of the vehicles.)</w:t>
      </w:r>
    </w:p>
    <w:p w:rsidR="00D00A95" w:rsidRPr="00D00A95" w:rsidRDefault="00D00A95" w:rsidP="00980876">
      <w:pPr>
        <w:widowControl w:val="0"/>
        <w:numPr>
          <w:ilvl w:val="1"/>
          <w:numId w:val="270"/>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i/>
        </w:rPr>
      </w:pPr>
      <w:r w:rsidRPr="00D00A95">
        <w:rPr>
          <w:rFonts w:ascii="Times New Roman" w:eastAsia="Times New Roman" w:hAnsi="Times New Roman" w:cs="Times New Roman"/>
        </w:rPr>
        <w:t>A szállítási idővel és a futásteljesítménnyel kapcsolatos mutatószámok, sebességfogalmak.</w:t>
      </w:r>
      <w:r w:rsidRPr="00D00A95">
        <w:rPr>
          <w:rStyle w:val="tlid-translation"/>
          <w:rFonts w:ascii="Times New Roman" w:hAnsi="Times New Roman" w:cs="Times New Roman"/>
          <w:lang w:val="en"/>
        </w:rPr>
        <w:t xml:space="preserve"> </w:t>
      </w:r>
      <w:r w:rsidRPr="00D00A95">
        <w:rPr>
          <w:rStyle w:val="tlid-translation"/>
          <w:rFonts w:ascii="Times New Roman" w:hAnsi="Times New Roman" w:cs="Times New Roman"/>
          <w:i/>
          <w:lang w:val="en"/>
        </w:rPr>
        <w:t>(Indicators and speed concepts related to delivery time and mileage.)</w:t>
      </w:r>
    </w:p>
    <w:p w:rsidR="00D00A95" w:rsidRPr="00D00A95" w:rsidRDefault="00D00A95" w:rsidP="00980876">
      <w:pPr>
        <w:widowControl w:val="0"/>
        <w:numPr>
          <w:ilvl w:val="1"/>
          <w:numId w:val="270"/>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rPr>
      </w:pPr>
      <w:r w:rsidRPr="00D00A95">
        <w:rPr>
          <w:rFonts w:ascii="Times New Roman" w:eastAsia="Times New Roman" w:hAnsi="Times New Roman" w:cs="Times New Roman"/>
        </w:rPr>
        <w:t>A szállítási teljesítmény. Üzemi és hasznos teljesítmény, a teljesítmény létrehozásának összetevői.</w:t>
      </w:r>
      <w:r w:rsidRPr="00D00A95">
        <w:rPr>
          <w:rStyle w:val="tlid-translation"/>
          <w:rFonts w:ascii="Times New Roman" w:hAnsi="Times New Roman" w:cs="Times New Roman"/>
          <w:lang w:val="en"/>
        </w:rPr>
        <w:t xml:space="preserve"> </w:t>
      </w:r>
      <w:r w:rsidRPr="00D00A95">
        <w:rPr>
          <w:rStyle w:val="tlid-translation"/>
          <w:rFonts w:ascii="Times New Roman" w:hAnsi="Times New Roman" w:cs="Times New Roman"/>
          <w:i/>
          <w:lang w:val="en"/>
        </w:rPr>
        <w:t>(Delivery performance. Operational and useful performance, components of performance creation.)</w:t>
      </w:r>
    </w:p>
    <w:p w:rsidR="00D00A95" w:rsidRPr="00D00A95" w:rsidRDefault="00D00A95" w:rsidP="00980876">
      <w:pPr>
        <w:widowControl w:val="0"/>
        <w:numPr>
          <w:ilvl w:val="1"/>
          <w:numId w:val="270"/>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i/>
        </w:rPr>
      </w:pPr>
      <w:r w:rsidRPr="00D00A95">
        <w:rPr>
          <w:rFonts w:ascii="Times New Roman" w:eastAsia="Times New Roman" w:hAnsi="Times New Roman" w:cs="Times New Roman"/>
        </w:rPr>
        <w:t>Termelési volumenfüggvények és azok elemzése.</w:t>
      </w:r>
      <w:r w:rsidRPr="00D00A95">
        <w:rPr>
          <w:rStyle w:val="tlid-translation"/>
          <w:rFonts w:ascii="Times New Roman" w:hAnsi="Times New Roman" w:cs="Times New Roman"/>
          <w:lang w:val="en"/>
        </w:rPr>
        <w:t xml:space="preserve"> </w:t>
      </w:r>
      <w:r w:rsidRPr="00D00A95">
        <w:rPr>
          <w:rStyle w:val="tlid-translation"/>
          <w:rFonts w:ascii="Times New Roman" w:hAnsi="Times New Roman" w:cs="Times New Roman"/>
          <w:i/>
          <w:lang w:val="en"/>
        </w:rPr>
        <w:t>(Production volume functions and their analysis.)</w:t>
      </w:r>
    </w:p>
    <w:p w:rsidR="00D00A95" w:rsidRPr="00D00A95" w:rsidRDefault="00D00A95" w:rsidP="00980876">
      <w:pPr>
        <w:widowControl w:val="0"/>
        <w:numPr>
          <w:ilvl w:val="1"/>
          <w:numId w:val="270"/>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i/>
        </w:rPr>
      </w:pPr>
      <w:r w:rsidRPr="00D00A95">
        <w:rPr>
          <w:rFonts w:ascii="Times New Roman" w:eastAsia="Times New Roman" w:hAnsi="Times New Roman" w:cs="Times New Roman"/>
        </w:rPr>
        <w:t>A közúti anyagszállítás üzemi és teljesítménymutatói, színvonal paraméterei.</w:t>
      </w:r>
      <w:r w:rsidRPr="00D00A95">
        <w:rPr>
          <w:rStyle w:val="tlid-translation"/>
          <w:rFonts w:ascii="Times New Roman" w:hAnsi="Times New Roman" w:cs="Times New Roman"/>
          <w:lang w:val="en"/>
        </w:rPr>
        <w:t xml:space="preserve"> </w:t>
      </w:r>
      <w:r w:rsidRPr="00D00A95">
        <w:rPr>
          <w:rStyle w:val="tlid-translation"/>
          <w:rFonts w:ascii="Times New Roman" w:hAnsi="Times New Roman" w:cs="Times New Roman"/>
          <w:i/>
          <w:lang w:val="en"/>
        </w:rPr>
        <w:t>(Operational and performance indicators and quality parameters of road freight transport.)</w:t>
      </w:r>
    </w:p>
    <w:p w:rsidR="00D00A95" w:rsidRPr="00D00A95" w:rsidRDefault="00D00A95" w:rsidP="00980876">
      <w:pPr>
        <w:widowControl w:val="0"/>
        <w:numPr>
          <w:ilvl w:val="1"/>
          <w:numId w:val="270"/>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i/>
        </w:rPr>
      </w:pPr>
      <w:r w:rsidRPr="00D00A95">
        <w:rPr>
          <w:rFonts w:ascii="Times New Roman" w:eastAsia="Times New Roman" w:hAnsi="Times New Roman" w:cs="Times New Roman"/>
        </w:rPr>
        <w:t xml:space="preserve">A katonai közúti szállítások matematikai összefüggései. </w:t>
      </w:r>
      <w:r w:rsidRPr="00D00A95">
        <w:rPr>
          <w:rFonts w:ascii="Times New Roman" w:eastAsia="Times New Roman" w:hAnsi="Times New Roman" w:cs="Times New Roman"/>
          <w:i/>
        </w:rPr>
        <w:t>(</w:t>
      </w:r>
      <w:r w:rsidRPr="00D00A95">
        <w:rPr>
          <w:rStyle w:val="tlid-translation"/>
          <w:rFonts w:ascii="Times New Roman" w:hAnsi="Times New Roman" w:cs="Times New Roman"/>
          <w:i/>
          <w:lang w:val="en"/>
        </w:rPr>
        <w:t>Mathematical relations of military road transport.)</w:t>
      </w:r>
    </w:p>
    <w:p w:rsidR="00D00A95" w:rsidRPr="00D00A95" w:rsidRDefault="00D00A95" w:rsidP="00980876">
      <w:pPr>
        <w:widowControl w:val="0"/>
        <w:numPr>
          <w:ilvl w:val="1"/>
          <w:numId w:val="270"/>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rPr>
      </w:pPr>
      <w:r w:rsidRPr="00D00A95">
        <w:rPr>
          <w:rFonts w:ascii="Times New Roman" w:eastAsia="Times New Roman" w:hAnsi="Times New Roman" w:cs="Times New Roman"/>
        </w:rPr>
        <w:t>Zárthelyi dolgozat.</w:t>
      </w:r>
      <w:r w:rsidRPr="00D00A95">
        <w:rPr>
          <w:rStyle w:val="tlid-translation"/>
          <w:rFonts w:ascii="Times New Roman" w:hAnsi="Times New Roman" w:cs="Times New Roman"/>
          <w:lang w:val="en"/>
        </w:rPr>
        <w:t xml:space="preserve"> </w:t>
      </w:r>
      <w:r w:rsidRPr="00D00A95">
        <w:rPr>
          <w:rStyle w:val="tlid-translation"/>
          <w:rFonts w:ascii="Times New Roman" w:hAnsi="Times New Roman" w:cs="Times New Roman"/>
          <w:i/>
          <w:lang w:val="en"/>
        </w:rPr>
        <w:t>(Closed thesis.)</w:t>
      </w:r>
    </w:p>
    <w:p w:rsidR="00D00A95" w:rsidRPr="00D00A95" w:rsidRDefault="00D00A95" w:rsidP="00980876">
      <w:pPr>
        <w:widowControl w:val="0"/>
        <w:numPr>
          <w:ilvl w:val="0"/>
          <w:numId w:val="270"/>
        </w:numPr>
        <w:tabs>
          <w:tab w:val="num" w:pos="360"/>
        </w:tabs>
        <w:spacing w:before="120" w:after="120" w:line="240" w:lineRule="auto"/>
        <w:ind w:left="426" w:hanging="142"/>
        <w:jc w:val="both"/>
        <w:rPr>
          <w:rFonts w:ascii="Times New Roman" w:eastAsia="Times New Roman" w:hAnsi="Times New Roman" w:cs="Times New Roman"/>
          <w:bCs/>
        </w:rPr>
      </w:pPr>
      <w:r w:rsidRPr="00D00A95">
        <w:rPr>
          <w:rFonts w:ascii="Times New Roman" w:eastAsia="Times New Roman" w:hAnsi="Times New Roman" w:cs="Times New Roman"/>
          <w:b/>
          <w:bCs/>
        </w:rPr>
        <w:t xml:space="preserve">A tantárgy meghirdetésének gyakorisága/a tantervben történő félévi elhelyezkedése: </w:t>
      </w:r>
      <w:r w:rsidRPr="00D00A95">
        <w:rPr>
          <w:rFonts w:ascii="Times New Roman" w:eastAsia="Times New Roman" w:hAnsi="Times New Roman" w:cs="Times New Roman"/>
          <w:bCs/>
        </w:rPr>
        <w:t>5. félév</w:t>
      </w:r>
    </w:p>
    <w:p w:rsidR="00D00A95" w:rsidRPr="00D00A95" w:rsidRDefault="00D00A95" w:rsidP="00980876">
      <w:pPr>
        <w:widowControl w:val="0"/>
        <w:numPr>
          <w:ilvl w:val="0"/>
          <w:numId w:val="270"/>
        </w:numPr>
        <w:tabs>
          <w:tab w:val="num" w:pos="360"/>
        </w:tabs>
        <w:spacing w:before="120" w:after="120" w:line="240" w:lineRule="auto"/>
        <w:ind w:left="426" w:hanging="142"/>
        <w:jc w:val="both"/>
        <w:rPr>
          <w:rFonts w:ascii="Times New Roman" w:eastAsia="Times New Roman" w:hAnsi="Times New Roman" w:cs="Times New Roman"/>
          <w:bCs/>
        </w:rPr>
      </w:pPr>
      <w:r w:rsidRPr="00D00A95">
        <w:rPr>
          <w:rFonts w:ascii="Times New Roman" w:eastAsia="Times New Roman" w:hAnsi="Times New Roman" w:cs="Times New Roman"/>
          <w:b/>
          <w:bCs/>
        </w:rPr>
        <w:t>A tanórákon való részvétel követelményei, az elfogadható hiányzások mértéke, a távolmaradás pótlásának lehetősége:</w:t>
      </w:r>
      <w:r w:rsidRPr="00D00A95">
        <w:rPr>
          <w:rFonts w:ascii="Times New Roman" w:eastAsia="Times New Roman" w:hAnsi="Times New Roman" w:cs="Times New Roman"/>
          <w:bCs/>
        </w:rPr>
        <w:t xml:space="preserve"> </w:t>
      </w:r>
    </w:p>
    <w:p w:rsidR="00D00A95" w:rsidRPr="00D00A95" w:rsidRDefault="00D00A95" w:rsidP="00D00A95">
      <w:pPr>
        <w:widowControl w:val="0"/>
        <w:spacing w:before="120" w:after="120" w:line="240" w:lineRule="auto"/>
        <w:ind w:left="426"/>
        <w:jc w:val="both"/>
        <w:rPr>
          <w:rFonts w:ascii="Times New Roman" w:eastAsia="Times New Roman" w:hAnsi="Times New Roman" w:cs="Times New Roman"/>
          <w:bCs/>
          <w:highlight w:val="lightGray"/>
        </w:rPr>
      </w:pPr>
      <w:r w:rsidRPr="00D00A95">
        <w:rPr>
          <w:rFonts w:ascii="Times New Roman" w:eastAsia="Times New Roman" w:hAnsi="Times New Roman" w:cs="Times New Roman"/>
          <w:bCs/>
          <w:lang w:eastAsia="hu-HU"/>
        </w:rPr>
        <w:t>A tanórákon való részvétel kötelező, megengedett hiányzás mértéke 25%. Hiányzás esetén órapótlásra nincs lehetőség, a hallgató az előadás anyagát önállóan pótolja. A 25%-ot meghaladó hiányzás az aláírás megtagadását vonja maga után.</w:t>
      </w:r>
    </w:p>
    <w:p w:rsidR="00D00A95" w:rsidRPr="00D00A95" w:rsidRDefault="00D00A95" w:rsidP="00980876">
      <w:pPr>
        <w:widowControl w:val="0"/>
        <w:numPr>
          <w:ilvl w:val="0"/>
          <w:numId w:val="270"/>
        </w:numPr>
        <w:tabs>
          <w:tab w:val="num" w:pos="360"/>
        </w:tabs>
        <w:spacing w:before="120" w:after="120" w:line="240" w:lineRule="auto"/>
        <w:ind w:left="426" w:hanging="142"/>
        <w:jc w:val="both"/>
        <w:rPr>
          <w:rFonts w:ascii="Times New Roman" w:eastAsia="Times New Roman" w:hAnsi="Times New Roman" w:cs="Times New Roman"/>
          <w:bCs/>
        </w:rPr>
      </w:pPr>
      <w:r w:rsidRPr="00D00A95">
        <w:rPr>
          <w:rFonts w:ascii="Times New Roman" w:eastAsia="Times New Roman" w:hAnsi="Times New Roman" w:cs="Times New Roman"/>
          <w:b/>
        </w:rPr>
        <w:t>Félévközi feladatok, ismeretek ellenőrzésének rendje:</w:t>
      </w:r>
      <w:r w:rsidRPr="00D00A95">
        <w:rPr>
          <w:rFonts w:ascii="Times New Roman" w:eastAsia="Times New Roman" w:hAnsi="Times New Roman" w:cs="Times New Roman"/>
          <w:bCs/>
        </w:rPr>
        <w:t xml:space="preserve"> </w:t>
      </w:r>
    </w:p>
    <w:p w:rsidR="00D00A95" w:rsidRPr="00D00A95" w:rsidRDefault="00D00A95" w:rsidP="00D00A95">
      <w:pPr>
        <w:widowControl w:val="0"/>
        <w:spacing w:before="120" w:after="120" w:line="240" w:lineRule="auto"/>
        <w:ind w:left="426"/>
        <w:jc w:val="both"/>
        <w:rPr>
          <w:rFonts w:ascii="Times New Roman" w:eastAsia="Times New Roman" w:hAnsi="Times New Roman" w:cs="Times New Roman"/>
          <w:lang w:eastAsia="x-none"/>
        </w:rPr>
      </w:pPr>
      <w:r w:rsidRPr="00D00A95">
        <w:rPr>
          <w:rFonts w:ascii="Times New Roman" w:eastAsia="Times New Roman" w:hAnsi="Times New Roman" w:cs="Times New Roman"/>
          <w:lang w:val="x-none" w:eastAsia="x-none"/>
        </w:rPr>
        <w:t>A félév során egy zárthelyi dolgozatot ke</w:t>
      </w:r>
      <w:r w:rsidRPr="00D00A95">
        <w:rPr>
          <w:rFonts w:ascii="Times New Roman" w:eastAsia="Times New Roman" w:hAnsi="Times New Roman" w:cs="Times New Roman"/>
          <w:lang w:eastAsia="x-none"/>
        </w:rPr>
        <w:t>l</w:t>
      </w:r>
      <w:r w:rsidRPr="00D00A95">
        <w:rPr>
          <w:rFonts w:ascii="Times New Roman" w:eastAsia="Times New Roman" w:hAnsi="Times New Roman" w:cs="Times New Roman"/>
          <w:lang w:val="x-none" w:eastAsia="x-none"/>
        </w:rPr>
        <w:t>l megír</w:t>
      </w:r>
      <w:r w:rsidRPr="00D00A95">
        <w:rPr>
          <w:rFonts w:ascii="Times New Roman" w:eastAsia="Times New Roman" w:hAnsi="Times New Roman" w:cs="Times New Roman"/>
          <w:lang w:eastAsia="x-none"/>
        </w:rPr>
        <w:t>ni</w:t>
      </w:r>
      <w:r w:rsidRPr="00D00A95">
        <w:rPr>
          <w:rFonts w:ascii="Times New Roman" w:eastAsia="Times New Roman" w:hAnsi="Times New Roman" w:cs="Times New Roman"/>
          <w:lang w:val="x-none" w:eastAsia="x-none"/>
        </w:rPr>
        <w:t xml:space="preserve">. </w:t>
      </w:r>
      <w:r w:rsidRPr="00D00A95">
        <w:rPr>
          <w:rFonts w:ascii="Times New Roman" w:eastAsia="Times New Roman" w:hAnsi="Times New Roman" w:cs="Times New Roman"/>
          <w:lang w:eastAsia="x-none"/>
        </w:rPr>
        <w:t xml:space="preserve">A zárthelyi dolgozat ötfokozatú skálán értékelendő, 50%+1 pont elégséges, 60% közepes, 75% jó, 90% jeles. </w:t>
      </w:r>
      <w:r w:rsidRPr="00D00A95">
        <w:rPr>
          <w:rFonts w:ascii="Times New Roman" w:eastAsia="Times New Roman" w:hAnsi="Times New Roman" w:cs="Times New Roman"/>
          <w:lang w:val="x-none" w:eastAsia="x-none"/>
        </w:rPr>
        <w:t xml:space="preserve">Az elégtelen osztályzatra értékelt dolgozatot a szorgalmi és a vizsgaidőszakban is egy-egy alkalommal lehet pótolni. </w:t>
      </w:r>
    </w:p>
    <w:p w:rsidR="00D00A95" w:rsidRPr="00D00A95" w:rsidRDefault="00D00A95" w:rsidP="00D00A95">
      <w:pPr>
        <w:widowControl w:val="0"/>
        <w:spacing w:before="120" w:after="120" w:line="240" w:lineRule="auto"/>
        <w:ind w:left="426"/>
        <w:jc w:val="both"/>
        <w:rPr>
          <w:rFonts w:ascii="Times New Roman" w:eastAsia="Times New Roman" w:hAnsi="Times New Roman" w:cs="Times New Roman"/>
          <w:lang w:val="x-none" w:eastAsia="x-none"/>
        </w:rPr>
      </w:pPr>
      <w:r w:rsidRPr="00D00A95">
        <w:rPr>
          <w:rFonts w:ascii="Times New Roman" w:hAnsi="Times New Roman" w:cs="Times New Roman"/>
        </w:rPr>
        <w:t>A félév során előre nem bejelentett, rövid dolgozatokat kell a tanórák alkalmával megírni. Minden ilyen dolgozat maximálisan 20 perc időtartamú. Ezen dolgozatok kérdéseit az órákon korábban ismertetett tananyagból kell összeállítani. Az órai dolgozatokat sem a szorgalmi-, sem a vizsgaidőszakban pótolni nem lehet. A be nem jelentett dolgozatok értékelése a zárthelyi dolgozattal megegyezően történik.</w:t>
      </w:r>
    </w:p>
    <w:p w:rsidR="00D00A95" w:rsidRPr="00D00A95" w:rsidRDefault="00D00A95" w:rsidP="00980876">
      <w:pPr>
        <w:widowControl w:val="0"/>
        <w:numPr>
          <w:ilvl w:val="0"/>
          <w:numId w:val="270"/>
        </w:numPr>
        <w:spacing w:before="120" w:after="120" w:line="240" w:lineRule="auto"/>
        <w:ind w:left="426" w:hanging="142"/>
        <w:jc w:val="both"/>
        <w:rPr>
          <w:rFonts w:ascii="Times New Roman" w:eastAsia="Times New Roman" w:hAnsi="Times New Roman" w:cs="Times New Roman"/>
          <w:b/>
          <w:bCs/>
        </w:rPr>
      </w:pPr>
      <w:r w:rsidRPr="00D00A95">
        <w:rPr>
          <w:rFonts w:ascii="Times New Roman" w:eastAsia="Times New Roman" w:hAnsi="Times New Roman" w:cs="Times New Roman"/>
          <w:b/>
          <w:bCs/>
        </w:rPr>
        <w:t xml:space="preserve">Az értékelés, az aláírás és a kreditek megszerzésének pontos feltételei: </w:t>
      </w:r>
    </w:p>
    <w:p w:rsidR="00D00A95" w:rsidRPr="004A1361" w:rsidRDefault="00D00A95" w:rsidP="00980876">
      <w:pPr>
        <w:widowControl w:val="0"/>
        <w:numPr>
          <w:ilvl w:val="1"/>
          <w:numId w:val="270"/>
        </w:numPr>
        <w:tabs>
          <w:tab w:val="left" w:pos="709"/>
          <w:tab w:val="left" w:pos="993"/>
          <w:tab w:val="num" w:pos="2069"/>
        </w:tabs>
        <w:spacing w:before="120" w:after="120" w:line="240" w:lineRule="auto"/>
        <w:ind w:left="426" w:firstLine="0"/>
        <w:jc w:val="both"/>
        <w:rPr>
          <w:rFonts w:ascii="Times New Roman" w:hAnsi="Times New Roman" w:cs="Times New Roman"/>
        </w:rPr>
      </w:pPr>
      <w:r w:rsidRPr="004A1361">
        <w:rPr>
          <w:rFonts w:ascii="Times New Roman" w:eastAsia="Times New Roman" w:hAnsi="Times New Roman" w:cs="Times New Roman"/>
          <w:b/>
        </w:rPr>
        <w:t>Az aláírás megszerzésének feltételei:</w:t>
      </w:r>
      <w:r w:rsidRPr="004A1361">
        <w:rPr>
          <w:rFonts w:ascii="Times New Roman" w:eastAsia="Times New Roman" w:hAnsi="Times New Roman" w:cs="Times New Roman"/>
        </w:rPr>
        <w:t xml:space="preserve"> </w:t>
      </w:r>
      <w:r w:rsidRPr="004A1361">
        <w:rPr>
          <w:rFonts w:ascii="Times New Roman" w:hAnsi="Times New Roman" w:cs="Times New Roman"/>
        </w:rPr>
        <w:t>Az aláírás megszerzésnek feltétele a zárthelyi dolgozat legalább elégséges szinten történő teljesítése (min. 50%+1 pont), a</w:t>
      </w:r>
      <w:r w:rsidRPr="004A1361">
        <w:rPr>
          <w:rFonts w:ascii="Times New Roman" w:hAnsi="Times New Roman" w:cs="Times New Roman"/>
          <w:bCs/>
        </w:rPr>
        <w:t>z órai dolgozatok legalább elégséges (2,00) átlaga</w:t>
      </w:r>
      <w:r w:rsidRPr="004A1361">
        <w:rPr>
          <w:rFonts w:ascii="Times New Roman" w:hAnsi="Times New Roman" w:cs="Times New Roman"/>
        </w:rPr>
        <w:t>, illetve a tanórák legalább 75%-án való részvétel.</w:t>
      </w:r>
    </w:p>
    <w:p w:rsidR="00D00A95" w:rsidRPr="00D00A95" w:rsidRDefault="00D00A95" w:rsidP="00980876">
      <w:pPr>
        <w:widowControl w:val="0"/>
        <w:numPr>
          <w:ilvl w:val="1"/>
          <w:numId w:val="270"/>
        </w:numPr>
        <w:tabs>
          <w:tab w:val="left" w:pos="709"/>
          <w:tab w:val="left" w:pos="993"/>
          <w:tab w:val="num" w:pos="2069"/>
        </w:tabs>
        <w:spacing w:before="120" w:after="120" w:line="240" w:lineRule="auto"/>
        <w:ind w:left="426" w:firstLine="0"/>
        <w:jc w:val="both"/>
        <w:rPr>
          <w:rFonts w:ascii="Times New Roman" w:hAnsi="Times New Roman" w:cs="Times New Roman"/>
          <w:b/>
        </w:rPr>
      </w:pPr>
      <w:r w:rsidRPr="00D00A95">
        <w:rPr>
          <w:rFonts w:ascii="Times New Roman" w:eastAsia="Times New Roman" w:hAnsi="Times New Roman" w:cs="Times New Roman"/>
          <w:b/>
        </w:rPr>
        <w:t>Az értékelés:</w:t>
      </w:r>
      <w:r w:rsidRPr="00D00A95">
        <w:rPr>
          <w:rFonts w:ascii="Times New Roman" w:eastAsia="Times New Roman" w:hAnsi="Times New Roman" w:cs="Times New Roman"/>
        </w:rPr>
        <w:t xml:space="preserve"> </w:t>
      </w:r>
      <w:r w:rsidRPr="00D00A95">
        <w:rPr>
          <w:rFonts w:ascii="Times New Roman" w:hAnsi="Times New Roman" w:cs="Times New Roman"/>
        </w:rPr>
        <w:t xml:space="preserve">A számonkérés módja </w:t>
      </w:r>
      <w:r w:rsidRPr="00D00A95">
        <w:rPr>
          <w:rFonts w:ascii="Times New Roman" w:hAnsi="Times New Roman" w:cs="Times New Roman"/>
          <w:b/>
        </w:rPr>
        <w:t>kollokvium</w:t>
      </w:r>
      <w:r w:rsidRPr="00D00A95">
        <w:rPr>
          <w:rFonts w:ascii="Times New Roman" w:hAnsi="Times New Roman" w:cs="Times New Roman"/>
        </w:rPr>
        <w:t xml:space="preserve">, amely írásbeli és szóbeli részből áll össze. A kollokviumra a hallgatók csak felkészülési témaköröket kapnak kézhez, amelyek felölelik a tárgy teljes tananyagát és a vizsgatételek kérdéseit. A vizsga szóbeli részének megkezdése csak egy számítási példa sikeres megoldása után lehetséges. A számtani példa </w:t>
      </w:r>
      <w:r w:rsidRPr="00D00A95">
        <w:rPr>
          <w:rFonts w:ascii="Times New Roman" w:hAnsi="Times New Roman" w:cs="Times New Roman"/>
        </w:rPr>
        <w:lastRenderedPageBreak/>
        <w:t>értékelése csak „Megfelelő”, vagy „Nem megfelelő” lehet. Amennyiben a számítási példa „Nem megfelelő”, a hallgató kollokviumi értékelése elégtelen. A kollokvium szóbeli részén a hallgató a vizsgatétel ismertetésére kapott osztályzata alapján értékelendő, ez a rész fogja megadni a végleges vizsgajegyet, a számítási példa a szóbeli felelet értékelésébe nem számít bele. Ha a vizsgáztató nem győződött meg a hallgató felkészültségéről a vizsgatétel alapján, kérdéseket tehet fel a félév tananyagából, amelyek a kollokvium végleges érdemjegyébe beleszámítandók.</w:t>
      </w:r>
    </w:p>
    <w:p w:rsidR="00D00A95" w:rsidRPr="00D00A95" w:rsidRDefault="00D00A95" w:rsidP="00980876">
      <w:pPr>
        <w:widowControl w:val="0"/>
        <w:numPr>
          <w:ilvl w:val="1"/>
          <w:numId w:val="270"/>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D00A95">
        <w:rPr>
          <w:rFonts w:ascii="Times New Roman" w:eastAsia="Times New Roman" w:hAnsi="Times New Roman" w:cs="Times New Roman"/>
          <w:b/>
        </w:rPr>
        <w:t>A kreditek megszerzésének feltételei:</w:t>
      </w:r>
      <w:r w:rsidRPr="00D00A95">
        <w:rPr>
          <w:rFonts w:ascii="Times New Roman" w:eastAsia="Times New Roman" w:hAnsi="Times New Roman" w:cs="Times New Roman"/>
        </w:rPr>
        <w:t xml:space="preserve"> </w:t>
      </w:r>
    </w:p>
    <w:p w:rsidR="00D00A95" w:rsidRPr="00D00A95" w:rsidRDefault="00D00A95" w:rsidP="00D00A95">
      <w:pPr>
        <w:widowControl w:val="0"/>
        <w:tabs>
          <w:tab w:val="left" w:pos="993"/>
        </w:tabs>
        <w:spacing w:before="120" w:after="120" w:line="240" w:lineRule="auto"/>
        <w:ind w:left="426"/>
        <w:jc w:val="both"/>
        <w:rPr>
          <w:rFonts w:ascii="Times New Roman" w:eastAsia="Times New Roman" w:hAnsi="Times New Roman" w:cs="Times New Roman"/>
        </w:rPr>
      </w:pPr>
      <w:r w:rsidRPr="00D00A95">
        <w:rPr>
          <w:rFonts w:ascii="Times New Roman" w:eastAsia="Times New Roman" w:hAnsi="Times New Roman" w:cs="Times New Roman"/>
        </w:rPr>
        <w:t>A kreditek megszerzésének feltétele az aláírás megszerzése és legalább elégséges vizsgajegy.</w:t>
      </w:r>
    </w:p>
    <w:p w:rsidR="00D00A95" w:rsidRPr="00D00A95" w:rsidRDefault="00D00A95" w:rsidP="00980876">
      <w:pPr>
        <w:widowControl w:val="0"/>
        <w:numPr>
          <w:ilvl w:val="0"/>
          <w:numId w:val="270"/>
        </w:numPr>
        <w:tabs>
          <w:tab w:val="num" w:pos="360"/>
        </w:tabs>
        <w:spacing w:before="120" w:after="120" w:line="240" w:lineRule="auto"/>
        <w:ind w:left="426" w:hanging="142"/>
        <w:jc w:val="both"/>
        <w:rPr>
          <w:rFonts w:ascii="Times New Roman" w:eastAsia="Times New Roman" w:hAnsi="Times New Roman" w:cs="Times New Roman"/>
          <w:bCs/>
        </w:rPr>
      </w:pPr>
      <w:r w:rsidRPr="00D00A95">
        <w:rPr>
          <w:rFonts w:ascii="Times New Roman" w:eastAsia="Times New Roman" w:hAnsi="Times New Roman" w:cs="Times New Roman"/>
          <w:b/>
          <w:bCs/>
        </w:rPr>
        <w:t>Irodalomjegyzék:</w:t>
      </w:r>
    </w:p>
    <w:p w:rsidR="00D00A95" w:rsidRPr="00D00A95" w:rsidRDefault="00D00A95" w:rsidP="00980876">
      <w:pPr>
        <w:widowControl w:val="0"/>
        <w:numPr>
          <w:ilvl w:val="1"/>
          <w:numId w:val="270"/>
        </w:numPr>
        <w:tabs>
          <w:tab w:val="left" w:pos="567"/>
          <w:tab w:val="left" w:pos="851"/>
          <w:tab w:val="num" w:pos="2069"/>
        </w:tabs>
        <w:spacing w:before="120" w:after="120" w:line="240" w:lineRule="auto"/>
        <w:ind w:left="426" w:hanging="142"/>
        <w:jc w:val="both"/>
        <w:rPr>
          <w:rFonts w:ascii="Times New Roman" w:eastAsia="Times New Roman" w:hAnsi="Times New Roman" w:cs="Times New Roman"/>
          <w:bCs/>
        </w:rPr>
      </w:pPr>
      <w:r w:rsidRPr="00D00A95">
        <w:rPr>
          <w:rFonts w:ascii="Times New Roman" w:eastAsia="Times New Roman" w:hAnsi="Times New Roman" w:cs="Times New Roman"/>
          <w:b/>
          <w:bCs/>
        </w:rPr>
        <w:t>Kötelező irodalom:</w:t>
      </w:r>
    </w:p>
    <w:p w:rsidR="00D00A95" w:rsidRPr="00D00A95" w:rsidRDefault="00D00A95" w:rsidP="00980876">
      <w:pPr>
        <w:numPr>
          <w:ilvl w:val="0"/>
          <w:numId w:val="271"/>
        </w:numPr>
        <w:spacing w:after="0" w:line="240" w:lineRule="auto"/>
        <w:jc w:val="both"/>
        <w:rPr>
          <w:rFonts w:ascii="Times New Roman" w:hAnsi="Times New Roman" w:cs="Times New Roman"/>
        </w:rPr>
      </w:pPr>
      <w:r w:rsidRPr="00D00A95">
        <w:rPr>
          <w:rFonts w:ascii="Times New Roman" w:hAnsi="Times New Roman" w:cs="Times New Roman"/>
        </w:rPr>
        <w:t>Dr. Kisbakonyi József: Általános közlekedési üzemtan (SZIE, Győr, 1995);</w:t>
      </w:r>
    </w:p>
    <w:p w:rsidR="00D00A95" w:rsidRPr="00D00A95" w:rsidRDefault="00D00A95" w:rsidP="00980876">
      <w:pPr>
        <w:numPr>
          <w:ilvl w:val="0"/>
          <w:numId w:val="271"/>
        </w:numPr>
        <w:spacing w:after="0" w:line="240" w:lineRule="auto"/>
        <w:jc w:val="both"/>
        <w:rPr>
          <w:rFonts w:ascii="Times New Roman" w:hAnsi="Times New Roman" w:cs="Times New Roman"/>
        </w:rPr>
      </w:pPr>
      <w:r w:rsidRPr="00D00A95">
        <w:rPr>
          <w:rFonts w:ascii="Times New Roman" w:hAnsi="Times New Roman" w:cs="Times New Roman"/>
        </w:rPr>
        <w:t>Dr. Uróczky – Dr. Fülöp: Közlekedési üzemtan I. (SZIE, Győr, 1995);</w:t>
      </w:r>
    </w:p>
    <w:p w:rsidR="004A1361" w:rsidRPr="00D00A95" w:rsidRDefault="004A1361" w:rsidP="00980876">
      <w:pPr>
        <w:numPr>
          <w:ilvl w:val="0"/>
          <w:numId w:val="271"/>
        </w:numPr>
        <w:spacing w:after="0" w:line="240" w:lineRule="auto"/>
        <w:jc w:val="both"/>
        <w:rPr>
          <w:rFonts w:ascii="Times New Roman" w:hAnsi="Times New Roman" w:cs="Times New Roman"/>
        </w:rPr>
      </w:pPr>
      <w:r w:rsidRPr="00D00A95">
        <w:rPr>
          <w:rFonts w:ascii="Times New Roman" w:hAnsi="Times New Roman" w:cs="Times New Roman"/>
        </w:rPr>
        <w:t>Boros J</w:t>
      </w:r>
      <w:r>
        <w:rPr>
          <w:rFonts w:ascii="Times New Roman" w:hAnsi="Times New Roman" w:cs="Times New Roman"/>
        </w:rPr>
        <w:t>.</w:t>
      </w:r>
      <w:r w:rsidRPr="00D00A95">
        <w:rPr>
          <w:rFonts w:ascii="Times New Roman" w:hAnsi="Times New Roman" w:cs="Times New Roman"/>
        </w:rPr>
        <w:t>: Katonai közúti szállítások szervezése és végrehajtása I. rész – Katonai gépkocsi szállítások szervezése és végrehajtása (ZMKA tankönyv, Budapest 1980.);</w:t>
      </w:r>
    </w:p>
    <w:p w:rsidR="00D00A95" w:rsidRPr="00D00A95" w:rsidRDefault="00D00A95" w:rsidP="00980876">
      <w:pPr>
        <w:widowControl w:val="0"/>
        <w:numPr>
          <w:ilvl w:val="1"/>
          <w:numId w:val="270"/>
        </w:numPr>
        <w:tabs>
          <w:tab w:val="num" w:pos="567"/>
          <w:tab w:val="num" w:pos="2069"/>
        </w:tabs>
        <w:spacing w:before="120" w:after="120" w:line="240" w:lineRule="auto"/>
        <w:ind w:left="993" w:hanging="709"/>
        <w:jc w:val="both"/>
        <w:rPr>
          <w:rFonts w:ascii="Times New Roman" w:eastAsia="Times New Roman" w:hAnsi="Times New Roman" w:cs="Times New Roman"/>
          <w:b/>
          <w:bCs/>
        </w:rPr>
      </w:pPr>
      <w:r w:rsidRPr="00D00A95">
        <w:rPr>
          <w:rFonts w:ascii="Times New Roman" w:eastAsia="Times New Roman" w:hAnsi="Times New Roman" w:cs="Times New Roman"/>
          <w:b/>
          <w:bCs/>
        </w:rPr>
        <w:t>Ajánlott irodalom:</w:t>
      </w:r>
    </w:p>
    <w:p w:rsidR="0043204C" w:rsidRPr="00D00A95" w:rsidRDefault="0043204C" w:rsidP="00980876">
      <w:pPr>
        <w:numPr>
          <w:ilvl w:val="0"/>
          <w:numId w:val="272"/>
        </w:numPr>
        <w:spacing w:after="0" w:line="240" w:lineRule="auto"/>
        <w:jc w:val="both"/>
        <w:rPr>
          <w:rFonts w:ascii="Times New Roman" w:hAnsi="Times New Roman" w:cs="Times New Roman"/>
        </w:rPr>
      </w:pPr>
      <w:r w:rsidRPr="00D00A95">
        <w:rPr>
          <w:rFonts w:ascii="Times New Roman" w:hAnsi="Times New Roman" w:cs="Times New Roman"/>
        </w:rPr>
        <w:t>Dr. Fi I</w:t>
      </w:r>
      <w:r>
        <w:rPr>
          <w:rFonts w:ascii="Times New Roman" w:hAnsi="Times New Roman" w:cs="Times New Roman"/>
        </w:rPr>
        <w:t>.</w:t>
      </w:r>
      <w:r w:rsidRPr="00D00A95">
        <w:rPr>
          <w:rFonts w:ascii="Times New Roman" w:hAnsi="Times New Roman" w:cs="Times New Roman"/>
        </w:rPr>
        <w:t>: Forgalmi tervezés technika menedzsment (Műegyetemi Kiadó, Budapest 2000).</w:t>
      </w:r>
    </w:p>
    <w:p w:rsidR="00D00A95" w:rsidRPr="00D00A95" w:rsidRDefault="00D00A95" w:rsidP="00980876">
      <w:pPr>
        <w:numPr>
          <w:ilvl w:val="0"/>
          <w:numId w:val="272"/>
        </w:numPr>
        <w:spacing w:after="0" w:line="240" w:lineRule="auto"/>
        <w:jc w:val="both"/>
        <w:rPr>
          <w:rFonts w:ascii="Times New Roman" w:hAnsi="Times New Roman" w:cs="Times New Roman"/>
        </w:rPr>
      </w:pPr>
      <w:r w:rsidRPr="00D00A95">
        <w:rPr>
          <w:rFonts w:ascii="Times New Roman" w:hAnsi="Times New Roman" w:cs="Times New Roman"/>
        </w:rPr>
        <w:t>Dr. Mátyus – Szabó: Áruszállítási technológiák I.-II. (SZIE, Győr, 1995);</w:t>
      </w:r>
    </w:p>
    <w:p w:rsidR="0043204C" w:rsidRPr="00D00A95" w:rsidRDefault="0043204C" w:rsidP="00980876">
      <w:pPr>
        <w:numPr>
          <w:ilvl w:val="0"/>
          <w:numId w:val="272"/>
        </w:numPr>
        <w:spacing w:after="0" w:line="240" w:lineRule="auto"/>
        <w:jc w:val="both"/>
        <w:rPr>
          <w:rFonts w:ascii="Times New Roman" w:hAnsi="Times New Roman" w:cs="Times New Roman"/>
        </w:rPr>
      </w:pPr>
      <w:r w:rsidRPr="00D00A95">
        <w:rPr>
          <w:rFonts w:ascii="Times New Roman" w:hAnsi="Times New Roman" w:cs="Times New Roman"/>
        </w:rPr>
        <w:t>Dr. Kovács Ferenc: Közlekedéstan (SZIE, Győr, 1995).</w:t>
      </w:r>
    </w:p>
    <w:p w:rsidR="00D00A95" w:rsidRPr="00D00A95" w:rsidRDefault="00D00A95" w:rsidP="00980876">
      <w:pPr>
        <w:numPr>
          <w:ilvl w:val="0"/>
          <w:numId w:val="272"/>
        </w:numPr>
        <w:spacing w:after="0" w:line="240" w:lineRule="auto"/>
        <w:jc w:val="both"/>
        <w:rPr>
          <w:rFonts w:ascii="Times New Roman" w:hAnsi="Times New Roman" w:cs="Times New Roman"/>
        </w:rPr>
      </w:pPr>
      <w:r w:rsidRPr="00D00A95">
        <w:rPr>
          <w:rFonts w:ascii="Times New Roman" w:hAnsi="Times New Roman" w:cs="Times New Roman"/>
        </w:rPr>
        <w:t>Bereczki András: Városi közlekedés (Tankönyvkiadó, Budapest 1990);</w:t>
      </w:r>
    </w:p>
    <w:p w:rsidR="00D00A95" w:rsidRPr="00D00A95" w:rsidRDefault="00D00A95" w:rsidP="00D00A95">
      <w:pPr>
        <w:pStyle w:val="Listaszerbekezds"/>
        <w:widowControl w:val="0"/>
        <w:spacing w:after="0" w:line="240" w:lineRule="auto"/>
        <w:jc w:val="both"/>
        <w:rPr>
          <w:rFonts w:ascii="Times New Roman" w:eastAsia="Times New Roman" w:hAnsi="Times New Roman" w:cs="Times New Roman"/>
          <w:highlight w:val="lightGray"/>
        </w:rPr>
      </w:pPr>
    </w:p>
    <w:p w:rsidR="00D00A95" w:rsidRPr="00D00A95" w:rsidRDefault="00D00A95" w:rsidP="00D00A95">
      <w:pPr>
        <w:widowControl w:val="0"/>
        <w:spacing w:before="120" w:after="12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Bdapest, 2020. </w:t>
      </w:r>
      <w:r w:rsidR="00D94E0A">
        <w:rPr>
          <w:rFonts w:ascii="Times New Roman" w:eastAsia="Times New Roman" w:hAnsi="Times New Roman" w:cs="Times New Roman"/>
          <w:bCs/>
        </w:rPr>
        <w:t>március</w:t>
      </w:r>
      <w:r>
        <w:rPr>
          <w:rFonts w:ascii="Times New Roman" w:eastAsia="Times New Roman" w:hAnsi="Times New Roman" w:cs="Times New Roman"/>
          <w:bCs/>
        </w:rPr>
        <w:t xml:space="preserve">     -n</w:t>
      </w:r>
    </w:p>
    <w:p w:rsidR="00D00A95" w:rsidRPr="00D00A95" w:rsidRDefault="00D00A95" w:rsidP="00D00A95">
      <w:pPr>
        <w:tabs>
          <w:tab w:val="right" w:pos="900"/>
        </w:tabs>
        <w:spacing w:before="120"/>
        <w:ind w:left="1985" w:hanging="1980"/>
        <w:jc w:val="both"/>
        <w:rPr>
          <w:rFonts w:ascii="Times New Roman" w:hAnsi="Times New Roman" w:cs="Times New Roman"/>
          <w:bCs/>
          <w:lang w:eastAsia="x-none"/>
        </w:rPr>
      </w:pPr>
    </w:p>
    <w:p w:rsidR="00D00A95" w:rsidRPr="00D00A95" w:rsidRDefault="00D00A95" w:rsidP="00D00A95">
      <w:pPr>
        <w:tabs>
          <w:tab w:val="right" w:pos="900"/>
        </w:tabs>
        <w:spacing w:after="0"/>
        <w:rPr>
          <w:rFonts w:ascii="Times New Roman" w:hAnsi="Times New Roman" w:cs="Times New Roman"/>
          <w:bCs/>
          <w:lang w:val="x-none" w:eastAsia="x-none"/>
        </w:rPr>
      </w:pPr>
      <w:r w:rsidRPr="00D00A95">
        <w:rPr>
          <w:rFonts w:ascii="Times New Roman" w:hAnsi="Times New Roman" w:cs="Times New Roman"/>
          <w:b/>
          <w:lang w:eastAsia="x-none"/>
        </w:rPr>
        <w:tab/>
      </w:r>
      <w:r w:rsidRPr="00D00A95">
        <w:rPr>
          <w:rFonts w:ascii="Times New Roman" w:hAnsi="Times New Roman" w:cs="Times New Roman"/>
          <w:b/>
          <w:lang w:eastAsia="x-none"/>
        </w:rPr>
        <w:tab/>
      </w:r>
      <w:r w:rsidRPr="00D00A95">
        <w:rPr>
          <w:rFonts w:ascii="Times New Roman" w:hAnsi="Times New Roman" w:cs="Times New Roman"/>
          <w:b/>
          <w:lang w:eastAsia="x-none"/>
        </w:rPr>
        <w:tab/>
      </w:r>
      <w:r w:rsidRPr="00D00A95">
        <w:rPr>
          <w:rFonts w:ascii="Times New Roman" w:hAnsi="Times New Roman" w:cs="Times New Roman"/>
          <w:b/>
          <w:lang w:eastAsia="x-none"/>
        </w:rPr>
        <w:tab/>
      </w:r>
      <w:r w:rsidRPr="00D00A95">
        <w:rPr>
          <w:rFonts w:ascii="Times New Roman" w:hAnsi="Times New Roman" w:cs="Times New Roman"/>
          <w:b/>
          <w:lang w:eastAsia="x-none"/>
        </w:rPr>
        <w:tab/>
      </w:r>
      <w:r w:rsidRPr="00D00A95">
        <w:rPr>
          <w:rFonts w:ascii="Times New Roman" w:hAnsi="Times New Roman" w:cs="Times New Roman"/>
          <w:b/>
          <w:lang w:eastAsia="x-none"/>
        </w:rPr>
        <w:tab/>
        <w:t xml:space="preserve">  </w:t>
      </w:r>
      <w:r w:rsidRPr="00D00A95">
        <w:rPr>
          <w:rFonts w:ascii="Times New Roman" w:hAnsi="Times New Roman" w:cs="Times New Roman"/>
          <w:b/>
          <w:lang w:eastAsia="x-none"/>
        </w:rPr>
        <w:tab/>
        <w:t xml:space="preserve">         Dr. Fábos Róbert adjunktus, PhD</w:t>
      </w:r>
    </w:p>
    <w:p w:rsidR="00D00A95" w:rsidRPr="00D00A95" w:rsidRDefault="00D00A95" w:rsidP="00D00A95">
      <w:pPr>
        <w:spacing w:after="0"/>
        <w:ind w:left="5672" w:firstLine="709"/>
        <w:rPr>
          <w:rFonts w:ascii="Times New Roman" w:hAnsi="Times New Roman" w:cs="Times New Roman"/>
          <w:bCs/>
        </w:rPr>
      </w:pPr>
      <w:r w:rsidRPr="00D00A95">
        <w:rPr>
          <w:rFonts w:ascii="Times New Roman" w:hAnsi="Times New Roman" w:cs="Times New Roman"/>
          <w:bCs/>
        </w:rPr>
        <w:t>tantárgyfelelős</w:t>
      </w:r>
    </w:p>
    <w:p w:rsidR="00D00A95" w:rsidRDefault="00D00A95" w:rsidP="00D00A95">
      <w:pPr>
        <w:rPr>
          <w:rFonts w:cstheme="minorHAnsi"/>
        </w:rPr>
      </w:pPr>
    </w:p>
    <w:p w:rsidR="00A61929" w:rsidRDefault="00A61929">
      <w:pPr>
        <w:spacing w:after="200" w:line="276" w:lineRule="auto"/>
        <w:rPr>
          <w:rFonts w:ascii="Times New Roman" w:hAnsi="Times New Roman" w:cs="Times New Roman"/>
          <w:sz w:val="24"/>
        </w:rPr>
      </w:pPr>
    </w:p>
    <w:p w:rsidR="00D00A95" w:rsidRDefault="00D00A95">
      <w:pPr>
        <w:spacing w:after="200" w:line="276" w:lineRule="auto"/>
        <w:rPr>
          <w:rFonts w:ascii="Times New Roman" w:hAnsi="Times New Roman" w:cs="Times New Roman"/>
          <w:sz w:val="24"/>
        </w:rPr>
      </w:pPr>
      <w:r>
        <w:rPr>
          <w:rFonts w:ascii="Times New Roman" w:hAnsi="Times New Roman" w:cs="Times New Roman"/>
          <w:sz w:val="24"/>
        </w:rPr>
        <w:br w:type="page"/>
      </w:r>
    </w:p>
    <w:tbl>
      <w:tblPr>
        <w:tblW w:w="9072" w:type="dxa"/>
        <w:tblInd w:w="113" w:type="dxa"/>
        <w:tblLook w:val="01E0" w:firstRow="1" w:lastRow="1" w:firstColumn="1" w:lastColumn="1" w:noHBand="0" w:noVBand="0"/>
      </w:tblPr>
      <w:tblGrid>
        <w:gridCol w:w="4855"/>
        <w:gridCol w:w="1620"/>
        <w:gridCol w:w="2597"/>
      </w:tblGrid>
      <w:tr w:rsidR="00D00A95" w:rsidRPr="00920D61" w:rsidTr="00D00A95">
        <w:tc>
          <w:tcPr>
            <w:tcW w:w="4855" w:type="dxa"/>
            <w:tcBorders>
              <w:top w:val="nil"/>
              <w:left w:val="nil"/>
              <w:bottom w:val="single" w:sz="4" w:space="0" w:color="auto"/>
              <w:right w:val="nil"/>
            </w:tcBorders>
            <w:hideMark/>
          </w:tcPr>
          <w:p w:rsidR="00D00A95" w:rsidRPr="00920D61" w:rsidRDefault="00D00A95">
            <w:pPr>
              <w:spacing w:after="0" w:line="240" w:lineRule="auto"/>
              <w:jc w:val="center"/>
              <w:rPr>
                <w:rFonts w:ascii="Times New Roman" w:eastAsia="Times New Roman" w:hAnsi="Times New Roman" w:cs="Times New Roman"/>
                <w:b/>
                <w:smallCaps/>
                <w:lang w:eastAsia="hu-HU"/>
              </w:rPr>
            </w:pPr>
            <w:r w:rsidRPr="00920D61">
              <w:rPr>
                <w:rFonts w:ascii="Times New Roman" w:eastAsia="Times New Roman" w:hAnsi="Times New Roman" w:cs="Times New Roman"/>
                <w:b/>
                <w:smallCaps/>
                <w:lang w:eastAsia="hu-HU"/>
              </w:rPr>
              <w:lastRenderedPageBreak/>
              <w:t>Nemzeti Közszolgálati Egyetem</w:t>
            </w:r>
          </w:p>
        </w:tc>
        <w:tc>
          <w:tcPr>
            <w:tcW w:w="1620" w:type="dxa"/>
          </w:tcPr>
          <w:p w:rsidR="00D00A95" w:rsidRPr="00920D61" w:rsidRDefault="00D00A95">
            <w:pPr>
              <w:spacing w:after="0" w:line="240" w:lineRule="auto"/>
              <w:jc w:val="both"/>
              <w:rPr>
                <w:rFonts w:ascii="Times New Roman" w:eastAsia="Times New Roman" w:hAnsi="Times New Roman" w:cs="Times New Roman"/>
                <w:lang w:eastAsia="hu-HU"/>
              </w:rPr>
            </w:pPr>
          </w:p>
        </w:tc>
        <w:tc>
          <w:tcPr>
            <w:tcW w:w="2597" w:type="dxa"/>
          </w:tcPr>
          <w:p w:rsidR="00D00A95" w:rsidRPr="00920D61" w:rsidRDefault="00D00A95">
            <w:pPr>
              <w:spacing w:after="0" w:line="240" w:lineRule="auto"/>
              <w:jc w:val="right"/>
              <w:rPr>
                <w:rFonts w:ascii="Times New Roman" w:eastAsia="Times New Roman" w:hAnsi="Times New Roman" w:cs="Times New Roman"/>
                <w:lang w:eastAsia="hu-HU"/>
              </w:rPr>
            </w:pPr>
          </w:p>
        </w:tc>
      </w:tr>
      <w:tr w:rsidR="00D00A95" w:rsidRPr="00920D61" w:rsidTr="00D00A95">
        <w:tc>
          <w:tcPr>
            <w:tcW w:w="4855" w:type="dxa"/>
            <w:tcBorders>
              <w:top w:val="single" w:sz="4" w:space="0" w:color="auto"/>
              <w:left w:val="nil"/>
              <w:bottom w:val="nil"/>
              <w:right w:val="nil"/>
            </w:tcBorders>
            <w:hideMark/>
          </w:tcPr>
          <w:p w:rsidR="00D00A95" w:rsidRPr="00920D61" w:rsidRDefault="00D00A95">
            <w:pPr>
              <w:spacing w:after="0" w:line="240" w:lineRule="auto"/>
              <w:jc w:val="center"/>
              <w:rPr>
                <w:rFonts w:ascii="Times New Roman" w:eastAsia="Times New Roman" w:hAnsi="Times New Roman" w:cs="Times New Roman"/>
                <w:b/>
                <w:lang w:eastAsia="hu-HU"/>
              </w:rPr>
            </w:pPr>
            <w:r w:rsidRPr="00920D61">
              <w:rPr>
                <w:rFonts w:ascii="Times New Roman" w:eastAsia="Times New Roman" w:hAnsi="Times New Roman" w:cs="Times New Roman"/>
                <w:b/>
                <w:lang w:eastAsia="hu-HU"/>
              </w:rPr>
              <w:t>Hadtudományi és Honvédtisztképző Kar</w:t>
            </w:r>
          </w:p>
        </w:tc>
        <w:tc>
          <w:tcPr>
            <w:tcW w:w="1620" w:type="dxa"/>
          </w:tcPr>
          <w:p w:rsidR="00D00A95" w:rsidRPr="00920D61" w:rsidRDefault="00D00A95">
            <w:pPr>
              <w:spacing w:after="0" w:line="240" w:lineRule="auto"/>
              <w:jc w:val="both"/>
              <w:rPr>
                <w:rFonts w:ascii="Times New Roman" w:eastAsia="Times New Roman" w:hAnsi="Times New Roman" w:cs="Times New Roman"/>
                <w:lang w:eastAsia="hu-HU"/>
              </w:rPr>
            </w:pPr>
          </w:p>
        </w:tc>
        <w:tc>
          <w:tcPr>
            <w:tcW w:w="2597" w:type="dxa"/>
          </w:tcPr>
          <w:p w:rsidR="00D00A95" w:rsidRPr="00920D61" w:rsidRDefault="00D00A95">
            <w:pPr>
              <w:spacing w:after="0" w:line="240" w:lineRule="auto"/>
              <w:jc w:val="both"/>
              <w:rPr>
                <w:rFonts w:ascii="Times New Roman" w:eastAsia="Times New Roman" w:hAnsi="Times New Roman" w:cs="Times New Roman"/>
                <w:lang w:eastAsia="hu-HU"/>
              </w:rPr>
            </w:pPr>
          </w:p>
        </w:tc>
      </w:tr>
    </w:tbl>
    <w:p w:rsidR="00D00A95" w:rsidRPr="00920D61" w:rsidRDefault="00D00A95" w:rsidP="00D00A95">
      <w:pPr>
        <w:widowControl w:val="0"/>
        <w:spacing w:before="120" w:after="120" w:line="240" w:lineRule="auto"/>
        <w:ind w:left="426" w:hanging="142"/>
        <w:jc w:val="center"/>
        <w:rPr>
          <w:rFonts w:ascii="Times New Roman" w:eastAsia="Times New Roman" w:hAnsi="Times New Roman" w:cs="Times New Roman"/>
          <w:b/>
          <w:bCs/>
        </w:rPr>
      </w:pPr>
    </w:p>
    <w:p w:rsidR="00D00A95" w:rsidRPr="00920D61" w:rsidRDefault="00D00A95" w:rsidP="00D00A95">
      <w:pPr>
        <w:widowControl w:val="0"/>
        <w:spacing w:before="120" w:after="120" w:line="240" w:lineRule="auto"/>
        <w:ind w:left="426" w:hanging="142"/>
        <w:jc w:val="center"/>
        <w:rPr>
          <w:rFonts w:ascii="Times New Roman" w:eastAsia="Times New Roman" w:hAnsi="Times New Roman" w:cs="Times New Roman"/>
          <w:b/>
          <w:bCs/>
        </w:rPr>
      </w:pPr>
      <w:r w:rsidRPr="00920D61">
        <w:rPr>
          <w:rFonts w:ascii="Times New Roman" w:eastAsia="Times New Roman" w:hAnsi="Times New Roman" w:cs="Times New Roman"/>
          <w:b/>
          <w:bCs/>
        </w:rPr>
        <w:t>TANTÁRGYI PROGRAM</w:t>
      </w:r>
    </w:p>
    <w:p w:rsidR="00D00A95" w:rsidRPr="00920D61" w:rsidRDefault="00D00A95" w:rsidP="00980876">
      <w:pPr>
        <w:widowControl w:val="0"/>
        <w:numPr>
          <w:ilvl w:val="0"/>
          <w:numId w:val="274"/>
        </w:numPr>
        <w:spacing w:before="120" w:after="120" w:line="240" w:lineRule="auto"/>
        <w:ind w:left="426" w:hanging="142"/>
        <w:jc w:val="both"/>
        <w:rPr>
          <w:rFonts w:ascii="Times New Roman" w:eastAsia="Times New Roman" w:hAnsi="Times New Roman" w:cs="Times New Roman"/>
          <w:bCs/>
        </w:rPr>
      </w:pPr>
      <w:r w:rsidRPr="00920D61">
        <w:rPr>
          <w:rFonts w:ascii="Times New Roman" w:eastAsia="Times New Roman" w:hAnsi="Times New Roman" w:cs="Times New Roman"/>
          <w:b/>
          <w:bCs/>
        </w:rPr>
        <w:t xml:space="preserve">A tantárgy kódja: </w:t>
      </w:r>
      <w:r w:rsidRPr="00920D61">
        <w:rPr>
          <w:rFonts w:ascii="Times New Roman" w:hAnsi="Times New Roman" w:cs="Times New Roman"/>
        </w:rPr>
        <w:t>HKHPKA310</w:t>
      </w:r>
    </w:p>
    <w:p w:rsidR="00D00A95" w:rsidRPr="00920D61" w:rsidRDefault="00D00A95" w:rsidP="00980876">
      <w:pPr>
        <w:widowControl w:val="0"/>
        <w:numPr>
          <w:ilvl w:val="0"/>
          <w:numId w:val="274"/>
        </w:numPr>
        <w:spacing w:before="120" w:after="120" w:line="240" w:lineRule="auto"/>
        <w:ind w:left="426" w:hanging="142"/>
        <w:jc w:val="both"/>
        <w:rPr>
          <w:rFonts w:ascii="Times New Roman" w:eastAsia="Times New Roman" w:hAnsi="Times New Roman" w:cs="Times New Roman"/>
          <w:b/>
          <w:bCs/>
          <w:lang w:val="en-GB"/>
        </w:rPr>
      </w:pPr>
      <w:r w:rsidRPr="00920D61">
        <w:rPr>
          <w:rFonts w:ascii="Times New Roman" w:eastAsia="Times New Roman" w:hAnsi="Times New Roman" w:cs="Times New Roman"/>
          <w:b/>
          <w:bCs/>
        </w:rPr>
        <w:t>A tantárgy megnevezése (magyarul):</w:t>
      </w:r>
      <w:r w:rsidRPr="00920D61">
        <w:rPr>
          <w:rFonts w:ascii="Times New Roman" w:eastAsia="Times New Roman" w:hAnsi="Times New Roman" w:cs="Times New Roman"/>
          <w:bCs/>
        </w:rPr>
        <w:t xml:space="preserve"> </w:t>
      </w:r>
      <w:r w:rsidRPr="00920D61">
        <w:rPr>
          <w:rFonts w:ascii="Times New Roman" w:hAnsi="Times New Roman" w:cs="Times New Roman"/>
        </w:rPr>
        <w:t>Katonai szállító járművek II.</w:t>
      </w:r>
    </w:p>
    <w:p w:rsidR="00D00A95" w:rsidRPr="00920D61" w:rsidRDefault="00D00A95" w:rsidP="00980876">
      <w:pPr>
        <w:widowControl w:val="0"/>
        <w:numPr>
          <w:ilvl w:val="0"/>
          <w:numId w:val="274"/>
        </w:numPr>
        <w:spacing w:before="120" w:after="120" w:line="240" w:lineRule="auto"/>
        <w:ind w:left="426" w:hanging="142"/>
        <w:jc w:val="both"/>
        <w:rPr>
          <w:rFonts w:ascii="Times New Roman" w:eastAsia="Times New Roman" w:hAnsi="Times New Roman" w:cs="Times New Roman"/>
          <w:b/>
          <w:bCs/>
          <w:lang w:val="en-GB"/>
        </w:rPr>
      </w:pPr>
      <w:r w:rsidRPr="00920D61">
        <w:rPr>
          <w:rFonts w:ascii="Times New Roman" w:eastAsia="Times New Roman" w:hAnsi="Times New Roman" w:cs="Times New Roman"/>
          <w:b/>
          <w:bCs/>
        </w:rPr>
        <w:t xml:space="preserve">A tantárgy megnevezése (angolul): </w:t>
      </w:r>
      <w:r w:rsidRPr="00920D61">
        <w:rPr>
          <w:rFonts w:ascii="Times New Roman" w:hAnsi="Times New Roman" w:cs="Times New Roman"/>
          <w:bCs/>
          <w:lang w:val="en-US"/>
        </w:rPr>
        <w:t>Military Transportation Vehicles</w:t>
      </w:r>
      <w:r w:rsidRPr="00920D61">
        <w:rPr>
          <w:rFonts w:ascii="Times New Roman" w:hAnsi="Times New Roman" w:cs="Times New Roman"/>
          <w:bCs/>
        </w:rPr>
        <w:t xml:space="preserve"> II.</w:t>
      </w:r>
    </w:p>
    <w:p w:rsidR="00D00A95" w:rsidRPr="00920D61" w:rsidRDefault="00D00A95" w:rsidP="00980876">
      <w:pPr>
        <w:widowControl w:val="0"/>
        <w:numPr>
          <w:ilvl w:val="0"/>
          <w:numId w:val="274"/>
        </w:numPr>
        <w:spacing w:before="120" w:after="120" w:line="240" w:lineRule="auto"/>
        <w:ind w:left="426" w:hanging="142"/>
        <w:jc w:val="both"/>
        <w:rPr>
          <w:rFonts w:ascii="Times New Roman" w:eastAsia="Times New Roman" w:hAnsi="Times New Roman" w:cs="Times New Roman"/>
          <w:b/>
          <w:bCs/>
        </w:rPr>
      </w:pPr>
      <w:r w:rsidRPr="00920D61">
        <w:rPr>
          <w:rFonts w:ascii="Times New Roman" w:eastAsia="Times New Roman" w:hAnsi="Times New Roman" w:cs="Times New Roman"/>
          <w:b/>
          <w:bCs/>
        </w:rPr>
        <w:t xml:space="preserve">Kreditérték és képzési karakter: </w:t>
      </w:r>
    </w:p>
    <w:p w:rsidR="00D00A95" w:rsidRPr="00920D61" w:rsidRDefault="00D00A95" w:rsidP="00980876">
      <w:pPr>
        <w:pStyle w:val="Listaszerbekezds"/>
        <w:widowControl w:val="0"/>
        <w:numPr>
          <w:ilvl w:val="1"/>
          <w:numId w:val="274"/>
        </w:numPr>
        <w:spacing w:before="120" w:after="120" w:line="240" w:lineRule="auto"/>
        <w:ind w:left="993" w:hanging="426"/>
        <w:jc w:val="both"/>
        <w:rPr>
          <w:rFonts w:ascii="Times New Roman" w:eastAsia="Times New Roman" w:hAnsi="Times New Roman" w:cs="Times New Roman"/>
          <w:b/>
          <w:bCs/>
        </w:rPr>
      </w:pPr>
      <w:r w:rsidRPr="00920D61">
        <w:rPr>
          <w:rFonts w:ascii="Times New Roman" w:eastAsia="Times New Roman" w:hAnsi="Times New Roman" w:cs="Times New Roman"/>
          <w:bCs/>
        </w:rPr>
        <w:t>3 kredit</w:t>
      </w:r>
    </w:p>
    <w:p w:rsidR="00D00A95" w:rsidRPr="00920D61" w:rsidRDefault="00D00A95" w:rsidP="00980876">
      <w:pPr>
        <w:pStyle w:val="Listaszerbekezds"/>
        <w:widowControl w:val="0"/>
        <w:numPr>
          <w:ilvl w:val="1"/>
          <w:numId w:val="274"/>
        </w:numPr>
        <w:spacing w:before="120" w:after="120" w:line="240" w:lineRule="auto"/>
        <w:ind w:left="993" w:hanging="426"/>
        <w:jc w:val="both"/>
        <w:rPr>
          <w:rFonts w:ascii="Times New Roman" w:eastAsia="Times New Roman" w:hAnsi="Times New Roman" w:cs="Times New Roman"/>
          <w:b/>
          <w:bCs/>
        </w:rPr>
      </w:pPr>
      <w:r w:rsidRPr="00920D61">
        <w:rPr>
          <w:rFonts w:ascii="Times New Roman" w:eastAsia="Times New Roman" w:hAnsi="Times New Roman" w:cs="Times New Roman"/>
          <w:bCs/>
        </w:rPr>
        <w:t>a tantárgy elméleti vagy gyakorlati jellegének mértéke: 33</w:t>
      </w:r>
      <w:r w:rsidRPr="00920D61">
        <w:rPr>
          <w:rFonts w:ascii="Times New Roman" w:eastAsia="Times New Roman" w:hAnsi="Times New Roman" w:cs="Times New Roman"/>
          <w:b/>
          <w:bCs/>
        </w:rPr>
        <w:t xml:space="preserve"> </w:t>
      </w:r>
      <w:r w:rsidRPr="00920D61">
        <w:rPr>
          <w:rFonts w:ascii="Times New Roman" w:eastAsia="Times New Roman" w:hAnsi="Times New Roman" w:cs="Times New Roman"/>
          <w:bCs/>
        </w:rPr>
        <w:t>% gyakorlat, 67 % elmélet</w:t>
      </w:r>
    </w:p>
    <w:p w:rsidR="00D00A95" w:rsidRPr="00920D61" w:rsidRDefault="00D00A95" w:rsidP="00980876">
      <w:pPr>
        <w:widowControl w:val="0"/>
        <w:numPr>
          <w:ilvl w:val="0"/>
          <w:numId w:val="274"/>
        </w:numPr>
        <w:spacing w:before="120" w:after="120" w:line="240" w:lineRule="auto"/>
        <w:ind w:left="426" w:hanging="142"/>
        <w:jc w:val="both"/>
        <w:rPr>
          <w:rFonts w:ascii="Times New Roman" w:eastAsia="Times New Roman" w:hAnsi="Times New Roman" w:cs="Times New Roman"/>
          <w:bCs/>
        </w:rPr>
      </w:pPr>
      <w:r w:rsidRPr="00920D61">
        <w:rPr>
          <w:rFonts w:ascii="Times New Roman" w:eastAsia="Times New Roman" w:hAnsi="Times New Roman" w:cs="Times New Roman"/>
          <w:b/>
          <w:bCs/>
        </w:rPr>
        <w:t>A szak(ok), szakirányok/specializációk megnevezése (ahol oktatják):</w:t>
      </w:r>
      <w:r w:rsidRPr="00920D61">
        <w:rPr>
          <w:rFonts w:ascii="Times New Roman" w:eastAsia="Times New Roman" w:hAnsi="Times New Roman" w:cs="Times New Roman"/>
          <w:bCs/>
        </w:rPr>
        <w:t xml:space="preserve"> Katonai logisztika alapképzési szak, Katonai közlekedési specializáció</w:t>
      </w:r>
    </w:p>
    <w:p w:rsidR="00D00A95" w:rsidRPr="00920D61" w:rsidRDefault="00D00A95" w:rsidP="00980876">
      <w:pPr>
        <w:widowControl w:val="0"/>
        <w:numPr>
          <w:ilvl w:val="0"/>
          <w:numId w:val="274"/>
        </w:numPr>
        <w:spacing w:before="120" w:after="120" w:line="240" w:lineRule="auto"/>
        <w:ind w:left="426" w:hanging="142"/>
        <w:jc w:val="both"/>
        <w:rPr>
          <w:rFonts w:ascii="Times New Roman" w:eastAsia="Times New Roman" w:hAnsi="Times New Roman" w:cs="Times New Roman"/>
          <w:bCs/>
        </w:rPr>
      </w:pPr>
      <w:r w:rsidRPr="00920D61">
        <w:rPr>
          <w:rFonts w:ascii="Times New Roman" w:eastAsia="Times New Roman" w:hAnsi="Times New Roman" w:cs="Times New Roman"/>
          <w:b/>
          <w:bCs/>
        </w:rPr>
        <w:t xml:space="preserve">Az oktatásért felelős oktatási szervezeti egység megnevezése: </w:t>
      </w:r>
      <w:r w:rsidRPr="00920D61">
        <w:rPr>
          <w:rFonts w:ascii="Times New Roman" w:eastAsia="Times New Roman" w:hAnsi="Times New Roman" w:cs="Times New Roman"/>
          <w:bCs/>
        </w:rPr>
        <w:t>NKE HHK, Hadtáp, Pénzügyi és Katonai Közlekedési Tanszék</w:t>
      </w:r>
    </w:p>
    <w:p w:rsidR="00D00A95" w:rsidRPr="00920D61" w:rsidRDefault="00D00A95" w:rsidP="00980876">
      <w:pPr>
        <w:widowControl w:val="0"/>
        <w:numPr>
          <w:ilvl w:val="0"/>
          <w:numId w:val="274"/>
        </w:numPr>
        <w:spacing w:before="120" w:after="120" w:line="240" w:lineRule="auto"/>
        <w:ind w:left="426" w:hanging="142"/>
        <w:jc w:val="both"/>
        <w:rPr>
          <w:rFonts w:ascii="Times New Roman" w:eastAsia="Times New Roman" w:hAnsi="Times New Roman" w:cs="Times New Roman"/>
          <w:bCs/>
        </w:rPr>
      </w:pPr>
      <w:r w:rsidRPr="00920D61">
        <w:rPr>
          <w:rFonts w:ascii="Times New Roman" w:eastAsia="Times New Roman" w:hAnsi="Times New Roman" w:cs="Times New Roman"/>
          <w:b/>
          <w:bCs/>
        </w:rPr>
        <w:t>A tantárgyfelelős oktató neve, beosztása, tudományos fokozata:</w:t>
      </w:r>
      <w:r w:rsidRPr="00920D61">
        <w:rPr>
          <w:rFonts w:ascii="Times New Roman" w:eastAsia="Times New Roman" w:hAnsi="Times New Roman" w:cs="Times New Roman"/>
          <w:bCs/>
        </w:rPr>
        <w:t xml:space="preserve"> Dr. Fábos Róbert, PhD, adjunktus</w:t>
      </w:r>
    </w:p>
    <w:p w:rsidR="00D00A95" w:rsidRPr="00920D61" w:rsidRDefault="00D00A95" w:rsidP="00980876">
      <w:pPr>
        <w:widowControl w:val="0"/>
        <w:numPr>
          <w:ilvl w:val="0"/>
          <w:numId w:val="274"/>
        </w:numPr>
        <w:spacing w:before="120" w:after="120" w:line="240" w:lineRule="auto"/>
        <w:ind w:left="426" w:hanging="142"/>
        <w:jc w:val="both"/>
        <w:rPr>
          <w:rFonts w:ascii="Times New Roman" w:eastAsia="Times New Roman" w:hAnsi="Times New Roman" w:cs="Times New Roman"/>
          <w:bCs/>
        </w:rPr>
      </w:pPr>
      <w:r w:rsidRPr="00920D61">
        <w:rPr>
          <w:rFonts w:ascii="Times New Roman" w:eastAsia="Times New Roman" w:hAnsi="Times New Roman" w:cs="Times New Roman"/>
          <w:b/>
          <w:bCs/>
        </w:rPr>
        <w:t>A tanórák száma és típusa</w:t>
      </w:r>
    </w:p>
    <w:p w:rsidR="00D00A95" w:rsidRPr="00920D61" w:rsidRDefault="00D00A95" w:rsidP="00980876">
      <w:pPr>
        <w:widowControl w:val="0"/>
        <w:numPr>
          <w:ilvl w:val="1"/>
          <w:numId w:val="274"/>
        </w:numPr>
        <w:tabs>
          <w:tab w:val="num" w:pos="2069"/>
        </w:tabs>
        <w:spacing w:before="120" w:after="120" w:line="240" w:lineRule="auto"/>
        <w:ind w:left="851" w:hanging="425"/>
        <w:jc w:val="both"/>
        <w:rPr>
          <w:rFonts w:ascii="Times New Roman" w:eastAsia="Times New Roman" w:hAnsi="Times New Roman" w:cs="Times New Roman"/>
          <w:bCs/>
        </w:rPr>
      </w:pPr>
      <w:r w:rsidRPr="00920D61">
        <w:rPr>
          <w:rFonts w:ascii="Times New Roman" w:eastAsia="Times New Roman" w:hAnsi="Times New Roman" w:cs="Times New Roman"/>
          <w:bCs/>
        </w:rPr>
        <w:t>össz óraszám/félév: 42</w:t>
      </w:r>
    </w:p>
    <w:p w:rsidR="00D00A95" w:rsidRPr="00920D61" w:rsidRDefault="00D00A95" w:rsidP="00980876">
      <w:pPr>
        <w:widowControl w:val="0"/>
        <w:numPr>
          <w:ilvl w:val="2"/>
          <w:numId w:val="274"/>
        </w:numPr>
        <w:tabs>
          <w:tab w:val="num" w:pos="1134"/>
        </w:tabs>
        <w:spacing w:before="120" w:after="120" w:line="240" w:lineRule="auto"/>
        <w:ind w:left="993" w:hanging="425"/>
        <w:jc w:val="both"/>
        <w:rPr>
          <w:rFonts w:ascii="Times New Roman" w:eastAsia="Times New Roman" w:hAnsi="Times New Roman" w:cs="Times New Roman"/>
          <w:bCs/>
        </w:rPr>
      </w:pPr>
      <w:r w:rsidRPr="00920D61">
        <w:rPr>
          <w:rFonts w:ascii="Times New Roman" w:eastAsia="Times New Roman" w:hAnsi="Times New Roman" w:cs="Times New Roman"/>
          <w:bCs/>
        </w:rPr>
        <w:t>nappali munkarend: 42 (28 EA + 0 SZ + 14 GY)</w:t>
      </w:r>
    </w:p>
    <w:p w:rsidR="00D00A95" w:rsidRPr="00920D61" w:rsidRDefault="00D00A95" w:rsidP="00980876">
      <w:pPr>
        <w:widowControl w:val="0"/>
        <w:numPr>
          <w:ilvl w:val="2"/>
          <w:numId w:val="274"/>
        </w:numPr>
        <w:tabs>
          <w:tab w:val="num" w:pos="1134"/>
        </w:tabs>
        <w:spacing w:before="120" w:after="120" w:line="240" w:lineRule="auto"/>
        <w:ind w:left="993" w:hanging="425"/>
        <w:jc w:val="both"/>
        <w:rPr>
          <w:rFonts w:ascii="Times New Roman" w:eastAsia="Times New Roman" w:hAnsi="Times New Roman" w:cs="Times New Roman"/>
          <w:bCs/>
        </w:rPr>
      </w:pPr>
      <w:r w:rsidRPr="00920D61">
        <w:rPr>
          <w:rFonts w:ascii="Times New Roman" w:eastAsia="Times New Roman" w:hAnsi="Times New Roman" w:cs="Times New Roman"/>
          <w:bCs/>
        </w:rPr>
        <w:t>levelező munkarend: 0 (0 EA + 0 SZ + 0 GY)</w:t>
      </w:r>
    </w:p>
    <w:p w:rsidR="00D00A95" w:rsidRPr="00920D61" w:rsidRDefault="00D00A95" w:rsidP="00980876">
      <w:pPr>
        <w:widowControl w:val="0"/>
        <w:numPr>
          <w:ilvl w:val="1"/>
          <w:numId w:val="274"/>
        </w:numPr>
        <w:tabs>
          <w:tab w:val="num" w:pos="2069"/>
        </w:tabs>
        <w:spacing w:before="120" w:after="120" w:line="240" w:lineRule="auto"/>
        <w:ind w:left="851" w:hanging="425"/>
        <w:jc w:val="both"/>
        <w:rPr>
          <w:rFonts w:ascii="Times New Roman" w:eastAsia="Times New Roman" w:hAnsi="Times New Roman" w:cs="Times New Roman"/>
          <w:bCs/>
        </w:rPr>
      </w:pPr>
      <w:r w:rsidRPr="00920D61">
        <w:rPr>
          <w:rFonts w:ascii="Times New Roman" w:eastAsia="Times New Roman" w:hAnsi="Times New Roman" w:cs="Times New Roman"/>
          <w:bCs/>
        </w:rPr>
        <w:t>heti óraszám - nappali munkarend: 3</w:t>
      </w:r>
    </w:p>
    <w:p w:rsidR="00D00A95" w:rsidRPr="00920D61" w:rsidRDefault="00D00A95" w:rsidP="00980876">
      <w:pPr>
        <w:widowControl w:val="0"/>
        <w:numPr>
          <w:ilvl w:val="1"/>
          <w:numId w:val="274"/>
        </w:numPr>
        <w:tabs>
          <w:tab w:val="num" w:pos="2069"/>
        </w:tabs>
        <w:spacing w:before="120" w:after="120" w:line="240" w:lineRule="auto"/>
        <w:ind w:left="851" w:hanging="425"/>
        <w:jc w:val="both"/>
        <w:rPr>
          <w:rFonts w:ascii="Times New Roman" w:eastAsia="Times New Roman" w:hAnsi="Times New Roman" w:cs="Times New Roman"/>
          <w:bCs/>
        </w:rPr>
      </w:pPr>
      <w:r w:rsidRPr="00920D61">
        <w:rPr>
          <w:rFonts w:ascii="Times New Roman" w:hAnsi="Times New Roman" w:cs="Times New Roman"/>
        </w:rPr>
        <w:t>Az ismeret átadásában alkalmazandó további sajátos módok, jellemzők: -</w:t>
      </w:r>
    </w:p>
    <w:p w:rsidR="00D00A95" w:rsidRPr="00920D61" w:rsidRDefault="00D00A95" w:rsidP="00980876">
      <w:pPr>
        <w:widowControl w:val="0"/>
        <w:numPr>
          <w:ilvl w:val="0"/>
          <w:numId w:val="274"/>
        </w:numPr>
        <w:spacing w:before="120" w:after="120" w:line="240" w:lineRule="auto"/>
        <w:ind w:left="426" w:hanging="142"/>
        <w:jc w:val="both"/>
        <w:rPr>
          <w:rFonts w:ascii="Times New Roman" w:eastAsia="Times New Roman" w:hAnsi="Times New Roman" w:cs="Times New Roman"/>
          <w:bCs/>
        </w:rPr>
      </w:pPr>
      <w:r w:rsidRPr="00920D61">
        <w:rPr>
          <w:rFonts w:ascii="Times New Roman" w:eastAsia="Times New Roman" w:hAnsi="Times New Roman" w:cs="Times New Roman"/>
          <w:b/>
          <w:bCs/>
        </w:rPr>
        <w:t>A tantárgy szakmai tartalma (magyarul):</w:t>
      </w:r>
      <w:r w:rsidRPr="00920D61">
        <w:rPr>
          <w:rFonts w:ascii="Times New Roman" w:eastAsia="Times New Roman" w:hAnsi="Times New Roman" w:cs="Times New Roman"/>
          <w:bCs/>
        </w:rPr>
        <w:t xml:space="preserve"> </w:t>
      </w:r>
      <w:r w:rsidRPr="00920D61">
        <w:rPr>
          <w:rFonts w:ascii="Times New Roman" w:hAnsi="Times New Roman" w:cs="Times New Roman"/>
        </w:rPr>
        <w:t xml:space="preserve">Közúti, vasúti, vízi és légi szállító járművek osztályozása. Hagyományos és speciális járművek típusismertetése. A katonai igénybevételekkel szembeni sajátos követelmények. Jármű-kiválasztási módszerek. A Magyar Honvédségben alkalmazott közúti szállító eszközök. Csapatszállítások során igénybevételre tervezett vasúti szaktechnikai eszközök. A központi és a csapattagozatban alkalmazott légi szállító eszközök. </w:t>
      </w:r>
    </w:p>
    <w:p w:rsidR="00D00A95" w:rsidRPr="00920D61" w:rsidRDefault="00D00A95" w:rsidP="00D00A95">
      <w:pPr>
        <w:widowControl w:val="0"/>
        <w:spacing w:before="120" w:after="120" w:line="240" w:lineRule="auto"/>
        <w:ind w:left="426"/>
        <w:jc w:val="both"/>
        <w:rPr>
          <w:rFonts w:ascii="Times New Roman" w:eastAsia="Times New Roman" w:hAnsi="Times New Roman" w:cs="Times New Roman"/>
          <w:bCs/>
          <w:lang w:val="en-GB"/>
        </w:rPr>
      </w:pPr>
      <w:r w:rsidRPr="00920D61">
        <w:rPr>
          <w:rFonts w:ascii="Times New Roman" w:eastAsia="Times New Roman" w:hAnsi="Times New Roman" w:cs="Times New Roman"/>
          <w:b/>
          <w:bCs/>
        </w:rPr>
        <w:t>A tantárgy szakmai tartalma (angolul) (</w:t>
      </w:r>
      <w:r w:rsidRPr="00920D61">
        <w:rPr>
          <w:rFonts w:ascii="Times New Roman" w:eastAsia="Times New Roman" w:hAnsi="Times New Roman" w:cs="Times New Roman"/>
          <w:b/>
          <w:bCs/>
          <w:lang w:val="en-US"/>
        </w:rPr>
        <w:t>Course description</w:t>
      </w:r>
      <w:r w:rsidRPr="00920D61">
        <w:rPr>
          <w:rFonts w:ascii="Times New Roman" w:eastAsia="Times New Roman" w:hAnsi="Times New Roman" w:cs="Times New Roman"/>
          <w:b/>
          <w:bCs/>
        </w:rPr>
        <w:t xml:space="preserve">): </w:t>
      </w:r>
      <w:r w:rsidRPr="00920D61">
        <w:rPr>
          <w:rFonts w:ascii="Times New Roman" w:hAnsi="Times New Roman" w:cs="Times New Roman"/>
          <w:bCs/>
        </w:rPr>
        <w:t xml:space="preserve">Classification of road, rail, waterborne and airborne vehicles. Typical presentation of traditional and special vehicles. Specific requirements of military using. Vehicle selection methods. Road transportation equipment used in the Hungarian Defence Forces. Railway equipments designed to be used during unit transportation. Aircraft carrier tools used in central and team section. </w:t>
      </w:r>
    </w:p>
    <w:p w:rsidR="00D00A95" w:rsidRPr="00920D61" w:rsidRDefault="00D00A95" w:rsidP="00980876">
      <w:pPr>
        <w:pStyle w:val="Listaszerbekezds"/>
        <w:widowControl w:val="0"/>
        <w:numPr>
          <w:ilvl w:val="0"/>
          <w:numId w:val="274"/>
        </w:numPr>
        <w:spacing w:before="120" w:after="120" w:line="240" w:lineRule="auto"/>
        <w:jc w:val="both"/>
        <w:rPr>
          <w:rFonts w:ascii="Times New Roman" w:eastAsia="Times New Roman" w:hAnsi="Times New Roman" w:cs="Times New Roman"/>
          <w:bCs/>
        </w:rPr>
      </w:pPr>
      <w:r w:rsidRPr="00920D61">
        <w:rPr>
          <w:rFonts w:ascii="Times New Roman" w:eastAsia="Times New Roman" w:hAnsi="Times New Roman" w:cs="Times New Roman"/>
          <w:b/>
          <w:bCs/>
        </w:rPr>
        <w:t xml:space="preserve">Elérendő kompetenciák (magyarul): </w:t>
      </w:r>
    </w:p>
    <w:p w:rsidR="00D00A95" w:rsidRPr="00920D61" w:rsidRDefault="00D00A95" w:rsidP="00D00A95">
      <w:pPr>
        <w:autoSpaceDE w:val="0"/>
        <w:autoSpaceDN w:val="0"/>
        <w:adjustRightInd w:val="0"/>
        <w:spacing w:before="120" w:after="0" w:line="240" w:lineRule="auto"/>
        <w:ind w:left="425"/>
        <w:jc w:val="both"/>
        <w:rPr>
          <w:rFonts w:ascii="Times New Roman" w:eastAsia="Times New Roman" w:hAnsi="Times New Roman" w:cs="Times New Roman"/>
          <w:b/>
          <w:bCs/>
        </w:rPr>
      </w:pPr>
      <w:r w:rsidRPr="00920D61">
        <w:rPr>
          <w:rFonts w:ascii="Times New Roman" w:eastAsia="Times New Roman" w:hAnsi="Times New Roman" w:cs="Times New Roman"/>
          <w:b/>
          <w:bCs/>
        </w:rPr>
        <w:t xml:space="preserve">Tudása: </w:t>
      </w:r>
    </w:p>
    <w:p w:rsidR="00D00A95" w:rsidRPr="00920D61" w:rsidRDefault="00D00A95"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920D61">
        <w:rPr>
          <w:rFonts w:ascii="Times New Roman" w:hAnsi="Times New Roman" w:cs="Times New Roman"/>
        </w:rPr>
        <w:t>Ismeri a katonai közlekedési szakterülethez szervesen kapcsolódó logisztikai, menedzsment, környezetvédelmi, minőségbiztosítási, információtechnológiai, jogi, közgazdasági szakterületek alapjait és követelményeit.</w:t>
      </w:r>
    </w:p>
    <w:p w:rsidR="00D00A95" w:rsidRPr="00920D61" w:rsidRDefault="00D00A95"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920D61">
        <w:rPr>
          <w:rFonts w:ascii="Times New Roman" w:hAnsi="Times New Roman" w:cs="Times New Roman"/>
        </w:rPr>
        <w:t>Ismeri a katonai közlekedési szakterület szaktechnikai eszközeit, a közlekedési pályákat és létesítményeiket, azok igénybevételének és üzemeltetésének szabályait.</w:t>
      </w:r>
    </w:p>
    <w:p w:rsidR="00D00A95" w:rsidRPr="00920D61" w:rsidRDefault="00D00A95"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920D61">
        <w:rPr>
          <w:rFonts w:ascii="Times New Roman" w:hAnsi="Times New Roman" w:cs="Times New Roman"/>
        </w:rPr>
        <w:t>Mélyrehatóan ismeri a katonai közlekedési szakterület szakmai feladatait, a közlekedési szakfeladatok rendszerét, az egyes feladatok végrehajtásának sajátosságait.</w:t>
      </w:r>
    </w:p>
    <w:p w:rsidR="00D00A95" w:rsidRPr="00920D61" w:rsidRDefault="00D00A95"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920D61">
        <w:rPr>
          <w:rFonts w:ascii="Times New Roman" w:hAnsi="Times New Roman" w:cs="Times New Roman"/>
        </w:rPr>
        <w:t>Ismeri a katonai közlekedési igények felmérésének módszereit és megvalósítási lehetőségeit, gyakorlatát.</w:t>
      </w:r>
    </w:p>
    <w:p w:rsidR="00920D61" w:rsidRDefault="00920D61" w:rsidP="00D00A95">
      <w:pPr>
        <w:autoSpaceDE w:val="0"/>
        <w:autoSpaceDN w:val="0"/>
        <w:adjustRightInd w:val="0"/>
        <w:spacing w:before="120" w:after="0" w:line="240" w:lineRule="auto"/>
        <w:ind w:left="425"/>
        <w:jc w:val="both"/>
        <w:rPr>
          <w:rFonts w:ascii="Times New Roman" w:eastAsia="Times New Roman" w:hAnsi="Times New Roman" w:cs="Times New Roman"/>
          <w:b/>
          <w:bCs/>
        </w:rPr>
      </w:pPr>
    </w:p>
    <w:p w:rsidR="00D00A95" w:rsidRPr="00920D61" w:rsidRDefault="00D00A95" w:rsidP="00D00A95">
      <w:pPr>
        <w:autoSpaceDE w:val="0"/>
        <w:autoSpaceDN w:val="0"/>
        <w:adjustRightInd w:val="0"/>
        <w:spacing w:before="120" w:after="0" w:line="240" w:lineRule="auto"/>
        <w:ind w:left="425"/>
        <w:jc w:val="both"/>
        <w:rPr>
          <w:rFonts w:ascii="Times New Roman" w:eastAsia="Times New Roman" w:hAnsi="Times New Roman" w:cs="Times New Roman"/>
          <w:bCs/>
        </w:rPr>
      </w:pPr>
      <w:r w:rsidRPr="00920D61">
        <w:rPr>
          <w:rFonts w:ascii="Times New Roman" w:eastAsia="Times New Roman" w:hAnsi="Times New Roman" w:cs="Times New Roman"/>
          <w:b/>
          <w:bCs/>
        </w:rPr>
        <w:lastRenderedPageBreak/>
        <w:t>Képességei:</w:t>
      </w:r>
      <w:r w:rsidRPr="00920D61">
        <w:rPr>
          <w:rFonts w:ascii="Times New Roman" w:eastAsia="Times New Roman" w:hAnsi="Times New Roman" w:cs="Times New Roman"/>
          <w:bCs/>
        </w:rPr>
        <w:t xml:space="preserve"> </w:t>
      </w:r>
    </w:p>
    <w:p w:rsidR="00D00A95" w:rsidRPr="00920D61" w:rsidRDefault="00D00A95"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920D61">
        <w:rPr>
          <w:rFonts w:ascii="Times New Roman" w:hAnsi="Times New Roman" w:cs="Times New Roman"/>
        </w:rPr>
        <w:t>Az általános és specifikus katonai ismeretei és készségei birtokában képes a katonai közlekedési, mozgatási, szállítási feladatok tervezésére, szervezésére és vezetésére.</w:t>
      </w:r>
    </w:p>
    <w:p w:rsidR="00D00A95" w:rsidRPr="00920D61" w:rsidRDefault="00D00A95"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920D61">
        <w:rPr>
          <w:rFonts w:ascii="Times New Roman" w:hAnsi="Times New Roman" w:cs="Times New Roman"/>
        </w:rPr>
        <w:t>Képes békeidőszakban, válságkezelő, katasztrófa-elhárítási, béketámogató és háborús műveletekben, nemzeti és többnemzeti környezetben a szállító szakalegységek alaprendeltetéséből fakadó feladatai végrehajtásának vezetésére.</w:t>
      </w:r>
    </w:p>
    <w:p w:rsidR="00D00A95" w:rsidRPr="00920D61" w:rsidRDefault="00D00A95"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920D61">
        <w:rPr>
          <w:rFonts w:ascii="Times New Roman" w:hAnsi="Times New Roman" w:cs="Times New Roman"/>
        </w:rPr>
        <w:t>Képes a közlekedési hálózatok katonai célú alkalmazásának tervezésére, szervezésére és végrehajtására.</w:t>
      </w:r>
    </w:p>
    <w:p w:rsidR="00D00A95" w:rsidRPr="00920D61" w:rsidRDefault="00D00A95"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920D61">
        <w:rPr>
          <w:rFonts w:ascii="Times New Roman" w:hAnsi="Times New Roman" w:cs="Times New Roman"/>
        </w:rPr>
        <w:t>Képes a közlekedési folyamatokat támogató közlekedésinformatikai rendszerek alkalmazására, az azokkal kapcsolatos felhasználói alapkövetelmények megfogalmazására.</w:t>
      </w:r>
    </w:p>
    <w:p w:rsidR="00D00A95" w:rsidRPr="00920D61" w:rsidRDefault="00D00A95" w:rsidP="00D00A95">
      <w:pPr>
        <w:autoSpaceDE w:val="0"/>
        <w:autoSpaceDN w:val="0"/>
        <w:adjustRightInd w:val="0"/>
        <w:spacing w:before="120" w:after="0" w:line="240" w:lineRule="auto"/>
        <w:ind w:left="425"/>
        <w:jc w:val="both"/>
        <w:rPr>
          <w:rFonts w:ascii="Times New Roman" w:eastAsia="Times New Roman" w:hAnsi="Times New Roman" w:cs="Times New Roman"/>
          <w:b/>
          <w:bCs/>
        </w:rPr>
      </w:pPr>
      <w:r w:rsidRPr="00920D61">
        <w:rPr>
          <w:rFonts w:ascii="Times New Roman" w:eastAsia="Times New Roman" w:hAnsi="Times New Roman" w:cs="Times New Roman"/>
          <w:b/>
          <w:bCs/>
        </w:rPr>
        <w:t xml:space="preserve">Attitűdje: </w:t>
      </w:r>
    </w:p>
    <w:p w:rsidR="00D00A95" w:rsidRPr="00920D61" w:rsidRDefault="00D00A95"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920D61">
        <w:rPr>
          <w:rFonts w:ascii="Times New Roman" w:hAnsi="Times New Roman" w:cs="Times New Roman"/>
        </w:rPr>
        <w:t>Nyitott a katonai közlekedési szakterületen zajló szakmai, technológiai fejlesztés és innováció megismerésére és elfogadására, hiteles közvetítésére és azok mindennapi munkájába való beillesztésére.</w:t>
      </w:r>
    </w:p>
    <w:p w:rsidR="00D00A95" w:rsidRPr="00920D61" w:rsidRDefault="00D00A95"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920D61">
        <w:rPr>
          <w:rFonts w:ascii="Times New Roman" w:hAnsi="Times New Roman" w:cs="Times New Roman"/>
        </w:rPr>
        <w:t>Törekszik arra, hogy önképzése a katonai közlekedési szakterületen folyamatos és szakmai céljaival megegyező legyen.</w:t>
      </w:r>
    </w:p>
    <w:p w:rsidR="00D00A95" w:rsidRPr="00920D61" w:rsidRDefault="00D00A95"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920D61">
        <w:rPr>
          <w:rFonts w:ascii="Times New Roman" w:hAnsi="Times New Roman" w:cs="Times New Roman"/>
        </w:rPr>
        <w:t>Elkötelezett a minőségi szakmai munkavégzés iránt, különös tekintettel a közlekedési, szállítási feladatok és folyamatok biztonságos végrehajtására.</w:t>
      </w:r>
    </w:p>
    <w:p w:rsidR="00D00A95" w:rsidRPr="00920D61" w:rsidRDefault="00D00A95"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920D61">
        <w:rPr>
          <w:rFonts w:ascii="Times New Roman" w:hAnsi="Times New Roman" w:cs="Times New Roman"/>
        </w:rPr>
        <w:t>Figyel beosztottjai szakmai fejlődésének előmozdítására, ilyen irányú törekvéseik kezelésére és segítésére.</w:t>
      </w:r>
    </w:p>
    <w:p w:rsidR="00D00A95" w:rsidRPr="00920D61" w:rsidRDefault="00D00A95"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920D61">
        <w:rPr>
          <w:rFonts w:ascii="Times New Roman" w:hAnsi="Times New Roman" w:cs="Times New Roman"/>
        </w:rPr>
        <w:t>Megosztja tapasztalatait munkatársaival, így segítve fejlődésüket.</w:t>
      </w:r>
    </w:p>
    <w:p w:rsidR="00D00A95" w:rsidRPr="00920D61" w:rsidRDefault="00D00A95" w:rsidP="00D00A95">
      <w:pPr>
        <w:autoSpaceDE w:val="0"/>
        <w:autoSpaceDN w:val="0"/>
        <w:adjustRightInd w:val="0"/>
        <w:spacing w:before="120" w:after="0" w:line="240" w:lineRule="auto"/>
        <w:ind w:left="425"/>
        <w:jc w:val="both"/>
        <w:rPr>
          <w:rFonts w:ascii="Times New Roman" w:eastAsia="Times New Roman" w:hAnsi="Times New Roman" w:cs="Times New Roman"/>
          <w:b/>
          <w:bCs/>
        </w:rPr>
      </w:pPr>
      <w:r w:rsidRPr="00920D61">
        <w:rPr>
          <w:rFonts w:ascii="Times New Roman" w:eastAsia="Times New Roman" w:hAnsi="Times New Roman" w:cs="Times New Roman"/>
          <w:b/>
          <w:bCs/>
        </w:rPr>
        <w:t xml:space="preserve">Autonómiája és felelőssége: </w:t>
      </w:r>
    </w:p>
    <w:p w:rsidR="00D00A95" w:rsidRPr="00920D61" w:rsidRDefault="00D00A95"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920D61">
        <w:rPr>
          <w:rFonts w:ascii="Times New Roman" w:hAnsi="Times New Roman" w:cs="Times New Roman"/>
        </w:rPr>
        <w:t>A katonai közlekedés szakterületén megjelenő folyamatokban képes önállóan döntéseket hozni, azokat felelősséggel, a jogszabályi keretek figyelembevételével végrehajtani.</w:t>
      </w:r>
    </w:p>
    <w:p w:rsidR="00D00A95" w:rsidRPr="00920D61" w:rsidRDefault="00D00A95"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920D61">
        <w:rPr>
          <w:rFonts w:ascii="Times New Roman" w:hAnsi="Times New Roman" w:cs="Times New Roman"/>
        </w:rPr>
        <w:t>Tisztában van döntéseinek, tevékenységének a katonai logisztikai folyamatok egészére gyakorolt hatásaival, következményeivel.</w:t>
      </w:r>
    </w:p>
    <w:p w:rsidR="00D00A95" w:rsidRPr="00920D61" w:rsidRDefault="00D00A95"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920D61">
        <w:rPr>
          <w:rFonts w:ascii="Times New Roman" w:hAnsi="Times New Roman" w:cs="Times New Roman"/>
        </w:rPr>
        <w:t>Szakmai feladatainak elvégzése során felelősségteljesen együttműködik más szakterület képzett szakembereivel is.</w:t>
      </w:r>
    </w:p>
    <w:p w:rsidR="00D00A95" w:rsidRPr="00920D61" w:rsidRDefault="00D00A95"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920D61">
        <w:rPr>
          <w:rFonts w:ascii="Times New Roman" w:hAnsi="Times New Roman" w:cs="Times New Roman"/>
        </w:rPr>
        <w:t>Feltárja az alkalmazott technológiák hiányosságait, a folyamatok kockázatait és kezdeményezi az ezeket csökkentő intézkedések megtételét.</w:t>
      </w:r>
    </w:p>
    <w:p w:rsidR="00D00A95" w:rsidRPr="00920D61" w:rsidRDefault="00D00A95"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920D61">
        <w:rPr>
          <w:rFonts w:ascii="Times New Roman" w:hAnsi="Times New Roman" w:cs="Times New Roman"/>
        </w:rPr>
        <w:t>Parancsnokának útmutatása alapján irányítja a rábízott személyi állomány munkavégzését, felügyeli a közlekedési, szállítási folyamatok tervezését, szervezését, végrehajtását, a közlekedési szaktechnikai eszközök üzemeltetését.</w:t>
      </w:r>
    </w:p>
    <w:p w:rsidR="00D00A95" w:rsidRPr="00920D61" w:rsidRDefault="00D00A95"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920D61">
        <w:rPr>
          <w:rFonts w:ascii="Times New Roman" w:hAnsi="Times New Roman" w:cs="Times New Roman"/>
        </w:rPr>
        <w:t>Értékeli a beosztottak munkavégzésének hatékonyságát, eredményességét.</w:t>
      </w:r>
    </w:p>
    <w:p w:rsidR="00D00A95" w:rsidRPr="00920D61" w:rsidRDefault="00D00A95" w:rsidP="00D00A95">
      <w:pPr>
        <w:widowControl w:val="0"/>
        <w:spacing w:before="120" w:after="120" w:line="240" w:lineRule="auto"/>
        <w:ind w:left="426"/>
        <w:jc w:val="both"/>
        <w:rPr>
          <w:rFonts w:ascii="Times New Roman" w:eastAsia="Times New Roman" w:hAnsi="Times New Roman" w:cs="Times New Roman"/>
          <w:b/>
          <w:bCs/>
          <w:lang w:val="en-US"/>
        </w:rPr>
      </w:pPr>
      <w:r w:rsidRPr="00920D61">
        <w:rPr>
          <w:rFonts w:ascii="Times New Roman" w:eastAsia="Times New Roman" w:hAnsi="Times New Roman" w:cs="Times New Roman"/>
          <w:b/>
          <w:bCs/>
        </w:rPr>
        <w:t>Elérendő kompetenciák (angolul) (</w:t>
      </w:r>
      <w:r w:rsidRPr="00920D61">
        <w:rPr>
          <w:rFonts w:ascii="Times New Roman" w:eastAsia="Times New Roman" w:hAnsi="Times New Roman" w:cs="Times New Roman"/>
          <w:b/>
          <w:bCs/>
          <w:lang w:val="en-US"/>
        </w:rPr>
        <w:t xml:space="preserve">Competences – English): </w:t>
      </w:r>
    </w:p>
    <w:p w:rsidR="00D00A95" w:rsidRPr="00920D61" w:rsidRDefault="00D00A95" w:rsidP="00D00A95">
      <w:pPr>
        <w:widowControl w:val="0"/>
        <w:spacing w:before="120" w:after="120" w:line="240" w:lineRule="auto"/>
        <w:ind w:left="426"/>
        <w:jc w:val="both"/>
        <w:rPr>
          <w:rFonts w:ascii="Times New Roman" w:eastAsia="Times New Roman" w:hAnsi="Times New Roman" w:cs="Times New Roman"/>
          <w:lang w:val="en-GB"/>
        </w:rPr>
      </w:pPr>
      <w:r w:rsidRPr="00920D61">
        <w:rPr>
          <w:rFonts w:ascii="Times New Roman" w:eastAsia="Times New Roman" w:hAnsi="Times New Roman" w:cs="Times New Roman"/>
          <w:b/>
          <w:lang w:val="en-GB"/>
        </w:rPr>
        <w:t>Knowledge</w:t>
      </w:r>
      <w:r w:rsidRPr="00920D61">
        <w:rPr>
          <w:rFonts w:ascii="Times New Roman" w:eastAsia="Times New Roman" w:hAnsi="Times New Roman" w:cs="Times New Roman"/>
          <w:lang w:val="en-GB"/>
        </w:rPr>
        <w:t xml:space="preserve">: </w:t>
      </w:r>
    </w:p>
    <w:p w:rsidR="00D00A95" w:rsidRPr="00920D61" w:rsidRDefault="00D00A95"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920D61">
        <w:rPr>
          <w:rFonts w:ascii="Times New Roman" w:hAnsi="Times New Roman" w:cs="Times New Roman"/>
        </w:rPr>
        <w:t>Knows the basics and requirements of logistics, management, environmental protection, quality assurance, information technology, law and economics, connected to the field of military transportation.</w:t>
      </w:r>
    </w:p>
    <w:p w:rsidR="00D00A95" w:rsidRPr="00920D61" w:rsidRDefault="00D00A95"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920D61">
        <w:rPr>
          <w:rFonts w:ascii="Times New Roman" w:hAnsi="Times New Roman" w:cs="Times New Roman"/>
        </w:rPr>
        <w:t>Is familiar with the technical equipment used in military transportation, the transportation modes and facilities, and the rules of their use and operation.</w:t>
      </w:r>
    </w:p>
    <w:p w:rsidR="00D00A95" w:rsidRPr="00920D61" w:rsidRDefault="00D00A95"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920D61">
        <w:rPr>
          <w:rFonts w:ascii="Times New Roman" w:hAnsi="Times New Roman" w:cs="Times New Roman"/>
        </w:rPr>
        <w:t>Has a profound knowledge of the tasks and the system of military transportation and the unique characteristics of performing each task.</w:t>
      </w:r>
    </w:p>
    <w:p w:rsidR="00D00A95" w:rsidRPr="00920D61" w:rsidRDefault="00D00A95"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920D61">
        <w:rPr>
          <w:rFonts w:ascii="Times New Roman" w:hAnsi="Times New Roman" w:cs="Times New Roman"/>
        </w:rPr>
        <w:t>Is familiar with the methods of assessing the requirements of military transportation and its feasibility and practical implementation.</w:t>
      </w:r>
    </w:p>
    <w:p w:rsidR="00D00A95" w:rsidRPr="00920D61" w:rsidRDefault="00D00A95" w:rsidP="00D00A95">
      <w:pPr>
        <w:widowControl w:val="0"/>
        <w:spacing w:before="120" w:after="120" w:line="240" w:lineRule="auto"/>
        <w:ind w:left="426"/>
        <w:jc w:val="both"/>
        <w:rPr>
          <w:rFonts w:ascii="Times New Roman" w:eastAsia="Times New Roman" w:hAnsi="Times New Roman" w:cs="Times New Roman"/>
          <w:b/>
          <w:lang w:val="en-GB"/>
        </w:rPr>
      </w:pPr>
      <w:r w:rsidRPr="00920D61">
        <w:rPr>
          <w:rFonts w:ascii="Times New Roman" w:eastAsia="Times New Roman" w:hAnsi="Times New Roman" w:cs="Times New Roman"/>
          <w:b/>
          <w:lang w:val="en-GB"/>
        </w:rPr>
        <w:t>Capabilities:</w:t>
      </w:r>
    </w:p>
    <w:p w:rsidR="00D00A95" w:rsidRPr="00920D61" w:rsidRDefault="00D00A95"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920D61">
        <w:rPr>
          <w:rFonts w:ascii="Times New Roman" w:hAnsi="Times New Roman" w:cs="Times New Roman"/>
        </w:rPr>
        <w:t>Using his/her general and specialized military knowledge and skills, he/she is capable of planning, organizing, and conducting military transport, movement, and transportation tasks.</w:t>
      </w:r>
    </w:p>
    <w:p w:rsidR="00D00A95" w:rsidRPr="00920D61" w:rsidRDefault="00D00A95"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920D61">
        <w:rPr>
          <w:rFonts w:ascii="Times New Roman" w:hAnsi="Times New Roman" w:cs="Times New Roman"/>
        </w:rPr>
        <w:t>Is capable of leading the execution of the tasks of a military transportation subunit in peace time and in crisis response, disaster relief, peace support and combat operations both in a national and a multinational environment.</w:t>
      </w:r>
    </w:p>
    <w:p w:rsidR="00D00A95" w:rsidRPr="00920D61" w:rsidRDefault="00D00A95"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920D61">
        <w:rPr>
          <w:rFonts w:ascii="Times New Roman" w:hAnsi="Times New Roman" w:cs="Times New Roman"/>
        </w:rPr>
        <w:lastRenderedPageBreak/>
        <w:t>Is capable of planning, organizing and executing the tasks related to the application of traffic networks for military purposes.</w:t>
      </w:r>
    </w:p>
    <w:p w:rsidR="00D00A95" w:rsidRPr="00920D61" w:rsidRDefault="00D00A95"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920D61">
        <w:rPr>
          <w:rFonts w:ascii="Times New Roman" w:hAnsi="Times New Roman" w:cs="Times New Roman"/>
        </w:rPr>
        <w:t>Is capable of applying traffic information systems to support transportation processes and formulating the basic user requirements related to them.</w:t>
      </w:r>
    </w:p>
    <w:p w:rsidR="00D00A95" w:rsidRPr="00920D61" w:rsidRDefault="00D00A95" w:rsidP="00D00A95">
      <w:pPr>
        <w:widowControl w:val="0"/>
        <w:spacing w:before="120" w:after="120" w:line="240" w:lineRule="auto"/>
        <w:ind w:left="426"/>
        <w:jc w:val="both"/>
        <w:rPr>
          <w:rFonts w:ascii="Times New Roman" w:eastAsia="Times New Roman" w:hAnsi="Times New Roman" w:cs="Times New Roman"/>
          <w:b/>
          <w:lang w:val="en-GB"/>
        </w:rPr>
      </w:pPr>
      <w:r w:rsidRPr="00920D61">
        <w:rPr>
          <w:rFonts w:ascii="Times New Roman" w:eastAsia="Times New Roman" w:hAnsi="Times New Roman" w:cs="Times New Roman"/>
          <w:b/>
          <w:lang w:val="en-GB"/>
        </w:rPr>
        <w:t>Attitude:</w:t>
      </w:r>
    </w:p>
    <w:p w:rsidR="00D00A95" w:rsidRPr="00920D61" w:rsidRDefault="00D00A95"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920D61">
        <w:rPr>
          <w:rFonts w:ascii="Times New Roman" w:hAnsi="Times New Roman" w:cs="Times New Roman"/>
        </w:rPr>
        <w:t>He/She is ready to become familiar with and adopt the professional and technological development and innovation in the field of military transportation, and also to pass it on and integrate it into his daily work.</w:t>
      </w:r>
    </w:p>
    <w:p w:rsidR="00D00A95" w:rsidRPr="00920D61" w:rsidRDefault="00D00A95"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920D61">
        <w:rPr>
          <w:rFonts w:ascii="Times New Roman" w:hAnsi="Times New Roman" w:cs="Times New Roman"/>
        </w:rPr>
        <w:t>He/She strives for continuous self-education in the field of military transportation which is consistent with his/her professional goals.</w:t>
      </w:r>
    </w:p>
    <w:p w:rsidR="00D00A95" w:rsidRPr="00920D61" w:rsidRDefault="00D00A95"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920D61">
        <w:rPr>
          <w:rFonts w:ascii="Times New Roman" w:hAnsi="Times New Roman" w:cs="Times New Roman"/>
        </w:rPr>
        <w:t>He/She is committed to high quality in his/her professional work, with special emphasis on the safe execution of the transportation tasks and processes.</w:t>
      </w:r>
    </w:p>
    <w:p w:rsidR="00D00A95" w:rsidRPr="00920D61" w:rsidRDefault="00D00A95"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920D61">
        <w:rPr>
          <w:rFonts w:ascii="Times New Roman" w:hAnsi="Times New Roman" w:cs="Times New Roman"/>
        </w:rPr>
        <w:t>He/She is interested in promoting the professional development of his/her subordinates, and provides assistance in their efforts.</w:t>
      </w:r>
    </w:p>
    <w:p w:rsidR="00D00A95" w:rsidRPr="00920D61" w:rsidRDefault="00D00A95"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920D61">
        <w:rPr>
          <w:rFonts w:ascii="Times New Roman" w:hAnsi="Times New Roman" w:cs="Times New Roman"/>
        </w:rPr>
        <w:t>He/she is willing to share his/her experience with his/her colleagues to further their professional development.</w:t>
      </w:r>
    </w:p>
    <w:p w:rsidR="00D00A95" w:rsidRPr="00920D61" w:rsidRDefault="00D00A95" w:rsidP="00D00A95">
      <w:pPr>
        <w:widowControl w:val="0"/>
        <w:spacing w:before="120" w:after="120" w:line="240" w:lineRule="auto"/>
        <w:ind w:left="426"/>
        <w:jc w:val="both"/>
        <w:rPr>
          <w:rFonts w:ascii="Times New Roman" w:eastAsia="Times New Roman" w:hAnsi="Times New Roman" w:cs="Times New Roman"/>
          <w:b/>
          <w:lang w:val="en-GB"/>
        </w:rPr>
      </w:pPr>
      <w:r w:rsidRPr="00920D61">
        <w:rPr>
          <w:rFonts w:ascii="Times New Roman" w:eastAsia="Times New Roman" w:hAnsi="Times New Roman" w:cs="Times New Roman"/>
          <w:b/>
          <w:lang w:val="en-GB"/>
        </w:rPr>
        <w:t xml:space="preserve">Autonomy and responsibility: </w:t>
      </w:r>
    </w:p>
    <w:p w:rsidR="00D00A95" w:rsidRPr="00920D61" w:rsidRDefault="00D00A95"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920D61">
        <w:rPr>
          <w:rFonts w:ascii="Times New Roman" w:hAnsi="Times New Roman" w:cs="Times New Roman"/>
        </w:rPr>
        <w:t>He/She is able to make decisions independently in the processes arising in the field of military transportation, and to implement them with responsibility and within the legal framework.</w:t>
      </w:r>
    </w:p>
    <w:p w:rsidR="00D00A95" w:rsidRPr="00920D61" w:rsidRDefault="00D00A95"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920D61">
        <w:rPr>
          <w:rFonts w:ascii="Times New Roman" w:hAnsi="Times New Roman" w:cs="Times New Roman"/>
        </w:rPr>
        <w:t>He/She is aware of the effects and consequences of his decisions and activities on the military logistic processes as a whole.</w:t>
      </w:r>
    </w:p>
    <w:p w:rsidR="00D00A95" w:rsidRPr="00920D61" w:rsidRDefault="00D00A95"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920D61">
        <w:rPr>
          <w:rFonts w:ascii="Times New Roman" w:hAnsi="Times New Roman" w:cs="Times New Roman"/>
        </w:rPr>
        <w:t xml:space="preserve">During his/her professional duties, he/she is willing to responsibly cooperate with specialists of other areas. </w:t>
      </w:r>
    </w:p>
    <w:p w:rsidR="00D00A95" w:rsidRPr="00920D61" w:rsidRDefault="00D00A95"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920D61">
        <w:rPr>
          <w:rFonts w:ascii="Times New Roman" w:hAnsi="Times New Roman" w:cs="Times New Roman"/>
        </w:rPr>
        <w:t>He/She can identify the deficiencies and risks in the applied technologies and initiates taking measures to reduce their impact.</w:t>
      </w:r>
    </w:p>
    <w:p w:rsidR="00D00A95" w:rsidRPr="00920D61" w:rsidRDefault="00D00A95"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920D61">
        <w:rPr>
          <w:rFonts w:ascii="Times New Roman" w:hAnsi="Times New Roman" w:cs="Times New Roman"/>
        </w:rPr>
        <w:t>Under the guidance of his/her commander, he/she controls the work of the personnel under his/her command and supervises the planning, organization and implementation of the transport and transportation processes, and also the operation of the technical equipment used in military transportation.</w:t>
      </w:r>
    </w:p>
    <w:p w:rsidR="00D00A95" w:rsidRPr="00920D61" w:rsidRDefault="00D00A95"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920D61">
        <w:rPr>
          <w:rFonts w:ascii="Times New Roman" w:hAnsi="Times New Roman" w:cs="Times New Roman"/>
        </w:rPr>
        <w:t>He/She continuously evaluates the efficiency and effectiveness of his/her subordinates' work.</w:t>
      </w:r>
    </w:p>
    <w:p w:rsidR="00D00A95" w:rsidRPr="00920D61" w:rsidRDefault="00D00A95" w:rsidP="00980876">
      <w:pPr>
        <w:widowControl w:val="0"/>
        <w:numPr>
          <w:ilvl w:val="0"/>
          <w:numId w:val="274"/>
        </w:numPr>
        <w:spacing w:before="120" w:after="120" w:line="240" w:lineRule="auto"/>
        <w:ind w:left="426" w:hanging="142"/>
        <w:jc w:val="both"/>
        <w:rPr>
          <w:rFonts w:ascii="Times New Roman" w:eastAsia="Times New Roman" w:hAnsi="Times New Roman" w:cs="Times New Roman"/>
          <w:bCs/>
        </w:rPr>
      </w:pPr>
      <w:r w:rsidRPr="00920D61">
        <w:rPr>
          <w:rFonts w:ascii="Times New Roman" w:eastAsia="Times New Roman" w:hAnsi="Times New Roman" w:cs="Times New Roman"/>
          <w:b/>
          <w:bCs/>
        </w:rPr>
        <w:t xml:space="preserve">Előtanulmányi követelmények: </w:t>
      </w:r>
      <w:r w:rsidRPr="00920D61">
        <w:rPr>
          <w:rFonts w:ascii="Times New Roman" w:hAnsi="Times New Roman" w:cs="Times New Roman"/>
        </w:rPr>
        <w:t>Katonai szállító járművek I. HKHPKA305</w:t>
      </w:r>
    </w:p>
    <w:p w:rsidR="00D00A95" w:rsidRPr="00920D61" w:rsidRDefault="00D00A95" w:rsidP="00980876">
      <w:pPr>
        <w:widowControl w:val="0"/>
        <w:numPr>
          <w:ilvl w:val="0"/>
          <w:numId w:val="274"/>
        </w:numPr>
        <w:spacing w:before="120" w:after="120" w:line="240" w:lineRule="auto"/>
        <w:ind w:left="426" w:hanging="142"/>
        <w:jc w:val="both"/>
        <w:rPr>
          <w:rFonts w:ascii="Times New Roman" w:eastAsia="Times New Roman" w:hAnsi="Times New Roman" w:cs="Times New Roman"/>
          <w:b/>
          <w:bCs/>
        </w:rPr>
      </w:pPr>
      <w:r w:rsidRPr="00920D61">
        <w:rPr>
          <w:rFonts w:ascii="Times New Roman" w:eastAsia="Times New Roman" w:hAnsi="Times New Roman" w:cs="Times New Roman"/>
          <w:b/>
          <w:bCs/>
        </w:rPr>
        <w:t>A tantárgy tananyagának leírása, tematika. Description of the subject, curriculum (magyarul, angolul - English):</w:t>
      </w:r>
    </w:p>
    <w:p w:rsidR="00D00A95" w:rsidRPr="00920D61" w:rsidRDefault="00D00A95" w:rsidP="00980876">
      <w:pPr>
        <w:pStyle w:val="lfej"/>
        <w:numPr>
          <w:ilvl w:val="1"/>
          <w:numId w:val="274"/>
        </w:numPr>
        <w:tabs>
          <w:tab w:val="clear" w:pos="3977"/>
          <w:tab w:val="clear" w:pos="4536"/>
          <w:tab w:val="clear" w:pos="9072"/>
          <w:tab w:val="left" w:pos="708"/>
        </w:tabs>
        <w:spacing w:before="60"/>
        <w:ind w:left="1134" w:hanging="715"/>
        <w:jc w:val="both"/>
        <w:rPr>
          <w:rFonts w:ascii="Times New Roman" w:hAnsi="Times New Roman" w:cs="Times New Roman"/>
          <w:i/>
        </w:rPr>
      </w:pPr>
      <w:r w:rsidRPr="00920D61">
        <w:rPr>
          <w:rFonts w:ascii="Times New Roman" w:hAnsi="Times New Roman" w:cs="Times New Roman"/>
        </w:rPr>
        <w:t xml:space="preserve">Járművek csoportosítása, jellemző üzemtani paraméterek, jármű-kiválasztási módszerek. </w:t>
      </w:r>
      <w:r w:rsidRPr="00920D61">
        <w:rPr>
          <w:rFonts w:ascii="Times New Roman" w:hAnsi="Times New Roman" w:cs="Times New Roman"/>
          <w:i/>
        </w:rPr>
        <w:t>(</w:t>
      </w:r>
      <w:r w:rsidRPr="00920D61">
        <w:rPr>
          <w:rStyle w:val="tlid-translation"/>
          <w:rFonts w:ascii="Times New Roman" w:hAnsi="Times New Roman" w:cs="Times New Roman"/>
          <w:i/>
          <w:lang w:val="en"/>
        </w:rPr>
        <w:t>Grouping of vehicles, typical operating parameters, vehicle selection methods.)</w:t>
      </w:r>
    </w:p>
    <w:p w:rsidR="00D00A95" w:rsidRPr="00920D61" w:rsidRDefault="00D00A95" w:rsidP="00980876">
      <w:pPr>
        <w:pStyle w:val="lfej"/>
        <w:numPr>
          <w:ilvl w:val="1"/>
          <w:numId w:val="274"/>
        </w:numPr>
        <w:tabs>
          <w:tab w:val="clear" w:pos="3977"/>
          <w:tab w:val="clear" w:pos="4536"/>
          <w:tab w:val="clear" w:pos="9072"/>
          <w:tab w:val="left" w:pos="708"/>
        </w:tabs>
        <w:spacing w:before="60"/>
        <w:ind w:left="1134" w:hanging="715"/>
        <w:jc w:val="both"/>
        <w:rPr>
          <w:rFonts w:ascii="Times New Roman" w:hAnsi="Times New Roman" w:cs="Times New Roman"/>
          <w:i/>
        </w:rPr>
      </w:pPr>
      <w:r w:rsidRPr="00920D61">
        <w:rPr>
          <w:rFonts w:ascii="Times New Roman" w:hAnsi="Times New Roman" w:cs="Times New Roman"/>
        </w:rPr>
        <w:t xml:space="preserve">A járművek katonai igénybevételekkel szembeni sajátos követelmények. </w:t>
      </w:r>
      <w:r w:rsidRPr="00920D61">
        <w:rPr>
          <w:rFonts w:ascii="Times New Roman" w:hAnsi="Times New Roman" w:cs="Times New Roman"/>
          <w:i/>
        </w:rPr>
        <w:t>(</w:t>
      </w:r>
      <w:r w:rsidRPr="00920D61">
        <w:rPr>
          <w:rStyle w:val="tlid-translation"/>
          <w:rFonts w:ascii="Times New Roman" w:hAnsi="Times New Roman" w:cs="Times New Roman"/>
          <w:i/>
          <w:lang w:val="en"/>
        </w:rPr>
        <w:t>Specific requirements for vehicles for military use.)</w:t>
      </w:r>
    </w:p>
    <w:p w:rsidR="00D00A95" w:rsidRPr="00920D61" w:rsidRDefault="00D00A95" w:rsidP="00980876">
      <w:pPr>
        <w:pStyle w:val="lfej"/>
        <w:numPr>
          <w:ilvl w:val="1"/>
          <w:numId w:val="274"/>
        </w:numPr>
        <w:tabs>
          <w:tab w:val="clear" w:pos="3977"/>
          <w:tab w:val="clear" w:pos="4536"/>
          <w:tab w:val="clear" w:pos="9072"/>
          <w:tab w:val="left" w:pos="708"/>
        </w:tabs>
        <w:spacing w:before="60"/>
        <w:ind w:left="1134" w:hanging="715"/>
        <w:jc w:val="both"/>
        <w:rPr>
          <w:rFonts w:ascii="Times New Roman" w:hAnsi="Times New Roman" w:cs="Times New Roman"/>
          <w:i/>
        </w:rPr>
      </w:pPr>
      <w:r w:rsidRPr="00920D61">
        <w:rPr>
          <w:rFonts w:ascii="Times New Roman" w:hAnsi="Times New Roman" w:cs="Times New Roman"/>
        </w:rPr>
        <w:t xml:space="preserve">Hagyományos és speciális járművek típusismertetése. </w:t>
      </w:r>
      <w:r w:rsidRPr="00920D61">
        <w:rPr>
          <w:rFonts w:ascii="Times New Roman" w:hAnsi="Times New Roman" w:cs="Times New Roman"/>
          <w:i/>
        </w:rPr>
        <w:t>(</w:t>
      </w:r>
      <w:r w:rsidRPr="00920D61">
        <w:rPr>
          <w:rStyle w:val="tlid-translation"/>
          <w:rFonts w:ascii="Times New Roman" w:hAnsi="Times New Roman" w:cs="Times New Roman"/>
          <w:i/>
          <w:lang w:val="en"/>
        </w:rPr>
        <w:t>Typical description of conventional and special vehicles.)</w:t>
      </w:r>
    </w:p>
    <w:p w:rsidR="00D00A95" w:rsidRPr="00920D61" w:rsidRDefault="00D00A95" w:rsidP="00980876">
      <w:pPr>
        <w:pStyle w:val="lfej"/>
        <w:numPr>
          <w:ilvl w:val="1"/>
          <w:numId w:val="274"/>
        </w:numPr>
        <w:tabs>
          <w:tab w:val="clear" w:pos="3977"/>
          <w:tab w:val="clear" w:pos="4536"/>
          <w:tab w:val="clear" w:pos="9072"/>
          <w:tab w:val="left" w:pos="708"/>
        </w:tabs>
        <w:spacing w:before="60"/>
        <w:ind w:left="1134" w:hanging="715"/>
        <w:jc w:val="both"/>
        <w:rPr>
          <w:rFonts w:ascii="Times New Roman" w:hAnsi="Times New Roman" w:cs="Times New Roman"/>
          <w:i/>
        </w:rPr>
      </w:pPr>
      <w:r w:rsidRPr="00920D61">
        <w:rPr>
          <w:rFonts w:ascii="Times New Roman" w:hAnsi="Times New Roman" w:cs="Times New Roman"/>
        </w:rPr>
        <w:t>A csapatszállítások során igénybevételre tervezett vasúti szaktechnikai eszközök típusai.</w:t>
      </w:r>
      <w:r w:rsidRPr="00920D61">
        <w:rPr>
          <w:rStyle w:val="tlid-translation"/>
          <w:rFonts w:ascii="Times New Roman" w:hAnsi="Times New Roman" w:cs="Times New Roman"/>
          <w:lang w:val="en"/>
        </w:rPr>
        <w:t xml:space="preserve"> </w:t>
      </w:r>
      <w:r w:rsidRPr="00920D61">
        <w:rPr>
          <w:rStyle w:val="tlid-translation"/>
          <w:rFonts w:ascii="Times New Roman" w:hAnsi="Times New Roman" w:cs="Times New Roman"/>
          <w:i/>
          <w:lang w:val="en"/>
        </w:rPr>
        <w:t>(Types of railway technical equipment designed for use in team transport.)</w:t>
      </w:r>
    </w:p>
    <w:p w:rsidR="00D00A95" w:rsidRPr="00920D61" w:rsidRDefault="00D00A95" w:rsidP="00980876">
      <w:pPr>
        <w:pStyle w:val="lfej"/>
        <w:numPr>
          <w:ilvl w:val="1"/>
          <w:numId w:val="274"/>
        </w:numPr>
        <w:tabs>
          <w:tab w:val="clear" w:pos="3977"/>
          <w:tab w:val="clear" w:pos="4536"/>
          <w:tab w:val="clear" w:pos="9072"/>
          <w:tab w:val="left" w:pos="708"/>
        </w:tabs>
        <w:spacing w:before="60"/>
        <w:ind w:left="1134" w:hanging="715"/>
        <w:jc w:val="both"/>
        <w:rPr>
          <w:rFonts w:ascii="Times New Roman" w:hAnsi="Times New Roman" w:cs="Times New Roman"/>
          <w:i/>
        </w:rPr>
      </w:pPr>
      <w:r w:rsidRPr="00920D61">
        <w:rPr>
          <w:rFonts w:ascii="Times New Roman" w:hAnsi="Times New Roman" w:cs="Times New Roman"/>
        </w:rPr>
        <w:t>A központi és a csapattagozatban alkalmazott légi szállító eszközök.</w:t>
      </w:r>
      <w:r w:rsidRPr="00920D61">
        <w:rPr>
          <w:rStyle w:val="tlid-translation"/>
          <w:rFonts w:ascii="Times New Roman" w:hAnsi="Times New Roman" w:cs="Times New Roman"/>
          <w:lang w:val="en"/>
        </w:rPr>
        <w:t xml:space="preserve"> </w:t>
      </w:r>
      <w:r w:rsidRPr="00920D61">
        <w:rPr>
          <w:rStyle w:val="tlid-translation"/>
          <w:rFonts w:ascii="Times New Roman" w:hAnsi="Times New Roman" w:cs="Times New Roman"/>
          <w:i/>
          <w:lang w:val="en"/>
        </w:rPr>
        <w:t>(Central and team air transport equipment.)</w:t>
      </w:r>
    </w:p>
    <w:p w:rsidR="00D00A95" w:rsidRPr="00920D61" w:rsidRDefault="00D00A95" w:rsidP="00980876">
      <w:pPr>
        <w:pStyle w:val="lfej"/>
        <w:numPr>
          <w:ilvl w:val="1"/>
          <w:numId w:val="274"/>
        </w:numPr>
        <w:tabs>
          <w:tab w:val="clear" w:pos="3977"/>
          <w:tab w:val="clear" w:pos="4536"/>
          <w:tab w:val="clear" w:pos="9072"/>
          <w:tab w:val="left" w:pos="708"/>
        </w:tabs>
        <w:spacing w:before="60"/>
        <w:ind w:left="1134" w:hanging="715"/>
        <w:jc w:val="both"/>
        <w:rPr>
          <w:rFonts w:ascii="Times New Roman" w:hAnsi="Times New Roman" w:cs="Times New Roman"/>
        </w:rPr>
      </w:pPr>
      <w:r w:rsidRPr="00920D61">
        <w:rPr>
          <w:rFonts w:ascii="Times New Roman" w:hAnsi="Times New Roman" w:cs="Times New Roman"/>
        </w:rPr>
        <w:t xml:space="preserve">Zárthelyi dolgozat. </w:t>
      </w:r>
      <w:r w:rsidRPr="00920D61">
        <w:rPr>
          <w:rFonts w:ascii="Times New Roman" w:hAnsi="Times New Roman" w:cs="Times New Roman"/>
          <w:i/>
        </w:rPr>
        <w:t>(Closed thesis.)</w:t>
      </w:r>
    </w:p>
    <w:p w:rsidR="00D00A95" w:rsidRPr="00920D61" w:rsidRDefault="00D00A95" w:rsidP="00980876">
      <w:pPr>
        <w:widowControl w:val="0"/>
        <w:numPr>
          <w:ilvl w:val="0"/>
          <w:numId w:val="274"/>
        </w:numPr>
        <w:spacing w:before="120" w:after="120" w:line="240" w:lineRule="auto"/>
        <w:ind w:left="426" w:hanging="142"/>
        <w:jc w:val="both"/>
        <w:rPr>
          <w:rFonts w:ascii="Times New Roman" w:eastAsia="Times New Roman" w:hAnsi="Times New Roman" w:cs="Times New Roman"/>
          <w:bCs/>
        </w:rPr>
      </w:pPr>
      <w:r w:rsidRPr="00920D61">
        <w:rPr>
          <w:rFonts w:ascii="Times New Roman" w:eastAsia="Times New Roman" w:hAnsi="Times New Roman" w:cs="Times New Roman"/>
          <w:b/>
          <w:bCs/>
        </w:rPr>
        <w:t xml:space="preserve">A tantárgy meghirdetésének gyakorisága/a tantervben történő félévi elhelyezkedése: </w:t>
      </w:r>
      <w:r w:rsidRPr="00920D61">
        <w:rPr>
          <w:rFonts w:ascii="Times New Roman" w:eastAsia="Times New Roman" w:hAnsi="Times New Roman" w:cs="Times New Roman"/>
          <w:bCs/>
        </w:rPr>
        <w:t>6. félév</w:t>
      </w:r>
    </w:p>
    <w:p w:rsidR="00D00A95" w:rsidRPr="00920D61" w:rsidRDefault="00D00A95" w:rsidP="00980876">
      <w:pPr>
        <w:widowControl w:val="0"/>
        <w:numPr>
          <w:ilvl w:val="0"/>
          <w:numId w:val="274"/>
        </w:numPr>
        <w:spacing w:before="120" w:after="120" w:line="240" w:lineRule="auto"/>
        <w:ind w:left="426" w:hanging="142"/>
        <w:jc w:val="both"/>
        <w:rPr>
          <w:rFonts w:ascii="Times New Roman" w:eastAsia="Times New Roman" w:hAnsi="Times New Roman" w:cs="Times New Roman"/>
          <w:bCs/>
        </w:rPr>
      </w:pPr>
      <w:r w:rsidRPr="00920D61">
        <w:rPr>
          <w:rFonts w:ascii="Times New Roman" w:eastAsia="Times New Roman" w:hAnsi="Times New Roman" w:cs="Times New Roman"/>
          <w:b/>
          <w:bCs/>
        </w:rPr>
        <w:t>A tanórákon való részvétel követelményei, az elfogadható hiányzások mértéke, a távolmaradás pótlásának lehetősége:</w:t>
      </w:r>
      <w:r w:rsidRPr="00920D61">
        <w:rPr>
          <w:rFonts w:ascii="Times New Roman" w:eastAsia="Times New Roman" w:hAnsi="Times New Roman" w:cs="Times New Roman"/>
          <w:bCs/>
        </w:rPr>
        <w:t xml:space="preserve"> </w:t>
      </w:r>
    </w:p>
    <w:p w:rsidR="00D00A95" w:rsidRPr="00920D61" w:rsidRDefault="00D00A95" w:rsidP="00D00A95">
      <w:pPr>
        <w:widowControl w:val="0"/>
        <w:spacing w:before="120" w:after="120" w:line="240" w:lineRule="auto"/>
        <w:ind w:left="426"/>
        <w:jc w:val="both"/>
        <w:rPr>
          <w:rFonts w:ascii="Times New Roman" w:eastAsia="Times New Roman" w:hAnsi="Times New Roman" w:cs="Times New Roman"/>
          <w:bCs/>
          <w:highlight w:val="lightGray"/>
        </w:rPr>
      </w:pPr>
      <w:r w:rsidRPr="00920D61">
        <w:rPr>
          <w:rFonts w:ascii="Times New Roman" w:eastAsia="Times New Roman" w:hAnsi="Times New Roman" w:cs="Times New Roman"/>
          <w:bCs/>
          <w:lang w:eastAsia="hu-HU"/>
        </w:rPr>
        <w:t xml:space="preserve">A tanórákon való részvétel kötelező, megengedett hiányzás mértéke 25%. Hiányzás esetén </w:t>
      </w:r>
      <w:r w:rsidRPr="00920D61">
        <w:rPr>
          <w:rFonts w:ascii="Times New Roman" w:eastAsia="Times New Roman" w:hAnsi="Times New Roman" w:cs="Times New Roman"/>
          <w:bCs/>
          <w:lang w:eastAsia="hu-HU"/>
        </w:rPr>
        <w:lastRenderedPageBreak/>
        <w:t>órapótlásra nincs lehetőség, a hallgató az előadás anyagát önállóan pótolja. A 25%-ot meghaladó hiányzás az aláírás megtagadását vonja maga után.</w:t>
      </w:r>
    </w:p>
    <w:p w:rsidR="00D00A95" w:rsidRPr="00920D61" w:rsidRDefault="00D00A95" w:rsidP="00980876">
      <w:pPr>
        <w:widowControl w:val="0"/>
        <w:numPr>
          <w:ilvl w:val="0"/>
          <w:numId w:val="274"/>
        </w:numPr>
        <w:spacing w:before="120" w:after="120" w:line="240" w:lineRule="auto"/>
        <w:ind w:left="426" w:hanging="142"/>
        <w:jc w:val="both"/>
        <w:rPr>
          <w:rFonts w:ascii="Times New Roman" w:eastAsia="Times New Roman" w:hAnsi="Times New Roman" w:cs="Times New Roman"/>
          <w:bCs/>
        </w:rPr>
      </w:pPr>
      <w:r w:rsidRPr="00920D61">
        <w:rPr>
          <w:rFonts w:ascii="Times New Roman" w:eastAsia="Times New Roman" w:hAnsi="Times New Roman" w:cs="Times New Roman"/>
          <w:b/>
        </w:rPr>
        <w:t>Félévközi feladatok, ismeretek ellenőrzésének rendje:</w:t>
      </w:r>
      <w:r w:rsidRPr="00920D61">
        <w:rPr>
          <w:rFonts w:ascii="Times New Roman" w:eastAsia="Times New Roman" w:hAnsi="Times New Roman" w:cs="Times New Roman"/>
          <w:bCs/>
        </w:rPr>
        <w:t xml:space="preserve"> </w:t>
      </w:r>
    </w:p>
    <w:p w:rsidR="00D00A95" w:rsidRPr="00920D61" w:rsidRDefault="00D00A95" w:rsidP="00D00A95">
      <w:pPr>
        <w:widowControl w:val="0"/>
        <w:spacing w:before="120" w:after="120" w:line="240" w:lineRule="auto"/>
        <w:ind w:left="426"/>
        <w:jc w:val="both"/>
        <w:rPr>
          <w:rFonts w:ascii="Times New Roman" w:eastAsia="Times New Roman" w:hAnsi="Times New Roman" w:cs="Times New Roman"/>
          <w:lang w:eastAsia="x-none"/>
        </w:rPr>
      </w:pPr>
      <w:r w:rsidRPr="00920D61">
        <w:rPr>
          <w:rFonts w:ascii="Times New Roman" w:eastAsia="Times New Roman" w:hAnsi="Times New Roman" w:cs="Times New Roman"/>
          <w:lang w:val="x-none" w:eastAsia="x-none"/>
        </w:rPr>
        <w:t>A félév során egy zárthelyi dolgozatot ke</w:t>
      </w:r>
      <w:r w:rsidRPr="00920D61">
        <w:rPr>
          <w:rFonts w:ascii="Times New Roman" w:eastAsia="Times New Roman" w:hAnsi="Times New Roman" w:cs="Times New Roman"/>
          <w:lang w:eastAsia="x-none"/>
        </w:rPr>
        <w:t>l</w:t>
      </w:r>
      <w:r w:rsidRPr="00920D61">
        <w:rPr>
          <w:rFonts w:ascii="Times New Roman" w:eastAsia="Times New Roman" w:hAnsi="Times New Roman" w:cs="Times New Roman"/>
          <w:lang w:val="x-none" w:eastAsia="x-none"/>
        </w:rPr>
        <w:t>l megír</w:t>
      </w:r>
      <w:r w:rsidRPr="00920D61">
        <w:rPr>
          <w:rFonts w:ascii="Times New Roman" w:eastAsia="Times New Roman" w:hAnsi="Times New Roman" w:cs="Times New Roman"/>
          <w:lang w:eastAsia="x-none"/>
        </w:rPr>
        <w:t>ni</w:t>
      </w:r>
      <w:r w:rsidRPr="00920D61">
        <w:rPr>
          <w:rFonts w:ascii="Times New Roman" w:eastAsia="Times New Roman" w:hAnsi="Times New Roman" w:cs="Times New Roman"/>
          <w:lang w:val="x-none" w:eastAsia="x-none"/>
        </w:rPr>
        <w:t xml:space="preserve">. </w:t>
      </w:r>
      <w:r w:rsidRPr="00920D61">
        <w:rPr>
          <w:rFonts w:ascii="Times New Roman" w:eastAsia="Times New Roman" w:hAnsi="Times New Roman" w:cs="Times New Roman"/>
          <w:lang w:eastAsia="x-none"/>
        </w:rPr>
        <w:t xml:space="preserve">A zárthelyi dolgozat ötfokozatú skálán értékelendő, 50%+1 pont elégséges, 60% közepes, 75% jó, 90% jeles. </w:t>
      </w:r>
      <w:r w:rsidRPr="00920D61">
        <w:rPr>
          <w:rFonts w:ascii="Times New Roman" w:eastAsia="Times New Roman" w:hAnsi="Times New Roman" w:cs="Times New Roman"/>
          <w:lang w:val="x-none" w:eastAsia="x-none"/>
        </w:rPr>
        <w:t xml:space="preserve">Az elégtelen osztályzatra értékelt dolgozatot a szorgalmi és a vizsgaidőszakban is egy-egy alkalommal lehet pótolni. </w:t>
      </w:r>
    </w:p>
    <w:p w:rsidR="00D00A95" w:rsidRPr="00920D61" w:rsidRDefault="00D00A95" w:rsidP="00D00A95">
      <w:pPr>
        <w:widowControl w:val="0"/>
        <w:spacing w:before="120" w:after="120" w:line="240" w:lineRule="auto"/>
        <w:ind w:left="426"/>
        <w:jc w:val="both"/>
        <w:rPr>
          <w:rFonts w:ascii="Times New Roman" w:eastAsia="Times New Roman" w:hAnsi="Times New Roman" w:cs="Times New Roman"/>
          <w:lang w:val="x-none" w:eastAsia="x-none"/>
        </w:rPr>
      </w:pPr>
      <w:r w:rsidRPr="00920D61">
        <w:rPr>
          <w:rFonts w:ascii="Times New Roman" w:hAnsi="Times New Roman" w:cs="Times New Roman"/>
          <w:lang w:val="x-none" w:eastAsia="x-none"/>
        </w:rPr>
        <w:t xml:space="preserve">A félév során </w:t>
      </w:r>
      <w:r w:rsidRPr="00920D61">
        <w:rPr>
          <w:rFonts w:ascii="Times New Roman" w:hAnsi="Times New Roman" w:cs="Times New Roman"/>
          <w:lang w:eastAsia="x-none"/>
        </w:rPr>
        <w:t>egy</w:t>
      </w:r>
      <w:r w:rsidRPr="00920D61">
        <w:rPr>
          <w:rFonts w:ascii="Times New Roman" w:hAnsi="Times New Roman" w:cs="Times New Roman"/>
          <w:lang w:val="x-none" w:eastAsia="x-none"/>
        </w:rPr>
        <w:t xml:space="preserve"> házi feladatot kell elkészíteni minimálisan 10 oldal</w:t>
      </w:r>
      <w:r w:rsidRPr="00920D61">
        <w:rPr>
          <w:rFonts w:ascii="Times New Roman" w:hAnsi="Times New Roman" w:cs="Times New Roman"/>
          <w:b/>
          <w:lang w:val="x-none" w:eastAsia="x-none"/>
        </w:rPr>
        <w:t xml:space="preserve"> </w:t>
      </w:r>
      <w:r w:rsidRPr="00920D61">
        <w:rPr>
          <w:rFonts w:ascii="Times New Roman" w:hAnsi="Times New Roman" w:cs="Times New Roman"/>
          <w:lang w:val="x-none" w:eastAsia="x-none"/>
        </w:rPr>
        <w:t xml:space="preserve">terjedelemben, a szakdolgozatnak megfelelő formai követelményekkel </w:t>
      </w:r>
      <w:r w:rsidRPr="00920D61">
        <w:rPr>
          <w:rFonts w:ascii="Times New Roman" w:hAnsi="Times New Roman" w:cs="Times New Roman"/>
        </w:rPr>
        <w:t>(TVSZ 5. melléklet)</w:t>
      </w:r>
      <w:r w:rsidRPr="00920D61">
        <w:rPr>
          <w:rFonts w:ascii="Times New Roman" w:hAnsi="Times New Roman" w:cs="Times New Roman"/>
          <w:lang w:val="x-none" w:eastAsia="x-none"/>
        </w:rPr>
        <w:t xml:space="preserve">. </w:t>
      </w:r>
      <w:r w:rsidRPr="00920D61">
        <w:rPr>
          <w:rFonts w:ascii="Times New Roman" w:hAnsi="Times New Roman" w:cs="Times New Roman"/>
          <w:lang w:eastAsia="x-none"/>
        </w:rPr>
        <w:t xml:space="preserve">A 10 oldal terjedelembe a bevezető, a fő rész és a befejezés tartozik csak. </w:t>
      </w:r>
      <w:r w:rsidRPr="00920D61">
        <w:rPr>
          <w:rFonts w:ascii="Times New Roman" w:hAnsi="Times New Roman" w:cs="Times New Roman"/>
          <w:lang w:val="x-none" w:eastAsia="x-none"/>
        </w:rPr>
        <w:t>Az írásbeli munka témáját a hallgató választja</w:t>
      </w:r>
      <w:r w:rsidRPr="00920D61">
        <w:rPr>
          <w:rFonts w:ascii="Times New Roman" w:hAnsi="Times New Roman" w:cs="Times New Roman"/>
          <w:lang w:eastAsia="x-none"/>
        </w:rPr>
        <w:t>,</w:t>
      </w:r>
      <w:r w:rsidRPr="00920D61">
        <w:rPr>
          <w:rFonts w:ascii="Times New Roman" w:hAnsi="Times New Roman" w:cs="Times New Roman"/>
          <w:lang w:val="x-none" w:eastAsia="x-none"/>
        </w:rPr>
        <w:t xml:space="preserve"> a kurzus oktatója </w:t>
      </w:r>
      <w:r w:rsidRPr="00920D61">
        <w:rPr>
          <w:rFonts w:ascii="Times New Roman" w:hAnsi="Times New Roman" w:cs="Times New Roman"/>
          <w:lang w:eastAsia="x-none"/>
        </w:rPr>
        <w:t>jóváhagyja</w:t>
      </w:r>
      <w:r w:rsidRPr="00920D61">
        <w:rPr>
          <w:rFonts w:ascii="Times New Roman" w:hAnsi="Times New Roman" w:cs="Times New Roman"/>
          <w:lang w:val="x-none" w:eastAsia="x-none"/>
        </w:rPr>
        <w:t xml:space="preserve">. A szorgalmi időszakban a beadási határidőig leadott feladat </w:t>
      </w:r>
      <w:r w:rsidRPr="00920D61">
        <w:rPr>
          <w:rFonts w:ascii="Times New Roman" w:hAnsi="Times New Roman" w:cs="Times New Roman"/>
          <w:lang w:eastAsia="x-none"/>
        </w:rPr>
        <w:t>ötfokozatú skálán értékelendő</w:t>
      </w:r>
      <w:r w:rsidRPr="00920D61">
        <w:rPr>
          <w:rFonts w:ascii="Times New Roman" w:hAnsi="Times New Roman" w:cs="Times New Roman"/>
          <w:lang w:val="x-none" w:eastAsia="x-none"/>
        </w:rPr>
        <w:t>, azt javítani a vizsgaidőszak első hetén egy alkalommal lehet.</w:t>
      </w:r>
    </w:p>
    <w:p w:rsidR="00D00A95" w:rsidRPr="00920D61" w:rsidRDefault="00D00A95" w:rsidP="00980876">
      <w:pPr>
        <w:widowControl w:val="0"/>
        <w:numPr>
          <w:ilvl w:val="0"/>
          <w:numId w:val="274"/>
        </w:numPr>
        <w:spacing w:before="120" w:after="120" w:line="240" w:lineRule="auto"/>
        <w:ind w:left="426" w:hanging="142"/>
        <w:jc w:val="both"/>
        <w:rPr>
          <w:rFonts w:ascii="Times New Roman" w:eastAsia="Times New Roman" w:hAnsi="Times New Roman" w:cs="Times New Roman"/>
          <w:b/>
          <w:bCs/>
        </w:rPr>
      </w:pPr>
      <w:r w:rsidRPr="00920D61">
        <w:rPr>
          <w:rFonts w:ascii="Times New Roman" w:eastAsia="Times New Roman" w:hAnsi="Times New Roman" w:cs="Times New Roman"/>
          <w:b/>
          <w:bCs/>
        </w:rPr>
        <w:t xml:space="preserve">Az értékelés, az aláírás és a kreditek megszerzésének pontos feltételei: </w:t>
      </w:r>
    </w:p>
    <w:p w:rsidR="00D00A95" w:rsidRPr="00920D61" w:rsidRDefault="00D00A95" w:rsidP="00980876">
      <w:pPr>
        <w:widowControl w:val="0"/>
        <w:numPr>
          <w:ilvl w:val="1"/>
          <w:numId w:val="274"/>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920D61">
        <w:rPr>
          <w:rFonts w:ascii="Times New Roman" w:eastAsia="Times New Roman" w:hAnsi="Times New Roman" w:cs="Times New Roman"/>
          <w:b/>
        </w:rPr>
        <w:t>Az aláírás megszerzésének feltételei:</w:t>
      </w:r>
      <w:r w:rsidRPr="00920D61">
        <w:rPr>
          <w:rFonts w:ascii="Times New Roman" w:eastAsia="Times New Roman" w:hAnsi="Times New Roman" w:cs="Times New Roman"/>
        </w:rPr>
        <w:t xml:space="preserve"> </w:t>
      </w:r>
    </w:p>
    <w:p w:rsidR="00D00A95" w:rsidRPr="00920D61" w:rsidRDefault="00D00A95" w:rsidP="00D00A95">
      <w:pPr>
        <w:spacing w:before="120"/>
        <w:ind w:left="426"/>
        <w:jc w:val="both"/>
        <w:rPr>
          <w:rFonts w:ascii="Times New Roman" w:hAnsi="Times New Roman" w:cs="Times New Roman"/>
        </w:rPr>
      </w:pPr>
      <w:r w:rsidRPr="00920D61">
        <w:rPr>
          <w:rFonts w:ascii="Times New Roman" w:hAnsi="Times New Roman" w:cs="Times New Roman"/>
        </w:rPr>
        <w:t xml:space="preserve">Az aláírás megszerzésnek feltétele a zárthelyi dolgozat legalább elégséges szinten történő teljesítése (min </w:t>
      </w:r>
      <w:r w:rsidRPr="00920D61">
        <w:rPr>
          <w:rFonts w:ascii="Times New Roman" w:eastAsia="Times New Roman" w:hAnsi="Times New Roman" w:cs="Times New Roman"/>
          <w:lang w:eastAsia="x-none"/>
        </w:rPr>
        <w:t>50%+1 pont</w:t>
      </w:r>
      <w:r w:rsidRPr="00920D61">
        <w:rPr>
          <w:rFonts w:ascii="Times New Roman" w:hAnsi="Times New Roman" w:cs="Times New Roman"/>
        </w:rPr>
        <w:t>), a kapott féléves feladat határidőre történő leadása és minimálisan elégséges szintű teljesítése, illetve a tanórák legalább 75%-án való megjelenés.</w:t>
      </w:r>
    </w:p>
    <w:p w:rsidR="00D00A95" w:rsidRPr="00920D61" w:rsidRDefault="00D00A95" w:rsidP="00980876">
      <w:pPr>
        <w:widowControl w:val="0"/>
        <w:numPr>
          <w:ilvl w:val="1"/>
          <w:numId w:val="274"/>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920D61">
        <w:rPr>
          <w:rFonts w:ascii="Times New Roman" w:eastAsia="Times New Roman" w:hAnsi="Times New Roman" w:cs="Times New Roman"/>
          <w:b/>
        </w:rPr>
        <w:t>Az értékelés:</w:t>
      </w:r>
      <w:r w:rsidRPr="00920D61">
        <w:rPr>
          <w:rFonts w:ascii="Times New Roman" w:eastAsia="Times New Roman" w:hAnsi="Times New Roman" w:cs="Times New Roman"/>
        </w:rPr>
        <w:t xml:space="preserve"> </w:t>
      </w:r>
    </w:p>
    <w:p w:rsidR="00D00A95" w:rsidRPr="00920D61" w:rsidRDefault="00D00A95" w:rsidP="00D00A95">
      <w:pPr>
        <w:spacing w:before="120"/>
        <w:ind w:left="426"/>
        <w:jc w:val="both"/>
        <w:rPr>
          <w:rFonts w:ascii="Times New Roman" w:hAnsi="Times New Roman" w:cs="Times New Roman"/>
          <w:b/>
        </w:rPr>
      </w:pPr>
      <w:r w:rsidRPr="00920D61">
        <w:rPr>
          <w:rFonts w:ascii="Times New Roman" w:hAnsi="Times New Roman" w:cs="Times New Roman"/>
          <w:lang w:val="x-none" w:eastAsia="x-none"/>
        </w:rPr>
        <w:t xml:space="preserve">A tantárgy </w:t>
      </w:r>
      <w:r w:rsidRPr="00920D61">
        <w:rPr>
          <w:rFonts w:ascii="Times New Roman" w:hAnsi="Times New Roman" w:cs="Times New Roman"/>
          <w:b/>
          <w:lang w:val="x-none" w:eastAsia="x-none"/>
        </w:rPr>
        <w:t>félévközi jeggyel</w:t>
      </w:r>
      <w:r w:rsidRPr="00920D61">
        <w:rPr>
          <w:rFonts w:ascii="Times New Roman" w:hAnsi="Times New Roman" w:cs="Times New Roman"/>
          <w:lang w:val="x-none" w:eastAsia="x-none"/>
        </w:rPr>
        <w:t xml:space="preserve"> zárul, </w:t>
      </w:r>
      <w:r w:rsidRPr="00920D61">
        <w:rPr>
          <w:rFonts w:ascii="Times New Roman" w:hAnsi="Times New Roman" w:cs="Times New Roman"/>
          <w:lang w:eastAsia="x-none"/>
        </w:rPr>
        <w:t>a</w:t>
      </w:r>
      <w:r w:rsidRPr="00920D61">
        <w:rPr>
          <w:rFonts w:ascii="Times New Roman" w:hAnsi="Times New Roman" w:cs="Times New Roman"/>
          <w:lang w:val="x-none" w:eastAsia="x-none"/>
        </w:rPr>
        <w:t>mely a zárthelyi dolgozatra és a beadott házi feladatra kapott osztályzatok alapján kerül meghatározásra egyszerű számtani átlaggal.</w:t>
      </w:r>
      <w:r w:rsidRPr="00920D61">
        <w:rPr>
          <w:rFonts w:ascii="Times New Roman" w:hAnsi="Times New Roman" w:cs="Times New Roman"/>
        </w:rPr>
        <w:t xml:space="preserve"> Kétes jegy esetén (pl. 3,5) a zárthelyi jegyét súlyozottan kell beszámítani.</w:t>
      </w:r>
    </w:p>
    <w:p w:rsidR="00D00A95" w:rsidRPr="00920D61" w:rsidRDefault="00D00A95" w:rsidP="00980876">
      <w:pPr>
        <w:widowControl w:val="0"/>
        <w:numPr>
          <w:ilvl w:val="1"/>
          <w:numId w:val="274"/>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920D61">
        <w:rPr>
          <w:rFonts w:ascii="Times New Roman" w:eastAsia="Times New Roman" w:hAnsi="Times New Roman" w:cs="Times New Roman"/>
          <w:b/>
        </w:rPr>
        <w:t>A kreditek megszerzésének feltételei:</w:t>
      </w:r>
      <w:r w:rsidRPr="00920D61">
        <w:rPr>
          <w:rFonts w:ascii="Times New Roman" w:eastAsia="Times New Roman" w:hAnsi="Times New Roman" w:cs="Times New Roman"/>
        </w:rPr>
        <w:t xml:space="preserve"> </w:t>
      </w:r>
    </w:p>
    <w:p w:rsidR="00D00A95" w:rsidRPr="00920D61" w:rsidRDefault="00D00A95" w:rsidP="00D00A95">
      <w:pPr>
        <w:widowControl w:val="0"/>
        <w:tabs>
          <w:tab w:val="left" w:pos="993"/>
        </w:tabs>
        <w:spacing w:before="120" w:after="120" w:line="240" w:lineRule="auto"/>
        <w:ind w:left="426"/>
        <w:jc w:val="both"/>
        <w:rPr>
          <w:rFonts w:ascii="Times New Roman" w:eastAsia="Times New Roman" w:hAnsi="Times New Roman" w:cs="Times New Roman"/>
        </w:rPr>
      </w:pPr>
      <w:r w:rsidRPr="00920D61">
        <w:rPr>
          <w:rFonts w:ascii="Times New Roman" w:eastAsia="Times New Roman" w:hAnsi="Times New Roman" w:cs="Times New Roman"/>
        </w:rPr>
        <w:t>A kreditek megszerzésének feltétele az aláírás megszerzése és legalább elégséges félévközi jegy.</w:t>
      </w:r>
    </w:p>
    <w:p w:rsidR="00D00A95" w:rsidRPr="00920D61" w:rsidRDefault="00D00A95" w:rsidP="00980876">
      <w:pPr>
        <w:widowControl w:val="0"/>
        <w:numPr>
          <w:ilvl w:val="0"/>
          <w:numId w:val="274"/>
        </w:numPr>
        <w:spacing w:before="120" w:after="120" w:line="240" w:lineRule="auto"/>
        <w:ind w:left="426" w:hanging="142"/>
        <w:jc w:val="both"/>
        <w:rPr>
          <w:rFonts w:ascii="Times New Roman" w:eastAsia="Times New Roman" w:hAnsi="Times New Roman" w:cs="Times New Roman"/>
          <w:bCs/>
        </w:rPr>
      </w:pPr>
      <w:r w:rsidRPr="00920D61">
        <w:rPr>
          <w:rFonts w:ascii="Times New Roman" w:eastAsia="Times New Roman" w:hAnsi="Times New Roman" w:cs="Times New Roman"/>
          <w:b/>
          <w:bCs/>
        </w:rPr>
        <w:t>Irodalomjegyzék:</w:t>
      </w:r>
    </w:p>
    <w:p w:rsidR="00D00A95" w:rsidRPr="00920D61" w:rsidRDefault="00D00A95" w:rsidP="00980876">
      <w:pPr>
        <w:widowControl w:val="0"/>
        <w:numPr>
          <w:ilvl w:val="1"/>
          <w:numId w:val="274"/>
        </w:numPr>
        <w:tabs>
          <w:tab w:val="left" w:pos="567"/>
          <w:tab w:val="left" w:pos="851"/>
        </w:tabs>
        <w:spacing w:before="120" w:after="120" w:line="240" w:lineRule="auto"/>
        <w:ind w:left="426" w:hanging="142"/>
        <w:jc w:val="both"/>
        <w:rPr>
          <w:rFonts w:ascii="Times New Roman" w:eastAsia="Times New Roman" w:hAnsi="Times New Roman" w:cs="Times New Roman"/>
          <w:bCs/>
        </w:rPr>
      </w:pPr>
      <w:r w:rsidRPr="00920D61">
        <w:rPr>
          <w:rFonts w:ascii="Times New Roman" w:eastAsia="Times New Roman" w:hAnsi="Times New Roman" w:cs="Times New Roman"/>
          <w:b/>
          <w:bCs/>
        </w:rPr>
        <w:t>Kötelező irodalom:</w:t>
      </w:r>
    </w:p>
    <w:p w:rsidR="00D00A95" w:rsidRPr="00920D61" w:rsidRDefault="00D00A95" w:rsidP="00980876">
      <w:pPr>
        <w:pStyle w:val="Listaszerbekezds"/>
        <w:numPr>
          <w:ilvl w:val="0"/>
          <w:numId w:val="275"/>
        </w:numPr>
        <w:spacing w:after="0" w:line="240" w:lineRule="auto"/>
        <w:jc w:val="both"/>
        <w:rPr>
          <w:rFonts w:ascii="Times New Roman" w:hAnsi="Times New Roman" w:cs="Times New Roman"/>
        </w:rPr>
      </w:pPr>
      <w:r w:rsidRPr="00920D61">
        <w:rPr>
          <w:rFonts w:ascii="Times New Roman" w:hAnsi="Times New Roman" w:cs="Times New Roman"/>
        </w:rPr>
        <w:t>Dr. Vincze K. – Dr. Zvikli S.: Áruszállító járművek I-II. (Széchenyi István Egyetem Universitas-Győr Kht., Győr, 2001. ISBN 200-00000-041-1-8 p.230);</w:t>
      </w:r>
    </w:p>
    <w:p w:rsidR="00D00A95" w:rsidRPr="00920D61" w:rsidRDefault="00D00A95" w:rsidP="00980876">
      <w:pPr>
        <w:pStyle w:val="Listaszerbekezds"/>
        <w:numPr>
          <w:ilvl w:val="0"/>
          <w:numId w:val="275"/>
        </w:numPr>
        <w:spacing w:after="0" w:line="240" w:lineRule="auto"/>
        <w:jc w:val="both"/>
        <w:rPr>
          <w:rFonts w:ascii="Times New Roman" w:hAnsi="Times New Roman" w:cs="Times New Roman"/>
        </w:rPr>
      </w:pPr>
      <w:r w:rsidRPr="00920D61">
        <w:rPr>
          <w:rFonts w:ascii="Times New Roman" w:hAnsi="Times New Roman" w:cs="Times New Roman"/>
        </w:rPr>
        <w:t>Adattár a Közlekedési Szolgálatnál alkalmazott szállító járművekről (MH Katonai Közlekedési Központ kiadványa (aktuális évben pontosított változat);</w:t>
      </w:r>
    </w:p>
    <w:p w:rsidR="00D00A95" w:rsidRPr="00920D61" w:rsidRDefault="00D00A95" w:rsidP="00980876">
      <w:pPr>
        <w:widowControl w:val="0"/>
        <w:numPr>
          <w:ilvl w:val="1"/>
          <w:numId w:val="274"/>
        </w:numPr>
        <w:tabs>
          <w:tab w:val="num" w:pos="2069"/>
        </w:tabs>
        <w:spacing w:before="120" w:after="120" w:line="240" w:lineRule="auto"/>
        <w:ind w:left="993" w:hanging="709"/>
        <w:jc w:val="both"/>
        <w:rPr>
          <w:rFonts w:ascii="Times New Roman" w:eastAsia="Times New Roman" w:hAnsi="Times New Roman" w:cs="Times New Roman"/>
          <w:b/>
          <w:bCs/>
        </w:rPr>
      </w:pPr>
      <w:r w:rsidRPr="00920D61">
        <w:rPr>
          <w:rFonts w:ascii="Times New Roman" w:eastAsia="Times New Roman" w:hAnsi="Times New Roman" w:cs="Times New Roman"/>
          <w:b/>
          <w:bCs/>
        </w:rPr>
        <w:t>Ajánlott irodalom:</w:t>
      </w:r>
    </w:p>
    <w:p w:rsidR="00D00A95" w:rsidRPr="00920D61" w:rsidRDefault="00D00A95" w:rsidP="00980876">
      <w:pPr>
        <w:pStyle w:val="Listaszerbekezds"/>
        <w:numPr>
          <w:ilvl w:val="0"/>
          <w:numId w:val="273"/>
        </w:numPr>
        <w:spacing w:after="0" w:line="240" w:lineRule="auto"/>
        <w:jc w:val="both"/>
        <w:rPr>
          <w:rFonts w:ascii="Times New Roman" w:hAnsi="Times New Roman" w:cs="Times New Roman"/>
        </w:rPr>
      </w:pPr>
      <w:r w:rsidRPr="00920D61">
        <w:rPr>
          <w:rFonts w:ascii="Times New Roman" w:hAnsi="Times New Roman" w:cs="Times New Roman"/>
        </w:rPr>
        <w:t>Arató K.: Vasúti szállítás és infrastruktúra I. (Széchenyi István Egyetem Műszaki Tudományi Kar elektronikus jegyzete; Győr, 2009.);</w:t>
      </w:r>
    </w:p>
    <w:p w:rsidR="00D00A95" w:rsidRPr="00920D61" w:rsidRDefault="00D00A95" w:rsidP="00980876">
      <w:pPr>
        <w:pStyle w:val="Listaszerbekezds"/>
        <w:numPr>
          <w:ilvl w:val="0"/>
          <w:numId w:val="273"/>
        </w:numPr>
        <w:spacing w:after="0" w:line="240" w:lineRule="auto"/>
        <w:jc w:val="both"/>
        <w:rPr>
          <w:rFonts w:ascii="Times New Roman" w:hAnsi="Times New Roman" w:cs="Times New Roman"/>
        </w:rPr>
      </w:pPr>
      <w:r w:rsidRPr="00920D61">
        <w:rPr>
          <w:rFonts w:ascii="Times New Roman" w:hAnsi="Times New Roman" w:cs="Times New Roman"/>
        </w:rPr>
        <w:t>Szabó L.: Vasúti szállítás és infrastruktúra II. (Universitas-Győr Nonprofit Kft. Győr, 2009.).</w:t>
      </w:r>
    </w:p>
    <w:p w:rsidR="00D00A95" w:rsidRPr="00920D61" w:rsidRDefault="00D00A95" w:rsidP="00D00A95">
      <w:pPr>
        <w:pStyle w:val="Listaszerbekezds"/>
        <w:widowControl w:val="0"/>
        <w:spacing w:after="0" w:line="240" w:lineRule="auto"/>
        <w:jc w:val="both"/>
        <w:rPr>
          <w:rFonts w:ascii="Times New Roman" w:eastAsia="Times New Roman" w:hAnsi="Times New Roman" w:cs="Times New Roman"/>
          <w:highlight w:val="lightGray"/>
        </w:rPr>
      </w:pPr>
    </w:p>
    <w:p w:rsidR="00920D61" w:rsidRPr="00920D61" w:rsidRDefault="00920D61" w:rsidP="00920D61">
      <w:pPr>
        <w:widowControl w:val="0"/>
        <w:spacing w:before="120" w:after="120" w:line="240" w:lineRule="auto"/>
        <w:jc w:val="both"/>
        <w:rPr>
          <w:rFonts w:ascii="Times New Roman" w:eastAsia="Times New Roman" w:hAnsi="Times New Roman" w:cs="Times New Roman"/>
          <w:bCs/>
        </w:rPr>
      </w:pPr>
      <w:r w:rsidRPr="00920D61">
        <w:rPr>
          <w:rFonts w:ascii="Times New Roman" w:eastAsia="Times New Roman" w:hAnsi="Times New Roman" w:cs="Times New Roman"/>
          <w:bCs/>
        </w:rPr>
        <w:t>Budapest 2020. március     -n</w:t>
      </w:r>
    </w:p>
    <w:p w:rsidR="00D00A95" w:rsidRPr="00920D61" w:rsidRDefault="00D00A95" w:rsidP="00D00A95">
      <w:pPr>
        <w:tabs>
          <w:tab w:val="right" w:pos="900"/>
        </w:tabs>
        <w:spacing w:before="120"/>
        <w:ind w:left="1985" w:hanging="1980"/>
        <w:jc w:val="both"/>
        <w:rPr>
          <w:rFonts w:ascii="Times New Roman" w:hAnsi="Times New Roman" w:cs="Times New Roman"/>
          <w:bCs/>
          <w:lang w:eastAsia="x-none"/>
        </w:rPr>
      </w:pPr>
    </w:p>
    <w:p w:rsidR="00D00A95" w:rsidRPr="00920D61" w:rsidRDefault="00D00A95" w:rsidP="00D00A95">
      <w:pPr>
        <w:tabs>
          <w:tab w:val="right" w:pos="900"/>
        </w:tabs>
        <w:spacing w:after="0"/>
        <w:rPr>
          <w:rFonts w:ascii="Times New Roman" w:hAnsi="Times New Roman" w:cs="Times New Roman"/>
          <w:bCs/>
          <w:lang w:val="x-none" w:eastAsia="x-none"/>
        </w:rPr>
      </w:pPr>
      <w:r w:rsidRPr="00920D61">
        <w:rPr>
          <w:rFonts w:ascii="Times New Roman" w:hAnsi="Times New Roman" w:cs="Times New Roman"/>
          <w:b/>
          <w:lang w:eastAsia="x-none"/>
        </w:rPr>
        <w:tab/>
      </w:r>
      <w:r w:rsidRPr="00920D61">
        <w:rPr>
          <w:rFonts w:ascii="Times New Roman" w:hAnsi="Times New Roman" w:cs="Times New Roman"/>
          <w:b/>
          <w:lang w:eastAsia="x-none"/>
        </w:rPr>
        <w:tab/>
      </w:r>
      <w:r w:rsidRPr="00920D61">
        <w:rPr>
          <w:rFonts w:ascii="Times New Roman" w:hAnsi="Times New Roman" w:cs="Times New Roman"/>
          <w:b/>
          <w:lang w:eastAsia="x-none"/>
        </w:rPr>
        <w:tab/>
      </w:r>
      <w:r w:rsidRPr="00920D61">
        <w:rPr>
          <w:rFonts w:ascii="Times New Roman" w:hAnsi="Times New Roman" w:cs="Times New Roman"/>
          <w:b/>
          <w:lang w:eastAsia="x-none"/>
        </w:rPr>
        <w:tab/>
      </w:r>
      <w:r w:rsidRPr="00920D61">
        <w:rPr>
          <w:rFonts w:ascii="Times New Roman" w:hAnsi="Times New Roman" w:cs="Times New Roman"/>
          <w:b/>
          <w:lang w:eastAsia="x-none"/>
        </w:rPr>
        <w:tab/>
      </w:r>
      <w:r w:rsidRPr="00920D61">
        <w:rPr>
          <w:rFonts w:ascii="Times New Roman" w:hAnsi="Times New Roman" w:cs="Times New Roman"/>
          <w:b/>
          <w:lang w:eastAsia="x-none"/>
        </w:rPr>
        <w:tab/>
        <w:t xml:space="preserve">  </w:t>
      </w:r>
      <w:r w:rsidRPr="00920D61">
        <w:rPr>
          <w:rFonts w:ascii="Times New Roman" w:hAnsi="Times New Roman" w:cs="Times New Roman"/>
          <w:b/>
          <w:lang w:eastAsia="x-none"/>
        </w:rPr>
        <w:tab/>
        <w:t xml:space="preserve">         Dr. Fábos Róbert adjunktus, PhD</w:t>
      </w:r>
    </w:p>
    <w:p w:rsidR="00D00A95" w:rsidRPr="00920D61" w:rsidRDefault="00D00A95" w:rsidP="00D00A95">
      <w:pPr>
        <w:spacing w:after="0"/>
        <w:ind w:left="5672" w:firstLine="709"/>
        <w:rPr>
          <w:rFonts w:ascii="Times New Roman" w:hAnsi="Times New Roman" w:cs="Times New Roman"/>
        </w:rPr>
      </w:pPr>
      <w:r w:rsidRPr="00920D61">
        <w:rPr>
          <w:rFonts w:ascii="Times New Roman" w:hAnsi="Times New Roman" w:cs="Times New Roman"/>
          <w:bCs/>
        </w:rPr>
        <w:t>tantárgyfelelős</w:t>
      </w:r>
    </w:p>
    <w:p w:rsidR="00D00A95" w:rsidRDefault="00D00A95">
      <w:pPr>
        <w:spacing w:after="200" w:line="276" w:lineRule="auto"/>
        <w:rPr>
          <w:rFonts w:ascii="Times New Roman" w:hAnsi="Times New Roman" w:cs="Times New Roman"/>
          <w:sz w:val="24"/>
        </w:rPr>
      </w:pPr>
    </w:p>
    <w:p w:rsidR="00920D61" w:rsidRDefault="00920D61">
      <w:pPr>
        <w:spacing w:after="200" w:line="276" w:lineRule="auto"/>
        <w:rPr>
          <w:rFonts w:ascii="Times New Roman" w:hAnsi="Times New Roman" w:cs="Times New Roman"/>
          <w:sz w:val="24"/>
        </w:rPr>
      </w:pPr>
      <w:r>
        <w:rPr>
          <w:rFonts w:ascii="Times New Roman" w:hAnsi="Times New Roman" w:cs="Times New Roman"/>
          <w:sz w:val="24"/>
        </w:rPr>
        <w:br w:type="page"/>
      </w:r>
    </w:p>
    <w:tbl>
      <w:tblPr>
        <w:tblW w:w="9072" w:type="dxa"/>
        <w:tblInd w:w="113" w:type="dxa"/>
        <w:tblLook w:val="01E0" w:firstRow="1" w:lastRow="1" w:firstColumn="1" w:lastColumn="1" w:noHBand="0" w:noVBand="0"/>
      </w:tblPr>
      <w:tblGrid>
        <w:gridCol w:w="4855"/>
        <w:gridCol w:w="1620"/>
        <w:gridCol w:w="2597"/>
      </w:tblGrid>
      <w:tr w:rsidR="00920D61" w:rsidRPr="00920D61" w:rsidTr="00920D61">
        <w:tc>
          <w:tcPr>
            <w:tcW w:w="4855" w:type="dxa"/>
            <w:tcBorders>
              <w:top w:val="nil"/>
              <w:left w:val="nil"/>
              <w:bottom w:val="single" w:sz="4" w:space="0" w:color="auto"/>
              <w:right w:val="nil"/>
            </w:tcBorders>
            <w:hideMark/>
          </w:tcPr>
          <w:p w:rsidR="00920D61" w:rsidRPr="00920D61" w:rsidRDefault="00920D61" w:rsidP="00920D61">
            <w:pPr>
              <w:spacing w:after="0" w:line="240" w:lineRule="auto"/>
              <w:jc w:val="center"/>
              <w:rPr>
                <w:rFonts w:ascii="Times New Roman" w:eastAsia="Times New Roman" w:hAnsi="Times New Roman" w:cs="Times New Roman"/>
                <w:b/>
                <w:smallCaps/>
                <w:lang w:eastAsia="hu-HU"/>
              </w:rPr>
            </w:pPr>
            <w:r w:rsidRPr="00920D61">
              <w:rPr>
                <w:rFonts w:ascii="Times New Roman" w:eastAsia="Times New Roman" w:hAnsi="Times New Roman" w:cs="Times New Roman"/>
                <w:b/>
                <w:smallCaps/>
                <w:lang w:eastAsia="hu-HU"/>
              </w:rPr>
              <w:lastRenderedPageBreak/>
              <w:t>Nemzeti Közszolgálati Egyetem</w:t>
            </w:r>
          </w:p>
        </w:tc>
        <w:tc>
          <w:tcPr>
            <w:tcW w:w="1620" w:type="dxa"/>
          </w:tcPr>
          <w:p w:rsidR="00920D61" w:rsidRPr="00920D61" w:rsidRDefault="00920D61" w:rsidP="00920D61">
            <w:pPr>
              <w:spacing w:after="0" w:line="240" w:lineRule="auto"/>
              <w:jc w:val="both"/>
              <w:rPr>
                <w:rFonts w:ascii="Times New Roman" w:eastAsia="Times New Roman" w:hAnsi="Times New Roman" w:cs="Times New Roman"/>
                <w:lang w:eastAsia="hu-HU"/>
              </w:rPr>
            </w:pPr>
          </w:p>
        </w:tc>
        <w:tc>
          <w:tcPr>
            <w:tcW w:w="2597" w:type="dxa"/>
          </w:tcPr>
          <w:p w:rsidR="00920D61" w:rsidRPr="00920D61" w:rsidRDefault="00920D61" w:rsidP="00920D61">
            <w:pPr>
              <w:spacing w:after="0" w:line="240" w:lineRule="auto"/>
              <w:jc w:val="right"/>
              <w:rPr>
                <w:rFonts w:ascii="Times New Roman" w:eastAsia="Times New Roman" w:hAnsi="Times New Roman" w:cs="Times New Roman"/>
                <w:lang w:eastAsia="hu-HU"/>
              </w:rPr>
            </w:pPr>
          </w:p>
        </w:tc>
      </w:tr>
      <w:tr w:rsidR="00920D61" w:rsidRPr="00920D61" w:rsidTr="00920D61">
        <w:tc>
          <w:tcPr>
            <w:tcW w:w="4855" w:type="dxa"/>
            <w:tcBorders>
              <w:top w:val="single" w:sz="4" w:space="0" w:color="auto"/>
              <w:left w:val="nil"/>
              <w:bottom w:val="nil"/>
              <w:right w:val="nil"/>
            </w:tcBorders>
            <w:hideMark/>
          </w:tcPr>
          <w:p w:rsidR="00920D61" w:rsidRPr="00920D61" w:rsidRDefault="00920D61" w:rsidP="00920D61">
            <w:pPr>
              <w:spacing w:after="0" w:line="240" w:lineRule="auto"/>
              <w:jc w:val="center"/>
              <w:rPr>
                <w:rFonts w:ascii="Times New Roman" w:eastAsia="Times New Roman" w:hAnsi="Times New Roman" w:cs="Times New Roman"/>
                <w:b/>
                <w:lang w:eastAsia="hu-HU"/>
              </w:rPr>
            </w:pPr>
            <w:r w:rsidRPr="00920D61">
              <w:rPr>
                <w:rFonts w:ascii="Times New Roman" w:eastAsia="Times New Roman" w:hAnsi="Times New Roman" w:cs="Times New Roman"/>
                <w:b/>
                <w:lang w:eastAsia="hu-HU"/>
              </w:rPr>
              <w:t>Hadtudományi és Honvédtisztképző Kar</w:t>
            </w:r>
          </w:p>
        </w:tc>
        <w:tc>
          <w:tcPr>
            <w:tcW w:w="1620" w:type="dxa"/>
          </w:tcPr>
          <w:p w:rsidR="00920D61" w:rsidRPr="00920D61" w:rsidRDefault="00920D61" w:rsidP="00920D61">
            <w:pPr>
              <w:spacing w:after="0" w:line="240" w:lineRule="auto"/>
              <w:jc w:val="both"/>
              <w:rPr>
                <w:rFonts w:ascii="Times New Roman" w:eastAsia="Times New Roman" w:hAnsi="Times New Roman" w:cs="Times New Roman"/>
                <w:lang w:eastAsia="hu-HU"/>
              </w:rPr>
            </w:pPr>
          </w:p>
        </w:tc>
        <w:tc>
          <w:tcPr>
            <w:tcW w:w="2597" w:type="dxa"/>
          </w:tcPr>
          <w:p w:rsidR="00920D61" w:rsidRPr="00920D61" w:rsidRDefault="00920D61" w:rsidP="00920D61">
            <w:pPr>
              <w:spacing w:after="0" w:line="240" w:lineRule="auto"/>
              <w:jc w:val="both"/>
              <w:rPr>
                <w:rFonts w:ascii="Times New Roman" w:eastAsia="Times New Roman" w:hAnsi="Times New Roman" w:cs="Times New Roman"/>
                <w:lang w:eastAsia="hu-HU"/>
              </w:rPr>
            </w:pPr>
          </w:p>
        </w:tc>
      </w:tr>
    </w:tbl>
    <w:p w:rsidR="00920D61" w:rsidRPr="00920D61" w:rsidRDefault="00920D61" w:rsidP="00920D61">
      <w:pPr>
        <w:widowControl w:val="0"/>
        <w:spacing w:before="120" w:after="120" w:line="240" w:lineRule="auto"/>
        <w:ind w:left="426" w:hanging="142"/>
        <w:jc w:val="center"/>
        <w:rPr>
          <w:rFonts w:ascii="Times New Roman" w:eastAsia="Times New Roman" w:hAnsi="Times New Roman" w:cs="Times New Roman"/>
          <w:b/>
          <w:bCs/>
        </w:rPr>
      </w:pPr>
    </w:p>
    <w:p w:rsidR="00920D61" w:rsidRPr="00920D61" w:rsidRDefault="00920D61" w:rsidP="00920D61">
      <w:pPr>
        <w:widowControl w:val="0"/>
        <w:spacing w:before="120" w:after="120" w:line="240" w:lineRule="auto"/>
        <w:ind w:left="426" w:hanging="142"/>
        <w:jc w:val="center"/>
        <w:rPr>
          <w:rFonts w:ascii="Times New Roman" w:eastAsia="Times New Roman" w:hAnsi="Times New Roman" w:cs="Times New Roman"/>
          <w:b/>
          <w:bCs/>
        </w:rPr>
      </w:pPr>
      <w:r w:rsidRPr="00920D61">
        <w:rPr>
          <w:rFonts w:ascii="Times New Roman" w:eastAsia="Times New Roman" w:hAnsi="Times New Roman" w:cs="Times New Roman"/>
          <w:b/>
          <w:bCs/>
        </w:rPr>
        <w:t>TANTÁRGYI PROGRAM</w:t>
      </w:r>
    </w:p>
    <w:p w:rsidR="00920D61" w:rsidRPr="00920D61" w:rsidRDefault="00920D61" w:rsidP="00980876">
      <w:pPr>
        <w:widowControl w:val="0"/>
        <w:numPr>
          <w:ilvl w:val="0"/>
          <w:numId w:val="276"/>
        </w:numPr>
        <w:spacing w:before="120" w:after="120" w:line="240" w:lineRule="auto"/>
        <w:ind w:left="426" w:hanging="142"/>
        <w:jc w:val="both"/>
        <w:rPr>
          <w:rFonts w:ascii="Times New Roman" w:eastAsia="Times New Roman" w:hAnsi="Times New Roman" w:cs="Times New Roman"/>
          <w:b/>
          <w:bCs/>
        </w:rPr>
      </w:pPr>
      <w:r w:rsidRPr="00920D61">
        <w:rPr>
          <w:rFonts w:ascii="Times New Roman" w:eastAsia="Times New Roman" w:hAnsi="Times New Roman" w:cs="Times New Roman"/>
          <w:b/>
          <w:bCs/>
        </w:rPr>
        <w:t xml:space="preserve">A tantárgy kódja: </w:t>
      </w:r>
      <w:r w:rsidRPr="00920D61">
        <w:rPr>
          <w:rFonts w:ascii="Times New Roman" w:eastAsia="Times New Roman" w:hAnsi="Times New Roman" w:cs="Times New Roman"/>
          <w:bCs/>
        </w:rPr>
        <w:t>HKHPKA311</w:t>
      </w:r>
    </w:p>
    <w:p w:rsidR="00920D61" w:rsidRPr="00920D61" w:rsidRDefault="00920D61" w:rsidP="00980876">
      <w:pPr>
        <w:widowControl w:val="0"/>
        <w:numPr>
          <w:ilvl w:val="0"/>
          <w:numId w:val="276"/>
        </w:numPr>
        <w:spacing w:before="120" w:after="120" w:line="240" w:lineRule="auto"/>
        <w:ind w:left="426" w:hanging="142"/>
        <w:jc w:val="both"/>
        <w:rPr>
          <w:rFonts w:ascii="Times New Roman" w:eastAsia="Times New Roman" w:hAnsi="Times New Roman" w:cs="Times New Roman"/>
          <w:b/>
          <w:bCs/>
          <w:lang w:val="en-GB"/>
        </w:rPr>
      </w:pPr>
      <w:r w:rsidRPr="00920D61">
        <w:rPr>
          <w:rFonts w:ascii="Times New Roman" w:eastAsia="Times New Roman" w:hAnsi="Times New Roman" w:cs="Times New Roman"/>
          <w:b/>
          <w:bCs/>
        </w:rPr>
        <w:t>A tantárgy megnevezése (magyarul):</w:t>
      </w:r>
      <w:r w:rsidRPr="00920D61">
        <w:rPr>
          <w:rFonts w:ascii="Times New Roman" w:eastAsia="Times New Roman" w:hAnsi="Times New Roman" w:cs="Times New Roman"/>
          <w:bCs/>
        </w:rPr>
        <w:t xml:space="preserve"> </w:t>
      </w:r>
      <w:r w:rsidRPr="00920D61">
        <w:rPr>
          <w:rFonts w:ascii="Times New Roman" w:eastAsia="Calibri" w:hAnsi="Times New Roman" w:cs="Times New Roman"/>
          <w:bCs/>
        </w:rPr>
        <w:t>Közlekedési folyamatok szabályozási rendszere II.</w:t>
      </w:r>
    </w:p>
    <w:p w:rsidR="00920D61" w:rsidRPr="00920D61" w:rsidRDefault="00920D61" w:rsidP="00980876">
      <w:pPr>
        <w:widowControl w:val="0"/>
        <w:numPr>
          <w:ilvl w:val="0"/>
          <w:numId w:val="276"/>
        </w:numPr>
        <w:spacing w:before="120" w:after="120" w:line="240" w:lineRule="auto"/>
        <w:ind w:left="426" w:hanging="142"/>
        <w:jc w:val="both"/>
        <w:rPr>
          <w:rFonts w:ascii="Times New Roman" w:eastAsia="Times New Roman" w:hAnsi="Times New Roman" w:cs="Times New Roman"/>
          <w:b/>
          <w:bCs/>
          <w:lang w:val="en-GB"/>
        </w:rPr>
      </w:pPr>
      <w:r w:rsidRPr="00920D61">
        <w:rPr>
          <w:rFonts w:ascii="Times New Roman" w:eastAsia="Times New Roman" w:hAnsi="Times New Roman" w:cs="Times New Roman"/>
          <w:b/>
          <w:bCs/>
        </w:rPr>
        <w:t xml:space="preserve">A tantárgy megnevezése (angolul): </w:t>
      </w:r>
      <w:r w:rsidRPr="00920D61">
        <w:rPr>
          <w:rFonts w:ascii="Times New Roman" w:eastAsia="Calibri" w:hAnsi="Times New Roman" w:cs="Times New Roman"/>
          <w:bCs/>
        </w:rPr>
        <w:t>Regulatory Regime of Transport Processes II.</w:t>
      </w:r>
    </w:p>
    <w:p w:rsidR="00920D61" w:rsidRPr="00920D61" w:rsidRDefault="00920D61" w:rsidP="00980876">
      <w:pPr>
        <w:widowControl w:val="0"/>
        <w:numPr>
          <w:ilvl w:val="0"/>
          <w:numId w:val="276"/>
        </w:numPr>
        <w:spacing w:before="120" w:after="120" w:line="240" w:lineRule="auto"/>
        <w:ind w:left="426" w:hanging="142"/>
        <w:jc w:val="both"/>
        <w:rPr>
          <w:rFonts w:ascii="Times New Roman" w:eastAsia="Times New Roman" w:hAnsi="Times New Roman" w:cs="Times New Roman"/>
          <w:b/>
          <w:bCs/>
        </w:rPr>
      </w:pPr>
      <w:r w:rsidRPr="00920D61">
        <w:rPr>
          <w:rFonts w:ascii="Times New Roman" w:eastAsia="Times New Roman" w:hAnsi="Times New Roman" w:cs="Times New Roman"/>
          <w:b/>
          <w:bCs/>
        </w:rPr>
        <w:t xml:space="preserve">Kreditérték és képzési karakter: </w:t>
      </w:r>
    </w:p>
    <w:p w:rsidR="00920D61" w:rsidRPr="00920D61" w:rsidRDefault="00920D61" w:rsidP="00980876">
      <w:pPr>
        <w:widowControl w:val="0"/>
        <w:numPr>
          <w:ilvl w:val="1"/>
          <w:numId w:val="276"/>
        </w:numPr>
        <w:spacing w:before="120" w:after="120" w:line="240" w:lineRule="auto"/>
        <w:ind w:left="993" w:hanging="426"/>
        <w:contextualSpacing/>
        <w:jc w:val="both"/>
        <w:rPr>
          <w:rFonts w:ascii="Times New Roman" w:eastAsia="Times New Roman" w:hAnsi="Times New Roman" w:cs="Times New Roman"/>
          <w:b/>
          <w:bCs/>
        </w:rPr>
      </w:pPr>
      <w:r w:rsidRPr="00920D61">
        <w:rPr>
          <w:rFonts w:ascii="Times New Roman" w:eastAsia="Times New Roman" w:hAnsi="Times New Roman" w:cs="Times New Roman"/>
          <w:bCs/>
        </w:rPr>
        <w:t>4 kredit</w:t>
      </w:r>
    </w:p>
    <w:p w:rsidR="00920D61" w:rsidRPr="00920D61" w:rsidRDefault="00920D61" w:rsidP="00980876">
      <w:pPr>
        <w:widowControl w:val="0"/>
        <w:numPr>
          <w:ilvl w:val="1"/>
          <w:numId w:val="276"/>
        </w:numPr>
        <w:spacing w:before="120" w:after="120" w:line="240" w:lineRule="auto"/>
        <w:ind w:left="993" w:hanging="426"/>
        <w:contextualSpacing/>
        <w:jc w:val="both"/>
        <w:rPr>
          <w:rFonts w:ascii="Times New Roman" w:eastAsia="Times New Roman" w:hAnsi="Times New Roman" w:cs="Times New Roman"/>
          <w:b/>
          <w:bCs/>
        </w:rPr>
      </w:pPr>
      <w:r w:rsidRPr="00920D61">
        <w:rPr>
          <w:rFonts w:ascii="Times New Roman" w:eastAsia="Times New Roman" w:hAnsi="Times New Roman" w:cs="Times New Roman"/>
          <w:bCs/>
        </w:rPr>
        <w:t>a tantárgy elméleti vagy gyakorlati jellegének mértéke: 25</w:t>
      </w:r>
      <w:r w:rsidRPr="00920D61">
        <w:rPr>
          <w:rFonts w:ascii="Times New Roman" w:eastAsia="Times New Roman" w:hAnsi="Times New Roman" w:cs="Times New Roman"/>
          <w:b/>
          <w:bCs/>
        </w:rPr>
        <w:t xml:space="preserve"> </w:t>
      </w:r>
      <w:r w:rsidRPr="00920D61">
        <w:rPr>
          <w:rFonts w:ascii="Times New Roman" w:eastAsia="Times New Roman" w:hAnsi="Times New Roman" w:cs="Times New Roman"/>
          <w:bCs/>
        </w:rPr>
        <w:t>% gyakorlat, 75 % elmélet</w:t>
      </w:r>
    </w:p>
    <w:p w:rsidR="00920D61" w:rsidRPr="00920D61" w:rsidRDefault="00920D61" w:rsidP="00980876">
      <w:pPr>
        <w:widowControl w:val="0"/>
        <w:numPr>
          <w:ilvl w:val="0"/>
          <w:numId w:val="276"/>
        </w:numPr>
        <w:spacing w:before="120" w:after="120" w:line="240" w:lineRule="auto"/>
        <w:ind w:left="426" w:hanging="142"/>
        <w:jc w:val="both"/>
        <w:rPr>
          <w:rFonts w:ascii="Times New Roman" w:eastAsia="Times New Roman" w:hAnsi="Times New Roman" w:cs="Times New Roman"/>
          <w:bCs/>
        </w:rPr>
      </w:pPr>
      <w:r w:rsidRPr="00920D61">
        <w:rPr>
          <w:rFonts w:ascii="Times New Roman" w:eastAsia="Times New Roman" w:hAnsi="Times New Roman" w:cs="Times New Roman"/>
          <w:b/>
          <w:bCs/>
        </w:rPr>
        <w:t>A szak(ok), szakirányok/specializációk megnevezése (ahol oktatják):</w:t>
      </w:r>
      <w:r w:rsidRPr="00920D61">
        <w:rPr>
          <w:rFonts w:ascii="Times New Roman" w:eastAsia="Times New Roman" w:hAnsi="Times New Roman" w:cs="Times New Roman"/>
          <w:bCs/>
        </w:rPr>
        <w:t xml:space="preserve"> Katonai logisztika alapképzési szak, Katonai közlekedési specializáció</w:t>
      </w:r>
    </w:p>
    <w:p w:rsidR="00920D61" w:rsidRPr="00920D61" w:rsidRDefault="00920D61" w:rsidP="00980876">
      <w:pPr>
        <w:widowControl w:val="0"/>
        <w:numPr>
          <w:ilvl w:val="0"/>
          <w:numId w:val="276"/>
        </w:numPr>
        <w:spacing w:before="120" w:after="120" w:line="240" w:lineRule="auto"/>
        <w:ind w:left="426" w:hanging="142"/>
        <w:jc w:val="both"/>
        <w:rPr>
          <w:rFonts w:ascii="Times New Roman" w:eastAsia="Times New Roman" w:hAnsi="Times New Roman" w:cs="Times New Roman"/>
          <w:bCs/>
        </w:rPr>
      </w:pPr>
      <w:r w:rsidRPr="00920D61">
        <w:rPr>
          <w:rFonts w:ascii="Times New Roman" w:eastAsia="Times New Roman" w:hAnsi="Times New Roman" w:cs="Times New Roman"/>
          <w:b/>
          <w:bCs/>
        </w:rPr>
        <w:t xml:space="preserve">Az oktatásért felelős oktatási szervezeti egység megnevezése: </w:t>
      </w:r>
      <w:r w:rsidRPr="00920D61">
        <w:rPr>
          <w:rFonts w:ascii="Times New Roman" w:eastAsia="Times New Roman" w:hAnsi="Times New Roman" w:cs="Times New Roman"/>
          <w:bCs/>
        </w:rPr>
        <w:t>NKE HHK, Hadtáp, Pénzügyi és Katonai Közlekedési Tanszék</w:t>
      </w:r>
    </w:p>
    <w:p w:rsidR="00920D61" w:rsidRPr="00920D61" w:rsidRDefault="00920D61" w:rsidP="00980876">
      <w:pPr>
        <w:widowControl w:val="0"/>
        <w:numPr>
          <w:ilvl w:val="0"/>
          <w:numId w:val="276"/>
        </w:numPr>
        <w:spacing w:before="120" w:after="120" w:line="240" w:lineRule="auto"/>
        <w:ind w:left="426" w:hanging="142"/>
        <w:jc w:val="both"/>
        <w:rPr>
          <w:rFonts w:ascii="Times New Roman" w:eastAsia="Times New Roman" w:hAnsi="Times New Roman" w:cs="Times New Roman"/>
          <w:bCs/>
        </w:rPr>
      </w:pPr>
      <w:r w:rsidRPr="00920D61">
        <w:rPr>
          <w:rFonts w:ascii="Times New Roman" w:eastAsia="Times New Roman" w:hAnsi="Times New Roman" w:cs="Times New Roman"/>
          <w:b/>
          <w:bCs/>
        </w:rPr>
        <w:t>A tantárgyfelelős oktató neve, beosztása, tudományos fokozata:</w:t>
      </w:r>
      <w:r w:rsidRPr="00920D61">
        <w:rPr>
          <w:rFonts w:ascii="Times New Roman" w:eastAsia="Times New Roman" w:hAnsi="Times New Roman" w:cs="Times New Roman"/>
          <w:bCs/>
        </w:rPr>
        <w:t xml:space="preserve"> </w:t>
      </w:r>
      <w:r w:rsidRPr="00920D61">
        <w:rPr>
          <w:rFonts w:ascii="Times New Roman" w:eastAsia="Calibri" w:hAnsi="Times New Roman" w:cs="Times New Roman"/>
          <w:lang w:eastAsia="x-none"/>
        </w:rPr>
        <w:t>Dr. Szászi Gábor egyetemi docens, PhD</w:t>
      </w:r>
    </w:p>
    <w:p w:rsidR="00920D61" w:rsidRPr="00920D61" w:rsidRDefault="00920D61" w:rsidP="00980876">
      <w:pPr>
        <w:widowControl w:val="0"/>
        <w:numPr>
          <w:ilvl w:val="0"/>
          <w:numId w:val="276"/>
        </w:numPr>
        <w:spacing w:before="120" w:after="120" w:line="240" w:lineRule="auto"/>
        <w:ind w:left="426" w:hanging="142"/>
        <w:jc w:val="both"/>
        <w:rPr>
          <w:rFonts w:ascii="Times New Roman" w:eastAsia="Times New Roman" w:hAnsi="Times New Roman" w:cs="Times New Roman"/>
          <w:bCs/>
        </w:rPr>
      </w:pPr>
      <w:r w:rsidRPr="00920D61">
        <w:rPr>
          <w:rFonts w:ascii="Times New Roman" w:eastAsia="Times New Roman" w:hAnsi="Times New Roman" w:cs="Times New Roman"/>
          <w:b/>
          <w:bCs/>
        </w:rPr>
        <w:t>A tanórák száma és típusa</w:t>
      </w:r>
    </w:p>
    <w:p w:rsidR="00920D61" w:rsidRPr="00920D61" w:rsidRDefault="00920D61" w:rsidP="00980876">
      <w:pPr>
        <w:widowControl w:val="0"/>
        <w:numPr>
          <w:ilvl w:val="1"/>
          <w:numId w:val="276"/>
        </w:numPr>
        <w:spacing w:before="120" w:after="120" w:line="240" w:lineRule="auto"/>
        <w:ind w:left="851" w:hanging="425"/>
        <w:jc w:val="both"/>
        <w:rPr>
          <w:rFonts w:ascii="Times New Roman" w:eastAsia="Times New Roman" w:hAnsi="Times New Roman" w:cs="Times New Roman"/>
          <w:bCs/>
        </w:rPr>
      </w:pPr>
      <w:r w:rsidRPr="00920D61">
        <w:rPr>
          <w:rFonts w:ascii="Times New Roman" w:eastAsia="Times New Roman" w:hAnsi="Times New Roman" w:cs="Times New Roman"/>
          <w:bCs/>
        </w:rPr>
        <w:t>össz óraszám/félév: 56</w:t>
      </w:r>
    </w:p>
    <w:p w:rsidR="00920D61" w:rsidRPr="00920D61" w:rsidRDefault="00920D61" w:rsidP="00980876">
      <w:pPr>
        <w:widowControl w:val="0"/>
        <w:numPr>
          <w:ilvl w:val="2"/>
          <w:numId w:val="276"/>
        </w:numPr>
        <w:tabs>
          <w:tab w:val="clear" w:pos="1800"/>
        </w:tabs>
        <w:spacing w:before="120" w:after="120" w:line="240" w:lineRule="auto"/>
        <w:ind w:left="1134" w:hanging="425"/>
        <w:jc w:val="both"/>
        <w:rPr>
          <w:rFonts w:ascii="Times New Roman" w:eastAsia="Times New Roman" w:hAnsi="Times New Roman" w:cs="Times New Roman"/>
          <w:bCs/>
        </w:rPr>
      </w:pPr>
      <w:r w:rsidRPr="00920D61">
        <w:rPr>
          <w:rFonts w:ascii="Times New Roman" w:eastAsia="Times New Roman" w:hAnsi="Times New Roman" w:cs="Times New Roman"/>
          <w:bCs/>
        </w:rPr>
        <w:t>nappali munkarend: 56 (42 EA + 0 SZ + 14 GY)</w:t>
      </w:r>
    </w:p>
    <w:p w:rsidR="00920D61" w:rsidRPr="00920D61" w:rsidRDefault="00920D61" w:rsidP="00980876">
      <w:pPr>
        <w:widowControl w:val="0"/>
        <w:numPr>
          <w:ilvl w:val="2"/>
          <w:numId w:val="276"/>
        </w:numPr>
        <w:tabs>
          <w:tab w:val="clear" w:pos="1800"/>
        </w:tabs>
        <w:spacing w:before="120" w:after="120" w:line="240" w:lineRule="auto"/>
        <w:ind w:left="1134" w:hanging="425"/>
        <w:jc w:val="both"/>
        <w:rPr>
          <w:rFonts w:ascii="Times New Roman" w:eastAsia="Times New Roman" w:hAnsi="Times New Roman" w:cs="Times New Roman"/>
          <w:bCs/>
        </w:rPr>
      </w:pPr>
      <w:r w:rsidRPr="00920D61">
        <w:rPr>
          <w:rFonts w:ascii="Times New Roman" w:eastAsia="Times New Roman" w:hAnsi="Times New Roman" w:cs="Times New Roman"/>
          <w:bCs/>
        </w:rPr>
        <w:t>levelező munkarend: 0 (0 EA + 0 SZ + 0 GY)</w:t>
      </w:r>
    </w:p>
    <w:p w:rsidR="00920D61" w:rsidRPr="00920D61" w:rsidRDefault="00920D61" w:rsidP="00980876">
      <w:pPr>
        <w:widowControl w:val="0"/>
        <w:numPr>
          <w:ilvl w:val="1"/>
          <w:numId w:val="276"/>
        </w:numPr>
        <w:spacing w:before="120" w:after="120" w:line="240" w:lineRule="auto"/>
        <w:ind w:left="851" w:hanging="425"/>
        <w:jc w:val="both"/>
        <w:rPr>
          <w:rFonts w:ascii="Times New Roman" w:eastAsia="Times New Roman" w:hAnsi="Times New Roman" w:cs="Times New Roman"/>
          <w:bCs/>
        </w:rPr>
      </w:pPr>
      <w:r w:rsidRPr="00920D61">
        <w:rPr>
          <w:rFonts w:ascii="Times New Roman" w:eastAsia="Times New Roman" w:hAnsi="Times New Roman" w:cs="Times New Roman"/>
          <w:bCs/>
        </w:rPr>
        <w:t xml:space="preserve">heti óraszám - nappali munkarend: </w:t>
      </w:r>
      <w:r w:rsidRPr="00920D61">
        <w:rPr>
          <w:rFonts w:ascii="Times New Roman" w:eastAsia="Times New Roman" w:hAnsi="Times New Roman" w:cs="Times New Roman"/>
        </w:rPr>
        <w:t>4</w:t>
      </w:r>
    </w:p>
    <w:p w:rsidR="00920D61" w:rsidRPr="00920D61" w:rsidRDefault="00920D61" w:rsidP="00980876">
      <w:pPr>
        <w:widowControl w:val="0"/>
        <w:numPr>
          <w:ilvl w:val="1"/>
          <w:numId w:val="276"/>
        </w:numPr>
        <w:spacing w:before="120" w:after="120" w:line="240" w:lineRule="auto"/>
        <w:ind w:left="851" w:hanging="425"/>
        <w:jc w:val="both"/>
        <w:rPr>
          <w:rFonts w:ascii="Times New Roman" w:eastAsia="Times New Roman" w:hAnsi="Times New Roman" w:cs="Times New Roman"/>
          <w:bCs/>
        </w:rPr>
      </w:pPr>
      <w:r w:rsidRPr="00920D61">
        <w:rPr>
          <w:rFonts w:ascii="Times New Roman" w:eastAsia="Calibri" w:hAnsi="Times New Roman" w:cs="Times New Roman"/>
        </w:rPr>
        <w:t>Az ismeret átadásában alkalmazandó további sajátos módok, jellemzők: -</w:t>
      </w:r>
    </w:p>
    <w:p w:rsidR="00920D61" w:rsidRPr="00920D61" w:rsidRDefault="00920D61" w:rsidP="00980876">
      <w:pPr>
        <w:widowControl w:val="0"/>
        <w:numPr>
          <w:ilvl w:val="0"/>
          <w:numId w:val="276"/>
        </w:numPr>
        <w:spacing w:before="120" w:after="120" w:line="240" w:lineRule="auto"/>
        <w:ind w:left="426" w:hanging="142"/>
        <w:jc w:val="both"/>
        <w:rPr>
          <w:rFonts w:ascii="Times New Roman" w:eastAsia="Times New Roman" w:hAnsi="Times New Roman" w:cs="Times New Roman"/>
          <w:bCs/>
        </w:rPr>
      </w:pPr>
      <w:r w:rsidRPr="00920D61">
        <w:rPr>
          <w:rFonts w:ascii="Times New Roman" w:eastAsia="Times New Roman" w:hAnsi="Times New Roman" w:cs="Times New Roman"/>
          <w:b/>
          <w:bCs/>
        </w:rPr>
        <w:t>A tantárgy szakmai tartalma (magyarul):</w:t>
      </w:r>
      <w:r w:rsidRPr="00920D61">
        <w:rPr>
          <w:rFonts w:ascii="Times New Roman" w:eastAsia="Times New Roman" w:hAnsi="Times New Roman" w:cs="Times New Roman"/>
          <w:bCs/>
        </w:rPr>
        <w:t xml:space="preserve"> </w:t>
      </w:r>
      <w:r w:rsidRPr="00920D61">
        <w:rPr>
          <w:rFonts w:ascii="Times New Roman" w:eastAsia="Calibri" w:hAnsi="Times New Roman" w:cs="Times New Roman"/>
          <w:bCs/>
        </w:rPr>
        <w:t>A közlekedés jogi szabályozásának rendszere, az egyes alágazatok szállításszervezéssel összefüggő speciális jogszabályai. A Magyar Honvédség közlekedési szakfeladatainak végrehajtását befolyásoló jogszabályok. A jogszabályok alkalmazása a szállítási folyamatok tervezése, szervezése és végrehajtása során.</w:t>
      </w:r>
    </w:p>
    <w:p w:rsidR="00920D61" w:rsidRPr="00920D61" w:rsidRDefault="00920D61" w:rsidP="00920D61">
      <w:pPr>
        <w:widowControl w:val="0"/>
        <w:spacing w:before="120" w:after="120" w:line="240" w:lineRule="auto"/>
        <w:ind w:left="426"/>
        <w:jc w:val="both"/>
        <w:rPr>
          <w:rFonts w:ascii="Times New Roman" w:eastAsia="Times New Roman" w:hAnsi="Times New Roman" w:cs="Times New Roman"/>
          <w:bCs/>
          <w:lang w:val="en-GB"/>
        </w:rPr>
      </w:pPr>
      <w:r w:rsidRPr="00920D61">
        <w:rPr>
          <w:rFonts w:ascii="Times New Roman" w:eastAsia="Times New Roman" w:hAnsi="Times New Roman" w:cs="Times New Roman"/>
          <w:b/>
          <w:bCs/>
        </w:rPr>
        <w:t>A tantárgy szakmai tartalma (angolul) (</w:t>
      </w:r>
      <w:r w:rsidRPr="00920D61">
        <w:rPr>
          <w:rFonts w:ascii="Times New Roman" w:eastAsia="Times New Roman" w:hAnsi="Times New Roman" w:cs="Times New Roman"/>
          <w:b/>
          <w:bCs/>
          <w:lang w:val="en-US"/>
        </w:rPr>
        <w:t>Course description</w:t>
      </w:r>
      <w:r w:rsidRPr="00920D61">
        <w:rPr>
          <w:rFonts w:ascii="Times New Roman" w:eastAsia="Times New Roman" w:hAnsi="Times New Roman" w:cs="Times New Roman"/>
          <w:b/>
          <w:bCs/>
        </w:rPr>
        <w:t xml:space="preserve">): </w:t>
      </w:r>
      <w:r w:rsidRPr="00920D61">
        <w:rPr>
          <w:rFonts w:ascii="Times New Roman" w:eastAsia="Calibri" w:hAnsi="Times New Roman" w:cs="Times New Roman"/>
          <w:bCs/>
        </w:rPr>
        <w:t>The legal regime of transportation, the special legal background of certain sub-branches related to the organization of transportation. The laws influencing the implementation of transportation related tasks of the Hungarian Defence Forces. The application of laws in the process of planning, organization and implementation of transportation courses.</w:t>
      </w:r>
    </w:p>
    <w:p w:rsidR="00920D61" w:rsidRPr="00920D61" w:rsidRDefault="00920D61" w:rsidP="00980876">
      <w:pPr>
        <w:widowControl w:val="0"/>
        <w:numPr>
          <w:ilvl w:val="0"/>
          <w:numId w:val="276"/>
        </w:numPr>
        <w:spacing w:before="120" w:after="120" w:line="240" w:lineRule="auto"/>
        <w:contextualSpacing/>
        <w:jc w:val="both"/>
        <w:rPr>
          <w:rFonts w:ascii="Times New Roman" w:eastAsia="Times New Roman" w:hAnsi="Times New Roman" w:cs="Times New Roman"/>
          <w:bCs/>
        </w:rPr>
      </w:pPr>
      <w:r w:rsidRPr="00920D61">
        <w:rPr>
          <w:rFonts w:ascii="Times New Roman" w:eastAsia="Times New Roman" w:hAnsi="Times New Roman" w:cs="Times New Roman"/>
          <w:b/>
          <w:bCs/>
        </w:rPr>
        <w:t xml:space="preserve">Elérendő kompetenciák (magyarul): </w:t>
      </w:r>
    </w:p>
    <w:p w:rsidR="00920D61" w:rsidRPr="00920D61" w:rsidRDefault="00920D61" w:rsidP="00920D61">
      <w:pPr>
        <w:autoSpaceDE w:val="0"/>
        <w:autoSpaceDN w:val="0"/>
        <w:adjustRightInd w:val="0"/>
        <w:spacing w:before="120" w:after="0" w:line="240" w:lineRule="auto"/>
        <w:ind w:left="425"/>
        <w:jc w:val="both"/>
        <w:rPr>
          <w:rFonts w:ascii="Times New Roman" w:eastAsia="Times New Roman" w:hAnsi="Times New Roman" w:cs="Times New Roman"/>
          <w:b/>
          <w:bCs/>
        </w:rPr>
      </w:pPr>
      <w:r w:rsidRPr="00920D61">
        <w:rPr>
          <w:rFonts w:ascii="Times New Roman" w:eastAsia="Times New Roman" w:hAnsi="Times New Roman" w:cs="Times New Roman"/>
          <w:b/>
          <w:bCs/>
        </w:rPr>
        <w:t xml:space="preserve">Tudása: </w:t>
      </w:r>
    </w:p>
    <w:p w:rsidR="00920D61" w:rsidRPr="00920D61" w:rsidRDefault="00920D61"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920D61">
        <w:rPr>
          <w:rFonts w:ascii="Times New Roman" w:eastAsia="Calibri" w:hAnsi="Times New Roman" w:cs="Times New Roman"/>
        </w:rPr>
        <w:t>Ismeri a katonai közlekedési szakterülethez szervesen kapcsolódó logisztikai, menedzsment, környezetvédelmi, minőségbiztosítási, információtechnológiai, jogi, közgazdasági szakterületek alapjait és követelményeit.</w:t>
      </w:r>
    </w:p>
    <w:p w:rsidR="00920D61" w:rsidRPr="00920D61" w:rsidRDefault="00920D61"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920D61">
        <w:rPr>
          <w:rFonts w:ascii="Times New Roman" w:eastAsia="Calibri" w:hAnsi="Times New Roman" w:cs="Times New Roman"/>
        </w:rPr>
        <w:t>Mélyrehatóan ismeri a katonai közlekedési szakterület szakmai feladatait, a közlekedési szakfeladatok rendszerét, az egyes feladatok végrehajtásának sajátosságait.</w:t>
      </w:r>
    </w:p>
    <w:p w:rsidR="00920D61" w:rsidRPr="00920D61" w:rsidRDefault="00920D61"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920D61">
        <w:rPr>
          <w:rFonts w:ascii="Times New Roman" w:eastAsia="Calibri" w:hAnsi="Times New Roman" w:cs="Times New Roman"/>
        </w:rPr>
        <w:t>Ismeri a katonai közlekedési igények felmérésének módszereit és megvalósítási lehetőségeit, gyakorlatát.</w:t>
      </w:r>
    </w:p>
    <w:p w:rsidR="00920D61" w:rsidRPr="00920D61" w:rsidRDefault="00920D61" w:rsidP="00920D61">
      <w:pPr>
        <w:autoSpaceDE w:val="0"/>
        <w:autoSpaceDN w:val="0"/>
        <w:adjustRightInd w:val="0"/>
        <w:spacing w:before="120" w:after="0" w:line="240" w:lineRule="auto"/>
        <w:ind w:left="425"/>
        <w:jc w:val="both"/>
        <w:rPr>
          <w:rFonts w:ascii="Times New Roman" w:eastAsia="Times New Roman" w:hAnsi="Times New Roman" w:cs="Times New Roman"/>
          <w:bCs/>
        </w:rPr>
      </w:pPr>
      <w:r w:rsidRPr="00920D61">
        <w:rPr>
          <w:rFonts w:ascii="Times New Roman" w:eastAsia="Times New Roman" w:hAnsi="Times New Roman" w:cs="Times New Roman"/>
          <w:b/>
          <w:bCs/>
        </w:rPr>
        <w:t>Képességei:</w:t>
      </w:r>
      <w:r w:rsidRPr="00920D61">
        <w:rPr>
          <w:rFonts w:ascii="Times New Roman" w:eastAsia="Times New Roman" w:hAnsi="Times New Roman" w:cs="Times New Roman"/>
          <w:bCs/>
        </w:rPr>
        <w:t xml:space="preserve"> </w:t>
      </w:r>
    </w:p>
    <w:p w:rsidR="00920D61" w:rsidRPr="00920D61" w:rsidRDefault="00920D61"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920D61">
        <w:rPr>
          <w:rFonts w:ascii="Times New Roman" w:eastAsia="Calibri" w:hAnsi="Times New Roman" w:cs="Times New Roman"/>
        </w:rPr>
        <w:t>Az általános és specifikus katonai ismeretei és készségei birtokában képes a katonai közlekedési, mozgatási, szállítási feladatok tervezésére, szervezésére és vezetésére.</w:t>
      </w:r>
    </w:p>
    <w:p w:rsidR="00920D61" w:rsidRPr="00920D61" w:rsidRDefault="00920D61"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920D61">
        <w:rPr>
          <w:rFonts w:ascii="Times New Roman" w:eastAsia="Calibri" w:hAnsi="Times New Roman" w:cs="Times New Roman"/>
        </w:rPr>
        <w:t>Képes békeidőszakban, válságkezelő, katasztrófa-elhárítási, béketámogató és háborús műveletekben, nemzeti és többnemzeti környezetben a szállító szakalegységek alaprendeltetéséből fakadó feladatai végrehajtásának vezetésére.</w:t>
      </w:r>
    </w:p>
    <w:p w:rsidR="00920D61" w:rsidRPr="00920D61" w:rsidRDefault="00920D61"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920D61">
        <w:rPr>
          <w:rFonts w:ascii="Times New Roman" w:eastAsia="Calibri" w:hAnsi="Times New Roman" w:cs="Times New Roman"/>
        </w:rPr>
        <w:lastRenderedPageBreak/>
        <w:t>Képes a közlekedési hálózatok katonai célú alkalmazásának tervezésére, szervezésére és végrehajtására.</w:t>
      </w:r>
    </w:p>
    <w:p w:rsidR="00920D61" w:rsidRPr="00920D61" w:rsidRDefault="00920D61"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920D61">
        <w:rPr>
          <w:rFonts w:ascii="Times New Roman" w:eastAsia="Calibri" w:hAnsi="Times New Roman" w:cs="Times New Roman"/>
        </w:rPr>
        <w:t>Képes a közlekedési folyamatokat támogató közlekedésinformatikai rendszerek alkalmazására, az azokkal kapcsolatos felhasználói alapkövetelmények megfogalmazására.</w:t>
      </w:r>
    </w:p>
    <w:p w:rsidR="00920D61" w:rsidRPr="00920D61" w:rsidRDefault="00920D61" w:rsidP="00920D61">
      <w:pPr>
        <w:autoSpaceDE w:val="0"/>
        <w:autoSpaceDN w:val="0"/>
        <w:adjustRightInd w:val="0"/>
        <w:spacing w:before="120" w:after="0" w:line="240" w:lineRule="auto"/>
        <w:ind w:left="425"/>
        <w:jc w:val="both"/>
        <w:rPr>
          <w:rFonts w:ascii="Times New Roman" w:eastAsia="Times New Roman" w:hAnsi="Times New Roman" w:cs="Times New Roman"/>
          <w:b/>
          <w:bCs/>
        </w:rPr>
      </w:pPr>
      <w:r w:rsidRPr="00920D61">
        <w:rPr>
          <w:rFonts w:ascii="Times New Roman" w:eastAsia="Times New Roman" w:hAnsi="Times New Roman" w:cs="Times New Roman"/>
          <w:b/>
          <w:bCs/>
        </w:rPr>
        <w:t xml:space="preserve">Attitűdje: </w:t>
      </w:r>
    </w:p>
    <w:p w:rsidR="00920D61" w:rsidRPr="00920D61" w:rsidRDefault="00920D61"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920D61">
        <w:rPr>
          <w:rFonts w:ascii="Times New Roman" w:eastAsia="Calibri" w:hAnsi="Times New Roman" w:cs="Times New Roman"/>
        </w:rPr>
        <w:t>Nyitott a katonai közlekedési szakterületen zajló szakmai, technológiai fejlesztés és innováció megismerésére és elfogadására, hiteles közvetítésére és azok mindennapi munkájába való beillesztésére.</w:t>
      </w:r>
    </w:p>
    <w:p w:rsidR="00920D61" w:rsidRPr="00920D61" w:rsidRDefault="00920D61"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920D61">
        <w:rPr>
          <w:rFonts w:ascii="Times New Roman" w:eastAsia="Calibri" w:hAnsi="Times New Roman" w:cs="Times New Roman"/>
        </w:rPr>
        <w:t>Törekszik arra, hogy önképzése a katonai közlekedési szakterületen folyamatos és szakmai céljaival megegyező legyen.</w:t>
      </w:r>
    </w:p>
    <w:p w:rsidR="00920D61" w:rsidRPr="00920D61" w:rsidRDefault="00920D61"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920D61">
        <w:rPr>
          <w:rFonts w:ascii="Times New Roman" w:eastAsia="Calibri" w:hAnsi="Times New Roman" w:cs="Times New Roman"/>
        </w:rPr>
        <w:t>Elkötelezett a minőségi szakmai munkavégzés iránt, különös tekintettel a közlekedési, szállítási feladatok és folyamatok biztonságos végrehajtására.</w:t>
      </w:r>
    </w:p>
    <w:p w:rsidR="00920D61" w:rsidRPr="00920D61" w:rsidRDefault="00920D61"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920D61">
        <w:rPr>
          <w:rFonts w:ascii="Times New Roman" w:eastAsia="Calibri" w:hAnsi="Times New Roman" w:cs="Times New Roman"/>
        </w:rPr>
        <w:t>Figyel beosztottjai szakmai fejlődésének előmozdítására, ilyen irányú törekvéseik kezelésére és segítésére.</w:t>
      </w:r>
    </w:p>
    <w:p w:rsidR="00920D61" w:rsidRPr="00920D61" w:rsidRDefault="00920D61"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920D61">
        <w:rPr>
          <w:rFonts w:ascii="Times New Roman" w:eastAsia="Calibri" w:hAnsi="Times New Roman" w:cs="Times New Roman"/>
        </w:rPr>
        <w:t>Megosztja tapasztalatait munkatársaival, így segítve fejlődésüket.</w:t>
      </w:r>
    </w:p>
    <w:p w:rsidR="00920D61" w:rsidRPr="00920D61" w:rsidRDefault="00920D61" w:rsidP="00920D61">
      <w:pPr>
        <w:autoSpaceDE w:val="0"/>
        <w:autoSpaceDN w:val="0"/>
        <w:adjustRightInd w:val="0"/>
        <w:spacing w:before="120" w:after="0" w:line="240" w:lineRule="auto"/>
        <w:ind w:left="425"/>
        <w:jc w:val="both"/>
        <w:rPr>
          <w:rFonts w:ascii="Times New Roman" w:eastAsia="Times New Roman" w:hAnsi="Times New Roman" w:cs="Times New Roman"/>
          <w:b/>
          <w:bCs/>
        </w:rPr>
      </w:pPr>
      <w:r w:rsidRPr="00920D61">
        <w:rPr>
          <w:rFonts w:ascii="Times New Roman" w:eastAsia="Times New Roman" w:hAnsi="Times New Roman" w:cs="Times New Roman"/>
          <w:b/>
          <w:bCs/>
        </w:rPr>
        <w:t xml:space="preserve">Autonómiája és felelőssége: </w:t>
      </w:r>
    </w:p>
    <w:p w:rsidR="00920D61" w:rsidRPr="00920D61" w:rsidRDefault="00920D61"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920D61">
        <w:rPr>
          <w:rFonts w:ascii="Times New Roman" w:eastAsia="Calibri" w:hAnsi="Times New Roman" w:cs="Times New Roman"/>
        </w:rPr>
        <w:t>A katonai közlekedés szakterületén megjelenő folyamatokban képes önállóan döntéseket hozni, azokat felelősséggel, a jogszabályi keretek figyelembevételével végrehajtani.</w:t>
      </w:r>
    </w:p>
    <w:p w:rsidR="00920D61" w:rsidRPr="00920D61" w:rsidRDefault="00920D61"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920D61">
        <w:rPr>
          <w:rFonts w:ascii="Times New Roman" w:eastAsia="Calibri" w:hAnsi="Times New Roman" w:cs="Times New Roman"/>
        </w:rPr>
        <w:t>Tisztában van döntéseinek, tevékenységének a katonai logisztikai folyamatok egészére gyakorolt hatásaival, következményeivel.</w:t>
      </w:r>
    </w:p>
    <w:p w:rsidR="00920D61" w:rsidRPr="00920D61" w:rsidRDefault="00920D61"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920D61">
        <w:rPr>
          <w:rFonts w:ascii="Times New Roman" w:eastAsia="Calibri" w:hAnsi="Times New Roman" w:cs="Times New Roman"/>
        </w:rPr>
        <w:t>Szakmai feladatainak elvégzése során felelősségteljesen együttműködik más szakterület képzett szakembereivel is.</w:t>
      </w:r>
    </w:p>
    <w:p w:rsidR="00920D61" w:rsidRPr="00920D61" w:rsidRDefault="00920D61"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920D61">
        <w:rPr>
          <w:rFonts w:ascii="Times New Roman" w:eastAsia="Calibri" w:hAnsi="Times New Roman" w:cs="Times New Roman"/>
        </w:rPr>
        <w:t>Feltárja az alkalmazott technológiák hiányosságait, a folyamatok kockázatait és kezdeményezi az ezeket csökkentő intézkedések megtételét.</w:t>
      </w:r>
    </w:p>
    <w:p w:rsidR="00920D61" w:rsidRPr="00920D61" w:rsidRDefault="00920D61"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920D61">
        <w:rPr>
          <w:rFonts w:ascii="Times New Roman" w:eastAsia="Calibri" w:hAnsi="Times New Roman" w:cs="Times New Roman"/>
        </w:rPr>
        <w:t>Parancsnokának útmutatása alapján irányítja a rábízott személyi állomány munkavégzését, felügyeli a közlekedési, szállítási folyamatok tervezését, szervezését, végrehajtását, a közlekedési szaktechnikai eszközök üzemeltetését.</w:t>
      </w:r>
    </w:p>
    <w:p w:rsidR="00920D61" w:rsidRPr="00920D61" w:rsidRDefault="00920D61"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920D61">
        <w:rPr>
          <w:rFonts w:ascii="Times New Roman" w:eastAsia="Calibri" w:hAnsi="Times New Roman" w:cs="Times New Roman"/>
        </w:rPr>
        <w:t>Értékeli a beosztottak munkavégzésének hatékonyságát, eredményességét.</w:t>
      </w:r>
    </w:p>
    <w:p w:rsidR="00920D61" w:rsidRPr="00920D61" w:rsidRDefault="00920D61" w:rsidP="00920D61">
      <w:pPr>
        <w:widowControl w:val="0"/>
        <w:spacing w:before="120" w:after="120" w:line="240" w:lineRule="auto"/>
        <w:ind w:left="426"/>
        <w:jc w:val="both"/>
        <w:rPr>
          <w:rFonts w:ascii="Times New Roman" w:eastAsia="Times New Roman" w:hAnsi="Times New Roman" w:cs="Times New Roman"/>
          <w:b/>
          <w:bCs/>
          <w:lang w:val="en-US"/>
        </w:rPr>
      </w:pPr>
      <w:r w:rsidRPr="00920D61">
        <w:rPr>
          <w:rFonts w:ascii="Times New Roman" w:eastAsia="Times New Roman" w:hAnsi="Times New Roman" w:cs="Times New Roman"/>
          <w:b/>
          <w:bCs/>
        </w:rPr>
        <w:t>Elérendő kompetenciák (angolul) (</w:t>
      </w:r>
      <w:r w:rsidRPr="00920D61">
        <w:rPr>
          <w:rFonts w:ascii="Times New Roman" w:eastAsia="Times New Roman" w:hAnsi="Times New Roman" w:cs="Times New Roman"/>
          <w:b/>
          <w:bCs/>
          <w:lang w:val="en-US"/>
        </w:rPr>
        <w:t xml:space="preserve">Competences – English): </w:t>
      </w:r>
    </w:p>
    <w:p w:rsidR="00920D61" w:rsidRPr="00920D61" w:rsidRDefault="00920D61" w:rsidP="00920D61">
      <w:pPr>
        <w:widowControl w:val="0"/>
        <w:spacing w:before="120" w:after="120" w:line="240" w:lineRule="auto"/>
        <w:ind w:left="426"/>
        <w:jc w:val="both"/>
        <w:rPr>
          <w:rFonts w:ascii="Times New Roman" w:eastAsia="Times New Roman" w:hAnsi="Times New Roman" w:cs="Times New Roman"/>
          <w:lang w:val="en-GB"/>
        </w:rPr>
      </w:pPr>
      <w:r w:rsidRPr="00920D61">
        <w:rPr>
          <w:rFonts w:ascii="Times New Roman" w:eastAsia="Times New Roman" w:hAnsi="Times New Roman" w:cs="Times New Roman"/>
          <w:b/>
          <w:lang w:val="en-GB"/>
        </w:rPr>
        <w:t>Knowledge</w:t>
      </w:r>
      <w:r w:rsidRPr="00920D61">
        <w:rPr>
          <w:rFonts w:ascii="Times New Roman" w:eastAsia="Times New Roman" w:hAnsi="Times New Roman" w:cs="Times New Roman"/>
          <w:lang w:val="en-GB"/>
        </w:rPr>
        <w:t xml:space="preserve">: </w:t>
      </w:r>
    </w:p>
    <w:p w:rsidR="00920D61" w:rsidRPr="00920D61" w:rsidRDefault="00920D61"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920D61">
        <w:rPr>
          <w:rFonts w:ascii="Times New Roman" w:eastAsia="Calibri" w:hAnsi="Times New Roman" w:cs="Times New Roman"/>
        </w:rPr>
        <w:t>Knows the basics and requirements of logistics, management, environmental protection, quality assurance, information technology, law and economics, connected to the field of military transportation.</w:t>
      </w:r>
    </w:p>
    <w:p w:rsidR="00920D61" w:rsidRPr="00920D61" w:rsidRDefault="00920D61"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920D61">
        <w:rPr>
          <w:rFonts w:ascii="Times New Roman" w:eastAsia="Calibri" w:hAnsi="Times New Roman" w:cs="Times New Roman"/>
        </w:rPr>
        <w:t>Has a profound knowledge of the tasks and the system of military transportation and the unique characteristics of performing each task.</w:t>
      </w:r>
    </w:p>
    <w:p w:rsidR="00920D61" w:rsidRPr="00920D61" w:rsidRDefault="00920D61"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920D61">
        <w:rPr>
          <w:rFonts w:ascii="Times New Roman" w:eastAsia="Calibri" w:hAnsi="Times New Roman" w:cs="Times New Roman"/>
        </w:rPr>
        <w:t>Is familiar with the methods of assessing the requirements of military transportation and its feasibility and practical implementation.</w:t>
      </w:r>
    </w:p>
    <w:p w:rsidR="00920D61" w:rsidRPr="00920D61" w:rsidRDefault="00920D61" w:rsidP="00920D61">
      <w:pPr>
        <w:widowControl w:val="0"/>
        <w:spacing w:before="120" w:after="120" w:line="240" w:lineRule="auto"/>
        <w:ind w:left="426"/>
        <w:jc w:val="both"/>
        <w:rPr>
          <w:rFonts w:ascii="Times New Roman" w:eastAsia="Times New Roman" w:hAnsi="Times New Roman" w:cs="Times New Roman"/>
          <w:b/>
          <w:lang w:val="en-GB"/>
        </w:rPr>
      </w:pPr>
      <w:r w:rsidRPr="00920D61">
        <w:rPr>
          <w:rFonts w:ascii="Times New Roman" w:eastAsia="Times New Roman" w:hAnsi="Times New Roman" w:cs="Times New Roman"/>
          <w:b/>
          <w:lang w:val="en-GB"/>
        </w:rPr>
        <w:t>Capabilities:</w:t>
      </w:r>
    </w:p>
    <w:p w:rsidR="00920D61" w:rsidRPr="00920D61" w:rsidRDefault="00920D61"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920D61">
        <w:rPr>
          <w:rFonts w:ascii="Times New Roman" w:eastAsia="Calibri" w:hAnsi="Times New Roman" w:cs="Times New Roman"/>
        </w:rPr>
        <w:t>Using his/her general and specialized military knowledge and skills, he/she is capable of planning, organizing, and conducting military transport, movement, and transportation tasks.</w:t>
      </w:r>
    </w:p>
    <w:p w:rsidR="00920D61" w:rsidRPr="00920D61" w:rsidRDefault="00920D61"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920D61">
        <w:rPr>
          <w:rFonts w:ascii="Times New Roman" w:eastAsia="Calibri" w:hAnsi="Times New Roman" w:cs="Times New Roman"/>
        </w:rPr>
        <w:t>Is capable of leading the execution of the tasks of a military transportation subunit in peace time and in crisis response, disaster relief, peace support and combat operations both in a national and a multinational environment.</w:t>
      </w:r>
    </w:p>
    <w:p w:rsidR="00920D61" w:rsidRPr="00920D61" w:rsidRDefault="00920D61"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920D61">
        <w:rPr>
          <w:rFonts w:ascii="Times New Roman" w:eastAsia="Calibri" w:hAnsi="Times New Roman" w:cs="Times New Roman"/>
        </w:rPr>
        <w:t>Is capable of planning, organizing and executing the tasks related to the application of traffic networks for military purposes.</w:t>
      </w:r>
    </w:p>
    <w:p w:rsidR="00920D61" w:rsidRPr="00920D61" w:rsidRDefault="00920D61"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920D61">
        <w:rPr>
          <w:rFonts w:ascii="Times New Roman" w:eastAsia="Calibri" w:hAnsi="Times New Roman" w:cs="Times New Roman"/>
        </w:rPr>
        <w:t>Is capable of applying traffic information systems to support transportation processes and formulating the basic user requirements related to them.</w:t>
      </w:r>
    </w:p>
    <w:p w:rsidR="00920D61" w:rsidRPr="00920D61" w:rsidRDefault="00920D61" w:rsidP="00920D61">
      <w:pPr>
        <w:widowControl w:val="0"/>
        <w:spacing w:before="120" w:after="120" w:line="240" w:lineRule="auto"/>
        <w:ind w:left="426"/>
        <w:jc w:val="both"/>
        <w:rPr>
          <w:rFonts w:ascii="Times New Roman" w:eastAsia="Times New Roman" w:hAnsi="Times New Roman" w:cs="Times New Roman"/>
          <w:b/>
          <w:lang w:val="en-GB"/>
        </w:rPr>
      </w:pPr>
      <w:r w:rsidRPr="00920D61">
        <w:rPr>
          <w:rFonts w:ascii="Times New Roman" w:eastAsia="Times New Roman" w:hAnsi="Times New Roman" w:cs="Times New Roman"/>
          <w:b/>
          <w:lang w:val="en-GB"/>
        </w:rPr>
        <w:t>Attitude:</w:t>
      </w:r>
    </w:p>
    <w:p w:rsidR="00920D61" w:rsidRPr="00920D61" w:rsidRDefault="00920D61"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920D61">
        <w:rPr>
          <w:rFonts w:ascii="Times New Roman" w:eastAsia="Calibri" w:hAnsi="Times New Roman" w:cs="Times New Roman"/>
        </w:rPr>
        <w:t>He/She is ready to become familiar with and adopt the professional and technological development and innovation in the field of military transportation, and also to pass it on and integrate it into his daily work.</w:t>
      </w:r>
    </w:p>
    <w:p w:rsidR="00920D61" w:rsidRPr="00920D61" w:rsidRDefault="00920D61"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920D61">
        <w:rPr>
          <w:rFonts w:ascii="Times New Roman" w:eastAsia="Calibri" w:hAnsi="Times New Roman" w:cs="Times New Roman"/>
        </w:rPr>
        <w:lastRenderedPageBreak/>
        <w:t>He/She strives for continuous self-education in the field of military transportation which is consistent with his/her professional goals.</w:t>
      </w:r>
    </w:p>
    <w:p w:rsidR="00920D61" w:rsidRPr="00920D61" w:rsidRDefault="00920D61"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920D61">
        <w:rPr>
          <w:rFonts w:ascii="Times New Roman" w:eastAsia="Calibri" w:hAnsi="Times New Roman" w:cs="Times New Roman"/>
        </w:rPr>
        <w:t>He/She is committed to high quality in his/her professional work, with special emphasis on the safe execution of the transportation tasks and processes.</w:t>
      </w:r>
    </w:p>
    <w:p w:rsidR="00920D61" w:rsidRPr="00920D61" w:rsidRDefault="00920D61"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920D61">
        <w:rPr>
          <w:rFonts w:ascii="Times New Roman" w:eastAsia="Calibri" w:hAnsi="Times New Roman" w:cs="Times New Roman"/>
        </w:rPr>
        <w:t>He/She is interested in promoting the professional development of his/her subordinates, and provides assistance in their efforts.</w:t>
      </w:r>
    </w:p>
    <w:p w:rsidR="00920D61" w:rsidRPr="00920D61" w:rsidRDefault="00920D61"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920D61">
        <w:rPr>
          <w:rFonts w:ascii="Times New Roman" w:eastAsia="Calibri" w:hAnsi="Times New Roman" w:cs="Times New Roman"/>
        </w:rPr>
        <w:t>He/she is willing to share his/her experience with his/her colleagues to further their professional development.</w:t>
      </w:r>
    </w:p>
    <w:p w:rsidR="00920D61" w:rsidRPr="00920D61" w:rsidRDefault="00920D61" w:rsidP="00920D61">
      <w:pPr>
        <w:widowControl w:val="0"/>
        <w:spacing w:before="120" w:after="120" w:line="240" w:lineRule="auto"/>
        <w:ind w:left="426"/>
        <w:jc w:val="both"/>
        <w:rPr>
          <w:rFonts w:ascii="Times New Roman" w:eastAsia="Times New Roman" w:hAnsi="Times New Roman" w:cs="Times New Roman"/>
          <w:b/>
          <w:lang w:val="en-GB"/>
        </w:rPr>
      </w:pPr>
      <w:r w:rsidRPr="00920D61">
        <w:rPr>
          <w:rFonts w:ascii="Times New Roman" w:eastAsia="Times New Roman" w:hAnsi="Times New Roman" w:cs="Times New Roman"/>
          <w:b/>
          <w:lang w:val="en-GB"/>
        </w:rPr>
        <w:t xml:space="preserve">Autonomy and responsibility: </w:t>
      </w:r>
    </w:p>
    <w:p w:rsidR="00920D61" w:rsidRPr="00920D61" w:rsidRDefault="00920D61"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920D61">
        <w:rPr>
          <w:rFonts w:ascii="Times New Roman" w:eastAsia="Calibri" w:hAnsi="Times New Roman" w:cs="Times New Roman"/>
        </w:rPr>
        <w:t>He/She is able to make decisions independently in the processes arising in the field of military transportation, and to implement them with responsibility and within the legal framework.</w:t>
      </w:r>
    </w:p>
    <w:p w:rsidR="00920D61" w:rsidRPr="00920D61" w:rsidRDefault="00920D61"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920D61">
        <w:rPr>
          <w:rFonts w:ascii="Times New Roman" w:eastAsia="Calibri" w:hAnsi="Times New Roman" w:cs="Times New Roman"/>
        </w:rPr>
        <w:t>He/She is aware of the effects and consequences of his decisions and activities on the military logistic processes as a whole.</w:t>
      </w:r>
    </w:p>
    <w:p w:rsidR="00920D61" w:rsidRPr="00920D61" w:rsidRDefault="00920D61"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920D61">
        <w:rPr>
          <w:rFonts w:ascii="Times New Roman" w:eastAsia="Calibri" w:hAnsi="Times New Roman" w:cs="Times New Roman"/>
        </w:rPr>
        <w:t xml:space="preserve">During his/her professional duties, he/she is willing to responsibly cooperate with specialists of other areas. </w:t>
      </w:r>
    </w:p>
    <w:p w:rsidR="00920D61" w:rsidRPr="00920D61" w:rsidRDefault="00920D61"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920D61">
        <w:rPr>
          <w:rFonts w:ascii="Times New Roman" w:eastAsia="Calibri" w:hAnsi="Times New Roman" w:cs="Times New Roman"/>
        </w:rPr>
        <w:t>He/She can identify the deficiencies and risks in the applied technologies and initiates taking measures to reduce their impact.</w:t>
      </w:r>
    </w:p>
    <w:p w:rsidR="00920D61" w:rsidRPr="00920D61" w:rsidRDefault="00920D61"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920D61">
        <w:rPr>
          <w:rFonts w:ascii="Times New Roman" w:eastAsia="Calibri" w:hAnsi="Times New Roman" w:cs="Times New Roman"/>
        </w:rPr>
        <w:t>Under the guidance of his/her commander, he/she controls the work of the personnel under his/her command and supervises the planning, organization and implementation of the transport and transportation processes, and also the operation of the technical equipment used in military transportation.</w:t>
      </w:r>
    </w:p>
    <w:p w:rsidR="00920D61" w:rsidRPr="00920D61" w:rsidRDefault="00920D61"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920D61">
        <w:rPr>
          <w:rFonts w:ascii="Times New Roman" w:eastAsia="Calibri" w:hAnsi="Times New Roman" w:cs="Times New Roman"/>
        </w:rPr>
        <w:t>He/She continuously evaluates the efficiency and effectiveness of his/her subordinates' work.</w:t>
      </w:r>
    </w:p>
    <w:p w:rsidR="00920D61" w:rsidRPr="00920D61" w:rsidRDefault="00920D61" w:rsidP="00980876">
      <w:pPr>
        <w:widowControl w:val="0"/>
        <w:numPr>
          <w:ilvl w:val="0"/>
          <w:numId w:val="276"/>
        </w:numPr>
        <w:spacing w:before="120" w:after="120" w:line="240" w:lineRule="auto"/>
        <w:ind w:left="426" w:hanging="142"/>
        <w:jc w:val="both"/>
        <w:rPr>
          <w:rFonts w:ascii="Times New Roman" w:eastAsia="Times New Roman" w:hAnsi="Times New Roman" w:cs="Times New Roman"/>
          <w:bCs/>
        </w:rPr>
      </w:pPr>
      <w:r w:rsidRPr="00920D61">
        <w:rPr>
          <w:rFonts w:ascii="Times New Roman" w:eastAsia="Times New Roman" w:hAnsi="Times New Roman" w:cs="Times New Roman"/>
          <w:b/>
          <w:bCs/>
        </w:rPr>
        <w:t xml:space="preserve">Előtanulmányi követelmények: </w:t>
      </w:r>
      <w:r w:rsidRPr="00920D61">
        <w:rPr>
          <w:rFonts w:ascii="Times New Roman" w:eastAsia="Calibri" w:hAnsi="Times New Roman" w:cs="Times New Roman"/>
          <w:bCs/>
        </w:rPr>
        <w:t>Közlekedési folyamatok szabályozási rendszere I. HKHPKA304</w:t>
      </w:r>
    </w:p>
    <w:p w:rsidR="00920D61" w:rsidRPr="00920D61" w:rsidRDefault="00920D61" w:rsidP="00980876">
      <w:pPr>
        <w:widowControl w:val="0"/>
        <w:numPr>
          <w:ilvl w:val="0"/>
          <w:numId w:val="276"/>
        </w:numPr>
        <w:spacing w:before="120" w:after="120" w:line="240" w:lineRule="auto"/>
        <w:ind w:left="426" w:hanging="142"/>
        <w:jc w:val="both"/>
        <w:rPr>
          <w:rFonts w:ascii="Times New Roman" w:eastAsia="Times New Roman" w:hAnsi="Times New Roman" w:cs="Times New Roman"/>
          <w:b/>
          <w:bCs/>
        </w:rPr>
      </w:pPr>
      <w:r w:rsidRPr="00920D61">
        <w:rPr>
          <w:rFonts w:ascii="Times New Roman" w:eastAsia="Times New Roman" w:hAnsi="Times New Roman" w:cs="Times New Roman"/>
          <w:b/>
          <w:bCs/>
        </w:rPr>
        <w:t>A tantárgy tananyagának leírása, tematika. Description of the subject, curriculum (magyarul, angolul - English):</w:t>
      </w:r>
    </w:p>
    <w:p w:rsidR="00920D61" w:rsidRPr="00920D61" w:rsidRDefault="00920D61" w:rsidP="00980876">
      <w:pPr>
        <w:numPr>
          <w:ilvl w:val="1"/>
          <w:numId w:val="276"/>
        </w:numPr>
        <w:tabs>
          <w:tab w:val="left" w:pos="708"/>
          <w:tab w:val="center" w:pos="4536"/>
          <w:tab w:val="right" w:pos="9072"/>
        </w:tabs>
        <w:spacing w:after="0" w:line="240" w:lineRule="auto"/>
        <w:ind w:left="851" w:hanging="567"/>
        <w:jc w:val="both"/>
        <w:rPr>
          <w:rFonts w:ascii="Times New Roman" w:eastAsia="Calibri" w:hAnsi="Times New Roman" w:cs="Times New Roman"/>
          <w:bCs/>
        </w:rPr>
      </w:pPr>
      <w:r w:rsidRPr="00920D61">
        <w:rPr>
          <w:rFonts w:ascii="Times New Roman" w:eastAsia="Calibri" w:hAnsi="Times New Roman" w:cs="Times New Roman"/>
          <w:bCs/>
        </w:rPr>
        <w:t>A közlekedés jogi szabályozásának rendszere.</w:t>
      </w:r>
      <w:r w:rsidRPr="00920D61">
        <w:rPr>
          <w:rFonts w:ascii="Times New Roman" w:eastAsia="Calibri" w:hAnsi="Times New Roman" w:cs="Times New Roman"/>
          <w:lang w:val="en"/>
        </w:rPr>
        <w:t xml:space="preserve"> </w:t>
      </w:r>
      <w:r w:rsidRPr="00920D61">
        <w:rPr>
          <w:rFonts w:ascii="Times New Roman" w:eastAsia="Calibri" w:hAnsi="Times New Roman" w:cs="Times New Roman"/>
          <w:i/>
          <w:lang w:val="en"/>
        </w:rPr>
        <w:t>(The system of transport regulation.)</w:t>
      </w:r>
    </w:p>
    <w:p w:rsidR="00920D61" w:rsidRPr="00920D61" w:rsidRDefault="00920D61" w:rsidP="00980876">
      <w:pPr>
        <w:numPr>
          <w:ilvl w:val="1"/>
          <w:numId w:val="276"/>
        </w:numPr>
        <w:tabs>
          <w:tab w:val="left" w:pos="708"/>
          <w:tab w:val="center" w:pos="4536"/>
          <w:tab w:val="right" w:pos="9072"/>
        </w:tabs>
        <w:spacing w:after="0" w:line="240" w:lineRule="auto"/>
        <w:ind w:left="851" w:hanging="567"/>
        <w:jc w:val="both"/>
        <w:rPr>
          <w:rFonts w:ascii="Times New Roman" w:eastAsia="Calibri" w:hAnsi="Times New Roman" w:cs="Times New Roman"/>
          <w:bCs/>
          <w:i/>
        </w:rPr>
      </w:pPr>
      <w:r w:rsidRPr="00920D61">
        <w:rPr>
          <w:rFonts w:ascii="Times New Roman" w:eastAsia="Calibri" w:hAnsi="Times New Roman" w:cs="Times New Roman"/>
          <w:bCs/>
        </w:rPr>
        <w:t>A jogalkotásban résztvevő szakmai szervezetek.</w:t>
      </w:r>
      <w:r w:rsidRPr="00920D61">
        <w:rPr>
          <w:rFonts w:ascii="Times New Roman" w:eastAsia="Calibri" w:hAnsi="Times New Roman" w:cs="Times New Roman"/>
          <w:lang w:val="en"/>
        </w:rPr>
        <w:t xml:space="preserve"> </w:t>
      </w:r>
      <w:r w:rsidRPr="00920D61">
        <w:rPr>
          <w:rFonts w:ascii="Times New Roman" w:eastAsia="Calibri" w:hAnsi="Times New Roman" w:cs="Times New Roman"/>
          <w:i/>
          <w:lang w:val="en"/>
        </w:rPr>
        <w:t>(Professional bodies involved in legislation.)</w:t>
      </w:r>
    </w:p>
    <w:p w:rsidR="00920D61" w:rsidRPr="00920D61" w:rsidRDefault="00920D61" w:rsidP="00980876">
      <w:pPr>
        <w:numPr>
          <w:ilvl w:val="1"/>
          <w:numId w:val="276"/>
        </w:numPr>
        <w:tabs>
          <w:tab w:val="left" w:pos="708"/>
          <w:tab w:val="center" w:pos="4536"/>
          <w:tab w:val="right" w:pos="9072"/>
        </w:tabs>
        <w:spacing w:after="0" w:line="240" w:lineRule="auto"/>
        <w:ind w:left="851" w:hanging="567"/>
        <w:jc w:val="both"/>
        <w:rPr>
          <w:rFonts w:ascii="Times New Roman" w:eastAsia="Calibri" w:hAnsi="Times New Roman" w:cs="Times New Roman"/>
          <w:bCs/>
        </w:rPr>
      </w:pPr>
      <w:r w:rsidRPr="00920D61">
        <w:rPr>
          <w:rFonts w:ascii="Times New Roman" w:eastAsia="Calibri" w:hAnsi="Times New Roman" w:cs="Times New Roman"/>
          <w:bCs/>
        </w:rPr>
        <w:t xml:space="preserve">Az egyes alágazatok – közúti, vasúti, vízi, légi – szállításszervezéssel összefüggő speciális jogszabályai, azok szabályozási területei. </w:t>
      </w:r>
      <w:r w:rsidRPr="00920D61">
        <w:rPr>
          <w:rFonts w:ascii="Times New Roman" w:eastAsia="Calibri" w:hAnsi="Times New Roman" w:cs="Times New Roman"/>
          <w:bCs/>
          <w:i/>
        </w:rPr>
        <w:t>(</w:t>
      </w:r>
      <w:r w:rsidRPr="00920D61">
        <w:rPr>
          <w:rFonts w:ascii="Times New Roman" w:eastAsia="Calibri" w:hAnsi="Times New Roman" w:cs="Times New Roman"/>
          <w:i/>
          <w:lang w:val="en"/>
        </w:rPr>
        <w:t>Special legislation related to the organization of transport of certain sub - sectors - road, rail, water, air - and their regulatory areas.)</w:t>
      </w:r>
    </w:p>
    <w:p w:rsidR="00920D61" w:rsidRPr="00920D61" w:rsidRDefault="00920D61" w:rsidP="00980876">
      <w:pPr>
        <w:numPr>
          <w:ilvl w:val="1"/>
          <w:numId w:val="276"/>
        </w:numPr>
        <w:tabs>
          <w:tab w:val="left" w:pos="708"/>
          <w:tab w:val="center" w:pos="4536"/>
          <w:tab w:val="right" w:pos="9072"/>
        </w:tabs>
        <w:spacing w:after="0" w:line="240" w:lineRule="auto"/>
        <w:ind w:left="851" w:hanging="567"/>
        <w:jc w:val="both"/>
        <w:rPr>
          <w:rFonts w:ascii="Times New Roman" w:eastAsia="Calibri" w:hAnsi="Times New Roman" w:cs="Times New Roman"/>
          <w:bCs/>
        </w:rPr>
      </w:pPr>
      <w:r w:rsidRPr="00920D61">
        <w:rPr>
          <w:rFonts w:ascii="Times New Roman" w:eastAsia="Calibri" w:hAnsi="Times New Roman" w:cs="Times New Roman"/>
          <w:bCs/>
        </w:rPr>
        <w:t>A polgári jogrend katonai közlekedési szakfeladatokra hatást gyakorló sajátos szabályozási területei.</w:t>
      </w:r>
      <w:r w:rsidRPr="00920D61">
        <w:rPr>
          <w:rFonts w:ascii="Times New Roman" w:eastAsia="Calibri" w:hAnsi="Times New Roman" w:cs="Times New Roman"/>
          <w:lang w:val="en"/>
        </w:rPr>
        <w:t xml:space="preserve"> </w:t>
      </w:r>
      <w:r w:rsidRPr="00920D61">
        <w:rPr>
          <w:rFonts w:ascii="Times New Roman" w:eastAsia="Calibri" w:hAnsi="Times New Roman" w:cs="Times New Roman"/>
          <w:i/>
          <w:lang w:val="en"/>
        </w:rPr>
        <w:t>(Specific areas of regulation of the civilian legal order affecting military transport assignments.)</w:t>
      </w:r>
    </w:p>
    <w:p w:rsidR="00920D61" w:rsidRPr="00920D61" w:rsidRDefault="00920D61" w:rsidP="00980876">
      <w:pPr>
        <w:numPr>
          <w:ilvl w:val="1"/>
          <w:numId w:val="276"/>
        </w:numPr>
        <w:tabs>
          <w:tab w:val="left" w:pos="708"/>
          <w:tab w:val="center" w:pos="4536"/>
          <w:tab w:val="right" w:pos="9072"/>
        </w:tabs>
        <w:spacing w:after="0" w:line="240" w:lineRule="auto"/>
        <w:ind w:left="851" w:hanging="567"/>
        <w:jc w:val="both"/>
        <w:rPr>
          <w:rFonts w:ascii="Times New Roman" w:eastAsia="Calibri" w:hAnsi="Times New Roman" w:cs="Times New Roman"/>
          <w:bCs/>
        </w:rPr>
      </w:pPr>
      <w:r w:rsidRPr="00920D61">
        <w:rPr>
          <w:rFonts w:ascii="Times New Roman" w:eastAsia="Calibri" w:hAnsi="Times New Roman" w:cs="Times New Roman"/>
          <w:bCs/>
        </w:rPr>
        <w:t>A Magyar Honvédség közlekedési szakfeladatainak végrehajtását befolyásoló speciális jogszabályok.</w:t>
      </w:r>
      <w:r w:rsidRPr="00920D61">
        <w:rPr>
          <w:rFonts w:ascii="Times New Roman" w:eastAsia="Calibri" w:hAnsi="Times New Roman" w:cs="Times New Roman"/>
          <w:lang w:val="en"/>
        </w:rPr>
        <w:t xml:space="preserve"> </w:t>
      </w:r>
      <w:r w:rsidRPr="00920D61">
        <w:rPr>
          <w:rFonts w:ascii="Times New Roman" w:eastAsia="Calibri" w:hAnsi="Times New Roman" w:cs="Times New Roman"/>
          <w:i/>
          <w:lang w:val="en"/>
        </w:rPr>
        <w:t>(Special legislation affecting the performance of the Hungarian Defense Forces' transport tasks.)</w:t>
      </w:r>
    </w:p>
    <w:p w:rsidR="00920D61" w:rsidRPr="00920D61" w:rsidRDefault="00920D61" w:rsidP="00980876">
      <w:pPr>
        <w:numPr>
          <w:ilvl w:val="1"/>
          <w:numId w:val="276"/>
        </w:numPr>
        <w:tabs>
          <w:tab w:val="left" w:pos="708"/>
          <w:tab w:val="center" w:pos="4536"/>
          <w:tab w:val="right" w:pos="9072"/>
        </w:tabs>
        <w:spacing w:after="0" w:line="240" w:lineRule="auto"/>
        <w:ind w:left="851" w:hanging="567"/>
        <w:jc w:val="both"/>
        <w:rPr>
          <w:rFonts w:ascii="Times New Roman" w:eastAsia="Calibri" w:hAnsi="Times New Roman" w:cs="Times New Roman"/>
          <w:bCs/>
        </w:rPr>
      </w:pPr>
      <w:r w:rsidRPr="00920D61">
        <w:rPr>
          <w:rFonts w:ascii="Times New Roman" w:eastAsia="Calibri" w:hAnsi="Times New Roman" w:cs="Times New Roman"/>
          <w:bCs/>
        </w:rPr>
        <w:t>A Magyar Honvédség közlekedési szakfeladatainak végrehajtását befolyásoló NATO doktrínák, NATO Egységesítési Egyezményeinek (STANAG-ek).</w:t>
      </w:r>
      <w:r w:rsidRPr="00920D61">
        <w:rPr>
          <w:rFonts w:ascii="Times New Roman" w:eastAsia="Calibri" w:hAnsi="Times New Roman" w:cs="Times New Roman"/>
          <w:lang w:val="en"/>
        </w:rPr>
        <w:t xml:space="preserve"> </w:t>
      </w:r>
      <w:r w:rsidRPr="00920D61">
        <w:rPr>
          <w:rFonts w:ascii="Times New Roman" w:eastAsia="Calibri" w:hAnsi="Times New Roman" w:cs="Times New Roman"/>
          <w:i/>
          <w:lang w:val="en"/>
        </w:rPr>
        <w:t>(NATO doctrines and NATO Unification Conventions (STANAGs) influencing the implementation of the transportation tasks of the Hungarian Defense Forces.)</w:t>
      </w:r>
    </w:p>
    <w:p w:rsidR="00920D61" w:rsidRPr="00920D61" w:rsidRDefault="00920D61" w:rsidP="00980876">
      <w:pPr>
        <w:numPr>
          <w:ilvl w:val="1"/>
          <w:numId w:val="276"/>
        </w:numPr>
        <w:tabs>
          <w:tab w:val="left" w:pos="708"/>
          <w:tab w:val="center" w:pos="4536"/>
          <w:tab w:val="right" w:pos="9072"/>
        </w:tabs>
        <w:spacing w:after="0" w:line="240" w:lineRule="auto"/>
        <w:ind w:left="851" w:hanging="567"/>
        <w:jc w:val="both"/>
        <w:rPr>
          <w:rFonts w:ascii="Times New Roman" w:eastAsia="Calibri" w:hAnsi="Times New Roman" w:cs="Times New Roman"/>
          <w:bCs/>
        </w:rPr>
      </w:pPr>
      <w:r w:rsidRPr="00920D61">
        <w:rPr>
          <w:rFonts w:ascii="Times New Roman" w:eastAsia="Calibri" w:hAnsi="Times New Roman" w:cs="Times New Roman"/>
          <w:bCs/>
        </w:rPr>
        <w:t>Az aktuális jogszabályok belföldi közlekedési-szállítási folyamatok tervezése, szervezése és végrehajtása során történő alkalmazása.</w:t>
      </w:r>
      <w:r w:rsidRPr="00920D61">
        <w:rPr>
          <w:rFonts w:ascii="Times New Roman" w:eastAsia="Calibri" w:hAnsi="Times New Roman" w:cs="Times New Roman"/>
          <w:lang w:val="en"/>
        </w:rPr>
        <w:t xml:space="preserve"> </w:t>
      </w:r>
      <w:r w:rsidRPr="00920D61">
        <w:rPr>
          <w:rFonts w:ascii="Times New Roman" w:eastAsia="Calibri" w:hAnsi="Times New Roman" w:cs="Times New Roman"/>
          <w:i/>
          <w:lang w:val="en"/>
        </w:rPr>
        <w:t>(Apply current legislation to the planning, organization, and implementation of inland transport.)</w:t>
      </w:r>
    </w:p>
    <w:p w:rsidR="00920D61" w:rsidRPr="00920D61" w:rsidRDefault="00920D61" w:rsidP="00980876">
      <w:pPr>
        <w:numPr>
          <w:ilvl w:val="1"/>
          <w:numId w:val="276"/>
        </w:numPr>
        <w:tabs>
          <w:tab w:val="left" w:pos="708"/>
          <w:tab w:val="center" w:pos="4536"/>
          <w:tab w:val="right" w:pos="9072"/>
        </w:tabs>
        <w:spacing w:after="0" w:line="240" w:lineRule="auto"/>
        <w:ind w:left="851" w:hanging="567"/>
        <w:jc w:val="both"/>
        <w:rPr>
          <w:rFonts w:ascii="Times New Roman" w:eastAsia="Calibri" w:hAnsi="Times New Roman" w:cs="Times New Roman"/>
          <w:bCs/>
          <w:i/>
        </w:rPr>
      </w:pPr>
      <w:r w:rsidRPr="00920D61">
        <w:rPr>
          <w:rFonts w:ascii="Times New Roman" w:eastAsia="Calibri" w:hAnsi="Times New Roman" w:cs="Times New Roman"/>
          <w:bCs/>
        </w:rPr>
        <w:t>Az aktuális jogszabályok nemzetközi közlekedési-szállítási folyamatok tervezése, szervezése és végrehajtása során történő alkalmazása.</w:t>
      </w:r>
      <w:r w:rsidRPr="00920D61">
        <w:rPr>
          <w:rFonts w:ascii="Times New Roman" w:eastAsia="Calibri" w:hAnsi="Times New Roman" w:cs="Times New Roman"/>
          <w:lang w:val="en"/>
        </w:rPr>
        <w:t xml:space="preserve"> </w:t>
      </w:r>
      <w:r w:rsidRPr="00920D61">
        <w:rPr>
          <w:rFonts w:ascii="Times New Roman" w:eastAsia="Calibri" w:hAnsi="Times New Roman" w:cs="Times New Roman"/>
          <w:i/>
          <w:lang w:val="en"/>
        </w:rPr>
        <w:t>(Apply current legislation to the planning, organization, and implementation of international transport processes.)</w:t>
      </w:r>
    </w:p>
    <w:p w:rsidR="00920D61" w:rsidRPr="00920D61" w:rsidRDefault="00920D61" w:rsidP="00980876">
      <w:pPr>
        <w:numPr>
          <w:ilvl w:val="1"/>
          <w:numId w:val="276"/>
        </w:numPr>
        <w:tabs>
          <w:tab w:val="left" w:pos="708"/>
          <w:tab w:val="center" w:pos="4536"/>
          <w:tab w:val="right" w:pos="9072"/>
        </w:tabs>
        <w:spacing w:after="0" w:line="240" w:lineRule="auto"/>
        <w:ind w:left="851" w:hanging="567"/>
        <w:jc w:val="both"/>
        <w:rPr>
          <w:rFonts w:ascii="Times New Roman" w:eastAsia="Calibri" w:hAnsi="Times New Roman" w:cs="Times New Roman"/>
          <w:b/>
          <w:bCs/>
        </w:rPr>
      </w:pPr>
      <w:r w:rsidRPr="00920D61">
        <w:rPr>
          <w:rFonts w:ascii="Times New Roman" w:eastAsia="Calibri" w:hAnsi="Times New Roman" w:cs="Times New Roman"/>
          <w:bCs/>
        </w:rPr>
        <w:t xml:space="preserve">Zárthelyi dolgozat. </w:t>
      </w:r>
      <w:r w:rsidRPr="00920D61">
        <w:rPr>
          <w:rFonts w:ascii="Times New Roman" w:eastAsia="Calibri" w:hAnsi="Times New Roman" w:cs="Times New Roman"/>
          <w:bCs/>
          <w:i/>
        </w:rPr>
        <w:t>(Closed thesis.)</w:t>
      </w:r>
    </w:p>
    <w:p w:rsidR="00920D61" w:rsidRPr="00920D61" w:rsidRDefault="00920D61" w:rsidP="00980876">
      <w:pPr>
        <w:widowControl w:val="0"/>
        <w:numPr>
          <w:ilvl w:val="0"/>
          <w:numId w:val="276"/>
        </w:numPr>
        <w:tabs>
          <w:tab w:val="num" w:pos="360"/>
        </w:tabs>
        <w:spacing w:before="120" w:after="120" w:line="240" w:lineRule="auto"/>
        <w:ind w:left="426" w:hanging="142"/>
        <w:jc w:val="both"/>
        <w:rPr>
          <w:rFonts w:ascii="Times New Roman" w:eastAsia="Times New Roman" w:hAnsi="Times New Roman" w:cs="Times New Roman"/>
          <w:bCs/>
        </w:rPr>
      </w:pPr>
      <w:r w:rsidRPr="00920D61">
        <w:rPr>
          <w:rFonts w:ascii="Times New Roman" w:eastAsia="Times New Roman" w:hAnsi="Times New Roman" w:cs="Times New Roman"/>
          <w:b/>
          <w:bCs/>
        </w:rPr>
        <w:t xml:space="preserve">A tantárgy meghirdetésének gyakorisága/a tantervben történő félévi elhelyezkedése: </w:t>
      </w:r>
      <w:r w:rsidRPr="00920D61">
        <w:rPr>
          <w:rFonts w:ascii="Times New Roman" w:eastAsia="Times New Roman" w:hAnsi="Times New Roman" w:cs="Times New Roman"/>
          <w:bCs/>
        </w:rPr>
        <w:t>6. félév</w:t>
      </w:r>
    </w:p>
    <w:p w:rsidR="00920D61" w:rsidRPr="00920D61" w:rsidRDefault="00920D61" w:rsidP="00980876">
      <w:pPr>
        <w:widowControl w:val="0"/>
        <w:numPr>
          <w:ilvl w:val="0"/>
          <w:numId w:val="276"/>
        </w:numPr>
        <w:tabs>
          <w:tab w:val="num" w:pos="360"/>
        </w:tabs>
        <w:spacing w:before="120" w:after="120" w:line="240" w:lineRule="auto"/>
        <w:ind w:left="426" w:hanging="142"/>
        <w:jc w:val="both"/>
        <w:rPr>
          <w:rFonts w:ascii="Times New Roman" w:eastAsia="Times New Roman" w:hAnsi="Times New Roman" w:cs="Times New Roman"/>
          <w:bCs/>
        </w:rPr>
      </w:pPr>
      <w:r w:rsidRPr="00920D61">
        <w:rPr>
          <w:rFonts w:ascii="Times New Roman" w:eastAsia="Times New Roman" w:hAnsi="Times New Roman" w:cs="Times New Roman"/>
          <w:b/>
          <w:bCs/>
        </w:rPr>
        <w:t xml:space="preserve">A tanórákon való részvétel követelményei, az elfogadható hiányzások mértéke, a </w:t>
      </w:r>
      <w:r w:rsidRPr="00920D61">
        <w:rPr>
          <w:rFonts w:ascii="Times New Roman" w:eastAsia="Times New Roman" w:hAnsi="Times New Roman" w:cs="Times New Roman"/>
          <w:b/>
          <w:bCs/>
        </w:rPr>
        <w:lastRenderedPageBreak/>
        <w:t>távolmaradás pótlásának lehetősége:</w:t>
      </w:r>
      <w:r w:rsidRPr="00920D61">
        <w:rPr>
          <w:rFonts w:ascii="Times New Roman" w:eastAsia="Times New Roman" w:hAnsi="Times New Roman" w:cs="Times New Roman"/>
          <w:bCs/>
        </w:rPr>
        <w:t xml:space="preserve"> </w:t>
      </w:r>
    </w:p>
    <w:p w:rsidR="00920D61" w:rsidRPr="00920D61" w:rsidRDefault="00920D61" w:rsidP="00920D61">
      <w:pPr>
        <w:widowControl w:val="0"/>
        <w:spacing w:before="120" w:after="120" w:line="240" w:lineRule="auto"/>
        <w:ind w:left="426"/>
        <w:jc w:val="both"/>
        <w:rPr>
          <w:rFonts w:ascii="Times New Roman" w:eastAsia="Times New Roman" w:hAnsi="Times New Roman" w:cs="Times New Roman"/>
          <w:bCs/>
          <w:highlight w:val="lightGray"/>
        </w:rPr>
      </w:pPr>
      <w:r w:rsidRPr="00920D61">
        <w:rPr>
          <w:rFonts w:ascii="Times New Roman" w:eastAsia="Times New Roman" w:hAnsi="Times New Roman" w:cs="Times New Roman"/>
          <w:bCs/>
          <w:lang w:eastAsia="hu-HU"/>
        </w:rPr>
        <w:t>A tanórákon való részvétel kötelező, megengedett hiányzás mértéke 25%. Hiányzás esetén órapótlásra nincs lehetőség, a hallgató az előadás anyagát önállóan pótolja. A 25%-ot meghaladó hiányzás az aláírás megtagadását vonja maga után.</w:t>
      </w:r>
    </w:p>
    <w:p w:rsidR="00920D61" w:rsidRPr="00920D61" w:rsidRDefault="00920D61" w:rsidP="00980876">
      <w:pPr>
        <w:widowControl w:val="0"/>
        <w:numPr>
          <w:ilvl w:val="0"/>
          <w:numId w:val="276"/>
        </w:numPr>
        <w:tabs>
          <w:tab w:val="num" w:pos="360"/>
        </w:tabs>
        <w:spacing w:before="120" w:after="120" w:line="240" w:lineRule="auto"/>
        <w:ind w:left="426" w:hanging="142"/>
        <w:jc w:val="both"/>
        <w:rPr>
          <w:rFonts w:ascii="Times New Roman" w:eastAsia="Times New Roman" w:hAnsi="Times New Roman" w:cs="Times New Roman"/>
          <w:bCs/>
        </w:rPr>
      </w:pPr>
      <w:r w:rsidRPr="00920D61">
        <w:rPr>
          <w:rFonts w:ascii="Times New Roman" w:eastAsia="Times New Roman" w:hAnsi="Times New Roman" w:cs="Times New Roman"/>
          <w:b/>
        </w:rPr>
        <w:t>Félévközi feladatok, ismeretek ellenőrzésének rendje:</w:t>
      </w:r>
      <w:r w:rsidRPr="00920D61">
        <w:rPr>
          <w:rFonts w:ascii="Times New Roman" w:eastAsia="Times New Roman" w:hAnsi="Times New Roman" w:cs="Times New Roman"/>
          <w:bCs/>
        </w:rPr>
        <w:t xml:space="preserve"> </w:t>
      </w:r>
    </w:p>
    <w:p w:rsidR="00920D61" w:rsidRPr="00920D61" w:rsidRDefault="00920D61" w:rsidP="00920D61">
      <w:pPr>
        <w:widowControl w:val="0"/>
        <w:spacing w:before="120" w:after="120" w:line="240" w:lineRule="auto"/>
        <w:ind w:left="426"/>
        <w:jc w:val="both"/>
        <w:rPr>
          <w:rFonts w:ascii="Times New Roman" w:eastAsia="Times New Roman" w:hAnsi="Times New Roman" w:cs="Times New Roman"/>
          <w:lang w:eastAsia="x-none"/>
        </w:rPr>
      </w:pPr>
      <w:r w:rsidRPr="00920D61">
        <w:rPr>
          <w:rFonts w:ascii="Times New Roman" w:eastAsia="Times New Roman" w:hAnsi="Times New Roman" w:cs="Times New Roman"/>
          <w:lang w:val="x-none" w:eastAsia="x-none"/>
        </w:rPr>
        <w:t>A félév során egy zárthelyi dolgozatot ke</w:t>
      </w:r>
      <w:r w:rsidRPr="00920D61">
        <w:rPr>
          <w:rFonts w:ascii="Times New Roman" w:eastAsia="Times New Roman" w:hAnsi="Times New Roman" w:cs="Times New Roman"/>
          <w:lang w:eastAsia="x-none"/>
        </w:rPr>
        <w:t>l</w:t>
      </w:r>
      <w:r w:rsidRPr="00920D61">
        <w:rPr>
          <w:rFonts w:ascii="Times New Roman" w:eastAsia="Times New Roman" w:hAnsi="Times New Roman" w:cs="Times New Roman"/>
          <w:lang w:val="x-none" w:eastAsia="x-none"/>
        </w:rPr>
        <w:t>l megír</w:t>
      </w:r>
      <w:r w:rsidRPr="00920D61">
        <w:rPr>
          <w:rFonts w:ascii="Times New Roman" w:eastAsia="Times New Roman" w:hAnsi="Times New Roman" w:cs="Times New Roman"/>
          <w:lang w:eastAsia="x-none"/>
        </w:rPr>
        <w:t>ni</w:t>
      </w:r>
      <w:r w:rsidRPr="00920D61">
        <w:rPr>
          <w:rFonts w:ascii="Times New Roman" w:eastAsia="Times New Roman" w:hAnsi="Times New Roman" w:cs="Times New Roman"/>
          <w:lang w:val="x-none" w:eastAsia="x-none"/>
        </w:rPr>
        <w:t xml:space="preserve">. </w:t>
      </w:r>
      <w:r w:rsidRPr="00920D61">
        <w:rPr>
          <w:rFonts w:ascii="Times New Roman" w:eastAsia="Times New Roman" w:hAnsi="Times New Roman" w:cs="Times New Roman"/>
          <w:lang w:eastAsia="x-none"/>
        </w:rPr>
        <w:t xml:space="preserve">A zárthelyi dolgozat ötfokozatú skálán értékelendő, 50%+1 pont elégséges, 60% közepes, 75% jó, 90% jeles. </w:t>
      </w:r>
      <w:r w:rsidRPr="00920D61">
        <w:rPr>
          <w:rFonts w:ascii="Times New Roman" w:eastAsia="Times New Roman" w:hAnsi="Times New Roman" w:cs="Times New Roman"/>
          <w:lang w:val="x-none" w:eastAsia="x-none"/>
        </w:rPr>
        <w:t xml:space="preserve">Az elégtelen osztályzatra értékelt dolgozatot a szorgalmi és a vizsgaidőszakban is egy-egy alkalommal lehet pótolni. </w:t>
      </w:r>
    </w:p>
    <w:p w:rsidR="00920D61" w:rsidRPr="00920D61" w:rsidRDefault="00920D61" w:rsidP="00920D61">
      <w:pPr>
        <w:widowControl w:val="0"/>
        <w:spacing w:before="120" w:after="120" w:line="240" w:lineRule="auto"/>
        <w:ind w:left="426"/>
        <w:jc w:val="both"/>
        <w:rPr>
          <w:rFonts w:ascii="Times New Roman" w:eastAsia="Times New Roman" w:hAnsi="Times New Roman" w:cs="Times New Roman"/>
          <w:lang w:eastAsia="x-none"/>
        </w:rPr>
      </w:pPr>
      <w:r w:rsidRPr="00920D61">
        <w:rPr>
          <w:rFonts w:ascii="Times New Roman" w:eastAsia="Calibri" w:hAnsi="Times New Roman" w:cs="Times New Roman"/>
          <w:lang w:val="x-none" w:eastAsia="x-none"/>
        </w:rPr>
        <w:t xml:space="preserve">A félév során </w:t>
      </w:r>
      <w:r w:rsidRPr="00920D61">
        <w:rPr>
          <w:rFonts w:ascii="Times New Roman" w:eastAsia="Calibri" w:hAnsi="Times New Roman" w:cs="Times New Roman"/>
          <w:lang w:eastAsia="x-none"/>
        </w:rPr>
        <w:t>egy</w:t>
      </w:r>
      <w:r w:rsidRPr="00920D61">
        <w:rPr>
          <w:rFonts w:ascii="Times New Roman" w:eastAsia="Calibri" w:hAnsi="Times New Roman" w:cs="Times New Roman"/>
          <w:lang w:val="x-none" w:eastAsia="x-none"/>
        </w:rPr>
        <w:t xml:space="preserve"> házi feladatot kell elkészíteni minimálisan 10 oldal</w:t>
      </w:r>
      <w:r w:rsidRPr="00920D61">
        <w:rPr>
          <w:rFonts w:ascii="Times New Roman" w:eastAsia="Calibri" w:hAnsi="Times New Roman" w:cs="Times New Roman"/>
          <w:b/>
          <w:lang w:val="x-none" w:eastAsia="x-none"/>
        </w:rPr>
        <w:t xml:space="preserve"> </w:t>
      </w:r>
      <w:r w:rsidRPr="00920D61">
        <w:rPr>
          <w:rFonts w:ascii="Times New Roman" w:eastAsia="Calibri" w:hAnsi="Times New Roman" w:cs="Times New Roman"/>
          <w:lang w:val="x-none" w:eastAsia="x-none"/>
        </w:rPr>
        <w:t xml:space="preserve">terjedelemben, a szakdolgozatnak megfelelő formai követelményekkel </w:t>
      </w:r>
      <w:r w:rsidRPr="00920D61">
        <w:rPr>
          <w:rFonts w:ascii="Times New Roman" w:eastAsia="Calibri" w:hAnsi="Times New Roman" w:cs="Times New Roman"/>
        </w:rPr>
        <w:t>(TVSZ 5. melléklet)</w:t>
      </w:r>
      <w:r w:rsidRPr="00920D61">
        <w:rPr>
          <w:rFonts w:ascii="Times New Roman" w:eastAsia="Calibri" w:hAnsi="Times New Roman" w:cs="Times New Roman"/>
          <w:lang w:val="x-none" w:eastAsia="x-none"/>
        </w:rPr>
        <w:t xml:space="preserve">. </w:t>
      </w:r>
      <w:r w:rsidRPr="00920D61">
        <w:rPr>
          <w:rFonts w:ascii="Times New Roman" w:eastAsia="Calibri" w:hAnsi="Times New Roman" w:cs="Times New Roman"/>
          <w:lang w:eastAsia="x-none"/>
        </w:rPr>
        <w:t xml:space="preserve">A 10 oldal terjedelembe a bevezető, a fő rész és a befejezés tartozik csak. </w:t>
      </w:r>
      <w:r w:rsidRPr="00920D61">
        <w:rPr>
          <w:rFonts w:ascii="Times New Roman" w:eastAsia="Calibri" w:hAnsi="Times New Roman" w:cs="Times New Roman"/>
          <w:lang w:val="x-none" w:eastAsia="x-none"/>
        </w:rPr>
        <w:t>Az írásbeli munka témáját a hallgató választja</w:t>
      </w:r>
      <w:r w:rsidRPr="00920D61">
        <w:rPr>
          <w:rFonts w:ascii="Times New Roman" w:eastAsia="Calibri" w:hAnsi="Times New Roman" w:cs="Times New Roman"/>
          <w:lang w:eastAsia="x-none"/>
        </w:rPr>
        <w:t>,</w:t>
      </w:r>
      <w:r w:rsidRPr="00920D61">
        <w:rPr>
          <w:rFonts w:ascii="Times New Roman" w:eastAsia="Calibri" w:hAnsi="Times New Roman" w:cs="Times New Roman"/>
          <w:lang w:val="x-none" w:eastAsia="x-none"/>
        </w:rPr>
        <w:t xml:space="preserve"> a kurzus oktatója </w:t>
      </w:r>
      <w:r w:rsidRPr="00920D61">
        <w:rPr>
          <w:rFonts w:ascii="Times New Roman" w:eastAsia="Calibri" w:hAnsi="Times New Roman" w:cs="Times New Roman"/>
          <w:lang w:eastAsia="x-none"/>
        </w:rPr>
        <w:t>jóváhagyja</w:t>
      </w:r>
      <w:r w:rsidRPr="00920D61">
        <w:rPr>
          <w:rFonts w:ascii="Times New Roman" w:eastAsia="Calibri" w:hAnsi="Times New Roman" w:cs="Times New Roman"/>
          <w:lang w:val="x-none" w:eastAsia="x-none"/>
        </w:rPr>
        <w:t xml:space="preserve">. A szorgalmi időszakban a beadási határidőig leadott feladat </w:t>
      </w:r>
      <w:r w:rsidRPr="00920D61">
        <w:rPr>
          <w:rFonts w:ascii="Times New Roman" w:eastAsia="Calibri" w:hAnsi="Times New Roman" w:cs="Times New Roman"/>
          <w:lang w:eastAsia="x-none"/>
        </w:rPr>
        <w:t>ötfokozatú skálán értékelendő</w:t>
      </w:r>
      <w:r w:rsidRPr="00920D61">
        <w:rPr>
          <w:rFonts w:ascii="Times New Roman" w:eastAsia="Calibri" w:hAnsi="Times New Roman" w:cs="Times New Roman"/>
          <w:lang w:val="x-none" w:eastAsia="x-none"/>
        </w:rPr>
        <w:t>, azt javítani a vizsgaidőszak első hetén egy alkalommal lehet.</w:t>
      </w:r>
    </w:p>
    <w:p w:rsidR="00920D61" w:rsidRPr="00920D61" w:rsidRDefault="00920D61" w:rsidP="00980876">
      <w:pPr>
        <w:widowControl w:val="0"/>
        <w:numPr>
          <w:ilvl w:val="0"/>
          <w:numId w:val="276"/>
        </w:numPr>
        <w:spacing w:before="120" w:after="120" w:line="240" w:lineRule="auto"/>
        <w:ind w:left="426" w:hanging="142"/>
        <w:jc w:val="both"/>
        <w:rPr>
          <w:rFonts w:ascii="Times New Roman" w:eastAsia="Times New Roman" w:hAnsi="Times New Roman" w:cs="Times New Roman"/>
          <w:b/>
          <w:bCs/>
        </w:rPr>
      </w:pPr>
      <w:r w:rsidRPr="00920D61">
        <w:rPr>
          <w:rFonts w:ascii="Times New Roman" w:eastAsia="Times New Roman" w:hAnsi="Times New Roman" w:cs="Times New Roman"/>
          <w:b/>
          <w:bCs/>
        </w:rPr>
        <w:t xml:space="preserve">Az értékelés, az aláírás és a kreditek megszerzésének pontos feltételei: </w:t>
      </w:r>
    </w:p>
    <w:p w:rsidR="00920D61" w:rsidRPr="00210B60" w:rsidRDefault="00920D61" w:rsidP="00980876">
      <w:pPr>
        <w:widowControl w:val="0"/>
        <w:numPr>
          <w:ilvl w:val="1"/>
          <w:numId w:val="276"/>
        </w:numPr>
        <w:tabs>
          <w:tab w:val="left" w:pos="709"/>
          <w:tab w:val="left" w:pos="993"/>
          <w:tab w:val="num" w:pos="2069"/>
        </w:tabs>
        <w:spacing w:before="120" w:after="120" w:line="240" w:lineRule="auto"/>
        <w:ind w:left="426" w:firstLine="0"/>
        <w:jc w:val="both"/>
        <w:rPr>
          <w:rFonts w:ascii="Times New Roman" w:eastAsia="Calibri" w:hAnsi="Times New Roman" w:cs="Times New Roman"/>
          <w:lang w:val="x-none" w:eastAsia="x-none"/>
        </w:rPr>
      </w:pPr>
      <w:r w:rsidRPr="00210B60">
        <w:rPr>
          <w:rFonts w:ascii="Times New Roman" w:eastAsia="Times New Roman" w:hAnsi="Times New Roman" w:cs="Times New Roman"/>
          <w:b/>
        </w:rPr>
        <w:t>Az aláírás megszerzésének feltételei:</w:t>
      </w:r>
      <w:r w:rsidRPr="00210B60">
        <w:rPr>
          <w:rFonts w:ascii="Times New Roman" w:eastAsia="Times New Roman" w:hAnsi="Times New Roman" w:cs="Times New Roman"/>
        </w:rPr>
        <w:t xml:space="preserve"> </w:t>
      </w:r>
      <w:r w:rsidRPr="00210B60">
        <w:rPr>
          <w:rFonts w:ascii="Times New Roman" w:eastAsia="Calibri" w:hAnsi="Times New Roman" w:cs="Times New Roman"/>
          <w:lang w:val="x-none" w:eastAsia="x-none"/>
        </w:rPr>
        <w:t>Az aláírás megszerzésnek feltétele a zárthelyi dolgozat legalább elégséges szinten történő teljesítése (min 50%+1 pont), a kapott féléves feladat határidőre történő leadása és minimálisan elégséges szintű teljesítése, illetve a tanórák legalább 75%-án való megjelenés.</w:t>
      </w:r>
    </w:p>
    <w:p w:rsidR="00920D61" w:rsidRPr="00210B60" w:rsidRDefault="00920D61" w:rsidP="00980876">
      <w:pPr>
        <w:widowControl w:val="0"/>
        <w:numPr>
          <w:ilvl w:val="1"/>
          <w:numId w:val="276"/>
        </w:numPr>
        <w:tabs>
          <w:tab w:val="left" w:pos="709"/>
          <w:tab w:val="left" w:pos="993"/>
          <w:tab w:val="num" w:pos="2069"/>
        </w:tabs>
        <w:spacing w:before="120" w:after="120" w:line="240" w:lineRule="auto"/>
        <w:ind w:left="426" w:firstLine="0"/>
        <w:jc w:val="both"/>
        <w:rPr>
          <w:rFonts w:ascii="Times New Roman" w:eastAsia="Calibri" w:hAnsi="Times New Roman" w:cs="Times New Roman"/>
          <w:lang w:val="x-none" w:eastAsia="x-none"/>
        </w:rPr>
      </w:pPr>
      <w:r w:rsidRPr="00210B60">
        <w:rPr>
          <w:rFonts w:ascii="Times New Roman" w:eastAsia="Times New Roman" w:hAnsi="Times New Roman" w:cs="Times New Roman"/>
          <w:b/>
        </w:rPr>
        <w:t>Az értékelés:</w:t>
      </w:r>
      <w:r w:rsidRPr="00210B60">
        <w:rPr>
          <w:rFonts w:ascii="Times New Roman" w:eastAsia="Times New Roman" w:hAnsi="Times New Roman" w:cs="Times New Roman"/>
        </w:rPr>
        <w:t xml:space="preserve"> </w:t>
      </w:r>
      <w:r w:rsidRPr="00210B60">
        <w:rPr>
          <w:rFonts w:ascii="Times New Roman" w:eastAsia="Calibri" w:hAnsi="Times New Roman" w:cs="Times New Roman"/>
          <w:lang w:val="x-none" w:eastAsia="x-none"/>
        </w:rPr>
        <w:t xml:space="preserve">A félév végén a </w:t>
      </w:r>
      <w:r w:rsidRPr="00210B60">
        <w:rPr>
          <w:rFonts w:ascii="Times New Roman" w:eastAsia="Calibri" w:hAnsi="Times New Roman" w:cs="Times New Roman"/>
          <w:b/>
          <w:lang w:val="x-none" w:eastAsia="x-none"/>
        </w:rPr>
        <w:t>kollokvium</w:t>
      </w:r>
      <w:r w:rsidRPr="00210B60">
        <w:rPr>
          <w:rFonts w:ascii="Times New Roman" w:eastAsia="Calibri" w:hAnsi="Times New Roman" w:cs="Times New Roman"/>
          <w:lang w:val="x-none" w:eastAsia="x-none"/>
        </w:rPr>
        <w:t xml:space="preserve"> szóbeli, amelynek eredményébe a félévközi munka beszámítható. A kollokviumra a hallgatók csak felkészülési témaköröket kapnak kézhez, melyek felölelik a félév teljes tananyagát és a vizsgatételek kérdéseit. A kollokviumon a hallgató a vizsgatétel ismertetésére kapott osztályzata alapján ötfokozatú skálán értékelendő. Ha a vizsgáztató nem győződött meg a hallgató felkészültségéről a vizsgatétel alapján, kérdéseket tehet fel a félév tananyagából, amelyek a kollokvium érdemjegyébe beleszámítandók.</w:t>
      </w:r>
    </w:p>
    <w:p w:rsidR="00920D61" w:rsidRPr="00210B60" w:rsidRDefault="00920D61" w:rsidP="00980876">
      <w:pPr>
        <w:widowControl w:val="0"/>
        <w:numPr>
          <w:ilvl w:val="1"/>
          <w:numId w:val="276"/>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210B60">
        <w:rPr>
          <w:rFonts w:ascii="Times New Roman" w:eastAsia="Times New Roman" w:hAnsi="Times New Roman" w:cs="Times New Roman"/>
          <w:b/>
        </w:rPr>
        <w:t>A kreditek megszerzésének feltételei:</w:t>
      </w:r>
      <w:r w:rsidRPr="00210B60">
        <w:rPr>
          <w:rFonts w:ascii="Times New Roman" w:eastAsia="Times New Roman" w:hAnsi="Times New Roman" w:cs="Times New Roman"/>
        </w:rPr>
        <w:t xml:space="preserve"> A kreditek megszerzésének feltétele az aláírás megszerzése és legalább elégséges vizsgajegy.</w:t>
      </w:r>
    </w:p>
    <w:p w:rsidR="00920D61" w:rsidRPr="00920D61" w:rsidRDefault="00920D61" w:rsidP="00980876">
      <w:pPr>
        <w:widowControl w:val="0"/>
        <w:numPr>
          <w:ilvl w:val="0"/>
          <w:numId w:val="276"/>
        </w:numPr>
        <w:tabs>
          <w:tab w:val="num" w:pos="360"/>
        </w:tabs>
        <w:spacing w:before="120" w:after="120" w:line="240" w:lineRule="auto"/>
        <w:ind w:left="426" w:hanging="142"/>
        <w:jc w:val="both"/>
        <w:rPr>
          <w:rFonts w:ascii="Times New Roman" w:eastAsia="Times New Roman" w:hAnsi="Times New Roman" w:cs="Times New Roman"/>
          <w:bCs/>
        </w:rPr>
      </w:pPr>
      <w:r w:rsidRPr="00920D61">
        <w:rPr>
          <w:rFonts w:ascii="Times New Roman" w:eastAsia="Times New Roman" w:hAnsi="Times New Roman" w:cs="Times New Roman"/>
          <w:b/>
          <w:bCs/>
        </w:rPr>
        <w:t>Irodalomjegyzék:</w:t>
      </w:r>
    </w:p>
    <w:p w:rsidR="00920D61" w:rsidRPr="00920D61" w:rsidRDefault="00920D61" w:rsidP="00980876">
      <w:pPr>
        <w:widowControl w:val="0"/>
        <w:numPr>
          <w:ilvl w:val="1"/>
          <w:numId w:val="276"/>
        </w:numPr>
        <w:tabs>
          <w:tab w:val="left" w:pos="567"/>
          <w:tab w:val="left" w:pos="851"/>
        </w:tabs>
        <w:spacing w:before="120" w:after="120" w:line="240" w:lineRule="auto"/>
        <w:ind w:left="426" w:hanging="142"/>
        <w:jc w:val="both"/>
        <w:rPr>
          <w:rFonts w:ascii="Times New Roman" w:eastAsia="Times New Roman" w:hAnsi="Times New Roman" w:cs="Times New Roman"/>
          <w:bCs/>
        </w:rPr>
      </w:pPr>
      <w:r w:rsidRPr="00920D61">
        <w:rPr>
          <w:rFonts w:ascii="Times New Roman" w:eastAsia="Times New Roman" w:hAnsi="Times New Roman" w:cs="Times New Roman"/>
          <w:b/>
          <w:bCs/>
        </w:rPr>
        <w:t>Kötelező irodalom:</w:t>
      </w:r>
    </w:p>
    <w:p w:rsidR="00920D61" w:rsidRPr="00920D61" w:rsidRDefault="00920D61" w:rsidP="00980876">
      <w:pPr>
        <w:numPr>
          <w:ilvl w:val="0"/>
          <w:numId w:val="277"/>
        </w:numPr>
        <w:spacing w:after="0" w:line="240" w:lineRule="auto"/>
        <w:jc w:val="both"/>
        <w:rPr>
          <w:rFonts w:ascii="Times New Roman" w:eastAsia="Calibri" w:hAnsi="Times New Roman" w:cs="Times New Roman"/>
        </w:rPr>
      </w:pPr>
      <w:r w:rsidRPr="00920D61">
        <w:rPr>
          <w:rFonts w:ascii="Times New Roman" w:eastAsia="Calibri" w:hAnsi="Times New Roman" w:cs="Times New Roman"/>
        </w:rPr>
        <w:t>Dr. Dankó L.: A nemzetközi kereskedelem technikája (Pro Marketing Miskolc Egyesület Miskolc, 2006. ISBN 9630607832 p.317.)</w:t>
      </w:r>
    </w:p>
    <w:p w:rsidR="00920D61" w:rsidRPr="00920D61" w:rsidRDefault="00920D61" w:rsidP="00980876">
      <w:pPr>
        <w:numPr>
          <w:ilvl w:val="0"/>
          <w:numId w:val="277"/>
        </w:numPr>
        <w:spacing w:after="0" w:line="240" w:lineRule="auto"/>
        <w:jc w:val="both"/>
        <w:rPr>
          <w:rFonts w:ascii="Times New Roman" w:eastAsia="Calibri" w:hAnsi="Times New Roman" w:cs="Times New Roman"/>
        </w:rPr>
      </w:pPr>
      <w:r w:rsidRPr="00920D61">
        <w:rPr>
          <w:rFonts w:ascii="Times New Roman" w:eastAsia="Calibri" w:hAnsi="Times New Roman" w:cs="Times New Roman"/>
        </w:rPr>
        <w:t>Dr. Szalay Gy.: A fuvarjog alapjai (SZIF Távoktatási jegyezet, Győr, 2002.)</w:t>
      </w:r>
    </w:p>
    <w:p w:rsidR="00920D61" w:rsidRPr="00920D61" w:rsidRDefault="00920D61" w:rsidP="00980876">
      <w:pPr>
        <w:numPr>
          <w:ilvl w:val="0"/>
          <w:numId w:val="277"/>
        </w:numPr>
        <w:spacing w:after="0" w:line="240" w:lineRule="auto"/>
        <w:jc w:val="both"/>
        <w:rPr>
          <w:rFonts w:ascii="Times New Roman" w:eastAsia="Calibri" w:hAnsi="Times New Roman" w:cs="Times New Roman"/>
        </w:rPr>
      </w:pPr>
      <w:r w:rsidRPr="00920D61">
        <w:rPr>
          <w:rFonts w:ascii="Times New Roman" w:eastAsia="Calibri" w:hAnsi="Times New Roman" w:cs="Times New Roman"/>
        </w:rPr>
        <w:t>Nyakasné dr. Tátrai Judit: Szállítmányozás I-II. (Magyar Közlekedési Kiadó, Budapest, 2001.)</w:t>
      </w:r>
    </w:p>
    <w:p w:rsidR="00920D61" w:rsidRPr="00920D61" w:rsidRDefault="00920D61" w:rsidP="00980876">
      <w:pPr>
        <w:widowControl w:val="0"/>
        <w:numPr>
          <w:ilvl w:val="1"/>
          <w:numId w:val="276"/>
        </w:numPr>
        <w:spacing w:before="120" w:after="120" w:line="240" w:lineRule="auto"/>
        <w:ind w:left="993" w:hanging="709"/>
        <w:jc w:val="both"/>
        <w:rPr>
          <w:rFonts w:ascii="Times New Roman" w:eastAsia="Times New Roman" w:hAnsi="Times New Roman" w:cs="Times New Roman"/>
          <w:b/>
          <w:bCs/>
        </w:rPr>
      </w:pPr>
      <w:r w:rsidRPr="00920D61">
        <w:rPr>
          <w:rFonts w:ascii="Times New Roman" w:eastAsia="Times New Roman" w:hAnsi="Times New Roman" w:cs="Times New Roman"/>
          <w:b/>
          <w:bCs/>
        </w:rPr>
        <w:t>Ajánlott irodalom:</w:t>
      </w:r>
    </w:p>
    <w:p w:rsidR="00920D61" w:rsidRPr="00920D61" w:rsidRDefault="00920D61" w:rsidP="00980876">
      <w:pPr>
        <w:numPr>
          <w:ilvl w:val="0"/>
          <w:numId w:val="278"/>
        </w:numPr>
        <w:spacing w:after="0" w:line="240" w:lineRule="auto"/>
        <w:jc w:val="both"/>
        <w:rPr>
          <w:rFonts w:ascii="Times New Roman" w:eastAsia="Calibri" w:hAnsi="Times New Roman" w:cs="Times New Roman"/>
        </w:rPr>
      </w:pPr>
      <w:r w:rsidRPr="00920D61">
        <w:rPr>
          <w:rFonts w:ascii="Times New Roman" w:eastAsia="Calibri" w:hAnsi="Times New Roman" w:cs="Times New Roman"/>
        </w:rPr>
        <w:t>Majtényi-Kovács-Szalay: Tengeri fuvarjog (Tankönyvkiadó, Budapest, 1991.)</w:t>
      </w:r>
    </w:p>
    <w:p w:rsidR="00920D61" w:rsidRPr="00920D61" w:rsidRDefault="00920D61" w:rsidP="00980876">
      <w:pPr>
        <w:numPr>
          <w:ilvl w:val="0"/>
          <w:numId w:val="278"/>
        </w:numPr>
        <w:spacing w:after="0" w:line="240" w:lineRule="auto"/>
        <w:jc w:val="both"/>
        <w:rPr>
          <w:rFonts w:ascii="Times New Roman" w:eastAsia="Calibri" w:hAnsi="Times New Roman" w:cs="Times New Roman"/>
        </w:rPr>
      </w:pPr>
      <w:r w:rsidRPr="00920D61">
        <w:rPr>
          <w:rFonts w:ascii="Times New Roman" w:eastAsia="Calibri" w:hAnsi="Times New Roman" w:cs="Times New Roman"/>
        </w:rPr>
        <w:t>Baráth F.: Jogi Ismeretek – Fuvarozásjog (Műszaki könyvkiadó, Budapest, 2010. p.112,  ISBN: 978-963-16-6067-8)</w:t>
      </w:r>
    </w:p>
    <w:p w:rsidR="00920D61" w:rsidRPr="00920D61" w:rsidRDefault="00920D61" w:rsidP="00980876">
      <w:pPr>
        <w:numPr>
          <w:ilvl w:val="0"/>
          <w:numId w:val="278"/>
        </w:numPr>
        <w:spacing w:after="0" w:line="240" w:lineRule="auto"/>
        <w:jc w:val="both"/>
        <w:rPr>
          <w:rFonts w:ascii="Times New Roman" w:eastAsia="Calibri" w:hAnsi="Times New Roman" w:cs="Times New Roman"/>
        </w:rPr>
      </w:pPr>
      <w:r w:rsidRPr="00920D61">
        <w:rPr>
          <w:rFonts w:ascii="Times New Roman" w:eastAsia="Calibri" w:hAnsi="Times New Roman" w:cs="Times New Roman"/>
        </w:rPr>
        <w:t>Közlekedési jogszabályok gyűjteménye</w:t>
      </w:r>
    </w:p>
    <w:p w:rsidR="00920D61" w:rsidRPr="00920D61" w:rsidRDefault="00920D61" w:rsidP="00920D61">
      <w:pPr>
        <w:widowControl w:val="0"/>
        <w:spacing w:after="0" w:line="240" w:lineRule="auto"/>
        <w:ind w:left="720"/>
        <w:contextualSpacing/>
        <w:jc w:val="both"/>
        <w:rPr>
          <w:rFonts w:ascii="Calibri" w:eastAsia="Times New Roman" w:hAnsi="Calibri" w:cs="Times New Roman"/>
          <w:highlight w:val="lightGray"/>
        </w:rPr>
      </w:pPr>
    </w:p>
    <w:p w:rsidR="00920D61" w:rsidRPr="00920D61" w:rsidRDefault="00920D61" w:rsidP="00920D61">
      <w:pPr>
        <w:widowControl w:val="0"/>
        <w:spacing w:before="120" w:after="12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Budapest, 2020 </w:t>
      </w:r>
      <w:r w:rsidR="00D94E0A">
        <w:rPr>
          <w:rFonts w:ascii="Times New Roman" w:eastAsia="Times New Roman" w:hAnsi="Times New Roman" w:cs="Times New Roman"/>
          <w:bCs/>
        </w:rPr>
        <w:t>március</w:t>
      </w:r>
      <w:r>
        <w:rPr>
          <w:rFonts w:ascii="Times New Roman" w:eastAsia="Times New Roman" w:hAnsi="Times New Roman" w:cs="Times New Roman"/>
          <w:bCs/>
        </w:rPr>
        <w:t xml:space="preserve">        -n</w:t>
      </w:r>
    </w:p>
    <w:p w:rsidR="00920D61" w:rsidRPr="00920D61" w:rsidRDefault="00920D61" w:rsidP="00920D61">
      <w:pPr>
        <w:tabs>
          <w:tab w:val="right" w:pos="900"/>
          <w:tab w:val="center" w:pos="4536"/>
          <w:tab w:val="right" w:pos="9072"/>
        </w:tabs>
        <w:spacing w:before="120" w:after="0" w:line="240" w:lineRule="auto"/>
        <w:jc w:val="both"/>
        <w:rPr>
          <w:rFonts w:ascii="Calibri" w:eastAsia="Calibri" w:hAnsi="Calibri" w:cs="Calibri"/>
          <w:bCs/>
        </w:rPr>
      </w:pPr>
    </w:p>
    <w:p w:rsidR="00920D61" w:rsidRPr="00920D61" w:rsidRDefault="00920D61" w:rsidP="00920D61">
      <w:pPr>
        <w:tabs>
          <w:tab w:val="right" w:pos="900"/>
          <w:tab w:val="center" w:pos="4536"/>
          <w:tab w:val="right" w:pos="9072"/>
        </w:tabs>
        <w:spacing w:after="0" w:line="240" w:lineRule="auto"/>
        <w:ind w:left="4253"/>
        <w:jc w:val="center"/>
        <w:rPr>
          <w:rFonts w:ascii="Times New Roman" w:eastAsia="Calibri" w:hAnsi="Times New Roman" w:cs="Times New Roman"/>
          <w:b/>
          <w:bCs/>
        </w:rPr>
      </w:pPr>
      <w:r w:rsidRPr="00920D61">
        <w:rPr>
          <w:rFonts w:ascii="Times New Roman" w:eastAsia="Calibri" w:hAnsi="Times New Roman" w:cs="Times New Roman"/>
          <w:b/>
          <w:bCs/>
        </w:rPr>
        <w:t>Dr. Szászi Gábor egyetemi docens, PhD</w:t>
      </w:r>
    </w:p>
    <w:p w:rsidR="00920D61" w:rsidRPr="00920D61" w:rsidRDefault="00920D61" w:rsidP="00920D61">
      <w:pPr>
        <w:spacing w:line="256" w:lineRule="auto"/>
        <w:ind w:left="4253"/>
        <w:jc w:val="center"/>
        <w:rPr>
          <w:rFonts w:ascii="Times New Roman" w:eastAsia="Calibri" w:hAnsi="Times New Roman" w:cs="Times New Roman"/>
          <w:bCs/>
        </w:rPr>
      </w:pPr>
      <w:r w:rsidRPr="00920D61">
        <w:rPr>
          <w:rFonts w:ascii="Times New Roman" w:eastAsia="Calibri" w:hAnsi="Times New Roman" w:cs="Times New Roman"/>
          <w:bCs/>
        </w:rPr>
        <w:t>tantárgyfelelős</w:t>
      </w:r>
    </w:p>
    <w:p w:rsidR="0023220E" w:rsidRDefault="0023220E">
      <w:r>
        <w:br w:type="page"/>
      </w:r>
    </w:p>
    <w:tbl>
      <w:tblPr>
        <w:tblW w:w="9072" w:type="dxa"/>
        <w:tblInd w:w="113" w:type="dxa"/>
        <w:tblLook w:val="01E0" w:firstRow="1" w:lastRow="1" w:firstColumn="1" w:lastColumn="1" w:noHBand="0" w:noVBand="0"/>
      </w:tblPr>
      <w:tblGrid>
        <w:gridCol w:w="4855"/>
        <w:gridCol w:w="1620"/>
        <w:gridCol w:w="2597"/>
      </w:tblGrid>
      <w:tr w:rsidR="008F449C" w:rsidRPr="008F449C" w:rsidTr="008F449C">
        <w:tc>
          <w:tcPr>
            <w:tcW w:w="4855" w:type="dxa"/>
            <w:tcBorders>
              <w:top w:val="nil"/>
              <w:left w:val="nil"/>
              <w:bottom w:val="single" w:sz="4" w:space="0" w:color="auto"/>
              <w:right w:val="nil"/>
            </w:tcBorders>
            <w:hideMark/>
          </w:tcPr>
          <w:p w:rsidR="008F449C" w:rsidRPr="008F449C" w:rsidRDefault="008F449C">
            <w:pPr>
              <w:spacing w:after="0" w:line="240" w:lineRule="auto"/>
              <w:jc w:val="center"/>
              <w:rPr>
                <w:rFonts w:ascii="Times New Roman" w:eastAsia="Times New Roman" w:hAnsi="Times New Roman" w:cs="Times New Roman"/>
                <w:b/>
                <w:smallCaps/>
                <w:lang w:eastAsia="hu-HU"/>
              </w:rPr>
            </w:pPr>
            <w:r w:rsidRPr="008F449C">
              <w:rPr>
                <w:rFonts w:ascii="Times New Roman" w:eastAsia="Times New Roman" w:hAnsi="Times New Roman" w:cs="Times New Roman"/>
                <w:b/>
                <w:smallCaps/>
                <w:lang w:eastAsia="hu-HU"/>
              </w:rPr>
              <w:lastRenderedPageBreak/>
              <w:t>Nemzeti Közszolgálati Egyetem</w:t>
            </w:r>
          </w:p>
        </w:tc>
        <w:tc>
          <w:tcPr>
            <w:tcW w:w="1620" w:type="dxa"/>
          </w:tcPr>
          <w:p w:rsidR="008F449C" w:rsidRPr="008F449C" w:rsidRDefault="008F449C">
            <w:pPr>
              <w:spacing w:after="0" w:line="240" w:lineRule="auto"/>
              <w:jc w:val="both"/>
              <w:rPr>
                <w:rFonts w:ascii="Times New Roman" w:eastAsia="Times New Roman" w:hAnsi="Times New Roman" w:cs="Times New Roman"/>
                <w:lang w:eastAsia="hu-HU"/>
              </w:rPr>
            </w:pPr>
          </w:p>
        </w:tc>
        <w:tc>
          <w:tcPr>
            <w:tcW w:w="2597" w:type="dxa"/>
          </w:tcPr>
          <w:p w:rsidR="008F449C" w:rsidRPr="008F449C" w:rsidRDefault="008F449C">
            <w:pPr>
              <w:spacing w:after="0" w:line="240" w:lineRule="auto"/>
              <w:jc w:val="right"/>
              <w:rPr>
                <w:rFonts w:ascii="Times New Roman" w:eastAsia="Times New Roman" w:hAnsi="Times New Roman" w:cs="Times New Roman"/>
                <w:lang w:eastAsia="hu-HU"/>
              </w:rPr>
            </w:pPr>
          </w:p>
        </w:tc>
      </w:tr>
      <w:tr w:rsidR="008F449C" w:rsidRPr="008F449C" w:rsidTr="008F449C">
        <w:tc>
          <w:tcPr>
            <w:tcW w:w="4855" w:type="dxa"/>
            <w:tcBorders>
              <w:top w:val="single" w:sz="4" w:space="0" w:color="auto"/>
              <w:left w:val="nil"/>
              <w:bottom w:val="nil"/>
              <w:right w:val="nil"/>
            </w:tcBorders>
            <w:hideMark/>
          </w:tcPr>
          <w:p w:rsidR="008F449C" w:rsidRPr="008F449C" w:rsidRDefault="008F449C">
            <w:pPr>
              <w:spacing w:after="0" w:line="240" w:lineRule="auto"/>
              <w:jc w:val="center"/>
              <w:rPr>
                <w:rFonts w:ascii="Times New Roman" w:eastAsia="Times New Roman" w:hAnsi="Times New Roman" w:cs="Times New Roman"/>
                <w:b/>
                <w:lang w:eastAsia="hu-HU"/>
              </w:rPr>
            </w:pPr>
            <w:r w:rsidRPr="008F449C">
              <w:rPr>
                <w:rFonts w:ascii="Times New Roman" w:eastAsia="Times New Roman" w:hAnsi="Times New Roman" w:cs="Times New Roman"/>
                <w:b/>
                <w:lang w:eastAsia="hu-HU"/>
              </w:rPr>
              <w:t>Hadtudományi és Honvédtisztképző Kar</w:t>
            </w:r>
          </w:p>
        </w:tc>
        <w:tc>
          <w:tcPr>
            <w:tcW w:w="1620" w:type="dxa"/>
          </w:tcPr>
          <w:p w:rsidR="008F449C" w:rsidRPr="008F449C" w:rsidRDefault="008F449C">
            <w:pPr>
              <w:spacing w:after="0" w:line="240" w:lineRule="auto"/>
              <w:jc w:val="both"/>
              <w:rPr>
                <w:rFonts w:ascii="Times New Roman" w:eastAsia="Times New Roman" w:hAnsi="Times New Roman" w:cs="Times New Roman"/>
                <w:lang w:eastAsia="hu-HU"/>
              </w:rPr>
            </w:pPr>
          </w:p>
        </w:tc>
        <w:tc>
          <w:tcPr>
            <w:tcW w:w="2597" w:type="dxa"/>
          </w:tcPr>
          <w:p w:rsidR="008F449C" w:rsidRPr="008F449C" w:rsidRDefault="008F449C">
            <w:pPr>
              <w:spacing w:after="0" w:line="240" w:lineRule="auto"/>
              <w:jc w:val="both"/>
              <w:rPr>
                <w:rFonts w:ascii="Times New Roman" w:eastAsia="Times New Roman" w:hAnsi="Times New Roman" w:cs="Times New Roman"/>
                <w:lang w:eastAsia="hu-HU"/>
              </w:rPr>
            </w:pPr>
          </w:p>
        </w:tc>
      </w:tr>
    </w:tbl>
    <w:p w:rsidR="008F449C" w:rsidRPr="008F449C" w:rsidRDefault="008F449C" w:rsidP="008F449C">
      <w:pPr>
        <w:widowControl w:val="0"/>
        <w:spacing w:before="120" w:after="120" w:line="240" w:lineRule="auto"/>
        <w:ind w:left="426" w:hanging="142"/>
        <w:jc w:val="center"/>
        <w:rPr>
          <w:rFonts w:ascii="Times New Roman" w:eastAsia="Times New Roman" w:hAnsi="Times New Roman" w:cs="Times New Roman"/>
          <w:b/>
          <w:bCs/>
        </w:rPr>
      </w:pPr>
    </w:p>
    <w:p w:rsidR="008F449C" w:rsidRPr="008F449C" w:rsidRDefault="008F449C" w:rsidP="008F449C">
      <w:pPr>
        <w:widowControl w:val="0"/>
        <w:spacing w:before="120" w:after="120" w:line="240" w:lineRule="auto"/>
        <w:ind w:left="426" w:hanging="142"/>
        <w:jc w:val="center"/>
        <w:rPr>
          <w:rFonts w:ascii="Times New Roman" w:eastAsia="Times New Roman" w:hAnsi="Times New Roman" w:cs="Times New Roman"/>
          <w:b/>
          <w:bCs/>
        </w:rPr>
      </w:pPr>
      <w:r w:rsidRPr="008F449C">
        <w:rPr>
          <w:rFonts w:ascii="Times New Roman" w:eastAsia="Times New Roman" w:hAnsi="Times New Roman" w:cs="Times New Roman"/>
          <w:b/>
          <w:bCs/>
        </w:rPr>
        <w:t>TANTÁRGYI PROGRAM</w:t>
      </w:r>
    </w:p>
    <w:p w:rsidR="008F449C" w:rsidRPr="008F449C" w:rsidRDefault="008F449C" w:rsidP="00980876">
      <w:pPr>
        <w:widowControl w:val="0"/>
        <w:numPr>
          <w:ilvl w:val="0"/>
          <w:numId w:val="279"/>
        </w:numPr>
        <w:tabs>
          <w:tab w:val="num" w:pos="567"/>
        </w:tabs>
        <w:spacing w:before="120" w:after="120" w:line="240" w:lineRule="auto"/>
        <w:ind w:left="426" w:hanging="142"/>
        <w:jc w:val="both"/>
        <w:rPr>
          <w:rFonts w:ascii="Times New Roman" w:eastAsia="Times New Roman" w:hAnsi="Times New Roman" w:cs="Times New Roman"/>
          <w:bCs/>
        </w:rPr>
      </w:pPr>
      <w:r w:rsidRPr="008F449C">
        <w:rPr>
          <w:rFonts w:ascii="Times New Roman" w:eastAsia="Times New Roman" w:hAnsi="Times New Roman" w:cs="Times New Roman"/>
          <w:b/>
          <w:bCs/>
        </w:rPr>
        <w:t xml:space="preserve">A tantárgy kódja: </w:t>
      </w:r>
      <w:r w:rsidRPr="008F449C">
        <w:rPr>
          <w:rFonts w:ascii="Times New Roman" w:hAnsi="Times New Roman" w:cs="Times New Roman"/>
        </w:rPr>
        <w:t>HKHPKA312</w:t>
      </w:r>
    </w:p>
    <w:p w:rsidR="008F449C" w:rsidRPr="008F449C" w:rsidRDefault="008F449C" w:rsidP="00980876">
      <w:pPr>
        <w:widowControl w:val="0"/>
        <w:numPr>
          <w:ilvl w:val="0"/>
          <w:numId w:val="279"/>
        </w:numPr>
        <w:tabs>
          <w:tab w:val="num" w:pos="567"/>
        </w:tabs>
        <w:spacing w:before="120" w:after="120" w:line="240" w:lineRule="auto"/>
        <w:ind w:left="426" w:hanging="142"/>
        <w:jc w:val="both"/>
        <w:rPr>
          <w:rFonts w:ascii="Times New Roman" w:eastAsia="Times New Roman" w:hAnsi="Times New Roman" w:cs="Times New Roman"/>
          <w:b/>
          <w:bCs/>
          <w:lang w:val="en-GB"/>
        </w:rPr>
      </w:pPr>
      <w:r w:rsidRPr="008F449C">
        <w:rPr>
          <w:rFonts w:ascii="Times New Roman" w:eastAsia="Times New Roman" w:hAnsi="Times New Roman" w:cs="Times New Roman"/>
          <w:b/>
          <w:bCs/>
        </w:rPr>
        <w:t>A tantárgy megnevezése (magyarul):</w:t>
      </w:r>
      <w:r w:rsidRPr="008F449C">
        <w:rPr>
          <w:rFonts w:ascii="Times New Roman" w:eastAsia="Times New Roman" w:hAnsi="Times New Roman" w:cs="Times New Roman"/>
          <w:bCs/>
        </w:rPr>
        <w:t xml:space="preserve"> </w:t>
      </w:r>
      <w:r w:rsidRPr="008F449C">
        <w:rPr>
          <w:rFonts w:ascii="Times New Roman" w:eastAsia="Times New Roman" w:hAnsi="Times New Roman" w:cs="Times New Roman"/>
          <w:lang w:eastAsia="hu-HU"/>
        </w:rPr>
        <w:t>Katonai szállításszervezés I.</w:t>
      </w:r>
    </w:p>
    <w:p w:rsidR="008F449C" w:rsidRPr="008F449C" w:rsidRDefault="008F449C" w:rsidP="00980876">
      <w:pPr>
        <w:widowControl w:val="0"/>
        <w:numPr>
          <w:ilvl w:val="0"/>
          <w:numId w:val="279"/>
        </w:numPr>
        <w:tabs>
          <w:tab w:val="num" w:pos="567"/>
        </w:tabs>
        <w:spacing w:before="120" w:after="120" w:line="240" w:lineRule="auto"/>
        <w:ind w:left="426" w:hanging="142"/>
        <w:jc w:val="both"/>
        <w:rPr>
          <w:rFonts w:ascii="Times New Roman" w:eastAsia="Times New Roman" w:hAnsi="Times New Roman" w:cs="Times New Roman"/>
          <w:b/>
          <w:bCs/>
          <w:lang w:val="en-GB"/>
        </w:rPr>
      </w:pPr>
      <w:r w:rsidRPr="008F449C">
        <w:rPr>
          <w:rFonts w:ascii="Times New Roman" w:eastAsia="Times New Roman" w:hAnsi="Times New Roman" w:cs="Times New Roman"/>
          <w:b/>
          <w:bCs/>
        </w:rPr>
        <w:t xml:space="preserve">A tantárgy megnevezése (angolul): </w:t>
      </w:r>
      <w:r w:rsidRPr="008F449C">
        <w:rPr>
          <w:rFonts w:ascii="Times New Roman" w:eastAsia="Times New Roman" w:hAnsi="Times New Roman" w:cs="Times New Roman"/>
          <w:lang w:eastAsia="hu-HU"/>
        </w:rPr>
        <w:t>Organization of Military Transportation I.</w:t>
      </w:r>
    </w:p>
    <w:p w:rsidR="008F449C" w:rsidRPr="008F449C" w:rsidRDefault="008F449C" w:rsidP="00980876">
      <w:pPr>
        <w:widowControl w:val="0"/>
        <w:numPr>
          <w:ilvl w:val="0"/>
          <w:numId w:val="279"/>
        </w:numPr>
        <w:tabs>
          <w:tab w:val="num" w:pos="567"/>
        </w:tabs>
        <w:spacing w:before="120" w:after="120" w:line="240" w:lineRule="auto"/>
        <w:ind w:left="426" w:hanging="142"/>
        <w:jc w:val="both"/>
        <w:rPr>
          <w:rFonts w:ascii="Times New Roman" w:eastAsia="Times New Roman" w:hAnsi="Times New Roman" w:cs="Times New Roman"/>
          <w:b/>
          <w:bCs/>
        </w:rPr>
      </w:pPr>
      <w:r w:rsidRPr="008F449C">
        <w:rPr>
          <w:rFonts w:ascii="Times New Roman" w:eastAsia="Times New Roman" w:hAnsi="Times New Roman" w:cs="Times New Roman"/>
          <w:b/>
          <w:bCs/>
        </w:rPr>
        <w:t xml:space="preserve">Kreditérték és képzési karakter: </w:t>
      </w:r>
    </w:p>
    <w:p w:rsidR="008F449C" w:rsidRPr="008F449C" w:rsidRDefault="008F449C" w:rsidP="00980876">
      <w:pPr>
        <w:pStyle w:val="Listaszerbekezds"/>
        <w:widowControl w:val="0"/>
        <w:numPr>
          <w:ilvl w:val="1"/>
          <w:numId w:val="279"/>
        </w:numPr>
        <w:spacing w:before="120" w:after="120" w:line="240" w:lineRule="auto"/>
        <w:ind w:left="993" w:hanging="426"/>
        <w:jc w:val="both"/>
        <w:rPr>
          <w:rFonts w:ascii="Times New Roman" w:eastAsia="Times New Roman" w:hAnsi="Times New Roman" w:cs="Times New Roman"/>
          <w:b/>
          <w:bCs/>
        </w:rPr>
      </w:pPr>
      <w:r w:rsidRPr="008F449C">
        <w:rPr>
          <w:rFonts w:ascii="Times New Roman" w:eastAsia="Times New Roman" w:hAnsi="Times New Roman" w:cs="Times New Roman"/>
          <w:bCs/>
        </w:rPr>
        <w:t>4 kredit</w:t>
      </w:r>
    </w:p>
    <w:p w:rsidR="008F449C" w:rsidRPr="008F449C" w:rsidRDefault="008F449C" w:rsidP="00980876">
      <w:pPr>
        <w:pStyle w:val="Listaszerbekezds"/>
        <w:widowControl w:val="0"/>
        <w:numPr>
          <w:ilvl w:val="1"/>
          <w:numId w:val="279"/>
        </w:numPr>
        <w:spacing w:before="120" w:after="120" w:line="240" w:lineRule="auto"/>
        <w:ind w:left="993" w:hanging="426"/>
        <w:jc w:val="both"/>
        <w:rPr>
          <w:rFonts w:ascii="Times New Roman" w:eastAsia="Times New Roman" w:hAnsi="Times New Roman" w:cs="Times New Roman"/>
          <w:b/>
          <w:bCs/>
        </w:rPr>
      </w:pPr>
      <w:r w:rsidRPr="008F449C">
        <w:rPr>
          <w:rFonts w:ascii="Times New Roman" w:eastAsia="Times New Roman" w:hAnsi="Times New Roman" w:cs="Times New Roman"/>
          <w:bCs/>
        </w:rPr>
        <w:t>a tantárgy elméleti vagy gyakorlati jellegének mértéke: 25</w:t>
      </w:r>
      <w:r w:rsidRPr="008F449C">
        <w:rPr>
          <w:rFonts w:ascii="Times New Roman" w:eastAsia="Times New Roman" w:hAnsi="Times New Roman" w:cs="Times New Roman"/>
          <w:b/>
          <w:bCs/>
        </w:rPr>
        <w:t xml:space="preserve"> </w:t>
      </w:r>
      <w:r w:rsidRPr="008F449C">
        <w:rPr>
          <w:rFonts w:ascii="Times New Roman" w:eastAsia="Times New Roman" w:hAnsi="Times New Roman" w:cs="Times New Roman"/>
          <w:bCs/>
        </w:rPr>
        <w:t>% gyakorlat, 75 % elmélet</w:t>
      </w:r>
    </w:p>
    <w:p w:rsidR="008F449C" w:rsidRPr="008F449C" w:rsidRDefault="008F449C" w:rsidP="00980876">
      <w:pPr>
        <w:widowControl w:val="0"/>
        <w:numPr>
          <w:ilvl w:val="0"/>
          <w:numId w:val="279"/>
        </w:numPr>
        <w:spacing w:before="120" w:after="120" w:line="240" w:lineRule="auto"/>
        <w:ind w:left="426" w:hanging="142"/>
        <w:jc w:val="both"/>
        <w:rPr>
          <w:rFonts w:ascii="Times New Roman" w:eastAsia="Times New Roman" w:hAnsi="Times New Roman" w:cs="Times New Roman"/>
          <w:bCs/>
        </w:rPr>
      </w:pPr>
      <w:r w:rsidRPr="008F449C">
        <w:rPr>
          <w:rFonts w:ascii="Times New Roman" w:eastAsia="Times New Roman" w:hAnsi="Times New Roman" w:cs="Times New Roman"/>
          <w:b/>
          <w:bCs/>
        </w:rPr>
        <w:t>A szak(ok), szakirányok/specializációk megnevezése (ahol oktatják):</w:t>
      </w:r>
      <w:r w:rsidRPr="008F449C">
        <w:rPr>
          <w:rFonts w:ascii="Times New Roman" w:eastAsia="Times New Roman" w:hAnsi="Times New Roman" w:cs="Times New Roman"/>
          <w:bCs/>
        </w:rPr>
        <w:t xml:space="preserve"> Katonai logisztika alapképzési szak, Katonai közlekedési specializáció</w:t>
      </w:r>
    </w:p>
    <w:p w:rsidR="008F449C" w:rsidRPr="008F449C" w:rsidRDefault="008F449C" w:rsidP="00980876">
      <w:pPr>
        <w:widowControl w:val="0"/>
        <w:numPr>
          <w:ilvl w:val="0"/>
          <w:numId w:val="279"/>
        </w:numPr>
        <w:tabs>
          <w:tab w:val="num" w:pos="567"/>
        </w:tabs>
        <w:spacing w:before="120" w:after="120" w:line="240" w:lineRule="auto"/>
        <w:ind w:left="426" w:hanging="142"/>
        <w:jc w:val="both"/>
        <w:rPr>
          <w:rFonts w:ascii="Times New Roman" w:eastAsia="Times New Roman" w:hAnsi="Times New Roman" w:cs="Times New Roman"/>
          <w:bCs/>
        </w:rPr>
      </w:pPr>
      <w:r w:rsidRPr="008F449C">
        <w:rPr>
          <w:rFonts w:ascii="Times New Roman" w:eastAsia="Times New Roman" w:hAnsi="Times New Roman" w:cs="Times New Roman"/>
          <w:b/>
          <w:bCs/>
        </w:rPr>
        <w:t xml:space="preserve">Az oktatásért felelős oktatási szervezeti egység megnevezése: </w:t>
      </w:r>
      <w:r w:rsidRPr="008F449C">
        <w:rPr>
          <w:rFonts w:ascii="Times New Roman" w:eastAsia="Times New Roman" w:hAnsi="Times New Roman" w:cs="Times New Roman"/>
          <w:bCs/>
        </w:rPr>
        <w:t>NKE HHK, Hadtáp, Pénzügyi és Katonai Közlekedési Tanszék</w:t>
      </w:r>
    </w:p>
    <w:p w:rsidR="008F449C" w:rsidRPr="008F449C" w:rsidRDefault="008F449C" w:rsidP="00980876">
      <w:pPr>
        <w:widowControl w:val="0"/>
        <w:numPr>
          <w:ilvl w:val="0"/>
          <w:numId w:val="279"/>
        </w:numPr>
        <w:tabs>
          <w:tab w:val="num" w:pos="567"/>
        </w:tabs>
        <w:spacing w:before="120" w:after="120" w:line="240" w:lineRule="auto"/>
        <w:ind w:left="426" w:hanging="142"/>
        <w:jc w:val="both"/>
        <w:rPr>
          <w:rFonts w:ascii="Times New Roman" w:eastAsia="Times New Roman" w:hAnsi="Times New Roman" w:cs="Times New Roman"/>
          <w:bCs/>
        </w:rPr>
      </w:pPr>
      <w:r w:rsidRPr="008F449C">
        <w:rPr>
          <w:rFonts w:ascii="Times New Roman" w:eastAsia="Times New Roman" w:hAnsi="Times New Roman" w:cs="Times New Roman"/>
          <w:b/>
          <w:bCs/>
        </w:rPr>
        <w:t>A tantárgyfelelős oktató neve, beosztása, tudományos fokozata:</w:t>
      </w:r>
      <w:r w:rsidRPr="008F449C">
        <w:rPr>
          <w:rFonts w:ascii="Times New Roman" w:eastAsia="Times New Roman" w:hAnsi="Times New Roman" w:cs="Times New Roman"/>
          <w:bCs/>
        </w:rPr>
        <w:t xml:space="preserve"> Dr. Fábos Róbert, PhD, adjunktus</w:t>
      </w:r>
    </w:p>
    <w:p w:rsidR="008F449C" w:rsidRPr="008F449C" w:rsidRDefault="008F449C" w:rsidP="00980876">
      <w:pPr>
        <w:widowControl w:val="0"/>
        <w:numPr>
          <w:ilvl w:val="0"/>
          <w:numId w:val="279"/>
        </w:numPr>
        <w:spacing w:before="120" w:after="120" w:line="240" w:lineRule="auto"/>
        <w:ind w:left="426" w:hanging="142"/>
        <w:jc w:val="both"/>
        <w:rPr>
          <w:rFonts w:ascii="Times New Roman" w:eastAsia="Times New Roman" w:hAnsi="Times New Roman" w:cs="Times New Roman"/>
          <w:bCs/>
        </w:rPr>
      </w:pPr>
      <w:r w:rsidRPr="008F449C">
        <w:rPr>
          <w:rFonts w:ascii="Times New Roman" w:eastAsia="Times New Roman" w:hAnsi="Times New Roman" w:cs="Times New Roman"/>
          <w:b/>
          <w:bCs/>
        </w:rPr>
        <w:t>A tanórák száma és típusa</w:t>
      </w:r>
    </w:p>
    <w:p w:rsidR="008F449C" w:rsidRPr="008F449C" w:rsidRDefault="008F449C" w:rsidP="00980876">
      <w:pPr>
        <w:widowControl w:val="0"/>
        <w:numPr>
          <w:ilvl w:val="1"/>
          <w:numId w:val="279"/>
        </w:numPr>
        <w:tabs>
          <w:tab w:val="num" w:pos="709"/>
          <w:tab w:val="num" w:pos="2069"/>
        </w:tabs>
        <w:spacing w:before="120" w:after="120" w:line="240" w:lineRule="auto"/>
        <w:ind w:left="851" w:hanging="425"/>
        <w:jc w:val="both"/>
        <w:rPr>
          <w:rFonts w:ascii="Times New Roman" w:eastAsia="Times New Roman" w:hAnsi="Times New Roman" w:cs="Times New Roman"/>
          <w:bCs/>
        </w:rPr>
      </w:pPr>
      <w:r w:rsidRPr="008F449C">
        <w:rPr>
          <w:rFonts w:ascii="Times New Roman" w:eastAsia="Times New Roman" w:hAnsi="Times New Roman" w:cs="Times New Roman"/>
          <w:bCs/>
        </w:rPr>
        <w:t>össz óraszám/félév: 56</w:t>
      </w:r>
    </w:p>
    <w:p w:rsidR="008F449C" w:rsidRPr="008F449C" w:rsidRDefault="008F449C" w:rsidP="00980876">
      <w:pPr>
        <w:widowControl w:val="0"/>
        <w:numPr>
          <w:ilvl w:val="2"/>
          <w:numId w:val="279"/>
        </w:numPr>
        <w:tabs>
          <w:tab w:val="num" w:pos="709"/>
          <w:tab w:val="num" w:pos="1134"/>
        </w:tabs>
        <w:spacing w:before="120" w:after="120" w:line="240" w:lineRule="auto"/>
        <w:ind w:left="993" w:hanging="425"/>
        <w:jc w:val="both"/>
        <w:rPr>
          <w:rFonts w:ascii="Times New Roman" w:eastAsia="Times New Roman" w:hAnsi="Times New Roman" w:cs="Times New Roman"/>
          <w:bCs/>
        </w:rPr>
      </w:pPr>
      <w:r w:rsidRPr="008F449C">
        <w:rPr>
          <w:rFonts w:ascii="Times New Roman" w:eastAsia="Times New Roman" w:hAnsi="Times New Roman" w:cs="Times New Roman"/>
          <w:bCs/>
        </w:rPr>
        <w:t>nappali munkarend: 56 (42 EA + 0 SZ + 14 GY)</w:t>
      </w:r>
    </w:p>
    <w:p w:rsidR="008F449C" w:rsidRPr="008F449C" w:rsidRDefault="008F449C" w:rsidP="00980876">
      <w:pPr>
        <w:widowControl w:val="0"/>
        <w:numPr>
          <w:ilvl w:val="2"/>
          <w:numId w:val="279"/>
        </w:numPr>
        <w:tabs>
          <w:tab w:val="num" w:pos="709"/>
          <w:tab w:val="num" w:pos="1134"/>
        </w:tabs>
        <w:spacing w:before="120" w:after="120" w:line="240" w:lineRule="auto"/>
        <w:ind w:left="993" w:hanging="425"/>
        <w:jc w:val="both"/>
        <w:rPr>
          <w:rFonts w:ascii="Times New Roman" w:eastAsia="Times New Roman" w:hAnsi="Times New Roman" w:cs="Times New Roman"/>
          <w:bCs/>
        </w:rPr>
      </w:pPr>
      <w:r w:rsidRPr="008F449C">
        <w:rPr>
          <w:rFonts w:ascii="Times New Roman" w:eastAsia="Times New Roman" w:hAnsi="Times New Roman" w:cs="Times New Roman"/>
          <w:bCs/>
        </w:rPr>
        <w:t>levelező munkarend: 0 (0 EA + 0 SZ + 0 GY)</w:t>
      </w:r>
    </w:p>
    <w:p w:rsidR="008F449C" w:rsidRPr="008F449C" w:rsidRDefault="008F449C" w:rsidP="00980876">
      <w:pPr>
        <w:widowControl w:val="0"/>
        <w:numPr>
          <w:ilvl w:val="1"/>
          <w:numId w:val="279"/>
        </w:numPr>
        <w:tabs>
          <w:tab w:val="num" w:pos="709"/>
          <w:tab w:val="num" w:pos="2069"/>
        </w:tabs>
        <w:spacing w:before="120" w:after="120" w:line="240" w:lineRule="auto"/>
        <w:ind w:left="851" w:hanging="425"/>
        <w:jc w:val="both"/>
        <w:rPr>
          <w:rFonts w:ascii="Times New Roman" w:eastAsia="Times New Roman" w:hAnsi="Times New Roman" w:cs="Times New Roman"/>
          <w:bCs/>
        </w:rPr>
      </w:pPr>
      <w:r w:rsidRPr="008F449C">
        <w:rPr>
          <w:rFonts w:ascii="Times New Roman" w:eastAsia="Times New Roman" w:hAnsi="Times New Roman" w:cs="Times New Roman"/>
          <w:bCs/>
        </w:rPr>
        <w:t>heti óraszám - nappali munkarend: 4</w:t>
      </w:r>
    </w:p>
    <w:p w:rsidR="008F449C" w:rsidRPr="008F449C" w:rsidRDefault="008F449C" w:rsidP="00980876">
      <w:pPr>
        <w:widowControl w:val="0"/>
        <w:numPr>
          <w:ilvl w:val="1"/>
          <w:numId w:val="279"/>
        </w:numPr>
        <w:tabs>
          <w:tab w:val="num" w:pos="709"/>
          <w:tab w:val="num" w:pos="2069"/>
        </w:tabs>
        <w:spacing w:before="120" w:after="120" w:line="240" w:lineRule="auto"/>
        <w:ind w:left="851" w:hanging="425"/>
        <w:jc w:val="both"/>
        <w:rPr>
          <w:rFonts w:ascii="Times New Roman" w:eastAsia="Times New Roman" w:hAnsi="Times New Roman" w:cs="Times New Roman"/>
          <w:bCs/>
        </w:rPr>
      </w:pPr>
      <w:r w:rsidRPr="008F449C">
        <w:rPr>
          <w:rFonts w:ascii="Times New Roman" w:hAnsi="Times New Roman" w:cs="Times New Roman"/>
        </w:rPr>
        <w:t>Az ismeret átadásában alkalmazandó további sajátos módok, jellemzők: -</w:t>
      </w:r>
    </w:p>
    <w:p w:rsidR="008F449C" w:rsidRPr="008F449C" w:rsidRDefault="008F449C" w:rsidP="00980876">
      <w:pPr>
        <w:widowControl w:val="0"/>
        <w:numPr>
          <w:ilvl w:val="0"/>
          <w:numId w:val="279"/>
        </w:numPr>
        <w:spacing w:before="120" w:after="120" w:line="240" w:lineRule="auto"/>
        <w:ind w:left="426" w:hanging="142"/>
        <w:jc w:val="both"/>
        <w:rPr>
          <w:rFonts w:ascii="Times New Roman" w:eastAsia="Times New Roman" w:hAnsi="Times New Roman" w:cs="Times New Roman"/>
          <w:bCs/>
        </w:rPr>
      </w:pPr>
      <w:r w:rsidRPr="008F449C">
        <w:rPr>
          <w:rFonts w:ascii="Times New Roman" w:eastAsia="Times New Roman" w:hAnsi="Times New Roman" w:cs="Times New Roman"/>
          <w:b/>
          <w:bCs/>
        </w:rPr>
        <w:t>A tantárgy szakmai tartalma (magyarul):</w:t>
      </w:r>
      <w:r w:rsidRPr="008F449C">
        <w:rPr>
          <w:rFonts w:ascii="Times New Roman" w:eastAsia="Times New Roman" w:hAnsi="Times New Roman" w:cs="Times New Roman"/>
          <w:bCs/>
        </w:rPr>
        <w:t xml:space="preserve"> A katonai közlekedés helye, szerepe a logisztikai támogatás rendszerében. Katonai közúti szállítások helye, szerepe a katonai közlekedési rendszerben. Katonai közúti szállítások tervezése, szervezése és végrehajtása honi területen, valamint a szövetséges kötelezettségekből adódó feladatok során. A nemzetközi közúti szállítások végrehajtásának specifikumai. A gépkocsi-szállítások különleges esetei. A katonai gépkocsiszállító oszlopok mozgásának szabályai. A diszpécser szolgálat tevékenysége a szállítások tervezése, szervezése, végrehajtása során. A közlekedési szaktisztek feladatai a tervezés, szervezés és végrehajtás során.</w:t>
      </w:r>
    </w:p>
    <w:p w:rsidR="008F449C" w:rsidRPr="008F449C" w:rsidRDefault="008F449C" w:rsidP="008F449C">
      <w:pPr>
        <w:widowControl w:val="0"/>
        <w:spacing w:before="120" w:after="120" w:line="240" w:lineRule="auto"/>
        <w:ind w:left="426"/>
        <w:jc w:val="both"/>
        <w:rPr>
          <w:rFonts w:ascii="Times New Roman" w:eastAsia="Times New Roman" w:hAnsi="Times New Roman" w:cs="Times New Roman"/>
          <w:bCs/>
          <w:lang w:val="en-GB"/>
        </w:rPr>
      </w:pPr>
      <w:r w:rsidRPr="008F449C">
        <w:rPr>
          <w:rFonts w:ascii="Times New Roman" w:eastAsia="Times New Roman" w:hAnsi="Times New Roman" w:cs="Times New Roman"/>
          <w:b/>
          <w:bCs/>
        </w:rPr>
        <w:t>A tantárgy szakmai tartalma (angolul) (</w:t>
      </w:r>
      <w:r w:rsidRPr="008F449C">
        <w:rPr>
          <w:rFonts w:ascii="Times New Roman" w:eastAsia="Times New Roman" w:hAnsi="Times New Roman" w:cs="Times New Roman"/>
          <w:b/>
          <w:bCs/>
          <w:lang w:val="en-US"/>
        </w:rPr>
        <w:t>Course description</w:t>
      </w:r>
      <w:r w:rsidRPr="008F449C">
        <w:rPr>
          <w:rFonts w:ascii="Times New Roman" w:eastAsia="Times New Roman" w:hAnsi="Times New Roman" w:cs="Times New Roman"/>
          <w:b/>
          <w:bCs/>
        </w:rPr>
        <w:t xml:space="preserve">): </w:t>
      </w:r>
      <w:r w:rsidRPr="008F449C">
        <w:rPr>
          <w:rFonts w:ascii="Times New Roman" w:eastAsia="Times New Roman" w:hAnsi="Times New Roman" w:cs="Times New Roman"/>
          <w:bCs/>
        </w:rPr>
        <w:t>The place of military transportation and its role in the logistic support system. The place and role of military road transportation in the military transportation system. Design, organization and implementation of military road transport in inland as well as tasks arising from allied obligations. Specifications of the implementation of international road transportation. Special cases of car transport. Rules of the movement of military transport columns. The activity of dispatcher service in the design, organization and implementation of transportation. Tasks of traffic officers during planning, organizing and implementing.</w:t>
      </w:r>
    </w:p>
    <w:p w:rsidR="008F449C" w:rsidRPr="008F449C" w:rsidRDefault="008F449C" w:rsidP="00980876">
      <w:pPr>
        <w:widowControl w:val="0"/>
        <w:numPr>
          <w:ilvl w:val="0"/>
          <w:numId w:val="279"/>
        </w:numPr>
        <w:spacing w:before="120" w:after="120" w:line="240" w:lineRule="auto"/>
        <w:contextualSpacing/>
        <w:jc w:val="both"/>
        <w:rPr>
          <w:rFonts w:ascii="Times New Roman" w:eastAsia="Times New Roman" w:hAnsi="Times New Roman" w:cs="Times New Roman"/>
          <w:bCs/>
        </w:rPr>
      </w:pPr>
      <w:r w:rsidRPr="008F449C">
        <w:rPr>
          <w:rFonts w:ascii="Times New Roman" w:eastAsia="Times New Roman" w:hAnsi="Times New Roman" w:cs="Times New Roman"/>
          <w:b/>
          <w:bCs/>
        </w:rPr>
        <w:t xml:space="preserve">Elérendő kompetenciák (magyarul): </w:t>
      </w:r>
    </w:p>
    <w:p w:rsidR="008F449C" w:rsidRPr="008F449C" w:rsidRDefault="008F449C" w:rsidP="008F449C">
      <w:pPr>
        <w:autoSpaceDE w:val="0"/>
        <w:autoSpaceDN w:val="0"/>
        <w:adjustRightInd w:val="0"/>
        <w:spacing w:before="120" w:after="0" w:line="240" w:lineRule="auto"/>
        <w:ind w:left="425"/>
        <w:jc w:val="both"/>
        <w:rPr>
          <w:rFonts w:ascii="Times New Roman" w:eastAsia="Times New Roman" w:hAnsi="Times New Roman" w:cs="Times New Roman"/>
          <w:b/>
          <w:bCs/>
        </w:rPr>
      </w:pPr>
      <w:r w:rsidRPr="008F449C">
        <w:rPr>
          <w:rFonts w:ascii="Times New Roman" w:eastAsia="Times New Roman" w:hAnsi="Times New Roman" w:cs="Times New Roman"/>
          <w:b/>
          <w:bCs/>
        </w:rPr>
        <w:t xml:space="preserve">Tudása: </w:t>
      </w:r>
    </w:p>
    <w:p w:rsidR="008F449C" w:rsidRPr="008F449C" w:rsidRDefault="008F449C" w:rsidP="00666335">
      <w:pPr>
        <w:numPr>
          <w:ilvl w:val="0"/>
          <w:numId w:val="37"/>
        </w:numPr>
        <w:autoSpaceDE w:val="0"/>
        <w:autoSpaceDN w:val="0"/>
        <w:adjustRightInd w:val="0"/>
        <w:spacing w:after="0" w:line="240" w:lineRule="auto"/>
        <w:contextualSpacing/>
        <w:jc w:val="both"/>
        <w:rPr>
          <w:rFonts w:ascii="Times New Roman" w:hAnsi="Times New Roman" w:cs="Times New Roman"/>
        </w:rPr>
      </w:pPr>
      <w:r w:rsidRPr="008F449C">
        <w:rPr>
          <w:rFonts w:ascii="Times New Roman" w:hAnsi="Times New Roman" w:cs="Times New Roman"/>
        </w:rPr>
        <w:t>Ismeri a katonai közlekedési szakterülethez szervesen kapcsolódó logisztikai, menedzsment, környezetvédelmi, minőségbiztosítási, információtechnológiai, jogi, közgazdasági szakterületek alapjait és követelményeit.</w:t>
      </w:r>
    </w:p>
    <w:p w:rsidR="008F449C" w:rsidRPr="008F449C" w:rsidRDefault="008F449C" w:rsidP="00666335">
      <w:pPr>
        <w:numPr>
          <w:ilvl w:val="0"/>
          <w:numId w:val="37"/>
        </w:numPr>
        <w:autoSpaceDE w:val="0"/>
        <w:autoSpaceDN w:val="0"/>
        <w:adjustRightInd w:val="0"/>
        <w:spacing w:after="0" w:line="240" w:lineRule="auto"/>
        <w:contextualSpacing/>
        <w:jc w:val="both"/>
        <w:rPr>
          <w:rFonts w:ascii="Times New Roman" w:hAnsi="Times New Roman" w:cs="Times New Roman"/>
        </w:rPr>
      </w:pPr>
      <w:r w:rsidRPr="008F449C">
        <w:rPr>
          <w:rFonts w:ascii="Times New Roman" w:hAnsi="Times New Roman" w:cs="Times New Roman"/>
        </w:rPr>
        <w:t>Ismeri a katonai közlekedési szakterület szaktechnikai eszközeit, a közlekedési pályákat és létesítményeiket, azok igénybevételének és üzemeltetésének szabályait.</w:t>
      </w:r>
    </w:p>
    <w:p w:rsidR="008F449C" w:rsidRPr="008F449C" w:rsidRDefault="008F449C" w:rsidP="00666335">
      <w:pPr>
        <w:numPr>
          <w:ilvl w:val="0"/>
          <w:numId w:val="37"/>
        </w:numPr>
        <w:autoSpaceDE w:val="0"/>
        <w:autoSpaceDN w:val="0"/>
        <w:adjustRightInd w:val="0"/>
        <w:spacing w:after="0" w:line="240" w:lineRule="auto"/>
        <w:contextualSpacing/>
        <w:jc w:val="both"/>
        <w:rPr>
          <w:rFonts w:ascii="Times New Roman" w:hAnsi="Times New Roman" w:cs="Times New Roman"/>
        </w:rPr>
      </w:pPr>
      <w:r w:rsidRPr="008F449C">
        <w:rPr>
          <w:rFonts w:ascii="Times New Roman" w:hAnsi="Times New Roman" w:cs="Times New Roman"/>
        </w:rPr>
        <w:lastRenderedPageBreak/>
        <w:t>Ismeri a katonai közlekedési szakanyagok készletezésének, tárolásának, nyilvántartásának és leltározásának, valamint ezen folyamatok ellenőrzésének feladatait és kötelezettségeit.</w:t>
      </w:r>
    </w:p>
    <w:p w:rsidR="008F449C" w:rsidRPr="008F449C" w:rsidRDefault="008F449C" w:rsidP="00666335">
      <w:pPr>
        <w:numPr>
          <w:ilvl w:val="0"/>
          <w:numId w:val="37"/>
        </w:numPr>
        <w:autoSpaceDE w:val="0"/>
        <w:autoSpaceDN w:val="0"/>
        <w:adjustRightInd w:val="0"/>
        <w:spacing w:after="0" w:line="240" w:lineRule="auto"/>
        <w:contextualSpacing/>
        <w:jc w:val="both"/>
        <w:rPr>
          <w:rFonts w:ascii="Times New Roman" w:hAnsi="Times New Roman" w:cs="Times New Roman"/>
        </w:rPr>
      </w:pPr>
      <w:r w:rsidRPr="008F449C">
        <w:rPr>
          <w:rFonts w:ascii="Times New Roman" w:hAnsi="Times New Roman" w:cs="Times New Roman"/>
        </w:rPr>
        <w:t>Mélyrehatóan ismeri a katonai közlekedési szakterület szakmai feladatait, a közlekedési szakfeladatok rendszerét, az egyes feladatok végrehajtásának sajátosságait.</w:t>
      </w:r>
    </w:p>
    <w:p w:rsidR="008F449C" w:rsidRPr="008F449C" w:rsidRDefault="008F449C" w:rsidP="00666335">
      <w:pPr>
        <w:numPr>
          <w:ilvl w:val="0"/>
          <w:numId w:val="37"/>
        </w:numPr>
        <w:autoSpaceDE w:val="0"/>
        <w:autoSpaceDN w:val="0"/>
        <w:adjustRightInd w:val="0"/>
        <w:spacing w:after="0" w:line="240" w:lineRule="auto"/>
        <w:contextualSpacing/>
        <w:jc w:val="both"/>
        <w:rPr>
          <w:rFonts w:ascii="Times New Roman" w:hAnsi="Times New Roman" w:cs="Times New Roman"/>
        </w:rPr>
      </w:pPr>
      <w:r w:rsidRPr="008F449C">
        <w:rPr>
          <w:rFonts w:ascii="Times New Roman" w:hAnsi="Times New Roman" w:cs="Times New Roman"/>
        </w:rPr>
        <w:t>Ismeri a katonai közlekedési igények felmérésének módszereit és megvalósítási lehetőségeit, gyakorlatát.</w:t>
      </w:r>
    </w:p>
    <w:p w:rsidR="008F449C" w:rsidRPr="008F449C" w:rsidRDefault="008F449C" w:rsidP="008F449C">
      <w:pPr>
        <w:autoSpaceDE w:val="0"/>
        <w:autoSpaceDN w:val="0"/>
        <w:adjustRightInd w:val="0"/>
        <w:spacing w:before="120" w:after="0" w:line="240" w:lineRule="auto"/>
        <w:ind w:left="425"/>
        <w:jc w:val="both"/>
        <w:rPr>
          <w:rFonts w:ascii="Times New Roman" w:eastAsia="Times New Roman" w:hAnsi="Times New Roman" w:cs="Times New Roman"/>
          <w:bCs/>
        </w:rPr>
      </w:pPr>
      <w:r w:rsidRPr="008F449C">
        <w:rPr>
          <w:rFonts w:ascii="Times New Roman" w:eastAsia="Times New Roman" w:hAnsi="Times New Roman" w:cs="Times New Roman"/>
          <w:b/>
          <w:bCs/>
        </w:rPr>
        <w:t>Képességei:</w:t>
      </w:r>
      <w:r w:rsidRPr="008F449C">
        <w:rPr>
          <w:rFonts w:ascii="Times New Roman" w:eastAsia="Times New Roman" w:hAnsi="Times New Roman" w:cs="Times New Roman"/>
          <w:bCs/>
        </w:rPr>
        <w:t xml:space="preserve"> </w:t>
      </w:r>
    </w:p>
    <w:p w:rsidR="008F449C" w:rsidRPr="008F449C" w:rsidRDefault="008F449C" w:rsidP="00666335">
      <w:pPr>
        <w:numPr>
          <w:ilvl w:val="0"/>
          <w:numId w:val="37"/>
        </w:numPr>
        <w:autoSpaceDE w:val="0"/>
        <w:autoSpaceDN w:val="0"/>
        <w:adjustRightInd w:val="0"/>
        <w:spacing w:after="0" w:line="240" w:lineRule="auto"/>
        <w:contextualSpacing/>
        <w:jc w:val="both"/>
        <w:rPr>
          <w:rFonts w:ascii="Times New Roman" w:hAnsi="Times New Roman" w:cs="Times New Roman"/>
        </w:rPr>
      </w:pPr>
      <w:r w:rsidRPr="008F449C">
        <w:rPr>
          <w:rFonts w:ascii="Times New Roman" w:hAnsi="Times New Roman" w:cs="Times New Roman"/>
        </w:rPr>
        <w:t>Az általános és specifikus katonai ismeretei és készségei birtokában képes a katonai közlekedési, mozgatási, szállítási feladatok tervezésére, szervezésére és vezetésére.</w:t>
      </w:r>
    </w:p>
    <w:p w:rsidR="008F449C" w:rsidRPr="008F449C" w:rsidRDefault="008F449C" w:rsidP="00666335">
      <w:pPr>
        <w:numPr>
          <w:ilvl w:val="0"/>
          <w:numId w:val="37"/>
        </w:numPr>
        <w:autoSpaceDE w:val="0"/>
        <w:autoSpaceDN w:val="0"/>
        <w:adjustRightInd w:val="0"/>
        <w:spacing w:after="0" w:line="240" w:lineRule="auto"/>
        <w:contextualSpacing/>
        <w:jc w:val="both"/>
        <w:rPr>
          <w:rFonts w:ascii="Times New Roman" w:hAnsi="Times New Roman" w:cs="Times New Roman"/>
        </w:rPr>
      </w:pPr>
      <w:r w:rsidRPr="008F449C">
        <w:rPr>
          <w:rFonts w:ascii="Times New Roman" w:hAnsi="Times New Roman" w:cs="Times New Roman"/>
        </w:rPr>
        <w:t>Képes békeidőszakban, válságkezelő, katasztrófa-elhárítási, béketámogató és háborús műveletekben, nemzeti és többnemzeti környezetben a szállító szakalegységek alaprendeltetéséből fakadó feladatai végrehajtásának vezetésére.</w:t>
      </w:r>
    </w:p>
    <w:p w:rsidR="008F449C" w:rsidRPr="008F449C" w:rsidRDefault="008F449C" w:rsidP="00666335">
      <w:pPr>
        <w:numPr>
          <w:ilvl w:val="0"/>
          <w:numId w:val="37"/>
        </w:numPr>
        <w:autoSpaceDE w:val="0"/>
        <w:autoSpaceDN w:val="0"/>
        <w:adjustRightInd w:val="0"/>
        <w:spacing w:after="0" w:line="240" w:lineRule="auto"/>
        <w:contextualSpacing/>
        <w:jc w:val="both"/>
        <w:rPr>
          <w:rFonts w:ascii="Times New Roman" w:hAnsi="Times New Roman" w:cs="Times New Roman"/>
        </w:rPr>
      </w:pPr>
      <w:r w:rsidRPr="008F449C">
        <w:rPr>
          <w:rFonts w:ascii="Times New Roman" w:hAnsi="Times New Roman" w:cs="Times New Roman"/>
        </w:rPr>
        <w:t>Képes a közlekedési hálózatok katonai célú alkalmazásának tervezésére, szervezésére és végrehajtására.</w:t>
      </w:r>
    </w:p>
    <w:p w:rsidR="008F449C" w:rsidRPr="008F449C" w:rsidRDefault="008F449C" w:rsidP="00666335">
      <w:pPr>
        <w:numPr>
          <w:ilvl w:val="0"/>
          <w:numId w:val="37"/>
        </w:numPr>
        <w:autoSpaceDE w:val="0"/>
        <w:autoSpaceDN w:val="0"/>
        <w:adjustRightInd w:val="0"/>
        <w:spacing w:after="0" w:line="240" w:lineRule="auto"/>
        <w:contextualSpacing/>
        <w:jc w:val="both"/>
        <w:rPr>
          <w:rFonts w:ascii="Times New Roman" w:hAnsi="Times New Roman" w:cs="Times New Roman"/>
        </w:rPr>
      </w:pPr>
      <w:r w:rsidRPr="008F449C">
        <w:rPr>
          <w:rFonts w:ascii="Times New Roman" w:hAnsi="Times New Roman" w:cs="Times New Roman"/>
        </w:rPr>
        <w:t>Képes a közlekedési folyamatokat támogató közlekedésinformatikai rendszerek alkalmazására, az azokkal kapcsolatos felhasználói alapkövetelmények megfogalmazására.</w:t>
      </w:r>
    </w:p>
    <w:p w:rsidR="008F449C" w:rsidRPr="008F449C" w:rsidRDefault="008F449C" w:rsidP="008F449C">
      <w:pPr>
        <w:autoSpaceDE w:val="0"/>
        <w:autoSpaceDN w:val="0"/>
        <w:adjustRightInd w:val="0"/>
        <w:spacing w:before="120" w:after="0" w:line="240" w:lineRule="auto"/>
        <w:ind w:left="425"/>
        <w:jc w:val="both"/>
        <w:rPr>
          <w:rFonts w:ascii="Times New Roman" w:eastAsia="Times New Roman" w:hAnsi="Times New Roman" w:cs="Times New Roman"/>
          <w:b/>
          <w:bCs/>
        </w:rPr>
      </w:pPr>
      <w:r w:rsidRPr="008F449C">
        <w:rPr>
          <w:rFonts w:ascii="Times New Roman" w:eastAsia="Times New Roman" w:hAnsi="Times New Roman" w:cs="Times New Roman"/>
          <w:b/>
          <w:bCs/>
        </w:rPr>
        <w:t xml:space="preserve">Attitűdje: </w:t>
      </w:r>
    </w:p>
    <w:p w:rsidR="008F449C" w:rsidRPr="008F449C" w:rsidRDefault="008F449C" w:rsidP="00666335">
      <w:pPr>
        <w:numPr>
          <w:ilvl w:val="0"/>
          <w:numId w:val="37"/>
        </w:numPr>
        <w:autoSpaceDE w:val="0"/>
        <w:autoSpaceDN w:val="0"/>
        <w:adjustRightInd w:val="0"/>
        <w:spacing w:after="0" w:line="240" w:lineRule="auto"/>
        <w:contextualSpacing/>
        <w:jc w:val="both"/>
        <w:rPr>
          <w:rFonts w:ascii="Times New Roman" w:hAnsi="Times New Roman" w:cs="Times New Roman"/>
        </w:rPr>
      </w:pPr>
      <w:r w:rsidRPr="008F449C">
        <w:rPr>
          <w:rFonts w:ascii="Times New Roman" w:hAnsi="Times New Roman" w:cs="Times New Roman"/>
        </w:rPr>
        <w:t>Nyitott a katonai közlekedési szakterületen zajló szakmai, technológiai fejlesztés és innováció megismerésére és elfogadására, hiteles közvetítésére és azok mindennapi munkájába való beillesztésére.</w:t>
      </w:r>
    </w:p>
    <w:p w:rsidR="008F449C" w:rsidRPr="008F449C" w:rsidRDefault="008F449C" w:rsidP="00666335">
      <w:pPr>
        <w:numPr>
          <w:ilvl w:val="0"/>
          <w:numId w:val="37"/>
        </w:numPr>
        <w:autoSpaceDE w:val="0"/>
        <w:autoSpaceDN w:val="0"/>
        <w:adjustRightInd w:val="0"/>
        <w:spacing w:after="0" w:line="240" w:lineRule="auto"/>
        <w:contextualSpacing/>
        <w:jc w:val="both"/>
        <w:rPr>
          <w:rFonts w:ascii="Times New Roman" w:hAnsi="Times New Roman" w:cs="Times New Roman"/>
        </w:rPr>
      </w:pPr>
      <w:r w:rsidRPr="008F449C">
        <w:rPr>
          <w:rFonts w:ascii="Times New Roman" w:hAnsi="Times New Roman" w:cs="Times New Roman"/>
        </w:rPr>
        <w:t>Törekszik arra, hogy önképzése a katonai közlekedési szakterületen folyamatos és szakmai céljaival megegyező legyen.</w:t>
      </w:r>
    </w:p>
    <w:p w:rsidR="008F449C" w:rsidRPr="008F449C" w:rsidRDefault="008F449C" w:rsidP="00666335">
      <w:pPr>
        <w:numPr>
          <w:ilvl w:val="0"/>
          <w:numId w:val="37"/>
        </w:numPr>
        <w:autoSpaceDE w:val="0"/>
        <w:autoSpaceDN w:val="0"/>
        <w:adjustRightInd w:val="0"/>
        <w:spacing w:after="0" w:line="240" w:lineRule="auto"/>
        <w:contextualSpacing/>
        <w:jc w:val="both"/>
        <w:rPr>
          <w:rFonts w:ascii="Times New Roman" w:hAnsi="Times New Roman" w:cs="Times New Roman"/>
        </w:rPr>
      </w:pPr>
      <w:r w:rsidRPr="008F449C">
        <w:rPr>
          <w:rFonts w:ascii="Times New Roman" w:hAnsi="Times New Roman" w:cs="Times New Roman"/>
        </w:rPr>
        <w:t>Elkötelezett a minőségi szakmai munkavégzés iránt, különös tekintettel a közlekedési, szállítási feladatok és folyamatok biztonságos végrehajtására.</w:t>
      </w:r>
    </w:p>
    <w:p w:rsidR="008F449C" w:rsidRPr="008F449C" w:rsidRDefault="008F449C" w:rsidP="00666335">
      <w:pPr>
        <w:numPr>
          <w:ilvl w:val="0"/>
          <w:numId w:val="37"/>
        </w:numPr>
        <w:autoSpaceDE w:val="0"/>
        <w:autoSpaceDN w:val="0"/>
        <w:adjustRightInd w:val="0"/>
        <w:spacing w:after="0" w:line="240" w:lineRule="auto"/>
        <w:contextualSpacing/>
        <w:jc w:val="both"/>
        <w:rPr>
          <w:rFonts w:ascii="Times New Roman" w:hAnsi="Times New Roman" w:cs="Times New Roman"/>
        </w:rPr>
      </w:pPr>
      <w:r w:rsidRPr="008F449C">
        <w:rPr>
          <w:rFonts w:ascii="Times New Roman" w:hAnsi="Times New Roman" w:cs="Times New Roman"/>
        </w:rPr>
        <w:t>Figyel beosztottjai szakmai fejlődésének előmozdítására, ilyen irányú törekvéseik kezelésére és segítésére.</w:t>
      </w:r>
    </w:p>
    <w:p w:rsidR="008F449C" w:rsidRPr="008F449C" w:rsidRDefault="008F449C" w:rsidP="00666335">
      <w:pPr>
        <w:numPr>
          <w:ilvl w:val="0"/>
          <w:numId w:val="37"/>
        </w:numPr>
        <w:autoSpaceDE w:val="0"/>
        <w:autoSpaceDN w:val="0"/>
        <w:adjustRightInd w:val="0"/>
        <w:spacing w:after="0" w:line="240" w:lineRule="auto"/>
        <w:contextualSpacing/>
        <w:jc w:val="both"/>
        <w:rPr>
          <w:rFonts w:ascii="Times New Roman" w:hAnsi="Times New Roman" w:cs="Times New Roman"/>
        </w:rPr>
      </w:pPr>
      <w:r w:rsidRPr="008F449C">
        <w:rPr>
          <w:rFonts w:ascii="Times New Roman" w:hAnsi="Times New Roman" w:cs="Times New Roman"/>
        </w:rPr>
        <w:t>Megosztja tapasztalatait munkatársaival, így segítve fejlődésüket.</w:t>
      </w:r>
    </w:p>
    <w:p w:rsidR="008F449C" w:rsidRPr="008F449C" w:rsidRDefault="008F449C" w:rsidP="008F449C">
      <w:pPr>
        <w:autoSpaceDE w:val="0"/>
        <w:autoSpaceDN w:val="0"/>
        <w:adjustRightInd w:val="0"/>
        <w:spacing w:before="120" w:after="0" w:line="240" w:lineRule="auto"/>
        <w:ind w:left="425"/>
        <w:jc w:val="both"/>
        <w:rPr>
          <w:rFonts w:ascii="Times New Roman" w:eastAsia="Times New Roman" w:hAnsi="Times New Roman" w:cs="Times New Roman"/>
          <w:b/>
          <w:bCs/>
        </w:rPr>
      </w:pPr>
      <w:r w:rsidRPr="008F449C">
        <w:rPr>
          <w:rFonts w:ascii="Times New Roman" w:eastAsia="Times New Roman" w:hAnsi="Times New Roman" w:cs="Times New Roman"/>
          <w:b/>
          <w:bCs/>
        </w:rPr>
        <w:t xml:space="preserve">Autonómiája és felelőssége: </w:t>
      </w:r>
    </w:p>
    <w:p w:rsidR="008F449C" w:rsidRPr="008F449C" w:rsidRDefault="008F449C" w:rsidP="00666335">
      <w:pPr>
        <w:numPr>
          <w:ilvl w:val="0"/>
          <w:numId w:val="37"/>
        </w:numPr>
        <w:autoSpaceDE w:val="0"/>
        <w:autoSpaceDN w:val="0"/>
        <w:adjustRightInd w:val="0"/>
        <w:spacing w:after="0" w:line="240" w:lineRule="auto"/>
        <w:contextualSpacing/>
        <w:jc w:val="both"/>
        <w:rPr>
          <w:rFonts w:ascii="Times New Roman" w:hAnsi="Times New Roman" w:cs="Times New Roman"/>
        </w:rPr>
      </w:pPr>
      <w:r w:rsidRPr="008F449C">
        <w:rPr>
          <w:rFonts w:ascii="Times New Roman" w:hAnsi="Times New Roman" w:cs="Times New Roman"/>
        </w:rPr>
        <w:t>A katonai közlekedés szakterületén megjelenő folyamatokban képes önállóan döntéseket hozni, azokat felelősséggel, a jogszabályi keretek figyelembevételével végrehajtani.</w:t>
      </w:r>
    </w:p>
    <w:p w:rsidR="008F449C" w:rsidRPr="008F449C" w:rsidRDefault="008F449C" w:rsidP="00666335">
      <w:pPr>
        <w:numPr>
          <w:ilvl w:val="0"/>
          <w:numId w:val="37"/>
        </w:numPr>
        <w:autoSpaceDE w:val="0"/>
        <w:autoSpaceDN w:val="0"/>
        <w:adjustRightInd w:val="0"/>
        <w:spacing w:after="0" w:line="240" w:lineRule="auto"/>
        <w:contextualSpacing/>
        <w:jc w:val="both"/>
        <w:rPr>
          <w:rFonts w:ascii="Times New Roman" w:hAnsi="Times New Roman" w:cs="Times New Roman"/>
        </w:rPr>
      </w:pPr>
      <w:r w:rsidRPr="008F449C">
        <w:rPr>
          <w:rFonts w:ascii="Times New Roman" w:hAnsi="Times New Roman" w:cs="Times New Roman"/>
        </w:rPr>
        <w:t>Tisztában van döntéseinek, tevékenységének a katonai logisztikai folyamatok egészére gyakorolt hatásaival, következményeivel.</w:t>
      </w:r>
    </w:p>
    <w:p w:rsidR="008F449C" w:rsidRPr="008F449C" w:rsidRDefault="008F449C" w:rsidP="00666335">
      <w:pPr>
        <w:numPr>
          <w:ilvl w:val="0"/>
          <w:numId w:val="37"/>
        </w:numPr>
        <w:autoSpaceDE w:val="0"/>
        <w:autoSpaceDN w:val="0"/>
        <w:adjustRightInd w:val="0"/>
        <w:spacing w:after="0" w:line="240" w:lineRule="auto"/>
        <w:contextualSpacing/>
        <w:jc w:val="both"/>
        <w:rPr>
          <w:rFonts w:ascii="Times New Roman" w:hAnsi="Times New Roman" w:cs="Times New Roman"/>
        </w:rPr>
      </w:pPr>
      <w:r w:rsidRPr="008F449C">
        <w:rPr>
          <w:rFonts w:ascii="Times New Roman" w:hAnsi="Times New Roman" w:cs="Times New Roman"/>
        </w:rPr>
        <w:t>Szakmai feladatainak elvégzése során felelősségteljesen együttműködik más szakterület képzett szakembereivel is.</w:t>
      </w:r>
    </w:p>
    <w:p w:rsidR="008F449C" w:rsidRPr="008F449C" w:rsidRDefault="008F449C" w:rsidP="00666335">
      <w:pPr>
        <w:numPr>
          <w:ilvl w:val="0"/>
          <w:numId w:val="37"/>
        </w:numPr>
        <w:autoSpaceDE w:val="0"/>
        <w:autoSpaceDN w:val="0"/>
        <w:adjustRightInd w:val="0"/>
        <w:spacing w:after="0" w:line="240" w:lineRule="auto"/>
        <w:contextualSpacing/>
        <w:jc w:val="both"/>
        <w:rPr>
          <w:rFonts w:ascii="Times New Roman" w:hAnsi="Times New Roman" w:cs="Times New Roman"/>
        </w:rPr>
      </w:pPr>
      <w:r w:rsidRPr="008F449C">
        <w:rPr>
          <w:rFonts w:ascii="Times New Roman" w:hAnsi="Times New Roman" w:cs="Times New Roman"/>
        </w:rPr>
        <w:t>Feltárja az alkalmazott technológiák hiányosságait, a folyamatok kockázatait és kezdeményezi az ezeket csökkentő intézkedések megtételét.</w:t>
      </w:r>
    </w:p>
    <w:p w:rsidR="008F449C" w:rsidRPr="008F449C" w:rsidRDefault="008F449C" w:rsidP="00666335">
      <w:pPr>
        <w:numPr>
          <w:ilvl w:val="0"/>
          <w:numId w:val="37"/>
        </w:numPr>
        <w:autoSpaceDE w:val="0"/>
        <w:autoSpaceDN w:val="0"/>
        <w:adjustRightInd w:val="0"/>
        <w:spacing w:after="0" w:line="240" w:lineRule="auto"/>
        <w:contextualSpacing/>
        <w:jc w:val="both"/>
        <w:rPr>
          <w:rFonts w:ascii="Times New Roman" w:hAnsi="Times New Roman" w:cs="Times New Roman"/>
        </w:rPr>
      </w:pPr>
      <w:r w:rsidRPr="008F449C">
        <w:rPr>
          <w:rFonts w:ascii="Times New Roman" w:hAnsi="Times New Roman" w:cs="Times New Roman"/>
        </w:rPr>
        <w:t>Parancsnokának útmutatása alapján irányítja a rábízott személyi állomány munkavégzését, felügyeli a közlekedési, szállítási folyamatok tervezését, szervezését, végrehajtását, a közlekedési szaktechnikai eszközök üzemeltetését.</w:t>
      </w:r>
    </w:p>
    <w:p w:rsidR="008F449C" w:rsidRPr="008F449C" w:rsidRDefault="008F449C" w:rsidP="00666335">
      <w:pPr>
        <w:numPr>
          <w:ilvl w:val="0"/>
          <w:numId w:val="37"/>
        </w:numPr>
        <w:autoSpaceDE w:val="0"/>
        <w:autoSpaceDN w:val="0"/>
        <w:adjustRightInd w:val="0"/>
        <w:spacing w:after="0" w:line="240" w:lineRule="auto"/>
        <w:contextualSpacing/>
        <w:jc w:val="both"/>
        <w:rPr>
          <w:rFonts w:ascii="Times New Roman" w:hAnsi="Times New Roman" w:cs="Times New Roman"/>
        </w:rPr>
      </w:pPr>
      <w:r w:rsidRPr="008F449C">
        <w:rPr>
          <w:rFonts w:ascii="Times New Roman" w:hAnsi="Times New Roman" w:cs="Times New Roman"/>
        </w:rPr>
        <w:t>Értékeli a beosztottak munkavégzésének hatékonyságát, eredményességét.</w:t>
      </w:r>
    </w:p>
    <w:p w:rsidR="008F449C" w:rsidRPr="008F449C" w:rsidRDefault="008F449C" w:rsidP="008F449C">
      <w:pPr>
        <w:widowControl w:val="0"/>
        <w:spacing w:before="120" w:after="120" w:line="240" w:lineRule="auto"/>
        <w:ind w:left="426"/>
        <w:jc w:val="both"/>
        <w:rPr>
          <w:rFonts w:ascii="Times New Roman" w:eastAsia="Times New Roman" w:hAnsi="Times New Roman" w:cs="Times New Roman"/>
          <w:b/>
          <w:bCs/>
          <w:lang w:val="en-US"/>
        </w:rPr>
      </w:pPr>
      <w:r w:rsidRPr="008F449C">
        <w:rPr>
          <w:rFonts w:ascii="Times New Roman" w:eastAsia="Times New Roman" w:hAnsi="Times New Roman" w:cs="Times New Roman"/>
          <w:b/>
          <w:bCs/>
        </w:rPr>
        <w:t>Elérendő kompetenciák (angolul) (</w:t>
      </w:r>
      <w:r w:rsidRPr="008F449C">
        <w:rPr>
          <w:rFonts w:ascii="Times New Roman" w:eastAsia="Times New Roman" w:hAnsi="Times New Roman" w:cs="Times New Roman"/>
          <w:b/>
          <w:bCs/>
          <w:lang w:val="en-US"/>
        </w:rPr>
        <w:t xml:space="preserve">Competences – English): </w:t>
      </w:r>
    </w:p>
    <w:p w:rsidR="008F449C" w:rsidRPr="008F449C" w:rsidRDefault="008F449C" w:rsidP="008F449C">
      <w:pPr>
        <w:widowControl w:val="0"/>
        <w:spacing w:before="120" w:after="120" w:line="240" w:lineRule="auto"/>
        <w:ind w:left="426"/>
        <w:jc w:val="both"/>
        <w:rPr>
          <w:rFonts w:ascii="Times New Roman" w:eastAsia="Times New Roman" w:hAnsi="Times New Roman" w:cs="Times New Roman"/>
          <w:lang w:val="en-GB"/>
        </w:rPr>
      </w:pPr>
      <w:r w:rsidRPr="008F449C">
        <w:rPr>
          <w:rFonts w:ascii="Times New Roman" w:eastAsia="Times New Roman" w:hAnsi="Times New Roman" w:cs="Times New Roman"/>
          <w:b/>
          <w:lang w:val="en-GB"/>
        </w:rPr>
        <w:t>Knowledge</w:t>
      </w:r>
      <w:r w:rsidRPr="008F449C">
        <w:rPr>
          <w:rFonts w:ascii="Times New Roman" w:eastAsia="Times New Roman" w:hAnsi="Times New Roman" w:cs="Times New Roman"/>
          <w:lang w:val="en-GB"/>
        </w:rPr>
        <w:t xml:space="preserve">: </w:t>
      </w:r>
    </w:p>
    <w:p w:rsidR="008F449C" w:rsidRPr="008F449C" w:rsidRDefault="008F449C" w:rsidP="00666335">
      <w:pPr>
        <w:numPr>
          <w:ilvl w:val="0"/>
          <w:numId w:val="37"/>
        </w:numPr>
        <w:autoSpaceDE w:val="0"/>
        <w:autoSpaceDN w:val="0"/>
        <w:adjustRightInd w:val="0"/>
        <w:spacing w:after="0" w:line="240" w:lineRule="auto"/>
        <w:contextualSpacing/>
        <w:jc w:val="both"/>
        <w:rPr>
          <w:rFonts w:ascii="Times New Roman" w:hAnsi="Times New Roman" w:cs="Times New Roman"/>
        </w:rPr>
      </w:pPr>
      <w:r w:rsidRPr="008F449C">
        <w:rPr>
          <w:rFonts w:ascii="Times New Roman" w:hAnsi="Times New Roman" w:cs="Times New Roman"/>
        </w:rPr>
        <w:t>Knows the basics and requirements of logistics, management, environmental protection, quality assurance, information technology, law and economics, connected to the field of military transportation.</w:t>
      </w:r>
    </w:p>
    <w:p w:rsidR="008F449C" w:rsidRPr="008F449C" w:rsidRDefault="008F449C" w:rsidP="00666335">
      <w:pPr>
        <w:numPr>
          <w:ilvl w:val="0"/>
          <w:numId w:val="37"/>
        </w:numPr>
        <w:autoSpaceDE w:val="0"/>
        <w:autoSpaceDN w:val="0"/>
        <w:adjustRightInd w:val="0"/>
        <w:spacing w:after="0" w:line="240" w:lineRule="auto"/>
        <w:contextualSpacing/>
        <w:jc w:val="both"/>
        <w:rPr>
          <w:rFonts w:ascii="Times New Roman" w:hAnsi="Times New Roman" w:cs="Times New Roman"/>
        </w:rPr>
      </w:pPr>
      <w:r w:rsidRPr="008F449C">
        <w:rPr>
          <w:rFonts w:ascii="Times New Roman" w:hAnsi="Times New Roman" w:cs="Times New Roman"/>
        </w:rPr>
        <w:t>Is familiar with the technical equipment used in military transportation, the transportation modes and facilities, and the rules of their use and operation.</w:t>
      </w:r>
    </w:p>
    <w:p w:rsidR="008F449C" w:rsidRPr="008F449C" w:rsidRDefault="008F449C" w:rsidP="00666335">
      <w:pPr>
        <w:numPr>
          <w:ilvl w:val="0"/>
          <w:numId w:val="37"/>
        </w:numPr>
        <w:autoSpaceDE w:val="0"/>
        <w:autoSpaceDN w:val="0"/>
        <w:adjustRightInd w:val="0"/>
        <w:spacing w:after="0" w:line="240" w:lineRule="auto"/>
        <w:contextualSpacing/>
        <w:jc w:val="both"/>
        <w:rPr>
          <w:rFonts w:ascii="Times New Roman" w:hAnsi="Times New Roman" w:cs="Times New Roman"/>
        </w:rPr>
      </w:pPr>
      <w:r w:rsidRPr="008F449C">
        <w:rPr>
          <w:rFonts w:ascii="Times New Roman" w:hAnsi="Times New Roman" w:cs="Times New Roman"/>
        </w:rPr>
        <w:t>Is familiar with the tasks and responsibilities of stockpiling, storing, registering and inventorying of military transportation assets and is able to control these processes.</w:t>
      </w:r>
    </w:p>
    <w:p w:rsidR="008F449C" w:rsidRPr="008F449C" w:rsidRDefault="008F449C" w:rsidP="00666335">
      <w:pPr>
        <w:numPr>
          <w:ilvl w:val="0"/>
          <w:numId w:val="37"/>
        </w:numPr>
        <w:autoSpaceDE w:val="0"/>
        <w:autoSpaceDN w:val="0"/>
        <w:adjustRightInd w:val="0"/>
        <w:spacing w:after="0" w:line="240" w:lineRule="auto"/>
        <w:contextualSpacing/>
        <w:jc w:val="both"/>
        <w:rPr>
          <w:rFonts w:ascii="Times New Roman" w:hAnsi="Times New Roman" w:cs="Times New Roman"/>
        </w:rPr>
      </w:pPr>
      <w:r w:rsidRPr="008F449C">
        <w:rPr>
          <w:rFonts w:ascii="Times New Roman" w:hAnsi="Times New Roman" w:cs="Times New Roman"/>
        </w:rPr>
        <w:t>Has a profound knowledge of the tasks and the system of military transportation and the unique characteristics of performing each task.</w:t>
      </w:r>
    </w:p>
    <w:p w:rsidR="008F449C" w:rsidRPr="008F449C" w:rsidRDefault="008F449C" w:rsidP="00666335">
      <w:pPr>
        <w:numPr>
          <w:ilvl w:val="0"/>
          <w:numId w:val="37"/>
        </w:numPr>
        <w:autoSpaceDE w:val="0"/>
        <w:autoSpaceDN w:val="0"/>
        <w:adjustRightInd w:val="0"/>
        <w:spacing w:after="0" w:line="240" w:lineRule="auto"/>
        <w:contextualSpacing/>
        <w:jc w:val="both"/>
        <w:rPr>
          <w:rFonts w:ascii="Times New Roman" w:hAnsi="Times New Roman" w:cs="Times New Roman"/>
        </w:rPr>
      </w:pPr>
      <w:r w:rsidRPr="008F449C">
        <w:rPr>
          <w:rFonts w:ascii="Times New Roman" w:hAnsi="Times New Roman" w:cs="Times New Roman"/>
        </w:rPr>
        <w:lastRenderedPageBreak/>
        <w:t>Is familiar with the methods of assessing the requirements of military transportation and its feasibility and practical implementation.</w:t>
      </w:r>
    </w:p>
    <w:p w:rsidR="008F449C" w:rsidRPr="008F449C" w:rsidRDefault="008F449C" w:rsidP="008F449C">
      <w:pPr>
        <w:widowControl w:val="0"/>
        <w:spacing w:before="120" w:after="120" w:line="240" w:lineRule="auto"/>
        <w:ind w:left="426"/>
        <w:jc w:val="both"/>
        <w:rPr>
          <w:rFonts w:ascii="Times New Roman" w:eastAsia="Times New Roman" w:hAnsi="Times New Roman" w:cs="Times New Roman"/>
          <w:b/>
          <w:lang w:val="en-GB"/>
        </w:rPr>
      </w:pPr>
      <w:r w:rsidRPr="008F449C">
        <w:rPr>
          <w:rFonts w:ascii="Times New Roman" w:eastAsia="Times New Roman" w:hAnsi="Times New Roman" w:cs="Times New Roman"/>
          <w:b/>
          <w:lang w:val="en-GB"/>
        </w:rPr>
        <w:t>Capabilities:</w:t>
      </w:r>
    </w:p>
    <w:p w:rsidR="008F449C" w:rsidRPr="008F449C" w:rsidRDefault="008F449C" w:rsidP="00666335">
      <w:pPr>
        <w:numPr>
          <w:ilvl w:val="0"/>
          <w:numId w:val="37"/>
        </w:numPr>
        <w:autoSpaceDE w:val="0"/>
        <w:autoSpaceDN w:val="0"/>
        <w:adjustRightInd w:val="0"/>
        <w:spacing w:after="0" w:line="240" w:lineRule="auto"/>
        <w:contextualSpacing/>
        <w:jc w:val="both"/>
        <w:rPr>
          <w:rFonts w:ascii="Times New Roman" w:hAnsi="Times New Roman" w:cs="Times New Roman"/>
        </w:rPr>
      </w:pPr>
      <w:r w:rsidRPr="008F449C">
        <w:rPr>
          <w:rFonts w:ascii="Times New Roman" w:hAnsi="Times New Roman" w:cs="Times New Roman"/>
        </w:rPr>
        <w:t>Using his/her general and specialized military knowledge and skills, he/she is capable of planning, organizing, and conducting military transport, movement, and transportation tasks.</w:t>
      </w:r>
    </w:p>
    <w:p w:rsidR="008F449C" w:rsidRPr="008F449C" w:rsidRDefault="008F449C" w:rsidP="00666335">
      <w:pPr>
        <w:numPr>
          <w:ilvl w:val="0"/>
          <w:numId w:val="37"/>
        </w:numPr>
        <w:autoSpaceDE w:val="0"/>
        <w:autoSpaceDN w:val="0"/>
        <w:adjustRightInd w:val="0"/>
        <w:spacing w:after="0" w:line="240" w:lineRule="auto"/>
        <w:contextualSpacing/>
        <w:jc w:val="both"/>
        <w:rPr>
          <w:rFonts w:ascii="Times New Roman" w:hAnsi="Times New Roman" w:cs="Times New Roman"/>
        </w:rPr>
      </w:pPr>
      <w:r w:rsidRPr="008F449C">
        <w:rPr>
          <w:rFonts w:ascii="Times New Roman" w:hAnsi="Times New Roman" w:cs="Times New Roman"/>
        </w:rPr>
        <w:t>Is capable of leading the execution of the tasks of a military transportation subunit in peace time and in crisis response, disaster relief, peace support and combat operations both in a national and a multinational environment.</w:t>
      </w:r>
    </w:p>
    <w:p w:rsidR="008F449C" w:rsidRPr="008F449C" w:rsidRDefault="008F449C" w:rsidP="00666335">
      <w:pPr>
        <w:numPr>
          <w:ilvl w:val="0"/>
          <w:numId w:val="37"/>
        </w:numPr>
        <w:autoSpaceDE w:val="0"/>
        <w:autoSpaceDN w:val="0"/>
        <w:adjustRightInd w:val="0"/>
        <w:spacing w:after="0" w:line="240" w:lineRule="auto"/>
        <w:contextualSpacing/>
        <w:jc w:val="both"/>
        <w:rPr>
          <w:rFonts w:ascii="Times New Roman" w:hAnsi="Times New Roman" w:cs="Times New Roman"/>
        </w:rPr>
      </w:pPr>
      <w:r w:rsidRPr="008F449C">
        <w:rPr>
          <w:rFonts w:ascii="Times New Roman" w:hAnsi="Times New Roman" w:cs="Times New Roman"/>
        </w:rPr>
        <w:t>Is capable of planning, organizing and executing the tasks related to the application of traffic networks for military purposes.</w:t>
      </w:r>
    </w:p>
    <w:p w:rsidR="008F449C" w:rsidRPr="008F449C" w:rsidRDefault="008F449C" w:rsidP="00666335">
      <w:pPr>
        <w:numPr>
          <w:ilvl w:val="0"/>
          <w:numId w:val="37"/>
        </w:numPr>
        <w:autoSpaceDE w:val="0"/>
        <w:autoSpaceDN w:val="0"/>
        <w:adjustRightInd w:val="0"/>
        <w:spacing w:after="0" w:line="240" w:lineRule="auto"/>
        <w:contextualSpacing/>
        <w:jc w:val="both"/>
        <w:rPr>
          <w:rFonts w:ascii="Times New Roman" w:hAnsi="Times New Roman" w:cs="Times New Roman"/>
        </w:rPr>
      </w:pPr>
      <w:r w:rsidRPr="008F449C">
        <w:rPr>
          <w:rFonts w:ascii="Times New Roman" w:hAnsi="Times New Roman" w:cs="Times New Roman"/>
        </w:rPr>
        <w:t>Is capable of applying traffic information systems to support transportation processes and formulating the basic user requirements related to them.</w:t>
      </w:r>
    </w:p>
    <w:p w:rsidR="008F449C" w:rsidRPr="008F449C" w:rsidRDefault="008F449C" w:rsidP="008F449C">
      <w:pPr>
        <w:widowControl w:val="0"/>
        <w:spacing w:before="120" w:after="120" w:line="240" w:lineRule="auto"/>
        <w:ind w:left="426"/>
        <w:jc w:val="both"/>
        <w:rPr>
          <w:rFonts w:ascii="Times New Roman" w:eastAsia="Times New Roman" w:hAnsi="Times New Roman" w:cs="Times New Roman"/>
          <w:b/>
          <w:lang w:val="en-GB"/>
        </w:rPr>
      </w:pPr>
      <w:r w:rsidRPr="008F449C">
        <w:rPr>
          <w:rFonts w:ascii="Times New Roman" w:eastAsia="Times New Roman" w:hAnsi="Times New Roman" w:cs="Times New Roman"/>
          <w:b/>
          <w:lang w:val="en-GB"/>
        </w:rPr>
        <w:t>Attitude:</w:t>
      </w:r>
    </w:p>
    <w:p w:rsidR="008F449C" w:rsidRPr="008F449C" w:rsidRDefault="008F449C" w:rsidP="00666335">
      <w:pPr>
        <w:numPr>
          <w:ilvl w:val="0"/>
          <w:numId w:val="37"/>
        </w:numPr>
        <w:autoSpaceDE w:val="0"/>
        <w:autoSpaceDN w:val="0"/>
        <w:adjustRightInd w:val="0"/>
        <w:spacing w:after="0" w:line="240" w:lineRule="auto"/>
        <w:contextualSpacing/>
        <w:jc w:val="both"/>
        <w:rPr>
          <w:rFonts w:ascii="Times New Roman" w:hAnsi="Times New Roman" w:cs="Times New Roman"/>
        </w:rPr>
      </w:pPr>
      <w:r w:rsidRPr="008F449C">
        <w:rPr>
          <w:rFonts w:ascii="Times New Roman" w:hAnsi="Times New Roman" w:cs="Times New Roman"/>
        </w:rPr>
        <w:t>He/She is ready to become familiar with and adopt the professional and technological development and innovation in the field of military transportation, and also to pass it on and integrate it into his daily work.</w:t>
      </w:r>
    </w:p>
    <w:p w:rsidR="008F449C" w:rsidRPr="008F449C" w:rsidRDefault="008F449C" w:rsidP="00666335">
      <w:pPr>
        <w:numPr>
          <w:ilvl w:val="0"/>
          <w:numId w:val="37"/>
        </w:numPr>
        <w:autoSpaceDE w:val="0"/>
        <w:autoSpaceDN w:val="0"/>
        <w:adjustRightInd w:val="0"/>
        <w:spacing w:after="0" w:line="240" w:lineRule="auto"/>
        <w:contextualSpacing/>
        <w:jc w:val="both"/>
        <w:rPr>
          <w:rFonts w:ascii="Times New Roman" w:hAnsi="Times New Roman" w:cs="Times New Roman"/>
        </w:rPr>
      </w:pPr>
      <w:r w:rsidRPr="008F449C">
        <w:rPr>
          <w:rFonts w:ascii="Times New Roman" w:hAnsi="Times New Roman" w:cs="Times New Roman"/>
        </w:rPr>
        <w:t>He/She strives for continuous self-education in the field of military transportation which is consistent with his/her professional goals.</w:t>
      </w:r>
    </w:p>
    <w:p w:rsidR="008F449C" w:rsidRPr="008F449C" w:rsidRDefault="008F449C" w:rsidP="00666335">
      <w:pPr>
        <w:numPr>
          <w:ilvl w:val="0"/>
          <w:numId w:val="37"/>
        </w:numPr>
        <w:autoSpaceDE w:val="0"/>
        <w:autoSpaceDN w:val="0"/>
        <w:adjustRightInd w:val="0"/>
        <w:spacing w:after="0" w:line="240" w:lineRule="auto"/>
        <w:contextualSpacing/>
        <w:jc w:val="both"/>
        <w:rPr>
          <w:rFonts w:ascii="Times New Roman" w:hAnsi="Times New Roman" w:cs="Times New Roman"/>
        </w:rPr>
      </w:pPr>
      <w:r w:rsidRPr="008F449C">
        <w:rPr>
          <w:rFonts w:ascii="Times New Roman" w:hAnsi="Times New Roman" w:cs="Times New Roman"/>
        </w:rPr>
        <w:t>He/She is committed to high quality in his/her professional work, with special emphasis on the safe execution of the transportation tasks and processes.</w:t>
      </w:r>
    </w:p>
    <w:p w:rsidR="008F449C" w:rsidRPr="008F449C" w:rsidRDefault="008F449C" w:rsidP="00666335">
      <w:pPr>
        <w:numPr>
          <w:ilvl w:val="0"/>
          <w:numId w:val="37"/>
        </w:numPr>
        <w:autoSpaceDE w:val="0"/>
        <w:autoSpaceDN w:val="0"/>
        <w:adjustRightInd w:val="0"/>
        <w:spacing w:after="0" w:line="240" w:lineRule="auto"/>
        <w:contextualSpacing/>
        <w:jc w:val="both"/>
        <w:rPr>
          <w:rFonts w:ascii="Times New Roman" w:hAnsi="Times New Roman" w:cs="Times New Roman"/>
        </w:rPr>
      </w:pPr>
      <w:r w:rsidRPr="008F449C">
        <w:rPr>
          <w:rFonts w:ascii="Times New Roman" w:hAnsi="Times New Roman" w:cs="Times New Roman"/>
        </w:rPr>
        <w:t>He/She is interested in promoting the professional development of his/her subordinates, and provides assistance in their efforts.</w:t>
      </w:r>
    </w:p>
    <w:p w:rsidR="008F449C" w:rsidRPr="008F449C" w:rsidRDefault="008F449C" w:rsidP="00666335">
      <w:pPr>
        <w:numPr>
          <w:ilvl w:val="0"/>
          <w:numId w:val="37"/>
        </w:numPr>
        <w:autoSpaceDE w:val="0"/>
        <w:autoSpaceDN w:val="0"/>
        <w:adjustRightInd w:val="0"/>
        <w:spacing w:after="0" w:line="240" w:lineRule="auto"/>
        <w:contextualSpacing/>
        <w:jc w:val="both"/>
        <w:rPr>
          <w:rFonts w:ascii="Times New Roman" w:hAnsi="Times New Roman" w:cs="Times New Roman"/>
        </w:rPr>
      </w:pPr>
      <w:r w:rsidRPr="008F449C">
        <w:rPr>
          <w:rFonts w:ascii="Times New Roman" w:hAnsi="Times New Roman" w:cs="Times New Roman"/>
        </w:rPr>
        <w:t>He/she is willing to share his/her experience with his/her colleagues to further their professional development.</w:t>
      </w:r>
    </w:p>
    <w:p w:rsidR="008F449C" w:rsidRPr="008F449C" w:rsidRDefault="008F449C" w:rsidP="008F449C">
      <w:pPr>
        <w:widowControl w:val="0"/>
        <w:spacing w:before="120" w:after="120" w:line="240" w:lineRule="auto"/>
        <w:ind w:left="426"/>
        <w:jc w:val="both"/>
        <w:rPr>
          <w:rFonts w:ascii="Times New Roman" w:eastAsia="Times New Roman" w:hAnsi="Times New Roman" w:cs="Times New Roman"/>
          <w:b/>
          <w:lang w:val="en-GB"/>
        </w:rPr>
      </w:pPr>
      <w:r w:rsidRPr="008F449C">
        <w:rPr>
          <w:rFonts w:ascii="Times New Roman" w:eastAsia="Times New Roman" w:hAnsi="Times New Roman" w:cs="Times New Roman"/>
          <w:b/>
          <w:lang w:val="en-GB"/>
        </w:rPr>
        <w:t xml:space="preserve">Autonomy and responsibility: </w:t>
      </w:r>
    </w:p>
    <w:p w:rsidR="008F449C" w:rsidRPr="008F449C" w:rsidRDefault="008F449C" w:rsidP="00666335">
      <w:pPr>
        <w:numPr>
          <w:ilvl w:val="0"/>
          <w:numId w:val="37"/>
        </w:numPr>
        <w:autoSpaceDE w:val="0"/>
        <w:autoSpaceDN w:val="0"/>
        <w:adjustRightInd w:val="0"/>
        <w:spacing w:after="0" w:line="240" w:lineRule="auto"/>
        <w:contextualSpacing/>
        <w:jc w:val="both"/>
        <w:rPr>
          <w:rFonts w:ascii="Times New Roman" w:hAnsi="Times New Roman" w:cs="Times New Roman"/>
        </w:rPr>
      </w:pPr>
      <w:r w:rsidRPr="008F449C">
        <w:rPr>
          <w:rFonts w:ascii="Times New Roman" w:hAnsi="Times New Roman" w:cs="Times New Roman"/>
        </w:rPr>
        <w:t>He/She is able to make decisions independently in the processes arising in the field of military transportation, and to implement them with responsibility and within the legal framework.</w:t>
      </w:r>
    </w:p>
    <w:p w:rsidR="008F449C" w:rsidRPr="008F449C" w:rsidRDefault="008F449C" w:rsidP="00666335">
      <w:pPr>
        <w:numPr>
          <w:ilvl w:val="0"/>
          <w:numId w:val="37"/>
        </w:numPr>
        <w:autoSpaceDE w:val="0"/>
        <w:autoSpaceDN w:val="0"/>
        <w:adjustRightInd w:val="0"/>
        <w:spacing w:after="0" w:line="240" w:lineRule="auto"/>
        <w:contextualSpacing/>
        <w:jc w:val="both"/>
        <w:rPr>
          <w:rFonts w:ascii="Times New Roman" w:hAnsi="Times New Roman" w:cs="Times New Roman"/>
        </w:rPr>
      </w:pPr>
      <w:r w:rsidRPr="008F449C">
        <w:rPr>
          <w:rFonts w:ascii="Times New Roman" w:hAnsi="Times New Roman" w:cs="Times New Roman"/>
        </w:rPr>
        <w:t>He/She is aware of the effects and consequences of his decisions and activities on the military logistic processes as a whole.</w:t>
      </w:r>
    </w:p>
    <w:p w:rsidR="008F449C" w:rsidRPr="008F449C" w:rsidRDefault="008F449C" w:rsidP="00666335">
      <w:pPr>
        <w:numPr>
          <w:ilvl w:val="0"/>
          <w:numId w:val="37"/>
        </w:numPr>
        <w:autoSpaceDE w:val="0"/>
        <w:autoSpaceDN w:val="0"/>
        <w:adjustRightInd w:val="0"/>
        <w:spacing w:after="0" w:line="240" w:lineRule="auto"/>
        <w:contextualSpacing/>
        <w:jc w:val="both"/>
        <w:rPr>
          <w:rFonts w:ascii="Times New Roman" w:hAnsi="Times New Roman" w:cs="Times New Roman"/>
        </w:rPr>
      </w:pPr>
      <w:r w:rsidRPr="008F449C">
        <w:rPr>
          <w:rFonts w:ascii="Times New Roman" w:hAnsi="Times New Roman" w:cs="Times New Roman"/>
        </w:rPr>
        <w:t xml:space="preserve">During his/her professional duties, he/she is willing to responsibly cooperate with specialists of other areas. </w:t>
      </w:r>
    </w:p>
    <w:p w:rsidR="008F449C" w:rsidRPr="008F449C" w:rsidRDefault="008F449C" w:rsidP="00666335">
      <w:pPr>
        <w:numPr>
          <w:ilvl w:val="0"/>
          <w:numId w:val="37"/>
        </w:numPr>
        <w:autoSpaceDE w:val="0"/>
        <w:autoSpaceDN w:val="0"/>
        <w:adjustRightInd w:val="0"/>
        <w:spacing w:after="0" w:line="240" w:lineRule="auto"/>
        <w:contextualSpacing/>
        <w:jc w:val="both"/>
        <w:rPr>
          <w:rFonts w:ascii="Times New Roman" w:hAnsi="Times New Roman" w:cs="Times New Roman"/>
        </w:rPr>
      </w:pPr>
      <w:r w:rsidRPr="008F449C">
        <w:rPr>
          <w:rFonts w:ascii="Times New Roman" w:hAnsi="Times New Roman" w:cs="Times New Roman"/>
        </w:rPr>
        <w:t>He/She can identify the deficiencies and risks in the applied technologies and initiates taking measures to reduce their impact.</w:t>
      </w:r>
    </w:p>
    <w:p w:rsidR="008F449C" w:rsidRPr="008F449C" w:rsidRDefault="008F449C" w:rsidP="00666335">
      <w:pPr>
        <w:numPr>
          <w:ilvl w:val="0"/>
          <w:numId w:val="37"/>
        </w:numPr>
        <w:autoSpaceDE w:val="0"/>
        <w:autoSpaceDN w:val="0"/>
        <w:adjustRightInd w:val="0"/>
        <w:spacing w:after="0" w:line="240" w:lineRule="auto"/>
        <w:contextualSpacing/>
        <w:jc w:val="both"/>
        <w:rPr>
          <w:rFonts w:ascii="Times New Roman" w:hAnsi="Times New Roman" w:cs="Times New Roman"/>
        </w:rPr>
      </w:pPr>
      <w:r w:rsidRPr="008F449C">
        <w:rPr>
          <w:rFonts w:ascii="Times New Roman" w:hAnsi="Times New Roman" w:cs="Times New Roman"/>
        </w:rPr>
        <w:t>Under the guidance of his/her commander, he/she controls the work of the personnel under his/her command and supervises the planning, organization and implementation of the transport and transportation processes, and also the operation of the technical equipment used in military transportation.</w:t>
      </w:r>
    </w:p>
    <w:p w:rsidR="008F449C" w:rsidRPr="008F449C" w:rsidRDefault="008F449C" w:rsidP="00666335">
      <w:pPr>
        <w:numPr>
          <w:ilvl w:val="0"/>
          <w:numId w:val="37"/>
        </w:numPr>
        <w:autoSpaceDE w:val="0"/>
        <w:autoSpaceDN w:val="0"/>
        <w:adjustRightInd w:val="0"/>
        <w:spacing w:after="0" w:line="240" w:lineRule="auto"/>
        <w:contextualSpacing/>
        <w:jc w:val="both"/>
        <w:rPr>
          <w:rFonts w:ascii="Times New Roman" w:hAnsi="Times New Roman" w:cs="Times New Roman"/>
        </w:rPr>
      </w:pPr>
      <w:r w:rsidRPr="008F449C">
        <w:rPr>
          <w:rFonts w:ascii="Times New Roman" w:hAnsi="Times New Roman" w:cs="Times New Roman"/>
        </w:rPr>
        <w:t>He/She continuously evaluates the efficiency and effectiveness of his/her subordinates' work.</w:t>
      </w:r>
    </w:p>
    <w:p w:rsidR="008F449C" w:rsidRPr="008F449C" w:rsidRDefault="008F449C" w:rsidP="00980876">
      <w:pPr>
        <w:widowControl w:val="0"/>
        <w:numPr>
          <w:ilvl w:val="0"/>
          <w:numId w:val="279"/>
        </w:numPr>
        <w:tabs>
          <w:tab w:val="num" w:pos="567"/>
        </w:tabs>
        <w:spacing w:before="120" w:after="120" w:line="240" w:lineRule="auto"/>
        <w:ind w:left="426" w:hanging="142"/>
        <w:jc w:val="both"/>
        <w:rPr>
          <w:rFonts w:ascii="Times New Roman" w:eastAsia="Times New Roman" w:hAnsi="Times New Roman" w:cs="Times New Roman"/>
          <w:bCs/>
        </w:rPr>
      </w:pPr>
      <w:r w:rsidRPr="008F449C">
        <w:rPr>
          <w:rFonts w:ascii="Times New Roman" w:eastAsia="Times New Roman" w:hAnsi="Times New Roman" w:cs="Times New Roman"/>
          <w:b/>
          <w:bCs/>
        </w:rPr>
        <w:t xml:space="preserve">Előtanulmányi követelmények: </w:t>
      </w:r>
      <w:r w:rsidRPr="008F449C">
        <w:rPr>
          <w:rFonts w:ascii="Times New Roman" w:eastAsia="Times New Roman" w:hAnsi="Times New Roman" w:cs="Times New Roman"/>
          <w:bCs/>
        </w:rPr>
        <w:t>Szállítási technológiák HKHPKA308</w:t>
      </w:r>
    </w:p>
    <w:p w:rsidR="008F449C" w:rsidRPr="008F449C" w:rsidRDefault="008F449C" w:rsidP="00980876">
      <w:pPr>
        <w:widowControl w:val="0"/>
        <w:numPr>
          <w:ilvl w:val="0"/>
          <w:numId w:val="279"/>
        </w:numPr>
        <w:spacing w:before="120" w:after="120" w:line="240" w:lineRule="auto"/>
        <w:ind w:left="426" w:hanging="142"/>
        <w:jc w:val="both"/>
        <w:rPr>
          <w:rFonts w:ascii="Times New Roman" w:eastAsia="Times New Roman" w:hAnsi="Times New Roman" w:cs="Times New Roman"/>
          <w:b/>
          <w:bCs/>
        </w:rPr>
      </w:pPr>
      <w:r w:rsidRPr="008F449C">
        <w:rPr>
          <w:rFonts w:ascii="Times New Roman" w:eastAsia="Times New Roman" w:hAnsi="Times New Roman" w:cs="Times New Roman"/>
          <w:b/>
          <w:bCs/>
        </w:rPr>
        <w:t>A tantárgy tananyagának leírása, tematika. Description of the subject, curriculum (magyarul, angolul - English):</w:t>
      </w:r>
    </w:p>
    <w:p w:rsidR="008F449C" w:rsidRPr="008F449C" w:rsidRDefault="008F449C" w:rsidP="00980876">
      <w:pPr>
        <w:widowControl w:val="0"/>
        <w:numPr>
          <w:ilvl w:val="1"/>
          <w:numId w:val="279"/>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i/>
        </w:rPr>
      </w:pPr>
      <w:r w:rsidRPr="008F449C">
        <w:rPr>
          <w:rFonts w:ascii="Times New Roman" w:eastAsia="Times New Roman" w:hAnsi="Times New Roman" w:cs="Times New Roman"/>
        </w:rPr>
        <w:t>A katonai közlekedés helye, szerepe a logisztikai támogatás rendszerében.</w:t>
      </w:r>
      <w:r w:rsidRPr="008F449C">
        <w:rPr>
          <w:rStyle w:val="tlid-translation"/>
          <w:rFonts w:ascii="Times New Roman" w:hAnsi="Times New Roman" w:cs="Times New Roman"/>
          <w:lang w:val="en"/>
        </w:rPr>
        <w:t xml:space="preserve"> </w:t>
      </w:r>
      <w:r w:rsidRPr="008F449C">
        <w:rPr>
          <w:rStyle w:val="tlid-translation"/>
          <w:rFonts w:ascii="Times New Roman" w:hAnsi="Times New Roman" w:cs="Times New Roman"/>
          <w:i/>
          <w:lang w:val="en"/>
        </w:rPr>
        <w:t>(Place and role of military transport in the logistics support system.)</w:t>
      </w:r>
    </w:p>
    <w:p w:rsidR="008F449C" w:rsidRPr="008F449C" w:rsidRDefault="008F449C" w:rsidP="00980876">
      <w:pPr>
        <w:widowControl w:val="0"/>
        <w:numPr>
          <w:ilvl w:val="1"/>
          <w:numId w:val="279"/>
        </w:numPr>
        <w:tabs>
          <w:tab w:val="left" w:pos="709"/>
          <w:tab w:val="left" w:pos="993"/>
          <w:tab w:val="num" w:pos="2069"/>
        </w:tabs>
        <w:spacing w:before="120" w:after="120" w:line="240" w:lineRule="auto"/>
        <w:ind w:left="993" w:hanging="567"/>
        <w:jc w:val="both"/>
        <w:rPr>
          <w:rStyle w:val="tlid-translation"/>
          <w:rFonts w:ascii="Times New Roman" w:hAnsi="Times New Roman" w:cs="Times New Roman"/>
          <w:i/>
          <w:lang w:val="en"/>
        </w:rPr>
      </w:pPr>
      <w:r w:rsidRPr="008F449C">
        <w:rPr>
          <w:rFonts w:ascii="Times New Roman" w:eastAsia="Times New Roman" w:hAnsi="Times New Roman" w:cs="Times New Roman"/>
        </w:rPr>
        <w:t>Katonai közúti szállítások helye, szerepe a katonai közlekedési rendszerben.</w:t>
      </w:r>
      <w:r w:rsidRPr="008F449C">
        <w:rPr>
          <w:rStyle w:val="tlid-translation"/>
          <w:rFonts w:ascii="Times New Roman" w:hAnsi="Times New Roman" w:cs="Times New Roman"/>
          <w:lang w:val="en"/>
        </w:rPr>
        <w:t xml:space="preserve"> </w:t>
      </w:r>
      <w:r w:rsidRPr="008F449C">
        <w:rPr>
          <w:rStyle w:val="tlid-translation"/>
          <w:rFonts w:ascii="Times New Roman" w:hAnsi="Times New Roman" w:cs="Times New Roman"/>
          <w:i/>
          <w:lang w:val="en"/>
        </w:rPr>
        <w:t>(Place and role of military road transport in the military transport system.)</w:t>
      </w:r>
    </w:p>
    <w:p w:rsidR="008F449C" w:rsidRPr="008F449C" w:rsidRDefault="008F449C" w:rsidP="00980876">
      <w:pPr>
        <w:widowControl w:val="0"/>
        <w:numPr>
          <w:ilvl w:val="1"/>
          <w:numId w:val="279"/>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rPr>
      </w:pPr>
      <w:r w:rsidRPr="008F449C">
        <w:rPr>
          <w:rFonts w:ascii="Times New Roman" w:eastAsia="Times New Roman" w:hAnsi="Times New Roman" w:cs="Times New Roman"/>
        </w:rPr>
        <w:t xml:space="preserve">Katonai közúti szállítások tervezése, szervezése és végrehajtása honi területen, valamint a szövetséges kötelezettségekből adódó feladatok során. </w:t>
      </w:r>
      <w:r w:rsidRPr="008F449C">
        <w:rPr>
          <w:rStyle w:val="tlid-translation"/>
          <w:rFonts w:ascii="Times New Roman" w:hAnsi="Times New Roman" w:cs="Times New Roman"/>
          <w:i/>
          <w:lang w:val="en"/>
        </w:rPr>
        <w:t>(Planning, organizing and executing military road transports in the domestic field and in allied responsibilities.)</w:t>
      </w:r>
    </w:p>
    <w:p w:rsidR="008F449C" w:rsidRPr="008F449C" w:rsidRDefault="008F449C" w:rsidP="00980876">
      <w:pPr>
        <w:widowControl w:val="0"/>
        <w:numPr>
          <w:ilvl w:val="1"/>
          <w:numId w:val="279"/>
        </w:numPr>
        <w:tabs>
          <w:tab w:val="left" w:pos="709"/>
          <w:tab w:val="left" w:pos="993"/>
          <w:tab w:val="num" w:pos="2069"/>
        </w:tabs>
        <w:spacing w:before="120" w:after="120" w:line="240" w:lineRule="auto"/>
        <w:ind w:left="993" w:hanging="567"/>
        <w:jc w:val="both"/>
        <w:rPr>
          <w:rStyle w:val="tlid-translation"/>
          <w:rFonts w:ascii="Times New Roman" w:hAnsi="Times New Roman" w:cs="Times New Roman"/>
          <w:i/>
          <w:lang w:val="en"/>
        </w:rPr>
      </w:pPr>
      <w:r w:rsidRPr="008F449C">
        <w:rPr>
          <w:rFonts w:ascii="Times New Roman" w:eastAsia="Times New Roman" w:hAnsi="Times New Roman" w:cs="Times New Roman"/>
        </w:rPr>
        <w:lastRenderedPageBreak/>
        <w:t>A nemzetközi közúti szállítások végrehajtásának specifikumai.</w:t>
      </w:r>
      <w:r w:rsidRPr="008F449C">
        <w:rPr>
          <w:rStyle w:val="tlid-translation"/>
          <w:rFonts w:ascii="Times New Roman" w:hAnsi="Times New Roman" w:cs="Times New Roman"/>
          <w:lang w:val="en"/>
        </w:rPr>
        <w:t xml:space="preserve"> </w:t>
      </w:r>
      <w:r w:rsidRPr="008F449C">
        <w:rPr>
          <w:rStyle w:val="tlid-translation"/>
          <w:rFonts w:ascii="Times New Roman" w:hAnsi="Times New Roman" w:cs="Times New Roman"/>
          <w:i/>
          <w:lang w:val="en"/>
        </w:rPr>
        <w:t>(Specifics of the implementation of international road transport.)</w:t>
      </w:r>
    </w:p>
    <w:p w:rsidR="008F449C" w:rsidRPr="008F449C" w:rsidRDefault="008F449C" w:rsidP="00980876">
      <w:pPr>
        <w:widowControl w:val="0"/>
        <w:numPr>
          <w:ilvl w:val="1"/>
          <w:numId w:val="279"/>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rPr>
      </w:pPr>
      <w:r w:rsidRPr="008F449C">
        <w:rPr>
          <w:rFonts w:ascii="Times New Roman" w:eastAsia="Times New Roman" w:hAnsi="Times New Roman" w:cs="Times New Roman"/>
        </w:rPr>
        <w:t xml:space="preserve">A gépkocsi-szállítások különleges esetei. </w:t>
      </w:r>
      <w:r w:rsidRPr="008F449C">
        <w:rPr>
          <w:rStyle w:val="tlid-translation"/>
          <w:rFonts w:ascii="Times New Roman" w:hAnsi="Times New Roman" w:cs="Times New Roman"/>
          <w:i/>
          <w:lang w:val="en"/>
        </w:rPr>
        <w:t>(Special cases of car transports.)</w:t>
      </w:r>
    </w:p>
    <w:p w:rsidR="008F449C" w:rsidRPr="008F449C" w:rsidRDefault="008F449C" w:rsidP="00980876">
      <w:pPr>
        <w:widowControl w:val="0"/>
        <w:numPr>
          <w:ilvl w:val="1"/>
          <w:numId w:val="279"/>
        </w:numPr>
        <w:tabs>
          <w:tab w:val="left" w:pos="709"/>
          <w:tab w:val="left" w:pos="993"/>
          <w:tab w:val="num" w:pos="2069"/>
        </w:tabs>
        <w:spacing w:before="120" w:after="120" w:line="240" w:lineRule="auto"/>
        <w:ind w:left="993" w:hanging="567"/>
        <w:jc w:val="both"/>
        <w:rPr>
          <w:rStyle w:val="tlid-translation"/>
          <w:rFonts w:ascii="Times New Roman" w:hAnsi="Times New Roman" w:cs="Times New Roman"/>
          <w:i/>
          <w:lang w:val="en"/>
        </w:rPr>
      </w:pPr>
      <w:r w:rsidRPr="008F449C">
        <w:rPr>
          <w:rFonts w:ascii="Times New Roman" w:eastAsia="Times New Roman" w:hAnsi="Times New Roman" w:cs="Times New Roman"/>
        </w:rPr>
        <w:t>A katonai gépkocsiszállító oszlopok mozgásának szabályai.</w:t>
      </w:r>
      <w:r w:rsidRPr="008F449C">
        <w:rPr>
          <w:rStyle w:val="tlid-translation"/>
          <w:rFonts w:ascii="Times New Roman" w:hAnsi="Times New Roman" w:cs="Times New Roman"/>
          <w:lang w:val="en"/>
        </w:rPr>
        <w:t xml:space="preserve"> </w:t>
      </w:r>
      <w:r w:rsidRPr="008F449C">
        <w:rPr>
          <w:rStyle w:val="tlid-translation"/>
          <w:rFonts w:ascii="Times New Roman" w:hAnsi="Times New Roman" w:cs="Times New Roman"/>
          <w:i/>
          <w:lang w:val="en"/>
        </w:rPr>
        <w:t>(Rules of Movement of Military Car Transport Columns.)</w:t>
      </w:r>
    </w:p>
    <w:p w:rsidR="008F449C" w:rsidRPr="008F449C" w:rsidRDefault="008F449C" w:rsidP="00980876">
      <w:pPr>
        <w:widowControl w:val="0"/>
        <w:numPr>
          <w:ilvl w:val="1"/>
          <w:numId w:val="279"/>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rPr>
      </w:pPr>
      <w:r w:rsidRPr="008F449C">
        <w:rPr>
          <w:rFonts w:ascii="Times New Roman" w:eastAsia="Times New Roman" w:hAnsi="Times New Roman" w:cs="Times New Roman"/>
        </w:rPr>
        <w:t>A katonai szállításirányítási rendszerek működése, kapcsolata a polgári rendszerekkel. A diszpécser szolgálat tevékenysége a szállítások tervezése, szervezése, végrehajtása során.</w:t>
      </w:r>
      <w:r w:rsidRPr="008F449C">
        <w:rPr>
          <w:rStyle w:val="tlid-translation"/>
          <w:rFonts w:ascii="Times New Roman" w:hAnsi="Times New Roman" w:cs="Times New Roman"/>
          <w:lang w:val="en"/>
        </w:rPr>
        <w:t xml:space="preserve"> </w:t>
      </w:r>
      <w:r w:rsidRPr="008F449C">
        <w:rPr>
          <w:rStyle w:val="tlid-translation"/>
          <w:rFonts w:ascii="Times New Roman" w:hAnsi="Times New Roman" w:cs="Times New Roman"/>
          <w:i/>
          <w:lang w:val="en"/>
        </w:rPr>
        <w:t>(Operation of military transportation control systems, their connection with civilian systems. The activity of the dispatcher service during the planning, organization and execution of shipments.)</w:t>
      </w:r>
    </w:p>
    <w:p w:rsidR="008F449C" w:rsidRPr="008F449C" w:rsidRDefault="008F449C" w:rsidP="00980876">
      <w:pPr>
        <w:widowControl w:val="0"/>
        <w:numPr>
          <w:ilvl w:val="1"/>
          <w:numId w:val="279"/>
        </w:numPr>
        <w:tabs>
          <w:tab w:val="left" w:pos="709"/>
          <w:tab w:val="left" w:pos="993"/>
          <w:tab w:val="num" w:pos="2069"/>
        </w:tabs>
        <w:spacing w:before="120" w:after="120" w:line="240" w:lineRule="auto"/>
        <w:ind w:left="993" w:hanging="567"/>
        <w:jc w:val="both"/>
        <w:rPr>
          <w:rStyle w:val="tlid-translation"/>
          <w:rFonts w:ascii="Times New Roman" w:hAnsi="Times New Roman" w:cs="Times New Roman"/>
          <w:i/>
          <w:lang w:val="en"/>
        </w:rPr>
      </w:pPr>
      <w:r w:rsidRPr="008F449C">
        <w:rPr>
          <w:rFonts w:ascii="Times New Roman" w:eastAsia="Times New Roman" w:hAnsi="Times New Roman" w:cs="Times New Roman"/>
        </w:rPr>
        <w:t xml:space="preserve">A polgári szállító szervezetek igénybevételének rendje. </w:t>
      </w:r>
      <w:r w:rsidRPr="008F449C">
        <w:rPr>
          <w:rStyle w:val="tlid-translation"/>
          <w:rFonts w:ascii="Times New Roman" w:hAnsi="Times New Roman" w:cs="Times New Roman"/>
          <w:i/>
          <w:lang w:val="en"/>
        </w:rPr>
        <w:t>(Arrangements for using civilian transport organizations.)</w:t>
      </w:r>
    </w:p>
    <w:p w:rsidR="008F449C" w:rsidRPr="008F449C" w:rsidRDefault="008F449C" w:rsidP="00980876">
      <w:pPr>
        <w:widowControl w:val="0"/>
        <w:numPr>
          <w:ilvl w:val="1"/>
          <w:numId w:val="279"/>
        </w:numPr>
        <w:tabs>
          <w:tab w:val="left" w:pos="709"/>
          <w:tab w:val="left" w:pos="993"/>
          <w:tab w:val="num" w:pos="2069"/>
        </w:tabs>
        <w:spacing w:before="120" w:after="120" w:line="240" w:lineRule="auto"/>
        <w:ind w:left="993" w:hanging="567"/>
        <w:jc w:val="both"/>
        <w:rPr>
          <w:rStyle w:val="tlid-translation"/>
          <w:rFonts w:ascii="Times New Roman" w:hAnsi="Times New Roman" w:cs="Times New Roman"/>
          <w:i/>
          <w:lang w:val="en"/>
        </w:rPr>
      </w:pPr>
      <w:r w:rsidRPr="008F449C">
        <w:rPr>
          <w:rFonts w:ascii="Times New Roman" w:eastAsia="Times New Roman" w:hAnsi="Times New Roman" w:cs="Times New Roman"/>
        </w:rPr>
        <w:t>A közlekedési szaktisztek feladatai a tervezés, szervezés és végrehajtás során.</w:t>
      </w:r>
      <w:r w:rsidRPr="008F449C">
        <w:rPr>
          <w:rStyle w:val="tlid-translation"/>
          <w:rFonts w:ascii="Times New Roman" w:hAnsi="Times New Roman" w:cs="Times New Roman"/>
          <w:lang w:val="en"/>
        </w:rPr>
        <w:t xml:space="preserve"> </w:t>
      </w:r>
      <w:r w:rsidRPr="008F449C">
        <w:rPr>
          <w:rStyle w:val="tlid-translation"/>
          <w:rFonts w:ascii="Times New Roman" w:hAnsi="Times New Roman" w:cs="Times New Roman"/>
          <w:i/>
          <w:lang w:val="en"/>
        </w:rPr>
        <w:t>(Tasks of transport specialists in planning, organizing and executing.)</w:t>
      </w:r>
    </w:p>
    <w:p w:rsidR="008F449C" w:rsidRPr="008F449C" w:rsidRDefault="008F449C" w:rsidP="00980876">
      <w:pPr>
        <w:widowControl w:val="0"/>
        <w:numPr>
          <w:ilvl w:val="1"/>
          <w:numId w:val="279"/>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rPr>
      </w:pPr>
      <w:r w:rsidRPr="008F449C">
        <w:rPr>
          <w:rFonts w:ascii="Times New Roman" w:eastAsia="Times New Roman" w:hAnsi="Times New Roman" w:cs="Times New Roman"/>
        </w:rPr>
        <w:t>Zárthelyi dolgozat.</w:t>
      </w:r>
      <w:r w:rsidRPr="008F449C">
        <w:rPr>
          <w:rStyle w:val="tlid-translation"/>
          <w:rFonts w:ascii="Times New Roman" w:hAnsi="Times New Roman" w:cs="Times New Roman"/>
          <w:lang w:val="en"/>
        </w:rPr>
        <w:t xml:space="preserve"> </w:t>
      </w:r>
      <w:r w:rsidRPr="008F449C">
        <w:rPr>
          <w:rStyle w:val="tlid-translation"/>
          <w:rFonts w:ascii="Times New Roman" w:hAnsi="Times New Roman" w:cs="Times New Roman"/>
          <w:i/>
          <w:lang w:val="en"/>
        </w:rPr>
        <w:t>(Closed thesis.)</w:t>
      </w:r>
    </w:p>
    <w:p w:rsidR="008F449C" w:rsidRPr="008F449C" w:rsidRDefault="008F449C" w:rsidP="00980876">
      <w:pPr>
        <w:widowControl w:val="0"/>
        <w:numPr>
          <w:ilvl w:val="1"/>
          <w:numId w:val="279"/>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rPr>
      </w:pPr>
      <w:r w:rsidRPr="008F449C">
        <w:rPr>
          <w:rFonts w:ascii="Times New Roman" w:eastAsia="Times New Roman" w:hAnsi="Times New Roman" w:cs="Times New Roman"/>
        </w:rPr>
        <w:t>Kiadott szállítási feladat megoldásának jelentése.</w:t>
      </w:r>
      <w:r w:rsidRPr="008F449C">
        <w:rPr>
          <w:rStyle w:val="tlid-translation"/>
          <w:rFonts w:ascii="Times New Roman" w:hAnsi="Times New Roman" w:cs="Times New Roman"/>
          <w:lang w:val="en"/>
        </w:rPr>
        <w:t xml:space="preserve"> </w:t>
      </w:r>
      <w:r w:rsidRPr="008F449C">
        <w:rPr>
          <w:rStyle w:val="tlid-translation"/>
          <w:rFonts w:ascii="Times New Roman" w:hAnsi="Times New Roman" w:cs="Times New Roman"/>
          <w:i/>
          <w:lang w:val="en"/>
        </w:rPr>
        <w:t>(Reporting a completed delivery task.)</w:t>
      </w:r>
    </w:p>
    <w:p w:rsidR="008F449C" w:rsidRPr="008F449C" w:rsidRDefault="008F449C" w:rsidP="00980876">
      <w:pPr>
        <w:widowControl w:val="0"/>
        <w:numPr>
          <w:ilvl w:val="0"/>
          <w:numId w:val="279"/>
        </w:numPr>
        <w:tabs>
          <w:tab w:val="num" w:pos="360"/>
        </w:tabs>
        <w:spacing w:before="120" w:after="120" w:line="240" w:lineRule="auto"/>
        <w:ind w:left="426" w:hanging="142"/>
        <w:jc w:val="both"/>
        <w:rPr>
          <w:rFonts w:ascii="Times New Roman" w:eastAsia="Times New Roman" w:hAnsi="Times New Roman" w:cs="Times New Roman"/>
          <w:bCs/>
        </w:rPr>
      </w:pPr>
      <w:r w:rsidRPr="008F449C">
        <w:rPr>
          <w:rFonts w:ascii="Times New Roman" w:eastAsia="Times New Roman" w:hAnsi="Times New Roman" w:cs="Times New Roman"/>
          <w:b/>
          <w:bCs/>
        </w:rPr>
        <w:t xml:space="preserve">A tantárgy meghirdetésének gyakorisága/a tantervben történő félévi elhelyezkedése: </w:t>
      </w:r>
      <w:r w:rsidRPr="008F449C">
        <w:rPr>
          <w:rFonts w:ascii="Times New Roman" w:eastAsia="Times New Roman" w:hAnsi="Times New Roman" w:cs="Times New Roman"/>
          <w:bCs/>
        </w:rPr>
        <w:t>6. félév</w:t>
      </w:r>
    </w:p>
    <w:p w:rsidR="008F449C" w:rsidRPr="008F449C" w:rsidRDefault="008F449C" w:rsidP="00980876">
      <w:pPr>
        <w:widowControl w:val="0"/>
        <w:numPr>
          <w:ilvl w:val="0"/>
          <w:numId w:val="279"/>
        </w:numPr>
        <w:tabs>
          <w:tab w:val="num" w:pos="360"/>
        </w:tabs>
        <w:spacing w:before="120" w:after="120" w:line="240" w:lineRule="auto"/>
        <w:ind w:left="426" w:hanging="142"/>
        <w:jc w:val="both"/>
        <w:rPr>
          <w:rFonts w:ascii="Times New Roman" w:eastAsia="Times New Roman" w:hAnsi="Times New Roman" w:cs="Times New Roman"/>
          <w:bCs/>
        </w:rPr>
      </w:pPr>
      <w:r w:rsidRPr="008F449C">
        <w:rPr>
          <w:rFonts w:ascii="Times New Roman" w:eastAsia="Times New Roman" w:hAnsi="Times New Roman" w:cs="Times New Roman"/>
          <w:b/>
          <w:bCs/>
        </w:rPr>
        <w:t>A tanórákon való részvétel követelményei, az elfogadható hiányzások mértéke, a távolmaradás pótlásának lehetősége:</w:t>
      </w:r>
      <w:r w:rsidRPr="008F449C">
        <w:rPr>
          <w:rFonts w:ascii="Times New Roman" w:eastAsia="Times New Roman" w:hAnsi="Times New Roman" w:cs="Times New Roman"/>
          <w:bCs/>
        </w:rPr>
        <w:t xml:space="preserve"> </w:t>
      </w:r>
    </w:p>
    <w:p w:rsidR="008F449C" w:rsidRPr="008F449C" w:rsidRDefault="008F449C" w:rsidP="008F449C">
      <w:pPr>
        <w:widowControl w:val="0"/>
        <w:spacing w:before="120" w:after="120" w:line="240" w:lineRule="auto"/>
        <w:ind w:left="426"/>
        <w:jc w:val="both"/>
        <w:rPr>
          <w:rFonts w:ascii="Times New Roman" w:eastAsia="Times New Roman" w:hAnsi="Times New Roman" w:cs="Times New Roman"/>
          <w:bCs/>
          <w:highlight w:val="lightGray"/>
        </w:rPr>
      </w:pPr>
      <w:r w:rsidRPr="008F449C">
        <w:rPr>
          <w:rFonts w:ascii="Times New Roman" w:eastAsia="Times New Roman" w:hAnsi="Times New Roman" w:cs="Times New Roman"/>
          <w:bCs/>
          <w:lang w:eastAsia="hu-HU"/>
        </w:rPr>
        <w:t>A tanórákon való részvétel kötelező, megengedett hiányzás mértéke 25%. Hiányzás esetén órapótlásra nincs lehetőség, a hallgató az előadás anyagát önállóan pótolja. A 25%-ot meghaladó hiányzás az aláírás megtagadását vonja maga után.</w:t>
      </w:r>
    </w:p>
    <w:p w:rsidR="008F449C" w:rsidRPr="008F449C" w:rsidRDefault="008F449C" w:rsidP="00980876">
      <w:pPr>
        <w:widowControl w:val="0"/>
        <w:numPr>
          <w:ilvl w:val="0"/>
          <w:numId w:val="279"/>
        </w:numPr>
        <w:tabs>
          <w:tab w:val="num" w:pos="360"/>
        </w:tabs>
        <w:spacing w:before="120" w:after="120" w:line="240" w:lineRule="auto"/>
        <w:ind w:left="426" w:hanging="142"/>
        <w:jc w:val="both"/>
        <w:rPr>
          <w:rFonts w:ascii="Times New Roman" w:eastAsia="Times New Roman" w:hAnsi="Times New Roman" w:cs="Times New Roman"/>
          <w:bCs/>
        </w:rPr>
      </w:pPr>
      <w:r w:rsidRPr="008F449C">
        <w:rPr>
          <w:rFonts w:ascii="Times New Roman" w:eastAsia="Times New Roman" w:hAnsi="Times New Roman" w:cs="Times New Roman"/>
          <w:b/>
        </w:rPr>
        <w:t>Félévközi feladatok, ismeretek ellenőrzésének rendje:</w:t>
      </w:r>
      <w:r w:rsidRPr="008F449C">
        <w:rPr>
          <w:rFonts w:ascii="Times New Roman" w:eastAsia="Times New Roman" w:hAnsi="Times New Roman" w:cs="Times New Roman"/>
          <w:bCs/>
        </w:rPr>
        <w:t xml:space="preserve"> </w:t>
      </w:r>
    </w:p>
    <w:p w:rsidR="008F449C" w:rsidRPr="008F449C" w:rsidRDefault="008F449C" w:rsidP="008F449C">
      <w:pPr>
        <w:widowControl w:val="0"/>
        <w:spacing w:before="120" w:after="120" w:line="240" w:lineRule="auto"/>
        <w:ind w:left="426"/>
        <w:jc w:val="both"/>
        <w:rPr>
          <w:rFonts w:ascii="Times New Roman" w:eastAsia="Times New Roman" w:hAnsi="Times New Roman" w:cs="Times New Roman"/>
          <w:lang w:eastAsia="x-none"/>
        </w:rPr>
      </w:pPr>
      <w:r w:rsidRPr="008F449C">
        <w:rPr>
          <w:rFonts w:ascii="Times New Roman" w:eastAsia="Times New Roman" w:hAnsi="Times New Roman" w:cs="Times New Roman"/>
          <w:lang w:val="x-none" w:eastAsia="x-none"/>
        </w:rPr>
        <w:t>A félév során egy zárthelyi dolgozatot ke</w:t>
      </w:r>
      <w:r w:rsidRPr="008F449C">
        <w:rPr>
          <w:rFonts w:ascii="Times New Roman" w:eastAsia="Times New Roman" w:hAnsi="Times New Roman" w:cs="Times New Roman"/>
          <w:lang w:eastAsia="x-none"/>
        </w:rPr>
        <w:t>l</w:t>
      </w:r>
      <w:r w:rsidRPr="008F449C">
        <w:rPr>
          <w:rFonts w:ascii="Times New Roman" w:eastAsia="Times New Roman" w:hAnsi="Times New Roman" w:cs="Times New Roman"/>
          <w:lang w:val="x-none" w:eastAsia="x-none"/>
        </w:rPr>
        <w:t>l megír</w:t>
      </w:r>
      <w:r w:rsidRPr="008F449C">
        <w:rPr>
          <w:rFonts w:ascii="Times New Roman" w:eastAsia="Times New Roman" w:hAnsi="Times New Roman" w:cs="Times New Roman"/>
          <w:lang w:eastAsia="x-none"/>
        </w:rPr>
        <w:t>ni</w:t>
      </w:r>
      <w:r w:rsidRPr="008F449C">
        <w:rPr>
          <w:rFonts w:ascii="Times New Roman" w:eastAsia="Times New Roman" w:hAnsi="Times New Roman" w:cs="Times New Roman"/>
          <w:lang w:val="x-none" w:eastAsia="x-none"/>
        </w:rPr>
        <w:t xml:space="preserve">. </w:t>
      </w:r>
      <w:r w:rsidRPr="008F449C">
        <w:rPr>
          <w:rFonts w:ascii="Times New Roman" w:eastAsia="Times New Roman" w:hAnsi="Times New Roman" w:cs="Times New Roman"/>
          <w:lang w:eastAsia="x-none"/>
        </w:rPr>
        <w:t xml:space="preserve">A zárthelyi dolgozat ötfokozatú skálán értékelendő, 50%+1 pont elégséges, 60% közepes, 75% jó, 90% jeles. </w:t>
      </w:r>
      <w:r w:rsidRPr="008F449C">
        <w:rPr>
          <w:rFonts w:ascii="Times New Roman" w:eastAsia="Times New Roman" w:hAnsi="Times New Roman" w:cs="Times New Roman"/>
          <w:lang w:val="x-none" w:eastAsia="x-none"/>
        </w:rPr>
        <w:t xml:space="preserve">Az elégtelen osztályzatra értékelt dolgozatot a szorgalmi és a vizsgaidőszakban is egy-egy alkalommal lehet pótolni. </w:t>
      </w:r>
    </w:p>
    <w:p w:rsidR="008F449C" w:rsidRPr="008F449C" w:rsidRDefault="008F449C" w:rsidP="008F449C">
      <w:pPr>
        <w:widowControl w:val="0"/>
        <w:spacing w:before="120" w:after="120" w:line="240" w:lineRule="auto"/>
        <w:ind w:left="426"/>
        <w:jc w:val="both"/>
        <w:rPr>
          <w:rFonts w:ascii="Times New Roman" w:eastAsia="Times New Roman" w:hAnsi="Times New Roman" w:cs="Times New Roman"/>
          <w:lang w:val="x-none" w:eastAsia="x-none"/>
        </w:rPr>
      </w:pPr>
      <w:r w:rsidRPr="008F449C">
        <w:rPr>
          <w:rFonts w:ascii="Times New Roman" w:eastAsia="Times New Roman" w:hAnsi="Times New Roman" w:cs="Times New Roman"/>
          <w:lang w:eastAsia="hu-HU"/>
        </w:rPr>
        <w:t>A félév során egy gyakorlati feladatot kell elkészíteni az oktató által kijelölt csoportokban. A gyakorlati munka a kurzus oktatója által meghatározott közúti szállításszervezési feladat kidolgozása. A gyakorlati feladat értékelése lehet „Megfelelő”, vagy „Nem megfelelő”. A „Nem megfelelőre” értékelt gyakorlati feladatot az oktató által meghatározott beszámolási, jelentési határidő lejárta után pótolni nem lehet.</w:t>
      </w:r>
    </w:p>
    <w:p w:rsidR="008F449C" w:rsidRPr="008F449C" w:rsidRDefault="008F449C" w:rsidP="00980876">
      <w:pPr>
        <w:widowControl w:val="0"/>
        <w:numPr>
          <w:ilvl w:val="0"/>
          <w:numId w:val="279"/>
        </w:numPr>
        <w:spacing w:before="120" w:after="120" w:line="240" w:lineRule="auto"/>
        <w:ind w:left="426" w:hanging="142"/>
        <w:jc w:val="both"/>
        <w:rPr>
          <w:rFonts w:ascii="Times New Roman" w:eastAsia="Times New Roman" w:hAnsi="Times New Roman" w:cs="Times New Roman"/>
          <w:b/>
          <w:bCs/>
        </w:rPr>
      </w:pPr>
      <w:r w:rsidRPr="008F449C">
        <w:rPr>
          <w:rFonts w:ascii="Times New Roman" w:eastAsia="Times New Roman" w:hAnsi="Times New Roman" w:cs="Times New Roman"/>
          <w:b/>
          <w:bCs/>
        </w:rPr>
        <w:t xml:space="preserve">Az értékelés, az aláírás és a kreditek megszerzésének pontos feltételei: </w:t>
      </w:r>
    </w:p>
    <w:p w:rsidR="008F449C" w:rsidRPr="00DA0BF4" w:rsidRDefault="008F449C" w:rsidP="00980876">
      <w:pPr>
        <w:widowControl w:val="0"/>
        <w:numPr>
          <w:ilvl w:val="1"/>
          <w:numId w:val="279"/>
        </w:numPr>
        <w:tabs>
          <w:tab w:val="left" w:pos="709"/>
          <w:tab w:val="left" w:pos="993"/>
          <w:tab w:val="num" w:pos="2069"/>
        </w:tabs>
        <w:spacing w:before="120" w:after="120" w:line="240" w:lineRule="auto"/>
        <w:ind w:left="426" w:firstLine="0"/>
        <w:jc w:val="both"/>
        <w:rPr>
          <w:rFonts w:ascii="Times New Roman" w:hAnsi="Times New Roman" w:cs="Times New Roman"/>
        </w:rPr>
      </w:pPr>
      <w:r w:rsidRPr="00DA0BF4">
        <w:rPr>
          <w:rFonts w:ascii="Times New Roman" w:eastAsia="Times New Roman" w:hAnsi="Times New Roman" w:cs="Times New Roman"/>
          <w:b/>
        </w:rPr>
        <w:t>Az aláírás megszerzésének feltételei:</w:t>
      </w:r>
      <w:r w:rsidRPr="00DA0BF4">
        <w:rPr>
          <w:rFonts w:ascii="Times New Roman" w:eastAsia="Times New Roman" w:hAnsi="Times New Roman" w:cs="Times New Roman"/>
        </w:rPr>
        <w:t xml:space="preserve"> </w:t>
      </w:r>
      <w:r w:rsidRPr="00DA0BF4">
        <w:rPr>
          <w:rFonts w:ascii="Times New Roman" w:hAnsi="Times New Roman" w:cs="Times New Roman"/>
        </w:rPr>
        <w:t>Az aláírás megszerzésnek feltétele a zárthelyi dolgozat legalább elégséges szinten történő teljesítése (min. 50%+1 pont), a kidolgozandó gyakorlati feladat határidőig történő elkészítése és „Megfelelő” szintet elérő jelentése, illetve a tanórák legalább 75%-án való részvétel.</w:t>
      </w:r>
    </w:p>
    <w:p w:rsidR="008F449C" w:rsidRPr="008F449C" w:rsidRDefault="008F449C" w:rsidP="00980876">
      <w:pPr>
        <w:widowControl w:val="0"/>
        <w:numPr>
          <w:ilvl w:val="1"/>
          <w:numId w:val="279"/>
        </w:numPr>
        <w:tabs>
          <w:tab w:val="left" w:pos="709"/>
          <w:tab w:val="left" w:pos="993"/>
          <w:tab w:val="num" w:pos="2069"/>
        </w:tabs>
        <w:spacing w:before="120" w:after="120" w:line="240" w:lineRule="auto"/>
        <w:ind w:left="426" w:firstLine="0"/>
        <w:jc w:val="both"/>
        <w:rPr>
          <w:rFonts w:ascii="Times New Roman" w:hAnsi="Times New Roman" w:cs="Times New Roman"/>
          <w:b/>
        </w:rPr>
      </w:pPr>
      <w:r w:rsidRPr="008F449C">
        <w:rPr>
          <w:rFonts w:ascii="Times New Roman" w:eastAsia="Times New Roman" w:hAnsi="Times New Roman" w:cs="Times New Roman"/>
          <w:b/>
        </w:rPr>
        <w:t>Az értékelés:</w:t>
      </w:r>
      <w:r w:rsidRPr="008F449C">
        <w:rPr>
          <w:rFonts w:ascii="Times New Roman" w:eastAsia="Times New Roman" w:hAnsi="Times New Roman" w:cs="Times New Roman"/>
        </w:rPr>
        <w:t xml:space="preserve"> </w:t>
      </w:r>
      <w:r w:rsidRPr="008F449C">
        <w:rPr>
          <w:rFonts w:ascii="Times New Roman" w:hAnsi="Times New Roman" w:cs="Times New Roman"/>
        </w:rPr>
        <w:t xml:space="preserve">A félév végén a </w:t>
      </w:r>
      <w:r w:rsidRPr="008F449C">
        <w:rPr>
          <w:rFonts w:ascii="Times New Roman" w:hAnsi="Times New Roman" w:cs="Times New Roman"/>
          <w:b/>
        </w:rPr>
        <w:t>kollokvium</w:t>
      </w:r>
      <w:r w:rsidRPr="008F449C">
        <w:rPr>
          <w:rFonts w:ascii="Times New Roman" w:hAnsi="Times New Roman" w:cs="Times New Roman"/>
        </w:rPr>
        <w:t xml:space="preserve"> szóbeli, amelynek eredményébe a félévközi munka beszámítható. A kollokviumra a hallgatók csak felkészülési témaköröket kapnak kézhez, melyek felölelik a félév teljes tananyagát és a vizsgatételek kérdéseit. A kollokviumon a hallgató a vizsgatétel ismertetésére kapott osztályzata alapján ötfokozatú skálán értékelendő. Ha a vizsgáztató nem győződött meg a hallgató felkészültségéről a vizsgatétel alapján, kérdéseket tehet fel a félév tananyagából, amelyek a kollokvium érdemjegyébe beleszámítandók.</w:t>
      </w:r>
    </w:p>
    <w:p w:rsidR="008F449C" w:rsidRPr="008F449C" w:rsidRDefault="008F449C" w:rsidP="00980876">
      <w:pPr>
        <w:widowControl w:val="0"/>
        <w:numPr>
          <w:ilvl w:val="1"/>
          <w:numId w:val="279"/>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8F449C">
        <w:rPr>
          <w:rFonts w:ascii="Times New Roman" w:eastAsia="Times New Roman" w:hAnsi="Times New Roman" w:cs="Times New Roman"/>
          <w:b/>
        </w:rPr>
        <w:t>A kreditek megszerzésének feltételei:</w:t>
      </w:r>
      <w:r w:rsidRPr="008F449C">
        <w:rPr>
          <w:rFonts w:ascii="Times New Roman" w:eastAsia="Times New Roman" w:hAnsi="Times New Roman" w:cs="Times New Roman"/>
        </w:rPr>
        <w:t xml:space="preserve"> </w:t>
      </w:r>
    </w:p>
    <w:p w:rsidR="008F449C" w:rsidRPr="008F449C" w:rsidRDefault="008F449C" w:rsidP="008F449C">
      <w:pPr>
        <w:widowControl w:val="0"/>
        <w:tabs>
          <w:tab w:val="left" w:pos="993"/>
        </w:tabs>
        <w:spacing w:before="120" w:after="120" w:line="240" w:lineRule="auto"/>
        <w:ind w:left="426"/>
        <w:jc w:val="both"/>
        <w:rPr>
          <w:rFonts w:ascii="Times New Roman" w:eastAsia="Times New Roman" w:hAnsi="Times New Roman" w:cs="Times New Roman"/>
        </w:rPr>
      </w:pPr>
      <w:r w:rsidRPr="008F449C">
        <w:rPr>
          <w:rFonts w:ascii="Times New Roman" w:eastAsia="Times New Roman" w:hAnsi="Times New Roman" w:cs="Times New Roman"/>
        </w:rPr>
        <w:t>A kreditek megszerzésének feltétele az aláírás megszerzése és legalább elégséges vizsgajegy.</w:t>
      </w:r>
    </w:p>
    <w:p w:rsidR="008F449C" w:rsidRDefault="008F449C">
      <w:pPr>
        <w:spacing w:after="200" w:line="276" w:lineRule="auto"/>
        <w:rPr>
          <w:rFonts w:ascii="Times New Roman" w:eastAsia="Times New Roman" w:hAnsi="Times New Roman" w:cs="Times New Roman"/>
          <w:b/>
          <w:bCs/>
        </w:rPr>
      </w:pPr>
      <w:r>
        <w:rPr>
          <w:rFonts w:ascii="Times New Roman" w:eastAsia="Times New Roman" w:hAnsi="Times New Roman" w:cs="Times New Roman"/>
          <w:b/>
          <w:bCs/>
        </w:rPr>
        <w:br w:type="page"/>
      </w:r>
    </w:p>
    <w:p w:rsidR="008F449C" w:rsidRPr="008F449C" w:rsidRDefault="008F449C" w:rsidP="00980876">
      <w:pPr>
        <w:widowControl w:val="0"/>
        <w:numPr>
          <w:ilvl w:val="0"/>
          <w:numId w:val="279"/>
        </w:numPr>
        <w:tabs>
          <w:tab w:val="num" w:pos="360"/>
        </w:tabs>
        <w:spacing w:before="120" w:after="120" w:line="240" w:lineRule="auto"/>
        <w:ind w:left="426" w:hanging="142"/>
        <w:jc w:val="both"/>
        <w:rPr>
          <w:rFonts w:ascii="Times New Roman" w:eastAsia="Times New Roman" w:hAnsi="Times New Roman" w:cs="Times New Roman"/>
          <w:bCs/>
        </w:rPr>
      </w:pPr>
      <w:r w:rsidRPr="008F449C">
        <w:rPr>
          <w:rFonts w:ascii="Times New Roman" w:eastAsia="Times New Roman" w:hAnsi="Times New Roman" w:cs="Times New Roman"/>
          <w:b/>
          <w:bCs/>
        </w:rPr>
        <w:lastRenderedPageBreak/>
        <w:t>Irodalomjegyzék:</w:t>
      </w:r>
    </w:p>
    <w:p w:rsidR="008F449C" w:rsidRPr="00DC6DF4" w:rsidRDefault="008F449C" w:rsidP="00980876">
      <w:pPr>
        <w:widowControl w:val="0"/>
        <w:numPr>
          <w:ilvl w:val="1"/>
          <w:numId w:val="279"/>
        </w:numPr>
        <w:tabs>
          <w:tab w:val="left" w:pos="567"/>
          <w:tab w:val="left" w:pos="851"/>
          <w:tab w:val="num" w:pos="2069"/>
        </w:tabs>
        <w:spacing w:before="120" w:after="120" w:line="240" w:lineRule="auto"/>
        <w:ind w:left="426" w:hanging="142"/>
        <w:jc w:val="both"/>
        <w:rPr>
          <w:rFonts w:ascii="Times New Roman" w:eastAsia="Times New Roman" w:hAnsi="Times New Roman" w:cs="Times New Roman"/>
          <w:bCs/>
          <w:highlight w:val="yellow"/>
        </w:rPr>
      </w:pPr>
      <w:r w:rsidRPr="00DC6DF4">
        <w:rPr>
          <w:rFonts w:ascii="Times New Roman" w:eastAsia="Times New Roman" w:hAnsi="Times New Roman" w:cs="Times New Roman"/>
          <w:b/>
          <w:bCs/>
          <w:highlight w:val="yellow"/>
        </w:rPr>
        <w:t>Kötelező irodalom:</w:t>
      </w:r>
    </w:p>
    <w:p w:rsidR="008F449C" w:rsidRPr="00DC6DF4" w:rsidRDefault="008F449C" w:rsidP="00980876">
      <w:pPr>
        <w:pStyle w:val="Listaszerbekezds"/>
        <w:numPr>
          <w:ilvl w:val="0"/>
          <w:numId w:val="280"/>
        </w:numPr>
        <w:spacing w:after="0" w:line="240" w:lineRule="auto"/>
        <w:jc w:val="both"/>
        <w:rPr>
          <w:rFonts w:ascii="Times New Roman" w:hAnsi="Times New Roman" w:cs="Times New Roman"/>
          <w:highlight w:val="yellow"/>
        </w:rPr>
      </w:pPr>
      <w:r w:rsidRPr="00DC6DF4">
        <w:rPr>
          <w:rFonts w:ascii="Times New Roman" w:hAnsi="Times New Roman" w:cs="Times New Roman"/>
          <w:highlight w:val="yellow"/>
        </w:rPr>
        <w:t>Magyar Honvédség Összhaderőnemi Doktrína 3. kiadás (A HVK Logisztikai Csoportfőnökség kiadványa, 2015.);</w:t>
      </w:r>
    </w:p>
    <w:p w:rsidR="008F449C" w:rsidRPr="00DC6DF4" w:rsidRDefault="008F449C" w:rsidP="00980876">
      <w:pPr>
        <w:pStyle w:val="Listaszerbekezds"/>
        <w:numPr>
          <w:ilvl w:val="0"/>
          <w:numId w:val="280"/>
        </w:numPr>
        <w:spacing w:after="0" w:line="240" w:lineRule="auto"/>
        <w:jc w:val="both"/>
        <w:rPr>
          <w:rFonts w:ascii="Times New Roman" w:hAnsi="Times New Roman" w:cs="Times New Roman"/>
          <w:highlight w:val="yellow"/>
        </w:rPr>
      </w:pPr>
      <w:r w:rsidRPr="00DC6DF4">
        <w:rPr>
          <w:rFonts w:ascii="Times New Roman" w:hAnsi="Times New Roman" w:cs="Times New Roman"/>
          <w:highlight w:val="yellow"/>
        </w:rPr>
        <w:t>Magyar Honvédség Közlekedési Támogatás Doktrína Magyar Honvédség (Közlekedési Főnökség kiadványa, Budapest, 2005.);</w:t>
      </w:r>
    </w:p>
    <w:p w:rsidR="0043204C" w:rsidRPr="00DC6DF4" w:rsidRDefault="0043204C" w:rsidP="00980876">
      <w:pPr>
        <w:pStyle w:val="Listaszerbekezds"/>
        <w:numPr>
          <w:ilvl w:val="0"/>
          <w:numId w:val="280"/>
        </w:numPr>
        <w:spacing w:after="0" w:line="240" w:lineRule="auto"/>
        <w:jc w:val="both"/>
        <w:rPr>
          <w:rFonts w:ascii="Times New Roman" w:hAnsi="Times New Roman" w:cs="Times New Roman"/>
          <w:highlight w:val="yellow"/>
        </w:rPr>
      </w:pPr>
      <w:r w:rsidRPr="00DC6DF4">
        <w:rPr>
          <w:rFonts w:ascii="Times New Roman" w:hAnsi="Times New Roman" w:cs="Times New Roman"/>
          <w:highlight w:val="yellow"/>
        </w:rPr>
        <w:t>AMovP-3 Mozgatási és szállítási dokumentumok, valamint kifejezések és meghatározások gyűjteménye. Magyar Honvédség Közlekedési Szolgálatfőnökség kiadványa (2003),</w:t>
      </w:r>
    </w:p>
    <w:p w:rsidR="008F449C" w:rsidRPr="00DC6DF4" w:rsidRDefault="008F449C" w:rsidP="00980876">
      <w:pPr>
        <w:widowControl w:val="0"/>
        <w:numPr>
          <w:ilvl w:val="1"/>
          <w:numId w:val="279"/>
        </w:numPr>
        <w:tabs>
          <w:tab w:val="num" w:pos="567"/>
          <w:tab w:val="num" w:pos="2069"/>
        </w:tabs>
        <w:spacing w:before="120" w:after="120" w:line="240" w:lineRule="auto"/>
        <w:ind w:left="993" w:hanging="709"/>
        <w:jc w:val="both"/>
        <w:rPr>
          <w:rFonts w:ascii="Times New Roman" w:eastAsia="Times New Roman" w:hAnsi="Times New Roman" w:cs="Times New Roman"/>
          <w:b/>
          <w:bCs/>
          <w:highlight w:val="yellow"/>
        </w:rPr>
      </w:pPr>
      <w:r w:rsidRPr="00DC6DF4">
        <w:rPr>
          <w:rFonts w:ascii="Times New Roman" w:eastAsia="Times New Roman" w:hAnsi="Times New Roman" w:cs="Times New Roman"/>
          <w:b/>
          <w:bCs/>
          <w:highlight w:val="yellow"/>
        </w:rPr>
        <w:t>Ajánlott irodalom:</w:t>
      </w:r>
    </w:p>
    <w:p w:rsidR="0043204C" w:rsidRPr="00DC6DF4" w:rsidRDefault="0043204C" w:rsidP="00980876">
      <w:pPr>
        <w:pStyle w:val="Listaszerbekezds"/>
        <w:numPr>
          <w:ilvl w:val="0"/>
          <w:numId w:val="281"/>
        </w:numPr>
        <w:spacing w:after="0" w:line="240" w:lineRule="auto"/>
        <w:jc w:val="both"/>
        <w:rPr>
          <w:rFonts w:ascii="Times New Roman" w:hAnsi="Times New Roman" w:cs="Times New Roman"/>
          <w:highlight w:val="yellow"/>
        </w:rPr>
      </w:pPr>
      <w:r w:rsidRPr="00DC6DF4">
        <w:rPr>
          <w:rFonts w:ascii="Times New Roman" w:hAnsi="Times New Roman" w:cs="Times New Roman"/>
          <w:highlight w:val="yellow"/>
        </w:rPr>
        <w:t>MC 336/2 NATO Principles and Policies for Movement and Transportation (M&amp;T), Published by the NATO Standardization Agency, Marc 2002.</w:t>
      </w:r>
    </w:p>
    <w:p w:rsidR="0043204C" w:rsidRPr="00DC6DF4" w:rsidRDefault="0043204C" w:rsidP="00980876">
      <w:pPr>
        <w:pStyle w:val="Listaszerbekezds"/>
        <w:numPr>
          <w:ilvl w:val="0"/>
          <w:numId w:val="281"/>
        </w:numPr>
        <w:spacing w:after="0" w:line="240" w:lineRule="auto"/>
        <w:jc w:val="both"/>
        <w:rPr>
          <w:rFonts w:ascii="Times New Roman" w:hAnsi="Times New Roman" w:cs="Times New Roman"/>
          <w:highlight w:val="yellow"/>
        </w:rPr>
      </w:pPr>
      <w:r w:rsidRPr="00DC6DF4">
        <w:rPr>
          <w:rFonts w:ascii="Times New Roman" w:hAnsi="Times New Roman" w:cs="Times New Roman"/>
          <w:highlight w:val="yellow"/>
        </w:rPr>
        <w:t>AJP-4.4(A) Allied Joint Movement and Transportation Doctrine, Published by the NATO Standardization Agency, December 2005.</w:t>
      </w:r>
    </w:p>
    <w:p w:rsidR="0043204C" w:rsidRPr="00DC6DF4" w:rsidRDefault="0043204C" w:rsidP="00980876">
      <w:pPr>
        <w:pStyle w:val="Listaszerbekezds"/>
        <w:numPr>
          <w:ilvl w:val="0"/>
          <w:numId w:val="281"/>
        </w:numPr>
        <w:spacing w:after="0" w:line="240" w:lineRule="auto"/>
        <w:jc w:val="both"/>
        <w:rPr>
          <w:rFonts w:ascii="Times New Roman" w:hAnsi="Times New Roman" w:cs="Times New Roman"/>
          <w:highlight w:val="yellow"/>
        </w:rPr>
      </w:pPr>
      <w:r w:rsidRPr="00DC6DF4">
        <w:rPr>
          <w:rFonts w:ascii="Times New Roman" w:hAnsi="Times New Roman" w:cs="Times New Roman"/>
          <w:highlight w:val="yellow"/>
        </w:rPr>
        <w:t>AMovP-1(A) Road Movements and Movement Control, Published by the NATO Standardization Agency, December 2004.</w:t>
      </w:r>
    </w:p>
    <w:p w:rsidR="0043204C" w:rsidRPr="00DC6DF4" w:rsidRDefault="0043204C" w:rsidP="00980876">
      <w:pPr>
        <w:pStyle w:val="Listaszerbekezds"/>
        <w:numPr>
          <w:ilvl w:val="0"/>
          <w:numId w:val="281"/>
        </w:numPr>
        <w:spacing w:after="0" w:line="240" w:lineRule="auto"/>
        <w:jc w:val="both"/>
        <w:rPr>
          <w:rFonts w:ascii="Times New Roman" w:hAnsi="Times New Roman" w:cs="Times New Roman"/>
          <w:highlight w:val="yellow"/>
        </w:rPr>
      </w:pPr>
      <w:r w:rsidRPr="00DC6DF4">
        <w:rPr>
          <w:rFonts w:ascii="Times New Roman" w:hAnsi="Times New Roman" w:cs="Times New Roman"/>
          <w:highlight w:val="yellow"/>
        </w:rPr>
        <w:t>AMovP-2(B) Procedures for Surface Movements Across National Frontiers, Published by the NATO Standardization Agency, June 2011.</w:t>
      </w:r>
    </w:p>
    <w:p w:rsidR="00DC6DF4" w:rsidRPr="00DC6DF4" w:rsidRDefault="00DC6DF4" w:rsidP="00980876">
      <w:pPr>
        <w:pStyle w:val="Listaszerbekezds"/>
        <w:numPr>
          <w:ilvl w:val="0"/>
          <w:numId w:val="281"/>
        </w:numPr>
        <w:spacing w:after="0" w:line="240" w:lineRule="auto"/>
        <w:jc w:val="both"/>
        <w:rPr>
          <w:rFonts w:ascii="Times New Roman" w:hAnsi="Times New Roman" w:cs="Times New Roman"/>
          <w:highlight w:val="yellow"/>
        </w:rPr>
      </w:pPr>
      <w:r w:rsidRPr="00DC6DF4">
        <w:rPr>
          <w:rFonts w:ascii="Times New Roman" w:hAnsi="Times New Roman" w:cs="Times New Roman"/>
          <w:highlight w:val="yellow"/>
        </w:rPr>
        <w:t>AMovP-5 Multi Modal Transport Issues, Published by the NATO Standardization Agency, September 2005.</w:t>
      </w:r>
    </w:p>
    <w:p w:rsidR="008F449C" w:rsidRDefault="008F449C" w:rsidP="008F449C">
      <w:pPr>
        <w:pStyle w:val="Listaszerbekezds"/>
        <w:widowControl w:val="0"/>
        <w:spacing w:after="0" w:line="240" w:lineRule="auto"/>
        <w:jc w:val="both"/>
        <w:rPr>
          <w:rFonts w:ascii="Times New Roman" w:eastAsia="Times New Roman" w:hAnsi="Times New Roman" w:cs="Times New Roman"/>
          <w:highlight w:val="lightGray"/>
        </w:rPr>
      </w:pPr>
    </w:p>
    <w:p w:rsidR="008F449C" w:rsidRDefault="008F449C" w:rsidP="008F449C">
      <w:pPr>
        <w:widowControl w:val="0"/>
        <w:spacing w:before="120" w:after="120" w:line="240" w:lineRule="auto"/>
        <w:jc w:val="both"/>
        <w:rPr>
          <w:rFonts w:ascii="Times New Roman" w:eastAsia="Times New Roman" w:hAnsi="Times New Roman" w:cs="Times New Roman"/>
          <w:bCs/>
        </w:rPr>
      </w:pPr>
      <w:r w:rsidRPr="00DC5CE6">
        <w:rPr>
          <w:rFonts w:ascii="Times New Roman" w:eastAsia="Times New Roman" w:hAnsi="Times New Roman" w:cs="Times New Roman"/>
          <w:bCs/>
        </w:rPr>
        <w:t>Budapest,</w:t>
      </w:r>
      <w:r w:rsidR="00DC5CE6" w:rsidRPr="00DC5CE6">
        <w:rPr>
          <w:rFonts w:ascii="Times New Roman" w:eastAsia="Times New Roman" w:hAnsi="Times New Roman" w:cs="Times New Roman"/>
          <w:bCs/>
        </w:rPr>
        <w:t xml:space="preserve"> 2020. március 30.</w:t>
      </w:r>
    </w:p>
    <w:p w:rsidR="008F449C" w:rsidRDefault="008F449C" w:rsidP="008F449C">
      <w:pPr>
        <w:tabs>
          <w:tab w:val="right" w:pos="900"/>
        </w:tabs>
        <w:spacing w:before="120"/>
        <w:ind w:left="1985" w:hanging="1980"/>
        <w:jc w:val="both"/>
        <w:rPr>
          <w:rFonts w:ascii="Times New Roman" w:hAnsi="Times New Roman" w:cs="Times New Roman"/>
          <w:bCs/>
          <w:lang w:eastAsia="x-none"/>
        </w:rPr>
      </w:pPr>
    </w:p>
    <w:p w:rsidR="008F449C" w:rsidRDefault="008F449C" w:rsidP="008F449C">
      <w:pPr>
        <w:tabs>
          <w:tab w:val="right" w:pos="900"/>
        </w:tabs>
        <w:spacing w:after="0"/>
        <w:rPr>
          <w:rFonts w:ascii="Times New Roman" w:hAnsi="Times New Roman" w:cs="Times New Roman"/>
          <w:bCs/>
          <w:lang w:val="x-none" w:eastAsia="x-none"/>
        </w:rPr>
      </w:pPr>
      <w:r>
        <w:rPr>
          <w:rFonts w:ascii="Times New Roman" w:hAnsi="Times New Roman" w:cs="Times New Roman"/>
          <w:b/>
          <w:lang w:eastAsia="x-none"/>
        </w:rPr>
        <w:tab/>
      </w:r>
      <w:r>
        <w:rPr>
          <w:rFonts w:ascii="Times New Roman" w:hAnsi="Times New Roman" w:cs="Times New Roman"/>
          <w:b/>
          <w:lang w:eastAsia="x-none"/>
        </w:rPr>
        <w:tab/>
      </w:r>
      <w:r>
        <w:rPr>
          <w:rFonts w:ascii="Times New Roman" w:hAnsi="Times New Roman" w:cs="Times New Roman"/>
          <w:b/>
          <w:lang w:eastAsia="x-none"/>
        </w:rPr>
        <w:tab/>
      </w:r>
      <w:r>
        <w:rPr>
          <w:rFonts w:ascii="Times New Roman" w:hAnsi="Times New Roman" w:cs="Times New Roman"/>
          <w:b/>
          <w:lang w:eastAsia="x-none"/>
        </w:rPr>
        <w:tab/>
      </w:r>
      <w:r>
        <w:rPr>
          <w:rFonts w:ascii="Times New Roman" w:hAnsi="Times New Roman" w:cs="Times New Roman"/>
          <w:b/>
          <w:lang w:eastAsia="x-none"/>
        </w:rPr>
        <w:tab/>
      </w:r>
      <w:r>
        <w:rPr>
          <w:rFonts w:ascii="Times New Roman" w:hAnsi="Times New Roman" w:cs="Times New Roman"/>
          <w:b/>
          <w:lang w:eastAsia="x-none"/>
        </w:rPr>
        <w:tab/>
        <w:t xml:space="preserve">  </w:t>
      </w:r>
      <w:r>
        <w:rPr>
          <w:rFonts w:ascii="Times New Roman" w:hAnsi="Times New Roman" w:cs="Times New Roman"/>
          <w:b/>
          <w:lang w:eastAsia="x-none"/>
        </w:rPr>
        <w:tab/>
        <w:t xml:space="preserve">         Dr. Fábos Róbert adjunktus, PhD</w:t>
      </w:r>
    </w:p>
    <w:p w:rsidR="008F449C" w:rsidRDefault="008F449C" w:rsidP="008F449C">
      <w:pPr>
        <w:spacing w:after="0"/>
        <w:ind w:left="5672" w:firstLine="709"/>
        <w:rPr>
          <w:rFonts w:ascii="Times New Roman" w:hAnsi="Times New Roman" w:cs="Times New Roman"/>
          <w:bCs/>
        </w:rPr>
      </w:pPr>
      <w:r>
        <w:rPr>
          <w:rFonts w:ascii="Times New Roman" w:hAnsi="Times New Roman" w:cs="Times New Roman"/>
          <w:bCs/>
        </w:rPr>
        <w:t>tantárgyfelelős</w:t>
      </w:r>
    </w:p>
    <w:p w:rsidR="00920D61" w:rsidRDefault="00920D61">
      <w:pPr>
        <w:spacing w:after="200" w:line="276" w:lineRule="auto"/>
        <w:rPr>
          <w:rFonts w:ascii="Times New Roman" w:hAnsi="Times New Roman" w:cs="Times New Roman"/>
          <w:sz w:val="24"/>
        </w:rPr>
      </w:pPr>
    </w:p>
    <w:p w:rsidR="008F449C" w:rsidRDefault="008F449C">
      <w:pPr>
        <w:spacing w:after="200" w:line="276" w:lineRule="auto"/>
        <w:rPr>
          <w:rFonts w:ascii="Times New Roman" w:hAnsi="Times New Roman" w:cs="Times New Roman"/>
          <w:sz w:val="24"/>
        </w:rPr>
      </w:pPr>
      <w:r>
        <w:rPr>
          <w:rFonts w:ascii="Times New Roman" w:hAnsi="Times New Roman" w:cs="Times New Roman"/>
          <w:sz w:val="24"/>
        </w:rPr>
        <w:br w:type="page"/>
      </w:r>
    </w:p>
    <w:tbl>
      <w:tblPr>
        <w:tblW w:w="9072" w:type="dxa"/>
        <w:tblInd w:w="113" w:type="dxa"/>
        <w:tblLook w:val="01E0" w:firstRow="1" w:lastRow="1" w:firstColumn="1" w:lastColumn="1" w:noHBand="0" w:noVBand="0"/>
      </w:tblPr>
      <w:tblGrid>
        <w:gridCol w:w="4855"/>
        <w:gridCol w:w="1620"/>
        <w:gridCol w:w="2597"/>
      </w:tblGrid>
      <w:tr w:rsidR="008F449C" w:rsidRPr="008F449C" w:rsidTr="008F449C">
        <w:tc>
          <w:tcPr>
            <w:tcW w:w="4855" w:type="dxa"/>
            <w:tcBorders>
              <w:top w:val="nil"/>
              <w:left w:val="nil"/>
              <w:bottom w:val="single" w:sz="4" w:space="0" w:color="auto"/>
              <w:right w:val="nil"/>
            </w:tcBorders>
            <w:hideMark/>
          </w:tcPr>
          <w:p w:rsidR="008F449C" w:rsidRPr="008F449C" w:rsidRDefault="008F449C" w:rsidP="008F449C">
            <w:pPr>
              <w:spacing w:after="0" w:line="240" w:lineRule="auto"/>
              <w:jc w:val="center"/>
              <w:rPr>
                <w:rFonts w:ascii="Times New Roman" w:eastAsia="Times New Roman" w:hAnsi="Times New Roman" w:cs="Times New Roman"/>
                <w:b/>
                <w:smallCaps/>
                <w:lang w:eastAsia="hu-HU"/>
              </w:rPr>
            </w:pPr>
            <w:r w:rsidRPr="008F449C">
              <w:rPr>
                <w:rFonts w:ascii="Times New Roman" w:eastAsia="Times New Roman" w:hAnsi="Times New Roman" w:cs="Times New Roman"/>
                <w:b/>
                <w:smallCaps/>
                <w:lang w:eastAsia="hu-HU"/>
              </w:rPr>
              <w:lastRenderedPageBreak/>
              <w:t>Nemzeti Közszolgálati Egyetem</w:t>
            </w:r>
          </w:p>
        </w:tc>
        <w:tc>
          <w:tcPr>
            <w:tcW w:w="1620" w:type="dxa"/>
          </w:tcPr>
          <w:p w:rsidR="008F449C" w:rsidRPr="008F449C" w:rsidRDefault="008F449C" w:rsidP="008F449C">
            <w:pPr>
              <w:spacing w:after="0" w:line="240" w:lineRule="auto"/>
              <w:jc w:val="both"/>
              <w:rPr>
                <w:rFonts w:ascii="Times New Roman" w:eastAsia="Times New Roman" w:hAnsi="Times New Roman" w:cs="Times New Roman"/>
                <w:lang w:eastAsia="hu-HU"/>
              </w:rPr>
            </w:pPr>
          </w:p>
        </w:tc>
        <w:tc>
          <w:tcPr>
            <w:tcW w:w="2597" w:type="dxa"/>
          </w:tcPr>
          <w:p w:rsidR="008F449C" w:rsidRPr="008F449C" w:rsidRDefault="008F449C" w:rsidP="008F449C">
            <w:pPr>
              <w:spacing w:after="0" w:line="240" w:lineRule="auto"/>
              <w:jc w:val="right"/>
              <w:rPr>
                <w:rFonts w:ascii="Times New Roman" w:eastAsia="Times New Roman" w:hAnsi="Times New Roman" w:cs="Times New Roman"/>
                <w:lang w:eastAsia="hu-HU"/>
              </w:rPr>
            </w:pPr>
          </w:p>
        </w:tc>
      </w:tr>
      <w:tr w:rsidR="008F449C" w:rsidRPr="008F449C" w:rsidTr="008F449C">
        <w:tc>
          <w:tcPr>
            <w:tcW w:w="4855" w:type="dxa"/>
            <w:tcBorders>
              <w:top w:val="single" w:sz="4" w:space="0" w:color="auto"/>
              <w:left w:val="nil"/>
              <w:bottom w:val="nil"/>
              <w:right w:val="nil"/>
            </w:tcBorders>
            <w:hideMark/>
          </w:tcPr>
          <w:p w:rsidR="008F449C" w:rsidRPr="008F449C" w:rsidRDefault="008F449C" w:rsidP="008F449C">
            <w:pPr>
              <w:spacing w:after="0" w:line="240" w:lineRule="auto"/>
              <w:jc w:val="center"/>
              <w:rPr>
                <w:rFonts w:ascii="Times New Roman" w:eastAsia="Times New Roman" w:hAnsi="Times New Roman" w:cs="Times New Roman"/>
                <w:b/>
                <w:lang w:eastAsia="hu-HU"/>
              </w:rPr>
            </w:pPr>
            <w:r w:rsidRPr="008F449C">
              <w:rPr>
                <w:rFonts w:ascii="Times New Roman" w:eastAsia="Times New Roman" w:hAnsi="Times New Roman" w:cs="Times New Roman"/>
                <w:b/>
                <w:lang w:eastAsia="hu-HU"/>
              </w:rPr>
              <w:t>Hadtudományi és Honvédtisztképző Kar</w:t>
            </w:r>
          </w:p>
        </w:tc>
        <w:tc>
          <w:tcPr>
            <w:tcW w:w="1620" w:type="dxa"/>
          </w:tcPr>
          <w:p w:rsidR="008F449C" w:rsidRPr="008F449C" w:rsidRDefault="008F449C" w:rsidP="008F449C">
            <w:pPr>
              <w:spacing w:after="0" w:line="240" w:lineRule="auto"/>
              <w:jc w:val="both"/>
              <w:rPr>
                <w:rFonts w:ascii="Times New Roman" w:eastAsia="Times New Roman" w:hAnsi="Times New Roman" w:cs="Times New Roman"/>
                <w:lang w:eastAsia="hu-HU"/>
              </w:rPr>
            </w:pPr>
          </w:p>
        </w:tc>
        <w:tc>
          <w:tcPr>
            <w:tcW w:w="2597" w:type="dxa"/>
          </w:tcPr>
          <w:p w:rsidR="008F449C" w:rsidRPr="008F449C" w:rsidRDefault="008F449C" w:rsidP="008F449C">
            <w:pPr>
              <w:spacing w:after="0" w:line="240" w:lineRule="auto"/>
              <w:jc w:val="both"/>
              <w:rPr>
                <w:rFonts w:ascii="Times New Roman" w:eastAsia="Times New Roman" w:hAnsi="Times New Roman" w:cs="Times New Roman"/>
                <w:lang w:eastAsia="hu-HU"/>
              </w:rPr>
            </w:pPr>
          </w:p>
        </w:tc>
      </w:tr>
    </w:tbl>
    <w:p w:rsidR="008F449C" w:rsidRPr="008F449C" w:rsidRDefault="008F449C" w:rsidP="008F449C">
      <w:pPr>
        <w:widowControl w:val="0"/>
        <w:spacing w:before="120" w:after="120" w:line="240" w:lineRule="auto"/>
        <w:ind w:left="426" w:hanging="142"/>
        <w:jc w:val="center"/>
        <w:rPr>
          <w:rFonts w:ascii="Times New Roman" w:eastAsia="Times New Roman" w:hAnsi="Times New Roman" w:cs="Times New Roman"/>
          <w:b/>
          <w:bCs/>
        </w:rPr>
      </w:pPr>
    </w:p>
    <w:p w:rsidR="008F449C" w:rsidRPr="008F449C" w:rsidRDefault="008F449C" w:rsidP="008F449C">
      <w:pPr>
        <w:widowControl w:val="0"/>
        <w:spacing w:before="120" w:after="120" w:line="240" w:lineRule="auto"/>
        <w:ind w:left="426" w:hanging="142"/>
        <w:jc w:val="center"/>
        <w:rPr>
          <w:rFonts w:ascii="Times New Roman" w:eastAsia="Times New Roman" w:hAnsi="Times New Roman" w:cs="Times New Roman"/>
          <w:b/>
          <w:bCs/>
        </w:rPr>
      </w:pPr>
      <w:r w:rsidRPr="008F449C">
        <w:rPr>
          <w:rFonts w:ascii="Times New Roman" w:eastAsia="Times New Roman" w:hAnsi="Times New Roman" w:cs="Times New Roman"/>
          <w:b/>
          <w:bCs/>
        </w:rPr>
        <w:t>TANTÁRGYI PROGRAM</w:t>
      </w:r>
    </w:p>
    <w:p w:rsidR="008F449C" w:rsidRPr="008F449C" w:rsidRDefault="008F449C" w:rsidP="00980876">
      <w:pPr>
        <w:widowControl w:val="0"/>
        <w:numPr>
          <w:ilvl w:val="0"/>
          <w:numId w:val="282"/>
        </w:numPr>
        <w:tabs>
          <w:tab w:val="num" w:pos="567"/>
        </w:tabs>
        <w:spacing w:before="120" w:after="120" w:line="240" w:lineRule="auto"/>
        <w:ind w:left="426" w:hanging="142"/>
        <w:jc w:val="both"/>
        <w:rPr>
          <w:rFonts w:ascii="Times New Roman" w:eastAsia="Times New Roman" w:hAnsi="Times New Roman" w:cs="Times New Roman"/>
          <w:b/>
          <w:bCs/>
        </w:rPr>
      </w:pPr>
      <w:r w:rsidRPr="008F449C">
        <w:rPr>
          <w:rFonts w:ascii="Times New Roman" w:eastAsia="Times New Roman" w:hAnsi="Times New Roman" w:cs="Times New Roman"/>
          <w:b/>
          <w:bCs/>
        </w:rPr>
        <w:t xml:space="preserve">A tantárgy kódja: </w:t>
      </w:r>
      <w:r w:rsidRPr="008F449C">
        <w:rPr>
          <w:rFonts w:ascii="Times New Roman" w:eastAsia="Times New Roman" w:hAnsi="Times New Roman" w:cs="Times New Roman"/>
          <w:bCs/>
        </w:rPr>
        <w:t>HKHPKA313</w:t>
      </w:r>
    </w:p>
    <w:p w:rsidR="008F449C" w:rsidRPr="008F449C" w:rsidRDefault="008F449C" w:rsidP="00980876">
      <w:pPr>
        <w:widowControl w:val="0"/>
        <w:numPr>
          <w:ilvl w:val="0"/>
          <w:numId w:val="282"/>
        </w:numPr>
        <w:tabs>
          <w:tab w:val="num" w:pos="567"/>
        </w:tabs>
        <w:spacing w:before="120" w:after="120" w:line="240" w:lineRule="auto"/>
        <w:ind w:left="426" w:hanging="142"/>
        <w:jc w:val="both"/>
        <w:rPr>
          <w:rFonts w:ascii="Times New Roman" w:eastAsia="Times New Roman" w:hAnsi="Times New Roman" w:cs="Times New Roman"/>
          <w:b/>
          <w:bCs/>
          <w:lang w:val="en-GB"/>
        </w:rPr>
      </w:pPr>
      <w:r w:rsidRPr="008F449C">
        <w:rPr>
          <w:rFonts w:ascii="Times New Roman" w:eastAsia="Times New Roman" w:hAnsi="Times New Roman" w:cs="Times New Roman"/>
          <w:b/>
          <w:bCs/>
        </w:rPr>
        <w:t>A tantárgy megnevezése (magyarul):</w:t>
      </w:r>
      <w:r w:rsidRPr="008F449C">
        <w:rPr>
          <w:rFonts w:ascii="Times New Roman" w:eastAsia="Times New Roman" w:hAnsi="Times New Roman" w:cs="Times New Roman"/>
          <w:bCs/>
        </w:rPr>
        <w:t xml:space="preserve"> </w:t>
      </w:r>
      <w:r w:rsidRPr="008F449C">
        <w:rPr>
          <w:rFonts w:ascii="Times New Roman" w:eastAsia="Calibri" w:hAnsi="Times New Roman" w:cs="Times New Roman"/>
        </w:rPr>
        <w:t>Katonai közlekedési informatika</w:t>
      </w:r>
    </w:p>
    <w:p w:rsidR="008F449C" w:rsidRPr="008F449C" w:rsidRDefault="008F449C" w:rsidP="00980876">
      <w:pPr>
        <w:widowControl w:val="0"/>
        <w:numPr>
          <w:ilvl w:val="0"/>
          <w:numId w:val="282"/>
        </w:numPr>
        <w:tabs>
          <w:tab w:val="num" w:pos="567"/>
        </w:tabs>
        <w:spacing w:before="120" w:after="120" w:line="240" w:lineRule="auto"/>
        <w:ind w:left="426" w:hanging="142"/>
        <w:jc w:val="both"/>
        <w:rPr>
          <w:rFonts w:ascii="Times New Roman" w:eastAsia="Times New Roman" w:hAnsi="Times New Roman" w:cs="Times New Roman"/>
          <w:b/>
          <w:bCs/>
          <w:lang w:val="en-GB"/>
        </w:rPr>
      </w:pPr>
      <w:r w:rsidRPr="008F449C">
        <w:rPr>
          <w:rFonts w:ascii="Times New Roman" w:eastAsia="Times New Roman" w:hAnsi="Times New Roman" w:cs="Times New Roman"/>
          <w:b/>
          <w:bCs/>
        </w:rPr>
        <w:t xml:space="preserve">A tantárgy megnevezése (angolul): </w:t>
      </w:r>
      <w:r w:rsidRPr="008F449C">
        <w:rPr>
          <w:rFonts w:ascii="Times New Roman" w:eastAsia="Calibri" w:hAnsi="Times New Roman" w:cs="Times New Roman"/>
        </w:rPr>
        <w:t>Informatics of Military Transportation</w:t>
      </w:r>
    </w:p>
    <w:p w:rsidR="008F449C" w:rsidRPr="008F449C" w:rsidRDefault="008F449C" w:rsidP="00980876">
      <w:pPr>
        <w:widowControl w:val="0"/>
        <w:numPr>
          <w:ilvl w:val="0"/>
          <w:numId w:val="282"/>
        </w:numPr>
        <w:tabs>
          <w:tab w:val="num" w:pos="567"/>
        </w:tabs>
        <w:spacing w:before="120" w:after="120" w:line="240" w:lineRule="auto"/>
        <w:ind w:left="426" w:hanging="142"/>
        <w:jc w:val="both"/>
        <w:rPr>
          <w:rFonts w:ascii="Times New Roman" w:eastAsia="Times New Roman" w:hAnsi="Times New Roman" w:cs="Times New Roman"/>
          <w:b/>
          <w:bCs/>
        </w:rPr>
      </w:pPr>
      <w:r w:rsidRPr="008F449C">
        <w:rPr>
          <w:rFonts w:ascii="Times New Roman" w:eastAsia="Times New Roman" w:hAnsi="Times New Roman" w:cs="Times New Roman"/>
          <w:b/>
          <w:bCs/>
        </w:rPr>
        <w:t xml:space="preserve">Kreditérték és képzési karakter: </w:t>
      </w:r>
    </w:p>
    <w:p w:rsidR="008F449C" w:rsidRPr="008F449C" w:rsidRDefault="008F449C" w:rsidP="00980876">
      <w:pPr>
        <w:widowControl w:val="0"/>
        <w:numPr>
          <w:ilvl w:val="1"/>
          <w:numId w:val="282"/>
        </w:numPr>
        <w:spacing w:before="120" w:after="120" w:line="240" w:lineRule="auto"/>
        <w:ind w:left="993" w:hanging="426"/>
        <w:contextualSpacing/>
        <w:jc w:val="both"/>
        <w:rPr>
          <w:rFonts w:ascii="Times New Roman" w:eastAsia="Times New Roman" w:hAnsi="Times New Roman" w:cs="Times New Roman"/>
          <w:b/>
          <w:bCs/>
        </w:rPr>
      </w:pPr>
      <w:r w:rsidRPr="008F449C">
        <w:rPr>
          <w:rFonts w:ascii="Times New Roman" w:eastAsia="Times New Roman" w:hAnsi="Times New Roman" w:cs="Times New Roman"/>
          <w:bCs/>
        </w:rPr>
        <w:t>3 kredit</w:t>
      </w:r>
    </w:p>
    <w:p w:rsidR="008F449C" w:rsidRPr="008F449C" w:rsidRDefault="008F449C" w:rsidP="00980876">
      <w:pPr>
        <w:widowControl w:val="0"/>
        <w:numPr>
          <w:ilvl w:val="1"/>
          <w:numId w:val="282"/>
        </w:numPr>
        <w:spacing w:before="120" w:after="120" w:line="240" w:lineRule="auto"/>
        <w:ind w:left="993" w:hanging="426"/>
        <w:contextualSpacing/>
        <w:jc w:val="both"/>
        <w:rPr>
          <w:rFonts w:ascii="Times New Roman" w:eastAsia="Times New Roman" w:hAnsi="Times New Roman" w:cs="Times New Roman"/>
          <w:b/>
          <w:bCs/>
        </w:rPr>
      </w:pPr>
      <w:r w:rsidRPr="008F449C">
        <w:rPr>
          <w:rFonts w:ascii="Times New Roman" w:eastAsia="Times New Roman" w:hAnsi="Times New Roman" w:cs="Times New Roman"/>
          <w:bCs/>
        </w:rPr>
        <w:t>a tantárgy elméleti vagy gyakorlati jellegének mértéke: 33</w:t>
      </w:r>
      <w:r w:rsidRPr="008F449C">
        <w:rPr>
          <w:rFonts w:ascii="Times New Roman" w:eastAsia="Times New Roman" w:hAnsi="Times New Roman" w:cs="Times New Roman"/>
          <w:b/>
          <w:bCs/>
        </w:rPr>
        <w:t xml:space="preserve"> </w:t>
      </w:r>
      <w:r w:rsidRPr="008F449C">
        <w:rPr>
          <w:rFonts w:ascii="Times New Roman" w:eastAsia="Times New Roman" w:hAnsi="Times New Roman" w:cs="Times New Roman"/>
          <w:bCs/>
        </w:rPr>
        <w:t>% gyakorlat, 67 % elmélet</w:t>
      </w:r>
    </w:p>
    <w:p w:rsidR="008F449C" w:rsidRPr="008F449C" w:rsidRDefault="008F449C" w:rsidP="00980876">
      <w:pPr>
        <w:widowControl w:val="0"/>
        <w:numPr>
          <w:ilvl w:val="0"/>
          <w:numId w:val="282"/>
        </w:numPr>
        <w:spacing w:before="120" w:after="120" w:line="240" w:lineRule="auto"/>
        <w:ind w:left="426" w:hanging="142"/>
        <w:jc w:val="both"/>
        <w:rPr>
          <w:rFonts w:ascii="Times New Roman" w:eastAsia="Times New Roman" w:hAnsi="Times New Roman" w:cs="Times New Roman"/>
          <w:bCs/>
        </w:rPr>
      </w:pPr>
      <w:r w:rsidRPr="008F449C">
        <w:rPr>
          <w:rFonts w:ascii="Times New Roman" w:eastAsia="Times New Roman" w:hAnsi="Times New Roman" w:cs="Times New Roman"/>
          <w:b/>
          <w:bCs/>
        </w:rPr>
        <w:t>A szak(ok), szakirányok/specializációk megnevezése (ahol oktatják):</w:t>
      </w:r>
      <w:r w:rsidRPr="008F449C">
        <w:rPr>
          <w:rFonts w:ascii="Times New Roman" w:eastAsia="Times New Roman" w:hAnsi="Times New Roman" w:cs="Times New Roman"/>
          <w:bCs/>
        </w:rPr>
        <w:t xml:space="preserve"> Katonai logisztika alapképzési szak, Katonai közlekedési specializáció</w:t>
      </w:r>
    </w:p>
    <w:p w:rsidR="008F449C" w:rsidRPr="008F449C" w:rsidRDefault="008F449C" w:rsidP="00980876">
      <w:pPr>
        <w:widowControl w:val="0"/>
        <w:numPr>
          <w:ilvl w:val="0"/>
          <w:numId w:val="282"/>
        </w:numPr>
        <w:tabs>
          <w:tab w:val="num" w:pos="567"/>
        </w:tabs>
        <w:spacing w:before="120" w:after="120" w:line="240" w:lineRule="auto"/>
        <w:ind w:left="426" w:hanging="142"/>
        <w:jc w:val="both"/>
        <w:rPr>
          <w:rFonts w:ascii="Times New Roman" w:eastAsia="Times New Roman" w:hAnsi="Times New Roman" w:cs="Times New Roman"/>
          <w:bCs/>
        </w:rPr>
      </w:pPr>
      <w:r w:rsidRPr="008F449C">
        <w:rPr>
          <w:rFonts w:ascii="Times New Roman" w:eastAsia="Times New Roman" w:hAnsi="Times New Roman" w:cs="Times New Roman"/>
          <w:b/>
          <w:bCs/>
        </w:rPr>
        <w:t xml:space="preserve">Az oktatásért felelős oktatási szervezeti egység megnevezése: </w:t>
      </w:r>
      <w:r w:rsidRPr="008F449C">
        <w:rPr>
          <w:rFonts w:ascii="Times New Roman" w:eastAsia="Times New Roman" w:hAnsi="Times New Roman" w:cs="Times New Roman"/>
          <w:bCs/>
        </w:rPr>
        <w:t>NKE HHK, Hadtáp, Pénzügyi és Katonai Közlekedési Tanszék</w:t>
      </w:r>
    </w:p>
    <w:p w:rsidR="008F449C" w:rsidRPr="008F449C" w:rsidRDefault="008F449C" w:rsidP="00980876">
      <w:pPr>
        <w:widowControl w:val="0"/>
        <w:numPr>
          <w:ilvl w:val="0"/>
          <w:numId w:val="282"/>
        </w:numPr>
        <w:tabs>
          <w:tab w:val="num" w:pos="567"/>
        </w:tabs>
        <w:spacing w:before="120" w:after="120" w:line="240" w:lineRule="auto"/>
        <w:ind w:left="426" w:hanging="142"/>
        <w:jc w:val="both"/>
        <w:rPr>
          <w:rFonts w:ascii="Times New Roman" w:eastAsia="Times New Roman" w:hAnsi="Times New Roman" w:cs="Times New Roman"/>
          <w:bCs/>
        </w:rPr>
      </w:pPr>
      <w:r w:rsidRPr="008F449C">
        <w:rPr>
          <w:rFonts w:ascii="Times New Roman" w:eastAsia="Times New Roman" w:hAnsi="Times New Roman" w:cs="Times New Roman"/>
          <w:b/>
          <w:bCs/>
        </w:rPr>
        <w:t>A tantárgyfelelős oktató neve, beosztása, tudományos fokozata:</w:t>
      </w:r>
      <w:r w:rsidRPr="008F449C">
        <w:rPr>
          <w:rFonts w:ascii="Times New Roman" w:eastAsia="Times New Roman" w:hAnsi="Times New Roman" w:cs="Times New Roman"/>
          <w:bCs/>
        </w:rPr>
        <w:t xml:space="preserve"> Dr. Fábos Róbert, PhD, adjunktus</w:t>
      </w:r>
    </w:p>
    <w:p w:rsidR="008F449C" w:rsidRPr="008F449C" w:rsidRDefault="008F449C" w:rsidP="00980876">
      <w:pPr>
        <w:widowControl w:val="0"/>
        <w:numPr>
          <w:ilvl w:val="0"/>
          <w:numId w:val="282"/>
        </w:numPr>
        <w:spacing w:before="120" w:after="120" w:line="240" w:lineRule="auto"/>
        <w:ind w:left="426" w:hanging="142"/>
        <w:jc w:val="both"/>
        <w:rPr>
          <w:rFonts w:ascii="Times New Roman" w:eastAsia="Times New Roman" w:hAnsi="Times New Roman" w:cs="Times New Roman"/>
          <w:bCs/>
        </w:rPr>
      </w:pPr>
      <w:r w:rsidRPr="008F449C">
        <w:rPr>
          <w:rFonts w:ascii="Times New Roman" w:eastAsia="Times New Roman" w:hAnsi="Times New Roman" w:cs="Times New Roman"/>
          <w:b/>
          <w:bCs/>
        </w:rPr>
        <w:t>A tanórák száma és típusa</w:t>
      </w:r>
    </w:p>
    <w:p w:rsidR="008F449C" w:rsidRPr="008F449C" w:rsidRDefault="008F449C" w:rsidP="00980876">
      <w:pPr>
        <w:widowControl w:val="0"/>
        <w:numPr>
          <w:ilvl w:val="1"/>
          <w:numId w:val="282"/>
        </w:numPr>
        <w:tabs>
          <w:tab w:val="num" w:pos="709"/>
          <w:tab w:val="num" w:pos="2069"/>
        </w:tabs>
        <w:spacing w:before="120" w:after="120" w:line="240" w:lineRule="auto"/>
        <w:ind w:left="851" w:hanging="425"/>
        <w:jc w:val="both"/>
        <w:rPr>
          <w:rFonts w:ascii="Times New Roman" w:eastAsia="Times New Roman" w:hAnsi="Times New Roman" w:cs="Times New Roman"/>
          <w:bCs/>
        </w:rPr>
      </w:pPr>
      <w:r w:rsidRPr="008F449C">
        <w:rPr>
          <w:rFonts w:ascii="Times New Roman" w:eastAsia="Times New Roman" w:hAnsi="Times New Roman" w:cs="Times New Roman"/>
          <w:bCs/>
        </w:rPr>
        <w:t>össz óraszám/félév: 42</w:t>
      </w:r>
    </w:p>
    <w:p w:rsidR="008F449C" w:rsidRPr="008F449C" w:rsidRDefault="008F449C" w:rsidP="00980876">
      <w:pPr>
        <w:widowControl w:val="0"/>
        <w:numPr>
          <w:ilvl w:val="2"/>
          <w:numId w:val="282"/>
        </w:numPr>
        <w:tabs>
          <w:tab w:val="num" w:pos="709"/>
          <w:tab w:val="num" w:pos="1134"/>
        </w:tabs>
        <w:spacing w:before="120" w:after="120" w:line="240" w:lineRule="auto"/>
        <w:ind w:left="993" w:hanging="425"/>
        <w:jc w:val="both"/>
        <w:rPr>
          <w:rFonts w:ascii="Times New Roman" w:eastAsia="Times New Roman" w:hAnsi="Times New Roman" w:cs="Times New Roman"/>
          <w:bCs/>
        </w:rPr>
      </w:pPr>
      <w:r w:rsidRPr="008F449C">
        <w:rPr>
          <w:rFonts w:ascii="Times New Roman" w:eastAsia="Times New Roman" w:hAnsi="Times New Roman" w:cs="Times New Roman"/>
          <w:bCs/>
        </w:rPr>
        <w:t>nappali munkarend: 42 (28 EA + 0 SZ + 14 GY)</w:t>
      </w:r>
    </w:p>
    <w:p w:rsidR="008F449C" w:rsidRPr="008F449C" w:rsidRDefault="008F449C" w:rsidP="00980876">
      <w:pPr>
        <w:widowControl w:val="0"/>
        <w:numPr>
          <w:ilvl w:val="2"/>
          <w:numId w:val="282"/>
        </w:numPr>
        <w:tabs>
          <w:tab w:val="num" w:pos="709"/>
          <w:tab w:val="num" w:pos="1134"/>
        </w:tabs>
        <w:spacing w:before="120" w:after="120" w:line="240" w:lineRule="auto"/>
        <w:ind w:left="993" w:hanging="425"/>
        <w:jc w:val="both"/>
        <w:rPr>
          <w:rFonts w:ascii="Times New Roman" w:eastAsia="Times New Roman" w:hAnsi="Times New Roman" w:cs="Times New Roman"/>
          <w:bCs/>
        </w:rPr>
      </w:pPr>
      <w:r w:rsidRPr="008F449C">
        <w:rPr>
          <w:rFonts w:ascii="Times New Roman" w:eastAsia="Times New Roman" w:hAnsi="Times New Roman" w:cs="Times New Roman"/>
          <w:bCs/>
        </w:rPr>
        <w:t>levelező munkarend: 0 (0 EA + 0 SZ + 0 GY)</w:t>
      </w:r>
    </w:p>
    <w:p w:rsidR="008F449C" w:rsidRPr="008F449C" w:rsidRDefault="008F449C" w:rsidP="00980876">
      <w:pPr>
        <w:widowControl w:val="0"/>
        <w:numPr>
          <w:ilvl w:val="1"/>
          <w:numId w:val="282"/>
        </w:numPr>
        <w:tabs>
          <w:tab w:val="num" w:pos="709"/>
          <w:tab w:val="num" w:pos="2069"/>
        </w:tabs>
        <w:spacing w:before="120" w:after="120" w:line="240" w:lineRule="auto"/>
        <w:ind w:left="851" w:hanging="425"/>
        <w:jc w:val="both"/>
        <w:rPr>
          <w:rFonts w:ascii="Times New Roman" w:eastAsia="Times New Roman" w:hAnsi="Times New Roman" w:cs="Times New Roman"/>
          <w:bCs/>
        </w:rPr>
      </w:pPr>
      <w:r w:rsidRPr="008F449C">
        <w:rPr>
          <w:rFonts w:ascii="Times New Roman" w:eastAsia="Times New Roman" w:hAnsi="Times New Roman" w:cs="Times New Roman"/>
          <w:bCs/>
        </w:rPr>
        <w:t>heti óraszám - nappali munkarend: 3</w:t>
      </w:r>
    </w:p>
    <w:p w:rsidR="008F449C" w:rsidRPr="008F449C" w:rsidRDefault="008F449C" w:rsidP="00980876">
      <w:pPr>
        <w:widowControl w:val="0"/>
        <w:numPr>
          <w:ilvl w:val="1"/>
          <w:numId w:val="282"/>
        </w:numPr>
        <w:tabs>
          <w:tab w:val="num" w:pos="709"/>
          <w:tab w:val="num" w:pos="2069"/>
        </w:tabs>
        <w:spacing w:before="120" w:after="120" w:line="240" w:lineRule="auto"/>
        <w:ind w:left="851" w:hanging="425"/>
        <w:jc w:val="both"/>
        <w:rPr>
          <w:rFonts w:ascii="Times New Roman" w:eastAsia="Times New Roman" w:hAnsi="Times New Roman" w:cs="Times New Roman"/>
          <w:bCs/>
        </w:rPr>
      </w:pPr>
      <w:r w:rsidRPr="008F449C">
        <w:rPr>
          <w:rFonts w:ascii="Times New Roman" w:eastAsia="Calibri" w:hAnsi="Times New Roman" w:cs="Times New Roman"/>
        </w:rPr>
        <w:t>Az ismeret átadásában alkalmazandó további sajátos módok, jellemzők: -</w:t>
      </w:r>
    </w:p>
    <w:p w:rsidR="008F449C" w:rsidRPr="008F449C" w:rsidRDefault="008F449C" w:rsidP="00980876">
      <w:pPr>
        <w:widowControl w:val="0"/>
        <w:numPr>
          <w:ilvl w:val="0"/>
          <w:numId w:val="282"/>
        </w:numPr>
        <w:spacing w:before="120" w:after="120" w:line="240" w:lineRule="auto"/>
        <w:ind w:left="426" w:hanging="142"/>
        <w:jc w:val="both"/>
        <w:rPr>
          <w:rFonts w:ascii="Times New Roman" w:eastAsia="Times New Roman" w:hAnsi="Times New Roman" w:cs="Times New Roman"/>
          <w:bCs/>
        </w:rPr>
      </w:pPr>
      <w:r w:rsidRPr="008F449C">
        <w:rPr>
          <w:rFonts w:ascii="Times New Roman" w:eastAsia="Times New Roman" w:hAnsi="Times New Roman" w:cs="Times New Roman"/>
          <w:b/>
          <w:bCs/>
        </w:rPr>
        <w:t>A tantárgy szakmai tartalma (magyarul):</w:t>
      </w:r>
      <w:r w:rsidRPr="008F449C">
        <w:rPr>
          <w:rFonts w:ascii="Times New Roman" w:eastAsia="Times New Roman" w:hAnsi="Times New Roman" w:cs="Times New Roman"/>
          <w:bCs/>
        </w:rPr>
        <w:t xml:space="preserve"> </w:t>
      </w:r>
      <w:r w:rsidRPr="008F449C">
        <w:rPr>
          <w:rFonts w:ascii="Times New Roman" w:eastAsia="Calibri" w:hAnsi="Times New Roman" w:cs="Times New Roman"/>
        </w:rPr>
        <w:t>Információs rendszerek tervezésének alapjai. Rendszertervezési eljárások. Gépjármű helymeghatározására alkalmas rendszerek felépítése, alkalmazásai. Operatív közlekedés-irányítási rendszerek. Közúti közlekedési vállalatok által használt informatikai rendszerek. A katonai szállítások tervezéséhez, szervezéséhez és irányításához alkalmazott telematikai rendszerek. A GPS alapú rendszerek alkalmazási lehetőségei a katonai szállításirányításban. A szállítmány és rakomány kisérés informatikai rendszerei.</w:t>
      </w:r>
    </w:p>
    <w:p w:rsidR="008F449C" w:rsidRPr="008F449C" w:rsidRDefault="008F449C" w:rsidP="008F449C">
      <w:pPr>
        <w:widowControl w:val="0"/>
        <w:spacing w:before="120" w:after="120" w:line="240" w:lineRule="auto"/>
        <w:ind w:left="426"/>
        <w:jc w:val="both"/>
        <w:rPr>
          <w:rFonts w:ascii="Times New Roman" w:eastAsia="Times New Roman" w:hAnsi="Times New Roman" w:cs="Times New Roman"/>
          <w:bCs/>
          <w:lang w:val="en-GB"/>
        </w:rPr>
      </w:pPr>
      <w:r w:rsidRPr="008F449C">
        <w:rPr>
          <w:rFonts w:ascii="Times New Roman" w:eastAsia="Times New Roman" w:hAnsi="Times New Roman" w:cs="Times New Roman"/>
          <w:b/>
          <w:bCs/>
        </w:rPr>
        <w:t>A tantárgy szakmai tartalma (angolul) (</w:t>
      </w:r>
      <w:r w:rsidRPr="008F449C">
        <w:rPr>
          <w:rFonts w:ascii="Times New Roman" w:eastAsia="Times New Roman" w:hAnsi="Times New Roman" w:cs="Times New Roman"/>
          <w:b/>
          <w:bCs/>
          <w:lang w:val="en-US"/>
        </w:rPr>
        <w:t>Course description</w:t>
      </w:r>
      <w:r w:rsidRPr="008F449C">
        <w:rPr>
          <w:rFonts w:ascii="Times New Roman" w:eastAsia="Times New Roman" w:hAnsi="Times New Roman" w:cs="Times New Roman"/>
          <w:b/>
          <w:bCs/>
        </w:rPr>
        <w:t xml:space="preserve">): </w:t>
      </w:r>
      <w:r w:rsidRPr="008F449C">
        <w:rPr>
          <w:rFonts w:ascii="Times New Roman" w:eastAsia="Calibri" w:hAnsi="Times New Roman" w:cs="Times New Roman"/>
          <w:bCs/>
        </w:rPr>
        <w:t>Basics of planning information systems. System design procedures. Structure and application of vehicle positioning systems. Operational traffic managment systems. IT systems used by road transport companies. Telematics systems used for planning, organizing and managing military transportation. Application of GPS based systems in military transportation. IT systems for shipment and cargo passage.</w:t>
      </w:r>
    </w:p>
    <w:p w:rsidR="008F449C" w:rsidRPr="008F449C" w:rsidRDefault="008F449C" w:rsidP="00980876">
      <w:pPr>
        <w:widowControl w:val="0"/>
        <w:numPr>
          <w:ilvl w:val="0"/>
          <w:numId w:val="282"/>
        </w:numPr>
        <w:spacing w:before="120" w:after="120" w:line="240" w:lineRule="auto"/>
        <w:contextualSpacing/>
        <w:jc w:val="both"/>
        <w:rPr>
          <w:rFonts w:ascii="Times New Roman" w:eastAsia="Times New Roman" w:hAnsi="Times New Roman" w:cs="Times New Roman"/>
          <w:bCs/>
        </w:rPr>
      </w:pPr>
      <w:r w:rsidRPr="008F449C">
        <w:rPr>
          <w:rFonts w:ascii="Times New Roman" w:eastAsia="Times New Roman" w:hAnsi="Times New Roman" w:cs="Times New Roman"/>
          <w:b/>
          <w:bCs/>
        </w:rPr>
        <w:t xml:space="preserve">Elérendő kompetenciák (magyarul): </w:t>
      </w:r>
    </w:p>
    <w:p w:rsidR="008F449C" w:rsidRPr="008F449C" w:rsidRDefault="008F449C" w:rsidP="008F449C">
      <w:pPr>
        <w:autoSpaceDE w:val="0"/>
        <w:autoSpaceDN w:val="0"/>
        <w:adjustRightInd w:val="0"/>
        <w:spacing w:before="120" w:after="0" w:line="240" w:lineRule="auto"/>
        <w:ind w:left="425"/>
        <w:jc w:val="both"/>
        <w:rPr>
          <w:rFonts w:ascii="Times New Roman" w:eastAsia="Times New Roman" w:hAnsi="Times New Roman" w:cs="Times New Roman"/>
          <w:b/>
          <w:bCs/>
        </w:rPr>
      </w:pPr>
      <w:r w:rsidRPr="008F449C">
        <w:rPr>
          <w:rFonts w:ascii="Times New Roman" w:eastAsia="Times New Roman" w:hAnsi="Times New Roman" w:cs="Times New Roman"/>
          <w:b/>
          <w:bCs/>
        </w:rPr>
        <w:t xml:space="preserve">Tudása: </w:t>
      </w:r>
    </w:p>
    <w:p w:rsidR="008F449C" w:rsidRPr="008F449C" w:rsidRDefault="008F449C"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8F449C">
        <w:rPr>
          <w:rFonts w:ascii="Times New Roman" w:eastAsia="Calibri" w:hAnsi="Times New Roman" w:cs="Times New Roman"/>
        </w:rPr>
        <w:t>Ismeri a katonai közlekedési szakterülethez szervesen kapcsolódó logisztikai, menedzsment, környezetvédelmi, minőségbiztosítási, információtechnológiai, jogi, közgazdasági szakterületek alapjait és követelményeit.</w:t>
      </w:r>
    </w:p>
    <w:p w:rsidR="008F449C" w:rsidRPr="008F449C" w:rsidRDefault="008F449C"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8F449C">
        <w:rPr>
          <w:rFonts w:ascii="Times New Roman" w:eastAsia="Calibri" w:hAnsi="Times New Roman" w:cs="Times New Roman"/>
        </w:rPr>
        <w:t>Mélyrehatóan ismeri a katonai közlekedési szakterület szakmai feladatait, a közlekedési szakfeladatok rendszerét, az egyes feladatok végrehajtásának sajátosságait.</w:t>
      </w:r>
    </w:p>
    <w:p w:rsidR="008F449C" w:rsidRPr="008F449C" w:rsidRDefault="008F449C"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8F449C">
        <w:rPr>
          <w:rFonts w:ascii="Times New Roman" w:eastAsia="Calibri" w:hAnsi="Times New Roman" w:cs="Times New Roman"/>
        </w:rPr>
        <w:t>Ismeri a katonai közlekedési igények felmérésének módszereit és megvalósítási lehetőségeit, gyakorlatát.</w:t>
      </w:r>
    </w:p>
    <w:p w:rsidR="008F449C" w:rsidRPr="008F449C" w:rsidRDefault="008F449C" w:rsidP="008F449C">
      <w:pPr>
        <w:autoSpaceDE w:val="0"/>
        <w:autoSpaceDN w:val="0"/>
        <w:adjustRightInd w:val="0"/>
        <w:spacing w:before="120" w:after="0" w:line="240" w:lineRule="auto"/>
        <w:ind w:left="425"/>
        <w:jc w:val="both"/>
        <w:rPr>
          <w:rFonts w:ascii="Times New Roman" w:eastAsia="Times New Roman" w:hAnsi="Times New Roman" w:cs="Times New Roman"/>
          <w:bCs/>
        </w:rPr>
      </w:pPr>
      <w:r w:rsidRPr="008F449C">
        <w:rPr>
          <w:rFonts w:ascii="Times New Roman" w:eastAsia="Times New Roman" w:hAnsi="Times New Roman" w:cs="Times New Roman"/>
          <w:b/>
          <w:bCs/>
        </w:rPr>
        <w:t>Képességei:</w:t>
      </w:r>
      <w:r w:rsidRPr="008F449C">
        <w:rPr>
          <w:rFonts w:ascii="Times New Roman" w:eastAsia="Times New Roman" w:hAnsi="Times New Roman" w:cs="Times New Roman"/>
          <w:bCs/>
        </w:rPr>
        <w:t xml:space="preserve"> </w:t>
      </w:r>
    </w:p>
    <w:p w:rsidR="008F449C" w:rsidRPr="008F449C" w:rsidRDefault="008F449C"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8F449C">
        <w:rPr>
          <w:rFonts w:ascii="Times New Roman" w:eastAsia="Calibri" w:hAnsi="Times New Roman" w:cs="Times New Roman"/>
        </w:rPr>
        <w:t>Az általános és specifikus katonai ismeretei és készségei birtokában képes a katonai közlekedési, mozgatási, szállítási feladatok tervezésére, szervezésére és vezetésére.</w:t>
      </w:r>
    </w:p>
    <w:p w:rsidR="008F449C" w:rsidRPr="008F449C" w:rsidRDefault="008F449C"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8F449C">
        <w:rPr>
          <w:rFonts w:ascii="Times New Roman" w:eastAsia="Calibri" w:hAnsi="Times New Roman" w:cs="Times New Roman"/>
        </w:rPr>
        <w:lastRenderedPageBreak/>
        <w:t>Képes békeidőszakban, válságkezelő, katasztrófa-elhárítási, béketámogató és háborús műveletekben, nemzeti és többnemzeti környezetben a szállító szakalegységek alaprendeltetéséből fakadó feladatai végrehajtásának vezetésére.</w:t>
      </w:r>
    </w:p>
    <w:p w:rsidR="008F449C" w:rsidRPr="008F449C" w:rsidRDefault="008F449C"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8F449C">
        <w:rPr>
          <w:rFonts w:ascii="Times New Roman" w:eastAsia="Calibri" w:hAnsi="Times New Roman" w:cs="Times New Roman"/>
        </w:rPr>
        <w:t>Képes a közlekedési hálózatok katonai célú alkalmazásának tervezésére, szervezésére és végrehajtására.</w:t>
      </w:r>
    </w:p>
    <w:p w:rsidR="008F449C" w:rsidRPr="008F449C" w:rsidRDefault="008F449C"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8F449C">
        <w:rPr>
          <w:rFonts w:ascii="Times New Roman" w:eastAsia="Calibri" w:hAnsi="Times New Roman" w:cs="Times New Roman"/>
        </w:rPr>
        <w:t>Képes a közlekedési folyamatokat támogató közlekedésinformatikai rendszerek alkalmazására, az azokkal kapcsolatos felhasználói alapkövetelmények megfogalmazására.</w:t>
      </w:r>
    </w:p>
    <w:p w:rsidR="008F449C" w:rsidRPr="008F449C" w:rsidRDefault="008F449C" w:rsidP="008F449C">
      <w:pPr>
        <w:autoSpaceDE w:val="0"/>
        <w:autoSpaceDN w:val="0"/>
        <w:adjustRightInd w:val="0"/>
        <w:spacing w:before="120" w:after="0" w:line="240" w:lineRule="auto"/>
        <w:ind w:left="425"/>
        <w:jc w:val="both"/>
        <w:rPr>
          <w:rFonts w:ascii="Times New Roman" w:eastAsia="Times New Roman" w:hAnsi="Times New Roman" w:cs="Times New Roman"/>
          <w:b/>
          <w:bCs/>
        </w:rPr>
      </w:pPr>
      <w:r w:rsidRPr="008F449C">
        <w:rPr>
          <w:rFonts w:ascii="Times New Roman" w:eastAsia="Times New Roman" w:hAnsi="Times New Roman" w:cs="Times New Roman"/>
          <w:b/>
          <w:bCs/>
        </w:rPr>
        <w:t xml:space="preserve">Attitűdje: </w:t>
      </w:r>
    </w:p>
    <w:p w:rsidR="008F449C" w:rsidRPr="008F449C" w:rsidRDefault="008F449C"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8F449C">
        <w:rPr>
          <w:rFonts w:ascii="Times New Roman" w:eastAsia="Calibri" w:hAnsi="Times New Roman" w:cs="Times New Roman"/>
        </w:rPr>
        <w:t>Nyitott a katonai közlekedési szakterületen zajló szakmai, technológiai fejlesztés és innováció megismerésére és elfogadására, hiteles közvetítésére és azok mindennapi munkájába való beillesztésére.</w:t>
      </w:r>
    </w:p>
    <w:p w:rsidR="008F449C" w:rsidRPr="008F449C" w:rsidRDefault="008F449C"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8F449C">
        <w:rPr>
          <w:rFonts w:ascii="Times New Roman" w:eastAsia="Calibri" w:hAnsi="Times New Roman" w:cs="Times New Roman"/>
        </w:rPr>
        <w:t>Törekszik arra, hogy önképzése a katonai közlekedési szakterületen folyamatos és szakmai céljaival megegyező legyen.</w:t>
      </w:r>
    </w:p>
    <w:p w:rsidR="008F449C" w:rsidRPr="008F449C" w:rsidRDefault="008F449C"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8F449C">
        <w:rPr>
          <w:rFonts w:ascii="Times New Roman" w:eastAsia="Calibri" w:hAnsi="Times New Roman" w:cs="Times New Roman"/>
        </w:rPr>
        <w:t>Elkötelezett a minőségi szakmai munkavégzés iránt, különös tekintettel a közlekedési, szállítási feladatok és folyamatok biztonságos végrehajtására.</w:t>
      </w:r>
    </w:p>
    <w:p w:rsidR="008F449C" w:rsidRPr="008F449C" w:rsidRDefault="008F449C"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8F449C">
        <w:rPr>
          <w:rFonts w:ascii="Times New Roman" w:eastAsia="Calibri" w:hAnsi="Times New Roman" w:cs="Times New Roman"/>
        </w:rPr>
        <w:t>Figyel beosztottjai szakmai fejlődésének előmozdítására, ilyen irányú törekvéseik kezelésére és segítésére.</w:t>
      </w:r>
    </w:p>
    <w:p w:rsidR="008F449C" w:rsidRPr="008F449C" w:rsidRDefault="008F449C"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8F449C">
        <w:rPr>
          <w:rFonts w:ascii="Times New Roman" w:eastAsia="Calibri" w:hAnsi="Times New Roman" w:cs="Times New Roman"/>
        </w:rPr>
        <w:t>Megosztja tapasztalatait munkatársaival, így segítve fejlődésüket.</w:t>
      </w:r>
    </w:p>
    <w:p w:rsidR="008F449C" w:rsidRPr="008F449C" w:rsidRDefault="008F449C" w:rsidP="008F449C">
      <w:pPr>
        <w:autoSpaceDE w:val="0"/>
        <w:autoSpaceDN w:val="0"/>
        <w:adjustRightInd w:val="0"/>
        <w:spacing w:before="120" w:after="0" w:line="240" w:lineRule="auto"/>
        <w:ind w:left="425"/>
        <w:jc w:val="both"/>
        <w:rPr>
          <w:rFonts w:ascii="Times New Roman" w:eastAsia="Times New Roman" w:hAnsi="Times New Roman" w:cs="Times New Roman"/>
          <w:b/>
          <w:bCs/>
        </w:rPr>
      </w:pPr>
      <w:r w:rsidRPr="008F449C">
        <w:rPr>
          <w:rFonts w:ascii="Times New Roman" w:eastAsia="Times New Roman" w:hAnsi="Times New Roman" w:cs="Times New Roman"/>
          <w:b/>
          <w:bCs/>
        </w:rPr>
        <w:t xml:space="preserve">Autonómiája és felelőssége: </w:t>
      </w:r>
    </w:p>
    <w:p w:rsidR="008F449C" w:rsidRPr="008F449C" w:rsidRDefault="008F449C"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8F449C">
        <w:rPr>
          <w:rFonts w:ascii="Times New Roman" w:eastAsia="Calibri" w:hAnsi="Times New Roman" w:cs="Times New Roman"/>
        </w:rPr>
        <w:t>A katonai közlekedés szakterületén megjelenő folyamatokban képes önállóan döntéseket hozni, azokat felelősséggel, a jogszabályi keretek figyelembevételével végrehajtani.</w:t>
      </w:r>
    </w:p>
    <w:p w:rsidR="008F449C" w:rsidRPr="008F449C" w:rsidRDefault="008F449C"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8F449C">
        <w:rPr>
          <w:rFonts w:ascii="Times New Roman" w:eastAsia="Calibri" w:hAnsi="Times New Roman" w:cs="Times New Roman"/>
        </w:rPr>
        <w:t>Tisztában van döntéseinek, tevékenységének a katonai logisztikai folyamatok egészére gyakorolt hatásaival, következményeivel.</w:t>
      </w:r>
    </w:p>
    <w:p w:rsidR="008F449C" w:rsidRPr="008F449C" w:rsidRDefault="008F449C"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8F449C">
        <w:rPr>
          <w:rFonts w:ascii="Times New Roman" w:eastAsia="Calibri" w:hAnsi="Times New Roman" w:cs="Times New Roman"/>
        </w:rPr>
        <w:t>Szakmai feladatainak elvégzése során felelősségteljesen együttműködik más szakterület képzett szakembereivel is.</w:t>
      </w:r>
    </w:p>
    <w:p w:rsidR="008F449C" w:rsidRPr="008F449C" w:rsidRDefault="008F449C"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8F449C">
        <w:rPr>
          <w:rFonts w:ascii="Times New Roman" w:eastAsia="Calibri" w:hAnsi="Times New Roman" w:cs="Times New Roman"/>
        </w:rPr>
        <w:t>Feltárja az alkalmazott technológiák hiányosságait, a folyamatok kockázatait és kezdeményezi az ezeket csökkentő intézkedések megtételét.</w:t>
      </w:r>
    </w:p>
    <w:p w:rsidR="008F449C" w:rsidRPr="008F449C" w:rsidRDefault="008F449C"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8F449C">
        <w:rPr>
          <w:rFonts w:ascii="Times New Roman" w:eastAsia="Calibri" w:hAnsi="Times New Roman" w:cs="Times New Roman"/>
        </w:rPr>
        <w:t>Parancsnokának útmutatása alapján irányítja a rábízott személyi állomány munkavégzését, felügyeli a közlekedési, szállítási folyamatok tervezését, szervezését, végrehajtását, a közlekedési szaktechnikai eszközök üzemeltetését.</w:t>
      </w:r>
    </w:p>
    <w:p w:rsidR="008F449C" w:rsidRPr="008F449C" w:rsidRDefault="008F449C"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8F449C">
        <w:rPr>
          <w:rFonts w:ascii="Times New Roman" w:eastAsia="Calibri" w:hAnsi="Times New Roman" w:cs="Times New Roman"/>
        </w:rPr>
        <w:t>Értékeli a beosztottak munkavégzésének hatékonyságát, eredményességét.</w:t>
      </w:r>
    </w:p>
    <w:p w:rsidR="008F449C" w:rsidRPr="008F449C" w:rsidRDefault="008F449C" w:rsidP="008F449C">
      <w:pPr>
        <w:widowControl w:val="0"/>
        <w:spacing w:before="120" w:after="120" w:line="240" w:lineRule="auto"/>
        <w:ind w:left="426"/>
        <w:jc w:val="both"/>
        <w:rPr>
          <w:rFonts w:ascii="Times New Roman" w:eastAsia="Times New Roman" w:hAnsi="Times New Roman" w:cs="Times New Roman"/>
          <w:b/>
          <w:bCs/>
          <w:lang w:val="en-US"/>
        </w:rPr>
      </w:pPr>
      <w:r w:rsidRPr="008F449C">
        <w:rPr>
          <w:rFonts w:ascii="Times New Roman" w:eastAsia="Times New Roman" w:hAnsi="Times New Roman" w:cs="Times New Roman"/>
          <w:b/>
          <w:bCs/>
        </w:rPr>
        <w:t>Elérendő kompetenciák (angolul) (</w:t>
      </w:r>
      <w:r w:rsidRPr="008F449C">
        <w:rPr>
          <w:rFonts w:ascii="Times New Roman" w:eastAsia="Times New Roman" w:hAnsi="Times New Roman" w:cs="Times New Roman"/>
          <w:b/>
          <w:bCs/>
          <w:lang w:val="en-US"/>
        </w:rPr>
        <w:t xml:space="preserve">Competences – English): </w:t>
      </w:r>
    </w:p>
    <w:p w:rsidR="008F449C" w:rsidRPr="008F449C" w:rsidRDefault="008F449C" w:rsidP="008F449C">
      <w:pPr>
        <w:widowControl w:val="0"/>
        <w:spacing w:before="120" w:after="120" w:line="240" w:lineRule="auto"/>
        <w:ind w:left="426"/>
        <w:jc w:val="both"/>
        <w:rPr>
          <w:rFonts w:ascii="Times New Roman" w:eastAsia="Times New Roman" w:hAnsi="Times New Roman" w:cs="Times New Roman"/>
          <w:bCs/>
          <w:highlight w:val="lightGray"/>
        </w:rPr>
      </w:pPr>
      <w:r w:rsidRPr="008F449C">
        <w:rPr>
          <w:rFonts w:ascii="Times New Roman" w:eastAsia="Times New Roman" w:hAnsi="Times New Roman" w:cs="Times New Roman"/>
          <w:b/>
          <w:lang w:val="en-GB"/>
        </w:rPr>
        <w:t>Knowledge</w:t>
      </w:r>
      <w:r w:rsidRPr="008F449C">
        <w:rPr>
          <w:rFonts w:ascii="Times New Roman" w:eastAsia="Times New Roman" w:hAnsi="Times New Roman" w:cs="Times New Roman"/>
          <w:lang w:val="en-GB"/>
        </w:rPr>
        <w:t xml:space="preserve">: </w:t>
      </w:r>
    </w:p>
    <w:p w:rsidR="008F449C" w:rsidRPr="008F449C" w:rsidRDefault="008F449C"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8F449C">
        <w:rPr>
          <w:rFonts w:ascii="Times New Roman" w:eastAsia="Calibri" w:hAnsi="Times New Roman" w:cs="Times New Roman"/>
        </w:rPr>
        <w:t>Knows the basics and requirements of logistics, management, environmental protection, quality assurance, information technology, law and economics, connected to the field of military transportation.</w:t>
      </w:r>
    </w:p>
    <w:p w:rsidR="008F449C" w:rsidRPr="008F449C" w:rsidRDefault="008F449C"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8F449C">
        <w:rPr>
          <w:rFonts w:ascii="Times New Roman" w:eastAsia="Calibri" w:hAnsi="Times New Roman" w:cs="Times New Roman"/>
        </w:rPr>
        <w:t>Has a profound knowledge of the tasks and the system of military transportation and the unique characteristics of performing each task.</w:t>
      </w:r>
    </w:p>
    <w:p w:rsidR="008F449C" w:rsidRPr="008F449C" w:rsidRDefault="008F449C"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8F449C">
        <w:rPr>
          <w:rFonts w:ascii="Times New Roman" w:eastAsia="Calibri" w:hAnsi="Times New Roman" w:cs="Times New Roman"/>
        </w:rPr>
        <w:t>Is familiar with the methods of assessing the requirements of military transportation and its feasibility and practical implementation.</w:t>
      </w:r>
    </w:p>
    <w:p w:rsidR="008F449C" w:rsidRPr="008F449C" w:rsidRDefault="008F449C" w:rsidP="008F449C">
      <w:pPr>
        <w:widowControl w:val="0"/>
        <w:spacing w:before="120" w:after="120" w:line="240" w:lineRule="auto"/>
        <w:ind w:left="426"/>
        <w:jc w:val="both"/>
        <w:rPr>
          <w:rFonts w:ascii="Times New Roman" w:eastAsia="Times New Roman" w:hAnsi="Times New Roman" w:cs="Times New Roman"/>
          <w:b/>
          <w:lang w:val="en-GB"/>
        </w:rPr>
      </w:pPr>
      <w:r w:rsidRPr="008F449C">
        <w:rPr>
          <w:rFonts w:ascii="Times New Roman" w:eastAsia="Times New Roman" w:hAnsi="Times New Roman" w:cs="Times New Roman"/>
          <w:b/>
          <w:lang w:val="en-GB"/>
        </w:rPr>
        <w:t>Capabilities:</w:t>
      </w:r>
    </w:p>
    <w:p w:rsidR="008F449C" w:rsidRPr="008F449C" w:rsidRDefault="008F449C"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8F449C">
        <w:rPr>
          <w:rFonts w:ascii="Times New Roman" w:eastAsia="Calibri" w:hAnsi="Times New Roman" w:cs="Times New Roman"/>
        </w:rPr>
        <w:t>Using his/her general and specialized military knowledge and skills, he/she is capable of planning, organizing, and conducting military transport, movement, and transportation tasks.</w:t>
      </w:r>
    </w:p>
    <w:p w:rsidR="008F449C" w:rsidRPr="008F449C" w:rsidRDefault="008F449C"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8F449C">
        <w:rPr>
          <w:rFonts w:ascii="Times New Roman" w:eastAsia="Calibri" w:hAnsi="Times New Roman" w:cs="Times New Roman"/>
        </w:rPr>
        <w:t>Is capable of leading the execution of the tasks of a military transportation subunit in peace time and in crisis response, disaster relief, peace support and combat operations both in a national and a multinational environment.</w:t>
      </w:r>
    </w:p>
    <w:p w:rsidR="008F449C" w:rsidRPr="008F449C" w:rsidRDefault="008F449C"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8F449C">
        <w:rPr>
          <w:rFonts w:ascii="Times New Roman" w:eastAsia="Calibri" w:hAnsi="Times New Roman" w:cs="Times New Roman"/>
        </w:rPr>
        <w:t>Is capable of planning, organizing and executing the tasks related to the application of traffic networks for military purposes.</w:t>
      </w:r>
    </w:p>
    <w:p w:rsidR="008F449C" w:rsidRPr="008F449C" w:rsidRDefault="008F449C"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8F449C">
        <w:rPr>
          <w:rFonts w:ascii="Times New Roman" w:eastAsia="Calibri" w:hAnsi="Times New Roman" w:cs="Times New Roman"/>
        </w:rPr>
        <w:t>Is capable of applying traffic information systems to support transportation processes and formulating the basic user requirements related to them.</w:t>
      </w:r>
    </w:p>
    <w:p w:rsidR="00DC5CE6" w:rsidRDefault="00DC5CE6" w:rsidP="008F449C">
      <w:pPr>
        <w:widowControl w:val="0"/>
        <w:spacing w:before="120" w:after="120" w:line="240" w:lineRule="auto"/>
        <w:ind w:left="426"/>
        <w:jc w:val="both"/>
        <w:rPr>
          <w:rFonts w:ascii="Times New Roman" w:eastAsia="Times New Roman" w:hAnsi="Times New Roman" w:cs="Times New Roman"/>
          <w:b/>
          <w:lang w:val="en-GB"/>
        </w:rPr>
      </w:pPr>
    </w:p>
    <w:p w:rsidR="008F449C" w:rsidRPr="008F449C" w:rsidRDefault="008F449C" w:rsidP="008F449C">
      <w:pPr>
        <w:widowControl w:val="0"/>
        <w:spacing w:before="120" w:after="120" w:line="240" w:lineRule="auto"/>
        <w:ind w:left="426"/>
        <w:jc w:val="both"/>
        <w:rPr>
          <w:rFonts w:ascii="Times New Roman" w:eastAsia="Times New Roman" w:hAnsi="Times New Roman" w:cs="Times New Roman"/>
          <w:b/>
          <w:lang w:val="en-GB"/>
        </w:rPr>
      </w:pPr>
      <w:r w:rsidRPr="008F449C">
        <w:rPr>
          <w:rFonts w:ascii="Times New Roman" w:eastAsia="Times New Roman" w:hAnsi="Times New Roman" w:cs="Times New Roman"/>
          <w:b/>
          <w:lang w:val="en-GB"/>
        </w:rPr>
        <w:lastRenderedPageBreak/>
        <w:t xml:space="preserve">Attitude: </w:t>
      </w:r>
    </w:p>
    <w:p w:rsidR="008F449C" w:rsidRPr="008F449C" w:rsidRDefault="008F449C"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8F449C">
        <w:rPr>
          <w:rFonts w:ascii="Times New Roman" w:eastAsia="Calibri" w:hAnsi="Times New Roman" w:cs="Times New Roman"/>
        </w:rPr>
        <w:t>He/She is ready to become familiar with and adopt the professional and technological development and innovation in the field of military transportation, and also to pass it on and integrate it into his daily work.</w:t>
      </w:r>
    </w:p>
    <w:p w:rsidR="008F449C" w:rsidRPr="008F449C" w:rsidRDefault="008F449C"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8F449C">
        <w:rPr>
          <w:rFonts w:ascii="Times New Roman" w:eastAsia="Calibri" w:hAnsi="Times New Roman" w:cs="Times New Roman"/>
        </w:rPr>
        <w:t>He/She strives for continuous self-education in the field of military transportation which is consistent with his/her professional goals.</w:t>
      </w:r>
    </w:p>
    <w:p w:rsidR="008F449C" w:rsidRPr="008F449C" w:rsidRDefault="008F449C"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8F449C">
        <w:rPr>
          <w:rFonts w:ascii="Times New Roman" w:eastAsia="Calibri" w:hAnsi="Times New Roman" w:cs="Times New Roman"/>
        </w:rPr>
        <w:t>He/She is committed to high quality in his/her professional work, with special emphasis on the safe execution of the transportation tasks and processes.</w:t>
      </w:r>
    </w:p>
    <w:p w:rsidR="008F449C" w:rsidRPr="008F449C" w:rsidRDefault="008F449C"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8F449C">
        <w:rPr>
          <w:rFonts w:ascii="Times New Roman" w:eastAsia="Calibri" w:hAnsi="Times New Roman" w:cs="Times New Roman"/>
        </w:rPr>
        <w:t>He/She is interested in promoting the professional development of his/her subordinates, and provides assistance in their efforts.</w:t>
      </w:r>
    </w:p>
    <w:p w:rsidR="008F449C" w:rsidRPr="008F449C" w:rsidRDefault="008F449C"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8F449C">
        <w:rPr>
          <w:rFonts w:ascii="Times New Roman" w:eastAsia="Calibri" w:hAnsi="Times New Roman" w:cs="Times New Roman"/>
        </w:rPr>
        <w:t>He/she is willing to share his/her experience with his/her colleagues to further their professional development.</w:t>
      </w:r>
    </w:p>
    <w:p w:rsidR="008F449C" w:rsidRPr="008F449C" w:rsidRDefault="008F449C" w:rsidP="008F449C">
      <w:pPr>
        <w:widowControl w:val="0"/>
        <w:spacing w:before="120" w:after="120" w:line="240" w:lineRule="auto"/>
        <w:ind w:left="426"/>
        <w:jc w:val="both"/>
        <w:rPr>
          <w:rFonts w:ascii="Times New Roman" w:eastAsia="Times New Roman" w:hAnsi="Times New Roman" w:cs="Times New Roman"/>
          <w:b/>
          <w:lang w:val="en-GB"/>
        </w:rPr>
      </w:pPr>
      <w:r w:rsidRPr="008F449C">
        <w:rPr>
          <w:rFonts w:ascii="Times New Roman" w:eastAsia="Times New Roman" w:hAnsi="Times New Roman" w:cs="Times New Roman"/>
          <w:b/>
          <w:lang w:val="en-GB"/>
        </w:rPr>
        <w:t xml:space="preserve">Autonomy and responsibility: </w:t>
      </w:r>
    </w:p>
    <w:p w:rsidR="008F449C" w:rsidRPr="008F449C" w:rsidRDefault="008F449C"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8F449C">
        <w:rPr>
          <w:rFonts w:ascii="Times New Roman" w:eastAsia="Calibri" w:hAnsi="Times New Roman" w:cs="Times New Roman"/>
        </w:rPr>
        <w:t>He/She is able to make decisions independently in the processes arising in the field of military transportation, and to implement them with responsibility and within the legal framework.</w:t>
      </w:r>
    </w:p>
    <w:p w:rsidR="008F449C" w:rsidRPr="008F449C" w:rsidRDefault="008F449C"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8F449C">
        <w:rPr>
          <w:rFonts w:ascii="Times New Roman" w:eastAsia="Calibri" w:hAnsi="Times New Roman" w:cs="Times New Roman"/>
        </w:rPr>
        <w:t>He/She is aware of the effects and consequences of his decisions and activities on the military logistic processes as a whole.</w:t>
      </w:r>
    </w:p>
    <w:p w:rsidR="008F449C" w:rsidRPr="008F449C" w:rsidRDefault="008F449C"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8F449C">
        <w:rPr>
          <w:rFonts w:ascii="Times New Roman" w:eastAsia="Calibri" w:hAnsi="Times New Roman" w:cs="Times New Roman"/>
        </w:rPr>
        <w:t xml:space="preserve">During his/her professional duties, he/she is willing to responsibly cooperate with specialists of other areas. </w:t>
      </w:r>
    </w:p>
    <w:p w:rsidR="008F449C" w:rsidRPr="008F449C" w:rsidRDefault="008F449C"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8F449C">
        <w:rPr>
          <w:rFonts w:ascii="Times New Roman" w:eastAsia="Calibri" w:hAnsi="Times New Roman" w:cs="Times New Roman"/>
        </w:rPr>
        <w:t>He/She can identify the deficiencies and risks in the applied technologies and initiates taking measures to reduce their impact.</w:t>
      </w:r>
    </w:p>
    <w:p w:rsidR="008F449C" w:rsidRPr="008F449C" w:rsidRDefault="008F449C"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8F449C">
        <w:rPr>
          <w:rFonts w:ascii="Times New Roman" w:eastAsia="Calibri" w:hAnsi="Times New Roman" w:cs="Times New Roman"/>
        </w:rPr>
        <w:t>Under the guidance of his/her commander, he/she controls the work of the personnel under his/her command and supervises the planning, organization and implementation of the transport and transportation processes, and also the operation of the technical equipment used in military transportation.</w:t>
      </w:r>
    </w:p>
    <w:p w:rsidR="008F449C" w:rsidRPr="008F449C" w:rsidRDefault="008F449C"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8F449C">
        <w:rPr>
          <w:rFonts w:ascii="Times New Roman" w:eastAsia="Calibri" w:hAnsi="Times New Roman" w:cs="Times New Roman"/>
        </w:rPr>
        <w:t>He/She continuously evaluates the efficiency and effectiveness of his/her subordinates' work.</w:t>
      </w:r>
    </w:p>
    <w:p w:rsidR="008F449C" w:rsidRPr="008F449C" w:rsidRDefault="008F449C" w:rsidP="00980876">
      <w:pPr>
        <w:widowControl w:val="0"/>
        <w:numPr>
          <w:ilvl w:val="0"/>
          <w:numId w:val="282"/>
        </w:numPr>
        <w:tabs>
          <w:tab w:val="num" w:pos="567"/>
        </w:tabs>
        <w:spacing w:before="120" w:after="120" w:line="240" w:lineRule="auto"/>
        <w:ind w:left="426" w:hanging="142"/>
        <w:jc w:val="both"/>
        <w:rPr>
          <w:rFonts w:ascii="Times New Roman" w:eastAsia="Times New Roman" w:hAnsi="Times New Roman" w:cs="Times New Roman"/>
          <w:bCs/>
        </w:rPr>
      </w:pPr>
      <w:r w:rsidRPr="008F449C">
        <w:rPr>
          <w:rFonts w:ascii="Times New Roman" w:eastAsia="Times New Roman" w:hAnsi="Times New Roman" w:cs="Times New Roman"/>
          <w:b/>
          <w:bCs/>
        </w:rPr>
        <w:t xml:space="preserve">Előtanulmányi követelmények: </w:t>
      </w:r>
      <w:r w:rsidRPr="008F449C">
        <w:rPr>
          <w:rFonts w:ascii="Times New Roman" w:eastAsia="Times New Roman" w:hAnsi="Times New Roman" w:cs="Times New Roman"/>
          <w:bCs/>
        </w:rPr>
        <w:t>Nincs</w:t>
      </w:r>
    </w:p>
    <w:p w:rsidR="008F449C" w:rsidRPr="008F449C" w:rsidRDefault="008F449C" w:rsidP="00980876">
      <w:pPr>
        <w:widowControl w:val="0"/>
        <w:numPr>
          <w:ilvl w:val="0"/>
          <w:numId w:val="282"/>
        </w:numPr>
        <w:spacing w:before="120" w:after="120" w:line="240" w:lineRule="auto"/>
        <w:ind w:left="426" w:hanging="142"/>
        <w:jc w:val="both"/>
        <w:rPr>
          <w:rFonts w:ascii="Times New Roman" w:eastAsia="Times New Roman" w:hAnsi="Times New Roman" w:cs="Times New Roman"/>
          <w:b/>
          <w:bCs/>
        </w:rPr>
      </w:pPr>
      <w:r w:rsidRPr="008F449C">
        <w:rPr>
          <w:rFonts w:ascii="Times New Roman" w:eastAsia="Times New Roman" w:hAnsi="Times New Roman" w:cs="Times New Roman"/>
          <w:b/>
          <w:bCs/>
        </w:rPr>
        <w:t>A tantárgy tananyagának leírása, tematika. Description of the subject, curriculum (magyarul, angolul - English):</w:t>
      </w:r>
    </w:p>
    <w:p w:rsidR="008F449C" w:rsidRPr="008F449C" w:rsidRDefault="008F449C" w:rsidP="00980876">
      <w:pPr>
        <w:widowControl w:val="0"/>
        <w:numPr>
          <w:ilvl w:val="1"/>
          <w:numId w:val="282"/>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i/>
        </w:rPr>
      </w:pPr>
      <w:r w:rsidRPr="008F449C">
        <w:rPr>
          <w:rFonts w:ascii="Times New Roman" w:eastAsia="Times New Roman" w:hAnsi="Times New Roman" w:cs="Times New Roman"/>
        </w:rPr>
        <w:t>Közlekedési vállalat általános informatikai rendszere.</w:t>
      </w:r>
      <w:r w:rsidRPr="008F449C">
        <w:rPr>
          <w:rFonts w:ascii="Times New Roman" w:eastAsia="Calibri" w:hAnsi="Times New Roman" w:cs="Times New Roman"/>
          <w:lang w:val="en"/>
        </w:rPr>
        <w:t xml:space="preserve"> </w:t>
      </w:r>
      <w:r w:rsidRPr="008F449C">
        <w:rPr>
          <w:rFonts w:ascii="Times New Roman" w:eastAsia="Calibri" w:hAnsi="Times New Roman" w:cs="Times New Roman"/>
          <w:i/>
          <w:lang w:val="en"/>
        </w:rPr>
        <w:t>(General IT system of a transport company.)</w:t>
      </w:r>
    </w:p>
    <w:p w:rsidR="008F449C" w:rsidRPr="008F449C" w:rsidRDefault="008F449C" w:rsidP="00980876">
      <w:pPr>
        <w:widowControl w:val="0"/>
        <w:numPr>
          <w:ilvl w:val="1"/>
          <w:numId w:val="282"/>
        </w:numPr>
        <w:tabs>
          <w:tab w:val="left" w:pos="709"/>
          <w:tab w:val="left" w:pos="993"/>
          <w:tab w:val="num" w:pos="2069"/>
        </w:tabs>
        <w:spacing w:before="120" w:after="120" w:line="240" w:lineRule="auto"/>
        <w:ind w:left="993" w:hanging="567"/>
        <w:jc w:val="both"/>
        <w:rPr>
          <w:rFonts w:ascii="Times New Roman" w:eastAsia="Calibri" w:hAnsi="Times New Roman" w:cs="Times New Roman"/>
          <w:i/>
          <w:lang w:val="en"/>
        </w:rPr>
      </w:pPr>
      <w:r w:rsidRPr="008F449C">
        <w:rPr>
          <w:rFonts w:ascii="Times New Roman" w:eastAsia="Times New Roman" w:hAnsi="Times New Roman" w:cs="Times New Roman"/>
        </w:rPr>
        <w:t>Közlekedési vállalat statikus funkcionális informatikai rendszere.</w:t>
      </w:r>
      <w:r w:rsidRPr="008F449C">
        <w:rPr>
          <w:rFonts w:ascii="Times New Roman" w:eastAsia="Calibri" w:hAnsi="Times New Roman" w:cs="Times New Roman"/>
          <w:lang w:val="en"/>
        </w:rPr>
        <w:t xml:space="preserve"> </w:t>
      </w:r>
      <w:r w:rsidRPr="008F449C">
        <w:rPr>
          <w:rFonts w:ascii="Times New Roman" w:eastAsia="Calibri" w:hAnsi="Times New Roman" w:cs="Times New Roman"/>
          <w:i/>
          <w:lang w:val="en"/>
        </w:rPr>
        <w:t>(Transport company static functional IT system.)</w:t>
      </w:r>
    </w:p>
    <w:p w:rsidR="008F449C" w:rsidRPr="008F449C" w:rsidRDefault="008F449C" w:rsidP="00980876">
      <w:pPr>
        <w:widowControl w:val="0"/>
        <w:numPr>
          <w:ilvl w:val="1"/>
          <w:numId w:val="282"/>
        </w:numPr>
        <w:tabs>
          <w:tab w:val="left" w:pos="709"/>
          <w:tab w:val="left" w:pos="993"/>
          <w:tab w:val="num" w:pos="2069"/>
        </w:tabs>
        <w:spacing w:before="120" w:after="120" w:line="240" w:lineRule="auto"/>
        <w:ind w:left="993" w:hanging="567"/>
        <w:jc w:val="both"/>
        <w:rPr>
          <w:rFonts w:ascii="Times New Roman" w:eastAsia="Calibri" w:hAnsi="Times New Roman" w:cs="Times New Roman"/>
          <w:i/>
          <w:lang w:val="en"/>
        </w:rPr>
      </w:pPr>
      <w:r w:rsidRPr="008F449C">
        <w:rPr>
          <w:rFonts w:ascii="Times New Roman" w:eastAsia="Times New Roman" w:hAnsi="Times New Roman" w:cs="Times New Roman"/>
        </w:rPr>
        <w:t>közlekedési vállalat dinamikus informatikai rendszere.</w:t>
      </w:r>
      <w:r w:rsidRPr="008F449C">
        <w:rPr>
          <w:rFonts w:ascii="Times New Roman" w:eastAsia="Calibri" w:hAnsi="Times New Roman" w:cs="Times New Roman"/>
          <w:lang w:val="en"/>
        </w:rPr>
        <w:t xml:space="preserve"> </w:t>
      </w:r>
      <w:r w:rsidRPr="008F449C">
        <w:rPr>
          <w:rFonts w:ascii="Times New Roman" w:eastAsia="Calibri" w:hAnsi="Times New Roman" w:cs="Times New Roman"/>
          <w:i/>
          <w:lang w:val="en"/>
        </w:rPr>
        <w:t>(A dynamic IT system for a transport company.)</w:t>
      </w:r>
    </w:p>
    <w:p w:rsidR="008F449C" w:rsidRPr="008F449C" w:rsidRDefault="008F449C" w:rsidP="00980876">
      <w:pPr>
        <w:widowControl w:val="0"/>
        <w:numPr>
          <w:ilvl w:val="1"/>
          <w:numId w:val="282"/>
        </w:numPr>
        <w:tabs>
          <w:tab w:val="left" w:pos="709"/>
          <w:tab w:val="left" w:pos="993"/>
          <w:tab w:val="num" w:pos="2069"/>
        </w:tabs>
        <w:spacing w:before="120" w:after="120" w:line="240" w:lineRule="auto"/>
        <w:ind w:left="993" w:hanging="567"/>
        <w:jc w:val="both"/>
        <w:rPr>
          <w:rFonts w:ascii="Times New Roman" w:eastAsia="Calibri" w:hAnsi="Times New Roman" w:cs="Times New Roman"/>
          <w:i/>
          <w:lang w:val="en"/>
        </w:rPr>
      </w:pPr>
      <w:r w:rsidRPr="008F449C">
        <w:rPr>
          <w:rFonts w:ascii="Times New Roman" w:eastAsia="Times New Roman" w:hAnsi="Times New Roman" w:cs="Times New Roman"/>
        </w:rPr>
        <w:t>Az áruszállítás informatikai rendszereinek osztályozása, jellemzőik.</w:t>
      </w:r>
      <w:r w:rsidRPr="008F449C">
        <w:rPr>
          <w:rFonts w:ascii="Times New Roman" w:eastAsia="Calibri" w:hAnsi="Times New Roman" w:cs="Times New Roman"/>
          <w:lang w:val="en"/>
        </w:rPr>
        <w:t xml:space="preserve"> </w:t>
      </w:r>
      <w:r w:rsidRPr="008F449C">
        <w:rPr>
          <w:rFonts w:ascii="Times New Roman" w:eastAsia="Calibri" w:hAnsi="Times New Roman" w:cs="Times New Roman"/>
          <w:i/>
          <w:lang w:val="en"/>
        </w:rPr>
        <w:t>(Classification of IT systems for freight transport, their characteristics.)</w:t>
      </w:r>
    </w:p>
    <w:p w:rsidR="008F449C" w:rsidRPr="008F449C" w:rsidRDefault="008F449C" w:rsidP="00980876">
      <w:pPr>
        <w:widowControl w:val="0"/>
        <w:numPr>
          <w:ilvl w:val="1"/>
          <w:numId w:val="282"/>
        </w:numPr>
        <w:tabs>
          <w:tab w:val="left" w:pos="709"/>
          <w:tab w:val="left" w:pos="993"/>
          <w:tab w:val="num" w:pos="2069"/>
        </w:tabs>
        <w:spacing w:before="120" w:after="120" w:line="240" w:lineRule="auto"/>
        <w:ind w:left="993" w:hanging="567"/>
        <w:jc w:val="both"/>
        <w:rPr>
          <w:rFonts w:ascii="Times New Roman" w:eastAsia="Calibri" w:hAnsi="Times New Roman" w:cs="Times New Roman"/>
          <w:i/>
          <w:lang w:val="en"/>
        </w:rPr>
      </w:pPr>
      <w:r w:rsidRPr="008F449C">
        <w:rPr>
          <w:rFonts w:ascii="Times New Roman" w:eastAsia="Times New Roman" w:hAnsi="Times New Roman" w:cs="Times New Roman"/>
        </w:rPr>
        <w:t>Gépjárművek helymeghatározására alkalmas rendszerek, azok sajátosságai, alkalmazásuk.</w:t>
      </w:r>
      <w:r w:rsidRPr="008F449C">
        <w:rPr>
          <w:rFonts w:ascii="Times New Roman" w:eastAsia="Calibri" w:hAnsi="Times New Roman" w:cs="Times New Roman"/>
          <w:lang w:val="en"/>
        </w:rPr>
        <w:t xml:space="preserve"> </w:t>
      </w:r>
      <w:r w:rsidRPr="008F449C">
        <w:rPr>
          <w:rFonts w:ascii="Times New Roman" w:eastAsia="Calibri" w:hAnsi="Times New Roman" w:cs="Times New Roman"/>
          <w:i/>
          <w:lang w:val="en"/>
        </w:rPr>
        <w:t>(Vehicle positioning systems, their characteristics and their application.)</w:t>
      </w:r>
    </w:p>
    <w:p w:rsidR="008F449C" w:rsidRPr="008F449C" w:rsidRDefault="008F449C" w:rsidP="00980876">
      <w:pPr>
        <w:widowControl w:val="0"/>
        <w:numPr>
          <w:ilvl w:val="1"/>
          <w:numId w:val="282"/>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rPr>
      </w:pPr>
      <w:r w:rsidRPr="008F449C">
        <w:rPr>
          <w:rFonts w:ascii="Times New Roman" w:eastAsia="Times New Roman" w:hAnsi="Times New Roman" w:cs="Times New Roman"/>
        </w:rPr>
        <w:t>A helymeghatározó, navigációs, járműirányító, járműfelügyeleti rendszerek azonosságai és különbségei.</w:t>
      </w:r>
      <w:r w:rsidRPr="008F449C">
        <w:rPr>
          <w:rFonts w:ascii="Times New Roman" w:eastAsia="Calibri" w:hAnsi="Times New Roman" w:cs="Times New Roman"/>
          <w:lang w:val="en"/>
        </w:rPr>
        <w:t xml:space="preserve"> </w:t>
      </w:r>
      <w:r w:rsidRPr="008F449C">
        <w:rPr>
          <w:rFonts w:ascii="Times New Roman" w:eastAsia="Calibri" w:hAnsi="Times New Roman" w:cs="Times New Roman"/>
          <w:i/>
          <w:lang w:val="en"/>
        </w:rPr>
        <w:t>(Identities and differences between positioning, navigation, guidance, vehicle monitoring systems.)</w:t>
      </w:r>
    </w:p>
    <w:p w:rsidR="008F449C" w:rsidRPr="008F449C" w:rsidRDefault="008F449C" w:rsidP="00980876">
      <w:pPr>
        <w:widowControl w:val="0"/>
        <w:numPr>
          <w:ilvl w:val="1"/>
          <w:numId w:val="282"/>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rPr>
      </w:pPr>
      <w:r w:rsidRPr="008F449C">
        <w:rPr>
          <w:rFonts w:ascii="Times New Roman" w:eastAsia="Times New Roman" w:hAnsi="Times New Roman" w:cs="Times New Roman"/>
        </w:rPr>
        <w:t>Közlekedés operatív irányítása.</w:t>
      </w:r>
      <w:r w:rsidRPr="008F449C">
        <w:rPr>
          <w:rFonts w:ascii="Times New Roman" w:eastAsia="Calibri" w:hAnsi="Times New Roman" w:cs="Times New Roman"/>
          <w:lang w:val="en"/>
        </w:rPr>
        <w:t xml:space="preserve"> </w:t>
      </w:r>
      <w:r w:rsidRPr="008F449C">
        <w:rPr>
          <w:rFonts w:ascii="Times New Roman" w:eastAsia="Calibri" w:hAnsi="Times New Roman" w:cs="Times New Roman"/>
          <w:b/>
          <w:lang w:val="en"/>
        </w:rPr>
        <w:t>(Operational management of transport.)</w:t>
      </w:r>
    </w:p>
    <w:p w:rsidR="008F449C" w:rsidRPr="008F449C" w:rsidRDefault="008F449C" w:rsidP="00980876">
      <w:pPr>
        <w:widowControl w:val="0"/>
        <w:numPr>
          <w:ilvl w:val="1"/>
          <w:numId w:val="282"/>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rPr>
      </w:pPr>
      <w:r w:rsidRPr="008F449C">
        <w:rPr>
          <w:rFonts w:ascii="Times New Roman" w:eastAsia="Times New Roman" w:hAnsi="Times New Roman" w:cs="Times New Roman"/>
        </w:rPr>
        <w:t>Közúti közlekedési vállalatok által alkalmazott informatikai rendszerek.</w:t>
      </w:r>
      <w:r w:rsidRPr="008F449C">
        <w:rPr>
          <w:rFonts w:ascii="Times New Roman" w:eastAsia="Calibri" w:hAnsi="Times New Roman" w:cs="Times New Roman"/>
          <w:lang w:val="en"/>
        </w:rPr>
        <w:t xml:space="preserve"> </w:t>
      </w:r>
      <w:r w:rsidRPr="008F449C">
        <w:rPr>
          <w:rFonts w:ascii="Times New Roman" w:eastAsia="Calibri" w:hAnsi="Times New Roman" w:cs="Times New Roman"/>
          <w:i/>
          <w:lang w:val="en"/>
        </w:rPr>
        <w:t>(IT systems used by road transport companies.)</w:t>
      </w:r>
    </w:p>
    <w:p w:rsidR="008F449C" w:rsidRPr="008F449C" w:rsidRDefault="008F449C" w:rsidP="00980876">
      <w:pPr>
        <w:widowControl w:val="0"/>
        <w:numPr>
          <w:ilvl w:val="1"/>
          <w:numId w:val="282"/>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rPr>
      </w:pPr>
      <w:r w:rsidRPr="008F449C">
        <w:rPr>
          <w:rFonts w:ascii="Times New Roman" w:eastAsia="Times New Roman" w:hAnsi="Times New Roman" w:cs="Times New Roman"/>
        </w:rPr>
        <w:t>A GPS alapú rendszerek felhasználási területei.</w:t>
      </w:r>
      <w:r w:rsidRPr="008F449C">
        <w:rPr>
          <w:rFonts w:ascii="Times New Roman" w:eastAsia="Calibri" w:hAnsi="Times New Roman" w:cs="Times New Roman"/>
          <w:lang w:val="en"/>
        </w:rPr>
        <w:t xml:space="preserve"> </w:t>
      </w:r>
      <w:r w:rsidRPr="008F449C">
        <w:rPr>
          <w:rFonts w:ascii="Times New Roman" w:eastAsia="Calibri" w:hAnsi="Times New Roman" w:cs="Times New Roman"/>
          <w:i/>
          <w:lang w:val="en"/>
        </w:rPr>
        <w:t>(Applications of GPS based systems.)</w:t>
      </w:r>
    </w:p>
    <w:p w:rsidR="008F449C" w:rsidRPr="008F449C" w:rsidRDefault="008F449C" w:rsidP="00980876">
      <w:pPr>
        <w:widowControl w:val="0"/>
        <w:numPr>
          <w:ilvl w:val="1"/>
          <w:numId w:val="282"/>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rPr>
      </w:pPr>
      <w:r w:rsidRPr="008F449C">
        <w:rPr>
          <w:rFonts w:ascii="Times New Roman" w:eastAsia="Times New Roman" w:hAnsi="Times New Roman" w:cs="Times New Roman"/>
        </w:rPr>
        <w:t xml:space="preserve">A szállítmány és rakomány kisérés informatikai rendszerei. A szállítmány és rakomány </w:t>
      </w:r>
      <w:r w:rsidRPr="008F449C">
        <w:rPr>
          <w:rFonts w:ascii="Times New Roman" w:eastAsia="Times New Roman" w:hAnsi="Times New Roman" w:cs="Times New Roman"/>
        </w:rPr>
        <w:lastRenderedPageBreak/>
        <w:t>kisérés informatikai rendszerei.</w:t>
      </w:r>
      <w:r w:rsidRPr="008F449C">
        <w:rPr>
          <w:rFonts w:ascii="Times New Roman" w:eastAsia="Calibri" w:hAnsi="Times New Roman" w:cs="Times New Roman"/>
          <w:lang w:val="en"/>
        </w:rPr>
        <w:t xml:space="preserve"> </w:t>
      </w:r>
      <w:r w:rsidRPr="008F449C">
        <w:rPr>
          <w:rFonts w:ascii="Times New Roman" w:eastAsia="Calibri" w:hAnsi="Times New Roman" w:cs="Times New Roman"/>
          <w:i/>
          <w:lang w:val="en"/>
        </w:rPr>
        <w:t>(IT systems for cargo and cargo escorting. IT systems for cargo and cargo escorting.)</w:t>
      </w:r>
    </w:p>
    <w:p w:rsidR="008F449C" w:rsidRPr="008F449C" w:rsidRDefault="008F449C" w:rsidP="00980876">
      <w:pPr>
        <w:widowControl w:val="0"/>
        <w:numPr>
          <w:ilvl w:val="1"/>
          <w:numId w:val="282"/>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rPr>
      </w:pPr>
      <w:r w:rsidRPr="008F449C">
        <w:rPr>
          <w:rFonts w:ascii="Times New Roman" w:eastAsia="Times New Roman" w:hAnsi="Times New Roman" w:cs="Times New Roman"/>
        </w:rPr>
        <w:t>Zárthelyi dolgozat.</w:t>
      </w:r>
      <w:r w:rsidRPr="008F449C">
        <w:rPr>
          <w:rFonts w:ascii="Times New Roman" w:eastAsia="Calibri" w:hAnsi="Times New Roman" w:cs="Times New Roman"/>
          <w:lang w:val="en"/>
        </w:rPr>
        <w:t xml:space="preserve"> </w:t>
      </w:r>
      <w:r w:rsidRPr="008F449C">
        <w:rPr>
          <w:rFonts w:ascii="Times New Roman" w:eastAsia="Calibri" w:hAnsi="Times New Roman" w:cs="Times New Roman"/>
          <w:i/>
          <w:lang w:val="en"/>
        </w:rPr>
        <w:t>(Closed thesis.)</w:t>
      </w:r>
    </w:p>
    <w:p w:rsidR="008F449C" w:rsidRPr="008F449C" w:rsidRDefault="008F449C" w:rsidP="00980876">
      <w:pPr>
        <w:widowControl w:val="0"/>
        <w:numPr>
          <w:ilvl w:val="0"/>
          <w:numId w:val="282"/>
        </w:numPr>
        <w:tabs>
          <w:tab w:val="num" w:pos="360"/>
        </w:tabs>
        <w:spacing w:before="120" w:after="120" w:line="240" w:lineRule="auto"/>
        <w:ind w:left="426" w:hanging="142"/>
        <w:jc w:val="both"/>
        <w:rPr>
          <w:rFonts w:ascii="Times New Roman" w:eastAsia="Times New Roman" w:hAnsi="Times New Roman" w:cs="Times New Roman"/>
          <w:bCs/>
        </w:rPr>
      </w:pPr>
      <w:r w:rsidRPr="008F449C">
        <w:rPr>
          <w:rFonts w:ascii="Times New Roman" w:eastAsia="Times New Roman" w:hAnsi="Times New Roman" w:cs="Times New Roman"/>
          <w:b/>
          <w:bCs/>
        </w:rPr>
        <w:t xml:space="preserve">A tantárgy meghirdetésének gyakorisága/a tantervben történő félévi elhelyezkedése: </w:t>
      </w:r>
      <w:r w:rsidRPr="008F449C">
        <w:rPr>
          <w:rFonts w:ascii="Times New Roman" w:eastAsia="Times New Roman" w:hAnsi="Times New Roman" w:cs="Times New Roman"/>
          <w:bCs/>
        </w:rPr>
        <w:t>6. félév</w:t>
      </w:r>
    </w:p>
    <w:p w:rsidR="008F449C" w:rsidRPr="008F449C" w:rsidRDefault="008F449C" w:rsidP="00980876">
      <w:pPr>
        <w:widowControl w:val="0"/>
        <w:numPr>
          <w:ilvl w:val="0"/>
          <w:numId w:val="282"/>
        </w:numPr>
        <w:tabs>
          <w:tab w:val="num" w:pos="360"/>
        </w:tabs>
        <w:spacing w:before="120" w:after="120" w:line="240" w:lineRule="auto"/>
        <w:ind w:left="426" w:hanging="142"/>
        <w:jc w:val="both"/>
        <w:rPr>
          <w:rFonts w:ascii="Times New Roman" w:eastAsia="Times New Roman" w:hAnsi="Times New Roman" w:cs="Times New Roman"/>
          <w:bCs/>
        </w:rPr>
      </w:pPr>
      <w:r w:rsidRPr="008F449C">
        <w:rPr>
          <w:rFonts w:ascii="Times New Roman" w:eastAsia="Times New Roman" w:hAnsi="Times New Roman" w:cs="Times New Roman"/>
          <w:b/>
          <w:bCs/>
        </w:rPr>
        <w:t>A tanórákon való részvétel követelményei, az elfogadható hiányzások mértéke, a távolmaradás pótlásának lehetősége:</w:t>
      </w:r>
      <w:r w:rsidRPr="008F449C">
        <w:rPr>
          <w:rFonts w:ascii="Times New Roman" w:eastAsia="Times New Roman" w:hAnsi="Times New Roman" w:cs="Times New Roman"/>
          <w:bCs/>
        </w:rPr>
        <w:t xml:space="preserve"> </w:t>
      </w:r>
    </w:p>
    <w:p w:rsidR="008F449C" w:rsidRPr="008F449C" w:rsidRDefault="008F449C" w:rsidP="008F449C">
      <w:pPr>
        <w:widowControl w:val="0"/>
        <w:spacing w:before="120" w:after="120" w:line="240" w:lineRule="auto"/>
        <w:ind w:left="426"/>
        <w:jc w:val="both"/>
        <w:rPr>
          <w:rFonts w:ascii="Times New Roman" w:eastAsia="Times New Roman" w:hAnsi="Times New Roman" w:cs="Times New Roman"/>
          <w:bCs/>
          <w:highlight w:val="lightGray"/>
        </w:rPr>
      </w:pPr>
      <w:r w:rsidRPr="008F449C">
        <w:rPr>
          <w:rFonts w:ascii="Times New Roman" w:eastAsia="Times New Roman" w:hAnsi="Times New Roman" w:cs="Times New Roman"/>
          <w:bCs/>
          <w:lang w:eastAsia="hu-HU"/>
        </w:rPr>
        <w:t>A tanórákon való részvétel kötelező, megengedett hiányzás mértéke 25%. Hiányzás esetén órapótlásra nincs lehetőség, a hallgató az előadás anyagát önállóan pótolja. A 25%-ot meghaladó hiányzás az aláírás megtagadását vonja maga után.</w:t>
      </w:r>
    </w:p>
    <w:p w:rsidR="008F449C" w:rsidRPr="008F449C" w:rsidRDefault="008F449C" w:rsidP="00980876">
      <w:pPr>
        <w:widowControl w:val="0"/>
        <w:numPr>
          <w:ilvl w:val="0"/>
          <w:numId w:val="282"/>
        </w:numPr>
        <w:tabs>
          <w:tab w:val="num" w:pos="360"/>
        </w:tabs>
        <w:spacing w:before="120" w:after="120" w:line="240" w:lineRule="auto"/>
        <w:ind w:left="426" w:hanging="142"/>
        <w:jc w:val="both"/>
        <w:rPr>
          <w:rFonts w:ascii="Times New Roman" w:eastAsia="Times New Roman" w:hAnsi="Times New Roman" w:cs="Times New Roman"/>
          <w:bCs/>
        </w:rPr>
      </w:pPr>
      <w:r w:rsidRPr="008F449C">
        <w:rPr>
          <w:rFonts w:ascii="Times New Roman" w:eastAsia="Times New Roman" w:hAnsi="Times New Roman" w:cs="Times New Roman"/>
          <w:b/>
        </w:rPr>
        <w:t>Félévközi feladatok, ismeretek ellenőrzésének rendje:</w:t>
      </w:r>
      <w:r w:rsidRPr="008F449C">
        <w:rPr>
          <w:rFonts w:ascii="Times New Roman" w:eastAsia="Times New Roman" w:hAnsi="Times New Roman" w:cs="Times New Roman"/>
          <w:bCs/>
        </w:rPr>
        <w:t xml:space="preserve"> </w:t>
      </w:r>
    </w:p>
    <w:p w:rsidR="008F449C" w:rsidRPr="008F449C" w:rsidRDefault="008F449C" w:rsidP="008F449C">
      <w:pPr>
        <w:widowControl w:val="0"/>
        <w:spacing w:before="120" w:after="120" w:line="240" w:lineRule="auto"/>
        <w:ind w:left="426"/>
        <w:jc w:val="both"/>
        <w:rPr>
          <w:rFonts w:ascii="Times New Roman" w:eastAsia="Times New Roman" w:hAnsi="Times New Roman" w:cs="Times New Roman"/>
          <w:lang w:eastAsia="x-none"/>
        </w:rPr>
      </w:pPr>
      <w:r w:rsidRPr="008F449C">
        <w:rPr>
          <w:rFonts w:ascii="Times New Roman" w:eastAsia="Times New Roman" w:hAnsi="Times New Roman" w:cs="Times New Roman"/>
          <w:lang w:val="x-none" w:eastAsia="x-none"/>
        </w:rPr>
        <w:t>A félév során egy zárthelyi dolgozatot ke</w:t>
      </w:r>
      <w:r w:rsidRPr="008F449C">
        <w:rPr>
          <w:rFonts w:ascii="Times New Roman" w:eastAsia="Times New Roman" w:hAnsi="Times New Roman" w:cs="Times New Roman"/>
          <w:lang w:eastAsia="x-none"/>
        </w:rPr>
        <w:t>l</w:t>
      </w:r>
      <w:r w:rsidRPr="008F449C">
        <w:rPr>
          <w:rFonts w:ascii="Times New Roman" w:eastAsia="Times New Roman" w:hAnsi="Times New Roman" w:cs="Times New Roman"/>
          <w:lang w:val="x-none" w:eastAsia="x-none"/>
        </w:rPr>
        <w:t>l megír</w:t>
      </w:r>
      <w:r w:rsidRPr="008F449C">
        <w:rPr>
          <w:rFonts w:ascii="Times New Roman" w:eastAsia="Times New Roman" w:hAnsi="Times New Roman" w:cs="Times New Roman"/>
          <w:lang w:eastAsia="x-none"/>
        </w:rPr>
        <w:t>ni</w:t>
      </w:r>
      <w:r w:rsidRPr="008F449C">
        <w:rPr>
          <w:rFonts w:ascii="Times New Roman" w:eastAsia="Times New Roman" w:hAnsi="Times New Roman" w:cs="Times New Roman"/>
          <w:lang w:val="x-none" w:eastAsia="x-none"/>
        </w:rPr>
        <w:t xml:space="preserve">. </w:t>
      </w:r>
      <w:r w:rsidRPr="008F449C">
        <w:rPr>
          <w:rFonts w:ascii="Times New Roman" w:eastAsia="Times New Roman" w:hAnsi="Times New Roman" w:cs="Times New Roman"/>
          <w:lang w:eastAsia="x-none"/>
        </w:rPr>
        <w:t xml:space="preserve">A zárthelyi dolgozat ötfokozatú skálán értékelendő, 50%+1 pont elégséges, 60% közepes, 75% jó, 90% jeles. </w:t>
      </w:r>
      <w:r w:rsidRPr="008F449C">
        <w:rPr>
          <w:rFonts w:ascii="Times New Roman" w:eastAsia="Times New Roman" w:hAnsi="Times New Roman" w:cs="Times New Roman"/>
          <w:lang w:val="x-none" w:eastAsia="x-none"/>
        </w:rPr>
        <w:t xml:space="preserve">Az elégtelen osztályzatra értékelt dolgozatot a szorgalmi és a vizsgaidőszakban is egy-egy alkalommal lehet pótolni. </w:t>
      </w:r>
    </w:p>
    <w:p w:rsidR="008F449C" w:rsidRPr="008F449C" w:rsidRDefault="008F449C" w:rsidP="008F449C">
      <w:pPr>
        <w:widowControl w:val="0"/>
        <w:spacing w:before="120" w:after="120" w:line="240" w:lineRule="auto"/>
        <w:ind w:left="426"/>
        <w:jc w:val="both"/>
        <w:rPr>
          <w:rFonts w:ascii="Times New Roman" w:eastAsia="Times New Roman" w:hAnsi="Times New Roman" w:cs="Times New Roman"/>
          <w:lang w:val="x-none" w:eastAsia="x-none"/>
        </w:rPr>
      </w:pPr>
      <w:r w:rsidRPr="008F449C">
        <w:rPr>
          <w:rFonts w:ascii="Times New Roman" w:eastAsia="Calibri" w:hAnsi="Times New Roman" w:cs="Times New Roman"/>
          <w:lang w:val="x-none" w:eastAsia="x-none"/>
        </w:rPr>
        <w:t xml:space="preserve">A félév során </w:t>
      </w:r>
      <w:r w:rsidRPr="008F449C">
        <w:rPr>
          <w:rFonts w:ascii="Times New Roman" w:eastAsia="Calibri" w:hAnsi="Times New Roman" w:cs="Times New Roman"/>
          <w:lang w:eastAsia="x-none"/>
        </w:rPr>
        <w:t>egy</w:t>
      </w:r>
      <w:r w:rsidRPr="008F449C">
        <w:rPr>
          <w:rFonts w:ascii="Times New Roman" w:eastAsia="Calibri" w:hAnsi="Times New Roman" w:cs="Times New Roman"/>
          <w:lang w:val="x-none" w:eastAsia="x-none"/>
        </w:rPr>
        <w:t xml:space="preserve"> házi feladatot kell elkészíteni minimálisan 10 oldal</w:t>
      </w:r>
      <w:r w:rsidRPr="008F449C">
        <w:rPr>
          <w:rFonts w:ascii="Times New Roman" w:eastAsia="Calibri" w:hAnsi="Times New Roman" w:cs="Times New Roman"/>
          <w:b/>
          <w:lang w:val="x-none" w:eastAsia="x-none"/>
        </w:rPr>
        <w:t xml:space="preserve"> </w:t>
      </w:r>
      <w:r w:rsidRPr="008F449C">
        <w:rPr>
          <w:rFonts w:ascii="Times New Roman" w:eastAsia="Calibri" w:hAnsi="Times New Roman" w:cs="Times New Roman"/>
          <w:lang w:val="x-none" w:eastAsia="x-none"/>
        </w:rPr>
        <w:t xml:space="preserve">terjedelemben, a szakdolgozatnak megfelelő formai követelményekkel </w:t>
      </w:r>
      <w:r w:rsidRPr="008F449C">
        <w:rPr>
          <w:rFonts w:ascii="Times New Roman" w:eastAsia="Calibri" w:hAnsi="Times New Roman" w:cs="Times New Roman"/>
        </w:rPr>
        <w:t>(TVSZ 5. melléklet)</w:t>
      </w:r>
      <w:r w:rsidRPr="008F449C">
        <w:rPr>
          <w:rFonts w:ascii="Times New Roman" w:eastAsia="Calibri" w:hAnsi="Times New Roman" w:cs="Times New Roman"/>
          <w:lang w:val="x-none" w:eastAsia="x-none"/>
        </w:rPr>
        <w:t xml:space="preserve">. </w:t>
      </w:r>
      <w:r w:rsidRPr="008F449C">
        <w:rPr>
          <w:rFonts w:ascii="Times New Roman" w:eastAsia="Calibri" w:hAnsi="Times New Roman" w:cs="Times New Roman"/>
          <w:lang w:eastAsia="x-none"/>
        </w:rPr>
        <w:t xml:space="preserve">A 10 oldal terjedelembe a bevezető, a fő rész és a befejezés tartozik csak. </w:t>
      </w:r>
      <w:r w:rsidRPr="008F449C">
        <w:rPr>
          <w:rFonts w:ascii="Times New Roman" w:eastAsia="Calibri" w:hAnsi="Times New Roman" w:cs="Times New Roman"/>
          <w:lang w:val="x-none" w:eastAsia="x-none"/>
        </w:rPr>
        <w:t>Az írásbeli munka témáját a hallgató választja</w:t>
      </w:r>
      <w:r w:rsidRPr="008F449C">
        <w:rPr>
          <w:rFonts w:ascii="Times New Roman" w:eastAsia="Calibri" w:hAnsi="Times New Roman" w:cs="Times New Roman"/>
          <w:lang w:eastAsia="x-none"/>
        </w:rPr>
        <w:t>,</w:t>
      </w:r>
      <w:r w:rsidRPr="008F449C">
        <w:rPr>
          <w:rFonts w:ascii="Times New Roman" w:eastAsia="Calibri" w:hAnsi="Times New Roman" w:cs="Times New Roman"/>
          <w:lang w:val="x-none" w:eastAsia="x-none"/>
        </w:rPr>
        <w:t xml:space="preserve"> a kurzus oktatója </w:t>
      </w:r>
      <w:r w:rsidRPr="008F449C">
        <w:rPr>
          <w:rFonts w:ascii="Times New Roman" w:eastAsia="Calibri" w:hAnsi="Times New Roman" w:cs="Times New Roman"/>
          <w:lang w:eastAsia="x-none"/>
        </w:rPr>
        <w:t>jóváhagyja</w:t>
      </w:r>
      <w:r w:rsidRPr="008F449C">
        <w:rPr>
          <w:rFonts w:ascii="Times New Roman" w:eastAsia="Calibri" w:hAnsi="Times New Roman" w:cs="Times New Roman"/>
          <w:lang w:val="x-none" w:eastAsia="x-none"/>
        </w:rPr>
        <w:t xml:space="preserve">. A szorgalmi időszakban a beadási határidőig leadott feladat </w:t>
      </w:r>
      <w:r w:rsidRPr="008F449C">
        <w:rPr>
          <w:rFonts w:ascii="Times New Roman" w:eastAsia="Calibri" w:hAnsi="Times New Roman" w:cs="Times New Roman"/>
          <w:lang w:eastAsia="x-none"/>
        </w:rPr>
        <w:t>ötfokozatú skálán értékelendő</w:t>
      </w:r>
      <w:r w:rsidRPr="008F449C">
        <w:rPr>
          <w:rFonts w:ascii="Times New Roman" w:eastAsia="Calibri" w:hAnsi="Times New Roman" w:cs="Times New Roman"/>
          <w:lang w:val="x-none" w:eastAsia="x-none"/>
        </w:rPr>
        <w:t>, azt javítani a vizsgaidőszak első hetén egy alkalommal lehet.</w:t>
      </w:r>
    </w:p>
    <w:p w:rsidR="008F449C" w:rsidRPr="008F449C" w:rsidRDefault="008F449C" w:rsidP="00980876">
      <w:pPr>
        <w:widowControl w:val="0"/>
        <w:numPr>
          <w:ilvl w:val="0"/>
          <w:numId w:val="282"/>
        </w:numPr>
        <w:spacing w:before="120" w:after="120" w:line="240" w:lineRule="auto"/>
        <w:ind w:left="426" w:hanging="142"/>
        <w:jc w:val="both"/>
        <w:rPr>
          <w:rFonts w:ascii="Times New Roman" w:eastAsia="Times New Roman" w:hAnsi="Times New Roman" w:cs="Times New Roman"/>
          <w:b/>
          <w:bCs/>
        </w:rPr>
      </w:pPr>
      <w:r w:rsidRPr="008F449C">
        <w:rPr>
          <w:rFonts w:ascii="Times New Roman" w:eastAsia="Times New Roman" w:hAnsi="Times New Roman" w:cs="Times New Roman"/>
          <w:b/>
          <w:bCs/>
        </w:rPr>
        <w:t xml:space="preserve">Az értékelés, az aláírás és a kreditek megszerzésének pontos feltételei: </w:t>
      </w:r>
    </w:p>
    <w:p w:rsidR="008F449C" w:rsidRPr="008F449C" w:rsidRDefault="008F449C" w:rsidP="00980876">
      <w:pPr>
        <w:widowControl w:val="0"/>
        <w:numPr>
          <w:ilvl w:val="1"/>
          <w:numId w:val="282"/>
        </w:numPr>
        <w:tabs>
          <w:tab w:val="left" w:pos="709"/>
          <w:tab w:val="left" w:pos="993"/>
          <w:tab w:val="num" w:pos="2069"/>
        </w:tabs>
        <w:spacing w:before="120" w:after="120" w:line="256" w:lineRule="auto"/>
        <w:ind w:left="426" w:firstLine="0"/>
        <w:jc w:val="both"/>
        <w:rPr>
          <w:rFonts w:ascii="Times New Roman" w:eastAsia="Calibri" w:hAnsi="Times New Roman" w:cs="Times New Roman"/>
        </w:rPr>
      </w:pPr>
      <w:r w:rsidRPr="008F449C">
        <w:rPr>
          <w:rFonts w:ascii="Times New Roman" w:eastAsia="Times New Roman" w:hAnsi="Times New Roman" w:cs="Times New Roman"/>
          <w:b/>
        </w:rPr>
        <w:t>Az aláírás megszerzésének feltételei:</w:t>
      </w:r>
      <w:r w:rsidRPr="008F449C">
        <w:rPr>
          <w:rFonts w:ascii="Times New Roman" w:eastAsia="Times New Roman" w:hAnsi="Times New Roman" w:cs="Times New Roman"/>
        </w:rPr>
        <w:t xml:space="preserve"> </w:t>
      </w:r>
      <w:r w:rsidRPr="008F449C">
        <w:rPr>
          <w:rFonts w:ascii="Times New Roman" w:eastAsia="Calibri" w:hAnsi="Times New Roman" w:cs="Times New Roman"/>
        </w:rPr>
        <w:t xml:space="preserve">Az aláírás megszerzésnek feltétele a zárthelyi dolgozat legalább elégséges szinten történő teljesítése (min </w:t>
      </w:r>
      <w:r w:rsidRPr="008F449C">
        <w:rPr>
          <w:rFonts w:ascii="Times New Roman" w:eastAsia="Times New Roman" w:hAnsi="Times New Roman" w:cs="Times New Roman"/>
          <w:lang w:eastAsia="x-none"/>
        </w:rPr>
        <w:t>50%+1 pont</w:t>
      </w:r>
      <w:r w:rsidRPr="008F449C">
        <w:rPr>
          <w:rFonts w:ascii="Times New Roman" w:eastAsia="Calibri" w:hAnsi="Times New Roman" w:cs="Times New Roman"/>
        </w:rPr>
        <w:t>), a kapott féléves feladat határidőre történő leadása és minimálisan elégséges szintű teljesítése, illetve a tanórák legalább 75%-án való megjelenés.</w:t>
      </w:r>
    </w:p>
    <w:p w:rsidR="008F449C" w:rsidRPr="008F449C" w:rsidRDefault="008F449C" w:rsidP="00980876">
      <w:pPr>
        <w:widowControl w:val="0"/>
        <w:numPr>
          <w:ilvl w:val="1"/>
          <w:numId w:val="282"/>
        </w:numPr>
        <w:tabs>
          <w:tab w:val="left" w:pos="709"/>
          <w:tab w:val="left" w:pos="993"/>
          <w:tab w:val="num" w:pos="2069"/>
        </w:tabs>
        <w:spacing w:before="120" w:after="120" w:line="256" w:lineRule="auto"/>
        <w:ind w:left="426" w:firstLine="0"/>
        <w:jc w:val="both"/>
        <w:rPr>
          <w:rFonts w:ascii="Times New Roman" w:eastAsia="Calibri" w:hAnsi="Times New Roman" w:cs="Times New Roman"/>
          <w:b/>
        </w:rPr>
      </w:pPr>
      <w:r w:rsidRPr="008F449C">
        <w:rPr>
          <w:rFonts w:ascii="Times New Roman" w:eastAsia="Times New Roman" w:hAnsi="Times New Roman" w:cs="Times New Roman"/>
          <w:b/>
        </w:rPr>
        <w:t>Az értékelés:</w:t>
      </w:r>
      <w:r w:rsidRPr="008F449C">
        <w:rPr>
          <w:rFonts w:ascii="Times New Roman" w:eastAsia="Times New Roman" w:hAnsi="Times New Roman" w:cs="Times New Roman"/>
        </w:rPr>
        <w:t xml:space="preserve"> </w:t>
      </w:r>
      <w:r w:rsidRPr="008F449C">
        <w:rPr>
          <w:rFonts w:ascii="Times New Roman" w:eastAsia="Calibri" w:hAnsi="Times New Roman" w:cs="Times New Roman"/>
          <w:lang w:val="x-none" w:eastAsia="x-none"/>
        </w:rPr>
        <w:t xml:space="preserve">A tantárgy </w:t>
      </w:r>
      <w:r w:rsidRPr="008F449C">
        <w:rPr>
          <w:rFonts w:ascii="Times New Roman" w:eastAsia="Calibri" w:hAnsi="Times New Roman" w:cs="Times New Roman"/>
          <w:b/>
          <w:lang w:val="x-none" w:eastAsia="x-none"/>
        </w:rPr>
        <w:t>félévközi jeggyel</w:t>
      </w:r>
      <w:r w:rsidRPr="008F449C">
        <w:rPr>
          <w:rFonts w:ascii="Times New Roman" w:eastAsia="Calibri" w:hAnsi="Times New Roman" w:cs="Times New Roman"/>
          <w:lang w:val="x-none" w:eastAsia="x-none"/>
        </w:rPr>
        <w:t xml:space="preserve"> zárul, </w:t>
      </w:r>
      <w:r w:rsidRPr="008F449C">
        <w:rPr>
          <w:rFonts w:ascii="Times New Roman" w:eastAsia="Calibri" w:hAnsi="Times New Roman" w:cs="Times New Roman"/>
          <w:lang w:eastAsia="x-none"/>
        </w:rPr>
        <w:t>a</w:t>
      </w:r>
      <w:r w:rsidRPr="008F449C">
        <w:rPr>
          <w:rFonts w:ascii="Times New Roman" w:eastAsia="Calibri" w:hAnsi="Times New Roman" w:cs="Times New Roman"/>
          <w:lang w:val="x-none" w:eastAsia="x-none"/>
        </w:rPr>
        <w:t>mely a zárthelyi dolgozatra és a beadott házi feladatra kapott osztályzatok alapján kerül meghatározásra egyszerű számtani átlaggal.</w:t>
      </w:r>
      <w:r w:rsidRPr="008F449C">
        <w:rPr>
          <w:rFonts w:ascii="Times New Roman" w:eastAsia="Calibri" w:hAnsi="Times New Roman" w:cs="Times New Roman"/>
        </w:rPr>
        <w:t xml:space="preserve"> Kétes jegy esetén (pl. 3,5) a zárthelyi jegyét súlyozottan kell beszámítani.</w:t>
      </w:r>
    </w:p>
    <w:p w:rsidR="008F449C" w:rsidRPr="008F449C" w:rsidRDefault="008F449C" w:rsidP="00980876">
      <w:pPr>
        <w:widowControl w:val="0"/>
        <w:numPr>
          <w:ilvl w:val="1"/>
          <w:numId w:val="282"/>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8F449C">
        <w:rPr>
          <w:rFonts w:ascii="Times New Roman" w:eastAsia="Times New Roman" w:hAnsi="Times New Roman" w:cs="Times New Roman"/>
          <w:b/>
        </w:rPr>
        <w:t>A kreditek megszerzésének feltételei:</w:t>
      </w:r>
      <w:r w:rsidRPr="008F449C">
        <w:rPr>
          <w:rFonts w:ascii="Times New Roman" w:eastAsia="Times New Roman" w:hAnsi="Times New Roman" w:cs="Times New Roman"/>
        </w:rPr>
        <w:t xml:space="preserve"> A kreditek megszerzésének feltétele az aláírás megszerzése és legalább elégséges félévközi jegy.</w:t>
      </w:r>
    </w:p>
    <w:p w:rsidR="008F449C" w:rsidRPr="008F449C" w:rsidRDefault="008F449C" w:rsidP="00980876">
      <w:pPr>
        <w:widowControl w:val="0"/>
        <w:numPr>
          <w:ilvl w:val="0"/>
          <w:numId w:val="282"/>
        </w:numPr>
        <w:tabs>
          <w:tab w:val="num" w:pos="360"/>
        </w:tabs>
        <w:spacing w:before="120" w:after="120" w:line="240" w:lineRule="auto"/>
        <w:ind w:left="426" w:hanging="142"/>
        <w:jc w:val="both"/>
        <w:rPr>
          <w:rFonts w:ascii="Times New Roman" w:eastAsia="Times New Roman" w:hAnsi="Times New Roman" w:cs="Times New Roman"/>
          <w:bCs/>
        </w:rPr>
      </w:pPr>
      <w:r w:rsidRPr="008F449C">
        <w:rPr>
          <w:rFonts w:ascii="Times New Roman" w:eastAsia="Times New Roman" w:hAnsi="Times New Roman" w:cs="Times New Roman"/>
          <w:b/>
          <w:bCs/>
        </w:rPr>
        <w:t>Irodalomjegyzék:</w:t>
      </w:r>
    </w:p>
    <w:p w:rsidR="008F449C" w:rsidRPr="008F449C" w:rsidRDefault="008F449C" w:rsidP="00980876">
      <w:pPr>
        <w:widowControl w:val="0"/>
        <w:numPr>
          <w:ilvl w:val="1"/>
          <w:numId w:val="282"/>
        </w:numPr>
        <w:tabs>
          <w:tab w:val="left" w:pos="567"/>
          <w:tab w:val="left" w:pos="851"/>
          <w:tab w:val="num" w:pos="2069"/>
        </w:tabs>
        <w:spacing w:before="120" w:after="120" w:line="240" w:lineRule="auto"/>
        <w:ind w:left="426" w:hanging="142"/>
        <w:jc w:val="both"/>
        <w:rPr>
          <w:rFonts w:ascii="Times New Roman" w:eastAsia="Times New Roman" w:hAnsi="Times New Roman" w:cs="Times New Roman"/>
          <w:bCs/>
        </w:rPr>
      </w:pPr>
      <w:r w:rsidRPr="008F449C">
        <w:rPr>
          <w:rFonts w:ascii="Times New Roman" w:eastAsia="Times New Roman" w:hAnsi="Times New Roman" w:cs="Times New Roman"/>
          <w:b/>
          <w:bCs/>
        </w:rPr>
        <w:t>Kötelező irodalom:</w:t>
      </w:r>
    </w:p>
    <w:p w:rsidR="00DC6DF4" w:rsidRDefault="00DC6DF4" w:rsidP="00980876">
      <w:pPr>
        <w:numPr>
          <w:ilvl w:val="0"/>
          <w:numId w:val="283"/>
        </w:numPr>
        <w:spacing w:after="0" w:line="240" w:lineRule="auto"/>
        <w:contextualSpacing/>
        <w:jc w:val="both"/>
        <w:rPr>
          <w:rFonts w:ascii="Times New Roman" w:eastAsia="Calibri" w:hAnsi="Times New Roman" w:cs="Times New Roman"/>
        </w:rPr>
      </w:pPr>
      <w:r>
        <w:rPr>
          <w:rFonts w:ascii="Times New Roman" w:eastAsia="Calibri" w:hAnsi="Times New Roman" w:cs="Times New Roman"/>
        </w:rPr>
        <w:t>Csiszár Csaba-</w:t>
      </w:r>
      <w:r w:rsidRPr="00DC6DF4">
        <w:rPr>
          <w:rFonts w:ascii="Times New Roman" w:eastAsia="Calibri" w:hAnsi="Times New Roman" w:cs="Times New Roman"/>
        </w:rPr>
        <w:t>Sándor Zsolt Péter</w:t>
      </w:r>
      <w:r>
        <w:t xml:space="preserve">: </w:t>
      </w:r>
      <w:r w:rsidRPr="008F449C">
        <w:rPr>
          <w:rFonts w:ascii="Times New Roman" w:eastAsia="Calibri" w:hAnsi="Times New Roman" w:cs="Times New Roman"/>
        </w:rPr>
        <w:t>Közlekedési informatika</w:t>
      </w:r>
      <w:r>
        <w:rPr>
          <w:rFonts w:ascii="Times New Roman" w:eastAsia="Calibri" w:hAnsi="Times New Roman" w:cs="Times New Roman"/>
        </w:rPr>
        <w:t xml:space="preserve">, </w:t>
      </w:r>
      <w:r w:rsidRPr="00DC6DF4">
        <w:rPr>
          <w:rFonts w:ascii="Times New Roman" w:eastAsia="Calibri" w:hAnsi="Times New Roman" w:cs="Times New Roman"/>
        </w:rPr>
        <w:t>BME Tanárképző Központ</w:t>
      </w:r>
      <w:r>
        <w:rPr>
          <w:rFonts w:ascii="Times New Roman" w:eastAsia="Calibri" w:hAnsi="Times New Roman" w:cs="Times New Roman"/>
        </w:rPr>
        <w:t xml:space="preserve"> </w:t>
      </w:r>
      <w:r w:rsidRPr="00DC6DF4">
        <w:rPr>
          <w:rFonts w:ascii="Times New Roman" w:eastAsia="Calibri" w:hAnsi="Times New Roman" w:cs="Times New Roman"/>
        </w:rPr>
        <w:t>(2014</w:t>
      </w:r>
      <w:r w:rsidRPr="007D4F3B">
        <w:rPr>
          <w:rFonts w:ascii="Times New Roman" w:eastAsia="Calibri" w:hAnsi="Times New Roman" w:cs="Times New Roman"/>
        </w:rPr>
        <w:t xml:space="preserve">), </w:t>
      </w:r>
      <w:r w:rsidR="007D4F3B" w:rsidRPr="007D4F3B">
        <w:rPr>
          <w:rFonts w:ascii="Times New Roman" w:eastAsia="Calibri" w:hAnsi="Times New Roman" w:cs="Times New Roman"/>
        </w:rPr>
        <w:t>Digitális tankönyv</w:t>
      </w:r>
      <w:r w:rsidR="007D4F3B">
        <w:rPr>
          <w:rFonts w:ascii="Times New Roman" w:eastAsia="Calibri" w:hAnsi="Times New Roman" w:cs="Times New Roman"/>
        </w:rPr>
        <w:t>,</w:t>
      </w:r>
    </w:p>
    <w:p w:rsidR="008F449C" w:rsidRPr="008F449C" w:rsidRDefault="008F449C" w:rsidP="00980876">
      <w:pPr>
        <w:numPr>
          <w:ilvl w:val="0"/>
          <w:numId w:val="283"/>
        </w:numPr>
        <w:spacing w:after="0" w:line="240" w:lineRule="auto"/>
        <w:contextualSpacing/>
        <w:jc w:val="both"/>
        <w:rPr>
          <w:rFonts w:ascii="Times New Roman" w:eastAsia="Calibri" w:hAnsi="Times New Roman" w:cs="Times New Roman"/>
        </w:rPr>
      </w:pPr>
      <w:r w:rsidRPr="008F449C">
        <w:rPr>
          <w:rFonts w:ascii="Times New Roman" w:eastAsia="Calibri" w:hAnsi="Times New Roman" w:cs="Times New Roman"/>
        </w:rPr>
        <w:t>Szászi Gábor: Közlekedési informatika (BJKMF 1999. Budapest);</w:t>
      </w:r>
    </w:p>
    <w:p w:rsidR="008F449C" w:rsidRPr="008F449C" w:rsidRDefault="008F449C" w:rsidP="00980876">
      <w:pPr>
        <w:numPr>
          <w:ilvl w:val="0"/>
          <w:numId w:val="283"/>
        </w:numPr>
        <w:spacing w:after="0" w:line="240" w:lineRule="auto"/>
        <w:contextualSpacing/>
        <w:jc w:val="both"/>
        <w:rPr>
          <w:rFonts w:ascii="Times New Roman" w:eastAsia="Calibri" w:hAnsi="Times New Roman" w:cs="Times New Roman"/>
        </w:rPr>
      </w:pPr>
      <w:r w:rsidRPr="008F449C">
        <w:rPr>
          <w:rFonts w:ascii="Times New Roman" w:eastAsia="Calibri" w:hAnsi="Times New Roman" w:cs="Times New Roman"/>
        </w:rPr>
        <w:t>Oláh Ferenc: Járműazonosító és helymeghatározó rendszerek (SZIF-UNIVERSITAS Kft., Győr, 1999.)</w:t>
      </w:r>
    </w:p>
    <w:p w:rsidR="008F449C" w:rsidRPr="008F449C" w:rsidRDefault="008F449C" w:rsidP="00980876">
      <w:pPr>
        <w:numPr>
          <w:ilvl w:val="0"/>
          <w:numId w:val="283"/>
        </w:numPr>
        <w:spacing w:after="0" w:line="240" w:lineRule="auto"/>
        <w:contextualSpacing/>
        <w:jc w:val="both"/>
        <w:rPr>
          <w:rFonts w:ascii="Times New Roman" w:eastAsia="Calibri" w:hAnsi="Times New Roman" w:cs="Times New Roman"/>
        </w:rPr>
      </w:pPr>
      <w:r w:rsidRPr="008F449C">
        <w:rPr>
          <w:rFonts w:ascii="Times New Roman" w:eastAsia="Calibri" w:hAnsi="Times New Roman" w:cs="Times New Roman"/>
        </w:rPr>
        <w:t>ADAMS rendszerleírás (HM kiadvány)</w:t>
      </w:r>
    </w:p>
    <w:p w:rsidR="008F449C" w:rsidRPr="008F449C" w:rsidRDefault="008F449C" w:rsidP="00980876">
      <w:pPr>
        <w:widowControl w:val="0"/>
        <w:numPr>
          <w:ilvl w:val="1"/>
          <w:numId w:val="282"/>
        </w:numPr>
        <w:tabs>
          <w:tab w:val="num" w:pos="567"/>
          <w:tab w:val="num" w:pos="2069"/>
        </w:tabs>
        <w:spacing w:before="120" w:after="120" w:line="240" w:lineRule="auto"/>
        <w:ind w:left="993" w:hanging="709"/>
        <w:jc w:val="both"/>
        <w:rPr>
          <w:rFonts w:ascii="Times New Roman" w:eastAsia="Times New Roman" w:hAnsi="Times New Roman" w:cs="Times New Roman"/>
          <w:b/>
          <w:bCs/>
        </w:rPr>
      </w:pPr>
      <w:r w:rsidRPr="008F449C">
        <w:rPr>
          <w:rFonts w:ascii="Times New Roman" w:eastAsia="Times New Roman" w:hAnsi="Times New Roman" w:cs="Times New Roman"/>
          <w:b/>
          <w:bCs/>
        </w:rPr>
        <w:t>Ajánlott irodalom:</w:t>
      </w:r>
    </w:p>
    <w:p w:rsidR="008F449C" w:rsidRPr="008F449C" w:rsidRDefault="008F449C" w:rsidP="00980876">
      <w:pPr>
        <w:numPr>
          <w:ilvl w:val="0"/>
          <w:numId w:val="284"/>
        </w:numPr>
        <w:spacing w:after="0" w:line="240" w:lineRule="auto"/>
        <w:contextualSpacing/>
        <w:jc w:val="both"/>
        <w:rPr>
          <w:rFonts w:ascii="Times New Roman" w:eastAsia="Calibri" w:hAnsi="Times New Roman" w:cs="Times New Roman"/>
        </w:rPr>
      </w:pPr>
      <w:r w:rsidRPr="008F449C">
        <w:rPr>
          <w:rFonts w:ascii="Times New Roman" w:eastAsia="Calibri" w:hAnsi="Times New Roman" w:cs="Times New Roman"/>
        </w:rPr>
        <w:t>Westsik György: Közlekedési informatika (Tankönyvkiadó, Budapest, 1989.)</w:t>
      </w:r>
    </w:p>
    <w:p w:rsidR="008F449C" w:rsidRPr="008F449C" w:rsidRDefault="008F449C" w:rsidP="00980876">
      <w:pPr>
        <w:numPr>
          <w:ilvl w:val="0"/>
          <w:numId w:val="284"/>
        </w:numPr>
        <w:spacing w:after="0" w:line="240" w:lineRule="auto"/>
        <w:contextualSpacing/>
        <w:jc w:val="both"/>
        <w:rPr>
          <w:rFonts w:ascii="Times New Roman" w:eastAsia="Calibri" w:hAnsi="Times New Roman" w:cs="Times New Roman"/>
        </w:rPr>
      </w:pPr>
      <w:r w:rsidRPr="008F449C">
        <w:rPr>
          <w:rFonts w:ascii="Times New Roman" w:eastAsia="Calibri" w:hAnsi="Times New Roman" w:cs="Times New Roman"/>
        </w:rPr>
        <w:t>Detrekői-Szabó: Térinformatika (Nemzeti Tankönyvkiadó, Budapest 2002)</w:t>
      </w:r>
    </w:p>
    <w:p w:rsidR="008F449C" w:rsidRPr="008F449C" w:rsidRDefault="008F449C" w:rsidP="008F449C">
      <w:pPr>
        <w:widowControl w:val="0"/>
        <w:spacing w:after="0" w:line="240" w:lineRule="auto"/>
        <w:ind w:left="720"/>
        <w:contextualSpacing/>
        <w:jc w:val="both"/>
        <w:rPr>
          <w:rFonts w:ascii="Times New Roman" w:eastAsia="Times New Roman" w:hAnsi="Times New Roman" w:cs="Times New Roman"/>
          <w:highlight w:val="lightGray"/>
        </w:rPr>
      </w:pPr>
    </w:p>
    <w:p w:rsidR="00DC5CE6" w:rsidRDefault="00DC5CE6" w:rsidP="00DC5CE6">
      <w:pPr>
        <w:widowControl w:val="0"/>
        <w:spacing w:before="120" w:after="120" w:line="240" w:lineRule="auto"/>
        <w:jc w:val="both"/>
        <w:rPr>
          <w:rFonts w:ascii="Times New Roman" w:eastAsia="Times New Roman" w:hAnsi="Times New Roman" w:cs="Times New Roman"/>
          <w:bCs/>
        </w:rPr>
      </w:pPr>
      <w:r w:rsidRPr="00DC5CE6">
        <w:rPr>
          <w:rFonts w:ascii="Times New Roman" w:eastAsia="Times New Roman" w:hAnsi="Times New Roman" w:cs="Times New Roman"/>
          <w:bCs/>
        </w:rPr>
        <w:t>Budapest, 2020. március 30.</w:t>
      </w:r>
    </w:p>
    <w:p w:rsidR="008F449C" w:rsidRPr="008F449C" w:rsidRDefault="008F449C" w:rsidP="008F449C">
      <w:pPr>
        <w:tabs>
          <w:tab w:val="right" w:pos="900"/>
        </w:tabs>
        <w:spacing w:before="120" w:line="256" w:lineRule="auto"/>
        <w:ind w:left="1985" w:hanging="1980"/>
        <w:jc w:val="both"/>
        <w:rPr>
          <w:rFonts w:ascii="Times New Roman" w:eastAsia="Calibri" w:hAnsi="Times New Roman" w:cs="Times New Roman"/>
          <w:bCs/>
          <w:lang w:eastAsia="x-none"/>
        </w:rPr>
      </w:pPr>
    </w:p>
    <w:p w:rsidR="008F449C" w:rsidRPr="008F449C" w:rsidRDefault="008F449C" w:rsidP="008F449C">
      <w:pPr>
        <w:tabs>
          <w:tab w:val="right" w:pos="900"/>
        </w:tabs>
        <w:spacing w:after="0" w:line="256" w:lineRule="auto"/>
        <w:rPr>
          <w:rFonts w:ascii="Times New Roman" w:eastAsia="Calibri" w:hAnsi="Times New Roman" w:cs="Times New Roman"/>
          <w:bCs/>
          <w:lang w:val="x-none" w:eastAsia="x-none"/>
        </w:rPr>
      </w:pPr>
      <w:r w:rsidRPr="008F449C">
        <w:rPr>
          <w:rFonts w:ascii="Times New Roman" w:eastAsia="Calibri" w:hAnsi="Times New Roman" w:cs="Times New Roman"/>
          <w:b/>
          <w:lang w:eastAsia="x-none"/>
        </w:rPr>
        <w:tab/>
      </w:r>
      <w:r w:rsidRPr="008F449C">
        <w:rPr>
          <w:rFonts w:ascii="Times New Roman" w:eastAsia="Calibri" w:hAnsi="Times New Roman" w:cs="Times New Roman"/>
          <w:b/>
          <w:lang w:eastAsia="x-none"/>
        </w:rPr>
        <w:tab/>
      </w:r>
      <w:r w:rsidRPr="008F449C">
        <w:rPr>
          <w:rFonts w:ascii="Times New Roman" w:eastAsia="Calibri" w:hAnsi="Times New Roman" w:cs="Times New Roman"/>
          <w:b/>
          <w:lang w:eastAsia="x-none"/>
        </w:rPr>
        <w:tab/>
      </w:r>
      <w:r w:rsidRPr="008F449C">
        <w:rPr>
          <w:rFonts w:ascii="Times New Roman" w:eastAsia="Calibri" w:hAnsi="Times New Roman" w:cs="Times New Roman"/>
          <w:b/>
          <w:lang w:eastAsia="x-none"/>
        </w:rPr>
        <w:tab/>
      </w:r>
      <w:r w:rsidRPr="008F449C">
        <w:rPr>
          <w:rFonts w:ascii="Times New Roman" w:eastAsia="Calibri" w:hAnsi="Times New Roman" w:cs="Times New Roman"/>
          <w:b/>
          <w:lang w:eastAsia="x-none"/>
        </w:rPr>
        <w:tab/>
      </w:r>
      <w:r w:rsidRPr="008F449C">
        <w:rPr>
          <w:rFonts w:ascii="Times New Roman" w:eastAsia="Calibri" w:hAnsi="Times New Roman" w:cs="Times New Roman"/>
          <w:b/>
          <w:lang w:eastAsia="x-none"/>
        </w:rPr>
        <w:tab/>
        <w:t xml:space="preserve">  </w:t>
      </w:r>
      <w:r w:rsidRPr="008F449C">
        <w:rPr>
          <w:rFonts w:ascii="Times New Roman" w:eastAsia="Calibri" w:hAnsi="Times New Roman" w:cs="Times New Roman"/>
          <w:b/>
          <w:lang w:eastAsia="x-none"/>
        </w:rPr>
        <w:tab/>
        <w:t xml:space="preserve">         Dr. Fábos Róbert adjunktus, PhD</w:t>
      </w:r>
    </w:p>
    <w:p w:rsidR="00565EDF" w:rsidRDefault="008F449C" w:rsidP="007D4F3B">
      <w:pPr>
        <w:spacing w:after="0" w:line="256" w:lineRule="auto"/>
        <w:ind w:left="5672" w:firstLine="709"/>
      </w:pPr>
      <w:r w:rsidRPr="008F449C">
        <w:rPr>
          <w:rFonts w:ascii="Times New Roman" w:eastAsia="Calibri" w:hAnsi="Times New Roman" w:cs="Times New Roman"/>
          <w:bCs/>
        </w:rPr>
        <w:t>tantárgyfelelős</w:t>
      </w:r>
      <w:r w:rsidR="00565EDF">
        <w:br w:type="page"/>
      </w:r>
    </w:p>
    <w:tbl>
      <w:tblPr>
        <w:tblW w:w="9072" w:type="dxa"/>
        <w:tblInd w:w="113" w:type="dxa"/>
        <w:tblLook w:val="01E0" w:firstRow="1" w:lastRow="1" w:firstColumn="1" w:lastColumn="1" w:noHBand="0" w:noVBand="0"/>
      </w:tblPr>
      <w:tblGrid>
        <w:gridCol w:w="4855"/>
        <w:gridCol w:w="1620"/>
        <w:gridCol w:w="2597"/>
      </w:tblGrid>
      <w:tr w:rsidR="008F449C" w:rsidRPr="00565EDF" w:rsidTr="008F449C">
        <w:tc>
          <w:tcPr>
            <w:tcW w:w="4855" w:type="dxa"/>
            <w:tcBorders>
              <w:top w:val="nil"/>
              <w:left w:val="nil"/>
              <w:bottom w:val="single" w:sz="4" w:space="0" w:color="auto"/>
              <w:right w:val="nil"/>
            </w:tcBorders>
            <w:hideMark/>
          </w:tcPr>
          <w:p w:rsidR="008F449C" w:rsidRPr="00565EDF" w:rsidRDefault="008F449C">
            <w:pPr>
              <w:spacing w:after="0" w:line="240" w:lineRule="auto"/>
              <w:jc w:val="center"/>
              <w:rPr>
                <w:rFonts w:ascii="Times New Roman" w:eastAsia="Times New Roman" w:hAnsi="Times New Roman" w:cs="Times New Roman"/>
                <w:b/>
                <w:smallCaps/>
                <w:lang w:eastAsia="hu-HU"/>
              </w:rPr>
            </w:pPr>
            <w:r w:rsidRPr="00565EDF">
              <w:rPr>
                <w:rFonts w:ascii="Times New Roman" w:eastAsia="Times New Roman" w:hAnsi="Times New Roman" w:cs="Times New Roman"/>
                <w:b/>
                <w:smallCaps/>
                <w:lang w:eastAsia="hu-HU"/>
              </w:rPr>
              <w:lastRenderedPageBreak/>
              <w:t>Nemzeti Közszolgálati Egyetem</w:t>
            </w:r>
          </w:p>
        </w:tc>
        <w:tc>
          <w:tcPr>
            <w:tcW w:w="1620" w:type="dxa"/>
          </w:tcPr>
          <w:p w:rsidR="008F449C" w:rsidRPr="00565EDF" w:rsidRDefault="008F449C">
            <w:pPr>
              <w:spacing w:after="0" w:line="240" w:lineRule="auto"/>
              <w:jc w:val="both"/>
              <w:rPr>
                <w:rFonts w:ascii="Times New Roman" w:eastAsia="Times New Roman" w:hAnsi="Times New Roman" w:cs="Times New Roman"/>
                <w:lang w:eastAsia="hu-HU"/>
              </w:rPr>
            </w:pPr>
          </w:p>
        </w:tc>
        <w:tc>
          <w:tcPr>
            <w:tcW w:w="2597" w:type="dxa"/>
          </w:tcPr>
          <w:p w:rsidR="008F449C" w:rsidRPr="00565EDF" w:rsidRDefault="008F449C">
            <w:pPr>
              <w:spacing w:after="0" w:line="240" w:lineRule="auto"/>
              <w:jc w:val="right"/>
              <w:rPr>
                <w:rFonts w:ascii="Times New Roman" w:eastAsia="Times New Roman" w:hAnsi="Times New Roman" w:cs="Times New Roman"/>
                <w:lang w:eastAsia="hu-HU"/>
              </w:rPr>
            </w:pPr>
          </w:p>
        </w:tc>
      </w:tr>
      <w:tr w:rsidR="008F449C" w:rsidRPr="00565EDF" w:rsidTr="008F449C">
        <w:tc>
          <w:tcPr>
            <w:tcW w:w="4855" w:type="dxa"/>
            <w:tcBorders>
              <w:top w:val="single" w:sz="4" w:space="0" w:color="auto"/>
              <w:left w:val="nil"/>
              <w:bottom w:val="nil"/>
              <w:right w:val="nil"/>
            </w:tcBorders>
            <w:hideMark/>
          </w:tcPr>
          <w:p w:rsidR="008F449C" w:rsidRPr="00565EDF" w:rsidRDefault="008F449C">
            <w:pPr>
              <w:spacing w:after="0" w:line="240" w:lineRule="auto"/>
              <w:jc w:val="center"/>
              <w:rPr>
                <w:rFonts w:ascii="Times New Roman" w:eastAsia="Times New Roman" w:hAnsi="Times New Roman" w:cs="Times New Roman"/>
                <w:b/>
                <w:lang w:eastAsia="hu-HU"/>
              </w:rPr>
            </w:pPr>
            <w:r w:rsidRPr="00565EDF">
              <w:rPr>
                <w:rFonts w:ascii="Times New Roman" w:eastAsia="Times New Roman" w:hAnsi="Times New Roman" w:cs="Times New Roman"/>
                <w:b/>
                <w:lang w:eastAsia="hu-HU"/>
              </w:rPr>
              <w:t>Hadtudományi és Honvédtisztképző Kar</w:t>
            </w:r>
          </w:p>
        </w:tc>
        <w:tc>
          <w:tcPr>
            <w:tcW w:w="1620" w:type="dxa"/>
          </w:tcPr>
          <w:p w:rsidR="008F449C" w:rsidRPr="00565EDF" w:rsidRDefault="008F449C">
            <w:pPr>
              <w:spacing w:after="0" w:line="240" w:lineRule="auto"/>
              <w:jc w:val="both"/>
              <w:rPr>
                <w:rFonts w:ascii="Times New Roman" w:eastAsia="Times New Roman" w:hAnsi="Times New Roman" w:cs="Times New Roman"/>
                <w:lang w:eastAsia="hu-HU"/>
              </w:rPr>
            </w:pPr>
          </w:p>
        </w:tc>
        <w:tc>
          <w:tcPr>
            <w:tcW w:w="2597" w:type="dxa"/>
          </w:tcPr>
          <w:p w:rsidR="008F449C" w:rsidRPr="00565EDF" w:rsidRDefault="008F449C">
            <w:pPr>
              <w:spacing w:after="0" w:line="240" w:lineRule="auto"/>
              <w:jc w:val="both"/>
              <w:rPr>
                <w:rFonts w:ascii="Times New Roman" w:eastAsia="Times New Roman" w:hAnsi="Times New Roman" w:cs="Times New Roman"/>
                <w:lang w:eastAsia="hu-HU"/>
              </w:rPr>
            </w:pPr>
          </w:p>
        </w:tc>
      </w:tr>
    </w:tbl>
    <w:p w:rsidR="008F449C" w:rsidRPr="00565EDF" w:rsidRDefault="008F449C" w:rsidP="008F449C">
      <w:pPr>
        <w:widowControl w:val="0"/>
        <w:spacing w:before="120" w:after="120" w:line="240" w:lineRule="auto"/>
        <w:ind w:left="426" w:hanging="142"/>
        <w:jc w:val="center"/>
        <w:rPr>
          <w:rFonts w:ascii="Times New Roman" w:eastAsia="Times New Roman" w:hAnsi="Times New Roman" w:cs="Times New Roman"/>
          <w:b/>
          <w:bCs/>
        </w:rPr>
      </w:pPr>
    </w:p>
    <w:p w:rsidR="008F449C" w:rsidRPr="00565EDF" w:rsidRDefault="008F449C" w:rsidP="008F449C">
      <w:pPr>
        <w:widowControl w:val="0"/>
        <w:spacing w:before="120" w:after="120" w:line="240" w:lineRule="auto"/>
        <w:ind w:left="426" w:hanging="142"/>
        <w:jc w:val="center"/>
        <w:rPr>
          <w:rFonts w:ascii="Times New Roman" w:eastAsia="Times New Roman" w:hAnsi="Times New Roman" w:cs="Times New Roman"/>
          <w:b/>
          <w:bCs/>
        </w:rPr>
      </w:pPr>
      <w:r w:rsidRPr="00565EDF">
        <w:rPr>
          <w:rFonts w:ascii="Times New Roman" w:eastAsia="Times New Roman" w:hAnsi="Times New Roman" w:cs="Times New Roman"/>
          <w:b/>
          <w:bCs/>
        </w:rPr>
        <w:t>TANTÁRGYI PROGRAM</w:t>
      </w:r>
    </w:p>
    <w:p w:rsidR="008F449C" w:rsidRPr="00565EDF" w:rsidRDefault="008F449C" w:rsidP="00980876">
      <w:pPr>
        <w:widowControl w:val="0"/>
        <w:numPr>
          <w:ilvl w:val="0"/>
          <w:numId w:val="286"/>
        </w:numPr>
        <w:spacing w:before="120" w:after="120" w:line="240" w:lineRule="auto"/>
        <w:ind w:left="426" w:hanging="142"/>
        <w:jc w:val="both"/>
        <w:rPr>
          <w:rFonts w:ascii="Times New Roman" w:eastAsia="Times New Roman" w:hAnsi="Times New Roman" w:cs="Times New Roman"/>
          <w:bCs/>
        </w:rPr>
      </w:pPr>
      <w:r w:rsidRPr="00565EDF">
        <w:rPr>
          <w:rFonts w:ascii="Times New Roman" w:eastAsia="Times New Roman" w:hAnsi="Times New Roman" w:cs="Times New Roman"/>
          <w:b/>
          <w:bCs/>
        </w:rPr>
        <w:t xml:space="preserve">A tantárgy kódja: </w:t>
      </w:r>
      <w:r w:rsidRPr="00565EDF">
        <w:rPr>
          <w:rFonts w:ascii="Times New Roman" w:hAnsi="Times New Roman" w:cs="Times New Roman"/>
        </w:rPr>
        <w:t>HKHPKA314</w:t>
      </w:r>
    </w:p>
    <w:p w:rsidR="008F449C" w:rsidRPr="00565EDF" w:rsidRDefault="008F449C" w:rsidP="00980876">
      <w:pPr>
        <w:widowControl w:val="0"/>
        <w:numPr>
          <w:ilvl w:val="0"/>
          <w:numId w:val="286"/>
        </w:numPr>
        <w:spacing w:before="120" w:after="120" w:line="240" w:lineRule="auto"/>
        <w:ind w:left="426" w:hanging="142"/>
        <w:jc w:val="both"/>
        <w:rPr>
          <w:rFonts w:ascii="Times New Roman" w:eastAsia="Times New Roman" w:hAnsi="Times New Roman" w:cs="Times New Roman"/>
          <w:b/>
          <w:bCs/>
          <w:lang w:val="en-GB"/>
        </w:rPr>
      </w:pPr>
      <w:r w:rsidRPr="00565EDF">
        <w:rPr>
          <w:rFonts w:ascii="Times New Roman" w:eastAsia="Times New Roman" w:hAnsi="Times New Roman" w:cs="Times New Roman"/>
          <w:b/>
          <w:bCs/>
        </w:rPr>
        <w:t>A tantárgy megnevezése (magyarul):</w:t>
      </w:r>
      <w:r w:rsidRPr="00565EDF">
        <w:rPr>
          <w:rFonts w:ascii="Times New Roman" w:eastAsia="Times New Roman" w:hAnsi="Times New Roman" w:cs="Times New Roman"/>
          <w:bCs/>
        </w:rPr>
        <w:t xml:space="preserve"> </w:t>
      </w:r>
      <w:r w:rsidRPr="00565EDF">
        <w:rPr>
          <w:rFonts w:ascii="Times New Roman" w:hAnsi="Times New Roman" w:cs="Times New Roman"/>
          <w:bCs/>
        </w:rPr>
        <w:t>Közlekedési rendszer védelmi felkészítése</w:t>
      </w:r>
    </w:p>
    <w:p w:rsidR="008F449C" w:rsidRPr="00565EDF" w:rsidRDefault="008F449C" w:rsidP="00980876">
      <w:pPr>
        <w:widowControl w:val="0"/>
        <w:numPr>
          <w:ilvl w:val="0"/>
          <w:numId w:val="286"/>
        </w:numPr>
        <w:spacing w:before="120" w:after="120" w:line="240" w:lineRule="auto"/>
        <w:ind w:left="426" w:hanging="142"/>
        <w:jc w:val="both"/>
        <w:rPr>
          <w:rFonts w:ascii="Times New Roman" w:eastAsia="Times New Roman" w:hAnsi="Times New Roman" w:cs="Times New Roman"/>
          <w:b/>
          <w:bCs/>
          <w:lang w:val="en-GB"/>
        </w:rPr>
      </w:pPr>
      <w:r w:rsidRPr="00565EDF">
        <w:rPr>
          <w:rFonts w:ascii="Times New Roman" w:eastAsia="Times New Roman" w:hAnsi="Times New Roman" w:cs="Times New Roman"/>
          <w:b/>
          <w:bCs/>
        </w:rPr>
        <w:t xml:space="preserve">A tantárgy megnevezése (angolul): </w:t>
      </w:r>
      <w:r w:rsidRPr="00565EDF">
        <w:rPr>
          <w:rFonts w:ascii="Times New Roman" w:hAnsi="Times New Roman" w:cs="Times New Roman"/>
        </w:rPr>
        <w:t>Preparing the National Transportation System for Defense</w:t>
      </w:r>
    </w:p>
    <w:p w:rsidR="008F449C" w:rsidRPr="00565EDF" w:rsidRDefault="008F449C" w:rsidP="00980876">
      <w:pPr>
        <w:widowControl w:val="0"/>
        <w:numPr>
          <w:ilvl w:val="0"/>
          <w:numId w:val="286"/>
        </w:numPr>
        <w:spacing w:before="120" w:after="120" w:line="240" w:lineRule="auto"/>
        <w:ind w:left="426" w:hanging="142"/>
        <w:jc w:val="both"/>
        <w:rPr>
          <w:rFonts w:ascii="Times New Roman" w:eastAsia="Times New Roman" w:hAnsi="Times New Roman" w:cs="Times New Roman"/>
          <w:b/>
          <w:bCs/>
        </w:rPr>
      </w:pPr>
      <w:r w:rsidRPr="00565EDF">
        <w:rPr>
          <w:rFonts w:ascii="Times New Roman" w:eastAsia="Times New Roman" w:hAnsi="Times New Roman" w:cs="Times New Roman"/>
          <w:b/>
          <w:bCs/>
        </w:rPr>
        <w:t xml:space="preserve">Kreditérték és képzési karakter: </w:t>
      </w:r>
    </w:p>
    <w:p w:rsidR="008F449C" w:rsidRPr="00565EDF" w:rsidRDefault="008F449C" w:rsidP="00980876">
      <w:pPr>
        <w:pStyle w:val="Listaszerbekezds"/>
        <w:widowControl w:val="0"/>
        <w:numPr>
          <w:ilvl w:val="1"/>
          <w:numId w:val="286"/>
        </w:numPr>
        <w:spacing w:before="120" w:after="120" w:line="240" w:lineRule="auto"/>
        <w:ind w:left="993" w:hanging="426"/>
        <w:jc w:val="both"/>
        <w:rPr>
          <w:rFonts w:ascii="Times New Roman" w:eastAsia="Times New Roman" w:hAnsi="Times New Roman" w:cs="Times New Roman"/>
          <w:b/>
          <w:bCs/>
        </w:rPr>
      </w:pPr>
      <w:r w:rsidRPr="00565EDF">
        <w:rPr>
          <w:rFonts w:ascii="Times New Roman" w:eastAsia="Times New Roman" w:hAnsi="Times New Roman" w:cs="Times New Roman"/>
          <w:bCs/>
        </w:rPr>
        <w:t>2 kredit</w:t>
      </w:r>
    </w:p>
    <w:p w:rsidR="008F449C" w:rsidRPr="00565EDF" w:rsidRDefault="008F449C" w:rsidP="00980876">
      <w:pPr>
        <w:pStyle w:val="Listaszerbekezds"/>
        <w:widowControl w:val="0"/>
        <w:numPr>
          <w:ilvl w:val="1"/>
          <w:numId w:val="286"/>
        </w:numPr>
        <w:spacing w:before="120" w:after="120" w:line="240" w:lineRule="auto"/>
        <w:ind w:left="993" w:hanging="426"/>
        <w:jc w:val="both"/>
        <w:rPr>
          <w:rFonts w:ascii="Times New Roman" w:eastAsia="Times New Roman" w:hAnsi="Times New Roman" w:cs="Times New Roman"/>
          <w:b/>
          <w:bCs/>
        </w:rPr>
      </w:pPr>
      <w:r w:rsidRPr="00565EDF">
        <w:rPr>
          <w:rFonts w:ascii="Times New Roman" w:eastAsia="Times New Roman" w:hAnsi="Times New Roman" w:cs="Times New Roman"/>
          <w:bCs/>
        </w:rPr>
        <w:t>a tantárgy elméleti vagy gyakorlati jellegének mértéke: 50</w:t>
      </w:r>
      <w:r w:rsidRPr="00565EDF">
        <w:rPr>
          <w:rFonts w:ascii="Times New Roman" w:eastAsia="Times New Roman" w:hAnsi="Times New Roman" w:cs="Times New Roman"/>
          <w:b/>
          <w:bCs/>
        </w:rPr>
        <w:t xml:space="preserve"> </w:t>
      </w:r>
      <w:r w:rsidRPr="00565EDF">
        <w:rPr>
          <w:rFonts w:ascii="Times New Roman" w:eastAsia="Times New Roman" w:hAnsi="Times New Roman" w:cs="Times New Roman"/>
          <w:bCs/>
        </w:rPr>
        <w:t>% gyakorlat, 50 % elmélet</w:t>
      </w:r>
    </w:p>
    <w:p w:rsidR="008F449C" w:rsidRPr="00565EDF" w:rsidRDefault="008F449C" w:rsidP="00980876">
      <w:pPr>
        <w:widowControl w:val="0"/>
        <w:numPr>
          <w:ilvl w:val="0"/>
          <w:numId w:val="286"/>
        </w:numPr>
        <w:spacing w:before="120" w:after="120" w:line="240" w:lineRule="auto"/>
        <w:ind w:left="426" w:hanging="142"/>
        <w:jc w:val="both"/>
        <w:rPr>
          <w:rFonts w:ascii="Times New Roman" w:eastAsia="Times New Roman" w:hAnsi="Times New Roman" w:cs="Times New Roman"/>
          <w:bCs/>
        </w:rPr>
      </w:pPr>
      <w:r w:rsidRPr="00565EDF">
        <w:rPr>
          <w:rFonts w:ascii="Times New Roman" w:eastAsia="Times New Roman" w:hAnsi="Times New Roman" w:cs="Times New Roman"/>
          <w:b/>
          <w:bCs/>
        </w:rPr>
        <w:t>A szak(ok), szakirányok/specializációk megnevezése (ahol oktatják):</w:t>
      </w:r>
      <w:r w:rsidRPr="00565EDF">
        <w:rPr>
          <w:rFonts w:ascii="Times New Roman" w:eastAsia="Times New Roman" w:hAnsi="Times New Roman" w:cs="Times New Roman"/>
          <w:bCs/>
        </w:rPr>
        <w:t xml:space="preserve"> Katonai logisztika alapképzési szak, Katonai közlekedési specializáció</w:t>
      </w:r>
    </w:p>
    <w:p w:rsidR="008F449C" w:rsidRPr="00565EDF" w:rsidRDefault="008F449C" w:rsidP="00980876">
      <w:pPr>
        <w:widowControl w:val="0"/>
        <w:numPr>
          <w:ilvl w:val="0"/>
          <w:numId w:val="286"/>
        </w:numPr>
        <w:spacing w:before="120" w:after="120" w:line="240" w:lineRule="auto"/>
        <w:ind w:left="426" w:hanging="142"/>
        <w:jc w:val="both"/>
        <w:rPr>
          <w:rFonts w:ascii="Times New Roman" w:eastAsia="Times New Roman" w:hAnsi="Times New Roman" w:cs="Times New Roman"/>
          <w:bCs/>
        </w:rPr>
      </w:pPr>
      <w:r w:rsidRPr="00565EDF">
        <w:rPr>
          <w:rFonts w:ascii="Times New Roman" w:eastAsia="Times New Roman" w:hAnsi="Times New Roman" w:cs="Times New Roman"/>
          <w:b/>
          <w:bCs/>
        </w:rPr>
        <w:t xml:space="preserve">Az oktatásért felelős oktatási szervezeti egység megnevezése: </w:t>
      </w:r>
      <w:r w:rsidRPr="00565EDF">
        <w:rPr>
          <w:rFonts w:ascii="Times New Roman" w:eastAsia="Times New Roman" w:hAnsi="Times New Roman" w:cs="Times New Roman"/>
          <w:bCs/>
        </w:rPr>
        <w:t>NKE HHK, Hadtáp, Pénzügyi és Katonai Közlekedési Tanszék</w:t>
      </w:r>
    </w:p>
    <w:p w:rsidR="008F449C" w:rsidRPr="00565EDF" w:rsidRDefault="008F449C" w:rsidP="00980876">
      <w:pPr>
        <w:widowControl w:val="0"/>
        <w:numPr>
          <w:ilvl w:val="0"/>
          <w:numId w:val="286"/>
        </w:numPr>
        <w:spacing w:before="120" w:after="120" w:line="240" w:lineRule="auto"/>
        <w:ind w:left="426" w:hanging="142"/>
        <w:jc w:val="both"/>
        <w:rPr>
          <w:rFonts w:ascii="Times New Roman" w:eastAsia="Times New Roman" w:hAnsi="Times New Roman" w:cs="Times New Roman"/>
          <w:bCs/>
        </w:rPr>
      </w:pPr>
      <w:r w:rsidRPr="00565EDF">
        <w:rPr>
          <w:rFonts w:ascii="Times New Roman" w:eastAsia="Times New Roman" w:hAnsi="Times New Roman" w:cs="Times New Roman"/>
          <w:b/>
          <w:bCs/>
        </w:rPr>
        <w:t>A tantárgyfelelős oktató neve, beosztása, tudományos fokozata:</w:t>
      </w:r>
      <w:r w:rsidRPr="00565EDF">
        <w:rPr>
          <w:rFonts w:ascii="Times New Roman" w:eastAsia="Times New Roman" w:hAnsi="Times New Roman" w:cs="Times New Roman"/>
          <w:bCs/>
        </w:rPr>
        <w:t xml:space="preserve"> </w:t>
      </w:r>
      <w:r w:rsidRPr="00565EDF">
        <w:rPr>
          <w:rFonts w:ascii="Times New Roman" w:hAnsi="Times New Roman" w:cs="Times New Roman"/>
          <w:lang w:eastAsia="x-none"/>
        </w:rPr>
        <w:t>Dr. Szászi Gábor egyetemi docens, PhD</w:t>
      </w:r>
      <w:r w:rsidRPr="00565EDF">
        <w:rPr>
          <w:rFonts w:ascii="Times New Roman" w:eastAsia="Times New Roman" w:hAnsi="Times New Roman" w:cs="Times New Roman"/>
          <w:bCs/>
        </w:rPr>
        <w:t xml:space="preserve"> </w:t>
      </w:r>
    </w:p>
    <w:p w:rsidR="008F449C" w:rsidRPr="00565EDF" w:rsidRDefault="008F449C" w:rsidP="00980876">
      <w:pPr>
        <w:widowControl w:val="0"/>
        <w:numPr>
          <w:ilvl w:val="0"/>
          <w:numId w:val="286"/>
        </w:numPr>
        <w:spacing w:before="120" w:after="120" w:line="240" w:lineRule="auto"/>
        <w:ind w:left="426" w:hanging="142"/>
        <w:jc w:val="both"/>
        <w:rPr>
          <w:rFonts w:ascii="Times New Roman" w:eastAsia="Times New Roman" w:hAnsi="Times New Roman" w:cs="Times New Roman"/>
          <w:bCs/>
        </w:rPr>
      </w:pPr>
      <w:r w:rsidRPr="00565EDF">
        <w:rPr>
          <w:rFonts w:ascii="Times New Roman" w:eastAsia="Times New Roman" w:hAnsi="Times New Roman" w:cs="Times New Roman"/>
          <w:b/>
          <w:bCs/>
        </w:rPr>
        <w:t>A tanórák száma és típusa</w:t>
      </w:r>
    </w:p>
    <w:p w:rsidR="008F449C" w:rsidRPr="00565EDF" w:rsidRDefault="008F449C" w:rsidP="00980876">
      <w:pPr>
        <w:widowControl w:val="0"/>
        <w:numPr>
          <w:ilvl w:val="1"/>
          <w:numId w:val="286"/>
        </w:numPr>
        <w:spacing w:before="120" w:after="120" w:line="240" w:lineRule="auto"/>
        <w:ind w:left="851" w:hanging="425"/>
        <w:jc w:val="both"/>
        <w:rPr>
          <w:rFonts w:ascii="Times New Roman" w:eastAsia="Times New Roman" w:hAnsi="Times New Roman" w:cs="Times New Roman"/>
          <w:bCs/>
        </w:rPr>
      </w:pPr>
      <w:r w:rsidRPr="00565EDF">
        <w:rPr>
          <w:rFonts w:ascii="Times New Roman" w:eastAsia="Times New Roman" w:hAnsi="Times New Roman" w:cs="Times New Roman"/>
          <w:bCs/>
        </w:rPr>
        <w:t>össz óraszám/félév: 28</w:t>
      </w:r>
    </w:p>
    <w:p w:rsidR="008F449C" w:rsidRPr="00565EDF" w:rsidRDefault="008F449C" w:rsidP="00980876">
      <w:pPr>
        <w:widowControl w:val="0"/>
        <w:numPr>
          <w:ilvl w:val="2"/>
          <w:numId w:val="286"/>
        </w:numPr>
        <w:spacing w:before="120" w:after="120" w:line="240" w:lineRule="auto"/>
        <w:ind w:left="993" w:hanging="425"/>
        <w:jc w:val="both"/>
        <w:rPr>
          <w:rFonts w:ascii="Times New Roman" w:eastAsia="Times New Roman" w:hAnsi="Times New Roman" w:cs="Times New Roman"/>
          <w:bCs/>
        </w:rPr>
      </w:pPr>
      <w:r w:rsidRPr="00565EDF">
        <w:rPr>
          <w:rFonts w:ascii="Times New Roman" w:eastAsia="Times New Roman" w:hAnsi="Times New Roman" w:cs="Times New Roman"/>
          <w:bCs/>
        </w:rPr>
        <w:t>nappali munkarend: 28 (14 EA + 0 SZ + 14 GY)</w:t>
      </w:r>
    </w:p>
    <w:p w:rsidR="008F449C" w:rsidRPr="00565EDF" w:rsidRDefault="008F449C" w:rsidP="00980876">
      <w:pPr>
        <w:widowControl w:val="0"/>
        <w:numPr>
          <w:ilvl w:val="2"/>
          <w:numId w:val="286"/>
        </w:numPr>
        <w:spacing w:before="120" w:after="120" w:line="240" w:lineRule="auto"/>
        <w:ind w:left="993" w:hanging="425"/>
        <w:jc w:val="both"/>
        <w:rPr>
          <w:rFonts w:ascii="Times New Roman" w:eastAsia="Times New Roman" w:hAnsi="Times New Roman" w:cs="Times New Roman"/>
          <w:bCs/>
        </w:rPr>
      </w:pPr>
      <w:r w:rsidRPr="00565EDF">
        <w:rPr>
          <w:rFonts w:ascii="Times New Roman" w:eastAsia="Times New Roman" w:hAnsi="Times New Roman" w:cs="Times New Roman"/>
          <w:bCs/>
        </w:rPr>
        <w:t>levelező munkarend: 0 (0 EA + 0 SZ + 0 GY)</w:t>
      </w:r>
    </w:p>
    <w:p w:rsidR="008F449C" w:rsidRPr="00565EDF" w:rsidRDefault="008F449C" w:rsidP="00980876">
      <w:pPr>
        <w:widowControl w:val="0"/>
        <w:numPr>
          <w:ilvl w:val="1"/>
          <w:numId w:val="286"/>
        </w:numPr>
        <w:spacing w:before="120" w:after="120" w:line="240" w:lineRule="auto"/>
        <w:ind w:left="851" w:hanging="425"/>
        <w:jc w:val="both"/>
        <w:rPr>
          <w:rFonts w:ascii="Times New Roman" w:eastAsia="Times New Roman" w:hAnsi="Times New Roman" w:cs="Times New Roman"/>
          <w:bCs/>
        </w:rPr>
      </w:pPr>
      <w:r w:rsidRPr="00565EDF">
        <w:rPr>
          <w:rFonts w:ascii="Times New Roman" w:eastAsia="Times New Roman" w:hAnsi="Times New Roman" w:cs="Times New Roman"/>
          <w:bCs/>
        </w:rPr>
        <w:t>heti óraszám - nappali munkarend: 2</w:t>
      </w:r>
    </w:p>
    <w:p w:rsidR="008F449C" w:rsidRPr="00565EDF" w:rsidRDefault="008F449C" w:rsidP="00980876">
      <w:pPr>
        <w:widowControl w:val="0"/>
        <w:numPr>
          <w:ilvl w:val="1"/>
          <w:numId w:val="286"/>
        </w:numPr>
        <w:spacing w:before="120" w:after="120" w:line="240" w:lineRule="auto"/>
        <w:ind w:left="851" w:hanging="425"/>
        <w:jc w:val="both"/>
        <w:rPr>
          <w:rFonts w:ascii="Times New Roman" w:eastAsia="Times New Roman" w:hAnsi="Times New Roman" w:cs="Times New Roman"/>
          <w:bCs/>
        </w:rPr>
      </w:pPr>
      <w:r w:rsidRPr="00565EDF">
        <w:rPr>
          <w:rFonts w:ascii="Times New Roman" w:hAnsi="Times New Roman" w:cs="Times New Roman"/>
        </w:rPr>
        <w:t>Az ismeret átadásában alkalmazandó további sajátos módok, jellemzők: -</w:t>
      </w:r>
    </w:p>
    <w:p w:rsidR="008F449C" w:rsidRPr="00565EDF" w:rsidRDefault="008F449C" w:rsidP="00980876">
      <w:pPr>
        <w:pStyle w:val="lfej"/>
        <w:numPr>
          <w:ilvl w:val="0"/>
          <w:numId w:val="286"/>
        </w:numPr>
        <w:tabs>
          <w:tab w:val="clear" w:pos="4536"/>
          <w:tab w:val="center" w:pos="4819"/>
        </w:tabs>
        <w:spacing w:before="120"/>
        <w:ind w:left="567" w:hanging="283"/>
        <w:jc w:val="both"/>
        <w:rPr>
          <w:rFonts w:ascii="Times New Roman" w:eastAsia="Times New Roman" w:hAnsi="Times New Roman" w:cs="Times New Roman"/>
          <w:bCs/>
        </w:rPr>
      </w:pPr>
      <w:r w:rsidRPr="00565EDF">
        <w:rPr>
          <w:rFonts w:ascii="Times New Roman" w:eastAsia="Times New Roman" w:hAnsi="Times New Roman" w:cs="Times New Roman"/>
          <w:b/>
          <w:bCs/>
        </w:rPr>
        <w:t xml:space="preserve">A tantárgy szakmai tartalma (magyarul): </w:t>
      </w:r>
      <w:r w:rsidRPr="00565EDF">
        <w:rPr>
          <w:rFonts w:ascii="Times New Roman" w:hAnsi="Times New Roman" w:cs="Times New Roman"/>
        </w:rPr>
        <w:t>A védelmi felkészítés és irányítás rendszere. Az ország védelmi felkészítésének és területi előkészítésének sajátosságai. A közlekedési rendszer védelmi felkészítésének sajátos feladatai. A Magyar Honvédség szerepe és feladatai az ország közlekedési rendszerének védelmi felkészítésében.</w:t>
      </w:r>
    </w:p>
    <w:p w:rsidR="008F449C" w:rsidRPr="00565EDF" w:rsidRDefault="008F449C" w:rsidP="00565EDF">
      <w:pPr>
        <w:pStyle w:val="lfej"/>
        <w:tabs>
          <w:tab w:val="clear" w:pos="4536"/>
          <w:tab w:val="center" w:pos="4819"/>
        </w:tabs>
        <w:spacing w:before="120"/>
        <w:ind w:left="567"/>
        <w:jc w:val="both"/>
        <w:rPr>
          <w:rFonts w:ascii="Times New Roman" w:eastAsia="Times New Roman" w:hAnsi="Times New Roman" w:cs="Times New Roman"/>
          <w:bCs/>
          <w:lang w:val="en-GB"/>
        </w:rPr>
      </w:pPr>
      <w:r w:rsidRPr="00565EDF">
        <w:rPr>
          <w:rFonts w:ascii="Times New Roman" w:eastAsia="Times New Roman" w:hAnsi="Times New Roman" w:cs="Times New Roman"/>
          <w:b/>
          <w:bCs/>
        </w:rPr>
        <w:t>A tantárgy szakmai tartalma (angolul) (</w:t>
      </w:r>
      <w:r w:rsidRPr="00565EDF">
        <w:rPr>
          <w:rFonts w:ascii="Times New Roman" w:eastAsia="Times New Roman" w:hAnsi="Times New Roman" w:cs="Times New Roman"/>
          <w:b/>
          <w:bCs/>
          <w:lang w:val="en-US"/>
        </w:rPr>
        <w:t>Course description</w:t>
      </w:r>
      <w:r w:rsidRPr="00565EDF">
        <w:rPr>
          <w:rFonts w:ascii="Times New Roman" w:eastAsia="Times New Roman" w:hAnsi="Times New Roman" w:cs="Times New Roman"/>
          <w:b/>
          <w:bCs/>
        </w:rPr>
        <w:t xml:space="preserve">): </w:t>
      </w:r>
      <w:r w:rsidRPr="00565EDF">
        <w:rPr>
          <w:rFonts w:ascii="Times New Roman" w:hAnsi="Times New Roman" w:cs="Times New Roman"/>
          <w:bCs/>
        </w:rPr>
        <w:t>The system of defence preparation and control. Features of territorial preparation and defence preparation of the home country. The characteristic tasks of defence preparation of the transportation system. The role and mission of Hungarian Defence Forces in the defence preparation of the country’s transportation system.</w:t>
      </w:r>
    </w:p>
    <w:p w:rsidR="008F449C" w:rsidRPr="00565EDF" w:rsidRDefault="008F449C" w:rsidP="00980876">
      <w:pPr>
        <w:pStyle w:val="Listaszerbekezds"/>
        <w:widowControl w:val="0"/>
        <w:numPr>
          <w:ilvl w:val="0"/>
          <w:numId w:val="286"/>
        </w:numPr>
        <w:spacing w:before="120" w:after="120" w:line="240" w:lineRule="auto"/>
        <w:jc w:val="both"/>
        <w:rPr>
          <w:rFonts w:ascii="Times New Roman" w:eastAsia="Times New Roman" w:hAnsi="Times New Roman" w:cs="Times New Roman"/>
          <w:bCs/>
        </w:rPr>
      </w:pPr>
      <w:r w:rsidRPr="00565EDF">
        <w:rPr>
          <w:rFonts w:ascii="Times New Roman" w:eastAsia="Times New Roman" w:hAnsi="Times New Roman" w:cs="Times New Roman"/>
          <w:b/>
          <w:bCs/>
        </w:rPr>
        <w:t xml:space="preserve">Elérendő kompetenciák (magyarul): </w:t>
      </w:r>
    </w:p>
    <w:p w:rsidR="008F449C" w:rsidRPr="00565EDF" w:rsidRDefault="008F449C" w:rsidP="008F449C">
      <w:pPr>
        <w:autoSpaceDE w:val="0"/>
        <w:autoSpaceDN w:val="0"/>
        <w:adjustRightInd w:val="0"/>
        <w:spacing w:before="120" w:after="0" w:line="240" w:lineRule="auto"/>
        <w:ind w:left="425"/>
        <w:jc w:val="both"/>
        <w:rPr>
          <w:rFonts w:ascii="Times New Roman" w:eastAsia="Times New Roman" w:hAnsi="Times New Roman" w:cs="Times New Roman"/>
          <w:b/>
          <w:bCs/>
        </w:rPr>
      </w:pPr>
      <w:r w:rsidRPr="00565EDF">
        <w:rPr>
          <w:rFonts w:ascii="Times New Roman" w:eastAsia="Times New Roman" w:hAnsi="Times New Roman" w:cs="Times New Roman"/>
          <w:b/>
          <w:bCs/>
        </w:rPr>
        <w:t xml:space="preserve">Tudása: </w:t>
      </w:r>
    </w:p>
    <w:p w:rsidR="008F449C" w:rsidRPr="00565EDF" w:rsidRDefault="008F449C"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565EDF">
        <w:rPr>
          <w:rFonts w:ascii="Times New Roman" w:hAnsi="Times New Roman" w:cs="Times New Roman"/>
        </w:rPr>
        <w:t>Ismeri a katonai közlekedési szakterülethez szervesen kapcsolódó jogi, közgazdasági szakterületek alapjait és követelményeit.</w:t>
      </w:r>
    </w:p>
    <w:p w:rsidR="008F449C" w:rsidRPr="00565EDF" w:rsidRDefault="008F449C"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565EDF">
        <w:rPr>
          <w:rFonts w:ascii="Times New Roman" w:hAnsi="Times New Roman" w:cs="Times New Roman"/>
        </w:rPr>
        <w:t>Ismeri a katonai közlekedési szakterület szaktechnikai eszközeit, a közlekedési pályákat és létesítményeiket, azok igénybevételének és üzemeltetésének szabályait.</w:t>
      </w:r>
    </w:p>
    <w:p w:rsidR="008F449C" w:rsidRPr="00565EDF" w:rsidRDefault="008F449C"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565EDF">
        <w:rPr>
          <w:rFonts w:ascii="Times New Roman" w:hAnsi="Times New Roman" w:cs="Times New Roman"/>
        </w:rPr>
        <w:t>Mélyrehatóan ismeri a katonai közlekedési szakterület szakmai feladatait, a közlekedési szakfeladatok rendszerét, az egyes feladatok végrehajtásának sajátosságait.</w:t>
      </w:r>
    </w:p>
    <w:p w:rsidR="008F449C" w:rsidRPr="00565EDF" w:rsidRDefault="008F449C"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565EDF">
        <w:rPr>
          <w:rFonts w:ascii="Times New Roman" w:hAnsi="Times New Roman" w:cs="Times New Roman"/>
        </w:rPr>
        <w:t>Ismeri a katonai közlekedési igények felmérésének módszereit és megvalósítási lehetőségeit, gyakorlatát.</w:t>
      </w:r>
    </w:p>
    <w:p w:rsidR="008F449C" w:rsidRPr="00565EDF" w:rsidRDefault="008F449C" w:rsidP="008F449C">
      <w:pPr>
        <w:autoSpaceDE w:val="0"/>
        <w:autoSpaceDN w:val="0"/>
        <w:adjustRightInd w:val="0"/>
        <w:spacing w:before="120" w:after="0" w:line="240" w:lineRule="auto"/>
        <w:ind w:left="425"/>
        <w:jc w:val="both"/>
        <w:rPr>
          <w:rFonts w:ascii="Times New Roman" w:eastAsia="Times New Roman" w:hAnsi="Times New Roman" w:cs="Times New Roman"/>
          <w:bCs/>
        </w:rPr>
      </w:pPr>
      <w:r w:rsidRPr="00565EDF">
        <w:rPr>
          <w:rFonts w:ascii="Times New Roman" w:eastAsia="Times New Roman" w:hAnsi="Times New Roman" w:cs="Times New Roman"/>
          <w:b/>
          <w:bCs/>
        </w:rPr>
        <w:t>Képességei:</w:t>
      </w:r>
      <w:r w:rsidRPr="00565EDF">
        <w:rPr>
          <w:rFonts w:ascii="Times New Roman" w:eastAsia="Times New Roman" w:hAnsi="Times New Roman" w:cs="Times New Roman"/>
          <w:bCs/>
        </w:rPr>
        <w:t xml:space="preserve"> </w:t>
      </w:r>
    </w:p>
    <w:p w:rsidR="008F449C" w:rsidRPr="00565EDF" w:rsidRDefault="008F449C"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565EDF">
        <w:rPr>
          <w:rFonts w:ascii="Times New Roman" w:hAnsi="Times New Roman" w:cs="Times New Roman"/>
        </w:rPr>
        <w:t>Az általános és specifikus katonai ismeretei és készségei birtokában képes a katonai közlekedési, mozgatási, szállítási feladatok tervezésére, szervezésére és vezetésére.</w:t>
      </w:r>
    </w:p>
    <w:p w:rsidR="008F449C" w:rsidRPr="00565EDF" w:rsidRDefault="008F449C"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565EDF">
        <w:rPr>
          <w:rFonts w:ascii="Times New Roman" w:hAnsi="Times New Roman" w:cs="Times New Roman"/>
        </w:rPr>
        <w:lastRenderedPageBreak/>
        <w:t>Képes békeidőszakban, válságkezelő, katasztrófa-elhárítási, béketámogató és háborús műveletekben, nemzeti és többnemzeti környezetben a szállító szakalegységek alaprendeltetéséből fakadó feladatai végrehajtásának vezetésére.</w:t>
      </w:r>
    </w:p>
    <w:p w:rsidR="008F449C" w:rsidRPr="00565EDF" w:rsidRDefault="008F449C"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565EDF">
        <w:rPr>
          <w:rFonts w:ascii="Times New Roman" w:hAnsi="Times New Roman" w:cs="Times New Roman"/>
        </w:rPr>
        <w:t>Képes a közlekedési hálózatok katonai célú alkalmazásának tervezésére, szervezésére és végrehajtására.</w:t>
      </w:r>
    </w:p>
    <w:p w:rsidR="008F449C" w:rsidRPr="00565EDF" w:rsidRDefault="008F449C"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565EDF">
        <w:rPr>
          <w:rFonts w:ascii="Times New Roman" w:hAnsi="Times New Roman" w:cs="Times New Roman"/>
        </w:rPr>
        <w:t>Képes a közlekedési folyamatokat támogató közlekedésinformatikai rendszerek alkalmazására, az azokkal kapcsolatos felhasználói alapkövetelmények megfogalmazására.</w:t>
      </w:r>
    </w:p>
    <w:p w:rsidR="008F449C" w:rsidRPr="00565EDF" w:rsidRDefault="008F449C" w:rsidP="008F449C">
      <w:pPr>
        <w:autoSpaceDE w:val="0"/>
        <w:autoSpaceDN w:val="0"/>
        <w:adjustRightInd w:val="0"/>
        <w:spacing w:before="120" w:after="0" w:line="240" w:lineRule="auto"/>
        <w:ind w:left="425"/>
        <w:jc w:val="both"/>
        <w:rPr>
          <w:rFonts w:ascii="Times New Roman" w:eastAsia="Times New Roman" w:hAnsi="Times New Roman" w:cs="Times New Roman"/>
          <w:b/>
          <w:bCs/>
        </w:rPr>
      </w:pPr>
      <w:r w:rsidRPr="00565EDF">
        <w:rPr>
          <w:rFonts w:ascii="Times New Roman" w:eastAsia="Times New Roman" w:hAnsi="Times New Roman" w:cs="Times New Roman"/>
          <w:b/>
          <w:bCs/>
        </w:rPr>
        <w:t xml:space="preserve">Attitűdje: </w:t>
      </w:r>
    </w:p>
    <w:p w:rsidR="008F449C" w:rsidRPr="00565EDF" w:rsidRDefault="008F449C"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565EDF">
        <w:rPr>
          <w:rFonts w:ascii="Times New Roman" w:hAnsi="Times New Roman" w:cs="Times New Roman"/>
        </w:rPr>
        <w:t>Nyitott a katonai közlekedési szakterületen zajló szakmai, technológiai fejlesztés és innováció megismerésére és elfogadására, hiteles közvetítésére és azok mindennapi munkájába való beillesztésére.</w:t>
      </w:r>
    </w:p>
    <w:p w:rsidR="008F449C" w:rsidRPr="00565EDF" w:rsidRDefault="008F449C"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565EDF">
        <w:rPr>
          <w:rFonts w:ascii="Times New Roman" w:hAnsi="Times New Roman" w:cs="Times New Roman"/>
        </w:rPr>
        <w:t>Törekszik arra, hogy önképzése a katonai közlekedési szakterületen folyamatos és szakmai céljaival megegyező legyen.</w:t>
      </w:r>
    </w:p>
    <w:p w:rsidR="008F449C" w:rsidRPr="00565EDF" w:rsidRDefault="008F449C"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565EDF">
        <w:rPr>
          <w:rFonts w:ascii="Times New Roman" w:hAnsi="Times New Roman" w:cs="Times New Roman"/>
        </w:rPr>
        <w:t>Elkötelezett a minőségi szakmai munkavégzés iránt, különös tekintettel a közlekedési, szállítási feladatok és folyamatok biztonságos végrehajtására.</w:t>
      </w:r>
    </w:p>
    <w:p w:rsidR="008F449C" w:rsidRPr="00565EDF" w:rsidRDefault="008F449C"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565EDF">
        <w:rPr>
          <w:rFonts w:ascii="Times New Roman" w:hAnsi="Times New Roman" w:cs="Times New Roman"/>
        </w:rPr>
        <w:t>Figyel beosztottjai szakmai fejlődésének előmozdítására, ilyen irányú törekvéseik kezelésére és segítésére.</w:t>
      </w:r>
    </w:p>
    <w:p w:rsidR="008F449C" w:rsidRPr="00565EDF" w:rsidRDefault="008F449C"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565EDF">
        <w:rPr>
          <w:rFonts w:ascii="Times New Roman" w:hAnsi="Times New Roman" w:cs="Times New Roman"/>
        </w:rPr>
        <w:t>Megosztja tapasztalatait munkatársaival, így segítve fejlődésüket.</w:t>
      </w:r>
    </w:p>
    <w:p w:rsidR="008F449C" w:rsidRPr="00565EDF" w:rsidRDefault="008F449C" w:rsidP="008F449C">
      <w:pPr>
        <w:autoSpaceDE w:val="0"/>
        <w:autoSpaceDN w:val="0"/>
        <w:adjustRightInd w:val="0"/>
        <w:spacing w:before="120" w:after="0" w:line="240" w:lineRule="auto"/>
        <w:ind w:left="425"/>
        <w:jc w:val="both"/>
        <w:rPr>
          <w:rFonts w:ascii="Times New Roman" w:eastAsia="Times New Roman" w:hAnsi="Times New Roman" w:cs="Times New Roman"/>
          <w:b/>
          <w:bCs/>
        </w:rPr>
      </w:pPr>
      <w:r w:rsidRPr="00565EDF">
        <w:rPr>
          <w:rFonts w:ascii="Times New Roman" w:eastAsia="Times New Roman" w:hAnsi="Times New Roman" w:cs="Times New Roman"/>
          <w:b/>
          <w:bCs/>
        </w:rPr>
        <w:t xml:space="preserve">Autonómiája és felelőssége: </w:t>
      </w:r>
    </w:p>
    <w:p w:rsidR="008F449C" w:rsidRPr="00565EDF" w:rsidRDefault="008F449C"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565EDF">
        <w:rPr>
          <w:rFonts w:ascii="Times New Roman" w:hAnsi="Times New Roman" w:cs="Times New Roman"/>
        </w:rPr>
        <w:t>A katonai közlekedés szakterületén megjelenő folyamatokban képes önállóan döntéseket hozni, azokat felelősséggel, a jogszabályi keretek figyelembevételével végrehajtani.</w:t>
      </w:r>
    </w:p>
    <w:p w:rsidR="008F449C" w:rsidRPr="00565EDF" w:rsidRDefault="008F449C"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565EDF">
        <w:rPr>
          <w:rFonts w:ascii="Times New Roman" w:hAnsi="Times New Roman" w:cs="Times New Roman"/>
        </w:rPr>
        <w:t>Tisztában van döntéseinek, tevékenységének a katonai logisztikai folyamatok egészére gyakorolt hatásaival, következményeivel.</w:t>
      </w:r>
    </w:p>
    <w:p w:rsidR="008F449C" w:rsidRPr="00565EDF" w:rsidRDefault="008F449C"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565EDF">
        <w:rPr>
          <w:rFonts w:ascii="Times New Roman" w:hAnsi="Times New Roman" w:cs="Times New Roman"/>
        </w:rPr>
        <w:t>Szakmai feladatainak elvégzése során felelősségteljesen együttműködik más szakterület képzett szakembereivel is.</w:t>
      </w:r>
    </w:p>
    <w:p w:rsidR="008F449C" w:rsidRPr="00565EDF" w:rsidRDefault="008F449C"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565EDF">
        <w:rPr>
          <w:rFonts w:ascii="Times New Roman" w:hAnsi="Times New Roman" w:cs="Times New Roman"/>
        </w:rPr>
        <w:t>Feltárja az alkalmazott technológiák hiányosságait, a folyamatok kockázatait és kezdeményezi az ezeket csökkentő intézkedések megtételét.</w:t>
      </w:r>
    </w:p>
    <w:p w:rsidR="008F449C" w:rsidRPr="00565EDF" w:rsidRDefault="008F449C"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565EDF">
        <w:rPr>
          <w:rFonts w:ascii="Times New Roman" w:hAnsi="Times New Roman" w:cs="Times New Roman"/>
        </w:rPr>
        <w:t>Parancsnokának útmutatása alapján irányítja a rábízott személyi állomány munkavégzését, felügyeli a közlekedési, szállítási folyamatok tervezését, szervezését, végrehajtását, a közlekedési szaktechnikai eszközök üzemeltetését.</w:t>
      </w:r>
    </w:p>
    <w:p w:rsidR="008F449C" w:rsidRPr="00565EDF" w:rsidRDefault="008F449C"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565EDF">
        <w:rPr>
          <w:rFonts w:ascii="Times New Roman" w:hAnsi="Times New Roman" w:cs="Times New Roman"/>
        </w:rPr>
        <w:t>Értékeli a beosztottak munkavégzésének hatékonyságát, eredményességét.</w:t>
      </w:r>
    </w:p>
    <w:p w:rsidR="008F449C" w:rsidRPr="00565EDF" w:rsidRDefault="008F449C" w:rsidP="008F449C">
      <w:pPr>
        <w:widowControl w:val="0"/>
        <w:spacing w:before="120" w:after="120" w:line="240" w:lineRule="auto"/>
        <w:ind w:left="426"/>
        <w:jc w:val="both"/>
        <w:rPr>
          <w:rFonts w:ascii="Times New Roman" w:eastAsia="Times New Roman" w:hAnsi="Times New Roman" w:cs="Times New Roman"/>
          <w:b/>
          <w:bCs/>
          <w:lang w:val="en-US"/>
        </w:rPr>
      </w:pPr>
      <w:r w:rsidRPr="00565EDF">
        <w:rPr>
          <w:rFonts w:ascii="Times New Roman" w:eastAsia="Times New Roman" w:hAnsi="Times New Roman" w:cs="Times New Roman"/>
          <w:b/>
          <w:bCs/>
        </w:rPr>
        <w:t>Elérendő kompetenciák (angolul) (</w:t>
      </w:r>
      <w:r w:rsidRPr="00565EDF">
        <w:rPr>
          <w:rFonts w:ascii="Times New Roman" w:eastAsia="Times New Roman" w:hAnsi="Times New Roman" w:cs="Times New Roman"/>
          <w:b/>
          <w:bCs/>
          <w:lang w:val="en-US"/>
        </w:rPr>
        <w:t xml:space="preserve">Competences – English): </w:t>
      </w:r>
    </w:p>
    <w:p w:rsidR="008F449C" w:rsidRPr="00565EDF" w:rsidRDefault="008F449C" w:rsidP="008F449C">
      <w:pPr>
        <w:widowControl w:val="0"/>
        <w:spacing w:before="120" w:after="120" w:line="240" w:lineRule="auto"/>
        <w:ind w:left="426"/>
        <w:jc w:val="both"/>
        <w:rPr>
          <w:rFonts w:ascii="Times New Roman" w:eastAsia="Times New Roman" w:hAnsi="Times New Roman" w:cs="Times New Roman"/>
          <w:lang w:val="en-GB"/>
        </w:rPr>
      </w:pPr>
      <w:r w:rsidRPr="00565EDF">
        <w:rPr>
          <w:rFonts w:ascii="Times New Roman" w:eastAsia="Times New Roman" w:hAnsi="Times New Roman" w:cs="Times New Roman"/>
          <w:b/>
          <w:lang w:val="en-GB"/>
        </w:rPr>
        <w:t>Knowledge</w:t>
      </w:r>
      <w:r w:rsidRPr="00565EDF">
        <w:rPr>
          <w:rFonts w:ascii="Times New Roman" w:eastAsia="Times New Roman" w:hAnsi="Times New Roman" w:cs="Times New Roman"/>
          <w:lang w:val="en-GB"/>
        </w:rPr>
        <w:t xml:space="preserve">: </w:t>
      </w:r>
    </w:p>
    <w:p w:rsidR="008F449C" w:rsidRPr="00565EDF" w:rsidRDefault="008F449C"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565EDF">
        <w:rPr>
          <w:rFonts w:ascii="Times New Roman" w:hAnsi="Times New Roman" w:cs="Times New Roman"/>
        </w:rPr>
        <w:t>Knows the basics and requirements of law and economics, connected to the field of military transportation.</w:t>
      </w:r>
    </w:p>
    <w:p w:rsidR="008F449C" w:rsidRPr="00565EDF" w:rsidRDefault="008F449C"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565EDF">
        <w:rPr>
          <w:rFonts w:ascii="Times New Roman" w:hAnsi="Times New Roman" w:cs="Times New Roman"/>
        </w:rPr>
        <w:t>Is familiar with the technical equipment used in military transportation, the transportation modes and facilities, and the rules of their use and operation.</w:t>
      </w:r>
    </w:p>
    <w:p w:rsidR="008F449C" w:rsidRPr="00565EDF" w:rsidRDefault="008F449C"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565EDF">
        <w:rPr>
          <w:rFonts w:ascii="Times New Roman" w:hAnsi="Times New Roman" w:cs="Times New Roman"/>
        </w:rPr>
        <w:t>Has a profound knowledge of the tasks and the system of military transportation and the unique characteristics of performing each task.</w:t>
      </w:r>
    </w:p>
    <w:p w:rsidR="008F449C" w:rsidRPr="00565EDF" w:rsidRDefault="008F449C"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565EDF">
        <w:rPr>
          <w:rFonts w:ascii="Times New Roman" w:hAnsi="Times New Roman" w:cs="Times New Roman"/>
        </w:rPr>
        <w:t>Is familiar with the methods of assessing the requirements of military transportation and its feasibility and practical implementation.</w:t>
      </w:r>
    </w:p>
    <w:p w:rsidR="008F449C" w:rsidRPr="00565EDF" w:rsidRDefault="008F449C" w:rsidP="008F449C">
      <w:pPr>
        <w:widowControl w:val="0"/>
        <w:spacing w:before="120" w:after="120" w:line="240" w:lineRule="auto"/>
        <w:ind w:left="426"/>
        <w:jc w:val="both"/>
        <w:rPr>
          <w:rFonts w:ascii="Times New Roman" w:eastAsia="Times New Roman" w:hAnsi="Times New Roman" w:cs="Times New Roman"/>
          <w:lang w:val="en-GB"/>
        </w:rPr>
      </w:pPr>
      <w:r w:rsidRPr="00565EDF">
        <w:rPr>
          <w:rFonts w:ascii="Times New Roman" w:eastAsia="Times New Roman" w:hAnsi="Times New Roman" w:cs="Times New Roman"/>
          <w:b/>
          <w:lang w:val="en-GB"/>
        </w:rPr>
        <w:t>Capabilities</w:t>
      </w:r>
      <w:r w:rsidRPr="00565EDF">
        <w:rPr>
          <w:rFonts w:ascii="Times New Roman" w:eastAsia="Times New Roman" w:hAnsi="Times New Roman" w:cs="Times New Roman"/>
          <w:lang w:val="en-GB"/>
        </w:rPr>
        <w:t>:</w:t>
      </w:r>
    </w:p>
    <w:p w:rsidR="008F449C" w:rsidRPr="00565EDF" w:rsidRDefault="008F449C"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565EDF">
        <w:rPr>
          <w:rFonts w:ascii="Times New Roman" w:hAnsi="Times New Roman" w:cs="Times New Roman"/>
        </w:rPr>
        <w:t>Using his/her general and specialized military knowledge and skills, he/she is capable of planning, organizing, and conducting military transport, movement, and transportation tasks.</w:t>
      </w:r>
    </w:p>
    <w:p w:rsidR="008F449C" w:rsidRPr="00565EDF" w:rsidRDefault="008F449C"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565EDF">
        <w:rPr>
          <w:rFonts w:ascii="Times New Roman" w:hAnsi="Times New Roman" w:cs="Times New Roman"/>
        </w:rPr>
        <w:t>Is capable of leading the execution of the tasks of a military transportation subunit in peace time and in crisis response, disaster relief, peace support and combat operations both in a national and a multinational environment.</w:t>
      </w:r>
    </w:p>
    <w:p w:rsidR="008F449C" w:rsidRPr="00565EDF" w:rsidRDefault="008F449C"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565EDF">
        <w:rPr>
          <w:rFonts w:ascii="Times New Roman" w:hAnsi="Times New Roman" w:cs="Times New Roman"/>
        </w:rPr>
        <w:t>Is capable of planning, organizing and executing the tasks related to the application of traffic networks for military purposes.</w:t>
      </w:r>
    </w:p>
    <w:p w:rsidR="008F449C" w:rsidRPr="00565EDF" w:rsidRDefault="008F449C"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565EDF">
        <w:rPr>
          <w:rFonts w:ascii="Times New Roman" w:hAnsi="Times New Roman" w:cs="Times New Roman"/>
        </w:rPr>
        <w:t>Is capable of applying traffic information systems to support transportation processes and formulating the basic user requirements related to them.</w:t>
      </w:r>
    </w:p>
    <w:p w:rsidR="00565EDF" w:rsidRDefault="00565EDF" w:rsidP="008F44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b/>
          <w:lang w:val="en-GB"/>
        </w:rPr>
      </w:pPr>
    </w:p>
    <w:p w:rsidR="008F449C" w:rsidRPr="00565EDF" w:rsidRDefault="008F449C" w:rsidP="008F44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lang w:val="en-GB"/>
        </w:rPr>
      </w:pPr>
      <w:r w:rsidRPr="00565EDF">
        <w:rPr>
          <w:rFonts w:ascii="Times New Roman" w:eastAsia="Times New Roman" w:hAnsi="Times New Roman" w:cs="Times New Roman"/>
          <w:b/>
          <w:lang w:val="en-GB"/>
        </w:rPr>
        <w:lastRenderedPageBreak/>
        <w:t>Attitude:</w:t>
      </w:r>
    </w:p>
    <w:p w:rsidR="008F449C" w:rsidRPr="00565EDF" w:rsidRDefault="008F449C"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565EDF">
        <w:rPr>
          <w:rFonts w:ascii="Times New Roman" w:hAnsi="Times New Roman" w:cs="Times New Roman"/>
        </w:rPr>
        <w:t>He/She is ready to become familiar with and adopt the professional and technological development and innovation in the field of military transportation, and also to pass it on and integrate it into his daily work.</w:t>
      </w:r>
    </w:p>
    <w:p w:rsidR="008F449C" w:rsidRPr="00565EDF" w:rsidRDefault="008F449C"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565EDF">
        <w:rPr>
          <w:rFonts w:ascii="Times New Roman" w:hAnsi="Times New Roman" w:cs="Times New Roman"/>
        </w:rPr>
        <w:t>He/She strives for continuous self-education in the field of military transportation which is consistent with his/her professional goals.</w:t>
      </w:r>
    </w:p>
    <w:p w:rsidR="008F449C" w:rsidRPr="00565EDF" w:rsidRDefault="008F449C"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565EDF">
        <w:rPr>
          <w:rFonts w:ascii="Times New Roman" w:hAnsi="Times New Roman" w:cs="Times New Roman"/>
        </w:rPr>
        <w:t>He/She is committed to high quality in his/her professional work, with special emphasis on the safe execution of the transportation tasks and processes.</w:t>
      </w:r>
    </w:p>
    <w:p w:rsidR="008F449C" w:rsidRPr="00565EDF" w:rsidRDefault="008F449C"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565EDF">
        <w:rPr>
          <w:rFonts w:ascii="Times New Roman" w:hAnsi="Times New Roman" w:cs="Times New Roman"/>
        </w:rPr>
        <w:t>He/She is interested in promoting the professional development of his/her subordinates, and provides assistance in their efforts.</w:t>
      </w:r>
    </w:p>
    <w:p w:rsidR="008F449C" w:rsidRPr="00565EDF" w:rsidRDefault="008F449C"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565EDF">
        <w:rPr>
          <w:rFonts w:ascii="Times New Roman" w:hAnsi="Times New Roman" w:cs="Times New Roman"/>
        </w:rPr>
        <w:t>He/she is willing to share his/her experience with his/her colleagues to further their professional development.</w:t>
      </w:r>
    </w:p>
    <w:p w:rsidR="008F449C" w:rsidRPr="00565EDF" w:rsidRDefault="008F449C" w:rsidP="008F449C">
      <w:pPr>
        <w:widowControl w:val="0"/>
        <w:spacing w:before="120" w:after="120" w:line="240" w:lineRule="auto"/>
        <w:ind w:left="426"/>
        <w:jc w:val="both"/>
        <w:rPr>
          <w:rFonts w:ascii="Times New Roman" w:eastAsia="Times New Roman" w:hAnsi="Times New Roman" w:cs="Times New Roman"/>
          <w:b/>
          <w:lang w:val="en-GB"/>
        </w:rPr>
      </w:pPr>
      <w:r w:rsidRPr="00565EDF">
        <w:rPr>
          <w:rFonts w:ascii="Times New Roman" w:eastAsia="Times New Roman" w:hAnsi="Times New Roman" w:cs="Times New Roman"/>
          <w:b/>
          <w:lang w:val="en-GB"/>
        </w:rPr>
        <w:t xml:space="preserve">Autonomy and responsibility: </w:t>
      </w:r>
    </w:p>
    <w:p w:rsidR="008F449C" w:rsidRPr="00565EDF" w:rsidRDefault="008F449C"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565EDF">
        <w:rPr>
          <w:rFonts w:ascii="Times New Roman" w:hAnsi="Times New Roman" w:cs="Times New Roman"/>
        </w:rPr>
        <w:t>He/She is able to make decisions independently in the processes arising in the field of military transportation, and to implement them with responsibility and within the legal framework.</w:t>
      </w:r>
    </w:p>
    <w:p w:rsidR="008F449C" w:rsidRPr="00565EDF" w:rsidRDefault="008F449C"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565EDF">
        <w:rPr>
          <w:rFonts w:ascii="Times New Roman" w:hAnsi="Times New Roman" w:cs="Times New Roman"/>
        </w:rPr>
        <w:t>He/She is aware of the effects and consequences of his decisions and activities on the military logistic processes as a whole.</w:t>
      </w:r>
    </w:p>
    <w:p w:rsidR="008F449C" w:rsidRPr="00565EDF" w:rsidRDefault="008F449C"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565EDF">
        <w:rPr>
          <w:rFonts w:ascii="Times New Roman" w:hAnsi="Times New Roman" w:cs="Times New Roman"/>
        </w:rPr>
        <w:t xml:space="preserve">During his/her professional duties, he/she is willing to responsibly cooperate with specialists of other areas. </w:t>
      </w:r>
    </w:p>
    <w:p w:rsidR="008F449C" w:rsidRPr="00565EDF" w:rsidRDefault="008F449C"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565EDF">
        <w:rPr>
          <w:rFonts w:ascii="Times New Roman" w:hAnsi="Times New Roman" w:cs="Times New Roman"/>
        </w:rPr>
        <w:t>He/She can identify the deficiencies and risks in the applied technologies and initiates taking measures to reduce their impact.</w:t>
      </w:r>
    </w:p>
    <w:p w:rsidR="008F449C" w:rsidRPr="00565EDF" w:rsidRDefault="008F449C"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565EDF">
        <w:rPr>
          <w:rFonts w:ascii="Times New Roman" w:hAnsi="Times New Roman" w:cs="Times New Roman"/>
        </w:rPr>
        <w:t>Under the guidance of his/her commander, he/she controls the work of the personnel under his/her command and supervises the planning, organization and implementation of the transport and transportation processes, and also the operation of the technical equipment used in military transportation.</w:t>
      </w:r>
    </w:p>
    <w:p w:rsidR="008F449C" w:rsidRPr="00565EDF" w:rsidRDefault="008F449C"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565EDF">
        <w:rPr>
          <w:rFonts w:ascii="Times New Roman" w:hAnsi="Times New Roman" w:cs="Times New Roman"/>
        </w:rPr>
        <w:t>He/She continuously evaluates the efficiency and effectiveness of his/her subordinates' work.</w:t>
      </w:r>
    </w:p>
    <w:p w:rsidR="008F449C" w:rsidRPr="00565EDF" w:rsidRDefault="008F449C" w:rsidP="00980876">
      <w:pPr>
        <w:widowControl w:val="0"/>
        <w:numPr>
          <w:ilvl w:val="0"/>
          <w:numId w:val="286"/>
        </w:numPr>
        <w:spacing w:before="120" w:after="120" w:line="240" w:lineRule="auto"/>
        <w:ind w:left="426" w:hanging="142"/>
        <w:jc w:val="both"/>
        <w:rPr>
          <w:rFonts w:ascii="Times New Roman" w:eastAsia="Times New Roman" w:hAnsi="Times New Roman" w:cs="Times New Roman"/>
          <w:bCs/>
        </w:rPr>
      </w:pPr>
      <w:r w:rsidRPr="00565EDF">
        <w:rPr>
          <w:rFonts w:ascii="Times New Roman" w:eastAsia="Times New Roman" w:hAnsi="Times New Roman" w:cs="Times New Roman"/>
          <w:b/>
          <w:bCs/>
        </w:rPr>
        <w:t xml:space="preserve">Előtanulmányi követelmények: </w:t>
      </w:r>
      <w:r w:rsidRPr="00565EDF">
        <w:rPr>
          <w:rFonts w:ascii="Times New Roman" w:hAnsi="Times New Roman" w:cs="Times New Roman"/>
        </w:rPr>
        <w:t>Nincs</w:t>
      </w:r>
    </w:p>
    <w:p w:rsidR="008F449C" w:rsidRPr="00565EDF" w:rsidRDefault="008F449C" w:rsidP="00980876">
      <w:pPr>
        <w:widowControl w:val="0"/>
        <w:numPr>
          <w:ilvl w:val="0"/>
          <w:numId w:val="286"/>
        </w:numPr>
        <w:spacing w:before="120" w:after="120" w:line="240" w:lineRule="auto"/>
        <w:ind w:left="426" w:hanging="142"/>
        <w:jc w:val="both"/>
        <w:rPr>
          <w:rFonts w:ascii="Times New Roman" w:eastAsia="Times New Roman" w:hAnsi="Times New Roman" w:cs="Times New Roman"/>
          <w:b/>
          <w:bCs/>
        </w:rPr>
      </w:pPr>
      <w:r w:rsidRPr="00565EDF">
        <w:rPr>
          <w:rFonts w:ascii="Times New Roman" w:eastAsia="Times New Roman" w:hAnsi="Times New Roman" w:cs="Times New Roman"/>
          <w:b/>
          <w:bCs/>
        </w:rPr>
        <w:t>A tantárgy tananyagának leírása, tematika. Description of the subject, curriculum (magyarul, angolul - English):</w:t>
      </w:r>
    </w:p>
    <w:p w:rsidR="008F449C" w:rsidRPr="00565EDF" w:rsidRDefault="008F449C" w:rsidP="00980876">
      <w:pPr>
        <w:pStyle w:val="lfej"/>
        <w:numPr>
          <w:ilvl w:val="1"/>
          <w:numId w:val="286"/>
        </w:numPr>
        <w:ind w:left="993" w:hanging="574"/>
        <w:jc w:val="both"/>
        <w:rPr>
          <w:rFonts w:ascii="Times New Roman" w:hAnsi="Times New Roman" w:cs="Times New Roman"/>
          <w:bCs/>
          <w:i/>
        </w:rPr>
      </w:pPr>
      <w:r w:rsidRPr="00565EDF">
        <w:rPr>
          <w:rFonts w:ascii="Times New Roman" w:hAnsi="Times New Roman" w:cs="Times New Roman"/>
        </w:rPr>
        <w:t>Az ország védelmi felkészítésének és területi előkészítésének fogalma, sajátosságai</w:t>
      </w:r>
      <w:r w:rsidRPr="00565EDF">
        <w:rPr>
          <w:rFonts w:ascii="Times New Roman" w:hAnsi="Times New Roman" w:cs="Times New Roman"/>
          <w:i/>
        </w:rPr>
        <w:t>. (</w:t>
      </w:r>
      <w:r w:rsidRPr="00565EDF">
        <w:rPr>
          <w:rStyle w:val="tlid-translation"/>
          <w:rFonts w:ascii="Times New Roman" w:hAnsi="Times New Roman" w:cs="Times New Roman"/>
          <w:i/>
          <w:lang w:val="en"/>
        </w:rPr>
        <w:t>The concept and peculiarities of defense preparation and territorial preparation of the country.)</w:t>
      </w:r>
    </w:p>
    <w:p w:rsidR="008F449C" w:rsidRPr="00565EDF" w:rsidRDefault="008F449C" w:rsidP="00980876">
      <w:pPr>
        <w:pStyle w:val="lfej"/>
        <w:numPr>
          <w:ilvl w:val="1"/>
          <w:numId w:val="286"/>
        </w:numPr>
        <w:ind w:left="993" w:hanging="574"/>
        <w:jc w:val="both"/>
        <w:rPr>
          <w:rFonts w:ascii="Times New Roman" w:hAnsi="Times New Roman" w:cs="Times New Roman"/>
          <w:bCs/>
          <w:i/>
        </w:rPr>
      </w:pPr>
      <w:r w:rsidRPr="00565EDF">
        <w:rPr>
          <w:rFonts w:ascii="Times New Roman" w:hAnsi="Times New Roman" w:cs="Times New Roman"/>
        </w:rPr>
        <w:t>A védelmi felkészítés és irányítás rendszerének jogszabályi alapjai, követelményei, vezetési rendszere.</w:t>
      </w:r>
      <w:r w:rsidRPr="00565EDF">
        <w:rPr>
          <w:rStyle w:val="tlid-translation"/>
          <w:rFonts w:ascii="Times New Roman" w:hAnsi="Times New Roman" w:cs="Times New Roman"/>
          <w:lang w:val="en"/>
        </w:rPr>
        <w:t xml:space="preserve"> </w:t>
      </w:r>
      <w:r w:rsidRPr="00565EDF">
        <w:rPr>
          <w:rStyle w:val="tlid-translation"/>
          <w:rFonts w:ascii="Times New Roman" w:hAnsi="Times New Roman" w:cs="Times New Roman"/>
          <w:i/>
          <w:lang w:val="en"/>
        </w:rPr>
        <w:t>(The legal bases, requirements and management system of the defense preparation and management system.)</w:t>
      </w:r>
    </w:p>
    <w:p w:rsidR="008F449C" w:rsidRPr="00565EDF" w:rsidRDefault="008F449C" w:rsidP="00980876">
      <w:pPr>
        <w:pStyle w:val="lfej"/>
        <w:numPr>
          <w:ilvl w:val="1"/>
          <w:numId w:val="286"/>
        </w:numPr>
        <w:ind w:left="993" w:hanging="574"/>
        <w:jc w:val="both"/>
        <w:rPr>
          <w:rFonts w:ascii="Times New Roman" w:hAnsi="Times New Roman" w:cs="Times New Roman"/>
          <w:bCs/>
          <w:i/>
        </w:rPr>
      </w:pPr>
      <w:r w:rsidRPr="00565EDF">
        <w:rPr>
          <w:rFonts w:ascii="Times New Roman" w:hAnsi="Times New Roman" w:cs="Times New Roman"/>
        </w:rPr>
        <w:t>Az ország közlekedési rendszerének felépítése, szerepe az ország védelemében.</w:t>
      </w:r>
      <w:r w:rsidRPr="00565EDF">
        <w:rPr>
          <w:rStyle w:val="tlid-translation"/>
          <w:rFonts w:ascii="Times New Roman" w:hAnsi="Times New Roman" w:cs="Times New Roman"/>
          <w:lang w:val="en"/>
        </w:rPr>
        <w:t xml:space="preserve"> </w:t>
      </w:r>
      <w:r w:rsidRPr="00565EDF">
        <w:rPr>
          <w:rStyle w:val="tlid-translation"/>
          <w:rFonts w:ascii="Times New Roman" w:hAnsi="Times New Roman" w:cs="Times New Roman"/>
          <w:i/>
          <w:lang w:val="en"/>
        </w:rPr>
        <w:t>(The structure of the country's transport system and its role in the defense of the country.)</w:t>
      </w:r>
    </w:p>
    <w:p w:rsidR="008F449C" w:rsidRPr="00565EDF" w:rsidRDefault="008F449C" w:rsidP="00980876">
      <w:pPr>
        <w:pStyle w:val="lfej"/>
        <w:numPr>
          <w:ilvl w:val="1"/>
          <w:numId w:val="286"/>
        </w:numPr>
        <w:ind w:left="993" w:hanging="574"/>
        <w:jc w:val="both"/>
        <w:rPr>
          <w:rFonts w:ascii="Times New Roman" w:hAnsi="Times New Roman" w:cs="Times New Roman"/>
          <w:bCs/>
          <w:i/>
        </w:rPr>
      </w:pPr>
      <w:r w:rsidRPr="00565EDF">
        <w:rPr>
          <w:rFonts w:ascii="Times New Roman" w:hAnsi="Times New Roman" w:cs="Times New Roman"/>
        </w:rPr>
        <w:t>A polgári közlekedési alágazatok (vasúti-, közúti-, légi- és vízi közlekedés, csővezetékes szállítás) védelmi felkészítésének sajátos feladatai.</w:t>
      </w:r>
      <w:r w:rsidRPr="00565EDF">
        <w:rPr>
          <w:rStyle w:val="tlid-translation"/>
          <w:rFonts w:ascii="Times New Roman" w:hAnsi="Times New Roman" w:cs="Times New Roman"/>
          <w:lang w:val="en"/>
        </w:rPr>
        <w:t xml:space="preserve"> </w:t>
      </w:r>
      <w:r w:rsidRPr="00565EDF">
        <w:rPr>
          <w:rStyle w:val="tlid-translation"/>
          <w:rFonts w:ascii="Times New Roman" w:hAnsi="Times New Roman" w:cs="Times New Roman"/>
          <w:i/>
          <w:lang w:val="en"/>
        </w:rPr>
        <w:t>(Specific tasks of security preparation for civil transport sub-sectors (rail, road, air and waterborne transport, pipeline transport).)</w:t>
      </w:r>
    </w:p>
    <w:p w:rsidR="008F449C" w:rsidRPr="00565EDF" w:rsidRDefault="008F449C" w:rsidP="00980876">
      <w:pPr>
        <w:pStyle w:val="lfej"/>
        <w:numPr>
          <w:ilvl w:val="1"/>
          <w:numId w:val="286"/>
        </w:numPr>
        <w:ind w:left="993" w:hanging="574"/>
        <w:jc w:val="both"/>
        <w:rPr>
          <w:rFonts w:ascii="Times New Roman" w:hAnsi="Times New Roman" w:cs="Times New Roman"/>
          <w:bCs/>
          <w:i/>
        </w:rPr>
      </w:pPr>
      <w:r w:rsidRPr="00565EDF">
        <w:rPr>
          <w:rFonts w:ascii="Times New Roman" w:hAnsi="Times New Roman" w:cs="Times New Roman"/>
        </w:rPr>
        <w:t>A Magyar Honvédség szerepe és feladatai az ország közlekedési rendszerének felkészítésével kapcsolatos feladatok meghatározásában és ellenőrzésében.</w:t>
      </w:r>
      <w:r w:rsidRPr="00565EDF">
        <w:rPr>
          <w:rStyle w:val="tlid-translation"/>
          <w:rFonts w:ascii="Times New Roman" w:hAnsi="Times New Roman" w:cs="Times New Roman"/>
          <w:lang w:val="en"/>
        </w:rPr>
        <w:t xml:space="preserve"> </w:t>
      </w:r>
      <w:r w:rsidRPr="00565EDF">
        <w:rPr>
          <w:rStyle w:val="tlid-translation"/>
          <w:rFonts w:ascii="Times New Roman" w:hAnsi="Times New Roman" w:cs="Times New Roman"/>
          <w:i/>
          <w:lang w:val="en"/>
        </w:rPr>
        <w:t>(The role and tasks of the Hungarian Defense Forces in defining and controlling tasks related to the preparation of the country's transport system.)</w:t>
      </w:r>
    </w:p>
    <w:p w:rsidR="008F449C" w:rsidRPr="00565EDF" w:rsidRDefault="008F449C" w:rsidP="00980876">
      <w:pPr>
        <w:pStyle w:val="lfej"/>
        <w:numPr>
          <w:ilvl w:val="1"/>
          <w:numId w:val="286"/>
        </w:numPr>
        <w:ind w:left="993" w:hanging="574"/>
        <w:jc w:val="both"/>
        <w:rPr>
          <w:rFonts w:ascii="Times New Roman" w:hAnsi="Times New Roman" w:cs="Times New Roman"/>
          <w:bCs/>
          <w:i/>
        </w:rPr>
      </w:pPr>
      <w:r w:rsidRPr="00565EDF">
        <w:rPr>
          <w:rFonts w:ascii="Times New Roman" w:hAnsi="Times New Roman" w:cs="Times New Roman"/>
        </w:rPr>
        <w:t>Védelmi felkészítés komplex feladatrendszerének szimulációs gyakorlata.</w:t>
      </w:r>
      <w:r w:rsidRPr="00565EDF">
        <w:rPr>
          <w:rStyle w:val="tlid-translation"/>
          <w:rFonts w:ascii="Times New Roman" w:hAnsi="Times New Roman" w:cs="Times New Roman"/>
          <w:lang w:val="en"/>
        </w:rPr>
        <w:t xml:space="preserve"> </w:t>
      </w:r>
      <w:r w:rsidRPr="00565EDF">
        <w:rPr>
          <w:rStyle w:val="tlid-translation"/>
          <w:rFonts w:ascii="Times New Roman" w:hAnsi="Times New Roman" w:cs="Times New Roman"/>
          <w:i/>
          <w:lang w:val="en"/>
        </w:rPr>
        <w:t>(Simulation practice of the complex task system of defense preparation.)</w:t>
      </w:r>
    </w:p>
    <w:p w:rsidR="008F449C" w:rsidRPr="00565EDF" w:rsidRDefault="008F449C" w:rsidP="00980876">
      <w:pPr>
        <w:pStyle w:val="lfej"/>
        <w:numPr>
          <w:ilvl w:val="1"/>
          <w:numId w:val="286"/>
        </w:numPr>
        <w:tabs>
          <w:tab w:val="left" w:pos="708"/>
        </w:tabs>
        <w:spacing w:before="60"/>
        <w:ind w:left="993" w:hanging="574"/>
        <w:jc w:val="both"/>
        <w:rPr>
          <w:rStyle w:val="tlid-translation"/>
          <w:rFonts w:ascii="Times New Roman" w:hAnsi="Times New Roman" w:cs="Times New Roman"/>
          <w:i/>
        </w:rPr>
      </w:pPr>
      <w:r w:rsidRPr="00565EDF">
        <w:rPr>
          <w:rFonts w:ascii="Times New Roman" w:hAnsi="Times New Roman" w:cs="Times New Roman"/>
        </w:rPr>
        <w:t>Zárthelyi dolgozat.</w:t>
      </w:r>
      <w:r w:rsidRPr="00565EDF">
        <w:rPr>
          <w:rStyle w:val="tlid-translation"/>
          <w:rFonts w:ascii="Times New Roman" w:hAnsi="Times New Roman" w:cs="Times New Roman"/>
          <w:lang w:val="en"/>
        </w:rPr>
        <w:t xml:space="preserve"> </w:t>
      </w:r>
      <w:r w:rsidRPr="00565EDF">
        <w:rPr>
          <w:rStyle w:val="tlid-translation"/>
          <w:rFonts w:ascii="Times New Roman" w:hAnsi="Times New Roman" w:cs="Times New Roman"/>
          <w:i/>
          <w:lang w:val="en"/>
        </w:rPr>
        <w:t>(Closed thesis.)</w:t>
      </w:r>
    </w:p>
    <w:p w:rsidR="008F449C" w:rsidRPr="00565EDF" w:rsidRDefault="008F449C" w:rsidP="00980876">
      <w:pPr>
        <w:widowControl w:val="0"/>
        <w:numPr>
          <w:ilvl w:val="0"/>
          <w:numId w:val="286"/>
        </w:numPr>
        <w:spacing w:before="120" w:after="120" w:line="240" w:lineRule="auto"/>
        <w:ind w:left="426" w:hanging="142"/>
        <w:jc w:val="both"/>
        <w:rPr>
          <w:rFonts w:ascii="Times New Roman" w:eastAsia="Times New Roman" w:hAnsi="Times New Roman" w:cs="Times New Roman"/>
          <w:bCs/>
        </w:rPr>
      </w:pPr>
      <w:r w:rsidRPr="00565EDF">
        <w:rPr>
          <w:rFonts w:ascii="Times New Roman" w:eastAsia="Times New Roman" w:hAnsi="Times New Roman" w:cs="Times New Roman"/>
          <w:b/>
          <w:bCs/>
        </w:rPr>
        <w:t xml:space="preserve">A tantárgy meghirdetésének gyakorisága/a tantervben történő félévi elhelyezkedése: </w:t>
      </w:r>
      <w:r w:rsidRPr="00565EDF">
        <w:rPr>
          <w:rFonts w:ascii="Times New Roman" w:eastAsia="Times New Roman" w:hAnsi="Times New Roman" w:cs="Times New Roman"/>
          <w:bCs/>
        </w:rPr>
        <w:t>6. félév</w:t>
      </w:r>
    </w:p>
    <w:p w:rsidR="008F449C" w:rsidRPr="00565EDF" w:rsidRDefault="008F449C" w:rsidP="00980876">
      <w:pPr>
        <w:widowControl w:val="0"/>
        <w:numPr>
          <w:ilvl w:val="0"/>
          <w:numId w:val="286"/>
        </w:numPr>
        <w:spacing w:before="120" w:after="120" w:line="240" w:lineRule="auto"/>
        <w:ind w:left="426" w:hanging="142"/>
        <w:jc w:val="both"/>
        <w:rPr>
          <w:rFonts w:ascii="Times New Roman" w:eastAsia="Times New Roman" w:hAnsi="Times New Roman" w:cs="Times New Roman"/>
          <w:bCs/>
        </w:rPr>
      </w:pPr>
      <w:r w:rsidRPr="00565EDF">
        <w:rPr>
          <w:rFonts w:ascii="Times New Roman" w:eastAsia="Times New Roman" w:hAnsi="Times New Roman" w:cs="Times New Roman"/>
          <w:b/>
          <w:bCs/>
        </w:rPr>
        <w:t xml:space="preserve">A tanórákon való részvétel követelményei, az elfogadható hiányzások mértéke, a </w:t>
      </w:r>
      <w:r w:rsidRPr="00565EDF">
        <w:rPr>
          <w:rFonts w:ascii="Times New Roman" w:eastAsia="Times New Roman" w:hAnsi="Times New Roman" w:cs="Times New Roman"/>
          <w:b/>
          <w:bCs/>
        </w:rPr>
        <w:lastRenderedPageBreak/>
        <w:t>távolmaradás pótlásának lehetősége:</w:t>
      </w:r>
      <w:r w:rsidRPr="00565EDF">
        <w:rPr>
          <w:rFonts w:ascii="Times New Roman" w:eastAsia="Times New Roman" w:hAnsi="Times New Roman" w:cs="Times New Roman"/>
          <w:bCs/>
        </w:rPr>
        <w:t xml:space="preserve"> </w:t>
      </w:r>
    </w:p>
    <w:p w:rsidR="008F449C" w:rsidRPr="00565EDF" w:rsidRDefault="008F449C" w:rsidP="008F449C">
      <w:pPr>
        <w:widowControl w:val="0"/>
        <w:spacing w:before="120" w:after="120" w:line="240" w:lineRule="auto"/>
        <w:ind w:left="426"/>
        <w:jc w:val="both"/>
        <w:rPr>
          <w:rFonts w:ascii="Times New Roman" w:eastAsia="Times New Roman" w:hAnsi="Times New Roman" w:cs="Times New Roman"/>
          <w:bCs/>
          <w:highlight w:val="lightGray"/>
        </w:rPr>
      </w:pPr>
      <w:r w:rsidRPr="00565EDF">
        <w:rPr>
          <w:rFonts w:ascii="Times New Roman" w:eastAsia="Times New Roman" w:hAnsi="Times New Roman" w:cs="Times New Roman"/>
          <w:bCs/>
          <w:lang w:eastAsia="hu-HU"/>
        </w:rPr>
        <w:t xml:space="preserve">A tanórákon való részvétel kötelező, megengedett hiányzás mértéke </w:t>
      </w:r>
      <w:r w:rsidR="00565EDF">
        <w:rPr>
          <w:rFonts w:ascii="Times New Roman" w:eastAsia="Times New Roman" w:hAnsi="Times New Roman" w:cs="Times New Roman"/>
          <w:bCs/>
          <w:lang w:eastAsia="hu-HU"/>
        </w:rPr>
        <w:t>30</w:t>
      </w:r>
      <w:r w:rsidRPr="00565EDF">
        <w:rPr>
          <w:rFonts w:ascii="Times New Roman" w:eastAsia="Times New Roman" w:hAnsi="Times New Roman" w:cs="Times New Roman"/>
          <w:bCs/>
          <w:lang w:eastAsia="hu-HU"/>
        </w:rPr>
        <w:t xml:space="preserve">%. Hiányzás esetén órapótlásra nincs lehetőség, a hallgató az előadás anyagát önállóan pótolja. A </w:t>
      </w:r>
      <w:r w:rsidR="00565EDF">
        <w:rPr>
          <w:rFonts w:ascii="Times New Roman" w:eastAsia="Times New Roman" w:hAnsi="Times New Roman" w:cs="Times New Roman"/>
          <w:bCs/>
          <w:lang w:eastAsia="hu-HU"/>
        </w:rPr>
        <w:t>30</w:t>
      </w:r>
      <w:r w:rsidRPr="00565EDF">
        <w:rPr>
          <w:rFonts w:ascii="Times New Roman" w:eastAsia="Times New Roman" w:hAnsi="Times New Roman" w:cs="Times New Roman"/>
          <w:bCs/>
          <w:lang w:eastAsia="hu-HU"/>
        </w:rPr>
        <w:t xml:space="preserve">%-ot meghaladó </w:t>
      </w:r>
      <w:r w:rsidR="00565EDF">
        <w:rPr>
          <w:rFonts w:ascii="Times New Roman" w:eastAsia="Times New Roman" w:hAnsi="Times New Roman" w:cs="Times New Roman"/>
          <w:bCs/>
          <w:lang w:eastAsia="hu-HU"/>
        </w:rPr>
        <w:t xml:space="preserve">igazolt </w:t>
      </w:r>
      <w:r w:rsidRPr="00565EDF">
        <w:rPr>
          <w:rFonts w:ascii="Times New Roman" w:eastAsia="Times New Roman" w:hAnsi="Times New Roman" w:cs="Times New Roman"/>
          <w:bCs/>
          <w:lang w:eastAsia="hu-HU"/>
        </w:rPr>
        <w:t xml:space="preserve">hiányzás </w:t>
      </w:r>
      <w:r w:rsidR="00565EDF">
        <w:rPr>
          <w:rFonts w:ascii="Times New Roman" w:eastAsia="Times New Roman" w:hAnsi="Times New Roman" w:cs="Times New Roman"/>
          <w:bCs/>
          <w:lang w:eastAsia="hu-HU"/>
        </w:rPr>
        <w:t>pótlása az oktatóáltal meghatározott témakörben elkészített féléves feladat beadásával lehetséges</w:t>
      </w:r>
      <w:r w:rsidRPr="00565EDF">
        <w:rPr>
          <w:rFonts w:ascii="Times New Roman" w:eastAsia="Times New Roman" w:hAnsi="Times New Roman" w:cs="Times New Roman"/>
          <w:bCs/>
          <w:lang w:eastAsia="hu-HU"/>
        </w:rPr>
        <w:t>.</w:t>
      </w:r>
    </w:p>
    <w:p w:rsidR="008F449C" w:rsidRPr="00565EDF" w:rsidRDefault="008F449C" w:rsidP="00980876">
      <w:pPr>
        <w:widowControl w:val="0"/>
        <w:numPr>
          <w:ilvl w:val="0"/>
          <w:numId w:val="286"/>
        </w:numPr>
        <w:spacing w:before="120" w:after="120" w:line="240" w:lineRule="auto"/>
        <w:ind w:left="426" w:hanging="142"/>
        <w:jc w:val="both"/>
        <w:rPr>
          <w:rFonts w:ascii="Times New Roman" w:eastAsia="Times New Roman" w:hAnsi="Times New Roman" w:cs="Times New Roman"/>
          <w:bCs/>
        </w:rPr>
      </w:pPr>
      <w:r w:rsidRPr="00565EDF">
        <w:rPr>
          <w:rFonts w:ascii="Times New Roman" w:eastAsia="Times New Roman" w:hAnsi="Times New Roman" w:cs="Times New Roman"/>
          <w:b/>
        </w:rPr>
        <w:t>Félévközi feladatok, ismeretek ellenőrzésének rendje:</w:t>
      </w:r>
      <w:r w:rsidRPr="00565EDF">
        <w:rPr>
          <w:rFonts w:ascii="Times New Roman" w:eastAsia="Times New Roman" w:hAnsi="Times New Roman" w:cs="Times New Roman"/>
          <w:bCs/>
        </w:rPr>
        <w:t xml:space="preserve"> </w:t>
      </w:r>
    </w:p>
    <w:p w:rsidR="008F449C" w:rsidRPr="00565EDF" w:rsidRDefault="008F449C" w:rsidP="008F449C">
      <w:pPr>
        <w:widowControl w:val="0"/>
        <w:spacing w:before="120" w:after="120" w:line="240" w:lineRule="auto"/>
        <w:ind w:left="360"/>
        <w:jc w:val="both"/>
        <w:rPr>
          <w:rFonts w:ascii="Times New Roman" w:eastAsia="Times New Roman" w:hAnsi="Times New Roman" w:cs="Times New Roman"/>
          <w:lang w:eastAsia="x-none"/>
        </w:rPr>
      </w:pPr>
      <w:r w:rsidRPr="00565EDF">
        <w:rPr>
          <w:rFonts w:ascii="Times New Roman" w:eastAsia="Times New Roman" w:hAnsi="Times New Roman" w:cs="Times New Roman"/>
          <w:lang w:val="x-none" w:eastAsia="x-none"/>
        </w:rPr>
        <w:t>A félév során egy zárthelyi dolgozatot ke</w:t>
      </w:r>
      <w:r w:rsidRPr="00565EDF">
        <w:rPr>
          <w:rFonts w:ascii="Times New Roman" w:eastAsia="Times New Roman" w:hAnsi="Times New Roman" w:cs="Times New Roman"/>
          <w:lang w:eastAsia="x-none"/>
        </w:rPr>
        <w:t>l</w:t>
      </w:r>
      <w:r w:rsidRPr="00565EDF">
        <w:rPr>
          <w:rFonts w:ascii="Times New Roman" w:eastAsia="Times New Roman" w:hAnsi="Times New Roman" w:cs="Times New Roman"/>
          <w:lang w:val="x-none" w:eastAsia="x-none"/>
        </w:rPr>
        <w:t>l megír</w:t>
      </w:r>
      <w:r w:rsidRPr="00565EDF">
        <w:rPr>
          <w:rFonts w:ascii="Times New Roman" w:eastAsia="Times New Roman" w:hAnsi="Times New Roman" w:cs="Times New Roman"/>
          <w:lang w:eastAsia="x-none"/>
        </w:rPr>
        <w:t>ni</w:t>
      </w:r>
      <w:r w:rsidRPr="00565EDF">
        <w:rPr>
          <w:rFonts w:ascii="Times New Roman" w:eastAsia="Times New Roman" w:hAnsi="Times New Roman" w:cs="Times New Roman"/>
          <w:lang w:val="x-none" w:eastAsia="x-none"/>
        </w:rPr>
        <w:t xml:space="preserve">. </w:t>
      </w:r>
      <w:r w:rsidRPr="00565EDF">
        <w:rPr>
          <w:rFonts w:ascii="Times New Roman" w:eastAsia="Times New Roman" w:hAnsi="Times New Roman" w:cs="Times New Roman"/>
          <w:lang w:eastAsia="x-none"/>
        </w:rPr>
        <w:t xml:space="preserve">A zárthelyi dolgozat ötfokozatú skálán értékelendő, 50%+1 pont elégséges, 60% közepes, 75% jó, 90% jeles. </w:t>
      </w:r>
      <w:r w:rsidRPr="00565EDF">
        <w:rPr>
          <w:rFonts w:ascii="Times New Roman" w:eastAsia="Times New Roman" w:hAnsi="Times New Roman" w:cs="Times New Roman"/>
          <w:lang w:val="x-none" w:eastAsia="x-none"/>
        </w:rPr>
        <w:t xml:space="preserve">Az elégtelen osztályzatra értékelt dolgozatot a szorgalmi és a vizsgaidőszakban is egy-egy alkalommal lehet pótolni. </w:t>
      </w:r>
    </w:p>
    <w:p w:rsidR="008F449C" w:rsidRPr="00565EDF" w:rsidRDefault="008F449C" w:rsidP="008F449C">
      <w:pPr>
        <w:widowControl w:val="0"/>
        <w:spacing w:before="120" w:after="120" w:line="240" w:lineRule="auto"/>
        <w:ind w:left="360"/>
        <w:jc w:val="both"/>
        <w:rPr>
          <w:rFonts w:ascii="Times New Roman" w:eastAsia="Times New Roman" w:hAnsi="Times New Roman" w:cs="Times New Roman"/>
          <w:lang w:eastAsia="x-none"/>
        </w:rPr>
      </w:pPr>
      <w:r w:rsidRPr="00565EDF">
        <w:rPr>
          <w:rFonts w:ascii="Times New Roman" w:hAnsi="Times New Roman" w:cs="Times New Roman"/>
          <w:lang w:val="x-none" w:eastAsia="x-none"/>
        </w:rPr>
        <w:t xml:space="preserve">A félév során </w:t>
      </w:r>
      <w:r w:rsidRPr="00565EDF">
        <w:rPr>
          <w:rFonts w:ascii="Times New Roman" w:hAnsi="Times New Roman" w:cs="Times New Roman"/>
          <w:lang w:eastAsia="x-none"/>
        </w:rPr>
        <w:t>egy</w:t>
      </w:r>
      <w:r w:rsidRPr="00565EDF">
        <w:rPr>
          <w:rFonts w:ascii="Times New Roman" w:hAnsi="Times New Roman" w:cs="Times New Roman"/>
          <w:lang w:val="x-none" w:eastAsia="x-none"/>
        </w:rPr>
        <w:t xml:space="preserve"> házi feladatot kell elkészíteni minimálisan 1</w:t>
      </w:r>
      <w:r w:rsidR="00565EDF">
        <w:rPr>
          <w:rFonts w:ascii="Times New Roman" w:hAnsi="Times New Roman" w:cs="Times New Roman"/>
          <w:lang w:eastAsia="x-none"/>
        </w:rPr>
        <w:t>5</w:t>
      </w:r>
      <w:r w:rsidRPr="00565EDF">
        <w:rPr>
          <w:rFonts w:ascii="Times New Roman" w:hAnsi="Times New Roman" w:cs="Times New Roman"/>
          <w:lang w:val="x-none" w:eastAsia="x-none"/>
        </w:rPr>
        <w:t xml:space="preserve"> oldal</w:t>
      </w:r>
      <w:r w:rsidRPr="00565EDF">
        <w:rPr>
          <w:rFonts w:ascii="Times New Roman" w:hAnsi="Times New Roman" w:cs="Times New Roman"/>
          <w:b/>
          <w:lang w:val="x-none" w:eastAsia="x-none"/>
        </w:rPr>
        <w:t xml:space="preserve"> </w:t>
      </w:r>
      <w:r w:rsidRPr="00565EDF">
        <w:rPr>
          <w:rFonts w:ascii="Times New Roman" w:hAnsi="Times New Roman" w:cs="Times New Roman"/>
          <w:lang w:val="x-none" w:eastAsia="x-none"/>
        </w:rPr>
        <w:t xml:space="preserve">terjedelemben, a szakdolgozatnak megfelelő formai követelményekkel </w:t>
      </w:r>
      <w:r w:rsidRPr="00565EDF">
        <w:rPr>
          <w:rFonts w:ascii="Times New Roman" w:hAnsi="Times New Roman" w:cs="Times New Roman"/>
        </w:rPr>
        <w:t>(TVSZ 5. melléklet)</w:t>
      </w:r>
      <w:r w:rsidRPr="00565EDF">
        <w:rPr>
          <w:rFonts w:ascii="Times New Roman" w:hAnsi="Times New Roman" w:cs="Times New Roman"/>
          <w:lang w:val="x-none" w:eastAsia="x-none"/>
        </w:rPr>
        <w:t xml:space="preserve">. </w:t>
      </w:r>
      <w:r w:rsidRPr="00565EDF">
        <w:rPr>
          <w:rFonts w:ascii="Times New Roman" w:hAnsi="Times New Roman" w:cs="Times New Roman"/>
          <w:lang w:eastAsia="x-none"/>
        </w:rPr>
        <w:t>A 1</w:t>
      </w:r>
      <w:r w:rsidR="00565EDF">
        <w:rPr>
          <w:rFonts w:ascii="Times New Roman" w:hAnsi="Times New Roman" w:cs="Times New Roman"/>
          <w:lang w:eastAsia="x-none"/>
        </w:rPr>
        <w:t>5</w:t>
      </w:r>
      <w:r w:rsidRPr="00565EDF">
        <w:rPr>
          <w:rFonts w:ascii="Times New Roman" w:hAnsi="Times New Roman" w:cs="Times New Roman"/>
          <w:lang w:eastAsia="x-none"/>
        </w:rPr>
        <w:t xml:space="preserve"> oldal terjedelembe a bevezető, a fő rész és a befejezés tartozik </w:t>
      </w:r>
      <w:r w:rsidR="00565EDF">
        <w:rPr>
          <w:rFonts w:ascii="Times New Roman" w:hAnsi="Times New Roman" w:cs="Times New Roman"/>
          <w:lang w:eastAsia="x-none"/>
        </w:rPr>
        <w:t>bele</w:t>
      </w:r>
      <w:r w:rsidRPr="00565EDF">
        <w:rPr>
          <w:rFonts w:ascii="Times New Roman" w:hAnsi="Times New Roman" w:cs="Times New Roman"/>
          <w:lang w:eastAsia="x-none"/>
        </w:rPr>
        <w:t xml:space="preserve">. </w:t>
      </w:r>
      <w:r w:rsidRPr="00565EDF">
        <w:rPr>
          <w:rFonts w:ascii="Times New Roman" w:hAnsi="Times New Roman" w:cs="Times New Roman"/>
          <w:lang w:val="x-none" w:eastAsia="x-none"/>
        </w:rPr>
        <w:t>Az írásbeli munka témáját a hallgató választja</w:t>
      </w:r>
      <w:r w:rsidRPr="00565EDF">
        <w:rPr>
          <w:rFonts w:ascii="Times New Roman" w:hAnsi="Times New Roman" w:cs="Times New Roman"/>
          <w:lang w:eastAsia="x-none"/>
        </w:rPr>
        <w:t>,</w:t>
      </w:r>
      <w:r w:rsidRPr="00565EDF">
        <w:rPr>
          <w:rFonts w:ascii="Times New Roman" w:hAnsi="Times New Roman" w:cs="Times New Roman"/>
          <w:lang w:val="x-none" w:eastAsia="x-none"/>
        </w:rPr>
        <w:t xml:space="preserve"> a kurzus oktatója </w:t>
      </w:r>
      <w:r w:rsidRPr="00565EDF">
        <w:rPr>
          <w:rFonts w:ascii="Times New Roman" w:hAnsi="Times New Roman" w:cs="Times New Roman"/>
          <w:lang w:eastAsia="x-none"/>
        </w:rPr>
        <w:t>jóváhagyja</w:t>
      </w:r>
      <w:r w:rsidRPr="00565EDF">
        <w:rPr>
          <w:rFonts w:ascii="Times New Roman" w:hAnsi="Times New Roman" w:cs="Times New Roman"/>
          <w:lang w:val="x-none" w:eastAsia="x-none"/>
        </w:rPr>
        <w:t xml:space="preserve">. A szorgalmi időszakban a beadási határidőig leadott feladat </w:t>
      </w:r>
      <w:r w:rsidRPr="00565EDF">
        <w:rPr>
          <w:rFonts w:ascii="Times New Roman" w:hAnsi="Times New Roman" w:cs="Times New Roman"/>
          <w:lang w:eastAsia="x-none"/>
        </w:rPr>
        <w:t>ötfokozatú skálán értékelendő</w:t>
      </w:r>
      <w:r w:rsidRPr="00565EDF">
        <w:rPr>
          <w:rFonts w:ascii="Times New Roman" w:hAnsi="Times New Roman" w:cs="Times New Roman"/>
          <w:lang w:val="x-none" w:eastAsia="x-none"/>
        </w:rPr>
        <w:t>, azt javítani a vizsgaidőszak első hetén egy alkalommal lehet.</w:t>
      </w:r>
    </w:p>
    <w:p w:rsidR="008F449C" w:rsidRPr="00565EDF" w:rsidRDefault="008F449C" w:rsidP="00980876">
      <w:pPr>
        <w:widowControl w:val="0"/>
        <w:numPr>
          <w:ilvl w:val="0"/>
          <w:numId w:val="286"/>
        </w:numPr>
        <w:spacing w:before="120" w:after="120" w:line="240" w:lineRule="auto"/>
        <w:ind w:left="426" w:hanging="142"/>
        <w:jc w:val="both"/>
        <w:rPr>
          <w:rFonts w:ascii="Times New Roman" w:eastAsia="Times New Roman" w:hAnsi="Times New Roman" w:cs="Times New Roman"/>
          <w:b/>
          <w:bCs/>
        </w:rPr>
      </w:pPr>
      <w:r w:rsidRPr="00565EDF">
        <w:rPr>
          <w:rFonts w:ascii="Times New Roman" w:eastAsia="Times New Roman" w:hAnsi="Times New Roman" w:cs="Times New Roman"/>
          <w:b/>
          <w:bCs/>
        </w:rPr>
        <w:t xml:space="preserve">Az értékelés, az aláírás és a kreditek megszerzésének pontos feltételei: </w:t>
      </w:r>
    </w:p>
    <w:p w:rsidR="008F449C" w:rsidRPr="00E26DAB" w:rsidRDefault="008F449C" w:rsidP="00980876">
      <w:pPr>
        <w:widowControl w:val="0"/>
        <w:numPr>
          <w:ilvl w:val="1"/>
          <w:numId w:val="286"/>
        </w:numPr>
        <w:tabs>
          <w:tab w:val="left" w:pos="709"/>
          <w:tab w:val="left" w:pos="993"/>
        </w:tabs>
        <w:spacing w:before="120" w:after="120" w:line="240" w:lineRule="auto"/>
        <w:ind w:left="426" w:firstLine="0"/>
        <w:jc w:val="both"/>
        <w:rPr>
          <w:rFonts w:ascii="Times New Roman" w:hAnsi="Times New Roman" w:cs="Times New Roman"/>
        </w:rPr>
      </w:pPr>
      <w:r w:rsidRPr="00E26DAB">
        <w:rPr>
          <w:rFonts w:ascii="Times New Roman" w:eastAsia="Times New Roman" w:hAnsi="Times New Roman" w:cs="Times New Roman"/>
          <w:b/>
        </w:rPr>
        <w:t>Az aláírás megszerzésének feltételei:</w:t>
      </w:r>
      <w:r w:rsidRPr="00E26DAB">
        <w:rPr>
          <w:rFonts w:ascii="Times New Roman" w:eastAsia="Times New Roman" w:hAnsi="Times New Roman" w:cs="Times New Roman"/>
        </w:rPr>
        <w:t xml:space="preserve"> </w:t>
      </w:r>
      <w:r w:rsidRPr="00E26DAB">
        <w:rPr>
          <w:rFonts w:ascii="Times New Roman" w:hAnsi="Times New Roman" w:cs="Times New Roman"/>
        </w:rPr>
        <w:t xml:space="preserve">Az aláírás megszerzésnek feltétele a zárthelyi dolgozat legalább elégséges szinten történő teljesítése (min </w:t>
      </w:r>
      <w:r w:rsidRPr="00E26DAB">
        <w:rPr>
          <w:rFonts w:ascii="Times New Roman" w:eastAsia="Times New Roman" w:hAnsi="Times New Roman" w:cs="Times New Roman"/>
          <w:lang w:eastAsia="x-none"/>
        </w:rPr>
        <w:t>50%+1 pont</w:t>
      </w:r>
      <w:r w:rsidRPr="00E26DAB">
        <w:rPr>
          <w:rFonts w:ascii="Times New Roman" w:hAnsi="Times New Roman" w:cs="Times New Roman"/>
        </w:rPr>
        <w:t>), a kapott féléves feladat határidőre történő leadása és minimálisan elégséges szintű teljesítése, illetve a tanórák legalább 75%-án való megjelenés.</w:t>
      </w:r>
    </w:p>
    <w:p w:rsidR="008F449C" w:rsidRPr="00E26DAB" w:rsidRDefault="008F449C" w:rsidP="00980876">
      <w:pPr>
        <w:widowControl w:val="0"/>
        <w:numPr>
          <w:ilvl w:val="1"/>
          <w:numId w:val="286"/>
        </w:numPr>
        <w:tabs>
          <w:tab w:val="left" w:pos="709"/>
          <w:tab w:val="left" w:pos="993"/>
        </w:tabs>
        <w:spacing w:before="120" w:after="120" w:line="240" w:lineRule="auto"/>
        <w:ind w:left="426" w:firstLine="0"/>
        <w:jc w:val="both"/>
        <w:rPr>
          <w:rFonts w:ascii="Times New Roman" w:hAnsi="Times New Roman" w:cs="Times New Roman"/>
          <w:b/>
        </w:rPr>
      </w:pPr>
      <w:r w:rsidRPr="00E26DAB">
        <w:rPr>
          <w:rFonts w:ascii="Times New Roman" w:eastAsia="Times New Roman" w:hAnsi="Times New Roman" w:cs="Times New Roman"/>
          <w:b/>
        </w:rPr>
        <w:t>Az értékelés:</w:t>
      </w:r>
      <w:r w:rsidRPr="00E26DAB">
        <w:rPr>
          <w:rFonts w:ascii="Times New Roman" w:eastAsia="Times New Roman" w:hAnsi="Times New Roman" w:cs="Times New Roman"/>
        </w:rPr>
        <w:t xml:space="preserve"> </w:t>
      </w:r>
      <w:r w:rsidRPr="00E26DAB">
        <w:rPr>
          <w:rFonts w:ascii="Times New Roman" w:hAnsi="Times New Roman" w:cs="Times New Roman"/>
          <w:lang w:val="x-none" w:eastAsia="x-none"/>
        </w:rPr>
        <w:t xml:space="preserve">A tantárgy </w:t>
      </w:r>
      <w:r w:rsidRPr="00E26DAB">
        <w:rPr>
          <w:rFonts w:ascii="Times New Roman" w:hAnsi="Times New Roman" w:cs="Times New Roman"/>
          <w:b/>
          <w:lang w:val="x-none" w:eastAsia="x-none"/>
        </w:rPr>
        <w:t>félévközi jeggyel</w:t>
      </w:r>
      <w:r w:rsidRPr="00E26DAB">
        <w:rPr>
          <w:rFonts w:ascii="Times New Roman" w:hAnsi="Times New Roman" w:cs="Times New Roman"/>
          <w:lang w:val="x-none" w:eastAsia="x-none"/>
        </w:rPr>
        <w:t xml:space="preserve"> zárul, </w:t>
      </w:r>
      <w:r w:rsidRPr="00E26DAB">
        <w:rPr>
          <w:rFonts w:ascii="Times New Roman" w:hAnsi="Times New Roman" w:cs="Times New Roman"/>
          <w:lang w:eastAsia="x-none"/>
        </w:rPr>
        <w:t>a</w:t>
      </w:r>
      <w:r w:rsidRPr="00E26DAB">
        <w:rPr>
          <w:rFonts w:ascii="Times New Roman" w:hAnsi="Times New Roman" w:cs="Times New Roman"/>
          <w:lang w:val="x-none" w:eastAsia="x-none"/>
        </w:rPr>
        <w:t>mely a zárthelyi dolgozatra és a beadott házi feladatra kapott osztályzatok alapján kerül meghatározásra egyszerű számtani átlaggal.</w:t>
      </w:r>
      <w:r w:rsidRPr="00E26DAB">
        <w:rPr>
          <w:rFonts w:ascii="Times New Roman" w:hAnsi="Times New Roman" w:cs="Times New Roman"/>
        </w:rPr>
        <w:t xml:space="preserve"> Kétes jegy esetén (pl. 3,5) a zárthelyi jegyét súlyozottan kell beszámítani.</w:t>
      </w:r>
    </w:p>
    <w:p w:rsidR="008F449C" w:rsidRPr="00565EDF" w:rsidRDefault="008F449C" w:rsidP="00980876">
      <w:pPr>
        <w:widowControl w:val="0"/>
        <w:numPr>
          <w:ilvl w:val="1"/>
          <w:numId w:val="286"/>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565EDF">
        <w:rPr>
          <w:rFonts w:ascii="Times New Roman" w:eastAsia="Times New Roman" w:hAnsi="Times New Roman" w:cs="Times New Roman"/>
          <w:b/>
        </w:rPr>
        <w:t>A kreditek megszerzésének feltételei:</w:t>
      </w:r>
      <w:r w:rsidRPr="00565EDF">
        <w:rPr>
          <w:rFonts w:ascii="Times New Roman" w:eastAsia="Times New Roman" w:hAnsi="Times New Roman" w:cs="Times New Roman"/>
        </w:rPr>
        <w:t xml:space="preserve"> </w:t>
      </w:r>
    </w:p>
    <w:p w:rsidR="008F449C" w:rsidRPr="00565EDF" w:rsidRDefault="008F449C" w:rsidP="008F449C">
      <w:pPr>
        <w:widowControl w:val="0"/>
        <w:tabs>
          <w:tab w:val="left" w:pos="993"/>
        </w:tabs>
        <w:spacing w:before="120" w:after="120" w:line="240" w:lineRule="auto"/>
        <w:ind w:left="426"/>
        <w:jc w:val="both"/>
        <w:rPr>
          <w:rFonts w:ascii="Times New Roman" w:eastAsia="Times New Roman" w:hAnsi="Times New Roman" w:cs="Times New Roman"/>
        </w:rPr>
      </w:pPr>
      <w:r w:rsidRPr="00565EDF">
        <w:rPr>
          <w:rFonts w:ascii="Times New Roman" w:eastAsia="Times New Roman" w:hAnsi="Times New Roman" w:cs="Times New Roman"/>
        </w:rPr>
        <w:t>A kreditek megszerzésének feltétele az aláírás megszerzése és legalább elégséges félévközi jegy.</w:t>
      </w:r>
    </w:p>
    <w:p w:rsidR="008F449C" w:rsidRPr="00565EDF" w:rsidRDefault="008F449C" w:rsidP="00980876">
      <w:pPr>
        <w:widowControl w:val="0"/>
        <w:numPr>
          <w:ilvl w:val="0"/>
          <w:numId w:val="286"/>
        </w:numPr>
        <w:spacing w:before="120" w:after="120" w:line="240" w:lineRule="auto"/>
        <w:ind w:left="426" w:hanging="142"/>
        <w:jc w:val="both"/>
        <w:rPr>
          <w:rFonts w:ascii="Times New Roman" w:eastAsia="Times New Roman" w:hAnsi="Times New Roman" w:cs="Times New Roman"/>
          <w:bCs/>
        </w:rPr>
      </w:pPr>
      <w:r w:rsidRPr="00565EDF">
        <w:rPr>
          <w:rFonts w:ascii="Times New Roman" w:eastAsia="Times New Roman" w:hAnsi="Times New Roman" w:cs="Times New Roman"/>
          <w:b/>
          <w:bCs/>
        </w:rPr>
        <w:t>Irodalomjegyzék:</w:t>
      </w:r>
    </w:p>
    <w:p w:rsidR="008F449C" w:rsidRPr="00565EDF" w:rsidRDefault="008F449C" w:rsidP="00980876">
      <w:pPr>
        <w:widowControl w:val="0"/>
        <w:numPr>
          <w:ilvl w:val="1"/>
          <w:numId w:val="286"/>
        </w:numPr>
        <w:tabs>
          <w:tab w:val="left" w:pos="567"/>
          <w:tab w:val="left" w:pos="851"/>
        </w:tabs>
        <w:spacing w:before="120" w:after="120" w:line="240" w:lineRule="auto"/>
        <w:ind w:left="426" w:hanging="142"/>
        <w:jc w:val="both"/>
        <w:rPr>
          <w:rFonts w:ascii="Times New Roman" w:eastAsia="Times New Roman" w:hAnsi="Times New Roman" w:cs="Times New Roman"/>
          <w:bCs/>
        </w:rPr>
      </w:pPr>
      <w:r w:rsidRPr="00565EDF">
        <w:rPr>
          <w:rFonts w:ascii="Times New Roman" w:eastAsia="Times New Roman" w:hAnsi="Times New Roman" w:cs="Times New Roman"/>
          <w:b/>
          <w:bCs/>
        </w:rPr>
        <w:t>Kötelező irodalom:</w:t>
      </w:r>
    </w:p>
    <w:p w:rsidR="00AF4322" w:rsidRDefault="00AF4322" w:rsidP="00980876">
      <w:pPr>
        <w:pStyle w:val="Listaszerbekezds"/>
        <w:numPr>
          <w:ilvl w:val="0"/>
          <w:numId w:val="287"/>
        </w:numPr>
        <w:spacing w:after="0" w:line="240" w:lineRule="auto"/>
        <w:jc w:val="both"/>
        <w:rPr>
          <w:rFonts w:ascii="Times New Roman" w:hAnsi="Times New Roman" w:cs="Times New Roman"/>
        </w:rPr>
      </w:pPr>
      <w:r w:rsidRPr="00AF4322">
        <w:rPr>
          <w:rFonts w:ascii="Times New Roman" w:hAnsi="Times New Roman" w:cs="Times New Roman"/>
        </w:rPr>
        <w:t>Hornyacsek Júlia (szerk): A védelmi igazgatás rendszere és a honvédelmi igazgatással való kapcsolatának elméleti és gyakorlati összefüggései</w:t>
      </w:r>
      <w:r>
        <w:rPr>
          <w:rFonts w:ascii="Times New Roman" w:hAnsi="Times New Roman" w:cs="Times New Roman"/>
        </w:rPr>
        <w:t>. Dialóg Campus Kiadó,</w:t>
      </w:r>
      <w:r w:rsidRPr="00AF4322">
        <w:rPr>
          <w:rFonts w:ascii="Times New Roman" w:hAnsi="Times New Roman" w:cs="Times New Roman"/>
        </w:rPr>
        <w:t xml:space="preserve"> Budapest, 2019</w:t>
      </w:r>
      <w:r>
        <w:rPr>
          <w:rFonts w:ascii="Times New Roman" w:hAnsi="Times New Roman" w:cs="Times New Roman"/>
        </w:rPr>
        <w:t xml:space="preserve">. p.156, </w:t>
      </w:r>
      <w:r w:rsidRPr="00AF4322">
        <w:rPr>
          <w:rFonts w:ascii="Times New Roman" w:hAnsi="Times New Roman" w:cs="Times New Roman"/>
        </w:rPr>
        <w:t>ISBN 978-615-5945-70-0 (elektronikus [e-PDF])</w:t>
      </w:r>
      <w:r>
        <w:rPr>
          <w:rFonts w:ascii="Times New Roman" w:hAnsi="Times New Roman" w:cs="Times New Roman"/>
        </w:rPr>
        <w:t>.</w:t>
      </w:r>
    </w:p>
    <w:p w:rsidR="00AF4322" w:rsidRPr="00E26DAB" w:rsidRDefault="00E26DAB" w:rsidP="00980876">
      <w:pPr>
        <w:pStyle w:val="Listaszerbekezds"/>
        <w:numPr>
          <w:ilvl w:val="0"/>
          <w:numId w:val="287"/>
        </w:numPr>
        <w:spacing w:after="0" w:line="240" w:lineRule="auto"/>
        <w:jc w:val="both"/>
        <w:rPr>
          <w:rFonts w:ascii="Times New Roman" w:hAnsi="Times New Roman" w:cs="Times New Roman"/>
        </w:rPr>
      </w:pPr>
      <w:r w:rsidRPr="00E26DAB">
        <w:rPr>
          <w:rFonts w:ascii="Times New Roman" w:hAnsi="Times New Roman" w:cs="Times New Roman"/>
        </w:rPr>
        <w:t xml:space="preserve">Medveczky Mihály: A különleges jogrend egyes kérdései a gazdaságmozgósítás hazai történetéből. Magyar Katonai Jogi és Hadijogi Társaság, Budapest, 2015. </w:t>
      </w:r>
      <w:r>
        <w:rPr>
          <w:rFonts w:ascii="Times New Roman" w:hAnsi="Times New Roman" w:cs="Times New Roman"/>
        </w:rPr>
        <w:t xml:space="preserve">p.84 </w:t>
      </w:r>
      <w:r>
        <w:rPr>
          <w:rFonts w:ascii="Times New Roman" w:hAnsi="Times New Roman" w:cs="Times New Roman"/>
        </w:rPr>
        <w:br/>
      </w:r>
      <w:r w:rsidRPr="00E26DAB">
        <w:rPr>
          <w:rFonts w:ascii="Times New Roman" w:hAnsi="Times New Roman" w:cs="Times New Roman"/>
        </w:rPr>
        <w:t>ISSN 2416-1365</w:t>
      </w:r>
    </w:p>
    <w:p w:rsidR="008F449C" w:rsidRPr="00565EDF" w:rsidRDefault="008F449C" w:rsidP="00980876">
      <w:pPr>
        <w:widowControl w:val="0"/>
        <w:numPr>
          <w:ilvl w:val="1"/>
          <w:numId w:val="286"/>
        </w:numPr>
        <w:spacing w:before="120" w:after="120" w:line="240" w:lineRule="auto"/>
        <w:ind w:left="993" w:hanging="709"/>
        <w:jc w:val="both"/>
        <w:rPr>
          <w:rFonts w:ascii="Times New Roman" w:eastAsia="Times New Roman" w:hAnsi="Times New Roman" w:cs="Times New Roman"/>
          <w:b/>
          <w:bCs/>
        </w:rPr>
      </w:pPr>
      <w:r w:rsidRPr="00565EDF">
        <w:rPr>
          <w:rFonts w:ascii="Times New Roman" w:eastAsia="Times New Roman" w:hAnsi="Times New Roman" w:cs="Times New Roman"/>
          <w:b/>
          <w:bCs/>
        </w:rPr>
        <w:t>Ajánlott irodalom:</w:t>
      </w:r>
    </w:p>
    <w:p w:rsidR="008F449C" w:rsidRPr="00565EDF" w:rsidRDefault="008F449C" w:rsidP="00980876">
      <w:pPr>
        <w:pStyle w:val="Listaszerbekezds"/>
        <w:numPr>
          <w:ilvl w:val="0"/>
          <w:numId w:val="285"/>
        </w:numPr>
        <w:spacing w:after="0" w:line="240" w:lineRule="auto"/>
        <w:ind w:left="709"/>
        <w:jc w:val="both"/>
        <w:rPr>
          <w:rFonts w:ascii="Times New Roman" w:hAnsi="Times New Roman" w:cs="Times New Roman"/>
        </w:rPr>
      </w:pPr>
      <w:r w:rsidRPr="00565EDF">
        <w:rPr>
          <w:rFonts w:ascii="Times New Roman" w:hAnsi="Times New Roman" w:cs="Times New Roman"/>
        </w:rPr>
        <w:t>NATO Movements Handbook (Procedures for Movements Across National Frontiers), Published by the NATO Standardization Agency, May 2017.</w:t>
      </w:r>
    </w:p>
    <w:p w:rsidR="008F449C" w:rsidRPr="00E26DAB" w:rsidRDefault="008F449C" w:rsidP="00980876">
      <w:pPr>
        <w:pStyle w:val="Listaszerbekezds"/>
        <w:numPr>
          <w:ilvl w:val="0"/>
          <w:numId w:val="285"/>
        </w:numPr>
        <w:spacing w:after="0" w:line="240" w:lineRule="auto"/>
        <w:ind w:left="709"/>
        <w:jc w:val="both"/>
        <w:rPr>
          <w:rFonts w:ascii="Times New Roman" w:hAnsi="Times New Roman" w:cs="Times New Roman"/>
          <w:highlight w:val="yellow"/>
        </w:rPr>
      </w:pPr>
      <w:r w:rsidRPr="00E26DAB">
        <w:rPr>
          <w:rFonts w:ascii="Times New Roman" w:hAnsi="Times New Roman" w:cs="Times New Roman"/>
          <w:highlight w:val="yellow"/>
        </w:rPr>
        <w:t>AJP-4.4(A) Allied Joint Movement and Transportation Doctrine, Published by the NATO Standardization Agency, December 2005.</w:t>
      </w:r>
    </w:p>
    <w:p w:rsidR="00AF4322" w:rsidRDefault="00AF4322" w:rsidP="00980876">
      <w:pPr>
        <w:pStyle w:val="Listaszerbekezds"/>
        <w:numPr>
          <w:ilvl w:val="0"/>
          <w:numId w:val="285"/>
        </w:numPr>
        <w:spacing w:after="0" w:line="240" w:lineRule="auto"/>
        <w:ind w:left="709"/>
        <w:jc w:val="both"/>
        <w:rPr>
          <w:rFonts w:ascii="Times New Roman" w:hAnsi="Times New Roman" w:cs="Times New Roman"/>
        </w:rPr>
      </w:pPr>
      <w:r w:rsidRPr="00565EDF">
        <w:rPr>
          <w:rFonts w:ascii="Times New Roman" w:hAnsi="Times New Roman" w:cs="Times New Roman"/>
        </w:rPr>
        <w:t>Dr. Tóth Bálint: Az ország közlekedési rendszerének védelmi célú előkészítése (Katonai Logisztika 15 évfolyam 2007/1. szám 87-126. oldal ISSN 1588-4228)</w:t>
      </w:r>
    </w:p>
    <w:p w:rsidR="00AF4322" w:rsidRPr="00E26DAB" w:rsidRDefault="00AF4322" w:rsidP="00980876">
      <w:pPr>
        <w:pStyle w:val="Listaszerbekezds"/>
        <w:numPr>
          <w:ilvl w:val="0"/>
          <w:numId w:val="285"/>
        </w:numPr>
        <w:spacing w:after="0" w:line="240" w:lineRule="auto"/>
        <w:ind w:left="709"/>
        <w:jc w:val="both"/>
        <w:rPr>
          <w:rFonts w:ascii="Times New Roman" w:hAnsi="Times New Roman" w:cs="Times New Roman"/>
          <w:highlight w:val="yellow"/>
        </w:rPr>
      </w:pPr>
      <w:r w:rsidRPr="00E26DAB">
        <w:rPr>
          <w:rFonts w:ascii="Times New Roman" w:hAnsi="Times New Roman" w:cs="Times New Roman"/>
          <w:highlight w:val="yellow"/>
        </w:rPr>
        <w:t xml:space="preserve">AJP-4.5.(ALP-12) Allied Joint Doctrine For Host Nation Support, Published by the NATO Standardization Agency, May 2013. </w:t>
      </w:r>
    </w:p>
    <w:p w:rsidR="008F449C" w:rsidRPr="00565EDF" w:rsidRDefault="008F449C" w:rsidP="008F449C">
      <w:pPr>
        <w:pStyle w:val="Listaszerbekezds"/>
        <w:spacing w:after="0" w:line="240" w:lineRule="auto"/>
        <w:ind w:left="709"/>
        <w:jc w:val="both"/>
        <w:rPr>
          <w:rFonts w:ascii="Times New Roman" w:hAnsi="Times New Roman" w:cs="Times New Roman"/>
        </w:rPr>
      </w:pPr>
    </w:p>
    <w:p w:rsidR="00DC5CE6" w:rsidRDefault="00DC5CE6" w:rsidP="00E26DAB">
      <w:pPr>
        <w:widowControl w:val="0"/>
        <w:spacing w:before="120" w:after="120" w:line="240" w:lineRule="auto"/>
        <w:ind w:firstLine="349"/>
        <w:jc w:val="both"/>
        <w:rPr>
          <w:rFonts w:ascii="Times New Roman" w:eastAsia="Times New Roman" w:hAnsi="Times New Roman" w:cs="Times New Roman"/>
          <w:bCs/>
        </w:rPr>
      </w:pPr>
      <w:r w:rsidRPr="00DC5CE6">
        <w:rPr>
          <w:rFonts w:ascii="Times New Roman" w:eastAsia="Times New Roman" w:hAnsi="Times New Roman" w:cs="Times New Roman"/>
          <w:bCs/>
        </w:rPr>
        <w:t>Budapest, 2020. március 30.</w:t>
      </w:r>
    </w:p>
    <w:p w:rsidR="008F449C" w:rsidRPr="00565EDF" w:rsidRDefault="008F449C" w:rsidP="008F449C">
      <w:pPr>
        <w:tabs>
          <w:tab w:val="right" w:pos="900"/>
        </w:tabs>
        <w:spacing w:after="0"/>
        <w:rPr>
          <w:rFonts w:ascii="Times New Roman" w:hAnsi="Times New Roman" w:cs="Times New Roman"/>
          <w:bCs/>
          <w:lang w:val="x-none" w:eastAsia="x-none"/>
        </w:rPr>
      </w:pPr>
      <w:r w:rsidRPr="00565EDF">
        <w:rPr>
          <w:rFonts w:ascii="Times New Roman" w:hAnsi="Times New Roman" w:cs="Times New Roman"/>
          <w:b/>
          <w:lang w:eastAsia="x-none"/>
        </w:rPr>
        <w:tab/>
      </w:r>
      <w:r w:rsidRPr="00565EDF">
        <w:rPr>
          <w:rFonts w:ascii="Times New Roman" w:hAnsi="Times New Roman" w:cs="Times New Roman"/>
          <w:b/>
          <w:lang w:eastAsia="x-none"/>
        </w:rPr>
        <w:tab/>
      </w:r>
      <w:r w:rsidRPr="00565EDF">
        <w:rPr>
          <w:rFonts w:ascii="Times New Roman" w:hAnsi="Times New Roman" w:cs="Times New Roman"/>
          <w:b/>
          <w:lang w:eastAsia="x-none"/>
        </w:rPr>
        <w:tab/>
      </w:r>
      <w:r w:rsidRPr="00565EDF">
        <w:rPr>
          <w:rFonts w:ascii="Times New Roman" w:hAnsi="Times New Roman" w:cs="Times New Roman"/>
          <w:b/>
          <w:lang w:eastAsia="x-none"/>
        </w:rPr>
        <w:tab/>
      </w:r>
      <w:r w:rsidRPr="00565EDF">
        <w:rPr>
          <w:rFonts w:ascii="Times New Roman" w:hAnsi="Times New Roman" w:cs="Times New Roman"/>
          <w:b/>
          <w:lang w:eastAsia="x-none"/>
        </w:rPr>
        <w:tab/>
      </w:r>
      <w:r w:rsidRPr="00565EDF">
        <w:rPr>
          <w:rFonts w:ascii="Times New Roman" w:hAnsi="Times New Roman" w:cs="Times New Roman"/>
          <w:b/>
          <w:lang w:eastAsia="x-none"/>
        </w:rPr>
        <w:tab/>
        <w:t xml:space="preserve">  </w:t>
      </w:r>
      <w:r w:rsidRPr="00565EDF">
        <w:rPr>
          <w:rFonts w:ascii="Times New Roman" w:hAnsi="Times New Roman" w:cs="Times New Roman"/>
          <w:b/>
          <w:lang w:eastAsia="x-none"/>
        </w:rPr>
        <w:tab/>
        <w:t xml:space="preserve">      Dr. Szászi Gábor egyetemi docens, PhD</w:t>
      </w:r>
    </w:p>
    <w:p w:rsidR="008F449C" w:rsidRDefault="008F449C" w:rsidP="00E26DAB">
      <w:pPr>
        <w:spacing w:after="0"/>
        <w:ind w:left="5672" w:firstLine="709"/>
        <w:rPr>
          <w:rFonts w:ascii="Times New Roman" w:hAnsi="Times New Roman" w:cs="Times New Roman"/>
          <w:sz w:val="24"/>
        </w:rPr>
      </w:pPr>
      <w:r w:rsidRPr="00565EDF">
        <w:rPr>
          <w:rFonts w:ascii="Times New Roman" w:hAnsi="Times New Roman" w:cs="Times New Roman"/>
          <w:bCs/>
        </w:rPr>
        <w:t>tantárgyfelelős</w:t>
      </w:r>
    </w:p>
    <w:p w:rsidR="00310B07" w:rsidRDefault="00310B07">
      <w:pPr>
        <w:spacing w:after="200" w:line="276" w:lineRule="auto"/>
        <w:rPr>
          <w:rFonts w:ascii="Times New Roman" w:hAnsi="Times New Roman" w:cs="Times New Roman"/>
          <w:sz w:val="24"/>
        </w:rPr>
      </w:pPr>
      <w:r>
        <w:rPr>
          <w:rFonts w:ascii="Times New Roman" w:hAnsi="Times New Roman" w:cs="Times New Roman"/>
          <w:sz w:val="24"/>
        </w:rPr>
        <w:br w:type="page"/>
      </w:r>
    </w:p>
    <w:tbl>
      <w:tblPr>
        <w:tblW w:w="9072" w:type="dxa"/>
        <w:tblInd w:w="113" w:type="dxa"/>
        <w:tblLook w:val="01E0" w:firstRow="1" w:lastRow="1" w:firstColumn="1" w:lastColumn="1" w:noHBand="0" w:noVBand="0"/>
      </w:tblPr>
      <w:tblGrid>
        <w:gridCol w:w="4855"/>
        <w:gridCol w:w="1620"/>
        <w:gridCol w:w="2597"/>
      </w:tblGrid>
      <w:tr w:rsidR="0083745E" w:rsidRPr="0083745E" w:rsidTr="0083745E">
        <w:tc>
          <w:tcPr>
            <w:tcW w:w="4855" w:type="dxa"/>
            <w:tcBorders>
              <w:bottom w:val="single" w:sz="4" w:space="0" w:color="auto"/>
            </w:tcBorders>
          </w:tcPr>
          <w:p w:rsidR="0083745E" w:rsidRPr="0083745E" w:rsidRDefault="0083745E" w:rsidP="0083745E">
            <w:pPr>
              <w:spacing w:after="0" w:line="360" w:lineRule="auto"/>
              <w:jc w:val="center"/>
              <w:rPr>
                <w:rFonts w:ascii="Times New Roman" w:eastAsia="Times New Roman" w:hAnsi="Times New Roman" w:cs="Times New Roman"/>
                <w:b/>
                <w:smallCaps/>
                <w:color w:val="000000" w:themeColor="text1"/>
                <w:lang w:eastAsia="hu-HU"/>
              </w:rPr>
            </w:pPr>
            <w:r w:rsidRPr="0083745E">
              <w:rPr>
                <w:rFonts w:ascii="Times New Roman" w:eastAsia="Times New Roman" w:hAnsi="Times New Roman" w:cs="Times New Roman"/>
                <w:b/>
                <w:smallCaps/>
                <w:color w:val="000000" w:themeColor="text1"/>
                <w:lang w:eastAsia="hu-HU"/>
              </w:rPr>
              <w:lastRenderedPageBreak/>
              <w:t>Nemzeti Közszolgálati Egyetem</w:t>
            </w:r>
          </w:p>
        </w:tc>
        <w:tc>
          <w:tcPr>
            <w:tcW w:w="1620" w:type="dxa"/>
          </w:tcPr>
          <w:p w:rsidR="0083745E" w:rsidRPr="0083745E" w:rsidRDefault="0083745E" w:rsidP="0083745E">
            <w:pPr>
              <w:spacing w:after="0" w:line="360" w:lineRule="auto"/>
              <w:jc w:val="both"/>
              <w:rPr>
                <w:rFonts w:ascii="Times New Roman" w:eastAsia="Times New Roman" w:hAnsi="Times New Roman" w:cs="Times New Roman"/>
                <w:color w:val="000000" w:themeColor="text1"/>
                <w:lang w:eastAsia="hu-HU"/>
              </w:rPr>
            </w:pPr>
          </w:p>
        </w:tc>
        <w:tc>
          <w:tcPr>
            <w:tcW w:w="2597" w:type="dxa"/>
          </w:tcPr>
          <w:p w:rsidR="0083745E" w:rsidRPr="0083745E" w:rsidRDefault="0083745E" w:rsidP="0083745E">
            <w:pPr>
              <w:spacing w:after="0" w:line="360" w:lineRule="auto"/>
              <w:jc w:val="right"/>
              <w:rPr>
                <w:rFonts w:ascii="Times New Roman" w:eastAsia="Times New Roman" w:hAnsi="Times New Roman" w:cs="Times New Roman"/>
                <w:color w:val="000000" w:themeColor="text1"/>
                <w:lang w:eastAsia="hu-HU"/>
              </w:rPr>
            </w:pPr>
          </w:p>
        </w:tc>
      </w:tr>
      <w:tr w:rsidR="0083745E" w:rsidRPr="0083745E" w:rsidTr="0083745E">
        <w:tc>
          <w:tcPr>
            <w:tcW w:w="4855" w:type="dxa"/>
            <w:tcBorders>
              <w:top w:val="single" w:sz="4" w:space="0" w:color="auto"/>
            </w:tcBorders>
          </w:tcPr>
          <w:p w:rsidR="0083745E" w:rsidRPr="0083745E" w:rsidRDefault="0083745E" w:rsidP="0083745E">
            <w:pPr>
              <w:spacing w:after="0" w:line="360" w:lineRule="auto"/>
              <w:jc w:val="center"/>
              <w:rPr>
                <w:rFonts w:ascii="Times New Roman" w:eastAsia="Times New Roman" w:hAnsi="Times New Roman" w:cs="Times New Roman"/>
                <w:b/>
                <w:color w:val="000000" w:themeColor="text1"/>
                <w:lang w:eastAsia="hu-HU"/>
              </w:rPr>
            </w:pPr>
            <w:r w:rsidRPr="0083745E">
              <w:rPr>
                <w:rFonts w:ascii="Times New Roman" w:eastAsia="Times New Roman" w:hAnsi="Times New Roman" w:cs="Times New Roman"/>
                <w:b/>
                <w:color w:val="000000" w:themeColor="text1"/>
                <w:lang w:eastAsia="hu-HU"/>
              </w:rPr>
              <w:t xml:space="preserve">Hadtudományi és Honvédtiszképző Kar </w:t>
            </w:r>
          </w:p>
        </w:tc>
        <w:tc>
          <w:tcPr>
            <w:tcW w:w="1620" w:type="dxa"/>
          </w:tcPr>
          <w:p w:rsidR="0083745E" w:rsidRPr="0083745E" w:rsidRDefault="0083745E" w:rsidP="0083745E">
            <w:pPr>
              <w:spacing w:after="0" w:line="360" w:lineRule="auto"/>
              <w:jc w:val="both"/>
              <w:rPr>
                <w:rFonts w:ascii="Times New Roman" w:eastAsia="Times New Roman" w:hAnsi="Times New Roman" w:cs="Times New Roman"/>
                <w:color w:val="000000" w:themeColor="text1"/>
                <w:lang w:eastAsia="hu-HU"/>
              </w:rPr>
            </w:pPr>
          </w:p>
        </w:tc>
        <w:tc>
          <w:tcPr>
            <w:tcW w:w="2597" w:type="dxa"/>
          </w:tcPr>
          <w:p w:rsidR="0083745E" w:rsidRPr="0083745E" w:rsidRDefault="0083745E" w:rsidP="0083745E">
            <w:pPr>
              <w:spacing w:after="0" w:line="360" w:lineRule="auto"/>
              <w:jc w:val="both"/>
              <w:rPr>
                <w:rFonts w:ascii="Times New Roman" w:eastAsia="Times New Roman" w:hAnsi="Times New Roman" w:cs="Times New Roman"/>
                <w:color w:val="000000" w:themeColor="text1"/>
                <w:lang w:eastAsia="hu-HU"/>
              </w:rPr>
            </w:pPr>
          </w:p>
        </w:tc>
      </w:tr>
    </w:tbl>
    <w:p w:rsidR="0083745E" w:rsidRPr="0083745E" w:rsidRDefault="0083745E" w:rsidP="0083745E">
      <w:pPr>
        <w:widowControl w:val="0"/>
        <w:spacing w:after="0" w:line="360" w:lineRule="auto"/>
        <w:ind w:left="426" w:hanging="142"/>
        <w:jc w:val="center"/>
        <w:rPr>
          <w:rFonts w:ascii="Times New Roman" w:eastAsia="Times New Roman" w:hAnsi="Times New Roman" w:cs="Times New Roman"/>
          <w:b/>
          <w:bCs/>
          <w:color w:val="000000" w:themeColor="text1"/>
        </w:rPr>
      </w:pPr>
    </w:p>
    <w:p w:rsidR="0083745E" w:rsidRPr="00E26DAB" w:rsidRDefault="0083745E" w:rsidP="0083745E">
      <w:pPr>
        <w:widowControl w:val="0"/>
        <w:spacing w:after="0" w:line="360" w:lineRule="auto"/>
        <w:ind w:left="426" w:hanging="142"/>
        <w:jc w:val="center"/>
        <w:rPr>
          <w:rFonts w:ascii="Times New Roman" w:eastAsia="Times New Roman" w:hAnsi="Times New Roman" w:cs="Times New Roman"/>
          <w:b/>
          <w:bCs/>
          <w:color w:val="000000" w:themeColor="text1"/>
          <w:highlight w:val="yellow"/>
        </w:rPr>
      </w:pPr>
      <w:r w:rsidRPr="00E26DAB">
        <w:rPr>
          <w:rFonts w:ascii="Times New Roman" w:eastAsia="Times New Roman" w:hAnsi="Times New Roman" w:cs="Times New Roman"/>
          <w:b/>
          <w:bCs/>
          <w:color w:val="000000" w:themeColor="text1"/>
          <w:highlight w:val="yellow"/>
        </w:rPr>
        <w:t>TANTÁRGYI PROGRAM</w:t>
      </w:r>
    </w:p>
    <w:p w:rsidR="0083745E" w:rsidRPr="00E26DAB" w:rsidRDefault="0083745E" w:rsidP="00980876">
      <w:pPr>
        <w:widowControl w:val="0"/>
        <w:numPr>
          <w:ilvl w:val="0"/>
          <w:numId w:val="307"/>
        </w:numPr>
        <w:tabs>
          <w:tab w:val="num" w:pos="567"/>
        </w:tabs>
        <w:spacing w:after="120" w:line="240" w:lineRule="auto"/>
        <w:ind w:left="426" w:hanging="142"/>
        <w:jc w:val="both"/>
        <w:rPr>
          <w:rFonts w:ascii="Times New Roman" w:eastAsia="Times New Roman" w:hAnsi="Times New Roman" w:cs="Times New Roman"/>
          <w:bCs/>
          <w:color w:val="000000" w:themeColor="text1"/>
          <w:highlight w:val="yellow"/>
        </w:rPr>
      </w:pPr>
      <w:r w:rsidRPr="00E26DAB">
        <w:rPr>
          <w:rFonts w:ascii="Times New Roman" w:eastAsia="Times New Roman" w:hAnsi="Times New Roman" w:cs="Times New Roman"/>
          <w:b/>
          <w:bCs/>
          <w:color w:val="000000" w:themeColor="text1"/>
          <w:highlight w:val="yellow"/>
        </w:rPr>
        <w:t xml:space="preserve">A </w:t>
      </w:r>
      <w:r w:rsidRPr="00A32D06">
        <w:rPr>
          <w:rFonts w:ascii="Times New Roman" w:eastAsia="Times New Roman" w:hAnsi="Times New Roman" w:cs="Times New Roman"/>
          <w:b/>
          <w:bCs/>
          <w:color w:val="000000" w:themeColor="text1"/>
        </w:rPr>
        <w:t>tantárgy</w:t>
      </w:r>
      <w:r w:rsidRPr="00E26DAB">
        <w:rPr>
          <w:rFonts w:ascii="Times New Roman" w:eastAsia="Times New Roman" w:hAnsi="Times New Roman" w:cs="Times New Roman"/>
          <w:b/>
          <w:bCs/>
          <w:color w:val="000000" w:themeColor="text1"/>
          <w:highlight w:val="yellow"/>
        </w:rPr>
        <w:t xml:space="preserve"> kódja: </w:t>
      </w:r>
      <w:r w:rsidRPr="00E26DAB">
        <w:rPr>
          <w:rFonts w:ascii="Times New Roman" w:hAnsi="Times New Roman" w:cs="Times New Roman"/>
          <w:color w:val="000000" w:themeColor="text1"/>
          <w:highlight w:val="yellow"/>
        </w:rPr>
        <w:t>HKHPKA315</w:t>
      </w:r>
    </w:p>
    <w:p w:rsidR="0083745E" w:rsidRPr="00E26DAB" w:rsidRDefault="0083745E" w:rsidP="00980876">
      <w:pPr>
        <w:widowControl w:val="0"/>
        <w:numPr>
          <w:ilvl w:val="0"/>
          <w:numId w:val="307"/>
        </w:numPr>
        <w:tabs>
          <w:tab w:val="num" w:pos="567"/>
        </w:tabs>
        <w:spacing w:after="120" w:line="240" w:lineRule="auto"/>
        <w:ind w:left="426" w:hanging="142"/>
        <w:jc w:val="both"/>
        <w:rPr>
          <w:rFonts w:ascii="Times New Roman" w:eastAsia="Times New Roman" w:hAnsi="Times New Roman" w:cs="Times New Roman"/>
          <w:b/>
          <w:bCs/>
          <w:color w:val="000000" w:themeColor="text1"/>
          <w:highlight w:val="yellow"/>
          <w:lang w:val="en-GB"/>
        </w:rPr>
      </w:pPr>
      <w:r w:rsidRPr="00E26DAB">
        <w:rPr>
          <w:rFonts w:ascii="Times New Roman" w:eastAsia="Times New Roman" w:hAnsi="Times New Roman" w:cs="Times New Roman"/>
          <w:b/>
          <w:bCs/>
          <w:color w:val="000000" w:themeColor="text1"/>
          <w:highlight w:val="yellow"/>
        </w:rPr>
        <w:t xml:space="preserve">A </w:t>
      </w:r>
      <w:r w:rsidRPr="00A32D06">
        <w:rPr>
          <w:rFonts w:ascii="Times New Roman" w:eastAsia="Times New Roman" w:hAnsi="Times New Roman" w:cs="Times New Roman"/>
          <w:b/>
          <w:bCs/>
          <w:color w:val="000000" w:themeColor="text1"/>
        </w:rPr>
        <w:t>tantárgy</w:t>
      </w:r>
      <w:r w:rsidRPr="00E26DAB">
        <w:rPr>
          <w:rFonts w:ascii="Times New Roman" w:eastAsia="Times New Roman" w:hAnsi="Times New Roman" w:cs="Times New Roman"/>
          <w:b/>
          <w:bCs/>
          <w:color w:val="000000" w:themeColor="text1"/>
          <w:highlight w:val="yellow"/>
        </w:rPr>
        <w:t xml:space="preserve"> megnevezése (magyarul):</w:t>
      </w:r>
      <w:r w:rsidRPr="00E26DAB">
        <w:rPr>
          <w:rFonts w:ascii="Times New Roman" w:eastAsia="Times New Roman" w:hAnsi="Times New Roman" w:cs="Times New Roman"/>
          <w:bCs/>
          <w:color w:val="000000" w:themeColor="text1"/>
          <w:highlight w:val="yellow"/>
        </w:rPr>
        <w:t xml:space="preserve"> </w:t>
      </w:r>
      <w:r w:rsidRPr="00E26DAB">
        <w:rPr>
          <w:rFonts w:ascii="Times New Roman" w:hAnsi="Times New Roman" w:cs="Times New Roman"/>
          <w:color w:val="000000" w:themeColor="text1"/>
          <w:highlight w:val="yellow"/>
        </w:rPr>
        <w:t>Közlekedési-szállító alegységek műveleti alkalmazása I.</w:t>
      </w:r>
    </w:p>
    <w:p w:rsidR="0083745E" w:rsidRPr="00E26DAB" w:rsidRDefault="0083745E" w:rsidP="00980876">
      <w:pPr>
        <w:widowControl w:val="0"/>
        <w:numPr>
          <w:ilvl w:val="0"/>
          <w:numId w:val="307"/>
        </w:numPr>
        <w:tabs>
          <w:tab w:val="num" w:pos="567"/>
        </w:tabs>
        <w:spacing w:after="0" w:line="360" w:lineRule="auto"/>
        <w:ind w:left="426" w:hanging="142"/>
        <w:jc w:val="both"/>
        <w:rPr>
          <w:rFonts w:ascii="Times New Roman" w:eastAsia="Times New Roman" w:hAnsi="Times New Roman" w:cs="Times New Roman"/>
          <w:b/>
          <w:bCs/>
          <w:color w:val="000000" w:themeColor="text1"/>
          <w:highlight w:val="yellow"/>
          <w:lang w:val="en-GB"/>
        </w:rPr>
      </w:pPr>
      <w:r w:rsidRPr="00E26DAB">
        <w:rPr>
          <w:rFonts w:ascii="Times New Roman" w:eastAsia="Times New Roman" w:hAnsi="Times New Roman" w:cs="Times New Roman"/>
          <w:b/>
          <w:bCs/>
          <w:color w:val="000000" w:themeColor="text1"/>
          <w:highlight w:val="yellow"/>
        </w:rPr>
        <w:t xml:space="preserve">A tantárgy megnevezése (angolul): </w:t>
      </w:r>
      <w:r w:rsidRPr="00E26DAB">
        <w:rPr>
          <w:rFonts w:ascii="Times New Roman" w:hAnsi="Times New Roman" w:cs="Times New Roman"/>
          <w:bCs/>
          <w:color w:val="000000" w:themeColor="text1"/>
          <w:highlight w:val="yellow"/>
        </w:rPr>
        <w:t>Transportation sub-unit operational practice I.</w:t>
      </w:r>
    </w:p>
    <w:p w:rsidR="0083745E" w:rsidRPr="00E26DAB" w:rsidRDefault="0083745E" w:rsidP="00980876">
      <w:pPr>
        <w:widowControl w:val="0"/>
        <w:numPr>
          <w:ilvl w:val="0"/>
          <w:numId w:val="307"/>
        </w:numPr>
        <w:tabs>
          <w:tab w:val="num" w:pos="567"/>
        </w:tabs>
        <w:spacing w:after="0" w:line="360" w:lineRule="auto"/>
        <w:ind w:left="426" w:hanging="142"/>
        <w:jc w:val="both"/>
        <w:rPr>
          <w:rFonts w:ascii="Times New Roman" w:eastAsia="Times New Roman" w:hAnsi="Times New Roman" w:cs="Times New Roman"/>
          <w:b/>
          <w:bCs/>
          <w:color w:val="000000" w:themeColor="text1"/>
          <w:highlight w:val="yellow"/>
        </w:rPr>
      </w:pPr>
      <w:r w:rsidRPr="00E26DAB">
        <w:rPr>
          <w:rFonts w:ascii="Times New Roman" w:eastAsia="Times New Roman" w:hAnsi="Times New Roman" w:cs="Times New Roman"/>
          <w:b/>
          <w:bCs/>
          <w:color w:val="000000" w:themeColor="text1"/>
          <w:highlight w:val="yellow"/>
        </w:rPr>
        <w:t xml:space="preserve">Kreditérték és képzési karakter: </w:t>
      </w:r>
    </w:p>
    <w:p w:rsidR="0083745E" w:rsidRPr="0083745E" w:rsidRDefault="0083745E" w:rsidP="00980876">
      <w:pPr>
        <w:pStyle w:val="Listaszerbekezds"/>
        <w:widowControl w:val="0"/>
        <w:numPr>
          <w:ilvl w:val="1"/>
          <w:numId w:val="307"/>
        </w:numPr>
        <w:tabs>
          <w:tab w:val="clear" w:pos="3977"/>
        </w:tabs>
        <w:spacing w:after="0" w:line="360" w:lineRule="auto"/>
        <w:ind w:left="993" w:hanging="426"/>
        <w:jc w:val="both"/>
        <w:rPr>
          <w:rFonts w:ascii="Times New Roman" w:eastAsia="Times New Roman" w:hAnsi="Times New Roman" w:cs="Times New Roman"/>
          <w:b/>
          <w:bCs/>
          <w:color w:val="000000" w:themeColor="text1"/>
        </w:rPr>
      </w:pPr>
      <w:r w:rsidRPr="0083745E">
        <w:rPr>
          <w:rFonts w:ascii="Times New Roman" w:eastAsia="Times New Roman" w:hAnsi="Times New Roman" w:cs="Times New Roman"/>
          <w:bCs/>
          <w:color w:val="000000" w:themeColor="text1"/>
        </w:rPr>
        <w:t>4 kredit</w:t>
      </w:r>
    </w:p>
    <w:p w:rsidR="0083745E" w:rsidRPr="0083745E" w:rsidRDefault="0083745E" w:rsidP="00980876">
      <w:pPr>
        <w:pStyle w:val="Listaszerbekezds"/>
        <w:widowControl w:val="0"/>
        <w:numPr>
          <w:ilvl w:val="1"/>
          <w:numId w:val="307"/>
        </w:numPr>
        <w:tabs>
          <w:tab w:val="clear" w:pos="3977"/>
        </w:tabs>
        <w:spacing w:after="0" w:line="360" w:lineRule="auto"/>
        <w:ind w:left="993" w:hanging="426"/>
        <w:jc w:val="both"/>
        <w:rPr>
          <w:rFonts w:ascii="Times New Roman" w:eastAsia="Times New Roman" w:hAnsi="Times New Roman" w:cs="Times New Roman"/>
          <w:b/>
          <w:bCs/>
          <w:color w:val="000000" w:themeColor="text1"/>
        </w:rPr>
      </w:pPr>
      <w:r w:rsidRPr="0083745E">
        <w:rPr>
          <w:rFonts w:ascii="Times New Roman" w:eastAsia="Times New Roman" w:hAnsi="Times New Roman" w:cs="Times New Roman"/>
          <w:bCs/>
          <w:color w:val="000000" w:themeColor="text1"/>
        </w:rPr>
        <w:t>a tantárgy elméleti vagy gyakorlati jellegének mértéke: 60</w:t>
      </w:r>
      <w:r w:rsidRPr="0083745E">
        <w:rPr>
          <w:rFonts w:ascii="Times New Roman" w:eastAsia="Times New Roman" w:hAnsi="Times New Roman" w:cs="Times New Roman"/>
          <w:b/>
          <w:bCs/>
          <w:color w:val="000000" w:themeColor="text1"/>
        </w:rPr>
        <w:t xml:space="preserve"> </w:t>
      </w:r>
      <w:r w:rsidRPr="0083745E">
        <w:rPr>
          <w:rFonts w:ascii="Times New Roman" w:eastAsia="Times New Roman" w:hAnsi="Times New Roman" w:cs="Times New Roman"/>
          <w:bCs/>
          <w:color w:val="000000" w:themeColor="text1"/>
        </w:rPr>
        <w:t>% gyakorlat, 40 % elmélet</w:t>
      </w:r>
    </w:p>
    <w:p w:rsidR="0083745E" w:rsidRPr="0083745E" w:rsidRDefault="0083745E" w:rsidP="00980876">
      <w:pPr>
        <w:widowControl w:val="0"/>
        <w:numPr>
          <w:ilvl w:val="0"/>
          <w:numId w:val="307"/>
        </w:numPr>
        <w:tabs>
          <w:tab w:val="num" w:pos="567"/>
        </w:tabs>
        <w:spacing w:after="120" w:line="240" w:lineRule="auto"/>
        <w:ind w:left="426" w:hanging="142"/>
        <w:jc w:val="both"/>
        <w:rPr>
          <w:rFonts w:ascii="Times New Roman" w:eastAsia="Times New Roman" w:hAnsi="Times New Roman" w:cs="Times New Roman"/>
          <w:bCs/>
          <w:color w:val="000000" w:themeColor="text1"/>
        </w:rPr>
      </w:pPr>
      <w:r w:rsidRPr="0083745E">
        <w:rPr>
          <w:rFonts w:ascii="Times New Roman" w:eastAsia="Times New Roman" w:hAnsi="Times New Roman" w:cs="Times New Roman"/>
          <w:b/>
          <w:bCs/>
          <w:color w:val="000000" w:themeColor="text1"/>
        </w:rPr>
        <w:t>A szak(ok), szakirányok/specializációk megnevezése (ahol oktatják):</w:t>
      </w:r>
      <w:r w:rsidRPr="0083745E">
        <w:rPr>
          <w:rFonts w:ascii="Times New Roman" w:eastAsia="Times New Roman" w:hAnsi="Times New Roman" w:cs="Times New Roman"/>
          <w:bCs/>
          <w:color w:val="000000" w:themeColor="text1"/>
        </w:rPr>
        <w:t xml:space="preserve"> </w:t>
      </w:r>
      <w:r w:rsidRPr="0083745E">
        <w:rPr>
          <w:rFonts w:ascii="Times New Roman" w:hAnsi="Times New Roman" w:cs="Times New Roman"/>
          <w:bCs/>
          <w:color w:val="000000" w:themeColor="text1"/>
        </w:rPr>
        <w:t>Katonai műveleti logisztika mesterképzési szak</w:t>
      </w:r>
    </w:p>
    <w:p w:rsidR="0083745E" w:rsidRPr="0083745E" w:rsidRDefault="0083745E" w:rsidP="00980876">
      <w:pPr>
        <w:widowControl w:val="0"/>
        <w:numPr>
          <w:ilvl w:val="0"/>
          <w:numId w:val="307"/>
        </w:numPr>
        <w:tabs>
          <w:tab w:val="num" w:pos="567"/>
        </w:tabs>
        <w:spacing w:after="120" w:line="240" w:lineRule="auto"/>
        <w:ind w:left="426" w:hanging="142"/>
        <w:jc w:val="both"/>
        <w:rPr>
          <w:rFonts w:ascii="Times New Roman" w:eastAsia="Times New Roman" w:hAnsi="Times New Roman" w:cs="Times New Roman"/>
          <w:bCs/>
          <w:color w:val="000000" w:themeColor="text1"/>
        </w:rPr>
      </w:pPr>
      <w:r w:rsidRPr="0083745E">
        <w:rPr>
          <w:rFonts w:ascii="Times New Roman" w:eastAsia="Times New Roman" w:hAnsi="Times New Roman" w:cs="Times New Roman"/>
          <w:b/>
          <w:bCs/>
          <w:color w:val="000000" w:themeColor="text1"/>
        </w:rPr>
        <w:t xml:space="preserve">Az oktatásért felelős oktatási szervezeti egység megnevezése: </w:t>
      </w:r>
      <w:r w:rsidRPr="0083745E">
        <w:rPr>
          <w:rFonts w:ascii="Times New Roman" w:hAnsi="Times New Roman" w:cs="Times New Roman"/>
          <w:color w:val="000000" w:themeColor="text1"/>
        </w:rPr>
        <w:t>NKE Hadtudományi és Honvédtisztképző Kar Műveleti Logisztikai Tanszék</w:t>
      </w:r>
    </w:p>
    <w:p w:rsidR="0083745E" w:rsidRPr="0083745E" w:rsidRDefault="0083745E" w:rsidP="00980876">
      <w:pPr>
        <w:widowControl w:val="0"/>
        <w:numPr>
          <w:ilvl w:val="0"/>
          <w:numId w:val="307"/>
        </w:numPr>
        <w:tabs>
          <w:tab w:val="num" w:pos="567"/>
        </w:tabs>
        <w:spacing w:after="120" w:line="240" w:lineRule="auto"/>
        <w:ind w:left="426" w:hanging="142"/>
        <w:jc w:val="both"/>
        <w:rPr>
          <w:rFonts w:ascii="Times New Roman" w:eastAsia="Times New Roman" w:hAnsi="Times New Roman" w:cs="Times New Roman"/>
          <w:bCs/>
          <w:color w:val="000000" w:themeColor="text1"/>
        </w:rPr>
      </w:pPr>
      <w:r w:rsidRPr="0083745E">
        <w:rPr>
          <w:rFonts w:ascii="Times New Roman" w:eastAsia="Times New Roman" w:hAnsi="Times New Roman" w:cs="Times New Roman"/>
          <w:b/>
          <w:bCs/>
          <w:color w:val="000000" w:themeColor="text1"/>
        </w:rPr>
        <w:t>A tantárgyfelelős oktató neve, beosztása, tudományos fokozata:</w:t>
      </w:r>
      <w:r w:rsidRPr="0083745E">
        <w:rPr>
          <w:rFonts w:ascii="Times New Roman" w:eastAsia="Times New Roman" w:hAnsi="Times New Roman" w:cs="Times New Roman"/>
          <w:bCs/>
          <w:color w:val="000000" w:themeColor="text1"/>
        </w:rPr>
        <w:t xml:space="preserve"> </w:t>
      </w:r>
      <w:r w:rsidRPr="0083745E">
        <w:rPr>
          <w:rFonts w:ascii="Times New Roman" w:hAnsi="Times New Roman" w:cs="Times New Roman"/>
          <w:bCs/>
          <w:color w:val="000000" w:themeColor="text1"/>
        </w:rPr>
        <w:t>Dr. Bodoróczki János alezredes, PhD,</w:t>
      </w:r>
      <w:r w:rsidRPr="0083745E">
        <w:rPr>
          <w:rFonts w:ascii="Times New Roman" w:eastAsia="Times New Roman" w:hAnsi="Times New Roman" w:cs="Times New Roman"/>
          <w:bCs/>
          <w:color w:val="000000" w:themeColor="text1"/>
        </w:rPr>
        <w:t xml:space="preserve"> </w:t>
      </w:r>
      <w:r w:rsidRPr="0083745E">
        <w:rPr>
          <w:rFonts w:ascii="Times New Roman" w:hAnsi="Times New Roman" w:cs="Times New Roman"/>
          <w:bCs/>
          <w:color w:val="000000" w:themeColor="text1"/>
        </w:rPr>
        <w:t xml:space="preserve">kiemelt főtiszt, tanársegéd </w:t>
      </w:r>
    </w:p>
    <w:p w:rsidR="0083745E" w:rsidRPr="0083745E" w:rsidRDefault="0083745E" w:rsidP="00980876">
      <w:pPr>
        <w:widowControl w:val="0"/>
        <w:numPr>
          <w:ilvl w:val="0"/>
          <w:numId w:val="307"/>
        </w:numPr>
        <w:tabs>
          <w:tab w:val="num" w:pos="567"/>
        </w:tabs>
        <w:spacing w:after="120" w:line="240" w:lineRule="auto"/>
        <w:ind w:left="426" w:hanging="142"/>
        <w:jc w:val="both"/>
        <w:rPr>
          <w:rFonts w:ascii="Times New Roman" w:eastAsia="Times New Roman" w:hAnsi="Times New Roman" w:cs="Times New Roman"/>
          <w:bCs/>
          <w:color w:val="000000" w:themeColor="text1"/>
        </w:rPr>
      </w:pPr>
      <w:r w:rsidRPr="0083745E">
        <w:rPr>
          <w:rFonts w:ascii="Times New Roman" w:eastAsia="Times New Roman" w:hAnsi="Times New Roman" w:cs="Times New Roman"/>
          <w:b/>
          <w:bCs/>
          <w:color w:val="000000" w:themeColor="text1"/>
        </w:rPr>
        <w:t>A tanórák száma és típusa</w:t>
      </w:r>
    </w:p>
    <w:p w:rsidR="0083745E" w:rsidRPr="0083745E" w:rsidRDefault="0083745E" w:rsidP="00980876">
      <w:pPr>
        <w:widowControl w:val="0"/>
        <w:numPr>
          <w:ilvl w:val="1"/>
          <w:numId w:val="307"/>
        </w:numPr>
        <w:tabs>
          <w:tab w:val="clear" w:pos="3977"/>
          <w:tab w:val="num" w:pos="709"/>
          <w:tab w:val="num" w:pos="2069"/>
        </w:tabs>
        <w:spacing w:after="0" w:line="360" w:lineRule="auto"/>
        <w:ind w:left="851" w:hanging="425"/>
        <w:jc w:val="both"/>
        <w:rPr>
          <w:rFonts w:ascii="Times New Roman" w:eastAsia="Times New Roman" w:hAnsi="Times New Roman" w:cs="Times New Roman"/>
          <w:bCs/>
          <w:color w:val="000000" w:themeColor="text1"/>
        </w:rPr>
      </w:pPr>
      <w:r w:rsidRPr="0083745E">
        <w:rPr>
          <w:rFonts w:ascii="Times New Roman" w:eastAsia="Times New Roman" w:hAnsi="Times New Roman" w:cs="Times New Roman"/>
          <w:bCs/>
          <w:color w:val="000000" w:themeColor="text1"/>
        </w:rPr>
        <w:t>össz óraszám/félév: 56</w:t>
      </w:r>
    </w:p>
    <w:p w:rsidR="0083745E" w:rsidRPr="0083745E" w:rsidRDefault="0083745E" w:rsidP="00980876">
      <w:pPr>
        <w:widowControl w:val="0"/>
        <w:numPr>
          <w:ilvl w:val="2"/>
          <w:numId w:val="307"/>
        </w:numPr>
        <w:tabs>
          <w:tab w:val="num" w:pos="709"/>
          <w:tab w:val="num" w:pos="1134"/>
        </w:tabs>
        <w:spacing w:after="0" w:line="360" w:lineRule="auto"/>
        <w:ind w:left="993" w:hanging="425"/>
        <w:jc w:val="both"/>
        <w:rPr>
          <w:rFonts w:ascii="Times New Roman" w:eastAsia="Times New Roman" w:hAnsi="Times New Roman" w:cs="Times New Roman"/>
          <w:bCs/>
          <w:color w:val="000000" w:themeColor="text1"/>
        </w:rPr>
      </w:pPr>
      <w:r w:rsidRPr="0083745E">
        <w:rPr>
          <w:rFonts w:ascii="Times New Roman" w:eastAsia="Times New Roman" w:hAnsi="Times New Roman" w:cs="Times New Roman"/>
          <w:bCs/>
          <w:color w:val="000000" w:themeColor="text1"/>
        </w:rPr>
        <w:t>nappali munkarend: 56 (22 EA + 0 SZ + 34 GY)</w:t>
      </w:r>
    </w:p>
    <w:p w:rsidR="0083745E" w:rsidRPr="0083745E" w:rsidRDefault="0083745E" w:rsidP="00980876">
      <w:pPr>
        <w:widowControl w:val="0"/>
        <w:numPr>
          <w:ilvl w:val="2"/>
          <w:numId w:val="307"/>
        </w:numPr>
        <w:tabs>
          <w:tab w:val="num" w:pos="709"/>
          <w:tab w:val="num" w:pos="1134"/>
        </w:tabs>
        <w:spacing w:after="0" w:line="360" w:lineRule="auto"/>
        <w:ind w:left="993" w:hanging="425"/>
        <w:jc w:val="both"/>
        <w:rPr>
          <w:rFonts w:ascii="Times New Roman" w:eastAsia="Times New Roman" w:hAnsi="Times New Roman" w:cs="Times New Roman"/>
          <w:bCs/>
          <w:color w:val="000000" w:themeColor="text1"/>
        </w:rPr>
      </w:pPr>
      <w:r w:rsidRPr="0083745E">
        <w:rPr>
          <w:rFonts w:ascii="Times New Roman" w:eastAsia="Times New Roman" w:hAnsi="Times New Roman" w:cs="Times New Roman"/>
          <w:bCs/>
          <w:color w:val="000000" w:themeColor="text1"/>
        </w:rPr>
        <w:t>levelező munkarend: 0 (0 EA + 0 SZ + 0 GY)</w:t>
      </w:r>
    </w:p>
    <w:p w:rsidR="0083745E" w:rsidRPr="0083745E" w:rsidRDefault="0083745E" w:rsidP="00980876">
      <w:pPr>
        <w:widowControl w:val="0"/>
        <w:numPr>
          <w:ilvl w:val="1"/>
          <w:numId w:val="307"/>
        </w:numPr>
        <w:tabs>
          <w:tab w:val="clear" w:pos="3977"/>
          <w:tab w:val="num" w:pos="709"/>
          <w:tab w:val="num" w:pos="2069"/>
        </w:tabs>
        <w:spacing w:after="0" w:line="360" w:lineRule="auto"/>
        <w:ind w:left="851" w:hanging="425"/>
        <w:jc w:val="both"/>
        <w:rPr>
          <w:rFonts w:ascii="Times New Roman" w:eastAsia="Times New Roman" w:hAnsi="Times New Roman" w:cs="Times New Roman"/>
          <w:bCs/>
          <w:color w:val="000000" w:themeColor="text1"/>
        </w:rPr>
      </w:pPr>
      <w:r w:rsidRPr="0083745E">
        <w:rPr>
          <w:rFonts w:ascii="Times New Roman" w:eastAsia="Times New Roman" w:hAnsi="Times New Roman" w:cs="Times New Roman"/>
          <w:bCs/>
          <w:color w:val="000000" w:themeColor="text1"/>
        </w:rPr>
        <w:t>heti óraszám - nappali munkarend: 3</w:t>
      </w:r>
    </w:p>
    <w:p w:rsidR="0083745E" w:rsidRPr="0083745E" w:rsidRDefault="0083745E" w:rsidP="00980876">
      <w:pPr>
        <w:widowControl w:val="0"/>
        <w:numPr>
          <w:ilvl w:val="1"/>
          <w:numId w:val="307"/>
        </w:numPr>
        <w:tabs>
          <w:tab w:val="clear" w:pos="3977"/>
          <w:tab w:val="num" w:pos="709"/>
          <w:tab w:val="num" w:pos="2069"/>
        </w:tabs>
        <w:spacing w:after="0" w:line="360" w:lineRule="auto"/>
        <w:ind w:left="851" w:hanging="425"/>
        <w:jc w:val="both"/>
        <w:rPr>
          <w:rFonts w:ascii="Times New Roman" w:eastAsia="Times New Roman" w:hAnsi="Times New Roman" w:cs="Times New Roman"/>
          <w:bCs/>
          <w:color w:val="000000" w:themeColor="text1"/>
        </w:rPr>
      </w:pPr>
      <w:r w:rsidRPr="0083745E">
        <w:rPr>
          <w:rFonts w:ascii="Times New Roman" w:hAnsi="Times New Roman" w:cs="Times New Roman"/>
          <w:color w:val="000000" w:themeColor="text1"/>
        </w:rPr>
        <w:t>Az ismeret átadásában alkalmazandó további sajátos módok, jellemzők: -</w:t>
      </w:r>
    </w:p>
    <w:p w:rsidR="0083745E" w:rsidRPr="0083745E" w:rsidRDefault="0083745E" w:rsidP="00980876">
      <w:pPr>
        <w:widowControl w:val="0"/>
        <w:numPr>
          <w:ilvl w:val="0"/>
          <w:numId w:val="307"/>
        </w:numPr>
        <w:tabs>
          <w:tab w:val="num" w:pos="567"/>
        </w:tabs>
        <w:spacing w:after="120" w:line="240" w:lineRule="auto"/>
        <w:ind w:left="426" w:hanging="142"/>
        <w:jc w:val="both"/>
        <w:rPr>
          <w:rFonts w:ascii="Times New Roman" w:eastAsia="Times New Roman" w:hAnsi="Times New Roman" w:cs="Times New Roman"/>
          <w:bCs/>
          <w:color w:val="000000" w:themeColor="text1"/>
        </w:rPr>
      </w:pPr>
      <w:r w:rsidRPr="0083745E">
        <w:rPr>
          <w:rFonts w:ascii="Times New Roman" w:eastAsia="Times New Roman" w:hAnsi="Times New Roman" w:cs="Times New Roman"/>
          <w:b/>
          <w:bCs/>
          <w:color w:val="000000" w:themeColor="text1"/>
        </w:rPr>
        <w:t>A tantárgy szakmai tartalma (magyarul):</w:t>
      </w:r>
      <w:r w:rsidRPr="0083745E">
        <w:rPr>
          <w:rFonts w:ascii="Times New Roman" w:eastAsia="Times New Roman" w:hAnsi="Times New Roman" w:cs="Times New Roman"/>
          <w:bCs/>
          <w:color w:val="000000" w:themeColor="text1"/>
        </w:rPr>
        <w:t xml:space="preserve"> </w:t>
      </w:r>
      <w:r w:rsidRPr="0083745E">
        <w:rPr>
          <w:rFonts w:ascii="Times New Roman" w:hAnsi="Times New Roman" w:cs="Times New Roman"/>
          <w:color w:val="000000" w:themeColor="text1"/>
        </w:rPr>
        <w:t>A katonai logisztikai alapképzésen résztvevő hallgatók átfogó módon ismerkedhetnek meg a Magyar Honvédség logisztikai támogató rendszerét meghatározó alapvető szervezetekkel és eljárásokkal.</w:t>
      </w:r>
      <w:r w:rsidRPr="0083745E">
        <w:rPr>
          <w:rFonts w:ascii="Times New Roman" w:eastAsia="Times New Roman" w:hAnsi="Times New Roman" w:cs="Times New Roman"/>
          <w:bCs/>
          <w:color w:val="000000" w:themeColor="text1"/>
        </w:rPr>
        <w:t xml:space="preserve"> </w:t>
      </w:r>
      <w:r w:rsidRPr="0083745E">
        <w:rPr>
          <w:rFonts w:ascii="Times New Roman" w:hAnsi="Times New Roman" w:cs="Times New Roman"/>
          <w:color w:val="000000" w:themeColor="text1"/>
        </w:rPr>
        <w:t>Az ismeretek elsajátítására a tematikus feldolgozásával kerül sor. A foglalkozások kiemelten kezelik a gyakorlati kapcsolódási pontokat a műveletek és az intézkedések között.</w:t>
      </w:r>
    </w:p>
    <w:p w:rsidR="0083745E" w:rsidRPr="002712A8" w:rsidRDefault="0083745E" w:rsidP="00A32D06">
      <w:pPr>
        <w:widowControl w:val="0"/>
        <w:spacing w:after="120" w:line="240" w:lineRule="auto"/>
        <w:ind w:left="425"/>
        <w:jc w:val="both"/>
        <w:rPr>
          <w:rFonts w:ascii="Times New Roman" w:hAnsi="Times New Roman" w:cs="Times New Roman"/>
          <w:color w:val="000000" w:themeColor="text1"/>
        </w:rPr>
      </w:pPr>
      <w:r w:rsidRPr="0083745E">
        <w:rPr>
          <w:rFonts w:ascii="Times New Roman" w:eastAsia="Times New Roman" w:hAnsi="Times New Roman" w:cs="Times New Roman"/>
          <w:b/>
          <w:bCs/>
          <w:color w:val="000000" w:themeColor="text1"/>
        </w:rPr>
        <w:t>A tantárgy szakmai tartalma (angolul) (</w:t>
      </w:r>
      <w:r w:rsidRPr="0083745E">
        <w:rPr>
          <w:rFonts w:ascii="Times New Roman" w:eastAsia="Times New Roman" w:hAnsi="Times New Roman" w:cs="Times New Roman"/>
          <w:b/>
          <w:bCs/>
          <w:color w:val="000000" w:themeColor="text1"/>
          <w:lang w:val="en-US"/>
        </w:rPr>
        <w:t>Course description</w:t>
      </w:r>
      <w:r w:rsidRPr="0083745E">
        <w:rPr>
          <w:rFonts w:ascii="Times New Roman" w:eastAsia="Times New Roman" w:hAnsi="Times New Roman" w:cs="Times New Roman"/>
          <w:b/>
          <w:bCs/>
          <w:color w:val="000000" w:themeColor="text1"/>
        </w:rPr>
        <w:t xml:space="preserve">): </w:t>
      </w:r>
      <w:r w:rsidRPr="002712A8">
        <w:rPr>
          <w:rFonts w:ascii="Times New Roman" w:hAnsi="Times New Roman" w:cs="Times New Roman"/>
        </w:rPr>
        <w:t xml:space="preserve">Students in the Military Logistics </w:t>
      </w:r>
      <w:r w:rsidR="00137B8A" w:rsidRPr="002712A8">
        <w:rPr>
          <w:rFonts w:ascii="Times New Roman" w:hAnsi="Times New Roman" w:cs="Times New Roman"/>
        </w:rPr>
        <w:t>BSc</w:t>
      </w:r>
      <w:r w:rsidRPr="002712A8">
        <w:rPr>
          <w:rFonts w:ascii="Times New Roman" w:hAnsi="Times New Roman" w:cs="Times New Roman"/>
        </w:rPr>
        <w:t xml:space="preserve"> Program can get acquainted with the main </w:t>
      </w:r>
      <w:r w:rsidRPr="002712A8">
        <w:rPr>
          <w:rFonts w:ascii="Times New Roman" w:hAnsi="Times New Roman" w:cs="Times New Roman"/>
          <w:color w:val="000000" w:themeColor="text1"/>
        </w:rPr>
        <w:t>organizations</w:t>
      </w:r>
      <w:r w:rsidRPr="002712A8">
        <w:rPr>
          <w:rFonts w:ascii="Times New Roman" w:hAnsi="Times New Roman" w:cs="Times New Roman"/>
        </w:rPr>
        <w:t xml:space="preserve"> and methodologies of the logistics support system of the Hungarian Defense Forces. Knowledge is acquired through the thematic processing of topics. Practical interfaces between operations and measures are given high priority in the workshops.</w:t>
      </w:r>
    </w:p>
    <w:p w:rsidR="0083745E" w:rsidRPr="0083745E" w:rsidRDefault="0083745E" w:rsidP="00980876">
      <w:pPr>
        <w:widowControl w:val="0"/>
        <w:numPr>
          <w:ilvl w:val="0"/>
          <w:numId w:val="307"/>
        </w:numPr>
        <w:tabs>
          <w:tab w:val="num" w:pos="567"/>
        </w:tabs>
        <w:spacing w:after="120" w:line="240" w:lineRule="auto"/>
        <w:ind w:left="426" w:hanging="142"/>
        <w:jc w:val="both"/>
        <w:rPr>
          <w:rFonts w:ascii="Times New Roman" w:eastAsia="Times New Roman" w:hAnsi="Times New Roman" w:cs="Times New Roman"/>
          <w:bCs/>
          <w:color w:val="000000" w:themeColor="text1"/>
        </w:rPr>
      </w:pPr>
      <w:r w:rsidRPr="0083745E">
        <w:rPr>
          <w:rFonts w:ascii="Times New Roman" w:eastAsia="Times New Roman" w:hAnsi="Times New Roman" w:cs="Times New Roman"/>
          <w:b/>
          <w:bCs/>
          <w:color w:val="000000" w:themeColor="text1"/>
        </w:rPr>
        <w:t xml:space="preserve">Elérendő kompetenciák (magyarul): </w:t>
      </w:r>
    </w:p>
    <w:p w:rsidR="0083745E" w:rsidRPr="0083745E" w:rsidRDefault="0083745E" w:rsidP="002712A8">
      <w:pPr>
        <w:spacing w:after="0" w:line="240" w:lineRule="auto"/>
        <w:ind w:left="360"/>
        <w:jc w:val="both"/>
        <w:rPr>
          <w:rFonts w:ascii="Times New Roman" w:hAnsi="Times New Roman" w:cs="Times New Roman"/>
          <w:color w:val="000000" w:themeColor="text1"/>
        </w:rPr>
      </w:pPr>
      <w:r w:rsidRPr="0083745E">
        <w:rPr>
          <w:rFonts w:ascii="Times New Roman" w:hAnsi="Times New Roman" w:cs="Times New Roman"/>
          <w:b/>
          <w:color w:val="000000" w:themeColor="text1"/>
        </w:rPr>
        <w:t>Tudás:</w:t>
      </w:r>
      <w:r w:rsidRPr="0083745E">
        <w:rPr>
          <w:rFonts w:ascii="Times New Roman" w:hAnsi="Times New Roman" w:cs="Times New Roman"/>
          <w:color w:val="000000" w:themeColor="text1"/>
        </w:rPr>
        <w:t xml:space="preserve"> </w:t>
      </w:r>
    </w:p>
    <w:p w:rsidR="0083745E" w:rsidRPr="0083745E" w:rsidRDefault="0083745E" w:rsidP="00980876">
      <w:pPr>
        <w:pStyle w:val="Listaszerbekezds"/>
        <w:numPr>
          <w:ilvl w:val="0"/>
          <w:numId w:val="308"/>
        </w:numPr>
        <w:spacing w:line="240" w:lineRule="auto"/>
        <w:jc w:val="both"/>
        <w:rPr>
          <w:rFonts w:ascii="Times New Roman" w:hAnsi="Times New Roman" w:cs="Times New Roman"/>
          <w:color w:val="000000" w:themeColor="text1"/>
          <w:lang w:val="en-GB"/>
        </w:rPr>
      </w:pPr>
      <w:r w:rsidRPr="0083745E">
        <w:rPr>
          <w:rFonts w:ascii="Times New Roman" w:hAnsi="Times New Roman" w:cs="Times New Roman"/>
          <w:color w:val="000000" w:themeColor="text1"/>
          <w:lang w:val="en-GB"/>
        </w:rPr>
        <w:t xml:space="preserve">Érti a harc- és hadműveletek és hadtörténelem elméletét, törvényszerűségeit. </w:t>
      </w:r>
    </w:p>
    <w:p w:rsidR="0083745E" w:rsidRPr="0083745E" w:rsidRDefault="0083745E" w:rsidP="00980876">
      <w:pPr>
        <w:pStyle w:val="Listaszerbekezds"/>
        <w:numPr>
          <w:ilvl w:val="0"/>
          <w:numId w:val="308"/>
        </w:numPr>
        <w:spacing w:line="240" w:lineRule="auto"/>
        <w:jc w:val="both"/>
        <w:rPr>
          <w:rFonts w:ascii="Times New Roman" w:hAnsi="Times New Roman" w:cs="Times New Roman"/>
          <w:color w:val="000000" w:themeColor="text1"/>
          <w:lang w:val="en-GB"/>
        </w:rPr>
      </w:pPr>
      <w:r w:rsidRPr="0083745E">
        <w:rPr>
          <w:rFonts w:ascii="Times New Roman" w:hAnsi="Times New Roman" w:cs="Times New Roman"/>
          <w:color w:val="000000" w:themeColor="text1"/>
          <w:lang w:val="en-GB"/>
        </w:rPr>
        <w:t xml:space="preserve">Ismeri a harc- és hadművelet logisztikai támogatásának és vezetésének elméleti és gyakorlati kérdéseit. </w:t>
      </w:r>
    </w:p>
    <w:p w:rsidR="0083745E" w:rsidRPr="0083745E" w:rsidRDefault="0083745E" w:rsidP="00980876">
      <w:pPr>
        <w:pStyle w:val="Listaszerbekezds"/>
        <w:numPr>
          <w:ilvl w:val="0"/>
          <w:numId w:val="308"/>
        </w:numPr>
        <w:spacing w:line="240" w:lineRule="auto"/>
        <w:jc w:val="both"/>
        <w:rPr>
          <w:rFonts w:ascii="Times New Roman" w:hAnsi="Times New Roman" w:cs="Times New Roman"/>
          <w:color w:val="000000" w:themeColor="text1"/>
          <w:lang w:val="en-GB"/>
        </w:rPr>
      </w:pPr>
      <w:r w:rsidRPr="0083745E">
        <w:rPr>
          <w:rFonts w:ascii="Times New Roman" w:hAnsi="Times New Roman" w:cs="Times New Roman"/>
          <w:color w:val="000000" w:themeColor="text1"/>
          <w:lang w:val="en-GB"/>
        </w:rPr>
        <w:t xml:space="preserve">Ismeri a kutatáshoz vagy tudományos munkához szükséges, széles körben alkalmazható problémamegoldó technikákat. </w:t>
      </w:r>
    </w:p>
    <w:p w:rsidR="0083745E" w:rsidRPr="0083745E" w:rsidRDefault="0083745E" w:rsidP="00980876">
      <w:pPr>
        <w:pStyle w:val="Listaszerbekezds"/>
        <w:numPr>
          <w:ilvl w:val="0"/>
          <w:numId w:val="308"/>
        </w:numPr>
        <w:spacing w:line="240" w:lineRule="auto"/>
        <w:jc w:val="both"/>
        <w:rPr>
          <w:rFonts w:ascii="Times New Roman" w:hAnsi="Times New Roman" w:cs="Times New Roman"/>
          <w:color w:val="000000" w:themeColor="text1"/>
          <w:lang w:val="en-GB"/>
        </w:rPr>
      </w:pPr>
      <w:r w:rsidRPr="0083745E">
        <w:rPr>
          <w:rFonts w:ascii="Times New Roman" w:hAnsi="Times New Roman" w:cs="Times New Roman"/>
          <w:color w:val="000000" w:themeColor="text1"/>
          <w:lang w:val="en-GB"/>
        </w:rPr>
        <w:t xml:space="preserve">Ismeri a globális társadalmi és gazdasági folyamatokat. </w:t>
      </w:r>
    </w:p>
    <w:p w:rsidR="0083745E" w:rsidRPr="0083745E" w:rsidRDefault="0083745E" w:rsidP="00980876">
      <w:pPr>
        <w:pStyle w:val="Listaszerbekezds"/>
        <w:numPr>
          <w:ilvl w:val="0"/>
          <w:numId w:val="308"/>
        </w:numPr>
        <w:spacing w:line="240" w:lineRule="auto"/>
        <w:jc w:val="both"/>
        <w:rPr>
          <w:rFonts w:ascii="Times New Roman" w:hAnsi="Times New Roman" w:cs="Times New Roman"/>
          <w:color w:val="000000" w:themeColor="text1"/>
          <w:lang w:val="en-GB"/>
        </w:rPr>
      </w:pPr>
      <w:r w:rsidRPr="0083745E">
        <w:rPr>
          <w:rFonts w:ascii="Times New Roman" w:hAnsi="Times New Roman" w:cs="Times New Roman"/>
          <w:color w:val="000000" w:themeColor="text1"/>
          <w:lang w:val="en-GB"/>
        </w:rPr>
        <w:t xml:space="preserve">Ismeri a logisztikai támogatási rendszer tartalmát, rendszerének elemeit és azok rendeltetését. </w:t>
      </w:r>
    </w:p>
    <w:p w:rsidR="0083745E" w:rsidRPr="0083745E" w:rsidRDefault="0083745E" w:rsidP="00980876">
      <w:pPr>
        <w:pStyle w:val="Listaszerbekezds"/>
        <w:numPr>
          <w:ilvl w:val="0"/>
          <w:numId w:val="308"/>
        </w:numPr>
        <w:spacing w:line="240" w:lineRule="auto"/>
        <w:jc w:val="both"/>
        <w:rPr>
          <w:rFonts w:ascii="Times New Roman" w:hAnsi="Times New Roman" w:cs="Times New Roman"/>
          <w:color w:val="000000" w:themeColor="text1"/>
          <w:lang w:val="en-GB"/>
        </w:rPr>
      </w:pPr>
      <w:r w:rsidRPr="0083745E">
        <w:rPr>
          <w:rFonts w:ascii="Times New Roman" w:hAnsi="Times New Roman" w:cs="Times New Roman"/>
          <w:color w:val="000000" w:themeColor="text1"/>
          <w:lang w:val="en-GB"/>
        </w:rPr>
        <w:t xml:space="preserve">Ismeri a hazai és külföldi civil és katonai logisztikai rendszerek elemzésének, irányításának, ellenőrzésének és működtetésének módszereit.  </w:t>
      </w:r>
    </w:p>
    <w:p w:rsidR="0083745E" w:rsidRPr="0083745E" w:rsidRDefault="0083745E" w:rsidP="002712A8">
      <w:pPr>
        <w:spacing w:after="0" w:line="240" w:lineRule="auto"/>
        <w:ind w:left="360"/>
        <w:jc w:val="both"/>
        <w:rPr>
          <w:rFonts w:ascii="Times New Roman" w:hAnsi="Times New Roman" w:cs="Times New Roman"/>
          <w:color w:val="000000" w:themeColor="text1"/>
        </w:rPr>
      </w:pPr>
      <w:r w:rsidRPr="0083745E">
        <w:rPr>
          <w:rFonts w:ascii="Times New Roman" w:hAnsi="Times New Roman" w:cs="Times New Roman"/>
          <w:b/>
          <w:color w:val="000000" w:themeColor="text1"/>
        </w:rPr>
        <w:lastRenderedPageBreak/>
        <w:t>Képesség:</w:t>
      </w:r>
      <w:r w:rsidRPr="0083745E">
        <w:rPr>
          <w:rFonts w:ascii="Times New Roman" w:hAnsi="Times New Roman" w:cs="Times New Roman"/>
          <w:color w:val="000000" w:themeColor="text1"/>
        </w:rPr>
        <w:t xml:space="preserve"> </w:t>
      </w:r>
    </w:p>
    <w:p w:rsidR="0083745E" w:rsidRPr="0083745E" w:rsidRDefault="0083745E" w:rsidP="00980876">
      <w:pPr>
        <w:pStyle w:val="Listaszerbekezds"/>
        <w:numPr>
          <w:ilvl w:val="0"/>
          <w:numId w:val="308"/>
        </w:numPr>
        <w:spacing w:line="240" w:lineRule="auto"/>
        <w:jc w:val="both"/>
        <w:rPr>
          <w:rFonts w:ascii="Times New Roman" w:hAnsi="Times New Roman" w:cs="Times New Roman"/>
          <w:color w:val="000000" w:themeColor="text1"/>
          <w:lang w:val="en-GB"/>
        </w:rPr>
      </w:pPr>
      <w:r w:rsidRPr="0083745E">
        <w:rPr>
          <w:rFonts w:ascii="Times New Roman" w:hAnsi="Times New Roman" w:cs="Times New Roman"/>
          <w:color w:val="000000" w:themeColor="text1"/>
          <w:lang w:val="en-GB"/>
        </w:rPr>
        <w:t>Képes a haderőfejlesztés haderőnemi koncepciói által meghatározott képességkövetelményekhez igazodva a szakirányú technikai és strukturális biztosítási-támogatási rendszer tervezési, szervezési és végrehajtási feladataiban a vonatkozó mértékben és szinteken részt venni</w:t>
      </w:r>
    </w:p>
    <w:p w:rsidR="0083745E" w:rsidRPr="0083745E" w:rsidRDefault="0083745E" w:rsidP="002712A8">
      <w:pPr>
        <w:spacing w:after="0" w:line="240" w:lineRule="auto"/>
        <w:ind w:left="360"/>
        <w:jc w:val="both"/>
        <w:rPr>
          <w:rFonts w:ascii="Times New Roman" w:hAnsi="Times New Roman" w:cs="Times New Roman"/>
          <w:color w:val="000000" w:themeColor="text1"/>
        </w:rPr>
      </w:pPr>
      <w:r w:rsidRPr="0083745E">
        <w:rPr>
          <w:rFonts w:ascii="Times New Roman" w:hAnsi="Times New Roman" w:cs="Times New Roman"/>
          <w:b/>
          <w:color w:val="000000" w:themeColor="text1"/>
        </w:rPr>
        <w:t>Attitűd:</w:t>
      </w:r>
      <w:r w:rsidRPr="0083745E">
        <w:rPr>
          <w:rFonts w:ascii="Times New Roman" w:hAnsi="Times New Roman" w:cs="Times New Roman"/>
          <w:color w:val="000000" w:themeColor="text1"/>
        </w:rPr>
        <w:t xml:space="preserve"> </w:t>
      </w:r>
    </w:p>
    <w:p w:rsidR="0083745E" w:rsidRPr="0083745E" w:rsidRDefault="0083745E" w:rsidP="00980876">
      <w:pPr>
        <w:pStyle w:val="Listaszerbekezds"/>
        <w:numPr>
          <w:ilvl w:val="0"/>
          <w:numId w:val="308"/>
        </w:numPr>
        <w:spacing w:line="240" w:lineRule="auto"/>
        <w:jc w:val="both"/>
        <w:rPr>
          <w:rFonts w:ascii="Times New Roman" w:hAnsi="Times New Roman" w:cs="Times New Roman"/>
          <w:color w:val="000000" w:themeColor="text1"/>
          <w:lang w:val="en-GB"/>
        </w:rPr>
      </w:pPr>
      <w:r w:rsidRPr="0083745E">
        <w:rPr>
          <w:rFonts w:ascii="Times New Roman" w:hAnsi="Times New Roman" w:cs="Times New Roman"/>
          <w:color w:val="000000" w:themeColor="text1"/>
          <w:lang w:val="en-GB"/>
        </w:rPr>
        <w:t xml:space="preserve">Elkötelezett abban, hogy felkészülten, ismereteit folyamatosan fejlesztve átültesse a gyakorlatba az országvédelem stratégiai céljait, és a szövetségi rendszer érdekeinek megfelelően alakítsa a saját kompetenciájába tartozó folyamatokat. </w:t>
      </w:r>
    </w:p>
    <w:p w:rsidR="0083745E" w:rsidRPr="0083745E" w:rsidRDefault="0083745E" w:rsidP="00980876">
      <w:pPr>
        <w:pStyle w:val="Listaszerbekezds"/>
        <w:numPr>
          <w:ilvl w:val="0"/>
          <w:numId w:val="308"/>
        </w:numPr>
        <w:spacing w:line="240" w:lineRule="auto"/>
        <w:jc w:val="both"/>
        <w:rPr>
          <w:rFonts w:ascii="Times New Roman" w:hAnsi="Times New Roman" w:cs="Times New Roman"/>
          <w:color w:val="000000" w:themeColor="text1"/>
          <w:lang w:val="en-GB"/>
        </w:rPr>
      </w:pPr>
      <w:r w:rsidRPr="0083745E">
        <w:rPr>
          <w:rFonts w:ascii="Times New Roman" w:hAnsi="Times New Roman" w:cs="Times New Roman"/>
          <w:color w:val="000000" w:themeColor="text1"/>
          <w:lang w:val="en-GB"/>
        </w:rPr>
        <w:t>Elkötelezett az elvek és irányelvek középszintű megfogalmazásában, a harcászati-hadműveleti gondolkodás gyakorlatba ültetésében.</w:t>
      </w:r>
    </w:p>
    <w:p w:rsidR="0083745E" w:rsidRPr="0083745E" w:rsidRDefault="0083745E" w:rsidP="002712A8">
      <w:pPr>
        <w:spacing w:after="0" w:line="240" w:lineRule="auto"/>
        <w:ind w:left="360"/>
        <w:jc w:val="both"/>
        <w:rPr>
          <w:rFonts w:ascii="Times New Roman" w:hAnsi="Times New Roman" w:cs="Times New Roman"/>
          <w:color w:val="000000" w:themeColor="text1"/>
        </w:rPr>
      </w:pPr>
      <w:r w:rsidRPr="0083745E">
        <w:rPr>
          <w:rFonts w:ascii="Times New Roman" w:hAnsi="Times New Roman" w:cs="Times New Roman"/>
          <w:b/>
          <w:color w:val="000000" w:themeColor="text1"/>
        </w:rPr>
        <w:t>Autonómia és felelősség:</w:t>
      </w:r>
      <w:r w:rsidRPr="0083745E">
        <w:rPr>
          <w:rFonts w:ascii="Times New Roman" w:hAnsi="Times New Roman" w:cs="Times New Roman"/>
          <w:color w:val="000000" w:themeColor="text1"/>
        </w:rPr>
        <w:t xml:space="preserve"> </w:t>
      </w:r>
    </w:p>
    <w:p w:rsidR="0083745E" w:rsidRPr="0083745E" w:rsidRDefault="0083745E" w:rsidP="00980876">
      <w:pPr>
        <w:pStyle w:val="Listaszerbekezds"/>
        <w:numPr>
          <w:ilvl w:val="0"/>
          <w:numId w:val="308"/>
        </w:numPr>
        <w:spacing w:line="240" w:lineRule="auto"/>
        <w:jc w:val="both"/>
        <w:rPr>
          <w:rFonts w:ascii="Times New Roman" w:hAnsi="Times New Roman" w:cs="Times New Roman"/>
          <w:color w:val="000000" w:themeColor="text1"/>
          <w:lang w:val="en-GB"/>
        </w:rPr>
      </w:pPr>
      <w:r w:rsidRPr="0083745E">
        <w:rPr>
          <w:rFonts w:ascii="Times New Roman" w:hAnsi="Times New Roman" w:cs="Times New Roman"/>
          <w:color w:val="000000" w:themeColor="text1"/>
          <w:lang w:val="en-GB"/>
        </w:rPr>
        <w:t>Elsajátított ismeretei és megszerzett készségei alapján szakmailag megfelelő módon értelmezi és alkalmazza a jogszabályokat és az intézkedéseket. Saját szervezete életének, szervezeti kultúrájának javítása érdekében alkalmazza a megszerzett ismereteket.</w:t>
      </w:r>
    </w:p>
    <w:p w:rsidR="0083745E" w:rsidRPr="0083745E" w:rsidRDefault="0083745E" w:rsidP="00A32D06">
      <w:pPr>
        <w:widowControl w:val="0"/>
        <w:spacing w:after="120" w:line="240" w:lineRule="auto"/>
        <w:ind w:left="425"/>
        <w:jc w:val="both"/>
        <w:rPr>
          <w:rFonts w:ascii="Times New Roman" w:eastAsia="Times New Roman" w:hAnsi="Times New Roman" w:cs="Times New Roman"/>
          <w:b/>
          <w:bCs/>
          <w:color w:val="000000" w:themeColor="text1"/>
          <w:lang w:val="en-US"/>
        </w:rPr>
      </w:pPr>
      <w:r w:rsidRPr="0083745E">
        <w:rPr>
          <w:rFonts w:ascii="Times New Roman" w:eastAsia="Times New Roman" w:hAnsi="Times New Roman" w:cs="Times New Roman"/>
          <w:b/>
          <w:bCs/>
          <w:color w:val="000000" w:themeColor="text1"/>
        </w:rPr>
        <w:t>Elérendő kompetenciák (angolul) (</w:t>
      </w:r>
      <w:r w:rsidRPr="0083745E">
        <w:rPr>
          <w:rFonts w:ascii="Times New Roman" w:eastAsia="Times New Roman" w:hAnsi="Times New Roman" w:cs="Times New Roman"/>
          <w:b/>
          <w:bCs/>
          <w:color w:val="000000" w:themeColor="text1"/>
          <w:lang w:val="en-US"/>
        </w:rPr>
        <w:t xml:space="preserve">Competences – English): </w:t>
      </w:r>
    </w:p>
    <w:p w:rsidR="0083745E" w:rsidRPr="00A32D06" w:rsidRDefault="0083745E" w:rsidP="00A32D06">
      <w:pPr>
        <w:spacing w:after="0" w:line="240" w:lineRule="auto"/>
        <w:ind w:left="360"/>
        <w:jc w:val="both"/>
        <w:rPr>
          <w:rFonts w:ascii="Times New Roman" w:hAnsi="Times New Roman" w:cs="Times New Roman"/>
          <w:b/>
          <w:color w:val="000000" w:themeColor="text1"/>
        </w:rPr>
      </w:pPr>
      <w:r w:rsidRPr="0083745E">
        <w:rPr>
          <w:rFonts w:ascii="Times New Roman" w:hAnsi="Times New Roman" w:cs="Times New Roman"/>
          <w:b/>
          <w:color w:val="000000" w:themeColor="text1"/>
        </w:rPr>
        <w:t>Knowledge:</w:t>
      </w:r>
      <w:r w:rsidRPr="00A32D06">
        <w:rPr>
          <w:rFonts w:ascii="Times New Roman" w:hAnsi="Times New Roman" w:cs="Times New Roman"/>
          <w:b/>
          <w:color w:val="000000" w:themeColor="text1"/>
        </w:rPr>
        <w:t xml:space="preserve"> </w:t>
      </w:r>
    </w:p>
    <w:p w:rsidR="0083745E" w:rsidRPr="0083745E" w:rsidRDefault="0083745E" w:rsidP="00980876">
      <w:pPr>
        <w:pStyle w:val="Listaszerbekezds"/>
        <w:numPr>
          <w:ilvl w:val="0"/>
          <w:numId w:val="308"/>
        </w:numPr>
        <w:spacing w:line="240" w:lineRule="auto"/>
        <w:jc w:val="both"/>
        <w:rPr>
          <w:rFonts w:ascii="Times New Roman" w:hAnsi="Times New Roman" w:cs="Times New Roman"/>
          <w:color w:val="000000" w:themeColor="text1"/>
          <w:lang w:val="en-GB"/>
        </w:rPr>
      </w:pPr>
      <w:r w:rsidRPr="0083745E">
        <w:rPr>
          <w:rFonts w:ascii="Times New Roman" w:hAnsi="Times New Roman" w:cs="Times New Roman"/>
          <w:color w:val="000000" w:themeColor="text1"/>
          <w:lang w:val="en-GB"/>
        </w:rPr>
        <w:t>Knows the basic procedures and features of the battle carried out by combined arms, the combat service (CS) and combat service support (CSS) tasks, the battle procedures and organizational structures of the military services, branches and specific units.</w:t>
      </w:r>
    </w:p>
    <w:p w:rsidR="0083745E" w:rsidRPr="0083745E" w:rsidRDefault="0083745E" w:rsidP="00980876">
      <w:pPr>
        <w:pStyle w:val="Listaszerbekezds"/>
        <w:numPr>
          <w:ilvl w:val="0"/>
          <w:numId w:val="308"/>
        </w:numPr>
        <w:spacing w:line="240" w:lineRule="auto"/>
        <w:jc w:val="both"/>
        <w:rPr>
          <w:rFonts w:ascii="Times New Roman" w:hAnsi="Times New Roman" w:cs="Times New Roman"/>
          <w:color w:val="000000" w:themeColor="text1"/>
          <w:lang w:val="en-GB"/>
        </w:rPr>
      </w:pPr>
      <w:r w:rsidRPr="0083745E">
        <w:rPr>
          <w:rFonts w:ascii="Times New Roman" w:hAnsi="Times New Roman" w:cs="Times New Roman"/>
          <w:color w:val="000000" w:themeColor="text1"/>
          <w:lang w:val="en-GB"/>
        </w:rPr>
        <w:t>Possesses the basic leadership skills and competences and the basic knowledge needed to effectively manage subordinates and also the ability to motivate them.</w:t>
      </w:r>
    </w:p>
    <w:p w:rsidR="0083745E" w:rsidRPr="0083745E" w:rsidRDefault="0083745E" w:rsidP="00980876">
      <w:pPr>
        <w:pStyle w:val="Listaszerbekezds"/>
        <w:numPr>
          <w:ilvl w:val="0"/>
          <w:numId w:val="308"/>
        </w:numPr>
        <w:spacing w:line="240" w:lineRule="auto"/>
        <w:jc w:val="both"/>
        <w:rPr>
          <w:rFonts w:ascii="Times New Roman" w:hAnsi="Times New Roman" w:cs="Times New Roman"/>
          <w:color w:val="000000" w:themeColor="text1"/>
          <w:lang w:val="en-GB"/>
        </w:rPr>
      </w:pPr>
      <w:r w:rsidRPr="0083745E">
        <w:rPr>
          <w:rFonts w:ascii="Times New Roman" w:hAnsi="Times New Roman" w:cs="Times New Roman"/>
          <w:color w:val="000000" w:themeColor="text1"/>
          <w:lang w:val="en-GB"/>
        </w:rPr>
        <w:t>Knows the basic principles and means of military communications and the rules of confidentiality and information security.</w:t>
      </w:r>
    </w:p>
    <w:p w:rsidR="0083745E" w:rsidRPr="0083745E" w:rsidRDefault="0083745E" w:rsidP="00980876">
      <w:pPr>
        <w:pStyle w:val="Listaszerbekezds"/>
        <w:numPr>
          <w:ilvl w:val="0"/>
          <w:numId w:val="308"/>
        </w:numPr>
        <w:spacing w:line="240" w:lineRule="auto"/>
        <w:jc w:val="both"/>
        <w:rPr>
          <w:rFonts w:ascii="Times New Roman" w:hAnsi="Times New Roman" w:cs="Times New Roman"/>
          <w:color w:val="000000" w:themeColor="text1"/>
          <w:lang w:val="en-GB"/>
        </w:rPr>
      </w:pPr>
      <w:r w:rsidRPr="0083745E">
        <w:rPr>
          <w:rFonts w:ascii="Times New Roman" w:hAnsi="Times New Roman" w:cs="Times New Roman"/>
          <w:color w:val="000000" w:themeColor="text1"/>
          <w:lang w:val="en-GB"/>
        </w:rPr>
        <w:t>Knows the laws of mathematics and mechanics, has basic technical knowledge.</w:t>
      </w:r>
    </w:p>
    <w:p w:rsidR="0083745E" w:rsidRPr="0083745E" w:rsidRDefault="0083745E" w:rsidP="00980876">
      <w:pPr>
        <w:pStyle w:val="Listaszerbekezds"/>
        <w:numPr>
          <w:ilvl w:val="0"/>
          <w:numId w:val="308"/>
        </w:numPr>
        <w:spacing w:line="240" w:lineRule="auto"/>
        <w:jc w:val="both"/>
        <w:rPr>
          <w:rFonts w:ascii="Times New Roman" w:hAnsi="Times New Roman" w:cs="Times New Roman"/>
          <w:color w:val="000000" w:themeColor="text1"/>
          <w:lang w:val="en-GB"/>
        </w:rPr>
      </w:pPr>
      <w:r w:rsidRPr="0083745E">
        <w:rPr>
          <w:rFonts w:ascii="Times New Roman" w:hAnsi="Times New Roman" w:cs="Times New Roman"/>
          <w:color w:val="000000" w:themeColor="text1"/>
          <w:lang w:val="en-GB"/>
        </w:rPr>
        <w:t>Knows the basics of the functioning of the economy and markets, the relationship between the national economy and national defence, the legal framework of the functioning of the defence industry.</w:t>
      </w:r>
    </w:p>
    <w:p w:rsidR="0083745E" w:rsidRPr="0083745E" w:rsidRDefault="0083745E" w:rsidP="00980876">
      <w:pPr>
        <w:pStyle w:val="Listaszerbekezds"/>
        <w:numPr>
          <w:ilvl w:val="0"/>
          <w:numId w:val="308"/>
        </w:numPr>
        <w:spacing w:line="240" w:lineRule="auto"/>
        <w:jc w:val="both"/>
        <w:rPr>
          <w:rFonts w:ascii="Times New Roman" w:hAnsi="Times New Roman" w:cs="Times New Roman"/>
          <w:color w:val="000000" w:themeColor="text1"/>
          <w:lang w:val="en-GB"/>
        </w:rPr>
      </w:pPr>
      <w:r w:rsidRPr="0083745E">
        <w:rPr>
          <w:rFonts w:ascii="Times New Roman" w:hAnsi="Times New Roman" w:cs="Times New Roman"/>
          <w:color w:val="000000" w:themeColor="text1"/>
          <w:lang w:val="en-GB"/>
        </w:rPr>
        <w:t>Has a thorough knowledge of the general logistic operations and processes.</w:t>
      </w:r>
    </w:p>
    <w:p w:rsidR="0083745E" w:rsidRPr="0083745E" w:rsidRDefault="0083745E" w:rsidP="00980876">
      <w:pPr>
        <w:pStyle w:val="Listaszerbekezds"/>
        <w:numPr>
          <w:ilvl w:val="0"/>
          <w:numId w:val="308"/>
        </w:numPr>
        <w:spacing w:line="240" w:lineRule="auto"/>
        <w:jc w:val="both"/>
        <w:rPr>
          <w:rFonts w:ascii="Times New Roman" w:hAnsi="Times New Roman" w:cs="Times New Roman"/>
          <w:color w:val="000000" w:themeColor="text1"/>
          <w:lang w:val="en-GB"/>
        </w:rPr>
      </w:pPr>
      <w:r w:rsidRPr="0083745E">
        <w:rPr>
          <w:rFonts w:ascii="Times New Roman" w:hAnsi="Times New Roman" w:cs="Times New Roman"/>
          <w:color w:val="000000" w:themeColor="text1"/>
          <w:lang w:val="en-GB"/>
        </w:rPr>
        <w:t>Has a profound knowledge of the tasks of military logistics management, its tools and information system.</w:t>
      </w:r>
    </w:p>
    <w:p w:rsidR="0083745E" w:rsidRPr="0083745E" w:rsidRDefault="0083745E" w:rsidP="00980876">
      <w:pPr>
        <w:pStyle w:val="Listaszerbekezds"/>
        <w:numPr>
          <w:ilvl w:val="0"/>
          <w:numId w:val="308"/>
        </w:numPr>
        <w:spacing w:line="240" w:lineRule="auto"/>
        <w:jc w:val="both"/>
        <w:rPr>
          <w:rFonts w:ascii="Times New Roman" w:hAnsi="Times New Roman" w:cs="Times New Roman"/>
          <w:color w:val="000000" w:themeColor="text1"/>
          <w:lang w:val="en-GB"/>
        </w:rPr>
      </w:pPr>
      <w:r w:rsidRPr="0083745E">
        <w:rPr>
          <w:rFonts w:ascii="Times New Roman" w:hAnsi="Times New Roman" w:cs="Times New Roman"/>
          <w:color w:val="000000" w:themeColor="text1"/>
          <w:lang w:val="en-GB"/>
        </w:rPr>
        <w:t>Has the appropriate professional and training-methodology skills necessary to carry out the day-to-day tasks and training of logistic subunits.</w:t>
      </w:r>
    </w:p>
    <w:p w:rsidR="0083745E" w:rsidRPr="0083745E" w:rsidRDefault="0083745E" w:rsidP="00980876">
      <w:pPr>
        <w:pStyle w:val="Listaszerbekezds"/>
        <w:numPr>
          <w:ilvl w:val="0"/>
          <w:numId w:val="308"/>
        </w:numPr>
        <w:spacing w:line="240" w:lineRule="auto"/>
        <w:jc w:val="both"/>
        <w:rPr>
          <w:rFonts w:ascii="Times New Roman" w:hAnsi="Times New Roman" w:cs="Times New Roman"/>
          <w:color w:val="000000" w:themeColor="text1"/>
          <w:lang w:val="en-GB"/>
        </w:rPr>
      </w:pPr>
      <w:r w:rsidRPr="0083745E">
        <w:rPr>
          <w:rFonts w:ascii="Times New Roman" w:hAnsi="Times New Roman" w:cs="Times New Roman"/>
          <w:color w:val="000000" w:themeColor="text1"/>
          <w:lang w:val="en-GB"/>
        </w:rPr>
        <w:t>Knows the structure of the Hungarian Defence Forces’ logistic organizations, their tasks and scope of authority, the structure and tasks of logistic units and subunits.</w:t>
      </w:r>
    </w:p>
    <w:p w:rsidR="0083745E" w:rsidRPr="0083745E" w:rsidRDefault="0083745E" w:rsidP="00980876">
      <w:pPr>
        <w:pStyle w:val="Listaszerbekezds"/>
        <w:numPr>
          <w:ilvl w:val="0"/>
          <w:numId w:val="308"/>
        </w:numPr>
        <w:spacing w:line="240" w:lineRule="auto"/>
        <w:jc w:val="both"/>
        <w:rPr>
          <w:rFonts w:ascii="Times New Roman" w:hAnsi="Times New Roman" w:cs="Times New Roman"/>
        </w:rPr>
      </w:pPr>
      <w:r w:rsidRPr="0083745E">
        <w:rPr>
          <w:rFonts w:ascii="Times New Roman" w:hAnsi="Times New Roman" w:cs="Times New Roman"/>
          <w:color w:val="000000" w:themeColor="text1"/>
          <w:lang w:val="en-GB"/>
        </w:rPr>
        <w:t>Knows the system of Peace Operations, the tasks of the Hungarian Defence Forces in peace operations and the basic peacekeeping procedures.</w:t>
      </w:r>
    </w:p>
    <w:p w:rsidR="0083745E" w:rsidRPr="00A32D06" w:rsidRDefault="0083745E" w:rsidP="00A32D06">
      <w:pPr>
        <w:spacing w:after="0" w:line="240" w:lineRule="auto"/>
        <w:ind w:left="360"/>
        <w:jc w:val="both"/>
        <w:rPr>
          <w:rFonts w:ascii="Times New Roman" w:hAnsi="Times New Roman" w:cs="Times New Roman"/>
          <w:b/>
          <w:color w:val="000000" w:themeColor="text1"/>
        </w:rPr>
      </w:pPr>
      <w:r w:rsidRPr="00A32D06">
        <w:rPr>
          <w:rFonts w:ascii="Times New Roman" w:hAnsi="Times New Roman" w:cs="Times New Roman"/>
          <w:b/>
          <w:color w:val="000000" w:themeColor="text1"/>
        </w:rPr>
        <w:t>Capabilities</w:t>
      </w:r>
    </w:p>
    <w:p w:rsidR="0083745E" w:rsidRPr="0083745E" w:rsidRDefault="0083745E" w:rsidP="00980876">
      <w:pPr>
        <w:pStyle w:val="Listaszerbekezds"/>
        <w:numPr>
          <w:ilvl w:val="0"/>
          <w:numId w:val="308"/>
        </w:numPr>
        <w:spacing w:line="240" w:lineRule="auto"/>
        <w:jc w:val="both"/>
        <w:rPr>
          <w:rFonts w:ascii="Times New Roman" w:hAnsi="Times New Roman" w:cs="Times New Roman"/>
          <w:color w:val="000000" w:themeColor="text1"/>
          <w:lang w:val="en-GB"/>
        </w:rPr>
      </w:pPr>
      <w:r w:rsidRPr="0083745E">
        <w:rPr>
          <w:rFonts w:ascii="Times New Roman" w:hAnsi="Times New Roman" w:cs="Times New Roman"/>
          <w:color w:val="000000" w:themeColor="text1"/>
          <w:lang w:val="en-GB"/>
        </w:rPr>
        <w:t>is capable of using the professional terminology both in Hungarian and foreign languages.</w:t>
      </w:r>
    </w:p>
    <w:p w:rsidR="0083745E" w:rsidRPr="0083745E" w:rsidRDefault="0083745E" w:rsidP="00980876">
      <w:pPr>
        <w:pStyle w:val="Listaszerbekezds"/>
        <w:numPr>
          <w:ilvl w:val="0"/>
          <w:numId w:val="308"/>
        </w:numPr>
        <w:spacing w:line="240" w:lineRule="auto"/>
        <w:jc w:val="both"/>
        <w:rPr>
          <w:rFonts w:ascii="Times New Roman" w:hAnsi="Times New Roman" w:cs="Times New Roman"/>
          <w:color w:val="000000" w:themeColor="text1"/>
          <w:lang w:val="en-GB"/>
        </w:rPr>
      </w:pPr>
      <w:r w:rsidRPr="0083745E">
        <w:rPr>
          <w:rFonts w:ascii="Times New Roman" w:hAnsi="Times New Roman" w:cs="Times New Roman"/>
          <w:color w:val="000000" w:themeColor="text1"/>
          <w:lang w:val="en-GB"/>
        </w:rPr>
        <w:t>is capable of interpreting and applying in practice the legal background related to his/her job and duties.</w:t>
      </w:r>
    </w:p>
    <w:p w:rsidR="0083745E" w:rsidRPr="0083745E" w:rsidRDefault="0083745E" w:rsidP="00980876">
      <w:pPr>
        <w:pStyle w:val="Listaszerbekezds"/>
        <w:numPr>
          <w:ilvl w:val="0"/>
          <w:numId w:val="308"/>
        </w:numPr>
        <w:spacing w:line="240" w:lineRule="auto"/>
        <w:jc w:val="both"/>
        <w:rPr>
          <w:rFonts w:ascii="Times New Roman" w:hAnsi="Times New Roman" w:cs="Times New Roman"/>
          <w:color w:val="000000" w:themeColor="text1"/>
          <w:lang w:val="en-GB"/>
        </w:rPr>
      </w:pPr>
      <w:r w:rsidRPr="0083745E">
        <w:rPr>
          <w:rFonts w:ascii="Times New Roman" w:hAnsi="Times New Roman" w:cs="Times New Roman"/>
          <w:color w:val="000000" w:themeColor="text1"/>
          <w:lang w:val="en-GB"/>
        </w:rPr>
        <w:t>is capable of independently preparing documents, forms, minutes, notes and memos, completing documents, organizing and technically preparing events related to his/her job.</w:t>
      </w:r>
    </w:p>
    <w:p w:rsidR="0083745E" w:rsidRPr="0083745E" w:rsidRDefault="0083745E" w:rsidP="00980876">
      <w:pPr>
        <w:pStyle w:val="Listaszerbekezds"/>
        <w:numPr>
          <w:ilvl w:val="0"/>
          <w:numId w:val="308"/>
        </w:numPr>
        <w:spacing w:line="240" w:lineRule="auto"/>
        <w:jc w:val="both"/>
        <w:rPr>
          <w:rFonts w:ascii="Times New Roman" w:hAnsi="Times New Roman" w:cs="Times New Roman"/>
          <w:color w:val="000000" w:themeColor="text1"/>
          <w:lang w:val="en-GB"/>
        </w:rPr>
      </w:pPr>
      <w:r w:rsidRPr="0083745E">
        <w:rPr>
          <w:rFonts w:ascii="Times New Roman" w:hAnsi="Times New Roman" w:cs="Times New Roman"/>
          <w:color w:val="000000" w:themeColor="text1"/>
          <w:lang w:val="en-GB"/>
        </w:rPr>
        <w:t>is capable of navigating in the field using maps, compasses and GPS devices.</w:t>
      </w:r>
    </w:p>
    <w:p w:rsidR="0083745E" w:rsidRPr="0083745E" w:rsidRDefault="0083745E" w:rsidP="00980876">
      <w:pPr>
        <w:pStyle w:val="Listaszerbekezds"/>
        <w:numPr>
          <w:ilvl w:val="0"/>
          <w:numId w:val="308"/>
        </w:numPr>
        <w:spacing w:line="240" w:lineRule="auto"/>
        <w:jc w:val="both"/>
        <w:rPr>
          <w:rFonts w:ascii="Times New Roman" w:hAnsi="Times New Roman" w:cs="Times New Roman"/>
          <w:color w:val="000000" w:themeColor="text1"/>
          <w:lang w:val="en-GB"/>
        </w:rPr>
      </w:pPr>
      <w:r w:rsidRPr="0083745E">
        <w:rPr>
          <w:rFonts w:ascii="Times New Roman" w:hAnsi="Times New Roman" w:cs="Times New Roman"/>
          <w:color w:val="000000" w:themeColor="text1"/>
          <w:lang w:val="en-GB"/>
        </w:rPr>
        <w:t>is capable of planning, organizing, managing and leading the economic activities of a military unit.</w:t>
      </w:r>
    </w:p>
    <w:p w:rsidR="0083745E" w:rsidRPr="0083745E" w:rsidRDefault="0083745E" w:rsidP="00980876">
      <w:pPr>
        <w:pStyle w:val="Listaszerbekezds"/>
        <w:numPr>
          <w:ilvl w:val="0"/>
          <w:numId w:val="308"/>
        </w:numPr>
        <w:spacing w:line="240" w:lineRule="auto"/>
        <w:jc w:val="both"/>
        <w:rPr>
          <w:rFonts w:ascii="Times New Roman" w:hAnsi="Times New Roman" w:cs="Times New Roman"/>
          <w:color w:val="000000" w:themeColor="text1"/>
          <w:lang w:val="en-GB"/>
        </w:rPr>
      </w:pPr>
      <w:r w:rsidRPr="0083745E">
        <w:rPr>
          <w:rFonts w:ascii="Times New Roman" w:hAnsi="Times New Roman" w:cs="Times New Roman"/>
          <w:color w:val="000000" w:themeColor="text1"/>
          <w:lang w:val="en-GB"/>
        </w:rPr>
        <w:t>is capable of interpreting the relationships between the logistics processes and the logistics system of the Hungarian Defence Forces and passing it on to the subordinates.</w:t>
      </w:r>
    </w:p>
    <w:p w:rsidR="0083745E" w:rsidRPr="0083745E" w:rsidRDefault="0083745E" w:rsidP="00980876">
      <w:pPr>
        <w:pStyle w:val="Listaszerbekezds"/>
        <w:numPr>
          <w:ilvl w:val="0"/>
          <w:numId w:val="308"/>
        </w:numPr>
        <w:spacing w:line="240" w:lineRule="auto"/>
        <w:jc w:val="both"/>
        <w:rPr>
          <w:rFonts w:ascii="Times New Roman" w:hAnsi="Times New Roman" w:cs="Times New Roman"/>
          <w:color w:val="000000" w:themeColor="text1"/>
          <w:lang w:val="en-GB"/>
        </w:rPr>
      </w:pPr>
      <w:r w:rsidRPr="0083745E">
        <w:rPr>
          <w:rFonts w:ascii="Times New Roman" w:hAnsi="Times New Roman" w:cs="Times New Roman"/>
          <w:color w:val="000000" w:themeColor="text1"/>
          <w:lang w:val="en-GB"/>
        </w:rPr>
        <w:t>is capable of formulating innovative ideas in his/her specialization.</w:t>
      </w:r>
    </w:p>
    <w:p w:rsidR="0083745E" w:rsidRPr="0083745E" w:rsidRDefault="0083745E" w:rsidP="00980876">
      <w:pPr>
        <w:pStyle w:val="Listaszerbekezds"/>
        <w:numPr>
          <w:ilvl w:val="0"/>
          <w:numId w:val="308"/>
        </w:numPr>
        <w:spacing w:line="240" w:lineRule="auto"/>
        <w:jc w:val="both"/>
        <w:rPr>
          <w:rFonts w:ascii="Times New Roman" w:hAnsi="Times New Roman" w:cs="Times New Roman"/>
          <w:color w:val="000000" w:themeColor="text1"/>
          <w:lang w:val="en-GB"/>
        </w:rPr>
      </w:pPr>
      <w:r w:rsidRPr="0083745E">
        <w:rPr>
          <w:rFonts w:ascii="Times New Roman" w:hAnsi="Times New Roman" w:cs="Times New Roman"/>
          <w:color w:val="000000" w:themeColor="text1"/>
          <w:lang w:val="en-GB"/>
        </w:rPr>
        <w:t>is capable of making accurate and precise logistic and economic calculations.</w:t>
      </w:r>
    </w:p>
    <w:p w:rsidR="0083745E" w:rsidRPr="0083745E" w:rsidRDefault="0083745E" w:rsidP="00980876">
      <w:pPr>
        <w:pStyle w:val="Listaszerbekezds"/>
        <w:numPr>
          <w:ilvl w:val="0"/>
          <w:numId w:val="308"/>
        </w:numPr>
        <w:spacing w:line="240" w:lineRule="auto"/>
        <w:jc w:val="both"/>
        <w:rPr>
          <w:rFonts w:ascii="Times New Roman" w:hAnsi="Times New Roman" w:cs="Times New Roman"/>
          <w:color w:val="000000" w:themeColor="text1"/>
          <w:lang w:val="en-GB"/>
        </w:rPr>
      </w:pPr>
      <w:r w:rsidRPr="0083745E">
        <w:rPr>
          <w:rFonts w:ascii="Times New Roman" w:hAnsi="Times New Roman" w:cs="Times New Roman"/>
          <w:color w:val="000000" w:themeColor="text1"/>
          <w:lang w:val="en-GB"/>
        </w:rPr>
        <w:t>is capable of using the registration and command and control information in his/her specialization.</w:t>
      </w:r>
    </w:p>
    <w:p w:rsidR="0083745E" w:rsidRPr="0083745E" w:rsidRDefault="0083745E" w:rsidP="00980876">
      <w:pPr>
        <w:pStyle w:val="Listaszerbekezds"/>
        <w:numPr>
          <w:ilvl w:val="0"/>
          <w:numId w:val="308"/>
        </w:numPr>
        <w:spacing w:line="240" w:lineRule="auto"/>
        <w:jc w:val="both"/>
        <w:rPr>
          <w:rFonts w:ascii="Times New Roman" w:hAnsi="Times New Roman" w:cs="Times New Roman"/>
          <w:color w:val="000000" w:themeColor="text1"/>
          <w:lang w:val="en-GB"/>
        </w:rPr>
      </w:pPr>
      <w:r w:rsidRPr="0083745E">
        <w:rPr>
          <w:rFonts w:ascii="Times New Roman" w:hAnsi="Times New Roman" w:cs="Times New Roman"/>
          <w:color w:val="000000" w:themeColor="text1"/>
          <w:lang w:val="en-GB"/>
        </w:rPr>
        <w:lastRenderedPageBreak/>
        <w:t>is capable of providing both military and professional leadership for his/her subordinates and effectively and efficiently organizing their work.</w:t>
      </w:r>
    </w:p>
    <w:p w:rsidR="0083745E" w:rsidRPr="0083745E" w:rsidRDefault="0083745E" w:rsidP="00980876">
      <w:pPr>
        <w:pStyle w:val="Listaszerbekezds"/>
        <w:numPr>
          <w:ilvl w:val="0"/>
          <w:numId w:val="308"/>
        </w:numPr>
        <w:spacing w:line="240" w:lineRule="auto"/>
        <w:jc w:val="both"/>
        <w:rPr>
          <w:rFonts w:ascii="Times New Roman" w:hAnsi="Times New Roman" w:cs="Times New Roman"/>
          <w:color w:val="000000" w:themeColor="text1"/>
          <w:lang w:val="en-GB"/>
        </w:rPr>
      </w:pPr>
      <w:r w:rsidRPr="0083745E">
        <w:rPr>
          <w:rFonts w:ascii="Times New Roman" w:hAnsi="Times New Roman" w:cs="Times New Roman"/>
          <w:color w:val="000000" w:themeColor="text1"/>
          <w:lang w:val="en-GB"/>
        </w:rPr>
        <w:t>is capable of meeting the physical and psychological requirements for military personnel.</w:t>
      </w:r>
    </w:p>
    <w:p w:rsidR="0083745E" w:rsidRPr="00A32D06" w:rsidRDefault="0083745E" w:rsidP="00A32D06">
      <w:pPr>
        <w:spacing w:after="0" w:line="240" w:lineRule="auto"/>
        <w:ind w:left="360"/>
        <w:jc w:val="both"/>
        <w:rPr>
          <w:rFonts w:ascii="Times New Roman" w:hAnsi="Times New Roman" w:cs="Times New Roman"/>
          <w:b/>
          <w:color w:val="000000" w:themeColor="text1"/>
        </w:rPr>
      </w:pPr>
      <w:r w:rsidRPr="00A32D06">
        <w:rPr>
          <w:rFonts w:ascii="Times New Roman" w:hAnsi="Times New Roman" w:cs="Times New Roman"/>
          <w:b/>
          <w:color w:val="000000" w:themeColor="text1"/>
        </w:rPr>
        <w:t>Attitude</w:t>
      </w:r>
    </w:p>
    <w:p w:rsidR="0083745E" w:rsidRPr="0083745E" w:rsidRDefault="0083745E" w:rsidP="00980876">
      <w:pPr>
        <w:pStyle w:val="Listaszerbekezds"/>
        <w:numPr>
          <w:ilvl w:val="0"/>
          <w:numId w:val="308"/>
        </w:numPr>
        <w:spacing w:line="240" w:lineRule="auto"/>
        <w:jc w:val="both"/>
        <w:rPr>
          <w:rFonts w:ascii="Times New Roman" w:hAnsi="Times New Roman" w:cs="Times New Roman"/>
          <w:color w:val="000000" w:themeColor="text1"/>
          <w:lang w:val="en-GB"/>
        </w:rPr>
      </w:pPr>
      <w:r w:rsidRPr="0083745E">
        <w:rPr>
          <w:rFonts w:ascii="Times New Roman" w:hAnsi="Times New Roman" w:cs="Times New Roman"/>
          <w:color w:val="000000" w:themeColor="text1"/>
          <w:lang w:val="en-GB"/>
        </w:rPr>
        <w:t>In his/her specialization he/she is open to the new achievements and innovations, strives to know, understand and apply them, and is committed to continuous self-education.</w:t>
      </w:r>
    </w:p>
    <w:p w:rsidR="0083745E" w:rsidRPr="0083745E" w:rsidRDefault="0083745E" w:rsidP="00980876">
      <w:pPr>
        <w:pStyle w:val="Listaszerbekezds"/>
        <w:numPr>
          <w:ilvl w:val="0"/>
          <w:numId w:val="308"/>
        </w:numPr>
        <w:spacing w:line="240" w:lineRule="auto"/>
        <w:jc w:val="both"/>
        <w:rPr>
          <w:rFonts w:ascii="Times New Roman" w:hAnsi="Times New Roman" w:cs="Times New Roman"/>
          <w:color w:val="000000" w:themeColor="text1"/>
          <w:lang w:val="en-GB"/>
        </w:rPr>
      </w:pPr>
      <w:r w:rsidRPr="0083745E">
        <w:rPr>
          <w:rFonts w:ascii="Times New Roman" w:hAnsi="Times New Roman" w:cs="Times New Roman"/>
          <w:color w:val="000000" w:themeColor="text1"/>
          <w:lang w:val="en-GB"/>
        </w:rPr>
        <w:t>While performing his/her duties he/she is characterized by a willingness to cooperate with his/her subordinates, and strives to involve them in decision-making processes.</w:t>
      </w:r>
    </w:p>
    <w:p w:rsidR="0083745E" w:rsidRPr="0083745E" w:rsidRDefault="0083745E" w:rsidP="00980876">
      <w:pPr>
        <w:pStyle w:val="Listaszerbekezds"/>
        <w:numPr>
          <w:ilvl w:val="0"/>
          <w:numId w:val="308"/>
        </w:numPr>
        <w:spacing w:line="240" w:lineRule="auto"/>
        <w:jc w:val="both"/>
        <w:rPr>
          <w:rFonts w:ascii="Times New Roman" w:hAnsi="Times New Roman" w:cs="Times New Roman"/>
          <w:color w:val="000000" w:themeColor="text1"/>
          <w:lang w:val="en-GB"/>
        </w:rPr>
      </w:pPr>
      <w:r w:rsidRPr="0083745E">
        <w:rPr>
          <w:rFonts w:ascii="Times New Roman" w:hAnsi="Times New Roman" w:cs="Times New Roman"/>
          <w:color w:val="000000" w:themeColor="text1"/>
          <w:lang w:val="en-GB"/>
        </w:rPr>
        <w:t>In the course of his duties he tries to demonstrate proper self-control, tolerance, empathy, a non-biased way of thinking and behaviour.</w:t>
      </w:r>
    </w:p>
    <w:p w:rsidR="0083745E" w:rsidRPr="0083745E" w:rsidRDefault="0083745E" w:rsidP="00980876">
      <w:pPr>
        <w:pStyle w:val="Listaszerbekezds"/>
        <w:numPr>
          <w:ilvl w:val="0"/>
          <w:numId w:val="308"/>
        </w:numPr>
        <w:spacing w:line="240" w:lineRule="auto"/>
        <w:jc w:val="both"/>
        <w:rPr>
          <w:rFonts w:ascii="Times New Roman" w:hAnsi="Times New Roman" w:cs="Times New Roman"/>
          <w:color w:val="000000" w:themeColor="text1"/>
          <w:lang w:val="en-GB"/>
        </w:rPr>
      </w:pPr>
      <w:r w:rsidRPr="0083745E">
        <w:rPr>
          <w:rFonts w:ascii="Times New Roman" w:hAnsi="Times New Roman" w:cs="Times New Roman"/>
          <w:color w:val="000000" w:themeColor="text1"/>
          <w:lang w:val="en-GB"/>
        </w:rPr>
        <w:t>He/She is reliable in both his/her work and human relationships.</w:t>
      </w:r>
    </w:p>
    <w:p w:rsidR="0083745E" w:rsidRPr="0083745E" w:rsidRDefault="0083745E" w:rsidP="00980876">
      <w:pPr>
        <w:pStyle w:val="Listaszerbekezds"/>
        <w:numPr>
          <w:ilvl w:val="0"/>
          <w:numId w:val="308"/>
        </w:numPr>
        <w:spacing w:line="240" w:lineRule="auto"/>
        <w:jc w:val="both"/>
        <w:rPr>
          <w:rFonts w:ascii="Times New Roman" w:hAnsi="Times New Roman" w:cs="Times New Roman"/>
          <w:color w:val="000000" w:themeColor="text1"/>
          <w:lang w:val="en-GB"/>
        </w:rPr>
      </w:pPr>
      <w:r w:rsidRPr="0083745E">
        <w:rPr>
          <w:rFonts w:ascii="Times New Roman" w:hAnsi="Times New Roman" w:cs="Times New Roman"/>
          <w:color w:val="000000" w:themeColor="text1"/>
          <w:lang w:val="en-GB"/>
        </w:rPr>
        <w:t>He/She is committed to accuracy and high quality at work.</w:t>
      </w:r>
    </w:p>
    <w:p w:rsidR="0083745E" w:rsidRPr="0083745E" w:rsidRDefault="0083745E" w:rsidP="00980876">
      <w:pPr>
        <w:pStyle w:val="Listaszerbekezds"/>
        <w:numPr>
          <w:ilvl w:val="0"/>
          <w:numId w:val="308"/>
        </w:numPr>
        <w:spacing w:line="240" w:lineRule="auto"/>
        <w:jc w:val="both"/>
        <w:rPr>
          <w:rFonts w:ascii="Times New Roman" w:hAnsi="Times New Roman" w:cs="Times New Roman"/>
          <w:color w:val="000000" w:themeColor="text1"/>
          <w:lang w:val="en-GB"/>
        </w:rPr>
      </w:pPr>
      <w:r w:rsidRPr="0083745E">
        <w:rPr>
          <w:rFonts w:ascii="Times New Roman" w:hAnsi="Times New Roman" w:cs="Times New Roman"/>
          <w:color w:val="000000" w:themeColor="text1"/>
          <w:lang w:val="en-GB"/>
        </w:rPr>
        <w:t>He/She recognizes the value of systemic activities and seeks to understand the relationships among logistics procedures.</w:t>
      </w:r>
    </w:p>
    <w:p w:rsidR="0083745E" w:rsidRPr="0083745E" w:rsidRDefault="0083745E" w:rsidP="00980876">
      <w:pPr>
        <w:pStyle w:val="Listaszerbekezds"/>
        <w:numPr>
          <w:ilvl w:val="0"/>
          <w:numId w:val="308"/>
        </w:numPr>
        <w:spacing w:line="240" w:lineRule="auto"/>
        <w:jc w:val="both"/>
        <w:rPr>
          <w:rFonts w:ascii="Times New Roman" w:hAnsi="Times New Roman" w:cs="Times New Roman"/>
          <w:color w:val="000000" w:themeColor="text1"/>
          <w:lang w:val="en-GB"/>
        </w:rPr>
      </w:pPr>
      <w:r w:rsidRPr="0083745E">
        <w:rPr>
          <w:rFonts w:ascii="Times New Roman" w:hAnsi="Times New Roman" w:cs="Times New Roman"/>
          <w:color w:val="000000" w:themeColor="text1"/>
          <w:lang w:val="en-GB"/>
        </w:rPr>
        <w:t>While carrying out his/her tasks he/she strives for cooperation.</w:t>
      </w:r>
    </w:p>
    <w:p w:rsidR="0083745E" w:rsidRPr="0083745E" w:rsidRDefault="0083745E" w:rsidP="00980876">
      <w:pPr>
        <w:pStyle w:val="Listaszerbekezds"/>
        <w:numPr>
          <w:ilvl w:val="0"/>
          <w:numId w:val="308"/>
        </w:numPr>
        <w:spacing w:line="240" w:lineRule="auto"/>
        <w:jc w:val="both"/>
        <w:rPr>
          <w:rFonts w:ascii="Times New Roman" w:hAnsi="Times New Roman" w:cs="Times New Roman"/>
          <w:color w:val="000000" w:themeColor="text1"/>
          <w:lang w:val="en-GB"/>
        </w:rPr>
      </w:pPr>
      <w:r w:rsidRPr="0083745E">
        <w:rPr>
          <w:rFonts w:ascii="Times New Roman" w:hAnsi="Times New Roman" w:cs="Times New Roman"/>
          <w:color w:val="000000" w:themeColor="text1"/>
          <w:lang w:val="en-GB"/>
        </w:rPr>
        <w:t>His/Her activities are characterized by an efficiency-oriented approach.</w:t>
      </w:r>
    </w:p>
    <w:p w:rsidR="0083745E" w:rsidRPr="0083745E" w:rsidRDefault="0083745E" w:rsidP="00980876">
      <w:pPr>
        <w:pStyle w:val="Listaszerbekezds"/>
        <w:numPr>
          <w:ilvl w:val="0"/>
          <w:numId w:val="308"/>
        </w:numPr>
        <w:spacing w:line="240" w:lineRule="auto"/>
        <w:jc w:val="both"/>
        <w:rPr>
          <w:rFonts w:ascii="Times New Roman" w:hAnsi="Times New Roman" w:cs="Times New Roman"/>
          <w:color w:val="000000" w:themeColor="text1"/>
          <w:lang w:val="en-GB"/>
        </w:rPr>
      </w:pPr>
      <w:r w:rsidRPr="0083745E">
        <w:rPr>
          <w:rFonts w:ascii="Times New Roman" w:hAnsi="Times New Roman" w:cs="Times New Roman"/>
          <w:color w:val="000000" w:themeColor="text1"/>
          <w:lang w:val="en-GB"/>
        </w:rPr>
        <w:t>He/She has good organizational skills.</w:t>
      </w:r>
    </w:p>
    <w:p w:rsidR="0083745E" w:rsidRPr="00A32D06" w:rsidRDefault="0083745E" w:rsidP="00A32D06">
      <w:pPr>
        <w:spacing w:after="0" w:line="240" w:lineRule="auto"/>
        <w:ind w:left="360"/>
        <w:jc w:val="both"/>
        <w:rPr>
          <w:rFonts w:ascii="Times New Roman" w:hAnsi="Times New Roman" w:cs="Times New Roman"/>
          <w:b/>
          <w:color w:val="000000" w:themeColor="text1"/>
        </w:rPr>
      </w:pPr>
      <w:r w:rsidRPr="00A32D06">
        <w:rPr>
          <w:rFonts w:ascii="Times New Roman" w:hAnsi="Times New Roman" w:cs="Times New Roman"/>
          <w:b/>
          <w:color w:val="000000" w:themeColor="text1"/>
        </w:rPr>
        <w:t>Autonomy and Responsibility</w:t>
      </w:r>
    </w:p>
    <w:p w:rsidR="0083745E" w:rsidRPr="0083745E" w:rsidRDefault="0083745E" w:rsidP="00980876">
      <w:pPr>
        <w:pStyle w:val="Listaszerbekezds"/>
        <w:numPr>
          <w:ilvl w:val="0"/>
          <w:numId w:val="308"/>
        </w:numPr>
        <w:spacing w:line="240" w:lineRule="auto"/>
        <w:jc w:val="both"/>
        <w:rPr>
          <w:rFonts w:ascii="Times New Roman" w:hAnsi="Times New Roman" w:cs="Times New Roman"/>
          <w:color w:val="000000" w:themeColor="text1"/>
          <w:lang w:val="en-GB"/>
        </w:rPr>
      </w:pPr>
      <w:r w:rsidRPr="0083745E">
        <w:rPr>
          <w:rFonts w:ascii="Times New Roman" w:hAnsi="Times New Roman" w:cs="Times New Roman"/>
          <w:color w:val="000000" w:themeColor="text1"/>
          <w:lang w:val="en-GB"/>
        </w:rPr>
        <w:t>He/She is able to make autonomous decisions in military logistics and military management processes at unit and subunit level, and implement them with responsibility and within the legal framework.</w:t>
      </w:r>
    </w:p>
    <w:p w:rsidR="0083745E" w:rsidRPr="0083745E" w:rsidRDefault="0083745E" w:rsidP="00980876">
      <w:pPr>
        <w:pStyle w:val="Listaszerbekezds"/>
        <w:numPr>
          <w:ilvl w:val="0"/>
          <w:numId w:val="308"/>
        </w:numPr>
        <w:spacing w:line="240" w:lineRule="auto"/>
        <w:jc w:val="both"/>
        <w:rPr>
          <w:rFonts w:ascii="Times New Roman" w:hAnsi="Times New Roman" w:cs="Times New Roman"/>
          <w:color w:val="000000" w:themeColor="text1"/>
          <w:lang w:val="en-GB"/>
        </w:rPr>
      </w:pPr>
      <w:r w:rsidRPr="0083745E">
        <w:rPr>
          <w:rFonts w:ascii="Times New Roman" w:hAnsi="Times New Roman" w:cs="Times New Roman"/>
          <w:color w:val="000000" w:themeColor="text1"/>
          <w:lang w:val="en-GB"/>
        </w:rPr>
        <w:t>He/She is aware of the impact of his/her decisions and activities on technical equipment and business discipline.</w:t>
      </w:r>
    </w:p>
    <w:p w:rsidR="0083745E" w:rsidRPr="0083745E" w:rsidRDefault="0083745E" w:rsidP="00980876">
      <w:pPr>
        <w:pStyle w:val="Listaszerbekezds"/>
        <w:numPr>
          <w:ilvl w:val="0"/>
          <w:numId w:val="308"/>
        </w:numPr>
        <w:spacing w:line="240" w:lineRule="auto"/>
        <w:jc w:val="both"/>
        <w:rPr>
          <w:rFonts w:ascii="Times New Roman" w:hAnsi="Times New Roman" w:cs="Times New Roman"/>
          <w:color w:val="000000" w:themeColor="text1"/>
          <w:lang w:val="en-GB"/>
        </w:rPr>
      </w:pPr>
      <w:r w:rsidRPr="0083745E">
        <w:rPr>
          <w:rFonts w:ascii="Times New Roman" w:hAnsi="Times New Roman" w:cs="Times New Roman"/>
          <w:color w:val="000000" w:themeColor="text1"/>
          <w:lang w:val="en-GB"/>
        </w:rPr>
        <w:t>He/She takes responsibility for the professional work of his/her subordinates.</w:t>
      </w:r>
    </w:p>
    <w:p w:rsidR="0083745E" w:rsidRPr="0083745E" w:rsidRDefault="0083745E" w:rsidP="00980876">
      <w:pPr>
        <w:widowControl w:val="0"/>
        <w:numPr>
          <w:ilvl w:val="0"/>
          <w:numId w:val="307"/>
        </w:numPr>
        <w:tabs>
          <w:tab w:val="num" w:pos="567"/>
        </w:tabs>
        <w:spacing w:after="120" w:line="240" w:lineRule="auto"/>
        <w:ind w:left="426" w:hanging="142"/>
        <w:jc w:val="both"/>
        <w:rPr>
          <w:rFonts w:ascii="Times New Roman" w:eastAsia="Times New Roman" w:hAnsi="Times New Roman" w:cs="Times New Roman"/>
          <w:bCs/>
          <w:color w:val="000000" w:themeColor="text1"/>
        </w:rPr>
      </w:pPr>
      <w:r w:rsidRPr="0083745E">
        <w:rPr>
          <w:rFonts w:ascii="Times New Roman" w:eastAsia="Times New Roman" w:hAnsi="Times New Roman" w:cs="Times New Roman"/>
          <w:b/>
          <w:bCs/>
          <w:color w:val="000000" w:themeColor="text1"/>
        </w:rPr>
        <w:t xml:space="preserve">Előtanulmányi követelmények: </w:t>
      </w:r>
      <w:r w:rsidRPr="0083745E">
        <w:rPr>
          <w:rFonts w:ascii="Times New Roman" w:eastAsia="Times New Roman" w:hAnsi="Times New Roman" w:cs="Times New Roman"/>
          <w:bCs/>
          <w:color w:val="000000" w:themeColor="text1"/>
        </w:rPr>
        <w:t>Lövészzászlóalj műveleteinek logisztikai támogatása II.</w:t>
      </w:r>
      <w:r w:rsidR="0088681A">
        <w:rPr>
          <w:rFonts w:ascii="Times New Roman" w:eastAsia="Times New Roman" w:hAnsi="Times New Roman" w:cs="Times New Roman"/>
          <w:bCs/>
          <w:color w:val="000000" w:themeColor="text1"/>
        </w:rPr>
        <w:t xml:space="preserve"> </w:t>
      </w:r>
      <w:r w:rsidR="0088681A" w:rsidRPr="0088681A">
        <w:rPr>
          <w:rFonts w:ascii="Times New Roman" w:eastAsia="Times New Roman" w:hAnsi="Times New Roman" w:cs="Times New Roman"/>
          <w:bCs/>
          <w:color w:val="000000" w:themeColor="text1"/>
        </w:rPr>
        <w:t>HKHPKA15</w:t>
      </w:r>
    </w:p>
    <w:p w:rsidR="0083745E" w:rsidRPr="0083745E" w:rsidRDefault="0083745E" w:rsidP="00980876">
      <w:pPr>
        <w:widowControl w:val="0"/>
        <w:numPr>
          <w:ilvl w:val="0"/>
          <w:numId w:val="307"/>
        </w:numPr>
        <w:tabs>
          <w:tab w:val="num" w:pos="567"/>
        </w:tabs>
        <w:spacing w:after="120" w:line="240" w:lineRule="auto"/>
        <w:ind w:left="426" w:hanging="142"/>
        <w:jc w:val="both"/>
        <w:rPr>
          <w:rFonts w:ascii="Times New Roman" w:eastAsia="Times New Roman" w:hAnsi="Times New Roman" w:cs="Times New Roman"/>
          <w:b/>
          <w:bCs/>
          <w:color w:val="000000" w:themeColor="text1"/>
        </w:rPr>
      </w:pPr>
      <w:r w:rsidRPr="0083745E">
        <w:rPr>
          <w:rFonts w:ascii="Times New Roman" w:eastAsia="Times New Roman" w:hAnsi="Times New Roman" w:cs="Times New Roman"/>
          <w:b/>
          <w:bCs/>
          <w:color w:val="000000" w:themeColor="text1"/>
        </w:rPr>
        <w:t>A tantárgy tananyagának leírása, tematika. Description of the subject, curriculum (magyarul, angolul - English):</w:t>
      </w:r>
    </w:p>
    <w:p w:rsidR="0083745E" w:rsidRPr="0083745E" w:rsidRDefault="0083745E" w:rsidP="00980876">
      <w:pPr>
        <w:pStyle w:val="Listaszerbekezds"/>
        <w:widowControl w:val="0"/>
        <w:numPr>
          <w:ilvl w:val="1"/>
          <w:numId w:val="307"/>
        </w:numPr>
        <w:tabs>
          <w:tab w:val="clear" w:pos="3977"/>
        </w:tabs>
        <w:spacing w:after="0" w:line="240" w:lineRule="auto"/>
        <w:ind w:left="993" w:hanging="573"/>
        <w:jc w:val="both"/>
        <w:rPr>
          <w:rFonts w:ascii="Times New Roman" w:eastAsia="Times New Roman" w:hAnsi="Times New Roman" w:cs="Times New Roman"/>
          <w:bCs/>
          <w:color w:val="000000" w:themeColor="text1"/>
          <w:lang w:val="en-US"/>
        </w:rPr>
      </w:pPr>
      <w:r w:rsidRPr="0083745E">
        <w:rPr>
          <w:rFonts w:ascii="Times New Roman" w:hAnsi="Times New Roman" w:cs="Times New Roman"/>
          <w:color w:val="000000" w:themeColor="text1"/>
        </w:rPr>
        <w:t>A logisztikai támogatást tervező szervezetek stratégiai, hadműveleti és harcászati szintű szervezetek.</w:t>
      </w:r>
      <w:r w:rsidRPr="0083745E">
        <w:rPr>
          <w:rFonts w:ascii="Times New Roman" w:eastAsia="Times New Roman" w:hAnsi="Times New Roman" w:cs="Times New Roman"/>
          <w:bCs/>
          <w:color w:val="000000" w:themeColor="text1"/>
          <w:lang w:val="en-US"/>
        </w:rPr>
        <w:t xml:space="preserve"> </w:t>
      </w:r>
      <w:r w:rsidRPr="0083745E">
        <w:rPr>
          <w:rFonts w:ascii="Times New Roman" w:eastAsia="Times New Roman" w:hAnsi="Times New Roman" w:cs="Times New Roman"/>
          <w:bCs/>
          <w:i/>
          <w:color w:val="000000" w:themeColor="text1"/>
          <w:lang w:val="en-US"/>
        </w:rPr>
        <w:t>(Logistic planning organizations at strategic, operational and tactical level.)</w:t>
      </w:r>
    </w:p>
    <w:p w:rsidR="0083745E" w:rsidRPr="0083745E" w:rsidRDefault="0083745E" w:rsidP="00980876">
      <w:pPr>
        <w:pStyle w:val="Listaszerbekezds"/>
        <w:widowControl w:val="0"/>
        <w:numPr>
          <w:ilvl w:val="1"/>
          <w:numId w:val="307"/>
        </w:numPr>
        <w:tabs>
          <w:tab w:val="clear" w:pos="3977"/>
        </w:tabs>
        <w:spacing w:after="0" w:line="240" w:lineRule="auto"/>
        <w:ind w:left="993" w:hanging="573"/>
        <w:jc w:val="both"/>
        <w:rPr>
          <w:rFonts w:ascii="Times New Roman" w:hAnsi="Times New Roman" w:cs="Times New Roman"/>
          <w:i/>
          <w:color w:val="000000" w:themeColor="text1"/>
        </w:rPr>
      </w:pPr>
      <w:r w:rsidRPr="0083745E">
        <w:rPr>
          <w:rFonts w:ascii="Times New Roman" w:hAnsi="Times New Roman" w:cs="Times New Roman"/>
          <w:color w:val="000000" w:themeColor="text1"/>
        </w:rPr>
        <w:t xml:space="preserve">A közlekedési szervezetek és szakcsapatok tevékenységi rendszerének kapcsolódása a műveletek döntési és irányítási folyamatához. </w:t>
      </w:r>
      <w:r w:rsidRPr="0083745E">
        <w:rPr>
          <w:rFonts w:ascii="Times New Roman" w:hAnsi="Times New Roman" w:cs="Times New Roman"/>
          <w:i/>
          <w:color w:val="000000" w:themeColor="text1"/>
        </w:rPr>
        <w:t>(</w:t>
      </w:r>
      <w:r w:rsidRPr="0083745E">
        <w:rPr>
          <w:rFonts w:ascii="Times New Roman" w:eastAsia="Times New Roman" w:hAnsi="Times New Roman" w:cs="Times New Roman"/>
          <w:bCs/>
          <w:i/>
          <w:color w:val="000000" w:themeColor="text1"/>
          <w:lang w:val="en-US"/>
        </w:rPr>
        <w:t>Subunits core activities, and operational relations</w:t>
      </w:r>
      <w:r w:rsidRPr="0083745E">
        <w:rPr>
          <w:rFonts w:ascii="Times New Roman" w:hAnsi="Times New Roman" w:cs="Times New Roman"/>
          <w:i/>
          <w:color w:val="000000" w:themeColor="text1"/>
        </w:rPr>
        <w:t>)</w:t>
      </w:r>
    </w:p>
    <w:p w:rsidR="0083745E" w:rsidRPr="0083745E" w:rsidRDefault="0083745E" w:rsidP="00980876">
      <w:pPr>
        <w:pStyle w:val="Listaszerbekezds"/>
        <w:widowControl w:val="0"/>
        <w:numPr>
          <w:ilvl w:val="1"/>
          <w:numId w:val="307"/>
        </w:numPr>
        <w:tabs>
          <w:tab w:val="clear" w:pos="3977"/>
        </w:tabs>
        <w:spacing w:after="0" w:line="240" w:lineRule="auto"/>
        <w:ind w:left="993" w:hanging="573"/>
        <w:jc w:val="both"/>
        <w:rPr>
          <w:rFonts w:ascii="Times New Roman" w:eastAsia="Times New Roman" w:hAnsi="Times New Roman" w:cs="Times New Roman"/>
          <w:bCs/>
          <w:i/>
          <w:color w:val="000000" w:themeColor="text1"/>
          <w:lang w:val="en-US"/>
        </w:rPr>
      </w:pPr>
      <w:r w:rsidRPr="0083745E">
        <w:rPr>
          <w:rFonts w:ascii="Times New Roman" w:hAnsi="Times New Roman" w:cs="Times New Roman"/>
          <w:color w:val="000000" w:themeColor="text1"/>
        </w:rPr>
        <w:t xml:space="preserve">A logisztikai támogatás okmányai, azok folyamatos vezetési, kezelési követelményei a műveletek tervezése és végrehajtása során. </w:t>
      </w:r>
      <w:r w:rsidRPr="0083745E">
        <w:rPr>
          <w:rFonts w:ascii="Times New Roman" w:eastAsia="Times New Roman" w:hAnsi="Times New Roman" w:cs="Times New Roman"/>
          <w:bCs/>
          <w:i/>
          <w:color w:val="000000" w:themeColor="text1"/>
          <w:lang w:val="en-US"/>
        </w:rPr>
        <w:t>(Transportation peculiar documents in the operational planning activities.)</w:t>
      </w:r>
    </w:p>
    <w:p w:rsidR="0083745E" w:rsidRPr="0083745E" w:rsidRDefault="0083745E" w:rsidP="00980876">
      <w:pPr>
        <w:pStyle w:val="Listaszerbekezds"/>
        <w:widowControl w:val="0"/>
        <w:numPr>
          <w:ilvl w:val="1"/>
          <w:numId w:val="307"/>
        </w:numPr>
        <w:tabs>
          <w:tab w:val="clear" w:pos="3977"/>
        </w:tabs>
        <w:spacing w:after="0" w:line="240" w:lineRule="auto"/>
        <w:ind w:left="993" w:hanging="573"/>
        <w:jc w:val="both"/>
        <w:rPr>
          <w:rFonts w:ascii="Times New Roman" w:hAnsi="Times New Roman" w:cs="Times New Roman"/>
          <w:color w:val="000000" w:themeColor="text1"/>
        </w:rPr>
      </w:pPr>
      <w:r w:rsidRPr="0083745E">
        <w:rPr>
          <w:rFonts w:ascii="Times New Roman" w:hAnsi="Times New Roman" w:cs="Times New Roman"/>
          <w:color w:val="000000" w:themeColor="text1"/>
        </w:rPr>
        <w:t>A zászlóalj nyugvásának, menetének, támadó és védelmi harcának logisztikai támogatása. (</w:t>
      </w:r>
      <w:r w:rsidRPr="0083745E">
        <w:rPr>
          <w:rFonts w:ascii="Times New Roman" w:eastAsia="Times New Roman" w:hAnsi="Times New Roman" w:cs="Times New Roman"/>
          <w:bCs/>
          <w:i/>
          <w:color w:val="000000" w:themeColor="text1"/>
          <w:lang w:val="en-US"/>
        </w:rPr>
        <w:t>Logistical support of tactical level-subunit activities in operations.)</w:t>
      </w:r>
    </w:p>
    <w:p w:rsidR="0083745E" w:rsidRPr="0083745E" w:rsidRDefault="0083745E" w:rsidP="00980876">
      <w:pPr>
        <w:pStyle w:val="Listaszerbekezds"/>
        <w:widowControl w:val="0"/>
        <w:numPr>
          <w:ilvl w:val="1"/>
          <w:numId w:val="307"/>
        </w:numPr>
        <w:tabs>
          <w:tab w:val="clear" w:pos="3977"/>
        </w:tabs>
        <w:spacing w:after="0" w:line="240" w:lineRule="auto"/>
        <w:ind w:left="993" w:hanging="573"/>
        <w:jc w:val="both"/>
        <w:rPr>
          <w:rFonts w:ascii="Times New Roman" w:hAnsi="Times New Roman" w:cs="Times New Roman"/>
          <w:bCs/>
          <w:color w:val="000000" w:themeColor="text1"/>
        </w:rPr>
      </w:pPr>
      <w:r w:rsidRPr="0083745E">
        <w:rPr>
          <w:rFonts w:ascii="Times New Roman" w:hAnsi="Times New Roman" w:cs="Times New Roman"/>
          <w:color w:val="000000" w:themeColor="text1"/>
        </w:rPr>
        <w:t>A logisztikai alegységek alkalmazásának lehetőségei, körülményei a különböző műveletek során.</w:t>
      </w:r>
      <w:r w:rsidRPr="0083745E">
        <w:rPr>
          <w:rFonts w:ascii="Times New Roman" w:eastAsia="Times New Roman" w:hAnsi="Times New Roman" w:cs="Times New Roman"/>
          <w:bCs/>
          <w:color w:val="000000" w:themeColor="text1"/>
          <w:lang w:val="en-US"/>
        </w:rPr>
        <w:t xml:space="preserve"> </w:t>
      </w:r>
      <w:r w:rsidRPr="0083745E">
        <w:rPr>
          <w:rFonts w:ascii="Times New Roman" w:eastAsia="Times New Roman" w:hAnsi="Times New Roman" w:cs="Times New Roman"/>
          <w:bCs/>
          <w:i/>
          <w:color w:val="000000" w:themeColor="text1"/>
          <w:lang w:val="en-US"/>
        </w:rPr>
        <w:t>(Logistical support of tactical level-subunit activities in low profile operations.)</w:t>
      </w:r>
    </w:p>
    <w:p w:rsidR="0083745E" w:rsidRPr="00565EDF" w:rsidRDefault="0083745E" w:rsidP="00980876">
      <w:pPr>
        <w:pStyle w:val="Listaszerbekezds"/>
        <w:widowControl w:val="0"/>
        <w:numPr>
          <w:ilvl w:val="1"/>
          <w:numId w:val="307"/>
        </w:numPr>
        <w:tabs>
          <w:tab w:val="clear" w:pos="3977"/>
        </w:tabs>
        <w:spacing w:after="120" w:line="240" w:lineRule="auto"/>
        <w:ind w:left="993" w:hanging="573"/>
        <w:jc w:val="both"/>
        <w:rPr>
          <w:rStyle w:val="tlid-translation"/>
          <w:rFonts w:ascii="Times New Roman" w:hAnsi="Times New Roman" w:cs="Times New Roman"/>
          <w:i/>
        </w:rPr>
      </w:pPr>
      <w:r w:rsidRPr="0083745E">
        <w:rPr>
          <w:rFonts w:ascii="Times New Roman" w:hAnsi="Times New Roman" w:cs="Times New Roman"/>
          <w:color w:val="000000" w:themeColor="text1"/>
        </w:rPr>
        <w:t>Zárthelyi</w:t>
      </w:r>
      <w:r w:rsidRPr="00565EDF">
        <w:rPr>
          <w:rFonts w:ascii="Times New Roman" w:hAnsi="Times New Roman" w:cs="Times New Roman"/>
        </w:rPr>
        <w:t xml:space="preserve"> dolgozat.</w:t>
      </w:r>
      <w:r w:rsidRPr="00565EDF">
        <w:rPr>
          <w:rStyle w:val="tlid-translation"/>
          <w:rFonts w:ascii="Times New Roman" w:hAnsi="Times New Roman" w:cs="Times New Roman"/>
          <w:lang w:val="en"/>
        </w:rPr>
        <w:t xml:space="preserve"> </w:t>
      </w:r>
      <w:r w:rsidRPr="00565EDF">
        <w:rPr>
          <w:rStyle w:val="tlid-translation"/>
          <w:rFonts w:ascii="Times New Roman" w:hAnsi="Times New Roman" w:cs="Times New Roman"/>
          <w:i/>
          <w:lang w:val="en"/>
        </w:rPr>
        <w:t>(Closed thesis.)</w:t>
      </w:r>
    </w:p>
    <w:p w:rsidR="0083745E" w:rsidRPr="0083745E" w:rsidRDefault="0083745E" w:rsidP="00980876">
      <w:pPr>
        <w:widowControl w:val="0"/>
        <w:numPr>
          <w:ilvl w:val="0"/>
          <w:numId w:val="307"/>
        </w:numPr>
        <w:tabs>
          <w:tab w:val="num" w:pos="567"/>
        </w:tabs>
        <w:spacing w:after="120" w:line="240" w:lineRule="auto"/>
        <w:ind w:left="426" w:hanging="142"/>
        <w:jc w:val="both"/>
        <w:rPr>
          <w:rFonts w:ascii="Times New Roman" w:eastAsia="Times New Roman" w:hAnsi="Times New Roman" w:cs="Times New Roman"/>
          <w:bCs/>
          <w:color w:val="000000" w:themeColor="text1"/>
        </w:rPr>
      </w:pPr>
      <w:r w:rsidRPr="0083745E">
        <w:rPr>
          <w:rFonts w:ascii="Times New Roman" w:eastAsia="Times New Roman" w:hAnsi="Times New Roman" w:cs="Times New Roman"/>
          <w:b/>
          <w:bCs/>
          <w:color w:val="000000" w:themeColor="text1"/>
        </w:rPr>
        <w:t xml:space="preserve">A tantárgy meghirdetésének gyakorisága/a tantervben történő félévi elhelyezkedése: </w:t>
      </w:r>
      <w:r w:rsidRPr="0083745E">
        <w:rPr>
          <w:rFonts w:ascii="Times New Roman" w:eastAsia="Times New Roman" w:hAnsi="Times New Roman" w:cs="Times New Roman"/>
          <w:bCs/>
          <w:color w:val="000000" w:themeColor="text1"/>
        </w:rPr>
        <w:t>1 félév</w:t>
      </w:r>
    </w:p>
    <w:p w:rsidR="0083745E" w:rsidRPr="0083745E" w:rsidRDefault="0083745E" w:rsidP="00980876">
      <w:pPr>
        <w:widowControl w:val="0"/>
        <w:numPr>
          <w:ilvl w:val="0"/>
          <w:numId w:val="307"/>
        </w:numPr>
        <w:tabs>
          <w:tab w:val="num" w:pos="567"/>
        </w:tabs>
        <w:spacing w:after="120" w:line="240" w:lineRule="auto"/>
        <w:ind w:left="426" w:hanging="142"/>
        <w:jc w:val="both"/>
        <w:rPr>
          <w:rFonts w:ascii="Times New Roman" w:eastAsia="Times New Roman" w:hAnsi="Times New Roman" w:cs="Times New Roman"/>
          <w:bCs/>
          <w:color w:val="000000" w:themeColor="text1"/>
        </w:rPr>
      </w:pPr>
      <w:r w:rsidRPr="0083745E">
        <w:rPr>
          <w:rFonts w:ascii="Times New Roman" w:eastAsia="Times New Roman" w:hAnsi="Times New Roman" w:cs="Times New Roman"/>
          <w:b/>
          <w:bCs/>
          <w:color w:val="000000" w:themeColor="text1"/>
        </w:rPr>
        <w:t>A tanórákon való részvétel követelményei, az elfogadható hiányzások mértéke, a távolmaradás pótlásának lehetősége:</w:t>
      </w:r>
      <w:r w:rsidRPr="0083745E">
        <w:rPr>
          <w:rFonts w:ascii="Times New Roman" w:eastAsia="Times New Roman" w:hAnsi="Times New Roman" w:cs="Times New Roman"/>
          <w:bCs/>
          <w:color w:val="000000" w:themeColor="text1"/>
        </w:rPr>
        <w:t xml:space="preserve"> </w:t>
      </w:r>
    </w:p>
    <w:p w:rsidR="0083745E" w:rsidRPr="0083745E" w:rsidRDefault="0083745E" w:rsidP="00A32D06">
      <w:pPr>
        <w:widowControl w:val="0"/>
        <w:spacing w:after="120" w:line="240" w:lineRule="auto"/>
        <w:ind w:left="425"/>
        <w:jc w:val="both"/>
        <w:rPr>
          <w:rFonts w:ascii="Times New Roman" w:eastAsia="Times New Roman" w:hAnsi="Times New Roman" w:cs="Times New Roman"/>
          <w:bCs/>
          <w:color w:val="000000" w:themeColor="text1"/>
        </w:rPr>
      </w:pPr>
      <w:r w:rsidRPr="0083745E">
        <w:rPr>
          <w:rFonts w:ascii="Times New Roman" w:hAnsi="Times New Roman" w:cs="Times New Roman"/>
          <w:color w:val="000000" w:themeColor="text1"/>
        </w:rPr>
        <w:t xml:space="preserve">A tantárgy elfogadásához a tanórák legalább 70 %-án jelen kell lennie a hallgatónak. </w:t>
      </w:r>
      <w:r w:rsidRPr="0083745E">
        <w:rPr>
          <w:rFonts w:ascii="Times New Roman" w:eastAsia="Times New Roman" w:hAnsi="Times New Roman" w:cs="Times New Roman"/>
          <w:bCs/>
          <w:color w:val="000000" w:themeColor="text1"/>
        </w:rPr>
        <w:t xml:space="preserve">Amennyiben a hallgató az elfogadható hiányzások mértékét túllépi, az oktató az aláírást megtagadja. Ebben az esetben a </w:t>
      </w:r>
      <w:r w:rsidRPr="0083745E">
        <w:rPr>
          <w:rFonts w:ascii="Times New Roman" w:hAnsi="Times New Roman" w:cs="Times New Roman"/>
          <w:color w:val="000000" w:themeColor="text1"/>
        </w:rPr>
        <w:t>távollét okát a hiányzást követő első foglalkozáson igazolni kell. A hallgató köteles az előadás anyagát beszerezni, abból önállóan felkészülni, és tudásáról szóban számot adni.</w:t>
      </w:r>
    </w:p>
    <w:p w:rsidR="00A32D06" w:rsidRDefault="00A32D06">
      <w:pPr>
        <w:spacing w:after="200" w:line="276" w:lineRule="auto"/>
        <w:rPr>
          <w:rFonts w:ascii="Times New Roman" w:eastAsia="Times New Roman" w:hAnsi="Times New Roman" w:cs="Times New Roman"/>
          <w:b/>
          <w:color w:val="000000" w:themeColor="text1"/>
        </w:rPr>
      </w:pPr>
      <w:r>
        <w:rPr>
          <w:rFonts w:ascii="Times New Roman" w:eastAsia="Times New Roman" w:hAnsi="Times New Roman" w:cs="Times New Roman"/>
          <w:b/>
          <w:color w:val="000000" w:themeColor="text1"/>
        </w:rPr>
        <w:br w:type="page"/>
      </w:r>
    </w:p>
    <w:p w:rsidR="0083745E" w:rsidRPr="0083745E" w:rsidRDefault="0083745E" w:rsidP="00980876">
      <w:pPr>
        <w:widowControl w:val="0"/>
        <w:numPr>
          <w:ilvl w:val="0"/>
          <w:numId w:val="307"/>
        </w:numPr>
        <w:tabs>
          <w:tab w:val="num" w:pos="567"/>
        </w:tabs>
        <w:spacing w:after="120" w:line="240" w:lineRule="auto"/>
        <w:ind w:left="426" w:hanging="142"/>
        <w:jc w:val="both"/>
        <w:rPr>
          <w:rFonts w:ascii="Times New Roman" w:eastAsia="Times New Roman" w:hAnsi="Times New Roman" w:cs="Times New Roman"/>
          <w:bCs/>
          <w:color w:val="000000" w:themeColor="text1"/>
        </w:rPr>
      </w:pPr>
      <w:r w:rsidRPr="0083745E">
        <w:rPr>
          <w:rFonts w:ascii="Times New Roman" w:eastAsia="Times New Roman" w:hAnsi="Times New Roman" w:cs="Times New Roman"/>
          <w:b/>
          <w:color w:val="000000" w:themeColor="text1"/>
        </w:rPr>
        <w:lastRenderedPageBreak/>
        <w:t xml:space="preserve">Félévközi </w:t>
      </w:r>
      <w:r w:rsidRPr="00A32D06">
        <w:rPr>
          <w:rFonts w:ascii="Times New Roman" w:eastAsia="Times New Roman" w:hAnsi="Times New Roman" w:cs="Times New Roman"/>
          <w:b/>
          <w:bCs/>
          <w:color w:val="000000" w:themeColor="text1"/>
        </w:rPr>
        <w:t>feladatok</w:t>
      </w:r>
      <w:r w:rsidRPr="0083745E">
        <w:rPr>
          <w:rFonts w:ascii="Times New Roman" w:eastAsia="Times New Roman" w:hAnsi="Times New Roman" w:cs="Times New Roman"/>
          <w:b/>
          <w:color w:val="000000" w:themeColor="text1"/>
        </w:rPr>
        <w:t>, ismeretek ellenőrzésének rendje:</w:t>
      </w:r>
      <w:r w:rsidRPr="0083745E">
        <w:rPr>
          <w:rFonts w:ascii="Times New Roman" w:eastAsia="Times New Roman" w:hAnsi="Times New Roman" w:cs="Times New Roman"/>
          <w:bCs/>
          <w:color w:val="000000" w:themeColor="text1"/>
        </w:rPr>
        <w:t xml:space="preserve"> </w:t>
      </w:r>
    </w:p>
    <w:p w:rsidR="0083745E" w:rsidRPr="0083745E" w:rsidRDefault="0083745E" w:rsidP="002712A8">
      <w:pPr>
        <w:widowControl w:val="0"/>
        <w:spacing w:after="0" w:line="240" w:lineRule="auto"/>
        <w:ind w:left="426"/>
        <w:jc w:val="both"/>
        <w:rPr>
          <w:rFonts w:ascii="Times New Roman" w:eastAsia="Times New Roman" w:hAnsi="Times New Roman" w:cs="Times New Roman"/>
          <w:bCs/>
          <w:color w:val="000000" w:themeColor="text1"/>
        </w:rPr>
      </w:pPr>
      <w:r w:rsidRPr="0083745E">
        <w:rPr>
          <w:rFonts w:ascii="Times New Roman" w:eastAsia="Times New Roman" w:hAnsi="Times New Roman" w:cs="Times New Roman"/>
          <w:bCs/>
          <w:color w:val="000000" w:themeColor="text1"/>
        </w:rPr>
        <w:t xml:space="preserve">A félévközi feladat típusa: prezentáció. </w:t>
      </w:r>
    </w:p>
    <w:p w:rsidR="0083745E" w:rsidRPr="0083745E" w:rsidRDefault="0083745E" w:rsidP="002712A8">
      <w:pPr>
        <w:widowControl w:val="0"/>
        <w:spacing w:after="0" w:line="240" w:lineRule="auto"/>
        <w:ind w:left="426"/>
        <w:jc w:val="both"/>
        <w:rPr>
          <w:rFonts w:ascii="Times New Roman" w:eastAsia="Times New Roman" w:hAnsi="Times New Roman" w:cs="Times New Roman"/>
          <w:bCs/>
          <w:color w:val="000000" w:themeColor="text1"/>
        </w:rPr>
      </w:pPr>
      <w:r w:rsidRPr="0083745E">
        <w:rPr>
          <w:rFonts w:ascii="Times New Roman" w:eastAsia="Times New Roman" w:hAnsi="Times New Roman" w:cs="Times New Roman"/>
          <w:bCs/>
          <w:color w:val="000000" w:themeColor="text1"/>
        </w:rPr>
        <w:t>A félévközi feladatok teljesítésének alkalomszáma: A hallgató a félév során egy prezentációt készít.</w:t>
      </w:r>
    </w:p>
    <w:p w:rsidR="0083745E" w:rsidRPr="0083745E" w:rsidRDefault="0083745E" w:rsidP="002712A8">
      <w:pPr>
        <w:widowControl w:val="0"/>
        <w:spacing w:after="0" w:line="240" w:lineRule="auto"/>
        <w:ind w:left="426"/>
        <w:jc w:val="both"/>
        <w:rPr>
          <w:rFonts w:ascii="Times New Roman" w:eastAsia="Times New Roman" w:hAnsi="Times New Roman" w:cs="Times New Roman"/>
          <w:bCs/>
          <w:color w:val="000000" w:themeColor="text1"/>
        </w:rPr>
      </w:pPr>
      <w:r w:rsidRPr="0083745E">
        <w:rPr>
          <w:rFonts w:ascii="Times New Roman" w:eastAsia="Times New Roman" w:hAnsi="Times New Roman" w:cs="Times New Roman"/>
          <w:bCs/>
          <w:color w:val="000000" w:themeColor="text1"/>
        </w:rPr>
        <w:t>A félévközi feladat témaköre: Egy választott harcászati helyzet elemzése a közlekedési biztosítás szempontjából.</w:t>
      </w:r>
    </w:p>
    <w:p w:rsidR="0083745E" w:rsidRPr="0083745E" w:rsidRDefault="0083745E" w:rsidP="002712A8">
      <w:pPr>
        <w:widowControl w:val="0"/>
        <w:spacing w:after="0" w:line="240" w:lineRule="auto"/>
        <w:ind w:left="426"/>
        <w:jc w:val="both"/>
        <w:rPr>
          <w:rFonts w:ascii="Times New Roman" w:eastAsia="Times New Roman" w:hAnsi="Times New Roman" w:cs="Times New Roman"/>
          <w:bCs/>
          <w:color w:val="000000" w:themeColor="text1"/>
        </w:rPr>
      </w:pPr>
      <w:r w:rsidRPr="0083745E">
        <w:rPr>
          <w:rFonts w:ascii="Times New Roman" w:eastAsia="Times New Roman" w:hAnsi="Times New Roman" w:cs="Times New Roman"/>
          <w:bCs/>
          <w:color w:val="000000" w:themeColor="text1"/>
        </w:rPr>
        <w:t xml:space="preserve">A feladat teljesítésének határideje: a vizsgaidőszak első napja. </w:t>
      </w:r>
    </w:p>
    <w:p w:rsidR="0083745E" w:rsidRPr="0083745E" w:rsidRDefault="0083745E" w:rsidP="002712A8">
      <w:pPr>
        <w:widowControl w:val="0"/>
        <w:spacing w:after="0" w:line="240" w:lineRule="auto"/>
        <w:ind w:left="426"/>
        <w:jc w:val="both"/>
        <w:rPr>
          <w:rFonts w:ascii="Times New Roman" w:eastAsia="Times New Roman" w:hAnsi="Times New Roman" w:cs="Times New Roman"/>
          <w:bCs/>
          <w:color w:val="000000" w:themeColor="text1"/>
        </w:rPr>
      </w:pPr>
      <w:r w:rsidRPr="0083745E">
        <w:rPr>
          <w:rFonts w:ascii="Times New Roman" w:eastAsia="Times New Roman" w:hAnsi="Times New Roman" w:cs="Times New Roman"/>
          <w:bCs/>
          <w:color w:val="000000" w:themeColor="text1"/>
        </w:rPr>
        <w:t>Az ellenőrzés módja: A prezentációnak minimálisan tartalmaznia kell (megfelelő szint) egy zászlóalj szintű katonai szervezetet, annak harcászati helyzetét és elemzését.</w:t>
      </w:r>
    </w:p>
    <w:p w:rsidR="0083745E" w:rsidRPr="0083745E" w:rsidRDefault="0083745E" w:rsidP="00A32D06">
      <w:pPr>
        <w:widowControl w:val="0"/>
        <w:spacing w:after="120" w:line="240" w:lineRule="auto"/>
        <w:ind w:left="425"/>
        <w:jc w:val="both"/>
        <w:rPr>
          <w:rFonts w:ascii="Times New Roman" w:eastAsia="Times New Roman" w:hAnsi="Times New Roman" w:cs="Times New Roman"/>
          <w:bCs/>
          <w:color w:val="000000" w:themeColor="text1"/>
        </w:rPr>
      </w:pPr>
      <w:r w:rsidRPr="0083745E">
        <w:rPr>
          <w:rFonts w:ascii="Times New Roman" w:eastAsia="Times New Roman" w:hAnsi="Times New Roman" w:cs="Times New Roman"/>
          <w:bCs/>
          <w:color w:val="000000" w:themeColor="text1"/>
        </w:rPr>
        <w:t>A félévközi feladat pótlásának/javításának lehetősége: A pótlásra/javításra a zárthelyi dolgozat megírása előtt van lehetőség.</w:t>
      </w:r>
    </w:p>
    <w:p w:rsidR="0083745E" w:rsidRPr="0083745E" w:rsidRDefault="0083745E" w:rsidP="00980876">
      <w:pPr>
        <w:widowControl w:val="0"/>
        <w:numPr>
          <w:ilvl w:val="0"/>
          <w:numId w:val="307"/>
        </w:numPr>
        <w:tabs>
          <w:tab w:val="num" w:pos="567"/>
        </w:tabs>
        <w:spacing w:after="120" w:line="240" w:lineRule="auto"/>
        <w:ind w:left="426" w:hanging="142"/>
        <w:jc w:val="both"/>
        <w:rPr>
          <w:rFonts w:ascii="Times New Roman" w:eastAsia="Times New Roman" w:hAnsi="Times New Roman" w:cs="Times New Roman"/>
          <w:b/>
          <w:bCs/>
          <w:color w:val="000000" w:themeColor="text1"/>
        </w:rPr>
      </w:pPr>
      <w:r w:rsidRPr="0083745E">
        <w:rPr>
          <w:rFonts w:ascii="Times New Roman" w:eastAsia="Times New Roman" w:hAnsi="Times New Roman" w:cs="Times New Roman"/>
          <w:b/>
          <w:bCs/>
          <w:color w:val="000000" w:themeColor="text1"/>
        </w:rPr>
        <w:t xml:space="preserve">Az </w:t>
      </w:r>
      <w:r w:rsidRPr="00A32D06">
        <w:rPr>
          <w:rFonts w:ascii="Times New Roman" w:eastAsia="Times New Roman" w:hAnsi="Times New Roman" w:cs="Times New Roman"/>
          <w:b/>
          <w:color w:val="000000" w:themeColor="text1"/>
        </w:rPr>
        <w:t>értékelés</w:t>
      </w:r>
      <w:r w:rsidRPr="0083745E">
        <w:rPr>
          <w:rFonts w:ascii="Times New Roman" w:eastAsia="Times New Roman" w:hAnsi="Times New Roman" w:cs="Times New Roman"/>
          <w:b/>
          <w:bCs/>
          <w:color w:val="000000" w:themeColor="text1"/>
        </w:rPr>
        <w:t xml:space="preserve">, az aláírás és a kreditek megszerzésének pontos feltételei: </w:t>
      </w:r>
    </w:p>
    <w:p w:rsidR="0083745E" w:rsidRPr="00A32D06" w:rsidRDefault="0083745E" w:rsidP="00980876">
      <w:pPr>
        <w:widowControl w:val="0"/>
        <w:numPr>
          <w:ilvl w:val="1"/>
          <w:numId w:val="307"/>
        </w:numPr>
        <w:tabs>
          <w:tab w:val="clear" w:pos="3977"/>
          <w:tab w:val="left" w:pos="709"/>
          <w:tab w:val="left" w:pos="993"/>
          <w:tab w:val="num" w:pos="2069"/>
        </w:tabs>
        <w:spacing w:after="120" w:line="240" w:lineRule="auto"/>
        <w:ind w:left="425" w:firstLine="0"/>
        <w:jc w:val="both"/>
        <w:rPr>
          <w:rFonts w:ascii="Times New Roman" w:eastAsia="Times New Roman" w:hAnsi="Times New Roman" w:cs="Times New Roman"/>
          <w:color w:val="000000" w:themeColor="text1"/>
        </w:rPr>
      </w:pPr>
      <w:r w:rsidRPr="00A32D06">
        <w:rPr>
          <w:rFonts w:ascii="Times New Roman" w:eastAsia="Times New Roman" w:hAnsi="Times New Roman" w:cs="Times New Roman"/>
          <w:b/>
          <w:color w:val="000000" w:themeColor="text1"/>
        </w:rPr>
        <w:t>Az aláírás megszerzésének feltételei:</w:t>
      </w:r>
      <w:r w:rsidRPr="00A32D06">
        <w:rPr>
          <w:rFonts w:ascii="Times New Roman" w:eastAsia="Times New Roman" w:hAnsi="Times New Roman" w:cs="Times New Roman"/>
          <w:color w:val="000000" w:themeColor="text1"/>
        </w:rPr>
        <w:t xml:space="preserve"> Az aláírás megszerzésének feltétele a 14. pontban meghatározott arányú részvétel a foglalkozásokon és a 15. pontban meghatározott félévközi feladatok legalább megfelelő szintű teljesítése.</w:t>
      </w:r>
    </w:p>
    <w:p w:rsidR="0083745E" w:rsidRPr="00A32D06" w:rsidRDefault="0083745E" w:rsidP="00980876">
      <w:pPr>
        <w:widowControl w:val="0"/>
        <w:numPr>
          <w:ilvl w:val="1"/>
          <w:numId w:val="307"/>
        </w:numPr>
        <w:tabs>
          <w:tab w:val="clear" w:pos="3977"/>
          <w:tab w:val="left" w:pos="709"/>
          <w:tab w:val="left" w:pos="993"/>
          <w:tab w:val="num" w:pos="2069"/>
        </w:tabs>
        <w:spacing w:after="0" w:line="240" w:lineRule="auto"/>
        <w:ind w:left="426" w:firstLine="0"/>
        <w:jc w:val="both"/>
        <w:rPr>
          <w:rFonts w:ascii="Times New Roman" w:eastAsia="Times New Roman" w:hAnsi="Times New Roman" w:cs="Times New Roman"/>
          <w:color w:val="000000" w:themeColor="text1"/>
        </w:rPr>
      </w:pPr>
      <w:r w:rsidRPr="00A32D06">
        <w:rPr>
          <w:rFonts w:ascii="Times New Roman" w:eastAsia="Times New Roman" w:hAnsi="Times New Roman" w:cs="Times New Roman"/>
          <w:b/>
          <w:color w:val="000000" w:themeColor="text1"/>
        </w:rPr>
        <w:t>Az értékelés:</w:t>
      </w:r>
      <w:r w:rsidRPr="00A32D06">
        <w:rPr>
          <w:rFonts w:ascii="Times New Roman" w:eastAsia="Times New Roman" w:hAnsi="Times New Roman" w:cs="Times New Roman"/>
          <w:color w:val="000000" w:themeColor="text1"/>
        </w:rPr>
        <w:t xml:space="preserve"> Az értékelés típusa: Kollokvium kiadott felkészülési kérdések alapján.</w:t>
      </w:r>
    </w:p>
    <w:p w:rsidR="0083745E" w:rsidRPr="0083745E" w:rsidRDefault="0083745E" w:rsidP="00A32D06">
      <w:pPr>
        <w:widowControl w:val="0"/>
        <w:tabs>
          <w:tab w:val="left" w:pos="709"/>
          <w:tab w:val="left" w:pos="993"/>
        </w:tabs>
        <w:spacing w:after="120" w:line="240" w:lineRule="auto"/>
        <w:ind w:left="425"/>
        <w:jc w:val="both"/>
        <w:rPr>
          <w:rFonts w:ascii="Times New Roman" w:eastAsia="Times New Roman" w:hAnsi="Times New Roman" w:cs="Times New Roman"/>
          <w:color w:val="000000" w:themeColor="text1"/>
        </w:rPr>
      </w:pPr>
      <w:r w:rsidRPr="0083745E">
        <w:rPr>
          <w:rFonts w:ascii="Times New Roman" w:eastAsia="Times New Roman" w:hAnsi="Times New Roman" w:cs="Times New Roman"/>
          <w:color w:val="000000" w:themeColor="text1"/>
        </w:rPr>
        <w:t xml:space="preserve">Vizsgakövetelmények: a kötelező irodalom-, és a tematikában tárgyalt szabályzók feldolgozása, és ismerete. </w:t>
      </w:r>
    </w:p>
    <w:p w:rsidR="0083745E" w:rsidRPr="00A32D06" w:rsidRDefault="0083745E" w:rsidP="00A32D06">
      <w:pPr>
        <w:widowControl w:val="0"/>
        <w:tabs>
          <w:tab w:val="left" w:pos="709"/>
          <w:tab w:val="left" w:pos="993"/>
          <w:tab w:val="num" w:pos="2069"/>
        </w:tabs>
        <w:spacing w:after="120" w:line="240" w:lineRule="auto"/>
        <w:ind w:left="425"/>
        <w:jc w:val="both"/>
        <w:rPr>
          <w:rFonts w:ascii="Times New Roman" w:eastAsia="Times New Roman" w:hAnsi="Times New Roman" w:cs="Times New Roman"/>
          <w:bCs/>
          <w:color w:val="000000" w:themeColor="text1"/>
        </w:rPr>
      </w:pPr>
      <w:r w:rsidRPr="00A32D06">
        <w:rPr>
          <w:rFonts w:ascii="Times New Roman" w:eastAsia="Times New Roman" w:hAnsi="Times New Roman" w:cs="Times New Roman"/>
          <w:b/>
          <w:color w:val="000000" w:themeColor="text1"/>
        </w:rPr>
        <w:t>A kreditek megszerzésének feltételei:</w:t>
      </w:r>
      <w:r w:rsidRPr="00A32D06">
        <w:rPr>
          <w:rFonts w:ascii="Times New Roman" w:eastAsia="Times New Roman" w:hAnsi="Times New Roman" w:cs="Times New Roman"/>
          <w:color w:val="000000" w:themeColor="text1"/>
        </w:rPr>
        <w:t xml:space="preserve"> A kreditek megszerzésének feltétele az aláírás megszerzése és az elégséges vizsgajegy. </w:t>
      </w:r>
    </w:p>
    <w:p w:rsidR="0083745E" w:rsidRPr="0083745E" w:rsidRDefault="0083745E" w:rsidP="00980876">
      <w:pPr>
        <w:widowControl w:val="0"/>
        <w:numPr>
          <w:ilvl w:val="0"/>
          <w:numId w:val="307"/>
        </w:numPr>
        <w:spacing w:after="0" w:line="360" w:lineRule="auto"/>
        <w:ind w:left="426" w:hanging="142"/>
        <w:jc w:val="both"/>
        <w:rPr>
          <w:rFonts w:ascii="Times New Roman" w:eastAsia="Times New Roman" w:hAnsi="Times New Roman" w:cs="Times New Roman"/>
          <w:bCs/>
          <w:color w:val="000000" w:themeColor="text1"/>
        </w:rPr>
      </w:pPr>
      <w:r w:rsidRPr="0083745E">
        <w:rPr>
          <w:rFonts w:ascii="Times New Roman" w:eastAsia="Times New Roman" w:hAnsi="Times New Roman" w:cs="Times New Roman"/>
          <w:b/>
          <w:bCs/>
          <w:color w:val="000000" w:themeColor="text1"/>
        </w:rPr>
        <w:t>Irodalomjegyzék:</w:t>
      </w:r>
    </w:p>
    <w:p w:rsidR="0083745E" w:rsidRPr="0083745E" w:rsidRDefault="0083745E" w:rsidP="00980876">
      <w:pPr>
        <w:widowControl w:val="0"/>
        <w:numPr>
          <w:ilvl w:val="1"/>
          <w:numId w:val="307"/>
        </w:numPr>
        <w:tabs>
          <w:tab w:val="clear" w:pos="3977"/>
          <w:tab w:val="left" w:pos="567"/>
          <w:tab w:val="left" w:pos="851"/>
          <w:tab w:val="num" w:pos="2069"/>
        </w:tabs>
        <w:spacing w:after="0" w:line="360" w:lineRule="auto"/>
        <w:ind w:left="426" w:hanging="142"/>
        <w:jc w:val="both"/>
        <w:rPr>
          <w:rFonts w:ascii="Times New Roman" w:eastAsia="Times New Roman" w:hAnsi="Times New Roman" w:cs="Times New Roman"/>
          <w:bCs/>
          <w:color w:val="000000" w:themeColor="text1"/>
        </w:rPr>
      </w:pPr>
      <w:r w:rsidRPr="0083745E">
        <w:rPr>
          <w:rFonts w:ascii="Times New Roman" w:eastAsia="Times New Roman" w:hAnsi="Times New Roman" w:cs="Times New Roman"/>
          <w:b/>
          <w:bCs/>
          <w:color w:val="000000" w:themeColor="text1"/>
        </w:rPr>
        <w:t>Kötelező irodalom:</w:t>
      </w:r>
    </w:p>
    <w:p w:rsidR="0083745E" w:rsidRPr="00932199" w:rsidRDefault="0083745E" w:rsidP="00980876">
      <w:pPr>
        <w:pStyle w:val="Listaszerbekezds"/>
        <w:numPr>
          <w:ilvl w:val="0"/>
          <w:numId w:val="309"/>
        </w:numPr>
        <w:tabs>
          <w:tab w:val="clear" w:pos="720"/>
        </w:tabs>
        <w:spacing w:line="240" w:lineRule="auto"/>
        <w:ind w:left="851" w:hanging="218"/>
        <w:rPr>
          <w:rFonts w:ascii="Times New Roman" w:hAnsi="Times New Roman" w:cs="Times New Roman"/>
          <w:color w:val="000000" w:themeColor="text1"/>
        </w:rPr>
      </w:pPr>
      <w:r w:rsidRPr="00932199">
        <w:rPr>
          <w:rFonts w:ascii="Times New Roman" w:hAnsi="Times New Roman" w:cs="Times New Roman"/>
          <w:color w:val="000000" w:themeColor="text1"/>
        </w:rPr>
        <w:t xml:space="preserve">Magyar Honvédség közlekedési támogatás doktrína, (Magyar Honvédség Közlekedési Főnökség kiadványa, Budapest, 2005.) </w:t>
      </w:r>
    </w:p>
    <w:p w:rsidR="0083745E" w:rsidRPr="00932199" w:rsidRDefault="0083745E" w:rsidP="00980876">
      <w:pPr>
        <w:pStyle w:val="Listaszerbekezds"/>
        <w:numPr>
          <w:ilvl w:val="0"/>
          <w:numId w:val="309"/>
        </w:numPr>
        <w:tabs>
          <w:tab w:val="clear" w:pos="720"/>
        </w:tabs>
        <w:spacing w:line="240" w:lineRule="auto"/>
        <w:ind w:left="851" w:hanging="218"/>
        <w:rPr>
          <w:rFonts w:ascii="Times New Roman" w:hAnsi="Times New Roman" w:cs="Times New Roman"/>
          <w:color w:val="000000" w:themeColor="text1"/>
        </w:rPr>
      </w:pPr>
      <w:r w:rsidRPr="00932199">
        <w:rPr>
          <w:rFonts w:ascii="Times New Roman" w:hAnsi="Times New Roman" w:cs="Times New Roman"/>
          <w:color w:val="000000" w:themeColor="text1"/>
        </w:rPr>
        <w:t>Magyar Honvédség összhaderőnemi doktrína 3. kiadás (a Honvédelmi Minisztérium kiadványa, 2012.)</w:t>
      </w:r>
    </w:p>
    <w:p w:rsidR="0083745E" w:rsidRPr="0083745E" w:rsidRDefault="0083745E" w:rsidP="00980876">
      <w:pPr>
        <w:widowControl w:val="0"/>
        <w:numPr>
          <w:ilvl w:val="1"/>
          <w:numId w:val="307"/>
        </w:numPr>
        <w:tabs>
          <w:tab w:val="clear" w:pos="3977"/>
          <w:tab w:val="num" w:pos="567"/>
          <w:tab w:val="num" w:pos="2069"/>
        </w:tabs>
        <w:spacing w:after="0" w:line="360" w:lineRule="auto"/>
        <w:ind w:left="993" w:hanging="709"/>
        <w:jc w:val="both"/>
        <w:rPr>
          <w:rFonts w:ascii="Times New Roman" w:eastAsia="Times New Roman" w:hAnsi="Times New Roman" w:cs="Times New Roman"/>
          <w:b/>
          <w:bCs/>
          <w:color w:val="000000" w:themeColor="text1"/>
        </w:rPr>
      </w:pPr>
      <w:r w:rsidRPr="0083745E">
        <w:rPr>
          <w:rFonts w:ascii="Times New Roman" w:eastAsia="Times New Roman" w:hAnsi="Times New Roman" w:cs="Times New Roman"/>
          <w:b/>
          <w:bCs/>
          <w:color w:val="000000" w:themeColor="text1"/>
        </w:rPr>
        <w:t>Ajánlott irodalom:</w:t>
      </w:r>
    </w:p>
    <w:p w:rsidR="0083745E" w:rsidRPr="0083745E" w:rsidRDefault="0083745E" w:rsidP="00980876">
      <w:pPr>
        <w:pStyle w:val="Listaszerbekezds"/>
        <w:numPr>
          <w:ilvl w:val="0"/>
          <w:numId w:val="310"/>
        </w:numPr>
        <w:tabs>
          <w:tab w:val="clear" w:pos="720"/>
        </w:tabs>
        <w:spacing w:line="240" w:lineRule="auto"/>
        <w:ind w:left="851" w:hanging="218"/>
        <w:rPr>
          <w:rFonts w:ascii="Times New Roman" w:hAnsi="Times New Roman" w:cs="Times New Roman"/>
          <w:color w:val="000000" w:themeColor="text1"/>
        </w:rPr>
      </w:pPr>
      <w:r w:rsidRPr="0083745E">
        <w:rPr>
          <w:rFonts w:ascii="Times New Roman" w:hAnsi="Times New Roman" w:cs="Times New Roman"/>
          <w:color w:val="000000" w:themeColor="text1"/>
        </w:rPr>
        <w:t>AJP-4 (A) Szövetséges Összhaderőnemi Logisztikai Doktrína. NATO kiadvány.</w:t>
      </w:r>
    </w:p>
    <w:p w:rsidR="0083745E" w:rsidRPr="0083745E" w:rsidRDefault="0083745E" w:rsidP="00980876">
      <w:pPr>
        <w:pStyle w:val="Listaszerbekezds"/>
        <w:numPr>
          <w:ilvl w:val="0"/>
          <w:numId w:val="310"/>
        </w:numPr>
        <w:tabs>
          <w:tab w:val="clear" w:pos="720"/>
        </w:tabs>
        <w:spacing w:line="240" w:lineRule="auto"/>
        <w:ind w:left="851" w:hanging="218"/>
        <w:rPr>
          <w:rFonts w:ascii="Times New Roman" w:hAnsi="Times New Roman" w:cs="Times New Roman"/>
          <w:color w:val="000000" w:themeColor="text1"/>
        </w:rPr>
      </w:pPr>
      <w:r w:rsidRPr="0083745E">
        <w:rPr>
          <w:rFonts w:ascii="Times New Roman" w:hAnsi="Times New Roman" w:cs="Times New Roman"/>
          <w:color w:val="000000" w:themeColor="text1"/>
        </w:rPr>
        <w:t>AJP-4.4 (A) Szövetséges összhaderőnemi közlekedési és szállítási doktrína. NATO kiadvány.</w:t>
      </w:r>
    </w:p>
    <w:p w:rsidR="0083745E" w:rsidRPr="0083745E" w:rsidRDefault="0083745E" w:rsidP="00980876">
      <w:pPr>
        <w:pStyle w:val="Listaszerbekezds"/>
        <w:numPr>
          <w:ilvl w:val="0"/>
          <w:numId w:val="310"/>
        </w:numPr>
        <w:tabs>
          <w:tab w:val="clear" w:pos="720"/>
        </w:tabs>
        <w:spacing w:line="240" w:lineRule="auto"/>
        <w:ind w:left="851" w:hanging="218"/>
        <w:rPr>
          <w:rFonts w:ascii="Times New Roman" w:hAnsi="Times New Roman" w:cs="Times New Roman"/>
          <w:color w:val="000000" w:themeColor="text1"/>
        </w:rPr>
      </w:pPr>
      <w:r w:rsidRPr="0083745E">
        <w:rPr>
          <w:rFonts w:ascii="Times New Roman" w:hAnsi="Times New Roman" w:cs="Times New Roman"/>
          <w:color w:val="000000" w:themeColor="text1"/>
        </w:rPr>
        <w:t xml:space="preserve">AJP-4.5.(ALP-12) Szövetséges összhaderőnemi fogadó nemzeti támogatási doktrína és eljárási módszerek. </w:t>
      </w:r>
    </w:p>
    <w:p w:rsidR="0083745E" w:rsidRDefault="0083745E" w:rsidP="00980876">
      <w:pPr>
        <w:pStyle w:val="Listaszerbekezds"/>
        <w:numPr>
          <w:ilvl w:val="0"/>
          <w:numId w:val="310"/>
        </w:numPr>
        <w:tabs>
          <w:tab w:val="clear" w:pos="720"/>
        </w:tabs>
        <w:spacing w:line="240" w:lineRule="auto"/>
        <w:ind w:left="851" w:hanging="218"/>
        <w:rPr>
          <w:rFonts w:ascii="Times New Roman" w:hAnsi="Times New Roman" w:cs="Times New Roman"/>
          <w:color w:val="000000" w:themeColor="text1"/>
        </w:rPr>
      </w:pPr>
      <w:r w:rsidRPr="0083745E">
        <w:rPr>
          <w:rFonts w:ascii="Times New Roman" w:hAnsi="Times New Roman" w:cs="Times New Roman"/>
          <w:color w:val="000000" w:themeColor="text1"/>
        </w:rPr>
        <w:t>MC 336/2 A NATO Mozgatási és Szállítási Koncepciója. NATO kiadvány.</w:t>
      </w:r>
    </w:p>
    <w:p w:rsidR="00A32D06" w:rsidRPr="00A32D06" w:rsidRDefault="00A32D06" w:rsidP="00980876">
      <w:pPr>
        <w:pStyle w:val="Listaszerbekezds"/>
        <w:numPr>
          <w:ilvl w:val="0"/>
          <w:numId w:val="310"/>
        </w:numPr>
        <w:tabs>
          <w:tab w:val="clear" w:pos="720"/>
        </w:tabs>
        <w:spacing w:line="240" w:lineRule="auto"/>
        <w:ind w:left="851" w:hanging="218"/>
        <w:rPr>
          <w:rFonts w:ascii="Times New Roman" w:hAnsi="Times New Roman" w:cs="Times New Roman"/>
          <w:color w:val="000000" w:themeColor="text1"/>
        </w:rPr>
      </w:pPr>
      <w:r w:rsidRPr="00A32D06">
        <w:rPr>
          <w:rFonts w:ascii="Times New Roman" w:hAnsi="Times New Roman" w:cs="Times New Roman"/>
          <w:color w:val="000000" w:themeColor="text1"/>
        </w:rPr>
        <w:t>AMovP-1-4 (A) NATO Közlekedési Kiadványok (NATO kiadványok)</w:t>
      </w:r>
    </w:p>
    <w:p w:rsidR="0083745E" w:rsidRPr="0083745E" w:rsidRDefault="0083745E" w:rsidP="00A32D06">
      <w:pPr>
        <w:widowControl w:val="0"/>
        <w:spacing w:after="0" w:line="360" w:lineRule="auto"/>
        <w:ind w:firstLine="633"/>
        <w:jc w:val="both"/>
        <w:rPr>
          <w:rFonts w:ascii="Times New Roman" w:eastAsia="Times New Roman" w:hAnsi="Times New Roman" w:cs="Times New Roman"/>
          <w:bCs/>
          <w:color w:val="000000" w:themeColor="text1"/>
        </w:rPr>
      </w:pPr>
      <w:r w:rsidRPr="0083745E">
        <w:rPr>
          <w:rFonts w:ascii="Times New Roman" w:eastAsia="Times New Roman" w:hAnsi="Times New Roman" w:cs="Times New Roman"/>
          <w:bCs/>
          <w:color w:val="000000" w:themeColor="text1"/>
        </w:rPr>
        <w:t>Budapest, 2020. január 23.</w:t>
      </w:r>
    </w:p>
    <w:p w:rsidR="0083745E" w:rsidRPr="00932199" w:rsidRDefault="0083745E" w:rsidP="0083745E">
      <w:pPr>
        <w:widowControl w:val="0"/>
        <w:spacing w:after="0" w:line="360" w:lineRule="auto"/>
        <w:jc w:val="right"/>
        <w:rPr>
          <w:rFonts w:ascii="Times New Roman" w:hAnsi="Times New Roman" w:cs="Times New Roman"/>
          <w:b/>
          <w:bCs/>
          <w:color w:val="000000" w:themeColor="text1"/>
        </w:rPr>
      </w:pPr>
      <w:r w:rsidRPr="00932199">
        <w:rPr>
          <w:rFonts w:ascii="Times New Roman" w:hAnsi="Times New Roman" w:cs="Times New Roman"/>
          <w:b/>
          <w:bCs/>
          <w:color w:val="000000" w:themeColor="text1"/>
        </w:rPr>
        <w:t xml:space="preserve">Dr. Bodoróczki János alezredes </w:t>
      </w:r>
      <w:r w:rsidRPr="00932199">
        <w:rPr>
          <w:rFonts w:ascii="Times New Roman" w:eastAsia="Times New Roman" w:hAnsi="Times New Roman" w:cs="Times New Roman"/>
          <w:b/>
          <w:bCs/>
          <w:color w:val="000000" w:themeColor="text1"/>
        </w:rPr>
        <w:t>sk.</w:t>
      </w:r>
    </w:p>
    <w:p w:rsidR="0083745E" w:rsidRPr="0083745E" w:rsidRDefault="0083745E" w:rsidP="0083745E">
      <w:pPr>
        <w:widowControl w:val="0"/>
        <w:spacing w:after="0" w:line="360" w:lineRule="auto"/>
        <w:jc w:val="center"/>
        <w:rPr>
          <w:rFonts w:ascii="Times New Roman" w:eastAsia="Times New Roman" w:hAnsi="Times New Roman" w:cs="Times New Roman"/>
          <w:bCs/>
          <w:color w:val="000000" w:themeColor="text1"/>
        </w:rPr>
      </w:pPr>
      <w:r w:rsidRPr="0083745E">
        <w:rPr>
          <w:rFonts w:ascii="Times New Roman" w:hAnsi="Times New Roman" w:cs="Times New Roman"/>
          <w:bCs/>
          <w:color w:val="000000" w:themeColor="text1"/>
        </w:rPr>
        <w:t xml:space="preserve">             </w:t>
      </w:r>
      <w:r w:rsidRPr="0083745E">
        <w:rPr>
          <w:rFonts w:ascii="Times New Roman" w:hAnsi="Times New Roman" w:cs="Times New Roman"/>
          <w:bCs/>
          <w:color w:val="000000" w:themeColor="text1"/>
        </w:rPr>
        <w:tab/>
      </w:r>
      <w:r w:rsidRPr="0083745E">
        <w:rPr>
          <w:rFonts w:ascii="Times New Roman" w:hAnsi="Times New Roman" w:cs="Times New Roman"/>
          <w:bCs/>
          <w:color w:val="000000" w:themeColor="text1"/>
        </w:rPr>
        <w:tab/>
      </w:r>
      <w:r w:rsidRPr="0083745E">
        <w:rPr>
          <w:rFonts w:ascii="Times New Roman" w:hAnsi="Times New Roman" w:cs="Times New Roman"/>
          <w:bCs/>
          <w:color w:val="000000" w:themeColor="text1"/>
        </w:rPr>
        <w:tab/>
      </w:r>
      <w:r w:rsidRPr="0083745E">
        <w:rPr>
          <w:rFonts w:ascii="Times New Roman" w:hAnsi="Times New Roman" w:cs="Times New Roman"/>
          <w:bCs/>
          <w:color w:val="000000" w:themeColor="text1"/>
        </w:rPr>
        <w:tab/>
      </w:r>
      <w:r w:rsidRPr="0083745E">
        <w:rPr>
          <w:rFonts w:ascii="Times New Roman" w:hAnsi="Times New Roman" w:cs="Times New Roman"/>
          <w:bCs/>
          <w:color w:val="000000" w:themeColor="text1"/>
        </w:rPr>
        <w:tab/>
      </w:r>
      <w:r w:rsidRPr="0083745E">
        <w:rPr>
          <w:rFonts w:ascii="Times New Roman" w:hAnsi="Times New Roman" w:cs="Times New Roman"/>
          <w:bCs/>
          <w:color w:val="000000" w:themeColor="text1"/>
        </w:rPr>
        <w:tab/>
      </w:r>
      <w:r w:rsidRPr="0083745E">
        <w:rPr>
          <w:rFonts w:ascii="Times New Roman" w:hAnsi="Times New Roman" w:cs="Times New Roman"/>
          <w:bCs/>
          <w:color w:val="000000" w:themeColor="text1"/>
        </w:rPr>
        <w:tab/>
        <w:t xml:space="preserve">      PhD,</w:t>
      </w:r>
      <w:r w:rsidRPr="0083745E">
        <w:rPr>
          <w:rFonts w:ascii="Times New Roman" w:eastAsia="Times New Roman" w:hAnsi="Times New Roman" w:cs="Times New Roman"/>
          <w:bCs/>
          <w:color w:val="000000" w:themeColor="text1"/>
        </w:rPr>
        <w:t xml:space="preserve"> </w:t>
      </w:r>
      <w:r w:rsidRPr="0083745E">
        <w:rPr>
          <w:rFonts w:ascii="Times New Roman" w:hAnsi="Times New Roman" w:cs="Times New Roman"/>
          <w:bCs/>
          <w:color w:val="000000" w:themeColor="text1"/>
        </w:rPr>
        <w:t>tanársegéd</w:t>
      </w:r>
    </w:p>
    <w:p w:rsidR="00310B07" w:rsidRDefault="00310B07">
      <w:pPr>
        <w:spacing w:after="200" w:line="276" w:lineRule="auto"/>
        <w:rPr>
          <w:rFonts w:ascii="Times New Roman" w:hAnsi="Times New Roman" w:cs="Times New Roman"/>
          <w:sz w:val="24"/>
        </w:rPr>
      </w:pPr>
      <w:r>
        <w:rPr>
          <w:rFonts w:ascii="Times New Roman" w:hAnsi="Times New Roman" w:cs="Times New Roman"/>
          <w:sz w:val="24"/>
        </w:rPr>
        <w:br w:type="page"/>
      </w:r>
    </w:p>
    <w:tbl>
      <w:tblPr>
        <w:tblW w:w="9072" w:type="dxa"/>
        <w:tblInd w:w="113" w:type="dxa"/>
        <w:tblLook w:val="01E0" w:firstRow="1" w:lastRow="1" w:firstColumn="1" w:lastColumn="1" w:noHBand="0" w:noVBand="0"/>
      </w:tblPr>
      <w:tblGrid>
        <w:gridCol w:w="4855"/>
        <w:gridCol w:w="1620"/>
        <w:gridCol w:w="2597"/>
      </w:tblGrid>
      <w:tr w:rsidR="00310B07" w:rsidRPr="00310B07" w:rsidTr="00310B07">
        <w:tc>
          <w:tcPr>
            <w:tcW w:w="4855" w:type="dxa"/>
            <w:tcBorders>
              <w:top w:val="nil"/>
              <w:left w:val="nil"/>
              <w:bottom w:val="single" w:sz="4" w:space="0" w:color="auto"/>
              <w:right w:val="nil"/>
            </w:tcBorders>
            <w:hideMark/>
          </w:tcPr>
          <w:p w:rsidR="00310B07" w:rsidRPr="00310B07" w:rsidRDefault="00310B07">
            <w:pPr>
              <w:spacing w:after="0" w:line="240" w:lineRule="auto"/>
              <w:jc w:val="center"/>
              <w:rPr>
                <w:rFonts w:ascii="Times New Roman" w:eastAsia="Times New Roman" w:hAnsi="Times New Roman" w:cs="Times New Roman"/>
                <w:b/>
                <w:smallCaps/>
                <w:lang w:eastAsia="hu-HU"/>
              </w:rPr>
            </w:pPr>
            <w:r w:rsidRPr="00310B07">
              <w:rPr>
                <w:rFonts w:ascii="Times New Roman" w:eastAsia="Times New Roman" w:hAnsi="Times New Roman" w:cs="Times New Roman"/>
                <w:b/>
                <w:smallCaps/>
                <w:lang w:eastAsia="hu-HU"/>
              </w:rPr>
              <w:lastRenderedPageBreak/>
              <w:t>Nemzeti Közszolgálati Egyetem</w:t>
            </w:r>
          </w:p>
        </w:tc>
        <w:tc>
          <w:tcPr>
            <w:tcW w:w="1620" w:type="dxa"/>
          </w:tcPr>
          <w:p w:rsidR="00310B07" w:rsidRPr="00310B07" w:rsidRDefault="00310B07">
            <w:pPr>
              <w:spacing w:after="0" w:line="240" w:lineRule="auto"/>
              <w:jc w:val="both"/>
              <w:rPr>
                <w:rFonts w:ascii="Times New Roman" w:eastAsia="Times New Roman" w:hAnsi="Times New Roman" w:cs="Times New Roman"/>
                <w:lang w:eastAsia="hu-HU"/>
              </w:rPr>
            </w:pPr>
          </w:p>
        </w:tc>
        <w:tc>
          <w:tcPr>
            <w:tcW w:w="2597" w:type="dxa"/>
          </w:tcPr>
          <w:p w:rsidR="00310B07" w:rsidRPr="00310B07" w:rsidRDefault="00310B07">
            <w:pPr>
              <w:spacing w:after="0" w:line="240" w:lineRule="auto"/>
              <w:jc w:val="right"/>
              <w:rPr>
                <w:rFonts w:ascii="Times New Roman" w:eastAsia="Times New Roman" w:hAnsi="Times New Roman" w:cs="Times New Roman"/>
                <w:lang w:eastAsia="hu-HU"/>
              </w:rPr>
            </w:pPr>
          </w:p>
        </w:tc>
      </w:tr>
      <w:tr w:rsidR="00310B07" w:rsidRPr="00310B07" w:rsidTr="00310B07">
        <w:tc>
          <w:tcPr>
            <w:tcW w:w="4855" w:type="dxa"/>
            <w:tcBorders>
              <w:top w:val="single" w:sz="4" w:space="0" w:color="auto"/>
              <w:left w:val="nil"/>
              <w:bottom w:val="nil"/>
              <w:right w:val="nil"/>
            </w:tcBorders>
            <w:hideMark/>
          </w:tcPr>
          <w:p w:rsidR="00310B07" w:rsidRPr="00310B07" w:rsidRDefault="00310B07">
            <w:pPr>
              <w:spacing w:after="0" w:line="240" w:lineRule="auto"/>
              <w:jc w:val="center"/>
              <w:rPr>
                <w:rFonts w:ascii="Times New Roman" w:eastAsia="Times New Roman" w:hAnsi="Times New Roman" w:cs="Times New Roman"/>
                <w:b/>
                <w:lang w:eastAsia="hu-HU"/>
              </w:rPr>
            </w:pPr>
            <w:r w:rsidRPr="00310B07">
              <w:rPr>
                <w:rFonts w:ascii="Times New Roman" w:eastAsia="Times New Roman" w:hAnsi="Times New Roman" w:cs="Times New Roman"/>
                <w:b/>
                <w:lang w:eastAsia="hu-HU"/>
              </w:rPr>
              <w:t>Hadtudományi és Honvédtisztképző Kar</w:t>
            </w:r>
          </w:p>
        </w:tc>
        <w:tc>
          <w:tcPr>
            <w:tcW w:w="1620" w:type="dxa"/>
          </w:tcPr>
          <w:p w:rsidR="00310B07" w:rsidRPr="00310B07" w:rsidRDefault="00310B07">
            <w:pPr>
              <w:spacing w:after="0" w:line="240" w:lineRule="auto"/>
              <w:jc w:val="both"/>
              <w:rPr>
                <w:rFonts w:ascii="Times New Roman" w:eastAsia="Times New Roman" w:hAnsi="Times New Roman" w:cs="Times New Roman"/>
                <w:lang w:eastAsia="hu-HU"/>
              </w:rPr>
            </w:pPr>
          </w:p>
        </w:tc>
        <w:tc>
          <w:tcPr>
            <w:tcW w:w="2597" w:type="dxa"/>
          </w:tcPr>
          <w:p w:rsidR="00310B07" w:rsidRPr="00310B07" w:rsidRDefault="00310B07">
            <w:pPr>
              <w:spacing w:after="0" w:line="240" w:lineRule="auto"/>
              <w:jc w:val="both"/>
              <w:rPr>
                <w:rFonts w:ascii="Times New Roman" w:eastAsia="Times New Roman" w:hAnsi="Times New Roman" w:cs="Times New Roman"/>
                <w:lang w:eastAsia="hu-HU"/>
              </w:rPr>
            </w:pPr>
          </w:p>
        </w:tc>
      </w:tr>
    </w:tbl>
    <w:p w:rsidR="00310B07" w:rsidRPr="00310B07" w:rsidRDefault="00310B07" w:rsidP="00310B07">
      <w:pPr>
        <w:widowControl w:val="0"/>
        <w:spacing w:before="120" w:after="120" w:line="240" w:lineRule="auto"/>
        <w:ind w:left="426" w:hanging="142"/>
        <w:jc w:val="center"/>
        <w:rPr>
          <w:rFonts w:ascii="Times New Roman" w:eastAsia="Times New Roman" w:hAnsi="Times New Roman" w:cs="Times New Roman"/>
          <w:b/>
          <w:bCs/>
        </w:rPr>
      </w:pPr>
    </w:p>
    <w:p w:rsidR="00310B07" w:rsidRPr="00310B07" w:rsidRDefault="00310B07" w:rsidP="00310B07">
      <w:pPr>
        <w:widowControl w:val="0"/>
        <w:spacing w:before="120" w:after="120" w:line="240" w:lineRule="auto"/>
        <w:ind w:left="426" w:hanging="142"/>
        <w:jc w:val="center"/>
        <w:rPr>
          <w:rFonts w:ascii="Times New Roman" w:eastAsia="Times New Roman" w:hAnsi="Times New Roman" w:cs="Times New Roman"/>
          <w:b/>
          <w:bCs/>
        </w:rPr>
      </w:pPr>
      <w:r w:rsidRPr="00310B07">
        <w:rPr>
          <w:rFonts w:ascii="Times New Roman" w:eastAsia="Times New Roman" w:hAnsi="Times New Roman" w:cs="Times New Roman"/>
          <w:b/>
          <w:bCs/>
        </w:rPr>
        <w:t>TANTÁRGYI PROGRAM</w:t>
      </w:r>
    </w:p>
    <w:p w:rsidR="00310B07" w:rsidRPr="00310B07" w:rsidRDefault="00310B07" w:rsidP="00980876">
      <w:pPr>
        <w:widowControl w:val="0"/>
        <w:numPr>
          <w:ilvl w:val="0"/>
          <w:numId w:val="289"/>
        </w:numPr>
        <w:tabs>
          <w:tab w:val="num" w:pos="567"/>
        </w:tabs>
        <w:spacing w:before="120" w:after="120" w:line="240" w:lineRule="auto"/>
        <w:ind w:left="426" w:hanging="142"/>
        <w:jc w:val="both"/>
        <w:rPr>
          <w:rFonts w:ascii="Times New Roman" w:eastAsia="Times New Roman" w:hAnsi="Times New Roman" w:cs="Times New Roman"/>
          <w:bCs/>
        </w:rPr>
      </w:pPr>
      <w:r w:rsidRPr="00310B07">
        <w:rPr>
          <w:rFonts w:ascii="Times New Roman" w:eastAsia="Times New Roman" w:hAnsi="Times New Roman" w:cs="Times New Roman"/>
          <w:b/>
          <w:bCs/>
        </w:rPr>
        <w:t xml:space="preserve">A tantárgy kódja: </w:t>
      </w:r>
      <w:r w:rsidRPr="00310B07">
        <w:rPr>
          <w:rFonts w:ascii="Times New Roman" w:hAnsi="Times New Roman" w:cs="Times New Roman"/>
        </w:rPr>
        <w:t>HKHPKA316</w:t>
      </w:r>
    </w:p>
    <w:p w:rsidR="00310B07" w:rsidRPr="00310B07" w:rsidRDefault="00310B07" w:rsidP="00980876">
      <w:pPr>
        <w:widowControl w:val="0"/>
        <w:numPr>
          <w:ilvl w:val="0"/>
          <w:numId w:val="289"/>
        </w:numPr>
        <w:tabs>
          <w:tab w:val="num" w:pos="567"/>
        </w:tabs>
        <w:spacing w:before="120" w:after="120" w:line="240" w:lineRule="auto"/>
        <w:ind w:left="426" w:hanging="142"/>
        <w:jc w:val="both"/>
        <w:rPr>
          <w:rFonts w:ascii="Times New Roman" w:eastAsia="Times New Roman" w:hAnsi="Times New Roman" w:cs="Times New Roman"/>
          <w:b/>
          <w:bCs/>
          <w:lang w:val="en-GB"/>
        </w:rPr>
      </w:pPr>
      <w:r w:rsidRPr="00310B07">
        <w:rPr>
          <w:rFonts w:ascii="Times New Roman" w:eastAsia="Times New Roman" w:hAnsi="Times New Roman" w:cs="Times New Roman"/>
          <w:b/>
          <w:bCs/>
        </w:rPr>
        <w:t>A tantárgy megnevezése (magyarul):</w:t>
      </w:r>
      <w:r w:rsidRPr="00310B07">
        <w:rPr>
          <w:rFonts w:ascii="Times New Roman" w:eastAsia="Times New Roman" w:hAnsi="Times New Roman" w:cs="Times New Roman"/>
          <w:bCs/>
        </w:rPr>
        <w:t xml:space="preserve"> </w:t>
      </w:r>
      <w:r w:rsidRPr="00310B07">
        <w:rPr>
          <w:rFonts w:ascii="Times New Roman" w:hAnsi="Times New Roman" w:cs="Times New Roman"/>
          <w:bCs/>
        </w:rPr>
        <w:t>Szállító alegységek vezetése I.</w:t>
      </w:r>
    </w:p>
    <w:p w:rsidR="00310B07" w:rsidRPr="00310B07" w:rsidRDefault="00310B07" w:rsidP="00980876">
      <w:pPr>
        <w:widowControl w:val="0"/>
        <w:numPr>
          <w:ilvl w:val="0"/>
          <w:numId w:val="289"/>
        </w:numPr>
        <w:tabs>
          <w:tab w:val="num" w:pos="567"/>
        </w:tabs>
        <w:spacing w:before="120" w:after="120" w:line="240" w:lineRule="auto"/>
        <w:ind w:left="426" w:hanging="142"/>
        <w:jc w:val="both"/>
        <w:rPr>
          <w:rFonts w:ascii="Times New Roman" w:eastAsia="Times New Roman" w:hAnsi="Times New Roman" w:cs="Times New Roman"/>
          <w:b/>
          <w:bCs/>
          <w:lang w:val="en-GB"/>
        </w:rPr>
      </w:pPr>
      <w:r w:rsidRPr="00310B07">
        <w:rPr>
          <w:rFonts w:ascii="Times New Roman" w:eastAsia="Times New Roman" w:hAnsi="Times New Roman" w:cs="Times New Roman"/>
          <w:b/>
          <w:bCs/>
        </w:rPr>
        <w:t xml:space="preserve">A tantárgy megnevezése (angolul): </w:t>
      </w:r>
      <w:r w:rsidRPr="00310B07">
        <w:rPr>
          <w:rFonts w:ascii="Times New Roman" w:hAnsi="Times New Roman" w:cs="Times New Roman"/>
          <w:bCs/>
        </w:rPr>
        <w:t>Leading of transportation sub-unit I.</w:t>
      </w:r>
    </w:p>
    <w:p w:rsidR="00310B07" w:rsidRPr="00310B07" w:rsidRDefault="00310B07" w:rsidP="00980876">
      <w:pPr>
        <w:widowControl w:val="0"/>
        <w:numPr>
          <w:ilvl w:val="0"/>
          <w:numId w:val="289"/>
        </w:numPr>
        <w:tabs>
          <w:tab w:val="num" w:pos="567"/>
        </w:tabs>
        <w:spacing w:before="120" w:after="120" w:line="240" w:lineRule="auto"/>
        <w:ind w:left="426" w:hanging="142"/>
        <w:jc w:val="both"/>
        <w:rPr>
          <w:rFonts w:ascii="Times New Roman" w:eastAsia="Times New Roman" w:hAnsi="Times New Roman" w:cs="Times New Roman"/>
          <w:b/>
          <w:bCs/>
        </w:rPr>
      </w:pPr>
      <w:r w:rsidRPr="00310B07">
        <w:rPr>
          <w:rFonts w:ascii="Times New Roman" w:eastAsia="Times New Roman" w:hAnsi="Times New Roman" w:cs="Times New Roman"/>
          <w:b/>
          <w:bCs/>
        </w:rPr>
        <w:t xml:space="preserve">Kreditérték és képzési karakter: </w:t>
      </w:r>
    </w:p>
    <w:p w:rsidR="00310B07" w:rsidRPr="00310B07" w:rsidRDefault="00310B07" w:rsidP="00980876">
      <w:pPr>
        <w:pStyle w:val="Listaszerbekezds"/>
        <w:widowControl w:val="0"/>
        <w:numPr>
          <w:ilvl w:val="1"/>
          <w:numId w:val="289"/>
        </w:numPr>
        <w:spacing w:before="120" w:after="120" w:line="240" w:lineRule="auto"/>
        <w:ind w:left="993" w:hanging="426"/>
        <w:jc w:val="both"/>
        <w:rPr>
          <w:rFonts w:ascii="Times New Roman" w:eastAsia="Times New Roman" w:hAnsi="Times New Roman" w:cs="Times New Roman"/>
          <w:b/>
          <w:bCs/>
        </w:rPr>
      </w:pPr>
      <w:r w:rsidRPr="00310B07">
        <w:rPr>
          <w:rFonts w:ascii="Times New Roman" w:eastAsia="Times New Roman" w:hAnsi="Times New Roman" w:cs="Times New Roman"/>
          <w:bCs/>
        </w:rPr>
        <w:t>4 kredit</w:t>
      </w:r>
    </w:p>
    <w:p w:rsidR="00310B07" w:rsidRPr="00310B07" w:rsidRDefault="00310B07" w:rsidP="00980876">
      <w:pPr>
        <w:pStyle w:val="Listaszerbekezds"/>
        <w:widowControl w:val="0"/>
        <w:numPr>
          <w:ilvl w:val="1"/>
          <w:numId w:val="289"/>
        </w:numPr>
        <w:spacing w:before="120" w:after="120" w:line="240" w:lineRule="auto"/>
        <w:ind w:left="993" w:hanging="426"/>
        <w:jc w:val="both"/>
        <w:rPr>
          <w:rFonts w:ascii="Times New Roman" w:eastAsia="Times New Roman" w:hAnsi="Times New Roman" w:cs="Times New Roman"/>
          <w:b/>
          <w:bCs/>
        </w:rPr>
      </w:pPr>
      <w:r w:rsidRPr="00310B07">
        <w:rPr>
          <w:rFonts w:ascii="Times New Roman" w:eastAsia="Times New Roman" w:hAnsi="Times New Roman" w:cs="Times New Roman"/>
          <w:bCs/>
        </w:rPr>
        <w:t>a tantárgy elméleti vagy gyakorlati jellegének mértéke: 25</w:t>
      </w:r>
      <w:r w:rsidRPr="00310B07">
        <w:rPr>
          <w:rFonts w:ascii="Times New Roman" w:eastAsia="Times New Roman" w:hAnsi="Times New Roman" w:cs="Times New Roman"/>
          <w:b/>
          <w:bCs/>
        </w:rPr>
        <w:t xml:space="preserve"> </w:t>
      </w:r>
      <w:r w:rsidRPr="00310B07">
        <w:rPr>
          <w:rFonts w:ascii="Times New Roman" w:eastAsia="Times New Roman" w:hAnsi="Times New Roman" w:cs="Times New Roman"/>
          <w:bCs/>
        </w:rPr>
        <w:t>% gyakorlat, 75 % elmélet</w:t>
      </w:r>
    </w:p>
    <w:p w:rsidR="00310B07" w:rsidRPr="00310B07" w:rsidRDefault="00310B07" w:rsidP="00980876">
      <w:pPr>
        <w:widowControl w:val="0"/>
        <w:numPr>
          <w:ilvl w:val="0"/>
          <w:numId w:val="289"/>
        </w:numPr>
        <w:spacing w:before="120" w:after="120" w:line="240" w:lineRule="auto"/>
        <w:ind w:left="426" w:hanging="142"/>
        <w:jc w:val="both"/>
        <w:rPr>
          <w:rFonts w:ascii="Times New Roman" w:eastAsia="Times New Roman" w:hAnsi="Times New Roman" w:cs="Times New Roman"/>
          <w:bCs/>
        </w:rPr>
      </w:pPr>
      <w:r w:rsidRPr="00310B07">
        <w:rPr>
          <w:rFonts w:ascii="Times New Roman" w:eastAsia="Times New Roman" w:hAnsi="Times New Roman" w:cs="Times New Roman"/>
          <w:b/>
          <w:bCs/>
        </w:rPr>
        <w:t>A szak(ok), szakirányok/specializációk megnevezése (ahol oktatják):</w:t>
      </w:r>
      <w:r w:rsidRPr="00310B07">
        <w:rPr>
          <w:rFonts w:ascii="Times New Roman" w:eastAsia="Times New Roman" w:hAnsi="Times New Roman" w:cs="Times New Roman"/>
          <w:bCs/>
        </w:rPr>
        <w:t xml:space="preserve"> Katonai logisztika alapképzési szak, Katonai közlekedési specializáció</w:t>
      </w:r>
    </w:p>
    <w:p w:rsidR="00310B07" w:rsidRPr="00310B07" w:rsidRDefault="00310B07" w:rsidP="00980876">
      <w:pPr>
        <w:widowControl w:val="0"/>
        <w:numPr>
          <w:ilvl w:val="0"/>
          <w:numId w:val="289"/>
        </w:numPr>
        <w:tabs>
          <w:tab w:val="num" w:pos="567"/>
        </w:tabs>
        <w:spacing w:before="120" w:after="120" w:line="240" w:lineRule="auto"/>
        <w:ind w:left="426" w:hanging="142"/>
        <w:jc w:val="both"/>
        <w:rPr>
          <w:rFonts w:ascii="Times New Roman" w:eastAsia="Times New Roman" w:hAnsi="Times New Roman" w:cs="Times New Roman"/>
          <w:bCs/>
        </w:rPr>
      </w:pPr>
      <w:r w:rsidRPr="00310B07">
        <w:rPr>
          <w:rFonts w:ascii="Times New Roman" w:eastAsia="Times New Roman" w:hAnsi="Times New Roman" w:cs="Times New Roman"/>
          <w:b/>
          <w:bCs/>
        </w:rPr>
        <w:t xml:space="preserve">Az oktatásért felelős oktatási szervezeti egység megnevezése: </w:t>
      </w:r>
      <w:r w:rsidRPr="00310B07">
        <w:rPr>
          <w:rFonts w:ascii="Times New Roman" w:eastAsia="Times New Roman" w:hAnsi="Times New Roman" w:cs="Times New Roman"/>
          <w:bCs/>
        </w:rPr>
        <w:t>NKE HHK, Hadtáp, Pénzügyi és Katonai Közlekedési Tanszék</w:t>
      </w:r>
    </w:p>
    <w:p w:rsidR="00310B07" w:rsidRPr="00310B07" w:rsidRDefault="00310B07" w:rsidP="00980876">
      <w:pPr>
        <w:widowControl w:val="0"/>
        <w:numPr>
          <w:ilvl w:val="0"/>
          <w:numId w:val="289"/>
        </w:numPr>
        <w:tabs>
          <w:tab w:val="num" w:pos="567"/>
        </w:tabs>
        <w:spacing w:before="120" w:after="120" w:line="240" w:lineRule="auto"/>
        <w:ind w:left="426" w:hanging="142"/>
        <w:jc w:val="both"/>
        <w:rPr>
          <w:rFonts w:ascii="Times New Roman" w:eastAsia="Times New Roman" w:hAnsi="Times New Roman" w:cs="Times New Roman"/>
          <w:bCs/>
        </w:rPr>
      </w:pPr>
      <w:r w:rsidRPr="00310B07">
        <w:rPr>
          <w:rFonts w:ascii="Times New Roman" w:eastAsia="Times New Roman" w:hAnsi="Times New Roman" w:cs="Times New Roman"/>
          <w:b/>
          <w:bCs/>
        </w:rPr>
        <w:t>A tantárgyfelelős oktató neve, beosztása, tudományos fokozata:</w:t>
      </w:r>
      <w:r w:rsidRPr="00310B07">
        <w:rPr>
          <w:rFonts w:ascii="Times New Roman" w:eastAsia="Times New Roman" w:hAnsi="Times New Roman" w:cs="Times New Roman"/>
          <w:bCs/>
        </w:rPr>
        <w:t xml:space="preserve"> </w:t>
      </w:r>
      <w:r w:rsidRPr="00310B07">
        <w:rPr>
          <w:rFonts w:ascii="Times New Roman" w:hAnsi="Times New Roman" w:cs="Times New Roman"/>
          <w:lang w:eastAsia="x-none"/>
        </w:rPr>
        <w:t>Dr. Szászi Gábor egyetemi docens, PhD</w:t>
      </w:r>
      <w:r w:rsidRPr="00310B07">
        <w:rPr>
          <w:rFonts w:ascii="Times New Roman" w:eastAsia="Times New Roman" w:hAnsi="Times New Roman" w:cs="Times New Roman"/>
          <w:bCs/>
        </w:rPr>
        <w:t xml:space="preserve"> </w:t>
      </w:r>
    </w:p>
    <w:p w:rsidR="00310B07" w:rsidRPr="00310B07" w:rsidRDefault="00310B07" w:rsidP="00980876">
      <w:pPr>
        <w:widowControl w:val="0"/>
        <w:numPr>
          <w:ilvl w:val="0"/>
          <w:numId w:val="289"/>
        </w:numPr>
        <w:tabs>
          <w:tab w:val="num" w:pos="567"/>
        </w:tabs>
        <w:spacing w:before="120" w:after="120" w:line="240" w:lineRule="auto"/>
        <w:ind w:left="426" w:hanging="142"/>
        <w:jc w:val="both"/>
        <w:rPr>
          <w:rFonts w:ascii="Times New Roman" w:eastAsia="Times New Roman" w:hAnsi="Times New Roman" w:cs="Times New Roman"/>
          <w:bCs/>
        </w:rPr>
      </w:pPr>
      <w:r w:rsidRPr="00310B07">
        <w:rPr>
          <w:rFonts w:ascii="Times New Roman" w:eastAsia="Times New Roman" w:hAnsi="Times New Roman" w:cs="Times New Roman"/>
          <w:b/>
          <w:bCs/>
        </w:rPr>
        <w:t>A tanórák száma és típusa</w:t>
      </w:r>
    </w:p>
    <w:p w:rsidR="00310B07" w:rsidRPr="00310B07" w:rsidRDefault="00310B07" w:rsidP="00980876">
      <w:pPr>
        <w:widowControl w:val="0"/>
        <w:numPr>
          <w:ilvl w:val="1"/>
          <w:numId w:val="289"/>
        </w:numPr>
        <w:tabs>
          <w:tab w:val="num" w:pos="709"/>
          <w:tab w:val="num" w:pos="2069"/>
        </w:tabs>
        <w:spacing w:before="120" w:after="120" w:line="240" w:lineRule="auto"/>
        <w:ind w:left="851" w:hanging="425"/>
        <w:jc w:val="both"/>
        <w:rPr>
          <w:rFonts w:ascii="Times New Roman" w:eastAsia="Times New Roman" w:hAnsi="Times New Roman" w:cs="Times New Roman"/>
          <w:bCs/>
        </w:rPr>
      </w:pPr>
      <w:r w:rsidRPr="00310B07">
        <w:rPr>
          <w:rFonts w:ascii="Times New Roman" w:eastAsia="Times New Roman" w:hAnsi="Times New Roman" w:cs="Times New Roman"/>
          <w:bCs/>
        </w:rPr>
        <w:t>össz óraszám/félév: 56</w:t>
      </w:r>
    </w:p>
    <w:p w:rsidR="00310B07" w:rsidRPr="00310B07" w:rsidRDefault="00310B07" w:rsidP="00980876">
      <w:pPr>
        <w:widowControl w:val="0"/>
        <w:numPr>
          <w:ilvl w:val="2"/>
          <w:numId w:val="289"/>
        </w:numPr>
        <w:tabs>
          <w:tab w:val="num" w:pos="709"/>
          <w:tab w:val="num" w:pos="1134"/>
        </w:tabs>
        <w:spacing w:before="120" w:after="120" w:line="240" w:lineRule="auto"/>
        <w:ind w:left="993" w:hanging="425"/>
        <w:jc w:val="both"/>
        <w:rPr>
          <w:rFonts w:ascii="Times New Roman" w:eastAsia="Times New Roman" w:hAnsi="Times New Roman" w:cs="Times New Roman"/>
          <w:bCs/>
        </w:rPr>
      </w:pPr>
      <w:r w:rsidRPr="00310B07">
        <w:rPr>
          <w:rFonts w:ascii="Times New Roman" w:eastAsia="Times New Roman" w:hAnsi="Times New Roman" w:cs="Times New Roman"/>
          <w:bCs/>
        </w:rPr>
        <w:t>nappali munkarend: 56 (42 EA + 0 SZ + 14 GY)</w:t>
      </w:r>
    </w:p>
    <w:p w:rsidR="00310B07" w:rsidRPr="00310B07" w:rsidRDefault="00310B07" w:rsidP="00980876">
      <w:pPr>
        <w:widowControl w:val="0"/>
        <w:numPr>
          <w:ilvl w:val="2"/>
          <w:numId w:val="289"/>
        </w:numPr>
        <w:tabs>
          <w:tab w:val="num" w:pos="709"/>
          <w:tab w:val="num" w:pos="1134"/>
        </w:tabs>
        <w:spacing w:before="120" w:after="120" w:line="240" w:lineRule="auto"/>
        <w:ind w:left="993" w:hanging="425"/>
        <w:jc w:val="both"/>
        <w:rPr>
          <w:rFonts w:ascii="Times New Roman" w:eastAsia="Times New Roman" w:hAnsi="Times New Roman" w:cs="Times New Roman"/>
          <w:bCs/>
        </w:rPr>
      </w:pPr>
      <w:r w:rsidRPr="00310B07">
        <w:rPr>
          <w:rFonts w:ascii="Times New Roman" w:eastAsia="Times New Roman" w:hAnsi="Times New Roman" w:cs="Times New Roman"/>
          <w:bCs/>
        </w:rPr>
        <w:t>levelező munkarend: 0 (0 EA + 0 SZ + 0 GY)</w:t>
      </w:r>
    </w:p>
    <w:p w:rsidR="00310B07" w:rsidRPr="00310B07" w:rsidRDefault="00310B07" w:rsidP="00980876">
      <w:pPr>
        <w:widowControl w:val="0"/>
        <w:numPr>
          <w:ilvl w:val="1"/>
          <w:numId w:val="289"/>
        </w:numPr>
        <w:tabs>
          <w:tab w:val="num" w:pos="709"/>
          <w:tab w:val="num" w:pos="2069"/>
        </w:tabs>
        <w:spacing w:before="120" w:after="120" w:line="240" w:lineRule="auto"/>
        <w:ind w:left="851" w:hanging="425"/>
        <w:jc w:val="both"/>
        <w:rPr>
          <w:rFonts w:ascii="Times New Roman" w:eastAsia="Times New Roman" w:hAnsi="Times New Roman" w:cs="Times New Roman"/>
          <w:bCs/>
        </w:rPr>
      </w:pPr>
      <w:r w:rsidRPr="00310B07">
        <w:rPr>
          <w:rFonts w:ascii="Times New Roman" w:eastAsia="Times New Roman" w:hAnsi="Times New Roman" w:cs="Times New Roman"/>
          <w:bCs/>
        </w:rPr>
        <w:t>heti óraszám - nappali munkarend: 4</w:t>
      </w:r>
      <w:r w:rsidR="00D9638D">
        <w:rPr>
          <w:rFonts w:ascii="Times New Roman" w:eastAsia="Times New Roman" w:hAnsi="Times New Roman" w:cs="Times New Roman"/>
          <w:bCs/>
        </w:rPr>
        <w:t xml:space="preserve"> (3+1)</w:t>
      </w:r>
    </w:p>
    <w:p w:rsidR="00310B07" w:rsidRPr="00310B07" w:rsidRDefault="00310B07" w:rsidP="00980876">
      <w:pPr>
        <w:widowControl w:val="0"/>
        <w:numPr>
          <w:ilvl w:val="1"/>
          <w:numId w:val="289"/>
        </w:numPr>
        <w:tabs>
          <w:tab w:val="num" w:pos="709"/>
          <w:tab w:val="num" w:pos="2069"/>
        </w:tabs>
        <w:spacing w:before="120" w:after="120" w:line="240" w:lineRule="auto"/>
        <w:ind w:left="851" w:hanging="425"/>
        <w:jc w:val="both"/>
        <w:rPr>
          <w:rFonts w:ascii="Times New Roman" w:eastAsia="Times New Roman" w:hAnsi="Times New Roman" w:cs="Times New Roman"/>
          <w:bCs/>
        </w:rPr>
      </w:pPr>
      <w:r w:rsidRPr="00310B07">
        <w:rPr>
          <w:rFonts w:ascii="Times New Roman" w:hAnsi="Times New Roman" w:cs="Times New Roman"/>
        </w:rPr>
        <w:t>Az ismeret átadásában alkalmazandó további sajátos módok, jellemzők: -</w:t>
      </w:r>
    </w:p>
    <w:p w:rsidR="00310B07" w:rsidRPr="00310B07" w:rsidRDefault="00310B07" w:rsidP="00980876">
      <w:pPr>
        <w:pStyle w:val="lfej"/>
        <w:numPr>
          <w:ilvl w:val="0"/>
          <w:numId w:val="289"/>
        </w:numPr>
        <w:tabs>
          <w:tab w:val="clear" w:pos="720"/>
          <w:tab w:val="clear" w:pos="4536"/>
          <w:tab w:val="center" w:pos="4819"/>
        </w:tabs>
        <w:spacing w:before="120"/>
        <w:ind w:left="567" w:hanging="283"/>
        <w:jc w:val="both"/>
        <w:rPr>
          <w:rFonts w:ascii="Times New Roman" w:eastAsia="Times New Roman" w:hAnsi="Times New Roman" w:cs="Times New Roman"/>
          <w:bCs/>
        </w:rPr>
      </w:pPr>
      <w:r w:rsidRPr="00310B07">
        <w:rPr>
          <w:rFonts w:ascii="Times New Roman" w:eastAsia="Times New Roman" w:hAnsi="Times New Roman" w:cs="Times New Roman"/>
          <w:b/>
          <w:bCs/>
        </w:rPr>
        <w:t xml:space="preserve">A tantárgy szakmai tartalma (magyarul): </w:t>
      </w:r>
      <w:r w:rsidRPr="00310B07">
        <w:rPr>
          <w:rFonts w:ascii="Times New Roman" w:hAnsi="Times New Roman" w:cs="Times New Roman"/>
        </w:rPr>
        <w:t>Szállító-kiszolgáló (logisztikai) alegységek vezetésének rendje. A személyi állomány ellátásának rendje. A 24 órás szolgálatok ellátásának rendje. Az alegység ellenőrzése, anyagainak, technikai eszközeinek leltározása. A káreljárások lefolytatásának rendje. Esemény, rendkívüli esemény kivizsgálása. A szolgálati beosztás átadás-átvételének szabályai. Az alegység magasabb készenlétbe helyezésének feladatai. Logisztikai alegység vezetésének sajátosságai.</w:t>
      </w:r>
    </w:p>
    <w:p w:rsidR="00310B07" w:rsidRPr="00310B07" w:rsidRDefault="00310B07" w:rsidP="00B104EE">
      <w:pPr>
        <w:pStyle w:val="lfej"/>
        <w:tabs>
          <w:tab w:val="clear" w:pos="4536"/>
          <w:tab w:val="center" w:pos="4819"/>
        </w:tabs>
        <w:spacing w:before="120"/>
        <w:ind w:left="567"/>
        <w:jc w:val="both"/>
        <w:rPr>
          <w:rFonts w:ascii="Times New Roman" w:eastAsia="Times New Roman" w:hAnsi="Times New Roman" w:cs="Times New Roman"/>
          <w:bCs/>
          <w:lang w:val="en-GB"/>
        </w:rPr>
      </w:pPr>
      <w:r w:rsidRPr="00310B07">
        <w:rPr>
          <w:rFonts w:ascii="Times New Roman" w:eastAsia="Times New Roman" w:hAnsi="Times New Roman" w:cs="Times New Roman"/>
          <w:b/>
          <w:bCs/>
        </w:rPr>
        <w:t>A tantárgy szakmai tartalma (angolul) (</w:t>
      </w:r>
      <w:r w:rsidRPr="00310B07">
        <w:rPr>
          <w:rFonts w:ascii="Times New Roman" w:eastAsia="Times New Roman" w:hAnsi="Times New Roman" w:cs="Times New Roman"/>
          <w:b/>
          <w:bCs/>
          <w:lang w:val="en-US"/>
        </w:rPr>
        <w:t>Course description</w:t>
      </w:r>
      <w:r w:rsidRPr="00310B07">
        <w:rPr>
          <w:rFonts w:ascii="Times New Roman" w:eastAsia="Times New Roman" w:hAnsi="Times New Roman" w:cs="Times New Roman"/>
          <w:b/>
          <w:bCs/>
        </w:rPr>
        <w:t xml:space="preserve">): </w:t>
      </w:r>
      <w:r w:rsidRPr="00310B07">
        <w:rPr>
          <w:rFonts w:ascii="Times New Roman" w:hAnsi="Times New Roman" w:cs="Times New Roman"/>
          <w:bCs/>
          <w:lang w:val="en-GB"/>
        </w:rPr>
        <w:t>Controlling logistic (transportation-supply) sub-units. Supply of personal staff. Performance of 24-hour services. Controlling the sub-unit, inventory of the appliances and technical instruments. Legal procedures concerning harmful events. Examination of events and extraordinary events. Duties concerning the alarm of the sub-unit. Characteristics of leading logistic sub-units.</w:t>
      </w:r>
    </w:p>
    <w:p w:rsidR="00310B07" w:rsidRPr="00310B07" w:rsidRDefault="00310B07" w:rsidP="00980876">
      <w:pPr>
        <w:pStyle w:val="Listaszerbekezds"/>
        <w:widowControl w:val="0"/>
        <w:numPr>
          <w:ilvl w:val="0"/>
          <w:numId w:val="289"/>
        </w:numPr>
        <w:spacing w:before="120" w:after="120" w:line="240" w:lineRule="auto"/>
        <w:jc w:val="both"/>
        <w:rPr>
          <w:rFonts w:ascii="Times New Roman" w:eastAsia="Times New Roman" w:hAnsi="Times New Roman" w:cs="Times New Roman"/>
          <w:bCs/>
        </w:rPr>
      </w:pPr>
      <w:r w:rsidRPr="00310B07">
        <w:rPr>
          <w:rFonts w:ascii="Times New Roman" w:eastAsia="Times New Roman" w:hAnsi="Times New Roman" w:cs="Times New Roman"/>
          <w:b/>
          <w:bCs/>
        </w:rPr>
        <w:t xml:space="preserve">Elérendő kompetenciák (magyarul): </w:t>
      </w:r>
    </w:p>
    <w:p w:rsidR="00310B07" w:rsidRPr="00310B07" w:rsidRDefault="00310B07" w:rsidP="00310B07">
      <w:pPr>
        <w:autoSpaceDE w:val="0"/>
        <w:autoSpaceDN w:val="0"/>
        <w:adjustRightInd w:val="0"/>
        <w:spacing w:before="120" w:after="0" w:line="240" w:lineRule="auto"/>
        <w:ind w:left="425"/>
        <w:jc w:val="both"/>
        <w:rPr>
          <w:rFonts w:ascii="Times New Roman" w:eastAsia="Times New Roman" w:hAnsi="Times New Roman" w:cs="Times New Roman"/>
          <w:b/>
          <w:bCs/>
        </w:rPr>
      </w:pPr>
      <w:r w:rsidRPr="00310B07">
        <w:rPr>
          <w:rFonts w:ascii="Times New Roman" w:eastAsia="Times New Roman" w:hAnsi="Times New Roman" w:cs="Times New Roman"/>
          <w:b/>
          <w:bCs/>
        </w:rPr>
        <w:t xml:space="preserve">Tudása: </w:t>
      </w:r>
    </w:p>
    <w:p w:rsidR="00310B07" w:rsidRPr="00310B07" w:rsidRDefault="00310B07"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310B07">
        <w:rPr>
          <w:rFonts w:ascii="Times New Roman" w:hAnsi="Times New Roman" w:cs="Times New Roman"/>
        </w:rPr>
        <w:t>Ismeri a katonai közlekedési szakterülethez szervesen kapcsolódó logisztikai, jogi szakterületek alapjait és követelményeit.</w:t>
      </w:r>
    </w:p>
    <w:p w:rsidR="00310B07" w:rsidRPr="00310B07" w:rsidRDefault="00310B07"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310B07">
        <w:rPr>
          <w:rFonts w:ascii="Times New Roman" w:hAnsi="Times New Roman" w:cs="Times New Roman"/>
        </w:rPr>
        <w:t>Ismeri a katonai közlekedési szakanyagok készletezésének, tárolásának, nyilvántartásának és leltározásának, valamint ezen folyamatok ellenőrzésének feladatait és kötelezettségeit.</w:t>
      </w:r>
    </w:p>
    <w:p w:rsidR="00310B07" w:rsidRPr="00310B07" w:rsidRDefault="00310B07"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310B07">
        <w:rPr>
          <w:rFonts w:ascii="Times New Roman" w:hAnsi="Times New Roman" w:cs="Times New Roman"/>
        </w:rPr>
        <w:t>Mélyrehatóan ismeri a katonai közlekedési szakterület szakmai feladatait, a közlekedési szakfeladatok rendszerét, az egyes feladatok végrehajtásának sajátosságait.</w:t>
      </w:r>
    </w:p>
    <w:p w:rsidR="00310B07" w:rsidRPr="00310B07" w:rsidRDefault="00310B07"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310B07">
        <w:rPr>
          <w:rFonts w:ascii="Times New Roman" w:hAnsi="Times New Roman" w:cs="Times New Roman"/>
        </w:rPr>
        <w:t>Ismeri a katonai közlekedési igények felmérésének módszereit és megvalósítási lehetőségeit, gyakorlatát.</w:t>
      </w:r>
    </w:p>
    <w:p w:rsidR="00B104EE" w:rsidRDefault="00B104EE" w:rsidP="00310B07">
      <w:pPr>
        <w:autoSpaceDE w:val="0"/>
        <w:autoSpaceDN w:val="0"/>
        <w:adjustRightInd w:val="0"/>
        <w:spacing w:before="120" w:after="0" w:line="240" w:lineRule="auto"/>
        <w:ind w:left="425"/>
        <w:jc w:val="both"/>
        <w:rPr>
          <w:rFonts w:ascii="Times New Roman" w:eastAsia="Times New Roman" w:hAnsi="Times New Roman" w:cs="Times New Roman"/>
          <w:b/>
          <w:bCs/>
        </w:rPr>
      </w:pPr>
    </w:p>
    <w:p w:rsidR="00310B07" w:rsidRPr="00310B07" w:rsidRDefault="00310B07" w:rsidP="00310B07">
      <w:pPr>
        <w:autoSpaceDE w:val="0"/>
        <w:autoSpaceDN w:val="0"/>
        <w:adjustRightInd w:val="0"/>
        <w:spacing w:before="120" w:after="0" w:line="240" w:lineRule="auto"/>
        <w:ind w:left="425"/>
        <w:jc w:val="both"/>
        <w:rPr>
          <w:rFonts w:ascii="Times New Roman" w:eastAsia="Times New Roman" w:hAnsi="Times New Roman" w:cs="Times New Roman"/>
          <w:bCs/>
        </w:rPr>
      </w:pPr>
      <w:r w:rsidRPr="00310B07">
        <w:rPr>
          <w:rFonts w:ascii="Times New Roman" w:eastAsia="Times New Roman" w:hAnsi="Times New Roman" w:cs="Times New Roman"/>
          <w:b/>
          <w:bCs/>
        </w:rPr>
        <w:lastRenderedPageBreak/>
        <w:t>Képességei:</w:t>
      </w:r>
      <w:r w:rsidRPr="00310B07">
        <w:rPr>
          <w:rFonts w:ascii="Times New Roman" w:eastAsia="Times New Roman" w:hAnsi="Times New Roman" w:cs="Times New Roman"/>
          <w:bCs/>
        </w:rPr>
        <w:t xml:space="preserve"> </w:t>
      </w:r>
    </w:p>
    <w:p w:rsidR="00310B07" w:rsidRPr="00310B07" w:rsidRDefault="00310B07"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310B07">
        <w:rPr>
          <w:rFonts w:ascii="Times New Roman" w:hAnsi="Times New Roman" w:cs="Times New Roman"/>
        </w:rPr>
        <w:t>Az általános és specifikus katonai ismeretei és készségei birtokában képes a katonai közlekedési, mozgatási, szállítási feladatok tervezésére, szervezésére és vezetésére.</w:t>
      </w:r>
    </w:p>
    <w:p w:rsidR="00310B07" w:rsidRPr="00310B07" w:rsidRDefault="00310B07"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310B07">
        <w:rPr>
          <w:rFonts w:ascii="Times New Roman" w:hAnsi="Times New Roman" w:cs="Times New Roman"/>
        </w:rPr>
        <w:t>Képes békeidőszakban, válságkezelő, katasztrófa-elhárítási, béketámogató és háborús műveletekben, nemzeti és többnemzeti környezetben a szállító szakalegységek alaprendeltetéséből fakadó feladatai végrehajtásának vezetésére.</w:t>
      </w:r>
    </w:p>
    <w:p w:rsidR="00310B07" w:rsidRPr="00310B07" w:rsidRDefault="00310B07"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310B07">
        <w:rPr>
          <w:rFonts w:ascii="Times New Roman" w:hAnsi="Times New Roman" w:cs="Times New Roman"/>
        </w:rPr>
        <w:t>Képes a közlekedési hálózatok katonai célú alkalmazásának tervezésére, szervezésére és végrehajtására.</w:t>
      </w:r>
    </w:p>
    <w:p w:rsidR="00310B07" w:rsidRPr="00310B07" w:rsidRDefault="00310B07"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310B07">
        <w:rPr>
          <w:rFonts w:ascii="Times New Roman" w:hAnsi="Times New Roman" w:cs="Times New Roman"/>
        </w:rPr>
        <w:t>Képes a közlekedési folyamatokat támogató közlekedésinformatikai rendszerek alkalmazására, az azokkal kapcsolatos felhasználói alapkövetelmények megfogalmazására.</w:t>
      </w:r>
    </w:p>
    <w:p w:rsidR="00310B07" w:rsidRPr="00310B07" w:rsidRDefault="00310B07" w:rsidP="00310B07">
      <w:pPr>
        <w:autoSpaceDE w:val="0"/>
        <w:autoSpaceDN w:val="0"/>
        <w:adjustRightInd w:val="0"/>
        <w:spacing w:before="120" w:after="0" w:line="240" w:lineRule="auto"/>
        <w:ind w:left="425"/>
        <w:jc w:val="both"/>
        <w:rPr>
          <w:rFonts w:ascii="Times New Roman" w:eastAsia="Times New Roman" w:hAnsi="Times New Roman" w:cs="Times New Roman"/>
          <w:b/>
          <w:bCs/>
        </w:rPr>
      </w:pPr>
      <w:r w:rsidRPr="00310B07">
        <w:rPr>
          <w:rFonts w:ascii="Times New Roman" w:eastAsia="Times New Roman" w:hAnsi="Times New Roman" w:cs="Times New Roman"/>
          <w:b/>
          <w:bCs/>
        </w:rPr>
        <w:t xml:space="preserve">Attitűdje: </w:t>
      </w:r>
    </w:p>
    <w:p w:rsidR="00310B07" w:rsidRPr="00310B07" w:rsidRDefault="00310B07"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310B07">
        <w:rPr>
          <w:rFonts w:ascii="Times New Roman" w:hAnsi="Times New Roman" w:cs="Times New Roman"/>
        </w:rPr>
        <w:t>Törekszik arra, hogy önképzése a katonai közlekedési szakterületen folyamatos és szakmai céljaival megegyező legyen.</w:t>
      </w:r>
    </w:p>
    <w:p w:rsidR="00310B07" w:rsidRPr="00310B07" w:rsidRDefault="00310B07"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310B07">
        <w:rPr>
          <w:rFonts w:ascii="Times New Roman" w:hAnsi="Times New Roman" w:cs="Times New Roman"/>
        </w:rPr>
        <w:t>Elkötelezett a minőségi szakmai munkavégzés iránt, különös tekintettel a közlekedési, szállítási feladatok és folyamatok biztonságos végrehajtására.</w:t>
      </w:r>
    </w:p>
    <w:p w:rsidR="00310B07" w:rsidRPr="00310B07" w:rsidRDefault="00310B07"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310B07">
        <w:rPr>
          <w:rFonts w:ascii="Times New Roman" w:hAnsi="Times New Roman" w:cs="Times New Roman"/>
        </w:rPr>
        <w:t>Figyel beosztottjai szakmai fejlődésének előmozdítására, ilyen irányú törekvéseik kezelésére és segítésére.</w:t>
      </w:r>
    </w:p>
    <w:p w:rsidR="00310B07" w:rsidRPr="00310B07" w:rsidRDefault="00310B07"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310B07">
        <w:rPr>
          <w:rFonts w:ascii="Times New Roman" w:hAnsi="Times New Roman" w:cs="Times New Roman"/>
        </w:rPr>
        <w:t>Megosztja tapasztalatait munkatársaival, így segítve fejlődésüket.</w:t>
      </w:r>
    </w:p>
    <w:p w:rsidR="00310B07" w:rsidRPr="00310B07" w:rsidRDefault="00310B07" w:rsidP="00310B07">
      <w:pPr>
        <w:autoSpaceDE w:val="0"/>
        <w:autoSpaceDN w:val="0"/>
        <w:adjustRightInd w:val="0"/>
        <w:spacing w:before="120" w:after="0" w:line="240" w:lineRule="auto"/>
        <w:ind w:left="425"/>
        <w:jc w:val="both"/>
        <w:rPr>
          <w:rFonts w:ascii="Times New Roman" w:eastAsia="Times New Roman" w:hAnsi="Times New Roman" w:cs="Times New Roman"/>
          <w:b/>
          <w:bCs/>
        </w:rPr>
      </w:pPr>
      <w:r w:rsidRPr="00310B07">
        <w:rPr>
          <w:rFonts w:ascii="Times New Roman" w:eastAsia="Times New Roman" w:hAnsi="Times New Roman" w:cs="Times New Roman"/>
          <w:b/>
          <w:bCs/>
        </w:rPr>
        <w:t xml:space="preserve">Autonómiája és felelőssége: </w:t>
      </w:r>
    </w:p>
    <w:p w:rsidR="00310B07" w:rsidRPr="00310B07" w:rsidRDefault="00310B07"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310B07">
        <w:rPr>
          <w:rFonts w:ascii="Times New Roman" w:hAnsi="Times New Roman" w:cs="Times New Roman"/>
        </w:rPr>
        <w:t>A katonai közlekedés szakterületén megjelenő folyamatokban képes önállóan döntéseket hozni, azokat felelősséggel, a jogszabályi keretek figyelembevételével végrehajtani.</w:t>
      </w:r>
    </w:p>
    <w:p w:rsidR="00310B07" w:rsidRPr="00310B07" w:rsidRDefault="00310B07"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310B07">
        <w:rPr>
          <w:rFonts w:ascii="Times New Roman" w:hAnsi="Times New Roman" w:cs="Times New Roman"/>
        </w:rPr>
        <w:t>Tisztában van döntéseinek, tevékenységének a katonai logisztikai folyamatok egészére gyakorolt hatásaival, következményeivel.</w:t>
      </w:r>
    </w:p>
    <w:p w:rsidR="00310B07" w:rsidRPr="00310B07" w:rsidRDefault="00310B07"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310B07">
        <w:rPr>
          <w:rFonts w:ascii="Times New Roman" w:hAnsi="Times New Roman" w:cs="Times New Roman"/>
        </w:rPr>
        <w:t>Szakmai feladatainak elvégzése során felelősségteljesen együttműködik más szakterület képzett szakembereivel is.</w:t>
      </w:r>
    </w:p>
    <w:p w:rsidR="00310B07" w:rsidRPr="00310B07" w:rsidRDefault="00310B07"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310B07">
        <w:rPr>
          <w:rFonts w:ascii="Times New Roman" w:hAnsi="Times New Roman" w:cs="Times New Roman"/>
        </w:rPr>
        <w:t>Feltárja az alkalmazott technológiák hiányosságait, a folyamatok kockázatait és kezdeményezi az ezeket csökkentő intézkedések megtételét.</w:t>
      </w:r>
    </w:p>
    <w:p w:rsidR="00310B07" w:rsidRPr="00310B07" w:rsidRDefault="00310B07"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310B07">
        <w:rPr>
          <w:rFonts w:ascii="Times New Roman" w:hAnsi="Times New Roman" w:cs="Times New Roman"/>
        </w:rPr>
        <w:t>Parancsnokának útmutatása alapján irányítja a rábízott személyi állomány munkavégzését, felügyeli a közlekedési, szállítási folyamatok tervezését, szervezését, végrehajtását, a közlekedési szaktechnikai eszközök üzemeltetését.</w:t>
      </w:r>
    </w:p>
    <w:p w:rsidR="00310B07" w:rsidRPr="00310B07" w:rsidRDefault="00310B07"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310B07">
        <w:rPr>
          <w:rFonts w:ascii="Times New Roman" w:hAnsi="Times New Roman" w:cs="Times New Roman"/>
        </w:rPr>
        <w:t>Értékeli a beosztottak munkavégzésének hatékonyságát, eredményességét.</w:t>
      </w:r>
    </w:p>
    <w:p w:rsidR="00310B07" w:rsidRPr="00310B07" w:rsidRDefault="00310B07" w:rsidP="00310B07">
      <w:pPr>
        <w:widowControl w:val="0"/>
        <w:spacing w:before="120" w:after="120" w:line="240" w:lineRule="auto"/>
        <w:ind w:left="426"/>
        <w:jc w:val="both"/>
        <w:rPr>
          <w:rFonts w:ascii="Times New Roman" w:eastAsia="Times New Roman" w:hAnsi="Times New Roman" w:cs="Times New Roman"/>
          <w:b/>
          <w:bCs/>
          <w:lang w:val="en-US"/>
        </w:rPr>
      </w:pPr>
      <w:r w:rsidRPr="00310B07">
        <w:rPr>
          <w:rFonts w:ascii="Times New Roman" w:eastAsia="Times New Roman" w:hAnsi="Times New Roman" w:cs="Times New Roman"/>
          <w:b/>
          <w:bCs/>
        </w:rPr>
        <w:t>Elérendő kompetenciák (angolul) (</w:t>
      </w:r>
      <w:r w:rsidRPr="00310B07">
        <w:rPr>
          <w:rFonts w:ascii="Times New Roman" w:eastAsia="Times New Roman" w:hAnsi="Times New Roman" w:cs="Times New Roman"/>
          <w:b/>
          <w:bCs/>
          <w:lang w:val="en-US"/>
        </w:rPr>
        <w:t xml:space="preserve">Competences – English): </w:t>
      </w:r>
    </w:p>
    <w:p w:rsidR="00310B07" w:rsidRPr="00310B07" w:rsidRDefault="00310B07" w:rsidP="00310B07">
      <w:pPr>
        <w:widowControl w:val="0"/>
        <w:spacing w:before="120" w:after="120" w:line="240" w:lineRule="auto"/>
        <w:ind w:left="426"/>
        <w:jc w:val="both"/>
        <w:rPr>
          <w:rFonts w:ascii="Times New Roman" w:eastAsia="Times New Roman" w:hAnsi="Times New Roman" w:cs="Times New Roman"/>
          <w:lang w:val="en-GB"/>
        </w:rPr>
      </w:pPr>
      <w:r w:rsidRPr="00310B07">
        <w:rPr>
          <w:rFonts w:ascii="Times New Roman" w:eastAsia="Times New Roman" w:hAnsi="Times New Roman" w:cs="Times New Roman"/>
          <w:b/>
          <w:lang w:val="en-GB"/>
        </w:rPr>
        <w:t>Knowledge</w:t>
      </w:r>
      <w:r w:rsidRPr="00310B07">
        <w:rPr>
          <w:rFonts w:ascii="Times New Roman" w:eastAsia="Times New Roman" w:hAnsi="Times New Roman" w:cs="Times New Roman"/>
          <w:lang w:val="en-GB"/>
        </w:rPr>
        <w:t xml:space="preserve">: </w:t>
      </w:r>
    </w:p>
    <w:p w:rsidR="00310B07" w:rsidRPr="00310B07" w:rsidRDefault="00310B07"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310B07">
        <w:rPr>
          <w:rFonts w:ascii="Times New Roman" w:hAnsi="Times New Roman" w:cs="Times New Roman"/>
        </w:rPr>
        <w:t>Knows the basics and requirements of, law and connected to the field of military transportation.</w:t>
      </w:r>
    </w:p>
    <w:p w:rsidR="00310B07" w:rsidRPr="00310B07" w:rsidRDefault="00310B07"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310B07">
        <w:rPr>
          <w:rFonts w:ascii="Times New Roman" w:hAnsi="Times New Roman" w:cs="Times New Roman"/>
        </w:rPr>
        <w:t>Is familiar with the tasks and responsibilities of stockpiling, storing, registering and inventorying of military transportation assets and is able to control these processes.</w:t>
      </w:r>
    </w:p>
    <w:p w:rsidR="00310B07" w:rsidRPr="00310B07" w:rsidRDefault="00310B07"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310B07">
        <w:rPr>
          <w:rFonts w:ascii="Times New Roman" w:hAnsi="Times New Roman" w:cs="Times New Roman"/>
        </w:rPr>
        <w:t>Has a profound knowledge of the tasks and the system of military transportation and the unique characteristics of performing each task.</w:t>
      </w:r>
    </w:p>
    <w:p w:rsidR="00310B07" w:rsidRPr="00310B07" w:rsidRDefault="00310B07"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310B07">
        <w:rPr>
          <w:rFonts w:ascii="Times New Roman" w:hAnsi="Times New Roman" w:cs="Times New Roman"/>
        </w:rPr>
        <w:t>Is familiar with the methods of assessing the requirements of military transportation and its feasibility and practical implementation.</w:t>
      </w:r>
    </w:p>
    <w:p w:rsidR="00310B07" w:rsidRPr="00310B07" w:rsidRDefault="00310B07" w:rsidP="00310B07">
      <w:pPr>
        <w:widowControl w:val="0"/>
        <w:spacing w:before="120" w:after="120" w:line="240" w:lineRule="auto"/>
        <w:ind w:left="426"/>
        <w:jc w:val="both"/>
        <w:rPr>
          <w:rFonts w:ascii="Times New Roman" w:eastAsia="Times New Roman" w:hAnsi="Times New Roman" w:cs="Times New Roman"/>
          <w:lang w:val="en-GB"/>
        </w:rPr>
      </w:pPr>
      <w:r w:rsidRPr="00310B07">
        <w:rPr>
          <w:rFonts w:ascii="Times New Roman" w:eastAsia="Times New Roman" w:hAnsi="Times New Roman" w:cs="Times New Roman"/>
          <w:b/>
          <w:lang w:val="en-GB"/>
        </w:rPr>
        <w:t>Capabilities</w:t>
      </w:r>
      <w:r w:rsidRPr="00310B07">
        <w:rPr>
          <w:rFonts w:ascii="Times New Roman" w:eastAsia="Times New Roman" w:hAnsi="Times New Roman" w:cs="Times New Roman"/>
          <w:lang w:val="en-GB"/>
        </w:rPr>
        <w:t>:</w:t>
      </w:r>
    </w:p>
    <w:p w:rsidR="00310B07" w:rsidRPr="00310B07" w:rsidRDefault="00310B07"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310B07">
        <w:rPr>
          <w:rFonts w:ascii="Times New Roman" w:hAnsi="Times New Roman" w:cs="Times New Roman"/>
        </w:rPr>
        <w:t>Using his/her general and specialized military knowledge and skills, he/she is capable of planning, organizing, and conducting military transport, movement, and transportation tasks.</w:t>
      </w:r>
    </w:p>
    <w:p w:rsidR="00310B07" w:rsidRPr="00310B07" w:rsidRDefault="00310B07"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310B07">
        <w:rPr>
          <w:rFonts w:ascii="Times New Roman" w:hAnsi="Times New Roman" w:cs="Times New Roman"/>
        </w:rPr>
        <w:t>Is capable of leading the execution of the tasks of a military transportation subunit in peace time and in crisis response, disaster relief, peace support and combat operations both in a national and a multinational environment.</w:t>
      </w:r>
    </w:p>
    <w:p w:rsidR="00310B07" w:rsidRPr="00310B07" w:rsidRDefault="00310B07"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310B07">
        <w:rPr>
          <w:rFonts w:ascii="Times New Roman" w:hAnsi="Times New Roman" w:cs="Times New Roman"/>
        </w:rPr>
        <w:t>Is capable of planning, organizing and executing the tasks related to the application of traffic networks for military purposes.</w:t>
      </w:r>
    </w:p>
    <w:p w:rsidR="00310B07" w:rsidRPr="00310B07" w:rsidRDefault="00310B07"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310B07">
        <w:rPr>
          <w:rFonts w:ascii="Times New Roman" w:hAnsi="Times New Roman" w:cs="Times New Roman"/>
        </w:rPr>
        <w:t>Is capable of applying traffic information systems to support transportation processes and formulating the basic user requirements related to them.</w:t>
      </w:r>
    </w:p>
    <w:p w:rsidR="00DC5CE6" w:rsidRDefault="00DC5CE6">
      <w:pPr>
        <w:spacing w:after="200" w:line="276" w:lineRule="auto"/>
        <w:rPr>
          <w:rFonts w:ascii="Times New Roman" w:eastAsia="Times New Roman" w:hAnsi="Times New Roman" w:cs="Times New Roman"/>
          <w:b/>
          <w:lang w:val="en-GB"/>
        </w:rPr>
      </w:pPr>
      <w:r>
        <w:rPr>
          <w:rFonts w:ascii="Times New Roman" w:eastAsia="Times New Roman" w:hAnsi="Times New Roman" w:cs="Times New Roman"/>
          <w:b/>
          <w:lang w:val="en-GB"/>
        </w:rPr>
        <w:br w:type="page"/>
      </w:r>
    </w:p>
    <w:p w:rsidR="00310B07" w:rsidRPr="00310B07" w:rsidRDefault="00310B07" w:rsidP="00310B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lang w:val="en-GB"/>
        </w:rPr>
      </w:pPr>
      <w:r w:rsidRPr="00310B07">
        <w:rPr>
          <w:rFonts w:ascii="Times New Roman" w:eastAsia="Times New Roman" w:hAnsi="Times New Roman" w:cs="Times New Roman"/>
          <w:b/>
          <w:lang w:val="en-GB"/>
        </w:rPr>
        <w:lastRenderedPageBreak/>
        <w:t>Attitude:</w:t>
      </w:r>
    </w:p>
    <w:p w:rsidR="00310B07" w:rsidRPr="00310B07" w:rsidRDefault="00310B07"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310B07">
        <w:rPr>
          <w:rFonts w:ascii="Times New Roman" w:hAnsi="Times New Roman" w:cs="Times New Roman"/>
        </w:rPr>
        <w:t>He/She strives for continuous self-education in the field of military transportation which is consistent with his/her professional goals.</w:t>
      </w:r>
    </w:p>
    <w:p w:rsidR="00310B07" w:rsidRPr="00310B07" w:rsidRDefault="00310B07"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310B07">
        <w:rPr>
          <w:rFonts w:ascii="Times New Roman" w:hAnsi="Times New Roman" w:cs="Times New Roman"/>
        </w:rPr>
        <w:t>He/She is committed to high quality in his/her professional work, with special emphasis on the safe execution of the transportation tasks and processes.</w:t>
      </w:r>
    </w:p>
    <w:p w:rsidR="00310B07" w:rsidRPr="00310B07" w:rsidRDefault="00310B07"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310B07">
        <w:rPr>
          <w:rFonts w:ascii="Times New Roman" w:hAnsi="Times New Roman" w:cs="Times New Roman"/>
        </w:rPr>
        <w:t>He/She is interested in promoting the professional development of his/her subordinates, and provides assistance in their efforts.</w:t>
      </w:r>
    </w:p>
    <w:p w:rsidR="00310B07" w:rsidRPr="00310B07" w:rsidRDefault="00310B07"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310B07">
        <w:rPr>
          <w:rFonts w:ascii="Times New Roman" w:hAnsi="Times New Roman" w:cs="Times New Roman"/>
        </w:rPr>
        <w:t>He/she is willing to share his/her experience with his/her colleagues to further their professional development.</w:t>
      </w:r>
    </w:p>
    <w:p w:rsidR="00310B07" w:rsidRPr="00310B07" w:rsidRDefault="00310B07" w:rsidP="00310B07">
      <w:pPr>
        <w:widowControl w:val="0"/>
        <w:spacing w:before="120" w:after="120" w:line="240" w:lineRule="auto"/>
        <w:ind w:left="426"/>
        <w:jc w:val="both"/>
        <w:rPr>
          <w:rFonts w:ascii="Times New Roman" w:eastAsia="Times New Roman" w:hAnsi="Times New Roman" w:cs="Times New Roman"/>
          <w:b/>
          <w:lang w:val="en-GB"/>
        </w:rPr>
      </w:pPr>
      <w:r w:rsidRPr="00310B07">
        <w:rPr>
          <w:rFonts w:ascii="Times New Roman" w:eastAsia="Times New Roman" w:hAnsi="Times New Roman" w:cs="Times New Roman"/>
          <w:b/>
          <w:lang w:val="en-GB"/>
        </w:rPr>
        <w:t xml:space="preserve">Autonomy and responsibility: </w:t>
      </w:r>
    </w:p>
    <w:p w:rsidR="00310B07" w:rsidRPr="00310B07" w:rsidRDefault="00310B07"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310B07">
        <w:rPr>
          <w:rFonts w:ascii="Times New Roman" w:hAnsi="Times New Roman" w:cs="Times New Roman"/>
        </w:rPr>
        <w:t>He/She is able to make decisions independently in the processes arising in the field of military transportation, and to implement them with responsibility and within the legal framework.</w:t>
      </w:r>
    </w:p>
    <w:p w:rsidR="00310B07" w:rsidRPr="00310B07" w:rsidRDefault="00310B07"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310B07">
        <w:rPr>
          <w:rFonts w:ascii="Times New Roman" w:hAnsi="Times New Roman" w:cs="Times New Roman"/>
        </w:rPr>
        <w:t>He/She is aware of the effects and consequences of his decisions and activities on the military logistic processes as a whole.</w:t>
      </w:r>
    </w:p>
    <w:p w:rsidR="00310B07" w:rsidRPr="00310B07" w:rsidRDefault="00310B07"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310B07">
        <w:rPr>
          <w:rFonts w:ascii="Times New Roman" w:hAnsi="Times New Roman" w:cs="Times New Roman"/>
        </w:rPr>
        <w:t xml:space="preserve">During his/her professional duties, he/she is willing to responsibly cooperate with specialists of other areas. </w:t>
      </w:r>
    </w:p>
    <w:p w:rsidR="00310B07" w:rsidRPr="00310B07" w:rsidRDefault="00310B07"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310B07">
        <w:rPr>
          <w:rFonts w:ascii="Times New Roman" w:hAnsi="Times New Roman" w:cs="Times New Roman"/>
        </w:rPr>
        <w:t>He/She can identify the deficiencies and risks in the applied technologies and initiates taking measures to reduce their impact.</w:t>
      </w:r>
    </w:p>
    <w:p w:rsidR="00310B07" w:rsidRPr="00310B07" w:rsidRDefault="00310B07"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310B07">
        <w:rPr>
          <w:rFonts w:ascii="Times New Roman" w:hAnsi="Times New Roman" w:cs="Times New Roman"/>
        </w:rPr>
        <w:t>Under the guidance of his/her commander, he/she controls the work of the personnel under his/her command and supervises the planning, organization and implementation of the transport and transportation processes, and also the operation of the technical equipment used in military transportation.</w:t>
      </w:r>
    </w:p>
    <w:p w:rsidR="00310B07" w:rsidRPr="00310B07" w:rsidRDefault="00310B07"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310B07">
        <w:rPr>
          <w:rFonts w:ascii="Times New Roman" w:hAnsi="Times New Roman" w:cs="Times New Roman"/>
        </w:rPr>
        <w:t>He/She continuously evaluates the efficiency and effectiveness of his/her subordinates' work.</w:t>
      </w:r>
    </w:p>
    <w:p w:rsidR="00310B07" w:rsidRPr="00310B07" w:rsidRDefault="00310B07" w:rsidP="00980876">
      <w:pPr>
        <w:widowControl w:val="0"/>
        <w:numPr>
          <w:ilvl w:val="0"/>
          <w:numId w:val="289"/>
        </w:numPr>
        <w:tabs>
          <w:tab w:val="num" w:pos="567"/>
        </w:tabs>
        <w:spacing w:before="120" w:after="120" w:line="240" w:lineRule="auto"/>
        <w:ind w:left="426" w:hanging="142"/>
        <w:jc w:val="both"/>
        <w:rPr>
          <w:rFonts w:ascii="Times New Roman" w:eastAsia="Times New Roman" w:hAnsi="Times New Roman" w:cs="Times New Roman"/>
          <w:bCs/>
        </w:rPr>
      </w:pPr>
      <w:r w:rsidRPr="00310B07">
        <w:rPr>
          <w:rFonts w:ascii="Times New Roman" w:eastAsia="Times New Roman" w:hAnsi="Times New Roman" w:cs="Times New Roman"/>
          <w:b/>
          <w:bCs/>
        </w:rPr>
        <w:t xml:space="preserve">Előtanulmányi követelmények: </w:t>
      </w:r>
      <w:r w:rsidRPr="00310B07">
        <w:rPr>
          <w:rFonts w:ascii="Times New Roman" w:hAnsi="Times New Roman" w:cs="Times New Roman"/>
        </w:rPr>
        <w:t>Nincs</w:t>
      </w:r>
    </w:p>
    <w:p w:rsidR="00310B07" w:rsidRPr="00310B07" w:rsidRDefault="00310B07" w:rsidP="00980876">
      <w:pPr>
        <w:widowControl w:val="0"/>
        <w:numPr>
          <w:ilvl w:val="0"/>
          <w:numId w:val="289"/>
        </w:numPr>
        <w:spacing w:before="120" w:after="120" w:line="240" w:lineRule="auto"/>
        <w:ind w:left="426" w:hanging="142"/>
        <w:jc w:val="both"/>
        <w:rPr>
          <w:rFonts w:ascii="Times New Roman" w:eastAsia="Times New Roman" w:hAnsi="Times New Roman" w:cs="Times New Roman"/>
          <w:b/>
          <w:bCs/>
        </w:rPr>
      </w:pPr>
      <w:r w:rsidRPr="00310B07">
        <w:rPr>
          <w:rFonts w:ascii="Times New Roman" w:eastAsia="Times New Roman" w:hAnsi="Times New Roman" w:cs="Times New Roman"/>
          <w:b/>
          <w:bCs/>
        </w:rPr>
        <w:t>A tantárgy tananyagának leírása, tematika. Description of the subject, curriculum (magyarul, angolul - English):</w:t>
      </w:r>
    </w:p>
    <w:p w:rsidR="00310B07" w:rsidRPr="00310B07" w:rsidRDefault="00310B07" w:rsidP="00980876">
      <w:pPr>
        <w:pStyle w:val="lfej"/>
        <w:numPr>
          <w:ilvl w:val="1"/>
          <w:numId w:val="289"/>
        </w:numPr>
        <w:spacing w:before="60"/>
        <w:ind w:left="993" w:hanging="574"/>
        <w:jc w:val="both"/>
        <w:rPr>
          <w:rFonts w:ascii="Times New Roman" w:hAnsi="Times New Roman" w:cs="Times New Roman"/>
          <w:bCs/>
        </w:rPr>
      </w:pPr>
      <w:r w:rsidRPr="00310B07">
        <w:rPr>
          <w:rFonts w:ascii="Times New Roman" w:hAnsi="Times New Roman" w:cs="Times New Roman"/>
        </w:rPr>
        <w:t xml:space="preserve">Szállító-kiszolgáló (logisztikai) alegységek vezetésének rendje, az alegység napi élete. </w:t>
      </w:r>
      <w:r w:rsidRPr="00B104EE">
        <w:rPr>
          <w:rFonts w:ascii="Times New Roman" w:hAnsi="Times New Roman" w:cs="Times New Roman"/>
          <w:i/>
        </w:rPr>
        <w:t>(</w:t>
      </w:r>
      <w:r w:rsidRPr="00B104EE">
        <w:rPr>
          <w:rStyle w:val="tlid-translation"/>
          <w:rFonts w:ascii="Times New Roman" w:hAnsi="Times New Roman" w:cs="Times New Roman"/>
          <w:i/>
          <w:lang w:val="en"/>
        </w:rPr>
        <w:t>Order of management of transport-service (logistics) subunits, daily life of the subunit.)</w:t>
      </w:r>
    </w:p>
    <w:p w:rsidR="00310B07" w:rsidRPr="00310B07" w:rsidRDefault="00310B07" w:rsidP="00980876">
      <w:pPr>
        <w:pStyle w:val="lfej"/>
        <w:numPr>
          <w:ilvl w:val="1"/>
          <w:numId w:val="289"/>
        </w:numPr>
        <w:spacing w:before="60"/>
        <w:ind w:left="993" w:hanging="574"/>
        <w:jc w:val="both"/>
        <w:rPr>
          <w:rFonts w:ascii="Times New Roman" w:hAnsi="Times New Roman" w:cs="Times New Roman"/>
          <w:bCs/>
        </w:rPr>
      </w:pPr>
      <w:r w:rsidRPr="00310B07">
        <w:rPr>
          <w:rFonts w:ascii="Times New Roman" w:hAnsi="Times New Roman" w:cs="Times New Roman"/>
        </w:rPr>
        <w:t xml:space="preserve">A katonáról való gondoskodás szabályai. </w:t>
      </w:r>
      <w:r w:rsidRPr="00B104EE">
        <w:rPr>
          <w:rFonts w:ascii="Times New Roman" w:hAnsi="Times New Roman" w:cs="Times New Roman"/>
          <w:i/>
        </w:rPr>
        <w:t>(</w:t>
      </w:r>
      <w:r w:rsidRPr="00B104EE">
        <w:rPr>
          <w:rStyle w:val="tlid-translation"/>
          <w:rFonts w:ascii="Times New Roman" w:hAnsi="Times New Roman" w:cs="Times New Roman"/>
          <w:i/>
          <w:lang w:val="en"/>
        </w:rPr>
        <w:t>Rules of caring for a soldier.)</w:t>
      </w:r>
    </w:p>
    <w:p w:rsidR="00310B07" w:rsidRPr="00310B07" w:rsidRDefault="00310B07" w:rsidP="00980876">
      <w:pPr>
        <w:pStyle w:val="lfej"/>
        <w:numPr>
          <w:ilvl w:val="1"/>
          <w:numId w:val="289"/>
        </w:numPr>
        <w:spacing w:before="60"/>
        <w:ind w:left="993" w:hanging="574"/>
        <w:jc w:val="both"/>
        <w:rPr>
          <w:rFonts w:ascii="Times New Roman" w:hAnsi="Times New Roman" w:cs="Times New Roman"/>
          <w:bCs/>
        </w:rPr>
      </w:pPr>
      <w:r w:rsidRPr="00310B07">
        <w:rPr>
          <w:rFonts w:ascii="Times New Roman" w:hAnsi="Times New Roman" w:cs="Times New Roman"/>
        </w:rPr>
        <w:t>A személyi állomány ellátásának rendje. A 24 órás szolgálatok tervezésének, szervezésének és ellátásának rendje.</w:t>
      </w:r>
      <w:r w:rsidRPr="00310B07">
        <w:rPr>
          <w:rStyle w:val="tlid-translation"/>
          <w:rFonts w:ascii="Times New Roman" w:hAnsi="Times New Roman" w:cs="Times New Roman"/>
          <w:lang w:val="en"/>
        </w:rPr>
        <w:t xml:space="preserve"> </w:t>
      </w:r>
      <w:r w:rsidRPr="00B104EE">
        <w:rPr>
          <w:rStyle w:val="tlid-translation"/>
          <w:rFonts w:ascii="Times New Roman" w:hAnsi="Times New Roman" w:cs="Times New Roman"/>
          <w:i/>
          <w:lang w:val="en"/>
        </w:rPr>
        <w:t>(Arrangements for staffing. Arrangement, organization and provision of 24-hour services.)</w:t>
      </w:r>
    </w:p>
    <w:p w:rsidR="00310B07" w:rsidRPr="00310B07" w:rsidRDefault="00310B07" w:rsidP="00980876">
      <w:pPr>
        <w:pStyle w:val="lfej"/>
        <w:numPr>
          <w:ilvl w:val="1"/>
          <w:numId w:val="289"/>
        </w:numPr>
        <w:spacing w:before="60"/>
        <w:ind w:left="993" w:hanging="574"/>
        <w:jc w:val="both"/>
        <w:rPr>
          <w:rFonts w:ascii="Times New Roman" w:hAnsi="Times New Roman" w:cs="Times New Roman"/>
          <w:bCs/>
        </w:rPr>
      </w:pPr>
      <w:r w:rsidRPr="00310B07">
        <w:rPr>
          <w:rFonts w:ascii="Times New Roman" w:hAnsi="Times New Roman" w:cs="Times New Roman"/>
        </w:rPr>
        <w:t xml:space="preserve">Az alegység ellenőrzése, anyagainak, technikai eszközeinek leltározása. </w:t>
      </w:r>
      <w:r w:rsidRPr="00B104EE">
        <w:rPr>
          <w:rFonts w:ascii="Times New Roman" w:hAnsi="Times New Roman" w:cs="Times New Roman"/>
          <w:i/>
        </w:rPr>
        <w:t>(</w:t>
      </w:r>
      <w:r w:rsidRPr="00B104EE">
        <w:rPr>
          <w:rStyle w:val="tlid-translation"/>
          <w:rFonts w:ascii="Times New Roman" w:hAnsi="Times New Roman" w:cs="Times New Roman"/>
          <w:i/>
          <w:lang w:val="en"/>
        </w:rPr>
        <w:t>Inspection of the subunit, inventory of its materials and technical equipment.)</w:t>
      </w:r>
    </w:p>
    <w:p w:rsidR="00310B07" w:rsidRPr="00B104EE" w:rsidRDefault="00310B07" w:rsidP="00980876">
      <w:pPr>
        <w:pStyle w:val="lfej"/>
        <w:numPr>
          <w:ilvl w:val="1"/>
          <w:numId w:val="289"/>
        </w:numPr>
        <w:spacing w:before="60"/>
        <w:ind w:left="993" w:hanging="574"/>
        <w:jc w:val="both"/>
        <w:rPr>
          <w:rFonts w:ascii="Times New Roman" w:hAnsi="Times New Roman" w:cs="Times New Roman"/>
          <w:bCs/>
          <w:i/>
        </w:rPr>
      </w:pPr>
      <w:r w:rsidRPr="00310B07">
        <w:rPr>
          <w:rFonts w:ascii="Times New Roman" w:hAnsi="Times New Roman" w:cs="Times New Roman"/>
        </w:rPr>
        <w:t xml:space="preserve">A káreljárások lefolytatásának rendje. </w:t>
      </w:r>
      <w:r w:rsidRPr="00B104EE">
        <w:rPr>
          <w:rFonts w:ascii="Times New Roman" w:hAnsi="Times New Roman" w:cs="Times New Roman"/>
          <w:i/>
        </w:rPr>
        <w:t>(</w:t>
      </w:r>
      <w:r w:rsidRPr="00B104EE">
        <w:rPr>
          <w:rStyle w:val="tlid-translation"/>
          <w:rFonts w:ascii="Times New Roman" w:hAnsi="Times New Roman" w:cs="Times New Roman"/>
          <w:i/>
          <w:lang w:val="en"/>
        </w:rPr>
        <w:t>Procedure for conducting claims.)</w:t>
      </w:r>
    </w:p>
    <w:p w:rsidR="00310B07" w:rsidRPr="00B104EE" w:rsidRDefault="00310B07" w:rsidP="00980876">
      <w:pPr>
        <w:pStyle w:val="lfej"/>
        <w:numPr>
          <w:ilvl w:val="1"/>
          <w:numId w:val="289"/>
        </w:numPr>
        <w:spacing w:before="60"/>
        <w:ind w:left="993" w:hanging="574"/>
        <w:jc w:val="both"/>
        <w:rPr>
          <w:rFonts w:ascii="Times New Roman" w:hAnsi="Times New Roman" w:cs="Times New Roman"/>
          <w:bCs/>
          <w:i/>
        </w:rPr>
      </w:pPr>
      <w:r w:rsidRPr="00310B07">
        <w:rPr>
          <w:rFonts w:ascii="Times New Roman" w:hAnsi="Times New Roman" w:cs="Times New Roman"/>
        </w:rPr>
        <w:t>Esemény, rendkívüli esemény kivizsgálása, okmányolása és jelentésének rendje.</w:t>
      </w:r>
      <w:r w:rsidRPr="00310B07">
        <w:rPr>
          <w:rStyle w:val="tlid-translation"/>
          <w:rFonts w:ascii="Times New Roman" w:hAnsi="Times New Roman" w:cs="Times New Roman"/>
          <w:lang w:val="en"/>
        </w:rPr>
        <w:t xml:space="preserve"> </w:t>
      </w:r>
      <w:r w:rsidRPr="00B104EE">
        <w:rPr>
          <w:rStyle w:val="tlid-translation"/>
          <w:rFonts w:ascii="Times New Roman" w:hAnsi="Times New Roman" w:cs="Times New Roman"/>
          <w:i/>
          <w:lang w:val="en"/>
        </w:rPr>
        <w:t>(Investigation, documentation and reporting of an event, incident.)</w:t>
      </w:r>
    </w:p>
    <w:p w:rsidR="00310B07" w:rsidRPr="00B104EE" w:rsidRDefault="00310B07" w:rsidP="00980876">
      <w:pPr>
        <w:pStyle w:val="lfej"/>
        <w:numPr>
          <w:ilvl w:val="1"/>
          <w:numId w:val="289"/>
        </w:numPr>
        <w:spacing w:before="60"/>
        <w:ind w:left="993" w:hanging="574"/>
        <w:jc w:val="both"/>
        <w:rPr>
          <w:rFonts w:ascii="Times New Roman" w:hAnsi="Times New Roman" w:cs="Times New Roman"/>
          <w:bCs/>
          <w:i/>
        </w:rPr>
      </w:pPr>
      <w:r w:rsidRPr="00310B07">
        <w:rPr>
          <w:rFonts w:ascii="Times New Roman" w:hAnsi="Times New Roman" w:cs="Times New Roman"/>
        </w:rPr>
        <w:t xml:space="preserve">A szolgálati beosztás átadás-átvételének szabályai, végrehajtásának rendje. </w:t>
      </w:r>
      <w:r w:rsidRPr="00B104EE">
        <w:rPr>
          <w:rFonts w:ascii="Times New Roman" w:hAnsi="Times New Roman" w:cs="Times New Roman"/>
          <w:i/>
        </w:rPr>
        <w:t>(</w:t>
      </w:r>
      <w:r w:rsidRPr="00B104EE">
        <w:rPr>
          <w:rStyle w:val="tlid-translation"/>
          <w:rFonts w:ascii="Times New Roman" w:hAnsi="Times New Roman" w:cs="Times New Roman"/>
          <w:i/>
          <w:lang w:val="en"/>
        </w:rPr>
        <w:t>Rules of transfer and acceptance of the position of service, order of its execution.)</w:t>
      </w:r>
    </w:p>
    <w:p w:rsidR="00310B07" w:rsidRPr="00B104EE" w:rsidRDefault="00310B07" w:rsidP="00980876">
      <w:pPr>
        <w:pStyle w:val="lfej"/>
        <w:numPr>
          <w:ilvl w:val="1"/>
          <w:numId w:val="289"/>
        </w:numPr>
        <w:spacing w:before="60"/>
        <w:ind w:left="993" w:hanging="574"/>
        <w:jc w:val="both"/>
        <w:rPr>
          <w:rFonts w:ascii="Times New Roman" w:hAnsi="Times New Roman" w:cs="Times New Roman"/>
          <w:bCs/>
          <w:i/>
        </w:rPr>
      </w:pPr>
      <w:r w:rsidRPr="00310B07">
        <w:rPr>
          <w:rFonts w:ascii="Times New Roman" w:hAnsi="Times New Roman" w:cs="Times New Roman"/>
        </w:rPr>
        <w:t>Az alegység magasabb készenlétbe helyezésének feladatai, tervek és okmányok</w:t>
      </w:r>
      <w:r w:rsidRPr="00B104EE">
        <w:rPr>
          <w:rFonts w:ascii="Times New Roman" w:hAnsi="Times New Roman" w:cs="Times New Roman"/>
          <w:i/>
        </w:rPr>
        <w:t>. (</w:t>
      </w:r>
      <w:r w:rsidRPr="00B104EE">
        <w:rPr>
          <w:rStyle w:val="tlid-translation"/>
          <w:rFonts w:ascii="Times New Roman" w:hAnsi="Times New Roman" w:cs="Times New Roman"/>
          <w:i/>
          <w:lang w:val="en"/>
        </w:rPr>
        <w:t>Tasks, plans, and documents for higher unit readiness.)</w:t>
      </w:r>
    </w:p>
    <w:p w:rsidR="00310B07" w:rsidRPr="00B104EE" w:rsidRDefault="00310B07" w:rsidP="00980876">
      <w:pPr>
        <w:pStyle w:val="lfej"/>
        <w:numPr>
          <w:ilvl w:val="1"/>
          <w:numId w:val="289"/>
        </w:numPr>
        <w:spacing w:before="60"/>
        <w:ind w:left="993" w:hanging="574"/>
        <w:jc w:val="both"/>
        <w:rPr>
          <w:rFonts w:ascii="Times New Roman" w:hAnsi="Times New Roman" w:cs="Times New Roman"/>
          <w:bCs/>
          <w:i/>
        </w:rPr>
      </w:pPr>
      <w:r w:rsidRPr="00310B07">
        <w:rPr>
          <w:rFonts w:ascii="Times New Roman" w:hAnsi="Times New Roman" w:cs="Times New Roman"/>
        </w:rPr>
        <w:t>Az alegység szolgálati- és egyéb okmányai, kitöltésük, vezetésük rendje.</w:t>
      </w:r>
      <w:r w:rsidRPr="00310B07">
        <w:rPr>
          <w:rStyle w:val="tlid-translation"/>
          <w:rFonts w:ascii="Times New Roman" w:hAnsi="Times New Roman" w:cs="Times New Roman"/>
          <w:lang w:val="en"/>
        </w:rPr>
        <w:t xml:space="preserve"> </w:t>
      </w:r>
      <w:r w:rsidRPr="00B104EE">
        <w:rPr>
          <w:rStyle w:val="tlid-translation"/>
          <w:rFonts w:ascii="Times New Roman" w:hAnsi="Times New Roman" w:cs="Times New Roman"/>
          <w:i/>
          <w:lang w:val="en"/>
        </w:rPr>
        <w:t>(Service and other documents of the subunit, the order of their completion and their management.)</w:t>
      </w:r>
    </w:p>
    <w:p w:rsidR="00310B07" w:rsidRPr="00310B07" w:rsidRDefault="00310B07" w:rsidP="00980876">
      <w:pPr>
        <w:pStyle w:val="lfej"/>
        <w:numPr>
          <w:ilvl w:val="1"/>
          <w:numId w:val="289"/>
        </w:numPr>
        <w:tabs>
          <w:tab w:val="left" w:pos="708"/>
        </w:tabs>
        <w:spacing w:before="60"/>
        <w:ind w:left="993" w:hanging="574"/>
        <w:jc w:val="both"/>
        <w:rPr>
          <w:rFonts w:ascii="Times New Roman" w:hAnsi="Times New Roman" w:cs="Times New Roman"/>
          <w:b/>
        </w:rPr>
      </w:pPr>
      <w:r w:rsidRPr="00310B07">
        <w:rPr>
          <w:rFonts w:ascii="Times New Roman" w:hAnsi="Times New Roman" w:cs="Times New Roman"/>
        </w:rPr>
        <w:t>Logisztikai alegység feladata a laktanya kiszolgálásában, az alegység különleges feladatai.</w:t>
      </w:r>
      <w:r w:rsidRPr="00310B07">
        <w:rPr>
          <w:rStyle w:val="tlid-translation"/>
          <w:rFonts w:ascii="Times New Roman" w:hAnsi="Times New Roman" w:cs="Times New Roman"/>
          <w:lang w:val="en"/>
        </w:rPr>
        <w:t xml:space="preserve"> </w:t>
      </w:r>
      <w:r w:rsidRPr="00B104EE">
        <w:rPr>
          <w:rStyle w:val="tlid-translation"/>
          <w:rFonts w:ascii="Times New Roman" w:hAnsi="Times New Roman" w:cs="Times New Roman"/>
          <w:i/>
          <w:lang w:val="en"/>
        </w:rPr>
        <w:t>(The task of the logistics sub-unit in servicing the barracks, the special tasks of the sub-unit.)</w:t>
      </w:r>
    </w:p>
    <w:p w:rsidR="00310B07" w:rsidRPr="00310B07" w:rsidRDefault="00310B07" w:rsidP="00980876">
      <w:pPr>
        <w:pStyle w:val="lfej"/>
        <w:numPr>
          <w:ilvl w:val="1"/>
          <w:numId w:val="289"/>
        </w:numPr>
        <w:tabs>
          <w:tab w:val="left" w:pos="708"/>
        </w:tabs>
        <w:spacing w:before="60"/>
        <w:ind w:left="993" w:hanging="574"/>
        <w:jc w:val="both"/>
        <w:rPr>
          <w:rStyle w:val="tlid-translation"/>
          <w:rFonts w:ascii="Times New Roman" w:hAnsi="Times New Roman" w:cs="Times New Roman"/>
        </w:rPr>
      </w:pPr>
      <w:r w:rsidRPr="00310B07">
        <w:rPr>
          <w:rFonts w:ascii="Times New Roman" w:hAnsi="Times New Roman" w:cs="Times New Roman"/>
        </w:rPr>
        <w:t>Zárthelyi dolgozat.</w:t>
      </w:r>
      <w:r w:rsidRPr="00310B07">
        <w:rPr>
          <w:rStyle w:val="tlid-translation"/>
          <w:rFonts w:ascii="Times New Roman" w:hAnsi="Times New Roman" w:cs="Times New Roman"/>
          <w:lang w:val="en"/>
        </w:rPr>
        <w:t xml:space="preserve"> </w:t>
      </w:r>
      <w:r w:rsidRPr="00B104EE">
        <w:rPr>
          <w:rStyle w:val="tlid-translation"/>
          <w:rFonts w:ascii="Times New Roman" w:hAnsi="Times New Roman" w:cs="Times New Roman"/>
          <w:i/>
          <w:lang w:val="en"/>
        </w:rPr>
        <w:t>(Closed thesis.)</w:t>
      </w:r>
    </w:p>
    <w:p w:rsidR="00310B07" w:rsidRPr="00310B07" w:rsidRDefault="00310B07" w:rsidP="00980876">
      <w:pPr>
        <w:widowControl w:val="0"/>
        <w:numPr>
          <w:ilvl w:val="0"/>
          <w:numId w:val="289"/>
        </w:numPr>
        <w:tabs>
          <w:tab w:val="num" w:pos="360"/>
        </w:tabs>
        <w:spacing w:before="120" w:after="120" w:line="240" w:lineRule="auto"/>
        <w:ind w:left="426" w:hanging="142"/>
        <w:jc w:val="both"/>
        <w:rPr>
          <w:rFonts w:ascii="Times New Roman" w:eastAsia="Times New Roman" w:hAnsi="Times New Roman" w:cs="Times New Roman"/>
          <w:bCs/>
        </w:rPr>
      </w:pPr>
      <w:r w:rsidRPr="00310B07">
        <w:rPr>
          <w:rFonts w:ascii="Times New Roman" w:eastAsia="Times New Roman" w:hAnsi="Times New Roman" w:cs="Times New Roman"/>
          <w:b/>
          <w:bCs/>
        </w:rPr>
        <w:t xml:space="preserve">A tantárgy meghirdetésének gyakorisága/a tantervben történő félévi elhelyezkedése: </w:t>
      </w:r>
      <w:r w:rsidRPr="00310B07">
        <w:rPr>
          <w:rFonts w:ascii="Times New Roman" w:eastAsia="Times New Roman" w:hAnsi="Times New Roman" w:cs="Times New Roman"/>
          <w:bCs/>
        </w:rPr>
        <w:t>7. félév</w:t>
      </w:r>
    </w:p>
    <w:p w:rsidR="00310B07" w:rsidRPr="00310B07" w:rsidRDefault="00310B07" w:rsidP="00980876">
      <w:pPr>
        <w:widowControl w:val="0"/>
        <w:numPr>
          <w:ilvl w:val="0"/>
          <w:numId w:val="289"/>
        </w:numPr>
        <w:tabs>
          <w:tab w:val="num" w:pos="360"/>
        </w:tabs>
        <w:spacing w:before="120" w:after="120" w:line="240" w:lineRule="auto"/>
        <w:ind w:left="426" w:hanging="142"/>
        <w:jc w:val="both"/>
        <w:rPr>
          <w:rFonts w:ascii="Times New Roman" w:eastAsia="Times New Roman" w:hAnsi="Times New Roman" w:cs="Times New Roman"/>
          <w:bCs/>
        </w:rPr>
      </w:pPr>
      <w:r w:rsidRPr="00310B07">
        <w:rPr>
          <w:rFonts w:ascii="Times New Roman" w:eastAsia="Times New Roman" w:hAnsi="Times New Roman" w:cs="Times New Roman"/>
          <w:b/>
          <w:bCs/>
        </w:rPr>
        <w:lastRenderedPageBreak/>
        <w:t>A tanórákon való részvétel követelményei, az elfogadható hiányzások mértéke, a távolmaradás pótlásának lehetősége:</w:t>
      </w:r>
      <w:r w:rsidRPr="00310B07">
        <w:rPr>
          <w:rFonts w:ascii="Times New Roman" w:eastAsia="Times New Roman" w:hAnsi="Times New Roman" w:cs="Times New Roman"/>
          <w:bCs/>
        </w:rPr>
        <w:t xml:space="preserve"> </w:t>
      </w:r>
    </w:p>
    <w:p w:rsidR="00B104EE" w:rsidRPr="00B104EE" w:rsidRDefault="00B104EE" w:rsidP="00B104EE">
      <w:pPr>
        <w:widowControl w:val="0"/>
        <w:spacing w:before="120" w:after="120" w:line="240" w:lineRule="auto"/>
        <w:ind w:left="360"/>
        <w:jc w:val="both"/>
        <w:rPr>
          <w:rFonts w:ascii="Times New Roman" w:eastAsia="Times New Roman" w:hAnsi="Times New Roman" w:cs="Times New Roman"/>
          <w:bCs/>
          <w:highlight w:val="lightGray"/>
        </w:rPr>
      </w:pPr>
      <w:r w:rsidRPr="00B104EE">
        <w:rPr>
          <w:rFonts w:ascii="Times New Roman" w:eastAsia="Times New Roman" w:hAnsi="Times New Roman" w:cs="Times New Roman"/>
          <w:bCs/>
          <w:lang w:eastAsia="hu-HU"/>
        </w:rPr>
        <w:t xml:space="preserve">A </w:t>
      </w:r>
      <w:r w:rsidRPr="00B104EE">
        <w:rPr>
          <w:rFonts w:ascii="Times New Roman" w:eastAsia="Times New Roman" w:hAnsi="Times New Roman" w:cs="Times New Roman"/>
          <w:lang w:eastAsia="x-none"/>
        </w:rPr>
        <w:t>tanórákon</w:t>
      </w:r>
      <w:r w:rsidRPr="00B104EE">
        <w:rPr>
          <w:rFonts w:ascii="Times New Roman" w:eastAsia="Times New Roman" w:hAnsi="Times New Roman" w:cs="Times New Roman"/>
          <w:bCs/>
          <w:lang w:eastAsia="hu-HU"/>
        </w:rPr>
        <w:t xml:space="preserve"> való részvétel kötelező, megengedett hiányzás mértéke 30%. Hiányzás esetén órapótlásra nincs lehetőség, a hallgató az előadás anyagát önállóan pótolja. A 30%-ot meghaladó igazolt hiányzás pótlása az oktatóáltal meghatározott témakörben elkészített féléves feladat beadásával lehetséges.</w:t>
      </w:r>
    </w:p>
    <w:p w:rsidR="00310B07" w:rsidRPr="00310B07" w:rsidRDefault="00310B07" w:rsidP="00980876">
      <w:pPr>
        <w:widowControl w:val="0"/>
        <w:numPr>
          <w:ilvl w:val="0"/>
          <w:numId w:val="289"/>
        </w:numPr>
        <w:tabs>
          <w:tab w:val="num" w:pos="360"/>
        </w:tabs>
        <w:spacing w:before="120" w:after="120" w:line="240" w:lineRule="auto"/>
        <w:ind w:left="426" w:hanging="142"/>
        <w:jc w:val="both"/>
        <w:rPr>
          <w:rFonts w:ascii="Times New Roman" w:eastAsia="Times New Roman" w:hAnsi="Times New Roman" w:cs="Times New Roman"/>
          <w:bCs/>
        </w:rPr>
      </w:pPr>
      <w:r w:rsidRPr="00310B07">
        <w:rPr>
          <w:rFonts w:ascii="Times New Roman" w:eastAsia="Times New Roman" w:hAnsi="Times New Roman" w:cs="Times New Roman"/>
          <w:b/>
        </w:rPr>
        <w:t>Félévközi feladatok, ismeretek ellenőrzésének rendje:</w:t>
      </w:r>
      <w:r w:rsidRPr="00310B07">
        <w:rPr>
          <w:rFonts w:ascii="Times New Roman" w:eastAsia="Times New Roman" w:hAnsi="Times New Roman" w:cs="Times New Roman"/>
          <w:bCs/>
        </w:rPr>
        <w:t xml:space="preserve"> </w:t>
      </w:r>
    </w:p>
    <w:p w:rsidR="00310B07" w:rsidRPr="00310B07" w:rsidRDefault="00310B07" w:rsidP="00310B07">
      <w:pPr>
        <w:widowControl w:val="0"/>
        <w:spacing w:before="120" w:after="120" w:line="240" w:lineRule="auto"/>
        <w:ind w:left="360"/>
        <w:jc w:val="both"/>
        <w:rPr>
          <w:rFonts w:ascii="Times New Roman" w:eastAsia="Times New Roman" w:hAnsi="Times New Roman" w:cs="Times New Roman"/>
          <w:lang w:eastAsia="x-none"/>
        </w:rPr>
      </w:pPr>
      <w:r w:rsidRPr="00310B07">
        <w:rPr>
          <w:rFonts w:ascii="Times New Roman" w:eastAsia="Times New Roman" w:hAnsi="Times New Roman" w:cs="Times New Roman"/>
          <w:lang w:val="x-none" w:eastAsia="x-none"/>
        </w:rPr>
        <w:t>A félév során egy zárthelyi dolgozatot ke</w:t>
      </w:r>
      <w:r w:rsidRPr="00310B07">
        <w:rPr>
          <w:rFonts w:ascii="Times New Roman" w:eastAsia="Times New Roman" w:hAnsi="Times New Roman" w:cs="Times New Roman"/>
          <w:lang w:eastAsia="x-none"/>
        </w:rPr>
        <w:t>l</w:t>
      </w:r>
      <w:r w:rsidRPr="00310B07">
        <w:rPr>
          <w:rFonts w:ascii="Times New Roman" w:eastAsia="Times New Roman" w:hAnsi="Times New Roman" w:cs="Times New Roman"/>
          <w:lang w:val="x-none" w:eastAsia="x-none"/>
        </w:rPr>
        <w:t>l megír</w:t>
      </w:r>
      <w:r w:rsidRPr="00310B07">
        <w:rPr>
          <w:rFonts w:ascii="Times New Roman" w:eastAsia="Times New Roman" w:hAnsi="Times New Roman" w:cs="Times New Roman"/>
          <w:lang w:eastAsia="x-none"/>
        </w:rPr>
        <w:t>ni</w:t>
      </w:r>
      <w:r w:rsidRPr="00310B07">
        <w:rPr>
          <w:rFonts w:ascii="Times New Roman" w:eastAsia="Times New Roman" w:hAnsi="Times New Roman" w:cs="Times New Roman"/>
          <w:lang w:val="x-none" w:eastAsia="x-none"/>
        </w:rPr>
        <w:t xml:space="preserve">. </w:t>
      </w:r>
      <w:r w:rsidRPr="00310B07">
        <w:rPr>
          <w:rFonts w:ascii="Times New Roman" w:eastAsia="Times New Roman" w:hAnsi="Times New Roman" w:cs="Times New Roman"/>
          <w:lang w:eastAsia="x-none"/>
        </w:rPr>
        <w:t xml:space="preserve">A zárthelyi dolgozat ötfokozatú skálán értékelendő, 50%+1 pont elégséges, 60% közepes, 75% jó, 90% jeles. </w:t>
      </w:r>
      <w:r w:rsidRPr="00310B07">
        <w:rPr>
          <w:rFonts w:ascii="Times New Roman" w:eastAsia="Times New Roman" w:hAnsi="Times New Roman" w:cs="Times New Roman"/>
          <w:lang w:val="x-none" w:eastAsia="x-none"/>
        </w:rPr>
        <w:t xml:space="preserve">Az elégtelen osztályzatra értékelt dolgozatot a szorgalmi és a vizsgaidőszakban is egy-egy alkalommal lehet pótolni. </w:t>
      </w:r>
    </w:p>
    <w:p w:rsidR="00310B07" w:rsidRPr="00310B07" w:rsidRDefault="00310B07" w:rsidP="00310B07">
      <w:pPr>
        <w:widowControl w:val="0"/>
        <w:spacing w:before="120" w:after="120" w:line="240" w:lineRule="auto"/>
        <w:ind w:left="360"/>
        <w:jc w:val="both"/>
        <w:rPr>
          <w:rFonts w:ascii="Times New Roman" w:eastAsia="Times New Roman" w:hAnsi="Times New Roman" w:cs="Times New Roman"/>
          <w:lang w:eastAsia="x-none"/>
        </w:rPr>
      </w:pPr>
      <w:r w:rsidRPr="00310B07">
        <w:rPr>
          <w:rFonts w:ascii="Times New Roman" w:hAnsi="Times New Roman" w:cs="Times New Roman"/>
          <w:lang w:val="x-none" w:eastAsia="x-none"/>
        </w:rPr>
        <w:t xml:space="preserve">A félév során </w:t>
      </w:r>
      <w:r w:rsidRPr="00310B07">
        <w:rPr>
          <w:rFonts w:ascii="Times New Roman" w:hAnsi="Times New Roman" w:cs="Times New Roman"/>
          <w:lang w:eastAsia="x-none"/>
        </w:rPr>
        <w:t>egy</w:t>
      </w:r>
      <w:r w:rsidRPr="00310B07">
        <w:rPr>
          <w:rFonts w:ascii="Times New Roman" w:hAnsi="Times New Roman" w:cs="Times New Roman"/>
          <w:lang w:val="x-none" w:eastAsia="x-none"/>
        </w:rPr>
        <w:t xml:space="preserve"> házi feladatot kell elkészíteni minimálisan 10 oldal</w:t>
      </w:r>
      <w:r w:rsidRPr="00310B07">
        <w:rPr>
          <w:rFonts w:ascii="Times New Roman" w:hAnsi="Times New Roman" w:cs="Times New Roman"/>
          <w:b/>
          <w:lang w:val="x-none" w:eastAsia="x-none"/>
        </w:rPr>
        <w:t xml:space="preserve"> </w:t>
      </w:r>
      <w:r w:rsidRPr="00310B07">
        <w:rPr>
          <w:rFonts w:ascii="Times New Roman" w:hAnsi="Times New Roman" w:cs="Times New Roman"/>
          <w:lang w:val="x-none" w:eastAsia="x-none"/>
        </w:rPr>
        <w:t xml:space="preserve">terjedelemben, a szakdolgozatnak megfelelő formai követelményekkel </w:t>
      </w:r>
      <w:r w:rsidRPr="00310B07">
        <w:rPr>
          <w:rFonts w:ascii="Times New Roman" w:hAnsi="Times New Roman" w:cs="Times New Roman"/>
        </w:rPr>
        <w:t>(TVSZ 5. melléklet)</w:t>
      </w:r>
      <w:r w:rsidRPr="00310B07">
        <w:rPr>
          <w:rFonts w:ascii="Times New Roman" w:hAnsi="Times New Roman" w:cs="Times New Roman"/>
          <w:lang w:val="x-none" w:eastAsia="x-none"/>
        </w:rPr>
        <w:t xml:space="preserve">. </w:t>
      </w:r>
      <w:r w:rsidRPr="00310B07">
        <w:rPr>
          <w:rFonts w:ascii="Times New Roman" w:hAnsi="Times New Roman" w:cs="Times New Roman"/>
          <w:lang w:eastAsia="x-none"/>
        </w:rPr>
        <w:t xml:space="preserve">A 10 oldal terjedelembe a bevezető, a fő rész és a befejezés tartozik csak. </w:t>
      </w:r>
      <w:r w:rsidRPr="00310B07">
        <w:rPr>
          <w:rFonts w:ascii="Times New Roman" w:hAnsi="Times New Roman" w:cs="Times New Roman"/>
          <w:lang w:val="x-none" w:eastAsia="x-none"/>
        </w:rPr>
        <w:t>Az írásbeli munka témáját a hallgató választja</w:t>
      </w:r>
      <w:r w:rsidRPr="00310B07">
        <w:rPr>
          <w:rFonts w:ascii="Times New Roman" w:hAnsi="Times New Roman" w:cs="Times New Roman"/>
          <w:lang w:eastAsia="x-none"/>
        </w:rPr>
        <w:t>,</w:t>
      </w:r>
      <w:r w:rsidRPr="00310B07">
        <w:rPr>
          <w:rFonts w:ascii="Times New Roman" w:hAnsi="Times New Roman" w:cs="Times New Roman"/>
          <w:lang w:val="x-none" w:eastAsia="x-none"/>
        </w:rPr>
        <w:t xml:space="preserve"> a kurzus oktatója </w:t>
      </w:r>
      <w:r w:rsidRPr="00310B07">
        <w:rPr>
          <w:rFonts w:ascii="Times New Roman" w:hAnsi="Times New Roman" w:cs="Times New Roman"/>
          <w:lang w:eastAsia="x-none"/>
        </w:rPr>
        <w:t>jóváhagyja</w:t>
      </w:r>
      <w:r w:rsidRPr="00310B07">
        <w:rPr>
          <w:rFonts w:ascii="Times New Roman" w:hAnsi="Times New Roman" w:cs="Times New Roman"/>
          <w:lang w:val="x-none" w:eastAsia="x-none"/>
        </w:rPr>
        <w:t xml:space="preserve">. A szorgalmi időszakban a beadási határidőig leadott feladat </w:t>
      </w:r>
      <w:r w:rsidRPr="00310B07">
        <w:rPr>
          <w:rFonts w:ascii="Times New Roman" w:hAnsi="Times New Roman" w:cs="Times New Roman"/>
          <w:lang w:eastAsia="x-none"/>
        </w:rPr>
        <w:t>ötfokozatú skálán értékelendő</w:t>
      </w:r>
      <w:r w:rsidRPr="00310B07">
        <w:rPr>
          <w:rFonts w:ascii="Times New Roman" w:hAnsi="Times New Roman" w:cs="Times New Roman"/>
          <w:lang w:val="x-none" w:eastAsia="x-none"/>
        </w:rPr>
        <w:t>, azt javítani a vizsgaidőszak első hetén egy alkalommal lehet.</w:t>
      </w:r>
    </w:p>
    <w:p w:rsidR="00310B07" w:rsidRPr="00310B07" w:rsidRDefault="00310B07" w:rsidP="00980876">
      <w:pPr>
        <w:widowControl w:val="0"/>
        <w:numPr>
          <w:ilvl w:val="0"/>
          <w:numId w:val="289"/>
        </w:numPr>
        <w:spacing w:before="120" w:after="120" w:line="240" w:lineRule="auto"/>
        <w:ind w:left="426" w:hanging="142"/>
        <w:jc w:val="both"/>
        <w:rPr>
          <w:rFonts w:ascii="Times New Roman" w:eastAsia="Times New Roman" w:hAnsi="Times New Roman" w:cs="Times New Roman"/>
          <w:b/>
          <w:bCs/>
        </w:rPr>
      </w:pPr>
      <w:r w:rsidRPr="00310B07">
        <w:rPr>
          <w:rFonts w:ascii="Times New Roman" w:eastAsia="Times New Roman" w:hAnsi="Times New Roman" w:cs="Times New Roman"/>
          <w:b/>
          <w:bCs/>
        </w:rPr>
        <w:t xml:space="preserve">Az értékelés, az aláírás és a kreditek megszerzésének pontos feltételei: </w:t>
      </w:r>
    </w:p>
    <w:p w:rsidR="00310B07" w:rsidRPr="00B104EE" w:rsidRDefault="00310B07" w:rsidP="00980876">
      <w:pPr>
        <w:widowControl w:val="0"/>
        <w:numPr>
          <w:ilvl w:val="1"/>
          <w:numId w:val="289"/>
        </w:numPr>
        <w:tabs>
          <w:tab w:val="left" w:pos="709"/>
          <w:tab w:val="left" w:pos="993"/>
          <w:tab w:val="num" w:pos="2069"/>
        </w:tabs>
        <w:spacing w:before="120" w:after="120" w:line="240" w:lineRule="auto"/>
        <w:ind w:left="426" w:firstLine="0"/>
        <w:jc w:val="both"/>
        <w:rPr>
          <w:rFonts w:ascii="Times New Roman" w:hAnsi="Times New Roman" w:cs="Times New Roman"/>
        </w:rPr>
      </w:pPr>
      <w:r w:rsidRPr="00B104EE">
        <w:rPr>
          <w:rFonts w:ascii="Times New Roman" w:eastAsia="Times New Roman" w:hAnsi="Times New Roman" w:cs="Times New Roman"/>
          <w:b/>
        </w:rPr>
        <w:t>Az aláírás megszerzésének feltételei:</w:t>
      </w:r>
      <w:r w:rsidRPr="00B104EE">
        <w:rPr>
          <w:rFonts w:ascii="Times New Roman" w:eastAsia="Times New Roman" w:hAnsi="Times New Roman" w:cs="Times New Roman"/>
        </w:rPr>
        <w:t xml:space="preserve"> </w:t>
      </w:r>
      <w:r w:rsidRPr="00B104EE">
        <w:rPr>
          <w:rFonts w:ascii="Times New Roman" w:hAnsi="Times New Roman" w:cs="Times New Roman"/>
        </w:rPr>
        <w:t xml:space="preserve">Az aláírás megszerzésnek feltétele a zárthelyi dolgozat legalább elégséges szinten történő teljesítése (min </w:t>
      </w:r>
      <w:r w:rsidRPr="00B104EE">
        <w:rPr>
          <w:rFonts w:ascii="Times New Roman" w:eastAsia="Times New Roman" w:hAnsi="Times New Roman" w:cs="Times New Roman"/>
          <w:lang w:eastAsia="x-none"/>
        </w:rPr>
        <w:t>50%+1 pont</w:t>
      </w:r>
      <w:r w:rsidRPr="00B104EE">
        <w:rPr>
          <w:rFonts w:ascii="Times New Roman" w:hAnsi="Times New Roman" w:cs="Times New Roman"/>
        </w:rPr>
        <w:t>), a kapott féléves feladat határidőre történő leadása és minimálisan elégséges szintű teljesítése, illetve a tanórák legalább 75%-án való megjelenés.</w:t>
      </w:r>
    </w:p>
    <w:p w:rsidR="00310B07" w:rsidRPr="00B104EE" w:rsidRDefault="00310B07" w:rsidP="00980876">
      <w:pPr>
        <w:widowControl w:val="0"/>
        <w:numPr>
          <w:ilvl w:val="1"/>
          <w:numId w:val="289"/>
        </w:numPr>
        <w:tabs>
          <w:tab w:val="left" w:pos="709"/>
          <w:tab w:val="left" w:pos="993"/>
          <w:tab w:val="num" w:pos="2069"/>
        </w:tabs>
        <w:spacing w:before="120" w:after="120" w:line="240" w:lineRule="auto"/>
        <w:ind w:left="426" w:firstLine="0"/>
        <w:jc w:val="both"/>
        <w:rPr>
          <w:rFonts w:ascii="Times New Roman" w:hAnsi="Times New Roman" w:cs="Times New Roman"/>
          <w:b/>
        </w:rPr>
      </w:pPr>
      <w:r w:rsidRPr="00B104EE">
        <w:rPr>
          <w:rFonts w:ascii="Times New Roman" w:eastAsia="Times New Roman" w:hAnsi="Times New Roman" w:cs="Times New Roman"/>
          <w:b/>
        </w:rPr>
        <w:t>Az értékelés:</w:t>
      </w:r>
      <w:r w:rsidRPr="00B104EE">
        <w:rPr>
          <w:rFonts w:ascii="Times New Roman" w:eastAsia="Times New Roman" w:hAnsi="Times New Roman" w:cs="Times New Roman"/>
        </w:rPr>
        <w:t xml:space="preserve"> </w:t>
      </w:r>
      <w:r w:rsidRPr="00B104EE">
        <w:rPr>
          <w:rFonts w:ascii="Times New Roman" w:hAnsi="Times New Roman" w:cs="Times New Roman"/>
          <w:lang w:val="x-none" w:eastAsia="x-none"/>
        </w:rPr>
        <w:t xml:space="preserve">A tantárgy </w:t>
      </w:r>
      <w:r w:rsidRPr="00B104EE">
        <w:rPr>
          <w:rFonts w:ascii="Times New Roman" w:hAnsi="Times New Roman" w:cs="Times New Roman"/>
          <w:b/>
          <w:lang w:val="x-none" w:eastAsia="x-none"/>
        </w:rPr>
        <w:t>félévközi jeggyel</w:t>
      </w:r>
      <w:r w:rsidRPr="00B104EE">
        <w:rPr>
          <w:rFonts w:ascii="Times New Roman" w:hAnsi="Times New Roman" w:cs="Times New Roman"/>
          <w:lang w:val="x-none" w:eastAsia="x-none"/>
        </w:rPr>
        <w:t xml:space="preserve"> zárul, </w:t>
      </w:r>
      <w:r w:rsidRPr="00B104EE">
        <w:rPr>
          <w:rFonts w:ascii="Times New Roman" w:hAnsi="Times New Roman" w:cs="Times New Roman"/>
          <w:lang w:eastAsia="x-none"/>
        </w:rPr>
        <w:t>a</w:t>
      </w:r>
      <w:r w:rsidRPr="00B104EE">
        <w:rPr>
          <w:rFonts w:ascii="Times New Roman" w:hAnsi="Times New Roman" w:cs="Times New Roman"/>
          <w:lang w:val="x-none" w:eastAsia="x-none"/>
        </w:rPr>
        <w:t>mely a zárthelyi dolgozatra és a beadott házi feladatra kapott osztályzatok alapján kerül meghatározásra egyszerű számtani átlaggal.</w:t>
      </w:r>
      <w:r w:rsidRPr="00B104EE">
        <w:rPr>
          <w:rFonts w:ascii="Times New Roman" w:hAnsi="Times New Roman" w:cs="Times New Roman"/>
        </w:rPr>
        <w:t xml:space="preserve"> Kétes jegy esetén (pl. 3,5) a zárthelyi jegyét súlyozottan kell beszámítani.</w:t>
      </w:r>
    </w:p>
    <w:p w:rsidR="00310B07" w:rsidRPr="00B104EE" w:rsidRDefault="00310B07" w:rsidP="00980876">
      <w:pPr>
        <w:widowControl w:val="0"/>
        <w:numPr>
          <w:ilvl w:val="1"/>
          <w:numId w:val="289"/>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B104EE">
        <w:rPr>
          <w:rFonts w:ascii="Times New Roman" w:eastAsia="Times New Roman" w:hAnsi="Times New Roman" w:cs="Times New Roman"/>
          <w:b/>
        </w:rPr>
        <w:t>A kreditek megszerzésének feltételei:</w:t>
      </w:r>
      <w:r w:rsidRPr="00B104EE">
        <w:rPr>
          <w:rFonts w:ascii="Times New Roman" w:eastAsia="Times New Roman" w:hAnsi="Times New Roman" w:cs="Times New Roman"/>
        </w:rPr>
        <w:t xml:space="preserve"> A kreditek megszerzésének feltétele az aláírás megszerzése és legalább elégséges félévközi jegy.</w:t>
      </w:r>
    </w:p>
    <w:p w:rsidR="00310B07" w:rsidRPr="00310B07" w:rsidRDefault="00310B07" w:rsidP="00980876">
      <w:pPr>
        <w:widowControl w:val="0"/>
        <w:numPr>
          <w:ilvl w:val="0"/>
          <w:numId w:val="289"/>
        </w:numPr>
        <w:tabs>
          <w:tab w:val="num" w:pos="360"/>
        </w:tabs>
        <w:spacing w:before="120" w:after="120" w:line="240" w:lineRule="auto"/>
        <w:ind w:left="426" w:hanging="142"/>
        <w:jc w:val="both"/>
        <w:rPr>
          <w:rFonts w:ascii="Times New Roman" w:eastAsia="Times New Roman" w:hAnsi="Times New Roman" w:cs="Times New Roman"/>
          <w:bCs/>
        </w:rPr>
      </w:pPr>
      <w:r w:rsidRPr="00310B07">
        <w:rPr>
          <w:rFonts w:ascii="Times New Roman" w:eastAsia="Times New Roman" w:hAnsi="Times New Roman" w:cs="Times New Roman"/>
          <w:b/>
          <w:bCs/>
        </w:rPr>
        <w:t>Irodalomjegyzék:</w:t>
      </w:r>
    </w:p>
    <w:p w:rsidR="00310B07" w:rsidRPr="00310B07" w:rsidRDefault="00310B07" w:rsidP="00980876">
      <w:pPr>
        <w:widowControl w:val="0"/>
        <w:numPr>
          <w:ilvl w:val="1"/>
          <w:numId w:val="289"/>
        </w:numPr>
        <w:tabs>
          <w:tab w:val="left" w:pos="567"/>
          <w:tab w:val="left" w:pos="851"/>
          <w:tab w:val="num" w:pos="2069"/>
        </w:tabs>
        <w:spacing w:before="120" w:after="120" w:line="240" w:lineRule="auto"/>
        <w:ind w:left="426" w:hanging="142"/>
        <w:jc w:val="both"/>
        <w:rPr>
          <w:rFonts w:ascii="Times New Roman" w:eastAsia="Times New Roman" w:hAnsi="Times New Roman" w:cs="Times New Roman"/>
          <w:bCs/>
        </w:rPr>
      </w:pPr>
      <w:r w:rsidRPr="00310B07">
        <w:rPr>
          <w:rFonts w:ascii="Times New Roman" w:eastAsia="Times New Roman" w:hAnsi="Times New Roman" w:cs="Times New Roman"/>
          <w:b/>
          <w:bCs/>
        </w:rPr>
        <w:t>Kötelező irodalom:</w:t>
      </w:r>
    </w:p>
    <w:p w:rsidR="00310B07" w:rsidRPr="00310B07" w:rsidRDefault="00310B07" w:rsidP="00980876">
      <w:pPr>
        <w:pStyle w:val="Listaszerbekezds"/>
        <w:numPr>
          <w:ilvl w:val="0"/>
          <w:numId w:val="290"/>
        </w:numPr>
        <w:spacing w:after="0" w:line="240" w:lineRule="auto"/>
        <w:jc w:val="both"/>
        <w:rPr>
          <w:rFonts w:ascii="Times New Roman" w:hAnsi="Times New Roman" w:cs="Times New Roman"/>
        </w:rPr>
      </w:pPr>
      <w:r w:rsidRPr="00310B07">
        <w:rPr>
          <w:rFonts w:ascii="Times New Roman" w:hAnsi="Times New Roman" w:cs="Times New Roman"/>
        </w:rPr>
        <w:t>Magyar Honvédség Összhaderőnemi Logisztikai Támogatás Doktrína, A HVK Logisztikai Csoportfőnökség Kiadványa, Budapest, 2015. (3. kiadás)</w:t>
      </w:r>
    </w:p>
    <w:p w:rsidR="00310B07" w:rsidRDefault="00310B07" w:rsidP="00980876">
      <w:pPr>
        <w:pStyle w:val="Listaszerbekezds"/>
        <w:numPr>
          <w:ilvl w:val="0"/>
          <w:numId w:val="290"/>
        </w:numPr>
        <w:spacing w:after="0" w:line="240" w:lineRule="auto"/>
        <w:jc w:val="both"/>
        <w:rPr>
          <w:rFonts w:ascii="Times New Roman" w:hAnsi="Times New Roman" w:cs="Times New Roman"/>
        </w:rPr>
      </w:pPr>
      <w:r w:rsidRPr="00310B07">
        <w:rPr>
          <w:rFonts w:ascii="Times New Roman" w:hAnsi="Times New Roman" w:cs="Times New Roman"/>
        </w:rPr>
        <w:t>Ált/23 Magyar Honvédség Szolgálati Szabályzat, Magyar Honvédség kiadványa, Budapest, 2007</w:t>
      </w:r>
    </w:p>
    <w:p w:rsidR="00943DB8" w:rsidRPr="00943DB8" w:rsidRDefault="00943DB8" w:rsidP="00980876">
      <w:pPr>
        <w:pStyle w:val="Listaszerbekezds"/>
        <w:numPr>
          <w:ilvl w:val="0"/>
          <w:numId w:val="290"/>
        </w:numPr>
        <w:tabs>
          <w:tab w:val="right" w:pos="851"/>
          <w:tab w:val="center" w:pos="4536"/>
          <w:tab w:val="right" w:pos="9072"/>
        </w:tabs>
        <w:spacing w:after="0" w:line="240" w:lineRule="auto"/>
        <w:jc w:val="both"/>
        <w:rPr>
          <w:rFonts w:ascii="Times New Roman" w:eastAsia="Times New Roman" w:hAnsi="Times New Roman" w:cs="Times New Roman"/>
          <w:bCs/>
        </w:rPr>
      </w:pPr>
      <w:r w:rsidRPr="00943DB8">
        <w:rPr>
          <w:rFonts w:ascii="Times New Roman" w:hAnsi="Times New Roman" w:cs="Times New Roman"/>
          <w:bCs/>
        </w:rPr>
        <w:t>A szakirodalmakban hivatkozott jogszabályok, HM és MHP belső szabályzók</w:t>
      </w:r>
    </w:p>
    <w:p w:rsidR="00310B07" w:rsidRPr="00310B07" w:rsidRDefault="00310B07" w:rsidP="00980876">
      <w:pPr>
        <w:widowControl w:val="0"/>
        <w:numPr>
          <w:ilvl w:val="1"/>
          <w:numId w:val="289"/>
        </w:numPr>
        <w:tabs>
          <w:tab w:val="num" w:pos="567"/>
          <w:tab w:val="num" w:pos="2069"/>
        </w:tabs>
        <w:spacing w:before="120" w:after="120" w:line="240" w:lineRule="auto"/>
        <w:ind w:left="993" w:hanging="709"/>
        <w:jc w:val="both"/>
        <w:rPr>
          <w:rFonts w:ascii="Times New Roman" w:eastAsia="Times New Roman" w:hAnsi="Times New Roman" w:cs="Times New Roman"/>
          <w:b/>
          <w:bCs/>
        </w:rPr>
      </w:pPr>
      <w:r w:rsidRPr="00310B07">
        <w:rPr>
          <w:rFonts w:ascii="Times New Roman" w:eastAsia="Times New Roman" w:hAnsi="Times New Roman" w:cs="Times New Roman"/>
          <w:b/>
          <w:bCs/>
        </w:rPr>
        <w:t>Ajánlott irodalom:</w:t>
      </w:r>
    </w:p>
    <w:p w:rsidR="00310B07" w:rsidRPr="00310B07" w:rsidRDefault="00310B07" w:rsidP="00980876">
      <w:pPr>
        <w:pStyle w:val="Listaszerbekezds"/>
        <w:numPr>
          <w:ilvl w:val="0"/>
          <w:numId w:val="288"/>
        </w:numPr>
        <w:spacing w:after="0" w:line="240" w:lineRule="auto"/>
        <w:ind w:left="709"/>
        <w:jc w:val="both"/>
        <w:rPr>
          <w:rFonts w:ascii="Times New Roman" w:hAnsi="Times New Roman" w:cs="Times New Roman"/>
        </w:rPr>
      </w:pPr>
      <w:r w:rsidRPr="00310B07">
        <w:rPr>
          <w:rFonts w:ascii="Times New Roman" w:hAnsi="Times New Roman" w:cs="Times New Roman"/>
        </w:rPr>
        <w:t>A Magyar Honvédség békefenntartó és válságreagáló kijelölt alegységeinek műveleti követelményei (MH ÖHP dokumentum, Székesfehérvár, 2009.)</w:t>
      </w:r>
    </w:p>
    <w:p w:rsidR="00B26B05" w:rsidRPr="00B87C3E" w:rsidRDefault="00B26B05" w:rsidP="00980876">
      <w:pPr>
        <w:pStyle w:val="Listaszerbekezds"/>
        <w:numPr>
          <w:ilvl w:val="0"/>
          <w:numId w:val="288"/>
        </w:numPr>
        <w:spacing w:after="0" w:line="240" w:lineRule="auto"/>
        <w:ind w:left="709"/>
        <w:jc w:val="both"/>
        <w:rPr>
          <w:rFonts w:ascii="Times New Roman" w:eastAsia="Times New Roman" w:hAnsi="Times New Roman" w:cs="Times New Roman"/>
          <w:lang w:eastAsia="hu-HU"/>
        </w:rPr>
      </w:pPr>
      <w:r w:rsidRPr="00B87C3E">
        <w:rPr>
          <w:rFonts w:ascii="Times New Roman" w:eastAsia="Times New Roman" w:hAnsi="Times New Roman" w:cs="Times New Roman"/>
          <w:lang w:eastAsia="hu-HU"/>
        </w:rPr>
        <w:t xml:space="preserve">Az </w:t>
      </w:r>
      <w:r w:rsidRPr="00B26B05">
        <w:rPr>
          <w:rFonts w:ascii="Times New Roman" w:hAnsi="Times New Roman" w:cs="Times New Roman"/>
        </w:rPr>
        <w:t>Általános</w:t>
      </w:r>
      <w:r w:rsidRPr="00B87C3E">
        <w:rPr>
          <w:rFonts w:ascii="Times New Roman" w:eastAsia="Times New Roman" w:hAnsi="Times New Roman" w:cs="Times New Roman"/>
          <w:lang w:eastAsia="hu-HU"/>
        </w:rPr>
        <w:t xml:space="preserve"> Katonai Kiképzés Kézikönyve. I. kötet. A Honvédelmi Minisztérium Hadműveleti és Kiképzési Főosztály Kiadványa. Bp., 2008. (Nyt.sz.: 4/244.). </w:t>
      </w:r>
    </w:p>
    <w:p w:rsidR="00310B07" w:rsidRPr="00310B07" w:rsidRDefault="00310B07" w:rsidP="00310B07">
      <w:pPr>
        <w:pStyle w:val="Listaszerbekezds"/>
        <w:spacing w:after="0" w:line="240" w:lineRule="auto"/>
        <w:ind w:left="709"/>
        <w:jc w:val="both"/>
        <w:rPr>
          <w:rFonts w:ascii="Times New Roman" w:hAnsi="Times New Roman" w:cs="Times New Roman"/>
        </w:rPr>
      </w:pPr>
    </w:p>
    <w:p w:rsidR="00310B07" w:rsidRPr="00310B07" w:rsidRDefault="00966C4C" w:rsidP="00310B07">
      <w:pPr>
        <w:widowControl w:val="0"/>
        <w:spacing w:before="120" w:after="12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Budapest, 2020. március </w:t>
      </w:r>
      <w:r w:rsidR="0088681A">
        <w:rPr>
          <w:rFonts w:ascii="Times New Roman" w:eastAsia="Times New Roman" w:hAnsi="Times New Roman" w:cs="Times New Roman"/>
          <w:bCs/>
        </w:rPr>
        <w:t>30.</w:t>
      </w:r>
    </w:p>
    <w:p w:rsidR="00310B07" w:rsidRPr="00310B07" w:rsidRDefault="00310B07" w:rsidP="00310B07">
      <w:pPr>
        <w:tabs>
          <w:tab w:val="right" w:pos="900"/>
        </w:tabs>
        <w:spacing w:before="120"/>
        <w:ind w:left="1985" w:hanging="1980"/>
        <w:jc w:val="both"/>
        <w:rPr>
          <w:rFonts w:ascii="Times New Roman" w:hAnsi="Times New Roman" w:cs="Times New Roman"/>
          <w:bCs/>
          <w:lang w:eastAsia="x-none"/>
        </w:rPr>
      </w:pPr>
    </w:p>
    <w:p w:rsidR="00310B07" w:rsidRPr="00310B07" w:rsidRDefault="00310B07" w:rsidP="00310B07">
      <w:pPr>
        <w:tabs>
          <w:tab w:val="right" w:pos="900"/>
        </w:tabs>
        <w:spacing w:after="0"/>
        <w:rPr>
          <w:rFonts w:ascii="Times New Roman" w:hAnsi="Times New Roman" w:cs="Times New Roman"/>
          <w:bCs/>
          <w:lang w:val="x-none" w:eastAsia="x-none"/>
        </w:rPr>
      </w:pPr>
      <w:r w:rsidRPr="00310B07">
        <w:rPr>
          <w:rFonts w:ascii="Times New Roman" w:hAnsi="Times New Roman" w:cs="Times New Roman"/>
          <w:b/>
          <w:lang w:eastAsia="x-none"/>
        </w:rPr>
        <w:tab/>
      </w:r>
      <w:r w:rsidRPr="00310B07">
        <w:rPr>
          <w:rFonts w:ascii="Times New Roman" w:hAnsi="Times New Roman" w:cs="Times New Roman"/>
          <w:b/>
          <w:lang w:eastAsia="x-none"/>
        </w:rPr>
        <w:tab/>
      </w:r>
      <w:r w:rsidRPr="00310B07">
        <w:rPr>
          <w:rFonts w:ascii="Times New Roman" w:hAnsi="Times New Roman" w:cs="Times New Roman"/>
          <w:b/>
          <w:lang w:eastAsia="x-none"/>
        </w:rPr>
        <w:tab/>
      </w:r>
      <w:r w:rsidRPr="00310B07">
        <w:rPr>
          <w:rFonts w:ascii="Times New Roman" w:hAnsi="Times New Roman" w:cs="Times New Roman"/>
          <w:b/>
          <w:lang w:eastAsia="x-none"/>
        </w:rPr>
        <w:tab/>
      </w:r>
      <w:r w:rsidRPr="00310B07">
        <w:rPr>
          <w:rFonts w:ascii="Times New Roman" w:hAnsi="Times New Roman" w:cs="Times New Roman"/>
          <w:b/>
          <w:lang w:eastAsia="x-none"/>
        </w:rPr>
        <w:tab/>
      </w:r>
      <w:r w:rsidRPr="00310B07">
        <w:rPr>
          <w:rFonts w:ascii="Times New Roman" w:hAnsi="Times New Roman" w:cs="Times New Roman"/>
          <w:b/>
          <w:lang w:eastAsia="x-none"/>
        </w:rPr>
        <w:tab/>
        <w:t xml:space="preserve">  </w:t>
      </w:r>
      <w:r w:rsidRPr="00310B07">
        <w:rPr>
          <w:rFonts w:ascii="Times New Roman" w:hAnsi="Times New Roman" w:cs="Times New Roman"/>
          <w:b/>
          <w:lang w:eastAsia="x-none"/>
        </w:rPr>
        <w:tab/>
        <w:t xml:space="preserve">      Dr. Szászi Gábor egyetemi docens, PhD</w:t>
      </w:r>
    </w:p>
    <w:p w:rsidR="00310B07" w:rsidRPr="00310B07" w:rsidRDefault="00310B07" w:rsidP="00310B07">
      <w:pPr>
        <w:spacing w:after="0"/>
        <w:ind w:left="5672" w:firstLine="709"/>
        <w:rPr>
          <w:rFonts w:ascii="Times New Roman" w:hAnsi="Times New Roman" w:cs="Times New Roman"/>
        </w:rPr>
      </w:pPr>
      <w:r w:rsidRPr="00310B07">
        <w:rPr>
          <w:rFonts w:ascii="Times New Roman" w:hAnsi="Times New Roman" w:cs="Times New Roman"/>
          <w:bCs/>
        </w:rPr>
        <w:t>tantárgyfelelős</w:t>
      </w:r>
    </w:p>
    <w:p w:rsidR="00310B07" w:rsidRDefault="00310B07">
      <w:pPr>
        <w:spacing w:after="200" w:line="276" w:lineRule="auto"/>
        <w:rPr>
          <w:rFonts w:ascii="Times New Roman" w:hAnsi="Times New Roman" w:cs="Times New Roman"/>
          <w:sz w:val="24"/>
        </w:rPr>
      </w:pPr>
    </w:p>
    <w:p w:rsidR="00DC5CE6" w:rsidRDefault="00DC5CE6">
      <w:r>
        <w:br w:type="page"/>
      </w:r>
    </w:p>
    <w:tbl>
      <w:tblPr>
        <w:tblW w:w="9072" w:type="dxa"/>
        <w:tblInd w:w="113" w:type="dxa"/>
        <w:tblLook w:val="01E0" w:firstRow="1" w:lastRow="1" w:firstColumn="1" w:lastColumn="1" w:noHBand="0" w:noVBand="0"/>
      </w:tblPr>
      <w:tblGrid>
        <w:gridCol w:w="4855"/>
        <w:gridCol w:w="1620"/>
        <w:gridCol w:w="2597"/>
      </w:tblGrid>
      <w:tr w:rsidR="002F22BD" w:rsidRPr="002F22BD" w:rsidTr="002F22BD">
        <w:tc>
          <w:tcPr>
            <w:tcW w:w="4855" w:type="dxa"/>
            <w:tcBorders>
              <w:top w:val="nil"/>
              <w:left w:val="nil"/>
              <w:bottom w:val="single" w:sz="4" w:space="0" w:color="auto"/>
              <w:right w:val="nil"/>
            </w:tcBorders>
            <w:hideMark/>
          </w:tcPr>
          <w:p w:rsidR="002F22BD" w:rsidRPr="002F22BD" w:rsidRDefault="002F22BD">
            <w:pPr>
              <w:spacing w:after="0" w:line="240" w:lineRule="auto"/>
              <w:jc w:val="center"/>
              <w:rPr>
                <w:rFonts w:ascii="Times New Roman" w:eastAsia="Times New Roman" w:hAnsi="Times New Roman" w:cs="Times New Roman"/>
                <w:b/>
                <w:smallCaps/>
                <w:lang w:eastAsia="hu-HU"/>
              </w:rPr>
            </w:pPr>
            <w:r w:rsidRPr="002F22BD">
              <w:rPr>
                <w:rFonts w:ascii="Times New Roman" w:eastAsia="Times New Roman" w:hAnsi="Times New Roman" w:cs="Times New Roman"/>
                <w:b/>
                <w:smallCaps/>
                <w:lang w:eastAsia="hu-HU"/>
              </w:rPr>
              <w:lastRenderedPageBreak/>
              <w:t>Nemzeti Közszolgálati Egyetem</w:t>
            </w:r>
          </w:p>
        </w:tc>
        <w:tc>
          <w:tcPr>
            <w:tcW w:w="1620" w:type="dxa"/>
          </w:tcPr>
          <w:p w:rsidR="002F22BD" w:rsidRPr="002F22BD" w:rsidRDefault="002F22BD">
            <w:pPr>
              <w:spacing w:after="0" w:line="240" w:lineRule="auto"/>
              <w:jc w:val="both"/>
              <w:rPr>
                <w:rFonts w:ascii="Times New Roman" w:eastAsia="Times New Roman" w:hAnsi="Times New Roman" w:cs="Times New Roman"/>
                <w:lang w:eastAsia="hu-HU"/>
              </w:rPr>
            </w:pPr>
          </w:p>
        </w:tc>
        <w:tc>
          <w:tcPr>
            <w:tcW w:w="2597" w:type="dxa"/>
          </w:tcPr>
          <w:p w:rsidR="002F22BD" w:rsidRPr="002F22BD" w:rsidRDefault="002F22BD">
            <w:pPr>
              <w:spacing w:after="0" w:line="240" w:lineRule="auto"/>
              <w:jc w:val="right"/>
              <w:rPr>
                <w:rFonts w:ascii="Times New Roman" w:eastAsia="Times New Roman" w:hAnsi="Times New Roman" w:cs="Times New Roman"/>
                <w:lang w:eastAsia="hu-HU"/>
              </w:rPr>
            </w:pPr>
          </w:p>
        </w:tc>
      </w:tr>
      <w:tr w:rsidR="002F22BD" w:rsidRPr="002F22BD" w:rsidTr="002F22BD">
        <w:tc>
          <w:tcPr>
            <w:tcW w:w="4855" w:type="dxa"/>
            <w:tcBorders>
              <w:top w:val="single" w:sz="4" w:space="0" w:color="auto"/>
              <w:left w:val="nil"/>
              <w:bottom w:val="nil"/>
              <w:right w:val="nil"/>
            </w:tcBorders>
            <w:hideMark/>
          </w:tcPr>
          <w:p w:rsidR="002F22BD" w:rsidRPr="002F22BD" w:rsidRDefault="002F22BD">
            <w:pPr>
              <w:spacing w:after="0" w:line="240" w:lineRule="auto"/>
              <w:jc w:val="center"/>
              <w:rPr>
                <w:rFonts w:ascii="Times New Roman" w:eastAsia="Times New Roman" w:hAnsi="Times New Roman" w:cs="Times New Roman"/>
                <w:b/>
                <w:lang w:eastAsia="hu-HU"/>
              </w:rPr>
            </w:pPr>
            <w:r w:rsidRPr="002F22BD">
              <w:rPr>
                <w:rFonts w:ascii="Times New Roman" w:eastAsia="Times New Roman" w:hAnsi="Times New Roman" w:cs="Times New Roman"/>
                <w:b/>
                <w:lang w:eastAsia="hu-HU"/>
              </w:rPr>
              <w:t>Hadtudományi és Honvédtisztképző Kar</w:t>
            </w:r>
          </w:p>
        </w:tc>
        <w:tc>
          <w:tcPr>
            <w:tcW w:w="1620" w:type="dxa"/>
          </w:tcPr>
          <w:p w:rsidR="002F22BD" w:rsidRPr="002F22BD" w:rsidRDefault="002F22BD">
            <w:pPr>
              <w:spacing w:after="0" w:line="240" w:lineRule="auto"/>
              <w:jc w:val="both"/>
              <w:rPr>
                <w:rFonts w:ascii="Times New Roman" w:eastAsia="Times New Roman" w:hAnsi="Times New Roman" w:cs="Times New Roman"/>
                <w:lang w:eastAsia="hu-HU"/>
              </w:rPr>
            </w:pPr>
          </w:p>
        </w:tc>
        <w:tc>
          <w:tcPr>
            <w:tcW w:w="2597" w:type="dxa"/>
          </w:tcPr>
          <w:p w:rsidR="002F22BD" w:rsidRPr="002F22BD" w:rsidRDefault="002F22BD">
            <w:pPr>
              <w:spacing w:after="0" w:line="240" w:lineRule="auto"/>
              <w:jc w:val="both"/>
              <w:rPr>
                <w:rFonts w:ascii="Times New Roman" w:eastAsia="Times New Roman" w:hAnsi="Times New Roman" w:cs="Times New Roman"/>
                <w:lang w:eastAsia="hu-HU"/>
              </w:rPr>
            </w:pPr>
          </w:p>
        </w:tc>
      </w:tr>
    </w:tbl>
    <w:p w:rsidR="002F22BD" w:rsidRPr="002F22BD" w:rsidRDefault="002F22BD" w:rsidP="002F22BD">
      <w:pPr>
        <w:widowControl w:val="0"/>
        <w:spacing w:before="120" w:after="120" w:line="240" w:lineRule="auto"/>
        <w:ind w:left="426" w:hanging="142"/>
        <w:jc w:val="center"/>
        <w:rPr>
          <w:rFonts w:ascii="Times New Roman" w:eastAsia="Times New Roman" w:hAnsi="Times New Roman" w:cs="Times New Roman"/>
          <w:b/>
          <w:bCs/>
        </w:rPr>
      </w:pPr>
    </w:p>
    <w:p w:rsidR="002F22BD" w:rsidRPr="002F22BD" w:rsidRDefault="002F22BD" w:rsidP="002F22BD">
      <w:pPr>
        <w:widowControl w:val="0"/>
        <w:spacing w:before="120" w:after="120" w:line="240" w:lineRule="auto"/>
        <w:ind w:left="426" w:hanging="142"/>
        <w:jc w:val="center"/>
        <w:rPr>
          <w:rFonts w:ascii="Times New Roman" w:eastAsia="Times New Roman" w:hAnsi="Times New Roman" w:cs="Times New Roman"/>
          <w:b/>
          <w:bCs/>
        </w:rPr>
      </w:pPr>
      <w:r w:rsidRPr="002F22BD">
        <w:rPr>
          <w:rFonts w:ascii="Times New Roman" w:eastAsia="Times New Roman" w:hAnsi="Times New Roman" w:cs="Times New Roman"/>
          <w:b/>
          <w:bCs/>
        </w:rPr>
        <w:t>TANTÁRGYI PROGRAM</w:t>
      </w:r>
    </w:p>
    <w:p w:rsidR="002F22BD" w:rsidRPr="002F22BD" w:rsidRDefault="002F22BD" w:rsidP="00980876">
      <w:pPr>
        <w:widowControl w:val="0"/>
        <w:numPr>
          <w:ilvl w:val="0"/>
          <w:numId w:val="293"/>
        </w:numPr>
        <w:tabs>
          <w:tab w:val="num" w:pos="567"/>
        </w:tabs>
        <w:spacing w:before="120" w:after="120" w:line="240" w:lineRule="auto"/>
        <w:ind w:left="426" w:hanging="142"/>
        <w:jc w:val="both"/>
        <w:rPr>
          <w:rFonts w:ascii="Times New Roman" w:eastAsia="Times New Roman" w:hAnsi="Times New Roman" w:cs="Times New Roman"/>
          <w:bCs/>
        </w:rPr>
      </w:pPr>
      <w:r w:rsidRPr="002F22BD">
        <w:rPr>
          <w:rFonts w:ascii="Times New Roman" w:eastAsia="Times New Roman" w:hAnsi="Times New Roman" w:cs="Times New Roman"/>
          <w:b/>
          <w:bCs/>
        </w:rPr>
        <w:t xml:space="preserve">A tantárgy kódja: </w:t>
      </w:r>
      <w:r w:rsidRPr="002F22BD">
        <w:rPr>
          <w:rFonts w:ascii="Times New Roman" w:hAnsi="Times New Roman" w:cs="Times New Roman"/>
        </w:rPr>
        <w:t>HKHPKA317</w:t>
      </w:r>
    </w:p>
    <w:p w:rsidR="002F22BD" w:rsidRPr="002F22BD" w:rsidRDefault="002F22BD" w:rsidP="00980876">
      <w:pPr>
        <w:widowControl w:val="0"/>
        <w:numPr>
          <w:ilvl w:val="0"/>
          <w:numId w:val="293"/>
        </w:numPr>
        <w:tabs>
          <w:tab w:val="num" w:pos="567"/>
        </w:tabs>
        <w:spacing w:before="120" w:after="120" w:line="240" w:lineRule="auto"/>
        <w:ind w:left="426" w:hanging="142"/>
        <w:jc w:val="both"/>
        <w:rPr>
          <w:rFonts w:ascii="Times New Roman" w:eastAsia="Times New Roman" w:hAnsi="Times New Roman" w:cs="Times New Roman"/>
          <w:b/>
          <w:bCs/>
          <w:lang w:val="en-GB"/>
        </w:rPr>
      </w:pPr>
      <w:r w:rsidRPr="002F22BD">
        <w:rPr>
          <w:rFonts w:ascii="Times New Roman" w:eastAsia="Times New Roman" w:hAnsi="Times New Roman" w:cs="Times New Roman"/>
          <w:b/>
          <w:bCs/>
        </w:rPr>
        <w:t>A tantárgy megnevezése (magyarul):</w:t>
      </w:r>
      <w:r w:rsidRPr="002F22BD">
        <w:rPr>
          <w:rFonts w:ascii="Times New Roman" w:eastAsia="Times New Roman" w:hAnsi="Times New Roman" w:cs="Times New Roman"/>
          <w:bCs/>
        </w:rPr>
        <w:t xml:space="preserve"> </w:t>
      </w:r>
      <w:r w:rsidRPr="002F22BD">
        <w:rPr>
          <w:rFonts w:ascii="Times New Roman" w:hAnsi="Times New Roman" w:cs="Times New Roman"/>
          <w:bCs/>
        </w:rPr>
        <w:t>Közlekedésgazdaságtan</w:t>
      </w:r>
    </w:p>
    <w:p w:rsidR="002F22BD" w:rsidRPr="002F22BD" w:rsidRDefault="002F22BD" w:rsidP="00980876">
      <w:pPr>
        <w:widowControl w:val="0"/>
        <w:numPr>
          <w:ilvl w:val="0"/>
          <w:numId w:val="293"/>
        </w:numPr>
        <w:tabs>
          <w:tab w:val="num" w:pos="567"/>
        </w:tabs>
        <w:spacing w:before="120" w:after="120" w:line="240" w:lineRule="auto"/>
        <w:ind w:left="426" w:hanging="142"/>
        <w:jc w:val="both"/>
        <w:rPr>
          <w:rFonts w:ascii="Times New Roman" w:eastAsia="Times New Roman" w:hAnsi="Times New Roman" w:cs="Times New Roman"/>
          <w:b/>
          <w:bCs/>
          <w:lang w:val="en-GB"/>
        </w:rPr>
      </w:pPr>
      <w:r w:rsidRPr="002F22BD">
        <w:rPr>
          <w:rFonts w:ascii="Times New Roman" w:eastAsia="Times New Roman" w:hAnsi="Times New Roman" w:cs="Times New Roman"/>
          <w:b/>
          <w:bCs/>
        </w:rPr>
        <w:t xml:space="preserve">A tantárgy megnevezése (angolul): </w:t>
      </w:r>
      <w:r w:rsidRPr="002F22BD">
        <w:rPr>
          <w:rStyle w:val="tlid-translation"/>
          <w:rFonts w:ascii="Times New Roman" w:hAnsi="Times New Roman" w:cs="Times New Roman"/>
          <w:lang w:val="en"/>
        </w:rPr>
        <w:t>Transport Economics</w:t>
      </w:r>
    </w:p>
    <w:p w:rsidR="002F22BD" w:rsidRPr="002F22BD" w:rsidRDefault="002F22BD" w:rsidP="00980876">
      <w:pPr>
        <w:widowControl w:val="0"/>
        <w:numPr>
          <w:ilvl w:val="0"/>
          <w:numId w:val="293"/>
        </w:numPr>
        <w:tabs>
          <w:tab w:val="num" w:pos="567"/>
        </w:tabs>
        <w:spacing w:before="120" w:after="120" w:line="240" w:lineRule="auto"/>
        <w:ind w:left="426" w:hanging="142"/>
        <w:jc w:val="both"/>
        <w:rPr>
          <w:rFonts w:ascii="Times New Roman" w:eastAsia="Times New Roman" w:hAnsi="Times New Roman" w:cs="Times New Roman"/>
          <w:b/>
          <w:bCs/>
        </w:rPr>
      </w:pPr>
      <w:r w:rsidRPr="002F22BD">
        <w:rPr>
          <w:rFonts w:ascii="Times New Roman" w:eastAsia="Times New Roman" w:hAnsi="Times New Roman" w:cs="Times New Roman"/>
          <w:b/>
          <w:bCs/>
        </w:rPr>
        <w:t xml:space="preserve">Kreditérték és képzési karakter: </w:t>
      </w:r>
    </w:p>
    <w:p w:rsidR="002F22BD" w:rsidRPr="002F22BD" w:rsidRDefault="002F22BD" w:rsidP="00980876">
      <w:pPr>
        <w:pStyle w:val="Listaszerbekezds"/>
        <w:widowControl w:val="0"/>
        <w:numPr>
          <w:ilvl w:val="1"/>
          <w:numId w:val="293"/>
        </w:numPr>
        <w:spacing w:before="120" w:after="120" w:line="240" w:lineRule="auto"/>
        <w:ind w:left="993" w:hanging="426"/>
        <w:jc w:val="both"/>
        <w:rPr>
          <w:rFonts w:ascii="Times New Roman" w:eastAsia="Times New Roman" w:hAnsi="Times New Roman" w:cs="Times New Roman"/>
          <w:b/>
          <w:bCs/>
        </w:rPr>
      </w:pPr>
      <w:r w:rsidRPr="002F22BD">
        <w:rPr>
          <w:rFonts w:ascii="Times New Roman" w:eastAsia="Times New Roman" w:hAnsi="Times New Roman" w:cs="Times New Roman"/>
          <w:bCs/>
        </w:rPr>
        <w:t>2 kredit</w:t>
      </w:r>
    </w:p>
    <w:p w:rsidR="002F22BD" w:rsidRPr="002F22BD" w:rsidRDefault="002F22BD" w:rsidP="00980876">
      <w:pPr>
        <w:pStyle w:val="Listaszerbekezds"/>
        <w:widowControl w:val="0"/>
        <w:numPr>
          <w:ilvl w:val="1"/>
          <w:numId w:val="293"/>
        </w:numPr>
        <w:spacing w:before="120" w:after="120" w:line="240" w:lineRule="auto"/>
        <w:ind w:left="993" w:hanging="426"/>
        <w:jc w:val="both"/>
        <w:rPr>
          <w:rFonts w:ascii="Times New Roman" w:eastAsia="Times New Roman" w:hAnsi="Times New Roman" w:cs="Times New Roman"/>
          <w:b/>
          <w:bCs/>
        </w:rPr>
      </w:pPr>
      <w:r w:rsidRPr="002F22BD">
        <w:rPr>
          <w:rFonts w:ascii="Times New Roman" w:eastAsia="Times New Roman" w:hAnsi="Times New Roman" w:cs="Times New Roman"/>
          <w:bCs/>
        </w:rPr>
        <w:t>a tantárgy elméleti vagy gyakorlati jellegének mértéke: 50</w:t>
      </w:r>
      <w:r w:rsidRPr="002F22BD">
        <w:rPr>
          <w:rFonts w:ascii="Times New Roman" w:eastAsia="Times New Roman" w:hAnsi="Times New Roman" w:cs="Times New Roman"/>
          <w:b/>
          <w:bCs/>
        </w:rPr>
        <w:t xml:space="preserve"> </w:t>
      </w:r>
      <w:r w:rsidRPr="002F22BD">
        <w:rPr>
          <w:rFonts w:ascii="Times New Roman" w:eastAsia="Times New Roman" w:hAnsi="Times New Roman" w:cs="Times New Roman"/>
          <w:bCs/>
        </w:rPr>
        <w:t>% gyakorlat, 50 % elmélet</w:t>
      </w:r>
    </w:p>
    <w:p w:rsidR="002F22BD" w:rsidRPr="002F22BD" w:rsidRDefault="002F22BD" w:rsidP="00980876">
      <w:pPr>
        <w:widowControl w:val="0"/>
        <w:numPr>
          <w:ilvl w:val="0"/>
          <w:numId w:val="293"/>
        </w:numPr>
        <w:spacing w:before="120" w:after="120" w:line="240" w:lineRule="auto"/>
        <w:ind w:left="426" w:hanging="142"/>
        <w:jc w:val="both"/>
        <w:rPr>
          <w:rFonts w:ascii="Times New Roman" w:eastAsia="Times New Roman" w:hAnsi="Times New Roman" w:cs="Times New Roman"/>
          <w:bCs/>
        </w:rPr>
      </w:pPr>
      <w:r w:rsidRPr="002F22BD">
        <w:rPr>
          <w:rFonts w:ascii="Times New Roman" w:eastAsia="Times New Roman" w:hAnsi="Times New Roman" w:cs="Times New Roman"/>
          <w:b/>
          <w:bCs/>
        </w:rPr>
        <w:t>A szak(ok), szakirányok/specializációk megnevezése (ahol oktatják):</w:t>
      </w:r>
      <w:r w:rsidRPr="002F22BD">
        <w:rPr>
          <w:rFonts w:ascii="Times New Roman" w:eastAsia="Times New Roman" w:hAnsi="Times New Roman" w:cs="Times New Roman"/>
          <w:bCs/>
        </w:rPr>
        <w:t xml:space="preserve"> Katonai logisztika alapképzési szak, Katonai közlekedési specializáció</w:t>
      </w:r>
    </w:p>
    <w:p w:rsidR="002F22BD" w:rsidRPr="002F22BD" w:rsidRDefault="002F22BD" w:rsidP="00980876">
      <w:pPr>
        <w:widowControl w:val="0"/>
        <w:numPr>
          <w:ilvl w:val="0"/>
          <w:numId w:val="293"/>
        </w:numPr>
        <w:tabs>
          <w:tab w:val="num" w:pos="567"/>
        </w:tabs>
        <w:spacing w:before="120" w:after="120" w:line="240" w:lineRule="auto"/>
        <w:ind w:left="426" w:hanging="142"/>
        <w:jc w:val="both"/>
        <w:rPr>
          <w:rFonts w:ascii="Times New Roman" w:eastAsia="Times New Roman" w:hAnsi="Times New Roman" w:cs="Times New Roman"/>
          <w:bCs/>
        </w:rPr>
      </w:pPr>
      <w:r w:rsidRPr="002F22BD">
        <w:rPr>
          <w:rFonts w:ascii="Times New Roman" w:eastAsia="Times New Roman" w:hAnsi="Times New Roman" w:cs="Times New Roman"/>
          <w:b/>
          <w:bCs/>
        </w:rPr>
        <w:t xml:space="preserve">Az oktatásért felelős oktatási szervezeti egység megnevezése: </w:t>
      </w:r>
      <w:r w:rsidRPr="002F22BD">
        <w:rPr>
          <w:rFonts w:ascii="Times New Roman" w:eastAsia="Times New Roman" w:hAnsi="Times New Roman" w:cs="Times New Roman"/>
          <w:bCs/>
        </w:rPr>
        <w:t>NKE HHK, Hadtáp, Pénzügyi és Katonai Közlekedési Tanszék</w:t>
      </w:r>
    </w:p>
    <w:p w:rsidR="002F22BD" w:rsidRPr="002F22BD" w:rsidRDefault="002F22BD" w:rsidP="00980876">
      <w:pPr>
        <w:widowControl w:val="0"/>
        <w:numPr>
          <w:ilvl w:val="0"/>
          <w:numId w:val="293"/>
        </w:numPr>
        <w:tabs>
          <w:tab w:val="num" w:pos="567"/>
        </w:tabs>
        <w:spacing w:before="120" w:after="120" w:line="240" w:lineRule="auto"/>
        <w:ind w:left="426" w:hanging="142"/>
        <w:jc w:val="both"/>
        <w:rPr>
          <w:rFonts w:ascii="Times New Roman" w:eastAsia="Times New Roman" w:hAnsi="Times New Roman" w:cs="Times New Roman"/>
          <w:bCs/>
        </w:rPr>
      </w:pPr>
      <w:r w:rsidRPr="002F22BD">
        <w:rPr>
          <w:rFonts w:ascii="Times New Roman" w:eastAsia="Times New Roman" w:hAnsi="Times New Roman" w:cs="Times New Roman"/>
          <w:b/>
          <w:bCs/>
        </w:rPr>
        <w:t>A tantárgyfelelős oktató neve, beosztása, tudományos fokozata:</w:t>
      </w:r>
      <w:r w:rsidRPr="002F22BD">
        <w:rPr>
          <w:rFonts w:ascii="Times New Roman" w:eastAsia="Times New Roman" w:hAnsi="Times New Roman" w:cs="Times New Roman"/>
          <w:bCs/>
        </w:rPr>
        <w:t xml:space="preserve"> </w:t>
      </w:r>
      <w:r w:rsidRPr="002F22BD">
        <w:rPr>
          <w:rFonts w:ascii="Times New Roman" w:hAnsi="Times New Roman" w:cs="Times New Roman"/>
          <w:lang w:eastAsia="x-none"/>
        </w:rPr>
        <w:t>Dr. Szászi Gábor egyetemi docens, PhD</w:t>
      </w:r>
      <w:r w:rsidRPr="002F22BD">
        <w:rPr>
          <w:rFonts w:ascii="Times New Roman" w:eastAsia="Times New Roman" w:hAnsi="Times New Roman" w:cs="Times New Roman"/>
          <w:bCs/>
        </w:rPr>
        <w:t xml:space="preserve"> </w:t>
      </w:r>
    </w:p>
    <w:p w:rsidR="002F22BD" w:rsidRPr="002F22BD" w:rsidRDefault="002F22BD" w:rsidP="00980876">
      <w:pPr>
        <w:widowControl w:val="0"/>
        <w:numPr>
          <w:ilvl w:val="0"/>
          <w:numId w:val="293"/>
        </w:numPr>
        <w:tabs>
          <w:tab w:val="num" w:pos="567"/>
        </w:tabs>
        <w:spacing w:before="120" w:after="120" w:line="240" w:lineRule="auto"/>
        <w:ind w:left="426" w:hanging="142"/>
        <w:jc w:val="both"/>
        <w:rPr>
          <w:rFonts w:ascii="Times New Roman" w:eastAsia="Times New Roman" w:hAnsi="Times New Roman" w:cs="Times New Roman"/>
          <w:bCs/>
        </w:rPr>
      </w:pPr>
      <w:r w:rsidRPr="002F22BD">
        <w:rPr>
          <w:rFonts w:ascii="Times New Roman" w:eastAsia="Times New Roman" w:hAnsi="Times New Roman" w:cs="Times New Roman"/>
          <w:b/>
          <w:bCs/>
        </w:rPr>
        <w:t>A tanórák száma és típusa</w:t>
      </w:r>
    </w:p>
    <w:p w:rsidR="002F22BD" w:rsidRPr="002F22BD" w:rsidRDefault="002F22BD" w:rsidP="00980876">
      <w:pPr>
        <w:widowControl w:val="0"/>
        <w:numPr>
          <w:ilvl w:val="1"/>
          <w:numId w:val="293"/>
        </w:numPr>
        <w:tabs>
          <w:tab w:val="num" w:pos="709"/>
          <w:tab w:val="num" w:pos="2069"/>
        </w:tabs>
        <w:spacing w:before="120" w:after="120" w:line="240" w:lineRule="auto"/>
        <w:ind w:left="851" w:hanging="425"/>
        <w:jc w:val="both"/>
        <w:rPr>
          <w:rFonts w:ascii="Times New Roman" w:eastAsia="Times New Roman" w:hAnsi="Times New Roman" w:cs="Times New Roman"/>
          <w:bCs/>
        </w:rPr>
      </w:pPr>
      <w:r w:rsidRPr="002F22BD">
        <w:rPr>
          <w:rFonts w:ascii="Times New Roman" w:eastAsia="Times New Roman" w:hAnsi="Times New Roman" w:cs="Times New Roman"/>
          <w:bCs/>
        </w:rPr>
        <w:t>össz óraszám/félév: 28</w:t>
      </w:r>
    </w:p>
    <w:p w:rsidR="002F22BD" w:rsidRPr="002F22BD" w:rsidRDefault="002F22BD" w:rsidP="00980876">
      <w:pPr>
        <w:widowControl w:val="0"/>
        <w:numPr>
          <w:ilvl w:val="2"/>
          <w:numId w:val="293"/>
        </w:numPr>
        <w:tabs>
          <w:tab w:val="num" w:pos="709"/>
          <w:tab w:val="num" w:pos="1134"/>
        </w:tabs>
        <w:spacing w:before="120" w:after="120" w:line="240" w:lineRule="auto"/>
        <w:ind w:left="993" w:hanging="425"/>
        <w:jc w:val="both"/>
        <w:rPr>
          <w:rFonts w:ascii="Times New Roman" w:eastAsia="Times New Roman" w:hAnsi="Times New Roman" w:cs="Times New Roman"/>
          <w:bCs/>
        </w:rPr>
      </w:pPr>
      <w:r w:rsidRPr="002F22BD">
        <w:rPr>
          <w:rFonts w:ascii="Times New Roman" w:eastAsia="Times New Roman" w:hAnsi="Times New Roman" w:cs="Times New Roman"/>
          <w:bCs/>
        </w:rPr>
        <w:t>nappali munkarend: 28 (14 EA + 0 SZ + 14 GY)</w:t>
      </w:r>
    </w:p>
    <w:p w:rsidR="002F22BD" w:rsidRPr="002F22BD" w:rsidRDefault="002F22BD" w:rsidP="00980876">
      <w:pPr>
        <w:widowControl w:val="0"/>
        <w:numPr>
          <w:ilvl w:val="2"/>
          <w:numId w:val="293"/>
        </w:numPr>
        <w:tabs>
          <w:tab w:val="num" w:pos="709"/>
          <w:tab w:val="num" w:pos="1134"/>
        </w:tabs>
        <w:spacing w:before="120" w:after="120" w:line="240" w:lineRule="auto"/>
        <w:ind w:left="993" w:hanging="425"/>
        <w:jc w:val="both"/>
        <w:rPr>
          <w:rFonts w:ascii="Times New Roman" w:eastAsia="Times New Roman" w:hAnsi="Times New Roman" w:cs="Times New Roman"/>
          <w:bCs/>
        </w:rPr>
      </w:pPr>
      <w:r w:rsidRPr="002F22BD">
        <w:rPr>
          <w:rFonts w:ascii="Times New Roman" w:eastAsia="Times New Roman" w:hAnsi="Times New Roman" w:cs="Times New Roman"/>
          <w:bCs/>
        </w:rPr>
        <w:t>levelező munkarend: 0 (0 EA + 0 SZ + 0 GY)</w:t>
      </w:r>
    </w:p>
    <w:p w:rsidR="002F22BD" w:rsidRPr="002F22BD" w:rsidRDefault="002F22BD" w:rsidP="00980876">
      <w:pPr>
        <w:widowControl w:val="0"/>
        <w:numPr>
          <w:ilvl w:val="1"/>
          <w:numId w:val="293"/>
        </w:numPr>
        <w:tabs>
          <w:tab w:val="num" w:pos="709"/>
          <w:tab w:val="num" w:pos="2069"/>
        </w:tabs>
        <w:spacing w:before="120" w:after="120" w:line="240" w:lineRule="auto"/>
        <w:ind w:left="851" w:hanging="425"/>
        <w:jc w:val="both"/>
        <w:rPr>
          <w:rFonts w:ascii="Times New Roman" w:eastAsia="Times New Roman" w:hAnsi="Times New Roman" w:cs="Times New Roman"/>
          <w:bCs/>
        </w:rPr>
      </w:pPr>
      <w:r w:rsidRPr="002F22BD">
        <w:rPr>
          <w:rFonts w:ascii="Times New Roman" w:eastAsia="Times New Roman" w:hAnsi="Times New Roman" w:cs="Times New Roman"/>
          <w:bCs/>
        </w:rPr>
        <w:t>heti óraszám - nappali munkarend: 2</w:t>
      </w:r>
    </w:p>
    <w:p w:rsidR="002F22BD" w:rsidRPr="002F22BD" w:rsidRDefault="002F22BD" w:rsidP="00980876">
      <w:pPr>
        <w:widowControl w:val="0"/>
        <w:numPr>
          <w:ilvl w:val="1"/>
          <w:numId w:val="293"/>
        </w:numPr>
        <w:tabs>
          <w:tab w:val="num" w:pos="709"/>
          <w:tab w:val="num" w:pos="2069"/>
        </w:tabs>
        <w:spacing w:before="120" w:after="120" w:line="240" w:lineRule="auto"/>
        <w:ind w:left="851" w:hanging="425"/>
        <w:jc w:val="both"/>
        <w:rPr>
          <w:rFonts w:ascii="Times New Roman" w:eastAsia="Times New Roman" w:hAnsi="Times New Roman" w:cs="Times New Roman"/>
          <w:bCs/>
        </w:rPr>
      </w:pPr>
      <w:r w:rsidRPr="002F22BD">
        <w:rPr>
          <w:rFonts w:ascii="Times New Roman" w:hAnsi="Times New Roman" w:cs="Times New Roman"/>
        </w:rPr>
        <w:t>Az ismeret átadásában alkalmazandó további sajátos módok, jellemzők: -</w:t>
      </w:r>
    </w:p>
    <w:p w:rsidR="002F22BD" w:rsidRPr="002F22BD" w:rsidRDefault="002F22BD" w:rsidP="00980876">
      <w:pPr>
        <w:pStyle w:val="lfej"/>
        <w:numPr>
          <w:ilvl w:val="0"/>
          <w:numId w:val="293"/>
        </w:numPr>
        <w:tabs>
          <w:tab w:val="clear" w:pos="720"/>
          <w:tab w:val="clear" w:pos="4536"/>
          <w:tab w:val="center" w:pos="4819"/>
        </w:tabs>
        <w:spacing w:before="120"/>
        <w:ind w:left="567" w:hanging="283"/>
        <w:jc w:val="both"/>
        <w:rPr>
          <w:rFonts w:ascii="Times New Roman" w:eastAsia="Times New Roman" w:hAnsi="Times New Roman" w:cs="Times New Roman"/>
          <w:bCs/>
        </w:rPr>
      </w:pPr>
      <w:r w:rsidRPr="002F22BD">
        <w:rPr>
          <w:rFonts w:ascii="Times New Roman" w:eastAsia="Times New Roman" w:hAnsi="Times New Roman" w:cs="Times New Roman"/>
          <w:b/>
          <w:bCs/>
        </w:rPr>
        <w:t xml:space="preserve">A tantárgy szakmai tartalma (magyarul): </w:t>
      </w:r>
      <w:r w:rsidRPr="002F22BD">
        <w:rPr>
          <w:rFonts w:ascii="Times New Roman" w:hAnsi="Times New Roman" w:cs="Times New Roman"/>
        </w:rPr>
        <w:t>Gazdálkodási rendszerek a közlekedésben. A közlekedési vállalkozások működési modellje. A gazdálkodás információbázisa. A gazdálkodási tevékenység nyilvántartása.  A számviteli rendszer alapelemei. A vállalkozási vagyon fogalma, a vagyonmérleg. Könyvviteli mérleg. A leltár. A bizonylat fogalma, tartalma. A gazdasági műveletek alaptípusai, a könyvvitel részterületei. Gazdasági műveletek, elszámolások. Számlaelméletek. A könyvelési munka általános menete. Információ felhasználás - controlling. Vállalkozások gazdálkodásának funkcionális részterületei. A tárgyi eszközgazdálkodás tartalma, funkciói. A tárgyi eszközállomány szerkezete, csoportjai.  A gazdaságos élettartam kérdése. Az amortizáció. Amortizáció fogalma, funkciója. Az értékcsökkenési leírás konvencionális eljárásai. Az amortizációs politika. Tárgyi eszközök üzemeltetése a gazdaságos élettartam alatt. Az eszközök kihasználásának elemzése. Fenntartás, javítás gazdaságossági kérdései. Innovációs politika, műszaki fejlesztés, beruházás. Műszaki fejlesztés megjelenési formái.  Pótlás, bővítés, beruházás fogalma. Beruházások finanszírozása. Projekt és projekt menedzsment. A tárgyi eszközgazdálkodás sajátosságai a közlekedésben. A forgóeszköz-gazdálkodás általános fogalmai, készletgazdálkodás. Készletezési rendszerek. A készletezési rendszer költségtényezői. Termék szintű készletelemzések. Forgóeszközök finanszírozása.</w:t>
      </w:r>
    </w:p>
    <w:p w:rsidR="002F22BD" w:rsidRPr="002F22BD" w:rsidRDefault="002F22BD" w:rsidP="002D2489">
      <w:pPr>
        <w:pStyle w:val="lfej"/>
        <w:tabs>
          <w:tab w:val="clear" w:pos="4536"/>
          <w:tab w:val="center" w:pos="4819"/>
        </w:tabs>
        <w:spacing w:before="120"/>
        <w:ind w:left="567"/>
        <w:jc w:val="both"/>
        <w:rPr>
          <w:rFonts w:ascii="Times New Roman" w:eastAsia="Times New Roman" w:hAnsi="Times New Roman" w:cs="Times New Roman"/>
          <w:bCs/>
          <w:lang w:val="en-GB"/>
        </w:rPr>
      </w:pPr>
      <w:r w:rsidRPr="002F22BD">
        <w:rPr>
          <w:rFonts w:ascii="Times New Roman" w:eastAsia="Times New Roman" w:hAnsi="Times New Roman" w:cs="Times New Roman"/>
          <w:b/>
          <w:bCs/>
        </w:rPr>
        <w:t>A tantárgy szakmai tartalma (angolul) (</w:t>
      </w:r>
      <w:r w:rsidRPr="002F22BD">
        <w:rPr>
          <w:rFonts w:ascii="Times New Roman" w:eastAsia="Times New Roman" w:hAnsi="Times New Roman" w:cs="Times New Roman"/>
          <w:b/>
          <w:bCs/>
          <w:lang w:val="en-US"/>
        </w:rPr>
        <w:t>Course description</w:t>
      </w:r>
      <w:r w:rsidRPr="002F22BD">
        <w:rPr>
          <w:rFonts w:ascii="Times New Roman" w:eastAsia="Times New Roman" w:hAnsi="Times New Roman" w:cs="Times New Roman"/>
          <w:b/>
          <w:bCs/>
        </w:rPr>
        <w:t xml:space="preserve">): </w:t>
      </w:r>
      <w:r w:rsidRPr="002F22BD">
        <w:rPr>
          <w:rStyle w:val="tlid-translation"/>
          <w:rFonts w:ascii="Times New Roman" w:hAnsi="Times New Roman" w:cs="Times New Roman"/>
          <w:lang w:val="en"/>
        </w:rPr>
        <w:t xml:space="preserve">Management systems in transport. The operating model of transport enterprises. Management information base. Records of farming activity. Basic elements of the accounting system. The concept of entrepreneurial wealth, the balance sheet. Accounting balance. The inventory. Concept and content of the document. Basic types of transactions, subdivisions of accounting. Transactions, settlements. Theories Account. General procedure of accounting work. Use of information - controlling. Functional subdivisions of business management. Content and functions of tangible asset management. Structure and groups of tangible assets. The question of economical life. </w:t>
      </w:r>
      <w:r w:rsidRPr="002F22BD">
        <w:rPr>
          <w:rStyle w:val="tlid-translation"/>
          <w:rFonts w:ascii="Times New Roman" w:hAnsi="Times New Roman" w:cs="Times New Roman"/>
          <w:lang w:val="en"/>
        </w:rPr>
        <w:lastRenderedPageBreak/>
        <w:t>Depreciation. Concept and function of depreciation. Conventional procedures for depreciation. Depreciation policy. Operation of tangible assets during the economic life. Analysis of asset utilization. Economic issues of maintenance and repair. Innovation policy, technical development, investment. Forms of technical development. Supply, expansion, investment concept. Financing of investments. Project and project management. Specific features of tangible asset management in transport. General concepts of current assets management, inventory management. Stock systems. Cost factors of inventory system. Product Level Inventory Analysis. Financing of current assets.</w:t>
      </w:r>
    </w:p>
    <w:p w:rsidR="002F22BD" w:rsidRPr="002F22BD" w:rsidRDefault="002F22BD" w:rsidP="00980876">
      <w:pPr>
        <w:pStyle w:val="Listaszerbekezds"/>
        <w:widowControl w:val="0"/>
        <w:numPr>
          <w:ilvl w:val="0"/>
          <w:numId w:val="293"/>
        </w:numPr>
        <w:spacing w:before="120" w:after="120" w:line="240" w:lineRule="auto"/>
        <w:jc w:val="both"/>
        <w:rPr>
          <w:rFonts w:ascii="Times New Roman" w:eastAsia="Times New Roman" w:hAnsi="Times New Roman" w:cs="Times New Roman"/>
          <w:bCs/>
        </w:rPr>
      </w:pPr>
      <w:r w:rsidRPr="002F22BD">
        <w:rPr>
          <w:rFonts w:ascii="Times New Roman" w:eastAsia="Times New Roman" w:hAnsi="Times New Roman" w:cs="Times New Roman"/>
          <w:b/>
          <w:bCs/>
        </w:rPr>
        <w:t xml:space="preserve">Elérendő kompetenciák (magyarul): </w:t>
      </w:r>
    </w:p>
    <w:p w:rsidR="002F22BD" w:rsidRPr="002F22BD" w:rsidRDefault="002F22BD" w:rsidP="002F22BD">
      <w:pPr>
        <w:autoSpaceDE w:val="0"/>
        <w:autoSpaceDN w:val="0"/>
        <w:adjustRightInd w:val="0"/>
        <w:spacing w:before="120" w:after="0" w:line="240" w:lineRule="auto"/>
        <w:ind w:left="425"/>
        <w:jc w:val="both"/>
        <w:rPr>
          <w:rFonts w:ascii="Times New Roman" w:eastAsia="Times New Roman" w:hAnsi="Times New Roman" w:cs="Times New Roman"/>
          <w:b/>
          <w:bCs/>
        </w:rPr>
      </w:pPr>
      <w:r w:rsidRPr="002F22BD">
        <w:rPr>
          <w:rFonts w:ascii="Times New Roman" w:eastAsia="Times New Roman" w:hAnsi="Times New Roman" w:cs="Times New Roman"/>
          <w:b/>
          <w:bCs/>
        </w:rPr>
        <w:t xml:space="preserve">Tudása: </w:t>
      </w:r>
    </w:p>
    <w:p w:rsidR="002F22BD" w:rsidRPr="002F22BD" w:rsidRDefault="002F22BD"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2F22BD">
        <w:rPr>
          <w:rFonts w:ascii="Times New Roman" w:hAnsi="Times New Roman" w:cs="Times New Roman"/>
        </w:rPr>
        <w:t>Ismeri a katonai közlekedési szakterülethez szervesen kapcsolódó logisztikai, menedzsment, jogi, közgazdasági szakterületek alapjait és követelményeit.</w:t>
      </w:r>
    </w:p>
    <w:p w:rsidR="002F22BD" w:rsidRPr="002F22BD" w:rsidRDefault="002F22BD"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2F22BD">
        <w:rPr>
          <w:rFonts w:ascii="Times New Roman" w:hAnsi="Times New Roman" w:cs="Times New Roman"/>
        </w:rPr>
        <w:t>Ismeri a katonai közlekedési szakterület szaktechnikai eszközeit, a közlekedési pályákat és létesítményeiket, azok igénybevételének és üzemeltetésének szabályait.</w:t>
      </w:r>
    </w:p>
    <w:p w:rsidR="002F22BD" w:rsidRPr="002F22BD" w:rsidRDefault="002F22BD"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2F22BD">
        <w:rPr>
          <w:rFonts w:ascii="Times New Roman" w:hAnsi="Times New Roman" w:cs="Times New Roman"/>
        </w:rPr>
        <w:t>Ismeri a katonai közlekedési szakanyagok készletezésének, tárolásának, nyilvántartásának és leltározásának, valamint ezen folyamatok ellenőrzésének feladatait és kötelezettségeit.</w:t>
      </w:r>
    </w:p>
    <w:p w:rsidR="002F22BD" w:rsidRPr="002F22BD" w:rsidRDefault="002F22BD"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2F22BD">
        <w:rPr>
          <w:rFonts w:ascii="Times New Roman" w:hAnsi="Times New Roman" w:cs="Times New Roman"/>
        </w:rPr>
        <w:t>Mélyrehatóan ismeri a katonai közlekedési szakterület szakmai feladatait, a közlekedési szakfeladatok rendszerét, az egyes feladatok végrehajtásának sajátosságait.</w:t>
      </w:r>
    </w:p>
    <w:p w:rsidR="002F22BD" w:rsidRPr="002F22BD" w:rsidRDefault="002F22BD"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2F22BD">
        <w:rPr>
          <w:rFonts w:ascii="Times New Roman" w:hAnsi="Times New Roman" w:cs="Times New Roman"/>
        </w:rPr>
        <w:t>Ismeri a katonai közlekedési igények felmérésének módszereit és megvalósítási lehetőségeit, gyakorlatát.</w:t>
      </w:r>
    </w:p>
    <w:p w:rsidR="002F22BD" w:rsidRPr="002F22BD" w:rsidRDefault="002F22BD" w:rsidP="002F22BD">
      <w:pPr>
        <w:autoSpaceDE w:val="0"/>
        <w:autoSpaceDN w:val="0"/>
        <w:adjustRightInd w:val="0"/>
        <w:spacing w:before="120" w:after="0" w:line="240" w:lineRule="auto"/>
        <w:ind w:left="425"/>
        <w:jc w:val="both"/>
        <w:rPr>
          <w:rFonts w:ascii="Times New Roman" w:eastAsia="Times New Roman" w:hAnsi="Times New Roman" w:cs="Times New Roman"/>
          <w:bCs/>
        </w:rPr>
      </w:pPr>
      <w:r w:rsidRPr="002F22BD">
        <w:rPr>
          <w:rFonts w:ascii="Times New Roman" w:eastAsia="Times New Roman" w:hAnsi="Times New Roman" w:cs="Times New Roman"/>
          <w:b/>
          <w:bCs/>
        </w:rPr>
        <w:t>Képességei:</w:t>
      </w:r>
      <w:r w:rsidRPr="002F22BD">
        <w:rPr>
          <w:rFonts w:ascii="Times New Roman" w:eastAsia="Times New Roman" w:hAnsi="Times New Roman" w:cs="Times New Roman"/>
          <w:bCs/>
        </w:rPr>
        <w:t xml:space="preserve"> </w:t>
      </w:r>
    </w:p>
    <w:p w:rsidR="002F22BD" w:rsidRPr="002F22BD" w:rsidRDefault="002F22BD"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2F22BD">
        <w:rPr>
          <w:rFonts w:ascii="Times New Roman" w:hAnsi="Times New Roman" w:cs="Times New Roman"/>
        </w:rPr>
        <w:t>Az általános és specifikus katonai ismeretei és készségei birtokában képes a katonai közlekedési, mozgatási, szállítási feladatok tervezésére, szervezésére és vezetésére.</w:t>
      </w:r>
    </w:p>
    <w:p w:rsidR="002F22BD" w:rsidRPr="002F22BD" w:rsidRDefault="002F22BD"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2F22BD">
        <w:rPr>
          <w:rFonts w:ascii="Times New Roman" w:hAnsi="Times New Roman" w:cs="Times New Roman"/>
        </w:rPr>
        <w:t>Képes békeidőszakban, válságkezelő, katasztrófa-elhárítási, béketámogató és háborús műveletekben, nemzeti és többnemzeti környezetben a szállító szakalegységek alaprendeltetéséből fakadó feladatai végrehajtásának vezetésére.</w:t>
      </w:r>
    </w:p>
    <w:p w:rsidR="002F22BD" w:rsidRPr="002F22BD" w:rsidRDefault="002F22BD"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2F22BD">
        <w:rPr>
          <w:rFonts w:ascii="Times New Roman" w:hAnsi="Times New Roman" w:cs="Times New Roman"/>
        </w:rPr>
        <w:t>Képes a közlekedési hálózatok katonai célú alkalmazásának tervezésére, szervezésére és végrehajtására.</w:t>
      </w:r>
    </w:p>
    <w:p w:rsidR="002F22BD" w:rsidRPr="002F22BD" w:rsidRDefault="002F22BD"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2F22BD">
        <w:rPr>
          <w:rFonts w:ascii="Times New Roman" w:hAnsi="Times New Roman" w:cs="Times New Roman"/>
        </w:rPr>
        <w:t>Képes a közlekedési folyamatokat támogató közlekedésinformatikai rendszerek alkalmazására, az azokkal kapcsolatos felhasználói alapkövetelmények megfogalmazására.</w:t>
      </w:r>
    </w:p>
    <w:p w:rsidR="002F22BD" w:rsidRPr="002F22BD" w:rsidRDefault="002F22BD" w:rsidP="002F22BD">
      <w:pPr>
        <w:autoSpaceDE w:val="0"/>
        <w:autoSpaceDN w:val="0"/>
        <w:adjustRightInd w:val="0"/>
        <w:spacing w:before="120" w:after="0" w:line="240" w:lineRule="auto"/>
        <w:ind w:left="425"/>
        <w:jc w:val="both"/>
        <w:rPr>
          <w:rFonts w:ascii="Times New Roman" w:eastAsia="Times New Roman" w:hAnsi="Times New Roman" w:cs="Times New Roman"/>
          <w:b/>
          <w:bCs/>
        </w:rPr>
      </w:pPr>
      <w:r w:rsidRPr="002F22BD">
        <w:rPr>
          <w:rFonts w:ascii="Times New Roman" w:eastAsia="Times New Roman" w:hAnsi="Times New Roman" w:cs="Times New Roman"/>
          <w:b/>
          <w:bCs/>
        </w:rPr>
        <w:t xml:space="preserve">Attitűdje: </w:t>
      </w:r>
    </w:p>
    <w:p w:rsidR="002F22BD" w:rsidRPr="002F22BD" w:rsidRDefault="002F22BD"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2F22BD">
        <w:rPr>
          <w:rFonts w:ascii="Times New Roman" w:hAnsi="Times New Roman" w:cs="Times New Roman"/>
        </w:rPr>
        <w:t>Nyitott a katonai közlekedési szakterületen zajló szakmai, technológiai fejlesztés és innováció megismerésére és elfogadására, hiteles közvetítésére és azok mindennapi munkájába való beillesztésére.</w:t>
      </w:r>
    </w:p>
    <w:p w:rsidR="002F22BD" w:rsidRPr="002F22BD" w:rsidRDefault="002F22BD"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2F22BD">
        <w:rPr>
          <w:rFonts w:ascii="Times New Roman" w:hAnsi="Times New Roman" w:cs="Times New Roman"/>
        </w:rPr>
        <w:t>Törekszik arra, hogy önképzése a katonai közlekedési szakterületen folyamatos és szakmai céljaival megegyező legyen.</w:t>
      </w:r>
    </w:p>
    <w:p w:rsidR="002F22BD" w:rsidRPr="002F22BD" w:rsidRDefault="002F22BD"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2F22BD">
        <w:rPr>
          <w:rFonts w:ascii="Times New Roman" w:hAnsi="Times New Roman" w:cs="Times New Roman"/>
        </w:rPr>
        <w:t>Elkötelezett a minőségi szakmai munkavégzés iránt, különös tekintettel a közlekedési, szállítási feladatok és folyamatok biztonságos végrehajtására.</w:t>
      </w:r>
    </w:p>
    <w:p w:rsidR="002F22BD" w:rsidRPr="002F22BD" w:rsidRDefault="002F22BD"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2F22BD">
        <w:rPr>
          <w:rFonts w:ascii="Times New Roman" w:hAnsi="Times New Roman" w:cs="Times New Roman"/>
        </w:rPr>
        <w:t>Figyel beosztottjai szakmai fejlődésének előmozdítására, ilyen irányú törekvéseik kezelésére és segítésére.</w:t>
      </w:r>
    </w:p>
    <w:p w:rsidR="002F22BD" w:rsidRPr="002F22BD" w:rsidRDefault="002F22BD"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2F22BD">
        <w:rPr>
          <w:rFonts w:ascii="Times New Roman" w:hAnsi="Times New Roman" w:cs="Times New Roman"/>
        </w:rPr>
        <w:t>Megosztja tapasztalatait munkatársaival, így segítve fejlődésüket.</w:t>
      </w:r>
    </w:p>
    <w:p w:rsidR="002F22BD" w:rsidRPr="002F22BD" w:rsidRDefault="002F22BD" w:rsidP="002F22BD">
      <w:pPr>
        <w:autoSpaceDE w:val="0"/>
        <w:autoSpaceDN w:val="0"/>
        <w:adjustRightInd w:val="0"/>
        <w:spacing w:before="120" w:after="0" w:line="240" w:lineRule="auto"/>
        <w:ind w:left="425"/>
        <w:jc w:val="both"/>
        <w:rPr>
          <w:rFonts w:ascii="Times New Roman" w:eastAsia="Times New Roman" w:hAnsi="Times New Roman" w:cs="Times New Roman"/>
          <w:b/>
          <w:bCs/>
        </w:rPr>
      </w:pPr>
      <w:r w:rsidRPr="002F22BD">
        <w:rPr>
          <w:rFonts w:ascii="Times New Roman" w:eastAsia="Times New Roman" w:hAnsi="Times New Roman" w:cs="Times New Roman"/>
          <w:b/>
          <w:bCs/>
        </w:rPr>
        <w:t xml:space="preserve">Autonómiája és felelőssége: </w:t>
      </w:r>
    </w:p>
    <w:p w:rsidR="002F22BD" w:rsidRPr="002F22BD" w:rsidRDefault="002F22BD"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2F22BD">
        <w:rPr>
          <w:rFonts w:ascii="Times New Roman" w:hAnsi="Times New Roman" w:cs="Times New Roman"/>
        </w:rPr>
        <w:t>A katonai közlekedés szakterületén megjelenő folyamatokban képes önállóan döntéseket hozni, azokat felelősséggel, a jogszabályi keretek figyelembevételével végrehajtani.</w:t>
      </w:r>
    </w:p>
    <w:p w:rsidR="002F22BD" w:rsidRPr="002F22BD" w:rsidRDefault="002F22BD"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2F22BD">
        <w:rPr>
          <w:rFonts w:ascii="Times New Roman" w:hAnsi="Times New Roman" w:cs="Times New Roman"/>
        </w:rPr>
        <w:t>Tisztában van döntéseinek, tevékenységének a katonai logisztikai folyamatok egészére gyakorolt hatásaival, következményeivel.</w:t>
      </w:r>
    </w:p>
    <w:p w:rsidR="002F22BD" w:rsidRPr="002F22BD" w:rsidRDefault="002F22BD"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2F22BD">
        <w:rPr>
          <w:rFonts w:ascii="Times New Roman" w:hAnsi="Times New Roman" w:cs="Times New Roman"/>
        </w:rPr>
        <w:t>Szakmai feladatainak elvégzése során felelősségteljesen együttműködik más szakterület képzett szakembereivel is.</w:t>
      </w:r>
    </w:p>
    <w:p w:rsidR="002F22BD" w:rsidRPr="002F22BD" w:rsidRDefault="002F22BD"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2F22BD">
        <w:rPr>
          <w:rFonts w:ascii="Times New Roman" w:hAnsi="Times New Roman" w:cs="Times New Roman"/>
        </w:rPr>
        <w:t>Feltárja az alkalmazott technológiák hiányosságait, a folyamatok kockázatait és kezdeményezi az ezeket csökkentő intézkedések megtételét.</w:t>
      </w:r>
    </w:p>
    <w:p w:rsidR="002F22BD" w:rsidRPr="002F22BD" w:rsidRDefault="002F22BD"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2F22BD">
        <w:rPr>
          <w:rFonts w:ascii="Times New Roman" w:hAnsi="Times New Roman" w:cs="Times New Roman"/>
        </w:rPr>
        <w:lastRenderedPageBreak/>
        <w:t>Parancsnokának útmutatása alapján irányítja a rábízott személyi állomány munkavégzését, felügyeli a közlekedési, szállítási folyamatok tervezését, szervezését, végrehajtását, a közlekedési szaktechnikai eszközök üzemeltetését.</w:t>
      </w:r>
    </w:p>
    <w:p w:rsidR="002F22BD" w:rsidRPr="002F22BD" w:rsidRDefault="002F22BD"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2F22BD">
        <w:rPr>
          <w:rFonts w:ascii="Times New Roman" w:hAnsi="Times New Roman" w:cs="Times New Roman"/>
        </w:rPr>
        <w:t>Értékeli a beosztottak munkavégzésének hatékonyságát, eredményességét.</w:t>
      </w:r>
    </w:p>
    <w:p w:rsidR="002F22BD" w:rsidRPr="002F22BD" w:rsidRDefault="002F22BD" w:rsidP="002F22BD">
      <w:pPr>
        <w:widowControl w:val="0"/>
        <w:spacing w:before="120" w:after="120" w:line="240" w:lineRule="auto"/>
        <w:ind w:left="426"/>
        <w:jc w:val="both"/>
        <w:rPr>
          <w:rFonts w:ascii="Times New Roman" w:eastAsia="Times New Roman" w:hAnsi="Times New Roman" w:cs="Times New Roman"/>
          <w:b/>
          <w:bCs/>
          <w:lang w:val="en-US"/>
        </w:rPr>
      </w:pPr>
      <w:r w:rsidRPr="002F22BD">
        <w:rPr>
          <w:rFonts w:ascii="Times New Roman" w:eastAsia="Times New Roman" w:hAnsi="Times New Roman" w:cs="Times New Roman"/>
          <w:b/>
          <w:bCs/>
        </w:rPr>
        <w:t>Elérendő kompetenciák (angolul) (</w:t>
      </w:r>
      <w:r w:rsidRPr="002F22BD">
        <w:rPr>
          <w:rFonts w:ascii="Times New Roman" w:eastAsia="Times New Roman" w:hAnsi="Times New Roman" w:cs="Times New Roman"/>
          <w:b/>
          <w:bCs/>
          <w:lang w:val="en-US"/>
        </w:rPr>
        <w:t xml:space="preserve">Competences – English): </w:t>
      </w:r>
    </w:p>
    <w:p w:rsidR="002F22BD" w:rsidRPr="002F22BD" w:rsidRDefault="002F22BD" w:rsidP="002F22BD">
      <w:pPr>
        <w:widowControl w:val="0"/>
        <w:spacing w:before="120" w:after="120" w:line="240" w:lineRule="auto"/>
        <w:ind w:left="426"/>
        <w:jc w:val="both"/>
        <w:rPr>
          <w:rFonts w:ascii="Times New Roman" w:eastAsia="Times New Roman" w:hAnsi="Times New Roman" w:cs="Times New Roman"/>
          <w:lang w:val="en-GB"/>
        </w:rPr>
      </w:pPr>
      <w:r w:rsidRPr="002F22BD">
        <w:rPr>
          <w:rFonts w:ascii="Times New Roman" w:eastAsia="Times New Roman" w:hAnsi="Times New Roman" w:cs="Times New Roman"/>
          <w:b/>
          <w:lang w:val="en-GB"/>
        </w:rPr>
        <w:t>Knowledge</w:t>
      </w:r>
      <w:r w:rsidRPr="002F22BD">
        <w:rPr>
          <w:rFonts w:ascii="Times New Roman" w:eastAsia="Times New Roman" w:hAnsi="Times New Roman" w:cs="Times New Roman"/>
          <w:lang w:val="en-GB"/>
        </w:rPr>
        <w:t xml:space="preserve">: </w:t>
      </w:r>
    </w:p>
    <w:p w:rsidR="002F22BD" w:rsidRPr="002F22BD" w:rsidRDefault="002F22BD"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2F22BD">
        <w:rPr>
          <w:rFonts w:ascii="Times New Roman" w:hAnsi="Times New Roman" w:cs="Times New Roman"/>
        </w:rPr>
        <w:t>Knows the basics and requirements of logistics, management, quality assurance, information technology, law and economics, connected to the field of military transportation.</w:t>
      </w:r>
    </w:p>
    <w:p w:rsidR="002F22BD" w:rsidRPr="002F22BD" w:rsidRDefault="002F22BD"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2F22BD">
        <w:rPr>
          <w:rFonts w:ascii="Times New Roman" w:hAnsi="Times New Roman" w:cs="Times New Roman"/>
        </w:rPr>
        <w:t>Is familiar with the technical equipment used in military transportation, the transportation modes and facilities, and the rules of their use and operation.</w:t>
      </w:r>
    </w:p>
    <w:p w:rsidR="002F22BD" w:rsidRPr="002F22BD" w:rsidRDefault="002F22BD"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2F22BD">
        <w:rPr>
          <w:rFonts w:ascii="Times New Roman" w:hAnsi="Times New Roman" w:cs="Times New Roman"/>
        </w:rPr>
        <w:t>Is familiar with the tasks and responsibilities of stockpiling, storing, registering and inventorying of military transportation assets and is able to control these processes.</w:t>
      </w:r>
    </w:p>
    <w:p w:rsidR="002F22BD" w:rsidRPr="002F22BD" w:rsidRDefault="002F22BD"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2F22BD">
        <w:rPr>
          <w:rFonts w:ascii="Times New Roman" w:hAnsi="Times New Roman" w:cs="Times New Roman"/>
        </w:rPr>
        <w:t>Has a profound knowledge of the tasks and the system of military transportation and the unique characteristics of performing each task.</w:t>
      </w:r>
    </w:p>
    <w:p w:rsidR="002F22BD" w:rsidRPr="002F22BD" w:rsidRDefault="002F22BD"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2F22BD">
        <w:rPr>
          <w:rFonts w:ascii="Times New Roman" w:hAnsi="Times New Roman" w:cs="Times New Roman"/>
        </w:rPr>
        <w:t>Is familiar with the methods of assessing the requirements of military transportation and its feasibility and practical implementation.</w:t>
      </w:r>
    </w:p>
    <w:p w:rsidR="002F22BD" w:rsidRPr="002F22BD" w:rsidRDefault="002F22BD" w:rsidP="002F22BD">
      <w:pPr>
        <w:widowControl w:val="0"/>
        <w:spacing w:before="120" w:after="120" w:line="240" w:lineRule="auto"/>
        <w:ind w:left="426"/>
        <w:jc w:val="both"/>
        <w:rPr>
          <w:rFonts w:ascii="Times New Roman" w:eastAsia="Times New Roman" w:hAnsi="Times New Roman" w:cs="Times New Roman"/>
          <w:lang w:val="en-GB"/>
        </w:rPr>
      </w:pPr>
      <w:r w:rsidRPr="002F22BD">
        <w:rPr>
          <w:rFonts w:ascii="Times New Roman" w:eastAsia="Times New Roman" w:hAnsi="Times New Roman" w:cs="Times New Roman"/>
          <w:b/>
          <w:lang w:val="en-GB"/>
        </w:rPr>
        <w:t>Capabilities</w:t>
      </w:r>
      <w:r w:rsidRPr="002F22BD">
        <w:rPr>
          <w:rFonts w:ascii="Times New Roman" w:eastAsia="Times New Roman" w:hAnsi="Times New Roman" w:cs="Times New Roman"/>
          <w:lang w:val="en-GB"/>
        </w:rPr>
        <w:t>:</w:t>
      </w:r>
    </w:p>
    <w:p w:rsidR="002F22BD" w:rsidRPr="002F22BD" w:rsidRDefault="002F22BD"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2F22BD">
        <w:rPr>
          <w:rFonts w:ascii="Times New Roman" w:hAnsi="Times New Roman" w:cs="Times New Roman"/>
        </w:rPr>
        <w:t>Using his/her general and specialized military knowledge and skills, he/she is capable of planning, organizing, and conducting military transport, movement, and transportation tasks.</w:t>
      </w:r>
    </w:p>
    <w:p w:rsidR="002F22BD" w:rsidRPr="002F22BD" w:rsidRDefault="002F22BD"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2F22BD">
        <w:rPr>
          <w:rFonts w:ascii="Times New Roman" w:hAnsi="Times New Roman" w:cs="Times New Roman"/>
        </w:rPr>
        <w:t>Is capable of leading the execution of the tasks of a military transportation subunit in peace time and in crisis response, disaster relief, peace support and combat operations both in a national and a multinational environment.</w:t>
      </w:r>
    </w:p>
    <w:p w:rsidR="002F22BD" w:rsidRPr="002F22BD" w:rsidRDefault="002F22BD"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2F22BD">
        <w:rPr>
          <w:rFonts w:ascii="Times New Roman" w:hAnsi="Times New Roman" w:cs="Times New Roman"/>
        </w:rPr>
        <w:t>Is capable of planning, organizing and executing the tasks related to the application of traffic networks for military purposes.</w:t>
      </w:r>
    </w:p>
    <w:p w:rsidR="002F22BD" w:rsidRPr="002F22BD" w:rsidRDefault="002F22BD"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2F22BD">
        <w:rPr>
          <w:rFonts w:ascii="Times New Roman" w:hAnsi="Times New Roman" w:cs="Times New Roman"/>
        </w:rPr>
        <w:t>Is capable of applying traffic information systems to support transportation processes and formulating the basic user requirements related to them.</w:t>
      </w:r>
    </w:p>
    <w:p w:rsidR="002F22BD" w:rsidRPr="002F22BD" w:rsidRDefault="002F22BD" w:rsidP="002F22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lang w:val="en-GB"/>
        </w:rPr>
      </w:pPr>
      <w:r w:rsidRPr="002F22BD">
        <w:rPr>
          <w:rFonts w:ascii="Times New Roman" w:eastAsia="Times New Roman" w:hAnsi="Times New Roman" w:cs="Times New Roman"/>
          <w:b/>
          <w:lang w:val="en-GB"/>
        </w:rPr>
        <w:t>Attitude:</w:t>
      </w:r>
    </w:p>
    <w:p w:rsidR="002F22BD" w:rsidRPr="002F22BD" w:rsidRDefault="002F22BD"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2F22BD">
        <w:rPr>
          <w:rFonts w:ascii="Times New Roman" w:hAnsi="Times New Roman" w:cs="Times New Roman"/>
        </w:rPr>
        <w:t>He/She is ready to become familiar with and adopt the professional and technological development and innovation in the field of military transportation, and also to pass it on and integrate it into his daily work.</w:t>
      </w:r>
    </w:p>
    <w:p w:rsidR="002F22BD" w:rsidRPr="002F22BD" w:rsidRDefault="002F22BD"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2F22BD">
        <w:rPr>
          <w:rFonts w:ascii="Times New Roman" w:hAnsi="Times New Roman" w:cs="Times New Roman"/>
        </w:rPr>
        <w:t>He/She strives for continuous self-education in the field of military transportation which is consistent with his/her professional goals.</w:t>
      </w:r>
    </w:p>
    <w:p w:rsidR="002F22BD" w:rsidRPr="002F22BD" w:rsidRDefault="002F22BD"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2F22BD">
        <w:rPr>
          <w:rFonts w:ascii="Times New Roman" w:hAnsi="Times New Roman" w:cs="Times New Roman"/>
        </w:rPr>
        <w:t>He/She is committed to high quality in his/her professional work, with special emphasis on the safe execution of the transportation tasks and processes.</w:t>
      </w:r>
    </w:p>
    <w:p w:rsidR="002F22BD" w:rsidRPr="002F22BD" w:rsidRDefault="002F22BD"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2F22BD">
        <w:rPr>
          <w:rFonts w:ascii="Times New Roman" w:hAnsi="Times New Roman" w:cs="Times New Roman"/>
        </w:rPr>
        <w:t>He/She is interested in promoting the professional development of his/her subordinates, and provides assistance in their efforts.</w:t>
      </w:r>
    </w:p>
    <w:p w:rsidR="002F22BD" w:rsidRPr="002F22BD" w:rsidRDefault="002F22BD"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2F22BD">
        <w:rPr>
          <w:rFonts w:ascii="Times New Roman" w:hAnsi="Times New Roman" w:cs="Times New Roman"/>
        </w:rPr>
        <w:t>He/she is willing to share his/her experience with his/her colleagues to further their professional development.</w:t>
      </w:r>
    </w:p>
    <w:p w:rsidR="002F22BD" w:rsidRPr="002F22BD" w:rsidRDefault="002F22BD" w:rsidP="002F22BD">
      <w:pPr>
        <w:widowControl w:val="0"/>
        <w:spacing w:before="120" w:after="120" w:line="240" w:lineRule="auto"/>
        <w:ind w:left="426"/>
        <w:jc w:val="both"/>
        <w:rPr>
          <w:rFonts w:ascii="Times New Roman" w:eastAsia="Times New Roman" w:hAnsi="Times New Roman" w:cs="Times New Roman"/>
          <w:b/>
          <w:lang w:val="en-GB"/>
        </w:rPr>
      </w:pPr>
      <w:r w:rsidRPr="002F22BD">
        <w:rPr>
          <w:rFonts w:ascii="Times New Roman" w:eastAsia="Times New Roman" w:hAnsi="Times New Roman" w:cs="Times New Roman"/>
          <w:b/>
          <w:lang w:val="en-GB"/>
        </w:rPr>
        <w:t xml:space="preserve">Autonomy and responsibility: </w:t>
      </w:r>
    </w:p>
    <w:p w:rsidR="002F22BD" w:rsidRPr="002F22BD" w:rsidRDefault="002F22BD"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2F22BD">
        <w:rPr>
          <w:rFonts w:ascii="Times New Roman" w:hAnsi="Times New Roman" w:cs="Times New Roman"/>
        </w:rPr>
        <w:t>He/She is able to make decisions independently in the processes arising in the field of military transportation, and to implement them with responsibility and within the legal framework.</w:t>
      </w:r>
    </w:p>
    <w:p w:rsidR="002F22BD" w:rsidRPr="002F22BD" w:rsidRDefault="002F22BD"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2F22BD">
        <w:rPr>
          <w:rFonts w:ascii="Times New Roman" w:hAnsi="Times New Roman" w:cs="Times New Roman"/>
        </w:rPr>
        <w:t>He/She is aware of the effects and consequences of his decisions and activities on the military logistic processes as a whole.</w:t>
      </w:r>
    </w:p>
    <w:p w:rsidR="002F22BD" w:rsidRPr="002F22BD" w:rsidRDefault="002F22BD"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2F22BD">
        <w:rPr>
          <w:rFonts w:ascii="Times New Roman" w:hAnsi="Times New Roman" w:cs="Times New Roman"/>
        </w:rPr>
        <w:t xml:space="preserve">During his/her professional duties, he/she is willing to responsibly cooperate with specialists of other areas. </w:t>
      </w:r>
    </w:p>
    <w:p w:rsidR="002F22BD" w:rsidRPr="002F22BD" w:rsidRDefault="002F22BD"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2F22BD">
        <w:rPr>
          <w:rFonts w:ascii="Times New Roman" w:hAnsi="Times New Roman" w:cs="Times New Roman"/>
        </w:rPr>
        <w:t>He/She can identify the deficiencies and risks in the applied technologies and initiates taking measures to reduce their impact.</w:t>
      </w:r>
    </w:p>
    <w:p w:rsidR="002F22BD" w:rsidRPr="002F22BD" w:rsidRDefault="002F22BD"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2F22BD">
        <w:rPr>
          <w:rFonts w:ascii="Times New Roman" w:hAnsi="Times New Roman" w:cs="Times New Roman"/>
        </w:rPr>
        <w:t>Under the guidance of his/her commander, he/she controls the work of the personnel under his/her command and supervises the planning, organization and implementation of the transport and transportation processes, and also the operation of the technical equipment used in military transportation.</w:t>
      </w:r>
    </w:p>
    <w:p w:rsidR="002F22BD" w:rsidRPr="002F22BD" w:rsidRDefault="002F22BD"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2F22BD">
        <w:rPr>
          <w:rFonts w:ascii="Times New Roman" w:hAnsi="Times New Roman" w:cs="Times New Roman"/>
        </w:rPr>
        <w:lastRenderedPageBreak/>
        <w:t>He/She continuously evaluates the efficiency and effectiveness of his/her subordinates' work.</w:t>
      </w:r>
    </w:p>
    <w:p w:rsidR="002F22BD" w:rsidRPr="002F22BD" w:rsidRDefault="002F22BD" w:rsidP="00980876">
      <w:pPr>
        <w:widowControl w:val="0"/>
        <w:numPr>
          <w:ilvl w:val="0"/>
          <w:numId w:val="293"/>
        </w:numPr>
        <w:spacing w:before="120" w:after="120" w:line="240" w:lineRule="auto"/>
        <w:jc w:val="both"/>
        <w:rPr>
          <w:rFonts w:ascii="Times New Roman" w:eastAsia="Times New Roman" w:hAnsi="Times New Roman" w:cs="Times New Roman"/>
          <w:bCs/>
        </w:rPr>
      </w:pPr>
      <w:r w:rsidRPr="002F22BD">
        <w:rPr>
          <w:rFonts w:ascii="Times New Roman" w:eastAsia="Times New Roman" w:hAnsi="Times New Roman" w:cs="Times New Roman"/>
          <w:b/>
          <w:bCs/>
        </w:rPr>
        <w:t xml:space="preserve">Előtanulmányi követelmények: </w:t>
      </w:r>
      <w:r w:rsidRPr="002F22BD">
        <w:rPr>
          <w:rFonts w:ascii="Times New Roman" w:hAnsi="Times New Roman" w:cs="Times New Roman"/>
        </w:rPr>
        <w:t xml:space="preserve">Közgazdaságtan II. </w:t>
      </w:r>
      <w:r w:rsidR="002D2489">
        <w:rPr>
          <w:rFonts w:ascii="Times New Roman" w:hAnsi="Times New Roman" w:cs="Times New Roman"/>
        </w:rPr>
        <w:t>(</w:t>
      </w:r>
      <w:r w:rsidR="002D2489" w:rsidRPr="002D2489">
        <w:rPr>
          <w:rFonts w:ascii="Times New Roman" w:hAnsi="Times New Roman" w:cs="Times New Roman"/>
        </w:rPr>
        <w:t>HKHPKA101</w:t>
      </w:r>
    </w:p>
    <w:p w:rsidR="002F22BD" w:rsidRDefault="002F22BD" w:rsidP="00980876">
      <w:pPr>
        <w:widowControl w:val="0"/>
        <w:numPr>
          <w:ilvl w:val="0"/>
          <w:numId w:val="293"/>
        </w:numPr>
        <w:spacing w:before="120" w:after="120" w:line="240" w:lineRule="auto"/>
        <w:ind w:left="426" w:hanging="142"/>
        <w:jc w:val="both"/>
        <w:rPr>
          <w:rFonts w:ascii="Times New Roman" w:eastAsia="Times New Roman" w:hAnsi="Times New Roman" w:cs="Times New Roman"/>
          <w:b/>
          <w:bCs/>
        </w:rPr>
      </w:pPr>
      <w:r w:rsidRPr="002F22BD">
        <w:rPr>
          <w:rFonts w:ascii="Times New Roman" w:eastAsia="Times New Roman" w:hAnsi="Times New Roman" w:cs="Times New Roman"/>
          <w:b/>
          <w:bCs/>
        </w:rPr>
        <w:t>A tantárgy tananyagának leírása, tematika. Description of the subject, curriculum (magyarul, angolul - English):</w:t>
      </w:r>
    </w:p>
    <w:p w:rsidR="002D2489" w:rsidRDefault="002D2489" w:rsidP="00980876">
      <w:pPr>
        <w:pStyle w:val="lfej"/>
        <w:numPr>
          <w:ilvl w:val="1"/>
          <w:numId w:val="293"/>
        </w:numPr>
        <w:tabs>
          <w:tab w:val="left" w:pos="708"/>
        </w:tabs>
        <w:spacing w:before="60"/>
        <w:ind w:left="993" w:hanging="574"/>
        <w:jc w:val="both"/>
        <w:rPr>
          <w:rFonts w:ascii="Times New Roman" w:hAnsi="Times New Roman" w:cs="Times New Roman"/>
        </w:rPr>
      </w:pPr>
      <w:r w:rsidRPr="002D2489">
        <w:rPr>
          <w:rFonts w:ascii="Times New Roman" w:hAnsi="Times New Roman" w:cs="Times New Roman"/>
        </w:rPr>
        <w:t xml:space="preserve">A modern közlekedési rendszerek kialakulása és fejlődése. </w:t>
      </w:r>
    </w:p>
    <w:p w:rsidR="002D2489" w:rsidRDefault="002D2489" w:rsidP="00980876">
      <w:pPr>
        <w:pStyle w:val="lfej"/>
        <w:numPr>
          <w:ilvl w:val="1"/>
          <w:numId w:val="293"/>
        </w:numPr>
        <w:tabs>
          <w:tab w:val="left" w:pos="708"/>
        </w:tabs>
        <w:spacing w:before="60"/>
        <w:ind w:left="993" w:hanging="574"/>
        <w:jc w:val="both"/>
        <w:rPr>
          <w:rFonts w:ascii="Times New Roman" w:hAnsi="Times New Roman" w:cs="Times New Roman"/>
        </w:rPr>
      </w:pPr>
      <w:r w:rsidRPr="002D2489">
        <w:rPr>
          <w:rFonts w:ascii="Times New Roman" w:hAnsi="Times New Roman" w:cs="Times New Roman"/>
        </w:rPr>
        <w:t xml:space="preserve">A közlekedés gazdasági, környezeti és társadalmi céljai közötti kölcsönös összefüggések és modellezésük lehetőségei. </w:t>
      </w:r>
    </w:p>
    <w:p w:rsidR="002D2489" w:rsidRDefault="002D2489" w:rsidP="00980876">
      <w:pPr>
        <w:pStyle w:val="lfej"/>
        <w:numPr>
          <w:ilvl w:val="1"/>
          <w:numId w:val="293"/>
        </w:numPr>
        <w:tabs>
          <w:tab w:val="left" w:pos="708"/>
        </w:tabs>
        <w:spacing w:before="60"/>
        <w:ind w:left="993" w:hanging="574"/>
        <w:jc w:val="both"/>
        <w:rPr>
          <w:rFonts w:ascii="Times New Roman" w:hAnsi="Times New Roman" w:cs="Times New Roman"/>
        </w:rPr>
      </w:pPr>
      <w:r w:rsidRPr="002D2489">
        <w:rPr>
          <w:rFonts w:ascii="Times New Roman" w:hAnsi="Times New Roman" w:cs="Times New Roman"/>
        </w:rPr>
        <w:t xml:space="preserve">A szállítási/közlekedési keresleti és kínálati piac főbb összefüggései. A közlekedéspolitikát meghatározó gazdasági alapelvek. </w:t>
      </w:r>
    </w:p>
    <w:p w:rsidR="002D2489" w:rsidRDefault="002D2489" w:rsidP="00980876">
      <w:pPr>
        <w:pStyle w:val="lfej"/>
        <w:numPr>
          <w:ilvl w:val="1"/>
          <w:numId w:val="293"/>
        </w:numPr>
        <w:tabs>
          <w:tab w:val="left" w:pos="708"/>
        </w:tabs>
        <w:spacing w:before="60"/>
        <w:ind w:left="993" w:hanging="574"/>
        <w:jc w:val="both"/>
        <w:rPr>
          <w:rFonts w:ascii="Times New Roman" w:hAnsi="Times New Roman" w:cs="Times New Roman"/>
        </w:rPr>
      </w:pPr>
      <w:r w:rsidRPr="002D2489">
        <w:rPr>
          <w:rFonts w:ascii="Times New Roman" w:hAnsi="Times New Roman" w:cs="Times New Roman"/>
        </w:rPr>
        <w:t xml:space="preserve">Az Európai Unió és Magyarország közlekedéspolitikája. Szabályozás, dereguláció, privatizáció és a közösségi (állami/önkormányzati) szerepvállalás a közlekedésben. </w:t>
      </w:r>
    </w:p>
    <w:p w:rsidR="002D2489" w:rsidRDefault="002D2489" w:rsidP="00980876">
      <w:pPr>
        <w:pStyle w:val="lfej"/>
        <w:numPr>
          <w:ilvl w:val="1"/>
          <w:numId w:val="293"/>
        </w:numPr>
        <w:tabs>
          <w:tab w:val="left" w:pos="708"/>
        </w:tabs>
        <w:spacing w:before="60"/>
        <w:ind w:left="993" w:hanging="574"/>
        <w:jc w:val="both"/>
        <w:rPr>
          <w:rFonts w:ascii="Times New Roman" w:hAnsi="Times New Roman" w:cs="Times New Roman"/>
        </w:rPr>
      </w:pPr>
      <w:r w:rsidRPr="002D2489">
        <w:rPr>
          <w:rFonts w:ascii="Times New Roman" w:hAnsi="Times New Roman" w:cs="Times New Roman"/>
        </w:rPr>
        <w:t>Az áruszállítás gazdasági kérdései: a fuvarpiac sajátos jellemző</w:t>
      </w:r>
      <w:r>
        <w:rPr>
          <w:rFonts w:ascii="Times New Roman" w:hAnsi="Times New Roman" w:cs="Times New Roman"/>
        </w:rPr>
        <w:t>i</w:t>
      </w:r>
      <w:r w:rsidRPr="002D2489">
        <w:rPr>
          <w:rFonts w:ascii="Times New Roman" w:hAnsi="Times New Roman" w:cs="Times New Roman"/>
        </w:rPr>
        <w:t xml:space="preserve">. </w:t>
      </w:r>
    </w:p>
    <w:p w:rsidR="002D2489" w:rsidRDefault="002D2489" w:rsidP="00980876">
      <w:pPr>
        <w:pStyle w:val="lfej"/>
        <w:numPr>
          <w:ilvl w:val="1"/>
          <w:numId w:val="293"/>
        </w:numPr>
        <w:tabs>
          <w:tab w:val="left" w:pos="708"/>
        </w:tabs>
        <w:spacing w:before="60"/>
        <w:ind w:left="993" w:hanging="574"/>
        <w:jc w:val="both"/>
        <w:rPr>
          <w:rFonts w:ascii="Times New Roman" w:hAnsi="Times New Roman" w:cs="Times New Roman"/>
        </w:rPr>
      </w:pPr>
      <w:r w:rsidRPr="002D2489">
        <w:rPr>
          <w:rFonts w:ascii="Times New Roman" w:hAnsi="Times New Roman" w:cs="Times New Roman"/>
        </w:rPr>
        <w:t xml:space="preserve">A személyszállítás és -közlekedés gazdasági kérdései: a piac sajátosságai, az utazók mód és útvonal-választását és a kínálat elérhetőségét meghatározó tényezők. </w:t>
      </w:r>
    </w:p>
    <w:p w:rsidR="002D2489" w:rsidRDefault="002D2489" w:rsidP="00980876">
      <w:pPr>
        <w:pStyle w:val="lfej"/>
        <w:numPr>
          <w:ilvl w:val="1"/>
          <w:numId w:val="293"/>
        </w:numPr>
        <w:tabs>
          <w:tab w:val="left" w:pos="708"/>
        </w:tabs>
        <w:spacing w:before="60"/>
        <w:ind w:left="993" w:hanging="574"/>
        <w:jc w:val="both"/>
        <w:rPr>
          <w:rFonts w:ascii="Times New Roman" w:hAnsi="Times New Roman" w:cs="Times New Roman"/>
        </w:rPr>
      </w:pPr>
      <w:r w:rsidRPr="002D2489">
        <w:rPr>
          <w:rFonts w:ascii="Times New Roman" w:hAnsi="Times New Roman" w:cs="Times New Roman"/>
        </w:rPr>
        <w:t xml:space="preserve">A városi közlekedés sajátos gazdasági kérdései: tömegközlekedés – egyéni közlekedés, forgalomirányítás, -korlátozás, parkolás, city-logisztika, kisebb térségek helyi közlekedése, a helyi tömegközlekedés támogatása. </w:t>
      </w:r>
    </w:p>
    <w:p w:rsidR="002D2489" w:rsidRDefault="002D2489" w:rsidP="00980876">
      <w:pPr>
        <w:pStyle w:val="lfej"/>
        <w:numPr>
          <w:ilvl w:val="1"/>
          <w:numId w:val="293"/>
        </w:numPr>
        <w:tabs>
          <w:tab w:val="left" w:pos="708"/>
        </w:tabs>
        <w:spacing w:before="60"/>
        <w:ind w:left="993" w:hanging="574"/>
        <w:jc w:val="both"/>
        <w:rPr>
          <w:rFonts w:ascii="Times New Roman" w:hAnsi="Times New Roman" w:cs="Times New Roman"/>
        </w:rPr>
      </w:pPr>
      <w:r w:rsidRPr="002D2489">
        <w:rPr>
          <w:rFonts w:ascii="Times New Roman" w:hAnsi="Times New Roman" w:cs="Times New Roman"/>
        </w:rPr>
        <w:t xml:space="preserve">A közúti és a vasúti közlekedés néhány kiemelt jelentőségű gazdasági vonatkozása: infrastruktúrahasználat, -finanszírozás. </w:t>
      </w:r>
    </w:p>
    <w:p w:rsidR="002D2489" w:rsidRDefault="002D2489" w:rsidP="00980876">
      <w:pPr>
        <w:pStyle w:val="lfej"/>
        <w:numPr>
          <w:ilvl w:val="1"/>
          <w:numId w:val="293"/>
        </w:numPr>
        <w:tabs>
          <w:tab w:val="left" w:pos="708"/>
        </w:tabs>
        <w:spacing w:before="60"/>
        <w:ind w:left="993" w:hanging="574"/>
        <w:jc w:val="both"/>
        <w:rPr>
          <w:rFonts w:ascii="Times New Roman" w:hAnsi="Times New Roman" w:cs="Times New Roman"/>
        </w:rPr>
      </w:pPr>
      <w:r w:rsidRPr="002D2489">
        <w:rPr>
          <w:rFonts w:ascii="Times New Roman" w:hAnsi="Times New Roman" w:cs="Times New Roman"/>
        </w:rPr>
        <w:t xml:space="preserve">A légi- és a vízi közlekedés sajátos gazdasági kérdései. </w:t>
      </w:r>
    </w:p>
    <w:p w:rsidR="002D2489" w:rsidRDefault="002D2489" w:rsidP="00980876">
      <w:pPr>
        <w:pStyle w:val="lfej"/>
        <w:numPr>
          <w:ilvl w:val="1"/>
          <w:numId w:val="293"/>
        </w:numPr>
        <w:tabs>
          <w:tab w:val="left" w:pos="708"/>
        </w:tabs>
        <w:spacing w:before="60"/>
        <w:ind w:left="993" w:hanging="574"/>
        <w:jc w:val="both"/>
        <w:rPr>
          <w:rFonts w:ascii="Times New Roman" w:hAnsi="Times New Roman" w:cs="Times New Roman"/>
        </w:rPr>
      </w:pPr>
      <w:r w:rsidRPr="002D2489">
        <w:rPr>
          <w:rFonts w:ascii="Times New Roman" w:hAnsi="Times New Roman" w:cs="Times New Roman"/>
        </w:rPr>
        <w:t xml:space="preserve">Kombinált szállítás, logisztika. </w:t>
      </w:r>
    </w:p>
    <w:p w:rsidR="002D2489" w:rsidRPr="002D2489" w:rsidRDefault="002D2489" w:rsidP="00980876">
      <w:pPr>
        <w:pStyle w:val="lfej"/>
        <w:numPr>
          <w:ilvl w:val="1"/>
          <w:numId w:val="293"/>
        </w:numPr>
        <w:tabs>
          <w:tab w:val="left" w:pos="708"/>
        </w:tabs>
        <w:spacing w:before="60"/>
        <w:ind w:left="993" w:hanging="574"/>
        <w:jc w:val="both"/>
        <w:rPr>
          <w:rFonts w:ascii="Times New Roman" w:hAnsi="Times New Roman" w:cs="Times New Roman"/>
        </w:rPr>
      </w:pPr>
      <w:r w:rsidRPr="002D2489">
        <w:rPr>
          <w:rFonts w:ascii="Times New Roman" w:hAnsi="Times New Roman" w:cs="Times New Roman"/>
        </w:rPr>
        <w:t>A hatékonyságértékelés közlekedési alkalmazásai.</w:t>
      </w:r>
    </w:p>
    <w:p w:rsidR="002F22BD" w:rsidRPr="002D2489" w:rsidRDefault="002F22BD" w:rsidP="00980876">
      <w:pPr>
        <w:pStyle w:val="lfej"/>
        <w:numPr>
          <w:ilvl w:val="1"/>
          <w:numId w:val="293"/>
        </w:numPr>
        <w:tabs>
          <w:tab w:val="left" w:pos="708"/>
        </w:tabs>
        <w:spacing w:before="60"/>
        <w:ind w:left="993" w:hanging="574"/>
        <w:jc w:val="both"/>
      </w:pPr>
      <w:r w:rsidRPr="002D2489">
        <w:rPr>
          <w:rFonts w:ascii="Times New Roman" w:hAnsi="Times New Roman" w:cs="Times New Roman"/>
        </w:rPr>
        <w:t>Zárthelyi dolgozat.</w:t>
      </w:r>
      <w:r w:rsidRPr="002D2489">
        <w:t xml:space="preserve"> </w:t>
      </w:r>
      <w:r w:rsidRPr="002D2489">
        <w:rPr>
          <w:rFonts w:ascii="Times New Roman" w:hAnsi="Times New Roman" w:cs="Times New Roman"/>
          <w:i/>
        </w:rPr>
        <w:t>(Closed thesis.)</w:t>
      </w:r>
    </w:p>
    <w:p w:rsidR="002F22BD" w:rsidRPr="002F22BD" w:rsidRDefault="002F22BD" w:rsidP="00980876">
      <w:pPr>
        <w:widowControl w:val="0"/>
        <w:numPr>
          <w:ilvl w:val="0"/>
          <w:numId w:val="293"/>
        </w:numPr>
        <w:tabs>
          <w:tab w:val="num" w:pos="360"/>
        </w:tabs>
        <w:spacing w:before="120" w:after="120" w:line="240" w:lineRule="auto"/>
        <w:ind w:left="426" w:hanging="142"/>
        <w:jc w:val="both"/>
        <w:rPr>
          <w:rFonts w:ascii="Times New Roman" w:eastAsia="Times New Roman" w:hAnsi="Times New Roman" w:cs="Times New Roman"/>
          <w:bCs/>
        </w:rPr>
      </w:pPr>
      <w:r w:rsidRPr="002F22BD">
        <w:rPr>
          <w:rFonts w:ascii="Times New Roman" w:eastAsia="Times New Roman" w:hAnsi="Times New Roman" w:cs="Times New Roman"/>
          <w:b/>
          <w:bCs/>
        </w:rPr>
        <w:t xml:space="preserve">A tantárgy meghirdetésének gyakorisága/a tantervben történő félévi elhelyezkedése: </w:t>
      </w:r>
      <w:r w:rsidRPr="002F22BD">
        <w:rPr>
          <w:rFonts w:ascii="Times New Roman" w:eastAsia="Times New Roman" w:hAnsi="Times New Roman" w:cs="Times New Roman"/>
          <w:bCs/>
        </w:rPr>
        <w:t>4. félév</w:t>
      </w:r>
    </w:p>
    <w:p w:rsidR="002F22BD" w:rsidRPr="002F22BD" w:rsidRDefault="002F22BD" w:rsidP="00980876">
      <w:pPr>
        <w:widowControl w:val="0"/>
        <w:numPr>
          <w:ilvl w:val="0"/>
          <w:numId w:val="293"/>
        </w:numPr>
        <w:tabs>
          <w:tab w:val="num" w:pos="360"/>
        </w:tabs>
        <w:spacing w:before="120" w:after="120" w:line="240" w:lineRule="auto"/>
        <w:ind w:left="426" w:hanging="142"/>
        <w:jc w:val="both"/>
        <w:rPr>
          <w:rFonts w:ascii="Times New Roman" w:eastAsia="Times New Roman" w:hAnsi="Times New Roman" w:cs="Times New Roman"/>
          <w:bCs/>
        </w:rPr>
      </w:pPr>
      <w:r w:rsidRPr="002F22BD">
        <w:rPr>
          <w:rFonts w:ascii="Times New Roman" w:eastAsia="Times New Roman" w:hAnsi="Times New Roman" w:cs="Times New Roman"/>
          <w:b/>
          <w:bCs/>
        </w:rPr>
        <w:t>A tanórákon való részvétel követelményei, az elfogadható hiányzások mértéke, a távolmaradás pótlásának lehetősége:</w:t>
      </w:r>
      <w:r w:rsidRPr="002F22BD">
        <w:rPr>
          <w:rFonts w:ascii="Times New Roman" w:eastAsia="Times New Roman" w:hAnsi="Times New Roman" w:cs="Times New Roman"/>
          <w:bCs/>
        </w:rPr>
        <w:t xml:space="preserve"> </w:t>
      </w:r>
    </w:p>
    <w:p w:rsidR="002F22BD" w:rsidRPr="002F22BD" w:rsidRDefault="002F22BD" w:rsidP="002F22BD">
      <w:pPr>
        <w:widowControl w:val="0"/>
        <w:spacing w:before="120" w:after="120" w:line="240" w:lineRule="auto"/>
        <w:ind w:left="426"/>
        <w:jc w:val="both"/>
        <w:rPr>
          <w:rFonts w:ascii="Times New Roman" w:eastAsia="Times New Roman" w:hAnsi="Times New Roman" w:cs="Times New Roman"/>
          <w:bCs/>
          <w:highlight w:val="lightGray"/>
        </w:rPr>
      </w:pPr>
      <w:r w:rsidRPr="002F22BD">
        <w:rPr>
          <w:rFonts w:ascii="Times New Roman" w:eastAsia="Times New Roman" w:hAnsi="Times New Roman" w:cs="Times New Roman"/>
          <w:bCs/>
          <w:lang w:eastAsia="hu-HU"/>
        </w:rPr>
        <w:t>A tanórákon való részvétel kötelező, megengedett hiányzás mértéke 25%. Hiányzás esetén órapótlásra nincs lehetőség, a hallgató az előadás anyagát önállóan pótolja. A 25%-ot meghaladó hiányzás az aláírás megtagadását vonja maga után.</w:t>
      </w:r>
    </w:p>
    <w:p w:rsidR="002F22BD" w:rsidRPr="002F22BD" w:rsidRDefault="002F22BD" w:rsidP="00980876">
      <w:pPr>
        <w:widowControl w:val="0"/>
        <w:numPr>
          <w:ilvl w:val="0"/>
          <w:numId w:val="293"/>
        </w:numPr>
        <w:tabs>
          <w:tab w:val="num" w:pos="360"/>
        </w:tabs>
        <w:spacing w:before="120" w:after="120" w:line="240" w:lineRule="auto"/>
        <w:ind w:left="426" w:hanging="142"/>
        <w:jc w:val="both"/>
        <w:rPr>
          <w:rFonts w:ascii="Times New Roman" w:eastAsia="Times New Roman" w:hAnsi="Times New Roman" w:cs="Times New Roman"/>
          <w:bCs/>
        </w:rPr>
      </w:pPr>
      <w:r w:rsidRPr="002F22BD">
        <w:rPr>
          <w:rFonts w:ascii="Times New Roman" w:eastAsia="Times New Roman" w:hAnsi="Times New Roman" w:cs="Times New Roman"/>
          <w:b/>
        </w:rPr>
        <w:t>Félévközi feladatok, ismeretek ellenőrzésének rendje:</w:t>
      </w:r>
      <w:r w:rsidRPr="002F22BD">
        <w:rPr>
          <w:rFonts w:ascii="Times New Roman" w:eastAsia="Times New Roman" w:hAnsi="Times New Roman" w:cs="Times New Roman"/>
          <w:bCs/>
        </w:rPr>
        <w:t xml:space="preserve"> </w:t>
      </w:r>
    </w:p>
    <w:p w:rsidR="002F22BD" w:rsidRPr="002F22BD" w:rsidRDefault="002F22BD" w:rsidP="002F22BD">
      <w:pPr>
        <w:widowControl w:val="0"/>
        <w:spacing w:before="120" w:after="120" w:line="240" w:lineRule="auto"/>
        <w:ind w:left="360"/>
        <w:jc w:val="both"/>
        <w:rPr>
          <w:rFonts w:ascii="Times New Roman" w:eastAsia="Times New Roman" w:hAnsi="Times New Roman" w:cs="Times New Roman"/>
          <w:lang w:eastAsia="x-none"/>
        </w:rPr>
      </w:pPr>
      <w:r w:rsidRPr="002F22BD">
        <w:rPr>
          <w:rFonts w:ascii="Times New Roman" w:eastAsia="Times New Roman" w:hAnsi="Times New Roman" w:cs="Times New Roman"/>
          <w:lang w:val="x-none" w:eastAsia="x-none"/>
        </w:rPr>
        <w:t>A félév során egy zárthelyi dolgozatot ke</w:t>
      </w:r>
      <w:r w:rsidRPr="002F22BD">
        <w:rPr>
          <w:rFonts w:ascii="Times New Roman" w:eastAsia="Times New Roman" w:hAnsi="Times New Roman" w:cs="Times New Roman"/>
          <w:lang w:eastAsia="x-none"/>
        </w:rPr>
        <w:t>l</w:t>
      </w:r>
      <w:r w:rsidRPr="002F22BD">
        <w:rPr>
          <w:rFonts w:ascii="Times New Roman" w:eastAsia="Times New Roman" w:hAnsi="Times New Roman" w:cs="Times New Roman"/>
          <w:lang w:val="x-none" w:eastAsia="x-none"/>
        </w:rPr>
        <w:t>l megír</w:t>
      </w:r>
      <w:r w:rsidRPr="002F22BD">
        <w:rPr>
          <w:rFonts w:ascii="Times New Roman" w:eastAsia="Times New Roman" w:hAnsi="Times New Roman" w:cs="Times New Roman"/>
          <w:lang w:eastAsia="x-none"/>
        </w:rPr>
        <w:t>ni</w:t>
      </w:r>
      <w:r w:rsidRPr="002F22BD">
        <w:rPr>
          <w:rFonts w:ascii="Times New Roman" w:eastAsia="Times New Roman" w:hAnsi="Times New Roman" w:cs="Times New Roman"/>
          <w:lang w:val="x-none" w:eastAsia="x-none"/>
        </w:rPr>
        <w:t xml:space="preserve">. </w:t>
      </w:r>
      <w:r w:rsidRPr="002F22BD">
        <w:rPr>
          <w:rFonts w:ascii="Times New Roman" w:eastAsia="Times New Roman" w:hAnsi="Times New Roman" w:cs="Times New Roman"/>
          <w:lang w:eastAsia="x-none"/>
        </w:rPr>
        <w:t xml:space="preserve">A zárthelyi dolgozat ötfokozatú skálán értékelendő, 50%+1 pont elégséges, 60% közepes, 75% jó, 90% jeles. </w:t>
      </w:r>
      <w:r w:rsidRPr="002F22BD">
        <w:rPr>
          <w:rFonts w:ascii="Times New Roman" w:eastAsia="Times New Roman" w:hAnsi="Times New Roman" w:cs="Times New Roman"/>
          <w:lang w:val="x-none" w:eastAsia="x-none"/>
        </w:rPr>
        <w:t xml:space="preserve">Az elégtelen osztályzatra értékelt dolgozatot a szorgalmi és a vizsgaidőszakban is egy-egy alkalommal lehet pótolni. </w:t>
      </w:r>
    </w:p>
    <w:p w:rsidR="002F22BD" w:rsidRPr="002F22BD" w:rsidRDefault="002F22BD" w:rsidP="002F22BD">
      <w:pPr>
        <w:widowControl w:val="0"/>
        <w:spacing w:before="120" w:after="120" w:line="240" w:lineRule="auto"/>
        <w:ind w:left="360"/>
        <w:jc w:val="both"/>
        <w:rPr>
          <w:rFonts w:ascii="Times New Roman" w:eastAsia="Times New Roman" w:hAnsi="Times New Roman" w:cs="Times New Roman"/>
          <w:lang w:eastAsia="x-none"/>
        </w:rPr>
      </w:pPr>
      <w:r w:rsidRPr="002F22BD">
        <w:rPr>
          <w:rFonts w:ascii="Times New Roman" w:hAnsi="Times New Roman" w:cs="Times New Roman"/>
          <w:lang w:val="x-none" w:eastAsia="x-none"/>
        </w:rPr>
        <w:t xml:space="preserve">A félév során </w:t>
      </w:r>
      <w:r w:rsidRPr="002F22BD">
        <w:rPr>
          <w:rFonts w:ascii="Times New Roman" w:hAnsi="Times New Roman" w:cs="Times New Roman"/>
          <w:lang w:eastAsia="x-none"/>
        </w:rPr>
        <w:t>egy</w:t>
      </w:r>
      <w:r w:rsidRPr="002F22BD">
        <w:rPr>
          <w:rFonts w:ascii="Times New Roman" w:hAnsi="Times New Roman" w:cs="Times New Roman"/>
          <w:lang w:val="x-none" w:eastAsia="x-none"/>
        </w:rPr>
        <w:t xml:space="preserve"> házi feladatot kell elkészíteni minimálisan 10 oldal</w:t>
      </w:r>
      <w:r w:rsidRPr="002F22BD">
        <w:rPr>
          <w:rFonts w:ascii="Times New Roman" w:hAnsi="Times New Roman" w:cs="Times New Roman"/>
          <w:b/>
          <w:lang w:val="x-none" w:eastAsia="x-none"/>
        </w:rPr>
        <w:t xml:space="preserve"> </w:t>
      </w:r>
      <w:r w:rsidRPr="002F22BD">
        <w:rPr>
          <w:rFonts w:ascii="Times New Roman" w:hAnsi="Times New Roman" w:cs="Times New Roman"/>
          <w:lang w:val="x-none" w:eastAsia="x-none"/>
        </w:rPr>
        <w:t xml:space="preserve">terjedelemben, a szakdolgozatnak megfelelő formai követelményekkel </w:t>
      </w:r>
      <w:r w:rsidRPr="002F22BD">
        <w:rPr>
          <w:rFonts w:ascii="Times New Roman" w:hAnsi="Times New Roman" w:cs="Times New Roman"/>
        </w:rPr>
        <w:t>(TVSZ 5. melléklet)</w:t>
      </w:r>
      <w:r w:rsidRPr="002F22BD">
        <w:rPr>
          <w:rFonts w:ascii="Times New Roman" w:hAnsi="Times New Roman" w:cs="Times New Roman"/>
          <w:lang w:val="x-none" w:eastAsia="x-none"/>
        </w:rPr>
        <w:t xml:space="preserve">. </w:t>
      </w:r>
      <w:r w:rsidRPr="002F22BD">
        <w:rPr>
          <w:rFonts w:ascii="Times New Roman" w:hAnsi="Times New Roman" w:cs="Times New Roman"/>
          <w:lang w:eastAsia="x-none"/>
        </w:rPr>
        <w:t xml:space="preserve">A 10 oldal terjedelembe a bevezető, a fő rész és a befejezés tartozik csak. </w:t>
      </w:r>
      <w:r w:rsidRPr="002F22BD">
        <w:rPr>
          <w:rFonts w:ascii="Times New Roman" w:hAnsi="Times New Roman" w:cs="Times New Roman"/>
          <w:lang w:val="x-none" w:eastAsia="x-none"/>
        </w:rPr>
        <w:t>Az írásbeli munka témáját a hallgató választja</w:t>
      </w:r>
      <w:r w:rsidRPr="002F22BD">
        <w:rPr>
          <w:rFonts w:ascii="Times New Roman" w:hAnsi="Times New Roman" w:cs="Times New Roman"/>
          <w:lang w:eastAsia="x-none"/>
        </w:rPr>
        <w:t>,</w:t>
      </w:r>
      <w:r w:rsidRPr="002F22BD">
        <w:rPr>
          <w:rFonts w:ascii="Times New Roman" w:hAnsi="Times New Roman" w:cs="Times New Roman"/>
          <w:lang w:val="x-none" w:eastAsia="x-none"/>
        </w:rPr>
        <w:t xml:space="preserve"> a kurzus oktatója </w:t>
      </w:r>
      <w:r w:rsidRPr="002F22BD">
        <w:rPr>
          <w:rFonts w:ascii="Times New Roman" w:hAnsi="Times New Roman" w:cs="Times New Roman"/>
          <w:lang w:eastAsia="x-none"/>
        </w:rPr>
        <w:t>jóváhagyja</w:t>
      </w:r>
      <w:r w:rsidRPr="002F22BD">
        <w:rPr>
          <w:rFonts w:ascii="Times New Roman" w:hAnsi="Times New Roman" w:cs="Times New Roman"/>
          <w:lang w:val="x-none" w:eastAsia="x-none"/>
        </w:rPr>
        <w:t xml:space="preserve">. A szorgalmi időszakban a beadási határidőig leadott feladat </w:t>
      </w:r>
      <w:r w:rsidRPr="002F22BD">
        <w:rPr>
          <w:rFonts w:ascii="Times New Roman" w:hAnsi="Times New Roman" w:cs="Times New Roman"/>
          <w:lang w:eastAsia="x-none"/>
        </w:rPr>
        <w:t>ötfokozatú skálán értékelendő</w:t>
      </w:r>
      <w:r w:rsidRPr="002F22BD">
        <w:rPr>
          <w:rFonts w:ascii="Times New Roman" w:hAnsi="Times New Roman" w:cs="Times New Roman"/>
          <w:lang w:val="x-none" w:eastAsia="x-none"/>
        </w:rPr>
        <w:t>, azt javítani a vizsgaidőszak első hetén egy alkalommal lehet.</w:t>
      </w:r>
    </w:p>
    <w:p w:rsidR="002F22BD" w:rsidRPr="002F22BD" w:rsidRDefault="002F22BD" w:rsidP="00980876">
      <w:pPr>
        <w:widowControl w:val="0"/>
        <w:numPr>
          <w:ilvl w:val="0"/>
          <w:numId w:val="293"/>
        </w:numPr>
        <w:spacing w:before="120" w:after="120" w:line="240" w:lineRule="auto"/>
        <w:ind w:left="426" w:hanging="142"/>
        <w:jc w:val="both"/>
        <w:rPr>
          <w:rFonts w:ascii="Times New Roman" w:eastAsia="Times New Roman" w:hAnsi="Times New Roman" w:cs="Times New Roman"/>
          <w:b/>
          <w:bCs/>
        </w:rPr>
      </w:pPr>
      <w:r w:rsidRPr="002F22BD">
        <w:rPr>
          <w:rFonts w:ascii="Times New Roman" w:eastAsia="Times New Roman" w:hAnsi="Times New Roman" w:cs="Times New Roman"/>
          <w:b/>
          <w:bCs/>
        </w:rPr>
        <w:t xml:space="preserve">Az értékelés, az aláírás és a kreditek megszerzésének pontos feltételei: </w:t>
      </w:r>
    </w:p>
    <w:p w:rsidR="002F22BD" w:rsidRPr="002F22BD" w:rsidRDefault="002F22BD" w:rsidP="00980876">
      <w:pPr>
        <w:widowControl w:val="0"/>
        <w:numPr>
          <w:ilvl w:val="1"/>
          <w:numId w:val="293"/>
        </w:numPr>
        <w:tabs>
          <w:tab w:val="left" w:pos="709"/>
          <w:tab w:val="left" w:pos="993"/>
          <w:tab w:val="num" w:pos="2069"/>
        </w:tabs>
        <w:spacing w:before="120" w:after="120" w:line="240" w:lineRule="auto"/>
        <w:ind w:left="426" w:firstLine="0"/>
        <w:jc w:val="both"/>
        <w:rPr>
          <w:rFonts w:ascii="Times New Roman" w:hAnsi="Times New Roman" w:cs="Times New Roman"/>
        </w:rPr>
      </w:pPr>
      <w:r w:rsidRPr="002F22BD">
        <w:rPr>
          <w:rFonts w:ascii="Times New Roman" w:eastAsia="Times New Roman" w:hAnsi="Times New Roman" w:cs="Times New Roman"/>
          <w:b/>
        </w:rPr>
        <w:t>Az aláírás megszerzésének feltételei:</w:t>
      </w:r>
      <w:r w:rsidRPr="002F22BD">
        <w:rPr>
          <w:rFonts w:ascii="Times New Roman" w:eastAsia="Times New Roman" w:hAnsi="Times New Roman" w:cs="Times New Roman"/>
        </w:rPr>
        <w:t xml:space="preserve"> </w:t>
      </w:r>
      <w:r w:rsidRPr="002F22BD">
        <w:rPr>
          <w:rFonts w:ascii="Times New Roman" w:hAnsi="Times New Roman" w:cs="Times New Roman"/>
        </w:rPr>
        <w:t xml:space="preserve">Az aláírás megszerzésnek feltétele a zárthelyi dolgozat legalább elégséges szinten történő teljesítése (min </w:t>
      </w:r>
      <w:r w:rsidRPr="002F22BD">
        <w:rPr>
          <w:rFonts w:ascii="Times New Roman" w:eastAsia="Times New Roman" w:hAnsi="Times New Roman" w:cs="Times New Roman"/>
          <w:lang w:eastAsia="x-none"/>
        </w:rPr>
        <w:t>50%+1 pont</w:t>
      </w:r>
      <w:r w:rsidRPr="002F22BD">
        <w:rPr>
          <w:rFonts w:ascii="Times New Roman" w:hAnsi="Times New Roman" w:cs="Times New Roman"/>
        </w:rPr>
        <w:t>), a kapott féléves feladat határidőre történő leadása és minimálisan elégséges szintű teljesítése, illetve a tanórák legalább 75%-án való megjelenés.</w:t>
      </w:r>
    </w:p>
    <w:p w:rsidR="002F22BD" w:rsidRPr="002F22BD" w:rsidRDefault="002F22BD" w:rsidP="00980876">
      <w:pPr>
        <w:widowControl w:val="0"/>
        <w:numPr>
          <w:ilvl w:val="1"/>
          <w:numId w:val="293"/>
        </w:numPr>
        <w:tabs>
          <w:tab w:val="left" w:pos="709"/>
          <w:tab w:val="left" w:pos="993"/>
          <w:tab w:val="num" w:pos="2069"/>
        </w:tabs>
        <w:spacing w:before="120" w:after="120" w:line="240" w:lineRule="auto"/>
        <w:ind w:left="426" w:firstLine="0"/>
        <w:jc w:val="both"/>
        <w:rPr>
          <w:rFonts w:ascii="Times New Roman" w:hAnsi="Times New Roman" w:cs="Times New Roman"/>
          <w:b/>
        </w:rPr>
      </w:pPr>
      <w:r w:rsidRPr="002F22BD">
        <w:rPr>
          <w:rFonts w:ascii="Times New Roman" w:eastAsia="Times New Roman" w:hAnsi="Times New Roman" w:cs="Times New Roman"/>
          <w:b/>
        </w:rPr>
        <w:t>Az értékelés:</w:t>
      </w:r>
      <w:r w:rsidRPr="002F22BD">
        <w:rPr>
          <w:rFonts w:ascii="Times New Roman" w:eastAsia="Times New Roman" w:hAnsi="Times New Roman" w:cs="Times New Roman"/>
        </w:rPr>
        <w:t xml:space="preserve"> </w:t>
      </w:r>
      <w:r w:rsidRPr="002F22BD">
        <w:rPr>
          <w:rFonts w:ascii="Times New Roman" w:hAnsi="Times New Roman" w:cs="Times New Roman"/>
          <w:lang w:val="x-none" w:eastAsia="x-none"/>
        </w:rPr>
        <w:t xml:space="preserve">A tantárgy </w:t>
      </w:r>
      <w:r w:rsidRPr="002F22BD">
        <w:rPr>
          <w:rFonts w:ascii="Times New Roman" w:hAnsi="Times New Roman" w:cs="Times New Roman"/>
          <w:b/>
          <w:lang w:val="x-none" w:eastAsia="x-none"/>
        </w:rPr>
        <w:t>félévközi jeggyel</w:t>
      </w:r>
      <w:r w:rsidRPr="002F22BD">
        <w:rPr>
          <w:rFonts w:ascii="Times New Roman" w:hAnsi="Times New Roman" w:cs="Times New Roman"/>
          <w:lang w:val="x-none" w:eastAsia="x-none"/>
        </w:rPr>
        <w:t xml:space="preserve"> zárul, </w:t>
      </w:r>
      <w:r w:rsidRPr="002F22BD">
        <w:rPr>
          <w:rFonts w:ascii="Times New Roman" w:hAnsi="Times New Roman" w:cs="Times New Roman"/>
          <w:lang w:eastAsia="x-none"/>
        </w:rPr>
        <w:t>a</w:t>
      </w:r>
      <w:r w:rsidRPr="002F22BD">
        <w:rPr>
          <w:rFonts w:ascii="Times New Roman" w:hAnsi="Times New Roman" w:cs="Times New Roman"/>
          <w:lang w:val="x-none" w:eastAsia="x-none"/>
        </w:rPr>
        <w:t>mely a zárthelyi dolgozatra és a beadott házi feladatra kapott osztályzatok alapján kerül meghatározásra egyszerű számtani átlaggal.</w:t>
      </w:r>
      <w:r w:rsidRPr="002F22BD">
        <w:rPr>
          <w:rFonts w:ascii="Times New Roman" w:hAnsi="Times New Roman" w:cs="Times New Roman"/>
        </w:rPr>
        <w:t xml:space="preserve"> Kétes jegy esetén (pl. 3,5) a zárthelyi jegyét súlyozottan kell beszámítani.</w:t>
      </w:r>
    </w:p>
    <w:p w:rsidR="002F22BD" w:rsidRPr="002F22BD" w:rsidRDefault="002F22BD" w:rsidP="00980876">
      <w:pPr>
        <w:widowControl w:val="0"/>
        <w:numPr>
          <w:ilvl w:val="1"/>
          <w:numId w:val="293"/>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2F22BD">
        <w:rPr>
          <w:rFonts w:ascii="Times New Roman" w:eastAsia="Times New Roman" w:hAnsi="Times New Roman" w:cs="Times New Roman"/>
          <w:b/>
        </w:rPr>
        <w:lastRenderedPageBreak/>
        <w:t>A kreditek megszerzésének feltételei:</w:t>
      </w:r>
      <w:r w:rsidRPr="002F22BD">
        <w:rPr>
          <w:rFonts w:ascii="Times New Roman" w:eastAsia="Times New Roman" w:hAnsi="Times New Roman" w:cs="Times New Roman"/>
        </w:rPr>
        <w:t xml:space="preserve"> A kreditek megszerzésének feltétele az aláírás megszerzése és legalább elégséges félévközi jegy.</w:t>
      </w:r>
    </w:p>
    <w:p w:rsidR="002F22BD" w:rsidRPr="002F22BD" w:rsidRDefault="002F22BD" w:rsidP="00980876">
      <w:pPr>
        <w:widowControl w:val="0"/>
        <w:numPr>
          <w:ilvl w:val="0"/>
          <w:numId w:val="293"/>
        </w:numPr>
        <w:tabs>
          <w:tab w:val="num" w:pos="360"/>
        </w:tabs>
        <w:spacing w:before="120" w:after="120" w:line="240" w:lineRule="auto"/>
        <w:ind w:left="426" w:hanging="142"/>
        <w:jc w:val="both"/>
        <w:rPr>
          <w:rFonts w:ascii="Times New Roman" w:eastAsia="Times New Roman" w:hAnsi="Times New Roman" w:cs="Times New Roman"/>
          <w:bCs/>
        </w:rPr>
      </w:pPr>
      <w:r w:rsidRPr="002F22BD">
        <w:rPr>
          <w:rFonts w:ascii="Times New Roman" w:eastAsia="Times New Roman" w:hAnsi="Times New Roman" w:cs="Times New Roman"/>
          <w:b/>
          <w:bCs/>
        </w:rPr>
        <w:t>Irodalomjegyzék:</w:t>
      </w:r>
    </w:p>
    <w:p w:rsidR="002F22BD" w:rsidRPr="002F22BD" w:rsidRDefault="002F22BD" w:rsidP="00980876">
      <w:pPr>
        <w:widowControl w:val="0"/>
        <w:numPr>
          <w:ilvl w:val="1"/>
          <w:numId w:val="293"/>
        </w:numPr>
        <w:tabs>
          <w:tab w:val="left" w:pos="567"/>
          <w:tab w:val="left" w:pos="851"/>
          <w:tab w:val="num" w:pos="2069"/>
        </w:tabs>
        <w:spacing w:before="120" w:after="120" w:line="240" w:lineRule="auto"/>
        <w:ind w:left="426" w:hanging="142"/>
        <w:jc w:val="both"/>
        <w:rPr>
          <w:rFonts w:ascii="Times New Roman" w:eastAsia="Times New Roman" w:hAnsi="Times New Roman" w:cs="Times New Roman"/>
          <w:bCs/>
        </w:rPr>
      </w:pPr>
      <w:r w:rsidRPr="002F22BD">
        <w:rPr>
          <w:rFonts w:ascii="Times New Roman" w:eastAsia="Times New Roman" w:hAnsi="Times New Roman" w:cs="Times New Roman"/>
          <w:b/>
          <w:bCs/>
        </w:rPr>
        <w:t>Kötelező irodalom:</w:t>
      </w:r>
    </w:p>
    <w:p w:rsidR="00173AA6" w:rsidRPr="00173AA6" w:rsidRDefault="00173AA6" w:rsidP="00980876">
      <w:pPr>
        <w:pStyle w:val="Listaszerbekezds"/>
        <w:numPr>
          <w:ilvl w:val="0"/>
          <w:numId w:val="292"/>
        </w:numPr>
        <w:spacing w:after="0" w:line="240" w:lineRule="auto"/>
        <w:jc w:val="both"/>
        <w:rPr>
          <w:rFonts w:ascii="Times New Roman" w:hAnsi="Times New Roman" w:cs="Times New Roman"/>
          <w:highlight w:val="yellow"/>
        </w:rPr>
      </w:pPr>
      <w:r w:rsidRPr="00173AA6">
        <w:rPr>
          <w:rFonts w:ascii="Times New Roman" w:hAnsi="Times New Roman" w:cs="Times New Roman"/>
          <w:highlight w:val="yellow"/>
        </w:rPr>
        <w:t>Lenzsér-Rieder: Közlekedés-gazdaságtan és -marketing ismeretek, Műszaki kiadó 2012, p.216 ISBN 9789631665123</w:t>
      </w:r>
    </w:p>
    <w:p w:rsidR="002F22BD" w:rsidRPr="00173AA6" w:rsidRDefault="002F22BD" w:rsidP="00980876">
      <w:pPr>
        <w:pStyle w:val="Listaszerbekezds"/>
        <w:numPr>
          <w:ilvl w:val="0"/>
          <w:numId w:val="292"/>
        </w:numPr>
        <w:spacing w:after="0" w:line="240" w:lineRule="auto"/>
        <w:jc w:val="both"/>
        <w:rPr>
          <w:rFonts w:ascii="Times New Roman" w:hAnsi="Times New Roman" w:cs="Times New Roman"/>
          <w:highlight w:val="yellow"/>
        </w:rPr>
      </w:pPr>
      <w:r w:rsidRPr="00173AA6">
        <w:rPr>
          <w:rFonts w:ascii="Times New Roman" w:hAnsi="Times New Roman" w:cs="Times New Roman"/>
          <w:highlight w:val="yellow"/>
        </w:rPr>
        <w:t>Dr. Bikás</w:t>
      </w:r>
      <w:r w:rsidR="00966C4C" w:rsidRPr="00173AA6">
        <w:rPr>
          <w:rFonts w:ascii="Times New Roman" w:hAnsi="Times New Roman" w:cs="Times New Roman"/>
          <w:highlight w:val="yellow"/>
        </w:rPr>
        <w:t xml:space="preserve"> Ernő: Közlekedésgazdaságtan I</w:t>
      </w:r>
      <w:r w:rsidRPr="00173AA6">
        <w:rPr>
          <w:rFonts w:ascii="Times New Roman" w:hAnsi="Times New Roman" w:cs="Times New Roman"/>
          <w:highlight w:val="yellow"/>
        </w:rPr>
        <w:t>-II.</w:t>
      </w:r>
      <w:r w:rsidR="00966C4C" w:rsidRPr="00173AA6">
        <w:rPr>
          <w:rFonts w:ascii="Times New Roman" w:hAnsi="Times New Roman" w:cs="Times New Roman"/>
          <w:highlight w:val="yellow"/>
        </w:rPr>
        <w:t xml:space="preserve"> Széchenyi István Főiskola, 1995. </w:t>
      </w:r>
    </w:p>
    <w:p w:rsidR="00173AA6" w:rsidRPr="00173AA6" w:rsidRDefault="00966C4C" w:rsidP="00980876">
      <w:pPr>
        <w:pStyle w:val="Listaszerbekezds"/>
        <w:numPr>
          <w:ilvl w:val="0"/>
          <w:numId w:val="292"/>
        </w:numPr>
        <w:spacing w:after="0" w:line="240" w:lineRule="auto"/>
        <w:jc w:val="both"/>
        <w:rPr>
          <w:rFonts w:ascii="Times New Roman" w:hAnsi="Times New Roman" w:cs="Times New Roman"/>
          <w:highlight w:val="yellow"/>
        </w:rPr>
      </w:pPr>
      <w:r w:rsidRPr="00173AA6">
        <w:rPr>
          <w:rFonts w:ascii="Times New Roman" w:hAnsi="Times New Roman" w:cs="Times New Roman"/>
          <w:highlight w:val="yellow"/>
        </w:rPr>
        <w:t>Dr. Borotvás Elemér (szerk) Közlekedésgazdaságtan. Tankönyvkiadó, 1991.</w:t>
      </w:r>
      <w:r w:rsidR="00173AA6" w:rsidRPr="00173AA6">
        <w:rPr>
          <w:rFonts w:ascii="Times New Roman" w:hAnsi="Times New Roman" w:cs="Times New Roman"/>
          <w:highlight w:val="yellow"/>
        </w:rPr>
        <w:t xml:space="preserve"> </w:t>
      </w:r>
    </w:p>
    <w:p w:rsidR="002F22BD" w:rsidRPr="00173AA6" w:rsidRDefault="002F22BD" w:rsidP="00980876">
      <w:pPr>
        <w:widowControl w:val="0"/>
        <w:numPr>
          <w:ilvl w:val="1"/>
          <w:numId w:val="293"/>
        </w:numPr>
        <w:tabs>
          <w:tab w:val="num" w:pos="567"/>
          <w:tab w:val="num" w:pos="2069"/>
        </w:tabs>
        <w:spacing w:before="120" w:after="120" w:line="240" w:lineRule="auto"/>
        <w:ind w:left="993" w:hanging="709"/>
        <w:jc w:val="both"/>
        <w:rPr>
          <w:rFonts w:ascii="Times New Roman" w:eastAsia="Times New Roman" w:hAnsi="Times New Roman" w:cs="Times New Roman"/>
          <w:b/>
          <w:bCs/>
          <w:highlight w:val="yellow"/>
        </w:rPr>
      </w:pPr>
      <w:r w:rsidRPr="00173AA6">
        <w:rPr>
          <w:rFonts w:ascii="Times New Roman" w:eastAsia="Times New Roman" w:hAnsi="Times New Roman" w:cs="Times New Roman"/>
          <w:b/>
          <w:bCs/>
          <w:highlight w:val="yellow"/>
        </w:rPr>
        <w:t>Ajánlott irodalom:</w:t>
      </w:r>
    </w:p>
    <w:p w:rsidR="002F22BD" w:rsidRPr="00173AA6" w:rsidRDefault="002F22BD" w:rsidP="00980876">
      <w:pPr>
        <w:pStyle w:val="Listaszerbekezds"/>
        <w:numPr>
          <w:ilvl w:val="0"/>
          <w:numId w:val="291"/>
        </w:numPr>
        <w:spacing w:after="0" w:line="240" w:lineRule="auto"/>
        <w:ind w:left="709"/>
        <w:jc w:val="both"/>
        <w:rPr>
          <w:rFonts w:ascii="Times New Roman" w:hAnsi="Times New Roman" w:cs="Times New Roman"/>
          <w:highlight w:val="yellow"/>
        </w:rPr>
      </w:pPr>
      <w:r w:rsidRPr="00173AA6">
        <w:rPr>
          <w:rFonts w:ascii="Times New Roman" w:hAnsi="Times New Roman" w:cs="Times New Roman"/>
          <w:highlight w:val="yellow"/>
        </w:rPr>
        <w:t>Dr. Bikás Ernő: Üzemgazdaságtan I. - II.</w:t>
      </w:r>
      <w:r w:rsidR="00966C4C" w:rsidRPr="00173AA6">
        <w:rPr>
          <w:rFonts w:ascii="Times New Roman" w:hAnsi="Times New Roman" w:cs="Times New Roman"/>
          <w:highlight w:val="yellow"/>
        </w:rPr>
        <w:t xml:space="preserve"> Széchenyi István Főiskola, 1995.</w:t>
      </w:r>
    </w:p>
    <w:p w:rsidR="00966C4C" w:rsidRPr="00173AA6" w:rsidRDefault="00966C4C" w:rsidP="00980876">
      <w:pPr>
        <w:pStyle w:val="Listaszerbekezds"/>
        <w:numPr>
          <w:ilvl w:val="0"/>
          <w:numId w:val="291"/>
        </w:numPr>
        <w:spacing w:after="0" w:line="240" w:lineRule="auto"/>
        <w:ind w:left="709"/>
        <w:jc w:val="both"/>
        <w:rPr>
          <w:rFonts w:ascii="Times New Roman" w:hAnsi="Times New Roman" w:cs="Times New Roman"/>
          <w:highlight w:val="yellow"/>
        </w:rPr>
      </w:pPr>
      <w:r w:rsidRPr="00173AA6">
        <w:rPr>
          <w:rFonts w:ascii="Times New Roman" w:eastAsia="Times New Roman" w:hAnsi="Times New Roman" w:cs="Times New Roman"/>
          <w:bCs/>
          <w:highlight w:val="yellow"/>
        </w:rPr>
        <w:t xml:space="preserve">Paul. A. </w:t>
      </w:r>
      <w:r w:rsidRPr="00173AA6">
        <w:rPr>
          <w:rFonts w:ascii="Times New Roman" w:hAnsi="Times New Roman" w:cs="Times New Roman"/>
          <w:highlight w:val="yellow"/>
        </w:rPr>
        <w:t xml:space="preserve">Samuelson-William D. Nordhaus: Közgazdaságtan Akadémia Kiadó Zrt. Budapest, 2009. ISBN: 9789630582995 </w:t>
      </w:r>
    </w:p>
    <w:p w:rsidR="002F22BD" w:rsidRPr="002F22BD" w:rsidRDefault="002F22BD" w:rsidP="002F22BD">
      <w:pPr>
        <w:pStyle w:val="Listaszerbekezds"/>
        <w:spacing w:after="0" w:line="240" w:lineRule="auto"/>
        <w:ind w:left="709"/>
        <w:jc w:val="both"/>
        <w:rPr>
          <w:rFonts w:ascii="Times New Roman" w:hAnsi="Times New Roman" w:cs="Times New Roman"/>
        </w:rPr>
      </w:pPr>
    </w:p>
    <w:p w:rsidR="002F22BD" w:rsidRPr="002F22BD" w:rsidRDefault="002F22BD" w:rsidP="002F22BD">
      <w:pPr>
        <w:widowControl w:val="0"/>
        <w:spacing w:before="120" w:after="120" w:line="240" w:lineRule="auto"/>
        <w:jc w:val="both"/>
        <w:rPr>
          <w:rFonts w:ascii="Times New Roman" w:eastAsia="Times New Roman" w:hAnsi="Times New Roman" w:cs="Times New Roman"/>
          <w:bCs/>
        </w:rPr>
      </w:pPr>
      <w:r>
        <w:rPr>
          <w:rFonts w:ascii="Times New Roman" w:eastAsia="Times New Roman" w:hAnsi="Times New Roman" w:cs="Times New Roman"/>
          <w:bCs/>
        </w:rPr>
        <w:t>Budapest, 2020. március     -n</w:t>
      </w:r>
    </w:p>
    <w:p w:rsidR="002F22BD" w:rsidRPr="002F22BD" w:rsidRDefault="002F22BD" w:rsidP="002F22BD">
      <w:pPr>
        <w:tabs>
          <w:tab w:val="right" w:pos="900"/>
        </w:tabs>
        <w:spacing w:before="120"/>
        <w:ind w:left="1985" w:hanging="1980"/>
        <w:jc w:val="both"/>
        <w:rPr>
          <w:rFonts w:ascii="Times New Roman" w:hAnsi="Times New Roman" w:cs="Times New Roman"/>
          <w:bCs/>
          <w:lang w:eastAsia="x-none"/>
        </w:rPr>
      </w:pPr>
    </w:p>
    <w:p w:rsidR="002F22BD" w:rsidRPr="002F22BD" w:rsidRDefault="002F22BD" w:rsidP="002F22BD">
      <w:pPr>
        <w:tabs>
          <w:tab w:val="right" w:pos="900"/>
        </w:tabs>
        <w:spacing w:after="0"/>
        <w:rPr>
          <w:rFonts w:ascii="Times New Roman" w:hAnsi="Times New Roman" w:cs="Times New Roman"/>
          <w:bCs/>
          <w:lang w:val="x-none" w:eastAsia="x-none"/>
        </w:rPr>
      </w:pPr>
      <w:r w:rsidRPr="002F22BD">
        <w:rPr>
          <w:rFonts w:ascii="Times New Roman" w:hAnsi="Times New Roman" w:cs="Times New Roman"/>
          <w:b/>
          <w:lang w:eastAsia="x-none"/>
        </w:rPr>
        <w:tab/>
      </w:r>
      <w:r w:rsidRPr="002F22BD">
        <w:rPr>
          <w:rFonts w:ascii="Times New Roman" w:hAnsi="Times New Roman" w:cs="Times New Roman"/>
          <w:b/>
          <w:lang w:eastAsia="x-none"/>
        </w:rPr>
        <w:tab/>
      </w:r>
      <w:r w:rsidRPr="002F22BD">
        <w:rPr>
          <w:rFonts w:ascii="Times New Roman" w:hAnsi="Times New Roman" w:cs="Times New Roman"/>
          <w:b/>
          <w:lang w:eastAsia="x-none"/>
        </w:rPr>
        <w:tab/>
      </w:r>
      <w:r w:rsidRPr="002F22BD">
        <w:rPr>
          <w:rFonts w:ascii="Times New Roman" w:hAnsi="Times New Roman" w:cs="Times New Roman"/>
          <w:b/>
          <w:lang w:eastAsia="x-none"/>
        </w:rPr>
        <w:tab/>
      </w:r>
      <w:r w:rsidRPr="002F22BD">
        <w:rPr>
          <w:rFonts w:ascii="Times New Roman" w:hAnsi="Times New Roman" w:cs="Times New Roman"/>
          <w:b/>
          <w:lang w:eastAsia="x-none"/>
        </w:rPr>
        <w:tab/>
      </w:r>
      <w:r w:rsidRPr="002F22BD">
        <w:rPr>
          <w:rFonts w:ascii="Times New Roman" w:hAnsi="Times New Roman" w:cs="Times New Roman"/>
          <w:b/>
          <w:lang w:eastAsia="x-none"/>
        </w:rPr>
        <w:tab/>
        <w:t xml:space="preserve">  </w:t>
      </w:r>
      <w:r w:rsidRPr="002F22BD">
        <w:rPr>
          <w:rFonts w:ascii="Times New Roman" w:hAnsi="Times New Roman" w:cs="Times New Roman"/>
          <w:b/>
          <w:lang w:eastAsia="x-none"/>
        </w:rPr>
        <w:tab/>
        <w:t xml:space="preserve">      Dr. Szászi Gábor egyetemi docens, PhD</w:t>
      </w:r>
    </w:p>
    <w:p w:rsidR="002F22BD" w:rsidRPr="002F22BD" w:rsidRDefault="002F22BD" w:rsidP="002F22BD">
      <w:pPr>
        <w:spacing w:after="0"/>
        <w:ind w:left="5672" w:firstLine="709"/>
        <w:rPr>
          <w:rFonts w:ascii="Times New Roman" w:hAnsi="Times New Roman" w:cs="Times New Roman"/>
        </w:rPr>
      </w:pPr>
      <w:r w:rsidRPr="002F22BD">
        <w:rPr>
          <w:rFonts w:ascii="Times New Roman" w:hAnsi="Times New Roman" w:cs="Times New Roman"/>
          <w:bCs/>
        </w:rPr>
        <w:t>tantárgyfelelős</w:t>
      </w:r>
    </w:p>
    <w:p w:rsidR="00B104EE" w:rsidRDefault="00B104EE">
      <w:pPr>
        <w:spacing w:after="200" w:line="276" w:lineRule="auto"/>
        <w:rPr>
          <w:rFonts w:ascii="Times New Roman" w:hAnsi="Times New Roman" w:cs="Times New Roman"/>
          <w:sz w:val="24"/>
        </w:rPr>
      </w:pPr>
      <w:r>
        <w:rPr>
          <w:rFonts w:ascii="Times New Roman" w:hAnsi="Times New Roman" w:cs="Times New Roman"/>
          <w:sz w:val="24"/>
        </w:rPr>
        <w:br w:type="page"/>
      </w:r>
    </w:p>
    <w:tbl>
      <w:tblPr>
        <w:tblW w:w="9072" w:type="dxa"/>
        <w:tblInd w:w="113" w:type="dxa"/>
        <w:tblLook w:val="01E0" w:firstRow="1" w:lastRow="1" w:firstColumn="1" w:lastColumn="1" w:noHBand="0" w:noVBand="0"/>
      </w:tblPr>
      <w:tblGrid>
        <w:gridCol w:w="4855"/>
        <w:gridCol w:w="1620"/>
        <w:gridCol w:w="2597"/>
      </w:tblGrid>
      <w:tr w:rsidR="002D2489" w:rsidRPr="002D2489" w:rsidTr="002D2489">
        <w:tc>
          <w:tcPr>
            <w:tcW w:w="4855" w:type="dxa"/>
            <w:tcBorders>
              <w:top w:val="nil"/>
              <w:left w:val="nil"/>
              <w:bottom w:val="single" w:sz="4" w:space="0" w:color="auto"/>
              <w:right w:val="nil"/>
            </w:tcBorders>
            <w:hideMark/>
          </w:tcPr>
          <w:p w:rsidR="002D2489" w:rsidRPr="002D2489" w:rsidRDefault="002D2489">
            <w:pPr>
              <w:spacing w:after="0" w:line="240" w:lineRule="auto"/>
              <w:jc w:val="center"/>
              <w:rPr>
                <w:rFonts w:ascii="Times New Roman" w:eastAsia="Times New Roman" w:hAnsi="Times New Roman" w:cs="Times New Roman"/>
                <w:b/>
                <w:smallCaps/>
                <w:lang w:eastAsia="hu-HU"/>
              </w:rPr>
            </w:pPr>
            <w:r w:rsidRPr="002D2489">
              <w:rPr>
                <w:rFonts w:ascii="Times New Roman" w:eastAsia="Times New Roman" w:hAnsi="Times New Roman" w:cs="Times New Roman"/>
                <w:b/>
                <w:smallCaps/>
                <w:lang w:eastAsia="hu-HU"/>
              </w:rPr>
              <w:lastRenderedPageBreak/>
              <w:t>Nemzeti Közszolgálati Egyetem</w:t>
            </w:r>
          </w:p>
        </w:tc>
        <w:tc>
          <w:tcPr>
            <w:tcW w:w="1620" w:type="dxa"/>
          </w:tcPr>
          <w:p w:rsidR="002D2489" w:rsidRPr="002D2489" w:rsidRDefault="002D2489">
            <w:pPr>
              <w:spacing w:after="0" w:line="240" w:lineRule="auto"/>
              <w:jc w:val="both"/>
              <w:rPr>
                <w:rFonts w:ascii="Times New Roman" w:eastAsia="Times New Roman" w:hAnsi="Times New Roman" w:cs="Times New Roman"/>
                <w:lang w:eastAsia="hu-HU"/>
              </w:rPr>
            </w:pPr>
          </w:p>
        </w:tc>
        <w:tc>
          <w:tcPr>
            <w:tcW w:w="2597" w:type="dxa"/>
          </w:tcPr>
          <w:p w:rsidR="002D2489" w:rsidRPr="002D2489" w:rsidRDefault="002D2489">
            <w:pPr>
              <w:spacing w:after="0" w:line="240" w:lineRule="auto"/>
              <w:jc w:val="right"/>
              <w:rPr>
                <w:rFonts w:ascii="Times New Roman" w:eastAsia="Times New Roman" w:hAnsi="Times New Roman" w:cs="Times New Roman"/>
                <w:lang w:eastAsia="hu-HU"/>
              </w:rPr>
            </w:pPr>
          </w:p>
        </w:tc>
      </w:tr>
      <w:tr w:rsidR="002D2489" w:rsidRPr="002D2489" w:rsidTr="002D2489">
        <w:tc>
          <w:tcPr>
            <w:tcW w:w="4855" w:type="dxa"/>
            <w:tcBorders>
              <w:top w:val="single" w:sz="4" w:space="0" w:color="auto"/>
              <w:left w:val="nil"/>
              <w:bottom w:val="nil"/>
              <w:right w:val="nil"/>
            </w:tcBorders>
            <w:hideMark/>
          </w:tcPr>
          <w:p w:rsidR="002D2489" w:rsidRPr="002D2489" w:rsidRDefault="002D2489">
            <w:pPr>
              <w:spacing w:after="0" w:line="240" w:lineRule="auto"/>
              <w:jc w:val="center"/>
              <w:rPr>
                <w:rFonts w:ascii="Times New Roman" w:eastAsia="Times New Roman" w:hAnsi="Times New Roman" w:cs="Times New Roman"/>
                <w:b/>
                <w:lang w:eastAsia="hu-HU"/>
              </w:rPr>
            </w:pPr>
            <w:r w:rsidRPr="002D2489">
              <w:rPr>
                <w:rFonts w:ascii="Times New Roman" w:eastAsia="Times New Roman" w:hAnsi="Times New Roman" w:cs="Times New Roman"/>
                <w:b/>
                <w:lang w:eastAsia="hu-HU"/>
              </w:rPr>
              <w:t>Hadtudományi és Honvédtisztképző Kar</w:t>
            </w:r>
          </w:p>
        </w:tc>
        <w:tc>
          <w:tcPr>
            <w:tcW w:w="1620" w:type="dxa"/>
          </w:tcPr>
          <w:p w:rsidR="002D2489" w:rsidRPr="002D2489" w:rsidRDefault="002D2489">
            <w:pPr>
              <w:spacing w:after="0" w:line="240" w:lineRule="auto"/>
              <w:jc w:val="both"/>
              <w:rPr>
                <w:rFonts w:ascii="Times New Roman" w:eastAsia="Times New Roman" w:hAnsi="Times New Roman" w:cs="Times New Roman"/>
                <w:lang w:eastAsia="hu-HU"/>
              </w:rPr>
            </w:pPr>
          </w:p>
        </w:tc>
        <w:tc>
          <w:tcPr>
            <w:tcW w:w="2597" w:type="dxa"/>
          </w:tcPr>
          <w:p w:rsidR="002D2489" w:rsidRPr="002D2489" w:rsidRDefault="002D2489">
            <w:pPr>
              <w:spacing w:after="0" w:line="240" w:lineRule="auto"/>
              <w:jc w:val="both"/>
              <w:rPr>
                <w:rFonts w:ascii="Times New Roman" w:eastAsia="Times New Roman" w:hAnsi="Times New Roman" w:cs="Times New Roman"/>
                <w:lang w:eastAsia="hu-HU"/>
              </w:rPr>
            </w:pPr>
          </w:p>
        </w:tc>
      </w:tr>
    </w:tbl>
    <w:p w:rsidR="002D2489" w:rsidRPr="002D2489" w:rsidRDefault="002D2489" w:rsidP="002D2489">
      <w:pPr>
        <w:widowControl w:val="0"/>
        <w:spacing w:before="120" w:after="120" w:line="240" w:lineRule="auto"/>
        <w:ind w:left="426" w:hanging="142"/>
        <w:jc w:val="center"/>
        <w:rPr>
          <w:rFonts w:ascii="Times New Roman" w:eastAsia="Times New Roman" w:hAnsi="Times New Roman" w:cs="Times New Roman"/>
          <w:b/>
          <w:bCs/>
        </w:rPr>
      </w:pPr>
    </w:p>
    <w:p w:rsidR="002D2489" w:rsidRPr="002D2489" w:rsidRDefault="002D2489" w:rsidP="002D2489">
      <w:pPr>
        <w:widowControl w:val="0"/>
        <w:spacing w:before="120" w:after="120" w:line="240" w:lineRule="auto"/>
        <w:ind w:left="426" w:hanging="142"/>
        <w:jc w:val="center"/>
        <w:rPr>
          <w:rFonts w:ascii="Times New Roman" w:eastAsia="Times New Roman" w:hAnsi="Times New Roman" w:cs="Times New Roman"/>
          <w:b/>
          <w:bCs/>
        </w:rPr>
      </w:pPr>
      <w:r w:rsidRPr="002D2489">
        <w:rPr>
          <w:rFonts w:ascii="Times New Roman" w:eastAsia="Times New Roman" w:hAnsi="Times New Roman" w:cs="Times New Roman"/>
          <w:b/>
          <w:bCs/>
        </w:rPr>
        <w:t>TANTÁRGYI PROGRAM</w:t>
      </w:r>
    </w:p>
    <w:p w:rsidR="002D2489" w:rsidRPr="002D2489" w:rsidRDefault="002D2489" w:rsidP="00980876">
      <w:pPr>
        <w:widowControl w:val="0"/>
        <w:numPr>
          <w:ilvl w:val="0"/>
          <w:numId w:val="295"/>
        </w:numPr>
        <w:spacing w:before="120" w:after="120" w:line="240" w:lineRule="auto"/>
        <w:ind w:left="426" w:hanging="142"/>
        <w:jc w:val="both"/>
        <w:rPr>
          <w:rFonts w:ascii="Times New Roman" w:eastAsia="Times New Roman" w:hAnsi="Times New Roman" w:cs="Times New Roman"/>
          <w:b/>
          <w:bCs/>
        </w:rPr>
      </w:pPr>
      <w:r w:rsidRPr="002D2489">
        <w:rPr>
          <w:rFonts w:ascii="Times New Roman" w:eastAsia="Times New Roman" w:hAnsi="Times New Roman" w:cs="Times New Roman"/>
          <w:b/>
          <w:bCs/>
        </w:rPr>
        <w:t xml:space="preserve">A tantárgy kódja: </w:t>
      </w:r>
      <w:r w:rsidRPr="002D2489">
        <w:rPr>
          <w:rFonts w:ascii="Times New Roman" w:eastAsia="Times New Roman" w:hAnsi="Times New Roman" w:cs="Times New Roman"/>
          <w:bCs/>
        </w:rPr>
        <w:t>HKHPKA318</w:t>
      </w:r>
    </w:p>
    <w:p w:rsidR="002D2489" w:rsidRPr="002D2489" w:rsidRDefault="002D2489" w:rsidP="00980876">
      <w:pPr>
        <w:widowControl w:val="0"/>
        <w:numPr>
          <w:ilvl w:val="0"/>
          <w:numId w:val="295"/>
        </w:numPr>
        <w:spacing w:before="120" w:after="120" w:line="240" w:lineRule="auto"/>
        <w:ind w:left="426" w:hanging="142"/>
        <w:jc w:val="both"/>
        <w:rPr>
          <w:rFonts w:ascii="Times New Roman" w:eastAsia="Times New Roman" w:hAnsi="Times New Roman" w:cs="Times New Roman"/>
          <w:b/>
          <w:bCs/>
          <w:lang w:val="en-GB"/>
        </w:rPr>
      </w:pPr>
      <w:r w:rsidRPr="002D2489">
        <w:rPr>
          <w:rFonts w:ascii="Times New Roman" w:eastAsia="Times New Roman" w:hAnsi="Times New Roman" w:cs="Times New Roman"/>
          <w:b/>
          <w:bCs/>
        </w:rPr>
        <w:t>A tantárgy megnevezése (magyarul):</w:t>
      </w:r>
      <w:r w:rsidRPr="002D2489">
        <w:rPr>
          <w:rFonts w:ascii="Times New Roman" w:eastAsia="Times New Roman" w:hAnsi="Times New Roman" w:cs="Times New Roman"/>
          <w:bCs/>
        </w:rPr>
        <w:t xml:space="preserve"> </w:t>
      </w:r>
      <w:r w:rsidRPr="002D2489">
        <w:rPr>
          <w:rFonts w:ascii="Times New Roman" w:hAnsi="Times New Roman" w:cs="Times New Roman"/>
          <w:bCs/>
        </w:rPr>
        <w:t>Katonai szállításszervezés II.</w:t>
      </w:r>
    </w:p>
    <w:p w:rsidR="002D2489" w:rsidRPr="002D2489" w:rsidRDefault="002D2489" w:rsidP="00980876">
      <w:pPr>
        <w:widowControl w:val="0"/>
        <w:numPr>
          <w:ilvl w:val="0"/>
          <w:numId w:val="295"/>
        </w:numPr>
        <w:spacing w:before="120" w:after="120" w:line="240" w:lineRule="auto"/>
        <w:ind w:left="426" w:hanging="142"/>
        <w:jc w:val="both"/>
        <w:rPr>
          <w:rFonts w:ascii="Times New Roman" w:eastAsia="Times New Roman" w:hAnsi="Times New Roman" w:cs="Times New Roman"/>
          <w:b/>
          <w:bCs/>
          <w:lang w:val="en-GB"/>
        </w:rPr>
      </w:pPr>
      <w:r w:rsidRPr="002D2489">
        <w:rPr>
          <w:rFonts w:ascii="Times New Roman" w:eastAsia="Times New Roman" w:hAnsi="Times New Roman" w:cs="Times New Roman"/>
          <w:b/>
          <w:bCs/>
        </w:rPr>
        <w:t xml:space="preserve">A tantárgy megnevezése (angolul): </w:t>
      </w:r>
      <w:r w:rsidRPr="002D2489">
        <w:rPr>
          <w:rFonts w:ascii="Times New Roman" w:hAnsi="Times New Roman" w:cs="Times New Roman"/>
        </w:rPr>
        <w:t>Organization of Military Transportation II.</w:t>
      </w:r>
    </w:p>
    <w:p w:rsidR="002D2489" w:rsidRPr="002D2489" w:rsidRDefault="002D2489" w:rsidP="00980876">
      <w:pPr>
        <w:widowControl w:val="0"/>
        <w:numPr>
          <w:ilvl w:val="0"/>
          <w:numId w:val="295"/>
        </w:numPr>
        <w:spacing w:before="120" w:after="120" w:line="240" w:lineRule="auto"/>
        <w:ind w:left="426" w:hanging="142"/>
        <w:jc w:val="both"/>
        <w:rPr>
          <w:rFonts w:ascii="Times New Roman" w:eastAsia="Times New Roman" w:hAnsi="Times New Roman" w:cs="Times New Roman"/>
          <w:b/>
          <w:bCs/>
        </w:rPr>
      </w:pPr>
      <w:r w:rsidRPr="002D2489">
        <w:rPr>
          <w:rFonts w:ascii="Times New Roman" w:eastAsia="Times New Roman" w:hAnsi="Times New Roman" w:cs="Times New Roman"/>
          <w:b/>
          <w:bCs/>
        </w:rPr>
        <w:t xml:space="preserve">Kreditérték és képzési karakter: </w:t>
      </w:r>
    </w:p>
    <w:p w:rsidR="002D2489" w:rsidRPr="002D2489" w:rsidRDefault="002D2489" w:rsidP="00980876">
      <w:pPr>
        <w:pStyle w:val="Listaszerbekezds"/>
        <w:widowControl w:val="0"/>
        <w:numPr>
          <w:ilvl w:val="1"/>
          <w:numId w:val="295"/>
        </w:numPr>
        <w:spacing w:before="120" w:after="120" w:line="240" w:lineRule="auto"/>
        <w:ind w:left="993" w:hanging="426"/>
        <w:jc w:val="both"/>
        <w:rPr>
          <w:rFonts w:ascii="Times New Roman" w:eastAsia="Times New Roman" w:hAnsi="Times New Roman" w:cs="Times New Roman"/>
          <w:b/>
          <w:bCs/>
        </w:rPr>
      </w:pPr>
      <w:r w:rsidRPr="002D2489">
        <w:rPr>
          <w:rFonts w:ascii="Times New Roman" w:eastAsia="Times New Roman" w:hAnsi="Times New Roman" w:cs="Times New Roman"/>
          <w:bCs/>
        </w:rPr>
        <w:t>4 kredit</w:t>
      </w:r>
    </w:p>
    <w:p w:rsidR="002D2489" w:rsidRPr="002D2489" w:rsidRDefault="002D2489" w:rsidP="00980876">
      <w:pPr>
        <w:pStyle w:val="Listaszerbekezds"/>
        <w:widowControl w:val="0"/>
        <w:numPr>
          <w:ilvl w:val="1"/>
          <w:numId w:val="295"/>
        </w:numPr>
        <w:spacing w:before="120" w:after="120" w:line="240" w:lineRule="auto"/>
        <w:ind w:left="993" w:hanging="426"/>
        <w:jc w:val="both"/>
        <w:rPr>
          <w:rFonts w:ascii="Times New Roman" w:eastAsia="Times New Roman" w:hAnsi="Times New Roman" w:cs="Times New Roman"/>
          <w:b/>
          <w:bCs/>
        </w:rPr>
      </w:pPr>
      <w:r w:rsidRPr="002D2489">
        <w:rPr>
          <w:rFonts w:ascii="Times New Roman" w:eastAsia="Times New Roman" w:hAnsi="Times New Roman" w:cs="Times New Roman"/>
          <w:bCs/>
        </w:rPr>
        <w:t>a tantárgy elméleti vagy gyakorlati jellegének mértéke: 25</w:t>
      </w:r>
      <w:r w:rsidRPr="002D2489">
        <w:rPr>
          <w:rFonts w:ascii="Times New Roman" w:eastAsia="Times New Roman" w:hAnsi="Times New Roman" w:cs="Times New Roman"/>
          <w:b/>
          <w:bCs/>
        </w:rPr>
        <w:t xml:space="preserve"> </w:t>
      </w:r>
      <w:r w:rsidRPr="002D2489">
        <w:rPr>
          <w:rFonts w:ascii="Times New Roman" w:eastAsia="Times New Roman" w:hAnsi="Times New Roman" w:cs="Times New Roman"/>
          <w:bCs/>
        </w:rPr>
        <w:t>% gyakorlat, 75 % elmélet</w:t>
      </w:r>
    </w:p>
    <w:p w:rsidR="002D2489" w:rsidRPr="002D2489" w:rsidRDefault="002D2489" w:rsidP="00980876">
      <w:pPr>
        <w:widowControl w:val="0"/>
        <w:numPr>
          <w:ilvl w:val="0"/>
          <w:numId w:val="295"/>
        </w:numPr>
        <w:spacing w:before="120" w:after="120" w:line="240" w:lineRule="auto"/>
        <w:ind w:left="426" w:hanging="142"/>
        <w:jc w:val="both"/>
        <w:rPr>
          <w:rFonts w:ascii="Times New Roman" w:eastAsia="Times New Roman" w:hAnsi="Times New Roman" w:cs="Times New Roman"/>
          <w:bCs/>
        </w:rPr>
      </w:pPr>
      <w:r w:rsidRPr="002D2489">
        <w:rPr>
          <w:rFonts w:ascii="Times New Roman" w:eastAsia="Times New Roman" w:hAnsi="Times New Roman" w:cs="Times New Roman"/>
          <w:b/>
          <w:bCs/>
        </w:rPr>
        <w:t>A szak(ok), szakirányok/specializációk megnevezése (ahol oktatják):</w:t>
      </w:r>
      <w:r w:rsidRPr="002D2489">
        <w:rPr>
          <w:rFonts w:ascii="Times New Roman" w:eastAsia="Times New Roman" w:hAnsi="Times New Roman" w:cs="Times New Roman"/>
          <w:bCs/>
        </w:rPr>
        <w:t xml:space="preserve"> Katonai logisztika alapképzési szak, Katonai közlekedési specializáció</w:t>
      </w:r>
    </w:p>
    <w:p w:rsidR="002D2489" w:rsidRPr="002D2489" w:rsidRDefault="002D2489" w:rsidP="00980876">
      <w:pPr>
        <w:widowControl w:val="0"/>
        <w:numPr>
          <w:ilvl w:val="0"/>
          <w:numId w:val="295"/>
        </w:numPr>
        <w:spacing w:before="120" w:after="120" w:line="240" w:lineRule="auto"/>
        <w:ind w:left="426" w:hanging="142"/>
        <w:jc w:val="both"/>
        <w:rPr>
          <w:rFonts w:ascii="Times New Roman" w:eastAsia="Times New Roman" w:hAnsi="Times New Roman" w:cs="Times New Roman"/>
          <w:bCs/>
        </w:rPr>
      </w:pPr>
      <w:r w:rsidRPr="002D2489">
        <w:rPr>
          <w:rFonts w:ascii="Times New Roman" w:eastAsia="Times New Roman" w:hAnsi="Times New Roman" w:cs="Times New Roman"/>
          <w:b/>
          <w:bCs/>
        </w:rPr>
        <w:t xml:space="preserve">Az oktatásért felelős oktatási szervezeti egység megnevezése: </w:t>
      </w:r>
      <w:r w:rsidRPr="002D2489">
        <w:rPr>
          <w:rFonts w:ascii="Times New Roman" w:eastAsia="Times New Roman" w:hAnsi="Times New Roman" w:cs="Times New Roman"/>
          <w:bCs/>
        </w:rPr>
        <w:t>NKE HHK, Hadtáp, Pénzügyi és Katonai Közlekedési Tanszék</w:t>
      </w:r>
    </w:p>
    <w:p w:rsidR="002D2489" w:rsidRPr="002D2489" w:rsidRDefault="002D2489" w:rsidP="00980876">
      <w:pPr>
        <w:widowControl w:val="0"/>
        <w:numPr>
          <w:ilvl w:val="0"/>
          <w:numId w:val="295"/>
        </w:numPr>
        <w:spacing w:before="120" w:after="120" w:line="240" w:lineRule="auto"/>
        <w:ind w:left="426" w:hanging="142"/>
        <w:jc w:val="both"/>
        <w:rPr>
          <w:rFonts w:ascii="Times New Roman" w:eastAsia="Times New Roman" w:hAnsi="Times New Roman" w:cs="Times New Roman"/>
          <w:bCs/>
        </w:rPr>
      </w:pPr>
      <w:r w:rsidRPr="002D2489">
        <w:rPr>
          <w:rFonts w:ascii="Times New Roman" w:eastAsia="Times New Roman" w:hAnsi="Times New Roman" w:cs="Times New Roman"/>
          <w:b/>
          <w:bCs/>
        </w:rPr>
        <w:t>A tantárgyfelelős oktató neve, beosztása, tudományos fokozata:</w:t>
      </w:r>
      <w:r w:rsidRPr="002D2489">
        <w:rPr>
          <w:rFonts w:ascii="Times New Roman" w:eastAsia="Times New Roman" w:hAnsi="Times New Roman" w:cs="Times New Roman"/>
          <w:bCs/>
        </w:rPr>
        <w:t xml:space="preserve"> </w:t>
      </w:r>
      <w:r w:rsidRPr="002D2489">
        <w:rPr>
          <w:rFonts w:ascii="Times New Roman" w:hAnsi="Times New Roman" w:cs="Times New Roman"/>
          <w:lang w:eastAsia="x-none"/>
        </w:rPr>
        <w:t>Dr. Szászi Gábor egyetemi docens, PhD</w:t>
      </w:r>
    </w:p>
    <w:p w:rsidR="002D2489" w:rsidRPr="002D2489" w:rsidRDefault="002D2489" w:rsidP="00980876">
      <w:pPr>
        <w:widowControl w:val="0"/>
        <w:numPr>
          <w:ilvl w:val="0"/>
          <w:numId w:val="295"/>
        </w:numPr>
        <w:spacing w:before="120" w:after="120" w:line="240" w:lineRule="auto"/>
        <w:ind w:left="426" w:hanging="142"/>
        <w:jc w:val="both"/>
        <w:rPr>
          <w:rFonts w:ascii="Times New Roman" w:eastAsia="Times New Roman" w:hAnsi="Times New Roman" w:cs="Times New Roman"/>
          <w:bCs/>
        </w:rPr>
      </w:pPr>
      <w:r w:rsidRPr="002D2489">
        <w:rPr>
          <w:rFonts w:ascii="Times New Roman" w:eastAsia="Times New Roman" w:hAnsi="Times New Roman" w:cs="Times New Roman"/>
          <w:b/>
          <w:bCs/>
        </w:rPr>
        <w:t>A tanórák száma és típusa</w:t>
      </w:r>
    </w:p>
    <w:p w:rsidR="002D2489" w:rsidRPr="002D2489" w:rsidRDefault="002D2489" w:rsidP="00980876">
      <w:pPr>
        <w:widowControl w:val="0"/>
        <w:numPr>
          <w:ilvl w:val="1"/>
          <w:numId w:val="295"/>
        </w:numPr>
        <w:spacing w:before="120" w:after="120" w:line="240" w:lineRule="auto"/>
        <w:ind w:left="851" w:hanging="425"/>
        <w:jc w:val="both"/>
        <w:rPr>
          <w:rFonts w:ascii="Times New Roman" w:eastAsia="Times New Roman" w:hAnsi="Times New Roman" w:cs="Times New Roman"/>
          <w:bCs/>
        </w:rPr>
      </w:pPr>
      <w:r w:rsidRPr="002D2489">
        <w:rPr>
          <w:rFonts w:ascii="Times New Roman" w:eastAsia="Times New Roman" w:hAnsi="Times New Roman" w:cs="Times New Roman"/>
          <w:bCs/>
        </w:rPr>
        <w:t>össz óraszám/félév: 56</w:t>
      </w:r>
    </w:p>
    <w:p w:rsidR="002D2489" w:rsidRPr="002D2489" w:rsidRDefault="002D2489" w:rsidP="00980876">
      <w:pPr>
        <w:widowControl w:val="0"/>
        <w:numPr>
          <w:ilvl w:val="2"/>
          <w:numId w:val="295"/>
        </w:numPr>
        <w:spacing w:before="120" w:after="120" w:line="240" w:lineRule="auto"/>
        <w:ind w:left="993" w:hanging="425"/>
        <w:jc w:val="both"/>
        <w:rPr>
          <w:rFonts w:ascii="Times New Roman" w:eastAsia="Times New Roman" w:hAnsi="Times New Roman" w:cs="Times New Roman"/>
          <w:bCs/>
        </w:rPr>
      </w:pPr>
      <w:r w:rsidRPr="002D2489">
        <w:rPr>
          <w:rFonts w:ascii="Times New Roman" w:eastAsia="Times New Roman" w:hAnsi="Times New Roman" w:cs="Times New Roman"/>
          <w:bCs/>
        </w:rPr>
        <w:t>nappali munkarend: 56 (42 EA + 0 SZ + 14 GY)</w:t>
      </w:r>
    </w:p>
    <w:p w:rsidR="002D2489" w:rsidRPr="002D2489" w:rsidRDefault="002D2489" w:rsidP="00980876">
      <w:pPr>
        <w:widowControl w:val="0"/>
        <w:numPr>
          <w:ilvl w:val="2"/>
          <w:numId w:val="295"/>
        </w:numPr>
        <w:spacing w:before="120" w:after="120" w:line="240" w:lineRule="auto"/>
        <w:ind w:left="993" w:hanging="425"/>
        <w:jc w:val="both"/>
        <w:rPr>
          <w:rFonts w:ascii="Times New Roman" w:eastAsia="Times New Roman" w:hAnsi="Times New Roman" w:cs="Times New Roman"/>
          <w:bCs/>
        </w:rPr>
      </w:pPr>
      <w:r w:rsidRPr="002D2489">
        <w:rPr>
          <w:rFonts w:ascii="Times New Roman" w:eastAsia="Times New Roman" w:hAnsi="Times New Roman" w:cs="Times New Roman"/>
          <w:bCs/>
        </w:rPr>
        <w:t>levelező munkarend: 0 (0 EA + 0 SZ + 0 GY)</w:t>
      </w:r>
    </w:p>
    <w:p w:rsidR="002D2489" w:rsidRPr="002D2489" w:rsidRDefault="002D2489" w:rsidP="00980876">
      <w:pPr>
        <w:widowControl w:val="0"/>
        <w:numPr>
          <w:ilvl w:val="1"/>
          <w:numId w:val="295"/>
        </w:numPr>
        <w:spacing w:before="120" w:after="120" w:line="240" w:lineRule="auto"/>
        <w:ind w:left="851" w:hanging="425"/>
        <w:jc w:val="both"/>
        <w:rPr>
          <w:rFonts w:ascii="Times New Roman" w:eastAsia="Times New Roman" w:hAnsi="Times New Roman" w:cs="Times New Roman"/>
          <w:bCs/>
        </w:rPr>
      </w:pPr>
      <w:r w:rsidRPr="002D2489">
        <w:rPr>
          <w:rFonts w:ascii="Times New Roman" w:eastAsia="Times New Roman" w:hAnsi="Times New Roman" w:cs="Times New Roman"/>
          <w:bCs/>
        </w:rPr>
        <w:t xml:space="preserve">heti óraszám - nappali munkarend: </w:t>
      </w:r>
      <w:r w:rsidRPr="002D2489">
        <w:rPr>
          <w:rFonts w:ascii="Times New Roman" w:eastAsia="Times New Roman" w:hAnsi="Times New Roman" w:cs="Times New Roman"/>
        </w:rPr>
        <w:t>4</w:t>
      </w:r>
    </w:p>
    <w:p w:rsidR="002D2489" w:rsidRPr="002D2489" w:rsidRDefault="002D2489" w:rsidP="00980876">
      <w:pPr>
        <w:widowControl w:val="0"/>
        <w:numPr>
          <w:ilvl w:val="1"/>
          <w:numId w:val="295"/>
        </w:numPr>
        <w:spacing w:before="120" w:after="120" w:line="240" w:lineRule="auto"/>
        <w:ind w:left="851" w:hanging="425"/>
        <w:jc w:val="both"/>
        <w:rPr>
          <w:rFonts w:ascii="Times New Roman" w:eastAsia="Times New Roman" w:hAnsi="Times New Roman" w:cs="Times New Roman"/>
          <w:bCs/>
        </w:rPr>
      </w:pPr>
      <w:r w:rsidRPr="002D2489">
        <w:rPr>
          <w:rFonts w:ascii="Times New Roman" w:hAnsi="Times New Roman" w:cs="Times New Roman"/>
        </w:rPr>
        <w:t>Az ismeret átadásában alkalmazandó további sajátos módok, jellemzők: -</w:t>
      </w:r>
    </w:p>
    <w:p w:rsidR="002D2489" w:rsidRPr="002D2489" w:rsidRDefault="002D2489" w:rsidP="00980876">
      <w:pPr>
        <w:widowControl w:val="0"/>
        <w:numPr>
          <w:ilvl w:val="0"/>
          <w:numId w:val="295"/>
        </w:numPr>
        <w:spacing w:before="120" w:after="120" w:line="240" w:lineRule="auto"/>
        <w:ind w:left="426" w:hanging="142"/>
        <w:jc w:val="both"/>
        <w:rPr>
          <w:rFonts w:ascii="Times New Roman" w:eastAsia="Times New Roman" w:hAnsi="Times New Roman" w:cs="Times New Roman"/>
          <w:bCs/>
        </w:rPr>
      </w:pPr>
      <w:r w:rsidRPr="002D2489">
        <w:rPr>
          <w:rFonts w:ascii="Times New Roman" w:eastAsia="Times New Roman" w:hAnsi="Times New Roman" w:cs="Times New Roman"/>
          <w:b/>
          <w:bCs/>
        </w:rPr>
        <w:t>A tantárgy szakmai tartalma (magyarul):</w:t>
      </w:r>
      <w:r w:rsidRPr="002D2489">
        <w:rPr>
          <w:rFonts w:ascii="Times New Roman" w:eastAsia="Times New Roman" w:hAnsi="Times New Roman" w:cs="Times New Roman"/>
          <w:bCs/>
        </w:rPr>
        <w:t xml:space="preserve"> </w:t>
      </w:r>
      <w:r w:rsidRPr="002D2489">
        <w:rPr>
          <w:rFonts w:ascii="Times New Roman" w:hAnsi="Times New Roman" w:cs="Times New Roman"/>
        </w:rPr>
        <w:t>Katonai vasúti szállítások helye, szerepe a katonai közlekedési rendszerben. Katonai vasúti szállításra felhasználható szaktechnikai eszközök megválasztása. Vasúti szállítások tervezésének, szervezésének és végrehajtásának rendje, okmányai. Katonai anyagszállítmányok kísérése.</w:t>
      </w:r>
    </w:p>
    <w:p w:rsidR="002D2489" w:rsidRPr="002D2489" w:rsidRDefault="002D2489" w:rsidP="002D2489">
      <w:pPr>
        <w:widowControl w:val="0"/>
        <w:spacing w:before="120" w:after="120" w:line="240" w:lineRule="auto"/>
        <w:ind w:left="426"/>
        <w:jc w:val="both"/>
        <w:rPr>
          <w:rFonts w:ascii="Times New Roman" w:eastAsia="Times New Roman" w:hAnsi="Times New Roman" w:cs="Times New Roman"/>
          <w:bCs/>
          <w:lang w:val="en-GB"/>
        </w:rPr>
      </w:pPr>
      <w:r w:rsidRPr="002D2489">
        <w:rPr>
          <w:rFonts w:ascii="Times New Roman" w:eastAsia="Times New Roman" w:hAnsi="Times New Roman" w:cs="Times New Roman"/>
          <w:b/>
          <w:bCs/>
        </w:rPr>
        <w:t>A tantárgy szakmai tartalma (angolul) (</w:t>
      </w:r>
      <w:r w:rsidRPr="002D2489">
        <w:rPr>
          <w:rFonts w:ascii="Times New Roman" w:eastAsia="Times New Roman" w:hAnsi="Times New Roman" w:cs="Times New Roman"/>
          <w:b/>
          <w:bCs/>
          <w:lang w:val="en-US"/>
        </w:rPr>
        <w:t>Course description</w:t>
      </w:r>
      <w:r w:rsidRPr="002D2489">
        <w:rPr>
          <w:rFonts w:ascii="Times New Roman" w:eastAsia="Times New Roman" w:hAnsi="Times New Roman" w:cs="Times New Roman"/>
          <w:b/>
          <w:bCs/>
        </w:rPr>
        <w:t>):</w:t>
      </w:r>
      <w:r w:rsidRPr="002D2489">
        <w:rPr>
          <w:rFonts w:ascii="Times New Roman" w:hAnsi="Times New Roman" w:cs="Times New Roman"/>
          <w:bCs/>
        </w:rPr>
        <w:t xml:space="preserve"> The place and role of military railway transportation in the system of military transportation. Selection of technical appliances capable of fulfilling military railway transportation tasks. Documents and regime of planning, organizing and implementing railway transportation. Escorting military material shipment.</w:t>
      </w:r>
    </w:p>
    <w:p w:rsidR="002D2489" w:rsidRPr="002D2489" w:rsidRDefault="002D2489" w:rsidP="00980876">
      <w:pPr>
        <w:pStyle w:val="Listaszerbekezds"/>
        <w:widowControl w:val="0"/>
        <w:numPr>
          <w:ilvl w:val="0"/>
          <w:numId w:val="295"/>
        </w:numPr>
        <w:spacing w:before="120" w:after="120" w:line="240" w:lineRule="auto"/>
        <w:jc w:val="both"/>
        <w:rPr>
          <w:rFonts w:ascii="Times New Roman" w:eastAsia="Times New Roman" w:hAnsi="Times New Roman" w:cs="Times New Roman"/>
          <w:bCs/>
        </w:rPr>
      </w:pPr>
      <w:r w:rsidRPr="002D2489">
        <w:rPr>
          <w:rFonts w:ascii="Times New Roman" w:eastAsia="Times New Roman" w:hAnsi="Times New Roman" w:cs="Times New Roman"/>
          <w:b/>
          <w:bCs/>
        </w:rPr>
        <w:t xml:space="preserve">Elérendő kompetenciák (magyarul): </w:t>
      </w:r>
    </w:p>
    <w:p w:rsidR="002D2489" w:rsidRPr="002D2489" w:rsidRDefault="002D2489" w:rsidP="002D2489">
      <w:pPr>
        <w:autoSpaceDE w:val="0"/>
        <w:autoSpaceDN w:val="0"/>
        <w:adjustRightInd w:val="0"/>
        <w:spacing w:before="120" w:after="0" w:line="240" w:lineRule="auto"/>
        <w:ind w:left="425"/>
        <w:jc w:val="both"/>
        <w:rPr>
          <w:rFonts w:ascii="Times New Roman" w:eastAsia="Times New Roman" w:hAnsi="Times New Roman" w:cs="Times New Roman"/>
          <w:b/>
          <w:bCs/>
        </w:rPr>
      </w:pPr>
      <w:r w:rsidRPr="002D2489">
        <w:rPr>
          <w:rFonts w:ascii="Times New Roman" w:eastAsia="Times New Roman" w:hAnsi="Times New Roman" w:cs="Times New Roman"/>
          <w:b/>
          <w:bCs/>
        </w:rPr>
        <w:t xml:space="preserve">Tudása: </w:t>
      </w:r>
    </w:p>
    <w:p w:rsidR="002D2489" w:rsidRPr="002D2489" w:rsidRDefault="002D248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2D2489">
        <w:rPr>
          <w:rFonts w:ascii="Times New Roman" w:hAnsi="Times New Roman" w:cs="Times New Roman"/>
        </w:rPr>
        <w:t>Ismeri a katonai közlekedési szakterülethez szervesen kapcsolódó logisztikai, menedzsment, környezetvédelmi, minőségbiztosítási, információtechnológiai, jogi, közgazdasági szakterületek alapjait és követelményeit.</w:t>
      </w:r>
    </w:p>
    <w:p w:rsidR="002D2489" w:rsidRPr="002D2489" w:rsidRDefault="002D248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2D2489">
        <w:rPr>
          <w:rFonts w:ascii="Times New Roman" w:hAnsi="Times New Roman" w:cs="Times New Roman"/>
        </w:rPr>
        <w:t>Ismeri a katonai közlekedési szakterület szaktechnikai eszközeit, a közlekedési pályákat és létesítményeiket, azok igénybevételének és üzemeltetésének szabályait.</w:t>
      </w:r>
    </w:p>
    <w:p w:rsidR="002D2489" w:rsidRPr="002D2489" w:rsidRDefault="002D248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2D2489">
        <w:rPr>
          <w:rFonts w:ascii="Times New Roman" w:hAnsi="Times New Roman" w:cs="Times New Roman"/>
        </w:rPr>
        <w:t>Ismeri a katonai közlekedési szakanyagok készletezésének, tárolásának, nyilvántartásának és leltározásának, valamint ezen folyamatok ellenőrzésének feladatait és kötelezettségeit.</w:t>
      </w:r>
    </w:p>
    <w:p w:rsidR="002D2489" w:rsidRPr="002D2489" w:rsidRDefault="002D248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2D2489">
        <w:rPr>
          <w:rFonts w:ascii="Times New Roman" w:hAnsi="Times New Roman" w:cs="Times New Roman"/>
        </w:rPr>
        <w:t>Mélyrehatóan ismeri a katonai közlekedési szakterület szakmai feladatait, a közlekedési szakfeladatok rendszerét, az egyes feladatok végrehajtásának sajátosságait.</w:t>
      </w:r>
    </w:p>
    <w:p w:rsidR="002D2489" w:rsidRPr="002D2489" w:rsidRDefault="002D248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2D2489">
        <w:rPr>
          <w:rFonts w:ascii="Times New Roman" w:hAnsi="Times New Roman" w:cs="Times New Roman"/>
        </w:rPr>
        <w:t>Ismeri a katonai közlekedési igények felmérésének módszereit és megvalósítási lehetőségeit, gyakorlatát.</w:t>
      </w:r>
    </w:p>
    <w:p w:rsidR="00F97F56" w:rsidRDefault="00F97F56" w:rsidP="002D2489">
      <w:pPr>
        <w:autoSpaceDE w:val="0"/>
        <w:autoSpaceDN w:val="0"/>
        <w:adjustRightInd w:val="0"/>
        <w:spacing w:before="120" w:after="0" w:line="240" w:lineRule="auto"/>
        <w:ind w:left="425"/>
        <w:jc w:val="both"/>
        <w:rPr>
          <w:rFonts w:ascii="Times New Roman" w:eastAsia="Times New Roman" w:hAnsi="Times New Roman" w:cs="Times New Roman"/>
          <w:b/>
          <w:bCs/>
        </w:rPr>
      </w:pPr>
    </w:p>
    <w:p w:rsidR="002D2489" w:rsidRPr="002D2489" w:rsidRDefault="002D2489" w:rsidP="002D2489">
      <w:pPr>
        <w:autoSpaceDE w:val="0"/>
        <w:autoSpaceDN w:val="0"/>
        <w:adjustRightInd w:val="0"/>
        <w:spacing w:before="120" w:after="0" w:line="240" w:lineRule="auto"/>
        <w:ind w:left="425"/>
        <w:jc w:val="both"/>
        <w:rPr>
          <w:rFonts w:ascii="Times New Roman" w:eastAsia="Times New Roman" w:hAnsi="Times New Roman" w:cs="Times New Roman"/>
          <w:bCs/>
        </w:rPr>
      </w:pPr>
      <w:r w:rsidRPr="002D2489">
        <w:rPr>
          <w:rFonts w:ascii="Times New Roman" w:eastAsia="Times New Roman" w:hAnsi="Times New Roman" w:cs="Times New Roman"/>
          <w:b/>
          <w:bCs/>
        </w:rPr>
        <w:lastRenderedPageBreak/>
        <w:t>Képességei:</w:t>
      </w:r>
      <w:r w:rsidRPr="002D2489">
        <w:rPr>
          <w:rFonts w:ascii="Times New Roman" w:eastAsia="Times New Roman" w:hAnsi="Times New Roman" w:cs="Times New Roman"/>
          <w:bCs/>
        </w:rPr>
        <w:t xml:space="preserve"> </w:t>
      </w:r>
    </w:p>
    <w:p w:rsidR="002D2489" w:rsidRPr="002D2489" w:rsidRDefault="002D248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2D2489">
        <w:rPr>
          <w:rFonts w:ascii="Times New Roman" w:hAnsi="Times New Roman" w:cs="Times New Roman"/>
        </w:rPr>
        <w:t>Az általános és specifikus katonai ismeretei és készségei birtokában képes a katonai közlekedési, mozgatási, szállítási feladatok tervezésére, szervezésére és vezetésére.</w:t>
      </w:r>
    </w:p>
    <w:p w:rsidR="002D2489" w:rsidRPr="002D2489" w:rsidRDefault="002D248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2D2489">
        <w:rPr>
          <w:rFonts w:ascii="Times New Roman" w:hAnsi="Times New Roman" w:cs="Times New Roman"/>
        </w:rPr>
        <w:t>Képes békeidőszakban, válságkezelő, katasztrófa-elhárítási, béketámogató és háborús műveletekben, nemzeti és többnemzeti környezetben a szállító szakalegységek alaprendeltetéséből fakadó feladatai végrehajtásának vezetésére.</w:t>
      </w:r>
    </w:p>
    <w:p w:rsidR="002D2489" w:rsidRPr="002D2489" w:rsidRDefault="002D248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2D2489">
        <w:rPr>
          <w:rFonts w:ascii="Times New Roman" w:hAnsi="Times New Roman" w:cs="Times New Roman"/>
        </w:rPr>
        <w:t>Képes a közlekedési hálózatok katonai célú alkalmazásának tervezésére, szervezésére és végrehajtására.</w:t>
      </w:r>
    </w:p>
    <w:p w:rsidR="002D2489" w:rsidRPr="002D2489" w:rsidRDefault="002D248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2D2489">
        <w:rPr>
          <w:rFonts w:ascii="Times New Roman" w:hAnsi="Times New Roman" w:cs="Times New Roman"/>
        </w:rPr>
        <w:t>Képes a közlekedési folyamatokat támogató közlekedésinformatikai rendszerek alkalmazására, az azokkal kapcsolatos felhasználói alapkövetelmények megfogalmazására.</w:t>
      </w:r>
    </w:p>
    <w:p w:rsidR="002D2489" w:rsidRPr="002D2489" w:rsidRDefault="002D2489" w:rsidP="002D2489">
      <w:pPr>
        <w:autoSpaceDE w:val="0"/>
        <w:autoSpaceDN w:val="0"/>
        <w:adjustRightInd w:val="0"/>
        <w:spacing w:before="120" w:after="0" w:line="240" w:lineRule="auto"/>
        <w:ind w:left="425"/>
        <w:jc w:val="both"/>
        <w:rPr>
          <w:rFonts w:ascii="Times New Roman" w:eastAsia="Times New Roman" w:hAnsi="Times New Roman" w:cs="Times New Roman"/>
          <w:b/>
          <w:bCs/>
        </w:rPr>
      </w:pPr>
      <w:r w:rsidRPr="002D2489">
        <w:rPr>
          <w:rFonts w:ascii="Times New Roman" w:eastAsia="Times New Roman" w:hAnsi="Times New Roman" w:cs="Times New Roman"/>
          <w:b/>
          <w:bCs/>
        </w:rPr>
        <w:t xml:space="preserve">Attitűdje: </w:t>
      </w:r>
    </w:p>
    <w:p w:rsidR="002D2489" w:rsidRPr="002D2489" w:rsidRDefault="002D248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2D2489">
        <w:rPr>
          <w:rFonts w:ascii="Times New Roman" w:hAnsi="Times New Roman" w:cs="Times New Roman"/>
        </w:rPr>
        <w:t>Nyitott a katonai közlekedési szakterületen zajló szakmai, technológiai fejlesztés és innováció megismerésére és elfogadására, hiteles közvetítésére és azok mindennapi munkájába való beillesztésére.</w:t>
      </w:r>
    </w:p>
    <w:p w:rsidR="002D2489" w:rsidRPr="002D2489" w:rsidRDefault="002D248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2D2489">
        <w:rPr>
          <w:rFonts w:ascii="Times New Roman" w:hAnsi="Times New Roman" w:cs="Times New Roman"/>
        </w:rPr>
        <w:t>Törekszik arra, hogy önképzése a katonai közlekedési szakterületen folyamatos és szakmai céljaival megegyező legyen.</w:t>
      </w:r>
    </w:p>
    <w:p w:rsidR="002D2489" w:rsidRPr="002D2489" w:rsidRDefault="002D248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2D2489">
        <w:rPr>
          <w:rFonts w:ascii="Times New Roman" w:hAnsi="Times New Roman" w:cs="Times New Roman"/>
        </w:rPr>
        <w:t>Elkötelezett a minőségi szakmai munkavégzés iránt, különös tekintettel a közlekedési, szállítási feladatok és folyamatok biztonságos végrehajtására.</w:t>
      </w:r>
    </w:p>
    <w:p w:rsidR="002D2489" w:rsidRPr="002D2489" w:rsidRDefault="002D248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2D2489">
        <w:rPr>
          <w:rFonts w:ascii="Times New Roman" w:hAnsi="Times New Roman" w:cs="Times New Roman"/>
        </w:rPr>
        <w:t>Figyel beosztottjai szakmai fejlődésének előmozdítására, ilyen irányú törekvéseik kezelésére és segítésére.</w:t>
      </w:r>
    </w:p>
    <w:p w:rsidR="002D2489" w:rsidRPr="002D2489" w:rsidRDefault="002D248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2D2489">
        <w:rPr>
          <w:rFonts w:ascii="Times New Roman" w:hAnsi="Times New Roman" w:cs="Times New Roman"/>
        </w:rPr>
        <w:t>Megosztja tapasztalatait munkatársaival, így segítve fejlődésüket.</w:t>
      </w:r>
    </w:p>
    <w:p w:rsidR="002D2489" w:rsidRPr="002D2489" w:rsidRDefault="002D2489" w:rsidP="002D2489">
      <w:pPr>
        <w:autoSpaceDE w:val="0"/>
        <w:autoSpaceDN w:val="0"/>
        <w:adjustRightInd w:val="0"/>
        <w:spacing w:before="120" w:after="0" w:line="240" w:lineRule="auto"/>
        <w:ind w:left="425"/>
        <w:jc w:val="both"/>
        <w:rPr>
          <w:rFonts w:ascii="Times New Roman" w:eastAsia="Times New Roman" w:hAnsi="Times New Roman" w:cs="Times New Roman"/>
          <w:b/>
          <w:bCs/>
        </w:rPr>
      </w:pPr>
      <w:r w:rsidRPr="002D2489">
        <w:rPr>
          <w:rFonts w:ascii="Times New Roman" w:eastAsia="Times New Roman" w:hAnsi="Times New Roman" w:cs="Times New Roman"/>
          <w:b/>
          <w:bCs/>
        </w:rPr>
        <w:t xml:space="preserve">Autonómiája és felelőssége: </w:t>
      </w:r>
    </w:p>
    <w:p w:rsidR="002D2489" w:rsidRPr="002D2489" w:rsidRDefault="002D248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2D2489">
        <w:rPr>
          <w:rFonts w:ascii="Times New Roman" w:hAnsi="Times New Roman" w:cs="Times New Roman"/>
        </w:rPr>
        <w:t>A katonai közlekedés szakterületén megjelenő folyamatokban képes önállóan döntéseket hozni, azokat felelősséggel, a jogszabályi keretek figyelembevételével végrehajtani.</w:t>
      </w:r>
    </w:p>
    <w:p w:rsidR="002D2489" w:rsidRPr="002D2489" w:rsidRDefault="002D248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2D2489">
        <w:rPr>
          <w:rFonts w:ascii="Times New Roman" w:hAnsi="Times New Roman" w:cs="Times New Roman"/>
        </w:rPr>
        <w:t>Tisztában van döntéseinek, tevékenységének a katonai logisztikai folyamatok egészére gyakorolt hatásaival, következményeivel.</w:t>
      </w:r>
    </w:p>
    <w:p w:rsidR="002D2489" w:rsidRPr="002D2489" w:rsidRDefault="002D248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2D2489">
        <w:rPr>
          <w:rFonts w:ascii="Times New Roman" w:hAnsi="Times New Roman" w:cs="Times New Roman"/>
        </w:rPr>
        <w:t>Szakmai feladatainak elvégzése során felelősségteljesen együttműködik más szakterület képzett szakembereivel is.</w:t>
      </w:r>
    </w:p>
    <w:p w:rsidR="002D2489" w:rsidRPr="002D2489" w:rsidRDefault="002D248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2D2489">
        <w:rPr>
          <w:rFonts w:ascii="Times New Roman" w:hAnsi="Times New Roman" w:cs="Times New Roman"/>
        </w:rPr>
        <w:t>Feltárja az alkalmazott technológiák hiányosságait, a folyamatok kockázatait és kezdeményezi az ezeket csökkentő intézkedések megtételét.</w:t>
      </w:r>
    </w:p>
    <w:p w:rsidR="002D2489" w:rsidRPr="002D2489" w:rsidRDefault="002D248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2D2489">
        <w:rPr>
          <w:rFonts w:ascii="Times New Roman" w:hAnsi="Times New Roman" w:cs="Times New Roman"/>
        </w:rPr>
        <w:t>Parancsnokának útmutatása alapján irányítja a rábízott személyi állomány munkavégzését, felügyeli a közlekedési, szállítási folyamatok tervezését, szervezését, végrehajtását, a közlekedési szaktechnikai eszközök üzemeltetését.</w:t>
      </w:r>
    </w:p>
    <w:p w:rsidR="002D2489" w:rsidRPr="002D2489" w:rsidRDefault="002D248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2D2489">
        <w:rPr>
          <w:rFonts w:ascii="Times New Roman" w:hAnsi="Times New Roman" w:cs="Times New Roman"/>
        </w:rPr>
        <w:t>Értékeli a beosztottak munkavégzésének hatékonyságát, eredményességét.</w:t>
      </w:r>
    </w:p>
    <w:p w:rsidR="002D2489" w:rsidRPr="002D2489" w:rsidRDefault="002D2489" w:rsidP="002D2489">
      <w:pPr>
        <w:widowControl w:val="0"/>
        <w:spacing w:before="120" w:after="120" w:line="240" w:lineRule="auto"/>
        <w:ind w:left="426"/>
        <w:jc w:val="both"/>
        <w:rPr>
          <w:rFonts w:ascii="Times New Roman" w:eastAsia="Times New Roman" w:hAnsi="Times New Roman" w:cs="Times New Roman"/>
          <w:b/>
          <w:bCs/>
          <w:lang w:val="en-US"/>
        </w:rPr>
      </w:pPr>
      <w:r w:rsidRPr="002D2489">
        <w:rPr>
          <w:rFonts w:ascii="Times New Roman" w:eastAsia="Times New Roman" w:hAnsi="Times New Roman" w:cs="Times New Roman"/>
          <w:b/>
          <w:bCs/>
        </w:rPr>
        <w:t>Elérendő kompetenciák (angolul) (</w:t>
      </w:r>
      <w:r w:rsidRPr="002D2489">
        <w:rPr>
          <w:rFonts w:ascii="Times New Roman" w:eastAsia="Times New Roman" w:hAnsi="Times New Roman" w:cs="Times New Roman"/>
          <w:b/>
          <w:bCs/>
          <w:lang w:val="en-US"/>
        </w:rPr>
        <w:t xml:space="preserve">Competences – English): </w:t>
      </w:r>
    </w:p>
    <w:p w:rsidR="002D2489" w:rsidRPr="002D2489" w:rsidRDefault="002D2489" w:rsidP="002D2489">
      <w:pPr>
        <w:widowControl w:val="0"/>
        <w:spacing w:before="120" w:after="120" w:line="240" w:lineRule="auto"/>
        <w:ind w:left="426"/>
        <w:jc w:val="both"/>
        <w:rPr>
          <w:rFonts w:ascii="Times New Roman" w:eastAsia="Times New Roman" w:hAnsi="Times New Roman" w:cs="Times New Roman"/>
          <w:lang w:val="en-GB"/>
        </w:rPr>
      </w:pPr>
      <w:r w:rsidRPr="002D2489">
        <w:rPr>
          <w:rFonts w:ascii="Times New Roman" w:eastAsia="Times New Roman" w:hAnsi="Times New Roman" w:cs="Times New Roman"/>
          <w:b/>
          <w:lang w:val="en-GB"/>
        </w:rPr>
        <w:t>Knowledge</w:t>
      </w:r>
      <w:r w:rsidRPr="002D2489">
        <w:rPr>
          <w:rFonts w:ascii="Times New Roman" w:eastAsia="Times New Roman" w:hAnsi="Times New Roman" w:cs="Times New Roman"/>
          <w:lang w:val="en-GB"/>
        </w:rPr>
        <w:t xml:space="preserve">: </w:t>
      </w:r>
    </w:p>
    <w:p w:rsidR="002D2489" w:rsidRPr="002D2489" w:rsidRDefault="002D248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2D2489">
        <w:rPr>
          <w:rFonts w:ascii="Times New Roman" w:hAnsi="Times New Roman" w:cs="Times New Roman"/>
        </w:rPr>
        <w:t>Knows the basics and requirements of logistics, management, environmental protection, quality assurance, information technology, law and economics, connected to the field of military transportation.</w:t>
      </w:r>
    </w:p>
    <w:p w:rsidR="002D2489" w:rsidRPr="002D2489" w:rsidRDefault="002D248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2D2489">
        <w:rPr>
          <w:rFonts w:ascii="Times New Roman" w:hAnsi="Times New Roman" w:cs="Times New Roman"/>
        </w:rPr>
        <w:t>Is familiar with the technical equipment used in military transportation, the transportation modes and facilities, and the rules of their use and operation.</w:t>
      </w:r>
    </w:p>
    <w:p w:rsidR="002D2489" w:rsidRPr="002D2489" w:rsidRDefault="002D248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2D2489">
        <w:rPr>
          <w:rFonts w:ascii="Times New Roman" w:hAnsi="Times New Roman" w:cs="Times New Roman"/>
        </w:rPr>
        <w:t>Is familiar with the tasks and responsibilities of stockpiling, storing, registering and inventorying of military transportation assets and is able to control these processes.</w:t>
      </w:r>
    </w:p>
    <w:p w:rsidR="002D2489" w:rsidRPr="002D2489" w:rsidRDefault="002D248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2D2489">
        <w:rPr>
          <w:rFonts w:ascii="Times New Roman" w:hAnsi="Times New Roman" w:cs="Times New Roman"/>
        </w:rPr>
        <w:t>Has a profound knowledge of the tasks and the system of military transportation and the unique characteristics of performing each task.</w:t>
      </w:r>
    </w:p>
    <w:p w:rsidR="002D2489" w:rsidRPr="002D2489" w:rsidRDefault="002D248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2D2489">
        <w:rPr>
          <w:rFonts w:ascii="Times New Roman" w:hAnsi="Times New Roman" w:cs="Times New Roman"/>
        </w:rPr>
        <w:t>Is familiar with the methods of assessing the requirements of military transportation and its feasibility and practical implementation.</w:t>
      </w:r>
    </w:p>
    <w:p w:rsidR="002D2489" w:rsidRPr="002D2489" w:rsidRDefault="002D2489" w:rsidP="002D2489">
      <w:pPr>
        <w:widowControl w:val="0"/>
        <w:spacing w:before="120" w:after="120" w:line="240" w:lineRule="auto"/>
        <w:ind w:left="426"/>
        <w:jc w:val="both"/>
        <w:rPr>
          <w:rFonts w:ascii="Times New Roman" w:eastAsia="Times New Roman" w:hAnsi="Times New Roman" w:cs="Times New Roman"/>
          <w:b/>
          <w:lang w:val="en-GB"/>
        </w:rPr>
      </w:pPr>
      <w:r w:rsidRPr="002D2489">
        <w:rPr>
          <w:rFonts w:ascii="Times New Roman" w:eastAsia="Times New Roman" w:hAnsi="Times New Roman" w:cs="Times New Roman"/>
          <w:b/>
          <w:lang w:val="en-GB"/>
        </w:rPr>
        <w:t>Capabilities:</w:t>
      </w:r>
    </w:p>
    <w:p w:rsidR="002D2489" w:rsidRPr="002D2489" w:rsidRDefault="002D248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2D2489">
        <w:rPr>
          <w:rFonts w:ascii="Times New Roman" w:hAnsi="Times New Roman" w:cs="Times New Roman"/>
        </w:rPr>
        <w:t>Using his/her general and specialized military knowledge and skills, he/she is capable of planning, organizing, and conducting military transport, movement, and transportation tasks.</w:t>
      </w:r>
    </w:p>
    <w:p w:rsidR="002D2489" w:rsidRPr="002D2489" w:rsidRDefault="002D248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2D2489">
        <w:rPr>
          <w:rFonts w:ascii="Times New Roman" w:hAnsi="Times New Roman" w:cs="Times New Roman"/>
        </w:rPr>
        <w:lastRenderedPageBreak/>
        <w:t>Is capable of leading the execution of the tasks of a military transportation subunit in peace time and in crisis response, disaster relief, peace support and combat operations both in a national and a multinational environment.</w:t>
      </w:r>
    </w:p>
    <w:p w:rsidR="002D2489" w:rsidRPr="002D2489" w:rsidRDefault="002D248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2D2489">
        <w:rPr>
          <w:rFonts w:ascii="Times New Roman" w:hAnsi="Times New Roman" w:cs="Times New Roman"/>
        </w:rPr>
        <w:t>Is capable of planning, organizing and executing the tasks related to the application of traffic networks for military purposes.</w:t>
      </w:r>
    </w:p>
    <w:p w:rsidR="002D2489" w:rsidRPr="002D2489" w:rsidRDefault="002D248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2D2489">
        <w:rPr>
          <w:rFonts w:ascii="Times New Roman" w:hAnsi="Times New Roman" w:cs="Times New Roman"/>
        </w:rPr>
        <w:t>Is capable of applying traffic information systems to support transportation processes and formulating the basic user requirements related to them.</w:t>
      </w:r>
    </w:p>
    <w:p w:rsidR="002D2489" w:rsidRPr="002D2489" w:rsidRDefault="002D2489" w:rsidP="002D2489">
      <w:pPr>
        <w:widowControl w:val="0"/>
        <w:spacing w:before="120" w:after="120" w:line="240" w:lineRule="auto"/>
        <w:ind w:left="426"/>
        <w:jc w:val="both"/>
        <w:rPr>
          <w:rFonts w:ascii="Times New Roman" w:eastAsia="Times New Roman" w:hAnsi="Times New Roman" w:cs="Times New Roman"/>
          <w:b/>
          <w:lang w:val="en-GB"/>
        </w:rPr>
      </w:pPr>
      <w:r w:rsidRPr="002D2489">
        <w:rPr>
          <w:rFonts w:ascii="Times New Roman" w:eastAsia="Times New Roman" w:hAnsi="Times New Roman" w:cs="Times New Roman"/>
          <w:b/>
          <w:lang w:val="en-GB"/>
        </w:rPr>
        <w:t>Attitude:</w:t>
      </w:r>
    </w:p>
    <w:p w:rsidR="002D2489" w:rsidRPr="002D2489" w:rsidRDefault="002D248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2D2489">
        <w:rPr>
          <w:rFonts w:ascii="Times New Roman" w:hAnsi="Times New Roman" w:cs="Times New Roman"/>
        </w:rPr>
        <w:t>He/She is ready to become familiar with and adopt the professional and technological development and innovation in the field of military transportation, and also to pass it on and integrate it into his daily work.</w:t>
      </w:r>
    </w:p>
    <w:p w:rsidR="002D2489" w:rsidRPr="002D2489" w:rsidRDefault="002D248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2D2489">
        <w:rPr>
          <w:rFonts w:ascii="Times New Roman" w:hAnsi="Times New Roman" w:cs="Times New Roman"/>
        </w:rPr>
        <w:t>He/She strives for continuous self-education in the field of military transportation which is consistent with his/her professional goals.</w:t>
      </w:r>
    </w:p>
    <w:p w:rsidR="002D2489" w:rsidRPr="002D2489" w:rsidRDefault="002D248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2D2489">
        <w:rPr>
          <w:rFonts w:ascii="Times New Roman" w:hAnsi="Times New Roman" w:cs="Times New Roman"/>
        </w:rPr>
        <w:t>He/She is committed to high quality in his/her professional work, with special emphasis on the safe execution of the transportation tasks and processes.</w:t>
      </w:r>
    </w:p>
    <w:p w:rsidR="002D2489" w:rsidRPr="002D2489" w:rsidRDefault="002D248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2D2489">
        <w:rPr>
          <w:rFonts w:ascii="Times New Roman" w:hAnsi="Times New Roman" w:cs="Times New Roman"/>
        </w:rPr>
        <w:t>He/She is interested in promoting the professional development of his/her subordinates, and provides assistance in their efforts.</w:t>
      </w:r>
    </w:p>
    <w:p w:rsidR="002D2489" w:rsidRPr="002D2489" w:rsidRDefault="002D248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2D2489">
        <w:rPr>
          <w:rFonts w:ascii="Times New Roman" w:hAnsi="Times New Roman" w:cs="Times New Roman"/>
        </w:rPr>
        <w:t>He/she is willing to share his/her experience with his/her colleagues to further their professional development.</w:t>
      </w:r>
    </w:p>
    <w:p w:rsidR="002D2489" w:rsidRPr="002D2489" w:rsidRDefault="002D2489" w:rsidP="002D2489">
      <w:pPr>
        <w:widowControl w:val="0"/>
        <w:spacing w:before="120" w:after="120" w:line="240" w:lineRule="auto"/>
        <w:ind w:left="426"/>
        <w:jc w:val="both"/>
        <w:rPr>
          <w:rFonts w:ascii="Times New Roman" w:eastAsia="Times New Roman" w:hAnsi="Times New Roman" w:cs="Times New Roman"/>
          <w:b/>
          <w:lang w:val="en-GB"/>
        </w:rPr>
      </w:pPr>
      <w:r w:rsidRPr="002D2489">
        <w:rPr>
          <w:rFonts w:ascii="Times New Roman" w:eastAsia="Times New Roman" w:hAnsi="Times New Roman" w:cs="Times New Roman"/>
          <w:b/>
          <w:lang w:val="en-GB"/>
        </w:rPr>
        <w:t xml:space="preserve">Autonomy and responsibility: </w:t>
      </w:r>
    </w:p>
    <w:p w:rsidR="002D2489" w:rsidRPr="002D2489" w:rsidRDefault="002D248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2D2489">
        <w:rPr>
          <w:rFonts w:ascii="Times New Roman" w:hAnsi="Times New Roman" w:cs="Times New Roman"/>
        </w:rPr>
        <w:t>He/She is able to make decisions independently in the processes arising in the field of military transportation, and to implement them with responsibility and within the legal framework.</w:t>
      </w:r>
    </w:p>
    <w:p w:rsidR="002D2489" w:rsidRPr="002D2489" w:rsidRDefault="002D248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2D2489">
        <w:rPr>
          <w:rFonts w:ascii="Times New Roman" w:hAnsi="Times New Roman" w:cs="Times New Roman"/>
        </w:rPr>
        <w:t>He/She is aware of the effects and consequences of his decisions and activities on the military logistic processes as a whole.</w:t>
      </w:r>
    </w:p>
    <w:p w:rsidR="002D2489" w:rsidRPr="002D2489" w:rsidRDefault="002D248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2D2489">
        <w:rPr>
          <w:rFonts w:ascii="Times New Roman" w:hAnsi="Times New Roman" w:cs="Times New Roman"/>
        </w:rPr>
        <w:t xml:space="preserve">During his/her professional duties, he/she is willing to responsibly cooperate with specialists of other areas. </w:t>
      </w:r>
    </w:p>
    <w:p w:rsidR="002D2489" w:rsidRPr="002D2489" w:rsidRDefault="002D248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2D2489">
        <w:rPr>
          <w:rFonts w:ascii="Times New Roman" w:hAnsi="Times New Roman" w:cs="Times New Roman"/>
        </w:rPr>
        <w:t>He/She can identify the deficiencies and risks in the applied technologies and initiates taking measures to reduce their impact.</w:t>
      </w:r>
    </w:p>
    <w:p w:rsidR="002D2489" w:rsidRPr="002D2489" w:rsidRDefault="002D248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2D2489">
        <w:rPr>
          <w:rFonts w:ascii="Times New Roman" w:hAnsi="Times New Roman" w:cs="Times New Roman"/>
        </w:rPr>
        <w:t>Under the guidance of his/her commander, he/she controls the work of the personnel under his/her command and supervises the planning, organization and implementation of the transport and transportation processes, and also the operation of the technical equipment used in military transportation.</w:t>
      </w:r>
    </w:p>
    <w:p w:rsidR="002D2489" w:rsidRPr="002D2489" w:rsidRDefault="002D248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2D2489">
        <w:rPr>
          <w:rFonts w:ascii="Times New Roman" w:hAnsi="Times New Roman" w:cs="Times New Roman"/>
        </w:rPr>
        <w:t>He/She continuously evaluates the efficiency and effectiveness of his/her subordinates' work.</w:t>
      </w:r>
    </w:p>
    <w:p w:rsidR="002D2489" w:rsidRPr="002D2489" w:rsidRDefault="002D2489" w:rsidP="00980876">
      <w:pPr>
        <w:widowControl w:val="0"/>
        <w:numPr>
          <w:ilvl w:val="0"/>
          <w:numId w:val="295"/>
        </w:numPr>
        <w:spacing w:before="120" w:after="120" w:line="240" w:lineRule="auto"/>
        <w:ind w:left="426" w:hanging="142"/>
        <w:jc w:val="both"/>
        <w:rPr>
          <w:rFonts w:ascii="Times New Roman" w:eastAsia="Times New Roman" w:hAnsi="Times New Roman" w:cs="Times New Roman"/>
          <w:bCs/>
        </w:rPr>
      </w:pPr>
      <w:r w:rsidRPr="002D2489">
        <w:rPr>
          <w:rFonts w:ascii="Times New Roman" w:eastAsia="Times New Roman" w:hAnsi="Times New Roman" w:cs="Times New Roman"/>
          <w:b/>
          <w:bCs/>
        </w:rPr>
        <w:t xml:space="preserve">Előtanulmányi követelmények: </w:t>
      </w:r>
      <w:r w:rsidRPr="002D2489">
        <w:rPr>
          <w:rFonts w:ascii="Times New Roman" w:hAnsi="Times New Roman" w:cs="Times New Roman"/>
          <w:bCs/>
        </w:rPr>
        <w:t>Katonai szállításszervezés I. HKHPKA312</w:t>
      </w:r>
    </w:p>
    <w:p w:rsidR="002D2489" w:rsidRPr="002D2489" w:rsidRDefault="002D2489" w:rsidP="00980876">
      <w:pPr>
        <w:widowControl w:val="0"/>
        <w:numPr>
          <w:ilvl w:val="0"/>
          <w:numId w:val="295"/>
        </w:numPr>
        <w:spacing w:before="120" w:after="120" w:line="240" w:lineRule="auto"/>
        <w:ind w:left="426" w:hanging="142"/>
        <w:jc w:val="both"/>
        <w:rPr>
          <w:rFonts w:ascii="Times New Roman" w:eastAsia="Times New Roman" w:hAnsi="Times New Roman" w:cs="Times New Roman"/>
          <w:b/>
          <w:bCs/>
        </w:rPr>
      </w:pPr>
      <w:r w:rsidRPr="002D2489">
        <w:rPr>
          <w:rFonts w:ascii="Times New Roman" w:eastAsia="Times New Roman" w:hAnsi="Times New Roman" w:cs="Times New Roman"/>
          <w:b/>
          <w:bCs/>
        </w:rPr>
        <w:t>A tantárgy tananyagának leírása, tematika. Description of the subject, curriculum (magyarul, angolul - English):</w:t>
      </w:r>
    </w:p>
    <w:p w:rsidR="002D2489" w:rsidRPr="00F97F56" w:rsidRDefault="002D2489" w:rsidP="00980876">
      <w:pPr>
        <w:pStyle w:val="lfej"/>
        <w:numPr>
          <w:ilvl w:val="1"/>
          <w:numId w:val="295"/>
        </w:numPr>
        <w:tabs>
          <w:tab w:val="left" w:pos="708"/>
        </w:tabs>
        <w:ind w:left="993" w:hanging="574"/>
        <w:jc w:val="both"/>
        <w:rPr>
          <w:rFonts w:ascii="Times New Roman" w:hAnsi="Times New Roman" w:cs="Times New Roman"/>
          <w:i/>
        </w:rPr>
      </w:pPr>
      <w:r w:rsidRPr="002D2489">
        <w:rPr>
          <w:rFonts w:ascii="Times New Roman" w:hAnsi="Times New Roman" w:cs="Times New Roman"/>
        </w:rPr>
        <w:t>Katonai vasúti szállítások helye, szerepe a katonai közlekedési rendszerben.</w:t>
      </w:r>
      <w:r w:rsidRPr="002D2489">
        <w:rPr>
          <w:rStyle w:val="tlid-translation"/>
          <w:rFonts w:ascii="Times New Roman" w:hAnsi="Times New Roman" w:cs="Times New Roman"/>
          <w:lang w:val="en"/>
        </w:rPr>
        <w:t xml:space="preserve"> </w:t>
      </w:r>
      <w:r w:rsidRPr="00F97F56">
        <w:rPr>
          <w:rStyle w:val="tlid-translation"/>
          <w:rFonts w:ascii="Times New Roman" w:hAnsi="Times New Roman" w:cs="Times New Roman"/>
          <w:i/>
          <w:lang w:val="en"/>
        </w:rPr>
        <w:t>(Place and role of military rail transport in the military transport system.)</w:t>
      </w:r>
    </w:p>
    <w:p w:rsidR="002D2489" w:rsidRPr="00F97F56" w:rsidRDefault="002D2489" w:rsidP="00980876">
      <w:pPr>
        <w:pStyle w:val="lfej"/>
        <w:numPr>
          <w:ilvl w:val="1"/>
          <w:numId w:val="295"/>
        </w:numPr>
        <w:tabs>
          <w:tab w:val="left" w:pos="708"/>
        </w:tabs>
        <w:ind w:left="993" w:hanging="574"/>
        <w:jc w:val="both"/>
        <w:rPr>
          <w:rFonts w:ascii="Times New Roman" w:hAnsi="Times New Roman" w:cs="Times New Roman"/>
          <w:i/>
        </w:rPr>
      </w:pPr>
      <w:r w:rsidRPr="002D2489">
        <w:rPr>
          <w:rFonts w:ascii="Times New Roman" w:hAnsi="Times New Roman" w:cs="Times New Roman"/>
        </w:rPr>
        <w:t>Katonai vasúti szállításra felhasználható szaktechnikai eszközök megválasztása.</w:t>
      </w:r>
      <w:r w:rsidRPr="002D2489">
        <w:rPr>
          <w:rStyle w:val="tlid-translation"/>
          <w:rFonts w:ascii="Times New Roman" w:hAnsi="Times New Roman" w:cs="Times New Roman"/>
          <w:lang w:val="en"/>
        </w:rPr>
        <w:t xml:space="preserve"> </w:t>
      </w:r>
      <w:r w:rsidRPr="00F97F56">
        <w:rPr>
          <w:rStyle w:val="tlid-translation"/>
          <w:rFonts w:ascii="Times New Roman" w:hAnsi="Times New Roman" w:cs="Times New Roman"/>
          <w:i/>
          <w:lang w:val="en"/>
        </w:rPr>
        <w:t>(Choice of technical equipment for military railway transport.)</w:t>
      </w:r>
    </w:p>
    <w:p w:rsidR="002D2489" w:rsidRPr="00F97F56" w:rsidRDefault="002D2489" w:rsidP="00980876">
      <w:pPr>
        <w:pStyle w:val="lfej"/>
        <w:numPr>
          <w:ilvl w:val="1"/>
          <w:numId w:val="295"/>
        </w:numPr>
        <w:tabs>
          <w:tab w:val="left" w:pos="708"/>
        </w:tabs>
        <w:ind w:left="993" w:hanging="574"/>
        <w:jc w:val="both"/>
        <w:rPr>
          <w:rFonts w:ascii="Times New Roman" w:hAnsi="Times New Roman" w:cs="Times New Roman"/>
          <w:i/>
        </w:rPr>
      </w:pPr>
      <w:r w:rsidRPr="002D2489">
        <w:rPr>
          <w:rFonts w:ascii="Times New Roman" w:hAnsi="Times New Roman" w:cs="Times New Roman"/>
        </w:rPr>
        <w:t xml:space="preserve">Vasúti szállítások tervezésének, szervezésének és végrehajtásának rendje. </w:t>
      </w:r>
      <w:r w:rsidRPr="00F97F56">
        <w:rPr>
          <w:rFonts w:ascii="Times New Roman" w:hAnsi="Times New Roman" w:cs="Times New Roman"/>
          <w:i/>
        </w:rPr>
        <w:t>(</w:t>
      </w:r>
      <w:r w:rsidRPr="00F97F56">
        <w:rPr>
          <w:rStyle w:val="tlid-translation"/>
          <w:rFonts w:ascii="Times New Roman" w:hAnsi="Times New Roman" w:cs="Times New Roman"/>
          <w:i/>
          <w:lang w:val="en"/>
        </w:rPr>
        <w:t>Arrangements for planning, organizing and carrying out rail transport operations.)</w:t>
      </w:r>
    </w:p>
    <w:p w:rsidR="002D2489" w:rsidRPr="00F97F56" w:rsidRDefault="002D2489" w:rsidP="00980876">
      <w:pPr>
        <w:pStyle w:val="lfej"/>
        <w:numPr>
          <w:ilvl w:val="1"/>
          <w:numId w:val="295"/>
        </w:numPr>
        <w:tabs>
          <w:tab w:val="left" w:pos="708"/>
        </w:tabs>
        <w:ind w:left="993" w:hanging="574"/>
        <w:jc w:val="both"/>
        <w:rPr>
          <w:rFonts w:ascii="Times New Roman" w:hAnsi="Times New Roman" w:cs="Times New Roman"/>
          <w:i/>
        </w:rPr>
      </w:pPr>
      <w:r w:rsidRPr="002D2489">
        <w:rPr>
          <w:rFonts w:ascii="Times New Roman" w:hAnsi="Times New Roman" w:cs="Times New Roman"/>
        </w:rPr>
        <w:t xml:space="preserve">Vasúti szállítások okmányai. </w:t>
      </w:r>
      <w:r w:rsidRPr="00F97F56">
        <w:rPr>
          <w:rFonts w:ascii="Times New Roman" w:hAnsi="Times New Roman" w:cs="Times New Roman"/>
          <w:i/>
        </w:rPr>
        <w:t>(</w:t>
      </w:r>
      <w:r w:rsidRPr="00F97F56">
        <w:rPr>
          <w:rStyle w:val="tlid-translation"/>
          <w:rFonts w:ascii="Times New Roman" w:hAnsi="Times New Roman" w:cs="Times New Roman"/>
          <w:i/>
          <w:lang w:val="en"/>
        </w:rPr>
        <w:t>Rail Transport Documents.)</w:t>
      </w:r>
    </w:p>
    <w:p w:rsidR="002D2489" w:rsidRPr="00F97F56" w:rsidRDefault="002D2489" w:rsidP="00980876">
      <w:pPr>
        <w:pStyle w:val="lfej"/>
        <w:numPr>
          <w:ilvl w:val="1"/>
          <w:numId w:val="295"/>
        </w:numPr>
        <w:tabs>
          <w:tab w:val="left" w:pos="708"/>
        </w:tabs>
        <w:ind w:left="993" w:hanging="574"/>
        <w:jc w:val="both"/>
        <w:rPr>
          <w:rFonts w:ascii="Times New Roman" w:hAnsi="Times New Roman" w:cs="Times New Roman"/>
          <w:i/>
        </w:rPr>
      </w:pPr>
      <w:r w:rsidRPr="002D2489">
        <w:rPr>
          <w:rFonts w:ascii="Times New Roman" w:hAnsi="Times New Roman" w:cs="Times New Roman"/>
        </w:rPr>
        <w:t>A szállítmányok parancsnoki és szolgálati közegei.</w:t>
      </w:r>
      <w:r w:rsidRPr="002D2489">
        <w:rPr>
          <w:rStyle w:val="tlid-translation"/>
          <w:rFonts w:ascii="Times New Roman" w:hAnsi="Times New Roman" w:cs="Times New Roman"/>
          <w:lang w:val="en"/>
        </w:rPr>
        <w:t xml:space="preserve"> </w:t>
      </w:r>
      <w:r w:rsidRPr="00F97F56">
        <w:rPr>
          <w:rStyle w:val="tlid-translation"/>
          <w:rFonts w:ascii="Times New Roman" w:hAnsi="Times New Roman" w:cs="Times New Roman"/>
          <w:i/>
          <w:lang w:val="en"/>
        </w:rPr>
        <w:t>(Command and service media for shipments.)</w:t>
      </w:r>
    </w:p>
    <w:p w:rsidR="002D2489" w:rsidRPr="00F97F56" w:rsidRDefault="002D2489" w:rsidP="00980876">
      <w:pPr>
        <w:pStyle w:val="lfej"/>
        <w:numPr>
          <w:ilvl w:val="1"/>
          <w:numId w:val="295"/>
        </w:numPr>
        <w:tabs>
          <w:tab w:val="left" w:pos="708"/>
        </w:tabs>
        <w:ind w:left="993" w:hanging="574"/>
        <w:jc w:val="both"/>
        <w:rPr>
          <w:rFonts w:ascii="Times New Roman" w:hAnsi="Times New Roman" w:cs="Times New Roman"/>
          <w:i/>
        </w:rPr>
      </w:pPr>
      <w:r w:rsidRPr="002D2489">
        <w:rPr>
          <w:rFonts w:ascii="Times New Roman" w:hAnsi="Times New Roman" w:cs="Times New Roman"/>
        </w:rPr>
        <w:t xml:space="preserve">A rakodás, valamint a katonavonatok összeállításának szabályai. </w:t>
      </w:r>
      <w:r w:rsidRPr="00F97F56">
        <w:rPr>
          <w:rFonts w:ascii="Times New Roman" w:hAnsi="Times New Roman" w:cs="Times New Roman"/>
          <w:i/>
        </w:rPr>
        <w:t>(</w:t>
      </w:r>
      <w:r w:rsidRPr="00F97F56">
        <w:rPr>
          <w:rStyle w:val="tlid-translation"/>
          <w:rFonts w:ascii="Times New Roman" w:hAnsi="Times New Roman" w:cs="Times New Roman"/>
          <w:i/>
          <w:lang w:val="en"/>
        </w:rPr>
        <w:t>Rules of loading and assembly of military trains.)</w:t>
      </w:r>
    </w:p>
    <w:p w:rsidR="002D2489" w:rsidRPr="00F97F56" w:rsidRDefault="002D2489" w:rsidP="00980876">
      <w:pPr>
        <w:pStyle w:val="lfej"/>
        <w:numPr>
          <w:ilvl w:val="1"/>
          <w:numId w:val="295"/>
        </w:numPr>
        <w:tabs>
          <w:tab w:val="left" w:pos="708"/>
        </w:tabs>
        <w:ind w:left="993" w:hanging="574"/>
        <w:jc w:val="both"/>
        <w:rPr>
          <w:rFonts w:ascii="Times New Roman" w:hAnsi="Times New Roman" w:cs="Times New Roman"/>
          <w:i/>
        </w:rPr>
      </w:pPr>
      <w:r w:rsidRPr="002D2489">
        <w:rPr>
          <w:rFonts w:ascii="Times New Roman" w:hAnsi="Times New Roman" w:cs="Times New Roman"/>
        </w:rPr>
        <w:t>A katonai vasúti szállítás biztonsági rendszabályai.</w:t>
      </w:r>
      <w:r w:rsidRPr="002D2489">
        <w:rPr>
          <w:rStyle w:val="tlid-translation"/>
          <w:rFonts w:ascii="Times New Roman" w:hAnsi="Times New Roman" w:cs="Times New Roman"/>
          <w:lang w:val="en"/>
        </w:rPr>
        <w:t xml:space="preserve"> </w:t>
      </w:r>
      <w:r w:rsidRPr="00F97F56">
        <w:rPr>
          <w:rStyle w:val="tlid-translation"/>
          <w:rFonts w:ascii="Times New Roman" w:hAnsi="Times New Roman" w:cs="Times New Roman"/>
          <w:i/>
          <w:lang w:val="en"/>
        </w:rPr>
        <w:t>(Safety rules for military rail transport.)</w:t>
      </w:r>
    </w:p>
    <w:p w:rsidR="002D2489" w:rsidRPr="00F97F56" w:rsidRDefault="002D2489" w:rsidP="00980876">
      <w:pPr>
        <w:pStyle w:val="lfej"/>
        <w:numPr>
          <w:ilvl w:val="1"/>
          <w:numId w:val="295"/>
        </w:numPr>
        <w:tabs>
          <w:tab w:val="left" w:pos="708"/>
        </w:tabs>
        <w:ind w:left="993" w:hanging="574"/>
        <w:jc w:val="both"/>
        <w:rPr>
          <w:rFonts w:ascii="Times New Roman" w:hAnsi="Times New Roman" w:cs="Times New Roman"/>
          <w:i/>
        </w:rPr>
      </w:pPr>
      <w:r w:rsidRPr="002D2489">
        <w:rPr>
          <w:rFonts w:ascii="Times New Roman" w:hAnsi="Times New Roman" w:cs="Times New Roman"/>
        </w:rPr>
        <w:t>Vasúti rakodási gyakorlat tervezése, szervezése és végrehajtása.</w:t>
      </w:r>
      <w:r w:rsidRPr="002D2489">
        <w:rPr>
          <w:rStyle w:val="tlid-translation"/>
          <w:rFonts w:ascii="Times New Roman" w:hAnsi="Times New Roman" w:cs="Times New Roman"/>
          <w:lang w:val="en"/>
        </w:rPr>
        <w:t xml:space="preserve"> </w:t>
      </w:r>
      <w:r w:rsidRPr="00F97F56">
        <w:rPr>
          <w:rStyle w:val="tlid-translation"/>
          <w:rFonts w:ascii="Times New Roman" w:hAnsi="Times New Roman" w:cs="Times New Roman"/>
          <w:i/>
          <w:lang w:val="en"/>
        </w:rPr>
        <w:t>(Design, organization and execution of railway loading practices.)</w:t>
      </w:r>
    </w:p>
    <w:p w:rsidR="002D2489" w:rsidRPr="00F97F56" w:rsidRDefault="002D2489" w:rsidP="00980876">
      <w:pPr>
        <w:pStyle w:val="lfej"/>
        <w:numPr>
          <w:ilvl w:val="1"/>
          <w:numId w:val="295"/>
        </w:numPr>
        <w:tabs>
          <w:tab w:val="left" w:pos="708"/>
        </w:tabs>
        <w:ind w:left="993" w:hanging="574"/>
        <w:jc w:val="both"/>
        <w:rPr>
          <w:rFonts w:ascii="Times New Roman" w:hAnsi="Times New Roman" w:cs="Times New Roman"/>
          <w:i/>
        </w:rPr>
      </w:pPr>
      <w:r w:rsidRPr="002D2489">
        <w:rPr>
          <w:rFonts w:ascii="Times New Roman" w:hAnsi="Times New Roman" w:cs="Times New Roman"/>
        </w:rPr>
        <w:lastRenderedPageBreak/>
        <w:t>Katonai anyagszállítmányok kísérése.</w:t>
      </w:r>
      <w:r w:rsidRPr="002D2489">
        <w:rPr>
          <w:rStyle w:val="tlid-translation"/>
          <w:rFonts w:ascii="Times New Roman" w:hAnsi="Times New Roman" w:cs="Times New Roman"/>
          <w:lang w:val="en"/>
        </w:rPr>
        <w:t xml:space="preserve"> </w:t>
      </w:r>
      <w:r w:rsidRPr="00F97F56">
        <w:rPr>
          <w:rStyle w:val="tlid-translation"/>
          <w:rFonts w:ascii="Times New Roman" w:hAnsi="Times New Roman" w:cs="Times New Roman"/>
          <w:i/>
          <w:lang w:val="en"/>
        </w:rPr>
        <w:t>(Accompanying military shipments.)</w:t>
      </w:r>
    </w:p>
    <w:p w:rsidR="002D2489" w:rsidRPr="00F97F56" w:rsidRDefault="002D2489" w:rsidP="00980876">
      <w:pPr>
        <w:pStyle w:val="lfej"/>
        <w:numPr>
          <w:ilvl w:val="1"/>
          <w:numId w:val="295"/>
        </w:numPr>
        <w:tabs>
          <w:tab w:val="left" w:pos="708"/>
        </w:tabs>
        <w:ind w:left="993" w:hanging="574"/>
        <w:jc w:val="both"/>
        <w:rPr>
          <w:rFonts w:ascii="Times New Roman" w:hAnsi="Times New Roman" w:cs="Times New Roman"/>
          <w:i/>
        </w:rPr>
      </w:pPr>
      <w:r w:rsidRPr="002D2489">
        <w:rPr>
          <w:rFonts w:ascii="Times New Roman" w:hAnsi="Times New Roman" w:cs="Times New Roman"/>
        </w:rPr>
        <w:t>Nemzetközi környezetben végrehajtott katonai vasúti szállítások szervezésének sajátosságai.</w:t>
      </w:r>
      <w:r w:rsidRPr="002D2489">
        <w:rPr>
          <w:rStyle w:val="tlid-translation"/>
          <w:rFonts w:ascii="Times New Roman" w:hAnsi="Times New Roman" w:cs="Times New Roman"/>
          <w:lang w:val="en"/>
        </w:rPr>
        <w:t xml:space="preserve"> </w:t>
      </w:r>
      <w:r w:rsidRPr="00F97F56">
        <w:rPr>
          <w:rStyle w:val="tlid-translation"/>
          <w:rFonts w:ascii="Times New Roman" w:hAnsi="Times New Roman" w:cs="Times New Roman"/>
          <w:i/>
          <w:lang w:val="en"/>
        </w:rPr>
        <w:t>(Features of organizing military rail transport in an international environment.)</w:t>
      </w:r>
    </w:p>
    <w:p w:rsidR="002D2489" w:rsidRPr="00F97F56" w:rsidRDefault="002D2489" w:rsidP="00980876">
      <w:pPr>
        <w:pStyle w:val="lfej"/>
        <w:numPr>
          <w:ilvl w:val="1"/>
          <w:numId w:val="295"/>
        </w:numPr>
        <w:tabs>
          <w:tab w:val="left" w:pos="708"/>
        </w:tabs>
        <w:ind w:left="993" w:hanging="574"/>
        <w:jc w:val="both"/>
        <w:rPr>
          <w:rFonts w:ascii="Times New Roman" w:hAnsi="Times New Roman" w:cs="Times New Roman"/>
          <w:bCs/>
          <w:i/>
        </w:rPr>
      </w:pPr>
      <w:r w:rsidRPr="002D2489">
        <w:rPr>
          <w:rFonts w:ascii="Times New Roman" w:hAnsi="Times New Roman" w:cs="Times New Roman"/>
          <w:bCs/>
        </w:rPr>
        <w:t>Zárthelyi dolgozat</w:t>
      </w:r>
      <w:r w:rsidRPr="00F97F56">
        <w:rPr>
          <w:rFonts w:ascii="Times New Roman" w:hAnsi="Times New Roman" w:cs="Times New Roman"/>
          <w:bCs/>
          <w:i/>
        </w:rPr>
        <w:t>. (Closed thesis.)</w:t>
      </w:r>
    </w:p>
    <w:p w:rsidR="002D2489" w:rsidRPr="002D2489" w:rsidRDefault="002D2489" w:rsidP="00980876">
      <w:pPr>
        <w:widowControl w:val="0"/>
        <w:numPr>
          <w:ilvl w:val="0"/>
          <w:numId w:val="295"/>
        </w:numPr>
        <w:tabs>
          <w:tab w:val="num" w:pos="360"/>
        </w:tabs>
        <w:spacing w:before="120" w:after="120" w:line="240" w:lineRule="auto"/>
        <w:ind w:left="426" w:hanging="142"/>
        <w:jc w:val="both"/>
        <w:rPr>
          <w:rFonts w:ascii="Times New Roman" w:eastAsia="Times New Roman" w:hAnsi="Times New Roman" w:cs="Times New Roman"/>
          <w:bCs/>
        </w:rPr>
      </w:pPr>
      <w:r w:rsidRPr="002D2489">
        <w:rPr>
          <w:rFonts w:ascii="Times New Roman" w:eastAsia="Times New Roman" w:hAnsi="Times New Roman" w:cs="Times New Roman"/>
          <w:b/>
          <w:bCs/>
        </w:rPr>
        <w:t xml:space="preserve">A tantárgy meghirdetésének gyakorisága/a tantervben történő félévi elhelyezkedése: </w:t>
      </w:r>
      <w:r w:rsidRPr="002D2489">
        <w:rPr>
          <w:rFonts w:ascii="Times New Roman" w:eastAsia="Times New Roman" w:hAnsi="Times New Roman" w:cs="Times New Roman"/>
          <w:bCs/>
        </w:rPr>
        <w:t>7. félév</w:t>
      </w:r>
    </w:p>
    <w:p w:rsidR="002D2489" w:rsidRPr="002D2489" w:rsidRDefault="002D2489" w:rsidP="00980876">
      <w:pPr>
        <w:widowControl w:val="0"/>
        <w:numPr>
          <w:ilvl w:val="0"/>
          <w:numId w:val="295"/>
        </w:numPr>
        <w:tabs>
          <w:tab w:val="num" w:pos="360"/>
        </w:tabs>
        <w:spacing w:before="120" w:after="120" w:line="240" w:lineRule="auto"/>
        <w:ind w:left="426" w:hanging="142"/>
        <w:jc w:val="both"/>
        <w:rPr>
          <w:rFonts w:ascii="Times New Roman" w:eastAsia="Times New Roman" w:hAnsi="Times New Roman" w:cs="Times New Roman"/>
          <w:bCs/>
        </w:rPr>
      </w:pPr>
      <w:r w:rsidRPr="002D2489">
        <w:rPr>
          <w:rFonts w:ascii="Times New Roman" w:eastAsia="Times New Roman" w:hAnsi="Times New Roman" w:cs="Times New Roman"/>
          <w:b/>
          <w:bCs/>
        </w:rPr>
        <w:t>A tanórákon való részvétel követelményei, az elfogadható hiányzások mértéke, a távolmaradás pótlásának lehetősége:</w:t>
      </w:r>
      <w:r w:rsidRPr="002D2489">
        <w:rPr>
          <w:rFonts w:ascii="Times New Roman" w:eastAsia="Times New Roman" w:hAnsi="Times New Roman" w:cs="Times New Roman"/>
          <w:bCs/>
        </w:rPr>
        <w:t xml:space="preserve"> </w:t>
      </w:r>
    </w:p>
    <w:p w:rsidR="002D2489" w:rsidRPr="002D2489" w:rsidRDefault="002D2489" w:rsidP="002D2489">
      <w:pPr>
        <w:widowControl w:val="0"/>
        <w:spacing w:before="120" w:after="120" w:line="240" w:lineRule="auto"/>
        <w:ind w:left="426"/>
        <w:jc w:val="both"/>
        <w:rPr>
          <w:rFonts w:ascii="Times New Roman" w:eastAsia="Times New Roman" w:hAnsi="Times New Roman" w:cs="Times New Roman"/>
          <w:bCs/>
          <w:highlight w:val="lightGray"/>
        </w:rPr>
      </w:pPr>
      <w:r w:rsidRPr="002D2489">
        <w:rPr>
          <w:rFonts w:ascii="Times New Roman" w:eastAsia="Times New Roman" w:hAnsi="Times New Roman" w:cs="Times New Roman"/>
          <w:bCs/>
          <w:lang w:eastAsia="hu-HU"/>
        </w:rPr>
        <w:t>A tanórákon való részvétel kötelező, megengedett hiányzás mértéke 25%. Hiányzás esetén órapótlásra nincs lehetőség, a hallgató az előadás anyagát önállóan pótolja. A 25%-ot meghaladó hiányzás az aláírás megtagadását vonja maga után.</w:t>
      </w:r>
    </w:p>
    <w:p w:rsidR="002D2489" w:rsidRPr="002D2489" w:rsidRDefault="002D2489" w:rsidP="00980876">
      <w:pPr>
        <w:widowControl w:val="0"/>
        <w:numPr>
          <w:ilvl w:val="0"/>
          <w:numId w:val="295"/>
        </w:numPr>
        <w:tabs>
          <w:tab w:val="num" w:pos="360"/>
        </w:tabs>
        <w:spacing w:before="120" w:after="120" w:line="240" w:lineRule="auto"/>
        <w:ind w:left="426" w:hanging="142"/>
        <w:jc w:val="both"/>
        <w:rPr>
          <w:rFonts w:ascii="Times New Roman" w:eastAsia="Times New Roman" w:hAnsi="Times New Roman" w:cs="Times New Roman"/>
          <w:bCs/>
        </w:rPr>
      </w:pPr>
      <w:r w:rsidRPr="002D2489">
        <w:rPr>
          <w:rFonts w:ascii="Times New Roman" w:eastAsia="Times New Roman" w:hAnsi="Times New Roman" w:cs="Times New Roman"/>
          <w:b/>
        </w:rPr>
        <w:t>Félévközi feladatok, ismeretek ellenőrzésének rendje:</w:t>
      </w:r>
      <w:r w:rsidRPr="002D2489">
        <w:rPr>
          <w:rFonts w:ascii="Times New Roman" w:eastAsia="Times New Roman" w:hAnsi="Times New Roman" w:cs="Times New Roman"/>
          <w:bCs/>
        </w:rPr>
        <w:t xml:space="preserve"> </w:t>
      </w:r>
    </w:p>
    <w:p w:rsidR="002D2489" w:rsidRPr="002D2489" w:rsidRDefault="002D2489" w:rsidP="002D2489">
      <w:pPr>
        <w:widowControl w:val="0"/>
        <w:spacing w:before="120" w:after="120" w:line="240" w:lineRule="auto"/>
        <w:ind w:left="426"/>
        <w:jc w:val="both"/>
        <w:rPr>
          <w:rFonts w:ascii="Times New Roman" w:eastAsia="Times New Roman" w:hAnsi="Times New Roman" w:cs="Times New Roman"/>
          <w:lang w:eastAsia="x-none"/>
        </w:rPr>
      </w:pPr>
      <w:r w:rsidRPr="002D2489">
        <w:rPr>
          <w:rFonts w:ascii="Times New Roman" w:eastAsia="Times New Roman" w:hAnsi="Times New Roman" w:cs="Times New Roman"/>
          <w:lang w:val="x-none" w:eastAsia="x-none"/>
        </w:rPr>
        <w:t>A félév során egy zárthelyi dolgozatot ke</w:t>
      </w:r>
      <w:r w:rsidRPr="002D2489">
        <w:rPr>
          <w:rFonts w:ascii="Times New Roman" w:eastAsia="Times New Roman" w:hAnsi="Times New Roman" w:cs="Times New Roman"/>
          <w:lang w:eastAsia="x-none"/>
        </w:rPr>
        <w:t>l</w:t>
      </w:r>
      <w:r w:rsidRPr="002D2489">
        <w:rPr>
          <w:rFonts w:ascii="Times New Roman" w:eastAsia="Times New Roman" w:hAnsi="Times New Roman" w:cs="Times New Roman"/>
          <w:lang w:val="x-none" w:eastAsia="x-none"/>
        </w:rPr>
        <w:t>l megír</w:t>
      </w:r>
      <w:r w:rsidRPr="002D2489">
        <w:rPr>
          <w:rFonts w:ascii="Times New Roman" w:eastAsia="Times New Roman" w:hAnsi="Times New Roman" w:cs="Times New Roman"/>
          <w:lang w:eastAsia="x-none"/>
        </w:rPr>
        <w:t>ni</w:t>
      </w:r>
      <w:r w:rsidRPr="002D2489">
        <w:rPr>
          <w:rFonts w:ascii="Times New Roman" w:eastAsia="Times New Roman" w:hAnsi="Times New Roman" w:cs="Times New Roman"/>
          <w:lang w:val="x-none" w:eastAsia="x-none"/>
        </w:rPr>
        <w:t xml:space="preserve">. </w:t>
      </w:r>
      <w:r w:rsidRPr="002D2489">
        <w:rPr>
          <w:rFonts w:ascii="Times New Roman" w:eastAsia="Times New Roman" w:hAnsi="Times New Roman" w:cs="Times New Roman"/>
          <w:lang w:eastAsia="x-none"/>
        </w:rPr>
        <w:t xml:space="preserve">A zárthelyi dolgozat ötfokozatú skálán értékelendő, 50%+1 pont elégséges, 60% közepes, 75% jó, 90% jeles. </w:t>
      </w:r>
      <w:r w:rsidRPr="002D2489">
        <w:rPr>
          <w:rFonts w:ascii="Times New Roman" w:eastAsia="Times New Roman" w:hAnsi="Times New Roman" w:cs="Times New Roman"/>
          <w:lang w:val="x-none" w:eastAsia="x-none"/>
        </w:rPr>
        <w:t xml:space="preserve">Az elégtelen osztályzatra értékelt dolgozatot a szorgalmi és a vizsgaidőszakban is egy-egy alkalommal lehet pótolni. </w:t>
      </w:r>
    </w:p>
    <w:p w:rsidR="002D2489" w:rsidRPr="002D2489" w:rsidRDefault="002D2489" w:rsidP="002D2489">
      <w:pPr>
        <w:widowControl w:val="0"/>
        <w:spacing w:before="120" w:after="120" w:line="240" w:lineRule="auto"/>
        <w:ind w:left="426"/>
        <w:jc w:val="both"/>
        <w:rPr>
          <w:rFonts w:ascii="Times New Roman" w:eastAsia="Times New Roman" w:hAnsi="Times New Roman" w:cs="Times New Roman"/>
          <w:lang w:eastAsia="x-none"/>
        </w:rPr>
      </w:pPr>
      <w:r w:rsidRPr="002D2489">
        <w:rPr>
          <w:rFonts w:ascii="Times New Roman" w:hAnsi="Times New Roman" w:cs="Times New Roman"/>
          <w:lang w:val="x-none" w:eastAsia="x-none"/>
        </w:rPr>
        <w:t xml:space="preserve">A félév során </w:t>
      </w:r>
      <w:r w:rsidRPr="002D2489">
        <w:rPr>
          <w:rFonts w:ascii="Times New Roman" w:hAnsi="Times New Roman" w:cs="Times New Roman"/>
          <w:lang w:eastAsia="x-none"/>
        </w:rPr>
        <w:t>egy</w:t>
      </w:r>
      <w:r w:rsidRPr="002D2489">
        <w:rPr>
          <w:rFonts w:ascii="Times New Roman" w:hAnsi="Times New Roman" w:cs="Times New Roman"/>
          <w:lang w:val="x-none" w:eastAsia="x-none"/>
        </w:rPr>
        <w:t xml:space="preserve"> házi feladatot kell elkészíteni minimálisan 1</w:t>
      </w:r>
      <w:r w:rsidR="00F97F56">
        <w:rPr>
          <w:rFonts w:ascii="Times New Roman" w:hAnsi="Times New Roman" w:cs="Times New Roman"/>
          <w:lang w:eastAsia="x-none"/>
        </w:rPr>
        <w:t>5</w:t>
      </w:r>
      <w:r w:rsidRPr="002D2489">
        <w:rPr>
          <w:rFonts w:ascii="Times New Roman" w:hAnsi="Times New Roman" w:cs="Times New Roman"/>
          <w:lang w:val="x-none" w:eastAsia="x-none"/>
        </w:rPr>
        <w:t xml:space="preserve"> oldal</w:t>
      </w:r>
      <w:r w:rsidRPr="002D2489">
        <w:rPr>
          <w:rFonts w:ascii="Times New Roman" w:hAnsi="Times New Roman" w:cs="Times New Roman"/>
          <w:b/>
          <w:lang w:val="x-none" w:eastAsia="x-none"/>
        </w:rPr>
        <w:t xml:space="preserve"> </w:t>
      </w:r>
      <w:r w:rsidRPr="002D2489">
        <w:rPr>
          <w:rFonts w:ascii="Times New Roman" w:hAnsi="Times New Roman" w:cs="Times New Roman"/>
          <w:lang w:val="x-none" w:eastAsia="x-none"/>
        </w:rPr>
        <w:t xml:space="preserve">terjedelemben, a szakdolgozatnak megfelelő formai követelményekkel </w:t>
      </w:r>
      <w:r w:rsidRPr="002D2489">
        <w:rPr>
          <w:rFonts w:ascii="Times New Roman" w:hAnsi="Times New Roman" w:cs="Times New Roman"/>
        </w:rPr>
        <w:t>(TVSZ 5. melléklet)</w:t>
      </w:r>
      <w:r w:rsidRPr="002D2489">
        <w:rPr>
          <w:rFonts w:ascii="Times New Roman" w:hAnsi="Times New Roman" w:cs="Times New Roman"/>
          <w:lang w:val="x-none" w:eastAsia="x-none"/>
        </w:rPr>
        <w:t xml:space="preserve">. </w:t>
      </w:r>
      <w:r w:rsidRPr="002D2489">
        <w:rPr>
          <w:rFonts w:ascii="Times New Roman" w:hAnsi="Times New Roman" w:cs="Times New Roman"/>
          <w:lang w:eastAsia="x-none"/>
        </w:rPr>
        <w:t>A 1</w:t>
      </w:r>
      <w:r w:rsidR="00F97F56">
        <w:rPr>
          <w:rFonts w:ascii="Times New Roman" w:hAnsi="Times New Roman" w:cs="Times New Roman"/>
          <w:lang w:eastAsia="x-none"/>
        </w:rPr>
        <w:t>5</w:t>
      </w:r>
      <w:r w:rsidRPr="002D2489">
        <w:rPr>
          <w:rFonts w:ascii="Times New Roman" w:hAnsi="Times New Roman" w:cs="Times New Roman"/>
          <w:lang w:eastAsia="x-none"/>
        </w:rPr>
        <w:t xml:space="preserve"> oldal terjedelembe a bevezető, a fő rész és a befejezés tartozik csak. </w:t>
      </w:r>
      <w:r w:rsidRPr="002D2489">
        <w:rPr>
          <w:rFonts w:ascii="Times New Roman" w:hAnsi="Times New Roman" w:cs="Times New Roman"/>
          <w:lang w:val="x-none" w:eastAsia="x-none"/>
        </w:rPr>
        <w:t>Az írásbeli munka témáját a hallgató választja</w:t>
      </w:r>
      <w:r w:rsidRPr="002D2489">
        <w:rPr>
          <w:rFonts w:ascii="Times New Roman" w:hAnsi="Times New Roman" w:cs="Times New Roman"/>
          <w:lang w:eastAsia="x-none"/>
        </w:rPr>
        <w:t>,</w:t>
      </w:r>
      <w:r w:rsidRPr="002D2489">
        <w:rPr>
          <w:rFonts w:ascii="Times New Roman" w:hAnsi="Times New Roman" w:cs="Times New Roman"/>
          <w:lang w:val="x-none" w:eastAsia="x-none"/>
        </w:rPr>
        <w:t xml:space="preserve"> a kurzus oktatója </w:t>
      </w:r>
      <w:r w:rsidRPr="002D2489">
        <w:rPr>
          <w:rFonts w:ascii="Times New Roman" w:hAnsi="Times New Roman" w:cs="Times New Roman"/>
          <w:lang w:eastAsia="x-none"/>
        </w:rPr>
        <w:t>jóváhagyja</w:t>
      </w:r>
      <w:r w:rsidRPr="002D2489">
        <w:rPr>
          <w:rFonts w:ascii="Times New Roman" w:hAnsi="Times New Roman" w:cs="Times New Roman"/>
          <w:lang w:val="x-none" w:eastAsia="x-none"/>
        </w:rPr>
        <w:t xml:space="preserve">. A szorgalmi időszakban a beadási határidőig leadott feladat </w:t>
      </w:r>
      <w:r w:rsidRPr="002D2489">
        <w:rPr>
          <w:rFonts w:ascii="Times New Roman" w:hAnsi="Times New Roman" w:cs="Times New Roman"/>
          <w:lang w:eastAsia="x-none"/>
        </w:rPr>
        <w:t>ötfokozatú skálán értékelendő</w:t>
      </w:r>
      <w:r w:rsidRPr="002D2489">
        <w:rPr>
          <w:rFonts w:ascii="Times New Roman" w:hAnsi="Times New Roman" w:cs="Times New Roman"/>
          <w:lang w:val="x-none" w:eastAsia="x-none"/>
        </w:rPr>
        <w:t>, azt javítani a vizsgaidőszak első hetén egy alkalommal lehet.</w:t>
      </w:r>
    </w:p>
    <w:p w:rsidR="002D2489" w:rsidRPr="002D2489" w:rsidRDefault="002D2489" w:rsidP="00980876">
      <w:pPr>
        <w:widowControl w:val="0"/>
        <w:numPr>
          <w:ilvl w:val="0"/>
          <w:numId w:val="295"/>
        </w:numPr>
        <w:spacing w:before="120" w:after="120" w:line="240" w:lineRule="auto"/>
        <w:ind w:left="426" w:hanging="142"/>
        <w:jc w:val="both"/>
        <w:rPr>
          <w:rFonts w:ascii="Times New Roman" w:eastAsia="Times New Roman" w:hAnsi="Times New Roman" w:cs="Times New Roman"/>
          <w:b/>
          <w:bCs/>
        </w:rPr>
      </w:pPr>
      <w:r w:rsidRPr="002D2489">
        <w:rPr>
          <w:rFonts w:ascii="Times New Roman" w:eastAsia="Times New Roman" w:hAnsi="Times New Roman" w:cs="Times New Roman"/>
          <w:b/>
          <w:bCs/>
        </w:rPr>
        <w:t xml:space="preserve">Az értékelés, az aláírás és a kreditek megszerzésének pontos feltételei: </w:t>
      </w:r>
    </w:p>
    <w:p w:rsidR="002D2489" w:rsidRPr="002D2489" w:rsidRDefault="002D2489" w:rsidP="00980876">
      <w:pPr>
        <w:widowControl w:val="0"/>
        <w:numPr>
          <w:ilvl w:val="1"/>
          <w:numId w:val="295"/>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2D2489">
        <w:rPr>
          <w:rFonts w:ascii="Times New Roman" w:eastAsia="Times New Roman" w:hAnsi="Times New Roman" w:cs="Times New Roman"/>
          <w:b/>
        </w:rPr>
        <w:t>Az aláírás megszerzésének feltételei:</w:t>
      </w:r>
      <w:r w:rsidRPr="002D2489">
        <w:rPr>
          <w:rFonts w:ascii="Times New Roman" w:eastAsia="Times New Roman" w:hAnsi="Times New Roman" w:cs="Times New Roman"/>
        </w:rPr>
        <w:t xml:space="preserve"> </w:t>
      </w:r>
    </w:p>
    <w:p w:rsidR="002D2489" w:rsidRPr="002D2489" w:rsidRDefault="002D2489" w:rsidP="002D2489">
      <w:pPr>
        <w:widowControl w:val="0"/>
        <w:spacing w:before="120" w:after="120" w:line="240" w:lineRule="auto"/>
        <w:ind w:left="426"/>
        <w:jc w:val="both"/>
        <w:rPr>
          <w:rFonts w:ascii="Times New Roman" w:hAnsi="Times New Roman" w:cs="Times New Roman"/>
          <w:lang w:val="x-none" w:eastAsia="x-none"/>
        </w:rPr>
      </w:pPr>
      <w:r w:rsidRPr="002D2489">
        <w:rPr>
          <w:rFonts w:ascii="Times New Roman" w:hAnsi="Times New Roman" w:cs="Times New Roman"/>
          <w:lang w:val="x-none" w:eastAsia="x-none"/>
        </w:rPr>
        <w:t>Az aláírás megszerzésnek feltétele a zárthelyi dolgozat legalább elégséges szinten történő teljesítése (min 50%+1 pont), a kapott féléves feladat határidőre történő leadása és minimálisan elégséges szintű teljesítése, illetve a tanórák legalább 75%-án való megjelenés.</w:t>
      </w:r>
    </w:p>
    <w:p w:rsidR="002D2489" w:rsidRPr="00F97F56" w:rsidRDefault="002D2489" w:rsidP="00980876">
      <w:pPr>
        <w:widowControl w:val="0"/>
        <w:numPr>
          <w:ilvl w:val="1"/>
          <w:numId w:val="295"/>
        </w:numPr>
        <w:tabs>
          <w:tab w:val="left" w:pos="709"/>
          <w:tab w:val="left" w:pos="993"/>
          <w:tab w:val="num" w:pos="2069"/>
        </w:tabs>
        <w:spacing w:before="120" w:after="120" w:line="240" w:lineRule="auto"/>
        <w:ind w:left="426" w:firstLine="0"/>
        <w:jc w:val="both"/>
        <w:rPr>
          <w:rFonts w:ascii="Times New Roman" w:hAnsi="Times New Roman" w:cs="Times New Roman"/>
          <w:lang w:val="x-none" w:eastAsia="x-none"/>
        </w:rPr>
      </w:pPr>
      <w:r w:rsidRPr="00F97F56">
        <w:rPr>
          <w:rFonts w:ascii="Times New Roman" w:eastAsia="Times New Roman" w:hAnsi="Times New Roman" w:cs="Times New Roman"/>
          <w:b/>
        </w:rPr>
        <w:t>Az értékelés:</w:t>
      </w:r>
      <w:r w:rsidRPr="00F97F56">
        <w:rPr>
          <w:rFonts w:ascii="Times New Roman" w:eastAsia="Times New Roman" w:hAnsi="Times New Roman" w:cs="Times New Roman"/>
        </w:rPr>
        <w:t xml:space="preserve"> </w:t>
      </w:r>
      <w:r w:rsidRPr="00F97F56">
        <w:rPr>
          <w:rFonts w:ascii="Times New Roman" w:hAnsi="Times New Roman" w:cs="Times New Roman"/>
          <w:lang w:val="x-none" w:eastAsia="x-none"/>
        </w:rPr>
        <w:t xml:space="preserve">A félév végén a </w:t>
      </w:r>
      <w:r w:rsidRPr="00F97F56">
        <w:rPr>
          <w:rFonts w:ascii="Times New Roman" w:hAnsi="Times New Roman" w:cs="Times New Roman"/>
          <w:b/>
          <w:lang w:val="x-none" w:eastAsia="x-none"/>
        </w:rPr>
        <w:t>kollokvium</w:t>
      </w:r>
      <w:r w:rsidRPr="00F97F56">
        <w:rPr>
          <w:rFonts w:ascii="Times New Roman" w:hAnsi="Times New Roman" w:cs="Times New Roman"/>
          <w:lang w:val="x-none" w:eastAsia="x-none"/>
        </w:rPr>
        <w:t xml:space="preserve"> szóbeli, amelynek eredményébe a félévközi munka beszámítható. A kollokviumra a hallgatók csak felkészülési témaköröket kapnak kézhez, melyek felölelik a félév teljes tananyagát és a vizsgatételek kérdéseit. A kollokviumon a hallgató a vizsgatétel ismertetésére kapott osztályzata alapján ötfokozatú skálán értékelendő. Ha a vizsgáztató nem győződött meg a hallgató felkészültségéről a vizsgatétel alapján, kérdéseket tehet fel a félév tananyagából, amelyek a kollokvium érdemjegyébe beleszámítandók.</w:t>
      </w:r>
    </w:p>
    <w:p w:rsidR="002D2489" w:rsidRPr="002D2489" w:rsidRDefault="002D2489" w:rsidP="00980876">
      <w:pPr>
        <w:widowControl w:val="0"/>
        <w:numPr>
          <w:ilvl w:val="1"/>
          <w:numId w:val="295"/>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2D2489">
        <w:rPr>
          <w:rFonts w:ascii="Times New Roman" w:eastAsia="Times New Roman" w:hAnsi="Times New Roman" w:cs="Times New Roman"/>
          <w:b/>
        </w:rPr>
        <w:t>A kreditek megszerzésének feltételei:</w:t>
      </w:r>
      <w:r w:rsidRPr="002D2489">
        <w:rPr>
          <w:rFonts w:ascii="Times New Roman" w:eastAsia="Times New Roman" w:hAnsi="Times New Roman" w:cs="Times New Roman"/>
        </w:rPr>
        <w:t xml:space="preserve"> </w:t>
      </w:r>
    </w:p>
    <w:p w:rsidR="002D2489" w:rsidRPr="002D2489" w:rsidRDefault="002D2489" w:rsidP="002D2489">
      <w:pPr>
        <w:widowControl w:val="0"/>
        <w:tabs>
          <w:tab w:val="left" w:pos="993"/>
        </w:tabs>
        <w:spacing w:before="120" w:after="120" w:line="240" w:lineRule="auto"/>
        <w:ind w:left="426"/>
        <w:jc w:val="both"/>
        <w:rPr>
          <w:rFonts w:ascii="Times New Roman" w:eastAsia="Times New Roman" w:hAnsi="Times New Roman" w:cs="Times New Roman"/>
        </w:rPr>
      </w:pPr>
      <w:r w:rsidRPr="002D2489">
        <w:rPr>
          <w:rFonts w:ascii="Times New Roman" w:eastAsia="Times New Roman" w:hAnsi="Times New Roman" w:cs="Times New Roman"/>
        </w:rPr>
        <w:t>A kreditek megszerzésének feltétele az aláírás megszerzése és legalább elégséges vizsgajegy.</w:t>
      </w:r>
    </w:p>
    <w:p w:rsidR="002D2489" w:rsidRPr="002D2489" w:rsidRDefault="002D2489" w:rsidP="00980876">
      <w:pPr>
        <w:widowControl w:val="0"/>
        <w:numPr>
          <w:ilvl w:val="0"/>
          <w:numId w:val="295"/>
        </w:numPr>
        <w:tabs>
          <w:tab w:val="num" w:pos="360"/>
        </w:tabs>
        <w:spacing w:before="120" w:after="120" w:line="240" w:lineRule="auto"/>
        <w:ind w:left="426" w:hanging="142"/>
        <w:jc w:val="both"/>
        <w:rPr>
          <w:rFonts w:ascii="Times New Roman" w:eastAsia="Times New Roman" w:hAnsi="Times New Roman" w:cs="Times New Roman"/>
          <w:bCs/>
        </w:rPr>
      </w:pPr>
      <w:r w:rsidRPr="002D2489">
        <w:rPr>
          <w:rFonts w:ascii="Times New Roman" w:eastAsia="Times New Roman" w:hAnsi="Times New Roman" w:cs="Times New Roman"/>
          <w:b/>
          <w:bCs/>
        </w:rPr>
        <w:t>Irodalomjegyzék:</w:t>
      </w:r>
    </w:p>
    <w:p w:rsidR="002D2489" w:rsidRPr="002D2489" w:rsidRDefault="002D2489" w:rsidP="00980876">
      <w:pPr>
        <w:widowControl w:val="0"/>
        <w:numPr>
          <w:ilvl w:val="1"/>
          <w:numId w:val="295"/>
        </w:numPr>
        <w:tabs>
          <w:tab w:val="left" w:pos="567"/>
          <w:tab w:val="left" w:pos="851"/>
        </w:tabs>
        <w:spacing w:before="120" w:after="120" w:line="240" w:lineRule="auto"/>
        <w:ind w:left="426" w:hanging="142"/>
        <w:jc w:val="both"/>
        <w:rPr>
          <w:rFonts w:ascii="Times New Roman" w:eastAsia="Times New Roman" w:hAnsi="Times New Roman" w:cs="Times New Roman"/>
          <w:bCs/>
        </w:rPr>
      </w:pPr>
      <w:r w:rsidRPr="002D2489">
        <w:rPr>
          <w:rFonts w:ascii="Times New Roman" w:eastAsia="Times New Roman" w:hAnsi="Times New Roman" w:cs="Times New Roman"/>
          <w:b/>
          <w:bCs/>
        </w:rPr>
        <w:t>Kötelező irodalom:</w:t>
      </w:r>
    </w:p>
    <w:p w:rsidR="00472663" w:rsidRPr="00472663" w:rsidRDefault="00472663" w:rsidP="00980876">
      <w:pPr>
        <w:numPr>
          <w:ilvl w:val="0"/>
          <w:numId w:val="296"/>
        </w:numPr>
        <w:spacing w:after="0" w:line="240" w:lineRule="auto"/>
        <w:jc w:val="both"/>
        <w:rPr>
          <w:rFonts w:ascii="Times New Roman" w:hAnsi="Times New Roman" w:cs="Times New Roman"/>
        </w:rPr>
      </w:pPr>
      <w:r w:rsidRPr="00472663">
        <w:rPr>
          <w:rFonts w:ascii="Times New Roman" w:hAnsi="Times New Roman" w:cs="Times New Roman"/>
        </w:rPr>
        <w:t>Magyar Honvédség Összhaderőnemi Doktrína 3. kiadás (A HVK Logisztikai Csoportfőnökség kiadványa, 2015.);</w:t>
      </w:r>
    </w:p>
    <w:p w:rsidR="00472663" w:rsidRPr="00472663" w:rsidRDefault="00472663" w:rsidP="00980876">
      <w:pPr>
        <w:numPr>
          <w:ilvl w:val="0"/>
          <w:numId w:val="296"/>
        </w:numPr>
        <w:spacing w:after="0" w:line="240" w:lineRule="auto"/>
        <w:jc w:val="both"/>
        <w:rPr>
          <w:rFonts w:ascii="Times New Roman" w:hAnsi="Times New Roman" w:cs="Times New Roman"/>
        </w:rPr>
      </w:pPr>
      <w:r w:rsidRPr="00472663">
        <w:rPr>
          <w:rFonts w:ascii="Times New Roman" w:hAnsi="Times New Roman" w:cs="Times New Roman"/>
        </w:rPr>
        <w:t>Magyar Honvédség Közlekedési Támogatás Doktrína Magyar Honvédség (Közlekedési Főnökség kiadványa, Budapest, 2005.);</w:t>
      </w:r>
    </w:p>
    <w:p w:rsidR="002D2489" w:rsidRPr="00472663" w:rsidRDefault="00173AA6" w:rsidP="00980876">
      <w:pPr>
        <w:numPr>
          <w:ilvl w:val="0"/>
          <w:numId w:val="296"/>
        </w:numPr>
        <w:spacing w:after="0" w:line="240" w:lineRule="auto"/>
        <w:jc w:val="both"/>
        <w:rPr>
          <w:rFonts w:ascii="Times New Roman" w:hAnsi="Times New Roman" w:cs="Times New Roman"/>
        </w:rPr>
      </w:pPr>
      <w:r w:rsidRPr="00472663">
        <w:rPr>
          <w:rFonts w:ascii="Times New Roman" w:hAnsi="Times New Roman" w:cs="Times New Roman"/>
        </w:rPr>
        <w:t xml:space="preserve">Közl/108 </w:t>
      </w:r>
      <w:r w:rsidR="002D2489" w:rsidRPr="00472663">
        <w:rPr>
          <w:rFonts w:ascii="Times New Roman" w:hAnsi="Times New Roman" w:cs="Times New Roman"/>
        </w:rPr>
        <w:t>A Katonai vasúti szállítások tervezése</w:t>
      </w:r>
      <w:r w:rsidR="00472663" w:rsidRPr="00472663">
        <w:rPr>
          <w:rFonts w:ascii="Times New Roman" w:hAnsi="Times New Roman" w:cs="Times New Roman"/>
        </w:rPr>
        <w:t>, megszervezése és végrehajtása. Magyar Honvédség kiadványa (2017). p.374</w:t>
      </w:r>
    </w:p>
    <w:p w:rsidR="002D2489" w:rsidRPr="002D2489" w:rsidRDefault="002D2489" w:rsidP="00980876">
      <w:pPr>
        <w:widowControl w:val="0"/>
        <w:numPr>
          <w:ilvl w:val="1"/>
          <w:numId w:val="295"/>
        </w:numPr>
        <w:spacing w:before="120" w:after="120" w:line="240" w:lineRule="auto"/>
        <w:ind w:left="993" w:hanging="709"/>
        <w:jc w:val="both"/>
        <w:rPr>
          <w:rFonts w:ascii="Times New Roman" w:eastAsia="Times New Roman" w:hAnsi="Times New Roman" w:cs="Times New Roman"/>
          <w:b/>
          <w:bCs/>
        </w:rPr>
      </w:pPr>
      <w:r w:rsidRPr="002D2489">
        <w:rPr>
          <w:rFonts w:ascii="Times New Roman" w:eastAsia="Times New Roman" w:hAnsi="Times New Roman" w:cs="Times New Roman"/>
          <w:b/>
          <w:bCs/>
        </w:rPr>
        <w:t>Ajánlott irodalom:</w:t>
      </w:r>
    </w:p>
    <w:p w:rsidR="002D2489" w:rsidRPr="002D2489" w:rsidRDefault="002D2489" w:rsidP="00980876">
      <w:pPr>
        <w:numPr>
          <w:ilvl w:val="0"/>
          <w:numId w:val="294"/>
        </w:numPr>
        <w:spacing w:after="0" w:line="240" w:lineRule="auto"/>
        <w:jc w:val="both"/>
        <w:rPr>
          <w:rFonts w:ascii="Times New Roman" w:hAnsi="Times New Roman" w:cs="Times New Roman"/>
        </w:rPr>
      </w:pPr>
      <w:r w:rsidRPr="002D2489">
        <w:rPr>
          <w:rFonts w:ascii="Times New Roman" w:hAnsi="Times New Roman" w:cs="Times New Roman"/>
        </w:rPr>
        <w:t>Ált/217 Magyar Honvédség Összhaderőnemi Logisztikai Támogatás Doktrína (3. kiadás), a Magyar Honvédség kiadványa, 2015.</w:t>
      </w:r>
    </w:p>
    <w:p w:rsidR="002D2489" w:rsidRPr="00472663" w:rsidRDefault="002D2489" w:rsidP="00980876">
      <w:pPr>
        <w:numPr>
          <w:ilvl w:val="0"/>
          <w:numId w:val="294"/>
        </w:numPr>
        <w:spacing w:after="0" w:line="240" w:lineRule="auto"/>
        <w:jc w:val="both"/>
        <w:rPr>
          <w:rFonts w:ascii="Times New Roman" w:hAnsi="Times New Roman" w:cs="Times New Roman"/>
          <w:highlight w:val="yellow"/>
        </w:rPr>
      </w:pPr>
      <w:r w:rsidRPr="00472663">
        <w:rPr>
          <w:rFonts w:ascii="Times New Roman" w:hAnsi="Times New Roman" w:cs="Times New Roman"/>
          <w:highlight w:val="yellow"/>
        </w:rPr>
        <w:t>NATO Movements Handbook (Procedures for Movements Across National Frontiers), Published by the NATO Standardization Agency, May 2017.</w:t>
      </w:r>
    </w:p>
    <w:p w:rsidR="00472663" w:rsidRPr="00472663" w:rsidRDefault="00472663" w:rsidP="00980876">
      <w:pPr>
        <w:numPr>
          <w:ilvl w:val="0"/>
          <w:numId w:val="294"/>
        </w:numPr>
        <w:spacing w:after="0" w:line="240" w:lineRule="auto"/>
        <w:jc w:val="both"/>
        <w:rPr>
          <w:rFonts w:ascii="Times New Roman" w:hAnsi="Times New Roman" w:cs="Times New Roman"/>
          <w:highlight w:val="yellow"/>
        </w:rPr>
      </w:pPr>
      <w:r w:rsidRPr="00472663">
        <w:rPr>
          <w:rFonts w:ascii="Times New Roman" w:hAnsi="Times New Roman" w:cs="Times New Roman"/>
          <w:highlight w:val="yellow"/>
        </w:rPr>
        <w:lastRenderedPageBreak/>
        <w:t>AMovP-4(A) Technical Aspects of the Transport of Military Materials by Railroad, Published by the NATO Standardization Agency, April 2011.</w:t>
      </w:r>
    </w:p>
    <w:p w:rsidR="00472663" w:rsidRDefault="00472663" w:rsidP="00980876">
      <w:pPr>
        <w:pStyle w:val="Listaszerbekezds"/>
        <w:numPr>
          <w:ilvl w:val="0"/>
          <w:numId w:val="294"/>
        </w:numPr>
        <w:spacing w:after="0" w:line="240" w:lineRule="auto"/>
        <w:jc w:val="both"/>
        <w:rPr>
          <w:rFonts w:ascii="Times New Roman" w:hAnsi="Times New Roman" w:cs="Times New Roman"/>
          <w:highlight w:val="yellow"/>
        </w:rPr>
      </w:pPr>
      <w:r w:rsidRPr="00DC6DF4">
        <w:rPr>
          <w:rFonts w:ascii="Times New Roman" w:hAnsi="Times New Roman" w:cs="Times New Roman"/>
          <w:highlight w:val="yellow"/>
        </w:rPr>
        <w:t>AMovP-5 Multi Modal Transport Issues, Published by the NATO Standardization Agency, September 2005.</w:t>
      </w:r>
    </w:p>
    <w:p w:rsidR="002D2489" w:rsidRPr="002D2489" w:rsidRDefault="002D2489" w:rsidP="00472663">
      <w:pPr>
        <w:pStyle w:val="Listaszerbekezds"/>
        <w:widowControl w:val="0"/>
        <w:spacing w:after="0" w:line="240" w:lineRule="auto"/>
        <w:ind w:left="1010"/>
        <w:jc w:val="both"/>
        <w:rPr>
          <w:rFonts w:ascii="Times New Roman" w:eastAsia="Times New Roman" w:hAnsi="Times New Roman" w:cs="Times New Roman"/>
          <w:highlight w:val="lightGray"/>
        </w:rPr>
      </w:pPr>
    </w:p>
    <w:p w:rsidR="002D2489" w:rsidRPr="002D2489" w:rsidRDefault="002D2489" w:rsidP="002D2489">
      <w:pPr>
        <w:widowControl w:val="0"/>
        <w:spacing w:before="120" w:after="120" w:line="240" w:lineRule="auto"/>
        <w:jc w:val="both"/>
        <w:rPr>
          <w:rFonts w:ascii="Times New Roman" w:eastAsia="Times New Roman" w:hAnsi="Times New Roman" w:cs="Times New Roman"/>
          <w:bCs/>
        </w:rPr>
      </w:pPr>
      <w:r w:rsidRPr="002D2489">
        <w:rPr>
          <w:rFonts w:ascii="Times New Roman" w:eastAsia="Times New Roman" w:hAnsi="Times New Roman" w:cs="Times New Roman"/>
          <w:bCs/>
        </w:rPr>
        <w:t xml:space="preserve">Budapest, március  </w:t>
      </w:r>
      <w:r w:rsidR="0088681A">
        <w:rPr>
          <w:rFonts w:ascii="Times New Roman" w:eastAsia="Times New Roman" w:hAnsi="Times New Roman" w:cs="Times New Roman"/>
          <w:bCs/>
        </w:rPr>
        <w:t>30.</w:t>
      </w:r>
    </w:p>
    <w:p w:rsidR="002D2489" w:rsidRPr="002D2489" w:rsidRDefault="002D2489" w:rsidP="002D2489">
      <w:pPr>
        <w:pStyle w:val="lfej"/>
        <w:tabs>
          <w:tab w:val="right" w:pos="900"/>
        </w:tabs>
        <w:spacing w:before="120"/>
        <w:jc w:val="both"/>
        <w:rPr>
          <w:rFonts w:ascii="Times New Roman" w:hAnsi="Times New Roman" w:cs="Times New Roman"/>
          <w:bCs/>
        </w:rPr>
      </w:pPr>
    </w:p>
    <w:p w:rsidR="002D2489" w:rsidRPr="002D2489" w:rsidRDefault="002D2489" w:rsidP="002D2489">
      <w:pPr>
        <w:pStyle w:val="lfej"/>
        <w:tabs>
          <w:tab w:val="right" w:pos="900"/>
        </w:tabs>
        <w:ind w:left="4536"/>
        <w:jc w:val="center"/>
        <w:rPr>
          <w:rFonts w:ascii="Times New Roman" w:hAnsi="Times New Roman" w:cs="Times New Roman"/>
          <w:b/>
          <w:bCs/>
        </w:rPr>
      </w:pPr>
      <w:r w:rsidRPr="002D2489">
        <w:rPr>
          <w:rFonts w:ascii="Times New Roman" w:hAnsi="Times New Roman" w:cs="Times New Roman"/>
          <w:b/>
          <w:bCs/>
        </w:rPr>
        <w:t>Dr. Szászi Gábor egyetemi docens, PhD</w:t>
      </w:r>
    </w:p>
    <w:p w:rsidR="002D2489" w:rsidRPr="002D2489" w:rsidRDefault="002D2489" w:rsidP="002D2489">
      <w:pPr>
        <w:ind w:left="4536"/>
        <w:jc w:val="center"/>
        <w:rPr>
          <w:rFonts w:ascii="Times New Roman" w:hAnsi="Times New Roman" w:cs="Times New Roman"/>
          <w:bCs/>
        </w:rPr>
      </w:pPr>
      <w:r w:rsidRPr="002D2489">
        <w:rPr>
          <w:rFonts w:ascii="Times New Roman" w:hAnsi="Times New Roman" w:cs="Times New Roman"/>
          <w:bCs/>
        </w:rPr>
        <w:t>tantárgyfelelős</w:t>
      </w:r>
    </w:p>
    <w:p w:rsidR="002D2489" w:rsidRDefault="002D2489">
      <w:pPr>
        <w:spacing w:after="200" w:line="276" w:lineRule="auto"/>
        <w:rPr>
          <w:rFonts w:ascii="Times New Roman" w:hAnsi="Times New Roman" w:cs="Times New Roman"/>
          <w:sz w:val="24"/>
        </w:rPr>
      </w:pPr>
    </w:p>
    <w:p w:rsidR="000242BE" w:rsidRDefault="000242BE">
      <w:pPr>
        <w:spacing w:after="200" w:line="276" w:lineRule="auto"/>
        <w:rPr>
          <w:rFonts w:ascii="Times New Roman" w:hAnsi="Times New Roman" w:cs="Times New Roman"/>
          <w:sz w:val="24"/>
        </w:rPr>
      </w:pPr>
      <w:r>
        <w:rPr>
          <w:rFonts w:ascii="Times New Roman" w:hAnsi="Times New Roman" w:cs="Times New Roman"/>
          <w:sz w:val="24"/>
        </w:rPr>
        <w:br w:type="page"/>
      </w:r>
    </w:p>
    <w:tbl>
      <w:tblPr>
        <w:tblW w:w="9072" w:type="dxa"/>
        <w:tblInd w:w="113" w:type="dxa"/>
        <w:tblLook w:val="01E0" w:firstRow="1" w:lastRow="1" w:firstColumn="1" w:lastColumn="1" w:noHBand="0" w:noVBand="0"/>
      </w:tblPr>
      <w:tblGrid>
        <w:gridCol w:w="4855"/>
        <w:gridCol w:w="1620"/>
        <w:gridCol w:w="2597"/>
      </w:tblGrid>
      <w:tr w:rsidR="000242BE" w:rsidTr="000242BE">
        <w:tc>
          <w:tcPr>
            <w:tcW w:w="4855" w:type="dxa"/>
            <w:tcBorders>
              <w:top w:val="nil"/>
              <w:left w:val="nil"/>
              <w:bottom w:val="single" w:sz="4" w:space="0" w:color="auto"/>
              <w:right w:val="nil"/>
            </w:tcBorders>
            <w:hideMark/>
          </w:tcPr>
          <w:p w:rsidR="000242BE" w:rsidRDefault="000242BE">
            <w:pPr>
              <w:spacing w:after="0" w:line="240" w:lineRule="auto"/>
              <w:jc w:val="center"/>
              <w:rPr>
                <w:rFonts w:ascii="Times New Roman" w:eastAsia="Times New Roman" w:hAnsi="Times New Roman" w:cs="Times New Roman"/>
                <w:b/>
                <w:smallCaps/>
                <w:lang w:eastAsia="hu-HU"/>
              </w:rPr>
            </w:pPr>
            <w:r>
              <w:rPr>
                <w:rFonts w:ascii="Times New Roman" w:eastAsia="Times New Roman" w:hAnsi="Times New Roman" w:cs="Times New Roman"/>
                <w:b/>
                <w:smallCaps/>
                <w:lang w:eastAsia="hu-HU"/>
              </w:rPr>
              <w:lastRenderedPageBreak/>
              <w:t>Nemzeti Közszolgálati Egyetem</w:t>
            </w:r>
          </w:p>
        </w:tc>
        <w:tc>
          <w:tcPr>
            <w:tcW w:w="1620" w:type="dxa"/>
          </w:tcPr>
          <w:p w:rsidR="000242BE" w:rsidRDefault="000242BE">
            <w:pPr>
              <w:spacing w:after="0" w:line="240" w:lineRule="auto"/>
              <w:jc w:val="both"/>
              <w:rPr>
                <w:rFonts w:ascii="Times New Roman" w:eastAsia="Times New Roman" w:hAnsi="Times New Roman" w:cs="Times New Roman"/>
                <w:lang w:eastAsia="hu-HU"/>
              </w:rPr>
            </w:pPr>
          </w:p>
        </w:tc>
        <w:tc>
          <w:tcPr>
            <w:tcW w:w="2597" w:type="dxa"/>
          </w:tcPr>
          <w:p w:rsidR="000242BE" w:rsidRDefault="000242BE">
            <w:pPr>
              <w:spacing w:after="0" w:line="240" w:lineRule="auto"/>
              <w:jc w:val="right"/>
              <w:rPr>
                <w:rFonts w:ascii="Times New Roman" w:eastAsia="Times New Roman" w:hAnsi="Times New Roman" w:cs="Times New Roman"/>
                <w:lang w:eastAsia="hu-HU"/>
              </w:rPr>
            </w:pPr>
          </w:p>
        </w:tc>
      </w:tr>
      <w:tr w:rsidR="000242BE" w:rsidTr="000242BE">
        <w:tc>
          <w:tcPr>
            <w:tcW w:w="4855" w:type="dxa"/>
            <w:tcBorders>
              <w:top w:val="single" w:sz="4" w:space="0" w:color="auto"/>
              <w:left w:val="nil"/>
              <w:bottom w:val="nil"/>
              <w:right w:val="nil"/>
            </w:tcBorders>
            <w:hideMark/>
          </w:tcPr>
          <w:p w:rsidR="000242BE" w:rsidRDefault="000242BE">
            <w:pPr>
              <w:spacing w:after="0" w:line="240" w:lineRule="auto"/>
              <w:jc w:val="center"/>
              <w:rPr>
                <w:rFonts w:ascii="Times New Roman" w:eastAsia="Times New Roman" w:hAnsi="Times New Roman" w:cs="Times New Roman"/>
                <w:b/>
                <w:lang w:eastAsia="hu-HU"/>
              </w:rPr>
            </w:pPr>
            <w:r>
              <w:rPr>
                <w:rFonts w:ascii="Times New Roman" w:eastAsia="Times New Roman" w:hAnsi="Times New Roman" w:cs="Times New Roman"/>
                <w:b/>
                <w:lang w:eastAsia="hu-HU"/>
              </w:rPr>
              <w:t>Hadtudományi és Honvédtisztképző Kar</w:t>
            </w:r>
          </w:p>
        </w:tc>
        <w:tc>
          <w:tcPr>
            <w:tcW w:w="1620" w:type="dxa"/>
          </w:tcPr>
          <w:p w:rsidR="000242BE" w:rsidRDefault="000242BE">
            <w:pPr>
              <w:spacing w:after="0" w:line="240" w:lineRule="auto"/>
              <w:jc w:val="both"/>
              <w:rPr>
                <w:rFonts w:ascii="Times New Roman" w:eastAsia="Times New Roman" w:hAnsi="Times New Roman" w:cs="Times New Roman"/>
                <w:lang w:eastAsia="hu-HU"/>
              </w:rPr>
            </w:pPr>
          </w:p>
        </w:tc>
        <w:tc>
          <w:tcPr>
            <w:tcW w:w="2597" w:type="dxa"/>
          </w:tcPr>
          <w:p w:rsidR="000242BE" w:rsidRDefault="000242BE">
            <w:pPr>
              <w:spacing w:after="0" w:line="240" w:lineRule="auto"/>
              <w:jc w:val="both"/>
              <w:rPr>
                <w:rFonts w:ascii="Times New Roman" w:eastAsia="Times New Roman" w:hAnsi="Times New Roman" w:cs="Times New Roman"/>
                <w:lang w:eastAsia="hu-HU"/>
              </w:rPr>
            </w:pPr>
          </w:p>
        </w:tc>
      </w:tr>
    </w:tbl>
    <w:p w:rsidR="000242BE" w:rsidRDefault="000242BE" w:rsidP="000242BE">
      <w:pPr>
        <w:widowControl w:val="0"/>
        <w:spacing w:before="120" w:after="120" w:line="240" w:lineRule="auto"/>
        <w:ind w:left="426" w:hanging="142"/>
        <w:jc w:val="center"/>
        <w:rPr>
          <w:rFonts w:ascii="Times New Roman" w:eastAsia="Times New Roman" w:hAnsi="Times New Roman" w:cs="Times New Roman"/>
          <w:b/>
          <w:bCs/>
        </w:rPr>
      </w:pPr>
    </w:p>
    <w:p w:rsidR="000242BE" w:rsidRDefault="000242BE" w:rsidP="000242BE">
      <w:pPr>
        <w:widowControl w:val="0"/>
        <w:spacing w:before="120" w:after="120" w:line="240" w:lineRule="auto"/>
        <w:ind w:left="426" w:hanging="142"/>
        <w:jc w:val="center"/>
        <w:rPr>
          <w:rFonts w:ascii="Times New Roman" w:eastAsia="Times New Roman" w:hAnsi="Times New Roman" w:cs="Times New Roman"/>
          <w:b/>
          <w:bCs/>
        </w:rPr>
      </w:pPr>
      <w:r>
        <w:rPr>
          <w:rFonts w:ascii="Times New Roman" w:eastAsia="Times New Roman" w:hAnsi="Times New Roman" w:cs="Times New Roman"/>
          <w:b/>
          <w:bCs/>
        </w:rPr>
        <w:t>TANTÁRGYI PROGRAM</w:t>
      </w:r>
    </w:p>
    <w:p w:rsidR="000242BE" w:rsidRDefault="000242BE" w:rsidP="00980876">
      <w:pPr>
        <w:widowControl w:val="0"/>
        <w:numPr>
          <w:ilvl w:val="0"/>
          <w:numId w:val="297"/>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 tantárgy kódja: </w:t>
      </w:r>
      <w:r>
        <w:rPr>
          <w:rFonts w:ascii="Times New Roman" w:eastAsia="Times New Roman" w:hAnsi="Times New Roman" w:cs="Times New Roman"/>
          <w:bCs/>
          <w:lang w:eastAsia="hu-HU"/>
        </w:rPr>
        <w:t>HKHPKA319</w:t>
      </w:r>
    </w:p>
    <w:p w:rsidR="000242BE" w:rsidRDefault="000242BE" w:rsidP="00980876">
      <w:pPr>
        <w:widowControl w:val="0"/>
        <w:numPr>
          <w:ilvl w:val="0"/>
          <w:numId w:val="297"/>
        </w:numPr>
        <w:spacing w:before="120" w:after="120" w:line="240" w:lineRule="auto"/>
        <w:ind w:left="426" w:hanging="142"/>
        <w:jc w:val="both"/>
        <w:rPr>
          <w:rFonts w:ascii="Times New Roman" w:eastAsia="Times New Roman" w:hAnsi="Times New Roman" w:cs="Times New Roman"/>
          <w:b/>
          <w:bCs/>
          <w:lang w:val="en-GB"/>
        </w:rPr>
      </w:pPr>
      <w:r>
        <w:rPr>
          <w:rFonts w:ascii="Times New Roman" w:eastAsia="Times New Roman" w:hAnsi="Times New Roman" w:cs="Times New Roman"/>
          <w:b/>
          <w:bCs/>
        </w:rPr>
        <w:t>A tantárgy megnevezése (magyarul):</w:t>
      </w:r>
      <w:r>
        <w:rPr>
          <w:rFonts w:ascii="Times New Roman" w:eastAsia="Times New Roman" w:hAnsi="Times New Roman" w:cs="Times New Roman"/>
          <w:bCs/>
        </w:rPr>
        <w:t xml:space="preserve"> Katonai gazdálkodás KÖ</w:t>
      </w:r>
    </w:p>
    <w:p w:rsidR="000242BE" w:rsidRDefault="000242BE" w:rsidP="00980876">
      <w:pPr>
        <w:widowControl w:val="0"/>
        <w:numPr>
          <w:ilvl w:val="0"/>
          <w:numId w:val="297"/>
        </w:numPr>
        <w:tabs>
          <w:tab w:val="num" w:pos="567"/>
        </w:tabs>
        <w:spacing w:before="120" w:after="120" w:line="240" w:lineRule="auto"/>
        <w:ind w:left="426" w:hanging="142"/>
        <w:jc w:val="both"/>
        <w:rPr>
          <w:rFonts w:ascii="Times New Roman" w:eastAsia="Times New Roman" w:hAnsi="Times New Roman" w:cs="Times New Roman"/>
          <w:b/>
          <w:bCs/>
          <w:lang w:val="en-GB"/>
        </w:rPr>
      </w:pPr>
      <w:r>
        <w:rPr>
          <w:rFonts w:ascii="Times New Roman" w:eastAsia="Times New Roman" w:hAnsi="Times New Roman" w:cs="Times New Roman"/>
          <w:b/>
          <w:bCs/>
        </w:rPr>
        <w:t xml:space="preserve">A tantárgy megnevezése (angolul): </w:t>
      </w:r>
      <w:r>
        <w:rPr>
          <w:rFonts w:ascii="Times New Roman" w:eastAsia="Times New Roman" w:hAnsi="Times New Roman" w:cs="Times New Roman"/>
          <w:bCs/>
          <w:lang w:eastAsia="hu-HU"/>
        </w:rPr>
        <w:t>Military Budgeting TR</w:t>
      </w:r>
    </w:p>
    <w:p w:rsidR="000242BE" w:rsidRDefault="000242BE" w:rsidP="00980876">
      <w:pPr>
        <w:widowControl w:val="0"/>
        <w:numPr>
          <w:ilvl w:val="0"/>
          <w:numId w:val="297"/>
        </w:numPr>
        <w:tabs>
          <w:tab w:val="num" w:pos="567"/>
        </w:tabs>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Kreditérték és képzési karakter: </w:t>
      </w:r>
    </w:p>
    <w:p w:rsidR="000242BE" w:rsidRDefault="000242BE" w:rsidP="00980876">
      <w:pPr>
        <w:pStyle w:val="Listaszerbekezds"/>
        <w:widowControl w:val="0"/>
        <w:numPr>
          <w:ilvl w:val="1"/>
          <w:numId w:val="297"/>
        </w:numPr>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2 kredit</w:t>
      </w:r>
    </w:p>
    <w:p w:rsidR="000242BE" w:rsidRDefault="000242BE" w:rsidP="00980876">
      <w:pPr>
        <w:pStyle w:val="Listaszerbekezds"/>
        <w:widowControl w:val="0"/>
        <w:numPr>
          <w:ilvl w:val="1"/>
          <w:numId w:val="297"/>
        </w:numPr>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a tantárgy elméleti vagy gyakorlati jellegének mértéke: 50</w:t>
      </w:r>
      <w:r>
        <w:rPr>
          <w:rFonts w:ascii="Times New Roman" w:eastAsia="Times New Roman" w:hAnsi="Times New Roman" w:cs="Times New Roman"/>
          <w:b/>
          <w:bCs/>
        </w:rPr>
        <w:t xml:space="preserve"> </w:t>
      </w:r>
      <w:r>
        <w:rPr>
          <w:rFonts w:ascii="Times New Roman" w:eastAsia="Times New Roman" w:hAnsi="Times New Roman" w:cs="Times New Roman"/>
          <w:bCs/>
        </w:rPr>
        <w:t>% gyakorlat, 50 % elmélet</w:t>
      </w:r>
    </w:p>
    <w:p w:rsidR="000242BE" w:rsidRDefault="000242BE" w:rsidP="00980876">
      <w:pPr>
        <w:widowControl w:val="0"/>
        <w:numPr>
          <w:ilvl w:val="0"/>
          <w:numId w:val="297"/>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szak(ok), szakirányok/specializációk megnevezése (ahol oktatják):</w:t>
      </w:r>
      <w:r>
        <w:rPr>
          <w:rFonts w:ascii="Times New Roman" w:eastAsia="Times New Roman" w:hAnsi="Times New Roman" w:cs="Times New Roman"/>
          <w:bCs/>
        </w:rPr>
        <w:t xml:space="preserve"> </w:t>
      </w:r>
      <w:r>
        <w:rPr>
          <w:rFonts w:ascii="Times New Roman" w:hAnsi="Times New Roman" w:cs="Times New Roman"/>
          <w:bCs/>
        </w:rPr>
        <w:t>Katonai logisztika alapképzési szak, katonai közlekedési specializáció</w:t>
      </w:r>
    </w:p>
    <w:p w:rsidR="000242BE" w:rsidRDefault="000242BE" w:rsidP="00980876">
      <w:pPr>
        <w:widowControl w:val="0"/>
        <w:numPr>
          <w:ilvl w:val="0"/>
          <w:numId w:val="297"/>
        </w:numPr>
        <w:tabs>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Az oktatásért felelős oktatási szervezeti egység megnevezése: </w:t>
      </w:r>
      <w:r>
        <w:rPr>
          <w:rFonts w:ascii="Times New Roman" w:hAnsi="Times New Roman" w:cs="Times New Roman"/>
          <w:bCs/>
        </w:rPr>
        <w:t>NKE HHK Hadtáp, Pénzügyi és Katonai Közlekedési Tanszék</w:t>
      </w:r>
    </w:p>
    <w:p w:rsidR="000242BE" w:rsidRDefault="000242BE" w:rsidP="00980876">
      <w:pPr>
        <w:widowControl w:val="0"/>
        <w:numPr>
          <w:ilvl w:val="0"/>
          <w:numId w:val="297"/>
        </w:numPr>
        <w:tabs>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tantárgyfelelős oktató neve, beosztása, tudományos fokozata:</w:t>
      </w:r>
      <w:r>
        <w:rPr>
          <w:rFonts w:ascii="Times New Roman" w:eastAsia="Times New Roman" w:hAnsi="Times New Roman" w:cs="Times New Roman"/>
          <w:bCs/>
        </w:rPr>
        <w:t xml:space="preserve"> </w:t>
      </w:r>
      <w:r>
        <w:rPr>
          <w:rFonts w:ascii="Times New Roman" w:hAnsi="Times New Roman" w:cs="Times New Roman"/>
          <w:bCs/>
        </w:rPr>
        <w:t>Dr. Pap Andrea, egyetemi docens, (PhD)</w:t>
      </w:r>
    </w:p>
    <w:p w:rsidR="000242BE" w:rsidRDefault="000242BE" w:rsidP="00980876">
      <w:pPr>
        <w:widowControl w:val="0"/>
        <w:numPr>
          <w:ilvl w:val="0"/>
          <w:numId w:val="297"/>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tanórák száma és típusa</w:t>
      </w:r>
    </w:p>
    <w:p w:rsidR="000242BE" w:rsidRDefault="000242BE" w:rsidP="00980876">
      <w:pPr>
        <w:widowControl w:val="0"/>
        <w:numPr>
          <w:ilvl w:val="1"/>
          <w:numId w:val="297"/>
        </w:numPr>
        <w:tabs>
          <w:tab w:val="num" w:pos="709"/>
          <w:tab w:val="num" w:pos="2069"/>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össz óraszám/félév: 28</w:t>
      </w:r>
    </w:p>
    <w:p w:rsidR="000242BE" w:rsidRDefault="000242BE" w:rsidP="00980876">
      <w:pPr>
        <w:widowControl w:val="0"/>
        <w:numPr>
          <w:ilvl w:val="2"/>
          <w:numId w:val="297"/>
        </w:numPr>
        <w:tabs>
          <w:tab w:val="num" w:pos="709"/>
          <w:tab w:val="num" w:pos="1134"/>
        </w:tabs>
        <w:spacing w:before="120" w:after="120" w:line="240" w:lineRule="auto"/>
        <w:ind w:left="993" w:hanging="425"/>
        <w:jc w:val="both"/>
        <w:rPr>
          <w:rFonts w:ascii="Times New Roman" w:eastAsia="Times New Roman" w:hAnsi="Times New Roman" w:cs="Times New Roman"/>
          <w:bCs/>
        </w:rPr>
      </w:pPr>
      <w:r>
        <w:rPr>
          <w:rFonts w:ascii="Times New Roman" w:eastAsia="Times New Roman" w:hAnsi="Times New Roman" w:cs="Times New Roman"/>
          <w:bCs/>
        </w:rPr>
        <w:t>nappali munkarend: (14 EA + 0 SZ + 14 GY)</w:t>
      </w:r>
    </w:p>
    <w:p w:rsidR="000242BE" w:rsidRDefault="000242BE" w:rsidP="00980876">
      <w:pPr>
        <w:widowControl w:val="0"/>
        <w:numPr>
          <w:ilvl w:val="2"/>
          <w:numId w:val="297"/>
        </w:numPr>
        <w:tabs>
          <w:tab w:val="num" w:pos="709"/>
          <w:tab w:val="num" w:pos="1134"/>
        </w:tabs>
        <w:spacing w:before="120" w:after="120" w:line="240" w:lineRule="auto"/>
        <w:ind w:left="993" w:hanging="425"/>
        <w:jc w:val="both"/>
        <w:rPr>
          <w:rFonts w:ascii="Times New Roman" w:eastAsia="Times New Roman" w:hAnsi="Times New Roman" w:cs="Times New Roman"/>
          <w:bCs/>
        </w:rPr>
      </w:pPr>
      <w:r>
        <w:rPr>
          <w:rFonts w:ascii="Times New Roman" w:eastAsia="Times New Roman" w:hAnsi="Times New Roman" w:cs="Times New Roman"/>
          <w:bCs/>
        </w:rPr>
        <w:t>levelező munkarend: -</w:t>
      </w:r>
    </w:p>
    <w:p w:rsidR="000242BE" w:rsidRDefault="000242BE" w:rsidP="00980876">
      <w:pPr>
        <w:widowControl w:val="0"/>
        <w:numPr>
          <w:ilvl w:val="1"/>
          <w:numId w:val="297"/>
        </w:numPr>
        <w:tabs>
          <w:tab w:val="num" w:pos="709"/>
          <w:tab w:val="num" w:pos="2069"/>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heti óraszám - nappali munkarend: 2</w:t>
      </w:r>
    </w:p>
    <w:p w:rsidR="000242BE" w:rsidRDefault="000242BE" w:rsidP="00980876">
      <w:pPr>
        <w:widowControl w:val="0"/>
        <w:numPr>
          <w:ilvl w:val="1"/>
          <w:numId w:val="297"/>
        </w:numPr>
        <w:tabs>
          <w:tab w:val="num" w:pos="709"/>
          <w:tab w:val="num" w:pos="2069"/>
        </w:tabs>
        <w:spacing w:before="120" w:after="120" w:line="240" w:lineRule="auto"/>
        <w:ind w:left="851" w:hanging="425"/>
        <w:jc w:val="both"/>
        <w:rPr>
          <w:rFonts w:ascii="Times New Roman" w:eastAsia="Times New Roman" w:hAnsi="Times New Roman" w:cs="Times New Roman"/>
          <w:bCs/>
        </w:rPr>
      </w:pPr>
      <w:r>
        <w:rPr>
          <w:rFonts w:ascii="Times New Roman" w:hAnsi="Times New Roman" w:cs="Times New Roman"/>
        </w:rPr>
        <w:t>Az ismeret átadásában alkalmazandó további sajátos módok, jellemzők:</w:t>
      </w:r>
      <w:r>
        <w:rPr>
          <w:rFonts w:ascii="Times New Roman" w:hAnsi="Times New Roman" w:cs="Times New Roman"/>
          <w:i/>
        </w:rPr>
        <w:t xml:space="preserve"> –</w:t>
      </w:r>
    </w:p>
    <w:p w:rsidR="000242BE" w:rsidRDefault="000242BE" w:rsidP="00980876">
      <w:pPr>
        <w:widowControl w:val="0"/>
        <w:numPr>
          <w:ilvl w:val="0"/>
          <w:numId w:val="297"/>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 tantárgy szakmai tartalma (magyarul): </w:t>
      </w:r>
      <w:r>
        <w:rPr>
          <w:rFonts w:ascii="Times New Roman" w:eastAsia="Times New Roman" w:hAnsi="Times New Roman" w:cs="Times New Roman"/>
        </w:rPr>
        <w:t>Megismertetni a honvéd tisztjelöltekkel a katonai közlekedési szervezetek költségvetési-logisztikai gazdálkodásának helyét, feladatait a fejezeti gazdálkodás rendszerében, a pénzügyi, logisztikai feladatokat a gazdálkodás megszervezésében, az előirányzatok tervezésének, jóváhagyásának feladatait, azok felhasználásának, módosításának szabályait, a közlekedési szolgálat gazdálkodási rendjét, valamint a központi és a csapattagozatban megvalósuló közlekedési szakanyag-gazdálkodás és a szállítási költségkeret gazdálkodás rendjét és okmányait, az ellenőrzés rendszerét.</w:t>
      </w:r>
    </w:p>
    <w:p w:rsidR="000242BE" w:rsidRDefault="000242BE" w:rsidP="000242BE">
      <w:pPr>
        <w:widowControl w:val="0"/>
        <w:spacing w:before="120" w:after="120" w:line="240" w:lineRule="auto"/>
        <w:ind w:left="426"/>
        <w:jc w:val="both"/>
        <w:rPr>
          <w:rFonts w:ascii="Times New Roman" w:eastAsia="Times New Roman" w:hAnsi="Times New Roman" w:cs="Times New Roman"/>
          <w:bCs/>
          <w:lang w:val="en-GB"/>
        </w:rPr>
      </w:pPr>
      <w:r>
        <w:rPr>
          <w:rFonts w:ascii="Times New Roman" w:eastAsia="Times New Roman" w:hAnsi="Times New Roman" w:cs="Times New Roman"/>
          <w:b/>
          <w:bCs/>
        </w:rPr>
        <w:t>A tantárgy szakmai tartalma (angolul) (</w:t>
      </w:r>
      <w:r>
        <w:rPr>
          <w:rFonts w:ascii="Times New Roman" w:eastAsia="Times New Roman" w:hAnsi="Times New Roman" w:cs="Times New Roman"/>
          <w:b/>
          <w:bCs/>
          <w:lang w:val="en-US"/>
        </w:rPr>
        <w:t>Course description</w:t>
      </w:r>
      <w:r>
        <w:rPr>
          <w:rFonts w:ascii="Times New Roman" w:eastAsia="Times New Roman" w:hAnsi="Times New Roman" w:cs="Times New Roman"/>
          <w:b/>
          <w:bCs/>
        </w:rPr>
        <w:t xml:space="preserve">): </w:t>
      </w:r>
      <w:r>
        <w:rPr>
          <w:rFonts w:ascii="Times New Roman" w:eastAsia="Times New Roman" w:hAnsi="Times New Roman" w:cs="Times New Roman"/>
        </w:rPr>
        <w:t>Military officer cadets are familiarized with the place and tasks of military transport organisations’ management of the logistic budget in the Defence Chapter of the Central Budget, the financial and logistic tasks in budgeting, the rules and tasks of the planning, approval, use and modification of estimates, the budgeting system of the transportation branch as well as the budgeting system and documentation of unit and central level transportation asset management and transportation budget management and the controlling system.</w:t>
      </w:r>
    </w:p>
    <w:p w:rsidR="000242BE" w:rsidRDefault="000242BE" w:rsidP="00980876">
      <w:pPr>
        <w:pStyle w:val="Listaszerbekezds"/>
        <w:widowControl w:val="0"/>
        <w:numPr>
          <w:ilvl w:val="0"/>
          <w:numId w:val="297"/>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Elérendő kompetenciák (magyarul):</w:t>
      </w:r>
      <w:r>
        <w:rPr>
          <w:rFonts w:ascii="Times New Roman" w:eastAsia="Times New Roman" w:hAnsi="Times New Roman" w:cs="Times New Roman"/>
          <w:bCs/>
        </w:rPr>
        <w:t xml:space="preserve"> </w:t>
      </w:r>
    </w:p>
    <w:p w:rsidR="000242BE" w:rsidRDefault="000242BE" w:rsidP="000242BE">
      <w:pPr>
        <w:widowControl w:val="0"/>
        <w:spacing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Tudása:</w:t>
      </w:r>
    </w:p>
    <w:p w:rsidR="000242BE" w:rsidRDefault="000242BE" w:rsidP="000242BE">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Ismeri a katonai közlekedési szakterülethez szervesen kapcsolódó logisztikai, menedzsment, környezetvédelmi, minőségbiztosítási, információtechnológiai, jogi, közgazdasági szakterületek alapjait és követelményeit.</w:t>
      </w:r>
    </w:p>
    <w:p w:rsidR="000242BE" w:rsidRDefault="000242BE" w:rsidP="000242BE">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Mélyrehatóan ismeri a katonai logisztikai gazdálkodás feladatait, valamint annak eszköz- és információs rendszerét.</w:t>
      </w:r>
    </w:p>
    <w:p w:rsidR="000242BE" w:rsidRDefault="000242BE" w:rsidP="000242BE">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Ismeri a katonai közlekedési szakanyagok készletezésének, tárolásának, nyilvántartásának és leltározásának, valamint ezen folyamatok ellenőrzésének feladatait és kötelezettségeit.</w:t>
      </w:r>
    </w:p>
    <w:p w:rsidR="000242BE" w:rsidRDefault="000242BE" w:rsidP="000242BE">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lastRenderedPageBreak/>
        <w:t>Képességei:</w:t>
      </w:r>
      <w:r>
        <w:rPr>
          <w:rFonts w:ascii="Times New Roman" w:eastAsia="Times New Roman" w:hAnsi="Times New Roman" w:cs="Times New Roman"/>
          <w:bCs/>
        </w:rPr>
        <w:t xml:space="preserve"> </w:t>
      </w:r>
    </w:p>
    <w:p w:rsidR="000242BE" w:rsidRDefault="000242BE" w:rsidP="000242BE">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Képes alegység szintű ellátási feladatok végrehajtására, vezetésére békében, különleges jogrendi időszakban, többnemzeti és nemzetközi környezetben végrehajtandó béketámogató műveletekben.</w:t>
      </w:r>
    </w:p>
    <w:p w:rsidR="000242BE" w:rsidRDefault="000242BE" w:rsidP="000242BE">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Képes gazdálkodási feladatok alapszintű tervezésére, szervezésére, irányítására és az ebből adódó tevékenységek gazdasági elemzésinek végrehajtására.</w:t>
      </w:r>
    </w:p>
    <w:p w:rsidR="000242BE" w:rsidRDefault="000242BE" w:rsidP="000242BE">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Attitűdje:</w:t>
      </w:r>
      <w:r>
        <w:rPr>
          <w:rFonts w:ascii="Times New Roman" w:eastAsia="Times New Roman" w:hAnsi="Times New Roman" w:cs="Times New Roman"/>
          <w:bCs/>
        </w:rPr>
        <w:t xml:space="preserve"> </w:t>
      </w:r>
    </w:p>
    <w:p w:rsidR="000242BE" w:rsidRDefault="000242BE" w:rsidP="000242BE">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Nyitott a katonai közlekedési szakterületen zajló szakmai, technológiai fejlesztés és innováció megismerésére és elfogadására, hiteles közvetítésére és azok mindennapi munkájába való beillesztésére.</w:t>
      </w:r>
    </w:p>
    <w:p w:rsidR="000242BE" w:rsidRDefault="000242BE" w:rsidP="000242BE">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Törekszik arra, hogy önképzése a katonai közlekedési szakterületen folyamatos és szakmai céljaival megegyező legyen.</w:t>
      </w:r>
    </w:p>
    <w:p w:rsidR="000242BE" w:rsidRDefault="000242BE" w:rsidP="000242BE">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Tevékenységét a hatékonyság központú szemlélet jellemzi.</w:t>
      </w:r>
    </w:p>
    <w:p w:rsidR="000242BE" w:rsidRDefault="000242BE" w:rsidP="000242BE">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Autonómiája és felelőssége:</w:t>
      </w:r>
    </w:p>
    <w:p w:rsidR="000242BE" w:rsidRDefault="000242BE" w:rsidP="000242BE">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A katonai közlekedés szakterületén megjelenő folyamatokban képes önállóan döntéseket hozni, azokat felelősséggel, a jogszabályi keretek figyelembevételével végrehajtani.</w:t>
      </w:r>
    </w:p>
    <w:p w:rsidR="000242BE" w:rsidRDefault="000242BE" w:rsidP="000242BE">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Tisztában van döntéseinek, tevékenységének a katonai logisztikai folyamatok egészére gyakorolt hatásaival, következményeivel.</w:t>
      </w:r>
    </w:p>
    <w:p w:rsidR="000242BE" w:rsidRDefault="000242BE" w:rsidP="000242BE">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Felelősséget vállal számvetéseinek pontosságáért.</w:t>
      </w:r>
    </w:p>
    <w:p w:rsidR="000242BE" w:rsidRDefault="000242BE" w:rsidP="000242BE">
      <w:pPr>
        <w:widowControl w:val="0"/>
        <w:spacing w:before="240" w:after="0" w:line="240" w:lineRule="auto"/>
        <w:ind w:left="425"/>
        <w:jc w:val="both"/>
        <w:rPr>
          <w:rFonts w:ascii="Times New Roman" w:eastAsia="Times New Roman" w:hAnsi="Times New Roman" w:cs="Times New Roman"/>
          <w:b/>
          <w:bCs/>
          <w:lang w:val="en-US"/>
        </w:rPr>
      </w:pPr>
      <w:r>
        <w:rPr>
          <w:rFonts w:ascii="Times New Roman" w:eastAsia="Times New Roman" w:hAnsi="Times New Roman" w:cs="Times New Roman"/>
          <w:b/>
          <w:bCs/>
        </w:rPr>
        <w:t>Elérendő kompetenciák (angolul) (</w:t>
      </w:r>
      <w:r>
        <w:rPr>
          <w:rFonts w:ascii="Times New Roman" w:eastAsia="Times New Roman" w:hAnsi="Times New Roman" w:cs="Times New Roman"/>
          <w:b/>
          <w:bCs/>
          <w:lang w:val="en-US"/>
        </w:rPr>
        <w:t xml:space="preserve">Competences – English): </w:t>
      </w:r>
    </w:p>
    <w:p w:rsidR="000242BE" w:rsidRDefault="000242BE" w:rsidP="000242BE">
      <w:pPr>
        <w:widowControl w:val="0"/>
        <w:spacing w:before="120" w:after="0" w:line="240" w:lineRule="auto"/>
        <w:ind w:left="425"/>
        <w:jc w:val="both"/>
        <w:rPr>
          <w:rFonts w:ascii="Times New Roman" w:eastAsia="Times New Roman" w:hAnsi="Times New Roman" w:cs="Times New Roman"/>
          <w:lang w:val="en-GB"/>
        </w:rPr>
      </w:pPr>
      <w:r>
        <w:rPr>
          <w:rFonts w:ascii="Times New Roman" w:eastAsia="Times New Roman" w:hAnsi="Times New Roman" w:cs="Times New Roman"/>
          <w:b/>
          <w:lang w:val="en-GB"/>
        </w:rPr>
        <w:t>Knowledge</w:t>
      </w:r>
      <w:r>
        <w:rPr>
          <w:rFonts w:ascii="Times New Roman" w:eastAsia="Times New Roman" w:hAnsi="Times New Roman" w:cs="Times New Roman"/>
          <w:lang w:val="en-GB"/>
        </w:rPr>
        <w:t xml:space="preserve">: </w:t>
      </w:r>
    </w:p>
    <w:p w:rsidR="000242BE" w:rsidRDefault="000242BE" w:rsidP="000242BE">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Knows the basics and requirements of logistics, management, environmental protection, quality assurance, information technology, law and economics, connected to the field of military transportation.</w:t>
      </w:r>
    </w:p>
    <w:p w:rsidR="000242BE" w:rsidRDefault="000242BE" w:rsidP="000242BE">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Thoroughly knows the tasks of military logistics management, its tools and information system.</w:t>
      </w:r>
    </w:p>
    <w:p w:rsidR="000242BE" w:rsidRDefault="000242BE" w:rsidP="000242BE">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Knows the duties and responsibilities of stockpiling, storing, recording and inventorying of the materials owned by the services of military transportation and able to control these processes.</w:t>
      </w:r>
    </w:p>
    <w:p w:rsidR="000242BE" w:rsidRDefault="000242BE" w:rsidP="000242BE">
      <w:pPr>
        <w:widowControl w:val="0"/>
        <w:spacing w:before="120" w:after="0" w:line="240" w:lineRule="auto"/>
        <w:ind w:left="425"/>
        <w:jc w:val="both"/>
        <w:rPr>
          <w:rFonts w:ascii="Times New Roman" w:eastAsia="Times New Roman" w:hAnsi="Times New Roman" w:cs="Times New Roman"/>
          <w:lang w:val="en-GB"/>
        </w:rPr>
      </w:pPr>
      <w:r>
        <w:rPr>
          <w:rFonts w:ascii="Times New Roman" w:eastAsia="Times New Roman" w:hAnsi="Times New Roman" w:cs="Times New Roman"/>
          <w:b/>
          <w:lang w:val="en-GB"/>
        </w:rPr>
        <w:t>Capabilities</w:t>
      </w:r>
      <w:r>
        <w:rPr>
          <w:rFonts w:ascii="Times New Roman" w:eastAsia="Times New Roman" w:hAnsi="Times New Roman" w:cs="Times New Roman"/>
          <w:lang w:val="en-GB"/>
        </w:rPr>
        <w:t xml:space="preserve">: </w:t>
      </w:r>
    </w:p>
    <w:p w:rsidR="000242BE" w:rsidRDefault="000242BE" w:rsidP="000242BE">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Capable of conducting and leading the tasks of a military transportaion subunit in piece and war operations, during a peace support, crisis response, disaster relief operation both in national and multinational environment.</w:t>
      </w:r>
    </w:p>
    <w:p w:rsidR="000242BE" w:rsidRDefault="000242BE" w:rsidP="000242BE">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 xml:space="preserve">He/She is able to plan, organize, control basic management tasks, and to perform their business analysis. </w:t>
      </w:r>
    </w:p>
    <w:p w:rsidR="000242BE" w:rsidRDefault="000242BE" w:rsidP="000242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425"/>
        <w:jc w:val="both"/>
        <w:rPr>
          <w:rFonts w:ascii="Times New Roman" w:eastAsia="Times New Roman" w:hAnsi="Times New Roman" w:cs="Times New Roman"/>
          <w:lang w:val="en-GB"/>
        </w:rPr>
      </w:pPr>
      <w:r>
        <w:rPr>
          <w:rFonts w:ascii="Times New Roman" w:eastAsia="Times New Roman" w:hAnsi="Times New Roman" w:cs="Times New Roman"/>
          <w:b/>
          <w:lang w:val="en-GB"/>
        </w:rPr>
        <w:t>Attitude:</w:t>
      </w:r>
      <w:r>
        <w:rPr>
          <w:rFonts w:ascii="Times New Roman" w:eastAsia="Times New Roman" w:hAnsi="Times New Roman" w:cs="Times New Roman"/>
          <w:lang w:val="en-GB"/>
        </w:rPr>
        <w:t xml:space="preserve"> </w:t>
      </w:r>
    </w:p>
    <w:p w:rsidR="000242BE" w:rsidRDefault="000242BE" w:rsidP="000242BE">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He/She is open to know and accept professional, technological development and innovation in the field of military transportation, and also to handover and integrate them into his daily work.</w:t>
      </w:r>
    </w:p>
    <w:p w:rsidR="000242BE" w:rsidRDefault="000242BE" w:rsidP="000242BE">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He/She strives for self-education in the field of military transportation to be continuous and consistent with his professional goals.</w:t>
      </w:r>
    </w:p>
    <w:p w:rsidR="000242BE" w:rsidRDefault="000242BE" w:rsidP="000242BE">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His/Her  working activities are characterized by an efficiency-oriented approach.</w:t>
      </w:r>
    </w:p>
    <w:p w:rsidR="000242BE" w:rsidRDefault="000242BE" w:rsidP="000242BE">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lang w:val="en-GB"/>
        </w:rPr>
        <w:t xml:space="preserve">Autonomy and responsibility: </w:t>
      </w:r>
    </w:p>
    <w:p w:rsidR="000242BE" w:rsidRDefault="000242BE" w:rsidP="000242BE">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He/She is able to make decisions independently in the processes arising in the field of military transportation, and to implement them with responsibility and within the legal framework.</w:t>
      </w:r>
    </w:p>
    <w:p w:rsidR="000242BE" w:rsidRDefault="000242BE" w:rsidP="000242BE">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He/She is aware of the effects and consequences of his decisions and activities on the military logistic processes as a whole.</w:t>
      </w:r>
    </w:p>
    <w:p w:rsidR="000242BE" w:rsidRDefault="000242BE" w:rsidP="000242BE">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He / She takes responsibility for the accuracy of his/her calculations.</w:t>
      </w:r>
    </w:p>
    <w:p w:rsidR="000242BE" w:rsidRPr="000242BE" w:rsidRDefault="000242BE" w:rsidP="00980876">
      <w:pPr>
        <w:widowControl w:val="0"/>
        <w:numPr>
          <w:ilvl w:val="0"/>
          <w:numId w:val="297"/>
        </w:numPr>
        <w:tabs>
          <w:tab w:val="num" w:pos="567"/>
        </w:tabs>
        <w:spacing w:before="240" w:after="120" w:line="240" w:lineRule="auto"/>
        <w:ind w:left="426" w:hanging="142"/>
        <w:jc w:val="both"/>
        <w:rPr>
          <w:rFonts w:ascii="Times New Roman" w:eastAsia="Times New Roman" w:hAnsi="Times New Roman" w:cs="Times New Roman"/>
          <w:bCs/>
        </w:rPr>
      </w:pPr>
      <w:r w:rsidRPr="000242BE">
        <w:rPr>
          <w:rFonts w:ascii="Times New Roman" w:eastAsia="Times New Roman" w:hAnsi="Times New Roman" w:cs="Times New Roman"/>
          <w:b/>
          <w:bCs/>
        </w:rPr>
        <w:t xml:space="preserve">Előtanulmányi követelmények:  </w:t>
      </w:r>
      <w:r w:rsidRPr="000242BE">
        <w:rPr>
          <w:rFonts w:ascii="Times New Roman" w:eastAsia="Times New Roman" w:hAnsi="Times New Roman" w:cs="Times New Roman"/>
          <w:bCs/>
        </w:rPr>
        <w:t>Katonai logisztikai gazdálkodás alapjai (HKHPKA10)</w:t>
      </w:r>
    </w:p>
    <w:p w:rsidR="000242BE" w:rsidRDefault="000242BE">
      <w:pPr>
        <w:spacing w:after="200" w:line="276" w:lineRule="auto"/>
        <w:rPr>
          <w:rFonts w:ascii="Times New Roman" w:eastAsia="Times New Roman" w:hAnsi="Times New Roman" w:cs="Times New Roman"/>
          <w:b/>
          <w:bCs/>
        </w:rPr>
      </w:pPr>
      <w:r>
        <w:rPr>
          <w:rFonts w:ascii="Times New Roman" w:eastAsia="Times New Roman" w:hAnsi="Times New Roman" w:cs="Times New Roman"/>
          <w:b/>
          <w:bCs/>
        </w:rPr>
        <w:br w:type="page"/>
      </w:r>
    </w:p>
    <w:p w:rsidR="000242BE" w:rsidRDefault="000242BE" w:rsidP="00980876">
      <w:pPr>
        <w:widowControl w:val="0"/>
        <w:numPr>
          <w:ilvl w:val="0"/>
          <w:numId w:val="297"/>
        </w:numPr>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lastRenderedPageBreak/>
        <w:t>A tantárgy tananyagának leírása, tematika. Description of the subject, curriculum (magyarul, angolul - English):</w:t>
      </w:r>
    </w:p>
    <w:p w:rsidR="000242BE" w:rsidRDefault="000242BE" w:rsidP="00980876">
      <w:pPr>
        <w:widowControl w:val="0"/>
        <w:numPr>
          <w:ilvl w:val="1"/>
          <w:numId w:val="297"/>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 katonai szervezetek helye, szerepe a fejezet gazdálkodási rendszerében. </w:t>
      </w:r>
      <w:r>
        <w:rPr>
          <w:rFonts w:ascii="Times New Roman" w:eastAsia="Times New Roman" w:hAnsi="Times New Roman" w:cs="Times New Roman"/>
          <w:i/>
          <w:kern w:val="2"/>
        </w:rPr>
        <w:t>(Role and structure of the military organizations in the chapter’s management system.)</w:t>
      </w:r>
    </w:p>
    <w:p w:rsidR="000242BE" w:rsidRDefault="000242BE" w:rsidP="00980876">
      <w:pPr>
        <w:widowControl w:val="0"/>
        <w:numPr>
          <w:ilvl w:val="1"/>
          <w:numId w:val="297"/>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Pénzügyi-logisztikai feladatok a gazdálkodás megszervezésében és végrehajtásában, az ezzel kapcsolatos felelősségi és hatáskörök. </w:t>
      </w:r>
      <w:r>
        <w:rPr>
          <w:rFonts w:ascii="Times New Roman" w:eastAsia="Times New Roman" w:hAnsi="Times New Roman" w:cs="Times New Roman"/>
          <w:i/>
          <w:kern w:val="2"/>
        </w:rPr>
        <w:t>(Financial-logistic tasks during the planning and execution of management.)</w:t>
      </w:r>
    </w:p>
    <w:p w:rsidR="000242BE" w:rsidRDefault="000242BE" w:rsidP="00980876">
      <w:pPr>
        <w:widowControl w:val="0"/>
        <w:numPr>
          <w:ilvl w:val="1"/>
          <w:numId w:val="297"/>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Az előirányzatok tervezésével kapcsolatos feladatok. Tervjavaslat készítése. </w:t>
      </w:r>
      <w:r>
        <w:rPr>
          <w:rFonts w:ascii="Times New Roman" w:eastAsia="Times New Roman" w:hAnsi="Times New Roman" w:cs="Times New Roman"/>
          <w:i/>
          <w:kern w:val="2"/>
        </w:rPr>
        <w:t>(Tasks regarding budget appropriation. Preparation of the Estimate Plan.)</w:t>
      </w:r>
    </w:p>
    <w:p w:rsidR="000242BE" w:rsidRDefault="000242BE" w:rsidP="00980876">
      <w:pPr>
        <w:widowControl w:val="0"/>
        <w:numPr>
          <w:ilvl w:val="1"/>
          <w:numId w:val="297"/>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Az előirányzatok felhasználásának, módosításának szabályai. </w:t>
      </w:r>
      <w:r>
        <w:rPr>
          <w:rFonts w:ascii="Times New Roman" w:eastAsia="Times New Roman" w:hAnsi="Times New Roman" w:cs="Times New Roman"/>
          <w:i/>
          <w:kern w:val="2"/>
        </w:rPr>
        <w:t>(Rules of modifying and useing budgetary funds.)</w:t>
      </w:r>
    </w:p>
    <w:p w:rsidR="000242BE" w:rsidRDefault="000242BE" w:rsidP="00980876">
      <w:pPr>
        <w:widowControl w:val="0"/>
        <w:numPr>
          <w:ilvl w:val="1"/>
          <w:numId w:val="297"/>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Közlekedési szakfeladatok esetén a gazdálkodással kapcsolatos dokumentumok köre, kezelése, nyilvántartási feladatok. Kötelezettségvállalási, ellenjegyzési, érvényesítési, utalványozási jogkörök. </w:t>
      </w:r>
      <w:r>
        <w:rPr>
          <w:rFonts w:ascii="Times New Roman" w:eastAsia="Times New Roman" w:hAnsi="Times New Roman" w:cs="Times New Roman"/>
          <w:i/>
          <w:kern w:val="2"/>
        </w:rPr>
        <w:t>(Tasks regarding the documents connected to management, when performing military transportation tasks. Commitment, countersigning (corroboration), assignment, validation tasks.)</w:t>
      </w:r>
    </w:p>
    <w:p w:rsidR="000242BE" w:rsidRDefault="000242BE" w:rsidP="00980876">
      <w:pPr>
        <w:widowControl w:val="0"/>
        <w:numPr>
          <w:ilvl w:val="1"/>
          <w:numId w:val="297"/>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 központi és a csapattagozatban megvalósuló közlekedési szakanyag-gazdálkodás és a szállítási költségkeret gazdálkodás rendje, okmányai. </w:t>
      </w:r>
      <w:r>
        <w:rPr>
          <w:rFonts w:ascii="Times New Roman" w:eastAsia="Times New Roman" w:hAnsi="Times New Roman" w:cs="Times New Roman"/>
          <w:i/>
          <w:kern w:val="2"/>
        </w:rPr>
        <w:t>(Procedures and documents for central and unit level transport management and transportation budget management.)</w:t>
      </w:r>
    </w:p>
    <w:p w:rsidR="000242BE" w:rsidRDefault="000242BE" w:rsidP="00980876">
      <w:pPr>
        <w:widowControl w:val="0"/>
        <w:numPr>
          <w:ilvl w:val="1"/>
          <w:numId w:val="297"/>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Költségvetési beszámolás szabályai, a beszámoló elkészítésének részfeladatai. </w:t>
      </w:r>
      <w:r>
        <w:rPr>
          <w:rFonts w:ascii="Times New Roman" w:eastAsia="Times New Roman" w:hAnsi="Times New Roman" w:cs="Times New Roman"/>
          <w:i/>
          <w:kern w:val="2"/>
        </w:rPr>
        <w:t>(Rules of Budgetary Financial Reporting, tasks of preparing the Annual Report.)</w:t>
      </w:r>
    </w:p>
    <w:p w:rsidR="000242BE" w:rsidRDefault="000242BE" w:rsidP="00980876">
      <w:pPr>
        <w:widowControl w:val="0"/>
        <w:numPr>
          <w:ilvl w:val="1"/>
          <w:numId w:val="297"/>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 beszerzés, az üzemeltetés, az üzembetartás és a selejtezés előírásai. </w:t>
      </w:r>
      <w:r>
        <w:rPr>
          <w:rFonts w:ascii="Times New Roman" w:eastAsia="Times New Roman" w:hAnsi="Times New Roman" w:cs="Times New Roman"/>
          <w:i/>
          <w:kern w:val="2"/>
        </w:rPr>
        <w:t>(Rules of procurement, operation, maintenance and scrapping.)</w:t>
      </w:r>
    </w:p>
    <w:p w:rsidR="000242BE" w:rsidRDefault="000242BE" w:rsidP="00980876">
      <w:pPr>
        <w:widowControl w:val="0"/>
        <w:numPr>
          <w:ilvl w:val="1"/>
          <w:numId w:val="297"/>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 közlekedési szolgálat ellenőrzési rendszere, az ellenőrzések tervezése és végrehajtása. </w:t>
      </w:r>
      <w:r>
        <w:rPr>
          <w:rFonts w:ascii="Times New Roman" w:eastAsia="Times New Roman" w:hAnsi="Times New Roman" w:cs="Times New Roman"/>
          <w:i/>
          <w:kern w:val="2"/>
        </w:rPr>
        <w:t>(Control system of military transportation service, planning and execution of controls)</w:t>
      </w:r>
    </w:p>
    <w:p w:rsidR="000242BE" w:rsidRDefault="000242BE" w:rsidP="00980876">
      <w:pPr>
        <w:widowControl w:val="0"/>
        <w:numPr>
          <w:ilvl w:val="1"/>
          <w:numId w:val="297"/>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lang w:val="en-US"/>
        </w:rPr>
      </w:pPr>
      <w:r>
        <w:rPr>
          <w:rFonts w:ascii="Times New Roman" w:eastAsia="Times New Roman" w:hAnsi="Times New Roman" w:cs="Times New Roman"/>
        </w:rPr>
        <w:t xml:space="preserve">Zárthelyi dolgozat megírása. </w:t>
      </w:r>
      <w:r>
        <w:rPr>
          <w:rFonts w:ascii="Times New Roman" w:eastAsia="Times New Roman" w:hAnsi="Times New Roman" w:cs="Times New Roman"/>
          <w:i/>
        </w:rPr>
        <w:t>(Written test)</w:t>
      </w:r>
    </w:p>
    <w:p w:rsidR="000242BE" w:rsidRDefault="000242BE" w:rsidP="00980876">
      <w:pPr>
        <w:widowControl w:val="0"/>
        <w:numPr>
          <w:ilvl w:val="0"/>
          <w:numId w:val="297"/>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 tantárgy meghirdetésének gyakorisága/a tantervben történő félévi elhelyezkedése: </w:t>
      </w:r>
      <w:r>
        <w:rPr>
          <w:rFonts w:ascii="Times New Roman" w:eastAsia="Times New Roman" w:hAnsi="Times New Roman" w:cs="Times New Roman"/>
          <w:bCs/>
        </w:rPr>
        <w:t>Minden őszi szemeszterben / 7. félév</w:t>
      </w:r>
    </w:p>
    <w:p w:rsidR="000242BE" w:rsidRDefault="000242BE" w:rsidP="00980876">
      <w:pPr>
        <w:widowControl w:val="0"/>
        <w:numPr>
          <w:ilvl w:val="0"/>
          <w:numId w:val="297"/>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tanórákon való részvétel követelményei, az elfogadható hiányzások mértéke, a távolmaradás pótlásának lehetősége:</w:t>
      </w:r>
      <w:r>
        <w:rPr>
          <w:rFonts w:ascii="Times New Roman" w:eastAsia="Times New Roman" w:hAnsi="Times New Roman" w:cs="Times New Roman"/>
          <w:bCs/>
        </w:rPr>
        <w:t xml:space="preserve"> A tanórákon való részvétel kötelező.</w:t>
      </w:r>
      <w:r>
        <w:rPr>
          <w:rFonts w:ascii="Times New Roman" w:eastAsia="Times New Roman" w:hAnsi="Times New Roman" w:cs="Times New Roman"/>
          <w:b/>
          <w:bCs/>
        </w:rPr>
        <w:t xml:space="preserve"> </w:t>
      </w:r>
      <w:r>
        <w:rPr>
          <w:rFonts w:ascii="Times New Roman" w:eastAsia="Times New Roman" w:hAnsi="Times New Roman" w:cs="Times New Roman"/>
          <w:bCs/>
        </w:rPr>
        <w:t>A félév elfogadásának feltétele a tanórák minimum 75%-án való részvétel. Ennél magasabb mértékű távolmaradás pótlása az oktató engedélyével történhet. A hallgatónak a kimaradt tananyagot önképzés keretén belül kell elsajátítani. A kimaradt tananyag jobb megértése érdekében az oktatók konzultációs lehetőséget biztosíthatnak.</w:t>
      </w:r>
    </w:p>
    <w:p w:rsidR="000242BE" w:rsidRDefault="000242BE" w:rsidP="00980876">
      <w:pPr>
        <w:widowControl w:val="0"/>
        <w:numPr>
          <w:ilvl w:val="0"/>
          <w:numId w:val="297"/>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rPr>
        <w:t xml:space="preserve">Félévközi feladatok, ismeretek ellenőrzésének rendje: </w:t>
      </w:r>
      <w:r>
        <w:rPr>
          <w:rFonts w:ascii="Times New Roman" w:eastAsia="Times New Roman" w:hAnsi="Times New Roman" w:cs="Times New Roman"/>
        </w:rPr>
        <w:t>A tanulmányi munka alapja az előadások rendszeres látogatása, továbbá a házidolgozat határidőre és megfelelő formában történő leadása.</w:t>
      </w:r>
    </w:p>
    <w:p w:rsidR="000242BE" w:rsidRDefault="000242BE" w:rsidP="00980876">
      <w:pPr>
        <w:widowControl w:val="0"/>
        <w:numPr>
          <w:ilvl w:val="0"/>
          <w:numId w:val="297"/>
        </w:numPr>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Az értékelés, az aláírás és a kreditek megszerzésének pontos feltételei: </w:t>
      </w:r>
    </w:p>
    <w:p w:rsidR="000242BE" w:rsidRPr="00E86219" w:rsidRDefault="000242BE" w:rsidP="00980876">
      <w:pPr>
        <w:widowControl w:val="0"/>
        <w:numPr>
          <w:ilvl w:val="1"/>
          <w:numId w:val="297"/>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E86219">
        <w:rPr>
          <w:rFonts w:ascii="Times New Roman" w:eastAsia="Times New Roman" w:hAnsi="Times New Roman" w:cs="Times New Roman"/>
          <w:b/>
        </w:rPr>
        <w:t>Az aláírás megszerzésének feltételei:</w:t>
      </w:r>
      <w:r w:rsidR="00E86219" w:rsidRPr="00E86219">
        <w:rPr>
          <w:rFonts w:ascii="Times New Roman" w:eastAsia="Times New Roman" w:hAnsi="Times New Roman" w:cs="Times New Roman"/>
          <w:b/>
        </w:rPr>
        <w:t xml:space="preserve"> </w:t>
      </w:r>
      <w:r w:rsidRPr="00E86219">
        <w:rPr>
          <w:rFonts w:ascii="Times New Roman" w:eastAsia="Times New Roman" w:hAnsi="Times New Roman" w:cs="Times New Roman"/>
        </w:rPr>
        <w:t>Az aláírás feltétele a tanórákon történő – 14. pontban meghatározott – részvétel, valamint a zárthelyi dolgozat sikeres megírása.</w:t>
      </w:r>
    </w:p>
    <w:p w:rsidR="000242BE" w:rsidRPr="00E86219" w:rsidRDefault="000242BE" w:rsidP="00980876">
      <w:pPr>
        <w:widowControl w:val="0"/>
        <w:numPr>
          <w:ilvl w:val="1"/>
          <w:numId w:val="297"/>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E86219">
        <w:rPr>
          <w:rFonts w:ascii="Times New Roman" w:eastAsia="Times New Roman" w:hAnsi="Times New Roman" w:cs="Times New Roman"/>
          <w:b/>
        </w:rPr>
        <w:t>Az értékelés:</w:t>
      </w:r>
      <w:r w:rsidR="00E86219" w:rsidRPr="00E86219">
        <w:rPr>
          <w:rFonts w:ascii="Times New Roman" w:eastAsia="Times New Roman" w:hAnsi="Times New Roman" w:cs="Times New Roman"/>
          <w:b/>
        </w:rPr>
        <w:t xml:space="preserve"> </w:t>
      </w:r>
      <w:r w:rsidRPr="00E86219">
        <w:rPr>
          <w:rFonts w:ascii="Times New Roman" w:eastAsia="Times New Roman" w:hAnsi="Times New Roman" w:cs="Times New Roman"/>
        </w:rPr>
        <w:t>Az ötfokozatú évközi jegy a zárthelyi dolgozat eredménye alapján kerül kialakításra. Az elégséges értékeléshez 50% + 1 pontot kell teljesíteni. A dolgozat kérdéseiben teszt és esszé jellegű kérdések egyaránt szerepelnek. A zárhelyi dolgozat témáit a kötelező irodalmak anyagából, valamint az előadásokon elhangzott ismeretanyagból kell összeállítani.</w:t>
      </w:r>
    </w:p>
    <w:p w:rsidR="000242BE" w:rsidRPr="00E86219" w:rsidRDefault="000242BE" w:rsidP="00980876">
      <w:pPr>
        <w:widowControl w:val="0"/>
        <w:numPr>
          <w:ilvl w:val="1"/>
          <w:numId w:val="297"/>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E86219">
        <w:rPr>
          <w:rFonts w:ascii="Times New Roman" w:eastAsia="Times New Roman" w:hAnsi="Times New Roman" w:cs="Times New Roman"/>
          <w:b/>
        </w:rPr>
        <w:t>A kreditek megszerzésének feltételei:</w:t>
      </w:r>
      <w:r w:rsidRPr="00E86219">
        <w:rPr>
          <w:rFonts w:ascii="Times New Roman" w:eastAsia="Times New Roman" w:hAnsi="Times New Roman" w:cs="Times New Roman"/>
        </w:rPr>
        <w:t xml:space="preserve"> A kreditek megszerzésének feltétele az aláírás megszerzése és a legalább elégséges évközi jegy.</w:t>
      </w:r>
    </w:p>
    <w:p w:rsidR="00E86219" w:rsidRDefault="00E86219">
      <w:pPr>
        <w:spacing w:after="200" w:line="276" w:lineRule="auto"/>
        <w:rPr>
          <w:rFonts w:ascii="Times New Roman" w:eastAsia="Times New Roman" w:hAnsi="Times New Roman" w:cs="Times New Roman"/>
          <w:b/>
          <w:bCs/>
        </w:rPr>
      </w:pPr>
      <w:r>
        <w:rPr>
          <w:rFonts w:ascii="Times New Roman" w:eastAsia="Times New Roman" w:hAnsi="Times New Roman" w:cs="Times New Roman"/>
          <w:b/>
          <w:bCs/>
        </w:rPr>
        <w:br w:type="page"/>
      </w:r>
    </w:p>
    <w:p w:rsidR="000242BE" w:rsidRDefault="000242BE" w:rsidP="00980876">
      <w:pPr>
        <w:widowControl w:val="0"/>
        <w:numPr>
          <w:ilvl w:val="0"/>
          <w:numId w:val="297"/>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lastRenderedPageBreak/>
        <w:t>Irodalomjegyzék:</w:t>
      </w:r>
    </w:p>
    <w:p w:rsidR="000242BE" w:rsidRDefault="000242BE" w:rsidP="00980876">
      <w:pPr>
        <w:widowControl w:val="0"/>
        <w:numPr>
          <w:ilvl w:val="1"/>
          <w:numId w:val="297"/>
        </w:numPr>
        <w:tabs>
          <w:tab w:val="left" w:pos="567"/>
          <w:tab w:val="left" w:pos="851"/>
          <w:tab w:val="num" w:pos="2069"/>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Kötelező irodalom:</w:t>
      </w:r>
    </w:p>
    <w:p w:rsidR="000242BE" w:rsidRPr="00803D01" w:rsidRDefault="000242BE" w:rsidP="00980876">
      <w:pPr>
        <w:widowControl w:val="0"/>
        <w:numPr>
          <w:ilvl w:val="0"/>
          <w:numId w:val="298"/>
        </w:numPr>
        <w:spacing w:after="0" w:line="240" w:lineRule="auto"/>
        <w:ind w:left="851"/>
        <w:jc w:val="both"/>
        <w:rPr>
          <w:rFonts w:ascii="Times New Roman" w:eastAsia="Times New Roman" w:hAnsi="Times New Roman" w:cs="Times New Roman"/>
          <w:highlight w:val="yellow"/>
        </w:rPr>
      </w:pPr>
      <w:r w:rsidRPr="00803D01">
        <w:rPr>
          <w:rFonts w:ascii="Times New Roman" w:eastAsia="Times New Roman" w:hAnsi="Times New Roman" w:cs="Times New Roman"/>
          <w:bCs/>
          <w:highlight w:val="yellow"/>
        </w:rPr>
        <w:t>Koháriné dr. Papp Edit: Államháztartási ismeretek (Perfekt 2011 ISBN 9789633946763)</w:t>
      </w:r>
    </w:p>
    <w:p w:rsidR="000242BE" w:rsidRPr="00803D01" w:rsidRDefault="000242BE" w:rsidP="00980876">
      <w:pPr>
        <w:widowControl w:val="0"/>
        <w:numPr>
          <w:ilvl w:val="0"/>
          <w:numId w:val="298"/>
        </w:numPr>
        <w:spacing w:after="0" w:line="240" w:lineRule="auto"/>
        <w:ind w:left="851"/>
        <w:jc w:val="both"/>
        <w:rPr>
          <w:rFonts w:ascii="Times New Roman" w:eastAsia="Times New Roman" w:hAnsi="Times New Roman" w:cs="Times New Roman"/>
          <w:highlight w:val="yellow"/>
        </w:rPr>
      </w:pPr>
      <w:r w:rsidRPr="00803D01">
        <w:rPr>
          <w:rFonts w:ascii="Times New Roman" w:eastAsia="Times New Roman" w:hAnsi="Times New Roman" w:cs="Times New Roman"/>
          <w:bCs/>
          <w:highlight w:val="yellow"/>
        </w:rPr>
        <w:t>346/2009. (XII.30.) Korm. rendelet a honvédelmi szervek működésének az államháztartás működési rendjétől eltérő szabályairól</w:t>
      </w:r>
    </w:p>
    <w:p w:rsidR="000242BE" w:rsidRPr="00803D01" w:rsidRDefault="00472663" w:rsidP="00980876">
      <w:pPr>
        <w:pStyle w:val="Listaszerbekezds"/>
        <w:widowControl w:val="0"/>
        <w:numPr>
          <w:ilvl w:val="0"/>
          <w:numId w:val="298"/>
        </w:numPr>
        <w:tabs>
          <w:tab w:val="right" w:pos="851"/>
          <w:tab w:val="center" w:pos="4536"/>
          <w:tab w:val="right" w:pos="9072"/>
        </w:tabs>
        <w:spacing w:after="0" w:line="240" w:lineRule="auto"/>
        <w:ind w:left="851"/>
        <w:jc w:val="both"/>
        <w:rPr>
          <w:rFonts w:ascii="Times New Roman" w:eastAsia="Times New Roman" w:hAnsi="Times New Roman" w:cs="Times New Roman"/>
          <w:highlight w:val="yellow"/>
        </w:rPr>
      </w:pPr>
      <w:r w:rsidRPr="00803D01">
        <w:rPr>
          <w:rFonts w:ascii="Times New Roman" w:hAnsi="Times New Roman" w:cs="Times New Roman"/>
          <w:bCs/>
          <w:highlight w:val="yellow"/>
        </w:rPr>
        <w:t>A szakirodalmakban hivatkozott jogszabályok, HM és MHP belső szabályzók</w:t>
      </w:r>
      <w:r w:rsidR="000242BE" w:rsidRPr="00803D01">
        <w:rPr>
          <w:rFonts w:ascii="Times New Roman" w:eastAsia="Times New Roman" w:hAnsi="Times New Roman" w:cs="Times New Roman"/>
          <w:highlight w:val="yellow"/>
        </w:rPr>
        <w:t>.</w:t>
      </w:r>
    </w:p>
    <w:p w:rsidR="000242BE" w:rsidRPr="00803D01" w:rsidRDefault="000242BE" w:rsidP="00980876">
      <w:pPr>
        <w:widowControl w:val="0"/>
        <w:numPr>
          <w:ilvl w:val="1"/>
          <w:numId w:val="297"/>
        </w:numPr>
        <w:tabs>
          <w:tab w:val="num" w:pos="567"/>
          <w:tab w:val="num" w:pos="2069"/>
        </w:tabs>
        <w:spacing w:before="120" w:after="120" w:line="240" w:lineRule="auto"/>
        <w:ind w:left="993" w:hanging="709"/>
        <w:jc w:val="both"/>
        <w:rPr>
          <w:rFonts w:ascii="Times New Roman" w:eastAsia="Times New Roman" w:hAnsi="Times New Roman" w:cs="Times New Roman"/>
          <w:b/>
          <w:bCs/>
          <w:highlight w:val="yellow"/>
        </w:rPr>
      </w:pPr>
      <w:r w:rsidRPr="00803D01">
        <w:rPr>
          <w:rFonts w:ascii="Times New Roman" w:eastAsia="Times New Roman" w:hAnsi="Times New Roman" w:cs="Times New Roman"/>
          <w:b/>
          <w:bCs/>
          <w:highlight w:val="yellow"/>
        </w:rPr>
        <w:t>Ajánlott irodalom:</w:t>
      </w:r>
    </w:p>
    <w:p w:rsidR="000242BE" w:rsidRPr="00803D01" w:rsidRDefault="000242BE" w:rsidP="00980876">
      <w:pPr>
        <w:pStyle w:val="Listaszerbekezds"/>
        <w:widowControl w:val="0"/>
        <w:numPr>
          <w:ilvl w:val="0"/>
          <w:numId w:val="299"/>
        </w:numPr>
        <w:spacing w:after="0" w:line="240" w:lineRule="auto"/>
        <w:ind w:left="851"/>
        <w:jc w:val="both"/>
        <w:rPr>
          <w:rFonts w:ascii="Times New Roman" w:eastAsia="Times New Roman" w:hAnsi="Times New Roman" w:cs="Times New Roman"/>
          <w:highlight w:val="yellow"/>
        </w:rPr>
      </w:pPr>
      <w:r w:rsidRPr="00803D01">
        <w:rPr>
          <w:rFonts w:ascii="Times New Roman" w:eastAsia="Times New Roman" w:hAnsi="Times New Roman" w:cs="Times New Roman"/>
          <w:highlight w:val="yellow"/>
        </w:rPr>
        <w:t>Követelmények és módszerek a közlekedési szolgálat csapatgazdálkodási feladatainak végrehajtására (MH KKK, kiadvány, Budapest, 2010)</w:t>
      </w:r>
    </w:p>
    <w:p w:rsidR="000242BE" w:rsidRPr="00803D01" w:rsidRDefault="00803D01" w:rsidP="00980876">
      <w:pPr>
        <w:pStyle w:val="Listaszerbekezds"/>
        <w:widowControl w:val="0"/>
        <w:numPr>
          <w:ilvl w:val="0"/>
          <w:numId w:val="299"/>
        </w:numPr>
        <w:spacing w:after="0" w:line="240" w:lineRule="auto"/>
        <w:ind w:left="851"/>
        <w:jc w:val="both"/>
        <w:rPr>
          <w:rFonts w:ascii="Times New Roman" w:eastAsia="Times New Roman" w:hAnsi="Times New Roman" w:cs="Times New Roman"/>
          <w:highlight w:val="yellow"/>
        </w:rPr>
      </w:pPr>
      <w:r w:rsidRPr="00803D01">
        <w:rPr>
          <w:rFonts w:ascii="Times New Roman" w:eastAsia="Times New Roman" w:hAnsi="Times New Roman" w:cs="Times New Roman"/>
          <w:highlight w:val="yellow"/>
        </w:rPr>
        <w:t>Boros-Tátrai: Közbeszerzés. Nemzeti Közszolgálati Egyetem; Államtudományi és Közigazgatási Kar, 2018. ISBN 978-615-5057-90-8 (PDF)</w:t>
      </w:r>
    </w:p>
    <w:p w:rsidR="00803D01" w:rsidRDefault="00803D01" w:rsidP="00803D01">
      <w:pPr>
        <w:widowControl w:val="0"/>
        <w:spacing w:before="120" w:after="120" w:line="240" w:lineRule="auto"/>
        <w:ind w:firstLine="491"/>
        <w:jc w:val="both"/>
        <w:rPr>
          <w:rFonts w:ascii="Times New Roman" w:eastAsia="Times New Roman" w:hAnsi="Times New Roman" w:cs="Times New Roman"/>
          <w:bCs/>
        </w:rPr>
      </w:pPr>
    </w:p>
    <w:p w:rsidR="000242BE" w:rsidRDefault="000242BE" w:rsidP="00803D01">
      <w:pPr>
        <w:widowControl w:val="0"/>
        <w:spacing w:before="120" w:after="120" w:line="240" w:lineRule="auto"/>
        <w:ind w:firstLine="491"/>
        <w:jc w:val="both"/>
        <w:rPr>
          <w:rFonts w:ascii="Times New Roman" w:eastAsia="Times New Roman" w:hAnsi="Times New Roman" w:cs="Times New Roman"/>
          <w:bCs/>
        </w:rPr>
      </w:pPr>
      <w:r>
        <w:rPr>
          <w:rFonts w:ascii="Times New Roman" w:eastAsia="Times New Roman" w:hAnsi="Times New Roman" w:cs="Times New Roman"/>
          <w:bCs/>
        </w:rPr>
        <w:t>Budapest, 2020. január 14.</w:t>
      </w:r>
    </w:p>
    <w:p w:rsidR="000242BE" w:rsidRDefault="000242BE" w:rsidP="000242BE">
      <w:pPr>
        <w:widowControl w:val="0"/>
        <w:spacing w:before="120" w:after="120" w:line="240" w:lineRule="auto"/>
        <w:jc w:val="both"/>
        <w:rPr>
          <w:rFonts w:ascii="Times New Roman" w:eastAsia="Times New Roman" w:hAnsi="Times New Roman" w:cs="Times New Roman"/>
          <w:bCs/>
        </w:rPr>
      </w:pPr>
    </w:p>
    <w:p w:rsidR="000242BE" w:rsidRDefault="000242BE" w:rsidP="000242BE">
      <w:pPr>
        <w:widowControl w:val="0"/>
        <w:spacing w:after="0" w:line="240" w:lineRule="auto"/>
        <w:ind w:left="4956"/>
        <w:jc w:val="center"/>
        <w:rPr>
          <w:rFonts w:ascii="Times New Roman" w:hAnsi="Times New Roman" w:cs="Times New Roman"/>
          <w:b/>
          <w:bCs/>
        </w:rPr>
      </w:pPr>
      <w:r>
        <w:rPr>
          <w:rFonts w:ascii="Times New Roman" w:hAnsi="Times New Roman" w:cs="Times New Roman"/>
          <w:b/>
          <w:bCs/>
        </w:rPr>
        <w:t xml:space="preserve">       Dr. Pap Andrea (PhD)</w:t>
      </w:r>
    </w:p>
    <w:p w:rsidR="000242BE" w:rsidRDefault="000242BE" w:rsidP="000242BE">
      <w:pPr>
        <w:widowControl w:val="0"/>
        <w:spacing w:after="0" w:line="240" w:lineRule="auto"/>
        <w:ind w:left="5664"/>
        <w:jc w:val="both"/>
        <w:rPr>
          <w:rFonts w:ascii="Times New Roman" w:eastAsia="Times New Roman" w:hAnsi="Times New Roman" w:cs="Times New Roman"/>
          <w:bCs/>
        </w:rPr>
      </w:pPr>
      <w:r>
        <w:rPr>
          <w:rFonts w:ascii="Times New Roman" w:hAnsi="Times New Roman" w:cs="Times New Roman"/>
          <w:bCs/>
        </w:rPr>
        <w:t>tanszékvezető, egyetemi docens s.k.</w:t>
      </w:r>
    </w:p>
    <w:p w:rsidR="000242BE" w:rsidRDefault="000242BE">
      <w:pPr>
        <w:spacing w:after="200" w:line="276" w:lineRule="auto"/>
        <w:rPr>
          <w:rFonts w:ascii="Times New Roman" w:hAnsi="Times New Roman" w:cs="Times New Roman"/>
          <w:sz w:val="24"/>
        </w:rPr>
      </w:pPr>
    </w:p>
    <w:p w:rsidR="000242BE" w:rsidRDefault="000242BE">
      <w:pPr>
        <w:spacing w:after="200" w:line="276" w:lineRule="auto"/>
        <w:rPr>
          <w:rFonts w:ascii="Times New Roman" w:hAnsi="Times New Roman" w:cs="Times New Roman"/>
          <w:sz w:val="24"/>
        </w:rPr>
      </w:pPr>
      <w:r>
        <w:rPr>
          <w:rFonts w:ascii="Times New Roman" w:hAnsi="Times New Roman" w:cs="Times New Roman"/>
          <w:sz w:val="24"/>
        </w:rPr>
        <w:br w:type="page"/>
      </w:r>
    </w:p>
    <w:tbl>
      <w:tblPr>
        <w:tblW w:w="9072" w:type="dxa"/>
        <w:tblInd w:w="113" w:type="dxa"/>
        <w:tblLook w:val="01E0" w:firstRow="1" w:lastRow="1" w:firstColumn="1" w:lastColumn="1" w:noHBand="0" w:noVBand="0"/>
      </w:tblPr>
      <w:tblGrid>
        <w:gridCol w:w="4855"/>
        <w:gridCol w:w="1620"/>
        <w:gridCol w:w="2597"/>
      </w:tblGrid>
      <w:tr w:rsidR="00E82D81" w:rsidRPr="001E74FD" w:rsidTr="00E82D81">
        <w:tc>
          <w:tcPr>
            <w:tcW w:w="4855" w:type="dxa"/>
            <w:tcBorders>
              <w:bottom w:val="single" w:sz="4" w:space="0" w:color="auto"/>
            </w:tcBorders>
          </w:tcPr>
          <w:p w:rsidR="00E82D81" w:rsidRPr="001E74FD" w:rsidRDefault="00E82D81" w:rsidP="00E82D81">
            <w:pPr>
              <w:spacing w:after="0" w:line="360" w:lineRule="auto"/>
              <w:jc w:val="center"/>
              <w:rPr>
                <w:rFonts w:ascii="Times New Roman" w:eastAsia="Times New Roman" w:hAnsi="Times New Roman" w:cs="Times New Roman"/>
                <w:b/>
                <w:smallCaps/>
                <w:color w:val="000000" w:themeColor="text1"/>
                <w:lang w:eastAsia="hu-HU"/>
              </w:rPr>
            </w:pPr>
            <w:r w:rsidRPr="001E74FD">
              <w:rPr>
                <w:rFonts w:ascii="Times New Roman" w:eastAsia="Times New Roman" w:hAnsi="Times New Roman" w:cs="Times New Roman"/>
                <w:b/>
                <w:smallCaps/>
                <w:color w:val="000000" w:themeColor="text1"/>
                <w:lang w:eastAsia="hu-HU"/>
              </w:rPr>
              <w:lastRenderedPageBreak/>
              <w:t>Nemzeti Közszolgálati Egyetem</w:t>
            </w:r>
          </w:p>
        </w:tc>
        <w:tc>
          <w:tcPr>
            <w:tcW w:w="1620" w:type="dxa"/>
          </w:tcPr>
          <w:p w:rsidR="00E82D81" w:rsidRPr="001E74FD" w:rsidRDefault="00E82D81" w:rsidP="00E82D81">
            <w:pPr>
              <w:spacing w:after="0" w:line="360" w:lineRule="auto"/>
              <w:jc w:val="both"/>
              <w:rPr>
                <w:rFonts w:ascii="Times New Roman" w:eastAsia="Times New Roman" w:hAnsi="Times New Roman" w:cs="Times New Roman"/>
                <w:color w:val="000000" w:themeColor="text1"/>
                <w:lang w:eastAsia="hu-HU"/>
              </w:rPr>
            </w:pPr>
          </w:p>
        </w:tc>
        <w:tc>
          <w:tcPr>
            <w:tcW w:w="2597" w:type="dxa"/>
          </w:tcPr>
          <w:p w:rsidR="00E82D81" w:rsidRPr="001E74FD" w:rsidRDefault="00E82D81" w:rsidP="00E82D81">
            <w:pPr>
              <w:spacing w:after="0" w:line="360" w:lineRule="auto"/>
              <w:jc w:val="right"/>
              <w:rPr>
                <w:rFonts w:ascii="Times New Roman" w:eastAsia="Times New Roman" w:hAnsi="Times New Roman" w:cs="Times New Roman"/>
                <w:color w:val="000000" w:themeColor="text1"/>
                <w:lang w:eastAsia="hu-HU"/>
              </w:rPr>
            </w:pPr>
          </w:p>
        </w:tc>
      </w:tr>
      <w:tr w:rsidR="00E82D81" w:rsidRPr="001E74FD" w:rsidTr="00E82D81">
        <w:tc>
          <w:tcPr>
            <w:tcW w:w="4855" w:type="dxa"/>
            <w:tcBorders>
              <w:top w:val="single" w:sz="4" w:space="0" w:color="auto"/>
            </w:tcBorders>
          </w:tcPr>
          <w:p w:rsidR="00E82D81" w:rsidRPr="001E74FD" w:rsidRDefault="00E82D81" w:rsidP="00E82D81">
            <w:pPr>
              <w:spacing w:after="0" w:line="360" w:lineRule="auto"/>
              <w:jc w:val="center"/>
              <w:rPr>
                <w:rFonts w:ascii="Times New Roman" w:eastAsia="Times New Roman" w:hAnsi="Times New Roman" w:cs="Times New Roman"/>
                <w:b/>
                <w:color w:val="000000" w:themeColor="text1"/>
                <w:lang w:eastAsia="hu-HU"/>
              </w:rPr>
            </w:pPr>
            <w:r w:rsidRPr="001E74FD">
              <w:rPr>
                <w:rFonts w:ascii="Times New Roman" w:eastAsia="Times New Roman" w:hAnsi="Times New Roman" w:cs="Times New Roman"/>
                <w:b/>
                <w:color w:val="000000" w:themeColor="text1"/>
                <w:lang w:eastAsia="hu-HU"/>
              </w:rPr>
              <w:t xml:space="preserve">Hadtudományi és Honvédtiszképző Kar </w:t>
            </w:r>
          </w:p>
        </w:tc>
        <w:tc>
          <w:tcPr>
            <w:tcW w:w="1620" w:type="dxa"/>
          </w:tcPr>
          <w:p w:rsidR="00E82D81" w:rsidRPr="001E74FD" w:rsidRDefault="00E82D81" w:rsidP="00E82D81">
            <w:pPr>
              <w:spacing w:after="0" w:line="360" w:lineRule="auto"/>
              <w:jc w:val="both"/>
              <w:rPr>
                <w:rFonts w:ascii="Times New Roman" w:eastAsia="Times New Roman" w:hAnsi="Times New Roman" w:cs="Times New Roman"/>
                <w:color w:val="000000" w:themeColor="text1"/>
                <w:lang w:eastAsia="hu-HU"/>
              </w:rPr>
            </w:pPr>
          </w:p>
        </w:tc>
        <w:tc>
          <w:tcPr>
            <w:tcW w:w="2597" w:type="dxa"/>
          </w:tcPr>
          <w:p w:rsidR="00E82D81" w:rsidRPr="001E74FD" w:rsidRDefault="00E82D81" w:rsidP="00E82D81">
            <w:pPr>
              <w:spacing w:after="0" w:line="360" w:lineRule="auto"/>
              <w:jc w:val="both"/>
              <w:rPr>
                <w:rFonts w:ascii="Times New Roman" w:eastAsia="Times New Roman" w:hAnsi="Times New Roman" w:cs="Times New Roman"/>
                <w:color w:val="000000" w:themeColor="text1"/>
                <w:lang w:eastAsia="hu-HU"/>
              </w:rPr>
            </w:pPr>
          </w:p>
        </w:tc>
      </w:tr>
    </w:tbl>
    <w:p w:rsidR="00E82D81" w:rsidRPr="001E74FD" w:rsidRDefault="00E82D81" w:rsidP="00E82D81">
      <w:pPr>
        <w:widowControl w:val="0"/>
        <w:spacing w:after="0" w:line="360" w:lineRule="auto"/>
        <w:ind w:left="426" w:hanging="142"/>
        <w:jc w:val="center"/>
        <w:rPr>
          <w:rFonts w:ascii="Times New Roman" w:eastAsia="Times New Roman" w:hAnsi="Times New Roman" w:cs="Times New Roman"/>
          <w:b/>
          <w:bCs/>
          <w:color w:val="000000" w:themeColor="text1"/>
        </w:rPr>
      </w:pPr>
    </w:p>
    <w:p w:rsidR="00E82D81" w:rsidRPr="001E74FD" w:rsidRDefault="00E82D81" w:rsidP="00E82D81">
      <w:pPr>
        <w:widowControl w:val="0"/>
        <w:spacing w:after="0" w:line="360" w:lineRule="auto"/>
        <w:ind w:left="426" w:hanging="142"/>
        <w:jc w:val="center"/>
        <w:rPr>
          <w:rFonts w:ascii="Times New Roman" w:eastAsia="Times New Roman" w:hAnsi="Times New Roman" w:cs="Times New Roman"/>
          <w:b/>
          <w:bCs/>
          <w:color w:val="000000" w:themeColor="text1"/>
        </w:rPr>
      </w:pPr>
      <w:r w:rsidRPr="001E74FD">
        <w:rPr>
          <w:rFonts w:ascii="Times New Roman" w:eastAsia="Times New Roman" w:hAnsi="Times New Roman" w:cs="Times New Roman"/>
          <w:b/>
          <w:bCs/>
          <w:color w:val="000000" w:themeColor="text1"/>
        </w:rPr>
        <w:t>TANTÁRGYI PROGRAM</w:t>
      </w:r>
    </w:p>
    <w:p w:rsidR="00E82D81" w:rsidRPr="00803D01" w:rsidRDefault="00E82D81" w:rsidP="00980876">
      <w:pPr>
        <w:widowControl w:val="0"/>
        <w:numPr>
          <w:ilvl w:val="0"/>
          <w:numId w:val="612"/>
        </w:numPr>
        <w:tabs>
          <w:tab w:val="num" w:pos="567"/>
        </w:tabs>
        <w:spacing w:after="0" w:line="360" w:lineRule="auto"/>
        <w:ind w:left="426" w:hanging="142"/>
        <w:jc w:val="both"/>
        <w:rPr>
          <w:rFonts w:ascii="Times New Roman" w:eastAsia="Times New Roman" w:hAnsi="Times New Roman" w:cs="Times New Roman"/>
          <w:bCs/>
          <w:color w:val="000000" w:themeColor="text1"/>
          <w:highlight w:val="yellow"/>
        </w:rPr>
      </w:pPr>
      <w:r w:rsidRPr="00803D01">
        <w:rPr>
          <w:rFonts w:ascii="Times New Roman" w:eastAsia="Times New Roman" w:hAnsi="Times New Roman" w:cs="Times New Roman"/>
          <w:b/>
          <w:bCs/>
          <w:color w:val="000000" w:themeColor="text1"/>
          <w:highlight w:val="yellow"/>
        </w:rPr>
        <w:t xml:space="preserve">A tantárgy kódja: </w:t>
      </w:r>
      <w:r w:rsidRPr="00803D01">
        <w:rPr>
          <w:rFonts w:ascii="Times New Roman" w:hAnsi="Times New Roman" w:cs="Times New Roman"/>
          <w:color w:val="000000" w:themeColor="text1"/>
          <w:highlight w:val="yellow"/>
        </w:rPr>
        <w:t>HKHPKA320 </w:t>
      </w:r>
    </w:p>
    <w:p w:rsidR="00E82D81" w:rsidRPr="00803D01" w:rsidRDefault="00E82D81" w:rsidP="00980876">
      <w:pPr>
        <w:widowControl w:val="0"/>
        <w:numPr>
          <w:ilvl w:val="0"/>
          <w:numId w:val="612"/>
        </w:numPr>
        <w:tabs>
          <w:tab w:val="num" w:pos="567"/>
        </w:tabs>
        <w:spacing w:after="0" w:line="360" w:lineRule="auto"/>
        <w:ind w:left="426" w:hanging="142"/>
        <w:jc w:val="both"/>
        <w:rPr>
          <w:rFonts w:ascii="Times New Roman" w:eastAsia="Times New Roman" w:hAnsi="Times New Roman" w:cs="Times New Roman"/>
          <w:b/>
          <w:bCs/>
          <w:color w:val="000000" w:themeColor="text1"/>
          <w:highlight w:val="yellow"/>
          <w:lang w:val="en-GB"/>
        </w:rPr>
      </w:pPr>
      <w:r w:rsidRPr="00803D01">
        <w:rPr>
          <w:rFonts w:ascii="Times New Roman" w:eastAsia="Times New Roman" w:hAnsi="Times New Roman" w:cs="Times New Roman"/>
          <w:b/>
          <w:bCs/>
          <w:color w:val="000000" w:themeColor="text1"/>
          <w:highlight w:val="yellow"/>
        </w:rPr>
        <w:t>A tantárgy megnevezése (magyarul):</w:t>
      </w:r>
      <w:r w:rsidRPr="00803D01">
        <w:rPr>
          <w:rFonts w:ascii="Times New Roman" w:eastAsia="Times New Roman" w:hAnsi="Times New Roman" w:cs="Times New Roman"/>
          <w:bCs/>
          <w:color w:val="000000" w:themeColor="text1"/>
          <w:highlight w:val="yellow"/>
        </w:rPr>
        <w:t xml:space="preserve"> </w:t>
      </w:r>
      <w:r w:rsidRPr="00803D01">
        <w:rPr>
          <w:rFonts w:ascii="Times New Roman" w:hAnsi="Times New Roman" w:cs="Times New Roman"/>
          <w:color w:val="000000" w:themeColor="text1"/>
          <w:highlight w:val="yellow"/>
        </w:rPr>
        <w:t>Közlekedési-szállító alegységek műveleti alkalmazása II.</w:t>
      </w:r>
    </w:p>
    <w:p w:rsidR="00E82D81" w:rsidRPr="00803D01" w:rsidRDefault="00E82D81" w:rsidP="00980876">
      <w:pPr>
        <w:widowControl w:val="0"/>
        <w:numPr>
          <w:ilvl w:val="0"/>
          <w:numId w:val="612"/>
        </w:numPr>
        <w:tabs>
          <w:tab w:val="num" w:pos="567"/>
        </w:tabs>
        <w:spacing w:after="0" w:line="360" w:lineRule="auto"/>
        <w:ind w:left="426" w:hanging="142"/>
        <w:jc w:val="both"/>
        <w:rPr>
          <w:rFonts w:ascii="Times New Roman" w:eastAsia="Times New Roman" w:hAnsi="Times New Roman" w:cs="Times New Roman"/>
          <w:b/>
          <w:bCs/>
          <w:color w:val="000000" w:themeColor="text1"/>
          <w:highlight w:val="yellow"/>
          <w:lang w:val="en-GB"/>
        </w:rPr>
      </w:pPr>
      <w:r w:rsidRPr="00803D01">
        <w:rPr>
          <w:rFonts w:ascii="Times New Roman" w:eastAsia="Times New Roman" w:hAnsi="Times New Roman" w:cs="Times New Roman"/>
          <w:b/>
          <w:bCs/>
          <w:color w:val="000000" w:themeColor="text1"/>
          <w:highlight w:val="yellow"/>
        </w:rPr>
        <w:t xml:space="preserve">A tantárgy megnevezése (angolul): </w:t>
      </w:r>
      <w:r w:rsidRPr="00803D01">
        <w:rPr>
          <w:rFonts w:ascii="Times New Roman" w:hAnsi="Times New Roman" w:cs="Times New Roman"/>
          <w:bCs/>
          <w:color w:val="000000" w:themeColor="text1"/>
          <w:highlight w:val="yellow"/>
        </w:rPr>
        <w:t>Transportation sub-unit operational practice II.</w:t>
      </w:r>
    </w:p>
    <w:p w:rsidR="00E82D81" w:rsidRPr="00803D01" w:rsidRDefault="00E82D81" w:rsidP="00980876">
      <w:pPr>
        <w:widowControl w:val="0"/>
        <w:numPr>
          <w:ilvl w:val="0"/>
          <w:numId w:val="612"/>
        </w:numPr>
        <w:tabs>
          <w:tab w:val="num" w:pos="567"/>
        </w:tabs>
        <w:spacing w:after="0" w:line="360" w:lineRule="auto"/>
        <w:ind w:left="426" w:hanging="142"/>
        <w:jc w:val="both"/>
        <w:rPr>
          <w:rFonts w:ascii="Times New Roman" w:eastAsia="Times New Roman" w:hAnsi="Times New Roman" w:cs="Times New Roman"/>
          <w:b/>
          <w:bCs/>
          <w:color w:val="000000" w:themeColor="text1"/>
          <w:highlight w:val="yellow"/>
        </w:rPr>
      </w:pPr>
      <w:r w:rsidRPr="00803D01">
        <w:rPr>
          <w:rFonts w:ascii="Times New Roman" w:eastAsia="Times New Roman" w:hAnsi="Times New Roman" w:cs="Times New Roman"/>
          <w:b/>
          <w:bCs/>
          <w:color w:val="000000" w:themeColor="text1"/>
          <w:highlight w:val="yellow"/>
        </w:rPr>
        <w:t xml:space="preserve">Kreditérték és képzési karakter: </w:t>
      </w:r>
    </w:p>
    <w:p w:rsidR="00E82D81" w:rsidRPr="00803D01" w:rsidRDefault="00E82D81" w:rsidP="00980876">
      <w:pPr>
        <w:pStyle w:val="Listaszerbekezds"/>
        <w:widowControl w:val="0"/>
        <w:numPr>
          <w:ilvl w:val="1"/>
          <w:numId w:val="612"/>
        </w:numPr>
        <w:tabs>
          <w:tab w:val="clear" w:pos="3977"/>
        </w:tabs>
        <w:spacing w:after="0" w:line="240" w:lineRule="auto"/>
        <w:ind w:left="992" w:hanging="425"/>
        <w:jc w:val="both"/>
        <w:rPr>
          <w:rFonts w:ascii="Times New Roman" w:eastAsia="Times New Roman" w:hAnsi="Times New Roman" w:cs="Times New Roman"/>
          <w:b/>
          <w:bCs/>
          <w:color w:val="000000" w:themeColor="text1"/>
          <w:highlight w:val="yellow"/>
        </w:rPr>
      </w:pPr>
      <w:r w:rsidRPr="00803D01">
        <w:rPr>
          <w:rFonts w:ascii="Times New Roman" w:eastAsia="Times New Roman" w:hAnsi="Times New Roman" w:cs="Times New Roman"/>
          <w:bCs/>
          <w:color w:val="000000" w:themeColor="text1"/>
          <w:highlight w:val="yellow"/>
        </w:rPr>
        <w:t>4 kredit</w:t>
      </w:r>
    </w:p>
    <w:p w:rsidR="00E82D81" w:rsidRPr="00803D01" w:rsidRDefault="00E82D81" w:rsidP="00980876">
      <w:pPr>
        <w:pStyle w:val="Listaszerbekezds"/>
        <w:widowControl w:val="0"/>
        <w:numPr>
          <w:ilvl w:val="1"/>
          <w:numId w:val="612"/>
        </w:numPr>
        <w:tabs>
          <w:tab w:val="clear" w:pos="3977"/>
        </w:tabs>
        <w:spacing w:after="120" w:line="240" w:lineRule="auto"/>
        <w:ind w:left="992" w:hanging="425"/>
        <w:jc w:val="both"/>
        <w:rPr>
          <w:rFonts w:ascii="Times New Roman" w:eastAsia="Times New Roman" w:hAnsi="Times New Roman" w:cs="Times New Roman"/>
          <w:b/>
          <w:bCs/>
          <w:color w:val="000000" w:themeColor="text1"/>
          <w:highlight w:val="yellow"/>
        </w:rPr>
      </w:pPr>
      <w:r w:rsidRPr="00803D01">
        <w:rPr>
          <w:rFonts w:ascii="Times New Roman" w:eastAsia="Times New Roman" w:hAnsi="Times New Roman" w:cs="Times New Roman"/>
          <w:bCs/>
          <w:color w:val="000000" w:themeColor="text1"/>
          <w:highlight w:val="yellow"/>
        </w:rPr>
        <w:t>a tantárgy elméleti vagy gyakorlati jellegének mértéke: 60</w:t>
      </w:r>
      <w:r w:rsidRPr="00803D01">
        <w:rPr>
          <w:rFonts w:ascii="Times New Roman" w:eastAsia="Times New Roman" w:hAnsi="Times New Roman" w:cs="Times New Roman"/>
          <w:b/>
          <w:bCs/>
          <w:color w:val="000000" w:themeColor="text1"/>
          <w:highlight w:val="yellow"/>
        </w:rPr>
        <w:t xml:space="preserve"> </w:t>
      </w:r>
      <w:r w:rsidRPr="00803D01">
        <w:rPr>
          <w:rFonts w:ascii="Times New Roman" w:eastAsia="Times New Roman" w:hAnsi="Times New Roman" w:cs="Times New Roman"/>
          <w:bCs/>
          <w:color w:val="000000" w:themeColor="text1"/>
          <w:highlight w:val="yellow"/>
        </w:rPr>
        <w:t>% gyakorlat, 40 % elmélet</w:t>
      </w:r>
    </w:p>
    <w:p w:rsidR="00E82D81" w:rsidRPr="001E74FD" w:rsidRDefault="00E82D81" w:rsidP="00980876">
      <w:pPr>
        <w:widowControl w:val="0"/>
        <w:numPr>
          <w:ilvl w:val="0"/>
          <w:numId w:val="612"/>
        </w:numPr>
        <w:tabs>
          <w:tab w:val="num" w:pos="567"/>
        </w:tabs>
        <w:spacing w:after="0" w:line="360" w:lineRule="auto"/>
        <w:ind w:left="426" w:hanging="142"/>
        <w:jc w:val="both"/>
        <w:rPr>
          <w:rFonts w:ascii="Times New Roman" w:eastAsia="Times New Roman" w:hAnsi="Times New Roman" w:cs="Times New Roman"/>
          <w:b/>
          <w:bCs/>
          <w:color w:val="000000" w:themeColor="text1"/>
        </w:rPr>
      </w:pPr>
      <w:r w:rsidRPr="001E74FD">
        <w:rPr>
          <w:rFonts w:ascii="Times New Roman" w:eastAsia="Times New Roman" w:hAnsi="Times New Roman" w:cs="Times New Roman"/>
          <w:b/>
          <w:bCs/>
          <w:color w:val="000000" w:themeColor="text1"/>
        </w:rPr>
        <w:t xml:space="preserve">A szak(ok), szakirányok/specializációk megnevezése (ahol oktatják): </w:t>
      </w:r>
    </w:p>
    <w:p w:rsidR="00E82D81" w:rsidRPr="001E74FD" w:rsidRDefault="00E82D81" w:rsidP="00E82D81">
      <w:pPr>
        <w:widowControl w:val="0"/>
        <w:spacing w:after="0" w:line="360" w:lineRule="auto"/>
        <w:ind w:left="426"/>
        <w:jc w:val="both"/>
        <w:rPr>
          <w:rFonts w:ascii="Times New Roman" w:eastAsia="Times New Roman" w:hAnsi="Times New Roman" w:cs="Times New Roman"/>
          <w:bCs/>
          <w:color w:val="000000" w:themeColor="text1"/>
        </w:rPr>
      </w:pPr>
      <w:r w:rsidRPr="001E74FD">
        <w:rPr>
          <w:rFonts w:ascii="Times New Roman" w:eastAsia="Times New Roman" w:hAnsi="Times New Roman" w:cs="Times New Roman"/>
          <w:bCs/>
          <w:color w:val="000000" w:themeColor="text1"/>
        </w:rPr>
        <w:t>Katonai logisztika alapképzési szak/katonai közlekedési specializáció</w:t>
      </w:r>
    </w:p>
    <w:p w:rsidR="00E82D81" w:rsidRPr="001E74FD" w:rsidRDefault="00E82D81" w:rsidP="00980876">
      <w:pPr>
        <w:widowControl w:val="0"/>
        <w:numPr>
          <w:ilvl w:val="0"/>
          <w:numId w:val="612"/>
        </w:numPr>
        <w:tabs>
          <w:tab w:val="num" w:pos="567"/>
        </w:tabs>
        <w:spacing w:after="0" w:line="360" w:lineRule="auto"/>
        <w:ind w:left="426" w:hanging="142"/>
        <w:jc w:val="both"/>
        <w:rPr>
          <w:rFonts w:ascii="Times New Roman" w:eastAsia="Times New Roman" w:hAnsi="Times New Roman" w:cs="Times New Roman"/>
          <w:bCs/>
          <w:color w:val="000000" w:themeColor="text1"/>
        </w:rPr>
      </w:pPr>
      <w:r w:rsidRPr="001E74FD">
        <w:rPr>
          <w:rFonts w:ascii="Times New Roman" w:eastAsia="Times New Roman" w:hAnsi="Times New Roman" w:cs="Times New Roman"/>
          <w:b/>
          <w:bCs/>
          <w:color w:val="000000" w:themeColor="text1"/>
        </w:rPr>
        <w:t xml:space="preserve">Az oktatásért felelős oktatási szervezeti egység megnevezése: </w:t>
      </w:r>
      <w:r w:rsidRPr="001E74FD">
        <w:rPr>
          <w:rFonts w:ascii="Times New Roman" w:hAnsi="Times New Roman" w:cs="Times New Roman"/>
          <w:color w:val="000000" w:themeColor="text1"/>
        </w:rPr>
        <w:t>NKE Hadtudományi és Honvédtisztképző Kar Műveleti Logisztikai Tanszék</w:t>
      </w:r>
    </w:p>
    <w:p w:rsidR="00E82D81" w:rsidRPr="001E74FD" w:rsidRDefault="00E82D81" w:rsidP="00980876">
      <w:pPr>
        <w:widowControl w:val="0"/>
        <w:numPr>
          <w:ilvl w:val="0"/>
          <w:numId w:val="612"/>
        </w:numPr>
        <w:tabs>
          <w:tab w:val="num" w:pos="567"/>
        </w:tabs>
        <w:spacing w:after="0" w:line="360" w:lineRule="auto"/>
        <w:ind w:left="426" w:hanging="142"/>
        <w:jc w:val="both"/>
        <w:rPr>
          <w:rFonts w:ascii="Times New Roman" w:eastAsia="Times New Roman" w:hAnsi="Times New Roman" w:cs="Times New Roman"/>
          <w:bCs/>
          <w:color w:val="000000" w:themeColor="text1"/>
        </w:rPr>
      </w:pPr>
      <w:r w:rsidRPr="001E74FD">
        <w:rPr>
          <w:rFonts w:ascii="Times New Roman" w:eastAsia="Times New Roman" w:hAnsi="Times New Roman" w:cs="Times New Roman"/>
          <w:b/>
          <w:bCs/>
          <w:color w:val="000000" w:themeColor="text1"/>
        </w:rPr>
        <w:t>A tantárgyfelelős oktató neve, beosztása, tudományos fokozata:</w:t>
      </w:r>
      <w:r w:rsidRPr="001E74FD">
        <w:rPr>
          <w:rFonts w:ascii="Times New Roman" w:eastAsia="Times New Roman" w:hAnsi="Times New Roman" w:cs="Times New Roman"/>
          <w:bCs/>
          <w:color w:val="000000" w:themeColor="text1"/>
        </w:rPr>
        <w:t xml:space="preserve"> </w:t>
      </w:r>
      <w:r w:rsidRPr="001E74FD">
        <w:rPr>
          <w:rFonts w:ascii="Times New Roman" w:hAnsi="Times New Roman" w:cs="Times New Roman"/>
          <w:bCs/>
          <w:color w:val="000000" w:themeColor="text1"/>
        </w:rPr>
        <w:t>Dr. Bodoróczki János alezredes, PhD,</w:t>
      </w:r>
      <w:r w:rsidRPr="001E74FD">
        <w:rPr>
          <w:rFonts w:ascii="Times New Roman" w:eastAsia="Times New Roman" w:hAnsi="Times New Roman" w:cs="Times New Roman"/>
          <w:bCs/>
          <w:color w:val="000000" w:themeColor="text1"/>
        </w:rPr>
        <w:t xml:space="preserve"> </w:t>
      </w:r>
      <w:r w:rsidRPr="001E74FD">
        <w:rPr>
          <w:rFonts w:ascii="Times New Roman" w:hAnsi="Times New Roman" w:cs="Times New Roman"/>
          <w:bCs/>
          <w:color w:val="000000" w:themeColor="text1"/>
        </w:rPr>
        <w:t xml:space="preserve">kiemelt főtiszt, tanársegéd </w:t>
      </w:r>
    </w:p>
    <w:p w:rsidR="00E82D81" w:rsidRPr="001E74FD" w:rsidRDefault="00E82D81" w:rsidP="00980876">
      <w:pPr>
        <w:widowControl w:val="0"/>
        <w:numPr>
          <w:ilvl w:val="0"/>
          <w:numId w:val="612"/>
        </w:numPr>
        <w:spacing w:after="0" w:line="360" w:lineRule="auto"/>
        <w:ind w:left="426" w:hanging="142"/>
        <w:jc w:val="both"/>
        <w:rPr>
          <w:rFonts w:ascii="Times New Roman" w:eastAsia="Times New Roman" w:hAnsi="Times New Roman" w:cs="Times New Roman"/>
          <w:bCs/>
          <w:color w:val="000000" w:themeColor="text1"/>
        </w:rPr>
      </w:pPr>
      <w:r w:rsidRPr="001E74FD">
        <w:rPr>
          <w:rFonts w:ascii="Times New Roman" w:eastAsia="Times New Roman" w:hAnsi="Times New Roman" w:cs="Times New Roman"/>
          <w:b/>
          <w:bCs/>
          <w:color w:val="000000" w:themeColor="text1"/>
        </w:rPr>
        <w:t>A tanórák száma és típusa</w:t>
      </w:r>
    </w:p>
    <w:p w:rsidR="00E82D81" w:rsidRPr="001E74FD" w:rsidRDefault="00E82D81" w:rsidP="00980876">
      <w:pPr>
        <w:widowControl w:val="0"/>
        <w:numPr>
          <w:ilvl w:val="1"/>
          <w:numId w:val="612"/>
        </w:numPr>
        <w:tabs>
          <w:tab w:val="clear" w:pos="3977"/>
          <w:tab w:val="num" w:pos="709"/>
          <w:tab w:val="num" w:pos="2069"/>
        </w:tabs>
        <w:spacing w:after="0" w:line="360" w:lineRule="auto"/>
        <w:ind w:left="851" w:hanging="425"/>
        <w:jc w:val="both"/>
        <w:rPr>
          <w:rFonts w:ascii="Times New Roman" w:eastAsia="Times New Roman" w:hAnsi="Times New Roman" w:cs="Times New Roman"/>
          <w:bCs/>
          <w:color w:val="000000" w:themeColor="text1"/>
        </w:rPr>
      </w:pPr>
      <w:r w:rsidRPr="001E74FD">
        <w:rPr>
          <w:rFonts w:ascii="Times New Roman" w:eastAsia="Times New Roman" w:hAnsi="Times New Roman" w:cs="Times New Roman"/>
          <w:bCs/>
          <w:color w:val="000000" w:themeColor="text1"/>
        </w:rPr>
        <w:t>össz óraszám/félév: 56</w:t>
      </w:r>
    </w:p>
    <w:p w:rsidR="00E82D81" w:rsidRPr="001E74FD" w:rsidRDefault="00E82D81" w:rsidP="00980876">
      <w:pPr>
        <w:widowControl w:val="0"/>
        <w:numPr>
          <w:ilvl w:val="2"/>
          <w:numId w:val="612"/>
        </w:numPr>
        <w:tabs>
          <w:tab w:val="num" w:pos="709"/>
          <w:tab w:val="num" w:pos="1134"/>
        </w:tabs>
        <w:spacing w:after="0" w:line="360" w:lineRule="auto"/>
        <w:ind w:left="993" w:hanging="425"/>
        <w:jc w:val="both"/>
        <w:rPr>
          <w:rFonts w:ascii="Times New Roman" w:eastAsia="Times New Roman" w:hAnsi="Times New Roman" w:cs="Times New Roman"/>
          <w:bCs/>
          <w:color w:val="000000" w:themeColor="text1"/>
        </w:rPr>
      </w:pPr>
      <w:r w:rsidRPr="001E74FD">
        <w:rPr>
          <w:rFonts w:ascii="Times New Roman" w:eastAsia="Times New Roman" w:hAnsi="Times New Roman" w:cs="Times New Roman"/>
          <w:bCs/>
          <w:color w:val="000000" w:themeColor="text1"/>
        </w:rPr>
        <w:t>nappali munkarend: 56 (22 EA + 0 SZ + 34 GY)</w:t>
      </w:r>
    </w:p>
    <w:p w:rsidR="00E82D81" w:rsidRPr="001E74FD" w:rsidRDefault="00E82D81" w:rsidP="00980876">
      <w:pPr>
        <w:widowControl w:val="0"/>
        <w:numPr>
          <w:ilvl w:val="2"/>
          <w:numId w:val="612"/>
        </w:numPr>
        <w:tabs>
          <w:tab w:val="num" w:pos="709"/>
          <w:tab w:val="num" w:pos="1134"/>
        </w:tabs>
        <w:spacing w:after="0" w:line="360" w:lineRule="auto"/>
        <w:ind w:left="993" w:hanging="425"/>
        <w:jc w:val="both"/>
        <w:rPr>
          <w:rFonts w:ascii="Times New Roman" w:eastAsia="Times New Roman" w:hAnsi="Times New Roman" w:cs="Times New Roman"/>
          <w:bCs/>
          <w:color w:val="000000" w:themeColor="text1"/>
        </w:rPr>
      </w:pPr>
      <w:r w:rsidRPr="001E74FD">
        <w:rPr>
          <w:rFonts w:ascii="Times New Roman" w:eastAsia="Times New Roman" w:hAnsi="Times New Roman" w:cs="Times New Roman"/>
          <w:bCs/>
          <w:color w:val="000000" w:themeColor="text1"/>
        </w:rPr>
        <w:t>levelező munkarend: 0 (0 EA + 0 SZ + 0 GY)</w:t>
      </w:r>
    </w:p>
    <w:p w:rsidR="00E82D81" w:rsidRPr="001E74FD" w:rsidRDefault="00E82D81" w:rsidP="00980876">
      <w:pPr>
        <w:widowControl w:val="0"/>
        <w:numPr>
          <w:ilvl w:val="1"/>
          <w:numId w:val="612"/>
        </w:numPr>
        <w:tabs>
          <w:tab w:val="clear" w:pos="3977"/>
          <w:tab w:val="num" w:pos="709"/>
          <w:tab w:val="num" w:pos="2069"/>
        </w:tabs>
        <w:spacing w:after="0" w:line="360" w:lineRule="auto"/>
        <w:ind w:left="851" w:hanging="425"/>
        <w:jc w:val="both"/>
        <w:rPr>
          <w:rFonts w:ascii="Times New Roman" w:eastAsia="Times New Roman" w:hAnsi="Times New Roman" w:cs="Times New Roman"/>
          <w:bCs/>
          <w:color w:val="000000" w:themeColor="text1"/>
        </w:rPr>
      </w:pPr>
      <w:r w:rsidRPr="001E74FD">
        <w:rPr>
          <w:rFonts w:ascii="Times New Roman" w:eastAsia="Times New Roman" w:hAnsi="Times New Roman" w:cs="Times New Roman"/>
          <w:bCs/>
          <w:color w:val="000000" w:themeColor="text1"/>
        </w:rPr>
        <w:t>heti óraszám - nappali munkarend: 3</w:t>
      </w:r>
    </w:p>
    <w:p w:rsidR="00E82D81" w:rsidRPr="001E74FD" w:rsidRDefault="00E82D81" w:rsidP="00980876">
      <w:pPr>
        <w:widowControl w:val="0"/>
        <w:numPr>
          <w:ilvl w:val="1"/>
          <w:numId w:val="612"/>
        </w:numPr>
        <w:tabs>
          <w:tab w:val="clear" w:pos="3977"/>
          <w:tab w:val="num" w:pos="709"/>
          <w:tab w:val="num" w:pos="2069"/>
        </w:tabs>
        <w:spacing w:after="0" w:line="240" w:lineRule="auto"/>
        <w:ind w:left="851" w:hanging="425"/>
        <w:jc w:val="both"/>
        <w:rPr>
          <w:rFonts w:ascii="Times New Roman" w:hAnsi="Times New Roman" w:cs="Times New Roman"/>
          <w:color w:val="000000" w:themeColor="text1"/>
        </w:rPr>
      </w:pPr>
      <w:r w:rsidRPr="001E74FD">
        <w:rPr>
          <w:rFonts w:ascii="Times New Roman" w:hAnsi="Times New Roman" w:cs="Times New Roman"/>
          <w:color w:val="000000" w:themeColor="text1"/>
        </w:rPr>
        <w:t>Az ismeret átadásában alkalmazandó további sajátos módok, jellemzők: Vegyes tanulási program (</w:t>
      </w:r>
      <w:r w:rsidRPr="001E74FD">
        <w:rPr>
          <w:rFonts w:ascii="Times New Roman" w:hAnsi="Times New Roman" w:cs="Times New Roman"/>
          <w:i/>
          <w:color w:val="000000" w:themeColor="text1"/>
        </w:rPr>
        <w:t>blended learning</w:t>
      </w:r>
      <w:r w:rsidRPr="001E74FD">
        <w:rPr>
          <w:rFonts w:ascii="Times New Roman" w:hAnsi="Times New Roman" w:cs="Times New Roman"/>
          <w:color w:val="000000" w:themeColor="text1"/>
        </w:rPr>
        <w:t>). A képzés alatt kettő sajátosság érvényesül. A tananyag oktatása részben a Magyar Honvédség logisztikai támogatást meghatározó hatályos szabályzatok feldolgozásával tanteremben, részben a rendelkezésre álló műveleti tapasztalatok feldolgozásával, szükség esetén mentorok segítségével történik.</w:t>
      </w:r>
    </w:p>
    <w:p w:rsidR="00E82D81" w:rsidRPr="001E74FD" w:rsidRDefault="00E82D81" w:rsidP="00980876">
      <w:pPr>
        <w:widowControl w:val="0"/>
        <w:numPr>
          <w:ilvl w:val="0"/>
          <w:numId w:val="612"/>
        </w:numPr>
        <w:spacing w:after="0" w:line="240" w:lineRule="auto"/>
        <w:ind w:left="426" w:hanging="142"/>
        <w:jc w:val="both"/>
        <w:rPr>
          <w:rFonts w:ascii="Times New Roman" w:eastAsia="Times New Roman" w:hAnsi="Times New Roman" w:cs="Times New Roman"/>
          <w:bCs/>
          <w:color w:val="000000" w:themeColor="text1"/>
        </w:rPr>
      </w:pPr>
      <w:r w:rsidRPr="001E74FD">
        <w:rPr>
          <w:rFonts w:ascii="Times New Roman" w:eastAsia="Times New Roman" w:hAnsi="Times New Roman" w:cs="Times New Roman"/>
          <w:b/>
          <w:bCs/>
          <w:color w:val="000000" w:themeColor="text1"/>
        </w:rPr>
        <w:t>A tantárgy szakmai tartalma (magyarul):</w:t>
      </w:r>
      <w:r w:rsidRPr="001E74FD">
        <w:rPr>
          <w:rFonts w:ascii="Times New Roman" w:eastAsia="Times New Roman" w:hAnsi="Times New Roman" w:cs="Times New Roman"/>
          <w:bCs/>
          <w:color w:val="000000" w:themeColor="text1"/>
        </w:rPr>
        <w:t xml:space="preserve"> </w:t>
      </w:r>
      <w:r w:rsidRPr="001E74FD">
        <w:rPr>
          <w:rFonts w:ascii="Times New Roman" w:hAnsi="Times New Roman" w:cs="Times New Roman"/>
          <w:color w:val="000000" w:themeColor="text1"/>
        </w:rPr>
        <w:t>A katonai logisztikai alapképzésen résztvevő hallgatók átfogó módon ismerkedhetnek meg a Magyar Honvédség logisztikai támogató rendszerét meghatározó alapvető szervezetekkel és eljárásokkal.</w:t>
      </w:r>
      <w:r w:rsidRPr="001E74FD">
        <w:rPr>
          <w:rFonts w:ascii="Times New Roman" w:eastAsia="Times New Roman" w:hAnsi="Times New Roman" w:cs="Times New Roman"/>
          <w:bCs/>
          <w:color w:val="000000" w:themeColor="text1"/>
        </w:rPr>
        <w:t xml:space="preserve"> </w:t>
      </w:r>
      <w:r w:rsidRPr="001E74FD">
        <w:rPr>
          <w:rFonts w:ascii="Times New Roman" w:hAnsi="Times New Roman" w:cs="Times New Roman"/>
          <w:color w:val="000000" w:themeColor="text1"/>
        </w:rPr>
        <w:t>Az ismeretek elsajátítására a tematikus feldolgozásával kerül sor. A foglalkozások kiemelten kezelik a gyakorlati kapcsolódási pontokat a műveletek és az intézkedések között.</w:t>
      </w:r>
    </w:p>
    <w:p w:rsidR="00E82D81" w:rsidRPr="001E74FD" w:rsidRDefault="00E82D81" w:rsidP="00E86219">
      <w:pPr>
        <w:widowControl w:val="0"/>
        <w:spacing w:after="0" w:line="240" w:lineRule="auto"/>
        <w:ind w:left="426"/>
        <w:jc w:val="both"/>
        <w:rPr>
          <w:rFonts w:ascii="Times New Roman" w:eastAsia="Times New Roman" w:hAnsi="Times New Roman" w:cs="Times New Roman"/>
          <w:bCs/>
          <w:color w:val="000000" w:themeColor="text1"/>
        </w:rPr>
      </w:pPr>
      <w:r w:rsidRPr="001E74FD">
        <w:rPr>
          <w:rFonts w:ascii="Times New Roman" w:eastAsia="Times New Roman" w:hAnsi="Times New Roman" w:cs="Times New Roman"/>
          <w:b/>
          <w:bCs/>
          <w:color w:val="000000" w:themeColor="text1"/>
        </w:rPr>
        <w:t>A tantárgy szakmai tartalma (angolul) (</w:t>
      </w:r>
      <w:r w:rsidRPr="001E74FD">
        <w:rPr>
          <w:rFonts w:ascii="Times New Roman" w:eastAsia="Times New Roman" w:hAnsi="Times New Roman" w:cs="Times New Roman"/>
          <w:b/>
          <w:bCs/>
          <w:color w:val="000000" w:themeColor="text1"/>
          <w:lang w:val="en-US"/>
        </w:rPr>
        <w:t>Course description</w:t>
      </w:r>
      <w:r w:rsidRPr="001E74FD">
        <w:rPr>
          <w:rFonts w:ascii="Times New Roman" w:eastAsia="Times New Roman" w:hAnsi="Times New Roman" w:cs="Times New Roman"/>
          <w:b/>
          <w:bCs/>
          <w:color w:val="000000" w:themeColor="text1"/>
        </w:rPr>
        <w:t xml:space="preserve">): </w:t>
      </w:r>
      <w:r w:rsidRPr="00E82D81">
        <w:rPr>
          <w:rFonts w:ascii="Times New Roman" w:hAnsi="Times New Roman" w:cs="Times New Roman"/>
        </w:rPr>
        <w:t xml:space="preserve">Students in the Military Logistics </w:t>
      </w:r>
      <w:r w:rsidR="00137B8A">
        <w:rPr>
          <w:rFonts w:ascii="Times New Roman" w:hAnsi="Times New Roman" w:cs="Times New Roman"/>
        </w:rPr>
        <w:t>BSc</w:t>
      </w:r>
      <w:r w:rsidRPr="00E82D81">
        <w:rPr>
          <w:rFonts w:ascii="Times New Roman" w:hAnsi="Times New Roman" w:cs="Times New Roman"/>
        </w:rPr>
        <w:t xml:space="preserve"> Program can get acquainted with the main organizations and methodologies of the logistics support system of the Hungarian Defense Forces. Knowledge is acquired through the thematic processing of topics. Practical interfaces between operations and measures are given high priority in the workshops.</w:t>
      </w:r>
    </w:p>
    <w:p w:rsidR="00E82D81" w:rsidRPr="001E74FD" w:rsidRDefault="00E82D81" w:rsidP="00980876">
      <w:pPr>
        <w:pStyle w:val="Listaszerbekezds"/>
        <w:widowControl w:val="0"/>
        <w:numPr>
          <w:ilvl w:val="0"/>
          <w:numId w:val="612"/>
        </w:numPr>
        <w:spacing w:after="0" w:line="360" w:lineRule="auto"/>
        <w:jc w:val="both"/>
        <w:rPr>
          <w:rFonts w:ascii="Times New Roman" w:eastAsia="Times New Roman" w:hAnsi="Times New Roman" w:cs="Times New Roman"/>
          <w:bCs/>
          <w:color w:val="000000" w:themeColor="text1"/>
        </w:rPr>
      </w:pPr>
      <w:r w:rsidRPr="001E74FD">
        <w:rPr>
          <w:rFonts w:ascii="Times New Roman" w:eastAsia="Times New Roman" w:hAnsi="Times New Roman" w:cs="Times New Roman"/>
          <w:b/>
          <w:bCs/>
          <w:color w:val="000000" w:themeColor="text1"/>
        </w:rPr>
        <w:t xml:space="preserve">Elérendő kompetenciák (magyarul): </w:t>
      </w:r>
    </w:p>
    <w:p w:rsidR="00E82D81" w:rsidRPr="001E74FD" w:rsidRDefault="00E82D81" w:rsidP="00E82D81">
      <w:pPr>
        <w:spacing w:after="0" w:line="360" w:lineRule="auto"/>
        <w:ind w:left="360"/>
        <w:jc w:val="both"/>
        <w:rPr>
          <w:rFonts w:ascii="Times New Roman" w:hAnsi="Times New Roman" w:cs="Times New Roman"/>
          <w:color w:val="000000" w:themeColor="text1"/>
        </w:rPr>
      </w:pPr>
      <w:r w:rsidRPr="001E74FD">
        <w:rPr>
          <w:rFonts w:ascii="Times New Roman" w:hAnsi="Times New Roman" w:cs="Times New Roman"/>
          <w:b/>
          <w:color w:val="000000" w:themeColor="text1"/>
        </w:rPr>
        <w:t>Tudás:</w:t>
      </w:r>
      <w:r w:rsidRPr="001E74FD">
        <w:rPr>
          <w:rFonts w:ascii="Times New Roman" w:hAnsi="Times New Roman" w:cs="Times New Roman"/>
          <w:color w:val="000000" w:themeColor="text1"/>
        </w:rPr>
        <w:t xml:space="preserve"> </w:t>
      </w:r>
    </w:p>
    <w:p w:rsidR="00E82D81" w:rsidRPr="001E74FD" w:rsidRDefault="00E82D81" w:rsidP="00980876">
      <w:pPr>
        <w:pStyle w:val="Listaszerbekezds"/>
        <w:numPr>
          <w:ilvl w:val="0"/>
          <w:numId w:val="308"/>
        </w:numPr>
        <w:spacing w:line="240" w:lineRule="auto"/>
        <w:ind w:left="851"/>
        <w:jc w:val="both"/>
        <w:rPr>
          <w:rFonts w:ascii="Times New Roman" w:hAnsi="Times New Roman" w:cs="Times New Roman"/>
          <w:color w:val="000000" w:themeColor="text1"/>
          <w:lang w:val="en-GB"/>
        </w:rPr>
      </w:pPr>
      <w:r w:rsidRPr="001E74FD">
        <w:rPr>
          <w:rFonts w:ascii="Times New Roman" w:hAnsi="Times New Roman" w:cs="Times New Roman"/>
          <w:color w:val="000000" w:themeColor="text1"/>
          <w:lang w:val="en-GB"/>
        </w:rPr>
        <w:t xml:space="preserve">Érti a harc- és hadműveletek és hadtörténelem elméletét, törvényszerűségeit. </w:t>
      </w:r>
    </w:p>
    <w:p w:rsidR="00E82D81" w:rsidRPr="001E74FD" w:rsidRDefault="00E82D81" w:rsidP="00980876">
      <w:pPr>
        <w:pStyle w:val="Listaszerbekezds"/>
        <w:numPr>
          <w:ilvl w:val="0"/>
          <w:numId w:val="308"/>
        </w:numPr>
        <w:spacing w:line="240" w:lineRule="auto"/>
        <w:ind w:left="851"/>
        <w:jc w:val="both"/>
        <w:rPr>
          <w:rFonts w:ascii="Times New Roman" w:hAnsi="Times New Roman" w:cs="Times New Roman"/>
          <w:color w:val="000000" w:themeColor="text1"/>
          <w:lang w:val="en-GB"/>
        </w:rPr>
      </w:pPr>
      <w:r w:rsidRPr="001E74FD">
        <w:rPr>
          <w:rFonts w:ascii="Times New Roman" w:hAnsi="Times New Roman" w:cs="Times New Roman"/>
          <w:color w:val="000000" w:themeColor="text1"/>
          <w:lang w:val="en-GB"/>
        </w:rPr>
        <w:t xml:space="preserve">Ismeri a harc- és hadművelet logisztikai támogatásának és vezetésének elméleti és gyakorlati kérdéseit. </w:t>
      </w:r>
    </w:p>
    <w:p w:rsidR="00E82D81" w:rsidRPr="001E74FD" w:rsidRDefault="00E82D81" w:rsidP="00980876">
      <w:pPr>
        <w:pStyle w:val="Listaszerbekezds"/>
        <w:numPr>
          <w:ilvl w:val="0"/>
          <w:numId w:val="308"/>
        </w:numPr>
        <w:spacing w:line="240" w:lineRule="auto"/>
        <w:ind w:left="851"/>
        <w:jc w:val="both"/>
        <w:rPr>
          <w:rFonts w:ascii="Times New Roman" w:hAnsi="Times New Roman" w:cs="Times New Roman"/>
          <w:color w:val="000000" w:themeColor="text1"/>
          <w:lang w:val="en-GB"/>
        </w:rPr>
      </w:pPr>
      <w:r w:rsidRPr="001E74FD">
        <w:rPr>
          <w:rFonts w:ascii="Times New Roman" w:hAnsi="Times New Roman" w:cs="Times New Roman"/>
          <w:color w:val="000000" w:themeColor="text1"/>
          <w:lang w:val="en-GB"/>
        </w:rPr>
        <w:t xml:space="preserve">Ismeri a kutatáshoz vagy tudományos munkához szükséges, széles körben alkalmazható problémamegoldó technikákat. </w:t>
      </w:r>
    </w:p>
    <w:p w:rsidR="00E82D81" w:rsidRPr="001E74FD" w:rsidRDefault="00E82D81" w:rsidP="00980876">
      <w:pPr>
        <w:pStyle w:val="Listaszerbekezds"/>
        <w:numPr>
          <w:ilvl w:val="0"/>
          <w:numId w:val="308"/>
        </w:numPr>
        <w:spacing w:line="240" w:lineRule="auto"/>
        <w:ind w:left="851"/>
        <w:jc w:val="both"/>
        <w:rPr>
          <w:rFonts w:ascii="Times New Roman" w:hAnsi="Times New Roman" w:cs="Times New Roman"/>
          <w:color w:val="000000" w:themeColor="text1"/>
          <w:lang w:val="en-GB"/>
        </w:rPr>
      </w:pPr>
      <w:r w:rsidRPr="001E74FD">
        <w:rPr>
          <w:rFonts w:ascii="Times New Roman" w:hAnsi="Times New Roman" w:cs="Times New Roman"/>
          <w:color w:val="000000" w:themeColor="text1"/>
          <w:lang w:val="en-GB"/>
        </w:rPr>
        <w:t xml:space="preserve">Ismeri a globális társadalmi és gazdasági folyamatokat. </w:t>
      </w:r>
    </w:p>
    <w:p w:rsidR="00E82D81" w:rsidRPr="001E74FD" w:rsidRDefault="00E82D81" w:rsidP="00980876">
      <w:pPr>
        <w:pStyle w:val="Listaszerbekezds"/>
        <w:numPr>
          <w:ilvl w:val="0"/>
          <w:numId w:val="308"/>
        </w:numPr>
        <w:spacing w:line="240" w:lineRule="auto"/>
        <w:ind w:left="851"/>
        <w:jc w:val="both"/>
        <w:rPr>
          <w:rFonts w:ascii="Times New Roman" w:hAnsi="Times New Roman" w:cs="Times New Roman"/>
          <w:color w:val="000000" w:themeColor="text1"/>
          <w:lang w:val="en-GB"/>
        </w:rPr>
      </w:pPr>
      <w:r w:rsidRPr="001E74FD">
        <w:rPr>
          <w:rFonts w:ascii="Times New Roman" w:hAnsi="Times New Roman" w:cs="Times New Roman"/>
          <w:color w:val="000000" w:themeColor="text1"/>
          <w:lang w:val="en-GB"/>
        </w:rPr>
        <w:lastRenderedPageBreak/>
        <w:t xml:space="preserve">Ismeri a logisztikai támogatási rendszer tartalmát, rendszerének elemeit és azok rendeltetését. </w:t>
      </w:r>
    </w:p>
    <w:p w:rsidR="00E82D81" w:rsidRPr="001E74FD" w:rsidRDefault="00E82D81" w:rsidP="00980876">
      <w:pPr>
        <w:pStyle w:val="Listaszerbekezds"/>
        <w:numPr>
          <w:ilvl w:val="0"/>
          <w:numId w:val="308"/>
        </w:numPr>
        <w:spacing w:line="240" w:lineRule="auto"/>
        <w:ind w:left="851"/>
        <w:jc w:val="both"/>
        <w:rPr>
          <w:rFonts w:ascii="Times New Roman" w:hAnsi="Times New Roman" w:cs="Times New Roman"/>
          <w:color w:val="000000" w:themeColor="text1"/>
          <w:lang w:val="en-GB"/>
        </w:rPr>
      </w:pPr>
      <w:r w:rsidRPr="001E74FD">
        <w:rPr>
          <w:rFonts w:ascii="Times New Roman" w:hAnsi="Times New Roman" w:cs="Times New Roman"/>
          <w:color w:val="000000" w:themeColor="text1"/>
          <w:lang w:val="en-GB"/>
        </w:rPr>
        <w:t xml:space="preserve">Ismeri a hazai és külföldi civil és katonai logisztikai rendszerek elemzésének, irányításának, ellenőrzésének és működtetésének módszereit.  </w:t>
      </w:r>
    </w:p>
    <w:p w:rsidR="00E82D81" w:rsidRPr="001E74FD" w:rsidRDefault="00E82D81" w:rsidP="00E86219">
      <w:pPr>
        <w:spacing w:after="0" w:line="240" w:lineRule="auto"/>
        <w:ind w:left="360"/>
        <w:jc w:val="both"/>
        <w:rPr>
          <w:rFonts w:ascii="Times New Roman" w:hAnsi="Times New Roman" w:cs="Times New Roman"/>
          <w:color w:val="000000" w:themeColor="text1"/>
        </w:rPr>
      </w:pPr>
      <w:r w:rsidRPr="001E74FD">
        <w:rPr>
          <w:rFonts w:ascii="Times New Roman" w:hAnsi="Times New Roman" w:cs="Times New Roman"/>
          <w:b/>
          <w:color w:val="000000" w:themeColor="text1"/>
        </w:rPr>
        <w:t>Képesség:</w:t>
      </w:r>
      <w:r w:rsidRPr="001E74FD">
        <w:rPr>
          <w:rFonts w:ascii="Times New Roman" w:hAnsi="Times New Roman" w:cs="Times New Roman"/>
          <w:color w:val="000000" w:themeColor="text1"/>
        </w:rPr>
        <w:t xml:space="preserve"> </w:t>
      </w:r>
    </w:p>
    <w:p w:rsidR="00E86219" w:rsidRPr="00E86219" w:rsidRDefault="00E86219" w:rsidP="00980876">
      <w:pPr>
        <w:pStyle w:val="Listaszerbekezds"/>
        <w:numPr>
          <w:ilvl w:val="0"/>
          <w:numId w:val="308"/>
        </w:numPr>
        <w:spacing w:line="240" w:lineRule="auto"/>
        <w:ind w:left="851"/>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t>K</w:t>
      </w:r>
      <w:r w:rsidRPr="00E86219">
        <w:rPr>
          <w:rFonts w:ascii="Times New Roman" w:hAnsi="Times New Roman" w:cs="Times New Roman"/>
          <w:color w:val="000000" w:themeColor="text1"/>
          <w:lang w:val="en-GB"/>
        </w:rPr>
        <w:t>épes egy katonai egység tervezésére, szervezésére, irányítására és gazdasági tevékenységeinek vezetésére.</w:t>
      </w:r>
    </w:p>
    <w:p w:rsidR="00E86219" w:rsidRPr="00E86219" w:rsidRDefault="00E86219" w:rsidP="00980876">
      <w:pPr>
        <w:pStyle w:val="Listaszerbekezds"/>
        <w:numPr>
          <w:ilvl w:val="0"/>
          <w:numId w:val="308"/>
        </w:numPr>
        <w:spacing w:line="240" w:lineRule="auto"/>
        <w:ind w:left="851"/>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t>K</w:t>
      </w:r>
      <w:r w:rsidRPr="00E86219">
        <w:rPr>
          <w:rFonts w:ascii="Times New Roman" w:hAnsi="Times New Roman" w:cs="Times New Roman"/>
          <w:color w:val="000000" w:themeColor="text1"/>
          <w:lang w:val="en-GB"/>
        </w:rPr>
        <w:t>épes a Magyar Honvédség logisztikai folyamatainak és logisztikai rendszerének kapcsolatát értelmezni és továbbadni az alárendeltnek.</w:t>
      </w:r>
    </w:p>
    <w:p w:rsidR="00E86219" w:rsidRPr="00E86219" w:rsidRDefault="00E86219" w:rsidP="00980876">
      <w:pPr>
        <w:pStyle w:val="Listaszerbekezds"/>
        <w:numPr>
          <w:ilvl w:val="0"/>
          <w:numId w:val="308"/>
        </w:numPr>
        <w:spacing w:line="240" w:lineRule="auto"/>
        <w:ind w:left="851"/>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t>K</w:t>
      </w:r>
      <w:r w:rsidRPr="00E86219">
        <w:rPr>
          <w:rFonts w:ascii="Times New Roman" w:hAnsi="Times New Roman" w:cs="Times New Roman"/>
          <w:color w:val="000000" w:themeColor="text1"/>
          <w:lang w:val="en-GB"/>
        </w:rPr>
        <w:t>épes innovatív ötleteket megfogalmazni szakterületén.</w:t>
      </w:r>
    </w:p>
    <w:p w:rsidR="00E86219" w:rsidRPr="00E86219" w:rsidRDefault="00E86219" w:rsidP="00980876">
      <w:pPr>
        <w:pStyle w:val="Listaszerbekezds"/>
        <w:numPr>
          <w:ilvl w:val="0"/>
          <w:numId w:val="308"/>
        </w:numPr>
        <w:spacing w:line="240" w:lineRule="auto"/>
        <w:ind w:left="851"/>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t>K</w:t>
      </w:r>
      <w:r w:rsidRPr="00E86219">
        <w:rPr>
          <w:rFonts w:ascii="Times New Roman" w:hAnsi="Times New Roman" w:cs="Times New Roman"/>
          <w:color w:val="000000" w:themeColor="text1"/>
          <w:lang w:val="en-GB"/>
        </w:rPr>
        <w:t>épes pontosan és pontosan elvégezni a logisztikai és gazdasági számításokat.</w:t>
      </w:r>
    </w:p>
    <w:p w:rsidR="00E86219" w:rsidRPr="00E86219" w:rsidRDefault="00E86219" w:rsidP="00980876">
      <w:pPr>
        <w:pStyle w:val="Listaszerbekezds"/>
        <w:numPr>
          <w:ilvl w:val="0"/>
          <w:numId w:val="308"/>
        </w:numPr>
        <w:spacing w:line="240" w:lineRule="auto"/>
        <w:ind w:left="851"/>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t>K</w:t>
      </w:r>
      <w:r w:rsidRPr="00E86219">
        <w:rPr>
          <w:rFonts w:ascii="Times New Roman" w:hAnsi="Times New Roman" w:cs="Times New Roman"/>
          <w:color w:val="000000" w:themeColor="text1"/>
          <w:lang w:val="en-GB"/>
        </w:rPr>
        <w:t>épes a regisztráció, a parancsnoki és az ellenőrzési információk felhasználására szakterületén.</w:t>
      </w:r>
    </w:p>
    <w:p w:rsidR="00E82D81" w:rsidRPr="001E74FD" w:rsidRDefault="00E82D81" w:rsidP="00980876">
      <w:pPr>
        <w:pStyle w:val="Listaszerbekezds"/>
        <w:numPr>
          <w:ilvl w:val="0"/>
          <w:numId w:val="308"/>
        </w:numPr>
        <w:spacing w:line="240" w:lineRule="auto"/>
        <w:ind w:left="851"/>
        <w:jc w:val="both"/>
        <w:rPr>
          <w:rFonts w:ascii="Times New Roman" w:hAnsi="Times New Roman" w:cs="Times New Roman"/>
          <w:color w:val="000000" w:themeColor="text1"/>
          <w:lang w:val="en-GB"/>
        </w:rPr>
      </w:pPr>
      <w:r w:rsidRPr="001E74FD">
        <w:rPr>
          <w:rFonts w:ascii="Times New Roman" w:hAnsi="Times New Roman" w:cs="Times New Roman"/>
          <w:color w:val="000000" w:themeColor="text1"/>
          <w:lang w:val="en-GB"/>
        </w:rPr>
        <w:t>Képes a haderőfejlesztés haderőnemi koncepciói által meghatározott képességkövetelményekhez igazodva a szakirányú technikai és strukturális biztosítási-támogatási rendszer tervezési, szervezési és végrehajtási feladataiban a vonatkozó mértékben és szinteken részt venni</w:t>
      </w:r>
      <w:r w:rsidR="00E86219">
        <w:rPr>
          <w:rFonts w:ascii="Times New Roman" w:hAnsi="Times New Roman" w:cs="Times New Roman"/>
          <w:color w:val="000000" w:themeColor="text1"/>
          <w:lang w:val="en-GB"/>
        </w:rPr>
        <w:t>;</w:t>
      </w:r>
    </w:p>
    <w:p w:rsidR="00E82D81" w:rsidRPr="001E74FD" w:rsidRDefault="00E82D81" w:rsidP="00E86219">
      <w:pPr>
        <w:spacing w:after="0" w:line="240" w:lineRule="auto"/>
        <w:ind w:left="360"/>
        <w:jc w:val="both"/>
        <w:rPr>
          <w:rFonts w:ascii="Times New Roman" w:hAnsi="Times New Roman" w:cs="Times New Roman"/>
          <w:color w:val="000000" w:themeColor="text1"/>
        </w:rPr>
      </w:pPr>
      <w:r w:rsidRPr="001E74FD">
        <w:rPr>
          <w:rFonts w:ascii="Times New Roman" w:hAnsi="Times New Roman" w:cs="Times New Roman"/>
          <w:b/>
          <w:color w:val="000000" w:themeColor="text1"/>
        </w:rPr>
        <w:t>Attitűd:</w:t>
      </w:r>
      <w:r w:rsidRPr="001E74FD">
        <w:rPr>
          <w:rFonts w:ascii="Times New Roman" w:hAnsi="Times New Roman" w:cs="Times New Roman"/>
          <w:color w:val="000000" w:themeColor="text1"/>
        </w:rPr>
        <w:t xml:space="preserve"> </w:t>
      </w:r>
    </w:p>
    <w:p w:rsidR="00E86219" w:rsidRPr="00E86219" w:rsidRDefault="00E86219" w:rsidP="00980876">
      <w:pPr>
        <w:pStyle w:val="Listaszerbekezds"/>
        <w:numPr>
          <w:ilvl w:val="0"/>
          <w:numId w:val="308"/>
        </w:numPr>
        <w:spacing w:line="240" w:lineRule="auto"/>
        <w:ind w:left="851"/>
        <w:jc w:val="both"/>
        <w:rPr>
          <w:rFonts w:ascii="Times New Roman" w:hAnsi="Times New Roman" w:cs="Times New Roman"/>
          <w:color w:val="000000" w:themeColor="text1"/>
          <w:lang w:val="en-GB"/>
        </w:rPr>
      </w:pPr>
      <w:r w:rsidRPr="00E86219">
        <w:rPr>
          <w:rFonts w:ascii="Times New Roman" w:hAnsi="Times New Roman" w:cs="Times New Roman"/>
          <w:color w:val="000000" w:themeColor="text1"/>
          <w:lang w:val="en-GB"/>
        </w:rPr>
        <w:t>Szakterülete nyitott az új eredményekre és újításokra, igyekszik megismerni, megérteni és alkalmazni azokat, és elkötelezett a folyamatos önképzés mellett.</w:t>
      </w:r>
    </w:p>
    <w:p w:rsidR="00E86219" w:rsidRPr="00E86219" w:rsidRDefault="00E86219" w:rsidP="00980876">
      <w:pPr>
        <w:pStyle w:val="Listaszerbekezds"/>
        <w:numPr>
          <w:ilvl w:val="0"/>
          <w:numId w:val="308"/>
        </w:numPr>
        <w:spacing w:line="240" w:lineRule="auto"/>
        <w:ind w:left="851"/>
        <w:jc w:val="both"/>
        <w:rPr>
          <w:rFonts w:ascii="Times New Roman" w:hAnsi="Times New Roman" w:cs="Times New Roman"/>
          <w:color w:val="000000" w:themeColor="text1"/>
          <w:lang w:val="en-GB"/>
        </w:rPr>
      </w:pPr>
      <w:r w:rsidRPr="00E86219">
        <w:rPr>
          <w:rFonts w:ascii="Times New Roman" w:hAnsi="Times New Roman" w:cs="Times New Roman"/>
          <w:color w:val="000000" w:themeColor="text1"/>
          <w:lang w:val="en-GB"/>
        </w:rPr>
        <w:t>Feladatainak ellátása során hajlandóságot mutat ki együttműködésére alárendeltjeivel, és arra törekszik, hogy bevonja őket a döntéshozatali folyamatokba.</w:t>
      </w:r>
    </w:p>
    <w:p w:rsidR="00E86219" w:rsidRPr="00E86219" w:rsidRDefault="00E86219" w:rsidP="00980876">
      <w:pPr>
        <w:pStyle w:val="Listaszerbekezds"/>
        <w:numPr>
          <w:ilvl w:val="0"/>
          <w:numId w:val="308"/>
        </w:numPr>
        <w:spacing w:line="240" w:lineRule="auto"/>
        <w:ind w:left="851"/>
        <w:jc w:val="both"/>
        <w:rPr>
          <w:rFonts w:ascii="Times New Roman" w:hAnsi="Times New Roman" w:cs="Times New Roman"/>
          <w:color w:val="000000" w:themeColor="text1"/>
          <w:lang w:val="en-GB"/>
        </w:rPr>
      </w:pPr>
      <w:r w:rsidRPr="00E86219">
        <w:rPr>
          <w:rFonts w:ascii="Times New Roman" w:hAnsi="Times New Roman" w:cs="Times New Roman"/>
          <w:color w:val="000000" w:themeColor="text1"/>
          <w:lang w:val="en-GB"/>
        </w:rPr>
        <w:t>Feladatai során megpróbálja demonstrálni a megfelelő önellenőrzést, toleranciát, empátiát, nem elfogult gondolkodásmódot és viselkedést.</w:t>
      </w:r>
    </w:p>
    <w:p w:rsidR="00E86219" w:rsidRPr="00E86219" w:rsidRDefault="00E86219" w:rsidP="00980876">
      <w:pPr>
        <w:pStyle w:val="Listaszerbekezds"/>
        <w:numPr>
          <w:ilvl w:val="0"/>
          <w:numId w:val="308"/>
        </w:numPr>
        <w:spacing w:line="240" w:lineRule="auto"/>
        <w:ind w:left="851"/>
        <w:jc w:val="both"/>
        <w:rPr>
          <w:rFonts w:ascii="Times New Roman" w:hAnsi="Times New Roman" w:cs="Times New Roman"/>
          <w:color w:val="000000" w:themeColor="text1"/>
          <w:lang w:val="en-GB"/>
        </w:rPr>
      </w:pPr>
      <w:r w:rsidRPr="00E86219">
        <w:rPr>
          <w:rFonts w:ascii="Times New Roman" w:hAnsi="Times New Roman" w:cs="Times New Roman"/>
          <w:color w:val="000000" w:themeColor="text1"/>
          <w:lang w:val="en-GB"/>
        </w:rPr>
        <w:t>Elkötelezett a pontosság és a magas színvonalú munka mellett.</w:t>
      </w:r>
    </w:p>
    <w:p w:rsidR="00E86219" w:rsidRPr="00E86219" w:rsidRDefault="00E86219" w:rsidP="00980876">
      <w:pPr>
        <w:pStyle w:val="Listaszerbekezds"/>
        <w:numPr>
          <w:ilvl w:val="0"/>
          <w:numId w:val="308"/>
        </w:numPr>
        <w:spacing w:line="240" w:lineRule="auto"/>
        <w:ind w:left="851"/>
        <w:jc w:val="both"/>
        <w:rPr>
          <w:rFonts w:ascii="Times New Roman" w:hAnsi="Times New Roman" w:cs="Times New Roman"/>
          <w:color w:val="000000" w:themeColor="text1"/>
          <w:lang w:val="en-GB"/>
        </w:rPr>
      </w:pPr>
      <w:r w:rsidRPr="00E86219">
        <w:rPr>
          <w:rFonts w:ascii="Times New Roman" w:hAnsi="Times New Roman" w:cs="Times New Roman"/>
          <w:color w:val="000000" w:themeColor="text1"/>
          <w:lang w:val="en-GB"/>
        </w:rPr>
        <w:t>Felismeri a szisztematikus tevékenységek értékét és megpróbálja megérteni a logisztikai eljárások közötti kapcsolatokat.</w:t>
      </w:r>
    </w:p>
    <w:p w:rsidR="00E86219" w:rsidRPr="00E86219" w:rsidRDefault="00E86219" w:rsidP="00980876">
      <w:pPr>
        <w:pStyle w:val="Listaszerbekezds"/>
        <w:numPr>
          <w:ilvl w:val="0"/>
          <w:numId w:val="308"/>
        </w:numPr>
        <w:spacing w:line="240" w:lineRule="auto"/>
        <w:ind w:left="851"/>
        <w:jc w:val="both"/>
        <w:rPr>
          <w:rFonts w:ascii="Times New Roman" w:hAnsi="Times New Roman" w:cs="Times New Roman"/>
          <w:color w:val="000000" w:themeColor="text1"/>
          <w:lang w:val="en-GB"/>
        </w:rPr>
      </w:pPr>
      <w:r w:rsidRPr="00E86219">
        <w:rPr>
          <w:rFonts w:ascii="Times New Roman" w:hAnsi="Times New Roman" w:cs="Times New Roman"/>
          <w:color w:val="000000" w:themeColor="text1"/>
          <w:lang w:val="en-GB"/>
        </w:rPr>
        <w:t>Feladatai elvégzése közben az együttműködésre törekszik.</w:t>
      </w:r>
    </w:p>
    <w:p w:rsidR="00E86219" w:rsidRPr="00E86219" w:rsidRDefault="00E86219" w:rsidP="00980876">
      <w:pPr>
        <w:pStyle w:val="Listaszerbekezds"/>
        <w:numPr>
          <w:ilvl w:val="0"/>
          <w:numId w:val="308"/>
        </w:numPr>
        <w:spacing w:line="240" w:lineRule="auto"/>
        <w:ind w:left="851"/>
        <w:jc w:val="both"/>
        <w:rPr>
          <w:rFonts w:ascii="Times New Roman" w:hAnsi="Times New Roman" w:cs="Times New Roman"/>
          <w:color w:val="000000" w:themeColor="text1"/>
          <w:lang w:val="en-GB"/>
        </w:rPr>
      </w:pPr>
      <w:r w:rsidRPr="00E86219">
        <w:rPr>
          <w:rFonts w:ascii="Times New Roman" w:hAnsi="Times New Roman" w:cs="Times New Roman"/>
          <w:color w:val="000000" w:themeColor="text1"/>
          <w:lang w:val="en-GB"/>
        </w:rPr>
        <w:t>Jó szervezési képességeivel rendelkezik.</w:t>
      </w:r>
    </w:p>
    <w:p w:rsidR="00E82D81" w:rsidRPr="001E74FD" w:rsidRDefault="00E82D81" w:rsidP="00E86219">
      <w:pPr>
        <w:spacing w:after="0" w:line="240" w:lineRule="auto"/>
        <w:ind w:left="360"/>
        <w:jc w:val="both"/>
        <w:rPr>
          <w:rFonts w:ascii="Times New Roman" w:hAnsi="Times New Roman" w:cs="Times New Roman"/>
          <w:color w:val="000000" w:themeColor="text1"/>
        </w:rPr>
      </w:pPr>
      <w:r w:rsidRPr="001E74FD">
        <w:rPr>
          <w:rFonts w:ascii="Times New Roman" w:hAnsi="Times New Roman" w:cs="Times New Roman"/>
          <w:b/>
          <w:color w:val="000000" w:themeColor="text1"/>
        </w:rPr>
        <w:t>Autonómia és felelősség:</w:t>
      </w:r>
      <w:r w:rsidRPr="001E74FD">
        <w:rPr>
          <w:rFonts w:ascii="Times New Roman" w:hAnsi="Times New Roman" w:cs="Times New Roman"/>
          <w:color w:val="000000" w:themeColor="text1"/>
        </w:rPr>
        <w:t xml:space="preserve"> </w:t>
      </w:r>
    </w:p>
    <w:p w:rsidR="00E82D81" w:rsidRPr="009410D1" w:rsidRDefault="00E82D81" w:rsidP="00980876">
      <w:pPr>
        <w:pStyle w:val="Listaszerbekezds"/>
        <w:numPr>
          <w:ilvl w:val="0"/>
          <w:numId w:val="308"/>
        </w:numPr>
        <w:spacing w:line="240" w:lineRule="auto"/>
        <w:ind w:left="851"/>
        <w:jc w:val="both"/>
        <w:rPr>
          <w:rFonts w:ascii="Times New Roman" w:hAnsi="Times New Roman" w:cs="Times New Roman"/>
          <w:color w:val="000000" w:themeColor="text1"/>
          <w:lang w:val="en-GB"/>
        </w:rPr>
      </w:pPr>
      <w:r w:rsidRPr="009410D1">
        <w:rPr>
          <w:rFonts w:ascii="Times New Roman" w:hAnsi="Times New Roman" w:cs="Times New Roman"/>
          <w:color w:val="000000" w:themeColor="text1"/>
          <w:lang w:val="en-GB"/>
        </w:rPr>
        <w:t>Elsajátított ismeretei és megszerzett készségei alapján szakmailag megfelelő módon értelmezi és alkalmazza a jogszabályokat és az intézkedéseket. Saját szervezete életének, szervezeti kultúrájának javítása érdekében alkalmazza a megszerzett ismereteket.</w:t>
      </w:r>
    </w:p>
    <w:p w:rsidR="00E82D81" w:rsidRPr="001E74FD" w:rsidRDefault="00E82D81" w:rsidP="00E86219">
      <w:pPr>
        <w:widowControl w:val="0"/>
        <w:spacing w:after="0" w:line="240" w:lineRule="auto"/>
        <w:ind w:left="426"/>
        <w:jc w:val="both"/>
        <w:rPr>
          <w:rFonts w:ascii="Times New Roman" w:eastAsia="Times New Roman" w:hAnsi="Times New Roman" w:cs="Times New Roman"/>
          <w:b/>
          <w:bCs/>
          <w:color w:val="000000" w:themeColor="text1"/>
          <w:lang w:val="en-US"/>
        </w:rPr>
      </w:pPr>
      <w:r w:rsidRPr="001E74FD">
        <w:rPr>
          <w:rFonts w:ascii="Times New Roman" w:eastAsia="Times New Roman" w:hAnsi="Times New Roman" w:cs="Times New Roman"/>
          <w:b/>
          <w:bCs/>
          <w:color w:val="000000" w:themeColor="text1"/>
        </w:rPr>
        <w:t>Elérendő kompetenciák (angolul) (</w:t>
      </w:r>
      <w:r w:rsidRPr="001E74FD">
        <w:rPr>
          <w:rFonts w:ascii="Times New Roman" w:eastAsia="Times New Roman" w:hAnsi="Times New Roman" w:cs="Times New Roman"/>
          <w:b/>
          <w:bCs/>
          <w:color w:val="000000" w:themeColor="text1"/>
          <w:lang w:val="en-US"/>
        </w:rPr>
        <w:t xml:space="preserve">Competences – English): </w:t>
      </w:r>
    </w:p>
    <w:p w:rsidR="00E82D81" w:rsidRPr="001E74FD" w:rsidRDefault="00E82D81" w:rsidP="00E86219">
      <w:pPr>
        <w:spacing w:after="0" w:line="240" w:lineRule="auto"/>
        <w:ind w:left="360"/>
        <w:jc w:val="both"/>
        <w:rPr>
          <w:rFonts w:ascii="Times New Roman" w:hAnsi="Times New Roman" w:cs="Times New Roman"/>
          <w:color w:val="000000" w:themeColor="text1"/>
        </w:rPr>
      </w:pPr>
      <w:r w:rsidRPr="001E74FD">
        <w:rPr>
          <w:rFonts w:ascii="Times New Roman" w:hAnsi="Times New Roman" w:cs="Times New Roman"/>
          <w:b/>
          <w:color w:val="000000" w:themeColor="text1"/>
        </w:rPr>
        <w:t>Knowledge:</w:t>
      </w:r>
      <w:r w:rsidRPr="001E74FD">
        <w:rPr>
          <w:rFonts w:ascii="Times New Roman" w:hAnsi="Times New Roman" w:cs="Times New Roman"/>
          <w:color w:val="000000" w:themeColor="text1"/>
        </w:rPr>
        <w:t xml:space="preserve"> </w:t>
      </w:r>
    </w:p>
    <w:p w:rsidR="00E82D81" w:rsidRPr="001E74FD" w:rsidRDefault="00E82D81" w:rsidP="00980876">
      <w:pPr>
        <w:pStyle w:val="Listaszerbekezds"/>
        <w:numPr>
          <w:ilvl w:val="0"/>
          <w:numId w:val="308"/>
        </w:numPr>
        <w:spacing w:line="240" w:lineRule="auto"/>
        <w:ind w:left="851"/>
        <w:jc w:val="both"/>
        <w:rPr>
          <w:rFonts w:ascii="Times New Roman" w:hAnsi="Times New Roman" w:cs="Times New Roman"/>
          <w:color w:val="000000" w:themeColor="text1"/>
          <w:lang w:val="en-GB"/>
        </w:rPr>
      </w:pPr>
      <w:r w:rsidRPr="001E74FD">
        <w:rPr>
          <w:rFonts w:ascii="Times New Roman" w:hAnsi="Times New Roman" w:cs="Times New Roman"/>
          <w:color w:val="000000" w:themeColor="text1"/>
          <w:lang w:val="en-GB"/>
        </w:rPr>
        <w:t>Knows the basic procedures and features of the battle carried out by combined arms, the combat service (CS) and combat service support (CSS) tasks, the battle procedures and organizational structures of the military services, branches and specific units.</w:t>
      </w:r>
    </w:p>
    <w:p w:rsidR="00E82D81" w:rsidRPr="001E74FD" w:rsidRDefault="00E82D81" w:rsidP="00980876">
      <w:pPr>
        <w:pStyle w:val="Listaszerbekezds"/>
        <w:numPr>
          <w:ilvl w:val="0"/>
          <w:numId w:val="308"/>
        </w:numPr>
        <w:spacing w:line="240" w:lineRule="auto"/>
        <w:ind w:left="851"/>
        <w:jc w:val="both"/>
        <w:rPr>
          <w:rFonts w:ascii="Times New Roman" w:hAnsi="Times New Roman" w:cs="Times New Roman"/>
          <w:color w:val="000000" w:themeColor="text1"/>
          <w:lang w:val="en-GB"/>
        </w:rPr>
      </w:pPr>
      <w:r w:rsidRPr="001E74FD">
        <w:rPr>
          <w:rFonts w:ascii="Times New Roman" w:hAnsi="Times New Roman" w:cs="Times New Roman"/>
          <w:color w:val="000000" w:themeColor="text1"/>
          <w:lang w:val="en-GB"/>
        </w:rPr>
        <w:t>Knows the basics of the functioning of the economy and markets, the relationship between the national economy and national defence, the legal framework of the functioning of the defence industry.</w:t>
      </w:r>
    </w:p>
    <w:p w:rsidR="00E82D81" w:rsidRPr="001E74FD" w:rsidRDefault="00E82D81" w:rsidP="00980876">
      <w:pPr>
        <w:pStyle w:val="Listaszerbekezds"/>
        <w:numPr>
          <w:ilvl w:val="0"/>
          <w:numId w:val="308"/>
        </w:numPr>
        <w:spacing w:line="240" w:lineRule="auto"/>
        <w:ind w:left="851"/>
        <w:jc w:val="both"/>
        <w:rPr>
          <w:rFonts w:ascii="Times New Roman" w:hAnsi="Times New Roman" w:cs="Times New Roman"/>
          <w:color w:val="000000" w:themeColor="text1"/>
          <w:lang w:val="en-GB"/>
        </w:rPr>
      </w:pPr>
      <w:r w:rsidRPr="001E74FD">
        <w:rPr>
          <w:rFonts w:ascii="Times New Roman" w:hAnsi="Times New Roman" w:cs="Times New Roman"/>
          <w:color w:val="000000" w:themeColor="text1"/>
          <w:lang w:val="en-GB"/>
        </w:rPr>
        <w:t>Has a thorough knowledge of the general logistic operations and processes.</w:t>
      </w:r>
    </w:p>
    <w:p w:rsidR="00E82D81" w:rsidRPr="001E74FD" w:rsidRDefault="00E82D81" w:rsidP="00980876">
      <w:pPr>
        <w:pStyle w:val="Listaszerbekezds"/>
        <w:numPr>
          <w:ilvl w:val="0"/>
          <w:numId w:val="308"/>
        </w:numPr>
        <w:spacing w:line="240" w:lineRule="auto"/>
        <w:ind w:left="851"/>
        <w:jc w:val="both"/>
        <w:rPr>
          <w:rFonts w:ascii="Times New Roman" w:hAnsi="Times New Roman" w:cs="Times New Roman"/>
          <w:color w:val="000000" w:themeColor="text1"/>
          <w:lang w:val="en-GB"/>
        </w:rPr>
      </w:pPr>
      <w:r w:rsidRPr="001E74FD">
        <w:rPr>
          <w:rFonts w:ascii="Times New Roman" w:hAnsi="Times New Roman" w:cs="Times New Roman"/>
          <w:color w:val="000000" w:themeColor="text1"/>
          <w:lang w:val="en-GB"/>
        </w:rPr>
        <w:t>Has a profound knowledge of the tasks of military logistics management, its tools and information system.</w:t>
      </w:r>
    </w:p>
    <w:p w:rsidR="00E82D81" w:rsidRPr="001E74FD" w:rsidRDefault="00E82D81" w:rsidP="00980876">
      <w:pPr>
        <w:pStyle w:val="Listaszerbekezds"/>
        <w:numPr>
          <w:ilvl w:val="0"/>
          <w:numId w:val="308"/>
        </w:numPr>
        <w:spacing w:line="240" w:lineRule="auto"/>
        <w:ind w:left="851"/>
        <w:jc w:val="both"/>
        <w:rPr>
          <w:rFonts w:ascii="Times New Roman" w:hAnsi="Times New Roman" w:cs="Times New Roman"/>
          <w:color w:val="000000" w:themeColor="text1"/>
          <w:lang w:val="en-GB"/>
        </w:rPr>
      </w:pPr>
      <w:r w:rsidRPr="001E74FD">
        <w:rPr>
          <w:rFonts w:ascii="Times New Roman" w:hAnsi="Times New Roman" w:cs="Times New Roman"/>
          <w:color w:val="000000" w:themeColor="text1"/>
          <w:lang w:val="en-GB"/>
        </w:rPr>
        <w:t>Has the appropriate professional and training-methodology skills necessary to carry out the day-to-day tasks and training of logistic subunits.</w:t>
      </w:r>
    </w:p>
    <w:p w:rsidR="00E82D81" w:rsidRPr="001E74FD" w:rsidRDefault="00E82D81" w:rsidP="00980876">
      <w:pPr>
        <w:pStyle w:val="Listaszerbekezds"/>
        <w:numPr>
          <w:ilvl w:val="0"/>
          <w:numId w:val="308"/>
        </w:numPr>
        <w:spacing w:line="240" w:lineRule="auto"/>
        <w:ind w:left="851"/>
        <w:jc w:val="both"/>
        <w:rPr>
          <w:rFonts w:ascii="Times New Roman" w:hAnsi="Times New Roman" w:cs="Times New Roman"/>
          <w:color w:val="000000" w:themeColor="text1"/>
          <w:lang w:val="en-GB"/>
        </w:rPr>
      </w:pPr>
      <w:r w:rsidRPr="001E74FD">
        <w:rPr>
          <w:rFonts w:ascii="Times New Roman" w:hAnsi="Times New Roman" w:cs="Times New Roman"/>
          <w:color w:val="000000" w:themeColor="text1"/>
          <w:lang w:val="en-GB"/>
        </w:rPr>
        <w:t>Knows the structure of the Hungarian Defence Forces’ logistic organizations, their tasks and scope of authority, the structure and tasks of logistic units and subunits.</w:t>
      </w:r>
    </w:p>
    <w:p w:rsidR="00E82D81" w:rsidRPr="001E74FD" w:rsidRDefault="00E82D81" w:rsidP="00E86219">
      <w:pPr>
        <w:spacing w:after="0" w:line="240" w:lineRule="auto"/>
        <w:ind w:left="360"/>
        <w:jc w:val="both"/>
        <w:rPr>
          <w:rFonts w:ascii="Times New Roman" w:hAnsi="Times New Roman" w:cs="Times New Roman"/>
          <w:b/>
          <w:color w:val="000000" w:themeColor="text1"/>
          <w:lang w:val="en-GB"/>
        </w:rPr>
      </w:pPr>
      <w:r w:rsidRPr="001E74FD">
        <w:rPr>
          <w:rFonts w:ascii="Times New Roman" w:hAnsi="Times New Roman" w:cs="Times New Roman"/>
          <w:b/>
          <w:color w:val="000000" w:themeColor="text1"/>
          <w:lang w:val="en-GB"/>
        </w:rPr>
        <w:t>Capabilities</w:t>
      </w:r>
    </w:p>
    <w:p w:rsidR="00E82D81" w:rsidRPr="001E74FD" w:rsidRDefault="00E82D81" w:rsidP="00980876">
      <w:pPr>
        <w:pStyle w:val="Listaszerbekezds"/>
        <w:numPr>
          <w:ilvl w:val="0"/>
          <w:numId w:val="308"/>
        </w:numPr>
        <w:spacing w:line="240" w:lineRule="auto"/>
        <w:ind w:left="851"/>
        <w:jc w:val="both"/>
        <w:rPr>
          <w:rFonts w:ascii="Times New Roman" w:hAnsi="Times New Roman" w:cs="Times New Roman"/>
          <w:color w:val="000000" w:themeColor="text1"/>
          <w:lang w:val="en-GB"/>
        </w:rPr>
      </w:pPr>
      <w:r w:rsidRPr="001E74FD">
        <w:rPr>
          <w:rFonts w:ascii="Times New Roman" w:hAnsi="Times New Roman" w:cs="Times New Roman"/>
          <w:color w:val="000000" w:themeColor="text1"/>
          <w:lang w:val="en-GB"/>
        </w:rPr>
        <w:t>is capable of planning, organizing, managing and leading the economic activities of a military unit.</w:t>
      </w:r>
    </w:p>
    <w:p w:rsidR="00E82D81" w:rsidRPr="001E74FD" w:rsidRDefault="00E82D81" w:rsidP="00980876">
      <w:pPr>
        <w:pStyle w:val="Listaszerbekezds"/>
        <w:numPr>
          <w:ilvl w:val="0"/>
          <w:numId w:val="308"/>
        </w:numPr>
        <w:spacing w:line="240" w:lineRule="auto"/>
        <w:ind w:left="851"/>
        <w:jc w:val="both"/>
        <w:rPr>
          <w:rFonts w:ascii="Times New Roman" w:hAnsi="Times New Roman" w:cs="Times New Roman"/>
          <w:color w:val="000000" w:themeColor="text1"/>
          <w:lang w:val="en-GB"/>
        </w:rPr>
      </w:pPr>
      <w:r w:rsidRPr="001E74FD">
        <w:rPr>
          <w:rFonts w:ascii="Times New Roman" w:hAnsi="Times New Roman" w:cs="Times New Roman"/>
          <w:color w:val="000000" w:themeColor="text1"/>
          <w:lang w:val="en-GB"/>
        </w:rPr>
        <w:lastRenderedPageBreak/>
        <w:t>is capable of interpreting the relationships between the logistics processes and the logistics system of the Hungarian Defence Forces and passing it on to the subordinates.</w:t>
      </w:r>
    </w:p>
    <w:p w:rsidR="00E82D81" w:rsidRPr="001E74FD" w:rsidRDefault="00E82D81" w:rsidP="00980876">
      <w:pPr>
        <w:pStyle w:val="Listaszerbekezds"/>
        <w:numPr>
          <w:ilvl w:val="0"/>
          <w:numId w:val="308"/>
        </w:numPr>
        <w:spacing w:line="240" w:lineRule="auto"/>
        <w:ind w:left="851"/>
        <w:jc w:val="both"/>
        <w:rPr>
          <w:rFonts w:ascii="Times New Roman" w:hAnsi="Times New Roman" w:cs="Times New Roman"/>
          <w:color w:val="000000" w:themeColor="text1"/>
          <w:lang w:val="en-GB"/>
        </w:rPr>
      </w:pPr>
      <w:r w:rsidRPr="001E74FD">
        <w:rPr>
          <w:rFonts w:ascii="Times New Roman" w:hAnsi="Times New Roman" w:cs="Times New Roman"/>
          <w:color w:val="000000" w:themeColor="text1"/>
          <w:lang w:val="en-GB"/>
        </w:rPr>
        <w:t>is capable of formulating innovative ideas in his/her specialization.</w:t>
      </w:r>
    </w:p>
    <w:p w:rsidR="00E82D81" w:rsidRPr="001E74FD" w:rsidRDefault="00E82D81" w:rsidP="00980876">
      <w:pPr>
        <w:pStyle w:val="Listaszerbekezds"/>
        <w:numPr>
          <w:ilvl w:val="0"/>
          <w:numId w:val="308"/>
        </w:numPr>
        <w:spacing w:line="240" w:lineRule="auto"/>
        <w:ind w:left="851"/>
        <w:jc w:val="both"/>
        <w:rPr>
          <w:rFonts w:ascii="Times New Roman" w:hAnsi="Times New Roman" w:cs="Times New Roman"/>
          <w:color w:val="000000" w:themeColor="text1"/>
          <w:lang w:val="en-GB"/>
        </w:rPr>
      </w:pPr>
      <w:r w:rsidRPr="001E74FD">
        <w:rPr>
          <w:rFonts w:ascii="Times New Roman" w:hAnsi="Times New Roman" w:cs="Times New Roman"/>
          <w:color w:val="000000" w:themeColor="text1"/>
          <w:lang w:val="en-GB"/>
        </w:rPr>
        <w:t>is capable of making accurate and precise logistic and economic calculations.</w:t>
      </w:r>
    </w:p>
    <w:p w:rsidR="00E82D81" w:rsidRPr="001E74FD" w:rsidRDefault="00E82D81" w:rsidP="00980876">
      <w:pPr>
        <w:pStyle w:val="Listaszerbekezds"/>
        <w:numPr>
          <w:ilvl w:val="0"/>
          <w:numId w:val="308"/>
        </w:numPr>
        <w:spacing w:line="240" w:lineRule="auto"/>
        <w:ind w:left="851"/>
        <w:jc w:val="both"/>
        <w:rPr>
          <w:rFonts w:ascii="Times New Roman" w:hAnsi="Times New Roman" w:cs="Times New Roman"/>
          <w:color w:val="000000" w:themeColor="text1"/>
          <w:lang w:val="en-GB"/>
        </w:rPr>
      </w:pPr>
      <w:r w:rsidRPr="001E74FD">
        <w:rPr>
          <w:rFonts w:ascii="Times New Roman" w:hAnsi="Times New Roman" w:cs="Times New Roman"/>
          <w:color w:val="000000" w:themeColor="text1"/>
          <w:lang w:val="en-GB"/>
        </w:rPr>
        <w:t>is capable of using the registration and command and control information in his/her specialization.</w:t>
      </w:r>
    </w:p>
    <w:p w:rsidR="00E82D81" w:rsidRPr="001E74FD" w:rsidRDefault="00E82D81" w:rsidP="00980876">
      <w:pPr>
        <w:pStyle w:val="Listaszerbekezds"/>
        <w:numPr>
          <w:ilvl w:val="0"/>
          <w:numId w:val="308"/>
        </w:numPr>
        <w:spacing w:line="240" w:lineRule="auto"/>
        <w:ind w:left="851"/>
        <w:jc w:val="both"/>
        <w:rPr>
          <w:rFonts w:ascii="Times New Roman" w:hAnsi="Times New Roman" w:cs="Times New Roman"/>
          <w:color w:val="000000" w:themeColor="text1"/>
          <w:lang w:val="en-GB"/>
        </w:rPr>
      </w:pPr>
      <w:r w:rsidRPr="001E74FD">
        <w:rPr>
          <w:rFonts w:ascii="Times New Roman" w:hAnsi="Times New Roman" w:cs="Times New Roman"/>
          <w:color w:val="000000" w:themeColor="text1"/>
          <w:lang w:val="en-GB"/>
        </w:rPr>
        <w:t>is capable of providing both military and professional leadership for his/her subordinates and effectively and efficiently organizing their work.</w:t>
      </w:r>
    </w:p>
    <w:p w:rsidR="00E82D81" w:rsidRPr="001E74FD" w:rsidRDefault="00E82D81" w:rsidP="00E86219">
      <w:pPr>
        <w:spacing w:after="0" w:line="240" w:lineRule="auto"/>
        <w:ind w:left="360"/>
        <w:jc w:val="both"/>
        <w:rPr>
          <w:rFonts w:ascii="Times New Roman" w:hAnsi="Times New Roman" w:cs="Times New Roman"/>
          <w:b/>
          <w:color w:val="000000" w:themeColor="text1"/>
          <w:lang w:val="en-GB"/>
        </w:rPr>
      </w:pPr>
      <w:r w:rsidRPr="001E74FD">
        <w:rPr>
          <w:rFonts w:ascii="Times New Roman" w:hAnsi="Times New Roman" w:cs="Times New Roman"/>
          <w:b/>
          <w:color w:val="000000" w:themeColor="text1"/>
          <w:lang w:val="en-GB"/>
        </w:rPr>
        <w:t>Attitude</w:t>
      </w:r>
    </w:p>
    <w:p w:rsidR="00E82D81" w:rsidRPr="001E74FD" w:rsidRDefault="00E82D81" w:rsidP="00980876">
      <w:pPr>
        <w:pStyle w:val="Listaszerbekezds"/>
        <w:numPr>
          <w:ilvl w:val="0"/>
          <w:numId w:val="308"/>
        </w:numPr>
        <w:spacing w:line="240" w:lineRule="auto"/>
        <w:ind w:left="851"/>
        <w:jc w:val="both"/>
        <w:rPr>
          <w:rFonts w:ascii="Times New Roman" w:hAnsi="Times New Roman" w:cs="Times New Roman"/>
          <w:color w:val="000000" w:themeColor="text1"/>
          <w:lang w:val="en-GB"/>
        </w:rPr>
      </w:pPr>
      <w:r w:rsidRPr="001E74FD">
        <w:rPr>
          <w:rFonts w:ascii="Times New Roman" w:hAnsi="Times New Roman" w:cs="Times New Roman"/>
          <w:color w:val="000000" w:themeColor="text1"/>
          <w:lang w:val="en-GB"/>
        </w:rPr>
        <w:t>In his/her specialization he/she is open to the new achievements and innovations, strives to know, understand and apply them, and is committed to continuous self-education.</w:t>
      </w:r>
    </w:p>
    <w:p w:rsidR="00E82D81" w:rsidRPr="001E74FD" w:rsidRDefault="00E82D81" w:rsidP="00980876">
      <w:pPr>
        <w:pStyle w:val="Listaszerbekezds"/>
        <w:numPr>
          <w:ilvl w:val="0"/>
          <w:numId w:val="308"/>
        </w:numPr>
        <w:spacing w:line="240" w:lineRule="auto"/>
        <w:ind w:left="851"/>
        <w:jc w:val="both"/>
        <w:rPr>
          <w:rFonts w:ascii="Times New Roman" w:hAnsi="Times New Roman" w:cs="Times New Roman"/>
          <w:color w:val="000000" w:themeColor="text1"/>
          <w:lang w:val="en-GB"/>
        </w:rPr>
      </w:pPr>
      <w:r w:rsidRPr="001E74FD">
        <w:rPr>
          <w:rFonts w:ascii="Times New Roman" w:hAnsi="Times New Roman" w:cs="Times New Roman"/>
          <w:color w:val="000000" w:themeColor="text1"/>
          <w:lang w:val="en-GB"/>
        </w:rPr>
        <w:t>While performing his/her duties he/she is characterized by a willingness to cooperate with his/her subordinates, and strives to involve them in decision-making processes.</w:t>
      </w:r>
    </w:p>
    <w:p w:rsidR="00E82D81" w:rsidRPr="001E74FD" w:rsidRDefault="00E82D81" w:rsidP="00980876">
      <w:pPr>
        <w:pStyle w:val="Listaszerbekezds"/>
        <w:numPr>
          <w:ilvl w:val="0"/>
          <w:numId w:val="308"/>
        </w:numPr>
        <w:spacing w:line="240" w:lineRule="auto"/>
        <w:ind w:left="851"/>
        <w:jc w:val="both"/>
        <w:rPr>
          <w:rFonts w:ascii="Times New Roman" w:hAnsi="Times New Roman" w:cs="Times New Roman"/>
          <w:color w:val="000000" w:themeColor="text1"/>
          <w:lang w:val="en-GB"/>
        </w:rPr>
      </w:pPr>
      <w:r w:rsidRPr="001E74FD">
        <w:rPr>
          <w:rFonts w:ascii="Times New Roman" w:hAnsi="Times New Roman" w:cs="Times New Roman"/>
          <w:color w:val="000000" w:themeColor="text1"/>
          <w:lang w:val="en-GB"/>
        </w:rPr>
        <w:t>In the course of his duties he tries to demonstrate proper self-control, tolerance, empathy, a non-biased way of thinking and behaviour.</w:t>
      </w:r>
    </w:p>
    <w:p w:rsidR="00E82D81" w:rsidRPr="001E74FD" w:rsidRDefault="00E82D81" w:rsidP="00980876">
      <w:pPr>
        <w:pStyle w:val="Listaszerbekezds"/>
        <w:numPr>
          <w:ilvl w:val="0"/>
          <w:numId w:val="308"/>
        </w:numPr>
        <w:spacing w:line="240" w:lineRule="auto"/>
        <w:ind w:left="851"/>
        <w:jc w:val="both"/>
        <w:rPr>
          <w:rFonts w:ascii="Times New Roman" w:hAnsi="Times New Roman" w:cs="Times New Roman"/>
          <w:color w:val="000000" w:themeColor="text1"/>
          <w:lang w:val="en-GB"/>
        </w:rPr>
      </w:pPr>
      <w:r w:rsidRPr="001E74FD">
        <w:rPr>
          <w:rFonts w:ascii="Times New Roman" w:hAnsi="Times New Roman" w:cs="Times New Roman"/>
          <w:color w:val="000000" w:themeColor="text1"/>
          <w:lang w:val="en-GB"/>
        </w:rPr>
        <w:t>He/She is committed to accuracy and high quality at work.</w:t>
      </w:r>
    </w:p>
    <w:p w:rsidR="00E82D81" w:rsidRPr="001E74FD" w:rsidRDefault="00E82D81" w:rsidP="00980876">
      <w:pPr>
        <w:pStyle w:val="Listaszerbekezds"/>
        <w:numPr>
          <w:ilvl w:val="0"/>
          <w:numId w:val="308"/>
        </w:numPr>
        <w:spacing w:line="240" w:lineRule="auto"/>
        <w:ind w:left="851"/>
        <w:jc w:val="both"/>
        <w:rPr>
          <w:rFonts w:ascii="Times New Roman" w:hAnsi="Times New Roman" w:cs="Times New Roman"/>
          <w:color w:val="000000" w:themeColor="text1"/>
          <w:lang w:val="en-GB"/>
        </w:rPr>
      </w:pPr>
      <w:r w:rsidRPr="001E74FD">
        <w:rPr>
          <w:rFonts w:ascii="Times New Roman" w:hAnsi="Times New Roman" w:cs="Times New Roman"/>
          <w:color w:val="000000" w:themeColor="text1"/>
          <w:lang w:val="en-GB"/>
        </w:rPr>
        <w:t>He/She recognizes the value of systemic activities and seeks to understand the relationships among logistics procedures.</w:t>
      </w:r>
    </w:p>
    <w:p w:rsidR="00E82D81" w:rsidRPr="001E74FD" w:rsidRDefault="00E82D81" w:rsidP="00980876">
      <w:pPr>
        <w:pStyle w:val="Listaszerbekezds"/>
        <w:numPr>
          <w:ilvl w:val="0"/>
          <w:numId w:val="308"/>
        </w:numPr>
        <w:spacing w:line="240" w:lineRule="auto"/>
        <w:ind w:left="851"/>
        <w:jc w:val="both"/>
        <w:rPr>
          <w:rFonts w:ascii="Times New Roman" w:hAnsi="Times New Roman" w:cs="Times New Roman"/>
          <w:color w:val="000000" w:themeColor="text1"/>
          <w:lang w:val="en-GB"/>
        </w:rPr>
      </w:pPr>
      <w:r w:rsidRPr="001E74FD">
        <w:rPr>
          <w:rFonts w:ascii="Times New Roman" w:hAnsi="Times New Roman" w:cs="Times New Roman"/>
          <w:color w:val="000000" w:themeColor="text1"/>
          <w:lang w:val="en-GB"/>
        </w:rPr>
        <w:t>While carrying out his/her tasks he/she strives for cooperation.</w:t>
      </w:r>
    </w:p>
    <w:p w:rsidR="00E82D81" w:rsidRPr="001E74FD" w:rsidRDefault="00E82D81" w:rsidP="00980876">
      <w:pPr>
        <w:pStyle w:val="Listaszerbekezds"/>
        <w:numPr>
          <w:ilvl w:val="0"/>
          <w:numId w:val="308"/>
        </w:numPr>
        <w:spacing w:line="240" w:lineRule="auto"/>
        <w:ind w:left="851"/>
        <w:jc w:val="both"/>
        <w:rPr>
          <w:rFonts w:ascii="Times New Roman" w:hAnsi="Times New Roman" w:cs="Times New Roman"/>
          <w:color w:val="000000" w:themeColor="text1"/>
          <w:lang w:val="en-GB"/>
        </w:rPr>
      </w:pPr>
      <w:r w:rsidRPr="001E74FD">
        <w:rPr>
          <w:rFonts w:ascii="Times New Roman" w:hAnsi="Times New Roman" w:cs="Times New Roman"/>
          <w:color w:val="000000" w:themeColor="text1"/>
          <w:lang w:val="en-GB"/>
        </w:rPr>
        <w:t>He/She has good organizational skills.</w:t>
      </w:r>
    </w:p>
    <w:p w:rsidR="00E82D81" w:rsidRPr="001E74FD" w:rsidRDefault="00E82D81" w:rsidP="00E86219">
      <w:pPr>
        <w:spacing w:after="0" w:line="240" w:lineRule="auto"/>
        <w:ind w:left="360"/>
        <w:jc w:val="both"/>
        <w:rPr>
          <w:rFonts w:ascii="Times New Roman" w:hAnsi="Times New Roman" w:cs="Times New Roman"/>
          <w:b/>
          <w:color w:val="000000" w:themeColor="text1"/>
          <w:lang w:val="en-GB"/>
        </w:rPr>
      </w:pPr>
      <w:r w:rsidRPr="001E74FD">
        <w:rPr>
          <w:rFonts w:ascii="Times New Roman" w:hAnsi="Times New Roman" w:cs="Times New Roman"/>
          <w:b/>
          <w:color w:val="000000" w:themeColor="text1"/>
          <w:lang w:val="en-GB"/>
        </w:rPr>
        <w:t>Autonomy and Responsibility</w:t>
      </w:r>
    </w:p>
    <w:p w:rsidR="00E82D81" w:rsidRPr="001E74FD" w:rsidRDefault="00E82D81" w:rsidP="00980876">
      <w:pPr>
        <w:pStyle w:val="Listaszerbekezds"/>
        <w:numPr>
          <w:ilvl w:val="0"/>
          <w:numId w:val="308"/>
        </w:numPr>
        <w:spacing w:line="240" w:lineRule="auto"/>
        <w:ind w:left="851"/>
        <w:jc w:val="both"/>
        <w:rPr>
          <w:rFonts w:ascii="Times New Roman" w:hAnsi="Times New Roman" w:cs="Times New Roman"/>
          <w:color w:val="000000" w:themeColor="text1"/>
          <w:lang w:val="en-GB"/>
        </w:rPr>
      </w:pPr>
      <w:r w:rsidRPr="001E74FD">
        <w:rPr>
          <w:rFonts w:ascii="Times New Roman" w:hAnsi="Times New Roman" w:cs="Times New Roman"/>
          <w:color w:val="000000" w:themeColor="text1"/>
          <w:lang w:val="en-GB"/>
        </w:rPr>
        <w:t>He/She is able to make autonomous decisions in military logistics and military management processes at unit and subunit level, and implement them with responsibility and within the legal framework.</w:t>
      </w:r>
    </w:p>
    <w:p w:rsidR="00E82D81" w:rsidRPr="001E74FD" w:rsidRDefault="00E82D81" w:rsidP="00980876">
      <w:pPr>
        <w:pStyle w:val="Listaszerbekezds"/>
        <w:numPr>
          <w:ilvl w:val="0"/>
          <w:numId w:val="308"/>
        </w:numPr>
        <w:spacing w:line="240" w:lineRule="auto"/>
        <w:ind w:left="851"/>
        <w:jc w:val="both"/>
        <w:rPr>
          <w:rFonts w:ascii="Times New Roman" w:hAnsi="Times New Roman" w:cs="Times New Roman"/>
          <w:color w:val="000000" w:themeColor="text1"/>
          <w:lang w:val="en-GB"/>
        </w:rPr>
      </w:pPr>
      <w:r w:rsidRPr="001E74FD">
        <w:rPr>
          <w:rFonts w:ascii="Times New Roman" w:hAnsi="Times New Roman" w:cs="Times New Roman"/>
          <w:color w:val="000000" w:themeColor="text1"/>
          <w:lang w:val="en-GB"/>
        </w:rPr>
        <w:t>He/She is aware of the impact of his/her decisions and activities on technical equipment and business discipline.</w:t>
      </w:r>
    </w:p>
    <w:p w:rsidR="00E82D81" w:rsidRDefault="00E82D81" w:rsidP="00980876">
      <w:pPr>
        <w:pStyle w:val="Listaszerbekezds"/>
        <w:numPr>
          <w:ilvl w:val="0"/>
          <w:numId w:val="308"/>
        </w:numPr>
        <w:spacing w:line="240" w:lineRule="auto"/>
        <w:ind w:left="851"/>
        <w:jc w:val="both"/>
        <w:rPr>
          <w:rFonts w:ascii="Times New Roman" w:hAnsi="Times New Roman" w:cs="Times New Roman"/>
          <w:color w:val="000000" w:themeColor="text1"/>
          <w:lang w:val="en-GB"/>
        </w:rPr>
      </w:pPr>
      <w:r w:rsidRPr="001E74FD">
        <w:rPr>
          <w:rFonts w:ascii="Times New Roman" w:hAnsi="Times New Roman" w:cs="Times New Roman"/>
          <w:color w:val="000000" w:themeColor="text1"/>
          <w:lang w:val="en-GB"/>
        </w:rPr>
        <w:t>He/She takes responsibility for the professional work of his/her subordinates.</w:t>
      </w:r>
    </w:p>
    <w:p w:rsidR="009410D1" w:rsidRPr="00E82D81" w:rsidRDefault="009410D1" w:rsidP="00E86219">
      <w:pPr>
        <w:pStyle w:val="Listaszerbekezds"/>
        <w:spacing w:line="240" w:lineRule="auto"/>
        <w:ind w:left="851"/>
        <w:rPr>
          <w:rFonts w:ascii="Times New Roman" w:hAnsi="Times New Roman" w:cs="Times New Roman"/>
          <w:color w:val="000000" w:themeColor="text1"/>
          <w:lang w:val="en-GB"/>
        </w:rPr>
      </w:pPr>
    </w:p>
    <w:p w:rsidR="00E82D81" w:rsidRPr="001E74FD" w:rsidRDefault="00E82D81" w:rsidP="00980876">
      <w:pPr>
        <w:pStyle w:val="Listaszerbekezds"/>
        <w:numPr>
          <w:ilvl w:val="0"/>
          <w:numId w:val="612"/>
        </w:numPr>
        <w:tabs>
          <w:tab w:val="clear" w:pos="720"/>
          <w:tab w:val="num" w:pos="426"/>
        </w:tabs>
        <w:spacing w:before="120"/>
        <w:ind w:left="721" w:hanging="437"/>
        <w:rPr>
          <w:rFonts w:ascii="Times New Roman" w:eastAsia="Times New Roman" w:hAnsi="Times New Roman" w:cs="Times New Roman"/>
          <w:bCs/>
          <w:color w:val="000000" w:themeColor="text1"/>
        </w:rPr>
      </w:pPr>
      <w:r w:rsidRPr="001E74FD">
        <w:rPr>
          <w:rFonts w:ascii="Times New Roman" w:eastAsia="Times New Roman" w:hAnsi="Times New Roman" w:cs="Times New Roman"/>
          <w:b/>
          <w:bCs/>
          <w:color w:val="000000" w:themeColor="text1"/>
        </w:rPr>
        <w:t xml:space="preserve">Előtanulmányi követelmények: </w:t>
      </w:r>
      <w:r w:rsidRPr="001E74FD">
        <w:rPr>
          <w:rFonts w:ascii="Times New Roman" w:hAnsi="Times New Roman" w:cs="Times New Roman"/>
          <w:bCs/>
        </w:rPr>
        <w:t>Közlekedési-szállító alegységek műveleti alkalmazása I.</w:t>
      </w:r>
    </w:p>
    <w:p w:rsidR="00E82D81" w:rsidRPr="001E74FD" w:rsidRDefault="00E82D81" w:rsidP="00980876">
      <w:pPr>
        <w:widowControl w:val="0"/>
        <w:numPr>
          <w:ilvl w:val="0"/>
          <w:numId w:val="612"/>
        </w:numPr>
        <w:spacing w:after="0" w:line="240" w:lineRule="auto"/>
        <w:ind w:left="426" w:hanging="142"/>
        <w:jc w:val="both"/>
        <w:rPr>
          <w:rFonts w:ascii="Times New Roman" w:eastAsia="Times New Roman" w:hAnsi="Times New Roman" w:cs="Times New Roman"/>
          <w:b/>
          <w:bCs/>
          <w:color w:val="000000" w:themeColor="text1"/>
        </w:rPr>
      </w:pPr>
      <w:r w:rsidRPr="001E74FD">
        <w:rPr>
          <w:rFonts w:ascii="Times New Roman" w:eastAsia="Times New Roman" w:hAnsi="Times New Roman" w:cs="Times New Roman"/>
          <w:b/>
          <w:bCs/>
          <w:color w:val="000000" w:themeColor="text1"/>
        </w:rPr>
        <w:t>A tantárgy tananyagának leírása, tematika. Description of the subject, curriculum (magyarul, angolul - English):</w:t>
      </w:r>
    </w:p>
    <w:p w:rsidR="00E82D81" w:rsidRPr="001E74FD" w:rsidRDefault="00E82D81" w:rsidP="00980876">
      <w:pPr>
        <w:widowControl w:val="0"/>
        <w:numPr>
          <w:ilvl w:val="1"/>
          <w:numId w:val="612"/>
        </w:numPr>
        <w:tabs>
          <w:tab w:val="clear" w:pos="3977"/>
        </w:tabs>
        <w:spacing w:after="0" w:line="240" w:lineRule="auto"/>
        <w:ind w:left="1134" w:hanging="567"/>
        <w:jc w:val="both"/>
        <w:rPr>
          <w:rFonts w:ascii="Times New Roman" w:eastAsia="Times New Roman" w:hAnsi="Times New Roman" w:cs="Times New Roman"/>
          <w:b/>
          <w:bCs/>
          <w:color w:val="000000" w:themeColor="text1"/>
        </w:rPr>
      </w:pPr>
      <w:r w:rsidRPr="001E74FD">
        <w:rPr>
          <w:rFonts w:ascii="Times New Roman" w:hAnsi="Times New Roman" w:cs="Times New Roman"/>
        </w:rPr>
        <w:t xml:space="preserve"> A közlekedési támogatás dandár szintű vezető és végrehajtó szervezetei, szakalegységei. </w:t>
      </w:r>
      <w:r w:rsidRPr="001E74FD">
        <w:rPr>
          <w:rFonts w:ascii="Times New Roman" w:hAnsi="Times New Roman" w:cs="Times New Roman"/>
          <w:lang w:val="en-US"/>
        </w:rPr>
        <w:t>(</w:t>
      </w:r>
      <w:r w:rsidRPr="001E74FD">
        <w:rPr>
          <w:rFonts w:ascii="Times New Roman" w:hAnsi="Times New Roman" w:cs="Times New Roman"/>
          <w:i/>
          <w:lang w:val="en-US"/>
        </w:rPr>
        <w:t>Logistic-, and transportation support of tactical level (brigade). Organizations, units, subunits of tactical level (brigade)</w:t>
      </w:r>
      <w:r w:rsidRPr="001E74FD">
        <w:rPr>
          <w:rFonts w:ascii="Times New Roman" w:hAnsi="Times New Roman" w:cs="Times New Roman"/>
          <w:lang w:val="en-US"/>
        </w:rPr>
        <w:t>)</w:t>
      </w:r>
    </w:p>
    <w:p w:rsidR="00E82D81" w:rsidRPr="001E74FD" w:rsidRDefault="00E82D81" w:rsidP="00980876">
      <w:pPr>
        <w:widowControl w:val="0"/>
        <w:numPr>
          <w:ilvl w:val="1"/>
          <w:numId w:val="612"/>
        </w:numPr>
        <w:tabs>
          <w:tab w:val="clear" w:pos="3977"/>
        </w:tabs>
        <w:spacing w:after="0" w:line="240" w:lineRule="auto"/>
        <w:ind w:left="1134" w:hanging="567"/>
        <w:jc w:val="both"/>
        <w:rPr>
          <w:rFonts w:ascii="Times New Roman" w:eastAsia="Times New Roman" w:hAnsi="Times New Roman" w:cs="Times New Roman"/>
          <w:b/>
          <w:bCs/>
          <w:color w:val="000000" w:themeColor="text1"/>
        </w:rPr>
      </w:pPr>
      <w:r w:rsidRPr="001E74FD">
        <w:rPr>
          <w:rFonts w:ascii="Times New Roman" w:hAnsi="Times New Roman" w:cs="Times New Roman"/>
        </w:rPr>
        <w:t xml:space="preserve">A logisztikai zászlóalj helye, tevékenysége a különböző műveletekben. </w:t>
      </w:r>
      <w:r w:rsidRPr="001E74FD">
        <w:rPr>
          <w:rFonts w:ascii="Times New Roman" w:hAnsi="Times New Roman" w:cs="Times New Roman"/>
          <w:lang w:val="en-US"/>
        </w:rPr>
        <w:t>(</w:t>
      </w:r>
      <w:r w:rsidRPr="001E74FD">
        <w:rPr>
          <w:rFonts w:ascii="Times New Roman" w:hAnsi="Times New Roman" w:cs="Times New Roman"/>
          <w:i/>
          <w:lang w:val="en-US"/>
        </w:rPr>
        <w:t>Core activities of support battalion in different operations</w:t>
      </w:r>
      <w:r w:rsidRPr="001E74FD">
        <w:rPr>
          <w:rFonts w:ascii="Times New Roman" w:hAnsi="Times New Roman" w:cs="Times New Roman"/>
          <w:lang w:val="en-US"/>
        </w:rPr>
        <w:t>)</w:t>
      </w:r>
    </w:p>
    <w:p w:rsidR="00E82D81" w:rsidRPr="001E74FD" w:rsidRDefault="00E82D81" w:rsidP="00980876">
      <w:pPr>
        <w:widowControl w:val="0"/>
        <w:numPr>
          <w:ilvl w:val="1"/>
          <w:numId w:val="612"/>
        </w:numPr>
        <w:tabs>
          <w:tab w:val="clear" w:pos="3977"/>
        </w:tabs>
        <w:spacing w:after="0" w:line="240" w:lineRule="auto"/>
        <w:ind w:left="1134" w:hanging="567"/>
        <w:jc w:val="both"/>
        <w:rPr>
          <w:rFonts w:ascii="Times New Roman" w:eastAsia="Times New Roman" w:hAnsi="Times New Roman" w:cs="Times New Roman"/>
          <w:b/>
          <w:bCs/>
          <w:color w:val="000000" w:themeColor="text1"/>
        </w:rPr>
      </w:pPr>
      <w:r w:rsidRPr="001E74FD">
        <w:rPr>
          <w:rFonts w:ascii="Times New Roman" w:hAnsi="Times New Roman" w:cs="Times New Roman"/>
        </w:rPr>
        <w:t xml:space="preserve">Az ellátó-szállító század feladatrendszere, működési rendjének elvei, alkalmazása az egyes műveletekben. </w:t>
      </w:r>
      <w:r w:rsidRPr="001E74FD">
        <w:rPr>
          <w:rFonts w:ascii="Times New Roman" w:hAnsi="Times New Roman" w:cs="Times New Roman"/>
          <w:lang w:val="en-US"/>
        </w:rPr>
        <w:t>(</w:t>
      </w:r>
      <w:r w:rsidRPr="001E74FD">
        <w:rPr>
          <w:rFonts w:ascii="Times New Roman" w:hAnsi="Times New Roman" w:cs="Times New Roman"/>
          <w:i/>
          <w:lang w:val="en-US"/>
        </w:rPr>
        <w:t>Principles, core activities of logistic batteries in different operations</w:t>
      </w:r>
      <w:r w:rsidRPr="001E74FD">
        <w:rPr>
          <w:rFonts w:ascii="Times New Roman" w:hAnsi="Times New Roman" w:cs="Times New Roman"/>
          <w:lang w:val="en-US"/>
        </w:rPr>
        <w:t>)</w:t>
      </w:r>
    </w:p>
    <w:p w:rsidR="00E82D81" w:rsidRPr="001E74FD" w:rsidRDefault="00E82D81" w:rsidP="00980876">
      <w:pPr>
        <w:widowControl w:val="0"/>
        <w:numPr>
          <w:ilvl w:val="1"/>
          <w:numId w:val="612"/>
        </w:numPr>
        <w:tabs>
          <w:tab w:val="clear" w:pos="3977"/>
        </w:tabs>
        <w:spacing w:after="0" w:line="240" w:lineRule="auto"/>
        <w:ind w:left="1134" w:hanging="567"/>
        <w:jc w:val="both"/>
        <w:rPr>
          <w:rFonts w:ascii="Times New Roman" w:eastAsia="Times New Roman" w:hAnsi="Times New Roman" w:cs="Times New Roman"/>
          <w:b/>
          <w:bCs/>
          <w:color w:val="000000" w:themeColor="text1"/>
        </w:rPr>
      </w:pPr>
      <w:r w:rsidRPr="001E74FD">
        <w:rPr>
          <w:rFonts w:ascii="Times New Roman" w:hAnsi="Times New Roman" w:cs="Times New Roman"/>
        </w:rPr>
        <w:t>A konfliktus (válság-) helyzet logisztikai támogatási lehetőségeinek értelmezése. (</w:t>
      </w:r>
      <w:r w:rsidRPr="001E74FD">
        <w:rPr>
          <w:rFonts w:ascii="Times New Roman" w:hAnsi="Times New Roman" w:cs="Times New Roman"/>
          <w:i/>
          <w:lang w:val="en-US"/>
        </w:rPr>
        <w:t>Logistic support of crisis management operations</w:t>
      </w:r>
      <w:r w:rsidRPr="001E74FD">
        <w:rPr>
          <w:rFonts w:ascii="Times New Roman" w:hAnsi="Times New Roman" w:cs="Times New Roman"/>
          <w:lang w:val="en-US"/>
        </w:rPr>
        <w:t>.</w:t>
      </w:r>
      <w:r w:rsidRPr="001E74FD">
        <w:rPr>
          <w:rFonts w:ascii="Times New Roman" w:hAnsi="Times New Roman" w:cs="Times New Roman"/>
        </w:rPr>
        <w:t>)</w:t>
      </w:r>
    </w:p>
    <w:p w:rsidR="00E82D81" w:rsidRPr="001E74FD" w:rsidRDefault="00E82D81" w:rsidP="00980876">
      <w:pPr>
        <w:widowControl w:val="0"/>
        <w:numPr>
          <w:ilvl w:val="1"/>
          <w:numId w:val="612"/>
        </w:numPr>
        <w:tabs>
          <w:tab w:val="clear" w:pos="3977"/>
        </w:tabs>
        <w:spacing w:after="0" w:line="240" w:lineRule="auto"/>
        <w:ind w:left="1134" w:hanging="567"/>
        <w:jc w:val="both"/>
        <w:rPr>
          <w:rFonts w:ascii="Times New Roman" w:eastAsia="Times New Roman" w:hAnsi="Times New Roman" w:cs="Times New Roman"/>
          <w:b/>
          <w:bCs/>
          <w:color w:val="000000" w:themeColor="text1"/>
        </w:rPr>
      </w:pPr>
      <w:r w:rsidRPr="001E74FD">
        <w:rPr>
          <w:rFonts w:ascii="Times New Roman" w:hAnsi="Times New Roman" w:cs="Times New Roman"/>
        </w:rPr>
        <w:t>A műveletek logisztikai biztosítása (</w:t>
      </w:r>
      <w:r w:rsidRPr="001E74FD">
        <w:rPr>
          <w:rFonts w:ascii="Times New Roman" w:hAnsi="Times New Roman" w:cs="Times New Roman"/>
          <w:i/>
          <w:lang w:val="en-US"/>
        </w:rPr>
        <w:t>Real life logistic in operations</w:t>
      </w:r>
      <w:r w:rsidRPr="001E74FD">
        <w:rPr>
          <w:rFonts w:ascii="Times New Roman" w:hAnsi="Times New Roman" w:cs="Times New Roman"/>
        </w:rPr>
        <w:t>)</w:t>
      </w:r>
    </w:p>
    <w:p w:rsidR="00E82D81" w:rsidRPr="001E74FD" w:rsidRDefault="00E82D81" w:rsidP="00980876">
      <w:pPr>
        <w:widowControl w:val="0"/>
        <w:numPr>
          <w:ilvl w:val="1"/>
          <w:numId w:val="612"/>
        </w:numPr>
        <w:tabs>
          <w:tab w:val="clear" w:pos="3977"/>
        </w:tabs>
        <w:spacing w:after="0" w:line="240" w:lineRule="auto"/>
        <w:ind w:left="1134" w:hanging="567"/>
        <w:jc w:val="both"/>
        <w:rPr>
          <w:rFonts w:ascii="Times New Roman" w:eastAsia="Times New Roman" w:hAnsi="Times New Roman" w:cs="Times New Roman"/>
          <w:b/>
          <w:bCs/>
          <w:color w:val="000000" w:themeColor="text1"/>
        </w:rPr>
      </w:pPr>
      <w:r w:rsidRPr="001E74FD">
        <w:rPr>
          <w:rFonts w:ascii="Times New Roman" w:hAnsi="Times New Roman" w:cs="Times New Roman"/>
        </w:rPr>
        <w:t>Erők megszervezése, felvonulása (</w:t>
      </w:r>
      <w:r w:rsidRPr="001E74FD">
        <w:rPr>
          <w:rFonts w:ascii="Times New Roman" w:hAnsi="Times New Roman" w:cs="Times New Roman"/>
          <w:i/>
          <w:lang w:val="en-US"/>
        </w:rPr>
        <w:t>Force generation, strategic lift</w:t>
      </w:r>
      <w:r w:rsidRPr="001E74FD">
        <w:rPr>
          <w:rFonts w:ascii="Times New Roman" w:hAnsi="Times New Roman" w:cs="Times New Roman"/>
        </w:rPr>
        <w:t>)</w:t>
      </w:r>
    </w:p>
    <w:p w:rsidR="00E82D81" w:rsidRPr="001E74FD" w:rsidRDefault="00E82D81" w:rsidP="00980876">
      <w:pPr>
        <w:widowControl w:val="0"/>
        <w:numPr>
          <w:ilvl w:val="1"/>
          <w:numId w:val="612"/>
        </w:numPr>
        <w:tabs>
          <w:tab w:val="clear" w:pos="3977"/>
        </w:tabs>
        <w:spacing w:after="0" w:line="240" w:lineRule="auto"/>
        <w:ind w:left="1134" w:hanging="567"/>
        <w:jc w:val="both"/>
        <w:rPr>
          <w:rFonts w:ascii="Times New Roman" w:eastAsia="Times New Roman" w:hAnsi="Times New Roman" w:cs="Times New Roman"/>
          <w:b/>
          <w:bCs/>
          <w:color w:val="000000" w:themeColor="text1"/>
        </w:rPr>
      </w:pPr>
      <w:r w:rsidRPr="001E74FD">
        <w:rPr>
          <w:rFonts w:ascii="Times New Roman" w:hAnsi="Times New Roman" w:cs="Times New Roman"/>
        </w:rPr>
        <w:t>A Nemzeti Támogató Elem működése (</w:t>
      </w:r>
      <w:r w:rsidRPr="001E74FD">
        <w:rPr>
          <w:rFonts w:ascii="Times New Roman" w:hAnsi="Times New Roman" w:cs="Times New Roman"/>
          <w:i/>
          <w:lang w:val="en-US"/>
        </w:rPr>
        <w:t>National Support Element core activities</w:t>
      </w:r>
      <w:r w:rsidRPr="001E74FD">
        <w:rPr>
          <w:rFonts w:ascii="Times New Roman" w:hAnsi="Times New Roman" w:cs="Times New Roman"/>
        </w:rPr>
        <w:t>)</w:t>
      </w:r>
    </w:p>
    <w:p w:rsidR="00E82D81" w:rsidRPr="001E74FD" w:rsidRDefault="00E82D81" w:rsidP="00980876">
      <w:pPr>
        <w:widowControl w:val="0"/>
        <w:numPr>
          <w:ilvl w:val="1"/>
          <w:numId w:val="612"/>
        </w:numPr>
        <w:tabs>
          <w:tab w:val="clear" w:pos="3977"/>
        </w:tabs>
        <w:spacing w:after="0" w:line="240" w:lineRule="auto"/>
        <w:ind w:left="1134" w:hanging="567"/>
        <w:jc w:val="both"/>
        <w:rPr>
          <w:rFonts w:ascii="Times New Roman" w:hAnsi="Times New Roman" w:cs="Times New Roman"/>
        </w:rPr>
      </w:pPr>
      <w:r w:rsidRPr="001E74FD">
        <w:rPr>
          <w:rFonts w:ascii="Times New Roman" w:hAnsi="Times New Roman" w:cs="Times New Roman"/>
        </w:rPr>
        <w:t>Gyakorló feladat (</w:t>
      </w:r>
      <w:r w:rsidRPr="001E74FD">
        <w:rPr>
          <w:rFonts w:ascii="Times New Roman" w:hAnsi="Times New Roman" w:cs="Times New Roman"/>
          <w:i/>
          <w:lang w:val="en-US"/>
        </w:rPr>
        <w:t>exercise</w:t>
      </w:r>
      <w:r w:rsidRPr="001E74FD">
        <w:rPr>
          <w:rFonts w:ascii="Times New Roman" w:hAnsi="Times New Roman" w:cs="Times New Roman"/>
        </w:rPr>
        <w:t>)</w:t>
      </w:r>
    </w:p>
    <w:p w:rsidR="00E82D81" w:rsidRPr="001E74FD" w:rsidRDefault="00E82D81" w:rsidP="00980876">
      <w:pPr>
        <w:widowControl w:val="0"/>
        <w:numPr>
          <w:ilvl w:val="2"/>
          <w:numId w:val="612"/>
        </w:numPr>
        <w:spacing w:after="0" w:line="240" w:lineRule="auto"/>
        <w:jc w:val="both"/>
        <w:rPr>
          <w:rFonts w:ascii="Times New Roman" w:hAnsi="Times New Roman" w:cs="Times New Roman"/>
        </w:rPr>
      </w:pPr>
      <w:r w:rsidRPr="001E74FD">
        <w:rPr>
          <w:rFonts w:ascii="Times New Roman" w:hAnsi="Times New Roman" w:cs="Times New Roman"/>
        </w:rPr>
        <w:t>Zászlóalj és alegységei (</w:t>
      </w:r>
      <w:r w:rsidRPr="001E74FD">
        <w:rPr>
          <w:rFonts w:ascii="Times New Roman" w:hAnsi="Times New Roman" w:cs="Times New Roman"/>
          <w:i/>
          <w:lang w:val="en-US"/>
        </w:rPr>
        <w:t>Battalion and subunits</w:t>
      </w:r>
      <w:r w:rsidRPr="001E74FD">
        <w:rPr>
          <w:rFonts w:ascii="Times New Roman" w:hAnsi="Times New Roman" w:cs="Times New Roman"/>
        </w:rPr>
        <w:t>)</w:t>
      </w:r>
    </w:p>
    <w:p w:rsidR="00E82D81" w:rsidRPr="001E74FD" w:rsidRDefault="00E82D81" w:rsidP="00980876">
      <w:pPr>
        <w:widowControl w:val="0"/>
        <w:numPr>
          <w:ilvl w:val="2"/>
          <w:numId w:val="612"/>
        </w:numPr>
        <w:spacing w:after="120" w:line="240" w:lineRule="auto"/>
        <w:ind w:left="1582" w:hanging="505"/>
        <w:jc w:val="both"/>
        <w:rPr>
          <w:rFonts w:ascii="Times New Roman" w:hAnsi="Times New Roman" w:cs="Times New Roman"/>
        </w:rPr>
      </w:pPr>
      <w:r w:rsidRPr="001E74FD">
        <w:rPr>
          <w:rFonts w:ascii="Times New Roman" w:hAnsi="Times New Roman" w:cs="Times New Roman"/>
        </w:rPr>
        <w:t>Dandár (</w:t>
      </w:r>
      <w:r w:rsidRPr="001E74FD">
        <w:rPr>
          <w:rFonts w:ascii="Times New Roman" w:hAnsi="Times New Roman" w:cs="Times New Roman"/>
          <w:i/>
        </w:rPr>
        <w:t>Brigade</w:t>
      </w:r>
      <w:r w:rsidRPr="001E74FD">
        <w:rPr>
          <w:rFonts w:ascii="Times New Roman" w:hAnsi="Times New Roman" w:cs="Times New Roman"/>
        </w:rPr>
        <w:t>)</w:t>
      </w:r>
    </w:p>
    <w:p w:rsidR="00E82D81" w:rsidRPr="001E74FD" w:rsidRDefault="00E82D81" w:rsidP="00980876">
      <w:pPr>
        <w:widowControl w:val="0"/>
        <w:numPr>
          <w:ilvl w:val="0"/>
          <w:numId w:val="612"/>
        </w:numPr>
        <w:tabs>
          <w:tab w:val="num" w:pos="360"/>
        </w:tabs>
        <w:spacing w:after="120" w:line="240" w:lineRule="auto"/>
        <w:ind w:left="426" w:hanging="142"/>
        <w:jc w:val="both"/>
        <w:rPr>
          <w:rFonts w:ascii="Times New Roman" w:eastAsia="Times New Roman" w:hAnsi="Times New Roman" w:cs="Times New Roman"/>
          <w:bCs/>
          <w:color w:val="000000" w:themeColor="text1"/>
        </w:rPr>
      </w:pPr>
      <w:r w:rsidRPr="001E74FD">
        <w:rPr>
          <w:rFonts w:ascii="Times New Roman" w:eastAsia="Times New Roman" w:hAnsi="Times New Roman" w:cs="Times New Roman"/>
          <w:b/>
          <w:bCs/>
          <w:color w:val="000000" w:themeColor="text1"/>
        </w:rPr>
        <w:t>A tantárgy meghirdetésének gyakorisága/a tantervben történő félévi elhelyezkedése:</w:t>
      </w:r>
      <w:r>
        <w:rPr>
          <w:rFonts w:ascii="Times New Roman" w:eastAsia="Times New Roman" w:hAnsi="Times New Roman" w:cs="Times New Roman"/>
          <w:b/>
          <w:bCs/>
          <w:color w:val="000000" w:themeColor="text1"/>
        </w:rPr>
        <w:t xml:space="preserve"> </w:t>
      </w:r>
      <w:r>
        <w:rPr>
          <w:rFonts w:ascii="Times New Roman" w:eastAsia="Times New Roman" w:hAnsi="Times New Roman" w:cs="Times New Roman"/>
          <w:bCs/>
          <w:color w:val="000000" w:themeColor="text1"/>
        </w:rPr>
        <w:t>A</w:t>
      </w:r>
      <w:r w:rsidRPr="001E74FD">
        <w:rPr>
          <w:rFonts w:ascii="Times New Roman" w:eastAsia="Times New Roman" w:hAnsi="Times New Roman" w:cs="Times New Roman"/>
          <w:b/>
          <w:bCs/>
          <w:color w:val="000000" w:themeColor="text1"/>
        </w:rPr>
        <w:t xml:space="preserve"> </w:t>
      </w:r>
      <w:r w:rsidRPr="001E74FD">
        <w:rPr>
          <w:rFonts w:ascii="Times New Roman" w:eastAsia="Times New Roman" w:hAnsi="Times New Roman" w:cs="Times New Roman"/>
          <w:bCs/>
          <w:color w:val="000000" w:themeColor="text1"/>
        </w:rPr>
        <w:t>második félév</w:t>
      </w:r>
      <w:r>
        <w:rPr>
          <w:rFonts w:ascii="Times New Roman" w:eastAsia="Times New Roman" w:hAnsi="Times New Roman" w:cs="Times New Roman"/>
          <w:bCs/>
          <w:color w:val="000000" w:themeColor="text1"/>
        </w:rPr>
        <w:t>ben.</w:t>
      </w:r>
    </w:p>
    <w:p w:rsidR="00E82D81" w:rsidRPr="00E86219" w:rsidRDefault="00E82D81" w:rsidP="00980876">
      <w:pPr>
        <w:widowControl w:val="0"/>
        <w:numPr>
          <w:ilvl w:val="0"/>
          <w:numId w:val="612"/>
        </w:numPr>
        <w:tabs>
          <w:tab w:val="num" w:pos="360"/>
        </w:tabs>
        <w:spacing w:after="120" w:line="240" w:lineRule="auto"/>
        <w:ind w:left="425" w:hanging="142"/>
        <w:jc w:val="both"/>
        <w:rPr>
          <w:rFonts w:ascii="Times New Roman" w:eastAsia="Times New Roman" w:hAnsi="Times New Roman" w:cs="Times New Roman"/>
          <w:bCs/>
          <w:color w:val="000000" w:themeColor="text1"/>
        </w:rPr>
      </w:pPr>
      <w:r w:rsidRPr="00E86219">
        <w:rPr>
          <w:rFonts w:ascii="Times New Roman" w:eastAsia="Times New Roman" w:hAnsi="Times New Roman" w:cs="Times New Roman"/>
          <w:b/>
          <w:bCs/>
          <w:color w:val="000000" w:themeColor="text1"/>
        </w:rPr>
        <w:t>A tanórákon való részvétel követelményei, az elfogadható hiányzások mértéke, a távolmaradás pótlásának lehetősége:</w:t>
      </w:r>
      <w:r w:rsidRPr="00E86219">
        <w:rPr>
          <w:rFonts w:ascii="Times New Roman" w:eastAsia="Times New Roman" w:hAnsi="Times New Roman" w:cs="Times New Roman"/>
          <w:bCs/>
          <w:color w:val="000000" w:themeColor="text1"/>
        </w:rPr>
        <w:t xml:space="preserve"> </w:t>
      </w:r>
      <w:r w:rsidRPr="00E86219">
        <w:rPr>
          <w:rFonts w:ascii="Times New Roman" w:hAnsi="Times New Roman" w:cs="Times New Roman"/>
          <w:color w:val="000000" w:themeColor="text1"/>
          <w:sz w:val="24"/>
          <w:szCs w:val="24"/>
        </w:rPr>
        <w:t xml:space="preserve">A hallgatóknak a tantárgy elfogadásához a feladatmegoldó gyakorlás 90%-án, illetve a foglalkozások legalább 70 %-án jelen kell </w:t>
      </w:r>
      <w:r w:rsidRPr="00E86219">
        <w:rPr>
          <w:rFonts w:ascii="Times New Roman" w:hAnsi="Times New Roman" w:cs="Times New Roman"/>
          <w:color w:val="000000" w:themeColor="text1"/>
          <w:sz w:val="24"/>
          <w:szCs w:val="24"/>
        </w:rPr>
        <w:lastRenderedPageBreak/>
        <w:t xml:space="preserve">lennie. Az elfogadható hiányzás mértékének túllépése az aláírás megtagadásával jár. </w:t>
      </w:r>
      <w:r w:rsidRPr="00E86219">
        <w:rPr>
          <w:rFonts w:ascii="Times New Roman" w:eastAsia="Times New Roman" w:hAnsi="Times New Roman" w:cs="Times New Roman"/>
          <w:bCs/>
          <w:kern w:val="2"/>
        </w:rPr>
        <w:t>Az igazolt hiányzás következtében elmaradt foglalkozások, ismeretszintfelmérők pótolhatók, az oktató által kijelölt témakörben beadott, legalább elégségesre értékelt házidolgozattal.</w:t>
      </w:r>
    </w:p>
    <w:p w:rsidR="00E82D81" w:rsidRPr="00E86219" w:rsidRDefault="00E82D81" w:rsidP="00980876">
      <w:pPr>
        <w:widowControl w:val="0"/>
        <w:numPr>
          <w:ilvl w:val="0"/>
          <w:numId w:val="612"/>
        </w:numPr>
        <w:tabs>
          <w:tab w:val="num" w:pos="360"/>
        </w:tabs>
        <w:spacing w:after="0" w:line="240" w:lineRule="auto"/>
        <w:ind w:left="426" w:hanging="142"/>
        <w:jc w:val="both"/>
        <w:rPr>
          <w:rFonts w:ascii="Times New Roman" w:eastAsia="Times New Roman" w:hAnsi="Times New Roman" w:cs="Times New Roman"/>
          <w:bCs/>
          <w:color w:val="000000" w:themeColor="text1"/>
        </w:rPr>
      </w:pPr>
      <w:r w:rsidRPr="00E86219">
        <w:rPr>
          <w:rFonts w:ascii="Times New Roman" w:eastAsia="Times New Roman" w:hAnsi="Times New Roman" w:cs="Times New Roman"/>
          <w:b/>
          <w:color w:val="000000" w:themeColor="text1"/>
        </w:rPr>
        <w:t>Félévközi feladatok, ismeretek ellenőrzésének rendje:</w:t>
      </w:r>
      <w:r w:rsidRPr="00E86219">
        <w:rPr>
          <w:rFonts w:ascii="Times New Roman" w:eastAsia="Times New Roman" w:hAnsi="Times New Roman" w:cs="Times New Roman"/>
          <w:bCs/>
          <w:color w:val="000000" w:themeColor="text1"/>
        </w:rPr>
        <w:t xml:space="preserve"> A félévközi feladat típusa: prezentáció. </w:t>
      </w:r>
    </w:p>
    <w:p w:rsidR="00E82D81" w:rsidRPr="001E74FD" w:rsidRDefault="00E82D81" w:rsidP="00E86219">
      <w:pPr>
        <w:widowControl w:val="0"/>
        <w:spacing w:after="0" w:line="240" w:lineRule="auto"/>
        <w:ind w:left="426"/>
        <w:jc w:val="both"/>
        <w:rPr>
          <w:rFonts w:ascii="Times New Roman" w:eastAsia="Times New Roman" w:hAnsi="Times New Roman" w:cs="Times New Roman"/>
          <w:bCs/>
          <w:color w:val="000000" w:themeColor="text1"/>
        </w:rPr>
      </w:pPr>
      <w:r w:rsidRPr="001E74FD">
        <w:rPr>
          <w:rFonts w:ascii="Times New Roman" w:eastAsia="Times New Roman" w:hAnsi="Times New Roman" w:cs="Times New Roman"/>
          <w:bCs/>
          <w:color w:val="000000" w:themeColor="text1"/>
        </w:rPr>
        <w:t>A félévközi feladatok teljesítésének alkalomszáma: A hallgató a félév során egy prezentációt készít.</w:t>
      </w:r>
    </w:p>
    <w:p w:rsidR="00E82D81" w:rsidRPr="001E74FD" w:rsidRDefault="00E82D81" w:rsidP="00E86219">
      <w:pPr>
        <w:widowControl w:val="0"/>
        <w:spacing w:after="0" w:line="240" w:lineRule="auto"/>
        <w:ind w:left="426"/>
        <w:jc w:val="both"/>
        <w:rPr>
          <w:rFonts w:ascii="Times New Roman" w:eastAsia="Times New Roman" w:hAnsi="Times New Roman" w:cs="Times New Roman"/>
          <w:bCs/>
          <w:color w:val="000000" w:themeColor="text1"/>
        </w:rPr>
      </w:pPr>
      <w:r w:rsidRPr="001E74FD">
        <w:rPr>
          <w:rFonts w:ascii="Times New Roman" w:eastAsia="Times New Roman" w:hAnsi="Times New Roman" w:cs="Times New Roman"/>
          <w:bCs/>
          <w:color w:val="000000" w:themeColor="text1"/>
        </w:rPr>
        <w:t>A félévközi feladat témaköre: A kiadott harcászati helyzet (Lövész dandár védelem-logisztikai támogatás) elemzése a közlekedési biztosítás szempontjából úgy, hogy a hallgató a feladatot egy összfegyernemi lövészdandárban rendszeresített közlekedő szakbeosztás (a kiadott feladat tartalmazza) szemszögéből kidolgozza.</w:t>
      </w:r>
    </w:p>
    <w:p w:rsidR="00E82D81" w:rsidRPr="001E74FD" w:rsidRDefault="00E82D81" w:rsidP="00E86219">
      <w:pPr>
        <w:widowControl w:val="0"/>
        <w:spacing w:after="0" w:line="240" w:lineRule="auto"/>
        <w:ind w:left="426"/>
        <w:jc w:val="both"/>
        <w:rPr>
          <w:rFonts w:ascii="Times New Roman" w:eastAsia="Times New Roman" w:hAnsi="Times New Roman" w:cs="Times New Roman"/>
          <w:bCs/>
          <w:color w:val="000000" w:themeColor="text1"/>
        </w:rPr>
      </w:pPr>
      <w:r w:rsidRPr="001E74FD">
        <w:rPr>
          <w:rFonts w:ascii="Times New Roman" w:eastAsia="Times New Roman" w:hAnsi="Times New Roman" w:cs="Times New Roman"/>
          <w:bCs/>
          <w:color w:val="000000" w:themeColor="text1"/>
        </w:rPr>
        <w:t xml:space="preserve">A feladat teljesítésének határideje: a vizsgaidőszak első napja. </w:t>
      </w:r>
    </w:p>
    <w:p w:rsidR="00E82D81" w:rsidRPr="001E74FD" w:rsidRDefault="00E82D81" w:rsidP="00E86219">
      <w:pPr>
        <w:widowControl w:val="0"/>
        <w:spacing w:after="0" w:line="240" w:lineRule="auto"/>
        <w:ind w:left="426"/>
        <w:jc w:val="both"/>
        <w:rPr>
          <w:rFonts w:ascii="Times New Roman" w:eastAsia="Times New Roman" w:hAnsi="Times New Roman" w:cs="Times New Roman"/>
          <w:bCs/>
          <w:color w:val="000000" w:themeColor="text1"/>
        </w:rPr>
      </w:pPr>
      <w:r w:rsidRPr="001E74FD">
        <w:rPr>
          <w:rFonts w:ascii="Times New Roman" w:eastAsia="Times New Roman" w:hAnsi="Times New Roman" w:cs="Times New Roman"/>
          <w:bCs/>
          <w:color w:val="000000" w:themeColor="text1"/>
        </w:rPr>
        <w:t>Az ellenőrzés módja: A prezentációnak minimálisan tartalmaznia kell (megfelelő szint) a harcászati helyzet elemzését, és a választott szakbeosztásnak megfelelő részfeladatok logikailag helyes kidolgozottságát.</w:t>
      </w:r>
    </w:p>
    <w:p w:rsidR="00E82D81" w:rsidRPr="001E74FD" w:rsidRDefault="00E82D81" w:rsidP="00E86219">
      <w:pPr>
        <w:widowControl w:val="0"/>
        <w:spacing w:after="120" w:line="240" w:lineRule="auto"/>
        <w:ind w:left="425"/>
        <w:jc w:val="both"/>
        <w:rPr>
          <w:rFonts w:ascii="Times New Roman" w:eastAsia="Times New Roman" w:hAnsi="Times New Roman" w:cs="Times New Roman"/>
          <w:bCs/>
          <w:color w:val="000000" w:themeColor="text1"/>
        </w:rPr>
      </w:pPr>
      <w:r w:rsidRPr="001E74FD">
        <w:rPr>
          <w:rFonts w:ascii="Times New Roman" w:eastAsia="Times New Roman" w:hAnsi="Times New Roman" w:cs="Times New Roman"/>
          <w:bCs/>
          <w:color w:val="000000" w:themeColor="text1"/>
        </w:rPr>
        <w:t>A félévközi feladat pótlásának/javításának lehetősége: A pótlásra/javításra a zárthelyi dolgozat megírása előtt van lehetőség.</w:t>
      </w:r>
    </w:p>
    <w:p w:rsidR="00E82D81" w:rsidRPr="001E74FD" w:rsidRDefault="00E82D81" w:rsidP="00980876">
      <w:pPr>
        <w:widowControl w:val="0"/>
        <w:numPr>
          <w:ilvl w:val="0"/>
          <w:numId w:val="612"/>
        </w:numPr>
        <w:spacing w:after="0" w:line="360" w:lineRule="auto"/>
        <w:ind w:left="426" w:hanging="142"/>
        <w:jc w:val="both"/>
        <w:rPr>
          <w:rFonts w:ascii="Times New Roman" w:eastAsia="Times New Roman" w:hAnsi="Times New Roman" w:cs="Times New Roman"/>
          <w:b/>
          <w:bCs/>
          <w:color w:val="000000" w:themeColor="text1"/>
        </w:rPr>
      </w:pPr>
      <w:r w:rsidRPr="001E74FD">
        <w:rPr>
          <w:rFonts w:ascii="Times New Roman" w:eastAsia="Times New Roman" w:hAnsi="Times New Roman" w:cs="Times New Roman"/>
          <w:b/>
          <w:bCs/>
          <w:color w:val="000000" w:themeColor="text1"/>
        </w:rPr>
        <w:t xml:space="preserve">Az értékelés, az aláírás és a kreditek megszerzésének pontos feltételei: </w:t>
      </w:r>
    </w:p>
    <w:p w:rsidR="00E82D81" w:rsidRPr="00E86219" w:rsidRDefault="00E82D81" w:rsidP="00980876">
      <w:pPr>
        <w:widowControl w:val="0"/>
        <w:numPr>
          <w:ilvl w:val="1"/>
          <w:numId w:val="612"/>
        </w:numPr>
        <w:tabs>
          <w:tab w:val="clear" w:pos="3977"/>
          <w:tab w:val="left" w:pos="709"/>
          <w:tab w:val="left" w:pos="993"/>
          <w:tab w:val="num" w:pos="2069"/>
        </w:tabs>
        <w:spacing w:after="120" w:line="240" w:lineRule="auto"/>
        <w:ind w:left="425" w:firstLine="0"/>
        <w:jc w:val="both"/>
        <w:rPr>
          <w:rFonts w:ascii="Times New Roman" w:eastAsia="Times New Roman" w:hAnsi="Times New Roman" w:cs="Times New Roman"/>
          <w:color w:val="000000" w:themeColor="text1"/>
        </w:rPr>
      </w:pPr>
      <w:r w:rsidRPr="00E86219">
        <w:rPr>
          <w:rFonts w:ascii="Times New Roman" w:eastAsia="Times New Roman" w:hAnsi="Times New Roman" w:cs="Times New Roman"/>
          <w:b/>
          <w:color w:val="000000" w:themeColor="text1"/>
        </w:rPr>
        <w:t>Az aláírás megszerzésének feltételei:</w:t>
      </w:r>
      <w:r w:rsidRPr="00E86219">
        <w:rPr>
          <w:rFonts w:ascii="Times New Roman" w:eastAsia="Times New Roman" w:hAnsi="Times New Roman" w:cs="Times New Roman"/>
          <w:color w:val="000000" w:themeColor="text1"/>
        </w:rPr>
        <w:t xml:space="preserve"> Az aláírás megszerzésének feltétele a 14. pontban meghatározott arányú részvétel a foglalkozásokon és a 15. pontban meghatározott félévközi feladatok legalább megfelelő szintű teljesítése.</w:t>
      </w:r>
    </w:p>
    <w:p w:rsidR="00E82D81" w:rsidRPr="00E86219" w:rsidRDefault="00E82D81" w:rsidP="00980876">
      <w:pPr>
        <w:widowControl w:val="0"/>
        <w:numPr>
          <w:ilvl w:val="1"/>
          <w:numId w:val="612"/>
        </w:numPr>
        <w:tabs>
          <w:tab w:val="clear" w:pos="3977"/>
          <w:tab w:val="left" w:pos="709"/>
          <w:tab w:val="left" w:pos="993"/>
          <w:tab w:val="num" w:pos="2069"/>
        </w:tabs>
        <w:spacing w:after="120" w:line="240" w:lineRule="auto"/>
        <w:ind w:left="425" w:firstLine="0"/>
        <w:jc w:val="both"/>
        <w:rPr>
          <w:rFonts w:ascii="Times New Roman" w:eastAsia="Times New Roman" w:hAnsi="Times New Roman" w:cs="Times New Roman"/>
          <w:color w:val="000000" w:themeColor="text1"/>
        </w:rPr>
      </w:pPr>
      <w:r w:rsidRPr="00E86219">
        <w:rPr>
          <w:rFonts w:ascii="Times New Roman" w:eastAsia="Times New Roman" w:hAnsi="Times New Roman" w:cs="Times New Roman"/>
          <w:b/>
          <w:color w:val="000000" w:themeColor="text1"/>
        </w:rPr>
        <w:t>Az értékelés:</w:t>
      </w:r>
      <w:r w:rsidRPr="00E86219">
        <w:rPr>
          <w:rFonts w:ascii="Times New Roman" w:eastAsia="Times New Roman" w:hAnsi="Times New Roman" w:cs="Times New Roman"/>
          <w:color w:val="000000" w:themeColor="text1"/>
        </w:rPr>
        <w:t xml:space="preserve"> Az értékelés típusa: Félévközi értékelés, ötfokozatú értékeléssel.</w:t>
      </w:r>
    </w:p>
    <w:p w:rsidR="00E82D81" w:rsidRPr="00E86219" w:rsidRDefault="00E82D81" w:rsidP="00E86219">
      <w:pPr>
        <w:widowControl w:val="0"/>
        <w:tabs>
          <w:tab w:val="left" w:pos="993"/>
        </w:tabs>
        <w:spacing w:after="120" w:line="240" w:lineRule="auto"/>
        <w:ind w:left="425"/>
        <w:jc w:val="both"/>
        <w:rPr>
          <w:rFonts w:ascii="Times New Roman" w:eastAsia="Times New Roman" w:hAnsi="Times New Roman" w:cs="Times New Roman"/>
          <w:color w:val="000000" w:themeColor="text1"/>
        </w:rPr>
      </w:pPr>
      <w:r w:rsidRPr="00E86219">
        <w:rPr>
          <w:rFonts w:ascii="Times New Roman" w:eastAsia="Times New Roman" w:hAnsi="Times New Roman" w:cs="Times New Roman"/>
          <w:color w:val="000000" w:themeColor="text1"/>
        </w:rPr>
        <w:t>Az értékelés tartalmát a kidolgozó gyakorláson elhangzottak és az alább felsorolt kötelező és ajánlott irodalmak anyagai képezik. Az értékelés szummatív: 0-50% - elégtelen, 51-70% - elégséges, 71-80% - közepes, 81-90% - jó, 91-100% - jeles.</w:t>
      </w:r>
    </w:p>
    <w:p w:rsidR="00E82D81" w:rsidRPr="001E74FD" w:rsidRDefault="00E82D81" w:rsidP="00E86219">
      <w:pPr>
        <w:widowControl w:val="0"/>
        <w:tabs>
          <w:tab w:val="left" w:pos="993"/>
        </w:tabs>
        <w:spacing w:after="120" w:line="240" w:lineRule="auto"/>
        <w:ind w:left="425"/>
        <w:jc w:val="both"/>
        <w:rPr>
          <w:rFonts w:ascii="Times New Roman" w:eastAsia="Times New Roman" w:hAnsi="Times New Roman" w:cs="Times New Roman"/>
          <w:color w:val="000000" w:themeColor="text1"/>
        </w:rPr>
      </w:pPr>
      <w:r w:rsidRPr="001E74FD">
        <w:rPr>
          <w:rFonts w:ascii="Times New Roman" w:eastAsia="Times New Roman" w:hAnsi="Times New Roman" w:cs="Times New Roman"/>
          <w:color w:val="000000" w:themeColor="text1"/>
        </w:rPr>
        <w:t xml:space="preserve">Vizsgakövetelmények: a kötelező irodalom-, és a tematikában tárgyalt szabályzók feldolgozása, és ismerete. </w:t>
      </w:r>
    </w:p>
    <w:p w:rsidR="00E82D81" w:rsidRPr="00E86219" w:rsidRDefault="00E82D81" w:rsidP="00980876">
      <w:pPr>
        <w:widowControl w:val="0"/>
        <w:numPr>
          <w:ilvl w:val="1"/>
          <w:numId w:val="612"/>
        </w:numPr>
        <w:tabs>
          <w:tab w:val="clear" w:pos="3977"/>
          <w:tab w:val="left" w:pos="709"/>
          <w:tab w:val="left" w:pos="993"/>
          <w:tab w:val="num" w:pos="2069"/>
        </w:tabs>
        <w:spacing w:after="120" w:line="240" w:lineRule="auto"/>
        <w:ind w:left="425" w:firstLine="0"/>
        <w:jc w:val="both"/>
        <w:rPr>
          <w:rFonts w:ascii="Times New Roman" w:eastAsia="Times New Roman" w:hAnsi="Times New Roman" w:cs="Times New Roman"/>
          <w:bCs/>
          <w:color w:val="000000" w:themeColor="text1"/>
        </w:rPr>
      </w:pPr>
      <w:r w:rsidRPr="00E86219">
        <w:rPr>
          <w:rFonts w:ascii="Times New Roman" w:eastAsia="Times New Roman" w:hAnsi="Times New Roman" w:cs="Times New Roman"/>
          <w:b/>
          <w:color w:val="000000" w:themeColor="text1"/>
        </w:rPr>
        <w:t>A kreditek megszerzésének feltételei:</w:t>
      </w:r>
      <w:r w:rsidRPr="00E86219">
        <w:rPr>
          <w:rFonts w:ascii="Times New Roman" w:eastAsia="Times New Roman" w:hAnsi="Times New Roman" w:cs="Times New Roman"/>
          <w:color w:val="000000" w:themeColor="text1"/>
        </w:rPr>
        <w:t xml:space="preserve"> A kreditek megszerzésének feltétele az aláírás megszerzése és az elégséges vizsgajegy. </w:t>
      </w:r>
    </w:p>
    <w:p w:rsidR="00E82D81" w:rsidRPr="001E74FD" w:rsidRDefault="00E82D81" w:rsidP="00980876">
      <w:pPr>
        <w:widowControl w:val="0"/>
        <w:numPr>
          <w:ilvl w:val="0"/>
          <w:numId w:val="612"/>
        </w:numPr>
        <w:spacing w:after="0" w:line="360" w:lineRule="auto"/>
        <w:ind w:left="426" w:hanging="142"/>
        <w:jc w:val="both"/>
        <w:rPr>
          <w:rFonts w:ascii="Times New Roman" w:eastAsia="Times New Roman" w:hAnsi="Times New Roman" w:cs="Times New Roman"/>
          <w:bCs/>
          <w:color w:val="000000" w:themeColor="text1"/>
        </w:rPr>
      </w:pPr>
      <w:r w:rsidRPr="001E74FD">
        <w:rPr>
          <w:rFonts w:ascii="Times New Roman" w:eastAsia="Times New Roman" w:hAnsi="Times New Roman" w:cs="Times New Roman"/>
          <w:b/>
          <w:bCs/>
          <w:color w:val="000000" w:themeColor="text1"/>
        </w:rPr>
        <w:t>Irodalomjegyzék:</w:t>
      </w:r>
    </w:p>
    <w:p w:rsidR="00E82D81" w:rsidRPr="001E74FD" w:rsidRDefault="00E82D81" w:rsidP="00980876">
      <w:pPr>
        <w:widowControl w:val="0"/>
        <w:numPr>
          <w:ilvl w:val="1"/>
          <w:numId w:val="612"/>
        </w:numPr>
        <w:tabs>
          <w:tab w:val="clear" w:pos="3977"/>
          <w:tab w:val="left" w:pos="567"/>
          <w:tab w:val="left" w:pos="851"/>
          <w:tab w:val="num" w:pos="2069"/>
        </w:tabs>
        <w:spacing w:after="0" w:line="360" w:lineRule="auto"/>
        <w:ind w:left="426" w:hanging="142"/>
        <w:jc w:val="both"/>
        <w:rPr>
          <w:rFonts w:ascii="Times New Roman" w:eastAsia="Times New Roman" w:hAnsi="Times New Roman" w:cs="Times New Roman"/>
          <w:bCs/>
          <w:color w:val="000000" w:themeColor="text1"/>
        </w:rPr>
      </w:pPr>
      <w:r w:rsidRPr="001E74FD">
        <w:rPr>
          <w:rFonts w:ascii="Times New Roman" w:eastAsia="Times New Roman" w:hAnsi="Times New Roman" w:cs="Times New Roman"/>
          <w:b/>
          <w:bCs/>
          <w:color w:val="000000" w:themeColor="text1"/>
        </w:rPr>
        <w:t xml:space="preserve">Kötelező irodalom: </w:t>
      </w:r>
    </w:p>
    <w:p w:rsidR="00E82D81" w:rsidRPr="001E74FD" w:rsidRDefault="00E82D81" w:rsidP="00980876">
      <w:pPr>
        <w:widowControl w:val="0"/>
        <w:numPr>
          <w:ilvl w:val="0"/>
          <w:numId w:val="610"/>
        </w:numPr>
        <w:tabs>
          <w:tab w:val="clear" w:pos="720"/>
          <w:tab w:val="left" w:pos="1134"/>
        </w:tabs>
        <w:spacing w:after="0" w:line="240" w:lineRule="auto"/>
        <w:ind w:left="851" w:hanging="142"/>
        <w:jc w:val="both"/>
        <w:rPr>
          <w:rFonts w:ascii="Times New Roman" w:hAnsi="Times New Roman" w:cs="Times New Roman"/>
          <w:color w:val="000000" w:themeColor="text1"/>
        </w:rPr>
      </w:pPr>
      <w:r w:rsidRPr="001E74FD">
        <w:rPr>
          <w:rFonts w:ascii="Times New Roman" w:hAnsi="Times New Roman" w:cs="Times New Roman"/>
          <w:bCs/>
          <w:color w:val="000000" w:themeColor="text1"/>
        </w:rPr>
        <w:t xml:space="preserve">A tantárgy minőségbiztosításának alapja a legújabb műveleti tapasztalatok figyelemmel kísérése. </w:t>
      </w:r>
      <w:r w:rsidRPr="001E74FD">
        <w:rPr>
          <w:rFonts w:ascii="Times New Roman" w:hAnsi="Times New Roman" w:cs="Times New Roman"/>
          <w:color w:val="000000" w:themeColor="text1"/>
        </w:rPr>
        <w:t>Magyar Honvédség közlekedési támogatás doktrína, (Magyar Honvédség Közlekedési Főnökség kiadványa, Budapest, 2005.)</w:t>
      </w:r>
    </w:p>
    <w:p w:rsidR="00E82D81" w:rsidRPr="001E74FD" w:rsidRDefault="00E82D81" w:rsidP="00980876">
      <w:pPr>
        <w:widowControl w:val="0"/>
        <w:numPr>
          <w:ilvl w:val="0"/>
          <w:numId w:val="610"/>
        </w:numPr>
        <w:tabs>
          <w:tab w:val="clear" w:pos="720"/>
          <w:tab w:val="left" w:pos="1134"/>
        </w:tabs>
        <w:spacing w:after="0" w:line="240" w:lineRule="auto"/>
        <w:ind w:left="851" w:hanging="142"/>
        <w:jc w:val="both"/>
        <w:rPr>
          <w:rFonts w:ascii="Times New Roman" w:hAnsi="Times New Roman" w:cs="Times New Roman"/>
          <w:color w:val="000000" w:themeColor="text1"/>
        </w:rPr>
      </w:pPr>
      <w:r w:rsidRPr="001E74FD">
        <w:rPr>
          <w:rFonts w:ascii="Times New Roman" w:hAnsi="Times New Roman" w:cs="Times New Roman"/>
          <w:color w:val="000000" w:themeColor="text1"/>
        </w:rPr>
        <w:t>Magyar Honvédség összhaderőnemi doktrína 3. kiadás (a Honvédelmi Minisztérium kiadványa, 2012.)</w:t>
      </w:r>
    </w:p>
    <w:p w:rsidR="00E82D81" w:rsidRPr="001E74FD" w:rsidRDefault="00E82D81" w:rsidP="00980876">
      <w:pPr>
        <w:widowControl w:val="0"/>
        <w:numPr>
          <w:ilvl w:val="0"/>
          <w:numId w:val="610"/>
        </w:numPr>
        <w:tabs>
          <w:tab w:val="clear" w:pos="720"/>
          <w:tab w:val="left" w:pos="1134"/>
        </w:tabs>
        <w:spacing w:after="120" w:line="240" w:lineRule="auto"/>
        <w:ind w:left="851" w:hanging="142"/>
        <w:jc w:val="both"/>
        <w:rPr>
          <w:rFonts w:ascii="Times New Roman" w:hAnsi="Times New Roman" w:cs="Times New Roman"/>
          <w:color w:val="000000" w:themeColor="text1"/>
        </w:rPr>
      </w:pPr>
      <w:r w:rsidRPr="001E74FD">
        <w:rPr>
          <w:rFonts w:ascii="Times New Roman" w:hAnsi="Times New Roman" w:cs="Times New Roman"/>
          <w:color w:val="000000" w:themeColor="text1"/>
        </w:rPr>
        <w:t>AMovP-1-4 (A) NATO Közlekedési Kiadványok (NATO kiadványok)</w:t>
      </w:r>
    </w:p>
    <w:p w:rsidR="00E82D81" w:rsidRPr="001E74FD" w:rsidRDefault="00E82D81" w:rsidP="00980876">
      <w:pPr>
        <w:widowControl w:val="0"/>
        <w:numPr>
          <w:ilvl w:val="1"/>
          <w:numId w:val="612"/>
        </w:numPr>
        <w:tabs>
          <w:tab w:val="clear" w:pos="3977"/>
          <w:tab w:val="left" w:pos="567"/>
          <w:tab w:val="left" w:pos="851"/>
          <w:tab w:val="num" w:pos="2069"/>
        </w:tabs>
        <w:spacing w:after="0" w:line="360" w:lineRule="auto"/>
        <w:ind w:left="426" w:hanging="142"/>
        <w:jc w:val="both"/>
        <w:rPr>
          <w:rFonts w:ascii="Times New Roman" w:eastAsia="Times New Roman" w:hAnsi="Times New Roman" w:cs="Times New Roman"/>
          <w:b/>
          <w:bCs/>
          <w:color w:val="000000" w:themeColor="text1"/>
        </w:rPr>
      </w:pPr>
      <w:r w:rsidRPr="001E74FD">
        <w:rPr>
          <w:rFonts w:ascii="Times New Roman" w:eastAsia="Times New Roman" w:hAnsi="Times New Roman" w:cs="Times New Roman"/>
          <w:b/>
          <w:bCs/>
          <w:color w:val="000000" w:themeColor="text1"/>
        </w:rPr>
        <w:t>Ajánlott irodalom:</w:t>
      </w:r>
    </w:p>
    <w:p w:rsidR="00E82D81" w:rsidRPr="001E74FD" w:rsidRDefault="00E82D81" w:rsidP="00980876">
      <w:pPr>
        <w:widowControl w:val="0"/>
        <w:numPr>
          <w:ilvl w:val="0"/>
          <w:numId w:val="611"/>
        </w:numPr>
        <w:tabs>
          <w:tab w:val="clear" w:pos="720"/>
        </w:tabs>
        <w:spacing w:after="0" w:line="240" w:lineRule="auto"/>
        <w:ind w:left="851" w:hanging="142"/>
        <w:jc w:val="both"/>
        <w:rPr>
          <w:rFonts w:ascii="Times New Roman" w:hAnsi="Times New Roman" w:cs="Times New Roman"/>
          <w:bCs/>
          <w:color w:val="000000" w:themeColor="text1"/>
        </w:rPr>
      </w:pPr>
      <w:r w:rsidRPr="001E74FD">
        <w:rPr>
          <w:rFonts w:ascii="Times New Roman" w:hAnsi="Times New Roman" w:cs="Times New Roman"/>
          <w:bCs/>
          <w:color w:val="000000" w:themeColor="text1"/>
        </w:rPr>
        <w:t xml:space="preserve">AJP-4 (A) Szövetséges Összhaderőnemi Logisztikai Doktrína. NATO kiadvány. </w:t>
      </w:r>
    </w:p>
    <w:p w:rsidR="00E82D81" w:rsidRPr="001E74FD" w:rsidRDefault="00E82D81" w:rsidP="00980876">
      <w:pPr>
        <w:widowControl w:val="0"/>
        <w:numPr>
          <w:ilvl w:val="0"/>
          <w:numId w:val="611"/>
        </w:numPr>
        <w:tabs>
          <w:tab w:val="clear" w:pos="720"/>
        </w:tabs>
        <w:spacing w:after="0" w:line="240" w:lineRule="auto"/>
        <w:ind w:left="851" w:hanging="142"/>
        <w:jc w:val="both"/>
        <w:rPr>
          <w:rFonts w:ascii="Times New Roman" w:hAnsi="Times New Roman" w:cs="Times New Roman"/>
          <w:bCs/>
          <w:color w:val="000000" w:themeColor="text1"/>
        </w:rPr>
      </w:pPr>
      <w:r w:rsidRPr="001E74FD">
        <w:rPr>
          <w:rFonts w:ascii="Times New Roman" w:hAnsi="Times New Roman" w:cs="Times New Roman"/>
          <w:bCs/>
          <w:color w:val="000000" w:themeColor="text1"/>
        </w:rPr>
        <w:t>AJP-4.4 (A) Szövetséges összhaderőnemi közlekedési és szállítási doktrína. NATO kiadvány.</w:t>
      </w:r>
    </w:p>
    <w:p w:rsidR="00E82D81" w:rsidRPr="001E74FD" w:rsidRDefault="00E82D81" w:rsidP="00980876">
      <w:pPr>
        <w:widowControl w:val="0"/>
        <w:numPr>
          <w:ilvl w:val="0"/>
          <w:numId w:val="611"/>
        </w:numPr>
        <w:tabs>
          <w:tab w:val="clear" w:pos="720"/>
        </w:tabs>
        <w:spacing w:after="0" w:line="240" w:lineRule="auto"/>
        <w:ind w:left="851" w:hanging="142"/>
        <w:jc w:val="both"/>
        <w:rPr>
          <w:rFonts w:ascii="Times New Roman" w:hAnsi="Times New Roman" w:cs="Times New Roman"/>
          <w:bCs/>
          <w:color w:val="000000" w:themeColor="text1"/>
        </w:rPr>
      </w:pPr>
      <w:r w:rsidRPr="001E74FD">
        <w:rPr>
          <w:rFonts w:ascii="Times New Roman" w:hAnsi="Times New Roman" w:cs="Times New Roman"/>
          <w:bCs/>
          <w:color w:val="000000" w:themeColor="text1"/>
        </w:rPr>
        <w:t xml:space="preserve">AJP-4.5.(ALP-12) Szövetséges összhaderőnemi fogadó nemzeti támogatási doktrína és eljárási módszerek. </w:t>
      </w:r>
    </w:p>
    <w:p w:rsidR="00E82D81" w:rsidRPr="001E74FD" w:rsidRDefault="00E82D81" w:rsidP="00980876">
      <w:pPr>
        <w:widowControl w:val="0"/>
        <w:numPr>
          <w:ilvl w:val="0"/>
          <w:numId w:val="611"/>
        </w:numPr>
        <w:tabs>
          <w:tab w:val="clear" w:pos="720"/>
        </w:tabs>
        <w:spacing w:after="0" w:line="240" w:lineRule="auto"/>
        <w:ind w:left="851" w:hanging="142"/>
        <w:jc w:val="both"/>
        <w:rPr>
          <w:rFonts w:ascii="Times New Roman" w:hAnsi="Times New Roman" w:cs="Times New Roman"/>
          <w:bCs/>
          <w:color w:val="000000" w:themeColor="text1"/>
        </w:rPr>
      </w:pPr>
      <w:r w:rsidRPr="001E74FD">
        <w:rPr>
          <w:rFonts w:ascii="Times New Roman" w:hAnsi="Times New Roman" w:cs="Times New Roman"/>
          <w:bCs/>
          <w:color w:val="000000" w:themeColor="text1"/>
        </w:rPr>
        <w:t>MC 336/2 A NATO Mozgatási és Szállítási Koncepciója. NATO kiadvány.</w:t>
      </w:r>
    </w:p>
    <w:p w:rsidR="00E82D81" w:rsidRPr="001E74FD" w:rsidRDefault="00E82D81" w:rsidP="00E82D81">
      <w:pPr>
        <w:widowControl w:val="0"/>
        <w:tabs>
          <w:tab w:val="left" w:pos="1134"/>
        </w:tabs>
        <w:spacing w:after="0" w:line="360" w:lineRule="auto"/>
        <w:ind w:left="851"/>
        <w:jc w:val="both"/>
        <w:rPr>
          <w:rFonts w:ascii="Times New Roman" w:hAnsi="Times New Roman" w:cs="Times New Roman"/>
          <w:bCs/>
          <w:color w:val="000000" w:themeColor="text1"/>
        </w:rPr>
      </w:pPr>
    </w:p>
    <w:p w:rsidR="00E82D81" w:rsidRPr="001E74FD" w:rsidRDefault="00E82D81" w:rsidP="00E82D81">
      <w:pPr>
        <w:widowControl w:val="0"/>
        <w:spacing w:after="0" w:line="360" w:lineRule="auto"/>
        <w:jc w:val="both"/>
        <w:rPr>
          <w:rFonts w:ascii="Times New Roman" w:eastAsia="Times New Roman" w:hAnsi="Times New Roman" w:cs="Times New Roman"/>
          <w:bCs/>
          <w:color w:val="000000" w:themeColor="text1"/>
        </w:rPr>
      </w:pPr>
      <w:r w:rsidRPr="001E74FD">
        <w:rPr>
          <w:rFonts w:ascii="Times New Roman" w:eastAsia="Times New Roman" w:hAnsi="Times New Roman" w:cs="Times New Roman"/>
          <w:bCs/>
          <w:color w:val="000000" w:themeColor="text1"/>
        </w:rPr>
        <w:t>Budapest, 2020. január 23.</w:t>
      </w:r>
    </w:p>
    <w:p w:rsidR="00E82D81" w:rsidRPr="001E74FD" w:rsidRDefault="00E82D81" w:rsidP="00E82D81">
      <w:pPr>
        <w:widowControl w:val="0"/>
        <w:spacing w:after="0" w:line="360" w:lineRule="auto"/>
        <w:jc w:val="right"/>
        <w:rPr>
          <w:rFonts w:ascii="Times New Roman" w:hAnsi="Times New Roman" w:cs="Times New Roman"/>
          <w:b/>
          <w:bCs/>
          <w:color w:val="000000" w:themeColor="text1"/>
        </w:rPr>
      </w:pPr>
      <w:r w:rsidRPr="001E74FD">
        <w:rPr>
          <w:rFonts w:ascii="Times New Roman" w:hAnsi="Times New Roman" w:cs="Times New Roman"/>
          <w:b/>
          <w:bCs/>
          <w:color w:val="000000" w:themeColor="text1"/>
        </w:rPr>
        <w:t xml:space="preserve">Dr. Bodoróczki János alezredes </w:t>
      </w:r>
      <w:r w:rsidRPr="001E74FD">
        <w:rPr>
          <w:rFonts w:ascii="Times New Roman" w:eastAsia="Times New Roman" w:hAnsi="Times New Roman" w:cs="Times New Roman"/>
          <w:b/>
          <w:bCs/>
          <w:color w:val="000000" w:themeColor="text1"/>
        </w:rPr>
        <w:t>sk.</w:t>
      </w:r>
    </w:p>
    <w:p w:rsidR="00920D61" w:rsidRDefault="00E82D81" w:rsidP="00803D01">
      <w:pPr>
        <w:widowControl w:val="0"/>
        <w:spacing w:after="0" w:line="360" w:lineRule="auto"/>
        <w:jc w:val="center"/>
        <w:rPr>
          <w:rFonts w:ascii="Times New Roman" w:hAnsi="Times New Roman" w:cs="Times New Roman"/>
          <w:sz w:val="24"/>
        </w:rPr>
      </w:pPr>
      <w:r w:rsidRPr="001E74FD">
        <w:rPr>
          <w:rFonts w:ascii="Times New Roman" w:hAnsi="Times New Roman" w:cs="Times New Roman"/>
          <w:bCs/>
          <w:color w:val="000000" w:themeColor="text1"/>
        </w:rPr>
        <w:t xml:space="preserve">             </w:t>
      </w:r>
      <w:r w:rsidRPr="001E74FD">
        <w:rPr>
          <w:rFonts w:ascii="Times New Roman" w:hAnsi="Times New Roman" w:cs="Times New Roman"/>
          <w:bCs/>
          <w:color w:val="000000" w:themeColor="text1"/>
        </w:rPr>
        <w:tab/>
      </w:r>
      <w:r w:rsidRPr="001E74FD">
        <w:rPr>
          <w:rFonts w:ascii="Times New Roman" w:hAnsi="Times New Roman" w:cs="Times New Roman"/>
          <w:bCs/>
          <w:color w:val="000000" w:themeColor="text1"/>
        </w:rPr>
        <w:tab/>
      </w:r>
      <w:r w:rsidRPr="001E74FD">
        <w:rPr>
          <w:rFonts w:ascii="Times New Roman" w:hAnsi="Times New Roman" w:cs="Times New Roman"/>
          <w:bCs/>
          <w:color w:val="000000" w:themeColor="text1"/>
        </w:rPr>
        <w:tab/>
      </w:r>
      <w:r w:rsidRPr="001E74FD">
        <w:rPr>
          <w:rFonts w:ascii="Times New Roman" w:hAnsi="Times New Roman" w:cs="Times New Roman"/>
          <w:bCs/>
          <w:color w:val="000000" w:themeColor="text1"/>
        </w:rPr>
        <w:tab/>
      </w:r>
      <w:r w:rsidRPr="001E74FD">
        <w:rPr>
          <w:rFonts w:ascii="Times New Roman" w:hAnsi="Times New Roman" w:cs="Times New Roman"/>
          <w:bCs/>
          <w:color w:val="000000" w:themeColor="text1"/>
        </w:rPr>
        <w:tab/>
      </w:r>
      <w:r w:rsidRPr="001E74FD">
        <w:rPr>
          <w:rFonts w:ascii="Times New Roman" w:hAnsi="Times New Roman" w:cs="Times New Roman"/>
          <w:bCs/>
          <w:color w:val="000000" w:themeColor="text1"/>
        </w:rPr>
        <w:tab/>
      </w:r>
      <w:r w:rsidRPr="001E74FD">
        <w:rPr>
          <w:rFonts w:ascii="Times New Roman" w:hAnsi="Times New Roman" w:cs="Times New Roman"/>
          <w:bCs/>
          <w:color w:val="000000" w:themeColor="text1"/>
        </w:rPr>
        <w:tab/>
        <w:t xml:space="preserve">      PhD,</w:t>
      </w:r>
      <w:r w:rsidRPr="001E74FD">
        <w:rPr>
          <w:rFonts w:ascii="Times New Roman" w:eastAsia="Times New Roman" w:hAnsi="Times New Roman" w:cs="Times New Roman"/>
          <w:bCs/>
          <w:color w:val="000000" w:themeColor="text1"/>
        </w:rPr>
        <w:t xml:space="preserve"> </w:t>
      </w:r>
      <w:r w:rsidRPr="001E74FD">
        <w:rPr>
          <w:rFonts w:ascii="Times New Roman" w:hAnsi="Times New Roman" w:cs="Times New Roman"/>
          <w:bCs/>
          <w:color w:val="000000" w:themeColor="text1"/>
        </w:rPr>
        <w:t>kiemelt főtiszt, tanársegéd</w:t>
      </w:r>
      <w:r w:rsidR="00920D61">
        <w:rPr>
          <w:rFonts w:ascii="Times New Roman" w:hAnsi="Times New Roman" w:cs="Times New Roman"/>
          <w:sz w:val="24"/>
        </w:rPr>
        <w:br w:type="page"/>
      </w:r>
    </w:p>
    <w:tbl>
      <w:tblPr>
        <w:tblW w:w="9072" w:type="dxa"/>
        <w:tblInd w:w="113" w:type="dxa"/>
        <w:tblLook w:val="01E0" w:firstRow="1" w:lastRow="1" w:firstColumn="1" w:lastColumn="1" w:noHBand="0" w:noVBand="0"/>
      </w:tblPr>
      <w:tblGrid>
        <w:gridCol w:w="4855"/>
        <w:gridCol w:w="1620"/>
        <w:gridCol w:w="2597"/>
      </w:tblGrid>
      <w:tr w:rsidR="00827C19" w:rsidRPr="00827C19" w:rsidTr="00827C19">
        <w:tc>
          <w:tcPr>
            <w:tcW w:w="4855" w:type="dxa"/>
            <w:tcBorders>
              <w:top w:val="nil"/>
              <w:left w:val="nil"/>
              <w:bottom w:val="single" w:sz="4" w:space="0" w:color="auto"/>
              <w:right w:val="nil"/>
            </w:tcBorders>
            <w:hideMark/>
          </w:tcPr>
          <w:p w:rsidR="00827C19" w:rsidRPr="00827C19" w:rsidRDefault="00827C19">
            <w:pPr>
              <w:spacing w:after="0" w:line="240" w:lineRule="auto"/>
              <w:jc w:val="center"/>
              <w:rPr>
                <w:rFonts w:ascii="Times New Roman" w:eastAsia="Times New Roman" w:hAnsi="Times New Roman" w:cs="Times New Roman"/>
                <w:b/>
                <w:smallCaps/>
                <w:lang w:eastAsia="hu-HU"/>
              </w:rPr>
            </w:pPr>
            <w:r w:rsidRPr="00827C19">
              <w:rPr>
                <w:rFonts w:ascii="Times New Roman" w:eastAsia="Times New Roman" w:hAnsi="Times New Roman" w:cs="Times New Roman"/>
                <w:b/>
                <w:smallCaps/>
                <w:lang w:eastAsia="hu-HU"/>
              </w:rPr>
              <w:lastRenderedPageBreak/>
              <w:t>Nemzeti Közszolgálati Egyetem</w:t>
            </w:r>
          </w:p>
        </w:tc>
        <w:tc>
          <w:tcPr>
            <w:tcW w:w="1620" w:type="dxa"/>
          </w:tcPr>
          <w:p w:rsidR="00827C19" w:rsidRPr="00827C19" w:rsidRDefault="00827C19">
            <w:pPr>
              <w:spacing w:after="0" w:line="240" w:lineRule="auto"/>
              <w:jc w:val="both"/>
              <w:rPr>
                <w:rFonts w:ascii="Times New Roman" w:eastAsia="Times New Roman" w:hAnsi="Times New Roman" w:cs="Times New Roman"/>
                <w:lang w:eastAsia="hu-HU"/>
              </w:rPr>
            </w:pPr>
          </w:p>
        </w:tc>
        <w:tc>
          <w:tcPr>
            <w:tcW w:w="2597" w:type="dxa"/>
          </w:tcPr>
          <w:p w:rsidR="00827C19" w:rsidRPr="00827C19" w:rsidRDefault="00827C19">
            <w:pPr>
              <w:spacing w:after="0" w:line="240" w:lineRule="auto"/>
              <w:jc w:val="right"/>
              <w:rPr>
                <w:rFonts w:ascii="Times New Roman" w:eastAsia="Times New Roman" w:hAnsi="Times New Roman" w:cs="Times New Roman"/>
                <w:lang w:eastAsia="hu-HU"/>
              </w:rPr>
            </w:pPr>
          </w:p>
        </w:tc>
      </w:tr>
      <w:tr w:rsidR="00827C19" w:rsidRPr="00827C19" w:rsidTr="00827C19">
        <w:tc>
          <w:tcPr>
            <w:tcW w:w="4855" w:type="dxa"/>
            <w:tcBorders>
              <w:top w:val="single" w:sz="4" w:space="0" w:color="auto"/>
              <w:left w:val="nil"/>
              <w:bottom w:val="nil"/>
              <w:right w:val="nil"/>
            </w:tcBorders>
            <w:hideMark/>
          </w:tcPr>
          <w:p w:rsidR="00827C19" w:rsidRPr="00827C19" w:rsidRDefault="00827C19">
            <w:pPr>
              <w:spacing w:after="0" w:line="240" w:lineRule="auto"/>
              <w:jc w:val="center"/>
              <w:rPr>
                <w:rFonts w:ascii="Times New Roman" w:eastAsia="Times New Roman" w:hAnsi="Times New Roman" w:cs="Times New Roman"/>
                <w:b/>
                <w:lang w:eastAsia="hu-HU"/>
              </w:rPr>
            </w:pPr>
            <w:r w:rsidRPr="00827C19">
              <w:rPr>
                <w:rFonts w:ascii="Times New Roman" w:eastAsia="Times New Roman" w:hAnsi="Times New Roman" w:cs="Times New Roman"/>
                <w:b/>
                <w:lang w:eastAsia="hu-HU"/>
              </w:rPr>
              <w:t>Hadtudományi és Honvédtisztképző Kar</w:t>
            </w:r>
          </w:p>
        </w:tc>
        <w:tc>
          <w:tcPr>
            <w:tcW w:w="1620" w:type="dxa"/>
          </w:tcPr>
          <w:p w:rsidR="00827C19" w:rsidRPr="00827C19" w:rsidRDefault="00827C19">
            <w:pPr>
              <w:spacing w:after="0" w:line="240" w:lineRule="auto"/>
              <w:jc w:val="both"/>
              <w:rPr>
                <w:rFonts w:ascii="Times New Roman" w:eastAsia="Times New Roman" w:hAnsi="Times New Roman" w:cs="Times New Roman"/>
                <w:lang w:eastAsia="hu-HU"/>
              </w:rPr>
            </w:pPr>
          </w:p>
        </w:tc>
        <w:tc>
          <w:tcPr>
            <w:tcW w:w="2597" w:type="dxa"/>
          </w:tcPr>
          <w:p w:rsidR="00827C19" w:rsidRPr="00827C19" w:rsidRDefault="00827C19">
            <w:pPr>
              <w:spacing w:after="0" w:line="240" w:lineRule="auto"/>
              <w:jc w:val="both"/>
              <w:rPr>
                <w:rFonts w:ascii="Times New Roman" w:eastAsia="Times New Roman" w:hAnsi="Times New Roman" w:cs="Times New Roman"/>
                <w:lang w:eastAsia="hu-HU"/>
              </w:rPr>
            </w:pPr>
          </w:p>
        </w:tc>
      </w:tr>
    </w:tbl>
    <w:p w:rsidR="00827C19" w:rsidRPr="00827C19" w:rsidRDefault="00827C19" w:rsidP="00827C19">
      <w:pPr>
        <w:widowControl w:val="0"/>
        <w:spacing w:before="120" w:after="120" w:line="240" w:lineRule="auto"/>
        <w:ind w:left="426" w:hanging="142"/>
        <w:jc w:val="center"/>
        <w:rPr>
          <w:rFonts w:ascii="Times New Roman" w:eastAsia="Times New Roman" w:hAnsi="Times New Roman" w:cs="Times New Roman"/>
          <w:b/>
          <w:bCs/>
        </w:rPr>
      </w:pPr>
    </w:p>
    <w:p w:rsidR="00827C19" w:rsidRPr="00827C19" w:rsidRDefault="00827C19" w:rsidP="00827C19">
      <w:pPr>
        <w:widowControl w:val="0"/>
        <w:spacing w:before="120" w:after="120" w:line="240" w:lineRule="auto"/>
        <w:ind w:left="426" w:hanging="142"/>
        <w:jc w:val="center"/>
        <w:rPr>
          <w:rFonts w:ascii="Times New Roman" w:eastAsia="Times New Roman" w:hAnsi="Times New Roman" w:cs="Times New Roman"/>
          <w:b/>
          <w:bCs/>
        </w:rPr>
      </w:pPr>
      <w:r w:rsidRPr="00827C19">
        <w:rPr>
          <w:rFonts w:ascii="Times New Roman" w:eastAsia="Times New Roman" w:hAnsi="Times New Roman" w:cs="Times New Roman"/>
          <w:b/>
          <w:bCs/>
        </w:rPr>
        <w:t>TANTÁRGYI PROGRAM</w:t>
      </w:r>
    </w:p>
    <w:p w:rsidR="00827C19" w:rsidRPr="00827C19" w:rsidRDefault="00827C19" w:rsidP="00980876">
      <w:pPr>
        <w:widowControl w:val="0"/>
        <w:numPr>
          <w:ilvl w:val="0"/>
          <w:numId w:val="301"/>
        </w:numPr>
        <w:tabs>
          <w:tab w:val="num" w:pos="567"/>
        </w:tabs>
        <w:spacing w:before="120" w:after="120" w:line="240" w:lineRule="auto"/>
        <w:ind w:left="426" w:hanging="142"/>
        <w:jc w:val="both"/>
        <w:rPr>
          <w:rFonts w:ascii="Times New Roman" w:eastAsia="Times New Roman" w:hAnsi="Times New Roman" w:cs="Times New Roman"/>
          <w:b/>
          <w:bCs/>
        </w:rPr>
      </w:pPr>
      <w:r w:rsidRPr="00827C19">
        <w:rPr>
          <w:rFonts w:ascii="Times New Roman" w:eastAsia="Times New Roman" w:hAnsi="Times New Roman" w:cs="Times New Roman"/>
          <w:b/>
          <w:bCs/>
        </w:rPr>
        <w:t xml:space="preserve">A tantárgy kódja: </w:t>
      </w:r>
      <w:r w:rsidRPr="00827C19">
        <w:rPr>
          <w:rFonts w:ascii="Times New Roman" w:eastAsia="Times New Roman" w:hAnsi="Times New Roman" w:cs="Times New Roman"/>
          <w:bCs/>
        </w:rPr>
        <w:t>HKHPKA321</w:t>
      </w:r>
    </w:p>
    <w:p w:rsidR="00827C19" w:rsidRPr="00827C19" w:rsidRDefault="00827C19" w:rsidP="00980876">
      <w:pPr>
        <w:widowControl w:val="0"/>
        <w:numPr>
          <w:ilvl w:val="0"/>
          <w:numId w:val="301"/>
        </w:numPr>
        <w:tabs>
          <w:tab w:val="num" w:pos="567"/>
        </w:tabs>
        <w:spacing w:before="120" w:after="120" w:line="240" w:lineRule="auto"/>
        <w:ind w:left="426" w:hanging="142"/>
        <w:jc w:val="both"/>
        <w:rPr>
          <w:rFonts w:ascii="Times New Roman" w:eastAsia="Times New Roman" w:hAnsi="Times New Roman" w:cs="Times New Roman"/>
          <w:b/>
          <w:bCs/>
          <w:lang w:val="en-GB"/>
        </w:rPr>
      </w:pPr>
      <w:r w:rsidRPr="00827C19">
        <w:rPr>
          <w:rFonts w:ascii="Times New Roman" w:eastAsia="Times New Roman" w:hAnsi="Times New Roman" w:cs="Times New Roman"/>
          <w:b/>
          <w:bCs/>
        </w:rPr>
        <w:t>A tantárgy megnevezése (magyarul):</w:t>
      </w:r>
      <w:r w:rsidRPr="00827C19">
        <w:rPr>
          <w:rFonts w:ascii="Times New Roman" w:eastAsia="Times New Roman" w:hAnsi="Times New Roman" w:cs="Times New Roman"/>
          <w:bCs/>
        </w:rPr>
        <w:t xml:space="preserve"> </w:t>
      </w:r>
      <w:r w:rsidRPr="00827C19">
        <w:rPr>
          <w:rFonts w:ascii="Times New Roman" w:hAnsi="Times New Roman" w:cs="Times New Roman"/>
          <w:bCs/>
        </w:rPr>
        <w:t>Katonai szállításszervezés III.</w:t>
      </w:r>
    </w:p>
    <w:p w:rsidR="00827C19" w:rsidRPr="00827C19" w:rsidRDefault="00827C19" w:rsidP="00980876">
      <w:pPr>
        <w:widowControl w:val="0"/>
        <w:numPr>
          <w:ilvl w:val="0"/>
          <w:numId w:val="301"/>
        </w:numPr>
        <w:tabs>
          <w:tab w:val="num" w:pos="567"/>
        </w:tabs>
        <w:spacing w:before="120" w:after="120" w:line="240" w:lineRule="auto"/>
        <w:ind w:left="426" w:hanging="142"/>
        <w:jc w:val="both"/>
        <w:rPr>
          <w:rFonts w:ascii="Times New Roman" w:eastAsia="Times New Roman" w:hAnsi="Times New Roman" w:cs="Times New Roman"/>
          <w:b/>
          <w:bCs/>
          <w:lang w:val="en-GB"/>
        </w:rPr>
      </w:pPr>
      <w:r w:rsidRPr="00827C19">
        <w:rPr>
          <w:rFonts w:ascii="Times New Roman" w:eastAsia="Times New Roman" w:hAnsi="Times New Roman" w:cs="Times New Roman"/>
          <w:b/>
          <w:bCs/>
        </w:rPr>
        <w:t xml:space="preserve">A tantárgy megnevezése (angolul): </w:t>
      </w:r>
      <w:r w:rsidRPr="00827C19">
        <w:rPr>
          <w:rFonts w:ascii="Times New Roman" w:hAnsi="Times New Roman" w:cs="Times New Roman"/>
        </w:rPr>
        <w:t>Organization of Military Transportation III.</w:t>
      </w:r>
    </w:p>
    <w:p w:rsidR="00827C19" w:rsidRPr="00827C19" w:rsidRDefault="00827C19" w:rsidP="00980876">
      <w:pPr>
        <w:widowControl w:val="0"/>
        <w:numPr>
          <w:ilvl w:val="0"/>
          <w:numId w:val="301"/>
        </w:numPr>
        <w:tabs>
          <w:tab w:val="num" w:pos="567"/>
        </w:tabs>
        <w:spacing w:before="120" w:after="120" w:line="240" w:lineRule="auto"/>
        <w:ind w:left="426" w:hanging="142"/>
        <w:jc w:val="both"/>
        <w:rPr>
          <w:rFonts w:ascii="Times New Roman" w:eastAsia="Times New Roman" w:hAnsi="Times New Roman" w:cs="Times New Roman"/>
          <w:b/>
          <w:bCs/>
        </w:rPr>
      </w:pPr>
      <w:r w:rsidRPr="00827C19">
        <w:rPr>
          <w:rFonts w:ascii="Times New Roman" w:eastAsia="Times New Roman" w:hAnsi="Times New Roman" w:cs="Times New Roman"/>
          <w:b/>
          <w:bCs/>
        </w:rPr>
        <w:t xml:space="preserve">Kreditérték és képzési karakter: </w:t>
      </w:r>
    </w:p>
    <w:p w:rsidR="00827C19" w:rsidRPr="00827C19" w:rsidRDefault="00827C19" w:rsidP="00980876">
      <w:pPr>
        <w:pStyle w:val="Listaszerbekezds"/>
        <w:widowControl w:val="0"/>
        <w:numPr>
          <w:ilvl w:val="1"/>
          <w:numId w:val="301"/>
        </w:numPr>
        <w:spacing w:before="120" w:after="120" w:line="240" w:lineRule="auto"/>
        <w:ind w:left="993" w:hanging="426"/>
        <w:jc w:val="both"/>
        <w:rPr>
          <w:rFonts w:ascii="Times New Roman" w:eastAsia="Times New Roman" w:hAnsi="Times New Roman" w:cs="Times New Roman"/>
          <w:b/>
          <w:bCs/>
        </w:rPr>
      </w:pPr>
      <w:r w:rsidRPr="00827C19">
        <w:rPr>
          <w:rFonts w:ascii="Times New Roman" w:eastAsia="Times New Roman" w:hAnsi="Times New Roman" w:cs="Times New Roman"/>
          <w:bCs/>
        </w:rPr>
        <w:t>4 kredit</w:t>
      </w:r>
    </w:p>
    <w:p w:rsidR="00827C19" w:rsidRPr="00827C19" w:rsidRDefault="00827C19" w:rsidP="00980876">
      <w:pPr>
        <w:pStyle w:val="Listaszerbekezds"/>
        <w:widowControl w:val="0"/>
        <w:numPr>
          <w:ilvl w:val="1"/>
          <w:numId w:val="301"/>
        </w:numPr>
        <w:spacing w:before="120" w:after="120" w:line="240" w:lineRule="auto"/>
        <w:ind w:left="993" w:hanging="426"/>
        <w:jc w:val="both"/>
        <w:rPr>
          <w:rFonts w:ascii="Times New Roman" w:eastAsia="Times New Roman" w:hAnsi="Times New Roman" w:cs="Times New Roman"/>
          <w:b/>
          <w:bCs/>
        </w:rPr>
      </w:pPr>
      <w:r w:rsidRPr="00827C19">
        <w:rPr>
          <w:rFonts w:ascii="Times New Roman" w:eastAsia="Times New Roman" w:hAnsi="Times New Roman" w:cs="Times New Roman"/>
          <w:bCs/>
        </w:rPr>
        <w:t>a tantárgy elméleti vagy gyakorlati jellegének mértéke: 25</w:t>
      </w:r>
      <w:r w:rsidRPr="00827C19">
        <w:rPr>
          <w:rFonts w:ascii="Times New Roman" w:eastAsia="Times New Roman" w:hAnsi="Times New Roman" w:cs="Times New Roman"/>
          <w:b/>
          <w:bCs/>
        </w:rPr>
        <w:t xml:space="preserve"> </w:t>
      </w:r>
      <w:r w:rsidRPr="00827C19">
        <w:rPr>
          <w:rFonts w:ascii="Times New Roman" w:eastAsia="Times New Roman" w:hAnsi="Times New Roman" w:cs="Times New Roman"/>
          <w:bCs/>
        </w:rPr>
        <w:t>% gyakorlat, 75 % elmélet</w:t>
      </w:r>
    </w:p>
    <w:p w:rsidR="00827C19" w:rsidRPr="00827C19" w:rsidRDefault="00827C19" w:rsidP="00980876">
      <w:pPr>
        <w:widowControl w:val="0"/>
        <w:numPr>
          <w:ilvl w:val="0"/>
          <w:numId w:val="301"/>
        </w:numPr>
        <w:spacing w:before="120" w:after="120" w:line="240" w:lineRule="auto"/>
        <w:ind w:left="426" w:hanging="142"/>
        <w:jc w:val="both"/>
        <w:rPr>
          <w:rFonts w:ascii="Times New Roman" w:eastAsia="Times New Roman" w:hAnsi="Times New Roman" w:cs="Times New Roman"/>
          <w:bCs/>
        </w:rPr>
      </w:pPr>
      <w:r w:rsidRPr="00827C19">
        <w:rPr>
          <w:rFonts w:ascii="Times New Roman" w:eastAsia="Times New Roman" w:hAnsi="Times New Roman" w:cs="Times New Roman"/>
          <w:b/>
          <w:bCs/>
        </w:rPr>
        <w:t>A szak(ok), szakirányok/specializációk megnevezése (ahol oktatják):</w:t>
      </w:r>
      <w:r w:rsidRPr="00827C19">
        <w:rPr>
          <w:rFonts w:ascii="Times New Roman" w:eastAsia="Times New Roman" w:hAnsi="Times New Roman" w:cs="Times New Roman"/>
          <w:bCs/>
        </w:rPr>
        <w:t xml:space="preserve"> Katonai logisztika alapképzési szak, Katonai közlekedési specializáció</w:t>
      </w:r>
    </w:p>
    <w:p w:rsidR="00827C19" w:rsidRPr="00827C19" w:rsidRDefault="00827C19" w:rsidP="00980876">
      <w:pPr>
        <w:widowControl w:val="0"/>
        <w:numPr>
          <w:ilvl w:val="0"/>
          <w:numId w:val="301"/>
        </w:numPr>
        <w:tabs>
          <w:tab w:val="num" w:pos="567"/>
        </w:tabs>
        <w:spacing w:before="120" w:after="120" w:line="240" w:lineRule="auto"/>
        <w:ind w:left="426" w:hanging="142"/>
        <w:jc w:val="both"/>
        <w:rPr>
          <w:rFonts w:ascii="Times New Roman" w:eastAsia="Times New Roman" w:hAnsi="Times New Roman" w:cs="Times New Roman"/>
          <w:bCs/>
        </w:rPr>
      </w:pPr>
      <w:r w:rsidRPr="00827C19">
        <w:rPr>
          <w:rFonts w:ascii="Times New Roman" w:eastAsia="Times New Roman" w:hAnsi="Times New Roman" w:cs="Times New Roman"/>
          <w:b/>
          <w:bCs/>
        </w:rPr>
        <w:t xml:space="preserve">Az oktatásért felelős oktatási szervezeti egység megnevezése: </w:t>
      </w:r>
      <w:r w:rsidRPr="00827C19">
        <w:rPr>
          <w:rFonts w:ascii="Times New Roman" w:eastAsia="Times New Roman" w:hAnsi="Times New Roman" w:cs="Times New Roman"/>
          <w:bCs/>
        </w:rPr>
        <w:t>NKE HHK, Hadtáp, Pénzügyi és Katonai Közlekedési Tanszék</w:t>
      </w:r>
    </w:p>
    <w:p w:rsidR="00827C19" w:rsidRPr="00827C19" w:rsidRDefault="00827C19" w:rsidP="00980876">
      <w:pPr>
        <w:widowControl w:val="0"/>
        <w:numPr>
          <w:ilvl w:val="0"/>
          <w:numId w:val="301"/>
        </w:numPr>
        <w:tabs>
          <w:tab w:val="num" w:pos="567"/>
        </w:tabs>
        <w:spacing w:before="120" w:after="120" w:line="240" w:lineRule="auto"/>
        <w:ind w:left="426" w:hanging="142"/>
        <w:jc w:val="both"/>
        <w:rPr>
          <w:rFonts w:ascii="Times New Roman" w:eastAsia="Times New Roman" w:hAnsi="Times New Roman" w:cs="Times New Roman"/>
          <w:bCs/>
        </w:rPr>
      </w:pPr>
      <w:r w:rsidRPr="00827C19">
        <w:rPr>
          <w:rFonts w:ascii="Times New Roman" w:eastAsia="Times New Roman" w:hAnsi="Times New Roman" w:cs="Times New Roman"/>
          <w:b/>
          <w:bCs/>
        </w:rPr>
        <w:t>A tantárgyfelelős oktató neve, beosztása, tudományos fokozata:</w:t>
      </w:r>
      <w:r w:rsidRPr="00827C19">
        <w:rPr>
          <w:rFonts w:ascii="Times New Roman" w:eastAsia="Times New Roman" w:hAnsi="Times New Roman" w:cs="Times New Roman"/>
          <w:bCs/>
        </w:rPr>
        <w:t xml:space="preserve"> </w:t>
      </w:r>
      <w:r w:rsidRPr="00827C19">
        <w:rPr>
          <w:rFonts w:ascii="Times New Roman" w:hAnsi="Times New Roman" w:cs="Times New Roman"/>
          <w:lang w:eastAsia="x-none"/>
        </w:rPr>
        <w:t>Dr. Szászi Gábor egyetemi docens, PhD</w:t>
      </w:r>
    </w:p>
    <w:p w:rsidR="00827C19" w:rsidRPr="00827C19" w:rsidRDefault="00827C19" w:rsidP="00980876">
      <w:pPr>
        <w:widowControl w:val="0"/>
        <w:numPr>
          <w:ilvl w:val="0"/>
          <w:numId w:val="301"/>
        </w:numPr>
        <w:spacing w:before="120" w:after="120" w:line="240" w:lineRule="auto"/>
        <w:ind w:left="426" w:hanging="142"/>
        <w:jc w:val="both"/>
        <w:rPr>
          <w:rFonts w:ascii="Times New Roman" w:eastAsia="Times New Roman" w:hAnsi="Times New Roman" w:cs="Times New Roman"/>
          <w:bCs/>
        </w:rPr>
      </w:pPr>
      <w:r w:rsidRPr="00827C19">
        <w:rPr>
          <w:rFonts w:ascii="Times New Roman" w:eastAsia="Times New Roman" w:hAnsi="Times New Roman" w:cs="Times New Roman"/>
          <w:b/>
          <w:bCs/>
        </w:rPr>
        <w:t>A tanórák száma és típusa</w:t>
      </w:r>
    </w:p>
    <w:p w:rsidR="00827C19" w:rsidRPr="00827C19" w:rsidRDefault="00827C19" w:rsidP="00980876">
      <w:pPr>
        <w:widowControl w:val="0"/>
        <w:numPr>
          <w:ilvl w:val="1"/>
          <w:numId w:val="301"/>
        </w:numPr>
        <w:tabs>
          <w:tab w:val="num" w:pos="709"/>
          <w:tab w:val="num" w:pos="2069"/>
        </w:tabs>
        <w:spacing w:before="120" w:after="120" w:line="240" w:lineRule="auto"/>
        <w:ind w:left="851" w:hanging="425"/>
        <w:jc w:val="both"/>
        <w:rPr>
          <w:rFonts w:ascii="Times New Roman" w:eastAsia="Times New Roman" w:hAnsi="Times New Roman" w:cs="Times New Roman"/>
          <w:bCs/>
        </w:rPr>
      </w:pPr>
      <w:r w:rsidRPr="00827C19">
        <w:rPr>
          <w:rFonts w:ascii="Times New Roman" w:eastAsia="Times New Roman" w:hAnsi="Times New Roman" w:cs="Times New Roman"/>
          <w:bCs/>
        </w:rPr>
        <w:t>össz óraszám/félév: 56</w:t>
      </w:r>
    </w:p>
    <w:p w:rsidR="00827C19" w:rsidRPr="00827C19" w:rsidRDefault="00827C19" w:rsidP="00980876">
      <w:pPr>
        <w:widowControl w:val="0"/>
        <w:numPr>
          <w:ilvl w:val="2"/>
          <w:numId w:val="301"/>
        </w:numPr>
        <w:tabs>
          <w:tab w:val="num" w:pos="709"/>
          <w:tab w:val="num" w:pos="1134"/>
        </w:tabs>
        <w:spacing w:after="0" w:line="240" w:lineRule="auto"/>
        <w:ind w:left="992" w:hanging="425"/>
        <w:jc w:val="both"/>
        <w:rPr>
          <w:rFonts w:ascii="Times New Roman" w:eastAsia="Times New Roman" w:hAnsi="Times New Roman" w:cs="Times New Roman"/>
          <w:bCs/>
        </w:rPr>
      </w:pPr>
      <w:r w:rsidRPr="00827C19">
        <w:rPr>
          <w:rFonts w:ascii="Times New Roman" w:eastAsia="Times New Roman" w:hAnsi="Times New Roman" w:cs="Times New Roman"/>
          <w:bCs/>
        </w:rPr>
        <w:t>nappali munkarend: 56 (42 EA + 0 SZ + 14 GY)</w:t>
      </w:r>
    </w:p>
    <w:p w:rsidR="00827C19" w:rsidRPr="00827C19" w:rsidRDefault="00827C19" w:rsidP="00980876">
      <w:pPr>
        <w:widowControl w:val="0"/>
        <w:numPr>
          <w:ilvl w:val="2"/>
          <w:numId w:val="301"/>
        </w:numPr>
        <w:tabs>
          <w:tab w:val="num" w:pos="709"/>
          <w:tab w:val="num" w:pos="1134"/>
        </w:tabs>
        <w:spacing w:after="0" w:line="240" w:lineRule="auto"/>
        <w:ind w:left="992" w:hanging="425"/>
        <w:jc w:val="both"/>
        <w:rPr>
          <w:rFonts w:ascii="Times New Roman" w:eastAsia="Times New Roman" w:hAnsi="Times New Roman" w:cs="Times New Roman"/>
          <w:bCs/>
        </w:rPr>
      </w:pPr>
      <w:r w:rsidRPr="00827C19">
        <w:rPr>
          <w:rFonts w:ascii="Times New Roman" w:eastAsia="Times New Roman" w:hAnsi="Times New Roman" w:cs="Times New Roman"/>
          <w:bCs/>
        </w:rPr>
        <w:t>levelező munkarend: 0 (0 EA + 0 SZ + 0 GY)</w:t>
      </w:r>
    </w:p>
    <w:p w:rsidR="00827C19" w:rsidRPr="00827C19" w:rsidRDefault="00827C19" w:rsidP="00980876">
      <w:pPr>
        <w:widowControl w:val="0"/>
        <w:numPr>
          <w:ilvl w:val="1"/>
          <w:numId w:val="301"/>
        </w:numPr>
        <w:tabs>
          <w:tab w:val="num" w:pos="709"/>
          <w:tab w:val="num" w:pos="2069"/>
        </w:tabs>
        <w:spacing w:before="120" w:after="120" w:line="240" w:lineRule="auto"/>
        <w:ind w:left="851" w:hanging="425"/>
        <w:jc w:val="both"/>
        <w:rPr>
          <w:rFonts w:ascii="Times New Roman" w:eastAsia="Times New Roman" w:hAnsi="Times New Roman" w:cs="Times New Roman"/>
          <w:bCs/>
        </w:rPr>
      </w:pPr>
      <w:r w:rsidRPr="00827C19">
        <w:rPr>
          <w:rFonts w:ascii="Times New Roman" w:eastAsia="Times New Roman" w:hAnsi="Times New Roman" w:cs="Times New Roman"/>
          <w:bCs/>
        </w:rPr>
        <w:t xml:space="preserve">heti óraszám - nappali munkarend: </w:t>
      </w:r>
      <w:r w:rsidRPr="00827C19">
        <w:rPr>
          <w:rFonts w:ascii="Times New Roman" w:eastAsia="Times New Roman" w:hAnsi="Times New Roman" w:cs="Times New Roman"/>
        </w:rPr>
        <w:t>4</w:t>
      </w:r>
    </w:p>
    <w:p w:rsidR="00827C19" w:rsidRPr="00827C19" w:rsidRDefault="00827C19" w:rsidP="00980876">
      <w:pPr>
        <w:widowControl w:val="0"/>
        <w:numPr>
          <w:ilvl w:val="1"/>
          <w:numId w:val="301"/>
        </w:numPr>
        <w:tabs>
          <w:tab w:val="num" w:pos="709"/>
          <w:tab w:val="num" w:pos="2069"/>
        </w:tabs>
        <w:spacing w:before="120" w:after="120" w:line="240" w:lineRule="auto"/>
        <w:ind w:left="851" w:hanging="425"/>
        <w:jc w:val="both"/>
        <w:rPr>
          <w:rFonts w:ascii="Times New Roman" w:eastAsia="Times New Roman" w:hAnsi="Times New Roman" w:cs="Times New Roman"/>
          <w:bCs/>
        </w:rPr>
      </w:pPr>
      <w:r w:rsidRPr="00827C19">
        <w:rPr>
          <w:rFonts w:ascii="Times New Roman" w:hAnsi="Times New Roman" w:cs="Times New Roman"/>
        </w:rPr>
        <w:t>Az ismeret átadásában alkalmazandó további sajátos módok, jellemzők: -</w:t>
      </w:r>
    </w:p>
    <w:p w:rsidR="00827C19" w:rsidRPr="00827C19" w:rsidRDefault="00827C19" w:rsidP="00980876">
      <w:pPr>
        <w:widowControl w:val="0"/>
        <w:numPr>
          <w:ilvl w:val="0"/>
          <w:numId w:val="301"/>
        </w:numPr>
        <w:spacing w:before="120" w:after="120" w:line="240" w:lineRule="auto"/>
        <w:ind w:left="426" w:hanging="142"/>
        <w:jc w:val="both"/>
        <w:rPr>
          <w:rFonts w:ascii="Times New Roman" w:eastAsia="Times New Roman" w:hAnsi="Times New Roman" w:cs="Times New Roman"/>
          <w:bCs/>
        </w:rPr>
      </w:pPr>
      <w:r w:rsidRPr="00827C19">
        <w:rPr>
          <w:rFonts w:ascii="Times New Roman" w:eastAsia="Times New Roman" w:hAnsi="Times New Roman" w:cs="Times New Roman"/>
          <w:b/>
          <w:bCs/>
        </w:rPr>
        <w:t>A tantárgy szakmai tartalma (magyarul):</w:t>
      </w:r>
      <w:r w:rsidRPr="00827C19">
        <w:rPr>
          <w:rFonts w:ascii="Times New Roman" w:eastAsia="Times New Roman" w:hAnsi="Times New Roman" w:cs="Times New Roman"/>
          <w:bCs/>
        </w:rPr>
        <w:t xml:space="preserve"> </w:t>
      </w:r>
      <w:r w:rsidRPr="00827C19">
        <w:rPr>
          <w:rFonts w:ascii="Times New Roman" w:hAnsi="Times New Roman" w:cs="Times New Roman"/>
        </w:rPr>
        <w:t>Katonai vízi és légi szállítások tervezése, szervezése és végrehajtása a szövetséges kötelezettségekből adódó feladatok során. Katonai vízi és légi szállításra felhasználható szaktechnikai eszközök. A polgári szállító szervezetek igénybevételének rendje. Különleges közúti technikai eszközök közlekedésének rendje, okmányai. Veszélyes anyagok katonai szállításának szervezése.</w:t>
      </w:r>
    </w:p>
    <w:p w:rsidR="00827C19" w:rsidRPr="00827C19" w:rsidRDefault="00827C19" w:rsidP="00827C19">
      <w:pPr>
        <w:widowControl w:val="0"/>
        <w:spacing w:before="120" w:after="120" w:line="240" w:lineRule="auto"/>
        <w:ind w:left="426"/>
        <w:jc w:val="both"/>
        <w:rPr>
          <w:rFonts w:ascii="Times New Roman" w:eastAsia="Times New Roman" w:hAnsi="Times New Roman" w:cs="Times New Roman"/>
          <w:bCs/>
          <w:lang w:val="en-GB"/>
        </w:rPr>
      </w:pPr>
      <w:r w:rsidRPr="00827C19">
        <w:rPr>
          <w:rFonts w:ascii="Times New Roman" w:eastAsia="Times New Roman" w:hAnsi="Times New Roman" w:cs="Times New Roman"/>
          <w:b/>
          <w:bCs/>
        </w:rPr>
        <w:t>A tantárgy szakmai tartalma (angolul) (</w:t>
      </w:r>
      <w:r w:rsidRPr="00827C19">
        <w:rPr>
          <w:rFonts w:ascii="Times New Roman" w:eastAsia="Times New Roman" w:hAnsi="Times New Roman" w:cs="Times New Roman"/>
          <w:b/>
          <w:bCs/>
          <w:lang w:val="en-US"/>
        </w:rPr>
        <w:t>Course description</w:t>
      </w:r>
      <w:r w:rsidRPr="00827C19">
        <w:rPr>
          <w:rFonts w:ascii="Times New Roman" w:eastAsia="Times New Roman" w:hAnsi="Times New Roman" w:cs="Times New Roman"/>
          <w:b/>
          <w:bCs/>
        </w:rPr>
        <w:t>):</w:t>
      </w:r>
      <w:r w:rsidRPr="00827C19">
        <w:rPr>
          <w:rFonts w:ascii="Times New Roman" w:hAnsi="Times New Roman" w:cs="Times New Roman"/>
          <w:bCs/>
        </w:rPr>
        <w:t xml:space="preserve"> Planning, organising and implementing military waterway and air transportation, arising from allied obligatory tasks. Technological means of air and waterway transport. Regime of claims concerning civilian transport organizations. Regulations and documents of special vehicular technological means. Organising military transportation of hazardous substances.</w:t>
      </w:r>
    </w:p>
    <w:p w:rsidR="00827C19" w:rsidRPr="00827C19" w:rsidRDefault="00827C19" w:rsidP="00980876">
      <w:pPr>
        <w:pStyle w:val="Listaszerbekezds"/>
        <w:widowControl w:val="0"/>
        <w:numPr>
          <w:ilvl w:val="0"/>
          <w:numId w:val="301"/>
        </w:numPr>
        <w:spacing w:before="120" w:after="120" w:line="240" w:lineRule="auto"/>
        <w:jc w:val="both"/>
        <w:rPr>
          <w:rFonts w:ascii="Times New Roman" w:eastAsia="Times New Roman" w:hAnsi="Times New Roman" w:cs="Times New Roman"/>
          <w:bCs/>
        </w:rPr>
      </w:pPr>
      <w:r w:rsidRPr="00827C19">
        <w:rPr>
          <w:rFonts w:ascii="Times New Roman" w:eastAsia="Times New Roman" w:hAnsi="Times New Roman" w:cs="Times New Roman"/>
          <w:b/>
          <w:bCs/>
        </w:rPr>
        <w:t xml:space="preserve">Elérendő kompetenciák (magyarul): </w:t>
      </w:r>
    </w:p>
    <w:p w:rsidR="00827C19" w:rsidRPr="00827C19" w:rsidRDefault="00827C19" w:rsidP="00827C19">
      <w:pPr>
        <w:autoSpaceDE w:val="0"/>
        <w:autoSpaceDN w:val="0"/>
        <w:adjustRightInd w:val="0"/>
        <w:spacing w:before="120" w:after="0" w:line="240" w:lineRule="auto"/>
        <w:ind w:left="425"/>
        <w:jc w:val="both"/>
        <w:rPr>
          <w:rFonts w:ascii="Times New Roman" w:eastAsia="Times New Roman" w:hAnsi="Times New Roman" w:cs="Times New Roman"/>
          <w:b/>
          <w:bCs/>
        </w:rPr>
      </w:pPr>
      <w:r w:rsidRPr="00827C19">
        <w:rPr>
          <w:rFonts w:ascii="Times New Roman" w:eastAsia="Times New Roman" w:hAnsi="Times New Roman" w:cs="Times New Roman"/>
          <w:b/>
          <w:bCs/>
        </w:rPr>
        <w:t xml:space="preserve">Tudása: </w:t>
      </w:r>
    </w:p>
    <w:p w:rsidR="00827C19" w:rsidRPr="00827C19" w:rsidRDefault="00827C1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827C19">
        <w:rPr>
          <w:rFonts w:ascii="Times New Roman" w:hAnsi="Times New Roman" w:cs="Times New Roman"/>
        </w:rPr>
        <w:t>Ismeri a katonai közlekedési szakterület szaktechnikai eszközeit, a közlekedési pályákat és létesítményeiket, azok igénybevételének és üzemeltetésének szabályait.</w:t>
      </w:r>
    </w:p>
    <w:p w:rsidR="00827C19" w:rsidRPr="00827C19" w:rsidRDefault="00827C1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827C19">
        <w:rPr>
          <w:rFonts w:ascii="Times New Roman" w:hAnsi="Times New Roman" w:cs="Times New Roman"/>
        </w:rPr>
        <w:t>Ismeri a katonai közlekedési szakanyagok készletezésének, tárolásának, nyilvántartásának és leltározásának, valamint ezen folyamatok ellenőrzésének feladatait és kötelezettségeit.</w:t>
      </w:r>
    </w:p>
    <w:p w:rsidR="00827C19" w:rsidRPr="00827C19" w:rsidRDefault="00827C1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827C19">
        <w:rPr>
          <w:rFonts w:ascii="Times New Roman" w:hAnsi="Times New Roman" w:cs="Times New Roman"/>
        </w:rPr>
        <w:t>Mélyrehatóan ismeri a katonai közlekedési szakterület szakmai feladatait, a közlekedési szakfeladatok rendszerét, az egyes feladatok végrehajtásának sajátosságait.</w:t>
      </w:r>
    </w:p>
    <w:p w:rsidR="00827C19" w:rsidRPr="00827C19" w:rsidRDefault="00827C1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827C19">
        <w:rPr>
          <w:rFonts w:ascii="Times New Roman" w:hAnsi="Times New Roman" w:cs="Times New Roman"/>
        </w:rPr>
        <w:t>Ismeri a katonai közlekedési igények felmérésének módszereit és megvalósítási lehetőségeit, gyakorlatát.</w:t>
      </w:r>
    </w:p>
    <w:p w:rsidR="00827C19" w:rsidRPr="00827C19" w:rsidRDefault="00827C19" w:rsidP="00827C19">
      <w:pPr>
        <w:autoSpaceDE w:val="0"/>
        <w:autoSpaceDN w:val="0"/>
        <w:adjustRightInd w:val="0"/>
        <w:spacing w:before="120" w:after="0" w:line="240" w:lineRule="auto"/>
        <w:ind w:left="425"/>
        <w:jc w:val="both"/>
        <w:rPr>
          <w:rFonts w:ascii="Times New Roman" w:eastAsia="Times New Roman" w:hAnsi="Times New Roman" w:cs="Times New Roman"/>
          <w:bCs/>
        </w:rPr>
      </w:pPr>
      <w:r w:rsidRPr="00827C19">
        <w:rPr>
          <w:rFonts w:ascii="Times New Roman" w:eastAsia="Times New Roman" w:hAnsi="Times New Roman" w:cs="Times New Roman"/>
          <w:b/>
          <w:bCs/>
        </w:rPr>
        <w:t>Képességei:</w:t>
      </w:r>
      <w:r w:rsidRPr="00827C19">
        <w:rPr>
          <w:rFonts w:ascii="Times New Roman" w:eastAsia="Times New Roman" w:hAnsi="Times New Roman" w:cs="Times New Roman"/>
          <w:bCs/>
        </w:rPr>
        <w:t xml:space="preserve"> </w:t>
      </w:r>
    </w:p>
    <w:p w:rsidR="00827C19" w:rsidRPr="00827C19" w:rsidRDefault="00827C1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827C19">
        <w:rPr>
          <w:rFonts w:ascii="Times New Roman" w:hAnsi="Times New Roman" w:cs="Times New Roman"/>
        </w:rPr>
        <w:t>Az általános és specifikus katonai ismeretei és készségei birtokában képes a katonai közlekedési, mozgatási, szállítási feladatok tervezésére, szervezésére és vezetésére.</w:t>
      </w:r>
    </w:p>
    <w:p w:rsidR="00827C19" w:rsidRPr="00827C19" w:rsidRDefault="00827C1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827C19">
        <w:rPr>
          <w:rFonts w:ascii="Times New Roman" w:hAnsi="Times New Roman" w:cs="Times New Roman"/>
        </w:rPr>
        <w:lastRenderedPageBreak/>
        <w:t>Képes békeidőszakban, válságkezelő, katasztrófa-elhárítási, béketámogató és háborús műveletekben, nemzeti és többnemzeti környezetben a szállító szakalegységek alaprendeltetéséből fakadó feladatai végrehajtásának vezetésére.</w:t>
      </w:r>
    </w:p>
    <w:p w:rsidR="00827C19" w:rsidRPr="00827C19" w:rsidRDefault="00827C1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827C19">
        <w:rPr>
          <w:rFonts w:ascii="Times New Roman" w:hAnsi="Times New Roman" w:cs="Times New Roman"/>
        </w:rPr>
        <w:t>Képes a közlekedési hálózatok katonai célú alkalmazásának tervezésére, szervezésére és végrehajtására.</w:t>
      </w:r>
    </w:p>
    <w:p w:rsidR="00827C19" w:rsidRPr="00827C19" w:rsidRDefault="00827C1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827C19">
        <w:rPr>
          <w:rFonts w:ascii="Times New Roman" w:hAnsi="Times New Roman" w:cs="Times New Roman"/>
        </w:rPr>
        <w:t>Képes a közlekedési folyamatokat támogató közlekedésinformatikai rendszerek alkalmazására, az azokkal kapcsolatos felhasználói alapkövetelmények megfogalmazására.</w:t>
      </w:r>
    </w:p>
    <w:p w:rsidR="00827C19" w:rsidRPr="00827C19" w:rsidRDefault="00827C19" w:rsidP="00827C19">
      <w:pPr>
        <w:autoSpaceDE w:val="0"/>
        <w:autoSpaceDN w:val="0"/>
        <w:adjustRightInd w:val="0"/>
        <w:spacing w:before="120" w:after="0" w:line="240" w:lineRule="auto"/>
        <w:ind w:left="425"/>
        <w:jc w:val="both"/>
        <w:rPr>
          <w:rFonts w:ascii="Times New Roman" w:eastAsia="Times New Roman" w:hAnsi="Times New Roman" w:cs="Times New Roman"/>
          <w:b/>
          <w:bCs/>
        </w:rPr>
      </w:pPr>
      <w:r w:rsidRPr="00827C19">
        <w:rPr>
          <w:rFonts w:ascii="Times New Roman" w:eastAsia="Times New Roman" w:hAnsi="Times New Roman" w:cs="Times New Roman"/>
          <w:b/>
          <w:bCs/>
        </w:rPr>
        <w:t xml:space="preserve">Attitűdje: </w:t>
      </w:r>
    </w:p>
    <w:p w:rsidR="00827C19" w:rsidRPr="00827C19" w:rsidRDefault="00827C1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827C19">
        <w:rPr>
          <w:rFonts w:ascii="Times New Roman" w:hAnsi="Times New Roman" w:cs="Times New Roman"/>
        </w:rPr>
        <w:t>Nyitott a katonai közlekedési szakterületen zajló szakmai, technológiai fejlesztés és innováció megismerésére és elfogadására, hiteles közvetítésére és azok mindennapi munkájába való beillesztésére.</w:t>
      </w:r>
    </w:p>
    <w:p w:rsidR="00827C19" w:rsidRPr="00827C19" w:rsidRDefault="00827C1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827C19">
        <w:rPr>
          <w:rFonts w:ascii="Times New Roman" w:hAnsi="Times New Roman" w:cs="Times New Roman"/>
        </w:rPr>
        <w:t>Törekszik arra, hogy önképzése a katonai közlekedési szakterületen folyamatos és szakmai céljaival megegyező legyen.</w:t>
      </w:r>
    </w:p>
    <w:p w:rsidR="00827C19" w:rsidRPr="00827C19" w:rsidRDefault="00827C1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827C19">
        <w:rPr>
          <w:rFonts w:ascii="Times New Roman" w:hAnsi="Times New Roman" w:cs="Times New Roman"/>
        </w:rPr>
        <w:t>Elkötelezett a minőségi szakmai munkavégzés iránt, különös tekintettel a közlekedési, szállítási feladatok és folyamatok biztonságos végrehajtására.</w:t>
      </w:r>
    </w:p>
    <w:p w:rsidR="00827C19" w:rsidRPr="00827C19" w:rsidRDefault="00827C1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827C19">
        <w:rPr>
          <w:rFonts w:ascii="Times New Roman" w:hAnsi="Times New Roman" w:cs="Times New Roman"/>
        </w:rPr>
        <w:t>Figyel beosztottjai szakmai fejlődésének előmozdítására, ilyen irányú törekvéseik kezelésére és segítésére.</w:t>
      </w:r>
    </w:p>
    <w:p w:rsidR="00827C19" w:rsidRPr="00827C19" w:rsidRDefault="00827C19" w:rsidP="00827C19">
      <w:pPr>
        <w:autoSpaceDE w:val="0"/>
        <w:autoSpaceDN w:val="0"/>
        <w:adjustRightInd w:val="0"/>
        <w:spacing w:before="120" w:after="0" w:line="240" w:lineRule="auto"/>
        <w:ind w:left="425"/>
        <w:jc w:val="both"/>
        <w:rPr>
          <w:rFonts w:ascii="Times New Roman" w:eastAsia="Times New Roman" w:hAnsi="Times New Roman" w:cs="Times New Roman"/>
          <w:b/>
          <w:bCs/>
        </w:rPr>
      </w:pPr>
      <w:r w:rsidRPr="00827C19">
        <w:rPr>
          <w:rFonts w:ascii="Times New Roman" w:eastAsia="Times New Roman" w:hAnsi="Times New Roman" w:cs="Times New Roman"/>
          <w:b/>
          <w:bCs/>
        </w:rPr>
        <w:t xml:space="preserve">Autonómiája és felelőssége: </w:t>
      </w:r>
    </w:p>
    <w:p w:rsidR="00827C19" w:rsidRPr="00827C19" w:rsidRDefault="00827C1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827C19">
        <w:rPr>
          <w:rFonts w:ascii="Times New Roman" w:hAnsi="Times New Roman" w:cs="Times New Roman"/>
        </w:rPr>
        <w:t>A katonai közlekedés szakterületén megjelenő folyamatokban képes önállóan döntéseket hozni, azokat felelősséggel, a jogszabályi keretek figyelembevételével végrehajtani.</w:t>
      </w:r>
    </w:p>
    <w:p w:rsidR="00827C19" w:rsidRPr="00827C19" w:rsidRDefault="00827C1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827C19">
        <w:rPr>
          <w:rFonts w:ascii="Times New Roman" w:hAnsi="Times New Roman" w:cs="Times New Roman"/>
        </w:rPr>
        <w:t>Tisztában van döntéseinek, tevékenységének a katonai logisztikai folyamatok egészére gyakorolt hatásaival, következményeivel.</w:t>
      </w:r>
    </w:p>
    <w:p w:rsidR="00827C19" w:rsidRPr="00827C19" w:rsidRDefault="00827C1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827C19">
        <w:rPr>
          <w:rFonts w:ascii="Times New Roman" w:hAnsi="Times New Roman" w:cs="Times New Roman"/>
        </w:rPr>
        <w:t>Szakmai feladatainak elvégzése során felelősségteljesen együttműködik más szakterület képzett szakembereivel is.</w:t>
      </w:r>
    </w:p>
    <w:p w:rsidR="00827C19" w:rsidRPr="00827C19" w:rsidRDefault="00827C1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827C19">
        <w:rPr>
          <w:rFonts w:ascii="Times New Roman" w:hAnsi="Times New Roman" w:cs="Times New Roman"/>
        </w:rPr>
        <w:t>Feltárja az alkalmazott technológiák hiányosságait, a folyamatok kockázatait és kezdeményezi az ezeket csökkentő intézkedések megtételét.</w:t>
      </w:r>
    </w:p>
    <w:p w:rsidR="00827C19" w:rsidRPr="00827C19" w:rsidRDefault="00827C1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827C19">
        <w:rPr>
          <w:rFonts w:ascii="Times New Roman" w:hAnsi="Times New Roman" w:cs="Times New Roman"/>
        </w:rPr>
        <w:t>Értékeli a beosztottak munkavégzésének hatékonyságát, eredményességét.</w:t>
      </w:r>
    </w:p>
    <w:p w:rsidR="00827C19" w:rsidRPr="00827C19" w:rsidRDefault="00827C19" w:rsidP="00827C19">
      <w:pPr>
        <w:widowControl w:val="0"/>
        <w:spacing w:before="120" w:after="120" w:line="240" w:lineRule="auto"/>
        <w:ind w:left="426"/>
        <w:jc w:val="both"/>
        <w:rPr>
          <w:rFonts w:ascii="Times New Roman" w:eastAsia="Times New Roman" w:hAnsi="Times New Roman" w:cs="Times New Roman"/>
          <w:b/>
          <w:bCs/>
          <w:lang w:val="en-US"/>
        </w:rPr>
      </w:pPr>
      <w:r w:rsidRPr="00827C19">
        <w:rPr>
          <w:rFonts w:ascii="Times New Roman" w:eastAsia="Times New Roman" w:hAnsi="Times New Roman" w:cs="Times New Roman"/>
          <w:b/>
          <w:bCs/>
        </w:rPr>
        <w:t>Elérendő kompetenciák (angolul) (</w:t>
      </w:r>
      <w:r w:rsidRPr="00827C19">
        <w:rPr>
          <w:rFonts w:ascii="Times New Roman" w:eastAsia="Times New Roman" w:hAnsi="Times New Roman" w:cs="Times New Roman"/>
          <w:b/>
          <w:bCs/>
          <w:lang w:val="en-US"/>
        </w:rPr>
        <w:t xml:space="preserve">Competences – English): </w:t>
      </w:r>
    </w:p>
    <w:p w:rsidR="00827C19" w:rsidRPr="00827C19" w:rsidRDefault="00827C19" w:rsidP="00827C19">
      <w:pPr>
        <w:widowControl w:val="0"/>
        <w:spacing w:before="120" w:after="120" w:line="240" w:lineRule="auto"/>
        <w:ind w:left="426"/>
        <w:jc w:val="both"/>
        <w:rPr>
          <w:rFonts w:ascii="Times New Roman" w:eastAsia="Times New Roman" w:hAnsi="Times New Roman" w:cs="Times New Roman"/>
          <w:lang w:val="en-GB"/>
        </w:rPr>
      </w:pPr>
      <w:r w:rsidRPr="00827C19">
        <w:rPr>
          <w:rFonts w:ascii="Times New Roman" w:eastAsia="Times New Roman" w:hAnsi="Times New Roman" w:cs="Times New Roman"/>
          <w:b/>
          <w:lang w:val="en-GB"/>
        </w:rPr>
        <w:t>Knowledge</w:t>
      </w:r>
      <w:r w:rsidRPr="00827C19">
        <w:rPr>
          <w:rFonts w:ascii="Times New Roman" w:eastAsia="Times New Roman" w:hAnsi="Times New Roman" w:cs="Times New Roman"/>
          <w:lang w:val="en-GB"/>
        </w:rPr>
        <w:t xml:space="preserve">: </w:t>
      </w:r>
    </w:p>
    <w:p w:rsidR="00827C19" w:rsidRPr="00827C19" w:rsidRDefault="00827C1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827C19">
        <w:rPr>
          <w:rFonts w:ascii="Times New Roman" w:hAnsi="Times New Roman" w:cs="Times New Roman"/>
        </w:rPr>
        <w:t>Is familiar with the technical equipment used in military transportation, the transportation modes and facilities, and the rules of their use and operation.</w:t>
      </w:r>
    </w:p>
    <w:p w:rsidR="00827C19" w:rsidRPr="00827C19" w:rsidRDefault="00827C1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827C19">
        <w:rPr>
          <w:rFonts w:ascii="Times New Roman" w:hAnsi="Times New Roman" w:cs="Times New Roman"/>
        </w:rPr>
        <w:t>Is familiar with the tasks and responsibilities of stockpiling, storing, registering and inventorying of military transportation assets and is able to control these processes.</w:t>
      </w:r>
    </w:p>
    <w:p w:rsidR="00827C19" w:rsidRPr="00827C19" w:rsidRDefault="00827C1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827C19">
        <w:rPr>
          <w:rFonts w:ascii="Times New Roman" w:hAnsi="Times New Roman" w:cs="Times New Roman"/>
        </w:rPr>
        <w:t>Has a profound knowledge of the tasks and the system of military transportation and the unique characteristics of performing each task.</w:t>
      </w:r>
    </w:p>
    <w:p w:rsidR="00827C19" w:rsidRPr="00827C19" w:rsidRDefault="00827C1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827C19">
        <w:rPr>
          <w:rFonts w:ascii="Times New Roman" w:hAnsi="Times New Roman" w:cs="Times New Roman"/>
        </w:rPr>
        <w:t>Is familiar with the methods of assessing the requirements of military transportation and its feasibility and practical implementation.</w:t>
      </w:r>
    </w:p>
    <w:p w:rsidR="00827C19" w:rsidRPr="00827C19" w:rsidRDefault="00827C19" w:rsidP="00827C19">
      <w:pPr>
        <w:widowControl w:val="0"/>
        <w:spacing w:before="120" w:after="120" w:line="240" w:lineRule="auto"/>
        <w:ind w:left="426"/>
        <w:jc w:val="both"/>
        <w:rPr>
          <w:rFonts w:ascii="Times New Roman" w:eastAsia="Times New Roman" w:hAnsi="Times New Roman" w:cs="Times New Roman"/>
          <w:b/>
          <w:lang w:val="en-GB"/>
        </w:rPr>
      </w:pPr>
      <w:r w:rsidRPr="00827C19">
        <w:rPr>
          <w:rFonts w:ascii="Times New Roman" w:eastAsia="Times New Roman" w:hAnsi="Times New Roman" w:cs="Times New Roman"/>
          <w:b/>
          <w:lang w:val="en-GB"/>
        </w:rPr>
        <w:t>Capabilities:</w:t>
      </w:r>
    </w:p>
    <w:p w:rsidR="00827C19" w:rsidRPr="00827C19" w:rsidRDefault="00827C1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827C19">
        <w:rPr>
          <w:rFonts w:ascii="Times New Roman" w:hAnsi="Times New Roman" w:cs="Times New Roman"/>
        </w:rPr>
        <w:t>Using his/her general and specialized military knowledge and skills, he/she is capable of planning, organizing, and conducting military transport, movement, and transportation tasks.</w:t>
      </w:r>
    </w:p>
    <w:p w:rsidR="00827C19" w:rsidRPr="00827C19" w:rsidRDefault="00827C1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827C19">
        <w:rPr>
          <w:rFonts w:ascii="Times New Roman" w:hAnsi="Times New Roman" w:cs="Times New Roman"/>
        </w:rPr>
        <w:t>Is capable of leading the execution of the tasks of a military transportation subunit in peace time and in crisis response, disaster relief, peace support and combat operations both in a national and a multinational environment.</w:t>
      </w:r>
    </w:p>
    <w:p w:rsidR="00827C19" w:rsidRPr="00827C19" w:rsidRDefault="00827C1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827C19">
        <w:rPr>
          <w:rFonts w:ascii="Times New Roman" w:hAnsi="Times New Roman" w:cs="Times New Roman"/>
        </w:rPr>
        <w:t>Is capable of planning, organizing and executing the tasks related to the application of traffic networks for military purposes.</w:t>
      </w:r>
    </w:p>
    <w:p w:rsidR="00827C19" w:rsidRPr="00827C19" w:rsidRDefault="00827C1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827C19">
        <w:rPr>
          <w:rFonts w:ascii="Times New Roman" w:hAnsi="Times New Roman" w:cs="Times New Roman"/>
        </w:rPr>
        <w:t>Is capable of applying traffic information systems to support transportation processes and formulating the basic user requirements related to them.</w:t>
      </w:r>
    </w:p>
    <w:p w:rsidR="00827C19" w:rsidRPr="00827C19" w:rsidRDefault="00827C19" w:rsidP="00827C19">
      <w:pPr>
        <w:widowControl w:val="0"/>
        <w:spacing w:before="120" w:after="120" w:line="240" w:lineRule="auto"/>
        <w:ind w:left="426"/>
        <w:jc w:val="both"/>
        <w:rPr>
          <w:rFonts w:ascii="Times New Roman" w:eastAsia="Times New Roman" w:hAnsi="Times New Roman" w:cs="Times New Roman"/>
          <w:b/>
          <w:lang w:val="en-GB"/>
        </w:rPr>
      </w:pPr>
      <w:r w:rsidRPr="00827C19">
        <w:rPr>
          <w:rFonts w:ascii="Times New Roman" w:eastAsia="Times New Roman" w:hAnsi="Times New Roman" w:cs="Times New Roman"/>
          <w:b/>
          <w:lang w:val="en-GB"/>
        </w:rPr>
        <w:t>Attitude:</w:t>
      </w:r>
    </w:p>
    <w:p w:rsidR="00827C19" w:rsidRPr="00827C19" w:rsidRDefault="00827C1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827C19">
        <w:rPr>
          <w:rFonts w:ascii="Times New Roman" w:hAnsi="Times New Roman" w:cs="Times New Roman"/>
        </w:rPr>
        <w:t>He/She is ready to become familiar with and adopt the professional and technological development and innovation in the field of military transportation, and also to pass it on and integrate it into his daily work.</w:t>
      </w:r>
    </w:p>
    <w:p w:rsidR="00827C19" w:rsidRPr="00827C19" w:rsidRDefault="00827C1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827C19">
        <w:rPr>
          <w:rFonts w:ascii="Times New Roman" w:hAnsi="Times New Roman" w:cs="Times New Roman"/>
        </w:rPr>
        <w:lastRenderedPageBreak/>
        <w:t>He/She strives for continuous self-education in the field of military transportation which is consistent with his/her professional goals.</w:t>
      </w:r>
    </w:p>
    <w:p w:rsidR="00827C19" w:rsidRPr="00827C19" w:rsidRDefault="00827C1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827C19">
        <w:rPr>
          <w:rFonts w:ascii="Times New Roman" w:hAnsi="Times New Roman" w:cs="Times New Roman"/>
        </w:rPr>
        <w:t>He/She is committed to high quality in his/her professional work, with special emphasis on the safe execution of the transportation tasks and processes.</w:t>
      </w:r>
    </w:p>
    <w:p w:rsidR="00827C19" w:rsidRPr="00827C19" w:rsidRDefault="00827C1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827C19">
        <w:rPr>
          <w:rFonts w:ascii="Times New Roman" w:hAnsi="Times New Roman" w:cs="Times New Roman"/>
        </w:rPr>
        <w:t>He/She is interested in promoting the professional development of his/her subordinates, and provides assistance in their efforts.</w:t>
      </w:r>
    </w:p>
    <w:p w:rsidR="00827C19" w:rsidRPr="00827C19" w:rsidRDefault="00827C19" w:rsidP="00827C19">
      <w:pPr>
        <w:widowControl w:val="0"/>
        <w:spacing w:before="120" w:after="120" w:line="240" w:lineRule="auto"/>
        <w:ind w:left="426"/>
        <w:jc w:val="both"/>
        <w:rPr>
          <w:rFonts w:ascii="Times New Roman" w:eastAsia="Times New Roman" w:hAnsi="Times New Roman" w:cs="Times New Roman"/>
          <w:b/>
          <w:lang w:val="en-GB"/>
        </w:rPr>
      </w:pPr>
      <w:r w:rsidRPr="00827C19">
        <w:rPr>
          <w:rFonts w:ascii="Times New Roman" w:eastAsia="Times New Roman" w:hAnsi="Times New Roman" w:cs="Times New Roman"/>
          <w:b/>
          <w:lang w:val="en-GB"/>
        </w:rPr>
        <w:t xml:space="preserve">Autonomy and responsibility: </w:t>
      </w:r>
    </w:p>
    <w:p w:rsidR="00827C19" w:rsidRPr="00827C19" w:rsidRDefault="00827C1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827C19">
        <w:rPr>
          <w:rFonts w:ascii="Times New Roman" w:hAnsi="Times New Roman" w:cs="Times New Roman"/>
        </w:rPr>
        <w:t>He/She is able to make decisions independently in the processes arising in the field of military transportation, and to implement them with responsibility and within the legal framework.</w:t>
      </w:r>
    </w:p>
    <w:p w:rsidR="00827C19" w:rsidRPr="00827C19" w:rsidRDefault="00827C1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827C19">
        <w:rPr>
          <w:rFonts w:ascii="Times New Roman" w:hAnsi="Times New Roman" w:cs="Times New Roman"/>
        </w:rPr>
        <w:t>He/She is aware of the effects and consequences of his decisions and activities on the military logistic processes as a whole.</w:t>
      </w:r>
    </w:p>
    <w:p w:rsidR="00827C19" w:rsidRPr="00827C19" w:rsidRDefault="00827C1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827C19">
        <w:rPr>
          <w:rFonts w:ascii="Times New Roman" w:hAnsi="Times New Roman" w:cs="Times New Roman"/>
        </w:rPr>
        <w:t xml:space="preserve">During his/her professional duties, he/she is willing to responsibly cooperate with specialists of other areas. </w:t>
      </w:r>
    </w:p>
    <w:p w:rsidR="00827C19" w:rsidRPr="00827C19" w:rsidRDefault="00827C1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827C19">
        <w:rPr>
          <w:rFonts w:ascii="Times New Roman" w:hAnsi="Times New Roman" w:cs="Times New Roman"/>
        </w:rPr>
        <w:t>He/She can identify the deficiencies and risks in the applied technologies and initiates taking measures to reduce their impact.</w:t>
      </w:r>
    </w:p>
    <w:p w:rsidR="00827C19" w:rsidRPr="00827C19" w:rsidRDefault="00827C19"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827C19">
        <w:rPr>
          <w:rFonts w:ascii="Times New Roman" w:hAnsi="Times New Roman" w:cs="Times New Roman"/>
        </w:rPr>
        <w:t>He/She continuously evaluates the efficiency and effectiveness of his/her subordinates' work.</w:t>
      </w:r>
    </w:p>
    <w:p w:rsidR="00827C19" w:rsidRPr="00827C19" w:rsidRDefault="00827C19" w:rsidP="00980876">
      <w:pPr>
        <w:widowControl w:val="0"/>
        <w:numPr>
          <w:ilvl w:val="0"/>
          <w:numId w:val="301"/>
        </w:numPr>
        <w:tabs>
          <w:tab w:val="num" w:pos="567"/>
        </w:tabs>
        <w:spacing w:before="120" w:after="120" w:line="240" w:lineRule="auto"/>
        <w:ind w:left="426" w:hanging="142"/>
        <w:jc w:val="both"/>
        <w:rPr>
          <w:rFonts w:ascii="Times New Roman" w:eastAsia="Times New Roman" w:hAnsi="Times New Roman" w:cs="Times New Roman"/>
          <w:bCs/>
        </w:rPr>
      </w:pPr>
      <w:r w:rsidRPr="00827C19">
        <w:rPr>
          <w:rFonts w:ascii="Times New Roman" w:eastAsia="Times New Roman" w:hAnsi="Times New Roman" w:cs="Times New Roman"/>
          <w:b/>
          <w:bCs/>
        </w:rPr>
        <w:t xml:space="preserve">Előtanulmányi követelmények: </w:t>
      </w:r>
      <w:r w:rsidRPr="00827C19">
        <w:rPr>
          <w:rFonts w:ascii="Times New Roman" w:hAnsi="Times New Roman" w:cs="Times New Roman"/>
          <w:bCs/>
        </w:rPr>
        <w:t>Katonai szállításszervezés II. HKHPKA318</w:t>
      </w:r>
    </w:p>
    <w:p w:rsidR="00827C19" w:rsidRPr="00827C19" w:rsidRDefault="00827C19" w:rsidP="00980876">
      <w:pPr>
        <w:widowControl w:val="0"/>
        <w:numPr>
          <w:ilvl w:val="0"/>
          <w:numId w:val="301"/>
        </w:numPr>
        <w:spacing w:before="120" w:after="120" w:line="240" w:lineRule="auto"/>
        <w:ind w:left="426" w:hanging="142"/>
        <w:jc w:val="both"/>
        <w:rPr>
          <w:rFonts w:ascii="Times New Roman" w:eastAsia="Times New Roman" w:hAnsi="Times New Roman" w:cs="Times New Roman"/>
          <w:b/>
          <w:bCs/>
        </w:rPr>
      </w:pPr>
      <w:r w:rsidRPr="00827C19">
        <w:rPr>
          <w:rFonts w:ascii="Times New Roman" w:eastAsia="Times New Roman" w:hAnsi="Times New Roman" w:cs="Times New Roman"/>
          <w:b/>
          <w:bCs/>
        </w:rPr>
        <w:t>A tantárgy tananyagának leírása, tematika. Description of the subject, curriculum (magyarul, angolul - English):</w:t>
      </w:r>
    </w:p>
    <w:p w:rsidR="00827C19" w:rsidRPr="00827C19" w:rsidRDefault="00827C19" w:rsidP="00980876">
      <w:pPr>
        <w:pStyle w:val="lfej"/>
        <w:numPr>
          <w:ilvl w:val="1"/>
          <w:numId w:val="301"/>
        </w:numPr>
        <w:tabs>
          <w:tab w:val="left" w:pos="708"/>
        </w:tabs>
        <w:ind w:left="993" w:hanging="574"/>
        <w:jc w:val="both"/>
        <w:rPr>
          <w:rFonts w:ascii="Times New Roman" w:hAnsi="Times New Roman" w:cs="Times New Roman"/>
          <w:i/>
        </w:rPr>
      </w:pPr>
      <w:r w:rsidRPr="00827C19">
        <w:rPr>
          <w:rFonts w:ascii="Times New Roman" w:hAnsi="Times New Roman" w:cs="Times New Roman"/>
        </w:rPr>
        <w:t>Katonai légi szállításra felhasználható szaktechnikai eszközök.</w:t>
      </w:r>
      <w:r w:rsidRPr="00827C19">
        <w:rPr>
          <w:rStyle w:val="tlid-translation"/>
          <w:rFonts w:ascii="Times New Roman" w:hAnsi="Times New Roman" w:cs="Times New Roman"/>
          <w:lang w:val="en"/>
        </w:rPr>
        <w:t xml:space="preserve"> </w:t>
      </w:r>
      <w:r w:rsidRPr="00827C19">
        <w:rPr>
          <w:rStyle w:val="tlid-translation"/>
          <w:rFonts w:ascii="Times New Roman" w:hAnsi="Times New Roman" w:cs="Times New Roman"/>
          <w:i/>
          <w:lang w:val="en"/>
        </w:rPr>
        <w:t>(Technical equipment for use in military air transport.)</w:t>
      </w:r>
    </w:p>
    <w:p w:rsidR="00827C19" w:rsidRPr="00827C19" w:rsidRDefault="00827C19" w:rsidP="00980876">
      <w:pPr>
        <w:pStyle w:val="lfej"/>
        <w:numPr>
          <w:ilvl w:val="1"/>
          <w:numId w:val="301"/>
        </w:numPr>
        <w:tabs>
          <w:tab w:val="left" w:pos="708"/>
        </w:tabs>
        <w:ind w:left="993" w:hanging="574"/>
        <w:jc w:val="both"/>
        <w:rPr>
          <w:rFonts w:ascii="Times New Roman" w:hAnsi="Times New Roman" w:cs="Times New Roman"/>
          <w:i/>
        </w:rPr>
      </w:pPr>
      <w:r w:rsidRPr="00827C19">
        <w:rPr>
          <w:rFonts w:ascii="Times New Roman" w:hAnsi="Times New Roman" w:cs="Times New Roman"/>
        </w:rPr>
        <w:t>Katonai vízi szállításra felhasználható szaktechnikai eszközök.</w:t>
      </w:r>
      <w:r w:rsidRPr="00827C19">
        <w:rPr>
          <w:rStyle w:val="tlid-translation"/>
          <w:rFonts w:ascii="Times New Roman" w:hAnsi="Times New Roman" w:cs="Times New Roman"/>
          <w:lang w:val="en"/>
        </w:rPr>
        <w:t xml:space="preserve"> </w:t>
      </w:r>
      <w:r w:rsidRPr="00827C19">
        <w:rPr>
          <w:rStyle w:val="tlid-translation"/>
          <w:rFonts w:ascii="Times New Roman" w:hAnsi="Times New Roman" w:cs="Times New Roman"/>
          <w:i/>
          <w:lang w:val="en"/>
        </w:rPr>
        <w:t>(Technical equipment for military waterborne transport.)</w:t>
      </w:r>
    </w:p>
    <w:p w:rsidR="00827C19" w:rsidRPr="00827C19" w:rsidRDefault="00827C19" w:rsidP="00980876">
      <w:pPr>
        <w:pStyle w:val="lfej"/>
        <w:numPr>
          <w:ilvl w:val="1"/>
          <w:numId w:val="301"/>
        </w:numPr>
        <w:tabs>
          <w:tab w:val="left" w:pos="708"/>
        </w:tabs>
        <w:ind w:left="993" w:hanging="574"/>
        <w:jc w:val="both"/>
        <w:rPr>
          <w:rFonts w:ascii="Times New Roman" w:hAnsi="Times New Roman" w:cs="Times New Roman"/>
          <w:i/>
        </w:rPr>
      </w:pPr>
      <w:r w:rsidRPr="00827C19">
        <w:rPr>
          <w:rFonts w:ascii="Times New Roman" w:hAnsi="Times New Roman" w:cs="Times New Roman"/>
        </w:rPr>
        <w:t>Katonai légi szállítások tervezése, szervezése és végrehajtása a szövetséges kötelezettségekből adódó feladatok során.</w:t>
      </w:r>
      <w:r w:rsidRPr="00827C19">
        <w:rPr>
          <w:rStyle w:val="tlid-translation"/>
          <w:rFonts w:ascii="Times New Roman" w:hAnsi="Times New Roman" w:cs="Times New Roman"/>
          <w:lang w:val="en"/>
        </w:rPr>
        <w:t xml:space="preserve"> </w:t>
      </w:r>
      <w:r w:rsidRPr="00827C19">
        <w:rPr>
          <w:rStyle w:val="tlid-translation"/>
          <w:rFonts w:ascii="Times New Roman" w:hAnsi="Times New Roman" w:cs="Times New Roman"/>
          <w:i/>
          <w:lang w:val="en"/>
        </w:rPr>
        <w:t>(Planning, organizing, and carrying out military air transport operations in the course of allied responsibilities.)</w:t>
      </w:r>
    </w:p>
    <w:p w:rsidR="00827C19" w:rsidRPr="00827C19" w:rsidRDefault="00827C19" w:rsidP="00980876">
      <w:pPr>
        <w:pStyle w:val="lfej"/>
        <w:numPr>
          <w:ilvl w:val="1"/>
          <w:numId w:val="301"/>
        </w:numPr>
        <w:tabs>
          <w:tab w:val="left" w:pos="708"/>
        </w:tabs>
        <w:ind w:left="993" w:hanging="574"/>
        <w:jc w:val="both"/>
        <w:rPr>
          <w:rFonts w:ascii="Times New Roman" w:hAnsi="Times New Roman" w:cs="Times New Roman"/>
          <w:i/>
        </w:rPr>
      </w:pPr>
      <w:r w:rsidRPr="00827C19">
        <w:rPr>
          <w:rFonts w:ascii="Times New Roman" w:hAnsi="Times New Roman" w:cs="Times New Roman"/>
        </w:rPr>
        <w:t>Katonai vízi szállítások tervezése, szervezése és végrehajtása a szövetséges kötelezettségekből adódó feladatok során.</w:t>
      </w:r>
      <w:r w:rsidRPr="00827C19">
        <w:rPr>
          <w:rStyle w:val="tlid-translation"/>
          <w:rFonts w:ascii="Times New Roman" w:hAnsi="Times New Roman" w:cs="Times New Roman"/>
          <w:lang w:val="en"/>
        </w:rPr>
        <w:t xml:space="preserve"> </w:t>
      </w:r>
      <w:r w:rsidRPr="00827C19">
        <w:rPr>
          <w:rStyle w:val="tlid-translation"/>
          <w:rFonts w:ascii="Times New Roman" w:hAnsi="Times New Roman" w:cs="Times New Roman"/>
          <w:i/>
          <w:lang w:val="en"/>
        </w:rPr>
        <w:t>(Planning, organizing, and executing military water deliveries in allied responsibilities.)</w:t>
      </w:r>
    </w:p>
    <w:p w:rsidR="00827C19" w:rsidRPr="00827C19" w:rsidRDefault="00827C19" w:rsidP="00980876">
      <w:pPr>
        <w:pStyle w:val="lfej"/>
        <w:numPr>
          <w:ilvl w:val="1"/>
          <w:numId w:val="301"/>
        </w:numPr>
        <w:tabs>
          <w:tab w:val="left" w:pos="708"/>
        </w:tabs>
        <w:ind w:left="993" w:hanging="574"/>
        <w:jc w:val="both"/>
        <w:rPr>
          <w:rFonts w:ascii="Times New Roman" w:hAnsi="Times New Roman" w:cs="Times New Roman"/>
          <w:i/>
        </w:rPr>
      </w:pPr>
      <w:r w:rsidRPr="00827C19">
        <w:rPr>
          <w:rFonts w:ascii="Times New Roman" w:hAnsi="Times New Roman" w:cs="Times New Roman"/>
        </w:rPr>
        <w:t>Túlméretes katonai technikai eszközök közúti szállításának szervezése.</w:t>
      </w:r>
      <w:r w:rsidRPr="00827C19">
        <w:rPr>
          <w:rStyle w:val="tlid-translation"/>
          <w:rFonts w:ascii="Times New Roman" w:hAnsi="Times New Roman" w:cs="Times New Roman"/>
          <w:lang w:val="en"/>
        </w:rPr>
        <w:t xml:space="preserve"> </w:t>
      </w:r>
      <w:r w:rsidRPr="00827C19">
        <w:rPr>
          <w:rStyle w:val="tlid-translation"/>
          <w:rFonts w:ascii="Times New Roman" w:hAnsi="Times New Roman" w:cs="Times New Roman"/>
          <w:i/>
          <w:lang w:val="en"/>
        </w:rPr>
        <w:t>(Organization of road transport of oversized military technical equipment.)</w:t>
      </w:r>
    </w:p>
    <w:p w:rsidR="00827C19" w:rsidRPr="00827C19" w:rsidRDefault="00827C19" w:rsidP="00980876">
      <w:pPr>
        <w:pStyle w:val="lfej"/>
        <w:numPr>
          <w:ilvl w:val="1"/>
          <w:numId w:val="301"/>
        </w:numPr>
        <w:tabs>
          <w:tab w:val="left" w:pos="708"/>
        </w:tabs>
        <w:ind w:left="993" w:hanging="574"/>
        <w:jc w:val="both"/>
        <w:rPr>
          <w:rFonts w:ascii="Times New Roman" w:hAnsi="Times New Roman" w:cs="Times New Roman"/>
          <w:i/>
        </w:rPr>
      </w:pPr>
      <w:r w:rsidRPr="00827C19">
        <w:rPr>
          <w:rFonts w:ascii="Times New Roman" w:hAnsi="Times New Roman" w:cs="Times New Roman"/>
        </w:rPr>
        <w:t>Veszélyes anyagok katonai szállítójárművekkel történő szállításának sajátosságai.</w:t>
      </w:r>
      <w:r w:rsidRPr="00827C19">
        <w:rPr>
          <w:rStyle w:val="tlid-translation"/>
          <w:rFonts w:ascii="Times New Roman" w:hAnsi="Times New Roman" w:cs="Times New Roman"/>
          <w:lang w:val="en"/>
        </w:rPr>
        <w:t xml:space="preserve"> </w:t>
      </w:r>
      <w:r w:rsidRPr="00827C19">
        <w:rPr>
          <w:rStyle w:val="tlid-translation"/>
          <w:rFonts w:ascii="Times New Roman" w:hAnsi="Times New Roman" w:cs="Times New Roman"/>
          <w:i/>
          <w:lang w:val="en"/>
        </w:rPr>
        <w:t>(Particular features on the transport of dangerous goods by military transport vehicles.)</w:t>
      </w:r>
    </w:p>
    <w:p w:rsidR="00827C19" w:rsidRPr="00827C19" w:rsidRDefault="00827C19" w:rsidP="00980876">
      <w:pPr>
        <w:pStyle w:val="lfej"/>
        <w:numPr>
          <w:ilvl w:val="1"/>
          <w:numId w:val="301"/>
        </w:numPr>
        <w:tabs>
          <w:tab w:val="left" w:pos="708"/>
        </w:tabs>
        <w:ind w:left="993" w:hanging="574"/>
        <w:jc w:val="both"/>
        <w:rPr>
          <w:rFonts w:ascii="Times New Roman" w:hAnsi="Times New Roman" w:cs="Times New Roman"/>
          <w:i/>
        </w:rPr>
      </w:pPr>
      <w:r w:rsidRPr="00827C19">
        <w:rPr>
          <w:rFonts w:ascii="Times New Roman" w:hAnsi="Times New Roman" w:cs="Times New Roman"/>
        </w:rPr>
        <w:t>A szakállomány felkészítése a különleges szállítási feladatok végrehajtására</w:t>
      </w:r>
      <w:r w:rsidRPr="00827C19">
        <w:rPr>
          <w:rFonts w:ascii="Times New Roman" w:hAnsi="Times New Roman" w:cs="Times New Roman"/>
          <w:i/>
        </w:rPr>
        <w:t>.</w:t>
      </w:r>
      <w:r w:rsidRPr="00827C19">
        <w:rPr>
          <w:rStyle w:val="tlid-translation"/>
          <w:rFonts w:ascii="Times New Roman" w:hAnsi="Times New Roman" w:cs="Times New Roman"/>
          <w:i/>
          <w:lang w:val="en"/>
        </w:rPr>
        <w:t xml:space="preserve"> (Preparation of special teams for special transport tasks.)</w:t>
      </w:r>
    </w:p>
    <w:p w:rsidR="00827C19" w:rsidRPr="00827C19" w:rsidRDefault="00827C19" w:rsidP="00980876">
      <w:pPr>
        <w:pStyle w:val="lfej"/>
        <w:numPr>
          <w:ilvl w:val="1"/>
          <w:numId w:val="301"/>
        </w:numPr>
        <w:tabs>
          <w:tab w:val="left" w:pos="708"/>
        </w:tabs>
        <w:ind w:left="993" w:hanging="574"/>
        <w:jc w:val="both"/>
        <w:rPr>
          <w:rFonts w:ascii="Times New Roman" w:hAnsi="Times New Roman" w:cs="Times New Roman"/>
          <w:bCs/>
          <w:i/>
        </w:rPr>
      </w:pPr>
      <w:r w:rsidRPr="00827C19">
        <w:rPr>
          <w:rFonts w:ascii="Times New Roman" w:hAnsi="Times New Roman" w:cs="Times New Roman"/>
          <w:bCs/>
        </w:rPr>
        <w:t>Zárthelyi dolgozat</w:t>
      </w:r>
      <w:r w:rsidRPr="00827C19">
        <w:rPr>
          <w:rFonts w:ascii="Times New Roman" w:hAnsi="Times New Roman" w:cs="Times New Roman"/>
          <w:bCs/>
          <w:i/>
        </w:rPr>
        <w:t>. (Closed thesis.)</w:t>
      </w:r>
    </w:p>
    <w:p w:rsidR="00827C19" w:rsidRPr="00827C19" w:rsidRDefault="00827C19" w:rsidP="00980876">
      <w:pPr>
        <w:widowControl w:val="0"/>
        <w:numPr>
          <w:ilvl w:val="0"/>
          <w:numId w:val="301"/>
        </w:numPr>
        <w:tabs>
          <w:tab w:val="num" w:pos="360"/>
        </w:tabs>
        <w:spacing w:before="120" w:after="120" w:line="240" w:lineRule="auto"/>
        <w:ind w:left="426" w:hanging="142"/>
        <w:jc w:val="both"/>
        <w:rPr>
          <w:rFonts w:ascii="Times New Roman" w:eastAsia="Times New Roman" w:hAnsi="Times New Roman" w:cs="Times New Roman"/>
          <w:bCs/>
        </w:rPr>
      </w:pPr>
      <w:r w:rsidRPr="00827C19">
        <w:rPr>
          <w:rFonts w:ascii="Times New Roman" w:eastAsia="Times New Roman" w:hAnsi="Times New Roman" w:cs="Times New Roman"/>
          <w:b/>
          <w:bCs/>
        </w:rPr>
        <w:t xml:space="preserve">A tantárgy meghirdetésének gyakorisága/a tantervben történő félévi elhelyezkedése: </w:t>
      </w:r>
      <w:r w:rsidRPr="00827C19">
        <w:rPr>
          <w:rFonts w:ascii="Times New Roman" w:eastAsia="Times New Roman" w:hAnsi="Times New Roman" w:cs="Times New Roman"/>
          <w:bCs/>
        </w:rPr>
        <w:t>8. félév</w:t>
      </w:r>
    </w:p>
    <w:p w:rsidR="00827C19" w:rsidRPr="00827C19" w:rsidRDefault="00827C19" w:rsidP="00980876">
      <w:pPr>
        <w:widowControl w:val="0"/>
        <w:numPr>
          <w:ilvl w:val="0"/>
          <w:numId w:val="301"/>
        </w:numPr>
        <w:tabs>
          <w:tab w:val="num" w:pos="360"/>
        </w:tabs>
        <w:spacing w:before="120" w:after="120" w:line="240" w:lineRule="auto"/>
        <w:ind w:left="426" w:hanging="142"/>
        <w:jc w:val="both"/>
        <w:rPr>
          <w:rFonts w:ascii="Times New Roman" w:eastAsia="Times New Roman" w:hAnsi="Times New Roman" w:cs="Times New Roman"/>
          <w:bCs/>
        </w:rPr>
      </w:pPr>
      <w:r w:rsidRPr="00827C19">
        <w:rPr>
          <w:rFonts w:ascii="Times New Roman" w:eastAsia="Times New Roman" w:hAnsi="Times New Roman" w:cs="Times New Roman"/>
          <w:b/>
          <w:bCs/>
        </w:rPr>
        <w:t>A tanórákon való részvétel követelményei, az elfogadható hiányzások mértéke, a távolmaradás pótlásának lehetősége:</w:t>
      </w:r>
      <w:r w:rsidRPr="00827C19">
        <w:rPr>
          <w:rFonts w:ascii="Times New Roman" w:eastAsia="Times New Roman" w:hAnsi="Times New Roman" w:cs="Times New Roman"/>
          <w:bCs/>
        </w:rPr>
        <w:t xml:space="preserve"> </w:t>
      </w:r>
    </w:p>
    <w:p w:rsidR="00827C19" w:rsidRPr="00827C19" w:rsidRDefault="00827C19" w:rsidP="00827C19">
      <w:pPr>
        <w:widowControl w:val="0"/>
        <w:spacing w:before="120" w:after="120" w:line="240" w:lineRule="auto"/>
        <w:ind w:left="426"/>
        <w:jc w:val="both"/>
        <w:rPr>
          <w:rFonts w:ascii="Times New Roman" w:eastAsia="Times New Roman" w:hAnsi="Times New Roman" w:cs="Times New Roman"/>
          <w:bCs/>
          <w:highlight w:val="lightGray"/>
        </w:rPr>
      </w:pPr>
      <w:r w:rsidRPr="00827C19">
        <w:rPr>
          <w:rFonts w:ascii="Times New Roman" w:eastAsia="Times New Roman" w:hAnsi="Times New Roman" w:cs="Times New Roman"/>
          <w:bCs/>
          <w:lang w:eastAsia="hu-HU"/>
        </w:rPr>
        <w:t>A tanórákon való részvétel kötelező, megengedett hiányzás mértéke 25%. Hiányzás esetén órapótlásra nincs lehetőség, a hallgató az előadás anyagát önállóan pótolja. A 25%-ot meghaladó hiányzás az aláírás megtagadását vonja maga után.</w:t>
      </w:r>
    </w:p>
    <w:p w:rsidR="00827C19" w:rsidRPr="00827C19" w:rsidRDefault="00827C19" w:rsidP="00980876">
      <w:pPr>
        <w:widowControl w:val="0"/>
        <w:numPr>
          <w:ilvl w:val="0"/>
          <w:numId w:val="301"/>
        </w:numPr>
        <w:tabs>
          <w:tab w:val="num" w:pos="360"/>
        </w:tabs>
        <w:spacing w:before="120" w:after="120" w:line="240" w:lineRule="auto"/>
        <w:ind w:left="426" w:hanging="142"/>
        <w:jc w:val="both"/>
        <w:rPr>
          <w:rFonts w:ascii="Times New Roman" w:eastAsia="Times New Roman" w:hAnsi="Times New Roman" w:cs="Times New Roman"/>
          <w:bCs/>
        </w:rPr>
      </w:pPr>
      <w:r w:rsidRPr="00827C19">
        <w:rPr>
          <w:rFonts w:ascii="Times New Roman" w:eastAsia="Times New Roman" w:hAnsi="Times New Roman" w:cs="Times New Roman"/>
          <w:b/>
        </w:rPr>
        <w:t>Félévközi feladatok, ismeretek ellenőrzésének rendje:</w:t>
      </w:r>
      <w:r w:rsidRPr="00827C19">
        <w:rPr>
          <w:rFonts w:ascii="Times New Roman" w:eastAsia="Times New Roman" w:hAnsi="Times New Roman" w:cs="Times New Roman"/>
          <w:bCs/>
        </w:rPr>
        <w:t xml:space="preserve"> </w:t>
      </w:r>
    </w:p>
    <w:p w:rsidR="00827C19" w:rsidRPr="00827C19" w:rsidRDefault="00827C19" w:rsidP="00827C19">
      <w:pPr>
        <w:widowControl w:val="0"/>
        <w:spacing w:before="120" w:after="120" w:line="240" w:lineRule="auto"/>
        <w:ind w:left="426"/>
        <w:jc w:val="both"/>
        <w:rPr>
          <w:rFonts w:ascii="Times New Roman" w:eastAsia="Times New Roman" w:hAnsi="Times New Roman" w:cs="Times New Roman"/>
          <w:lang w:eastAsia="x-none"/>
        </w:rPr>
      </w:pPr>
      <w:r w:rsidRPr="00827C19">
        <w:rPr>
          <w:rFonts w:ascii="Times New Roman" w:eastAsia="Times New Roman" w:hAnsi="Times New Roman" w:cs="Times New Roman"/>
          <w:lang w:val="x-none" w:eastAsia="x-none"/>
        </w:rPr>
        <w:t>A félév során egy zárthelyi dolgozatot ke</w:t>
      </w:r>
      <w:r w:rsidRPr="00827C19">
        <w:rPr>
          <w:rFonts w:ascii="Times New Roman" w:eastAsia="Times New Roman" w:hAnsi="Times New Roman" w:cs="Times New Roman"/>
          <w:lang w:eastAsia="x-none"/>
        </w:rPr>
        <w:t>l</w:t>
      </w:r>
      <w:r w:rsidRPr="00827C19">
        <w:rPr>
          <w:rFonts w:ascii="Times New Roman" w:eastAsia="Times New Roman" w:hAnsi="Times New Roman" w:cs="Times New Roman"/>
          <w:lang w:val="x-none" w:eastAsia="x-none"/>
        </w:rPr>
        <w:t>l megír</w:t>
      </w:r>
      <w:r w:rsidRPr="00827C19">
        <w:rPr>
          <w:rFonts w:ascii="Times New Roman" w:eastAsia="Times New Roman" w:hAnsi="Times New Roman" w:cs="Times New Roman"/>
          <w:lang w:eastAsia="x-none"/>
        </w:rPr>
        <w:t>ni</w:t>
      </w:r>
      <w:r w:rsidRPr="00827C19">
        <w:rPr>
          <w:rFonts w:ascii="Times New Roman" w:eastAsia="Times New Roman" w:hAnsi="Times New Roman" w:cs="Times New Roman"/>
          <w:lang w:val="x-none" w:eastAsia="x-none"/>
        </w:rPr>
        <w:t xml:space="preserve">. </w:t>
      </w:r>
      <w:r w:rsidRPr="00827C19">
        <w:rPr>
          <w:rFonts w:ascii="Times New Roman" w:eastAsia="Times New Roman" w:hAnsi="Times New Roman" w:cs="Times New Roman"/>
          <w:lang w:eastAsia="x-none"/>
        </w:rPr>
        <w:t xml:space="preserve">A zárthelyi dolgozat ötfokozatú skálán értékelendő, 50%+1 pont elégséges, 60% közepes, 75% jó, 90% jeles. </w:t>
      </w:r>
      <w:r w:rsidRPr="00827C19">
        <w:rPr>
          <w:rFonts w:ascii="Times New Roman" w:eastAsia="Times New Roman" w:hAnsi="Times New Roman" w:cs="Times New Roman"/>
          <w:lang w:val="x-none" w:eastAsia="x-none"/>
        </w:rPr>
        <w:t xml:space="preserve">Az elégtelen osztályzatra értékelt dolgozatot a szorgalmi és a vizsgaidőszakban is egy-egy alkalommal lehet pótolni. </w:t>
      </w:r>
    </w:p>
    <w:p w:rsidR="00827C19" w:rsidRPr="00827C19" w:rsidRDefault="00827C19" w:rsidP="00827C19">
      <w:pPr>
        <w:widowControl w:val="0"/>
        <w:spacing w:before="120" w:after="120" w:line="240" w:lineRule="auto"/>
        <w:ind w:left="426"/>
        <w:jc w:val="both"/>
        <w:rPr>
          <w:rFonts w:ascii="Times New Roman" w:eastAsia="Times New Roman" w:hAnsi="Times New Roman" w:cs="Times New Roman"/>
          <w:lang w:eastAsia="x-none"/>
        </w:rPr>
      </w:pPr>
      <w:r w:rsidRPr="00827C19">
        <w:rPr>
          <w:rFonts w:ascii="Times New Roman" w:hAnsi="Times New Roman" w:cs="Times New Roman"/>
          <w:lang w:val="x-none" w:eastAsia="x-none"/>
        </w:rPr>
        <w:t xml:space="preserve">A félév során </w:t>
      </w:r>
      <w:r w:rsidRPr="00827C19">
        <w:rPr>
          <w:rFonts w:ascii="Times New Roman" w:hAnsi="Times New Roman" w:cs="Times New Roman"/>
          <w:lang w:eastAsia="x-none"/>
        </w:rPr>
        <w:t>egy</w:t>
      </w:r>
      <w:r w:rsidRPr="00827C19">
        <w:rPr>
          <w:rFonts w:ascii="Times New Roman" w:hAnsi="Times New Roman" w:cs="Times New Roman"/>
          <w:lang w:val="x-none" w:eastAsia="x-none"/>
        </w:rPr>
        <w:t xml:space="preserve"> házi feladatot kell elkészíteni minimálisan 10 oldal</w:t>
      </w:r>
      <w:r w:rsidRPr="00827C19">
        <w:rPr>
          <w:rFonts w:ascii="Times New Roman" w:hAnsi="Times New Roman" w:cs="Times New Roman"/>
          <w:b/>
          <w:lang w:val="x-none" w:eastAsia="x-none"/>
        </w:rPr>
        <w:t xml:space="preserve"> </w:t>
      </w:r>
      <w:r w:rsidRPr="00827C19">
        <w:rPr>
          <w:rFonts w:ascii="Times New Roman" w:hAnsi="Times New Roman" w:cs="Times New Roman"/>
          <w:lang w:val="x-none" w:eastAsia="x-none"/>
        </w:rPr>
        <w:t xml:space="preserve">terjedelemben, a szakdolgozatnak megfelelő formai követelményekkel </w:t>
      </w:r>
      <w:r w:rsidRPr="00827C19">
        <w:rPr>
          <w:rFonts w:ascii="Times New Roman" w:hAnsi="Times New Roman" w:cs="Times New Roman"/>
        </w:rPr>
        <w:t>(TVSZ 5. melléklet)</w:t>
      </w:r>
      <w:r w:rsidRPr="00827C19">
        <w:rPr>
          <w:rFonts w:ascii="Times New Roman" w:hAnsi="Times New Roman" w:cs="Times New Roman"/>
          <w:lang w:val="x-none" w:eastAsia="x-none"/>
        </w:rPr>
        <w:t xml:space="preserve">. </w:t>
      </w:r>
      <w:r w:rsidRPr="00827C19">
        <w:rPr>
          <w:rFonts w:ascii="Times New Roman" w:hAnsi="Times New Roman" w:cs="Times New Roman"/>
          <w:lang w:eastAsia="x-none"/>
        </w:rPr>
        <w:t xml:space="preserve">A 10 oldal terjedelembe a bevezető, a fő rész és a befejezés tartozik csak. </w:t>
      </w:r>
      <w:r w:rsidRPr="00827C19">
        <w:rPr>
          <w:rFonts w:ascii="Times New Roman" w:hAnsi="Times New Roman" w:cs="Times New Roman"/>
          <w:lang w:val="x-none" w:eastAsia="x-none"/>
        </w:rPr>
        <w:t xml:space="preserve">Az írásbeli munka témáját a </w:t>
      </w:r>
      <w:r w:rsidRPr="00827C19">
        <w:rPr>
          <w:rFonts w:ascii="Times New Roman" w:hAnsi="Times New Roman" w:cs="Times New Roman"/>
          <w:lang w:val="x-none" w:eastAsia="x-none"/>
        </w:rPr>
        <w:lastRenderedPageBreak/>
        <w:t>hallgató választja</w:t>
      </w:r>
      <w:r w:rsidRPr="00827C19">
        <w:rPr>
          <w:rFonts w:ascii="Times New Roman" w:hAnsi="Times New Roman" w:cs="Times New Roman"/>
          <w:lang w:eastAsia="x-none"/>
        </w:rPr>
        <w:t>,</w:t>
      </w:r>
      <w:r w:rsidRPr="00827C19">
        <w:rPr>
          <w:rFonts w:ascii="Times New Roman" w:hAnsi="Times New Roman" w:cs="Times New Roman"/>
          <w:lang w:val="x-none" w:eastAsia="x-none"/>
        </w:rPr>
        <w:t xml:space="preserve"> a kurzus oktatója </w:t>
      </w:r>
      <w:r w:rsidRPr="00827C19">
        <w:rPr>
          <w:rFonts w:ascii="Times New Roman" w:hAnsi="Times New Roman" w:cs="Times New Roman"/>
          <w:lang w:eastAsia="x-none"/>
        </w:rPr>
        <w:t>jóváhagyja</w:t>
      </w:r>
      <w:r w:rsidRPr="00827C19">
        <w:rPr>
          <w:rFonts w:ascii="Times New Roman" w:hAnsi="Times New Roman" w:cs="Times New Roman"/>
          <w:lang w:val="x-none" w:eastAsia="x-none"/>
        </w:rPr>
        <w:t xml:space="preserve">. A szorgalmi időszakban a beadási határidőig leadott feladat </w:t>
      </w:r>
      <w:r w:rsidRPr="00827C19">
        <w:rPr>
          <w:rFonts w:ascii="Times New Roman" w:hAnsi="Times New Roman" w:cs="Times New Roman"/>
          <w:lang w:eastAsia="x-none"/>
        </w:rPr>
        <w:t>ötfokozatú skálán értékelendő</w:t>
      </w:r>
      <w:r w:rsidRPr="00827C19">
        <w:rPr>
          <w:rFonts w:ascii="Times New Roman" w:hAnsi="Times New Roman" w:cs="Times New Roman"/>
          <w:lang w:val="x-none" w:eastAsia="x-none"/>
        </w:rPr>
        <w:t>, azt javítani a vizsgaidőszak első hetén egy alkalommal lehet.</w:t>
      </w:r>
    </w:p>
    <w:p w:rsidR="00827C19" w:rsidRPr="00827C19" w:rsidRDefault="00827C19" w:rsidP="00980876">
      <w:pPr>
        <w:widowControl w:val="0"/>
        <w:numPr>
          <w:ilvl w:val="0"/>
          <w:numId w:val="301"/>
        </w:numPr>
        <w:spacing w:before="120" w:after="120" w:line="240" w:lineRule="auto"/>
        <w:ind w:left="426" w:hanging="142"/>
        <w:jc w:val="both"/>
        <w:rPr>
          <w:rFonts w:ascii="Times New Roman" w:eastAsia="Times New Roman" w:hAnsi="Times New Roman" w:cs="Times New Roman"/>
          <w:b/>
          <w:bCs/>
        </w:rPr>
      </w:pPr>
      <w:r w:rsidRPr="00827C19">
        <w:rPr>
          <w:rFonts w:ascii="Times New Roman" w:eastAsia="Times New Roman" w:hAnsi="Times New Roman" w:cs="Times New Roman"/>
          <w:b/>
          <w:bCs/>
        </w:rPr>
        <w:t xml:space="preserve">Az értékelés, az aláírás és a kreditek megszerzésének pontos feltételei: </w:t>
      </w:r>
    </w:p>
    <w:p w:rsidR="00827C19" w:rsidRPr="00FF312A" w:rsidRDefault="00827C19" w:rsidP="00980876">
      <w:pPr>
        <w:widowControl w:val="0"/>
        <w:numPr>
          <w:ilvl w:val="1"/>
          <w:numId w:val="301"/>
        </w:numPr>
        <w:tabs>
          <w:tab w:val="left" w:pos="709"/>
          <w:tab w:val="left" w:pos="993"/>
          <w:tab w:val="num" w:pos="2069"/>
        </w:tabs>
        <w:spacing w:before="120" w:after="120" w:line="240" w:lineRule="auto"/>
        <w:ind w:left="426" w:firstLine="0"/>
        <w:jc w:val="both"/>
        <w:rPr>
          <w:rFonts w:ascii="Times New Roman" w:hAnsi="Times New Roman" w:cs="Times New Roman"/>
          <w:lang w:val="x-none" w:eastAsia="x-none"/>
        </w:rPr>
      </w:pPr>
      <w:r w:rsidRPr="00FF312A">
        <w:rPr>
          <w:rFonts w:ascii="Times New Roman" w:eastAsia="Times New Roman" w:hAnsi="Times New Roman" w:cs="Times New Roman"/>
          <w:b/>
        </w:rPr>
        <w:t>Az aláírás megszerzésének feltételei:</w:t>
      </w:r>
      <w:r w:rsidRPr="00FF312A">
        <w:rPr>
          <w:rFonts w:ascii="Times New Roman" w:eastAsia="Times New Roman" w:hAnsi="Times New Roman" w:cs="Times New Roman"/>
        </w:rPr>
        <w:t xml:space="preserve"> </w:t>
      </w:r>
      <w:r w:rsidRPr="00FF312A">
        <w:rPr>
          <w:rFonts w:ascii="Times New Roman" w:hAnsi="Times New Roman" w:cs="Times New Roman"/>
          <w:lang w:val="x-none" w:eastAsia="x-none"/>
        </w:rPr>
        <w:t>Az aláírás megszerzésnek feltétele a zárthelyi dolgozat legalább elégséges szinten történő teljesítése (min 50%+1 pont), a kapott féléves feladat határidőre történő leadása és minimálisan elégséges szintű teljesítése, illetve a tanórák legalább 75%-án való megjelenés.</w:t>
      </w:r>
    </w:p>
    <w:p w:rsidR="00827C19" w:rsidRPr="00FF312A" w:rsidRDefault="00827C19" w:rsidP="00980876">
      <w:pPr>
        <w:widowControl w:val="0"/>
        <w:numPr>
          <w:ilvl w:val="1"/>
          <w:numId w:val="301"/>
        </w:numPr>
        <w:tabs>
          <w:tab w:val="left" w:pos="709"/>
          <w:tab w:val="left" w:pos="993"/>
          <w:tab w:val="num" w:pos="2069"/>
        </w:tabs>
        <w:spacing w:before="120" w:after="120" w:line="240" w:lineRule="auto"/>
        <w:ind w:left="426" w:firstLine="0"/>
        <w:jc w:val="both"/>
        <w:rPr>
          <w:rFonts w:ascii="Times New Roman" w:hAnsi="Times New Roman" w:cs="Times New Roman"/>
          <w:lang w:val="x-none" w:eastAsia="x-none"/>
        </w:rPr>
      </w:pPr>
      <w:r w:rsidRPr="00FF312A">
        <w:rPr>
          <w:rFonts w:ascii="Times New Roman" w:eastAsia="Times New Roman" w:hAnsi="Times New Roman" w:cs="Times New Roman"/>
          <w:b/>
        </w:rPr>
        <w:t>Az értékelés:</w:t>
      </w:r>
      <w:r w:rsidRPr="00FF312A">
        <w:rPr>
          <w:rFonts w:ascii="Times New Roman" w:eastAsia="Times New Roman" w:hAnsi="Times New Roman" w:cs="Times New Roman"/>
        </w:rPr>
        <w:t xml:space="preserve"> </w:t>
      </w:r>
      <w:r w:rsidRPr="00FF312A">
        <w:rPr>
          <w:rFonts w:ascii="Times New Roman" w:hAnsi="Times New Roman" w:cs="Times New Roman"/>
          <w:lang w:val="x-none" w:eastAsia="x-none"/>
        </w:rPr>
        <w:t xml:space="preserve">A félév végén a </w:t>
      </w:r>
      <w:r w:rsidRPr="00FF312A">
        <w:rPr>
          <w:rFonts w:ascii="Times New Roman" w:hAnsi="Times New Roman" w:cs="Times New Roman"/>
          <w:b/>
          <w:lang w:val="x-none" w:eastAsia="x-none"/>
        </w:rPr>
        <w:t>kollokvium</w:t>
      </w:r>
      <w:r w:rsidRPr="00FF312A">
        <w:rPr>
          <w:rFonts w:ascii="Times New Roman" w:hAnsi="Times New Roman" w:cs="Times New Roman"/>
          <w:lang w:val="x-none" w:eastAsia="x-none"/>
        </w:rPr>
        <w:t xml:space="preserve"> szóbeli, amelynek eredményébe a félévközi munka beszámítható. A kollokviumra a hallgatók csak felkészülési témaköröket kapnak kézhez, melyek felölelik a félév teljes tananyagát és a vizsgatételek kérdéseit. A kollokviumon a hallgató a vizsgatétel ismertetésére kapott osztályzata alapján ötfokozatú skálán értékelendő. Ha a vizsgáztató nem győződött meg a hallgató felkészültségéről a vizsgatétel alapján, kérdéseket tehet fel a félév tananyagából, amelyek a kollokvium érdemjegyébe beleszámítandók.</w:t>
      </w:r>
    </w:p>
    <w:p w:rsidR="00827C19" w:rsidRPr="00FF312A" w:rsidRDefault="00827C19" w:rsidP="00980876">
      <w:pPr>
        <w:widowControl w:val="0"/>
        <w:numPr>
          <w:ilvl w:val="1"/>
          <w:numId w:val="301"/>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FF312A">
        <w:rPr>
          <w:rFonts w:ascii="Times New Roman" w:eastAsia="Times New Roman" w:hAnsi="Times New Roman" w:cs="Times New Roman"/>
          <w:b/>
        </w:rPr>
        <w:t>A kreditek megszerzésének feltételei:</w:t>
      </w:r>
      <w:r w:rsidRPr="00FF312A">
        <w:rPr>
          <w:rFonts w:ascii="Times New Roman" w:eastAsia="Times New Roman" w:hAnsi="Times New Roman" w:cs="Times New Roman"/>
        </w:rPr>
        <w:t xml:space="preserve"> A kreditek megszerzésének feltétele az aláírás megszerzése és legalább elégséges vizsgajegy.</w:t>
      </w:r>
    </w:p>
    <w:p w:rsidR="00827C19" w:rsidRPr="00827C19" w:rsidRDefault="00827C19" w:rsidP="00980876">
      <w:pPr>
        <w:widowControl w:val="0"/>
        <w:numPr>
          <w:ilvl w:val="0"/>
          <w:numId w:val="301"/>
        </w:numPr>
        <w:tabs>
          <w:tab w:val="num" w:pos="360"/>
        </w:tabs>
        <w:spacing w:before="120" w:after="120" w:line="240" w:lineRule="auto"/>
        <w:ind w:left="426" w:hanging="142"/>
        <w:jc w:val="both"/>
        <w:rPr>
          <w:rFonts w:ascii="Times New Roman" w:eastAsia="Times New Roman" w:hAnsi="Times New Roman" w:cs="Times New Roman"/>
          <w:bCs/>
        </w:rPr>
      </w:pPr>
      <w:r w:rsidRPr="00827C19">
        <w:rPr>
          <w:rFonts w:ascii="Times New Roman" w:eastAsia="Times New Roman" w:hAnsi="Times New Roman" w:cs="Times New Roman"/>
          <w:b/>
          <w:bCs/>
        </w:rPr>
        <w:t>Irodalomjegyzék:</w:t>
      </w:r>
    </w:p>
    <w:p w:rsidR="00827C19" w:rsidRPr="00827C19" w:rsidRDefault="00827C19" w:rsidP="00980876">
      <w:pPr>
        <w:widowControl w:val="0"/>
        <w:numPr>
          <w:ilvl w:val="1"/>
          <w:numId w:val="301"/>
        </w:numPr>
        <w:tabs>
          <w:tab w:val="left" w:pos="567"/>
          <w:tab w:val="left" w:pos="851"/>
          <w:tab w:val="num" w:pos="2069"/>
        </w:tabs>
        <w:spacing w:before="120" w:after="120" w:line="240" w:lineRule="auto"/>
        <w:ind w:left="426" w:hanging="142"/>
        <w:jc w:val="both"/>
        <w:rPr>
          <w:rFonts w:ascii="Times New Roman" w:eastAsia="Times New Roman" w:hAnsi="Times New Roman" w:cs="Times New Roman"/>
          <w:bCs/>
        </w:rPr>
      </w:pPr>
      <w:r w:rsidRPr="00827C19">
        <w:rPr>
          <w:rFonts w:ascii="Times New Roman" w:eastAsia="Times New Roman" w:hAnsi="Times New Roman" w:cs="Times New Roman"/>
          <w:b/>
          <w:bCs/>
        </w:rPr>
        <w:t>Kötelező irodalom:</w:t>
      </w:r>
    </w:p>
    <w:p w:rsidR="00803D01" w:rsidRDefault="00827C19" w:rsidP="00980876">
      <w:pPr>
        <w:numPr>
          <w:ilvl w:val="0"/>
          <w:numId w:val="300"/>
        </w:numPr>
        <w:spacing w:after="0" w:line="240" w:lineRule="auto"/>
        <w:jc w:val="both"/>
        <w:rPr>
          <w:rFonts w:ascii="Times New Roman" w:hAnsi="Times New Roman" w:cs="Times New Roman"/>
        </w:rPr>
      </w:pPr>
      <w:r w:rsidRPr="00827C19">
        <w:rPr>
          <w:rFonts w:ascii="Times New Roman" w:hAnsi="Times New Roman" w:cs="Times New Roman"/>
        </w:rPr>
        <w:t>Magyar Honvédség Közlekedési Támogatás Doktrína Magyar Honvédség (Közlekedési Főnökség kiadványa, Budapest, 2005.);</w:t>
      </w:r>
      <w:r w:rsidR="00803D01" w:rsidRPr="00803D01">
        <w:rPr>
          <w:rFonts w:ascii="Times New Roman" w:hAnsi="Times New Roman" w:cs="Times New Roman"/>
        </w:rPr>
        <w:t xml:space="preserve"> </w:t>
      </w:r>
    </w:p>
    <w:p w:rsidR="00803D01" w:rsidRDefault="00803D01" w:rsidP="00980876">
      <w:pPr>
        <w:numPr>
          <w:ilvl w:val="0"/>
          <w:numId w:val="300"/>
        </w:numPr>
        <w:spacing w:after="0" w:line="240" w:lineRule="auto"/>
        <w:jc w:val="both"/>
        <w:rPr>
          <w:rFonts w:ascii="Times New Roman" w:hAnsi="Times New Roman" w:cs="Times New Roman"/>
        </w:rPr>
      </w:pPr>
      <w:r w:rsidRPr="00827C19">
        <w:rPr>
          <w:rFonts w:ascii="Times New Roman" w:hAnsi="Times New Roman" w:cs="Times New Roman"/>
        </w:rPr>
        <w:t>Ált/217 Magyar Honvédség Összhaderőnemi Logisztikai Támogatás Doktrína (3. kiadás), a Magyar Honvédség kiadványa, 2015.</w:t>
      </w:r>
    </w:p>
    <w:p w:rsidR="00803D01" w:rsidRPr="00DC6DF4" w:rsidRDefault="00803D01" w:rsidP="00980876">
      <w:pPr>
        <w:pStyle w:val="Listaszerbekezds"/>
        <w:numPr>
          <w:ilvl w:val="0"/>
          <w:numId w:val="300"/>
        </w:numPr>
        <w:spacing w:after="0" w:line="240" w:lineRule="auto"/>
        <w:jc w:val="both"/>
        <w:rPr>
          <w:rFonts w:ascii="Times New Roman" w:hAnsi="Times New Roman" w:cs="Times New Roman"/>
          <w:highlight w:val="yellow"/>
        </w:rPr>
      </w:pPr>
      <w:r w:rsidRPr="00DC6DF4">
        <w:rPr>
          <w:rFonts w:ascii="Times New Roman" w:hAnsi="Times New Roman" w:cs="Times New Roman"/>
          <w:highlight w:val="yellow"/>
        </w:rPr>
        <w:t>AMovP-3 Mozgatási és szállítási dokumentumok, valamint kifejezések és meghatározások gyűjteménye. Magyar Honvédség Közlekedési Szolgálatfőnökség kiadványa (2003),</w:t>
      </w:r>
    </w:p>
    <w:p w:rsidR="00827C19" w:rsidRPr="00827C19" w:rsidRDefault="00827C19" w:rsidP="00980876">
      <w:pPr>
        <w:widowControl w:val="0"/>
        <w:numPr>
          <w:ilvl w:val="1"/>
          <w:numId w:val="301"/>
        </w:numPr>
        <w:tabs>
          <w:tab w:val="num" w:pos="567"/>
          <w:tab w:val="num" w:pos="2069"/>
        </w:tabs>
        <w:spacing w:before="120" w:after="120" w:line="240" w:lineRule="auto"/>
        <w:ind w:left="993" w:hanging="709"/>
        <w:jc w:val="both"/>
        <w:rPr>
          <w:rFonts w:ascii="Times New Roman" w:eastAsia="Times New Roman" w:hAnsi="Times New Roman" w:cs="Times New Roman"/>
          <w:b/>
          <w:bCs/>
        </w:rPr>
      </w:pPr>
      <w:r w:rsidRPr="00827C19">
        <w:rPr>
          <w:rFonts w:ascii="Times New Roman" w:eastAsia="Times New Roman" w:hAnsi="Times New Roman" w:cs="Times New Roman"/>
          <w:b/>
          <w:bCs/>
        </w:rPr>
        <w:t>Ajánlott irodalom:</w:t>
      </w:r>
    </w:p>
    <w:p w:rsidR="00827C19" w:rsidRPr="00B26B05" w:rsidRDefault="00827C19" w:rsidP="00980876">
      <w:pPr>
        <w:numPr>
          <w:ilvl w:val="0"/>
          <w:numId w:val="789"/>
        </w:numPr>
        <w:spacing w:after="0" w:line="240" w:lineRule="auto"/>
        <w:jc w:val="both"/>
        <w:rPr>
          <w:rFonts w:ascii="Times New Roman" w:hAnsi="Times New Roman" w:cs="Times New Roman"/>
          <w:highlight w:val="yellow"/>
        </w:rPr>
      </w:pPr>
      <w:r w:rsidRPr="00B26B05">
        <w:rPr>
          <w:rFonts w:ascii="Times New Roman" w:hAnsi="Times New Roman" w:cs="Times New Roman"/>
          <w:highlight w:val="yellow"/>
        </w:rPr>
        <w:t>NATO Movements Handbook (Procedures for Movements Across National Frontiers), Published by the NATO Standardization Agency, May 2017.</w:t>
      </w:r>
    </w:p>
    <w:p w:rsidR="00803D01" w:rsidRPr="00B26B05" w:rsidRDefault="00803D01" w:rsidP="00980876">
      <w:pPr>
        <w:pStyle w:val="Listaszerbekezds"/>
        <w:numPr>
          <w:ilvl w:val="0"/>
          <w:numId w:val="789"/>
        </w:numPr>
        <w:spacing w:after="0" w:line="240" w:lineRule="auto"/>
        <w:jc w:val="both"/>
        <w:rPr>
          <w:rFonts w:ascii="Times New Roman" w:hAnsi="Times New Roman" w:cs="Times New Roman"/>
          <w:highlight w:val="yellow"/>
        </w:rPr>
      </w:pPr>
      <w:r w:rsidRPr="00B26B05">
        <w:rPr>
          <w:rFonts w:ascii="Times New Roman" w:hAnsi="Times New Roman" w:cs="Times New Roman"/>
          <w:highlight w:val="yellow"/>
        </w:rPr>
        <w:t>AJP-4.4(A) Allied Joint Movement and Transportation Doctrine, Published by the NATO Standardization Agency, December 2005.</w:t>
      </w:r>
    </w:p>
    <w:p w:rsidR="00827C19" w:rsidRPr="00B26B05" w:rsidRDefault="00827C19" w:rsidP="00980876">
      <w:pPr>
        <w:numPr>
          <w:ilvl w:val="0"/>
          <w:numId w:val="789"/>
        </w:numPr>
        <w:spacing w:after="0" w:line="240" w:lineRule="auto"/>
        <w:jc w:val="both"/>
        <w:rPr>
          <w:rFonts w:ascii="Times New Roman" w:hAnsi="Times New Roman" w:cs="Times New Roman"/>
          <w:highlight w:val="yellow"/>
        </w:rPr>
      </w:pPr>
      <w:r w:rsidRPr="00B26B05">
        <w:rPr>
          <w:rFonts w:ascii="Times New Roman" w:hAnsi="Times New Roman" w:cs="Times New Roman"/>
          <w:highlight w:val="yellow"/>
        </w:rPr>
        <w:t>ATP-3.13.1 Reception, Staging and Onward Movement (RSOM) Procedures, Published by the NATO Standardization Agency, June 2014.</w:t>
      </w:r>
    </w:p>
    <w:p w:rsidR="00B26B05" w:rsidRPr="00B26B05" w:rsidRDefault="00B26B05" w:rsidP="00980876">
      <w:pPr>
        <w:pStyle w:val="Listaszerbekezds"/>
        <w:numPr>
          <w:ilvl w:val="0"/>
          <w:numId w:val="789"/>
        </w:numPr>
        <w:spacing w:after="0" w:line="240" w:lineRule="auto"/>
        <w:jc w:val="both"/>
        <w:rPr>
          <w:rFonts w:ascii="Times New Roman" w:hAnsi="Times New Roman" w:cs="Times New Roman"/>
          <w:highlight w:val="yellow"/>
        </w:rPr>
      </w:pPr>
      <w:r w:rsidRPr="00B26B05">
        <w:rPr>
          <w:rFonts w:ascii="Times New Roman" w:hAnsi="Times New Roman" w:cs="Times New Roman"/>
          <w:highlight w:val="yellow"/>
        </w:rPr>
        <w:t>AMovP-5 Multi Modal Transport Issues, Published by the NATO Standardization Agency, September 2005.</w:t>
      </w:r>
    </w:p>
    <w:p w:rsidR="00803D01" w:rsidRPr="00B26B05" w:rsidRDefault="00803D01" w:rsidP="00980876">
      <w:pPr>
        <w:numPr>
          <w:ilvl w:val="0"/>
          <w:numId w:val="789"/>
        </w:numPr>
        <w:spacing w:after="0" w:line="240" w:lineRule="auto"/>
        <w:jc w:val="both"/>
        <w:rPr>
          <w:rFonts w:ascii="Times New Roman" w:hAnsi="Times New Roman" w:cs="Times New Roman"/>
          <w:highlight w:val="yellow"/>
        </w:rPr>
      </w:pPr>
      <w:r w:rsidRPr="00B26B05">
        <w:rPr>
          <w:rFonts w:ascii="Times New Roman" w:hAnsi="Times New Roman" w:cs="Times New Roman"/>
          <w:highlight w:val="yellow"/>
        </w:rPr>
        <w:t>AMovP-6 Allied Multi-Modal Transportation of Dangerous Goods Directive, Published by the NATO Standardization Agency, Aug 2013.</w:t>
      </w:r>
    </w:p>
    <w:p w:rsidR="00827C19" w:rsidRPr="00827C19" w:rsidRDefault="00827C19" w:rsidP="00827C19">
      <w:pPr>
        <w:pStyle w:val="Listaszerbekezds"/>
        <w:widowControl w:val="0"/>
        <w:spacing w:after="0" w:line="240" w:lineRule="auto"/>
        <w:jc w:val="both"/>
        <w:rPr>
          <w:rFonts w:ascii="Times New Roman" w:eastAsia="Times New Roman" w:hAnsi="Times New Roman" w:cs="Times New Roman"/>
          <w:highlight w:val="lightGray"/>
        </w:rPr>
      </w:pPr>
    </w:p>
    <w:p w:rsidR="00827C19" w:rsidRPr="00827C19" w:rsidRDefault="00827C19" w:rsidP="00827C19">
      <w:pPr>
        <w:widowControl w:val="0"/>
        <w:spacing w:before="120" w:after="120" w:line="240" w:lineRule="auto"/>
        <w:jc w:val="both"/>
        <w:rPr>
          <w:rFonts w:ascii="Times New Roman" w:eastAsia="Times New Roman" w:hAnsi="Times New Roman" w:cs="Times New Roman"/>
          <w:bCs/>
        </w:rPr>
      </w:pPr>
      <w:r>
        <w:rPr>
          <w:rFonts w:ascii="Times New Roman" w:eastAsia="Times New Roman" w:hAnsi="Times New Roman" w:cs="Times New Roman"/>
          <w:bCs/>
        </w:rPr>
        <w:t>Bdapest, 2020. március    - n</w:t>
      </w:r>
    </w:p>
    <w:p w:rsidR="00827C19" w:rsidRPr="00827C19" w:rsidRDefault="00827C19" w:rsidP="00827C19">
      <w:pPr>
        <w:pStyle w:val="lfej"/>
        <w:tabs>
          <w:tab w:val="right" w:pos="900"/>
        </w:tabs>
        <w:spacing w:before="120"/>
        <w:jc w:val="both"/>
        <w:rPr>
          <w:rFonts w:ascii="Times New Roman" w:hAnsi="Times New Roman" w:cs="Times New Roman"/>
          <w:bCs/>
        </w:rPr>
      </w:pPr>
    </w:p>
    <w:p w:rsidR="00827C19" w:rsidRPr="00827C19" w:rsidRDefault="00827C19" w:rsidP="00827C19">
      <w:pPr>
        <w:pStyle w:val="lfej"/>
        <w:tabs>
          <w:tab w:val="right" w:pos="900"/>
        </w:tabs>
        <w:ind w:left="5245"/>
        <w:jc w:val="center"/>
        <w:rPr>
          <w:rFonts w:ascii="Times New Roman" w:hAnsi="Times New Roman" w:cs="Times New Roman"/>
          <w:b/>
          <w:bCs/>
        </w:rPr>
      </w:pPr>
      <w:r w:rsidRPr="00827C19">
        <w:rPr>
          <w:rFonts w:ascii="Times New Roman" w:hAnsi="Times New Roman" w:cs="Times New Roman"/>
          <w:b/>
          <w:bCs/>
        </w:rPr>
        <w:t>Dr. Szászi Gábor egyetemi docens, PhD</w:t>
      </w:r>
    </w:p>
    <w:p w:rsidR="00827C19" w:rsidRPr="00827C19" w:rsidRDefault="00827C19" w:rsidP="00827C19">
      <w:pPr>
        <w:ind w:left="5245"/>
        <w:jc w:val="center"/>
        <w:rPr>
          <w:rFonts w:ascii="Times New Roman" w:hAnsi="Times New Roman" w:cs="Times New Roman"/>
          <w:bCs/>
        </w:rPr>
      </w:pPr>
      <w:r w:rsidRPr="00827C19">
        <w:rPr>
          <w:rFonts w:ascii="Times New Roman" w:hAnsi="Times New Roman" w:cs="Times New Roman"/>
          <w:bCs/>
        </w:rPr>
        <w:t>tantárgyfelelős</w:t>
      </w:r>
    </w:p>
    <w:p w:rsidR="00827C19" w:rsidRDefault="00827C19">
      <w:pPr>
        <w:spacing w:after="200" w:line="276" w:lineRule="auto"/>
        <w:rPr>
          <w:rFonts w:ascii="Times New Roman" w:hAnsi="Times New Roman" w:cs="Times New Roman"/>
          <w:sz w:val="24"/>
        </w:rPr>
      </w:pPr>
    </w:p>
    <w:p w:rsidR="00D94E0A" w:rsidRDefault="00D94E0A">
      <w:r>
        <w:br w:type="page"/>
      </w:r>
    </w:p>
    <w:tbl>
      <w:tblPr>
        <w:tblW w:w="9072" w:type="dxa"/>
        <w:tblInd w:w="113" w:type="dxa"/>
        <w:tblLook w:val="01E0" w:firstRow="1" w:lastRow="1" w:firstColumn="1" w:lastColumn="1" w:noHBand="0" w:noVBand="0"/>
      </w:tblPr>
      <w:tblGrid>
        <w:gridCol w:w="4855"/>
        <w:gridCol w:w="1620"/>
        <w:gridCol w:w="2597"/>
      </w:tblGrid>
      <w:tr w:rsidR="0079040F" w:rsidRPr="0079040F" w:rsidTr="0079040F">
        <w:tc>
          <w:tcPr>
            <w:tcW w:w="4855" w:type="dxa"/>
            <w:tcBorders>
              <w:top w:val="nil"/>
              <w:left w:val="nil"/>
              <w:bottom w:val="single" w:sz="4" w:space="0" w:color="auto"/>
              <w:right w:val="nil"/>
            </w:tcBorders>
            <w:hideMark/>
          </w:tcPr>
          <w:p w:rsidR="0079040F" w:rsidRPr="0079040F" w:rsidRDefault="0079040F">
            <w:pPr>
              <w:spacing w:after="0" w:line="240" w:lineRule="auto"/>
              <w:jc w:val="center"/>
              <w:rPr>
                <w:rFonts w:ascii="Times New Roman" w:eastAsia="Times New Roman" w:hAnsi="Times New Roman" w:cs="Times New Roman"/>
                <w:b/>
                <w:smallCaps/>
                <w:lang w:eastAsia="hu-HU"/>
              </w:rPr>
            </w:pPr>
            <w:r w:rsidRPr="0079040F">
              <w:rPr>
                <w:rFonts w:ascii="Times New Roman" w:eastAsia="Times New Roman" w:hAnsi="Times New Roman" w:cs="Times New Roman"/>
                <w:b/>
                <w:smallCaps/>
                <w:lang w:eastAsia="hu-HU"/>
              </w:rPr>
              <w:lastRenderedPageBreak/>
              <w:t>Nemzeti Közszolgálati Egyetem</w:t>
            </w:r>
          </w:p>
        </w:tc>
        <w:tc>
          <w:tcPr>
            <w:tcW w:w="1620" w:type="dxa"/>
          </w:tcPr>
          <w:p w:rsidR="0079040F" w:rsidRPr="0079040F" w:rsidRDefault="0079040F">
            <w:pPr>
              <w:spacing w:after="0" w:line="240" w:lineRule="auto"/>
              <w:jc w:val="both"/>
              <w:rPr>
                <w:rFonts w:ascii="Times New Roman" w:eastAsia="Times New Roman" w:hAnsi="Times New Roman" w:cs="Times New Roman"/>
                <w:lang w:eastAsia="hu-HU"/>
              </w:rPr>
            </w:pPr>
          </w:p>
        </w:tc>
        <w:tc>
          <w:tcPr>
            <w:tcW w:w="2597" w:type="dxa"/>
          </w:tcPr>
          <w:p w:rsidR="0079040F" w:rsidRPr="0079040F" w:rsidRDefault="0079040F">
            <w:pPr>
              <w:spacing w:after="0" w:line="240" w:lineRule="auto"/>
              <w:jc w:val="right"/>
              <w:rPr>
                <w:rFonts w:ascii="Times New Roman" w:eastAsia="Times New Roman" w:hAnsi="Times New Roman" w:cs="Times New Roman"/>
                <w:lang w:eastAsia="hu-HU"/>
              </w:rPr>
            </w:pPr>
          </w:p>
        </w:tc>
      </w:tr>
      <w:tr w:rsidR="0079040F" w:rsidRPr="0079040F" w:rsidTr="0079040F">
        <w:tc>
          <w:tcPr>
            <w:tcW w:w="4855" w:type="dxa"/>
            <w:tcBorders>
              <w:top w:val="single" w:sz="4" w:space="0" w:color="auto"/>
              <w:left w:val="nil"/>
              <w:bottom w:val="nil"/>
              <w:right w:val="nil"/>
            </w:tcBorders>
            <w:hideMark/>
          </w:tcPr>
          <w:p w:rsidR="0079040F" w:rsidRPr="0079040F" w:rsidRDefault="0079040F">
            <w:pPr>
              <w:spacing w:after="0" w:line="240" w:lineRule="auto"/>
              <w:jc w:val="center"/>
              <w:rPr>
                <w:rFonts w:ascii="Times New Roman" w:eastAsia="Times New Roman" w:hAnsi="Times New Roman" w:cs="Times New Roman"/>
                <w:b/>
                <w:lang w:eastAsia="hu-HU"/>
              </w:rPr>
            </w:pPr>
            <w:r w:rsidRPr="0079040F">
              <w:rPr>
                <w:rFonts w:ascii="Times New Roman" w:eastAsia="Times New Roman" w:hAnsi="Times New Roman" w:cs="Times New Roman"/>
                <w:b/>
                <w:lang w:eastAsia="hu-HU"/>
              </w:rPr>
              <w:t>Hadtudományi és Honvédtisztképző Kar</w:t>
            </w:r>
          </w:p>
        </w:tc>
        <w:tc>
          <w:tcPr>
            <w:tcW w:w="1620" w:type="dxa"/>
          </w:tcPr>
          <w:p w:rsidR="0079040F" w:rsidRPr="0079040F" w:rsidRDefault="0079040F">
            <w:pPr>
              <w:spacing w:after="0" w:line="240" w:lineRule="auto"/>
              <w:jc w:val="both"/>
              <w:rPr>
                <w:rFonts w:ascii="Times New Roman" w:eastAsia="Times New Roman" w:hAnsi="Times New Roman" w:cs="Times New Roman"/>
                <w:lang w:eastAsia="hu-HU"/>
              </w:rPr>
            </w:pPr>
          </w:p>
        </w:tc>
        <w:tc>
          <w:tcPr>
            <w:tcW w:w="2597" w:type="dxa"/>
          </w:tcPr>
          <w:p w:rsidR="0079040F" w:rsidRPr="0079040F" w:rsidRDefault="0079040F">
            <w:pPr>
              <w:spacing w:after="0" w:line="240" w:lineRule="auto"/>
              <w:jc w:val="both"/>
              <w:rPr>
                <w:rFonts w:ascii="Times New Roman" w:eastAsia="Times New Roman" w:hAnsi="Times New Roman" w:cs="Times New Roman"/>
                <w:lang w:eastAsia="hu-HU"/>
              </w:rPr>
            </w:pPr>
          </w:p>
        </w:tc>
      </w:tr>
    </w:tbl>
    <w:p w:rsidR="0079040F" w:rsidRPr="0079040F" w:rsidRDefault="0079040F" w:rsidP="0079040F">
      <w:pPr>
        <w:widowControl w:val="0"/>
        <w:spacing w:before="120" w:after="120" w:line="240" w:lineRule="auto"/>
        <w:ind w:left="426" w:hanging="142"/>
        <w:jc w:val="center"/>
        <w:rPr>
          <w:rFonts w:ascii="Times New Roman" w:eastAsia="Times New Roman" w:hAnsi="Times New Roman" w:cs="Times New Roman"/>
          <w:b/>
          <w:bCs/>
        </w:rPr>
      </w:pPr>
    </w:p>
    <w:p w:rsidR="0079040F" w:rsidRPr="0079040F" w:rsidRDefault="0079040F" w:rsidP="0079040F">
      <w:pPr>
        <w:widowControl w:val="0"/>
        <w:spacing w:before="120" w:after="120" w:line="240" w:lineRule="auto"/>
        <w:ind w:left="426" w:hanging="142"/>
        <w:jc w:val="center"/>
        <w:rPr>
          <w:rFonts w:ascii="Times New Roman" w:eastAsia="Times New Roman" w:hAnsi="Times New Roman" w:cs="Times New Roman"/>
          <w:b/>
          <w:bCs/>
        </w:rPr>
      </w:pPr>
      <w:r w:rsidRPr="0079040F">
        <w:rPr>
          <w:rFonts w:ascii="Times New Roman" w:eastAsia="Times New Roman" w:hAnsi="Times New Roman" w:cs="Times New Roman"/>
          <w:b/>
          <w:bCs/>
        </w:rPr>
        <w:t>TANTÁRGYI PROGRAM</w:t>
      </w:r>
    </w:p>
    <w:p w:rsidR="0079040F" w:rsidRPr="0079040F" w:rsidRDefault="0079040F" w:rsidP="00980876">
      <w:pPr>
        <w:widowControl w:val="0"/>
        <w:numPr>
          <w:ilvl w:val="0"/>
          <w:numId w:val="302"/>
        </w:numPr>
        <w:tabs>
          <w:tab w:val="num" w:pos="567"/>
        </w:tabs>
        <w:spacing w:before="120" w:after="120" w:line="240" w:lineRule="auto"/>
        <w:ind w:left="426" w:hanging="142"/>
        <w:jc w:val="both"/>
        <w:rPr>
          <w:rFonts w:ascii="Times New Roman" w:eastAsia="Times New Roman" w:hAnsi="Times New Roman" w:cs="Times New Roman"/>
          <w:bCs/>
        </w:rPr>
      </w:pPr>
      <w:r w:rsidRPr="0079040F">
        <w:rPr>
          <w:rFonts w:ascii="Times New Roman" w:eastAsia="Times New Roman" w:hAnsi="Times New Roman" w:cs="Times New Roman"/>
          <w:b/>
          <w:bCs/>
        </w:rPr>
        <w:t xml:space="preserve">A tantárgy kódja: </w:t>
      </w:r>
      <w:r w:rsidRPr="0079040F">
        <w:rPr>
          <w:rFonts w:ascii="Times New Roman" w:hAnsi="Times New Roman" w:cs="Times New Roman"/>
        </w:rPr>
        <w:t>HKHPKA322</w:t>
      </w:r>
    </w:p>
    <w:p w:rsidR="0079040F" w:rsidRPr="0079040F" w:rsidRDefault="0079040F" w:rsidP="00980876">
      <w:pPr>
        <w:widowControl w:val="0"/>
        <w:numPr>
          <w:ilvl w:val="0"/>
          <w:numId w:val="302"/>
        </w:numPr>
        <w:tabs>
          <w:tab w:val="num" w:pos="567"/>
        </w:tabs>
        <w:spacing w:before="120" w:after="120" w:line="240" w:lineRule="auto"/>
        <w:ind w:left="426" w:hanging="142"/>
        <w:jc w:val="both"/>
        <w:rPr>
          <w:rFonts w:ascii="Times New Roman" w:eastAsia="Times New Roman" w:hAnsi="Times New Roman" w:cs="Times New Roman"/>
          <w:b/>
          <w:bCs/>
          <w:lang w:val="en-GB"/>
        </w:rPr>
      </w:pPr>
      <w:r w:rsidRPr="0079040F">
        <w:rPr>
          <w:rFonts w:ascii="Times New Roman" w:eastAsia="Times New Roman" w:hAnsi="Times New Roman" w:cs="Times New Roman"/>
          <w:b/>
          <w:bCs/>
        </w:rPr>
        <w:t>A tantárgy megnevezése (magyarul):</w:t>
      </w:r>
      <w:r w:rsidRPr="0079040F">
        <w:rPr>
          <w:rFonts w:ascii="Times New Roman" w:eastAsia="Times New Roman" w:hAnsi="Times New Roman" w:cs="Times New Roman"/>
          <w:bCs/>
        </w:rPr>
        <w:t xml:space="preserve"> </w:t>
      </w:r>
      <w:r w:rsidRPr="0079040F">
        <w:rPr>
          <w:rFonts w:ascii="Times New Roman" w:hAnsi="Times New Roman" w:cs="Times New Roman"/>
          <w:bCs/>
        </w:rPr>
        <w:t>Szállító alegységek vezetése II.</w:t>
      </w:r>
    </w:p>
    <w:p w:rsidR="0079040F" w:rsidRPr="0079040F" w:rsidRDefault="0079040F" w:rsidP="00980876">
      <w:pPr>
        <w:widowControl w:val="0"/>
        <w:numPr>
          <w:ilvl w:val="0"/>
          <w:numId w:val="302"/>
        </w:numPr>
        <w:tabs>
          <w:tab w:val="num" w:pos="567"/>
        </w:tabs>
        <w:spacing w:before="120" w:after="120" w:line="240" w:lineRule="auto"/>
        <w:ind w:left="426" w:hanging="142"/>
        <w:jc w:val="both"/>
        <w:rPr>
          <w:rFonts w:ascii="Times New Roman" w:eastAsia="Times New Roman" w:hAnsi="Times New Roman" w:cs="Times New Roman"/>
          <w:b/>
          <w:bCs/>
          <w:lang w:val="en-GB"/>
        </w:rPr>
      </w:pPr>
      <w:r w:rsidRPr="0079040F">
        <w:rPr>
          <w:rFonts w:ascii="Times New Roman" w:eastAsia="Times New Roman" w:hAnsi="Times New Roman" w:cs="Times New Roman"/>
          <w:b/>
          <w:bCs/>
        </w:rPr>
        <w:t xml:space="preserve">A tantárgy megnevezése (angolul): </w:t>
      </w:r>
      <w:r w:rsidRPr="0079040F">
        <w:rPr>
          <w:rFonts w:ascii="Times New Roman" w:hAnsi="Times New Roman" w:cs="Times New Roman"/>
          <w:bCs/>
        </w:rPr>
        <w:t>Leading of transportation sub-unit II.</w:t>
      </w:r>
    </w:p>
    <w:p w:rsidR="0079040F" w:rsidRPr="0079040F" w:rsidRDefault="0079040F" w:rsidP="00980876">
      <w:pPr>
        <w:widowControl w:val="0"/>
        <w:numPr>
          <w:ilvl w:val="0"/>
          <w:numId w:val="302"/>
        </w:numPr>
        <w:tabs>
          <w:tab w:val="num" w:pos="567"/>
        </w:tabs>
        <w:spacing w:before="120" w:after="120" w:line="240" w:lineRule="auto"/>
        <w:ind w:left="426" w:hanging="142"/>
        <w:jc w:val="both"/>
        <w:rPr>
          <w:rFonts w:ascii="Times New Roman" w:eastAsia="Times New Roman" w:hAnsi="Times New Roman" w:cs="Times New Roman"/>
          <w:b/>
          <w:bCs/>
        </w:rPr>
      </w:pPr>
      <w:r w:rsidRPr="0079040F">
        <w:rPr>
          <w:rFonts w:ascii="Times New Roman" w:eastAsia="Times New Roman" w:hAnsi="Times New Roman" w:cs="Times New Roman"/>
          <w:b/>
          <w:bCs/>
        </w:rPr>
        <w:t xml:space="preserve">Kreditérték és képzési karakter: </w:t>
      </w:r>
    </w:p>
    <w:p w:rsidR="0079040F" w:rsidRPr="0079040F" w:rsidRDefault="0079040F" w:rsidP="00980876">
      <w:pPr>
        <w:pStyle w:val="Listaszerbekezds"/>
        <w:widowControl w:val="0"/>
        <w:numPr>
          <w:ilvl w:val="1"/>
          <w:numId w:val="302"/>
        </w:numPr>
        <w:spacing w:before="120" w:after="120" w:line="240" w:lineRule="auto"/>
        <w:ind w:left="993" w:hanging="426"/>
        <w:jc w:val="both"/>
        <w:rPr>
          <w:rFonts w:ascii="Times New Roman" w:eastAsia="Times New Roman" w:hAnsi="Times New Roman" w:cs="Times New Roman"/>
          <w:b/>
          <w:bCs/>
        </w:rPr>
      </w:pPr>
      <w:r w:rsidRPr="0079040F">
        <w:rPr>
          <w:rFonts w:ascii="Times New Roman" w:eastAsia="Times New Roman" w:hAnsi="Times New Roman" w:cs="Times New Roman"/>
          <w:bCs/>
        </w:rPr>
        <w:t>4 kredit</w:t>
      </w:r>
    </w:p>
    <w:p w:rsidR="0079040F" w:rsidRPr="0079040F" w:rsidRDefault="0079040F" w:rsidP="00980876">
      <w:pPr>
        <w:pStyle w:val="Listaszerbekezds"/>
        <w:widowControl w:val="0"/>
        <w:numPr>
          <w:ilvl w:val="1"/>
          <w:numId w:val="302"/>
        </w:numPr>
        <w:spacing w:before="120" w:after="120" w:line="240" w:lineRule="auto"/>
        <w:ind w:left="993" w:hanging="426"/>
        <w:jc w:val="both"/>
        <w:rPr>
          <w:rFonts w:ascii="Times New Roman" w:eastAsia="Times New Roman" w:hAnsi="Times New Roman" w:cs="Times New Roman"/>
          <w:b/>
          <w:bCs/>
        </w:rPr>
      </w:pPr>
      <w:r w:rsidRPr="0079040F">
        <w:rPr>
          <w:rFonts w:ascii="Times New Roman" w:eastAsia="Times New Roman" w:hAnsi="Times New Roman" w:cs="Times New Roman"/>
          <w:bCs/>
        </w:rPr>
        <w:t>a tantárgy elméleti vagy gyakorlati jellegének mértéke: 33</w:t>
      </w:r>
      <w:r w:rsidRPr="0079040F">
        <w:rPr>
          <w:rFonts w:ascii="Times New Roman" w:eastAsia="Times New Roman" w:hAnsi="Times New Roman" w:cs="Times New Roman"/>
          <w:b/>
          <w:bCs/>
        </w:rPr>
        <w:t xml:space="preserve"> </w:t>
      </w:r>
      <w:r w:rsidRPr="0079040F">
        <w:rPr>
          <w:rFonts w:ascii="Times New Roman" w:eastAsia="Times New Roman" w:hAnsi="Times New Roman" w:cs="Times New Roman"/>
          <w:bCs/>
        </w:rPr>
        <w:t>% gyakorlat, 67 % elmélet</w:t>
      </w:r>
    </w:p>
    <w:p w:rsidR="0079040F" w:rsidRPr="0079040F" w:rsidRDefault="0079040F" w:rsidP="00980876">
      <w:pPr>
        <w:widowControl w:val="0"/>
        <w:numPr>
          <w:ilvl w:val="0"/>
          <w:numId w:val="302"/>
        </w:numPr>
        <w:spacing w:before="120" w:after="120" w:line="240" w:lineRule="auto"/>
        <w:ind w:left="426" w:hanging="142"/>
        <w:jc w:val="both"/>
        <w:rPr>
          <w:rFonts w:ascii="Times New Roman" w:eastAsia="Times New Roman" w:hAnsi="Times New Roman" w:cs="Times New Roman"/>
          <w:bCs/>
        </w:rPr>
      </w:pPr>
      <w:r w:rsidRPr="0079040F">
        <w:rPr>
          <w:rFonts w:ascii="Times New Roman" w:eastAsia="Times New Roman" w:hAnsi="Times New Roman" w:cs="Times New Roman"/>
          <w:b/>
          <w:bCs/>
        </w:rPr>
        <w:t>A szak(ok), szakirányok/specializációk megnevezése (ahol oktatják):</w:t>
      </w:r>
      <w:r w:rsidRPr="0079040F">
        <w:rPr>
          <w:rFonts w:ascii="Times New Roman" w:eastAsia="Times New Roman" w:hAnsi="Times New Roman" w:cs="Times New Roman"/>
          <w:bCs/>
        </w:rPr>
        <w:t xml:space="preserve"> Katonai logisztika alapképzési szak, Katonai közlekedési specializáció</w:t>
      </w:r>
    </w:p>
    <w:p w:rsidR="0079040F" w:rsidRPr="0079040F" w:rsidRDefault="0079040F" w:rsidP="00980876">
      <w:pPr>
        <w:widowControl w:val="0"/>
        <w:numPr>
          <w:ilvl w:val="0"/>
          <w:numId w:val="302"/>
        </w:numPr>
        <w:tabs>
          <w:tab w:val="num" w:pos="567"/>
        </w:tabs>
        <w:spacing w:before="120" w:after="120" w:line="240" w:lineRule="auto"/>
        <w:ind w:left="426" w:hanging="142"/>
        <w:jc w:val="both"/>
        <w:rPr>
          <w:rFonts w:ascii="Times New Roman" w:eastAsia="Times New Roman" w:hAnsi="Times New Roman" w:cs="Times New Roman"/>
          <w:bCs/>
        </w:rPr>
      </w:pPr>
      <w:r w:rsidRPr="0079040F">
        <w:rPr>
          <w:rFonts w:ascii="Times New Roman" w:eastAsia="Times New Roman" w:hAnsi="Times New Roman" w:cs="Times New Roman"/>
          <w:b/>
          <w:bCs/>
        </w:rPr>
        <w:t xml:space="preserve">Az oktatásért felelős oktatási szervezeti egység megnevezése: </w:t>
      </w:r>
      <w:r w:rsidRPr="0079040F">
        <w:rPr>
          <w:rFonts w:ascii="Times New Roman" w:eastAsia="Times New Roman" w:hAnsi="Times New Roman" w:cs="Times New Roman"/>
          <w:bCs/>
        </w:rPr>
        <w:t>NKE HHK, Hadtáp, Pénzügyi és Katonai Közlekedési Tanszék</w:t>
      </w:r>
    </w:p>
    <w:p w:rsidR="0079040F" w:rsidRPr="0079040F" w:rsidRDefault="0079040F" w:rsidP="00980876">
      <w:pPr>
        <w:widowControl w:val="0"/>
        <w:numPr>
          <w:ilvl w:val="0"/>
          <w:numId w:val="302"/>
        </w:numPr>
        <w:tabs>
          <w:tab w:val="num" w:pos="567"/>
        </w:tabs>
        <w:spacing w:before="120" w:after="120" w:line="240" w:lineRule="auto"/>
        <w:ind w:left="426" w:hanging="142"/>
        <w:jc w:val="both"/>
        <w:rPr>
          <w:rFonts w:ascii="Times New Roman" w:eastAsia="Times New Roman" w:hAnsi="Times New Roman" w:cs="Times New Roman"/>
          <w:bCs/>
        </w:rPr>
      </w:pPr>
      <w:r w:rsidRPr="0079040F">
        <w:rPr>
          <w:rFonts w:ascii="Times New Roman" w:eastAsia="Times New Roman" w:hAnsi="Times New Roman" w:cs="Times New Roman"/>
          <w:b/>
          <w:bCs/>
        </w:rPr>
        <w:t>A tantárgyfelelős oktató neve, beosztása, tudományos fokozata:</w:t>
      </w:r>
      <w:r w:rsidRPr="0079040F">
        <w:rPr>
          <w:rFonts w:ascii="Times New Roman" w:eastAsia="Times New Roman" w:hAnsi="Times New Roman" w:cs="Times New Roman"/>
          <w:bCs/>
        </w:rPr>
        <w:t xml:space="preserve"> </w:t>
      </w:r>
      <w:r w:rsidRPr="0079040F">
        <w:rPr>
          <w:rFonts w:ascii="Times New Roman" w:hAnsi="Times New Roman" w:cs="Times New Roman"/>
          <w:lang w:eastAsia="x-none"/>
        </w:rPr>
        <w:t>Dr. Szászi Gábor egyetemi docens, PhD</w:t>
      </w:r>
      <w:r w:rsidRPr="0079040F">
        <w:rPr>
          <w:rFonts w:ascii="Times New Roman" w:eastAsia="Times New Roman" w:hAnsi="Times New Roman" w:cs="Times New Roman"/>
          <w:bCs/>
        </w:rPr>
        <w:t xml:space="preserve"> </w:t>
      </w:r>
    </w:p>
    <w:p w:rsidR="0079040F" w:rsidRPr="0079040F" w:rsidRDefault="0079040F" w:rsidP="00980876">
      <w:pPr>
        <w:widowControl w:val="0"/>
        <w:numPr>
          <w:ilvl w:val="0"/>
          <w:numId w:val="302"/>
        </w:numPr>
        <w:tabs>
          <w:tab w:val="num" w:pos="567"/>
        </w:tabs>
        <w:spacing w:before="120" w:after="120" w:line="240" w:lineRule="auto"/>
        <w:ind w:left="426" w:hanging="142"/>
        <w:jc w:val="both"/>
        <w:rPr>
          <w:rFonts w:ascii="Times New Roman" w:eastAsia="Times New Roman" w:hAnsi="Times New Roman" w:cs="Times New Roman"/>
          <w:bCs/>
        </w:rPr>
      </w:pPr>
      <w:r w:rsidRPr="0079040F">
        <w:rPr>
          <w:rFonts w:ascii="Times New Roman" w:eastAsia="Times New Roman" w:hAnsi="Times New Roman" w:cs="Times New Roman"/>
          <w:b/>
          <w:bCs/>
        </w:rPr>
        <w:t>A tanórák száma és típusa</w:t>
      </w:r>
    </w:p>
    <w:p w:rsidR="0079040F" w:rsidRPr="0079040F" w:rsidRDefault="0079040F" w:rsidP="00980876">
      <w:pPr>
        <w:widowControl w:val="0"/>
        <w:numPr>
          <w:ilvl w:val="1"/>
          <w:numId w:val="302"/>
        </w:numPr>
        <w:tabs>
          <w:tab w:val="num" w:pos="709"/>
          <w:tab w:val="num" w:pos="2069"/>
        </w:tabs>
        <w:spacing w:before="120" w:after="120" w:line="240" w:lineRule="auto"/>
        <w:ind w:left="851" w:hanging="425"/>
        <w:jc w:val="both"/>
        <w:rPr>
          <w:rFonts w:ascii="Times New Roman" w:eastAsia="Times New Roman" w:hAnsi="Times New Roman" w:cs="Times New Roman"/>
          <w:bCs/>
        </w:rPr>
      </w:pPr>
      <w:r w:rsidRPr="0079040F">
        <w:rPr>
          <w:rFonts w:ascii="Times New Roman" w:eastAsia="Times New Roman" w:hAnsi="Times New Roman" w:cs="Times New Roman"/>
          <w:bCs/>
        </w:rPr>
        <w:t>össz óraszám/félév: 42</w:t>
      </w:r>
    </w:p>
    <w:p w:rsidR="0079040F" w:rsidRPr="0079040F" w:rsidRDefault="0079040F" w:rsidP="00980876">
      <w:pPr>
        <w:widowControl w:val="0"/>
        <w:numPr>
          <w:ilvl w:val="2"/>
          <w:numId w:val="302"/>
        </w:numPr>
        <w:tabs>
          <w:tab w:val="num" w:pos="709"/>
          <w:tab w:val="num" w:pos="1134"/>
        </w:tabs>
        <w:spacing w:before="120" w:after="120" w:line="240" w:lineRule="auto"/>
        <w:ind w:left="1134" w:hanging="425"/>
        <w:jc w:val="both"/>
        <w:rPr>
          <w:rFonts w:ascii="Times New Roman" w:eastAsia="Times New Roman" w:hAnsi="Times New Roman" w:cs="Times New Roman"/>
          <w:bCs/>
        </w:rPr>
      </w:pPr>
      <w:r w:rsidRPr="0079040F">
        <w:rPr>
          <w:rFonts w:ascii="Times New Roman" w:eastAsia="Times New Roman" w:hAnsi="Times New Roman" w:cs="Times New Roman"/>
          <w:bCs/>
        </w:rPr>
        <w:t>nappali munkarend: 42 (28 EA + 0 SZ + 14 GY)</w:t>
      </w:r>
    </w:p>
    <w:p w:rsidR="0079040F" w:rsidRPr="0079040F" w:rsidRDefault="0079040F" w:rsidP="00980876">
      <w:pPr>
        <w:widowControl w:val="0"/>
        <w:numPr>
          <w:ilvl w:val="2"/>
          <w:numId w:val="302"/>
        </w:numPr>
        <w:tabs>
          <w:tab w:val="num" w:pos="709"/>
          <w:tab w:val="num" w:pos="1134"/>
        </w:tabs>
        <w:spacing w:before="120" w:after="120" w:line="240" w:lineRule="auto"/>
        <w:ind w:left="1134" w:hanging="425"/>
        <w:jc w:val="both"/>
        <w:rPr>
          <w:rFonts w:ascii="Times New Roman" w:eastAsia="Times New Roman" w:hAnsi="Times New Roman" w:cs="Times New Roman"/>
          <w:bCs/>
        </w:rPr>
      </w:pPr>
      <w:r w:rsidRPr="0079040F">
        <w:rPr>
          <w:rFonts w:ascii="Times New Roman" w:eastAsia="Times New Roman" w:hAnsi="Times New Roman" w:cs="Times New Roman"/>
          <w:bCs/>
        </w:rPr>
        <w:t>levelező munkarend: 0 (0 EA + 0 SZ + 0 GY)</w:t>
      </w:r>
    </w:p>
    <w:p w:rsidR="0079040F" w:rsidRPr="0079040F" w:rsidRDefault="0079040F" w:rsidP="00980876">
      <w:pPr>
        <w:widowControl w:val="0"/>
        <w:numPr>
          <w:ilvl w:val="1"/>
          <w:numId w:val="302"/>
        </w:numPr>
        <w:tabs>
          <w:tab w:val="num" w:pos="709"/>
          <w:tab w:val="num" w:pos="2069"/>
        </w:tabs>
        <w:spacing w:before="120" w:after="120" w:line="240" w:lineRule="auto"/>
        <w:ind w:left="851" w:hanging="425"/>
        <w:jc w:val="both"/>
        <w:rPr>
          <w:rFonts w:ascii="Times New Roman" w:eastAsia="Times New Roman" w:hAnsi="Times New Roman" w:cs="Times New Roman"/>
          <w:bCs/>
        </w:rPr>
      </w:pPr>
      <w:r w:rsidRPr="0079040F">
        <w:rPr>
          <w:rFonts w:ascii="Times New Roman" w:eastAsia="Times New Roman" w:hAnsi="Times New Roman" w:cs="Times New Roman"/>
          <w:bCs/>
        </w:rPr>
        <w:t>heti óraszám - nappali munkarend: 3</w:t>
      </w:r>
    </w:p>
    <w:p w:rsidR="0079040F" w:rsidRPr="0079040F" w:rsidRDefault="0079040F" w:rsidP="00980876">
      <w:pPr>
        <w:widowControl w:val="0"/>
        <w:numPr>
          <w:ilvl w:val="1"/>
          <w:numId w:val="302"/>
        </w:numPr>
        <w:tabs>
          <w:tab w:val="num" w:pos="709"/>
          <w:tab w:val="num" w:pos="2069"/>
        </w:tabs>
        <w:spacing w:before="120" w:after="120" w:line="240" w:lineRule="auto"/>
        <w:ind w:left="851" w:hanging="425"/>
        <w:jc w:val="both"/>
        <w:rPr>
          <w:rFonts w:ascii="Times New Roman" w:eastAsia="Times New Roman" w:hAnsi="Times New Roman" w:cs="Times New Roman"/>
          <w:bCs/>
        </w:rPr>
      </w:pPr>
      <w:r w:rsidRPr="0079040F">
        <w:rPr>
          <w:rFonts w:ascii="Times New Roman" w:hAnsi="Times New Roman" w:cs="Times New Roman"/>
        </w:rPr>
        <w:t>Az ismeret átadásában alkalmazandó további sajátos módok, jellemzők: -</w:t>
      </w:r>
    </w:p>
    <w:p w:rsidR="0079040F" w:rsidRPr="0079040F" w:rsidRDefault="0079040F" w:rsidP="00980876">
      <w:pPr>
        <w:pStyle w:val="lfej"/>
        <w:numPr>
          <w:ilvl w:val="0"/>
          <w:numId w:val="302"/>
        </w:numPr>
        <w:tabs>
          <w:tab w:val="clear" w:pos="720"/>
          <w:tab w:val="clear" w:pos="4536"/>
          <w:tab w:val="center" w:pos="4819"/>
        </w:tabs>
        <w:spacing w:before="120"/>
        <w:ind w:left="567" w:hanging="283"/>
        <w:jc w:val="both"/>
        <w:rPr>
          <w:rFonts w:ascii="Times New Roman" w:eastAsia="Times New Roman" w:hAnsi="Times New Roman" w:cs="Times New Roman"/>
          <w:bCs/>
        </w:rPr>
      </w:pPr>
      <w:r w:rsidRPr="0079040F">
        <w:rPr>
          <w:rFonts w:ascii="Times New Roman" w:eastAsia="Times New Roman" w:hAnsi="Times New Roman" w:cs="Times New Roman"/>
          <w:b/>
          <w:bCs/>
        </w:rPr>
        <w:t xml:space="preserve">A tantárgy szakmai tartalma (magyarul): </w:t>
      </w:r>
      <w:r w:rsidRPr="0079040F">
        <w:rPr>
          <w:rFonts w:ascii="Times New Roman" w:hAnsi="Times New Roman" w:cs="Times New Roman"/>
        </w:rPr>
        <w:t>Magyar Honvédség kiképzési rendszere. A katonai kiképzés módszerei. A közlekedési szolgálat katonáinak kiképzési rendje. A kiképzés tervezésének, szervezésének feladatai. Közlekedési szakkiképzés tervezése, szervezése és végrehajtása. A kiképzés értékelése. A foglalkozások levezetésének rendje.</w:t>
      </w:r>
    </w:p>
    <w:p w:rsidR="0079040F" w:rsidRPr="0079040F" w:rsidRDefault="0079040F" w:rsidP="0079040F">
      <w:pPr>
        <w:pStyle w:val="lfej"/>
        <w:tabs>
          <w:tab w:val="clear" w:pos="4536"/>
          <w:tab w:val="center" w:pos="4819"/>
        </w:tabs>
        <w:spacing w:before="120"/>
        <w:ind w:left="567"/>
        <w:jc w:val="both"/>
        <w:rPr>
          <w:rFonts w:ascii="Times New Roman" w:eastAsia="Times New Roman" w:hAnsi="Times New Roman" w:cs="Times New Roman"/>
          <w:bCs/>
          <w:lang w:val="en-GB"/>
        </w:rPr>
      </w:pPr>
      <w:r w:rsidRPr="0079040F">
        <w:rPr>
          <w:rFonts w:ascii="Times New Roman" w:eastAsia="Times New Roman" w:hAnsi="Times New Roman" w:cs="Times New Roman"/>
          <w:b/>
          <w:bCs/>
        </w:rPr>
        <w:t>A tantárgy szakmai tartalma (angolul) (</w:t>
      </w:r>
      <w:r w:rsidRPr="0079040F">
        <w:rPr>
          <w:rFonts w:ascii="Times New Roman" w:eastAsia="Times New Roman" w:hAnsi="Times New Roman" w:cs="Times New Roman"/>
          <w:b/>
          <w:bCs/>
          <w:lang w:val="en-US"/>
        </w:rPr>
        <w:t>Course description</w:t>
      </w:r>
      <w:r w:rsidRPr="0079040F">
        <w:rPr>
          <w:rFonts w:ascii="Times New Roman" w:eastAsia="Times New Roman" w:hAnsi="Times New Roman" w:cs="Times New Roman"/>
          <w:b/>
          <w:bCs/>
        </w:rPr>
        <w:t xml:space="preserve">): </w:t>
      </w:r>
      <w:r w:rsidRPr="0079040F">
        <w:rPr>
          <w:rFonts w:ascii="Times New Roman" w:hAnsi="Times New Roman" w:cs="Times New Roman"/>
          <w:bCs/>
        </w:rPr>
        <w:t>The training system of the Hungarian Defence Forces. The methods of officer training. The order of transportation service specialist training. The duties concerning the organization and planning of training. Planning, organizing and implementing transportation specialist training. The evaluation of the training. The execution of the activities.</w:t>
      </w:r>
    </w:p>
    <w:p w:rsidR="0079040F" w:rsidRPr="0079040F" w:rsidRDefault="0079040F" w:rsidP="00980876">
      <w:pPr>
        <w:pStyle w:val="Listaszerbekezds"/>
        <w:widowControl w:val="0"/>
        <w:numPr>
          <w:ilvl w:val="0"/>
          <w:numId w:val="302"/>
        </w:numPr>
        <w:spacing w:before="120" w:after="120" w:line="240" w:lineRule="auto"/>
        <w:jc w:val="both"/>
        <w:rPr>
          <w:rFonts w:ascii="Times New Roman" w:eastAsia="Times New Roman" w:hAnsi="Times New Roman" w:cs="Times New Roman"/>
          <w:bCs/>
        </w:rPr>
      </w:pPr>
      <w:r w:rsidRPr="0079040F">
        <w:rPr>
          <w:rFonts w:ascii="Times New Roman" w:eastAsia="Times New Roman" w:hAnsi="Times New Roman" w:cs="Times New Roman"/>
          <w:b/>
          <w:bCs/>
        </w:rPr>
        <w:t xml:space="preserve">Elérendő kompetenciák (magyarul): </w:t>
      </w:r>
    </w:p>
    <w:p w:rsidR="0079040F" w:rsidRPr="0079040F" w:rsidRDefault="0079040F" w:rsidP="0079040F">
      <w:pPr>
        <w:autoSpaceDE w:val="0"/>
        <w:autoSpaceDN w:val="0"/>
        <w:adjustRightInd w:val="0"/>
        <w:spacing w:before="120" w:after="0" w:line="240" w:lineRule="auto"/>
        <w:ind w:left="425"/>
        <w:jc w:val="both"/>
        <w:rPr>
          <w:rFonts w:ascii="Times New Roman" w:eastAsia="Times New Roman" w:hAnsi="Times New Roman" w:cs="Times New Roman"/>
          <w:b/>
          <w:bCs/>
        </w:rPr>
      </w:pPr>
      <w:r w:rsidRPr="0079040F">
        <w:rPr>
          <w:rFonts w:ascii="Times New Roman" w:eastAsia="Times New Roman" w:hAnsi="Times New Roman" w:cs="Times New Roman"/>
          <w:b/>
          <w:bCs/>
        </w:rPr>
        <w:t xml:space="preserve">Tudása: </w:t>
      </w:r>
    </w:p>
    <w:p w:rsidR="0079040F" w:rsidRPr="0079040F" w:rsidRDefault="0079040F"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79040F">
        <w:rPr>
          <w:rFonts w:ascii="Times New Roman" w:hAnsi="Times New Roman" w:cs="Times New Roman"/>
        </w:rPr>
        <w:t>Ismeri a katonai közlekedési szakterület szaktechnikai eszközeit, a közlekedési pályákat és létesítményeiket, azok igénybevételének és üzemeltetésének szabályait.</w:t>
      </w:r>
    </w:p>
    <w:p w:rsidR="0079040F" w:rsidRPr="0079040F" w:rsidRDefault="0079040F"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79040F">
        <w:rPr>
          <w:rFonts w:ascii="Times New Roman" w:hAnsi="Times New Roman" w:cs="Times New Roman"/>
        </w:rPr>
        <w:t>Ismeri a katonai közlekedési szakanyagok készletezésének, tárolásának, nyilvántartásának és leltározásának, valamint ezen folyamatok ellenőrzésének feladatait és kötelezettségeit.</w:t>
      </w:r>
    </w:p>
    <w:p w:rsidR="0079040F" w:rsidRPr="0079040F" w:rsidRDefault="0079040F"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79040F">
        <w:rPr>
          <w:rFonts w:ascii="Times New Roman" w:hAnsi="Times New Roman" w:cs="Times New Roman"/>
        </w:rPr>
        <w:t>Mélyrehatóan ismeri a katonai közlekedési szakterület szakmai feladatait, a közlekedési szakfeladatok rendszerét, az egyes feladatok végrehajtásának sajátosságait.</w:t>
      </w:r>
    </w:p>
    <w:p w:rsidR="0079040F" w:rsidRPr="0079040F" w:rsidRDefault="0079040F"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79040F">
        <w:rPr>
          <w:rFonts w:ascii="Times New Roman" w:hAnsi="Times New Roman" w:cs="Times New Roman"/>
        </w:rPr>
        <w:t>Ismeri a katonai közlekedési igények felmérésének módszereit és megvalósítási lehetőségeit, gyakorlatát.</w:t>
      </w:r>
    </w:p>
    <w:p w:rsidR="0079040F" w:rsidRPr="0079040F" w:rsidRDefault="0079040F" w:rsidP="0079040F">
      <w:pPr>
        <w:autoSpaceDE w:val="0"/>
        <w:autoSpaceDN w:val="0"/>
        <w:adjustRightInd w:val="0"/>
        <w:spacing w:before="120" w:after="0" w:line="240" w:lineRule="auto"/>
        <w:ind w:left="425"/>
        <w:jc w:val="both"/>
        <w:rPr>
          <w:rFonts w:ascii="Times New Roman" w:eastAsia="Times New Roman" w:hAnsi="Times New Roman" w:cs="Times New Roman"/>
          <w:bCs/>
        </w:rPr>
      </w:pPr>
      <w:r w:rsidRPr="0079040F">
        <w:rPr>
          <w:rFonts w:ascii="Times New Roman" w:eastAsia="Times New Roman" w:hAnsi="Times New Roman" w:cs="Times New Roman"/>
          <w:b/>
          <w:bCs/>
        </w:rPr>
        <w:t>Képességei:</w:t>
      </w:r>
      <w:r w:rsidRPr="0079040F">
        <w:rPr>
          <w:rFonts w:ascii="Times New Roman" w:eastAsia="Times New Roman" w:hAnsi="Times New Roman" w:cs="Times New Roman"/>
          <w:bCs/>
        </w:rPr>
        <w:t xml:space="preserve"> </w:t>
      </w:r>
    </w:p>
    <w:p w:rsidR="0079040F" w:rsidRPr="0079040F" w:rsidRDefault="0079040F"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79040F">
        <w:rPr>
          <w:rFonts w:ascii="Times New Roman" w:hAnsi="Times New Roman" w:cs="Times New Roman"/>
        </w:rPr>
        <w:t>Az általános és specifikus katonai ismeretei és készségei birtokában képes a katonai közlekedési, mozgatási, szállítási feladatok tervezésére, szervezésére és vezetésére.</w:t>
      </w:r>
    </w:p>
    <w:p w:rsidR="0079040F" w:rsidRPr="0079040F" w:rsidRDefault="0079040F"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79040F">
        <w:rPr>
          <w:rFonts w:ascii="Times New Roman" w:hAnsi="Times New Roman" w:cs="Times New Roman"/>
        </w:rPr>
        <w:lastRenderedPageBreak/>
        <w:t>Képes békeidőszakban, válságkezelő, katasztrófa-elhárítási, béketámogató és háborús műveletekben, nemzeti és többnemzeti környezetben a szállító szakalegységek alaprendeltetéséből fakadó feladatai végrehajtásának vezetésére.</w:t>
      </w:r>
    </w:p>
    <w:p w:rsidR="0079040F" w:rsidRPr="0079040F" w:rsidRDefault="0079040F" w:rsidP="0079040F">
      <w:pPr>
        <w:autoSpaceDE w:val="0"/>
        <w:autoSpaceDN w:val="0"/>
        <w:adjustRightInd w:val="0"/>
        <w:spacing w:before="120" w:after="0" w:line="240" w:lineRule="auto"/>
        <w:ind w:left="425"/>
        <w:jc w:val="both"/>
        <w:rPr>
          <w:rFonts w:ascii="Times New Roman" w:eastAsia="Times New Roman" w:hAnsi="Times New Roman" w:cs="Times New Roman"/>
          <w:b/>
          <w:bCs/>
        </w:rPr>
      </w:pPr>
      <w:r w:rsidRPr="0079040F">
        <w:rPr>
          <w:rFonts w:ascii="Times New Roman" w:eastAsia="Times New Roman" w:hAnsi="Times New Roman" w:cs="Times New Roman"/>
          <w:b/>
          <w:bCs/>
        </w:rPr>
        <w:t xml:space="preserve">Attitűdje: </w:t>
      </w:r>
    </w:p>
    <w:p w:rsidR="0079040F" w:rsidRPr="0079040F" w:rsidRDefault="0079040F"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79040F">
        <w:rPr>
          <w:rFonts w:ascii="Times New Roman" w:hAnsi="Times New Roman" w:cs="Times New Roman"/>
        </w:rPr>
        <w:t>Nyitott a katonai közlekedési szakterületen zajló szakmai, technológiai fejlesztés és innováció megismerésére és elfogadására, hiteles közvetítésére és azok mindennapi munkájába való beillesztésére.</w:t>
      </w:r>
    </w:p>
    <w:p w:rsidR="0079040F" w:rsidRPr="0079040F" w:rsidRDefault="0079040F"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79040F">
        <w:rPr>
          <w:rFonts w:ascii="Times New Roman" w:hAnsi="Times New Roman" w:cs="Times New Roman"/>
        </w:rPr>
        <w:t>Törekszik arra, hogy önképzése a katonai közlekedési szakterületen folyamatos és szakmai céljaival megegyező legyen.</w:t>
      </w:r>
    </w:p>
    <w:p w:rsidR="0079040F" w:rsidRPr="0079040F" w:rsidRDefault="0079040F"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79040F">
        <w:rPr>
          <w:rFonts w:ascii="Times New Roman" w:hAnsi="Times New Roman" w:cs="Times New Roman"/>
        </w:rPr>
        <w:t>Elkötelezett a minőségi szakmai munkavégzés iránt, különös tekintettel a közlekedési, szállítási feladatok és folyamatok biztonságos végrehajtására.</w:t>
      </w:r>
    </w:p>
    <w:p w:rsidR="0079040F" w:rsidRPr="0079040F" w:rsidRDefault="0079040F"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79040F">
        <w:rPr>
          <w:rFonts w:ascii="Times New Roman" w:hAnsi="Times New Roman" w:cs="Times New Roman"/>
        </w:rPr>
        <w:t>Figyel beosztottjai szakmai fejlődésének előmozdítására, ilyen irányú törekvéseik kezelésére és segítésére.</w:t>
      </w:r>
    </w:p>
    <w:p w:rsidR="0079040F" w:rsidRPr="0079040F" w:rsidRDefault="0079040F"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79040F">
        <w:rPr>
          <w:rFonts w:ascii="Times New Roman" w:hAnsi="Times New Roman" w:cs="Times New Roman"/>
        </w:rPr>
        <w:t>Megosztja tapasztalatait munkatársaival, így segítve fejlődésüket.</w:t>
      </w:r>
    </w:p>
    <w:p w:rsidR="0079040F" w:rsidRPr="0079040F" w:rsidRDefault="0079040F" w:rsidP="0079040F">
      <w:pPr>
        <w:autoSpaceDE w:val="0"/>
        <w:autoSpaceDN w:val="0"/>
        <w:adjustRightInd w:val="0"/>
        <w:spacing w:before="120" w:after="0" w:line="240" w:lineRule="auto"/>
        <w:ind w:left="425"/>
        <w:jc w:val="both"/>
        <w:rPr>
          <w:rFonts w:ascii="Times New Roman" w:eastAsia="Times New Roman" w:hAnsi="Times New Roman" w:cs="Times New Roman"/>
          <w:b/>
          <w:bCs/>
        </w:rPr>
      </w:pPr>
      <w:r w:rsidRPr="0079040F">
        <w:rPr>
          <w:rFonts w:ascii="Times New Roman" w:eastAsia="Times New Roman" w:hAnsi="Times New Roman" w:cs="Times New Roman"/>
          <w:b/>
          <w:bCs/>
        </w:rPr>
        <w:t xml:space="preserve">Autonómiája és felelőssége: </w:t>
      </w:r>
    </w:p>
    <w:p w:rsidR="0079040F" w:rsidRPr="0079040F" w:rsidRDefault="0079040F"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79040F">
        <w:rPr>
          <w:rFonts w:ascii="Times New Roman" w:hAnsi="Times New Roman" w:cs="Times New Roman"/>
        </w:rPr>
        <w:t>A katonai közlekedés szakterületén megjelenő folyamatokban képes önállóan döntéseket hozni, azokat felelősséggel, a jogszabályi keretek figyelembevételével végrehajtani.</w:t>
      </w:r>
    </w:p>
    <w:p w:rsidR="0079040F" w:rsidRPr="0079040F" w:rsidRDefault="0079040F"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79040F">
        <w:rPr>
          <w:rFonts w:ascii="Times New Roman" w:hAnsi="Times New Roman" w:cs="Times New Roman"/>
        </w:rPr>
        <w:t>Tisztában van döntéseinek, tevékenységének a katonai logisztikai folyamatok egészére gyakorolt hatásaival, következményeivel.</w:t>
      </w:r>
    </w:p>
    <w:p w:rsidR="0079040F" w:rsidRPr="0079040F" w:rsidRDefault="0079040F"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79040F">
        <w:rPr>
          <w:rFonts w:ascii="Times New Roman" w:hAnsi="Times New Roman" w:cs="Times New Roman"/>
        </w:rPr>
        <w:t>Szakmai feladatainak elvégzése során felelősségteljesen együttműködik más szakterület képzett szakembereivel is.</w:t>
      </w:r>
    </w:p>
    <w:p w:rsidR="0079040F" w:rsidRPr="0079040F" w:rsidRDefault="0079040F"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79040F">
        <w:rPr>
          <w:rFonts w:ascii="Times New Roman" w:hAnsi="Times New Roman" w:cs="Times New Roman"/>
        </w:rPr>
        <w:t>Parancsnokának útmutatása alapján irányítja a rábízott személyi állomány munkavégzését, felügyeli a közlekedési, szállítási folyamatok tervezését, szervezését, végrehajtását, a közlekedési szaktechnikai eszközök üzemeltetését.</w:t>
      </w:r>
    </w:p>
    <w:p w:rsidR="0079040F" w:rsidRPr="0079040F" w:rsidRDefault="0079040F"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79040F">
        <w:rPr>
          <w:rFonts w:ascii="Times New Roman" w:hAnsi="Times New Roman" w:cs="Times New Roman"/>
        </w:rPr>
        <w:t>Értékeli a beosztottak munkavégzésének hatékonyságát, eredményességét.</w:t>
      </w:r>
    </w:p>
    <w:p w:rsidR="0079040F" w:rsidRPr="0079040F" w:rsidRDefault="0079040F" w:rsidP="0079040F">
      <w:pPr>
        <w:widowControl w:val="0"/>
        <w:spacing w:before="120" w:after="120" w:line="240" w:lineRule="auto"/>
        <w:ind w:left="426"/>
        <w:jc w:val="both"/>
        <w:rPr>
          <w:rFonts w:ascii="Times New Roman" w:eastAsia="Times New Roman" w:hAnsi="Times New Roman" w:cs="Times New Roman"/>
          <w:b/>
          <w:bCs/>
          <w:lang w:val="en-US"/>
        </w:rPr>
      </w:pPr>
      <w:r w:rsidRPr="0079040F">
        <w:rPr>
          <w:rFonts w:ascii="Times New Roman" w:eastAsia="Times New Roman" w:hAnsi="Times New Roman" w:cs="Times New Roman"/>
          <w:b/>
          <w:bCs/>
        </w:rPr>
        <w:t>Elérendő kompetenciák (angolul) (</w:t>
      </w:r>
      <w:r w:rsidRPr="0079040F">
        <w:rPr>
          <w:rFonts w:ascii="Times New Roman" w:eastAsia="Times New Roman" w:hAnsi="Times New Roman" w:cs="Times New Roman"/>
          <w:b/>
          <w:bCs/>
          <w:lang w:val="en-US"/>
        </w:rPr>
        <w:t xml:space="preserve">Competences – English): </w:t>
      </w:r>
    </w:p>
    <w:p w:rsidR="0079040F" w:rsidRPr="0079040F" w:rsidRDefault="0079040F" w:rsidP="0079040F">
      <w:pPr>
        <w:widowControl w:val="0"/>
        <w:spacing w:before="120" w:after="120" w:line="240" w:lineRule="auto"/>
        <w:ind w:left="426"/>
        <w:jc w:val="both"/>
        <w:rPr>
          <w:rFonts w:ascii="Times New Roman" w:eastAsia="Times New Roman" w:hAnsi="Times New Roman" w:cs="Times New Roman"/>
          <w:lang w:val="en-GB"/>
        </w:rPr>
      </w:pPr>
      <w:r w:rsidRPr="0079040F">
        <w:rPr>
          <w:rFonts w:ascii="Times New Roman" w:eastAsia="Times New Roman" w:hAnsi="Times New Roman" w:cs="Times New Roman"/>
          <w:b/>
          <w:lang w:val="en-GB"/>
        </w:rPr>
        <w:t>Knowledge</w:t>
      </w:r>
      <w:r w:rsidRPr="0079040F">
        <w:rPr>
          <w:rFonts w:ascii="Times New Roman" w:eastAsia="Times New Roman" w:hAnsi="Times New Roman" w:cs="Times New Roman"/>
          <w:lang w:val="en-GB"/>
        </w:rPr>
        <w:t xml:space="preserve">: </w:t>
      </w:r>
    </w:p>
    <w:p w:rsidR="0079040F" w:rsidRPr="0079040F" w:rsidRDefault="0079040F"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79040F">
        <w:rPr>
          <w:rFonts w:ascii="Times New Roman" w:hAnsi="Times New Roman" w:cs="Times New Roman"/>
        </w:rPr>
        <w:t>Is familiar with the technical equipment used in military transportation, the transportation modes and facilities, and the rules of their use and operation.</w:t>
      </w:r>
    </w:p>
    <w:p w:rsidR="0079040F" w:rsidRPr="0079040F" w:rsidRDefault="0079040F"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79040F">
        <w:rPr>
          <w:rFonts w:ascii="Times New Roman" w:hAnsi="Times New Roman" w:cs="Times New Roman"/>
        </w:rPr>
        <w:t>Is familiar with the tasks and responsibilities of stockpiling, storing, registering and inventorying of military transportation assets and is able to control these processes.</w:t>
      </w:r>
    </w:p>
    <w:p w:rsidR="0079040F" w:rsidRPr="0079040F" w:rsidRDefault="0079040F"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79040F">
        <w:rPr>
          <w:rFonts w:ascii="Times New Roman" w:hAnsi="Times New Roman" w:cs="Times New Roman"/>
        </w:rPr>
        <w:t>Has a profound knowledge of the tasks and the system of military transportation and the unique characteristics of performing each task.</w:t>
      </w:r>
    </w:p>
    <w:p w:rsidR="0079040F" w:rsidRPr="0079040F" w:rsidRDefault="0079040F"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79040F">
        <w:rPr>
          <w:rFonts w:ascii="Times New Roman" w:hAnsi="Times New Roman" w:cs="Times New Roman"/>
        </w:rPr>
        <w:t>Is familiar with the methods of assessing the requirements of military transportation and its feasibility and practical implementation.</w:t>
      </w:r>
    </w:p>
    <w:p w:rsidR="0079040F" w:rsidRPr="0079040F" w:rsidRDefault="0079040F" w:rsidP="0079040F">
      <w:pPr>
        <w:widowControl w:val="0"/>
        <w:spacing w:before="120" w:after="120" w:line="240" w:lineRule="auto"/>
        <w:ind w:left="426"/>
        <w:jc w:val="both"/>
        <w:rPr>
          <w:rFonts w:ascii="Times New Roman" w:eastAsia="Times New Roman" w:hAnsi="Times New Roman" w:cs="Times New Roman"/>
          <w:lang w:val="en-GB"/>
        </w:rPr>
      </w:pPr>
      <w:r w:rsidRPr="0079040F">
        <w:rPr>
          <w:rFonts w:ascii="Times New Roman" w:eastAsia="Times New Roman" w:hAnsi="Times New Roman" w:cs="Times New Roman"/>
          <w:b/>
          <w:lang w:val="en-GB"/>
        </w:rPr>
        <w:t>Capabilities</w:t>
      </w:r>
      <w:r w:rsidRPr="0079040F">
        <w:rPr>
          <w:rFonts w:ascii="Times New Roman" w:eastAsia="Times New Roman" w:hAnsi="Times New Roman" w:cs="Times New Roman"/>
          <w:lang w:val="en-GB"/>
        </w:rPr>
        <w:t>:</w:t>
      </w:r>
    </w:p>
    <w:p w:rsidR="0079040F" w:rsidRPr="0079040F" w:rsidRDefault="0079040F"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79040F">
        <w:rPr>
          <w:rFonts w:ascii="Times New Roman" w:hAnsi="Times New Roman" w:cs="Times New Roman"/>
        </w:rPr>
        <w:t>Using his/her general and specialized military knowledge and skills, he/she is capable of planning, organizing, and conducting military transport, movement, and transportation tasks.</w:t>
      </w:r>
    </w:p>
    <w:p w:rsidR="0079040F" w:rsidRPr="0079040F" w:rsidRDefault="0079040F"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79040F">
        <w:rPr>
          <w:rFonts w:ascii="Times New Roman" w:hAnsi="Times New Roman" w:cs="Times New Roman"/>
        </w:rPr>
        <w:t>Is capable of leading the execution of the tasks of a military transportation subunit in peace time and in crisis response, disaster relief, peace support and combat operations both in a national and a multinational environment.</w:t>
      </w:r>
    </w:p>
    <w:p w:rsidR="0079040F" w:rsidRPr="0079040F" w:rsidRDefault="0079040F" w:rsidP="007904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lang w:val="en-GB"/>
        </w:rPr>
      </w:pPr>
      <w:r w:rsidRPr="0079040F">
        <w:rPr>
          <w:rFonts w:ascii="Times New Roman" w:eastAsia="Times New Roman" w:hAnsi="Times New Roman" w:cs="Times New Roman"/>
          <w:b/>
          <w:lang w:val="en-GB"/>
        </w:rPr>
        <w:t>Attitude:</w:t>
      </w:r>
    </w:p>
    <w:p w:rsidR="0079040F" w:rsidRPr="0079040F" w:rsidRDefault="0079040F"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79040F">
        <w:rPr>
          <w:rFonts w:ascii="Times New Roman" w:hAnsi="Times New Roman" w:cs="Times New Roman"/>
        </w:rPr>
        <w:t>He/She is ready to become familiar with and adopt the professional and technological development and innovation in the field of military transportation, and also to pass it on and integrate it into his daily work.</w:t>
      </w:r>
    </w:p>
    <w:p w:rsidR="0079040F" w:rsidRPr="0079040F" w:rsidRDefault="0079040F"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79040F">
        <w:rPr>
          <w:rFonts w:ascii="Times New Roman" w:hAnsi="Times New Roman" w:cs="Times New Roman"/>
        </w:rPr>
        <w:t>He/She strives for continuous self-education in the field of military transportation which is consistent with his/her professional goals.</w:t>
      </w:r>
    </w:p>
    <w:p w:rsidR="0079040F" w:rsidRPr="0079040F" w:rsidRDefault="0079040F"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79040F">
        <w:rPr>
          <w:rFonts w:ascii="Times New Roman" w:hAnsi="Times New Roman" w:cs="Times New Roman"/>
        </w:rPr>
        <w:t>He/She is committed to high quality in his/her professional work, with special emphasis on the safe execution of the transportation tasks and processes.</w:t>
      </w:r>
    </w:p>
    <w:p w:rsidR="0079040F" w:rsidRPr="0079040F" w:rsidRDefault="0079040F"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79040F">
        <w:rPr>
          <w:rFonts w:ascii="Times New Roman" w:hAnsi="Times New Roman" w:cs="Times New Roman"/>
        </w:rPr>
        <w:t>He/she is willing to share his/her experience with his/her colleagues to further their professional development.</w:t>
      </w:r>
    </w:p>
    <w:p w:rsidR="0079040F" w:rsidRPr="0079040F" w:rsidRDefault="0079040F" w:rsidP="0079040F">
      <w:pPr>
        <w:widowControl w:val="0"/>
        <w:spacing w:before="120" w:after="120" w:line="240" w:lineRule="auto"/>
        <w:ind w:left="426"/>
        <w:jc w:val="both"/>
        <w:rPr>
          <w:rFonts w:ascii="Times New Roman" w:eastAsia="Times New Roman" w:hAnsi="Times New Roman" w:cs="Times New Roman"/>
          <w:b/>
          <w:lang w:val="en-GB"/>
        </w:rPr>
      </w:pPr>
      <w:r w:rsidRPr="0079040F">
        <w:rPr>
          <w:rFonts w:ascii="Times New Roman" w:eastAsia="Times New Roman" w:hAnsi="Times New Roman" w:cs="Times New Roman"/>
          <w:b/>
          <w:lang w:val="en-GB"/>
        </w:rPr>
        <w:lastRenderedPageBreak/>
        <w:t xml:space="preserve">Autonomy and responsibility: </w:t>
      </w:r>
    </w:p>
    <w:p w:rsidR="0079040F" w:rsidRPr="0079040F" w:rsidRDefault="0079040F"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79040F">
        <w:rPr>
          <w:rFonts w:ascii="Times New Roman" w:hAnsi="Times New Roman" w:cs="Times New Roman"/>
        </w:rPr>
        <w:t>He/She is able to make decisions independently in the processes arising in the field of military transportation, and to implement them with responsibility and within the legal framework.</w:t>
      </w:r>
    </w:p>
    <w:p w:rsidR="0079040F" w:rsidRPr="0079040F" w:rsidRDefault="0079040F"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79040F">
        <w:rPr>
          <w:rFonts w:ascii="Times New Roman" w:hAnsi="Times New Roman" w:cs="Times New Roman"/>
        </w:rPr>
        <w:t>He/She is aware of the effects and consequences of his decisions and activities on the military logistic processes as a whole.</w:t>
      </w:r>
    </w:p>
    <w:p w:rsidR="0079040F" w:rsidRPr="0079040F" w:rsidRDefault="0079040F"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79040F">
        <w:rPr>
          <w:rFonts w:ascii="Times New Roman" w:hAnsi="Times New Roman" w:cs="Times New Roman"/>
        </w:rPr>
        <w:t xml:space="preserve">During his/her professional duties, he/she is willing to responsibly cooperate with specialists of other areas. </w:t>
      </w:r>
    </w:p>
    <w:p w:rsidR="0079040F" w:rsidRPr="0079040F" w:rsidRDefault="0079040F"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79040F">
        <w:rPr>
          <w:rFonts w:ascii="Times New Roman" w:hAnsi="Times New Roman" w:cs="Times New Roman"/>
        </w:rPr>
        <w:t>He/She can identify the deficiencies and risks in the applied technologies and initiates taking measures to reduce their impact.</w:t>
      </w:r>
    </w:p>
    <w:p w:rsidR="0079040F" w:rsidRPr="0079040F" w:rsidRDefault="0079040F"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79040F">
        <w:rPr>
          <w:rFonts w:ascii="Times New Roman" w:hAnsi="Times New Roman" w:cs="Times New Roman"/>
        </w:rPr>
        <w:t>Under the guidance of his/her commander, he/she controls the work of the personnel under his/her command and supervises the planning, organization and implementation of the transport and transportation processes, and also the operation of the technical equipment used in military transportation.</w:t>
      </w:r>
    </w:p>
    <w:p w:rsidR="0079040F" w:rsidRPr="0079040F" w:rsidRDefault="0079040F"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79040F">
        <w:rPr>
          <w:rFonts w:ascii="Times New Roman" w:hAnsi="Times New Roman" w:cs="Times New Roman"/>
        </w:rPr>
        <w:t>He/She continuously evaluates the efficiency and effectiveness of his/her subordinates' work.</w:t>
      </w:r>
    </w:p>
    <w:p w:rsidR="0079040F" w:rsidRPr="0079040F" w:rsidRDefault="0079040F" w:rsidP="00B6712F">
      <w:pPr>
        <w:widowControl w:val="0"/>
        <w:numPr>
          <w:ilvl w:val="0"/>
          <w:numId w:val="302"/>
        </w:numPr>
        <w:spacing w:before="120" w:after="120" w:line="240" w:lineRule="auto"/>
        <w:ind w:left="426" w:hanging="142"/>
        <w:jc w:val="both"/>
        <w:rPr>
          <w:rFonts w:ascii="Times New Roman" w:eastAsia="Times New Roman" w:hAnsi="Times New Roman" w:cs="Times New Roman"/>
          <w:bCs/>
        </w:rPr>
      </w:pPr>
      <w:r w:rsidRPr="0079040F">
        <w:rPr>
          <w:rFonts w:ascii="Times New Roman" w:eastAsia="Times New Roman" w:hAnsi="Times New Roman" w:cs="Times New Roman"/>
          <w:b/>
          <w:bCs/>
        </w:rPr>
        <w:t xml:space="preserve">Előtanulmányi követelmények: </w:t>
      </w:r>
      <w:r w:rsidRPr="0079040F">
        <w:rPr>
          <w:rFonts w:ascii="Times New Roman" w:hAnsi="Times New Roman" w:cs="Times New Roman"/>
        </w:rPr>
        <w:t xml:space="preserve">Szállító alegységek vezetése I. </w:t>
      </w:r>
      <w:r w:rsidR="00B6712F" w:rsidRPr="00B6712F">
        <w:rPr>
          <w:rFonts w:ascii="Times New Roman" w:hAnsi="Times New Roman" w:cs="Times New Roman"/>
        </w:rPr>
        <w:t>HKHPKA316</w:t>
      </w:r>
    </w:p>
    <w:p w:rsidR="0079040F" w:rsidRPr="0079040F" w:rsidRDefault="0079040F" w:rsidP="00980876">
      <w:pPr>
        <w:widowControl w:val="0"/>
        <w:numPr>
          <w:ilvl w:val="0"/>
          <w:numId w:val="302"/>
        </w:numPr>
        <w:spacing w:before="120" w:after="120" w:line="240" w:lineRule="auto"/>
        <w:ind w:left="426" w:hanging="142"/>
        <w:jc w:val="both"/>
        <w:rPr>
          <w:rFonts w:ascii="Times New Roman" w:eastAsia="Times New Roman" w:hAnsi="Times New Roman" w:cs="Times New Roman"/>
          <w:b/>
          <w:bCs/>
        </w:rPr>
      </w:pPr>
      <w:r w:rsidRPr="0079040F">
        <w:rPr>
          <w:rFonts w:ascii="Times New Roman" w:eastAsia="Times New Roman" w:hAnsi="Times New Roman" w:cs="Times New Roman"/>
          <w:b/>
          <w:bCs/>
        </w:rPr>
        <w:t>A tantárgy tananyagának leírása, tematika. Description of the subject, curriculum (magyarul, angolul - English):</w:t>
      </w:r>
    </w:p>
    <w:p w:rsidR="0079040F" w:rsidRPr="0079040F" w:rsidRDefault="0079040F" w:rsidP="00980876">
      <w:pPr>
        <w:pStyle w:val="lfej"/>
        <w:numPr>
          <w:ilvl w:val="1"/>
          <w:numId w:val="302"/>
        </w:numPr>
        <w:tabs>
          <w:tab w:val="left" w:pos="708"/>
        </w:tabs>
        <w:spacing w:before="60"/>
        <w:ind w:left="992" w:hanging="567"/>
        <w:jc w:val="both"/>
        <w:rPr>
          <w:rFonts w:ascii="Times New Roman" w:hAnsi="Times New Roman" w:cs="Times New Roman"/>
          <w:bCs/>
          <w:i/>
        </w:rPr>
      </w:pPr>
      <w:r w:rsidRPr="0079040F">
        <w:rPr>
          <w:rFonts w:ascii="Times New Roman" w:hAnsi="Times New Roman" w:cs="Times New Roman"/>
        </w:rPr>
        <w:t xml:space="preserve">Magyar Honvédség kiképzési rendszere. </w:t>
      </w:r>
      <w:r w:rsidRPr="0079040F">
        <w:rPr>
          <w:rFonts w:ascii="Times New Roman" w:hAnsi="Times New Roman" w:cs="Times New Roman"/>
          <w:i/>
        </w:rPr>
        <w:t>(</w:t>
      </w:r>
      <w:r w:rsidRPr="0079040F">
        <w:rPr>
          <w:rStyle w:val="tlid-translation"/>
          <w:rFonts w:ascii="Times New Roman" w:hAnsi="Times New Roman" w:cs="Times New Roman"/>
          <w:i/>
          <w:lang w:val="en"/>
        </w:rPr>
        <w:t>Training system of the Hungarian Defense Forces.)</w:t>
      </w:r>
    </w:p>
    <w:p w:rsidR="0079040F" w:rsidRPr="0079040F" w:rsidRDefault="0079040F" w:rsidP="00980876">
      <w:pPr>
        <w:pStyle w:val="lfej"/>
        <w:numPr>
          <w:ilvl w:val="1"/>
          <w:numId w:val="302"/>
        </w:numPr>
        <w:tabs>
          <w:tab w:val="left" w:pos="708"/>
        </w:tabs>
        <w:spacing w:before="60"/>
        <w:ind w:left="992" w:hanging="567"/>
        <w:jc w:val="both"/>
        <w:rPr>
          <w:rFonts w:ascii="Times New Roman" w:hAnsi="Times New Roman" w:cs="Times New Roman"/>
          <w:bCs/>
          <w:i/>
        </w:rPr>
      </w:pPr>
      <w:r w:rsidRPr="0079040F">
        <w:rPr>
          <w:rFonts w:ascii="Times New Roman" w:hAnsi="Times New Roman" w:cs="Times New Roman"/>
        </w:rPr>
        <w:t xml:space="preserve">A katonai kiképzés módszer- és eszközrendszere. </w:t>
      </w:r>
      <w:r w:rsidRPr="0079040F">
        <w:rPr>
          <w:rFonts w:ascii="Times New Roman" w:hAnsi="Times New Roman" w:cs="Times New Roman"/>
          <w:i/>
        </w:rPr>
        <w:t>(</w:t>
      </w:r>
      <w:r w:rsidRPr="0079040F">
        <w:rPr>
          <w:rStyle w:val="tlid-translation"/>
          <w:rFonts w:ascii="Times New Roman" w:hAnsi="Times New Roman" w:cs="Times New Roman"/>
          <w:i/>
          <w:lang w:val="en"/>
        </w:rPr>
        <w:t>Methodology and tools of military training.)</w:t>
      </w:r>
    </w:p>
    <w:p w:rsidR="0079040F" w:rsidRPr="0079040F" w:rsidRDefault="0079040F" w:rsidP="00980876">
      <w:pPr>
        <w:pStyle w:val="lfej"/>
        <w:numPr>
          <w:ilvl w:val="1"/>
          <w:numId w:val="302"/>
        </w:numPr>
        <w:tabs>
          <w:tab w:val="left" w:pos="708"/>
        </w:tabs>
        <w:spacing w:before="60"/>
        <w:ind w:left="992" w:hanging="567"/>
        <w:jc w:val="both"/>
        <w:rPr>
          <w:rFonts w:ascii="Times New Roman" w:hAnsi="Times New Roman" w:cs="Times New Roman"/>
          <w:bCs/>
          <w:i/>
        </w:rPr>
      </w:pPr>
      <w:r w:rsidRPr="0079040F">
        <w:rPr>
          <w:rFonts w:ascii="Times New Roman" w:hAnsi="Times New Roman" w:cs="Times New Roman"/>
        </w:rPr>
        <w:t>A közlekedési szolgálat katonáinak kiképzési rendje.</w:t>
      </w:r>
      <w:r w:rsidRPr="0079040F">
        <w:rPr>
          <w:rStyle w:val="tlid-translation"/>
          <w:rFonts w:ascii="Times New Roman" w:hAnsi="Times New Roman" w:cs="Times New Roman"/>
          <w:lang w:val="en"/>
        </w:rPr>
        <w:t xml:space="preserve"> </w:t>
      </w:r>
      <w:r w:rsidRPr="0079040F">
        <w:rPr>
          <w:rStyle w:val="tlid-translation"/>
          <w:rFonts w:ascii="Times New Roman" w:hAnsi="Times New Roman" w:cs="Times New Roman"/>
          <w:i/>
          <w:lang w:val="en"/>
        </w:rPr>
        <w:t>(Transport Service Soldiers Training Schedule.)</w:t>
      </w:r>
    </w:p>
    <w:p w:rsidR="0079040F" w:rsidRPr="0079040F" w:rsidRDefault="0079040F" w:rsidP="00980876">
      <w:pPr>
        <w:pStyle w:val="lfej"/>
        <w:numPr>
          <w:ilvl w:val="1"/>
          <w:numId w:val="302"/>
        </w:numPr>
        <w:tabs>
          <w:tab w:val="left" w:pos="708"/>
        </w:tabs>
        <w:spacing w:before="60"/>
        <w:ind w:left="992" w:hanging="567"/>
        <w:jc w:val="both"/>
        <w:rPr>
          <w:rFonts w:ascii="Times New Roman" w:hAnsi="Times New Roman" w:cs="Times New Roman"/>
          <w:bCs/>
          <w:i/>
        </w:rPr>
      </w:pPr>
      <w:r w:rsidRPr="0079040F">
        <w:rPr>
          <w:rFonts w:ascii="Times New Roman" w:hAnsi="Times New Roman" w:cs="Times New Roman"/>
        </w:rPr>
        <w:t xml:space="preserve">A kiképzés tervezésének, szervezésének feladatai a szállító-kiszolgáló alegységeknél. </w:t>
      </w:r>
      <w:r w:rsidRPr="0079040F">
        <w:rPr>
          <w:rFonts w:ascii="Times New Roman" w:hAnsi="Times New Roman" w:cs="Times New Roman"/>
          <w:i/>
        </w:rPr>
        <w:t>(</w:t>
      </w:r>
      <w:r w:rsidRPr="0079040F">
        <w:rPr>
          <w:rStyle w:val="tlid-translation"/>
          <w:rFonts w:ascii="Times New Roman" w:hAnsi="Times New Roman" w:cs="Times New Roman"/>
          <w:i/>
          <w:lang w:val="en"/>
        </w:rPr>
        <w:t>Tasks of planning and organizing the training at the transport-server subunits.)</w:t>
      </w:r>
    </w:p>
    <w:p w:rsidR="0079040F" w:rsidRPr="0079040F" w:rsidRDefault="0079040F" w:rsidP="00980876">
      <w:pPr>
        <w:pStyle w:val="lfej"/>
        <w:numPr>
          <w:ilvl w:val="1"/>
          <w:numId w:val="302"/>
        </w:numPr>
        <w:tabs>
          <w:tab w:val="left" w:pos="708"/>
        </w:tabs>
        <w:spacing w:before="60"/>
        <w:ind w:left="992" w:hanging="567"/>
        <w:jc w:val="both"/>
        <w:rPr>
          <w:rFonts w:ascii="Times New Roman" w:hAnsi="Times New Roman" w:cs="Times New Roman"/>
          <w:bCs/>
          <w:i/>
        </w:rPr>
      </w:pPr>
      <w:r w:rsidRPr="0079040F">
        <w:rPr>
          <w:rFonts w:ascii="Times New Roman" w:hAnsi="Times New Roman" w:cs="Times New Roman"/>
        </w:rPr>
        <w:t>Közlekedési szakkiképzés tervezése, szervezése és végrehajtása.</w:t>
      </w:r>
      <w:r w:rsidRPr="0079040F">
        <w:rPr>
          <w:rStyle w:val="tlid-translation"/>
          <w:rFonts w:ascii="Times New Roman" w:hAnsi="Times New Roman" w:cs="Times New Roman"/>
          <w:lang w:val="en"/>
        </w:rPr>
        <w:t xml:space="preserve"> </w:t>
      </w:r>
      <w:r w:rsidRPr="0079040F">
        <w:rPr>
          <w:rStyle w:val="tlid-translation"/>
          <w:rFonts w:ascii="Times New Roman" w:hAnsi="Times New Roman" w:cs="Times New Roman"/>
          <w:i/>
          <w:lang w:val="en"/>
        </w:rPr>
        <w:t>(Planning, organizing and implementing transport vocational training.)</w:t>
      </w:r>
    </w:p>
    <w:p w:rsidR="0079040F" w:rsidRPr="0079040F" w:rsidRDefault="0079040F" w:rsidP="00980876">
      <w:pPr>
        <w:pStyle w:val="lfej"/>
        <w:numPr>
          <w:ilvl w:val="1"/>
          <w:numId w:val="302"/>
        </w:numPr>
        <w:tabs>
          <w:tab w:val="left" w:pos="708"/>
        </w:tabs>
        <w:spacing w:before="60"/>
        <w:ind w:left="992" w:hanging="567"/>
        <w:jc w:val="both"/>
        <w:rPr>
          <w:rFonts w:ascii="Times New Roman" w:hAnsi="Times New Roman" w:cs="Times New Roman"/>
          <w:bCs/>
        </w:rPr>
      </w:pPr>
      <w:r w:rsidRPr="0079040F">
        <w:rPr>
          <w:rFonts w:ascii="Times New Roman" w:hAnsi="Times New Roman" w:cs="Times New Roman"/>
        </w:rPr>
        <w:t xml:space="preserve">A kiképzés értékelése. </w:t>
      </w:r>
      <w:r w:rsidRPr="0079040F">
        <w:rPr>
          <w:rStyle w:val="tlid-translation"/>
          <w:rFonts w:ascii="Times New Roman" w:hAnsi="Times New Roman" w:cs="Times New Roman"/>
          <w:lang w:val="en"/>
        </w:rPr>
        <w:t>Evaluation of training.</w:t>
      </w:r>
    </w:p>
    <w:p w:rsidR="0079040F" w:rsidRPr="0079040F" w:rsidRDefault="0079040F" w:rsidP="00980876">
      <w:pPr>
        <w:pStyle w:val="lfej"/>
        <w:numPr>
          <w:ilvl w:val="1"/>
          <w:numId w:val="302"/>
        </w:numPr>
        <w:tabs>
          <w:tab w:val="left" w:pos="708"/>
        </w:tabs>
        <w:spacing w:before="60"/>
        <w:ind w:left="992" w:hanging="567"/>
        <w:jc w:val="both"/>
        <w:rPr>
          <w:rFonts w:ascii="Times New Roman" w:hAnsi="Times New Roman" w:cs="Times New Roman"/>
          <w:bCs/>
          <w:i/>
        </w:rPr>
      </w:pPr>
      <w:r w:rsidRPr="0079040F">
        <w:rPr>
          <w:rFonts w:ascii="Times New Roman" w:hAnsi="Times New Roman" w:cs="Times New Roman"/>
        </w:rPr>
        <w:t>A foglalkozási jegyek szerepe, elkészítésének szabályai</w:t>
      </w:r>
      <w:r w:rsidRPr="0079040F">
        <w:rPr>
          <w:rFonts w:ascii="Times New Roman" w:hAnsi="Times New Roman" w:cs="Times New Roman"/>
          <w:i/>
        </w:rPr>
        <w:t>.</w:t>
      </w:r>
      <w:r w:rsidRPr="0079040F">
        <w:rPr>
          <w:rStyle w:val="tlid-translation"/>
          <w:rFonts w:ascii="Times New Roman" w:hAnsi="Times New Roman" w:cs="Times New Roman"/>
          <w:i/>
          <w:lang w:val="en"/>
        </w:rPr>
        <w:t xml:space="preserve"> (Role of occupation marks, rules of preparation.)</w:t>
      </w:r>
    </w:p>
    <w:p w:rsidR="0079040F" w:rsidRPr="0079040F" w:rsidRDefault="0079040F" w:rsidP="00980876">
      <w:pPr>
        <w:pStyle w:val="lfej"/>
        <w:numPr>
          <w:ilvl w:val="1"/>
          <w:numId w:val="302"/>
        </w:numPr>
        <w:tabs>
          <w:tab w:val="left" w:pos="708"/>
        </w:tabs>
        <w:spacing w:before="60"/>
        <w:ind w:left="992" w:hanging="567"/>
        <w:jc w:val="both"/>
        <w:rPr>
          <w:rFonts w:ascii="Times New Roman" w:hAnsi="Times New Roman" w:cs="Times New Roman"/>
          <w:bCs/>
          <w:i/>
        </w:rPr>
      </w:pPr>
      <w:r w:rsidRPr="0079040F">
        <w:rPr>
          <w:rFonts w:ascii="Times New Roman" w:hAnsi="Times New Roman" w:cs="Times New Roman"/>
        </w:rPr>
        <w:t xml:space="preserve"> A foglalkozások levezetésének rendje.</w:t>
      </w:r>
      <w:r w:rsidRPr="0079040F">
        <w:rPr>
          <w:rStyle w:val="tlid-translation"/>
          <w:rFonts w:ascii="Times New Roman" w:hAnsi="Times New Roman" w:cs="Times New Roman"/>
          <w:lang w:val="en"/>
        </w:rPr>
        <w:t xml:space="preserve"> </w:t>
      </w:r>
      <w:r w:rsidRPr="0079040F">
        <w:rPr>
          <w:rStyle w:val="tlid-translation"/>
          <w:rFonts w:ascii="Times New Roman" w:hAnsi="Times New Roman" w:cs="Times New Roman"/>
          <w:i/>
          <w:lang w:val="en"/>
        </w:rPr>
        <w:t>(Order of conducting occupations.)</w:t>
      </w:r>
    </w:p>
    <w:p w:rsidR="0079040F" w:rsidRPr="0079040F" w:rsidRDefault="0079040F" w:rsidP="00980876">
      <w:pPr>
        <w:pStyle w:val="lfej"/>
        <w:numPr>
          <w:ilvl w:val="1"/>
          <w:numId w:val="302"/>
        </w:numPr>
        <w:tabs>
          <w:tab w:val="left" w:pos="708"/>
        </w:tabs>
        <w:spacing w:before="60"/>
        <w:ind w:left="992" w:hanging="567"/>
        <w:jc w:val="both"/>
        <w:rPr>
          <w:rStyle w:val="tlid-translation"/>
          <w:rFonts w:ascii="Times New Roman" w:hAnsi="Times New Roman" w:cs="Times New Roman"/>
          <w:b/>
        </w:rPr>
      </w:pPr>
      <w:r w:rsidRPr="0079040F">
        <w:rPr>
          <w:rFonts w:ascii="Times New Roman" w:hAnsi="Times New Roman" w:cs="Times New Roman"/>
        </w:rPr>
        <w:t>Zárthelyi dolgozat.</w:t>
      </w:r>
      <w:r w:rsidRPr="0079040F">
        <w:rPr>
          <w:rStyle w:val="tlid-translation"/>
          <w:rFonts w:ascii="Times New Roman" w:hAnsi="Times New Roman" w:cs="Times New Roman"/>
          <w:lang w:val="en"/>
        </w:rPr>
        <w:t xml:space="preserve"> </w:t>
      </w:r>
      <w:r w:rsidRPr="0079040F">
        <w:rPr>
          <w:rStyle w:val="tlid-translation"/>
          <w:rFonts w:ascii="Times New Roman" w:hAnsi="Times New Roman" w:cs="Times New Roman"/>
          <w:i/>
          <w:lang w:val="en"/>
        </w:rPr>
        <w:t>(Closed thesis.)</w:t>
      </w:r>
    </w:p>
    <w:p w:rsidR="0079040F" w:rsidRPr="0079040F" w:rsidRDefault="0079040F" w:rsidP="00980876">
      <w:pPr>
        <w:widowControl w:val="0"/>
        <w:numPr>
          <w:ilvl w:val="0"/>
          <w:numId w:val="302"/>
        </w:numPr>
        <w:tabs>
          <w:tab w:val="num" w:pos="360"/>
        </w:tabs>
        <w:spacing w:before="120" w:after="120" w:line="240" w:lineRule="auto"/>
        <w:ind w:left="426" w:hanging="142"/>
        <w:jc w:val="both"/>
        <w:rPr>
          <w:rFonts w:ascii="Times New Roman" w:eastAsia="Times New Roman" w:hAnsi="Times New Roman" w:cs="Times New Roman"/>
          <w:bCs/>
        </w:rPr>
      </w:pPr>
      <w:r w:rsidRPr="0079040F">
        <w:rPr>
          <w:rFonts w:ascii="Times New Roman" w:eastAsia="Times New Roman" w:hAnsi="Times New Roman" w:cs="Times New Roman"/>
          <w:b/>
          <w:bCs/>
        </w:rPr>
        <w:t xml:space="preserve">A tantárgy meghirdetésének gyakorisága/a tantervben történő félévi elhelyezkedése: </w:t>
      </w:r>
      <w:r w:rsidRPr="0079040F">
        <w:rPr>
          <w:rFonts w:ascii="Times New Roman" w:eastAsia="Times New Roman" w:hAnsi="Times New Roman" w:cs="Times New Roman"/>
          <w:bCs/>
        </w:rPr>
        <w:t>8. félév</w:t>
      </w:r>
    </w:p>
    <w:p w:rsidR="0079040F" w:rsidRPr="0079040F" w:rsidRDefault="0079040F" w:rsidP="00980876">
      <w:pPr>
        <w:widowControl w:val="0"/>
        <w:numPr>
          <w:ilvl w:val="0"/>
          <w:numId w:val="302"/>
        </w:numPr>
        <w:tabs>
          <w:tab w:val="num" w:pos="360"/>
        </w:tabs>
        <w:spacing w:before="120" w:after="120" w:line="240" w:lineRule="auto"/>
        <w:ind w:left="426" w:hanging="142"/>
        <w:jc w:val="both"/>
        <w:rPr>
          <w:rFonts w:ascii="Times New Roman" w:eastAsia="Times New Roman" w:hAnsi="Times New Roman" w:cs="Times New Roman"/>
          <w:bCs/>
        </w:rPr>
      </w:pPr>
      <w:r w:rsidRPr="0079040F">
        <w:rPr>
          <w:rFonts w:ascii="Times New Roman" w:eastAsia="Times New Roman" w:hAnsi="Times New Roman" w:cs="Times New Roman"/>
          <w:b/>
          <w:bCs/>
        </w:rPr>
        <w:t>A tanórákon való részvétel követelményei, az elfogadható hiányzások mértéke, a távolmaradás pótlásának lehetősége:</w:t>
      </w:r>
      <w:r w:rsidRPr="0079040F">
        <w:rPr>
          <w:rFonts w:ascii="Times New Roman" w:eastAsia="Times New Roman" w:hAnsi="Times New Roman" w:cs="Times New Roman"/>
          <w:bCs/>
        </w:rPr>
        <w:t xml:space="preserve"> </w:t>
      </w:r>
    </w:p>
    <w:p w:rsidR="0079040F" w:rsidRPr="0079040F" w:rsidRDefault="0079040F" w:rsidP="0079040F">
      <w:pPr>
        <w:widowControl w:val="0"/>
        <w:spacing w:before="120" w:after="120" w:line="240" w:lineRule="auto"/>
        <w:ind w:left="426"/>
        <w:jc w:val="both"/>
        <w:rPr>
          <w:rFonts w:ascii="Times New Roman" w:eastAsia="Times New Roman" w:hAnsi="Times New Roman" w:cs="Times New Roman"/>
          <w:bCs/>
          <w:highlight w:val="lightGray"/>
        </w:rPr>
      </w:pPr>
      <w:r w:rsidRPr="0079040F">
        <w:rPr>
          <w:rFonts w:ascii="Times New Roman" w:eastAsia="Times New Roman" w:hAnsi="Times New Roman" w:cs="Times New Roman"/>
          <w:bCs/>
          <w:lang w:eastAsia="hu-HU"/>
        </w:rPr>
        <w:t>A tanórákon való részvétel kötelező, megengedett hiányzás mértéke 25%. Hiányzás esetén órapótlásra nincs lehetőség, a hallgató az előadás anyagát önállóan pótolja. A 25%-ot meghaladó hiányzás az aláírás megtagadását vonja maga után.</w:t>
      </w:r>
    </w:p>
    <w:p w:rsidR="0079040F" w:rsidRPr="0079040F" w:rsidRDefault="0079040F" w:rsidP="00980876">
      <w:pPr>
        <w:widowControl w:val="0"/>
        <w:numPr>
          <w:ilvl w:val="0"/>
          <w:numId w:val="302"/>
        </w:numPr>
        <w:tabs>
          <w:tab w:val="num" w:pos="360"/>
        </w:tabs>
        <w:spacing w:before="120" w:after="120" w:line="240" w:lineRule="auto"/>
        <w:ind w:left="426" w:hanging="142"/>
        <w:jc w:val="both"/>
        <w:rPr>
          <w:rFonts w:ascii="Times New Roman" w:eastAsia="Times New Roman" w:hAnsi="Times New Roman" w:cs="Times New Roman"/>
          <w:bCs/>
        </w:rPr>
      </w:pPr>
      <w:r w:rsidRPr="0079040F">
        <w:rPr>
          <w:rFonts w:ascii="Times New Roman" w:eastAsia="Times New Roman" w:hAnsi="Times New Roman" w:cs="Times New Roman"/>
          <w:b/>
        </w:rPr>
        <w:t>Félévközi feladatok, ismeretek ellenőrzésének rendje:</w:t>
      </w:r>
      <w:r w:rsidRPr="0079040F">
        <w:rPr>
          <w:rFonts w:ascii="Times New Roman" w:eastAsia="Times New Roman" w:hAnsi="Times New Roman" w:cs="Times New Roman"/>
          <w:bCs/>
        </w:rPr>
        <w:t xml:space="preserve"> </w:t>
      </w:r>
    </w:p>
    <w:p w:rsidR="0079040F" w:rsidRPr="0079040F" w:rsidRDefault="0079040F" w:rsidP="00B26B05">
      <w:pPr>
        <w:widowControl w:val="0"/>
        <w:spacing w:before="120" w:after="0" w:line="240" w:lineRule="auto"/>
        <w:ind w:left="357"/>
        <w:jc w:val="both"/>
        <w:rPr>
          <w:rFonts w:ascii="Times New Roman" w:eastAsia="Times New Roman" w:hAnsi="Times New Roman" w:cs="Times New Roman"/>
          <w:lang w:eastAsia="x-none"/>
        </w:rPr>
      </w:pPr>
      <w:r w:rsidRPr="0079040F">
        <w:rPr>
          <w:rFonts w:ascii="Times New Roman" w:eastAsia="Times New Roman" w:hAnsi="Times New Roman" w:cs="Times New Roman"/>
          <w:lang w:val="x-none" w:eastAsia="x-none"/>
        </w:rPr>
        <w:t>A félév során egy zárthelyi dolgozatot ke</w:t>
      </w:r>
      <w:r w:rsidRPr="0079040F">
        <w:rPr>
          <w:rFonts w:ascii="Times New Roman" w:eastAsia="Times New Roman" w:hAnsi="Times New Roman" w:cs="Times New Roman"/>
          <w:lang w:eastAsia="x-none"/>
        </w:rPr>
        <w:t>l</w:t>
      </w:r>
      <w:r w:rsidRPr="0079040F">
        <w:rPr>
          <w:rFonts w:ascii="Times New Roman" w:eastAsia="Times New Roman" w:hAnsi="Times New Roman" w:cs="Times New Roman"/>
          <w:lang w:val="x-none" w:eastAsia="x-none"/>
        </w:rPr>
        <w:t>l megír</w:t>
      </w:r>
      <w:r w:rsidRPr="0079040F">
        <w:rPr>
          <w:rFonts w:ascii="Times New Roman" w:eastAsia="Times New Roman" w:hAnsi="Times New Roman" w:cs="Times New Roman"/>
          <w:lang w:eastAsia="x-none"/>
        </w:rPr>
        <w:t>ni</w:t>
      </w:r>
      <w:r w:rsidRPr="0079040F">
        <w:rPr>
          <w:rFonts w:ascii="Times New Roman" w:eastAsia="Times New Roman" w:hAnsi="Times New Roman" w:cs="Times New Roman"/>
          <w:lang w:val="x-none" w:eastAsia="x-none"/>
        </w:rPr>
        <w:t xml:space="preserve">. </w:t>
      </w:r>
      <w:r w:rsidRPr="0079040F">
        <w:rPr>
          <w:rFonts w:ascii="Times New Roman" w:eastAsia="Times New Roman" w:hAnsi="Times New Roman" w:cs="Times New Roman"/>
          <w:lang w:eastAsia="x-none"/>
        </w:rPr>
        <w:t xml:space="preserve">A zárthelyi dolgozat ötfokozatú skálán értékelendő, 50%+1 pont elégséges, 60% közepes, 75% jó, 90% jeles. </w:t>
      </w:r>
      <w:r w:rsidRPr="0079040F">
        <w:rPr>
          <w:rFonts w:ascii="Times New Roman" w:eastAsia="Times New Roman" w:hAnsi="Times New Roman" w:cs="Times New Roman"/>
          <w:lang w:val="x-none" w:eastAsia="x-none"/>
        </w:rPr>
        <w:t xml:space="preserve">Az elégtelen osztályzatra értékelt dolgozatot a szorgalmi és a vizsgaidőszakban is egy-egy alkalommal lehet pótolni. </w:t>
      </w:r>
    </w:p>
    <w:p w:rsidR="0079040F" w:rsidRPr="0079040F" w:rsidRDefault="0079040F" w:rsidP="00B26B05">
      <w:pPr>
        <w:widowControl w:val="0"/>
        <w:spacing w:after="120" w:line="240" w:lineRule="auto"/>
        <w:ind w:left="357"/>
        <w:jc w:val="both"/>
        <w:rPr>
          <w:rFonts w:ascii="Times New Roman" w:eastAsia="Times New Roman" w:hAnsi="Times New Roman" w:cs="Times New Roman"/>
          <w:lang w:eastAsia="x-none"/>
        </w:rPr>
      </w:pPr>
      <w:r w:rsidRPr="0079040F">
        <w:rPr>
          <w:rFonts w:ascii="Times New Roman" w:hAnsi="Times New Roman" w:cs="Times New Roman"/>
          <w:lang w:val="x-none" w:eastAsia="x-none"/>
        </w:rPr>
        <w:t xml:space="preserve">A félév során </w:t>
      </w:r>
      <w:r w:rsidRPr="0079040F">
        <w:rPr>
          <w:rFonts w:ascii="Times New Roman" w:hAnsi="Times New Roman" w:cs="Times New Roman"/>
          <w:lang w:eastAsia="x-none"/>
        </w:rPr>
        <w:t>egy</w:t>
      </w:r>
      <w:r w:rsidRPr="0079040F">
        <w:rPr>
          <w:rFonts w:ascii="Times New Roman" w:hAnsi="Times New Roman" w:cs="Times New Roman"/>
          <w:lang w:val="x-none" w:eastAsia="x-none"/>
        </w:rPr>
        <w:t xml:space="preserve"> házi feladatot kell elkészíteni minimálisan 1</w:t>
      </w:r>
      <w:r w:rsidR="00777D8A">
        <w:rPr>
          <w:rFonts w:ascii="Times New Roman" w:hAnsi="Times New Roman" w:cs="Times New Roman"/>
          <w:lang w:eastAsia="x-none"/>
        </w:rPr>
        <w:t>5</w:t>
      </w:r>
      <w:r w:rsidRPr="0079040F">
        <w:rPr>
          <w:rFonts w:ascii="Times New Roman" w:hAnsi="Times New Roman" w:cs="Times New Roman"/>
          <w:lang w:val="x-none" w:eastAsia="x-none"/>
        </w:rPr>
        <w:t xml:space="preserve"> oldal</w:t>
      </w:r>
      <w:r w:rsidRPr="0079040F">
        <w:rPr>
          <w:rFonts w:ascii="Times New Roman" w:hAnsi="Times New Roman" w:cs="Times New Roman"/>
          <w:b/>
          <w:lang w:val="x-none" w:eastAsia="x-none"/>
        </w:rPr>
        <w:t xml:space="preserve"> </w:t>
      </w:r>
      <w:r w:rsidRPr="0079040F">
        <w:rPr>
          <w:rFonts w:ascii="Times New Roman" w:hAnsi="Times New Roman" w:cs="Times New Roman"/>
          <w:lang w:val="x-none" w:eastAsia="x-none"/>
        </w:rPr>
        <w:t xml:space="preserve">terjedelemben, a szakdolgozatnak megfelelő formai követelményekkel </w:t>
      </w:r>
      <w:r w:rsidRPr="0079040F">
        <w:rPr>
          <w:rFonts w:ascii="Times New Roman" w:hAnsi="Times New Roman" w:cs="Times New Roman"/>
        </w:rPr>
        <w:t>(TVSZ 5. melléklet)</w:t>
      </w:r>
      <w:r w:rsidRPr="0079040F">
        <w:rPr>
          <w:rFonts w:ascii="Times New Roman" w:hAnsi="Times New Roman" w:cs="Times New Roman"/>
          <w:lang w:val="x-none" w:eastAsia="x-none"/>
        </w:rPr>
        <w:t xml:space="preserve">. </w:t>
      </w:r>
      <w:r w:rsidRPr="0079040F">
        <w:rPr>
          <w:rFonts w:ascii="Times New Roman" w:hAnsi="Times New Roman" w:cs="Times New Roman"/>
          <w:lang w:eastAsia="x-none"/>
        </w:rPr>
        <w:t>A 1</w:t>
      </w:r>
      <w:r w:rsidR="00777D8A">
        <w:rPr>
          <w:rFonts w:ascii="Times New Roman" w:hAnsi="Times New Roman" w:cs="Times New Roman"/>
          <w:lang w:eastAsia="x-none"/>
        </w:rPr>
        <w:t>5</w:t>
      </w:r>
      <w:r w:rsidRPr="0079040F">
        <w:rPr>
          <w:rFonts w:ascii="Times New Roman" w:hAnsi="Times New Roman" w:cs="Times New Roman"/>
          <w:lang w:eastAsia="x-none"/>
        </w:rPr>
        <w:t xml:space="preserve"> oldal terjedelembe a bevezető, a fő rész és a befejezés tartozik csak. </w:t>
      </w:r>
      <w:r w:rsidRPr="0079040F">
        <w:rPr>
          <w:rFonts w:ascii="Times New Roman" w:hAnsi="Times New Roman" w:cs="Times New Roman"/>
          <w:lang w:val="x-none" w:eastAsia="x-none"/>
        </w:rPr>
        <w:t>Az írásbeli munka témáját a hallgató választja</w:t>
      </w:r>
      <w:r w:rsidRPr="0079040F">
        <w:rPr>
          <w:rFonts w:ascii="Times New Roman" w:hAnsi="Times New Roman" w:cs="Times New Roman"/>
          <w:lang w:eastAsia="x-none"/>
        </w:rPr>
        <w:t>,</w:t>
      </w:r>
      <w:r w:rsidRPr="0079040F">
        <w:rPr>
          <w:rFonts w:ascii="Times New Roman" w:hAnsi="Times New Roman" w:cs="Times New Roman"/>
          <w:lang w:val="x-none" w:eastAsia="x-none"/>
        </w:rPr>
        <w:t xml:space="preserve"> a kurzus oktatója </w:t>
      </w:r>
      <w:r w:rsidRPr="0079040F">
        <w:rPr>
          <w:rFonts w:ascii="Times New Roman" w:hAnsi="Times New Roman" w:cs="Times New Roman"/>
          <w:lang w:eastAsia="x-none"/>
        </w:rPr>
        <w:t>jóváhagyja</w:t>
      </w:r>
      <w:r w:rsidRPr="0079040F">
        <w:rPr>
          <w:rFonts w:ascii="Times New Roman" w:hAnsi="Times New Roman" w:cs="Times New Roman"/>
          <w:lang w:val="x-none" w:eastAsia="x-none"/>
        </w:rPr>
        <w:t xml:space="preserve">. A szorgalmi időszakban a beadási határidőig leadott feladat </w:t>
      </w:r>
      <w:r w:rsidRPr="0079040F">
        <w:rPr>
          <w:rFonts w:ascii="Times New Roman" w:hAnsi="Times New Roman" w:cs="Times New Roman"/>
          <w:lang w:eastAsia="x-none"/>
        </w:rPr>
        <w:t>ötfokozatú skálán értékelendő</w:t>
      </w:r>
      <w:r w:rsidRPr="0079040F">
        <w:rPr>
          <w:rFonts w:ascii="Times New Roman" w:hAnsi="Times New Roman" w:cs="Times New Roman"/>
          <w:lang w:val="x-none" w:eastAsia="x-none"/>
        </w:rPr>
        <w:t>, azt javítani a vizsgaidőszak első hetén egy alkalommal lehet.</w:t>
      </w:r>
    </w:p>
    <w:p w:rsidR="0079040F" w:rsidRPr="0079040F" w:rsidRDefault="0079040F" w:rsidP="00980876">
      <w:pPr>
        <w:widowControl w:val="0"/>
        <w:numPr>
          <w:ilvl w:val="0"/>
          <w:numId w:val="302"/>
        </w:numPr>
        <w:spacing w:before="120" w:after="120" w:line="240" w:lineRule="auto"/>
        <w:ind w:left="426" w:hanging="142"/>
        <w:jc w:val="both"/>
        <w:rPr>
          <w:rFonts w:ascii="Times New Roman" w:eastAsia="Times New Roman" w:hAnsi="Times New Roman" w:cs="Times New Roman"/>
          <w:b/>
          <w:bCs/>
        </w:rPr>
      </w:pPr>
      <w:r w:rsidRPr="0079040F">
        <w:rPr>
          <w:rFonts w:ascii="Times New Roman" w:eastAsia="Times New Roman" w:hAnsi="Times New Roman" w:cs="Times New Roman"/>
          <w:b/>
          <w:bCs/>
        </w:rPr>
        <w:lastRenderedPageBreak/>
        <w:t xml:space="preserve">Az értékelés, az aláírás és a kreditek megszerzésének pontos feltételei: </w:t>
      </w:r>
    </w:p>
    <w:p w:rsidR="0079040F" w:rsidRPr="0079040F" w:rsidRDefault="0079040F" w:rsidP="00980876">
      <w:pPr>
        <w:widowControl w:val="0"/>
        <w:numPr>
          <w:ilvl w:val="1"/>
          <w:numId w:val="302"/>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79040F">
        <w:rPr>
          <w:rFonts w:ascii="Times New Roman" w:eastAsia="Times New Roman" w:hAnsi="Times New Roman" w:cs="Times New Roman"/>
          <w:b/>
        </w:rPr>
        <w:t>Az aláírás megszerzésének feltételei:</w:t>
      </w:r>
      <w:r w:rsidRPr="0079040F">
        <w:rPr>
          <w:rFonts w:ascii="Times New Roman" w:eastAsia="Times New Roman" w:hAnsi="Times New Roman" w:cs="Times New Roman"/>
        </w:rPr>
        <w:t xml:space="preserve"> </w:t>
      </w:r>
    </w:p>
    <w:p w:rsidR="0079040F" w:rsidRPr="0079040F" w:rsidRDefault="0079040F" w:rsidP="0079040F">
      <w:pPr>
        <w:spacing w:before="120"/>
        <w:ind w:left="426"/>
        <w:jc w:val="both"/>
        <w:rPr>
          <w:rFonts w:ascii="Times New Roman" w:hAnsi="Times New Roman" w:cs="Times New Roman"/>
        </w:rPr>
      </w:pPr>
      <w:r w:rsidRPr="0079040F">
        <w:rPr>
          <w:rFonts w:ascii="Times New Roman" w:hAnsi="Times New Roman" w:cs="Times New Roman"/>
        </w:rPr>
        <w:t xml:space="preserve">Az aláírás megszerzésnek feltétele a zárthelyi dolgozat legalább elégséges szinten történő teljesítése (min </w:t>
      </w:r>
      <w:r w:rsidRPr="0079040F">
        <w:rPr>
          <w:rFonts w:ascii="Times New Roman" w:eastAsia="Times New Roman" w:hAnsi="Times New Roman" w:cs="Times New Roman"/>
          <w:lang w:eastAsia="x-none"/>
        </w:rPr>
        <w:t>50%+1 pont</w:t>
      </w:r>
      <w:r w:rsidRPr="0079040F">
        <w:rPr>
          <w:rFonts w:ascii="Times New Roman" w:hAnsi="Times New Roman" w:cs="Times New Roman"/>
        </w:rPr>
        <w:t>), a kapott féléves feladat határidőre történő leadása és minimálisan elégséges szintű teljesítése, illetve a tanórák legalább 75%-án való megjelenés.</w:t>
      </w:r>
    </w:p>
    <w:p w:rsidR="0079040F" w:rsidRPr="0079040F" w:rsidRDefault="0079040F" w:rsidP="00980876">
      <w:pPr>
        <w:widowControl w:val="0"/>
        <w:numPr>
          <w:ilvl w:val="1"/>
          <w:numId w:val="302"/>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79040F">
        <w:rPr>
          <w:rFonts w:ascii="Times New Roman" w:eastAsia="Times New Roman" w:hAnsi="Times New Roman" w:cs="Times New Roman"/>
          <w:b/>
        </w:rPr>
        <w:t>Az értékelés:</w:t>
      </w:r>
      <w:r w:rsidRPr="0079040F">
        <w:rPr>
          <w:rFonts w:ascii="Times New Roman" w:eastAsia="Times New Roman" w:hAnsi="Times New Roman" w:cs="Times New Roman"/>
        </w:rPr>
        <w:t xml:space="preserve"> </w:t>
      </w:r>
    </w:p>
    <w:p w:rsidR="0079040F" w:rsidRPr="0079040F" w:rsidRDefault="0079040F" w:rsidP="0079040F">
      <w:pPr>
        <w:spacing w:before="120"/>
        <w:ind w:left="426"/>
        <w:jc w:val="both"/>
        <w:rPr>
          <w:rFonts w:ascii="Times New Roman" w:hAnsi="Times New Roman" w:cs="Times New Roman"/>
          <w:b/>
        </w:rPr>
      </w:pPr>
      <w:r w:rsidRPr="0079040F">
        <w:rPr>
          <w:rFonts w:ascii="Times New Roman" w:hAnsi="Times New Roman" w:cs="Times New Roman"/>
          <w:lang w:val="x-none" w:eastAsia="x-none"/>
        </w:rPr>
        <w:t xml:space="preserve">A tantárgy </w:t>
      </w:r>
      <w:r w:rsidRPr="0079040F">
        <w:rPr>
          <w:rFonts w:ascii="Times New Roman" w:hAnsi="Times New Roman" w:cs="Times New Roman"/>
          <w:b/>
          <w:lang w:val="x-none" w:eastAsia="x-none"/>
        </w:rPr>
        <w:t>félévközi jeggyel</w:t>
      </w:r>
      <w:r w:rsidRPr="0079040F">
        <w:rPr>
          <w:rFonts w:ascii="Times New Roman" w:hAnsi="Times New Roman" w:cs="Times New Roman"/>
          <w:lang w:val="x-none" w:eastAsia="x-none"/>
        </w:rPr>
        <w:t xml:space="preserve"> zárul, </w:t>
      </w:r>
      <w:r w:rsidRPr="0079040F">
        <w:rPr>
          <w:rFonts w:ascii="Times New Roman" w:hAnsi="Times New Roman" w:cs="Times New Roman"/>
          <w:lang w:eastAsia="x-none"/>
        </w:rPr>
        <w:t>a</w:t>
      </w:r>
      <w:r w:rsidRPr="0079040F">
        <w:rPr>
          <w:rFonts w:ascii="Times New Roman" w:hAnsi="Times New Roman" w:cs="Times New Roman"/>
          <w:lang w:val="x-none" w:eastAsia="x-none"/>
        </w:rPr>
        <w:t>mely a zárthelyi dolgozatra és a beadott házi feladatra kapott osztályzatok alapján kerül meghatározásra egyszerű számtani átlaggal.</w:t>
      </w:r>
      <w:r w:rsidRPr="0079040F">
        <w:rPr>
          <w:rFonts w:ascii="Times New Roman" w:hAnsi="Times New Roman" w:cs="Times New Roman"/>
        </w:rPr>
        <w:t xml:space="preserve"> Kétes jegy esetén (pl. 3,5) a zárthelyi jegyét súlyozottan kell beszámítani.</w:t>
      </w:r>
    </w:p>
    <w:p w:rsidR="0079040F" w:rsidRPr="0079040F" w:rsidRDefault="0079040F" w:rsidP="00980876">
      <w:pPr>
        <w:widowControl w:val="0"/>
        <w:numPr>
          <w:ilvl w:val="1"/>
          <w:numId w:val="302"/>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79040F">
        <w:rPr>
          <w:rFonts w:ascii="Times New Roman" w:eastAsia="Times New Roman" w:hAnsi="Times New Roman" w:cs="Times New Roman"/>
          <w:b/>
        </w:rPr>
        <w:t>A kreditek megszerzésének feltételei:</w:t>
      </w:r>
      <w:r w:rsidRPr="0079040F">
        <w:rPr>
          <w:rFonts w:ascii="Times New Roman" w:eastAsia="Times New Roman" w:hAnsi="Times New Roman" w:cs="Times New Roman"/>
        </w:rPr>
        <w:t xml:space="preserve"> </w:t>
      </w:r>
    </w:p>
    <w:p w:rsidR="0079040F" w:rsidRPr="0079040F" w:rsidRDefault="0079040F" w:rsidP="0079040F">
      <w:pPr>
        <w:widowControl w:val="0"/>
        <w:tabs>
          <w:tab w:val="left" w:pos="993"/>
        </w:tabs>
        <w:spacing w:before="120" w:after="120" w:line="240" w:lineRule="auto"/>
        <w:ind w:left="426"/>
        <w:jc w:val="both"/>
        <w:rPr>
          <w:rFonts w:ascii="Times New Roman" w:eastAsia="Times New Roman" w:hAnsi="Times New Roman" w:cs="Times New Roman"/>
        </w:rPr>
      </w:pPr>
      <w:r w:rsidRPr="0079040F">
        <w:rPr>
          <w:rFonts w:ascii="Times New Roman" w:eastAsia="Times New Roman" w:hAnsi="Times New Roman" w:cs="Times New Roman"/>
        </w:rPr>
        <w:t>A kreditek megszerzésének feltétele az aláírás megszerzése és legalább elégséges félévközi jegy.</w:t>
      </w:r>
    </w:p>
    <w:p w:rsidR="0079040F" w:rsidRPr="0079040F" w:rsidRDefault="0079040F" w:rsidP="00980876">
      <w:pPr>
        <w:widowControl w:val="0"/>
        <w:numPr>
          <w:ilvl w:val="0"/>
          <w:numId w:val="302"/>
        </w:numPr>
        <w:tabs>
          <w:tab w:val="num" w:pos="360"/>
        </w:tabs>
        <w:spacing w:before="120" w:after="120" w:line="240" w:lineRule="auto"/>
        <w:ind w:left="426" w:hanging="142"/>
        <w:jc w:val="both"/>
        <w:rPr>
          <w:rFonts w:ascii="Times New Roman" w:eastAsia="Times New Roman" w:hAnsi="Times New Roman" w:cs="Times New Roman"/>
          <w:bCs/>
        </w:rPr>
      </w:pPr>
      <w:r w:rsidRPr="0079040F">
        <w:rPr>
          <w:rFonts w:ascii="Times New Roman" w:eastAsia="Times New Roman" w:hAnsi="Times New Roman" w:cs="Times New Roman"/>
          <w:b/>
          <w:bCs/>
        </w:rPr>
        <w:t>Irodalomjegyzék:</w:t>
      </w:r>
    </w:p>
    <w:p w:rsidR="0079040F" w:rsidRPr="0079040F" w:rsidRDefault="0079040F" w:rsidP="00980876">
      <w:pPr>
        <w:widowControl w:val="0"/>
        <w:numPr>
          <w:ilvl w:val="1"/>
          <w:numId w:val="302"/>
        </w:numPr>
        <w:tabs>
          <w:tab w:val="left" w:pos="567"/>
          <w:tab w:val="left" w:pos="851"/>
          <w:tab w:val="num" w:pos="2069"/>
        </w:tabs>
        <w:spacing w:before="120" w:after="120" w:line="240" w:lineRule="auto"/>
        <w:ind w:left="426" w:hanging="142"/>
        <w:jc w:val="both"/>
        <w:rPr>
          <w:rFonts w:ascii="Times New Roman" w:eastAsia="Times New Roman" w:hAnsi="Times New Roman" w:cs="Times New Roman"/>
          <w:bCs/>
        </w:rPr>
      </w:pPr>
      <w:r w:rsidRPr="0079040F">
        <w:rPr>
          <w:rFonts w:ascii="Times New Roman" w:eastAsia="Times New Roman" w:hAnsi="Times New Roman" w:cs="Times New Roman"/>
          <w:b/>
          <w:bCs/>
        </w:rPr>
        <w:t>Kötelező irodalom:</w:t>
      </w:r>
    </w:p>
    <w:p w:rsidR="0079040F" w:rsidRPr="0079040F" w:rsidRDefault="0079040F" w:rsidP="00980876">
      <w:pPr>
        <w:pStyle w:val="Listaszerbekezds"/>
        <w:numPr>
          <w:ilvl w:val="0"/>
          <w:numId w:val="303"/>
        </w:numPr>
        <w:spacing w:after="0" w:line="240" w:lineRule="auto"/>
        <w:jc w:val="both"/>
        <w:rPr>
          <w:rFonts w:ascii="Times New Roman" w:hAnsi="Times New Roman" w:cs="Times New Roman"/>
        </w:rPr>
      </w:pPr>
      <w:r w:rsidRPr="0079040F">
        <w:rPr>
          <w:rFonts w:ascii="Times New Roman" w:hAnsi="Times New Roman" w:cs="Times New Roman"/>
        </w:rPr>
        <w:t xml:space="preserve">MH Kiképzési Doktrína: A Magyar Honvédség Kiképzési és Doktrinális Központ Kiadványa, 2012. </w:t>
      </w:r>
    </w:p>
    <w:p w:rsidR="0079040F" w:rsidRPr="0079040F" w:rsidRDefault="0079040F" w:rsidP="00980876">
      <w:pPr>
        <w:pStyle w:val="Listaszerbekezds"/>
        <w:numPr>
          <w:ilvl w:val="0"/>
          <w:numId w:val="303"/>
        </w:numPr>
        <w:spacing w:after="0" w:line="240" w:lineRule="auto"/>
        <w:jc w:val="both"/>
        <w:rPr>
          <w:rFonts w:ascii="Times New Roman" w:hAnsi="Times New Roman" w:cs="Times New Roman"/>
        </w:rPr>
      </w:pPr>
      <w:r w:rsidRPr="0079040F">
        <w:rPr>
          <w:rFonts w:ascii="Times New Roman" w:hAnsi="Times New Roman" w:cs="Times New Roman"/>
        </w:rPr>
        <w:t>Módszertani segédlet a logisztikai katonák és alegységek kiképzésére (nyt. szám: Log-224/118.), Bp.: Magyar Honvédség kiadvány, 2015.</w:t>
      </w:r>
    </w:p>
    <w:p w:rsidR="0079040F" w:rsidRPr="0079040F" w:rsidRDefault="0079040F" w:rsidP="00980876">
      <w:pPr>
        <w:pStyle w:val="Listaszerbekezds"/>
        <w:numPr>
          <w:ilvl w:val="0"/>
          <w:numId w:val="303"/>
        </w:numPr>
        <w:spacing w:after="0" w:line="240" w:lineRule="auto"/>
        <w:jc w:val="both"/>
        <w:rPr>
          <w:rFonts w:ascii="Times New Roman" w:hAnsi="Times New Roman" w:cs="Times New Roman"/>
        </w:rPr>
      </w:pPr>
      <w:r w:rsidRPr="0079040F">
        <w:rPr>
          <w:rFonts w:ascii="Times New Roman" w:hAnsi="Times New Roman" w:cs="Times New Roman"/>
        </w:rPr>
        <w:t>Kiképzési normák a hadtápkatonák és hadtápalegységek részére: Magyar Honvédség Kiképzési és Doktrinális Központ Kiadványa, 2015. (Nyt. szám: Log-224/119)</w:t>
      </w:r>
    </w:p>
    <w:p w:rsidR="0079040F" w:rsidRPr="0079040F" w:rsidRDefault="0079040F" w:rsidP="00980876">
      <w:pPr>
        <w:pStyle w:val="Listaszerbekezds"/>
        <w:numPr>
          <w:ilvl w:val="0"/>
          <w:numId w:val="303"/>
        </w:numPr>
        <w:spacing w:after="0" w:line="240" w:lineRule="auto"/>
        <w:jc w:val="both"/>
        <w:rPr>
          <w:rFonts w:ascii="Times New Roman" w:hAnsi="Times New Roman" w:cs="Times New Roman"/>
        </w:rPr>
      </w:pPr>
      <w:r w:rsidRPr="0079040F">
        <w:rPr>
          <w:rFonts w:ascii="Times New Roman" w:hAnsi="Times New Roman" w:cs="Times New Roman"/>
        </w:rPr>
        <w:t>Kiképzési program az MH logisztikai legénységi állományú katonák és alegységek részére: A Magyar Honvédség Kiképzési és Doktrinális Központ Kiadványa, 2015. (Nyt. szám: Log-224/122)</w:t>
      </w:r>
    </w:p>
    <w:p w:rsidR="0079040F" w:rsidRPr="0079040F" w:rsidRDefault="0079040F" w:rsidP="00980876">
      <w:pPr>
        <w:widowControl w:val="0"/>
        <w:numPr>
          <w:ilvl w:val="1"/>
          <w:numId w:val="302"/>
        </w:numPr>
        <w:tabs>
          <w:tab w:val="num" w:pos="567"/>
          <w:tab w:val="num" w:pos="2069"/>
        </w:tabs>
        <w:spacing w:before="120" w:after="120" w:line="240" w:lineRule="auto"/>
        <w:ind w:left="993" w:hanging="709"/>
        <w:jc w:val="both"/>
        <w:rPr>
          <w:rFonts w:ascii="Times New Roman" w:eastAsia="Times New Roman" w:hAnsi="Times New Roman" w:cs="Times New Roman"/>
          <w:b/>
          <w:bCs/>
        </w:rPr>
      </w:pPr>
      <w:r w:rsidRPr="0079040F">
        <w:rPr>
          <w:rFonts w:ascii="Times New Roman" w:eastAsia="Times New Roman" w:hAnsi="Times New Roman" w:cs="Times New Roman"/>
          <w:b/>
          <w:bCs/>
        </w:rPr>
        <w:t>Ajánlott irodalom:</w:t>
      </w:r>
    </w:p>
    <w:p w:rsidR="0079040F" w:rsidRPr="0079040F" w:rsidRDefault="0079040F" w:rsidP="00980876">
      <w:pPr>
        <w:pStyle w:val="Listaszerbekezds"/>
        <w:numPr>
          <w:ilvl w:val="0"/>
          <w:numId w:val="304"/>
        </w:numPr>
        <w:spacing w:after="0" w:line="240" w:lineRule="auto"/>
        <w:jc w:val="both"/>
        <w:rPr>
          <w:rFonts w:ascii="Times New Roman" w:hAnsi="Times New Roman" w:cs="Times New Roman"/>
        </w:rPr>
      </w:pPr>
      <w:r w:rsidRPr="0079040F">
        <w:rPr>
          <w:rFonts w:ascii="Times New Roman" w:hAnsi="Times New Roman" w:cs="Times New Roman"/>
        </w:rPr>
        <w:t>A Magyar Honvédség békefenntartó és válságreagáló kijelölt alegységeinek műveleti követelményei (MH ÖHP dokumentum, Székesfehérvár, 2009.)</w:t>
      </w:r>
    </w:p>
    <w:p w:rsidR="00B26B05" w:rsidRPr="00B87C3E" w:rsidRDefault="00B26B05" w:rsidP="00980876">
      <w:pPr>
        <w:pStyle w:val="Listaszerbekezds"/>
        <w:numPr>
          <w:ilvl w:val="0"/>
          <w:numId w:val="304"/>
        </w:numPr>
        <w:spacing w:after="0" w:line="240" w:lineRule="auto"/>
        <w:jc w:val="both"/>
        <w:rPr>
          <w:rFonts w:ascii="Times New Roman" w:eastAsia="Times New Roman" w:hAnsi="Times New Roman" w:cs="Times New Roman"/>
          <w:lang w:eastAsia="hu-HU"/>
        </w:rPr>
      </w:pPr>
      <w:r w:rsidRPr="00B87C3E">
        <w:rPr>
          <w:rFonts w:ascii="Times New Roman" w:eastAsia="Times New Roman" w:hAnsi="Times New Roman" w:cs="Times New Roman"/>
          <w:lang w:eastAsia="hu-HU"/>
        </w:rPr>
        <w:t>Az Általános Katonai Kiképzés Kézikönyve. I. kötet. A Honvédelmi Minisztérium Hadműveleti és Kiképzési Főosztály Kiadványa. Bp., 2008. (Nyt.sz.: 4/244.). </w:t>
      </w:r>
    </w:p>
    <w:p w:rsidR="0079040F" w:rsidRPr="0079040F" w:rsidRDefault="0079040F" w:rsidP="0079040F">
      <w:pPr>
        <w:pStyle w:val="Listaszerbekezds"/>
        <w:spacing w:after="0" w:line="240" w:lineRule="auto"/>
        <w:ind w:left="709"/>
        <w:jc w:val="both"/>
        <w:rPr>
          <w:rFonts w:ascii="Times New Roman" w:hAnsi="Times New Roman" w:cs="Times New Roman"/>
        </w:rPr>
      </w:pPr>
    </w:p>
    <w:p w:rsidR="0079040F" w:rsidRPr="0079040F" w:rsidRDefault="0079040F" w:rsidP="0079040F">
      <w:pPr>
        <w:widowControl w:val="0"/>
        <w:spacing w:before="120" w:after="120" w:line="240" w:lineRule="auto"/>
        <w:jc w:val="both"/>
        <w:rPr>
          <w:rFonts w:ascii="Times New Roman" w:eastAsia="Times New Roman" w:hAnsi="Times New Roman" w:cs="Times New Roman"/>
          <w:bCs/>
        </w:rPr>
      </w:pPr>
      <w:r w:rsidRPr="0079040F">
        <w:rPr>
          <w:rFonts w:ascii="Times New Roman" w:eastAsia="Times New Roman" w:hAnsi="Times New Roman" w:cs="Times New Roman"/>
          <w:bCs/>
        </w:rPr>
        <w:t xml:space="preserve">Budapest, 2020. </w:t>
      </w:r>
      <w:r w:rsidR="00D94E0A">
        <w:rPr>
          <w:rFonts w:ascii="Times New Roman" w:eastAsia="Times New Roman" w:hAnsi="Times New Roman" w:cs="Times New Roman"/>
          <w:bCs/>
        </w:rPr>
        <w:t>március</w:t>
      </w:r>
      <w:r w:rsidRPr="0079040F">
        <w:rPr>
          <w:rFonts w:ascii="Times New Roman" w:eastAsia="Times New Roman" w:hAnsi="Times New Roman" w:cs="Times New Roman"/>
          <w:bCs/>
        </w:rPr>
        <w:t xml:space="preserve">    -n</w:t>
      </w:r>
    </w:p>
    <w:p w:rsidR="0079040F" w:rsidRPr="0079040F" w:rsidRDefault="0079040F" w:rsidP="0079040F">
      <w:pPr>
        <w:tabs>
          <w:tab w:val="right" w:pos="900"/>
        </w:tabs>
        <w:spacing w:before="120"/>
        <w:ind w:left="1985" w:hanging="1980"/>
        <w:jc w:val="both"/>
        <w:rPr>
          <w:rFonts w:ascii="Times New Roman" w:hAnsi="Times New Roman" w:cs="Times New Roman"/>
          <w:bCs/>
          <w:lang w:eastAsia="x-none"/>
        </w:rPr>
      </w:pPr>
    </w:p>
    <w:p w:rsidR="0079040F" w:rsidRPr="0079040F" w:rsidRDefault="0079040F" w:rsidP="0079040F">
      <w:pPr>
        <w:tabs>
          <w:tab w:val="right" w:pos="900"/>
        </w:tabs>
        <w:spacing w:after="0"/>
        <w:rPr>
          <w:rFonts w:ascii="Times New Roman" w:hAnsi="Times New Roman" w:cs="Times New Roman"/>
          <w:bCs/>
          <w:lang w:val="x-none" w:eastAsia="x-none"/>
        </w:rPr>
      </w:pPr>
      <w:r w:rsidRPr="0079040F">
        <w:rPr>
          <w:rFonts w:ascii="Times New Roman" w:hAnsi="Times New Roman" w:cs="Times New Roman"/>
          <w:b/>
          <w:lang w:eastAsia="x-none"/>
        </w:rPr>
        <w:tab/>
      </w:r>
      <w:r w:rsidRPr="0079040F">
        <w:rPr>
          <w:rFonts w:ascii="Times New Roman" w:hAnsi="Times New Roman" w:cs="Times New Roman"/>
          <w:b/>
          <w:lang w:eastAsia="x-none"/>
        </w:rPr>
        <w:tab/>
      </w:r>
      <w:r w:rsidRPr="0079040F">
        <w:rPr>
          <w:rFonts w:ascii="Times New Roman" w:hAnsi="Times New Roman" w:cs="Times New Roman"/>
          <w:b/>
          <w:lang w:eastAsia="x-none"/>
        </w:rPr>
        <w:tab/>
      </w:r>
      <w:r w:rsidRPr="0079040F">
        <w:rPr>
          <w:rFonts w:ascii="Times New Roman" w:hAnsi="Times New Roman" w:cs="Times New Roman"/>
          <w:b/>
          <w:lang w:eastAsia="x-none"/>
        </w:rPr>
        <w:tab/>
      </w:r>
      <w:r w:rsidRPr="0079040F">
        <w:rPr>
          <w:rFonts w:ascii="Times New Roman" w:hAnsi="Times New Roman" w:cs="Times New Roman"/>
          <w:b/>
          <w:lang w:eastAsia="x-none"/>
        </w:rPr>
        <w:tab/>
      </w:r>
      <w:r w:rsidRPr="0079040F">
        <w:rPr>
          <w:rFonts w:ascii="Times New Roman" w:hAnsi="Times New Roman" w:cs="Times New Roman"/>
          <w:b/>
          <w:lang w:eastAsia="x-none"/>
        </w:rPr>
        <w:tab/>
        <w:t xml:space="preserve">  </w:t>
      </w:r>
      <w:r w:rsidRPr="0079040F">
        <w:rPr>
          <w:rFonts w:ascii="Times New Roman" w:hAnsi="Times New Roman" w:cs="Times New Roman"/>
          <w:b/>
          <w:lang w:eastAsia="x-none"/>
        </w:rPr>
        <w:tab/>
        <w:t xml:space="preserve">      Dr. Szászi Gábor egyetemi docens, PhD</w:t>
      </w:r>
    </w:p>
    <w:p w:rsidR="0079040F" w:rsidRPr="0079040F" w:rsidRDefault="0079040F" w:rsidP="0079040F">
      <w:pPr>
        <w:spacing w:after="0"/>
        <w:ind w:left="5672" w:firstLine="709"/>
        <w:rPr>
          <w:rFonts w:ascii="Times New Roman" w:hAnsi="Times New Roman" w:cs="Times New Roman"/>
        </w:rPr>
      </w:pPr>
      <w:r w:rsidRPr="0079040F">
        <w:rPr>
          <w:rFonts w:ascii="Times New Roman" w:hAnsi="Times New Roman" w:cs="Times New Roman"/>
          <w:bCs/>
        </w:rPr>
        <w:t>tantárgyfelelős</w:t>
      </w:r>
    </w:p>
    <w:p w:rsidR="00FF312A" w:rsidRDefault="00FF312A">
      <w:pPr>
        <w:spacing w:after="200" w:line="276" w:lineRule="auto"/>
        <w:rPr>
          <w:rFonts w:ascii="Times New Roman" w:hAnsi="Times New Roman" w:cs="Times New Roman"/>
          <w:sz w:val="24"/>
        </w:rPr>
      </w:pPr>
    </w:p>
    <w:p w:rsidR="005E6BE6" w:rsidRDefault="005E6BE6">
      <w:pPr>
        <w:spacing w:after="200" w:line="276" w:lineRule="auto"/>
        <w:rPr>
          <w:rFonts w:ascii="Times New Roman" w:hAnsi="Times New Roman" w:cs="Times New Roman"/>
          <w:sz w:val="24"/>
        </w:rPr>
      </w:pPr>
      <w:r>
        <w:rPr>
          <w:rFonts w:ascii="Times New Roman" w:hAnsi="Times New Roman" w:cs="Times New Roman"/>
          <w:sz w:val="24"/>
        </w:rPr>
        <w:br w:type="page"/>
      </w:r>
    </w:p>
    <w:tbl>
      <w:tblPr>
        <w:tblW w:w="9072" w:type="dxa"/>
        <w:tblInd w:w="113" w:type="dxa"/>
        <w:tblLook w:val="01E0" w:firstRow="1" w:lastRow="1" w:firstColumn="1" w:lastColumn="1" w:noHBand="0" w:noVBand="0"/>
      </w:tblPr>
      <w:tblGrid>
        <w:gridCol w:w="4855"/>
        <w:gridCol w:w="1620"/>
        <w:gridCol w:w="2597"/>
      </w:tblGrid>
      <w:tr w:rsidR="005E6BE6" w:rsidTr="0083745E">
        <w:tc>
          <w:tcPr>
            <w:tcW w:w="4855" w:type="dxa"/>
            <w:tcBorders>
              <w:top w:val="nil"/>
              <w:left w:val="nil"/>
              <w:bottom w:val="single" w:sz="4" w:space="0" w:color="auto"/>
              <w:right w:val="nil"/>
            </w:tcBorders>
            <w:hideMark/>
          </w:tcPr>
          <w:p w:rsidR="005E6BE6" w:rsidRDefault="005E6BE6" w:rsidP="0083745E">
            <w:pPr>
              <w:spacing w:after="0" w:line="240" w:lineRule="auto"/>
              <w:jc w:val="center"/>
              <w:rPr>
                <w:rFonts w:ascii="Times New Roman" w:eastAsia="Times New Roman" w:hAnsi="Times New Roman" w:cs="Times New Roman"/>
                <w:b/>
                <w:smallCaps/>
                <w:lang w:eastAsia="hu-HU"/>
              </w:rPr>
            </w:pPr>
            <w:r>
              <w:rPr>
                <w:rFonts w:ascii="Times New Roman" w:eastAsia="Times New Roman" w:hAnsi="Times New Roman" w:cs="Times New Roman"/>
                <w:b/>
                <w:smallCaps/>
                <w:lang w:eastAsia="hu-HU"/>
              </w:rPr>
              <w:lastRenderedPageBreak/>
              <w:t>Nemzeti Közszolgálati Egyetem</w:t>
            </w:r>
          </w:p>
        </w:tc>
        <w:tc>
          <w:tcPr>
            <w:tcW w:w="1620" w:type="dxa"/>
          </w:tcPr>
          <w:p w:rsidR="005E6BE6" w:rsidRDefault="005E6BE6" w:rsidP="0083745E">
            <w:pPr>
              <w:spacing w:after="0" w:line="240" w:lineRule="auto"/>
              <w:jc w:val="both"/>
              <w:rPr>
                <w:rFonts w:ascii="Times New Roman" w:eastAsia="Times New Roman" w:hAnsi="Times New Roman" w:cs="Times New Roman"/>
                <w:lang w:eastAsia="hu-HU"/>
              </w:rPr>
            </w:pPr>
          </w:p>
        </w:tc>
        <w:tc>
          <w:tcPr>
            <w:tcW w:w="2597" w:type="dxa"/>
          </w:tcPr>
          <w:p w:rsidR="005E6BE6" w:rsidRDefault="005E6BE6" w:rsidP="0083745E">
            <w:pPr>
              <w:spacing w:after="0" w:line="240" w:lineRule="auto"/>
              <w:jc w:val="right"/>
              <w:rPr>
                <w:rFonts w:ascii="Times New Roman" w:eastAsia="Times New Roman" w:hAnsi="Times New Roman" w:cs="Times New Roman"/>
                <w:lang w:eastAsia="hu-HU"/>
              </w:rPr>
            </w:pPr>
          </w:p>
        </w:tc>
      </w:tr>
      <w:tr w:rsidR="005E6BE6" w:rsidTr="0083745E">
        <w:tc>
          <w:tcPr>
            <w:tcW w:w="4855" w:type="dxa"/>
            <w:tcBorders>
              <w:top w:val="single" w:sz="4" w:space="0" w:color="auto"/>
              <w:left w:val="nil"/>
              <w:bottom w:val="nil"/>
              <w:right w:val="nil"/>
            </w:tcBorders>
            <w:hideMark/>
          </w:tcPr>
          <w:p w:rsidR="005E6BE6" w:rsidRDefault="005E6BE6" w:rsidP="0083745E">
            <w:pPr>
              <w:spacing w:after="0" w:line="240" w:lineRule="auto"/>
              <w:jc w:val="center"/>
              <w:rPr>
                <w:rFonts w:ascii="Times New Roman" w:eastAsia="Times New Roman" w:hAnsi="Times New Roman" w:cs="Times New Roman"/>
                <w:b/>
                <w:lang w:eastAsia="hu-HU"/>
              </w:rPr>
            </w:pPr>
            <w:r>
              <w:rPr>
                <w:rFonts w:ascii="Times New Roman" w:eastAsia="Times New Roman" w:hAnsi="Times New Roman" w:cs="Times New Roman"/>
                <w:b/>
                <w:lang w:eastAsia="hu-HU"/>
              </w:rPr>
              <w:t>Hadtudományi és Honvédtisztképző Kar</w:t>
            </w:r>
          </w:p>
        </w:tc>
        <w:tc>
          <w:tcPr>
            <w:tcW w:w="1620" w:type="dxa"/>
          </w:tcPr>
          <w:p w:rsidR="005E6BE6" w:rsidRDefault="005E6BE6" w:rsidP="0083745E">
            <w:pPr>
              <w:spacing w:after="0" w:line="240" w:lineRule="auto"/>
              <w:jc w:val="both"/>
              <w:rPr>
                <w:rFonts w:ascii="Times New Roman" w:eastAsia="Times New Roman" w:hAnsi="Times New Roman" w:cs="Times New Roman"/>
                <w:lang w:eastAsia="hu-HU"/>
              </w:rPr>
            </w:pPr>
          </w:p>
        </w:tc>
        <w:tc>
          <w:tcPr>
            <w:tcW w:w="2597" w:type="dxa"/>
          </w:tcPr>
          <w:p w:rsidR="005E6BE6" w:rsidRDefault="005E6BE6" w:rsidP="0083745E">
            <w:pPr>
              <w:spacing w:after="0" w:line="240" w:lineRule="auto"/>
              <w:jc w:val="both"/>
              <w:rPr>
                <w:rFonts w:ascii="Times New Roman" w:eastAsia="Times New Roman" w:hAnsi="Times New Roman" w:cs="Times New Roman"/>
                <w:lang w:eastAsia="hu-HU"/>
              </w:rPr>
            </w:pPr>
          </w:p>
        </w:tc>
      </w:tr>
    </w:tbl>
    <w:p w:rsidR="005E6BE6" w:rsidRDefault="005E6BE6" w:rsidP="005E6BE6">
      <w:pPr>
        <w:widowControl w:val="0"/>
        <w:spacing w:before="120" w:after="120" w:line="240" w:lineRule="auto"/>
        <w:ind w:left="426" w:hanging="142"/>
        <w:jc w:val="center"/>
        <w:rPr>
          <w:rFonts w:ascii="Times New Roman" w:eastAsia="Times New Roman" w:hAnsi="Times New Roman" w:cs="Times New Roman"/>
          <w:b/>
          <w:bCs/>
        </w:rPr>
      </w:pPr>
    </w:p>
    <w:p w:rsidR="005E6BE6" w:rsidRDefault="005E6BE6" w:rsidP="005E6BE6">
      <w:pPr>
        <w:widowControl w:val="0"/>
        <w:spacing w:before="120" w:after="120" w:line="240" w:lineRule="auto"/>
        <w:ind w:left="426" w:hanging="142"/>
        <w:jc w:val="center"/>
        <w:rPr>
          <w:rFonts w:ascii="Times New Roman" w:eastAsia="Times New Roman" w:hAnsi="Times New Roman" w:cs="Times New Roman"/>
          <w:b/>
          <w:bCs/>
        </w:rPr>
      </w:pPr>
      <w:r>
        <w:rPr>
          <w:rFonts w:ascii="Times New Roman" w:eastAsia="Times New Roman" w:hAnsi="Times New Roman" w:cs="Times New Roman"/>
          <w:b/>
          <w:bCs/>
        </w:rPr>
        <w:t>TANTÁRGYI PROGRAM</w:t>
      </w:r>
    </w:p>
    <w:p w:rsidR="005E6BE6" w:rsidRDefault="005E6BE6" w:rsidP="00980876">
      <w:pPr>
        <w:widowControl w:val="0"/>
        <w:numPr>
          <w:ilvl w:val="0"/>
          <w:numId w:val="306"/>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 tantárgy kódja: </w:t>
      </w:r>
      <w:r w:rsidRPr="006402BC">
        <w:rPr>
          <w:rFonts w:ascii="Times New Roman" w:hAnsi="Times New Roman" w:cs="Times New Roman"/>
          <w:bCs/>
        </w:rPr>
        <w:t>HKHPKA117</w:t>
      </w:r>
    </w:p>
    <w:p w:rsidR="005E6BE6" w:rsidRDefault="005E6BE6" w:rsidP="00980876">
      <w:pPr>
        <w:widowControl w:val="0"/>
        <w:numPr>
          <w:ilvl w:val="0"/>
          <w:numId w:val="306"/>
        </w:numPr>
        <w:spacing w:before="120" w:after="120" w:line="240" w:lineRule="auto"/>
        <w:ind w:left="426" w:hanging="142"/>
        <w:jc w:val="both"/>
        <w:rPr>
          <w:rFonts w:ascii="Times New Roman" w:eastAsia="Times New Roman" w:hAnsi="Times New Roman" w:cs="Times New Roman"/>
          <w:b/>
          <w:bCs/>
          <w:lang w:val="en-GB"/>
        </w:rPr>
      </w:pPr>
      <w:r>
        <w:rPr>
          <w:rFonts w:ascii="Times New Roman" w:eastAsia="Times New Roman" w:hAnsi="Times New Roman" w:cs="Times New Roman"/>
          <w:b/>
          <w:bCs/>
        </w:rPr>
        <w:t>A tantárgy megnevezése (magyarul):</w:t>
      </w:r>
      <w:r>
        <w:rPr>
          <w:rFonts w:ascii="Times New Roman" w:eastAsia="Times New Roman" w:hAnsi="Times New Roman" w:cs="Times New Roman"/>
          <w:bCs/>
        </w:rPr>
        <w:t xml:space="preserve"> </w:t>
      </w:r>
      <w:r>
        <w:rPr>
          <w:rFonts w:ascii="Times New Roman" w:hAnsi="Times New Roman" w:cs="Times New Roman"/>
          <w:bCs/>
        </w:rPr>
        <w:t>Beszerzési ismeretek</w:t>
      </w:r>
    </w:p>
    <w:p w:rsidR="005E6BE6" w:rsidRDefault="005E6BE6" w:rsidP="00980876">
      <w:pPr>
        <w:widowControl w:val="0"/>
        <w:numPr>
          <w:ilvl w:val="0"/>
          <w:numId w:val="306"/>
        </w:numPr>
        <w:spacing w:before="120" w:after="120" w:line="240" w:lineRule="auto"/>
        <w:ind w:left="426" w:hanging="142"/>
        <w:jc w:val="both"/>
        <w:rPr>
          <w:rFonts w:ascii="Times New Roman" w:eastAsia="Times New Roman" w:hAnsi="Times New Roman" w:cs="Times New Roman"/>
          <w:b/>
          <w:bCs/>
          <w:lang w:val="en-GB"/>
        </w:rPr>
      </w:pPr>
      <w:r>
        <w:rPr>
          <w:rFonts w:ascii="Times New Roman" w:eastAsia="Times New Roman" w:hAnsi="Times New Roman" w:cs="Times New Roman"/>
          <w:b/>
          <w:bCs/>
        </w:rPr>
        <w:t xml:space="preserve">A tantárgy megnevezése (angolul): </w:t>
      </w:r>
      <w:r>
        <w:rPr>
          <w:rFonts w:ascii="Times New Roman" w:hAnsi="Times New Roman" w:cs="Times New Roman"/>
          <w:bCs/>
          <w:lang w:val="en-GB"/>
        </w:rPr>
        <w:t>Knowledge of procurement</w:t>
      </w:r>
    </w:p>
    <w:p w:rsidR="005E6BE6" w:rsidRDefault="005E6BE6" w:rsidP="00980876">
      <w:pPr>
        <w:widowControl w:val="0"/>
        <w:numPr>
          <w:ilvl w:val="0"/>
          <w:numId w:val="306"/>
        </w:numPr>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Kreditérték és képzési karakter: </w:t>
      </w:r>
    </w:p>
    <w:p w:rsidR="005E6BE6" w:rsidRDefault="005E6BE6" w:rsidP="00980876">
      <w:pPr>
        <w:widowControl w:val="0"/>
        <w:numPr>
          <w:ilvl w:val="1"/>
          <w:numId w:val="306"/>
        </w:numPr>
        <w:spacing w:before="120" w:after="120" w:line="240" w:lineRule="auto"/>
        <w:ind w:left="993" w:hanging="426"/>
        <w:contextualSpacing/>
        <w:jc w:val="both"/>
        <w:rPr>
          <w:rFonts w:ascii="Times New Roman" w:eastAsia="Times New Roman" w:hAnsi="Times New Roman" w:cs="Times New Roman"/>
          <w:b/>
          <w:bCs/>
        </w:rPr>
      </w:pPr>
      <w:r>
        <w:rPr>
          <w:rFonts w:ascii="Times New Roman" w:eastAsia="Times New Roman" w:hAnsi="Times New Roman" w:cs="Times New Roman"/>
          <w:bCs/>
        </w:rPr>
        <w:t>2 kredit</w:t>
      </w:r>
    </w:p>
    <w:p w:rsidR="005E6BE6" w:rsidRDefault="005E6BE6" w:rsidP="00980876">
      <w:pPr>
        <w:widowControl w:val="0"/>
        <w:numPr>
          <w:ilvl w:val="1"/>
          <w:numId w:val="306"/>
        </w:numPr>
        <w:spacing w:before="120" w:after="120" w:line="240" w:lineRule="auto"/>
        <w:ind w:left="993" w:hanging="426"/>
        <w:contextualSpacing/>
        <w:jc w:val="both"/>
        <w:rPr>
          <w:rFonts w:ascii="Times New Roman" w:eastAsia="Times New Roman" w:hAnsi="Times New Roman" w:cs="Times New Roman"/>
          <w:b/>
          <w:bCs/>
        </w:rPr>
      </w:pPr>
      <w:r>
        <w:rPr>
          <w:rFonts w:ascii="Times New Roman" w:eastAsia="Times New Roman" w:hAnsi="Times New Roman" w:cs="Times New Roman"/>
          <w:bCs/>
        </w:rPr>
        <w:t>a tantárgy elméleti vagy gyakorlati jellegének mértéke: 20% gyakorlat, 80% elmélet</w:t>
      </w:r>
      <w:r>
        <w:rPr>
          <w:rFonts w:ascii="Times New Roman" w:eastAsia="Times New Roman" w:hAnsi="Times New Roman" w:cs="Times New Roman"/>
          <w:b/>
          <w:bCs/>
          <w:color w:val="FFFFFF" w:themeColor="background1"/>
        </w:rPr>
        <w:t>/specializációk megnevezése (ahol oktatják):</w:t>
      </w:r>
      <w:r>
        <w:rPr>
          <w:rFonts w:ascii="Times New Roman" w:eastAsia="Times New Roman" w:hAnsi="Times New Roman" w:cs="Times New Roman"/>
          <w:bCs/>
          <w:color w:val="FFFFFF" w:themeColor="background1"/>
        </w:rPr>
        <w:t xml:space="preserve"> </w:t>
      </w:r>
      <w:r>
        <w:rPr>
          <w:rFonts w:ascii="Times New Roman" w:hAnsi="Times New Roman" w:cs="Times New Roman"/>
          <w:bCs/>
          <w:color w:val="FFFFFF" w:themeColor="background1"/>
        </w:rPr>
        <w:t xml:space="preserve">NKE HHK </w:t>
      </w:r>
    </w:p>
    <w:p w:rsidR="005E6BE6" w:rsidRDefault="005E6BE6" w:rsidP="00980876">
      <w:pPr>
        <w:widowControl w:val="0"/>
        <w:numPr>
          <w:ilvl w:val="0"/>
          <w:numId w:val="306"/>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 szak(ok), szakirányok/specializációk megnevezése (ahol oktatják): </w:t>
      </w:r>
      <w:r>
        <w:rPr>
          <w:rFonts w:ascii="Times New Roman" w:eastAsia="Times New Roman" w:hAnsi="Times New Roman" w:cs="Times New Roman"/>
          <w:bCs/>
        </w:rPr>
        <w:t>Katonai logisztika alapképzési (</w:t>
      </w:r>
      <w:r w:rsidR="00137B8A">
        <w:rPr>
          <w:rFonts w:ascii="Times New Roman" w:eastAsia="Times New Roman" w:hAnsi="Times New Roman" w:cs="Times New Roman"/>
          <w:bCs/>
        </w:rPr>
        <w:t>BSc</w:t>
      </w:r>
      <w:r>
        <w:rPr>
          <w:rFonts w:ascii="Times New Roman" w:eastAsia="Times New Roman" w:hAnsi="Times New Roman" w:cs="Times New Roman"/>
          <w:bCs/>
        </w:rPr>
        <w:t>) szak hadtáp specializáció, katonai közlekedési specializáció, katonai pénzügyi specializáció.</w:t>
      </w:r>
    </w:p>
    <w:p w:rsidR="005E6BE6" w:rsidRDefault="005E6BE6" w:rsidP="00980876">
      <w:pPr>
        <w:widowControl w:val="0"/>
        <w:numPr>
          <w:ilvl w:val="0"/>
          <w:numId w:val="306"/>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Az oktatásért felelős oktatási szervezeti egység megnevezése: </w:t>
      </w:r>
      <w:r>
        <w:rPr>
          <w:rFonts w:ascii="Times New Roman" w:eastAsia="Times New Roman" w:hAnsi="Times New Roman" w:cs="Times New Roman"/>
          <w:bCs/>
        </w:rPr>
        <w:t>NKE HHK Hadtáp, Pénzügyi és Katonai Közlekedési Tanszék</w:t>
      </w:r>
    </w:p>
    <w:p w:rsidR="005E6BE6" w:rsidRDefault="005E6BE6" w:rsidP="00980876">
      <w:pPr>
        <w:widowControl w:val="0"/>
        <w:numPr>
          <w:ilvl w:val="0"/>
          <w:numId w:val="306"/>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tantárgyfelelős oktató neve, beosztása, tudományos fokozata:</w:t>
      </w:r>
      <w:r>
        <w:rPr>
          <w:rFonts w:ascii="Times New Roman" w:eastAsia="Times New Roman" w:hAnsi="Times New Roman" w:cs="Times New Roman"/>
          <w:bCs/>
        </w:rPr>
        <w:t xml:space="preserve"> </w:t>
      </w:r>
      <w:r>
        <w:rPr>
          <w:rFonts w:ascii="Times New Roman" w:hAnsi="Times New Roman" w:cs="Times New Roman"/>
          <w:bCs/>
        </w:rPr>
        <w:t>Dr. Derzsényi Attila, PhD adjunktus</w:t>
      </w:r>
    </w:p>
    <w:p w:rsidR="005E6BE6" w:rsidRDefault="005E6BE6" w:rsidP="00980876">
      <w:pPr>
        <w:widowControl w:val="0"/>
        <w:numPr>
          <w:ilvl w:val="0"/>
          <w:numId w:val="306"/>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tanórák száma és típusa</w:t>
      </w:r>
    </w:p>
    <w:p w:rsidR="005E6BE6" w:rsidRDefault="005E6BE6" w:rsidP="00980876">
      <w:pPr>
        <w:widowControl w:val="0"/>
        <w:numPr>
          <w:ilvl w:val="1"/>
          <w:numId w:val="306"/>
        </w:numPr>
        <w:tabs>
          <w:tab w:val="num" w:pos="2069"/>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össz óraszám/félév:</w:t>
      </w:r>
    </w:p>
    <w:p w:rsidR="005E6BE6" w:rsidRDefault="005E6BE6" w:rsidP="00980876">
      <w:pPr>
        <w:widowControl w:val="0"/>
        <w:numPr>
          <w:ilvl w:val="2"/>
          <w:numId w:val="306"/>
        </w:numPr>
        <w:tabs>
          <w:tab w:val="num" w:pos="1134"/>
        </w:tabs>
        <w:spacing w:after="0" w:line="240" w:lineRule="auto"/>
        <w:ind w:left="1134" w:hanging="425"/>
        <w:jc w:val="both"/>
        <w:rPr>
          <w:rFonts w:ascii="Times New Roman" w:eastAsia="Times New Roman" w:hAnsi="Times New Roman" w:cs="Times New Roman"/>
          <w:bCs/>
        </w:rPr>
      </w:pPr>
      <w:r>
        <w:rPr>
          <w:rFonts w:ascii="Times New Roman" w:eastAsia="Times New Roman" w:hAnsi="Times New Roman" w:cs="Times New Roman"/>
          <w:bCs/>
        </w:rPr>
        <w:t>nappali munkarend: 28 (24 EA + 4 SZ + 0 GY)</w:t>
      </w:r>
    </w:p>
    <w:p w:rsidR="005E6BE6" w:rsidRDefault="005E6BE6" w:rsidP="00980876">
      <w:pPr>
        <w:widowControl w:val="0"/>
        <w:numPr>
          <w:ilvl w:val="2"/>
          <w:numId w:val="306"/>
        </w:numPr>
        <w:tabs>
          <w:tab w:val="num" w:pos="1134"/>
        </w:tabs>
        <w:spacing w:after="0" w:line="240" w:lineRule="auto"/>
        <w:ind w:left="1134" w:hanging="425"/>
        <w:jc w:val="both"/>
        <w:rPr>
          <w:rFonts w:ascii="Times New Roman" w:eastAsia="Times New Roman" w:hAnsi="Times New Roman" w:cs="Times New Roman"/>
          <w:bCs/>
        </w:rPr>
      </w:pPr>
      <w:r>
        <w:rPr>
          <w:rFonts w:ascii="Times New Roman" w:eastAsia="Times New Roman" w:hAnsi="Times New Roman" w:cs="Times New Roman"/>
          <w:bCs/>
        </w:rPr>
        <w:t>levelező munkarend: -</w:t>
      </w:r>
    </w:p>
    <w:p w:rsidR="005E6BE6" w:rsidRDefault="005E6BE6" w:rsidP="00980876">
      <w:pPr>
        <w:widowControl w:val="0"/>
        <w:numPr>
          <w:ilvl w:val="1"/>
          <w:numId w:val="306"/>
        </w:numPr>
        <w:tabs>
          <w:tab w:val="num" w:pos="2069"/>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heti óraszám - nappali munkarend: 2</w:t>
      </w:r>
    </w:p>
    <w:p w:rsidR="005E6BE6" w:rsidRDefault="005E6BE6" w:rsidP="00980876">
      <w:pPr>
        <w:widowControl w:val="0"/>
        <w:numPr>
          <w:ilvl w:val="1"/>
          <w:numId w:val="306"/>
        </w:numPr>
        <w:tabs>
          <w:tab w:val="num" w:pos="2069"/>
        </w:tabs>
        <w:spacing w:before="120" w:after="120" w:line="240" w:lineRule="auto"/>
        <w:ind w:left="851" w:hanging="425"/>
        <w:jc w:val="both"/>
        <w:rPr>
          <w:rFonts w:ascii="Times New Roman" w:eastAsia="Times New Roman" w:hAnsi="Times New Roman" w:cs="Times New Roman"/>
          <w:bCs/>
        </w:rPr>
      </w:pPr>
      <w:r>
        <w:rPr>
          <w:rFonts w:ascii="Times New Roman" w:hAnsi="Times New Roman" w:cs="Times New Roman"/>
        </w:rPr>
        <w:t>Az ismeret átadásában alkalmazandó további sajátos módok, jellemzők:</w:t>
      </w:r>
      <w:r>
        <w:rPr>
          <w:rFonts w:ascii="Times New Roman" w:hAnsi="Times New Roman" w:cs="Times New Roman"/>
          <w:i/>
        </w:rPr>
        <w:t xml:space="preserve"> –</w:t>
      </w:r>
    </w:p>
    <w:p w:rsidR="005E6BE6" w:rsidRDefault="005E6BE6" w:rsidP="00980876">
      <w:pPr>
        <w:widowControl w:val="0"/>
        <w:numPr>
          <w:ilvl w:val="0"/>
          <w:numId w:val="306"/>
        </w:numPr>
        <w:spacing w:before="120" w:after="120" w:line="240" w:lineRule="auto"/>
        <w:ind w:left="426" w:hanging="142"/>
        <w:jc w:val="both"/>
        <w:rPr>
          <w:rFonts w:ascii="Times New Roman" w:eastAsia="Times New Roman" w:hAnsi="Times New Roman" w:cs="Times New Roman"/>
          <w:bCs/>
          <w:lang w:val="en-GB"/>
        </w:rPr>
      </w:pPr>
      <w:r>
        <w:rPr>
          <w:rFonts w:ascii="Times New Roman" w:eastAsia="Times New Roman" w:hAnsi="Times New Roman" w:cs="Times New Roman"/>
          <w:b/>
          <w:bCs/>
        </w:rPr>
        <w:t>A tantárgy szakmai tartalma (magyarul):</w:t>
      </w:r>
    </w:p>
    <w:p w:rsidR="005E6BE6" w:rsidRDefault="005E6BE6" w:rsidP="005E6BE6">
      <w:pPr>
        <w:pStyle w:val="lfej"/>
        <w:tabs>
          <w:tab w:val="right" w:pos="900"/>
        </w:tabs>
        <w:spacing w:before="120"/>
        <w:ind w:left="360"/>
        <w:jc w:val="both"/>
        <w:rPr>
          <w:rFonts w:ascii="Times New Roman" w:hAnsi="Times New Roman" w:cs="Times New Roman"/>
          <w:bCs/>
        </w:rPr>
      </w:pPr>
      <w:r>
        <w:rPr>
          <w:rFonts w:ascii="Times New Roman" w:hAnsi="Times New Roman" w:cs="Times New Roman"/>
          <w:bCs/>
        </w:rPr>
        <w:t>A hallgatók átfogó módon ismerkedhetnek meg a Magyar Honvédség beszerzését meghatározó alapvető jogszabályokkal, és a beszerzés működését befolyásoló intézkedésekkel. A védelmi, közbeszerzési és speciális katonai eljárások előkészítésének és lefolytatásának alapjai. A szakmai, beszerzési, jogi és pénzügyi szakértelemmel rendelkező tagok feladatai és felelősségei. A honvédség beszerzési eljárásainak sajátosságai.</w:t>
      </w:r>
    </w:p>
    <w:p w:rsidR="005E6BE6" w:rsidRDefault="005E6BE6" w:rsidP="005E6BE6">
      <w:pPr>
        <w:widowControl w:val="0"/>
        <w:spacing w:before="120" w:after="120" w:line="240" w:lineRule="auto"/>
        <w:ind w:left="426"/>
        <w:jc w:val="both"/>
        <w:rPr>
          <w:rFonts w:ascii="Times New Roman" w:eastAsia="Times New Roman" w:hAnsi="Times New Roman" w:cs="Times New Roman"/>
          <w:bCs/>
        </w:rPr>
      </w:pPr>
      <w:r>
        <w:rPr>
          <w:rFonts w:ascii="Times New Roman" w:eastAsia="Times New Roman" w:hAnsi="Times New Roman" w:cs="Times New Roman"/>
          <w:b/>
          <w:bCs/>
        </w:rPr>
        <w:t>A tantárgy szakmai tartalma (angolul) (</w:t>
      </w:r>
      <w:r>
        <w:rPr>
          <w:rFonts w:ascii="Times New Roman" w:eastAsia="Times New Roman" w:hAnsi="Times New Roman" w:cs="Times New Roman"/>
          <w:b/>
          <w:bCs/>
          <w:lang w:val="en-US"/>
        </w:rPr>
        <w:t>Course description</w:t>
      </w:r>
      <w:r>
        <w:rPr>
          <w:rFonts w:ascii="Times New Roman" w:eastAsia="Times New Roman" w:hAnsi="Times New Roman" w:cs="Times New Roman"/>
          <w:b/>
          <w:bCs/>
        </w:rPr>
        <w:t>):</w:t>
      </w:r>
    </w:p>
    <w:p w:rsidR="005E6BE6" w:rsidRDefault="005E6BE6" w:rsidP="005E6BE6">
      <w:pPr>
        <w:tabs>
          <w:tab w:val="right" w:pos="426"/>
          <w:tab w:val="center" w:pos="4536"/>
          <w:tab w:val="right" w:pos="9072"/>
        </w:tabs>
        <w:spacing w:after="0" w:line="240" w:lineRule="auto"/>
        <w:ind w:left="426"/>
        <w:jc w:val="both"/>
        <w:rPr>
          <w:rFonts w:ascii="Times New Roman" w:eastAsia="Times New Roman" w:hAnsi="Times New Roman" w:cs="Times New Roman"/>
          <w:bCs/>
          <w:lang w:val="en-GB" w:eastAsia="hu-HU"/>
        </w:rPr>
      </w:pPr>
      <w:r>
        <w:rPr>
          <w:rFonts w:ascii="Times New Roman" w:eastAsia="Times New Roman" w:hAnsi="Times New Roman" w:cs="Times New Roman"/>
          <w:bCs/>
          <w:lang w:val="en" w:eastAsia="hu-HU"/>
        </w:rPr>
        <w:t xml:space="preserve">Students can get acquainted with the basic laws defining the procurement of the Hungarian Defense Forces and the professional measures affecting the operation of procurement. </w:t>
      </w:r>
      <w:r>
        <w:rPr>
          <w:rFonts w:ascii="Times New Roman" w:eastAsia="Times New Roman" w:hAnsi="Times New Roman" w:cs="Times New Roman"/>
          <w:bCs/>
          <w:lang w:val="en-GB" w:eastAsia="hu-HU"/>
        </w:rPr>
        <w:t>The preparation and conduct of the defence and security, public procurement and special military procedures. Duties and responsibilities of the professional, legal, financial and procurement members</w:t>
      </w:r>
    </w:p>
    <w:p w:rsidR="005E6BE6" w:rsidRDefault="005E6BE6" w:rsidP="00980876">
      <w:pPr>
        <w:widowControl w:val="0"/>
        <w:numPr>
          <w:ilvl w:val="0"/>
          <w:numId w:val="306"/>
        </w:numPr>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Elérendő kompetenciák (magyarul):</w:t>
      </w:r>
    </w:p>
    <w:p w:rsidR="005E6BE6" w:rsidRDefault="005E6BE6" w:rsidP="005E6BE6">
      <w:pPr>
        <w:spacing w:before="120" w:after="0" w:line="240" w:lineRule="auto"/>
        <w:ind w:left="426" w:right="141"/>
        <w:jc w:val="both"/>
        <w:rPr>
          <w:rFonts w:ascii="Times New Roman" w:hAnsi="Times New Roman" w:cs="Times New Roman"/>
          <w:bCs/>
        </w:rPr>
      </w:pPr>
      <w:r>
        <w:rPr>
          <w:rFonts w:ascii="Times New Roman" w:hAnsi="Times New Roman" w:cs="Times New Roman"/>
          <w:bCs/>
        </w:rPr>
        <w:t xml:space="preserve">A katonai beszerzéshez kapcsolódó jogi szabályozók, alapvető fogalmak, alapelvek, valamint a katonai beszerzési eljárásrenddel, az intézményrendszerével kapcsolatos jogi és igazgatási,  a  gazdasági  és  pénzügyi,  valamint  a  menedzsment  tudományok  területéről szerzett,  elméleti  és  gyakorlati  ismeretek  elsajátítása  és  azok  alkalmazási  készsége,  honvédség specialitásainak figyelembevételével. </w:t>
      </w:r>
    </w:p>
    <w:p w:rsidR="005E6BE6" w:rsidRDefault="005E6BE6" w:rsidP="005E6BE6">
      <w:pPr>
        <w:spacing w:before="120" w:after="0" w:line="240" w:lineRule="auto"/>
        <w:ind w:left="426" w:right="141"/>
        <w:jc w:val="both"/>
        <w:rPr>
          <w:rFonts w:ascii="Times New Roman" w:hAnsi="Times New Roman" w:cs="Times New Roman"/>
          <w:b/>
          <w:bCs/>
        </w:rPr>
      </w:pPr>
      <w:r>
        <w:rPr>
          <w:rFonts w:ascii="Times New Roman" w:hAnsi="Times New Roman" w:cs="Times New Roman"/>
          <w:b/>
          <w:bCs/>
        </w:rPr>
        <w:t xml:space="preserve">Tudás: </w:t>
      </w:r>
    </w:p>
    <w:p w:rsidR="005E6BE6" w:rsidRPr="006402BC" w:rsidRDefault="005E6BE6" w:rsidP="00980876">
      <w:pPr>
        <w:pStyle w:val="Listaszerbekezds"/>
        <w:numPr>
          <w:ilvl w:val="0"/>
          <w:numId w:val="305"/>
        </w:numPr>
        <w:spacing w:after="0" w:line="240" w:lineRule="auto"/>
        <w:ind w:left="993" w:right="142" w:hanging="357"/>
        <w:jc w:val="both"/>
        <w:rPr>
          <w:rFonts w:ascii="Times New Roman" w:hAnsi="Times New Roman" w:cs="Times New Roman"/>
          <w:b/>
          <w:bCs/>
        </w:rPr>
      </w:pPr>
      <w:r w:rsidRPr="006402BC">
        <w:rPr>
          <w:rFonts w:ascii="Times New Roman" w:hAnsi="Times New Roman" w:cs="Times New Roman"/>
          <w:bCs/>
        </w:rPr>
        <w:t>Ismeri a katonai beszerzés tartalmát, rendszerének elemeit és azok rendeltetését.</w:t>
      </w:r>
      <w:r w:rsidRPr="006402BC">
        <w:rPr>
          <w:rFonts w:ascii="Times New Roman" w:hAnsi="Times New Roman" w:cs="Times New Roman"/>
          <w:b/>
          <w:bCs/>
        </w:rPr>
        <w:t xml:space="preserve">  </w:t>
      </w:r>
    </w:p>
    <w:p w:rsidR="006603FB" w:rsidRDefault="006603FB">
      <w:pPr>
        <w:spacing w:after="200" w:line="276" w:lineRule="auto"/>
        <w:rPr>
          <w:rFonts w:ascii="Times New Roman" w:hAnsi="Times New Roman" w:cs="Times New Roman"/>
          <w:b/>
          <w:bCs/>
        </w:rPr>
      </w:pPr>
      <w:r>
        <w:rPr>
          <w:rFonts w:ascii="Times New Roman" w:hAnsi="Times New Roman" w:cs="Times New Roman"/>
          <w:b/>
          <w:bCs/>
        </w:rPr>
        <w:br w:type="page"/>
      </w:r>
    </w:p>
    <w:p w:rsidR="005E6BE6" w:rsidRDefault="005E6BE6" w:rsidP="005E6BE6">
      <w:pPr>
        <w:spacing w:before="120" w:after="0" w:line="240" w:lineRule="auto"/>
        <w:ind w:left="426" w:right="141"/>
        <w:jc w:val="both"/>
        <w:rPr>
          <w:rFonts w:ascii="Times New Roman" w:hAnsi="Times New Roman" w:cs="Times New Roman"/>
          <w:b/>
          <w:bCs/>
        </w:rPr>
      </w:pPr>
      <w:r>
        <w:rPr>
          <w:rFonts w:ascii="Times New Roman" w:hAnsi="Times New Roman" w:cs="Times New Roman"/>
          <w:b/>
          <w:bCs/>
        </w:rPr>
        <w:lastRenderedPageBreak/>
        <w:t xml:space="preserve">Képesség: </w:t>
      </w:r>
    </w:p>
    <w:p w:rsidR="005E6BE6" w:rsidRDefault="005E6BE6" w:rsidP="00980876">
      <w:pPr>
        <w:pStyle w:val="Listaszerbekezds"/>
        <w:numPr>
          <w:ilvl w:val="0"/>
          <w:numId w:val="305"/>
        </w:numPr>
        <w:spacing w:after="0" w:line="240" w:lineRule="auto"/>
        <w:ind w:left="993" w:right="142" w:hanging="357"/>
        <w:jc w:val="both"/>
        <w:rPr>
          <w:rFonts w:ascii="Times New Roman" w:hAnsi="Times New Roman" w:cs="Times New Roman"/>
          <w:bCs/>
        </w:rPr>
      </w:pPr>
      <w:r>
        <w:rPr>
          <w:rFonts w:ascii="Times New Roman" w:hAnsi="Times New Roman" w:cs="Times New Roman"/>
          <w:bCs/>
        </w:rPr>
        <w:t xml:space="preserve">Képes a megszerzett tudás alkalmazására és gyakorlati hasznosítására, a problémamegoldó technikák használatára. </w:t>
      </w:r>
    </w:p>
    <w:p w:rsidR="005E6BE6" w:rsidRDefault="005E6BE6" w:rsidP="00980876">
      <w:pPr>
        <w:pStyle w:val="Listaszerbekezds"/>
        <w:numPr>
          <w:ilvl w:val="0"/>
          <w:numId w:val="305"/>
        </w:numPr>
        <w:spacing w:after="0" w:line="240" w:lineRule="auto"/>
        <w:ind w:left="993" w:right="142" w:hanging="357"/>
        <w:jc w:val="both"/>
        <w:rPr>
          <w:rFonts w:ascii="Times New Roman" w:hAnsi="Times New Roman" w:cs="Times New Roman"/>
          <w:b/>
          <w:bCs/>
        </w:rPr>
      </w:pPr>
      <w:r>
        <w:rPr>
          <w:rFonts w:ascii="Times New Roman" w:hAnsi="Times New Roman" w:cs="Times New Roman"/>
          <w:bCs/>
        </w:rPr>
        <w:t>Ismerjék és legyenek képesek részt venni a honvédség beszerzési eljárásaiban</w:t>
      </w:r>
      <w:r>
        <w:rPr>
          <w:rFonts w:ascii="Times New Roman" w:hAnsi="Times New Roman" w:cs="Times New Roman"/>
          <w:b/>
          <w:bCs/>
        </w:rPr>
        <w:t>.</w:t>
      </w:r>
    </w:p>
    <w:p w:rsidR="005E6BE6" w:rsidRDefault="005E6BE6" w:rsidP="005E6BE6">
      <w:pPr>
        <w:spacing w:before="120" w:after="0" w:line="240" w:lineRule="auto"/>
        <w:ind w:left="426" w:right="141"/>
        <w:jc w:val="both"/>
        <w:rPr>
          <w:rFonts w:ascii="Times New Roman" w:hAnsi="Times New Roman" w:cs="Times New Roman"/>
          <w:b/>
          <w:bCs/>
        </w:rPr>
      </w:pPr>
      <w:r>
        <w:rPr>
          <w:rFonts w:ascii="Times New Roman" w:hAnsi="Times New Roman" w:cs="Times New Roman"/>
          <w:b/>
          <w:bCs/>
        </w:rPr>
        <w:t xml:space="preserve">Attitűd: </w:t>
      </w:r>
    </w:p>
    <w:p w:rsidR="005E6BE6" w:rsidRPr="006402BC" w:rsidRDefault="005E6BE6" w:rsidP="00980876">
      <w:pPr>
        <w:pStyle w:val="Listaszerbekezds"/>
        <w:numPr>
          <w:ilvl w:val="0"/>
          <w:numId w:val="305"/>
        </w:numPr>
        <w:spacing w:after="0" w:line="240" w:lineRule="auto"/>
        <w:ind w:left="993" w:right="142" w:hanging="357"/>
        <w:jc w:val="both"/>
        <w:rPr>
          <w:rFonts w:ascii="Times New Roman" w:hAnsi="Times New Roman" w:cs="Times New Roman"/>
          <w:bCs/>
        </w:rPr>
      </w:pPr>
      <w:r w:rsidRPr="006402BC">
        <w:rPr>
          <w:rFonts w:ascii="Times New Roman" w:hAnsi="Times New Roman" w:cs="Times New Roman"/>
          <w:bCs/>
        </w:rPr>
        <w:t>Elkötelezett</w:t>
      </w:r>
      <w:r>
        <w:rPr>
          <w:rFonts w:ascii="Times New Roman" w:hAnsi="Times New Roman" w:cs="Times New Roman"/>
          <w:bCs/>
        </w:rPr>
        <w:t xml:space="preserve"> abban, hogy felkészülten, ismereteit folyamatosan fejlesztve átültesse a gyakorlatba az országvédelem stratégiai céljait, és a szövetségi rendszer érdekeinek megfelelően alakítsa a saját kompetenciájába tartozó folyamatokat.</w:t>
      </w:r>
    </w:p>
    <w:p w:rsidR="005E6BE6" w:rsidRDefault="005E6BE6" w:rsidP="005E6BE6">
      <w:pPr>
        <w:spacing w:before="120" w:after="0" w:line="240" w:lineRule="auto"/>
        <w:ind w:left="426" w:right="141"/>
        <w:jc w:val="both"/>
        <w:rPr>
          <w:rFonts w:ascii="Times New Roman" w:hAnsi="Times New Roman" w:cs="Times New Roman"/>
          <w:b/>
          <w:bCs/>
        </w:rPr>
      </w:pPr>
      <w:r>
        <w:rPr>
          <w:rFonts w:ascii="Times New Roman" w:hAnsi="Times New Roman" w:cs="Times New Roman"/>
          <w:b/>
          <w:bCs/>
        </w:rPr>
        <w:t xml:space="preserve">Autonómia és felelősség: </w:t>
      </w:r>
    </w:p>
    <w:p w:rsidR="005E6BE6" w:rsidRDefault="005E6BE6" w:rsidP="00980876">
      <w:pPr>
        <w:pStyle w:val="Listaszerbekezds"/>
        <w:numPr>
          <w:ilvl w:val="0"/>
          <w:numId w:val="305"/>
        </w:numPr>
        <w:spacing w:after="0" w:line="240" w:lineRule="auto"/>
        <w:ind w:left="993" w:right="142" w:hanging="357"/>
        <w:jc w:val="both"/>
        <w:rPr>
          <w:rFonts w:ascii="Times New Roman" w:hAnsi="Times New Roman" w:cs="Times New Roman"/>
          <w:bCs/>
        </w:rPr>
      </w:pPr>
      <w:r>
        <w:rPr>
          <w:rFonts w:ascii="Times New Roman" w:hAnsi="Times New Roman" w:cs="Times New Roman"/>
          <w:bCs/>
        </w:rPr>
        <w:t xml:space="preserve">Elsajátított ismeretei és megszerzett készségei alapján szakmailag megfelelő módon értelmezi és alkalmazza a megszerzett metódusokat, elemző-értékelő módszereket. </w:t>
      </w:r>
    </w:p>
    <w:p w:rsidR="005E6BE6" w:rsidRDefault="005E6BE6" w:rsidP="00980876">
      <w:pPr>
        <w:pStyle w:val="Listaszerbekezds"/>
        <w:numPr>
          <w:ilvl w:val="0"/>
          <w:numId w:val="305"/>
        </w:numPr>
        <w:spacing w:after="0" w:line="240" w:lineRule="auto"/>
        <w:ind w:left="993" w:right="142" w:hanging="357"/>
        <w:jc w:val="both"/>
        <w:rPr>
          <w:rFonts w:ascii="Times New Roman" w:hAnsi="Times New Roman" w:cs="Times New Roman"/>
          <w:bCs/>
        </w:rPr>
      </w:pPr>
      <w:r>
        <w:rPr>
          <w:rFonts w:ascii="Times New Roman" w:hAnsi="Times New Roman" w:cs="Times New Roman"/>
          <w:bCs/>
        </w:rPr>
        <w:t xml:space="preserve">A rábízott szakmai területeket tudása és képességei legjavát alkalmazva elemzi-értékeli, a döntések előkészítésében, meghozatalában és végrehajtásában következetes. </w:t>
      </w:r>
    </w:p>
    <w:p w:rsidR="005E6BE6" w:rsidRPr="006402BC" w:rsidRDefault="005E6BE6" w:rsidP="00980876">
      <w:pPr>
        <w:pStyle w:val="Listaszerbekezds"/>
        <w:numPr>
          <w:ilvl w:val="0"/>
          <w:numId w:val="305"/>
        </w:numPr>
        <w:spacing w:after="0" w:line="240" w:lineRule="auto"/>
        <w:ind w:left="993" w:right="142" w:hanging="357"/>
        <w:jc w:val="both"/>
        <w:rPr>
          <w:rFonts w:ascii="Times New Roman" w:hAnsi="Times New Roman" w:cs="Times New Roman"/>
          <w:bCs/>
        </w:rPr>
      </w:pPr>
      <w:r>
        <w:rPr>
          <w:rFonts w:ascii="Times New Roman" w:hAnsi="Times New Roman" w:cs="Times New Roman"/>
          <w:bCs/>
        </w:rPr>
        <w:t>Felelősséget vállal önmaga folyamatos fejlesztésére és képzésére</w:t>
      </w:r>
    </w:p>
    <w:p w:rsidR="005E6BE6" w:rsidRDefault="005E6BE6" w:rsidP="005E6BE6">
      <w:pPr>
        <w:spacing w:before="120" w:after="0" w:line="240" w:lineRule="auto"/>
        <w:ind w:right="141" w:firstLine="357"/>
        <w:jc w:val="both"/>
        <w:rPr>
          <w:rFonts w:ascii="Times New Roman" w:hAnsi="Times New Roman" w:cs="Times New Roman"/>
          <w:b/>
          <w:bCs/>
          <w:lang w:val="en-US"/>
        </w:rPr>
      </w:pPr>
      <w:r>
        <w:rPr>
          <w:rFonts w:ascii="Times New Roman" w:hAnsi="Times New Roman" w:cs="Times New Roman"/>
          <w:b/>
          <w:bCs/>
        </w:rPr>
        <w:t>Elérendő kompetenciák (angolul) (</w:t>
      </w:r>
      <w:r>
        <w:rPr>
          <w:rFonts w:ascii="Times New Roman" w:hAnsi="Times New Roman" w:cs="Times New Roman"/>
          <w:b/>
          <w:bCs/>
          <w:lang w:val="en-US"/>
        </w:rPr>
        <w:t xml:space="preserve">Competences – English): </w:t>
      </w:r>
    </w:p>
    <w:p w:rsidR="005E6BE6" w:rsidRDefault="005E6BE6" w:rsidP="005E6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357"/>
        <w:jc w:val="both"/>
        <w:rPr>
          <w:rFonts w:ascii="Times New Roman" w:eastAsia="Times New Roman" w:hAnsi="Times New Roman" w:cs="Times New Roman"/>
          <w:lang w:val="en-GB" w:eastAsia="hu-HU"/>
        </w:rPr>
      </w:pPr>
      <w:r>
        <w:rPr>
          <w:rFonts w:ascii="Times New Roman" w:eastAsia="Times New Roman" w:hAnsi="Times New Roman" w:cs="Times New Roman"/>
          <w:lang w:val="en-GB" w:eastAsia="hu-HU"/>
        </w:rPr>
        <w:t xml:space="preserve">In  this  subject,  the  students  gain  knowledge  of  legal  regulations  related  to  military procurement,  get  to  know  basic  concepts,  principles  and  patterns  of  military  procurement procedures, as well as the institutional system of military procurement. Furthermore, students can acquire knowledge from legal, administrative, economic and financial fields by taking into account the specialties of Military. </w:t>
      </w:r>
    </w:p>
    <w:p w:rsidR="005E6BE6" w:rsidRDefault="005E6BE6" w:rsidP="005E6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357"/>
        <w:jc w:val="both"/>
        <w:rPr>
          <w:rFonts w:ascii="Times New Roman" w:eastAsia="Times New Roman" w:hAnsi="Times New Roman" w:cs="Times New Roman"/>
          <w:b/>
          <w:lang w:val="en-GB" w:eastAsia="hu-HU"/>
        </w:rPr>
      </w:pPr>
      <w:r>
        <w:rPr>
          <w:rFonts w:ascii="Times New Roman" w:eastAsia="Times New Roman" w:hAnsi="Times New Roman" w:cs="Times New Roman"/>
          <w:b/>
          <w:lang w:val="en-GB" w:eastAsia="hu-HU"/>
        </w:rPr>
        <w:t xml:space="preserve">Knowledge: </w:t>
      </w:r>
    </w:p>
    <w:p w:rsidR="005E6BE6" w:rsidRDefault="005E6BE6" w:rsidP="00980876">
      <w:pPr>
        <w:pStyle w:val="Listaszerbekezds"/>
        <w:numPr>
          <w:ilvl w:val="0"/>
          <w:numId w:val="305"/>
        </w:numPr>
        <w:spacing w:after="0" w:line="240" w:lineRule="auto"/>
        <w:ind w:left="993" w:right="142" w:hanging="357"/>
        <w:jc w:val="both"/>
        <w:rPr>
          <w:rFonts w:ascii="Times New Roman" w:eastAsia="Times New Roman" w:hAnsi="Times New Roman" w:cs="Times New Roman"/>
          <w:b/>
          <w:lang w:val="en-GB" w:eastAsia="hu-HU"/>
        </w:rPr>
      </w:pPr>
      <w:r>
        <w:rPr>
          <w:rFonts w:ascii="Times New Roman" w:eastAsia="Times New Roman" w:hAnsi="Times New Roman" w:cs="Times New Roman"/>
          <w:lang w:val="en-GB" w:eastAsia="hu-HU"/>
        </w:rPr>
        <w:t xml:space="preserve">Student </w:t>
      </w:r>
      <w:r w:rsidRPr="006402BC">
        <w:rPr>
          <w:rFonts w:ascii="Times New Roman" w:hAnsi="Times New Roman" w:cs="Times New Roman"/>
          <w:bCs/>
        </w:rPr>
        <w:t>knows</w:t>
      </w:r>
      <w:r>
        <w:rPr>
          <w:rFonts w:ascii="Times New Roman" w:eastAsia="Times New Roman" w:hAnsi="Times New Roman" w:cs="Times New Roman"/>
          <w:lang w:val="en-GB" w:eastAsia="hu-HU"/>
        </w:rPr>
        <w:t xml:space="preserve"> the contents of the military procurement system, its system elements and destination specifications as well.</w:t>
      </w:r>
    </w:p>
    <w:p w:rsidR="005E6BE6" w:rsidRDefault="005E6BE6" w:rsidP="005E6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357"/>
        <w:jc w:val="both"/>
        <w:rPr>
          <w:rFonts w:ascii="Times New Roman" w:eastAsia="Times New Roman" w:hAnsi="Times New Roman" w:cs="Times New Roman"/>
          <w:b/>
          <w:lang w:val="en-GB" w:eastAsia="hu-HU"/>
        </w:rPr>
      </w:pPr>
      <w:r>
        <w:rPr>
          <w:rFonts w:ascii="Times New Roman" w:eastAsia="Times New Roman" w:hAnsi="Times New Roman" w:cs="Times New Roman"/>
          <w:b/>
          <w:lang w:val="en-GB" w:eastAsia="hu-HU"/>
        </w:rPr>
        <w:t xml:space="preserve">Abilities: </w:t>
      </w:r>
    </w:p>
    <w:p w:rsidR="005E6BE6" w:rsidRDefault="005E6BE6" w:rsidP="00980876">
      <w:pPr>
        <w:pStyle w:val="Listaszerbekezds"/>
        <w:numPr>
          <w:ilvl w:val="0"/>
          <w:numId w:val="305"/>
        </w:numPr>
        <w:spacing w:after="0" w:line="240" w:lineRule="auto"/>
        <w:ind w:left="993" w:right="142" w:hanging="357"/>
        <w:jc w:val="both"/>
        <w:rPr>
          <w:rFonts w:ascii="Times New Roman" w:hAnsi="Times New Roman" w:cs="Times New Roman"/>
          <w:bCs/>
        </w:rPr>
      </w:pPr>
      <w:r w:rsidRPr="006402BC">
        <w:rPr>
          <w:rFonts w:ascii="Times New Roman" w:hAnsi="Times New Roman" w:cs="Times New Roman"/>
          <w:bCs/>
        </w:rPr>
        <w:t xml:space="preserve">He/she is able to use problem solving techniques, and apply the acquired knowledge in </w:t>
      </w:r>
      <w:r w:rsidRPr="006603FB">
        <w:rPr>
          <w:rFonts w:ascii="Times New Roman" w:eastAsia="Times New Roman" w:hAnsi="Times New Roman" w:cs="Times New Roman"/>
          <w:lang w:val="en-GB" w:eastAsia="hu-HU"/>
        </w:rPr>
        <w:t>practice</w:t>
      </w:r>
      <w:r w:rsidRPr="006402BC">
        <w:rPr>
          <w:rFonts w:ascii="Times New Roman" w:hAnsi="Times New Roman" w:cs="Times New Roman"/>
          <w:bCs/>
        </w:rPr>
        <w:t xml:space="preserve">. </w:t>
      </w:r>
    </w:p>
    <w:p w:rsidR="005E6BE6" w:rsidRPr="006402BC" w:rsidRDefault="005E6BE6" w:rsidP="00980876">
      <w:pPr>
        <w:pStyle w:val="Listaszerbekezds"/>
        <w:numPr>
          <w:ilvl w:val="0"/>
          <w:numId w:val="305"/>
        </w:numPr>
        <w:spacing w:after="0" w:line="240" w:lineRule="auto"/>
        <w:ind w:left="993" w:right="142" w:hanging="357"/>
        <w:jc w:val="both"/>
        <w:rPr>
          <w:rFonts w:ascii="Times New Roman" w:hAnsi="Times New Roman" w:cs="Times New Roman"/>
          <w:bCs/>
        </w:rPr>
      </w:pPr>
      <w:r w:rsidRPr="006402BC">
        <w:rPr>
          <w:rFonts w:ascii="Times New Roman" w:hAnsi="Times New Roman" w:cs="Times New Roman"/>
          <w:bCs/>
        </w:rPr>
        <w:t xml:space="preserve">Get to </w:t>
      </w:r>
      <w:r w:rsidRPr="00B26B05">
        <w:rPr>
          <w:rFonts w:ascii="Times New Roman" w:eastAsia="Times New Roman" w:hAnsi="Times New Roman" w:cs="Times New Roman"/>
          <w:lang w:val="en-GB" w:eastAsia="hu-HU"/>
        </w:rPr>
        <w:t>know</w:t>
      </w:r>
      <w:r w:rsidRPr="006402BC">
        <w:rPr>
          <w:rFonts w:ascii="Times New Roman" w:hAnsi="Times New Roman" w:cs="Times New Roman"/>
          <w:bCs/>
        </w:rPr>
        <w:t xml:space="preserve"> and be able to participate in the military procurement procedures</w:t>
      </w:r>
    </w:p>
    <w:p w:rsidR="005E6BE6" w:rsidRDefault="005E6BE6" w:rsidP="005E6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357"/>
        <w:jc w:val="both"/>
        <w:rPr>
          <w:rFonts w:ascii="Times New Roman" w:eastAsia="Times New Roman" w:hAnsi="Times New Roman" w:cs="Times New Roman"/>
          <w:b/>
          <w:lang w:val="en-GB" w:eastAsia="hu-HU"/>
        </w:rPr>
      </w:pPr>
      <w:r>
        <w:rPr>
          <w:rFonts w:ascii="Times New Roman" w:eastAsia="Times New Roman" w:hAnsi="Times New Roman" w:cs="Times New Roman"/>
          <w:b/>
          <w:lang w:val="en-GB" w:eastAsia="hu-HU"/>
        </w:rPr>
        <w:t xml:space="preserve">Attitude: </w:t>
      </w:r>
    </w:p>
    <w:p w:rsidR="005E6BE6" w:rsidRPr="00B26B05" w:rsidRDefault="005E6BE6" w:rsidP="00980876">
      <w:pPr>
        <w:pStyle w:val="Listaszerbekezds"/>
        <w:numPr>
          <w:ilvl w:val="0"/>
          <w:numId w:val="305"/>
        </w:numPr>
        <w:spacing w:after="0" w:line="240" w:lineRule="auto"/>
        <w:ind w:left="993" w:right="142" w:hanging="357"/>
        <w:jc w:val="both"/>
        <w:rPr>
          <w:rFonts w:ascii="Times New Roman" w:eastAsia="Times New Roman" w:hAnsi="Times New Roman" w:cs="Times New Roman"/>
          <w:lang w:val="en-GB" w:eastAsia="hu-HU"/>
        </w:rPr>
      </w:pPr>
      <w:r w:rsidRPr="006402BC">
        <w:rPr>
          <w:rFonts w:ascii="Times New Roman" w:hAnsi="Times New Roman" w:cs="Times New Roman"/>
          <w:bCs/>
        </w:rPr>
        <w:t xml:space="preserve">He/she </w:t>
      </w:r>
      <w:r w:rsidRPr="00B26B05">
        <w:rPr>
          <w:rFonts w:ascii="Times New Roman" w:eastAsia="Times New Roman" w:hAnsi="Times New Roman" w:cs="Times New Roman"/>
          <w:lang w:val="en-GB" w:eastAsia="hu-HU"/>
        </w:rPr>
        <w:t xml:space="preserve">is committed to putting the strategic goals of national defense into practice and developing the processes within his competence in the interests of the federal system. </w:t>
      </w:r>
    </w:p>
    <w:p w:rsidR="005E6BE6" w:rsidRPr="006402BC" w:rsidRDefault="005E6BE6" w:rsidP="00980876">
      <w:pPr>
        <w:pStyle w:val="Listaszerbekezds"/>
        <w:numPr>
          <w:ilvl w:val="0"/>
          <w:numId w:val="305"/>
        </w:numPr>
        <w:spacing w:after="0" w:line="240" w:lineRule="auto"/>
        <w:ind w:left="993" w:right="142" w:hanging="357"/>
        <w:jc w:val="both"/>
        <w:rPr>
          <w:rFonts w:ascii="Times New Roman" w:hAnsi="Times New Roman" w:cs="Times New Roman"/>
          <w:bCs/>
        </w:rPr>
      </w:pPr>
      <w:r w:rsidRPr="00B26B05">
        <w:rPr>
          <w:rFonts w:ascii="Times New Roman" w:eastAsia="Times New Roman" w:hAnsi="Times New Roman" w:cs="Times New Roman"/>
          <w:lang w:val="en-GB" w:eastAsia="hu-HU"/>
        </w:rPr>
        <w:t>He/she is committed</w:t>
      </w:r>
      <w:r w:rsidRPr="006402BC">
        <w:rPr>
          <w:rFonts w:ascii="Times New Roman" w:hAnsi="Times New Roman" w:cs="Times New Roman"/>
          <w:bCs/>
        </w:rPr>
        <w:t xml:space="preserve"> to the mid-level formulation of principles and guidelines, putting combat-operational thinking into practice.</w:t>
      </w:r>
    </w:p>
    <w:p w:rsidR="005E6BE6" w:rsidRDefault="005E6BE6" w:rsidP="005E6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357"/>
        <w:jc w:val="both"/>
        <w:rPr>
          <w:rFonts w:ascii="Times New Roman" w:eastAsia="Times New Roman" w:hAnsi="Times New Roman" w:cs="Times New Roman"/>
          <w:b/>
          <w:lang w:val="en-GB" w:eastAsia="hu-HU"/>
        </w:rPr>
      </w:pPr>
      <w:r>
        <w:rPr>
          <w:rFonts w:ascii="Times New Roman" w:eastAsia="Times New Roman" w:hAnsi="Times New Roman" w:cs="Times New Roman"/>
          <w:b/>
          <w:lang w:val="en-GB" w:eastAsia="hu-HU"/>
        </w:rPr>
        <w:t xml:space="preserve">Autonomy and responsibility: </w:t>
      </w:r>
    </w:p>
    <w:p w:rsidR="005E6BE6" w:rsidRPr="00B26B05" w:rsidRDefault="005E6BE6" w:rsidP="00980876">
      <w:pPr>
        <w:pStyle w:val="Listaszerbekezds"/>
        <w:numPr>
          <w:ilvl w:val="0"/>
          <w:numId w:val="305"/>
        </w:numPr>
        <w:spacing w:after="0" w:line="240" w:lineRule="auto"/>
        <w:ind w:left="993" w:right="142" w:hanging="357"/>
        <w:jc w:val="both"/>
        <w:rPr>
          <w:rFonts w:ascii="Times New Roman" w:eastAsia="Times New Roman" w:hAnsi="Times New Roman" w:cs="Times New Roman"/>
          <w:lang w:val="en-GB" w:eastAsia="hu-HU"/>
        </w:rPr>
      </w:pPr>
      <w:r w:rsidRPr="006402BC">
        <w:rPr>
          <w:rFonts w:ascii="Times New Roman" w:hAnsi="Times New Roman" w:cs="Times New Roman"/>
          <w:bCs/>
        </w:rPr>
        <w:t>Based on</w:t>
      </w:r>
      <w:r w:rsidRPr="00B26B05">
        <w:rPr>
          <w:rFonts w:ascii="Times New Roman" w:eastAsia="Times New Roman" w:hAnsi="Times New Roman" w:cs="Times New Roman"/>
          <w:lang w:val="en-GB" w:eastAsia="hu-HU"/>
        </w:rPr>
        <w:t xml:space="preserve"> his / her acquired knowledge and acquired skills, he / she interprets and applies acquired methods in a professional manner. </w:t>
      </w:r>
    </w:p>
    <w:p w:rsidR="005E6BE6" w:rsidRPr="00B26B05" w:rsidRDefault="005E6BE6" w:rsidP="00980876">
      <w:pPr>
        <w:pStyle w:val="Listaszerbekezds"/>
        <w:numPr>
          <w:ilvl w:val="0"/>
          <w:numId w:val="305"/>
        </w:numPr>
        <w:spacing w:after="0" w:line="240" w:lineRule="auto"/>
        <w:ind w:left="993" w:right="142" w:hanging="357"/>
        <w:jc w:val="both"/>
        <w:rPr>
          <w:rFonts w:ascii="Times New Roman" w:eastAsia="Times New Roman" w:hAnsi="Times New Roman" w:cs="Times New Roman"/>
          <w:lang w:val="en-GB" w:eastAsia="hu-HU"/>
        </w:rPr>
      </w:pPr>
      <w:r w:rsidRPr="00B26B05">
        <w:rPr>
          <w:rFonts w:ascii="Times New Roman" w:eastAsia="Times New Roman" w:hAnsi="Times New Roman" w:cs="Times New Roman"/>
          <w:lang w:val="en-GB" w:eastAsia="hu-HU"/>
        </w:rPr>
        <w:t xml:space="preserve">The professional areas entrusted to him / her are analyzed and evaluated to the best of their knowledge and abilities, and are consistent in the preparation, decision-making and implementation of decisions. </w:t>
      </w:r>
    </w:p>
    <w:p w:rsidR="005E6BE6" w:rsidRPr="006402BC" w:rsidRDefault="005E6BE6" w:rsidP="00980876">
      <w:pPr>
        <w:pStyle w:val="Listaszerbekezds"/>
        <w:numPr>
          <w:ilvl w:val="0"/>
          <w:numId w:val="305"/>
        </w:numPr>
        <w:spacing w:after="0" w:line="240" w:lineRule="auto"/>
        <w:ind w:left="993" w:right="142" w:hanging="357"/>
        <w:jc w:val="both"/>
        <w:rPr>
          <w:rFonts w:ascii="Times New Roman" w:hAnsi="Times New Roman" w:cs="Times New Roman"/>
          <w:bCs/>
        </w:rPr>
      </w:pPr>
      <w:r w:rsidRPr="00B26B05">
        <w:rPr>
          <w:rFonts w:ascii="Times New Roman" w:eastAsia="Times New Roman" w:hAnsi="Times New Roman" w:cs="Times New Roman"/>
          <w:lang w:val="en-GB" w:eastAsia="hu-HU"/>
        </w:rPr>
        <w:t xml:space="preserve">He takes </w:t>
      </w:r>
      <w:r w:rsidRPr="006402BC">
        <w:rPr>
          <w:rFonts w:ascii="Times New Roman" w:hAnsi="Times New Roman" w:cs="Times New Roman"/>
          <w:bCs/>
        </w:rPr>
        <w:t>responsibility for the continuous devel</w:t>
      </w:r>
      <w:r>
        <w:rPr>
          <w:rFonts w:ascii="Times New Roman" w:hAnsi="Times New Roman" w:cs="Times New Roman"/>
          <w:bCs/>
        </w:rPr>
        <w:t>opment and training of himself.</w:t>
      </w:r>
    </w:p>
    <w:p w:rsidR="005E6BE6" w:rsidRDefault="005E6BE6" w:rsidP="00980876">
      <w:pPr>
        <w:widowControl w:val="0"/>
        <w:numPr>
          <w:ilvl w:val="0"/>
          <w:numId w:val="306"/>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Előtanulmányi követelmények: </w:t>
      </w:r>
      <w:r>
        <w:rPr>
          <w:rFonts w:ascii="Times New Roman" w:eastAsia="Times New Roman" w:hAnsi="Times New Roman" w:cs="Times New Roman"/>
          <w:bCs/>
        </w:rPr>
        <w:t>nincs</w:t>
      </w:r>
    </w:p>
    <w:p w:rsidR="005E6BE6" w:rsidRDefault="005E6BE6" w:rsidP="00980876">
      <w:pPr>
        <w:widowControl w:val="0"/>
        <w:numPr>
          <w:ilvl w:val="0"/>
          <w:numId w:val="306"/>
        </w:numPr>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A tantárgy tananyagának leírása, tematika. </w:t>
      </w:r>
      <w:r>
        <w:rPr>
          <w:rFonts w:ascii="Times New Roman" w:eastAsia="Times New Roman" w:hAnsi="Times New Roman" w:cs="Times New Roman"/>
          <w:b/>
          <w:bCs/>
          <w:lang w:val="en-GB"/>
        </w:rPr>
        <w:t>Description of the subject</w:t>
      </w:r>
      <w:r>
        <w:rPr>
          <w:rFonts w:ascii="Times New Roman" w:eastAsia="Times New Roman" w:hAnsi="Times New Roman" w:cs="Times New Roman"/>
          <w:b/>
          <w:bCs/>
        </w:rPr>
        <w:t>, curriculum (magyarul, angolul - English):</w:t>
      </w:r>
    </w:p>
    <w:p w:rsidR="005E6BE6" w:rsidRPr="00253511" w:rsidRDefault="005E6BE6" w:rsidP="00980876">
      <w:pPr>
        <w:numPr>
          <w:ilvl w:val="1"/>
          <w:numId w:val="306"/>
        </w:numPr>
        <w:spacing w:after="0" w:line="240" w:lineRule="auto"/>
        <w:ind w:left="993" w:right="142" w:hanging="567"/>
        <w:jc w:val="both"/>
        <w:rPr>
          <w:rFonts w:ascii="Times New Roman" w:hAnsi="Times New Roman" w:cs="Times New Roman"/>
          <w:i/>
          <w:lang w:val="en-GB"/>
        </w:rPr>
      </w:pPr>
      <w:r>
        <w:rPr>
          <w:rFonts w:ascii="Times New Roman" w:hAnsi="Times New Roman" w:cs="Times New Roman"/>
        </w:rPr>
        <w:t>A honvédség által alkalmazott beszerzési, eljárási típusok</w:t>
      </w:r>
      <w:r>
        <w:rPr>
          <w:rFonts w:ascii="Times New Roman" w:hAnsi="Times New Roman" w:cs="Times New Roman"/>
          <w:b/>
        </w:rPr>
        <w:t xml:space="preserve"> </w:t>
      </w:r>
      <w:r w:rsidRPr="00253511">
        <w:rPr>
          <w:rFonts w:ascii="Times New Roman" w:hAnsi="Times New Roman" w:cs="Times New Roman"/>
          <w:i/>
        </w:rPr>
        <w:t>(</w:t>
      </w:r>
      <w:r w:rsidRPr="00253511">
        <w:rPr>
          <w:rFonts w:ascii="Times New Roman" w:hAnsi="Times New Roman" w:cs="Times New Roman"/>
          <w:i/>
          <w:lang w:val="en-GB"/>
        </w:rPr>
        <w:t>Types of procurement procedures applied by the military)</w:t>
      </w:r>
    </w:p>
    <w:p w:rsidR="005E6BE6" w:rsidRPr="00253511" w:rsidRDefault="005E6BE6" w:rsidP="00980876">
      <w:pPr>
        <w:numPr>
          <w:ilvl w:val="1"/>
          <w:numId w:val="306"/>
        </w:numPr>
        <w:spacing w:after="0" w:line="240" w:lineRule="auto"/>
        <w:ind w:left="993" w:right="142" w:hanging="567"/>
        <w:jc w:val="both"/>
        <w:rPr>
          <w:rFonts w:ascii="Times New Roman" w:hAnsi="Times New Roman" w:cs="Times New Roman"/>
          <w:i/>
        </w:rPr>
      </w:pPr>
      <w:r>
        <w:rPr>
          <w:rFonts w:ascii="Times New Roman" w:hAnsi="Times New Roman" w:cs="Times New Roman"/>
        </w:rPr>
        <w:t>A katonai beszerzés a logisztikai támogatás rendszerében</w:t>
      </w:r>
      <w:r>
        <w:rPr>
          <w:rFonts w:ascii="Times New Roman" w:hAnsi="Times New Roman" w:cs="Times New Roman"/>
          <w:b/>
        </w:rPr>
        <w:t xml:space="preserve"> </w:t>
      </w:r>
      <w:r w:rsidRPr="00253511">
        <w:rPr>
          <w:rFonts w:ascii="Times New Roman" w:hAnsi="Times New Roman" w:cs="Times New Roman"/>
          <w:i/>
        </w:rPr>
        <w:t>(The military acquisition in the logistic support system)</w:t>
      </w:r>
    </w:p>
    <w:p w:rsidR="005E6BE6" w:rsidRDefault="005E6BE6" w:rsidP="00980876">
      <w:pPr>
        <w:numPr>
          <w:ilvl w:val="1"/>
          <w:numId w:val="306"/>
        </w:numPr>
        <w:spacing w:after="0" w:line="240" w:lineRule="auto"/>
        <w:ind w:left="993" w:right="142" w:hanging="567"/>
        <w:jc w:val="both"/>
        <w:rPr>
          <w:rFonts w:ascii="Times New Roman" w:hAnsi="Times New Roman" w:cs="Times New Roman"/>
          <w:b/>
        </w:rPr>
      </w:pPr>
      <w:r>
        <w:rPr>
          <w:rFonts w:ascii="Times New Roman" w:hAnsi="Times New Roman" w:cs="Times New Roman"/>
        </w:rPr>
        <w:t xml:space="preserve">Beszerzés előkészítés feladatai </w:t>
      </w:r>
      <w:r w:rsidRPr="00253511">
        <w:rPr>
          <w:rFonts w:ascii="Times New Roman" w:hAnsi="Times New Roman" w:cs="Times New Roman"/>
          <w:i/>
        </w:rPr>
        <w:t>(Preparation of procurement)</w:t>
      </w:r>
    </w:p>
    <w:p w:rsidR="005E6BE6" w:rsidRPr="00253511" w:rsidRDefault="005E6BE6" w:rsidP="00980876">
      <w:pPr>
        <w:numPr>
          <w:ilvl w:val="1"/>
          <w:numId w:val="306"/>
        </w:numPr>
        <w:spacing w:after="0" w:line="240" w:lineRule="auto"/>
        <w:ind w:left="993" w:right="142" w:hanging="567"/>
        <w:jc w:val="both"/>
        <w:rPr>
          <w:rFonts w:ascii="Times New Roman" w:hAnsi="Times New Roman" w:cs="Times New Roman"/>
          <w:i/>
        </w:rPr>
      </w:pPr>
      <w:r>
        <w:rPr>
          <w:rFonts w:ascii="Times New Roman" w:hAnsi="Times New Roman" w:cs="Times New Roman"/>
        </w:rPr>
        <w:t>Katonai beszerzés szabályozása</w:t>
      </w:r>
      <w:r>
        <w:rPr>
          <w:rFonts w:ascii="Times New Roman" w:hAnsi="Times New Roman" w:cs="Times New Roman"/>
          <w:b/>
        </w:rPr>
        <w:t xml:space="preserve"> </w:t>
      </w:r>
      <w:r w:rsidRPr="00253511">
        <w:rPr>
          <w:rFonts w:ascii="Times New Roman" w:hAnsi="Times New Roman" w:cs="Times New Roman"/>
          <w:i/>
        </w:rPr>
        <w:t>(Rules of military procurement)</w:t>
      </w:r>
    </w:p>
    <w:p w:rsidR="005E6BE6" w:rsidRDefault="005E6BE6" w:rsidP="00980876">
      <w:pPr>
        <w:numPr>
          <w:ilvl w:val="1"/>
          <w:numId w:val="306"/>
        </w:numPr>
        <w:spacing w:after="0" w:line="240" w:lineRule="auto"/>
        <w:ind w:left="993" w:right="142" w:hanging="567"/>
        <w:jc w:val="both"/>
        <w:rPr>
          <w:rFonts w:ascii="Times New Roman" w:hAnsi="Times New Roman" w:cs="Times New Roman"/>
          <w:b/>
        </w:rPr>
      </w:pPr>
      <w:r>
        <w:rPr>
          <w:rFonts w:ascii="Times New Roman" w:hAnsi="Times New Roman" w:cs="Times New Roman"/>
        </w:rPr>
        <w:t>Beszerzési eljárások lefolytatásának rendje</w:t>
      </w:r>
      <w:r>
        <w:rPr>
          <w:rFonts w:ascii="Times New Roman" w:hAnsi="Times New Roman" w:cs="Times New Roman"/>
          <w:b/>
        </w:rPr>
        <w:t xml:space="preserve"> </w:t>
      </w:r>
      <w:r w:rsidRPr="00253511">
        <w:rPr>
          <w:rFonts w:ascii="Times New Roman" w:hAnsi="Times New Roman" w:cs="Times New Roman"/>
          <w:i/>
        </w:rPr>
        <w:t>(Order os procurement procedures)</w:t>
      </w:r>
    </w:p>
    <w:p w:rsidR="005E6BE6" w:rsidRPr="00253511" w:rsidRDefault="005E6BE6" w:rsidP="00980876">
      <w:pPr>
        <w:numPr>
          <w:ilvl w:val="1"/>
          <w:numId w:val="306"/>
        </w:numPr>
        <w:spacing w:after="0" w:line="240" w:lineRule="auto"/>
        <w:ind w:left="993" w:right="142" w:hanging="567"/>
        <w:jc w:val="both"/>
        <w:rPr>
          <w:rFonts w:ascii="Times New Roman" w:hAnsi="Times New Roman" w:cs="Times New Roman"/>
          <w:i/>
        </w:rPr>
      </w:pPr>
      <w:r>
        <w:rPr>
          <w:rFonts w:ascii="Times New Roman" w:hAnsi="Times New Roman" w:cs="Times New Roman"/>
        </w:rPr>
        <w:lastRenderedPageBreak/>
        <w:t xml:space="preserve">A különleges jogrend időszakának beszerzési előírásai </w:t>
      </w:r>
      <w:r w:rsidRPr="00253511">
        <w:rPr>
          <w:rFonts w:ascii="Times New Roman" w:hAnsi="Times New Roman" w:cs="Times New Roman"/>
          <w:i/>
        </w:rPr>
        <w:t>(Procurement rules and principles of the qualified period.)</w:t>
      </w:r>
    </w:p>
    <w:p w:rsidR="005E6BE6" w:rsidRDefault="005E6BE6" w:rsidP="00980876">
      <w:pPr>
        <w:numPr>
          <w:ilvl w:val="1"/>
          <w:numId w:val="306"/>
        </w:numPr>
        <w:spacing w:after="0" w:line="240" w:lineRule="auto"/>
        <w:ind w:left="993" w:right="142" w:hanging="567"/>
        <w:jc w:val="both"/>
        <w:rPr>
          <w:rFonts w:ascii="Times New Roman" w:hAnsi="Times New Roman" w:cs="Times New Roman"/>
        </w:rPr>
      </w:pPr>
      <w:r>
        <w:rPr>
          <w:rFonts w:ascii="Times New Roman" w:hAnsi="Times New Roman" w:cs="Times New Roman"/>
        </w:rPr>
        <w:t xml:space="preserve">Beszerzés a gyakorlatban </w:t>
      </w:r>
      <w:r w:rsidRPr="00253511">
        <w:rPr>
          <w:rFonts w:ascii="Times New Roman" w:hAnsi="Times New Roman" w:cs="Times New Roman"/>
          <w:i/>
        </w:rPr>
        <w:t>(Procurement in practice)</w:t>
      </w:r>
      <w:r>
        <w:rPr>
          <w:rFonts w:ascii="Times New Roman" w:hAnsi="Times New Roman" w:cs="Times New Roman"/>
          <w:lang w:val="en-GB"/>
        </w:rPr>
        <w:t xml:space="preserve"> </w:t>
      </w:r>
    </w:p>
    <w:p w:rsidR="005E6BE6" w:rsidRDefault="005E6BE6" w:rsidP="004A1361">
      <w:pPr>
        <w:spacing w:after="0" w:line="240" w:lineRule="auto"/>
        <w:ind w:right="142" w:firstLine="426"/>
        <w:jc w:val="both"/>
        <w:rPr>
          <w:rFonts w:ascii="Times New Roman" w:hAnsi="Times New Roman" w:cs="Times New Roman"/>
          <w:b/>
        </w:rPr>
      </w:pPr>
      <w:r>
        <w:rPr>
          <w:rFonts w:ascii="Times New Roman" w:hAnsi="Times New Roman" w:cs="Times New Roman"/>
          <w:b/>
        </w:rPr>
        <w:t xml:space="preserve">12.15. </w:t>
      </w:r>
      <w:r>
        <w:rPr>
          <w:rFonts w:ascii="Times New Roman" w:hAnsi="Times New Roman" w:cs="Times New Roman"/>
        </w:rPr>
        <w:t>Zárthelyi dolgozat</w:t>
      </w:r>
      <w:r>
        <w:rPr>
          <w:rFonts w:ascii="Times New Roman" w:hAnsi="Times New Roman" w:cs="Times New Roman"/>
          <w:b/>
        </w:rPr>
        <w:t xml:space="preserve"> </w:t>
      </w:r>
      <w:r w:rsidRPr="00253511">
        <w:rPr>
          <w:rFonts w:ascii="Times New Roman" w:hAnsi="Times New Roman" w:cs="Times New Roman"/>
          <w:i/>
        </w:rPr>
        <w:t>(Paper)</w:t>
      </w:r>
    </w:p>
    <w:p w:rsidR="005E6BE6" w:rsidRDefault="005E6BE6" w:rsidP="00980876">
      <w:pPr>
        <w:widowControl w:val="0"/>
        <w:numPr>
          <w:ilvl w:val="0"/>
          <w:numId w:val="306"/>
        </w:numPr>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A tantárgy meghirdetésének gyakorisága/a tantervben történő félévi elhelyezkedése: </w:t>
      </w:r>
      <w:r>
        <w:rPr>
          <w:rFonts w:ascii="Times New Roman" w:eastAsia="Times New Roman" w:hAnsi="Times New Roman" w:cs="Times New Roman"/>
          <w:bCs/>
        </w:rPr>
        <w:t>8. félév</w:t>
      </w:r>
      <w:r>
        <w:rPr>
          <w:rFonts w:ascii="Times New Roman" w:eastAsia="Times New Roman" w:hAnsi="Times New Roman" w:cs="Times New Roman"/>
          <w:b/>
          <w:bCs/>
        </w:rPr>
        <w:t>.</w:t>
      </w:r>
    </w:p>
    <w:p w:rsidR="005E6BE6" w:rsidRDefault="005E6BE6" w:rsidP="00980876">
      <w:pPr>
        <w:widowControl w:val="0"/>
        <w:numPr>
          <w:ilvl w:val="0"/>
          <w:numId w:val="306"/>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 tanórákon való részvétel követelményei, az elfogadható hiányzások mértéke, a távolmaradás pótlásának lehetősége: </w:t>
      </w:r>
    </w:p>
    <w:p w:rsidR="005E6BE6" w:rsidRDefault="005E6BE6" w:rsidP="00980876">
      <w:pPr>
        <w:numPr>
          <w:ilvl w:val="0"/>
          <w:numId w:val="245"/>
        </w:numPr>
        <w:tabs>
          <w:tab w:val="center" w:pos="4536"/>
          <w:tab w:val="right" w:pos="9072"/>
        </w:tabs>
        <w:spacing w:after="0" w:line="240" w:lineRule="auto"/>
        <w:ind w:left="851" w:hanging="210"/>
        <w:jc w:val="both"/>
        <w:rPr>
          <w:rFonts w:ascii="Times New Roman" w:hAnsi="Times New Roman" w:cs="Times New Roman"/>
          <w:bCs/>
        </w:rPr>
      </w:pPr>
      <w:r>
        <w:rPr>
          <w:rFonts w:ascii="Times New Roman" w:hAnsi="Times New Roman" w:cs="Times New Roman"/>
          <w:bCs/>
        </w:rPr>
        <w:t>a foglalkozásokon a részvétel kötelező (minimum 80%)</w:t>
      </w:r>
    </w:p>
    <w:p w:rsidR="005E6BE6" w:rsidRDefault="005E6BE6" w:rsidP="00980876">
      <w:pPr>
        <w:numPr>
          <w:ilvl w:val="0"/>
          <w:numId w:val="245"/>
        </w:numPr>
        <w:tabs>
          <w:tab w:val="right" w:pos="851"/>
          <w:tab w:val="center" w:pos="4536"/>
          <w:tab w:val="right" w:pos="9072"/>
        </w:tabs>
        <w:spacing w:after="0" w:line="240" w:lineRule="auto"/>
        <w:jc w:val="both"/>
        <w:rPr>
          <w:rFonts w:ascii="Times New Roman" w:hAnsi="Times New Roman" w:cs="Times New Roman"/>
          <w:bCs/>
        </w:rPr>
      </w:pPr>
      <w:r>
        <w:rPr>
          <w:rFonts w:ascii="Times New Roman" w:hAnsi="Times New Roman" w:cs="Times New Roman"/>
          <w:bCs/>
        </w:rPr>
        <w:t>rövid/tartós távolmaradás indokolt esetben (orvosi, szolgálati) pótolható, amely pótlás egyéni megbeszélés szerint történik.</w:t>
      </w:r>
    </w:p>
    <w:p w:rsidR="005E6BE6" w:rsidRDefault="005E6BE6" w:rsidP="00980876">
      <w:pPr>
        <w:widowControl w:val="0"/>
        <w:numPr>
          <w:ilvl w:val="0"/>
          <w:numId w:val="306"/>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rPr>
        <w:t xml:space="preserve">Félévközi feladatok, ismeretek ellenőrzésének rendje: </w:t>
      </w:r>
    </w:p>
    <w:p w:rsidR="005E6BE6" w:rsidRDefault="005E6BE6" w:rsidP="00980876">
      <w:pPr>
        <w:numPr>
          <w:ilvl w:val="0"/>
          <w:numId w:val="245"/>
        </w:numPr>
        <w:tabs>
          <w:tab w:val="center" w:pos="4536"/>
          <w:tab w:val="right" w:pos="9072"/>
        </w:tabs>
        <w:spacing w:after="0" w:line="240" w:lineRule="auto"/>
        <w:ind w:left="851" w:hanging="210"/>
        <w:jc w:val="both"/>
        <w:rPr>
          <w:rFonts w:ascii="Times New Roman" w:hAnsi="Times New Roman" w:cs="Times New Roman"/>
          <w:bCs/>
        </w:rPr>
      </w:pPr>
      <w:r>
        <w:rPr>
          <w:rFonts w:ascii="Times New Roman" w:hAnsi="Times New Roman" w:cs="Times New Roman"/>
          <w:bCs/>
        </w:rPr>
        <w:t>a szemináriumokra kiadott forrásanyagok feldolgozása - csoportmunka</w:t>
      </w:r>
    </w:p>
    <w:p w:rsidR="005E6BE6" w:rsidRDefault="005E6BE6" w:rsidP="00980876">
      <w:pPr>
        <w:numPr>
          <w:ilvl w:val="0"/>
          <w:numId w:val="245"/>
        </w:numPr>
        <w:tabs>
          <w:tab w:val="right" w:pos="851"/>
          <w:tab w:val="center" w:pos="4536"/>
          <w:tab w:val="right" w:pos="9072"/>
        </w:tabs>
        <w:spacing w:after="0" w:line="240" w:lineRule="auto"/>
        <w:jc w:val="both"/>
        <w:rPr>
          <w:rFonts w:ascii="Times New Roman" w:hAnsi="Times New Roman" w:cs="Times New Roman"/>
          <w:bCs/>
        </w:rPr>
      </w:pPr>
      <w:r>
        <w:rPr>
          <w:rFonts w:ascii="Times New Roman" w:hAnsi="Times New Roman" w:cs="Times New Roman"/>
          <w:bCs/>
        </w:rPr>
        <w:t>adott szempontok alapján elkészített rövid szóbeli előadás (ppt) – egyéni munka</w:t>
      </w:r>
    </w:p>
    <w:p w:rsidR="005E6BE6" w:rsidRPr="00253511" w:rsidRDefault="005E6BE6" w:rsidP="00980876">
      <w:pPr>
        <w:pStyle w:val="Listaszerbekezds"/>
        <w:widowControl w:val="0"/>
        <w:numPr>
          <w:ilvl w:val="0"/>
          <w:numId w:val="245"/>
        </w:numPr>
        <w:tabs>
          <w:tab w:val="left" w:pos="993"/>
        </w:tabs>
        <w:spacing w:after="0" w:line="240" w:lineRule="auto"/>
        <w:rPr>
          <w:rFonts w:ascii="Times New Roman" w:eastAsia="Times New Roman" w:hAnsi="Times New Roman" w:cs="Times New Roman"/>
        </w:rPr>
      </w:pPr>
      <w:r w:rsidRPr="00253511">
        <w:rPr>
          <w:rFonts w:ascii="Times New Roman" w:eastAsia="Times New Roman" w:hAnsi="Times New Roman" w:cs="Times New Roman"/>
        </w:rPr>
        <w:t>a félév aláírásának feltétele a 14. pontban leírt követelmények</w:t>
      </w:r>
    </w:p>
    <w:p w:rsidR="005E6BE6" w:rsidRPr="00253511" w:rsidRDefault="005E6BE6" w:rsidP="00980876">
      <w:pPr>
        <w:pStyle w:val="Listaszerbekezds"/>
        <w:widowControl w:val="0"/>
        <w:numPr>
          <w:ilvl w:val="0"/>
          <w:numId w:val="245"/>
        </w:numPr>
        <w:tabs>
          <w:tab w:val="left" w:pos="993"/>
        </w:tabs>
        <w:spacing w:after="0" w:line="240" w:lineRule="auto"/>
        <w:jc w:val="both"/>
        <w:rPr>
          <w:rFonts w:ascii="Times New Roman" w:eastAsia="Times New Roman" w:hAnsi="Times New Roman" w:cs="Times New Roman"/>
        </w:rPr>
      </w:pPr>
      <w:r w:rsidRPr="00253511">
        <w:rPr>
          <w:rFonts w:ascii="Times New Roman" w:eastAsia="Times New Roman" w:hAnsi="Times New Roman" w:cs="Times New Roman"/>
        </w:rPr>
        <w:t>a félév végén: zárthelyi dolgozat, a dolgozat értékelése szummatív</w:t>
      </w:r>
      <w:r>
        <w:rPr>
          <w:rFonts w:ascii="Times New Roman" w:eastAsia="Times New Roman" w:hAnsi="Times New Roman" w:cs="Times New Roman"/>
        </w:rPr>
        <w:t>:</w:t>
      </w:r>
    </w:p>
    <w:p w:rsidR="005E6BE6" w:rsidRPr="00253511" w:rsidRDefault="005E6BE6" w:rsidP="00980876">
      <w:pPr>
        <w:pStyle w:val="Listaszerbekezds"/>
        <w:widowControl w:val="0"/>
        <w:numPr>
          <w:ilvl w:val="3"/>
          <w:numId w:val="248"/>
        </w:numPr>
        <w:tabs>
          <w:tab w:val="left" w:pos="993"/>
        </w:tabs>
        <w:spacing w:after="0" w:line="240" w:lineRule="auto"/>
        <w:jc w:val="both"/>
        <w:rPr>
          <w:rFonts w:ascii="Times New Roman" w:eastAsia="Times New Roman" w:hAnsi="Times New Roman" w:cs="Times New Roman"/>
        </w:rPr>
      </w:pPr>
      <w:r w:rsidRPr="00253511">
        <w:rPr>
          <w:rFonts w:ascii="Times New Roman" w:eastAsia="Times New Roman" w:hAnsi="Times New Roman" w:cs="Times New Roman"/>
        </w:rPr>
        <w:t xml:space="preserve">  0-50% - elégtelen</w:t>
      </w:r>
    </w:p>
    <w:p w:rsidR="005E6BE6" w:rsidRPr="00253511" w:rsidRDefault="005E6BE6" w:rsidP="00980876">
      <w:pPr>
        <w:pStyle w:val="Listaszerbekezds"/>
        <w:widowControl w:val="0"/>
        <w:numPr>
          <w:ilvl w:val="3"/>
          <w:numId w:val="248"/>
        </w:numPr>
        <w:tabs>
          <w:tab w:val="left" w:pos="993"/>
        </w:tabs>
        <w:spacing w:after="0" w:line="240" w:lineRule="auto"/>
        <w:jc w:val="both"/>
        <w:rPr>
          <w:rFonts w:ascii="Times New Roman" w:eastAsia="Times New Roman" w:hAnsi="Times New Roman" w:cs="Times New Roman"/>
        </w:rPr>
      </w:pPr>
      <w:r w:rsidRPr="00253511">
        <w:rPr>
          <w:rFonts w:ascii="Times New Roman" w:eastAsia="Times New Roman" w:hAnsi="Times New Roman" w:cs="Times New Roman"/>
        </w:rPr>
        <w:t xml:space="preserve">  51-70% - elégséges</w:t>
      </w:r>
    </w:p>
    <w:p w:rsidR="005E6BE6" w:rsidRPr="00253511" w:rsidRDefault="005E6BE6" w:rsidP="00980876">
      <w:pPr>
        <w:pStyle w:val="Listaszerbekezds"/>
        <w:widowControl w:val="0"/>
        <w:numPr>
          <w:ilvl w:val="3"/>
          <w:numId w:val="248"/>
        </w:numPr>
        <w:tabs>
          <w:tab w:val="left" w:pos="993"/>
        </w:tabs>
        <w:spacing w:after="0" w:line="240" w:lineRule="auto"/>
        <w:jc w:val="both"/>
        <w:rPr>
          <w:rFonts w:ascii="Times New Roman" w:eastAsia="Times New Roman" w:hAnsi="Times New Roman" w:cs="Times New Roman"/>
        </w:rPr>
      </w:pPr>
      <w:r w:rsidRPr="00253511">
        <w:rPr>
          <w:rFonts w:ascii="Times New Roman" w:eastAsia="Times New Roman" w:hAnsi="Times New Roman" w:cs="Times New Roman"/>
        </w:rPr>
        <w:t xml:space="preserve">  71-80% - közepes</w:t>
      </w:r>
    </w:p>
    <w:p w:rsidR="005E6BE6" w:rsidRPr="00253511" w:rsidRDefault="005E6BE6" w:rsidP="00980876">
      <w:pPr>
        <w:pStyle w:val="Listaszerbekezds"/>
        <w:widowControl w:val="0"/>
        <w:numPr>
          <w:ilvl w:val="3"/>
          <w:numId w:val="248"/>
        </w:numPr>
        <w:tabs>
          <w:tab w:val="left" w:pos="993"/>
        </w:tabs>
        <w:spacing w:after="0" w:line="240" w:lineRule="auto"/>
        <w:jc w:val="both"/>
        <w:rPr>
          <w:rFonts w:ascii="Times New Roman" w:eastAsia="Times New Roman" w:hAnsi="Times New Roman" w:cs="Times New Roman"/>
        </w:rPr>
      </w:pPr>
      <w:r w:rsidRPr="00253511">
        <w:rPr>
          <w:rFonts w:ascii="Times New Roman" w:eastAsia="Times New Roman" w:hAnsi="Times New Roman" w:cs="Times New Roman"/>
        </w:rPr>
        <w:t xml:space="preserve">  81-90% - jó</w:t>
      </w:r>
    </w:p>
    <w:p w:rsidR="005E6BE6" w:rsidRPr="00253511" w:rsidRDefault="005E6BE6" w:rsidP="00980876">
      <w:pPr>
        <w:pStyle w:val="Listaszerbekezds"/>
        <w:widowControl w:val="0"/>
        <w:numPr>
          <w:ilvl w:val="3"/>
          <w:numId w:val="248"/>
        </w:numPr>
        <w:tabs>
          <w:tab w:val="left" w:pos="993"/>
        </w:tabs>
        <w:spacing w:after="0" w:line="240" w:lineRule="auto"/>
        <w:jc w:val="both"/>
        <w:rPr>
          <w:rFonts w:ascii="Times New Roman" w:eastAsia="Times New Roman" w:hAnsi="Times New Roman" w:cs="Times New Roman"/>
        </w:rPr>
      </w:pPr>
      <w:r w:rsidRPr="00253511">
        <w:rPr>
          <w:rFonts w:ascii="Times New Roman" w:eastAsia="Times New Roman" w:hAnsi="Times New Roman" w:cs="Times New Roman"/>
        </w:rPr>
        <w:t xml:space="preserve">  91-100% - jeles</w:t>
      </w:r>
    </w:p>
    <w:p w:rsidR="005E6BE6" w:rsidRDefault="005E6BE6" w:rsidP="00980876">
      <w:pPr>
        <w:widowControl w:val="0"/>
        <w:numPr>
          <w:ilvl w:val="0"/>
          <w:numId w:val="306"/>
        </w:numPr>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Az értékelés, az aláírás és a kreditek megszerzésének pontos feltételei: </w:t>
      </w:r>
    </w:p>
    <w:p w:rsidR="005E6BE6" w:rsidRPr="00253511" w:rsidRDefault="005E6BE6" w:rsidP="00980876">
      <w:pPr>
        <w:widowControl w:val="0"/>
        <w:numPr>
          <w:ilvl w:val="1"/>
          <w:numId w:val="306"/>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253511">
        <w:rPr>
          <w:rFonts w:ascii="Times New Roman" w:eastAsia="Times New Roman" w:hAnsi="Times New Roman" w:cs="Times New Roman"/>
          <w:b/>
        </w:rPr>
        <w:t xml:space="preserve">Az aláírás megszerzésének feltételei: </w:t>
      </w:r>
      <w:r w:rsidRPr="00253511">
        <w:rPr>
          <w:rFonts w:ascii="Times New Roman" w:eastAsia="Times New Roman" w:hAnsi="Times New Roman" w:cs="Times New Roman"/>
        </w:rPr>
        <w:t>Az aláírás megszerzésének feltétele a 14. pontban meghatározott ará</w:t>
      </w:r>
      <w:r>
        <w:rPr>
          <w:rFonts w:ascii="Times New Roman" w:eastAsia="Times New Roman" w:hAnsi="Times New Roman" w:cs="Times New Roman"/>
        </w:rPr>
        <w:t>nyú részvétel a foglalkozásokon és a 15. pontban meghatározott számonkérések legalább elédséges szintű teljesítése.</w:t>
      </w:r>
    </w:p>
    <w:p w:rsidR="004A1361" w:rsidRDefault="004A1361" w:rsidP="00980876">
      <w:pPr>
        <w:widowControl w:val="0"/>
        <w:numPr>
          <w:ilvl w:val="1"/>
          <w:numId w:val="306"/>
        </w:numPr>
        <w:tabs>
          <w:tab w:val="left" w:pos="709"/>
          <w:tab w:val="left" w:pos="993"/>
        </w:tabs>
        <w:spacing w:before="120" w:after="120" w:line="240" w:lineRule="auto"/>
        <w:ind w:left="426" w:firstLine="0"/>
        <w:jc w:val="both"/>
        <w:rPr>
          <w:rFonts w:ascii="Times New Roman" w:eastAsia="Times New Roman" w:hAnsi="Times New Roman" w:cs="Times New Roman"/>
          <w:b/>
        </w:rPr>
      </w:pPr>
      <w:r>
        <w:rPr>
          <w:rFonts w:ascii="Times New Roman" w:eastAsia="Times New Roman" w:hAnsi="Times New Roman" w:cs="Times New Roman"/>
          <w:b/>
        </w:rPr>
        <w:t>Az értékelés:</w:t>
      </w:r>
      <w:r w:rsidRPr="00253511">
        <w:rPr>
          <w:rFonts w:ascii="Times New Roman" w:eastAsia="Times New Roman" w:hAnsi="Times New Roman" w:cs="Times New Roman"/>
        </w:rPr>
        <w:t xml:space="preserve"> </w:t>
      </w:r>
      <w:r>
        <w:rPr>
          <w:rFonts w:ascii="Times New Roman" w:eastAsia="Times New Roman" w:hAnsi="Times New Roman" w:cs="Times New Roman"/>
        </w:rPr>
        <w:t xml:space="preserve">félévközi jegy. A félévközi jegy értékeét a 15. pontban meghatározott feladatok értékelésének és a zárthelyi dolgozat érdemjegyének kerekített számtani átlaga adja. </w:t>
      </w:r>
    </w:p>
    <w:p w:rsidR="005E6BE6" w:rsidRPr="006402BC" w:rsidRDefault="005E6BE6" w:rsidP="00980876">
      <w:pPr>
        <w:widowControl w:val="0"/>
        <w:numPr>
          <w:ilvl w:val="1"/>
          <w:numId w:val="306"/>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6402BC">
        <w:rPr>
          <w:rFonts w:ascii="Times New Roman" w:eastAsia="Times New Roman" w:hAnsi="Times New Roman" w:cs="Times New Roman"/>
          <w:b/>
        </w:rPr>
        <w:t xml:space="preserve">A kreditek megszerzésének feltételei: </w:t>
      </w:r>
      <w:r w:rsidRPr="006402BC">
        <w:rPr>
          <w:rFonts w:ascii="Times New Roman" w:eastAsia="Times New Roman" w:hAnsi="Times New Roman" w:cs="Times New Roman"/>
        </w:rPr>
        <w:t>A kreditek megszerzésének feltétele az aláírás megszerzése és legalább elégséges szintű félévközi értékelés.</w:t>
      </w:r>
    </w:p>
    <w:p w:rsidR="005E6BE6" w:rsidRDefault="005E6BE6" w:rsidP="00980876">
      <w:pPr>
        <w:widowControl w:val="0"/>
        <w:numPr>
          <w:ilvl w:val="0"/>
          <w:numId w:val="306"/>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Irodalomjegyzék:</w:t>
      </w:r>
    </w:p>
    <w:p w:rsidR="005E6BE6" w:rsidRDefault="005E6BE6" w:rsidP="00980876">
      <w:pPr>
        <w:widowControl w:val="0"/>
        <w:numPr>
          <w:ilvl w:val="1"/>
          <w:numId w:val="306"/>
        </w:numPr>
        <w:tabs>
          <w:tab w:val="left" w:pos="567"/>
          <w:tab w:val="left" w:pos="851"/>
          <w:tab w:val="num" w:pos="2069"/>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Kötelező irodalom:</w:t>
      </w:r>
    </w:p>
    <w:p w:rsidR="00D8662C" w:rsidRPr="00A76F74" w:rsidRDefault="00D8662C" w:rsidP="00980876">
      <w:pPr>
        <w:numPr>
          <w:ilvl w:val="0"/>
          <w:numId w:val="781"/>
        </w:numPr>
        <w:tabs>
          <w:tab w:val="right" w:pos="851"/>
          <w:tab w:val="center" w:pos="4536"/>
          <w:tab w:val="right" w:pos="9072"/>
        </w:tabs>
        <w:spacing w:after="0" w:line="240" w:lineRule="auto"/>
        <w:jc w:val="both"/>
        <w:rPr>
          <w:rFonts w:ascii="Times New Roman" w:hAnsi="Times New Roman" w:cs="Times New Roman"/>
          <w:bCs/>
          <w:highlight w:val="yellow"/>
        </w:rPr>
      </w:pPr>
      <w:r w:rsidRPr="00A76F74">
        <w:rPr>
          <w:rFonts w:ascii="Times New Roman" w:hAnsi="Times New Roman" w:cs="Times New Roman"/>
          <w:bCs/>
          <w:highlight w:val="yellow"/>
        </w:rPr>
        <w:t>Holakovszki I.-Lukács T. (2019): A közbeszerzések hazai szabályozása. Nemzeti Közszolgálati Egyetem; Közigazgatási Továbbképzési Intézet,</w:t>
      </w:r>
    </w:p>
    <w:p w:rsidR="00D8662C" w:rsidRDefault="00D8662C" w:rsidP="00980876">
      <w:pPr>
        <w:numPr>
          <w:ilvl w:val="0"/>
          <w:numId w:val="781"/>
        </w:numPr>
        <w:tabs>
          <w:tab w:val="right" w:pos="851"/>
          <w:tab w:val="center" w:pos="4536"/>
          <w:tab w:val="right" w:pos="9072"/>
        </w:tabs>
        <w:spacing w:after="0" w:line="240" w:lineRule="auto"/>
        <w:jc w:val="both"/>
        <w:rPr>
          <w:rFonts w:ascii="Times New Roman" w:hAnsi="Times New Roman" w:cs="Times New Roman"/>
          <w:bCs/>
        </w:rPr>
      </w:pPr>
      <w:r>
        <w:rPr>
          <w:rFonts w:ascii="Times New Roman" w:hAnsi="Times New Roman" w:cs="Times New Roman"/>
          <w:bCs/>
        </w:rPr>
        <w:t xml:space="preserve">Boros Anita –Juhász Péter –Lantos Ottó –Tátrai Tünde (2013): A közbeszerzés alapjai. (II. fejezet, VII. fejezet, VIII. fejezet, XI. fejezet, XIII. fejezet –a 13.1.1. kivételével) Budapest: Wolters Kluwer Kiadó,pp. 15-31., 125-177., 281-319, 322-328. </w:t>
      </w:r>
    </w:p>
    <w:p w:rsidR="00D8662C" w:rsidRDefault="00D8662C" w:rsidP="00980876">
      <w:pPr>
        <w:numPr>
          <w:ilvl w:val="0"/>
          <w:numId w:val="781"/>
        </w:numPr>
        <w:tabs>
          <w:tab w:val="right" w:pos="851"/>
          <w:tab w:val="center" w:pos="4536"/>
          <w:tab w:val="right" w:pos="9072"/>
        </w:tabs>
        <w:spacing w:after="0" w:line="240" w:lineRule="auto"/>
        <w:jc w:val="both"/>
        <w:rPr>
          <w:rFonts w:ascii="Times New Roman" w:hAnsi="Times New Roman" w:cs="Times New Roman"/>
          <w:bCs/>
        </w:rPr>
      </w:pPr>
      <w:r>
        <w:rPr>
          <w:rFonts w:ascii="Times New Roman" w:hAnsi="Times New Roman" w:cs="Times New Roman"/>
          <w:bCs/>
        </w:rPr>
        <w:t>Derzsényi Attila: A katonai beszerzés a logisztikai támogatás rendszerében (PhD értekezés 2018, Budapest, NKE);</w:t>
      </w:r>
    </w:p>
    <w:p w:rsidR="00D8662C" w:rsidRDefault="00D8662C" w:rsidP="00980876">
      <w:pPr>
        <w:widowControl w:val="0"/>
        <w:numPr>
          <w:ilvl w:val="1"/>
          <w:numId w:val="306"/>
        </w:numPr>
        <w:tabs>
          <w:tab w:val="left" w:pos="567"/>
          <w:tab w:val="left" w:pos="851"/>
          <w:tab w:val="num" w:pos="2069"/>
        </w:tabs>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Ajánlott irodalom:</w:t>
      </w:r>
    </w:p>
    <w:p w:rsidR="00D8662C" w:rsidRPr="00A76F74" w:rsidRDefault="00D8662C" w:rsidP="00980876">
      <w:pPr>
        <w:numPr>
          <w:ilvl w:val="0"/>
          <w:numId w:val="782"/>
        </w:numPr>
        <w:tabs>
          <w:tab w:val="right" w:pos="851"/>
          <w:tab w:val="center" w:pos="4536"/>
          <w:tab w:val="right" w:pos="9072"/>
        </w:tabs>
        <w:spacing w:after="0" w:line="240" w:lineRule="auto"/>
        <w:ind w:left="709" w:hanging="283"/>
        <w:jc w:val="both"/>
        <w:rPr>
          <w:rFonts w:ascii="Times New Roman" w:eastAsia="Times New Roman" w:hAnsi="Times New Roman" w:cs="Times New Roman"/>
          <w:bCs/>
        </w:rPr>
      </w:pPr>
      <w:r>
        <w:rPr>
          <w:rFonts w:ascii="Times New Roman" w:hAnsi="Times New Roman" w:cs="Times New Roman"/>
          <w:bCs/>
        </w:rPr>
        <w:t>A szakirodalmakban hivatkozott jogszabályok, HM és MHP belső szabályzók</w:t>
      </w:r>
    </w:p>
    <w:p w:rsidR="00D8662C" w:rsidRPr="00A76F74" w:rsidRDefault="00D8662C" w:rsidP="00980876">
      <w:pPr>
        <w:numPr>
          <w:ilvl w:val="0"/>
          <w:numId w:val="782"/>
        </w:numPr>
        <w:tabs>
          <w:tab w:val="right" w:pos="851"/>
          <w:tab w:val="center" w:pos="4536"/>
          <w:tab w:val="right" w:pos="9072"/>
        </w:tabs>
        <w:spacing w:after="0" w:line="240" w:lineRule="auto"/>
        <w:ind w:left="709" w:hanging="283"/>
        <w:jc w:val="both"/>
        <w:rPr>
          <w:rFonts w:ascii="Times New Roman" w:hAnsi="Times New Roman" w:cs="Times New Roman"/>
          <w:bCs/>
          <w:highlight w:val="yellow"/>
        </w:rPr>
      </w:pPr>
      <w:r w:rsidRPr="00A76F74">
        <w:rPr>
          <w:rFonts w:ascii="Times New Roman" w:hAnsi="Times New Roman" w:cs="Times New Roman"/>
          <w:bCs/>
          <w:highlight w:val="yellow"/>
        </w:rPr>
        <w:t>Derzsényi Attila: KATONAI BESZERZÉS I., HADMÉRNÖK IX.: (1) pp. 25-39.</w:t>
      </w:r>
    </w:p>
    <w:p w:rsidR="00D8662C" w:rsidRPr="00A76F74" w:rsidRDefault="00D8662C" w:rsidP="00980876">
      <w:pPr>
        <w:numPr>
          <w:ilvl w:val="0"/>
          <w:numId w:val="782"/>
        </w:numPr>
        <w:tabs>
          <w:tab w:val="right" w:pos="851"/>
          <w:tab w:val="center" w:pos="4536"/>
          <w:tab w:val="right" w:pos="9072"/>
        </w:tabs>
        <w:spacing w:after="0" w:line="240" w:lineRule="auto"/>
        <w:ind w:left="709" w:hanging="283"/>
        <w:jc w:val="both"/>
        <w:rPr>
          <w:rFonts w:ascii="Times New Roman" w:hAnsi="Times New Roman" w:cs="Times New Roman"/>
          <w:bCs/>
          <w:highlight w:val="yellow"/>
        </w:rPr>
      </w:pPr>
      <w:r w:rsidRPr="00A76F74">
        <w:rPr>
          <w:rFonts w:ascii="Times New Roman" w:hAnsi="Times New Roman" w:cs="Times New Roman"/>
          <w:bCs/>
          <w:highlight w:val="yellow"/>
        </w:rPr>
        <w:t>Derzsényi Attila: KATONAI BESZERZÉS II., HADMÉRNÖK X: (2) pp. 135-147.</w:t>
      </w:r>
    </w:p>
    <w:p w:rsidR="004A1361" w:rsidRDefault="004A1361" w:rsidP="005E6BE6">
      <w:pPr>
        <w:widowControl w:val="0"/>
        <w:spacing w:before="120" w:after="120" w:line="240" w:lineRule="auto"/>
        <w:jc w:val="both"/>
        <w:rPr>
          <w:rFonts w:ascii="Times New Roman" w:eastAsia="Times New Roman" w:hAnsi="Times New Roman" w:cs="Times New Roman"/>
          <w:bCs/>
        </w:rPr>
      </w:pPr>
    </w:p>
    <w:p w:rsidR="005E6BE6" w:rsidRDefault="005E6BE6" w:rsidP="005E6BE6">
      <w:pPr>
        <w:widowControl w:val="0"/>
        <w:spacing w:before="120" w:after="120" w:line="240" w:lineRule="auto"/>
        <w:jc w:val="both"/>
        <w:rPr>
          <w:rFonts w:ascii="Times New Roman" w:eastAsia="Times New Roman" w:hAnsi="Times New Roman" w:cs="Times New Roman"/>
          <w:bCs/>
        </w:rPr>
      </w:pPr>
      <w:r>
        <w:rPr>
          <w:rFonts w:ascii="Times New Roman" w:eastAsia="Times New Roman" w:hAnsi="Times New Roman" w:cs="Times New Roman"/>
          <w:bCs/>
        </w:rPr>
        <w:t>Budapest, 2020. január 20.</w:t>
      </w:r>
    </w:p>
    <w:p w:rsidR="005E6BE6" w:rsidRDefault="005E6BE6" w:rsidP="005E6BE6">
      <w:pPr>
        <w:widowControl w:val="0"/>
        <w:spacing w:after="0" w:line="240" w:lineRule="auto"/>
        <w:jc w:val="center"/>
        <w:rPr>
          <w:rFonts w:ascii="Times New Roman" w:hAnsi="Times New Roman" w:cs="Times New Roman"/>
          <w:b/>
          <w:bCs/>
        </w:rPr>
      </w:pPr>
      <w:r>
        <w:rPr>
          <w:rFonts w:ascii="Times New Roman" w:hAnsi="Times New Roman" w:cs="Times New Roman"/>
          <w:bCs/>
        </w:rPr>
        <w:t xml:space="preserve">                                                                                                                       </w:t>
      </w:r>
      <w:r>
        <w:rPr>
          <w:rFonts w:ascii="Times New Roman" w:hAnsi="Times New Roman" w:cs="Times New Roman"/>
          <w:b/>
          <w:bCs/>
        </w:rPr>
        <w:t>Dr. Derzsényi Attila (PhD)</w:t>
      </w:r>
    </w:p>
    <w:p w:rsidR="003D7143" w:rsidRDefault="005E6BE6" w:rsidP="004A1361">
      <w:pPr>
        <w:widowControl w:val="0"/>
        <w:spacing w:after="0" w:line="240" w:lineRule="auto"/>
        <w:jc w:val="center"/>
        <w:rPr>
          <w:rFonts w:ascii="Times New Roman" w:hAnsi="Times New Roman" w:cs="Times New Roman"/>
          <w:sz w:val="24"/>
        </w:rPr>
      </w:pPr>
      <w:r>
        <w:rPr>
          <w:rFonts w:ascii="Times New Roman" w:hAnsi="Times New Roman" w:cs="Times New Roman"/>
          <w:bCs/>
        </w:rPr>
        <w:t xml:space="preserve">                                                                                                                      adjunktus</w:t>
      </w:r>
      <w:r>
        <w:rPr>
          <w:rFonts w:ascii="Times New Roman" w:eastAsia="Times New Roman" w:hAnsi="Times New Roman" w:cs="Times New Roman"/>
          <w:bCs/>
        </w:rPr>
        <w:t xml:space="preserve"> s.k.</w:t>
      </w:r>
      <w:r w:rsidR="003D7143">
        <w:rPr>
          <w:rFonts w:ascii="Times New Roman" w:hAnsi="Times New Roman" w:cs="Times New Roman"/>
          <w:sz w:val="24"/>
        </w:rPr>
        <w:br w:type="page"/>
      </w:r>
    </w:p>
    <w:p w:rsidR="003D7143" w:rsidRPr="000D7125" w:rsidRDefault="00E82D81" w:rsidP="000D7125">
      <w:pPr>
        <w:pStyle w:val="Cmsor1"/>
        <w:spacing w:before="2040"/>
        <w:jc w:val="center"/>
        <w:rPr>
          <w:rFonts w:eastAsia="Calibri"/>
          <w:i w:val="0"/>
          <w:szCs w:val="22"/>
          <w:u w:val="none"/>
        </w:rPr>
      </w:pPr>
      <w:bookmarkStart w:id="60" w:name="_Toc37240849"/>
      <w:r w:rsidRPr="000D7125">
        <w:rPr>
          <w:rFonts w:eastAsia="Calibri"/>
          <w:i w:val="0"/>
          <w:szCs w:val="22"/>
          <w:u w:val="none"/>
        </w:rPr>
        <w:lastRenderedPageBreak/>
        <w:t>c)</w:t>
      </w:r>
      <w:r w:rsidR="007F6328" w:rsidRPr="000D7125">
        <w:rPr>
          <w:rFonts w:eastAsia="Calibri"/>
          <w:i w:val="0"/>
          <w:szCs w:val="22"/>
          <w:u w:val="none"/>
        </w:rPr>
        <w:t xml:space="preserve"> </w:t>
      </w:r>
      <w:r w:rsidR="003D7143" w:rsidRPr="000D7125">
        <w:rPr>
          <w:rFonts w:eastAsia="Calibri"/>
          <w:i w:val="0"/>
          <w:szCs w:val="22"/>
          <w:u w:val="none"/>
        </w:rPr>
        <w:t>Haditechnika</w:t>
      </w:r>
      <w:r w:rsidR="007F6328" w:rsidRPr="000D7125">
        <w:rPr>
          <w:rFonts w:eastAsia="Calibri"/>
          <w:i w:val="0"/>
          <w:szCs w:val="22"/>
          <w:u w:val="none"/>
        </w:rPr>
        <w:t>i</w:t>
      </w:r>
      <w:r w:rsidR="003D7143" w:rsidRPr="000D7125">
        <w:rPr>
          <w:rFonts w:eastAsia="Calibri"/>
          <w:i w:val="0"/>
          <w:szCs w:val="22"/>
          <w:u w:val="none"/>
        </w:rPr>
        <w:t xml:space="preserve"> specializáció</w:t>
      </w:r>
      <w:bookmarkEnd w:id="60"/>
    </w:p>
    <w:p w:rsidR="003D7143" w:rsidRDefault="003D7143">
      <w:pPr>
        <w:spacing w:after="200" w:line="276" w:lineRule="auto"/>
        <w:rPr>
          <w:rFonts w:ascii="Times New Roman" w:hAnsi="Times New Roman" w:cs="Times New Roman"/>
          <w:b/>
          <w:color w:val="FF0000"/>
          <w:sz w:val="24"/>
        </w:rPr>
      </w:pPr>
      <w:r>
        <w:rPr>
          <w:rFonts w:ascii="Times New Roman" w:hAnsi="Times New Roman" w:cs="Times New Roman"/>
          <w:b/>
          <w:color w:val="FF0000"/>
          <w:sz w:val="24"/>
        </w:rPr>
        <w:br w:type="page"/>
      </w:r>
    </w:p>
    <w:tbl>
      <w:tblPr>
        <w:tblW w:w="9072" w:type="dxa"/>
        <w:tblInd w:w="113" w:type="dxa"/>
        <w:tblLook w:val="01E0" w:firstRow="1" w:lastRow="1" w:firstColumn="1" w:lastColumn="1" w:noHBand="0" w:noVBand="0"/>
      </w:tblPr>
      <w:tblGrid>
        <w:gridCol w:w="4855"/>
        <w:gridCol w:w="1620"/>
        <w:gridCol w:w="2597"/>
      </w:tblGrid>
      <w:tr w:rsidR="003D7143" w:rsidRPr="004E024B" w:rsidTr="003D7143">
        <w:tc>
          <w:tcPr>
            <w:tcW w:w="4855" w:type="dxa"/>
            <w:tcBorders>
              <w:bottom w:val="single" w:sz="4" w:space="0" w:color="auto"/>
            </w:tcBorders>
          </w:tcPr>
          <w:p w:rsidR="003D7143" w:rsidRPr="004E024B" w:rsidRDefault="003D7143" w:rsidP="003D7143">
            <w:pPr>
              <w:spacing w:after="0" w:line="240" w:lineRule="auto"/>
              <w:jc w:val="center"/>
              <w:rPr>
                <w:rFonts w:ascii="Times New Roman" w:eastAsia="Times New Roman" w:hAnsi="Times New Roman" w:cs="Times New Roman"/>
                <w:b/>
                <w:smallCaps/>
                <w:lang w:eastAsia="hu-HU"/>
              </w:rPr>
            </w:pPr>
            <w:r w:rsidRPr="004E024B">
              <w:rPr>
                <w:rFonts w:ascii="Times New Roman" w:eastAsia="Times New Roman" w:hAnsi="Times New Roman" w:cs="Times New Roman"/>
                <w:b/>
                <w:smallCaps/>
                <w:lang w:eastAsia="hu-HU"/>
              </w:rPr>
              <w:lastRenderedPageBreak/>
              <w:t>Nemzeti Közszolgálati Egyetem</w:t>
            </w:r>
          </w:p>
        </w:tc>
        <w:tc>
          <w:tcPr>
            <w:tcW w:w="1620" w:type="dxa"/>
          </w:tcPr>
          <w:p w:rsidR="003D7143" w:rsidRPr="004E024B" w:rsidRDefault="003D7143" w:rsidP="003D7143">
            <w:pPr>
              <w:spacing w:after="0" w:line="240" w:lineRule="auto"/>
              <w:jc w:val="both"/>
              <w:rPr>
                <w:rFonts w:ascii="Times New Roman" w:eastAsia="Times New Roman" w:hAnsi="Times New Roman" w:cs="Times New Roman"/>
                <w:lang w:eastAsia="hu-HU"/>
              </w:rPr>
            </w:pPr>
          </w:p>
        </w:tc>
        <w:tc>
          <w:tcPr>
            <w:tcW w:w="2597" w:type="dxa"/>
          </w:tcPr>
          <w:p w:rsidR="003D7143" w:rsidRPr="004E024B" w:rsidRDefault="003D7143" w:rsidP="003D7143">
            <w:pPr>
              <w:spacing w:after="0" w:line="240" w:lineRule="auto"/>
              <w:jc w:val="right"/>
              <w:rPr>
                <w:rFonts w:ascii="Times New Roman" w:eastAsia="Times New Roman" w:hAnsi="Times New Roman" w:cs="Times New Roman"/>
                <w:lang w:eastAsia="hu-HU"/>
              </w:rPr>
            </w:pPr>
          </w:p>
        </w:tc>
      </w:tr>
      <w:tr w:rsidR="003D7143" w:rsidRPr="004E024B" w:rsidTr="003D7143">
        <w:tc>
          <w:tcPr>
            <w:tcW w:w="4855" w:type="dxa"/>
            <w:tcBorders>
              <w:top w:val="single" w:sz="4" w:space="0" w:color="auto"/>
            </w:tcBorders>
          </w:tcPr>
          <w:p w:rsidR="003D7143" w:rsidRPr="004E024B" w:rsidRDefault="003D7143" w:rsidP="003D7143">
            <w:pPr>
              <w:spacing w:after="0" w:line="240" w:lineRule="auto"/>
              <w:jc w:val="center"/>
              <w:rPr>
                <w:rFonts w:ascii="Times New Roman" w:eastAsia="Times New Roman" w:hAnsi="Times New Roman" w:cs="Times New Roman"/>
                <w:b/>
                <w:lang w:eastAsia="hu-HU"/>
              </w:rPr>
            </w:pPr>
            <w:r w:rsidRPr="004E024B">
              <w:rPr>
                <w:rFonts w:ascii="Times New Roman" w:eastAsia="Times New Roman" w:hAnsi="Times New Roman" w:cs="Times New Roman"/>
                <w:b/>
                <w:lang w:eastAsia="hu-HU"/>
              </w:rPr>
              <w:t>Hadtudományi és Honvédtisztképző Kar</w:t>
            </w:r>
          </w:p>
        </w:tc>
        <w:tc>
          <w:tcPr>
            <w:tcW w:w="1620" w:type="dxa"/>
          </w:tcPr>
          <w:p w:rsidR="003D7143" w:rsidRPr="004E024B" w:rsidRDefault="003D7143" w:rsidP="003D7143">
            <w:pPr>
              <w:spacing w:after="0" w:line="240" w:lineRule="auto"/>
              <w:jc w:val="both"/>
              <w:rPr>
                <w:rFonts w:ascii="Times New Roman" w:eastAsia="Times New Roman" w:hAnsi="Times New Roman" w:cs="Times New Roman"/>
                <w:lang w:eastAsia="hu-HU"/>
              </w:rPr>
            </w:pPr>
          </w:p>
        </w:tc>
        <w:tc>
          <w:tcPr>
            <w:tcW w:w="2597" w:type="dxa"/>
          </w:tcPr>
          <w:p w:rsidR="003D7143" w:rsidRPr="004E024B" w:rsidRDefault="003D7143" w:rsidP="003D7143">
            <w:pPr>
              <w:spacing w:after="0" w:line="240" w:lineRule="auto"/>
              <w:jc w:val="both"/>
              <w:rPr>
                <w:rFonts w:ascii="Times New Roman" w:eastAsia="Times New Roman" w:hAnsi="Times New Roman" w:cs="Times New Roman"/>
                <w:lang w:eastAsia="hu-HU"/>
              </w:rPr>
            </w:pPr>
          </w:p>
        </w:tc>
      </w:tr>
    </w:tbl>
    <w:p w:rsidR="003D7143" w:rsidRPr="004E024B" w:rsidRDefault="003D7143" w:rsidP="003D7143">
      <w:pPr>
        <w:widowControl w:val="0"/>
        <w:spacing w:before="120" w:after="120" w:line="240" w:lineRule="auto"/>
        <w:ind w:left="426" w:hanging="142"/>
        <w:jc w:val="center"/>
        <w:rPr>
          <w:rFonts w:ascii="Times New Roman" w:eastAsia="Times New Roman" w:hAnsi="Times New Roman" w:cs="Times New Roman"/>
          <w:b/>
          <w:bCs/>
        </w:rPr>
      </w:pPr>
    </w:p>
    <w:p w:rsidR="003D7143" w:rsidRPr="004E024B" w:rsidRDefault="003D7143" w:rsidP="003D7143">
      <w:pPr>
        <w:widowControl w:val="0"/>
        <w:spacing w:before="120" w:after="120" w:line="240" w:lineRule="auto"/>
        <w:ind w:left="426" w:hanging="142"/>
        <w:jc w:val="center"/>
        <w:rPr>
          <w:rFonts w:ascii="Times New Roman" w:eastAsia="Times New Roman" w:hAnsi="Times New Roman" w:cs="Times New Roman"/>
          <w:b/>
          <w:bCs/>
        </w:rPr>
      </w:pPr>
      <w:r w:rsidRPr="004E024B">
        <w:rPr>
          <w:rFonts w:ascii="Times New Roman" w:eastAsia="Times New Roman" w:hAnsi="Times New Roman" w:cs="Times New Roman"/>
          <w:b/>
          <w:bCs/>
        </w:rPr>
        <w:t>TANTÁRGYI PROGRAM</w:t>
      </w:r>
    </w:p>
    <w:p w:rsidR="003D7143" w:rsidRPr="004E024B" w:rsidRDefault="003D7143" w:rsidP="00980876">
      <w:pPr>
        <w:widowControl w:val="0"/>
        <w:numPr>
          <w:ilvl w:val="0"/>
          <w:numId w:val="312"/>
        </w:numPr>
        <w:spacing w:before="120" w:after="120" w:line="240" w:lineRule="auto"/>
        <w:ind w:left="426" w:hanging="142"/>
        <w:jc w:val="both"/>
        <w:rPr>
          <w:rFonts w:ascii="Times New Roman" w:eastAsia="Times New Roman" w:hAnsi="Times New Roman" w:cs="Times New Roman"/>
          <w:bCs/>
        </w:rPr>
      </w:pPr>
      <w:r w:rsidRPr="004E024B">
        <w:rPr>
          <w:rFonts w:ascii="Times New Roman" w:eastAsia="Times New Roman" w:hAnsi="Times New Roman" w:cs="Times New Roman"/>
          <w:b/>
          <w:bCs/>
        </w:rPr>
        <w:t xml:space="preserve">A tantárgy kódja: </w:t>
      </w:r>
      <w:r w:rsidRPr="004E024B">
        <w:rPr>
          <w:rFonts w:ascii="Times New Roman" w:eastAsia="Times New Roman" w:hAnsi="Times New Roman" w:cs="Times New Roman"/>
          <w:bCs/>
        </w:rPr>
        <w:t>HKHDTA04</w:t>
      </w:r>
    </w:p>
    <w:p w:rsidR="003D7143" w:rsidRPr="004E024B" w:rsidRDefault="003D7143" w:rsidP="00980876">
      <w:pPr>
        <w:widowControl w:val="0"/>
        <w:numPr>
          <w:ilvl w:val="0"/>
          <w:numId w:val="312"/>
        </w:numPr>
        <w:spacing w:before="120" w:after="120" w:line="240" w:lineRule="auto"/>
        <w:ind w:left="426" w:hanging="142"/>
        <w:jc w:val="both"/>
        <w:rPr>
          <w:rFonts w:ascii="Times New Roman" w:eastAsia="Times New Roman" w:hAnsi="Times New Roman" w:cs="Times New Roman"/>
          <w:b/>
          <w:bCs/>
          <w:lang w:val="en-GB"/>
        </w:rPr>
      </w:pPr>
      <w:r w:rsidRPr="004E024B">
        <w:rPr>
          <w:rFonts w:ascii="Times New Roman" w:eastAsia="Times New Roman" w:hAnsi="Times New Roman" w:cs="Times New Roman"/>
          <w:b/>
          <w:bCs/>
        </w:rPr>
        <w:t>A tantárgy megnevezése (magyarul):</w:t>
      </w:r>
      <w:r w:rsidRPr="004E024B">
        <w:rPr>
          <w:rFonts w:ascii="Times New Roman" w:eastAsia="Times New Roman" w:hAnsi="Times New Roman" w:cs="Times New Roman"/>
          <w:bCs/>
        </w:rPr>
        <w:t xml:space="preserve"> Áramlástan és hidraulika</w:t>
      </w:r>
    </w:p>
    <w:p w:rsidR="003D7143" w:rsidRPr="004E024B" w:rsidRDefault="003D7143" w:rsidP="00980876">
      <w:pPr>
        <w:widowControl w:val="0"/>
        <w:numPr>
          <w:ilvl w:val="0"/>
          <w:numId w:val="312"/>
        </w:numPr>
        <w:spacing w:before="120" w:after="120" w:line="240" w:lineRule="auto"/>
        <w:ind w:left="426" w:hanging="142"/>
        <w:jc w:val="both"/>
        <w:rPr>
          <w:rFonts w:ascii="Times New Roman" w:eastAsia="Times New Roman" w:hAnsi="Times New Roman" w:cs="Times New Roman"/>
          <w:b/>
          <w:bCs/>
          <w:lang w:val="en-GB"/>
        </w:rPr>
      </w:pPr>
      <w:r w:rsidRPr="004E024B">
        <w:rPr>
          <w:rFonts w:ascii="Times New Roman" w:eastAsia="Times New Roman" w:hAnsi="Times New Roman" w:cs="Times New Roman"/>
          <w:b/>
          <w:bCs/>
        </w:rPr>
        <w:t xml:space="preserve">A tantárgy megnevezése (angolul): </w:t>
      </w:r>
      <w:r w:rsidRPr="004E024B">
        <w:rPr>
          <w:rFonts w:ascii="Times New Roman" w:eastAsia="Times New Roman" w:hAnsi="Times New Roman" w:cs="Times New Roman"/>
          <w:bCs/>
        </w:rPr>
        <w:t>Hidrodynamic- and hydraulic systems</w:t>
      </w:r>
    </w:p>
    <w:p w:rsidR="003D7143" w:rsidRPr="004E024B" w:rsidRDefault="003D7143" w:rsidP="00980876">
      <w:pPr>
        <w:widowControl w:val="0"/>
        <w:numPr>
          <w:ilvl w:val="0"/>
          <w:numId w:val="312"/>
        </w:numPr>
        <w:spacing w:before="120" w:after="120" w:line="240" w:lineRule="auto"/>
        <w:ind w:left="426" w:hanging="142"/>
        <w:jc w:val="both"/>
        <w:rPr>
          <w:rFonts w:ascii="Times New Roman" w:eastAsia="Times New Roman" w:hAnsi="Times New Roman" w:cs="Times New Roman"/>
          <w:b/>
          <w:bCs/>
        </w:rPr>
      </w:pPr>
      <w:r w:rsidRPr="004E024B">
        <w:rPr>
          <w:rFonts w:ascii="Times New Roman" w:eastAsia="Times New Roman" w:hAnsi="Times New Roman" w:cs="Times New Roman"/>
          <w:b/>
          <w:bCs/>
        </w:rPr>
        <w:t xml:space="preserve">Kreditérték és képzési karakter: </w:t>
      </w:r>
    </w:p>
    <w:p w:rsidR="003D7143" w:rsidRPr="004E024B" w:rsidRDefault="003D7143" w:rsidP="00980876">
      <w:pPr>
        <w:pStyle w:val="Listaszerbekezds"/>
        <w:widowControl w:val="0"/>
        <w:numPr>
          <w:ilvl w:val="1"/>
          <w:numId w:val="312"/>
        </w:numPr>
        <w:tabs>
          <w:tab w:val="clear" w:pos="3977"/>
        </w:tabs>
        <w:spacing w:before="120" w:after="120" w:line="240" w:lineRule="auto"/>
        <w:ind w:left="993" w:hanging="426"/>
        <w:jc w:val="both"/>
        <w:rPr>
          <w:rFonts w:ascii="Times New Roman" w:eastAsia="Times New Roman" w:hAnsi="Times New Roman" w:cs="Times New Roman"/>
          <w:b/>
          <w:bCs/>
        </w:rPr>
      </w:pPr>
      <w:r w:rsidRPr="004E024B">
        <w:rPr>
          <w:rFonts w:ascii="Times New Roman" w:eastAsia="Times New Roman" w:hAnsi="Times New Roman" w:cs="Times New Roman"/>
          <w:bCs/>
        </w:rPr>
        <w:t>3 kredit</w:t>
      </w:r>
    </w:p>
    <w:p w:rsidR="003D7143" w:rsidRPr="004E024B" w:rsidRDefault="003D7143" w:rsidP="00980876">
      <w:pPr>
        <w:pStyle w:val="Listaszerbekezds"/>
        <w:widowControl w:val="0"/>
        <w:numPr>
          <w:ilvl w:val="1"/>
          <w:numId w:val="312"/>
        </w:numPr>
        <w:tabs>
          <w:tab w:val="clear" w:pos="3977"/>
        </w:tabs>
        <w:spacing w:before="120" w:after="120" w:line="240" w:lineRule="auto"/>
        <w:ind w:left="993" w:hanging="426"/>
        <w:jc w:val="both"/>
        <w:rPr>
          <w:rFonts w:ascii="Times New Roman" w:eastAsia="Times New Roman" w:hAnsi="Times New Roman" w:cs="Times New Roman"/>
          <w:b/>
          <w:bCs/>
        </w:rPr>
      </w:pPr>
      <w:r w:rsidRPr="004E024B">
        <w:rPr>
          <w:rFonts w:ascii="Times New Roman" w:eastAsia="Times New Roman" w:hAnsi="Times New Roman" w:cs="Times New Roman"/>
          <w:bCs/>
        </w:rPr>
        <w:t>a tantárgy elméleti vagy gyakorlati jellegének mértéke: 33</w:t>
      </w:r>
      <w:r w:rsidRPr="004E024B">
        <w:rPr>
          <w:rFonts w:ascii="Times New Roman" w:eastAsia="Times New Roman" w:hAnsi="Times New Roman" w:cs="Times New Roman"/>
          <w:b/>
          <w:bCs/>
        </w:rPr>
        <w:t xml:space="preserve"> </w:t>
      </w:r>
      <w:r w:rsidRPr="004E024B">
        <w:rPr>
          <w:rFonts w:ascii="Times New Roman" w:eastAsia="Times New Roman" w:hAnsi="Times New Roman" w:cs="Times New Roman"/>
          <w:bCs/>
        </w:rPr>
        <w:t>% gyakorlat, 66 % elmélet</w:t>
      </w:r>
    </w:p>
    <w:p w:rsidR="003D7143" w:rsidRPr="004E024B" w:rsidRDefault="003D7143" w:rsidP="00980876">
      <w:pPr>
        <w:widowControl w:val="0"/>
        <w:numPr>
          <w:ilvl w:val="0"/>
          <w:numId w:val="312"/>
        </w:numPr>
        <w:spacing w:before="120" w:after="120" w:line="240" w:lineRule="auto"/>
        <w:ind w:left="426" w:hanging="142"/>
        <w:jc w:val="both"/>
        <w:rPr>
          <w:rFonts w:ascii="Times New Roman" w:eastAsia="Times New Roman" w:hAnsi="Times New Roman" w:cs="Times New Roman"/>
          <w:bCs/>
        </w:rPr>
      </w:pPr>
      <w:r w:rsidRPr="004E024B">
        <w:rPr>
          <w:rFonts w:ascii="Times New Roman" w:eastAsia="Times New Roman" w:hAnsi="Times New Roman" w:cs="Times New Roman"/>
          <w:b/>
          <w:bCs/>
        </w:rPr>
        <w:t>A szak(ok), szakirányok/specializációk megnevezése (ahol oktatják):</w:t>
      </w:r>
      <w:r w:rsidRPr="004E024B">
        <w:rPr>
          <w:rFonts w:ascii="Times New Roman" w:eastAsia="Times New Roman" w:hAnsi="Times New Roman" w:cs="Times New Roman"/>
          <w:bCs/>
        </w:rPr>
        <w:t xml:space="preserve"> Katonai logisztika (</w:t>
      </w:r>
      <w:r w:rsidR="00137B8A">
        <w:rPr>
          <w:rFonts w:ascii="Times New Roman" w:eastAsia="Times New Roman" w:hAnsi="Times New Roman" w:cs="Times New Roman"/>
          <w:bCs/>
        </w:rPr>
        <w:t>BSc</w:t>
      </w:r>
      <w:r w:rsidRPr="004E024B">
        <w:rPr>
          <w:rFonts w:ascii="Times New Roman" w:eastAsia="Times New Roman" w:hAnsi="Times New Roman" w:cs="Times New Roman"/>
          <w:bCs/>
        </w:rPr>
        <w:t>) alapképzési szak</w:t>
      </w:r>
    </w:p>
    <w:p w:rsidR="003D7143" w:rsidRPr="004E024B" w:rsidRDefault="003D7143" w:rsidP="00980876">
      <w:pPr>
        <w:widowControl w:val="0"/>
        <w:numPr>
          <w:ilvl w:val="0"/>
          <w:numId w:val="312"/>
        </w:numPr>
        <w:spacing w:before="120" w:after="120" w:line="240" w:lineRule="auto"/>
        <w:ind w:left="426" w:hanging="142"/>
        <w:jc w:val="both"/>
        <w:rPr>
          <w:rFonts w:ascii="Times New Roman" w:eastAsia="Times New Roman" w:hAnsi="Times New Roman" w:cs="Times New Roman"/>
          <w:bCs/>
        </w:rPr>
      </w:pPr>
      <w:r w:rsidRPr="004E024B">
        <w:rPr>
          <w:rFonts w:ascii="Times New Roman" w:eastAsia="Times New Roman" w:hAnsi="Times New Roman" w:cs="Times New Roman"/>
          <w:b/>
          <w:bCs/>
        </w:rPr>
        <w:t xml:space="preserve">Az oktatásért felelős oktatási szervezeti egység megnevezése: </w:t>
      </w:r>
      <w:r w:rsidRPr="004E024B">
        <w:rPr>
          <w:rFonts w:ascii="Times New Roman" w:eastAsia="Times New Roman" w:hAnsi="Times New Roman" w:cs="Times New Roman"/>
          <w:bCs/>
        </w:rPr>
        <w:t>HHK Haditechnikai Tanszék</w:t>
      </w:r>
    </w:p>
    <w:p w:rsidR="003D7143" w:rsidRPr="004E024B" w:rsidRDefault="003D7143" w:rsidP="00980876">
      <w:pPr>
        <w:widowControl w:val="0"/>
        <w:numPr>
          <w:ilvl w:val="0"/>
          <w:numId w:val="312"/>
        </w:numPr>
        <w:spacing w:before="120" w:after="120" w:line="240" w:lineRule="auto"/>
        <w:ind w:left="426" w:hanging="142"/>
        <w:jc w:val="both"/>
        <w:rPr>
          <w:rFonts w:ascii="Times New Roman" w:eastAsia="Times New Roman" w:hAnsi="Times New Roman" w:cs="Times New Roman"/>
          <w:bCs/>
        </w:rPr>
      </w:pPr>
      <w:r w:rsidRPr="004E024B">
        <w:rPr>
          <w:rFonts w:ascii="Times New Roman" w:eastAsia="Times New Roman" w:hAnsi="Times New Roman" w:cs="Times New Roman"/>
          <w:b/>
          <w:bCs/>
        </w:rPr>
        <w:t>A tantárgyfelelős oktató neve, beosztása, tudományos fokozata:</w:t>
      </w:r>
      <w:r w:rsidRPr="004E024B">
        <w:rPr>
          <w:rFonts w:ascii="Times New Roman" w:eastAsia="Times New Roman" w:hAnsi="Times New Roman" w:cs="Times New Roman"/>
          <w:bCs/>
        </w:rPr>
        <w:t xml:space="preserve"> </w:t>
      </w:r>
      <w:r w:rsidRPr="004E024B">
        <w:rPr>
          <w:rFonts w:ascii="Times New Roman" w:eastAsia="Times New Roman" w:hAnsi="Times New Roman" w:cs="Times New Roman"/>
          <w:bCs/>
          <w:lang w:eastAsia="hu-HU"/>
        </w:rPr>
        <w:t>Dr. Hegedűs Ernő alezredes PhD, egyetemi docens</w:t>
      </w:r>
    </w:p>
    <w:p w:rsidR="003D7143" w:rsidRPr="004E024B" w:rsidRDefault="003D7143" w:rsidP="00980876">
      <w:pPr>
        <w:widowControl w:val="0"/>
        <w:numPr>
          <w:ilvl w:val="0"/>
          <w:numId w:val="312"/>
        </w:numPr>
        <w:spacing w:before="120" w:after="120" w:line="240" w:lineRule="auto"/>
        <w:ind w:left="426" w:hanging="142"/>
        <w:jc w:val="both"/>
        <w:rPr>
          <w:rFonts w:ascii="Times New Roman" w:eastAsia="Times New Roman" w:hAnsi="Times New Roman" w:cs="Times New Roman"/>
          <w:bCs/>
        </w:rPr>
      </w:pPr>
      <w:r w:rsidRPr="004E024B">
        <w:rPr>
          <w:rFonts w:ascii="Times New Roman" w:eastAsia="Times New Roman" w:hAnsi="Times New Roman" w:cs="Times New Roman"/>
          <w:b/>
          <w:bCs/>
        </w:rPr>
        <w:t>A tanórák száma és típusa</w:t>
      </w:r>
    </w:p>
    <w:p w:rsidR="003D7143" w:rsidRPr="004E024B" w:rsidRDefault="003D7143" w:rsidP="00980876">
      <w:pPr>
        <w:widowControl w:val="0"/>
        <w:numPr>
          <w:ilvl w:val="1"/>
          <w:numId w:val="312"/>
        </w:numPr>
        <w:tabs>
          <w:tab w:val="clear" w:pos="3977"/>
          <w:tab w:val="num" w:pos="2069"/>
        </w:tabs>
        <w:spacing w:before="120" w:after="120" w:line="240" w:lineRule="auto"/>
        <w:ind w:left="851" w:hanging="425"/>
        <w:jc w:val="both"/>
        <w:rPr>
          <w:rFonts w:ascii="Times New Roman" w:eastAsia="Times New Roman" w:hAnsi="Times New Roman" w:cs="Times New Roman"/>
          <w:bCs/>
        </w:rPr>
      </w:pPr>
      <w:r w:rsidRPr="004E024B">
        <w:rPr>
          <w:rFonts w:ascii="Times New Roman" w:eastAsia="Times New Roman" w:hAnsi="Times New Roman" w:cs="Times New Roman"/>
          <w:bCs/>
        </w:rPr>
        <w:t>össz óraszám/félév: 42</w:t>
      </w:r>
    </w:p>
    <w:p w:rsidR="003D7143" w:rsidRPr="004E024B" w:rsidRDefault="003D7143" w:rsidP="00980876">
      <w:pPr>
        <w:widowControl w:val="0"/>
        <w:numPr>
          <w:ilvl w:val="2"/>
          <w:numId w:val="312"/>
        </w:numPr>
        <w:spacing w:before="120" w:after="120" w:line="240" w:lineRule="auto"/>
        <w:ind w:left="993" w:hanging="425"/>
        <w:jc w:val="both"/>
        <w:rPr>
          <w:rFonts w:ascii="Times New Roman" w:eastAsia="Times New Roman" w:hAnsi="Times New Roman" w:cs="Times New Roman"/>
          <w:bCs/>
        </w:rPr>
      </w:pPr>
      <w:r w:rsidRPr="004E024B">
        <w:rPr>
          <w:rFonts w:ascii="Times New Roman" w:eastAsia="Times New Roman" w:hAnsi="Times New Roman" w:cs="Times New Roman"/>
          <w:bCs/>
        </w:rPr>
        <w:t>nappali munkarend: 42 (28 EA + -SZ + 14 GY)</w:t>
      </w:r>
    </w:p>
    <w:p w:rsidR="003D7143" w:rsidRPr="004E024B" w:rsidRDefault="003D7143" w:rsidP="00980876">
      <w:pPr>
        <w:widowControl w:val="0"/>
        <w:numPr>
          <w:ilvl w:val="2"/>
          <w:numId w:val="312"/>
        </w:numPr>
        <w:spacing w:before="120" w:after="120" w:line="240" w:lineRule="auto"/>
        <w:ind w:left="993" w:hanging="425"/>
        <w:jc w:val="both"/>
        <w:rPr>
          <w:rFonts w:ascii="Times New Roman" w:eastAsia="Times New Roman" w:hAnsi="Times New Roman" w:cs="Times New Roman"/>
          <w:bCs/>
        </w:rPr>
      </w:pPr>
      <w:r w:rsidRPr="004E024B">
        <w:rPr>
          <w:rFonts w:ascii="Times New Roman" w:eastAsia="Times New Roman" w:hAnsi="Times New Roman" w:cs="Times New Roman"/>
          <w:bCs/>
        </w:rPr>
        <w:t>levelező munkarend: - (- EA + - SZ + - GY)</w:t>
      </w:r>
    </w:p>
    <w:p w:rsidR="003D7143" w:rsidRPr="004E024B" w:rsidRDefault="003D7143" w:rsidP="00980876">
      <w:pPr>
        <w:widowControl w:val="0"/>
        <w:numPr>
          <w:ilvl w:val="1"/>
          <w:numId w:val="312"/>
        </w:numPr>
        <w:tabs>
          <w:tab w:val="clear" w:pos="3977"/>
          <w:tab w:val="num" w:pos="2069"/>
        </w:tabs>
        <w:spacing w:before="120" w:after="120" w:line="240" w:lineRule="auto"/>
        <w:ind w:left="851" w:hanging="425"/>
        <w:jc w:val="both"/>
        <w:rPr>
          <w:rFonts w:ascii="Times New Roman" w:eastAsia="Times New Roman" w:hAnsi="Times New Roman" w:cs="Times New Roman"/>
          <w:bCs/>
        </w:rPr>
      </w:pPr>
      <w:r w:rsidRPr="004E024B">
        <w:rPr>
          <w:rFonts w:ascii="Times New Roman" w:eastAsia="Times New Roman" w:hAnsi="Times New Roman" w:cs="Times New Roman"/>
          <w:bCs/>
        </w:rPr>
        <w:t xml:space="preserve">heti óraszám - nappali munkarend: </w:t>
      </w:r>
      <w:r w:rsidR="007B6A7E" w:rsidRPr="004E024B">
        <w:rPr>
          <w:rFonts w:ascii="Times New Roman" w:eastAsia="Times New Roman" w:hAnsi="Times New Roman" w:cs="Times New Roman"/>
          <w:bCs/>
        </w:rPr>
        <w:t>3</w:t>
      </w:r>
      <w:r w:rsidR="007B6A7E">
        <w:rPr>
          <w:rFonts w:ascii="Times New Roman" w:eastAsia="Times New Roman" w:hAnsi="Times New Roman" w:cs="Times New Roman"/>
          <w:bCs/>
        </w:rPr>
        <w:t xml:space="preserve"> (2+1)</w:t>
      </w:r>
    </w:p>
    <w:p w:rsidR="003D7143" w:rsidRPr="004E024B" w:rsidRDefault="003D7143" w:rsidP="00980876">
      <w:pPr>
        <w:widowControl w:val="0"/>
        <w:numPr>
          <w:ilvl w:val="1"/>
          <w:numId w:val="312"/>
        </w:numPr>
        <w:tabs>
          <w:tab w:val="clear" w:pos="3977"/>
          <w:tab w:val="num" w:pos="2069"/>
        </w:tabs>
        <w:spacing w:before="120" w:after="120" w:line="240" w:lineRule="auto"/>
        <w:ind w:left="851" w:hanging="425"/>
        <w:jc w:val="both"/>
        <w:rPr>
          <w:rFonts w:ascii="Times New Roman" w:eastAsia="Times New Roman" w:hAnsi="Times New Roman" w:cs="Times New Roman"/>
          <w:bCs/>
        </w:rPr>
      </w:pPr>
      <w:r w:rsidRPr="004E024B">
        <w:rPr>
          <w:rFonts w:ascii="Times New Roman" w:hAnsi="Times New Roman" w:cs="Times New Roman"/>
        </w:rPr>
        <w:t xml:space="preserve">Az ismeret átadásában alkalmazandó további sajátos módok, jellemzők: </w:t>
      </w:r>
      <w:bookmarkStart w:id="61" w:name="_Hlk34591193"/>
      <w:r w:rsidRPr="004E024B">
        <w:rPr>
          <w:rFonts w:ascii="Times New Roman" w:hAnsi="Times New Roman" w:cs="Times New Roman"/>
        </w:rPr>
        <w:t>Az ismeretek feldolgozása vegyes tanulási program (blended learning) alapján történik.</w:t>
      </w:r>
      <w:bookmarkEnd w:id="61"/>
    </w:p>
    <w:p w:rsidR="003D7143" w:rsidRPr="004E024B" w:rsidRDefault="003D7143" w:rsidP="00980876">
      <w:pPr>
        <w:widowControl w:val="0"/>
        <w:numPr>
          <w:ilvl w:val="0"/>
          <w:numId w:val="312"/>
        </w:numPr>
        <w:spacing w:before="120" w:after="120" w:line="240" w:lineRule="auto"/>
        <w:ind w:left="426" w:hanging="142"/>
        <w:jc w:val="both"/>
        <w:rPr>
          <w:rFonts w:ascii="Times New Roman" w:eastAsia="Times New Roman" w:hAnsi="Times New Roman" w:cs="Times New Roman"/>
          <w:bCs/>
        </w:rPr>
      </w:pPr>
      <w:r w:rsidRPr="004E024B">
        <w:rPr>
          <w:rFonts w:ascii="Times New Roman" w:eastAsia="Times New Roman" w:hAnsi="Times New Roman" w:cs="Times New Roman"/>
          <w:b/>
          <w:bCs/>
        </w:rPr>
        <w:t>A tantárgy szakmai tartalma (magyarul):</w:t>
      </w:r>
      <w:r w:rsidRPr="004E024B">
        <w:rPr>
          <w:rFonts w:ascii="Times New Roman" w:hAnsi="Times New Roman" w:cs="Times New Roman"/>
        </w:rPr>
        <w:t xml:space="preserve"> </w:t>
      </w:r>
      <w:r w:rsidRPr="004E024B">
        <w:rPr>
          <w:rFonts w:ascii="Times New Roman" w:eastAsia="Times New Roman" w:hAnsi="Times New Roman" w:cs="Times New Roman"/>
          <w:bCs/>
        </w:rPr>
        <w:t>Az áramlástan alapvető törvényei. Csővezetékek szerelvények szivattyúk. A hidraulika alapelemei. Hidraulikus szerelvények és hidraulikus rendszerek. Hidrodinamikus tengelykapcsolók és nyomatékváltók.</w:t>
      </w:r>
    </w:p>
    <w:p w:rsidR="003D7143" w:rsidRPr="004E024B" w:rsidRDefault="003D7143" w:rsidP="003D7143">
      <w:pPr>
        <w:widowControl w:val="0"/>
        <w:spacing w:before="120" w:after="120" w:line="240" w:lineRule="auto"/>
        <w:ind w:left="426"/>
        <w:jc w:val="both"/>
        <w:rPr>
          <w:rFonts w:ascii="Times New Roman" w:eastAsia="Times New Roman" w:hAnsi="Times New Roman" w:cs="Times New Roman"/>
          <w:bCs/>
          <w:lang w:eastAsia="hu-HU"/>
        </w:rPr>
      </w:pPr>
      <w:r w:rsidRPr="004E024B">
        <w:rPr>
          <w:rFonts w:ascii="Times New Roman" w:eastAsia="Times New Roman" w:hAnsi="Times New Roman" w:cs="Times New Roman"/>
          <w:b/>
          <w:bCs/>
        </w:rPr>
        <w:t>A tantárgy szakmai tartalma (angolul) (</w:t>
      </w:r>
      <w:r w:rsidRPr="004E024B">
        <w:rPr>
          <w:rFonts w:ascii="Times New Roman" w:eastAsia="Times New Roman" w:hAnsi="Times New Roman" w:cs="Times New Roman"/>
          <w:b/>
          <w:bCs/>
          <w:lang w:val="en-US"/>
        </w:rPr>
        <w:t>Course description</w:t>
      </w:r>
      <w:r w:rsidRPr="004E024B">
        <w:rPr>
          <w:rFonts w:ascii="Times New Roman" w:eastAsia="Times New Roman" w:hAnsi="Times New Roman" w:cs="Times New Roman"/>
          <w:b/>
          <w:bCs/>
        </w:rPr>
        <w:t xml:space="preserve">): </w:t>
      </w:r>
    </w:p>
    <w:p w:rsidR="003D7143" w:rsidRPr="004E024B" w:rsidRDefault="003D7143" w:rsidP="003D7143">
      <w:pPr>
        <w:widowControl w:val="0"/>
        <w:spacing w:before="120" w:after="120" w:line="240" w:lineRule="auto"/>
        <w:ind w:left="426"/>
        <w:jc w:val="both"/>
        <w:rPr>
          <w:rFonts w:ascii="Times New Roman" w:eastAsia="Times New Roman" w:hAnsi="Times New Roman" w:cs="Times New Roman"/>
          <w:bCs/>
        </w:rPr>
      </w:pPr>
      <w:r w:rsidRPr="004E024B">
        <w:rPr>
          <w:rFonts w:ascii="Times New Roman" w:eastAsia="Times New Roman" w:hAnsi="Times New Roman" w:cs="Times New Roman"/>
          <w:bCs/>
        </w:rPr>
        <w:t xml:space="preserve">The basic law of fluid mechanics. Pipes, globe valves, taps, pumps. The basic structure and elements of hydraulics. Hydraulics systems. Fluid coupling. Torque converter. </w:t>
      </w:r>
    </w:p>
    <w:p w:rsidR="003D7143" w:rsidRPr="004E024B" w:rsidRDefault="003D7143" w:rsidP="00980876">
      <w:pPr>
        <w:pStyle w:val="Listaszerbekezds"/>
        <w:widowControl w:val="0"/>
        <w:numPr>
          <w:ilvl w:val="0"/>
          <w:numId w:val="312"/>
        </w:numPr>
        <w:spacing w:before="120" w:after="120" w:line="240" w:lineRule="auto"/>
        <w:jc w:val="both"/>
        <w:rPr>
          <w:rFonts w:ascii="Times New Roman" w:eastAsia="Times New Roman" w:hAnsi="Times New Roman" w:cs="Times New Roman"/>
          <w:bCs/>
        </w:rPr>
      </w:pPr>
      <w:r w:rsidRPr="004E024B">
        <w:rPr>
          <w:rFonts w:ascii="Times New Roman" w:eastAsia="Times New Roman" w:hAnsi="Times New Roman" w:cs="Times New Roman"/>
          <w:b/>
          <w:bCs/>
        </w:rPr>
        <w:t xml:space="preserve">Elérendő kompetenciák (magyarul): </w:t>
      </w:r>
    </w:p>
    <w:p w:rsidR="003D7143" w:rsidRPr="004E024B" w:rsidRDefault="003D7143" w:rsidP="003D7143">
      <w:pPr>
        <w:widowControl w:val="0"/>
        <w:spacing w:before="120" w:after="120" w:line="240" w:lineRule="auto"/>
        <w:ind w:left="426"/>
        <w:jc w:val="both"/>
        <w:rPr>
          <w:rFonts w:ascii="Times New Roman" w:eastAsia="Times New Roman" w:hAnsi="Times New Roman" w:cs="Times New Roman"/>
          <w:bCs/>
        </w:rPr>
      </w:pPr>
      <w:r w:rsidRPr="004E024B">
        <w:rPr>
          <w:rFonts w:ascii="Times New Roman" w:eastAsia="Times New Roman" w:hAnsi="Times New Roman" w:cs="Times New Roman"/>
          <w:b/>
          <w:bCs/>
        </w:rPr>
        <w:t>Tudása:</w:t>
      </w:r>
      <w:r w:rsidRPr="004E024B">
        <w:rPr>
          <w:rFonts w:ascii="Times New Roman" w:eastAsia="Times New Roman" w:hAnsi="Times New Roman" w:cs="Times New Roman"/>
          <w:bCs/>
        </w:rPr>
        <w:t xml:space="preserve"> </w:t>
      </w:r>
    </w:p>
    <w:p w:rsidR="003D7143" w:rsidRPr="004E024B" w:rsidRDefault="003D7143" w:rsidP="00980876">
      <w:pPr>
        <w:pStyle w:val="Listaszerbekezds"/>
        <w:widowControl w:val="0"/>
        <w:numPr>
          <w:ilvl w:val="0"/>
          <w:numId w:val="311"/>
        </w:numPr>
        <w:spacing w:before="120" w:after="120" w:line="240" w:lineRule="auto"/>
        <w:jc w:val="both"/>
        <w:rPr>
          <w:rFonts w:ascii="Times New Roman" w:eastAsia="Times New Roman" w:hAnsi="Times New Roman" w:cs="Times New Roman"/>
          <w:bCs/>
        </w:rPr>
      </w:pPr>
      <w:r w:rsidRPr="004E024B">
        <w:rPr>
          <w:rFonts w:ascii="Times New Roman" w:eastAsia="Times New Roman" w:hAnsi="Times New Roman" w:cs="Times New Roman"/>
          <w:bCs/>
        </w:rPr>
        <w:t xml:space="preserve">Ismeri az áramlástan alapvető fizikai összefüggéseit. </w:t>
      </w:r>
    </w:p>
    <w:p w:rsidR="003D7143" w:rsidRPr="004E024B" w:rsidRDefault="003D7143" w:rsidP="00980876">
      <w:pPr>
        <w:pStyle w:val="Listaszerbekezds"/>
        <w:widowControl w:val="0"/>
        <w:numPr>
          <w:ilvl w:val="0"/>
          <w:numId w:val="311"/>
        </w:numPr>
        <w:spacing w:before="120" w:after="120" w:line="240" w:lineRule="auto"/>
        <w:jc w:val="both"/>
        <w:rPr>
          <w:rFonts w:ascii="Times New Roman" w:eastAsia="Times New Roman" w:hAnsi="Times New Roman" w:cs="Times New Roman"/>
          <w:bCs/>
        </w:rPr>
      </w:pPr>
      <w:r w:rsidRPr="004E024B">
        <w:rPr>
          <w:rFonts w:ascii="Times New Roman" w:eastAsia="Times New Roman" w:hAnsi="Times New Roman" w:cs="Times New Roman"/>
          <w:bCs/>
        </w:rPr>
        <w:t xml:space="preserve">Ismeri a csővezetékeket, a szivattyúkat és a hidraulika alapelemeit. </w:t>
      </w:r>
    </w:p>
    <w:p w:rsidR="003D7143" w:rsidRPr="004E024B" w:rsidRDefault="003D7143" w:rsidP="00980876">
      <w:pPr>
        <w:pStyle w:val="Listaszerbekezds"/>
        <w:widowControl w:val="0"/>
        <w:numPr>
          <w:ilvl w:val="0"/>
          <w:numId w:val="311"/>
        </w:numPr>
        <w:spacing w:before="120" w:after="120" w:line="240" w:lineRule="auto"/>
        <w:jc w:val="both"/>
        <w:rPr>
          <w:rFonts w:ascii="Times New Roman" w:eastAsia="Times New Roman" w:hAnsi="Times New Roman" w:cs="Times New Roman"/>
          <w:bCs/>
        </w:rPr>
      </w:pPr>
      <w:r w:rsidRPr="004E024B">
        <w:rPr>
          <w:rFonts w:ascii="Times New Roman" w:eastAsia="Times New Roman" w:hAnsi="Times New Roman" w:cs="Times New Roman"/>
          <w:bCs/>
        </w:rPr>
        <w:t>Ismeri az alapvető hidraulikus kapacsolásokat.</w:t>
      </w:r>
    </w:p>
    <w:p w:rsidR="003D7143" w:rsidRPr="004E024B" w:rsidRDefault="003D7143" w:rsidP="003D7143">
      <w:pPr>
        <w:widowControl w:val="0"/>
        <w:spacing w:before="120" w:after="120" w:line="240" w:lineRule="auto"/>
        <w:ind w:left="426"/>
        <w:jc w:val="both"/>
        <w:rPr>
          <w:rFonts w:ascii="Times New Roman" w:eastAsia="Times New Roman" w:hAnsi="Times New Roman" w:cs="Times New Roman"/>
          <w:bCs/>
        </w:rPr>
      </w:pPr>
      <w:r w:rsidRPr="004E024B">
        <w:rPr>
          <w:rFonts w:ascii="Times New Roman" w:eastAsia="Times New Roman" w:hAnsi="Times New Roman" w:cs="Times New Roman"/>
          <w:b/>
          <w:bCs/>
        </w:rPr>
        <w:t>Képességei:</w:t>
      </w:r>
      <w:r w:rsidRPr="004E024B">
        <w:rPr>
          <w:rFonts w:ascii="Times New Roman" w:eastAsia="Times New Roman" w:hAnsi="Times New Roman" w:cs="Times New Roman"/>
          <w:bCs/>
        </w:rPr>
        <w:t xml:space="preserve"> </w:t>
      </w:r>
    </w:p>
    <w:p w:rsidR="003D7143" w:rsidRPr="004E024B" w:rsidRDefault="003D7143" w:rsidP="00980876">
      <w:pPr>
        <w:pStyle w:val="Listaszerbekezds"/>
        <w:widowControl w:val="0"/>
        <w:numPr>
          <w:ilvl w:val="0"/>
          <w:numId w:val="311"/>
        </w:numPr>
        <w:spacing w:before="120" w:after="120" w:line="240" w:lineRule="auto"/>
        <w:jc w:val="both"/>
        <w:rPr>
          <w:rFonts w:ascii="Times New Roman" w:eastAsia="Times New Roman" w:hAnsi="Times New Roman" w:cs="Times New Roman"/>
          <w:bCs/>
        </w:rPr>
      </w:pPr>
      <w:r w:rsidRPr="004E024B">
        <w:rPr>
          <w:rFonts w:ascii="Times New Roman" w:eastAsia="Times New Roman" w:hAnsi="Times New Roman" w:cs="Times New Roman"/>
          <w:bCs/>
        </w:rPr>
        <w:t xml:space="preserve">Képes az áramlástan alapvető fizikai összefüggéseinek felismerésére. </w:t>
      </w:r>
    </w:p>
    <w:p w:rsidR="003D7143" w:rsidRPr="004E024B" w:rsidRDefault="003D7143" w:rsidP="00980876">
      <w:pPr>
        <w:pStyle w:val="Listaszerbekezds"/>
        <w:widowControl w:val="0"/>
        <w:numPr>
          <w:ilvl w:val="0"/>
          <w:numId w:val="311"/>
        </w:numPr>
        <w:spacing w:before="120" w:after="120" w:line="240" w:lineRule="auto"/>
        <w:jc w:val="both"/>
        <w:rPr>
          <w:rFonts w:ascii="Times New Roman" w:eastAsia="Times New Roman" w:hAnsi="Times New Roman" w:cs="Times New Roman"/>
          <w:bCs/>
        </w:rPr>
      </w:pPr>
      <w:r w:rsidRPr="004E024B">
        <w:rPr>
          <w:rFonts w:ascii="Times New Roman" w:eastAsia="Times New Roman" w:hAnsi="Times New Roman" w:cs="Times New Roman"/>
          <w:bCs/>
        </w:rPr>
        <w:t>Képes továbbá megkülönböztetni a csővezetékek, a szivattyúk és a hidraulika alapelemek főbb változatait.</w:t>
      </w:r>
    </w:p>
    <w:p w:rsidR="003D7143" w:rsidRPr="004E024B" w:rsidRDefault="003D7143" w:rsidP="003D7143">
      <w:pPr>
        <w:widowControl w:val="0"/>
        <w:spacing w:before="120" w:after="120" w:line="240" w:lineRule="auto"/>
        <w:ind w:left="426"/>
        <w:jc w:val="both"/>
        <w:rPr>
          <w:rFonts w:ascii="Times New Roman" w:eastAsia="Times New Roman" w:hAnsi="Times New Roman" w:cs="Times New Roman"/>
          <w:bCs/>
        </w:rPr>
      </w:pPr>
      <w:r w:rsidRPr="004E024B">
        <w:rPr>
          <w:rFonts w:ascii="Times New Roman" w:eastAsia="Times New Roman" w:hAnsi="Times New Roman" w:cs="Times New Roman"/>
          <w:b/>
          <w:bCs/>
        </w:rPr>
        <w:t>Attitűdje:</w:t>
      </w:r>
      <w:r w:rsidRPr="004E024B">
        <w:rPr>
          <w:rFonts w:ascii="Times New Roman" w:eastAsia="Times New Roman" w:hAnsi="Times New Roman" w:cs="Times New Roman"/>
          <w:bCs/>
        </w:rPr>
        <w:t xml:space="preserve"> </w:t>
      </w:r>
    </w:p>
    <w:p w:rsidR="003D7143" w:rsidRPr="004E024B" w:rsidRDefault="003D7143" w:rsidP="00980876">
      <w:pPr>
        <w:pStyle w:val="Listaszerbekezds"/>
        <w:widowControl w:val="0"/>
        <w:numPr>
          <w:ilvl w:val="0"/>
          <w:numId w:val="311"/>
        </w:numPr>
        <w:spacing w:before="120" w:after="120" w:line="240" w:lineRule="auto"/>
        <w:jc w:val="both"/>
        <w:rPr>
          <w:rFonts w:ascii="Times New Roman" w:eastAsia="Times New Roman" w:hAnsi="Times New Roman" w:cs="Times New Roman"/>
          <w:bCs/>
        </w:rPr>
      </w:pPr>
      <w:r w:rsidRPr="004E024B">
        <w:rPr>
          <w:rFonts w:ascii="Times New Roman" w:eastAsia="Times New Roman" w:hAnsi="Times New Roman" w:cs="Times New Roman"/>
          <w:bCs/>
        </w:rPr>
        <w:t xml:space="preserve">Nyitott a haditechnikai eszközben alkalmazott áramlástani gépekkel és hidraulika rendszerekkel kapcsolatos ismereteinek gyarapítása iránt, folyamatos önképzési igény jellemzi. </w:t>
      </w:r>
    </w:p>
    <w:p w:rsidR="003D7143" w:rsidRPr="004E024B" w:rsidRDefault="003D7143" w:rsidP="00980876">
      <w:pPr>
        <w:pStyle w:val="Listaszerbekezds"/>
        <w:widowControl w:val="0"/>
        <w:numPr>
          <w:ilvl w:val="0"/>
          <w:numId w:val="311"/>
        </w:numPr>
        <w:spacing w:before="120" w:after="120" w:line="240" w:lineRule="auto"/>
        <w:jc w:val="both"/>
        <w:rPr>
          <w:rFonts w:ascii="Times New Roman" w:eastAsia="Times New Roman" w:hAnsi="Times New Roman" w:cs="Times New Roman"/>
          <w:bCs/>
        </w:rPr>
      </w:pPr>
      <w:r w:rsidRPr="004E024B">
        <w:rPr>
          <w:rFonts w:ascii="Times New Roman" w:eastAsia="Times New Roman" w:hAnsi="Times New Roman" w:cs="Times New Roman"/>
          <w:bCs/>
        </w:rPr>
        <w:t xml:space="preserve">Törekszik szakmai ismeretei bővítésére munkája során. </w:t>
      </w:r>
    </w:p>
    <w:p w:rsidR="003D7143" w:rsidRPr="004E024B" w:rsidRDefault="003D7143" w:rsidP="00980876">
      <w:pPr>
        <w:pStyle w:val="Listaszerbekezds"/>
        <w:widowControl w:val="0"/>
        <w:numPr>
          <w:ilvl w:val="0"/>
          <w:numId w:val="311"/>
        </w:numPr>
        <w:spacing w:before="120" w:after="120" w:line="240" w:lineRule="auto"/>
        <w:jc w:val="both"/>
        <w:rPr>
          <w:rFonts w:ascii="Times New Roman" w:eastAsia="Times New Roman" w:hAnsi="Times New Roman" w:cs="Times New Roman"/>
          <w:bCs/>
        </w:rPr>
      </w:pPr>
      <w:r w:rsidRPr="004E024B">
        <w:rPr>
          <w:rFonts w:ascii="Times New Roman" w:eastAsia="Times New Roman" w:hAnsi="Times New Roman" w:cs="Times New Roman"/>
          <w:bCs/>
        </w:rPr>
        <w:lastRenderedPageBreak/>
        <w:t>Nyitott a haditechnikai szakterület új eredményei felé, törekszik azok megismerésére.</w:t>
      </w:r>
    </w:p>
    <w:p w:rsidR="003D7143" w:rsidRPr="004E024B" w:rsidRDefault="003D7143" w:rsidP="003D7143">
      <w:pPr>
        <w:widowControl w:val="0"/>
        <w:spacing w:before="120" w:after="120" w:line="240" w:lineRule="auto"/>
        <w:ind w:left="426"/>
        <w:jc w:val="both"/>
        <w:rPr>
          <w:rFonts w:ascii="Times New Roman" w:eastAsia="Times New Roman" w:hAnsi="Times New Roman" w:cs="Times New Roman"/>
          <w:bCs/>
        </w:rPr>
      </w:pPr>
      <w:r w:rsidRPr="004E024B">
        <w:rPr>
          <w:rFonts w:ascii="Times New Roman" w:eastAsia="Times New Roman" w:hAnsi="Times New Roman" w:cs="Times New Roman"/>
          <w:b/>
          <w:bCs/>
        </w:rPr>
        <w:t>Autonómiája és felelőssége:</w:t>
      </w:r>
      <w:r w:rsidRPr="004E024B">
        <w:rPr>
          <w:rFonts w:ascii="Times New Roman" w:eastAsia="Times New Roman" w:hAnsi="Times New Roman" w:cs="Times New Roman"/>
          <w:bCs/>
        </w:rPr>
        <w:t xml:space="preserve"> </w:t>
      </w:r>
    </w:p>
    <w:p w:rsidR="003D7143" w:rsidRPr="004E024B" w:rsidRDefault="003D7143" w:rsidP="00980876">
      <w:pPr>
        <w:pStyle w:val="Listaszerbekezds"/>
        <w:widowControl w:val="0"/>
        <w:numPr>
          <w:ilvl w:val="0"/>
          <w:numId w:val="311"/>
        </w:numPr>
        <w:spacing w:before="120" w:after="120" w:line="240" w:lineRule="auto"/>
        <w:jc w:val="both"/>
        <w:rPr>
          <w:rFonts w:ascii="Times New Roman" w:eastAsia="Times New Roman" w:hAnsi="Times New Roman" w:cs="Times New Roman"/>
          <w:bCs/>
        </w:rPr>
      </w:pPr>
      <w:r w:rsidRPr="004E024B">
        <w:rPr>
          <w:rFonts w:ascii="Times New Roman" w:eastAsia="Times New Roman" w:hAnsi="Times New Roman" w:cs="Times New Roman"/>
          <w:bCs/>
        </w:rPr>
        <w:t xml:space="preserve">Képes alárendeltjeinek feladatait megszervezni és meghatározni, valamint elvégzett munkájukat szakmai szempontok alapján ellenőrizni. </w:t>
      </w:r>
    </w:p>
    <w:p w:rsidR="003D7143" w:rsidRPr="004E024B" w:rsidRDefault="003D7143" w:rsidP="00980876">
      <w:pPr>
        <w:pStyle w:val="Listaszerbekezds"/>
        <w:widowControl w:val="0"/>
        <w:numPr>
          <w:ilvl w:val="0"/>
          <w:numId w:val="311"/>
        </w:numPr>
        <w:spacing w:before="120" w:after="120" w:line="240" w:lineRule="auto"/>
        <w:jc w:val="both"/>
        <w:rPr>
          <w:rFonts w:ascii="Times New Roman" w:eastAsia="Times New Roman" w:hAnsi="Times New Roman" w:cs="Times New Roman"/>
          <w:bCs/>
        </w:rPr>
      </w:pPr>
      <w:r w:rsidRPr="004E024B">
        <w:rPr>
          <w:rFonts w:ascii="Times New Roman" w:eastAsia="Times New Roman" w:hAnsi="Times New Roman" w:cs="Times New Roman"/>
          <w:bCs/>
        </w:rPr>
        <w:t xml:space="preserve">A haditechnikai eszközök technikai kiszolgálása és javítása során képes elemzések végrehajtása után a legmegfelelőbb döntéseket meghozni, amely döntésekért a szakmai felelősséget vállalja. </w:t>
      </w:r>
    </w:p>
    <w:p w:rsidR="003D7143" w:rsidRPr="004E024B" w:rsidRDefault="003D7143" w:rsidP="00980876">
      <w:pPr>
        <w:pStyle w:val="Listaszerbekezds"/>
        <w:widowControl w:val="0"/>
        <w:numPr>
          <w:ilvl w:val="0"/>
          <w:numId w:val="311"/>
        </w:numPr>
        <w:spacing w:before="120" w:after="120" w:line="240" w:lineRule="auto"/>
        <w:jc w:val="both"/>
        <w:rPr>
          <w:rFonts w:ascii="Times New Roman" w:eastAsia="Times New Roman" w:hAnsi="Times New Roman" w:cs="Times New Roman"/>
          <w:bCs/>
        </w:rPr>
      </w:pPr>
      <w:r w:rsidRPr="004E024B">
        <w:rPr>
          <w:rFonts w:ascii="Times New Roman" w:eastAsia="Times New Roman" w:hAnsi="Times New Roman" w:cs="Times New Roman"/>
          <w:bCs/>
        </w:rPr>
        <w:t xml:space="preserve">Együttműködés és felelősség jellemzi szakterületének szakembereivel szemben. </w:t>
      </w:r>
    </w:p>
    <w:p w:rsidR="003D7143" w:rsidRPr="004E024B" w:rsidRDefault="003D7143" w:rsidP="00980876">
      <w:pPr>
        <w:pStyle w:val="Listaszerbekezds"/>
        <w:widowControl w:val="0"/>
        <w:numPr>
          <w:ilvl w:val="0"/>
          <w:numId w:val="311"/>
        </w:numPr>
        <w:spacing w:before="120" w:after="120" w:line="240" w:lineRule="auto"/>
        <w:jc w:val="both"/>
        <w:rPr>
          <w:rFonts w:ascii="Times New Roman" w:eastAsia="Times New Roman" w:hAnsi="Times New Roman" w:cs="Times New Roman"/>
          <w:bCs/>
        </w:rPr>
      </w:pPr>
      <w:r w:rsidRPr="004E024B">
        <w:rPr>
          <w:rFonts w:ascii="Times New Roman" w:eastAsia="Times New Roman" w:hAnsi="Times New Roman" w:cs="Times New Roman"/>
          <w:bCs/>
        </w:rPr>
        <w:t>Szakterületén belül képes rendszer-szemléletűen gondolkodni.</w:t>
      </w:r>
    </w:p>
    <w:p w:rsidR="003D7143" w:rsidRPr="004E024B" w:rsidRDefault="003D7143" w:rsidP="003D7143">
      <w:pPr>
        <w:widowControl w:val="0"/>
        <w:spacing w:before="120" w:after="120" w:line="240" w:lineRule="auto"/>
        <w:ind w:left="426"/>
        <w:jc w:val="both"/>
        <w:rPr>
          <w:rFonts w:ascii="Times New Roman" w:eastAsia="Times New Roman" w:hAnsi="Times New Roman" w:cs="Times New Roman"/>
          <w:b/>
          <w:bCs/>
          <w:lang w:val="en-US"/>
        </w:rPr>
      </w:pPr>
      <w:r w:rsidRPr="004E024B">
        <w:rPr>
          <w:rFonts w:ascii="Times New Roman" w:eastAsia="Times New Roman" w:hAnsi="Times New Roman" w:cs="Times New Roman"/>
          <w:b/>
          <w:bCs/>
        </w:rPr>
        <w:t>Elérendő kompetenciák (angolul) (</w:t>
      </w:r>
      <w:r w:rsidRPr="004E024B">
        <w:rPr>
          <w:rFonts w:ascii="Times New Roman" w:eastAsia="Times New Roman" w:hAnsi="Times New Roman" w:cs="Times New Roman"/>
          <w:b/>
          <w:bCs/>
          <w:lang w:val="en-US"/>
        </w:rPr>
        <w:t xml:space="preserve">Competences – English): </w:t>
      </w:r>
    </w:p>
    <w:p w:rsidR="003D7143" w:rsidRPr="004E024B" w:rsidRDefault="003D7143" w:rsidP="003D7143">
      <w:pPr>
        <w:widowControl w:val="0"/>
        <w:spacing w:before="120" w:after="120" w:line="240" w:lineRule="auto"/>
        <w:ind w:left="426"/>
        <w:jc w:val="both"/>
        <w:rPr>
          <w:rFonts w:ascii="Times New Roman" w:eastAsia="Times New Roman" w:hAnsi="Times New Roman" w:cs="Times New Roman"/>
          <w:lang w:val="en-GB"/>
        </w:rPr>
      </w:pPr>
      <w:r w:rsidRPr="004E024B">
        <w:rPr>
          <w:rFonts w:ascii="Times New Roman" w:eastAsia="Times New Roman" w:hAnsi="Times New Roman" w:cs="Times New Roman"/>
          <w:b/>
          <w:lang w:val="en-GB"/>
        </w:rPr>
        <w:t>Knowledge</w:t>
      </w:r>
      <w:r w:rsidRPr="004E024B">
        <w:rPr>
          <w:rFonts w:ascii="Times New Roman" w:eastAsia="Times New Roman" w:hAnsi="Times New Roman" w:cs="Times New Roman"/>
          <w:lang w:val="en-GB"/>
        </w:rPr>
        <w:t xml:space="preserve">: </w:t>
      </w:r>
    </w:p>
    <w:p w:rsidR="003D7143" w:rsidRPr="004E024B" w:rsidRDefault="003D7143" w:rsidP="00980876">
      <w:pPr>
        <w:pStyle w:val="Listaszerbekezds"/>
        <w:widowControl w:val="0"/>
        <w:numPr>
          <w:ilvl w:val="0"/>
          <w:numId w:val="311"/>
        </w:numPr>
        <w:spacing w:before="120" w:after="120" w:line="240" w:lineRule="auto"/>
        <w:jc w:val="both"/>
        <w:rPr>
          <w:rFonts w:ascii="Times New Roman" w:eastAsia="Times New Roman" w:hAnsi="Times New Roman" w:cs="Times New Roman"/>
          <w:bCs/>
        </w:rPr>
      </w:pPr>
      <w:r w:rsidRPr="004E024B">
        <w:rPr>
          <w:rFonts w:ascii="Times New Roman" w:eastAsia="Times New Roman" w:hAnsi="Times New Roman" w:cs="Times New Roman"/>
          <w:bCs/>
        </w:rPr>
        <w:t xml:space="preserve">Knows the basic law of fluid mechanics and the basic terms and theories of the hidrodynamic- and hydraulic systems. </w:t>
      </w:r>
    </w:p>
    <w:p w:rsidR="003D7143" w:rsidRPr="004E024B" w:rsidRDefault="003D7143" w:rsidP="00980876">
      <w:pPr>
        <w:pStyle w:val="Listaszerbekezds"/>
        <w:widowControl w:val="0"/>
        <w:numPr>
          <w:ilvl w:val="0"/>
          <w:numId w:val="311"/>
        </w:numPr>
        <w:spacing w:before="120" w:after="120" w:line="240" w:lineRule="auto"/>
        <w:jc w:val="both"/>
        <w:rPr>
          <w:rFonts w:ascii="Times New Roman" w:eastAsia="Times New Roman" w:hAnsi="Times New Roman" w:cs="Times New Roman"/>
          <w:bCs/>
        </w:rPr>
      </w:pPr>
      <w:r w:rsidRPr="004E024B">
        <w:rPr>
          <w:rFonts w:ascii="Times New Roman" w:eastAsia="Times New Roman" w:hAnsi="Times New Roman" w:cs="Times New Roman"/>
          <w:bCs/>
        </w:rPr>
        <w:t xml:space="preserve">Knows the types of pipes, globe valves, taps, pumps. </w:t>
      </w:r>
    </w:p>
    <w:p w:rsidR="003D7143" w:rsidRPr="004E024B" w:rsidRDefault="003D7143" w:rsidP="00980876">
      <w:pPr>
        <w:pStyle w:val="Listaszerbekezds"/>
        <w:widowControl w:val="0"/>
        <w:numPr>
          <w:ilvl w:val="0"/>
          <w:numId w:val="311"/>
        </w:numPr>
        <w:spacing w:before="120" w:after="120" w:line="240" w:lineRule="auto"/>
        <w:jc w:val="both"/>
        <w:rPr>
          <w:rFonts w:ascii="Times New Roman" w:eastAsia="Times New Roman" w:hAnsi="Times New Roman" w:cs="Times New Roman"/>
          <w:bCs/>
        </w:rPr>
      </w:pPr>
      <w:r w:rsidRPr="004E024B">
        <w:rPr>
          <w:rFonts w:ascii="Times New Roman" w:eastAsia="Times New Roman" w:hAnsi="Times New Roman" w:cs="Times New Roman"/>
          <w:bCs/>
        </w:rPr>
        <w:t xml:space="preserve">Knows the basic structure and elements of hydraulics systems. </w:t>
      </w:r>
    </w:p>
    <w:p w:rsidR="003D7143" w:rsidRPr="004E024B" w:rsidRDefault="003D7143" w:rsidP="00980876">
      <w:pPr>
        <w:pStyle w:val="Listaszerbekezds"/>
        <w:widowControl w:val="0"/>
        <w:numPr>
          <w:ilvl w:val="0"/>
          <w:numId w:val="311"/>
        </w:numPr>
        <w:spacing w:before="120" w:after="120" w:line="240" w:lineRule="auto"/>
        <w:jc w:val="both"/>
        <w:rPr>
          <w:rFonts w:ascii="Times New Roman" w:eastAsia="Times New Roman" w:hAnsi="Times New Roman" w:cs="Times New Roman"/>
          <w:bCs/>
        </w:rPr>
      </w:pPr>
      <w:r w:rsidRPr="004E024B">
        <w:rPr>
          <w:rFonts w:ascii="Times New Roman" w:eastAsia="Times New Roman" w:hAnsi="Times New Roman" w:cs="Times New Roman"/>
          <w:bCs/>
        </w:rPr>
        <w:t>Knows the properties of</w:t>
      </w:r>
      <w:r w:rsidRPr="004E024B">
        <w:rPr>
          <w:rFonts w:ascii="Times New Roman" w:hAnsi="Times New Roman" w:cs="Times New Roman"/>
        </w:rPr>
        <w:t xml:space="preserve"> </w:t>
      </w:r>
      <w:r w:rsidRPr="004E024B">
        <w:rPr>
          <w:rFonts w:ascii="Times New Roman" w:eastAsia="Times New Roman" w:hAnsi="Times New Roman" w:cs="Times New Roman"/>
          <w:bCs/>
        </w:rPr>
        <w:t xml:space="preserve">the hydraulics systems. </w:t>
      </w:r>
    </w:p>
    <w:p w:rsidR="003D7143" w:rsidRPr="004E024B" w:rsidRDefault="003D7143" w:rsidP="00980876">
      <w:pPr>
        <w:pStyle w:val="Listaszerbekezds"/>
        <w:widowControl w:val="0"/>
        <w:numPr>
          <w:ilvl w:val="0"/>
          <w:numId w:val="311"/>
        </w:numPr>
        <w:spacing w:before="120" w:after="120" w:line="240" w:lineRule="auto"/>
        <w:jc w:val="both"/>
        <w:rPr>
          <w:rFonts w:ascii="Times New Roman" w:eastAsia="Times New Roman" w:hAnsi="Times New Roman" w:cs="Times New Roman"/>
          <w:bCs/>
        </w:rPr>
      </w:pPr>
      <w:r w:rsidRPr="004E024B">
        <w:rPr>
          <w:rFonts w:ascii="Times New Roman" w:eastAsia="Times New Roman" w:hAnsi="Times New Roman" w:cs="Times New Roman"/>
          <w:bCs/>
        </w:rPr>
        <w:t>Knows the structure of the</w:t>
      </w:r>
      <w:r w:rsidRPr="004E024B">
        <w:rPr>
          <w:rFonts w:ascii="Times New Roman" w:hAnsi="Times New Roman" w:cs="Times New Roman"/>
        </w:rPr>
        <w:t xml:space="preserve"> </w:t>
      </w:r>
      <w:r w:rsidRPr="004E024B">
        <w:rPr>
          <w:rFonts w:ascii="Times New Roman" w:eastAsia="Times New Roman" w:hAnsi="Times New Roman" w:cs="Times New Roman"/>
          <w:bCs/>
        </w:rPr>
        <w:t xml:space="preserve">fluid coupling. </w:t>
      </w:r>
    </w:p>
    <w:p w:rsidR="003D7143" w:rsidRPr="004E024B" w:rsidRDefault="003D7143" w:rsidP="00980876">
      <w:pPr>
        <w:pStyle w:val="Listaszerbekezds"/>
        <w:widowControl w:val="0"/>
        <w:numPr>
          <w:ilvl w:val="0"/>
          <w:numId w:val="311"/>
        </w:numPr>
        <w:spacing w:before="120" w:after="120" w:line="240" w:lineRule="auto"/>
        <w:jc w:val="both"/>
        <w:rPr>
          <w:rFonts w:ascii="Times New Roman" w:eastAsia="Times New Roman" w:hAnsi="Times New Roman" w:cs="Times New Roman"/>
          <w:bCs/>
        </w:rPr>
      </w:pPr>
      <w:r w:rsidRPr="004E024B">
        <w:rPr>
          <w:rFonts w:ascii="Times New Roman" w:eastAsia="Times New Roman" w:hAnsi="Times New Roman" w:cs="Times New Roman"/>
          <w:bCs/>
        </w:rPr>
        <w:t>Knows the structure of the torque converter.</w:t>
      </w:r>
    </w:p>
    <w:p w:rsidR="003D7143" w:rsidRPr="004E024B" w:rsidRDefault="003D7143" w:rsidP="003D7143">
      <w:pPr>
        <w:widowControl w:val="0"/>
        <w:spacing w:before="120" w:after="120" w:line="240" w:lineRule="auto"/>
        <w:ind w:left="426"/>
        <w:jc w:val="both"/>
        <w:rPr>
          <w:rFonts w:ascii="Times New Roman" w:eastAsia="Times New Roman" w:hAnsi="Times New Roman" w:cs="Times New Roman"/>
          <w:lang w:val="en-GB"/>
        </w:rPr>
      </w:pPr>
      <w:r w:rsidRPr="004E024B">
        <w:rPr>
          <w:rFonts w:ascii="Times New Roman" w:eastAsia="Times New Roman" w:hAnsi="Times New Roman" w:cs="Times New Roman"/>
          <w:b/>
          <w:lang w:val="en-GB"/>
        </w:rPr>
        <w:t>Capabilities</w:t>
      </w:r>
      <w:r w:rsidRPr="004E024B">
        <w:rPr>
          <w:rFonts w:ascii="Times New Roman" w:eastAsia="Times New Roman" w:hAnsi="Times New Roman" w:cs="Times New Roman"/>
          <w:lang w:val="en-GB"/>
        </w:rPr>
        <w:t xml:space="preserve">: </w:t>
      </w:r>
    </w:p>
    <w:p w:rsidR="003D7143" w:rsidRPr="004E024B" w:rsidRDefault="003D7143" w:rsidP="00980876">
      <w:pPr>
        <w:pStyle w:val="Listaszerbekezds"/>
        <w:widowControl w:val="0"/>
        <w:numPr>
          <w:ilvl w:val="0"/>
          <w:numId w:val="311"/>
        </w:numPr>
        <w:spacing w:before="120" w:after="120" w:line="240" w:lineRule="auto"/>
        <w:jc w:val="both"/>
        <w:rPr>
          <w:rFonts w:ascii="Times New Roman" w:eastAsia="Times New Roman" w:hAnsi="Times New Roman" w:cs="Times New Roman"/>
          <w:bCs/>
        </w:rPr>
      </w:pPr>
      <w:r w:rsidRPr="004E024B">
        <w:rPr>
          <w:rFonts w:ascii="Times New Roman" w:eastAsia="Times New Roman" w:hAnsi="Times New Roman" w:cs="Times New Roman"/>
          <w:bCs/>
        </w:rPr>
        <w:t>Is capable of recognise the the basic terms and theories of</w:t>
      </w:r>
      <w:r w:rsidRPr="004E024B">
        <w:rPr>
          <w:rFonts w:ascii="Times New Roman" w:hAnsi="Times New Roman" w:cs="Times New Roman"/>
        </w:rPr>
        <w:t xml:space="preserve"> </w:t>
      </w:r>
      <w:r w:rsidRPr="004E024B">
        <w:rPr>
          <w:rFonts w:ascii="Times New Roman" w:eastAsia="Times New Roman" w:hAnsi="Times New Roman" w:cs="Times New Roman"/>
          <w:bCs/>
        </w:rPr>
        <w:t xml:space="preserve">fluid mechanics. </w:t>
      </w:r>
    </w:p>
    <w:p w:rsidR="003D7143" w:rsidRPr="004E024B" w:rsidRDefault="003D7143" w:rsidP="00980876">
      <w:pPr>
        <w:pStyle w:val="Listaszerbekezds"/>
        <w:widowControl w:val="0"/>
        <w:numPr>
          <w:ilvl w:val="0"/>
          <w:numId w:val="311"/>
        </w:numPr>
        <w:spacing w:before="120" w:after="120" w:line="240" w:lineRule="auto"/>
        <w:jc w:val="both"/>
        <w:rPr>
          <w:rFonts w:ascii="Times New Roman" w:eastAsia="Times New Roman" w:hAnsi="Times New Roman" w:cs="Times New Roman"/>
          <w:bCs/>
        </w:rPr>
      </w:pPr>
      <w:r w:rsidRPr="004E024B">
        <w:rPr>
          <w:rFonts w:ascii="Times New Roman" w:eastAsia="Times New Roman" w:hAnsi="Times New Roman" w:cs="Times New Roman"/>
          <w:bCs/>
        </w:rPr>
        <w:t>Is capable of recognise the</w:t>
      </w:r>
      <w:r w:rsidRPr="004E024B">
        <w:rPr>
          <w:rFonts w:ascii="Times New Roman" w:hAnsi="Times New Roman" w:cs="Times New Roman"/>
        </w:rPr>
        <w:t xml:space="preserve"> </w:t>
      </w:r>
      <w:r w:rsidRPr="004E024B">
        <w:rPr>
          <w:rFonts w:ascii="Times New Roman" w:eastAsia="Times New Roman" w:hAnsi="Times New Roman" w:cs="Times New Roman"/>
          <w:bCs/>
        </w:rPr>
        <w:t xml:space="preserve">the basic terms and theories of the hidrodynamic- and hydraulic systems. </w:t>
      </w:r>
    </w:p>
    <w:p w:rsidR="003D7143" w:rsidRPr="004E024B" w:rsidRDefault="003D7143" w:rsidP="00980876">
      <w:pPr>
        <w:pStyle w:val="Listaszerbekezds"/>
        <w:widowControl w:val="0"/>
        <w:numPr>
          <w:ilvl w:val="0"/>
          <w:numId w:val="311"/>
        </w:numPr>
        <w:spacing w:before="120" w:after="120" w:line="240" w:lineRule="auto"/>
        <w:jc w:val="both"/>
        <w:rPr>
          <w:rFonts w:ascii="Times New Roman" w:eastAsia="Times New Roman" w:hAnsi="Times New Roman" w:cs="Times New Roman"/>
          <w:bCs/>
        </w:rPr>
      </w:pPr>
      <w:r w:rsidRPr="004E024B">
        <w:rPr>
          <w:rFonts w:ascii="Times New Roman" w:eastAsia="Times New Roman" w:hAnsi="Times New Roman" w:cs="Times New Roman"/>
          <w:bCs/>
        </w:rPr>
        <w:t xml:space="preserve">Is capable of distinguish the types of pipes, globe valves, taps, pumps. </w:t>
      </w:r>
    </w:p>
    <w:p w:rsidR="003D7143" w:rsidRPr="004E024B" w:rsidRDefault="003D7143" w:rsidP="00980876">
      <w:pPr>
        <w:pStyle w:val="Listaszerbekezds"/>
        <w:widowControl w:val="0"/>
        <w:numPr>
          <w:ilvl w:val="0"/>
          <w:numId w:val="311"/>
        </w:numPr>
        <w:spacing w:before="120" w:after="120" w:line="240" w:lineRule="auto"/>
        <w:jc w:val="both"/>
        <w:rPr>
          <w:rFonts w:ascii="Times New Roman" w:eastAsia="Times New Roman" w:hAnsi="Times New Roman" w:cs="Times New Roman"/>
          <w:bCs/>
        </w:rPr>
      </w:pPr>
      <w:r w:rsidRPr="004E024B">
        <w:rPr>
          <w:rFonts w:ascii="Times New Roman" w:eastAsia="Times New Roman" w:hAnsi="Times New Roman" w:cs="Times New Roman"/>
          <w:bCs/>
        </w:rPr>
        <w:t xml:space="preserve">Is capable of distinguish the the basic structure and elements of hydraulics systems. </w:t>
      </w:r>
    </w:p>
    <w:p w:rsidR="003D7143" w:rsidRPr="004E024B" w:rsidRDefault="003D7143" w:rsidP="00980876">
      <w:pPr>
        <w:pStyle w:val="Listaszerbekezds"/>
        <w:widowControl w:val="0"/>
        <w:numPr>
          <w:ilvl w:val="0"/>
          <w:numId w:val="311"/>
        </w:numPr>
        <w:spacing w:before="120" w:after="120" w:line="240" w:lineRule="auto"/>
        <w:jc w:val="both"/>
        <w:rPr>
          <w:rFonts w:ascii="Times New Roman" w:eastAsia="Times New Roman" w:hAnsi="Times New Roman" w:cs="Times New Roman"/>
          <w:bCs/>
        </w:rPr>
      </w:pPr>
      <w:r w:rsidRPr="004E024B">
        <w:rPr>
          <w:rFonts w:ascii="Times New Roman" w:eastAsia="Times New Roman" w:hAnsi="Times New Roman" w:cs="Times New Roman"/>
          <w:bCs/>
        </w:rPr>
        <w:t xml:space="preserve">Is capable to recognise the properties of the hydraulics systems. </w:t>
      </w:r>
    </w:p>
    <w:p w:rsidR="003D7143" w:rsidRPr="004E024B" w:rsidRDefault="003D7143" w:rsidP="00980876">
      <w:pPr>
        <w:pStyle w:val="Listaszerbekezds"/>
        <w:widowControl w:val="0"/>
        <w:numPr>
          <w:ilvl w:val="0"/>
          <w:numId w:val="311"/>
        </w:numPr>
        <w:spacing w:before="120" w:after="120" w:line="240" w:lineRule="auto"/>
        <w:jc w:val="both"/>
        <w:rPr>
          <w:rFonts w:ascii="Times New Roman" w:eastAsia="Times New Roman" w:hAnsi="Times New Roman" w:cs="Times New Roman"/>
          <w:bCs/>
        </w:rPr>
      </w:pPr>
      <w:r w:rsidRPr="004E024B">
        <w:rPr>
          <w:rFonts w:ascii="Times New Roman" w:eastAsia="Times New Roman" w:hAnsi="Times New Roman" w:cs="Times New Roman"/>
          <w:bCs/>
        </w:rPr>
        <w:t>Is capable of distinguish the several parts of the fluid coupling and the torque converter.</w:t>
      </w:r>
    </w:p>
    <w:p w:rsidR="003D7143" w:rsidRPr="004E024B" w:rsidRDefault="003D7143" w:rsidP="003D7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lang w:val="en-GB"/>
        </w:rPr>
      </w:pPr>
      <w:r w:rsidRPr="004E024B">
        <w:rPr>
          <w:rFonts w:ascii="Times New Roman" w:eastAsia="Times New Roman" w:hAnsi="Times New Roman" w:cs="Times New Roman"/>
          <w:b/>
          <w:lang w:val="en-GB"/>
        </w:rPr>
        <w:t>Attitude:</w:t>
      </w:r>
      <w:r w:rsidRPr="004E024B">
        <w:rPr>
          <w:rFonts w:ascii="Times New Roman" w:eastAsia="Times New Roman" w:hAnsi="Times New Roman" w:cs="Times New Roman"/>
          <w:lang w:val="en-GB"/>
        </w:rPr>
        <w:t xml:space="preserve"> </w:t>
      </w:r>
    </w:p>
    <w:p w:rsidR="003D7143" w:rsidRPr="004E024B" w:rsidRDefault="003D7143" w:rsidP="00980876">
      <w:pPr>
        <w:pStyle w:val="Listaszerbekezds"/>
        <w:numPr>
          <w:ilvl w:val="0"/>
          <w:numId w:val="3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rPr>
      </w:pPr>
      <w:r w:rsidRPr="004E024B">
        <w:rPr>
          <w:rFonts w:ascii="Times New Roman" w:eastAsia="Times New Roman" w:hAnsi="Times New Roman" w:cs="Times New Roman"/>
        </w:rPr>
        <w:t xml:space="preserve">He/she is open to widen his/her knowledge regarding basic terms and theories of </w:t>
      </w:r>
      <w:r w:rsidRPr="004E024B">
        <w:rPr>
          <w:rFonts w:ascii="Times New Roman" w:eastAsia="Times New Roman" w:hAnsi="Times New Roman" w:cs="Times New Roman"/>
          <w:bCs/>
        </w:rPr>
        <w:t>of</w:t>
      </w:r>
      <w:r w:rsidRPr="004E024B">
        <w:rPr>
          <w:rFonts w:ascii="Times New Roman" w:hAnsi="Times New Roman" w:cs="Times New Roman"/>
        </w:rPr>
        <w:t xml:space="preserve"> </w:t>
      </w:r>
      <w:r w:rsidRPr="004E024B">
        <w:rPr>
          <w:rFonts w:ascii="Times New Roman" w:eastAsia="Times New Roman" w:hAnsi="Times New Roman" w:cs="Times New Roman"/>
          <w:bCs/>
        </w:rPr>
        <w:t>fluid mechanics</w:t>
      </w:r>
      <w:r w:rsidRPr="004E024B">
        <w:rPr>
          <w:rFonts w:ascii="Times New Roman" w:eastAsia="Times New Roman" w:hAnsi="Times New Roman" w:cs="Times New Roman"/>
        </w:rPr>
        <w:t xml:space="preserve"> and the hidrodynamic- and hydraulic system-knowledge, and has a constant need for self-education. </w:t>
      </w:r>
    </w:p>
    <w:p w:rsidR="003D7143" w:rsidRPr="004E024B" w:rsidRDefault="003D7143" w:rsidP="00980876">
      <w:pPr>
        <w:pStyle w:val="Listaszerbekezds"/>
        <w:numPr>
          <w:ilvl w:val="0"/>
          <w:numId w:val="3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rPr>
      </w:pPr>
      <w:r w:rsidRPr="004E024B">
        <w:rPr>
          <w:rFonts w:ascii="Times New Roman" w:eastAsia="Times New Roman" w:hAnsi="Times New Roman" w:cs="Times New Roman"/>
        </w:rPr>
        <w:t xml:space="preserve">He/she aims to adhere to the basic structure and elements of hydraulics systems as well. </w:t>
      </w:r>
    </w:p>
    <w:p w:rsidR="003D7143" w:rsidRPr="004E024B" w:rsidRDefault="003D7143" w:rsidP="00980876">
      <w:pPr>
        <w:pStyle w:val="Listaszerbekezds"/>
        <w:numPr>
          <w:ilvl w:val="0"/>
          <w:numId w:val="3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rPr>
      </w:pPr>
      <w:r w:rsidRPr="004E024B">
        <w:rPr>
          <w:rFonts w:ascii="Times New Roman" w:eastAsia="Times New Roman" w:hAnsi="Times New Roman" w:cs="Times New Roman"/>
        </w:rPr>
        <w:t xml:space="preserve">His/her work and relationships can be described by loyalty and reliability. </w:t>
      </w:r>
    </w:p>
    <w:p w:rsidR="003D7143" w:rsidRPr="004E024B" w:rsidRDefault="003D7143" w:rsidP="00980876">
      <w:pPr>
        <w:pStyle w:val="Listaszerbekezds"/>
        <w:numPr>
          <w:ilvl w:val="0"/>
          <w:numId w:val="3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rPr>
      </w:pPr>
      <w:r w:rsidRPr="004E024B">
        <w:rPr>
          <w:rFonts w:ascii="Times New Roman" w:eastAsia="Times New Roman" w:hAnsi="Times New Roman" w:cs="Times New Roman"/>
        </w:rPr>
        <w:t>He/she is open towards the new accomplishments of military technology and aims to gain knowledge of these.</w:t>
      </w:r>
    </w:p>
    <w:p w:rsidR="003D7143" w:rsidRPr="004E024B" w:rsidRDefault="003D7143" w:rsidP="003D7143">
      <w:pPr>
        <w:widowControl w:val="0"/>
        <w:spacing w:before="120" w:after="120" w:line="240" w:lineRule="auto"/>
        <w:ind w:left="426"/>
        <w:jc w:val="both"/>
        <w:rPr>
          <w:rFonts w:ascii="Times New Roman" w:eastAsia="Times New Roman" w:hAnsi="Times New Roman" w:cs="Times New Roman"/>
          <w:b/>
          <w:lang w:val="en-GB"/>
        </w:rPr>
      </w:pPr>
      <w:r w:rsidRPr="004E024B">
        <w:rPr>
          <w:rFonts w:ascii="Times New Roman" w:eastAsia="Times New Roman" w:hAnsi="Times New Roman" w:cs="Times New Roman"/>
          <w:b/>
          <w:lang w:val="en-GB"/>
        </w:rPr>
        <w:t xml:space="preserve">Autonomy and responsibility: </w:t>
      </w:r>
    </w:p>
    <w:p w:rsidR="003D7143" w:rsidRPr="004E024B" w:rsidRDefault="003D7143" w:rsidP="00980876">
      <w:pPr>
        <w:pStyle w:val="Listaszerbekezds"/>
        <w:widowControl w:val="0"/>
        <w:numPr>
          <w:ilvl w:val="0"/>
          <w:numId w:val="311"/>
        </w:numPr>
        <w:spacing w:before="120" w:after="120" w:line="240" w:lineRule="auto"/>
        <w:jc w:val="both"/>
        <w:rPr>
          <w:rFonts w:ascii="Times New Roman" w:eastAsia="Times New Roman" w:hAnsi="Times New Roman" w:cs="Times New Roman"/>
        </w:rPr>
      </w:pPr>
      <w:r w:rsidRPr="004E024B">
        <w:rPr>
          <w:rFonts w:ascii="Times New Roman" w:eastAsia="Times New Roman" w:hAnsi="Times New Roman" w:cs="Times New Roman"/>
        </w:rPr>
        <w:t xml:space="preserve">Is capable of organizing and determining the tasks of his/her subordinates as well as controlling their work based on professional aspects. </w:t>
      </w:r>
    </w:p>
    <w:p w:rsidR="003D7143" w:rsidRPr="004E024B" w:rsidRDefault="003D7143" w:rsidP="00980876">
      <w:pPr>
        <w:pStyle w:val="Listaszerbekezds"/>
        <w:widowControl w:val="0"/>
        <w:numPr>
          <w:ilvl w:val="0"/>
          <w:numId w:val="311"/>
        </w:numPr>
        <w:spacing w:before="120" w:after="120" w:line="240" w:lineRule="auto"/>
        <w:jc w:val="both"/>
        <w:rPr>
          <w:rFonts w:ascii="Times New Roman" w:eastAsia="Times New Roman" w:hAnsi="Times New Roman" w:cs="Times New Roman"/>
        </w:rPr>
      </w:pPr>
      <w:r w:rsidRPr="004E024B">
        <w:rPr>
          <w:rFonts w:ascii="Times New Roman" w:eastAsia="Times New Roman" w:hAnsi="Times New Roman" w:cs="Times New Roman"/>
        </w:rPr>
        <w:t xml:space="preserve">After doing proper analysation, he/she is capable of making the best decisions and taking professional responsibility during the technical maintenance and repairing of the military technical items. </w:t>
      </w:r>
    </w:p>
    <w:p w:rsidR="003D7143" w:rsidRPr="004E024B" w:rsidRDefault="003D7143" w:rsidP="00980876">
      <w:pPr>
        <w:pStyle w:val="Listaszerbekezds"/>
        <w:widowControl w:val="0"/>
        <w:numPr>
          <w:ilvl w:val="0"/>
          <w:numId w:val="311"/>
        </w:numPr>
        <w:spacing w:before="120" w:after="120" w:line="240" w:lineRule="auto"/>
        <w:jc w:val="both"/>
        <w:rPr>
          <w:rFonts w:ascii="Times New Roman" w:eastAsia="Times New Roman" w:hAnsi="Times New Roman" w:cs="Times New Roman"/>
        </w:rPr>
      </w:pPr>
      <w:r w:rsidRPr="004E024B">
        <w:rPr>
          <w:rFonts w:ascii="Times New Roman" w:eastAsia="Times New Roman" w:hAnsi="Times New Roman" w:cs="Times New Roman"/>
        </w:rPr>
        <w:t xml:space="preserve">He/she is cooperative and responsible towards the professionals of his/her field. </w:t>
      </w:r>
    </w:p>
    <w:p w:rsidR="003D7143" w:rsidRPr="004E024B" w:rsidRDefault="003D7143" w:rsidP="00980876">
      <w:pPr>
        <w:pStyle w:val="Listaszerbekezds"/>
        <w:widowControl w:val="0"/>
        <w:numPr>
          <w:ilvl w:val="0"/>
          <w:numId w:val="311"/>
        </w:numPr>
        <w:spacing w:before="120" w:after="120" w:line="240" w:lineRule="auto"/>
        <w:jc w:val="both"/>
        <w:rPr>
          <w:rFonts w:ascii="Times New Roman" w:eastAsia="Times New Roman" w:hAnsi="Times New Roman" w:cs="Times New Roman"/>
        </w:rPr>
      </w:pPr>
      <w:r w:rsidRPr="004E024B">
        <w:rPr>
          <w:rFonts w:ascii="Times New Roman" w:eastAsia="Times New Roman" w:hAnsi="Times New Roman" w:cs="Times New Roman"/>
        </w:rPr>
        <w:t>Is capable of thinking in a system approach within his/her own field.</w:t>
      </w:r>
    </w:p>
    <w:p w:rsidR="003D7143" w:rsidRPr="004E024B" w:rsidRDefault="003D7143" w:rsidP="00980876">
      <w:pPr>
        <w:widowControl w:val="0"/>
        <w:numPr>
          <w:ilvl w:val="0"/>
          <w:numId w:val="312"/>
        </w:numPr>
        <w:spacing w:before="120" w:after="120" w:line="240" w:lineRule="auto"/>
        <w:ind w:left="426" w:hanging="142"/>
        <w:jc w:val="both"/>
        <w:rPr>
          <w:rFonts w:ascii="Times New Roman" w:eastAsia="Times New Roman" w:hAnsi="Times New Roman" w:cs="Times New Roman"/>
          <w:bCs/>
        </w:rPr>
      </w:pPr>
      <w:r w:rsidRPr="004E024B">
        <w:rPr>
          <w:rFonts w:ascii="Times New Roman" w:eastAsia="Times New Roman" w:hAnsi="Times New Roman" w:cs="Times New Roman"/>
          <w:b/>
          <w:bCs/>
        </w:rPr>
        <w:t>Előtanulmányi követelmények: -</w:t>
      </w:r>
    </w:p>
    <w:p w:rsidR="003D7143" w:rsidRPr="004E024B" w:rsidRDefault="003D7143" w:rsidP="00980876">
      <w:pPr>
        <w:widowControl w:val="0"/>
        <w:numPr>
          <w:ilvl w:val="0"/>
          <w:numId w:val="312"/>
        </w:numPr>
        <w:spacing w:before="120" w:after="120" w:line="240" w:lineRule="auto"/>
        <w:ind w:left="426" w:hanging="142"/>
        <w:jc w:val="both"/>
        <w:rPr>
          <w:rFonts w:ascii="Times New Roman" w:eastAsia="Times New Roman" w:hAnsi="Times New Roman" w:cs="Times New Roman"/>
          <w:b/>
          <w:bCs/>
        </w:rPr>
      </w:pPr>
      <w:r w:rsidRPr="004E024B">
        <w:rPr>
          <w:rFonts w:ascii="Times New Roman" w:eastAsia="Times New Roman" w:hAnsi="Times New Roman" w:cs="Times New Roman"/>
          <w:b/>
          <w:bCs/>
        </w:rPr>
        <w:t>A tantárgy tananyagának leírása, tematika. Description of the subject, curriculum (magyarul, angolul - English):</w:t>
      </w:r>
    </w:p>
    <w:p w:rsidR="007B6A7E" w:rsidRPr="004E024B" w:rsidRDefault="007B6A7E" w:rsidP="00980876">
      <w:pPr>
        <w:widowControl w:val="0"/>
        <w:numPr>
          <w:ilvl w:val="1"/>
          <w:numId w:val="312"/>
        </w:numPr>
        <w:tabs>
          <w:tab w:val="clear" w:pos="3977"/>
        </w:tabs>
        <w:spacing w:before="120" w:after="120" w:line="240" w:lineRule="auto"/>
        <w:ind w:left="993" w:hanging="574"/>
        <w:jc w:val="both"/>
        <w:rPr>
          <w:rFonts w:ascii="Times New Roman" w:eastAsia="Times New Roman" w:hAnsi="Times New Roman" w:cs="Times New Roman"/>
          <w:b/>
        </w:rPr>
      </w:pPr>
      <w:r w:rsidRPr="004E024B">
        <w:rPr>
          <w:rFonts w:ascii="Times New Roman" w:eastAsia="Times New Roman" w:hAnsi="Times New Roman" w:cs="Times New Roman"/>
          <w:bCs/>
          <w:lang w:eastAsia="hu-HU"/>
        </w:rPr>
        <w:t>Alapfogalmak.</w:t>
      </w:r>
      <w:r w:rsidRPr="004E024B">
        <w:rPr>
          <w:rFonts w:ascii="Times New Roman" w:eastAsia="Times New Roman" w:hAnsi="Times New Roman" w:cs="Times New Roman"/>
        </w:rPr>
        <w:t xml:space="preserve"> (</w:t>
      </w:r>
      <w:r w:rsidRPr="004E024B">
        <w:rPr>
          <w:rFonts w:ascii="Times New Roman" w:eastAsia="Times New Roman" w:hAnsi="Times New Roman" w:cs="Times New Roman"/>
          <w:bCs/>
          <w:i/>
          <w:lang w:eastAsia="hu-HU"/>
        </w:rPr>
        <w:t>Basic terms</w:t>
      </w:r>
      <w:r w:rsidRPr="004E024B">
        <w:rPr>
          <w:rFonts w:ascii="Times New Roman" w:eastAsia="Times New Roman" w:hAnsi="Times New Roman" w:cs="Times New Roman"/>
          <w:bCs/>
          <w:lang w:eastAsia="hu-HU"/>
        </w:rPr>
        <w:t>.</w:t>
      </w:r>
      <w:r w:rsidRPr="004E024B">
        <w:rPr>
          <w:rFonts w:ascii="Times New Roman" w:eastAsia="Times New Roman" w:hAnsi="Times New Roman" w:cs="Times New Roman"/>
        </w:rPr>
        <w:t>)</w:t>
      </w:r>
    </w:p>
    <w:p w:rsidR="007B6A7E" w:rsidRPr="004E024B" w:rsidRDefault="007B6A7E" w:rsidP="00980876">
      <w:pPr>
        <w:widowControl w:val="0"/>
        <w:numPr>
          <w:ilvl w:val="1"/>
          <w:numId w:val="312"/>
        </w:numPr>
        <w:tabs>
          <w:tab w:val="clear" w:pos="3977"/>
          <w:tab w:val="left" w:pos="709"/>
          <w:tab w:val="left" w:pos="993"/>
        </w:tabs>
        <w:spacing w:before="120" w:after="120" w:line="240" w:lineRule="auto"/>
        <w:ind w:left="1134" w:hanging="715"/>
        <w:jc w:val="both"/>
        <w:rPr>
          <w:rFonts w:ascii="Times New Roman" w:eastAsia="Times New Roman" w:hAnsi="Times New Roman" w:cs="Times New Roman"/>
          <w:b/>
        </w:rPr>
      </w:pPr>
      <w:r w:rsidRPr="004E024B">
        <w:rPr>
          <w:rFonts w:ascii="Times New Roman" w:eastAsia="Times New Roman" w:hAnsi="Times New Roman" w:cs="Times New Roman"/>
          <w:bCs/>
        </w:rPr>
        <w:t>Az áramlástan alapvető törvényei. (</w:t>
      </w:r>
      <w:r w:rsidRPr="004E024B">
        <w:rPr>
          <w:rFonts w:ascii="Times New Roman" w:eastAsia="Times New Roman" w:hAnsi="Times New Roman" w:cs="Times New Roman"/>
          <w:bCs/>
          <w:i/>
        </w:rPr>
        <w:t>The basic law of fluid mechanics</w:t>
      </w:r>
      <w:r w:rsidRPr="004E024B">
        <w:rPr>
          <w:rFonts w:ascii="Times New Roman" w:eastAsia="Times New Roman" w:hAnsi="Times New Roman" w:cs="Times New Roman"/>
          <w:bCs/>
        </w:rPr>
        <w:t>.)</w:t>
      </w:r>
    </w:p>
    <w:p w:rsidR="007B6A7E" w:rsidRPr="000435CA" w:rsidRDefault="007B6A7E" w:rsidP="00980876">
      <w:pPr>
        <w:widowControl w:val="0"/>
        <w:numPr>
          <w:ilvl w:val="1"/>
          <w:numId w:val="312"/>
        </w:numPr>
        <w:tabs>
          <w:tab w:val="clear" w:pos="3977"/>
          <w:tab w:val="left" w:pos="709"/>
          <w:tab w:val="left" w:pos="993"/>
        </w:tabs>
        <w:spacing w:before="120" w:after="120" w:line="240" w:lineRule="auto"/>
        <w:ind w:left="1134" w:hanging="715"/>
        <w:jc w:val="both"/>
        <w:rPr>
          <w:rFonts w:ascii="Times New Roman" w:eastAsia="Times New Roman" w:hAnsi="Times New Roman" w:cs="Times New Roman"/>
        </w:rPr>
      </w:pPr>
      <w:r w:rsidRPr="000435CA">
        <w:rPr>
          <w:rFonts w:ascii="Times New Roman" w:eastAsia="Times New Roman" w:hAnsi="Times New Roman" w:cs="Times New Roman"/>
          <w:bCs/>
        </w:rPr>
        <w:t>A hidraulikarendszer felépítése. (</w:t>
      </w:r>
      <w:r w:rsidRPr="000435CA">
        <w:rPr>
          <w:rFonts w:ascii="Times New Roman" w:eastAsia="Times New Roman" w:hAnsi="Times New Roman" w:cs="Times New Roman"/>
          <w:bCs/>
          <w:i/>
        </w:rPr>
        <w:t>The basic structure of hydraulics.</w:t>
      </w:r>
      <w:r w:rsidRPr="000435CA">
        <w:rPr>
          <w:rFonts w:ascii="Times New Roman" w:eastAsia="Times New Roman" w:hAnsi="Times New Roman" w:cs="Times New Roman"/>
          <w:bCs/>
        </w:rPr>
        <w:t>)</w:t>
      </w:r>
    </w:p>
    <w:p w:rsidR="007B6A7E" w:rsidRPr="000435CA" w:rsidRDefault="007B6A7E" w:rsidP="00980876">
      <w:pPr>
        <w:widowControl w:val="0"/>
        <w:numPr>
          <w:ilvl w:val="1"/>
          <w:numId w:val="312"/>
        </w:numPr>
        <w:tabs>
          <w:tab w:val="clear" w:pos="3977"/>
          <w:tab w:val="left" w:pos="709"/>
          <w:tab w:val="left" w:pos="993"/>
        </w:tabs>
        <w:spacing w:before="120" w:after="120" w:line="240" w:lineRule="auto"/>
        <w:ind w:left="1134" w:hanging="715"/>
        <w:jc w:val="both"/>
        <w:rPr>
          <w:rFonts w:ascii="Times New Roman" w:eastAsia="Times New Roman" w:hAnsi="Times New Roman" w:cs="Times New Roman"/>
        </w:rPr>
      </w:pPr>
      <w:r w:rsidRPr="000435CA">
        <w:rPr>
          <w:rFonts w:ascii="Times New Roman" w:eastAsia="Times New Roman" w:hAnsi="Times New Roman" w:cs="Times New Roman"/>
          <w:bCs/>
        </w:rPr>
        <w:lastRenderedPageBreak/>
        <w:t>A hidraulikarendszer alapelemei. (</w:t>
      </w:r>
      <w:r w:rsidRPr="000435CA">
        <w:rPr>
          <w:rFonts w:ascii="Times New Roman" w:eastAsia="Times New Roman" w:hAnsi="Times New Roman" w:cs="Times New Roman"/>
          <w:bCs/>
          <w:i/>
        </w:rPr>
        <w:t>The basic elements of hydraulics.</w:t>
      </w:r>
      <w:r w:rsidRPr="000435CA">
        <w:rPr>
          <w:rFonts w:ascii="Times New Roman" w:eastAsia="Times New Roman" w:hAnsi="Times New Roman" w:cs="Times New Roman"/>
          <w:bCs/>
        </w:rPr>
        <w:t>)</w:t>
      </w:r>
    </w:p>
    <w:p w:rsidR="007B6A7E" w:rsidRPr="004E024B" w:rsidRDefault="007B6A7E" w:rsidP="00980876">
      <w:pPr>
        <w:widowControl w:val="0"/>
        <w:numPr>
          <w:ilvl w:val="1"/>
          <w:numId w:val="312"/>
        </w:numPr>
        <w:tabs>
          <w:tab w:val="clear" w:pos="3977"/>
        </w:tabs>
        <w:spacing w:before="120" w:after="120" w:line="240" w:lineRule="auto"/>
        <w:ind w:left="993" w:hanging="574"/>
        <w:jc w:val="both"/>
        <w:rPr>
          <w:rFonts w:ascii="Times New Roman" w:eastAsia="Times New Roman" w:hAnsi="Times New Roman" w:cs="Times New Roman"/>
        </w:rPr>
      </w:pPr>
      <w:r w:rsidRPr="004E024B">
        <w:rPr>
          <w:rFonts w:ascii="Times New Roman" w:eastAsia="Times New Roman" w:hAnsi="Times New Roman" w:cs="Times New Roman"/>
          <w:bCs/>
        </w:rPr>
        <w:t>A hidraulikarendszer alapelemei: csővezetékek. (</w:t>
      </w:r>
      <w:r w:rsidRPr="004E024B">
        <w:rPr>
          <w:rFonts w:ascii="Times New Roman" w:eastAsia="Times New Roman" w:hAnsi="Times New Roman" w:cs="Times New Roman"/>
          <w:bCs/>
          <w:i/>
        </w:rPr>
        <w:t>The basic elements of hydraulics: pipes</w:t>
      </w:r>
      <w:r w:rsidRPr="004E024B">
        <w:rPr>
          <w:rFonts w:ascii="Times New Roman" w:eastAsia="Times New Roman" w:hAnsi="Times New Roman" w:cs="Times New Roman"/>
          <w:bCs/>
        </w:rPr>
        <w:t>.)</w:t>
      </w:r>
    </w:p>
    <w:p w:rsidR="007B6A7E" w:rsidRPr="004E024B" w:rsidRDefault="007B6A7E" w:rsidP="00980876">
      <w:pPr>
        <w:widowControl w:val="0"/>
        <w:numPr>
          <w:ilvl w:val="1"/>
          <w:numId w:val="312"/>
        </w:numPr>
        <w:tabs>
          <w:tab w:val="clear" w:pos="3977"/>
        </w:tabs>
        <w:spacing w:before="120" w:after="120" w:line="240" w:lineRule="auto"/>
        <w:ind w:left="993" w:hanging="574"/>
        <w:jc w:val="both"/>
        <w:rPr>
          <w:rFonts w:ascii="Times New Roman" w:eastAsia="Times New Roman" w:hAnsi="Times New Roman" w:cs="Times New Roman"/>
        </w:rPr>
      </w:pPr>
      <w:r w:rsidRPr="004E024B">
        <w:rPr>
          <w:rFonts w:ascii="Times New Roman" w:eastAsia="Times New Roman" w:hAnsi="Times New Roman" w:cs="Times New Roman"/>
          <w:bCs/>
        </w:rPr>
        <w:t>A hidraulikarendszer alapelemei: csapok és szelepek. (</w:t>
      </w:r>
      <w:r w:rsidRPr="004E024B">
        <w:rPr>
          <w:rFonts w:ascii="Times New Roman" w:eastAsia="Times New Roman" w:hAnsi="Times New Roman" w:cs="Times New Roman"/>
          <w:bCs/>
          <w:i/>
        </w:rPr>
        <w:t>The basic elements of hydraulics: globe valves and taps</w:t>
      </w:r>
      <w:r w:rsidRPr="004E024B">
        <w:rPr>
          <w:rFonts w:ascii="Times New Roman" w:eastAsia="Times New Roman" w:hAnsi="Times New Roman" w:cs="Times New Roman"/>
          <w:bCs/>
        </w:rPr>
        <w:t xml:space="preserve">). </w:t>
      </w:r>
    </w:p>
    <w:p w:rsidR="007B6A7E" w:rsidRPr="004E024B" w:rsidRDefault="007B6A7E" w:rsidP="00980876">
      <w:pPr>
        <w:widowControl w:val="0"/>
        <w:numPr>
          <w:ilvl w:val="1"/>
          <w:numId w:val="312"/>
        </w:numPr>
        <w:tabs>
          <w:tab w:val="clear" w:pos="3977"/>
        </w:tabs>
        <w:spacing w:before="120" w:after="120" w:line="240" w:lineRule="auto"/>
        <w:ind w:left="993" w:hanging="574"/>
        <w:jc w:val="both"/>
        <w:rPr>
          <w:rFonts w:ascii="Times New Roman" w:eastAsia="Times New Roman" w:hAnsi="Times New Roman" w:cs="Times New Roman"/>
        </w:rPr>
      </w:pPr>
      <w:r w:rsidRPr="004E024B">
        <w:rPr>
          <w:rFonts w:ascii="Times New Roman" w:eastAsia="Times New Roman" w:hAnsi="Times New Roman" w:cs="Times New Roman"/>
          <w:bCs/>
        </w:rPr>
        <w:t>A hidraulikarendszer alapelemei: szivattyúk. (</w:t>
      </w:r>
      <w:r w:rsidRPr="004E024B">
        <w:rPr>
          <w:rFonts w:ascii="Times New Roman" w:eastAsia="Times New Roman" w:hAnsi="Times New Roman" w:cs="Times New Roman"/>
          <w:bCs/>
          <w:i/>
        </w:rPr>
        <w:t>The basic elements of hydraulics: pumps</w:t>
      </w:r>
      <w:r w:rsidRPr="004E024B">
        <w:rPr>
          <w:rFonts w:ascii="Times New Roman" w:eastAsia="Times New Roman" w:hAnsi="Times New Roman" w:cs="Times New Roman"/>
          <w:bCs/>
        </w:rPr>
        <w:t>).</w:t>
      </w:r>
    </w:p>
    <w:p w:rsidR="007B6A7E" w:rsidRPr="004E024B" w:rsidRDefault="007B6A7E" w:rsidP="00980876">
      <w:pPr>
        <w:widowControl w:val="0"/>
        <w:numPr>
          <w:ilvl w:val="1"/>
          <w:numId w:val="312"/>
        </w:numPr>
        <w:tabs>
          <w:tab w:val="clear" w:pos="3977"/>
        </w:tabs>
        <w:spacing w:before="120" w:after="120" w:line="240" w:lineRule="auto"/>
        <w:ind w:left="993" w:hanging="574"/>
        <w:rPr>
          <w:rFonts w:ascii="Times New Roman" w:eastAsia="Times New Roman" w:hAnsi="Times New Roman" w:cs="Times New Roman"/>
        </w:rPr>
      </w:pPr>
      <w:r w:rsidRPr="004E024B">
        <w:rPr>
          <w:rFonts w:ascii="Times New Roman" w:eastAsia="Times New Roman" w:hAnsi="Times New Roman" w:cs="Times New Roman"/>
          <w:bCs/>
        </w:rPr>
        <w:t>A hidraulikarendszer alapelemei: munkahengerek. (</w:t>
      </w:r>
      <w:r w:rsidRPr="004E024B">
        <w:rPr>
          <w:rFonts w:ascii="Times New Roman" w:eastAsia="Times New Roman" w:hAnsi="Times New Roman" w:cs="Times New Roman"/>
          <w:bCs/>
          <w:i/>
        </w:rPr>
        <w:t>The basic elements of hydraulics: hydrulic-cylinders</w:t>
      </w:r>
      <w:r w:rsidRPr="004E024B">
        <w:rPr>
          <w:rFonts w:ascii="Times New Roman" w:eastAsia="Times New Roman" w:hAnsi="Times New Roman" w:cs="Times New Roman"/>
          <w:bCs/>
        </w:rPr>
        <w:t>).</w:t>
      </w:r>
    </w:p>
    <w:p w:rsidR="007B6A7E" w:rsidRPr="004E024B" w:rsidRDefault="007B6A7E" w:rsidP="00980876">
      <w:pPr>
        <w:widowControl w:val="0"/>
        <w:numPr>
          <w:ilvl w:val="1"/>
          <w:numId w:val="312"/>
        </w:numPr>
        <w:tabs>
          <w:tab w:val="clear" w:pos="3977"/>
        </w:tabs>
        <w:spacing w:before="120" w:after="120" w:line="240" w:lineRule="auto"/>
        <w:ind w:left="993" w:hanging="574"/>
        <w:rPr>
          <w:rFonts w:ascii="Times New Roman" w:eastAsia="Times New Roman" w:hAnsi="Times New Roman" w:cs="Times New Roman"/>
        </w:rPr>
      </w:pPr>
      <w:r w:rsidRPr="004E024B">
        <w:rPr>
          <w:rFonts w:ascii="Times New Roman" w:eastAsia="Times New Roman" w:hAnsi="Times New Roman" w:cs="Times New Roman"/>
          <w:bCs/>
        </w:rPr>
        <w:t>Hidraulikafolyadékok</w:t>
      </w:r>
      <w:r>
        <w:rPr>
          <w:rFonts w:ascii="Times New Roman" w:eastAsia="Times New Roman" w:hAnsi="Times New Roman" w:cs="Times New Roman"/>
          <w:bCs/>
        </w:rPr>
        <w:t>.</w:t>
      </w:r>
      <w:r w:rsidRPr="004E024B">
        <w:rPr>
          <w:rFonts w:ascii="Times New Roman" w:eastAsia="Times New Roman" w:hAnsi="Times New Roman" w:cs="Times New Roman"/>
          <w:bCs/>
        </w:rPr>
        <w:t xml:space="preserve"> (</w:t>
      </w:r>
      <w:r w:rsidRPr="004E024B">
        <w:rPr>
          <w:rFonts w:ascii="Times New Roman" w:eastAsia="Times New Roman" w:hAnsi="Times New Roman" w:cs="Times New Roman"/>
          <w:bCs/>
          <w:i/>
        </w:rPr>
        <w:t>Hydraulic fluids</w:t>
      </w:r>
      <w:r>
        <w:rPr>
          <w:rFonts w:ascii="Times New Roman" w:eastAsia="Times New Roman" w:hAnsi="Times New Roman" w:cs="Times New Roman"/>
          <w:bCs/>
        </w:rPr>
        <w:t>.</w:t>
      </w:r>
      <w:r w:rsidRPr="004E024B">
        <w:rPr>
          <w:rFonts w:ascii="Times New Roman" w:eastAsia="Times New Roman" w:hAnsi="Times New Roman" w:cs="Times New Roman"/>
          <w:bCs/>
        </w:rPr>
        <w:t>)</w:t>
      </w:r>
    </w:p>
    <w:p w:rsidR="007B6A7E" w:rsidRPr="004E024B" w:rsidRDefault="007B6A7E" w:rsidP="00980876">
      <w:pPr>
        <w:widowControl w:val="0"/>
        <w:numPr>
          <w:ilvl w:val="1"/>
          <w:numId w:val="312"/>
        </w:numPr>
        <w:tabs>
          <w:tab w:val="clear" w:pos="3977"/>
        </w:tabs>
        <w:spacing w:before="120" w:after="120" w:line="240" w:lineRule="auto"/>
        <w:ind w:left="993" w:hanging="574"/>
        <w:rPr>
          <w:rFonts w:ascii="Times New Roman" w:eastAsia="Times New Roman" w:hAnsi="Times New Roman" w:cs="Times New Roman"/>
        </w:rPr>
      </w:pPr>
      <w:r w:rsidRPr="004E024B">
        <w:rPr>
          <w:rFonts w:ascii="Times New Roman" w:eastAsia="Times New Roman" w:hAnsi="Times New Roman" w:cs="Times New Roman"/>
          <w:bCs/>
        </w:rPr>
        <w:t>Hidraulikus rendszerek. (</w:t>
      </w:r>
      <w:r w:rsidRPr="004E024B">
        <w:rPr>
          <w:rFonts w:ascii="Times New Roman" w:eastAsia="Times New Roman" w:hAnsi="Times New Roman" w:cs="Times New Roman"/>
          <w:bCs/>
          <w:i/>
        </w:rPr>
        <w:t>Hydraulics systems</w:t>
      </w:r>
      <w:r w:rsidRPr="004E024B">
        <w:rPr>
          <w:rFonts w:ascii="Times New Roman" w:eastAsia="Times New Roman" w:hAnsi="Times New Roman" w:cs="Times New Roman"/>
          <w:bCs/>
        </w:rPr>
        <w:t xml:space="preserve">.) </w:t>
      </w:r>
    </w:p>
    <w:p w:rsidR="007B6A7E" w:rsidRPr="004E024B" w:rsidRDefault="007B6A7E" w:rsidP="00980876">
      <w:pPr>
        <w:widowControl w:val="0"/>
        <w:numPr>
          <w:ilvl w:val="1"/>
          <w:numId w:val="312"/>
        </w:numPr>
        <w:tabs>
          <w:tab w:val="clear" w:pos="3977"/>
        </w:tabs>
        <w:spacing w:before="120" w:after="120" w:line="240" w:lineRule="auto"/>
        <w:ind w:left="993" w:hanging="574"/>
        <w:rPr>
          <w:rFonts w:ascii="Times New Roman" w:eastAsia="Times New Roman" w:hAnsi="Times New Roman" w:cs="Times New Roman"/>
        </w:rPr>
      </w:pPr>
      <w:r w:rsidRPr="004E024B">
        <w:rPr>
          <w:rFonts w:ascii="Times New Roman" w:eastAsia="Times New Roman" w:hAnsi="Times New Roman" w:cs="Times New Roman"/>
          <w:bCs/>
        </w:rPr>
        <w:t>Hidraulikus rendszerek a gépjárműtechnikában. (</w:t>
      </w:r>
      <w:r w:rsidRPr="004E024B">
        <w:rPr>
          <w:rFonts w:ascii="Times New Roman" w:eastAsia="Times New Roman" w:hAnsi="Times New Roman" w:cs="Times New Roman"/>
          <w:bCs/>
          <w:i/>
        </w:rPr>
        <w:t>Hydraulics systems in vehicles</w:t>
      </w:r>
      <w:r w:rsidRPr="004E024B">
        <w:rPr>
          <w:rFonts w:ascii="Times New Roman" w:eastAsia="Times New Roman" w:hAnsi="Times New Roman" w:cs="Times New Roman"/>
          <w:bCs/>
        </w:rPr>
        <w:t>.)</w:t>
      </w:r>
    </w:p>
    <w:p w:rsidR="007B6A7E" w:rsidRPr="004E024B" w:rsidRDefault="007B6A7E" w:rsidP="00980876">
      <w:pPr>
        <w:widowControl w:val="0"/>
        <w:numPr>
          <w:ilvl w:val="1"/>
          <w:numId w:val="312"/>
        </w:numPr>
        <w:tabs>
          <w:tab w:val="clear" w:pos="3977"/>
        </w:tabs>
        <w:spacing w:before="120" w:after="120" w:line="240" w:lineRule="auto"/>
        <w:ind w:left="993" w:hanging="574"/>
        <w:rPr>
          <w:rFonts w:ascii="Times New Roman" w:eastAsia="Times New Roman" w:hAnsi="Times New Roman" w:cs="Times New Roman"/>
        </w:rPr>
      </w:pPr>
      <w:r w:rsidRPr="004E024B">
        <w:rPr>
          <w:rFonts w:ascii="Times New Roman" w:eastAsia="Times New Roman" w:hAnsi="Times New Roman" w:cs="Times New Roman"/>
          <w:bCs/>
        </w:rPr>
        <w:t>Hidrodinamikus tengelykapcsolók. (</w:t>
      </w:r>
      <w:r w:rsidRPr="004E024B">
        <w:rPr>
          <w:rFonts w:ascii="Times New Roman" w:eastAsia="Times New Roman" w:hAnsi="Times New Roman" w:cs="Times New Roman"/>
          <w:bCs/>
          <w:i/>
        </w:rPr>
        <w:t>Fluid coupling</w:t>
      </w:r>
      <w:r w:rsidRPr="004E024B">
        <w:rPr>
          <w:rFonts w:ascii="Times New Roman" w:eastAsia="Times New Roman" w:hAnsi="Times New Roman" w:cs="Times New Roman"/>
          <w:bCs/>
        </w:rPr>
        <w:t xml:space="preserve">.) </w:t>
      </w:r>
    </w:p>
    <w:p w:rsidR="007B6A7E" w:rsidRPr="004E024B" w:rsidRDefault="007B6A7E" w:rsidP="00980876">
      <w:pPr>
        <w:widowControl w:val="0"/>
        <w:numPr>
          <w:ilvl w:val="1"/>
          <w:numId w:val="312"/>
        </w:numPr>
        <w:tabs>
          <w:tab w:val="clear" w:pos="3977"/>
        </w:tabs>
        <w:spacing w:before="120" w:after="120" w:line="240" w:lineRule="auto"/>
        <w:ind w:left="993" w:hanging="574"/>
        <w:rPr>
          <w:rFonts w:ascii="Times New Roman" w:eastAsia="Times New Roman" w:hAnsi="Times New Roman" w:cs="Times New Roman"/>
        </w:rPr>
      </w:pPr>
      <w:r w:rsidRPr="004E024B">
        <w:rPr>
          <w:rFonts w:ascii="Times New Roman" w:eastAsia="Times New Roman" w:hAnsi="Times New Roman" w:cs="Times New Roman"/>
          <w:bCs/>
        </w:rPr>
        <w:t xml:space="preserve"> Hidrodinamikus nyomatékváltók. (</w:t>
      </w:r>
      <w:r w:rsidRPr="004E024B">
        <w:rPr>
          <w:rFonts w:ascii="Times New Roman" w:eastAsia="Times New Roman" w:hAnsi="Times New Roman" w:cs="Times New Roman"/>
          <w:bCs/>
          <w:i/>
        </w:rPr>
        <w:t>Torque converter</w:t>
      </w:r>
      <w:r w:rsidRPr="004E024B">
        <w:rPr>
          <w:rFonts w:ascii="Times New Roman" w:eastAsia="Times New Roman" w:hAnsi="Times New Roman" w:cs="Times New Roman"/>
          <w:bCs/>
        </w:rPr>
        <w:t xml:space="preserve">.) </w:t>
      </w:r>
    </w:p>
    <w:p w:rsidR="007B6A7E" w:rsidRPr="004E024B" w:rsidRDefault="007B6A7E" w:rsidP="00980876">
      <w:pPr>
        <w:widowControl w:val="0"/>
        <w:numPr>
          <w:ilvl w:val="1"/>
          <w:numId w:val="312"/>
        </w:numPr>
        <w:tabs>
          <w:tab w:val="clear" w:pos="3977"/>
        </w:tabs>
        <w:spacing w:before="120" w:after="120" w:line="240" w:lineRule="auto"/>
        <w:ind w:left="993" w:hanging="574"/>
        <w:rPr>
          <w:rFonts w:ascii="Times New Roman" w:eastAsia="Times New Roman" w:hAnsi="Times New Roman" w:cs="Times New Roman"/>
        </w:rPr>
      </w:pPr>
      <w:r>
        <w:rPr>
          <w:rFonts w:ascii="Times New Roman" w:eastAsia="Times New Roman" w:hAnsi="Times New Roman" w:cs="Times New Roman"/>
          <w:bCs/>
        </w:rPr>
        <w:t xml:space="preserve"> </w:t>
      </w:r>
      <w:r w:rsidRPr="004E024B">
        <w:rPr>
          <w:rFonts w:ascii="Times New Roman" w:eastAsia="Times New Roman" w:hAnsi="Times New Roman" w:cs="Times New Roman"/>
          <w:bCs/>
        </w:rPr>
        <w:t>Hidrodinamikus nyomatékváltók vektor-ábrái. (</w:t>
      </w:r>
      <w:r w:rsidRPr="004E024B">
        <w:rPr>
          <w:rFonts w:ascii="Times New Roman" w:eastAsia="Times New Roman" w:hAnsi="Times New Roman" w:cs="Times New Roman"/>
          <w:bCs/>
          <w:i/>
        </w:rPr>
        <w:t>Vector-diagrams of torque converters</w:t>
      </w:r>
      <w:r w:rsidRPr="004E024B">
        <w:rPr>
          <w:rFonts w:ascii="Times New Roman" w:eastAsia="Times New Roman" w:hAnsi="Times New Roman" w:cs="Times New Roman"/>
          <w:bCs/>
        </w:rPr>
        <w:t>.)</w:t>
      </w:r>
    </w:p>
    <w:p w:rsidR="003D7143" w:rsidRPr="004E024B" w:rsidRDefault="003D7143" w:rsidP="00980876">
      <w:pPr>
        <w:widowControl w:val="0"/>
        <w:numPr>
          <w:ilvl w:val="0"/>
          <w:numId w:val="312"/>
        </w:numPr>
        <w:tabs>
          <w:tab w:val="num" w:pos="360"/>
        </w:tabs>
        <w:spacing w:before="120" w:after="120" w:line="240" w:lineRule="auto"/>
        <w:ind w:left="426" w:hanging="142"/>
        <w:jc w:val="both"/>
        <w:rPr>
          <w:rFonts w:ascii="Times New Roman" w:eastAsia="Times New Roman" w:hAnsi="Times New Roman" w:cs="Times New Roman"/>
          <w:bCs/>
        </w:rPr>
      </w:pPr>
      <w:r w:rsidRPr="004E024B">
        <w:rPr>
          <w:rFonts w:ascii="Times New Roman" w:eastAsia="Times New Roman" w:hAnsi="Times New Roman" w:cs="Times New Roman"/>
          <w:b/>
          <w:bCs/>
        </w:rPr>
        <w:t>A tantárgy meghirdetésének gyakorisága/a tantervben történő félévi elhelyezkedése: 5</w:t>
      </w:r>
      <w:r w:rsidRPr="004E024B">
        <w:rPr>
          <w:rFonts w:ascii="Times New Roman" w:eastAsia="Times New Roman" w:hAnsi="Times New Roman" w:cs="Times New Roman"/>
          <w:bCs/>
        </w:rPr>
        <w:t>. félév</w:t>
      </w:r>
    </w:p>
    <w:p w:rsidR="003D7143" w:rsidRPr="004E024B" w:rsidRDefault="003D7143" w:rsidP="00980876">
      <w:pPr>
        <w:widowControl w:val="0"/>
        <w:numPr>
          <w:ilvl w:val="0"/>
          <w:numId w:val="312"/>
        </w:numPr>
        <w:tabs>
          <w:tab w:val="num" w:pos="360"/>
        </w:tabs>
        <w:spacing w:before="120" w:after="120" w:line="240" w:lineRule="auto"/>
        <w:ind w:left="426" w:hanging="142"/>
        <w:jc w:val="both"/>
        <w:rPr>
          <w:rFonts w:ascii="Times New Roman" w:eastAsia="Times New Roman" w:hAnsi="Times New Roman" w:cs="Times New Roman"/>
          <w:bCs/>
        </w:rPr>
      </w:pPr>
      <w:r w:rsidRPr="004E024B">
        <w:rPr>
          <w:rFonts w:ascii="Times New Roman" w:eastAsia="Times New Roman" w:hAnsi="Times New Roman" w:cs="Times New Roman"/>
          <w:b/>
          <w:bCs/>
        </w:rPr>
        <w:t>A tanórákon való részvétel követelményei, az elfogadható hiányzások mértéke, a távolmaradás pótlásának lehetősége:</w:t>
      </w:r>
      <w:r w:rsidRPr="004E024B">
        <w:rPr>
          <w:rFonts w:ascii="Times New Roman" w:eastAsia="Times New Roman" w:hAnsi="Times New Roman" w:cs="Times New Roman"/>
          <w:bCs/>
        </w:rPr>
        <w:t xml:space="preserve"> A hallgatónak a tanórák legalább 70 %-án jelen kell lennie, 30 %-ot meghaladó hiányzás esetén a félév teljesítése nem írható alá. A hallgató köteles az előadás és a gyakorlat anyagát beszerezni, abból önállóan felkészülni. A hiányzás pótolható az oktató által kijelölt témakörben beadott, legalább elégségesre értékelt házidolgozattal.</w:t>
      </w:r>
    </w:p>
    <w:p w:rsidR="003D7143" w:rsidRPr="004E024B" w:rsidRDefault="003D7143" w:rsidP="00980876">
      <w:pPr>
        <w:widowControl w:val="0"/>
        <w:numPr>
          <w:ilvl w:val="0"/>
          <w:numId w:val="312"/>
        </w:numPr>
        <w:tabs>
          <w:tab w:val="num" w:pos="360"/>
        </w:tabs>
        <w:spacing w:before="120" w:after="120" w:line="240" w:lineRule="auto"/>
        <w:ind w:left="426" w:hanging="142"/>
        <w:jc w:val="both"/>
        <w:rPr>
          <w:rFonts w:ascii="Times New Roman" w:eastAsia="Times New Roman" w:hAnsi="Times New Roman" w:cs="Times New Roman"/>
          <w:bCs/>
        </w:rPr>
      </w:pPr>
      <w:r w:rsidRPr="004E024B">
        <w:rPr>
          <w:rFonts w:ascii="Times New Roman" w:eastAsia="Times New Roman" w:hAnsi="Times New Roman" w:cs="Times New Roman"/>
          <w:b/>
        </w:rPr>
        <w:t xml:space="preserve">Félévközi feladatok, ismeretek ellenőrzésének rendje: </w:t>
      </w:r>
      <w:r w:rsidR="007B6A7E" w:rsidRPr="004E024B">
        <w:rPr>
          <w:rFonts w:ascii="Times New Roman" w:eastAsia="Times New Roman" w:hAnsi="Times New Roman" w:cs="Times New Roman"/>
          <w:bCs/>
        </w:rPr>
        <w:t xml:space="preserve">A félév során a hallgató kettő zárthelyi dolgozatot ír. </w:t>
      </w:r>
      <w:r w:rsidR="007B6A7E" w:rsidRPr="004E024B">
        <w:rPr>
          <w:rFonts w:ascii="Times New Roman" w:eastAsia="Times New Roman" w:hAnsi="Times New Roman" w:cs="Times New Roman"/>
          <w:bCs/>
          <w:lang w:eastAsia="hu-HU"/>
        </w:rPr>
        <w:t>Zárthelyi dolgozatok a 12.1-12.1</w:t>
      </w:r>
      <w:r w:rsidR="007B6A7E">
        <w:rPr>
          <w:rFonts w:ascii="Times New Roman" w:eastAsia="Times New Roman" w:hAnsi="Times New Roman" w:cs="Times New Roman"/>
          <w:bCs/>
          <w:lang w:eastAsia="hu-HU"/>
        </w:rPr>
        <w:t>4</w:t>
      </w:r>
      <w:r w:rsidR="007B6A7E" w:rsidRPr="004E024B">
        <w:rPr>
          <w:rFonts w:ascii="Times New Roman" w:eastAsia="Times New Roman" w:hAnsi="Times New Roman" w:cs="Times New Roman"/>
          <w:bCs/>
          <w:lang w:eastAsia="hu-HU"/>
        </w:rPr>
        <w:t xml:space="preserve"> tantárgyrészekből.</w:t>
      </w:r>
      <w:r w:rsidR="007B6A7E" w:rsidRPr="004E024B">
        <w:rPr>
          <w:rFonts w:ascii="Times New Roman" w:eastAsia="Times New Roman" w:hAnsi="Times New Roman" w:cs="Times New Roman"/>
          <w:lang w:eastAsia="hu-HU"/>
        </w:rPr>
        <w:t xml:space="preserve"> </w:t>
      </w:r>
      <w:r w:rsidR="007B6A7E" w:rsidRPr="004E024B">
        <w:rPr>
          <w:rFonts w:ascii="Times New Roman" w:eastAsia="Times New Roman" w:hAnsi="Times New Roman" w:cs="Times New Roman"/>
          <w:bCs/>
          <w:lang w:eastAsia="hu-HU"/>
        </w:rPr>
        <w:t>A zárthelyi dolgozat témáit a kötelező irodalmak anyagából, illetve az előadásokon elhangzott ismeretanyagból kell összeállítani. A zárthelyi dolgozat értékelése ötfokozatú értékelés (a helyes válaszok aránya 0-60% elégtelen; 61-70% elégséges; 71-80% közepes; 81-90% jó; 91-100% jeles osztályzat). Eredménytelen zárthelyi dolgozat kétszer javítható</w:t>
      </w:r>
      <w:r w:rsidR="007B6A7E" w:rsidRPr="000435CA">
        <w:t xml:space="preserve"> </w:t>
      </w:r>
      <w:r w:rsidR="007B6A7E" w:rsidRPr="000435CA">
        <w:rPr>
          <w:rFonts w:ascii="Times New Roman" w:eastAsia="Times New Roman" w:hAnsi="Times New Roman" w:cs="Times New Roman"/>
          <w:bCs/>
          <w:lang w:eastAsia="hu-HU"/>
        </w:rPr>
        <w:t>a szorgalmi időszak végéig az oktatóval egyeztetett időpontokban</w:t>
      </w:r>
      <w:r w:rsidR="007B6A7E" w:rsidRPr="004E024B">
        <w:rPr>
          <w:rFonts w:ascii="Times New Roman" w:eastAsia="Times New Roman" w:hAnsi="Times New Roman" w:cs="Times New Roman"/>
          <w:b/>
          <w:bCs/>
          <w:lang w:eastAsia="hu-HU"/>
        </w:rPr>
        <w:t>.</w:t>
      </w:r>
      <w:r w:rsidR="007B6A7E" w:rsidRPr="004E024B">
        <w:rPr>
          <w:rFonts w:ascii="Times New Roman" w:eastAsia="Times New Roman" w:hAnsi="Times New Roman" w:cs="Times New Roman"/>
          <w:bCs/>
          <w:lang w:eastAsia="hu-HU"/>
        </w:rPr>
        <w:t xml:space="preserve"> A dolgozatban teszt és esszé jellegű kérdések egyaránt szerepelnek.</w:t>
      </w:r>
    </w:p>
    <w:p w:rsidR="003D7143" w:rsidRPr="004E024B" w:rsidRDefault="003D7143" w:rsidP="00980876">
      <w:pPr>
        <w:widowControl w:val="0"/>
        <w:numPr>
          <w:ilvl w:val="0"/>
          <w:numId w:val="312"/>
        </w:numPr>
        <w:spacing w:before="120" w:after="120" w:line="240" w:lineRule="auto"/>
        <w:ind w:left="426" w:hanging="142"/>
        <w:jc w:val="both"/>
        <w:rPr>
          <w:rFonts w:ascii="Times New Roman" w:eastAsia="Times New Roman" w:hAnsi="Times New Roman" w:cs="Times New Roman"/>
          <w:b/>
          <w:bCs/>
        </w:rPr>
      </w:pPr>
      <w:r w:rsidRPr="004E024B">
        <w:rPr>
          <w:rFonts w:ascii="Times New Roman" w:eastAsia="Times New Roman" w:hAnsi="Times New Roman" w:cs="Times New Roman"/>
          <w:b/>
          <w:bCs/>
        </w:rPr>
        <w:t xml:space="preserve">Az értékelés, az aláírás és a kreditek megszerzésének pontos feltételei: </w:t>
      </w:r>
    </w:p>
    <w:p w:rsidR="003D7143" w:rsidRPr="004E024B" w:rsidRDefault="003D7143" w:rsidP="00980876">
      <w:pPr>
        <w:widowControl w:val="0"/>
        <w:numPr>
          <w:ilvl w:val="1"/>
          <w:numId w:val="312"/>
        </w:numPr>
        <w:tabs>
          <w:tab w:val="clear" w:pos="3977"/>
          <w:tab w:val="left" w:pos="709"/>
          <w:tab w:val="left" w:pos="993"/>
        </w:tabs>
        <w:spacing w:before="120" w:after="120" w:line="240" w:lineRule="auto"/>
        <w:ind w:left="426" w:firstLine="0"/>
        <w:jc w:val="both"/>
        <w:rPr>
          <w:rFonts w:ascii="Times New Roman" w:eastAsia="Times New Roman" w:hAnsi="Times New Roman" w:cs="Times New Roman"/>
        </w:rPr>
      </w:pPr>
      <w:r w:rsidRPr="004E024B">
        <w:rPr>
          <w:rFonts w:ascii="Times New Roman" w:eastAsia="Times New Roman" w:hAnsi="Times New Roman" w:cs="Times New Roman"/>
          <w:b/>
        </w:rPr>
        <w:t>Az aláírás megszerzésének feltételei:</w:t>
      </w:r>
      <w:r w:rsidRPr="004E024B">
        <w:rPr>
          <w:rFonts w:ascii="Times New Roman" w:eastAsia="Times New Roman" w:hAnsi="Times New Roman" w:cs="Times New Roman"/>
        </w:rPr>
        <w:t xml:space="preserve"> Az aláírás megszerzésének feltétele a 14. pontban meghatározott arányú részvétel a foglalkozásokon és a 15. pontban meghatározott félévközi feladatok legalább elégséges teljesítése.</w:t>
      </w:r>
    </w:p>
    <w:p w:rsidR="003D7143" w:rsidRPr="004E024B" w:rsidRDefault="003D7143" w:rsidP="00980876">
      <w:pPr>
        <w:widowControl w:val="0"/>
        <w:numPr>
          <w:ilvl w:val="1"/>
          <w:numId w:val="312"/>
        </w:numPr>
        <w:tabs>
          <w:tab w:val="clear" w:pos="3977"/>
          <w:tab w:val="left" w:pos="709"/>
          <w:tab w:val="left" w:pos="993"/>
        </w:tabs>
        <w:spacing w:before="120" w:after="120" w:line="240" w:lineRule="auto"/>
        <w:ind w:left="426" w:firstLine="0"/>
        <w:jc w:val="both"/>
        <w:rPr>
          <w:rFonts w:ascii="Times New Roman" w:eastAsia="Times New Roman" w:hAnsi="Times New Roman" w:cs="Times New Roman"/>
        </w:rPr>
      </w:pPr>
      <w:r w:rsidRPr="004E024B">
        <w:rPr>
          <w:rFonts w:ascii="Times New Roman" w:eastAsia="Times New Roman" w:hAnsi="Times New Roman" w:cs="Times New Roman"/>
          <w:b/>
        </w:rPr>
        <w:t>Az értékelés:</w:t>
      </w:r>
      <w:r w:rsidRPr="004E024B">
        <w:rPr>
          <w:rFonts w:ascii="Times New Roman" w:eastAsia="Times New Roman" w:hAnsi="Times New Roman" w:cs="Times New Roman"/>
        </w:rPr>
        <w:t xml:space="preserve"> </w:t>
      </w:r>
      <w:r w:rsidRPr="004E024B">
        <w:rPr>
          <w:rFonts w:ascii="Times New Roman" w:hAnsi="Times New Roman" w:cs="Times New Roman"/>
        </w:rPr>
        <w:t>szóbeli</w:t>
      </w:r>
      <w:r w:rsidRPr="004E024B">
        <w:rPr>
          <w:rFonts w:ascii="Times New Roman" w:hAnsi="Times New Roman" w:cs="Times New Roman"/>
          <w:b/>
        </w:rPr>
        <w:t xml:space="preserve"> </w:t>
      </w:r>
      <w:r w:rsidRPr="004E024B">
        <w:rPr>
          <w:rFonts w:ascii="Times New Roman" w:hAnsi="Times New Roman" w:cs="Times New Roman"/>
        </w:rPr>
        <w:t>kollokvium, ötfokozatú értékelés. Vizsgakövetelmény a tematikában megadott tárgykörök, témák, illetve a kötelező és az ajánlott irodalom ismerete.</w:t>
      </w:r>
    </w:p>
    <w:p w:rsidR="003D7143" w:rsidRDefault="003D7143" w:rsidP="00980876">
      <w:pPr>
        <w:widowControl w:val="0"/>
        <w:numPr>
          <w:ilvl w:val="1"/>
          <w:numId w:val="312"/>
        </w:numPr>
        <w:tabs>
          <w:tab w:val="clear" w:pos="3977"/>
          <w:tab w:val="left" w:pos="709"/>
          <w:tab w:val="left" w:pos="993"/>
        </w:tabs>
        <w:spacing w:before="120" w:after="120" w:line="240" w:lineRule="auto"/>
        <w:ind w:left="426" w:firstLine="0"/>
        <w:jc w:val="both"/>
        <w:rPr>
          <w:rFonts w:ascii="Times New Roman" w:eastAsia="Times New Roman" w:hAnsi="Times New Roman" w:cs="Times New Roman"/>
        </w:rPr>
      </w:pPr>
      <w:r w:rsidRPr="004E024B">
        <w:rPr>
          <w:rFonts w:ascii="Times New Roman" w:eastAsia="Times New Roman" w:hAnsi="Times New Roman" w:cs="Times New Roman"/>
          <w:b/>
        </w:rPr>
        <w:t>A kreditek megszerzésének feltételei:</w:t>
      </w:r>
      <w:r w:rsidRPr="004E024B">
        <w:rPr>
          <w:rFonts w:ascii="Times New Roman" w:eastAsia="Times New Roman" w:hAnsi="Times New Roman" w:cs="Times New Roman"/>
        </w:rPr>
        <w:t xml:space="preserve"> az aláírás megszerzése és legalább elégséges</w:t>
      </w:r>
      <w:r w:rsidRPr="004E024B">
        <w:rPr>
          <w:rFonts w:ascii="Times New Roman" w:eastAsia="Times New Roman" w:hAnsi="Times New Roman" w:cs="Times New Roman"/>
          <w:b/>
        </w:rPr>
        <w:t xml:space="preserve"> </w:t>
      </w:r>
      <w:r w:rsidRPr="004E024B">
        <w:rPr>
          <w:rFonts w:ascii="Times New Roman" w:eastAsia="Times New Roman" w:hAnsi="Times New Roman" w:cs="Times New Roman"/>
        </w:rPr>
        <w:t>szóbeli kollokvium jegy.</w:t>
      </w:r>
    </w:p>
    <w:p w:rsidR="003D7143" w:rsidRPr="004E024B" w:rsidRDefault="003D7143" w:rsidP="00980876">
      <w:pPr>
        <w:widowControl w:val="0"/>
        <w:numPr>
          <w:ilvl w:val="0"/>
          <w:numId w:val="312"/>
        </w:numPr>
        <w:tabs>
          <w:tab w:val="num" w:pos="360"/>
        </w:tabs>
        <w:spacing w:before="120" w:after="120" w:line="240" w:lineRule="auto"/>
        <w:ind w:left="426" w:hanging="142"/>
        <w:jc w:val="both"/>
        <w:rPr>
          <w:rFonts w:ascii="Times New Roman" w:eastAsia="Times New Roman" w:hAnsi="Times New Roman" w:cs="Times New Roman"/>
          <w:bCs/>
        </w:rPr>
      </w:pPr>
      <w:r w:rsidRPr="004E024B">
        <w:rPr>
          <w:rFonts w:ascii="Times New Roman" w:eastAsia="Times New Roman" w:hAnsi="Times New Roman" w:cs="Times New Roman"/>
          <w:b/>
          <w:bCs/>
        </w:rPr>
        <w:t>Irodalomjegyzék:</w:t>
      </w:r>
    </w:p>
    <w:p w:rsidR="003D7143" w:rsidRPr="004E024B" w:rsidRDefault="003D7143" w:rsidP="00980876">
      <w:pPr>
        <w:widowControl w:val="0"/>
        <w:numPr>
          <w:ilvl w:val="1"/>
          <w:numId w:val="312"/>
        </w:numPr>
        <w:tabs>
          <w:tab w:val="clear" w:pos="3977"/>
          <w:tab w:val="left" w:pos="567"/>
          <w:tab w:val="left" w:pos="851"/>
        </w:tabs>
        <w:spacing w:before="120" w:after="120" w:line="240" w:lineRule="auto"/>
        <w:ind w:left="426" w:hanging="142"/>
        <w:jc w:val="both"/>
        <w:rPr>
          <w:rFonts w:ascii="Times New Roman" w:eastAsia="Times New Roman" w:hAnsi="Times New Roman" w:cs="Times New Roman"/>
          <w:bCs/>
        </w:rPr>
      </w:pPr>
      <w:r w:rsidRPr="004E024B">
        <w:rPr>
          <w:rFonts w:ascii="Times New Roman" w:eastAsia="Times New Roman" w:hAnsi="Times New Roman" w:cs="Times New Roman"/>
          <w:b/>
          <w:bCs/>
        </w:rPr>
        <w:t>Kötelező irodalom:</w:t>
      </w:r>
    </w:p>
    <w:p w:rsidR="003D7143" w:rsidRPr="00B861BD" w:rsidRDefault="003D7143" w:rsidP="00980876">
      <w:pPr>
        <w:numPr>
          <w:ilvl w:val="0"/>
          <w:numId w:val="313"/>
        </w:numPr>
        <w:tabs>
          <w:tab w:val="clear" w:pos="644"/>
        </w:tabs>
        <w:spacing w:after="0" w:line="240" w:lineRule="auto"/>
        <w:ind w:left="993"/>
        <w:jc w:val="both"/>
        <w:rPr>
          <w:rFonts w:ascii="Times New Roman" w:hAnsi="Times New Roman" w:cs="Times New Roman"/>
          <w:bCs/>
        </w:rPr>
      </w:pPr>
      <w:r w:rsidRPr="00B861BD">
        <w:rPr>
          <w:rFonts w:ascii="Times New Roman" w:hAnsi="Times New Roman" w:cs="Times New Roman"/>
        </w:rPr>
        <w:t>Sitkei</w:t>
      </w:r>
      <w:r w:rsidR="00B861BD">
        <w:rPr>
          <w:rFonts w:ascii="Times New Roman" w:hAnsi="Times New Roman" w:cs="Times New Roman"/>
        </w:rPr>
        <w:t xml:space="preserve"> György: Gyakorlati áramlástan</w:t>
      </w:r>
      <w:r w:rsidRPr="00B861BD">
        <w:rPr>
          <w:rFonts w:ascii="Times New Roman" w:hAnsi="Times New Roman" w:cs="Times New Roman"/>
        </w:rPr>
        <w:t xml:space="preserve"> Szaktudás Kiadó Ház Rt., Budapest, 1997. ISBN: 9789633562139 Lajo</w:t>
      </w:r>
      <w:r w:rsidR="00B861BD">
        <w:rPr>
          <w:rFonts w:ascii="Times New Roman" w:hAnsi="Times New Roman" w:cs="Times New Roman"/>
        </w:rPr>
        <w:t>s Tamás: Az áramlástan alapjai</w:t>
      </w:r>
      <w:r w:rsidRPr="00B861BD">
        <w:rPr>
          <w:rFonts w:ascii="Times New Roman" w:hAnsi="Times New Roman" w:cs="Times New Roman"/>
        </w:rPr>
        <w:t xml:space="preserve"> ELTE Eötvös kiadó, Budapest, 2008. ISBN: </w:t>
      </w:r>
      <w:r w:rsidR="00B861BD">
        <w:rPr>
          <w:rFonts w:ascii="Times New Roman" w:hAnsi="Times New Roman" w:cs="Times New Roman"/>
          <w:bCs/>
        </w:rPr>
        <w:t xml:space="preserve">9789630663823 </w:t>
      </w:r>
    </w:p>
    <w:p w:rsidR="003D7143" w:rsidRPr="004E024B" w:rsidRDefault="003D7143" w:rsidP="00980876">
      <w:pPr>
        <w:numPr>
          <w:ilvl w:val="0"/>
          <w:numId w:val="313"/>
        </w:numPr>
        <w:tabs>
          <w:tab w:val="clear" w:pos="644"/>
        </w:tabs>
        <w:spacing w:after="0" w:line="240" w:lineRule="auto"/>
        <w:ind w:left="993"/>
        <w:jc w:val="both"/>
        <w:rPr>
          <w:rFonts w:ascii="Times New Roman" w:hAnsi="Times New Roman" w:cs="Times New Roman"/>
          <w:bCs/>
        </w:rPr>
      </w:pPr>
      <w:r w:rsidRPr="004E024B">
        <w:rPr>
          <w:rFonts w:ascii="Times New Roman" w:hAnsi="Times New Roman" w:cs="Times New Roman"/>
          <w:bCs/>
        </w:rPr>
        <w:t>Bálint András: Műszaki áramlástan [Technical hydrodynamics] Veszprémi egyetemi kiadó (egyetemi jegyzet), Veszprém, 2009.</w:t>
      </w:r>
    </w:p>
    <w:p w:rsidR="003D7143" w:rsidRPr="004E024B" w:rsidRDefault="003D7143" w:rsidP="00980876">
      <w:pPr>
        <w:widowControl w:val="0"/>
        <w:numPr>
          <w:ilvl w:val="1"/>
          <w:numId w:val="312"/>
        </w:numPr>
        <w:tabs>
          <w:tab w:val="clear" w:pos="3977"/>
          <w:tab w:val="num" w:pos="2069"/>
        </w:tabs>
        <w:spacing w:before="120" w:after="120" w:line="240" w:lineRule="auto"/>
        <w:ind w:left="993" w:hanging="709"/>
        <w:jc w:val="both"/>
        <w:rPr>
          <w:rFonts w:ascii="Times New Roman" w:eastAsia="Times New Roman" w:hAnsi="Times New Roman" w:cs="Times New Roman"/>
          <w:b/>
          <w:bCs/>
        </w:rPr>
      </w:pPr>
      <w:r w:rsidRPr="004E024B">
        <w:rPr>
          <w:rFonts w:ascii="Times New Roman" w:eastAsia="Times New Roman" w:hAnsi="Times New Roman" w:cs="Times New Roman"/>
          <w:b/>
          <w:bCs/>
        </w:rPr>
        <w:t>Ajánlott irodalom:</w:t>
      </w:r>
    </w:p>
    <w:p w:rsidR="003D7143" w:rsidRPr="004E024B" w:rsidRDefault="003D7143" w:rsidP="00980876">
      <w:pPr>
        <w:numPr>
          <w:ilvl w:val="0"/>
          <w:numId w:val="314"/>
        </w:numPr>
        <w:tabs>
          <w:tab w:val="clear" w:pos="644"/>
        </w:tabs>
        <w:spacing w:after="0" w:line="240" w:lineRule="auto"/>
        <w:ind w:left="993"/>
        <w:jc w:val="both"/>
        <w:rPr>
          <w:rFonts w:ascii="Times New Roman" w:hAnsi="Times New Roman" w:cs="Times New Roman"/>
        </w:rPr>
      </w:pPr>
      <w:r w:rsidRPr="004E024B">
        <w:rPr>
          <w:rFonts w:ascii="Times New Roman" w:hAnsi="Times New Roman" w:cs="Times New Roman"/>
        </w:rPr>
        <w:t>Demény András: Fizika 1 – klassz</w:t>
      </w:r>
      <w:r w:rsidR="00B861BD">
        <w:rPr>
          <w:rFonts w:ascii="Times New Roman" w:hAnsi="Times New Roman" w:cs="Times New Roman"/>
        </w:rPr>
        <w:t>ikus mechanika (hidrosztatika)</w:t>
      </w:r>
      <w:r w:rsidRPr="004E024B">
        <w:rPr>
          <w:rFonts w:ascii="Times New Roman" w:hAnsi="Times New Roman" w:cs="Times New Roman"/>
        </w:rPr>
        <w:t xml:space="preserve"> Nemzeti Tankönyvkiadó, Budape</w:t>
      </w:r>
      <w:r w:rsidR="00B861BD">
        <w:rPr>
          <w:rFonts w:ascii="Times New Roman" w:hAnsi="Times New Roman" w:cs="Times New Roman"/>
        </w:rPr>
        <w:t xml:space="preserve">st, 2005. ISBN: 963195577X </w:t>
      </w:r>
    </w:p>
    <w:p w:rsidR="003D7143" w:rsidRPr="00B861BD" w:rsidRDefault="003D7143" w:rsidP="00980876">
      <w:pPr>
        <w:numPr>
          <w:ilvl w:val="0"/>
          <w:numId w:val="314"/>
        </w:numPr>
        <w:tabs>
          <w:tab w:val="clear" w:pos="644"/>
        </w:tabs>
        <w:spacing w:after="0" w:line="240" w:lineRule="auto"/>
        <w:ind w:left="993"/>
        <w:jc w:val="both"/>
        <w:rPr>
          <w:rFonts w:ascii="Times New Roman" w:hAnsi="Times New Roman" w:cs="Times New Roman"/>
        </w:rPr>
      </w:pPr>
      <w:r w:rsidRPr="004E024B">
        <w:rPr>
          <w:rFonts w:ascii="Times New Roman" w:hAnsi="Times New Roman" w:cs="Times New Roman"/>
        </w:rPr>
        <w:lastRenderedPageBreak/>
        <w:t>Szliv</w:t>
      </w:r>
      <w:r w:rsidR="00B861BD">
        <w:rPr>
          <w:rFonts w:ascii="Times New Roman" w:hAnsi="Times New Roman" w:cs="Times New Roman"/>
        </w:rPr>
        <w:t>ka Ferenc: Áramlástan példatár</w:t>
      </w:r>
      <w:r w:rsidRPr="004E024B">
        <w:rPr>
          <w:rFonts w:ascii="Times New Roman" w:hAnsi="Times New Roman" w:cs="Times New Roman"/>
        </w:rPr>
        <w:t xml:space="preserve"> Műegyetemi kiadó, Budapest, 1998. (in Hungarian)</w:t>
      </w:r>
    </w:p>
    <w:p w:rsidR="003D7143" w:rsidRPr="004E024B" w:rsidRDefault="003D7143" w:rsidP="00980876">
      <w:pPr>
        <w:numPr>
          <w:ilvl w:val="0"/>
          <w:numId w:val="314"/>
        </w:numPr>
        <w:tabs>
          <w:tab w:val="clear" w:pos="644"/>
        </w:tabs>
        <w:spacing w:after="0" w:line="240" w:lineRule="auto"/>
        <w:ind w:left="993"/>
        <w:jc w:val="both"/>
        <w:rPr>
          <w:rFonts w:ascii="Times New Roman" w:eastAsia="Times New Roman" w:hAnsi="Times New Roman" w:cs="Times New Roman"/>
          <w:bCs/>
        </w:rPr>
      </w:pPr>
      <w:r w:rsidRPr="004E024B">
        <w:rPr>
          <w:rFonts w:ascii="Times New Roman" w:hAnsi="Times New Roman" w:cs="Times New Roman"/>
        </w:rPr>
        <w:t>Szabó Imre: Áramlástan, műszaki hőtan,</w:t>
      </w:r>
      <w:r w:rsidR="00B861BD">
        <w:rPr>
          <w:rFonts w:ascii="Times New Roman" w:hAnsi="Times New Roman" w:cs="Times New Roman"/>
        </w:rPr>
        <w:t xml:space="preserve"> műszer és szabályozástechnika </w:t>
      </w:r>
      <w:r w:rsidRPr="004E024B">
        <w:rPr>
          <w:rFonts w:ascii="Times New Roman" w:hAnsi="Times New Roman" w:cs="Times New Roman"/>
        </w:rPr>
        <w:t>Tankönyvkiadó vállalat</w:t>
      </w:r>
      <w:r w:rsidR="00B861BD">
        <w:rPr>
          <w:rFonts w:ascii="Times New Roman" w:hAnsi="Times New Roman" w:cs="Times New Roman"/>
        </w:rPr>
        <w:t xml:space="preserve">, Budapest, 1992. </w:t>
      </w:r>
    </w:p>
    <w:p w:rsidR="003D7143" w:rsidRPr="004E024B" w:rsidRDefault="003D7143" w:rsidP="003D7143">
      <w:pPr>
        <w:widowControl w:val="0"/>
        <w:spacing w:after="0" w:line="240" w:lineRule="auto"/>
        <w:ind w:left="993"/>
        <w:jc w:val="both"/>
        <w:rPr>
          <w:rFonts w:ascii="Times New Roman" w:eastAsia="Times New Roman" w:hAnsi="Times New Roman" w:cs="Times New Roman"/>
          <w:bCs/>
        </w:rPr>
      </w:pPr>
    </w:p>
    <w:p w:rsidR="003D7143" w:rsidRPr="004E024B" w:rsidRDefault="003D7143" w:rsidP="003D7143">
      <w:pPr>
        <w:widowControl w:val="0"/>
        <w:spacing w:before="120" w:after="120" w:line="240" w:lineRule="auto"/>
        <w:jc w:val="both"/>
        <w:rPr>
          <w:rFonts w:ascii="Times New Roman" w:eastAsia="Times New Roman" w:hAnsi="Times New Roman" w:cs="Times New Roman"/>
          <w:bCs/>
        </w:rPr>
      </w:pPr>
      <w:r w:rsidRPr="004E024B">
        <w:rPr>
          <w:rFonts w:ascii="Times New Roman" w:eastAsia="Times New Roman" w:hAnsi="Times New Roman" w:cs="Times New Roman"/>
          <w:bCs/>
        </w:rPr>
        <w:t xml:space="preserve">Budapest, 2020. </w:t>
      </w:r>
      <w:r>
        <w:rPr>
          <w:rFonts w:ascii="Times New Roman" w:eastAsia="Times New Roman" w:hAnsi="Times New Roman" w:cs="Times New Roman"/>
          <w:bCs/>
        </w:rPr>
        <w:t>március 9</w:t>
      </w:r>
      <w:r w:rsidRPr="004E024B">
        <w:rPr>
          <w:rFonts w:ascii="Times New Roman" w:eastAsia="Times New Roman" w:hAnsi="Times New Roman" w:cs="Times New Roman"/>
          <w:bCs/>
        </w:rPr>
        <w:t>.</w:t>
      </w:r>
    </w:p>
    <w:p w:rsidR="003D7143" w:rsidRPr="00B861BD" w:rsidRDefault="003D7143" w:rsidP="003D7143">
      <w:pPr>
        <w:widowControl w:val="0"/>
        <w:spacing w:after="0" w:line="240" w:lineRule="auto"/>
        <w:jc w:val="right"/>
        <w:rPr>
          <w:rFonts w:ascii="Times New Roman" w:eastAsia="Times New Roman" w:hAnsi="Times New Roman" w:cs="Times New Roman"/>
          <w:b/>
          <w:bCs/>
        </w:rPr>
      </w:pPr>
      <w:r w:rsidRPr="00B861BD">
        <w:rPr>
          <w:rFonts w:ascii="Times New Roman" w:eastAsia="Times New Roman" w:hAnsi="Times New Roman" w:cs="Times New Roman"/>
          <w:b/>
          <w:bCs/>
        </w:rPr>
        <w:t>Dr. Hegedűs Ernő PhD</w:t>
      </w:r>
    </w:p>
    <w:p w:rsidR="003D7143" w:rsidRPr="004E024B" w:rsidRDefault="003D7143" w:rsidP="003D7143">
      <w:pPr>
        <w:widowControl w:val="0"/>
        <w:spacing w:after="0" w:line="240" w:lineRule="auto"/>
        <w:jc w:val="right"/>
        <w:rPr>
          <w:rFonts w:ascii="Times New Roman" w:eastAsia="Times New Roman" w:hAnsi="Times New Roman" w:cs="Times New Roman"/>
          <w:bCs/>
        </w:rPr>
      </w:pPr>
      <w:r w:rsidRPr="004E024B">
        <w:rPr>
          <w:rFonts w:ascii="Times New Roman" w:eastAsia="Times New Roman" w:hAnsi="Times New Roman" w:cs="Times New Roman"/>
          <w:bCs/>
        </w:rPr>
        <w:t>egyetemi tanársegéd</w:t>
      </w:r>
    </w:p>
    <w:p w:rsidR="003D7143" w:rsidRPr="004E024B" w:rsidRDefault="003D7143" w:rsidP="003D7143">
      <w:pPr>
        <w:widowControl w:val="0"/>
        <w:spacing w:after="0" w:line="240" w:lineRule="auto"/>
        <w:jc w:val="right"/>
        <w:rPr>
          <w:rFonts w:ascii="Times New Roman" w:hAnsi="Times New Roman" w:cs="Times New Roman"/>
        </w:rPr>
      </w:pPr>
      <w:r w:rsidRPr="004E024B">
        <w:rPr>
          <w:rFonts w:ascii="Times New Roman" w:eastAsia="Times New Roman" w:hAnsi="Times New Roman" w:cs="Times New Roman"/>
          <w:bCs/>
        </w:rPr>
        <w:t>tantárgyfelelős, sk.</w:t>
      </w:r>
    </w:p>
    <w:p w:rsidR="00FF115C" w:rsidRDefault="00FF115C">
      <w:pPr>
        <w:spacing w:after="200" w:line="276" w:lineRule="auto"/>
        <w:rPr>
          <w:rFonts w:ascii="Times New Roman" w:hAnsi="Times New Roman" w:cs="Times New Roman"/>
          <w:sz w:val="24"/>
        </w:rPr>
      </w:pPr>
      <w:r>
        <w:rPr>
          <w:rFonts w:ascii="Times New Roman" w:hAnsi="Times New Roman" w:cs="Times New Roman"/>
          <w:sz w:val="24"/>
        </w:rPr>
        <w:br w:type="page"/>
      </w:r>
    </w:p>
    <w:tbl>
      <w:tblPr>
        <w:tblW w:w="9072" w:type="dxa"/>
        <w:tblInd w:w="113" w:type="dxa"/>
        <w:tblLook w:val="01E0" w:firstRow="1" w:lastRow="1" w:firstColumn="1" w:lastColumn="1" w:noHBand="0" w:noVBand="0"/>
      </w:tblPr>
      <w:tblGrid>
        <w:gridCol w:w="4855"/>
        <w:gridCol w:w="1620"/>
        <w:gridCol w:w="2597"/>
      </w:tblGrid>
      <w:tr w:rsidR="00FF115C" w:rsidRPr="00FF115C" w:rsidTr="007B6B4B">
        <w:tc>
          <w:tcPr>
            <w:tcW w:w="4855" w:type="dxa"/>
            <w:tcBorders>
              <w:bottom w:val="single" w:sz="4" w:space="0" w:color="auto"/>
            </w:tcBorders>
          </w:tcPr>
          <w:p w:rsidR="00FF115C" w:rsidRPr="00FF115C" w:rsidRDefault="00FF115C" w:rsidP="007B6B4B">
            <w:pPr>
              <w:spacing w:after="0" w:line="240" w:lineRule="auto"/>
              <w:jc w:val="center"/>
              <w:rPr>
                <w:rFonts w:ascii="Times New Roman" w:eastAsia="Times New Roman" w:hAnsi="Times New Roman" w:cs="Times New Roman"/>
                <w:b/>
                <w:smallCaps/>
                <w:lang w:eastAsia="hu-HU"/>
              </w:rPr>
            </w:pPr>
            <w:r w:rsidRPr="00FF115C">
              <w:rPr>
                <w:rFonts w:ascii="Times New Roman" w:eastAsia="Times New Roman" w:hAnsi="Times New Roman" w:cs="Times New Roman"/>
                <w:b/>
                <w:smallCaps/>
                <w:lang w:eastAsia="hu-HU"/>
              </w:rPr>
              <w:lastRenderedPageBreak/>
              <w:t>Nemzeti Közszolgálati Egyetem</w:t>
            </w:r>
          </w:p>
        </w:tc>
        <w:tc>
          <w:tcPr>
            <w:tcW w:w="1620" w:type="dxa"/>
          </w:tcPr>
          <w:p w:rsidR="00FF115C" w:rsidRPr="00FF115C" w:rsidRDefault="00FF115C" w:rsidP="007B6B4B">
            <w:pPr>
              <w:spacing w:after="0" w:line="240" w:lineRule="auto"/>
              <w:jc w:val="both"/>
              <w:rPr>
                <w:rFonts w:ascii="Times New Roman" w:eastAsia="Times New Roman" w:hAnsi="Times New Roman" w:cs="Times New Roman"/>
                <w:lang w:eastAsia="hu-HU"/>
              </w:rPr>
            </w:pPr>
          </w:p>
        </w:tc>
        <w:tc>
          <w:tcPr>
            <w:tcW w:w="2597" w:type="dxa"/>
          </w:tcPr>
          <w:p w:rsidR="00FF115C" w:rsidRPr="00FF115C" w:rsidRDefault="00FF115C" w:rsidP="007B6B4B">
            <w:pPr>
              <w:spacing w:after="0" w:line="240" w:lineRule="auto"/>
              <w:jc w:val="right"/>
              <w:rPr>
                <w:rFonts w:ascii="Times New Roman" w:eastAsia="Times New Roman" w:hAnsi="Times New Roman" w:cs="Times New Roman"/>
                <w:lang w:eastAsia="hu-HU"/>
              </w:rPr>
            </w:pPr>
          </w:p>
        </w:tc>
      </w:tr>
      <w:tr w:rsidR="00FF115C" w:rsidRPr="00FF115C" w:rsidTr="007B6B4B">
        <w:tc>
          <w:tcPr>
            <w:tcW w:w="4855" w:type="dxa"/>
            <w:tcBorders>
              <w:top w:val="single" w:sz="4" w:space="0" w:color="auto"/>
            </w:tcBorders>
          </w:tcPr>
          <w:p w:rsidR="00FF115C" w:rsidRPr="00FF115C" w:rsidRDefault="00FF115C" w:rsidP="007B6B4B">
            <w:pPr>
              <w:spacing w:after="0" w:line="240" w:lineRule="auto"/>
              <w:jc w:val="center"/>
              <w:rPr>
                <w:rFonts w:ascii="Times New Roman" w:eastAsia="Times New Roman" w:hAnsi="Times New Roman" w:cs="Times New Roman"/>
                <w:b/>
                <w:lang w:eastAsia="hu-HU"/>
              </w:rPr>
            </w:pPr>
            <w:r w:rsidRPr="00FF115C">
              <w:rPr>
                <w:rFonts w:ascii="Times New Roman" w:eastAsia="Times New Roman" w:hAnsi="Times New Roman" w:cs="Times New Roman"/>
                <w:b/>
                <w:lang w:eastAsia="hu-HU"/>
              </w:rPr>
              <w:t>Hadtudományi és Honvédtisztképző Kar</w:t>
            </w:r>
          </w:p>
        </w:tc>
        <w:tc>
          <w:tcPr>
            <w:tcW w:w="1620" w:type="dxa"/>
          </w:tcPr>
          <w:p w:rsidR="00FF115C" w:rsidRPr="00FF115C" w:rsidRDefault="00FF115C" w:rsidP="007B6B4B">
            <w:pPr>
              <w:spacing w:after="0" w:line="240" w:lineRule="auto"/>
              <w:jc w:val="both"/>
              <w:rPr>
                <w:rFonts w:ascii="Times New Roman" w:eastAsia="Times New Roman" w:hAnsi="Times New Roman" w:cs="Times New Roman"/>
                <w:lang w:eastAsia="hu-HU"/>
              </w:rPr>
            </w:pPr>
          </w:p>
        </w:tc>
        <w:tc>
          <w:tcPr>
            <w:tcW w:w="2597" w:type="dxa"/>
          </w:tcPr>
          <w:p w:rsidR="00FF115C" w:rsidRPr="00FF115C" w:rsidRDefault="00FF115C" w:rsidP="007B6B4B">
            <w:pPr>
              <w:spacing w:after="0" w:line="240" w:lineRule="auto"/>
              <w:jc w:val="both"/>
              <w:rPr>
                <w:rFonts w:ascii="Times New Roman" w:eastAsia="Times New Roman" w:hAnsi="Times New Roman" w:cs="Times New Roman"/>
                <w:lang w:eastAsia="hu-HU"/>
              </w:rPr>
            </w:pPr>
          </w:p>
        </w:tc>
      </w:tr>
    </w:tbl>
    <w:p w:rsidR="00FF115C" w:rsidRPr="00FF115C" w:rsidRDefault="00FF115C" w:rsidP="00FF115C">
      <w:pPr>
        <w:widowControl w:val="0"/>
        <w:spacing w:before="120" w:after="120" w:line="240" w:lineRule="auto"/>
        <w:ind w:left="426" w:hanging="142"/>
        <w:jc w:val="center"/>
        <w:rPr>
          <w:rFonts w:ascii="Times New Roman" w:eastAsia="Times New Roman" w:hAnsi="Times New Roman" w:cs="Times New Roman"/>
          <w:b/>
          <w:bCs/>
        </w:rPr>
      </w:pPr>
    </w:p>
    <w:p w:rsidR="00FF115C" w:rsidRPr="00FF115C" w:rsidRDefault="00FF115C" w:rsidP="00FF115C">
      <w:pPr>
        <w:widowControl w:val="0"/>
        <w:spacing w:before="120" w:after="120" w:line="240" w:lineRule="auto"/>
        <w:ind w:left="426" w:hanging="142"/>
        <w:jc w:val="center"/>
        <w:rPr>
          <w:rFonts w:ascii="Times New Roman" w:eastAsia="Times New Roman" w:hAnsi="Times New Roman" w:cs="Times New Roman"/>
          <w:b/>
          <w:bCs/>
        </w:rPr>
      </w:pPr>
      <w:r w:rsidRPr="00FF115C">
        <w:rPr>
          <w:rFonts w:ascii="Times New Roman" w:eastAsia="Times New Roman" w:hAnsi="Times New Roman" w:cs="Times New Roman"/>
          <w:b/>
          <w:bCs/>
        </w:rPr>
        <w:t>TANTÁRGYI PROGRAM</w:t>
      </w:r>
    </w:p>
    <w:p w:rsidR="00FF115C" w:rsidRPr="00FF115C" w:rsidRDefault="00FF115C" w:rsidP="00980876">
      <w:pPr>
        <w:widowControl w:val="0"/>
        <w:numPr>
          <w:ilvl w:val="0"/>
          <w:numId w:val="317"/>
        </w:numPr>
        <w:tabs>
          <w:tab w:val="num" w:pos="567"/>
        </w:tabs>
        <w:spacing w:before="120" w:after="120" w:line="240" w:lineRule="auto"/>
        <w:ind w:left="426" w:hanging="142"/>
        <w:jc w:val="both"/>
        <w:rPr>
          <w:rFonts w:ascii="Times New Roman" w:eastAsia="Times New Roman" w:hAnsi="Times New Roman" w:cs="Times New Roman"/>
          <w:bCs/>
        </w:rPr>
      </w:pPr>
      <w:r w:rsidRPr="00FF115C">
        <w:rPr>
          <w:rFonts w:ascii="Times New Roman" w:eastAsia="Times New Roman" w:hAnsi="Times New Roman" w:cs="Times New Roman"/>
          <w:b/>
          <w:bCs/>
        </w:rPr>
        <w:t xml:space="preserve">A tantárgy kódja: </w:t>
      </w:r>
      <w:r w:rsidRPr="00FF115C">
        <w:rPr>
          <w:rFonts w:ascii="Times New Roman" w:hAnsi="Times New Roman" w:cs="Times New Roman"/>
        </w:rPr>
        <w:t>HKHDTA06</w:t>
      </w:r>
    </w:p>
    <w:p w:rsidR="00FF115C" w:rsidRPr="00FF115C" w:rsidRDefault="00FF115C" w:rsidP="00980876">
      <w:pPr>
        <w:widowControl w:val="0"/>
        <w:numPr>
          <w:ilvl w:val="0"/>
          <w:numId w:val="317"/>
        </w:numPr>
        <w:tabs>
          <w:tab w:val="num" w:pos="567"/>
        </w:tabs>
        <w:spacing w:before="120" w:after="120" w:line="240" w:lineRule="auto"/>
        <w:ind w:left="426" w:hanging="142"/>
        <w:jc w:val="both"/>
        <w:rPr>
          <w:rFonts w:ascii="Times New Roman" w:eastAsia="Times New Roman" w:hAnsi="Times New Roman" w:cs="Times New Roman"/>
          <w:b/>
          <w:bCs/>
          <w:lang w:val="en-GB"/>
        </w:rPr>
      </w:pPr>
      <w:r w:rsidRPr="00FF115C">
        <w:rPr>
          <w:rFonts w:ascii="Times New Roman" w:eastAsia="Times New Roman" w:hAnsi="Times New Roman" w:cs="Times New Roman"/>
          <w:b/>
          <w:bCs/>
        </w:rPr>
        <w:t>A tantárgy megnevezése (magyarul):</w:t>
      </w:r>
      <w:r w:rsidRPr="00FF115C">
        <w:rPr>
          <w:rFonts w:ascii="Times New Roman" w:eastAsia="Times New Roman" w:hAnsi="Times New Roman" w:cs="Times New Roman"/>
          <w:bCs/>
        </w:rPr>
        <w:t xml:space="preserve"> Matematika HT</w:t>
      </w:r>
    </w:p>
    <w:p w:rsidR="00FF115C" w:rsidRPr="00FF115C" w:rsidRDefault="00FF115C" w:rsidP="00980876">
      <w:pPr>
        <w:widowControl w:val="0"/>
        <w:numPr>
          <w:ilvl w:val="0"/>
          <w:numId w:val="317"/>
        </w:numPr>
        <w:tabs>
          <w:tab w:val="num" w:pos="567"/>
        </w:tabs>
        <w:spacing w:before="120" w:after="120" w:line="240" w:lineRule="auto"/>
        <w:ind w:left="426" w:hanging="142"/>
        <w:jc w:val="both"/>
        <w:rPr>
          <w:rFonts w:ascii="Times New Roman" w:eastAsia="Times New Roman" w:hAnsi="Times New Roman" w:cs="Times New Roman"/>
          <w:b/>
          <w:bCs/>
          <w:lang w:val="en-GB"/>
        </w:rPr>
      </w:pPr>
      <w:r w:rsidRPr="00FF115C">
        <w:rPr>
          <w:rFonts w:ascii="Times New Roman" w:eastAsia="Times New Roman" w:hAnsi="Times New Roman" w:cs="Times New Roman"/>
          <w:b/>
          <w:bCs/>
        </w:rPr>
        <w:t xml:space="preserve">A tantárgy megnevezése (angolul): </w:t>
      </w:r>
      <w:r w:rsidRPr="00FF115C">
        <w:rPr>
          <w:rFonts w:ascii="Times New Roman" w:hAnsi="Times New Roman" w:cs="Times New Roman"/>
          <w:lang w:val="en-GB"/>
        </w:rPr>
        <w:t>Mathematics MT</w:t>
      </w:r>
    </w:p>
    <w:p w:rsidR="00FF115C" w:rsidRPr="00FF115C" w:rsidRDefault="00FF115C" w:rsidP="00980876">
      <w:pPr>
        <w:widowControl w:val="0"/>
        <w:numPr>
          <w:ilvl w:val="0"/>
          <w:numId w:val="317"/>
        </w:numPr>
        <w:tabs>
          <w:tab w:val="num" w:pos="567"/>
        </w:tabs>
        <w:spacing w:before="120" w:after="120" w:line="240" w:lineRule="auto"/>
        <w:ind w:left="426" w:hanging="142"/>
        <w:jc w:val="both"/>
        <w:rPr>
          <w:rFonts w:ascii="Times New Roman" w:eastAsia="Times New Roman" w:hAnsi="Times New Roman" w:cs="Times New Roman"/>
          <w:b/>
          <w:bCs/>
        </w:rPr>
      </w:pPr>
      <w:r w:rsidRPr="00FF115C">
        <w:rPr>
          <w:rFonts w:ascii="Times New Roman" w:eastAsia="Times New Roman" w:hAnsi="Times New Roman" w:cs="Times New Roman"/>
          <w:b/>
          <w:bCs/>
        </w:rPr>
        <w:t xml:space="preserve">Kreditérték és képzési karakter: </w:t>
      </w:r>
    </w:p>
    <w:p w:rsidR="00FF115C" w:rsidRPr="00FF115C" w:rsidRDefault="00FF115C" w:rsidP="00980876">
      <w:pPr>
        <w:pStyle w:val="Listaszerbekezds"/>
        <w:widowControl w:val="0"/>
        <w:numPr>
          <w:ilvl w:val="1"/>
          <w:numId w:val="317"/>
        </w:numPr>
        <w:tabs>
          <w:tab w:val="clear" w:pos="3977"/>
          <w:tab w:val="num" w:pos="1000"/>
        </w:tabs>
        <w:spacing w:before="120" w:after="120" w:line="240" w:lineRule="auto"/>
        <w:ind w:left="993" w:hanging="426"/>
        <w:jc w:val="both"/>
        <w:rPr>
          <w:rFonts w:ascii="Times New Roman" w:eastAsia="Times New Roman" w:hAnsi="Times New Roman" w:cs="Times New Roman"/>
          <w:b/>
          <w:bCs/>
        </w:rPr>
      </w:pPr>
      <w:r w:rsidRPr="00FF115C">
        <w:rPr>
          <w:rFonts w:ascii="Times New Roman" w:eastAsia="Times New Roman" w:hAnsi="Times New Roman" w:cs="Times New Roman"/>
          <w:bCs/>
        </w:rPr>
        <w:t xml:space="preserve"> kredit 1</w:t>
      </w:r>
    </w:p>
    <w:p w:rsidR="00FF115C" w:rsidRPr="00FF115C" w:rsidRDefault="00FF115C" w:rsidP="00980876">
      <w:pPr>
        <w:pStyle w:val="Listaszerbekezds"/>
        <w:widowControl w:val="0"/>
        <w:numPr>
          <w:ilvl w:val="1"/>
          <w:numId w:val="317"/>
        </w:numPr>
        <w:tabs>
          <w:tab w:val="clear" w:pos="3977"/>
          <w:tab w:val="num" w:pos="1000"/>
        </w:tabs>
        <w:spacing w:before="120" w:after="120" w:line="240" w:lineRule="auto"/>
        <w:ind w:left="993" w:hanging="426"/>
        <w:jc w:val="both"/>
        <w:rPr>
          <w:rFonts w:ascii="Times New Roman" w:eastAsia="Times New Roman" w:hAnsi="Times New Roman" w:cs="Times New Roman"/>
          <w:b/>
          <w:bCs/>
        </w:rPr>
      </w:pPr>
      <w:r w:rsidRPr="00FF115C">
        <w:rPr>
          <w:rFonts w:ascii="Times New Roman" w:eastAsia="Times New Roman" w:hAnsi="Times New Roman" w:cs="Times New Roman"/>
          <w:bCs/>
        </w:rPr>
        <w:t>a tantárgy elméleti vagy gyakorlati jellegének mértéke:  % gyakorlat, 100 % elmélet</w:t>
      </w:r>
    </w:p>
    <w:p w:rsidR="00FF115C" w:rsidRPr="00FF115C" w:rsidRDefault="00FF115C" w:rsidP="00980876">
      <w:pPr>
        <w:widowControl w:val="0"/>
        <w:numPr>
          <w:ilvl w:val="0"/>
          <w:numId w:val="317"/>
        </w:numPr>
        <w:spacing w:before="120" w:after="120" w:line="240" w:lineRule="auto"/>
        <w:ind w:left="426" w:hanging="142"/>
        <w:jc w:val="both"/>
        <w:rPr>
          <w:rFonts w:ascii="Times New Roman" w:eastAsia="Times New Roman" w:hAnsi="Times New Roman" w:cs="Times New Roman"/>
          <w:bCs/>
        </w:rPr>
      </w:pPr>
      <w:r w:rsidRPr="00FF115C">
        <w:rPr>
          <w:rFonts w:ascii="Times New Roman" w:eastAsia="Times New Roman" w:hAnsi="Times New Roman" w:cs="Times New Roman"/>
          <w:b/>
          <w:bCs/>
        </w:rPr>
        <w:t>A szak(ok), szakirányok/specializációk megnevezése (ahol oktatják):</w:t>
      </w:r>
      <w:r w:rsidRPr="00FF115C">
        <w:rPr>
          <w:rFonts w:ascii="Times New Roman" w:eastAsia="Times New Roman" w:hAnsi="Times New Roman" w:cs="Times New Roman"/>
          <w:bCs/>
        </w:rPr>
        <w:t xml:space="preserve"> </w:t>
      </w:r>
      <w:r w:rsidRPr="00FF115C">
        <w:rPr>
          <w:rFonts w:ascii="Times New Roman" w:hAnsi="Times New Roman" w:cs="Times New Roman"/>
          <w:bCs/>
        </w:rPr>
        <w:t>Katonai logisztika (</w:t>
      </w:r>
      <w:r w:rsidR="00137B8A">
        <w:rPr>
          <w:rFonts w:ascii="Times New Roman" w:hAnsi="Times New Roman" w:cs="Times New Roman"/>
          <w:bCs/>
        </w:rPr>
        <w:t>BSc</w:t>
      </w:r>
      <w:r w:rsidRPr="00FF115C">
        <w:rPr>
          <w:rFonts w:ascii="Times New Roman" w:hAnsi="Times New Roman" w:cs="Times New Roman"/>
          <w:bCs/>
        </w:rPr>
        <w:t>) alapképzési szak, haditechnika specializáció</w:t>
      </w:r>
    </w:p>
    <w:p w:rsidR="00FF115C" w:rsidRPr="00FF115C" w:rsidRDefault="00FF115C" w:rsidP="00980876">
      <w:pPr>
        <w:widowControl w:val="0"/>
        <w:numPr>
          <w:ilvl w:val="0"/>
          <w:numId w:val="317"/>
        </w:numPr>
        <w:tabs>
          <w:tab w:val="num" w:pos="567"/>
        </w:tabs>
        <w:spacing w:before="120" w:after="120" w:line="240" w:lineRule="auto"/>
        <w:ind w:left="426" w:hanging="142"/>
        <w:jc w:val="both"/>
        <w:rPr>
          <w:rFonts w:ascii="Times New Roman" w:eastAsia="Times New Roman" w:hAnsi="Times New Roman" w:cs="Times New Roman"/>
          <w:bCs/>
        </w:rPr>
      </w:pPr>
      <w:r w:rsidRPr="00FF115C">
        <w:rPr>
          <w:rFonts w:ascii="Times New Roman" w:eastAsia="Times New Roman" w:hAnsi="Times New Roman" w:cs="Times New Roman"/>
          <w:b/>
          <w:bCs/>
        </w:rPr>
        <w:t xml:space="preserve">Az oktatásért felelős oktatási szervezeti egység megnevezése: </w:t>
      </w:r>
      <w:r w:rsidRPr="00FF115C">
        <w:rPr>
          <w:rFonts w:ascii="Times New Roman" w:eastAsia="Times New Roman" w:hAnsi="Times New Roman" w:cs="Times New Roman"/>
          <w:bCs/>
        </w:rPr>
        <w:t>HHK Haditechnikai Tanszék</w:t>
      </w:r>
    </w:p>
    <w:p w:rsidR="00FF115C" w:rsidRPr="00FF115C" w:rsidRDefault="00FF115C" w:rsidP="00980876">
      <w:pPr>
        <w:widowControl w:val="0"/>
        <w:numPr>
          <w:ilvl w:val="0"/>
          <w:numId w:val="317"/>
        </w:numPr>
        <w:tabs>
          <w:tab w:val="num" w:pos="567"/>
        </w:tabs>
        <w:spacing w:before="120" w:after="120" w:line="240" w:lineRule="auto"/>
        <w:ind w:left="426" w:hanging="142"/>
        <w:jc w:val="both"/>
        <w:rPr>
          <w:rFonts w:ascii="Times New Roman" w:eastAsia="Times New Roman" w:hAnsi="Times New Roman" w:cs="Times New Roman"/>
          <w:bCs/>
        </w:rPr>
      </w:pPr>
      <w:r w:rsidRPr="00FF115C">
        <w:rPr>
          <w:rFonts w:ascii="Times New Roman" w:eastAsia="Times New Roman" w:hAnsi="Times New Roman" w:cs="Times New Roman"/>
          <w:b/>
          <w:bCs/>
        </w:rPr>
        <w:t>A tantárgyfelelős oktató neve, beosztása, tudományos fokozata:</w:t>
      </w:r>
      <w:r w:rsidRPr="00FF115C">
        <w:rPr>
          <w:rFonts w:ascii="Times New Roman" w:eastAsia="Times New Roman" w:hAnsi="Times New Roman" w:cs="Times New Roman"/>
          <w:bCs/>
        </w:rPr>
        <w:t xml:space="preserve"> Dr. Gyarmati József </w:t>
      </w:r>
      <w:r w:rsidR="004A4C51">
        <w:rPr>
          <w:rFonts w:ascii="Times New Roman" w:eastAsia="Times New Roman" w:hAnsi="Times New Roman" w:cs="Times New Roman"/>
          <w:bCs/>
        </w:rPr>
        <w:t xml:space="preserve">PhD, </w:t>
      </w:r>
      <w:r w:rsidRPr="00FF115C">
        <w:rPr>
          <w:rFonts w:ascii="Times New Roman" w:eastAsia="Times New Roman" w:hAnsi="Times New Roman" w:cs="Times New Roman"/>
          <w:bCs/>
        </w:rPr>
        <w:t>egyetemi docens</w:t>
      </w:r>
    </w:p>
    <w:p w:rsidR="00FF115C" w:rsidRPr="00FF115C" w:rsidRDefault="00FF115C" w:rsidP="00980876">
      <w:pPr>
        <w:widowControl w:val="0"/>
        <w:numPr>
          <w:ilvl w:val="0"/>
          <w:numId w:val="317"/>
        </w:numPr>
        <w:spacing w:before="120" w:after="120" w:line="240" w:lineRule="auto"/>
        <w:ind w:left="426" w:hanging="142"/>
        <w:jc w:val="both"/>
        <w:rPr>
          <w:rFonts w:ascii="Times New Roman" w:eastAsia="Times New Roman" w:hAnsi="Times New Roman" w:cs="Times New Roman"/>
          <w:bCs/>
        </w:rPr>
      </w:pPr>
      <w:r w:rsidRPr="00FF115C">
        <w:rPr>
          <w:rFonts w:ascii="Times New Roman" w:eastAsia="Times New Roman" w:hAnsi="Times New Roman" w:cs="Times New Roman"/>
          <w:b/>
          <w:bCs/>
        </w:rPr>
        <w:t>A tanórák száma és típusa</w:t>
      </w:r>
    </w:p>
    <w:p w:rsidR="00FF115C" w:rsidRPr="00FF115C" w:rsidRDefault="00FF115C" w:rsidP="00980876">
      <w:pPr>
        <w:widowControl w:val="0"/>
        <w:numPr>
          <w:ilvl w:val="1"/>
          <w:numId w:val="317"/>
        </w:numPr>
        <w:tabs>
          <w:tab w:val="clear" w:pos="3977"/>
          <w:tab w:val="num" w:pos="709"/>
          <w:tab w:val="num" w:pos="1000"/>
          <w:tab w:val="num" w:pos="2069"/>
        </w:tabs>
        <w:spacing w:before="120" w:after="120" w:line="240" w:lineRule="auto"/>
        <w:ind w:left="851" w:hanging="425"/>
        <w:jc w:val="both"/>
        <w:rPr>
          <w:rFonts w:ascii="Times New Roman" w:eastAsia="Times New Roman" w:hAnsi="Times New Roman" w:cs="Times New Roman"/>
          <w:bCs/>
        </w:rPr>
      </w:pPr>
      <w:r w:rsidRPr="00FF115C">
        <w:rPr>
          <w:rFonts w:ascii="Times New Roman" w:eastAsia="Times New Roman" w:hAnsi="Times New Roman" w:cs="Times New Roman"/>
          <w:bCs/>
        </w:rPr>
        <w:t xml:space="preserve">össz óraszám/félév: </w:t>
      </w:r>
    </w:p>
    <w:p w:rsidR="00FF115C" w:rsidRPr="00FF115C" w:rsidRDefault="00FF115C" w:rsidP="00980876">
      <w:pPr>
        <w:widowControl w:val="0"/>
        <w:numPr>
          <w:ilvl w:val="2"/>
          <w:numId w:val="317"/>
        </w:numPr>
        <w:tabs>
          <w:tab w:val="num" w:pos="709"/>
          <w:tab w:val="num" w:pos="1134"/>
        </w:tabs>
        <w:spacing w:before="120" w:after="120" w:line="240" w:lineRule="auto"/>
        <w:ind w:left="993" w:hanging="425"/>
        <w:jc w:val="both"/>
        <w:rPr>
          <w:rFonts w:ascii="Times New Roman" w:eastAsia="Times New Roman" w:hAnsi="Times New Roman" w:cs="Times New Roman"/>
          <w:bCs/>
        </w:rPr>
      </w:pPr>
      <w:r w:rsidRPr="00FF115C">
        <w:rPr>
          <w:rFonts w:ascii="Times New Roman" w:eastAsia="Times New Roman" w:hAnsi="Times New Roman" w:cs="Times New Roman"/>
          <w:bCs/>
        </w:rPr>
        <w:t>nappali munkarend: 14 ( 14 EA +  SZ +  GY)</w:t>
      </w:r>
    </w:p>
    <w:p w:rsidR="00FF115C" w:rsidRPr="00FF115C" w:rsidRDefault="00FF115C" w:rsidP="00980876">
      <w:pPr>
        <w:widowControl w:val="0"/>
        <w:numPr>
          <w:ilvl w:val="2"/>
          <w:numId w:val="317"/>
        </w:numPr>
        <w:tabs>
          <w:tab w:val="num" w:pos="709"/>
          <w:tab w:val="num" w:pos="1134"/>
        </w:tabs>
        <w:spacing w:before="120" w:after="120" w:line="240" w:lineRule="auto"/>
        <w:ind w:left="993" w:hanging="425"/>
        <w:jc w:val="both"/>
        <w:rPr>
          <w:rFonts w:ascii="Times New Roman" w:eastAsia="Times New Roman" w:hAnsi="Times New Roman" w:cs="Times New Roman"/>
          <w:bCs/>
        </w:rPr>
      </w:pPr>
      <w:r w:rsidRPr="00FF115C">
        <w:rPr>
          <w:rFonts w:ascii="Times New Roman" w:eastAsia="Times New Roman" w:hAnsi="Times New Roman" w:cs="Times New Roman"/>
          <w:bCs/>
        </w:rPr>
        <w:t>levelező munkarend: 4 (4 EA +  SZ +  GY)</w:t>
      </w:r>
    </w:p>
    <w:p w:rsidR="00FF115C" w:rsidRPr="00FF115C" w:rsidRDefault="00FF115C" w:rsidP="00980876">
      <w:pPr>
        <w:widowControl w:val="0"/>
        <w:numPr>
          <w:ilvl w:val="1"/>
          <w:numId w:val="317"/>
        </w:numPr>
        <w:tabs>
          <w:tab w:val="clear" w:pos="3977"/>
          <w:tab w:val="num" w:pos="709"/>
          <w:tab w:val="num" w:pos="1000"/>
          <w:tab w:val="num" w:pos="2069"/>
        </w:tabs>
        <w:spacing w:before="120" w:after="120" w:line="240" w:lineRule="auto"/>
        <w:ind w:left="851" w:hanging="425"/>
        <w:jc w:val="both"/>
        <w:rPr>
          <w:rFonts w:ascii="Times New Roman" w:eastAsia="Times New Roman" w:hAnsi="Times New Roman" w:cs="Times New Roman"/>
          <w:bCs/>
        </w:rPr>
      </w:pPr>
      <w:r w:rsidRPr="00FF115C">
        <w:rPr>
          <w:rFonts w:ascii="Times New Roman" w:eastAsia="Times New Roman" w:hAnsi="Times New Roman" w:cs="Times New Roman"/>
          <w:bCs/>
        </w:rPr>
        <w:t>heti óraszám - nappali munkarend: 1</w:t>
      </w:r>
    </w:p>
    <w:p w:rsidR="00FF115C" w:rsidRPr="00FF115C" w:rsidRDefault="00FF115C" w:rsidP="00980876">
      <w:pPr>
        <w:widowControl w:val="0"/>
        <w:numPr>
          <w:ilvl w:val="1"/>
          <w:numId w:val="317"/>
        </w:numPr>
        <w:tabs>
          <w:tab w:val="clear" w:pos="3977"/>
          <w:tab w:val="num" w:pos="709"/>
          <w:tab w:val="num" w:pos="1000"/>
          <w:tab w:val="num" w:pos="2069"/>
        </w:tabs>
        <w:spacing w:before="120" w:after="120" w:line="240" w:lineRule="auto"/>
        <w:ind w:left="851" w:hanging="425"/>
        <w:jc w:val="both"/>
        <w:rPr>
          <w:rFonts w:ascii="Times New Roman" w:eastAsia="Times New Roman" w:hAnsi="Times New Roman" w:cs="Times New Roman"/>
          <w:bCs/>
        </w:rPr>
      </w:pPr>
      <w:r w:rsidRPr="00FF115C">
        <w:rPr>
          <w:rFonts w:ascii="Times New Roman" w:hAnsi="Times New Roman" w:cs="Times New Roman"/>
        </w:rPr>
        <w:t>Az ismeret átadásában alkalmazandó további sajátos módok, jellemzők: ..</w:t>
      </w:r>
    </w:p>
    <w:p w:rsidR="00FF115C" w:rsidRPr="00FF115C" w:rsidRDefault="00FF115C" w:rsidP="00980876">
      <w:pPr>
        <w:widowControl w:val="0"/>
        <w:numPr>
          <w:ilvl w:val="0"/>
          <w:numId w:val="317"/>
        </w:numPr>
        <w:spacing w:before="120" w:after="120" w:line="240" w:lineRule="auto"/>
        <w:ind w:left="426" w:hanging="142"/>
        <w:jc w:val="both"/>
        <w:rPr>
          <w:rFonts w:ascii="Times New Roman" w:eastAsia="Times New Roman" w:hAnsi="Times New Roman" w:cs="Times New Roman"/>
          <w:bCs/>
        </w:rPr>
      </w:pPr>
      <w:r w:rsidRPr="00FF115C">
        <w:rPr>
          <w:rFonts w:ascii="Times New Roman" w:eastAsia="Times New Roman" w:hAnsi="Times New Roman" w:cs="Times New Roman"/>
          <w:b/>
          <w:bCs/>
        </w:rPr>
        <w:t>A tantárgy szakmai tartalma (magyarul):</w:t>
      </w:r>
      <w:r w:rsidRPr="00FF115C">
        <w:rPr>
          <w:rFonts w:ascii="Times New Roman" w:eastAsia="Times New Roman" w:hAnsi="Times New Roman" w:cs="Times New Roman"/>
          <w:bCs/>
        </w:rPr>
        <w:t xml:space="preserve"> Komplex számok teste, abszolút értéke, geometriai jelentése. Kételemű Boole algebra, Boole függvények és igazságtáblázatuk.</w:t>
      </w:r>
    </w:p>
    <w:p w:rsidR="00FF115C" w:rsidRPr="00FF115C" w:rsidRDefault="00FF115C" w:rsidP="00FF115C">
      <w:pPr>
        <w:widowControl w:val="0"/>
        <w:spacing w:before="120" w:after="120" w:line="240" w:lineRule="auto"/>
        <w:ind w:left="426"/>
        <w:jc w:val="both"/>
        <w:rPr>
          <w:rFonts w:ascii="Times New Roman" w:eastAsia="Times New Roman" w:hAnsi="Times New Roman" w:cs="Times New Roman"/>
          <w:bCs/>
          <w:lang w:val="en-GB"/>
        </w:rPr>
      </w:pPr>
      <w:r w:rsidRPr="00FF115C">
        <w:rPr>
          <w:rFonts w:ascii="Times New Roman" w:eastAsia="Times New Roman" w:hAnsi="Times New Roman" w:cs="Times New Roman"/>
          <w:b/>
          <w:bCs/>
        </w:rPr>
        <w:t>A tantárgy szakmai tartalma (angolul) (</w:t>
      </w:r>
      <w:r w:rsidRPr="00FF115C">
        <w:rPr>
          <w:rFonts w:ascii="Times New Roman" w:eastAsia="Times New Roman" w:hAnsi="Times New Roman" w:cs="Times New Roman"/>
          <w:b/>
          <w:bCs/>
          <w:lang w:val="en-US"/>
        </w:rPr>
        <w:t>Course description</w:t>
      </w:r>
      <w:r w:rsidRPr="00FF115C">
        <w:rPr>
          <w:rFonts w:ascii="Times New Roman" w:eastAsia="Times New Roman" w:hAnsi="Times New Roman" w:cs="Times New Roman"/>
          <w:b/>
          <w:bCs/>
        </w:rPr>
        <w:t xml:space="preserve">): </w:t>
      </w:r>
      <w:r w:rsidRPr="00FF115C">
        <w:rPr>
          <w:rStyle w:val="tlid-translation"/>
          <w:rFonts w:ascii="Times New Roman" w:hAnsi="Times New Roman" w:cs="Times New Roman"/>
          <w:lang w:val="en"/>
        </w:rPr>
        <w:t>The body, the absolute value, the geometric meaning of complex numbers. Boolean Algebra, Boolean Functions and their Truth Table.</w:t>
      </w:r>
    </w:p>
    <w:p w:rsidR="00FF115C" w:rsidRPr="00FF115C" w:rsidRDefault="00FF115C" w:rsidP="00980876">
      <w:pPr>
        <w:pStyle w:val="Listaszerbekezds"/>
        <w:widowControl w:val="0"/>
        <w:numPr>
          <w:ilvl w:val="0"/>
          <w:numId w:val="317"/>
        </w:numPr>
        <w:spacing w:before="120" w:after="120" w:line="240" w:lineRule="auto"/>
        <w:jc w:val="both"/>
        <w:rPr>
          <w:rFonts w:ascii="Times New Roman" w:eastAsia="Times New Roman" w:hAnsi="Times New Roman" w:cs="Times New Roman"/>
          <w:bCs/>
        </w:rPr>
      </w:pPr>
      <w:r w:rsidRPr="00FF115C">
        <w:rPr>
          <w:rFonts w:ascii="Times New Roman" w:eastAsia="Times New Roman" w:hAnsi="Times New Roman" w:cs="Times New Roman"/>
          <w:b/>
          <w:bCs/>
        </w:rPr>
        <w:t xml:space="preserve">Elérendő kompetenciák (magyarul): </w:t>
      </w:r>
    </w:p>
    <w:p w:rsidR="00FF115C" w:rsidRPr="00FF115C" w:rsidRDefault="00FF115C" w:rsidP="00FF115C">
      <w:pPr>
        <w:widowControl w:val="0"/>
        <w:spacing w:before="120" w:after="120" w:line="240" w:lineRule="auto"/>
        <w:ind w:left="426"/>
        <w:jc w:val="both"/>
        <w:rPr>
          <w:rFonts w:ascii="Times New Roman" w:eastAsia="Times New Roman" w:hAnsi="Times New Roman" w:cs="Times New Roman"/>
          <w:bCs/>
        </w:rPr>
      </w:pPr>
      <w:r w:rsidRPr="00FF115C">
        <w:rPr>
          <w:rFonts w:ascii="Times New Roman" w:eastAsia="Times New Roman" w:hAnsi="Times New Roman" w:cs="Times New Roman"/>
          <w:b/>
          <w:bCs/>
        </w:rPr>
        <w:t>Tudása:</w:t>
      </w:r>
      <w:r w:rsidRPr="00FF115C">
        <w:rPr>
          <w:rFonts w:ascii="Times New Roman" w:eastAsia="Times New Roman" w:hAnsi="Times New Roman" w:cs="Times New Roman"/>
          <w:bCs/>
        </w:rPr>
        <w:t xml:space="preserve"> </w:t>
      </w:r>
    </w:p>
    <w:p w:rsidR="00FF115C" w:rsidRPr="00FF115C" w:rsidRDefault="00FF115C" w:rsidP="00FF115C">
      <w:pPr>
        <w:widowControl w:val="0"/>
        <w:spacing w:before="120" w:after="120" w:line="240" w:lineRule="auto"/>
        <w:ind w:left="426"/>
        <w:jc w:val="both"/>
        <w:rPr>
          <w:rFonts w:ascii="Times New Roman" w:eastAsia="Times New Roman" w:hAnsi="Times New Roman" w:cs="Times New Roman"/>
          <w:bCs/>
        </w:rPr>
      </w:pPr>
      <w:r w:rsidRPr="00FF115C">
        <w:rPr>
          <w:rFonts w:ascii="Times New Roman" w:eastAsia="Times New Roman" w:hAnsi="Times New Roman" w:cs="Times New Roman"/>
          <w:bCs/>
        </w:rPr>
        <w:t>- Alapismeretekkel rendelkezik a Boole algebra és a komplex számok területéről.</w:t>
      </w:r>
    </w:p>
    <w:p w:rsidR="00FF115C" w:rsidRPr="00FF115C" w:rsidRDefault="00FF115C" w:rsidP="00FF115C">
      <w:pPr>
        <w:widowControl w:val="0"/>
        <w:spacing w:before="120" w:after="120" w:line="240" w:lineRule="auto"/>
        <w:ind w:left="426"/>
        <w:jc w:val="both"/>
        <w:rPr>
          <w:rFonts w:ascii="Times New Roman" w:eastAsia="Times New Roman" w:hAnsi="Times New Roman" w:cs="Times New Roman"/>
          <w:bCs/>
        </w:rPr>
      </w:pPr>
      <w:r w:rsidRPr="00FF115C">
        <w:rPr>
          <w:rFonts w:ascii="Times New Roman" w:eastAsia="Times New Roman" w:hAnsi="Times New Roman" w:cs="Times New Roman"/>
          <w:b/>
          <w:bCs/>
        </w:rPr>
        <w:t>Képességei:</w:t>
      </w:r>
      <w:r w:rsidRPr="00FF115C">
        <w:rPr>
          <w:rFonts w:ascii="Times New Roman" w:eastAsia="Times New Roman" w:hAnsi="Times New Roman" w:cs="Times New Roman"/>
          <w:bCs/>
        </w:rPr>
        <w:t xml:space="preserve"> </w:t>
      </w:r>
    </w:p>
    <w:p w:rsidR="00FF115C" w:rsidRPr="00FF115C" w:rsidRDefault="00FF115C" w:rsidP="00FF115C">
      <w:pPr>
        <w:widowControl w:val="0"/>
        <w:spacing w:before="120" w:after="120" w:line="240" w:lineRule="auto"/>
        <w:ind w:left="426"/>
        <w:jc w:val="both"/>
        <w:rPr>
          <w:rFonts w:ascii="Times New Roman" w:eastAsia="Times New Roman" w:hAnsi="Times New Roman" w:cs="Times New Roman"/>
          <w:bCs/>
        </w:rPr>
      </w:pPr>
      <w:r w:rsidRPr="00FF115C">
        <w:rPr>
          <w:rFonts w:ascii="Times New Roman" w:eastAsia="Times New Roman" w:hAnsi="Times New Roman" w:cs="Times New Roman"/>
          <w:bCs/>
        </w:rPr>
        <w:t xml:space="preserve">- </w:t>
      </w:r>
      <w:r w:rsidRPr="00FF115C">
        <w:rPr>
          <w:rFonts w:ascii="Times New Roman" w:hAnsi="Times New Roman" w:cs="Times New Roman"/>
        </w:rPr>
        <w:t>Képes a szakmai terminológia magyarul és idegen nyelven történő alkalmazására</w:t>
      </w:r>
    </w:p>
    <w:p w:rsidR="00FF115C" w:rsidRPr="00FF115C" w:rsidRDefault="00FF115C" w:rsidP="00FF115C">
      <w:pPr>
        <w:widowControl w:val="0"/>
        <w:spacing w:before="120" w:after="120" w:line="240" w:lineRule="auto"/>
        <w:ind w:left="426"/>
        <w:jc w:val="both"/>
        <w:rPr>
          <w:rFonts w:ascii="Times New Roman" w:eastAsia="Times New Roman" w:hAnsi="Times New Roman" w:cs="Times New Roman"/>
          <w:bCs/>
        </w:rPr>
      </w:pPr>
      <w:r w:rsidRPr="00FF115C">
        <w:rPr>
          <w:rFonts w:ascii="Times New Roman" w:eastAsia="Times New Roman" w:hAnsi="Times New Roman" w:cs="Times New Roman"/>
          <w:b/>
          <w:bCs/>
        </w:rPr>
        <w:t>Attitűdje:</w:t>
      </w:r>
      <w:r w:rsidRPr="00FF115C">
        <w:rPr>
          <w:rFonts w:ascii="Times New Roman" w:eastAsia="Times New Roman" w:hAnsi="Times New Roman" w:cs="Times New Roman"/>
          <w:bCs/>
        </w:rPr>
        <w:t xml:space="preserve"> </w:t>
      </w:r>
    </w:p>
    <w:p w:rsidR="00FF115C" w:rsidRPr="00FF115C" w:rsidRDefault="00FF115C" w:rsidP="00FF115C">
      <w:pPr>
        <w:widowControl w:val="0"/>
        <w:spacing w:before="120" w:after="120" w:line="240" w:lineRule="auto"/>
        <w:ind w:left="426"/>
        <w:jc w:val="both"/>
        <w:rPr>
          <w:rFonts w:ascii="Times New Roman" w:eastAsia="Times New Roman" w:hAnsi="Times New Roman" w:cs="Times New Roman"/>
          <w:bCs/>
        </w:rPr>
      </w:pPr>
      <w:r w:rsidRPr="00FF115C">
        <w:rPr>
          <w:rFonts w:ascii="Times New Roman" w:eastAsia="Times New Roman" w:hAnsi="Times New Roman" w:cs="Times New Roman"/>
          <w:bCs/>
        </w:rPr>
        <w:t xml:space="preserve">- </w:t>
      </w:r>
      <w:r w:rsidRPr="00FF115C">
        <w:rPr>
          <w:rFonts w:ascii="Times New Roman" w:hAnsi="Times New Roman" w:cs="Times New Roman"/>
        </w:rPr>
        <w:t>Nyitott szakterülete új eredményei, innovációi iránt, törekszik azok megismerésére, megértésére és alkalmazására, elkötelezett önmaga folyamatos képzésére</w:t>
      </w:r>
    </w:p>
    <w:p w:rsidR="00FF115C" w:rsidRPr="00FF115C" w:rsidRDefault="00FF115C" w:rsidP="00FF115C">
      <w:pPr>
        <w:widowControl w:val="0"/>
        <w:spacing w:before="120" w:after="120" w:line="240" w:lineRule="auto"/>
        <w:ind w:left="426"/>
        <w:jc w:val="both"/>
        <w:rPr>
          <w:rFonts w:ascii="Times New Roman" w:eastAsia="Times New Roman" w:hAnsi="Times New Roman" w:cs="Times New Roman"/>
          <w:bCs/>
        </w:rPr>
      </w:pPr>
      <w:r w:rsidRPr="00FF115C">
        <w:rPr>
          <w:rFonts w:ascii="Times New Roman" w:eastAsia="Times New Roman" w:hAnsi="Times New Roman" w:cs="Times New Roman"/>
          <w:b/>
          <w:bCs/>
        </w:rPr>
        <w:t>Autonómiája és felelőssége:</w:t>
      </w:r>
      <w:r w:rsidRPr="00FF115C">
        <w:rPr>
          <w:rFonts w:ascii="Times New Roman" w:eastAsia="Times New Roman" w:hAnsi="Times New Roman" w:cs="Times New Roman"/>
          <w:bCs/>
        </w:rPr>
        <w:t xml:space="preserve"> </w:t>
      </w:r>
    </w:p>
    <w:p w:rsidR="00FF115C" w:rsidRPr="00FF115C" w:rsidRDefault="00FF115C" w:rsidP="00FF115C">
      <w:pPr>
        <w:widowControl w:val="0"/>
        <w:spacing w:before="120" w:after="120" w:line="240" w:lineRule="auto"/>
        <w:ind w:left="426"/>
        <w:jc w:val="both"/>
        <w:rPr>
          <w:rFonts w:ascii="Times New Roman" w:eastAsia="Times New Roman" w:hAnsi="Times New Roman" w:cs="Times New Roman"/>
          <w:bCs/>
        </w:rPr>
      </w:pPr>
      <w:r w:rsidRPr="00FF115C">
        <w:rPr>
          <w:rFonts w:ascii="Times New Roman" w:eastAsia="Times New Roman" w:hAnsi="Times New Roman" w:cs="Times New Roman"/>
          <w:bCs/>
        </w:rPr>
        <w:t xml:space="preserve">- </w:t>
      </w:r>
      <w:r w:rsidRPr="00FF115C">
        <w:rPr>
          <w:rFonts w:ascii="Times New Roman" w:hAnsi="Times New Roman" w:cs="Times New Roman"/>
        </w:rPr>
        <w:t>Tisztában van döntéseinek, tevékenységének a műszaki eszközökre, illetve a gazdálkodási fegyelemre gyakorolt hatásaival, következményeivel</w:t>
      </w:r>
    </w:p>
    <w:p w:rsidR="00FF115C" w:rsidRPr="00FF115C" w:rsidRDefault="00FF115C" w:rsidP="00FF115C">
      <w:pPr>
        <w:widowControl w:val="0"/>
        <w:spacing w:before="120" w:after="120" w:line="240" w:lineRule="auto"/>
        <w:ind w:left="426"/>
        <w:jc w:val="both"/>
        <w:rPr>
          <w:rFonts w:ascii="Times New Roman" w:eastAsia="Times New Roman" w:hAnsi="Times New Roman" w:cs="Times New Roman"/>
          <w:b/>
          <w:bCs/>
          <w:lang w:val="en-US"/>
        </w:rPr>
      </w:pPr>
      <w:r w:rsidRPr="00FF115C">
        <w:rPr>
          <w:rFonts w:ascii="Times New Roman" w:eastAsia="Times New Roman" w:hAnsi="Times New Roman" w:cs="Times New Roman"/>
          <w:b/>
          <w:bCs/>
        </w:rPr>
        <w:t>Elérendő kompetenciák (angolul) (</w:t>
      </w:r>
      <w:r w:rsidRPr="00FF115C">
        <w:rPr>
          <w:rFonts w:ascii="Times New Roman" w:eastAsia="Times New Roman" w:hAnsi="Times New Roman" w:cs="Times New Roman"/>
          <w:b/>
          <w:bCs/>
          <w:lang w:val="en-US"/>
        </w:rPr>
        <w:t xml:space="preserve">Competences – English): </w:t>
      </w:r>
    </w:p>
    <w:p w:rsidR="00FF115C" w:rsidRPr="00FF115C" w:rsidRDefault="00FF115C" w:rsidP="00FF115C">
      <w:pPr>
        <w:widowControl w:val="0"/>
        <w:spacing w:before="120" w:after="120" w:line="240" w:lineRule="auto"/>
        <w:ind w:left="426"/>
        <w:jc w:val="both"/>
        <w:rPr>
          <w:rFonts w:ascii="Times New Roman" w:eastAsia="Times New Roman" w:hAnsi="Times New Roman" w:cs="Times New Roman"/>
          <w:lang w:val="en-GB"/>
        </w:rPr>
      </w:pPr>
      <w:r w:rsidRPr="00FF115C">
        <w:rPr>
          <w:rFonts w:ascii="Times New Roman" w:eastAsia="Times New Roman" w:hAnsi="Times New Roman" w:cs="Times New Roman"/>
          <w:b/>
          <w:lang w:val="en-GB"/>
        </w:rPr>
        <w:t>Knowledge</w:t>
      </w:r>
      <w:r w:rsidRPr="00FF115C">
        <w:rPr>
          <w:rFonts w:ascii="Times New Roman" w:eastAsia="Times New Roman" w:hAnsi="Times New Roman" w:cs="Times New Roman"/>
          <w:lang w:val="en-GB"/>
        </w:rPr>
        <w:t xml:space="preserve">: </w:t>
      </w:r>
    </w:p>
    <w:p w:rsidR="00FF115C" w:rsidRPr="00FF115C" w:rsidRDefault="00FF115C" w:rsidP="00FF115C">
      <w:pPr>
        <w:widowControl w:val="0"/>
        <w:spacing w:before="120" w:after="120" w:line="240" w:lineRule="auto"/>
        <w:ind w:left="426"/>
        <w:jc w:val="both"/>
        <w:rPr>
          <w:rFonts w:ascii="Times New Roman" w:eastAsia="Times New Roman" w:hAnsi="Times New Roman" w:cs="Times New Roman"/>
          <w:lang w:val="en-GB"/>
        </w:rPr>
      </w:pPr>
      <w:r w:rsidRPr="00FF115C">
        <w:rPr>
          <w:rFonts w:ascii="Times New Roman" w:eastAsia="Times New Roman" w:hAnsi="Times New Roman" w:cs="Times New Roman"/>
          <w:lang w:val="en-GB"/>
        </w:rPr>
        <w:t>- H</w:t>
      </w:r>
      <w:r w:rsidRPr="00FF115C">
        <w:rPr>
          <w:rStyle w:val="tlid-translation"/>
          <w:rFonts w:ascii="Times New Roman" w:hAnsi="Times New Roman" w:cs="Times New Roman"/>
          <w:lang w:val="en-GB"/>
        </w:rPr>
        <w:t>as a basic understanding of the complex number and Boolean Algebra</w:t>
      </w:r>
      <w:r w:rsidRPr="00FF115C">
        <w:rPr>
          <w:rFonts w:ascii="Times New Roman" w:eastAsia="Times New Roman" w:hAnsi="Times New Roman" w:cs="Times New Roman"/>
          <w:lang w:val="en-GB"/>
        </w:rPr>
        <w:t>.</w:t>
      </w:r>
    </w:p>
    <w:p w:rsidR="00FF115C" w:rsidRPr="00FF115C" w:rsidRDefault="00FF115C" w:rsidP="00FF115C">
      <w:pPr>
        <w:widowControl w:val="0"/>
        <w:spacing w:before="120" w:after="120" w:line="240" w:lineRule="auto"/>
        <w:ind w:left="426"/>
        <w:jc w:val="both"/>
        <w:rPr>
          <w:rFonts w:ascii="Times New Roman" w:eastAsia="Times New Roman" w:hAnsi="Times New Roman" w:cs="Times New Roman"/>
          <w:lang w:val="en-GB"/>
        </w:rPr>
      </w:pPr>
      <w:r w:rsidRPr="00FF115C">
        <w:rPr>
          <w:rFonts w:ascii="Times New Roman" w:eastAsia="Times New Roman" w:hAnsi="Times New Roman" w:cs="Times New Roman"/>
          <w:b/>
          <w:lang w:val="en-GB"/>
        </w:rPr>
        <w:lastRenderedPageBreak/>
        <w:t>Capabilities</w:t>
      </w:r>
      <w:r w:rsidRPr="00FF115C">
        <w:rPr>
          <w:rFonts w:ascii="Times New Roman" w:eastAsia="Times New Roman" w:hAnsi="Times New Roman" w:cs="Times New Roman"/>
          <w:lang w:val="en-GB"/>
        </w:rPr>
        <w:t xml:space="preserve">: </w:t>
      </w:r>
    </w:p>
    <w:p w:rsidR="00FF115C" w:rsidRPr="00FF115C" w:rsidRDefault="00FF115C" w:rsidP="00FF115C">
      <w:pPr>
        <w:widowControl w:val="0"/>
        <w:spacing w:before="120" w:after="120" w:line="240" w:lineRule="auto"/>
        <w:ind w:left="426"/>
        <w:jc w:val="both"/>
        <w:rPr>
          <w:rFonts w:ascii="Times New Roman" w:eastAsia="Times New Roman" w:hAnsi="Times New Roman" w:cs="Times New Roman"/>
          <w:lang w:val="en-GB"/>
        </w:rPr>
      </w:pPr>
      <w:r w:rsidRPr="00FF115C">
        <w:rPr>
          <w:rFonts w:ascii="Times New Roman" w:eastAsia="Times New Roman" w:hAnsi="Times New Roman" w:cs="Times New Roman"/>
          <w:lang w:val="en-GB"/>
        </w:rPr>
        <w:t xml:space="preserve">- </w:t>
      </w:r>
      <w:r w:rsidRPr="00FF115C">
        <w:rPr>
          <w:rFonts w:ascii="Times New Roman" w:hAnsi="Times New Roman" w:cs="Times New Roman"/>
          <w:lang w:val="en-GB"/>
        </w:rPr>
        <w:t>Is capable of using the professional terminology both in Hungarian and foreign languages</w:t>
      </w:r>
      <w:r w:rsidRPr="00FF115C">
        <w:rPr>
          <w:rFonts w:ascii="Times New Roman" w:eastAsia="Times New Roman" w:hAnsi="Times New Roman" w:cs="Times New Roman"/>
          <w:lang w:val="en-GB"/>
        </w:rPr>
        <w:t>.</w:t>
      </w:r>
    </w:p>
    <w:p w:rsidR="00FF115C" w:rsidRPr="00FF115C" w:rsidRDefault="00FF115C" w:rsidP="00FF11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lang w:val="en-GB"/>
        </w:rPr>
      </w:pPr>
      <w:r w:rsidRPr="00FF115C">
        <w:rPr>
          <w:rFonts w:ascii="Times New Roman" w:eastAsia="Times New Roman" w:hAnsi="Times New Roman" w:cs="Times New Roman"/>
          <w:b/>
          <w:lang w:val="en-GB"/>
        </w:rPr>
        <w:t>Attitude:</w:t>
      </w:r>
      <w:r w:rsidRPr="00FF115C">
        <w:rPr>
          <w:rFonts w:ascii="Times New Roman" w:eastAsia="Times New Roman" w:hAnsi="Times New Roman" w:cs="Times New Roman"/>
          <w:lang w:val="en-GB"/>
        </w:rPr>
        <w:t xml:space="preserve"> </w:t>
      </w:r>
    </w:p>
    <w:p w:rsidR="00FF115C" w:rsidRPr="00FF115C" w:rsidRDefault="00FF115C" w:rsidP="00FF11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lang w:val="en-GB"/>
        </w:rPr>
      </w:pPr>
      <w:r w:rsidRPr="00FF115C">
        <w:rPr>
          <w:rFonts w:ascii="Times New Roman" w:eastAsia="Times New Roman" w:hAnsi="Times New Roman" w:cs="Times New Roman"/>
          <w:lang w:val="en-GB"/>
        </w:rPr>
        <w:t xml:space="preserve">- </w:t>
      </w:r>
      <w:r w:rsidRPr="00FF115C">
        <w:rPr>
          <w:rFonts w:ascii="Times New Roman" w:hAnsi="Times New Roman" w:cs="Times New Roman"/>
          <w:lang w:val="en-GB"/>
        </w:rPr>
        <w:t>In his/her specialization he/she is open to the new achievements and innovations, strives to know, understand and apply them, and is committed to continuous self-education.</w:t>
      </w:r>
    </w:p>
    <w:p w:rsidR="00FF115C" w:rsidRPr="00FF115C" w:rsidRDefault="00FF115C" w:rsidP="00FF115C">
      <w:pPr>
        <w:widowControl w:val="0"/>
        <w:spacing w:before="120" w:after="120" w:line="240" w:lineRule="auto"/>
        <w:ind w:left="426"/>
        <w:jc w:val="both"/>
        <w:rPr>
          <w:rFonts w:ascii="Times New Roman" w:eastAsia="Times New Roman" w:hAnsi="Times New Roman" w:cs="Times New Roman"/>
          <w:b/>
          <w:lang w:val="en-GB"/>
        </w:rPr>
      </w:pPr>
      <w:r w:rsidRPr="00FF115C">
        <w:rPr>
          <w:rFonts w:ascii="Times New Roman" w:eastAsia="Times New Roman" w:hAnsi="Times New Roman" w:cs="Times New Roman"/>
          <w:b/>
          <w:lang w:val="en-GB"/>
        </w:rPr>
        <w:t xml:space="preserve">Autonomy and responsibility: </w:t>
      </w:r>
    </w:p>
    <w:p w:rsidR="00FF115C" w:rsidRPr="00FF115C" w:rsidRDefault="00FF115C" w:rsidP="00FF115C">
      <w:pPr>
        <w:widowControl w:val="0"/>
        <w:spacing w:before="120" w:after="120" w:line="240" w:lineRule="auto"/>
        <w:ind w:left="426"/>
        <w:jc w:val="both"/>
        <w:rPr>
          <w:rFonts w:ascii="Times New Roman" w:eastAsia="Times New Roman" w:hAnsi="Times New Roman" w:cs="Times New Roman"/>
          <w:lang w:val="en-GB"/>
        </w:rPr>
      </w:pPr>
      <w:r w:rsidRPr="00FF115C">
        <w:rPr>
          <w:rFonts w:ascii="Times New Roman" w:eastAsia="Times New Roman" w:hAnsi="Times New Roman" w:cs="Times New Roman"/>
          <w:b/>
          <w:lang w:val="en-GB"/>
        </w:rPr>
        <w:t xml:space="preserve">- </w:t>
      </w:r>
      <w:r w:rsidRPr="00FF115C">
        <w:rPr>
          <w:rFonts w:ascii="Times New Roman" w:hAnsi="Times New Roman" w:cs="Times New Roman"/>
          <w:lang w:val="en-GB"/>
        </w:rPr>
        <w:t>He/She is aware of the impact of his/her decisions and activities on technical equipment and business discipline</w:t>
      </w:r>
      <w:r w:rsidRPr="00FF115C">
        <w:rPr>
          <w:rFonts w:ascii="Times New Roman" w:eastAsia="Times New Roman" w:hAnsi="Times New Roman" w:cs="Times New Roman"/>
          <w:lang w:val="en-GB"/>
        </w:rPr>
        <w:t>.</w:t>
      </w:r>
    </w:p>
    <w:p w:rsidR="00FF115C" w:rsidRPr="00FF115C" w:rsidRDefault="00FF115C" w:rsidP="00980876">
      <w:pPr>
        <w:widowControl w:val="0"/>
        <w:numPr>
          <w:ilvl w:val="0"/>
          <w:numId w:val="317"/>
        </w:numPr>
        <w:tabs>
          <w:tab w:val="num" w:pos="567"/>
        </w:tabs>
        <w:spacing w:before="120" w:after="120" w:line="240" w:lineRule="auto"/>
        <w:ind w:left="426" w:hanging="142"/>
        <w:jc w:val="both"/>
        <w:rPr>
          <w:rFonts w:ascii="Times New Roman" w:eastAsia="Times New Roman" w:hAnsi="Times New Roman" w:cs="Times New Roman"/>
          <w:bCs/>
        </w:rPr>
      </w:pPr>
      <w:r w:rsidRPr="00FF115C">
        <w:rPr>
          <w:rFonts w:ascii="Times New Roman" w:eastAsia="Times New Roman" w:hAnsi="Times New Roman" w:cs="Times New Roman"/>
          <w:b/>
          <w:bCs/>
        </w:rPr>
        <w:t xml:space="preserve">Előtanulmányi követelmények: </w:t>
      </w:r>
      <w:r w:rsidRPr="00FF115C">
        <w:rPr>
          <w:rFonts w:ascii="Times New Roman" w:eastAsia="Times New Roman" w:hAnsi="Times New Roman" w:cs="Times New Roman"/>
          <w:bCs/>
        </w:rPr>
        <w:t xml:space="preserve"> </w:t>
      </w:r>
      <w:r w:rsidR="006603FB">
        <w:rPr>
          <w:rFonts w:ascii="Times New Roman" w:eastAsia="Times New Roman" w:hAnsi="Times New Roman" w:cs="Times New Roman"/>
          <w:bCs/>
        </w:rPr>
        <w:t>-</w:t>
      </w:r>
    </w:p>
    <w:p w:rsidR="00FF115C" w:rsidRPr="00FF115C" w:rsidRDefault="00FF115C" w:rsidP="00980876">
      <w:pPr>
        <w:widowControl w:val="0"/>
        <w:numPr>
          <w:ilvl w:val="0"/>
          <w:numId w:val="317"/>
        </w:numPr>
        <w:spacing w:before="120" w:after="120" w:line="240" w:lineRule="auto"/>
        <w:ind w:left="426" w:hanging="142"/>
        <w:jc w:val="both"/>
        <w:rPr>
          <w:rFonts w:ascii="Times New Roman" w:eastAsia="Times New Roman" w:hAnsi="Times New Roman" w:cs="Times New Roman"/>
          <w:b/>
          <w:bCs/>
        </w:rPr>
      </w:pPr>
      <w:r w:rsidRPr="00FF115C">
        <w:rPr>
          <w:rFonts w:ascii="Times New Roman" w:eastAsia="Times New Roman" w:hAnsi="Times New Roman" w:cs="Times New Roman"/>
          <w:b/>
          <w:bCs/>
        </w:rPr>
        <w:t>A tantárgy tananyagának leírása, tematika. Description of the subject, curriculum (magyarul, angolul - English):</w:t>
      </w:r>
    </w:p>
    <w:p w:rsidR="00FF115C" w:rsidRPr="00FF115C" w:rsidRDefault="00FF115C" w:rsidP="00FF115C">
      <w:pPr>
        <w:widowControl w:val="0"/>
        <w:tabs>
          <w:tab w:val="left" w:pos="993"/>
        </w:tabs>
        <w:spacing w:before="120" w:after="120" w:line="240" w:lineRule="auto"/>
        <w:ind w:left="426"/>
        <w:jc w:val="both"/>
        <w:rPr>
          <w:rFonts w:ascii="Times New Roman" w:eastAsia="Times New Roman" w:hAnsi="Times New Roman" w:cs="Times New Roman"/>
        </w:rPr>
      </w:pPr>
      <w:r w:rsidRPr="00FF115C">
        <w:rPr>
          <w:rFonts w:ascii="Times New Roman" w:eastAsia="Times New Roman" w:hAnsi="Times New Roman" w:cs="Times New Roman"/>
          <w:b/>
        </w:rPr>
        <w:t xml:space="preserve">12.1–12. 8 </w:t>
      </w:r>
      <w:r w:rsidRPr="00FF115C">
        <w:rPr>
          <w:rFonts w:ascii="Times New Roman" w:eastAsia="Times New Roman" w:hAnsi="Times New Roman" w:cs="Times New Roman"/>
        </w:rPr>
        <w:t xml:space="preserve">Komplex számok (komplex számok teste, abszolút értéke, geometriai jelentése). </w:t>
      </w:r>
      <w:r w:rsidRPr="00FF115C">
        <w:rPr>
          <w:rFonts w:ascii="Times New Roman" w:eastAsia="Times New Roman" w:hAnsi="Times New Roman" w:cs="Times New Roman"/>
          <w:i/>
        </w:rPr>
        <w:t>(</w:t>
      </w:r>
      <w:r w:rsidRPr="00FF115C">
        <w:rPr>
          <w:rStyle w:val="tlid-translation"/>
          <w:rFonts w:ascii="Times New Roman" w:hAnsi="Times New Roman" w:cs="Times New Roman"/>
          <w:i/>
          <w:lang w:val="en-GB"/>
        </w:rPr>
        <w:t>Complex numbers (definition, body of a complex number, absolute value, geometric meaning))</w:t>
      </w:r>
      <w:r w:rsidRPr="00FF115C">
        <w:rPr>
          <w:rStyle w:val="tlid-translation"/>
          <w:rFonts w:ascii="Times New Roman" w:hAnsi="Times New Roman" w:cs="Times New Roman"/>
          <w:lang w:val="en-GB"/>
        </w:rPr>
        <w:t>.</w:t>
      </w:r>
    </w:p>
    <w:p w:rsidR="00FF115C" w:rsidRPr="00FF115C" w:rsidRDefault="00FF115C" w:rsidP="00FF115C">
      <w:pPr>
        <w:widowControl w:val="0"/>
        <w:tabs>
          <w:tab w:val="left" w:pos="1276"/>
        </w:tabs>
        <w:spacing w:before="120" w:after="120" w:line="240" w:lineRule="auto"/>
        <w:ind w:left="426"/>
        <w:jc w:val="both"/>
        <w:rPr>
          <w:rFonts w:ascii="Times New Roman" w:eastAsia="Times New Roman" w:hAnsi="Times New Roman" w:cs="Times New Roman"/>
          <w:i/>
        </w:rPr>
      </w:pPr>
      <w:r w:rsidRPr="00FF115C">
        <w:rPr>
          <w:rFonts w:ascii="Times New Roman" w:eastAsia="Times New Roman" w:hAnsi="Times New Roman" w:cs="Times New Roman"/>
          <w:b/>
        </w:rPr>
        <w:t>12.9–12.15</w:t>
      </w:r>
      <w:r w:rsidRPr="00FF115C">
        <w:rPr>
          <w:rFonts w:ascii="Times New Roman" w:eastAsia="Times New Roman" w:hAnsi="Times New Roman" w:cs="Times New Roman"/>
        </w:rPr>
        <w:t xml:space="preserve"> Boole algebra, Boole függvények (ÉS, VAGY, NEM, NEM-ÉS, NEM-VAGY) és igazságtáblázatuk. (</w:t>
      </w:r>
      <w:r w:rsidRPr="00FF115C">
        <w:rPr>
          <w:rStyle w:val="tlid-translation"/>
          <w:rFonts w:ascii="Times New Roman" w:hAnsi="Times New Roman" w:cs="Times New Roman"/>
          <w:i/>
          <w:lang w:val="en-GB"/>
        </w:rPr>
        <w:t>Boolean Algebra, Boolean Functions (AND, OR, NOT, NAND, NOR) and their truth table.)</w:t>
      </w:r>
    </w:p>
    <w:p w:rsidR="00FF115C" w:rsidRPr="00FF115C" w:rsidRDefault="00FF115C" w:rsidP="00980876">
      <w:pPr>
        <w:widowControl w:val="0"/>
        <w:numPr>
          <w:ilvl w:val="0"/>
          <w:numId w:val="317"/>
        </w:numPr>
        <w:tabs>
          <w:tab w:val="num" w:pos="360"/>
        </w:tabs>
        <w:spacing w:before="120" w:after="120" w:line="240" w:lineRule="auto"/>
        <w:ind w:left="426" w:hanging="142"/>
        <w:jc w:val="both"/>
        <w:rPr>
          <w:rFonts w:ascii="Times New Roman" w:eastAsia="Times New Roman" w:hAnsi="Times New Roman" w:cs="Times New Roman"/>
          <w:bCs/>
        </w:rPr>
      </w:pPr>
      <w:r w:rsidRPr="00FF115C">
        <w:rPr>
          <w:rFonts w:ascii="Times New Roman" w:eastAsia="Times New Roman" w:hAnsi="Times New Roman" w:cs="Times New Roman"/>
          <w:b/>
          <w:bCs/>
        </w:rPr>
        <w:t xml:space="preserve">A tantárgy meghirdetésének gyakorisága/a tantervben történő félévi elhelyezkedése: </w:t>
      </w:r>
      <w:r w:rsidRPr="00FF115C">
        <w:rPr>
          <w:rFonts w:ascii="Times New Roman" w:eastAsia="Times New Roman" w:hAnsi="Times New Roman" w:cs="Times New Roman"/>
          <w:bCs/>
        </w:rPr>
        <w:t>5. félév</w:t>
      </w:r>
    </w:p>
    <w:p w:rsidR="00FF115C" w:rsidRPr="00FF115C" w:rsidRDefault="00FF115C" w:rsidP="00980876">
      <w:pPr>
        <w:widowControl w:val="0"/>
        <w:numPr>
          <w:ilvl w:val="0"/>
          <w:numId w:val="317"/>
        </w:numPr>
        <w:tabs>
          <w:tab w:val="num" w:pos="360"/>
        </w:tabs>
        <w:spacing w:before="120" w:after="120" w:line="240" w:lineRule="auto"/>
        <w:ind w:left="426" w:hanging="142"/>
        <w:jc w:val="both"/>
        <w:rPr>
          <w:rFonts w:ascii="Times New Roman" w:eastAsia="Times New Roman" w:hAnsi="Times New Roman" w:cs="Times New Roman"/>
          <w:bCs/>
        </w:rPr>
      </w:pPr>
      <w:r w:rsidRPr="00FF115C">
        <w:rPr>
          <w:rFonts w:ascii="Times New Roman" w:eastAsia="Times New Roman" w:hAnsi="Times New Roman" w:cs="Times New Roman"/>
          <w:b/>
          <w:bCs/>
        </w:rPr>
        <w:t>A tanórákon való részvétel követelményei, az elfogadható hiányzások mértéke, a távolmaradás pótlásának lehetősége:</w:t>
      </w:r>
      <w:r w:rsidRPr="00FF115C">
        <w:rPr>
          <w:rFonts w:ascii="Times New Roman" w:eastAsia="Times New Roman" w:hAnsi="Times New Roman" w:cs="Times New Roman"/>
          <w:bCs/>
        </w:rPr>
        <w:t xml:space="preserve"> A tanórák legalább 60%-án köteles a hallgató részt venni. Amennyiben a hiányzások mértéke ezt meghaladja, akkor az aláírás megszerzéséhez a hiányzott összes órák anyagából a szorgalmi időszakban be kell számolni.</w:t>
      </w:r>
    </w:p>
    <w:p w:rsidR="00FF115C" w:rsidRPr="00FF115C" w:rsidRDefault="00FF115C" w:rsidP="00980876">
      <w:pPr>
        <w:widowControl w:val="0"/>
        <w:numPr>
          <w:ilvl w:val="0"/>
          <w:numId w:val="317"/>
        </w:numPr>
        <w:spacing w:before="120" w:after="120" w:line="240" w:lineRule="auto"/>
        <w:ind w:left="426" w:hanging="142"/>
        <w:jc w:val="both"/>
        <w:rPr>
          <w:rFonts w:ascii="Times New Roman" w:eastAsia="Times New Roman" w:hAnsi="Times New Roman" w:cs="Times New Roman"/>
          <w:bCs/>
          <w:highlight w:val="lightGray"/>
        </w:rPr>
      </w:pPr>
      <w:r w:rsidRPr="00D94E0A">
        <w:rPr>
          <w:rFonts w:ascii="Times New Roman" w:eastAsia="Times New Roman" w:hAnsi="Times New Roman" w:cs="Times New Roman"/>
          <w:b/>
          <w:bCs/>
        </w:rPr>
        <w:t>Félévközi</w:t>
      </w:r>
      <w:r w:rsidRPr="00D94E0A">
        <w:rPr>
          <w:rFonts w:ascii="Times New Roman" w:eastAsia="Times New Roman" w:hAnsi="Times New Roman" w:cs="Times New Roman"/>
          <w:b/>
        </w:rPr>
        <w:t xml:space="preserve"> feladatok, ismeretek ellenőrzésének rendje:</w:t>
      </w:r>
      <w:r w:rsidRPr="00D94E0A">
        <w:rPr>
          <w:rFonts w:ascii="Times New Roman" w:eastAsia="Times New Roman" w:hAnsi="Times New Roman" w:cs="Times New Roman"/>
          <w:bCs/>
        </w:rPr>
        <w:t xml:space="preserve"> </w:t>
      </w:r>
      <w:r w:rsidRPr="00D94E0A">
        <w:rPr>
          <w:rFonts w:ascii="Times New Roman" w:eastAsia="Times New Roman" w:hAnsi="Times New Roman" w:cs="Times New Roman"/>
        </w:rPr>
        <w:t>A félév során egy zárthelyi dolgozatot</w:t>
      </w:r>
      <w:r w:rsidRPr="00FF115C">
        <w:rPr>
          <w:rFonts w:ascii="Times New Roman" w:eastAsia="Times New Roman" w:hAnsi="Times New Roman" w:cs="Times New Roman"/>
        </w:rPr>
        <w:t xml:space="preserve"> kell írni a </w:t>
      </w:r>
      <w:r w:rsidRPr="00D94E0A">
        <w:rPr>
          <w:rFonts w:ascii="Times New Roman" w:eastAsia="Times New Roman" w:hAnsi="Times New Roman" w:cs="Times New Roman"/>
          <w:b/>
          <w:bCs/>
        </w:rPr>
        <w:t>tantárgy</w:t>
      </w:r>
      <w:r w:rsidRPr="00FF115C">
        <w:rPr>
          <w:rFonts w:ascii="Times New Roman" w:eastAsia="Times New Roman" w:hAnsi="Times New Roman" w:cs="Times New Roman"/>
        </w:rPr>
        <w:t xml:space="preserve"> teljes tartalmából. Az értékelés: </w:t>
      </w:r>
      <w:r w:rsidRPr="00FF115C">
        <w:rPr>
          <w:rFonts w:ascii="Times New Roman" w:eastAsia="Times New Roman" w:hAnsi="Times New Roman" w:cs="Times New Roman"/>
          <w:bCs/>
        </w:rPr>
        <w:t>60 %-tól elégséges, 70 %-tól közepes, 80-tól % jó, 90 %-tól jeles. Elégtelen zárthelyi dolgozat esetén a vizsgaidőszak első hetében van lehetőség a pótlásra. Ezt követően még két alkalommal van további pótlási lehetőség.</w:t>
      </w:r>
      <w:r w:rsidRPr="00FF115C">
        <w:rPr>
          <w:rFonts w:ascii="Times New Roman" w:eastAsia="Times New Roman" w:hAnsi="Times New Roman" w:cs="Times New Roman"/>
          <w:bCs/>
          <w:highlight w:val="lightGray"/>
        </w:rPr>
        <w:t xml:space="preserve"> </w:t>
      </w:r>
    </w:p>
    <w:p w:rsidR="00FF115C" w:rsidRPr="00FF115C" w:rsidRDefault="00FF115C" w:rsidP="00980876">
      <w:pPr>
        <w:widowControl w:val="0"/>
        <w:numPr>
          <w:ilvl w:val="0"/>
          <w:numId w:val="317"/>
        </w:numPr>
        <w:spacing w:before="120" w:after="120" w:line="240" w:lineRule="auto"/>
        <w:ind w:left="426" w:hanging="142"/>
        <w:jc w:val="both"/>
        <w:rPr>
          <w:rFonts w:ascii="Times New Roman" w:eastAsia="Times New Roman" w:hAnsi="Times New Roman" w:cs="Times New Roman"/>
          <w:bCs/>
        </w:rPr>
      </w:pPr>
      <w:r w:rsidRPr="00FF115C">
        <w:rPr>
          <w:rFonts w:ascii="Times New Roman" w:eastAsia="Times New Roman" w:hAnsi="Times New Roman" w:cs="Times New Roman"/>
          <w:b/>
          <w:bCs/>
        </w:rPr>
        <w:t xml:space="preserve">Az értékelés, az aláírás és a kreditek megszerzésének pontos feltételei: </w:t>
      </w:r>
    </w:p>
    <w:p w:rsidR="00FF115C" w:rsidRPr="00FF115C" w:rsidRDefault="00FF115C" w:rsidP="00980876">
      <w:pPr>
        <w:widowControl w:val="0"/>
        <w:numPr>
          <w:ilvl w:val="1"/>
          <w:numId w:val="317"/>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FF115C">
        <w:rPr>
          <w:rFonts w:ascii="Times New Roman" w:eastAsia="Times New Roman" w:hAnsi="Times New Roman" w:cs="Times New Roman"/>
          <w:b/>
        </w:rPr>
        <w:t>Az aláírás megszerzésének feltételei:</w:t>
      </w:r>
      <w:r w:rsidRPr="00FF115C">
        <w:rPr>
          <w:rFonts w:ascii="Times New Roman" w:eastAsia="Times New Roman" w:hAnsi="Times New Roman" w:cs="Times New Roman"/>
        </w:rPr>
        <w:t xml:space="preserve"> Az aláírás megszerzésének feltétele a 14. pontban meghatározott arányú részvétel a foglalkozásokon és a 15. pontban meghatározott félévközi feladat legalább elégséges szintű teljesítése.</w:t>
      </w:r>
    </w:p>
    <w:p w:rsidR="00FF115C" w:rsidRPr="00FF115C" w:rsidRDefault="00FF115C" w:rsidP="00980876">
      <w:pPr>
        <w:widowControl w:val="0"/>
        <w:numPr>
          <w:ilvl w:val="1"/>
          <w:numId w:val="317"/>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FF115C">
        <w:rPr>
          <w:rFonts w:ascii="Times New Roman" w:eastAsia="Times New Roman" w:hAnsi="Times New Roman" w:cs="Times New Roman"/>
          <w:b/>
        </w:rPr>
        <w:t>Az értékelés:</w:t>
      </w:r>
      <w:r w:rsidRPr="00FF115C">
        <w:rPr>
          <w:rFonts w:ascii="Times New Roman" w:eastAsia="Times New Roman" w:hAnsi="Times New Roman" w:cs="Times New Roman"/>
        </w:rPr>
        <w:t xml:space="preserve"> a félévközi feladat értékelése alapján.</w:t>
      </w:r>
    </w:p>
    <w:p w:rsidR="00FF115C" w:rsidRPr="00FF115C" w:rsidRDefault="00FF115C" w:rsidP="00980876">
      <w:pPr>
        <w:widowControl w:val="0"/>
        <w:numPr>
          <w:ilvl w:val="1"/>
          <w:numId w:val="317"/>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FF115C">
        <w:rPr>
          <w:rFonts w:ascii="Times New Roman" w:eastAsia="Times New Roman" w:hAnsi="Times New Roman" w:cs="Times New Roman"/>
          <w:b/>
        </w:rPr>
        <w:t>A kreditek megszerzésének feltételei:</w:t>
      </w:r>
      <w:r w:rsidRPr="00FF115C">
        <w:rPr>
          <w:rFonts w:ascii="Times New Roman" w:eastAsia="Times New Roman" w:hAnsi="Times New Roman" w:cs="Times New Roman"/>
        </w:rPr>
        <w:t xml:space="preserve"> Aláírás és legalább elégséges félévközi feladat.</w:t>
      </w:r>
    </w:p>
    <w:p w:rsidR="00FF115C" w:rsidRPr="00FF115C" w:rsidRDefault="00FF115C" w:rsidP="00980876">
      <w:pPr>
        <w:widowControl w:val="0"/>
        <w:numPr>
          <w:ilvl w:val="0"/>
          <w:numId w:val="317"/>
        </w:numPr>
        <w:tabs>
          <w:tab w:val="num" w:pos="360"/>
        </w:tabs>
        <w:spacing w:before="120" w:after="120" w:line="240" w:lineRule="auto"/>
        <w:ind w:left="426" w:hanging="142"/>
        <w:jc w:val="both"/>
        <w:rPr>
          <w:rFonts w:ascii="Times New Roman" w:eastAsia="Times New Roman" w:hAnsi="Times New Roman" w:cs="Times New Roman"/>
          <w:bCs/>
        </w:rPr>
      </w:pPr>
      <w:r w:rsidRPr="00FF115C">
        <w:rPr>
          <w:rFonts w:ascii="Times New Roman" w:eastAsia="Times New Roman" w:hAnsi="Times New Roman" w:cs="Times New Roman"/>
          <w:b/>
          <w:bCs/>
        </w:rPr>
        <w:t>Irodalomjegyzék:</w:t>
      </w:r>
    </w:p>
    <w:p w:rsidR="00FF115C" w:rsidRPr="00FF115C" w:rsidRDefault="00FF115C" w:rsidP="00980876">
      <w:pPr>
        <w:widowControl w:val="0"/>
        <w:numPr>
          <w:ilvl w:val="1"/>
          <w:numId w:val="317"/>
        </w:numPr>
        <w:tabs>
          <w:tab w:val="clear" w:pos="3977"/>
          <w:tab w:val="left" w:pos="567"/>
          <w:tab w:val="left" w:pos="851"/>
          <w:tab w:val="num" w:pos="1000"/>
          <w:tab w:val="num" w:pos="2069"/>
        </w:tabs>
        <w:spacing w:before="120" w:after="120" w:line="240" w:lineRule="auto"/>
        <w:ind w:left="426" w:hanging="142"/>
        <w:jc w:val="both"/>
        <w:rPr>
          <w:rFonts w:ascii="Times New Roman" w:eastAsia="Times New Roman" w:hAnsi="Times New Roman" w:cs="Times New Roman"/>
          <w:bCs/>
        </w:rPr>
      </w:pPr>
      <w:r w:rsidRPr="00FF115C">
        <w:rPr>
          <w:rFonts w:ascii="Times New Roman" w:eastAsia="Times New Roman" w:hAnsi="Times New Roman" w:cs="Times New Roman"/>
          <w:b/>
          <w:bCs/>
        </w:rPr>
        <w:t>Kötelező irodalom:</w:t>
      </w:r>
    </w:p>
    <w:p w:rsidR="00FF115C" w:rsidRPr="00FF115C" w:rsidRDefault="00FF115C" w:rsidP="00980876">
      <w:pPr>
        <w:pStyle w:val="Listaszerbekezds"/>
        <w:numPr>
          <w:ilvl w:val="0"/>
          <w:numId w:val="315"/>
        </w:numPr>
        <w:spacing w:after="0" w:line="240" w:lineRule="auto"/>
        <w:jc w:val="both"/>
        <w:rPr>
          <w:rFonts w:ascii="Times New Roman" w:hAnsi="Times New Roman" w:cs="Times New Roman"/>
        </w:rPr>
      </w:pPr>
      <w:r w:rsidRPr="00FF115C">
        <w:rPr>
          <w:rFonts w:ascii="Times New Roman" w:hAnsi="Times New Roman" w:cs="Times New Roman"/>
        </w:rPr>
        <w:t>Obádovics, J. Gy.: Matematika, Scolar Kiadó, 2016.</w:t>
      </w:r>
    </w:p>
    <w:p w:rsidR="00FF115C" w:rsidRPr="00FF115C" w:rsidRDefault="00FF115C" w:rsidP="00980876">
      <w:pPr>
        <w:pStyle w:val="Listaszerbekezds"/>
        <w:numPr>
          <w:ilvl w:val="0"/>
          <w:numId w:val="315"/>
        </w:numPr>
        <w:spacing w:after="0" w:line="240" w:lineRule="auto"/>
        <w:jc w:val="both"/>
        <w:rPr>
          <w:rFonts w:ascii="Times New Roman" w:hAnsi="Times New Roman" w:cs="Times New Roman"/>
        </w:rPr>
      </w:pPr>
      <w:r w:rsidRPr="00FF115C">
        <w:rPr>
          <w:rFonts w:ascii="Times New Roman" w:hAnsi="Times New Roman" w:cs="Times New Roman"/>
        </w:rPr>
        <w:t>Ábrahám, I.: Analízis 1.-Boole algebra. Sorozatok. Függvények, Mozaik Kiadó, 2005.</w:t>
      </w:r>
    </w:p>
    <w:p w:rsidR="00FF115C" w:rsidRPr="00FF115C" w:rsidRDefault="00FF115C" w:rsidP="00980876">
      <w:pPr>
        <w:widowControl w:val="0"/>
        <w:numPr>
          <w:ilvl w:val="1"/>
          <w:numId w:val="317"/>
        </w:numPr>
        <w:tabs>
          <w:tab w:val="clear" w:pos="3977"/>
          <w:tab w:val="num" w:pos="567"/>
          <w:tab w:val="num" w:pos="1000"/>
          <w:tab w:val="num" w:pos="2069"/>
        </w:tabs>
        <w:spacing w:before="120" w:after="120" w:line="240" w:lineRule="auto"/>
        <w:ind w:left="993" w:hanging="709"/>
        <w:jc w:val="both"/>
        <w:rPr>
          <w:rFonts w:ascii="Times New Roman" w:eastAsia="Times New Roman" w:hAnsi="Times New Roman" w:cs="Times New Roman"/>
          <w:b/>
          <w:bCs/>
        </w:rPr>
      </w:pPr>
      <w:r w:rsidRPr="00FF115C">
        <w:rPr>
          <w:rFonts w:ascii="Times New Roman" w:eastAsia="Times New Roman" w:hAnsi="Times New Roman" w:cs="Times New Roman"/>
          <w:b/>
          <w:bCs/>
        </w:rPr>
        <w:t>Ajánlott irodalom:</w:t>
      </w:r>
    </w:p>
    <w:p w:rsidR="00FF115C" w:rsidRPr="00FF115C" w:rsidRDefault="00FF115C" w:rsidP="00980876">
      <w:pPr>
        <w:pStyle w:val="Listaszerbekezds"/>
        <w:numPr>
          <w:ilvl w:val="0"/>
          <w:numId w:val="316"/>
        </w:numPr>
        <w:tabs>
          <w:tab w:val="num" w:pos="1418"/>
        </w:tabs>
        <w:spacing w:after="0" w:line="240" w:lineRule="auto"/>
        <w:ind w:left="1134" w:hanging="283"/>
        <w:jc w:val="both"/>
        <w:rPr>
          <w:rFonts w:ascii="Times New Roman" w:hAnsi="Times New Roman" w:cs="Times New Roman"/>
        </w:rPr>
      </w:pPr>
      <w:r w:rsidRPr="00FF115C">
        <w:rPr>
          <w:rFonts w:ascii="Times New Roman" w:hAnsi="Times New Roman" w:cs="Times New Roman"/>
        </w:rPr>
        <w:t>Ágoston, A., Gonda, J., Bellus, J.: A logikai (Boole) algebra alapjai/Logikai áramkörök és alkalmazásaik, Felsőoktatási Jegyzetellátó Vállalat, Budapest 1964.</w:t>
      </w:r>
    </w:p>
    <w:p w:rsidR="00FF115C" w:rsidRPr="00FF115C" w:rsidRDefault="00FF115C" w:rsidP="00980876">
      <w:pPr>
        <w:pStyle w:val="Listaszerbekezds"/>
        <w:numPr>
          <w:ilvl w:val="0"/>
          <w:numId w:val="316"/>
        </w:numPr>
        <w:tabs>
          <w:tab w:val="num" w:pos="1418"/>
        </w:tabs>
        <w:spacing w:after="0" w:line="240" w:lineRule="auto"/>
        <w:ind w:left="1134" w:hanging="283"/>
        <w:jc w:val="both"/>
        <w:rPr>
          <w:rFonts w:ascii="Times New Roman" w:hAnsi="Times New Roman" w:cs="Times New Roman"/>
        </w:rPr>
      </w:pPr>
      <w:r w:rsidRPr="00FF115C">
        <w:rPr>
          <w:rFonts w:ascii="Times New Roman" w:hAnsi="Times New Roman" w:cs="Times New Roman"/>
        </w:rPr>
        <w:t>Szendrei,. J. Algebra és számelmélet, Tankönyvkiadó, 1977</w:t>
      </w:r>
    </w:p>
    <w:p w:rsidR="00FF115C" w:rsidRPr="00FF115C" w:rsidRDefault="007B0C66" w:rsidP="00FF115C">
      <w:pPr>
        <w:widowControl w:val="0"/>
        <w:spacing w:before="120" w:after="120" w:line="240" w:lineRule="auto"/>
        <w:jc w:val="both"/>
        <w:rPr>
          <w:rFonts w:ascii="Times New Roman" w:eastAsia="Times New Roman" w:hAnsi="Times New Roman" w:cs="Times New Roman"/>
          <w:bCs/>
        </w:rPr>
      </w:pPr>
      <w:r>
        <w:rPr>
          <w:rFonts w:ascii="Times New Roman" w:eastAsia="Times New Roman" w:hAnsi="Times New Roman" w:cs="Times New Roman"/>
          <w:bCs/>
        </w:rPr>
        <w:t>Budapest, 2020. március               -n</w:t>
      </w:r>
    </w:p>
    <w:p w:rsidR="00FF115C" w:rsidRPr="00FF115C" w:rsidRDefault="00FF115C" w:rsidP="007B0C66">
      <w:pPr>
        <w:widowControl w:val="0"/>
        <w:spacing w:before="120" w:after="120" w:line="240" w:lineRule="auto"/>
        <w:ind w:left="5670"/>
        <w:jc w:val="center"/>
        <w:rPr>
          <w:rFonts w:ascii="Times New Roman" w:eastAsia="Times New Roman" w:hAnsi="Times New Roman" w:cs="Times New Roman"/>
          <w:bCs/>
        </w:rPr>
      </w:pPr>
    </w:p>
    <w:p w:rsidR="00FF115C" w:rsidRPr="00FF115C" w:rsidRDefault="00FF115C" w:rsidP="007B0C66">
      <w:pPr>
        <w:widowControl w:val="0"/>
        <w:spacing w:after="0" w:line="240" w:lineRule="auto"/>
        <w:ind w:left="5670"/>
        <w:jc w:val="center"/>
        <w:rPr>
          <w:rFonts w:ascii="Times New Roman" w:eastAsia="Times New Roman" w:hAnsi="Times New Roman" w:cs="Times New Roman"/>
          <w:b/>
          <w:bCs/>
        </w:rPr>
      </w:pPr>
      <w:r w:rsidRPr="00FF115C">
        <w:rPr>
          <w:rFonts w:ascii="Times New Roman" w:eastAsia="Times New Roman" w:hAnsi="Times New Roman" w:cs="Times New Roman"/>
          <w:b/>
          <w:bCs/>
        </w:rPr>
        <w:t xml:space="preserve">Dr. Gyarmati József </w:t>
      </w:r>
      <w:r w:rsidR="004A4C51">
        <w:rPr>
          <w:rFonts w:ascii="Times New Roman" w:eastAsia="Times New Roman" w:hAnsi="Times New Roman" w:cs="Times New Roman"/>
          <w:b/>
          <w:bCs/>
        </w:rPr>
        <w:t>alezredes, PhD</w:t>
      </w:r>
    </w:p>
    <w:p w:rsidR="00FF115C" w:rsidRPr="00FF115C" w:rsidRDefault="00FF115C" w:rsidP="007B0C66">
      <w:pPr>
        <w:widowControl w:val="0"/>
        <w:spacing w:after="0" w:line="240" w:lineRule="auto"/>
        <w:ind w:left="5670"/>
        <w:jc w:val="center"/>
        <w:rPr>
          <w:rFonts w:ascii="Times New Roman" w:hAnsi="Times New Roman" w:cs="Times New Roman"/>
        </w:rPr>
      </w:pPr>
      <w:r w:rsidRPr="00FF115C">
        <w:rPr>
          <w:rFonts w:ascii="Times New Roman" w:eastAsia="Times New Roman" w:hAnsi="Times New Roman" w:cs="Times New Roman"/>
          <w:bCs/>
        </w:rPr>
        <w:t>egyetemi docens</w:t>
      </w:r>
      <w:r w:rsidR="00FC1CD9">
        <w:rPr>
          <w:rFonts w:ascii="Times New Roman" w:eastAsia="Times New Roman" w:hAnsi="Times New Roman" w:cs="Times New Roman"/>
          <w:bCs/>
        </w:rPr>
        <w:t>, sk.</w:t>
      </w:r>
    </w:p>
    <w:p w:rsidR="00FF115C" w:rsidRDefault="00FF115C">
      <w:pPr>
        <w:spacing w:after="200" w:line="276" w:lineRule="auto"/>
        <w:rPr>
          <w:rFonts w:ascii="Times New Roman" w:hAnsi="Times New Roman" w:cs="Times New Roman"/>
          <w:sz w:val="24"/>
        </w:rPr>
      </w:pPr>
    </w:p>
    <w:tbl>
      <w:tblPr>
        <w:tblW w:w="9072" w:type="dxa"/>
        <w:tblInd w:w="113" w:type="dxa"/>
        <w:tblLook w:val="01E0" w:firstRow="1" w:lastRow="1" w:firstColumn="1" w:lastColumn="1" w:noHBand="0" w:noVBand="0"/>
      </w:tblPr>
      <w:tblGrid>
        <w:gridCol w:w="4855"/>
        <w:gridCol w:w="1620"/>
        <w:gridCol w:w="2597"/>
      </w:tblGrid>
      <w:tr w:rsidR="007B6B4B" w:rsidRPr="007B6B4B" w:rsidTr="007B6B4B">
        <w:tc>
          <w:tcPr>
            <w:tcW w:w="4855" w:type="dxa"/>
            <w:tcBorders>
              <w:bottom w:val="single" w:sz="4" w:space="0" w:color="auto"/>
            </w:tcBorders>
          </w:tcPr>
          <w:p w:rsidR="007B6B4B" w:rsidRPr="007B6B4B" w:rsidRDefault="007B6B4B" w:rsidP="007B6B4B">
            <w:pPr>
              <w:spacing w:after="0" w:line="240" w:lineRule="auto"/>
              <w:jc w:val="center"/>
              <w:rPr>
                <w:rFonts w:ascii="Times New Roman" w:eastAsia="Times New Roman" w:hAnsi="Times New Roman" w:cs="Times New Roman"/>
                <w:b/>
                <w:smallCaps/>
                <w:lang w:eastAsia="hu-HU"/>
              </w:rPr>
            </w:pPr>
            <w:r w:rsidRPr="007B6B4B">
              <w:rPr>
                <w:rFonts w:ascii="Times New Roman" w:eastAsia="Times New Roman" w:hAnsi="Times New Roman" w:cs="Times New Roman"/>
                <w:b/>
                <w:smallCaps/>
                <w:lang w:eastAsia="hu-HU"/>
              </w:rPr>
              <w:lastRenderedPageBreak/>
              <w:t>Nemzeti Közszolgálati Egyetem</w:t>
            </w:r>
          </w:p>
        </w:tc>
        <w:tc>
          <w:tcPr>
            <w:tcW w:w="1620" w:type="dxa"/>
          </w:tcPr>
          <w:p w:rsidR="007B6B4B" w:rsidRPr="007B6B4B" w:rsidRDefault="007B6B4B" w:rsidP="007B6B4B">
            <w:pPr>
              <w:spacing w:after="0" w:line="240" w:lineRule="auto"/>
              <w:jc w:val="both"/>
              <w:rPr>
                <w:rFonts w:ascii="Times New Roman" w:eastAsia="Times New Roman" w:hAnsi="Times New Roman" w:cs="Times New Roman"/>
                <w:lang w:eastAsia="hu-HU"/>
              </w:rPr>
            </w:pPr>
          </w:p>
        </w:tc>
        <w:tc>
          <w:tcPr>
            <w:tcW w:w="2597" w:type="dxa"/>
          </w:tcPr>
          <w:p w:rsidR="007B6B4B" w:rsidRPr="007B6B4B" w:rsidRDefault="007B6B4B" w:rsidP="007B6B4B">
            <w:pPr>
              <w:spacing w:after="0" w:line="240" w:lineRule="auto"/>
              <w:jc w:val="right"/>
              <w:rPr>
                <w:rFonts w:ascii="Times New Roman" w:eastAsia="Times New Roman" w:hAnsi="Times New Roman" w:cs="Times New Roman"/>
                <w:lang w:eastAsia="hu-HU"/>
              </w:rPr>
            </w:pPr>
          </w:p>
        </w:tc>
      </w:tr>
      <w:tr w:rsidR="007B6B4B" w:rsidRPr="007B6B4B" w:rsidTr="007B6B4B">
        <w:tc>
          <w:tcPr>
            <w:tcW w:w="4855" w:type="dxa"/>
            <w:tcBorders>
              <w:top w:val="single" w:sz="4" w:space="0" w:color="auto"/>
            </w:tcBorders>
          </w:tcPr>
          <w:p w:rsidR="007B6B4B" w:rsidRPr="007B6B4B" w:rsidRDefault="007B6B4B" w:rsidP="007B6B4B">
            <w:pPr>
              <w:spacing w:after="0" w:line="240" w:lineRule="auto"/>
              <w:jc w:val="center"/>
              <w:rPr>
                <w:rFonts w:ascii="Times New Roman" w:eastAsia="Times New Roman" w:hAnsi="Times New Roman" w:cs="Times New Roman"/>
                <w:b/>
                <w:lang w:eastAsia="hu-HU"/>
              </w:rPr>
            </w:pPr>
            <w:r w:rsidRPr="007B6B4B">
              <w:rPr>
                <w:rFonts w:ascii="Times New Roman" w:eastAsia="Times New Roman" w:hAnsi="Times New Roman" w:cs="Times New Roman"/>
                <w:b/>
                <w:lang w:eastAsia="hu-HU"/>
              </w:rPr>
              <w:t>Hadtudományi és Honvédtisztképző Kar</w:t>
            </w:r>
          </w:p>
        </w:tc>
        <w:tc>
          <w:tcPr>
            <w:tcW w:w="1620" w:type="dxa"/>
          </w:tcPr>
          <w:p w:rsidR="007B6B4B" w:rsidRPr="007B6B4B" w:rsidRDefault="007B6B4B" w:rsidP="007B6B4B">
            <w:pPr>
              <w:spacing w:after="0" w:line="240" w:lineRule="auto"/>
              <w:jc w:val="both"/>
              <w:rPr>
                <w:rFonts w:ascii="Times New Roman" w:eastAsia="Times New Roman" w:hAnsi="Times New Roman" w:cs="Times New Roman"/>
                <w:lang w:eastAsia="hu-HU"/>
              </w:rPr>
            </w:pPr>
          </w:p>
        </w:tc>
        <w:tc>
          <w:tcPr>
            <w:tcW w:w="2597" w:type="dxa"/>
          </w:tcPr>
          <w:p w:rsidR="007B6B4B" w:rsidRPr="007B6B4B" w:rsidRDefault="007B6B4B" w:rsidP="007B6B4B">
            <w:pPr>
              <w:spacing w:after="0" w:line="240" w:lineRule="auto"/>
              <w:jc w:val="both"/>
              <w:rPr>
                <w:rFonts w:ascii="Times New Roman" w:eastAsia="Times New Roman" w:hAnsi="Times New Roman" w:cs="Times New Roman"/>
                <w:lang w:eastAsia="hu-HU"/>
              </w:rPr>
            </w:pPr>
          </w:p>
        </w:tc>
      </w:tr>
    </w:tbl>
    <w:p w:rsidR="007B6B4B" w:rsidRPr="007B6B4B" w:rsidRDefault="007B6B4B" w:rsidP="007B6B4B">
      <w:pPr>
        <w:widowControl w:val="0"/>
        <w:spacing w:before="120" w:after="120" w:line="240" w:lineRule="auto"/>
        <w:ind w:left="426" w:hanging="142"/>
        <w:jc w:val="center"/>
        <w:rPr>
          <w:rFonts w:ascii="Times New Roman" w:eastAsia="Times New Roman" w:hAnsi="Times New Roman" w:cs="Times New Roman"/>
          <w:b/>
          <w:bCs/>
        </w:rPr>
      </w:pPr>
    </w:p>
    <w:p w:rsidR="007B6B4B" w:rsidRPr="007B6B4B" w:rsidRDefault="007B6B4B" w:rsidP="007B6B4B">
      <w:pPr>
        <w:widowControl w:val="0"/>
        <w:spacing w:before="120" w:after="120" w:line="240" w:lineRule="auto"/>
        <w:ind w:left="426" w:hanging="142"/>
        <w:jc w:val="center"/>
        <w:rPr>
          <w:rFonts w:ascii="Times New Roman" w:eastAsia="Times New Roman" w:hAnsi="Times New Roman" w:cs="Times New Roman"/>
          <w:b/>
          <w:bCs/>
        </w:rPr>
      </w:pPr>
      <w:r w:rsidRPr="007B6B4B">
        <w:rPr>
          <w:rFonts w:ascii="Times New Roman" w:eastAsia="Times New Roman" w:hAnsi="Times New Roman" w:cs="Times New Roman"/>
          <w:b/>
          <w:bCs/>
        </w:rPr>
        <w:t>TANTÁRGYI PROGRAM</w:t>
      </w:r>
    </w:p>
    <w:p w:rsidR="007B6B4B" w:rsidRPr="007B6B4B" w:rsidRDefault="007B6B4B" w:rsidP="00980876">
      <w:pPr>
        <w:widowControl w:val="0"/>
        <w:numPr>
          <w:ilvl w:val="0"/>
          <w:numId w:val="318"/>
        </w:numPr>
        <w:tabs>
          <w:tab w:val="clear" w:pos="720"/>
          <w:tab w:val="num" w:pos="502"/>
          <w:tab w:val="num" w:pos="567"/>
        </w:tabs>
        <w:spacing w:before="120" w:after="120" w:line="240" w:lineRule="auto"/>
        <w:ind w:left="426" w:hanging="142"/>
        <w:jc w:val="both"/>
        <w:rPr>
          <w:rFonts w:ascii="Times New Roman" w:eastAsia="Times New Roman" w:hAnsi="Times New Roman" w:cs="Times New Roman"/>
          <w:bCs/>
        </w:rPr>
      </w:pPr>
      <w:r w:rsidRPr="007B6B4B">
        <w:rPr>
          <w:rFonts w:ascii="Times New Roman" w:eastAsia="Times New Roman" w:hAnsi="Times New Roman" w:cs="Times New Roman"/>
          <w:b/>
          <w:bCs/>
        </w:rPr>
        <w:t xml:space="preserve">A tantárgy kódja: </w:t>
      </w:r>
      <w:r w:rsidRPr="007B6B4B">
        <w:rPr>
          <w:rFonts w:ascii="Times New Roman" w:eastAsia="Times New Roman" w:hAnsi="Times New Roman" w:cs="Times New Roman"/>
          <w:bCs/>
        </w:rPr>
        <w:t>HK925A151</w:t>
      </w:r>
    </w:p>
    <w:p w:rsidR="007B6B4B" w:rsidRPr="007B6B4B" w:rsidRDefault="007B6B4B" w:rsidP="00980876">
      <w:pPr>
        <w:widowControl w:val="0"/>
        <w:numPr>
          <w:ilvl w:val="0"/>
          <w:numId w:val="318"/>
        </w:numPr>
        <w:tabs>
          <w:tab w:val="clear" w:pos="720"/>
          <w:tab w:val="num" w:pos="502"/>
          <w:tab w:val="num" w:pos="567"/>
        </w:tabs>
        <w:spacing w:before="120" w:after="120" w:line="240" w:lineRule="auto"/>
        <w:ind w:left="426" w:hanging="142"/>
        <w:jc w:val="both"/>
        <w:rPr>
          <w:rFonts w:ascii="Times New Roman" w:eastAsia="Times New Roman" w:hAnsi="Times New Roman" w:cs="Times New Roman"/>
          <w:b/>
          <w:bCs/>
          <w:lang w:val="en-GB"/>
        </w:rPr>
      </w:pPr>
      <w:r w:rsidRPr="007B6B4B">
        <w:rPr>
          <w:rFonts w:ascii="Times New Roman" w:eastAsia="Times New Roman" w:hAnsi="Times New Roman" w:cs="Times New Roman"/>
          <w:b/>
          <w:bCs/>
        </w:rPr>
        <w:t>A tantárgy megnevezése (magyarul):</w:t>
      </w:r>
      <w:r w:rsidRPr="007B6B4B">
        <w:rPr>
          <w:rFonts w:ascii="Times New Roman" w:eastAsia="Times New Roman" w:hAnsi="Times New Roman" w:cs="Times New Roman"/>
          <w:bCs/>
        </w:rPr>
        <w:t xml:space="preserve"> Mechanika LOG 3</w:t>
      </w:r>
    </w:p>
    <w:p w:rsidR="007B6B4B" w:rsidRPr="007B6B4B" w:rsidRDefault="007B6B4B" w:rsidP="00980876">
      <w:pPr>
        <w:widowControl w:val="0"/>
        <w:numPr>
          <w:ilvl w:val="0"/>
          <w:numId w:val="318"/>
        </w:numPr>
        <w:tabs>
          <w:tab w:val="clear" w:pos="720"/>
          <w:tab w:val="num" w:pos="502"/>
          <w:tab w:val="num" w:pos="567"/>
        </w:tabs>
        <w:spacing w:before="120" w:after="120" w:line="240" w:lineRule="auto"/>
        <w:ind w:left="426" w:hanging="142"/>
        <w:jc w:val="both"/>
        <w:rPr>
          <w:rFonts w:ascii="Times New Roman" w:eastAsia="Times New Roman" w:hAnsi="Times New Roman" w:cs="Times New Roman"/>
          <w:b/>
          <w:bCs/>
          <w:lang w:val="en-GB"/>
        </w:rPr>
      </w:pPr>
      <w:r w:rsidRPr="007B6B4B">
        <w:rPr>
          <w:rFonts w:ascii="Times New Roman" w:eastAsia="Times New Roman" w:hAnsi="Times New Roman" w:cs="Times New Roman"/>
          <w:b/>
          <w:bCs/>
        </w:rPr>
        <w:t>A tantárgy megnevezése (angolul):</w:t>
      </w:r>
      <w:r w:rsidRPr="007B6B4B">
        <w:rPr>
          <w:rFonts w:ascii="Times New Roman" w:eastAsia="Times New Roman" w:hAnsi="Times New Roman" w:cs="Times New Roman"/>
          <w:bCs/>
        </w:rPr>
        <w:t xml:space="preserve"> Mechanics LOG 3</w:t>
      </w:r>
    </w:p>
    <w:p w:rsidR="007B6B4B" w:rsidRPr="007B6B4B" w:rsidRDefault="007B6B4B" w:rsidP="00980876">
      <w:pPr>
        <w:widowControl w:val="0"/>
        <w:numPr>
          <w:ilvl w:val="0"/>
          <w:numId w:val="318"/>
        </w:numPr>
        <w:tabs>
          <w:tab w:val="clear" w:pos="720"/>
          <w:tab w:val="num" w:pos="502"/>
          <w:tab w:val="num" w:pos="567"/>
        </w:tabs>
        <w:spacing w:before="120" w:after="120" w:line="240" w:lineRule="auto"/>
        <w:ind w:left="426" w:hanging="142"/>
        <w:jc w:val="both"/>
        <w:rPr>
          <w:rFonts w:ascii="Times New Roman" w:eastAsia="Times New Roman" w:hAnsi="Times New Roman" w:cs="Times New Roman"/>
          <w:b/>
          <w:bCs/>
        </w:rPr>
      </w:pPr>
      <w:r w:rsidRPr="007B6B4B">
        <w:rPr>
          <w:rFonts w:ascii="Times New Roman" w:eastAsia="Times New Roman" w:hAnsi="Times New Roman" w:cs="Times New Roman"/>
          <w:b/>
          <w:bCs/>
        </w:rPr>
        <w:t xml:space="preserve">Kreditérték és képzési karakter: </w:t>
      </w:r>
    </w:p>
    <w:p w:rsidR="007B6B4B" w:rsidRPr="007B6B4B" w:rsidRDefault="007B6B4B" w:rsidP="00980876">
      <w:pPr>
        <w:pStyle w:val="Listaszerbekezds"/>
        <w:widowControl w:val="0"/>
        <w:numPr>
          <w:ilvl w:val="1"/>
          <w:numId w:val="318"/>
        </w:numPr>
        <w:tabs>
          <w:tab w:val="clear" w:pos="3977"/>
        </w:tabs>
        <w:spacing w:before="120" w:after="120" w:line="240" w:lineRule="auto"/>
        <w:ind w:left="993" w:hanging="426"/>
        <w:jc w:val="both"/>
        <w:rPr>
          <w:rFonts w:ascii="Times New Roman" w:eastAsia="Times New Roman" w:hAnsi="Times New Roman" w:cs="Times New Roman"/>
          <w:b/>
          <w:bCs/>
        </w:rPr>
      </w:pPr>
      <w:r w:rsidRPr="007B6B4B">
        <w:rPr>
          <w:rFonts w:ascii="Times New Roman" w:eastAsia="Times New Roman" w:hAnsi="Times New Roman" w:cs="Times New Roman"/>
          <w:bCs/>
        </w:rPr>
        <w:t>1 kredit</w:t>
      </w:r>
    </w:p>
    <w:p w:rsidR="007B6B4B" w:rsidRPr="007B6B4B" w:rsidRDefault="007B6B4B" w:rsidP="00980876">
      <w:pPr>
        <w:pStyle w:val="Listaszerbekezds"/>
        <w:widowControl w:val="0"/>
        <w:numPr>
          <w:ilvl w:val="1"/>
          <w:numId w:val="318"/>
        </w:numPr>
        <w:tabs>
          <w:tab w:val="clear" w:pos="3977"/>
        </w:tabs>
        <w:spacing w:before="120" w:after="120" w:line="240" w:lineRule="auto"/>
        <w:ind w:left="993" w:hanging="426"/>
        <w:jc w:val="both"/>
        <w:rPr>
          <w:rFonts w:ascii="Times New Roman" w:eastAsia="Times New Roman" w:hAnsi="Times New Roman" w:cs="Times New Roman"/>
          <w:b/>
          <w:bCs/>
        </w:rPr>
      </w:pPr>
      <w:r w:rsidRPr="007B6B4B">
        <w:rPr>
          <w:rFonts w:ascii="Times New Roman" w:eastAsia="Times New Roman" w:hAnsi="Times New Roman" w:cs="Times New Roman"/>
          <w:bCs/>
        </w:rPr>
        <w:t>a tantárgy elméleti vagy gyakorlati jellegének mértéke: 100 % gyakorlat, 0 % elmélet</w:t>
      </w:r>
    </w:p>
    <w:p w:rsidR="007B6B4B" w:rsidRPr="007B6B4B" w:rsidRDefault="007B6B4B" w:rsidP="00980876">
      <w:pPr>
        <w:widowControl w:val="0"/>
        <w:numPr>
          <w:ilvl w:val="0"/>
          <w:numId w:val="318"/>
        </w:numPr>
        <w:tabs>
          <w:tab w:val="clear" w:pos="720"/>
          <w:tab w:val="num" w:pos="502"/>
        </w:tabs>
        <w:spacing w:before="120" w:after="120" w:line="240" w:lineRule="auto"/>
        <w:ind w:left="426" w:hanging="142"/>
        <w:jc w:val="both"/>
        <w:rPr>
          <w:rFonts w:ascii="Times New Roman" w:eastAsia="Times New Roman" w:hAnsi="Times New Roman" w:cs="Times New Roman"/>
          <w:bCs/>
          <w:color w:val="92D050"/>
        </w:rPr>
      </w:pPr>
      <w:r w:rsidRPr="007B6B4B">
        <w:rPr>
          <w:rFonts w:ascii="Times New Roman" w:eastAsia="Times New Roman" w:hAnsi="Times New Roman" w:cs="Times New Roman"/>
          <w:b/>
          <w:bCs/>
        </w:rPr>
        <w:t>A szak(ok), szakirányok/specializációk megnevezése (ahol oktatják):</w:t>
      </w:r>
      <w:r w:rsidRPr="007B6B4B">
        <w:rPr>
          <w:rFonts w:ascii="Times New Roman" w:eastAsia="Times New Roman" w:hAnsi="Times New Roman" w:cs="Times New Roman"/>
          <w:bCs/>
        </w:rPr>
        <w:t xml:space="preserve"> Katonai logisztika alapszak</w:t>
      </w:r>
    </w:p>
    <w:p w:rsidR="007B6B4B" w:rsidRPr="007B6B4B" w:rsidRDefault="007B6B4B" w:rsidP="00980876">
      <w:pPr>
        <w:widowControl w:val="0"/>
        <w:numPr>
          <w:ilvl w:val="0"/>
          <w:numId w:val="318"/>
        </w:numPr>
        <w:tabs>
          <w:tab w:val="clear" w:pos="720"/>
          <w:tab w:val="num" w:pos="502"/>
          <w:tab w:val="num" w:pos="567"/>
        </w:tabs>
        <w:spacing w:before="120" w:after="120" w:line="240" w:lineRule="auto"/>
        <w:ind w:left="426" w:hanging="142"/>
        <w:jc w:val="both"/>
        <w:rPr>
          <w:rFonts w:ascii="Times New Roman" w:eastAsia="Times New Roman" w:hAnsi="Times New Roman" w:cs="Times New Roman"/>
          <w:bCs/>
        </w:rPr>
      </w:pPr>
      <w:r w:rsidRPr="007B6B4B">
        <w:rPr>
          <w:rFonts w:ascii="Times New Roman" w:eastAsia="Times New Roman" w:hAnsi="Times New Roman" w:cs="Times New Roman"/>
          <w:b/>
          <w:bCs/>
        </w:rPr>
        <w:t xml:space="preserve">Az oktatásért felelős oktatási szervezeti egység megnevezése: </w:t>
      </w:r>
      <w:r w:rsidRPr="007B6B4B">
        <w:rPr>
          <w:rFonts w:ascii="Times New Roman" w:eastAsia="Times New Roman" w:hAnsi="Times New Roman" w:cs="Times New Roman"/>
          <w:bCs/>
        </w:rPr>
        <w:t>Természettudományi Tanszék</w:t>
      </w:r>
    </w:p>
    <w:p w:rsidR="007B6B4B" w:rsidRPr="007B6B4B" w:rsidRDefault="007B6B4B" w:rsidP="00980876">
      <w:pPr>
        <w:widowControl w:val="0"/>
        <w:numPr>
          <w:ilvl w:val="0"/>
          <w:numId w:val="318"/>
        </w:numPr>
        <w:tabs>
          <w:tab w:val="clear" w:pos="720"/>
          <w:tab w:val="num" w:pos="502"/>
          <w:tab w:val="num" w:pos="567"/>
        </w:tabs>
        <w:spacing w:before="120" w:after="120" w:line="240" w:lineRule="auto"/>
        <w:ind w:left="426" w:hanging="142"/>
        <w:jc w:val="both"/>
        <w:rPr>
          <w:rFonts w:ascii="Times New Roman" w:eastAsia="Times New Roman" w:hAnsi="Times New Roman" w:cs="Times New Roman"/>
          <w:bCs/>
          <w:spacing w:val="-2"/>
        </w:rPr>
      </w:pPr>
      <w:r w:rsidRPr="007B6B4B">
        <w:rPr>
          <w:rFonts w:ascii="Times New Roman" w:eastAsia="Times New Roman" w:hAnsi="Times New Roman" w:cs="Times New Roman"/>
          <w:b/>
          <w:bCs/>
          <w:spacing w:val="-2"/>
        </w:rPr>
        <w:t>A tantárgyfelelős oktató neve, beosztása, tudományos fokozata:</w:t>
      </w:r>
      <w:r w:rsidRPr="007B6B4B">
        <w:rPr>
          <w:rFonts w:ascii="Times New Roman" w:eastAsia="Times New Roman" w:hAnsi="Times New Roman" w:cs="Times New Roman"/>
          <w:bCs/>
          <w:spacing w:val="-2"/>
        </w:rPr>
        <w:t xml:space="preserve"> Dr. Tóth Bence, adjunktus, PhD</w:t>
      </w:r>
    </w:p>
    <w:p w:rsidR="007B6B4B" w:rsidRPr="007B6B4B" w:rsidRDefault="007B6B4B" w:rsidP="00980876">
      <w:pPr>
        <w:widowControl w:val="0"/>
        <w:numPr>
          <w:ilvl w:val="0"/>
          <w:numId w:val="318"/>
        </w:numPr>
        <w:tabs>
          <w:tab w:val="clear" w:pos="720"/>
          <w:tab w:val="num" w:pos="502"/>
        </w:tabs>
        <w:spacing w:before="120" w:after="120" w:line="240" w:lineRule="auto"/>
        <w:ind w:left="426" w:hanging="142"/>
        <w:jc w:val="both"/>
        <w:rPr>
          <w:rFonts w:ascii="Times New Roman" w:eastAsia="Times New Roman" w:hAnsi="Times New Roman" w:cs="Times New Roman"/>
          <w:bCs/>
        </w:rPr>
      </w:pPr>
      <w:r w:rsidRPr="007B6B4B">
        <w:rPr>
          <w:rFonts w:ascii="Times New Roman" w:eastAsia="Times New Roman" w:hAnsi="Times New Roman" w:cs="Times New Roman"/>
          <w:b/>
          <w:bCs/>
        </w:rPr>
        <w:t>A tanórák száma és típusa</w:t>
      </w:r>
    </w:p>
    <w:p w:rsidR="007B6B4B" w:rsidRPr="007B6B4B" w:rsidRDefault="007B6B4B" w:rsidP="00980876">
      <w:pPr>
        <w:widowControl w:val="0"/>
        <w:numPr>
          <w:ilvl w:val="1"/>
          <w:numId w:val="318"/>
        </w:numPr>
        <w:tabs>
          <w:tab w:val="clear" w:pos="3977"/>
          <w:tab w:val="num" w:pos="709"/>
          <w:tab w:val="num" w:pos="2069"/>
        </w:tabs>
        <w:spacing w:before="120" w:after="120" w:line="240" w:lineRule="auto"/>
        <w:ind w:left="851" w:hanging="425"/>
        <w:jc w:val="both"/>
        <w:rPr>
          <w:rFonts w:ascii="Times New Roman" w:eastAsia="Times New Roman" w:hAnsi="Times New Roman" w:cs="Times New Roman"/>
          <w:bCs/>
        </w:rPr>
      </w:pPr>
      <w:r w:rsidRPr="007B6B4B">
        <w:rPr>
          <w:rFonts w:ascii="Times New Roman" w:eastAsia="Times New Roman" w:hAnsi="Times New Roman" w:cs="Times New Roman"/>
          <w:bCs/>
        </w:rPr>
        <w:t>össz óraszám/félév:</w:t>
      </w:r>
    </w:p>
    <w:p w:rsidR="007B6B4B" w:rsidRPr="007B6B4B" w:rsidRDefault="007B6B4B" w:rsidP="00980876">
      <w:pPr>
        <w:widowControl w:val="0"/>
        <w:numPr>
          <w:ilvl w:val="2"/>
          <w:numId w:val="318"/>
        </w:numPr>
        <w:tabs>
          <w:tab w:val="num" w:pos="709"/>
          <w:tab w:val="num" w:pos="1134"/>
        </w:tabs>
        <w:spacing w:before="120" w:after="120" w:line="240" w:lineRule="auto"/>
        <w:ind w:left="993" w:hanging="425"/>
        <w:jc w:val="both"/>
        <w:rPr>
          <w:rFonts w:ascii="Times New Roman" w:eastAsia="Times New Roman" w:hAnsi="Times New Roman" w:cs="Times New Roman"/>
          <w:bCs/>
        </w:rPr>
      </w:pPr>
      <w:r w:rsidRPr="007B6B4B">
        <w:rPr>
          <w:rFonts w:ascii="Times New Roman" w:eastAsia="Times New Roman" w:hAnsi="Times New Roman" w:cs="Times New Roman"/>
          <w:bCs/>
        </w:rPr>
        <w:t>nappali munkarend: 14 (0 EA + 0 SZ + 14 GY)</w:t>
      </w:r>
    </w:p>
    <w:p w:rsidR="007B6B4B" w:rsidRPr="007B6B4B" w:rsidRDefault="007B6B4B" w:rsidP="00980876">
      <w:pPr>
        <w:widowControl w:val="0"/>
        <w:numPr>
          <w:ilvl w:val="2"/>
          <w:numId w:val="318"/>
        </w:numPr>
        <w:tabs>
          <w:tab w:val="num" w:pos="709"/>
          <w:tab w:val="num" w:pos="1134"/>
        </w:tabs>
        <w:spacing w:before="120" w:after="120" w:line="240" w:lineRule="auto"/>
        <w:ind w:left="993" w:hanging="425"/>
        <w:jc w:val="both"/>
        <w:rPr>
          <w:rFonts w:ascii="Times New Roman" w:eastAsia="Times New Roman" w:hAnsi="Times New Roman" w:cs="Times New Roman"/>
          <w:bCs/>
        </w:rPr>
      </w:pPr>
      <w:r w:rsidRPr="007B6B4B">
        <w:rPr>
          <w:rFonts w:ascii="Times New Roman" w:eastAsia="Times New Roman" w:hAnsi="Times New Roman" w:cs="Times New Roman"/>
          <w:bCs/>
        </w:rPr>
        <w:t>levelező munkarend: 0 (0 EA + 0 SZ + 0 GY)</w:t>
      </w:r>
    </w:p>
    <w:p w:rsidR="007B6B4B" w:rsidRPr="007B6B4B" w:rsidRDefault="007B6B4B" w:rsidP="00980876">
      <w:pPr>
        <w:widowControl w:val="0"/>
        <w:numPr>
          <w:ilvl w:val="1"/>
          <w:numId w:val="318"/>
        </w:numPr>
        <w:tabs>
          <w:tab w:val="clear" w:pos="3977"/>
          <w:tab w:val="num" w:pos="709"/>
          <w:tab w:val="num" w:pos="2069"/>
        </w:tabs>
        <w:spacing w:before="120" w:after="120" w:line="240" w:lineRule="auto"/>
        <w:ind w:left="851" w:hanging="425"/>
        <w:jc w:val="both"/>
        <w:rPr>
          <w:rFonts w:ascii="Times New Roman" w:eastAsia="Times New Roman" w:hAnsi="Times New Roman" w:cs="Times New Roman"/>
          <w:bCs/>
        </w:rPr>
      </w:pPr>
      <w:r w:rsidRPr="007B6B4B">
        <w:rPr>
          <w:rFonts w:ascii="Times New Roman" w:eastAsia="Times New Roman" w:hAnsi="Times New Roman" w:cs="Times New Roman"/>
          <w:bCs/>
        </w:rPr>
        <w:t>heti óraszám - nappali munkarend: 0 + 1</w:t>
      </w:r>
    </w:p>
    <w:p w:rsidR="007B6B4B" w:rsidRPr="007B6B4B" w:rsidRDefault="007B6B4B" w:rsidP="00980876">
      <w:pPr>
        <w:widowControl w:val="0"/>
        <w:numPr>
          <w:ilvl w:val="1"/>
          <w:numId w:val="318"/>
        </w:numPr>
        <w:tabs>
          <w:tab w:val="clear" w:pos="3977"/>
          <w:tab w:val="num" w:pos="709"/>
          <w:tab w:val="num" w:pos="2069"/>
        </w:tabs>
        <w:spacing w:before="120" w:after="120" w:line="240" w:lineRule="auto"/>
        <w:ind w:left="851" w:hanging="425"/>
        <w:jc w:val="both"/>
        <w:rPr>
          <w:rFonts w:ascii="Times New Roman" w:eastAsia="Times New Roman" w:hAnsi="Times New Roman" w:cs="Times New Roman"/>
          <w:bCs/>
        </w:rPr>
      </w:pPr>
      <w:r w:rsidRPr="007B6B4B">
        <w:rPr>
          <w:rFonts w:ascii="Times New Roman" w:hAnsi="Times New Roman" w:cs="Times New Roman"/>
        </w:rPr>
        <w:t>Az ismeret átadásában alkalmazandó további sajátos módok, jellemzők: nincsenek</w:t>
      </w:r>
    </w:p>
    <w:p w:rsidR="007B6B4B" w:rsidRPr="007B6B4B" w:rsidRDefault="007B6B4B" w:rsidP="00980876">
      <w:pPr>
        <w:widowControl w:val="0"/>
        <w:numPr>
          <w:ilvl w:val="0"/>
          <w:numId w:val="318"/>
        </w:numPr>
        <w:tabs>
          <w:tab w:val="clear" w:pos="720"/>
          <w:tab w:val="num" w:pos="502"/>
        </w:tabs>
        <w:spacing w:before="120" w:after="120" w:line="240" w:lineRule="auto"/>
        <w:ind w:left="502"/>
        <w:jc w:val="both"/>
        <w:rPr>
          <w:rFonts w:ascii="Times New Roman" w:eastAsia="Times New Roman" w:hAnsi="Times New Roman" w:cs="Times New Roman"/>
          <w:bCs/>
        </w:rPr>
      </w:pPr>
      <w:r w:rsidRPr="007B6B4B">
        <w:rPr>
          <w:rFonts w:ascii="Times New Roman" w:eastAsia="Times New Roman" w:hAnsi="Times New Roman" w:cs="Times New Roman"/>
          <w:b/>
          <w:bCs/>
        </w:rPr>
        <w:t>A tantárgy szakmai tartalma (magyarul):</w:t>
      </w:r>
      <w:r w:rsidRPr="007B6B4B">
        <w:rPr>
          <w:rFonts w:ascii="Times New Roman" w:eastAsia="Times New Roman" w:hAnsi="Times New Roman" w:cs="Times New Roman"/>
          <w:bCs/>
        </w:rPr>
        <w:t xml:space="preserve"> Többirányú összetett igénybevételek. Feszültségelméletek. Az alakváltozás munkája. A szilárdságtan munkatételei. Statikailag határozatlan szerkezetek.</w:t>
      </w:r>
    </w:p>
    <w:p w:rsidR="007B6B4B" w:rsidRPr="007B6B4B" w:rsidRDefault="007B6B4B" w:rsidP="007B6B4B">
      <w:pPr>
        <w:widowControl w:val="0"/>
        <w:spacing w:before="120" w:after="120" w:line="240" w:lineRule="auto"/>
        <w:ind w:left="426"/>
        <w:jc w:val="both"/>
        <w:rPr>
          <w:rFonts w:ascii="Times New Roman" w:eastAsia="Times New Roman" w:hAnsi="Times New Roman" w:cs="Times New Roman"/>
          <w:bCs/>
          <w:lang w:val="en-GB"/>
        </w:rPr>
      </w:pPr>
      <w:r w:rsidRPr="007B6B4B">
        <w:rPr>
          <w:rFonts w:ascii="Times New Roman" w:eastAsia="Times New Roman" w:hAnsi="Times New Roman" w:cs="Times New Roman"/>
          <w:b/>
          <w:bCs/>
        </w:rPr>
        <w:t>A tantárgy szakmai tartalma (angolul) (</w:t>
      </w:r>
      <w:r w:rsidRPr="007B6B4B">
        <w:rPr>
          <w:rFonts w:ascii="Times New Roman" w:eastAsia="Times New Roman" w:hAnsi="Times New Roman" w:cs="Times New Roman"/>
          <w:b/>
          <w:bCs/>
          <w:lang w:val="en-US"/>
        </w:rPr>
        <w:t>Course description</w:t>
      </w:r>
      <w:r w:rsidRPr="007B6B4B">
        <w:rPr>
          <w:rFonts w:ascii="Times New Roman" w:eastAsia="Times New Roman" w:hAnsi="Times New Roman" w:cs="Times New Roman"/>
          <w:b/>
          <w:bCs/>
        </w:rPr>
        <w:t>):</w:t>
      </w:r>
      <w:r w:rsidRPr="007B6B4B">
        <w:rPr>
          <w:rFonts w:ascii="Times New Roman" w:eastAsia="Times New Roman" w:hAnsi="Times New Roman" w:cs="Times New Roman"/>
          <w:bCs/>
          <w:lang w:val="en-GB"/>
        </w:rPr>
        <w:t xml:space="preserve"> Multiaxial stress. Stress theories. Work of deformation. Theorems of elasticity. Statically indeterminate structures.</w:t>
      </w:r>
    </w:p>
    <w:p w:rsidR="007B6B4B" w:rsidRPr="007B6B4B" w:rsidRDefault="007B6B4B" w:rsidP="00980876">
      <w:pPr>
        <w:pStyle w:val="Listaszerbekezds"/>
        <w:widowControl w:val="0"/>
        <w:numPr>
          <w:ilvl w:val="0"/>
          <w:numId w:val="318"/>
        </w:numPr>
        <w:tabs>
          <w:tab w:val="clear" w:pos="720"/>
          <w:tab w:val="num" w:pos="426"/>
        </w:tabs>
        <w:spacing w:before="120" w:after="120" w:line="240" w:lineRule="auto"/>
        <w:ind w:left="426" w:hanging="142"/>
        <w:jc w:val="both"/>
        <w:rPr>
          <w:rFonts w:ascii="Times New Roman" w:eastAsia="Times New Roman" w:hAnsi="Times New Roman" w:cs="Times New Roman"/>
          <w:bCs/>
        </w:rPr>
      </w:pPr>
      <w:r w:rsidRPr="007B6B4B">
        <w:rPr>
          <w:rFonts w:ascii="Times New Roman" w:eastAsia="Times New Roman" w:hAnsi="Times New Roman" w:cs="Times New Roman"/>
          <w:b/>
          <w:bCs/>
        </w:rPr>
        <w:t xml:space="preserve">Elérendő kompetenciák (magyarul): </w:t>
      </w:r>
    </w:p>
    <w:p w:rsidR="007B6B4B" w:rsidRPr="007B6B4B" w:rsidRDefault="007B6B4B" w:rsidP="007B6B4B">
      <w:pPr>
        <w:widowControl w:val="0"/>
        <w:spacing w:before="120" w:after="120" w:line="240" w:lineRule="auto"/>
        <w:ind w:left="426"/>
        <w:jc w:val="both"/>
        <w:rPr>
          <w:rFonts w:ascii="Times New Roman" w:eastAsia="Times New Roman" w:hAnsi="Times New Roman" w:cs="Times New Roman"/>
          <w:bCs/>
        </w:rPr>
      </w:pPr>
      <w:r w:rsidRPr="007B6B4B">
        <w:rPr>
          <w:rFonts w:ascii="Times New Roman" w:eastAsia="Times New Roman" w:hAnsi="Times New Roman" w:cs="Times New Roman"/>
          <w:b/>
          <w:bCs/>
        </w:rPr>
        <w:t>Tudása:</w:t>
      </w:r>
      <w:r w:rsidRPr="007B6B4B">
        <w:rPr>
          <w:rFonts w:ascii="Times New Roman" w:eastAsia="Times New Roman" w:hAnsi="Times New Roman" w:cs="Times New Roman"/>
          <w:bCs/>
        </w:rPr>
        <w:t xml:space="preserve"> </w:t>
      </w:r>
    </w:p>
    <w:p w:rsidR="007B6B4B" w:rsidRPr="007B6B4B" w:rsidRDefault="007B6B4B" w:rsidP="007B6B4B">
      <w:pPr>
        <w:widowControl w:val="0"/>
        <w:spacing w:before="120" w:after="120" w:line="240" w:lineRule="auto"/>
        <w:ind w:left="426"/>
        <w:jc w:val="both"/>
        <w:rPr>
          <w:rFonts w:ascii="Times New Roman" w:eastAsia="Times New Roman" w:hAnsi="Times New Roman" w:cs="Times New Roman"/>
          <w:bCs/>
        </w:rPr>
      </w:pPr>
      <w:r w:rsidRPr="007B6B4B">
        <w:rPr>
          <w:rFonts w:ascii="Times New Roman" w:eastAsia="Times New Roman" w:hAnsi="Times New Roman" w:cs="Times New Roman"/>
          <w:bCs/>
        </w:rPr>
        <w:t>-</w:t>
      </w:r>
      <w:r w:rsidRPr="007B6B4B">
        <w:rPr>
          <w:rFonts w:ascii="Times New Roman" w:eastAsia="Times New Roman" w:hAnsi="Times New Roman" w:cs="Times New Roman"/>
          <w:bCs/>
        </w:rPr>
        <w:tab/>
        <w:t>Ismeri a matematika és a mechanika törvényszerűségeit, rendelkezik műszaki alapismeretekkel.</w:t>
      </w:r>
    </w:p>
    <w:p w:rsidR="007B6B4B" w:rsidRPr="007B6B4B" w:rsidRDefault="007B6B4B" w:rsidP="007B6B4B">
      <w:pPr>
        <w:widowControl w:val="0"/>
        <w:spacing w:before="120" w:after="120" w:line="240" w:lineRule="auto"/>
        <w:ind w:left="426"/>
        <w:jc w:val="both"/>
        <w:rPr>
          <w:rFonts w:ascii="Times New Roman" w:eastAsia="Times New Roman" w:hAnsi="Times New Roman" w:cs="Times New Roman"/>
          <w:bCs/>
        </w:rPr>
      </w:pPr>
      <w:r w:rsidRPr="007B6B4B">
        <w:rPr>
          <w:rFonts w:ascii="Times New Roman" w:eastAsia="Times New Roman" w:hAnsi="Times New Roman" w:cs="Times New Roman"/>
          <w:b/>
          <w:bCs/>
        </w:rPr>
        <w:t>Képességei:</w:t>
      </w:r>
      <w:r w:rsidRPr="007B6B4B">
        <w:rPr>
          <w:rFonts w:ascii="Times New Roman" w:eastAsia="Times New Roman" w:hAnsi="Times New Roman" w:cs="Times New Roman"/>
          <w:bCs/>
        </w:rPr>
        <w:t xml:space="preserve"> </w:t>
      </w:r>
    </w:p>
    <w:p w:rsidR="007B6B4B" w:rsidRPr="007B6B4B" w:rsidRDefault="007B6B4B" w:rsidP="007B6B4B">
      <w:pPr>
        <w:widowControl w:val="0"/>
        <w:spacing w:before="120" w:after="120" w:line="240" w:lineRule="auto"/>
        <w:ind w:left="426"/>
        <w:jc w:val="both"/>
        <w:rPr>
          <w:rFonts w:ascii="Times New Roman" w:eastAsia="Times New Roman" w:hAnsi="Times New Roman" w:cs="Times New Roman"/>
          <w:bCs/>
        </w:rPr>
      </w:pPr>
      <w:r w:rsidRPr="007B6B4B">
        <w:rPr>
          <w:rFonts w:ascii="Times New Roman" w:eastAsia="Times New Roman" w:hAnsi="Times New Roman" w:cs="Times New Roman"/>
          <w:bCs/>
        </w:rPr>
        <w:t>-</w:t>
      </w:r>
      <w:r w:rsidRPr="007B6B4B">
        <w:rPr>
          <w:rFonts w:ascii="Times New Roman" w:eastAsia="Times New Roman" w:hAnsi="Times New Roman" w:cs="Times New Roman"/>
          <w:bCs/>
        </w:rPr>
        <w:tab/>
        <w:t>Képes szakterületén újító és innovatív ötletek megfogalmazására.</w:t>
      </w:r>
    </w:p>
    <w:p w:rsidR="007B6B4B" w:rsidRPr="007B6B4B" w:rsidRDefault="007B6B4B" w:rsidP="007B6B4B">
      <w:pPr>
        <w:widowControl w:val="0"/>
        <w:spacing w:before="120" w:after="120" w:line="240" w:lineRule="auto"/>
        <w:ind w:left="426"/>
        <w:jc w:val="both"/>
        <w:rPr>
          <w:rFonts w:ascii="Times New Roman" w:eastAsia="Times New Roman" w:hAnsi="Times New Roman" w:cs="Times New Roman"/>
          <w:bCs/>
        </w:rPr>
      </w:pPr>
      <w:r w:rsidRPr="007B6B4B">
        <w:rPr>
          <w:rFonts w:ascii="Times New Roman" w:eastAsia="Times New Roman" w:hAnsi="Times New Roman" w:cs="Times New Roman"/>
          <w:b/>
          <w:bCs/>
        </w:rPr>
        <w:t>Attitűdje:</w:t>
      </w:r>
      <w:r w:rsidRPr="007B6B4B">
        <w:rPr>
          <w:rFonts w:ascii="Times New Roman" w:eastAsia="Times New Roman" w:hAnsi="Times New Roman" w:cs="Times New Roman"/>
          <w:bCs/>
        </w:rPr>
        <w:t xml:space="preserve"> </w:t>
      </w:r>
    </w:p>
    <w:p w:rsidR="007B6B4B" w:rsidRPr="007B6B4B" w:rsidRDefault="007B6B4B" w:rsidP="007B6B4B">
      <w:pPr>
        <w:widowControl w:val="0"/>
        <w:spacing w:before="120" w:after="120" w:line="240" w:lineRule="auto"/>
        <w:ind w:left="426"/>
        <w:jc w:val="both"/>
        <w:rPr>
          <w:rFonts w:ascii="Times New Roman" w:eastAsia="Times New Roman" w:hAnsi="Times New Roman" w:cs="Times New Roman"/>
          <w:bCs/>
        </w:rPr>
      </w:pPr>
      <w:r w:rsidRPr="007B6B4B">
        <w:rPr>
          <w:rFonts w:ascii="Times New Roman" w:eastAsia="Times New Roman" w:hAnsi="Times New Roman" w:cs="Times New Roman"/>
          <w:bCs/>
        </w:rPr>
        <w:t>-</w:t>
      </w:r>
      <w:r w:rsidRPr="007B6B4B">
        <w:rPr>
          <w:rFonts w:ascii="Times New Roman" w:eastAsia="Times New Roman" w:hAnsi="Times New Roman" w:cs="Times New Roman"/>
          <w:bCs/>
        </w:rPr>
        <w:tab/>
        <w:t>Nyitott szakterülete új eredményei, innovációi iránt, törekszik azok megismerésére, megértésére és alkalmazására, elkötelezett önmaga folyamatos képzésére.</w:t>
      </w:r>
    </w:p>
    <w:p w:rsidR="007B6B4B" w:rsidRPr="007B6B4B" w:rsidRDefault="007B6B4B" w:rsidP="007B6B4B">
      <w:pPr>
        <w:widowControl w:val="0"/>
        <w:spacing w:before="120" w:after="120" w:line="240" w:lineRule="auto"/>
        <w:ind w:left="426"/>
        <w:jc w:val="both"/>
        <w:rPr>
          <w:rFonts w:ascii="Times New Roman" w:eastAsia="Times New Roman" w:hAnsi="Times New Roman" w:cs="Times New Roman"/>
          <w:bCs/>
        </w:rPr>
      </w:pPr>
      <w:r w:rsidRPr="007B6B4B">
        <w:rPr>
          <w:rFonts w:ascii="Times New Roman" w:eastAsia="Times New Roman" w:hAnsi="Times New Roman" w:cs="Times New Roman"/>
          <w:b/>
          <w:bCs/>
        </w:rPr>
        <w:t>Autonómiája és felelőssége:</w:t>
      </w:r>
      <w:r w:rsidRPr="007B6B4B">
        <w:rPr>
          <w:rFonts w:ascii="Times New Roman" w:eastAsia="Times New Roman" w:hAnsi="Times New Roman" w:cs="Times New Roman"/>
          <w:bCs/>
        </w:rPr>
        <w:t xml:space="preserve"> </w:t>
      </w:r>
    </w:p>
    <w:p w:rsidR="007B6B4B" w:rsidRPr="007B6B4B" w:rsidRDefault="007B6B4B" w:rsidP="007B6B4B">
      <w:pPr>
        <w:widowControl w:val="0"/>
        <w:spacing w:before="120" w:after="120" w:line="240" w:lineRule="auto"/>
        <w:ind w:left="426"/>
        <w:jc w:val="both"/>
        <w:rPr>
          <w:rFonts w:ascii="Times New Roman" w:eastAsia="Calibri" w:hAnsi="Times New Roman" w:cs="Times New Roman"/>
        </w:rPr>
      </w:pPr>
      <w:r w:rsidRPr="007B6B4B">
        <w:rPr>
          <w:rFonts w:ascii="Times New Roman" w:eastAsia="Times New Roman" w:hAnsi="Times New Roman" w:cs="Times New Roman"/>
          <w:bCs/>
        </w:rPr>
        <w:t>-</w:t>
      </w:r>
      <w:r w:rsidRPr="007B6B4B">
        <w:rPr>
          <w:rFonts w:ascii="Times New Roman" w:eastAsia="Times New Roman" w:hAnsi="Times New Roman" w:cs="Times New Roman"/>
          <w:bCs/>
        </w:rPr>
        <w:tab/>
        <w:t>Az alegység, illetve egység szintű katonai logisztikai, valamint katonai gazdálkodási folyamatokban képes önállóan döntéseket hozni, azokat felelősséggel, a jogszabályi keretek figyelembevételével végrehajtani.</w:t>
      </w:r>
    </w:p>
    <w:p w:rsidR="007B6B4B" w:rsidRPr="007B6B4B" w:rsidRDefault="007B6B4B" w:rsidP="007B6B4B">
      <w:pPr>
        <w:widowControl w:val="0"/>
        <w:spacing w:before="120" w:after="120" w:line="240" w:lineRule="auto"/>
        <w:ind w:left="426"/>
        <w:jc w:val="both"/>
        <w:rPr>
          <w:rFonts w:ascii="Times New Roman" w:eastAsia="Times New Roman" w:hAnsi="Times New Roman" w:cs="Times New Roman"/>
          <w:b/>
          <w:bCs/>
          <w:lang w:val="en-US"/>
        </w:rPr>
      </w:pPr>
      <w:r w:rsidRPr="007B6B4B">
        <w:rPr>
          <w:rFonts w:ascii="Times New Roman" w:eastAsia="Times New Roman" w:hAnsi="Times New Roman" w:cs="Times New Roman"/>
          <w:b/>
          <w:bCs/>
        </w:rPr>
        <w:t>Elérendő kompetenciák (angolul) (</w:t>
      </w:r>
      <w:r w:rsidRPr="007B6B4B">
        <w:rPr>
          <w:rFonts w:ascii="Times New Roman" w:eastAsia="Times New Roman" w:hAnsi="Times New Roman" w:cs="Times New Roman"/>
          <w:b/>
          <w:bCs/>
          <w:lang w:val="en-US"/>
        </w:rPr>
        <w:t xml:space="preserve">Competences – English): </w:t>
      </w:r>
    </w:p>
    <w:p w:rsidR="007B6B4B" w:rsidRPr="007B6B4B" w:rsidRDefault="007B6B4B" w:rsidP="007B6B4B">
      <w:pPr>
        <w:widowControl w:val="0"/>
        <w:spacing w:before="120" w:after="120" w:line="240" w:lineRule="auto"/>
        <w:ind w:left="426"/>
        <w:jc w:val="both"/>
        <w:rPr>
          <w:rFonts w:ascii="Times New Roman" w:eastAsia="Times New Roman" w:hAnsi="Times New Roman" w:cs="Times New Roman"/>
          <w:lang w:val="en-GB"/>
        </w:rPr>
      </w:pPr>
      <w:r w:rsidRPr="007B6B4B">
        <w:rPr>
          <w:rFonts w:ascii="Times New Roman" w:eastAsia="Times New Roman" w:hAnsi="Times New Roman" w:cs="Times New Roman"/>
          <w:b/>
          <w:lang w:val="en-GB"/>
        </w:rPr>
        <w:t>Knowledge</w:t>
      </w:r>
      <w:r w:rsidRPr="007B6B4B">
        <w:rPr>
          <w:rFonts w:ascii="Times New Roman" w:eastAsia="Times New Roman" w:hAnsi="Times New Roman" w:cs="Times New Roman"/>
          <w:lang w:val="en-GB"/>
        </w:rPr>
        <w:t xml:space="preserve">: </w:t>
      </w:r>
    </w:p>
    <w:p w:rsidR="007B6B4B" w:rsidRPr="007B6B4B" w:rsidRDefault="007B6B4B" w:rsidP="007B6B4B">
      <w:pPr>
        <w:widowControl w:val="0"/>
        <w:spacing w:before="120" w:after="120" w:line="240" w:lineRule="auto"/>
        <w:ind w:left="426"/>
        <w:jc w:val="both"/>
        <w:rPr>
          <w:rFonts w:ascii="Times New Roman" w:eastAsia="Calibri" w:hAnsi="Times New Roman" w:cs="Times New Roman"/>
        </w:rPr>
      </w:pPr>
      <w:r w:rsidRPr="007B6B4B">
        <w:rPr>
          <w:rFonts w:ascii="Times New Roman" w:eastAsia="Times New Roman" w:hAnsi="Times New Roman" w:cs="Times New Roman"/>
          <w:bCs/>
        </w:rPr>
        <w:t>-</w:t>
      </w:r>
      <w:r w:rsidRPr="007B6B4B">
        <w:rPr>
          <w:rFonts w:ascii="Times New Roman" w:eastAsia="Times New Roman" w:hAnsi="Times New Roman" w:cs="Times New Roman"/>
          <w:bCs/>
        </w:rPr>
        <w:tab/>
        <w:t>Knows the laws of mathematics and mechanics, has basic technical knowledge.</w:t>
      </w:r>
    </w:p>
    <w:p w:rsidR="007B6B4B" w:rsidRPr="007B6B4B" w:rsidRDefault="007B6B4B" w:rsidP="007B6B4B">
      <w:pPr>
        <w:widowControl w:val="0"/>
        <w:spacing w:before="120" w:after="120" w:line="240" w:lineRule="auto"/>
        <w:ind w:left="426"/>
        <w:jc w:val="both"/>
        <w:rPr>
          <w:rFonts w:ascii="Times New Roman" w:eastAsia="Times New Roman" w:hAnsi="Times New Roman" w:cs="Times New Roman"/>
          <w:lang w:val="en-GB"/>
        </w:rPr>
      </w:pPr>
      <w:r w:rsidRPr="007B6B4B">
        <w:rPr>
          <w:rFonts w:ascii="Times New Roman" w:eastAsia="Times New Roman" w:hAnsi="Times New Roman" w:cs="Times New Roman"/>
          <w:b/>
          <w:lang w:val="en-GB"/>
        </w:rPr>
        <w:lastRenderedPageBreak/>
        <w:t>Capabilities</w:t>
      </w:r>
      <w:r w:rsidRPr="007B6B4B">
        <w:rPr>
          <w:rFonts w:ascii="Times New Roman" w:eastAsia="Times New Roman" w:hAnsi="Times New Roman" w:cs="Times New Roman"/>
          <w:lang w:val="en-GB"/>
        </w:rPr>
        <w:t xml:space="preserve">: </w:t>
      </w:r>
    </w:p>
    <w:p w:rsidR="007B6B4B" w:rsidRPr="007B6B4B" w:rsidRDefault="007B6B4B" w:rsidP="007B6B4B">
      <w:pPr>
        <w:widowControl w:val="0"/>
        <w:spacing w:before="120" w:after="120" w:line="240" w:lineRule="auto"/>
        <w:ind w:left="426"/>
        <w:jc w:val="both"/>
        <w:rPr>
          <w:rFonts w:ascii="Times New Roman" w:eastAsia="Calibri" w:hAnsi="Times New Roman" w:cs="Times New Roman"/>
        </w:rPr>
      </w:pPr>
      <w:r w:rsidRPr="007B6B4B">
        <w:rPr>
          <w:rFonts w:ascii="Times New Roman" w:eastAsia="Times New Roman" w:hAnsi="Times New Roman" w:cs="Times New Roman"/>
          <w:bCs/>
        </w:rPr>
        <w:t>-</w:t>
      </w:r>
      <w:r w:rsidRPr="007B6B4B">
        <w:rPr>
          <w:rFonts w:ascii="Times New Roman" w:eastAsia="Times New Roman" w:hAnsi="Times New Roman" w:cs="Times New Roman"/>
          <w:bCs/>
        </w:rPr>
        <w:tab/>
        <w:t>Able to formulate innovative ideas in their field.</w:t>
      </w:r>
    </w:p>
    <w:p w:rsidR="007B6B4B" w:rsidRPr="007B6B4B" w:rsidRDefault="007B6B4B" w:rsidP="007B6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lang w:val="en-GB"/>
        </w:rPr>
      </w:pPr>
      <w:r w:rsidRPr="007B6B4B">
        <w:rPr>
          <w:rFonts w:ascii="Times New Roman" w:eastAsia="Times New Roman" w:hAnsi="Times New Roman" w:cs="Times New Roman"/>
          <w:b/>
          <w:lang w:val="en-GB"/>
        </w:rPr>
        <w:t>Attitude:</w:t>
      </w:r>
      <w:r w:rsidRPr="007B6B4B">
        <w:rPr>
          <w:rFonts w:ascii="Times New Roman" w:eastAsia="Times New Roman" w:hAnsi="Times New Roman" w:cs="Times New Roman"/>
          <w:lang w:val="en-GB"/>
        </w:rPr>
        <w:t xml:space="preserve"> </w:t>
      </w:r>
    </w:p>
    <w:p w:rsidR="007B6B4B" w:rsidRPr="007B6B4B" w:rsidRDefault="007B6B4B" w:rsidP="007B6B4B">
      <w:pPr>
        <w:widowControl w:val="0"/>
        <w:spacing w:before="120" w:after="120" w:line="240" w:lineRule="auto"/>
        <w:ind w:left="426"/>
        <w:jc w:val="both"/>
        <w:rPr>
          <w:rFonts w:ascii="Times New Roman" w:eastAsia="Calibri" w:hAnsi="Times New Roman" w:cs="Times New Roman"/>
        </w:rPr>
      </w:pPr>
      <w:r w:rsidRPr="007B6B4B">
        <w:rPr>
          <w:rFonts w:ascii="Times New Roman" w:eastAsia="Times New Roman" w:hAnsi="Times New Roman" w:cs="Times New Roman"/>
          <w:bCs/>
        </w:rPr>
        <w:t>-</w:t>
      </w:r>
      <w:r w:rsidRPr="007B6B4B">
        <w:rPr>
          <w:rFonts w:ascii="Times New Roman" w:eastAsia="Times New Roman" w:hAnsi="Times New Roman" w:cs="Times New Roman"/>
          <w:bCs/>
        </w:rPr>
        <w:tab/>
        <w:t>Open for the new achievements and innovations of their specialty, seeks to know, understand and apply them, and committed to continuous self-education.</w:t>
      </w:r>
    </w:p>
    <w:p w:rsidR="007B6B4B" w:rsidRPr="007B6B4B" w:rsidRDefault="007B6B4B" w:rsidP="007B6B4B">
      <w:pPr>
        <w:widowControl w:val="0"/>
        <w:spacing w:before="120" w:after="120" w:line="240" w:lineRule="auto"/>
        <w:ind w:left="426"/>
        <w:jc w:val="both"/>
        <w:rPr>
          <w:rFonts w:ascii="Times New Roman" w:eastAsia="Times New Roman" w:hAnsi="Times New Roman" w:cs="Times New Roman"/>
          <w:lang w:val="en-GB"/>
        </w:rPr>
      </w:pPr>
      <w:r w:rsidRPr="007B6B4B">
        <w:rPr>
          <w:rFonts w:ascii="Times New Roman" w:eastAsia="Times New Roman" w:hAnsi="Times New Roman" w:cs="Times New Roman"/>
          <w:b/>
          <w:lang w:val="en-GB"/>
        </w:rPr>
        <w:t xml:space="preserve">Autonomy and responsibility: </w:t>
      </w:r>
    </w:p>
    <w:p w:rsidR="007B6B4B" w:rsidRPr="007B6B4B" w:rsidRDefault="007B6B4B" w:rsidP="007B6B4B">
      <w:pPr>
        <w:widowControl w:val="0"/>
        <w:spacing w:before="120" w:after="120" w:line="240" w:lineRule="auto"/>
        <w:ind w:left="426"/>
        <w:jc w:val="both"/>
        <w:rPr>
          <w:rFonts w:ascii="Times New Roman" w:eastAsia="Calibri" w:hAnsi="Times New Roman" w:cs="Times New Roman"/>
        </w:rPr>
      </w:pPr>
      <w:r w:rsidRPr="007B6B4B">
        <w:rPr>
          <w:rFonts w:ascii="Times New Roman" w:eastAsia="Times New Roman" w:hAnsi="Times New Roman" w:cs="Times New Roman"/>
          <w:bCs/>
        </w:rPr>
        <w:t>-</w:t>
      </w:r>
      <w:r w:rsidRPr="007B6B4B">
        <w:rPr>
          <w:rFonts w:ascii="Times New Roman" w:eastAsia="Times New Roman" w:hAnsi="Times New Roman" w:cs="Times New Roman"/>
          <w:bCs/>
        </w:rPr>
        <w:tab/>
        <w:t>At the subunit and unit level, it is able to make independent decisions in military logistics and military management processes, making them responsible and within the legal framework.</w:t>
      </w:r>
    </w:p>
    <w:p w:rsidR="007B6B4B" w:rsidRPr="007B6B4B" w:rsidRDefault="007B6B4B" w:rsidP="00980876">
      <w:pPr>
        <w:widowControl w:val="0"/>
        <w:numPr>
          <w:ilvl w:val="0"/>
          <w:numId w:val="318"/>
        </w:numPr>
        <w:tabs>
          <w:tab w:val="clear" w:pos="720"/>
          <w:tab w:val="num" w:pos="502"/>
          <w:tab w:val="num" w:pos="567"/>
        </w:tabs>
        <w:spacing w:before="120" w:after="120" w:line="240" w:lineRule="auto"/>
        <w:ind w:left="426" w:hanging="142"/>
        <w:jc w:val="both"/>
        <w:rPr>
          <w:rFonts w:ascii="Times New Roman" w:eastAsia="Times New Roman" w:hAnsi="Times New Roman" w:cs="Times New Roman"/>
          <w:bCs/>
        </w:rPr>
      </w:pPr>
      <w:r w:rsidRPr="007B6B4B">
        <w:rPr>
          <w:rFonts w:ascii="Times New Roman" w:eastAsia="Times New Roman" w:hAnsi="Times New Roman" w:cs="Times New Roman"/>
          <w:b/>
          <w:bCs/>
        </w:rPr>
        <w:t xml:space="preserve">Előtanulmányi követelmények: </w:t>
      </w:r>
      <w:r w:rsidRPr="007B6B4B">
        <w:rPr>
          <w:rFonts w:ascii="Times New Roman" w:hAnsi="Times New Roman" w:cs="Times New Roman"/>
        </w:rPr>
        <w:t>Mechanika LOG 2 (HK925A141)</w:t>
      </w:r>
    </w:p>
    <w:p w:rsidR="007B6B4B" w:rsidRPr="007B6B4B" w:rsidRDefault="007B6B4B" w:rsidP="00980876">
      <w:pPr>
        <w:widowControl w:val="0"/>
        <w:numPr>
          <w:ilvl w:val="0"/>
          <w:numId w:val="318"/>
        </w:numPr>
        <w:tabs>
          <w:tab w:val="clear" w:pos="720"/>
          <w:tab w:val="num" w:pos="502"/>
        </w:tabs>
        <w:spacing w:before="120" w:after="120" w:line="240" w:lineRule="auto"/>
        <w:ind w:left="426" w:hanging="142"/>
        <w:jc w:val="both"/>
        <w:rPr>
          <w:rFonts w:ascii="Times New Roman" w:eastAsia="Times New Roman" w:hAnsi="Times New Roman" w:cs="Times New Roman"/>
          <w:b/>
          <w:bCs/>
        </w:rPr>
      </w:pPr>
      <w:r w:rsidRPr="007B6B4B">
        <w:rPr>
          <w:rFonts w:ascii="Times New Roman" w:eastAsia="Times New Roman" w:hAnsi="Times New Roman" w:cs="Times New Roman"/>
          <w:b/>
          <w:bCs/>
        </w:rPr>
        <w:t>A tantárgy tananyagának leírása, tematika. Description of the subject, curriculum (magyarul, angolul - English):</w:t>
      </w:r>
    </w:p>
    <w:p w:rsidR="007B6B4B" w:rsidRPr="007B6B4B" w:rsidRDefault="007B6B4B" w:rsidP="00980876">
      <w:pPr>
        <w:widowControl w:val="0"/>
        <w:numPr>
          <w:ilvl w:val="1"/>
          <w:numId w:val="318"/>
        </w:numPr>
        <w:spacing w:before="120" w:after="120" w:line="240" w:lineRule="auto"/>
        <w:ind w:left="993" w:hanging="567"/>
        <w:jc w:val="both"/>
        <w:rPr>
          <w:rFonts w:ascii="Times New Roman" w:eastAsia="Times New Roman" w:hAnsi="Times New Roman" w:cs="Times New Roman"/>
          <w:b/>
        </w:rPr>
      </w:pPr>
      <w:r w:rsidRPr="007B6B4B">
        <w:rPr>
          <w:rFonts w:ascii="Times New Roman" w:eastAsia="Times New Roman" w:hAnsi="Times New Roman" w:cs="Times New Roman"/>
          <w:bCs/>
        </w:rPr>
        <w:t>Többirányú összetett igénybevételek. Feszültségelméletek. (</w:t>
      </w:r>
      <w:r w:rsidRPr="007B6B4B">
        <w:rPr>
          <w:rFonts w:ascii="Times New Roman" w:eastAsia="Times New Roman" w:hAnsi="Times New Roman" w:cs="Times New Roman"/>
          <w:bCs/>
          <w:i/>
        </w:rPr>
        <w:t>Multiaxial stress. Stress theories.</w:t>
      </w:r>
      <w:r w:rsidRPr="007B6B4B">
        <w:rPr>
          <w:rFonts w:ascii="Times New Roman" w:eastAsia="Times New Roman" w:hAnsi="Times New Roman" w:cs="Times New Roman"/>
          <w:bCs/>
        </w:rPr>
        <w:t>)</w:t>
      </w:r>
    </w:p>
    <w:p w:rsidR="007B6B4B" w:rsidRPr="007B6B4B" w:rsidRDefault="007B6B4B" w:rsidP="00980876">
      <w:pPr>
        <w:widowControl w:val="0"/>
        <w:numPr>
          <w:ilvl w:val="1"/>
          <w:numId w:val="318"/>
        </w:numPr>
        <w:spacing w:before="120" w:after="120" w:line="240" w:lineRule="auto"/>
        <w:ind w:left="993" w:hanging="567"/>
        <w:jc w:val="both"/>
        <w:rPr>
          <w:rFonts w:ascii="Times New Roman" w:eastAsia="Times New Roman" w:hAnsi="Times New Roman" w:cs="Times New Roman"/>
          <w:b/>
        </w:rPr>
      </w:pPr>
      <w:r w:rsidRPr="007B6B4B">
        <w:rPr>
          <w:rFonts w:ascii="Times New Roman" w:eastAsia="Times New Roman" w:hAnsi="Times New Roman" w:cs="Times New Roman"/>
          <w:bCs/>
        </w:rPr>
        <w:t>Az alakváltozás munkája. (</w:t>
      </w:r>
      <w:r w:rsidRPr="007B6B4B">
        <w:rPr>
          <w:rFonts w:ascii="Times New Roman" w:eastAsia="Times New Roman" w:hAnsi="Times New Roman" w:cs="Times New Roman"/>
          <w:bCs/>
          <w:i/>
        </w:rPr>
        <w:t>Work of deformation.</w:t>
      </w:r>
      <w:r w:rsidRPr="007B6B4B">
        <w:rPr>
          <w:rFonts w:ascii="Times New Roman" w:eastAsia="Times New Roman" w:hAnsi="Times New Roman" w:cs="Times New Roman"/>
          <w:bCs/>
        </w:rPr>
        <w:t>)</w:t>
      </w:r>
    </w:p>
    <w:p w:rsidR="007B6B4B" w:rsidRPr="007B6B4B" w:rsidRDefault="007B6B4B" w:rsidP="00980876">
      <w:pPr>
        <w:widowControl w:val="0"/>
        <w:numPr>
          <w:ilvl w:val="1"/>
          <w:numId w:val="318"/>
        </w:numPr>
        <w:spacing w:before="120" w:after="120" w:line="240" w:lineRule="auto"/>
        <w:ind w:left="993" w:hanging="567"/>
        <w:jc w:val="both"/>
        <w:rPr>
          <w:rFonts w:ascii="Times New Roman" w:eastAsia="Times New Roman" w:hAnsi="Times New Roman" w:cs="Times New Roman"/>
          <w:b/>
        </w:rPr>
      </w:pPr>
      <w:r w:rsidRPr="007B6B4B">
        <w:rPr>
          <w:rFonts w:ascii="Times New Roman" w:eastAsia="Times New Roman" w:hAnsi="Times New Roman" w:cs="Times New Roman"/>
          <w:bCs/>
        </w:rPr>
        <w:t>A szilárdságtan munkatételei. (</w:t>
      </w:r>
      <w:r w:rsidRPr="007B6B4B">
        <w:rPr>
          <w:rFonts w:ascii="Times New Roman" w:eastAsia="Times New Roman" w:hAnsi="Times New Roman" w:cs="Times New Roman"/>
          <w:bCs/>
          <w:i/>
        </w:rPr>
        <w:t>Theorems of elasticity.</w:t>
      </w:r>
      <w:r w:rsidRPr="007B6B4B">
        <w:rPr>
          <w:rFonts w:ascii="Times New Roman" w:eastAsia="Times New Roman" w:hAnsi="Times New Roman" w:cs="Times New Roman"/>
          <w:bCs/>
        </w:rPr>
        <w:t>)</w:t>
      </w:r>
    </w:p>
    <w:p w:rsidR="007B6B4B" w:rsidRPr="007B6B4B" w:rsidRDefault="007B6B4B" w:rsidP="00980876">
      <w:pPr>
        <w:widowControl w:val="0"/>
        <w:numPr>
          <w:ilvl w:val="1"/>
          <w:numId w:val="318"/>
        </w:numPr>
        <w:spacing w:before="120" w:after="120" w:line="240" w:lineRule="auto"/>
        <w:ind w:left="993" w:hanging="567"/>
        <w:jc w:val="both"/>
        <w:rPr>
          <w:rFonts w:ascii="Times New Roman" w:eastAsia="Times New Roman" w:hAnsi="Times New Roman" w:cs="Times New Roman"/>
          <w:b/>
        </w:rPr>
      </w:pPr>
      <w:r w:rsidRPr="007B6B4B">
        <w:rPr>
          <w:rFonts w:ascii="Times New Roman" w:eastAsia="Times New Roman" w:hAnsi="Times New Roman" w:cs="Times New Roman"/>
          <w:bCs/>
        </w:rPr>
        <w:t>Statikailag határozatlan szerkezetek. (</w:t>
      </w:r>
      <w:r w:rsidRPr="007B6B4B">
        <w:rPr>
          <w:rFonts w:ascii="Times New Roman" w:eastAsia="Times New Roman" w:hAnsi="Times New Roman" w:cs="Times New Roman"/>
          <w:bCs/>
          <w:i/>
        </w:rPr>
        <w:t>Statically indeterminate structures.</w:t>
      </w:r>
      <w:r w:rsidRPr="007B6B4B">
        <w:rPr>
          <w:rFonts w:ascii="Times New Roman" w:eastAsia="Times New Roman" w:hAnsi="Times New Roman" w:cs="Times New Roman"/>
          <w:bCs/>
        </w:rPr>
        <w:t>)</w:t>
      </w:r>
    </w:p>
    <w:p w:rsidR="007B6B4B" w:rsidRPr="007B6B4B" w:rsidRDefault="007B6B4B" w:rsidP="00980876">
      <w:pPr>
        <w:widowControl w:val="0"/>
        <w:numPr>
          <w:ilvl w:val="0"/>
          <w:numId w:val="318"/>
        </w:numPr>
        <w:tabs>
          <w:tab w:val="clear" w:pos="720"/>
          <w:tab w:val="num" w:pos="360"/>
          <w:tab w:val="num" w:pos="502"/>
        </w:tabs>
        <w:spacing w:before="120" w:after="120" w:line="240" w:lineRule="auto"/>
        <w:ind w:left="426" w:hanging="142"/>
        <w:jc w:val="both"/>
        <w:rPr>
          <w:rFonts w:ascii="Times New Roman" w:eastAsia="Times New Roman" w:hAnsi="Times New Roman" w:cs="Times New Roman"/>
          <w:bCs/>
        </w:rPr>
      </w:pPr>
      <w:r w:rsidRPr="007B6B4B">
        <w:rPr>
          <w:rFonts w:ascii="Times New Roman" w:eastAsia="Times New Roman" w:hAnsi="Times New Roman" w:cs="Times New Roman"/>
          <w:b/>
          <w:bCs/>
        </w:rPr>
        <w:t xml:space="preserve">A tantárgy meghirdetésének gyakorisága/a tantervben történő félévi elhelyezkedése: </w:t>
      </w:r>
      <w:r w:rsidRPr="007B6B4B">
        <w:rPr>
          <w:rFonts w:ascii="Times New Roman" w:eastAsia="Times New Roman" w:hAnsi="Times New Roman" w:cs="Times New Roman"/>
          <w:b/>
          <w:bCs/>
        </w:rPr>
        <w:br/>
      </w:r>
      <w:r w:rsidRPr="007B6B4B">
        <w:rPr>
          <w:rFonts w:ascii="Times New Roman" w:hAnsi="Times New Roman" w:cs="Times New Roman"/>
        </w:rPr>
        <w:t>évente / 5. félév</w:t>
      </w:r>
    </w:p>
    <w:p w:rsidR="007B6B4B" w:rsidRPr="007B6B4B" w:rsidRDefault="007B6B4B" w:rsidP="00980876">
      <w:pPr>
        <w:widowControl w:val="0"/>
        <w:numPr>
          <w:ilvl w:val="0"/>
          <w:numId w:val="318"/>
        </w:numPr>
        <w:tabs>
          <w:tab w:val="clear" w:pos="720"/>
          <w:tab w:val="num" w:pos="502"/>
        </w:tabs>
        <w:spacing w:before="120" w:after="120" w:line="240" w:lineRule="auto"/>
        <w:ind w:left="426" w:hanging="142"/>
        <w:jc w:val="both"/>
        <w:rPr>
          <w:rFonts w:ascii="Times New Roman" w:eastAsia="Times New Roman" w:hAnsi="Times New Roman" w:cs="Times New Roman"/>
          <w:bCs/>
        </w:rPr>
      </w:pPr>
      <w:r w:rsidRPr="007B6B4B">
        <w:rPr>
          <w:rFonts w:ascii="Times New Roman" w:eastAsia="Times New Roman" w:hAnsi="Times New Roman" w:cs="Times New Roman"/>
          <w:b/>
          <w:bCs/>
        </w:rPr>
        <w:t>A tanórákon való részvétel követelményei, az elfogadható hiányzások mértéke, a távolmaradás pótlásának lehetősége:</w:t>
      </w:r>
      <w:r w:rsidRPr="007B6B4B">
        <w:rPr>
          <w:rFonts w:ascii="Times New Roman" w:eastAsia="Times New Roman" w:hAnsi="Times New Roman" w:cs="Times New Roman"/>
          <w:bCs/>
        </w:rPr>
        <w:t xml:space="preserve"> A tantárgy teljesítéséhez a tanórák legalább 70%-án jelen kell lennie a hallgatónak. Az ezt meghaladó mértékű hiányzás a féléves aláírás megtagadását vonja maga után. A távollétet a hiányzást követő első foglalkozáson kell igazolnia. A hallgató köteles a mulasztott tanóra anyagát beszerezni, abból önállóan felkészülni.</w:t>
      </w:r>
    </w:p>
    <w:p w:rsidR="007B6B4B" w:rsidRPr="007B6B4B" w:rsidRDefault="007B6B4B" w:rsidP="00980876">
      <w:pPr>
        <w:widowControl w:val="0"/>
        <w:numPr>
          <w:ilvl w:val="0"/>
          <w:numId w:val="318"/>
        </w:numPr>
        <w:tabs>
          <w:tab w:val="clear" w:pos="720"/>
          <w:tab w:val="num" w:pos="502"/>
        </w:tabs>
        <w:spacing w:before="120" w:after="120" w:line="240" w:lineRule="auto"/>
        <w:ind w:left="426" w:hanging="142"/>
        <w:jc w:val="both"/>
        <w:rPr>
          <w:rFonts w:ascii="Times New Roman" w:eastAsia="Times New Roman" w:hAnsi="Times New Roman" w:cs="Times New Roman"/>
          <w:bCs/>
        </w:rPr>
      </w:pPr>
      <w:r w:rsidRPr="007B6B4B">
        <w:rPr>
          <w:rFonts w:ascii="Times New Roman" w:eastAsia="Times New Roman" w:hAnsi="Times New Roman" w:cs="Times New Roman"/>
          <w:b/>
        </w:rPr>
        <w:t>Félévközi feladatok, ismeretek ellenőrzésének rendje:</w:t>
      </w:r>
      <w:r w:rsidRPr="007B6B4B">
        <w:rPr>
          <w:rFonts w:ascii="Times New Roman" w:eastAsia="Times New Roman" w:hAnsi="Times New Roman" w:cs="Times New Roman"/>
          <w:bCs/>
        </w:rPr>
        <w:t xml:space="preserve"> </w:t>
      </w:r>
    </w:p>
    <w:p w:rsidR="007B6B4B" w:rsidRPr="007B6B4B" w:rsidRDefault="007B6B4B" w:rsidP="007B6B4B">
      <w:pPr>
        <w:widowControl w:val="0"/>
        <w:spacing w:before="120" w:after="120" w:line="240" w:lineRule="auto"/>
        <w:ind w:left="426"/>
        <w:jc w:val="both"/>
        <w:rPr>
          <w:rFonts w:ascii="Times New Roman" w:eastAsia="Times New Roman" w:hAnsi="Times New Roman" w:cs="Times New Roman"/>
        </w:rPr>
      </w:pPr>
      <w:r w:rsidRPr="007B6B4B">
        <w:rPr>
          <w:rFonts w:ascii="Times New Roman" w:eastAsia="Times New Roman" w:hAnsi="Times New Roman" w:cs="Times New Roman"/>
          <w:bCs/>
        </w:rPr>
        <w:t>A számonkérés a félév során két beadandó feladatsor és egy zárthelyi dolgozat keretében történik</w:t>
      </w:r>
      <w:r w:rsidRPr="007B6B4B">
        <w:rPr>
          <w:rFonts w:ascii="Times New Roman" w:eastAsia="Times New Roman" w:hAnsi="Times New Roman" w:cs="Times New Roman"/>
        </w:rPr>
        <w:t xml:space="preserve">. </w:t>
      </w:r>
    </w:p>
    <w:p w:rsidR="007B6B4B" w:rsidRPr="007B6B4B" w:rsidRDefault="007B6B4B" w:rsidP="007B6B4B">
      <w:pPr>
        <w:widowControl w:val="0"/>
        <w:spacing w:before="120" w:after="120" w:line="240" w:lineRule="auto"/>
        <w:ind w:left="426"/>
        <w:jc w:val="both"/>
        <w:rPr>
          <w:rFonts w:ascii="Times New Roman" w:eastAsia="Times New Roman" w:hAnsi="Times New Roman" w:cs="Times New Roman"/>
        </w:rPr>
      </w:pPr>
      <w:r w:rsidRPr="007B6B4B">
        <w:rPr>
          <w:rFonts w:ascii="Times New Roman" w:eastAsia="Times New Roman" w:hAnsi="Times New Roman" w:cs="Times New Roman"/>
          <w:bCs/>
        </w:rPr>
        <w:t>A dolgozat pótlására, javítására egyszer van lehetőség egy pótdolgozat keretében.</w:t>
      </w:r>
    </w:p>
    <w:p w:rsidR="007B6B4B" w:rsidRPr="007B6B4B" w:rsidRDefault="007B6B4B" w:rsidP="007B6B4B">
      <w:pPr>
        <w:widowControl w:val="0"/>
        <w:spacing w:before="120" w:after="120" w:line="240" w:lineRule="auto"/>
        <w:ind w:left="426"/>
        <w:jc w:val="both"/>
        <w:rPr>
          <w:rFonts w:ascii="Times New Roman" w:eastAsia="Times New Roman" w:hAnsi="Times New Roman" w:cs="Times New Roman"/>
        </w:rPr>
      </w:pPr>
      <w:r w:rsidRPr="007B6B4B">
        <w:rPr>
          <w:rFonts w:ascii="Times New Roman" w:eastAsia="Times New Roman" w:hAnsi="Times New Roman" w:cs="Times New Roman"/>
        </w:rPr>
        <w:t>Az érdemjegy megszerzéséhez a zárthelyi dolgozat pontszámának vagy a pótdolgozat pontszámának több mint 50%-a és a beadandó feladatsorok összpontszámának több mint 50%-a szükséges. Az elégséges érdemjegyhez a zárthelyi dolgozatok és a beadandó feladatsorok összpontszámának 51-60% szükséges, közepeshez 61-75%, jóhoz 76-90%, jeleshez 91-100%.</w:t>
      </w:r>
    </w:p>
    <w:p w:rsidR="007B6B4B" w:rsidRPr="007B6B4B" w:rsidRDefault="007B6B4B" w:rsidP="00980876">
      <w:pPr>
        <w:widowControl w:val="0"/>
        <w:numPr>
          <w:ilvl w:val="0"/>
          <w:numId w:val="318"/>
        </w:numPr>
        <w:tabs>
          <w:tab w:val="clear" w:pos="720"/>
          <w:tab w:val="num" w:pos="502"/>
        </w:tabs>
        <w:spacing w:before="120" w:after="120" w:line="240" w:lineRule="auto"/>
        <w:ind w:left="426" w:hanging="142"/>
        <w:jc w:val="both"/>
        <w:rPr>
          <w:rFonts w:ascii="Times New Roman" w:eastAsia="Times New Roman" w:hAnsi="Times New Roman" w:cs="Times New Roman"/>
          <w:b/>
          <w:bCs/>
        </w:rPr>
      </w:pPr>
      <w:r w:rsidRPr="007B6B4B">
        <w:rPr>
          <w:rFonts w:ascii="Times New Roman" w:eastAsia="Times New Roman" w:hAnsi="Times New Roman" w:cs="Times New Roman"/>
          <w:b/>
          <w:bCs/>
        </w:rPr>
        <w:t xml:space="preserve">Az értékelés, az aláírás és a kreditek megszerzésének pontos feltételei: </w:t>
      </w:r>
    </w:p>
    <w:p w:rsidR="007B6B4B" w:rsidRPr="007B6B4B" w:rsidRDefault="007B6B4B" w:rsidP="00980876">
      <w:pPr>
        <w:widowControl w:val="0"/>
        <w:numPr>
          <w:ilvl w:val="1"/>
          <w:numId w:val="318"/>
        </w:numPr>
        <w:tabs>
          <w:tab w:val="left" w:pos="709"/>
          <w:tab w:val="left" w:pos="993"/>
        </w:tabs>
        <w:spacing w:before="120" w:after="120" w:line="240" w:lineRule="auto"/>
        <w:ind w:left="425" w:firstLine="0"/>
        <w:jc w:val="both"/>
        <w:rPr>
          <w:rFonts w:ascii="Times New Roman" w:eastAsia="Times New Roman" w:hAnsi="Times New Roman" w:cs="Times New Roman"/>
        </w:rPr>
      </w:pPr>
      <w:r w:rsidRPr="007B6B4B">
        <w:rPr>
          <w:rFonts w:ascii="Times New Roman" w:eastAsia="Times New Roman" w:hAnsi="Times New Roman" w:cs="Times New Roman"/>
          <w:b/>
        </w:rPr>
        <w:t>Az aláírás megszerzésének feltételei:</w:t>
      </w:r>
      <w:r w:rsidRPr="007B6B4B">
        <w:rPr>
          <w:rFonts w:ascii="Times New Roman" w:eastAsia="Times New Roman" w:hAnsi="Times New Roman" w:cs="Times New Roman"/>
        </w:rPr>
        <w:t xml:space="preserve"> Az aláírás megszerzésének feltétele a 14. pontban meghatározott arányú részvétel a foglalkozásokon valamint a 15. pontban meghatározott félévközi feladatok legalább elégséges teljesítése.</w:t>
      </w:r>
    </w:p>
    <w:p w:rsidR="007B6B4B" w:rsidRPr="007B6B4B" w:rsidRDefault="007B6B4B" w:rsidP="00980876">
      <w:pPr>
        <w:widowControl w:val="0"/>
        <w:numPr>
          <w:ilvl w:val="1"/>
          <w:numId w:val="318"/>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7B6B4B">
        <w:rPr>
          <w:rFonts w:ascii="Times New Roman" w:eastAsia="Times New Roman" w:hAnsi="Times New Roman" w:cs="Times New Roman"/>
          <w:b/>
        </w:rPr>
        <w:t>Az értékelés:</w:t>
      </w:r>
      <w:r w:rsidRPr="007B6B4B">
        <w:rPr>
          <w:rFonts w:ascii="Times New Roman" w:eastAsia="Times New Roman" w:hAnsi="Times New Roman" w:cs="Times New Roman"/>
        </w:rPr>
        <w:t xml:space="preserve"> gyakorlati jegy</w:t>
      </w:r>
    </w:p>
    <w:p w:rsidR="007B6B4B" w:rsidRPr="007B6B4B" w:rsidRDefault="007B6B4B" w:rsidP="00980876">
      <w:pPr>
        <w:widowControl w:val="0"/>
        <w:numPr>
          <w:ilvl w:val="1"/>
          <w:numId w:val="318"/>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7B6B4B">
        <w:rPr>
          <w:rFonts w:ascii="Times New Roman" w:eastAsia="Times New Roman" w:hAnsi="Times New Roman" w:cs="Times New Roman"/>
          <w:b/>
        </w:rPr>
        <w:t>A kreditek megszerzésének feltételei:</w:t>
      </w:r>
      <w:r w:rsidRPr="007B6B4B">
        <w:rPr>
          <w:rFonts w:ascii="Times New Roman" w:eastAsia="Times New Roman" w:hAnsi="Times New Roman" w:cs="Times New Roman"/>
        </w:rPr>
        <w:t xml:space="preserve"> </w:t>
      </w:r>
    </w:p>
    <w:p w:rsidR="007B6B4B" w:rsidRPr="007B6B4B" w:rsidRDefault="007B6B4B" w:rsidP="007B6B4B">
      <w:pPr>
        <w:widowControl w:val="0"/>
        <w:tabs>
          <w:tab w:val="left" w:pos="993"/>
        </w:tabs>
        <w:spacing w:before="120" w:after="120" w:line="240" w:lineRule="auto"/>
        <w:ind w:left="426"/>
        <w:jc w:val="both"/>
        <w:rPr>
          <w:rFonts w:ascii="Times New Roman" w:eastAsia="Times New Roman" w:hAnsi="Times New Roman" w:cs="Times New Roman"/>
        </w:rPr>
      </w:pPr>
      <w:r w:rsidRPr="007B6B4B">
        <w:rPr>
          <w:rFonts w:ascii="Times New Roman" w:eastAsia="Times New Roman" w:hAnsi="Times New Roman" w:cs="Times New Roman"/>
        </w:rPr>
        <w:t>A kreditek megszerzésének feltétele az aláírás megszerzése és legalább elégséges érdemjegy.</w:t>
      </w:r>
    </w:p>
    <w:p w:rsidR="007B6B4B" w:rsidRPr="007B6B4B" w:rsidRDefault="007B6B4B" w:rsidP="00980876">
      <w:pPr>
        <w:widowControl w:val="0"/>
        <w:numPr>
          <w:ilvl w:val="0"/>
          <w:numId w:val="318"/>
        </w:numPr>
        <w:tabs>
          <w:tab w:val="clear" w:pos="720"/>
          <w:tab w:val="num" w:pos="360"/>
          <w:tab w:val="num" w:pos="502"/>
        </w:tabs>
        <w:spacing w:before="120" w:after="120" w:line="240" w:lineRule="auto"/>
        <w:ind w:left="426" w:hanging="142"/>
        <w:jc w:val="both"/>
        <w:rPr>
          <w:rFonts w:ascii="Times New Roman" w:eastAsia="Times New Roman" w:hAnsi="Times New Roman" w:cs="Times New Roman"/>
          <w:bCs/>
        </w:rPr>
      </w:pPr>
      <w:r w:rsidRPr="007B6B4B">
        <w:rPr>
          <w:rFonts w:ascii="Times New Roman" w:eastAsia="Times New Roman" w:hAnsi="Times New Roman" w:cs="Times New Roman"/>
          <w:b/>
          <w:bCs/>
        </w:rPr>
        <w:t>Irodalomjegyzék:</w:t>
      </w:r>
    </w:p>
    <w:p w:rsidR="007B6B4B" w:rsidRPr="007B6B4B" w:rsidRDefault="007B6B4B" w:rsidP="00980876">
      <w:pPr>
        <w:widowControl w:val="0"/>
        <w:numPr>
          <w:ilvl w:val="1"/>
          <w:numId w:val="318"/>
        </w:numPr>
        <w:tabs>
          <w:tab w:val="clear" w:pos="3977"/>
          <w:tab w:val="left" w:pos="567"/>
          <w:tab w:val="left" w:pos="851"/>
          <w:tab w:val="num" w:pos="2069"/>
        </w:tabs>
        <w:spacing w:before="120" w:after="120" w:line="240" w:lineRule="auto"/>
        <w:ind w:left="426" w:hanging="142"/>
        <w:jc w:val="both"/>
        <w:rPr>
          <w:rFonts w:ascii="Times New Roman" w:eastAsia="Times New Roman" w:hAnsi="Times New Roman" w:cs="Times New Roman"/>
          <w:bCs/>
        </w:rPr>
      </w:pPr>
      <w:r w:rsidRPr="007B6B4B">
        <w:rPr>
          <w:rFonts w:ascii="Times New Roman" w:eastAsia="Times New Roman" w:hAnsi="Times New Roman" w:cs="Times New Roman"/>
          <w:b/>
          <w:bCs/>
        </w:rPr>
        <w:t>Kötelező irodalom:</w:t>
      </w:r>
    </w:p>
    <w:p w:rsidR="007B6B4B" w:rsidRPr="007B6B4B" w:rsidRDefault="007B6B4B" w:rsidP="00980876">
      <w:pPr>
        <w:widowControl w:val="0"/>
        <w:numPr>
          <w:ilvl w:val="0"/>
          <w:numId w:val="319"/>
        </w:numPr>
        <w:spacing w:after="0" w:line="240" w:lineRule="auto"/>
        <w:jc w:val="both"/>
        <w:rPr>
          <w:rFonts w:ascii="Times New Roman" w:eastAsia="Times New Roman" w:hAnsi="Times New Roman" w:cs="Times New Roman"/>
        </w:rPr>
      </w:pPr>
      <w:r w:rsidRPr="007B6B4B">
        <w:rPr>
          <w:rFonts w:ascii="Times New Roman" w:eastAsia="Times New Roman" w:hAnsi="Times New Roman" w:cs="Times New Roman"/>
        </w:rPr>
        <w:t>Tóth Bence: Mechanika II. – Szilárdságtan. Dialóg Campus Kiadó, 2019. ISBN: 9789635310159</w:t>
      </w:r>
    </w:p>
    <w:p w:rsidR="007B6B4B" w:rsidRPr="007B6B4B" w:rsidRDefault="007B6B4B" w:rsidP="00980876">
      <w:pPr>
        <w:widowControl w:val="0"/>
        <w:numPr>
          <w:ilvl w:val="0"/>
          <w:numId w:val="319"/>
        </w:numPr>
        <w:spacing w:after="0" w:line="240" w:lineRule="auto"/>
        <w:jc w:val="both"/>
        <w:rPr>
          <w:rFonts w:ascii="Times New Roman" w:eastAsia="Times New Roman" w:hAnsi="Times New Roman" w:cs="Times New Roman"/>
        </w:rPr>
      </w:pPr>
      <w:r w:rsidRPr="007B6B4B">
        <w:rPr>
          <w:rFonts w:ascii="Times New Roman" w:eastAsia="Times New Roman" w:hAnsi="Times New Roman" w:cs="Times New Roman"/>
        </w:rPr>
        <w:t>Kósa Csaba: Rugalmas rendszerek mechanikája. Bánki Donát Műszaki Főiskola, 1983.</w:t>
      </w:r>
    </w:p>
    <w:p w:rsidR="007B6B4B" w:rsidRPr="007B6B4B" w:rsidRDefault="007B6B4B" w:rsidP="00980876">
      <w:pPr>
        <w:widowControl w:val="0"/>
        <w:numPr>
          <w:ilvl w:val="0"/>
          <w:numId w:val="319"/>
        </w:numPr>
        <w:spacing w:after="0" w:line="240" w:lineRule="auto"/>
        <w:jc w:val="both"/>
        <w:rPr>
          <w:rFonts w:ascii="Times New Roman" w:eastAsia="Times New Roman" w:hAnsi="Times New Roman" w:cs="Times New Roman"/>
        </w:rPr>
      </w:pPr>
      <w:r w:rsidRPr="007B6B4B">
        <w:rPr>
          <w:rFonts w:ascii="Times New Roman" w:eastAsia="Times New Roman" w:hAnsi="Times New Roman" w:cs="Times New Roman"/>
        </w:rPr>
        <w:t xml:space="preserve">Kósa Csaba, Farnady Ernő, Gyurcsovics Lajosné, Halassy István, Horváth Sándor, Kriza </w:t>
      </w:r>
      <w:r w:rsidRPr="007B6B4B">
        <w:rPr>
          <w:rFonts w:ascii="Times New Roman" w:eastAsia="Times New Roman" w:hAnsi="Times New Roman" w:cs="Times New Roman"/>
        </w:rPr>
        <w:lastRenderedPageBreak/>
        <w:t>Kálmán: Rugalmas rendszerek mechanikája. Példatár és gyakorlati útmutató. Bánki Donát Műszaki Főiskola.</w:t>
      </w:r>
    </w:p>
    <w:p w:rsidR="007B6B4B" w:rsidRPr="007B6B4B" w:rsidRDefault="007B6B4B" w:rsidP="00980876">
      <w:pPr>
        <w:widowControl w:val="0"/>
        <w:numPr>
          <w:ilvl w:val="1"/>
          <w:numId w:val="318"/>
        </w:numPr>
        <w:tabs>
          <w:tab w:val="clear" w:pos="3977"/>
          <w:tab w:val="num" w:pos="567"/>
          <w:tab w:val="num" w:pos="2069"/>
        </w:tabs>
        <w:spacing w:before="120" w:after="120" w:line="240" w:lineRule="auto"/>
        <w:ind w:left="993" w:hanging="709"/>
        <w:jc w:val="both"/>
        <w:rPr>
          <w:rFonts w:ascii="Times New Roman" w:eastAsia="Times New Roman" w:hAnsi="Times New Roman" w:cs="Times New Roman"/>
          <w:b/>
          <w:bCs/>
        </w:rPr>
      </w:pPr>
      <w:r w:rsidRPr="007B6B4B">
        <w:rPr>
          <w:rFonts w:ascii="Times New Roman" w:eastAsia="Times New Roman" w:hAnsi="Times New Roman" w:cs="Times New Roman"/>
          <w:b/>
          <w:bCs/>
        </w:rPr>
        <w:t>Ajánlott irodalom:</w:t>
      </w:r>
    </w:p>
    <w:p w:rsidR="007B6B4B" w:rsidRPr="007B6B4B" w:rsidRDefault="007B6B4B" w:rsidP="00980876">
      <w:pPr>
        <w:widowControl w:val="0"/>
        <w:numPr>
          <w:ilvl w:val="0"/>
          <w:numId w:val="320"/>
        </w:numPr>
        <w:spacing w:after="0" w:line="240" w:lineRule="auto"/>
        <w:jc w:val="both"/>
        <w:rPr>
          <w:rFonts w:ascii="Times New Roman" w:eastAsia="Times New Roman" w:hAnsi="Times New Roman" w:cs="Times New Roman"/>
        </w:rPr>
      </w:pPr>
      <w:r w:rsidRPr="007B6B4B">
        <w:rPr>
          <w:rFonts w:ascii="Times New Roman" w:eastAsia="Times New Roman" w:hAnsi="Times New Roman" w:cs="Times New Roman"/>
        </w:rPr>
        <w:t>M. Csizmadia Béla, Nándori Ernő: Mechanika mérnököknek II. Nemzeti Tankönyvkiadó, 2002. ISBN: 9631934578</w:t>
      </w:r>
    </w:p>
    <w:p w:rsidR="007B6B4B" w:rsidRPr="007B6B4B" w:rsidRDefault="007B6B4B" w:rsidP="00980876">
      <w:pPr>
        <w:widowControl w:val="0"/>
        <w:numPr>
          <w:ilvl w:val="0"/>
          <w:numId w:val="320"/>
        </w:numPr>
        <w:spacing w:after="0" w:line="240" w:lineRule="auto"/>
        <w:jc w:val="both"/>
        <w:rPr>
          <w:rFonts w:ascii="Times New Roman" w:eastAsia="Times New Roman" w:hAnsi="Times New Roman" w:cs="Times New Roman"/>
        </w:rPr>
      </w:pPr>
      <w:r w:rsidRPr="007B6B4B">
        <w:rPr>
          <w:rFonts w:ascii="Times New Roman" w:eastAsia="Times New Roman" w:hAnsi="Times New Roman" w:cs="Times New Roman"/>
        </w:rPr>
        <w:t>H. G. Steger, J. Sieghart, E. Glauninger: Műszaki mechanika 2. Műszaki Könyvkiadó, Budapest, 1994. ISBN: 9637746102</w:t>
      </w:r>
    </w:p>
    <w:p w:rsidR="007B6B4B" w:rsidRPr="007B6B4B" w:rsidRDefault="007B6B4B" w:rsidP="00980876">
      <w:pPr>
        <w:widowControl w:val="0"/>
        <w:numPr>
          <w:ilvl w:val="0"/>
          <w:numId w:val="320"/>
        </w:numPr>
        <w:spacing w:after="0" w:line="240" w:lineRule="auto"/>
        <w:jc w:val="both"/>
        <w:rPr>
          <w:rFonts w:ascii="Times New Roman" w:eastAsia="Times New Roman" w:hAnsi="Times New Roman" w:cs="Times New Roman"/>
        </w:rPr>
      </w:pPr>
      <w:r w:rsidRPr="007B6B4B">
        <w:rPr>
          <w:rFonts w:ascii="Times New Roman" w:eastAsia="Times New Roman" w:hAnsi="Times New Roman" w:cs="Times New Roman"/>
        </w:rPr>
        <w:t>Csizmadia Lajosné: Műszaki mechanika példatár. Kossuth Lajos Katonai Főiskola, 1986.</w:t>
      </w:r>
    </w:p>
    <w:p w:rsidR="007B6B4B" w:rsidRDefault="007B6B4B" w:rsidP="007B6B4B">
      <w:pPr>
        <w:widowControl w:val="0"/>
        <w:spacing w:before="120" w:after="120" w:line="240" w:lineRule="auto"/>
        <w:jc w:val="both"/>
        <w:rPr>
          <w:rFonts w:ascii="Times New Roman" w:eastAsia="Times New Roman" w:hAnsi="Times New Roman" w:cs="Times New Roman"/>
          <w:bCs/>
        </w:rPr>
      </w:pPr>
    </w:p>
    <w:p w:rsidR="007B6B4B" w:rsidRPr="007B6B4B" w:rsidRDefault="007B6B4B" w:rsidP="007B6B4B">
      <w:pPr>
        <w:widowControl w:val="0"/>
        <w:spacing w:before="120" w:after="120" w:line="240" w:lineRule="auto"/>
        <w:jc w:val="both"/>
        <w:rPr>
          <w:rFonts w:ascii="Times New Roman" w:eastAsia="Times New Roman" w:hAnsi="Times New Roman" w:cs="Times New Roman"/>
          <w:bCs/>
        </w:rPr>
      </w:pPr>
      <w:r w:rsidRPr="007B6B4B">
        <w:rPr>
          <w:rFonts w:ascii="Times New Roman" w:eastAsia="Times New Roman" w:hAnsi="Times New Roman" w:cs="Times New Roman"/>
          <w:bCs/>
        </w:rPr>
        <w:t>Budapest, 2020. január 31.</w:t>
      </w:r>
    </w:p>
    <w:p w:rsidR="007B6B4B" w:rsidRPr="007B6B4B" w:rsidRDefault="007B6B4B" w:rsidP="007B6B4B">
      <w:pPr>
        <w:widowControl w:val="0"/>
        <w:spacing w:before="120" w:after="120" w:line="240" w:lineRule="auto"/>
        <w:jc w:val="both"/>
        <w:rPr>
          <w:rFonts w:ascii="Times New Roman" w:eastAsia="Times New Roman" w:hAnsi="Times New Roman" w:cs="Times New Roman"/>
          <w:bCs/>
        </w:rPr>
      </w:pPr>
    </w:p>
    <w:p w:rsidR="007B6B4B" w:rsidRPr="007B6B4B" w:rsidRDefault="007B6B4B" w:rsidP="007B6B4B">
      <w:pPr>
        <w:widowControl w:val="0"/>
        <w:spacing w:after="0" w:line="240" w:lineRule="auto"/>
        <w:jc w:val="right"/>
        <w:rPr>
          <w:rFonts w:ascii="Times New Roman" w:eastAsia="Times New Roman" w:hAnsi="Times New Roman" w:cs="Times New Roman"/>
          <w:bCs/>
        </w:rPr>
      </w:pPr>
      <w:r w:rsidRPr="007B6B4B">
        <w:rPr>
          <w:rFonts w:ascii="Times New Roman" w:eastAsia="Times New Roman" w:hAnsi="Times New Roman" w:cs="Times New Roman"/>
          <w:bCs/>
        </w:rPr>
        <w:t xml:space="preserve">Dr. Tóth Bence, PhD </w:t>
      </w:r>
    </w:p>
    <w:p w:rsidR="007B6B4B" w:rsidRPr="007B6B4B" w:rsidRDefault="007B6B4B" w:rsidP="007B6B4B">
      <w:pPr>
        <w:widowControl w:val="0"/>
        <w:spacing w:after="0" w:line="240" w:lineRule="auto"/>
        <w:jc w:val="right"/>
        <w:rPr>
          <w:rFonts w:ascii="Times New Roman" w:eastAsia="Times New Roman" w:hAnsi="Times New Roman" w:cs="Times New Roman"/>
          <w:bCs/>
        </w:rPr>
      </w:pPr>
      <w:r w:rsidRPr="007B6B4B">
        <w:rPr>
          <w:rFonts w:ascii="Times New Roman" w:eastAsia="Times New Roman" w:hAnsi="Times New Roman" w:cs="Times New Roman"/>
          <w:bCs/>
        </w:rPr>
        <w:t>adjunktus, sk.</w:t>
      </w:r>
    </w:p>
    <w:p w:rsidR="00FF115C" w:rsidRDefault="00FF115C">
      <w:pPr>
        <w:spacing w:after="200" w:line="276" w:lineRule="auto"/>
        <w:rPr>
          <w:rFonts w:ascii="Times New Roman" w:hAnsi="Times New Roman" w:cs="Times New Roman"/>
          <w:sz w:val="24"/>
        </w:rPr>
      </w:pPr>
    </w:p>
    <w:p w:rsidR="00FF115C" w:rsidRDefault="00FF115C">
      <w:pPr>
        <w:spacing w:after="200" w:line="276" w:lineRule="auto"/>
        <w:rPr>
          <w:rFonts w:ascii="Times New Roman" w:hAnsi="Times New Roman" w:cs="Times New Roman"/>
          <w:sz w:val="24"/>
        </w:rPr>
      </w:pPr>
      <w:r>
        <w:rPr>
          <w:rFonts w:ascii="Times New Roman" w:hAnsi="Times New Roman" w:cs="Times New Roman"/>
          <w:sz w:val="24"/>
        </w:rPr>
        <w:br w:type="page"/>
      </w:r>
    </w:p>
    <w:tbl>
      <w:tblPr>
        <w:tblW w:w="9072" w:type="dxa"/>
        <w:tblInd w:w="113" w:type="dxa"/>
        <w:tblLook w:val="01E0" w:firstRow="1" w:lastRow="1" w:firstColumn="1" w:lastColumn="1" w:noHBand="0" w:noVBand="0"/>
      </w:tblPr>
      <w:tblGrid>
        <w:gridCol w:w="4855"/>
        <w:gridCol w:w="1620"/>
        <w:gridCol w:w="2597"/>
      </w:tblGrid>
      <w:tr w:rsidR="007B6B4B" w:rsidRPr="007B6B4B" w:rsidTr="007B6B4B">
        <w:tc>
          <w:tcPr>
            <w:tcW w:w="4855" w:type="dxa"/>
            <w:tcBorders>
              <w:bottom w:val="single" w:sz="4" w:space="0" w:color="auto"/>
            </w:tcBorders>
          </w:tcPr>
          <w:p w:rsidR="007B6B4B" w:rsidRPr="007B6B4B" w:rsidRDefault="007B6B4B" w:rsidP="007B6B4B">
            <w:pPr>
              <w:spacing w:after="0" w:line="240" w:lineRule="auto"/>
              <w:jc w:val="center"/>
              <w:rPr>
                <w:rFonts w:ascii="Times New Roman" w:eastAsia="Times New Roman" w:hAnsi="Times New Roman" w:cs="Times New Roman"/>
                <w:b/>
                <w:smallCaps/>
                <w:lang w:eastAsia="hu-HU"/>
              </w:rPr>
            </w:pPr>
            <w:r w:rsidRPr="007B6B4B">
              <w:rPr>
                <w:rFonts w:ascii="Times New Roman" w:eastAsia="Times New Roman" w:hAnsi="Times New Roman" w:cs="Times New Roman"/>
                <w:b/>
                <w:smallCaps/>
                <w:lang w:eastAsia="hu-HU"/>
              </w:rPr>
              <w:lastRenderedPageBreak/>
              <w:t>Nemzeti Közszolgálati Egyetem</w:t>
            </w:r>
          </w:p>
        </w:tc>
        <w:tc>
          <w:tcPr>
            <w:tcW w:w="1620" w:type="dxa"/>
          </w:tcPr>
          <w:p w:rsidR="007B6B4B" w:rsidRPr="007B6B4B" w:rsidRDefault="007B6B4B" w:rsidP="007B6B4B">
            <w:pPr>
              <w:spacing w:after="0" w:line="240" w:lineRule="auto"/>
              <w:jc w:val="both"/>
              <w:rPr>
                <w:rFonts w:ascii="Times New Roman" w:eastAsia="Times New Roman" w:hAnsi="Times New Roman" w:cs="Times New Roman"/>
                <w:lang w:eastAsia="hu-HU"/>
              </w:rPr>
            </w:pPr>
          </w:p>
        </w:tc>
        <w:tc>
          <w:tcPr>
            <w:tcW w:w="2597" w:type="dxa"/>
          </w:tcPr>
          <w:p w:rsidR="007B6B4B" w:rsidRPr="007B6B4B" w:rsidRDefault="007B6B4B" w:rsidP="007B6B4B">
            <w:pPr>
              <w:spacing w:after="0" w:line="240" w:lineRule="auto"/>
              <w:jc w:val="right"/>
              <w:rPr>
                <w:rFonts w:ascii="Times New Roman" w:eastAsia="Times New Roman" w:hAnsi="Times New Roman" w:cs="Times New Roman"/>
                <w:lang w:eastAsia="hu-HU"/>
              </w:rPr>
            </w:pPr>
          </w:p>
        </w:tc>
      </w:tr>
      <w:tr w:rsidR="007B6B4B" w:rsidRPr="007B6B4B" w:rsidTr="007B6B4B">
        <w:tc>
          <w:tcPr>
            <w:tcW w:w="4855" w:type="dxa"/>
            <w:tcBorders>
              <w:top w:val="single" w:sz="4" w:space="0" w:color="auto"/>
            </w:tcBorders>
          </w:tcPr>
          <w:p w:rsidR="007B6B4B" w:rsidRPr="007B6B4B" w:rsidRDefault="007B6B4B" w:rsidP="007B6B4B">
            <w:pPr>
              <w:spacing w:after="0" w:line="240" w:lineRule="auto"/>
              <w:jc w:val="center"/>
              <w:rPr>
                <w:rFonts w:ascii="Times New Roman" w:eastAsia="Times New Roman" w:hAnsi="Times New Roman" w:cs="Times New Roman"/>
                <w:b/>
                <w:lang w:eastAsia="hu-HU"/>
              </w:rPr>
            </w:pPr>
            <w:r w:rsidRPr="007B6B4B">
              <w:rPr>
                <w:rFonts w:ascii="Times New Roman" w:hAnsi="Times New Roman" w:cs="Times New Roman"/>
                <w:b/>
              </w:rPr>
              <w:t xml:space="preserve">Hadtudományi és Honvédtisztképző </w:t>
            </w:r>
            <w:r w:rsidRPr="007B6B4B">
              <w:rPr>
                <w:rFonts w:ascii="Times New Roman" w:eastAsia="Times New Roman" w:hAnsi="Times New Roman" w:cs="Times New Roman"/>
                <w:b/>
                <w:lang w:eastAsia="hu-HU"/>
              </w:rPr>
              <w:t>Kar</w:t>
            </w:r>
          </w:p>
        </w:tc>
        <w:tc>
          <w:tcPr>
            <w:tcW w:w="1620" w:type="dxa"/>
          </w:tcPr>
          <w:p w:rsidR="007B6B4B" w:rsidRPr="007B6B4B" w:rsidRDefault="007B6B4B" w:rsidP="007B6B4B">
            <w:pPr>
              <w:spacing w:after="0" w:line="240" w:lineRule="auto"/>
              <w:jc w:val="both"/>
              <w:rPr>
                <w:rFonts w:ascii="Times New Roman" w:eastAsia="Times New Roman" w:hAnsi="Times New Roman" w:cs="Times New Roman"/>
                <w:lang w:eastAsia="hu-HU"/>
              </w:rPr>
            </w:pPr>
          </w:p>
        </w:tc>
        <w:tc>
          <w:tcPr>
            <w:tcW w:w="2597" w:type="dxa"/>
          </w:tcPr>
          <w:p w:rsidR="007B6B4B" w:rsidRPr="007B6B4B" w:rsidRDefault="007B6B4B" w:rsidP="007B6B4B">
            <w:pPr>
              <w:spacing w:after="0" w:line="240" w:lineRule="auto"/>
              <w:jc w:val="both"/>
              <w:rPr>
                <w:rFonts w:ascii="Times New Roman" w:eastAsia="Times New Roman" w:hAnsi="Times New Roman" w:cs="Times New Roman"/>
                <w:lang w:eastAsia="hu-HU"/>
              </w:rPr>
            </w:pPr>
          </w:p>
        </w:tc>
      </w:tr>
    </w:tbl>
    <w:p w:rsidR="007B6B4B" w:rsidRPr="007B6B4B" w:rsidRDefault="007B6B4B" w:rsidP="007B6B4B">
      <w:pPr>
        <w:widowControl w:val="0"/>
        <w:spacing w:before="120" w:after="120" w:line="240" w:lineRule="auto"/>
        <w:ind w:left="426" w:hanging="142"/>
        <w:jc w:val="center"/>
        <w:rPr>
          <w:rFonts w:ascii="Times New Roman" w:eastAsia="Times New Roman" w:hAnsi="Times New Roman" w:cs="Times New Roman"/>
          <w:b/>
          <w:bCs/>
        </w:rPr>
      </w:pPr>
    </w:p>
    <w:p w:rsidR="007B6B4B" w:rsidRPr="007B6B4B" w:rsidRDefault="007B6B4B" w:rsidP="007B6B4B">
      <w:pPr>
        <w:widowControl w:val="0"/>
        <w:spacing w:before="120" w:after="120" w:line="240" w:lineRule="auto"/>
        <w:ind w:left="426" w:hanging="142"/>
        <w:jc w:val="center"/>
        <w:rPr>
          <w:rFonts w:ascii="Times New Roman" w:eastAsia="Times New Roman" w:hAnsi="Times New Roman" w:cs="Times New Roman"/>
          <w:b/>
          <w:bCs/>
        </w:rPr>
      </w:pPr>
      <w:r w:rsidRPr="007B6B4B">
        <w:rPr>
          <w:rFonts w:ascii="Times New Roman" w:eastAsia="Times New Roman" w:hAnsi="Times New Roman" w:cs="Times New Roman"/>
          <w:b/>
          <w:bCs/>
        </w:rPr>
        <w:t>TANTÁRGYI PROGRAM</w:t>
      </w:r>
    </w:p>
    <w:p w:rsidR="007B6B4B" w:rsidRPr="007B6B4B" w:rsidRDefault="007B6B4B" w:rsidP="00980876">
      <w:pPr>
        <w:widowControl w:val="0"/>
        <w:numPr>
          <w:ilvl w:val="0"/>
          <w:numId w:val="321"/>
        </w:numPr>
        <w:spacing w:before="120" w:after="120" w:line="240" w:lineRule="auto"/>
        <w:ind w:left="426" w:hanging="142"/>
        <w:jc w:val="both"/>
        <w:rPr>
          <w:rFonts w:ascii="Times New Roman" w:eastAsia="Times New Roman" w:hAnsi="Times New Roman" w:cs="Times New Roman"/>
          <w:bCs/>
        </w:rPr>
      </w:pPr>
      <w:r w:rsidRPr="007B6B4B">
        <w:rPr>
          <w:rFonts w:ascii="Times New Roman" w:eastAsia="Times New Roman" w:hAnsi="Times New Roman" w:cs="Times New Roman"/>
          <w:b/>
          <w:bCs/>
        </w:rPr>
        <w:t xml:space="preserve">A tantárgy kódja: </w:t>
      </w:r>
      <w:r w:rsidRPr="007B6B4B">
        <w:rPr>
          <w:rFonts w:ascii="Times New Roman" w:hAnsi="Times New Roman" w:cs="Times New Roman"/>
        </w:rPr>
        <w:t>HKEHVA60</w:t>
      </w:r>
    </w:p>
    <w:p w:rsidR="007B6B4B" w:rsidRPr="007B6B4B" w:rsidRDefault="007B6B4B" w:rsidP="00980876">
      <w:pPr>
        <w:widowControl w:val="0"/>
        <w:numPr>
          <w:ilvl w:val="0"/>
          <w:numId w:val="321"/>
        </w:numPr>
        <w:spacing w:before="120" w:after="120" w:line="240" w:lineRule="auto"/>
        <w:ind w:left="426" w:hanging="142"/>
        <w:jc w:val="both"/>
        <w:rPr>
          <w:rFonts w:ascii="Times New Roman" w:eastAsia="Times New Roman" w:hAnsi="Times New Roman" w:cs="Times New Roman"/>
          <w:b/>
          <w:bCs/>
          <w:lang w:val="en-GB"/>
        </w:rPr>
      </w:pPr>
      <w:r w:rsidRPr="007B6B4B">
        <w:rPr>
          <w:rFonts w:ascii="Times New Roman" w:eastAsia="Times New Roman" w:hAnsi="Times New Roman" w:cs="Times New Roman"/>
          <w:b/>
          <w:bCs/>
        </w:rPr>
        <w:t>A tantárgy megnevezése (magyarul):</w:t>
      </w:r>
      <w:r w:rsidRPr="007B6B4B">
        <w:rPr>
          <w:rFonts w:ascii="Times New Roman" w:eastAsia="Times New Roman" w:hAnsi="Times New Roman" w:cs="Times New Roman"/>
          <w:bCs/>
        </w:rPr>
        <w:t xml:space="preserve"> </w:t>
      </w:r>
      <w:r w:rsidRPr="007B6B4B">
        <w:rPr>
          <w:rFonts w:ascii="Times New Roman" w:hAnsi="Times New Roman" w:cs="Times New Roman"/>
        </w:rPr>
        <w:t>Elektrotechnika HT</w:t>
      </w:r>
    </w:p>
    <w:p w:rsidR="007B6B4B" w:rsidRPr="007B6B4B" w:rsidRDefault="007B6B4B" w:rsidP="00980876">
      <w:pPr>
        <w:widowControl w:val="0"/>
        <w:numPr>
          <w:ilvl w:val="0"/>
          <w:numId w:val="321"/>
        </w:numPr>
        <w:spacing w:before="120" w:after="120" w:line="240" w:lineRule="auto"/>
        <w:ind w:left="426" w:hanging="142"/>
        <w:jc w:val="both"/>
        <w:rPr>
          <w:rFonts w:ascii="Times New Roman" w:eastAsia="Times New Roman" w:hAnsi="Times New Roman" w:cs="Times New Roman"/>
          <w:b/>
          <w:bCs/>
          <w:lang w:val="en-GB"/>
        </w:rPr>
      </w:pPr>
      <w:r w:rsidRPr="007B6B4B">
        <w:rPr>
          <w:rFonts w:ascii="Times New Roman" w:eastAsia="Times New Roman" w:hAnsi="Times New Roman" w:cs="Times New Roman"/>
          <w:b/>
          <w:bCs/>
        </w:rPr>
        <w:t xml:space="preserve">A tantárgy megnevezése (angolul): </w:t>
      </w:r>
      <w:r w:rsidRPr="007B6B4B">
        <w:rPr>
          <w:rFonts w:ascii="Times New Roman" w:hAnsi="Times New Roman" w:cs="Times New Roman"/>
          <w:bCs/>
        </w:rPr>
        <w:t>Electrotechnics HT</w:t>
      </w:r>
      <w:r w:rsidRPr="007B6B4B">
        <w:rPr>
          <w:rFonts w:ascii="Times New Roman" w:eastAsia="Times New Roman" w:hAnsi="Times New Roman" w:cs="Times New Roman"/>
          <w:bCs/>
          <w:highlight w:val="lightGray"/>
        </w:rPr>
        <w:t xml:space="preserve"> </w:t>
      </w:r>
    </w:p>
    <w:p w:rsidR="007B6B4B" w:rsidRPr="007B6B4B" w:rsidRDefault="007B6B4B" w:rsidP="00980876">
      <w:pPr>
        <w:widowControl w:val="0"/>
        <w:numPr>
          <w:ilvl w:val="0"/>
          <w:numId w:val="321"/>
        </w:numPr>
        <w:spacing w:before="120" w:after="120" w:line="240" w:lineRule="auto"/>
        <w:ind w:left="426" w:hanging="142"/>
        <w:jc w:val="both"/>
        <w:rPr>
          <w:rFonts w:ascii="Times New Roman" w:eastAsia="Times New Roman" w:hAnsi="Times New Roman" w:cs="Times New Roman"/>
          <w:b/>
          <w:bCs/>
        </w:rPr>
      </w:pPr>
      <w:r w:rsidRPr="007B6B4B">
        <w:rPr>
          <w:rFonts w:ascii="Times New Roman" w:eastAsia="Times New Roman" w:hAnsi="Times New Roman" w:cs="Times New Roman"/>
          <w:b/>
          <w:bCs/>
        </w:rPr>
        <w:t xml:space="preserve">Kreditérték és képzési karakter: </w:t>
      </w:r>
    </w:p>
    <w:p w:rsidR="007B6B4B" w:rsidRPr="007B6B4B" w:rsidRDefault="007B6B4B" w:rsidP="00980876">
      <w:pPr>
        <w:pStyle w:val="Listaszerbekezds"/>
        <w:widowControl w:val="0"/>
        <w:numPr>
          <w:ilvl w:val="1"/>
          <w:numId w:val="321"/>
        </w:numPr>
        <w:tabs>
          <w:tab w:val="clear" w:pos="3977"/>
        </w:tabs>
        <w:spacing w:before="120" w:after="120" w:line="240" w:lineRule="auto"/>
        <w:ind w:left="993" w:hanging="426"/>
        <w:jc w:val="both"/>
        <w:rPr>
          <w:rFonts w:ascii="Times New Roman" w:eastAsia="Times New Roman" w:hAnsi="Times New Roman" w:cs="Times New Roman"/>
          <w:b/>
          <w:bCs/>
        </w:rPr>
      </w:pPr>
      <w:r w:rsidRPr="007B6B4B">
        <w:rPr>
          <w:rFonts w:ascii="Times New Roman" w:hAnsi="Times New Roman" w:cs="Times New Roman"/>
          <w:bCs/>
        </w:rPr>
        <w:t>3</w:t>
      </w:r>
      <w:r w:rsidRPr="007B6B4B">
        <w:rPr>
          <w:rFonts w:ascii="Times New Roman" w:eastAsia="Times New Roman" w:hAnsi="Times New Roman" w:cs="Times New Roman"/>
          <w:bCs/>
        </w:rPr>
        <w:t xml:space="preserve"> kredit</w:t>
      </w:r>
    </w:p>
    <w:p w:rsidR="007B6B4B" w:rsidRPr="007B6B4B" w:rsidRDefault="007B6B4B" w:rsidP="00980876">
      <w:pPr>
        <w:pStyle w:val="Listaszerbekezds"/>
        <w:widowControl w:val="0"/>
        <w:numPr>
          <w:ilvl w:val="1"/>
          <w:numId w:val="321"/>
        </w:numPr>
        <w:tabs>
          <w:tab w:val="clear" w:pos="3977"/>
        </w:tabs>
        <w:spacing w:before="120" w:after="120" w:line="240" w:lineRule="auto"/>
        <w:ind w:left="993" w:hanging="426"/>
        <w:jc w:val="both"/>
        <w:rPr>
          <w:rFonts w:ascii="Times New Roman" w:eastAsia="Times New Roman" w:hAnsi="Times New Roman" w:cs="Times New Roman"/>
          <w:b/>
          <w:bCs/>
        </w:rPr>
      </w:pPr>
      <w:r w:rsidRPr="007B6B4B">
        <w:rPr>
          <w:rFonts w:ascii="Times New Roman" w:eastAsia="Times New Roman" w:hAnsi="Times New Roman" w:cs="Times New Roman"/>
          <w:bCs/>
        </w:rPr>
        <w:t>a tantárgy elméleti vagy gyakorlati jellegének mértéke: 33</w:t>
      </w:r>
      <w:r w:rsidRPr="007B6B4B">
        <w:rPr>
          <w:rFonts w:ascii="Times New Roman" w:eastAsia="Times New Roman" w:hAnsi="Times New Roman" w:cs="Times New Roman"/>
          <w:b/>
          <w:bCs/>
        </w:rPr>
        <w:t xml:space="preserve"> </w:t>
      </w:r>
      <w:r w:rsidRPr="007B6B4B">
        <w:rPr>
          <w:rFonts w:ascii="Times New Roman" w:eastAsia="Times New Roman" w:hAnsi="Times New Roman" w:cs="Times New Roman"/>
          <w:bCs/>
        </w:rPr>
        <w:t>% gyakorlat, 66 % elmélet</w:t>
      </w:r>
    </w:p>
    <w:p w:rsidR="007B6B4B" w:rsidRPr="007B6B4B" w:rsidRDefault="007B6B4B" w:rsidP="00980876">
      <w:pPr>
        <w:widowControl w:val="0"/>
        <w:numPr>
          <w:ilvl w:val="0"/>
          <w:numId w:val="321"/>
        </w:numPr>
        <w:spacing w:before="120" w:after="120" w:line="240" w:lineRule="auto"/>
        <w:jc w:val="both"/>
        <w:rPr>
          <w:rFonts w:ascii="Times New Roman" w:eastAsia="Times New Roman" w:hAnsi="Times New Roman" w:cs="Times New Roman"/>
          <w:bCs/>
        </w:rPr>
      </w:pPr>
      <w:r w:rsidRPr="007B6B4B">
        <w:rPr>
          <w:rFonts w:ascii="Times New Roman" w:eastAsia="Times New Roman" w:hAnsi="Times New Roman" w:cs="Times New Roman"/>
          <w:b/>
          <w:bCs/>
        </w:rPr>
        <w:t>A szak(ok), szakirányok/specializációk megnevezése (ahol oktatják):</w:t>
      </w:r>
      <w:r w:rsidRPr="007B6B4B">
        <w:rPr>
          <w:rFonts w:ascii="Times New Roman" w:hAnsi="Times New Roman" w:cs="Times New Roman"/>
        </w:rPr>
        <w:t xml:space="preserve"> k</w:t>
      </w:r>
      <w:r w:rsidRPr="007B6B4B">
        <w:rPr>
          <w:rFonts w:ascii="Times New Roman" w:eastAsia="Times New Roman" w:hAnsi="Times New Roman" w:cs="Times New Roman"/>
          <w:bCs/>
        </w:rPr>
        <w:t>atonai logisztika alapszak, haditechnika specializáció</w:t>
      </w:r>
    </w:p>
    <w:p w:rsidR="007B6B4B" w:rsidRPr="007B6B4B" w:rsidRDefault="007B6B4B" w:rsidP="00980876">
      <w:pPr>
        <w:widowControl w:val="0"/>
        <w:numPr>
          <w:ilvl w:val="0"/>
          <w:numId w:val="321"/>
        </w:numPr>
        <w:spacing w:before="120" w:after="120" w:line="240" w:lineRule="auto"/>
        <w:ind w:left="426" w:hanging="142"/>
        <w:jc w:val="both"/>
        <w:rPr>
          <w:rFonts w:ascii="Times New Roman" w:eastAsia="Times New Roman" w:hAnsi="Times New Roman" w:cs="Times New Roman"/>
          <w:bCs/>
        </w:rPr>
      </w:pPr>
      <w:r w:rsidRPr="007B6B4B">
        <w:rPr>
          <w:rFonts w:ascii="Times New Roman" w:eastAsia="Times New Roman" w:hAnsi="Times New Roman" w:cs="Times New Roman"/>
          <w:b/>
          <w:bCs/>
        </w:rPr>
        <w:t xml:space="preserve">Az oktatásért felelős oktatási szervezeti egység megnevezése: </w:t>
      </w:r>
      <w:r w:rsidRPr="007B6B4B">
        <w:rPr>
          <w:rFonts w:ascii="Times New Roman" w:hAnsi="Times New Roman" w:cs="Times New Roman"/>
          <w:bCs/>
        </w:rPr>
        <w:t>HHK Elektronikai Hadviselés Tanszék</w:t>
      </w:r>
    </w:p>
    <w:p w:rsidR="007B6B4B" w:rsidRPr="007B6B4B" w:rsidRDefault="007B6B4B" w:rsidP="00980876">
      <w:pPr>
        <w:widowControl w:val="0"/>
        <w:numPr>
          <w:ilvl w:val="0"/>
          <w:numId w:val="321"/>
        </w:numPr>
        <w:spacing w:before="120" w:after="120" w:line="240" w:lineRule="auto"/>
        <w:ind w:left="426" w:hanging="142"/>
        <w:jc w:val="both"/>
        <w:rPr>
          <w:rFonts w:ascii="Times New Roman" w:eastAsia="Times New Roman" w:hAnsi="Times New Roman" w:cs="Times New Roman"/>
          <w:bCs/>
        </w:rPr>
      </w:pPr>
      <w:r w:rsidRPr="007B6B4B">
        <w:rPr>
          <w:rFonts w:ascii="Times New Roman" w:eastAsia="Times New Roman" w:hAnsi="Times New Roman" w:cs="Times New Roman"/>
          <w:b/>
          <w:bCs/>
        </w:rPr>
        <w:t>A tantárgyfelelős oktató neve, beosztása, tudományos fokozata:</w:t>
      </w:r>
      <w:r w:rsidRPr="007B6B4B">
        <w:rPr>
          <w:rFonts w:ascii="Times New Roman" w:eastAsia="Times New Roman" w:hAnsi="Times New Roman" w:cs="Times New Roman"/>
          <w:bCs/>
        </w:rPr>
        <w:t xml:space="preserve"> </w:t>
      </w:r>
      <w:r w:rsidRPr="007B6B4B">
        <w:rPr>
          <w:rFonts w:ascii="Times New Roman" w:hAnsi="Times New Roman" w:cs="Times New Roman"/>
        </w:rPr>
        <w:t>Dr. Fatalin László, e. docens, PhD</w:t>
      </w:r>
      <w:r w:rsidRPr="007B6B4B">
        <w:rPr>
          <w:rFonts w:ascii="Times New Roman" w:eastAsia="Times New Roman" w:hAnsi="Times New Roman" w:cs="Times New Roman"/>
          <w:bCs/>
        </w:rPr>
        <w:t xml:space="preserve"> </w:t>
      </w:r>
    </w:p>
    <w:p w:rsidR="007B6B4B" w:rsidRPr="007B6B4B" w:rsidRDefault="007B6B4B" w:rsidP="00980876">
      <w:pPr>
        <w:widowControl w:val="0"/>
        <w:numPr>
          <w:ilvl w:val="0"/>
          <w:numId w:val="321"/>
        </w:numPr>
        <w:spacing w:before="120" w:after="120" w:line="240" w:lineRule="auto"/>
        <w:ind w:left="426" w:hanging="142"/>
        <w:jc w:val="both"/>
        <w:rPr>
          <w:rFonts w:ascii="Times New Roman" w:eastAsia="Times New Roman" w:hAnsi="Times New Roman" w:cs="Times New Roman"/>
          <w:bCs/>
        </w:rPr>
      </w:pPr>
      <w:r w:rsidRPr="007B6B4B">
        <w:rPr>
          <w:rFonts w:ascii="Times New Roman" w:eastAsia="Times New Roman" w:hAnsi="Times New Roman" w:cs="Times New Roman"/>
          <w:b/>
          <w:bCs/>
        </w:rPr>
        <w:t>A tanórák száma és típusa</w:t>
      </w:r>
    </w:p>
    <w:p w:rsidR="007B6B4B" w:rsidRPr="007B6B4B" w:rsidRDefault="007B6B4B" w:rsidP="00980876">
      <w:pPr>
        <w:widowControl w:val="0"/>
        <w:numPr>
          <w:ilvl w:val="1"/>
          <w:numId w:val="321"/>
        </w:numPr>
        <w:tabs>
          <w:tab w:val="clear" w:pos="3977"/>
        </w:tabs>
        <w:spacing w:before="120" w:after="120" w:line="240" w:lineRule="auto"/>
        <w:ind w:left="851" w:hanging="425"/>
        <w:jc w:val="both"/>
        <w:rPr>
          <w:rFonts w:ascii="Times New Roman" w:eastAsia="Times New Roman" w:hAnsi="Times New Roman" w:cs="Times New Roman"/>
          <w:bCs/>
        </w:rPr>
      </w:pPr>
      <w:r w:rsidRPr="007B6B4B">
        <w:rPr>
          <w:rFonts w:ascii="Times New Roman" w:eastAsia="Times New Roman" w:hAnsi="Times New Roman" w:cs="Times New Roman"/>
          <w:bCs/>
        </w:rPr>
        <w:t>össz óraszám/félév:</w:t>
      </w:r>
    </w:p>
    <w:p w:rsidR="007B6B4B" w:rsidRPr="007B6B4B" w:rsidRDefault="007B6B4B" w:rsidP="00980876">
      <w:pPr>
        <w:widowControl w:val="0"/>
        <w:numPr>
          <w:ilvl w:val="2"/>
          <w:numId w:val="321"/>
        </w:numPr>
        <w:spacing w:before="120" w:after="120" w:line="240" w:lineRule="auto"/>
        <w:ind w:left="1134" w:hanging="566"/>
        <w:jc w:val="both"/>
        <w:rPr>
          <w:rFonts w:ascii="Times New Roman" w:eastAsia="Times New Roman" w:hAnsi="Times New Roman" w:cs="Times New Roman"/>
          <w:bCs/>
        </w:rPr>
      </w:pPr>
      <w:r w:rsidRPr="007B6B4B">
        <w:rPr>
          <w:rFonts w:ascii="Times New Roman" w:eastAsia="Times New Roman" w:hAnsi="Times New Roman" w:cs="Times New Roman"/>
          <w:bCs/>
        </w:rPr>
        <w:t>nappali munkarend: 42 (28 EA + 0 SZ + 14 GY)</w:t>
      </w:r>
    </w:p>
    <w:p w:rsidR="007B6B4B" w:rsidRPr="007B6B4B" w:rsidRDefault="007B6B4B" w:rsidP="00980876">
      <w:pPr>
        <w:widowControl w:val="0"/>
        <w:numPr>
          <w:ilvl w:val="2"/>
          <w:numId w:val="321"/>
        </w:numPr>
        <w:spacing w:before="120" w:after="120" w:line="240" w:lineRule="auto"/>
        <w:ind w:left="1134" w:hanging="566"/>
        <w:jc w:val="both"/>
        <w:rPr>
          <w:rFonts w:ascii="Times New Roman" w:eastAsia="Times New Roman" w:hAnsi="Times New Roman" w:cs="Times New Roman"/>
          <w:bCs/>
        </w:rPr>
      </w:pPr>
      <w:r w:rsidRPr="007B6B4B">
        <w:rPr>
          <w:rFonts w:ascii="Times New Roman" w:eastAsia="Times New Roman" w:hAnsi="Times New Roman" w:cs="Times New Roman"/>
          <w:bCs/>
        </w:rPr>
        <w:t>levelező munkarend: ( EA + SZ +  GY)</w:t>
      </w:r>
    </w:p>
    <w:p w:rsidR="007B6B4B" w:rsidRPr="007B6B4B" w:rsidRDefault="007B6B4B" w:rsidP="00980876">
      <w:pPr>
        <w:widowControl w:val="0"/>
        <w:numPr>
          <w:ilvl w:val="1"/>
          <w:numId w:val="321"/>
        </w:numPr>
        <w:tabs>
          <w:tab w:val="clear" w:pos="3977"/>
        </w:tabs>
        <w:spacing w:before="120" w:after="120" w:line="240" w:lineRule="auto"/>
        <w:ind w:left="851" w:hanging="425"/>
        <w:jc w:val="both"/>
        <w:rPr>
          <w:rFonts w:ascii="Times New Roman" w:eastAsia="Times New Roman" w:hAnsi="Times New Roman" w:cs="Times New Roman"/>
          <w:bCs/>
        </w:rPr>
      </w:pPr>
      <w:r w:rsidRPr="007B6B4B">
        <w:rPr>
          <w:rFonts w:ascii="Times New Roman" w:eastAsia="Times New Roman" w:hAnsi="Times New Roman" w:cs="Times New Roman"/>
          <w:bCs/>
        </w:rPr>
        <w:t xml:space="preserve">heti óraszám - nappali munkarend: </w:t>
      </w:r>
      <w:r w:rsidR="007B0C66">
        <w:rPr>
          <w:rFonts w:ascii="Times New Roman" w:eastAsia="Times New Roman" w:hAnsi="Times New Roman" w:cs="Times New Roman"/>
          <w:bCs/>
        </w:rPr>
        <w:t>3 (2+1)</w:t>
      </w:r>
    </w:p>
    <w:p w:rsidR="007B6B4B" w:rsidRPr="007B6B4B" w:rsidRDefault="007B6B4B" w:rsidP="00980876">
      <w:pPr>
        <w:widowControl w:val="0"/>
        <w:numPr>
          <w:ilvl w:val="1"/>
          <w:numId w:val="321"/>
        </w:numPr>
        <w:tabs>
          <w:tab w:val="clear" w:pos="3977"/>
        </w:tabs>
        <w:spacing w:before="120" w:after="120" w:line="240" w:lineRule="auto"/>
        <w:ind w:left="851" w:hanging="425"/>
        <w:jc w:val="both"/>
        <w:rPr>
          <w:rFonts w:ascii="Times New Roman" w:eastAsia="Times New Roman" w:hAnsi="Times New Roman" w:cs="Times New Roman"/>
          <w:bCs/>
        </w:rPr>
      </w:pPr>
      <w:r w:rsidRPr="007B6B4B">
        <w:rPr>
          <w:rFonts w:ascii="Times New Roman" w:hAnsi="Times New Roman" w:cs="Times New Roman"/>
        </w:rPr>
        <w:t>Az ismeret átadásában alkalmazandó további sajátos módok, jellemzők:</w:t>
      </w:r>
    </w:p>
    <w:p w:rsidR="007B6B4B" w:rsidRPr="007B6B4B" w:rsidRDefault="007B6B4B" w:rsidP="00980876">
      <w:pPr>
        <w:widowControl w:val="0"/>
        <w:numPr>
          <w:ilvl w:val="0"/>
          <w:numId w:val="321"/>
        </w:numPr>
        <w:spacing w:before="120" w:after="120" w:line="240" w:lineRule="auto"/>
        <w:ind w:left="426" w:hanging="142"/>
        <w:jc w:val="both"/>
        <w:rPr>
          <w:rFonts w:ascii="Times New Roman" w:eastAsia="Times New Roman" w:hAnsi="Times New Roman" w:cs="Times New Roman"/>
          <w:bCs/>
        </w:rPr>
      </w:pPr>
      <w:r w:rsidRPr="007B6B4B">
        <w:rPr>
          <w:rFonts w:ascii="Times New Roman" w:eastAsia="Times New Roman" w:hAnsi="Times New Roman" w:cs="Times New Roman"/>
          <w:b/>
          <w:bCs/>
        </w:rPr>
        <w:t>A tantárgy szakmai tartalma (magyarul):</w:t>
      </w:r>
      <w:r w:rsidRPr="007B6B4B">
        <w:rPr>
          <w:rFonts w:ascii="Times New Roman" w:eastAsia="Times New Roman" w:hAnsi="Times New Roman" w:cs="Times New Roman"/>
          <w:bCs/>
        </w:rPr>
        <w:t xml:space="preserve"> </w:t>
      </w:r>
    </w:p>
    <w:p w:rsidR="007B6B4B" w:rsidRPr="007B6B4B" w:rsidRDefault="007B6B4B" w:rsidP="007B6B4B">
      <w:pPr>
        <w:widowControl w:val="0"/>
        <w:spacing w:before="120" w:after="120" w:line="240" w:lineRule="auto"/>
        <w:ind w:left="426"/>
        <w:jc w:val="both"/>
        <w:rPr>
          <w:rFonts w:ascii="Times New Roman" w:eastAsia="Times New Roman" w:hAnsi="Times New Roman" w:cs="Times New Roman"/>
          <w:b/>
          <w:bCs/>
        </w:rPr>
      </w:pPr>
      <w:r w:rsidRPr="007B6B4B">
        <w:rPr>
          <w:rFonts w:ascii="Times New Roman" w:eastAsia="Times New Roman" w:hAnsi="Times New Roman" w:cs="Times New Roman"/>
          <w:bCs/>
          <w:lang w:eastAsia="hu-HU"/>
        </w:rPr>
        <w:t xml:space="preserve">Megismertetni a lineáris rendszermodellek jellemzőit, alapfogalmait és törvényeit, a megmaradási elvek alkalmazásait. Az aktív és passzív kétpólusok szekvenciális és paralel kapcsolásának vizsgálata stacionárius és periodikus gerjesztés mellett. A harmonikus analízis elemei, a spektrum fogalma, a hálózatok frekvenciafüggő viselkedésének jellemzése. </w:t>
      </w:r>
    </w:p>
    <w:p w:rsidR="007B6B4B" w:rsidRPr="007B6B4B" w:rsidRDefault="007B6B4B" w:rsidP="007B6B4B">
      <w:pPr>
        <w:tabs>
          <w:tab w:val="left" w:pos="34"/>
        </w:tabs>
        <w:ind w:left="426"/>
        <w:jc w:val="both"/>
        <w:rPr>
          <w:rFonts w:ascii="Times New Roman" w:eastAsia="Times New Roman" w:hAnsi="Times New Roman" w:cs="Times New Roman"/>
          <w:b/>
          <w:bCs/>
        </w:rPr>
      </w:pPr>
      <w:r w:rsidRPr="007B6B4B">
        <w:rPr>
          <w:rFonts w:ascii="Times New Roman" w:eastAsia="Times New Roman" w:hAnsi="Times New Roman" w:cs="Times New Roman"/>
          <w:b/>
          <w:bCs/>
        </w:rPr>
        <w:t xml:space="preserve">A tantárgy szakmai tartalma (angolul) (Course description): </w:t>
      </w:r>
    </w:p>
    <w:p w:rsidR="007B6B4B" w:rsidRPr="005273D9" w:rsidRDefault="007B6B4B" w:rsidP="005273D9">
      <w:pPr>
        <w:widowControl w:val="0"/>
        <w:spacing w:before="120" w:after="120" w:line="240" w:lineRule="auto"/>
        <w:ind w:left="426"/>
        <w:jc w:val="both"/>
        <w:rPr>
          <w:rFonts w:ascii="Times New Roman" w:eastAsia="Times New Roman" w:hAnsi="Times New Roman" w:cs="Times New Roman"/>
          <w:bCs/>
          <w:lang w:eastAsia="hu-HU"/>
        </w:rPr>
      </w:pPr>
      <w:r w:rsidRPr="005273D9">
        <w:rPr>
          <w:rFonts w:ascii="Times New Roman" w:eastAsia="Times New Roman" w:hAnsi="Times New Roman" w:cs="Times New Roman"/>
          <w:bCs/>
          <w:lang w:eastAsia="hu-HU"/>
        </w:rPr>
        <w:t>Learn about the characteristics of linear system models and the applications of the conservation principles. Sequential and parallel coupling of active and passive bipoles, and behavior in standing and periodic excitation. The elements of harmonic analysis, the concept of spectrum and characterization the frequency-dependent behavior of networks.</w:t>
      </w:r>
    </w:p>
    <w:p w:rsidR="007B6B4B" w:rsidRPr="007B6B4B" w:rsidRDefault="007B6B4B" w:rsidP="00980876">
      <w:pPr>
        <w:pStyle w:val="Listaszerbekezds"/>
        <w:widowControl w:val="0"/>
        <w:numPr>
          <w:ilvl w:val="0"/>
          <w:numId w:val="321"/>
        </w:numPr>
        <w:spacing w:before="120" w:after="120" w:line="240" w:lineRule="auto"/>
        <w:jc w:val="both"/>
        <w:rPr>
          <w:rFonts w:ascii="Times New Roman" w:eastAsia="Times New Roman" w:hAnsi="Times New Roman" w:cs="Times New Roman"/>
          <w:bCs/>
        </w:rPr>
      </w:pPr>
      <w:r w:rsidRPr="007B6B4B">
        <w:rPr>
          <w:rFonts w:ascii="Times New Roman" w:eastAsia="Times New Roman" w:hAnsi="Times New Roman" w:cs="Times New Roman"/>
          <w:b/>
          <w:bCs/>
        </w:rPr>
        <w:t xml:space="preserve">Elérendő kompetenciák (magyarul): </w:t>
      </w:r>
    </w:p>
    <w:p w:rsidR="007B6B4B" w:rsidRPr="007B6B4B" w:rsidRDefault="007B6B4B" w:rsidP="007B6B4B">
      <w:pPr>
        <w:tabs>
          <w:tab w:val="left" w:pos="317"/>
        </w:tabs>
        <w:spacing w:after="120"/>
        <w:ind w:left="425"/>
        <w:rPr>
          <w:rFonts w:ascii="Times New Roman" w:eastAsia="Times New Roman" w:hAnsi="Times New Roman" w:cs="Times New Roman"/>
          <w:b/>
          <w:bCs/>
        </w:rPr>
      </w:pPr>
      <w:r w:rsidRPr="007B6B4B">
        <w:rPr>
          <w:rFonts w:ascii="Times New Roman" w:eastAsia="Times New Roman" w:hAnsi="Times New Roman" w:cs="Times New Roman"/>
          <w:b/>
          <w:bCs/>
        </w:rPr>
        <w:t>Tudása:</w:t>
      </w:r>
    </w:p>
    <w:p w:rsidR="007B6B4B" w:rsidRPr="007B6B4B" w:rsidRDefault="007B6B4B" w:rsidP="007B6B4B">
      <w:pPr>
        <w:widowControl w:val="0"/>
        <w:spacing w:after="0" w:line="240" w:lineRule="auto"/>
        <w:ind w:left="709" w:hanging="283"/>
        <w:jc w:val="both"/>
        <w:rPr>
          <w:rFonts w:ascii="Times New Roman" w:eastAsia="Times New Roman" w:hAnsi="Times New Roman" w:cs="Times New Roman"/>
          <w:bCs/>
        </w:rPr>
      </w:pPr>
      <w:r w:rsidRPr="007B6B4B">
        <w:rPr>
          <w:rFonts w:ascii="Times New Roman" w:eastAsia="Times New Roman" w:hAnsi="Times New Roman" w:cs="Times New Roman"/>
          <w:b/>
          <w:bCs/>
        </w:rPr>
        <w:t>-</w:t>
      </w:r>
      <w:r w:rsidRPr="007B6B4B">
        <w:rPr>
          <w:rFonts w:ascii="Times New Roman" w:eastAsia="Times New Roman" w:hAnsi="Times New Roman" w:cs="Times New Roman"/>
          <w:bCs/>
        </w:rPr>
        <w:t xml:space="preserve"> </w:t>
      </w:r>
      <w:r w:rsidRPr="007B6B4B">
        <w:rPr>
          <w:rFonts w:ascii="Times New Roman" w:hAnsi="Times New Roman" w:cs="Times New Roman"/>
        </w:rPr>
        <w:t>ismeri a rendszeresített haditechnikai eszközök alkalmazásának és fenntartásának tervezését, szervezését, irányítását és ellenőrzését</w:t>
      </w:r>
    </w:p>
    <w:p w:rsidR="007B6B4B" w:rsidRPr="007B6B4B" w:rsidRDefault="007B6B4B" w:rsidP="007B6B4B">
      <w:pPr>
        <w:widowControl w:val="0"/>
        <w:spacing w:after="0" w:line="240" w:lineRule="auto"/>
        <w:ind w:left="709" w:hanging="283"/>
        <w:jc w:val="both"/>
        <w:rPr>
          <w:rFonts w:ascii="Times New Roman" w:eastAsia="Times New Roman" w:hAnsi="Times New Roman" w:cs="Times New Roman"/>
          <w:bCs/>
        </w:rPr>
      </w:pPr>
      <w:r w:rsidRPr="007B6B4B">
        <w:rPr>
          <w:rFonts w:ascii="Times New Roman" w:hAnsi="Times New Roman" w:cs="Times New Roman"/>
        </w:rPr>
        <w:t>- haditechnikai és más szaktechnikai eszközeinek üzemeltetésére, az üzemfenntartás vezetésére</w:t>
      </w:r>
    </w:p>
    <w:p w:rsidR="007B6B4B" w:rsidRPr="007B6B4B" w:rsidRDefault="007B6B4B" w:rsidP="007B6B4B">
      <w:pPr>
        <w:widowControl w:val="0"/>
        <w:spacing w:before="120" w:after="120" w:line="240" w:lineRule="auto"/>
        <w:ind w:left="426"/>
        <w:jc w:val="both"/>
        <w:rPr>
          <w:rFonts w:ascii="Times New Roman" w:eastAsia="Times New Roman" w:hAnsi="Times New Roman" w:cs="Times New Roman"/>
          <w:bCs/>
        </w:rPr>
      </w:pPr>
      <w:r w:rsidRPr="007B6B4B">
        <w:rPr>
          <w:rFonts w:ascii="Times New Roman" w:eastAsia="Times New Roman" w:hAnsi="Times New Roman" w:cs="Times New Roman"/>
          <w:b/>
          <w:bCs/>
        </w:rPr>
        <w:t>Képességei:</w:t>
      </w:r>
      <w:r w:rsidRPr="007B6B4B">
        <w:rPr>
          <w:rFonts w:ascii="Times New Roman" w:eastAsia="Times New Roman" w:hAnsi="Times New Roman" w:cs="Times New Roman"/>
          <w:bCs/>
        </w:rPr>
        <w:t xml:space="preserve"> </w:t>
      </w:r>
    </w:p>
    <w:p w:rsidR="007B6B4B" w:rsidRPr="007B6B4B" w:rsidRDefault="007B6B4B" w:rsidP="007B6B4B">
      <w:pPr>
        <w:widowControl w:val="0"/>
        <w:spacing w:before="120" w:after="120" w:line="240" w:lineRule="auto"/>
        <w:ind w:left="709" w:hanging="283"/>
        <w:jc w:val="both"/>
        <w:rPr>
          <w:rFonts w:ascii="Times New Roman" w:eastAsia="Times New Roman" w:hAnsi="Times New Roman" w:cs="Times New Roman"/>
          <w:bCs/>
        </w:rPr>
      </w:pPr>
      <w:r w:rsidRPr="007B6B4B">
        <w:rPr>
          <w:rFonts w:ascii="Times New Roman" w:hAnsi="Times New Roman" w:cs="Times New Roman"/>
        </w:rPr>
        <w:t>- alkalmas a megszerzett elméleti tudás alkalmazására és gyakorlati hasznosítására, a problémamegoldó technikák használatára</w:t>
      </w:r>
      <w:r w:rsidRPr="007B6B4B">
        <w:rPr>
          <w:rFonts w:ascii="Times New Roman" w:eastAsia="Times New Roman" w:hAnsi="Times New Roman" w:cs="Times New Roman"/>
          <w:bCs/>
        </w:rPr>
        <w:t xml:space="preserve"> </w:t>
      </w:r>
    </w:p>
    <w:p w:rsidR="007B6B4B" w:rsidRPr="007B6B4B" w:rsidRDefault="007B6B4B" w:rsidP="007B6B4B">
      <w:pPr>
        <w:widowControl w:val="0"/>
        <w:spacing w:before="120" w:after="120" w:line="240" w:lineRule="auto"/>
        <w:ind w:left="426"/>
        <w:jc w:val="both"/>
        <w:rPr>
          <w:rFonts w:ascii="Times New Roman" w:eastAsia="Times New Roman" w:hAnsi="Times New Roman" w:cs="Times New Roman"/>
          <w:bCs/>
        </w:rPr>
      </w:pPr>
      <w:r w:rsidRPr="007B6B4B">
        <w:rPr>
          <w:rFonts w:ascii="Times New Roman" w:eastAsia="Times New Roman" w:hAnsi="Times New Roman" w:cs="Times New Roman"/>
          <w:b/>
          <w:bCs/>
        </w:rPr>
        <w:t>Attitűdje:</w:t>
      </w:r>
      <w:r w:rsidRPr="007B6B4B">
        <w:rPr>
          <w:rFonts w:ascii="Times New Roman" w:eastAsia="Times New Roman" w:hAnsi="Times New Roman" w:cs="Times New Roman"/>
          <w:bCs/>
        </w:rPr>
        <w:t xml:space="preserve"> </w:t>
      </w:r>
    </w:p>
    <w:p w:rsidR="007B6B4B" w:rsidRPr="007B6B4B" w:rsidRDefault="007B6B4B" w:rsidP="007B6B4B">
      <w:pPr>
        <w:widowControl w:val="0"/>
        <w:spacing w:before="120" w:after="120" w:line="240" w:lineRule="auto"/>
        <w:ind w:left="709" w:hanging="283"/>
        <w:jc w:val="both"/>
        <w:rPr>
          <w:rFonts w:ascii="Times New Roman" w:eastAsia="Times New Roman" w:hAnsi="Times New Roman" w:cs="Times New Roman"/>
          <w:bCs/>
        </w:rPr>
      </w:pPr>
      <w:r w:rsidRPr="007B6B4B">
        <w:rPr>
          <w:rFonts w:ascii="Times New Roman" w:hAnsi="Times New Roman" w:cs="Times New Roman"/>
        </w:rPr>
        <w:t>- kreativitás, rugalmasság, problémamegoldó készség</w:t>
      </w:r>
    </w:p>
    <w:p w:rsidR="007B6B4B" w:rsidRPr="007B6B4B" w:rsidRDefault="007B6B4B" w:rsidP="007B6B4B">
      <w:pPr>
        <w:widowControl w:val="0"/>
        <w:spacing w:before="120" w:after="120" w:line="240" w:lineRule="auto"/>
        <w:ind w:left="709" w:hanging="283"/>
        <w:jc w:val="both"/>
        <w:rPr>
          <w:rFonts w:ascii="Times New Roman" w:eastAsia="Times New Roman" w:hAnsi="Times New Roman" w:cs="Times New Roman"/>
          <w:bCs/>
        </w:rPr>
      </w:pPr>
      <w:r w:rsidRPr="007B6B4B">
        <w:rPr>
          <w:rFonts w:ascii="Times New Roman" w:hAnsi="Times New Roman" w:cs="Times New Roman"/>
        </w:rPr>
        <w:lastRenderedPageBreak/>
        <w:t>- a minőségi munka iránti igényesség</w:t>
      </w:r>
    </w:p>
    <w:p w:rsidR="007B6B4B" w:rsidRPr="007B6B4B" w:rsidRDefault="007B6B4B" w:rsidP="007B6B4B">
      <w:pPr>
        <w:widowControl w:val="0"/>
        <w:spacing w:before="120" w:after="120" w:line="240" w:lineRule="auto"/>
        <w:ind w:left="426"/>
        <w:jc w:val="both"/>
        <w:rPr>
          <w:rFonts w:ascii="Times New Roman" w:eastAsia="Times New Roman" w:hAnsi="Times New Roman" w:cs="Times New Roman"/>
          <w:b/>
          <w:bCs/>
        </w:rPr>
      </w:pPr>
      <w:r w:rsidRPr="007B6B4B">
        <w:rPr>
          <w:rFonts w:ascii="Times New Roman" w:eastAsia="Times New Roman" w:hAnsi="Times New Roman" w:cs="Times New Roman"/>
          <w:b/>
          <w:bCs/>
        </w:rPr>
        <w:t>Autonómiája és felelőssége:</w:t>
      </w:r>
    </w:p>
    <w:p w:rsidR="007B6B4B" w:rsidRPr="007B6B4B" w:rsidRDefault="007B6B4B" w:rsidP="007B6B4B">
      <w:pPr>
        <w:widowControl w:val="0"/>
        <w:spacing w:before="120" w:after="120" w:line="240" w:lineRule="auto"/>
        <w:ind w:left="709" w:hanging="283"/>
        <w:jc w:val="both"/>
        <w:rPr>
          <w:rFonts w:ascii="Times New Roman" w:eastAsia="Times New Roman" w:hAnsi="Times New Roman" w:cs="Times New Roman"/>
          <w:bCs/>
        </w:rPr>
      </w:pPr>
      <w:r w:rsidRPr="007B6B4B">
        <w:rPr>
          <w:rFonts w:ascii="Times New Roman" w:hAnsi="Times New Roman" w:cs="Times New Roman"/>
        </w:rPr>
        <w:t>- alaposság és feladatmegoldó képesség</w:t>
      </w:r>
    </w:p>
    <w:p w:rsidR="007B6B4B" w:rsidRPr="007B6B4B" w:rsidRDefault="007B6B4B" w:rsidP="007B6B4B">
      <w:pPr>
        <w:widowControl w:val="0"/>
        <w:spacing w:before="120" w:after="120" w:line="240" w:lineRule="auto"/>
        <w:ind w:left="426"/>
        <w:jc w:val="both"/>
        <w:rPr>
          <w:rFonts w:ascii="Times New Roman" w:eastAsia="Times New Roman" w:hAnsi="Times New Roman" w:cs="Times New Roman"/>
          <w:b/>
          <w:bCs/>
          <w:lang w:val="en-US"/>
        </w:rPr>
      </w:pPr>
      <w:r w:rsidRPr="007B6B4B">
        <w:rPr>
          <w:rFonts w:ascii="Times New Roman" w:eastAsia="Times New Roman" w:hAnsi="Times New Roman" w:cs="Times New Roman"/>
          <w:b/>
          <w:bCs/>
        </w:rPr>
        <w:t>Elérendő kompetenciák (angolul) (</w:t>
      </w:r>
      <w:r w:rsidRPr="007B6B4B">
        <w:rPr>
          <w:rFonts w:ascii="Times New Roman" w:eastAsia="Times New Roman" w:hAnsi="Times New Roman" w:cs="Times New Roman"/>
          <w:b/>
          <w:bCs/>
          <w:lang w:val="en-US"/>
        </w:rPr>
        <w:t xml:space="preserve">Competences – English): </w:t>
      </w:r>
    </w:p>
    <w:p w:rsidR="007B6B4B" w:rsidRPr="007B6B4B" w:rsidRDefault="007B6B4B" w:rsidP="007B6B4B">
      <w:pPr>
        <w:widowControl w:val="0"/>
        <w:spacing w:before="120" w:after="120" w:line="240" w:lineRule="auto"/>
        <w:ind w:left="426"/>
        <w:jc w:val="both"/>
        <w:rPr>
          <w:rFonts w:ascii="Times New Roman" w:eastAsia="Times New Roman" w:hAnsi="Times New Roman" w:cs="Times New Roman"/>
          <w:lang w:val="en-GB"/>
        </w:rPr>
      </w:pPr>
      <w:r w:rsidRPr="007B6B4B">
        <w:rPr>
          <w:rFonts w:ascii="Times New Roman" w:eastAsia="Times New Roman" w:hAnsi="Times New Roman" w:cs="Times New Roman"/>
          <w:b/>
          <w:lang w:val="en-GB"/>
        </w:rPr>
        <w:t>Knowledge</w:t>
      </w:r>
      <w:r w:rsidRPr="007B6B4B">
        <w:rPr>
          <w:rFonts w:ascii="Times New Roman" w:eastAsia="Times New Roman" w:hAnsi="Times New Roman" w:cs="Times New Roman"/>
          <w:lang w:val="en-GB"/>
        </w:rPr>
        <w:t xml:space="preserve">: </w:t>
      </w:r>
    </w:p>
    <w:p w:rsidR="007B6B4B" w:rsidRPr="007B6B4B" w:rsidRDefault="007B6B4B" w:rsidP="007B6B4B">
      <w:pPr>
        <w:widowControl w:val="0"/>
        <w:spacing w:before="120" w:after="120" w:line="240" w:lineRule="auto"/>
        <w:ind w:left="709" w:hanging="283"/>
        <w:jc w:val="both"/>
        <w:rPr>
          <w:rFonts w:ascii="Times New Roman" w:eastAsia="Times New Roman" w:hAnsi="Times New Roman" w:cs="Times New Roman"/>
          <w:bCs/>
        </w:rPr>
      </w:pPr>
      <w:r w:rsidRPr="007B6B4B">
        <w:rPr>
          <w:rFonts w:ascii="Times New Roman" w:hAnsi="Times New Roman" w:cs="Times New Roman"/>
          <w:lang w:val="en-GB"/>
        </w:rPr>
        <w:t xml:space="preserve">- </w:t>
      </w:r>
      <w:bookmarkStart w:id="62" w:name="result_box"/>
      <w:bookmarkEnd w:id="62"/>
      <w:r w:rsidRPr="007B6B4B">
        <w:rPr>
          <w:rFonts w:ascii="Times New Roman" w:hAnsi="Times New Roman" w:cs="Times New Roman"/>
          <w:lang w:val="en-GB"/>
        </w:rPr>
        <w:t xml:space="preserve">being familiar with planning, organizing, managing and controlling the use and maintenance of standardized military equipment </w:t>
      </w:r>
    </w:p>
    <w:p w:rsidR="007B6B4B" w:rsidRPr="007B6B4B" w:rsidRDefault="007B6B4B" w:rsidP="007B6B4B">
      <w:pPr>
        <w:widowControl w:val="0"/>
        <w:spacing w:before="120" w:after="120" w:line="240" w:lineRule="auto"/>
        <w:ind w:left="709" w:hanging="283"/>
        <w:jc w:val="both"/>
        <w:rPr>
          <w:rFonts w:ascii="Times New Roman" w:eastAsia="Times New Roman" w:hAnsi="Times New Roman" w:cs="Times New Roman"/>
          <w:bCs/>
        </w:rPr>
      </w:pPr>
      <w:r w:rsidRPr="007B6B4B">
        <w:rPr>
          <w:rFonts w:ascii="Times New Roman" w:hAnsi="Times New Roman" w:cs="Times New Roman"/>
          <w:lang w:val="en-GB"/>
        </w:rPr>
        <w:t xml:space="preserve">- </w:t>
      </w:r>
      <w:bookmarkStart w:id="63" w:name="result_box2"/>
      <w:bookmarkEnd w:id="63"/>
      <w:r w:rsidRPr="007B6B4B">
        <w:rPr>
          <w:rFonts w:ascii="Times New Roman" w:hAnsi="Times New Roman" w:cs="Times New Roman"/>
          <w:lang w:val="en-GB"/>
        </w:rPr>
        <w:t>maintenance of military technology and other technical equipment</w:t>
      </w:r>
    </w:p>
    <w:p w:rsidR="007B6B4B" w:rsidRPr="007B6B4B" w:rsidRDefault="007B6B4B" w:rsidP="007B6B4B">
      <w:pPr>
        <w:widowControl w:val="0"/>
        <w:spacing w:before="120" w:after="120" w:line="240" w:lineRule="auto"/>
        <w:ind w:left="426"/>
        <w:jc w:val="both"/>
        <w:rPr>
          <w:rFonts w:ascii="Times New Roman" w:eastAsia="Times New Roman" w:hAnsi="Times New Roman" w:cs="Times New Roman"/>
          <w:lang w:val="en-GB"/>
        </w:rPr>
      </w:pPr>
      <w:r w:rsidRPr="007B6B4B">
        <w:rPr>
          <w:rFonts w:ascii="Times New Roman" w:eastAsia="Times New Roman" w:hAnsi="Times New Roman" w:cs="Times New Roman"/>
          <w:b/>
          <w:lang w:val="en-GB"/>
        </w:rPr>
        <w:t>Capabilities</w:t>
      </w:r>
      <w:r w:rsidRPr="007B6B4B">
        <w:rPr>
          <w:rFonts w:ascii="Times New Roman" w:eastAsia="Times New Roman" w:hAnsi="Times New Roman" w:cs="Times New Roman"/>
          <w:lang w:val="en-GB"/>
        </w:rPr>
        <w:t xml:space="preserve">: </w:t>
      </w:r>
    </w:p>
    <w:p w:rsidR="007B6B4B" w:rsidRPr="007B6B4B" w:rsidRDefault="007B6B4B" w:rsidP="007B6B4B">
      <w:pPr>
        <w:widowControl w:val="0"/>
        <w:spacing w:before="120" w:after="120" w:line="240" w:lineRule="auto"/>
        <w:ind w:left="709" w:hanging="283"/>
        <w:jc w:val="both"/>
        <w:rPr>
          <w:rFonts w:ascii="Times New Roman" w:eastAsia="Times New Roman" w:hAnsi="Times New Roman" w:cs="Times New Roman"/>
          <w:bCs/>
        </w:rPr>
      </w:pPr>
      <w:r w:rsidRPr="007B6B4B">
        <w:rPr>
          <w:rFonts w:ascii="Times New Roman" w:hAnsi="Times New Roman" w:cs="Times New Roman"/>
          <w:lang w:val="en-GB"/>
        </w:rPr>
        <w:t>- being suitable for the application and practical utilization of acquired theoretical knowledge and using of problem-solving techniques</w:t>
      </w:r>
    </w:p>
    <w:p w:rsidR="007B6B4B" w:rsidRPr="007B6B4B" w:rsidRDefault="007B6B4B" w:rsidP="007B6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b/>
          <w:lang w:val="en-GB"/>
        </w:rPr>
      </w:pPr>
      <w:r w:rsidRPr="007B6B4B">
        <w:rPr>
          <w:rFonts w:ascii="Times New Roman" w:eastAsia="Times New Roman" w:hAnsi="Times New Roman" w:cs="Times New Roman"/>
          <w:b/>
          <w:lang w:val="en-GB"/>
        </w:rPr>
        <w:t>Attitude:</w:t>
      </w:r>
    </w:p>
    <w:p w:rsidR="007B6B4B" w:rsidRPr="007B6B4B" w:rsidRDefault="007B6B4B" w:rsidP="007B6B4B">
      <w:pPr>
        <w:widowControl w:val="0"/>
        <w:spacing w:before="120" w:after="120" w:line="240" w:lineRule="auto"/>
        <w:ind w:left="709" w:hanging="283"/>
        <w:jc w:val="both"/>
        <w:rPr>
          <w:rFonts w:ascii="Times New Roman" w:eastAsia="Times New Roman" w:hAnsi="Times New Roman" w:cs="Times New Roman"/>
          <w:bCs/>
        </w:rPr>
      </w:pPr>
      <w:r w:rsidRPr="007B6B4B">
        <w:rPr>
          <w:rFonts w:ascii="Times New Roman" w:hAnsi="Times New Roman" w:cs="Times New Roman"/>
          <w:lang w:val="en-GB"/>
        </w:rPr>
        <w:t>- creativity, flexibility, problem-solving skills</w:t>
      </w:r>
    </w:p>
    <w:p w:rsidR="007B6B4B" w:rsidRPr="007B6B4B" w:rsidRDefault="007B6B4B" w:rsidP="007B6B4B">
      <w:pPr>
        <w:widowControl w:val="0"/>
        <w:spacing w:before="120" w:after="120" w:line="240" w:lineRule="auto"/>
        <w:ind w:left="709" w:hanging="283"/>
        <w:jc w:val="both"/>
        <w:rPr>
          <w:rFonts w:ascii="Times New Roman" w:eastAsia="Times New Roman" w:hAnsi="Times New Roman" w:cs="Times New Roman"/>
          <w:bCs/>
        </w:rPr>
      </w:pPr>
      <w:r w:rsidRPr="007B6B4B">
        <w:rPr>
          <w:rFonts w:ascii="Times New Roman" w:hAnsi="Times New Roman" w:cs="Times New Roman"/>
          <w:lang w:val="en-GB"/>
        </w:rPr>
        <w:t>- having highs standards for quality work</w:t>
      </w:r>
    </w:p>
    <w:p w:rsidR="007B6B4B" w:rsidRPr="007B6B4B" w:rsidRDefault="007B6B4B" w:rsidP="007B6B4B">
      <w:pPr>
        <w:widowControl w:val="0"/>
        <w:spacing w:before="120" w:after="120" w:line="240" w:lineRule="auto"/>
        <w:ind w:left="426"/>
        <w:jc w:val="both"/>
        <w:rPr>
          <w:rFonts w:ascii="Times New Roman" w:eastAsia="Times New Roman" w:hAnsi="Times New Roman" w:cs="Times New Roman"/>
          <w:b/>
          <w:lang w:val="en-GB"/>
        </w:rPr>
      </w:pPr>
      <w:r w:rsidRPr="007B6B4B">
        <w:rPr>
          <w:rFonts w:ascii="Times New Roman" w:eastAsia="Times New Roman" w:hAnsi="Times New Roman" w:cs="Times New Roman"/>
          <w:b/>
          <w:lang w:val="en-GB"/>
        </w:rPr>
        <w:t xml:space="preserve">Autonomy and responsibility: </w:t>
      </w:r>
    </w:p>
    <w:p w:rsidR="007B6B4B" w:rsidRPr="007B6B4B" w:rsidRDefault="007B6B4B" w:rsidP="007B6B4B">
      <w:pPr>
        <w:widowControl w:val="0"/>
        <w:spacing w:before="120" w:after="120" w:line="240" w:lineRule="auto"/>
        <w:ind w:left="426"/>
        <w:jc w:val="both"/>
        <w:rPr>
          <w:rFonts w:ascii="Times New Roman" w:eastAsia="Times New Roman" w:hAnsi="Times New Roman" w:cs="Times New Roman"/>
          <w:lang w:val="en-GB"/>
        </w:rPr>
      </w:pPr>
      <w:r w:rsidRPr="007B6B4B">
        <w:rPr>
          <w:rFonts w:ascii="Times New Roman" w:hAnsi="Times New Roman" w:cs="Times New Roman"/>
          <w:bCs/>
          <w:lang w:val="en-GB"/>
        </w:rPr>
        <w:t>- thoroughness and problem solving ability</w:t>
      </w:r>
    </w:p>
    <w:p w:rsidR="007B6B4B" w:rsidRPr="007B6B4B" w:rsidRDefault="007B6B4B" w:rsidP="00980876">
      <w:pPr>
        <w:widowControl w:val="0"/>
        <w:numPr>
          <w:ilvl w:val="0"/>
          <w:numId w:val="321"/>
        </w:numPr>
        <w:spacing w:before="120" w:after="120" w:line="240" w:lineRule="auto"/>
        <w:ind w:left="426" w:hanging="142"/>
        <w:jc w:val="both"/>
        <w:rPr>
          <w:rFonts w:ascii="Times New Roman" w:eastAsia="Times New Roman" w:hAnsi="Times New Roman" w:cs="Times New Roman"/>
          <w:bCs/>
        </w:rPr>
      </w:pPr>
      <w:r w:rsidRPr="007B6B4B">
        <w:rPr>
          <w:rFonts w:ascii="Times New Roman" w:eastAsia="Times New Roman" w:hAnsi="Times New Roman" w:cs="Times New Roman"/>
          <w:b/>
          <w:bCs/>
        </w:rPr>
        <w:t>Előtanulmányi követelmények: –</w:t>
      </w:r>
    </w:p>
    <w:p w:rsidR="007B6B4B" w:rsidRPr="007B6B4B" w:rsidRDefault="007B6B4B" w:rsidP="00980876">
      <w:pPr>
        <w:widowControl w:val="0"/>
        <w:numPr>
          <w:ilvl w:val="0"/>
          <w:numId w:val="321"/>
        </w:numPr>
        <w:spacing w:before="120" w:after="120" w:line="240" w:lineRule="auto"/>
        <w:ind w:left="426" w:hanging="142"/>
        <w:jc w:val="both"/>
        <w:rPr>
          <w:rFonts w:ascii="Times New Roman" w:eastAsia="Times New Roman" w:hAnsi="Times New Roman" w:cs="Times New Roman"/>
          <w:b/>
          <w:bCs/>
        </w:rPr>
      </w:pPr>
      <w:r w:rsidRPr="007B6B4B">
        <w:rPr>
          <w:rFonts w:ascii="Times New Roman" w:eastAsia="Times New Roman" w:hAnsi="Times New Roman" w:cs="Times New Roman"/>
          <w:b/>
          <w:bCs/>
        </w:rPr>
        <w:t>A tantárgy tananyagának leírása, tematika. Description of the subject, curriculum (magyarul, angolul - English):</w:t>
      </w:r>
    </w:p>
    <w:p w:rsidR="007B6B4B" w:rsidRPr="007B6B4B" w:rsidRDefault="007B6B4B" w:rsidP="00980876">
      <w:pPr>
        <w:widowControl w:val="0"/>
        <w:numPr>
          <w:ilvl w:val="1"/>
          <w:numId w:val="321"/>
        </w:numPr>
        <w:tabs>
          <w:tab w:val="clear" w:pos="3977"/>
          <w:tab w:val="left" w:pos="709"/>
          <w:tab w:val="left" w:pos="993"/>
        </w:tabs>
        <w:spacing w:before="120" w:after="120" w:line="240" w:lineRule="auto"/>
        <w:ind w:left="993" w:hanging="567"/>
        <w:jc w:val="both"/>
        <w:rPr>
          <w:rFonts w:ascii="Times New Roman" w:eastAsia="Times New Roman" w:hAnsi="Times New Roman" w:cs="Times New Roman"/>
          <w:b/>
        </w:rPr>
      </w:pPr>
      <w:r w:rsidRPr="007B6B4B">
        <w:rPr>
          <w:rFonts w:ascii="Times New Roman" w:hAnsi="Times New Roman" w:cs="Times New Roman"/>
        </w:rPr>
        <w:t xml:space="preserve">Lineáris rendszermodellek, extenzív és intenzív állapotjellemzők, metrológiai alapok: SI-egységek és prefixumok használata. </w:t>
      </w:r>
      <w:r w:rsidRPr="007B6B4B">
        <w:rPr>
          <w:rFonts w:ascii="Times New Roman" w:hAnsi="Times New Roman" w:cs="Times New Roman"/>
          <w:i/>
        </w:rPr>
        <w:t>(</w:t>
      </w:r>
      <w:r w:rsidRPr="007B6B4B">
        <w:rPr>
          <w:rFonts w:ascii="Times New Roman" w:eastAsia="Times New Roman" w:hAnsi="Times New Roman" w:cs="Times New Roman"/>
          <w:i/>
          <w:lang w:val="en-GB"/>
        </w:rPr>
        <w:t>Linear system models, extensive and intensive state characteristics, metrology basics: use of SI units and prefixes.)</w:t>
      </w:r>
    </w:p>
    <w:p w:rsidR="007B6B4B" w:rsidRPr="007B6B4B" w:rsidRDefault="007B6B4B" w:rsidP="00980876">
      <w:pPr>
        <w:widowControl w:val="0"/>
        <w:numPr>
          <w:ilvl w:val="1"/>
          <w:numId w:val="321"/>
        </w:numPr>
        <w:tabs>
          <w:tab w:val="clear" w:pos="3977"/>
          <w:tab w:val="left" w:pos="709"/>
          <w:tab w:val="left" w:pos="993"/>
        </w:tabs>
        <w:spacing w:before="120" w:after="120" w:line="240" w:lineRule="auto"/>
        <w:ind w:left="993" w:hanging="567"/>
        <w:jc w:val="both"/>
        <w:rPr>
          <w:rFonts w:ascii="Times New Roman" w:eastAsia="Times New Roman" w:hAnsi="Times New Roman" w:cs="Times New Roman"/>
          <w:b/>
          <w:i/>
        </w:rPr>
      </w:pPr>
      <w:r w:rsidRPr="007B6B4B">
        <w:rPr>
          <w:rFonts w:ascii="Times New Roman" w:hAnsi="Times New Roman" w:cs="Times New Roman"/>
        </w:rPr>
        <w:t xml:space="preserve">Lineáris rendszerek általános törvényei: csomóponti és hurok törvények. Aktív és passzív kétpólusok helyettesítő képei, szekvenciális és paralel kapcsolásaik. Számítási módszerek stacionárius gerjesztésnél: eredő ellenállás módszere; feszültség- és áramosztó, szuperpozíció. </w:t>
      </w:r>
      <w:r w:rsidRPr="007B6B4B">
        <w:rPr>
          <w:rFonts w:ascii="Times New Roman" w:hAnsi="Times New Roman" w:cs="Times New Roman"/>
          <w:i/>
        </w:rPr>
        <w:t>(</w:t>
      </w:r>
      <w:r w:rsidRPr="007B6B4B">
        <w:rPr>
          <w:rFonts w:ascii="Times New Roman" w:eastAsia="Times New Roman" w:hAnsi="Times New Roman" w:cs="Times New Roman"/>
          <w:i/>
          <w:lang w:val="en-GB"/>
        </w:rPr>
        <w:t>General Laws of Linear Systems: Node and Loop Laws. Substitute images of active and passive bipolar, sequential and parallel circuits. Calculation Methods for Stationary Excitation: Resultant Resistance Method; voltage and current distributor, superposition.)</w:t>
      </w:r>
    </w:p>
    <w:p w:rsidR="007B6B4B" w:rsidRPr="007B6B4B" w:rsidRDefault="007B6B4B" w:rsidP="00980876">
      <w:pPr>
        <w:widowControl w:val="0"/>
        <w:numPr>
          <w:ilvl w:val="1"/>
          <w:numId w:val="321"/>
        </w:numPr>
        <w:tabs>
          <w:tab w:val="clear" w:pos="3977"/>
          <w:tab w:val="left" w:pos="709"/>
          <w:tab w:val="left" w:pos="993"/>
        </w:tabs>
        <w:spacing w:before="120" w:after="120" w:line="240" w:lineRule="auto"/>
        <w:ind w:left="993" w:hanging="567"/>
        <w:jc w:val="both"/>
        <w:rPr>
          <w:rFonts w:ascii="Times New Roman" w:eastAsia="Times New Roman" w:hAnsi="Times New Roman" w:cs="Times New Roman"/>
          <w:b/>
        </w:rPr>
      </w:pPr>
      <w:r w:rsidRPr="007B6B4B">
        <w:rPr>
          <w:rFonts w:ascii="Times New Roman" w:hAnsi="Times New Roman" w:cs="Times New Roman"/>
        </w:rPr>
        <w:t>Valóságos generátorok és akkumulátorok, Thevenin-tétel. További megmaradási elvek, az energia, a teljesítmény és a hatásfok fogalma, Tellegen-tétel</w:t>
      </w:r>
      <w:r w:rsidRPr="007B6B4B">
        <w:rPr>
          <w:rFonts w:ascii="Times New Roman" w:hAnsi="Times New Roman" w:cs="Times New Roman"/>
          <w:i/>
        </w:rPr>
        <w:t>.</w:t>
      </w:r>
      <w:r w:rsidRPr="007B6B4B">
        <w:rPr>
          <w:rFonts w:ascii="Times New Roman" w:eastAsia="Times New Roman" w:hAnsi="Times New Roman" w:cs="Times New Roman"/>
          <w:b/>
          <w:i/>
        </w:rPr>
        <w:t xml:space="preserve"> (</w:t>
      </w:r>
      <w:r w:rsidRPr="007B6B4B">
        <w:rPr>
          <w:rFonts w:ascii="Times New Roman" w:eastAsia="Times New Roman" w:hAnsi="Times New Roman" w:cs="Times New Roman"/>
          <w:i/>
          <w:lang w:val="en-GB"/>
        </w:rPr>
        <w:t>Real generators and batteries, Thevenin's theorem. Further principles of survival, energy, power and efficiency, Tellegen's theorem.)</w:t>
      </w:r>
    </w:p>
    <w:p w:rsidR="007B6B4B" w:rsidRPr="007B6B4B" w:rsidRDefault="007B6B4B" w:rsidP="00980876">
      <w:pPr>
        <w:widowControl w:val="0"/>
        <w:numPr>
          <w:ilvl w:val="1"/>
          <w:numId w:val="321"/>
        </w:numPr>
        <w:tabs>
          <w:tab w:val="clear" w:pos="3977"/>
          <w:tab w:val="left" w:pos="709"/>
          <w:tab w:val="left" w:pos="993"/>
        </w:tabs>
        <w:spacing w:before="120" w:after="120" w:line="240" w:lineRule="auto"/>
        <w:ind w:left="993" w:hanging="567"/>
        <w:jc w:val="both"/>
        <w:rPr>
          <w:rFonts w:ascii="Times New Roman" w:eastAsia="Times New Roman" w:hAnsi="Times New Roman" w:cs="Times New Roman"/>
          <w:b/>
          <w:i/>
        </w:rPr>
      </w:pPr>
      <w:r w:rsidRPr="007B6B4B">
        <w:rPr>
          <w:rFonts w:ascii="Times New Roman" w:hAnsi="Times New Roman" w:cs="Times New Roman"/>
          <w:iCs/>
        </w:rPr>
        <w:t xml:space="preserve">Periodikus jelek jellemzői: váltakozás </w:t>
      </w:r>
      <w:r w:rsidRPr="007B6B4B">
        <w:rPr>
          <w:rFonts w:ascii="Times New Roman" w:hAnsi="Times New Roman" w:cs="Times New Roman"/>
          <w:iCs/>
          <w:color w:val="000000"/>
        </w:rPr>
        <w:t>gyorsasága (periódusidő, frekvencia, körfrekvencia, fordulatszám és átszámításuk); nagysága (egyszerű- és abszolút-közép-, effektív és csúcsérték); alak (szinuszos, négyszög, háromszög…)</w:t>
      </w:r>
      <w:r w:rsidRPr="007B6B4B">
        <w:rPr>
          <w:rFonts w:ascii="Times New Roman" w:hAnsi="Times New Roman" w:cs="Times New Roman"/>
          <w:iCs/>
        </w:rPr>
        <w:t>. Szinuszos jelek leírása időfüggvénnyel és komplex számokkal: amplitúdó és fázisszög, vektorábrák. Impedanciák, reaktanciák és fazorábrák. A látszólagos, hatásos, meddő és komplex teljesítmény.</w:t>
      </w:r>
      <w:r w:rsidRPr="007B6B4B">
        <w:rPr>
          <w:rFonts w:ascii="Times New Roman" w:eastAsia="Times New Roman" w:hAnsi="Times New Roman" w:cs="Times New Roman"/>
          <w:bCs/>
          <w:lang w:eastAsia="hu-HU"/>
        </w:rPr>
        <w:t xml:space="preserve"> </w:t>
      </w:r>
      <w:r w:rsidRPr="007B6B4B">
        <w:rPr>
          <w:rFonts w:ascii="Times New Roman" w:eastAsia="Times New Roman" w:hAnsi="Times New Roman" w:cs="Times New Roman"/>
          <w:bCs/>
          <w:i/>
          <w:lang w:eastAsia="hu-HU"/>
        </w:rPr>
        <w:t>(</w:t>
      </w:r>
      <w:r w:rsidRPr="007B6B4B">
        <w:rPr>
          <w:rFonts w:ascii="Times New Roman" w:eastAsia="Times New Roman" w:hAnsi="Times New Roman" w:cs="Times New Roman"/>
          <w:i/>
          <w:lang w:val="en-GB"/>
        </w:rPr>
        <w:t>Characteristics of periodic signals: speed of alternation (period time, frequency, circular frequency, speed and their conversion); magnitude (simple and absolute mean, effective and peak value and their conversion); shape (sine, rectangle, triangle ...).)</w:t>
      </w:r>
    </w:p>
    <w:p w:rsidR="007B6B4B" w:rsidRPr="007B6B4B" w:rsidRDefault="007B6B4B" w:rsidP="00980876">
      <w:pPr>
        <w:widowControl w:val="0"/>
        <w:numPr>
          <w:ilvl w:val="1"/>
          <w:numId w:val="321"/>
        </w:numPr>
        <w:tabs>
          <w:tab w:val="clear" w:pos="3977"/>
          <w:tab w:val="left" w:pos="709"/>
          <w:tab w:val="left" w:pos="993"/>
        </w:tabs>
        <w:spacing w:before="120" w:after="120" w:line="240" w:lineRule="auto"/>
        <w:ind w:left="993" w:hanging="567"/>
        <w:jc w:val="both"/>
        <w:rPr>
          <w:rFonts w:ascii="Times New Roman" w:eastAsia="Times New Roman" w:hAnsi="Times New Roman" w:cs="Times New Roman"/>
          <w:b/>
          <w:i/>
        </w:rPr>
      </w:pPr>
      <w:r w:rsidRPr="007B6B4B">
        <w:rPr>
          <w:rFonts w:ascii="Times New Roman" w:hAnsi="Times New Roman" w:cs="Times New Roman"/>
          <w:iCs/>
          <w:color w:val="000000"/>
        </w:rPr>
        <w:t>Szekvenciális és párhuzamos RLC-körök, a rezonancia frekvencia; a jósági tényező, és a sávszélesség fogalma.</w:t>
      </w:r>
      <w:r w:rsidRPr="007B6B4B">
        <w:rPr>
          <w:rFonts w:ascii="Times New Roman" w:eastAsia="Times New Roman" w:hAnsi="Times New Roman" w:cs="Times New Roman"/>
          <w:bCs/>
          <w:lang w:eastAsia="hu-HU"/>
        </w:rPr>
        <w:t xml:space="preserve"> </w:t>
      </w:r>
      <w:r w:rsidRPr="007B6B4B">
        <w:rPr>
          <w:rFonts w:ascii="Times New Roman" w:hAnsi="Times New Roman" w:cs="Times New Roman"/>
          <w:iCs/>
          <w:color w:val="000000"/>
        </w:rPr>
        <w:t>Vizsgálat idő- és frekvenciatartományban, harmonikus analízis: spektrum.</w:t>
      </w:r>
      <w:r w:rsidRPr="007B6B4B">
        <w:rPr>
          <w:rFonts w:ascii="Times New Roman" w:eastAsia="Times New Roman" w:hAnsi="Times New Roman" w:cs="Times New Roman"/>
          <w:bCs/>
          <w:lang w:eastAsia="hu-HU"/>
        </w:rPr>
        <w:t xml:space="preserve"> </w:t>
      </w:r>
      <w:r w:rsidRPr="007B6B4B">
        <w:rPr>
          <w:rFonts w:ascii="Times New Roman" w:eastAsia="Times New Roman" w:hAnsi="Times New Roman" w:cs="Times New Roman"/>
          <w:bCs/>
          <w:i/>
          <w:lang w:eastAsia="hu-HU"/>
        </w:rPr>
        <w:t>(</w:t>
      </w:r>
      <w:r w:rsidRPr="007B6B4B">
        <w:rPr>
          <w:rFonts w:ascii="Times New Roman" w:eastAsia="Times New Roman" w:hAnsi="Times New Roman" w:cs="Times New Roman"/>
          <w:i/>
          <w:lang w:val="en-GB"/>
        </w:rPr>
        <w:t xml:space="preserve">Sequential and Parallel RLC Circuits, Resonance Frequency; the goodness factor and the bandwidth concept. Test in time and frequency range, harmonic analysis: </w:t>
      </w:r>
      <w:r w:rsidRPr="007B6B4B">
        <w:rPr>
          <w:rFonts w:ascii="Times New Roman" w:eastAsia="Times New Roman" w:hAnsi="Times New Roman" w:cs="Times New Roman"/>
          <w:i/>
          <w:lang w:val="en-GB"/>
        </w:rPr>
        <w:lastRenderedPageBreak/>
        <w:t>spectrum.)</w:t>
      </w:r>
    </w:p>
    <w:p w:rsidR="007B6B4B" w:rsidRPr="007B6B4B" w:rsidRDefault="007B6B4B" w:rsidP="00980876">
      <w:pPr>
        <w:widowControl w:val="0"/>
        <w:numPr>
          <w:ilvl w:val="1"/>
          <w:numId w:val="321"/>
        </w:numPr>
        <w:tabs>
          <w:tab w:val="clear" w:pos="3977"/>
          <w:tab w:val="left" w:pos="709"/>
          <w:tab w:val="left" w:pos="993"/>
        </w:tabs>
        <w:spacing w:before="120" w:after="120" w:line="240" w:lineRule="auto"/>
        <w:ind w:left="993" w:hanging="567"/>
        <w:jc w:val="both"/>
        <w:rPr>
          <w:rFonts w:ascii="Times New Roman" w:eastAsia="Times New Roman" w:hAnsi="Times New Roman" w:cs="Times New Roman"/>
          <w:b/>
          <w:i/>
        </w:rPr>
      </w:pPr>
      <w:r w:rsidRPr="007B6B4B">
        <w:rPr>
          <w:rFonts w:ascii="Times New Roman" w:hAnsi="Times New Roman" w:cs="Times New Roman"/>
          <w:iCs/>
        </w:rPr>
        <w:t xml:space="preserve">A be- és kimeneti impedancia, valamint az erősítés fogalma. A frekvenciafüggés vizsgálata és a logaritmikus skála (dB). </w:t>
      </w:r>
      <w:r w:rsidRPr="007B6B4B">
        <w:rPr>
          <w:rFonts w:ascii="Times New Roman" w:hAnsi="Times New Roman" w:cs="Times New Roman"/>
          <w:iCs/>
          <w:color w:val="000000"/>
        </w:rPr>
        <w:t xml:space="preserve">Bode-karakterisztika. </w:t>
      </w:r>
      <w:r w:rsidRPr="007B6B4B">
        <w:rPr>
          <w:rFonts w:ascii="Times New Roman" w:hAnsi="Times New Roman" w:cs="Times New Roman"/>
          <w:iCs/>
        </w:rPr>
        <w:t xml:space="preserve">Szűrők fogalma és típusai. </w:t>
      </w:r>
      <w:r w:rsidRPr="007B6B4B">
        <w:rPr>
          <w:rFonts w:ascii="Times New Roman" w:hAnsi="Times New Roman" w:cs="Times New Roman"/>
          <w:i/>
          <w:iCs/>
        </w:rPr>
        <w:t>(</w:t>
      </w:r>
      <w:r w:rsidRPr="007B6B4B">
        <w:rPr>
          <w:rFonts w:ascii="Times New Roman" w:eastAsia="Times New Roman" w:hAnsi="Times New Roman" w:cs="Times New Roman"/>
          <w:i/>
          <w:lang w:val="en-GB"/>
        </w:rPr>
        <w:t>Sequential and Parallel RLC Circuits, Resonance Frequency; the goodness factor and the bandwidth concept.)</w:t>
      </w:r>
    </w:p>
    <w:p w:rsidR="007B6B4B" w:rsidRPr="007B6B4B" w:rsidRDefault="007B6B4B" w:rsidP="00980876">
      <w:pPr>
        <w:widowControl w:val="0"/>
        <w:numPr>
          <w:ilvl w:val="1"/>
          <w:numId w:val="321"/>
        </w:numPr>
        <w:tabs>
          <w:tab w:val="clear" w:pos="3977"/>
          <w:tab w:val="left" w:pos="709"/>
          <w:tab w:val="left" w:pos="993"/>
        </w:tabs>
        <w:spacing w:before="120" w:after="120" w:line="240" w:lineRule="auto"/>
        <w:ind w:left="993" w:hanging="567"/>
        <w:jc w:val="both"/>
        <w:rPr>
          <w:rFonts w:ascii="Times New Roman" w:eastAsia="Times New Roman" w:hAnsi="Times New Roman" w:cs="Times New Roman"/>
          <w:b/>
          <w:i/>
        </w:rPr>
      </w:pPr>
      <w:r w:rsidRPr="007B6B4B">
        <w:rPr>
          <w:rFonts w:ascii="Times New Roman" w:hAnsi="Times New Roman" w:cs="Times New Roman"/>
          <w:iCs/>
        </w:rPr>
        <w:t xml:space="preserve">Villamos gépek (transzformátorok, generátorok, motorok) és a háromfázisú hálózat. </w:t>
      </w:r>
      <w:r w:rsidRPr="007B6B4B">
        <w:rPr>
          <w:rFonts w:ascii="Times New Roman" w:hAnsi="Times New Roman" w:cs="Times New Roman"/>
          <w:i/>
          <w:iCs/>
        </w:rPr>
        <w:t>(</w:t>
      </w:r>
      <w:r w:rsidRPr="007B6B4B">
        <w:rPr>
          <w:rFonts w:ascii="Times New Roman" w:eastAsia="Times New Roman" w:hAnsi="Times New Roman" w:cs="Times New Roman"/>
          <w:i/>
          <w:lang w:val="en-GB"/>
        </w:rPr>
        <w:t>Electric machines (transformers, generators, motors) and three-phase network.)</w:t>
      </w:r>
    </w:p>
    <w:p w:rsidR="007B6B4B" w:rsidRPr="007B6B4B" w:rsidRDefault="007B6B4B" w:rsidP="00980876">
      <w:pPr>
        <w:widowControl w:val="0"/>
        <w:numPr>
          <w:ilvl w:val="1"/>
          <w:numId w:val="321"/>
        </w:numPr>
        <w:tabs>
          <w:tab w:val="clear" w:pos="3977"/>
          <w:tab w:val="left" w:pos="709"/>
          <w:tab w:val="left" w:pos="993"/>
        </w:tabs>
        <w:spacing w:before="120" w:after="120" w:line="240" w:lineRule="auto"/>
        <w:ind w:left="993" w:hanging="567"/>
        <w:jc w:val="both"/>
        <w:rPr>
          <w:rFonts w:ascii="Times New Roman" w:eastAsia="Times New Roman" w:hAnsi="Times New Roman" w:cs="Times New Roman"/>
          <w:b/>
          <w:i/>
        </w:rPr>
      </w:pPr>
      <w:r w:rsidRPr="007B6B4B">
        <w:rPr>
          <w:rFonts w:ascii="Times New Roman" w:eastAsia="Times New Roman" w:hAnsi="Times New Roman" w:cs="Times New Roman"/>
          <w:b/>
        </w:rPr>
        <w:t xml:space="preserve"> </w:t>
      </w:r>
      <w:r w:rsidRPr="007B6B4B">
        <w:rPr>
          <w:rFonts w:ascii="Times New Roman" w:hAnsi="Times New Roman" w:cs="Times New Roman"/>
          <w:iCs/>
        </w:rPr>
        <w:t xml:space="preserve">Villamos hálózatok védelmei: túláram-, túlfeszültség- és érintésvédelem. </w:t>
      </w:r>
      <w:r w:rsidRPr="007B6B4B">
        <w:rPr>
          <w:rFonts w:ascii="Times New Roman" w:hAnsi="Times New Roman" w:cs="Times New Roman"/>
          <w:i/>
          <w:iCs/>
        </w:rPr>
        <w:t>(</w:t>
      </w:r>
      <w:r w:rsidRPr="007B6B4B">
        <w:rPr>
          <w:rFonts w:ascii="Times New Roman" w:eastAsia="Times New Roman" w:hAnsi="Times New Roman" w:cs="Times New Roman"/>
          <w:i/>
          <w:lang w:val="en-GB"/>
        </w:rPr>
        <w:t>Protection of electrical networks: overcurrent, overvoltage and contact protection.)</w:t>
      </w:r>
    </w:p>
    <w:p w:rsidR="007B6B4B" w:rsidRPr="007B6B4B" w:rsidRDefault="007B6B4B" w:rsidP="00980876">
      <w:pPr>
        <w:widowControl w:val="0"/>
        <w:numPr>
          <w:ilvl w:val="0"/>
          <w:numId w:val="321"/>
        </w:numPr>
        <w:spacing w:before="120" w:after="120" w:line="240" w:lineRule="auto"/>
        <w:ind w:left="426" w:hanging="142"/>
        <w:jc w:val="both"/>
        <w:rPr>
          <w:rFonts w:ascii="Times New Roman" w:eastAsia="Times New Roman" w:hAnsi="Times New Roman" w:cs="Times New Roman"/>
          <w:bCs/>
        </w:rPr>
      </w:pPr>
      <w:r w:rsidRPr="007B6B4B">
        <w:rPr>
          <w:rFonts w:ascii="Times New Roman" w:eastAsia="Times New Roman" w:hAnsi="Times New Roman" w:cs="Times New Roman"/>
          <w:b/>
          <w:bCs/>
        </w:rPr>
        <w:t xml:space="preserve">A tantárgy meghirdetésének gyakorisága/a tantervben történő félévi elhelyezkedése: </w:t>
      </w:r>
      <w:r w:rsidRPr="007B6B4B">
        <w:rPr>
          <w:rFonts w:ascii="Times New Roman" w:hAnsi="Times New Roman" w:cs="Times New Roman"/>
        </w:rPr>
        <w:t>5</w:t>
      </w:r>
      <w:r w:rsidRPr="007B6B4B">
        <w:rPr>
          <w:rFonts w:ascii="Times New Roman" w:hAnsi="Times New Roman" w:cs="Times New Roman"/>
          <w:bCs/>
        </w:rPr>
        <w:t>. félév</w:t>
      </w:r>
      <w:r w:rsidRPr="007B6B4B">
        <w:rPr>
          <w:rFonts w:ascii="Times New Roman" w:eastAsia="Times New Roman" w:hAnsi="Times New Roman" w:cs="Times New Roman"/>
          <w:bCs/>
          <w:highlight w:val="lightGray"/>
        </w:rPr>
        <w:t xml:space="preserve"> </w:t>
      </w:r>
    </w:p>
    <w:p w:rsidR="007B6B4B" w:rsidRPr="007B6B4B" w:rsidRDefault="007B6B4B" w:rsidP="00980876">
      <w:pPr>
        <w:widowControl w:val="0"/>
        <w:numPr>
          <w:ilvl w:val="0"/>
          <w:numId w:val="321"/>
        </w:numPr>
        <w:spacing w:before="120" w:after="120" w:line="240" w:lineRule="auto"/>
        <w:ind w:left="426" w:hanging="142"/>
        <w:jc w:val="both"/>
        <w:rPr>
          <w:rFonts w:ascii="Times New Roman" w:eastAsia="Times New Roman" w:hAnsi="Times New Roman" w:cs="Times New Roman"/>
          <w:bCs/>
        </w:rPr>
      </w:pPr>
      <w:r w:rsidRPr="007B6B4B">
        <w:rPr>
          <w:rFonts w:ascii="Times New Roman" w:eastAsia="Times New Roman" w:hAnsi="Times New Roman" w:cs="Times New Roman"/>
          <w:b/>
          <w:bCs/>
        </w:rPr>
        <w:t>A tanórákon való részvétel követelményei, az elfogadható hiányzások mértéke, a távolmaradás pótlásának lehetősége:</w:t>
      </w:r>
      <w:r w:rsidRPr="007B6B4B">
        <w:rPr>
          <w:rFonts w:ascii="Times New Roman" w:eastAsia="Times New Roman" w:hAnsi="Times New Roman" w:cs="Times New Roman"/>
          <w:bCs/>
        </w:rPr>
        <w:t xml:space="preserve"> </w:t>
      </w:r>
    </w:p>
    <w:p w:rsidR="00D94E0A" w:rsidRPr="00D94E0A" w:rsidRDefault="00D94E0A" w:rsidP="007B6B4B">
      <w:pPr>
        <w:widowControl w:val="0"/>
        <w:spacing w:before="120" w:after="120" w:line="240" w:lineRule="auto"/>
        <w:ind w:left="426"/>
        <w:jc w:val="both"/>
        <w:rPr>
          <w:rFonts w:ascii="Times New Roman" w:hAnsi="Times New Roman" w:cs="Times New Roman"/>
          <w:bCs/>
        </w:rPr>
      </w:pPr>
      <w:r w:rsidRPr="00D94E0A">
        <w:rPr>
          <w:rFonts w:ascii="Times New Roman" w:hAnsi="Times New Roman" w:cs="Times New Roman"/>
          <w:bCs/>
        </w:rPr>
        <w:t>A hallgatónak a tanórák legalább 50 %-án jelen kell lennie, 50 %-ot meghaladó hiányzás esetén a félév teljesítése nem írható alá. A hallgató köteles az előadás és a gyakorlat anyagát beszerezni, abból önállóan felkészülni.</w:t>
      </w:r>
    </w:p>
    <w:p w:rsidR="007B6B4B" w:rsidRPr="007B6B4B" w:rsidRDefault="007B6B4B" w:rsidP="00980876">
      <w:pPr>
        <w:widowControl w:val="0"/>
        <w:numPr>
          <w:ilvl w:val="0"/>
          <w:numId w:val="321"/>
        </w:numPr>
        <w:spacing w:before="120" w:after="120" w:line="240" w:lineRule="auto"/>
        <w:ind w:left="426" w:hanging="142"/>
        <w:jc w:val="both"/>
        <w:rPr>
          <w:rFonts w:ascii="Times New Roman" w:eastAsia="Times New Roman" w:hAnsi="Times New Roman" w:cs="Times New Roman"/>
          <w:bCs/>
        </w:rPr>
      </w:pPr>
      <w:r w:rsidRPr="005273D9">
        <w:rPr>
          <w:rFonts w:ascii="Times New Roman" w:eastAsia="Times New Roman" w:hAnsi="Times New Roman" w:cs="Times New Roman"/>
          <w:b/>
          <w:bCs/>
        </w:rPr>
        <w:t>Félévközi</w:t>
      </w:r>
      <w:r w:rsidRPr="007B6B4B">
        <w:rPr>
          <w:rFonts w:ascii="Times New Roman" w:eastAsia="Times New Roman" w:hAnsi="Times New Roman" w:cs="Times New Roman"/>
          <w:b/>
        </w:rPr>
        <w:t xml:space="preserve"> feladatok, ismeretek ellenőrzésének rendje:</w:t>
      </w:r>
      <w:r w:rsidRPr="007B6B4B">
        <w:rPr>
          <w:rFonts w:ascii="Times New Roman" w:eastAsia="Times New Roman" w:hAnsi="Times New Roman" w:cs="Times New Roman"/>
          <w:bCs/>
        </w:rPr>
        <w:t xml:space="preserve"> </w:t>
      </w:r>
    </w:p>
    <w:p w:rsidR="007B6B4B" w:rsidRPr="007B6B4B" w:rsidRDefault="007B6B4B" w:rsidP="007B6B4B">
      <w:pPr>
        <w:widowControl w:val="0"/>
        <w:spacing w:before="120" w:after="120" w:line="240" w:lineRule="auto"/>
        <w:ind w:left="426"/>
        <w:jc w:val="both"/>
        <w:rPr>
          <w:rFonts w:ascii="Times New Roman" w:eastAsia="Times New Roman" w:hAnsi="Times New Roman" w:cs="Times New Roman"/>
          <w:bCs/>
        </w:rPr>
      </w:pPr>
      <w:r w:rsidRPr="007B6B4B">
        <w:rPr>
          <w:rFonts w:ascii="Times New Roman" w:eastAsia="Times New Roman" w:hAnsi="Times New Roman" w:cs="Times New Roman"/>
          <w:bCs/>
        </w:rPr>
        <w:t xml:space="preserve">A hallgató a félév során egy zárthelyi dolgozatot ír </w:t>
      </w:r>
      <w:r w:rsidRPr="007B6B4B">
        <w:rPr>
          <w:rFonts w:ascii="Times New Roman" w:hAnsi="Times New Roman" w:cs="Times New Roman"/>
          <w:bCs/>
        </w:rPr>
        <w:t xml:space="preserve">a 12.1-8 tananyagrészből. </w:t>
      </w:r>
      <w:r w:rsidRPr="007B6B4B">
        <w:rPr>
          <w:rFonts w:ascii="Times New Roman" w:eastAsia="Times New Roman" w:hAnsi="Times New Roman" w:cs="Times New Roman"/>
          <w:bCs/>
        </w:rPr>
        <w:t>A zárthelyi dolgozat megfelelő szintű teljesítésének alsó határa 51 %. A zárthelyi dolgozat a félévköz folyamán egy alkalommal pótolható, illetve javítható.</w:t>
      </w:r>
    </w:p>
    <w:p w:rsidR="007B6B4B" w:rsidRPr="007B6B4B" w:rsidRDefault="007B6B4B" w:rsidP="00980876">
      <w:pPr>
        <w:widowControl w:val="0"/>
        <w:numPr>
          <w:ilvl w:val="0"/>
          <w:numId w:val="321"/>
        </w:numPr>
        <w:spacing w:before="120" w:after="120" w:line="240" w:lineRule="auto"/>
        <w:ind w:left="426" w:hanging="142"/>
        <w:jc w:val="both"/>
        <w:rPr>
          <w:rFonts w:ascii="Times New Roman" w:eastAsia="Times New Roman" w:hAnsi="Times New Roman" w:cs="Times New Roman"/>
          <w:b/>
          <w:bCs/>
        </w:rPr>
      </w:pPr>
      <w:r w:rsidRPr="007B6B4B">
        <w:rPr>
          <w:rFonts w:ascii="Times New Roman" w:eastAsia="Times New Roman" w:hAnsi="Times New Roman" w:cs="Times New Roman"/>
          <w:b/>
          <w:bCs/>
        </w:rPr>
        <w:t xml:space="preserve">Az értékelés, az aláírás és a kreditek megszerzésének pontos feltételei: </w:t>
      </w:r>
    </w:p>
    <w:p w:rsidR="007B6B4B" w:rsidRPr="007B6B4B" w:rsidRDefault="007B6B4B" w:rsidP="00980876">
      <w:pPr>
        <w:widowControl w:val="0"/>
        <w:numPr>
          <w:ilvl w:val="1"/>
          <w:numId w:val="321"/>
        </w:numPr>
        <w:tabs>
          <w:tab w:val="clear" w:pos="3977"/>
        </w:tabs>
        <w:spacing w:before="120" w:after="120" w:line="240" w:lineRule="auto"/>
        <w:ind w:left="993" w:hanging="574"/>
        <w:jc w:val="both"/>
        <w:rPr>
          <w:rFonts w:ascii="Times New Roman" w:eastAsia="Times New Roman" w:hAnsi="Times New Roman" w:cs="Times New Roman"/>
        </w:rPr>
      </w:pPr>
      <w:r w:rsidRPr="007B6B4B">
        <w:rPr>
          <w:rFonts w:ascii="Times New Roman" w:eastAsia="Times New Roman" w:hAnsi="Times New Roman" w:cs="Times New Roman"/>
          <w:b/>
        </w:rPr>
        <w:t>Az aláírás megszerzésének feltételei:</w:t>
      </w:r>
    </w:p>
    <w:p w:rsidR="007B6B4B" w:rsidRPr="007B6B4B" w:rsidRDefault="007B6B4B" w:rsidP="007B6B4B">
      <w:pPr>
        <w:widowControl w:val="0"/>
        <w:tabs>
          <w:tab w:val="left" w:pos="993"/>
        </w:tabs>
        <w:spacing w:before="120" w:after="120" w:line="240" w:lineRule="auto"/>
        <w:ind w:left="426"/>
        <w:jc w:val="both"/>
        <w:rPr>
          <w:rFonts w:ascii="Times New Roman" w:hAnsi="Times New Roman" w:cs="Times New Roman"/>
          <w:bCs/>
        </w:rPr>
      </w:pPr>
      <w:r w:rsidRPr="007B6B4B">
        <w:rPr>
          <w:rFonts w:ascii="Times New Roman" w:hAnsi="Times New Roman" w:cs="Times New Roman"/>
          <w:bCs/>
        </w:rPr>
        <w:t xml:space="preserve">A zárthelyi dolgozat legalább elégséges (legalább </w:t>
      </w:r>
      <w:r w:rsidRPr="007B6B4B">
        <w:rPr>
          <w:rFonts w:ascii="Times New Roman" w:hAnsi="Times New Roman" w:cs="Times New Roman"/>
        </w:rPr>
        <w:t xml:space="preserve">51%-os eredmény) </w:t>
      </w:r>
      <w:r w:rsidRPr="007B6B4B">
        <w:rPr>
          <w:rFonts w:ascii="Times New Roman" w:hAnsi="Times New Roman" w:cs="Times New Roman"/>
          <w:bCs/>
        </w:rPr>
        <w:t>megírása, valamint az órák 50 %-án való részvétel.</w:t>
      </w:r>
    </w:p>
    <w:p w:rsidR="007B6B4B" w:rsidRPr="005273D9" w:rsidRDefault="007B6B4B" w:rsidP="00980876">
      <w:pPr>
        <w:widowControl w:val="0"/>
        <w:numPr>
          <w:ilvl w:val="1"/>
          <w:numId w:val="321"/>
        </w:numPr>
        <w:tabs>
          <w:tab w:val="clear" w:pos="3977"/>
        </w:tabs>
        <w:spacing w:before="120" w:after="120" w:line="240" w:lineRule="auto"/>
        <w:ind w:left="993" w:hanging="574"/>
        <w:jc w:val="both"/>
        <w:rPr>
          <w:rFonts w:ascii="Times New Roman" w:eastAsia="Times New Roman" w:hAnsi="Times New Roman" w:cs="Times New Roman"/>
        </w:rPr>
      </w:pPr>
      <w:r w:rsidRPr="005273D9">
        <w:rPr>
          <w:rFonts w:ascii="Times New Roman" w:eastAsia="Times New Roman" w:hAnsi="Times New Roman" w:cs="Times New Roman"/>
          <w:b/>
        </w:rPr>
        <w:t>Az értékelés:</w:t>
      </w:r>
      <w:r w:rsidR="005273D9" w:rsidRPr="005273D9">
        <w:rPr>
          <w:rFonts w:ascii="Times New Roman" w:eastAsia="Times New Roman" w:hAnsi="Times New Roman" w:cs="Times New Roman"/>
          <w:b/>
        </w:rPr>
        <w:t xml:space="preserve"> </w:t>
      </w:r>
      <w:r w:rsidRPr="005273D9">
        <w:rPr>
          <w:rFonts w:ascii="Times New Roman" w:hAnsi="Times New Roman" w:cs="Times New Roman"/>
        </w:rPr>
        <w:t>Szóbeli vizsgán történik</w:t>
      </w:r>
      <w:r w:rsidR="005273D9" w:rsidRPr="005273D9">
        <w:rPr>
          <w:rFonts w:ascii="Times New Roman" w:hAnsi="Times New Roman" w:cs="Times New Roman"/>
        </w:rPr>
        <w:t>, ötfokozatú értékeléssel</w:t>
      </w:r>
      <w:r w:rsidRPr="005273D9">
        <w:rPr>
          <w:rFonts w:ascii="Times New Roman" w:hAnsi="Times New Roman" w:cs="Times New Roman"/>
        </w:rPr>
        <w:t>.</w:t>
      </w:r>
    </w:p>
    <w:p w:rsidR="007B6B4B" w:rsidRPr="005273D9" w:rsidRDefault="007B6B4B" w:rsidP="00980876">
      <w:pPr>
        <w:widowControl w:val="0"/>
        <w:numPr>
          <w:ilvl w:val="1"/>
          <w:numId w:val="321"/>
        </w:numPr>
        <w:tabs>
          <w:tab w:val="clear" w:pos="3977"/>
        </w:tabs>
        <w:spacing w:before="120" w:after="120" w:line="240" w:lineRule="auto"/>
        <w:ind w:left="993" w:hanging="574"/>
        <w:jc w:val="both"/>
        <w:rPr>
          <w:rFonts w:ascii="Times New Roman" w:eastAsia="Times New Roman" w:hAnsi="Times New Roman" w:cs="Times New Roman"/>
        </w:rPr>
      </w:pPr>
      <w:r w:rsidRPr="005273D9">
        <w:rPr>
          <w:rFonts w:ascii="Times New Roman" w:eastAsia="Times New Roman" w:hAnsi="Times New Roman" w:cs="Times New Roman"/>
          <w:b/>
        </w:rPr>
        <w:t>A kreditek megszerzésének feltételei:</w:t>
      </w:r>
      <w:r w:rsidRPr="005273D9">
        <w:rPr>
          <w:rFonts w:ascii="Times New Roman" w:eastAsia="Times New Roman" w:hAnsi="Times New Roman" w:cs="Times New Roman"/>
        </w:rPr>
        <w:t xml:space="preserve"> </w:t>
      </w:r>
      <w:r w:rsidR="005273D9" w:rsidRPr="005273D9">
        <w:rPr>
          <w:rFonts w:ascii="Times New Roman" w:eastAsia="Times New Roman" w:hAnsi="Times New Roman" w:cs="Times New Roman"/>
        </w:rPr>
        <w:t xml:space="preserve"> </w:t>
      </w:r>
      <w:r w:rsidRPr="005273D9">
        <w:rPr>
          <w:rFonts w:ascii="Times New Roman" w:eastAsia="Times New Roman" w:hAnsi="Times New Roman" w:cs="Times New Roman"/>
        </w:rPr>
        <w:t>Legalább elégséges szóbeli vizsga</w:t>
      </w:r>
      <w:r w:rsidR="005273D9">
        <w:rPr>
          <w:rFonts w:ascii="Times New Roman" w:eastAsia="Times New Roman" w:hAnsi="Times New Roman" w:cs="Times New Roman"/>
        </w:rPr>
        <w:t>.</w:t>
      </w:r>
    </w:p>
    <w:p w:rsidR="007B6B4B" w:rsidRPr="007B6B4B" w:rsidRDefault="007B6B4B" w:rsidP="00980876">
      <w:pPr>
        <w:widowControl w:val="0"/>
        <w:numPr>
          <w:ilvl w:val="0"/>
          <w:numId w:val="321"/>
        </w:numPr>
        <w:spacing w:before="120" w:after="120" w:line="240" w:lineRule="auto"/>
        <w:ind w:left="426" w:hanging="142"/>
        <w:jc w:val="both"/>
        <w:rPr>
          <w:rFonts w:ascii="Times New Roman" w:eastAsia="Times New Roman" w:hAnsi="Times New Roman" w:cs="Times New Roman"/>
          <w:bCs/>
        </w:rPr>
      </w:pPr>
      <w:r w:rsidRPr="007B6B4B">
        <w:rPr>
          <w:rFonts w:ascii="Times New Roman" w:eastAsia="Times New Roman" w:hAnsi="Times New Roman" w:cs="Times New Roman"/>
          <w:b/>
          <w:bCs/>
        </w:rPr>
        <w:t>Irodalomjegyzék:</w:t>
      </w:r>
    </w:p>
    <w:p w:rsidR="007B6B4B" w:rsidRPr="007B6B4B" w:rsidRDefault="007B6B4B" w:rsidP="00980876">
      <w:pPr>
        <w:widowControl w:val="0"/>
        <w:numPr>
          <w:ilvl w:val="1"/>
          <w:numId w:val="321"/>
        </w:numPr>
        <w:tabs>
          <w:tab w:val="clear" w:pos="3977"/>
        </w:tabs>
        <w:spacing w:before="120" w:after="120" w:line="240" w:lineRule="auto"/>
        <w:ind w:left="993" w:hanging="574"/>
        <w:jc w:val="both"/>
        <w:rPr>
          <w:rFonts w:ascii="Times New Roman" w:eastAsia="Times New Roman" w:hAnsi="Times New Roman" w:cs="Times New Roman"/>
          <w:bCs/>
        </w:rPr>
      </w:pPr>
      <w:r w:rsidRPr="005273D9">
        <w:rPr>
          <w:rFonts w:ascii="Times New Roman" w:eastAsia="Times New Roman" w:hAnsi="Times New Roman" w:cs="Times New Roman"/>
          <w:b/>
        </w:rPr>
        <w:t>Kötelező</w:t>
      </w:r>
      <w:r w:rsidRPr="007B6B4B">
        <w:rPr>
          <w:rFonts w:ascii="Times New Roman" w:eastAsia="Times New Roman" w:hAnsi="Times New Roman" w:cs="Times New Roman"/>
          <w:b/>
          <w:bCs/>
        </w:rPr>
        <w:t xml:space="preserve"> irodalom:</w:t>
      </w:r>
    </w:p>
    <w:p w:rsidR="007B6B4B" w:rsidRPr="007B6B4B" w:rsidRDefault="007B6B4B" w:rsidP="00980876">
      <w:pPr>
        <w:widowControl w:val="0"/>
        <w:numPr>
          <w:ilvl w:val="0"/>
          <w:numId w:val="322"/>
        </w:numPr>
        <w:spacing w:after="0" w:line="240" w:lineRule="auto"/>
        <w:ind w:left="851" w:hanging="284"/>
        <w:jc w:val="both"/>
        <w:rPr>
          <w:rFonts w:ascii="Times New Roman" w:eastAsia="Times New Roman" w:hAnsi="Times New Roman" w:cs="Times New Roman"/>
        </w:rPr>
      </w:pPr>
      <w:r w:rsidRPr="007B6B4B">
        <w:rPr>
          <w:rFonts w:ascii="Times New Roman" w:hAnsi="Times New Roman" w:cs="Times New Roman"/>
        </w:rPr>
        <w:t xml:space="preserve">Nagy </w:t>
      </w:r>
      <w:r w:rsidRPr="005273D9">
        <w:rPr>
          <w:rFonts w:ascii="Times New Roman" w:hAnsi="Times New Roman" w:cs="Times New Roman"/>
          <w:color w:val="000000"/>
        </w:rPr>
        <w:t>István</w:t>
      </w:r>
      <w:r w:rsidRPr="007B6B4B">
        <w:rPr>
          <w:rFonts w:ascii="Times New Roman" w:hAnsi="Times New Roman" w:cs="Times New Roman"/>
        </w:rPr>
        <w:t xml:space="preserve">: </w:t>
      </w:r>
      <w:r w:rsidRPr="007B6B4B">
        <w:rPr>
          <w:rFonts w:ascii="Times New Roman" w:hAnsi="Times New Roman" w:cs="Times New Roman"/>
          <w:i/>
        </w:rPr>
        <w:t>Elektrotechnika I/1-3</w:t>
      </w:r>
      <w:r w:rsidRPr="007B6B4B">
        <w:rPr>
          <w:rFonts w:ascii="Times New Roman" w:hAnsi="Times New Roman" w:cs="Times New Roman"/>
        </w:rPr>
        <w:t>. BJKMF, 1999. elektronikus jegyzet</w:t>
      </w:r>
      <w:r w:rsidRPr="007B6B4B">
        <w:rPr>
          <w:rFonts w:ascii="Times New Roman" w:eastAsia="Times New Roman" w:hAnsi="Times New Roman" w:cs="Times New Roman"/>
        </w:rPr>
        <w:t xml:space="preserve"> </w:t>
      </w:r>
    </w:p>
    <w:p w:rsidR="007B6B4B" w:rsidRPr="007B6B4B" w:rsidRDefault="007B6B4B" w:rsidP="00980876">
      <w:pPr>
        <w:widowControl w:val="0"/>
        <w:numPr>
          <w:ilvl w:val="0"/>
          <w:numId w:val="322"/>
        </w:numPr>
        <w:spacing w:after="0" w:line="240" w:lineRule="auto"/>
        <w:ind w:left="851" w:hanging="284"/>
        <w:jc w:val="both"/>
        <w:rPr>
          <w:rFonts w:ascii="Times New Roman" w:eastAsia="Times New Roman" w:hAnsi="Times New Roman" w:cs="Times New Roman"/>
        </w:rPr>
      </w:pPr>
      <w:r w:rsidRPr="007B6B4B">
        <w:rPr>
          <w:rFonts w:ascii="Times New Roman" w:hAnsi="Times New Roman" w:cs="Times New Roman"/>
          <w:color w:val="000000"/>
        </w:rPr>
        <w:t xml:space="preserve">Fatalin László – Varsics Zita: </w:t>
      </w:r>
      <w:r w:rsidRPr="007B6B4B">
        <w:rPr>
          <w:rFonts w:ascii="Times New Roman" w:hAnsi="Times New Roman" w:cs="Times New Roman"/>
          <w:i/>
          <w:color w:val="000000"/>
        </w:rPr>
        <w:t>Elektrotechnika I. Egyenáramú hálózatok.</w:t>
      </w:r>
      <w:r w:rsidRPr="007B6B4B">
        <w:rPr>
          <w:rFonts w:ascii="Times New Roman" w:hAnsi="Times New Roman" w:cs="Times New Roman"/>
          <w:bCs/>
          <w:i/>
        </w:rPr>
        <w:t xml:space="preserve"> </w:t>
      </w:r>
      <w:r w:rsidRPr="007B6B4B">
        <w:rPr>
          <w:rFonts w:ascii="Times New Roman" w:hAnsi="Times New Roman" w:cs="Times New Roman"/>
          <w:bCs/>
        </w:rPr>
        <w:t xml:space="preserve">Dialóg Campus, Budapest, 2018., </w:t>
      </w:r>
      <w:r w:rsidRPr="007B6B4B">
        <w:rPr>
          <w:rFonts w:ascii="Times New Roman" w:eastAsia="Times New Roman" w:hAnsi="Times New Roman" w:cs="Times New Roman"/>
        </w:rPr>
        <w:t>ISBN: 978-615-5889-41-7</w:t>
      </w:r>
    </w:p>
    <w:p w:rsidR="007B6B4B" w:rsidRPr="007B6B4B" w:rsidRDefault="007B6B4B" w:rsidP="00980876">
      <w:pPr>
        <w:widowControl w:val="0"/>
        <w:numPr>
          <w:ilvl w:val="0"/>
          <w:numId w:val="322"/>
        </w:numPr>
        <w:spacing w:after="0" w:line="240" w:lineRule="auto"/>
        <w:ind w:left="851" w:hanging="284"/>
        <w:jc w:val="both"/>
        <w:rPr>
          <w:rFonts w:ascii="Times New Roman" w:eastAsia="Times New Roman" w:hAnsi="Times New Roman" w:cs="Times New Roman"/>
        </w:rPr>
      </w:pPr>
      <w:r w:rsidRPr="007B6B4B">
        <w:rPr>
          <w:rFonts w:ascii="Times New Roman" w:hAnsi="Times New Roman" w:cs="Times New Roman"/>
        </w:rPr>
        <w:t xml:space="preserve">Millman, Jacob – Halkias, Christos C. (1967): </w:t>
      </w:r>
      <w:r w:rsidRPr="007B6B4B">
        <w:rPr>
          <w:rFonts w:ascii="Times New Roman" w:hAnsi="Times New Roman" w:cs="Times New Roman"/>
          <w:i/>
        </w:rPr>
        <w:t>Electronic Devices &amp; Circuits.</w:t>
      </w:r>
      <w:r w:rsidRPr="007B6B4B">
        <w:rPr>
          <w:rFonts w:ascii="Times New Roman" w:hAnsi="Times New Roman" w:cs="Times New Roman"/>
        </w:rPr>
        <w:t xml:space="preserve"> McGraw-Hill.  1967.</w:t>
      </w:r>
      <w:r w:rsidRPr="007B6B4B">
        <w:rPr>
          <w:rFonts w:ascii="Times New Roman" w:eastAsia="Times New Roman" w:hAnsi="Times New Roman" w:cs="Times New Roman"/>
        </w:rPr>
        <w:t>ISBN: 978-0070423800</w:t>
      </w:r>
    </w:p>
    <w:p w:rsidR="007B6B4B" w:rsidRPr="007B6B4B" w:rsidRDefault="007B6B4B" w:rsidP="00980876">
      <w:pPr>
        <w:widowControl w:val="0"/>
        <w:numPr>
          <w:ilvl w:val="1"/>
          <w:numId w:val="321"/>
        </w:numPr>
        <w:tabs>
          <w:tab w:val="clear" w:pos="3977"/>
        </w:tabs>
        <w:spacing w:before="120" w:after="120" w:line="240" w:lineRule="auto"/>
        <w:ind w:left="993" w:hanging="574"/>
        <w:jc w:val="both"/>
        <w:rPr>
          <w:rFonts w:ascii="Times New Roman" w:eastAsia="Times New Roman" w:hAnsi="Times New Roman" w:cs="Times New Roman"/>
          <w:b/>
          <w:bCs/>
        </w:rPr>
      </w:pPr>
      <w:r w:rsidRPr="005273D9">
        <w:rPr>
          <w:rFonts w:ascii="Times New Roman" w:eastAsia="Times New Roman" w:hAnsi="Times New Roman" w:cs="Times New Roman"/>
          <w:b/>
        </w:rPr>
        <w:t>Ajánlott</w:t>
      </w:r>
      <w:r w:rsidRPr="007B6B4B">
        <w:rPr>
          <w:rFonts w:ascii="Times New Roman" w:eastAsia="Times New Roman" w:hAnsi="Times New Roman" w:cs="Times New Roman"/>
          <w:b/>
          <w:bCs/>
        </w:rPr>
        <w:t xml:space="preserve"> irodalom:</w:t>
      </w:r>
    </w:p>
    <w:p w:rsidR="007B6B4B" w:rsidRPr="005273D9" w:rsidRDefault="007B6B4B" w:rsidP="00980876">
      <w:pPr>
        <w:widowControl w:val="0"/>
        <w:numPr>
          <w:ilvl w:val="0"/>
          <w:numId w:val="323"/>
        </w:numPr>
        <w:spacing w:after="0" w:line="240" w:lineRule="auto"/>
        <w:ind w:left="851" w:hanging="284"/>
        <w:jc w:val="both"/>
        <w:rPr>
          <w:rFonts w:ascii="Times New Roman" w:eastAsia="Times New Roman" w:hAnsi="Times New Roman" w:cs="Times New Roman"/>
        </w:rPr>
      </w:pPr>
      <w:r w:rsidRPr="005273D9">
        <w:rPr>
          <w:rFonts w:ascii="Times New Roman" w:hAnsi="Times New Roman" w:cs="Times New Roman"/>
        </w:rPr>
        <w:t xml:space="preserve">Litz </w:t>
      </w:r>
      <w:r w:rsidRPr="005273D9">
        <w:rPr>
          <w:rFonts w:ascii="Times New Roman" w:hAnsi="Times New Roman" w:cs="Times New Roman"/>
          <w:color w:val="000000"/>
        </w:rPr>
        <w:t>József</w:t>
      </w:r>
      <w:r w:rsidRPr="005273D9">
        <w:rPr>
          <w:rFonts w:ascii="Times New Roman" w:hAnsi="Times New Roman" w:cs="Times New Roman"/>
        </w:rPr>
        <w:t xml:space="preserve"> (1996): </w:t>
      </w:r>
      <w:r w:rsidRPr="005273D9">
        <w:rPr>
          <w:rFonts w:ascii="Times New Roman" w:hAnsi="Times New Roman" w:cs="Times New Roman"/>
          <w:i/>
        </w:rPr>
        <w:t>Elektromosságtan I.– Elektrosztatika és egyenáramok.</w:t>
      </w:r>
      <w:r w:rsidRPr="005273D9">
        <w:rPr>
          <w:rFonts w:ascii="Times New Roman" w:hAnsi="Times New Roman" w:cs="Times New Roman"/>
        </w:rPr>
        <w:t xml:space="preserve"> JPTE TTK</w:t>
      </w:r>
      <w:r w:rsidRPr="005273D9">
        <w:rPr>
          <w:rFonts w:ascii="Times New Roman" w:eastAsia="Times New Roman" w:hAnsi="Times New Roman" w:cs="Times New Roman"/>
        </w:rPr>
        <w:t xml:space="preserve"> </w:t>
      </w:r>
    </w:p>
    <w:p w:rsidR="007B6B4B" w:rsidRPr="005273D9" w:rsidRDefault="007B6B4B" w:rsidP="00980876">
      <w:pPr>
        <w:widowControl w:val="0"/>
        <w:numPr>
          <w:ilvl w:val="0"/>
          <w:numId w:val="323"/>
        </w:numPr>
        <w:spacing w:after="0" w:line="240" w:lineRule="auto"/>
        <w:ind w:left="851" w:hanging="284"/>
        <w:jc w:val="both"/>
        <w:rPr>
          <w:rStyle w:val="HTML-idzet"/>
          <w:rFonts w:ascii="Times New Roman" w:eastAsia="Times New Roman" w:hAnsi="Times New Roman" w:cs="Times New Roman"/>
          <w:i w:val="0"/>
          <w:iCs w:val="0"/>
        </w:rPr>
      </w:pPr>
      <w:r w:rsidRPr="00B26B05">
        <w:rPr>
          <w:rStyle w:val="Hiperhivatkozs"/>
          <w:rFonts w:ascii="Times New Roman" w:hAnsi="Times New Roman" w:cs="Times New Roman"/>
          <w:color w:val="000000" w:themeColor="text1"/>
          <w:u w:val="none"/>
        </w:rPr>
        <w:t xml:space="preserve">Jackson D. J. (1962): </w:t>
      </w:r>
      <w:r w:rsidRPr="00B26B05">
        <w:rPr>
          <w:rFonts w:ascii="Times New Roman" w:hAnsi="Times New Roman" w:cs="Times New Roman"/>
          <w:color w:val="000000"/>
        </w:rPr>
        <w:t>Classical</w:t>
      </w:r>
      <w:r w:rsidRPr="00B26B05">
        <w:rPr>
          <w:rStyle w:val="a-size-extra-large3"/>
          <w:rFonts w:ascii="Times New Roman" w:hAnsi="Times New Roman" w:cs="Times New Roman"/>
          <w:color w:val="000000" w:themeColor="text1"/>
        </w:rPr>
        <w:t xml:space="preserve"> Electrodynamics</w:t>
      </w:r>
      <w:r w:rsidRPr="00B26B05">
        <w:rPr>
          <w:rStyle w:val="Hiperhivatkozs"/>
          <w:rFonts w:ascii="Times New Roman" w:hAnsi="Times New Roman" w:cs="Times New Roman"/>
          <w:color w:val="000000" w:themeColor="text1"/>
          <w:u w:val="none"/>
        </w:rPr>
        <w:t xml:space="preserve">. (Klasszikus elektrodinamika) </w:t>
      </w:r>
      <w:r w:rsidRPr="00B26B05">
        <w:rPr>
          <w:rStyle w:val="st1"/>
          <w:rFonts w:ascii="Times New Roman" w:hAnsi="Times New Roman" w:cs="Times New Roman"/>
          <w:color w:val="000000" w:themeColor="text1"/>
          <w:lang w:val="de-DE"/>
        </w:rPr>
        <w:t>John Wiley &amp;</w:t>
      </w:r>
      <w:r w:rsidRPr="005273D9">
        <w:rPr>
          <w:rStyle w:val="st1"/>
          <w:rFonts w:ascii="Times New Roman" w:hAnsi="Times New Roman" w:cs="Times New Roman"/>
          <w:color w:val="000000" w:themeColor="text1"/>
          <w:lang w:val="de-DE"/>
        </w:rPr>
        <w:t xml:space="preserve"> Sons Ltd. </w:t>
      </w:r>
      <w:r w:rsidRPr="005273D9">
        <w:rPr>
          <w:rStyle w:val="st1"/>
          <w:rFonts w:ascii="Times New Roman" w:hAnsi="Times New Roman" w:cs="Times New Roman"/>
          <w:color w:val="000000" w:themeColor="text1"/>
        </w:rPr>
        <w:t xml:space="preserve">(in </w:t>
      </w:r>
      <w:r w:rsidRPr="005273D9">
        <w:rPr>
          <w:rStyle w:val="notranslate"/>
          <w:rFonts w:ascii="Times New Roman" w:hAnsi="Times New Roman" w:cs="Times New Roman"/>
          <w:iCs/>
          <w:color w:val="000000" w:themeColor="text1"/>
        </w:rPr>
        <w:t xml:space="preserve">Global publishing </w:t>
      </w:r>
      <w:r w:rsidRPr="005273D9">
        <w:rPr>
          <w:rStyle w:val="notranslate"/>
          <w:rFonts w:ascii="Times New Roman" w:hAnsi="Times New Roman" w:cs="Times New Roman"/>
          <w:iCs/>
          <w:color w:val="000000" w:themeColor="text1"/>
          <w:lang w:val="en"/>
        </w:rPr>
        <w:t>industry)</w:t>
      </w:r>
      <w:r w:rsidRPr="005273D9">
        <w:rPr>
          <w:rStyle w:val="HTML-idzet"/>
          <w:rFonts w:ascii="Times New Roman" w:hAnsi="Times New Roman" w:cs="Times New Roman"/>
          <w:lang w:val="en"/>
        </w:rPr>
        <w:t>.</w:t>
      </w:r>
    </w:p>
    <w:p w:rsidR="007B6B4B" w:rsidRPr="005273D9" w:rsidRDefault="007B6B4B" w:rsidP="00980876">
      <w:pPr>
        <w:widowControl w:val="0"/>
        <w:numPr>
          <w:ilvl w:val="0"/>
          <w:numId w:val="323"/>
        </w:numPr>
        <w:spacing w:after="0" w:line="240" w:lineRule="auto"/>
        <w:ind w:left="851" w:hanging="284"/>
        <w:jc w:val="both"/>
        <w:rPr>
          <w:rFonts w:ascii="Times New Roman" w:eastAsia="Times New Roman" w:hAnsi="Times New Roman" w:cs="Times New Roman"/>
        </w:rPr>
      </w:pPr>
      <w:r w:rsidRPr="005273D9">
        <w:rPr>
          <w:rFonts w:ascii="Times New Roman" w:hAnsi="Times New Roman" w:cs="Times New Roman"/>
          <w:bCs/>
        </w:rPr>
        <w:t xml:space="preserve">Simonyi </w:t>
      </w:r>
      <w:r w:rsidRPr="005273D9">
        <w:rPr>
          <w:rFonts w:ascii="Times New Roman" w:hAnsi="Times New Roman" w:cs="Times New Roman"/>
          <w:color w:val="000000"/>
        </w:rPr>
        <w:t>Károly</w:t>
      </w:r>
      <w:r w:rsidRPr="005273D9">
        <w:rPr>
          <w:rFonts w:ascii="Times New Roman" w:hAnsi="Times New Roman" w:cs="Times New Roman"/>
          <w:bCs/>
        </w:rPr>
        <w:t xml:space="preserve"> (1983): </w:t>
      </w:r>
      <w:r w:rsidRPr="005273D9">
        <w:rPr>
          <w:rFonts w:ascii="Times New Roman" w:hAnsi="Times New Roman" w:cs="Times New Roman"/>
          <w:bCs/>
          <w:i/>
        </w:rPr>
        <w:t>Villamosságtan.</w:t>
      </w:r>
      <w:r w:rsidRPr="005273D9">
        <w:rPr>
          <w:rFonts w:ascii="Times New Roman" w:hAnsi="Times New Roman" w:cs="Times New Roman"/>
          <w:bCs/>
        </w:rPr>
        <w:t xml:space="preserve"> Akadémiai Kiadó. </w:t>
      </w:r>
      <w:r w:rsidRPr="005273D9">
        <w:rPr>
          <w:rFonts w:ascii="Times New Roman" w:eastAsia="Times New Roman" w:hAnsi="Times New Roman" w:cs="Times New Roman"/>
        </w:rPr>
        <w:t xml:space="preserve">ISBN: 963-05-3413-4. </w:t>
      </w:r>
    </w:p>
    <w:p w:rsidR="005273D9" w:rsidRDefault="005273D9" w:rsidP="007B6B4B">
      <w:pPr>
        <w:widowControl w:val="0"/>
        <w:spacing w:before="120" w:after="120" w:line="240" w:lineRule="auto"/>
        <w:jc w:val="both"/>
        <w:rPr>
          <w:rFonts w:ascii="Times New Roman" w:eastAsia="Times New Roman" w:hAnsi="Times New Roman" w:cs="Times New Roman"/>
          <w:bCs/>
        </w:rPr>
      </w:pPr>
    </w:p>
    <w:p w:rsidR="007B6B4B" w:rsidRPr="007B6B4B" w:rsidRDefault="007B6B4B" w:rsidP="007B6B4B">
      <w:pPr>
        <w:widowControl w:val="0"/>
        <w:spacing w:before="120" w:after="120" w:line="240" w:lineRule="auto"/>
        <w:jc w:val="both"/>
        <w:rPr>
          <w:rFonts w:ascii="Times New Roman" w:eastAsia="Times New Roman" w:hAnsi="Times New Roman" w:cs="Times New Roman"/>
          <w:bCs/>
        </w:rPr>
      </w:pPr>
      <w:r w:rsidRPr="007B6B4B">
        <w:rPr>
          <w:rFonts w:ascii="Times New Roman" w:eastAsia="Times New Roman" w:hAnsi="Times New Roman" w:cs="Times New Roman"/>
          <w:bCs/>
        </w:rPr>
        <w:t>Budapest, 2019. december 30.</w:t>
      </w:r>
    </w:p>
    <w:p w:rsidR="007B6B4B" w:rsidRPr="007B6B4B" w:rsidRDefault="007B6B4B" w:rsidP="007B6B4B">
      <w:pPr>
        <w:widowControl w:val="0"/>
        <w:spacing w:before="120" w:after="120" w:line="240" w:lineRule="auto"/>
        <w:jc w:val="both"/>
        <w:rPr>
          <w:rFonts w:ascii="Times New Roman" w:eastAsia="Times New Roman" w:hAnsi="Times New Roman" w:cs="Times New Roman"/>
          <w:bCs/>
        </w:rPr>
      </w:pPr>
    </w:p>
    <w:p w:rsidR="005273D9" w:rsidRPr="005273D9" w:rsidRDefault="007B6B4B" w:rsidP="005273D9">
      <w:pPr>
        <w:widowControl w:val="0"/>
        <w:spacing w:after="0" w:line="240" w:lineRule="auto"/>
        <w:ind w:left="6379"/>
        <w:jc w:val="center"/>
        <w:rPr>
          <w:rFonts w:ascii="Times New Roman" w:hAnsi="Times New Roman" w:cs="Times New Roman"/>
          <w:b/>
        </w:rPr>
      </w:pPr>
      <w:r w:rsidRPr="005273D9">
        <w:rPr>
          <w:rFonts w:ascii="Times New Roman" w:hAnsi="Times New Roman" w:cs="Times New Roman"/>
          <w:b/>
        </w:rPr>
        <w:t>Dr. Fatalin László, Ph.D.</w:t>
      </w:r>
    </w:p>
    <w:p w:rsidR="007B6B4B" w:rsidRPr="007B6B4B" w:rsidRDefault="007B6B4B" w:rsidP="005273D9">
      <w:pPr>
        <w:widowControl w:val="0"/>
        <w:spacing w:after="0" w:line="240" w:lineRule="auto"/>
        <w:ind w:left="6379"/>
        <w:jc w:val="center"/>
        <w:rPr>
          <w:rFonts w:ascii="Times New Roman" w:eastAsia="Times New Roman" w:hAnsi="Times New Roman" w:cs="Times New Roman"/>
          <w:bCs/>
        </w:rPr>
      </w:pPr>
      <w:r w:rsidRPr="007B6B4B">
        <w:rPr>
          <w:rFonts w:ascii="Times New Roman" w:hAnsi="Times New Roman" w:cs="Times New Roman"/>
        </w:rPr>
        <w:t>egyetemi docens</w:t>
      </w:r>
      <w:r w:rsidR="005273D9">
        <w:rPr>
          <w:rFonts w:ascii="Times New Roman" w:hAnsi="Times New Roman" w:cs="Times New Roman"/>
        </w:rPr>
        <w:t xml:space="preserve"> </w:t>
      </w:r>
      <w:r w:rsidRPr="007B6B4B">
        <w:rPr>
          <w:rFonts w:ascii="Times New Roman" w:eastAsia="Times New Roman" w:hAnsi="Times New Roman" w:cs="Times New Roman"/>
          <w:bCs/>
        </w:rPr>
        <w:t>sk.</w:t>
      </w:r>
    </w:p>
    <w:p w:rsidR="00FF312A" w:rsidRDefault="00FF312A">
      <w:pPr>
        <w:spacing w:after="200" w:line="276" w:lineRule="auto"/>
        <w:rPr>
          <w:rFonts w:ascii="Times New Roman" w:hAnsi="Times New Roman" w:cs="Times New Roman"/>
          <w:sz w:val="24"/>
        </w:rPr>
      </w:pPr>
      <w:r>
        <w:rPr>
          <w:rFonts w:ascii="Times New Roman" w:hAnsi="Times New Roman" w:cs="Times New Roman"/>
          <w:sz w:val="24"/>
        </w:rPr>
        <w:br w:type="page"/>
      </w:r>
    </w:p>
    <w:tbl>
      <w:tblPr>
        <w:tblW w:w="9072" w:type="dxa"/>
        <w:tblInd w:w="113" w:type="dxa"/>
        <w:tblLook w:val="01E0" w:firstRow="1" w:lastRow="1" w:firstColumn="1" w:lastColumn="1" w:noHBand="0" w:noVBand="0"/>
      </w:tblPr>
      <w:tblGrid>
        <w:gridCol w:w="4855"/>
        <w:gridCol w:w="1620"/>
        <w:gridCol w:w="2597"/>
      </w:tblGrid>
      <w:tr w:rsidR="004F09D5" w:rsidRPr="00A3436E" w:rsidTr="00A3436E">
        <w:tc>
          <w:tcPr>
            <w:tcW w:w="4855" w:type="dxa"/>
            <w:tcBorders>
              <w:bottom w:val="single" w:sz="4" w:space="0" w:color="auto"/>
            </w:tcBorders>
          </w:tcPr>
          <w:p w:rsidR="004F09D5" w:rsidRPr="00A3436E" w:rsidRDefault="004F09D5" w:rsidP="00A3436E">
            <w:pPr>
              <w:spacing w:after="0" w:line="240" w:lineRule="auto"/>
              <w:jc w:val="center"/>
              <w:rPr>
                <w:rFonts w:ascii="Times New Roman" w:eastAsia="Times New Roman" w:hAnsi="Times New Roman" w:cs="Times New Roman"/>
                <w:b/>
                <w:smallCaps/>
                <w:lang w:eastAsia="hu-HU"/>
              </w:rPr>
            </w:pPr>
            <w:r w:rsidRPr="00A3436E">
              <w:rPr>
                <w:rFonts w:ascii="Times New Roman" w:eastAsia="Times New Roman" w:hAnsi="Times New Roman" w:cs="Times New Roman"/>
                <w:b/>
                <w:smallCaps/>
                <w:lang w:eastAsia="hu-HU"/>
              </w:rPr>
              <w:lastRenderedPageBreak/>
              <w:t>Nemzeti Közszolgálati Egyetem</w:t>
            </w:r>
          </w:p>
        </w:tc>
        <w:tc>
          <w:tcPr>
            <w:tcW w:w="1620" w:type="dxa"/>
          </w:tcPr>
          <w:p w:rsidR="004F09D5" w:rsidRPr="00A3436E" w:rsidRDefault="004F09D5" w:rsidP="00A3436E">
            <w:pPr>
              <w:spacing w:after="0" w:line="240" w:lineRule="auto"/>
              <w:jc w:val="both"/>
              <w:rPr>
                <w:rFonts w:ascii="Times New Roman" w:eastAsia="Times New Roman" w:hAnsi="Times New Roman" w:cs="Times New Roman"/>
                <w:lang w:eastAsia="hu-HU"/>
              </w:rPr>
            </w:pPr>
          </w:p>
        </w:tc>
        <w:tc>
          <w:tcPr>
            <w:tcW w:w="2597" w:type="dxa"/>
          </w:tcPr>
          <w:p w:rsidR="004F09D5" w:rsidRPr="00A3436E" w:rsidRDefault="004F09D5" w:rsidP="00A3436E">
            <w:pPr>
              <w:spacing w:after="0" w:line="240" w:lineRule="auto"/>
              <w:jc w:val="right"/>
              <w:rPr>
                <w:rFonts w:ascii="Times New Roman" w:eastAsia="Times New Roman" w:hAnsi="Times New Roman" w:cs="Times New Roman"/>
                <w:lang w:eastAsia="hu-HU"/>
              </w:rPr>
            </w:pPr>
          </w:p>
        </w:tc>
      </w:tr>
      <w:tr w:rsidR="004F09D5" w:rsidRPr="00A3436E" w:rsidTr="00A3436E">
        <w:tc>
          <w:tcPr>
            <w:tcW w:w="4855" w:type="dxa"/>
            <w:tcBorders>
              <w:top w:val="single" w:sz="4" w:space="0" w:color="auto"/>
            </w:tcBorders>
          </w:tcPr>
          <w:p w:rsidR="004F09D5" w:rsidRPr="00A3436E" w:rsidRDefault="004F09D5" w:rsidP="00A3436E">
            <w:pPr>
              <w:spacing w:after="0" w:line="240" w:lineRule="auto"/>
              <w:jc w:val="center"/>
              <w:rPr>
                <w:rFonts w:ascii="Times New Roman" w:eastAsia="Times New Roman" w:hAnsi="Times New Roman" w:cs="Times New Roman"/>
                <w:b/>
                <w:lang w:eastAsia="hu-HU"/>
              </w:rPr>
            </w:pPr>
            <w:r w:rsidRPr="00A3436E">
              <w:rPr>
                <w:rFonts w:ascii="Times New Roman" w:eastAsia="Times New Roman" w:hAnsi="Times New Roman" w:cs="Times New Roman"/>
                <w:b/>
                <w:lang w:eastAsia="hu-HU"/>
              </w:rPr>
              <w:t>Hadtudományi és Honvédtisztképző Kar</w:t>
            </w:r>
          </w:p>
        </w:tc>
        <w:tc>
          <w:tcPr>
            <w:tcW w:w="1620" w:type="dxa"/>
          </w:tcPr>
          <w:p w:rsidR="004F09D5" w:rsidRPr="00A3436E" w:rsidRDefault="004F09D5" w:rsidP="00A3436E">
            <w:pPr>
              <w:spacing w:after="0" w:line="240" w:lineRule="auto"/>
              <w:jc w:val="both"/>
              <w:rPr>
                <w:rFonts w:ascii="Times New Roman" w:eastAsia="Times New Roman" w:hAnsi="Times New Roman" w:cs="Times New Roman"/>
                <w:lang w:eastAsia="hu-HU"/>
              </w:rPr>
            </w:pPr>
          </w:p>
        </w:tc>
        <w:tc>
          <w:tcPr>
            <w:tcW w:w="2597" w:type="dxa"/>
          </w:tcPr>
          <w:p w:rsidR="004F09D5" w:rsidRPr="00A3436E" w:rsidRDefault="004F09D5" w:rsidP="00A3436E">
            <w:pPr>
              <w:spacing w:after="0" w:line="240" w:lineRule="auto"/>
              <w:jc w:val="both"/>
              <w:rPr>
                <w:rFonts w:ascii="Times New Roman" w:eastAsia="Times New Roman" w:hAnsi="Times New Roman" w:cs="Times New Roman"/>
                <w:lang w:eastAsia="hu-HU"/>
              </w:rPr>
            </w:pPr>
          </w:p>
        </w:tc>
      </w:tr>
    </w:tbl>
    <w:p w:rsidR="004F09D5" w:rsidRPr="00A3436E" w:rsidRDefault="004F09D5" w:rsidP="004F09D5">
      <w:pPr>
        <w:widowControl w:val="0"/>
        <w:spacing w:before="120" w:after="120" w:line="240" w:lineRule="auto"/>
        <w:ind w:left="426" w:hanging="142"/>
        <w:jc w:val="center"/>
        <w:rPr>
          <w:rFonts w:ascii="Times New Roman" w:eastAsia="Times New Roman" w:hAnsi="Times New Roman" w:cs="Times New Roman"/>
          <w:b/>
          <w:bCs/>
        </w:rPr>
      </w:pPr>
    </w:p>
    <w:p w:rsidR="004F09D5" w:rsidRPr="00A3436E" w:rsidRDefault="004F09D5" w:rsidP="004F09D5">
      <w:pPr>
        <w:widowControl w:val="0"/>
        <w:spacing w:before="120" w:after="120" w:line="240" w:lineRule="auto"/>
        <w:ind w:left="426" w:hanging="142"/>
        <w:jc w:val="center"/>
        <w:rPr>
          <w:rFonts w:ascii="Times New Roman" w:eastAsia="Times New Roman" w:hAnsi="Times New Roman" w:cs="Times New Roman"/>
          <w:b/>
          <w:bCs/>
        </w:rPr>
      </w:pPr>
      <w:r w:rsidRPr="00A3436E">
        <w:rPr>
          <w:rFonts w:ascii="Times New Roman" w:eastAsia="Times New Roman" w:hAnsi="Times New Roman" w:cs="Times New Roman"/>
          <w:b/>
          <w:bCs/>
        </w:rPr>
        <w:t>TANTÁRGYI PROGRAM</w:t>
      </w:r>
    </w:p>
    <w:p w:rsidR="004F09D5" w:rsidRPr="00A3436E" w:rsidRDefault="004F09D5" w:rsidP="00980876">
      <w:pPr>
        <w:widowControl w:val="0"/>
        <w:numPr>
          <w:ilvl w:val="0"/>
          <w:numId w:val="325"/>
        </w:numPr>
        <w:tabs>
          <w:tab w:val="num" w:pos="567"/>
        </w:tabs>
        <w:spacing w:before="120" w:after="120" w:line="240" w:lineRule="auto"/>
        <w:ind w:left="426" w:hanging="142"/>
        <w:jc w:val="both"/>
        <w:rPr>
          <w:rFonts w:ascii="Times New Roman" w:eastAsia="Times New Roman" w:hAnsi="Times New Roman" w:cs="Times New Roman"/>
          <w:bCs/>
        </w:rPr>
      </w:pPr>
      <w:r w:rsidRPr="00A3436E">
        <w:rPr>
          <w:rFonts w:ascii="Times New Roman" w:eastAsia="Times New Roman" w:hAnsi="Times New Roman" w:cs="Times New Roman"/>
          <w:b/>
          <w:bCs/>
        </w:rPr>
        <w:t xml:space="preserve">A tantárgy kódja: </w:t>
      </w:r>
      <w:r w:rsidRPr="00A3436E">
        <w:rPr>
          <w:rFonts w:ascii="Times New Roman" w:eastAsia="Times New Roman" w:hAnsi="Times New Roman" w:cs="Times New Roman"/>
          <w:bCs/>
        </w:rPr>
        <w:t>HKHDTA08</w:t>
      </w:r>
    </w:p>
    <w:p w:rsidR="004F09D5" w:rsidRPr="00A3436E" w:rsidRDefault="004F09D5" w:rsidP="00980876">
      <w:pPr>
        <w:widowControl w:val="0"/>
        <w:numPr>
          <w:ilvl w:val="0"/>
          <w:numId w:val="325"/>
        </w:numPr>
        <w:tabs>
          <w:tab w:val="num" w:pos="567"/>
        </w:tabs>
        <w:spacing w:before="120" w:after="120" w:line="240" w:lineRule="auto"/>
        <w:ind w:left="426" w:hanging="142"/>
        <w:jc w:val="both"/>
        <w:rPr>
          <w:rFonts w:ascii="Times New Roman" w:eastAsia="Times New Roman" w:hAnsi="Times New Roman" w:cs="Times New Roman"/>
          <w:b/>
          <w:bCs/>
          <w:lang w:val="en-GB"/>
        </w:rPr>
      </w:pPr>
      <w:r w:rsidRPr="00A3436E">
        <w:rPr>
          <w:rFonts w:ascii="Times New Roman" w:eastAsia="Times New Roman" w:hAnsi="Times New Roman" w:cs="Times New Roman"/>
          <w:b/>
          <w:bCs/>
        </w:rPr>
        <w:t>A tantárgy megnevezése (magyarul):</w:t>
      </w:r>
      <w:r w:rsidRPr="00A3436E">
        <w:rPr>
          <w:rFonts w:ascii="Times New Roman" w:eastAsia="Times New Roman" w:hAnsi="Times New Roman" w:cs="Times New Roman"/>
          <w:bCs/>
        </w:rPr>
        <w:t xml:space="preserve"> Gépelemek I</w:t>
      </w:r>
      <w:r w:rsidR="0058157C">
        <w:rPr>
          <w:rFonts w:ascii="Times New Roman" w:eastAsia="Times New Roman" w:hAnsi="Times New Roman" w:cs="Times New Roman"/>
          <w:bCs/>
        </w:rPr>
        <w:t>.</w:t>
      </w:r>
    </w:p>
    <w:p w:rsidR="004F09D5" w:rsidRPr="00A3436E" w:rsidRDefault="004F09D5" w:rsidP="00980876">
      <w:pPr>
        <w:widowControl w:val="0"/>
        <w:numPr>
          <w:ilvl w:val="0"/>
          <w:numId w:val="325"/>
        </w:numPr>
        <w:tabs>
          <w:tab w:val="num" w:pos="567"/>
        </w:tabs>
        <w:spacing w:before="120" w:after="120" w:line="240" w:lineRule="auto"/>
        <w:ind w:left="426" w:hanging="142"/>
        <w:jc w:val="both"/>
        <w:rPr>
          <w:rFonts w:ascii="Times New Roman" w:eastAsia="Times New Roman" w:hAnsi="Times New Roman" w:cs="Times New Roman"/>
          <w:b/>
          <w:bCs/>
          <w:lang w:val="en-GB"/>
        </w:rPr>
      </w:pPr>
      <w:r w:rsidRPr="00A3436E">
        <w:rPr>
          <w:rFonts w:ascii="Times New Roman" w:eastAsia="Times New Roman" w:hAnsi="Times New Roman" w:cs="Times New Roman"/>
          <w:b/>
          <w:bCs/>
        </w:rPr>
        <w:t xml:space="preserve">A tantárgy megnevezése (angolul): </w:t>
      </w:r>
      <w:r w:rsidRPr="00A3436E">
        <w:rPr>
          <w:rFonts w:ascii="Times New Roman" w:eastAsia="Times New Roman" w:hAnsi="Times New Roman" w:cs="Times New Roman"/>
          <w:bCs/>
          <w:lang w:val="en-GB"/>
        </w:rPr>
        <w:t>Machinery element</w:t>
      </w:r>
      <w:r w:rsidRPr="00A3436E">
        <w:rPr>
          <w:rFonts w:ascii="Times New Roman" w:eastAsia="Times New Roman" w:hAnsi="Times New Roman" w:cs="Times New Roman"/>
          <w:bCs/>
        </w:rPr>
        <w:t xml:space="preserve"> I</w:t>
      </w:r>
      <w:r w:rsidR="0058157C">
        <w:rPr>
          <w:rFonts w:ascii="Times New Roman" w:eastAsia="Times New Roman" w:hAnsi="Times New Roman" w:cs="Times New Roman"/>
          <w:bCs/>
        </w:rPr>
        <w:t>.</w:t>
      </w:r>
    </w:p>
    <w:p w:rsidR="004F09D5" w:rsidRPr="00A3436E" w:rsidRDefault="004F09D5" w:rsidP="00980876">
      <w:pPr>
        <w:widowControl w:val="0"/>
        <w:numPr>
          <w:ilvl w:val="0"/>
          <w:numId w:val="325"/>
        </w:numPr>
        <w:tabs>
          <w:tab w:val="num" w:pos="567"/>
        </w:tabs>
        <w:spacing w:before="120" w:after="120" w:line="240" w:lineRule="auto"/>
        <w:ind w:left="426" w:hanging="142"/>
        <w:jc w:val="both"/>
        <w:rPr>
          <w:rFonts w:ascii="Times New Roman" w:eastAsia="Times New Roman" w:hAnsi="Times New Roman" w:cs="Times New Roman"/>
          <w:b/>
          <w:bCs/>
        </w:rPr>
      </w:pPr>
      <w:r w:rsidRPr="00A3436E">
        <w:rPr>
          <w:rFonts w:ascii="Times New Roman" w:eastAsia="Times New Roman" w:hAnsi="Times New Roman" w:cs="Times New Roman"/>
          <w:b/>
          <w:bCs/>
        </w:rPr>
        <w:t xml:space="preserve">Kreditérték és képzési karakter: </w:t>
      </w:r>
    </w:p>
    <w:p w:rsidR="004F09D5" w:rsidRPr="00A3436E" w:rsidRDefault="004F09D5" w:rsidP="00980876">
      <w:pPr>
        <w:pStyle w:val="Listaszerbekezds"/>
        <w:widowControl w:val="0"/>
        <w:numPr>
          <w:ilvl w:val="1"/>
          <w:numId w:val="325"/>
        </w:numPr>
        <w:tabs>
          <w:tab w:val="clear" w:pos="3977"/>
        </w:tabs>
        <w:spacing w:before="120" w:after="120" w:line="240" w:lineRule="auto"/>
        <w:ind w:left="993" w:hanging="426"/>
        <w:jc w:val="both"/>
        <w:rPr>
          <w:rFonts w:ascii="Times New Roman" w:eastAsia="Times New Roman" w:hAnsi="Times New Roman" w:cs="Times New Roman"/>
          <w:b/>
          <w:bCs/>
        </w:rPr>
      </w:pPr>
      <w:r w:rsidRPr="00A3436E">
        <w:rPr>
          <w:rFonts w:ascii="Times New Roman" w:eastAsia="Times New Roman" w:hAnsi="Times New Roman" w:cs="Times New Roman"/>
          <w:bCs/>
        </w:rPr>
        <w:t xml:space="preserve"> kredit 3</w:t>
      </w:r>
    </w:p>
    <w:p w:rsidR="004F09D5" w:rsidRPr="00A3436E" w:rsidRDefault="004F09D5" w:rsidP="00980876">
      <w:pPr>
        <w:pStyle w:val="Listaszerbekezds"/>
        <w:widowControl w:val="0"/>
        <w:numPr>
          <w:ilvl w:val="1"/>
          <w:numId w:val="325"/>
        </w:numPr>
        <w:tabs>
          <w:tab w:val="clear" w:pos="3977"/>
        </w:tabs>
        <w:spacing w:before="120" w:after="120" w:line="240" w:lineRule="auto"/>
        <w:ind w:left="993" w:hanging="426"/>
        <w:jc w:val="both"/>
        <w:rPr>
          <w:rFonts w:ascii="Times New Roman" w:eastAsia="Times New Roman" w:hAnsi="Times New Roman" w:cs="Times New Roman"/>
          <w:b/>
          <w:bCs/>
        </w:rPr>
      </w:pPr>
      <w:r w:rsidRPr="00A3436E">
        <w:rPr>
          <w:rFonts w:ascii="Times New Roman" w:eastAsia="Times New Roman" w:hAnsi="Times New Roman" w:cs="Times New Roman"/>
          <w:bCs/>
        </w:rPr>
        <w:t>a tantárgy elméleti vagy gyakorlati jellegének mértéke: 33</w:t>
      </w:r>
      <w:r w:rsidRPr="00A3436E">
        <w:rPr>
          <w:rFonts w:ascii="Times New Roman" w:eastAsia="Times New Roman" w:hAnsi="Times New Roman" w:cs="Times New Roman"/>
          <w:b/>
          <w:bCs/>
        </w:rPr>
        <w:t xml:space="preserve"> </w:t>
      </w:r>
      <w:r w:rsidRPr="00A3436E">
        <w:rPr>
          <w:rFonts w:ascii="Times New Roman" w:eastAsia="Times New Roman" w:hAnsi="Times New Roman" w:cs="Times New Roman"/>
          <w:bCs/>
        </w:rPr>
        <w:t>% gyakorlat, 66 % elmélet</w:t>
      </w:r>
    </w:p>
    <w:p w:rsidR="004F09D5" w:rsidRPr="00A3436E" w:rsidRDefault="004F09D5" w:rsidP="00980876">
      <w:pPr>
        <w:widowControl w:val="0"/>
        <w:numPr>
          <w:ilvl w:val="0"/>
          <w:numId w:val="325"/>
        </w:numPr>
        <w:spacing w:before="120" w:after="120" w:line="240" w:lineRule="auto"/>
        <w:ind w:left="426" w:hanging="142"/>
        <w:jc w:val="both"/>
        <w:rPr>
          <w:rFonts w:ascii="Times New Roman" w:eastAsia="Times New Roman" w:hAnsi="Times New Roman" w:cs="Times New Roman"/>
          <w:bCs/>
        </w:rPr>
      </w:pPr>
      <w:r w:rsidRPr="00A3436E">
        <w:rPr>
          <w:rFonts w:ascii="Times New Roman" w:eastAsia="Times New Roman" w:hAnsi="Times New Roman" w:cs="Times New Roman"/>
          <w:b/>
          <w:bCs/>
        </w:rPr>
        <w:t>A szak(ok), szakirányok/specializációk megnevezése (ahol oktatják):</w:t>
      </w:r>
      <w:r w:rsidRPr="00A3436E">
        <w:rPr>
          <w:rFonts w:ascii="Times New Roman" w:eastAsia="Times New Roman" w:hAnsi="Times New Roman" w:cs="Times New Roman"/>
          <w:bCs/>
        </w:rPr>
        <w:t xml:space="preserve"> katonai logisztika alapszak, haditechnikai specialaizáció</w:t>
      </w:r>
    </w:p>
    <w:p w:rsidR="004F09D5" w:rsidRPr="00A3436E" w:rsidRDefault="004F09D5" w:rsidP="00980876">
      <w:pPr>
        <w:widowControl w:val="0"/>
        <w:numPr>
          <w:ilvl w:val="0"/>
          <w:numId w:val="325"/>
        </w:numPr>
        <w:tabs>
          <w:tab w:val="num" w:pos="567"/>
        </w:tabs>
        <w:spacing w:before="120" w:after="120" w:line="240" w:lineRule="auto"/>
        <w:ind w:left="426" w:hanging="142"/>
        <w:jc w:val="both"/>
        <w:rPr>
          <w:rFonts w:ascii="Times New Roman" w:eastAsia="Times New Roman" w:hAnsi="Times New Roman" w:cs="Times New Roman"/>
          <w:bCs/>
        </w:rPr>
      </w:pPr>
      <w:r w:rsidRPr="00A3436E">
        <w:rPr>
          <w:rFonts w:ascii="Times New Roman" w:eastAsia="Times New Roman" w:hAnsi="Times New Roman" w:cs="Times New Roman"/>
          <w:b/>
          <w:bCs/>
        </w:rPr>
        <w:t xml:space="preserve">Az oktatásért felelős oktatási szervezeti egység megnevezése: </w:t>
      </w:r>
      <w:r w:rsidRPr="00A3436E">
        <w:rPr>
          <w:rFonts w:ascii="Times New Roman" w:eastAsia="Times New Roman" w:hAnsi="Times New Roman" w:cs="Times New Roman"/>
          <w:bCs/>
        </w:rPr>
        <w:t>Haditechnikai tanszék</w:t>
      </w:r>
    </w:p>
    <w:p w:rsidR="004F09D5" w:rsidRPr="00A3436E" w:rsidRDefault="004F09D5" w:rsidP="00980876">
      <w:pPr>
        <w:widowControl w:val="0"/>
        <w:numPr>
          <w:ilvl w:val="0"/>
          <w:numId w:val="325"/>
        </w:numPr>
        <w:tabs>
          <w:tab w:val="num" w:pos="567"/>
        </w:tabs>
        <w:spacing w:before="120" w:after="120" w:line="240" w:lineRule="auto"/>
        <w:ind w:left="426" w:hanging="142"/>
        <w:jc w:val="both"/>
        <w:rPr>
          <w:rFonts w:ascii="Times New Roman" w:eastAsia="Times New Roman" w:hAnsi="Times New Roman" w:cs="Times New Roman"/>
          <w:bCs/>
        </w:rPr>
      </w:pPr>
      <w:r w:rsidRPr="00A3436E">
        <w:rPr>
          <w:rFonts w:ascii="Times New Roman" w:eastAsia="Times New Roman" w:hAnsi="Times New Roman" w:cs="Times New Roman"/>
          <w:b/>
          <w:bCs/>
        </w:rPr>
        <w:t>A tantárgyfelelős oktató neve, beosztása, tudományos fokozata:</w:t>
      </w:r>
      <w:r w:rsidRPr="00A3436E">
        <w:rPr>
          <w:rFonts w:ascii="Times New Roman" w:eastAsia="Times New Roman" w:hAnsi="Times New Roman" w:cs="Times New Roman"/>
          <w:bCs/>
        </w:rPr>
        <w:t xml:space="preserve"> Dr. Gyarmati József </w:t>
      </w:r>
      <w:r w:rsidR="004A4C51">
        <w:rPr>
          <w:rFonts w:ascii="Times New Roman" w:eastAsia="Times New Roman" w:hAnsi="Times New Roman" w:cs="Times New Roman"/>
          <w:bCs/>
        </w:rPr>
        <w:t xml:space="preserve">tanszékvezető, </w:t>
      </w:r>
      <w:r w:rsidRPr="00A3436E">
        <w:rPr>
          <w:rFonts w:ascii="Times New Roman" w:eastAsia="Times New Roman" w:hAnsi="Times New Roman" w:cs="Times New Roman"/>
          <w:bCs/>
        </w:rPr>
        <w:t>egyetemi docens</w:t>
      </w:r>
      <w:r w:rsidR="004A4C51">
        <w:rPr>
          <w:rFonts w:ascii="Times New Roman" w:eastAsia="Times New Roman" w:hAnsi="Times New Roman" w:cs="Times New Roman"/>
          <w:bCs/>
        </w:rPr>
        <w:t>, PhD.</w:t>
      </w:r>
    </w:p>
    <w:p w:rsidR="004F09D5" w:rsidRPr="00A3436E" w:rsidRDefault="004F09D5" w:rsidP="00980876">
      <w:pPr>
        <w:widowControl w:val="0"/>
        <w:numPr>
          <w:ilvl w:val="0"/>
          <w:numId w:val="325"/>
        </w:numPr>
        <w:spacing w:before="120" w:after="120" w:line="240" w:lineRule="auto"/>
        <w:ind w:left="426" w:hanging="142"/>
        <w:jc w:val="both"/>
        <w:rPr>
          <w:rFonts w:ascii="Times New Roman" w:eastAsia="Times New Roman" w:hAnsi="Times New Roman" w:cs="Times New Roman"/>
          <w:bCs/>
        </w:rPr>
      </w:pPr>
      <w:r w:rsidRPr="00A3436E">
        <w:rPr>
          <w:rFonts w:ascii="Times New Roman" w:eastAsia="Times New Roman" w:hAnsi="Times New Roman" w:cs="Times New Roman"/>
          <w:b/>
          <w:bCs/>
        </w:rPr>
        <w:t>A tanórák száma és típusa</w:t>
      </w:r>
    </w:p>
    <w:p w:rsidR="004F09D5" w:rsidRPr="00A3436E" w:rsidRDefault="004F09D5" w:rsidP="00980876">
      <w:pPr>
        <w:widowControl w:val="0"/>
        <w:numPr>
          <w:ilvl w:val="1"/>
          <w:numId w:val="325"/>
        </w:numPr>
        <w:tabs>
          <w:tab w:val="clear" w:pos="3977"/>
          <w:tab w:val="num" w:pos="709"/>
          <w:tab w:val="num" w:pos="2069"/>
        </w:tabs>
        <w:spacing w:before="120" w:after="120" w:line="240" w:lineRule="auto"/>
        <w:ind w:left="851" w:hanging="425"/>
        <w:jc w:val="both"/>
        <w:rPr>
          <w:rFonts w:ascii="Times New Roman" w:eastAsia="Times New Roman" w:hAnsi="Times New Roman" w:cs="Times New Roman"/>
          <w:bCs/>
        </w:rPr>
      </w:pPr>
      <w:r w:rsidRPr="00A3436E">
        <w:rPr>
          <w:rFonts w:ascii="Times New Roman" w:eastAsia="Times New Roman" w:hAnsi="Times New Roman" w:cs="Times New Roman"/>
          <w:bCs/>
        </w:rPr>
        <w:t>össz óraszám/félév: 42</w:t>
      </w:r>
    </w:p>
    <w:p w:rsidR="004F09D5" w:rsidRPr="00A3436E" w:rsidRDefault="004F09D5" w:rsidP="00980876">
      <w:pPr>
        <w:widowControl w:val="0"/>
        <w:numPr>
          <w:ilvl w:val="2"/>
          <w:numId w:val="325"/>
        </w:numPr>
        <w:tabs>
          <w:tab w:val="num" w:pos="709"/>
          <w:tab w:val="num" w:pos="1134"/>
        </w:tabs>
        <w:spacing w:before="120" w:after="120" w:line="240" w:lineRule="auto"/>
        <w:ind w:left="993" w:hanging="425"/>
        <w:jc w:val="both"/>
        <w:rPr>
          <w:rFonts w:ascii="Times New Roman" w:eastAsia="Times New Roman" w:hAnsi="Times New Roman" w:cs="Times New Roman"/>
          <w:bCs/>
        </w:rPr>
      </w:pPr>
      <w:r w:rsidRPr="00A3436E">
        <w:rPr>
          <w:rFonts w:ascii="Times New Roman" w:eastAsia="Times New Roman" w:hAnsi="Times New Roman" w:cs="Times New Roman"/>
          <w:bCs/>
        </w:rPr>
        <w:t>nappali munkarend: 42 ( 28 EA +  SZ + 14 GY)</w:t>
      </w:r>
    </w:p>
    <w:p w:rsidR="004F09D5" w:rsidRPr="00A3436E" w:rsidRDefault="004F09D5" w:rsidP="00980876">
      <w:pPr>
        <w:widowControl w:val="0"/>
        <w:numPr>
          <w:ilvl w:val="2"/>
          <w:numId w:val="325"/>
        </w:numPr>
        <w:tabs>
          <w:tab w:val="num" w:pos="709"/>
          <w:tab w:val="num" w:pos="1134"/>
        </w:tabs>
        <w:spacing w:before="120" w:after="120" w:line="240" w:lineRule="auto"/>
        <w:ind w:left="993" w:hanging="425"/>
        <w:jc w:val="both"/>
        <w:rPr>
          <w:rFonts w:ascii="Times New Roman" w:eastAsia="Times New Roman" w:hAnsi="Times New Roman" w:cs="Times New Roman"/>
          <w:bCs/>
        </w:rPr>
      </w:pPr>
      <w:r w:rsidRPr="00A3436E">
        <w:rPr>
          <w:rFonts w:ascii="Times New Roman" w:eastAsia="Times New Roman" w:hAnsi="Times New Roman" w:cs="Times New Roman"/>
          <w:bCs/>
        </w:rPr>
        <w:t>levelező munkarend: 12 (8 EA +  SZ + 4 GY)</w:t>
      </w:r>
    </w:p>
    <w:p w:rsidR="004F09D5" w:rsidRPr="00A3436E" w:rsidRDefault="004F09D5" w:rsidP="00980876">
      <w:pPr>
        <w:widowControl w:val="0"/>
        <w:numPr>
          <w:ilvl w:val="1"/>
          <w:numId w:val="325"/>
        </w:numPr>
        <w:tabs>
          <w:tab w:val="clear" w:pos="3977"/>
          <w:tab w:val="num" w:pos="709"/>
          <w:tab w:val="num" w:pos="2069"/>
        </w:tabs>
        <w:spacing w:before="120" w:after="120" w:line="240" w:lineRule="auto"/>
        <w:ind w:left="851" w:hanging="425"/>
        <w:jc w:val="both"/>
        <w:rPr>
          <w:rFonts w:ascii="Times New Roman" w:eastAsia="Times New Roman" w:hAnsi="Times New Roman" w:cs="Times New Roman"/>
          <w:bCs/>
        </w:rPr>
      </w:pPr>
      <w:r w:rsidRPr="00A3436E">
        <w:rPr>
          <w:rFonts w:ascii="Times New Roman" w:eastAsia="Times New Roman" w:hAnsi="Times New Roman" w:cs="Times New Roman"/>
          <w:bCs/>
        </w:rPr>
        <w:t>heti óraszám - nappali munkarend: 3</w:t>
      </w:r>
      <w:r w:rsidR="007B0C66">
        <w:rPr>
          <w:rFonts w:ascii="Times New Roman" w:eastAsia="Times New Roman" w:hAnsi="Times New Roman" w:cs="Times New Roman"/>
          <w:bCs/>
        </w:rPr>
        <w:t xml:space="preserve"> (2+1)</w:t>
      </w:r>
    </w:p>
    <w:p w:rsidR="004F09D5" w:rsidRPr="00A3436E" w:rsidRDefault="004F09D5" w:rsidP="00980876">
      <w:pPr>
        <w:widowControl w:val="0"/>
        <w:numPr>
          <w:ilvl w:val="1"/>
          <w:numId w:val="325"/>
        </w:numPr>
        <w:tabs>
          <w:tab w:val="clear" w:pos="3977"/>
          <w:tab w:val="num" w:pos="709"/>
          <w:tab w:val="num" w:pos="2069"/>
        </w:tabs>
        <w:spacing w:before="120" w:after="120" w:line="240" w:lineRule="auto"/>
        <w:ind w:left="851" w:hanging="425"/>
        <w:jc w:val="both"/>
        <w:rPr>
          <w:rFonts w:ascii="Times New Roman" w:eastAsia="Times New Roman" w:hAnsi="Times New Roman" w:cs="Times New Roman"/>
          <w:bCs/>
        </w:rPr>
      </w:pPr>
      <w:r w:rsidRPr="00A3436E">
        <w:rPr>
          <w:rFonts w:ascii="Times New Roman" w:hAnsi="Times New Roman" w:cs="Times New Roman"/>
        </w:rPr>
        <w:t>Az ismeret átadásában alkalmazandó további sajátos módok, jellemzők: -</w:t>
      </w:r>
    </w:p>
    <w:p w:rsidR="004F09D5" w:rsidRPr="00A3436E" w:rsidRDefault="004F09D5" w:rsidP="00980876">
      <w:pPr>
        <w:widowControl w:val="0"/>
        <w:numPr>
          <w:ilvl w:val="0"/>
          <w:numId w:val="325"/>
        </w:numPr>
        <w:spacing w:before="120" w:after="120" w:line="240" w:lineRule="auto"/>
        <w:ind w:left="426" w:hanging="142"/>
        <w:jc w:val="both"/>
        <w:rPr>
          <w:rFonts w:ascii="Times New Roman" w:eastAsia="Times New Roman" w:hAnsi="Times New Roman" w:cs="Times New Roman"/>
          <w:bCs/>
        </w:rPr>
      </w:pPr>
      <w:r w:rsidRPr="00A3436E">
        <w:rPr>
          <w:rFonts w:ascii="Times New Roman" w:eastAsia="Times New Roman" w:hAnsi="Times New Roman" w:cs="Times New Roman"/>
          <w:b/>
          <w:bCs/>
        </w:rPr>
        <w:t>A tantárgy szakmai tartalma (magyarul):</w:t>
      </w:r>
      <w:r w:rsidRPr="00A3436E">
        <w:rPr>
          <w:rFonts w:ascii="Times New Roman" w:eastAsia="Times New Roman" w:hAnsi="Times New Roman" w:cs="Times New Roman"/>
          <w:bCs/>
        </w:rPr>
        <w:t xml:space="preserve"> A méretezés szilárdságtani alapjai. Kötések (odható, roncsolással oldható). Rugalmas kötések (fém és gumirugók). Tengelyek. Gördülőcsapágyak. A nevezett gépelemek szerkezeti kialakítása, beépítése méretezése.</w:t>
      </w:r>
    </w:p>
    <w:p w:rsidR="004F09D5" w:rsidRPr="00A3436E" w:rsidRDefault="004F09D5" w:rsidP="004F09D5">
      <w:pPr>
        <w:widowControl w:val="0"/>
        <w:spacing w:before="120" w:after="120" w:line="240" w:lineRule="auto"/>
        <w:ind w:left="426"/>
        <w:jc w:val="both"/>
        <w:rPr>
          <w:rFonts w:ascii="Times New Roman" w:eastAsia="Times New Roman" w:hAnsi="Times New Roman" w:cs="Times New Roman"/>
          <w:bCs/>
          <w:lang w:val="en-GB"/>
        </w:rPr>
      </w:pPr>
      <w:r w:rsidRPr="00A3436E">
        <w:rPr>
          <w:rFonts w:ascii="Times New Roman" w:eastAsia="Times New Roman" w:hAnsi="Times New Roman" w:cs="Times New Roman"/>
          <w:b/>
          <w:bCs/>
        </w:rPr>
        <w:t>A tantárgy szakmai tartalma (angolul) (</w:t>
      </w:r>
      <w:r w:rsidRPr="00A3436E">
        <w:rPr>
          <w:rFonts w:ascii="Times New Roman" w:eastAsia="Times New Roman" w:hAnsi="Times New Roman" w:cs="Times New Roman"/>
          <w:b/>
          <w:bCs/>
          <w:lang w:val="en-US"/>
        </w:rPr>
        <w:t>Course description</w:t>
      </w:r>
      <w:r w:rsidRPr="00A3436E">
        <w:rPr>
          <w:rFonts w:ascii="Times New Roman" w:eastAsia="Times New Roman" w:hAnsi="Times New Roman" w:cs="Times New Roman"/>
          <w:b/>
          <w:bCs/>
        </w:rPr>
        <w:t xml:space="preserve">): </w:t>
      </w:r>
      <w:r w:rsidRPr="00A3436E">
        <w:rPr>
          <w:rStyle w:val="tlid-translation"/>
          <w:rFonts w:ascii="Times New Roman" w:hAnsi="Times New Roman" w:cs="Times New Roman"/>
          <w:lang w:val="en-GB"/>
        </w:rPr>
        <w:t xml:space="preserve">The basics of machine element design. Fasteners, connections, and power screws. Springs. Tanks. Bearings. </w:t>
      </w:r>
      <w:r w:rsidRPr="00A3436E">
        <w:rPr>
          <w:rStyle w:val="tlid-translation"/>
          <w:rFonts w:ascii="Times New Roman" w:hAnsi="Times New Roman" w:cs="Times New Roman"/>
          <w:lang w:val="en"/>
        </w:rPr>
        <w:t>Structural design and dimensioning of the aforementioned machine elements</w:t>
      </w:r>
    </w:p>
    <w:p w:rsidR="004F09D5" w:rsidRPr="00A3436E" w:rsidRDefault="004F09D5" w:rsidP="00980876">
      <w:pPr>
        <w:pStyle w:val="Listaszerbekezds"/>
        <w:widowControl w:val="0"/>
        <w:numPr>
          <w:ilvl w:val="0"/>
          <w:numId w:val="325"/>
        </w:numPr>
        <w:spacing w:before="120" w:after="120" w:line="240" w:lineRule="auto"/>
        <w:jc w:val="both"/>
        <w:rPr>
          <w:rFonts w:ascii="Times New Roman" w:eastAsia="Times New Roman" w:hAnsi="Times New Roman" w:cs="Times New Roman"/>
          <w:bCs/>
        </w:rPr>
      </w:pPr>
      <w:r w:rsidRPr="00A3436E">
        <w:rPr>
          <w:rFonts w:ascii="Times New Roman" w:eastAsia="Times New Roman" w:hAnsi="Times New Roman" w:cs="Times New Roman"/>
          <w:b/>
          <w:bCs/>
        </w:rPr>
        <w:t xml:space="preserve">Elérendő kompetenciák (magyarul): </w:t>
      </w:r>
    </w:p>
    <w:p w:rsidR="004F09D5" w:rsidRPr="00A3436E" w:rsidRDefault="004F09D5" w:rsidP="004F09D5">
      <w:pPr>
        <w:widowControl w:val="0"/>
        <w:spacing w:before="120" w:after="120" w:line="240" w:lineRule="auto"/>
        <w:ind w:left="426"/>
        <w:jc w:val="both"/>
        <w:rPr>
          <w:rFonts w:ascii="Times New Roman" w:eastAsia="Times New Roman" w:hAnsi="Times New Roman" w:cs="Times New Roman"/>
          <w:bCs/>
        </w:rPr>
      </w:pPr>
      <w:r w:rsidRPr="00A3436E">
        <w:rPr>
          <w:rFonts w:ascii="Times New Roman" w:eastAsia="Times New Roman" w:hAnsi="Times New Roman" w:cs="Times New Roman"/>
          <w:b/>
          <w:bCs/>
        </w:rPr>
        <w:t>Tudása:</w:t>
      </w:r>
      <w:r w:rsidRPr="00A3436E">
        <w:rPr>
          <w:rFonts w:ascii="Times New Roman" w:eastAsia="Times New Roman" w:hAnsi="Times New Roman" w:cs="Times New Roman"/>
          <w:bCs/>
        </w:rPr>
        <w:t xml:space="preserve"> </w:t>
      </w:r>
    </w:p>
    <w:p w:rsidR="004F09D5" w:rsidRPr="00A3436E" w:rsidRDefault="004F09D5" w:rsidP="004F09D5">
      <w:pPr>
        <w:widowControl w:val="0"/>
        <w:spacing w:before="120" w:after="120" w:line="240" w:lineRule="auto"/>
        <w:ind w:left="426"/>
        <w:jc w:val="both"/>
        <w:rPr>
          <w:rFonts w:ascii="Times New Roman" w:eastAsia="Times New Roman" w:hAnsi="Times New Roman" w:cs="Times New Roman"/>
          <w:bCs/>
        </w:rPr>
      </w:pPr>
      <w:r w:rsidRPr="00A3436E">
        <w:rPr>
          <w:rFonts w:ascii="Times New Roman" w:eastAsia="Times New Roman" w:hAnsi="Times New Roman" w:cs="Times New Roman"/>
          <w:bCs/>
        </w:rPr>
        <w:t>- Ismeri az alapvető gépelemeket azok fajtáit és igénybevételét.</w:t>
      </w:r>
    </w:p>
    <w:p w:rsidR="004F09D5" w:rsidRPr="00A3436E" w:rsidRDefault="004F09D5" w:rsidP="004F09D5">
      <w:pPr>
        <w:widowControl w:val="0"/>
        <w:spacing w:before="120" w:after="120" w:line="240" w:lineRule="auto"/>
        <w:ind w:left="426"/>
        <w:jc w:val="both"/>
        <w:rPr>
          <w:rFonts w:ascii="Times New Roman" w:eastAsia="Times New Roman" w:hAnsi="Times New Roman" w:cs="Times New Roman"/>
          <w:bCs/>
        </w:rPr>
      </w:pPr>
      <w:r w:rsidRPr="00A3436E">
        <w:rPr>
          <w:rFonts w:ascii="Times New Roman" w:eastAsia="Times New Roman" w:hAnsi="Times New Roman" w:cs="Times New Roman"/>
          <w:b/>
          <w:bCs/>
        </w:rPr>
        <w:t>Képességei:</w:t>
      </w:r>
      <w:r w:rsidRPr="00A3436E">
        <w:rPr>
          <w:rFonts w:ascii="Times New Roman" w:eastAsia="Times New Roman" w:hAnsi="Times New Roman" w:cs="Times New Roman"/>
          <w:bCs/>
        </w:rPr>
        <w:t xml:space="preserve"> </w:t>
      </w:r>
    </w:p>
    <w:p w:rsidR="004F09D5" w:rsidRPr="00A3436E" w:rsidRDefault="004F09D5" w:rsidP="004F09D5">
      <w:pPr>
        <w:widowControl w:val="0"/>
        <w:spacing w:before="120" w:after="120" w:line="240" w:lineRule="auto"/>
        <w:ind w:left="426"/>
        <w:jc w:val="both"/>
        <w:rPr>
          <w:rFonts w:ascii="Times New Roman" w:eastAsia="Times New Roman" w:hAnsi="Times New Roman" w:cs="Times New Roman"/>
          <w:bCs/>
        </w:rPr>
      </w:pPr>
      <w:r w:rsidRPr="00A3436E">
        <w:rPr>
          <w:rFonts w:ascii="Times New Roman" w:eastAsia="Times New Roman" w:hAnsi="Times New Roman" w:cs="Times New Roman"/>
          <w:bCs/>
        </w:rPr>
        <w:t xml:space="preserve">- </w:t>
      </w:r>
      <w:r w:rsidRPr="00A3436E">
        <w:rPr>
          <w:rFonts w:ascii="Times New Roman" w:hAnsi="Times New Roman" w:cs="Times New Roman"/>
        </w:rPr>
        <w:t>Képes a szakmai terminológia magyarul és idegen nyelven történő alkalmazására.</w:t>
      </w:r>
    </w:p>
    <w:p w:rsidR="004F09D5" w:rsidRPr="00A3436E" w:rsidRDefault="004F09D5" w:rsidP="004F09D5">
      <w:pPr>
        <w:widowControl w:val="0"/>
        <w:spacing w:before="120" w:after="120" w:line="240" w:lineRule="auto"/>
        <w:ind w:left="426"/>
        <w:jc w:val="both"/>
        <w:rPr>
          <w:rFonts w:ascii="Times New Roman" w:eastAsia="Times New Roman" w:hAnsi="Times New Roman" w:cs="Times New Roman"/>
          <w:bCs/>
        </w:rPr>
      </w:pPr>
      <w:r w:rsidRPr="00A3436E">
        <w:rPr>
          <w:rFonts w:ascii="Times New Roman" w:eastAsia="Times New Roman" w:hAnsi="Times New Roman" w:cs="Times New Roman"/>
          <w:b/>
          <w:bCs/>
        </w:rPr>
        <w:t>Attitűdje:</w:t>
      </w:r>
      <w:r w:rsidRPr="00A3436E">
        <w:rPr>
          <w:rFonts w:ascii="Times New Roman" w:eastAsia="Times New Roman" w:hAnsi="Times New Roman" w:cs="Times New Roman"/>
          <w:bCs/>
        </w:rPr>
        <w:t xml:space="preserve"> </w:t>
      </w:r>
    </w:p>
    <w:p w:rsidR="004F09D5" w:rsidRPr="00A3436E" w:rsidRDefault="004F09D5" w:rsidP="004F09D5">
      <w:pPr>
        <w:widowControl w:val="0"/>
        <w:spacing w:before="120" w:after="120" w:line="240" w:lineRule="auto"/>
        <w:ind w:left="426"/>
        <w:jc w:val="both"/>
        <w:rPr>
          <w:rFonts w:ascii="Times New Roman" w:eastAsia="Times New Roman" w:hAnsi="Times New Roman" w:cs="Times New Roman"/>
          <w:bCs/>
        </w:rPr>
      </w:pPr>
      <w:r w:rsidRPr="00A3436E">
        <w:rPr>
          <w:rFonts w:ascii="Times New Roman" w:eastAsia="Times New Roman" w:hAnsi="Times New Roman" w:cs="Times New Roman"/>
          <w:bCs/>
        </w:rPr>
        <w:t xml:space="preserve">- </w:t>
      </w:r>
      <w:r w:rsidRPr="00A3436E">
        <w:rPr>
          <w:rFonts w:ascii="Times New Roman" w:hAnsi="Times New Roman" w:cs="Times New Roman"/>
        </w:rPr>
        <w:t>Nyitott szakterülete új eredményei, innovációi iránt, törekszik azok megismerésére, megértésére és alkalmazására, elkötelezett önmaga folyamatos képzésére</w:t>
      </w:r>
    </w:p>
    <w:p w:rsidR="004F09D5" w:rsidRPr="00A3436E" w:rsidRDefault="004F09D5" w:rsidP="004F09D5">
      <w:pPr>
        <w:widowControl w:val="0"/>
        <w:spacing w:before="120" w:after="120" w:line="240" w:lineRule="auto"/>
        <w:ind w:left="426"/>
        <w:jc w:val="both"/>
        <w:rPr>
          <w:rFonts w:ascii="Times New Roman" w:eastAsia="Times New Roman" w:hAnsi="Times New Roman" w:cs="Times New Roman"/>
          <w:bCs/>
        </w:rPr>
      </w:pPr>
      <w:r w:rsidRPr="00A3436E">
        <w:rPr>
          <w:rFonts w:ascii="Times New Roman" w:eastAsia="Times New Roman" w:hAnsi="Times New Roman" w:cs="Times New Roman"/>
          <w:b/>
          <w:bCs/>
        </w:rPr>
        <w:t>Autonómiája és felelőssége:</w:t>
      </w:r>
      <w:r w:rsidRPr="00A3436E">
        <w:rPr>
          <w:rFonts w:ascii="Times New Roman" w:eastAsia="Times New Roman" w:hAnsi="Times New Roman" w:cs="Times New Roman"/>
          <w:bCs/>
        </w:rPr>
        <w:t xml:space="preserve"> </w:t>
      </w:r>
    </w:p>
    <w:p w:rsidR="004F09D5" w:rsidRPr="00A3436E" w:rsidRDefault="004F09D5" w:rsidP="004F09D5">
      <w:pPr>
        <w:widowControl w:val="0"/>
        <w:spacing w:before="120" w:after="120" w:line="240" w:lineRule="auto"/>
        <w:ind w:left="426"/>
        <w:jc w:val="both"/>
        <w:rPr>
          <w:rFonts w:ascii="Times New Roman" w:eastAsia="Times New Roman" w:hAnsi="Times New Roman" w:cs="Times New Roman"/>
          <w:bCs/>
        </w:rPr>
      </w:pPr>
      <w:r w:rsidRPr="00A3436E">
        <w:rPr>
          <w:rFonts w:ascii="Times New Roman" w:eastAsia="Times New Roman" w:hAnsi="Times New Roman" w:cs="Times New Roman"/>
          <w:bCs/>
        </w:rPr>
        <w:t xml:space="preserve">- </w:t>
      </w:r>
      <w:r w:rsidRPr="00A3436E">
        <w:rPr>
          <w:rFonts w:ascii="Times New Roman" w:hAnsi="Times New Roman" w:cs="Times New Roman"/>
        </w:rPr>
        <w:t>Tisztában van döntéseinek, tevékenységének a műszaki eszközökre, illetve a gazdálkodási fegyelemre gyakorolt hatásaival, következményeivel.</w:t>
      </w:r>
    </w:p>
    <w:p w:rsidR="004F09D5" w:rsidRPr="00A3436E" w:rsidRDefault="004F09D5" w:rsidP="004F09D5">
      <w:pPr>
        <w:widowControl w:val="0"/>
        <w:spacing w:before="120" w:after="120" w:line="240" w:lineRule="auto"/>
        <w:ind w:left="426"/>
        <w:jc w:val="both"/>
        <w:rPr>
          <w:rFonts w:ascii="Times New Roman" w:eastAsia="Times New Roman" w:hAnsi="Times New Roman" w:cs="Times New Roman"/>
          <w:b/>
          <w:bCs/>
          <w:lang w:val="en-US"/>
        </w:rPr>
      </w:pPr>
      <w:r w:rsidRPr="00A3436E">
        <w:rPr>
          <w:rFonts w:ascii="Times New Roman" w:eastAsia="Times New Roman" w:hAnsi="Times New Roman" w:cs="Times New Roman"/>
          <w:b/>
          <w:bCs/>
        </w:rPr>
        <w:t>Elérendő kompetenciák (angolul) (</w:t>
      </w:r>
      <w:r w:rsidRPr="00A3436E">
        <w:rPr>
          <w:rFonts w:ascii="Times New Roman" w:eastAsia="Times New Roman" w:hAnsi="Times New Roman" w:cs="Times New Roman"/>
          <w:b/>
          <w:bCs/>
          <w:lang w:val="en-US"/>
        </w:rPr>
        <w:t xml:space="preserve">Competences – English): </w:t>
      </w:r>
    </w:p>
    <w:p w:rsidR="004F09D5" w:rsidRPr="00A3436E" w:rsidRDefault="004F09D5" w:rsidP="004F09D5">
      <w:pPr>
        <w:widowControl w:val="0"/>
        <w:spacing w:before="120" w:after="120" w:line="240" w:lineRule="auto"/>
        <w:ind w:left="426"/>
        <w:jc w:val="both"/>
        <w:rPr>
          <w:rFonts w:ascii="Times New Roman" w:eastAsia="Times New Roman" w:hAnsi="Times New Roman" w:cs="Times New Roman"/>
          <w:lang w:val="en-GB"/>
        </w:rPr>
      </w:pPr>
      <w:r w:rsidRPr="00A3436E">
        <w:rPr>
          <w:rFonts w:ascii="Times New Roman" w:eastAsia="Times New Roman" w:hAnsi="Times New Roman" w:cs="Times New Roman"/>
          <w:b/>
          <w:lang w:val="en-GB"/>
        </w:rPr>
        <w:t>Knowledge</w:t>
      </w:r>
      <w:r w:rsidRPr="00A3436E">
        <w:rPr>
          <w:rFonts w:ascii="Times New Roman" w:eastAsia="Times New Roman" w:hAnsi="Times New Roman" w:cs="Times New Roman"/>
          <w:lang w:val="en-GB"/>
        </w:rPr>
        <w:t xml:space="preserve">: </w:t>
      </w:r>
    </w:p>
    <w:p w:rsidR="004F09D5" w:rsidRPr="00A3436E" w:rsidRDefault="004F09D5" w:rsidP="004F09D5">
      <w:pPr>
        <w:widowControl w:val="0"/>
        <w:spacing w:before="120" w:after="120" w:line="240" w:lineRule="auto"/>
        <w:ind w:left="426"/>
        <w:jc w:val="both"/>
        <w:rPr>
          <w:rFonts w:ascii="Times New Roman" w:eastAsia="Times New Roman" w:hAnsi="Times New Roman" w:cs="Times New Roman"/>
          <w:lang w:val="en-GB"/>
        </w:rPr>
      </w:pPr>
      <w:r w:rsidRPr="00A3436E">
        <w:rPr>
          <w:rFonts w:ascii="Times New Roman" w:eastAsia="Times New Roman" w:hAnsi="Times New Roman" w:cs="Times New Roman"/>
          <w:lang w:val="en-GB"/>
        </w:rPr>
        <w:t xml:space="preserve">- </w:t>
      </w:r>
      <w:r w:rsidRPr="00A3436E">
        <w:rPr>
          <w:rStyle w:val="tlid-translation"/>
          <w:rFonts w:ascii="Times New Roman" w:hAnsi="Times New Roman" w:cs="Times New Roman"/>
          <w:lang w:val="en-GB"/>
        </w:rPr>
        <w:t>Knows the basic machine elements and their types and uses.</w:t>
      </w:r>
    </w:p>
    <w:p w:rsidR="004F09D5" w:rsidRPr="00A3436E" w:rsidRDefault="004F09D5" w:rsidP="004F09D5">
      <w:pPr>
        <w:widowControl w:val="0"/>
        <w:spacing w:before="120" w:after="120" w:line="240" w:lineRule="auto"/>
        <w:ind w:left="426"/>
        <w:jc w:val="both"/>
        <w:rPr>
          <w:rFonts w:ascii="Times New Roman" w:eastAsia="Times New Roman" w:hAnsi="Times New Roman" w:cs="Times New Roman"/>
          <w:lang w:val="en-GB"/>
        </w:rPr>
      </w:pPr>
      <w:r w:rsidRPr="00A3436E">
        <w:rPr>
          <w:rFonts w:ascii="Times New Roman" w:eastAsia="Times New Roman" w:hAnsi="Times New Roman" w:cs="Times New Roman"/>
          <w:b/>
          <w:lang w:val="en-GB"/>
        </w:rPr>
        <w:lastRenderedPageBreak/>
        <w:t>Capabilities</w:t>
      </w:r>
      <w:r w:rsidRPr="00A3436E">
        <w:rPr>
          <w:rFonts w:ascii="Times New Roman" w:eastAsia="Times New Roman" w:hAnsi="Times New Roman" w:cs="Times New Roman"/>
          <w:lang w:val="en-GB"/>
        </w:rPr>
        <w:t xml:space="preserve">: </w:t>
      </w:r>
    </w:p>
    <w:p w:rsidR="004F09D5" w:rsidRPr="00A3436E" w:rsidRDefault="004F09D5" w:rsidP="004F09D5">
      <w:pPr>
        <w:widowControl w:val="0"/>
        <w:spacing w:before="120" w:after="120" w:line="240" w:lineRule="auto"/>
        <w:ind w:left="426"/>
        <w:jc w:val="both"/>
        <w:rPr>
          <w:rFonts w:ascii="Times New Roman" w:eastAsia="Times New Roman" w:hAnsi="Times New Roman" w:cs="Times New Roman"/>
          <w:lang w:val="en-GB"/>
        </w:rPr>
      </w:pPr>
      <w:r w:rsidRPr="00A3436E">
        <w:rPr>
          <w:rFonts w:ascii="Times New Roman" w:eastAsia="Times New Roman" w:hAnsi="Times New Roman" w:cs="Times New Roman"/>
          <w:lang w:val="en-GB"/>
        </w:rPr>
        <w:t>- I</w:t>
      </w:r>
      <w:r w:rsidRPr="00A3436E">
        <w:rPr>
          <w:rFonts w:ascii="Times New Roman" w:hAnsi="Times New Roman" w:cs="Times New Roman"/>
          <w:lang w:val="en-GB"/>
        </w:rPr>
        <w:t>s capable of using the professional terminology both in Hungarian and foreign languages</w:t>
      </w:r>
      <w:r w:rsidRPr="00A3436E">
        <w:rPr>
          <w:rFonts w:ascii="Times New Roman" w:eastAsia="Times New Roman" w:hAnsi="Times New Roman" w:cs="Times New Roman"/>
          <w:lang w:val="en-GB"/>
        </w:rPr>
        <w:t>.</w:t>
      </w:r>
    </w:p>
    <w:p w:rsidR="004F09D5" w:rsidRPr="00A3436E" w:rsidRDefault="004F09D5" w:rsidP="004F0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lang w:val="en-GB"/>
        </w:rPr>
      </w:pPr>
      <w:r w:rsidRPr="00A3436E">
        <w:rPr>
          <w:rFonts w:ascii="Times New Roman" w:eastAsia="Times New Roman" w:hAnsi="Times New Roman" w:cs="Times New Roman"/>
          <w:b/>
          <w:lang w:val="en-GB"/>
        </w:rPr>
        <w:t>Attitude:</w:t>
      </w:r>
      <w:r w:rsidRPr="00A3436E">
        <w:rPr>
          <w:rFonts w:ascii="Times New Roman" w:eastAsia="Times New Roman" w:hAnsi="Times New Roman" w:cs="Times New Roman"/>
          <w:lang w:val="en-GB"/>
        </w:rPr>
        <w:t xml:space="preserve"> </w:t>
      </w:r>
    </w:p>
    <w:p w:rsidR="004F09D5" w:rsidRPr="00A3436E" w:rsidRDefault="004F09D5" w:rsidP="004F0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lang w:val="en-GB"/>
        </w:rPr>
      </w:pPr>
      <w:r w:rsidRPr="00A3436E">
        <w:rPr>
          <w:rFonts w:ascii="Times New Roman" w:eastAsia="Times New Roman" w:hAnsi="Times New Roman" w:cs="Times New Roman"/>
          <w:lang w:val="en-GB"/>
        </w:rPr>
        <w:t xml:space="preserve">- </w:t>
      </w:r>
      <w:r w:rsidRPr="00A3436E">
        <w:rPr>
          <w:rFonts w:ascii="Times New Roman" w:hAnsi="Times New Roman" w:cs="Times New Roman"/>
          <w:lang w:val="en-GB"/>
        </w:rPr>
        <w:t>In his/her specialization he/she is open to the new achievements and innovations, strives to know, understand and apply them, and is committed to continuous self-education.</w:t>
      </w:r>
      <w:r w:rsidRPr="00A3436E">
        <w:rPr>
          <w:rFonts w:ascii="Times New Roman" w:eastAsia="Times New Roman" w:hAnsi="Times New Roman" w:cs="Times New Roman"/>
          <w:lang w:val="en-GB"/>
        </w:rPr>
        <w:t>.</w:t>
      </w:r>
    </w:p>
    <w:p w:rsidR="004F09D5" w:rsidRPr="00A3436E" w:rsidRDefault="004F09D5" w:rsidP="004F09D5">
      <w:pPr>
        <w:widowControl w:val="0"/>
        <w:spacing w:before="120" w:after="120" w:line="240" w:lineRule="auto"/>
        <w:ind w:left="426"/>
        <w:jc w:val="both"/>
        <w:rPr>
          <w:rFonts w:ascii="Times New Roman" w:eastAsia="Times New Roman" w:hAnsi="Times New Roman" w:cs="Times New Roman"/>
          <w:b/>
          <w:lang w:val="en-GB"/>
        </w:rPr>
      </w:pPr>
      <w:r w:rsidRPr="00A3436E">
        <w:rPr>
          <w:rFonts w:ascii="Times New Roman" w:eastAsia="Times New Roman" w:hAnsi="Times New Roman" w:cs="Times New Roman"/>
          <w:b/>
          <w:lang w:val="en-GB"/>
        </w:rPr>
        <w:t xml:space="preserve">Autonomy and responsibility: </w:t>
      </w:r>
    </w:p>
    <w:p w:rsidR="004F09D5" w:rsidRPr="00A3436E" w:rsidRDefault="004F09D5" w:rsidP="004F09D5">
      <w:pPr>
        <w:widowControl w:val="0"/>
        <w:spacing w:before="120" w:after="120" w:line="240" w:lineRule="auto"/>
        <w:ind w:left="426"/>
        <w:jc w:val="both"/>
        <w:rPr>
          <w:rFonts w:ascii="Times New Roman" w:eastAsia="Times New Roman" w:hAnsi="Times New Roman" w:cs="Times New Roman"/>
          <w:lang w:val="en-GB"/>
        </w:rPr>
      </w:pPr>
      <w:r w:rsidRPr="00A3436E">
        <w:rPr>
          <w:rFonts w:ascii="Times New Roman" w:eastAsia="Times New Roman" w:hAnsi="Times New Roman" w:cs="Times New Roman"/>
          <w:b/>
          <w:lang w:val="en-GB"/>
        </w:rPr>
        <w:t xml:space="preserve">- </w:t>
      </w:r>
      <w:r w:rsidRPr="00A3436E">
        <w:rPr>
          <w:rFonts w:ascii="Times New Roman" w:hAnsi="Times New Roman" w:cs="Times New Roman"/>
          <w:lang w:val="en-GB"/>
        </w:rPr>
        <w:t>He/She is aware of the impact of his/her decisions and activities on technical equipment and business discipline</w:t>
      </w:r>
      <w:r w:rsidRPr="00A3436E">
        <w:rPr>
          <w:rFonts w:ascii="Times New Roman" w:eastAsia="Times New Roman" w:hAnsi="Times New Roman" w:cs="Times New Roman"/>
          <w:lang w:val="en-GB"/>
        </w:rPr>
        <w:t>.</w:t>
      </w:r>
    </w:p>
    <w:p w:rsidR="004F09D5" w:rsidRPr="00A3436E" w:rsidRDefault="004F09D5" w:rsidP="00980876">
      <w:pPr>
        <w:widowControl w:val="0"/>
        <w:numPr>
          <w:ilvl w:val="0"/>
          <w:numId w:val="325"/>
        </w:numPr>
        <w:tabs>
          <w:tab w:val="num" w:pos="567"/>
        </w:tabs>
        <w:spacing w:before="120" w:after="120" w:line="240" w:lineRule="auto"/>
        <w:ind w:left="426" w:hanging="142"/>
        <w:jc w:val="both"/>
        <w:rPr>
          <w:rFonts w:ascii="Times New Roman" w:eastAsia="Times New Roman" w:hAnsi="Times New Roman" w:cs="Times New Roman"/>
          <w:bCs/>
        </w:rPr>
      </w:pPr>
      <w:r w:rsidRPr="00A3436E">
        <w:rPr>
          <w:rFonts w:ascii="Times New Roman" w:eastAsia="Times New Roman" w:hAnsi="Times New Roman" w:cs="Times New Roman"/>
          <w:b/>
          <w:bCs/>
        </w:rPr>
        <w:t xml:space="preserve">Előtanulmányi követelmények: </w:t>
      </w:r>
      <w:r w:rsidRPr="00A3436E">
        <w:rPr>
          <w:rFonts w:ascii="Times New Roman" w:eastAsia="Times New Roman" w:hAnsi="Times New Roman" w:cs="Times New Roman"/>
          <w:bCs/>
        </w:rPr>
        <w:t xml:space="preserve"> </w:t>
      </w:r>
      <w:r w:rsidR="006603FB">
        <w:rPr>
          <w:rFonts w:ascii="Times New Roman" w:eastAsia="Times New Roman" w:hAnsi="Times New Roman" w:cs="Times New Roman"/>
          <w:bCs/>
        </w:rPr>
        <w:t>-</w:t>
      </w:r>
    </w:p>
    <w:p w:rsidR="004F09D5" w:rsidRPr="00A3436E" w:rsidRDefault="004F09D5" w:rsidP="00980876">
      <w:pPr>
        <w:widowControl w:val="0"/>
        <w:numPr>
          <w:ilvl w:val="0"/>
          <w:numId w:val="325"/>
        </w:numPr>
        <w:spacing w:before="120" w:after="120" w:line="240" w:lineRule="auto"/>
        <w:ind w:left="426" w:hanging="142"/>
        <w:jc w:val="both"/>
        <w:rPr>
          <w:rFonts w:ascii="Times New Roman" w:eastAsia="Times New Roman" w:hAnsi="Times New Roman" w:cs="Times New Roman"/>
          <w:b/>
          <w:bCs/>
        </w:rPr>
      </w:pPr>
      <w:r w:rsidRPr="00A3436E">
        <w:rPr>
          <w:rFonts w:ascii="Times New Roman" w:eastAsia="Times New Roman" w:hAnsi="Times New Roman" w:cs="Times New Roman"/>
          <w:b/>
          <w:bCs/>
        </w:rPr>
        <w:t>A tantárgy tananyagának leírása, tematika. Description of the subject, curriculum (magyarul, angolul - English):</w:t>
      </w:r>
    </w:p>
    <w:p w:rsidR="004F09D5" w:rsidRPr="00A3436E" w:rsidRDefault="004F09D5" w:rsidP="004F09D5">
      <w:pPr>
        <w:widowControl w:val="0"/>
        <w:tabs>
          <w:tab w:val="left" w:pos="993"/>
        </w:tabs>
        <w:spacing w:before="120" w:after="120" w:line="240" w:lineRule="auto"/>
        <w:ind w:left="426"/>
        <w:jc w:val="both"/>
        <w:rPr>
          <w:rFonts w:ascii="Times New Roman" w:eastAsia="Times New Roman" w:hAnsi="Times New Roman" w:cs="Times New Roman"/>
          <w:lang w:val="en-GB"/>
        </w:rPr>
      </w:pPr>
      <w:r w:rsidRPr="00A3436E">
        <w:rPr>
          <w:rFonts w:ascii="Times New Roman" w:eastAsia="Times New Roman" w:hAnsi="Times New Roman" w:cs="Times New Roman"/>
          <w:b/>
        </w:rPr>
        <w:t>12.1-12.2</w:t>
      </w:r>
      <w:r w:rsidRPr="00A3436E">
        <w:rPr>
          <w:rFonts w:ascii="Times New Roman" w:eastAsia="Times New Roman" w:hAnsi="Times New Roman" w:cs="Times New Roman"/>
        </w:rPr>
        <w:t xml:space="preserve"> Méretezés alapjai. Statikus igénybevétel, dinamikus igénybevétel, kifáradás, alakváltozás. </w:t>
      </w:r>
      <w:r w:rsidRPr="00A3436E">
        <w:rPr>
          <w:rFonts w:ascii="Times New Roman" w:eastAsia="Times New Roman" w:hAnsi="Times New Roman" w:cs="Times New Roman"/>
          <w:i/>
        </w:rPr>
        <w:t>(</w:t>
      </w:r>
      <w:r w:rsidRPr="00A3436E">
        <w:rPr>
          <w:rFonts w:ascii="Times New Roman" w:eastAsia="Times New Roman" w:hAnsi="Times New Roman" w:cs="Times New Roman"/>
          <w:i/>
          <w:lang w:val="en-GB"/>
        </w:rPr>
        <w:t xml:space="preserve">Basic of machine element design. </w:t>
      </w:r>
      <w:r w:rsidRPr="00A3436E">
        <w:rPr>
          <w:rStyle w:val="tlid-translation"/>
          <w:rFonts w:ascii="Times New Roman" w:hAnsi="Times New Roman" w:cs="Times New Roman"/>
          <w:i/>
          <w:lang w:val="en"/>
        </w:rPr>
        <w:t>Static strain, dynamic strain, fatigue, strain</w:t>
      </w:r>
      <w:r w:rsidRPr="00A3436E">
        <w:rPr>
          <w:rFonts w:ascii="Times New Roman" w:eastAsia="Times New Roman" w:hAnsi="Times New Roman" w:cs="Times New Roman"/>
          <w:i/>
          <w:lang w:val="en-GB"/>
        </w:rPr>
        <w:t>)</w:t>
      </w:r>
    </w:p>
    <w:p w:rsidR="004F09D5" w:rsidRPr="00A3436E" w:rsidRDefault="004F09D5" w:rsidP="004F09D5">
      <w:pPr>
        <w:widowControl w:val="0"/>
        <w:tabs>
          <w:tab w:val="left" w:pos="993"/>
        </w:tabs>
        <w:spacing w:before="120" w:after="120" w:line="240" w:lineRule="auto"/>
        <w:ind w:left="426"/>
        <w:jc w:val="both"/>
        <w:rPr>
          <w:rFonts w:ascii="Times New Roman" w:eastAsia="Times New Roman" w:hAnsi="Times New Roman" w:cs="Times New Roman"/>
          <w:i/>
          <w:lang w:val="en-GB"/>
        </w:rPr>
      </w:pPr>
      <w:r w:rsidRPr="00A3436E">
        <w:rPr>
          <w:rFonts w:ascii="Times New Roman" w:eastAsia="Times New Roman" w:hAnsi="Times New Roman" w:cs="Times New Roman"/>
          <w:b/>
          <w:lang w:val="en-GB"/>
        </w:rPr>
        <w:t>12.3.-12.4</w:t>
      </w:r>
      <w:r w:rsidRPr="00A3436E">
        <w:rPr>
          <w:rFonts w:ascii="Times New Roman" w:eastAsia="Times New Roman" w:hAnsi="Times New Roman" w:cs="Times New Roman"/>
          <w:lang w:val="en-GB"/>
        </w:rPr>
        <w:t xml:space="preserve"> </w:t>
      </w:r>
      <w:r w:rsidRPr="00A3436E">
        <w:rPr>
          <w:rFonts w:ascii="Times New Roman" w:eastAsia="Times New Roman" w:hAnsi="Times New Roman" w:cs="Times New Roman"/>
        </w:rPr>
        <w:t>Nem oldható kötések. Ragasztott kötések, forrasztott kötések, szegecselt kötések, hegesztések. A kötés kialakítása szilárdsági méretezése.</w:t>
      </w:r>
      <w:r w:rsidRPr="00A3436E">
        <w:rPr>
          <w:rFonts w:ascii="Times New Roman" w:eastAsia="Times New Roman" w:hAnsi="Times New Roman" w:cs="Times New Roman"/>
          <w:lang w:val="en-GB"/>
        </w:rPr>
        <w:t xml:space="preserve"> </w:t>
      </w:r>
      <w:r w:rsidRPr="00A3436E">
        <w:rPr>
          <w:rFonts w:ascii="Times New Roman" w:eastAsia="Times New Roman" w:hAnsi="Times New Roman" w:cs="Times New Roman"/>
          <w:i/>
          <w:lang w:val="en-GB"/>
        </w:rPr>
        <w:t xml:space="preserve">(Fasteners and connections, </w:t>
      </w:r>
      <w:r w:rsidRPr="00A3436E">
        <w:rPr>
          <w:rStyle w:val="tlid-translation"/>
          <w:rFonts w:ascii="Times New Roman" w:hAnsi="Times New Roman" w:cs="Times New Roman"/>
          <w:i/>
          <w:lang w:val="en"/>
        </w:rPr>
        <w:t xml:space="preserve">Bonded joints, soldered joints, riveted joints, welds. </w:t>
      </w:r>
      <w:r w:rsidRPr="00A3436E">
        <w:rPr>
          <w:rStyle w:val="tlid-translation"/>
          <w:rFonts w:ascii="Times New Roman" w:hAnsi="Times New Roman" w:cs="Times New Roman"/>
          <w:lang w:val="en"/>
        </w:rPr>
        <w:t>Strength dimensioning of the bond design.</w:t>
      </w:r>
      <w:r w:rsidRPr="00A3436E">
        <w:rPr>
          <w:rFonts w:ascii="Times New Roman" w:eastAsia="Times New Roman" w:hAnsi="Times New Roman" w:cs="Times New Roman"/>
          <w:i/>
          <w:lang w:val="en-GB"/>
        </w:rPr>
        <w:t>)</w:t>
      </w:r>
    </w:p>
    <w:p w:rsidR="004F09D5" w:rsidRPr="00A3436E" w:rsidRDefault="004F09D5" w:rsidP="004F09D5">
      <w:pPr>
        <w:widowControl w:val="0"/>
        <w:tabs>
          <w:tab w:val="left" w:pos="993"/>
        </w:tabs>
        <w:spacing w:before="120" w:after="120" w:line="240" w:lineRule="auto"/>
        <w:ind w:left="426"/>
        <w:jc w:val="both"/>
        <w:rPr>
          <w:rFonts w:ascii="Times New Roman" w:eastAsia="Times New Roman" w:hAnsi="Times New Roman" w:cs="Times New Roman"/>
          <w:i/>
        </w:rPr>
      </w:pPr>
      <w:r w:rsidRPr="00A3436E">
        <w:rPr>
          <w:rFonts w:ascii="Times New Roman" w:eastAsia="Times New Roman" w:hAnsi="Times New Roman" w:cs="Times New Roman"/>
          <w:b/>
          <w:lang w:val="en-GB"/>
        </w:rPr>
        <w:t>12.5-12.8</w:t>
      </w:r>
      <w:r w:rsidRPr="00A3436E">
        <w:rPr>
          <w:rFonts w:ascii="Times New Roman" w:eastAsia="Times New Roman" w:hAnsi="Times New Roman" w:cs="Times New Roman"/>
          <w:lang w:val="en-GB"/>
        </w:rPr>
        <w:t xml:space="preserve"> </w:t>
      </w:r>
      <w:r w:rsidRPr="00A3436E">
        <w:rPr>
          <w:rFonts w:ascii="Times New Roman" w:eastAsia="Times New Roman" w:hAnsi="Times New Roman" w:cs="Times New Roman"/>
        </w:rPr>
        <w:t>Csavarkötések. Menetemelkedés, önzárás, meghúzáshoz szükséges nyomaték. Csavarméretezés (húzás-nyomás, hajlítás, nyírás, összetett igénybevétel, kihajlás). Csavarkötések szerkezeti kialakítása. Menettípusok, csavaranyák, csavarfejkialakítások. (C</w:t>
      </w:r>
      <w:r w:rsidRPr="00A3436E">
        <w:rPr>
          <w:rStyle w:val="tlid-translation"/>
          <w:rFonts w:ascii="Times New Roman" w:hAnsi="Times New Roman" w:cs="Times New Roman"/>
          <w:i/>
          <w:lang w:val="en"/>
        </w:rPr>
        <w:t>rew connections. Thread pitch, self-locking, tightening torque. Screw dimensioning (tension-pressure, bending, shearing, composite stress, bending). Structural design of screw connections. Thread types, nuts, screw head designs.)</w:t>
      </w:r>
    </w:p>
    <w:p w:rsidR="004F09D5" w:rsidRPr="00A3436E" w:rsidRDefault="004F09D5" w:rsidP="004F09D5">
      <w:pPr>
        <w:ind w:left="426"/>
        <w:jc w:val="both"/>
        <w:rPr>
          <w:rFonts w:ascii="Times New Roman" w:eastAsia="Times New Roman" w:hAnsi="Times New Roman" w:cs="Times New Roman"/>
          <w:i/>
          <w:lang w:val="en-GB"/>
        </w:rPr>
      </w:pPr>
      <w:r w:rsidRPr="00A3436E">
        <w:rPr>
          <w:rFonts w:ascii="Times New Roman" w:eastAsia="Times New Roman" w:hAnsi="Times New Roman" w:cs="Times New Roman"/>
          <w:b/>
          <w:lang w:val="en-GB"/>
        </w:rPr>
        <w:t>12.9</w:t>
      </w:r>
      <w:r w:rsidRPr="00A3436E">
        <w:rPr>
          <w:rFonts w:ascii="Times New Roman" w:eastAsia="Times New Roman" w:hAnsi="Times New Roman" w:cs="Times New Roman"/>
          <w:lang w:val="en-GB"/>
        </w:rPr>
        <w:t xml:space="preserve"> </w:t>
      </w:r>
      <w:r w:rsidRPr="00A3436E">
        <w:rPr>
          <w:rFonts w:ascii="Times New Roman" w:eastAsia="Times New Roman" w:hAnsi="Times New Roman" w:cs="Times New Roman"/>
        </w:rPr>
        <w:t>Rugók. Csavarrugók, laprugók, tányérrugók, torziós rugók. Beépítés. Méretezési elvek</w:t>
      </w:r>
      <w:r w:rsidRPr="00A3436E">
        <w:rPr>
          <w:rFonts w:ascii="Times New Roman" w:eastAsia="Times New Roman" w:hAnsi="Times New Roman" w:cs="Times New Roman"/>
          <w:lang w:val="en-GB"/>
        </w:rPr>
        <w:t xml:space="preserve">. </w:t>
      </w:r>
      <w:r w:rsidRPr="00A3436E">
        <w:rPr>
          <w:rFonts w:ascii="Times New Roman" w:eastAsia="Times New Roman" w:hAnsi="Times New Roman" w:cs="Times New Roman"/>
          <w:i/>
          <w:lang w:val="en-GB"/>
        </w:rPr>
        <w:t>(S</w:t>
      </w:r>
      <w:r w:rsidRPr="00A3436E">
        <w:rPr>
          <w:rFonts w:ascii="Times New Roman" w:eastAsia="Times New Roman" w:hAnsi="Times New Roman" w:cs="Times New Roman"/>
          <w:i/>
          <w:lang w:val="en" w:eastAsia="hu-HU"/>
        </w:rPr>
        <w:t>prings. Coil springs, leaf springs, plate springs, and torsion springs. Fitting. Design principles.)</w:t>
      </w:r>
      <w:r w:rsidRPr="00A3436E">
        <w:rPr>
          <w:rFonts w:ascii="Times New Roman" w:eastAsia="Times New Roman" w:hAnsi="Times New Roman" w:cs="Times New Roman"/>
          <w:i/>
          <w:lang w:val="en-GB"/>
        </w:rPr>
        <w:t>)</w:t>
      </w:r>
    </w:p>
    <w:p w:rsidR="004F09D5" w:rsidRPr="00A3436E" w:rsidRDefault="004F09D5" w:rsidP="004F09D5">
      <w:pPr>
        <w:widowControl w:val="0"/>
        <w:tabs>
          <w:tab w:val="left" w:pos="993"/>
        </w:tabs>
        <w:spacing w:before="120" w:after="120" w:line="240" w:lineRule="auto"/>
        <w:ind w:left="426"/>
        <w:jc w:val="both"/>
        <w:rPr>
          <w:rStyle w:val="tlid-translation"/>
          <w:rFonts w:ascii="Times New Roman" w:hAnsi="Times New Roman" w:cs="Times New Roman"/>
          <w:i/>
          <w:lang w:val="en"/>
        </w:rPr>
      </w:pPr>
      <w:r w:rsidRPr="00A3436E">
        <w:rPr>
          <w:rFonts w:ascii="Times New Roman" w:eastAsia="Times New Roman" w:hAnsi="Times New Roman" w:cs="Times New Roman"/>
          <w:b/>
          <w:lang w:val="en-GB"/>
        </w:rPr>
        <w:t xml:space="preserve">12.10. </w:t>
      </w:r>
      <w:r w:rsidRPr="00A3436E">
        <w:rPr>
          <w:rFonts w:ascii="Times New Roman" w:eastAsia="Times New Roman" w:hAnsi="Times New Roman" w:cs="Times New Roman"/>
        </w:rPr>
        <w:t>Tengelyek. Tengely méretezése, kialakításának szempontjai</w:t>
      </w:r>
      <w:r w:rsidRPr="00A3436E">
        <w:rPr>
          <w:rFonts w:ascii="Times New Roman" w:eastAsia="Times New Roman" w:hAnsi="Times New Roman" w:cs="Times New Roman"/>
          <w:lang w:val="en-GB"/>
        </w:rPr>
        <w:t xml:space="preserve">. </w:t>
      </w:r>
      <w:r w:rsidRPr="00A3436E">
        <w:rPr>
          <w:rFonts w:ascii="Times New Roman" w:eastAsia="Times New Roman" w:hAnsi="Times New Roman" w:cs="Times New Roman"/>
          <w:i/>
          <w:lang w:val="en-GB"/>
        </w:rPr>
        <w:t>(</w:t>
      </w:r>
      <w:r w:rsidRPr="00A3436E">
        <w:rPr>
          <w:rStyle w:val="tlid-translation"/>
          <w:rFonts w:ascii="Times New Roman" w:hAnsi="Times New Roman" w:cs="Times New Roman"/>
          <w:i/>
          <w:lang w:val="en"/>
        </w:rPr>
        <w:t>Shafts. Shaft dimensioning and design aspects.)</w:t>
      </w:r>
    </w:p>
    <w:p w:rsidR="004F09D5" w:rsidRPr="00A3436E" w:rsidRDefault="004F09D5" w:rsidP="004F09D5">
      <w:pPr>
        <w:widowControl w:val="0"/>
        <w:tabs>
          <w:tab w:val="left" w:pos="993"/>
        </w:tabs>
        <w:spacing w:before="120" w:after="120" w:line="240" w:lineRule="auto"/>
        <w:ind w:left="426"/>
        <w:jc w:val="both"/>
        <w:rPr>
          <w:rFonts w:ascii="Times New Roman" w:eastAsia="Times New Roman" w:hAnsi="Times New Roman" w:cs="Times New Roman"/>
        </w:rPr>
      </w:pPr>
      <w:r w:rsidRPr="00A3436E">
        <w:rPr>
          <w:rFonts w:ascii="Times New Roman" w:eastAsia="Times New Roman" w:hAnsi="Times New Roman" w:cs="Times New Roman"/>
          <w:b/>
          <w:lang w:val="en-GB"/>
        </w:rPr>
        <w:t xml:space="preserve">12.11. </w:t>
      </w:r>
      <w:r w:rsidRPr="00A3436E">
        <w:rPr>
          <w:rFonts w:ascii="Times New Roman" w:eastAsia="Times New Roman" w:hAnsi="Times New Roman" w:cs="Times New Roman"/>
        </w:rPr>
        <w:t>Tengelykötések. Alakzáró kötések (csavar, retesz, bordás). Erőzáró kötések (ék, szorító kötés kúpos elempár, szilárd illesztésű tengelykötés). A kötések szilárdsági méretezése. (</w:t>
      </w:r>
      <w:r w:rsidRPr="00A3436E">
        <w:rPr>
          <w:rStyle w:val="tlid-translation"/>
          <w:rFonts w:ascii="Times New Roman" w:hAnsi="Times New Roman" w:cs="Times New Roman"/>
          <w:i/>
          <w:lang w:val="en"/>
        </w:rPr>
        <w:t>Shaft connections. Shaped joints (screw, latch, ribbed). Force-tight joints (wedge, clamping conical pair, solid-fit shaft joint).</w:t>
      </w:r>
      <w:r w:rsidRPr="00A3436E">
        <w:rPr>
          <w:rStyle w:val="tlid-translation"/>
          <w:rFonts w:ascii="Times New Roman" w:hAnsi="Times New Roman" w:cs="Times New Roman"/>
          <w:lang w:val="en"/>
        </w:rPr>
        <w:t xml:space="preserve"> </w:t>
      </w:r>
      <w:r w:rsidRPr="00A3436E">
        <w:rPr>
          <w:rStyle w:val="tlid-translation"/>
          <w:rFonts w:ascii="Times New Roman" w:hAnsi="Times New Roman" w:cs="Times New Roman"/>
          <w:i/>
          <w:lang w:val="en"/>
        </w:rPr>
        <w:t>Dimensioning of joints strength.)</w:t>
      </w:r>
    </w:p>
    <w:p w:rsidR="004F09D5" w:rsidRPr="00A3436E" w:rsidRDefault="004F09D5" w:rsidP="004F09D5">
      <w:pPr>
        <w:widowControl w:val="0"/>
        <w:tabs>
          <w:tab w:val="left" w:pos="993"/>
        </w:tabs>
        <w:spacing w:before="120" w:after="120" w:line="240" w:lineRule="auto"/>
        <w:ind w:left="426"/>
        <w:jc w:val="both"/>
        <w:rPr>
          <w:rFonts w:ascii="Times New Roman" w:eastAsia="Times New Roman" w:hAnsi="Times New Roman" w:cs="Times New Roman"/>
          <w:b/>
        </w:rPr>
      </w:pPr>
      <w:r w:rsidRPr="00A3436E">
        <w:rPr>
          <w:rFonts w:ascii="Times New Roman" w:eastAsia="Times New Roman" w:hAnsi="Times New Roman" w:cs="Times New Roman"/>
          <w:b/>
        </w:rPr>
        <w:t>12.12-12.1</w:t>
      </w:r>
      <w:r w:rsidR="007B0C66">
        <w:rPr>
          <w:rFonts w:ascii="Times New Roman" w:eastAsia="Times New Roman" w:hAnsi="Times New Roman" w:cs="Times New Roman"/>
          <w:b/>
        </w:rPr>
        <w:t>4</w:t>
      </w:r>
      <w:r w:rsidRPr="00A3436E">
        <w:rPr>
          <w:rFonts w:ascii="Times New Roman" w:eastAsia="Times New Roman" w:hAnsi="Times New Roman" w:cs="Times New Roman"/>
          <w:b/>
        </w:rPr>
        <w:t xml:space="preserve"> </w:t>
      </w:r>
      <w:r w:rsidRPr="00A3436E">
        <w:rPr>
          <w:rFonts w:ascii="Times New Roman" w:eastAsia="Times New Roman" w:hAnsi="Times New Roman" w:cs="Times New Roman"/>
        </w:rPr>
        <w:t xml:space="preserve">Gördülőcsapágyak. Csapágytípusok, Csapágyazás tervezésének általános szempontjai. Csapágy élettartam számítása. Csapágy tömítés és kenés. Beépítés szempontjai (csapágyházak, vezető és támasztócsapágyazás). </w:t>
      </w:r>
      <w:r w:rsidRPr="00A3436E">
        <w:rPr>
          <w:rFonts w:ascii="Times New Roman" w:eastAsia="Times New Roman" w:hAnsi="Times New Roman" w:cs="Times New Roman"/>
          <w:i/>
        </w:rPr>
        <w:t>(</w:t>
      </w:r>
      <w:r w:rsidRPr="00A3436E">
        <w:rPr>
          <w:rFonts w:ascii="Times New Roman" w:eastAsia="Times New Roman" w:hAnsi="Times New Roman" w:cs="Times New Roman"/>
          <w:i/>
          <w:lang w:val="en-GB"/>
        </w:rPr>
        <w:t xml:space="preserve">Rolling element bearings, </w:t>
      </w:r>
      <w:r w:rsidRPr="00A3436E">
        <w:rPr>
          <w:rStyle w:val="tlid-translation"/>
          <w:rFonts w:ascii="Times New Roman" w:hAnsi="Times New Roman" w:cs="Times New Roman"/>
          <w:i/>
          <w:lang w:val="en"/>
        </w:rPr>
        <w:t>Bearing Types, General Aspects of Bearing Design. Calculation of bearing life. Bearing sealing and lubrication. Installation Considerations (Bearing Housings, Guide and Support Bearings).</w:t>
      </w:r>
      <w:r w:rsidRPr="00A3436E">
        <w:rPr>
          <w:rFonts w:ascii="Times New Roman" w:eastAsia="Times New Roman" w:hAnsi="Times New Roman" w:cs="Times New Roman"/>
          <w:i/>
          <w:lang w:val="en-GB"/>
        </w:rPr>
        <w:t>)</w:t>
      </w:r>
    </w:p>
    <w:p w:rsidR="004F09D5" w:rsidRPr="00A3436E" w:rsidRDefault="004F09D5" w:rsidP="00980876">
      <w:pPr>
        <w:widowControl w:val="0"/>
        <w:numPr>
          <w:ilvl w:val="0"/>
          <w:numId w:val="325"/>
        </w:numPr>
        <w:tabs>
          <w:tab w:val="num" w:pos="360"/>
        </w:tabs>
        <w:spacing w:before="120" w:after="120" w:line="240" w:lineRule="auto"/>
        <w:ind w:left="426" w:hanging="142"/>
        <w:jc w:val="both"/>
        <w:rPr>
          <w:rFonts w:ascii="Times New Roman" w:eastAsia="Times New Roman" w:hAnsi="Times New Roman" w:cs="Times New Roman"/>
          <w:bCs/>
        </w:rPr>
      </w:pPr>
      <w:r w:rsidRPr="00A3436E">
        <w:rPr>
          <w:rFonts w:ascii="Times New Roman" w:eastAsia="Times New Roman" w:hAnsi="Times New Roman" w:cs="Times New Roman"/>
          <w:b/>
          <w:bCs/>
        </w:rPr>
        <w:t>A tantárgy meghirdetésének gyakorisága/a tantervben történő félévi elhelyezkedése: 5</w:t>
      </w:r>
    </w:p>
    <w:p w:rsidR="004F09D5" w:rsidRPr="00A3436E" w:rsidRDefault="004F09D5" w:rsidP="00980876">
      <w:pPr>
        <w:widowControl w:val="0"/>
        <w:numPr>
          <w:ilvl w:val="0"/>
          <w:numId w:val="325"/>
        </w:numPr>
        <w:tabs>
          <w:tab w:val="num" w:pos="360"/>
        </w:tabs>
        <w:spacing w:before="120" w:after="120" w:line="240" w:lineRule="auto"/>
        <w:ind w:left="426" w:hanging="142"/>
        <w:jc w:val="both"/>
        <w:rPr>
          <w:rFonts w:ascii="Times New Roman" w:eastAsia="Times New Roman" w:hAnsi="Times New Roman" w:cs="Times New Roman"/>
          <w:bCs/>
          <w:highlight w:val="lightGray"/>
        </w:rPr>
      </w:pPr>
      <w:r w:rsidRPr="00A3436E">
        <w:rPr>
          <w:rFonts w:ascii="Times New Roman" w:eastAsia="Times New Roman" w:hAnsi="Times New Roman" w:cs="Times New Roman"/>
          <w:b/>
          <w:bCs/>
        </w:rPr>
        <w:t>A tanórákon való részvétel követelményei, az elfogadható hiányzások mértéke, a távolmaradás pótlásának lehetősége:</w:t>
      </w:r>
      <w:r w:rsidRPr="00A3436E">
        <w:rPr>
          <w:rFonts w:ascii="Times New Roman" w:eastAsia="Times New Roman" w:hAnsi="Times New Roman" w:cs="Times New Roman"/>
          <w:bCs/>
        </w:rPr>
        <w:t xml:space="preserve"> A tanórák legalább 60%-án köteles a hallgató részt venni. Amennyiben a hiányzások mértéke ezt meghaladja, akkor az aláírás megszerzéséhez a hiányzott összes órák anyagából a szorgalmi időszakban szóban be kell számolni.</w:t>
      </w:r>
    </w:p>
    <w:p w:rsidR="004F09D5" w:rsidRDefault="004F09D5" w:rsidP="00980876">
      <w:pPr>
        <w:widowControl w:val="0"/>
        <w:numPr>
          <w:ilvl w:val="0"/>
          <w:numId w:val="325"/>
        </w:numPr>
        <w:tabs>
          <w:tab w:val="num" w:pos="360"/>
        </w:tabs>
        <w:spacing w:before="120" w:after="120" w:line="240" w:lineRule="auto"/>
        <w:ind w:left="426" w:hanging="142"/>
        <w:jc w:val="both"/>
        <w:rPr>
          <w:rFonts w:ascii="Times New Roman" w:eastAsia="Times New Roman" w:hAnsi="Times New Roman" w:cs="Times New Roman"/>
          <w:bCs/>
          <w:highlight w:val="lightGray"/>
        </w:rPr>
      </w:pPr>
      <w:r w:rsidRPr="00A3436E">
        <w:rPr>
          <w:rFonts w:ascii="Times New Roman" w:eastAsia="Times New Roman" w:hAnsi="Times New Roman" w:cs="Times New Roman"/>
          <w:b/>
        </w:rPr>
        <w:t>Félévközi feladatok, ismeretek ellenőrzésének rendje:</w:t>
      </w:r>
      <w:r w:rsidRPr="00A3436E">
        <w:rPr>
          <w:rFonts w:ascii="Times New Roman" w:eastAsia="Times New Roman" w:hAnsi="Times New Roman" w:cs="Times New Roman"/>
          <w:bCs/>
        </w:rPr>
        <w:t xml:space="preserve"> </w:t>
      </w:r>
      <w:r w:rsidRPr="00A3436E">
        <w:rPr>
          <w:rFonts w:ascii="Times New Roman" w:eastAsia="Times New Roman" w:hAnsi="Times New Roman" w:cs="Times New Roman"/>
        </w:rPr>
        <w:t xml:space="preserve">A félév során egy zárthelyi dolgozatot kell írni a tantárgy teljes tartalmából. Az értékelés: </w:t>
      </w:r>
      <w:r w:rsidRPr="00A3436E">
        <w:rPr>
          <w:rFonts w:ascii="Times New Roman" w:eastAsia="Times New Roman" w:hAnsi="Times New Roman" w:cs="Times New Roman"/>
          <w:bCs/>
        </w:rPr>
        <w:t>60 %-tól elégséges, 70 %-tól közepes, 80-tól % jó, 90 %-tól jeles. Elégtelen zárthelyi dolgozat esetén a vizsgaidőszak első hetében van lehetőség a pótlásra. Ezt követően még két alkalommal van további pótlási lehetőség.</w:t>
      </w:r>
      <w:r w:rsidRPr="00A3436E">
        <w:rPr>
          <w:rFonts w:ascii="Times New Roman" w:eastAsia="Times New Roman" w:hAnsi="Times New Roman" w:cs="Times New Roman"/>
          <w:bCs/>
          <w:highlight w:val="lightGray"/>
        </w:rPr>
        <w:t xml:space="preserve"> </w:t>
      </w:r>
    </w:p>
    <w:p w:rsidR="006603FB" w:rsidRDefault="006603FB">
      <w:pPr>
        <w:spacing w:after="200" w:line="276" w:lineRule="auto"/>
        <w:rPr>
          <w:rFonts w:ascii="Times New Roman" w:eastAsia="Times New Roman" w:hAnsi="Times New Roman" w:cs="Times New Roman"/>
          <w:b/>
          <w:bCs/>
        </w:rPr>
      </w:pPr>
      <w:r>
        <w:rPr>
          <w:rFonts w:ascii="Times New Roman" w:eastAsia="Times New Roman" w:hAnsi="Times New Roman" w:cs="Times New Roman"/>
          <w:b/>
          <w:bCs/>
        </w:rPr>
        <w:br w:type="page"/>
      </w:r>
    </w:p>
    <w:p w:rsidR="004F09D5" w:rsidRPr="00A3436E" w:rsidRDefault="004F09D5" w:rsidP="00980876">
      <w:pPr>
        <w:widowControl w:val="0"/>
        <w:numPr>
          <w:ilvl w:val="0"/>
          <w:numId w:val="325"/>
        </w:numPr>
        <w:spacing w:before="120" w:after="120" w:line="240" w:lineRule="auto"/>
        <w:ind w:left="426" w:hanging="142"/>
        <w:jc w:val="both"/>
        <w:rPr>
          <w:rFonts w:ascii="Times New Roman" w:eastAsia="Times New Roman" w:hAnsi="Times New Roman" w:cs="Times New Roman"/>
          <w:b/>
          <w:bCs/>
        </w:rPr>
      </w:pPr>
      <w:r w:rsidRPr="00A3436E">
        <w:rPr>
          <w:rFonts w:ascii="Times New Roman" w:eastAsia="Times New Roman" w:hAnsi="Times New Roman" w:cs="Times New Roman"/>
          <w:b/>
          <w:bCs/>
        </w:rPr>
        <w:lastRenderedPageBreak/>
        <w:t xml:space="preserve">Az értékelés, az aláírás és a kreditek megszerzésének pontos feltételei: </w:t>
      </w:r>
    </w:p>
    <w:p w:rsidR="004F09D5" w:rsidRPr="00A3436E" w:rsidRDefault="004F09D5" w:rsidP="00980876">
      <w:pPr>
        <w:widowControl w:val="0"/>
        <w:numPr>
          <w:ilvl w:val="1"/>
          <w:numId w:val="325"/>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A3436E">
        <w:rPr>
          <w:rFonts w:ascii="Times New Roman" w:eastAsia="Times New Roman" w:hAnsi="Times New Roman" w:cs="Times New Roman"/>
          <w:b/>
        </w:rPr>
        <w:t>Az aláírás megszerzésének feltételei:</w:t>
      </w:r>
      <w:r w:rsidRPr="00A3436E">
        <w:rPr>
          <w:rFonts w:ascii="Times New Roman" w:eastAsia="Times New Roman" w:hAnsi="Times New Roman" w:cs="Times New Roman"/>
        </w:rPr>
        <w:t xml:space="preserve"> Az aláírás megszerzésének feltétele a 14. pontban meghatározott arányú részvétel a foglalkozásokon és a 15. pontban meghatározott félévközi feladat legalább elégséges szintű teljesítése.</w:t>
      </w:r>
    </w:p>
    <w:p w:rsidR="004F09D5" w:rsidRPr="00A3436E" w:rsidRDefault="004F09D5" w:rsidP="00980876">
      <w:pPr>
        <w:widowControl w:val="0"/>
        <w:numPr>
          <w:ilvl w:val="1"/>
          <w:numId w:val="325"/>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A3436E">
        <w:rPr>
          <w:rFonts w:ascii="Times New Roman" w:eastAsia="Times New Roman" w:hAnsi="Times New Roman" w:cs="Times New Roman"/>
          <w:b/>
        </w:rPr>
        <w:t>Az értékelés:</w:t>
      </w:r>
      <w:r w:rsidRPr="00A3436E">
        <w:rPr>
          <w:rFonts w:ascii="Times New Roman" w:eastAsia="Times New Roman" w:hAnsi="Times New Roman" w:cs="Times New Roman"/>
        </w:rPr>
        <w:t xml:space="preserve"> Szóbeli vizsgán történik</w:t>
      </w:r>
      <w:r w:rsidR="00A3436E" w:rsidRPr="00A3436E">
        <w:rPr>
          <w:rFonts w:ascii="Times New Roman" w:eastAsia="Times New Roman" w:hAnsi="Times New Roman" w:cs="Times New Roman"/>
        </w:rPr>
        <w:t xml:space="preserve"> ötfokozatú értékeléssel.</w:t>
      </w:r>
    </w:p>
    <w:p w:rsidR="004F09D5" w:rsidRPr="00A3436E" w:rsidRDefault="004F09D5" w:rsidP="00980876">
      <w:pPr>
        <w:widowControl w:val="0"/>
        <w:numPr>
          <w:ilvl w:val="1"/>
          <w:numId w:val="325"/>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A3436E">
        <w:rPr>
          <w:rFonts w:ascii="Times New Roman" w:eastAsia="Times New Roman" w:hAnsi="Times New Roman" w:cs="Times New Roman"/>
          <w:b/>
        </w:rPr>
        <w:t>A kreditek megszerzésének feltételei:</w:t>
      </w:r>
      <w:r w:rsidRPr="00A3436E">
        <w:rPr>
          <w:rFonts w:ascii="Times New Roman" w:eastAsia="Times New Roman" w:hAnsi="Times New Roman" w:cs="Times New Roman"/>
        </w:rPr>
        <w:t xml:space="preserve"> A kreditek megszerzésének feltétele az aláírás megszerzése és sikeres vizsga.</w:t>
      </w:r>
    </w:p>
    <w:p w:rsidR="004F09D5" w:rsidRPr="00A3436E" w:rsidRDefault="004F09D5" w:rsidP="00980876">
      <w:pPr>
        <w:widowControl w:val="0"/>
        <w:numPr>
          <w:ilvl w:val="0"/>
          <w:numId w:val="325"/>
        </w:numPr>
        <w:tabs>
          <w:tab w:val="num" w:pos="360"/>
        </w:tabs>
        <w:spacing w:before="120" w:after="120" w:line="240" w:lineRule="auto"/>
        <w:ind w:left="426" w:hanging="142"/>
        <w:jc w:val="both"/>
        <w:rPr>
          <w:rFonts w:ascii="Times New Roman" w:eastAsia="Times New Roman" w:hAnsi="Times New Roman" w:cs="Times New Roman"/>
          <w:bCs/>
        </w:rPr>
      </w:pPr>
      <w:r w:rsidRPr="00A3436E">
        <w:rPr>
          <w:rFonts w:ascii="Times New Roman" w:eastAsia="Times New Roman" w:hAnsi="Times New Roman" w:cs="Times New Roman"/>
          <w:b/>
          <w:bCs/>
        </w:rPr>
        <w:t>Irodalomjegyzék:</w:t>
      </w:r>
    </w:p>
    <w:p w:rsidR="004F09D5" w:rsidRPr="00A3436E" w:rsidRDefault="004F09D5" w:rsidP="00980876">
      <w:pPr>
        <w:widowControl w:val="0"/>
        <w:numPr>
          <w:ilvl w:val="1"/>
          <w:numId w:val="325"/>
        </w:numPr>
        <w:tabs>
          <w:tab w:val="clear" w:pos="3977"/>
          <w:tab w:val="left" w:pos="567"/>
          <w:tab w:val="left" w:pos="851"/>
          <w:tab w:val="num" w:pos="2069"/>
        </w:tabs>
        <w:spacing w:before="120" w:after="120" w:line="240" w:lineRule="auto"/>
        <w:ind w:left="426" w:hanging="142"/>
        <w:jc w:val="both"/>
        <w:rPr>
          <w:rFonts w:ascii="Times New Roman" w:eastAsia="Times New Roman" w:hAnsi="Times New Roman" w:cs="Times New Roman"/>
          <w:bCs/>
        </w:rPr>
      </w:pPr>
      <w:r w:rsidRPr="00A3436E">
        <w:rPr>
          <w:rFonts w:ascii="Times New Roman" w:eastAsia="Times New Roman" w:hAnsi="Times New Roman" w:cs="Times New Roman"/>
          <w:b/>
          <w:bCs/>
        </w:rPr>
        <w:t>Kötelező irodalom:</w:t>
      </w:r>
    </w:p>
    <w:p w:rsidR="004F09D5" w:rsidRPr="00A3436E" w:rsidRDefault="004F09D5" w:rsidP="00980876">
      <w:pPr>
        <w:numPr>
          <w:ilvl w:val="0"/>
          <w:numId w:val="324"/>
        </w:numPr>
        <w:tabs>
          <w:tab w:val="clear" w:pos="720"/>
        </w:tabs>
        <w:spacing w:after="0" w:line="240" w:lineRule="auto"/>
        <w:ind w:left="1134"/>
        <w:jc w:val="both"/>
        <w:rPr>
          <w:rFonts w:ascii="Times New Roman" w:hAnsi="Times New Roman" w:cs="Times New Roman"/>
        </w:rPr>
      </w:pPr>
      <w:r w:rsidRPr="00A3436E">
        <w:rPr>
          <w:rFonts w:ascii="Times New Roman" w:hAnsi="Times New Roman" w:cs="Times New Roman"/>
        </w:rPr>
        <w:t>Szendrő: Gépelemek. (Mezőgazda Kiadó, Budapest, 2008.) ISBN: 9789632863719</w:t>
      </w:r>
    </w:p>
    <w:p w:rsidR="004F09D5" w:rsidRPr="00A3436E" w:rsidRDefault="004F09D5" w:rsidP="00980876">
      <w:pPr>
        <w:numPr>
          <w:ilvl w:val="0"/>
          <w:numId w:val="324"/>
        </w:numPr>
        <w:tabs>
          <w:tab w:val="clear" w:pos="720"/>
        </w:tabs>
        <w:spacing w:after="0" w:line="240" w:lineRule="auto"/>
        <w:ind w:left="1134"/>
        <w:jc w:val="both"/>
        <w:rPr>
          <w:rFonts w:ascii="Times New Roman" w:hAnsi="Times New Roman" w:cs="Times New Roman"/>
        </w:rPr>
      </w:pPr>
      <w:r w:rsidRPr="00A3436E">
        <w:rPr>
          <w:rFonts w:ascii="Times New Roman" w:hAnsi="Times New Roman" w:cs="Times New Roman"/>
        </w:rPr>
        <w:t>Szabó István: A gépelemek alapjai. (Mezőgazda Kiadó, Budapest, 2006. ISBN: 9639460354</w:t>
      </w:r>
    </w:p>
    <w:p w:rsidR="004F09D5" w:rsidRPr="00A3436E" w:rsidRDefault="004F09D5" w:rsidP="00980876">
      <w:pPr>
        <w:numPr>
          <w:ilvl w:val="0"/>
          <w:numId w:val="324"/>
        </w:numPr>
        <w:tabs>
          <w:tab w:val="clear" w:pos="720"/>
        </w:tabs>
        <w:spacing w:after="0" w:line="240" w:lineRule="auto"/>
        <w:ind w:left="1134"/>
        <w:jc w:val="both"/>
        <w:rPr>
          <w:rFonts w:ascii="Times New Roman" w:eastAsia="Times New Roman" w:hAnsi="Times New Roman" w:cs="Times New Roman"/>
          <w:bCs/>
        </w:rPr>
      </w:pPr>
      <w:r w:rsidRPr="00A3436E">
        <w:rPr>
          <w:rFonts w:ascii="Times New Roman" w:hAnsi="Times New Roman" w:cs="Times New Roman"/>
        </w:rPr>
        <w:t>Szabó István: Gépelemek. (Mezőgazda Kiadó, Budapest, 2006.) ISBN: 9639460222</w:t>
      </w:r>
    </w:p>
    <w:p w:rsidR="004F09D5" w:rsidRPr="00A3436E" w:rsidRDefault="004F09D5" w:rsidP="00980876">
      <w:pPr>
        <w:widowControl w:val="0"/>
        <w:numPr>
          <w:ilvl w:val="1"/>
          <w:numId w:val="325"/>
        </w:numPr>
        <w:tabs>
          <w:tab w:val="clear" w:pos="3977"/>
          <w:tab w:val="num" w:pos="567"/>
          <w:tab w:val="num" w:pos="2069"/>
        </w:tabs>
        <w:spacing w:before="120" w:after="120" w:line="240" w:lineRule="auto"/>
        <w:ind w:left="993" w:hanging="709"/>
        <w:jc w:val="both"/>
        <w:rPr>
          <w:rFonts w:ascii="Times New Roman" w:eastAsia="Times New Roman" w:hAnsi="Times New Roman" w:cs="Times New Roman"/>
          <w:b/>
          <w:bCs/>
        </w:rPr>
      </w:pPr>
      <w:r w:rsidRPr="00A3436E">
        <w:rPr>
          <w:rFonts w:ascii="Times New Roman" w:eastAsia="Times New Roman" w:hAnsi="Times New Roman" w:cs="Times New Roman"/>
          <w:b/>
          <w:bCs/>
        </w:rPr>
        <w:t>Ajánlott irodalom:</w:t>
      </w:r>
    </w:p>
    <w:p w:rsidR="004F09D5" w:rsidRPr="00A3436E" w:rsidRDefault="004F09D5" w:rsidP="00980876">
      <w:pPr>
        <w:numPr>
          <w:ilvl w:val="0"/>
          <w:numId w:val="326"/>
        </w:numPr>
        <w:tabs>
          <w:tab w:val="clear" w:pos="720"/>
        </w:tabs>
        <w:spacing w:after="0" w:line="240" w:lineRule="auto"/>
        <w:ind w:left="1134"/>
        <w:jc w:val="both"/>
        <w:rPr>
          <w:rFonts w:ascii="Times New Roman" w:hAnsi="Times New Roman" w:cs="Times New Roman"/>
        </w:rPr>
      </w:pPr>
      <w:r w:rsidRPr="00A3436E">
        <w:rPr>
          <w:rFonts w:ascii="Times New Roman" w:hAnsi="Times New Roman" w:cs="Times New Roman"/>
        </w:rPr>
        <w:t>Dr. Zsári Árpád: Gépelemek II. (Nemzeti Tankönyvkiadó, Budapest, 2000.) ISBN: 9631911664</w:t>
      </w:r>
    </w:p>
    <w:p w:rsidR="004F09D5" w:rsidRPr="00A3436E" w:rsidRDefault="004F09D5" w:rsidP="00980876">
      <w:pPr>
        <w:numPr>
          <w:ilvl w:val="0"/>
          <w:numId w:val="326"/>
        </w:numPr>
        <w:tabs>
          <w:tab w:val="clear" w:pos="720"/>
        </w:tabs>
        <w:spacing w:after="0" w:line="240" w:lineRule="auto"/>
        <w:ind w:left="1134"/>
        <w:jc w:val="both"/>
        <w:rPr>
          <w:rFonts w:ascii="Times New Roman" w:hAnsi="Times New Roman" w:cs="Times New Roman"/>
        </w:rPr>
      </w:pPr>
      <w:r w:rsidRPr="00A3436E">
        <w:rPr>
          <w:rFonts w:ascii="Times New Roman" w:hAnsi="Times New Roman" w:cs="Times New Roman"/>
        </w:rPr>
        <w:t>Valasek István, Törös Mihályné: Tribológia. (Képzőművészeti kiadó, Budapest, 2007.) ISBN: 9789633370148</w:t>
      </w:r>
    </w:p>
    <w:p w:rsidR="004F09D5" w:rsidRPr="00A3436E" w:rsidRDefault="004F09D5" w:rsidP="00980876">
      <w:pPr>
        <w:numPr>
          <w:ilvl w:val="0"/>
          <w:numId w:val="326"/>
        </w:numPr>
        <w:tabs>
          <w:tab w:val="clear" w:pos="720"/>
        </w:tabs>
        <w:spacing w:after="0" w:line="240" w:lineRule="auto"/>
        <w:ind w:left="1134"/>
        <w:jc w:val="both"/>
        <w:rPr>
          <w:rFonts w:ascii="Times New Roman" w:hAnsi="Times New Roman" w:cs="Times New Roman"/>
        </w:rPr>
      </w:pPr>
      <w:r w:rsidRPr="00A3436E">
        <w:rPr>
          <w:rFonts w:ascii="Times New Roman" w:hAnsi="Times New Roman" w:cs="Times New Roman"/>
        </w:rPr>
        <w:t>Dr. Zsári Árpád: Gépelemek I. (Nemzeti Tankönyvkiadó, Budapest, 2003.) ISBN: 9631945855</w:t>
      </w:r>
    </w:p>
    <w:p w:rsidR="004F09D5" w:rsidRPr="00A3436E" w:rsidRDefault="004F09D5" w:rsidP="004F09D5">
      <w:pPr>
        <w:widowControl w:val="0"/>
        <w:spacing w:after="0" w:line="240" w:lineRule="auto"/>
        <w:ind w:left="3545"/>
        <w:jc w:val="both"/>
        <w:rPr>
          <w:rFonts w:ascii="Times New Roman" w:eastAsia="Times New Roman" w:hAnsi="Times New Roman" w:cs="Times New Roman"/>
          <w:highlight w:val="lightGray"/>
        </w:rPr>
      </w:pPr>
    </w:p>
    <w:p w:rsidR="004F09D5" w:rsidRPr="00A3436E" w:rsidRDefault="007B0C66" w:rsidP="004F09D5">
      <w:pPr>
        <w:widowControl w:val="0"/>
        <w:spacing w:before="120" w:after="120" w:line="240" w:lineRule="auto"/>
        <w:jc w:val="both"/>
        <w:rPr>
          <w:rFonts w:ascii="Times New Roman" w:eastAsia="Times New Roman" w:hAnsi="Times New Roman" w:cs="Times New Roman"/>
          <w:bCs/>
        </w:rPr>
      </w:pPr>
      <w:r>
        <w:rPr>
          <w:rFonts w:ascii="Times New Roman" w:eastAsia="Times New Roman" w:hAnsi="Times New Roman" w:cs="Times New Roman"/>
          <w:bCs/>
        </w:rPr>
        <w:t>Budapest, 2020 március        -n</w:t>
      </w:r>
    </w:p>
    <w:p w:rsidR="004F09D5" w:rsidRPr="00A3436E" w:rsidRDefault="004F09D5" w:rsidP="006B225A">
      <w:pPr>
        <w:widowControl w:val="0"/>
        <w:spacing w:before="120" w:after="120" w:line="240" w:lineRule="auto"/>
        <w:ind w:left="5529"/>
        <w:jc w:val="center"/>
        <w:rPr>
          <w:rFonts w:ascii="Times New Roman" w:eastAsia="Times New Roman" w:hAnsi="Times New Roman" w:cs="Times New Roman"/>
          <w:bCs/>
        </w:rPr>
      </w:pPr>
    </w:p>
    <w:p w:rsidR="00A3436E" w:rsidRPr="00A3436E" w:rsidRDefault="004F09D5" w:rsidP="006B225A">
      <w:pPr>
        <w:widowControl w:val="0"/>
        <w:spacing w:after="0" w:line="240" w:lineRule="auto"/>
        <w:ind w:left="5529"/>
        <w:jc w:val="center"/>
        <w:rPr>
          <w:rFonts w:ascii="Times New Roman" w:eastAsia="Times New Roman" w:hAnsi="Times New Roman" w:cs="Times New Roman"/>
          <w:b/>
          <w:bCs/>
        </w:rPr>
      </w:pPr>
      <w:r w:rsidRPr="00A3436E">
        <w:rPr>
          <w:rFonts w:ascii="Times New Roman" w:eastAsia="Times New Roman" w:hAnsi="Times New Roman" w:cs="Times New Roman"/>
          <w:b/>
          <w:bCs/>
        </w:rPr>
        <w:t xml:space="preserve">Dr. Gyarmati József </w:t>
      </w:r>
      <w:r w:rsidR="004A4C51">
        <w:rPr>
          <w:rFonts w:ascii="Times New Roman" w:eastAsia="Times New Roman" w:hAnsi="Times New Roman" w:cs="Times New Roman"/>
          <w:b/>
          <w:bCs/>
        </w:rPr>
        <w:t>alezredes, PhD</w:t>
      </w:r>
    </w:p>
    <w:p w:rsidR="004F09D5" w:rsidRPr="00A3436E" w:rsidRDefault="004F09D5" w:rsidP="006B225A">
      <w:pPr>
        <w:widowControl w:val="0"/>
        <w:spacing w:after="0" w:line="240" w:lineRule="auto"/>
        <w:ind w:left="5529"/>
        <w:jc w:val="center"/>
        <w:rPr>
          <w:rFonts w:ascii="Times New Roman" w:eastAsia="Times New Roman" w:hAnsi="Times New Roman" w:cs="Times New Roman"/>
          <w:bCs/>
        </w:rPr>
      </w:pPr>
      <w:r w:rsidRPr="00A3436E">
        <w:rPr>
          <w:rFonts w:ascii="Times New Roman" w:eastAsia="Times New Roman" w:hAnsi="Times New Roman" w:cs="Times New Roman"/>
          <w:bCs/>
        </w:rPr>
        <w:t>egyetemi docens</w:t>
      </w:r>
      <w:r w:rsidR="004A4C51">
        <w:rPr>
          <w:rFonts w:ascii="Times New Roman" w:eastAsia="Times New Roman" w:hAnsi="Times New Roman" w:cs="Times New Roman"/>
          <w:bCs/>
        </w:rPr>
        <w:t>, sk</w:t>
      </w:r>
    </w:p>
    <w:p w:rsidR="005273D9" w:rsidRDefault="005273D9">
      <w:pPr>
        <w:spacing w:after="200" w:line="276" w:lineRule="auto"/>
        <w:rPr>
          <w:rFonts w:ascii="Times New Roman" w:hAnsi="Times New Roman" w:cs="Times New Roman"/>
          <w:sz w:val="24"/>
        </w:rPr>
      </w:pPr>
    </w:p>
    <w:p w:rsidR="00A3436E" w:rsidRDefault="00A3436E">
      <w:pPr>
        <w:spacing w:after="200" w:line="276" w:lineRule="auto"/>
        <w:rPr>
          <w:rFonts w:ascii="Times New Roman" w:hAnsi="Times New Roman" w:cs="Times New Roman"/>
          <w:sz w:val="24"/>
        </w:rPr>
      </w:pPr>
      <w:r>
        <w:rPr>
          <w:rFonts w:ascii="Times New Roman" w:hAnsi="Times New Roman" w:cs="Times New Roman"/>
          <w:sz w:val="24"/>
        </w:rPr>
        <w:br w:type="page"/>
      </w:r>
    </w:p>
    <w:tbl>
      <w:tblPr>
        <w:tblW w:w="9072" w:type="dxa"/>
        <w:tblInd w:w="113" w:type="dxa"/>
        <w:tblLook w:val="01E0" w:firstRow="1" w:lastRow="1" w:firstColumn="1" w:lastColumn="1" w:noHBand="0" w:noVBand="0"/>
      </w:tblPr>
      <w:tblGrid>
        <w:gridCol w:w="4855"/>
        <w:gridCol w:w="1620"/>
        <w:gridCol w:w="2597"/>
      </w:tblGrid>
      <w:tr w:rsidR="002A7491" w:rsidRPr="00BC6E7B" w:rsidTr="00210B7A">
        <w:tc>
          <w:tcPr>
            <w:tcW w:w="4855" w:type="dxa"/>
            <w:tcBorders>
              <w:bottom w:val="single" w:sz="4" w:space="0" w:color="auto"/>
            </w:tcBorders>
          </w:tcPr>
          <w:p w:rsidR="002A7491" w:rsidRPr="00BC6E7B" w:rsidRDefault="002A7491" w:rsidP="00210B7A">
            <w:pPr>
              <w:spacing w:after="0" w:line="240" w:lineRule="auto"/>
              <w:jc w:val="center"/>
              <w:rPr>
                <w:rFonts w:ascii="Times New Roman" w:eastAsia="Times New Roman" w:hAnsi="Times New Roman" w:cs="Times New Roman"/>
                <w:b/>
                <w:smallCaps/>
                <w:lang w:eastAsia="hu-HU"/>
              </w:rPr>
            </w:pPr>
            <w:r w:rsidRPr="00BC6E7B">
              <w:rPr>
                <w:rFonts w:ascii="Times New Roman" w:eastAsia="Times New Roman" w:hAnsi="Times New Roman" w:cs="Times New Roman"/>
                <w:b/>
                <w:smallCaps/>
                <w:lang w:eastAsia="hu-HU"/>
              </w:rPr>
              <w:lastRenderedPageBreak/>
              <w:t>Nemzeti Közszolgálati Egyetem</w:t>
            </w:r>
          </w:p>
        </w:tc>
        <w:tc>
          <w:tcPr>
            <w:tcW w:w="1620" w:type="dxa"/>
          </w:tcPr>
          <w:p w:rsidR="002A7491" w:rsidRPr="00BC6E7B" w:rsidRDefault="002A7491" w:rsidP="00210B7A">
            <w:pPr>
              <w:spacing w:after="0" w:line="240" w:lineRule="auto"/>
              <w:jc w:val="both"/>
              <w:rPr>
                <w:rFonts w:ascii="Times New Roman" w:eastAsia="Times New Roman" w:hAnsi="Times New Roman" w:cs="Times New Roman"/>
                <w:lang w:eastAsia="hu-HU"/>
              </w:rPr>
            </w:pPr>
          </w:p>
        </w:tc>
        <w:tc>
          <w:tcPr>
            <w:tcW w:w="2597" w:type="dxa"/>
          </w:tcPr>
          <w:p w:rsidR="002A7491" w:rsidRPr="00BC6E7B" w:rsidRDefault="002A7491" w:rsidP="00210B7A">
            <w:pPr>
              <w:spacing w:after="0" w:line="240" w:lineRule="auto"/>
              <w:jc w:val="right"/>
              <w:rPr>
                <w:rFonts w:ascii="Times New Roman" w:eastAsia="Times New Roman" w:hAnsi="Times New Roman" w:cs="Times New Roman"/>
                <w:lang w:eastAsia="hu-HU"/>
              </w:rPr>
            </w:pPr>
          </w:p>
        </w:tc>
      </w:tr>
      <w:tr w:rsidR="002A7491" w:rsidRPr="00BC6E7B" w:rsidTr="00210B7A">
        <w:tc>
          <w:tcPr>
            <w:tcW w:w="4855" w:type="dxa"/>
            <w:tcBorders>
              <w:top w:val="single" w:sz="4" w:space="0" w:color="auto"/>
            </w:tcBorders>
          </w:tcPr>
          <w:p w:rsidR="002A7491" w:rsidRPr="00BC6E7B" w:rsidRDefault="002A7491" w:rsidP="00210B7A">
            <w:pPr>
              <w:spacing w:after="0" w:line="240" w:lineRule="auto"/>
              <w:jc w:val="center"/>
              <w:rPr>
                <w:rFonts w:ascii="Times New Roman" w:eastAsia="Times New Roman" w:hAnsi="Times New Roman" w:cs="Times New Roman"/>
                <w:b/>
                <w:lang w:eastAsia="hu-HU"/>
              </w:rPr>
            </w:pPr>
            <w:r>
              <w:rPr>
                <w:rFonts w:ascii="Times New Roman" w:eastAsia="Times New Roman" w:hAnsi="Times New Roman" w:cs="Times New Roman"/>
                <w:b/>
                <w:lang w:eastAsia="hu-HU"/>
              </w:rPr>
              <w:t xml:space="preserve">Hadtudományi és Honvédtisztképző </w:t>
            </w:r>
            <w:r w:rsidRPr="00BC6E7B">
              <w:rPr>
                <w:rFonts w:ascii="Times New Roman" w:eastAsia="Times New Roman" w:hAnsi="Times New Roman" w:cs="Times New Roman"/>
                <w:b/>
                <w:lang w:eastAsia="hu-HU"/>
              </w:rPr>
              <w:t>Kar</w:t>
            </w:r>
          </w:p>
        </w:tc>
        <w:tc>
          <w:tcPr>
            <w:tcW w:w="1620" w:type="dxa"/>
          </w:tcPr>
          <w:p w:rsidR="002A7491" w:rsidRPr="00BC6E7B" w:rsidRDefault="002A7491" w:rsidP="00210B7A">
            <w:pPr>
              <w:spacing w:after="0" w:line="240" w:lineRule="auto"/>
              <w:jc w:val="both"/>
              <w:rPr>
                <w:rFonts w:ascii="Times New Roman" w:eastAsia="Times New Roman" w:hAnsi="Times New Roman" w:cs="Times New Roman"/>
                <w:lang w:eastAsia="hu-HU"/>
              </w:rPr>
            </w:pPr>
          </w:p>
        </w:tc>
        <w:tc>
          <w:tcPr>
            <w:tcW w:w="2597" w:type="dxa"/>
          </w:tcPr>
          <w:p w:rsidR="002A7491" w:rsidRPr="00BC6E7B" w:rsidRDefault="002A7491" w:rsidP="00210B7A">
            <w:pPr>
              <w:spacing w:after="0" w:line="240" w:lineRule="auto"/>
              <w:jc w:val="both"/>
              <w:rPr>
                <w:rFonts w:ascii="Times New Roman" w:eastAsia="Times New Roman" w:hAnsi="Times New Roman" w:cs="Times New Roman"/>
                <w:lang w:eastAsia="hu-HU"/>
              </w:rPr>
            </w:pPr>
          </w:p>
        </w:tc>
      </w:tr>
    </w:tbl>
    <w:p w:rsidR="002A7491" w:rsidRDefault="002A7491" w:rsidP="002A7491">
      <w:pPr>
        <w:widowControl w:val="0"/>
        <w:spacing w:before="120" w:after="120" w:line="240" w:lineRule="auto"/>
        <w:ind w:left="426" w:hanging="142"/>
        <w:jc w:val="center"/>
        <w:rPr>
          <w:rFonts w:ascii="Times New Roman" w:eastAsia="Times New Roman" w:hAnsi="Times New Roman" w:cs="Times New Roman"/>
          <w:b/>
          <w:bCs/>
        </w:rPr>
      </w:pPr>
    </w:p>
    <w:p w:rsidR="002A7491" w:rsidRPr="004F1F02" w:rsidRDefault="002A7491" w:rsidP="002A7491">
      <w:pPr>
        <w:widowControl w:val="0"/>
        <w:spacing w:before="120" w:after="120" w:line="240" w:lineRule="auto"/>
        <w:ind w:left="426" w:hanging="142"/>
        <w:jc w:val="center"/>
        <w:rPr>
          <w:rFonts w:ascii="Times New Roman" w:eastAsia="Times New Roman" w:hAnsi="Times New Roman" w:cs="Times New Roman"/>
          <w:b/>
          <w:bCs/>
        </w:rPr>
      </w:pPr>
      <w:r w:rsidRPr="004F1F02">
        <w:rPr>
          <w:rFonts w:ascii="Times New Roman" w:eastAsia="Times New Roman" w:hAnsi="Times New Roman" w:cs="Times New Roman"/>
          <w:b/>
          <w:bCs/>
        </w:rPr>
        <w:t>TANTÁRGYI PROGRAM</w:t>
      </w:r>
    </w:p>
    <w:p w:rsidR="002A7491" w:rsidRPr="004F1F02" w:rsidRDefault="002A7491" w:rsidP="00980876">
      <w:pPr>
        <w:widowControl w:val="0"/>
        <w:numPr>
          <w:ilvl w:val="0"/>
          <w:numId w:val="628"/>
        </w:numPr>
        <w:spacing w:before="120" w:after="120" w:line="240" w:lineRule="auto"/>
        <w:jc w:val="both"/>
        <w:rPr>
          <w:rFonts w:ascii="Times New Roman" w:eastAsia="Times New Roman" w:hAnsi="Times New Roman" w:cs="Times New Roman"/>
          <w:bCs/>
        </w:rPr>
      </w:pPr>
      <w:r w:rsidRPr="004F1F02">
        <w:rPr>
          <w:rFonts w:ascii="Times New Roman" w:eastAsia="Times New Roman" w:hAnsi="Times New Roman" w:cs="Times New Roman"/>
          <w:b/>
          <w:bCs/>
        </w:rPr>
        <w:t xml:space="preserve">A tantárgy kódja: </w:t>
      </w:r>
      <w:r w:rsidRPr="004F1F02">
        <w:rPr>
          <w:rFonts w:ascii="Times New Roman" w:eastAsia="Times New Roman" w:hAnsi="Times New Roman" w:cs="Times New Roman"/>
          <w:bCs/>
        </w:rPr>
        <w:t>HKHDTA09</w:t>
      </w:r>
    </w:p>
    <w:p w:rsidR="002A7491" w:rsidRPr="004F1F02" w:rsidRDefault="002A7491" w:rsidP="00980876">
      <w:pPr>
        <w:widowControl w:val="0"/>
        <w:numPr>
          <w:ilvl w:val="0"/>
          <w:numId w:val="628"/>
        </w:numPr>
        <w:tabs>
          <w:tab w:val="num" w:pos="567"/>
        </w:tabs>
        <w:spacing w:before="120" w:after="120" w:line="240" w:lineRule="auto"/>
        <w:ind w:left="426" w:hanging="142"/>
        <w:jc w:val="both"/>
        <w:rPr>
          <w:rFonts w:ascii="Times New Roman" w:eastAsia="Times New Roman" w:hAnsi="Times New Roman" w:cs="Times New Roman"/>
          <w:b/>
          <w:bCs/>
          <w:lang w:val="en-GB"/>
        </w:rPr>
      </w:pPr>
      <w:r w:rsidRPr="004F1F02">
        <w:rPr>
          <w:rFonts w:ascii="Times New Roman" w:eastAsia="Times New Roman" w:hAnsi="Times New Roman" w:cs="Times New Roman"/>
          <w:b/>
          <w:bCs/>
        </w:rPr>
        <w:t>A tantárgy megnevezése (magyarul):</w:t>
      </w:r>
      <w:r w:rsidRPr="004F1F02">
        <w:rPr>
          <w:rFonts w:ascii="Times New Roman" w:eastAsia="Times New Roman" w:hAnsi="Times New Roman" w:cs="Times New Roman"/>
          <w:bCs/>
        </w:rPr>
        <w:t xml:space="preserve"> Gépjármű típusismeret</w:t>
      </w:r>
    </w:p>
    <w:p w:rsidR="002A7491" w:rsidRPr="004F1F02" w:rsidRDefault="002A7491" w:rsidP="00980876">
      <w:pPr>
        <w:widowControl w:val="0"/>
        <w:numPr>
          <w:ilvl w:val="0"/>
          <w:numId w:val="628"/>
        </w:numPr>
        <w:tabs>
          <w:tab w:val="num" w:pos="567"/>
        </w:tabs>
        <w:spacing w:before="120" w:after="120" w:line="240" w:lineRule="auto"/>
        <w:ind w:left="426" w:hanging="142"/>
        <w:jc w:val="both"/>
        <w:rPr>
          <w:rFonts w:ascii="Times New Roman" w:eastAsia="Times New Roman" w:hAnsi="Times New Roman" w:cs="Times New Roman"/>
          <w:b/>
          <w:bCs/>
          <w:lang w:val="en-GB"/>
        </w:rPr>
      </w:pPr>
      <w:r w:rsidRPr="004F1F02">
        <w:rPr>
          <w:rFonts w:ascii="Times New Roman" w:eastAsia="Times New Roman" w:hAnsi="Times New Roman" w:cs="Times New Roman"/>
          <w:b/>
          <w:bCs/>
        </w:rPr>
        <w:t xml:space="preserve">A tantárgy megnevezése (angolul): </w:t>
      </w:r>
      <w:r w:rsidRPr="004F1F02">
        <w:rPr>
          <w:rFonts w:ascii="Times New Roman" w:eastAsia="Times New Roman" w:hAnsi="Times New Roman" w:cs="Times New Roman"/>
          <w:bCs/>
        </w:rPr>
        <w:t>Vehicle type knowledge</w:t>
      </w:r>
    </w:p>
    <w:p w:rsidR="002A7491" w:rsidRPr="004F1F02" w:rsidRDefault="002A7491" w:rsidP="00980876">
      <w:pPr>
        <w:widowControl w:val="0"/>
        <w:numPr>
          <w:ilvl w:val="0"/>
          <w:numId w:val="628"/>
        </w:numPr>
        <w:tabs>
          <w:tab w:val="num" w:pos="567"/>
        </w:tabs>
        <w:spacing w:before="120" w:after="120" w:line="240" w:lineRule="auto"/>
        <w:ind w:left="426" w:hanging="142"/>
        <w:jc w:val="both"/>
        <w:rPr>
          <w:rFonts w:ascii="Times New Roman" w:eastAsia="Times New Roman" w:hAnsi="Times New Roman" w:cs="Times New Roman"/>
          <w:b/>
          <w:bCs/>
        </w:rPr>
      </w:pPr>
      <w:r w:rsidRPr="004F1F02">
        <w:rPr>
          <w:rFonts w:ascii="Times New Roman" w:eastAsia="Times New Roman" w:hAnsi="Times New Roman" w:cs="Times New Roman"/>
          <w:b/>
          <w:bCs/>
        </w:rPr>
        <w:t xml:space="preserve">Kreditérték és képzési karakter: </w:t>
      </w:r>
    </w:p>
    <w:p w:rsidR="002A7491" w:rsidRPr="004F1F02" w:rsidRDefault="002A7491" w:rsidP="00980876">
      <w:pPr>
        <w:pStyle w:val="Listaszerbekezds"/>
        <w:widowControl w:val="0"/>
        <w:numPr>
          <w:ilvl w:val="1"/>
          <w:numId w:val="628"/>
        </w:numPr>
        <w:tabs>
          <w:tab w:val="clear" w:pos="3977"/>
          <w:tab w:val="num" w:pos="1142"/>
        </w:tabs>
        <w:spacing w:before="120" w:after="120" w:line="240" w:lineRule="auto"/>
        <w:ind w:left="993" w:hanging="426"/>
        <w:jc w:val="both"/>
        <w:rPr>
          <w:rFonts w:ascii="Times New Roman" w:eastAsia="Times New Roman" w:hAnsi="Times New Roman" w:cs="Times New Roman"/>
          <w:b/>
          <w:bCs/>
        </w:rPr>
      </w:pPr>
      <w:r w:rsidRPr="004F1F02">
        <w:rPr>
          <w:rFonts w:ascii="Times New Roman" w:eastAsia="Times New Roman" w:hAnsi="Times New Roman" w:cs="Times New Roman"/>
          <w:bCs/>
        </w:rPr>
        <w:t>3 kredit</w:t>
      </w:r>
    </w:p>
    <w:p w:rsidR="002A7491" w:rsidRPr="004F1F02" w:rsidRDefault="002A7491" w:rsidP="00980876">
      <w:pPr>
        <w:pStyle w:val="Listaszerbekezds"/>
        <w:widowControl w:val="0"/>
        <w:numPr>
          <w:ilvl w:val="1"/>
          <w:numId w:val="628"/>
        </w:numPr>
        <w:tabs>
          <w:tab w:val="clear" w:pos="3977"/>
          <w:tab w:val="num" w:pos="1142"/>
        </w:tabs>
        <w:spacing w:before="120" w:after="120" w:line="240" w:lineRule="auto"/>
        <w:ind w:left="993" w:hanging="426"/>
        <w:jc w:val="both"/>
        <w:rPr>
          <w:rFonts w:ascii="Times New Roman" w:eastAsia="Times New Roman" w:hAnsi="Times New Roman" w:cs="Times New Roman"/>
          <w:b/>
          <w:bCs/>
        </w:rPr>
      </w:pPr>
      <w:r w:rsidRPr="004F1F02">
        <w:rPr>
          <w:rFonts w:ascii="Times New Roman" w:eastAsia="Times New Roman" w:hAnsi="Times New Roman" w:cs="Times New Roman"/>
          <w:bCs/>
        </w:rPr>
        <w:t>a tantárgy elméleti vagy gyakorlati jellegének mértéke: 67</w:t>
      </w:r>
      <w:r w:rsidRPr="004F1F02">
        <w:rPr>
          <w:rFonts w:ascii="Times New Roman" w:eastAsia="Times New Roman" w:hAnsi="Times New Roman" w:cs="Times New Roman"/>
          <w:b/>
          <w:bCs/>
        </w:rPr>
        <w:t xml:space="preserve"> </w:t>
      </w:r>
      <w:r w:rsidRPr="004F1F02">
        <w:rPr>
          <w:rFonts w:ascii="Times New Roman" w:eastAsia="Times New Roman" w:hAnsi="Times New Roman" w:cs="Times New Roman"/>
          <w:bCs/>
        </w:rPr>
        <w:t>% gyakorlat, 33 % elmélet</w:t>
      </w:r>
    </w:p>
    <w:p w:rsidR="002A7491" w:rsidRPr="004F1F02" w:rsidRDefault="002A7491" w:rsidP="00980876">
      <w:pPr>
        <w:widowControl w:val="0"/>
        <w:numPr>
          <w:ilvl w:val="0"/>
          <w:numId w:val="628"/>
        </w:numPr>
        <w:spacing w:before="120" w:after="120" w:line="240" w:lineRule="auto"/>
        <w:ind w:left="426" w:hanging="142"/>
        <w:jc w:val="both"/>
        <w:rPr>
          <w:rFonts w:ascii="Times New Roman" w:eastAsia="Times New Roman" w:hAnsi="Times New Roman" w:cs="Times New Roman"/>
          <w:bCs/>
        </w:rPr>
      </w:pPr>
      <w:r w:rsidRPr="004F1F02">
        <w:rPr>
          <w:rFonts w:ascii="Times New Roman" w:eastAsia="Times New Roman" w:hAnsi="Times New Roman" w:cs="Times New Roman"/>
          <w:b/>
          <w:bCs/>
        </w:rPr>
        <w:t>A szak(ok), szakirányok/specializációk megnevezése (ahol oktatják):</w:t>
      </w:r>
      <w:r w:rsidRPr="004F1F02">
        <w:rPr>
          <w:rFonts w:ascii="Times New Roman" w:eastAsia="Times New Roman" w:hAnsi="Times New Roman" w:cs="Times New Roman"/>
          <w:bCs/>
        </w:rPr>
        <w:t xml:space="preserve"> Katonai logisztika (</w:t>
      </w:r>
      <w:r w:rsidR="00137B8A">
        <w:rPr>
          <w:rFonts w:ascii="Times New Roman" w:eastAsia="Times New Roman" w:hAnsi="Times New Roman" w:cs="Times New Roman"/>
          <w:bCs/>
        </w:rPr>
        <w:t>BSc</w:t>
      </w:r>
      <w:r w:rsidRPr="004F1F02">
        <w:rPr>
          <w:rFonts w:ascii="Times New Roman" w:eastAsia="Times New Roman" w:hAnsi="Times New Roman" w:cs="Times New Roman"/>
          <w:bCs/>
        </w:rPr>
        <w:t>) alapképzési szak</w:t>
      </w:r>
    </w:p>
    <w:p w:rsidR="002A7491" w:rsidRPr="004F1F02" w:rsidRDefault="002A7491" w:rsidP="00980876">
      <w:pPr>
        <w:widowControl w:val="0"/>
        <w:numPr>
          <w:ilvl w:val="0"/>
          <w:numId w:val="628"/>
        </w:numPr>
        <w:tabs>
          <w:tab w:val="num" w:pos="567"/>
        </w:tabs>
        <w:spacing w:before="120" w:after="120" w:line="240" w:lineRule="auto"/>
        <w:ind w:left="426" w:hanging="142"/>
        <w:jc w:val="both"/>
        <w:rPr>
          <w:rFonts w:ascii="Times New Roman" w:eastAsia="Times New Roman" w:hAnsi="Times New Roman" w:cs="Times New Roman"/>
          <w:bCs/>
        </w:rPr>
      </w:pPr>
      <w:r w:rsidRPr="004F1F02">
        <w:rPr>
          <w:rFonts w:ascii="Times New Roman" w:eastAsia="Times New Roman" w:hAnsi="Times New Roman" w:cs="Times New Roman"/>
          <w:b/>
          <w:bCs/>
        </w:rPr>
        <w:t xml:space="preserve">Az oktatásért felelős oktatási szervezeti egység megnevezése: </w:t>
      </w:r>
      <w:r w:rsidRPr="004F1F02">
        <w:rPr>
          <w:rFonts w:ascii="Times New Roman" w:eastAsia="Times New Roman" w:hAnsi="Times New Roman" w:cs="Times New Roman"/>
          <w:bCs/>
        </w:rPr>
        <w:t>HHK Haditechnikai Tanszék</w:t>
      </w:r>
    </w:p>
    <w:p w:rsidR="002A7491" w:rsidRPr="004F1F02" w:rsidRDefault="002A7491" w:rsidP="00980876">
      <w:pPr>
        <w:widowControl w:val="0"/>
        <w:numPr>
          <w:ilvl w:val="0"/>
          <w:numId w:val="628"/>
        </w:numPr>
        <w:tabs>
          <w:tab w:val="num" w:pos="567"/>
        </w:tabs>
        <w:spacing w:before="120" w:after="120" w:line="240" w:lineRule="auto"/>
        <w:ind w:left="426" w:hanging="142"/>
        <w:jc w:val="both"/>
        <w:rPr>
          <w:rFonts w:ascii="Times New Roman" w:eastAsia="Times New Roman" w:hAnsi="Times New Roman" w:cs="Times New Roman"/>
          <w:bCs/>
        </w:rPr>
      </w:pPr>
      <w:r w:rsidRPr="004F1F02">
        <w:rPr>
          <w:rFonts w:ascii="Times New Roman" w:eastAsia="Times New Roman" w:hAnsi="Times New Roman" w:cs="Times New Roman"/>
          <w:b/>
          <w:bCs/>
        </w:rPr>
        <w:t>A tantárgyfelelős oktató neve, beosztása, tudományos fokozata:</w:t>
      </w:r>
      <w:r w:rsidRPr="004F1F02">
        <w:rPr>
          <w:rFonts w:ascii="Times New Roman" w:eastAsia="Times New Roman" w:hAnsi="Times New Roman" w:cs="Times New Roman"/>
          <w:bCs/>
        </w:rPr>
        <w:t xml:space="preserve"> </w:t>
      </w:r>
      <w:r w:rsidRPr="004F1F02">
        <w:rPr>
          <w:rFonts w:ascii="Times New Roman" w:eastAsia="Times New Roman" w:hAnsi="Times New Roman" w:cs="Times New Roman"/>
          <w:bCs/>
          <w:lang w:eastAsia="hu-HU"/>
        </w:rPr>
        <w:t>Dr. Vég Róbert László alezredes PhD, egyetemi docens</w:t>
      </w:r>
    </w:p>
    <w:p w:rsidR="002A7491" w:rsidRPr="004F1F02" w:rsidRDefault="002A7491" w:rsidP="00980876">
      <w:pPr>
        <w:widowControl w:val="0"/>
        <w:numPr>
          <w:ilvl w:val="0"/>
          <w:numId w:val="628"/>
        </w:numPr>
        <w:spacing w:before="120" w:after="120" w:line="240" w:lineRule="auto"/>
        <w:ind w:left="426" w:hanging="142"/>
        <w:jc w:val="both"/>
        <w:rPr>
          <w:rFonts w:ascii="Times New Roman" w:eastAsia="Times New Roman" w:hAnsi="Times New Roman" w:cs="Times New Roman"/>
          <w:bCs/>
        </w:rPr>
      </w:pPr>
      <w:r w:rsidRPr="004F1F02">
        <w:rPr>
          <w:rFonts w:ascii="Times New Roman" w:eastAsia="Times New Roman" w:hAnsi="Times New Roman" w:cs="Times New Roman"/>
          <w:b/>
          <w:bCs/>
        </w:rPr>
        <w:t>A tanórák száma és típusa</w:t>
      </w:r>
    </w:p>
    <w:p w:rsidR="002A7491" w:rsidRPr="004F1F02" w:rsidRDefault="002A7491" w:rsidP="00980876">
      <w:pPr>
        <w:widowControl w:val="0"/>
        <w:numPr>
          <w:ilvl w:val="1"/>
          <w:numId w:val="628"/>
        </w:numPr>
        <w:tabs>
          <w:tab w:val="clear" w:pos="3977"/>
          <w:tab w:val="num" w:pos="709"/>
          <w:tab w:val="num" w:pos="1142"/>
          <w:tab w:val="num" w:pos="2069"/>
        </w:tabs>
        <w:spacing w:before="120" w:after="120" w:line="240" w:lineRule="auto"/>
        <w:ind w:left="851" w:hanging="425"/>
        <w:jc w:val="both"/>
        <w:rPr>
          <w:rFonts w:ascii="Times New Roman" w:eastAsia="Times New Roman" w:hAnsi="Times New Roman" w:cs="Times New Roman"/>
          <w:bCs/>
        </w:rPr>
      </w:pPr>
      <w:r w:rsidRPr="004F1F02">
        <w:rPr>
          <w:rFonts w:ascii="Times New Roman" w:eastAsia="Times New Roman" w:hAnsi="Times New Roman" w:cs="Times New Roman"/>
          <w:bCs/>
        </w:rPr>
        <w:t>össz óraszám/félév:</w:t>
      </w:r>
    </w:p>
    <w:p w:rsidR="002A7491" w:rsidRPr="004F1F02" w:rsidRDefault="002A7491" w:rsidP="00980876">
      <w:pPr>
        <w:widowControl w:val="0"/>
        <w:numPr>
          <w:ilvl w:val="2"/>
          <w:numId w:val="628"/>
        </w:numPr>
        <w:tabs>
          <w:tab w:val="num" w:pos="709"/>
          <w:tab w:val="num" w:pos="1134"/>
        </w:tabs>
        <w:spacing w:before="120" w:after="120" w:line="240" w:lineRule="auto"/>
        <w:ind w:left="993" w:hanging="425"/>
        <w:jc w:val="both"/>
        <w:rPr>
          <w:rFonts w:ascii="Times New Roman" w:eastAsia="Times New Roman" w:hAnsi="Times New Roman" w:cs="Times New Roman"/>
          <w:bCs/>
        </w:rPr>
      </w:pPr>
      <w:r w:rsidRPr="004F1F02">
        <w:rPr>
          <w:rFonts w:ascii="Times New Roman" w:eastAsia="Times New Roman" w:hAnsi="Times New Roman" w:cs="Times New Roman"/>
          <w:bCs/>
        </w:rPr>
        <w:t xml:space="preserve">nappali munkarend: 42 (14 EA + </w:t>
      </w:r>
      <w:r>
        <w:rPr>
          <w:rFonts w:ascii="Times New Roman" w:eastAsia="Times New Roman" w:hAnsi="Times New Roman" w:cs="Times New Roman"/>
          <w:bCs/>
        </w:rPr>
        <w:t xml:space="preserve">0 </w:t>
      </w:r>
      <w:r w:rsidRPr="004F1F02">
        <w:rPr>
          <w:rFonts w:ascii="Times New Roman" w:eastAsia="Times New Roman" w:hAnsi="Times New Roman" w:cs="Times New Roman"/>
          <w:bCs/>
        </w:rPr>
        <w:t>SZ + 28 GY)</w:t>
      </w:r>
    </w:p>
    <w:p w:rsidR="002A7491" w:rsidRPr="004F1F02" w:rsidRDefault="002A7491" w:rsidP="00980876">
      <w:pPr>
        <w:widowControl w:val="0"/>
        <w:numPr>
          <w:ilvl w:val="2"/>
          <w:numId w:val="628"/>
        </w:numPr>
        <w:tabs>
          <w:tab w:val="num" w:pos="709"/>
          <w:tab w:val="num" w:pos="1134"/>
        </w:tabs>
        <w:spacing w:before="120" w:after="120" w:line="240" w:lineRule="auto"/>
        <w:ind w:left="993" w:hanging="425"/>
        <w:jc w:val="both"/>
        <w:rPr>
          <w:rFonts w:ascii="Times New Roman" w:eastAsia="Times New Roman" w:hAnsi="Times New Roman" w:cs="Times New Roman"/>
          <w:bCs/>
        </w:rPr>
      </w:pPr>
      <w:r w:rsidRPr="004F1F02">
        <w:rPr>
          <w:rFonts w:ascii="Times New Roman" w:eastAsia="Times New Roman" w:hAnsi="Times New Roman" w:cs="Times New Roman"/>
          <w:bCs/>
        </w:rPr>
        <w:t>levelező munkarend: - (- EA + - SZ + - GY)</w:t>
      </w:r>
    </w:p>
    <w:p w:rsidR="002A7491" w:rsidRPr="004F1F02" w:rsidRDefault="002A7491" w:rsidP="00980876">
      <w:pPr>
        <w:widowControl w:val="0"/>
        <w:numPr>
          <w:ilvl w:val="1"/>
          <w:numId w:val="628"/>
        </w:numPr>
        <w:tabs>
          <w:tab w:val="clear" w:pos="3977"/>
          <w:tab w:val="num" w:pos="709"/>
          <w:tab w:val="num" w:pos="1142"/>
          <w:tab w:val="num" w:pos="2069"/>
        </w:tabs>
        <w:spacing w:before="120" w:after="120" w:line="240" w:lineRule="auto"/>
        <w:ind w:left="851" w:hanging="425"/>
        <w:jc w:val="both"/>
        <w:rPr>
          <w:rFonts w:ascii="Times New Roman" w:eastAsia="Times New Roman" w:hAnsi="Times New Roman" w:cs="Times New Roman"/>
          <w:bCs/>
        </w:rPr>
      </w:pPr>
      <w:r w:rsidRPr="004F1F02">
        <w:rPr>
          <w:rFonts w:ascii="Times New Roman" w:eastAsia="Times New Roman" w:hAnsi="Times New Roman" w:cs="Times New Roman"/>
          <w:bCs/>
        </w:rPr>
        <w:t>heti óraszám - nappali munkarend: 3</w:t>
      </w:r>
      <w:r>
        <w:rPr>
          <w:rFonts w:ascii="Times New Roman" w:eastAsia="Times New Roman" w:hAnsi="Times New Roman" w:cs="Times New Roman"/>
          <w:bCs/>
        </w:rPr>
        <w:t xml:space="preserve"> (1+2)</w:t>
      </w:r>
    </w:p>
    <w:p w:rsidR="002A7491" w:rsidRPr="004F1F02" w:rsidRDefault="002A7491" w:rsidP="00980876">
      <w:pPr>
        <w:widowControl w:val="0"/>
        <w:numPr>
          <w:ilvl w:val="1"/>
          <w:numId w:val="628"/>
        </w:numPr>
        <w:tabs>
          <w:tab w:val="clear" w:pos="3977"/>
          <w:tab w:val="num" w:pos="709"/>
          <w:tab w:val="num" w:pos="1142"/>
          <w:tab w:val="num" w:pos="2069"/>
        </w:tabs>
        <w:spacing w:before="120" w:after="120" w:line="240" w:lineRule="auto"/>
        <w:ind w:left="851" w:hanging="425"/>
        <w:jc w:val="both"/>
        <w:rPr>
          <w:rFonts w:ascii="Times New Roman" w:eastAsia="Times New Roman" w:hAnsi="Times New Roman" w:cs="Times New Roman"/>
          <w:bCs/>
        </w:rPr>
      </w:pPr>
      <w:r w:rsidRPr="004F1F02">
        <w:rPr>
          <w:rFonts w:ascii="Times New Roman" w:hAnsi="Times New Roman" w:cs="Times New Roman"/>
        </w:rPr>
        <w:t>Az ismeret átadásában alkalmazandó további sajátos módok, jellemzők:</w:t>
      </w:r>
      <w:r>
        <w:rPr>
          <w:rFonts w:ascii="Times New Roman" w:hAnsi="Times New Roman" w:cs="Times New Roman"/>
        </w:rPr>
        <w:t xml:space="preserve"> </w:t>
      </w:r>
      <w:r w:rsidRPr="00597FD7">
        <w:rPr>
          <w:rFonts w:ascii="Times New Roman" w:hAnsi="Times New Roman" w:cs="Times New Roman"/>
        </w:rPr>
        <w:t>Az ismeretek feldolgozása vegyes tanulási program (blended learning) alapján történik.</w:t>
      </w:r>
    </w:p>
    <w:p w:rsidR="002A7491" w:rsidRPr="004F1F02" w:rsidRDefault="002A7491" w:rsidP="00980876">
      <w:pPr>
        <w:widowControl w:val="0"/>
        <w:numPr>
          <w:ilvl w:val="0"/>
          <w:numId w:val="628"/>
        </w:numPr>
        <w:spacing w:before="120" w:after="120" w:line="240" w:lineRule="auto"/>
        <w:ind w:left="426" w:hanging="142"/>
        <w:jc w:val="both"/>
        <w:rPr>
          <w:rFonts w:ascii="Times New Roman" w:eastAsia="Times New Roman" w:hAnsi="Times New Roman" w:cs="Times New Roman"/>
          <w:bCs/>
        </w:rPr>
      </w:pPr>
      <w:r w:rsidRPr="004F1F02">
        <w:rPr>
          <w:rFonts w:ascii="Times New Roman" w:eastAsia="Times New Roman" w:hAnsi="Times New Roman" w:cs="Times New Roman"/>
          <w:b/>
          <w:bCs/>
        </w:rPr>
        <w:t xml:space="preserve">A tantárgy szakmai tartalma (magyarul): </w:t>
      </w:r>
      <w:r w:rsidRPr="004F1F02">
        <w:rPr>
          <w:rFonts w:ascii="Times New Roman" w:eastAsia="Times New Roman" w:hAnsi="Times New Roman" w:cs="Times New Roman"/>
          <w:bCs/>
          <w:lang w:eastAsia="hu-HU"/>
        </w:rPr>
        <w:t>A rendszeresített terepjáró személygépkocsik (UAZ-469B, MB G-270 CDI, MB G-280 CDI), és a rendszeresített terepjáró tehergépkocsik (UNIMOG U-4000, RÁBA H-sorozat, URAL-4320) általános felépítése, a kezelőszervek kialakítása, működtetése. A járművek általános szerkezeti felépítése, a motor, a motor kiszolgáló rendszereinek, az erőátvitelnek, kormány- és fékberendezésnek, az elektromos rendszereknek általános jellemzése és felépítése. A jármű közúti forgalomban történő alkalmazásának feladatai indulás előtt és menet közben. A gépjárművezető általi karbantartási feladatok végrehajtása. A járművek vontatásra történő előkészítése, a járművek vontatása.</w:t>
      </w:r>
    </w:p>
    <w:p w:rsidR="002A7491" w:rsidRPr="004F1F02" w:rsidRDefault="002A7491" w:rsidP="002A7491">
      <w:pPr>
        <w:widowControl w:val="0"/>
        <w:spacing w:before="120" w:after="120" w:line="240" w:lineRule="auto"/>
        <w:ind w:left="426"/>
        <w:jc w:val="both"/>
        <w:rPr>
          <w:rFonts w:ascii="Times New Roman" w:eastAsia="Times New Roman" w:hAnsi="Times New Roman" w:cs="Times New Roman"/>
          <w:bCs/>
          <w:lang w:val="en-GB"/>
        </w:rPr>
      </w:pPr>
      <w:r w:rsidRPr="004F1F02">
        <w:rPr>
          <w:rFonts w:ascii="Times New Roman" w:eastAsia="Times New Roman" w:hAnsi="Times New Roman" w:cs="Times New Roman"/>
          <w:b/>
          <w:bCs/>
        </w:rPr>
        <w:t>A tantárgy szakmai tartalma (angolul) (</w:t>
      </w:r>
      <w:r w:rsidRPr="004F1F02">
        <w:rPr>
          <w:rFonts w:ascii="Times New Roman" w:eastAsia="Times New Roman" w:hAnsi="Times New Roman" w:cs="Times New Roman"/>
          <w:b/>
          <w:bCs/>
          <w:lang w:val="en-US"/>
        </w:rPr>
        <w:t>Course description</w:t>
      </w:r>
      <w:r w:rsidRPr="004F1F02">
        <w:rPr>
          <w:rFonts w:ascii="Times New Roman" w:eastAsia="Times New Roman" w:hAnsi="Times New Roman" w:cs="Times New Roman"/>
          <w:b/>
          <w:bCs/>
        </w:rPr>
        <w:t xml:space="preserve">): </w:t>
      </w:r>
      <w:r w:rsidRPr="004F1F02">
        <w:rPr>
          <w:rFonts w:ascii="Times New Roman" w:eastAsia="Times New Roman" w:hAnsi="Times New Roman" w:cs="Times New Roman"/>
          <w:bCs/>
          <w:lang w:eastAsia="hu-HU"/>
        </w:rPr>
        <w:t>General structure, operation and handling of applied off-road vehicles (UAZ-469B, MB G-270 CDI, MB G-280 CDI) and applied off-road trucks (UNIMOG 1300, UNIMOG U-4000, RÁBA H series, URAL-4320). The general structure of vehicles, the general characteristics and construction of engines, power transmission, steering and braking equipment, electrical systems. Tasks for the use of the vehicle on the road before and after departure. Fulfilling the maintenance tasks performed by the driver. Preparing the vehicles for hauling, towing.</w:t>
      </w:r>
    </w:p>
    <w:p w:rsidR="002A7491" w:rsidRPr="004F1F02" w:rsidRDefault="002A7491" w:rsidP="00980876">
      <w:pPr>
        <w:pStyle w:val="Listaszerbekezds"/>
        <w:widowControl w:val="0"/>
        <w:numPr>
          <w:ilvl w:val="0"/>
          <w:numId w:val="628"/>
        </w:numPr>
        <w:spacing w:before="120" w:after="120" w:line="240" w:lineRule="auto"/>
        <w:jc w:val="both"/>
        <w:rPr>
          <w:rFonts w:ascii="Times New Roman" w:eastAsia="Times New Roman" w:hAnsi="Times New Roman" w:cs="Times New Roman"/>
          <w:bCs/>
        </w:rPr>
      </w:pPr>
      <w:r w:rsidRPr="004F1F02">
        <w:rPr>
          <w:rFonts w:ascii="Times New Roman" w:eastAsia="Times New Roman" w:hAnsi="Times New Roman" w:cs="Times New Roman"/>
          <w:b/>
          <w:bCs/>
        </w:rPr>
        <w:t xml:space="preserve">Elérendő kompetenciák (magyarul): </w:t>
      </w:r>
    </w:p>
    <w:p w:rsidR="002A7491" w:rsidRPr="004F1F02" w:rsidRDefault="002A7491" w:rsidP="002A7491">
      <w:pPr>
        <w:widowControl w:val="0"/>
        <w:spacing w:before="120" w:after="120" w:line="240" w:lineRule="auto"/>
        <w:ind w:left="426"/>
        <w:jc w:val="both"/>
        <w:rPr>
          <w:rFonts w:ascii="Times New Roman" w:eastAsia="Times New Roman" w:hAnsi="Times New Roman" w:cs="Times New Roman"/>
          <w:b/>
          <w:bCs/>
        </w:rPr>
      </w:pPr>
      <w:r w:rsidRPr="004F1F02">
        <w:rPr>
          <w:rFonts w:ascii="Times New Roman" w:eastAsia="Times New Roman" w:hAnsi="Times New Roman" w:cs="Times New Roman"/>
          <w:b/>
          <w:bCs/>
        </w:rPr>
        <w:t>Tudása:</w:t>
      </w:r>
    </w:p>
    <w:p w:rsidR="002A7491" w:rsidRPr="004F1F02" w:rsidRDefault="002A7491" w:rsidP="00980876">
      <w:pPr>
        <w:pStyle w:val="Listaszerbekezds"/>
        <w:widowControl w:val="0"/>
        <w:numPr>
          <w:ilvl w:val="0"/>
          <w:numId w:val="620"/>
        </w:numPr>
        <w:spacing w:after="0" w:line="240" w:lineRule="auto"/>
        <w:ind w:left="993"/>
        <w:jc w:val="both"/>
        <w:rPr>
          <w:rFonts w:ascii="Times New Roman" w:eastAsia="Times New Roman" w:hAnsi="Times New Roman" w:cs="Times New Roman"/>
          <w:bCs/>
        </w:rPr>
      </w:pPr>
      <w:r w:rsidRPr="004F1F02">
        <w:rPr>
          <w:rFonts w:ascii="Times New Roman" w:eastAsia="Times New Roman" w:hAnsi="Times New Roman" w:cs="Times New Roman"/>
          <w:bCs/>
        </w:rPr>
        <w:t>Ismeri a páncélos- és gépjárműtechnikai eszközök felépítését, berendezéseit, azok működését és üzemeltetési rendjét.</w:t>
      </w:r>
    </w:p>
    <w:p w:rsidR="002A7491" w:rsidRPr="004F1F02" w:rsidRDefault="002A7491" w:rsidP="00980876">
      <w:pPr>
        <w:pStyle w:val="Listaszerbekezds"/>
        <w:widowControl w:val="0"/>
        <w:numPr>
          <w:ilvl w:val="0"/>
          <w:numId w:val="620"/>
        </w:numPr>
        <w:spacing w:after="0" w:line="240" w:lineRule="auto"/>
        <w:ind w:left="993"/>
        <w:jc w:val="both"/>
        <w:rPr>
          <w:rFonts w:ascii="Times New Roman" w:eastAsia="Times New Roman" w:hAnsi="Times New Roman" w:cs="Times New Roman"/>
          <w:bCs/>
        </w:rPr>
      </w:pPr>
      <w:r w:rsidRPr="004F1F02">
        <w:rPr>
          <w:rFonts w:ascii="Times New Roman" w:eastAsia="Times New Roman" w:hAnsi="Times New Roman" w:cs="Times New Roman"/>
          <w:bCs/>
        </w:rPr>
        <w:t>Ismeri a legújabb gépjárműtechnikai megoldásokat.</w:t>
      </w:r>
    </w:p>
    <w:p w:rsidR="002A7491" w:rsidRPr="004F1F02" w:rsidRDefault="002A7491" w:rsidP="00980876">
      <w:pPr>
        <w:pStyle w:val="Listaszerbekezds"/>
        <w:widowControl w:val="0"/>
        <w:numPr>
          <w:ilvl w:val="0"/>
          <w:numId w:val="620"/>
        </w:numPr>
        <w:spacing w:after="0" w:line="240" w:lineRule="auto"/>
        <w:ind w:left="993"/>
        <w:jc w:val="both"/>
        <w:rPr>
          <w:rFonts w:ascii="Times New Roman" w:eastAsia="Times New Roman" w:hAnsi="Times New Roman" w:cs="Times New Roman"/>
          <w:bCs/>
        </w:rPr>
      </w:pPr>
      <w:r w:rsidRPr="004F1F02">
        <w:rPr>
          <w:rFonts w:ascii="Times New Roman" w:eastAsia="Times New Roman" w:hAnsi="Times New Roman" w:cs="Times New Roman"/>
          <w:bCs/>
        </w:rPr>
        <w:t>Ismeri a szakfeladatainak ellátásához szükséges munkavédelmi rendszabályokat.</w:t>
      </w:r>
    </w:p>
    <w:p w:rsidR="002A7491" w:rsidRPr="004F1F02" w:rsidRDefault="002A7491" w:rsidP="00980876">
      <w:pPr>
        <w:pStyle w:val="Listaszerbekezds"/>
        <w:widowControl w:val="0"/>
        <w:numPr>
          <w:ilvl w:val="0"/>
          <w:numId w:val="620"/>
        </w:numPr>
        <w:spacing w:after="0" w:line="240" w:lineRule="auto"/>
        <w:ind w:left="993"/>
        <w:jc w:val="both"/>
        <w:rPr>
          <w:rFonts w:ascii="Times New Roman" w:eastAsia="Times New Roman" w:hAnsi="Times New Roman" w:cs="Times New Roman"/>
          <w:bCs/>
        </w:rPr>
      </w:pPr>
      <w:r w:rsidRPr="004F1F02">
        <w:rPr>
          <w:rFonts w:ascii="Times New Roman" w:eastAsia="Times New Roman" w:hAnsi="Times New Roman" w:cs="Times New Roman"/>
          <w:bCs/>
        </w:rPr>
        <w:t>Megfelelő mélységű és spektrumú páncélos- és gépjárműtechnikai típusismerettel rendelkezik.</w:t>
      </w:r>
    </w:p>
    <w:p w:rsidR="002A7491" w:rsidRPr="004F1F02" w:rsidRDefault="002A7491" w:rsidP="002A7491">
      <w:pPr>
        <w:widowControl w:val="0"/>
        <w:spacing w:before="120" w:after="120" w:line="240" w:lineRule="auto"/>
        <w:ind w:left="426"/>
        <w:jc w:val="both"/>
        <w:rPr>
          <w:rFonts w:ascii="Times New Roman" w:eastAsia="Times New Roman" w:hAnsi="Times New Roman" w:cs="Times New Roman"/>
          <w:bCs/>
        </w:rPr>
      </w:pPr>
      <w:r w:rsidRPr="004F1F02">
        <w:rPr>
          <w:rFonts w:ascii="Times New Roman" w:eastAsia="Times New Roman" w:hAnsi="Times New Roman" w:cs="Times New Roman"/>
          <w:b/>
          <w:bCs/>
        </w:rPr>
        <w:lastRenderedPageBreak/>
        <w:t>Képességei:</w:t>
      </w:r>
    </w:p>
    <w:p w:rsidR="002A7491" w:rsidRPr="004F1F02" w:rsidRDefault="002A7491" w:rsidP="00980876">
      <w:pPr>
        <w:pStyle w:val="Listaszerbekezds"/>
        <w:widowControl w:val="0"/>
        <w:numPr>
          <w:ilvl w:val="0"/>
          <w:numId w:val="621"/>
        </w:numPr>
        <w:spacing w:after="0" w:line="240" w:lineRule="auto"/>
        <w:ind w:left="993"/>
        <w:jc w:val="both"/>
        <w:rPr>
          <w:rFonts w:ascii="Times New Roman" w:eastAsia="Times New Roman" w:hAnsi="Times New Roman" w:cs="Times New Roman"/>
          <w:bCs/>
        </w:rPr>
      </w:pPr>
      <w:r w:rsidRPr="004F1F02">
        <w:rPr>
          <w:rFonts w:ascii="Times New Roman" w:eastAsia="Times New Roman" w:hAnsi="Times New Roman" w:cs="Times New Roman"/>
          <w:bCs/>
        </w:rPr>
        <w:t>Képes a szakterületén rendszeresített és használt berendezések és technikai eszközök használatának megszervezésére és hatékony alkalmazására.</w:t>
      </w:r>
    </w:p>
    <w:p w:rsidR="002A7491" w:rsidRPr="004F1F02" w:rsidRDefault="002A7491" w:rsidP="00980876">
      <w:pPr>
        <w:pStyle w:val="Listaszerbekezds"/>
        <w:widowControl w:val="0"/>
        <w:numPr>
          <w:ilvl w:val="0"/>
          <w:numId w:val="621"/>
        </w:numPr>
        <w:spacing w:after="0" w:line="240" w:lineRule="auto"/>
        <w:ind w:left="993"/>
        <w:jc w:val="both"/>
        <w:rPr>
          <w:rFonts w:ascii="Times New Roman" w:eastAsia="Times New Roman" w:hAnsi="Times New Roman" w:cs="Times New Roman"/>
          <w:bCs/>
        </w:rPr>
      </w:pPr>
      <w:r w:rsidRPr="004F1F02">
        <w:rPr>
          <w:rFonts w:ascii="Times New Roman" w:eastAsia="Times New Roman" w:hAnsi="Times New Roman" w:cs="Times New Roman"/>
          <w:bCs/>
        </w:rPr>
        <w:t>Képes más logisztikai beosztásokban dolgozó személyekkel való együttműködésre.</w:t>
      </w:r>
    </w:p>
    <w:p w:rsidR="002A7491" w:rsidRPr="004F1F02" w:rsidRDefault="002A7491" w:rsidP="00980876">
      <w:pPr>
        <w:pStyle w:val="Listaszerbekezds"/>
        <w:widowControl w:val="0"/>
        <w:numPr>
          <w:ilvl w:val="0"/>
          <w:numId w:val="621"/>
        </w:numPr>
        <w:spacing w:after="0" w:line="240" w:lineRule="auto"/>
        <w:ind w:left="993"/>
        <w:jc w:val="both"/>
        <w:rPr>
          <w:rFonts w:ascii="Times New Roman" w:eastAsia="Times New Roman" w:hAnsi="Times New Roman" w:cs="Times New Roman"/>
          <w:bCs/>
        </w:rPr>
      </w:pPr>
      <w:r w:rsidRPr="004F1F02">
        <w:rPr>
          <w:rFonts w:ascii="Times New Roman" w:eastAsia="Times New Roman" w:hAnsi="Times New Roman" w:cs="Times New Roman"/>
          <w:bCs/>
        </w:rPr>
        <w:t>Képes a szakterületéhez kapcsolódó ügydarabokat elkészíteni, haditechnikai eszköz átadás-átvételét végrehajtani és jegyzőkönyveket elkészíteni.</w:t>
      </w:r>
    </w:p>
    <w:p w:rsidR="002A7491" w:rsidRPr="004F1F02" w:rsidRDefault="002A7491" w:rsidP="00980876">
      <w:pPr>
        <w:pStyle w:val="Listaszerbekezds"/>
        <w:widowControl w:val="0"/>
        <w:numPr>
          <w:ilvl w:val="0"/>
          <w:numId w:val="621"/>
        </w:numPr>
        <w:spacing w:after="0" w:line="240" w:lineRule="auto"/>
        <w:ind w:left="993"/>
        <w:jc w:val="both"/>
        <w:rPr>
          <w:rFonts w:ascii="Times New Roman" w:eastAsia="Times New Roman" w:hAnsi="Times New Roman" w:cs="Times New Roman"/>
          <w:bCs/>
        </w:rPr>
      </w:pPr>
      <w:r w:rsidRPr="004F1F02">
        <w:rPr>
          <w:rFonts w:ascii="Times New Roman" w:eastAsia="Times New Roman" w:hAnsi="Times New Roman" w:cs="Times New Roman"/>
          <w:bCs/>
        </w:rPr>
        <w:t>Képes a biztonságos munkavégzés feltételeit megteremteni, a biztonságos munkavégzéshez szükséges szabályokat másokkal is betartatni.</w:t>
      </w:r>
    </w:p>
    <w:p w:rsidR="002A7491" w:rsidRPr="004F1F02" w:rsidRDefault="002A7491" w:rsidP="00980876">
      <w:pPr>
        <w:pStyle w:val="Listaszerbekezds"/>
        <w:widowControl w:val="0"/>
        <w:numPr>
          <w:ilvl w:val="0"/>
          <w:numId w:val="621"/>
        </w:numPr>
        <w:spacing w:after="0" w:line="240" w:lineRule="auto"/>
        <w:ind w:left="993"/>
        <w:jc w:val="both"/>
        <w:rPr>
          <w:rFonts w:ascii="Times New Roman" w:eastAsia="Times New Roman" w:hAnsi="Times New Roman" w:cs="Times New Roman"/>
          <w:bCs/>
        </w:rPr>
      </w:pPr>
      <w:r w:rsidRPr="004F1F02">
        <w:rPr>
          <w:rFonts w:ascii="Times New Roman" w:eastAsia="Times New Roman" w:hAnsi="Times New Roman" w:cs="Times New Roman"/>
          <w:bCs/>
        </w:rPr>
        <w:t>Képes a megtanultakat felhasználva a szakterületén felmerülő új műszaki információkat megérteni és megtanulni.</w:t>
      </w:r>
    </w:p>
    <w:p w:rsidR="002A7491" w:rsidRPr="004F1F02" w:rsidRDefault="002A7491" w:rsidP="002A7491">
      <w:pPr>
        <w:widowControl w:val="0"/>
        <w:spacing w:before="120" w:after="120" w:line="240" w:lineRule="auto"/>
        <w:ind w:left="426"/>
        <w:jc w:val="both"/>
        <w:rPr>
          <w:rFonts w:ascii="Times New Roman" w:eastAsia="Times New Roman" w:hAnsi="Times New Roman" w:cs="Times New Roman"/>
          <w:bCs/>
        </w:rPr>
      </w:pPr>
      <w:r w:rsidRPr="004F1F02">
        <w:rPr>
          <w:rFonts w:ascii="Times New Roman" w:eastAsia="Times New Roman" w:hAnsi="Times New Roman" w:cs="Times New Roman"/>
          <w:b/>
          <w:bCs/>
        </w:rPr>
        <w:t>Attitűdje:</w:t>
      </w:r>
    </w:p>
    <w:p w:rsidR="002A7491" w:rsidRPr="004F1F02" w:rsidRDefault="002A7491" w:rsidP="00980876">
      <w:pPr>
        <w:pStyle w:val="Listaszerbekezds"/>
        <w:widowControl w:val="0"/>
        <w:numPr>
          <w:ilvl w:val="0"/>
          <w:numId w:val="622"/>
        </w:numPr>
        <w:spacing w:after="0" w:line="240" w:lineRule="auto"/>
        <w:ind w:left="993"/>
        <w:jc w:val="both"/>
        <w:rPr>
          <w:rFonts w:ascii="Times New Roman" w:eastAsia="Times New Roman" w:hAnsi="Times New Roman" w:cs="Times New Roman"/>
          <w:bCs/>
        </w:rPr>
      </w:pPr>
      <w:r w:rsidRPr="004F1F02">
        <w:rPr>
          <w:rFonts w:ascii="Times New Roman" w:eastAsia="Times New Roman" w:hAnsi="Times New Roman" w:cs="Times New Roman"/>
          <w:bCs/>
        </w:rPr>
        <w:t>Nyitott a páncélos- és gépjárműtechnikával kapcsolatos szakmai ismereteinek gyarapítása iránt, folyamatos önképzési igény jellemzi.</w:t>
      </w:r>
    </w:p>
    <w:p w:rsidR="002A7491" w:rsidRPr="004F1F02" w:rsidRDefault="002A7491" w:rsidP="00980876">
      <w:pPr>
        <w:pStyle w:val="Listaszerbekezds"/>
        <w:widowControl w:val="0"/>
        <w:numPr>
          <w:ilvl w:val="0"/>
          <w:numId w:val="622"/>
        </w:numPr>
        <w:spacing w:after="0" w:line="240" w:lineRule="auto"/>
        <w:ind w:left="993"/>
        <w:jc w:val="both"/>
        <w:rPr>
          <w:rFonts w:ascii="Times New Roman" w:eastAsia="Times New Roman" w:hAnsi="Times New Roman" w:cs="Times New Roman"/>
          <w:bCs/>
        </w:rPr>
      </w:pPr>
      <w:r w:rsidRPr="004F1F02">
        <w:rPr>
          <w:rFonts w:ascii="Times New Roman" w:eastAsia="Times New Roman" w:hAnsi="Times New Roman" w:cs="Times New Roman"/>
          <w:bCs/>
        </w:rPr>
        <w:t>Törekszik munkája során a vonatkozó szabályok betartására és betartatására.</w:t>
      </w:r>
    </w:p>
    <w:p w:rsidR="002A7491" w:rsidRPr="004F1F02" w:rsidRDefault="002A7491" w:rsidP="00980876">
      <w:pPr>
        <w:pStyle w:val="Listaszerbekezds"/>
        <w:widowControl w:val="0"/>
        <w:numPr>
          <w:ilvl w:val="0"/>
          <w:numId w:val="622"/>
        </w:numPr>
        <w:spacing w:after="0" w:line="240" w:lineRule="auto"/>
        <w:ind w:left="993"/>
        <w:jc w:val="both"/>
        <w:rPr>
          <w:rFonts w:ascii="Times New Roman" w:eastAsia="Times New Roman" w:hAnsi="Times New Roman" w:cs="Times New Roman"/>
          <w:bCs/>
        </w:rPr>
      </w:pPr>
      <w:r w:rsidRPr="004F1F02">
        <w:rPr>
          <w:rFonts w:ascii="Times New Roman" w:eastAsia="Times New Roman" w:hAnsi="Times New Roman" w:cs="Times New Roman"/>
          <w:bCs/>
        </w:rPr>
        <w:t>Munkáját és emberi kapcsolatait a megbízhatóság jellemzi.</w:t>
      </w:r>
    </w:p>
    <w:p w:rsidR="002A7491" w:rsidRPr="004F1F02" w:rsidRDefault="002A7491" w:rsidP="00980876">
      <w:pPr>
        <w:pStyle w:val="Listaszerbekezds"/>
        <w:widowControl w:val="0"/>
        <w:numPr>
          <w:ilvl w:val="0"/>
          <w:numId w:val="622"/>
        </w:numPr>
        <w:spacing w:after="0" w:line="240" w:lineRule="auto"/>
        <w:ind w:left="993"/>
        <w:jc w:val="both"/>
        <w:rPr>
          <w:rFonts w:ascii="Times New Roman" w:eastAsia="Times New Roman" w:hAnsi="Times New Roman" w:cs="Times New Roman"/>
          <w:bCs/>
        </w:rPr>
      </w:pPr>
      <w:r w:rsidRPr="004F1F02">
        <w:rPr>
          <w:rFonts w:ascii="Times New Roman" w:eastAsia="Times New Roman" w:hAnsi="Times New Roman" w:cs="Times New Roman"/>
          <w:bCs/>
        </w:rPr>
        <w:t>Nyitott a haditechnikai szakterület új eredményei felé, törekszik azok megismerésére.</w:t>
      </w:r>
    </w:p>
    <w:p w:rsidR="002A7491" w:rsidRPr="004F1F02" w:rsidRDefault="002A7491" w:rsidP="002A7491">
      <w:pPr>
        <w:widowControl w:val="0"/>
        <w:spacing w:before="120" w:after="120" w:line="240" w:lineRule="auto"/>
        <w:ind w:left="426"/>
        <w:jc w:val="both"/>
        <w:rPr>
          <w:rFonts w:ascii="Times New Roman" w:eastAsia="Times New Roman" w:hAnsi="Times New Roman" w:cs="Times New Roman"/>
          <w:bCs/>
        </w:rPr>
      </w:pPr>
      <w:r w:rsidRPr="004F1F02">
        <w:rPr>
          <w:rFonts w:ascii="Times New Roman" w:eastAsia="Times New Roman" w:hAnsi="Times New Roman" w:cs="Times New Roman"/>
          <w:b/>
          <w:bCs/>
        </w:rPr>
        <w:t>Autonómiája és felelőssége:</w:t>
      </w:r>
    </w:p>
    <w:p w:rsidR="002A7491" w:rsidRPr="004F1F02" w:rsidRDefault="002A7491" w:rsidP="00980876">
      <w:pPr>
        <w:pStyle w:val="Listaszerbekezds"/>
        <w:widowControl w:val="0"/>
        <w:numPr>
          <w:ilvl w:val="0"/>
          <w:numId w:val="623"/>
        </w:numPr>
        <w:spacing w:after="0" w:line="240" w:lineRule="auto"/>
        <w:ind w:left="993"/>
        <w:jc w:val="both"/>
        <w:rPr>
          <w:rFonts w:ascii="Times New Roman" w:eastAsia="Times New Roman" w:hAnsi="Times New Roman" w:cs="Times New Roman"/>
          <w:bCs/>
        </w:rPr>
      </w:pPr>
      <w:r w:rsidRPr="004F1F02">
        <w:rPr>
          <w:rFonts w:ascii="Times New Roman" w:eastAsia="Times New Roman" w:hAnsi="Times New Roman" w:cs="Times New Roman"/>
          <w:bCs/>
        </w:rPr>
        <w:t>Képes alárendeltjeinek feladatait megszervezni és meghatározni, valamint elvégzett munkájukat szakmai szempontok alapján ellenőrizni.</w:t>
      </w:r>
    </w:p>
    <w:p w:rsidR="002A7491" w:rsidRPr="004F1F02" w:rsidRDefault="002A7491" w:rsidP="00980876">
      <w:pPr>
        <w:pStyle w:val="Listaszerbekezds"/>
        <w:widowControl w:val="0"/>
        <w:numPr>
          <w:ilvl w:val="0"/>
          <w:numId w:val="623"/>
        </w:numPr>
        <w:spacing w:after="0" w:line="240" w:lineRule="auto"/>
        <w:ind w:left="993"/>
        <w:jc w:val="both"/>
        <w:rPr>
          <w:rFonts w:ascii="Times New Roman" w:eastAsia="Times New Roman" w:hAnsi="Times New Roman" w:cs="Times New Roman"/>
          <w:bCs/>
        </w:rPr>
      </w:pPr>
      <w:r w:rsidRPr="004F1F02">
        <w:rPr>
          <w:rFonts w:ascii="Times New Roman" w:eastAsia="Times New Roman" w:hAnsi="Times New Roman" w:cs="Times New Roman"/>
          <w:bCs/>
        </w:rPr>
        <w:t>A páncélos- és gépjárműtechnikai eszközök technikai kiszolgálása és javítása során képes elemzések végrehajtása után a legmegfelelőbb döntéseket meghozni, amely döntésekért a szakmai felelősséget vállalja.</w:t>
      </w:r>
    </w:p>
    <w:p w:rsidR="002A7491" w:rsidRPr="004F1F02" w:rsidRDefault="002A7491" w:rsidP="00980876">
      <w:pPr>
        <w:pStyle w:val="Listaszerbekezds"/>
        <w:widowControl w:val="0"/>
        <w:numPr>
          <w:ilvl w:val="0"/>
          <w:numId w:val="623"/>
        </w:numPr>
        <w:spacing w:after="0" w:line="240" w:lineRule="auto"/>
        <w:ind w:left="993"/>
        <w:jc w:val="both"/>
        <w:rPr>
          <w:rFonts w:ascii="Times New Roman" w:eastAsia="Times New Roman" w:hAnsi="Times New Roman" w:cs="Times New Roman"/>
          <w:bCs/>
        </w:rPr>
      </w:pPr>
      <w:r w:rsidRPr="004F1F02">
        <w:rPr>
          <w:rFonts w:ascii="Times New Roman" w:eastAsia="Times New Roman" w:hAnsi="Times New Roman" w:cs="Times New Roman"/>
          <w:bCs/>
        </w:rPr>
        <w:t xml:space="preserve">Együttműködés és felelősség jellemzi szakterületének szakembereivel szemben. </w:t>
      </w:r>
    </w:p>
    <w:p w:rsidR="002A7491" w:rsidRPr="004F1F02" w:rsidRDefault="002A7491" w:rsidP="00980876">
      <w:pPr>
        <w:pStyle w:val="Listaszerbekezds"/>
        <w:widowControl w:val="0"/>
        <w:numPr>
          <w:ilvl w:val="0"/>
          <w:numId w:val="623"/>
        </w:numPr>
        <w:spacing w:after="0" w:line="240" w:lineRule="auto"/>
        <w:ind w:left="993"/>
        <w:jc w:val="both"/>
        <w:rPr>
          <w:rFonts w:ascii="Times New Roman" w:eastAsia="Times New Roman" w:hAnsi="Times New Roman" w:cs="Times New Roman"/>
          <w:bCs/>
        </w:rPr>
      </w:pPr>
      <w:r w:rsidRPr="004F1F02">
        <w:rPr>
          <w:rFonts w:ascii="Times New Roman" w:eastAsia="Times New Roman" w:hAnsi="Times New Roman" w:cs="Times New Roman"/>
          <w:bCs/>
        </w:rPr>
        <w:t>Szakterületén belül képes rendszer-szemléletűen gondolkodni.</w:t>
      </w:r>
    </w:p>
    <w:p w:rsidR="002A7491" w:rsidRPr="004F1F02" w:rsidRDefault="002A7491" w:rsidP="002A7491">
      <w:pPr>
        <w:widowControl w:val="0"/>
        <w:spacing w:before="120" w:after="120" w:line="240" w:lineRule="auto"/>
        <w:ind w:left="426"/>
        <w:jc w:val="both"/>
        <w:rPr>
          <w:rFonts w:ascii="Times New Roman" w:eastAsia="Times New Roman" w:hAnsi="Times New Roman" w:cs="Times New Roman"/>
          <w:b/>
          <w:bCs/>
          <w:lang w:val="en-US"/>
        </w:rPr>
      </w:pPr>
      <w:r w:rsidRPr="004F1F02">
        <w:rPr>
          <w:rFonts w:ascii="Times New Roman" w:eastAsia="Times New Roman" w:hAnsi="Times New Roman" w:cs="Times New Roman"/>
          <w:b/>
          <w:bCs/>
        </w:rPr>
        <w:t>Elérendő kompetenciák (angolul) (</w:t>
      </w:r>
      <w:r w:rsidRPr="004F1F02">
        <w:rPr>
          <w:rFonts w:ascii="Times New Roman" w:eastAsia="Times New Roman" w:hAnsi="Times New Roman" w:cs="Times New Roman"/>
          <w:b/>
          <w:bCs/>
          <w:lang w:val="en-US"/>
        </w:rPr>
        <w:t xml:space="preserve">Competences – English): </w:t>
      </w:r>
    </w:p>
    <w:p w:rsidR="002A7491" w:rsidRPr="004F1F02" w:rsidRDefault="002A7491" w:rsidP="002A7491">
      <w:pPr>
        <w:widowControl w:val="0"/>
        <w:spacing w:before="120" w:after="120" w:line="240" w:lineRule="auto"/>
        <w:ind w:left="426"/>
        <w:jc w:val="both"/>
        <w:rPr>
          <w:rFonts w:ascii="Times New Roman" w:eastAsia="Times New Roman" w:hAnsi="Times New Roman" w:cs="Times New Roman"/>
          <w:lang w:val="en-GB"/>
        </w:rPr>
      </w:pPr>
      <w:r w:rsidRPr="004F1F02">
        <w:rPr>
          <w:rFonts w:ascii="Times New Roman" w:eastAsia="Times New Roman" w:hAnsi="Times New Roman" w:cs="Times New Roman"/>
          <w:b/>
          <w:lang w:val="en-GB"/>
        </w:rPr>
        <w:t>Knowledge</w:t>
      </w:r>
      <w:r w:rsidRPr="004F1F02">
        <w:rPr>
          <w:rFonts w:ascii="Times New Roman" w:eastAsia="Times New Roman" w:hAnsi="Times New Roman" w:cs="Times New Roman"/>
          <w:lang w:val="en-GB"/>
        </w:rPr>
        <w:t>:</w:t>
      </w:r>
    </w:p>
    <w:p w:rsidR="002A7491" w:rsidRPr="004F1F02" w:rsidRDefault="002A7491" w:rsidP="00980876">
      <w:pPr>
        <w:pStyle w:val="Listaszerbekezds"/>
        <w:widowControl w:val="0"/>
        <w:numPr>
          <w:ilvl w:val="0"/>
          <w:numId w:val="624"/>
        </w:numPr>
        <w:spacing w:after="0" w:line="240" w:lineRule="auto"/>
        <w:ind w:left="993"/>
        <w:jc w:val="both"/>
        <w:rPr>
          <w:rFonts w:ascii="Times New Roman" w:eastAsia="Times New Roman" w:hAnsi="Times New Roman" w:cs="Times New Roman"/>
          <w:bCs/>
        </w:rPr>
      </w:pPr>
      <w:r w:rsidRPr="004F1F02">
        <w:rPr>
          <w:rFonts w:ascii="Times New Roman" w:eastAsia="Times New Roman" w:hAnsi="Times New Roman" w:cs="Times New Roman"/>
          <w:bCs/>
        </w:rPr>
        <w:t>Knows the structure and equipment as well as the functioning and operation of armored vehicles.</w:t>
      </w:r>
    </w:p>
    <w:p w:rsidR="002A7491" w:rsidRPr="004F1F02" w:rsidRDefault="002A7491" w:rsidP="00980876">
      <w:pPr>
        <w:pStyle w:val="Listaszerbekezds"/>
        <w:widowControl w:val="0"/>
        <w:numPr>
          <w:ilvl w:val="0"/>
          <w:numId w:val="624"/>
        </w:numPr>
        <w:spacing w:after="0" w:line="240" w:lineRule="auto"/>
        <w:ind w:left="993"/>
        <w:jc w:val="both"/>
        <w:rPr>
          <w:rFonts w:ascii="Times New Roman" w:eastAsia="Times New Roman" w:hAnsi="Times New Roman" w:cs="Times New Roman"/>
          <w:bCs/>
        </w:rPr>
      </w:pPr>
      <w:r w:rsidRPr="004F1F02">
        <w:rPr>
          <w:rFonts w:ascii="Times New Roman" w:eastAsia="Times New Roman" w:hAnsi="Times New Roman" w:cs="Times New Roman"/>
          <w:bCs/>
        </w:rPr>
        <w:t>Knows the latest solutions regarding armored vehicles.</w:t>
      </w:r>
    </w:p>
    <w:p w:rsidR="002A7491" w:rsidRPr="004F1F02" w:rsidRDefault="002A7491" w:rsidP="00980876">
      <w:pPr>
        <w:pStyle w:val="Listaszerbekezds"/>
        <w:widowControl w:val="0"/>
        <w:numPr>
          <w:ilvl w:val="0"/>
          <w:numId w:val="624"/>
        </w:numPr>
        <w:spacing w:after="0" w:line="240" w:lineRule="auto"/>
        <w:ind w:left="993"/>
        <w:jc w:val="both"/>
        <w:rPr>
          <w:rFonts w:ascii="Times New Roman" w:eastAsia="Times New Roman" w:hAnsi="Times New Roman" w:cs="Times New Roman"/>
          <w:bCs/>
        </w:rPr>
      </w:pPr>
      <w:r w:rsidRPr="004F1F02">
        <w:rPr>
          <w:rFonts w:ascii="Times New Roman" w:eastAsia="Times New Roman" w:hAnsi="Times New Roman" w:cs="Times New Roman"/>
          <w:bCs/>
        </w:rPr>
        <w:t>Knows the work safety regulations required for fulfilling his/her professional tasks.</w:t>
      </w:r>
    </w:p>
    <w:p w:rsidR="002A7491" w:rsidRPr="004F1F02" w:rsidRDefault="002A7491" w:rsidP="00980876">
      <w:pPr>
        <w:pStyle w:val="Listaszerbekezds"/>
        <w:widowControl w:val="0"/>
        <w:numPr>
          <w:ilvl w:val="0"/>
          <w:numId w:val="624"/>
        </w:numPr>
        <w:spacing w:after="0" w:line="240" w:lineRule="auto"/>
        <w:ind w:left="993"/>
        <w:jc w:val="both"/>
        <w:rPr>
          <w:rFonts w:ascii="Times New Roman" w:eastAsia="Times New Roman" w:hAnsi="Times New Roman" w:cs="Times New Roman"/>
          <w:lang w:val="en-GB"/>
        </w:rPr>
      </w:pPr>
      <w:r w:rsidRPr="004F1F02">
        <w:rPr>
          <w:rFonts w:ascii="Times New Roman" w:eastAsia="Times New Roman" w:hAnsi="Times New Roman" w:cs="Times New Roman"/>
          <w:bCs/>
        </w:rPr>
        <w:t>Possesses knowledge of adequate depth and spectrum regarding armored vehicle types.</w:t>
      </w:r>
    </w:p>
    <w:p w:rsidR="002A7491" w:rsidRPr="004F1F02" w:rsidRDefault="002A7491" w:rsidP="002A7491">
      <w:pPr>
        <w:widowControl w:val="0"/>
        <w:spacing w:before="120" w:after="120" w:line="240" w:lineRule="auto"/>
        <w:ind w:left="426"/>
        <w:jc w:val="both"/>
        <w:rPr>
          <w:rFonts w:ascii="Times New Roman" w:eastAsia="Times New Roman" w:hAnsi="Times New Roman" w:cs="Times New Roman"/>
          <w:lang w:val="en-GB"/>
        </w:rPr>
      </w:pPr>
      <w:r w:rsidRPr="004F1F02">
        <w:rPr>
          <w:rFonts w:ascii="Times New Roman" w:eastAsia="Times New Roman" w:hAnsi="Times New Roman" w:cs="Times New Roman"/>
          <w:b/>
          <w:lang w:val="en-GB"/>
        </w:rPr>
        <w:t>Capabilities</w:t>
      </w:r>
      <w:r w:rsidRPr="004F1F02">
        <w:rPr>
          <w:rFonts w:ascii="Times New Roman" w:eastAsia="Times New Roman" w:hAnsi="Times New Roman" w:cs="Times New Roman"/>
          <w:lang w:val="en-GB"/>
        </w:rPr>
        <w:t>:</w:t>
      </w:r>
    </w:p>
    <w:p w:rsidR="002A7491" w:rsidRPr="004F1F02" w:rsidRDefault="002A7491" w:rsidP="00980876">
      <w:pPr>
        <w:pStyle w:val="Listaszerbekezds"/>
        <w:widowControl w:val="0"/>
        <w:numPr>
          <w:ilvl w:val="0"/>
          <w:numId w:val="625"/>
        </w:numPr>
        <w:spacing w:after="0" w:line="240" w:lineRule="auto"/>
        <w:ind w:left="993"/>
        <w:jc w:val="both"/>
        <w:rPr>
          <w:rFonts w:ascii="Times New Roman" w:eastAsia="Times New Roman" w:hAnsi="Times New Roman" w:cs="Times New Roman"/>
          <w:bCs/>
        </w:rPr>
      </w:pPr>
      <w:r w:rsidRPr="004F1F02">
        <w:rPr>
          <w:rFonts w:ascii="Times New Roman" w:eastAsia="Times New Roman" w:hAnsi="Times New Roman" w:cs="Times New Roman"/>
          <w:bCs/>
        </w:rPr>
        <w:t>Is capable of organizing and efficiently utilizing the usage of the equipment and technical appliances applied in his/her respective specialty field.</w:t>
      </w:r>
    </w:p>
    <w:p w:rsidR="002A7491" w:rsidRPr="004F1F02" w:rsidRDefault="002A7491" w:rsidP="00980876">
      <w:pPr>
        <w:pStyle w:val="Listaszerbekezds"/>
        <w:widowControl w:val="0"/>
        <w:numPr>
          <w:ilvl w:val="0"/>
          <w:numId w:val="625"/>
        </w:numPr>
        <w:spacing w:after="0" w:line="240" w:lineRule="auto"/>
        <w:ind w:left="993"/>
        <w:jc w:val="both"/>
        <w:rPr>
          <w:rFonts w:ascii="Times New Roman" w:eastAsia="Times New Roman" w:hAnsi="Times New Roman" w:cs="Times New Roman"/>
          <w:bCs/>
        </w:rPr>
      </w:pPr>
      <w:r w:rsidRPr="004F1F02">
        <w:rPr>
          <w:rFonts w:ascii="Times New Roman" w:eastAsia="Times New Roman" w:hAnsi="Times New Roman" w:cs="Times New Roman"/>
          <w:bCs/>
        </w:rPr>
        <w:t>Is capable of cooperating with persons working in other logistical positions.</w:t>
      </w:r>
    </w:p>
    <w:p w:rsidR="002A7491" w:rsidRPr="004F1F02" w:rsidRDefault="002A7491" w:rsidP="00980876">
      <w:pPr>
        <w:pStyle w:val="Listaszerbekezds"/>
        <w:widowControl w:val="0"/>
        <w:numPr>
          <w:ilvl w:val="0"/>
          <w:numId w:val="625"/>
        </w:numPr>
        <w:spacing w:after="0" w:line="240" w:lineRule="auto"/>
        <w:ind w:left="993"/>
        <w:jc w:val="both"/>
        <w:rPr>
          <w:rFonts w:ascii="Times New Roman" w:eastAsia="Times New Roman" w:hAnsi="Times New Roman" w:cs="Times New Roman"/>
          <w:bCs/>
        </w:rPr>
      </w:pPr>
      <w:r w:rsidRPr="004F1F02">
        <w:rPr>
          <w:rFonts w:ascii="Times New Roman" w:eastAsia="Times New Roman" w:hAnsi="Times New Roman" w:cs="Times New Roman"/>
          <w:bCs/>
        </w:rPr>
        <w:t>Is capable of preparing documents regarding his/her field of specialty, executing the handover of military devices and preparing the records.</w:t>
      </w:r>
    </w:p>
    <w:p w:rsidR="002A7491" w:rsidRPr="004F1F02" w:rsidRDefault="002A7491" w:rsidP="00980876">
      <w:pPr>
        <w:pStyle w:val="Listaszerbekezds"/>
        <w:widowControl w:val="0"/>
        <w:numPr>
          <w:ilvl w:val="0"/>
          <w:numId w:val="625"/>
        </w:numPr>
        <w:spacing w:after="0" w:line="240" w:lineRule="auto"/>
        <w:ind w:left="993"/>
        <w:jc w:val="both"/>
        <w:rPr>
          <w:rFonts w:ascii="Times New Roman" w:eastAsia="Times New Roman" w:hAnsi="Times New Roman" w:cs="Times New Roman"/>
          <w:bCs/>
        </w:rPr>
      </w:pPr>
      <w:r w:rsidRPr="004F1F02">
        <w:rPr>
          <w:rFonts w:ascii="Times New Roman" w:eastAsia="Times New Roman" w:hAnsi="Times New Roman" w:cs="Times New Roman"/>
          <w:bCs/>
        </w:rPr>
        <w:t>Is capable of preparing the conditions of a safe working environment and making others adhere to the rules of work safety.</w:t>
      </w:r>
    </w:p>
    <w:p w:rsidR="002A7491" w:rsidRPr="004F1F02" w:rsidRDefault="002A7491" w:rsidP="00980876">
      <w:pPr>
        <w:pStyle w:val="Listaszerbekezds"/>
        <w:widowControl w:val="0"/>
        <w:numPr>
          <w:ilvl w:val="0"/>
          <w:numId w:val="625"/>
        </w:numPr>
        <w:spacing w:after="120" w:line="240" w:lineRule="auto"/>
        <w:ind w:left="992" w:hanging="357"/>
        <w:jc w:val="both"/>
        <w:rPr>
          <w:rFonts w:ascii="Times New Roman" w:eastAsia="Times New Roman" w:hAnsi="Times New Roman" w:cs="Times New Roman"/>
          <w:lang w:val="en-GB"/>
        </w:rPr>
      </w:pPr>
      <w:r w:rsidRPr="004F1F02">
        <w:rPr>
          <w:rFonts w:ascii="Times New Roman" w:eastAsia="Times New Roman" w:hAnsi="Times New Roman" w:cs="Times New Roman"/>
          <w:bCs/>
        </w:rPr>
        <w:t>Is capable of acqiring the understaning of new engineering information arising in his/her field of specialty using the already gained knowldge.</w:t>
      </w:r>
    </w:p>
    <w:p w:rsidR="002A7491" w:rsidRPr="004F1F02" w:rsidRDefault="002A7491" w:rsidP="002A7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425"/>
        <w:jc w:val="both"/>
        <w:rPr>
          <w:rFonts w:ascii="Times New Roman" w:eastAsia="Times New Roman" w:hAnsi="Times New Roman" w:cs="Times New Roman"/>
          <w:lang w:val="en-GB"/>
        </w:rPr>
      </w:pPr>
      <w:r w:rsidRPr="004F1F02">
        <w:rPr>
          <w:rFonts w:ascii="Times New Roman" w:eastAsia="Times New Roman" w:hAnsi="Times New Roman" w:cs="Times New Roman"/>
          <w:b/>
          <w:lang w:val="en-GB"/>
        </w:rPr>
        <w:t>Attitude:</w:t>
      </w:r>
    </w:p>
    <w:p w:rsidR="002A7491" w:rsidRPr="004F1F02" w:rsidRDefault="002A7491" w:rsidP="00980876">
      <w:pPr>
        <w:pStyle w:val="Listaszerbekezds"/>
        <w:numPr>
          <w:ilvl w:val="0"/>
          <w:numId w:val="6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jc w:val="both"/>
        <w:rPr>
          <w:rFonts w:ascii="Times New Roman" w:eastAsia="Times New Roman" w:hAnsi="Times New Roman" w:cs="Times New Roman"/>
        </w:rPr>
      </w:pPr>
      <w:r w:rsidRPr="004F1F02">
        <w:rPr>
          <w:rFonts w:ascii="Times New Roman" w:eastAsia="Times New Roman" w:hAnsi="Times New Roman" w:cs="Times New Roman"/>
        </w:rPr>
        <w:t>He/she is open to widen his/her knowledge regarding armored vehicles and has a constant need for self-education.</w:t>
      </w:r>
    </w:p>
    <w:p w:rsidR="002A7491" w:rsidRPr="004F1F02" w:rsidRDefault="002A7491" w:rsidP="00980876">
      <w:pPr>
        <w:pStyle w:val="Listaszerbekezds"/>
        <w:numPr>
          <w:ilvl w:val="0"/>
          <w:numId w:val="6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jc w:val="both"/>
        <w:rPr>
          <w:rFonts w:ascii="Times New Roman" w:eastAsia="Times New Roman" w:hAnsi="Times New Roman" w:cs="Times New Roman"/>
        </w:rPr>
      </w:pPr>
      <w:r w:rsidRPr="004F1F02">
        <w:rPr>
          <w:rFonts w:ascii="Times New Roman" w:eastAsia="Times New Roman" w:hAnsi="Times New Roman" w:cs="Times New Roman"/>
        </w:rPr>
        <w:t>He/she aims to adhere to the respective rules and make others follow them as well.</w:t>
      </w:r>
    </w:p>
    <w:p w:rsidR="002A7491" w:rsidRPr="004F1F02" w:rsidRDefault="002A7491" w:rsidP="00980876">
      <w:pPr>
        <w:pStyle w:val="Listaszerbekezds"/>
        <w:numPr>
          <w:ilvl w:val="0"/>
          <w:numId w:val="6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jc w:val="both"/>
        <w:rPr>
          <w:rFonts w:ascii="Times New Roman" w:eastAsia="Times New Roman" w:hAnsi="Times New Roman" w:cs="Times New Roman"/>
        </w:rPr>
      </w:pPr>
      <w:r w:rsidRPr="004F1F02">
        <w:rPr>
          <w:rFonts w:ascii="Times New Roman" w:eastAsia="Times New Roman" w:hAnsi="Times New Roman" w:cs="Times New Roman"/>
        </w:rPr>
        <w:t>His/her work and relationships can be described by loyalty and reliability.</w:t>
      </w:r>
    </w:p>
    <w:p w:rsidR="002A7491" w:rsidRPr="004F1F02" w:rsidRDefault="002A7491" w:rsidP="00980876">
      <w:pPr>
        <w:pStyle w:val="Listaszerbekezds"/>
        <w:numPr>
          <w:ilvl w:val="0"/>
          <w:numId w:val="6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jc w:val="both"/>
        <w:rPr>
          <w:rFonts w:ascii="Times New Roman" w:eastAsia="Times New Roman" w:hAnsi="Times New Roman" w:cs="Times New Roman"/>
          <w:lang w:val="en-GB"/>
        </w:rPr>
      </w:pPr>
      <w:r w:rsidRPr="004F1F02">
        <w:rPr>
          <w:rFonts w:ascii="Times New Roman" w:eastAsia="Times New Roman" w:hAnsi="Times New Roman" w:cs="Times New Roman"/>
        </w:rPr>
        <w:t>He/she is open towards the new accomplishments of military technology and aims to gain knowledge of these.</w:t>
      </w:r>
    </w:p>
    <w:p w:rsidR="002A7491" w:rsidRDefault="002A7491" w:rsidP="002A7491">
      <w:pPr>
        <w:widowControl w:val="0"/>
        <w:spacing w:before="120" w:after="120" w:line="240" w:lineRule="auto"/>
        <w:ind w:left="426"/>
        <w:jc w:val="both"/>
        <w:rPr>
          <w:rFonts w:ascii="Times New Roman" w:eastAsia="Times New Roman" w:hAnsi="Times New Roman" w:cs="Times New Roman"/>
          <w:b/>
          <w:lang w:val="en-GB"/>
        </w:rPr>
      </w:pPr>
    </w:p>
    <w:p w:rsidR="002A7491" w:rsidRPr="004F1F02" w:rsidRDefault="002A7491" w:rsidP="002A7491">
      <w:pPr>
        <w:widowControl w:val="0"/>
        <w:spacing w:before="120" w:after="120" w:line="240" w:lineRule="auto"/>
        <w:ind w:left="426"/>
        <w:jc w:val="both"/>
        <w:rPr>
          <w:rFonts w:ascii="Times New Roman" w:eastAsia="Times New Roman" w:hAnsi="Times New Roman" w:cs="Times New Roman"/>
          <w:b/>
          <w:lang w:val="en-GB"/>
        </w:rPr>
      </w:pPr>
      <w:r w:rsidRPr="004F1F02">
        <w:rPr>
          <w:rFonts w:ascii="Times New Roman" w:eastAsia="Times New Roman" w:hAnsi="Times New Roman" w:cs="Times New Roman"/>
          <w:b/>
          <w:lang w:val="en-GB"/>
        </w:rPr>
        <w:lastRenderedPageBreak/>
        <w:t>Autonomy and responsibility:</w:t>
      </w:r>
    </w:p>
    <w:p w:rsidR="002A7491" w:rsidRPr="004F1F02" w:rsidRDefault="002A7491" w:rsidP="00980876">
      <w:pPr>
        <w:pStyle w:val="Listaszerbekezds"/>
        <w:widowControl w:val="0"/>
        <w:numPr>
          <w:ilvl w:val="0"/>
          <w:numId w:val="627"/>
        </w:numPr>
        <w:spacing w:after="0" w:line="240" w:lineRule="auto"/>
        <w:ind w:left="993"/>
        <w:jc w:val="both"/>
        <w:rPr>
          <w:rFonts w:ascii="Times New Roman" w:eastAsia="Times New Roman" w:hAnsi="Times New Roman" w:cs="Times New Roman"/>
        </w:rPr>
      </w:pPr>
      <w:r w:rsidRPr="004F1F02">
        <w:rPr>
          <w:rFonts w:ascii="Times New Roman" w:eastAsia="Times New Roman" w:hAnsi="Times New Roman" w:cs="Times New Roman"/>
        </w:rPr>
        <w:t>Is capable of organizing and determining the tasks of his/her subordinates as well as controlling their work based on professional aspects.</w:t>
      </w:r>
    </w:p>
    <w:p w:rsidR="002A7491" w:rsidRPr="004F1F02" w:rsidRDefault="002A7491" w:rsidP="00980876">
      <w:pPr>
        <w:pStyle w:val="Listaszerbekezds"/>
        <w:widowControl w:val="0"/>
        <w:numPr>
          <w:ilvl w:val="0"/>
          <w:numId w:val="627"/>
        </w:numPr>
        <w:spacing w:after="0" w:line="240" w:lineRule="auto"/>
        <w:ind w:left="993"/>
        <w:jc w:val="both"/>
        <w:rPr>
          <w:rFonts w:ascii="Times New Roman" w:eastAsia="Times New Roman" w:hAnsi="Times New Roman" w:cs="Times New Roman"/>
        </w:rPr>
      </w:pPr>
      <w:r w:rsidRPr="004F1F02">
        <w:rPr>
          <w:rFonts w:ascii="Times New Roman" w:eastAsia="Times New Roman" w:hAnsi="Times New Roman" w:cs="Times New Roman"/>
        </w:rPr>
        <w:t>After doing proper analysation, he/she is capable of making the best decisions and taking professional responsibility during the technical maintenance and repairing of the armored vehicles.</w:t>
      </w:r>
    </w:p>
    <w:p w:rsidR="002A7491" w:rsidRPr="004F1F02" w:rsidRDefault="002A7491" w:rsidP="00980876">
      <w:pPr>
        <w:pStyle w:val="Listaszerbekezds"/>
        <w:widowControl w:val="0"/>
        <w:numPr>
          <w:ilvl w:val="0"/>
          <w:numId w:val="627"/>
        </w:numPr>
        <w:spacing w:after="0" w:line="240" w:lineRule="auto"/>
        <w:ind w:left="993"/>
        <w:jc w:val="both"/>
        <w:rPr>
          <w:rFonts w:ascii="Times New Roman" w:eastAsia="Times New Roman" w:hAnsi="Times New Roman" w:cs="Times New Roman"/>
        </w:rPr>
      </w:pPr>
      <w:r w:rsidRPr="004F1F02">
        <w:rPr>
          <w:rFonts w:ascii="Times New Roman" w:eastAsia="Times New Roman" w:hAnsi="Times New Roman" w:cs="Times New Roman"/>
        </w:rPr>
        <w:t>He/she is cooperative and responsible towards the professionals of his/her field.</w:t>
      </w:r>
    </w:p>
    <w:p w:rsidR="002A7491" w:rsidRPr="004F1F02" w:rsidRDefault="002A7491" w:rsidP="00980876">
      <w:pPr>
        <w:pStyle w:val="Listaszerbekezds"/>
        <w:widowControl w:val="0"/>
        <w:numPr>
          <w:ilvl w:val="0"/>
          <w:numId w:val="627"/>
        </w:numPr>
        <w:spacing w:after="0" w:line="240" w:lineRule="auto"/>
        <w:ind w:left="993"/>
        <w:jc w:val="both"/>
        <w:rPr>
          <w:rFonts w:ascii="Times New Roman" w:eastAsia="Times New Roman" w:hAnsi="Times New Roman" w:cs="Times New Roman"/>
          <w:lang w:val="en-GB"/>
        </w:rPr>
      </w:pPr>
      <w:r w:rsidRPr="004F1F02">
        <w:rPr>
          <w:rFonts w:ascii="Times New Roman" w:eastAsia="Times New Roman" w:hAnsi="Times New Roman" w:cs="Times New Roman"/>
        </w:rPr>
        <w:t>Is capable of thinking in a system approach within his/her own field.</w:t>
      </w:r>
    </w:p>
    <w:p w:rsidR="002A7491" w:rsidRPr="004F1F02" w:rsidRDefault="002A7491" w:rsidP="00980876">
      <w:pPr>
        <w:widowControl w:val="0"/>
        <w:numPr>
          <w:ilvl w:val="0"/>
          <w:numId w:val="628"/>
        </w:numPr>
        <w:tabs>
          <w:tab w:val="num" w:pos="567"/>
        </w:tabs>
        <w:spacing w:before="120" w:after="120" w:line="240" w:lineRule="auto"/>
        <w:ind w:left="426" w:hanging="142"/>
        <w:jc w:val="both"/>
        <w:rPr>
          <w:rFonts w:ascii="Times New Roman" w:eastAsia="Times New Roman" w:hAnsi="Times New Roman" w:cs="Times New Roman"/>
          <w:bCs/>
        </w:rPr>
      </w:pPr>
      <w:r w:rsidRPr="004F1F02">
        <w:rPr>
          <w:rFonts w:ascii="Times New Roman" w:eastAsia="Times New Roman" w:hAnsi="Times New Roman" w:cs="Times New Roman"/>
          <w:b/>
          <w:bCs/>
        </w:rPr>
        <w:t xml:space="preserve">Előtanulmányi követelmények: </w:t>
      </w:r>
      <w:r w:rsidRPr="004F1F02">
        <w:rPr>
          <w:rFonts w:ascii="Times New Roman" w:eastAsia="Times New Roman" w:hAnsi="Times New Roman" w:cs="Times New Roman"/>
          <w:bCs/>
        </w:rPr>
        <w:t>-</w:t>
      </w:r>
    </w:p>
    <w:p w:rsidR="002A7491" w:rsidRPr="004F1F02" w:rsidRDefault="002A7491" w:rsidP="00980876">
      <w:pPr>
        <w:widowControl w:val="0"/>
        <w:numPr>
          <w:ilvl w:val="0"/>
          <w:numId w:val="628"/>
        </w:numPr>
        <w:spacing w:before="120" w:after="120" w:line="240" w:lineRule="auto"/>
        <w:ind w:left="426" w:hanging="142"/>
        <w:jc w:val="both"/>
        <w:rPr>
          <w:rFonts w:ascii="Times New Roman" w:eastAsia="Times New Roman" w:hAnsi="Times New Roman" w:cs="Times New Roman"/>
          <w:b/>
          <w:bCs/>
        </w:rPr>
      </w:pPr>
      <w:r w:rsidRPr="004F1F02">
        <w:rPr>
          <w:rFonts w:ascii="Times New Roman" w:eastAsia="Times New Roman" w:hAnsi="Times New Roman" w:cs="Times New Roman"/>
          <w:b/>
          <w:bCs/>
        </w:rPr>
        <w:t>A tantárgy tananyagának leírása, tematika. Description of the subject, curriculum (magyarul, angolul - English):</w:t>
      </w:r>
    </w:p>
    <w:p w:rsidR="002A7491" w:rsidRPr="004F1F02" w:rsidRDefault="002A7491" w:rsidP="00980876">
      <w:pPr>
        <w:widowControl w:val="0"/>
        <w:numPr>
          <w:ilvl w:val="1"/>
          <w:numId w:val="628"/>
        </w:numPr>
        <w:tabs>
          <w:tab w:val="clear" w:pos="3977"/>
          <w:tab w:val="left" w:pos="709"/>
          <w:tab w:val="left" w:pos="993"/>
          <w:tab w:val="num" w:pos="1142"/>
          <w:tab w:val="num" w:pos="2069"/>
        </w:tabs>
        <w:spacing w:before="120" w:after="120" w:line="240" w:lineRule="auto"/>
        <w:ind w:left="426" w:firstLine="0"/>
        <w:jc w:val="both"/>
        <w:rPr>
          <w:rFonts w:ascii="Times New Roman" w:eastAsia="Times New Roman" w:hAnsi="Times New Roman" w:cs="Times New Roman"/>
          <w:b/>
        </w:rPr>
      </w:pPr>
      <w:r w:rsidRPr="004F1F02">
        <w:rPr>
          <w:rFonts w:ascii="Times New Roman" w:eastAsia="Times New Roman" w:hAnsi="Times New Roman" w:cs="Times New Roman"/>
          <w:b/>
          <w:bCs/>
          <w:lang w:eastAsia="hu-HU"/>
        </w:rPr>
        <w:t>– 12.02.</w:t>
      </w:r>
      <w:r w:rsidRPr="004F1F02">
        <w:rPr>
          <w:rFonts w:ascii="Times New Roman" w:eastAsia="Times New Roman" w:hAnsi="Times New Roman" w:cs="Times New Roman"/>
          <w:bCs/>
          <w:lang w:eastAsia="hu-HU"/>
        </w:rPr>
        <w:t xml:space="preserve"> A rendszeresített terepjáró személygépkocsik (UAZ-469B, MB G-270 CDI, MB G-280 CDI) általános felépítése, a kezelőszervek kialakítása, működtetése.</w:t>
      </w:r>
      <w:r w:rsidRPr="004F1F02">
        <w:rPr>
          <w:rFonts w:ascii="Times New Roman" w:eastAsia="Times New Roman" w:hAnsi="Times New Roman" w:cs="Times New Roman"/>
        </w:rPr>
        <w:t xml:space="preserve"> (</w:t>
      </w:r>
      <w:r w:rsidRPr="00E20D60">
        <w:rPr>
          <w:rFonts w:ascii="Times New Roman" w:eastAsia="Times New Roman" w:hAnsi="Times New Roman" w:cs="Times New Roman"/>
          <w:bCs/>
          <w:i/>
        </w:rPr>
        <w:t>General structure, operation and handling of applied off-road vehicles (UAZ-469B, MB G-270 CDI, MB G-280 CDI)</w:t>
      </w:r>
      <w:r w:rsidRPr="004F1F02">
        <w:rPr>
          <w:rFonts w:ascii="Times New Roman" w:eastAsia="Times New Roman" w:hAnsi="Times New Roman" w:cs="Times New Roman"/>
          <w:bCs/>
        </w:rPr>
        <w:t>.</w:t>
      </w:r>
      <w:r w:rsidRPr="004F1F02">
        <w:rPr>
          <w:rFonts w:ascii="Times New Roman" w:eastAsia="Times New Roman" w:hAnsi="Times New Roman" w:cs="Times New Roman"/>
        </w:rPr>
        <w:t>)</w:t>
      </w:r>
    </w:p>
    <w:p w:rsidR="002A7491" w:rsidRPr="004F1F02" w:rsidRDefault="002A7491" w:rsidP="00980876">
      <w:pPr>
        <w:pStyle w:val="Listaszerbekezds"/>
        <w:widowControl w:val="0"/>
        <w:numPr>
          <w:ilvl w:val="1"/>
          <w:numId w:val="616"/>
        </w:numPr>
        <w:tabs>
          <w:tab w:val="num" w:pos="993"/>
        </w:tabs>
        <w:spacing w:before="120" w:after="120" w:line="240" w:lineRule="auto"/>
        <w:ind w:left="426" w:hanging="33"/>
        <w:jc w:val="both"/>
        <w:rPr>
          <w:rFonts w:ascii="Times New Roman" w:eastAsia="Times New Roman" w:hAnsi="Times New Roman" w:cs="Times New Roman"/>
          <w:b/>
        </w:rPr>
      </w:pPr>
      <w:r w:rsidRPr="004F1F02">
        <w:rPr>
          <w:rFonts w:ascii="Times New Roman" w:eastAsia="Times New Roman" w:hAnsi="Times New Roman" w:cs="Times New Roman"/>
          <w:b/>
          <w:bCs/>
          <w:lang w:eastAsia="hu-HU"/>
        </w:rPr>
        <w:t>– 12.04.</w:t>
      </w:r>
      <w:r w:rsidRPr="004F1F02">
        <w:rPr>
          <w:rFonts w:ascii="Times New Roman" w:eastAsia="Times New Roman" w:hAnsi="Times New Roman" w:cs="Times New Roman"/>
          <w:bCs/>
          <w:lang w:eastAsia="hu-HU"/>
        </w:rPr>
        <w:t xml:space="preserve"> A rendszeresített terepjáró tehergépkocsik (UNIMOG U-4000, RÁBA H-sorozat, URAL-4320) általános felépítése, a kezelőszervek kialakítása, működtetése.</w:t>
      </w:r>
      <w:r w:rsidRPr="004F1F02">
        <w:rPr>
          <w:rFonts w:ascii="Times New Roman" w:eastAsia="Times New Roman" w:hAnsi="Times New Roman" w:cs="Times New Roman"/>
        </w:rPr>
        <w:t xml:space="preserve"> (</w:t>
      </w:r>
      <w:r w:rsidRPr="00E20D60">
        <w:rPr>
          <w:rFonts w:ascii="Times New Roman" w:eastAsia="Times New Roman" w:hAnsi="Times New Roman" w:cs="Times New Roman"/>
          <w:bCs/>
          <w:i/>
        </w:rPr>
        <w:t>General structure, operation and handling of applied off-road trucks (UNIMOG 1300, UNIMOG U-4000, RÁBA H series, URAL-4320).</w:t>
      </w:r>
      <w:r w:rsidRPr="004F1F02">
        <w:rPr>
          <w:rFonts w:ascii="Times New Roman" w:eastAsia="Times New Roman" w:hAnsi="Times New Roman" w:cs="Times New Roman"/>
        </w:rPr>
        <w:t>)</w:t>
      </w:r>
    </w:p>
    <w:p w:rsidR="002A7491" w:rsidRPr="004F1F02" w:rsidRDefault="002A7491" w:rsidP="00980876">
      <w:pPr>
        <w:pStyle w:val="Listaszerbekezds"/>
        <w:widowControl w:val="0"/>
        <w:numPr>
          <w:ilvl w:val="1"/>
          <w:numId w:val="617"/>
        </w:numPr>
        <w:tabs>
          <w:tab w:val="left" w:pos="426"/>
          <w:tab w:val="num" w:pos="993"/>
        </w:tabs>
        <w:spacing w:before="120" w:after="120" w:line="240" w:lineRule="auto"/>
        <w:ind w:left="426" w:hanging="33"/>
        <w:jc w:val="both"/>
        <w:rPr>
          <w:rFonts w:ascii="Times New Roman" w:eastAsia="Times New Roman" w:hAnsi="Times New Roman" w:cs="Times New Roman"/>
          <w:b/>
        </w:rPr>
      </w:pPr>
      <w:r w:rsidRPr="004F1F02">
        <w:rPr>
          <w:rFonts w:ascii="Times New Roman" w:eastAsia="Times New Roman" w:hAnsi="Times New Roman" w:cs="Times New Roman"/>
          <w:b/>
          <w:bCs/>
          <w:lang w:eastAsia="hu-HU"/>
        </w:rPr>
        <w:t>– 12.1</w:t>
      </w:r>
      <w:r>
        <w:rPr>
          <w:rFonts w:ascii="Times New Roman" w:eastAsia="Times New Roman" w:hAnsi="Times New Roman" w:cs="Times New Roman"/>
          <w:b/>
          <w:bCs/>
          <w:lang w:eastAsia="hu-HU"/>
        </w:rPr>
        <w:t>0</w:t>
      </w:r>
      <w:r w:rsidRPr="004F1F02">
        <w:rPr>
          <w:rFonts w:ascii="Times New Roman" w:eastAsia="Times New Roman" w:hAnsi="Times New Roman" w:cs="Times New Roman"/>
          <w:b/>
          <w:bCs/>
          <w:lang w:eastAsia="hu-HU"/>
        </w:rPr>
        <w:t>.</w:t>
      </w:r>
      <w:r w:rsidRPr="004F1F02">
        <w:rPr>
          <w:rFonts w:ascii="Times New Roman" w:eastAsia="Times New Roman" w:hAnsi="Times New Roman" w:cs="Times New Roman"/>
          <w:bCs/>
          <w:lang w:eastAsia="hu-HU"/>
        </w:rPr>
        <w:t xml:space="preserve"> A járművek általános szerkezeti felépítése, a motor, a motor kiszolgáló rendszereinek, az erőátvitelnek, kormány- és fékberendezésnek, az elektromos rendszereknek általános jellemzése és felépítése. (</w:t>
      </w:r>
      <w:r w:rsidRPr="00E20D60">
        <w:rPr>
          <w:rFonts w:ascii="Times New Roman" w:eastAsia="Times New Roman" w:hAnsi="Times New Roman" w:cs="Times New Roman"/>
          <w:bCs/>
          <w:i/>
          <w:lang w:eastAsia="hu-HU"/>
        </w:rPr>
        <w:t>The general structure of vehicles, the general characteristics and construction of engines, power transmission, steering and braking equipment, electrical systems.</w:t>
      </w:r>
      <w:r w:rsidRPr="004F1F02">
        <w:rPr>
          <w:rFonts w:ascii="Times New Roman" w:eastAsia="Times New Roman" w:hAnsi="Times New Roman" w:cs="Times New Roman"/>
          <w:bCs/>
          <w:lang w:eastAsia="hu-HU"/>
        </w:rPr>
        <w:t>)</w:t>
      </w:r>
    </w:p>
    <w:p w:rsidR="002A7491" w:rsidRPr="004F1F02" w:rsidRDefault="002A7491" w:rsidP="00980876">
      <w:pPr>
        <w:widowControl w:val="0"/>
        <w:numPr>
          <w:ilvl w:val="1"/>
          <w:numId w:val="618"/>
        </w:numPr>
        <w:tabs>
          <w:tab w:val="left" w:pos="567"/>
        </w:tabs>
        <w:spacing w:before="120" w:after="120" w:line="240" w:lineRule="auto"/>
        <w:ind w:left="426" w:hanging="33"/>
        <w:jc w:val="both"/>
        <w:rPr>
          <w:rFonts w:ascii="Times New Roman" w:eastAsia="Times New Roman" w:hAnsi="Times New Roman" w:cs="Times New Roman"/>
          <w:b/>
        </w:rPr>
      </w:pPr>
      <w:r w:rsidRPr="004F1F02">
        <w:rPr>
          <w:rFonts w:ascii="Times New Roman" w:eastAsia="Times New Roman" w:hAnsi="Times New Roman" w:cs="Times New Roman"/>
          <w:bCs/>
          <w:lang w:eastAsia="hu-HU"/>
        </w:rPr>
        <w:t>A jármű közúti forgalomban történő alkalmazásának feladatai indulás előtt. (</w:t>
      </w:r>
      <w:r w:rsidRPr="00E20D60">
        <w:rPr>
          <w:rFonts w:ascii="Times New Roman" w:eastAsia="Times New Roman" w:hAnsi="Times New Roman" w:cs="Times New Roman"/>
          <w:bCs/>
          <w:i/>
          <w:lang w:eastAsia="hu-HU"/>
        </w:rPr>
        <w:t>Tasks for the use of the vehicle on the road before departure</w:t>
      </w:r>
      <w:r w:rsidRPr="004F1F02">
        <w:rPr>
          <w:rFonts w:ascii="Times New Roman" w:eastAsia="Times New Roman" w:hAnsi="Times New Roman" w:cs="Times New Roman"/>
          <w:bCs/>
          <w:lang w:eastAsia="hu-HU"/>
        </w:rPr>
        <w:t>.)</w:t>
      </w:r>
    </w:p>
    <w:p w:rsidR="002A7491" w:rsidRPr="004F1F02" w:rsidRDefault="002A7491" w:rsidP="00980876">
      <w:pPr>
        <w:widowControl w:val="0"/>
        <w:numPr>
          <w:ilvl w:val="1"/>
          <w:numId w:val="618"/>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b/>
        </w:rPr>
      </w:pPr>
      <w:r w:rsidRPr="004F1F02">
        <w:rPr>
          <w:rFonts w:ascii="Times New Roman" w:eastAsia="Times New Roman" w:hAnsi="Times New Roman" w:cs="Times New Roman"/>
          <w:bCs/>
          <w:lang w:eastAsia="hu-HU"/>
        </w:rPr>
        <w:t xml:space="preserve"> A jármű közúti forgalomban történő alkalmazásának feladatai menet közben. (</w:t>
      </w:r>
      <w:r w:rsidRPr="00E20D60">
        <w:rPr>
          <w:rFonts w:ascii="Times New Roman" w:eastAsia="Times New Roman" w:hAnsi="Times New Roman" w:cs="Times New Roman"/>
          <w:bCs/>
          <w:i/>
          <w:lang w:eastAsia="hu-HU"/>
        </w:rPr>
        <w:t>Tasks for the use of the vehicle on the road after departure.</w:t>
      </w:r>
      <w:r w:rsidRPr="004F1F02">
        <w:rPr>
          <w:rFonts w:ascii="Times New Roman" w:eastAsia="Times New Roman" w:hAnsi="Times New Roman" w:cs="Times New Roman"/>
          <w:bCs/>
          <w:lang w:eastAsia="hu-HU"/>
        </w:rPr>
        <w:t>)</w:t>
      </w:r>
    </w:p>
    <w:p w:rsidR="002A7491" w:rsidRPr="004F1F02" w:rsidRDefault="002A7491" w:rsidP="00980876">
      <w:pPr>
        <w:widowControl w:val="0"/>
        <w:numPr>
          <w:ilvl w:val="1"/>
          <w:numId w:val="618"/>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b/>
        </w:rPr>
      </w:pPr>
      <w:r w:rsidRPr="004F1F02">
        <w:rPr>
          <w:rFonts w:ascii="Times New Roman" w:eastAsia="Times New Roman" w:hAnsi="Times New Roman" w:cs="Times New Roman"/>
          <w:bCs/>
          <w:lang w:eastAsia="hu-HU"/>
        </w:rPr>
        <w:t xml:space="preserve"> A gépjárművezető általi karbantartási feladatok végrehajtása. (</w:t>
      </w:r>
      <w:r w:rsidRPr="00E20D60">
        <w:rPr>
          <w:rFonts w:ascii="Times New Roman" w:eastAsia="Times New Roman" w:hAnsi="Times New Roman" w:cs="Times New Roman"/>
          <w:bCs/>
          <w:i/>
          <w:lang w:eastAsia="hu-HU"/>
        </w:rPr>
        <w:t>Fulfilling the maintenance tasks performed by the driver.</w:t>
      </w:r>
      <w:r w:rsidRPr="004F1F02">
        <w:rPr>
          <w:rFonts w:ascii="Times New Roman" w:eastAsia="Times New Roman" w:hAnsi="Times New Roman" w:cs="Times New Roman"/>
          <w:bCs/>
          <w:lang w:eastAsia="hu-HU"/>
        </w:rPr>
        <w:t>)</w:t>
      </w:r>
    </w:p>
    <w:p w:rsidR="002A7491" w:rsidRPr="004F1F02" w:rsidRDefault="002A7491" w:rsidP="00980876">
      <w:pPr>
        <w:widowControl w:val="0"/>
        <w:numPr>
          <w:ilvl w:val="1"/>
          <w:numId w:val="618"/>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4F1F02">
        <w:rPr>
          <w:rFonts w:ascii="Times New Roman" w:eastAsia="Times New Roman" w:hAnsi="Times New Roman" w:cs="Times New Roman"/>
          <w:bCs/>
          <w:lang w:eastAsia="hu-HU"/>
        </w:rPr>
        <w:t xml:space="preserve"> A járművek vontatásra történő előkészítése, a járművek vontatása.</w:t>
      </w:r>
      <w:r w:rsidRPr="004F1F02">
        <w:rPr>
          <w:rFonts w:ascii="Times New Roman" w:eastAsia="Times New Roman" w:hAnsi="Times New Roman" w:cs="Times New Roman"/>
        </w:rPr>
        <w:t xml:space="preserve"> (</w:t>
      </w:r>
      <w:r w:rsidRPr="00E20D60">
        <w:rPr>
          <w:rFonts w:ascii="Times New Roman" w:eastAsia="Times New Roman" w:hAnsi="Times New Roman" w:cs="Times New Roman"/>
          <w:bCs/>
          <w:i/>
        </w:rPr>
        <w:t>Preparing the vehicles for hauling, towing.</w:t>
      </w:r>
      <w:r w:rsidRPr="004F1F02">
        <w:rPr>
          <w:rFonts w:ascii="Times New Roman" w:eastAsia="Times New Roman" w:hAnsi="Times New Roman" w:cs="Times New Roman"/>
        </w:rPr>
        <w:t>)</w:t>
      </w:r>
    </w:p>
    <w:p w:rsidR="002A7491" w:rsidRPr="004F1F02" w:rsidRDefault="002A7491" w:rsidP="00980876">
      <w:pPr>
        <w:widowControl w:val="0"/>
        <w:numPr>
          <w:ilvl w:val="0"/>
          <w:numId w:val="618"/>
        </w:numPr>
        <w:tabs>
          <w:tab w:val="num" w:pos="720"/>
        </w:tabs>
        <w:spacing w:before="120" w:after="120" w:line="240" w:lineRule="auto"/>
        <w:ind w:left="426" w:hanging="142"/>
        <w:jc w:val="both"/>
        <w:rPr>
          <w:rFonts w:ascii="Times New Roman" w:eastAsia="Times New Roman" w:hAnsi="Times New Roman" w:cs="Times New Roman"/>
          <w:bCs/>
        </w:rPr>
      </w:pPr>
      <w:r w:rsidRPr="004F1F02">
        <w:rPr>
          <w:rFonts w:ascii="Times New Roman" w:eastAsia="Times New Roman" w:hAnsi="Times New Roman" w:cs="Times New Roman"/>
          <w:b/>
          <w:bCs/>
        </w:rPr>
        <w:t xml:space="preserve">A tantárgy meghirdetésének gyakorisága/a tantervben történő félévi elhelyezkedése: </w:t>
      </w:r>
      <w:r w:rsidRPr="004F1F02">
        <w:rPr>
          <w:rFonts w:ascii="Times New Roman" w:eastAsia="Times New Roman" w:hAnsi="Times New Roman" w:cs="Times New Roman"/>
          <w:bCs/>
        </w:rPr>
        <w:t>5. félév</w:t>
      </w:r>
    </w:p>
    <w:p w:rsidR="002A7491" w:rsidRDefault="002A7491" w:rsidP="00980876">
      <w:pPr>
        <w:widowControl w:val="0"/>
        <w:numPr>
          <w:ilvl w:val="0"/>
          <w:numId w:val="618"/>
        </w:numPr>
        <w:tabs>
          <w:tab w:val="num" w:pos="720"/>
        </w:tabs>
        <w:spacing w:before="120" w:after="120" w:line="240" w:lineRule="auto"/>
        <w:ind w:left="426" w:hanging="142"/>
        <w:jc w:val="both"/>
        <w:rPr>
          <w:rFonts w:ascii="Times New Roman" w:eastAsia="Times New Roman" w:hAnsi="Times New Roman" w:cs="Times New Roman"/>
          <w:bCs/>
        </w:rPr>
      </w:pPr>
      <w:r w:rsidRPr="004F1F02">
        <w:rPr>
          <w:rFonts w:ascii="Times New Roman" w:eastAsia="Times New Roman" w:hAnsi="Times New Roman" w:cs="Times New Roman"/>
          <w:b/>
          <w:bCs/>
        </w:rPr>
        <w:t>A tanórákon való részvétel követelményei, az elfogadható hiányzások mértéke, a távolmaradás pótlásának lehetősége:</w:t>
      </w:r>
      <w:r w:rsidRPr="004F1F02">
        <w:rPr>
          <w:rFonts w:ascii="Times New Roman" w:eastAsia="Times New Roman" w:hAnsi="Times New Roman" w:cs="Times New Roman"/>
          <w:bCs/>
        </w:rPr>
        <w:t xml:space="preserve"> </w:t>
      </w:r>
    </w:p>
    <w:p w:rsidR="002A7491" w:rsidRPr="004F1F02" w:rsidRDefault="002A7491" w:rsidP="002A7491">
      <w:pPr>
        <w:widowControl w:val="0"/>
        <w:spacing w:before="120" w:after="120" w:line="240" w:lineRule="auto"/>
        <w:ind w:left="426"/>
        <w:jc w:val="both"/>
        <w:rPr>
          <w:rFonts w:ascii="Times New Roman" w:eastAsia="Times New Roman" w:hAnsi="Times New Roman" w:cs="Times New Roman"/>
          <w:bCs/>
        </w:rPr>
      </w:pPr>
      <w:r w:rsidRPr="003417B8">
        <w:rPr>
          <w:rFonts w:ascii="Times New Roman" w:eastAsia="Times New Roman" w:hAnsi="Times New Roman" w:cs="Times New Roman"/>
          <w:bCs/>
        </w:rPr>
        <w:t>A hallgatónak a tanórák legalább 70 %-án jelen kell lennie, 30 %-ot meghaladó hiányzás esetén a félév teljesítése nem írható alá. A hallgató köteles az előadás és a gyakorlat anyagát beszerezni, abból önállóan felkészülni. A hiányzás pótolható az oktató által kijelölt témakörben beadott, legalább elégségesre értékelt házidolgozattal.</w:t>
      </w:r>
    </w:p>
    <w:p w:rsidR="002A7491" w:rsidRPr="004F1F02" w:rsidRDefault="002A7491" w:rsidP="00980876">
      <w:pPr>
        <w:widowControl w:val="0"/>
        <w:numPr>
          <w:ilvl w:val="0"/>
          <w:numId w:val="618"/>
        </w:numPr>
        <w:tabs>
          <w:tab w:val="num" w:pos="720"/>
        </w:tabs>
        <w:spacing w:before="120" w:after="120" w:line="240" w:lineRule="auto"/>
        <w:ind w:left="426" w:hanging="142"/>
        <w:jc w:val="both"/>
        <w:rPr>
          <w:rFonts w:ascii="Times New Roman" w:eastAsia="Times New Roman" w:hAnsi="Times New Roman" w:cs="Times New Roman"/>
          <w:bCs/>
        </w:rPr>
      </w:pPr>
      <w:r w:rsidRPr="004F1F02">
        <w:rPr>
          <w:rFonts w:ascii="Times New Roman" w:eastAsia="Times New Roman" w:hAnsi="Times New Roman" w:cs="Times New Roman"/>
          <w:b/>
        </w:rPr>
        <w:t>Félévközi feladatok, ismeretek ellenőrzésének rendje:</w:t>
      </w:r>
      <w:r w:rsidRPr="004F1F02">
        <w:rPr>
          <w:rFonts w:ascii="Times New Roman" w:eastAsia="Times New Roman" w:hAnsi="Times New Roman" w:cs="Times New Roman"/>
          <w:bCs/>
        </w:rPr>
        <w:t xml:space="preserve"> </w:t>
      </w:r>
      <w:r>
        <w:rPr>
          <w:rFonts w:ascii="Times New Roman" w:eastAsia="Times New Roman" w:hAnsi="Times New Roman" w:cs="Times New Roman"/>
          <w:bCs/>
        </w:rPr>
        <w:t xml:space="preserve">A félév során a hallgató kettő zárthelyi dolgozatot ír. Az első zárthelyi dolgozat a 12.1-12.4. a második zárthelyi dolgozat a 12.5-12.13 tantárgyrészekből áll. </w:t>
      </w:r>
      <w:r>
        <w:rPr>
          <w:rFonts w:ascii="Times New Roman" w:eastAsia="Times New Roman" w:hAnsi="Times New Roman" w:cs="Times New Roman"/>
          <w:bCs/>
          <w:lang w:eastAsia="hu-HU"/>
        </w:rPr>
        <w:t>A zárthelyi dolgozat témáit a kötelező irodalmak anyagából, illetve az előadásokon elhangzott ismeretanyagból kell összeállítani. A zárthelyi dolgozat értékelése ötfokozatú értékelés (a helyes válaszok aránya 0-60% elégtelen; 61-70% elégséges; 71-80% közepes; 81-90% jó; 91-100% jeles osztályzat). Eredménytelen zárthelyi dolgozat kétszer javítható a szorgalmi időszak végéig az oktatóval egyeztetett időpontokban</w:t>
      </w:r>
      <w:r>
        <w:rPr>
          <w:rFonts w:ascii="Times New Roman" w:eastAsia="Times New Roman" w:hAnsi="Times New Roman" w:cs="Times New Roman"/>
          <w:b/>
          <w:bCs/>
          <w:lang w:eastAsia="hu-HU"/>
        </w:rPr>
        <w:t>.</w:t>
      </w:r>
      <w:r>
        <w:rPr>
          <w:rFonts w:ascii="Times New Roman" w:eastAsia="Times New Roman" w:hAnsi="Times New Roman" w:cs="Times New Roman"/>
          <w:bCs/>
          <w:lang w:eastAsia="hu-HU"/>
        </w:rPr>
        <w:t xml:space="preserve"> A dolgozatban teszt és esszé jellegű kérdések egyaránt szerepelnek</w:t>
      </w:r>
      <w:r w:rsidRPr="004F1F02">
        <w:rPr>
          <w:rFonts w:ascii="Times New Roman" w:eastAsia="Times New Roman" w:hAnsi="Times New Roman" w:cs="Times New Roman"/>
          <w:bCs/>
          <w:lang w:eastAsia="hu-HU"/>
        </w:rPr>
        <w:t>.</w:t>
      </w:r>
    </w:p>
    <w:p w:rsidR="002A7491" w:rsidRPr="004F1F02" w:rsidRDefault="002A7491" w:rsidP="00980876">
      <w:pPr>
        <w:widowControl w:val="0"/>
        <w:numPr>
          <w:ilvl w:val="0"/>
          <w:numId w:val="618"/>
        </w:numPr>
        <w:spacing w:before="120" w:after="120" w:line="240" w:lineRule="auto"/>
        <w:ind w:left="426" w:hanging="142"/>
        <w:jc w:val="both"/>
        <w:rPr>
          <w:rFonts w:ascii="Times New Roman" w:eastAsia="Times New Roman" w:hAnsi="Times New Roman" w:cs="Times New Roman"/>
          <w:b/>
          <w:bCs/>
        </w:rPr>
      </w:pPr>
      <w:r w:rsidRPr="004F1F02">
        <w:rPr>
          <w:rFonts w:ascii="Times New Roman" w:eastAsia="Times New Roman" w:hAnsi="Times New Roman" w:cs="Times New Roman"/>
          <w:b/>
          <w:bCs/>
        </w:rPr>
        <w:lastRenderedPageBreak/>
        <w:t xml:space="preserve">Az értékelés, az aláírás és a kreditek megszerzésének pontos feltételei: </w:t>
      </w:r>
    </w:p>
    <w:p w:rsidR="002A7491" w:rsidRPr="004F1F02" w:rsidRDefault="002A7491" w:rsidP="00980876">
      <w:pPr>
        <w:widowControl w:val="0"/>
        <w:numPr>
          <w:ilvl w:val="1"/>
          <w:numId w:val="619"/>
        </w:numPr>
        <w:tabs>
          <w:tab w:val="left" w:pos="709"/>
        </w:tabs>
        <w:spacing w:before="120" w:after="120" w:line="240" w:lineRule="auto"/>
        <w:ind w:left="426" w:hanging="33"/>
        <w:jc w:val="both"/>
        <w:rPr>
          <w:rFonts w:ascii="Times New Roman" w:eastAsia="Times New Roman" w:hAnsi="Times New Roman" w:cs="Times New Roman"/>
        </w:rPr>
      </w:pPr>
      <w:r w:rsidRPr="004F1F02">
        <w:rPr>
          <w:rFonts w:ascii="Times New Roman" w:eastAsia="Times New Roman" w:hAnsi="Times New Roman" w:cs="Times New Roman"/>
          <w:b/>
        </w:rPr>
        <w:t>Az aláírás megszerzésének feltételei:</w:t>
      </w:r>
      <w:r w:rsidRPr="004F1F02">
        <w:rPr>
          <w:rFonts w:ascii="Times New Roman" w:eastAsia="Times New Roman" w:hAnsi="Times New Roman" w:cs="Times New Roman"/>
        </w:rPr>
        <w:t xml:space="preserve"> </w:t>
      </w:r>
      <w:r w:rsidRPr="00FB4BB4">
        <w:rPr>
          <w:rFonts w:ascii="Times New Roman" w:hAnsi="Times New Roman" w:cs="Times New Roman"/>
          <w:bCs/>
        </w:rPr>
        <w:t>Az aláírás megszerzésének feltétele a 14. pontban meghatározott arányú részvétel a foglalkozásokon és a 15. pontban meghatározott félévközi feladatok legalább elégséges teljesítése</w:t>
      </w:r>
      <w:r w:rsidRPr="004F1F02">
        <w:rPr>
          <w:rFonts w:ascii="Times New Roman" w:hAnsi="Times New Roman" w:cs="Times New Roman"/>
          <w:bCs/>
        </w:rPr>
        <w:t>.</w:t>
      </w:r>
    </w:p>
    <w:p w:rsidR="002A7491" w:rsidRPr="004F1F02" w:rsidRDefault="002A7491" w:rsidP="00980876">
      <w:pPr>
        <w:widowControl w:val="0"/>
        <w:numPr>
          <w:ilvl w:val="1"/>
          <w:numId w:val="619"/>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4F1F02">
        <w:rPr>
          <w:rFonts w:ascii="Times New Roman" w:eastAsia="Times New Roman" w:hAnsi="Times New Roman" w:cs="Times New Roman"/>
          <w:b/>
        </w:rPr>
        <w:t xml:space="preserve"> Az értékelés:</w:t>
      </w:r>
      <w:r w:rsidRPr="004F1F02">
        <w:rPr>
          <w:rFonts w:ascii="Times New Roman" w:eastAsia="Times New Roman" w:hAnsi="Times New Roman" w:cs="Times New Roman"/>
        </w:rPr>
        <w:t xml:space="preserve"> </w:t>
      </w:r>
      <w:r w:rsidRPr="004F1F02">
        <w:rPr>
          <w:rFonts w:ascii="Times New Roman" w:hAnsi="Times New Roman" w:cs="Times New Roman"/>
        </w:rPr>
        <w:t>évközi értékelés, ötfokozatú értékelés.</w:t>
      </w:r>
      <w:r w:rsidRPr="004F1F02">
        <w:rPr>
          <w:rFonts w:ascii="Times New Roman" w:hAnsi="Times New Roman" w:cs="Times New Roman"/>
          <w:bCs/>
        </w:rPr>
        <w:t xml:space="preserve"> Az évközi értékelést az elért eredmények kerekített matematikai átlaga képezi.</w:t>
      </w:r>
    </w:p>
    <w:p w:rsidR="002A7491" w:rsidRPr="004F1F02" w:rsidRDefault="002A7491" w:rsidP="00980876">
      <w:pPr>
        <w:widowControl w:val="0"/>
        <w:numPr>
          <w:ilvl w:val="1"/>
          <w:numId w:val="619"/>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4F1F02">
        <w:rPr>
          <w:rFonts w:ascii="Times New Roman" w:eastAsia="Times New Roman" w:hAnsi="Times New Roman" w:cs="Times New Roman"/>
          <w:b/>
        </w:rPr>
        <w:t xml:space="preserve"> A kreditek megszerzésének feltételei:</w:t>
      </w:r>
      <w:r w:rsidRPr="004F1F02">
        <w:rPr>
          <w:rFonts w:ascii="Times New Roman" w:eastAsia="Times New Roman" w:hAnsi="Times New Roman" w:cs="Times New Roman"/>
        </w:rPr>
        <w:t xml:space="preserve"> az aláírás megszerzése és legalább elégséges</w:t>
      </w:r>
      <w:r w:rsidRPr="004F1F02">
        <w:rPr>
          <w:rFonts w:ascii="Times New Roman" w:eastAsia="Times New Roman" w:hAnsi="Times New Roman" w:cs="Times New Roman"/>
          <w:b/>
        </w:rPr>
        <w:t xml:space="preserve"> </w:t>
      </w:r>
      <w:r w:rsidRPr="004F1F02">
        <w:rPr>
          <w:rFonts w:ascii="Times New Roman" w:eastAsia="Times New Roman" w:hAnsi="Times New Roman" w:cs="Times New Roman"/>
        </w:rPr>
        <w:t>évközi értékelés</w:t>
      </w:r>
      <w:r w:rsidRPr="004F1F02">
        <w:rPr>
          <w:rFonts w:ascii="Times New Roman" w:eastAsia="Times New Roman" w:hAnsi="Times New Roman" w:cs="Times New Roman"/>
          <w:bCs/>
        </w:rPr>
        <w:t>.</w:t>
      </w:r>
    </w:p>
    <w:p w:rsidR="002A7491" w:rsidRPr="004F1F02" w:rsidRDefault="002A7491" w:rsidP="00980876">
      <w:pPr>
        <w:widowControl w:val="0"/>
        <w:numPr>
          <w:ilvl w:val="0"/>
          <w:numId w:val="619"/>
        </w:numPr>
        <w:spacing w:before="120" w:after="120" w:line="240" w:lineRule="auto"/>
        <w:ind w:left="426" w:hanging="142"/>
        <w:jc w:val="both"/>
        <w:rPr>
          <w:rFonts w:ascii="Times New Roman" w:eastAsia="Times New Roman" w:hAnsi="Times New Roman" w:cs="Times New Roman"/>
          <w:bCs/>
        </w:rPr>
      </w:pPr>
      <w:r w:rsidRPr="004F1F02">
        <w:rPr>
          <w:rFonts w:ascii="Times New Roman" w:eastAsia="Times New Roman" w:hAnsi="Times New Roman" w:cs="Times New Roman"/>
          <w:b/>
          <w:bCs/>
        </w:rPr>
        <w:t>Irodalomjegyzék:</w:t>
      </w:r>
    </w:p>
    <w:p w:rsidR="002A7491" w:rsidRPr="004F1F02" w:rsidRDefault="002A7491" w:rsidP="00980876">
      <w:pPr>
        <w:widowControl w:val="0"/>
        <w:numPr>
          <w:ilvl w:val="1"/>
          <w:numId w:val="619"/>
        </w:numPr>
        <w:tabs>
          <w:tab w:val="left" w:pos="567"/>
          <w:tab w:val="left" w:pos="851"/>
        </w:tabs>
        <w:spacing w:before="120" w:after="120" w:line="240" w:lineRule="auto"/>
        <w:ind w:left="426" w:hanging="142"/>
        <w:jc w:val="both"/>
        <w:rPr>
          <w:rFonts w:ascii="Times New Roman" w:eastAsia="Times New Roman" w:hAnsi="Times New Roman" w:cs="Times New Roman"/>
          <w:bCs/>
        </w:rPr>
      </w:pPr>
      <w:r w:rsidRPr="004F1F02">
        <w:rPr>
          <w:rFonts w:ascii="Times New Roman" w:eastAsia="Times New Roman" w:hAnsi="Times New Roman" w:cs="Times New Roman"/>
          <w:b/>
          <w:bCs/>
        </w:rPr>
        <w:t>Kötelező irodalom:</w:t>
      </w:r>
    </w:p>
    <w:p w:rsidR="002A7491" w:rsidRPr="004F1F02" w:rsidRDefault="002A7491" w:rsidP="00980876">
      <w:pPr>
        <w:widowControl w:val="0"/>
        <w:numPr>
          <w:ilvl w:val="0"/>
          <w:numId w:val="629"/>
        </w:numPr>
        <w:spacing w:after="0"/>
        <w:ind w:left="709" w:hanging="425"/>
        <w:rPr>
          <w:rFonts w:ascii="Times New Roman" w:eastAsia="Times New Roman" w:hAnsi="Times New Roman" w:cs="Times New Roman"/>
          <w:bCs/>
        </w:rPr>
      </w:pPr>
      <w:r w:rsidRPr="004F1F02">
        <w:rPr>
          <w:rFonts w:ascii="Times New Roman" w:eastAsia="Times New Roman" w:hAnsi="Times New Roman" w:cs="Times New Roman"/>
          <w:bCs/>
        </w:rPr>
        <w:t>Az UAZ-469B típusú terepjáró személygépkocsi anyagismereti és igénybevételi utasítása: gjmű/126. A MH kiadványa, 1976.</w:t>
      </w:r>
    </w:p>
    <w:p w:rsidR="002A7491" w:rsidRPr="004F1F02" w:rsidRDefault="002A7491" w:rsidP="00980876">
      <w:pPr>
        <w:widowControl w:val="0"/>
        <w:numPr>
          <w:ilvl w:val="0"/>
          <w:numId w:val="629"/>
        </w:numPr>
        <w:spacing w:after="0"/>
        <w:ind w:left="709" w:hanging="425"/>
        <w:rPr>
          <w:rFonts w:ascii="Times New Roman" w:eastAsia="Times New Roman" w:hAnsi="Times New Roman" w:cs="Times New Roman"/>
        </w:rPr>
      </w:pPr>
      <w:r w:rsidRPr="004F1F02">
        <w:rPr>
          <w:rFonts w:ascii="Times New Roman" w:eastAsia="Times New Roman" w:hAnsi="Times New Roman" w:cs="Times New Roman"/>
          <w:bCs/>
        </w:rPr>
        <w:t>MB UNIMOG U4000 bevezető tanfolyam Oktatási segédlet a Magyar Honvédség kijelölt gépjárművezető és –szerelő állománya részére. MB-AUTO Magyarország Kft. Oktatóközpont, Budapest, 2003.</w:t>
      </w:r>
    </w:p>
    <w:p w:rsidR="002A7491" w:rsidRPr="004F1F02" w:rsidRDefault="002A7491" w:rsidP="00980876">
      <w:pPr>
        <w:widowControl w:val="0"/>
        <w:numPr>
          <w:ilvl w:val="0"/>
          <w:numId w:val="629"/>
        </w:numPr>
        <w:spacing w:after="0" w:line="240" w:lineRule="auto"/>
        <w:ind w:left="709" w:hanging="425"/>
        <w:jc w:val="both"/>
        <w:rPr>
          <w:rFonts w:ascii="Times New Roman" w:eastAsia="Times New Roman" w:hAnsi="Times New Roman" w:cs="Times New Roman"/>
        </w:rPr>
      </w:pPr>
      <w:r w:rsidRPr="004F1F02">
        <w:rPr>
          <w:rFonts w:ascii="Times New Roman" w:eastAsia="Times New Roman" w:hAnsi="Times New Roman" w:cs="Times New Roman"/>
          <w:bCs/>
        </w:rPr>
        <w:t>RÁBA-</w:t>
      </w:r>
      <w:r w:rsidRPr="004F1F02">
        <w:rPr>
          <w:rFonts w:ascii="Times New Roman" w:eastAsia="Times New Roman" w:hAnsi="Times New Roman" w:cs="Times New Roman"/>
        </w:rPr>
        <w:t>H sorozatú gépjárművek csapatjavítási szakutasítása. A MH kiadványa, HM FLÜ, 2010.</w:t>
      </w:r>
    </w:p>
    <w:p w:rsidR="002A7491" w:rsidRPr="004F1F02" w:rsidRDefault="002A7491" w:rsidP="00980876">
      <w:pPr>
        <w:widowControl w:val="0"/>
        <w:numPr>
          <w:ilvl w:val="1"/>
          <w:numId w:val="619"/>
        </w:numPr>
        <w:tabs>
          <w:tab w:val="num" w:pos="2069"/>
        </w:tabs>
        <w:spacing w:before="120" w:after="120" w:line="240" w:lineRule="auto"/>
        <w:ind w:left="993" w:hanging="709"/>
        <w:jc w:val="both"/>
        <w:rPr>
          <w:rFonts w:ascii="Times New Roman" w:eastAsia="Times New Roman" w:hAnsi="Times New Roman" w:cs="Times New Roman"/>
          <w:b/>
          <w:bCs/>
        </w:rPr>
      </w:pPr>
      <w:r w:rsidRPr="004F1F02">
        <w:rPr>
          <w:rFonts w:ascii="Times New Roman" w:eastAsia="Times New Roman" w:hAnsi="Times New Roman" w:cs="Times New Roman"/>
          <w:b/>
          <w:bCs/>
        </w:rPr>
        <w:t>Ajánlott irodalom:</w:t>
      </w:r>
    </w:p>
    <w:p w:rsidR="002A7491" w:rsidRPr="004F1F02" w:rsidRDefault="002A7491" w:rsidP="00980876">
      <w:pPr>
        <w:pStyle w:val="Listaszerbekezds"/>
        <w:widowControl w:val="0"/>
        <w:numPr>
          <w:ilvl w:val="0"/>
          <w:numId w:val="630"/>
        </w:numPr>
        <w:spacing w:after="0" w:line="240" w:lineRule="auto"/>
        <w:ind w:hanging="436"/>
        <w:jc w:val="both"/>
        <w:rPr>
          <w:rFonts w:ascii="Times New Roman" w:eastAsia="Times New Roman" w:hAnsi="Times New Roman" w:cs="Times New Roman"/>
        </w:rPr>
      </w:pPr>
      <w:r w:rsidRPr="004F1F02">
        <w:rPr>
          <w:rFonts w:ascii="Times New Roman" w:eastAsia="Times New Roman" w:hAnsi="Times New Roman" w:cs="Times New Roman"/>
        </w:rPr>
        <w:t xml:space="preserve">Az UAZ-469B </w:t>
      </w:r>
      <w:r w:rsidRPr="002A7491">
        <w:rPr>
          <w:rFonts w:ascii="Times New Roman" w:eastAsia="Times New Roman" w:hAnsi="Times New Roman" w:cs="Times New Roman"/>
          <w:bCs/>
        </w:rPr>
        <w:t>típusú</w:t>
      </w:r>
      <w:r w:rsidRPr="004F1F02">
        <w:rPr>
          <w:rFonts w:ascii="Times New Roman" w:eastAsia="Times New Roman" w:hAnsi="Times New Roman" w:cs="Times New Roman"/>
        </w:rPr>
        <w:t xml:space="preserve"> terepjáró-gépkocsi javítási utasítása: gjmű/141. A MH kiadványa, Szekszárd, 1977.</w:t>
      </w:r>
    </w:p>
    <w:p w:rsidR="002A7491" w:rsidRPr="004F1F02" w:rsidRDefault="002A7491" w:rsidP="00980876">
      <w:pPr>
        <w:pStyle w:val="Listaszerbekezds"/>
        <w:widowControl w:val="0"/>
        <w:numPr>
          <w:ilvl w:val="0"/>
          <w:numId w:val="630"/>
        </w:numPr>
        <w:spacing w:after="0" w:line="240" w:lineRule="auto"/>
        <w:ind w:hanging="436"/>
        <w:jc w:val="both"/>
        <w:rPr>
          <w:rFonts w:ascii="Times New Roman" w:eastAsia="Times New Roman" w:hAnsi="Times New Roman" w:cs="Times New Roman"/>
          <w:bCs/>
        </w:rPr>
      </w:pPr>
      <w:r w:rsidRPr="004F1F02">
        <w:rPr>
          <w:rFonts w:ascii="Times New Roman" w:eastAsia="Times New Roman" w:hAnsi="Times New Roman" w:cs="Times New Roman"/>
          <w:bCs/>
        </w:rPr>
        <w:t>Az URAL-4320 tehergépkocsi és típusváltozatai: anyagismereti és igénybevételi szakutasítás. A MH kiadványa, Szekszárd, 1985.</w:t>
      </w:r>
    </w:p>
    <w:p w:rsidR="002A7491" w:rsidRDefault="002A7491" w:rsidP="002A7491">
      <w:pPr>
        <w:widowControl w:val="0"/>
        <w:spacing w:before="120" w:after="120" w:line="240" w:lineRule="auto"/>
        <w:jc w:val="both"/>
        <w:rPr>
          <w:rFonts w:ascii="Times New Roman" w:eastAsia="Times New Roman" w:hAnsi="Times New Roman" w:cs="Times New Roman"/>
          <w:bCs/>
        </w:rPr>
      </w:pPr>
    </w:p>
    <w:p w:rsidR="002A7491" w:rsidRPr="004F1F02" w:rsidRDefault="002A7491" w:rsidP="002A7491">
      <w:pPr>
        <w:widowControl w:val="0"/>
        <w:spacing w:before="120" w:after="120" w:line="240" w:lineRule="auto"/>
        <w:ind w:firstLine="284"/>
        <w:jc w:val="both"/>
        <w:rPr>
          <w:rFonts w:ascii="Times New Roman" w:eastAsia="Times New Roman" w:hAnsi="Times New Roman" w:cs="Times New Roman"/>
          <w:bCs/>
        </w:rPr>
      </w:pPr>
      <w:r w:rsidRPr="004F1F02">
        <w:rPr>
          <w:rFonts w:ascii="Times New Roman" w:eastAsia="Times New Roman" w:hAnsi="Times New Roman" w:cs="Times New Roman"/>
          <w:bCs/>
        </w:rPr>
        <w:t xml:space="preserve">Budapest, </w:t>
      </w:r>
      <w:r w:rsidRPr="00B62848">
        <w:rPr>
          <w:rFonts w:ascii="Times New Roman" w:eastAsia="Times New Roman" w:hAnsi="Times New Roman" w:cs="Times New Roman"/>
          <w:bCs/>
        </w:rPr>
        <w:t>2020.03.14.</w:t>
      </w:r>
    </w:p>
    <w:p w:rsidR="002A7491" w:rsidRPr="004F1F02" w:rsidRDefault="002A7491" w:rsidP="002A7491">
      <w:pPr>
        <w:widowControl w:val="0"/>
        <w:spacing w:before="120" w:after="120" w:line="240" w:lineRule="auto"/>
        <w:jc w:val="both"/>
        <w:rPr>
          <w:rFonts w:ascii="Times New Roman" w:eastAsia="Times New Roman" w:hAnsi="Times New Roman" w:cs="Times New Roman"/>
          <w:bCs/>
        </w:rPr>
      </w:pPr>
    </w:p>
    <w:p w:rsidR="002A7491" w:rsidRPr="006B225A" w:rsidRDefault="002A7491" w:rsidP="006B225A">
      <w:pPr>
        <w:widowControl w:val="0"/>
        <w:spacing w:after="0" w:line="240" w:lineRule="auto"/>
        <w:ind w:left="5387"/>
        <w:jc w:val="center"/>
        <w:rPr>
          <w:rFonts w:ascii="Times New Roman" w:eastAsia="Times New Roman" w:hAnsi="Times New Roman" w:cs="Times New Roman"/>
          <w:b/>
          <w:bCs/>
        </w:rPr>
      </w:pPr>
      <w:r w:rsidRPr="006B225A">
        <w:rPr>
          <w:rFonts w:ascii="Times New Roman" w:eastAsia="Times New Roman" w:hAnsi="Times New Roman" w:cs="Times New Roman"/>
          <w:b/>
          <w:bCs/>
        </w:rPr>
        <w:t>Dr. Vég Róbert László PhD</w:t>
      </w:r>
    </w:p>
    <w:p w:rsidR="002A7491" w:rsidRPr="004F1F02" w:rsidRDefault="002A7491" w:rsidP="006B225A">
      <w:pPr>
        <w:widowControl w:val="0"/>
        <w:spacing w:after="0" w:line="240" w:lineRule="auto"/>
        <w:ind w:left="5387"/>
        <w:jc w:val="center"/>
        <w:rPr>
          <w:rFonts w:ascii="Times New Roman" w:eastAsia="Times New Roman" w:hAnsi="Times New Roman" w:cs="Times New Roman"/>
          <w:bCs/>
        </w:rPr>
      </w:pPr>
      <w:r w:rsidRPr="004F1F02">
        <w:rPr>
          <w:rFonts w:ascii="Times New Roman" w:eastAsia="Times New Roman" w:hAnsi="Times New Roman" w:cs="Times New Roman"/>
          <w:bCs/>
        </w:rPr>
        <w:t>egyetemi docens</w:t>
      </w:r>
    </w:p>
    <w:p w:rsidR="002A7491" w:rsidRDefault="002A7491">
      <w:r>
        <w:br w:type="page"/>
      </w:r>
    </w:p>
    <w:tbl>
      <w:tblPr>
        <w:tblW w:w="9072" w:type="dxa"/>
        <w:tblInd w:w="113" w:type="dxa"/>
        <w:tblLook w:val="01E0" w:firstRow="1" w:lastRow="1" w:firstColumn="1" w:lastColumn="1" w:noHBand="0" w:noVBand="0"/>
      </w:tblPr>
      <w:tblGrid>
        <w:gridCol w:w="4855"/>
        <w:gridCol w:w="1620"/>
        <w:gridCol w:w="2597"/>
      </w:tblGrid>
      <w:tr w:rsidR="00A3436E" w:rsidRPr="000B1A81" w:rsidTr="00A3436E">
        <w:tc>
          <w:tcPr>
            <w:tcW w:w="4855" w:type="dxa"/>
            <w:tcBorders>
              <w:bottom w:val="single" w:sz="4" w:space="0" w:color="auto"/>
            </w:tcBorders>
          </w:tcPr>
          <w:p w:rsidR="00A3436E" w:rsidRPr="000B1A81" w:rsidRDefault="00A3436E" w:rsidP="00A3436E">
            <w:pPr>
              <w:spacing w:after="0" w:line="240" w:lineRule="auto"/>
              <w:jc w:val="center"/>
              <w:rPr>
                <w:rFonts w:ascii="Times New Roman" w:eastAsia="Times New Roman" w:hAnsi="Times New Roman" w:cs="Times New Roman"/>
                <w:b/>
                <w:smallCaps/>
                <w:lang w:eastAsia="hu-HU"/>
              </w:rPr>
            </w:pPr>
            <w:r w:rsidRPr="000B1A81">
              <w:rPr>
                <w:rFonts w:ascii="Times New Roman" w:eastAsia="Times New Roman" w:hAnsi="Times New Roman" w:cs="Times New Roman"/>
                <w:b/>
                <w:smallCaps/>
                <w:lang w:eastAsia="hu-HU"/>
              </w:rPr>
              <w:lastRenderedPageBreak/>
              <w:t>Nemzeti Közszolgálati Egyetem</w:t>
            </w:r>
          </w:p>
        </w:tc>
        <w:tc>
          <w:tcPr>
            <w:tcW w:w="1620" w:type="dxa"/>
          </w:tcPr>
          <w:p w:rsidR="00A3436E" w:rsidRPr="000B1A81" w:rsidRDefault="00A3436E" w:rsidP="00A3436E">
            <w:pPr>
              <w:spacing w:after="0" w:line="240" w:lineRule="auto"/>
              <w:jc w:val="both"/>
              <w:rPr>
                <w:rFonts w:ascii="Times New Roman" w:eastAsia="Times New Roman" w:hAnsi="Times New Roman" w:cs="Times New Roman"/>
                <w:lang w:eastAsia="hu-HU"/>
              </w:rPr>
            </w:pPr>
          </w:p>
        </w:tc>
        <w:tc>
          <w:tcPr>
            <w:tcW w:w="2597" w:type="dxa"/>
          </w:tcPr>
          <w:p w:rsidR="00A3436E" w:rsidRPr="000B1A81" w:rsidRDefault="00A3436E" w:rsidP="00A3436E">
            <w:pPr>
              <w:spacing w:after="0" w:line="240" w:lineRule="auto"/>
              <w:jc w:val="right"/>
              <w:rPr>
                <w:rFonts w:ascii="Times New Roman" w:eastAsia="Times New Roman" w:hAnsi="Times New Roman" w:cs="Times New Roman"/>
                <w:lang w:eastAsia="hu-HU"/>
              </w:rPr>
            </w:pPr>
          </w:p>
        </w:tc>
      </w:tr>
      <w:tr w:rsidR="00A3436E" w:rsidRPr="000B1A81" w:rsidTr="00A3436E">
        <w:tc>
          <w:tcPr>
            <w:tcW w:w="4855" w:type="dxa"/>
            <w:tcBorders>
              <w:top w:val="single" w:sz="4" w:space="0" w:color="auto"/>
            </w:tcBorders>
          </w:tcPr>
          <w:p w:rsidR="00A3436E" w:rsidRPr="000B1A81" w:rsidRDefault="00A3436E" w:rsidP="00A3436E">
            <w:pPr>
              <w:spacing w:after="0" w:line="240" w:lineRule="auto"/>
              <w:jc w:val="center"/>
              <w:rPr>
                <w:rFonts w:ascii="Times New Roman" w:eastAsia="Times New Roman" w:hAnsi="Times New Roman" w:cs="Times New Roman"/>
                <w:b/>
                <w:lang w:eastAsia="hu-HU"/>
              </w:rPr>
            </w:pPr>
            <w:r w:rsidRPr="000B1A81">
              <w:rPr>
                <w:rFonts w:ascii="Times New Roman" w:eastAsia="Times New Roman" w:hAnsi="Times New Roman" w:cs="Times New Roman"/>
                <w:b/>
                <w:lang w:eastAsia="hu-HU"/>
              </w:rPr>
              <w:t>Hadtudományi és Honvédtisztképző Kar</w:t>
            </w:r>
          </w:p>
        </w:tc>
        <w:tc>
          <w:tcPr>
            <w:tcW w:w="1620" w:type="dxa"/>
          </w:tcPr>
          <w:p w:rsidR="00A3436E" w:rsidRPr="000B1A81" w:rsidRDefault="00A3436E" w:rsidP="00A3436E">
            <w:pPr>
              <w:spacing w:after="0" w:line="240" w:lineRule="auto"/>
              <w:jc w:val="both"/>
              <w:rPr>
                <w:rFonts w:ascii="Times New Roman" w:eastAsia="Times New Roman" w:hAnsi="Times New Roman" w:cs="Times New Roman"/>
                <w:lang w:eastAsia="hu-HU"/>
              </w:rPr>
            </w:pPr>
          </w:p>
        </w:tc>
        <w:tc>
          <w:tcPr>
            <w:tcW w:w="2597" w:type="dxa"/>
          </w:tcPr>
          <w:p w:rsidR="00A3436E" w:rsidRPr="000B1A81" w:rsidRDefault="00A3436E" w:rsidP="00A3436E">
            <w:pPr>
              <w:spacing w:after="0" w:line="240" w:lineRule="auto"/>
              <w:jc w:val="both"/>
              <w:rPr>
                <w:rFonts w:ascii="Times New Roman" w:eastAsia="Times New Roman" w:hAnsi="Times New Roman" w:cs="Times New Roman"/>
                <w:lang w:eastAsia="hu-HU"/>
              </w:rPr>
            </w:pPr>
          </w:p>
        </w:tc>
      </w:tr>
    </w:tbl>
    <w:p w:rsidR="00A3436E" w:rsidRPr="000B1A81" w:rsidRDefault="00A3436E" w:rsidP="00A3436E">
      <w:pPr>
        <w:widowControl w:val="0"/>
        <w:spacing w:before="120" w:after="120" w:line="240" w:lineRule="auto"/>
        <w:ind w:left="426" w:hanging="142"/>
        <w:jc w:val="center"/>
        <w:rPr>
          <w:rFonts w:ascii="Times New Roman" w:eastAsia="Times New Roman" w:hAnsi="Times New Roman" w:cs="Times New Roman"/>
          <w:b/>
          <w:bCs/>
        </w:rPr>
      </w:pPr>
    </w:p>
    <w:p w:rsidR="00A3436E" w:rsidRPr="000B1A81" w:rsidRDefault="00A3436E" w:rsidP="00A3436E">
      <w:pPr>
        <w:widowControl w:val="0"/>
        <w:spacing w:before="120" w:after="120" w:line="240" w:lineRule="auto"/>
        <w:ind w:left="426" w:hanging="142"/>
        <w:jc w:val="center"/>
        <w:rPr>
          <w:rFonts w:ascii="Times New Roman" w:eastAsia="Times New Roman" w:hAnsi="Times New Roman" w:cs="Times New Roman"/>
          <w:b/>
          <w:bCs/>
        </w:rPr>
      </w:pPr>
      <w:r w:rsidRPr="000B1A81">
        <w:rPr>
          <w:rFonts w:ascii="Times New Roman" w:eastAsia="Times New Roman" w:hAnsi="Times New Roman" w:cs="Times New Roman"/>
          <w:b/>
          <w:bCs/>
        </w:rPr>
        <w:t>TANTÁRGYI PROGRAM</w:t>
      </w:r>
    </w:p>
    <w:p w:rsidR="00A3436E" w:rsidRPr="000B1A81" w:rsidRDefault="00A3436E" w:rsidP="00980876">
      <w:pPr>
        <w:widowControl w:val="0"/>
        <w:numPr>
          <w:ilvl w:val="0"/>
          <w:numId w:val="328"/>
        </w:numPr>
        <w:spacing w:before="120" w:after="120" w:line="240" w:lineRule="auto"/>
        <w:ind w:left="426" w:hanging="142"/>
        <w:jc w:val="both"/>
        <w:rPr>
          <w:rFonts w:ascii="Times New Roman" w:eastAsia="Times New Roman" w:hAnsi="Times New Roman" w:cs="Times New Roman"/>
          <w:bCs/>
        </w:rPr>
      </w:pPr>
      <w:r w:rsidRPr="000B1A81">
        <w:rPr>
          <w:rFonts w:ascii="Times New Roman" w:eastAsia="Times New Roman" w:hAnsi="Times New Roman" w:cs="Times New Roman"/>
          <w:b/>
          <w:bCs/>
        </w:rPr>
        <w:t xml:space="preserve">A tantárgy kódja: </w:t>
      </w:r>
      <w:r w:rsidRPr="000B1A81">
        <w:rPr>
          <w:rFonts w:ascii="Times New Roman" w:eastAsia="Times New Roman" w:hAnsi="Times New Roman" w:cs="Times New Roman"/>
          <w:bCs/>
        </w:rPr>
        <w:t>HKHDTA</w:t>
      </w:r>
      <w:r>
        <w:rPr>
          <w:rFonts w:ascii="Times New Roman" w:eastAsia="Times New Roman" w:hAnsi="Times New Roman" w:cs="Times New Roman"/>
          <w:bCs/>
        </w:rPr>
        <w:t>10</w:t>
      </w:r>
    </w:p>
    <w:p w:rsidR="00A3436E" w:rsidRPr="000B1A81" w:rsidRDefault="00A3436E" w:rsidP="00980876">
      <w:pPr>
        <w:widowControl w:val="0"/>
        <w:numPr>
          <w:ilvl w:val="0"/>
          <w:numId w:val="328"/>
        </w:numPr>
        <w:spacing w:before="120" w:after="120" w:line="240" w:lineRule="auto"/>
        <w:ind w:left="426" w:hanging="142"/>
        <w:jc w:val="both"/>
        <w:rPr>
          <w:rFonts w:ascii="Times New Roman" w:eastAsia="Times New Roman" w:hAnsi="Times New Roman" w:cs="Times New Roman"/>
          <w:b/>
          <w:bCs/>
          <w:lang w:val="en-GB"/>
        </w:rPr>
      </w:pPr>
      <w:r w:rsidRPr="000B1A81">
        <w:rPr>
          <w:rFonts w:ascii="Times New Roman" w:eastAsia="Times New Roman" w:hAnsi="Times New Roman" w:cs="Times New Roman"/>
          <w:b/>
          <w:bCs/>
        </w:rPr>
        <w:t>A tantárgy megnevezése (magyarul):</w:t>
      </w:r>
      <w:r w:rsidRPr="000B1A81">
        <w:rPr>
          <w:rFonts w:ascii="Times New Roman" w:eastAsia="Times New Roman" w:hAnsi="Times New Roman" w:cs="Times New Roman"/>
          <w:bCs/>
        </w:rPr>
        <w:t xml:space="preserve"> </w:t>
      </w:r>
      <w:r>
        <w:rPr>
          <w:rFonts w:ascii="Times New Roman" w:hAnsi="Times New Roman" w:cs="Times New Roman"/>
          <w:bCs/>
        </w:rPr>
        <w:t>Szakharcászat</w:t>
      </w:r>
    </w:p>
    <w:p w:rsidR="00A3436E" w:rsidRPr="000B1A81" w:rsidRDefault="00A3436E" w:rsidP="00980876">
      <w:pPr>
        <w:widowControl w:val="0"/>
        <w:numPr>
          <w:ilvl w:val="0"/>
          <w:numId w:val="328"/>
        </w:numPr>
        <w:spacing w:before="120" w:after="120" w:line="240" w:lineRule="auto"/>
        <w:ind w:left="426" w:hanging="142"/>
        <w:jc w:val="both"/>
        <w:rPr>
          <w:rFonts w:ascii="Times New Roman" w:eastAsia="Times New Roman" w:hAnsi="Times New Roman" w:cs="Times New Roman"/>
          <w:b/>
          <w:bCs/>
          <w:lang w:val="en-GB"/>
        </w:rPr>
      </w:pPr>
      <w:r w:rsidRPr="000B1A81">
        <w:rPr>
          <w:rFonts w:ascii="Times New Roman" w:eastAsia="Times New Roman" w:hAnsi="Times New Roman" w:cs="Times New Roman"/>
          <w:b/>
          <w:bCs/>
        </w:rPr>
        <w:t xml:space="preserve">A tantárgy megnevezése (angolul): </w:t>
      </w:r>
      <w:r>
        <w:rPr>
          <w:rFonts w:ascii="Times New Roman" w:hAnsi="Times New Roman" w:cs="Times New Roman"/>
          <w:bCs/>
        </w:rPr>
        <w:t>Technology support of military operations</w:t>
      </w:r>
    </w:p>
    <w:p w:rsidR="00A3436E" w:rsidRPr="000B1A81" w:rsidRDefault="00A3436E" w:rsidP="00980876">
      <w:pPr>
        <w:widowControl w:val="0"/>
        <w:numPr>
          <w:ilvl w:val="0"/>
          <w:numId w:val="328"/>
        </w:numPr>
        <w:spacing w:before="120" w:after="120" w:line="240" w:lineRule="auto"/>
        <w:ind w:left="426" w:hanging="142"/>
        <w:jc w:val="both"/>
        <w:rPr>
          <w:rFonts w:ascii="Times New Roman" w:eastAsia="Times New Roman" w:hAnsi="Times New Roman" w:cs="Times New Roman"/>
          <w:b/>
          <w:bCs/>
        </w:rPr>
      </w:pPr>
      <w:r w:rsidRPr="000B1A81">
        <w:rPr>
          <w:rFonts w:ascii="Times New Roman" w:eastAsia="Times New Roman" w:hAnsi="Times New Roman" w:cs="Times New Roman"/>
          <w:b/>
          <w:bCs/>
        </w:rPr>
        <w:t xml:space="preserve">Kreditérték és képzési karakter: </w:t>
      </w:r>
    </w:p>
    <w:p w:rsidR="00A3436E" w:rsidRPr="005959AA" w:rsidRDefault="00A3436E" w:rsidP="00980876">
      <w:pPr>
        <w:widowControl w:val="0"/>
        <w:numPr>
          <w:ilvl w:val="1"/>
          <w:numId w:val="328"/>
        </w:numPr>
        <w:spacing w:before="120" w:after="120" w:line="240" w:lineRule="auto"/>
        <w:ind w:left="851" w:hanging="425"/>
        <w:jc w:val="both"/>
        <w:rPr>
          <w:rFonts w:ascii="Times New Roman" w:eastAsia="Times New Roman" w:hAnsi="Times New Roman" w:cs="Times New Roman"/>
          <w:bCs/>
        </w:rPr>
      </w:pPr>
      <w:r w:rsidRPr="000B1A81">
        <w:rPr>
          <w:rFonts w:ascii="Times New Roman" w:eastAsia="Times New Roman" w:hAnsi="Times New Roman" w:cs="Times New Roman"/>
          <w:bCs/>
        </w:rPr>
        <w:t>2 kredit</w:t>
      </w:r>
    </w:p>
    <w:p w:rsidR="00A3436E" w:rsidRPr="005959AA" w:rsidRDefault="00A3436E" w:rsidP="00980876">
      <w:pPr>
        <w:widowControl w:val="0"/>
        <w:numPr>
          <w:ilvl w:val="1"/>
          <w:numId w:val="328"/>
        </w:numPr>
        <w:spacing w:before="120" w:after="120" w:line="240" w:lineRule="auto"/>
        <w:ind w:left="851" w:hanging="425"/>
        <w:jc w:val="both"/>
        <w:rPr>
          <w:rFonts w:ascii="Times New Roman" w:eastAsia="Times New Roman" w:hAnsi="Times New Roman" w:cs="Times New Roman"/>
          <w:bCs/>
        </w:rPr>
      </w:pPr>
      <w:r w:rsidRPr="000B1A81">
        <w:rPr>
          <w:rFonts w:ascii="Times New Roman" w:eastAsia="Times New Roman" w:hAnsi="Times New Roman" w:cs="Times New Roman"/>
          <w:bCs/>
        </w:rPr>
        <w:t>a tantárgy elméleti vagy gyakorlati jellegének mértéke: 50</w:t>
      </w:r>
      <w:r w:rsidRPr="005959AA">
        <w:rPr>
          <w:rFonts w:ascii="Times New Roman" w:eastAsia="Times New Roman" w:hAnsi="Times New Roman" w:cs="Times New Roman"/>
          <w:bCs/>
        </w:rPr>
        <w:t xml:space="preserve"> </w:t>
      </w:r>
      <w:r w:rsidRPr="000B1A81">
        <w:rPr>
          <w:rFonts w:ascii="Times New Roman" w:eastAsia="Times New Roman" w:hAnsi="Times New Roman" w:cs="Times New Roman"/>
          <w:bCs/>
        </w:rPr>
        <w:t>% gyakorlat, 50 % elmélet</w:t>
      </w:r>
    </w:p>
    <w:p w:rsidR="00A3436E" w:rsidRPr="000B1A81" w:rsidRDefault="00A3436E" w:rsidP="00980876">
      <w:pPr>
        <w:widowControl w:val="0"/>
        <w:numPr>
          <w:ilvl w:val="0"/>
          <w:numId w:val="328"/>
        </w:numPr>
        <w:spacing w:before="120" w:after="120" w:line="240" w:lineRule="auto"/>
        <w:ind w:left="426" w:hanging="142"/>
        <w:jc w:val="both"/>
        <w:rPr>
          <w:rFonts w:ascii="Times New Roman" w:eastAsia="Times New Roman" w:hAnsi="Times New Roman" w:cs="Times New Roman"/>
          <w:bCs/>
        </w:rPr>
      </w:pPr>
      <w:r w:rsidRPr="000B1A81">
        <w:rPr>
          <w:rFonts w:ascii="Times New Roman" w:eastAsia="Times New Roman" w:hAnsi="Times New Roman" w:cs="Times New Roman"/>
          <w:b/>
          <w:bCs/>
        </w:rPr>
        <w:t>A szak(ok), szakirányok/specializációk megnevezése (ahol oktatják):</w:t>
      </w:r>
      <w:r w:rsidRPr="000B1A81">
        <w:rPr>
          <w:rFonts w:ascii="Times New Roman" w:eastAsia="Times New Roman" w:hAnsi="Times New Roman" w:cs="Times New Roman"/>
          <w:bCs/>
        </w:rPr>
        <w:t xml:space="preserve"> Katonai logisztika alapképzési szak</w:t>
      </w:r>
    </w:p>
    <w:p w:rsidR="00A3436E" w:rsidRPr="000B1A81" w:rsidRDefault="00A3436E" w:rsidP="00980876">
      <w:pPr>
        <w:widowControl w:val="0"/>
        <w:numPr>
          <w:ilvl w:val="0"/>
          <w:numId w:val="328"/>
        </w:numPr>
        <w:spacing w:before="120" w:after="120" w:line="240" w:lineRule="auto"/>
        <w:ind w:left="426" w:hanging="142"/>
        <w:jc w:val="both"/>
        <w:rPr>
          <w:rFonts w:ascii="Times New Roman" w:eastAsia="Times New Roman" w:hAnsi="Times New Roman" w:cs="Times New Roman"/>
          <w:bCs/>
        </w:rPr>
      </w:pPr>
      <w:r w:rsidRPr="000B1A81">
        <w:rPr>
          <w:rFonts w:ascii="Times New Roman" w:eastAsia="Times New Roman" w:hAnsi="Times New Roman" w:cs="Times New Roman"/>
          <w:b/>
          <w:bCs/>
        </w:rPr>
        <w:t xml:space="preserve">Az oktatásért felelős oktatási szervezeti egység megnevezése: </w:t>
      </w:r>
      <w:r w:rsidRPr="000B1A81">
        <w:rPr>
          <w:rFonts w:ascii="Times New Roman" w:eastAsia="Times New Roman" w:hAnsi="Times New Roman" w:cs="Times New Roman"/>
          <w:bCs/>
        </w:rPr>
        <w:t xml:space="preserve">NKE </w:t>
      </w:r>
      <w:r w:rsidRPr="000B1A81">
        <w:rPr>
          <w:rFonts w:ascii="Times New Roman" w:hAnsi="Times New Roman" w:cs="Times New Roman"/>
          <w:bCs/>
          <w:kern w:val="2"/>
        </w:rPr>
        <w:t>Hadtudományi és Honvédtisztképző Kar,</w:t>
      </w:r>
      <w:r w:rsidRPr="000B1A81">
        <w:rPr>
          <w:rFonts w:ascii="Times New Roman" w:eastAsia="Times New Roman" w:hAnsi="Times New Roman" w:cs="Times New Roman"/>
          <w:bCs/>
        </w:rPr>
        <w:t xml:space="preserve"> Haditechnikai Tanszék</w:t>
      </w:r>
    </w:p>
    <w:p w:rsidR="00A3436E" w:rsidRPr="000B1A81" w:rsidRDefault="00A3436E" w:rsidP="00980876">
      <w:pPr>
        <w:widowControl w:val="0"/>
        <w:numPr>
          <w:ilvl w:val="0"/>
          <w:numId w:val="328"/>
        </w:numPr>
        <w:spacing w:before="120" w:after="120" w:line="240" w:lineRule="auto"/>
        <w:ind w:left="426" w:hanging="142"/>
        <w:jc w:val="both"/>
        <w:rPr>
          <w:rFonts w:ascii="Times New Roman" w:eastAsia="Times New Roman" w:hAnsi="Times New Roman" w:cs="Times New Roman"/>
          <w:bCs/>
        </w:rPr>
      </w:pPr>
      <w:r w:rsidRPr="000B1A81">
        <w:rPr>
          <w:rFonts w:ascii="Times New Roman" w:eastAsia="Times New Roman" w:hAnsi="Times New Roman" w:cs="Times New Roman"/>
          <w:b/>
          <w:bCs/>
        </w:rPr>
        <w:t>A tantárgyfelelős oktató neve, beosztása, tudományos fokozata:</w:t>
      </w:r>
      <w:r w:rsidRPr="000B1A81">
        <w:rPr>
          <w:rFonts w:ascii="Times New Roman" w:eastAsia="Times New Roman" w:hAnsi="Times New Roman" w:cs="Times New Roman"/>
          <w:bCs/>
        </w:rPr>
        <w:t xml:space="preserve"> Dr. Gávay György Viktor, adjunktus, PhD.</w:t>
      </w:r>
    </w:p>
    <w:p w:rsidR="00A3436E" w:rsidRPr="000B1A81" w:rsidRDefault="00A3436E" w:rsidP="00980876">
      <w:pPr>
        <w:widowControl w:val="0"/>
        <w:numPr>
          <w:ilvl w:val="0"/>
          <w:numId w:val="328"/>
        </w:numPr>
        <w:spacing w:before="120" w:after="120" w:line="240" w:lineRule="auto"/>
        <w:ind w:left="426" w:hanging="142"/>
        <w:jc w:val="both"/>
        <w:rPr>
          <w:rFonts w:ascii="Times New Roman" w:eastAsia="Times New Roman" w:hAnsi="Times New Roman" w:cs="Times New Roman"/>
          <w:bCs/>
        </w:rPr>
      </w:pPr>
      <w:r w:rsidRPr="000B1A81">
        <w:rPr>
          <w:rFonts w:ascii="Times New Roman" w:eastAsia="Times New Roman" w:hAnsi="Times New Roman" w:cs="Times New Roman"/>
          <w:b/>
          <w:bCs/>
        </w:rPr>
        <w:t>A tanórák száma és típusa</w:t>
      </w:r>
    </w:p>
    <w:p w:rsidR="00A3436E" w:rsidRPr="000B1A81" w:rsidRDefault="00A3436E" w:rsidP="00980876">
      <w:pPr>
        <w:widowControl w:val="0"/>
        <w:numPr>
          <w:ilvl w:val="1"/>
          <w:numId w:val="328"/>
        </w:numPr>
        <w:spacing w:before="120" w:after="120" w:line="240" w:lineRule="auto"/>
        <w:ind w:left="851" w:hanging="425"/>
        <w:jc w:val="both"/>
        <w:rPr>
          <w:rFonts w:ascii="Times New Roman" w:eastAsia="Times New Roman" w:hAnsi="Times New Roman" w:cs="Times New Roman"/>
          <w:b/>
          <w:bCs/>
        </w:rPr>
      </w:pPr>
      <w:r w:rsidRPr="000B1A81">
        <w:rPr>
          <w:rFonts w:ascii="Times New Roman" w:eastAsia="Times New Roman" w:hAnsi="Times New Roman" w:cs="Times New Roman"/>
          <w:bCs/>
        </w:rPr>
        <w:t>össz óraszám/félév:</w:t>
      </w:r>
    </w:p>
    <w:p w:rsidR="00A3436E" w:rsidRPr="000B1A81" w:rsidRDefault="00A3436E" w:rsidP="00980876">
      <w:pPr>
        <w:widowControl w:val="0"/>
        <w:numPr>
          <w:ilvl w:val="2"/>
          <w:numId w:val="328"/>
        </w:numPr>
        <w:tabs>
          <w:tab w:val="clear" w:pos="1800"/>
        </w:tabs>
        <w:spacing w:before="120" w:after="120" w:line="240" w:lineRule="auto"/>
        <w:ind w:left="1134" w:hanging="566"/>
        <w:jc w:val="both"/>
        <w:rPr>
          <w:rFonts w:ascii="Times New Roman" w:eastAsia="Times New Roman" w:hAnsi="Times New Roman" w:cs="Times New Roman"/>
          <w:bCs/>
        </w:rPr>
      </w:pPr>
      <w:r w:rsidRPr="000B1A81">
        <w:rPr>
          <w:rFonts w:ascii="Times New Roman" w:eastAsia="Times New Roman" w:hAnsi="Times New Roman" w:cs="Times New Roman"/>
          <w:bCs/>
        </w:rPr>
        <w:t>nappali munkarend: 28 (14 EA + 0 SZ + 14 GY)</w:t>
      </w:r>
    </w:p>
    <w:p w:rsidR="00A3436E" w:rsidRPr="000B1A81" w:rsidRDefault="00A3436E" w:rsidP="00980876">
      <w:pPr>
        <w:widowControl w:val="0"/>
        <w:numPr>
          <w:ilvl w:val="2"/>
          <w:numId w:val="328"/>
        </w:numPr>
        <w:tabs>
          <w:tab w:val="clear" w:pos="1800"/>
        </w:tabs>
        <w:spacing w:before="120" w:after="120" w:line="240" w:lineRule="auto"/>
        <w:ind w:left="1134" w:hanging="566"/>
        <w:jc w:val="both"/>
        <w:rPr>
          <w:rFonts w:ascii="Times New Roman" w:eastAsia="Times New Roman" w:hAnsi="Times New Roman" w:cs="Times New Roman"/>
          <w:bCs/>
        </w:rPr>
      </w:pPr>
      <w:r w:rsidRPr="000B1A81">
        <w:rPr>
          <w:rFonts w:ascii="Times New Roman" w:eastAsia="Times New Roman" w:hAnsi="Times New Roman" w:cs="Times New Roman"/>
          <w:bCs/>
        </w:rPr>
        <w:t>levelező munkarend: -</w:t>
      </w:r>
    </w:p>
    <w:p w:rsidR="00A3436E" w:rsidRPr="000B1A81" w:rsidRDefault="00A3436E" w:rsidP="00980876">
      <w:pPr>
        <w:widowControl w:val="0"/>
        <w:numPr>
          <w:ilvl w:val="1"/>
          <w:numId w:val="328"/>
        </w:numPr>
        <w:spacing w:before="120" w:after="120" w:line="240" w:lineRule="auto"/>
        <w:ind w:left="851" w:hanging="425"/>
        <w:jc w:val="both"/>
        <w:rPr>
          <w:rFonts w:ascii="Times New Roman" w:eastAsia="Times New Roman" w:hAnsi="Times New Roman" w:cs="Times New Roman"/>
          <w:bCs/>
        </w:rPr>
      </w:pPr>
      <w:r w:rsidRPr="000B1A81">
        <w:rPr>
          <w:rFonts w:ascii="Times New Roman" w:eastAsia="Times New Roman" w:hAnsi="Times New Roman" w:cs="Times New Roman"/>
          <w:bCs/>
        </w:rPr>
        <w:t>heti óraszám - nappali munkarend: 2</w:t>
      </w:r>
      <w:r w:rsidR="008362A4">
        <w:rPr>
          <w:rFonts w:ascii="Times New Roman" w:eastAsia="Times New Roman" w:hAnsi="Times New Roman" w:cs="Times New Roman"/>
          <w:bCs/>
        </w:rPr>
        <w:t xml:space="preserve"> (1+1)</w:t>
      </w:r>
    </w:p>
    <w:p w:rsidR="00A3436E" w:rsidRPr="000B1A81" w:rsidRDefault="00A3436E" w:rsidP="00980876">
      <w:pPr>
        <w:widowControl w:val="0"/>
        <w:numPr>
          <w:ilvl w:val="1"/>
          <w:numId w:val="328"/>
        </w:numPr>
        <w:spacing w:before="120" w:after="120" w:line="240" w:lineRule="auto"/>
        <w:ind w:left="851" w:hanging="425"/>
        <w:jc w:val="both"/>
        <w:rPr>
          <w:rFonts w:ascii="Times New Roman" w:eastAsia="Times New Roman" w:hAnsi="Times New Roman" w:cs="Times New Roman"/>
          <w:bCs/>
        </w:rPr>
      </w:pPr>
      <w:r w:rsidRPr="000B1A81">
        <w:rPr>
          <w:rFonts w:ascii="Times New Roman" w:hAnsi="Times New Roman" w:cs="Times New Roman"/>
        </w:rPr>
        <w:t xml:space="preserve">Az ismeret átadásában alkalmazandó további sajátos módok, jellemzők: </w:t>
      </w:r>
      <w:r w:rsidRPr="000B1A81">
        <w:rPr>
          <w:rFonts w:ascii="Times New Roman" w:hAnsi="Times New Roman" w:cs="Times New Roman"/>
          <w:bCs/>
        </w:rPr>
        <w:t>Az ismeretek feldolgozása vegyes tanulási program (blended learning) alapján történik.</w:t>
      </w:r>
    </w:p>
    <w:p w:rsidR="00A3436E" w:rsidRPr="00CF79FE" w:rsidRDefault="00A3436E" w:rsidP="00980876">
      <w:pPr>
        <w:widowControl w:val="0"/>
        <w:numPr>
          <w:ilvl w:val="0"/>
          <w:numId w:val="328"/>
        </w:numPr>
        <w:spacing w:before="120" w:after="120" w:line="240" w:lineRule="auto"/>
        <w:jc w:val="both"/>
        <w:rPr>
          <w:rFonts w:ascii="Times New Roman" w:eastAsia="Times New Roman" w:hAnsi="Times New Roman" w:cs="Times New Roman"/>
          <w:bCs/>
        </w:rPr>
      </w:pPr>
      <w:r w:rsidRPr="000B1A81">
        <w:rPr>
          <w:rFonts w:ascii="Times New Roman" w:eastAsia="Times New Roman" w:hAnsi="Times New Roman" w:cs="Times New Roman"/>
          <w:b/>
          <w:bCs/>
        </w:rPr>
        <w:t>A tantárgy szakmai tartalma (magyarul):</w:t>
      </w:r>
      <w:r w:rsidRPr="000B1A81">
        <w:rPr>
          <w:rFonts w:ascii="Times New Roman" w:eastAsia="Times New Roman" w:hAnsi="Times New Roman" w:cs="Times New Roman"/>
          <w:bCs/>
        </w:rPr>
        <w:t xml:space="preserve"> </w:t>
      </w:r>
      <w:r w:rsidRPr="00CF79FE">
        <w:rPr>
          <w:rFonts w:ascii="Times New Roman" w:eastAsia="Times New Roman" w:hAnsi="Times New Roman" w:cs="Times New Roman"/>
          <w:bCs/>
        </w:rPr>
        <w:t>A katonai műveletek páncélos és gépjárműtechnikai biztosításának alapfogalmai</w:t>
      </w:r>
      <w:r>
        <w:rPr>
          <w:rFonts w:ascii="Times New Roman" w:eastAsia="Times New Roman" w:hAnsi="Times New Roman" w:cs="Times New Roman"/>
          <w:bCs/>
        </w:rPr>
        <w:t xml:space="preserve">. </w:t>
      </w:r>
      <w:r w:rsidRPr="00CF79FE">
        <w:rPr>
          <w:rFonts w:ascii="Times New Roman" w:eastAsia="Times New Roman" w:hAnsi="Times New Roman" w:cs="Times New Roman"/>
          <w:bCs/>
        </w:rPr>
        <w:t>A javító szakalegységek (javítószázad, karbantartó szakasz) szervezete.</w:t>
      </w:r>
      <w:r>
        <w:rPr>
          <w:rFonts w:ascii="Times New Roman" w:eastAsia="Times New Roman" w:hAnsi="Times New Roman" w:cs="Times New Roman"/>
          <w:bCs/>
        </w:rPr>
        <w:t xml:space="preserve"> </w:t>
      </w:r>
      <w:r w:rsidRPr="00CF79FE">
        <w:rPr>
          <w:rFonts w:ascii="Times New Roman" w:eastAsia="Times New Roman" w:hAnsi="Times New Roman" w:cs="Times New Roman"/>
          <w:bCs/>
        </w:rPr>
        <w:t>A javító szakalegységek alkalmazása harcban és harccal kapcsolatos tevékenységben.</w:t>
      </w:r>
      <w:r>
        <w:rPr>
          <w:rFonts w:ascii="Times New Roman" w:eastAsia="Times New Roman" w:hAnsi="Times New Roman" w:cs="Times New Roman"/>
          <w:bCs/>
        </w:rPr>
        <w:t xml:space="preserve"> </w:t>
      </w:r>
      <w:r w:rsidRPr="00CF79FE">
        <w:rPr>
          <w:rFonts w:ascii="Times New Roman" w:eastAsia="Times New Roman" w:hAnsi="Times New Roman" w:cs="Times New Roman"/>
          <w:bCs/>
        </w:rPr>
        <w:t>Javító, javító-vontató csoportok szervezése.</w:t>
      </w:r>
      <w:r>
        <w:rPr>
          <w:rFonts w:ascii="Times New Roman" w:eastAsia="Times New Roman" w:hAnsi="Times New Roman" w:cs="Times New Roman"/>
          <w:bCs/>
        </w:rPr>
        <w:t xml:space="preserve"> </w:t>
      </w:r>
      <w:r w:rsidRPr="00CF79FE">
        <w:rPr>
          <w:rFonts w:ascii="Times New Roman" w:eastAsia="Times New Roman" w:hAnsi="Times New Roman" w:cs="Times New Roman"/>
          <w:bCs/>
        </w:rPr>
        <w:t>Javító, javító-vontató csoportok feladata, és alkalmazási lehetőségei.</w:t>
      </w:r>
      <w:r>
        <w:rPr>
          <w:rFonts w:ascii="Times New Roman" w:eastAsia="Times New Roman" w:hAnsi="Times New Roman" w:cs="Times New Roman"/>
          <w:bCs/>
        </w:rPr>
        <w:t xml:space="preserve"> </w:t>
      </w:r>
      <w:r w:rsidRPr="00CF79FE">
        <w:rPr>
          <w:rFonts w:ascii="Times New Roman" w:eastAsia="Times New Roman" w:hAnsi="Times New Roman" w:cs="Times New Roman"/>
          <w:bCs/>
        </w:rPr>
        <w:t>A menet és annak logisztikai támogatási feladatai.</w:t>
      </w:r>
      <w:r>
        <w:rPr>
          <w:rFonts w:ascii="Times New Roman" w:eastAsia="Times New Roman" w:hAnsi="Times New Roman" w:cs="Times New Roman"/>
          <w:bCs/>
        </w:rPr>
        <w:t xml:space="preserve"> </w:t>
      </w:r>
      <w:r w:rsidRPr="00CF79FE">
        <w:rPr>
          <w:rFonts w:ascii="Times New Roman" w:eastAsia="Times New Roman" w:hAnsi="Times New Roman" w:cs="Times New Roman"/>
          <w:bCs/>
        </w:rPr>
        <w:t>Haditechnikai biztosítási feladatok.</w:t>
      </w:r>
      <w:r>
        <w:rPr>
          <w:rFonts w:ascii="Times New Roman" w:eastAsia="Times New Roman" w:hAnsi="Times New Roman" w:cs="Times New Roman"/>
          <w:bCs/>
        </w:rPr>
        <w:t xml:space="preserve"> </w:t>
      </w:r>
      <w:r w:rsidRPr="00CF79FE">
        <w:rPr>
          <w:rFonts w:ascii="Times New Roman" w:eastAsia="Times New Roman" w:hAnsi="Times New Roman" w:cs="Times New Roman"/>
          <w:bCs/>
        </w:rPr>
        <w:t>A műhely gépkocsi, akkumulátor töltő gépkocsi telepítésére vonatkozó szabályok.</w:t>
      </w:r>
      <w:r>
        <w:rPr>
          <w:rFonts w:ascii="Times New Roman" w:eastAsia="Times New Roman" w:hAnsi="Times New Roman" w:cs="Times New Roman"/>
          <w:bCs/>
        </w:rPr>
        <w:t xml:space="preserve"> </w:t>
      </w:r>
      <w:r w:rsidRPr="00CF79FE">
        <w:rPr>
          <w:rFonts w:ascii="Times New Roman" w:eastAsia="Times New Roman" w:hAnsi="Times New Roman" w:cs="Times New Roman"/>
          <w:bCs/>
        </w:rPr>
        <w:t>HTE-k vontatási előírásai közúton, technikai biztosítás (menetoszlop, vagonírozás)</w:t>
      </w:r>
      <w:r>
        <w:rPr>
          <w:rFonts w:ascii="Times New Roman" w:eastAsia="Times New Roman" w:hAnsi="Times New Roman" w:cs="Times New Roman"/>
          <w:bCs/>
        </w:rPr>
        <w:t>.</w:t>
      </w:r>
      <w:r w:rsidRPr="00CF79FE">
        <w:rPr>
          <w:rFonts w:ascii="Times New Roman" w:eastAsia="Times New Roman" w:hAnsi="Times New Roman" w:cs="Times New Roman"/>
          <w:bCs/>
        </w:rPr>
        <w:t xml:space="preserve"> </w:t>
      </w:r>
    </w:p>
    <w:p w:rsidR="00A3436E" w:rsidRPr="00CF79FE" w:rsidRDefault="00A3436E" w:rsidP="003D542A">
      <w:pPr>
        <w:widowControl w:val="0"/>
        <w:spacing w:before="120" w:after="120" w:line="240" w:lineRule="auto"/>
        <w:ind w:left="720"/>
        <w:jc w:val="both"/>
        <w:rPr>
          <w:rFonts w:ascii="Times New Roman" w:eastAsia="Times New Roman" w:hAnsi="Times New Roman" w:cs="Times New Roman"/>
          <w:bCs/>
        </w:rPr>
      </w:pPr>
      <w:r w:rsidRPr="000B1A81">
        <w:rPr>
          <w:rFonts w:ascii="Times New Roman" w:eastAsia="Times New Roman" w:hAnsi="Times New Roman" w:cs="Times New Roman"/>
          <w:b/>
          <w:bCs/>
        </w:rPr>
        <w:t>A tantárgy szakmai tartalma (angolul) (</w:t>
      </w:r>
      <w:r w:rsidRPr="000B1A81">
        <w:rPr>
          <w:rFonts w:ascii="Times New Roman" w:eastAsia="Times New Roman" w:hAnsi="Times New Roman" w:cs="Times New Roman"/>
          <w:b/>
          <w:bCs/>
          <w:lang w:val="en-US"/>
        </w:rPr>
        <w:t>Course description</w:t>
      </w:r>
      <w:r w:rsidRPr="000B1A81">
        <w:rPr>
          <w:rFonts w:ascii="Times New Roman" w:eastAsia="Times New Roman" w:hAnsi="Times New Roman" w:cs="Times New Roman"/>
          <w:b/>
          <w:bCs/>
        </w:rPr>
        <w:t xml:space="preserve">): </w:t>
      </w:r>
      <w:r w:rsidRPr="00CF79FE">
        <w:rPr>
          <w:rFonts w:ascii="Times New Roman" w:eastAsia="Times New Roman" w:hAnsi="Times New Roman" w:cs="Times New Roman"/>
          <w:bCs/>
        </w:rPr>
        <w:t>Basic concepts related to the armoured vehicle and vehicle technology support for military operations</w:t>
      </w:r>
      <w:r>
        <w:rPr>
          <w:rFonts w:ascii="Times New Roman" w:eastAsia="Times New Roman" w:hAnsi="Times New Roman" w:cs="Times New Roman"/>
          <w:bCs/>
        </w:rPr>
        <w:t xml:space="preserve">. </w:t>
      </w:r>
      <w:r w:rsidRPr="00CF79FE">
        <w:rPr>
          <w:rFonts w:ascii="Times New Roman" w:eastAsia="Times New Roman" w:hAnsi="Times New Roman" w:cs="Times New Roman"/>
          <w:bCs/>
        </w:rPr>
        <w:t>Organisation of maintenance subunits (maintenance company, maintenance platoon). Combat usage of maintenance subunits.</w:t>
      </w:r>
      <w:r>
        <w:rPr>
          <w:rFonts w:ascii="Times New Roman" w:eastAsia="Times New Roman" w:hAnsi="Times New Roman" w:cs="Times New Roman"/>
          <w:bCs/>
        </w:rPr>
        <w:t xml:space="preserve"> </w:t>
      </w:r>
      <w:r w:rsidRPr="00CF79FE">
        <w:rPr>
          <w:rFonts w:ascii="Times New Roman" w:eastAsia="Times New Roman" w:hAnsi="Times New Roman" w:cs="Times New Roman"/>
          <w:bCs/>
        </w:rPr>
        <w:t>Estabilishment oh repair teams.  Tasks and application of repair teams.</w:t>
      </w:r>
      <w:r>
        <w:rPr>
          <w:rFonts w:ascii="Times New Roman" w:eastAsia="Times New Roman" w:hAnsi="Times New Roman" w:cs="Times New Roman"/>
          <w:bCs/>
        </w:rPr>
        <w:t xml:space="preserve"> </w:t>
      </w:r>
      <w:r w:rsidRPr="00CF79FE">
        <w:rPr>
          <w:rFonts w:ascii="Times New Roman" w:eastAsia="Times New Roman" w:hAnsi="Times New Roman" w:cs="Times New Roman"/>
          <w:bCs/>
        </w:rPr>
        <w:t>Logistic support of motorized march and convojs.</w:t>
      </w:r>
      <w:r>
        <w:rPr>
          <w:rFonts w:ascii="Times New Roman" w:eastAsia="Times New Roman" w:hAnsi="Times New Roman" w:cs="Times New Roman"/>
          <w:bCs/>
        </w:rPr>
        <w:t xml:space="preserve"> </w:t>
      </w:r>
      <w:r w:rsidRPr="00CF79FE">
        <w:rPr>
          <w:rFonts w:ascii="Times New Roman" w:eastAsia="Times New Roman" w:hAnsi="Times New Roman" w:cs="Times New Roman"/>
          <w:bCs/>
        </w:rPr>
        <w:t>Tasks of technologycal support</w:t>
      </w:r>
      <w:r>
        <w:rPr>
          <w:rFonts w:ascii="Times New Roman" w:eastAsia="Times New Roman" w:hAnsi="Times New Roman" w:cs="Times New Roman"/>
          <w:bCs/>
        </w:rPr>
        <w:t xml:space="preserve">. </w:t>
      </w:r>
      <w:r w:rsidRPr="00CF79FE">
        <w:rPr>
          <w:rFonts w:ascii="Times New Roman" w:eastAsia="Times New Roman" w:hAnsi="Times New Roman" w:cs="Times New Roman"/>
          <w:bCs/>
        </w:rPr>
        <w:t>Rules for the deployment of special battery charger vehicle.</w:t>
      </w:r>
      <w:r>
        <w:rPr>
          <w:rFonts w:ascii="Times New Roman" w:eastAsia="Times New Roman" w:hAnsi="Times New Roman" w:cs="Times New Roman"/>
          <w:bCs/>
        </w:rPr>
        <w:t xml:space="preserve"> </w:t>
      </w:r>
      <w:r w:rsidRPr="00CF79FE">
        <w:rPr>
          <w:rFonts w:ascii="Times New Roman" w:eastAsia="Times New Roman" w:hAnsi="Times New Roman" w:cs="Times New Roman"/>
          <w:bCs/>
        </w:rPr>
        <w:t>Towing of military devices on the road, technical support (marching convoy, wagoning)</w:t>
      </w:r>
      <w:r>
        <w:rPr>
          <w:rFonts w:ascii="Times New Roman" w:eastAsia="Times New Roman" w:hAnsi="Times New Roman" w:cs="Times New Roman"/>
          <w:bCs/>
        </w:rPr>
        <w:t>.</w:t>
      </w:r>
    </w:p>
    <w:p w:rsidR="00A3436E" w:rsidRPr="000B1A81" w:rsidRDefault="00A3436E" w:rsidP="00980876">
      <w:pPr>
        <w:pStyle w:val="Listaszerbekezds"/>
        <w:widowControl w:val="0"/>
        <w:numPr>
          <w:ilvl w:val="0"/>
          <w:numId w:val="328"/>
        </w:numPr>
        <w:spacing w:before="120" w:after="120" w:line="240" w:lineRule="auto"/>
        <w:jc w:val="both"/>
        <w:rPr>
          <w:rFonts w:ascii="Times New Roman" w:eastAsia="Times New Roman" w:hAnsi="Times New Roman" w:cs="Times New Roman"/>
          <w:bCs/>
        </w:rPr>
      </w:pPr>
      <w:r w:rsidRPr="000B1A81">
        <w:rPr>
          <w:rFonts w:ascii="Times New Roman" w:eastAsia="Times New Roman" w:hAnsi="Times New Roman" w:cs="Times New Roman"/>
          <w:b/>
          <w:bCs/>
        </w:rPr>
        <w:t xml:space="preserve">Elérendő kompetenciák (magyarul): </w:t>
      </w:r>
    </w:p>
    <w:p w:rsidR="00A3436E" w:rsidRPr="000B1A81" w:rsidRDefault="00A3436E" w:rsidP="00A3436E">
      <w:pPr>
        <w:widowControl w:val="0"/>
        <w:spacing w:before="120" w:after="120" w:line="240" w:lineRule="auto"/>
        <w:ind w:left="426"/>
        <w:jc w:val="both"/>
        <w:rPr>
          <w:rFonts w:ascii="Times New Roman" w:eastAsia="Times New Roman" w:hAnsi="Times New Roman" w:cs="Times New Roman"/>
          <w:bCs/>
        </w:rPr>
      </w:pPr>
      <w:r w:rsidRPr="000B1A81">
        <w:rPr>
          <w:rFonts w:ascii="Times New Roman" w:eastAsia="Times New Roman" w:hAnsi="Times New Roman" w:cs="Times New Roman"/>
          <w:b/>
          <w:bCs/>
        </w:rPr>
        <w:t>Tudása:</w:t>
      </w:r>
    </w:p>
    <w:p w:rsidR="00A3436E" w:rsidRPr="00EE1059" w:rsidRDefault="00A3436E"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kern w:val="2"/>
        </w:rPr>
      </w:pPr>
      <w:r w:rsidRPr="00EE1059">
        <w:rPr>
          <w:rFonts w:ascii="Times New Roman" w:eastAsia="Times New Roman" w:hAnsi="Times New Roman" w:cs="Times New Roman"/>
          <w:bCs/>
          <w:kern w:val="2"/>
        </w:rPr>
        <w:t>Ismeri az összfegyvernemi harc megvívásával kapcsolatos alapismereteket, annak főbb jellemzőit, a harctámogatás, a harckiszolgáló támogatás, a haderőnemek, a fegyvernemek és szakcsapatok szervezeti felépítését, harceljárásait.</w:t>
      </w:r>
    </w:p>
    <w:p w:rsidR="00A3436E" w:rsidRPr="00EE1059" w:rsidRDefault="00A3436E"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kern w:val="2"/>
        </w:rPr>
      </w:pPr>
      <w:r w:rsidRPr="000B1A81">
        <w:rPr>
          <w:rFonts w:ascii="Times New Roman" w:eastAsia="Times New Roman" w:hAnsi="Times New Roman" w:cs="Times New Roman"/>
          <w:bCs/>
        </w:rPr>
        <w:t>Részletesen ismeri az általános logisztikai tevékenység egyes műveleteit, folyamatait.</w:t>
      </w:r>
    </w:p>
    <w:p w:rsidR="00A3436E" w:rsidRDefault="00A3436E"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kern w:val="2"/>
        </w:rPr>
      </w:pPr>
      <w:r w:rsidRPr="00EE1059">
        <w:rPr>
          <w:rFonts w:ascii="Times New Roman" w:eastAsia="Times New Roman" w:hAnsi="Times New Roman" w:cs="Times New Roman"/>
          <w:bCs/>
          <w:kern w:val="2"/>
        </w:rPr>
        <w:lastRenderedPageBreak/>
        <w:t>Ismeri a zászlóalj páncélos- és gépjárműtechnika biztosításának feladatrendszerét béke és háborús körülmények között.</w:t>
      </w:r>
    </w:p>
    <w:p w:rsidR="00A3436E" w:rsidRPr="00EE1059" w:rsidRDefault="00A3436E"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kern w:val="2"/>
        </w:rPr>
      </w:pPr>
      <w:r w:rsidRPr="00EE1059">
        <w:rPr>
          <w:rFonts w:ascii="Times New Roman" w:eastAsia="Times New Roman" w:hAnsi="Times New Roman" w:cs="Times New Roman"/>
          <w:bCs/>
          <w:kern w:val="2"/>
        </w:rPr>
        <w:t>Ismeretekkel bír a dandár páncélos- és gépjárműtechnika biztosításának feladatrendszeréről béke és háborús körülmények között.</w:t>
      </w:r>
    </w:p>
    <w:p w:rsidR="00A3436E" w:rsidRPr="000B1A81" w:rsidRDefault="00A3436E" w:rsidP="00A3436E">
      <w:pPr>
        <w:widowControl w:val="0"/>
        <w:spacing w:before="120" w:after="120" w:line="240" w:lineRule="auto"/>
        <w:ind w:left="426"/>
        <w:jc w:val="both"/>
        <w:rPr>
          <w:rFonts w:ascii="Times New Roman" w:eastAsia="Times New Roman" w:hAnsi="Times New Roman" w:cs="Times New Roman"/>
          <w:bCs/>
        </w:rPr>
      </w:pPr>
      <w:r w:rsidRPr="000B1A81">
        <w:rPr>
          <w:rFonts w:ascii="Times New Roman" w:eastAsia="Times New Roman" w:hAnsi="Times New Roman" w:cs="Times New Roman"/>
          <w:b/>
          <w:bCs/>
        </w:rPr>
        <w:t>Képességei:</w:t>
      </w:r>
      <w:r w:rsidRPr="000B1A81">
        <w:rPr>
          <w:rFonts w:ascii="Times New Roman" w:eastAsia="Times New Roman" w:hAnsi="Times New Roman" w:cs="Times New Roman"/>
          <w:bCs/>
        </w:rPr>
        <w:t xml:space="preserve"> </w:t>
      </w:r>
    </w:p>
    <w:p w:rsidR="00A3436E" w:rsidRPr="000B1A81" w:rsidRDefault="00A3436E" w:rsidP="00C14833">
      <w:pPr>
        <w:widowControl w:val="0"/>
        <w:numPr>
          <w:ilvl w:val="0"/>
          <w:numId w:val="133"/>
        </w:numPr>
        <w:spacing w:before="120" w:after="120" w:line="240" w:lineRule="auto"/>
        <w:ind w:left="993"/>
        <w:contextualSpacing/>
        <w:jc w:val="both"/>
        <w:rPr>
          <w:rFonts w:ascii="Times New Roman" w:eastAsia="Times New Roman" w:hAnsi="Times New Roman"/>
          <w:bCs/>
        </w:rPr>
      </w:pPr>
      <w:r w:rsidRPr="000B1A81">
        <w:rPr>
          <w:rFonts w:ascii="Times New Roman" w:eastAsia="Times New Roman" w:hAnsi="Times New Roman" w:cs="Times New Roman"/>
          <w:bCs/>
        </w:rPr>
        <w:t>Képes a munkaköréhez és feladataihoz kapcsolódó jogszabályi háttér értelmezésére és gyakorlati alkalmazására.</w:t>
      </w:r>
    </w:p>
    <w:p w:rsidR="00A3436E" w:rsidRPr="000B1A81" w:rsidRDefault="00A3436E" w:rsidP="00C14833">
      <w:pPr>
        <w:widowControl w:val="0"/>
        <w:numPr>
          <w:ilvl w:val="0"/>
          <w:numId w:val="133"/>
        </w:numPr>
        <w:spacing w:before="120" w:after="120" w:line="240" w:lineRule="auto"/>
        <w:ind w:left="993"/>
        <w:contextualSpacing/>
        <w:jc w:val="both"/>
        <w:rPr>
          <w:rFonts w:ascii="Times New Roman" w:eastAsia="Times New Roman" w:hAnsi="Times New Roman"/>
          <w:bCs/>
        </w:rPr>
      </w:pPr>
      <w:r w:rsidRPr="000B1A81">
        <w:rPr>
          <w:rFonts w:ascii="Times New Roman" w:eastAsia="Times New Roman" w:hAnsi="Times New Roman" w:cs="Times New Roman"/>
          <w:bCs/>
        </w:rPr>
        <w:t>Képes a munkaköréhez kapcsolódó dokumentumok, nyomtatványok, jegyzőkönyvek, feljegyzések és emlékeztetők önálló elkészítésére, okmányok kitöltésére, a munkaköréhez kapcsolódó események szervezésére, technikaielőkészítésére.</w:t>
      </w:r>
    </w:p>
    <w:p w:rsidR="00A3436E" w:rsidRPr="000B1A81" w:rsidRDefault="00A3436E" w:rsidP="00C14833">
      <w:pPr>
        <w:widowControl w:val="0"/>
        <w:numPr>
          <w:ilvl w:val="0"/>
          <w:numId w:val="133"/>
        </w:numPr>
        <w:spacing w:before="120" w:after="120" w:line="240" w:lineRule="auto"/>
        <w:ind w:left="993"/>
        <w:contextualSpacing/>
        <w:jc w:val="both"/>
        <w:rPr>
          <w:rFonts w:ascii="Times New Roman" w:eastAsia="Times New Roman" w:hAnsi="Times New Roman"/>
          <w:bCs/>
        </w:rPr>
      </w:pPr>
      <w:r w:rsidRPr="000B1A81">
        <w:rPr>
          <w:rFonts w:ascii="Times New Roman" w:eastAsia="Times New Roman" w:hAnsi="Times New Roman" w:cs="Times New Roman"/>
          <w:bCs/>
        </w:rPr>
        <w:t>Képes a szakterületén rendszeresített és használt berendezések és technikai eszközök használatának megszervezésére és hatékony alkalmazására.</w:t>
      </w:r>
    </w:p>
    <w:p w:rsidR="00A3436E" w:rsidRPr="000B1A81" w:rsidRDefault="00A3436E"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kern w:val="2"/>
        </w:rPr>
      </w:pPr>
      <w:r w:rsidRPr="000B1A81">
        <w:rPr>
          <w:rFonts w:ascii="Times New Roman" w:eastAsia="Times New Roman" w:hAnsi="Times New Roman" w:cs="Times New Roman"/>
          <w:bCs/>
        </w:rPr>
        <w:t>Képes a szakterületéhez kapcsolódó ügydarabokat elkészíteni, haditechnikai eszköz átadás-átvételét végrehajtani és jegyzőkönyveket elkészíteni</w:t>
      </w:r>
      <w:r w:rsidRPr="000B1A81">
        <w:rPr>
          <w:rFonts w:ascii="Times New Roman" w:eastAsia="Times New Roman" w:hAnsi="Times New Roman" w:cs="Times New Roman"/>
          <w:bCs/>
          <w:kern w:val="2"/>
        </w:rPr>
        <w:t>.</w:t>
      </w:r>
    </w:p>
    <w:p w:rsidR="00A3436E" w:rsidRPr="000B1A81" w:rsidRDefault="00A3436E" w:rsidP="00A3436E">
      <w:pPr>
        <w:widowControl w:val="0"/>
        <w:spacing w:before="120" w:after="120" w:line="240" w:lineRule="auto"/>
        <w:ind w:left="426"/>
        <w:jc w:val="both"/>
        <w:rPr>
          <w:rFonts w:ascii="Times New Roman" w:eastAsia="Times New Roman" w:hAnsi="Times New Roman" w:cs="Times New Roman"/>
          <w:bCs/>
        </w:rPr>
      </w:pPr>
      <w:r w:rsidRPr="000B1A81">
        <w:rPr>
          <w:rFonts w:ascii="Times New Roman" w:eastAsia="Times New Roman" w:hAnsi="Times New Roman" w:cs="Times New Roman"/>
          <w:b/>
          <w:bCs/>
        </w:rPr>
        <w:t>Attitűdje:</w:t>
      </w:r>
    </w:p>
    <w:p w:rsidR="00A3436E" w:rsidRPr="000B1A81" w:rsidRDefault="00A3436E" w:rsidP="00C14833">
      <w:pPr>
        <w:widowControl w:val="0"/>
        <w:numPr>
          <w:ilvl w:val="0"/>
          <w:numId w:val="133"/>
        </w:numPr>
        <w:spacing w:before="120" w:after="120" w:line="240" w:lineRule="auto"/>
        <w:ind w:left="993"/>
        <w:contextualSpacing/>
        <w:jc w:val="both"/>
        <w:rPr>
          <w:rFonts w:ascii="Times New Roman" w:eastAsia="Times New Roman" w:hAnsi="Times New Roman"/>
          <w:bCs/>
        </w:rPr>
      </w:pPr>
      <w:r w:rsidRPr="000B1A81">
        <w:rPr>
          <w:rFonts w:ascii="Times New Roman" w:eastAsia="Times New Roman" w:hAnsi="Times New Roman" w:cs="Times New Roman"/>
          <w:bCs/>
        </w:rPr>
        <w:t>Feladatellátása során törekszik a megfelelő önkontroll, tolerancia, empátia, az előítéletektől mentes gondolkodás és viselkedés tanúsítására.</w:t>
      </w:r>
    </w:p>
    <w:p w:rsidR="00A3436E" w:rsidRPr="000B1A81" w:rsidRDefault="00A3436E" w:rsidP="00C14833">
      <w:pPr>
        <w:widowControl w:val="0"/>
        <w:numPr>
          <w:ilvl w:val="0"/>
          <w:numId w:val="133"/>
        </w:numPr>
        <w:spacing w:before="120" w:after="120" w:line="240" w:lineRule="auto"/>
        <w:ind w:left="993"/>
        <w:contextualSpacing/>
        <w:jc w:val="both"/>
        <w:rPr>
          <w:rFonts w:ascii="Times New Roman" w:eastAsia="Times New Roman" w:hAnsi="Times New Roman"/>
          <w:bCs/>
        </w:rPr>
      </w:pPr>
      <w:r w:rsidRPr="000B1A81">
        <w:rPr>
          <w:rFonts w:ascii="Times New Roman" w:eastAsia="Times New Roman" w:hAnsi="Times New Roman" w:cs="Times New Roman"/>
          <w:bCs/>
        </w:rPr>
        <w:t>Munkájában és emberi kapcsolataiban megbízhatóság jellemzi.</w:t>
      </w:r>
    </w:p>
    <w:p w:rsidR="00A3436E" w:rsidRPr="000B1A81" w:rsidRDefault="00A3436E" w:rsidP="00C14833">
      <w:pPr>
        <w:widowControl w:val="0"/>
        <w:numPr>
          <w:ilvl w:val="0"/>
          <w:numId w:val="133"/>
        </w:numPr>
        <w:spacing w:before="120" w:after="120" w:line="240" w:lineRule="auto"/>
        <w:ind w:left="993"/>
        <w:contextualSpacing/>
        <w:jc w:val="both"/>
        <w:rPr>
          <w:rFonts w:ascii="Times New Roman" w:eastAsia="Times New Roman" w:hAnsi="Times New Roman"/>
          <w:bCs/>
        </w:rPr>
      </w:pPr>
      <w:r w:rsidRPr="000B1A81">
        <w:rPr>
          <w:rFonts w:ascii="Times New Roman" w:eastAsia="Times New Roman" w:hAnsi="Times New Roman" w:cs="Times New Roman"/>
          <w:bCs/>
        </w:rPr>
        <w:t>A minőségi szakmai munkavégzés iránt elkötelezett, azt a pontosságra való törekvés jellemzi.</w:t>
      </w:r>
    </w:p>
    <w:p w:rsidR="00A3436E" w:rsidRPr="000B1A81" w:rsidRDefault="00A3436E" w:rsidP="00C14833">
      <w:pPr>
        <w:widowControl w:val="0"/>
        <w:numPr>
          <w:ilvl w:val="0"/>
          <w:numId w:val="133"/>
        </w:numPr>
        <w:spacing w:before="120" w:after="120" w:line="240" w:lineRule="auto"/>
        <w:ind w:left="993"/>
        <w:contextualSpacing/>
        <w:jc w:val="both"/>
        <w:rPr>
          <w:rFonts w:ascii="Times New Roman" w:eastAsia="Times New Roman" w:hAnsi="Times New Roman"/>
          <w:bCs/>
        </w:rPr>
      </w:pPr>
      <w:r w:rsidRPr="000B1A81">
        <w:rPr>
          <w:rFonts w:ascii="Times New Roman" w:eastAsia="Times New Roman" w:hAnsi="Times New Roman" w:cs="Times New Roman"/>
          <w:bCs/>
        </w:rPr>
        <w:t>Tevékenységét a hatékonyság központú szemlélet jellemzi.</w:t>
      </w:r>
    </w:p>
    <w:p w:rsidR="00A3436E" w:rsidRPr="000B1A81" w:rsidRDefault="00A3436E" w:rsidP="00C14833">
      <w:pPr>
        <w:widowControl w:val="0"/>
        <w:numPr>
          <w:ilvl w:val="0"/>
          <w:numId w:val="133"/>
        </w:numPr>
        <w:spacing w:before="120" w:after="120" w:line="240" w:lineRule="auto"/>
        <w:ind w:left="993"/>
        <w:contextualSpacing/>
        <w:jc w:val="both"/>
        <w:rPr>
          <w:rFonts w:ascii="Times New Roman" w:eastAsia="Times New Roman" w:hAnsi="Times New Roman"/>
          <w:bCs/>
        </w:rPr>
      </w:pPr>
      <w:r w:rsidRPr="000B1A81">
        <w:rPr>
          <w:rFonts w:ascii="Times New Roman" w:eastAsia="Times New Roman" w:hAnsi="Times New Roman" w:cs="Times New Roman"/>
          <w:bCs/>
        </w:rPr>
        <w:t>Jó szervezőkészség jellemzi.</w:t>
      </w:r>
    </w:p>
    <w:p w:rsidR="00A3436E" w:rsidRPr="000B1A81" w:rsidRDefault="00A3436E" w:rsidP="00C14833">
      <w:pPr>
        <w:widowControl w:val="0"/>
        <w:numPr>
          <w:ilvl w:val="0"/>
          <w:numId w:val="133"/>
        </w:numPr>
        <w:spacing w:before="120" w:after="120" w:line="240" w:lineRule="auto"/>
        <w:ind w:left="993"/>
        <w:contextualSpacing/>
        <w:jc w:val="both"/>
        <w:rPr>
          <w:rFonts w:ascii="Times New Roman" w:eastAsia="Times New Roman" w:hAnsi="Times New Roman"/>
          <w:bCs/>
        </w:rPr>
      </w:pPr>
      <w:r w:rsidRPr="000B1A81">
        <w:rPr>
          <w:rFonts w:ascii="Times New Roman" w:eastAsia="Times New Roman" w:hAnsi="Times New Roman" w:cs="Times New Roman"/>
          <w:bCs/>
        </w:rPr>
        <w:t>Törekszik munkája során a vonatkozó szabályok betartására és betartatására.</w:t>
      </w:r>
    </w:p>
    <w:p w:rsidR="00A3436E" w:rsidRPr="000B1A81" w:rsidRDefault="00A3436E" w:rsidP="00C14833">
      <w:pPr>
        <w:widowControl w:val="0"/>
        <w:numPr>
          <w:ilvl w:val="0"/>
          <w:numId w:val="133"/>
        </w:numPr>
        <w:spacing w:before="120" w:after="120" w:line="240" w:lineRule="auto"/>
        <w:ind w:left="993"/>
        <w:contextualSpacing/>
        <w:jc w:val="both"/>
        <w:rPr>
          <w:rFonts w:ascii="Times New Roman" w:eastAsia="Times New Roman" w:hAnsi="Times New Roman"/>
          <w:bCs/>
        </w:rPr>
      </w:pPr>
      <w:r w:rsidRPr="000B1A81">
        <w:rPr>
          <w:rFonts w:ascii="Times New Roman" w:eastAsia="Times New Roman" w:hAnsi="Times New Roman" w:cs="Times New Roman"/>
          <w:bCs/>
        </w:rPr>
        <w:t>Munkáját és emberi kapcsolatait a megbízhatóság jellemzi.</w:t>
      </w:r>
    </w:p>
    <w:p w:rsidR="00A3436E" w:rsidRPr="000B1A81" w:rsidRDefault="00A3436E" w:rsidP="00A3436E">
      <w:pPr>
        <w:widowControl w:val="0"/>
        <w:spacing w:before="120" w:after="120" w:line="240" w:lineRule="auto"/>
        <w:ind w:left="426"/>
        <w:jc w:val="both"/>
        <w:rPr>
          <w:rFonts w:ascii="Times New Roman" w:eastAsia="Times New Roman" w:hAnsi="Times New Roman" w:cs="Times New Roman"/>
          <w:bCs/>
        </w:rPr>
      </w:pPr>
      <w:r w:rsidRPr="000B1A81">
        <w:rPr>
          <w:rFonts w:ascii="Times New Roman" w:eastAsia="Times New Roman" w:hAnsi="Times New Roman" w:cs="Times New Roman"/>
          <w:b/>
          <w:bCs/>
        </w:rPr>
        <w:t>Autonómiája és felelőssége:</w:t>
      </w:r>
    </w:p>
    <w:p w:rsidR="00A3436E" w:rsidRPr="000B1A81" w:rsidRDefault="00A3436E" w:rsidP="00C14833">
      <w:pPr>
        <w:widowControl w:val="0"/>
        <w:numPr>
          <w:ilvl w:val="0"/>
          <w:numId w:val="133"/>
        </w:numPr>
        <w:spacing w:before="120" w:after="120" w:line="240" w:lineRule="auto"/>
        <w:ind w:left="993"/>
        <w:contextualSpacing/>
        <w:jc w:val="both"/>
        <w:rPr>
          <w:rFonts w:ascii="Times New Roman" w:eastAsia="Times New Roman" w:hAnsi="Times New Roman"/>
          <w:bCs/>
        </w:rPr>
      </w:pPr>
      <w:r w:rsidRPr="000B1A81">
        <w:rPr>
          <w:rFonts w:ascii="Times New Roman" w:eastAsia="Times New Roman" w:hAnsi="Times New Roman" w:cs="Times New Roman"/>
          <w:bCs/>
        </w:rPr>
        <w:t>Tisztában van döntéseinek, tevékenységének a műszaki eszközökre, illetve a gazdálkodási fegyelemre gyakorolt hatásaival, következményeivel.</w:t>
      </w:r>
    </w:p>
    <w:p w:rsidR="00A3436E" w:rsidRPr="000B1A81" w:rsidRDefault="00A3436E" w:rsidP="00C14833">
      <w:pPr>
        <w:widowControl w:val="0"/>
        <w:numPr>
          <w:ilvl w:val="0"/>
          <w:numId w:val="133"/>
        </w:numPr>
        <w:spacing w:before="120" w:after="120" w:line="240" w:lineRule="auto"/>
        <w:ind w:left="993"/>
        <w:contextualSpacing/>
        <w:jc w:val="both"/>
        <w:rPr>
          <w:rFonts w:ascii="Times New Roman" w:eastAsia="Times New Roman" w:hAnsi="Times New Roman"/>
          <w:bCs/>
        </w:rPr>
      </w:pPr>
      <w:r w:rsidRPr="000B1A81">
        <w:rPr>
          <w:rFonts w:ascii="Times New Roman" w:eastAsia="Times New Roman" w:hAnsi="Times New Roman" w:cs="Times New Roman"/>
          <w:bCs/>
        </w:rPr>
        <w:t>Felelősséget vállal a vezetése alatt álló beosztottjainak szakmai tevékenységéért.</w:t>
      </w:r>
    </w:p>
    <w:p w:rsidR="00A3436E" w:rsidRPr="000B1A81" w:rsidRDefault="00A3436E" w:rsidP="00C14833">
      <w:pPr>
        <w:widowControl w:val="0"/>
        <w:numPr>
          <w:ilvl w:val="0"/>
          <w:numId w:val="133"/>
        </w:numPr>
        <w:spacing w:before="120" w:after="120" w:line="240" w:lineRule="auto"/>
        <w:ind w:left="993"/>
        <w:contextualSpacing/>
        <w:jc w:val="both"/>
        <w:rPr>
          <w:rFonts w:ascii="Times New Roman" w:eastAsia="Times New Roman" w:hAnsi="Times New Roman"/>
          <w:bCs/>
        </w:rPr>
      </w:pPr>
      <w:r w:rsidRPr="000B1A81">
        <w:rPr>
          <w:rFonts w:ascii="Times New Roman" w:eastAsia="Times New Roman" w:hAnsi="Times New Roman" w:cs="Times New Roman"/>
          <w:bCs/>
        </w:rPr>
        <w:t>Képes szakfeladatait önállóan végezni, saját munkáját hatékonyan megszervezni és végrehajtani.</w:t>
      </w:r>
    </w:p>
    <w:p w:rsidR="00A3436E" w:rsidRPr="000B1A81" w:rsidRDefault="00A3436E" w:rsidP="00C14833">
      <w:pPr>
        <w:widowControl w:val="0"/>
        <w:numPr>
          <w:ilvl w:val="0"/>
          <w:numId w:val="133"/>
        </w:numPr>
        <w:spacing w:before="120" w:after="120" w:line="240" w:lineRule="auto"/>
        <w:ind w:left="993"/>
        <w:contextualSpacing/>
        <w:jc w:val="both"/>
        <w:rPr>
          <w:rFonts w:ascii="Times New Roman" w:eastAsia="Times New Roman" w:hAnsi="Times New Roman"/>
          <w:bCs/>
        </w:rPr>
      </w:pPr>
      <w:r w:rsidRPr="000B1A81">
        <w:rPr>
          <w:rFonts w:ascii="Times New Roman" w:eastAsia="Times New Roman" w:hAnsi="Times New Roman" w:cs="Times New Roman"/>
          <w:bCs/>
        </w:rPr>
        <w:t>Képes alárendeltjeinek feladatait megszervezni és meghatározni, valamint elvégzett munkájukat szakmai szempontok alapján ellenőrizni.</w:t>
      </w:r>
    </w:p>
    <w:p w:rsidR="00A3436E" w:rsidRPr="000B1A81" w:rsidRDefault="00A3436E"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
          <w:bCs/>
        </w:rPr>
      </w:pPr>
      <w:r w:rsidRPr="000B1A81">
        <w:rPr>
          <w:rFonts w:ascii="Times New Roman" w:eastAsia="Times New Roman" w:hAnsi="Times New Roman" w:cs="Times New Roman"/>
          <w:bCs/>
        </w:rPr>
        <w:t>Együttműködés és felelősség jellemzi szakterületének szakembereivel szemben.</w:t>
      </w:r>
    </w:p>
    <w:p w:rsidR="00A3436E" w:rsidRPr="000B1A81" w:rsidRDefault="00A3436E"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
          <w:bCs/>
        </w:rPr>
      </w:pPr>
      <w:r w:rsidRPr="000B1A81">
        <w:rPr>
          <w:rFonts w:ascii="Times New Roman" w:eastAsia="Times New Roman" w:hAnsi="Times New Roman" w:cs="Times New Roman"/>
          <w:bCs/>
        </w:rPr>
        <w:t>Szakterületén belül képes rendszer-szemléletűen gondolkodni.</w:t>
      </w:r>
      <w:r w:rsidRPr="000B1A81">
        <w:rPr>
          <w:rFonts w:ascii="Times New Roman" w:eastAsia="Times New Roman" w:hAnsi="Times New Roman" w:cs="Times New Roman"/>
          <w:b/>
          <w:bCs/>
        </w:rPr>
        <w:t xml:space="preserve"> </w:t>
      </w:r>
    </w:p>
    <w:p w:rsidR="005A072C" w:rsidRPr="005A072C" w:rsidRDefault="005A072C" w:rsidP="00A3436E">
      <w:pPr>
        <w:widowControl w:val="0"/>
        <w:spacing w:before="120" w:after="120" w:line="240" w:lineRule="auto"/>
        <w:ind w:left="426"/>
        <w:jc w:val="both"/>
        <w:rPr>
          <w:rFonts w:ascii="Times New Roman" w:eastAsia="Times New Roman" w:hAnsi="Times New Roman" w:cs="Times New Roman"/>
          <w:b/>
          <w:bCs/>
          <w:sz w:val="4"/>
        </w:rPr>
      </w:pPr>
    </w:p>
    <w:p w:rsidR="00A3436E" w:rsidRPr="000B1A81" w:rsidRDefault="00A3436E" w:rsidP="00A3436E">
      <w:pPr>
        <w:widowControl w:val="0"/>
        <w:spacing w:before="120" w:after="120" w:line="240" w:lineRule="auto"/>
        <w:ind w:left="426"/>
        <w:jc w:val="both"/>
        <w:rPr>
          <w:rFonts w:ascii="Times New Roman" w:eastAsia="Times New Roman" w:hAnsi="Times New Roman" w:cs="Times New Roman"/>
          <w:b/>
          <w:bCs/>
          <w:lang w:val="en-US"/>
        </w:rPr>
      </w:pPr>
      <w:r w:rsidRPr="000B1A81">
        <w:rPr>
          <w:rFonts w:ascii="Times New Roman" w:eastAsia="Times New Roman" w:hAnsi="Times New Roman" w:cs="Times New Roman"/>
          <w:b/>
          <w:bCs/>
        </w:rPr>
        <w:t>Elérendő kompetenciák (angolul) (</w:t>
      </w:r>
      <w:r w:rsidRPr="000B1A81">
        <w:rPr>
          <w:rFonts w:ascii="Times New Roman" w:eastAsia="Times New Roman" w:hAnsi="Times New Roman" w:cs="Times New Roman"/>
          <w:b/>
          <w:bCs/>
          <w:lang w:val="en-US"/>
        </w:rPr>
        <w:t xml:space="preserve">Competences – English): </w:t>
      </w:r>
    </w:p>
    <w:p w:rsidR="00A3436E" w:rsidRPr="000B1A81" w:rsidRDefault="00A3436E" w:rsidP="00A3436E">
      <w:pPr>
        <w:widowControl w:val="0"/>
        <w:spacing w:before="120" w:after="120" w:line="240" w:lineRule="auto"/>
        <w:ind w:left="426"/>
        <w:jc w:val="both"/>
        <w:rPr>
          <w:rFonts w:ascii="Times New Roman" w:eastAsia="Times New Roman" w:hAnsi="Times New Roman" w:cs="Times New Roman"/>
          <w:lang w:val="en-GB"/>
        </w:rPr>
      </w:pPr>
      <w:r w:rsidRPr="000B1A81">
        <w:rPr>
          <w:rFonts w:ascii="Times New Roman" w:eastAsia="Times New Roman" w:hAnsi="Times New Roman" w:cs="Times New Roman"/>
          <w:b/>
          <w:lang w:val="en-GB"/>
        </w:rPr>
        <w:t>Knowledge</w:t>
      </w:r>
      <w:r w:rsidRPr="000B1A81">
        <w:rPr>
          <w:rFonts w:ascii="Times New Roman" w:eastAsia="Times New Roman" w:hAnsi="Times New Roman" w:cs="Times New Roman"/>
          <w:lang w:val="en-GB"/>
        </w:rPr>
        <w:t>:</w:t>
      </w:r>
    </w:p>
    <w:p w:rsidR="00A3436E" w:rsidRPr="00EE1059" w:rsidRDefault="00A3436E"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kern w:val="2"/>
        </w:rPr>
      </w:pPr>
      <w:r w:rsidRPr="00EE1059">
        <w:rPr>
          <w:rFonts w:ascii="Times New Roman" w:eastAsia="Times New Roman" w:hAnsi="Times New Roman" w:cs="Times New Roman"/>
          <w:bCs/>
          <w:kern w:val="2"/>
        </w:rPr>
        <w:t>Knows the basic procedures and features of the battle carried out by combined arms, the combat service (CS) and combat service support (CSS) tasks, the battle procedures and organizational structures of the military services, branches and specific units.</w:t>
      </w:r>
    </w:p>
    <w:p w:rsidR="00A3436E" w:rsidRPr="00EE1059" w:rsidRDefault="00A3436E"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kern w:val="2"/>
        </w:rPr>
      </w:pPr>
      <w:r w:rsidRPr="000B1A81">
        <w:rPr>
          <w:rFonts w:ascii="Times New Roman" w:eastAsia="Times New Roman" w:hAnsi="Times New Roman" w:cs="Times New Roman"/>
          <w:lang w:val="en-GB"/>
        </w:rPr>
        <w:t>Has a thorough knowledge of the general logistic operations and processes.</w:t>
      </w:r>
    </w:p>
    <w:p w:rsidR="00A3436E" w:rsidRDefault="00A3436E"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kern w:val="2"/>
        </w:rPr>
      </w:pPr>
      <w:r w:rsidRPr="00EE1059">
        <w:rPr>
          <w:rFonts w:ascii="Times New Roman" w:eastAsia="Times New Roman" w:hAnsi="Times New Roman" w:cs="Times New Roman"/>
          <w:bCs/>
          <w:kern w:val="2"/>
        </w:rPr>
        <w:t>Knows the system of tasks regarding the security of armored vehicle technology of the battalion in peace and war.</w:t>
      </w:r>
    </w:p>
    <w:p w:rsidR="00A3436E" w:rsidRPr="00EE1059" w:rsidRDefault="00A3436E"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kern w:val="2"/>
        </w:rPr>
      </w:pPr>
      <w:r w:rsidRPr="00EE1059">
        <w:rPr>
          <w:rFonts w:ascii="Times New Roman" w:eastAsia="Times New Roman" w:hAnsi="Times New Roman" w:cs="Times New Roman"/>
          <w:bCs/>
          <w:kern w:val="2"/>
        </w:rPr>
        <w:t>Has knowledge of the system of tasks regarding the security of armored vehicle technology of the brigade in peace and war.</w:t>
      </w:r>
    </w:p>
    <w:p w:rsidR="00A3436E" w:rsidRPr="000B1A81" w:rsidRDefault="00A3436E" w:rsidP="00A3436E">
      <w:pPr>
        <w:widowControl w:val="0"/>
        <w:spacing w:before="120" w:after="120" w:line="240" w:lineRule="auto"/>
        <w:ind w:left="426"/>
        <w:jc w:val="both"/>
        <w:rPr>
          <w:rFonts w:ascii="Times New Roman" w:eastAsia="Times New Roman" w:hAnsi="Times New Roman" w:cs="Times New Roman"/>
          <w:lang w:val="en-GB"/>
        </w:rPr>
      </w:pPr>
      <w:r w:rsidRPr="000B1A81">
        <w:rPr>
          <w:rFonts w:ascii="Times New Roman" w:eastAsia="Times New Roman" w:hAnsi="Times New Roman" w:cs="Times New Roman"/>
          <w:b/>
          <w:lang w:val="en-GB"/>
        </w:rPr>
        <w:t>Capabilities</w:t>
      </w:r>
      <w:r w:rsidRPr="000B1A81">
        <w:rPr>
          <w:rFonts w:ascii="Times New Roman" w:eastAsia="Times New Roman" w:hAnsi="Times New Roman" w:cs="Times New Roman"/>
          <w:lang w:val="en-GB"/>
        </w:rPr>
        <w:t>:</w:t>
      </w:r>
    </w:p>
    <w:p w:rsidR="00A3436E" w:rsidRPr="000B1A81" w:rsidRDefault="00A3436E"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kern w:val="2"/>
        </w:rPr>
      </w:pPr>
      <w:r w:rsidRPr="000B1A81">
        <w:rPr>
          <w:rFonts w:ascii="Times New Roman" w:eastAsia="Times New Roman" w:hAnsi="Times New Roman" w:cs="Times New Roman"/>
          <w:lang w:val="en-GB"/>
        </w:rPr>
        <w:t>Is capable of interpreting and applying in practice the legal background related to his/her job and duties.</w:t>
      </w:r>
    </w:p>
    <w:p w:rsidR="00A3436E" w:rsidRPr="000B1A81" w:rsidRDefault="00A3436E"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kern w:val="2"/>
        </w:rPr>
      </w:pPr>
      <w:r w:rsidRPr="000B1A81">
        <w:rPr>
          <w:rFonts w:ascii="Times New Roman" w:eastAsia="Times New Roman" w:hAnsi="Times New Roman" w:cs="Times New Roman"/>
          <w:lang w:val="en-GB"/>
        </w:rPr>
        <w:t>Is capable of independently preparing documents, forms, minutes, notes and memos, completing documents, organizing and technically preparing events related to his/her job.</w:t>
      </w:r>
    </w:p>
    <w:p w:rsidR="00A3436E" w:rsidRPr="000B1A81" w:rsidRDefault="00A3436E"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kern w:val="2"/>
        </w:rPr>
      </w:pPr>
      <w:r w:rsidRPr="000B1A81">
        <w:rPr>
          <w:rFonts w:ascii="Times New Roman" w:eastAsia="Times New Roman" w:hAnsi="Times New Roman" w:cs="Times New Roman"/>
          <w:lang w:val="en-GB"/>
        </w:rPr>
        <w:t>Is capable of preparing documents regarding his/her field of specialty, executing the handover of military devices and preparing the records.</w:t>
      </w:r>
    </w:p>
    <w:p w:rsidR="00A3436E" w:rsidRPr="000B1A81" w:rsidRDefault="00A3436E"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kern w:val="2"/>
        </w:rPr>
      </w:pPr>
      <w:r w:rsidRPr="000B1A81">
        <w:rPr>
          <w:rFonts w:ascii="Times New Roman" w:eastAsia="Times New Roman" w:hAnsi="Times New Roman" w:cs="Times New Roman"/>
          <w:lang w:val="en-GB"/>
        </w:rPr>
        <w:lastRenderedPageBreak/>
        <w:t>Is capable of organizing and efficiently utilizing the usage of the equipment and technical appliances applied in his/her respective specialty field.</w:t>
      </w:r>
    </w:p>
    <w:p w:rsidR="00A3436E" w:rsidRPr="000B1A81" w:rsidRDefault="00A3436E" w:rsidP="00A343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lang w:val="en-GB"/>
        </w:rPr>
      </w:pPr>
      <w:r w:rsidRPr="000B1A81">
        <w:rPr>
          <w:rFonts w:ascii="Times New Roman" w:eastAsia="Times New Roman" w:hAnsi="Times New Roman" w:cs="Times New Roman"/>
          <w:b/>
          <w:lang w:val="en-GB"/>
        </w:rPr>
        <w:t>Attitude:</w:t>
      </w:r>
    </w:p>
    <w:p w:rsidR="00A3436E" w:rsidRPr="000B1A81" w:rsidRDefault="00A3436E" w:rsidP="00C14833">
      <w:pPr>
        <w:widowControl w:val="0"/>
        <w:numPr>
          <w:ilvl w:val="0"/>
          <w:numId w:val="133"/>
        </w:numPr>
        <w:spacing w:before="120" w:after="120" w:line="240" w:lineRule="auto"/>
        <w:ind w:left="993"/>
        <w:contextualSpacing/>
        <w:jc w:val="both"/>
        <w:rPr>
          <w:rFonts w:ascii="Times New Roman" w:eastAsia="Times New Roman" w:hAnsi="Times New Roman"/>
          <w:bCs/>
        </w:rPr>
      </w:pPr>
      <w:r w:rsidRPr="000B1A81">
        <w:rPr>
          <w:rFonts w:ascii="Times New Roman" w:eastAsia="Times New Roman" w:hAnsi="Times New Roman" w:cs="Times New Roman"/>
          <w:lang w:val="en-GB"/>
        </w:rPr>
        <w:t>In the course of his duties he tries to demonstrate proper self-control, tolerance, empathy, a non-biased way of thinking and behaviour.</w:t>
      </w:r>
      <w:r w:rsidRPr="000B1A81">
        <w:t xml:space="preserve"> </w:t>
      </w:r>
      <w:r w:rsidRPr="000B1A81">
        <w:rPr>
          <w:rFonts w:ascii="Times New Roman" w:eastAsia="Times New Roman" w:hAnsi="Times New Roman" w:cs="Times New Roman"/>
          <w:lang w:val="en-GB"/>
        </w:rPr>
        <w:t>He/She is reliable in both his/her work and human relationships. He/She is committed to accuracy and high quality at work. His/Her activities are characterized by an efficiency-oriented approach. He/She has good organizational skills.</w:t>
      </w:r>
      <w:r w:rsidRPr="000B1A81">
        <w:t xml:space="preserve"> </w:t>
      </w:r>
      <w:r w:rsidRPr="000B1A81">
        <w:rPr>
          <w:rFonts w:ascii="Times New Roman" w:eastAsia="Times New Roman" w:hAnsi="Times New Roman" w:cs="Times New Roman"/>
          <w:lang w:val="en-GB"/>
        </w:rPr>
        <w:t>He/she aims to adhere to the respective rules and make others follow them as well. His/her work and relationships can be described by loyalty and reliability.</w:t>
      </w:r>
    </w:p>
    <w:p w:rsidR="00A3436E" w:rsidRPr="000B1A81" w:rsidRDefault="00A3436E" w:rsidP="00A3436E">
      <w:pPr>
        <w:widowControl w:val="0"/>
        <w:spacing w:before="120" w:after="120" w:line="240" w:lineRule="auto"/>
        <w:ind w:left="426"/>
        <w:jc w:val="both"/>
        <w:rPr>
          <w:rFonts w:ascii="Times New Roman" w:eastAsia="Times New Roman" w:hAnsi="Times New Roman" w:cs="Times New Roman"/>
          <w:b/>
          <w:lang w:val="en-GB"/>
        </w:rPr>
      </w:pPr>
      <w:r w:rsidRPr="000B1A81">
        <w:rPr>
          <w:rFonts w:ascii="Times New Roman" w:eastAsia="Times New Roman" w:hAnsi="Times New Roman" w:cs="Times New Roman"/>
          <w:b/>
          <w:lang w:val="en-GB"/>
        </w:rPr>
        <w:t>Autonomy and responsibility:</w:t>
      </w:r>
    </w:p>
    <w:p w:rsidR="00A3436E" w:rsidRPr="000B1A81" w:rsidRDefault="00A3436E"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kern w:val="2"/>
        </w:rPr>
      </w:pPr>
      <w:r w:rsidRPr="000B1A81">
        <w:rPr>
          <w:rFonts w:ascii="Times New Roman" w:eastAsia="Times New Roman" w:hAnsi="Times New Roman" w:cs="Times New Roman"/>
          <w:bCs/>
        </w:rPr>
        <w:t>He/She is aware of the impact of his/her decisions and activities on technical equipment and business discipline.</w:t>
      </w:r>
      <w:r w:rsidRPr="000B1A81">
        <w:t xml:space="preserve"> </w:t>
      </w:r>
      <w:r w:rsidRPr="000B1A81">
        <w:rPr>
          <w:rFonts w:ascii="Times New Roman" w:eastAsia="Times New Roman" w:hAnsi="Times New Roman" w:cs="Times New Roman"/>
          <w:bCs/>
        </w:rPr>
        <w:t>He/She takes responsibility for the professional work of his/her subordinates. Is capable of independently fulfilling his/her professional tasks as well as effectively organizing and executing his/her own work. Is capable of organizing and determining the tasks of his/her subordinates as well as controlling their work based on professional aspects.  He/she is cooperative and responsible towards the professionals of his/her field. Is capable of thinking in a system approach within his/her own field.</w:t>
      </w:r>
      <w:r w:rsidRPr="000B1A81">
        <w:rPr>
          <w:rFonts w:ascii="Times New Roman" w:eastAsia="Times New Roman" w:hAnsi="Times New Roman" w:cs="Times New Roman"/>
          <w:bCs/>
          <w:kern w:val="2"/>
        </w:rPr>
        <w:t xml:space="preserve"> </w:t>
      </w:r>
    </w:p>
    <w:p w:rsidR="00A3436E" w:rsidRPr="000B1A81" w:rsidRDefault="00A3436E" w:rsidP="00980876">
      <w:pPr>
        <w:widowControl w:val="0"/>
        <w:numPr>
          <w:ilvl w:val="0"/>
          <w:numId w:val="328"/>
        </w:numPr>
        <w:spacing w:before="120" w:after="120" w:line="240" w:lineRule="auto"/>
        <w:ind w:left="426" w:hanging="142"/>
        <w:jc w:val="both"/>
        <w:rPr>
          <w:rFonts w:ascii="Times New Roman" w:eastAsia="Times New Roman" w:hAnsi="Times New Roman" w:cs="Times New Roman"/>
          <w:bCs/>
          <w:i/>
        </w:rPr>
      </w:pPr>
      <w:r w:rsidRPr="000B1A81">
        <w:rPr>
          <w:rFonts w:ascii="Times New Roman" w:eastAsia="Times New Roman" w:hAnsi="Times New Roman" w:cs="Times New Roman"/>
          <w:b/>
          <w:bCs/>
        </w:rPr>
        <w:t xml:space="preserve">Előtanulmányi követelmények: </w:t>
      </w:r>
      <w:r w:rsidRPr="000B1A81">
        <w:rPr>
          <w:rFonts w:ascii="Times New Roman" w:eastAsia="Times New Roman" w:hAnsi="Times New Roman" w:cs="Times New Roman"/>
          <w:bCs/>
        </w:rPr>
        <w:t>-</w:t>
      </w:r>
    </w:p>
    <w:p w:rsidR="00A3436E" w:rsidRPr="000B1A81" w:rsidRDefault="00A3436E" w:rsidP="00980876">
      <w:pPr>
        <w:widowControl w:val="0"/>
        <w:numPr>
          <w:ilvl w:val="0"/>
          <w:numId w:val="328"/>
        </w:numPr>
        <w:spacing w:before="120" w:after="120" w:line="240" w:lineRule="auto"/>
        <w:ind w:left="426" w:hanging="142"/>
        <w:jc w:val="both"/>
        <w:rPr>
          <w:rFonts w:ascii="Times New Roman" w:eastAsia="Times New Roman" w:hAnsi="Times New Roman" w:cs="Times New Roman"/>
          <w:b/>
          <w:bCs/>
        </w:rPr>
      </w:pPr>
      <w:r w:rsidRPr="000B1A81">
        <w:rPr>
          <w:rFonts w:ascii="Times New Roman" w:eastAsia="Times New Roman" w:hAnsi="Times New Roman" w:cs="Times New Roman"/>
          <w:b/>
          <w:bCs/>
        </w:rPr>
        <w:t>A tantárgy tananyagának leírása, tematika. Description of the subject, curriculum (magyarul, angolul - English):</w:t>
      </w:r>
    </w:p>
    <w:p w:rsidR="008362A4" w:rsidRPr="008362A4" w:rsidRDefault="008362A4" w:rsidP="008362A4">
      <w:pPr>
        <w:widowControl w:val="0"/>
        <w:tabs>
          <w:tab w:val="left" w:pos="993"/>
        </w:tabs>
        <w:spacing w:before="120" w:after="120" w:line="240" w:lineRule="auto"/>
        <w:ind w:left="360"/>
        <w:jc w:val="both"/>
        <w:rPr>
          <w:rFonts w:ascii="Times New Roman" w:eastAsia="Times New Roman" w:hAnsi="Times New Roman" w:cs="Times New Roman"/>
          <w:bCs/>
        </w:rPr>
      </w:pPr>
      <w:r w:rsidRPr="008362A4">
        <w:rPr>
          <w:rFonts w:ascii="Times New Roman" w:eastAsia="Times New Roman" w:hAnsi="Times New Roman" w:cs="Times New Roman"/>
          <w:b/>
        </w:rPr>
        <w:t>12.1</w:t>
      </w:r>
      <w:r>
        <w:rPr>
          <w:rFonts w:ascii="Times New Roman" w:eastAsia="Times New Roman" w:hAnsi="Times New Roman" w:cs="Times New Roman"/>
          <w:b/>
        </w:rPr>
        <w:t xml:space="preserve"> -</w:t>
      </w:r>
      <w:r w:rsidRPr="008362A4">
        <w:rPr>
          <w:rFonts w:ascii="Times New Roman" w:eastAsia="Times New Roman" w:hAnsi="Times New Roman" w:cs="Times New Roman"/>
          <w:b/>
        </w:rPr>
        <w:t xml:space="preserve"> 12.3.</w:t>
      </w:r>
      <w:r w:rsidRPr="008362A4">
        <w:rPr>
          <w:rFonts w:ascii="Times New Roman" w:eastAsia="Times New Roman" w:hAnsi="Times New Roman" w:cs="Times New Roman"/>
          <w:bCs/>
        </w:rPr>
        <w:t xml:space="preserve"> A katonai műveletek páncélos és gépjárműtechnikai biztosításának alapfogalmai. </w:t>
      </w:r>
      <w:r w:rsidRPr="008362A4">
        <w:rPr>
          <w:rFonts w:ascii="Times New Roman" w:eastAsia="Times New Roman" w:hAnsi="Times New Roman" w:cs="Times New Roman"/>
          <w:bCs/>
          <w:i/>
          <w:iCs/>
        </w:rPr>
        <w:t>(</w:t>
      </w:r>
      <w:r w:rsidRPr="008362A4">
        <w:rPr>
          <w:rFonts w:ascii="Times New Roman" w:hAnsi="Times New Roman" w:cs="Times New Roman"/>
          <w:i/>
          <w:iCs/>
        </w:rPr>
        <w:t>Basic concepts related to the armoured vehicle and vehicle technology support for military operations)</w:t>
      </w:r>
    </w:p>
    <w:p w:rsidR="008362A4" w:rsidRPr="008362A4" w:rsidRDefault="008362A4" w:rsidP="008362A4">
      <w:pPr>
        <w:widowControl w:val="0"/>
        <w:tabs>
          <w:tab w:val="num" w:pos="1398"/>
        </w:tabs>
        <w:spacing w:before="120" w:after="120" w:line="240" w:lineRule="auto"/>
        <w:ind w:left="360"/>
        <w:jc w:val="both"/>
        <w:rPr>
          <w:rFonts w:ascii="Times New Roman" w:eastAsia="Times New Roman" w:hAnsi="Times New Roman" w:cs="Times New Roman"/>
          <w:bCs/>
          <w:i/>
          <w:iCs/>
        </w:rPr>
      </w:pPr>
      <w:r w:rsidRPr="008362A4">
        <w:rPr>
          <w:rFonts w:ascii="Times New Roman" w:eastAsia="Times New Roman" w:hAnsi="Times New Roman" w:cs="Times New Roman"/>
          <w:b/>
          <w:bCs/>
        </w:rPr>
        <w:t>12.4</w:t>
      </w:r>
      <w:r>
        <w:rPr>
          <w:rFonts w:ascii="Times New Roman" w:eastAsia="Times New Roman" w:hAnsi="Times New Roman" w:cs="Times New Roman"/>
          <w:b/>
          <w:bCs/>
        </w:rPr>
        <w:t>.</w:t>
      </w:r>
      <w:r w:rsidRPr="008362A4">
        <w:rPr>
          <w:rFonts w:ascii="Times New Roman" w:eastAsia="Times New Roman" w:hAnsi="Times New Roman" w:cs="Times New Roman"/>
          <w:bCs/>
        </w:rPr>
        <w:t xml:space="preserve"> A javító szakalegységek (javítószázad, karbantartó szakasz) szervezete. </w:t>
      </w:r>
      <w:r w:rsidRPr="008362A4">
        <w:rPr>
          <w:rFonts w:ascii="Times New Roman" w:eastAsia="Times New Roman" w:hAnsi="Times New Roman" w:cs="Times New Roman"/>
          <w:bCs/>
          <w:i/>
          <w:iCs/>
        </w:rPr>
        <w:t>(</w:t>
      </w:r>
      <w:r w:rsidRPr="008362A4">
        <w:rPr>
          <w:rFonts w:ascii="Times New Roman" w:hAnsi="Times New Roman" w:cs="Times New Roman"/>
          <w:i/>
          <w:iCs/>
        </w:rPr>
        <w:t>Organisation of maintenance subunits (maintenance company, maintenance platoon).)</w:t>
      </w:r>
    </w:p>
    <w:p w:rsidR="008362A4" w:rsidRPr="008362A4" w:rsidRDefault="008362A4" w:rsidP="008362A4">
      <w:pPr>
        <w:widowControl w:val="0"/>
        <w:tabs>
          <w:tab w:val="left" w:pos="993"/>
        </w:tabs>
        <w:spacing w:before="120" w:after="120" w:line="240" w:lineRule="auto"/>
        <w:ind w:left="360"/>
        <w:jc w:val="both"/>
        <w:rPr>
          <w:rFonts w:ascii="Times New Roman" w:eastAsia="Times New Roman" w:hAnsi="Times New Roman" w:cs="Times New Roman"/>
          <w:bCs/>
        </w:rPr>
      </w:pPr>
      <w:r w:rsidRPr="008362A4">
        <w:rPr>
          <w:rFonts w:ascii="Times New Roman" w:eastAsia="Times New Roman" w:hAnsi="Times New Roman" w:cs="Times New Roman"/>
          <w:b/>
        </w:rPr>
        <w:t>12.5</w:t>
      </w:r>
      <w:r>
        <w:rPr>
          <w:rFonts w:ascii="Times New Roman" w:eastAsia="Times New Roman" w:hAnsi="Times New Roman" w:cs="Times New Roman"/>
          <w:b/>
        </w:rPr>
        <w:t>.</w:t>
      </w:r>
      <w:r w:rsidRPr="008362A4">
        <w:rPr>
          <w:rFonts w:ascii="Times New Roman" w:eastAsia="Times New Roman" w:hAnsi="Times New Roman" w:cs="Times New Roman"/>
          <w:b/>
        </w:rPr>
        <w:t xml:space="preserve"> </w:t>
      </w:r>
      <w:r w:rsidRPr="008362A4">
        <w:rPr>
          <w:rFonts w:ascii="Times New Roman" w:eastAsia="Times New Roman" w:hAnsi="Times New Roman" w:cs="Times New Roman"/>
          <w:bCs/>
        </w:rPr>
        <w:t xml:space="preserve">A javító szakalegységek alkalmazása harcban és harccal kapcsolatos tevékenységben. </w:t>
      </w:r>
      <w:r w:rsidRPr="008362A4">
        <w:rPr>
          <w:rFonts w:ascii="Times New Roman" w:eastAsia="Times New Roman" w:hAnsi="Times New Roman" w:cs="Times New Roman"/>
          <w:bCs/>
          <w:i/>
          <w:iCs/>
        </w:rPr>
        <w:t>(</w:t>
      </w:r>
      <w:r w:rsidRPr="008362A4">
        <w:rPr>
          <w:rFonts w:ascii="Times New Roman" w:hAnsi="Times New Roman" w:cs="Times New Roman"/>
          <w:i/>
          <w:iCs/>
        </w:rPr>
        <w:t>Combat usage of maintenance subunits.)</w:t>
      </w:r>
    </w:p>
    <w:p w:rsidR="008362A4" w:rsidRPr="008362A4" w:rsidRDefault="008362A4" w:rsidP="008362A4">
      <w:pPr>
        <w:widowControl w:val="0"/>
        <w:tabs>
          <w:tab w:val="num" w:pos="1398"/>
        </w:tabs>
        <w:spacing w:before="120" w:after="120" w:line="240" w:lineRule="auto"/>
        <w:ind w:left="360"/>
        <w:jc w:val="both"/>
        <w:rPr>
          <w:rFonts w:ascii="Times New Roman" w:eastAsia="Times New Roman" w:hAnsi="Times New Roman" w:cs="Times New Roman"/>
          <w:bCs/>
        </w:rPr>
      </w:pPr>
      <w:r w:rsidRPr="008362A4">
        <w:rPr>
          <w:rFonts w:ascii="Times New Roman" w:eastAsia="Times New Roman" w:hAnsi="Times New Roman" w:cs="Times New Roman"/>
          <w:b/>
          <w:bCs/>
        </w:rPr>
        <w:t>12.6.</w:t>
      </w:r>
      <w:r w:rsidRPr="008362A4">
        <w:rPr>
          <w:rFonts w:ascii="Times New Roman" w:eastAsia="Times New Roman" w:hAnsi="Times New Roman" w:cs="Times New Roman"/>
          <w:bCs/>
        </w:rPr>
        <w:t xml:space="preserve"> Javító, javító-vontató csoportok szervezése. </w:t>
      </w:r>
      <w:r w:rsidRPr="008362A4">
        <w:rPr>
          <w:rFonts w:ascii="Times New Roman" w:eastAsia="Times New Roman" w:hAnsi="Times New Roman" w:cs="Times New Roman"/>
          <w:bCs/>
          <w:i/>
          <w:iCs/>
        </w:rPr>
        <w:t>(</w:t>
      </w:r>
      <w:r w:rsidRPr="008362A4">
        <w:rPr>
          <w:rFonts w:ascii="Times New Roman" w:hAnsi="Times New Roman" w:cs="Times New Roman"/>
          <w:i/>
          <w:iCs/>
        </w:rPr>
        <w:t>Estabilishment oh repair teams.)</w:t>
      </w:r>
    </w:p>
    <w:p w:rsidR="008362A4" w:rsidRPr="008362A4" w:rsidRDefault="008362A4" w:rsidP="008362A4">
      <w:pPr>
        <w:widowControl w:val="0"/>
        <w:tabs>
          <w:tab w:val="left" w:pos="993"/>
        </w:tabs>
        <w:spacing w:before="120" w:after="120" w:line="240" w:lineRule="auto"/>
        <w:ind w:left="360"/>
        <w:jc w:val="both"/>
        <w:rPr>
          <w:rFonts w:ascii="Times New Roman" w:eastAsia="Times New Roman" w:hAnsi="Times New Roman" w:cs="Times New Roman"/>
          <w:bCs/>
        </w:rPr>
      </w:pPr>
      <w:r w:rsidRPr="008362A4">
        <w:rPr>
          <w:rFonts w:ascii="Times New Roman" w:eastAsia="Times New Roman" w:hAnsi="Times New Roman" w:cs="Times New Roman"/>
          <w:b/>
          <w:bCs/>
        </w:rPr>
        <w:t>12.7</w:t>
      </w:r>
      <w:r w:rsidRPr="008362A4">
        <w:rPr>
          <w:rFonts w:ascii="Times New Roman" w:eastAsia="Times New Roman" w:hAnsi="Times New Roman" w:cs="Times New Roman"/>
          <w:bCs/>
        </w:rPr>
        <w:t xml:space="preserve">. Javító, javító-vontató csoportok feladata, és alkalmazási lehetőségei. </w:t>
      </w:r>
      <w:r w:rsidRPr="008362A4">
        <w:rPr>
          <w:rFonts w:ascii="Times New Roman" w:eastAsia="Times New Roman" w:hAnsi="Times New Roman" w:cs="Times New Roman"/>
          <w:bCs/>
          <w:i/>
          <w:iCs/>
        </w:rPr>
        <w:t>(</w:t>
      </w:r>
      <w:r w:rsidRPr="008362A4">
        <w:rPr>
          <w:rFonts w:ascii="Times New Roman" w:hAnsi="Times New Roman" w:cs="Times New Roman"/>
          <w:i/>
          <w:iCs/>
        </w:rPr>
        <w:t>Tasks and application of repair teams.)</w:t>
      </w:r>
    </w:p>
    <w:p w:rsidR="008362A4" w:rsidRPr="008362A4" w:rsidRDefault="008362A4" w:rsidP="008362A4">
      <w:pPr>
        <w:widowControl w:val="0"/>
        <w:tabs>
          <w:tab w:val="left" w:pos="993"/>
        </w:tabs>
        <w:spacing w:before="120" w:after="120" w:line="240" w:lineRule="auto"/>
        <w:ind w:left="360"/>
        <w:jc w:val="both"/>
        <w:rPr>
          <w:rFonts w:ascii="Times New Roman" w:eastAsia="Times New Roman" w:hAnsi="Times New Roman" w:cs="Times New Roman"/>
          <w:bCs/>
        </w:rPr>
      </w:pPr>
      <w:r w:rsidRPr="008362A4">
        <w:rPr>
          <w:rFonts w:ascii="Times New Roman" w:eastAsia="Times New Roman" w:hAnsi="Times New Roman" w:cs="Times New Roman"/>
          <w:b/>
          <w:bCs/>
        </w:rPr>
        <w:t>12.8</w:t>
      </w:r>
      <w:r>
        <w:rPr>
          <w:rFonts w:ascii="Times New Roman" w:eastAsia="Times New Roman" w:hAnsi="Times New Roman" w:cs="Times New Roman"/>
          <w:b/>
          <w:bCs/>
        </w:rPr>
        <w:t>.</w:t>
      </w:r>
      <w:r w:rsidRPr="008362A4">
        <w:rPr>
          <w:rFonts w:ascii="Times New Roman" w:eastAsia="Times New Roman" w:hAnsi="Times New Roman" w:cs="Times New Roman"/>
          <w:bCs/>
        </w:rPr>
        <w:t xml:space="preserve"> A menet és annak logisztikai támogatási feladatai</w:t>
      </w:r>
      <w:r w:rsidRPr="008362A4">
        <w:rPr>
          <w:rFonts w:ascii="Times New Roman" w:eastAsia="Times New Roman" w:hAnsi="Times New Roman" w:cs="Times New Roman"/>
          <w:bCs/>
          <w:i/>
          <w:iCs/>
        </w:rPr>
        <w:t>. (</w:t>
      </w:r>
      <w:r w:rsidRPr="008362A4">
        <w:rPr>
          <w:rFonts w:ascii="Times New Roman" w:hAnsi="Times New Roman" w:cs="Times New Roman"/>
          <w:i/>
          <w:iCs/>
        </w:rPr>
        <w:t>Logistic support of motorized march and convojs.)</w:t>
      </w:r>
    </w:p>
    <w:p w:rsidR="008362A4" w:rsidRPr="008362A4" w:rsidRDefault="008362A4" w:rsidP="008362A4">
      <w:pPr>
        <w:widowControl w:val="0"/>
        <w:tabs>
          <w:tab w:val="left" w:pos="993"/>
        </w:tabs>
        <w:spacing w:before="120" w:after="120" w:line="240" w:lineRule="auto"/>
        <w:ind w:left="360"/>
        <w:jc w:val="both"/>
        <w:rPr>
          <w:rFonts w:ascii="Times New Roman" w:eastAsia="Times New Roman" w:hAnsi="Times New Roman" w:cs="Times New Roman"/>
          <w:bCs/>
        </w:rPr>
      </w:pPr>
      <w:r w:rsidRPr="008362A4">
        <w:rPr>
          <w:rFonts w:ascii="Times New Roman" w:eastAsia="Times New Roman" w:hAnsi="Times New Roman" w:cs="Times New Roman"/>
          <w:b/>
        </w:rPr>
        <w:t>12.9.</w:t>
      </w:r>
      <w:r w:rsidRPr="008362A4">
        <w:rPr>
          <w:rFonts w:ascii="Times New Roman" w:eastAsia="Times New Roman" w:hAnsi="Times New Roman" w:cs="Times New Roman"/>
          <w:bCs/>
        </w:rPr>
        <w:t xml:space="preserve"> Haditechnikai biztosítási feladatok. </w:t>
      </w:r>
      <w:r w:rsidRPr="008362A4">
        <w:rPr>
          <w:rFonts w:ascii="Times New Roman" w:eastAsia="Times New Roman" w:hAnsi="Times New Roman" w:cs="Times New Roman"/>
          <w:bCs/>
          <w:i/>
          <w:iCs/>
        </w:rPr>
        <w:t>(</w:t>
      </w:r>
      <w:r w:rsidRPr="008362A4">
        <w:rPr>
          <w:rFonts w:ascii="Times New Roman" w:hAnsi="Times New Roman" w:cs="Times New Roman"/>
          <w:i/>
          <w:iCs/>
        </w:rPr>
        <w:t>Tasks of technologycal support.)</w:t>
      </w:r>
    </w:p>
    <w:p w:rsidR="008362A4" w:rsidRPr="008362A4" w:rsidRDefault="008362A4" w:rsidP="008362A4">
      <w:pPr>
        <w:widowControl w:val="0"/>
        <w:tabs>
          <w:tab w:val="num" w:pos="1398"/>
        </w:tabs>
        <w:spacing w:before="120" w:after="120" w:line="240" w:lineRule="auto"/>
        <w:ind w:left="360"/>
        <w:jc w:val="both"/>
        <w:rPr>
          <w:rFonts w:ascii="Times New Roman" w:eastAsia="Times New Roman" w:hAnsi="Times New Roman" w:cs="Times New Roman"/>
          <w:bCs/>
        </w:rPr>
      </w:pPr>
      <w:r w:rsidRPr="008362A4">
        <w:rPr>
          <w:rFonts w:ascii="Times New Roman" w:eastAsia="Times New Roman" w:hAnsi="Times New Roman" w:cs="Times New Roman"/>
          <w:b/>
          <w:bCs/>
        </w:rPr>
        <w:t>12.10</w:t>
      </w:r>
      <w:r>
        <w:rPr>
          <w:rFonts w:ascii="Times New Roman" w:eastAsia="Times New Roman" w:hAnsi="Times New Roman" w:cs="Times New Roman"/>
          <w:b/>
          <w:bCs/>
        </w:rPr>
        <w:t xml:space="preserve">. </w:t>
      </w:r>
      <w:r w:rsidRPr="008362A4">
        <w:rPr>
          <w:rFonts w:ascii="Times New Roman" w:eastAsia="Times New Roman" w:hAnsi="Times New Roman" w:cs="Times New Roman"/>
          <w:b/>
          <w:bCs/>
        </w:rPr>
        <w:t>- 12.11</w:t>
      </w:r>
      <w:r>
        <w:rPr>
          <w:rFonts w:ascii="Times New Roman" w:eastAsia="Times New Roman" w:hAnsi="Times New Roman" w:cs="Times New Roman"/>
          <w:b/>
          <w:bCs/>
        </w:rPr>
        <w:t>.</w:t>
      </w:r>
      <w:r w:rsidRPr="008362A4">
        <w:rPr>
          <w:rFonts w:ascii="Times New Roman" w:eastAsia="Times New Roman" w:hAnsi="Times New Roman" w:cs="Times New Roman"/>
          <w:bCs/>
        </w:rPr>
        <w:t xml:space="preserve"> A műhely gépkocsi, akkumulátor töltő gépkocsi telepítésére vonatkozó szabályok</w:t>
      </w:r>
      <w:r w:rsidRPr="008362A4">
        <w:rPr>
          <w:rFonts w:ascii="Times New Roman" w:eastAsia="Times New Roman" w:hAnsi="Times New Roman" w:cs="Times New Roman"/>
          <w:bCs/>
          <w:i/>
          <w:iCs/>
        </w:rPr>
        <w:t>. (</w:t>
      </w:r>
      <w:r w:rsidRPr="008362A4">
        <w:rPr>
          <w:rFonts w:ascii="Times New Roman" w:hAnsi="Times New Roman" w:cs="Times New Roman"/>
          <w:i/>
          <w:iCs/>
        </w:rPr>
        <w:t>Rules for the deployment of special battery charger vehicle.)</w:t>
      </w:r>
    </w:p>
    <w:p w:rsidR="008362A4" w:rsidRPr="008362A4" w:rsidRDefault="008362A4" w:rsidP="008362A4">
      <w:pPr>
        <w:widowControl w:val="0"/>
        <w:tabs>
          <w:tab w:val="left" w:pos="993"/>
        </w:tabs>
        <w:spacing w:before="120" w:after="120" w:line="240" w:lineRule="auto"/>
        <w:ind w:left="360"/>
        <w:jc w:val="both"/>
        <w:rPr>
          <w:rFonts w:ascii="Times New Roman" w:eastAsia="Times New Roman" w:hAnsi="Times New Roman" w:cs="Times New Roman"/>
          <w:bCs/>
        </w:rPr>
      </w:pPr>
      <w:r w:rsidRPr="008362A4">
        <w:rPr>
          <w:rFonts w:ascii="Times New Roman" w:eastAsia="Times New Roman" w:hAnsi="Times New Roman" w:cs="Times New Roman"/>
          <w:b/>
          <w:bCs/>
        </w:rPr>
        <w:t>12.12.</w:t>
      </w:r>
      <w:r>
        <w:rPr>
          <w:rFonts w:ascii="Times New Roman" w:eastAsia="Times New Roman" w:hAnsi="Times New Roman" w:cs="Times New Roman"/>
          <w:b/>
          <w:bCs/>
        </w:rPr>
        <w:t xml:space="preserve"> </w:t>
      </w:r>
      <w:r w:rsidRPr="008362A4">
        <w:rPr>
          <w:rFonts w:ascii="Times New Roman" w:eastAsia="Times New Roman" w:hAnsi="Times New Roman" w:cs="Times New Roman"/>
          <w:b/>
          <w:bCs/>
        </w:rPr>
        <w:t>-</w:t>
      </w:r>
      <w:r>
        <w:rPr>
          <w:rFonts w:ascii="Times New Roman" w:eastAsia="Times New Roman" w:hAnsi="Times New Roman" w:cs="Times New Roman"/>
          <w:b/>
          <w:bCs/>
        </w:rPr>
        <w:t xml:space="preserve"> </w:t>
      </w:r>
      <w:r w:rsidRPr="008362A4">
        <w:rPr>
          <w:rFonts w:ascii="Times New Roman" w:eastAsia="Times New Roman" w:hAnsi="Times New Roman" w:cs="Times New Roman"/>
          <w:b/>
          <w:bCs/>
        </w:rPr>
        <w:t>12</w:t>
      </w:r>
      <w:r>
        <w:rPr>
          <w:rFonts w:ascii="Times New Roman" w:eastAsia="Times New Roman" w:hAnsi="Times New Roman" w:cs="Times New Roman"/>
          <w:b/>
          <w:bCs/>
        </w:rPr>
        <w:t>.</w:t>
      </w:r>
      <w:r w:rsidRPr="008362A4">
        <w:rPr>
          <w:rFonts w:ascii="Times New Roman" w:eastAsia="Times New Roman" w:hAnsi="Times New Roman" w:cs="Times New Roman"/>
          <w:b/>
          <w:bCs/>
        </w:rPr>
        <w:t>14.</w:t>
      </w:r>
      <w:r w:rsidRPr="008362A4">
        <w:rPr>
          <w:rFonts w:ascii="Times New Roman" w:eastAsia="Times New Roman" w:hAnsi="Times New Roman" w:cs="Times New Roman"/>
          <w:bCs/>
        </w:rPr>
        <w:t xml:space="preserve"> HTE-k vontatási előírásai közúton, technikai biztosítás (menetoszlop, vagonírozás). </w:t>
      </w:r>
      <w:r w:rsidRPr="008362A4">
        <w:rPr>
          <w:rFonts w:ascii="Times New Roman" w:eastAsia="Times New Roman" w:hAnsi="Times New Roman" w:cs="Times New Roman"/>
          <w:bCs/>
          <w:i/>
          <w:iCs/>
        </w:rPr>
        <w:t>(Towing of military devices on the road, technical support (marching convoy, wagoning).)</w:t>
      </w:r>
    </w:p>
    <w:p w:rsidR="00A3436E" w:rsidRPr="000B1A81" w:rsidRDefault="00A3436E" w:rsidP="00980876">
      <w:pPr>
        <w:widowControl w:val="0"/>
        <w:numPr>
          <w:ilvl w:val="0"/>
          <w:numId w:val="328"/>
        </w:numPr>
        <w:spacing w:before="120" w:after="120" w:line="240" w:lineRule="auto"/>
        <w:ind w:left="426" w:hanging="142"/>
        <w:jc w:val="both"/>
        <w:rPr>
          <w:rFonts w:ascii="Times New Roman" w:eastAsia="Times New Roman" w:hAnsi="Times New Roman" w:cs="Times New Roman"/>
          <w:bCs/>
        </w:rPr>
      </w:pPr>
      <w:r w:rsidRPr="000B1A81">
        <w:rPr>
          <w:rFonts w:ascii="Times New Roman" w:eastAsia="Times New Roman" w:hAnsi="Times New Roman" w:cs="Times New Roman"/>
          <w:b/>
          <w:bCs/>
        </w:rPr>
        <w:t xml:space="preserve">A tantárgy meghirdetésének gyakorisága/a tantervben történő félévi elhelyezkedése: </w:t>
      </w:r>
      <w:r w:rsidRPr="000B1A81">
        <w:rPr>
          <w:rFonts w:ascii="Times New Roman" w:eastAsia="Times New Roman" w:hAnsi="Times New Roman" w:cs="Times New Roman"/>
          <w:bCs/>
        </w:rPr>
        <w:t>5. félév</w:t>
      </w:r>
    </w:p>
    <w:p w:rsidR="00A3436E" w:rsidRPr="000B1A81" w:rsidRDefault="00A3436E" w:rsidP="00980876">
      <w:pPr>
        <w:widowControl w:val="0"/>
        <w:numPr>
          <w:ilvl w:val="0"/>
          <w:numId w:val="328"/>
        </w:numPr>
        <w:spacing w:before="120" w:after="120" w:line="240" w:lineRule="auto"/>
        <w:ind w:left="426" w:hanging="142"/>
        <w:jc w:val="both"/>
        <w:rPr>
          <w:rFonts w:ascii="Times New Roman" w:eastAsia="Times New Roman" w:hAnsi="Times New Roman" w:cs="Times New Roman"/>
          <w:bCs/>
        </w:rPr>
      </w:pPr>
      <w:r w:rsidRPr="000B1A81">
        <w:rPr>
          <w:rFonts w:ascii="Times New Roman" w:eastAsia="Times New Roman" w:hAnsi="Times New Roman" w:cs="Times New Roman"/>
          <w:b/>
          <w:bCs/>
        </w:rPr>
        <w:t>A tanórákon való részvétel követelményei, az elfogadható hiányzások mértéke, a távolmaradás pótlásának lehetősége:</w:t>
      </w:r>
      <w:r w:rsidRPr="000B1A81">
        <w:rPr>
          <w:rFonts w:ascii="Times New Roman" w:eastAsia="Times New Roman" w:hAnsi="Times New Roman" w:cs="Times New Roman"/>
          <w:bCs/>
        </w:rPr>
        <w:t xml:space="preserve"> A tanórákat csak a kurzusra eredményesen jelentkezett hallgatók látogathatják. Az aláírás megszerzésének szempontjából az elfogadható hiányzás mértéke nem haladhatja meg a tanórák 30%-át, ellenkező esetben az aláírást meg kell tagadni. A hiányzás pótolható az oktató által kijelölt témakörben beadott, legalább elégségesre értékelt házidolgozattal. Az aláírás pótlása a TVSZ-ben megfogalmazott módon lehetséges.</w:t>
      </w:r>
    </w:p>
    <w:p w:rsidR="00A3436E" w:rsidRPr="000B1A81" w:rsidRDefault="00A3436E" w:rsidP="00980876">
      <w:pPr>
        <w:widowControl w:val="0"/>
        <w:numPr>
          <w:ilvl w:val="0"/>
          <w:numId w:val="328"/>
        </w:numPr>
        <w:spacing w:before="120" w:after="120" w:line="240" w:lineRule="auto"/>
        <w:ind w:left="426" w:hanging="142"/>
        <w:jc w:val="both"/>
        <w:rPr>
          <w:rFonts w:ascii="Times New Roman" w:eastAsia="Times New Roman" w:hAnsi="Times New Roman" w:cs="Times New Roman"/>
          <w:bCs/>
        </w:rPr>
      </w:pPr>
      <w:r w:rsidRPr="000B1A81">
        <w:rPr>
          <w:rFonts w:ascii="Times New Roman" w:eastAsia="Times New Roman" w:hAnsi="Times New Roman" w:cs="Times New Roman"/>
          <w:b/>
        </w:rPr>
        <w:t>Félévközi feladatok, ismeretek ellenőrzésének rendje:</w:t>
      </w:r>
      <w:r w:rsidRPr="000B1A81">
        <w:rPr>
          <w:rFonts w:ascii="Times New Roman" w:eastAsia="Times New Roman" w:hAnsi="Times New Roman" w:cs="Times New Roman"/>
          <w:bCs/>
        </w:rPr>
        <w:t xml:space="preserve"> </w:t>
      </w:r>
      <w:r w:rsidR="008362A4" w:rsidRPr="000B1A81">
        <w:rPr>
          <w:rFonts w:ascii="Times New Roman" w:eastAsia="Times New Roman" w:hAnsi="Times New Roman" w:cs="Times New Roman"/>
          <w:bCs/>
        </w:rPr>
        <w:t xml:space="preserve">Az ismeretek ellenőrzése </w:t>
      </w:r>
      <w:r w:rsidR="008362A4">
        <w:rPr>
          <w:rFonts w:ascii="Times New Roman" w:eastAsia="Times New Roman" w:hAnsi="Times New Roman" w:cs="Times New Roman"/>
          <w:bCs/>
        </w:rPr>
        <w:t>egy</w:t>
      </w:r>
      <w:r w:rsidR="008362A4" w:rsidRPr="000B1A81">
        <w:rPr>
          <w:rFonts w:ascii="Times New Roman" w:eastAsia="Times New Roman" w:hAnsi="Times New Roman" w:cs="Times New Roman"/>
          <w:bCs/>
        </w:rPr>
        <w:t xml:space="preserve"> zárthelyi dolgozat megírása alapján történik. A zárthelyi dolgozat témái a 12.1</w:t>
      </w:r>
      <w:r w:rsidR="008362A4">
        <w:rPr>
          <w:rFonts w:ascii="Times New Roman" w:eastAsia="Times New Roman" w:hAnsi="Times New Roman" w:cs="Times New Roman"/>
          <w:bCs/>
        </w:rPr>
        <w:t>.</w:t>
      </w:r>
      <w:r w:rsidR="008362A4" w:rsidRPr="000B1A81">
        <w:rPr>
          <w:rFonts w:ascii="Times New Roman" w:eastAsia="Times New Roman" w:hAnsi="Times New Roman" w:cs="Times New Roman"/>
          <w:bCs/>
        </w:rPr>
        <w:t>–12.</w:t>
      </w:r>
      <w:r w:rsidR="008362A4">
        <w:rPr>
          <w:rFonts w:ascii="Times New Roman" w:eastAsia="Times New Roman" w:hAnsi="Times New Roman" w:cs="Times New Roman"/>
          <w:bCs/>
        </w:rPr>
        <w:t>14.</w:t>
      </w:r>
      <w:r w:rsidR="008362A4" w:rsidRPr="000B1A81">
        <w:rPr>
          <w:rFonts w:ascii="Times New Roman" w:eastAsia="Times New Roman" w:hAnsi="Times New Roman" w:cs="Times New Roman"/>
          <w:bCs/>
        </w:rPr>
        <w:t xml:space="preserve"> tantárgyrészekből a kötelező irodalmak anyagából, illetve az előadásokon elhangzott ismeretanyagból kell összeállítani. Az érdemjegyek pontszámait a kiadott feladatlap tartalmazza. A dolgozatban teszt </w:t>
      </w:r>
      <w:r w:rsidR="008362A4" w:rsidRPr="000B1A81">
        <w:rPr>
          <w:rFonts w:ascii="Times New Roman" w:eastAsia="Times New Roman" w:hAnsi="Times New Roman" w:cs="Times New Roman"/>
          <w:bCs/>
        </w:rPr>
        <w:lastRenderedPageBreak/>
        <w:t xml:space="preserve">és esszé jellegű kérdések egyaránt szerepelhetnek. A zárthelyi dolgozat értékelése ötfokozatú értékelés. </w:t>
      </w:r>
      <w:r w:rsidR="008362A4" w:rsidRPr="00D1122C">
        <w:rPr>
          <w:rFonts w:ascii="Times New Roman" w:eastAsia="Times New Roman" w:hAnsi="Times New Roman" w:cs="Times New Roman"/>
          <w:bCs/>
        </w:rPr>
        <w:t>A zárthelyi írásbeli dolgozat értékelése az elért maximális pontszám 60%-ig elégtelen; 61</w:t>
      </w:r>
      <w:r w:rsidR="008362A4">
        <w:rPr>
          <w:rFonts w:ascii="Times New Roman" w:eastAsia="Times New Roman" w:hAnsi="Times New Roman" w:cs="Times New Roman"/>
          <w:bCs/>
        </w:rPr>
        <w:t>–</w:t>
      </w:r>
      <w:r w:rsidR="008362A4" w:rsidRPr="00D1122C">
        <w:rPr>
          <w:rFonts w:ascii="Times New Roman" w:eastAsia="Times New Roman" w:hAnsi="Times New Roman" w:cs="Times New Roman"/>
          <w:bCs/>
        </w:rPr>
        <w:t>70%-a között elégséges; 71</w:t>
      </w:r>
      <w:r w:rsidR="008362A4">
        <w:rPr>
          <w:rFonts w:ascii="Times New Roman" w:eastAsia="Times New Roman" w:hAnsi="Times New Roman" w:cs="Times New Roman"/>
          <w:bCs/>
        </w:rPr>
        <w:t>–</w:t>
      </w:r>
      <w:r w:rsidR="008362A4" w:rsidRPr="00D1122C">
        <w:rPr>
          <w:rFonts w:ascii="Times New Roman" w:eastAsia="Times New Roman" w:hAnsi="Times New Roman" w:cs="Times New Roman"/>
          <w:bCs/>
        </w:rPr>
        <w:t>80%-a között közepes; 81</w:t>
      </w:r>
      <w:r w:rsidR="008362A4">
        <w:rPr>
          <w:rFonts w:ascii="Times New Roman" w:eastAsia="Times New Roman" w:hAnsi="Times New Roman" w:cs="Times New Roman"/>
          <w:bCs/>
        </w:rPr>
        <w:t>–</w:t>
      </w:r>
      <w:r w:rsidR="008362A4" w:rsidRPr="00D1122C">
        <w:rPr>
          <w:rFonts w:ascii="Times New Roman" w:eastAsia="Times New Roman" w:hAnsi="Times New Roman" w:cs="Times New Roman"/>
          <w:bCs/>
        </w:rPr>
        <w:t>90%-a között jó; e felett jeles. Eredménytelen zárthelyi dolgozat kétszer javítható. A félévközi jegyet az elért eredmények kerekített matematikai átlaga képezi. A bármely zárthelyi dolgozatból vagy beadandó feladatból kapott elégtelen (1) osztályzat aláírás megtagadást jelent.  A 14. pontban említett beadandó dolgozat a hiányzást ellentételező feladat, a zárthelyi dolgozatokat nem helyettesíti.</w:t>
      </w:r>
    </w:p>
    <w:p w:rsidR="00A3436E" w:rsidRPr="000B1A81" w:rsidRDefault="00A3436E" w:rsidP="00980876">
      <w:pPr>
        <w:widowControl w:val="0"/>
        <w:numPr>
          <w:ilvl w:val="0"/>
          <w:numId w:val="328"/>
        </w:numPr>
        <w:spacing w:before="120" w:after="120" w:line="240" w:lineRule="auto"/>
        <w:ind w:left="426" w:hanging="142"/>
        <w:jc w:val="both"/>
        <w:rPr>
          <w:rFonts w:ascii="Times New Roman" w:eastAsia="Times New Roman" w:hAnsi="Times New Roman" w:cs="Times New Roman"/>
          <w:b/>
          <w:bCs/>
        </w:rPr>
      </w:pPr>
      <w:r w:rsidRPr="000B1A81">
        <w:rPr>
          <w:rFonts w:ascii="Times New Roman" w:eastAsia="Times New Roman" w:hAnsi="Times New Roman" w:cs="Times New Roman"/>
          <w:b/>
          <w:bCs/>
        </w:rPr>
        <w:t xml:space="preserve">Az értékelés, az aláírás és a kreditek megszerzésének pontos feltételei: </w:t>
      </w:r>
    </w:p>
    <w:p w:rsidR="00A3436E" w:rsidRPr="000B1A81" w:rsidRDefault="00A3436E" w:rsidP="00A3436E">
      <w:pPr>
        <w:widowControl w:val="0"/>
        <w:spacing w:before="120" w:after="120" w:line="240" w:lineRule="auto"/>
        <w:ind w:left="426"/>
        <w:jc w:val="both"/>
        <w:rPr>
          <w:rFonts w:ascii="Times New Roman" w:eastAsia="Times New Roman" w:hAnsi="Times New Roman" w:cs="Times New Roman"/>
          <w:bCs/>
        </w:rPr>
      </w:pPr>
      <w:r w:rsidRPr="000B1A81">
        <w:rPr>
          <w:rFonts w:ascii="Times New Roman" w:eastAsia="Times New Roman" w:hAnsi="Times New Roman" w:cs="Times New Roman"/>
          <w:b/>
          <w:bCs/>
        </w:rPr>
        <w:t xml:space="preserve">16.1.: Az aláírás megszerzésének feltételei: </w:t>
      </w:r>
      <w:r w:rsidRPr="000B1A81">
        <w:rPr>
          <w:rFonts w:ascii="Times New Roman" w:hAnsi="Times New Roman" w:cs="Times New Roman"/>
          <w:bCs/>
        </w:rPr>
        <w:t>Az aláírás megszerzésének feltétele a 14. pontban meghatározott arányú részvétel a foglalkozásokon és a 15. pontban meghatározott félévközi feladatok legalább elégséges teljesítése.</w:t>
      </w:r>
    </w:p>
    <w:p w:rsidR="00A3436E" w:rsidRPr="000B1A81" w:rsidRDefault="00A3436E" w:rsidP="00A3436E">
      <w:pPr>
        <w:widowControl w:val="0"/>
        <w:spacing w:before="120" w:after="120" w:line="240" w:lineRule="auto"/>
        <w:ind w:left="426"/>
        <w:jc w:val="both"/>
        <w:rPr>
          <w:rFonts w:ascii="Times New Roman" w:eastAsia="Times New Roman" w:hAnsi="Times New Roman" w:cs="Times New Roman"/>
          <w:bCs/>
        </w:rPr>
      </w:pPr>
      <w:r w:rsidRPr="000B1A81">
        <w:rPr>
          <w:rFonts w:ascii="Times New Roman" w:eastAsia="Times New Roman" w:hAnsi="Times New Roman" w:cs="Times New Roman"/>
          <w:b/>
          <w:bCs/>
        </w:rPr>
        <w:t>16.2.: Az értékelés:</w:t>
      </w:r>
      <w:r w:rsidRPr="000B1A81">
        <w:rPr>
          <w:rFonts w:ascii="Times New Roman" w:eastAsia="Times New Roman" w:hAnsi="Times New Roman" w:cs="Times New Roman"/>
          <w:bCs/>
        </w:rPr>
        <w:t xml:space="preserve"> évközi értékelés, ötfokozatú értékelés. Az évközi értékelés</w:t>
      </w:r>
      <w:r>
        <w:rPr>
          <w:rFonts w:ascii="Times New Roman" w:eastAsia="Times New Roman" w:hAnsi="Times New Roman" w:cs="Times New Roman"/>
          <w:bCs/>
        </w:rPr>
        <w:t xml:space="preserve"> eredményét a zárthelyi dolgozat eredménye adja.</w:t>
      </w:r>
    </w:p>
    <w:p w:rsidR="00A3436E" w:rsidRPr="000B1A81" w:rsidRDefault="00A3436E" w:rsidP="00A3436E">
      <w:pPr>
        <w:widowControl w:val="0"/>
        <w:spacing w:before="120" w:after="120" w:line="240" w:lineRule="auto"/>
        <w:ind w:left="426"/>
        <w:jc w:val="both"/>
        <w:rPr>
          <w:rFonts w:ascii="Times New Roman" w:eastAsia="Times New Roman" w:hAnsi="Times New Roman" w:cs="Times New Roman"/>
          <w:bCs/>
        </w:rPr>
      </w:pPr>
      <w:r w:rsidRPr="000B1A81">
        <w:rPr>
          <w:rFonts w:ascii="Times New Roman" w:eastAsia="Times New Roman" w:hAnsi="Times New Roman" w:cs="Times New Roman"/>
          <w:b/>
          <w:bCs/>
        </w:rPr>
        <w:t>16.3.: A kreditek megszerzésének feltételei:</w:t>
      </w:r>
      <w:r w:rsidRPr="000B1A81">
        <w:rPr>
          <w:rFonts w:ascii="Times New Roman" w:eastAsia="Times New Roman" w:hAnsi="Times New Roman" w:cs="Times New Roman"/>
          <w:bCs/>
        </w:rPr>
        <w:t xml:space="preserve"> Az aláírás, valamint a félévközi jegy megszerzése.</w:t>
      </w:r>
    </w:p>
    <w:p w:rsidR="00A3436E" w:rsidRPr="000B1A81" w:rsidRDefault="00A3436E" w:rsidP="00980876">
      <w:pPr>
        <w:widowControl w:val="0"/>
        <w:numPr>
          <w:ilvl w:val="0"/>
          <w:numId w:val="328"/>
        </w:numPr>
        <w:spacing w:before="120" w:after="120" w:line="240" w:lineRule="auto"/>
        <w:ind w:left="426" w:hanging="142"/>
        <w:jc w:val="both"/>
        <w:rPr>
          <w:rFonts w:ascii="Times New Roman" w:eastAsia="Times New Roman" w:hAnsi="Times New Roman" w:cs="Times New Roman"/>
          <w:bCs/>
        </w:rPr>
      </w:pPr>
      <w:r w:rsidRPr="000B1A81">
        <w:rPr>
          <w:rFonts w:ascii="Times New Roman" w:eastAsia="Times New Roman" w:hAnsi="Times New Roman" w:cs="Times New Roman"/>
          <w:b/>
          <w:bCs/>
        </w:rPr>
        <w:t>Irodalomjegyzék:</w:t>
      </w:r>
    </w:p>
    <w:p w:rsidR="00A3436E" w:rsidRPr="005959AA" w:rsidRDefault="00A3436E" w:rsidP="00980876">
      <w:pPr>
        <w:widowControl w:val="0"/>
        <w:numPr>
          <w:ilvl w:val="1"/>
          <w:numId w:val="328"/>
        </w:numPr>
        <w:tabs>
          <w:tab w:val="left" w:pos="709"/>
          <w:tab w:val="left" w:pos="993"/>
        </w:tabs>
        <w:spacing w:before="120" w:after="120" w:line="240" w:lineRule="auto"/>
        <w:ind w:left="426" w:firstLine="0"/>
        <w:jc w:val="both"/>
        <w:rPr>
          <w:rFonts w:ascii="Times New Roman" w:eastAsia="Times New Roman" w:hAnsi="Times New Roman" w:cs="Times New Roman"/>
          <w:b/>
          <w:bCs/>
        </w:rPr>
      </w:pPr>
      <w:r w:rsidRPr="000B1A81">
        <w:rPr>
          <w:rFonts w:ascii="Times New Roman" w:eastAsia="Times New Roman" w:hAnsi="Times New Roman" w:cs="Times New Roman"/>
          <w:b/>
          <w:bCs/>
        </w:rPr>
        <w:t>Kötelező irodalom:</w:t>
      </w:r>
    </w:p>
    <w:p w:rsidR="00A3436E" w:rsidRPr="00C079AC" w:rsidRDefault="00A3436E" w:rsidP="00980876">
      <w:pPr>
        <w:pStyle w:val="Listaszerbekezds"/>
        <w:widowControl w:val="0"/>
        <w:numPr>
          <w:ilvl w:val="0"/>
          <w:numId w:val="329"/>
        </w:numPr>
        <w:spacing w:after="0" w:line="240" w:lineRule="auto"/>
        <w:jc w:val="both"/>
        <w:rPr>
          <w:rFonts w:ascii="Times New Roman" w:eastAsia="Times New Roman" w:hAnsi="Times New Roman" w:cs="Times New Roman"/>
          <w:highlight w:val="yellow"/>
        </w:rPr>
      </w:pPr>
      <w:r w:rsidRPr="00C079AC">
        <w:rPr>
          <w:rFonts w:ascii="Times New Roman" w:eastAsia="Times New Roman" w:hAnsi="Times New Roman" w:cs="Times New Roman"/>
          <w:highlight w:val="yellow"/>
        </w:rPr>
        <w:t>Gjmű/2. Gépj</w:t>
      </w:r>
      <w:r w:rsidR="00B26B05" w:rsidRPr="00C079AC">
        <w:rPr>
          <w:rFonts w:ascii="Times New Roman" w:eastAsia="Times New Roman" w:hAnsi="Times New Roman" w:cs="Times New Roman"/>
          <w:highlight w:val="yellow"/>
        </w:rPr>
        <w:t>ármű-igénybevételi szabályzat.</w:t>
      </w:r>
      <w:r w:rsidRPr="00C079AC">
        <w:rPr>
          <w:rFonts w:ascii="Times New Roman" w:eastAsia="Times New Roman" w:hAnsi="Times New Roman" w:cs="Times New Roman"/>
          <w:highlight w:val="yellow"/>
        </w:rPr>
        <w:t xml:space="preserve"> A Mag</w:t>
      </w:r>
      <w:r w:rsidR="00B26B05" w:rsidRPr="00C079AC">
        <w:rPr>
          <w:rFonts w:ascii="Times New Roman" w:eastAsia="Times New Roman" w:hAnsi="Times New Roman" w:cs="Times New Roman"/>
          <w:highlight w:val="yellow"/>
        </w:rPr>
        <w:t xml:space="preserve">yar Honvédség kiadványa, 2015. </w:t>
      </w:r>
    </w:p>
    <w:p w:rsidR="00B26B05" w:rsidRPr="00C079AC" w:rsidRDefault="00A3436E" w:rsidP="00980876">
      <w:pPr>
        <w:pStyle w:val="Listaszerbekezds"/>
        <w:widowControl w:val="0"/>
        <w:numPr>
          <w:ilvl w:val="0"/>
          <w:numId w:val="329"/>
        </w:numPr>
        <w:spacing w:after="0" w:line="240" w:lineRule="auto"/>
        <w:jc w:val="both"/>
        <w:rPr>
          <w:rFonts w:ascii="Times New Roman" w:eastAsia="Times New Roman" w:hAnsi="Times New Roman" w:cs="Times New Roman"/>
          <w:highlight w:val="yellow"/>
        </w:rPr>
      </w:pPr>
      <w:r w:rsidRPr="00C079AC">
        <w:rPr>
          <w:rFonts w:ascii="Times New Roman" w:eastAsia="Times New Roman" w:hAnsi="Times New Roman" w:cs="Times New Roman"/>
          <w:highlight w:val="yellow"/>
        </w:rPr>
        <w:t xml:space="preserve">Ált/23. A Magyar Honvédség szolgálati szabályzata. </w:t>
      </w:r>
    </w:p>
    <w:p w:rsidR="00A3436E" w:rsidRPr="00C079AC" w:rsidRDefault="00A3436E" w:rsidP="00980876">
      <w:pPr>
        <w:pStyle w:val="Listaszerbekezds"/>
        <w:widowControl w:val="0"/>
        <w:numPr>
          <w:ilvl w:val="0"/>
          <w:numId w:val="329"/>
        </w:numPr>
        <w:spacing w:after="0" w:line="240" w:lineRule="auto"/>
        <w:jc w:val="both"/>
        <w:rPr>
          <w:rFonts w:ascii="Times New Roman" w:eastAsia="Times New Roman" w:hAnsi="Times New Roman" w:cs="Times New Roman"/>
          <w:highlight w:val="yellow"/>
        </w:rPr>
      </w:pPr>
      <w:r w:rsidRPr="00C079AC">
        <w:rPr>
          <w:rFonts w:ascii="Times New Roman" w:eastAsia="Times New Roman" w:hAnsi="Times New Roman" w:cs="Times New Roman"/>
          <w:highlight w:val="yellow"/>
        </w:rPr>
        <w:t>A harc-hadműve</w:t>
      </w:r>
      <w:r w:rsidR="00B26B05" w:rsidRPr="00C079AC">
        <w:rPr>
          <w:rFonts w:ascii="Times New Roman" w:eastAsia="Times New Roman" w:hAnsi="Times New Roman" w:cs="Times New Roman"/>
          <w:highlight w:val="yellow"/>
        </w:rPr>
        <w:t>let logisztikai támogatása II.,</w:t>
      </w:r>
      <w:r w:rsidRPr="00C079AC">
        <w:rPr>
          <w:rFonts w:ascii="Times New Roman" w:eastAsia="Times New Roman" w:hAnsi="Times New Roman" w:cs="Times New Roman"/>
          <w:highlight w:val="yellow"/>
        </w:rPr>
        <w:t xml:space="preserve"> Egyetemi jegyzet ZMNE Budapest 2004</w:t>
      </w:r>
      <w:r w:rsidR="00B26B05" w:rsidRPr="00C079AC">
        <w:rPr>
          <w:rFonts w:ascii="Times New Roman" w:eastAsia="Times New Roman" w:hAnsi="Times New Roman" w:cs="Times New Roman"/>
          <w:highlight w:val="yellow"/>
        </w:rPr>
        <w:t xml:space="preserve"> </w:t>
      </w:r>
    </w:p>
    <w:p w:rsidR="00A3436E" w:rsidRPr="000B1A81" w:rsidRDefault="00A3436E" w:rsidP="00980876">
      <w:pPr>
        <w:widowControl w:val="0"/>
        <w:numPr>
          <w:ilvl w:val="1"/>
          <w:numId w:val="328"/>
        </w:numPr>
        <w:tabs>
          <w:tab w:val="left" w:pos="709"/>
          <w:tab w:val="left" w:pos="993"/>
        </w:tabs>
        <w:spacing w:before="120" w:after="120" w:line="240" w:lineRule="auto"/>
        <w:ind w:left="426" w:firstLine="0"/>
        <w:jc w:val="both"/>
        <w:rPr>
          <w:rFonts w:ascii="Times New Roman" w:eastAsia="Times New Roman" w:hAnsi="Times New Roman" w:cs="Times New Roman"/>
          <w:b/>
          <w:bCs/>
        </w:rPr>
      </w:pPr>
      <w:r w:rsidRPr="000B1A81">
        <w:rPr>
          <w:rFonts w:ascii="Times New Roman" w:eastAsia="Times New Roman" w:hAnsi="Times New Roman" w:cs="Times New Roman"/>
          <w:b/>
          <w:bCs/>
        </w:rPr>
        <w:t>Ajánlott irodalom:</w:t>
      </w:r>
    </w:p>
    <w:p w:rsidR="00A3436E" w:rsidRPr="00C079AC" w:rsidRDefault="00A3436E" w:rsidP="00980876">
      <w:pPr>
        <w:pStyle w:val="Listaszerbekezds"/>
        <w:widowControl w:val="0"/>
        <w:numPr>
          <w:ilvl w:val="0"/>
          <w:numId w:val="327"/>
        </w:numPr>
        <w:spacing w:after="0" w:line="240" w:lineRule="auto"/>
        <w:jc w:val="both"/>
        <w:rPr>
          <w:rFonts w:ascii="Times New Roman" w:eastAsia="Times New Roman" w:hAnsi="Times New Roman" w:cs="Times New Roman"/>
          <w:highlight w:val="yellow"/>
        </w:rPr>
      </w:pPr>
      <w:r w:rsidRPr="00C079AC">
        <w:rPr>
          <w:rFonts w:ascii="Times New Roman" w:eastAsia="Times New Roman" w:hAnsi="Times New Roman" w:cs="Times New Roman"/>
          <w:highlight w:val="yellow"/>
        </w:rPr>
        <w:t>Gépesített lövész- (harckocsi-) zászlóalj (dandár) szakharcászata: gépesített lövész és harckocsi zászlóalj (dandár) tevékenységeinek logisztikai biztosítása BJKMFK jegyzet 1996</w:t>
      </w:r>
    </w:p>
    <w:p w:rsidR="003D542A" w:rsidRDefault="003D542A" w:rsidP="00A3436E">
      <w:pPr>
        <w:widowControl w:val="0"/>
        <w:spacing w:before="120" w:after="120" w:line="240" w:lineRule="auto"/>
        <w:jc w:val="both"/>
        <w:rPr>
          <w:rFonts w:ascii="Times New Roman" w:eastAsia="Times New Roman" w:hAnsi="Times New Roman" w:cs="Times New Roman"/>
          <w:bCs/>
        </w:rPr>
      </w:pPr>
    </w:p>
    <w:p w:rsidR="00A3436E" w:rsidRPr="000B1A81" w:rsidRDefault="00A3436E" w:rsidP="005A072C">
      <w:pPr>
        <w:widowControl w:val="0"/>
        <w:spacing w:before="120" w:after="120" w:line="240" w:lineRule="auto"/>
        <w:ind w:firstLine="360"/>
        <w:jc w:val="both"/>
        <w:rPr>
          <w:rFonts w:ascii="Times New Roman" w:eastAsia="Times New Roman" w:hAnsi="Times New Roman" w:cs="Times New Roman"/>
          <w:bCs/>
        </w:rPr>
      </w:pPr>
      <w:r w:rsidRPr="000B1A81">
        <w:rPr>
          <w:rFonts w:ascii="Times New Roman" w:eastAsia="Times New Roman" w:hAnsi="Times New Roman" w:cs="Times New Roman"/>
          <w:bCs/>
        </w:rPr>
        <w:t>Budapest, 2020.02.20.</w:t>
      </w:r>
    </w:p>
    <w:p w:rsidR="00A3436E" w:rsidRPr="000B1A81" w:rsidRDefault="00A3436E" w:rsidP="00A3436E">
      <w:pPr>
        <w:widowControl w:val="0"/>
        <w:spacing w:before="120" w:after="120" w:line="240" w:lineRule="auto"/>
        <w:jc w:val="both"/>
        <w:rPr>
          <w:rFonts w:ascii="Times New Roman" w:eastAsia="Times New Roman" w:hAnsi="Times New Roman" w:cs="Times New Roman"/>
          <w:bCs/>
        </w:rPr>
      </w:pPr>
    </w:p>
    <w:p w:rsidR="003D542A" w:rsidRPr="003D542A" w:rsidRDefault="00A3436E" w:rsidP="00A3436E">
      <w:pPr>
        <w:widowControl w:val="0"/>
        <w:spacing w:after="0" w:line="240" w:lineRule="auto"/>
        <w:jc w:val="right"/>
        <w:rPr>
          <w:rFonts w:ascii="Times New Roman" w:eastAsia="Times New Roman" w:hAnsi="Times New Roman" w:cs="Times New Roman"/>
          <w:b/>
          <w:bCs/>
        </w:rPr>
      </w:pPr>
      <w:r w:rsidRPr="003D542A">
        <w:rPr>
          <w:rFonts w:ascii="Times New Roman" w:eastAsia="Times New Roman" w:hAnsi="Times New Roman" w:cs="Times New Roman"/>
          <w:b/>
          <w:bCs/>
        </w:rPr>
        <w:t xml:space="preserve">Dr. Gávay György Viktor PhD </w:t>
      </w:r>
    </w:p>
    <w:p w:rsidR="00A3436E" w:rsidRPr="00BC6E7B" w:rsidRDefault="003D542A" w:rsidP="003D542A">
      <w:pPr>
        <w:widowControl w:val="0"/>
        <w:spacing w:after="0" w:line="240" w:lineRule="auto"/>
        <w:jc w:val="right"/>
        <w:rPr>
          <w:rFonts w:ascii="Times New Roman" w:eastAsia="Times New Roman" w:hAnsi="Times New Roman" w:cs="Times New Roman"/>
          <w:bCs/>
        </w:rPr>
      </w:pPr>
      <w:r>
        <w:rPr>
          <w:rFonts w:ascii="Times New Roman" w:eastAsia="Times New Roman" w:hAnsi="Times New Roman" w:cs="Times New Roman"/>
          <w:bCs/>
        </w:rPr>
        <w:t>adjunktus</w:t>
      </w:r>
      <w:r w:rsidR="00A3436E" w:rsidRPr="000B1A81">
        <w:rPr>
          <w:rFonts w:ascii="Times New Roman" w:eastAsia="Times New Roman" w:hAnsi="Times New Roman" w:cs="Times New Roman"/>
          <w:bCs/>
        </w:rPr>
        <w:t>, sk.</w:t>
      </w:r>
    </w:p>
    <w:p w:rsidR="00083F4C" w:rsidRDefault="00083F4C">
      <w:pPr>
        <w:spacing w:after="200" w:line="276" w:lineRule="auto"/>
        <w:rPr>
          <w:rFonts w:ascii="Times New Roman" w:hAnsi="Times New Roman" w:cs="Times New Roman"/>
          <w:sz w:val="24"/>
        </w:rPr>
      </w:pPr>
      <w:r>
        <w:rPr>
          <w:rFonts w:ascii="Times New Roman" w:hAnsi="Times New Roman" w:cs="Times New Roman"/>
          <w:sz w:val="24"/>
        </w:rPr>
        <w:br w:type="page"/>
      </w:r>
    </w:p>
    <w:tbl>
      <w:tblPr>
        <w:tblW w:w="9072" w:type="dxa"/>
        <w:tblInd w:w="113" w:type="dxa"/>
        <w:tblLook w:val="01E0" w:firstRow="1" w:lastRow="1" w:firstColumn="1" w:lastColumn="1" w:noHBand="0" w:noVBand="0"/>
      </w:tblPr>
      <w:tblGrid>
        <w:gridCol w:w="4855"/>
        <w:gridCol w:w="1620"/>
        <w:gridCol w:w="2597"/>
      </w:tblGrid>
      <w:tr w:rsidR="001E4DDB" w:rsidRPr="001E4DDB" w:rsidTr="00B6175C">
        <w:tc>
          <w:tcPr>
            <w:tcW w:w="4855" w:type="dxa"/>
            <w:tcBorders>
              <w:top w:val="nil"/>
              <w:left w:val="nil"/>
              <w:bottom w:val="single" w:sz="4" w:space="0" w:color="auto"/>
              <w:right w:val="nil"/>
            </w:tcBorders>
            <w:hideMark/>
          </w:tcPr>
          <w:p w:rsidR="001E4DDB" w:rsidRPr="001E4DDB" w:rsidRDefault="001E4DDB" w:rsidP="00B6175C">
            <w:pPr>
              <w:pStyle w:val="Szvegtrzs"/>
              <w:jc w:val="center"/>
              <w:rPr>
                <w:b/>
                <w:smallCaps/>
                <w:sz w:val="22"/>
                <w:szCs w:val="22"/>
              </w:rPr>
            </w:pPr>
            <w:r w:rsidRPr="001E4DDB">
              <w:rPr>
                <w:b/>
                <w:smallCaps/>
                <w:sz w:val="22"/>
                <w:szCs w:val="22"/>
              </w:rPr>
              <w:lastRenderedPageBreak/>
              <w:t>Nemzeti Közszolgálati Egyetem</w:t>
            </w:r>
          </w:p>
        </w:tc>
        <w:tc>
          <w:tcPr>
            <w:tcW w:w="1620" w:type="dxa"/>
          </w:tcPr>
          <w:p w:rsidR="001E4DDB" w:rsidRPr="001E4DDB" w:rsidRDefault="001E4DDB" w:rsidP="00B6175C">
            <w:pPr>
              <w:pStyle w:val="Szvegtrzs"/>
              <w:rPr>
                <w:sz w:val="22"/>
                <w:szCs w:val="22"/>
              </w:rPr>
            </w:pPr>
          </w:p>
        </w:tc>
        <w:tc>
          <w:tcPr>
            <w:tcW w:w="2597" w:type="dxa"/>
          </w:tcPr>
          <w:p w:rsidR="001E4DDB" w:rsidRPr="001E4DDB" w:rsidRDefault="001E4DDB" w:rsidP="00B6175C">
            <w:pPr>
              <w:pStyle w:val="Szvegtrzs"/>
              <w:jc w:val="right"/>
              <w:rPr>
                <w:sz w:val="22"/>
                <w:szCs w:val="22"/>
              </w:rPr>
            </w:pPr>
          </w:p>
        </w:tc>
      </w:tr>
      <w:tr w:rsidR="001E4DDB" w:rsidRPr="001E4DDB" w:rsidTr="00B6175C">
        <w:tc>
          <w:tcPr>
            <w:tcW w:w="4855" w:type="dxa"/>
            <w:tcBorders>
              <w:top w:val="single" w:sz="4" w:space="0" w:color="auto"/>
              <w:left w:val="nil"/>
              <w:bottom w:val="nil"/>
              <w:right w:val="nil"/>
            </w:tcBorders>
            <w:hideMark/>
          </w:tcPr>
          <w:p w:rsidR="001E4DDB" w:rsidRPr="001E4DDB" w:rsidRDefault="001E4DDB" w:rsidP="00B6175C">
            <w:pPr>
              <w:pStyle w:val="Szvegtrzs"/>
              <w:jc w:val="center"/>
              <w:rPr>
                <w:b/>
                <w:sz w:val="22"/>
                <w:szCs w:val="22"/>
              </w:rPr>
            </w:pPr>
            <w:r w:rsidRPr="001E4DDB">
              <w:rPr>
                <w:b/>
                <w:sz w:val="22"/>
                <w:szCs w:val="22"/>
              </w:rPr>
              <w:t>Hadtudományi és Honvédtisztképző Kar</w:t>
            </w:r>
          </w:p>
        </w:tc>
        <w:tc>
          <w:tcPr>
            <w:tcW w:w="1620" w:type="dxa"/>
          </w:tcPr>
          <w:p w:rsidR="001E4DDB" w:rsidRPr="001E4DDB" w:rsidRDefault="001E4DDB" w:rsidP="00B6175C">
            <w:pPr>
              <w:pStyle w:val="Szvegtrzs"/>
              <w:rPr>
                <w:sz w:val="22"/>
                <w:szCs w:val="22"/>
              </w:rPr>
            </w:pPr>
          </w:p>
        </w:tc>
        <w:tc>
          <w:tcPr>
            <w:tcW w:w="2597" w:type="dxa"/>
          </w:tcPr>
          <w:p w:rsidR="001E4DDB" w:rsidRPr="001E4DDB" w:rsidRDefault="001E4DDB" w:rsidP="00B6175C">
            <w:pPr>
              <w:pStyle w:val="Szvegtrzs"/>
              <w:rPr>
                <w:sz w:val="22"/>
                <w:szCs w:val="22"/>
              </w:rPr>
            </w:pPr>
          </w:p>
        </w:tc>
      </w:tr>
    </w:tbl>
    <w:p w:rsidR="001E4DDB" w:rsidRPr="001E4DDB" w:rsidRDefault="001E4DDB" w:rsidP="001E4DDB">
      <w:pPr>
        <w:pStyle w:val="lfej"/>
        <w:tabs>
          <w:tab w:val="right" w:pos="0"/>
        </w:tabs>
        <w:jc w:val="both"/>
        <w:rPr>
          <w:rFonts w:ascii="Times New Roman" w:hAnsi="Times New Roman" w:cs="Times New Roman"/>
          <w:bCs/>
        </w:rPr>
      </w:pPr>
    </w:p>
    <w:p w:rsidR="001E4DDB" w:rsidRPr="001E4DDB" w:rsidRDefault="001E4DDB" w:rsidP="001E4DDB">
      <w:pPr>
        <w:spacing w:after="0" w:line="276" w:lineRule="auto"/>
        <w:jc w:val="center"/>
        <w:rPr>
          <w:rFonts w:ascii="Times New Roman" w:hAnsi="Times New Roman" w:cs="Times New Roman"/>
          <w:b/>
          <w:bCs/>
        </w:rPr>
      </w:pPr>
      <w:r w:rsidRPr="001E4DDB">
        <w:rPr>
          <w:rFonts w:ascii="Times New Roman" w:hAnsi="Times New Roman" w:cs="Times New Roman"/>
          <w:b/>
          <w:bCs/>
        </w:rPr>
        <w:t>TANTÁRGYI PROGRAM</w:t>
      </w:r>
    </w:p>
    <w:p w:rsidR="001E4DDB" w:rsidRPr="001E4DDB" w:rsidRDefault="001E4DDB" w:rsidP="00980876">
      <w:pPr>
        <w:pStyle w:val="lfej"/>
        <w:numPr>
          <w:ilvl w:val="0"/>
          <w:numId w:val="416"/>
        </w:numPr>
        <w:tabs>
          <w:tab w:val="clear" w:pos="720"/>
          <w:tab w:val="right" w:pos="900"/>
        </w:tabs>
        <w:spacing w:line="276" w:lineRule="auto"/>
        <w:ind w:left="426" w:hanging="142"/>
        <w:jc w:val="both"/>
        <w:rPr>
          <w:rFonts w:ascii="Times New Roman" w:hAnsi="Times New Roman" w:cs="Times New Roman"/>
          <w:bCs/>
        </w:rPr>
      </w:pPr>
      <w:r w:rsidRPr="001E4DDB">
        <w:rPr>
          <w:rFonts w:ascii="Times New Roman" w:hAnsi="Times New Roman" w:cs="Times New Roman"/>
          <w:b/>
          <w:bCs/>
        </w:rPr>
        <w:t xml:space="preserve">A tantárgy kódja: </w:t>
      </w:r>
      <w:r w:rsidRPr="005A072C">
        <w:rPr>
          <w:rFonts w:ascii="Times New Roman" w:hAnsi="Times New Roman" w:cs="Times New Roman"/>
          <w:bCs/>
        </w:rPr>
        <w:t>HKHDTA44</w:t>
      </w:r>
    </w:p>
    <w:p w:rsidR="001E4DDB" w:rsidRPr="001E4DDB" w:rsidRDefault="001E4DDB" w:rsidP="00980876">
      <w:pPr>
        <w:pStyle w:val="lfej"/>
        <w:numPr>
          <w:ilvl w:val="0"/>
          <w:numId w:val="416"/>
        </w:numPr>
        <w:tabs>
          <w:tab w:val="clear" w:pos="720"/>
          <w:tab w:val="right" w:pos="900"/>
        </w:tabs>
        <w:spacing w:line="276" w:lineRule="auto"/>
        <w:ind w:left="426" w:hanging="142"/>
        <w:jc w:val="both"/>
        <w:rPr>
          <w:rFonts w:ascii="Times New Roman" w:hAnsi="Times New Roman" w:cs="Times New Roman"/>
          <w:bCs/>
        </w:rPr>
      </w:pPr>
      <w:r w:rsidRPr="001E4DDB">
        <w:rPr>
          <w:rFonts w:ascii="Times New Roman" w:hAnsi="Times New Roman" w:cs="Times New Roman"/>
          <w:b/>
          <w:bCs/>
        </w:rPr>
        <w:t xml:space="preserve">A tantárgy megnevezése (magyarul): </w:t>
      </w:r>
      <w:r w:rsidRPr="001E4DDB">
        <w:rPr>
          <w:rFonts w:ascii="Times New Roman" w:hAnsi="Times New Roman" w:cs="Times New Roman"/>
          <w:bCs/>
        </w:rPr>
        <w:t>Munkavédelem</w:t>
      </w:r>
    </w:p>
    <w:p w:rsidR="001E4DDB" w:rsidRPr="001E4DDB" w:rsidRDefault="001E4DDB" w:rsidP="00980876">
      <w:pPr>
        <w:pStyle w:val="lfej"/>
        <w:numPr>
          <w:ilvl w:val="0"/>
          <w:numId w:val="416"/>
        </w:numPr>
        <w:tabs>
          <w:tab w:val="clear" w:pos="720"/>
          <w:tab w:val="right" w:pos="900"/>
        </w:tabs>
        <w:spacing w:line="276" w:lineRule="auto"/>
        <w:ind w:left="426" w:hanging="142"/>
        <w:jc w:val="both"/>
        <w:rPr>
          <w:rFonts w:ascii="Times New Roman" w:hAnsi="Times New Roman" w:cs="Times New Roman"/>
          <w:bCs/>
        </w:rPr>
      </w:pPr>
      <w:r w:rsidRPr="001E4DDB">
        <w:rPr>
          <w:rFonts w:ascii="Times New Roman" w:hAnsi="Times New Roman" w:cs="Times New Roman"/>
          <w:b/>
          <w:bCs/>
        </w:rPr>
        <w:t xml:space="preserve">A tantárgy megnevezése (angolul): </w:t>
      </w:r>
      <w:r w:rsidRPr="001E4DDB">
        <w:rPr>
          <w:rFonts w:ascii="Times New Roman" w:hAnsi="Times New Roman" w:cs="Times New Roman"/>
          <w:bCs/>
        </w:rPr>
        <w:t>Work health and safety</w:t>
      </w:r>
    </w:p>
    <w:p w:rsidR="001E4DDB" w:rsidRPr="001E4DDB" w:rsidRDefault="001E4DDB" w:rsidP="00980876">
      <w:pPr>
        <w:pStyle w:val="lfej"/>
        <w:numPr>
          <w:ilvl w:val="0"/>
          <w:numId w:val="416"/>
        </w:numPr>
        <w:tabs>
          <w:tab w:val="clear" w:pos="720"/>
          <w:tab w:val="right" w:pos="900"/>
        </w:tabs>
        <w:spacing w:line="276" w:lineRule="auto"/>
        <w:ind w:left="426" w:hanging="142"/>
        <w:jc w:val="both"/>
        <w:rPr>
          <w:rFonts w:ascii="Times New Roman" w:hAnsi="Times New Roman" w:cs="Times New Roman"/>
          <w:bCs/>
        </w:rPr>
      </w:pPr>
      <w:r w:rsidRPr="001E4DDB">
        <w:rPr>
          <w:rFonts w:ascii="Times New Roman" w:hAnsi="Times New Roman" w:cs="Times New Roman"/>
          <w:b/>
          <w:bCs/>
        </w:rPr>
        <w:t>Kreditérték és képzési karakter:</w:t>
      </w:r>
    </w:p>
    <w:p w:rsidR="001E4DDB" w:rsidRPr="001E4DDB" w:rsidRDefault="001E4DDB" w:rsidP="00980876">
      <w:pPr>
        <w:pStyle w:val="lfej"/>
        <w:numPr>
          <w:ilvl w:val="1"/>
          <w:numId w:val="416"/>
        </w:numPr>
        <w:tabs>
          <w:tab w:val="clear" w:pos="3977"/>
          <w:tab w:val="right" w:pos="900"/>
          <w:tab w:val="num" w:pos="1425"/>
        </w:tabs>
        <w:spacing w:line="276" w:lineRule="auto"/>
        <w:ind w:left="1425"/>
        <w:rPr>
          <w:rFonts w:ascii="Times New Roman" w:hAnsi="Times New Roman" w:cs="Times New Roman"/>
          <w:bCs/>
        </w:rPr>
      </w:pPr>
      <w:r w:rsidRPr="001E4DDB">
        <w:rPr>
          <w:rFonts w:ascii="Times New Roman" w:hAnsi="Times New Roman" w:cs="Times New Roman"/>
          <w:b/>
          <w:bCs/>
        </w:rPr>
        <w:t xml:space="preserve"> </w:t>
      </w:r>
      <w:r w:rsidRPr="001E4DDB">
        <w:rPr>
          <w:rFonts w:ascii="Times New Roman" w:hAnsi="Times New Roman" w:cs="Times New Roman"/>
          <w:bCs/>
        </w:rPr>
        <w:t>2 kredit</w:t>
      </w:r>
    </w:p>
    <w:p w:rsidR="001E4DDB" w:rsidRPr="001E4DDB" w:rsidRDefault="001E4DDB" w:rsidP="00980876">
      <w:pPr>
        <w:pStyle w:val="lfej"/>
        <w:numPr>
          <w:ilvl w:val="1"/>
          <w:numId w:val="416"/>
        </w:numPr>
        <w:tabs>
          <w:tab w:val="clear" w:pos="3977"/>
          <w:tab w:val="right" w:pos="900"/>
          <w:tab w:val="num" w:pos="1425"/>
        </w:tabs>
        <w:spacing w:line="276" w:lineRule="auto"/>
        <w:ind w:left="1425"/>
        <w:rPr>
          <w:rFonts w:ascii="Times New Roman" w:hAnsi="Times New Roman" w:cs="Times New Roman"/>
          <w:bCs/>
        </w:rPr>
      </w:pPr>
      <w:r w:rsidRPr="001E4DDB">
        <w:rPr>
          <w:rFonts w:ascii="Times New Roman" w:hAnsi="Times New Roman" w:cs="Times New Roman"/>
          <w:bCs/>
        </w:rPr>
        <w:t>a tantárgy elméleti vagy gyakorlati jellegének mértéke: 50 % gyakorlat, 50 % elmélet</w:t>
      </w:r>
    </w:p>
    <w:p w:rsidR="001E4DDB" w:rsidRPr="001E4DDB" w:rsidRDefault="001E4DDB" w:rsidP="00980876">
      <w:pPr>
        <w:pStyle w:val="lfej"/>
        <w:numPr>
          <w:ilvl w:val="0"/>
          <w:numId w:val="416"/>
        </w:numPr>
        <w:tabs>
          <w:tab w:val="clear" w:pos="720"/>
          <w:tab w:val="right" w:pos="900"/>
        </w:tabs>
        <w:spacing w:line="276" w:lineRule="auto"/>
        <w:ind w:left="426" w:hanging="142"/>
        <w:jc w:val="both"/>
        <w:rPr>
          <w:rFonts w:ascii="Times New Roman" w:hAnsi="Times New Roman" w:cs="Times New Roman"/>
          <w:bCs/>
        </w:rPr>
      </w:pPr>
      <w:r w:rsidRPr="001E4DDB">
        <w:rPr>
          <w:rFonts w:ascii="Times New Roman" w:hAnsi="Times New Roman" w:cs="Times New Roman"/>
          <w:b/>
          <w:bCs/>
        </w:rPr>
        <w:t xml:space="preserve">A szak(ok), szakirányok/specializációk megnevezése (ahol oktatják): </w:t>
      </w:r>
      <w:r w:rsidRPr="001E4DDB">
        <w:rPr>
          <w:rFonts w:ascii="Times New Roman" w:hAnsi="Times New Roman" w:cs="Times New Roman"/>
          <w:bCs/>
        </w:rPr>
        <w:t>Katonai logisztika (</w:t>
      </w:r>
      <w:r w:rsidR="00137B8A">
        <w:rPr>
          <w:rFonts w:ascii="Times New Roman" w:hAnsi="Times New Roman" w:cs="Times New Roman"/>
          <w:bCs/>
        </w:rPr>
        <w:t>BSc</w:t>
      </w:r>
      <w:r w:rsidRPr="001E4DDB">
        <w:rPr>
          <w:rFonts w:ascii="Times New Roman" w:hAnsi="Times New Roman" w:cs="Times New Roman"/>
          <w:bCs/>
        </w:rPr>
        <w:t>) alapképzési szak, haditechnika specializáció</w:t>
      </w:r>
    </w:p>
    <w:p w:rsidR="001E4DDB" w:rsidRPr="001E4DDB" w:rsidRDefault="001E4DDB" w:rsidP="00980876">
      <w:pPr>
        <w:pStyle w:val="lfej"/>
        <w:numPr>
          <w:ilvl w:val="0"/>
          <w:numId w:val="416"/>
        </w:numPr>
        <w:tabs>
          <w:tab w:val="clear" w:pos="720"/>
          <w:tab w:val="right" w:pos="900"/>
        </w:tabs>
        <w:spacing w:line="276" w:lineRule="auto"/>
        <w:ind w:left="426" w:hanging="142"/>
        <w:jc w:val="both"/>
        <w:rPr>
          <w:rFonts w:ascii="Times New Roman" w:hAnsi="Times New Roman" w:cs="Times New Roman"/>
          <w:bCs/>
        </w:rPr>
      </w:pPr>
      <w:r w:rsidRPr="001E4DDB">
        <w:rPr>
          <w:rFonts w:ascii="Times New Roman" w:hAnsi="Times New Roman" w:cs="Times New Roman"/>
          <w:b/>
          <w:bCs/>
        </w:rPr>
        <w:tab/>
        <w:t xml:space="preserve">Az oktatásért felelős oktatási szervezeti egység megnevezése: </w:t>
      </w:r>
      <w:r w:rsidRPr="001E4DDB">
        <w:rPr>
          <w:rFonts w:ascii="Times New Roman" w:hAnsi="Times New Roman" w:cs="Times New Roman"/>
          <w:bCs/>
        </w:rPr>
        <w:t>NKE,</w:t>
      </w:r>
      <w:r w:rsidRPr="001E4DDB">
        <w:rPr>
          <w:rFonts w:ascii="Times New Roman" w:hAnsi="Times New Roman" w:cs="Times New Roman"/>
          <w:b/>
          <w:bCs/>
        </w:rPr>
        <w:t xml:space="preserve"> </w:t>
      </w:r>
      <w:r w:rsidRPr="001E4DDB">
        <w:rPr>
          <w:rFonts w:ascii="Times New Roman" w:hAnsi="Times New Roman" w:cs="Times New Roman"/>
          <w:bCs/>
        </w:rPr>
        <w:t>Hadtudományi és Honvédtisztképző Kar, Haditechnikai Tanszék</w:t>
      </w:r>
    </w:p>
    <w:p w:rsidR="001E4DDB" w:rsidRPr="001E4DDB" w:rsidRDefault="001E4DDB" w:rsidP="00980876">
      <w:pPr>
        <w:pStyle w:val="lfej"/>
        <w:numPr>
          <w:ilvl w:val="0"/>
          <w:numId w:val="416"/>
        </w:numPr>
        <w:tabs>
          <w:tab w:val="clear" w:pos="720"/>
          <w:tab w:val="right" w:pos="900"/>
        </w:tabs>
        <w:spacing w:line="276" w:lineRule="auto"/>
        <w:ind w:left="426" w:hanging="142"/>
        <w:jc w:val="both"/>
        <w:rPr>
          <w:rFonts w:ascii="Times New Roman" w:hAnsi="Times New Roman" w:cs="Times New Roman"/>
          <w:bCs/>
        </w:rPr>
      </w:pPr>
      <w:r w:rsidRPr="001E4DDB">
        <w:rPr>
          <w:rFonts w:ascii="Times New Roman" w:hAnsi="Times New Roman" w:cs="Times New Roman"/>
          <w:b/>
          <w:bCs/>
        </w:rPr>
        <w:t xml:space="preserve">  A tantárgyfelelős oktató neve, beosztása, tudományos fokozata: </w:t>
      </w:r>
      <w:r w:rsidRPr="001E4DDB">
        <w:rPr>
          <w:rFonts w:ascii="Times New Roman" w:hAnsi="Times New Roman" w:cs="Times New Roman"/>
          <w:bCs/>
        </w:rPr>
        <w:t>Dr. Gyarmati József PhD, egyetemi docens</w:t>
      </w:r>
    </w:p>
    <w:p w:rsidR="001E4DDB" w:rsidRPr="001E4DDB" w:rsidRDefault="001E4DDB" w:rsidP="00980876">
      <w:pPr>
        <w:pStyle w:val="lfej"/>
        <w:numPr>
          <w:ilvl w:val="0"/>
          <w:numId w:val="416"/>
        </w:numPr>
        <w:tabs>
          <w:tab w:val="clear" w:pos="720"/>
          <w:tab w:val="right" w:pos="900"/>
        </w:tabs>
        <w:spacing w:line="276" w:lineRule="auto"/>
        <w:ind w:left="426" w:hanging="142"/>
        <w:jc w:val="both"/>
        <w:rPr>
          <w:rFonts w:ascii="Times New Roman" w:hAnsi="Times New Roman" w:cs="Times New Roman"/>
          <w:b/>
        </w:rPr>
      </w:pPr>
      <w:r w:rsidRPr="001E4DDB">
        <w:rPr>
          <w:rFonts w:ascii="Times New Roman" w:hAnsi="Times New Roman" w:cs="Times New Roman"/>
          <w:b/>
          <w:bCs/>
        </w:rPr>
        <w:t xml:space="preserve">A tanórák száma </w:t>
      </w:r>
      <w:r w:rsidRPr="001E4DDB">
        <w:rPr>
          <w:rFonts w:ascii="Times New Roman" w:hAnsi="Times New Roman" w:cs="Times New Roman"/>
          <w:b/>
        </w:rPr>
        <w:t>(előadás + szeminárium + gyakorlat)</w:t>
      </w:r>
    </w:p>
    <w:p w:rsidR="001E4DDB" w:rsidRPr="001E4DDB" w:rsidRDefault="001E4DDB" w:rsidP="00980876">
      <w:pPr>
        <w:pStyle w:val="lfej"/>
        <w:numPr>
          <w:ilvl w:val="1"/>
          <w:numId w:val="416"/>
        </w:numPr>
        <w:tabs>
          <w:tab w:val="clear" w:pos="3977"/>
          <w:tab w:val="clear" w:pos="4536"/>
          <w:tab w:val="clear" w:pos="9072"/>
        </w:tabs>
        <w:spacing w:line="276" w:lineRule="auto"/>
        <w:ind w:left="567" w:firstLine="0"/>
        <w:jc w:val="both"/>
        <w:rPr>
          <w:rFonts w:ascii="Times New Roman" w:hAnsi="Times New Roman" w:cs="Times New Roman"/>
          <w:bCs/>
        </w:rPr>
      </w:pPr>
      <w:r w:rsidRPr="001E4DDB">
        <w:rPr>
          <w:rFonts w:ascii="Times New Roman" w:hAnsi="Times New Roman" w:cs="Times New Roman"/>
          <w:bCs/>
        </w:rPr>
        <w:t>össz óraszám/félév: 28</w:t>
      </w:r>
    </w:p>
    <w:p w:rsidR="001E4DDB" w:rsidRPr="001E4DDB" w:rsidRDefault="001E4DDB" w:rsidP="00980876">
      <w:pPr>
        <w:pStyle w:val="lfej"/>
        <w:numPr>
          <w:ilvl w:val="2"/>
          <w:numId w:val="416"/>
        </w:numPr>
        <w:tabs>
          <w:tab w:val="clear" w:pos="1800"/>
          <w:tab w:val="clear" w:pos="4536"/>
          <w:tab w:val="clear" w:pos="9072"/>
          <w:tab w:val="right" w:pos="900"/>
          <w:tab w:val="num" w:pos="1843"/>
        </w:tabs>
        <w:spacing w:line="276" w:lineRule="auto"/>
        <w:ind w:left="1418" w:hanging="709"/>
        <w:jc w:val="both"/>
        <w:rPr>
          <w:rFonts w:ascii="Times New Roman" w:hAnsi="Times New Roman" w:cs="Times New Roman"/>
          <w:bCs/>
        </w:rPr>
      </w:pPr>
      <w:r w:rsidRPr="001E4DDB">
        <w:rPr>
          <w:rFonts w:ascii="Times New Roman" w:hAnsi="Times New Roman" w:cs="Times New Roman"/>
          <w:bCs/>
        </w:rPr>
        <w:t>Nappali munkarend: 28 (14 EA+ 0 SZ + 14 GY)</w:t>
      </w:r>
    </w:p>
    <w:p w:rsidR="001E4DDB" w:rsidRPr="001E4DDB" w:rsidRDefault="001E4DDB" w:rsidP="00980876">
      <w:pPr>
        <w:pStyle w:val="lfej"/>
        <w:numPr>
          <w:ilvl w:val="2"/>
          <w:numId w:val="416"/>
        </w:numPr>
        <w:tabs>
          <w:tab w:val="clear" w:pos="1800"/>
          <w:tab w:val="clear" w:pos="4536"/>
          <w:tab w:val="clear" w:pos="9072"/>
          <w:tab w:val="right" w:pos="900"/>
          <w:tab w:val="num" w:pos="1843"/>
        </w:tabs>
        <w:spacing w:line="276" w:lineRule="auto"/>
        <w:ind w:left="1418" w:hanging="709"/>
        <w:jc w:val="both"/>
        <w:rPr>
          <w:rFonts w:ascii="Times New Roman" w:hAnsi="Times New Roman" w:cs="Times New Roman"/>
          <w:bCs/>
        </w:rPr>
      </w:pPr>
      <w:r w:rsidRPr="001E4DDB">
        <w:rPr>
          <w:rFonts w:ascii="Times New Roman" w:hAnsi="Times New Roman" w:cs="Times New Roman"/>
          <w:bCs/>
        </w:rPr>
        <w:t>Levelező munkarend: -</w:t>
      </w:r>
    </w:p>
    <w:p w:rsidR="001E4DDB" w:rsidRPr="001E4DDB" w:rsidRDefault="001E4DDB" w:rsidP="00980876">
      <w:pPr>
        <w:pStyle w:val="lfej"/>
        <w:numPr>
          <w:ilvl w:val="1"/>
          <w:numId w:val="416"/>
        </w:numPr>
        <w:tabs>
          <w:tab w:val="clear" w:pos="3977"/>
          <w:tab w:val="clear" w:pos="4536"/>
          <w:tab w:val="clear" w:pos="9072"/>
        </w:tabs>
        <w:spacing w:line="276" w:lineRule="auto"/>
        <w:ind w:left="567" w:firstLine="0"/>
        <w:jc w:val="both"/>
        <w:rPr>
          <w:rFonts w:ascii="Times New Roman" w:hAnsi="Times New Roman" w:cs="Times New Roman"/>
          <w:bCs/>
        </w:rPr>
      </w:pPr>
      <w:r w:rsidRPr="001E4DDB">
        <w:rPr>
          <w:rFonts w:ascii="Times New Roman" w:hAnsi="Times New Roman" w:cs="Times New Roman"/>
          <w:bCs/>
        </w:rPr>
        <w:t>heti óraszám nappali munkarend: 2 (1 + 1)</w:t>
      </w:r>
    </w:p>
    <w:p w:rsidR="001E4DDB" w:rsidRPr="001E4DDB" w:rsidRDefault="001E4DDB" w:rsidP="00980876">
      <w:pPr>
        <w:pStyle w:val="lfej"/>
        <w:numPr>
          <w:ilvl w:val="1"/>
          <w:numId w:val="416"/>
        </w:numPr>
        <w:tabs>
          <w:tab w:val="clear" w:pos="3977"/>
          <w:tab w:val="clear" w:pos="4536"/>
          <w:tab w:val="clear" w:pos="9072"/>
        </w:tabs>
        <w:spacing w:line="276" w:lineRule="auto"/>
        <w:ind w:left="567" w:firstLine="0"/>
        <w:jc w:val="both"/>
        <w:rPr>
          <w:rFonts w:ascii="Times New Roman" w:hAnsi="Times New Roman" w:cs="Times New Roman"/>
          <w:bCs/>
        </w:rPr>
      </w:pPr>
      <w:r w:rsidRPr="001E4DDB">
        <w:rPr>
          <w:rFonts w:ascii="Times New Roman" w:hAnsi="Times New Roman" w:cs="Times New Roman"/>
          <w:bCs/>
        </w:rPr>
        <w:t>Az ismeret átadásában alkalmazandó további sajátos módok, jellemzők: vegyes tanulási program (blended learning)</w:t>
      </w:r>
    </w:p>
    <w:p w:rsidR="001E4DDB" w:rsidRPr="001E4DDB" w:rsidRDefault="001E4DDB" w:rsidP="00980876">
      <w:pPr>
        <w:pStyle w:val="lfej"/>
        <w:numPr>
          <w:ilvl w:val="0"/>
          <w:numId w:val="416"/>
        </w:numPr>
        <w:tabs>
          <w:tab w:val="clear" w:pos="720"/>
          <w:tab w:val="right" w:pos="900"/>
        </w:tabs>
        <w:spacing w:line="276" w:lineRule="auto"/>
        <w:ind w:left="426" w:hanging="142"/>
        <w:jc w:val="both"/>
        <w:rPr>
          <w:rFonts w:ascii="Times New Roman" w:hAnsi="Times New Roman" w:cs="Times New Roman"/>
        </w:rPr>
      </w:pPr>
      <w:r w:rsidRPr="001E4DDB">
        <w:rPr>
          <w:rFonts w:ascii="Times New Roman" w:hAnsi="Times New Roman" w:cs="Times New Roman"/>
          <w:b/>
          <w:bCs/>
        </w:rPr>
        <w:t xml:space="preserve">A tantárgy szakmai tartalma (magyarul): </w:t>
      </w:r>
      <w:r w:rsidRPr="001E4DDB">
        <w:rPr>
          <w:rFonts w:ascii="Times New Roman" w:hAnsi="Times New Roman" w:cs="Times New Roman"/>
          <w:bCs/>
        </w:rPr>
        <w:t xml:space="preserve">Ismerje meg az </w:t>
      </w:r>
      <w:r w:rsidRPr="001E4DDB">
        <w:rPr>
          <w:rFonts w:ascii="Times New Roman" w:hAnsi="Times New Roman" w:cs="Times New Roman"/>
        </w:rPr>
        <w:t>Alaptörvény és a Munkavédelmi törvény felépítését, rendszerét. Ismerje meg az egyéni védőeszközöket és az egyéni védőeszköz ellátás rendszerét. Legyen tisztában a Munkavédelmi Szabályzat és a munkavédelmi oktatás rendjével, tartalmával és a kockázatkezelés rendszerével. Ismerje meg a tűzvédelmi szabályozás, munkavédelmi aspektusait. A javítóműhely munkavédelmi előírásait. Ismerkedjen meg a veszélyes anyagok és veszélyes hulladékok tárolásának szabályaival. Ismerje meg a Biztonsági adatlap felépítését. Ismerje az elsősegélynyújtás munkavédelmi aspektusait. Ismerje a  képernyő előtti munkavégzés szabályait.</w:t>
      </w:r>
    </w:p>
    <w:p w:rsidR="001E4DDB" w:rsidRPr="001E4DDB" w:rsidRDefault="001E4DDB" w:rsidP="001E4DDB">
      <w:pPr>
        <w:shd w:val="clear" w:color="auto" w:fill="FFFFFF"/>
        <w:spacing w:after="0" w:line="276" w:lineRule="auto"/>
        <w:ind w:left="426"/>
        <w:jc w:val="both"/>
        <w:textAlignment w:val="top"/>
        <w:rPr>
          <w:rFonts w:ascii="Times New Roman" w:hAnsi="Times New Roman" w:cs="Times New Roman"/>
        </w:rPr>
      </w:pPr>
      <w:r w:rsidRPr="001E4DDB">
        <w:rPr>
          <w:rFonts w:ascii="Times New Roman" w:hAnsi="Times New Roman" w:cs="Times New Roman"/>
          <w:b/>
          <w:bCs/>
        </w:rPr>
        <w:t xml:space="preserve">A tantárgy szakmai tartalma (angolul) (Course description): </w:t>
      </w:r>
      <w:r w:rsidRPr="001E4DDB">
        <w:rPr>
          <w:rFonts w:ascii="Times New Roman" w:hAnsi="Times New Roman" w:cs="Times New Roman"/>
        </w:rPr>
        <w:t>Learn about the structure of the Fundamental Law and the Labor Protection Act. Learn about personal protective equipment and personal protective equipment supply system. Be aware of the rules, content and risk management system of the Health and Safety Policy and Safety Training. Learn about fire safety regulations and safety aspects. With the safety regulations of the workshop. By storing hazardous materials and hazardous waste. Structure of the Safety Data Sheets. Safety aspects of first aid. Concept of workplace in front of the screen.</w:t>
      </w:r>
    </w:p>
    <w:p w:rsidR="001E4DDB" w:rsidRPr="001E4DDB" w:rsidRDefault="001E4DDB" w:rsidP="00980876">
      <w:pPr>
        <w:pStyle w:val="lfej"/>
        <w:numPr>
          <w:ilvl w:val="0"/>
          <w:numId w:val="416"/>
        </w:numPr>
        <w:tabs>
          <w:tab w:val="clear" w:pos="720"/>
          <w:tab w:val="right" w:pos="900"/>
        </w:tabs>
        <w:spacing w:line="276" w:lineRule="auto"/>
        <w:ind w:left="426" w:hanging="142"/>
        <w:jc w:val="both"/>
        <w:rPr>
          <w:rFonts w:ascii="Times New Roman" w:hAnsi="Times New Roman" w:cs="Times New Roman"/>
          <w:b/>
          <w:bCs/>
        </w:rPr>
      </w:pPr>
      <w:r w:rsidRPr="001E4DDB">
        <w:rPr>
          <w:rFonts w:ascii="Times New Roman" w:hAnsi="Times New Roman" w:cs="Times New Roman"/>
          <w:b/>
          <w:bCs/>
        </w:rPr>
        <w:t>Elérendő kompetenciák (magyarul)</w:t>
      </w:r>
    </w:p>
    <w:p w:rsidR="001E4DDB" w:rsidRPr="001E4DDB" w:rsidRDefault="001E4DDB" w:rsidP="001E4DDB">
      <w:pPr>
        <w:pStyle w:val="Default"/>
        <w:spacing w:line="276" w:lineRule="auto"/>
        <w:ind w:left="646"/>
        <w:jc w:val="both"/>
        <w:rPr>
          <w:rFonts w:ascii="Times New Roman" w:hAnsi="Times New Roman" w:cs="Times New Roman"/>
          <w:b/>
          <w:sz w:val="22"/>
          <w:szCs w:val="22"/>
        </w:rPr>
      </w:pPr>
      <w:r w:rsidRPr="001E4DDB">
        <w:rPr>
          <w:rFonts w:ascii="Times New Roman" w:hAnsi="Times New Roman" w:cs="Times New Roman"/>
          <w:b/>
          <w:sz w:val="22"/>
          <w:szCs w:val="22"/>
        </w:rPr>
        <w:t>Tudása:</w:t>
      </w:r>
    </w:p>
    <w:p w:rsidR="001E4DDB" w:rsidRPr="001E4DDB" w:rsidRDefault="001E4DDB" w:rsidP="00980876">
      <w:pPr>
        <w:pStyle w:val="Default"/>
        <w:numPr>
          <w:ilvl w:val="0"/>
          <w:numId w:val="414"/>
        </w:numPr>
        <w:spacing w:line="276" w:lineRule="auto"/>
        <w:jc w:val="both"/>
        <w:rPr>
          <w:rFonts w:ascii="Times New Roman" w:hAnsi="Times New Roman" w:cs="Times New Roman"/>
          <w:color w:val="000000" w:themeColor="text1"/>
          <w:sz w:val="22"/>
          <w:szCs w:val="22"/>
        </w:rPr>
      </w:pPr>
      <w:r w:rsidRPr="001E4DDB">
        <w:rPr>
          <w:rFonts w:ascii="Times New Roman" w:hAnsi="Times New Roman" w:cs="Times New Roman"/>
          <w:color w:val="000000" w:themeColor="text1"/>
          <w:sz w:val="22"/>
          <w:szCs w:val="22"/>
        </w:rPr>
        <w:t>Ismeri a matematika és a mechanika törvényszerűségeit, rendelkezik műszaki alapismeretekkel.</w:t>
      </w:r>
    </w:p>
    <w:p w:rsidR="001E4DDB" w:rsidRPr="001E4DDB" w:rsidRDefault="001E4DDB" w:rsidP="001E4DDB">
      <w:pPr>
        <w:pStyle w:val="Default"/>
        <w:spacing w:line="276" w:lineRule="auto"/>
        <w:ind w:left="646"/>
        <w:jc w:val="both"/>
        <w:rPr>
          <w:rFonts w:ascii="Times New Roman" w:hAnsi="Times New Roman" w:cs="Times New Roman"/>
          <w:b/>
          <w:sz w:val="22"/>
          <w:szCs w:val="22"/>
        </w:rPr>
      </w:pPr>
      <w:r w:rsidRPr="001E4DDB">
        <w:rPr>
          <w:rFonts w:ascii="Times New Roman" w:hAnsi="Times New Roman" w:cs="Times New Roman"/>
          <w:b/>
          <w:sz w:val="22"/>
          <w:szCs w:val="22"/>
        </w:rPr>
        <w:t>Képességei:</w:t>
      </w:r>
    </w:p>
    <w:p w:rsidR="001E4DDB" w:rsidRPr="001E4DDB" w:rsidRDefault="001E4DDB" w:rsidP="00980876">
      <w:pPr>
        <w:pStyle w:val="Listaszerbekezds"/>
        <w:numPr>
          <w:ilvl w:val="0"/>
          <w:numId w:val="414"/>
        </w:numPr>
        <w:spacing w:after="0" w:line="276" w:lineRule="auto"/>
        <w:contextualSpacing w:val="0"/>
        <w:jc w:val="both"/>
        <w:rPr>
          <w:rFonts w:ascii="Times New Roman" w:hAnsi="Times New Roman" w:cs="Times New Roman"/>
        </w:rPr>
      </w:pPr>
      <w:r w:rsidRPr="001E4DDB">
        <w:rPr>
          <w:rFonts w:ascii="Times New Roman" w:hAnsi="Times New Roman" w:cs="Times New Roman"/>
        </w:rPr>
        <w:t>Képes a szakmai terminológia magyarul és idegen nyelven történő alkalmazására.</w:t>
      </w:r>
    </w:p>
    <w:p w:rsidR="001E4DDB" w:rsidRPr="001E4DDB" w:rsidRDefault="001E4DDB" w:rsidP="00980876">
      <w:pPr>
        <w:pStyle w:val="Listaszerbekezds"/>
        <w:numPr>
          <w:ilvl w:val="0"/>
          <w:numId w:val="414"/>
        </w:numPr>
        <w:spacing w:after="0" w:line="276" w:lineRule="auto"/>
        <w:contextualSpacing w:val="0"/>
        <w:jc w:val="both"/>
        <w:rPr>
          <w:rFonts w:ascii="Times New Roman" w:hAnsi="Times New Roman" w:cs="Times New Roman"/>
        </w:rPr>
      </w:pPr>
      <w:r w:rsidRPr="001E4DDB">
        <w:rPr>
          <w:rFonts w:ascii="Times New Roman" w:hAnsi="Times New Roman" w:cs="Times New Roman"/>
        </w:rPr>
        <w:t>Képes a munkaköréhez és feladataihoz kapcsolódó jogszabályi háttér értelmezésére és gyakorlati alkalmazására.</w:t>
      </w:r>
    </w:p>
    <w:p w:rsidR="001E4DDB" w:rsidRPr="001E4DDB" w:rsidRDefault="001E4DDB" w:rsidP="00980876">
      <w:pPr>
        <w:pStyle w:val="Listaszerbekezds"/>
        <w:numPr>
          <w:ilvl w:val="0"/>
          <w:numId w:val="414"/>
        </w:numPr>
        <w:spacing w:after="0" w:line="276" w:lineRule="auto"/>
        <w:contextualSpacing w:val="0"/>
        <w:jc w:val="both"/>
        <w:rPr>
          <w:rFonts w:ascii="Times New Roman" w:hAnsi="Times New Roman" w:cs="Times New Roman"/>
        </w:rPr>
      </w:pPr>
      <w:r w:rsidRPr="001E4DDB">
        <w:rPr>
          <w:rFonts w:ascii="Times New Roman" w:hAnsi="Times New Roman" w:cs="Times New Roman"/>
        </w:rPr>
        <w:lastRenderedPageBreak/>
        <w:t>Képes a munkaköréhez kapcsolódó dokumentumok, nyomtatványok, jegyzőkönyvek, feljegyzések és emlékeztetők önálló elkészítésére, okmányok kitöltésére, a munkaköréhez kapcsolódó események szervezésére, technikaielőkészítésére.</w:t>
      </w:r>
    </w:p>
    <w:p w:rsidR="001E4DDB" w:rsidRPr="001E4DDB" w:rsidRDefault="001E4DDB" w:rsidP="001E4DDB">
      <w:pPr>
        <w:pStyle w:val="Default"/>
        <w:spacing w:line="276" w:lineRule="auto"/>
        <w:ind w:left="646"/>
        <w:jc w:val="both"/>
        <w:rPr>
          <w:rFonts w:ascii="Times New Roman" w:hAnsi="Times New Roman" w:cs="Times New Roman"/>
          <w:b/>
          <w:bCs/>
          <w:sz w:val="22"/>
          <w:szCs w:val="22"/>
        </w:rPr>
      </w:pPr>
      <w:r w:rsidRPr="001E4DDB">
        <w:rPr>
          <w:rFonts w:ascii="Times New Roman" w:hAnsi="Times New Roman" w:cs="Times New Roman"/>
          <w:b/>
          <w:bCs/>
          <w:sz w:val="22"/>
          <w:szCs w:val="22"/>
        </w:rPr>
        <w:t>Attitüdje:</w:t>
      </w:r>
    </w:p>
    <w:p w:rsidR="001E4DDB" w:rsidRPr="001E4DDB" w:rsidRDefault="001E4DDB" w:rsidP="00980876">
      <w:pPr>
        <w:pStyle w:val="Listaszerbekezds"/>
        <w:numPr>
          <w:ilvl w:val="0"/>
          <w:numId w:val="414"/>
        </w:numPr>
        <w:spacing w:after="0" w:line="276" w:lineRule="auto"/>
        <w:contextualSpacing w:val="0"/>
        <w:jc w:val="both"/>
        <w:rPr>
          <w:rFonts w:ascii="Times New Roman" w:hAnsi="Times New Roman" w:cs="Times New Roman"/>
        </w:rPr>
      </w:pPr>
      <w:r w:rsidRPr="001E4DDB">
        <w:rPr>
          <w:rFonts w:ascii="Times New Roman" w:hAnsi="Times New Roman" w:cs="Times New Roman"/>
        </w:rPr>
        <w:t>Nyitott szakterülete új eredményei, innovációi iránt, törekszik azok megismerésére, megértésére és alkalmazására, elkötelezett önmaga folyamatos képzésére.</w:t>
      </w:r>
    </w:p>
    <w:p w:rsidR="001E4DDB" w:rsidRPr="001E4DDB" w:rsidRDefault="001E4DDB" w:rsidP="00980876">
      <w:pPr>
        <w:pStyle w:val="Listaszerbekezds"/>
        <w:numPr>
          <w:ilvl w:val="0"/>
          <w:numId w:val="414"/>
        </w:numPr>
        <w:spacing w:after="0" w:line="276" w:lineRule="auto"/>
        <w:contextualSpacing w:val="0"/>
        <w:jc w:val="both"/>
        <w:rPr>
          <w:rFonts w:ascii="Times New Roman" w:hAnsi="Times New Roman" w:cs="Times New Roman"/>
        </w:rPr>
      </w:pPr>
      <w:r w:rsidRPr="001E4DDB">
        <w:rPr>
          <w:rFonts w:ascii="Times New Roman" w:hAnsi="Times New Roman" w:cs="Times New Roman"/>
        </w:rPr>
        <w:t>Feladatai ellátása során együttműködési készség jellemzi, törekszik a beosztottak bevonására a döntési folyamatokba.</w:t>
      </w:r>
    </w:p>
    <w:p w:rsidR="001E4DDB" w:rsidRPr="001E4DDB" w:rsidRDefault="001E4DDB" w:rsidP="00980876">
      <w:pPr>
        <w:pStyle w:val="Default"/>
        <w:numPr>
          <w:ilvl w:val="0"/>
          <w:numId w:val="414"/>
        </w:numPr>
        <w:spacing w:line="276" w:lineRule="auto"/>
        <w:ind w:left="1003" w:hanging="357"/>
        <w:jc w:val="both"/>
        <w:rPr>
          <w:rFonts w:ascii="Times New Roman" w:hAnsi="Times New Roman" w:cs="Times New Roman"/>
          <w:color w:val="000000" w:themeColor="text1"/>
          <w:sz w:val="22"/>
          <w:szCs w:val="22"/>
        </w:rPr>
      </w:pPr>
      <w:r w:rsidRPr="001E4DDB">
        <w:rPr>
          <w:rFonts w:ascii="Times New Roman" w:hAnsi="Times New Roman" w:cs="Times New Roman"/>
          <w:color w:val="000000" w:themeColor="text1"/>
          <w:sz w:val="22"/>
          <w:szCs w:val="22"/>
        </w:rPr>
        <w:t xml:space="preserve">Nyitott szakterülete új eredményei felé, törekszik azok megismerésére. </w:t>
      </w:r>
    </w:p>
    <w:p w:rsidR="001E4DDB" w:rsidRPr="001E4DDB" w:rsidRDefault="001E4DDB" w:rsidP="001E4DDB">
      <w:pPr>
        <w:pStyle w:val="Default"/>
        <w:spacing w:line="276" w:lineRule="auto"/>
        <w:ind w:left="646"/>
        <w:jc w:val="both"/>
        <w:rPr>
          <w:rFonts w:ascii="Times New Roman" w:hAnsi="Times New Roman" w:cs="Times New Roman"/>
          <w:b/>
          <w:bCs/>
          <w:sz w:val="22"/>
          <w:szCs w:val="22"/>
        </w:rPr>
      </w:pPr>
      <w:r w:rsidRPr="001E4DDB">
        <w:rPr>
          <w:rFonts w:ascii="Times New Roman" w:hAnsi="Times New Roman" w:cs="Times New Roman"/>
          <w:b/>
          <w:bCs/>
          <w:sz w:val="22"/>
          <w:szCs w:val="22"/>
        </w:rPr>
        <w:t>Autonómiája és felelőssége:</w:t>
      </w:r>
    </w:p>
    <w:p w:rsidR="001E4DDB" w:rsidRPr="001E4DDB" w:rsidRDefault="001E4DDB" w:rsidP="00980876">
      <w:pPr>
        <w:pStyle w:val="Default"/>
        <w:numPr>
          <w:ilvl w:val="0"/>
          <w:numId w:val="414"/>
        </w:numPr>
        <w:spacing w:line="276" w:lineRule="auto"/>
        <w:ind w:left="1003" w:hanging="357"/>
        <w:jc w:val="both"/>
        <w:rPr>
          <w:rFonts w:ascii="Times New Roman" w:hAnsi="Times New Roman" w:cs="Times New Roman"/>
          <w:color w:val="000000" w:themeColor="text1"/>
          <w:sz w:val="22"/>
          <w:szCs w:val="22"/>
        </w:rPr>
      </w:pPr>
      <w:r w:rsidRPr="001E4DDB">
        <w:rPr>
          <w:rFonts w:ascii="Times New Roman" w:hAnsi="Times New Roman" w:cs="Times New Roman"/>
          <w:color w:val="000000" w:themeColor="text1"/>
          <w:sz w:val="22"/>
          <w:szCs w:val="22"/>
        </w:rPr>
        <w:t>Képes szakfeladatait önállóan végezni, saját munkáját hatékonyan megszervezni és végrehajtani.</w:t>
      </w:r>
    </w:p>
    <w:p w:rsidR="001E4DDB" w:rsidRPr="001E4DDB" w:rsidRDefault="001E4DDB" w:rsidP="00980876">
      <w:pPr>
        <w:pStyle w:val="Default"/>
        <w:numPr>
          <w:ilvl w:val="0"/>
          <w:numId w:val="414"/>
        </w:numPr>
        <w:spacing w:line="276" w:lineRule="auto"/>
        <w:ind w:left="1003" w:hanging="357"/>
        <w:jc w:val="both"/>
        <w:rPr>
          <w:rFonts w:ascii="Times New Roman" w:hAnsi="Times New Roman" w:cs="Times New Roman"/>
          <w:color w:val="000000" w:themeColor="text1"/>
          <w:sz w:val="22"/>
          <w:szCs w:val="22"/>
        </w:rPr>
      </w:pPr>
      <w:r w:rsidRPr="001E4DDB">
        <w:rPr>
          <w:rFonts w:ascii="Times New Roman" w:hAnsi="Times New Roman" w:cs="Times New Roman"/>
          <w:color w:val="000000" w:themeColor="text1"/>
          <w:sz w:val="22"/>
          <w:szCs w:val="22"/>
        </w:rPr>
        <w:t>Együttműködés és felelősség jellemzi szakterületének szakembereivel szemben.</w:t>
      </w:r>
    </w:p>
    <w:p w:rsidR="001E4DDB" w:rsidRPr="001E4DDB" w:rsidRDefault="001E4DDB" w:rsidP="00980876">
      <w:pPr>
        <w:pStyle w:val="Default"/>
        <w:numPr>
          <w:ilvl w:val="0"/>
          <w:numId w:val="414"/>
        </w:numPr>
        <w:spacing w:line="276" w:lineRule="auto"/>
        <w:ind w:left="1003" w:hanging="357"/>
        <w:jc w:val="both"/>
        <w:rPr>
          <w:rFonts w:ascii="Times New Roman" w:hAnsi="Times New Roman" w:cs="Times New Roman"/>
          <w:color w:val="000000" w:themeColor="text1"/>
          <w:sz w:val="22"/>
          <w:szCs w:val="22"/>
        </w:rPr>
      </w:pPr>
      <w:r w:rsidRPr="001E4DDB">
        <w:rPr>
          <w:rFonts w:ascii="Times New Roman" w:hAnsi="Times New Roman" w:cs="Times New Roman"/>
          <w:color w:val="000000" w:themeColor="text1"/>
          <w:sz w:val="22"/>
          <w:szCs w:val="22"/>
        </w:rPr>
        <w:t>Szakterületén belül képes rendszer-szemléletűen gondolkodni.</w:t>
      </w:r>
    </w:p>
    <w:p w:rsidR="001E4DDB" w:rsidRPr="001E4DDB" w:rsidRDefault="001E4DDB" w:rsidP="001E4DDB">
      <w:pPr>
        <w:pStyle w:val="Default"/>
        <w:spacing w:line="276" w:lineRule="auto"/>
        <w:ind w:left="644"/>
        <w:jc w:val="both"/>
        <w:rPr>
          <w:rFonts w:ascii="Times New Roman" w:hAnsi="Times New Roman" w:cs="Times New Roman"/>
          <w:b/>
          <w:bCs/>
          <w:sz w:val="22"/>
          <w:szCs w:val="22"/>
        </w:rPr>
      </w:pPr>
      <w:r w:rsidRPr="001E4DDB">
        <w:rPr>
          <w:rFonts w:ascii="Times New Roman" w:hAnsi="Times New Roman" w:cs="Times New Roman"/>
          <w:b/>
          <w:bCs/>
          <w:sz w:val="22"/>
          <w:szCs w:val="22"/>
        </w:rPr>
        <w:t>Elérendő kompetenciák (angolul):</w:t>
      </w:r>
    </w:p>
    <w:p w:rsidR="001E4DDB" w:rsidRPr="001E4DDB" w:rsidRDefault="001E4DDB" w:rsidP="001E4DDB">
      <w:pPr>
        <w:pStyle w:val="Listaszerbekezds"/>
        <w:tabs>
          <w:tab w:val="right" w:pos="900"/>
        </w:tabs>
        <w:spacing w:after="0" w:line="276" w:lineRule="auto"/>
        <w:ind w:left="646"/>
        <w:contextualSpacing w:val="0"/>
        <w:jc w:val="both"/>
        <w:rPr>
          <w:rFonts w:ascii="Times New Roman" w:hAnsi="Times New Roman" w:cs="Times New Roman"/>
          <w:bCs/>
        </w:rPr>
      </w:pPr>
      <w:r w:rsidRPr="001E4DDB">
        <w:rPr>
          <w:rFonts w:ascii="Times New Roman" w:hAnsi="Times New Roman" w:cs="Times New Roman"/>
          <w:b/>
          <w:bCs/>
        </w:rPr>
        <w:t>Knowledge:</w:t>
      </w:r>
    </w:p>
    <w:p w:rsidR="001E4DDB" w:rsidRPr="001E4DDB" w:rsidRDefault="001E4DDB" w:rsidP="00980876">
      <w:pPr>
        <w:pStyle w:val="Default"/>
        <w:numPr>
          <w:ilvl w:val="0"/>
          <w:numId w:val="414"/>
        </w:numPr>
        <w:spacing w:line="276" w:lineRule="auto"/>
        <w:ind w:left="1003" w:hanging="357"/>
        <w:jc w:val="both"/>
        <w:rPr>
          <w:rFonts w:ascii="Times New Roman" w:hAnsi="Times New Roman" w:cs="Times New Roman"/>
          <w:color w:val="000000" w:themeColor="text1"/>
          <w:sz w:val="22"/>
          <w:szCs w:val="22"/>
        </w:rPr>
      </w:pPr>
      <w:r w:rsidRPr="001E4DDB">
        <w:rPr>
          <w:rFonts w:ascii="Times New Roman" w:hAnsi="Times New Roman" w:cs="Times New Roman"/>
          <w:color w:val="000000" w:themeColor="text1"/>
          <w:sz w:val="22"/>
          <w:szCs w:val="22"/>
        </w:rPr>
        <w:t>Knows the laws of mathematics and mechanics, has basic technical knowledge.</w:t>
      </w:r>
    </w:p>
    <w:p w:rsidR="001E4DDB" w:rsidRPr="001E4DDB" w:rsidRDefault="001E4DDB" w:rsidP="001E4DDB">
      <w:pPr>
        <w:pStyle w:val="Listaszerbekezds"/>
        <w:tabs>
          <w:tab w:val="right" w:pos="900"/>
        </w:tabs>
        <w:spacing w:after="0" w:line="276" w:lineRule="auto"/>
        <w:ind w:left="646"/>
        <w:contextualSpacing w:val="0"/>
        <w:jc w:val="both"/>
        <w:rPr>
          <w:rFonts w:ascii="Times New Roman" w:hAnsi="Times New Roman" w:cs="Times New Roman"/>
          <w:b/>
          <w:bCs/>
        </w:rPr>
      </w:pPr>
      <w:r w:rsidRPr="001E4DDB">
        <w:rPr>
          <w:rFonts w:ascii="Times New Roman" w:hAnsi="Times New Roman" w:cs="Times New Roman"/>
          <w:b/>
          <w:bCs/>
        </w:rPr>
        <w:t>Capabilities:</w:t>
      </w:r>
    </w:p>
    <w:p w:rsidR="001E4DDB" w:rsidRPr="001E4DDB" w:rsidRDefault="001E4DDB" w:rsidP="00980876">
      <w:pPr>
        <w:pStyle w:val="Listaszerbekezds"/>
        <w:numPr>
          <w:ilvl w:val="0"/>
          <w:numId w:val="414"/>
        </w:numPr>
        <w:spacing w:after="0" w:line="276" w:lineRule="auto"/>
        <w:contextualSpacing w:val="0"/>
        <w:jc w:val="both"/>
        <w:rPr>
          <w:rFonts w:ascii="Times New Roman" w:hAnsi="Times New Roman" w:cs="Times New Roman"/>
        </w:rPr>
      </w:pPr>
      <w:r w:rsidRPr="001E4DDB">
        <w:rPr>
          <w:rFonts w:ascii="Times New Roman" w:hAnsi="Times New Roman" w:cs="Times New Roman"/>
        </w:rPr>
        <w:t>Is capable of using the professional terminology both in Hungarian and foreign languages.</w:t>
      </w:r>
    </w:p>
    <w:p w:rsidR="001E4DDB" w:rsidRPr="001E4DDB" w:rsidRDefault="001E4DDB" w:rsidP="00980876">
      <w:pPr>
        <w:pStyle w:val="Listaszerbekezds"/>
        <w:numPr>
          <w:ilvl w:val="0"/>
          <w:numId w:val="414"/>
        </w:numPr>
        <w:spacing w:after="0" w:line="276" w:lineRule="auto"/>
        <w:contextualSpacing w:val="0"/>
        <w:jc w:val="both"/>
        <w:rPr>
          <w:rFonts w:ascii="Times New Roman" w:hAnsi="Times New Roman" w:cs="Times New Roman"/>
        </w:rPr>
      </w:pPr>
      <w:r w:rsidRPr="001E4DDB">
        <w:rPr>
          <w:rFonts w:ascii="Times New Roman" w:hAnsi="Times New Roman" w:cs="Times New Roman"/>
        </w:rPr>
        <w:t>Is capable of interpreting and applying in practice the legal background related to his/her job and duties.</w:t>
      </w:r>
    </w:p>
    <w:p w:rsidR="001E4DDB" w:rsidRPr="001E4DDB" w:rsidRDefault="001E4DDB" w:rsidP="00980876">
      <w:pPr>
        <w:pStyle w:val="Listaszerbekezds"/>
        <w:numPr>
          <w:ilvl w:val="0"/>
          <w:numId w:val="414"/>
        </w:numPr>
        <w:spacing w:after="0" w:line="276" w:lineRule="auto"/>
        <w:contextualSpacing w:val="0"/>
        <w:jc w:val="both"/>
        <w:rPr>
          <w:rFonts w:ascii="Times New Roman" w:hAnsi="Times New Roman" w:cs="Times New Roman"/>
        </w:rPr>
      </w:pPr>
      <w:r w:rsidRPr="001E4DDB">
        <w:rPr>
          <w:rFonts w:ascii="Times New Roman" w:hAnsi="Times New Roman" w:cs="Times New Roman"/>
        </w:rPr>
        <w:t>Is capable of independently preparing documents, forms, minutes, notes and memos, completing documents, organizing and technically preparing events related to his/her job.</w:t>
      </w:r>
    </w:p>
    <w:p w:rsidR="001E4DDB" w:rsidRPr="001E4DDB" w:rsidRDefault="001E4DDB" w:rsidP="001E4DDB">
      <w:pPr>
        <w:pStyle w:val="Listaszerbekezds"/>
        <w:tabs>
          <w:tab w:val="right" w:pos="900"/>
        </w:tabs>
        <w:spacing w:after="0" w:line="276" w:lineRule="auto"/>
        <w:ind w:left="646"/>
        <w:contextualSpacing w:val="0"/>
        <w:jc w:val="both"/>
        <w:rPr>
          <w:rFonts w:ascii="Times New Roman" w:hAnsi="Times New Roman" w:cs="Times New Roman"/>
          <w:b/>
          <w:bCs/>
        </w:rPr>
      </w:pPr>
      <w:r w:rsidRPr="001E4DDB">
        <w:rPr>
          <w:rFonts w:ascii="Times New Roman" w:hAnsi="Times New Roman" w:cs="Times New Roman"/>
          <w:b/>
          <w:bCs/>
        </w:rPr>
        <w:t>Attitude:</w:t>
      </w:r>
    </w:p>
    <w:p w:rsidR="001E4DDB" w:rsidRPr="001E4DDB" w:rsidRDefault="001E4DDB" w:rsidP="00980876">
      <w:pPr>
        <w:pStyle w:val="Listaszerbekezds"/>
        <w:numPr>
          <w:ilvl w:val="0"/>
          <w:numId w:val="414"/>
        </w:numPr>
        <w:spacing w:after="0" w:line="276" w:lineRule="auto"/>
        <w:contextualSpacing w:val="0"/>
        <w:jc w:val="both"/>
        <w:rPr>
          <w:rFonts w:ascii="Times New Roman" w:hAnsi="Times New Roman" w:cs="Times New Roman"/>
        </w:rPr>
      </w:pPr>
      <w:r w:rsidRPr="001E4DDB">
        <w:rPr>
          <w:rFonts w:ascii="Times New Roman" w:hAnsi="Times New Roman" w:cs="Times New Roman"/>
        </w:rPr>
        <w:t>In his/her specialization he/she is open to the new achievements and innovations, strives to know, understand and apply them, and is committed to continuous self-education.</w:t>
      </w:r>
    </w:p>
    <w:p w:rsidR="001E4DDB" w:rsidRPr="001E4DDB" w:rsidRDefault="001E4DDB" w:rsidP="00980876">
      <w:pPr>
        <w:pStyle w:val="Listaszerbekezds"/>
        <w:numPr>
          <w:ilvl w:val="0"/>
          <w:numId w:val="414"/>
        </w:numPr>
        <w:spacing w:after="0" w:line="276" w:lineRule="auto"/>
        <w:contextualSpacing w:val="0"/>
        <w:jc w:val="both"/>
        <w:rPr>
          <w:rFonts w:ascii="Times New Roman" w:hAnsi="Times New Roman" w:cs="Times New Roman"/>
        </w:rPr>
      </w:pPr>
      <w:r w:rsidRPr="001E4DDB">
        <w:rPr>
          <w:rFonts w:ascii="Times New Roman" w:hAnsi="Times New Roman" w:cs="Times New Roman"/>
        </w:rPr>
        <w:t>While performing his/her duties he/she is characterized by a willingness to cooperate with his/her subordinates, and strives to involve them in decision-making processes.</w:t>
      </w:r>
    </w:p>
    <w:p w:rsidR="001E4DDB" w:rsidRPr="001E4DDB" w:rsidRDefault="001E4DDB" w:rsidP="00980876">
      <w:pPr>
        <w:pStyle w:val="Default"/>
        <w:numPr>
          <w:ilvl w:val="0"/>
          <w:numId w:val="414"/>
        </w:numPr>
        <w:spacing w:line="276" w:lineRule="auto"/>
        <w:ind w:left="1003" w:hanging="357"/>
        <w:jc w:val="both"/>
        <w:rPr>
          <w:rFonts w:ascii="Times New Roman" w:hAnsi="Times New Roman" w:cs="Times New Roman"/>
          <w:color w:val="000000" w:themeColor="text1"/>
          <w:sz w:val="22"/>
          <w:szCs w:val="22"/>
        </w:rPr>
      </w:pPr>
      <w:r w:rsidRPr="001E4DDB">
        <w:rPr>
          <w:rFonts w:ascii="Times New Roman" w:hAnsi="Times New Roman" w:cs="Times New Roman"/>
          <w:color w:val="000000" w:themeColor="text1"/>
          <w:sz w:val="22"/>
          <w:szCs w:val="22"/>
        </w:rPr>
        <w:t>He/she is open towards the new accomplishments of military technology and aims to gain knowledge of these.</w:t>
      </w:r>
    </w:p>
    <w:p w:rsidR="001E4DDB" w:rsidRPr="001E4DDB" w:rsidRDefault="001E4DDB" w:rsidP="001E4DDB">
      <w:pPr>
        <w:pStyle w:val="Listaszerbekezds"/>
        <w:tabs>
          <w:tab w:val="right" w:pos="900"/>
        </w:tabs>
        <w:spacing w:after="0" w:line="276" w:lineRule="auto"/>
        <w:ind w:left="644"/>
        <w:contextualSpacing w:val="0"/>
        <w:jc w:val="both"/>
        <w:rPr>
          <w:rFonts w:ascii="Times New Roman" w:hAnsi="Times New Roman" w:cs="Times New Roman"/>
          <w:bCs/>
        </w:rPr>
      </w:pPr>
      <w:r w:rsidRPr="001E4DDB">
        <w:rPr>
          <w:rFonts w:ascii="Times New Roman" w:hAnsi="Times New Roman" w:cs="Times New Roman"/>
          <w:b/>
          <w:bCs/>
        </w:rPr>
        <w:t>Autonomy and responsibility</w:t>
      </w:r>
    </w:p>
    <w:p w:rsidR="001E4DDB" w:rsidRPr="001E4DDB" w:rsidRDefault="001E4DDB" w:rsidP="00980876">
      <w:pPr>
        <w:pStyle w:val="Default"/>
        <w:numPr>
          <w:ilvl w:val="0"/>
          <w:numId w:val="414"/>
        </w:numPr>
        <w:spacing w:line="276" w:lineRule="auto"/>
        <w:jc w:val="both"/>
        <w:rPr>
          <w:rFonts w:ascii="Times New Roman" w:hAnsi="Times New Roman" w:cs="Times New Roman"/>
          <w:color w:val="000000" w:themeColor="text1"/>
          <w:sz w:val="22"/>
          <w:szCs w:val="22"/>
        </w:rPr>
      </w:pPr>
      <w:r w:rsidRPr="001E4DDB">
        <w:rPr>
          <w:rFonts w:ascii="Times New Roman" w:hAnsi="Times New Roman" w:cs="Times New Roman"/>
          <w:color w:val="000000" w:themeColor="text1"/>
          <w:sz w:val="22"/>
          <w:szCs w:val="22"/>
        </w:rPr>
        <w:t>Is capable of independently fulfilling his/her professional tasks as well as effectively organizing and executing his/her own work.</w:t>
      </w:r>
    </w:p>
    <w:p w:rsidR="001E4DDB" w:rsidRPr="001E4DDB" w:rsidRDefault="001E4DDB" w:rsidP="00980876">
      <w:pPr>
        <w:pStyle w:val="Default"/>
        <w:numPr>
          <w:ilvl w:val="0"/>
          <w:numId w:val="414"/>
        </w:numPr>
        <w:spacing w:line="276" w:lineRule="auto"/>
        <w:jc w:val="both"/>
        <w:rPr>
          <w:rFonts w:ascii="Times New Roman" w:hAnsi="Times New Roman" w:cs="Times New Roman"/>
          <w:color w:val="000000" w:themeColor="text1"/>
          <w:sz w:val="22"/>
          <w:szCs w:val="22"/>
        </w:rPr>
      </w:pPr>
      <w:r w:rsidRPr="001E4DDB">
        <w:rPr>
          <w:rFonts w:ascii="Times New Roman" w:hAnsi="Times New Roman" w:cs="Times New Roman"/>
          <w:color w:val="000000" w:themeColor="text1"/>
          <w:sz w:val="22"/>
          <w:szCs w:val="22"/>
        </w:rPr>
        <w:t>He/she is cooperative and responsible towards the professionals of his/her field.</w:t>
      </w:r>
    </w:p>
    <w:p w:rsidR="001E4DDB" w:rsidRPr="001E4DDB" w:rsidRDefault="001E4DDB" w:rsidP="00980876">
      <w:pPr>
        <w:pStyle w:val="Default"/>
        <w:numPr>
          <w:ilvl w:val="0"/>
          <w:numId w:val="414"/>
        </w:numPr>
        <w:spacing w:line="276" w:lineRule="auto"/>
        <w:jc w:val="both"/>
        <w:rPr>
          <w:rFonts w:ascii="Times New Roman" w:hAnsi="Times New Roman" w:cs="Times New Roman"/>
          <w:color w:val="000000" w:themeColor="text1"/>
          <w:sz w:val="22"/>
          <w:szCs w:val="22"/>
        </w:rPr>
      </w:pPr>
      <w:r w:rsidRPr="001E4DDB">
        <w:rPr>
          <w:rFonts w:ascii="Times New Roman" w:hAnsi="Times New Roman" w:cs="Times New Roman"/>
          <w:color w:val="000000" w:themeColor="text1"/>
          <w:sz w:val="22"/>
          <w:szCs w:val="22"/>
        </w:rPr>
        <w:t>Is capable of thinking in a system approach within his/her own field.</w:t>
      </w:r>
    </w:p>
    <w:p w:rsidR="001E4DDB" w:rsidRPr="001E4DDB" w:rsidRDefault="001E4DDB" w:rsidP="00980876">
      <w:pPr>
        <w:pStyle w:val="Default"/>
        <w:numPr>
          <w:ilvl w:val="0"/>
          <w:numId w:val="414"/>
        </w:numPr>
        <w:spacing w:line="276" w:lineRule="auto"/>
        <w:jc w:val="both"/>
        <w:rPr>
          <w:rFonts w:ascii="Times New Roman" w:hAnsi="Times New Roman" w:cs="Times New Roman"/>
          <w:color w:val="000000" w:themeColor="text1"/>
          <w:sz w:val="22"/>
          <w:szCs w:val="22"/>
        </w:rPr>
      </w:pPr>
      <w:r w:rsidRPr="001E4DDB">
        <w:rPr>
          <w:rFonts w:ascii="Times New Roman" w:hAnsi="Times New Roman" w:cs="Times New Roman"/>
          <w:color w:val="000000" w:themeColor="text1"/>
          <w:sz w:val="22"/>
          <w:szCs w:val="22"/>
        </w:rPr>
        <w:t>He/she is cooperative and responsible towards the professionals of his/her field. Is capable of thinking in a system approach within his/her own field.</w:t>
      </w:r>
    </w:p>
    <w:p w:rsidR="001E4DDB" w:rsidRPr="001E4DDB" w:rsidRDefault="001E4DDB" w:rsidP="00980876">
      <w:pPr>
        <w:pStyle w:val="lfej"/>
        <w:numPr>
          <w:ilvl w:val="0"/>
          <w:numId w:val="416"/>
        </w:numPr>
        <w:tabs>
          <w:tab w:val="clear" w:pos="720"/>
          <w:tab w:val="right" w:pos="900"/>
        </w:tabs>
        <w:spacing w:line="276" w:lineRule="auto"/>
        <w:ind w:left="426" w:hanging="142"/>
        <w:jc w:val="both"/>
        <w:rPr>
          <w:rFonts w:ascii="Times New Roman" w:hAnsi="Times New Roman" w:cs="Times New Roman"/>
          <w:bCs/>
        </w:rPr>
      </w:pPr>
      <w:r w:rsidRPr="001E4DDB">
        <w:rPr>
          <w:rFonts w:ascii="Times New Roman" w:hAnsi="Times New Roman" w:cs="Times New Roman"/>
          <w:b/>
          <w:bCs/>
        </w:rPr>
        <w:t xml:space="preserve">Előtanulmányi kötelezettségek:  - </w:t>
      </w:r>
    </w:p>
    <w:p w:rsidR="001E4DDB" w:rsidRPr="001E4DDB" w:rsidRDefault="001E4DDB" w:rsidP="00980876">
      <w:pPr>
        <w:pStyle w:val="lfej"/>
        <w:numPr>
          <w:ilvl w:val="0"/>
          <w:numId w:val="416"/>
        </w:numPr>
        <w:tabs>
          <w:tab w:val="clear" w:pos="720"/>
          <w:tab w:val="right" w:pos="900"/>
        </w:tabs>
        <w:spacing w:line="276" w:lineRule="auto"/>
        <w:ind w:left="426" w:hanging="142"/>
        <w:jc w:val="both"/>
        <w:rPr>
          <w:rFonts w:ascii="Times New Roman" w:hAnsi="Times New Roman" w:cs="Times New Roman"/>
          <w:b/>
        </w:rPr>
      </w:pPr>
      <w:r w:rsidRPr="001E4DDB">
        <w:rPr>
          <w:rFonts w:ascii="Times New Roman" w:hAnsi="Times New Roman" w:cs="Times New Roman"/>
          <w:b/>
        </w:rPr>
        <w:t xml:space="preserve">A </w:t>
      </w:r>
      <w:r w:rsidRPr="001E4DDB">
        <w:rPr>
          <w:rFonts w:ascii="Times New Roman" w:hAnsi="Times New Roman" w:cs="Times New Roman"/>
          <w:b/>
          <w:bCs/>
        </w:rPr>
        <w:t>tantárgy</w:t>
      </w:r>
      <w:r w:rsidRPr="001E4DDB">
        <w:rPr>
          <w:rFonts w:ascii="Times New Roman" w:hAnsi="Times New Roman" w:cs="Times New Roman"/>
          <w:b/>
        </w:rPr>
        <w:t xml:space="preserve"> tananyagának leírása: (tematika):</w:t>
      </w:r>
    </w:p>
    <w:p w:rsidR="001E4DDB" w:rsidRPr="001E4DDB" w:rsidRDefault="001E4DDB" w:rsidP="00980876">
      <w:pPr>
        <w:pStyle w:val="lfej"/>
        <w:numPr>
          <w:ilvl w:val="1"/>
          <w:numId w:val="416"/>
        </w:numPr>
        <w:tabs>
          <w:tab w:val="clear" w:pos="3977"/>
          <w:tab w:val="clear" w:pos="4536"/>
          <w:tab w:val="clear" w:pos="9072"/>
        </w:tabs>
        <w:spacing w:line="276" w:lineRule="auto"/>
        <w:ind w:left="1134" w:hanging="567"/>
        <w:jc w:val="both"/>
        <w:rPr>
          <w:rFonts w:ascii="Times New Roman" w:hAnsi="Times New Roman" w:cs="Times New Roman"/>
        </w:rPr>
      </w:pPr>
      <w:r w:rsidRPr="001E4DDB">
        <w:rPr>
          <w:rFonts w:ascii="Times New Roman" w:hAnsi="Times New Roman" w:cs="Times New Roman"/>
        </w:rPr>
        <w:t xml:space="preserve">Alaptörvény </w:t>
      </w:r>
      <w:r w:rsidRPr="00B6175C">
        <w:rPr>
          <w:rFonts w:ascii="Times New Roman" w:hAnsi="Times New Roman" w:cs="Times New Roman"/>
          <w:i/>
        </w:rPr>
        <w:t>(Fundamentation Law)</w:t>
      </w:r>
    </w:p>
    <w:p w:rsidR="001E4DDB" w:rsidRPr="001E4DDB" w:rsidRDefault="001E4DDB" w:rsidP="00980876">
      <w:pPr>
        <w:pStyle w:val="lfej"/>
        <w:numPr>
          <w:ilvl w:val="1"/>
          <w:numId w:val="416"/>
        </w:numPr>
        <w:tabs>
          <w:tab w:val="clear" w:pos="3977"/>
          <w:tab w:val="clear" w:pos="4536"/>
          <w:tab w:val="clear" w:pos="9072"/>
        </w:tabs>
        <w:spacing w:line="276" w:lineRule="auto"/>
        <w:ind w:left="1134" w:hanging="567"/>
        <w:jc w:val="both"/>
        <w:rPr>
          <w:rFonts w:ascii="Times New Roman" w:hAnsi="Times New Roman" w:cs="Times New Roman"/>
        </w:rPr>
      </w:pPr>
      <w:r w:rsidRPr="001E4DDB">
        <w:rPr>
          <w:rFonts w:ascii="Times New Roman" w:hAnsi="Times New Roman" w:cs="Times New Roman"/>
        </w:rPr>
        <w:t xml:space="preserve">Munkavédelmi törvény </w:t>
      </w:r>
      <w:r w:rsidRPr="00B6175C">
        <w:rPr>
          <w:rFonts w:ascii="Times New Roman" w:hAnsi="Times New Roman" w:cs="Times New Roman"/>
          <w:i/>
        </w:rPr>
        <w:t>(Labor Protection Act)</w:t>
      </w:r>
    </w:p>
    <w:p w:rsidR="001E4DDB" w:rsidRPr="001E4DDB" w:rsidRDefault="001E4DDB" w:rsidP="00980876">
      <w:pPr>
        <w:pStyle w:val="lfej"/>
        <w:numPr>
          <w:ilvl w:val="1"/>
          <w:numId w:val="416"/>
        </w:numPr>
        <w:tabs>
          <w:tab w:val="clear" w:pos="3977"/>
          <w:tab w:val="clear" w:pos="4536"/>
          <w:tab w:val="clear" w:pos="9072"/>
        </w:tabs>
        <w:spacing w:line="276" w:lineRule="auto"/>
        <w:ind w:left="1134" w:hanging="567"/>
        <w:jc w:val="both"/>
        <w:rPr>
          <w:rFonts w:ascii="Times New Roman" w:hAnsi="Times New Roman" w:cs="Times New Roman"/>
        </w:rPr>
      </w:pPr>
      <w:r w:rsidRPr="001E4DDB">
        <w:rPr>
          <w:rFonts w:ascii="Times New Roman" w:hAnsi="Times New Roman" w:cs="Times New Roman"/>
        </w:rPr>
        <w:t xml:space="preserve">Egyéni védőeszközök </w:t>
      </w:r>
      <w:r w:rsidRPr="00B6175C">
        <w:rPr>
          <w:rFonts w:ascii="Times New Roman" w:hAnsi="Times New Roman" w:cs="Times New Roman"/>
          <w:i/>
        </w:rPr>
        <w:t>(Personal protective equipment)</w:t>
      </w:r>
    </w:p>
    <w:p w:rsidR="001E4DDB" w:rsidRPr="001E4DDB" w:rsidRDefault="001E4DDB" w:rsidP="00980876">
      <w:pPr>
        <w:pStyle w:val="lfej"/>
        <w:numPr>
          <w:ilvl w:val="1"/>
          <w:numId w:val="416"/>
        </w:numPr>
        <w:tabs>
          <w:tab w:val="clear" w:pos="3977"/>
          <w:tab w:val="clear" w:pos="4536"/>
          <w:tab w:val="clear" w:pos="9072"/>
        </w:tabs>
        <w:spacing w:line="276" w:lineRule="auto"/>
        <w:ind w:left="1134" w:hanging="567"/>
        <w:jc w:val="both"/>
        <w:rPr>
          <w:rFonts w:ascii="Times New Roman" w:hAnsi="Times New Roman" w:cs="Times New Roman"/>
        </w:rPr>
      </w:pPr>
      <w:r w:rsidRPr="001E4DDB">
        <w:rPr>
          <w:rFonts w:ascii="Times New Roman" w:hAnsi="Times New Roman" w:cs="Times New Roman"/>
        </w:rPr>
        <w:t xml:space="preserve">Egyéni védőeszköz ellátás </w:t>
      </w:r>
      <w:r w:rsidRPr="00B6175C">
        <w:rPr>
          <w:rFonts w:ascii="Times New Roman" w:hAnsi="Times New Roman" w:cs="Times New Roman"/>
          <w:i/>
        </w:rPr>
        <w:t>(Personal protective equipment)</w:t>
      </w:r>
    </w:p>
    <w:p w:rsidR="001E4DDB" w:rsidRPr="001E4DDB" w:rsidRDefault="001E4DDB" w:rsidP="00980876">
      <w:pPr>
        <w:pStyle w:val="lfej"/>
        <w:numPr>
          <w:ilvl w:val="1"/>
          <w:numId w:val="416"/>
        </w:numPr>
        <w:tabs>
          <w:tab w:val="clear" w:pos="3977"/>
          <w:tab w:val="clear" w:pos="4536"/>
          <w:tab w:val="clear" w:pos="9072"/>
        </w:tabs>
        <w:spacing w:line="276" w:lineRule="auto"/>
        <w:ind w:left="1134" w:hanging="567"/>
        <w:jc w:val="both"/>
        <w:rPr>
          <w:rFonts w:ascii="Times New Roman" w:hAnsi="Times New Roman" w:cs="Times New Roman"/>
        </w:rPr>
      </w:pPr>
      <w:r w:rsidRPr="001E4DDB">
        <w:rPr>
          <w:rFonts w:ascii="Times New Roman" w:hAnsi="Times New Roman" w:cs="Times New Roman"/>
        </w:rPr>
        <w:t xml:space="preserve">Munkavédelmi Szabályzat </w:t>
      </w:r>
      <w:r w:rsidRPr="00B6175C">
        <w:rPr>
          <w:rFonts w:ascii="Times New Roman" w:hAnsi="Times New Roman" w:cs="Times New Roman"/>
          <w:i/>
        </w:rPr>
        <w:t>(OSH Policy)</w:t>
      </w:r>
    </w:p>
    <w:p w:rsidR="001E4DDB" w:rsidRPr="00B6175C" w:rsidRDefault="001E4DDB" w:rsidP="00980876">
      <w:pPr>
        <w:pStyle w:val="lfej"/>
        <w:numPr>
          <w:ilvl w:val="1"/>
          <w:numId w:val="416"/>
        </w:numPr>
        <w:tabs>
          <w:tab w:val="clear" w:pos="3977"/>
          <w:tab w:val="clear" w:pos="4536"/>
          <w:tab w:val="clear" w:pos="9072"/>
        </w:tabs>
        <w:spacing w:line="276" w:lineRule="auto"/>
        <w:ind w:left="1134" w:hanging="567"/>
        <w:jc w:val="both"/>
        <w:rPr>
          <w:rFonts w:ascii="Times New Roman" w:hAnsi="Times New Roman" w:cs="Times New Roman"/>
          <w:i/>
        </w:rPr>
      </w:pPr>
      <w:r w:rsidRPr="001E4DDB">
        <w:rPr>
          <w:rFonts w:ascii="Times New Roman" w:hAnsi="Times New Roman" w:cs="Times New Roman"/>
        </w:rPr>
        <w:t xml:space="preserve">Munkavédelmi oktatás rendje, tartalma </w:t>
      </w:r>
      <w:r w:rsidRPr="00B6175C">
        <w:rPr>
          <w:rFonts w:ascii="Times New Roman" w:hAnsi="Times New Roman" w:cs="Times New Roman"/>
          <w:i/>
        </w:rPr>
        <w:t>(Order and content of occupational safety education)</w:t>
      </w:r>
    </w:p>
    <w:p w:rsidR="001E4DDB" w:rsidRPr="001E4DDB" w:rsidRDefault="001E4DDB" w:rsidP="00980876">
      <w:pPr>
        <w:pStyle w:val="lfej"/>
        <w:numPr>
          <w:ilvl w:val="1"/>
          <w:numId w:val="416"/>
        </w:numPr>
        <w:tabs>
          <w:tab w:val="clear" w:pos="3977"/>
          <w:tab w:val="clear" w:pos="4536"/>
          <w:tab w:val="clear" w:pos="9072"/>
        </w:tabs>
        <w:spacing w:line="276" w:lineRule="auto"/>
        <w:ind w:left="1134" w:hanging="567"/>
        <w:jc w:val="both"/>
        <w:rPr>
          <w:rFonts w:ascii="Times New Roman" w:hAnsi="Times New Roman" w:cs="Times New Roman"/>
        </w:rPr>
      </w:pPr>
      <w:r w:rsidRPr="001E4DDB">
        <w:rPr>
          <w:rFonts w:ascii="Times New Roman" w:hAnsi="Times New Roman" w:cs="Times New Roman"/>
        </w:rPr>
        <w:t xml:space="preserve">Kockázatkezelés rendszere </w:t>
      </w:r>
      <w:r w:rsidRPr="00B6175C">
        <w:rPr>
          <w:rFonts w:ascii="Times New Roman" w:hAnsi="Times New Roman" w:cs="Times New Roman"/>
          <w:i/>
        </w:rPr>
        <w:t>(Risk management system)</w:t>
      </w:r>
    </w:p>
    <w:p w:rsidR="001E4DDB" w:rsidRPr="00B6175C" w:rsidRDefault="001E4DDB" w:rsidP="00980876">
      <w:pPr>
        <w:pStyle w:val="lfej"/>
        <w:numPr>
          <w:ilvl w:val="1"/>
          <w:numId w:val="416"/>
        </w:numPr>
        <w:tabs>
          <w:tab w:val="clear" w:pos="3977"/>
          <w:tab w:val="clear" w:pos="4536"/>
          <w:tab w:val="clear" w:pos="9072"/>
        </w:tabs>
        <w:spacing w:line="276" w:lineRule="auto"/>
        <w:ind w:left="1134" w:hanging="567"/>
        <w:jc w:val="both"/>
        <w:rPr>
          <w:rFonts w:ascii="Times New Roman" w:hAnsi="Times New Roman" w:cs="Times New Roman"/>
          <w:i/>
        </w:rPr>
      </w:pPr>
      <w:r w:rsidRPr="001E4DDB">
        <w:rPr>
          <w:rFonts w:ascii="Times New Roman" w:hAnsi="Times New Roman" w:cs="Times New Roman"/>
        </w:rPr>
        <w:lastRenderedPageBreak/>
        <w:t xml:space="preserve">Tűzvédelmi szabályozás, munkavédelmi aspektusai </w:t>
      </w:r>
      <w:r w:rsidRPr="00B6175C">
        <w:rPr>
          <w:rFonts w:ascii="Times New Roman" w:hAnsi="Times New Roman" w:cs="Times New Roman"/>
          <w:i/>
        </w:rPr>
        <w:t>(Fire protection regulations, occupational safety aspects)</w:t>
      </w:r>
    </w:p>
    <w:p w:rsidR="001E4DDB" w:rsidRPr="001E4DDB" w:rsidRDefault="001E4DDB" w:rsidP="00980876">
      <w:pPr>
        <w:pStyle w:val="lfej"/>
        <w:numPr>
          <w:ilvl w:val="1"/>
          <w:numId w:val="416"/>
        </w:numPr>
        <w:tabs>
          <w:tab w:val="clear" w:pos="3977"/>
          <w:tab w:val="clear" w:pos="4536"/>
          <w:tab w:val="clear" w:pos="9072"/>
        </w:tabs>
        <w:spacing w:line="276" w:lineRule="auto"/>
        <w:ind w:left="1134" w:hanging="567"/>
        <w:jc w:val="both"/>
        <w:rPr>
          <w:rFonts w:ascii="Times New Roman" w:hAnsi="Times New Roman" w:cs="Times New Roman"/>
        </w:rPr>
      </w:pPr>
      <w:r w:rsidRPr="001E4DDB">
        <w:rPr>
          <w:rFonts w:ascii="Times New Roman" w:hAnsi="Times New Roman" w:cs="Times New Roman"/>
        </w:rPr>
        <w:t xml:space="preserve">Javítóműhely munkavédelmi előírásai </w:t>
      </w:r>
      <w:r w:rsidRPr="00B6175C">
        <w:rPr>
          <w:rFonts w:ascii="Times New Roman" w:hAnsi="Times New Roman" w:cs="Times New Roman"/>
          <w:i/>
        </w:rPr>
        <w:t>(Worker safety regulations)</w:t>
      </w:r>
    </w:p>
    <w:p w:rsidR="001E4DDB" w:rsidRPr="001E4DDB" w:rsidRDefault="001E4DDB" w:rsidP="00980876">
      <w:pPr>
        <w:pStyle w:val="lfej"/>
        <w:numPr>
          <w:ilvl w:val="1"/>
          <w:numId w:val="416"/>
        </w:numPr>
        <w:tabs>
          <w:tab w:val="clear" w:pos="3977"/>
          <w:tab w:val="clear" w:pos="4536"/>
          <w:tab w:val="clear" w:pos="9072"/>
        </w:tabs>
        <w:spacing w:line="276" w:lineRule="auto"/>
        <w:ind w:left="1134" w:hanging="567"/>
        <w:jc w:val="both"/>
        <w:rPr>
          <w:rFonts w:ascii="Times New Roman" w:hAnsi="Times New Roman" w:cs="Times New Roman"/>
        </w:rPr>
      </w:pPr>
      <w:r w:rsidRPr="001E4DDB">
        <w:rPr>
          <w:rFonts w:ascii="Times New Roman" w:hAnsi="Times New Roman" w:cs="Times New Roman"/>
        </w:rPr>
        <w:t xml:space="preserve">Veszélyes anyagok </w:t>
      </w:r>
      <w:r w:rsidRPr="00B6175C">
        <w:rPr>
          <w:rFonts w:ascii="Times New Roman" w:hAnsi="Times New Roman" w:cs="Times New Roman"/>
          <w:i/>
        </w:rPr>
        <w:t>(Dangerous materials)</w:t>
      </w:r>
    </w:p>
    <w:p w:rsidR="001E4DDB" w:rsidRPr="001E4DDB" w:rsidRDefault="001E4DDB" w:rsidP="00980876">
      <w:pPr>
        <w:pStyle w:val="lfej"/>
        <w:numPr>
          <w:ilvl w:val="1"/>
          <w:numId w:val="416"/>
        </w:numPr>
        <w:tabs>
          <w:tab w:val="clear" w:pos="3977"/>
          <w:tab w:val="clear" w:pos="4536"/>
          <w:tab w:val="clear" w:pos="9072"/>
        </w:tabs>
        <w:spacing w:line="276" w:lineRule="auto"/>
        <w:ind w:left="1134" w:hanging="567"/>
        <w:jc w:val="both"/>
        <w:rPr>
          <w:rFonts w:ascii="Times New Roman" w:hAnsi="Times New Roman" w:cs="Times New Roman"/>
        </w:rPr>
      </w:pPr>
      <w:r w:rsidRPr="001E4DDB">
        <w:rPr>
          <w:rFonts w:ascii="Times New Roman" w:hAnsi="Times New Roman" w:cs="Times New Roman"/>
        </w:rPr>
        <w:t xml:space="preserve">Veszélyes hulladékok </w:t>
      </w:r>
      <w:r w:rsidRPr="00B6175C">
        <w:rPr>
          <w:rFonts w:ascii="Times New Roman" w:hAnsi="Times New Roman" w:cs="Times New Roman"/>
          <w:i/>
        </w:rPr>
        <w:t>(Hazardous waste)</w:t>
      </w:r>
    </w:p>
    <w:p w:rsidR="001E4DDB" w:rsidRPr="001E4DDB" w:rsidRDefault="001E4DDB" w:rsidP="00980876">
      <w:pPr>
        <w:pStyle w:val="lfej"/>
        <w:numPr>
          <w:ilvl w:val="1"/>
          <w:numId w:val="416"/>
        </w:numPr>
        <w:tabs>
          <w:tab w:val="clear" w:pos="3977"/>
          <w:tab w:val="clear" w:pos="4536"/>
          <w:tab w:val="clear" w:pos="9072"/>
        </w:tabs>
        <w:spacing w:line="276" w:lineRule="auto"/>
        <w:ind w:left="1134" w:hanging="567"/>
        <w:jc w:val="both"/>
        <w:rPr>
          <w:rFonts w:ascii="Times New Roman" w:hAnsi="Times New Roman" w:cs="Times New Roman"/>
        </w:rPr>
      </w:pPr>
      <w:r w:rsidRPr="001E4DDB">
        <w:rPr>
          <w:rFonts w:ascii="Times New Roman" w:hAnsi="Times New Roman" w:cs="Times New Roman"/>
        </w:rPr>
        <w:t xml:space="preserve">Biztonsági adatlapok </w:t>
      </w:r>
      <w:r w:rsidRPr="00B6175C">
        <w:rPr>
          <w:rFonts w:ascii="Times New Roman" w:hAnsi="Times New Roman" w:cs="Times New Roman"/>
          <w:i/>
        </w:rPr>
        <w:t>(Safety Data Sheets)</w:t>
      </w:r>
    </w:p>
    <w:p w:rsidR="001E4DDB" w:rsidRPr="00B6175C" w:rsidRDefault="001E4DDB" w:rsidP="00980876">
      <w:pPr>
        <w:pStyle w:val="lfej"/>
        <w:numPr>
          <w:ilvl w:val="1"/>
          <w:numId w:val="416"/>
        </w:numPr>
        <w:tabs>
          <w:tab w:val="clear" w:pos="3977"/>
          <w:tab w:val="clear" w:pos="4536"/>
          <w:tab w:val="clear" w:pos="9072"/>
        </w:tabs>
        <w:spacing w:line="276" w:lineRule="auto"/>
        <w:ind w:left="1134" w:hanging="567"/>
        <w:jc w:val="both"/>
        <w:rPr>
          <w:rFonts w:ascii="Times New Roman" w:hAnsi="Times New Roman" w:cs="Times New Roman"/>
          <w:i/>
        </w:rPr>
      </w:pPr>
      <w:r w:rsidRPr="001E4DDB">
        <w:rPr>
          <w:rFonts w:ascii="Times New Roman" w:hAnsi="Times New Roman" w:cs="Times New Roman"/>
        </w:rPr>
        <w:t xml:space="preserve">Elsősegélynyújtás munkavédelmi aspektusai </w:t>
      </w:r>
      <w:r w:rsidRPr="00B6175C">
        <w:rPr>
          <w:rFonts w:ascii="Times New Roman" w:hAnsi="Times New Roman" w:cs="Times New Roman"/>
          <w:i/>
        </w:rPr>
        <w:t>(Occupational safety aspects of first aid)</w:t>
      </w:r>
    </w:p>
    <w:p w:rsidR="001E4DDB" w:rsidRPr="00B6175C" w:rsidRDefault="001E4DDB" w:rsidP="00980876">
      <w:pPr>
        <w:pStyle w:val="lfej"/>
        <w:numPr>
          <w:ilvl w:val="1"/>
          <w:numId w:val="416"/>
        </w:numPr>
        <w:tabs>
          <w:tab w:val="clear" w:pos="3977"/>
          <w:tab w:val="clear" w:pos="4536"/>
          <w:tab w:val="clear" w:pos="9072"/>
        </w:tabs>
        <w:spacing w:line="276" w:lineRule="auto"/>
        <w:ind w:left="1134" w:hanging="567"/>
        <w:jc w:val="both"/>
        <w:rPr>
          <w:rFonts w:ascii="Times New Roman" w:hAnsi="Times New Roman" w:cs="Times New Roman"/>
          <w:i/>
        </w:rPr>
      </w:pPr>
      <w:r w:rsidRPr="001E4DDB">
        <w:rPr>
          <w:rFonts w:ascii="Times New Roman" w:hAnsi="Times New Roman" w:cs="Times New Roman"/>
        </w:rPr>
        <w:t xml:space="preserve">Képernyő előtti munkahely </w:t>
      </w:r>
      <w:r w:rsidRPr="00B6175C">
        <w:rPr>
          <w:rFonts w:ascii="Times New Roman" w:hAnsi="Times New Roman" w:cs="Times New Roman"/>
          <w:i/>
        </w:rPr>
        <w:t>(Screen workstation safety)</w:t>
      </w:r>
    </w:p>
    <w:p w:rsidR="001E4DDB" w:rsidRPr="001E4DDB" w:rsidRDefault="001E4DDB" w:rsidP="00980876">
      <w:pPr>
        <w:pStyle w:val="lfej"/>
        <w:numPr>
          <w:ilvl w:val="0"/>
          <w:numId w:val="416"/>
        </w:numPr>
        <w:tabs>
          <w:tab w:val="clear" w:pos="720"/>
          <w:tab w:val="right" w:pos="567"/>
        </w:tabs>
        <w:spacing w:line="276" w:lineRule="auto"/>
        <w:ind w:left="426" w:hanging="142"/>
        <w:jc w:val="both"/>
        <w:rPr>
          <w:rFonts w:ascii="Times New Roman" w:hAnsi="Times New Roman" w:cs="Times New Roman"/>
          <w:bCs/>
        </w:rPr>
      </w:pPr>
      <w:r w:rsidRPr="001E4DDB">
        <w:rPr>
          <w:rFonts w:ascii="Times New Roman" w:hAnsi="Times New Roman" w:cs="Times New Roman"/>
          <w:b/>
          <w:bCs/>
        </w:rPr>
        <w:t xml:space="preserve">A tantárgy meghirdetésének gyakorisága/a tantervben történő félévi elhelyezkedése: </w:t>
      </w:r>
      <w:r w:rsidRPr="001E4DDB">
        <w:rPr>
          <w:rFonts w:ascii="Times New Roman" w:hAnsi="Times New Roman" w:cs="Times New Roman"/>
          <w:bCs/>
        </w:rPr>
        <w:t>évente /5. félév</w:t>
      </w:r>
    </w:p>
    <w:p w:rsidR="001E4DDB" w:rsidRPr="001E4DDB" w:rsidRDefault="001E4DDB" w:rsidP="00980876">
      <w:pPr>
        <w:widowControl w:val="0"/>
        <w:numPr>
          <w:ilvl w:val="0"/>
          <w:numId w:val="416"/>
        </w:numPr>
        <w:tabs>
          <w:tab w:val="num" w:pos="360"/>
        </w:tabs>
        <w:spacing w:after="0" w:line="276" w:lineRule="auto"/>
        <w:ind w:left="426" w:hanging="142"/>
        <w:jc w:val="both"/>
        <w:rPr>
          <w:rFonts w:ascii="Times New Roman" w:hAnsi="Times New Roman" w:cs="Times New Roman"/>
          <w:bCs/>
        </w:rPr>
      </w:pPr>
      <w:r w:rsidRPr="001E4DDB">
        <w:rPr>
          <w:rFonts w:ascii="Times New Roman" w:hAnsi="Times New Roman" w:cs="Times New Roman"/>
          <w:b/>
          <w:bCs/>
        </w:rPr>
        <w:t>A tanórákon való részvétel követelményei, az elfogadható hiányzások mértéke, a távolmaradás pótlásának lehetősége:</w:t>
      </w:r>
      <w:r w:rsidRPr="001E4DDB">
        <w:rPr>
          <w:rFonts w:ascii="Times New Roman" w:hAnsi="Times New Roman" w:cs="Times New Roman"/>
          <w:bCs/>
        </w:rPr>
        <w:t xml:space="preserve"> </w:t>
      </w:r>
    </w:p>
    <w:p w:rsidR="001E4DDB" w:rsidRPr="001E4DDB" w:rsidRDefault="001E4DDB" w:rsidP="001E4DDB">
      <w:pPr>
        <w:widowControl w:val="0"/>
        <w:spacing w:after="0" w:line="276" w:lineRule="auto"/>
        <w:ind w:left="426"/>
        <w:jc w:val="both"/>
        <w:rPr>
          <w:rFonts w:ascii="Times New Roman" w:hAnsi="Times New Roman" w:cs="Times New Roman"/>
          <w:bCs/>
        </w:rPr>
      </w:pPr>
      <w:r w:rsidRPr="001E4DDB">
        <w:rPr>
          <w:rFonts w:ascii="Times New Roman" w:hAnsi="Times New Roman" w:cs="Times New Roman"/>
          <w:bCs/>
        </w:rPr>
        <w:t>A hallgatónak a tanórák legalább 70 %-án jelen kell lennie, 30 %-ot meghaladó hiányzás esetén a félév teljesítése nem írható alá. A hallgató köteles az előadás és a gyakorlat anyagát beszerezni, abból önállóan felkészülni. A hiányzás pótolható az oktató által kijelölt témakörben beadott, legalább elégségesre értékelt házidolgozattal.</w:t>
      </w:r>
    </w:p>
    <w:p w:rsidR="001E4DDB" w:rsidRPr="001E4DDB" w:rsidRDefault="001E4DDB" w:rsidP="00980876">
      <w:pPr>
        <w:widowControl w:val="0"/>
        <w:numPr>
          <w:ilvl w:val="0"/>
          <w:numId w:val="416"/>
        </w:numPr>
        <w:tabs>
          <w:tab w:val="num" w:pos="360"/>
        </w:tabs>
        <w:spacing w:after="0" w:line="276" w:lineRule="auto"/>
        <w:ind w:left="426" w:hanging="142"/>
        <w:jc w:val="both"/>
        <w:rPr>
          <w:rFonts w:ascii="Times New Roman" w:hAnsi="Times New Roman" w:cs="Times New Roman"/>
          <w:bCs/>
        </w:rPr>
      </w:pPr>
      <w:r w:rsidRPr="001E4DDB">
        <w:rPr>
          <w:rFonts w:ascii="Times New Roman" w:hAnsi="Times New Roman" w:cs="Times New Roman"/>
          <w:b/>
        </w:rPr>
        <w:t>Félévközi feladatok, ismeretek ellenőrzésének rendje:</w:t>
      </w:r>
      <w:r w:rsidRPr="001E4DDB">
        <w:rPr>
          <w:rFonts w:ascii="Times New Roman" w:hAnsi="Times New Roman" w:cs="Times New Roman"/>
          <w:bCs/>
        </w:rPr>
        <w:t xml:space="preserve"> A félév során a hallgató kettő zárthelyi dolgozatot ír. Zárthelyi dolgozatok a 12.1-12.15 tantárgyrészekből.</w:t>
      </w:r>
      <w:r w:rsidRPr="001E4DDB">
        <w:rPr>
          <w:rFonts w:ascii="Times New Roman" w:hAnsi="Times New Roman" w:cs="Times New Roman"/>
        </w:rPr>
        <w:t xml:space="preserve"> </w:t>
      </w:r>
      <w:r w:rsidRPr="001E4DDB">
        <w:rPr>
          <w:rFonts w:ascii="Times New Roman" w:hAnsi="Times New Roman" w:cs="Times New Roman"/>
          <w:bCs/>
        </w:rPr>
        <w:t>A zárthelyi dolgozat témáit a kötelező irodalmak anyagából, illetve az előadásokon elhangzott ismeretanyagból kell összeállítani. A zárthelyi dolgozat értékelése ötfokozatú értékelés (a helyes válaszok aránya 0-60% elégtelen; 61-70% elégséges; 71-80% közepes; 81-90% jó; 91-100% jeles osztályzat). Eredménytelen zárthelyi dolgozat kétszer javítható</w:t>
      </w:r>
      <w:r w:rsidRPr="001E4DDB">
        <w:rPr>
          <w:rFonts w:ascii="Times New Roman" w:hAnsi="Times New Roman" w:cs="Times New Roman"/>
          <w:b/>
          <w:bCs/>
        </w:rPr>
        <w:t>.</w:t>
      </w:r>
      <w:r w:rsidRPr="001E4DDB">
        <w:rPr>
          <w:rFonts w:ascii="Times New Roman" w:hAnsi="Times New Roman" w:cs="Times New Roman"/>
          <w:bCs/>
        </w:rPr>
        <w:t xml:space="preserve"> A dolgozatban teszt és esszé jellegű kérdések egyaránt szerepelnek.</w:t>
      </w:r>
    </w:p>
    <w:p w:rsidR="001E4DDB" w:rsidRPr="001E4DDB" w:rsidRDefault="001E4DDB" w:rsidP="00980876">
      <w:pPr>
        <w:widowControl w:val="0"/>
        <w:numPr>
          <w:ilvl w:val="0"/>
          <w:numId w:val="416"/>
        </w:numPr>
        <w:spacing w:after="0" w:line="276" w:lineRule="auto"/>
        <w:ind w:left="426" w:hanging="142"/>
        <w:jc w:val="both"/>
        <w:rPr>
          <w:rFonts w:ascii="Times New Roman" w:hAnsi="Times New Roman" w:cs="Times New Roman"/>
          <w:b/>
          <w:bCs/>
        </w:rPr>
      </w:pPr>
      <w:r w:rsidRPr="001E4DDB">
        <w:rPr>
          <w:rFonts w:ascii="Times New Roman" w:hAnsi="Times New Roman" w:cs="Times New Roman"/>
          <w:b/>
          <w:bCs/>
        </w:rPr>
        <w:t xml:space="preserve">Az értékelés, az aláírás és a kreditek megszerzésének pontos feltételei: </w:t>
      </w:r>
    </w:p>
    <w:p w:rsidR="001E4DDB" w:rsidRPr="001E4DDB" w:rsidRDefault="001E4DDB" w:rsidP="00980876">
      <w:pPr>
        <w:widowControl w:val="0"/>
        <w:numPr>
          <w:ilvl w:val="1"/>
          <w:numId w:val="416"/>
        </w:numPr>
        <w:tabs>
          <w:tab w:val="clear" w:pos="3977"/>
          <w:tab w:val="left" w:pos="709"/>
          <w:tab w:val="left" w:pos="993"/>
          <w:tab w:val="num" w:pos="2069"/>
        </w:tabs>
        <w:spacing w:after="0" w:line="276" w:lineRule="auto"/>
        <w:ind w:left="426" w:firstLine="0"/>
        <w:jc w:val="both"/>
        <w:rPr>
          <w:rFonts w:ascii="Times New Roman" w:hAnsi="Times New Roman" w:cs="Times New Roman"/>
        </w:rPr>
      </w:pPr>
      <w:r w:rsidRPr="001E4DDB">
        <w:rPr>
          <w:rFonts w:ascii="Times New Roman" w:hAnsi="Times New Roman" w:cs="Times New Roman"/>
          <w:b/>
        </w:rPr>
        <w:t>Az aláírás megszerzésének feltételei:</w:t>
      </w:r>
      <w:r w:rsidRPr="001E4DDB">
        <w:rPr>
          <w:rFonts w:ascii="Times New Roman" w:hAnsi="Times New Roman" w:cs="Times New Roman"/>
        </w:rPr>
        <w:t xml:space="preserve"> </w:t>
      </w:r>
      <w:r w:rsidRPr="001E4DDB">
        <w:rPr>
          <w:rFonts w:ascii="Times New Roman" w:hAnsi="Times New Roman" w:cs="Times New Roman"/>
          <w:bCs/>
        </w:rPr>
        <w:t>Az aláírás megszerzésének feltétele a 14. pontban meghatározott arányú részvétel a foglalkozásokon és a 15. pontban meghatározott félévközi feladatok legalább elégséges teljesítése.</w:t>
      </w:r>
    </w:p>
    <w:p w:rsidR="001E4DDB" w:rsidRPr="001E4DDB" w:rsidRDefault="001E4DDB" w:rsidP="00980876">
      <w:pPr>
        <w:widowControl w:val="0"/>
        <w:numPr>
          <w:ilvl w:val="1"/>
          <w:numId w:val="416"/>
        </w:numPr>
        <w:tabs>
          <w:tab w:val="clear" w:pos="3977"/>
          <w:tab w:val="left" w:pos="709"/>
          <w:tab w:val="left" w:pos="993"/>
          <w:tab w:val="num" w:pos="2069"/>
        </w:tabs>
        <w:spacing w:after="0" w:line="276" w:lineRule="auto"/>
        <w:ind w:left="426" w:firstLine="0"/>
        <w:jc w:val="both"/>
        <w:rPr>
          <w:rFonts w:ascii="Times New Roman" w:hAnsi="Times New Roman" w:cs="Times New Roman"/>
        </w:rPr>
      </w:pPr>
      <w:r w:rsidRPr="001E4DDB">
        <w:rPr>
          <w:rFonts w:ascii="Times New Roman" w:hAnsi="Times New Roman" w:cs="Times New Roman"/>
          <w:b/>
        </w:rPr>
        <w:t>Az értékelés:</w:t>
      </w:r>
      <w:r w:rsidRPr="001E4DDB">
        <w:rPr>
          <w:rFonts w:ascii="Times New Roman" w:hAnsi="Times New Roman" w:cs="Times New Roman"/>
        </w:rPr>
        <w:t xml:space="preserve"> évközi értékelés, ötfokozatú értékelés.</w:t>
      </w:r>
      <w:r w:rsidRPr="001E4DDB">
        <w:rPr>
          <w:rFonts w:ascii="Times New Roman" w:hAnsi="Times New Roman" w:cs="Times New Roman"/>
          <w:bCs/>
        </w:rPr>
        <w:t xml:space="preserve"> Az évközi értékelést az elért eredmények kerekített matematikai átlaga képezi.</w:t>
      </w:r>
    </w:p>
    <w:p w:rsidR="001E4DDB" w:rsidRPr="001E4DDB" w:rsidRDefault="001E4DDB" w:rsidP="00980876">
      <w:pPr>
        <w:widowControl w:val="0"/>
        <w:numPr>
          <w:ilvl w:val="1"/>
          <w:numId w:val="416"/>
        </w:numPr>
        <w:tabs>
          <w:tab w:val="clear" w:pos="3977"/>
          <w:tab w:val="left" w:pos="709"/>
          <w:tab w:val="left" w:pos="993"/>
          <w:tab w:val="num" w:pos="2069"/>
        </w:tabs>
        <w:spacing w:after="0" w:line="276" w:lineRule="auto"/>
        <w:ind w:left="426" w:firstLine="0"/>
        <w:jc w:val="both"/>
        <w:rPr>
          <w:rFonts w:ascii="Times New Roman" w:hAnsi="Times New Roman" w:cs="Times New Roman"/>
        </w:rPr>
      </w:pPr>
      <w:r w:rsidRPr="001E4DDB">
        <w:rPr>
          <w:rFonts w:ascii="Times New Roman" w:hAnsi="Times New Roman" w:cs="Times New Roman"/>
          <w:b/>
        </w:rPr>
        <w:t>A kreditek megszerzésének feltételei:</w:t>
      </w:r>
      <w:r w:rsidRPr="001E4DDB">
        <w:rPr>
          <w:rFonts w:ascii="Times New Roman" w:hAnsi="Times New Roman" w:cs="Times New Roman"/>
        </w:rPr>
        <w:t xml:space="preserve"> az aláírás megszerzése és legalább elégséges</w:t>
      </w:r>
      <w:r w:rsidRPr="001E4DDB">
        <w:rPr>
          <w:rFonts w:ascii="Times New Roman" w:hAnsi="Times New Roman" w:cs="Times New Roman"/>
          <w:b/>
        </w:rPr>
        <w:t xml:space="preserve"> </w:t>
      </w:r>
      <w:r w:rsidRPr="001E4DDB">
        <w:rPr>
          <w:rFonts w:ascii="Times New Roman" w:hAnsi="Times New Roman" w:cs="Times New Roman"/>
        </w:rPr>
        <w:t>évközi értékelés</w:t>
      </w:r>
      <w:r w:rsidRPr="001E4DDB">
        <w:rPr>
          <w:rFonts w:ascii="Times New Roman" w:hAnsi="Times New Roman" w:cs="Times New Roman"/>
          <w:bCs/>
        </w:rPr>
        <w:t>.</w:t>
      </w:r>
    </w:p>
    <w:p w:rsidR="001E4DDB" w:rsidRPr="001E4DDB" w:rsidRDefault="001E4DDB" w:rsidP="00980876">
      <w:pPr>
        <w:pStyle w:val="lfej"/>
        <w:numPr>
          <w:ilvl w:val="0"/>
          <w:numId w:val="416"/>
        </w:numPr>
        <w:tabs>
          <w:tab w:val="clear" w:pos="720"/>
          <w:tab w:val="right" w:pos="900"/>
        </w:tabs>
        <w:spacing w:line="276" w:lineRule="auto"/>
        <w:ind w:left="426" w:hanging="142"/>
        <w:jc w:val="both"/>
        <w:rPr>
          <w:rFonts w:ascii="Times New Roman" w:hAnsi="Times New Roman" w:cs="Times New Roman"/>
          <w:b/>
        </w:rPr>
      </w:pPr>
      <w:r w:rsidRPr="001E4DDB">
        <w:rPr>
          <w:rFonts w:ascii="Times New Roman" w:hAnsi="Times New Roman" w:cs="Times New Roman"/>
          <w:b/>
          <w:bCs/>
        </w:rPr>
        <w:t>Irodalomjegyzék</w:t>
      </w:r>
      <w:r w:rsidRPr="001E4DDB">
        <w:rPr>
          <w:rFonts w:ascii="Times New Roman" w:hAnsi="Times New Roman" w:cs="Times New Roman"/>
          <w:b/>
        </w:rPr>
        <w:t xml:space="preserve"> (magyarul, angolul):</w:t>
      </w:r>
    </w:p>
    <w:p w:rsidR="001E4DDB" w:rsidRPr="001E4DDB" w:rsidRDefault="001E4DDB" w:rsidP="00980876">
      <w:pPr>
        <w:pStyle w:val="lfej"/>
        <w:numPr>
          <w:ilvl w:val="1"/>
          <w:numId w:val="416"/>
        </w:numPr>
        <w:tabs>
          <w:tab w:val="clear" w:pos="3977"/>
          <w:tab w:val="clear" w:pos="4536"/>
          <w:tab w:val="clear" w:pos="9072"/>
          <w:tab w:val="left" w:pos="1134"/>
          <w:tab w:val="num" w:pos="1425"/>
        </w:tabs>
        <w:spacing w:line="276" w:lineRule="auto"/>
        <w:ind w:left="568" w:firstLine="0"/>
        <w:jc w:val="both"/>
        <w:rPr>
          <w:rFonts w:ascii="Times New Roman" w:hAnsi="Times New Roman" w:cs="Times New Roman"/>
          <w:b/>
        </w:rPr>
      </w:pPr>
      <w:r w:rsidRPr="001E4DDB">
        <w:rPr>
          <w:rFonts w:ascii="Times New Roman" w:hAnsi="Times New Roman" w:cs="Times New Roman"/>
          <w:b/>
        </w:rPr>
        <w:t>Kötelező irodalom:</w:t>
      </w:r>
    </w:p>
    <w:p w:rsidR="001E4DDB" w:rsidRPr="001E4DDB" w:rsidRDefault="001E4DDB" w:rsidP="00980876">
      <w:pPr>
        <w:pStyle w:val="lfej"/>
        <w:numPr>
          <w:ilvl w:val="0"/>
          <w:numId w:val="415"/>
        </w:numPr>
        <w:tabs>
          <w:tab w:val="clear" w:pos="4536"/>
          <w:tab w:val="clear" w:pos="9072"/>
        </w:tabs>
        <w:spacing w:line="276" w:lineRule="auto"/>
        <w:ind w:left="993" w:hanging="284"/>
        <w:jc w:val="both"/>
        <w:rPr>
          <w:rFonts w:ascii="Times New Roman" w:hAnsi="Times New Roman" w:cs="Times New Roman"/>
        </w:rPr>
      </w:pPr>
      <w:r w:rsidRPr="001E4DDB">
        <w:rPr>
          <w:rFonts w:ascii="Times New Roman" w:hAnsi="Times New Roman" w:cs="Times New Roman"/>
        </w:rPr>
        <w:t>Cserjés Miklós: Munkavédelem és környezetvédelem Kiadó: FVM Képzési és Szaktanácsadási Intézet Budapest 2006 ISBN: 963-9317-27-6</w:t>
      </w:r>
    </w:p>
    <w:p w:rsidR="001E4DDB" w:rsidRPr="001E4DDB" w:rsidRDefault="001E4DDB" w:rsidP="00980876">
      <w:pPr>
        <w:pStyle w:val="lfej"/>
        <w:numPr>
          <w:ilvl w:val="0"/>
          <w:numId w:val="415"/>
        </w:numPr>
        <w:tabs>
          <w:tab w:val="clear" w:pos="4536"/>
          <w:tab w:val="clear" w:pos="9072"/>
        </w:tabs>
        <w:spacing w:line="276" w:lineRule="auto"/>
        <w:ind w:left="993" w:hanging="284"/>
        <w:jc w:val="both"/>
        <w:rPr>
          <w:rFonts w:ascii="Times New Roman" w:hAnsi="Times New Roman" w:cs="Times New Roman"/>
        </w:rPr>
      </w:pPr>
      <w:r w:rsidRPr="001E4DDB">
        <w:rPr>
          <w:rFonts w:ascii="Times New Roman" w:hAnsi="Times New Roman" w:cs="Times New Roman"/>
        </w:rPr>
        <w:t>Buzás Attiláné, Dornai Tibor: Munkavédelem Műszaki kiadó Budapest, 1996 ISBN: 9631608611</w:t>
      </w:r>
    </w:p>
    <w:p w:rsidR="001E4DDB" w:rsidRPr="001E4DDB" w:rsidRDefault="001E4DDB" w:rsidP="00980876">
      <w:pPr>
        <w:pStyle w:val="lfej"/>
        <w:numPr>
          <w:ilvl w:val="1"/>
          <w:numId w:val="416"/>
        </w:numPr>
        <w:tabs>
          <w:tab w:val="clear" w:pos="3977"/>
          <w:tab w:val="clear" w:pos="4536"/>
          <w:tab w:val="clear" w:pos="9072"/>
          <w:tab w:val="left" w:pos="1134"/>
          <w:tab w:val="num" w:pos="1425"/>
        </w:tabs>
        <w:spacing w:line="276" w:lineRule="auto"/>
        <w:ind w:left="568" w:firstLine="0"/>
        <w:jc w:val="both"/>
        <w:rPr>
          <w:rFonts w:ascii="Times New Roman" w:hAnsi="Times New Roman" w:cs="Times New Roman"/>
          <w:b/>
        </w:rPr>
      </w:pPr>
      <w:r w:rsidRPr="001E4DDB">
        <w:rPr>
          <w:rFonts w:ascii="Times New Roman" w:hAnsi="Times New Roman" w:cs="Times New Roman"/>
          <w:b/>
        </w:rPr>
        <w:t>Ajánlott irodalom:</w:t>
      </w:r>
    </w:p>
    <w:p w:rsidR="001E4DDB" w:rsidRPr="001E4DDB" w:rsidRDefault="001E4DDB" w:rsidP="00980876">
      <w:pPr>
        <w:pStyle w:val="lfej"/>
        <w:numPr>
          <w:ilvl w:val="0"/>
          <w:numId w:val="631"/>
        </w:numPr>
        <w:tabs>
          <w:tab w:val="clear" w:pos="4536"/>
          <w:tab w:val="clear" w:pos="9072"/>
        </w:tabs>
        <w:spacing w:line="276" w:lineRule="auto"/>
        <w:jc w:val="both"/>
        <w:rPr>
          <w:rFonts w:ascii="Times New Roman" w:hAnsi="Times New Roman" w:cs="Times New Roman"/>
        </w:rPr>
      </w:pPr>
      <w:r w:rsidRPr="001E4DDB">
        <w:rPr>
          <w:rFonts w:ascii="Times New Roman" w:hAnsi="Times New Roman" w:cs="Times New Roman"/>
        </w:rPr>
        <w:t>Bujnóczki Tibor - Lukácsné Lelik Zsuzsanna: Gépészeti munkabiztonság és környezetvédelem Műszaki Könyvkiadó ISBN 9789631665451, 2015</w:t>
      </w:r>
    </w:p>
    <w:p w:rsidR="001E4DDB" w:rsidRPr="001E4DDB" w:rsidRDefault="001E4DDB" w:rsidP="00980876">
      <w:pPr>
        <w:pStyle w:val="lfej"/>
        <w:numPr>
          <w:ilvl w:val="0"/>
          <w:numId w:val="631"/>
        </w:numPr>
        <w:tabs>
          <w:tab w:val="clear" w:pos="4536"/>
          <w:tab w:val="clear" w:pos="9072"/>
        </w:tabs>
        <w:spacing w:line="276" w:lineRule="auto"/>
        <w:ind w:left="993" w:hanging="284"/>
        <w:jc w:val="both"/>
        <w:rPr>
          <w:rFonts w:ascii="Times New Roman" w:hAnsi="Times New Roman" w:cs="Times New Roman"/>
        </w:rPr>
      </w:pPr>
      <w:r w:rsidRPr="001E4DDB">
        <w:rPr>
          <w:rFonts w:ascii="Times New Roman" w:hAnsi="Times New Roman" w:cs="Times New Roman"/>
        </w:rPr>
        <w:t>Horváth József: Munka- és környezetvédelem Műszaki Könyvkiadó ISBN 978963275123, 2018</w:t>
      </w:r>
    </w:p>
    <w:p w:rsidR="001E4DDB" w:rsidRPr="001E4DDB" w:rsidRDefault="001E4DDB" w:rsidP="001E4DDB">
      <w:pPr>
        <w:pStyle w:val="lfej"/>
        <w:tabs>
          <w:tab w:val="clear" w:pos="9072"/>
          <w:tab w:val="right" w:pos="720"/>
        </w:tabs>
        <w:spacing w:line="276" w:lineRule="auto"/>
        <w:ind w:left="646"/>
        <w:jc w:val="both"/>
        <w:rPr>
          <w:rFonts w:ascii="Times New Roman" w:hAnsi="Times New Roman" w:cs="Times New Roman"/>
        </w:rPr>
      </w:pPr>
    </w:p>
    <w:p w:rsidR="001E4DDB" w:rsidRPr="001E4DDB" w:rsidRDefault="001E4DDB" w:rsidP="001E4DDB">
      <w:pPr>
        <w:pStyle w:val="lfej"/>
        <w:tabs>
          <w:tab w:val="clear" w:pos="9072"/>
        </w:tabs>
        <w:spacing w:before="120" w:after="120"/>
        <w:jc w:val="both"/>
        <w:rPr>
          <w:rFonts w:ascii="Times New Roman" w:hAnsi="Times New Roman" w:cs="Times New Roman"/>
        </w:rPr>
      </w:pPr>
      <w:r w:rsidRPr="001E4DDB">
        <w:rPr>
          <w:rFonts w:ascii="Times New Roman" w:hAnsi="Times New Roman" w:cs="Times New Roman"/>
        </w:rPr>
        <w:t>Budapest, 2020. február 15.</w:t>
      </w:r>
    </w:p>
    <w:p w:rsidR="001E4DDB" w:rsidRPr="006B225A" w:rsidRDefault="001E4DDB" w:rsidP="001E4DDB">
      <w:pPr>
        <w:pStyle w:val="lfej"/>
        <w:tabs>
          <w:tab w:val="clear" w:pos="9072"/>
          <w:tab w:val="center" w:pos="7371"/>
        </w:tabs>
        <w:ind w:left="4536"/>
        <w:jc w:val="center"/>
        <w:rPr>
          <w:rFonts w:ascii="Times New Roman" w:hAnsi="Times New Roman" w:cs="Times New Roman"/>
          <w:b/>
        </w:rPr>
      </w:pPr>
      <w:r w:rsidRPr="006B225A">
        <w:rPr>
          <w:rFonts w:ascii="Times New Roman" w:hAnsi="Times New Roman" w:cs="Times New Roman"/>
          <w:b/>
        </w:rPr>
        <w:t>Dr. Gyarmati József alezredes PhD</w:t>
      </w:r>
    </w:p>
    <w:p w:rsidR="001E4DDB" w:rsidRPr="001E4DDB" w:rsidRDefault="001E4DDB" w:rsidP="001E4DDB">
      <w:pPr>
        <w:pStyle w:val="lfej"/>
        <w:tabs>
          <w:tab w:val="clear" w:pos="9072"/>
          <w:tab w:val="center" w:pos="7371"/>
        </w:tabs>
        <w:ind w:left="4536"/>
        <w:jc w:val="center"/>
        <w:rPr>
          <w:rFonts w:ascii="Times New Roman" w:hAnsi="Times New Roman" w:cs="Times New Roman"/>
        </w:rPr>
      </w:pPr>
      <w:r w:rsidRPr="001E4DDB">
        <w:rPr>
          <w:rFonts w:ascii="Times New Roman" w:hAnsi="Times New Roman" w:cs="Times New Roman"/>
        </w:rPr>
        <w:t>egyetemi docens,</w:t>
      </w:r>
      <w:r w:rsidR="00FC1CD9">
        <w:rPr>
          <w:rFonts w:ascii="Times New Roman" w:hAnsi="Times New Roman" w:cs="Times New Roman"/>
        </w:rPr>
        <w:t xml:space="preserve"> sk.</w:t>
      </w:r>
    </w:p>
    <w:p w:rsidR="001E4DDB" w:rsidRPr="001E4DDB" w:rsidRDefault="001E4DDB" w:rsidP="001E4DDB">
      <w:pPr>
        <w:pStyle w:val="lfej"/>
        <w:tabs>
          <w:tab w:val="clear" w:pos="9072"/>
          <w:tab w:val="center" w:pos="7371"/>
        </w:tabs>
        <w:ind w:left="4536"/>
        <w:jc w:val="center"/>
        <w:rPr>
          <w:rFonts w:ascii="Times New Roman" w:hAnsi="Times New Roman" w:cs="Times New Roman"/>
        </w:rPr>
      </w:pPr>
    </w:p>
    <w:tbl>
      <w:tblPr>
        <w:tblW w:w="9072" w:type="dxa"/>
        <w:tblInd w:w="113" w:type="dxa"/>
        <w:tblLook w:val="01E0" w:firstRow="1" w:lastRow="1" w:firstColumn="1" w:lastColumn="1" w:noHBand="0" w:noVBand="0"/>
      </w:tblPr>
      <w:tblGrid>
        <w:gridCol w:w="4855"/>
        <w:gridCol w:w="1620"/>
        <w:gridCol w:w="2597"/>
      </w:tblGrid>
      <w:tr w:rsidR="00210B7A" w:rsidRPr="00210B7A" w:rsidTr="00210B7A">
        <w:tc>
          <w:tcPr>
            <w:tcW w:w="4855" w:type="dxa"/>
            <w:tcBorders>
              <w:bottom w:val="single" w:sz="4" w:space="0" w:color="auto"/>
            </w:tcBorders>
          </w:tcPr>
          <w:p w:rsidR="00210B7A" w:rsidRPr="00210B7A" w:rsidRDefault="00210B7A" w:rsidP="00210B7A">
            <w:pPr>
              <w:spacing w:after="0" w:line="240" w:lineRule="auto"/>
              <w:jc w:val="center"/>
              <w:rPr>
                <w:rFonts w:ascii="Times New Roman" w:eastAsia="Times New Roman" w:hAnsi="Times New Roman" w:cs="Times New Roman"/>
                <w:b/>
                <w:smallCaps/>
                <w:lang w:eastAsia="hu-HU"/>
              </w:rPr>
            </w:pPr>
            <w:r w:rsidRPr="00210B7A">
              <w:rPr>
                <w:rFonts w:ascii="Times New Roman" w:eastAsia="Times New Roman" w:hAnsi="Times New Roman" w:cs="Times New Roman"/>
                <w:b/>
                <w:smallCaps/>
                <w:lang w:eastAsia="hu-HU"/>
              </w:rPr>
              <w:lastRenderedPageBreak/>
              <w:t>Nemzeti Közszolgálati Egyetem</w:t>
            </w:r>
          </w:p>
        </w:tc>
        <w:tc>
          <w:tcPr>
            <w:tcW w:w="1620" w:type="dxa"/>
          </w:tcPr>
          <w:p w:rsidR="00210B7A" w:rsidRPr="00210B7A" w:rsidRDefault="00210B7A" w:rsidP="00210B7A">
            <w:pPr>
              <w:spacing w:after="0" w:line="240" w:lineRule="auto"/>
              <w:jc w:val="both"/>
              <w:rPr>
                <w:rFonts w:ascii="Times New Roman" w:eastAsia="Times New Roman" w:hAnsi="Times New Roman" w:cs="Times New Roman"/>
                <w:lang w:eastAsia="hu-HU"/>
              </w:rPr>
            </w:pPr>
          </w:p>
        </w:tc>
        <w:tc>
          <w:tcPr>
            <w:tcW w:w="2597" w:type="dxa"/>
          </w:tcPr>
          <w:p w:rsidR="00210B7A" w:rsidRPr="00210B7A" w:rsidRDefault="00210B7A" w:rsidP="00210B7A">
            <w:pPr>
              <w:spacing w:after="0" w:line="240" w:lineRule="auto"/>
              <w:jc w:val="right"/>
              <w:rPr>
                <w:rFonts w:ascii="Times New Roman" w:eastAsia="Times New Roman" w:hAnsi="Times New Roman" w:cs="Times New Roman"/>
                <w:lang w:eastAsia="hu-HU"/>
              </w:rPr>
            </w:pPr>
          </w:p>
        </w:tc>
      </w:tr>
      <w:tr w:rsidR="00210B7A" w:rsidRPr="00210B7A" w:rsidTr="00210B7A">
        <w:tc>
          <w:tcPr>
            <w:tcW w:w="4855" w:type="dxa"/>
            <w:tcBorders>
              <w:top w:val="single" w:sz="4" w:space="0" w:color="auto"/>
            </w:tcBorders>
          </w:tcPr>
          <w:p w:rsidR="00210B7A" w:rsidRPr="00210B7A" w:rsidRDefault="00210B7A" w:rsidP="00210B7A">
            <w:pPr>
              <w:spacing w:after="0" w:line="240" w:lineRule="auto"/>
              <w:jc w:val="center"/>
              <w:rPr>
                <w:rFonts w:ascii="Times New Roman" w:eastAsia="Times New Roman" w:hAnsi="Times New Roman" w:cs="Times New Roman"/>
                <w:b/>
                <w:lang w:eastAsia="hu-HU"/>
              </w:rPr>
            </w:pPr>
            <w:r w:rsidRPr="00210B7A">
              <w:rPr>
                <w:rFonts w:ascii="Times New Roman" w:eastAsia="Times New Roman" w:hAnsi="Times New Roman" w:cs="Times New Roman"/>
                <w:b/>
                <w:lang w:eastAsia="hu-HU"/>
              </w:rPr>
              <w:t>Hadtudományi és Honvédtisztképző Kar</w:t>
            </w:r>
          </w:p>
        </w:tc>
        <w:tc>
          <w:tcPr>
            <w:tcW w:w="1620" w:type="dxa"/>
          </w:tcPr>
          <w:p w:rsidR="00210B7A" w:rsidRPr="00210B7A" w:rsidRDefault="00210B7A" w:rsidP="00210B7A">
            <w:pPr>
              <w:spacing w:after="0" w:line="240" w:lineRule="auto"/>
              <w:jc w:val="both"/>
              <w:rPr>
                <w:rFonts w:ascii="Times New Roman" w:eastAsia="Times New Roman" w:hAnsi="Times New Roman" w:cs="Times New Roman"/>
                <w:lang w:eastAsia="hu-HU"/>
              </w:rPr>
            </w:pPr>
          </w:p>
        </w:tc>
        <w:tc>
          <w:tcPr>
            <w:tcW w:w="2597" w:type="dxa"/>
          </w:tcPr>
          <w:p w:rsidR="00210B7A" w:rsidRPr="00210B7A" w:rsidRDefault="00210B7A" w:rsidP="00210B7A">
            <w:pPr>
              <w:spacing w:after="0" w:line="240" w:lineRule="auto"/>
              <w:jc w:val="both"/>
              <w:rPr>
                <w:rFonts w:ascii="Times New Roman" w:eastAsia="Times New Roman" w:hAnsi="Times New Roman" w:cs="Times New Roman"/>
                <w:lang w:eastAsia="hu-HU"/>
              </w:rPr>
            </w:pPr>
          </w:p>
        </w:tc>
      </w:tr>
    </w:tbl>
    <w:p w:rsidR="00210B7A" w:rsidRPr="00210B7A" w:rsidRDefault="00210B7A" w:rsidP="00210B7A">
      <w:pPr>
        <w:widowControl w:val="0"/>
        <w:spacing w:before="120" w:after="120" w:line="240" w:lineRule="auto"/>
        <w:ind w:left="426" w:hanging="142"/>
        <w:jc w:val="center"/>
        <w:rPr>
          <w:rFonts w:ascii="Times New Roman" w:eastAsia="Times New Roman" w:hAnsi="Times New Roman" w:cs="Times New Roman"/>
          <w:b/>
          <w:bCs/>
        </w:rPr>
      </w:pPr>
    </w:p>
    <w:p w:rsidR="00210B7A" w:rsidRPr="00210B7A" w:rsidRDefault="00210B7A" w:rsidP="00210B7A">
      <w:pPr>
        <w:widowControl w:val="0"/>
        <w:spacing w:before="120" w:after="120" w:line="240" w:lineRule="auto"/>
        <w:ind w:left="426" w:hanging="142"/>
        <w:jc w:val="center"/>
        <w:rPr>
          <w:rFonts w:ascii="Times New Roman" w:eastAsia="Times New Roman" w:hAnsi="Times New Roman" w:cs="Times New Roman"/>
          <w:b/>
          <w:bCs/>
        </w:rPr>
      </w:pPr>
      <w:r w:rsidRPr="00210B7A">
        <w:rPr>
          <w:rFonts w:ascii="Times New Roman" w:eastAsia="Times New Roman" w:hAnsi="Times New Roman" w:cs="Times New Roman"/>
          <w:b/>
          <w:bCs/>
        </w:rPr>
        <w:t>TANTÁRGYI PROGRAM</w:t>
      </w:r>
    </w:p>
    <w:p w:rsidR="00210B7A" w:rsidRPr="00210B7A" w:rsidRDefault="00210B7A" w:rsidP="00980876">
      <w:pPr>
        <w:widowControl w:val="0"/>
        <w:numPr>
          <w:ilvl w:val="0"/>
          <w:numId w:val="634"/>
        </w:numPr>
        <w:tabs>
          <w:tab w:val="num" w:pos="567"/>
        </w:tabs>
        <w:spacing w:before="120" w:after="120" w:line="240" w:lineRule="auto"/>
        <w:ind w:left="426" w:hanging="142"/>
        <w:jc w:val="both"/>
        <w:rPr>
          <w:rFonts w:ascii="Times New Roman" w:eastAsia="Times New Roman" w:hAnsi="Times New Roman" w:cs="Times New Roman"/>
          <w:bCs/>
        </w:rPr>
      </w:pPr>
      <w:r w:rsidRPr="00210B7A">
        <w:rPr>
          <w:rFonts w:ascii="Times New Roman" w:eastAsia="Times New Roman" w:hAnsi="Times New Roman" w:cs="Times New Roman"/>
          <w:b/>
          <w:bCs/>
        </w:rPr>
        <w:t xml:space="preserve">A tantárgy kódja: </w:t>
      </w:r>
      <w:r w:rsidRPr="00210B7A">
        <w:rPr>
          <w:rFonts w:ascii="Times New Roman" w:eastAsia="Times New Roman" w:hAnsi="Times New Roman" w:cs="Times New Roman"/>
          <w:bCs/>
        </w:rPr>
        <w:t>HKHDTA31</w:t>
      </w:r>
    </w:p>
    <w:p w:rsidR="00210B7A" w:rsidRPr="00210B7A" w:rsidRDefault="00210B7A" w:rsidP="00980876">
      <w:pPr>
        <w:widowControl w:val="0"/>
        <w:numPr>
          <w:ilvl w:val="0"/>
          <w:numId w:val="634"/>
        </w:numPr>
        <w:tabs>
          <w:tab w:val="num" w:pos="567"/>
        </w:tabs>
        <w:spacing w:before="120" w:after="120" w:line="240" w:lineRule="auto"/>
        <w:ind w:left="426" w:hanging="142"/>
        <w:jc w:val="both"/>
        <w:rPr>
          <w:rFonts w:ascii="Times New Roman" w:eastAsia="Times New Roman" w:hAnsi="Times New Roman" w:cs="Times New Roman"/>
          <w:b/>
          <w:bCs/>
          <w:lang w:val="en-GB"/>
        </w:rPr>
      </w:pPr>
      <w:r w:rsidRPr="00210B7A">
        <w:rPr>
          <w:rFonts w:ascii="Times New Roman" w:eastAsia="Times New Roman" w:hAnsi="Times New Roman" w:cs="Times New Roman"/>
          <w:b/>
          <w:bCs/>
        </w:rPr>
        <w:t>A tantárgy megnevezése (magyarul):</w:t>
      </w:r>
      <w:r w:rsidRPr="00210B7A">
        <w:rPr>
          <w:rFonts w:ascii="Times New Roman" w:eastAsia="Times New Roman" w:hAnsi="Times New Roman" w:cs="Times New Roman"/>
          <w:bCs/>
        </w:rPr>
        <w:t xml:space="preserve"> Műszaki kommunikáció L</w:t>
      </w:r>
    </w:p>
    <w:p w:rsidR="00210B7A" w:rsidRPr="00210B7A" w:rsidRDefault="00210B7A" w:rsidP="00980876">
      <w:pPr>
        <w:widowControl w:val="0"/>
        <w:numPr>
          <w:ilvl w:val="0"/>
          <w:numId w:val="634"/>
        </w:numPr>
        <w:tabs>
          <w:tab w:val="num" w:pos="567"/>
        </w:tabs>
        <w:spacing w:before="120" w:after="120" w:line="240" w:lineRule="auto"/>
        <w:ind w:left="426" w:hanging="142"/>
        <w:jc w:val="both"/>
        <w:rPr>
          <w:rFonts w:ascii="Times New Roman" w:eastAsia="Times New Roman" w:hAnsi="Times New Roman" w:cs="Times New Roman"/>
          <w:b/>
          <w:bCs/>
          <w:lang w:val="en-GB"/>
        </w:rPr>
      </w:pPr>
      <w:r w:rsidRPr="00210B7A">
        <w:rPr>
          <w:rFonts w:ascii="Times New Roman" w:eastAsia="Times New Roman" w:hAnsi="Times New Roman" w:cs="Times New Roman"/>
          <w:b/>
          <w:bCs/>
        </w:rPr>
        <w:t xml:space="preserve">A tantárgy megnevezése (angolul): </w:t>
      </w:r>
      <w:r w:rsidRPr="00210B7A">
        <w:rPr>
          <w:rFonts w:ascii="Times New Roman" w:eastAsia="Times New Roman" w:hAnsi="Times New Roman" w:cs="Times New Roman"/>
          <w:bCs/>
        </w:rPr>
        <w:t>Industrial Communications</w:t>
      </w:r>
    </w:p>
    <w:p w:rsidR="00210B7A" w:rsidRPr="00210B7A" w:rsidRDefault="00210B7A" w:rsidP="00980876">
      <w:pPr>
        <w:widowControl w:val="0"/>
        <w:numPr>
          <w:ilvl w:val="0"/>
          <w:numId w:val="634"/>
        </w:numPr>
        <w:tabs>
          <w:tab w:val="num" w:pos="567"/>
        </w:tabs>
        <w:spacing w:before="120" w:after="120" w:line="240" w:lineRule="auto"/>
        <w:ind w:left="426" w:hanging="142"/>
        <w:jc w:val="both"/>
        <w:rPr>
          <w:rFonts w:ascii="Times New Roman" w:eastAsia="Times New Roman" w:hAnsi="Times New Roman" w:cs="Times New Roman"/>
          <w:b/>
          <w:bCs/>
        </w:rPr>
      </w:pPr>
      <w:r w:rsidRPr="00210B7A">
        <w:rPr>
          <w:rFonts w:ascii="Times New Roman" w:eastAsia="Times New Roman" w:hAnsi="Times New Roman" w:cs="Times New Roman"/>
          <w:b/>
          <w:bCs/>
        </w:rPr>
        <w:t xml:space="preserve">Kreditérték és képzési karakter: </w:t>
      </w:r>
    </w:p>
    <w:p w:rsidR="00210B7A" w:rsidRPr="00210B7A" w:rsidRDefault="00210B7A" w:rsidP="00980876">
      <w:pPr>
        <w:widowControl w:val="0"/>
        <w:numPr>
          <w:ilvl w:val="1"/>
          <w:numId w:val="634"/>
        </w:numPr>
        <w:spacing w:before="120" w:after="120" w:line="240" w:lineRule="auto"/>
        <w:ind w:left="993" w:hanging="426"/>
        <w:contextualSpacing/>
        <w:jc w:val="both"/>
        <w:rPr>
          <w:rFonts w:ascii="Times New Roman" w:eastAsia="Times New Roman" w:hAnsi="Times New Roman" w:cs="Times New Roman"/>
          <w:b/>
          <w:bCs/>
        </w:rPr>
      </w:pPr>
      <w:r w:rsidRPr="00210B7A">
        <w:rPr>
          <w:rFonts w:ascii="Times New Roman" w:eastAsia="Times New Roman" w:hAnsi="Times New Roman" w:cs="Times New Roman"/>
          <w:bCs/>
        </w:rPr>
        <w:t>2 kredit</w:t>
      </w:r>
    </w:p>
    <w:p w:rsidR="00210B7A" w:rsidRPr="00210B7A" w:rsidRDefault="00210B7A" w:rsidP="00980876">
      <w:pPr>
        <w:widowControl w:val="0"/>
        <w:numPr>
          <w:ilvl w:val="1"/>
          <w:numId w:val="634"/>
        </w:numPr>
        <w:spacing w:before="120" w:after="120" w:line="240" w:lineRule="auto"/>
        <w:ind w:left="993" w:hanging="426"/>
        <w:contextualSpacing/>
        <w:jc w:val="both"/>
        <w:rPr>
          <w:rFonts w:ascii="Times New Roman" w:eastAsia="Times New Roman" w:hAnsi="Times New Roman" w:cs="Times New Roman"/>
          <w:b/>
          <w:bCs/>
        </w:rPr>
      </w:pPr>
      <w:r w:rsidRPr="00210B7A">
        <w:rPr>
          <w:rFonts w:ascii="Times New Roman" w:eastAsia="Times New Roman" w:hAnsi="Times New Roman" w:cs="Times New Roman"/>
          <w:bCs/>
        </w:rPr>
        <w:t>a tantárgy elméleti vagy gyakorlati jellegének mértéke: 50</w:t>
      </w:r>
      <w:r w:rsidRPr="00210B7A">
        <w:rPr>
          <w:rFonts w:ascii="Times New Roman" w:eastAsia="Times New Roman" w:hAnsi="Times New Roman" w:cs="Times New Roman"/>
          <w:b/>
          <w:bCs/>
        </w:rPr>
        <w:t xml:space="preserve"> </w:t>
      </w:r>
      <w:r w:rsidRPr="00210B7A">
        <w:rPr>
          <w:rFonts w:ascii="Times New Roman" w:eastAsia="Times New Roman" w:hAnsi="Times New Roman" w:cs="Times New Roman"/>
          <w:bCs/>
        </w:rPr>
        <w:t>% gyakorlat, 50 % elmélet</w:t>
      </w:r>
    </w:p>
    <w:p w:rsidR="00210B7A" w:rsidRPr="00210B7A" w:rsidRDefault="00210B7A" w:rsidP="00980876">
      <w:pPr>
        <w:widowControl w:val="0"/>
        <w:numPr>
          <w:ilvl w:val="0"/>
          <w:numId w:val="634"/>
        </w:numPr>
        <w:spacing w:before="120" w:after="120" w:line="240" w:lineRule="auto"/>
        <w:ind w:left="426" w:hanging="142"/>
        <w:jc w:val="both"/>
        <w:rPr>
          <w:rFonts w:ascii="Times New Roman" w:eastAsia="Times New Roman" w:hAnsi="Times New Roman" w:cs="Times New Roman"/>
          <w:bCs/>
        </w:rPr>
      </w:pPr>
      <w:r w:rsidRPr="00210B7A">
        <w:rPr>
          <w:rFonts w:ascii="Times New Roman" w:eastAsia="Times New Roman" w:hAnsi="Times New Roman" w:cs="Times New Roman"/>
          <w:b/>
          <w:bCs/>
        </w:rPr>
        <w:t>A szak(ok), szakirányok/specializációk megnevezése (ahol oktatják):</w:t>
      </w:r>
      <w:r w:rsidRPr="00210B7A">
        <w:rPr>
          <w:rFonts w:ascii="Times New Roman" w:eastAsia="Times New Roman" w:hAnsi="Times New Roman" w:cs="Times New Roman"/>
          <w:bCs/>
        </w:rPr>
        <w:t xml:space="preserve"> Katonai logisztika (</w:t>
      </w:r>
      <w:r w:rsidR="00137B8A">
        <w:rPr>
          <w:rFonts w:ascii="Times New Roman" w:eastAsia="Times New Roman" w:hAnsi="Times New Roman" w:cs="Times New Roman"/>
          <w:bCs/>
        </w:rPr>
        <w:t>BSc</w:t>
      </w:r>
      <w:r w:rsidRPr="00210B7A">
        <w:rPr>
          <w:rFonts w:ascii="Times New Roman" w:eastAsia="Times New Roman" w:hAnsi="Times New Roman" w:cs="Times New Roman"/>
          <w:bCs/>
        </w:rPr>
        <w:t>) alapképzési szak</w:t>
      </w:r>
    </w:p>
    <w:p w:rsidR="00210B7A" w:rsidRPr="00210B7A" w:rsidRDefault="00210B7A" w:rsidP="00980876">
      <w:pPr>
        <w:widowControl w:val="0"/>
        <w:numPr>
          <w:ilvl w:val="0"/>
          <w:numId w:val="634"/>
        </w:numPr>
        <w:tabs>
          <w:tab w:val="num" w:pos="567"/>
        </w:tabs>
        <w:spacing w:before="120" w:after="120" w:line="240" w:lineRule="auto"/>
        <w:ind w:left="426" w:hanging="142"/>
        <w:jc w:val="both"/>
        <w:rPr>
          <w:rFonts w:ascii="Times New Roman" w:eastAsia="Times New Roman" w:hAnsi="Times New Roman" w:cs="Times New Roman"/>
          <w:bCs/>
        </w:rPr>
      </w:pPr>
      <w:r w:rsidRPr="00210B7A">
        <w:rPr>
          <w:rFonts w:ascii="Times New Roman" w:eastAsia="Times New Roman" w:hAnsi="Times New Roman" w:cs="Times New Roman"/>
          <w:b/>
          <w:bCs/>
        </w:rPr>
        <w:t xml:space="preserve">Az oktatásért felelős oktatási szervezeti egység megnevezése: </w:t>
      </w:r>
      <w:r w:rsidRPr="00210B7A">
        <w:rPr>
          <w:rFonts w:ascii="Times New Roman" w:eastAsia="Times New Roman" w:hAnsi="Times New Roman" w:cs="Times New Roman"/>
          <w:bCs/>
        </w:rPr>
        <w:t>HHK Haditechnikai Tanszék</w:t>
      </w:r>
    </w:p>
    <w:p w:rsidR="00210B7A" w:rsidRPr="00210B7A" w:rsidRDefault="00210B7A" w:rsidP="00980876">
      <w:pPr>
        <w:widowControl w:val="0"/>
        <w:numPr>
          <w:ilvl w:val="0"/>
          <w:numId w:val="634"/>
        </w:numPr>
        <w:tabs>
          <w:tab w:val="num" w:pos="567"/>
        </w:tabs>
        <w:spacing w:before="120" w:after="120" w:line="240" w:lineRule="auto"/>
        <w:ind w:left="426" w:hanging="142"/>
        <w:jc w:val="both"/>
        <w:rPr>
          <w:rFonts w:ascii="Times New Roman" w:eastAsia="Times New Roman" w:hAnsi="Times New Roman" w:cs="Times New Roman"/>
          <w:bCs/>
        </w:rPr>
      </w:pPr>
      <w:r w:rsidRPr="00210B7A">
        <w:rPr>
          <w:rFonts w:ascii="Times New Roman" w:eastAsia="Times New Roman" w:hAnsi="Times New Roman" w:cs="Times New Roman"/>
          <w:b/>
          <w:bCs/>
        </w:rPr>
        <w:t>A tantárgyfelelős oktató neve, beosztása, tudományos fokozata:</w:t>
      </w:r>
      <w:r w:rsidRPr="00210B7A">
        <w:rPr>
          <w:rFonts w:ascii="Times New Roman" w:eastAsia="Times New Roman" w:hAnsi="Times New Roman" w:cs="Times New Roman"/>
          <w:bCs/>
        </w:rPr>
        <w:t xml:space="preserve"> </w:t>
      </w:r>
      <w:r w:rsidRPr="00210B7A">
        <w:rPr>
          <w:rFonts w:ascii="Times New Roman" w:eastAsia="Times New Roman" w:hAnsi="Times New Roman" w:cs="Times New Roman"/>
          <w:bCs/>
          <w:lang w:eastAsia="hu-HU"/>
        </w:rPr>
        <w:t>Dr. Hegedűs Ernő alezredes PhD, egyetemi tanársegéd</w:t>
      </w:r>
    </w:p>
    <w:p w:rsidR="00210B7A" w:rsidRPr="00210B7A" w:rsidRDefault="00210B7A" w:rsidP="00980876">
      <w:pPr>
        <w:widowControl w:val="0"/>
        <w:numPr>
          <w:ilvl w:val="0"/>
          <w:numId w:val="634"/>
        </w:numPr>
        <w:spacing w:before="120" w:after="120" w:line="240" w:lineRule="auto"/>
        <w:ind w:left="426" w:hanging="142"/>
        <w:jc w:val="both"/>
        <w:rPr>
          <w:rFonts w:ascii="Times New Roman" w:eastAsia="Times New Roman" w:hAnsi="Times New Roman" w:cs="Times New Roman"/>
          <w:bCs/>
        </w:rPr>
      </w:pPr>
      <w:r w:rsidRPr="00210B7A">
        <w:rPr>
          <w:rFonts w:ascii="Times New Roman" w:eastAsia="Times New Roman" w:hAnsi="Times New Roman" w:cs="Times New Roman"/>
          <w:b/>
          <w:bCs/>
        </w:rPr>
        <w:t>A tanórák száma és típusa</w:t>
      </w:r>
    </w:p>
    <w:p w:rsidR="00210B7A" w:rsidRPr="00210B7A" w:rsidRDefault="00210B7A" w:rsidP="00980876">
      <w:pPr>
        <w:widowControl w:val="0"/>
        <w:numPr>
          <w:ilvl w:val="1"/>
          <w:numId w:val="634"/>
        </w:numPr>
        <w:tabs>
          <w:tab w:val="num" w:pos="709"/>
          <w:tab w:val="num" w:pos="2069"/>
        </w:tabs>
        <w:spacing w:before="120" w:after="120" w:line="240" w:lineRule="auto"/>
        <w:ind w:left="851" w:hanging="425"/>
        <w:jc w:val="both"/>
        <w:rPr>
          <w:rFonts w:ascii="Times New Roman" w:eastAsia="Times New Roman" w:hAnsi="Times New Roman" w:cs="Times New Roman"/>
          <w:bCs/>
        </w:rPr>
      </w:pPr>
      <w:r w:rsidRPr="00210B7A">
        <w:rPr>
          <w:rFonts w:ascii="Times New Roman" w:eastAsia="Times New Roman" w:hAnsi="Times New Roman" w:cs="Times New Roman"/>
          <w:bCs/>
        </w:rPr>
        <w:t>össz óraszám/félév: 28</w:t>
      </w:r>
    </w:p>
    <w:p w:rsidR="00210B7A" w:rsidRPr="00210B7A" w:rsidRDefault="00210B7A" w:rsidP="00980876">
      <w:pPr>
        <w:widowControl w:val="0"/>
        <w:numPr>
          <w:ilvl w:val="2"/>
          <w:numId w:val="634"/>
        </w:numPr>
        <w:tabs>
          <w:tab w:val="num" w:pos="709"/>
          <w:tab w:val="num" w:pos="1134"/>
        </w:tabs>
        <w:spacing w:before="120" w:after="120" w:line="240" w:lineRule="auto"/>
        <w:ind w:left="993" w:hanging="425"/>
        <w:jc w:val="both"/>
        <w:rPr>
          <w:rFonts w:ascii="Times New Roman" w:eastAsia="Times New Roman" w:hAnsi="Times New Roman" w:cs="Times New Roman"/>
          <w:bCs/>
        </w:rPr>
      </w:pPr>
      <w:r w:rsidRPr="00210B7A">
        <w:rPr>
          <w:rFonts w:ascii="Times New Roman" w:eastAsia="Times New Roman" w:hAnsi="Times New Roman" w:cs="Times New Roman"/>
          <w:bCs/>
        </w:rPr>
        <w:t>nappali munkarend: 28 (14 EA + -SZ + 14 GY)</w:t>
      </w:r>
    </w:p>
    <w:p w:rsidR="00210B7A" w:rsidRPr="00210B7A" w:rsidRDefault="00210B7A" w:rsidP="00980876">
      <w:pPr>
        <w:widowControl w:val="0"/>
        <w:numPr>
          <w:ilvl w:val="2"/>
          <w:numId w:val="634"/>
        </w:numPr>
        <w:tabs>
          <w:tab w:val="num" w:pos="709"/>
          <w:tab w:val="num" w:pos="1134"/>
        </w:tabs>
        <w:spacing w:before="120" w:after="120" w:line="240" w:lineRule="auto"/>
        <w:ind w:left="993" w:hanging="425"/>
        <w:jc w:val="both"/>
        <w:rPr>
          <w:rFonts w:ascii="Times New Roman" w:eastAsia="Times New Roman" w:hAnsi="Times New Roman" w:cs="Times New Roman"/>
          <w:bCs/>
        </w:rPr>
      </w:pPr>
      <w:r w:rsidRPr="00210B7A">
        <w:rPr>
          <w:rFonts w:ascii="Times New Roman" w:eastAsia="Times New Roman" w:hAnsi="Times New Roman" w:cs="Times New Roman"/>
          <w:bCs/>
        </w:rPr>
        <w:t>levelező munkarend: - (- EA + - SZ + - GY)</w:t>
      </w:r>
    </w:p>
    <w:p w:rsidR="00210B7A" w:rsidRPr="00210B7A" w:rsidRDefault="00210B7A" w:rsidP="00980876">
      <w:pPr>
        <w:widowControl w:val="0"/>
        <w:numPr>
          <w:ilvl w:val="1"/>
          <w:numId w:val="634"/>
        </w:numPr>
        <w:tabs>
          <w:tab w:val="num" w:pos="709"/>
          <w:tab w:val="num" w:pos="2069"/>
        </w:tabs>
        <w:spacing w:before="120" w:after="120" w:line="240" w:lineRule="auto"/>
        <w:ind w:left="851" w:hanging="425"/>
        <w:jc w:val="both"/>
        <w:rPr>
          <w:rFonts w:ascii="Times New Roman" w:eastAsia="Times New Roman" w:hAnsi="Times New Roman" w:cs="Times New Roman"/>
          <w:bCs/>
        </w:rPr>
      </w:pPr>
      <w:r w:rsidRPr="00210B7A">
        <w:rPr>
          <w:rFonts w:ascii="Times New Roman" w:eastAsia="Times New Roman" w:hAnsi="Times New Roman" w:cs="Times New Roman"/>
          <w:bCs/>
        </w:rPr>
        <w:t>heti óraszám - nappali munkarend: 2 (1+1)</w:t>
      </w:r>
    </w:p>
    <w:p w:rsidR="00210B7A" w:rsidRPr="00210B7A" w:rsidRDefault="00210B7A" w:rsidP="00980876">
      <w:pPr>
        <w:widowControl w:val="0"/>
        <w:numPr>
          <w:ilvl w:val="1"/>
          <w:numId w:val="634"/>
        </w:numPr>
        <w:tabs>
          <w:tab w:val="num" w:pos="709"/>
          <w:tab w:val="num" w:pos="2069"/>
        </w:tabs>
        <w:spacing w:before="120" w:after="120" w:line="240" w:lineRule="auto"/>
        <w:ind w:left="851" w:hanging="425"/>
        <w:jc w:val="both"/>
        <w:rPr>
          <w:rFonts w:ascii="Times New Roman" w:eastAsia="Times New Roman" w:hAnsi="Times New Roman" w:cs="Times New Roman"/>
          <w:bCs/>
        </w:rPr>
      </w:pPr>
      <w:r w:rsidRPr="00210B7A">
        <w:rPr>
          <w:rFonts w:ascii="Times New Roman" w:eastAsia="Calibri" w:hAnsi="Times New Roman" w:cs="Times New Roman"/>
        </w:rPr>
        <w:t>Az ismeret átadásában alkalmazandó további sajátos módok, jellemzők: Az ismeretek feldolgozása vegyes tanulási program (blended learning) alapján történik.</w:t>
      </w:r>
    </w:p>
    <w:p w:rsidR="00210B7A" w:rsidRPr="00210B7A" w:rsidRDefault="00210B7A" w:rsidP="00980876">
      <w:pPr>
        <w:widowControl w:val="0"/>
        <w:numPr>
          <w:ilvl w:val="0"/>
          <w:numId w:val="634"/>
        </w:numPr>
        <w:tabs>
          <w:tab w:val="num" w:pos="426"/>
        </w:tabs>
        <w:spacing w:before="120" w:after="120" w:line="240" w:lineRule="auto"/>
        <w:ind w:hanging="436"/>
        <w:jc w:val="both"/>
        <w:rPr>
          <w:rFonts w:ascii="Times New Roman" w:eastAsia="Times New Roman" w:hAnsi="Times New Roman" w:cs="Times New Roman"/>
          <w:bCs/>
          <w:lang w:eastAsia="hu-HU"/>
        </w:rPr>
      </w:pPr>
      <w:r w:rsidRPr="00210B7A">
        <w:rPr>
          <w:rFonts w:ascii="Times New Roman" w:eastAsia="Times New Roman" w:hAnsi="Times New Roman" w:cs="Times New Roman"/>
          <w:b/>
          <w:bCs/>
        </w:rPr>
        <w:t xml:space="preserve">A tantárgy szakmai tartalma (magyarul): </w:t>
      </w:r>
      <w:r w:rsidRPr="00210B7A">
        <w:rPr>
          <w:rFonts w:ascii="Times New Roman" w:eastAsia="Times New Roman" w:hAnsi="Times New Roman" w:cs="Times New Roman"/>
          <w:bCs/>
        </w:rPr>
        <w:t xml:space="preserve">Metszeti ábrázolás. Géprajzi egyszerűsítések. Méretmegadás. Felületi érdesség, tűrések és illesztések. Gépelemek ábrázolása. </w:t>
      </w:r>
    </w:p>
    <w:p w:rsidR="00210B7A" w:rsidRPr="00210B7A" w:rsidRDefault="00210B7A" w:rsidP="00210B7A">
      <w:pPr>
        <w:widowControl w:val="0"/>
        <w:tabs>
          <w:tab w:val="num" w:pos="567"/>
        </w:tabs>
        <w:spacing w:before="120" w:after="120" w:line="240" w:lineRule="auto"/>
        <w:ind w:left="709" w:hanging="283"/>
        <w:jc w:val="both"/>
        <w:rPr>
          <w:rFonts w:ascii="Times New Roman" w:eastAsia="Times New Roman" w:hAnsi="Times New Roman" w:cs="Times New Roman"/>
          <w:bCs/>
        </w:rPr>
      </w:pPr>
      <w:r w:rsidRPr="00210B7A">
        <w:rPr>
          <w:rFonts w:ascii="Times New Roman" w:eastAsia="Times New Roman" w:hAnsi="Times New Roman" w:cs="Times New Roman"/>
          <w:b/>
          <w:bCs/>
        </w:rPr>
        <w:t>A tantárgy szakmai tartalma (angolul) (</w:t>
      </w:r>
      <w:r w:rsidRPr="00210B7A">
        <w:rPr>
          <w:rFonts w:ascii="Times New Roman" w:eastAsia="Times New Roman" w:hAnsi="Times New Roman" w:cs="Times New Roman"/>
          <w:b/>
          <w:bCs/>
          <w:lang w:val="en-US"/>
        </w:rPr>
        <w:t>Course description</w:t>
      </w:r>
      <w:r w:rsidRPr="00210B7A">
        <w:rPr>
          <w:rFonts w:ascii="Times New Roman" w:eastAsia="Times New Roman" w:hAnsi="Times New Roman" w:cs="Times New Roman"/>
          <w:b/>
          <w:bCs/>
        </w:rPr>
        <w:t xml:space="preserve">): </w:t>
      </w:r>
      <w:r w:rsidRPr="00210B7A">
        <w:rPr>
          <w:rFonts w:ascii="Times New Roman" w:eastAsia="Times New Roman" w:hAnsi="Times New Roman" w:cs="Times New Roman"/>
          <w:bCs/>
        </w:rPr>
        <w:t>Cross sections. Simplification in the drawings. Dimensions, tolerance, joins. Representation and drawing of machine parts.</w:t>
      </w:r>
    </w:p>
    <w:p w:rsidR="00210B7A" w:rsidRPr="00210B7A" w:rsidRDefault="00210B7A" w:rsidP="00980876">
      <w:pPr>
        <w:widowControl w:val="0"/>
        <w:numPr>
          <w:ilvl w:val="0"/>
          <w:numId w:val="634"/>
        </w:numPr>
        <w:spacing w:before="120" w:after="120" w:line="240" w:lineRule="auto"/>
        <w:contextualSpacing/>
        <w:jc w:val="both"/>
        <w:rPr>
          <w:rFonts w:ascii="Times New Roman" w:eastAsia="Times New Roman" w:hAnsi="Times New Roman" w:cs="Times New Roman"/>
          <w:bCs/>
        </w:rPr>
      </w:pPr>
      <w:r w:rsidRPr="00210B7A">
        <w:rPr>
          <w:rFonts w:ascii="Times New Roman" w:eastAsia="Times New Roman" w:hAnsi="Times New Roman" w:cs="Times New Roman"/>
          <w:b/>
          <w:bCs/>
        </w:rPr>
        <w:t xml:space="preserve">Elérendő kompetenciák (magyarul): </w:t>
      </w:r>
    </w:p>
    <w:p w:rsidR="00210B7A" w:rsidRPr="006B225A" w:rsidRDefault="00210B7A" w:rsidP="006B225A">
      <w:pPr>
        <w:widowControl w:val="0"/>
        <w:spacing w:before="240" w:after="0" w:line="240" w:lineRule="auto"/>
        <w:ind w:left="425"/>
        <w:jc w:val="both"/>
        <w:rPr>
          <w:rFonts w:ascii="Times New Roman" w:eastAsia="Times New Roman" w:hAnsi="Times New Roman" w:cs="Times New Roman"/>
          <w:b/>
          <w:bCs/>
        </w:rPr>
      </w:pPr>
      <w:r w:rsidRPr="00210B7A">
        <w:rPr>
          <w:rFonts w:ascii="Times New Roman" w:eastAsia="Times New Roman" w:hAnsi="Times New Roman" w:cs="Times New Roman"/>
          <w:b/>
          <w:bCs/>
        </w:rPr>
        <w:t>Tudása:</w:t>
      </w:r>
      <w:r w:rsidRPr="006B225A">
        <w:rPr>
          <w:rFonts w:ascii="Times New Roman" w:eastAsia="Times New Roman" w:hAnsi="Times New Roman" w:cs="Times New Roman"/>
          <w:b/>
          <w:bCs/>
        </w:rPr>
        <w:t xml:space="preserve"> </w:t>
      </w:r>
    </w:p>
    <w:p w:rsidR="00210B7A" w:rsidRPr="00210B7A" w:rsidRDefault="00210B7A" w:rsidP="00980876">
      <w:pPr>
        <w:widowControl w:val="0"/>
        <w:numPr>
          <w:ilvl w:val="0"/>
          <w:numId w:val="330"/>
        </w:numPr>
        <w:spacing w:before="120" w:after="120" w:line="240" w:lineRule="auto"/>
        <w:contextualSpacing/>
        <w:jc w:val="both"/>
        <w:rPr>
          <w:rFonts w:ascii="Times New Roman" w:eastAsia="Times New Roman" w:hAnsi="Times New Roman" w:cs="Times New Roman"/>
          <w:bCs/>
        </w:rPr>
      </w:pPr>
      <w:r w:rsidRPr="00210B7A">
        <w:rPr>
          <w:rFonts w:ascii="Times New Roman" w:eastAsia="Times New Roman" w:hAnsi="Times New Roman" w:cs="Times New Roman"/>
          <w:bCs/>
        </w:rPr>
        <w:t xml:space="preserve">Ismeri a metszeti ábrázolás alapfogalmait. </w:t>
      </w:r>
    </w:p>
    <w:p w:rsidR="00210B7A" w:rsidRPr="00210B7A" w:rsidRDefault="00210B7A" w:rsidP="00980876">
      <w:pPr>
        <w:widowControl w:val="0"/>
        <w:numPr>
          <w:ilvl w:val="0"/>
          <w:numId w:val="330"/>
        </w:numPr>
        <w:spacing w:before="120" w:after="120" w:line="240" w:lineRule="auto"/>
        <w:contextualSpacing/>
        <w:jc w:val="both"/>
        <w:rPr>
          <w:rFonts w:ascii="Times New Roman" w:eastAsia="Times New Roman" w:hAnsi="Times New Roman" w:cs="Times New Roman"/>
          <w:bCs/>
        </w:rPr>
      </w:pPr>
      <w:r w:rsidRPr="00210B7A">
        <w:rPr>
          <w:rFonts w:ascii="Times New Roman" w:eastAsia="Times New Roman" w:hAnsi="Times New Roman" w:cs="Times New Roman"/>
          <w:bCs/>
        </w:rPr>
        <w:t xml:space="preserve">Ismeri és alkalmazni tudja a géprajzi egyszerűsítések különböző változatait. </w:t>
      </w:r>
    </w:p>
    <w:p w:rsidR="00210B7A" w:rsidRPr="00210B7A" w:rsidRDefault="00210B7A" w:rsidP="00980876">
      <w:pPr>
        <w:widowControl w:val="0"/>
        <w:numPr>
          <w:ilvl w:val="0"/>
          <w:numId w:val="330"/>
        </w:numPr>
        <w:spacing w:before="120" w:after="120" w:line="240" w:lineRule="auto"/>
        <w:contextualSpacing/>
        <w:jc w:val="both"/>
        <w:rPr>
          <w:rFonts w:ascii="Times New Roman" w:eastAsia="Times New Roman" w:hAnsi="Times New Roman" w:cs="Times New Roman"/>
          <w:bCs/>
        </w:rPr>
      </w:pPr>
      <w:r w:rsidRPr="00210B7A">
        <w:rPr>
          <w:rFonts w:ascii="Times New Roman" w:eastAsia="Times New Roman" w:hAnsi="Times New Roman" w:cs="Times New Roman"/>
          <w:bCs/>
        </w:rPr>
        <w:t xml:space="preserve">Ismeri a méretmegadás módjait. </w:t>
      </w:r>
    </w:p>
    <w:p w:rsidR="00210B7A" w:rsidRPr="00210B7A" w:rsidRDefault="00210B7A" w:rsidP="00980876">
      <w:pPr>
        <w:widowControl w:val="0"/>
        <w:numPr>
          <w:ilvl w:val="0"/>
          <w:numId w:val="330"/>
        </w:numPr>
        <w:spacing w:before="120" w:after="120" w:line="240" w:lineRule="auto"/>
        <w:contextualSpacing/>
        <w:jc w:val="both"/>
        <w:rPr>
          <w:rFonts w:ascii="Times New Roman" w:eastAsia="Times New Roman" w:hAnsi="Times New Roman" w:cs="Times New Roman"/>
          <w:bCs/>
        </w:rPr>
      </w:pPr>
      <w:r w:rsidRPr="00210B7A">
        <w:rPr>
          <w:rFonts w:ascii="Times New Roman" w:eastAsia="Times New Roman" w:hAnsi="Times New Roman" w:cs="Times New Roman"/>
          <w:bCs/>
        </w:rPr>
        <w:t xml:space="preserve">Ismeri a felületi érdességek jelölését. </w:t>
      </w:r>
    </w:p>
    <w:p w:rsidR="00210B7A" w:rsidRPr="00210B7A" w:rsidRDefault="00210B7A" w:rsidP="00980876">
      <w:pPr>
        <w:widowControl w:val="0"/>
        <w:numPr>
          <w:ilvl w:val="0"/>
          <w:numId w:val="330"/>
        </w:numPr>
        <w:spacing w:before="120" w:after="120" w:line="240" w:lineRule="auto"/>
        <w:contextualSpacing/>
        <w:jc w:val="both"/>
        <w:rPr>
          <w:rFonts w:ascii="Times New Roman" w:eastAsia="Times New Roman" w:hAnsi="Times New Roman" w:cs="Times New Roman"/>
          <w:bCs/>
        </w:rPr>
      </w:pPr>
      <w:r w:rsidRPr="00210B7A">
        <w:rPr>
          <w:rFonts w:ascii="Times New Roman" w:eastAsia="Times New Roman" w:hAnsi="Times New Roman" w:cs="Times New Roman"/>
          <w:bCs/>
        </w:rPr>
        <w:t xml:space="preserve">Ismeri a tűrések és illesztések jelölésének szabályait. </w:t>
      </w:r>
    </w:p>
    <w:p w:rsidR="00210B7A" w:rsidRPr="00210B7A" w:rsidRDefault="00210B7A" w:rsidP="00980876">
      <w:pPr>
        <w:widowControl w:val="0"/>
        <w:numPr>
          <w:ilvl w:val="0"/>
          <w:numId w:val="330"/>
        </w:numPr>
        <w:spacing w:before="120" w:after="120" w:line="240" w:lineRule="auto"/>
        <w:contextualSpacing/>
        <w:jc w:val="both"/>
        <w:rPr>
          <w:rFonts w:ascii="Times New Roman" w:eastAsia="Times New Roman" w:hAnsi="Times New Roman" w:cs="Times New Roman"/>
          <w:bCs/>
        </w:rPr>
      </w:pPr>
      <w:r w:rsidRPr="00210B7A">
        <w:rPr>
          <w:rFonts w:ascii="Times New Roman" w:eastAsia="Times New Roman" w:hAnsi="Times New Roman" w:cs="Times New Roman"/>
          <w:bCs/>
        </w:rPr>
        <w:t>Megfelelő mélységű ismerettel rendelkezik a tűrések és illesztések jelölése területén.</w:t>
      </w:r>
    </w:p>
    <w:p w:rsidR="00210B7A" w:rsidRPr="006B225A" w:rsidRDefault="00210B7A" w:rsidP="006B225A">
      <w:pPr>
        <w:widowControl w:val="0"/>
        <w:spacing w:before="240" w:after="0" w:line="240" w:lineRule="auto"/>
        <w:ind w:left="425"/>
        <w:jc w:val="both"/>
        <w:rPr>
          <w:rFonts w:ascii="Times New Roman" w:eastAsia="Times New Roman" w:hAnsi="Times New Roman" w:cs="Times New Roman"/>
          <w:b/>
          <w:bCs/>
        </w:rPr>
      </w:pPr>
      <w:r w:rsidRPr="00210B7A">
        <w:rPr>
          <w:rFonts w:ascii="Times New Roman" w:eastAsia="Times New Roman" w:hAnsi="Times New Roman" w:cs="Times New Roman"/>
          <w:b/>
          <w:bCs/>
        </w:rPr>
        <w:t>Képességei:</w:t>
      </w:r>
      <w:r w:rsidRPr="006B225A">
        <w:rPr>
          <w:rFonts w:ascii="Times New Roman" w:eastAsia="Times New Roman" w:hAnsi="Times New Roman" w:cs="Times New Roman"/>
          <w:b/>
          <w:bCs/>
        </w:rPr>
        <w:t xml:space="preserve"> </w:t>
      </w:r>
    </w:p>
    <w:p w:rsidR="00210B7A" w:rsidRPr="00210B7A" w:rsidRDefault="00210B7A" w:rsidP="00980876">
      <w:pPr>
        <w:widowControl w:val="0"/>
        <w:numPr>
          <w:ilvl w:val="0"/>
          <w:numId w:val="330"/>
        </w:numPr>
        <w:spacing w:before="120" w:after="120" w:line="240" w:lineRule="auto"/>
        <w:contextualSpacing/>
        <w:jc w:val="both"/>
        <w:rPr>
          <w:rFonts w:ascii="Times New Roman" w:eastAsia="Times New Roman" w:hAnsi="Times New Roman" w:cs="Times New Roman"/>
          <w:bCs/>
        </w:rPr>
      </w:pPr>
      <w:r w:rsidRPr="00210B7A">
        <w:rPr>
          <w:rFonts w:ascii="Times New Roman" w:eastAsia="Times New Roman" w:hAnsi="Times New Roman" w:cs="Times New Roman"/>
          <w:bCs/>
        </w:rPr>
        <w:t xml:space="preserve">Képes a szakterületén rendszeresített és használt berendezések és technikai eszközök műszakirajz-dokumentációinak olvasására. </w:t>
      </w:r>
    </w:p>
    <w:p w:rsidR="00210B7A" w:rsidRPr="00210B7A" w:rsidRDefault="00210B7A" w:rsidP="00980876">
      <w:pPr>
        <w:widowControl w:val="0"/>
        <w:numPr>
          <w:ilvl w:val="0"/>
          <w:numId w:val="330"/>
        </w:numPr>
        <w:spacing w:before="120" w:after="120" w:line="240" w:lineRule="auto"/>
        <w:contextualSpacing/>
        <w:jc w:val="both"/>
        <w:rPr>
          <w:rFonts w:ascii="Times New Roman" w:eastAsia="Times New Roman" w:hAnsi="Times New Roman" w:cs="Times New Roman"/>
          <w:bCs/>
        </w:rPr>
      </w:pPr>
      <w:r w:rsidRPr="00210B7A">
        <w:rPr>
          <w:rFonts w:ascii="Times New Roman" w:eastAsia="Times New Roman" w:hAnsi="Times New Roman" w:cs="Times New Roman"/>
          <w:bCs/>
        </w:rPr>
        <w:t xml:space="preserve">Képes a technológiai utasításokban fellelhető rajzi ábrázolások megértésére. </w:t>
      </w:r>
    </w:p>
    <w:p w:rsidR="00210B7A" w:rsidRPr="00210B7A" w:rsidRDefault="00210B7A" w:rsidP="00980876">
      <w:pPr>
        <w:widowControl w:val="0"/>
        <w:numPr>
          <w:ilvl w:val="0"/>
          <w:numId w:val="330"/>
        </w:numPr>
        <w:spacing w:before="120" w:after="120" w:line="240" w:lineRule="auto"/>
        <w:contextualSpacing/>
        <w:jc w:val="both"/>
        <w:rPr>
          <w:rFonts w:ascii="Times New Roman" w:eastAsia="Times New Roman" w:hAnsi="Times New Roman" w:cs="Times New Roman"/>
          <w:bCs/>
        </w:rPr>
      </w:pPr>
      <w:r w:rsidRPr="00210B7A">
        <w:rPr>
          <w:rFonts w:ascii="Times New Roman" w:eastAsia="Times New Roman" w:hAnsi="Times New Roman" w:cs="Times New Roman"/>
          <w:bCs/>
        </w:rPr>
        <w:t xml:space="preserve">Képes megkülönböztetni a szakterületén rendszeresített és használt berendezések és technikai eszközök rajzi dokumentációinak szabványait. </w:t>
      </w:r>
    </w:p>
    <w:p w:rsidR="00210B7A" w:rsidRPr="00210B7A" w:rsidRDefault="00210B7A" w:rsidP="00980876">
      <w:pPr>
        <w:widowControl w:val="0"/>
        <w:numPr>
          <w:ilvl w:val="0"/>
          <w:numId w:val="330"/>
        </w:numPr>
        <w:spacing w:before="120" w:after="120" w:line="240" w:lineRule="auto"/>
        <w:contextualSpacing/>
        <w:jc w:val="both"/>
        <w:rPr>
          <w:rFonts w:ascii="Times New Roman" w:eastAsia="Times New Roman" w:hAnsi="Times New Roman" w:cs="Times New Roman"/>
          <w:bCs/>
        </w:rPr>
      </w:pPr>
      <w:r w:rsidRPr="00210B7A">
        <w:rPr>
          <w:rFonts w:ascii="Times New Roman" w:eastAsia="Times New Roman" w:hAnsi="Times New Roman" w:cs="Times New Roman"/>
          <w:bCs/>
        </w:rPr>
        <w:t>Képes a metszeti ábrázolás, a géprajzi egyszerűsítések, a méretmegadás, a felületi érdesség, a tűrések és illesztések, továbbá a gépelemek ábrázolása, illetve a vetületek és áthatások szerkesztésére, metszetek rajzolására.</w:t>
      </w:r>
    </w:p>
    <w:p w:rsidR="00210B7A" w:rsidRPr="006B225A" w:rsidRDefault="00210B7A" w:rsidP="006B225A">
      <w:pPr>
        <w:widowControl w:val="0"/>
        <w:spacing w:before="240" w:after="0" w:line="240" w:lineRule="auto"/>
        <w:ind w:left="425"/>
        <w:jc w:val="both"/>
        <w:rPr>
          <w:rFonts w:ascii="Times New Roman" w:eastAsia="Times New Roman" w:hAnsi="Times New Roman" w:cs="Times New Roman"/>
          <w:b/>
          <w:bCs/>
        </w:rPr>
      </w:pPr>
      <w:r w:rsidRPr="00210B7A">
        <w:rPr>
          <w:rFonts w:ascii="Times New Roman" w:eastAsia="Times New Roman" w:hAnsi="Times New Roman" w:cs="Times New Roman"/>
          <w:b/>
          <w:bCs/>
        </w:rPr>
        <w:t>Attitűdje:</w:t>
      </w:r>
      <w:r w:rsidRPr="006B225A">
        <w:rPr>
          <w:rFonts w:ascii="Times New Roman" w:eastAsia="Times New Roman" w:hAnsi="Times New Roman" w:cs="Times New Roman"/>
          <w:b/>
          <w:bCs/>
        </w:rPr>
        <w:t xml:space="preserve"> </w:t>
      </w:r>
    </w:p>
    <w:p w:rsidR="00210B7A" w:rsidRPr="00210B7A" w:rsidRDefault="00210B7A" w:rsidP="00980876">
      <w:pPr>
        <w:widowControl w:val="0"/>
        <w:numPr>
          <w:ilvl w:val="0"/>
          <w:numId w:val="330"/>
        </w:numPr>
        <w:spacing w:before="120" w:after="120" w:line="240" w:lineRule="auto"/>
        <w:contextualSpacing/>
        <w:jc w:val="both"/>
        <w:rPr>
          <w:rFonts w:ascii="Times New Roman" w:eastAsia="Times New Roman" w:hAnsi="Times New Roman" w:cs="Times New Roman"/>
          <w:bCs/>
        </w:rPr>
      </w:pPr>
      <w:r w:rsidRPr="00210B7A">
        <w:rPr>
          <w:rFonts w:ascii="Times New Roman" w:eastAsia="Times New Roman" w:hAnsi="Times New Roman" w:cs="Times New Roman"/>
          <w:bCs/>
        </w:rPr>
        <w:t xml:space="preserve">Nyitott a műszaki ábrázolással kapcsolatos szakmai ismereteinek gyarapítása iránt, </w:t>
      </w:r>
      <w:r w:rsidRPr="00210B7A">
        <w:rPr>
          <w:rFonts w:ascii="Times New Roman" w:eastAsia="Times New Roman" w:hAnsi="Times New Roman" w:cs="Times New Roman"/>
          <w:bCs/>
        </w:rPr>
        <w:lastRenderedPageBreak/>
        <w:t xml:space="preserve">folyamatos önképzési igény jellemzi. </w:t>
      </w:r>
    </w:p>
    <w:p w:rsidR="00210B7A" w:rsidRPr="00210B7A" w:rsidRDefault="00210B7A" w:rsidP="00980876">
      <w:pPr>
        <w:widowControl w:val="0"/>
        <w:numPr>
          <w:ilvl w:val="0"/>
          <w:numId w:val="330"/>
        </w:numPr>
        <w:spacing w:before="120" w:after="120" w:line="240" w:lineRule="auto"/>
        <w:contextualSpacing/>
        <w:jc w:val="both"/>
        <w:rPr>
          <w:rFonts w:ascii="Times New Roman" w:eastAsia="Times New Roman" w:hAnsi="Times New Roman" w:cs="Times New Roman"/>
          <w:bCs/>
        </w:rPr>
      </w:pPr>
      <w:r w:rsidRPr="00210B7A">
        <w:rPr>
          <w:rFonts w:ascii="Times New Roman" w:eastAsia="Times New Roman" w:hAnsi="Times New Roman" w:cs="Times New Roman"/>
          <w:bCs/>
        </w:rPr>
        <w:t xml:space="preserve">Törekszik munkája során a vonatkozó rajzi szabványok megismerésére. </w:t>
      </w:r>
    </w:p>
    <w:p w:rsidR="00210B7A" w:rsidRPr="00210B7A" w:rsidRDefault="00210B7A" w:rsidP="00980876">
      <w:pPr>
        <w:widowControl w:val="0"/>
        <w:numPr>
          <w:ilvl w:val="0"/>
          <w:numId w:val="330"/>
        </w:numPr>
        <w:spacing w:before="120" w:after="120" w:line="240" w:lineRule="auto"/>
        <w:contextualSpacing/>
        <w:jc w:val="both"/>
        <w:rPr>
          <w:rFonts w:ascii="Times New Roman" w:eastAsia="Times New Roman" w:hAnsi="Times New Roman" w:cs="Times New Roman"/>
          <w:bCs/>
        </w:rPr>
      </w:pPr>
      <w:r w:rsidRPr="00210B7A">
        <w:rPr>
          <w:rFonts w:ascii="Times New Roman" w:eastAsia="Times New Roman" w:hAnsi="Times New Roman" w:cs="Times New Roman"/>
          <w:bCs/>
        </w:rPr>
        <w:t>Nyitott a haditechnikai szakterület új eredményei felé, törekszik azok megismerésére, különös tekintettel a síkbeli (háromnézeti) és térbeli (axonometrikus) alakzatok ábrázolására, áthatások szerkesztésére, és metszetek rajzolására.</w:t>
      </w:r>
    </w:p>
    <w:p w:rsidR="00210B7A" w:rsidRPr="006B225A" w:rsidRDefault="00210B7A" w:rsidP="006B225A">
      <w:pPr>
        <w:widowControl w:val="0"/>
        <w:spacing w:before="240" w:after="0" w:line="240" w:lineRule="auto"/>
        <w:ind w:left="425"/>
        <w:jc w:val="both"/>
        <w:rPr>
          <w:rFonts w:ascii="Times New Roman" w:eastAsia="Times New Roman" w:hAnsi="Times New Roman" w:cs="Times New Roman"/>
          <w:b/>
          <w:bCs/>
        </w:rPr>
      </w:pPr>
      <w:r w:rsidRPr="00210B7A">
        <w:rPr>
          <w:rFonts w:ascii="Times New Roman" w:eastAsia="Times New Roman" w:hAnsi="Times New Roman" w:cs="Times New Roman"/>
          <w:b/>
          <w:bCs/>
        </w:rPr>
        <w:t>Autonómiája és felelőssége:</w:t>
      </w:r>
      <w:r w:rsidRPr="006B225A">
        <w:rPr>
          <w:rFonts w:ascii="Times New Roman" w:eastAsia="Times New Roman" w:hAnsi="Times New Roman" w:cs="Times New Roman"/>
          <w:b/>
          <w:bCs/>
        </w:rPr>
        <w:t xml:space="preserve"> </w:t>
      </w:r>
    </w:p>
    <w:p w:rsidR="00210B7A" w:rsidRPr="00210B7A" w:rsidRDefault="00210B7A" w:rsidP="00980876">
      <w:pPr>
        <w:widowControl w:val="0"/>
        <w:numPr>
          <w:ilvl w:val="0"/>
          <w:numId w:val="330"/>
        </w:numPr>
        <w:spacing w:before="120" w:after="120" w:line="240" w:lineRule="auto"/>
        <w:contextualSpacing/>
        <w:jc w:val="both"/>
        <w:rPr>
          <w:rFonts w:ascii="Times New Roman" w:eastAsia="Times New Roman" w:hAnsi="Times New Roman" w:cs="Times New Roman"/>
          <w:bCs/>
        </w:rPr>
      </w:pPr>
      <w:r w:rsidRPr="00210B7A">
        <w:rPr>
          <w:rFonts w:ascii="Times New Roman" w:eastAsia="Times New Roman" w:hAnsi="Times New Roman" w:cs="Times New Roman"/>
          <w:bCs/>
        </w:rPr>
        <w:t xml:space="preserve">Képes alárendeltjeinek feladatait megszervezni és meghatározni, valamint elvégzett munkájukat szakmai szempontok alapján ellenőrizni. </w:t>
      </w:r>
    </w:p>
    <w:p w:rsidR="00210B7A" w:rsidRPr="00210B7A" w:rsidRDefault="00210B7A" w:rsidP="00980876">
      <w:pPr>
        <w:widowControl w:val="0"/>
        <w:numPr>
          <w:ilvl w:val="0"/>
          <w:numId w:val="330"/>
        </w:numPr>
        <w:spacing w:before="120" w:after="120" w:line="240" w:lineRule="auto"/>
        <w:contextualSpacing/>
        <w:jc w:val="both"/>
        <w:rPr>
          <w:rFonts w:ascii="Times New Roman" w:eastAsia="Times New Roman" w:hAnsi="Times New Roman" w:cs="Times New Roman"/>
          <w:bCs/>
        </w:rPr>
      </w:pPr>
      <w:r w:rsidRPr="00210B7A">
        <w:rPr>
          <w:rFonts w:ascii="Times New Roman" w:eastAsia="Times New Roman" w:hAnsi="Times New Roman" w:cs="Times New Roman"/>
          <w:bCs/>
        </w:rPr>
        <w:t xml:space="preserve">Együttműködés és felelősség jellemzi szakterületének szakembereivel szemben. </w:t>
      </w:r>
    </w:p>
    <w:p w:rsidR="00210B7A" w:rsidRPr="00210B7A" w:rsidRDefault="00210B7A" w:rsidP="00980876">
      <w:pPr>
        <w:widowControl w:val="0"/>
        <w:numPr>
          <w:ilvl w:val="0"/>
          <w:numId w:val="330"/>
        </w:numPr>
        <w:spacing w:before="120" w:after="120" w:line="240" w:lineRule="auto"/>
        <w:contextualSpacing/>
        <w:jc w:val="both"/>
        <w:rPr>
          <w:rFonts w:ascii="Times New Roman" w:eastAsia="Times New Roman" w:hAnsi="Times New Roman" w:cs="Times New Roman"/>
          <w:bCs/>
        </w:rPr>
      </w:pPr>
      <w:r w:rsidRPr="00210B7A">
        <w:rPr>
          <w:rFonts w:ascii="Times New Roman" w:eastAsia="Times New Roman" w:hAnsi="Times New Roman" w:cs="Times New Roman"/>
          <w:bCs/>
        </w:rPr>
        <w:t>Szakterületén belül képes rendszer-szemléletűen gondolkodni.</w:t>
      </w:r>
    </w:p>
    <w:p w:rsidR="00210B7A" w:rsidRPr="00210B7A" w:rsidRDefault="00210B7A" w:rsidP="006B225A">
      <w:pPr>
        <w:widowControl w:val="0"/>
        <w:spacing w:before="240" w:after="120" w:line="240" w:lineRule="auto"/>
        <w:ind w:left="425"/>
        <w:jc w:val="both"/>
        <w:rPr>
          <w:rFonts w:ascii="Times New Roman" w:eastAsia="Times New Roman" w:hAnsi="Times New Roman" w:cs="Times New Roman"/>
          <w:b/>
          <w:bCs/>
          <w:lang w:val="en-US"/>
        </w:rPr>
      </w:pPr>
      <w:r w:rsidRPr="00210B7A">
        <w:rPr>
          <w:rFonts w:ascii="Times New Roman" w:eastAsia="Times New Roman" w:hAnsi="Times New Roman" w:cs="Times New Roman"/>
          <w:b/>
          <w:bCs/>
        </w:rPr>
        <w:t>Elérendő kompetenciák (angolul) (</w:t>
      </w:r>
      <w:r w:rsidRPr="00210B7A">
        <w:rPr>
          <w:rFonts w:ascii="Times New Roman" w:eastAsia="Times New Roman" w:hAnsi="Times New Roman" w:cs="Times New Roman"/>
          <w:b/>
          <w:bCs/>
          <w:lang w:val="en-US"/>
        </w:rPr>
        <w:t xml:space="preserve">Competences – English): </w:t>
      </w:r>
    </w:p>
    <w:p w:rsidR="00210B7A" w:rsidRPr="006B225A" w:rsidRDefault="00210B7A" w:rsidP="006B225A">
      <w:pPr>
        <w:widowControl w:val="0"/>
        <w:spacing w:before="240" w:after="0" w:line="240" w:lineRule="auto"/>
        <w:ind w:left="425"/>
        <w:jc w:val="both"/>
        <w:rPr>
          <w:rFonts w:ascii="Times New Roman" w:eastAsia="Times New Roman" w:hAnsi="Times New Roman" w:cs="Times New Roman"/>
          <w:b/>
          <w:bCs/>
        </w:rPr>
      </w:pPr>
      <w:r w:rsidRPr="006B225A">
        <w:rPr>
          <w:rFonts w:ascii="Times New Roman" w:eastAsia="Times New Roman" w:hAnsi="Times New Roman" w:cs="Times New Roman"/>
          <w:b/>
          <w:bCs/>
        </w:rPr>
        <w:t xml:space="preserve">Knowledge: </w:t>
      </w:r>
    </w:p>
    <w:p w:rsidR="00210B7A" w:rsidRPr="00210B7A" w:rsidRDefault="00210B7A" w:rsidP="00980876">
      <w:pPr>
        <w:widowControl w:val="0"/>
        <w:numPr>
          <w:ilvl w:val="0"/>
          <w:numId w:val="330"/>
        </w:numPr>
        <w:spacing w:before="120" w:after="120" w:line="240" w:lineRule="auto"/>
        <w:contextualSpacing/>
        <w:jc w:val="both"/>
        <w:rPr>
          <w:rFonts w:ascii="Times New Roman" w:eastAsia="Times New Roman" w:hAnsi="Times New Roman" w:cs="Times New Roman"/>
          <w:lang w:val="en-GB"/>
        </w:rPr>
      </w:pPr>
      <w:r w:rsidRPr="00210B7A">
        <w:rPr>
          <w:rFonts w:ascii="Times New Roman" w:eastAsia="Times New Roman" w:hAnsi="Times New Roman" w:cs="Times New Roman"/>
          <w:bCs/>
        </w:rPr>
        <w:t xml:space="preserve">Knows the basic rules of cross section drawings. </w:t>
      </w:r>
    </w:p>
    <w:p w:rsidR="00210B7A" w:rsidRPr="00210B7A" w:rsidRDefault="00210B7A" w:rsidP="00980876">
      <w:pPr>
        <w:widowControl w:val="0"/>
        <w:numPr>
          <w:ilvl w:val="0"/>
          <w:numId w:val="330"/>
        </w:numPr>
        <w:spacing w:before="120" w:after="120" w:line="240" w:lineRule="auto"/>
        <w:contextualSpacing/>
        <w:jc w:val="both"/>
        <w:rPr>
          <w:rFonts w:ascii="Times New Roman" w:eastAsia="Times New Roman" w:hAnsi="Times New Roman" w:cs="Times New Roman"/>
          <w:lang w:val="en-GB"/>
        </w:rPr>
      </w:pPr>
      <w:r w:rsidRPr="00210B7A">
        <w:rPr>
          <w:rFonts w:ascii="Times New Roman" w:eastAsia="Times New Roman" w:hAnsi="Times New Roman" w:cs="Times New Roman"/>
          <w:bCs/>
        </w:rPr>
        <w:t xml:space="preserve">Knows and is able to apply </w:t>
      </w:r>
      <w:r w:rsidRPr="00210B7A">
        <w:rPr>
          <w:rFonts w:ascii="Times New Roman" w:eastAsia="Times New Roman" w:hAnsi="Times New Roman" w:cs="Times New Roman"/>
          <w:bCs/>
          <w:lang w:eastAsia="hu-HU"/>
        </w:rPr>
        <w:t xml:space="preserve">tehe types, variations </w:t>
      </w:r>
      <w:r w:rsidRPr="00210B7A">
        <w:rPr>
          <w:rFonts w:ascii="Times New Roman" w:eastAsia="Times New Roman" w:hAnsi="Times New Roman" w:cs="Times New Roman"/>
          <w:bCs/>
        </w:rPr>
        <w:t xml:space="preserve">of the simplification in the </w:t>
      </w:r>
      <w:r w:rsidRPr="00210B7A">
        <w:rPr>
          <w:rFonts w:ascii="Times New Roman" w:eastAsia="Times New Roman" w:hAnsi="Times New Roman" w:cs="Times New Roman"/>
          <w:bCs/>
          <w:lang w:eastAsia="hu-HU"/>
        </w:rPr>
        <w:t xml:space="preserve">technical draws. </w:t>
      </w:r>
    </w:p>
    <w:p w:rsidR="00210B7A" w:rsidRPr="00210B7A" w:rsidRDefault="00210B7A" w:rsidP="00980876">
      <w:pPr>
        <w:widowControl w:val="0"/>
        <w:numPr>
          <w:ilvl w:val="0"/>
          <w:numId w:val="330"/>
        </w:numPr>
        <w:spacing w:before="120" w:after="120" w:line="240" w:lineRule="auto"/>
        <w:contextualSpacing/>
        <w:jc w:val="both"/>
        <w:rPr>
          <w:rFonts w:ascii="Times New Roman" w:eastAsia="Times New Roman" w:hAnsi="Times New Roman" w:cs="Times New Roman"/>
          <w:lang w:val="en-GB"/>
        </w:rPr>
      </w:pPr>
      <w:r w:rsidRPr="00210B7A">
        <w:rPr>
          <w:rFonts w:ascii="Times New Roman" w:eastAsia="Times New Roman" w:hAnsi="Times New Roman" w:cs="Times New Roman"/>
          <w:bCs/>
        </w:rPr>
        <w:t xml:space="preserve">Knows the range of dimension makeing. </w:t>
      </w:r>
    </w:p>
    <w:p w:rsidR="00210B7A" w:rsidRPr="00210B7A" w:rsidRDefault="00210B7A" w:rsidP="00980876">
      <w:pPr>
        <w:widowControl w:val="0"/>
        <w:numPr>
          <w:ilvl w:val="0"/>
          <w:numId w:val="330"/>
        </w:numPr>
        <w:spacing w:before="120" w:after="120" w:line="240" w:lineRule="auto"/>
        <w:contextualSpacing/>
        <w:jc w:val="both"/>
        <w:rPr>
          <w:rFonts w:ascii="Times New Roman" w:eastAsia="Times New Roman" w:hAnsi="Times New Roman" w:cs="Times New Roman"/>
          <w:lang w:val="en-GB"/>
        </w:rPr>
      </w:pPr>
      <w:r w:rsidRPr="00210B7A">
        <w:rPr>
          <w:rFonts w:ascii="Times New Roman" w:eastAsia="Times New Roman" w:hAnsi="Times New Roman" w:cs="Times New Roman"/>
          <w:bCs/>
        </w:rPr>
        <w:t xml:space="preserve">Knows how to sign tolerance, joins. </w:t>
      </w:r>
    </w:p>
    <w:p w:rsidR="00210B7A" w:rsidRPr="00210B7A" w:rsidRDefault="00210B7A" w:rsidP="00980876">
      <w:pPr>
        <w:widowControl w:val="0"/>
        <w:numPr>
          <w:ilvl w:val="0"/>
          <w:numId w:val="330"/>
        </w:numPr>
        <w:spacing w:before="120" w:after="120" w:line="240" w:lineRule="auto"/>
        <w:contextualSpacing/>
        <w:jc w:val="both"/>
        <w:rPr>
          <w:rFonts w:ascii="Times New Roman" w:eastAsia="Times New Roman" w:hAnsi="Times New Roman" w:cs="Times New Roman"/>
          <w:lang w:val="en-GB"/>
        </w:rPr>
      </w:pPr>
      <w:r w:rsidRPr="00210B7A">
        <w:rPr>
          <w:rFonts w:ascii="Times New Roman" w:eastAsia="Times New Roman" w:hAnsi="Times New Roman" w:cs="Times New Roman"/>
          <w:bCs/>
        </w:rPr>
        <w:t xml:space="preserve">Knows the structure of the </w:t>
      </w:r>
      <w:r w:rsidRPr="00210B7A">
        <w:rPr>
          <w:rFonts w:ascii="Times New Roman" w:eastAsia="Times New Roman" w:hAnsi="Times New Roman" w:cs="Times New Roman"/>
          <w:bCs/>
          <w:lang w:eastAsia="hu-HU"/>
        </w:rPr>
        <w:t xml:space="preserve">tolerances and joins indication. </w:t>
      </w:r>
    </w:p>
    <w:p w:rsidR="00210B7A" w:rsidRPr="00210B7A" w:rsidRDefault="00210B7A" w:rsidP="00980876">
      <w:pPr>
        <w:widowControl w:val="0"/>
        <w:numPr>
          <w:ilvl w:val="0"/>
          <w:numId w:val="330"/>
        </w:numPr>
        <w:spacing w:before="120" w:after="120" w:line="240" w:lineRule="auto"/>
        <w:contextualSpacing/>
        <w:jc w:val="both"/>
        <w:rPr>
          <w:rFonts w:ascii="Times New Roman" w:eastAsia="Times New Roman" w:hAnsi="Times New Roman" w:cs="Times New Roman"/>
          <w:lang w:val="en-GB"/>
        </w:rPr>
      </w:pPr>
      <w:r w:rsidRPr="00210B7A">
        <w:rPr>
          <w:rFonts w:ascii="Times New Roman" w:eastAsia="Times New Roman" w:hAnsi="Times New Roman" w:cs="Times New Roman"/>
          <w:bCs/>
        </w:rPr>
        <w:t>Possesses knowledge of adequate depth and spectrum representation and drawing of machine parts</w:t>
      </w:r>
      <w:r w:rsidRPr="00210B7A">
        <w:rPr>
          <w:rFonts w:ascii="Times New Roman" w:eastAsia="Times New Roman" w:hAnsi="Times New Roman" w:cs="Times New Roman"/>
          <w:bCs/>
          <w:lang w:eastAsia="hu-HU"/>
        </w:rPr>
        <w:t xml:space="preserve"> by section-drawing.</w:t>
      </w:r>
    </w:p>
    <w:p w:rsidR="00210B7A" w:rsidRPr="006B225A" w:rsidRDefault="00210B7A" w:rsidP="006B225A">
      <w:pPr>
        <w:widowControl w:val="0"/>
        <w:spacing w:before="240" w:after="0" w:line="240" w:lineRule="auto"/>
        <w:ind w:left="425"/>
        <w:jc w:val="both"/>
        <w:rPr>
          <w:rFonts w:ascii="Times New Roman" w:eastAsia="Times New Roman" w:hAnsi="Times New Roman" w:cs="Times New Roman"/>
          <w:b/>
          <w:bCs/>
        </w:rPr>
      </w:pPr>
      <w:r w:rsidRPr="006B225A">
        <w:rPr>
          <w:rFonts w:ascii="Times New Roman" w:eastAsia="Times New Roman" w:hAnsi="Times New Roman" w:cs="Times New Roman"/>
          <w:b/>
          <w:bCs/>
        </w:rPr>
        <w:t xml:space="preserve">Capabilities: </w:t>
      </w:r>
    </w:p>
    <w:p w:rsidR="00210B7A" w:rsidRPr="00210B7A" w:rsidRDefault="00210B7A" w:rsidP="00980876">
      <w:pPr>
        <w:widowControl w:val="0"/>
        <w:numPr>
          <w:ilvl w:val="0"/>
          <w:numId w:val="330"/>
        </w:numPr>
        <w:spacing w:before="120" w:after="120" w:line="240" w:lineRule="auto"/>
        <w:contextualSpacing/>
        <w:jc w:val="both"/>
        <w:rPr>
          <w:rFonts w:ascii="Times New Roman" w:eastAsia="Times New Roman" w:hAnsi="Times New Roman" w:cs="Times New Roman"/>
          <w:bCs/>
        </w:rPr>
      </w:pPr>
      <w:r w:rsidRPr="00210B7A">
        <w:rPr>
          <w:rFonts w:ascii="Times New Roman" w:eastAsia="Times New Roman" w:hAnsi="Times New Roman" w:cs="Times New Roman"/>
          <w:bCs/>
        </w:rPr>
        <w:t xml:space="preserve">Is capable of using the basic rules of cross section drawings. </w:t>
      </w:r>
    </w:p>
    <w:p w:rsidR="00210B7A" w:rsidRPr="00210B7A" w:rsidRDefault="00210B7A" w:rsidP="00980876">
      <w:pPr>
        <w:widowControl w:val="0"/>
        <w:numPr>
          <w:ilvl w:val="0"/>
          <w:numId w:val="330"/>
        </w:numPr>
        <w:spacing w:before="120" w:after="120" w:line="240" w:lineRule="auto"/>
        <w:contextualSpacing/>
        <w:jc w:val="both"/>
        <w:rPr>
          <w:rFonts w:ascii="Times New Roman" w:eastAsia="Times New Roman" w:hAnsi="Times New Roman" w:cs="Times New Roman"/>
          <w:bCs/>
        </w:rPr>
      </w:pPr>
      <w:r w:rsidRPr="00210B7A">
        <w:rPr>
          <w:rFonts w:ascii="Times New Roman" w:eastAsia="Times New Roman" w:hAnsi="Times New Roman" w:cs="Times New Roman"/>
          <w:bCs/>
        </w:rPr>
        <w:t xml:space="preserve">Is capable of applying tehe types, variations of the simplification in the technical draws. </w:t>
      </w:r>
    </w:p>
    <w:p w:rsidR="00210B7A" w:rsidRPr="00210B7A" w:rsidRDefault="00210B7A" w:rsidP="00980876">
      <w:pPr>
        <w:widowControl w:val="0"/>
        <w:numPr>
          <w:ilvl w:val="0"/>
          <w:numId w:val="330"/>
        </w:numPr>
        <w:spacing w:before="120" w:after="120" w:line="240" w:lineRule="auto"/>
        <w:contextualSpacing/>
        <w:jc w:val="both"/>
        <w:rPr>
          <w:rFonts w:ascii="Times New Roman" w:eastAsia="Times New Roman" w:hAnsi="Times New Roman" w:cs="Times New Roman"/>
          <w:bCs/>
        </w:rPr>
      </w:pPr>
      <w:r w:rsidRPr="00210B7A">
        <w:rPr>
          <w:rFonts w:ascii="Times New Roman" w:eastAsia="Times New Roman" w:hAnsi="Times New Roman" w:cs="Times New Roman"/>
          <w:bCs/>
        </w:rPr>
        <w:t xml:space="preserve">Is capable of using the dimension makeing. </w:t>
      </w:r>
    </w:p>
    <w:p w:rsidR="00210B7A" w:rsidRPr="00210B7A" w:rsidRDefault="00210B7A" w:rsidP="00980876">
      <w:pPr>
        <w:widowControl w:val="0"/>
        <w:numPr>
          <w:ilvl w:val="0"/>
          <w:numId w:val="330"/>
        </w:numPr>
        <w:spacing w:before="120" w:after="120" w:line="240" w:lineRule="auto"/>
        <w:contextualSpacing/>
        <w:jc w:val="both"/>
        <w:rPr>
          <w:rFonts w:ascii="Times New Roman" w:eastAsia="Times New Roman" w:hAnsi="Times New Roman" w:cs="Times New Roman"/>
          <w:bCs/>
        </w:rPr>
      </w:pPr>
      <w:r w:rsidRPr="00210B7A">
        <w:rPr>
          <w:rFonts w:ascii="Times New Roman" w:eastAsia="Times New Roman" w:hAnsi="Times New Roman" w:cs="Times New Roman"/>
          <w:bCs/>
        </w:rPr>
        <w:t xml:space="preserve">Is capable of recogniseing the sign of tolerance and joins. </w:t>
      </w:r>
    </w:p>
    <w:p w:rsidR="00210B7A" w:rsidRPr="00210B7A" w:rsidRDefault="00210B7A" w:rsidP="00980876">
      <w:pPr>
        <w:widowControl w:val="0"/>
        <w:numPr>
          <w:ilvl w:val="0"/>
          <w:numId w:val="330"/>
        </w:numPr>
        <w:spacing w:before="120" w:after="120" w:line="240" w:lineRule="auto"/>
        <w:contextualSpacing/>
        <w:jc w:val="both"/>
        <w:rPr>
          <w:rFonts w:ascii="Times New Roman" w:eastAsia="Times New Roman" w:hAnsi="Times New Roman" w:cs="Times New Roman"/>
          <w:bCs/>
        </w:rPr>
      </w:pPr>
      <w:r w:rsidRPr="00210B7A">
        <w:rPr>
          <w:rFonts w:ascii="Times New Roman" w:eastAsia="Times New Roman" w:hAnsi="Times New Roman" w:cs="Times New Roman"/>
          <w:bCs/>
        </w:rPr>
        <w:t xml:space="preserve">Is capable using the structure of the tolerances and joins indication. </w:t>
      </w:r>
    </w:p>
    <w:p w:rsidR="00210B7A" w:rsidRPr="00210B7A" w:rsidRDefault="00210B7A" w:rsidP="00980876">
      <w:pPr>
        <w:widowControl w:val="0"/>
        <w:numPr>
          <w:ilvl w:val="0"/>
          <w:numId w:val="330"/>
        </w:numPr>
        <w:spacing w:before="120" w:after="120" w:line="240" w:lineRule="auto"/>
        <w:contextualSpacing/>
        <w:jc w:val="both"/>
        <w:rPr>
          <w:rFonts w:ascii="Times New Roman" w:eastAsia="Times New Roman" w:hAnsi="Times New Roman" w:cs="Times New Roman"/>
          <w:bCs/>
        </w:rPr>
      </w:pPr>
      <w:r w:rsidRPr="00210B7A">
        <w:rPr>
          <w:rFonts w:ascii="Times New Roman" w:eastAsia="Times New Roman" w:hAnsi="Times New Roman" w:cs="Times New Roman"/>
          <w:bCs/>
        </w:rPr>
        <w:t>Is capable of drawing the sections of the machine parts.</w:t>
      </w:r>
    </w:p>
    <w:p w:rsidR="00210B7A" w:rsidRPr="006B225A" w:rsidRDefault="00210B7A" w:rsidP="006B225A">
      <w:pPr>
        <w:widowControl w:val="0"/>
        <w:spacing w:before="240" w:after="0" w:line="240" w:lineRule="auto"/>
        <w:ind w:left="425"/>
        <w:jc w:val="both"/>
        <w:rPr>
          <w:rFonts w:ascii="Times New Roman" w:eastAsia="Times New Roman" w:hAnsi="Times New Roman" w:cs="Times New Roman"/>
          <w:b/>
          <w:bCs/>
        </w:rPr>
      </w:pPr>
      <w:r w:rsidRPr="006B225A">
        <w:rPr>
          <w:rFonts w:ascii="Times New Roman" w:eastAsia="Times New Roman" w:hAnsi="Times New Roman" w:cs="Times New Roman"/>
          <w:b/>
          <w:bCs/>
        </w:rPr>
        <w:t xml:space="preserve">Attitude: </w:t>
      </w:r>
    </w:p>
    <w:p w:rsidR="00210B7A" w:rsidRPr="00210B7A" w:rsidRDefault="00210B7A" w:rsidP="00980876">
      <w:pPr>
        <w:numPr>
          <w:ilvl w:val="0"/>
          <w:numId w:val="3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lang w:eastAsia="hu-HU"/>
        </w:rPr>
      </w:pPr>
      <w:r w:rsidRPr="00210B7A">
        <w:rPr>
          <w:rFonts w:ascii="Times New Roman" w:eastAsia="Times New Roman" w:hAnsi="Times New Roman" w:cs="Times New Roman"/>
        </w:rPr>
        <w:t>He/she is open to widen his/her knowledge regarding</w:t>
      </w:r>
      <w:r w:rsidRPr="00210B7A">
        <w:rPr>
          <w:rFonts w:ascii="Calibri" w:eastAsia="Calibri" w:hAnsi="Calibri" w:cs="Times New Roman"/>
        </w:rPr>
        <w:t xml:space="preserve"> </w:t>
      </w:r>
      <w:r w:rsidRPr="00210B7A">
        <w:rPr>
          <w:rFonts w:ascii="Times New Roman" w:eastAsia="Times New Roman" w:hAnsi="Times New Roman" w:cs="Times New Roman"/>
        </w:rPr>
        <w:t xml:space="preserve">the basic rules of cross section drawings. </w:t>
      </w:r>
    </w:p>
    <w:p w:rsidR="00210B7A" w:rsidRPr="00210B7A" w:rsidRDefault="00210B7A" w:rsidP="00980876">
      <w:pPr>
        <w:numPr>
          <w:ilvl w:val="0"/>
          <w:numId w:val="3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lang w:eastAsia="hu-HU"/>
        </w:rPr>
      </w:pPr>
      <w:r w:rsidRPr="00210B7A">
        <w:rPr>
          <w:rFonts w:ascii="Times New Roman" w:eastAsia="Times New Roman" w:hAnsi="Times New Roman" w:cs="Times New Roman"/>
        </w:rPr>
        <w:t xml:space="preserve">He/she aims to adhere to the knowledge of </w:t>
      </w:r>
      <w:r w:rsidRPr="00210B7A">
        <w:rPr>
          <w:rFonts w:ascii="Times New Roman" w:eastAsia="Times New Roman" w:hAnsi="Times New Roman" w:cs="Times New Roman"/>
          <w:bCs/>
        </w:rPr>
        <w:t>the simplification in the technical draws</w:t>
      </w:r>
      <w:r w:rsidRPr="00210B7A">
        <w:rPr>
          <w:rFonts w:ascii="Times New Roman" w:eastAsia="Times New Roman" w:hAnsi="Times New Roman" w:cs="Times New Roman"/>
          <w:bCs/>
          <w:lang w:eastAsia="hu-HU"/>
        </w:rPr>
        <w:t xml:space="preserve">. </w:t>
      </w:r>
    </w:p>
    <w:p w:rsidR="00210B7A" w:rsidRPr="00210B7A" w:rsidRDefault="00210B7A" w:rsidP="00980876">
      <w:pPr>
        <w:numPr>
          <w:ilvl w:val="0"/>
          <w:numId w:val="3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lang w:eastAsia="hu-HU"/>
        </w:rPr>
      </w:pPr>
      <w:r w:rsidRPr="00210B7A">
        <w:rPr>
          <w:rFonts w:ascii="Times New Roman" w:eastAsia="Times New Roman" w:hAnsi="Times New Roman" w:cs="Times New Roman"/>
        </w:rPr>
        <w:t xml:space="preserve">His/her work and relationships can be described by loyalty and reliability. </w:t>
      </w:r>
    </w:p>
    <w:p w:rsidR="00210B7A" w:rsidRPr="00210B7A" w:rsidRDefault="00210B7A" w:rsidP="00980876">
      <w:pPr>
        <w:numPr>
          <w:ilvl w:val="0"/>
          <w:numId w:val="3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lang w:eastAsia="hu-HU"/>
        </w:rPr>
      </w:pPr>
      <w:r w:rsidRPr="00210B7A">
        <w:rPr>
          <w:rFonts w:ascii="Times New Roman" w:eastAsia="Times New Roman" w:hAnsi="Times New Roman" w:cs="Times New Roman"/>
        </w:rPr>
        <w:t xml:space="preserve">He/she is open towards the new accomplishments of military technology and aims to gain knowledge of these, </w:t>
      </w:r>
      <w:r w:rsidRPr="00210B7A">
        <w:rPr>
          <w:rFonts w:ascii="Times New Roman" w:eastAsia="Times New Roman" w:hAnsi="Times New Roman" w:cs="Times New Roman"/>
          <w:bCs/>
          <w:lang w:eastAsia="hu-HU"/>
        </w:rPr>
        <w:t xml:space="preserve">especially </w:t>
      </w:r>
      <w:r w:rsidRPr="00210B7A">
        <w:rPr>
          <w:rFonts w:ascii="Times New Roman" w:eastAsia="Times New Roman" w:hAnsi="Times New Roman" w:cs="Times New Roman"/>
          <w:bCs/>
        </w:rPr>
        <w:t>use the dimension makeing,</w:t>
      </w:r>
      <w:r w:rsidRPr="00210B7A">
        <w:rPr>
          <w:rFonts w:ascii="Times New Roman" w:eastAsia="Times New Roman" w:hAnsi="Times New Roman" w:cs="Times New Roman"/>
          <w:bCs/>
          <w:lang w:eastAsia="hu-HU"/>
        </w:rPr>
        <w:t xml:space="preserve"> drawing</w:t>
      </w:r>
      <w:r w:rsidRPr="00210B7A">
        <w:rPr>
          <w:rFonts w:ascii="Times New Roman" w:eastAsia="Times New Roman" w:hAnsi="Times New Roman" w:cs="Times New Roman"/>
          <w:bCs/>
        </w:rPr>
        <w:t>.</w:t>
      </w:r>
    </w:p>
    <w:p w:rsidR="00210B7A" w:rsidRPr="006B225A" w:rsidRDefault="00210B7A" w:rsidP="006B225A">
      <w:pPr>
        <w:widowControl w:val="0"/>
        <w:spacing w:before="240" w:after="0" w:line="240" w:lineRule="auto"/>
        <w:ind w:left="425"/>
        <w:jc w:val="both"/>
        <w:rPr>
          <w:rFonts w:ascii="Times New Roman" w:eastAsia="Times New Roman" w:hAnsi="Times New Roman" w:cs="Times New Roman"/>
          <w:b/>
          <w:bCs/>
        </w:rPr>
      </w:pPr>
      <w:r w:rsidRPr="006B225A">
        <w:rPr>
          <w:rFonts w:ascii="Times New Roman" w:eastAsia="Times New Roman" w:hAnsi="Times New Roman" w:cs="Times New Roman"/>
          <w:b/>
          <w:bCs/>
        </w:rPr>
        <w:t xml:space="preserve">Autonomy and responsibility: </w:t>
      </w:r>
    </w:p>
    <w:p w:rsidR="00210B7A" w:rsidRPr="00210B7A" w:rsidRDefault="00210B7A" w:rsidP="00980876">
      <w:pPr>
        <w:widowControl w:val="0"/>
        <w:numPr>
          <w:ilvl w:val="0"/>
          <w:numId w:val="330"/>
        </w:numPr>
        <w:spacing w:before="120" w:after="120" w:line="240" w:lineRule="auto"/>
        <w:contextualSpacing/>
        <w:jc w:val="both"/>
        <w:rPr>
          <w:rFonts w:ascii="Times New Roman" w:eastAsia="Times New Roman" w:hAnsi="Times New Roman" w:cs="Times New Roman"/>
          <w:lang w:val="en-GB"/>
        </w:rPr>
      </w:pPr>
      <w:r w:rsidRPr="00210B7A">
        <w:rPr>
          <w:rFonts w:ascii="Times New Roman" w:eastAsia="Times New Roman" w:hAnsi="Times New Roman" w:cs="Times New Roman"/>
        </w:rPr>
        <w:t>Is capable of</w:t>
      </w:r>
      <w:r w:rsidRPr="00210B7A">
        <w:rPr>
          <w:rFonts w:ascii="Times New Roman" w:eastAsia="Calibri" w:hAnsi="Times New Roman" w:cs="Times New Roman"/>
        </w:rPr>
        <w:t xml:space="preserve"> </w:t>
      </w:r>
      <w:r w:rsidRPr="00210B7A">
        <w:rPr>
          <w:rFonts w:ascii="Times New Roman" w:eastAsia="Times New Roman" w:hAnsi="Times New Roman" w:cs="Times New Roman"/>
        </w:rPr>
        <w:t xml:space="preserve">distinguish </w:t>
      </w:r>
      <w:r w:rsidRPr="00210B7A">
        <w:rPr>
          <w:rFonts w:ascii="Times New Roman" w:eastAsia="Times New Roman" w:hAnsi="Times New Roman" w:cs="Times New Roman"/>
          <w:bCs/>
          <w:lang w:eastAsia="hu-HU"/>
        </w:rPr>
        <w:t>the types, variations and species of technical draws</w:t>
      </w:r>
      <w:r w:rsidRPr="00210B7A">
        <w:rPr>
          <w:rFonts w:ascii="Times New Roman" w:eastAsia="Times New Roman" w:hAnsi="Times New Roman" w:cs="Times New Roman"/>
        </w:rPr>
        <w:t xml:space="preserve"> </w:t>
      </w:r>
      <w:r w:rsidRPr="00210B7A">
        <w:rPr>
          <w:rFonts w:ascii="Times New Roman" w:eastAsia="Times New Roman" w:hAnsi="Times New Roman" w:cs="Times New Roman"/>
          <w:bCs/>
          <w:lang w:eastAsia="hu-HU"/>
        </w:rPr>
        <w:t xml:space="preserve">and cross section drawings. </w:t>
      </w:r>
    </w:p>
    <w:p w:rsidR="00210B7A" w:rsidRPr="00210B7A" w:rsidRDefault="00210B7A" w:rsidP="00980876">
      <w:pPr>
        <w:widowControl w:val="0"/>
        <w:numPr>
          <w:ilvl w:val="0"/>
          <w:numId w:val="330"/>
        </w:numPr>
        <w:spacing w:before="120" w:after="120" w:line="240" w:lineRule="auto"/>
        <w:contextualSpacing/>
        <w:jc w:val="both"/>
        <w:rPr>
          <w:rFonts w:ascii="Times New Roman" w:eastAsia="Times New Roman" w:hAnsi="Times New Roman" w:cs="Times New Roman"/>
          <w:lang w:val="en-GB"/>
        </w:rPr>
      </w:pPr>
      <w:r w:rsidRPr="00210B7A">
        <w:rPr>
          <w:rFonts w:ascii="Times New Roman" w:eastAsia="Times New Roman" w:hAnsi="Times New Roman" w:cs="Times New Roman"/>
        </w:rPr>
        <w:t xml:space="preserve">He/she is capable of making </w:t>
      </w:r>
      <w:r w:rsidRPr="00210B7A">
        <w:rPr>
          <w:rFonts w:ascii="Times New Roman" w:eastAsia="Times New Roman" w:hAnsi="Times New Roman" w:cs="Times New Roman"/>
          <w:bCs/>
          <w:lang w:eastAsia="hu-HU"/>
        </w:rPr>
        <w:t xml:space="preserve">the drawing in dimension. </w:t>
      </w:r>
    </w:p>
    <w:p w:rsidR="00210B7A" w:rsidRPr="00210B7A" w:rsidRDefault="00210B7A" w:rsidP="00980876">
      <w:pPr>
        <w:widowControl w:val="0"/>
        <w:numPr>
          <w:ilvl w:val="0"/>
          <w:numId w:val="330"/>
        </w:numPr>
        <w:spacing w:before="120" w:after="120" w:line="240" w:lineRule="auto"/>
        <w:contextualSpacing/>
        <w:jc w:val="both"/>
        <w:rPr>
          <w:rFonts w:ascii="Times New Roman" w:eastAsia="Times New Roman" w:hAnsi="Times New Roman" w:cs="Times New Roman"/>
          <w:lang w:val="en-GB"/>
        </w:rPr>
      </w:pPr>
      <w:r w:rsidRPr="00210B7A">
        <w:rPr>
          <w:rFonts w:ascii="Times New Roman" w:eastAsia="Times New Roman" w:hAnsi="Times New Roman" w:cs="Times New Roman"/>
        </w:rPr>
        <w:t xml:space="preserve">He/she is cooperative and responsible towards the professionals of his/her field. </w:t>
      </w:r>
    </w:p>
    <w:p w:rsidR="00210B7A" w:rsidRPr="00210B7A" w:rsidRDefault="00210B7A" w:rsidP="00980876">
      <w:pPr>
        <w:widowControl w:val="0"/>
        <w:numPr>
          <w:ilvl w:val="0"/>
          <w:numId w:val="330"/>
        </w:numPr>
        <w:spacing w:before="120" w:after="120" w:line="240" w:lineRule="auto"/>
        <w:contextualSpacing/>
        <w:jc w:val="both"/>
        <w:rPr>
          <w:rFonts w:ascii="Times New Roman" w:eastAsia="Times New Roman" w:hAnsi="Times New Roman" w:cs="Times New Roman"/>
          <w:lang w:val="en-GB"/>
        </w:rPr>
      </w:pPr>
      <w:r w:rsidRPr="00210B7A">
        <w:rPr>
          <w:rFonts w:ascii="Times New Roman" w:eastAsia="Times New Roman" w:hAnsi="Times New Roman" w:cs="Times New Roman"/>
        </w:rPr>
        <w:t>Is capable of thinking in a system approach within his/her own field.</w:t>
      </w:r>
    </w:p>
    <w:p w:rsidR="00210B7A" w:rsidRPr="00210B7A" w:rsidRDefault="00210B7A" w:rsidP="00980876">
      <w:pPr>
        <w:widowControl w:val="0"/>
        <w:numPr>
          <w:ilvl w:val="0"/>
          <w:numId w:val="634"/>
        </w:numPr>
        <w:tabs>
          <w:tab w:val="num" w:pos="567"/>
        </w:tabs>
        <w:spacing w:before="120" w:after="120" w:line="240" w:lineRule="auto"/>
        <w:ind w:left="426" w:hanging="142"/>
        <w:jc w:val="both"/>
        <w:rPr>
          <w:rFonts w:ascii="Times New Roman" w:eastAsia="Times New Roman" w:hAnsi="Times New Roman" w:cs="Times New Roman"/>
          <w:bCs/>
        </w:rPr>
      </w:pPr>
      <w:r w:rsidRPr="00210B7A">
        <w:rPr>
          <w:rFonts w:ascii="Times New Roman" w:eastAsia="Times New Roman" w:hAnsi="Times New Roman" w:cs="Times New Roman"/>
          <w:b/>
          <w:bCs/>
        </w:rPr>
        <w:t xml:space="preserve">Előtanulmányi követelmények: </w:t>
      </w:r>
      <w:r w:rsidRPr="00210B7A">
        <w:rPr>
          <w:rFonts w:ascii="Times New Roman" w:eastAsia="Times New Roman" w:hAnsi="Times New Roman" w:cs="Times New Roman"/>
          <w:bCs/>
        </w:rPr>
        <w:t>-</w:t>
      </w:r>
    </w:p>
    <w:p w:rsidR="00210B7A" w:rsidRPr="00210B7A" w:rsidRDefault="00210B7A" w:rsidP="00980876">
      <w:pPr>
        <w:widowControl w:val="0"/>
        <w:numPr>
          <w:ilvl w:val="0"/>
          <w:numId w:val="634"/>
        </w:numPr>
        <w:spacing w:before="120" w:after="120" w:line="240" w:lineRule="auto"/>
        <w:ind w:left="426" w:hanging="142"/>
        <w:jc w:val="both"/>
        <w:rPr>
          <w:rFonts w:ascii="Times New Roman" w:eastAsia="Times New Roman" w:hAnsi="Times New Roman" w:cs="Times New Roman"/>
          <w:b/>
          <w:bCs/>
        </w:rPr>
      </w:pPr>
      <w:r w:rsidRPr="00210B7A">
        <w:rPr>
          <w:rFonts w:ascii="Times New Roman" w:eastAsia="Times New Roman" w:hAnsi="Times New Roman" w:cs="Times New Roman"/>
          <w:b/>
          <w:bCs/>
        </w:rPr>
        <w:t>A tantárgy tananyagának leírása, tematika. Description of the subject, curriculum (magyarul, angolul - English):</w:t>
      </w:r>
    </w:p>
    <w:p w:rsidR="00210B7A" w:rsidRPr="00210B7A" w:rsidRDefault="00210B7A" w:rsidP="00980876">
      <w:pPr>
        <w:widowControl w:val="0"/>
        <w:numPr>
          <w:ilvl w:val="1"/>
          <w:numId w:val="634"/>
        </w:numPr>
        <w:spacing w:after="0" w:line="240" w:lineRule="auto"/>
        <w:ind w:left="1134" w:hanging="709"/>
        <w:jc w:val="both"/>
        <w:rPr>
          <w:rFonts w:ascii="Times New Roman" w:eastAsia="Times New Roman" w:hAnsi="Times New Roman" w:cs="Times New Roman"/>
          <w:b/>
        </w:rPr>
      </w:pPr>
      <w:r w:rsidRPr="00210B7A">
        <w:rPr>
          <w:rFonts w:ascii="Times New Roman" w:eastAsia="Times New Roman" w:hAnsi="Times New Roman" w:cs="Times New Roman"/>
          <w:bCs/>
        </w:rPr>
        <w:t xml:space="preserve">A műszaki ábrázolás egyes fogalmai. </w:t>
      </w:r>
      <w:r w:rsidRPr="00210B7A">
        <w:rPr>
          <w:rFonts w:ascii="Times New Roman" w:eastAsia="Times New Roman" w:hAnsi="Times New Roman" w:cs="Times New Roman"/>
        </w:rPr>
        <w:t>(</w:t>
      </w:r>
      <w:r w:rsidRPr="00210B7A">
        <w:rPr>
          <w:rFonts w:ascii="Times New Roman" w:eastAsia="Times New Roman" w:hAnsi="Times New Roman" w:cs="Times New Roman"/>
          <w:i/>
        </w:rPr>
        <w:t>T</w:t>
      </w:r>
      <w:r w:rsidRPr="00210B7A">
        <w:rPr>
          <w:rFonts w:ascii="Times New Roman" w:eastAsia="Times New Roman" w:hAnsi="Times New Roman" w:cs="Times New Roman"/>
          <w:bCs/>
          <w:i/>
        </w:rPr>
        <w:t>erms, rules and theories of technical drawings.</w:t>
      </w:r>
      <w:r w:rsidRPr="00210B7A">
        <w:rPr>
          <w:rFonts w:ascii="Times New Roman" w:eastAsia="Times New Roman" w:hAnsi="Times New Roman" w:cs="Times New Roman"/>
        </w:rPr>
        <w:t>)</w:t>
      </w:r>
    </w:p>
    <w:p w:rsidR="00210B7A" w:rsidRPr="00210B7A" w:rsidRDefault="00210B7A" w:rsidP="00980876">
      <w:pPr>
        <w:widowControl w:val="0"/>
        <w:numPr>
          <w:ilvl w:val="1"/>
          <w:numId w:val="634"/>
        </w:numPr>
        <w:spacing w:after="0" w:line="240" w:lineRule="auto"/>
        <w:ind w:left="1134" w:hanging="709"/>
        <w:jc w:val="both"/>
        <w:rPr>
          <w:rFonts w:ascii="Times New Roman" w:eastAsia="Times New Roman" w:hAnsi="Times New Roman" w:cs="Times New Roman"/>
          <w:b/>
        </w:rPr>
      </w:pPr>
      <w:r w:rsidRPr="00210B7A">
        <w:rPr>
          <w:rFonts w:ascii="Times New Roman" w:eastAsia="Times New Roman" w:hAnsi="Times New Roman" w:cs="Times New Roman"/>
          <w:bCs/>
        </w:rPr>
        <w:t>A műszaki rajzok fajtái. (</w:t>
      </w:r>
      <w:r w:rsidRPr="00210B7A">
        <w:rPr>
          <w:rFonts w:ascii="Times New Roman" w:eastAsia="Times New Roman" w:hAnsi="Times New Roman" w:cs="Times New Roman"/>
          <w:bCs/>
          <w:i/>
        </w:rPr>
        <w:t>Types, variations and species of technical draws</w:t>
      </w:r>
      <w:r w:rsidRPr="00210B7A">
        <w:rPr>
          <w:rFonts w:ascii="Times New Roman" w:eastAsia="Times New Roman" w:hAnsi="Times New Roman" w:cs="Times New Roman"/>
          <w:bCs/>
        </w:rPr>
        <w:t>.</w:t>
      </w:r>
      <w:r w:rsidRPr="00210B7A">
        <w:rPr>
          <w:rFonts w:ascii="Times New Roman" w:eastAsia="Times New Roman" w:hAnsi="Times New Roman" w:cs="Times New Roman"/>
          <w:bCs/>
          <w:lang w:eastAsia="hu-HU"/>
        </w:rPr>
        <w:t>)</w:t>
      </w:r>
    </w:p>
    <w:p w:rsidR="00210B7A" w:rsidRPr="00210B7A" w:rsidRDefault="00210B7A" w:rsidP="00980876">
      <w:pPr>
        <w:widowControl w:val="0"/>
        <w:numPr>
          <w:ilvl w:val="1"/>
          <w:numId w:val="634"/>
        </w:numPr>
        <w:spacing w:after="0" w:line="240" w:lineRule="auto"/>
        <w:ind w:left="1134" w:hanging="709"/>
        <w:jc w:val="both"/>
        <w:rPr>
          <w:rFonts w:ascii="Times New Roman" w:eastAsia="Times New Roman" w:hAnsi="Times New Roman" w:cs="Times New Roman"/>
          <w:b/>
        </w:rPr>
      </w:pPr>
      <w:r w:rsidRPr="00210B7A">
        <w:rPr>
          <w:rFonts w:ascii="Times New Roman" w:eastAsia="Times New Roman" w:hAnsi="Times New Roman" w:cs="Times New Roman"/>
          <w:bCs/>
        </w:rPr>
        <w:t>Metszeti ábrázolás. (</w:t>
      </w:r>
      <w:r w:rsidRPr="00210B7A">
        <w:rPr>
          <w:rFonts w:ascii="Times New Roman" w:eastAsia="Times New Roman" w:hAnsi="Times New Roman" w:cs="Times New Roman"/>
          <w:bCs/>
          <w:i/>
        </w:rPr>
        <w:t>Cross sections</w:t>
      </w:r>
      <w:r w:rsidRPr="00210B7A">
        <w:rPr>
          <w:rFonts w:ascii="Times New Roman" w:eastAsia="Times New Roman" w:hAnsi="Times New Roman" w:cs="Times New Roman"/>
          <w:bCs/>
        </w:rPr>
        <w:t xml:space="preserve">.) </w:t>
      </w:r>
    </w:p>
    <w:p w:rsidR="00210B7A" w:rsidRPr="00210B7A" w:rsidRDefault="00210B7A" w:rsidP="00980876">
      <w:pPr>
        <w:widowControl w:val="0"/>
        <w:numPr>
          <w:ilvl w:val="1"/>
          <w:numId w:val="634"/>
        </w:numPr>
        <w:spacing w:after="0" w:line="240" w:lineRule="auto"/>
        <w:ind w:left="1134" w:hanging="709"/>
        <w:jc w:val="both"/>
        <w:rPr>
          <w:rFonts w:ascii="Times New Roman" w:eastAsia="Times New Roman" w:hAnsi="Times New Roman" w:cs="Times New Roman"/>
          <w:bCs/>
        </w:rPr>
      </w:pPr>
      <w:r w:rsidRPr="00210B7A">
        <w:rPr>
          <w:rFonts w:ascii="Times New Roman" w:eastAsia="Times New Roman" w:hAnsi="Times New Roman" w:cs="Times New Roman"/>
          <w:bCs/>
        </w:rPr>
        <w:t>Géprajzi egyszerűsítések. (</w:t>
      </w:r>
      <w:r w:rsidRPr="00210B7A">
        <w:rPr>
          <w:rFonts w:ascii="Times New Roman" w:eastAsia="Times New Roman" w:hAnsi="Times New Roman" w:cs="Times New Roman"/>
          <w:bCs/>
          <w:i/>
        </w:rPr>
        <w:t>Simplification in the drawings</w:t>
      </w:r>
      <w:r w:rsidRPr="00210B7A">
        <w:rPr>
          <w:rFonts w:ascii="Times New Roman" w:eastAsia="Times New Roman" w:hAnsi="Times New Roman" w:cs="Times New Roman"/>
          <w:bCs/>
        </w:rPr>
        <w:t>.)</w:t>
      </w:r>
    </w:p>
    <w:p w:rsidR="00210B7A" w:rsidRPr="00210B7A" w:rsidRDefault="00210B7A" w:rsidP="00980876">
      <w:pPr>
        <w:widowControl w:val="0"/>
        <w:numPr>
          <w:ilvl w:val="1"/>
          <w:numId w:val="634"/>
        </w:numPr>
        <w:spacing w:after="0" w:line="240" w:lineRule="auto"/>
        <w:ind w:left="1134" w:hanging="709"/>
        <w:jc w:val="both"/>
        <w:rPr>
          <w:rFonts w:ascii="Times New Roman" w:eastAsia="Times New Roman" w:hAnsi="Times New Roman" w:cs="Times New Roman"/>
          <w:bCs/>
        </w:rPr>
      </w:pPr>
      <w:r w:rsidRPr="00210B7A">
        <w:rPr>
          <w:rFonts w:ascii="Times New Roman" w:eastAsia="Times New Roman" w:hAnsi="Times New Roman" w:cs="Times New Roman"/>
          <w:bCs/>
        </w:rPr>
        <w:t>Méretmegadás. (</w:t>
      </w:r>
      <w:r w:rsidRPr="00210B7A">
        <w:rPr>
          <w:rFonts w:ascii="Times New Roman" w:eastAsia="Times New Roman" w:hAnsi="Times New Roman" w:cs="Times New Roman"/>
          <w:bCs/>
          <w:i/>
        </w:rPr>
        <w:t>Dimensions</w:t>
      </w:r>
      <w:r w:rsidRPr="00210B7A">
        <w:rPr>
          <w:rFonts w:ascii="Times New Roman" w:eastAsia="Times New Roman" w:hAnsi="Times New Roman" w:cs="Times New Roman"/>
          <w:bCs/>
        </w:rPr>
        <w:t>.)</w:t>
      </w:r>
    </w:p>
    <w:p w:rsidR="00210B7A" w:rsidRPr="00210B7A" w:rsidRDefault="00210B7A" w:rsidP="00980876">
      <w:pPr>
        <w:widowControl w:val="0"/>
        <w:numPr>
          <w:ilvl w:val="1"/>
          <w:numId w:val="634"/>
        </w:numPr>
        <w:spacing w:after="0" w:line="240" w:lineRule="auto"/>
        <w:ind w:left="1134" w:hanging="709"/>
        <w:jc w:val="both"/>
        <w:rPr>
          <w:rFonts w:ascii="Times New Roman" w:eastAsia="Times New Roman" w:hAnsi="Times New Roman" w:cs="Times New Roman"/>
          <w:b/>
        </w:rPr>
      </w:pPr>
      <w:r w:rsidRPr="00210B7A">
        <w:rPr>
          <w:rFonts w:ascii="Times New Roman" w:eastAsia="Times New Roman" w:hAnsi="Times New Roman" w:cs="Times New Roman"/>
          <w:bCs/>
        </w:rPr>
        <w:t>Felületi érdesség. (</w:t>
      </w:r>
      <w:r w:rsidRPr="00210B7A">
        <w:rPr>
          <w:rFonts w:ascii="Times New Roman" w:eastAsia="Times New Roman" w:hAnsi="Times New Roman" w:cs="Times New Roman"/>
          <w:bCs/>
          <w:i/>
        </w:rPr>
        <w:t>Grain</w:t>
      </w:r>
      <w:r w:rsidRPr="00210B7A">
        <w:rPr>
          <w:rFonts w:ascii="Times New Roman" w:eastAsia="Times New Roman" w:hAnsi="Times New Roman" w:cs="Times New Roman"/>
          <w:bCs/>
        </w:rPr>
        <w:t>.)</w:t>
      </w:r>
    </w:p>
    <w:p w:rsidR="00210B7A" w:rsidRPr="00210B7A" w:rsidRDefault="00210B7A" w:rsidP="00980876">
      <w:pPr>
        <w:widowControl w:val="0"/>
        <w:numPr>
          <w:ilvl w:val="1"/>
          <w:numId w:val="634"/>
        </w:numPr>
        <w:spacing w:after="0" w:line="240" w:lineRule="auto"/>
        <w:ind w:left="1134" w:hanging="709"/>
        <w:jc w:val="both"/>
        <w:rPr>
          <w:rFonts w:ascii="Times New Roman" w:eastAsia="Times New Roman" w:hAnsi="Times New Roman" w:cs="Times New Roman"/>
          <w:b/>
        </w:rPr>
      </w:pPr>
      <w:r w:rsidRPr="00210B7A">
        <w:rPr>
          <w:rFonts w:ascii="Times New Roman" w:eastAsia="Times New Roman" w:hAnsi="Times New Roman" w:cs="Times New Roman"/>
          <w:bCs/>
        </w:rPr>
        <w:t>Tűrések és illesztések (</w:t>
      </w:r>
      <w:r w:rsidRPr="00210B7A">
        <w:rPr>
          <w:rFonts w:ascii="Times New Roman" w:eastAsia="Times New Roman" w:hAnsi="Times New Roman" w:cs="Times New Roman"/>
          <w:bCs/>
          <w:i/>
        </w:rPr>
        <w:t>Tolerance, joins</w:t>
      </w:r>
      <w:r w:rsidRPr="00210B7A">
        <w:rPr>
          <w:rFonts w:ascii="Times New Roman" w:eastAsia="Times New Roman" w:hAnsi="Times New Roman" w:cs="Times New Roman"/>
          <w:bCs/>
        </w:rPr>
        <w:t>.)</w:t>
      </w:r>
    </w:p>
    <w:p w:rsidR="00210B7A" w:rsidRPr="00210B7A" w:rsidRDefault="00210B7A" w:rsidP="00980876">
      <w:pPr>
        <w:widowControl w:val="0"/>
        <w:numPr>
          <w:ilvl w:val="1"/>
          <w:numId w:val="634"/>
        </w:numPr>
        <w:spacing w:after="0" w:line="240" w:lineRule="auto"/>
        <w:ind w:left="1134" w:hanging="709"/>
        <w:jc w:val="both"/>
        <w:rPr>
          <w:rFonts w:ascii="Times New Roman" w:eastAsia="Times New Roman" w:hAnsi="Times New Roman" w:cs="Times New Roman"/>
          <w:b/>
        </w:rPr>
      </w:pPr>
      <w:r w:rsidRPr="00210B7A">
        <w:rPr>
          <w:rFonts w:ascii="Times New Roman" w:eastAsia="Times New Roman" w:hAnsi="Times New Roman" w:cs="Times New Roman"/>
          <w:bCs/>
        </w:rPr>
        <w:t>Gépelemek ábrázolása. (</w:t>
      </w:r>
      <w:r w:rsidRPr="00210B7A">
        <w:rPr>
          <w:rFonts w:ascii="Times New Roman" w:eastAsia="Times New Roman" w:hAnsi="Times New Roman" w:cs="Times New Roman"/>
          <w:bCs/>
          <w:i/>
        </w:rPr>
        <w:t>Representation of machine parts</w:t>
      </w:r>
      <w:r w:rsidRPr="00210B7A">
        <w:rPr>
          <w:rFonts w:ascii="Times New Roman" w:eastAsia="Times New Roman" w:hAnsi="Times New Roman" w:cs="Times New Roman"/>
          <w:bCs/>
        </w:rPr>
        <w:t>.)</w:t>
      </w:r>
    </w:p>
    <w:p w:rsidR="00210B7A" w:rsidRPr="00210B7A" w:rsidRDefault="00210B7A" w:rsidP="00980876">
      <w:pPr>
        <w:widowControl w:val="0"/>
        <w:numPr>
          <w:ilvl w:val="1"/>
          <w:numId w:val="634"/>
        </w:numPr>
        <w:spacing w:after="0" w:line="240" w:lineRule="auto"/>
        <w:ind w:left="1134" w:hanging="709"/>
        <w:jc w:val="both"/>
        <w:rPr>
          <w:rFonts w:ascii="Times New Roman" w:eastAsia="Times New Roman" w:hAnsi="Times New Roman" w:cs="Times New Roman"/>
          <w:b/>
        </w:rPr>
      </w:pPr>
      <w:r w:rsidRPr="00210B7A">
        <w:rPr>
          <w:rFonts w:ascii="Times New Roman" w:eastAsia="Times New Roman" w:hAnsi="Times New Roman" w:cs="Times New Roman"/>
          <w:bCs/>
        </w:rPr>
        <w:lastRenderedPageBreak/>
        <w:t>Gépelemek rajzolása. (</w:t>
      </w:r>
      <w:r w:rsidRPr="00210B7A">
        <w:rPr>
          <w:rFonts w:ascii="Times New Roman" w:eastAsia="Times New Roman" w:hAnsi="Times New Roman" w:cs="Times New Roman"/>
          <w:bCs/>
          <w:i/>
        </w:rPr>
        <w:t>Drawing of machine parts</w:t>
      </w:r>
      <w:r w:rsidRPr="00210B7A">
        <w:rPr>
          <w:rFonts w:ascii="Times New Roman" w:eastAsia="Times New Roman" w:hAnsi="Times New Roman" w:cs="Times New Roman"/>
          <w:bCs/>
        </w:rPr>
        <w:t>.)</w:t>
      </w:r>
    </w:p>
    <w:p w:rsidR="00210B7A" w:rsidRPr="00210B7A" w:rsidRDefault="00210B7A" w:rsidP="00980876">
      <w:pPr>
        <w:widowControl w:val="0"/>
        <w:numPr>
          <w:ilvl w:val="1"/>
          <w:numId w:val="634"/>
        </w:numPr>
        <w:spacing w:after="0" w:line="240" w:lineRule="auto"/>
        <w:ind w:left="1134" w:hanging="709"/>
        <w:jc w:val="both"/>
        <w:rPr>
          <w:rFonts w:ascii="Times New Roman" w:eastAsia="Times New Roman" w:hAnsi="Times New Roman" w:cs="Times New Roman"/>
          <w:b/>
        </w:rPr>
      </w:pPr>
      <w:r w:rsidRPr="00210B7A">
        <w:rPr>
          <w:rFonts w:ascii="Times New Roman" w:eastAsia="Times New Roman" w:hAnsi="Times New Roman" w:cs="Times New Roman"/>
          <w:bCs/>
        </w:rPr>
        <w:t>Gépelemek rajz-</w:t>
      </w:r>
      <w:r w:rsidRPr="00210B7A">
        <w:rPr>
          <w:rFonts w:ascii="Times New Roman" w:eastAsia="Times New Roman" w:hAnsi="Times New Roman" w:cs="Times New Roman"/>
        </w:rPr>
        <w:t>készítési gyakorlat. (</w:t>
      </w:r>
      <w:r w:rsidRPr="00210B7A">
        <w:rPr>
          <w:rFonts w:ascii="Times New Roman" w:eastAsia="Times New Roman" w:hAnsi="Times New Roman" w:cs="Times New Roman"/>
          <w:i/>
        </w:rPr>
        <w:t>Drawing test.</w:t>
      </w:r>
      <w:r w:rsidRPr="00210B7A">
        <w:rPr>
          <w:rFonts w:ascii="Times New Roman" w:eastAsia="Times New Roman" w:hAnsi="Times New Roman" w:cs="Times New Roman"/>
        </w:rPr>
        <w:t>)</w:t>
      </w:r>
    </w:p>
    <w:p w:rsidR="00210B7A" w:rsidRPr="00210B7A" w:rsidRDefault="00210B7A" w:rsidP="00980876">
      <w:pPr>
        <w:widowControl w:val="0"/>
        <w:numPr>
          <w:ilvl w:val="1"/>
          <w:numId w:val="634"/>
        </w:numPr>
        <w:spacing w:after="0" w:line="240" w:lineRule="auto"/>
        <w:ind w:left="1134" w:hanging="709"/>
        <w:jc w:val="both"/>
        <w:rPr>
          <w:rFonts w:ascii="Times New Roman" w:eastAsia="Times New Roman" w:hAnsi="Times New Roman" w:cs="Times New Roman"/>
        </w:rPr>
      </w:pPr>
      <w:r w:rsidRPr="00210B7A">
        <w:rPr>
          <w:rFonts w:ascii="Times New Roman" w:eastAsia="Times New Roman" w:hAnsi="Times New Roman" w:cs="Times New Roman"/>
          <w:bCs/>
          <w:lang w:eastAsia="hu-HU"/>
        </w:rPr>
        <w:t>Metszetek rajzolása. (</w:t>
      </w:r>
      <w:r w:rsidRPr="00210B7A">
        <w:rPr>
          <w:rFonts w:ascii="Times New Roman" w:eastAsia="Times New Roman" w:hAnsi="Times New Roman" w:cs="Times New Roman"/>
          <w:bCs/>
          <w:i/>
          <w:lang w:eastAsia="hu-HU"/>
        </w:rPr>
        <w:t>Drawing of the section-drawing</w:t>
      </w:r>
      <w:r w:rsidRPr="00210B7A">
        <w:rPr>
          <w:rFonts w:ascii="Times New Roman" w:eastAsia="Times New Roman" w:hAnsi="Times New Roman" w:cs="Times New Roman"/>
          <w:bCs/>
          <w:lang w:eastAsia="hu-HU"/>
        </w:rPr>
        <w:t>.)</w:t>
      </w:r>
    </w:p>
    <w:p w:rsidR="00210B7A" w:rsidRPr="00210B7A" w:rsidRDefault="00210B7A" w:rsidP="00980876">
      <w:pPr>
        <w:widowControl w:val="0"/>
        <w:numPr>
          <w:ilvl w:val="1"/>
          <w:numId w:val="634"/>
        </w:numPr>
        <w:spacing w:after="0" w:line="240" w:lineRule="auto"/>
        <w:ind w:left="1134" w:hanging="709"/>
        <w:jc w:val="both"/>
        <w:rPr>
          <w:rFonts w:ascii="Times New Roman" w:eastAsia="Times New Roman" w:hAnsi="Times New Roman" w:cs="Times New Roman"/>
        </w:rPr>
      </w:pPr>
      <w:r w:rsidRPr="00210B7A">
        <w:rPr>
          <w:rFonts w:ascii="Times New Roman" w:eastAsia="Times New Roman" w:hAnsi="Times New Roman" w:cs="Times New Roman"/>
          <w:bCs/>
        </w:rPr>
        <w:t>Tűrések jelölésének gyakorlása. (</w:t>
      </w:r>
      <w:r w:rsidRPr="00210B7A">
        <w:rPr>
          <w:rFonts w:ascii="Times New Roman" w:eastAsia="Times New Roman" w:hAnsi="Times New Roman" w:cs="Times New Roman"/>
          <w:bCs/>
          <w:i/>
        </w:rPr>
        <w:t>Practice the tolerances indication</w:t>
      </w:r>
      <w:r w:rsidRPr="00210B7A">
        <w:rPr>
          <w:rFonts w:ascii="Times New Roman" w:eastAsia="Times New Roman" w:hAnsi="Times New Roman" w:cs="Times New Roman"/>
          <w:bCs/>
        </w:rPr>
        <w:t>.)</w:t>
      </w:r>
    </w:p>
    <w:p w:rsidR="00210B7A" w:rsidRPr="00210B7A" w:rsidRDefault="00210B7A" w:rsidP="00980876">
      <w:pPr>
        <w:widowControl w:val="0"/>
        <w:numPr>
          <w:ilvl w:val="1"/>
          <w:numId w:val="634"/>
        </w:numPr>
        <w:spacing w:after="0" w:line="240" w:lineRule="auto"/>
        <w:ind w:left="1134" w:hanging="709"/>
        <w:jc w:val="both"/>
        <w:rPr>
          <w:rFonts w:ascii="Times New Roman" w:eastAsia="Times New Roman" w:hAnsi="Times New Roman" w:cs="Times New Roman"/>
          <w:bCs/>
          <w:lang w:eastAsia="hu-HU"/>
        </w:rPr>
      </w:pPr>
      <w:r w:rsidRPr="00210B7A">
        <w:rPr>
          <w:rFonts w:ascii="Times New Roman" w:eastAsia="Times New Roman" w:hAnsi="Times New Roman" w:cs="Times New Roman"/>
          <w:bCs/>
        </w:rPr>
        <w:t>Illesztések jelölésének gyakorlása. (</w:t>
      </w:r>
      <w:r w:rsidRPr="00210B7A">
        <w:rPr>
          <w:rFonts w:ascii="Times New Roman" w:eastAsia="Times New Roman" w:hAnsi="Times New Roman" w:cs="Times New Roman"/>
          <w:bCs/>
          <w:i/>
        </w:rPr>
        <w:t>Practice the joins indication</w:t>
      </w:r>
      <w:r w:rsidRPr="00210B7A">
        <w:rPr>
          <w:rFonts w:ascii="Times New Roman" w:eastAsia="Times New Roman" w:hAnsi="Times New Roman" w:cs="Times New Roman"/>
          <w:bCs/>
        </w:rPr>
        <w:t>.)</w:t>
      </w:r>
    </w:p>
    <w:p w:rsidR="00210B7A" w:rsidRPr="00210B7A" w:rsidRDefault="00210B7A" w:rsidP="00980876">
      <w:pPr>
        <w:widowControl w:val="0"/>
        <w:numPr>
          <w:ilvl w:val="1"/>
          <w:numId w:val="634"/>
        </w:numPr>
        <w:spacing w:after="0" w:line="240" w:lineRule="auto"/>
        <w:ind w:left="1134" w:hanging="709"/>
        <w:jc w:val="both"/>
        <w:rPr>
          <w:rFonts w:ascii="Times New Roman" w:eastAsia="Times New Roman" w:hAnsi="Times New Roman" w:cs="Times New Roman"/>
          <w:bCs/>
        </w:rPr>
      </w:pPr>
      <w:r w:rsidRPr="00210B7A">
        <w:rPr>
          <w:rFonts w:ascii="Times New Roman" w:eastAsia="Times New Roman" w:hAnsi="Times New Roman" w:cs="Times New Roman"/>
          <w:bCs/>
        </w:rPr>
        <w:t>Géprajz-készítési gyakorlat. (</w:t>
      </w:r>
      <w:r w:rsidRPr="00210B7A">
        <w:rPr>
          <w:rFonts w:ascii="Times New Roman" w:eastAsia="Times New Roman" w:hAnsi="Times New Roman" w:cs="Times New Roman"/>
          <w:bCs/>
          <w:i/>
        </w:rPr>
        <w:t>Drawing test</w:t>
      </w:r>
      <w:r w:rsidRPr="00210B7A">
        <w:rPr>
          <w:rFonts w:ascii="Times New Roman" w:eastAsia="Times New Roman" w:hAnsi="Times New Roman" w:cs="Times New Roman"/>
          <w:bCs/>
        </w:rPr>
        <w:t>.)</w:t>
      </w:r>
    </w:p>
    <w:p w:rsidR="00210B7A" w:rsidRPr="00210B7A" w:rsidRDefault="00210B7A" w:rsidP="00980876">
      <w:pPr>
        <w:widowControl w:val="0"/>
        <w:numPr>
          <w:ilvl w:val="0"/>
          <w:numId w:val="634"/>
        </w:numPr>
        <w:tabs>
          <w:tab w:val="num" w:pos="360"/>
        </w:tabs>
        <w:spacing w:before="120" w:after="120" w:line="240" w:lineRule="auto"/>
        <w:ind w:left="426" w:hanging="142"/>
        <w:jc w:val="both"/>
        <w:rPr>
          <w:rFonts w:ascii="Times New Roman" w:eastAsia="Times New Roman" w:hAnsi="Times New Roman" w:cs="Times New Roman"/>
          <w:bCs/>
        </w:rPr>
      </w:pPr>
      <w:r w:rsidRPr="00210B7A">
        <w:rPr>
          <w:rFonts w:ascii="Times New Roman" w:eastAsia="Times New Roman" w:hAnsi="Times New Roman" w:cs="Times New Roman"/>
          <w:b/>
          <w:bCs/>
        </w:rPr>
        <w:t>A tantárgy meghirdetésének gyakorisága/a tantervben történő félévi elhelyezkedése: 5</w:t>
      </w:r>
      <w:r w:rsidRPr="00210B7A">
        <w:rPr>
          <w:rFonts w:ascii="Times New Roman" w:eastAsia="Times New Roman" w:hAnsi="Times New Roman" w:cs="Times New Roman"/>
          <w:bCs/>
        </w:rPr>
        <w:t>. félév</w:t>
      </w:r>
    </w:p>
    <w:p w:rsidR="00210B7A" w:rsidRPr="00210B7A" w:rsidRDefault="00210B7A" w:rsidP="00980876">
      <w:pPr>
        <w:widowControl w:val="0"/>
        <w:numPr>
          <w:ilvl w:val="0"/>
          <w:numId w:val="634"/>
        </w:numPr>
        <w:tabs>
          <w:tab w:val="num" w:pos="360"/>
        </w:tabs>
        <w:spacing w:before="120" w:after="120" w:line="240" w:lineRule="auto"/>
        <w:ind w:left="426" w:hanging="142"/>
        <w:jc w:val="both"/>
        <w:rPr>
          <w:rFonts w:ascii="Times New Roman" w:eastAsia="Times New Roman" w:hAnsi="Times New Roman" w:cs="Times New Roman"/>
          <w:bCs/>
        </w:rPr>
      </w:pPr>
      <w:r w:rsidRPr="00210B7A">
        <w:rPr>
          <w:rFonts w:ascii="Times New Roman" w:eastAsia="Times New Roman" w:hAnsi="Times New Roman" w:cs="Times New Roman"/>
          <w:b/>
          <w:bCs/>
        </w:rPr>
        <w:t>A tanórákon való részvétel követelményei, az elfogadható hiányzások mértéke, a távolmaradás pótlásának lehetősége:</w:t>
      </w:r>
      <w:r w:rsidRPr="00210B7A">
        <w:rPr>
          <w:rFonts w:ascii="Times New Roman" w:eastAsia="Times New Roman" w:hAnsi="Times New Roman" w:cs="Times New Roman"/>
          <w:bCs/>
        </w:rPr>
        <w:t xml:space="preserve"> A hallgatónak a tanórák legalább 70 %-án jelen kell lennie, 30 %-ot meghaladó hiányzás esetén a félév teljesítése nem írható alá. A hallgató köteles az előadás és a gyakorlat anyagát beszerezni, abból önállóan felkészülni. A hiányzás pótolható az oktató által kijelölt témakörben beadott, legalább elégségesre értékelt házidolgozattal.</w:t>
      </w:r>
    </w:p>
    <w:p w:rsidR="00210B7A" w:rsidRPr="00210B7A" w:rsidRDefault="00210B7A" w:rsidP="00980876">
      <w:pPr>
        <w:widowControl w:val="0"/>
        <w:numPr>
          <w:ilvl w:val="0"/>
          <w:numId w:val="634"/>
        </w:numPr>
        <w:spacing w:before="120" w:after="120" w:line="240" w:lineRule="auto"/>
        <w:ind w:left="426" w:hanging="66"/>
        <w:jc w:val="both"/>
        <w:rPr>
          <w:rFonts w:ascii="Times New Roman" w:eastAsia="Times New Roman" w:hAnsi="Times New Roman" w:cs="Times New Roman"/>
          <w:bCs/>
        </w:rPr>
      </w:pPr>
      <w:r w:rsidRPr="00210B7A">
        <w:rPr>
          <w:rFonts w:ascii="Times New Roman" w:eastAsia="Times New Roman" w:hAnsi="Times New Roman" w:cs="Times New Roman"/>
          <w:b/>
        </w:rPr>
        <w:t>Félévközi feladatok, ismeretek ellenőrzésének rendje:</w:t>
      </w:r>
      <w:r w:rsidRPr="00210B7A">
        <w:rPr>
          <w:rFonts w:ascii="Times New Roman" w:eastAsia="Times New Roman" w:hAnsi="Times New Roman" w:cs="Times New Roman"/>
          <w:bCs/>
        </w:rPr>
        <w:t xml:space="preserve"> </w:t>
      </w:r>
      <w:r w:rsidRPr="00210B7A">
        <w:rPr>
          <w:rFonts w:ascii="Times New Roman" w:eastAsia="Times New Roman" w:hAnsi="Times New Roman" w:cs="Times New Roman"/>
          <w:bCs/>
          <w:lang w:eastAsia="hu-HU"/>
        </w:rPr>
        <w:t>A félév során két írásos (rajz) feladat kerül kiadásra, és egy zárthelyi dolgozat kerül megíratásra a 12.1-12.14 tantárgyrészekből.</w:t>
      </w:r>
      <w:r w:rsidRPr="00210B7A">
        <w:rPr>
          <w:rFonts w:ascii="Times New Roman" w:eastAsia="Times New Roman" w:hAnsi="Times New Roman" w:cs="Times New Roman"/>
          <w:lang w:eastAsia="hu-HU"/>
        </w:rPr>
        <w:t xml:space="preserve"> </w:t>
      </w:r>
      <w:r w:rsidRPr="00210B7A">
        <w:rPr>
          <w:rFonts w:ascii="Times New Roman" w:eastAsia="Times New Roman" w:hAnsi="Times New Roman" w:cs="Times New Roman"/>
          <w:bCs/>
          <w:lang w:eastAsia="hu-HU"/>
        </w:rPr>
        <w:t>A zárthelyi dolgozat témáit a kötelező irodalmak anyagából, illetve az előadásokon elhangzott ismeretanyagból kell összeállítani. A zárthelyi dolgozat értékelése ötfokozatú értékelés (a helyes válaszok aránya 0-60% elégtelen; 61-70% elégséges; 71-80% közepes; 81-90% jó; 91-100% jeles osztályzat). Eredménytelen zárthelyi dolgozat kétszer javítható</w:t>
      </w:r>
      <w:r w:rsidRPr="00210B7A">
        <w:rPr>
          <w:rFonts w:ascii="Calibri" w:eastAsia="Calibri" w:hAnsi="Calibri" w:cs="Times New Roman"/>
        </w:rPr>
        <w:t xml:space="preserve"> </w:t>
      </w:r>
      <w:r w:rsidRPr="00210B7A">
        <w:rPr>
          <w:rFonts w:ascii="Times New Roman" w:eastAsia="Times New Roman" w:hAnsi="Times New Roman" w:cs="Times New Roman"/>
          <w:bCs/>
          <w:lang w:eastAsia="hu-HU"/>
        </w:rPr>
        <w:t>a szorgalmi időszak végéig az oktatóval egyeztetett időpontokban</w:t>
      </w:r>
      <w:r w:rsidRPr="00210B7A">
        <w:rPr>
          <w:rFonts w:ascii="Times New Roman" w:eastAsia="Times New Roman" w:hAnsi="Times New Roman" w:cs="Times New Roman"/>
          <w:b/>
          <w:bCs/>
          <w:lang w:eastAsia="hu-HU"/>
        </w:rPr>
        <w:t>.</w:t>
      </w:r>
      <w:r w:rsidRPr="00210B7A">
        <w:rPr>
          <w:rFonts w:ascii="Times New Roman" w:eastAsia="Times New Roman" w:hAnsi="Times New Roman" w:cs="Times New Roman"/>
          <w:bCs/>
          <w:lang w:eastAsia="hu-HU"/>
        </w:rPr>
        <w:t xml:space="preserve"> A dolgozatban teszt és esszé jellegű kérdések egyaránt szerepelnek.</w:t>
      </w:r>
    </w:p>
    <w:p w:rsidR="00210B7A" w:rsidRPr="00210B7A" w:rsidRDefault="00210B7A" w:rsidP="00980876">
      <w:pPr>
        <w:widowControl w:val="0"/>
        <w:numPr>
          <w:ilvl w:val="0"/>
          <w:numId w:val="634"/>
        </w:numPr>
        <w:spacing w:before="120" w:after="120" w:line="240" w:lineRule="auto"/>
        <w:ind w:left="426" w:hanging="142"/>
        <w:jc w:val="both"/>
        <w:rPr>
          <w:rFonts w:ascii="Times New Roman" w:eastAsia="Times New Roman" w:hAnsi="Times New Roman" w:cs="Times New Roman"/>
          <w:b/>
          <w:bCs/>
        </w:rPr>
      </w:pPr>
      <w:r w:rsidRPr="00210B7A">
        <w:rPr>
          <w:rFonts w:ascii="Times New Roman" w:eastAsia="Times New Roman" w:hAnsi="Times New Roman" w:cs="Times New Roman"/>
          <w:b/>
          <w:bCs/>
        </w:rPr>
        <w:t xml:space="preserve">Az értékelés, az aláírás és a kreditek megszerzésének pontos feltételei: </w:t>
      </w:r>
    </w:p>
    <w:p w:rsidR="00210B7A" w:rsidRPr="00210B7A" w:rsidRDefault="00210B7A" w:rsidP="00980876">
      <w:pPr>
        <w:widowControl w:val="0"/>
        <w:numPr>
          <w:ilvl w:val="1"/>
          <w:numId w:val="634"/>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210B7A">
        <w:rPr>
          <w:rFonts w:ascii="Times New Roman" w:eastAsia="Times New Roman" w:hAnsi="Times New Roman" w:cs="Times New Roman"/>
          <w:b/>
        </w:rPr>
        <w:t>Az aláírás megszerzésének feltételei:</w:t>
      </w:r>
      <w:r w:rsidRPr="00210B7A">
        <w:rPr>
          <w:rFonts w:ascii="Times New Roman" w:eastAsia="Times New Roman" w:hAnsi="Times New Roman" w:cs="Times New Roman"/>
        </w:rPr>
        <w:t xml:space="preserve"> </w:t>
      </w:r>
      <w:r w:rsidRPr="00210B7A">
        <w:rPr>
          <w:rFonts w:ascii="Times New Roman" w:eastAsia="Calibri" w:hAnsi="Times New Roman" w:cs="Times New Roman"/>
          <w:bCs/>
        </w:rPr>
        <w:t>Az aláírás megszerzésének alapfeltétele a zárthelyi dolgozat legalább elégséges szintű megírása, a kiadott rajzfeladatok megfelelő szintű elvégzése.</w:t>
      </w:r>
      <w:r w:rsidRPr="00210B7A">
        <w:rPr>
          <w:rFonts w:ascii="Times New Roman" w:eastAsia="Times New Roman" w:hAnsi="Times New Roman" w:cs="Times New Roman"/>
          <w:bCs/>
          <w:lang w:eastAsia="hu-HU"/>
        </w:rPr>
        <w:t xml:space="preserve"> </w:t>
      </w:r>
      <w:r w:rsidRPr="00210B7A">
        <w:rPr>
          <w:rFonts w:ascii="Times New Roman" w:eastAsia="Calibri" w:hAnsi="Times New Roman" w:cs="Times New Roman"/>
          <w:bCs/>
        </w:rPr>
        <w:t>A bármely zárthelyi dolgozatból vagy beadandó feladatból kapott elégtelen (1) osztályzat aláírás megtagadást jelent.</w:t>
      </w:r>
    </w:p>
    <w:p w:rsidR="00210B7A" w:rsidRPr="00210B7A" w:rsidRDefault="00210B7A" w:rsidP="00980876">
      <w:pPr>
        <w:widowControl w:val="0"/>
        <w:numPr>
          <w:ilvl w:val="1"/>
          <w:numId w:val="634"/>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210B7A">
        <w:rPr>
          <w:rFonts w:ascii="Times New Roman" w:eastAsia="Times New Roman" w:hAnsi="Times New Roman" w:cs="Times New Roman"/>
          <w:b/>
        </w:rPr>
        <w:t>Az értékelés:</w:t>
      </w:r>
      <w:r w:rsidRPr="00210B7A">
        <w:rPr>
          <w:rFonts w:ascii="Times New Roman" w:eastAsia="Times New Roman" w:hAnsi="Times New Roman" w:cs="Times New Roman"/>
        </w:rPr>
        <w:t xml:space="preserve"> </w:t>
      </w:r>
      <w:r w:rsidRPr="00210B7A">
        <w:rPr>
          <w:rFonts w:ascii="Times New Roman" w:eastAsia="Calibri" w:hAnsi="Times New Roman" w:cs="Times New Roman"/>
        </w:rPr>
        <w:t>évközi értékelés, ötfokozatú értékelés.</w:t>
      </w:r>
      <w:r w:rsidRPr="00210B7A">
        <w:rPr>
          <w:rFonts w:ascii="Times New Roman" w:eastAsia="Times New Roman" w:hAnsi="Times New Roman" w:cs="Times New Roman"/>
          <w:bCs/>
        </w:rPr>
        <w:t xml:space="preserve"> </w:t>
      </w:r>
      <w:r w:rsidRPr="00210B7A">
        <w:rPr>
          <w:rFonts w:ascii="Times New Roman" w:eastAsia="Calibri" w:hAnsi="Times New Roman" w:cs="Times New Roman"/>
          <w:bCs/>
        </w:rPr>
        <w:t>Az évközi értékelést az elért eredmények kerekített matematikai átlaga képezi.</w:t>
      </w:r>
    </w:p>
    <w:p w:rsidR="00210B7A" w:rsidRPr="00210B7A" w:rsidRDefault="00210B7A" w:rsidP="00980876">
      <w:pPr>
        <w:widowControl w:val="0"/>
        <w:numPr>
          <w:ilvl w:val="1"/>
          <w:numId w:val="634"/>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210B7A">
        <w:rPr>
          <w:rFonts w:ascii="Times New Roman" w:eastAsia="Times New Roman" w:hAnsi="Times New Roman" w:cs="Times New Roman"/>
          <w:b/>
        </w:rPr>
        <w:t>A kreditek megszerzésének feltételei:</w:t>
      </w:r>
      <w:r w:rsidRPr="00210B7A">
        <w:rPr>
          <w:rFonts w:ascii="Times New Roman" w:eastAsia="Times New Roman" w:hAnsi="Times New Roman" w:cs="Times New Roman"/>
        </w:rPr>
        <w:t xml:space="preserve"> az aláírás megszerzése és legalább elégséges</w:t>
      </w:r>
      <w:r w:rsidRPr="00210B7A">
        <w:rPr>
          <w:rFonts w:ascii="Times New Roman" w:eastAsia="Times New Roman" w:hAnsi="Times New Roman" w:cs="Times New Roman"/>
          <w:b/>
        </w:rPr>
        <w:t xml:space="preserve"> </w:t>
      </w:r>
      <w:r w:rsidRPr="00210B7A">
        <w:rPr>
          <w:rFonts w:ascii="Times New Roman" w:eastAsia="Times New Roman" w:hAnsi="Times New Roman" w:cs="Times New Roman"/>
        </w:rPr>
        <w:t>évközi értékelés.</w:t>
      </w:r>
    </w:p>
    <w:p w:rsidR="00210B7A" w:rsidRPr="00210B7A" w:rsidRDefault="00210B7A" w:rsidP="00980876">
      <w:pPr>
        <w:widowControl w:val="0"/>
        <w:numPr>
          <w:ilvl w:val="0"/>
          <w:numId w:val="634"/>
        </w:numPr>
        <w:tabs>
          <w:tab w:val="num" w:pos="360"/>
        </w:tabs>
        <w:spacing w:before="120" w:after="120" w:line="240" w:lineRule="auto"/>
        <w:ind w:left="426" w:hanging="142"/>
        <w:jc w:val="both"/>
        <w:rPr>
          <w:rFonts w:ascii="Times New Roman" w:eastAsia="Times New Roman" w:hAnsi="Times New Roman" w:cs="Times New Roman"/>
          <w:bCs/>
        </w:rPr>
      </w:pPr>
      <w:r w:rsidRPr="00210B7A">
        <w:rPr>
          <w:rFonts w:ascii="Times New Roman" w:eastAsia="Times New Roman" w:hAnsi="Times New Roman" w:cs="Times New Roman"/>
          <w:b/>
          <w:bCs/>
        </w:rPr>
        <w:t>Irodalomjegyzék:</w:t>
      </w:r>
    </w:p>
    <w:p w:rsidR="00210B7A" w:rsidRPr="00210B7A" w:rsidRDefault="00210B7A" w:rsidP="00980876">
      <w:pPr>
        <w:widowControl w:val="0"/>
        <w:numPr>
          <w:ilvl w:val="1"/>
          <w:numId w:val="634"/>
        </w:numPr>
        <w:tabs>
          <w:tab w:val="left" w:pos="567"/>
          <w:tab w:val="left" w:pos="851"/>
          <w:tab w:val="num" w:pos="2069"/>
        </w:tabs>
        <w:spacing w:before="120" w:after="120" w:line="240" w:lineRule="auto"/>
        <w:ind w:left="426" w:hanging="142"/>
        <w:jc w:val="both"/>
        <w:rPr>
          <w:rFonts w:ascii="Times New Roman" w:eastAsia="Times New Roman" w:hAnsi="Times New Roman" w:cs="Times New Roman"/>
          <w:b/>
          <w:bCs/>
        </w:rPr>
      </w:pPr>
      <w:r w:rsidRPr="00210B7A">
        <w:rPr>
          <w:rFonts w:ascii="Times New Roman" w:eastAsia="Times New Roman" w:hAnsi="Times New Roman" w:cs="Times New Roman"/>
          <w:b/>
          <w:bCs/>
        </w:rPr>
        <w:t>Kötelező irodalom:</w:t>
      </w:r>
      <w:r w:rsidRPr="00210B7A">
        <w:rPr>
          <w:rFonts w:ascii="Times New Roman" w:eastAsia="Times New Roman" w:hAnsi="Times New Roman" w:cs="Times New Roman"/>
          <w:lang w:eastAsia="hu-HU"/>
        </w:rPr>
        <w:t xml:space="preserve"> </w:t>
      </w:r>
    </w:p>
    <w:p w:rsidR="00210B7A" w:rsidRPr="00210B7A" w:rsidRDefault="00210B7A" w:rsidP="00980876">
      <w:pPr>
        <w:widowControl w:val="0"/>
        <w:numPr>
          <w:ilvl w:val="0"/>
          <w:numId w:val="632"/>
        </w:numPr>
        <w:tabs>
          <w:tab w:val="left" w:pos="567"/>
          <w:tab w:val="left" w:pos="851"/>
        </w:tabs>
        <w:spacing w:before="120" w:after="120" w:line="240" w:lineRule="auto"/>
        <w:ind w:left="851"/>
        <w:contextualSpacing/>
        <w:jc w:val="both"/>
        <w:rPr>
          <w:rFonts w:ascii="Times New Roman" w:eastAsia="Times New Roman" w:hAnsi="Times New Roman" w:cs="Times New Roman"/>
          <w:bCs/>
        </w:rPr>
      </w:pPr>
      <w:r w:rsidRPr="00210B7A">
        <w:rPr>
          <w:rFonts w:ascii="Times New Roman" w:eastAsia="Times New Roman" w:hAnsi="Times New Roman" w:cs="Times New Roman"/>
          <w:bCs/>
        </w:rPr>
        <w:t>Fenyvessy Tibor: A műszaki rajz alapjai. Géprajzi ismeretek. Tankönyvmester kiadó, Budapest, 2006. ISBN: 9639264709.</w:t>
      </w:r>
    </w:p>
    <w:p w:rsidR="00210B7A" w:rsidRPr="00210B7A" w:rsidRDefault="00210B7A" w:rsidP="00980876">
      <w:pPr>
        <w:widowControl w:val="0"/>
        <w:numPr>
          <w:ilvl w:val="0"/>
          <w:numId w:val="632"/>
        </w:numPr>
        <w:tabs>
          <w:tab w:val="left" w:pos="567"/>
          <w:tab w:val="left" w:pos="851"/>
        </w:tabs>
        <w:spacing w:before="120" w:after="120" w:line="240" w:lineRule="auto"/>
        <w:ind w:left="851"/>
        <w:contextualSpacing/>
        <w:jc w:val="both"/>
        <w:rPr>
          <w:rFonts w:ascii="Times New Roman" w:eastAsia="Times New Roman" w:hAnsi="Times New Roman" w:cs="Times New Roman"/>
          <w:bCs/>
        </w:rPr>
      </w:pPr>
      <w:r w:rsidRPr="00210B7A">
        <w:rPr>
          <w:rFonts w:ascii="Times New Roman" w:eastAsia="Times New Roman" w:hAnsi="Times New Roman" w:cs="Times New Roman"/>
          <w:bCs/>
        </w:rPr>
        <w:t>Ocskó Gyula: Géprajzi alapismeretek. Műszaki könyvkiadó, Budapest, 1999. ISBN: 9789631616644.</w:t>
      </w:r>
    </w:p>
    <w:p w:rsidR="00210B7A" w:rsidRPr="00210B7A" w:rsidRDefault="00210B7A" w:rsidP="00980876">
      <w:pPr>
        <w:widowControl w:val="0"/>
        <w:numPr>
          <w:ilvl w:val="1"/>
          <w:numId w:val="634"/>
        </w:numPr>
        <w:tabs>
          <w:tab w:val="num" w:pos="567"/>
          <w:tab w:val="num" w:pos="2069"/>
        </w:tabs>
        <w:spacing w:before="120" w:after="120" w:line="240" w:lineRule="auto"/>
        <w:ind w:left="993" w:hanging="709"/>
        <w:jc w:val="both"/>
        <w:rPr>
          <w:rFonts w:ascii="Times New Roman" w:eastAsia="Times New Roman" w:hAnsi="Times New Roman" w:cs="Times New Roman"/>
          <w:b/>
          <w:bCs/>
        </w:rPr>
      </w:pPr>
      <w:r w:rsidRPr="00210B7A">
        <w:rPr>
          <w:rFonts w:ascii="Times New Roman" w:eastAsia="Times New Roman" w:hAnsi="Times New Roman" w:cs="Times New Roman"/>
          <w:b/>
          <w:bCs/>
        </w:rPr>
        <w:t>Ajánlott irodalom:</w:t>
      </w:r>
    </w:p>
    <w:p w:rsidR="00210B7A" w:rsidRPr="00210B7A" w:rsidRDefault="00210B7A" w:rsidP="00980876">
      <w:pPr>
        <w:widowControl w:val="0"/>
        <w:numPr>
          <w:ilvl w:val="0"/>
          <w:numId w:val="633"/>
        </w:numPr>
        <w:spacing w:before="120" w:after="120" w:line="240" w:lineRule="auto"/>
        <w:ind w:left="851"/>
        <w:contextualSpacing/>
        <w:jc w:val="both"/>
        <w:rPr>
          <w:rFonts w:ascii="Times New Roman" w:eastAsia="Times New Roman" w:hAnsi="Times New Roman" w:cs="Times New Roman"/>
          <w:bCs/>
        </w:rPr>
      </w:pPr>
      <w:r w:rsidRPr="00210B7A">
        <w:rPr>
          <w:rFonts w:ascii="Times New Roman" w:eastAsia="Times New Roman" w:hAnsi="Times New Roman" w:cs="Times New Roman"/>
          <w:bCs/>
        </w:rPr>
        <w:t>Dr. Murányi Pálné: Műszaki ábrázolás, szakrajz. Műszaki könyvkiadó, Budapest, 1999. ISBN: 9631616479.</w:t>
      </w:r>
    </w:p>
    <w:p w:rsidR="00210B7A" w:rsidRPr="00210B7A" w:rsidRDefault="00210B7A" w:rsidP="00980876">
      <w:pPr>
        <w:widowControl w:val="0"/>
        <w:numPr>
          <w:ilvl w:val="0"/>
          <w:numId w:val="633"/>
        </w:numPr>
        <w:spacing w:before="120" w:after="120" w:line="240" w:lineRule="auto"/>
        <w:ind w:left="851"/>
        <w:contextualSpacing/>
        <w:jc w:val="both"/>
        <w:rPr>
          <w:rFonts w:ascii="Times New Roman" w:eastAsia="Times New Roman" w:hAnsi="Times New Roman" w:cs="Times New Roman"/>
          <w:bCs/>
        </w:rPr>
      </w:pPr>
      <w:r w:rsidRPr="00210B7A">
        <w:rPr>
          <w:rFonts w:ascii="Times New Roman" w:eastAsia="Times New Roman" w:hAnsi="Times New Roman" w:cs="Times New Roman"/>
          <w:bCs/>
        </w:rPr>
        <w:t>Ocskó Gyula: Gépjárműtechnikai szakrajz. Simüfo Műszaki Fordítóiroda, Maróti kiadó, 2006. ISBN: 9789639005747.</w:t>
      </w:r>
    </w:p>
    <w:p w:rsidR="00210B7A" w:rsidRPr="00210B7A" w:rsidRDefault="00210B7A" w:rsidP="00980876">
      <w:pPr>
        <w:widowControl w:val="0"/>
        <w:numPr>
          <w:ilvl w:val="0"/>
          <w:numId w:val="633"/>
        </w:numPr>
        <w:spacing w:before="120" w:after="120" w:line="240" w:lineRule="auto"/>
        <w:ind w:left="851"/>
        <w:contextualSpacing/>
        <w:jc w:val="both"/>
        <w:rPr>
          <w:rFonts w:ascii="Times New Roman" w:eastAsia="Times New Roman" w:hAnsi="Times New Roman" w:cs="Times New Roman"/>
          <w:bCs/>
        </w:rPr>
      </w:pPr>
      <w:r w:rsidRPr="00210B7A">
        <w:rPr>
          <w:rFonts w:ascii="Times New Roman" w:eastAsia="Times New Roman" w:hAnsi="Times New Roman" w:cs="Times New Roman"/>
          <w:bCs/>
        </w:rPr>
        <w:t>Seres Ferenc: Géprajz. Műszaki könyvkiadó, Budapest, 2010. ISBN: 978963166070-8.</w:t>
      </w:r>
    </w:p>
    <w:p w:rsidR="00210B7A" w:rsidRPr="00210B7A" w:rsidRDefault="00210B7A" w:rsidP="00210B7A">
      <w:pPr>
        <w:widowControl w:val="0"/>
        <w:spacing w:before="120" w:after="120" w:line="240" w:lineRule="auto"/>
        <w:jc w:val="both"/>
        <w:rPr>
          <w:rFonts w:ascii="Times New Roman" w:eastAsia="Times New Roman" w:hAnsi="Times New Roman" w:cs="Times New Roman"/>
          <w:bCs/>
        </w:rPr>
      </w:pPr>
    </w:p>
    <w:p w:rsidR="00210B7A" w:rsidRPr="00210B7A" w:rsidRDefault="00210B7A" w:rsidP="00210B7A">
      <w:pPr>
        <w:widowControl w:val="0"/>
        <w:spacing w:before="120" w:after="120" w:line="240" w:lineRule="auto"/>
        <w:jc w:val="both"/>
        <w:rPr>
          <w:rFonts w:ascii="Times New Roman" w:eastAsia="Times New Roman" w:hAnsi="Times New Roman" w:cs="Times New Roman"/>
          <w:bCs/>
        </w:rPr>
      </w:pPr>
      <w:r w:rsidRPr="00210B7A">
        <w:rPr>
          <w:rFonts w:ascii="Times New Roman" w:eastAsia="Times New Roman" w:hAnsi="Times New Roman" w:cs="Times New Roman"/>
          <w:bCs/>
        </w:rPr>
        <w:t>Budapest, 2020. március 9.</w:t>
      </w:r>
    </w:p>
    <w:p w:rsidR="00210B7A" w:rsidRPr="006B225A" w:rsidRDefault="00210B7A" w:rsidP="00210B7A">
      <w:pPr>
        <w:widowControl w:val="0"/>
        <w:spacing w:after="0" w:line="240" w:lineRule="auto"/>
        <w:jc w:val="right"/>
        <w:rPr>
          <w:rFonts w:ascii="Times New Roman" w:eastAsia="Times New Roman" w:hAnsi="Times New Roman" w:cs="Times New Roman"/>
          <w:b/>
          <w:bCs/>
        </w:rPr>
      </w:pPr>
      <w:r w:rsidRPr="006B225A">
        <w:rPr>
          <w:rFonts w:ascii="Times New Roman" w:eastAsia="Times New Roman" w:hAnsi="Times New Roman" w:cs="Times New Roman"/>
          <w:b/>
          <w:bCs/>
        </w:rPr>
        <w:t>Dr. Hegedűs Ernő PhD</w:t>
      </w:r>
    </w:p>
    <w:p w:rsidR="00210B7A" w:rsidRPr="00210B7A" w:rsidRDefault="00210B7A" w:rsidP="00210B7A">
      <w:pPr>
        <w:widowControl w:val="0"/>
        <w:spacing w:after="0" w:line="240" w:lineRule="auto"/>
        <w:jc w:val="right"/>
        <w:rPr>
          <w:rFonts w:ascii="Times New Roman" w:eastAsia="Times New Roman" w:hAnsi="Times New Roman" w:cs="Times New Roman"/>
          <w:bCs/>
        </w:rPr>
      </w:pPr>
      <w:r w:rsidRPr="00210B7A">
        <w:rPr>
          <w:rFonts w:ascii="Times New Roman" w:eastAsia="Times New Roman" w:hAnsi="Times New Roman" w:cs="Times New Roman"/>
          <w:bCs/>
        </w:rPr>
        <w:t xml:space="preserve">egyetemi tanársegéd </w:t>
      </w:r>
    </w:p>
    <w:p w:rsidR="006603FB" w:rsidRDefault="006603FB">
      <w:r>
        <w:br w:type="page"/>
      </w:r>
    </w:p>
    <w:tbl>
      <w:tblPr>
        <w:tblW w:w="9072" w:type="dxa"/>
        <w:tblInd w:w="113" w:type="dxa"/>
        <w:tblLook w:val="01E0" w:firstRow="1" w:lastRow="1" w:firstColumn="1" w:lastColumn="1" w:noHBand="0" w:noVBand="0"/>
      </w:tblPr>
      <w:tblGrid>
        <w:gridCol w:w="4855"/>
        <w:gridCol w:w="1620"/>
        <w:gridCol w:w="2597"/>
      </w:tblGrid>
      <w:tr w:rsidR="00210B7A" w:rsidRPr="00BC6E7B" w:rsidTr="00210B7A">
        <w:tc>
          <w:tcPr>
            <w:tcW w:w="4855" w:type="dxa"/>
            <w:tcBorders>
              <w:bottom w:val="single" w:sz="4" w:space="0" w:color="auto"/>
            </w:tcBorders>
          </w:tcPr>
          <w:p w:rsidR="00210B7A" w:rsidRPr="00BC6E7B" w:rsidRDefault="00210B7A" w:rsidP="00210B7A">
            <w:pPr>
              <w:spacing w:after="0" w:line="240" w:lineRule="auto"/>
              <w:jc w:val="center"/>
              <w:rPr>
                <w:rFonts w:ascii="Times New Roman" w:eastAsia="Times New Roman" w:hAnsi="Times New Roman" w:cs="Times New Roman"/>
                <w:b/>
                <w:smallCaps/>
                <w:lang w:eastAsia="hu-HU"/>
              </w:rPr>
            </w:pPr>
            <w:r w:rsidRPr="00BC6E7B">
              <w:rPr>
                <w:rFonts w:ascii="Times New Roman" w:eastAsia="Times New Roman" w:hAnsi="Times New Roman" w:cs="Times New Roman"/>
                <w:b/>
                <w:smallCaps/>
                <w:lang w:eastAsia="hu-HU"/>
              </w:rPr>
              <w:lastRenderedPageBreak/>
              <w:t>Nemzeti Közszolgálati Egyetem</w:t>
            </w:r>
          </w:p>
        </w:tc>
        <w:tc>
          <w:tcPr>
            <w:tcW w:w="1620" w:type="dxa"/>
          </w:tcPr>
          <w:p w:rsidR="00210B7A" w:rsidRPr="00BC6E7B" w:rsidRDefault="00210B7A" w:rsidP="00210B7A">
            <w:pPr>
              <w:spacing w:after="0" w:line="240" w:lineRule="auto"/>
              <w:jc w:val="both"/>
              <w:rPr>
                <w:rFonts w:ascii="Times New Roman" w:eastAsia="Times New Roman" w:hAnsi="Times New Roman" w:cs="Times New Roman"/>
                <w:lang w:eastAsia="hu-HU"/>
              </w:rPr>
            </w:pPr>
          </w:p>
        </w:tc>
        <w:tc>
          <w:tcPr>
            <w:tcW w:w="2597" w:type="dxa"/>
          </w:tcPr>
          <w:p w:rsidR="00210B7A" w:rsidRPr="00BC6E7B" w:rsidRDefault="00210B7A" w:rsidP="00210B7A">
            <w:pPr>
              <w:spacing w:after="0" w:line="240" w:lineRule="auto"/>
              <w:jc w:val="right"/>
              <w:rPr>
                <w:rFonts w:ascii="Times New Roman" w:eastAsia="Times New Roman" w:hAnsi="Times New Roman" w:cs="Times New Roman"/>
                <w:lang w:eastAsia="hu-HU"/>
              </w:rPr>
            </w:pPr>
          </w:p>
        </w:tc>
      </w:tr>
      <w:tr w:rsidR="00210B7A" w:rsidRPr="00BC6E7B" w:rsidTr="00210B7A">
        <w:tc>
          <w:tcPr>
            <w:tcW w:w="4855" w:type="dxa"/>
            <w:tcBorders>
              <w:top w:val="single" w:sz="4" w:space="0" w:color="auto"/>
            </w:tcBorders>
          </w:tcPr>
          <w:p w:rsidR="00210B7A" w:rsidRPr="00036014" w:rsidRDefault="00210B7A" w:rsidP="00210B7A">
            <w:pPr>
              <w:spacing w:after="0" w:line="240" w:lineRule="auto"/>
              <w:jc w:val="center"/>
              <w:rPr>
                <w:rFonts w:ascii="Times New Roman" w:eastAsia="Times New Roman" w:hAnsi="Times New Roman" w:cs="Times New Roman"/>
                <w:b/>
                <w:lang w:eastAsia="hu-HU"/>
              </w:rPr>
            </w:pPr>
            <w:r w:rsidRPr="00036014">
              <w:rPr>
                <w:rFonts w:ascii="Times New Roman" w:hAnsi="Times New Roman" w:cs="Times New Roman"/>
                <w:b/>
                <w:szCs w:val="24"/>
              </w:rPr>
              <w:t xml:space="preserve">Hadtudományi és Honvédtisztképző </w:t>
            </w:r>
            <w:r w:rsidRPr="00036014">
              <w:rPr>
                <w:rFonts w:ascii="Times New Roman" w:eastAsia="Times New Roman" w:hAnsi="Times New Roman" w:cs="Times New Roman"/>
                <w:b/>
                <w:lang w:eastAsia="hu-HU"/>
              </w:rPr>
              <w:t>Kar</w:t>
            </w:r>
          </w:p>
        </w:tc>
        <w:tc>
          <w:tcPr>
            <w:tcW w:w="1620" w:type="dxa"/>
          </w:tcPr>
          <w:p w:rsidR="00210B7A" w:rsidRPr="00BC6E7B" w:rsidRDefault="00210B7A" w:rsidP="00210B7A">
            <w:pPr>
              <w:spacing w:after="0" w:line="240" w:lineRule="auto"/>
              <w:jc w:val="both"/>
              <w:rPr>
                <w:rFonts w:ascii="Times New Roman" w:eastAsia="Times New Roman" w:hAnsi="Times New Roman" w:cs="Times New Roman"/>
                <w:lang w:eastAsia="hu-HU"/>
              </w:rPr>
            </w:pPr>
          </w:p>
        </w:tc>
        <w:tc>
          <w:tcPr>
            <w:tcW w:w="2597" w:type="dxa"/>
          </w:tcPr>
          <w:p w:rsidR="00210B7A" w:rsidRPr="00BC6E7B" w:rsidRDefault="00210B7A" w:rsidP="00210B7A">
            <w:pPr>
              <w:spacing w:after="0" w:line="240" w:lineRule="auto"/>
              <w:jc w:val="both"/>
              <w:rPr>
                <w:rFonts w:ascii="Times New Roman" w:eastAsia="Times New Roman" w:hAnsi="Times New Roman" w:cs="Times New Roman"/>
                <w:lang w:eastAsia="hu-HU"/>
              </w:rPr>
            </w:pPr>
          </w:p>
        </w:tc>
      </w:tr>
    </w:tbl>
    <w:p w:rsidR="00210B7A" w:rsidRDefault="00210B7A" w:rsidP="00210B7A">
      <w:pPr>
        <w:widowControl w:val="0"/>
        <w:spacing w:before="120" w:after="120" w:line="240" w:lineRule="auto"/>
        <w:ind w:left="426" w:hanging="142"/>
        <w:jc w:val="center"/>
        <w:rPr>
          <w:rFonts w:ascii="Times New Roman" w:eastAsia="Times New Roman" w:hAnsi="Times New Roman" w:cs="Times New Roman"/>
          <w:b/>
          <w:bCs/>
        </w:rPr>
      </w:pPr>
    </w:p>
    <w:p w:rsidR="00210B7A" w:rsidRPr="00BC6E7B" w:rsidRDefault="00210B7A" w:rsidP="00210B7A">
      <w:pPr>
        <w:widowControl w:val="0"/>
        <w:spacing w:before="120" w:after="120" w:line="240" w:lineRule="auto"/>
        <w:ind w:left="426" w:hanging="142"/>
        <w:jc w:val="center"/>
        <w:rPr>
          <w:rFonts w:ascii="Times New Roman" w:eastAsia="Times New Roman" w:hAnsi="Times New Roman" w:cs="Times New Roman"/>
          <w:b/>
          <w:bCs/>
        </w:rPr>
      </w:pPr>
      <w:r w:rsidRPr="00BC6E7B">
        <w:rPr>
          <w:rFonts w:ascii="Times New Roman" w:eastAsia="Times New Roman" w:hAnsi="Times New Roman" w:cs="Times New Roman"/>
          <w:b/>
          <w:bCs/>
        </w:rPr>
        <w:t>TANTÁRGYI PROGRAM</w:t>
      </w:r>
    </w:p>
    <w:p w:rsidR="00210B7A" w:rsidRPr="00692F15" w:rsidRDefault="00210B7A" w:rsidP="00980876">
      <w:pPr>
        <w:widowControl w:val="0"/>
        <w:numPr>
          <w:ilvl w:val="0"/>
          <w:numId w:val="635"/>
        </w:numPr>
        <w:tabs>
          <w:tab w:val="num" w:pos="567"/>
        </w:tabs>
        <w:spacing w:before="120" w:after="120" w:line="240" w:lineRule="auto"/>
        <w:ind w:left="426" w:hanging="142"/>
        <w:jc w:val="both"/>
        <w:rPr>
          <w:rFonts w:ascii="Times New Roman" w:eastAsia="Times New Roman" w:hAnsi="Times New Roman" w:cs="Times New Roman"/>
          <w:bCs/>
        </w:rPr>
      </w:pPr>
      <w:r w:rsidRPr="00692F15">
        <w:rPr>
          <w:rFonts w:ascii="Times New Roman" w:eastAsia="Times New Roman" w:hAnsi="Times New Roman" w:cs="Times New Roman"/>
          <w:b/>
          <w:bCs/>
        </w:rPr>
        <w:t xml:space="preserve">A tantárgy kódja: </w:t>
      </w:r>
      <w:r w:rsidRPr="00692F15">
        <w:rPr>
          <w:rFonts w:ascii="Liberation Serif" w:hAnsi="Liberation Serif"/>
        </w:rPr>
        <w:t>HKEHVA61</w:t>
      </w:r>
    </w:p>
    <w:p w:rsidR="00210B7A" w:rsidRPr="00692F15" w:rsidRDefault="00210B7A" w:rsidP="00980876">
      <w:pPr>
        <w:widowControl w:val="0"/>
        <w:numPr>
          <w:ilvl w:val="0"/>
          <w:numId w:val="635"/>
        </w:numPr>
        <w:tabs>
          <w:tab w:val="num" w:pos="567"/>
        </w:tabs>
        <w:spacing w:before="120" w:after="120" w:line="240" w:lineRule="auto"/>
        <w:ind w:left="426" w:hanging="142"/>
        <w:jc w:val="both"/>
        <w:rPr>
          <w:rFonts w:ascii="Times New Roman" w:eastAsia="Times New Roman" w:hAnsi="Times New Roman" w:cs="Times New Roman"/>
          <w:b/>
          <w:bCs/>
        </w:rPr>
      </w:pPr>
      <w:r w:rsidRPr="00692F15">
        <w:rPr>
          <w:rFonts w:ascii="Times New Roman" w:eastAsia="Times New Roman" w:hAnsi="Times New Roman" w:cs="Times New Roman"/>
          <w:b/>
          <w:bCs/>
        </w:rPr>
        <w:t>A tantárgy megnevezése (magyarul):</w:t>
      </w:r>
      <w:r w:rsidRPr="00692F15">
        <w:rPr>
          <w:rFonts w:ascii="Times New Roman" w:eastAsia="Times New Roman" w:hAnsi="Times New Roman" w:cs="Times New Roman"/>
          <w:bCs/>
        </w:rPr>
        <w:t xml:space="preserve"> </w:t>
      </w:r>
      <w:r w:rsidRPr="00692F15">
        <w:rPr>
          <w:rFonts w:ascii="Liberation Serif" w:hAnsi="Liberation Serif"/>
        </w:rPr>
        <w:t>Digitális</w:t>
      </w:r>
      <w:r w:rsidR="003F7C62">
        <w:rPr>
          <w:rFonts w:ascii="Liberation Serif" w:hAnsi="Liberation Serif"/>
        </w:rPr>
        <w:t xml:space="preserve"> </w:t>
      </w:r>
      <w:r w:rsidRPr="00692F15">
        <w:rPr>
          <w:rFonts w:ascii="Liberation Serif" w:hAnsi="Liberation Serif"/>
        </w:rPr>
        <w:t>technika HT</w:t>
      </w:r>
    </w:p>
    <w:p w:rsidR="00210B7A" w:rsidRPr="00692F15" w:rsidRDefault="00210B7A" w:rsidP="00980876">
      <w:pPr>
        <w:widowControl w:val="0"/>
        <w:numPr>
          <w:ilvl w:val="0"/>
          <w:numId w:val="635"/>
        </w:numPr>
        <w:tabs>
          <w:tab w:val="clear" w:pos="720"/>
          <w:tab w:val="num" w:pos="426"/>
        </w:tabs>
        <w:spacing w:before="120" w:after="120" w:line="240" w:lineRule="auto"/>
        <w:ind w:hanging="436"/>
        <w:jc w:val="both"/>
        <w:rPr>
          <w:rFonts w:ascii="Times New Roman" w:eastAsia="Times New Roman" w:hAnsi="Times New Roman" w:cs="Times New Roman"/>
          <w:b/>
          <w:bCs/>
          <w:lang w:val="en-GB"/>
        </w:rPr>
      </w:pPr>
      <w:r w:rsidRPr="00692F15">
        <w:rPr>
          <w:rFonts w:ascii="Times New Roman" w:eastAsia="Times New Roman" w:hAnsi="Times New Roman" w:cs="Times New Roman"/>
          <w:b/>
          <w:bCs/>
        </w:rPr>
        <w:t xml:space="preserve">A tantárgy megnevezése (angolul): </w:t>
      </w:r>
    </w:p>
    <w:p w:rsidR="00210B7A" w:rsidRPr="00692F15" w:rsidRDefault="00210B7A" w:rsidP="00980876">
      <w:pPr>
        <w:widowControl w:val="0"/>
        <w:numPr>
          <w:ilvl w:val="0"/>
          <w:numId w:val="635"/>
        </w:numPr>
        <w:tabs>
          <w:tab w:val="num" w:pos="567"/>
        </w:tabs>
        <w:spacing w:before="120" w:after="120" w:line="240" w:lineRule="auto"/>
        <w:ind w:left="426" w:hanging="142"/>
        <w:jc w:val="both"/>
        <w:rPr>
          <w:rFonts w:ascii="Times New Roman" w:eastAsia="Times New Roman" w:hAnsi="Times New Roman" w:cs="Times New Roman"/>
          <w:b/>
          <w:bCs/>
        </w:rPr>
      </w:pPr>
      <w:r w:rsidRPr="00692F15">
        <w:rPr>
          <w:rFonts w:ascii="Times New Roman" w:eastAsia="Times New Roman" w:hAnsi="Times New Roman" w:cs="Times New Roman"/>
          <w:b/>
          <w:bCs/>
        </w:rPr>
        <w:t xml:space="preserve">Kreditérték és képzési karakter: </w:t>
      </w:r>
    </w:p>
    <w:p w:rsidR="00210B7A" w:rsidRPr="00692F15" w:rsidRDefault="00210B7A" w:rsidP="00980876">
      <w:pPr>
        <w:pStyle w:val="Listaszerbekezds"/>
        <w:widowControl w:val="0"/>
        <w:numPr>
          <w:ilvl w:val="1"/>
          <w:numId w:val="635"/>
        </w:numPr>
        <w:tabs>
          <w:tab w:val="clear" w:pos="3977"/>
          <w:tab w:val="num" w:pos="432"/>
        </w:tabs>
        <w:spacing w:before="120" w:after="120" w:line="240" w:lineRule="auto"/>
        <w:ind w:left="993" w:hanging="426"/>
        <w:jc w:val="both"/>
        <w:rPr>
          <w:rFonts w:ascii="Times New Roman" w:eastAsia="Times New Roman" w:hAnsi="Times New Roman" w:cs="Times New Roman"/>
          <w:b/>
          <w:bCs/>
        </w:rPr>
      </w:pPr>
      <w:r w:rsidRPr="00692F15">
        <w:rPr>
          <w:rFonts w:ascii="Liberation Serif" w:hAnsi="Liberation Serif"/>
          <w:b/>
          <w:bCs/>
        </w:rPr>
        <w:t>4</w:t>
      </w:r>
      <w:r w:rsidRPr="00692F15">
        <w:rPr>
          <w:rFonts w:ascii="Times New Roman" w:eastAsia="Times New Roman" w:hAnsi="Times New Roman" w:cs="Times New Roman"/>
          <w:bCs/>
        </w:rPr>
        <w:t xml:space="preserve"> kredit</w:t>
      </w:r>
    </w:p>
    <w:p w:rsidR="00210B7A" w:rsidRPr="00692F15" w:rsidRDefault="00210B7A" w:rsidP="00980876">
      <w:pPr>
        <w:pStyle w:val="Listaszerbekezds"/>
        <w:widowControl w:val="0"/>
        <w:numPr>
          <w:ilvl w:val="1"/>
          <w:numId w:val="635"/>
        </w:numPr>
        <w:tabs>
          <w:tab w:val="clear" w:pos="3977"/>
          <w:tab w:val="num" w:pos="432"/>
        </w:tabs>
        <w:spacing w:before="120" w:after="120" w:line="240" w:lineRule="auto"/>
        <w:ind w:left="993" w:hanging="426"/>
        <w:jc w:val="both"/>
        <w:rPr>
          <w:rFonts w:ascii="Times New Roman" w:eastAsia="Times New Roman" w:hAnsi="Times New Roman" w:cs="Times New Roman"/>
          <w:b/>
          <w:bCs/>
        </w:rPr>
      </w:pPr>
      <w:r w:rsidRPr="00692F15">
        <w:rPr>
          <w:rFonts w:ascii="Times New Roman" w:eastAsia="Times New Roman" w:hAnsi="Times New Roman" w:cs="Times New Roman"/>
          <w:bCs/>
        </w:rPr>
        <w:t>a tantárgy elméleti vagy gyakorlati jellegének mértéke: 50</w:t>
      </w:r>
      <w:r w:rsidRPr="00692F15">
        <w:rPr>
          <w:rFonts w:ascii="Times New Roman" w:eastAsia="Times New Roman" w:hAnsi="Times New Roman" w:cs="Times New Roman"/>
          <w:b/>
          <w:bCs/>
        </w:rPr>
        <w:t xml:space="preserve"> </w:t>
      </w:r>
      <w:r w:rsidRPr="00692F15">
        <w:rPr>
          <w:rFonts w:ascii="Times New Roman" w:eastAsia="Times New Roman" w:hAnsi="Times New Roman" w:cs="Times New Roman"/>
          <w:bCs/>
        </w:rPr>
        <w:t>% gyakorlat, 50 % elmélet</w:t>
      </w:r>
    </w:p>
    <w:p w:rsidR="00210B7A" w:rsidRPr="00692F15" w:rsidRDefault="00210B7A" w:rsidP="00980876">
      <w:pPr>
        <w:widowControl w:val="0"/>
        <w:numPr>
          <w:ilvl w:val="0"/>
          <w:numId w:val="635"/>
        </w:numPr>
        <w:tabs>
          <w:tab w:val="num" w:pos="567"/>
        </w:tabs>
        <w:spacing w:before="120" w:after="120" w:line="240" w:lineRule="auto"/>
        <w:ind w:left="426" w:hanging="142"/>
        <w:jc w:val="both"/>
        <w:rPr>
          <w:rFonts w:ascii="Times New Roman" w:eastAsia="Times New Roman" w:hAnsi="Times New Roman" w:cs="Times New Roman"/>
          <w:bCs/>
        </w:rPr>
      </w:pPr>
      <w:r w:rsidRPr="00692F15">
        <w:rPr>
          <w:rFonts w:ascii="Times New Roman" w:eastAsia="Times New Roman" w:hAnsi="Times New Roman" w:cs="Times New Roman"/>
          <w:b/>
          <w:bCs/>
        </w:rPr>
        <w:t>A szak(ok), szakirányok/specializációk megnevezése (ahol oktatják):</w:t>
      </w:r>
      <w:r w:rsidRPr="00692F15">
        <w:rPr>
          <w:rFonts w:ascii="Times New Roman" w:eastAsia="Times New Roman" w:hAnsi="Times New Roman" w:cs="Times New Roman"/>
          <w:bCs/>
        </w:rPr>
        <w:t>,</w:t>
      </w:r>
      <w:r w:rsidRPr="00692F15">
        <w:t xml:space="preserve"> k</w:t>
      </w:r>
      <w:r w:rsidRPr="00692F15">
        <w:rPr>
          <w:rFonts w:ascii="Times New Roman" w:eastAsia="Times New Roman" w:hAnsi="Times New Roman" w:cs="Times New Roman"/>
          <w:bCs/>
        </w:rPr>
        <w:t>atonai logisztika alapszak, haditechnikai specializáció.</w:t>
      </w:r>
    </w:p>
    <w:p w:rsidR="00210B7A" w:rsidRPr="00692F15" w:rsidRDefault="00210B7A" w:rsidP="00980876">
      <w:pPr>
        <w:widowControl w:val="0"/>
        <w:numPr>
          <w:ilvl w:val="0"/>
          <w:numId w:val="635"/>
        </w:numPr>
        <w:tabs>
          <w:tab w:val="num" w:pos="567"/>
        </w:tabs>
        <w:spacing w:before="120" w:after="120" w:line="240" w:lineRule="auto"/>
        <w:ind w:left="426" w:hanging="142"/>
        <w:jc w:val="both"/>
        <w:rPr>
          <w:rFonts w:ascii="Times New Roman" w:eastAsia="Times New Roman" w:hAnsi="Times New Roman" w:cs="Times New Roman"/>
          <w:bCs/>
        </w:rPr>
      </w:pPr>
      <w:r w:rsidRPr="00692F15">
        <w:rPr>
          <w:rFonts w:ascii="Times New Roman" w:eastAsia="Times New Roman" w:hAnsi="Times New Roman" w:cs="Times New Roman"/>
          <w:b/>
          <w:bCs/>
        </w:rPr>
        <w:t xml:space="preserve">Az oktatásért felelős oktatási szervezeti egység megnevezése: </w:t>
      </w:r>
      <w:r w:rsidRPr="00692F15">
        <w:rPr>
          <w:rFonts w:ascii="Liberation Serif" w:hAnsi="Liberation Serif"/>
          <w:bCs/>
        </w:rPr>
        <w:t>HHK Elektronikai Hadviselés Tanszék</w:t>
      </w:r>
    </w:p>
    <w:p w:rsidR="00210B7A" w:rsidRPr="00692F15" w:rsidRDefault="00210B7A" w:rsidP="00980876">
      <w:pPr>
        <w:widowControl w:val="0"/>
        <w:numPr>
          <w:ilvl w:val="0"/>
          <w:numId w:val="635"/>
        </w:numPr>
        <w:tabs>
          <w:tab w:val="num" w:pos="567"/>
        </w:tabs>
        <w:spacing w:before="120" w:after="120" w:line="240" w:lineRule="auto"/>
        <w:ind w:left="426" w:hanging="142"/>
        <w:jc w:val="both"/>
        <w:rPr>
          <w:rFonts w:ascii="Times New Roman" w:eastAsia="Times New Roman" w:hAnsi="Times New Roman" w:cs="Times New Roman"/>
          <w:bCs/>
        </w:rPr>
      </w:pPr>
      <w:r w:rsidRPr="00692F15">
        <w:rPr>
          <w:rFonts w:ascii="Times New Roman" w:eastAsia="Times New Roman" w:hAnsi="Times New Roman" w:cs="Times New Roman"/>
          <w:b/>
          <w:bCs/>
        </w:rPr>
        <w:t>A tantárgyfelelős oktató neve, beosztása, tudományos fokozata:</w:t>
      </w:r>
      <w:r w:rsidRPr="00692F15">
        <w:rPr>
          <w:rFonts w:ascii="Times New Roman" w:eastAsia="Times New Roman" w:hAnsi="Times New Roman" w:cs="Times New Roman"/>
          <w:bCs/>
        </w:rPr>
        <w:t xml:space="preserve"> </w:t>
      </w:r>
      <w:r w:rsidRPr="00692F15">
        <w:rPr>
          <w:rFonts w:ascii="Times New Roman" w:hAnsi="Times New Roman" w:cs="Times New Roman"/>
        </w:rPr>
        <w:t>Dr. Fatalin László, e. docens, PhD</w:t>
      </w:r>
      <w:r w:rsidRPr="00692F15">
        <w:rPr>
          <w:rFonts w:ascii="Times New Roman" w:eastAsia="Times New Roman" w:hAnsi="Times New Roman" w:cs="Times New Roman"/>
          <w:bCs/>
        </w:rPr>
        <w:t xml:space="preserve"> </w:t>
      </w:r>
    </w:p>
    <w:p w:rsidR="00210B7A" w:rsidRPr="00692F15" w:rsidRDefault="00210B7A" w:rsidP="00980876">
      <w:pPr>
        <w:widowControl w:val="0"/>
        <w:numPr>
          <w:ilvl w:val="0"/>
          <w:numId w:val="635"/>
        </w:numPr>
        <w:spacing w:before="120" w:after="120" w:line="240" w:lineRule="auto"/>
        <w:ind w:left="426" w:hanging="142"/>
        <w:jc w:val="both"/>
        <w:rPr>
          <w:rFonts w:ascii="Times New Roman" w:eastAsia="Times New Roman" w:hAnsi="Times New Roman" w:cs="Times New Roman"/>
          <w:bCs/>
        </w:rPr>
      </w:pPr>
      <w:r w:rsidRPr="00692F15">
        <w:rPr>
          <w:rFonts w:ascii="Times New Roman" w:eastAsia="Times New Roman" w:hAnsi="Times New Roman" w:cs="Times New Roman"/>
          <w:b/>
          <w:bCs/>
        </w:rPr>
        <w:t>A tanórák száma és típusa</w:t>
      </w:r>
    </w:p>
    <w:p w:rsidR="00210B7A" w:rsidRPr="00692F15" w:rsidRDefault="00210B7A" w:rsidP="00980876">
      <w:pPr>
        <w:widowControl w:val="0"/>
        <w:numPr>
          <w:ilvl w:val="1"/>
          <w:numId w:val="635"/>
        </w:numPr>
        <w:tabs>
          <w:tab w:val="clear" w:pos="3977"/>
          <w:tab w:val="num" w:pos="432"/>
          <w:tab w:val="num" w:pos="709"/>
          <w:tab w:val="num" w:pos="2069"/>
        </w:tabs>
        <w:spacing w:before="120" w:after="120" w:line="240" w:lineRule="auto"/>
        <w:ind w:left="851" w:hanging="425"/>
        <w:jc w:val="both"/>
        <w:rPr>
          <w:rFonts w:ascii="Times New Roman" w:eastAsia="Times New Roman" w:hAnsi="Times New Roman" w:cs="Times New Roman"/>
          <w:bCs/>
        </w:rPr>
      </w:pPr>
      <w:r w:rsidRPr="00692F15">
        <w:rPr>
          <w:rFonts w:ascii="Times New Roman" w:eastAsia="Times New Roman" w:hAnsi="Times New Roman" w:cs="Times New Roman"/>
          <w:bCs/>
        </w:rPr>
        <w:t>össz óraszám/félév:</w:t>
      </w:r>
    </w:p>
    <w:p w:rsidR="00210B7A" w:rsidRPr="00692F15" w:rsidRDefault="00210B7A" w:rsidP="00980876">
      <w:pPr>
        <w:widowControl w:val="0"/>
        <w:numPr>
          <w:ilvl w:val="2"/>
          <w:numId w:val="635"/>
        </w:numPr>
        <w:tabs>
          <w:tab w:val="num" w:pos="709"/>
          <w:tab w:val="num" w:pos="1134"/>
        </w:tabs>
        <w:spacing w:before="120" w:after="120" w:line="240" w:lineRule="auto"/>
        <w:ind w:left="993" w:hanging="425"/>
        <w:jc w:val="both"/>
        <w:rPr>
          <w:rFonts w:ascii="Times New Roman" w:eastAsia="Times New Roman" w:hAnsi="Times New Roman" w:cs="Times New Roman"/>
          <w:bCs/>
        </w:rPr>
      </w:pPr>
      <w:r w:rsidRPr="00692F15">
        <w:rPr>
          <w:rFonts w:ascii="Times New Roman" w:eastAsia="Times New Roman" w:hAnsi="Times New Roman" w:cs="Times New Roman"/>
          <w:bCs/>
        </w:rPr>
        <w:t>nappali munkarend: 56 (28 EA + 0 SZ + 28 GY)</w:t>
      </w:r>
    </w:p>
    <w:p w:rsidR="00210B7A" w:rsidRPr="00692F15" w:rsidRDefault="00210B7A" w:rsidP="00980876">
      <w:pPr>
        <w:widowControl w:val="0"/>
        <w:numPr>
          <w:ilvl w:val="2"/>
          <w:numId w:val="635"/>
        </w:numPr>
        <w:tabs>
          <w:tab w:val="num" w:pos="709"/>
          <w:tab w:val="num" w:pos="1134"/>
        </w:tabs>
        <w:spacing w:before="120" w:after="120" w:line="240" w:lineRule="auto"/>
        <w:ind w:left="993" w:hanging="425"/>
        <w:jc w:val="both"/>
        <w:rPr>
          <w:rFonts w:ascii="Times New Roman" w:eastAsia="Times New Roman" w:hAnsi="Times New Roman" w:cs="Times New Roman"/>
          <w:bCs/>
        </w:rPr>
      </w:pPr>
      <w:r w:rsidRPr="00692F15">
        <w:rPr>
          <w:rFonts w:ascii="Times New Roman" w:eastAsia="Times New Roman" w:hAnsi="Times New Roman" w:cs="Times New Roman"/>
          <w:bCs/>
        </w:rPr>
        <w:t>levelező munkarend: ( EA + SZ +  GY)</w:t>
      </w:r>
    </w:p>
    <w:p w:rsidR="00210B7A" w:rsidRPr="00692F15" w:rsidRDefault="00210B7A" w:rsidP="00980876">
      <w:pPr>
        <w:widowControl w:val="0"/>
        <w:numPr>
          <w:ilvl w:val="1"/>
          <w:numId w:val="635"/>
        </w:numPr>
        <w:tabs>
          <w:tab w:val="clear" w:pos="3977"/>
          <w:tab w:val="num" w:pos="432"/>
          <w:tab w:val="num" w:pos="709"/>
          <w:tab w:val="num" w:pos="2069"/>
        </w:tabs>
        <w:spacing w:before="120" w:after="120" w:line="240" w:lineRule="auto"/>
        <w:ind w:left="851" w:hanging="425"/>
        <w:jc w:val="both"/>
        <w:rPr>
          <w:rFonts w:ascii="Times New Roman" w:eastAsia="Times New Roman" w:hAnsi="Times New Roman" w:cs="Times New Roman"/>
          <w:bCs/>
        </w:rPr>
      </w:pPr>
      <w:r w:rsidRPr="00692F15">
        <w:rPr>
          <w:rFonts w:ascii="Times New Roman" w:eastAsia="Times New Roman" w:hAnsi="Times New Roman" w:cs="Times New Roman"/>
          <w:bCs/>
        </w:rPr>
        <w:t>heti óraszám - nappali munkarend: 4</w:t>
      </w:r>
    </w:p>
    <w:p w:rsidR="00210B7A" w:rsidRPr="00692F15" w:rsidRDefault="00210B7A" w:rsidP="00980876">
      <w:pPr>
        <w:widowControl w:val="0"/>
        <w:numPr>
          <w:ilvl w:val="1"/>
          <w:numId w:val="635"/>
        </w:numPr>
        <w:tabs>
          <w:tab w:val="clear" w:pos="3977"/>
          <w:tab w:val="num" w:pos="432"/>
          <w:tab w:val="num" w:pos="709"/>
          <w:tab w:val="num" w:pos="2069"/>
        </w:tabs>
        <w:spacing w:before="120" w:after="120" w:line="240" w:lineRule="auto"/>
        <w:ind w:left="851" w:hanging="425"/>
        <w:jc w:val="both"/>
        <w:rPr>
          <w:rFonts w:ascii="Times New Roman" w:eastAsia="Times New Roman" w:hAnsi="Times New Roman" w:cs="Times New Roman"/>
          <w:bCs/>
        </w:rPr>
      </w:pPr>
      <w:r w:rsidRPr="00692F15">
        <w:rPr>
          <w:rFonts w:ascii="Times New Roman" w:hAnsi="Times New Roman" w:cs="Times New Roman"/>
        </w:rPr>
        <w:t>Az ismeret átadásában alkalmazandó további sajátos módok, jellemzők:</w:t>
      </w:r>
    </w:p>
    <w:p w:rsidR="00210B7A" w:rsidRPr="00692F15" w:rsidRDefault="00210B7A" w:rsidP="00980876">
      <w:pPr>
        <w:widowControl w:val="0"/>
        <w:numPr>
          <w:ilvl w:val="0"/>
          <w:numId w:val="635"/>
        </w:numPr>
        <w:spacing w:before="120" w:after="120" w:line="240" w:lineRule="auto"/>
        <w:ind w:left="426" w:hanging="142"/>
        <w:jc w:val="both"/>
        <w:rPr>
          <w:rFonts w:ascii="Times New Roman" w:eastAsia="Times New Roman" w:hAnsi="Times New Roman" w:cs="Times New Roman"/>
          <w:bCs/>
        </w:rPr>
      </w:pPr>
      <w:r w:rsidRPr="00692F15">
        <w:rPr>
          <w:rFonts w:ascii="Times New Roman" w:eastAsia="Times New Roman" w:hAnsi="Times New Roman" w:cs="Times New Roman"/>
          <w:b/>
          <w:bCs/>
        </w:rPr>
        <w:t>A tantárgy szakmai tartalma (magyarul):</w:t>
      </w:r>
      <w:r w:rsidRPr="00692F15">
        <w:rPr>
          <w:rFonts w:ascii="Times New Roman" w:eastAsia="Times New Roman" w:hAnsi="Times New Roman" w:cs="Times New Roman"/>
          <w:bCs/>
        </w:rPr>
        <w:t xml:space="preserve"> </w:t>
      </w:r>
    </w:p>
    <w:p w:rsidR="00210B7A" w:rsidRPr="00692F15" w:rsidRDefault="00210B7A" w:rsidP="00210B7A">
      <w:pPr>
        <w:widowControl w:val="0"/>
        <w:spacing w:before="120" w:after="120" w:line="240" w:lineRule="auto"/>
        <w:ind w:left="426"/>
        <w:jc w:val="both"/>
        <w:rPr>
          <w:rFonts w:ascii="Times New Roman" w:eastAsia="Times New Roman" w:hAnsi="Times New Roman" w:cs="Times New Roman"/>
          <w:b/>
          <w:bCs/>
        </w:rPr>
      </w:pPr>
      <w:r w:rsidRPr="00692F15">
        <w:rPr>
          <w:rFonts w:ascii="Times New Roman" w:hAnsi="Times New Roman" w:cs="Times New Roman"/>
          <w:bCs/>
        </w:rPr>
        <w:t>A katonai elektronikus szakmai tantárgyak tananyagának elsajátításához szükségesek digitális áramköri alapismeretek, mérőműszerek, mérési elvek és módszerek megismerése.</w:t>
      </w:r>
    </w:p>
    <w:p w:rsidR="00210B7A" w:rsidRPr="00692F15" w:rsidRDefault="00210B7A" w:rsidP="00210B7A">
      <w:pPr>
        <w:tabs>
          <w:tab w:val="left" w:pos="34"/>
        </w:tabs>
        <w:ind w:left="426"/>
        <w:jc w:val="both"/>
        <w:rPr>
          <w:rFonts w:ascii="Times New Roman" w:eastAsia="Times New Roman" w:hAnsi="Times New Roman" w:cs="Times New Roman"/>
          <w:b/>
          <w:bCs/>
        </w:rPr>
      </w:pPr>
      <w:r w:rsidRPr="00692F15">
        <w:rPr>
          <w:rFonts w:ascii="Times New Roman" w:eastAsia="Times New Roman" w:hAnsi="Times New Roman" w:cs="Times New Roman"/>
          <w:b/>
          <w:bCs/>
        </w:rPr>
        <w:t xml:space="preserve">A tantárgy szakmai tartalma (angolul) (Course description): </w:t>
      </w:r>
    </w:p>
    <w:p w:rsidR="00210B7A" w:rsidRPr="00692F15" w:rsidRDefault="00210B7A" w:rsidP="00210B7A">
      <w:pPr>
        <w:tabs>
          <w:tab w:val="left" w:pos="34"/>
        </w:tabs>
        <w:ind w:left="426"/>
        <w:jc w:val="both"/>
        <w:rPr>
          <w:rFonts w:ascii="Times New Roman" w:hAnsi="Times New Roman" w:cs="Times New Roman"/>
          <w:bCs/>
          <w:lang w:val="en-GB"/>
        </w:rPr>
      </w:pPr>
      <w:r w:rsidRPr="00692F15">
        <w:rPr>
          <w:rFonts w:ascii="Times New Roman" w:hAnsi="Times New Roman"/>
          <w:color w:val="222222"/>
          <w:lang w:val="en-GB"/>
        </w:rPr>
        <w:t xml:space="preserve">Knowledge of digital circuitry, measuring instruments, measurement principles, and methods required to teach military electronic subjects. </w:t>
      </w:r>
    </w:p>
    <w:p w:rsidR="00210B7A" w:rsidRPr="00692F15" w:rsidRDefault="00210B7A" w:rsidP="00980876">
      <w:pPr>
        <w:pStyle w:val="Listaszerbekezds"/>
        <w:widowControl w:val="0"/>
        <w:numPr>
          <w:ilvl w:val="0"/>
          <w:numId w:val="635"/>
        </w:numPr>
        <w:spacing w:before="120" w:after="120" w:line="240" w:lineRule="auto"/>
        <w:jc w:val="both"/>
        <w:rPr>
          <w:rFonts w:ascii="Times New Roman" w:eastAsia="Times New Roman" w:hAnsi="Times New Roman" w:cs="Times New Roman"/>
          <w:bCs/>
        </w:rPr>
      </w:pPr>
      <w:r w:rsidRPr="00692F15">
        <w:rPr>
          <w:rFonts w:ascii="Times New Roman" w:eastAsia="Times New Roman" w:hAnsi="Times New Roman" w:cs="Times New Roman"/>
          <w:b/>
          <w:bCs/>
        </w:rPr>
        <w:t xml:space="preserve">Elérendő kompetenciák (magyarul): </w:t>
      </w:r>
    </w:p>
    <w:p w:rsidR="00210B7A" w:rsidRPr="00692F15" w:rsidRDefault="00210B7A" w:rsidP="006B225A">
      <w:pPr>
        <w:tabs>
          <w:tab w:val="left" w:pos="317"/>
        </w:tabs>
        <w:spacing w:before="120" w:after="0"/>
        <w:ind w:left="425"/>
        <w:rPr>
          <w:rFonts w:ascii="Times New Roman" w:eastAsia="Times New Roman" w:hAnsi="Times New Roman" w:cs="Times New Roman"/>
          <w:b/>
          <w:bCs/>
        </w:rPr>
      </w:pPr>
      <w:r w:rsidRPr="00692F15">
        <w:rPr>
          <w:rFonts w:ascii="Times New Roman" w:eastAsia="Times New Roman" w:hAnsi="Times New Roman" w:cs="Times New Roman"/>
          <w:b/>
          <w:bCs/>
        </w:rPr>
        <w:t>Tudása:</w:t>
      </w:r>
    </w:p>
    <w:p w:rsidR="00210B7A" w:rsidRPr="006B225A" w:rsidRDefault="00210B7A" w:rsidP="00980876">
      <w:pPr>
        <w:pStyle w:val="Listaszerbekezds"/>
        <w:widowControl w:val="0"/>
        <w:numPr>
          <w:ilvl w:val="0"/>
          <w:numId w:val="757"/>
        </w:numPr>
        <w:spacing w:after="0" w:line="240" w:lineRule="auto"/>
        <w:jc w:val="both"/>
        <w:rPr>
          <w:rFonts w:ascii="Times New Roman" w:eastAsia="Times New Roman" w:hAnsi="Times New Roman" w:cs="Times New Roman"/>
          <w:bCs/>
        </w:rPr>
      </w:pPr>
      <w:r w:rsidRPr="006B225A">
        <w:rPr>
          <w:rFonts w:ascii="Times New Roman" w:hAnsi="Times New Roman" w:cs="Times New Roman"/>
        </w:rPr>
        <w:t>ismeri a rendszeresített haditechnikai eszközök alkalmazásának és fenntartásának tervezését, szervezését, irányítását és ellenőrzését</w:t>
      </w:r>
    </w:p>
    <w:p w:rsidR="00210B7A" w:rsidRPr="006B225A" w:rsidRDefault="00210B7A" w:rsidP="00980876">
      <w:pPr>
        <w:pStyle w:val="Listaszerbekezds"/>
        <w:widowControl w:val="0"/>
        <w:numPr>
          <w:ilvl w:val="0"/>
          <w:numId w:val="757"/>
        </w:numPr>
        <w:spacing w:after="0" w:line="240" w:lineRule="auto"/>
        <w:jc w:val="both"/>
        <w:rPr>
          <w:rFonts w:ascii="Times New Roman" w:eastAsia="Times New Roman" w:hAnsi="Times New Roman" w:cs="Times New Roman"/>
          <w:bCs/>
        </w:rPr>
      </w:pPr>
      <w:r w:rsidRPr="006B225A">
        <w:rPr>
          <w:rFonts w:ascii="Times New Roman" w:hAnsi="Times New Roman" w:cs="Times New Roman"/>
        </w:rPr>
        <w:t>haditechnikai és más szaktechnikai eszközeinek üzemeltetésére, az üzemfenntartás vezetésére</w:t>
      </w:r>
    </w:p>
    <w:p w:rsidR="00210B7A" w:rsidRPr="006B225A" w:rsidRDefault="00210B7A" w:rsidP="006B225A">
      <w:pPr>
        <w:tabs>
          <w:tab w:val="left" w:pos="317"/>
        </w:tabs>
        <w:spacing w:before="120" w:after="0"/>
        <w:ind w:left="425"/>
        <w:rPr>
          <w:rFonts w:ascii="Times New Roman" w:eastAsia="Times New Roman" w:hAnsi="Times New Roman" w:cs="Times New Roman"/>
          <w:b/>
          <w:bCs/>
        </w:rPr>
      </w:pPr>
      <w:r w:rsidRPr="00692F15">
        <w:rPr>
          <w:rFonts w:ascii="Times New Roman" w:eastAsia="Times New Roman" w:hAnsi="Times New Roman" w:cs="Times New Roman"/>
          <w:b/>
          <w:bCs/>
        </w:rPr>
        <w:t>Képességei:</w:t>
      </w:r>
      <w:r w:rsidRPr="006B225A">
        <w:rPr>
          <w:rFonts w:ascii="Times New Roman" w:eastAsia="Times New Roman" w:hAnsi="Times New Roman" w:cs="Times New Roman"/>
          <w:b/>
          <w:bCs/>
        </w:rPr>
        <w:t xml:space="preserve"> </w:t>
      </w:r>
    </w:p>
    <w:p w:rsidR="00210B7A" w:rsidRPr="00692F15" w:rsidRDefault="00210B7A" w:rsidP="00980876">
      <w:pPr>
        <w:pStyle w:val="Listaszerbekezds"/>
        <w:widowControl w:val="0"/>
        <w:numPr>
          <w:ilvl w:val="0"/>
          <w:numId w:val="757"/>
        </w:numPr>
        <w:spacing w:after="0" w:line="240" w:lineRule="auto"/>
        <w:jc w:val="both"/>
        <w:rPr>
          <w:rFonts w:ascii="Times New Roman" w:eastAsia="Times New Roman" w:hAnsi="Times New Roman" w:cs="Times New Roman"/>
          <w:bCs/>
        </w:rPr>
      </w:pPr>
      <w:r w:rsidRPr="00692F15">
        <w:rPr>
          <w:rFonts w:ascii="Liberation Serif" w:hAnsi="Liberation Serif"/>
        </w:rPr>
        <w:t xml:space="preserve">alkalmas a </w:t>
      </w:r>
      <w:r w:rsidRPr="006B225A">
        <w:rPr>
          <w:rFonts w:ascii="Times New Roman" w:hAnsi="Times New Roman" w:cs="Times New Roman"/>
        </w:rPr>
        <w:t>megszerzett</w:t>
      </w:r>
      <w:r w:rsidRPr="00692F15">
        <w:rPr>
          <w:rFonts w:ascii="Liberation Serif" w:hAnsi="Liberation Serif"/>
        </w:rPr>
        <w:t xml:space="preserve"> elméleti tudás alkalmazására és gyakorlati hasznosítására, a problémamegoldó technikák használatára</w:t>
      </w:r>
      <w:r w:rsidRPr="00692F15">
        <w:rPr>
          <w:rFonts w:ascii="Times New Roman" w:eastAsia="Times New Roman" w:hAnsi="Times New Roman" w:cs="Times New Roman"/>
          <w:bCs/>
        </w:rPr>
        <w:t xml:space="preserve"> </w:t>
      </w:r>
    </w:p>
    <w:p w:rsidR="00210B7A" w:rsidRPr="006B225A" w:rsidRDefault="00210B7A" w:rsidP="006B225A">
      <w:pPr>
        <w:tabs>
          <w:tab w:val="left" w:pos="317"/>
        </w:tabs>
        <w:spacing w:before="120" w:after="0"/>
        <w:ind w:left="425"/>
        <w:rPr>
          <w:rFonts w:ascii="Times New Roman" w:eastAsia="Times New Roman" w:hAnsi="Times New Roman" w:cs="Times New Roman"/>
          <w:b/>
          <w:bCs/>
        </w:rPr>
      </w:pPr>
      <w:r w:rsidRPr="00692F15">
        <w:rPr>
          <w:rFonts w:ascii="Times New Roman" w:eastAsia="Times New Roman" w:hAnsi="Times New Roman" w:cs="Times New Roman"/>
          <w:b/>
          <w:bCs/>
        </w:rPr>
        <w:t>Attitűdje:</w:t>
      </w:r>
      <w:r w:rsidRPr="006B225A">
        <w:rPr>
          <w:rFonts w:ascii="Times New Roman" w:eastAsia="Times New Roman" w:hAnsi="Times New Roman" w:cs="Times New Roman"/>
          <w:b/>
          <w:bCs/>
        </w:rPr>
        <w:t xml:space="preserve"> </w:t>
      </w:r>
    </w:p>
    <w:p w:rsidR="00210B7A" w:rsidRPr="006B225A" w:rsidRDefault="00210B7A" w:rsidP="00980876">
      <w:pPr>
        <w:pStyle w:val="Listaszerbekezds"/>
        <w:widowControl w:val="0"/>
        <w:numPr>
          <w:ilvl w:val="0"/>
          <w:numId w:val="757"/>
        </w:numPr>
        <w:spacing w:after="0" w:line="240" w:lineRule="auto"/>
        <w:jc w:val="both"/>
        <w:rPr>
          <w:rFonts w:ascii="Liberation Serif" w:hAnsi="Liberation Serif"/>
        </w:rPr>
      </w:pPr>
      <w:r w:rsidRPr="00692F15">
        <w:rPr>
          <w:rFonts w:ascii="Liberation Serif" w:hAnsi="Liberation Serif"/>
        </w:rPr>
        <w:t>kreativitás, rugalmasság, problémamegoldó készség</w:t>
      </w:r>
    </w:p>
    <w:p w:rsidR="00210B7A" w:rsidRPr="006B225A" w:rsidRDefault="00210B7A" w:rsidP="00980876">
      <w:pPr>
        <w:pStyle w:val="Listaszerbekezds"/>
        <w:widowControl w:val="0"/>
        <w:numPr>
          <w:ilvl w:val="0"/>
          <w:numId w:val="757"/>
        </w:numPr>
        <w:spacing w:after="0" w:line="240" w:lineRule="auto"/>
        <w:jc w:val="both"/>
        <w:rPr>
          <w:rFonts w:ascii="Liberation Serif" w:hAnsi="Liberation Serif"/>
        </w:rPr>
      </w:pPr>
      <w:r w:rsidRPr="00692F15">
        <w:rPr>
          <w:rFonts w:ascii="Liberation Serif" w:hAnsi="Liberation Serif"/>
        </w:rPr>
        <w:t>a minőségi munka iránti igényesség</w:t>
      </w:r>
    </w:p>
    <w:p w:rsidR="00210B7A" w:rsidRPr="00692F15" w:rsidRDefault="00210B7A" w:rsidP="006B225A">
      <w:pPr>
        <w:tabs>
          <w:tab w:val="left" w:pos="317"/>
        </w:tabs>
        <w:spacing w:before="120" w:after="0"/>
        <w:ind w:left="425"/>
        <w:rPr>
          <w:rFonts w:ascii="Times New Roman" w:eastAsia="Times New Roman" w:hAnsi="Times New Roman" w:cs="Times New Roman"/>
          <w:b/>
          <w:bCs/>
        </w:rPr>
      </w:pPr>
      <w:r w:rsidRPr="00692F15">
        <w:rPr>
          <w:rFonts w:ascii="Times New Roman" w:eastAsia="Times New Roman" w:hAnsi="Times New Roman" w:cs="Times New Roman"/>
          <w:b/>
          <w:bCs/>
        </w:rPr>
        <w:t>Autonómiája és felelőssége:</w:t>
      </w:r>
    </w:p>
    <w:p w:rsidR="00210B7A" w:rsidRPr="006B225A" w:rsidRDefault="00210B7A" w:rsidP="00980876">
      <w:pPr>
        <w:pStyle w:val="Listaszerbekezds"/>
        <w:widowControl w:val="0"/>
        <w:numPr>
          <w:ilvl w:val="0"/>
          <w:numId w:val="757"/>
        </w:numPr>
        <w:spacing w:after="0" w:line="240" w:lineRule="auto"/>
        <w:jc w:val="both"/>
        <w:rPr>
          <w:rFonts w:ascii="Liberation Serif" w:hAnsi="Liberation Serif"/>
        </w:rPr>
      </w:pPr>
      <w:r w:rsidRPr="00692F15">
        <w:rPr>
          <w:rFonts w:ascii="Liberation Serif" w:hAnsi="Liberation Serif"/>
        </w:rPr>
        <w:t xml:space="preserve"> alaposság és feladatmegoldó képesség</w:t>
      </w:r>
    </w:p>
    <w:p w:rsidR="006B225A" w:rsidRDefault="006B225A">
      <w:pPr>
        <w:spacing w:after="200" w:line="276" w:lineRule="auto"/>
        <w:rPr>
          <w:rFonts w:ascii="Times New Roman" w:eastAsia="Times New Roman" w:hAnsi="Times New Roman" w:cs="Times New Roman"/>
          <w:b/>
          <w:bCs/>
        </w:rPr>
      </w:pPr>
      <w:r>
        <w:rPr>
          <w:rFonts w:ascii="Times New Roman" w:eastAsia="Times New Roman" w:hAnsi="Times New Roman" w:cs="Times New Roman"/>
          <w:b/>
          <w:bCs/>
        </w:rPr>
        <w:br w:type="page"/>
      </w:r>
    </w:p>
    <w:p w:rsidR="00210B7A" w:rsidRPr="006B225A" w:rsidRDefault="00210B7A" w:rsidP="006B225A">
      <w:pPr>
        <w:tabs>
          <w:tab w:val="left" w:pos="317"/>
        </w:tabs>
        <w:spacing w:before="120" w:after="0"/>
        <w:ind w:left="425"/>
        <w:rPr>
          <w:rFonts w:ascii="Times New Roman" w:eastAsia="Times New Roman" w:hAnsi="Times New Roman" w:cs="Times New Roman"/>
          <w:b/>
          <w:bCs/>
        </w:rPr>
      </w:pPr>
      <w:r w:rsidRPr="00692F15">
        <w:rPr>
          <w:rFonts w:ascii="Times New Roman" w:eastAsia="Times New Roman" w:hAnsi="Times New Roman" w:cs="Times New Roman"/>
          <w:b/>
          <w:bCs/>
        </w:rPr>
        <w:lastRenderedPageBreak/>
        <w:t>Elérendő kompetenciák (angolul) (</w:t>
      </w:r>
      <w:r w:rsidRPr="006B225A">
        <w:rPr>
          <w:rFonts w:ascii="Times New Roman" w:eastAsia="Times New Roman" w:hAnsi="Times New Roman" w:cs="Times New Roman"/>
          <w:b/>
          <w:bCs/>
        </w:rPr>
        <w:t xml:space="preserve">Competences – English): </w:t>
      </w:r>
    </w:p>
    <w:p w:rsidR="00210B7A" w:rsidRPr="006B225A" w:rsidRDefault="00210B7A" w:rsidP="006B225A">
      <w:pPr>
        <w:tabs>
          <w:tab w:val="left" w:pos="317"/>
        </w:tabs>
        <w:spacing w:before="120" w:after="0"/>
        <w:ind w:left="425"/>
        <w:rPr>
          <w:rFonts w:ascii="Times New Roman" w:eastAsia="Times New Roman" w:hAnsi="Times New Roman" w:cs="Times New Roman"/>
          <w:b/>
          <w:bCs/>
        </w:rPr>
      </w:pPr>
      <w:r w:rsidRPr="006B225A">
        <w:rPr>
          <w:rFonts w:ascii="Times New Roman" w:eastAsia="Times New Roman" w:hAnsi="Times New Roman" w:cs="Times New Roman"/>
          <w:b/>
          <w:bCs/>
        </w:rPr>
        <w:t xml:space="preserve">Knowledge: </w:t>
      </w:r>
    </w:p>
    <w:p w:rsidR="006B225A" w:rsidRPr="006B225A" w:rsidRDefault="00210B7A" w:rsidP="00980876">
      <w:pPr>
        <w:pStyle w:val="Listaszerbekezds"/>
        <w:widowControl w:val="0"/>
        <w:numPr>
          <w:ilvl w:val="0"/>
          <w:numId w:val="757"/>
        </w:numPr>
        <w:spacing w:after="0" w:line="240" w:lineRule="auto"/>
        <w:jc w:val="both"/>
        <w:rPr>
          <w:rFonts w:ascii="Times New Roman" w:eastAsia="Times New Roman" w:hAnsi="Times New Roman" w:cs="Times New Roman"/>
          <w:bCs/>
        </w:rPr>
      </w:pPr>
      <w:r w:rsidRPr="006B225A">
        <w:rPr>
          <w:rFonts w:ascii="Liberation Serif" w:hAnsi="Liberation Serif"/>
        </w:rPr>
        <w:t xml:space="preserve">being familiar with planning, organizing, managing and controlling the use and maintenance of standardized military equipment </w:t>
      </w:r>
    </w:p>
    <w:p w:rsidR="00210B7A" w:rsidRPr="006B225A" w:rsidRDefault="00210B7A" w:rsidP="00980876">
      <w:pPr>
        <w:pStyle w:val="Listaszerbekezds"/>
        <w:widowControl w:val="0"/>
        <w:numPr>
          <w:ilvl w:val="0"/>
          <w:numId w:val="757"/>
        </w:numPr>
        <w:spacing w:before="120" w:after="120" w:line="240" w:lineRule="auto"/>
        <w:ind w:left="709" w:hanging="283"/>
        <w:jc w:val="both"/>
        <w:rPr>
          <w:rFonts w:ascii="Times New Roman" w:eastAsia="Times New Roman" w:hAnsi="Times New Roman" w:cs="Times New Roman"/>
          <w:bCs/>
        </w:rPr>
      </w:pPr>
      <w:r w:rsidRPr="006B225A">
        <w:rPr>
          <w:rFonts w:ascii="Liberation Serif" w:hAnsi="Liberation Serif"/>
          <w:lang w:val="en-GB"/>
        </w:rPr>
        <w:t>maintenance of military technology and other technical equipment</w:t>
      </w:r>
    </w:p>
    <w:p w:rsidR="00210B7A" w:rsidRPr="006B225A" w:rsidRDefault="00210B7A" w:rsidP="006B225A">
      <w:pPr>
        <w:tabs>
          <w:tab w:val="left" w:pos="317"/>
        </w:tabs>
        <w:spacing w:before="120" w:after="0"/>
        <w:ind w:left="425"/>
        <w:rPr>
          <w:rFonts w:ascii="Times New Roman" w:eastAsia="Times New Roman" w:hAnsi="Times New Roman" w:cs="Times New Roman"/>
          <w:b/>
          <w:bCs/>
        </w:rPr>
      </w:pPr>
      <w:r w:rsidRPr="006B225A">
        <w:rPr>
          <w:rFonts w:ascii="Times New Roman" w:eastAsia="Times New Roman" w:hAnsi="Times New Roman" w:cs="Times New Roman"/>
          <w:b/>
          <w:bCs/>
        </w:rPr>
        <w:t xml:space="preserve">Capabilities: </w:t>
      </w:r>
    </w:p>
    <w:p w:rsidR="00210B7A" w:rsidRPr="00692F15" w:rsidRDefault="00210B7A" w:rsidP="00980876">
      <w:pPr>
        <w:pStyle w:val="Listaszerbekezds"/>
        <w:widowControl w:val="0"/>
        <w:numPr>
          <w:ilvl w:val="0"/>
          <w:numId w:val="757"/>
        </w:numPr>
        <w:spacing w:after="0" w:line="240" w:lineRule="auto"/>
        <w:jc w:val="both"/>
        <w:rPr>
          <w:rFonts w:ascii="Times New Roman" w:eastAsia="Times New Roman" w:hAnsi="Times New Roman" w:cs="Times New Roman"/>
          <w:bCs/>
        </w:rPr>
      </w:pPr>
      <w:r w:rsidRPr="00692F15">
        <w:rPr>
          <w:rFonts w:ascii="Liberation Serif" w:hAnsi="Liberation Serif"/>
          <w:lang w:val="en-GB"/>
        </w:rPr>
        <w:t xml:space="preserve">being </w:t>
      </w:r>
      <w:r w:rsidRPr="006B225A">
        <w:rPr>
          <w:rFonts w:ascii="Liberation Serif" w:hAnsi="Liberation Serif"/>
        </w:rPr>
        <w:t>suitable</w:t>
      </w:r>
      <w:r w:rsidRPr="00692F15">
        <w:rPr>
          <w:rFonts w:ascii="Liberation Serif" w:hAnsi="Liberation Serif"/>
          <w:lang w:val="en-GB"/>
        </w:rPr>
        <w:t xml:space="preserve"> for the application and practical utilization of acquired theoretical knowledge and using of problem-solving techniques</w:t>
      </w:r>
    </w:p>
    <w:p w:rsidR="00210B7A" w:rsidRPr="006B225A" w:rsidRDefault="00210B7A" w:rsidP="006B225A">
      <w:pPr>
        <w:tabs>
          <w:tab w:val="left" w:pos="317"/>
        </w:tabs>
        <w:spacing w:before="120" w:after="0"/>
        <w:ind w:left="425"/>
        <w:rPr>
          <w:rFonts w:ascii="Times New Roman" w:eastAsia="Times New Roman" w:hAnsi="Times New Roman" w:cs="Times New Roman"/>
          <w:b/>
          <w:bCs/>
        </w:rPr>
      </w:pPr>
      <w:r w:rsidRPr="006B225A">
        <w:rPr>
          <w:rFonts w:ascii="Times New Roman" w:eastAsia="Times New Roman" w:hAnsi="Times New Roman" w:cs="Times New Roman"/>
          <w:b/>
          <w:bCs/>
        </w:rPr>
        <w:t>Attitude:</w:t>
      </w:r>
    </w:p>
    <w:p w:rsidR="006B225A" w:rsidRPr="006B225A" w:rsidRDefault="00210B7A" w:rsidP="00980876">
      <w:pPr>
        <w:pStyle w:val="Listaszerbekezds"/>
        <w:widowControl w:val="0"/>
        <w:numPr>
          <w:ilvl w:val="0"/>
          <w:numId w:val="757"/>
        </w:numPr>
        <w:spacing w:after="0" w:line="240" w:lineRule="auto"/>
        <w:jc w:val="both"/>
        <w:rPr>
          <w:rFonts w:ascii="Times New Roman" w:eastAsia="Times New Roman" w:hAnsi="Times New Roman" w:cs="Times New Roman"/>
          <w:bCs/>
        </w:rPr>
      </w:pPr>
      <w:r w:rsidRPr="006B225A">
        <w:rPr>
          <w:rFonts w:ascii="Liberation Serif" w:hAnsi="Liberation Serif"/>
          <w:lang w:val="en-GB"/>
        </w:rPr>
        <w:t>creativity, flexibility, problem-solving skills</w:t>
      </w:r>
    </w:p>
    <w:p w:rsidR="00210B7A" w:rsidRPr="006B225A" w:rsidRDefault="00210B7A" w:rsidP="00980876">
      <w:pPr>
        <w:pStyle w:val="Listaszerbekezds"/>
        <w:widowControl w:val="0"/>
        <w:numPr>
          <w:ilvl w:val="0"/>
          <w:numId w:val="757"/>
        </w:numPr>
        <w:spacing w:before="120" w:after="120" w:line="240" w:lineRule="auto"/>
        <w:ind w:left="709" w:hanging="283"/>
        <w:jc w:val="both"/>
        <w:rPr>
          <w:rFonts w:ascii="Times New Roman" w:eastAsia="Times New Roman" w:hAnsi="Times New Roman" w:cs="Times New Roman"/>
          <w:bCs/>
        </w:rPr>
      </w:pPr>
      <w:r w:rsidRPr="006B225A">
        <w:rPr>
          <w:rFonts w:ascii="Liberation Serif" w:hAnsi="Liberation Serif"/>
          <w:lang w:val="en-GB"/>
        </w:rPr>
        <w:t>having highs standards for quality work</w:t>
      </w:r>
    </w:p>
    <w:p w:rsidR="00210B7A" w:rsidRPr="006B225A" w:rsidRDefault="00210B7A" w:rsidP="006B225A">
      <w:pPr>
        <w:tabs>
          <w:tab w:val="left" w:pos="317"/>
        </w:tabs>
        <w:spacing w:before="120" w:after="0"/>
        <w:ind w:left="425"/>
        <w:rPr>
          <w:rFonts w:ascii="Times New Roman" w:eastAsia="Times New Roman" w:hAnsi="Times New Roman" w:cs="Times New Roman"/>
          <w:b/>
          <w:bCs/>
        </w:rPr>
      </w:pPr>
      <w:r w:rsidRPr="006B225A">
        <w:rPr>
          <w:rFonts w:ascii="Times New Roman" w:eastAsia="Times New Roman" w:hAnsi="Times New Roman" w:cs="Times New Roman"/>
          <w:b/>
          <w:bCs/>
        </w:rPr>
        <w:t xml:space="preserve">Autonomy and responsibility: </w:t>
      </w:r>
    </w:p>
    <w:p w:rsidR="00210B7A" w:rsidRPr="00692F15" w:rsidRDefault="00210B7A" w:rsidP="00980876">
      <w:pPr>
        <w:pStyle w:val="Listaszerbekezds"/>
        <w:widowControl w:val="0"/>
        <w:numPr>
          <w:ilvl w:val="0"/>
          <w:numId w:val="757"/>
        </w:numPr>
        <w:spacing w:after="0" w:line="240" w:lineRule="auto"/>
        <w:jc w:val="both"/>
        <w:rPr>
          <w:rFonts w:ascii="Times New Roman" w:eastAsia="Times New Roman" w:hAnsi="Times New Roman" w:cs="Times New Roman"/>
          <w:lang w:val="en-GB"/>
        </w:rPr>
      </w:pPr>
      <w:r w:rsidRPr="006B225A">
        <w:rPr>
          <w:rFonts w:ascii="Liberation Serif" w:hAnsi="Liberation Serif"/>
          <w:lang w:val="en-GB"/>
        </w:rPr>
        <w:t>thoroughness</w:t>
      </w:r>
      <w:r w:rsidRPr="00692F15">
        <w:rPr>
          <w:rFonts w:ascii="Liberation Serif" w:hAnsi="Liberation Serif"/>
          <w:bCs/>
          <w:lang w:val="en-GB"/>
        </w:rPr>
        <w:t xml:space="preserve"> and problem solving ability</w:t>
      </w:r>
    </w:p>
    <w:p w:rsidR="00210B7A" w:rsidRPr="00692F15" w:rsidRDefault="00210B7A" w:rsidP="00980876">
      <w:pPr>
        <w:widowControl w:val="0"/>
        <w:numPr>
          <w:ilvl w:val="0"/>
          <w:numId w:val="635"/>
        </w:numPr>
        <w:tabs>
          <w:tab w:val="num" w:pos="567"/>
        </w:tabs>
        <w:spacing w:before="120" w:after="120" w:line="240" w:lineRule="auto"/>
        <w:ind w:left="426" w:hanging="142"/>
        <w:jc w:val="both"/>
        <w:rPr>
          <w:rFonts w:ascii="Times New Roman" w:eastAsia="Times New Roman" w:hAnsi="Times New Roman" w:cs="Times New Roman"/>
          <w:bCs/>
        </w:rPr>
      </w:pPr>
      <w:r w:rsidRPr="00692F15">
        <w:rPr>
          <w:rFonts w:ascii="Times New Roman" w:eastAsia="Times New Roman" w:hAnsi="Times New Roman" w:cs="Times New Roman"/>
          <w:b/>
          <w:bCs/>
        </w:rPr>
        <w:t>Előtanulmányi követelmények: –</w:t>
      </w:r>
    </w:p>
    <w:p w:rsidR="00210B7A" w:rsidRPr="00692F15" w:rsidRDefault="00210B7A" w:rsidP="00980876">
      <w:pPr>
        <w:widowControl w:val="0"/>
        <w:numPr>
          <w:ilvl w:val="0"/>
          <w:numId w:val="635"/>
        </w:numPr>
        <w:spacing w:before="120" w:after="120" w:line="240" w:lineRule="auto"/>
        <w:ind w:left="426" w:hanging="142"/>
        <w:jc w:val="both"/>
        <w:rPr>
          <w:rFonts w:ascii="Times New Roman" w:eastAsia="Times New Roman" w:hAnsi="Times New Roman" w:cs="Times New Roman"/>
          <w:b/>
          <w:bCs/>
        </w:rPr>
      </w:pPr>
      <w:r w:rsidRPr="00692F15">
        <w:rPr>
          <w:rFonts w:ascii="Times New Roman" w:eastAsia="Times New Roman" w:hAnsi="Times New Roman" w:cs="Times New Roman"/>
          <w:b/>
          <w:bCs/>
        </w:rPr>
        <w:t>A tantárgy tananyagának leírása, tematika. Description of the subject, curriculum (magyarul, angolul - English):</w:t>
      </w:r>
    </w:p>
    <w:p w:rsidR="00210B7A" w:rsidRPr="00692F15" w:rsidRDefault="00210B7A" w:rsidP="00980876">
      <w:pPr>
        <w:widowControl w:val="0"/>
        <w:numPr>
          <w:ilvl w:val="1"/>
          <w:numId w:val="635"/>
        </w:numPr>
        <w:tabs>
          <w:tab w:val="clear" w:pos="3977"/>
          <w:tab w:val="num" w:pos="432"/>
          <w:tab w:val="left" w:pos="709"/>
          <w:tab w:val="left" w:pos="993"/>
          <w:tab w:val="num" w:pos="2069"/>
        </w:tabs>
        <w:spacing w:before="120" w:after="120" w:line="240" w:lineRule="auto"/>
        <w:ind w:left="993" w:hanging="567"/>
        <w:jc w:val="both"/>
        <w:rPr>
          <w:rFonts w:ascii="Times New Roman" w:eastAsia="Times New Roman" w:hAnsi="Times New Roman" w:cs="Times New Roman"/>
          <w:b/>
        </w:rPr>
      </w:pPr>
      <w:r w:rsidRPr="00692F15">
        <w:rPr>
          <w:rFonts w:ascii="Times New Roman" w:hAnsi="Times New Roman" w:cs="Times New Roman"/>
          <w:bCs/>
        </w:rPr>
        <w:t xml:space="preserve">A digitális jel és a kódolás fogalma, típusai. Az A/D átalakítás lépései, a digitális jel jellemzői. </w:t>
      </w:r>
      <w:r w:rsidRPr="00692F15">
        <w:rPr>
          <w:rFonts w:ascii="Times New Roman" w:hAnsi="Times New Roman" w:cs="Times New Roman"/>
          <w:bCs/>
          <w:i/>
        </w:rPr>
        <w:t>(</w:t>
      </w:r>
      <w:r w:rsidRPr="00692F15">
        <w:rPr>
          <w:rFonts w:ascii="Times New Roman" w:eastAsia="Times New Roman" w:hAnsi="Times New Roman" w:cs="Times New Roman"/>
          <w:i/>
          <w:lang w:val="en-GB"/>
        </w:rPr>
        <w:t>Concept and types of digital signal and coding. Steps of A / D conversion, characteristics of digital signal.)</w:t>
      </w:r>
    </w:p>
    <w:p w:rsidR="00210B7A" w:rsidRPr="00692F15" w:rsidRDefault="00210B7A" w:rsidP="00980876">
      <w:pPr>
        <w:widowControl w:val="0"/>
        <w:numPr>
          <w:ilvl w:val="1"/>
          <w:numId w:val="635"/>
        </w:numPr>
        <w:tabs>
          <w:tab w:val="clear" w:pos="3977"/>
          <w:tab w:val="num" w:pos="432"/>
          <w:tab w:val="left" w:pos="709"/>
          <w:tab w:val="left" w:pos="993"/>
          <w:tab w:val="num" w:pos="2069"/>
        </w:tabs>
        <w:spacing w:before="120" w:after="120" w:line="240" w:lineRule="auto"/>
        <w:ind w:left="993" w:hanging="567"/>
        <w:jc w:val="both"/>
        <w:rPr>
          <w:rFonts w:ascii="Times New Roman" w:eastAsia="Times New Roman" w:hAnsi="Times New Roman" w:cs="Times New Roman"/>
          <w:b/>
        </w:rPr>
      </w:pPr>
      <w:r w:rsidRPr="00692F15">
        <w:rPr>
          <w:rFonts w:ascii="Times New Roman" w:hAnsi="Times New Roman" w:cs="Times New Roman"/>
          <w:bCs/>
        </w:rPr>
        <w:t>Logikai függvények és realizálásuk kapuáramkörökkel. Logikai áramkörök általános jellemzői, áramkörcsaládok. Kombinációs áramkörök (k</w:t>
      </w:r>
      <w:r w:rsidRPr="00692F15">
        <w:rPr>
          <w:rFonts w:ascii="Times New Roman" w:hAnsi="Times New Roman" w:cs="Times New Roman"/>
        </w:rPr>
        <w:t>ódolók és dekódolók, multiplexerek és demultiplexerek)</w:t>
      </w:r>
      <w:r w:rsidRPr="00692F15">
        <w:rPr>
          <w:rFonts w:ascii="Times New Roman" w:hAnsi="Times New Roman" w:cs="Times New Roman"/>
          <w:bCs/>
        </w:rPr>
        <w:t xml:space="preserve"> és jellemzőiknek. </w:t>
      </w:r>
      <w:r w:rsidRPr="00692F15">
        <w:rPr>
          <w:rFonts w:ascii="Times New Roman" w:hAnsi="Times New Roman" w:cs="Times New Roman"/>
          <w:bCs/>
          <w:i/>
        </w:rPr>
        <w:t>(</w:t>
      </w:r>
      <w:r w:rsidRPr="00692F15">
        <w:rPr>
          <w:rFonts w:ascii="Times New Roman" w:eastAsia="Times New Roman" w:hAnsi="Times New Roman" w:cs="Times New Roman"/>
          <w:i/>
          <w:lang w:val="en-GB"/>
        </w:rPr>
        <w:t>Logical functions and their realization with gate circuits. General characteristics of logic circuits, families of circuits. Combination circuits (encoders and decoders, multiplexers and demultiplexers) and their characteristics.)</w:t>
      </w:r>
    </w:p>
    <w:p w:rsidR="00210B7A" w:rsidRPr="00692F15" w:rsidRDefault="00210B7A" w:rsidP="00980876">
      <w:pPr>
        <w:widowControl w:val="0"/>
        <w:numPr>
          <w:ilvl w:val="1"/>
          <w:numId w:val="635"/>
        </w:numPr>
        <w:tabs>
          <w:tab w:val="clear" w:pos="3977"/>
          <w:tab w:val="num" w:pos="432"/>
          <w:tab w:val="left" w:pos="709"/>
          <w:tab w:val="left" w:pos="993"/>
          <w:tab w:val="num" w:pos="2069"/>
        </w:tabs>
        <w:spacing w:before="120" w:after="120" w:line="240" w:lineRule="auto"/>
        <w:ind w:left="993" w:hanging="567"/>
        <w:jc w:val="both"/>
        <w:rPr>
          <w:rFonts w:ascii="Times New Roman" w:eastAsia="Times New Roman" w:hAnsi="Times New Roman" w:cs="Times New Roman"/>
          <w:b/>
        </w:rPr>
      </w:pPr>
      <w:r w:rsidRPr="00692F15">
        <w:rPr>
          <w:rFonts w:ascii="Times New Roman" w:hAnsi="Times New Roman" w:cs="Times New Roman"/>
          <w:bCs/>
        </w:rPr>
        <w:t>Sorrendi hálózatok (flip-flopok, számláló áramkörök, léptető regiszterek) és jellemzőik</w:t>
      </w:r>
      <w:r w:rsidRPr="00692F15">
        <w:rPr>
          <w:rFonts w:ascii="Times New Roman" w:hAnsi="Times New Roman" w:cs="Times New Roman"/>
        </w:rPr>
        <w:t>.</w:t>
      </w:r>
      <w:r w:rsidRPr="00692F15">
        <w:rPr>
          <w:rFonts w:ascii="Times New Roman" w:eastAsia="Times New Roman" w:hAnsi="Times New Roman" w:cs="Times New Roman"/>
          <w:b/>
        </w:rPr>
        <w:t xml:space="preserve"> </w:t>
      </w:r>
      <w:r w:rsidRPr="00692F15">
        <w:rPr>
          <w:rFonts w:ascii="Times New Roman" w:hAnsi="Times New Roman" w:cs="Times New Roman"/>
        </w:rPr>
        <w:t xml:space="preserve">Elemi sorrendi hálózatok, állapottábla és állapotgráf. Aszinkron és szinkron sorrendi hálózatok. </w:t>
      </w:r>
      <w:r w:rsidRPr="00692F15">
        <w:rPr>
          <w:rFonts w:ascii="Times New Roman" w:hAnsi="Times New Roman" w:cs="Times New Roman"/>
          <w:i/>
        </w:rPr>
        <w:t>(</w:t>
      </w:r>
      <w:r w:rsidRPr="00692F15">
        <w:rPr>
          <w:rFonts w:ascii="Times New Roman" w:eastAsia="Times New Roman" w:hAnsi="Times New Roman" w:cs="Times New Roman"/>
          <w:i/>
          <w:lang w:val="en-GB"/>
        </w:rPr>
        <w:t>Sequential networks (flip-flops, counting circuits, step registers) and their characteristics. Elemental order networks, status table, and status graph. Asynchronous and synchronous sequential networks.</w:t>
      </w:r>
      <w:r>
        <w:rPr>
          <w:rFonts w:ascii="Times New Roman" w:eastAsia="Times New Roman" w:hAnsi="Times New Roman" w:cs="Times New Roman"/>
          <w:i/>
          <w:lang w:val="en-GB"/>
        </w:rPr>
        <w:t>)</w:t>
      </w:r>
    </w:p>
    <w:p w:rsidR="00210B7A" w:rsidRPr="00692F15" w:rsidRDefault="00210B7A" w:rsidP="00980876">
      <w:pPr>
        <w:widowControl w:val="0"/>
        <w:numPr>
          <w:ilvl w:val="1"/>
          <w:numId w:val="635"/>
        </w:numPr>
        <w:tabs>
          <w:tab w:val="clear" w:pos="3977"/>
          <w:tab w:val="num" w:pos="432"/>
          <w:tab w:val="left" w:pos="709"/>
          <w:tab w:val="left" w:pos="993"/>
          <w:tab w:val="num" w:pos="2069"/>
        </w:tabs>
        <w:spacing w:before="120" w:after="120" w:line="240" w:lineRule="auto"/>
        <w:ind w:left="993" w:hanging="567"/>
        <w:jc w:val="both"/>
        <w:rPr>
          <w:rFonts w:ascii="Times New Roman" w:eastAsia="Times New Roman" w:hAnsi="Times New Roman" w:cs="Times New Roman"/>
          <w:b/>
        </w:rPr>
      </w:pPr>
      <w:r w:rsidRPr="00692F15">
        <w:rPr>
          <w:rFonts w:ascii="Times New Roman" w:hAnsi="Times New Roman" w:cs="Times New Roman"/>
        </w:rPr>
        <w:t xml:space="preserve">Digitális áramkörök építőelemei: tárolók, számlálók, regiszterek, összegzők, komparátorok, kódátalakítók, kódolók, dekódolók, paritásképző/ellenőrző áramkörök. </w:t>
      </w:r>
      <w:r w:rsidRPr="00692F15">
        <w:rPr>
          <w:rFonts w:ascii="Times New Roman" w:hAnsi="Times New Roman" w:cs="Times New Roman"/>
          <w:i/>
        </w:rPr>
        <w:t>(</w:t>
      </w:r>
      <w:r w:rsidRPr="00692F15">
        <w:rPr>
          <w:rFonts w:ascii="Times New Roman" w:eastAsia="Times New Roman" w:hAnsi="Times New Roman" w:cs="Times New Roman"/>
          <w:i/>
          <w:lang w:val="en-GB"/>
        </w:rPr>
        <w:t>Building blocks for digital circuits: storage, counters, registers, summers, comparators, transducers, encoders, decoders, parity generator / control circuits.)</w:t>
      </w:r>
    </w:p>
    <w:p w:rsidR="00210B7A" w:rsidRPr="00692F15" w:rsidRDefault="00210B7A" w:rsidP="00980876">
      <w:pPr>
        <w:widowControl w:val="0"/>
        <w:numPr>
          <w:ilvl w:val="1"/>
          <w:numId w:val="635"/>
        </w:numPr>
        <w:tabs>
          <w:tab w:val="clear" w:pos="3977"/>
          <w:tab w:val="num" w:pos="432"/>
          <w:tab w:val="left" w:pos="709"/>
          <w:tab w:val="left" w:pos="993"/>
          <w:tab w:val="num" w:pos="2069"/>
        </w:tabs>
        <w:spacing w:before="120" w:after="120" w:line="240" w:lineRule="auto"/>
        <w:ind w:left="993" w:hanging="567"/>
        <w:jc w:val="both"/>
        <w:rPr>
          <w:rFonts w:ascii="Times New Roman" w:eastAsia="Times New Roman" w:hAnsi="Times New Roman" w:cs="Times New Roman"/>
          <w:b/>
        </w:rPr>
      </w:pPr>
      <w:r w:rsidRPr="00692F15">
        <w:rPr>
          <w:rFonts w:ascii="Times New Roman" w:hAnsi="Times New Roman" w:cs="Times New Roman"/>
          <w:bCs/>
        </w:rPr>
        <w:t>Processzorok és memóriák, RAM és ROM tárak.</w:t>
      </w:r>
      <w:r w:rsidRPr="00692F15">
        <w:rPr>
          <w:rFonts w:ascii="Times New Roman" w:hAnsi="Times New Roman" w:cs="Times New Roman"/>
          <w:iCs/>
        </w:rPr>
        <w:t xml:space="preserve"> </w:t>
      </w:r>
      <w:r w:rsidRPr="00692F15">
        <w:rPr>
          <w:rFonts w:ascii="Times New Roman" w:eastAsia="Times New Roman" w:hAnsi="Times New Roman" w:cs="Times New Roman"/>
          <w:i/>
          <w:lang w:val="en-GB"/>
        </w:rPr>
        <w:t>Processors and memory, RAM and ROM storage.</w:t>
      </w:r>
    </w:p>
    <w:p w:rsidR="00210B7A" w:rsidRPr="00692F15" w:rsidRDefault="00210B7A" w:rsidP="00980876">
      <w:pPr>
        <w:widowControl w:val="0"/>
        <w:numPr>
          <w:ilvl w:val="1"/>
          <w:numId w:val="635"/>
        </w:numPr>
        <w:tabs>
          <w:tab w:val="clear" w:pos="3977"/>
          <w:tab w:val="num" w:pos="432"/>
          <w:tab w:val="left" w:pos="709"/>
          <w:tab w:val="left" w:pos="993"/>
          <w:tab w:val="num" w:pos="2069"/>
        </w:tabs>
        <w:spacing w:before="120" w:after="120" w:line="240" w:lineRule="auto"/>
        <w:ind w:left="993" w:hanging="567"/>
        <w:jc w:val="both"/>
        <w:rPr>
          <w:rFonts w:ascii="Times New Roman" w:eastAsia="Times New Roman" w:hAnsi="Times New Roman" w:cs="Times New Roman"/>
          <w:bCs/>
          <w:lang w:eastAsia="hu-HU"/>
        </w:rPr>
      </w:pPr>
      <w:r w:rsidRPr="00692F15">
        <w:rPr>
          <w:rFonts w:ascii="Times New Roman" w:hAnsi="Times New Roman" w:cs="Times New Roman"/>
          <w:bCs/>
        </w:rPr>
        <w:t xml:space="preserve">A képi megjelenítés alapjai. </w:t>
      </w:r>
      <w:r w:rsidRPr="00692F15">
        <w:rPr>
          <w:rFonts w:ascii="Times New Roman" w:hAnsi="Times New Roman" w:cs="Times New Roman"/>
          <w:iCs/>
        </w:rPr>
        <w:t xml:space="preserve">Numerikus és alfanumerikus kijelzők Képernyő-típusok és jellemzői (CRT; LCD és plazma); Kamerák; Nyomtató-típusok és jellemzői (mátrix; tintasugaras és lézer). </w:t>
      </w:r>
      <w:r w:rsidRPr="00692F15">
        <w:rPr>
          <w:rFonts w:ascii="Times New Roman" w:eastAsia="Times New Roman" w:hAnsi="Times New Roman" w:cs="Times New Roman"/>
          <w:i/>
          <w:lang w:val="en-GB"/>
        </w:rPr>
        <w:t>The basics of visualization. Numeric and Alphanumeric Displays Screen Types and Features (CRT; LCD and Plasma); cameras; Printer Types and Features (Matrix; Inkjet and Laser)</w:t>
      </w:r>
    </w:p>
    <w:p w:rsidR="00210B7A" w:rsidRPr="00692F15" w:rsidRDefault="00210B7A" w:rsidP="00980876">
      <w:pPr>
        <w:widowControl w:val="0"/>
        <w:numPr>
          <w:ilvl w:val="0"/>
          <w:numId w:val="635"/>
        </w:numPr>
        <w:spacing w:before="120" w:after="120" w:line="240" w:lineRule="auto"/>
        <w:ind w:left="426" w:hanging="142"/>
        <w:jc w:val="both"/>
        <w:rPr>
          <w:rFonts w:ascii="Times New Roman" w:eastAsia="Times New Roman" w:hAnsi="Times New Roman" w:cs="Times New Roman"/>
          <w:bCs/>
        </w:rPr>
      </w:pPr>
      <w:r w:rsidRPr="00692F15">
        <w:rPr>
          <w:rFonts w:ascii="Times New Roman" w:eastAsia="Times New Roman" w:hAnsi="Times New Roman" w:cs="Times New Roman"/>
          <w:b/>
          <w:bCs/>
        </w:rPr>
        <w:t xml:space="preserve">A tantárgy meghirdetésének gyakorisága/a tantervben történő félévi elhelyezkedése: </w:t>
      </w:r>
      <w:r w:rsidRPr="00692F15">
        <w:rPr>
          <w:rFonts w:ascii="Liberation Serif" w:hAnsi="Liberation Serif"/>
        </w:rPr>
        <w:t>6</w:t>
      </w:r>
      <w:r w:rsidRPr="00692F15">
        <w:rPr>
          <w:rFonts w:ascii="Liberation Serif" w:hAnsi="Liberation Serif"/>
          <w:bCs/>
        </w:rPr>
        <w:t>. félév</w:t>
      </w:r>
      <w:r w:rsidRPr="00692F15">
        <w:rPr>
          <w:rFonts w:ascii="Times New Roman" w:eastAsia="Times New Roman" w:hAnsi="Times New Roman" w:cs="Times New Roman"/>
          <w:bCs/>
          <w:highlight w:val="yellow"/>
        </w:rPr>
        <w:t xml:space="preserve"> </w:t>
      </w:r>
    </w:p>
    <w:p w:rsidR="00210B7A" w:rsidRPr="00692F15" w:rsidRDefault="00210B7A" w:rsidP="00980876">
      <w:pPr>
        <w:widowControl w:val="0"/>
        <w:numPr>
          <w:ilvl w:val="0"/>
          <w:numId w:val="635"/>
        </w:numPr>
        <w:spacing w:before="120" w:after="120" w:line="240" w:lineRule="auto"/>
        <w:ind w:left="426" w:hanging="142"/>
        <w:jc w:val="both"/>
        <w:rPr>
          <w:rFonts w:ascii="Times New Roman" w:eastAsia="Times New Roman" w:hAnsi="Times New Roman" w:cs="Times New Roman"/>
          <w:bCs/>
        </w:rPr>
      </w:pPr>
      <w:r w:rsidRPr="00692F15">
        <w:rPr>
          <w:rFonts w:ascii="Times New Roman" w:eastAsia="Times New Roman" w:hAnsi="Times New Roman" w:cs="Times New Roman"/>
          <w:b/>
          <w:bCs/>
        </w:rPr>
        <w:t>A tanórákon való részvétel követelményei, az elfogadható hiányzások mértéke, a távolmaradás pótlásának lehetősége:</w:t>
      </w:r>
      <w:r w:rsidRPr="00692F15">
        <w:rPr>
          <w:rFonts w:ascii="Times New Roman" w:eastAsia="Times New Roman" w:hAnsi="Times New Roman" w:cs="Times New Roman"/>
          <w:bCs/>
        </w:rPr>
        <w:t xml:space="preserve"> </w:t>
      </w:r>
    </w:p>
    <w:p w:rsidR="00210B7A" w:rsidRPr="00692F15" w:rsidRDefault="00210B7A" w:rsidP="00210B7A">
      <w:pPr>
        <w:widowControl w:val="0"/>
        <w:spacing w:before="120" w:after="120" w:line="240" w:lineRule="auto"/>
        <w:ind w:left="426"/>
        <w:jc w:val="both"/>
        <w:rPr>
          <w:rFonts w:ascii="Times New Roman" w:eastAsia="Times New Roman" w:hAnsi="Times New Roman" w:cs="Times New Roman"/>
          <w:bCs/>
        </w:rPr>
      </w:pPr>
      <w:r w:rsidRPr="00692F15">
        <w:rPr>
          <w:rFonts w:ascii="Times New Roman" w:eastAsia="Times New Roman" w:hAnsi="Times New Roman" w:cs="Times New Roman"/>
          <w:bCs/>
        </w:rPr>
        <w:t>A hallgató köteles a</w:t>
      </w:r>
      <w:r w:rsidRPr="00692F15">
        <w:rPr>
          <w:rFonts w:ascii="Liberation Serif" w:hAnsi="Liberation Serif"/>
          <w:bCs/>
        </w:rPr>
        <w:t xml:space="preserve"> tanórák minimum 50%-án és </w:t>
      </w:r>
      <w:r w:rsidRPr="00692F15">
        <w:rPr>
          <w:rFonts w:ascii="Times New Roman" w:eastAsia="Times New Roman" w:hAnsi="Times New Roman" w:cs="Times New Roman"/>
          <w:bCs/>
        </w:rPr>
        <w:t>valamennyi</w:t>
      </w:r>
      <w:r w:rsidRPr="00692F15">
        <w:rPr>
          <w:rFonts w:ascii="Liberation Serif" w:hAnsi="Liberation Serif"/>
          <w:bCs/>
        </w:rPr>
        <w:t xml:space="preserve"> mérési gyakorlaton részt venni, amennyiben </w:t>
      </w:r>
      <w:r w:rsidRPr="00692F15">
        <w:rPr>
          <w:rFonts w:ascii="Times New Roman" w:eastAsia="Times New Roman" w:hAnsi="Times New Roman" w:cs="Times New Roman"/>
          <w:bCs/>
        </w:rPr>
        <w:t xml:space="preserve">a hallgató az elfogadható hiányzások mértékét túllépi, ennek a következménye az aláírás megtagadása. </w:t>
      </w:r>
    </w:p>
    <w:p w:rsidR="00210B7A" w:rsidRPr="00692F15" w:rsidRDefault="00210B7A" w:rsidP="00980876">
      <w:pPr>
        <w:widowControl w:val="0"/>
        <w:numPr>
          <w:ilvl w:val="0"/>
          <w:numId w:val="635"/>
        </w:numPr>
        <w:spacing w:before="120" w:after="120" w:line="240" w:lineRule="auto"/>
        <w:ind w:left="426" w:hanging="142"/>
        <w:jc w:val="both"/>
        <w:rPr>
          <w:rFonts w:ascii="Times New Roman" w:eastAsia="Times New Roman" w:hAnsi="Times New Roman" w:cs="Times New Roman"/>
          <w:bCs/>
        </w:rPr>
      </w:pPr>
      <w:r w:rsidRPr="00210B7A">
        <w:rPr>
          <w:rFonts w:ascii="Times New Roman" w:eastAsia="Times New Roman" w:hAnsi="Times New Roman" w:cs="Times New Roman"/>
          <w:b/>
          <w:bCs/>
        </w:rPr>
        <w:lastRenderedPageBreak/>
        <w:t>Félévközi</w:t>
      </w:r>
      <w:r w:rsidRPr="00692F15">
        <w:rPr>
          <w:rFonts w:ascii="Times New Roman" w:eastAsia="Times New Roman" w:hAnsi="Times New Roman" w:cs="Times New Roman"/>
          <w:b/>
        </w:rPr>
        <w:t xml:space="preserve"> feladatok, ismeretek ellenőrzésének rendje:</w:t>
      </w:r>
      <w:r w:rsidRPr="00692F15">
        <w:rPr>
          <w:rFonts w:ascii="Times New Roman" w:eastAsia="Times New Roman" w:hAnsi="Times New Roman" w:cs="Times New Roman"/>
          <w:bCs/>
        </w:rPr>
        <w:t xml:space="preserve"> </w:t>
      </w:r>
    </w:p>
    <w:p w:rsidR="00210B7A" w:rsidRPr="00692F15" w:rsidRDefault="00210B7A" w:rsidP="00210B7A">
      <w:pPr>
        <w:widowControl w:val="0"/>
        <w:spacing w:before="120" w:after="120" w:line="240" w:lineRule="auto"/>
        <w:ind w:left="426"/>
        <w:jc w:val="both"/>
        <w:rPr>
          <w:rFonts w:ascii="Times New Roman" w:eastAsia="Times New Roman" w:hAnsi="Times New Roman" w:cs="Times New Roman"/>
          <w:bCs/>
        </w:rPr>
      </w:pPr>
      <w:r w:rsidRPr="00692F15">
        <w:rPr>
          <w:rFonts w:ascii="Times New Roman" w:eastAsia="Times New Roman" w:hAnsi="Times New Roman" w:cs="Times New Roman"/>
          <w:bCs/>
        </w:rPr>
        <w:t xml:space="preserve">A hallgató a félév során egy zárthelyi dolgozatot ír </w:t>
      </w:r>
      <w:r w:rsidRPr="00692F15">
        <w:rPr>
          <w:rFonts w:ascii="Times New Roman" w:hAnsi="Times New Roman" w:cs="Times New Roman"/>
          <w:bCs/>
        </w:rPr>
        <w:t xml:space="preserve">a 12.1-6 tananyagrészből. </w:t>
      </w:r>
      <w:r w:rsidRPr="00692F15">
        <w:rPr>
          <w:rFonts w:ascii="Times New Roman" w:eastAsia="Times New Roman" w:hAnsi="Times New Roman" w:cs="Times New Roman"/>
          <w:bCs/>
        </w:rPr>
        <w:t>A zárthelyi dolgozat megfelelő szintű teljesítésének alsó határa 51 %. A zárthelyi dolgozat a félévköz folyamán egy alkalommal pótolható, illetve javítható.</w:t>
      </w:r>
    </w:p>
    <w:p w:rsidR="00210B7A" w:rsidRPr="00692F15" w:rsidRDefault="00210B7A" w:rsidP="00980876">
      <w:pPr>
        <w:widowControl w:val="0"/>
        <w:numPr>
          <w:ilvl w:val="0"/>
          <w:numId w:val="635"/>
        </w:numPr>
        <w:spacing w:before="120" w:after="120" w:line="240" w:lineRule="auto"/>
        <w:ind w:left="426" w:hanging="142"/>
        <w:jc w:val="both"/>
        <w:rPr>
          <w:rFonts w:ascii="Times New Roman" w:eastAsia="Times New Roman" w:hAnsi="Times New Roman" w:cs="Times New Roman"/>
          <w:b/>
          <w:bCs/>
        </w:rPr>
      </w:pPr>
      <w:r w:rsidRPr="00692F15">
        <w:rPr>
          <w:rFonts w:ascii="Times New Roman" w:eastAsia="Times New Roman" w:hAnsi="Times New Roman" w:cs="Times New Roman"/>
          <w:b/>
          <w:bCs/>
        </w:rPr>
        <w:t xml:space="preserve">Az értékelés, az aláírás és a kreditek megszerzésének pontos feltételei: </w:t>
      </w:r>
    </w:p>
    <w:p w:rsidR="00210B7A" w:rsidRPr="00692F15" w:rsidRDefault="00210B7A" w:rsidP="00980876">
      <w:pPr>
        <w:widowControl w:val="0"/>
        <w:numPr>
          <w:ilvl w:val="1"/>
          <w:numId w:val="635"/>
        </w:numPr>
        <w:tabs>
          <w:tab w:val="clear" w:pos="3977"/>
          <w:tab w:val="left" w:pos="709"/>
        </w:tabs>
        <w:spacing w:before="120" w:after="120" w:line="240" w:lineRule="auto"/>
        <w:ind w:left="993" w:hanging="574"/>
        <w:jc w:val="both"/>
        <w:rPr>
          <w:rFonts w:ascii="Times New Roman" w:eastAsia="Times New Roman" w:hAnsi="Times New Roman" w:cs="Times New Roman"/>
        </w:rPr>
      </w:pPr>
      <w:r w:rsidRPr="00692F15">
        <w:rPr>
          <w:rFonts w:ascii="Times New Roman" w:eastAsia="Times New Roman" w:hAnsi="Times New Roman" w:cs="Times New Roman"/>
          <w:b/>
        </w:rPr>
        <w:t xml:space="preserve">Az </w:t>
      </w:r>
      <w:r w:rsidRPr="00210B7A">
        <w:rPr>
          <w:rFonts w:ascii="Times New Roman" w:eastAsia="Times New Roman" w:hAnsi="Times New Roman" w:cs="Times New Roman"/>
          <w:b/>
          <w:bCs/>
        </w:rPr>
        <w:t>aláírás</w:t>
      </w:r>
      <w:r w:rsidRPr="00692F15">
        <w:rPr>
          <w:rFonts w:ascii="Times New Roman" w:eastAsia="Times New Roman" w:hAnsi="Times New Roman" w:cs="Times New Roman"/>
          <w:b/>
        </w:rPr>
        <w:t xml:space="preserve"> megszerzésének feltételei:</w:t>
      </w:r>
    </w:p>
    <w:p w:rsidR="00210B7A" w:rsidRPr="00692F15" w:rsidRDefault="00210B7A" w:rsidP="00210B7A">
      <w:pPr>
        <w:widowControl w:val="0"/>
        <w:tabs>
          <w:tab w:val="left" w:pos="993"/>
        </w:tabs>
        <w:spacing w:before="120" w:after="120" w:line="240" w:lineRule="auto"/>
        <w:ind w:left="426"/>
        <w:jc w:val="both"/>
        <w:rPr>
          <w:rFonts w:ascii="Liberation Serif" w:hAnsi="Liberation Serif"/>
          <w:bCs/>
        </w:rPr>
      </w:pPr>
      <w:r w:rsidRPr="00692F15">
        <w:rPr>
          <w:rFonts w:ascii="Liberation Serif" w:hAnsi="Liberation Serif"/>
          <w:bCs/>
        </w:rPr>
        <w:t xml:space="preserve">A zárthelyi dolgozat legalább elégséges (legalább </w:t>
      </w:r>
      <w:r w:rsidRPr="00692F15">
        <w:rPr>
          <w:rFonts w:ascii="Liberation Serif" w:hAnsi="Liberation Serif"/>
        </w:rPr>
        <w:t xml:space="preserve">51%-os eredmény) </w:t>
      </w:r>
      <w:r w:rsidRPr="00692F15">
        <w:rPr>
          <w:rFonts w:ascii="Liberation Serif" w:hAnsi="Liberation Serif"/>
          <w:bCs/>
        </w:rPr>
        <w:t>megírása, valamint az órák 50 %-án való részvétel.</w:t>
      </w:r>
    </w:p>
    <w:p w:rsidR="00210B7A" w:rsidRPr="00692F15" w:rsidRDefault="00210B7A" w:rsidP="00210B7A">
      <w:pPr>
        <w:widowControl w:val="0"/>
        <w:tabs>
          <w:tab w:val="left" w:pos="993"/>
        </w:tabs>
        <w:spacing w:before="120" w:after="120" w:line="240" w:lineRule="auto"/>
        <w:ind w:left="426"/>
        <w:jc w:val="both"/>
        <w:rPr>
          <w:rFonts w:ascii="Times New Roman" w:eastAsia="Times New Roman" w:hAnsi="Times New Roman" w:cs="Times New Roman"/>
        </w:rPr>
      </w:pPr>
      <w:r w:rsidRPr="00692F15">
        <w:rPr>
          <w:rFonts w:ascii="Times New Roman" w:eastAsia="Times New Roman" w:hAnsi="Times New Roman" w:cs="Times New Roman"/>
          <w:b/>
        </w:rPr>
        <w:t>Az értékelés:</w:t>
      </w:r>
      <w:r>
        <w:rPr>
          <w:rFonts w:ascii="Times New Roman" w:eastAsia="Times New Roman" w:hAnsi="Times New Roman" w:cs="Times New Roman"/>
          <w:b/>
        </w:rPr>
        <w:t xml:space="preserve"> </w:t>
      </w:r>
      <w:r w:rsidRPr="00692F15">
        <w:rPr>
          <w:rFonts w:ascii="Liberation Serif" w:hAnsi="Liberation Serif"/>
        </w:rPr>
        <w:t>Szóbeli vizsgán történik.</w:t>
      </w:r>
    </w:p>
    <w:p w:rsidR="00210B7A" w:rsidRPr="00210B7A" w:rsidRDefault="00210B7A" w:rsidP="00980876">
      <w:pPr>
        <w:widowControl w:val="0"/>
        <w:numPr>
          <w:ilvl w:val="1"/>
          <w:numId w:val="635"/>
        </w:numPr>
        <w:tabs>
          <w:tab w:val="clear" w:pos="3977"/>
          <w:tab w:val="left" w:pos="709"/>
        </w:tabs>
        <w:spacing w:before="120" w:after="120" w:line="240" w:lineRule="auto"/>
        <w:ind w:left="426" w:hanging="574"/>
        <w:jc w:val="both"/>
        <w:rPr>
          <w:rFonts w:ascii="Times New Roman" w:eastAsia="Times New Roman" w:hAnsi="Times New Roman" w:cs="Times New Roman"/>
        </w:rPr>
      </w:pPr>
      <w:r w:rsidRPr="00210B7A">
        <w:rPr>
          <w:rFonts w:ascii="Times New Roman" w:eastAsia="Times New Roman" w:hAnsi="Times New Roman" w:cs="Times New Roman"/>
          <w:b/>
        </w:rPr>
        <w:t xml:space="preserve">A </w:t>
      </w:r>
      <w:r w:rsidRPr="00210B7A">
        <w:rPr>
          <w:rFonts w:ascii="Times New Roman" w:eastAsia="Times New Roman" w:hAnsi="Times New Roman" w:cs="Times New Roman"/>
          <w:b/>
          <w:bCs/>
        </w:rPr>
        <w:t>kreditek</w:t>
      </w:r>
      <w:r w:rsidRPr="00210B7A">
        <w:rPr>
          <w:rFonts w:ascii="Times New Roman" w:eastAsia="Times New Roman" w:hAnsi="Times New Roman" w:cs="Times New Roman"/>
          <w:b/>
        </w:rPr>
        <w:t xml:space="preserve"> megszerzésének feltételei:</w:t>
      </w:r>
      <w:r w:rsidRPr="00210B7A">
        <w:rPr>
          <w:rFonts w:ascii="Times New Roman" w:eastAsia="Times New Roman" w:hAnsi="Times New Roman" w:cs="Times New Roman"/>
        </w:rPr>
        <w:t xml:space="preserve"> Legalább elégséges szóbeli vizsga.</w:t>
      </w:r>
    </w:p>
    <w:p w:rsidR="00210B7A" w:rsidRPr="00692F15" w:rsidRDefault="00210B7A" w:rsidP="00980876">
      <w:pPr>
        <w:widowControl w:val="0"/>
        <w:numPr>
          <w:ilvl w:val="0"/>
          <w:numId w:val="635"/>
        </w:numPr>
        <w:spacing w:before="120" w:after="120" w:line="240" w:lineRule="auto"/>
        <w:ind w:left="426" w:hanging="142"/>
        <w:jc w:val="both"/>
        <w:rPr>
          <w:rFonts w:ascii="Times New Roman" w:eastAsia="Times New Roman" w:hAnsi="Times New Roman" w:cs="Times New Roman"/>
          <w:bCs/>
        </w:rPr>
      </w:pPr>
      <w:r w:rsidRPr="00692F15">
        <w:rPr>
          <w:rFonts w:ascii="Times New Roman" w:eastAsia="Times New Roman" w:hAnsi="Times New Roman" w:cs="Times New Roman"/>
          <w:b/>
          <w:bCs/>
        </w:rPr>
        <w:t>Irodalomjegyzék:</w:t>
      </w:r>
    </w:p>
    <w:p w:rsidR="00210B7A" w:rsidRPr="00692F15" w:rsidRDefault="00210B7A" w:rsidP="00980876">
      <w:pPr>
        <w:widowControl w:val="0"/>
        <w:numPr>
          <w:ilvl w:val="1"/>
          <w:numId w:val="635"/>
        </w:numPr>
        <w:tabs>
          <w:tab w:val="clear" w:pos="3977"/>
          <w:tab w:val="left" w:pos="709"/>
        </w:tabs>
        <w:spacing w:before="120" w:after="120" w:line="240" w:lineRule="auto"/>
        <w:ind w:left="993" w:hanging="574"/>
        <w:jc w:val="both"/>
        <w:rPr>
          <w:rFonts w:ascii="Times New Roman" w:eastAsia="Times New Roman" w:hAnsi="Times New Roman" w:cs="Times New Roman"/>
          <w:bCs/>
        </w:rPr>
      </w:pPr>
      <w:r w:rsidRPr="00210B7A">
        <w:rPr>
          <w:rFonts w:ascii="Times New Roman" w:eastAsia="Times New Roman" w:hAnsi="Times New Roman" w:cs="Times New Roman"/>
          <w:b/>
        </w:rPr>
        <w:t>Kötelező</w:t>
      </w:r>
      <w:r w:rsidRPr="00692F15">
        <w:rPr>
          <w:rFonts w:ascii="Times New Roman" w:eastAsia="Times New Roman" w:hAnsi="Times New Roman" w:cs="Times New Roman"/>
          <w:b/>
          <w:bCs/>
        </w:rPr>
        <w:t xml:space="preserve"> irodalom:</w:t>
      </w:r>
    </w:p>
    <w:p w:rsidR="00210B7A" w:rsidRPr="00210B7A" w:rsidRDefault="00210B7A" w:rsidP="00980876">
      <w:pPr>
        <w:widowControl w:val="0"/>
        <w:numPr>
          <w:ilvl w:val="0"/>
          <w:numId w:val="636"/>
        </w:numPr>
        <w:spacing w:after="0" w:line="240" w:lineRule="auto"/>
        <w:jc w:val="both"/>
        <w:rPr>
          <w:rFonts w:ascii="Times New Roman" w:hAnsi="Times New Roman"/>
        </w:rPr>
      </w:pPr>
      <w:r w:rsidRPr="00692F15">
        <w:rPr>
          <w:rFonts w:ascii="Times New Roman" w:hAnsi="Times New Roman"/>
        </w:rPr>
        <w:t xml:space="preserve">Veres György: </w:t>
      </w:r>
      <w:r w:rsidRPr="00210B7A">
        <w:rPr>
          <w:rFonts w:ascii="Times New Roman" w:hAnsi="Times New Roman"/>
        </w:rPr>
        <w:t>Digitális technika I – V.</w:t>
      </w:r>
      <w:r w:rsidRPr="00692F15">
        <w:rPr>
          <w:rFonts w:ascii="Times New Roman" w:hAnsi="Times New Roman"/>
        </w:rPr>
        <w:t xml:space="preserve"> BJKMF jegyzet</w:t>
      </w:r>
      <w:r w:rsidR="00C079AC">
        <w:rPr>
          <w:rFonts w:ascii="Times New Roman" w:hAnsi="Times New Roman"/>
        </w:rPr>
        <w:t xml:space="preserve"> </w:t>
      </w:r>
      <w:r w:rsidRPr="00692F15">
        <w:rPr>
          <w:rFonts w:ascii="Times New Roman" w:hAnsi="Times New Roman"/>
        </w:rPr>
        <w:t>2003.</w:t>
      </w:r>
      <w:r w:rsidRPr="00210B7A">
        <w:rPr>
          <w:rFonts w:ascii="Times New Roman" w:hAnsi="Times New Roman"/>
        </w:rPr>
        <w:t xml:space="preserve"> </w:t>
      </w:r>
    </w:p>
    <w:p w:rsidR="00210B7A" w:rsidRPr="00692F15" w:rsidRDefault="00210B7A" w:rsidP="00980876">
      <w:pPr>
        <w:widowControl w:val="0"/>
        <w:numPr>
          <w:ilvl w:val="0"/>
          <w:numId w:val="636"/>
        </w:numPr>
        <w:spacing w:after="0" w:line="240" w:lineRule="auto"/>
        <w:jc w:val="both"/>
        <w:rPr>
          <w:rFonts w:ascii="Times New Roman" w:hAnsi="Times New Roman"/>
        </w:rPr>
      </w:pPr>
      <w:r w:rsidRPr="00692F15">
        <w:rPr>
          <w:rFonts w:ascii="Times New Roman" w:hAnsi="Times New Roman"/>
        </w:rPr>
        <w:t xml:space="preserve">U.Tietze – Ch. Schenk (1981): </w:t>
      </w:r>
      <w:r w:rsidRPr="00210B7A">
        <w:rPr>
          <w:rFonts w:ascii="Times New Roman" w:hAnsi="Times New Roman"/>
        </w:rPr>
        <w:t xml:space="preserve">Analóg – és digitális áramkörök. </w:t>
      </w:r>
      <w:r w:rsidRPr="00692F15">
        <w:rPr>
          <w:rFonts w:ascii="Times New Roman" w:hAnsi="Times New Roman"/>
        </w:rPr>
        <w:t>Műszaki Könyvkiadó</w:t>
      </w:r>
    </w:p>
    <w:p w:rsidR="00210B7A" w:rsidRPr="00692F15" w:rsidRDefault="00210B7A" w:rsidP="00980876">
      <w:pPr>
        <w:widowControl w:val="0"/>
        <w:numPr>
          <w:ilvl w:val="1"/>
          <w:numId w:val="635"/>
        </w:numPr>
        <w:tabs>
          <w:tab w:val="clear" w:pos="3977"/>
          <w:tab w:val="left" w:pos="709"/>
          <w:tab w:val="num" w:pos="2069"/>
        </w:tabs>
        <w:spacing w:before="120" w:after="120" w:line="240" w:lineRule="auto"/>
        <w:ind w:left="993" w:hanging="574"/>
        <w:jc w:val="both"/>
        <w:rPr>
          <w:rFonts w:ascii="Times New Roman" w:eastAsia="Times New Roman" w:hAnsi="Times New Roman" w:cs="Times New Roman"/>
          <w:b/>
          <w:bCs/>
        </w:rPr>
      </w:pPr>
      <w:r w:rsidRPr="00210B7A">
        <w:rPr>
          <w:rFonts w:ascii="Times New Roman" w:eastAsia="Times New Roman" w:hAnsi="Times New Roman" w:cs="Times New Roman"/>
          <w:b/>
        </w:rPr>
        <w:t>Ajánlott</w:t>
      </w:r>
      <w:r w:rsidRPr="00692F15">
        <w:rPr>
          <w:rFonts w:ascii="Times New Roman" w:eastAsia="Times New Roman" w:hAnsi="Times New Roman" w:cs="Times New Roman"/>
          <w:b/>
          <w:bCs/>
        </w:rPr>
        <w:t xml:space="preserve"> irodalom:</w:t>
      </w:r>
    </w:p>
    <w:p w:rsidR="00210B7A" w:rsidRPr="00210B7A" w:rsidRDefault="00210B7A" w:rsidP="00980876">
      <w:pPr>
        <w:widowControl w:val="0"/>
        <w:numPr>
          <w:ilvl w:val="0"/>
          <w:numId w:val="637"/>
        </w:numPr>
        <w:spacing w:after="0" w:line="240" w:lineRule="auto"/>
        <w:jc w:val="both"/>
        <w:rPr>
          <w:rFonts w:ascii="Times New Roman" w:hAnsi="Times New Roman"/>
        </w:rPr>
      </w:pPr>
      <w:r w:rsidRPr="00210B7A">
        <w:rPr>
          <w:rFonts w:ascii="Times New Roman" w:hAnsi="Times New Roman"/>
        </w:rPr>
        <w:t>Agarwal A. – Lang J. (2005): Foundations of Analog and Digital Electronic Circuits. Morgan Kaufmann Publishers.</w:t>
      </w:r>
    </w:p>
    <w:p w:rsidR="00210B7A" w:rsidRPr="00210B7A" w:rsidRDefault="00210B7A" w:rsidP="00980876">
      <w:pPr>
        <w:widowControl w:val="0"/>
        <w:numPr>
          <w:ilvl w:val="0"/>
          <w:numId w:val="637"/>
        </w:numPr>
        <w:spacing w:after="0" w:line="240" w:lineRule="auto"/>
        <w:jc w:val="both"/>
        <w:rPr>
          <w:rFonts w:ascii="Times New Roman" w:hAnsi="Times New Roman"/>
        </w:rPr>
      </w:pPr>
      <w:r w:rsidRPr="00210B7A">
        <w:rPr>
          <w:rFonts w:ascii="Times New Roman" w:hAnsi="Times New Roman"/>
        </w:rPr>
        <w:t xml:space="preserve"> Hegyesi L. – Kovács Cs. (2010): Digitális elektronika. General Press Könyvkiadó.</w:t>
      </w:r>
    </w:p>
    <w:p w:rsidR="00C079AC" w:rsidRPr="00C079AC" w:rsidRDefault="00C079AC" w:rsidP="00980876">
      <w:pPr>
        <w:widowControl w:val="0"/>
        <w:numPr>
          <w:ilvl w:val="0"/>
          <w:numId w:val="637"/>
        </w:numPr>
        <w:spacing w:after="0" w:line="240" w:lineRule="auto"/>
        <w:jc w:val="both"/>
        <w:rPr>
          <w:rFonts w:ascii="Times New Roman" w:hAnsi="Times New Roman"/>
          <w:highlight w:val="yellow"/>
        </w:rPr>
      </w:pPr>
      <w:r w:rsidRPr="00C079AC">
        <w:rPr>
          <w:rFonts w:ascii="Times New Roman" w:hAnsi="Times New Roman"/>
          <w:highlight w:val="yellow"/>
        </w:rPr>
        <w:t xml:space="preserve">Millman J.(1979): Digital and Analog Circuits and Systems. McGraw-Hill. </w:t>
      </w:r>
    </w:p>
    <w:p w:rsidR="00210B7A" w:rsidRDefault="00210B7A" w:rsidP="00210B7A">
      <w:pPr>
        <w:widowControl w:val="0"/>
        <w:spacing w:before="120" w:after="120" w:line="240" w:lineRule="auto"/>
        <w:jc w:val="both"/>
        <w:rPr>
          <w:rFonts w:ascii="Times New Roman" w:eastAsia="Times New Roman" w:hAnsi="Times New Roman" w:cs="Times New Roman"/>
          <w:bCs/>
        </w:rPr>
      </w:pPr>
    </w:p>
    <w:p w:rsidR="00210B7A" w:rsidRPr="00692F15" w:rsidRDefault="00210B7A" w:rsidP="00210B7A">
      <w:pPr>
        <w:widowControl w:val="0"/>
        <w:spacing w:before="120" w:after="120" w:line="240" w:lineRule="auto"/>
        <w:ind w:firstLine="360"/>
        <w:jc w:val="both"/>
        <w:rPr>
          <w:rFonts w:ascii="Times New Roman" w:eastAsia="Times New Roman" w:hAnsi="Times New Roman" w:cs="Times New Roman"/>
          <w:bCs/>
        </w:rPr>
      </w:pPr>
      <w:r w:rsidRPr="00692F15">
        <w:rPr>
          <w:rFonts w:ascii="Times New Roman" w:eastAsia="Times New Roman" w:hAnsi="Times New Roman" w:cs="Times New Roman"/>
          <w:bCs/>
        </w:rPr>
        <w:t>Budapest, 2019. december 30.</w:t>
      </w:r>
    </w:p>
    <w:p w:rsidR="00210B7A" w:rsidRPr="00692F15" w:rsidRDefault="00210B7A" w:rsidP="00210B7A">
      <w:pPr>
        <w:widowControl w:val="0"/>
        <w:spacing w:before="120" w:after="120" w:line="240" w:lineRule="auto"/>
        <w:jc w:val="both"/>
        <w:rPr>
          <w:rFonts w:ascii="Times New Roman" w:eastAsia="Times New Roman" w:hAnsi="Times New Roman" w:cs="Times New Roman"/>
          <w:bCs/>
        </w:rPr>
      </w:pPr>
    </w:p>
    <w:p w:rsidR="00210B7A" w:rsidRPr="00692F15" w:rsidRDefault="00210B7A" w:rsidP="00210B7A">
      <w:pPr>
        <w:widowControl w:val="0"/>
        <w:spacing w:after="0" w:line="240" w:lineRule="auto"/>
        <w:jc w:val="right"/>
        <w:rPr>
          <w:rFonts w:ascii="Times New Roman" w:eastAsia="Times New Roman" w:hAnsi="Times New Roman" w:cs="Times New Roman"/>
          <w:bCs/>
        </w:rPr>
      </w:pPr>
      <w:r w:rsidRPr="00692F15">
        <w:rPr>
          <w:rFonts w:ascii="Times New Roman" w:hAnsi="Times New Roman" w:cs="Times New Roman"/>
        </w:rPr>
        <w:t>Dr. Fatalin László, Ph.D. egyetemi docens</w:t>
      </w:r>
    </w:p>
    <w:p w:rsidR="00210B7A" w:rsidRPr="00692F15" w:rsidRDefault="00210B7A" w:rsidP="00210B7A">
      <w:pPr>
        <w:widowControl w:val="0"/>
        <w:spacing w:after="0" w:line="240" w:lineRule="auto"/>
        <w:ind w:right="1701"/>
        <w:jc w:val="right"/>
        <w:rPr>
          <w:rFonts w:ascii="Times New Roman" w:eastAsia="Times New Roman" w:hAnsi="Times New Roman" w:cs="Times New Roman"/>
          <w:bCs/>
        </w:rPr>
      </w:pPr>
      <w:r w:rsidRPr="00692F15">
        <w:rPr>
          <w:rFonts w:ascii="Times New Roman" w:eastAsia="Times New Roman" w:hAnsi="Times New Roman" w:cs="Times New Roman"/>
          <w:bCs/>
        </w:rPr>
        <w:t>sk.</w:t>
      </w:r>
    </w:p>
    <w:p w:rsidR="00210B7A" w:rsidRDefault="00210B7A">
      <w:pPr>
        <w:spacing w:after="200" w:line="276" w:lineRule="auto"/>
        <w:rPr>
          <w:rFonts w:ascii="Times New Roman" w:hAnsi="Times New Roman" w:cs="Times New Roman"/>
          <w:sz w:val="24"/>
        </w:rPr>
      </w:pPr>
      <w:r>
        <w:rPr>
          <w:rFonts w:ascii="Times New Roman" w:hAnsi="Times New Roman" w:cs="Times New Roman"/>
          <w:sz w:val="24"/>
        </w:rPr>
        <w:br w:type="page"/>
      </w:r>
    </w:p>
    <w:tbl>
      <w:tblPr>
        <w:tblW w:w="9072" w:type="dxa"/>
        <w:tblInd w:w="113" w:type="dxa"/>
        <w:tblLook w:val="01E0" w:firstRow="1" w:lastRow="1" w:firstColumn="1" w:lastColumn="1" w:noHBand="0" w:noVBand="0"/>
      </w:tblPr>
      <w:tblGrid>
        <w:gridCol w:w="4855"/>
        <w:gridCol w:w="1620"/>
        <w:gridCol w:w="2597"/>
      </w:tblGrid>
      <w:tr w:rsidR="00210B7A" w:rsidRPr="00210B7A" w:rsidTr="00210B7A">
        <w:tc>
          <w:tcPr>
            <w:tcW w:w="4855" w:type="dxa"/>
            <w:tcBorders>
              <w:bottom w:val="single" w:sz="4" w:space="0" w:color="auto"/>
            </w:tcBorders>
          </w:tcPr>
          <w:p w:rsidR="00210B7A" w:rsidRPr="00210B7A" w:rsidRDefault="00210B7A" w:rsidP="00210B7A">
            <w:pPr>
              <w:spacing w:after="0" w:line="240" w:lineRule="auto"/>
              <w:jc w:val="center"/>
              <w:rPr>
                <w:rFonts w:ascii="Times New Roman" w:eastAsia="Times New Roman" w:hAnsi="Times New Roman" w:cs="Times New Roman"/>
                <w:b/>
                <w:smallCaps/>
                <w:lang w:eastAsia="hu-HU"/>
              </w:rPr>
            </w:pPr>
            <w:r w:rsidRPr="00210B7A">
              <w:rPr>
                <w:rFonts w:ascii="Times New Roman" w:eastAsia="Times New Roman" w:hAnsi="Times New Roman" w:cs="Times New Roman"/>
                <w:b/>
                <w:smallCaps/>
                <w:lang w:eastAsia="hu-HU"/>
              </w:rPr>
              <w:lastRenderedPageBreak/>
              <w:t>Nemzeti Közszolgálati Egyetem</w:t>
            </w:r>
          </w:p>
        </w:tc>
        <w:tc>
          <w:tcPr>
            <w:tcW w:w="1620" w:type="dxa"/>
          </w:tcPr>
          <w:p w:rsidR="00210B7A" w:rsidRPr="00210B7A" w:rsidRDefault="00210B7A" w:rsidP="00210B7A">
            <w:pPr>
              <w:spacing w:after="0" w:line="240" w:lineRule="auto"/>
              <w:jc w:val="both"/>
              <w:rPr>
                <w:rFonts w:ascii="Times New Roman" w:eastAsia="Times New Roman" w:hAnsi="Times New Roman" w:cs="Times New Roman"/>
                <w:lang w:eastAsia="hu-HU"/>
              </w:rPr>
            </w:pPr>
          </w:p>
        </w:tc>
        <w:tc>
          <w:tcPr>
            <w:tcW w:w="2597" w:type="dxa"/>
          </w:tcPr>
          <w:p w:rsidR="00210B7A" w:rsidRPr="00210B7A" w:rsidRDefault="00210B7A" w:rsidP="00210B7A">
            <w:pPr>
              <w:spacing w:after="0" w:line="240" w:lineRule="auto"/>
              <w:jc w:val="right"/>
              <w:rPr>
                <w:rFonts w:ascii="Times New Roman" w:eastAsia="Times New Roman" w:hAnsi="Times New Roman" w:cs="Times New Roman"/>
                <w:lang w:eastAsia="hu-HU"/>
              </w:rPr>
            </w:pPr>
          </w:p>
        </w:tc>
      </w:tr>
      <w:tr w:rsidR="00210B7A" w:rsidRPr="00210B7A" w:rsidTr="00210B7A">
        <w:tc>
          <w:tcPr>
            <w:tcW w:w="4855" w:type="dxa"/>
            <w:tcBorders>
              <w:top w:val="single" w:sz="4" w:space="0" w:color="auto"/>
            </w:tcBorders>
          </w:tcPr>
          <w:p w:rsidR="00210B7A" w:rsidRPr="00210B7A" w:rsidRDefault="00210B7A" w:rsidP="00210B7A">
            <w:pPr>
              <w:spacing w:after="0" w:line="240" w:lineRule="auto"/>
              <w:jc w:val="center"/>
              <w:rPr>
                <w:rFonts w:ascii="Times New Roman" w:eastAsia="Times New Roman" w:hAnsi="Times New Roman" w:cs="Times New Roman"/>
                <w:b/>
                <w:lang w:eastAsia="hu-HU"/>
              </w:rPr>
            </w:pPr>
            <w:r w:rsidRPr="00210B7A">
              <w:rPr>
                <w:rFonts w:ascii="Times New Roman" w:eastAsia="Times New Roman" w:hAnsi="Times New Roman" w:cs="Times New Roman"/>
                <w:b/>
                <w:lang w:eastAsia="hu-HU"/>
              </w:rPr>
              <w:t>Hadtudományi és Honvédtisztképző Kar</w:t>
            </w:r>
          </w:p>
        </w:tc>
        <w:tc>
          <w:tcPr>
            <w:tcW w:w="1620" w:type="dxa"/>
          </w:tcPr>
          <w:p w:rsidR="00210B7A" w:rsidRPr="00210B7A" w:rsidRDefault="00210B7A" w:rsidP="00210B7A">
            <w:pPr>
              <w:spacing w:after="0" w:line="240" w:lineRule="auto"/>
              <w:jc w:val="both"/>
              <w:rPr>
                <w:rFonts w:ascii="Times New Roman" w:eastAsia="Times New Roman" w:hAnsi="Times New Roman" w:cs="Times New Roman"/>
                <w:lang w:eastAsia="hu-HU"/>
              </w:rPr>
            </w:pPr>
          </w:p>
        </w:tc>
        <w:tc>
          <w:tcPr>
            <w:tcW w:w="2597" w:type="dxa"/>
          </w:tcPr>
          <w:p w:rsidR="00210B7A" w:rsidRPr="00210B7A" w:rsidRDefault="00210B7A" w:rsidP="00210B7A">
            <w:pPr>
              <w:spacing w:after="0" w:line="240" w:lineRule="auto"/>
              <w:jc w:val="both"/>
              <w:rPr>
                <w:rFonts w:ascii="Times New Roman" w:eastAsia="Times New Roman" w:hAnsi="Times New Roman" w:cs="Times New Roman"/>
                <w:lang w:eastAsia="hu-HU"/>
              </w:rPr>
            </w:pPr>
          </w:p>
        </w:tc>
      </w:tr>
    </w:tbl>
    <w:p w:rsidR="00210B7A" w:rsidRPr="00210B7A" w:rsidRDefault="00210B7A" w:rsidP="00210B7A">
      <w:pPr>
        <w:widowControl w:val="0"/>
        <w:spacing w:before="120" w:after="120" w:line="240" w:lineRule="auto"/>
        <w:ind w:left="426" w:hanging="142"/>
        <w:jc w:val="center"/>
        <w:rPr>
          <w:rFonts w:ascii="Times New Roman" w:eastAsia="Times New Roman" w:hAnsi="Times New Roman" w:cs="Times New Roman"/>
          <w:b/>
          <w:bCs/>
        </w:rPr>
      </w:pPr>
    </w:p>
    <w:p w:rsidR="00210B7A" w:rsidRPr="00210B7A" w:rsidRDefault="00210B7A" w:rsidP="00210B7A">
      <w:pPr>
        <w:widowControl w:val="0"/>
        <w:spacing w:before="120" w:after="120" w:line="240" w:lineRule="auto"/>
        <w:ind w:left="426" w:hanging="142"/>
        <w:jc w:val="center"/>
        <w:rPr>
          <w:rFonts w:ascii="Times New Roman" w:eastAsia="Times New Roman" w:hAnsi="Times New Roman" w:cs="Times New Roman"/>
          <w:b/>
          <w:bCs/>
        </w:rPr>
      </w:pPr>
      <w:r w:rsidRPr="00210B7A">
        <w:rPr>
          <w:rFonts w:ascii="Times New Roman" w:eastAsia="Times New Roman" w:hAnsi="Times New Roman" w:cs="Times New Roman"/>
          <w:b/>
          <w:bCs/>
        </w:rPr>
        <w:t>TANTÁRGYI PROGRAM</w:t>
      </w:r>
    </w:p>
    <w:p w:rsidR="00210B7A" w:rsidRPr="00210B7A" w:rsidRDefault="00210B7A" w:rsidP="00980876">
      <w:pPr>
        <w:widowControl w:val="0"/>
        <w:numPr>
          <w:ilvl w:val="0"/>
          <w:numId w:val="638"/>
        </w:numPr>
        <w:spacing w:before="120" w:after="120" w:line="240" w:lineRule="auto"/>
        <w:ind w:left="426" w:hanging="142"/>
        <w:jc w:val="both"/>
        <w:rPr>
          <w:rFonts w:ascii="Times New Roman" w:eastAsia="Times New Roman" w:hAnsi="Times New Roman" w:cs="Times New Roman"/>
          <w:bCs/>
        </w:rPr>
      </w:pPr>
      <w:r w:rsidRPr="00210B7A">
        <w:rPr>
          <w:rFonts w:ascii="Times New Roman" w:eastAsia="Times New Roman" w:hAnsi="Times New Roman" w:cs="Times New Roman"/>
          <w:b/>
          <w:bCs/>
        </w:rPr>
        <w:t xml:space="preserve">A tantárgy kódja: </w:t>
      </w:r>
      <w:r w:rsidRPr="00210B7A">
        <w:rPr>
          <w:rFonts w:ascii="Times New Roman" w:eastAsia="Times New Roman" w:hAnsi="Times New Roman" w:cs="Times New Roman"/>
          <w:bCs/>
        </w:rPr>
        <w:t>HKHDTA12</w:t>
      </w:r>
    </w:p>
    <w:p w:rsidR="00210B7A" w:rsidRPr="00210B7A" w:rsidRDefault="00210B7A" w:rsidP="00980876">
      <w:pPr>
        <w:widowControl w:val="0"/>
        <w:numPr>
          <w:ilvl w:val="0"/>
          <w:numId w:val="638"/>
        </w:numPr>
        <w:spacing w:before="120" w:after="120" w:line="240" w:lineRule="auto"/>
        <w:ind w:left="426" w:hanging="142"/>
        <w:jc w:val="both"/>
        <w:rPr>
          <w:rFonts w:ascii="Times New Roman" w:eastAsia="Times New Roman" w:hAnsi="Times New Roman" w:cs="Times New Roman"/>
          <w:b/>
          <w:bCs/>
          <w:lang w:val="en-GB"/>
        </w:rPr>
      </w:pPr>
      <w:r w:rsidRPr="00210B7A">
        <w:rPr>
          <w:rFonts w:ascii="Times New Roman" w:eastAsia="Times New Roman" w:hAnsi="Times New Roman" w:cs="Times New Roman"/>
          <w:b/>
          <w:bCs/>
        </w:rPr>
        <w:t>A tantárgy megnevezése (magyarul):</w:t>
      </w:r>
      <w:r w:rsidRPr="00210B7A">
        <w:rPr>
          <w:rFonts w:ascii="Times New Roman" w:eastAsia="Times New Roman" w:hAnsi="Times New Roman" w:cs="Times New Roman"/>
          <w:bCs/>
        </w:rPr>
        <w:t xml:space="preserve"> Gépelemek II</w:t>
      </w:r>
      <w:r w:rsidR="003F7C62">
        <w:rPr>
          <w:rFonts w:ascii="Times New Roman" w:eastAsia="Times New Roman" w:hAnsi="Times New Roman" w:cs="Times New Roman"/>
          <w:bCs/>
        </w:rPr>
        <w:t>.</w:t>
      </w:r>
    </w:p>
    <w:p w:rsidR="00210B7A" w:rsidRPr="00210B7A" w:rsidRDefault="00210B7A" w:rsidP="00980876">
      <w:pPr>
        <w:widowControl w:val="0"/>
        <w:numPr>
          <w:ilvl w:val="0"/>
          <w:numId w:val="638"/>
        </w:numPr>
        <w:spacing w:before="120" w:after="120" w:line="240" w:lineRule="auto"/>
        <w:ind w:left="426" w:hanging="142"/>
        <w:jc w:val="both"/>
        <w:rPr>
          <w:rFonts w:ascii="Times New Roman" w:eastAsia="Times New Roman" w:hAnsi="Times New Roman" w:cs="Times New Roman"/>
          <w:b/>
          <w:bCs/>
          <w:lang w:val="en-GB"/>
        </w:rPr>
      </w:pPr>
      <w:r w:rsidRPr="00210B7A">
        <w:rPr>
          <w:rFonts w:ascii="Times New Roman" w:eastAsia="Times New Roman" w:hAnsi="Times New Roman" w:cs="Times New Roman"/>
          <w:b/>
          <w:bCs/>
        </w:rPr>
        <w:t xml:space="preserve">A tantárgy megnevezése (angolul): </w:t>
      </w:r>
      <w:r w:rsidRPr="00210B7A">
        <w:rPr>
          <w:rFonts w:ascii="Times New Roman" w:eastAsia="Times New Roman" w:hAnsi="Times New Roman" w:cs="Times New Roman"/>
          <w:bCs/>
          <w:lang w:val="en-GB"/>
        </w:rPr>
        <w:t>Machinery element</w:t>
      </w:r>
      <w:r w:rsidRPr="00210B7A">
        <w:rPr>
          <w:rFonts w:ascii="Times New Roman" w:eastAsia="Times New Roman" w:hAnsi="Times New Roman" w:cs="Times New Roman"/>
          <w:bCs/>
        </w:rPr>
        <w:t xml:space="preserve"> II</w:t>
      </w:r>
      <w:r w:rsidR="003F7C62">
        <w:rPr>
          <w:rFonts w:ascii="Times New Roman" w:eastAsia="Times New Roman" w:hAnsi="Times New Roman" w:cs="Times New Roman"/>
          <w:bCs/>
        </w:rPr>
        <w:t>.</w:t>
      </w:r>
    </w:p>
    <w:p w:rsidR="00210B7A" w:rsidRPr="00210B7A" w:rsidRDefault="00210B7A" w:rsidP="00980876">
      <w:pPr>
        <w:widowControl w:val="0"/>
        <w:numPr>
          <w:ilvl w:val="0"/>
          <w:numId w:val="638"/>
        </w:numPr>
        <w:spacing w:before="120" w:after="120" w:line="240" w:lineRule="auto"/>
        <w:ind w:left="426" w:hanging="142"/>
        <w:jc w:val="both"/>
        <w:rPr>
          <w:rFonts w:ascii="Times New Roman" w:eastAsia="Times New Roman" w:hAnsi="Times New Roman" w:cs="Times New Roman"/>
          <w:b/>
          <w:bCs/>
        </w:rPr>
      </w:pPr>
      <w:r w:rsidRPr="00210B7A">
        <w:rPr>
          <w:rFonts w:ascii="Times New Roman" w:eastAsia="Times New Roman" w:hAnsi="Times New Roman" w:cs="Times New Roman"/>
          <w:b/>
          <w:bCs/>
        </w:rPr>
        <w:t xml:space="preserve">Kreditérték és képzési karakter: </w:t>
      </w:r>
    </w:p>
    <w:p w:rsidR="00210B7A" w:rsidRPr="00210B7A" w:rsidRDefault="00210B7A" w:rsidP="00980876">
      <w:pPr>
        <w:widowControl w:val="0"/>
        <w:numPr>
          <w:ilvl w:val="1"/>
          <w:numId w:val="638"/>
        </w:numPr>
        <w:spacing w:before="120" w:after="120" w:line="240" w:lineRule="auto"/>
        <w:ind w:left="993" w:hanging="426"/>
        <w:contextualSpacing/>
        <w:jc w:val="both"/>
        <w:rPr>
          <w:rFonts w:ascii="Times New Roman" w:eastAsia="Times New Roman" w:hAnsi="Times New Roman" w:cs="Times New Roman"/>
          <w:b/>
          <w:bCs/>
        </w:rPr>
      </w:pPr>
      <w:r w:rsidRPr="00210B7A">
        <w:rPr>
          <w:rFonts w:ascii="Times New Roman" w:eastAsia="Times New Roman" w:hAnsi="Times New Roman" w:cs="Times New Roman"/>
          <w:bCs/>
        </w:rPr>
        <w:t xml:space="preserve"> kredit 4</w:t>
      </w:r>
    </w:p>
    <w:p w:rsidR="00210B7A" w:rsidRPr="00210B7A" w:rsidRDefault="00210B7A" w:rsidP="00980876">
      <w:pPr>
        <w:widowControl w:val="0"/>
        <w:numPr>
          <w:ilvl w:val="1"/>
          <w:numId w:val="638"/>
        </w:numPr>
        <w:spacing w:before="120" w:after="120" w:line="240" w:lineRule="auto"/>
        <w:ind w:left="993" w:hanging="426"/>
        <w:contextualSpacing/>
        <w:jc w:val="both"/>
        <w:rPr>
          <w:rFonts w:ascii="Times New Roman" w:eastAsia="Times New Roman" w:hAnsi="Times New Roman" w:cs="Times New Roman"/>
          <w:b/>
          <w:bCs/>
        </w:rPr>
      </w:pPr>
      <w:r w:rsidRPr="00210B7A">
        <w:rPr>
          <w:rFonts w:ascii="Times New Roman" w:eastAsia="Times New Roman" w:hAnsi="Times New Roman" w:cs="Times New Roman"/>
          <w:bCs/>
        </w:rPr>
        <w:t>a tantárgy elméleti vagy gyakorlati jellegének mértéke: 25</w:t>
      </w:r>
      <w:r w:rsidRPr="00210B7A">
        <w:rPr>
          <w:rFonts w:ascii="Times New Roman" w:eastAsia="Times New Roman" w:hAnsi="Times New Roman" w:cs="Times New Roman"/>
          <w:b/>
          <w:bCs/>
        </w:rPr>
        <w:t xml:space="preserve"> </w:t>
      </w:r>
      <w:r w:rsidRPr="00210B7A">
        <w:rPr>
          <w:rFonts w:ascii="Times New Roman" w:eastAsia="Times New Roman" w:hAnsi="Times New Roman" w:cs="Times New Roman"/>
          <w:bCs/>
        </w:rPr>
        <w:t>% gyakorlat, 75 % elmélet</w:t>
      </w:r>
    </w:p>
    <w:p w:rsidR="00210B7A" w:rsidRPr="00210B7A" w:rsidRDefault="00210B7A" w:rsidP="00980876">
      <w:pPr>
        <w:widowControl w:val="0"/>
        <w:numPr>
          <w:ilvl w:val="0"/>
          <w:numId w:val="638"/>
        </w:numPr>
        <w:spacing w:before="120" w:after="120" w:line="240" w:lineRule="auto"/>
        <w:ind w:left="426" w:hanging="142"/>
        <w:jc w:val="both"/>
        <w:rPr>
          <w:rFonts w:ascii="Times New Roman" w:eastAsia="Times New Roman" w:hAnsi="Times New Roman" w:cs="Times New Roman"/>
          <w:bCs/>
        </w:rPr>
      </w:pPr>
      <w:r w:rsidRPr="00210B7A">
        <w:rPr>
          <w:rFonts w:ascii="Times New Roman" w:eastAsia="Times New Roman" w:hAnsi="Times New Roman" w:cs="Times New Roman"/>
          <w:b/>
          <w:bCs/>
        </w:rPr>
        <w:t>A szak(ok), szakirányok/specializációk megnevezése (ahol oktatják):</w:t>
      </w:r>
      <w:r w:rsidRPr="00210B7A">
        <w:rPr>
          <w:rFonts w:ascii="Times New Roman" w:eastAsia="Times New Roman" w:hAnsi="Times New Roman" w:cs="Times New Roman"/>
          <w:bCs/>
        </w:rPr>
        <w:t xml:space="preserve"> katonai logisztika alapszak, haditechnikai specialaizáció</w:t>
      </w:r>
    </w:p>
    <w:p w:rsidR="00210B7A" w:rsidRPr="00210B7A" w:rsidRDefault="00210B7A" w:rsidP="00980876">
      <w:pPr>
        <w:widowControl w:val="0"/>
        <w:numPr>
          <w:ilvl w:val="0"/>
          <w:numId w:val="638"/>
        </w:numPr>
        <w:spacing w:before="120" w:after="120" w:line="240" w:lineRule="auto"/>
        <w:ind w:left="426" w:hanging="142"/>
        <w:jc w:val="both"/>
        <w:rPr>
          <w:rFonts w:ascii="Times New Roman" w:eastAsia="Times New Roman" w:hAnsi="Times New Roman" w:cs="Times New Roman"/>
          <w:bCs/>
        </w:rPr>
      </w:pPr>
      <w:r w:rsidRPr="00210B7A">
        <w:rPr>
          <w:rFonts w:ascii="Times New Roman" w:eastAsia="Times New Roman" w:hAnsi="Times New Roman" w:cs="Times New Roman"/>
          <w:b/>
          <w:bCs/>
        </w:rPr>
        <w:t xml:space="preserve">Az oktatásért felelős oktatási szervezeti egység megnevezése: </w:t>
      </w:r>
      <w:r w:rsidRPr="00210B7A">
        <w:rPr>
          <w:rFonts w:ascii="Times New Roman" w:eastAsia="Times New Roman" w:hAnsi="Times New Roman" w:cs="Times New Roman"/>
          <w:bCs/>
        </w:rPr>
        <w:t>Haditechnikai tanszék</w:t>
      </w:r>
    </w:p>
    <w:p w:rsidR="00210B7A" w:rsidRPr="00210B7A" w:rsidRDefault="00210B7A" w:rsidP="00980876">
      <w:pPr>
        <w:widowControl w:val="0"/>
        <w:numPr>
          <w:ilvl w:val="0"/>
          <w:numId w:val="638"/>
        </w:numPr>
        <w:spacing w:before="120" w:after="120" w:line="240" w:lineRule="auto"/>
        <w:ind w:left="426" w:hanging="142"/>
        <w:jc w:val="both"/>
        <w:rPr>
          <w:rFonts w:ascii="Times New Roman" w:eastAsia="Times New Roman" w:hAnsi="Times New Roman" w:cs="Times New Roman"/>
          <w:bCs/>
        </w:rPr>
      </w:pPr>
      <w:r w:rsidRPr="00210B7A">
        <w:rPr>
          <w:rFonts w:ascii="Times New Roman" w:eastAsia="Times New Roman" w:hAnsi="Times New Roman" w:cs="Times New Roman"/>
          <w:b/>
          <w:bCs/>
        </w:rPr>
        <w:t>A tantárgyfelelős oktató neve, beosztása, tudományos fokozata:</w:t>
      </w:r>
      <w:r w:rsidRPr="00210B7A">
        <w:rPr>
          <w:rFonts w:ascii="Times New Roman" w:eastAsia="Times New Roman" w:hAnsi="Times New Roman" w:cs="Times New Roman"/>
          <w:bCs/>
        </w:rPr>
        <w:t xml:space="preserve"> Dr. Gyarmati József egyetemi docens</w:t>
      </w:r>
    </w:p>
    <w:p w:rsidR="00210B7A" w:rsidRPr="00210B7A" w:rsidRDefault="00210B7A" w:rsidP="00980876">
      <w:pPr>
        <w:widowControl w:val="0"/>
        <w:numPr>
          <w:ilvl w:val="0"/>
          <w:numId w:val="638"/>
        </w:numPr>
        <w:spacing w:before="120" w:after="120" w:line="240" w:lineRule="auto"/>
        <w:ind w:left="426" w:hanging="142"/>
        <w:jc w:val="both"/>
        <w:rPr>
          <w:rFonts w:ascii="Times New Roman" w:eastAsia="Times New Roman" w:hAnsi="Times New Roman" w:cs="Times New Roman"/>
          <w:bCs/>
        </w:rPr>
      </w:pPr>
      <w:r w:rsidRPr="00210B7A">
        <w:rPr>
          <w:rFonts w:ascii="Times New Roman" w:eastAsia="Times New Roman" w:hAnsi="Times New Roman" w:cs="Times New Roman"/>
          <w:b/>
          <w:bCs/>
        </w:rPr>
        <w:t>A tanórák száma és típusa</w:t>
      </w:r>
    </w:p>
    <w:p w:rsidR="00210B7A" w:rsidRPr="00210B7A" w:rsidRDefault="00210B7A" w:rsidP="00980876">
      <w:pPr>
        <w:widowControl w:val="0"/>
        <w:numPr>
          <w:ilvl w:val="1"/>
          <w:numId w:val="638"/>
        </w:numPr>
        <w:spacing w:before="120" w:after="120" w:line="240" w:lineRule="auto"/>
        <w:ind w:left="851" w:hanging="425"/>
        <w:jc w:val="both"/>
        <w:rPr>
          <w:rFonts w:ascii="Times New Roman" w:eastAsia="Times New Roman" w:hAnsi="Times New Roman" w:cs="Times New Roman"/>
          <w:bCs/>
        </w:rPr>
      </w:pPr>
      <w:r w:rsidRPr="00210B7A">
        <w:rPr>
          <w:rFonts w:ascii="Times New Roman" w:eastAsia="Times New Roman" w:hAnsi="Times New Roman" w:cs="Times New Roman"/>
          <w:bCs/>
        </w:rPr>
        <w:t xml:space="preserve">össz óraszám/félév: </w:t>
      </w:r>
    </w:p>
    <w:p w:rsidR="00210B7A" w:rsidRPr="00210B7A" w:rsidRDefault="00210B7A" w:rsidP="00980876">
      <w:pPr>
        <w:widowControl w:val="0"/>
        <w:numPr>
          <w:ilvl w:val="2"/>
          <w:numId w:val="638"/>
        </w:numPr>
        <w:spacing w:before="120" w:after="120" w:line="240" w:lineRule="auto"/>
        <w:ind w:left="1560" w:hanging="567"/>
        <w:jc w:val="both"/>
        <w:rPr>
          <w:rFonts w:ascii="Times New Roman" w:eastAsia="Times New Roman" w:hAnsi="Times New Roman" w:cs="Times New Roman"/>
          <w:bCs/>
        </w:rPr>
      </w:pPr>
      <w:r w:rsidRPr="00210B7A">
        <w:rPr>
          <w:rFonts w:ascii="Times New Roman" w:eastAsia="Times New Roman" w:hAnsi="Times New Roman" w:cs="Times New Roman"/>
          <w:bCs/>
        </w:rPr>
        <w:t xml:space="preserve">nappali munkarend: 56 </w:t>
      </w:r>
      <w:r w:rsidR="003F7C62">
        <w:rPr>
          <w:rFonts w:ascii="Times New Roman" w:eastAsia="Times New Roman" w:hAnsi="Times New Roman" w:cs="Times New Roman"/>
          <w:bCs/>
        </w:rPr>
        <w:t>(</w:t>
      </w:r>
      <w:r w:rsidRPr="00210B7A">
        <w:rPr>
          <w:rFonts w:ascii="Times New Roman" w:eastAsia="Times New Roman" w:hAnsi="Times New Roman" w:cs="Times New Roman"/>
          <w:bCs/>
        </w:rPr>
        <w:t>42 EA +  SZ + 14 GY)</w:t>
      </w:r>
    </w:p>
    <w:p w:rsidR="00210B7A" w:rsidRPr="00210B7A" w:rsidRDefault="003F7C62" w:rsidP="00980876">
      <w:pPr>
        <w:widowControl w:val="0"/>
        <w:numPr>
          <w:ilvl w:val="2"/>
          <w:numId w:val="638"/>
        </w:numPr>
        <w:spacing w:before="120" w:after="120" w:line="240" w:lineRule="auto"/>
        <w:ind w:left="1560" w:hanging="567"/>
        <w:jc w:val="both"/>
        <w:rPr>
          <w:rFonts w:ascii="Times New Roman" w:eastAsia="Times New Roman" w:hAnsi="Times New Roman" w:cs="Times New Roman"/>
          <w:bCs/>
        </w:rPr>
      </w:pPr>
      <w:r>
        <w:rPr>
          <w:rFonts w:ascii="Times New Roman" w:eastAsia="Times New Roman" w:hAnsi="Times New Roman" w:cs="Times New Roman"/>
          <w:bCs/>
        </w:rPr>
        <w:t xml:space="preserve">levelező munkarend:- </w:t>
      </w:r>
      <w:r w:rsidR="00210B7A" w:rsidRPr="00210B7A">
        <w:rPr>
          <w:rFonts w:ascii="Times New Roman" w:eastAsia="Times New Roman" w:hAnsi="Times New Roman" w:cs="Times New Roman"/>
          <w:bCs/>
        </w:rPr>
        <w:t>(</w:t>
      </w:r>
      <w:r>
        <w:rPr>
          <w:rFonts w:ascii="Times New Roman" w:eastAsia="Times New Roman" w:hAnsi="Times New Roman" w:cs="Times New Roman"/>
          <w:bCs/>
        </w:rPr>
        <w:t>0</w:t>
      </w:r>
      <w:r w:rsidR="00210B7A" w:rsidRPr="00210B7A">
        <w:rPr>
          <w:rFonts w:ascii="Times New Roman" w:eastAsia="Times New Roman" w:hAnsi="Times New Roman" w:cs="Times New Roman"/>
          <w:bCs/>
        </w:rPr>
        <w:t xml:space="preserve"> EA +  SZ + </w:t>
      </w:r>
      <w:r>
        <w:rPr>
          <w:rFonts w:ascii="Times New Roman" w:eastAsia="Times New Roman" w:hAnsi="Times New Roman" w:cs="Times New Roman"/>
          <w:bCs/>
        </w:rPr>
        <w:t>0</w:t>
      </w:r>
      <w:r w:rsidR="00210B7A" w:rsidRPr="00210B7A">
        <w:rPr>
          <w:rFonts w:ascii="Times New Roman" w:eastAsia="Times New Roman" w:hAnsi="Times New Roman" w:cs="Times New Roman"/>
          <w:bCs/>
        </w:rPr>
        <w:t xml:space="preserve"> GY)</w:t>
      </w:r>
    </w:p>
    <w:p w:rsidR="00210B7A" w:rsidRPr="00210B7A" w:rsidRDefault="00210B7A" w:rsidP="00980876">
      <w:pPr>
        <w:widowControl w:val="0"/>
        <w:numPr>
          <w:ilvl w:val="1"/>
          <w:numId w:val="638"/>
        </w:numPr>
        <w:spacing w:before="120" w:after="120" w:line="240" w:lineRule="auto"/>
        <w:ind w:left="851" w:hanging="425"/>
        <w:jc w:val="both"/>
        <w:rPr>
          <w:rFonts w:ascii="Times New Roman" w:eastAsia="Times New Roman" w:hAnsi="Times New Roman" w:cs="Times New Roman"/>
          <w:bCs/>
        </w:rPr>
      </w:pPr>
      <w:r w:rsidRPr="00210B7A">
        <w:rPr>
          <w:rFonts w:ascii="Times New Roman" w:eastAsia="Times New Roman" w:hAnsi="Times New Roman" w:cs="Times New Roman"/>
          <w:bCs/>
        </w:rPr>
        <w:t>heti óraszám - nappali munkarend: 4</w:t>
      </w:r>
      <w:r w:rsidR="003F7C62">
        <w:rPr>
          <w:rFonts w:ascii="Times New Roman" w:eastAsia="Times New Roman" w:hAnsi="Times New Roman" w:cs="Times New Roman"/>
          <w:bCs/>
        </w:rPr>
        <w:t xml:space="preserve"> (3+1)</w:t>
      </w:r>
    </w:p>
    <w:p w:rsidR="00210B7A" w:rsidRPr="00210B7A" w:rsidRDefault="00210B7A" w:rsidP="00980876">
      <w:pPr>
        <w:widowControl w:val="0"/>
        <w:numPr>
          <w:ilvl w:val="1"/>
          <w:numId w:val="638"/>
        </w:numPr>
        <w:spacing w:before="120" w:after="120" w:line="240" w:lineRule="auto"/>
        <w:ind w:left="851" w:hanging="425"/>
        <w:jc w:val="both"/>
        <w:rPr>
          <w:rFonts w:ascii="Times New Roman" w:eastAsia="Times New Roman" w:hAnsi="Times New Roman" w:cs="Times New Roman"/>
          <w:bCs/>
        </w:rPr>
      </w:pPr>
      <w:r w:rsidRPr="00210B7A">
        <w:rPr>
          <w:rFonts w:ascii="Times New Roman" w:eastAsia="Calibri" w:hAnsi="Times New Roman" w:cs="Times New Roman"/>
        </w:rPr>
        <w:t>Az ismeret átadásában alkalmazandó további sajátos módok, jellemzők: -</w:t>
      </w:r>
    </w:p>
    <w:p w:rsidR="00210B7A" w:rsidRPr="00210B7A" w:rsidRDefault="00210B7A" w:rsidP="00980876">
      <w:pPr>
        <w:widowControl w:val="0"/>
        <w:numPr>
          <w:ilvl w:val="0"/>
          <w:numId w:val="638"/>
        </w:numPr>
        <w:spacing w:before="120" w:after="120" w:line="240" w:lineRule="auto"/>
        <w:ind w:left="426" w:hanging="142"/>
        <w:jc w:val="both"/>
        <w:rPr>
          <w:rFonts w:ascii="Times New Roman" w:eastAsia="Times New Roman" w:hAnsi="Times New Roman" w:cs="Times New Roman"/>
          <w:bCs/>
        </w:rPr>
      </w:pPr>
      <w:r w:rsidRPr="00210B7A">
        <w:rPr>
          <w:rFonts w:ascii="Times New Roman" w:eastAsia="Times New Roman" w:hAnsi="Times New Roman" w:cs="Times New Roman"/>
          <w:b/>
          <w:bCs/>
        </w:rPr>
        <w:t>A tantárgy szakmai tartalma (magyarul):</w:t>
      </w:r>
      <w:r w:rsidRPr="00210B7A">
        <w:rPr>
          <w:rFonts w:ascii="Times New Roman" w:eastAsia="Times New Roman" w:hAnsi="Times New Roman" w:cs="Times New Roman"/>
          <w:bCs/>
        </w:rPr>
        <w:t xml:space="preserve"> Siklóágyazások (hidrodinamikus ágyazás, csapágykenés, folyadéksúrlódás, csapágyak anyagai). Fogaskerékhajtások(csoportosítás, jelölések, kapcsolódás feltétele). Hengeres fogaskerekek (evolvens profil tulajdonságai, csúszási viszonyok, elemi fogazás, profileltolás, általános fogazás). Ferde fogazású hengeres kerekek, Belső kapcsolódású hengeres kerekek. Bolygóművek. Kúpkerékhajtások. Erőzáró hajtások (szíj, dörzs). Kenőanyagok.</w:t>
      </w:r>
    </w:p>
    <w:p w:rsidR="00210B7A" w:rsidRPr="00210B7A" w:rsidRDefault="00210B7A" w:rsidP="00210B7A">
      <w:pPr>
        <w:widowControl w:val="0"/>
        <w:spacing w:before="120" w:after="120" w:line="240" w:lineRule="auto"/>
        <w:ind w:left="426"/>
        <w:jc w:val="both"/>
        <w:rPr>
          <w:rFonts w:ascii="Times New Roman" w:eastAsia="Times New Roman" w:hAnsi="Times New Roman" w:cs="Times New Roman"/>
          <w:bCs/>
          <w:lang w:val="en-GB"/>
        </w:rPr>
      </w:pPr>
      <w:r w:rsidRPr="00210B7A">
        <w:rPr>
          <w:rFonts w:ascii="Times New Roman" w:eastAsia="Times New Roman" w:hAnsi="Times New Roman" w:cs="Times New Roman"/>
          <w:b/>
          <w:bCs/>
        </w:rPr>
        <w:t>A tantárgy szakmai tartalma (angolul) (</w:t>
      </w:r>
      <w:r w:rsidRPr="00210B7A">
        <w:rPr>
          <w:rFonts w:ascii="Times New Roman" w:eastAsia="Times New Roman" w:hAnsi="Times New Roman" w:cs="Times New Roman"/>
          <w:b/>
          <w:bCs/>
          <w:lang w:val="en-US"/>
        </w:rPr>
        <w:t>Course description</w:t>
      </w:r>
      <w:r w:rsidRPr="00210B7A">
        <w:rPr>
          <w:rFonts w:ascii="Times New Roman" w:eastAsia="Times New Roman" w:hAnsi="Times New Roman" w:cs="Times New Roman"/>
          <w:b/>
          <w:bCs/>
        </w:rPr>
        <w:t xml:space="preserve">): </w:t>
      </w:r>
      <w:r w:rsidRPr="00210B7A">
        <w:rPr>
          <w:rFonts w:ascii="Times New Roman" w:eastAsia="Times New Roman" w:hAnsi="Times New Roman" w:cs="Times New Roman"/>
          <w:bCs/>
        </w:rPr>
        <w:t>H</w:t>
      </w:r>
      <w:r w:rsidRPr="00210B7A">
        <w:rPr>
          <w:rFonts w:ascii="Times New Roman" w:eastAsia="Calibri" w:hAnsi="Times New Roman" w:cs="Times New Roman"/>
          <w:lang w:val="en"/>
        </w:rPr>
        <w:t>ydrodynamic bearings, bearing lubrication, fluid friction, bearing materials). Gears (grouping, marking, connection condition). Cylindrical gears (properties of evolvent profile, sliding conditions, elementary gearing, profile displacement, general gearing). Slanted toothed cylindrical wheels, Internal toothed cylindrical wheels. Planetary gears. Force-closing shoots (strap, friction). Lubricants.</w:t>
      </w:r>
    </w:p>
    <w:p w:rsidR="00210B7A" w:rsidRPr="00210B7A" w:rsidRDefault="00210B7A" w:rsidP="00980876">
      <w:pPr>
        <w:widowControl w:val="0"/>
        <w:numPr>
          <w:ilvl w:val="0"/>
          <w:numId w:val="638"/>
        </w:numPr>
        <w:spacing w:before="120" w:after="120" w:line="240" w:lineRule="auto"/>
        <w:contextualSpacing/>
        <w:jc w:val="both"/>
        <w:rPr>
          <w:rFonts w:ascii="Times New Roman" w:eastAsia="Times New Roman" w:hAnsi="Times New Roman" w:cs="Times New Roman"/>
          <w:bCs/>
        </w:rPr>
      </w:pPr>
      <w:r w:rsidRPr="00210B7A">
        <w:rPr>
          <w:rFonts w:ascii="Times New Roman" w:eastAsia="Times New Roman" w:hAnsi="Times New Roman" w:cs="Times New Roman"/>
          <w:b/>
          <w:bCs/>
        </w:rPr>
        <w:t xml:space="preserve">Elérendő kompetenciák (magyarul): </w:t>
      </w:r>
    </w:p>
    <w:p w:rsidR="00210B7A" w:rsidRPr="00210B7A" w:rsidRDefault="00210B7A" w:rsidP="00210B7A">
      <w:pPr>
        <w:widowControl w:val="0"/>
        <w:spacing w:before="120" w:after="120" w:line="240" w:lineRule="auto"/>
        <w:ind w:left="426"/>
        <w:jc w:val="both"/>
        <w:rPr>
          <w:rFonts w:ascii="Times New Roman" w:eastAsia="Times New Roman" w:hAnsi="Times New Roman" w:cs="Times New Roman"/>
          <w:bCs/>
        </w:rPr>
      </w:pPr>
      <w:r w:rsidRPr="00210B7A">
        <w:rPr>
          <w:rFonts w:ascii="Times New Roman" w:eastAsia="Times New Roman" w:hAnsi="Times New Roman" w:cs="Times New Roman"/>
          <w:b/>
          <w:bCs/>
        </w:rPr>
        <w:t>Tudása:</w:t>
      </w:r>
      <w:r w:rsidRPr="00210B7A">
        <w:rPr>
          <w:rFonts w:ascii="Times New Roman" w:eastAsia="Times New Roman" w:hAnsi="Times New Roman" w:cs="Times New Roman"/>
          <w:bCs/>
        </w:rPr>
        <w:t xml:space="preserve"> </w:t>
      </w:r>
    </w:p>
    <w:p w:rsidR="00210B7A" w:rsidRPr="00210B7A" w:rsidRDefault="00210B7A" w:rsidP="00210B7A">
      <w:pPr>
        <w:widowControl w:val="0"/>
        <w:spacing w:before="120" w:after="120" w:line="240" w:lineRule="auto"/>
        <w:ind w:left="426"/>
        <w:jc w:val="both"/>
        <w:rPr>
          <w:rFonts w:ascii="Times New Roman" w:eastAsia="Times New Roman" w:hAnsi="Times New Roman" w:cs="Times New Roman"/>
          <w:bCs/>
        </w:rPr>
      </w:pPr>
      <w:r w:rsidRPr="00210B7A">
        <w:rPr>
          <w:rFonts w:ascii="Times New Roman" w:eastAsia="Times New Roman" w:hAnsi="Times New Roman" w:cs="Times New Roman"/>
          <w:bCs/>
        </w:rPr>
        <w:t>- Ismeri az alapvető gépelemeket (hajtások, hidrodinamikus csapágyak) azok fajtáit és igénybevételét.</w:t>
      </w:r>
    </w:p>
    <w:p w:rsidR="00210B7A" w:rsidRPr="00210B7A" w:rsidRDefault="00210B7A" w:rsidP="00210B7A">
      <w:pPr>
        <w:widowControl w:val="0"/>
        <w:spacing w:before="120" w:after="120" w:line="240" w:lineRule="auto"/>
        <w:ind w:left="426"/>
        <w:jc w:val="both"/>
        <w:rPr>
          <w:rFonts w:ascii="Times New Roman" w:eastAsia="Times New Roman" w:hAnsi="Times New Roman" w:cs="Times New Roman"/>
          <w:bCs/>
        </w:rPr>
      </w:pPr>
      <w:r w:rsidRPr="00210B7A">
        <w:rPr>
          <w:rFonts w:ascii="Times New Roman" w:eastAsia="Times New Roman" w:hAnsi="Times New Roman" w:cs="Times New Roman"/>
          <w:bCs/>
        </w:rPr>
        <w:t>-  Ismeri a hajtások, hajtóművek és hidrodinamikus csapágyak kialakítását és anyagait.</w:t>
      </w:r>
    </w:p>
    <w:p w:rsidR="00210B7A" w:rsidRPr="00210B7A" w:rsidRDefault="00210B7A" w:rsidP="00210B7A">
      <w:pPr>
        <w:widowControl w:val="0"/>
        <w:spacing w:before="120" w:after="120" w:line="240" w:lineRule="auto"/>
        <w:ind w:left="426"/>
        <w:jc w:val="both"/>
        <w:rPr>
          <w:rFonts w:ascii="Times New Roman" w:eastAsia="Times New Roman" w:hAnsi="Times New Roman" w:cs="Times New Roman"/>
          <w:bCs/>
        </w:rPr>
      </w:pPr>
      <w:r w:rsidRPr="00210B7A">
        <w:rPr>
          <w:rFonts w:ascii="Times New Roman" w:eastAsia="Times New Roman" w:hAnsi="Times New Roman" w:cs="Times New Roman"/>
          <w:b/>
          <w:bCs/>
        </w:rPr>
        <w:t>Képességei:</w:t>
      </w:r>
      <w:r w:rsidRPr="00210B7A">
        <w:rPr>
          <w:rFonts w:ascii="Times New Roman" w:eastAsia="Times New Roman" w:hAnsi="Times New Roman" w:cs="Times New Roman"/>
          <w:bCs/>
        </w:rPr>
        <w:t xml:space="preserve"> </w:t>
      </w:r>
    </w:p>
    <w:p w:rsidR="00210B7A" w:rsidRPr="00210B7A" w:rsidRDefault="00210B7A" w:rsidP="00210B7A">
      <w:pPr>
        <w:widowControl w:val="0"/>
        <w:spacing w:before="120" w:after="120" w:line="240" w:lineRule="auto"/>
        <w:ind w:left="426"/>
        <w:jc w:val="both"/>
        <w:rPr>
          <w:rFonts w:ascii="Times New Roman" w:eastAsia="Calibri" w:hAnsi="Times New Roman" w:cs="Times New Roman"/>
          <w:szCs w:val="24"/>
        </w:rPr>
      </w:pPr>
      <w:r w:rsidRPr="00210B7A">
        <w:rPr>
          <w:rFonts w:ascii="Times New Roman" w:eastAsia="Times New Roman" w:hAnsi="Times New Roman" w:cs="Times New Roman"/>
          <w:bCs/>
        </w:rPr>
        <w:t xml:space="preserve">- </w:t>
      </w:r>
      <w:r w:rsidRPr="00210B7A">
        <w:rPr>
          <w:rFonts w:ascii="Times New Roman" w:eastAsia="Calibri" w:hAnsi="Times New Roman" w:cs="Times New Roman"/>
          <w:szCs w:val="24"/>
        </w:rPr>
        <w:t>Képes a szakmai terminológia magyarul és idegen nyelven történő alkalmazására.</w:t>
      </w:r>
    </w:p>
    <w:p w:rsidR="00210B7A" w:rsidRPr="00210B7A" w:rsidRDefault="00210B7A" w:rsidP="00210B7A">
      <w:pPr>
        <w:widowControl w:val="0"/>
        <w:spacing w:before="120" w:after="120" w:line="240" w:lineRule="auto"/>
        <w:ind w:left="426"/>
        <w:jc w:val="both"/>
        <w:rPr>
          <w:rFonts w:ascii="Times New Roman" w:eastAsia="Times New Roman" w:hAnsi="Times New Roman" w:cs="Times New Roman"/>
          <w:bCs/>
        </w:rPr>
      </w:pPr>
      <w:r w:rsidRPr="00210B7A">
        <w:rPr>
          <w:rFonts w:ascii="Times New Roman" w:eastAsia="Calibri" w:hAnsi="Times New Roman" w:cs="Times New Roman"/>
          <w:szCs w:val="24"/>
        </w:rPr>
        <w:t>- Képes szerkezeti analízisre.</w:t>
      </w:r>
    </w:p>
    <w:p w:rsidR="00210B7A" w:rsidRPr="00210B7A" w:rsidRDefault="00210B7A" w:rsidP="00210B7A">
      <w:pPr>
        <w:widowControl w:val="0"/>
        <w:spacing w:before="120" w:after="120" w:line="240" w:lineRule="auto"/>
        <w:ind w:left="426"/>
        <w:jc w:val="both"/>
        <w:rPr>
          <w:rFonts w:ascii="Times New Roman" w:eastAsia="Times New Roman" w:hAnsi="Times New Roman" w:cs="Times New Roman"/>
          <w:bCs/>
        </w:rPr>
      </w:pPr>
      <w:r w:rsidRPr="00210B7A">
        <w:rPr>
          <w:rFonts w:ascii="Times New Roman" w:eastAsia="Times New Roman" w:hAnsi="Times New Roman" w:cs="Times New Roman"/>
          <w:b/>
          <w:bCs/>
        </w:rPr>
        <w:t>Attitűdje:</w:t>
      </w:r>
      <w:r w:rsidRPr="00210B7A">
        <w:rPr>
          <w:rFonts w:ascii="Times New Roman" w:eastAsia="Times New Roman" w:hAnsi="Times New Roman" w:cs="Times New Roman"/>
          <w:bCs/>
        </w:rPr>
        <w:t xml:space="preserve"> </w:t>
      </w:r>
    </w:p>
    <w:p w:rsidR="00210B7A" w:rsidRPr="00210B7A" w:rsidRDefault="00210B7A" w:rsidP="00210B7A">
      <w:pPr>
        <w:widowControl w:val="0"/>
        <w:spacing w:before="120" w:after="120" w:line="240" w:lineRule="auto"/>
        <w:ind w:left="426"/>
        <w:jc w:val="both"/>
        <w:rPr>
          <w:rFonts w:ascii="Times New Roman" w:eastAsia="Calibri" w:hAnsi="Times New Roman" w:cs="Times New Roman"/>
          <w:szCs w:val="24"/>
        </w:rPr>
      </w:pPr>
      <w:r w:rsidRPr="00210B7A">
        <w:rPr>
          <w:rFonts w:ascii="Times New Roman" w:eastAsia="Times New Roman" w:hAnsi="Times New Roman" w:cs="Times New Roman"/>
          <w:bCs/>
        </w:rPr>
        <w:t xml:space="preserve">- </w:t>
      </w:r>
      <w:r w:rsidRPr="00210B7A">
        <w:rPr>
          <w:rFonts w:ascii="Times New Roman" w:eastAsia="Calibri" w:hAnsi="Times New Roman" w:cs="Times New Roman"/>
          <w:szCs w:val="24"/>
        </w:rPr>
        <w:t>Nyitott szakterülete új eredményei, innovációi iránt, törekszik azok megismerésére, megértésére és alkalmazására, elkötelezett önmaga folyamatos képzésére</w:t>
      </w:r>
    </w:p>
    <w:p w:rsidR="00210B7A" w:rsidRPr="00210B7A" w:rsidRDefault="00210B7A" w:rsidP="00210B7A">
      <w:pPr>
        <w:widowControl w:val="0"/>
        <w:spacing w:before="120" w:after="120" w:line="240" w:lineRule="auto"/>
        <w:ind w:left="426"/>
        <w:jc w:val="both"/>
        <w:rPr>
          <w:rFonts w:ascii="Times New Roman" w:eastAsia="Times New Roman" w:hAnsi="Times New Roman" w:cs="Times New Roman"/>
          <w:bCs/>
        </w:rPr>
      </w:pPr>
      <w:r w:rsidRPr="00210B7A">
        <w:rPr>
          <w:rFonts w:ascii="Times New Roman" w:eastAsia="Calibri" w:hAnsi="Times New Roman" w:cs="Times New Roman"/>
          <w:szCs w:val="24"/>
        </w:rPr>
        <w:lastRenderedPageBreak/>
        <w:t xml:space="preserve">- </w:t>
      </w:r>
      <w:r w:rsidRPr="00210B7A">
        <w:rPr>
          <w:rFonts w:ascii="Times New Roman" w:eastAsia="Times New Roman" w:hAnsi="Times New Roman" w:cs="Times New Roman"/>
          <w:bCs/>
        </w:rPr>
        <w:t>Törekszik munkája során a vonatkozó szabályok betartására és betartatására.</w:t>
      </w:r>
    </w:p>
    <w:p w:rsidR="00210B7A" w:rsidRPr="00210B7A" w:rsidRDefault="00210B7A" w:rsidP="00210B7A">
      <w:pPr>
        <w:widowControl w:val="0"/>
        <w:spacing w:before="120" w:after="120" w:line="240" w:lineRule="auto"/>
        <w:ind w:left="426"/>
        <w:jc w:val="both"/>
        <w:rPr>
          <w:rFonts w:ascii="Times New Roman" w:eastAsia="Times New Roman" w:hAnsi="Times New Roman" w:cs="Times New Roman"/>
          <w:bCs/>
        </w:rPr>
      </w:pPr>
      <w:r w:rsidRPr="00210B7A">
        <w:rPr>
          <w:rFonts w:ascii="Times New Roman" w:eastAsia="Times New Roman" w:hAnsi="Times New Roman" w:cs="Times New Roman"/>
          <w:b/>
          <w:bCs/>
        </w:rPr>
        <w:t>Autonómiája és felelőssége:</w:t>
      </w:r>
      <w:r w:rsidRPr="00210B7A">
        <w:rPr>
          <w:rFonts w:ascii="Times New Roman" w:eastAsia="Times New Roman" w:hAnsi="Times New Roman" w:cs="Times New Roman"/>
          <w:bCs/>
        </w:rPr>
        <w:t xml:space="preserve"> </w:t>
      </w:r>
    </w:p>
    <w:p w:rsidR="00210B7A" w:rsidRPr="00210B7A" w:rsidRDefault="00210B7A" w:rsidP="00210B7A">
      <w:pPr>
        <w:widowControl w:val="0"/>
        <w:spacing w:before="120" w:after="120" w:line="240" w:lineRule="auto"/>
        <w:ind w:left="426"/>
        <w:jc w:val="both"/>
        <w:rPr>
          <w:rFonts w:ascii="Times New Roman" w:eastAsia="Calibri" w:hAnsi="Times New Roman" w:cs="Times New Roman"/>
          <w:szCs w:val="24"/>
        </w:rPr>
      </w:pPr>
      <w:r w:rsidRPr="00210B7A">
        <w:rPr>
          <w:rFonts w:ascii="Times New Roman" w:eastAsia="Times New Roman" w:hAnsi="Times New Roman" w:cs="Times New Roman"/>
          <w:bCs/>
        </w:rPr>
        <w:t xml:space="preserve">- </w:t>
      </w:r>
      <w:r w:rsidRPr="00210B7A">
        <w:rPr>
          <w:rFonts w:ascii="Times New Roman" w:eastAsia="Calibri" w:hAnsi="Times New Roman" w:cs="Times New Roman"/>
          <w:szCs w:val="24"/>
        </w:rPr>
        <w:t>Tisztában van döntéseinek, tevékenységének a műszaki eszközökre, illetve a gazdálkodási fegyelemre gyakorolt hatásaival, következményeivel.</w:t>
      </w:r>
    </w:p>
    <w:p w:rsidR="00210B7A" w:rsidRPr="00210B7A" w:rsidRDefault="00210B7A" w:rsidP="00210B7A">
      <w:pPr>
        <w:widowControl w:val="0"/>
        <w:spacing w:after="0" w:line="240" w:lineRule="auto"/>
        <w:ind w:left="426"/>
        <w:jc w:val="both"/>
        <w:rPr>
          <w:rFonts w:ascii="Times New Roman" w:eastAsia="Times New Roman" w:hAnsi="Times New Roman" w:cs="Times New Roman"/>
          <w:bCs/>
        </w:rPr>
      </w:pPr>
      <w:r w:rsidRPr="00210B7A">
        <w:rPr>
          <w:rFonts w:ascii="Times New Roman" w:eastAsia="Times New Roman" w:hAnsi="Times New Roman" w:cs="Times New Roman"/>
          <w:bCs/>
        </w:rPr>
        <w:t>- Együttműködés és felelősség jellemzi szakterületének szakembereivel szemben.</w:t>
      </w:r>
    </w:p>
    <w:p w:rsidR="00210B7A" w:rsidRPr="00210B7A" w:rsidRDefault="00210B7A" w:rsidP="00210B7A">
      <w:pPr>
        <w:widowControl w:val="0"/>
        <w:spacing w:before="120" w:after="120" w:line="240" w:lineRule="auto"/>
        <w:ind w:left="426"/>
        <w:jc w:val="both"/>
        <w:rPr>
          <w:rFonts w:ascii="Times New Roman" w:eastAsia="Times New Roman" w:hAnsi="Times New Roman" w:cs="Times New Roman"/>
          <w:bCs/>
        </w:rPr>
      </w:pPr>
      <w:r w:rsidRPr="00210B7A">
        <w:rPr>
          <w:rFonts w:ascii="Times New Roman" w:eastAsia="Times New Roman" w:hAnsi="Times New Roman" w:cs="Times New Roman"/>
          <w:bCs/>
        </w:rPr>
        <w:t>- Szakterületén belül képes rendszer-szemléletűen gondolkodni</w:t>
      </w:r>
    </w:p>
    <w:p w:rsidR="00210B7A" w:rsidRPr="00210B7A" w:rsidRDefault="00210B7A" w:rsidP="00210B7A">
      <w:pPr>
        <w:widowControl w:val="0"/>
        <w:spacing w:before="120" w:after="120" w:line="240" w:lineRule="auto"/>
        <w:ind w:left="426"/>
        <w:jc w:val="both"/>
        <w:rPr>
          <w:rFonts w:ascii="Times New Roman" w:eastAsia="Times New Roman" w:hAnsi="Times New Roman" w:cs="Times New Roman"/>
          <w:b/>
          <w:bCs/>
          <w:lang w:val="en-US"/>
        </w:rPr>
      </w:pPr>
      <w:r w:rsidRPr="00210B7A">
        <w:rPr>
          <w:rFonts w:ascii="Times New Roman" w:eastAsia="Times New Roman" w:hAnsi="Times New Roman" w:cs="Times New Roman"/>
          <w:b/>
          <w:bCs/>
        </w:rPr>
        <w:t>Elérendő kompetenciák (angolul) (</w:t>
      </w:r>
      <w:r w:rsidRPr="00210B7A">
        <w:rPr>
          <w:rFonts w:ascii="Times New Roman" w:eastAsia="Times New Roman" w:hAnsi="Times New Roman" w:cs="Times New Roman"/>
          <w:b/>
          <w:bCs/>
          <w:lang w:val="en-US"/>
        </w:rPr>
        <w:t xml:space="preserve">Competences – English): </w:t>
      </w:r>
    </w:p>
    <w:p w:rsidR="00210B7A" w:rsidRPr="00210B7A" w:rsidRDefault="00210B7A" w:rsidP="00210B7A">
      <w:pPr>
        <w:widowControl w:val="0"/>
        <w:spacing w:before="120" w:after="120" w:line="240" w:lineRule="auto"/>
        <w:ind w:left="426"/>
        <w:jc w:val="both"/>
        <w:rPr>
          <w:rFonts w:ascii="Times New Roman" w:eastAsia="Times New Roman" w:hAnsi="Times New Roman" w:cs="Times New Roman"/>
          <w:lang w:val="en-GB"/>
        </w:rPr>
      </w:pPr>
      <w:r w:rsidRPr="00210B7A">
        <w:rPr>
          <w:rFonts w:ascii="Times New Roman" w:eastAsia="Times New Roman" w:hAnsi="Times New Roman" w:cs="Times New Roman"/>
          <w:b/>
          <w:lang w:val="en-GB"/>
        </w:rPr>
        <w:t>Knowledge</w:t>
      </w:r>
      <w:r w:rsidRPr="00210B7A">
        <w:rPr>
          <w:rFonts w:ascii="Times New Roman" w:eastAsia="Times New Roman" w:hAnsi="Times New Roman" w:cs="Times New Roman"/>
          <w:lang w:val="en-GB"/>
        </w:rPr>
        <w:t xml:space="preserve">: </w:t>
      </w:r>
    </w:p>
    <w:p w:rsidR="00210B7A" w:rsidRPr="00210B7A" w:rsidRDefault="00210B7A" w:rsidP="00210B7A">
      <w:pPr>
        <w:widowControl w:val="0"/>
        <w:spacing w:before="120" w:after="120" w:line="240" w:lineRule="auto"/>
        <w:ind w:left="426"/>
        <w:jc w:val="both"/>
        <w:rPr>
          <w:rFonts w:ascii="Times New Roman" w:eastAsia="Calibri" w:hAnsi="Times New Roman" w:cs="Times New Roman"/>
          <w:lang w:val="en-GB"/>
        </w:rPr>
      </w:pPr>
      <w:r w:rsidRPr="00210B7A">
        <w:rPr>
          <w:rFonts w:ascii="Times New Roman" w:eastAsia="Times New Roman" w:hAnsi="Times New Roman" w:cs="Times New Roman"/>
          <w:lang w:val="en-GB"/>
        </w:rPr>
        <w:t xml:space="preserve">- </w:t>
      </w:r>
      <w:r w:rsidRPr="00210B7A">
        <w:rPr>
          <w:rFonts w:ascii="Times New Roman" w:eastAsia="Calibri" w:hAnsi="Times New Roman" w:cs="Times New Roman"/>
          <w:lang w:val="en-GB"/>
        </w:rPr>
        <w:t>Knows the basic machine elements (</w:t>
      </w:r>
      <w:r w:rsidRPr="00210B7A">
        <w:rPr>
          <w:rFonts w:ascii="Times New Roman" w:eastAsia="Calibri" w:hAnsi="Times New Roman" w:cs="Times New Roman"/>
          <w:lang w:val="en"/>
        </w:rPr>
        <w:t>drives, hydrodynamic bearings</w:t>
      </w:r>
      <w:r w:rsidRPr="00210B7A">
        <w:rPr>
          <w:rFonts w:ascii="Times New Roman" w:eastAsia="Calibri" w:hAnsi="Times New Roman" w:cs="Times New Roman"/>
          <w:lang w:val="en-GB"/>
        </w:rPr>
        <w:t>) and their types and uses.</w:t>
      </w:r>
    </w:p>
    <w:p w:rsidR="00210B7A" w:rsidRPr="00210B7A" w:rsidRDefault="00210B7A" w:rsidP="00210B7A">
      <w:pPr>
        <w:widowControl w:val="0"/>
        <w:spacing w:before="120" w:after="120" w:line="240" w:lineRule="auto"/>
        <w:ind w:left="426"/>
        <w:jc w:val="both"/>
        <w:rPr>
          <w:rFonts w:ascii="Times New Roman" w:eastAsia="Times New Roman" w:hAnsi="Times New Roman" w:cs="Times New Roman"/>
          <w:lang w:val="en-GB"/>
        </w:rPr>
      </w:pPr>
      <w:r w:rsidRPr="00210B7A">
        <w:rPr>
          <w:rFonts w:ascii="Times New Roman" w:eastAsia="Calibri" w:hAnsi="Times New Roman" w:cs="Times New Roman"/>
          <w:lang w:val="en"/>
        </w:rPr>
        <w:t>- Knows the design and materials of drives, gears and hydrodynamic bearings.</w:t>
      </w:r>
    </w:p>
    <w:p w:rsidR="00210B7A" w:rsidRPr="00210B7A" w:rsidRDefault="00210B7A" w:rsidP="00210B7A">
      <w:pPr>
        <w:widowControl w:val="0"/>
        <w:spacing w:before="120" w:after="120" w:line="240" w:lineRule="auto"/>
        <w:ind w:left="426"/>
        <w:jc w:val="both"/>
        <w:rPr>
          <w:rFonts w:ascii="Times New Roman" w:eastAsia="Times New Roman" w:hAnsi="Times New Roman" w:cs="Times New Roman"/>
          <w:lang w:val="en-GB"/>
        </w:rPr>
      </w:pPr>
      <w:r w:rsidRPr="00210B7A">
        <w:rPr>
          <w:rFonts w:ascii="Times New Roman" w:eastAsia="Times New Roman" w:hAnsi="Times New Roman" w:cs="Times New Roman"/>
          <w:b/>
          <w:lang w:val="en-GB"/>
        </w:rPr>
        <w:t>Capabilities</w:t>
      </w:r>
      <w:r w:rsidRPr="00210B7A">
        <w:rPr>
          <w:rFonts w:ascii="Times New Roman" w:eastAsia="Times New Roman" w:hAnsi="Times New Roman" w:cs="Times New Roman"/>
          <w:lang w:val="en-GB"/>
        </w:rPr>
        <w:t xml:space="preserve">: </w:t>
      </w:r>
    </w:p>
    <w:p w:rsidR="00210B7A" w:rsidRPr="00210B7A" w:rsidRDefault="00210B7A" w:rsidP="00210B7A">
      <w:pPr>
        <w:widowControl w:val="0"/>
        <w:spacing w:before="120" w:after="120" w:line="240" w:lineRule="auto"/>
        <w:ind w:left="425"/>
        <w:jc w:val="both"/>
        <w:rPr>
          <w:rFonts w:ascii="Times New Roman" w:eastAsia="Times New Roman" w:hAnsi="Times New Roman" w:cs="Times New Roman"/>
          <w:lang w:val="en-GB"/>
        </w:rPr>
      </w:pPr>
      <w:r w:rsidRPr="00210B7A">
        <w:rPr>
          <w:rFonts w:ascii="Times New Roman" w:eastAsia="Times New Roman" w:hAnsi="Times New Roman" w:cs="Times New Roman"/>
          <w:lang w:val="en-GB"/>
        </w:rPr>
        <w:t>- I</w:t>
      </w:r>
      <w:r w:rsidRPr="00210B7A">
        <w:rPr>
          <w:rFonts w:ascii="Times New Roman" w:eastAsia="Calibri" w:hAnsi="Times New Roman" w:cs="Times New Roman"/>
          <w:szCs w:val="24"/>
          <w:lang w:val="en-GB"/>
        </w:rPr>
        <w:t>s capable of using the professional terminology both in Hungarian and foreign languages</w:t>
      </w:r>
      <w:r w:rsidRPr="00210B7A">
        <w:rPr>
          <w:rFonts w:ascii="Times New Roman" w:eastAsia="Times New Roman" w:hAnsi="Times New Roman" w:cs="Times New Roman"/>
          <w:lang w:val="en-GB"/>
        </w:rPr>
        <w:t>.</w:t>
      </w:r>
    </w:p>
    <w:p w:rsidR="00210B7A" w:rsidRPr="00210B7A" w:rsidRDefault="00210B7A" w:rsidP="00210B7A">
      <w:pPr>
        <w:widowControl w:val="0"/>
        <w:spacing w:before="120" w:after="120" w:line="240" w:lineRule="auto"/>
        <w:ind w:left="425"/>
        <w:jc w:val="both"/>
        <w:rPr>
          <w:rFonts w:ascii="Times New Roman" w:eastAsia="Times New Roman" w:hAnsi="Times New Roman" w:cs="Times New Roman"/>
          <w:lang w:val="en-GB"/>
        </w:rPr>
      </w:pPr>
      <w:r w:rsidRPr="00210B7A">
        <w:rPr>
          <w:rFonts w:ascii="Times New Roman" w:eastAsia="Times New Roman" w:hAnsi="Times New Roman" w:cs="Times New Roman"/>
          <w:lang w:val="en-GB"/>
        </w:rPr>
        <w:t xml:space="preserve">- </w:t>
      </w:r>
      <w:r w:rsidRPr="00210B7A">
        <w:rPr>
          <w:rFonts w:ascii="Times New Roman" w:eastAsia="Calibri" w:hAnsi="Times New Roman" w:cs="Times New Roman"/>
          <w:lang w:val="en"/>
        </w:rPr>
        <w:t>It is capable of structural analysis.</w:t>
      </w:r>
    </w:p>
    <w:p w:rsidR="00210B7A" w:rsidRPr="00210B7A" w:rsidRDefault="00210B7A" w:rsidP="00210B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lang w:val="en-GB"/>
        </w:rPr>
      </w:pPr>
      <w:r w:rsidRPr="00210B7A">
        <w:rPr>
          <w:rFonts w:ascii="Times New Roman" w:eastAsia="Times New Roman" w:hAnsi="Times New Roman" w:cs="Times New Roman"/>
          <w:b/>
          <w:lang w:val="en-GB"/>
        </w:rPr>
        <w:t>Attitude:</w:t>
      </w:r>
      <w:r w:rsidRPr="00210B7A">
        <w:rPr>
          <w:rFonts w:ascii="Times New Roman" w:eastAsia="Times New Roman" w:hAnsi="Times New Roman" w:cs="Times New Roman"/>
          <w:lang w:val="en-GB"/>
        </w:rPr>
        <w:t xml:space="preserve"> </w:t>
      </w:r>
    </w:p>
    <w:p w:rsidR="00210B7A" w:rsidRPr="00210B7A" w:rsidRDefault="00210B7A" w:rsidP="00210B7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425"/>
        <w:jc w:val="both"/>
        <w:rPr>
          <w:rFonts w:ascii="Times New Roman" w:eastAsia="Times New Roman" w:hAnsi="Times New Roman" w:cs="Times New Roman"/>
          <w:lang w:val="en-GB"/>
        </w:rPr>
      </w:pPr>
      <w:r w:rsidRPr="00210B7A">
        <w:rPr>
          <w:rFonts w:ascii="Times New Roman" w:eastAsia="Times New Roman" w:hAnsi="Times New Roman" w:cs="Times New Roman"/>
          <w:lang w:val="en-GB"/>
        </w:rPr>
        <w:t xml:space="preserve">- </w:t>
      </w:r>
      <w:r w:rsidRPr="00210B7A">
        <w:rPr>
          <w:rFonts w:ascii="Times New Roman" w:eastAsia="Calibri" w:hAnsi="Times New Roman" w:cs="Times New Roman"/>
          <w:szCs w:val="24"/>
          <w:lang w:val="en-GB"/>
        </w:rPr>
        <w:t>In his/her specialization he/she is open to the new achievements and innovations, strives to know, understand and apply them, and is committed to continuous self-education.</w:t>
      </w:r>
    </w:p>
    <w:p w:rsidR="00210B7A" w:rsidRPr="00210B7A" w:rsidRDefault="00210B7A" w:rsidP="00210B7A">
      <w:pPr>
        <w:widowControl w:val="0"/>
        <w:spacing w:before="120" w:after="120" w:line="240" w:lineRule="auto"/>
        <w:ind w:left="425"/>
        <w:jc w:val="both"/>
        <w:rPr>
          <w:rFonts w:ascii="Times New Roman" w:eastAsia="Times New Roman" w:hAnsi="Times New Roman" w:cs="Times New Roman"/>
          <w:lang w:val="en-GB"/>
        </w:rPr>
      </w:pPr>
      <w:r w:rsidRPr="00210B7A">
        <w:rPr>
          <w:rFonts w:ascii="Times New Roman" w:eastAsia="Times New Roman" w:hAnsi="Times New Roman" w:cs="Times New Roman"/>
          <w:lang w:val="en-GB"/>
        </w:rPr>
        <w:t>- He/she is cooperative and responsible towards the professionals of his/her field.</w:t>
      </w:r>
    </w:p>
    <w:p w:rsidR="00210B7A" w:rsidRPr="00210B7A" w:rsidRDefault="00210B7A" w:rsidP="00210B7A">
      <w:pPr>
        <w:widowControl w:val="0"/>
        <w:spacing w:before="120" w:after="120" w:line="240" w:lineRule="auto"/>
        <w:ind w:left="425"/>
        <w:jc w:val="both"/>
        <w:rPr>
          <w:rFonts w:ascii="Times New Roman" w:eastAsia="Times New Roman" w:hAnsi="Times New Roman" w:cs="Times New Roman"/>
          <w:lang w:val="en-GB"/>
        </w:rPr>
      </w:pPr>
      <w:r w:rsidRPr="00210B7A">
        <w:rPr>
          <w:rFonts w:ascii="Times New Roman" w:eastAsia="Times New Roman" w:hAnsi="Times New Roman" w:cs="Times New Roman"/>
          <w:lang w:val="en-GB"/>
        </w:rPr>
        <w:t>- Is capable of thinking in a system approach within his/her own field.</w:t>
      </w:r>
    </w:p>
    <w:p w:rsidR="00210B7A" w:rsidRPr="00210B7A" w:rsidRDefault="00210B7A" w:rsidP="00210B7A">
      <w:pPr>
        <w:widowControl w:val="0"/>
        <w:spacing w:before="120" w:after="120" w:line="240" w:lineRule="auto"/>
        <w:ind w:left="426"/>
        <w:jc w:val="both"/>
        <w:rPr>
          <w:rFonts w:ascii="Times New Roman" w:eastAsia="Times New Roman" w:hAnsi="Times New Roman" w:cs="Times New Roman"/>
          <w:b/>
          <w:lang w:val="en-GB"/>
        </w:rPr>
      </w:pPr>
      <w:r w:rsidRPr="00210B7A">
        <w:rPr>
          <w:rFonts w:ascii="Times New Roman" w:eastAsia="Times New Roman" w:hAnsi="Times New Roman" w:cs="Times New Roman"/>
          <w:b/>
          <w:lang w:val="en-GB"/>
        </w:rPr>
        <w:t xml:space="preserve">Autonomy and responsibility: </w:t>
      </w:r>
    </w:p>
    <w:p w:rsidR="00210B7A" w:rsidRPr="00210B7A" w:rsidRDefault="00210B7A" w:rsidP="00210B7A">
      <w:pPr>
        <w:widowControl w:val="0"/>
        <w:spacing w:before="120" w:after="120" w:line="240" w:lineRule="auto"/>
        <w:ind w:left="426"/>
        <w:jc w:val="both"/>
        <w:rPr>
          <w:rFonts w:ascii="Times New Roman" w:eastAsia="Times New Roman" w:hAnsi="Times New Roman" w:cs="Times New Roman"/>
          <w:lang w:val="en-GB"/>
        </w:rPr>
      </w:pPr>
      <w:r w:rsidRPr="00210B7A">
        <w:rPr>
          <w:rFonts w:ascii="Times New Roman" w:eastAsia="Times New Roman" w:hAnsi="Times New Roman" w:cs="Times New Roman"/>
          <w:b/>
          <w:lang w:val="en-GB"/>
        </w:rPr>
        <w:t xml:space="preserve">- </w:t>
      </w:r>
      <w:r w:rsidRPr="00210B7A">
        <w:rPr>
          <w:rFonts w:ascii="Times New Roman" w:eastAsia="Calibri" w:hAnsi="Times New Roman" w:cs="Times New Roman"/>
          <w:szCs w:val="24"/>
          <w:lang w:val="en-GB"/>
        </w:rPr>
        <w:t>He/She is aware of the impact of his/her decisions and activities on technical equipment and business discipline</w:t>
      </w:r>
      <w:r w:rsidRPr="00210B7A">
        <w:rPr>
          <w:rFonts w:ascii="Times New Roman" w:eastAsia="Times New Roman" w:hAnsi="Times New Roman" w:cs="Times New Roman"/>
          <w:lang w:val="en-GB"/>
        </w:rPr>
        <w:t>.</w:t>
      </w:r>
    </w:p>
    <w:p w:rsidR="00210B7A" w:rsidRPr="00210B7A" w:rsidRDefault="00210B7A" w:rsidP="00210B7A">
      <w:pPr>
        <w:widowControl w:val="0"/>
        <w:spacing w:after="0" w:line="240" w:lineRule="auto"/>
        <w:ind w:left="426"/>
        <w:jc w:val="both"/>
        <w:rPr>
          <w:rFonts w:ascii="Times New Roman" w:eastAsia="Times New Roman" w:hAnsi="Times New Roman" w:cs="Times New Roman"/>
          <w:lang w:val="en-GB"/>
        </w:rPr>
      </w:pPr>
      <w:r w:rsidRPr="00210B7A">
        <w:rPr>
          <w:rFonts w:ascii="Times New Roman" w:eastAsia="Times New Roman" w:hAnsi="Times New Roman" w:cs="Times New Roman"/>
          <w:lang w:val="en-GB"/>
        </w:rPr>
        <w:t>- He/she is cooperative and responsible towards the professionals of his/her field.</w:t>
      </w:r>
    </w:p>
    <w:p w:rsidR="00210B7A" w:rsidRPr="00210B7A" w:rsidRDefault="00210B7A" w:rsidP="00210B7A">
      <w:pPr>
        <w:widowControl w:val="0"/>
        <w:spacing w:before="120" w:after="120" w:line="240" w:lineRule="auto"/>
        <w:ind w:left="426"/>
        <w:jc w:val="both"/>
        <w:rPr>
          <w:rFonts w:ascii="Times New Roman" w:eastAsia="Times New Roman" w:hAnsi="Times New Roman" w:cs="Times New Roman"/>
          <w:lang w:val="en-GB"/>
        </w:rPr>
      </w:pPr>
      <w:r w:rsidRPr="00210B7A">
        <w:rPr>
          <w:rFonts w:ascii="Times New Roman" w:eastAsia="Times New Roman" w:hAnsi="Times New Roman" w:cs="Times New Roman"/>
          <w:lang w:val="en-GB"/>
        </w:rPr>
        <w:t>- Is capable of thinking in a system approach within his/her own field.</w:t>
      </w:r>
    </w:p>
    <w:p w:rsidR="00210B7A" w:rsidRPr="00210B7A" w:rsidRDefault="00210B7A" w:rsidP="00980876">
      <w:pPr>
        <w:widowControl w:val="0"/>
        <w:numPr>
          <w:ilvl w:val="0"/>
          <w:numId w:val="638"/>
        </w:numPr>
        <w:spacing w:before="120" w:after="120" w:line="240" w:lineRule="auto"/>
        <w:jc w:val="both"/>
        <w:rPr>
          <w:rFonts w:ascii="Times New Roman" w:eastAsia="Times New Roman" w:hAnsi="Times New Roman" w:cs="Times New Roman"/>
          <w:bCs/>
        </w:rPr>
      </w:pPr>
      <w:r w:rsidRPr="00210B7A">
        <w:rPr>
          <w:rFonts w:ascii="Times New Roman" w:eastAsia="Times New Roman" w:hAnsi="Times New Roman" w:cs="Times New Roman"/>
          <w:b/>
          <w:bCs/>
        </w:rPr>
        <w:t xml:space="preserve">Előtanulmányi követelmények: </w:t>
      </w:r>
      <w:r w:rsidRPr="00210B7A">
        <w:rPr>
          <w:rFonts w:ascii="Times New Roman" w:eastAsia="Times New Roman" w:hAnsi="Times New Roman" w:cs="Times New Roman"/>
          <w:bCs/>
        </w:rPr>
        <w:t xml:space="preserve"> Gépelemek I</w:t>
      </w:r>
      <w:r w:rsidR="0058157C">
        <w:rPr>
          <w:rFonts w:ascii="Times New Roman" w:eastAsia="Times New Roman" w:hAnsi="Times New Roman" w:cs="Times New Roman"/>
          <w:bCs/>
        </w:rPr>
        <w:t>.</w:t>
      </w:r>
      <w:r w:rsidRPr="00210B7A">
        <w:rPr>
          <w:rFonts w:ascii="Times New Roman" w:eastAsia="Times New Roman" w:hAnsi="Times New Roman" w:cs="Times New Roman"/>
          <w:bCs/>
        </w:rPr>
        <w:t xml:space="preserve"> HKHDTA08</w:t>
      </w:r>
    </w:p>
    <w:p w:rsidR="00210B7A" w:rsidRPr="00210B7A" w:rsidRDefault="00210B7A" w:rsidP="00980876">
      <w:pPr>
        <w:widowControl w:val="0"/>
        <w:numPr>
          <w:ilvl w:val="0"/>
          <w:numId w:val="638"/>
        </w:numPr>
        <w:spacing w:before="120" w:after="120" w:line="240" w:lineRule="auto"/>
        <w:ind w:left="426" w:hanging="142"/>
        <w:jc w:val="both"/>
        <w:rPr>
          <w:rFonts w:ascii="Times New Roman" w:eastAsia="Times New Roman" w:hAnsi="Times New Roman" w:cs="Times New Roman"/>
          <w:b/>
          <w:bCs/>
        </w:rPr>
      </w:pPr>
      <w:r w:rsidRPr="00210B7A">
        <w:rPr>
          <w:rFonts w:ascii="Times New Roman" w:eastAsia="Times New Roman" w:hAnsi="Times New Roman" w:cs="Times New Roman"/>
          <w:b/>
          <w:bCs/>
        </w:rPr>
        <w:t>A tantárgy tananyagának leírása, tematika. Description of the subject, curriculum (magyarul, angolul - English):</w:t>
      </w:r>
    </w:p>
    <w:p w:rsidR="00210B7A" w:rsidRPr="00210B7A" w:rsidRDefault="00210B7A" w:rsidP="00210B7A">
      <w:pPr>
        <w:widowControl w:val="0"/>
        <w:tabs>
          <w:tab w:val="left" w:pos="993"/>
        </w:tabs>
        <w:spacing w:before="120" w:after="120" w:line="240" w:lineRule="auto"/>
        <w:ind w:left="426"/>
        <w:jc w:val="both"/>
        <w:rPr>
          <w:rFonts w:ascii="Times New Roman" w:eastAsia="Times New Roman" w:hAnsi="Times New Roman" w:cs="Times New Roman"/>
          <w:b/>
        </w:rPr>
      </w:pPr>
      <w:r w:rsidRPr="00210B7A">
        <w:rPr>
          <w:rFonts w:ascii="Times New Roman" w:eastAsia="Times New Roman" w:hAnsi="Times New Roman" w:cs="Times New Roman"/>
          <w:b/>
        </w:rPr>
        <w:t>12.1-12.4</w:t>
      </w:r>
      <w:r w:rsidRPr="00210B7A">
        <w:rPr>
          <w:rFonts w:ascii="Times New Roman" w:eastAsia="Times New Roman" w:hAnsi="Times New Roman" w:cs="Times New Roman"/>
        </w:rPr>
        <w:t xml:space="preserve"> Hidrodinamikus csapágyak (elmélete, ágyazás kialakítása és anyagai, a csapágy kenési viszonyai, csapágyszerkezetek). Műanyagcsapágyak. </w:t>
      </w:r>
      <w:r w:rsidRPr="00210B7A">
        <w:rPr>
          <w:rFonts w:ascii="Times New Roman" w:eastAsia="Times New Roman" w:hAnsi="Times New Roman" w:cs="Times New Roman"/>
          <w:i/>
        </w:rPr>
        <w:t>(</w:t>
      </w:r>
      <w:r w:rsidRPr="00210B7A">
        <w:rPr>
          <w:rFonts w:ascii="Times New Roman" w:eastAsia="Calibri" w:hAnsi="Times New Roman" w:cs="Times New Roman"/>
          <w:i/>
          <w:lang w:val="en"/>
        </w:rPr>
        <w:t>Hydrodynamic bearings (theory, bearing design and materials, bearing lubrication conditions, bearing structures).)</w:t>
      </w:r>
    </w:p>
    <w:p w:rsidR="00210B7A" w:rsidRPr="00210B7A" w:rsidRDefault="00210B7A" w:rsidP="00210B7A">
      <w:pPr>
        <w:widowControl w:val="0"/>
        <w:tabs>
          <w:tab w:val="left" w:pos="993"/>
        </w:tabs>
        <w:spacing w:before="120" w:after="120" w:line="240" w:lineRule="auto"/>
        <w:ind w:left="426"/>
        <w:jc w:val="both"/>
        <w:rPr>
          <w:rFonts w:ascii="Times New Roman" w:eastAsia="Times New Roman" w:hAnsi="Times New Roman" w:cs="Times New Roman"/>
          <w:i/>
        </w:rPr>
      </w:pPr>
      <w:r w:rsidRPr="00210B7A">
        <w:rPr>
          <w:rFonts w:ascii="Times New Roman" w:eastAsia="Times New Roman" w:hAnsi="Times New Roman" w:cs="Times New Roman"/>
          <w:b/>
        </w:rPr>
        <w:t xml:space="preserve">12.3. </w:t>
      </w:r>
      <w:r w:rsidRPr="00210B7A">
        <w:rPr>
          <w:rFonts w:ascii="Times New Roman" w:eastAsia="Times New Roman" w:hAnsi="Times New Roman" w:cs="Times New Roman"/>
        </w:rPr>
        <w:t xml:space="preserve">Laposszíjhajtás. Szíjhajtás kinematikai viszonyai. Erőhatások, szíjak igénybevétele, előfeszítése, tengelyeket terhelő erők. Szíjcsúszás. Szíjhajtás méretezése. Dörzshajtás. </w:t>
      </w:r>
      <w:r w:rsidRPr="00210B7A">
        <w:rPr>
          <w:rFonts w:ascii="Times New Roman" w:eastAsia="Times New Roman" w:hAnsi="Times New Roman" w:cs="Times New Roman"/>
          <w:i/>
        </w:rPr>
        <w:t>(</w:t>
      </w:r>
      <w:r w:rsidRPr="00210B7A">
        <w:rPr>
          <w:rFonts w:ascii="Times New Roman" w:eastAsia="Calibri" w:hAnsi="Times New Roman" w:cs="Times New Roman"/>
          <w:i/>
          <w:lang w:val="en"/>
        </w:rPr>
        <w:t>Flat Belt drive. Kinematic conditions of belt drive. Forces, belt tension, pretension, axle loads. Belt slip. Belt drive sizing. Friction drive.)</w:t>
      </w:r>
    </w:p>
    <w:p w:rsidR="00210B7A" w:rsidRPr="00210B7A" w:rsidRDefault="00210B7A" w:rsidP="00210B7A">
      <w:pPr>
        <w:widowControl w:val="0"/>
        <w:tabs>
          <w:tab w:val="left" w:pos="993"/>
        </w:tabs>
        <w:spacing w:before="120" w:after="120" w:line="240" w:lineRule="auto"/>
        <w:ind w:left="426"/>
        <w:jc w:val="both"/>
        <w:rPr>
          <w:rFonts w:ascii="Times New Roman" w:eastAsia="Times New Roman" w:hAnsi="Times New Roman" w:cs="Times New Roman"/>
        </w:rPr>
      </w:pPr>
      <w:r w:rsidRPr="00210B7A">
        <w:rPr>
          <w:rFonts w:ascii="Times New Roman" w:eastAsia="Times New Roman" w:hAnsi="Times New Roman" w:cs="Times New Roman"/>
          <w:b/>
        </w:rPr>
        <w:t>12.4</w:t>
      </w:r>
      <w:r w:rsidRPr="00210B7A">
        <w:rPr>
          <w:rFonts w:ascii="Times New Roman" w:eastAsia="Times New Roman" w:hAnsi="Times New Roman" w:cs="Times New Roman"/>
        </w:rPr>
        <w:t xml:space="preserve">. Ékszíjhajtás. Szíjprofilok és tárcsák. Normálszelvényű ékszíjhajtás tervezése. Különleges ékszíj profilok. </w:t>
      </w:r>
      <w:r w:rsidRPr="00210B7A">
        <w:rPr>
          <w:rFonts w:ascii="Times New Roman" w:eastAsia="Times New Roman" w:hAnsi="Times New Roman" w:cs="Times New Roman"/>
          <w:i/>
        </w:rPr>
        <w:t>(</w:t>
      </w:r>
      <w:r w:rsidRPr="00210B7A">
        <w:rPr>
          <w:rFonts w:ascii="Times New Roman" w:eastAsia="Calibri" w:hAnsi="Times New Roman" w:cs="Times New Roman"/>
          <w:i/>
          <w:lang w:val="en"/>
        </w:rPr>
        <w:t>V-belt drive. Belt profiles and discs. Design of standard section belt drive. Special V-belt profiles.)</w:t>
      </w:r>
    </w:p>
    <w:p w:rsidR="00210B7A" w:rsidRPr="00210B7A" w:rsidRDefault="00210B7A" w:rsidP="00210B7A">
      <w:pPr>
        <w:widowControl w:val="0"/>
        <w:tabs>
          <w:tab w:val="left" w:pos="993"/>
        </w:tabs>
        <w:spacing w:before="120" w:after="120" w:line="240" w:lineRule="auto"/>
        <w:ind w:left="426"/>
        <w:jc w:val="both"/>
        <w:rPr>
          <w:rFonts w:ascii="Times New Roman" w:eastAsia="Times New Roman" w:hAnsi="Times New Roman" w:cs="Times New Roman"/>
        </w:rPr>
      </w:pPr>
      <w:r w:rsidRPr="00210B7A">
        <w:rPr>
          <w:rFonts w:ascii="Times New Roman" w:eastAsia="Times New Roman" w:hAnsi="Times New Roman" w:cs="Times New Roman"/>
          <w:b/>
        </w:rPr>
        <w:t>12.5.</w:t>
      </w:r>
      <w:r w:rsidRPr="00210B7A">
        <w:rPr>
          <w:rFonts w:ascii="Times New Roman" w:eastAsia="Times New Roman" w:hAnsi="Times New Roman" w:cs="Times New Roman"/>
        </w:rPr>
        <w:t xml:space="preserve"> Lánchajtás. Általános jellemzés, erő- és mozgásviszonyok, szerkezeti kialakítás. </w:t>
      </w:r>
      <w:r w:rsidRPr="00210B7A">
        <w:rPr>
          <w:rFonts w:ascii="Times New Roman" w:eastAsia="Times New Roman" w:hAnsi="Times New Roman" w:cs="Times New Roman"/>
          <w:i/>
        </w:rPr>
        <w:t>(</w:t>
      </w:r>
      <w:r w:rsidRPr="00210B7A">
        <w:rPr>
          <w:rFonts w:ascii="Times New Roman" w:eastAsia="Calibri" w:hAnsi="Times New Roman" w:cs="Times New Roman"/>
          <w:i/>
          <w:lang w:val="en"/>
        </w:rPr>
        <w:t>Chain drive. General characterization, force and movement relations, structural design.)</w:t>
      </w:r>
    </w:p>
    <w:p w:rsidR="00210B7A" w:rsidRPr="00210B7A" w:rsidRDefault="00210B7A" w:rsidP="00210B7A">
      <w:pPr>
        <w:widowControl w:val="0"/>
        <w:tabs>
          <w:tab w:val="left" w:pos="993"/>
        </w:tabs>
        <w:spacing w:before="120" w:after="120" w:line="240" w:lineRule="auto"/>
        <w:ind w:left="426"/>
        <w:jc w:val="both"/>
        <w:rPr>
          <w:rFonts w:ascii="Times New Roman" w:eastAsia="Times New Roman" w:hAnsi="Times New Roman" w:cs="Times New Roman"/>
        </w:rPr>
      </w:pPr>
      <w:r w:rsidRPr="00210B7A">
        <w:rPr>
          <w:rFonts w:ascii="Times New Roman" w:eastAsia="Times New Roman" w:hAnsi="Times New Roman" w:cs="Times New Roman"/>
          <w:b/>
        </w:rPr>
        <w:t>12.6.-9</w:t>
      </w:r>
      <w:r w:rsidRPr="00210B7A">
        <w:rPr>
          <w:rFonts w:ascii="Times New Roman" w:eastAsia="Times New Roman" w:hAnsi="Times New Roman" w:cs="Times New Roman"/>
        </w:rPr>
        <w:t xml:space="preserve"> Külső fogazású egyenesfogú hengereskerekek. Alapfogalmak és méretek. Profilgörbék. Evolvens profilú elemi fogazat. Evolvens profilú fog felépítése. Csúszás, egyfogpárkapcsolódás, alámetszés, profileltolás. Ferdefogú kerekek, belső fogazású kerekek. Fogaskerékpár szilárdsági méretezése. </w:t>
      </w:r>
      <w:r w:rsidRPr="00210B7A">
        <w:rPr>
          <w:rFonts w:ascii="Times New Roman" w:eastAsia="Times New Roman" w:hAnsi="Times New Roman" w:cs="Times New Roman"/>
          <w:i/>
        </w:rPr>
        <w:t>(O</w:t>
      </w:r>
      <w:r w:rsidRPr="00210B7A">
        <w:rPr>
          <w:rFonts w:ascii="Times New Roman" w:eastAsia="Calibri" w:hAnsi="Times New Roman" w:cs="Times New Roman"/>
          <w:i/>
          <w:lang w:val="en"/>
        </w:rPr>
        <w:t xml:space="preserve">utside toothed straight roller wheels. Basic concepts and dimensions. Profile curves. Evolvent profile elementary teeth. Structure of Evolvent profile tooth. Slip, single tooth </w:t>
      </w:r>
      <w:r w:rsidRPr="00210B7A">
        <w:rPr>
          <w:rFonts w:ascii="Times New Roman" w:eastAsia="Calibri" w:hAnsi="Times New Roman" w:cs="Times New Roman"/>
          <w:i/>
          <w:lang w:val="en"/>
        </w:rPr>
        <w:lastRenderedPageBreak/>
        <w:t>engagement, undercut, profile offset. Slanted wheels, toothed wheels. Gear strength measurement.)</w:t>
      </w:r>
    </w:p>
    <w:p w:rsidR="00210B7A" w:rsidRPr="00210B7A" w:rsidRDefault="00210B7A" w:rsidP="00210B7A">
      <w:pPr>
        <w:ind w:left="426"/>
        <w:rPr>
          <w:rFonts w:ascii="Times New Roman" w:eastAsia="Times New Roman" w:hAnsi="Times New Roman" w:cs="Times New Roman"/>
        </w:rPr>
      </w:pPr>
      <w:r w:rsidRPr="00210B7A">
        <w:rPr>
          <w:rFonts w:ascii="Times New Roman" w:eastAsia="Times New Roman" w:hAnsi="Times New Roman" w:cs="Times New Roman"/>
          <w:b/>
        </w:rPr>
        <w:t xml:space="preserve">12.9. </w:t>
      </w:r>
      <w:r w:rsidRPr="00210B7A">
        <w:rPr>
          <w:rFonts w:ascii="Times New Roman" w:eastAsia="Times New Roman" w:hAnsi="Times New Roman" w:cs="Times New Roman"/>
        </w:rPr>
        <w:t xml:space="preserve">Kúpkerékhajtás. Elemi kúpfogazat jellemzői. Kúpkerékhajtásoknál fellépő erők. </w:t>
      </w:r>
      <w:r w:rsidRPr="00210B7A">
        <w:rPr>
          <w:rFonts w:ascii="Times New Roman" w:eastAsia="Times New Roman" w:hAnsi="Times New Roman" w:cs="Times New Roman"/>
          <w:sz w:val="24"/>
          <w:szCs w:val="24"/>
          <w:lang w:val="en" w:eastAsia="hu-HU"/>
        </w:rPr>
        <w:t xml:space="preserve">Kúpkerékhajtás. </w:t>
      </w:r>
      <w:r w:rsidRPr="00210B7A">
        <w:rPr>
          <w:rFonts w:ascii="Times New Roman" w:eastAsia="Times New Roman" w:hAnsi="Times New Roman" w:cs="Times New Roman"/>
          <w:i/>
          <w:sz w:val="24"/>
          <w:szCs w:val="24"/>
          <w:lang w:val="en" w:eastAsia="hu-HU"/>
        </w:rPr>
        <w:t>(Characteristics of elementary conical teeth. Forces occurring in cone drives.)</w:t>
      </w:r>
    </w:p>
    <w:p w:rsidR="00210B7A" w:rsidRPr="00210B7A" w:rsidRDefault="00210B7A" w:rsidP="00AC0966">
      <w:pPr>
        <w:widowControl w:val="0"/>
        <w:tabs>
          <w:tab w:val="left" w:pos="993"/>
        </w:tabs>
        <w:spacing w:before="120" w:after="120" w:line="240" w:lineRule="auto"/>
        <w:ind w:left="426"/>
        <w:rPr>
          <w:rFonts w:ascii="Times New Roman" w:eastAsia="Times New Roman" w:hAnsi="Times New Roman" w:cs="Times New Roman"/>
        </w:rPr>
      </w:pPr>
      <w:r w:rsidRPr="00210B7A">
        <w:rPr>
          <w:rFonts w:ascii="Times New Roman" w:eastAsia="Times New Roman" w:hAnsi="Times New Roman" w:cs="Times New Roman"/>
          <w:b/>
        </w:rPr>
        <w:t>12.10</w:t>
      </w:r>
      <w:r w:rsidRPr="00210B7A">
        <w:rPr>
          <w:rFonts w:ascii="Times New Roman" w:eastAsia="Times New Roman" w:hAnsi="Times New Roman" w:cs="Times New Roman"/>
        </w:rPr>
        <w:t xml:space="preserve">. Hajtásátvitel kitérő tengelyek között. (csavarkerék, csigahajtás). </w:t>
      </w:r>
      <w:r w:rsidRPr="00210B7A">
        <w:rPr>
          <w:rFonts w:ascii="Times New Roman" w:eastAsia="Times New Roman" w:hAnsi="Times New Roman" w:cs="Times New Roman"/>
          <w:i/>
        </w:rPr>
        <w:t>(D</w:t>
      </w:r>
      <w:r w:rsidRPr="00210B7A">
        <w:rPr>
          <w:rFonts w:ascii="Times New Roman" w:eastAsia="Calibri" w:hAnsi="Times New Roman" w:cs="Times New Roman"/>
          <w:i/>
          <w:lang w:val="en"/>
        </w:rPr>
        <w:t>rive transmission between bypass axles. (screw wheel, worm gear))</w:t>
      </w:r>
    </w:p>
    <w:p w:rsidR="00210B7A" w:rsidRPr="00210B7A" w:rsidRDefault="00210B7A" w:rsidP="00AC0966">
      <w:pPr>
        <w:widowControl w:val="0"/>
        <w:tabs>
          <w:tab w:val="left" w:pos="993"/>
        </w:tabs>
        <w:spacing w:before="120" w:after="120" w:line="240" w:lineRule="auto"/>
        <w:ind w:left="426"/>
        <w:rPr>
          <w:rFonts w:ascii="Times New Roman" w:eastAsia="Times New Roman" w:hAnsi="Times New Roman" w:cs="Times New Roman"/>
          <w:lang w:val="en-GB"/>
        </w:rPr>
      </w:pPr>
      <w:r w:rsidRPr="00210B7A">
        <w:rPr>
          <w:rFonts w:ascii="Times New Roman" w:eastAsia="Times New Roman" w:hAnsi="Times New Roman" w:cs="Times New Roman"/>
          <w:b/>
        </w:rPr>
        <w:t>12. 11.-14</w:t>
      </w:r>
      <w:r w:rsidRPr="00210B7A">
        <w:rPr>
          <w:rFonts w:ascii="Times New Roman" w:eastAsia="Times New Roman" w:hAnsi="Times New Roman" w:cs="Times New Roman"/>
        </w:rPr>
        <w:t xml:space="preserve">. Mechanikus hajtóművek (tengely csapágyazás, fogaskerekes hajtóművek, hajtóműházat, csapágyházak). </w:t>
      </w:r>
      <w:r w:rsidRPr="00210B7A">
        <w:rPr>
          <w:rFonts w:ascii="Times New Roman" w:eastAsia="Times New Roman" w:hAnsi="Times New Roman" w:cs="Times New Roman"/>
          <w:i/>
        </w:rPr>
        <w:t>(</w:t>
      </w:r>
      <w:r w:rsidRPr="00210B7A">
        <w:rPr>
          <w:rFonts w:ascii="Times New Roman" w:eastAsia="Calibri" w:hAnsi="Times New Roman" w:cs="Times New Roman"/>
          <w:i/>
          <w:lang w:val="en"/>
        </w:rPr>
        <w:t>Mechanical transmissions (shaft bearings, gearboxes, gear housings, bearing housings))</w:t>
      </w:r>
    </w:p>
    <w:p w:rsidR="00210B7A" w:rsidRPr="00210B7A" w:rsidRDefault="00210B7A" w:rsidP="00980876">
      <w:pPr>
        <w:widowControl w:val="0"/>
        <w:numPr>
          <w:ilvl w:val="0"/>
          <w:numId w:val="638"/>
        </w:numPr>
        <w:tabs>
          <w:tab w:val="num" w:pos="360"/>
        </w:tabs>
        <w:spacing w:before="120" w:after="120" w:line="240" w:lineRule="auto"/>
        <w:ind w:left="426" w:hanging="142"/>
        <w:jc w:val="both"/>
        <w:rPr>
          <w:rFonts w:ascii="Times New Roman" w:eastAsia="Times New Roman" w:hAnsi="Times New Roman" w:cs="Times New Roman"/>
          <w:bCs/>
        </w:rPr>
      </w:pPr>
      <w:r w:rsidRPr="00210B7A">
        <w:rPr>
          <w:rFonts w:ascii="Times New Roman" w:eastAsia="Times New Roman" w:hAnsi="Times New Roman" w:cs="Times New Roman"/>
          <w:b/>
          <w:bCs/>
        </w:rPr>
        <w:t xml:space="preserve">A tantárgy meghirdetésének gyakorisága/a tantervben történő félévi elhelyezkedése: </w:t>
      </w:r>
    </w:p>
    <w:p w:rsidR="00210B7A" w:rsidRPr="00210B7A" w:rsidRDefault="00210B7A" w:rsidP="00980876">
      <w:pPr>
        <w:widowControl w:val="0"/>
        <w:numPr>
          <w:ilvl w:val="0"/>
          <w:numId w:val="638"/>
        </w:numPr>
        <w:tabs>
          <w:tab w:val="num" w:pos="360"/>
        </w:tabs>
        <w:spacing w:before="120" w:after="120" w:line="240" w:lineRule="auto"/>
        <w:ind w:left="426" w:hanging="142"/>
        <w:jc w:val="both"/>
        <w:rPr>
          <w:rFonts w:ascii="Times New Roman" w:eastAsia="Times New Roman" w:hAnsi="Times New Roman" w:cs="Times New Roman"/>
          <w:bCs/>
          <w:highlight w:val="lightGray"/>
        </w:rPr>
      </w:pPr>
      <w:r w:rsidRPr="00210B7A">
        <w:rPr>
          <w:rFonts w:ascii="Times New Roman" w:eastAsia="Times New Roman" w:hAnsi="Times New Roman" w:cs="Times New Roman"/>
          <w:b/>
          <w:bCs/>
        </w:rPr>
        <w:t>A tanórákon való részvétel követelményei, az elfogadható hiányzások mértéke, a távolmaradás pótlásának lehetősége:</w:t>
      </w:r>
      <w:r w:rsidRPr="00210B7A">
        <w:rPr>
          <w:rFonts w:ascii="Times New Roman" w:eastAsia="Times New Roman" w:hAnsi="Times New Roman" w:cs="Times New Roman"/>
          <w:bCs/>
        </w:rPr>
        <w:t xml:space="preserve"> A tanórák legalább 60%-án köteles a hallgató részt venni. Amennyiben a hiányzások mértéke ezt meghaladja, akkor az aláírás megszerzéséhez a hiányzott összes órák anyagából a szorgalmi időszakban szóban be kell számolni.</w:t>
      </w:r>
    </w:p>
    <w:p w:rsidR="00210B7A" w:rsidRPr="00210B7A" w:rsidRDefault="00210B7A" w:rsidP="00980876">
      <w:pPr>
        <w:widowControl w:val="0"/>
        <w:numPr>
          <w:ilvl w:val="0"/>
          <w:numId w:val="638"/>
        </w:numPr>
        <w:tabs>
          <w:tab w:val="num" w:pos="360"/>
        </w:tabs>
        <w:spacing w:before="120" w:after="120" w:line="240" w:lineRule="auto"/>
        <w:ind w:left="426" w:hanging="142"/>
        <w:jc w:val="both"/>
        <w:rPr>
          <w:rFonts w:ascii="Times New Roman" w:eastAsia="Times New Roman" w:hAnsi="Times New Roman" w:cs="Times New Roman"/>
          <w:bCs/>
          <w:highlight w:val="lightGray"/>
        </w:rPr>
      </w:pPr>
      <w:r w:rsidRPr="00210B7A">
        <w:rPr>
          <w:rFonts w:ascii="Times New Roman" w:eastAsia="Times New Roman" w:hAnsi="Times New Roman" w:cs="Times New Roman"/>
          <w:b/>
        </w:rPr>
        <w:t>Félévközi feladatok, ismeretek ellenőrzésének rendje:</w:t>
      </w:r>
      <w:r w:rsidRPr="00210B7A">
        <w:rPr>
          <w:rFonts w:ascii="Times New Roman" w:eastAsia="Times New Roman" w:hAnsi="Times New Roman" w:cs="Times New Roman"/>
          <w:bCs/>
        </w:rPr>
        <w:t xml:space="preserve"> </w:t>
      </w:r>
      <w:r w:rsidRPr="00210B7A">
        <w:rPr>
          <w:rFonts w:ascii="Times New Roman" w:eastAsia="Times New Roman" w:hAnsi="Times New Roman" w:cs="Times New Roman"/>
        </w:rPr>
        <w:t xml:space="preserve">A félév során egy zárthelyi dolgozatot kell írni a tantárgy teljes tartalmából. Az értékelés: </w:t>
      </w:r>
      <w:r w:rsidRPr="00210B7A">
        <w:rPr>
          <w:rFonts w:ascii="Times New Roman" w:eastAsia="Times New Roman" w:hAnsi="Times New Roman" w:cs="Times New Roman"/>
          <w:bCs/>
        </w:rPr>
        <w:t>60 %-tól elégséges, 70 %-tól közepes, 80-tól % jó, 90 %-tól jeles. Elégtelen zárthelyi dolgozat esetén a vizsgaidőszak első hetében van lehetőség a pótlásra. Ezt követően még két alkalommal van további pótlási lehetőség.</w:t>
      </w:r>
      <w:r w:rsidRPr="00210B7A">
        <w:rPr>
          <w:rFonts w:ascii="Times New Roman" w:eastAsia="Times New Roman" w:hAnsi="Times New Roman" w:cs="Times New Roman"/>
          <w:bCs/>
          <w:highlight w:val="lightGray"/>
        </w:rPr>
        <w:t xml:space="preserve"> </w:t>
      </w:r>
    </w:p>
    <w:p w:rsidR="00210B7A" w:rsidRPr="00210B7A" w:rsidRDefault="00210B7A" w:rsidP="00980876">
      <w:pPr>
        <w:widowControl w:val="0"/>
        <w:numPr>
          <w:ilvl w:val="0"/>
          <w:numId w:val="638"/>
        </w:numPr>
        <w:spacing w:before="120" w:after="120" w:line="240" w:lineRule="auto"/>
        <w:ind w:left="426" w:hanging="142"/>
        <w:jc w:val="both"/>
        <w:rPr>
          <w:rFonts w:ascii="Times New Roman" w:eastAsia="Times New Roman" w:hAnsi="Times New Roman" w:cs="Times New Roman"/>
          <w:b/>
          <w:bCs/>
        </w:rPr>
      </w:pPr>
      <w:r w:rsidRPr="00210B7A">
        <w:rPr>
          <w:rFonts w:ascii="Times New Roman" w:eastAsia="Times New Roman" w:hAnsi="Times New Roman" w:cs="Times New Roman"/>
          <w:b/>
          <w:bCs/>
        </w:rPr>
        <w:t xml:space="preserve">Az értékelés, az aláírás és a kreditek megszerzésének pontos feltételei: </w:t>
      </w:r>
    </w:p>
    <w:p w:rsidR="00210B7A" w:rsidRPr="00210B7A" w:rsidRDefault="00210B7A" w:rsidP="00980876">
      <w:pPr>
        <w:widowControl w:val="0"/>
        <w:numPr>
          <w:ilvl w:val="1"/>
          <w:numId w:val="638"/>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210B7A">
        <w:rPr>
          <w:rFonts w:ascii="Times New Roman" w:eastAsia="Times New Roman" w:hAnsi="Times New Roman" w:cs="Times New Roman"/>
          <w:b/>
        </w:rPr>
        <w:t>Az aláírás megszerzésének feltételei:</w:t>
      </w:r>
      <w:r w:rsidRPr="00210B7A">
        <w:rPr>
          <w:rFonts w:ascii="Times New Roman" w:eastAsia="Times New Roman" w:hAnsi="Times New Roman" w:cs="Times New Roman"/>
        </w:rPr>
        <w:t xml:space="preserve"> Az aláírás megszerzésének feltétele a 14. pontban meghatározott arányú részvétel a foglalkozásokon és a 15. pontban meghatározott félévközi feladat legalább elégséges szintű teljesítése.</w:t>
      </w:r>
    </w:p>
    <w:p w:rsidR="00210B7A" w:rsidRPr="00210B7A" w:rsidRDefault="00210B7A" w:rsidP="00980876">
      <w:pPr>
        <w:widowControl w:val="0"/>
        <w:numPr>
          <w:ilvl w:val="1"/>
          <w:numId w:val="638"/>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210B7A">
        <w:rPr>
          <w:rFonts w:ascii="Times New Roman" w:eastAsia="Times New Roman" w:hAnsi="Times New Roman" w:cs="Times New Roman"/>
          <w:b/>
        </w:rPr>
        <w:t>Az értékelés:</w:t>
      </w:r>
      <w:r w:rsidRPr="00210B7A">
        <w:rPr>
          <w:rFonts w:ascii="Times New Roman" w:eastAsia="Times New Roman" w:hAnsi="Times New Roman" w:cs="Times New Roman"/>
        </w:rPr>
        <w:t xml:space="preserve"> Szóbeli vizsgán történik</w:t>
      </w:r>
    </w:p>
    <w:p w:rsidR="00210B7A" w:rsidRPr="00AC0966" w:rsidRDefault="00210B7A" w:rsidP="00980876">
      <w:pPr>
        <w:widowControl w:val="0"/>
        <w:numPr>
          <w:ilvl w:val="1"/>
          <w:numId w:val="638"/>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AC0966">
        <w:rPr>
          <w:rFonts w:ascii="Times New Roman" w:eastAsia="Times New Roman" w:hAnsi="Times New Roman" w:cs="Times New Roman"/>
          <w:b/>
        </w:rPr>
        <w:t>A kreditek megszerzésének feltételei:</w:t>
      </w:r>
      <w:r w:rsidRPr="00AC0966">
        <w:rPr>
          <w:rFonts w:ascii="Times New Roman" w:eastAsia="Times New Roman" w:hAnsi="Times New Roman" w:cs="Times New Roman"/>
        </w:rPr>
        <w:t xml:space="preserve"> A kreditek megszerzésének feltétele az aláírás megszerzése és sikeres vizsga.</w:t>
      </w:r>
    </w:p>
    <w:p w:rsidR="00210B7A" w:rsidRPr="00210B7A" w:rsidRDefault="00210B7A" w:rsidP="00980876">
      <w:pPr>
        <w:widowControl w:val="0"/>
        <w:numPr>
          <w:ilvl w:val="0"/>
          <w:numId w:val="638"/>
        </w:numPr>
        <w:tabs>
          <w:tab w:val="num" w:pos="360"/>
        </w:tabs>
        <w:spacing w:before="120" w:after="120" w:line="240" w:lineRule="auto"/>
        <w:ind w:left="426" w:hanging="142"/>
        <w:jc w:val="both"/>
        <w:rPr>
          <w:rFonts w:ascii="Times New Roman" w:eastAsia="Times New Roman" w:hAnsi="Times New Roman" w:cs="Times New Roman"/>
          <w:bCs/>
        </w:rPr>
      </w:pPr>
      <w:r w:rsidRPr="00210B7A">
        <w:rPr>
          <w:rFonts w:ascii="Times New Roman" w:eastAsia="Times New Roman" w:hAnsi="Times New Roman" w:cs="Times New Roman"/>
          <w:b/>
          <w:bCs/>
        </w:rPr>
        <w:t>Irodalomjegyzék:</w:t>
      </w:r>
    </w:p>
    <w:p w:rsidR="00210B7A" w:rsidRPr="00210B7A" w:rsidRDefault="00210B7A" w:rsidP="00980876">
      <w:pPr>
        <w:widowControl w:val="0"/>
        <w:numPr>
          <w:ilvl w:val="1"/>
          <w:numId w:val="638"/>
        </w:numPr>
        <w:tabs>
          <w:tab w:val="left" w:pos="567"/>
          <w:tab w:val="left" w:pos="851"/>
        </w:tabs>
        <w:spacing w:before="120" w:after="120" w:line="240" w:lineRule="auto"/>
        <w:ind w:left="426" w:hanging="142"/>
        <w:jc w:val="both"/>
        <w:rPr>
          <w:rFonts w:ascii="Times New Roman" w:eastAsia="Times New Roman" w:hAnsi="Times New Roman" w:cs="Times New Roman"/>
          <w:bCs/>
        </w:rPr>
      </w:pPr>
      <w:r w:rsidRPr="00210B7A">
        <w:rPr>
          <w:rFonts w:ascii="Times New Roman" w:eastAsia="Times New Roman" w:hAnsi="Times New Roman" w:cs="Times New Roman"/>
          <w:b/>
          <w:bCs/>
        </w:rPr>
        <w:t>Kötelező irodalom:</w:t>
      </w:r>
    </w:p>
    <w:p w:rsidR="00210B7A" w:rsidRPr="00210B7A" w:rsidRDefault="00210B7A" w:rsidP="0058157C">
      <w:pPr>
        <w:numPr>
          <w:ilvl w:val="0"/>
          <w:numId w:val="639"/>
        </w:numPr>
        <w:tabs>
          <w:tab w:val="clear" w:pos="720"/>
        </w:tabs>
        <w:spacing w:after="0" w:line="240" w:lineRule="auto"/>
        <w:ind w:left="993"/>
        <w:jc w:val="both"/>
        <w:rPr>
          <w:rFonts w:ascii="Times New Roman" w:eastAsia="Calibri" w:hAnsi="Times New Roman" w:cs="Times New Roman"/>
        </w:rPr>
      </w:pPr>
      <w:r w:rsidRPr="00210B7A">
        <w:rPr>
          <w:rFonts w:ascii="Times New Roman" w:eastAsia="Calibri" w:hAnsi="Times New Roman" w:cs="Times New Roman"/>
        </w:rPr>
        <w:t>Szendrő: Gépelemek. (Mezőgazda Kiadó, Budapest, 2008.) ISBN: 9789632863719</w:t>
      </w:r>
    </w:p>
    <w:p w:rsidR="00210B7A" w:rsidRPr="00210B7A" w:rsidRDefault="00210B7A" w:rsidP="0058157C">
      <w:pPr>
        <w:numPr>
          <w:ilvl w:val="0"/>
          <w:numId w:val="639"/>
        </w:numPr>
        <w:tabs>
          <w:tab w:val="clear" w:pos="720"/>
        </w:tabs>
        <w:spacing w:after="0" w:line="240" w:lineRule="auto"/>
        <w:ind w:left="993"/>
        <w:jc w:val="both"/>
        <w:rPr>
          <w:rFonts w:ascii="Times New Roman" w:eastAsia="Calibri" w:hAnsi="Times New Roman" w:cs="Times New Roman"/>
        </w:rPr>
      </w:pPr>
      <w:r w:rsidRPr="00210B7A">
        <w:rPr>
          <w:rFonts w:ascii="Times New Roman" w:eastAsia="Calibri" w:hAnsi="Times New Roman" w:cs="Times New Roman"/>
        </w:rPr>
        <w:t>Szabó István: A gépelemek alapjai. (Mezőgazda Kiadó, Budapest, 2006. ISBN: 9639460354</w:t>
      </w:r>
    </w:p>
    <w:p w:rsidR="00210B7A" w:rsidRPr="00AC0966" w:rsidRDefault="00210B7A" w:rsidP="0058157C">
      <w:pPr>
        <w:widowControl w:val="0"/>
        <w:numPr>
          <w:ilvl w:val="0"/>
          <w:numId w:val="639"/>
        </w:numPr>
        <w:tabs>
          <w:tab w:val="clear" w:pos="720"/>
          <w:tab w:val="left" w:pos="851"/>
        </w:tabs>
        <w:spacing w:after="120" w:line="240" w:lineRule="auto"/>
        <w:ind w:left="993"/>
        <w:contextualSpacing/>
        <w:jc w:val="both"/>
        <w:rPr>
          <w:rFonts w:ascii="Times New Roman" w:eastAsia="Times New Roman" w:hAnsi="Times New Roman" w:cs="Times New Roman"/>
          <w:bCs/>
        </w:rPr>
      </w:pPr>
      <w:r w:rsidRPr="00210B7A">
        <w:rPr>
          <w:rFonts w:ascii="Times New Roman" w:eastAsia="Calibri" w:hAnsi="Times New Roman" w:cs="Times New Roman"/>
        </w:rPr>
        <w:t>Szabó István: Gépelemek. (Mezőgazda Kiadó, Budapest, 2006.) ISBN: 9639460222</w:t>
      </w:r>
    </w:p>
    <w:p w:rsidR="00AC0966" w:rsidRPr="00210B7A" w:rsidRDefault="00AC0966" w:rsidP="00AC0966">
      <w:pPr>
        <w:widowControl w:val="0"/>
        <w:tabs>
          <w:tab w:val="left" w:pos="851"/>
        </w:tabs>
        <w:spacing w:after="120" w:line="240" w:lineRule="auto"/>
        <w:ind w:left="720"/>
        <w:contextualSpacing/>
        <w:jc w:val="both"/>
        <w:rPr>
          <w:rFonts w:ascii="Times New Roman" w:eastAsia="Times New Roman" w:hAnsi="Times New Roman" w:cs="Times New Roman"/>
          <w:bCs/>
        </w:rPr>
      </w:pPr>
    </w:p>
    <w:p w:rsidR="00210B7A" w:rsidRPr="00210B7A" w:rsidRDefault="00210B7A" w:rsidP="00980876">
      <w:pPr>
        <w:widowControl w:val="0"/>
        <w:numPr>
          <w:ilvl w:val="1"/>
          <w:numId w:val="638"/>
        </w:numPr>
        <w:spacing w:before="120" w:after="120" w:line="240" w:lineRule="auto"/>
        <w:ind w:left="993" w:hanging="709"/>
        <w:jc w:val="both"/>
        <w:rPr>
          <w:rFonts w:ascii="Times New Roman" w:eastAsia="Times New Roman" w:hAnsi="Times New Roman" w:cs="Times New Roman"/>
          <w:b/>
          <w:bCs/>
        </w:rPr>
      </w:pPr>
      <w:r w:rsidRPr="00210B7A">
        <w:rPr>
          <w:rFonts w:ascii="Times New Roman" w:eastAsia="Times New Roman" w:hAnsi="Times New Roman" w:cs="Times New Roman"/>
          <w:b/>
          <w:bCs/>
        </w:rPr>
        <w:t>Ajánlott irodalom:</w:t>
      </w:r>
    </w:p>
    <w:p w:rsidR="00210B7A" w:rsidRPr="00210B7A" w:rsidRDefault="00210B7A" w:rsidP="0058157C">
      <w:pPr>
        <w:numPr>
          <w:ilvl w:val="0"/>
          <w:numId w:val="857"/>
        </w:numPr>
        <w:tabs>
          <w:tab w:val="clear" w:pos="720"/>
        </w:tabs>
        <w:spacing w:after="0" w:line="240" w:lineRule="auto"/>
        <w:ind w:left="993"/>
        <w:jc w:val="both"/>
        <w:rPr>
          <w:rFonts w:ascii="Times New Roman" w:eastAsia="Calibri" w:hAnsi="Times New Roman" w:cs="Times New Roman"/>
        </w:rPr>
      </w:pPr>
      <w:r w:rsidRPr="00210B7A">
        <w:rPr>
          <w:rFonts w:ascii="Times New Roman" w:eastAsia="Calibri" w:hAnsi="Times New Roman" w:cs="Times New Roman"/>
        </w:rPr>
        <w:t>Dr. Zsári Árpád: Gépelemek II. (Nemzeti Tankönyvkiadó, Budapest, 2000.) ISBN: 9631911664</w:t>
      </w:r>
    </w:p>
    <w:p w:rsidR="00210B7A" w:rsidRPr="00210B7A" w:rsidRDefault="00210B7A" w:rsidP="0058157C">
      <w:pPr>
        <w:numPr>
          <w:ilvl w:val="0"/>
          <w:numId w:val="857"/>
        </w:numPr>
        <w:tabs>
          <w:tab w:val="clear" w:pos="720"/>
        </w:tabs>
        <w:spacing w:after="0" w:line="240" w:lineRule="auto"/>
        <w:ind w:left="993"/>
        <w:jc w:val="both"/>
        <w:rPr>
          <w:rFonts w:ascii="Times New Roman" w:eastAsia="Calibri" w:hAnsi="Times New Roman" w:cs="Times New Roman"/>
        </w:rPr>
      </w:pPr>
      <w:r w:rsidRPr="00210B7A">
        <w:rPr>
          <w:rFonts w:ascii="Times New Roman" w:eastAsia="Calibri" w:hAnsi="Times New Roman" w:cs="Times New Roman"/>
        </w:rPr>
        <w:t>Valasek István, Törös Mihályné: Tribológia. (Képzőművészeti kiadó, Budapest, 2007.) ISBN: 9789633370148</w:t>
      </w:r>
    </w:p>
    <w:p w:rsidR="00210B7A" w:rsidRPr="00210B7A" w:rsidRDefault="00210B7A" w:rsidP="0058157C">
      <w:pPr>
        <w:numPr>
          <w:ilvl w:val="0"/>
          <w:numId w:val="857"/>
        </w:numPr>
        <w:tabs>
          <w:tab w:val="clear" w:pos="720"/>
        </w:tabs>
        <w:spacing w:after="0" w:line="240" w:lineRule="auto"/>
        <w:ind w:left="993"/>
        <w:jc w:val="both"/>
        <w:rPr>
          <w:rFonts w:ascii="Times New Roman" w:eastAsia="Calibri" w:hAnsi="Times New Roman" w:cs="Times New Roman"/>
        </w:rPr>
      </w:pPr>
      <w:r w:rsidRPr="00210B7A">
        <w:rPr>
          <w:rFonts w:ascii="Times New Roman" w:eastAsia="Calibri" w:hAnsi="Times New Roman" w:cs="Times New Roman"/>
        </w:rPr>
        <w:t>Dr. Zsári Árpád: Gépelemek I. (Nemzeti Tankönyvkiadó, Budapest, 2003.) ISBN: 9631945855</w:t>
      </w:r>
    </w:p>
    <w:p w:rsidR="00210B7A" w:rsidRPr="00210B7A" w:rsidRDefault="00210B7A" w:rsidP="00210B7A">
      <w:pPr>
        <w:widowControl w:val="0"/>
        <w:spacing w:after="0" w:line="240" w:lineRule="auto"/>
        <w:ind w:left="3545"/>
        <w:jc w:val="both"/>
        <w:rPr>
          <w:rFonts w:ascii="Times New Roman" w:eastAsia="Times New Roman" w:hAnsi="Times New Roman" w:cs="Times New Roman"/>
          <w:highlight w:val="lightGray"/>
        </w:rPr>
      </w:pPr>
    </w:p>
    <w:p w:rsidR="00210B7A" w:rsidRPr="00210B7A" w:rsidRDefault="00210B7A" w:rsidP="00210B7A">
      <w:pPr>
        <w:widowControl w:val="0"/>
        <w:spacing w:before="120" w:after="120" w:line="240" w:lineRule="auto"/>
        <w:jc w:val="both"/>
        <w:rPr>
          <w:rFonts w:ascii="Times New Roman" w:eastAsia="Times New Roman" w:hAnsi="Times New Roman" w:cs="Times New Roman"/>
          <w:bCs/>
        </w:rPr>
      </w:pPr>
      <w:r>
        <w:rPr>
          <w:rFonts w:ascii="Times New Roman" w:eastAsia="Times New Roman" w:hAnsi="Times New Roman" w:cs="Times New Roman"/>
          <w:bCs/>
        </w:rPr>
        <w:t>Budapest, 2020. március 30.</w:t>
      </w:r>
    </w:p>
    <w:p w:rsidR="00210B7A" w:rsidRPr="00210B7A" w:rsidRDefault="00210B7A" w:rsidP="00210B7A">
      <w:pPr>
        <w:widowControl w:val="0"/>
        <w:spacing w:before="120" w:after="120" w:line="240" w:lineRule="auto"/>
        <w:jc w:val="both"/>
        <w:rPr>
          <w:rFonts w:ascii="Times New Roman" w:eastAsia="Times New Roman" w:hAnsi="Times New Roman" w:cs="Times New Roman"/>
          <w:bCs/>
        </w:rPr>
      </w:pPr>
    </w:p>
    <w:p w:rsidR="004A4C51" w:rsidRPr="00A3436E" w:rsidRDefault="004A4C51" w:rsidP="004A4C51">
      <w:pPr>
        <w:widowControl w:val="0"/>
        <w:spacing w:after="0" w:line="240" w:lineRule="auto"/>
        <w:ind w:left="5529"/>
        <w:jc w:val="center"/>
        <w:rPr>
          <w:rFonts w:ascii="Times New Roman" w:eastAsia="Times New Roman" w:hAnsi="Times New Roman" w:cs="Times New Roman"/>
          <w:b/>
          <w:bCs/>
        </w:rPr>
      </w:pPr>
      <w:r w:rsidRPr="00A3436E">
        <w:rPr>
          <w:rFonts w:ascii="Times New Roman" w:eastAsia="Times New Roman" w:hAnsi="Times New Roman" w:cs="Times New Roman"/>
          <w:b/>
          <w:bCs/>
        </w:rPr>
        <w:t xml:space="preserve">Dr. Gyarmati József </w:t>
      </w:r>
      <w:r>
        <w:rPr>
          <w:rFonts w:ascii="Times New Roman" w:eastAsia="Times New Roman" w:hAnsi="Times New Roman" w:cs="Times New Roman"/>
          <w:b/>
          <w:bCs/>
        </w:rPr>
        <w:t>alezredes, PhD</w:t>
      </w:r>
    </w:p>
    <w:p w:rsidR="00210B7A" w:rsidRPr="00210B7A" w:rsidRDefault="00210B7A" w:rsidP="00210B7A">
      <w:pPr>
        <w:widowControl w:val="0"/>
        <w:spacing w:after="0" w:line="240" w:lineRule="auto"/>
        <w:jc w:val="right"/>
        <w:rPr>
          <w:rFonts w:ascii="Times New Roman" w:eastAsia="Times New Roman" w:hAnsi="Times New Roman" w:cs="Times New Roman"/>
          <w:bCs/>
        </w:rPr>
      </w:pPr>
      <w:r w:rsidRPr="00210B7A">
        <w:rPr>
          <w:rFonts w:ascii="Times New Roman" w:eastAsia="Times New Roman" w:hAnsi="Times New Roman" w:cs="Times New Roman"/>
          <w:bCs/>
        </w:rPr>
        <w:t>egyetemi docens</w:t>
      </w:r>
      <w:r w:rsidR="00FC1CD9">
        <w:rPr>
          <w:rFonts w:ascii="Times New Roman" w:eastAsia="Times New Roman" w:hAnsi="Times New Roman" w:cs="Times New Roman"/>
          <w:bCs/>
        </w:rPr>
        <w:t>, sk.</w:t>
      </w:r>
    </w:p>
    <w:p w:rsidR="00AC0966" w:rsidRDefault="00AC0966">
      <w:r>
        <w:br w:type="page"/>
      </w:r>
    </w:p>
    <w:tbl>
      <w:tblPr>
        <w:tblW w:w="9072" w:type="dxa"/>
        <w:tblInd w:w="113" w:type="dxa"/>
        <w:tblLook w:val="01E0" w:firstRow="1" w:lastRow="1" w:firstColumn="1" w:lastColumn="1" w:noHBand="0" w:noVBand="0"/>
      </w:tblPr>
      <w:tblGrid>
        <w:gridCol w:w="4855"/>
        <w:gridCol w:w="1620"/>
        <w:gridCol w:w="2597"/>
      </w:tblGrid>
      <w:tr w:rsidR="00AC0966" w:rsidRPr="00AC0966" w:rsidTr="00EE0E7D">
        <w:tc>
          <w:tcPr>
            <w:tcW w:w="4855" w:type="dxa"/>
            <w:tcBorders>
              <w:bottom w:val="single" w:sz="4" w:space="0" w:color="auto"/>
            </w:tcBorders>
          </w:tcPr>
          <w:p w:rsidR="00AC0966" w:rsidRPr="00AC0966" w:rsidRDefault="00AC0966" w:rsidP="00AC0966">
            <w:pPr>
              <w:spacing w:after="0" w:line="240" w:lineRule="auto"/>
              <w:jc w:val="center"/>
              <w:rPr>
                <w:rFonts w:ascii="Times New Roman" w:eastAsia="Times New Roman" w:hAnsi="Times New Roman" w:cs="Times New Roman"/>
                <w:b/>
                <w:smallCaps/>
                <w:lang w:eastAsia="hu-HU"/>
              </w:rPr>
            </w:pPr>
            <w:r w:rsidRPr="00AC0966">
              <w:rPr>
                <w:rFonts w:ascii="Times New Roman" w:eastAsia="Times New Roman" w:hAnsi="Times New Roman" w:cs="Times New Roman"/>
                <w:b/>
                <w:smallCaps/>
                <w:lang w:eastAsia="hu-HU"/>
              </w:rPr>
              <w:lastRenderedPageBreak/>
              <w:t>Nemzeti Közszolgálati Egyetem</w:t>
            </w:r>
          </w:p>
        </w:tc>
        <w:tc>
          <w:tcPr>
            <w:tcW w:w="1620" w:type="dxa"/>
          </w:tcPr>
          <w:p w:rsidR="00AC0966" w:rsidRPr="00AC0966" w:rsidRDefault="00AC0966" w:rsidP="00AC0966">
            <w:pPr>
              <w:spacing w:after="0" w:line="240" w:lineRule="auto"/>
              <w:jc w:val="both"/>
              <w:rPr>
                <w:rFonts w:ascii="Times New Roman" w:eastAsia="Times New Roman" w:hAnsi="Times New Roman" w:cs="Times New Roman"/>
                <w:lang w:eastAsia="hu-HU"/>
              </w:rPr>
            </w:pPr>
          </w:p>
        </w:tc>
        <w:tc>
          <w:tcPr>
            <w:tcW w:w="2597" w:type="dxa"/>
          </w:tcPr>
          <w:p w:rsidR="00AC0966" w:rsidRPr="00AC0966" w:rsidRDefault="00AC0966" w:rsidP="00AC0966">
            <w:pPr>
              <w:spacing w:after="0" w:line="240" w:lineRule="auto"/>
              <w:jc w:val="right"/>
              <w:rPr>
                <w:rFonts w:ascii="Times New Roman" w:eastAsia="Times New Roman" w:hAnsi="Times New Roman" w:cs="Times New Roman"/>
                <w:lang w:eastAsia="hu-HU"/>
              </w:rPr>
            </w:pPr>
          </w:p>
        </w:tc>
      </w:tr>
      <w:tr w:rsidR="00AC0966" w:rsidRPr="00AC0966" w:rsidTr="00EE0E7D">
        <w:tc>
          <w:tcPr>
            <w:tcW w:w="4855" w:type="dxa"/>
            <w:tcBorders>
              <w:top w:val="single" w:sz="4" w:space="0" w:color="auto"/>
            </w:tcBorders>
          </w:tcPr>
          <w:p w:rsidR="00AC0966" w:rsidRPr="00AC0966" w:rsidRDefault="00AC0966" w:rsidP="00AC0966">
            <w:pPr>
              <w:spacing w:after="0" w:line="240" w:lineRule="auto"/>
              <w:jc w:val="center"/>
              <w:rPr>
                <w:rFonts w:ascii="Times New Roman" w:eastAsia="Times New Roman" w:hAnsi="Times New Roman" w:cs="Times New Roman"/>
                <w:b/>
                <w:lang w:eastAsia="hu-HU"/>
              </w:rPr>
            </w:pPr>
            <w:r w:rsidRPr="00AC0966">
              <w:rPr>
                <w:rFonts w:ascii="Times New Roman" w:eastAsia="Times New Roman" w:hAnsi="Times New Roman" w:cs="Times New Roman"/>
                <w:b/>
                <w:lang w:eastAsia="hu-HU"/>
              </w:rPr>
              <w:t>Hadtudományi és Honvédtisztképző Kar</w:t>
            </w:r>
          </w:p>
        </w:tc>
        <w:tc>
          <w:tcPr>
            <w:tcW w:w="1620" w:type="dxa"/>
          </w:tcPr>
          <w:p w:rsidR="00AC0966" w:rsidRPr="00AC0966" w:rsidRDefault="00AC0966" w:rsidP="00AC0966">
            <w:pPr>
              <w:spacing w:after="0" w:line="240" w:lineRule="auto"/>
              <w:jc w:val="both"/>
              <w:rPr>
                <w:rFonts w:ascii="Times New Roman" w:eastAsia="Times New Roman" w:hAnsi="Times New Roman" w:cs="Times New Roman"/>
                <w:lang w:eastAsia="hu-HU"/>
              </w:rPr>
            </w:pPr>
          </w:p>
        </w:tc>
        <w:tc>
          <w:tcPr>
            <w:tcW w:w="2597" w:type="dxa"/>
          </w:tcPr>
          <w:p w:rsidR="00AC0966" w:rsidRPr="00AC0966" w:rsidRDefault="00AC0966" w:rsidP="00AC0966">
            <w:pPr>
              <w:spacing w:after="0" w:line="240" w:lineRule="auto"/>
              <w:jc w:val="both"/>
              <w:rPr>
                <w:rFonts w:ascii="Times New Roman" w:eastAsia="Times New Roman" w:hAnsi="Times New Roman" w:cs="Times New Roman"/>
                <w:lang w:eastAsia="hu-HU"/>
              </w:rPr>
            </w:pPr>
          </w:p>
        </w:tc>
      </w:tr>
    </w:tbl>
    <w:p w:rsidR="00AC0966" w:rsidRPr="00AC0966" w:rsidRDefault="00AC0966" w:rsidP="00AC0966">
      <w:pPr>
        <w:widowControl w:val="0"/>
        <w:spacing w:before="120" w:after="120" w:line="240" w:lineRule="auto"/>
        <w:ind w:left="426" w:hanging="142"/>
        <w:jc w:val="center"/>
        <w:rPr>
          <w:rFonts w:ascii="Times New Roman" w:eastAsia="Times New Roman" w:hAnsi="Times New Roman" w:cs="Times New Roman"/>
          <w:b/>
          <w:bCs/>
        </w:rPr>
      </w:pPr>
    </w:p>
    <w:p w:rsidR="00AC0966" w:rsidRPr="00AC0966" w:rsidRDefault="00AC0966" w:rsidP="00AC0966">
      <w:pPr>
        <w:widowControl w:val="0"/>
        <w:spacing w:before="120" w:after="120" w:line="240" w:lineRule="auto"/>
        <w:ind w:left="426" w:hanging="142"/>
        <w:jc w:val="center"/>
        <w:rPr>
          <w:rFonts w:ascii="Times New Roman" w:eastAsia="Times New Roman" w:hAnsi="Times New Roman" w:cs="Times New Roman"/>
          <w:b/>
          <w:bCs/>
        </w:rPr>
      </w:pPr>
      <w:r w:rsidRPr="00AC0966">
        <w:rPr>
          <w:rFonts w:ascii="Times New Roman" w:eastAsia="Times New Roman" w:hAnsi="Times New Roman" w:cs="Times New Roman"/>
          <w:b/>
          <w:bCs/>
        </w:rPr>
        <w:t>TANTÁRGYI PROGRAM</w:t>
      </w:r>
    </w:p>
    <w:p w:rsidR="00AC0966" w:rsidRPr="00AC0966" w:rsidRDefault="00AC0966" w:rsidP="00980876">
      <w:pPr>
        <w:widowControl w:val="0"/>
        <w:numPr>
          <w:ilvl w:val="0"/>
          <w:numId w:val="644"/>
        </w:numPr>
        <w:tabs>
          <w:tab w:val="num" w:pos="567"/>
        </w:tabs>
        <w:spacing w:after="120" w:line="240" w:lineRule="auto"/>
        <w:ind w:left="426" w:hanging="142"/>
        <w:jc w:val="both"/>
        <w:rPr>
          <w:rFonts w:ascii="Times New Roman" w:eastAsia="Times New Roman" w:hAnsi="Times New Roman" w:cs="Times New Roman"/>
          <w:bCs/>
        </w:rPr>
      </w:pPr>
      <w:r w:rsidRPr="00AC0966">
        <w:rPr>
          <w:rFonts w:ascii="Times New Roman" w:eastAsia="Times New Roman" w:hAnsi="Times New Roman" w:cs="Times New Roman"/>
          <w:b/>
          <w:bCs/>
        </w:rPr>
        <w:t xml:space="preserve">A tantárgy kódja: </w:t>
      </w:r>
      <w:r w:rsidRPr="00AC0966">
        <w:rPr>
          <w:rFonts w:ascii="Times New Roman" w:eastAsia="Times New Roman" w:hAnsi="Times New Roman" w:cs="Times New Roman"/>
          <w:bCs/>
        </w:rPr>
        <w:t>HKHDTA13</w:t>
      </w:r>
    </w:p>
    <w:p w:rsidR="00AC0966" w:rsidRPr="00AC0966" w:rsidRDefault="00AC0966" w:rsidP="00980876">
      <w:pPr>
        <w:widowControl w:val="0"/>
        <w:numPr>
          <w:ilvl w:val="0"/>
          <w:numId w:val="644"/>
        </w:numPr>
        <w:tabs>
          <w:tab w:val="num" w:pos="567"/>
        </w:tabs>
        <w:spacing w:before="120" w:after="120" w:line="240" w:lineRule="auto"/>
        <w:ind w:left="426" w:hanging="142"/>
        <w:jc w:val="both"/>
        <w:rPr>
          <w:rFonts w:ascii="Times New Roman" w:eastAsia="Times New Roman" w:hAnsi="Times New Roman" w:cs="Times New Roman"/>
          <w:b/>
          <w:bCs/>
          <w:lang w:val="en-GB"/>
        </w:rPr>
      </w:pPr>
      <w:r w:rsidRPr="00AC0966">
        <w:rPr>
          <w:rFonts w:ascii="Times New Roman" w:eastAsia="Times New Roman" w:hAnsi="Times New Roman" w:cs="Times New Roman"/>
          <w:b/>
          <w:bCs/>
        </w:rPr>
        <w:t>A tantárgy megnevezése (magyarul):</w:t>
      </w:r>
      <w:r w:rsidRPr="00AC0966">
        <w:rPr>
          <w:rFonts w:ascii="Times New Roman" w:eastAsia="Times New Roman" w:hAnsi="Times New Roman" w:cs="Times New Roman"/>
          <w:bCs/>
        </w:rPr>
        <w:t xml:space="preserve"> Gyártástechnológia</w:t>
      </w:r>
    </w:p>
    <w:p w:rsidR="00AC0966" w:rsidRPr="00AC0966" w:rsidRDefault="00AC0966" w:rsidP="00980876">
      <w:pPr>
        <w:widowControl w:val="0"/>
        <w:numPr>
          <w:ilvl w:val="0"/>
          <w:numId w:val="644"/>
        </w:numPr>
        <w:tabs>
          <w:tab w:val="num" w:pos="567"/>
        </w:tabs>
        <w:spacing w:before="120" w:after="120" w:line="240" w:lineRule="auto"/>
        <w:ind w:left="426" w:hanging="142"/>
        <w:jc w:val="both"/>
        <w:rPr>
          <w:rFonts w:ascii="Times New Roman" w:eastAsia="Times New Roman" w:hAnsi="Times New Roman" w:cs="Times New Roman"/>
          <w:b/>
          <w:bCs/>
          <w:lang w:val="en-GB"/>
        </w:rPr>
      </w:pPr>
      <w:r w:rsidRPr="00AC0966">
        <w:rPr>
          <w:rFonts w:ascii="Times New Roman" w:eastAsia="Times New Roman" w:hAnsi="Times New Roman" w:cs="Times New Roman"/>
          <w:b/>
          <w:bCs/>
        </w:rPr>
        <w:t xml:space="preserve">A tantárgy megnevezése (angolul): </w:t>
      </w:r>
      <w:r w:rsidRPr="00AC0966">
        <w:rPr>
          <w:rFonts w:ascii="Times New Roman" w:eastAsia="Times New Roman" w:hAnsi="Times New Roman" w:cs="Times New Roman"/>
          <w:bCs/>
        </w:rPr>
        <w:t>Production Technology</w:t>
      </w:r>
    </w:p>
    <w:p w:rsidR="00AC0966" w:rsidRPr="00AC0966" w:rsidRDefault="00AC0966" w:rsidP="00980876">
      <w:pPr>
        <w:widowControl w:val="0"/>
        <w:numPr>
          <w:ilvl w:val="0"/>
          <w:numId w:val="644"/>
        </w:numPr>
        <w:tabs>
          <w:tab w:val="num" w:pos="567"/>
        </w:tabs>
        <w:spacing w:before="120" w:after="120" w:line="240" w:lineRule="auto"/>
        <w:ind w:left="426" w:hanging="142"/>
        <w:jc w:val="both"/>
        <w:rPr>
          <w:rFonts w:ascii="Times New Roman" w:eastAsia="Times New Roman" w:hAnsi="Times New Roman" w:cs="Times New Roman"/>
          <w:b/>
          <w:bCs/>
        </w:rPr>
      </w:pPr>
      <w:r w:rsidRPr="00AC0966">
        <w:rPr>
          <w:rFonts w:ascii="Times New Roman" w:eastAsia="Times New Roman" w:hAnsi="Times New Roman" w:cs="Times New Roman"/>
          <w:b/>
          <w:bCs/>
        </w:rPr>
        <w:t xml:space="preserve">Kreditérték és képzési karakter: </w:t>
      </w:r>
    </w:p>
    <w:p w:rsidR="00AC0966" w:rsidRPr="00AC0966" w:rsidRDefault="00AC0966" w:rsidP="00980876">
      <w:pPr>
        <w:widowControl w:val="0"/>
        <w:numPr>
          <w:ilvl w:val="1"/>
          <w:numId w:val="644"/>
        </w:numPr>
        <w:tabs>
          <w:tab w:val="clear" w:pos="3977"/>
          <w:tab w:val="num" w:pos="716"/>
        </w:tabs>
        <w:spacing w:before="120" w:after="120" w:line="240" w:lineRule="auto"/>
        <w:ind w:left="993" w:hanging="426"/>
        <w:contextualSpacing/>
        <w:jc w:val="both"/>
        <w:rPr>
          <w:rFonts w:ascii="Times New Roman" w:eastAsia="Times New Roman" w:hAnsi="Times New Roman" w:cs="Times New Roman"/>
          <w:b/>
          <w:bCs/>
        </w:rPr>
      </w:pPr>
      <w:r w:rsidRPr="00AC0966">
        <w:rPr>
          <w:rFonts w:ascii="Times New Roman" w:eastAsia="Times New Roman" w:hAnsi="Times New Roman" w:cs="Times New Roman"/>
          <w:bCs/>
        </w:rPr>
        <w:t>2 kredit</w:t>
      </w:r>
    </w:p>
    <w:p w:rsidR="00AC0966" w:rsidRPr="00AC0966" w:rsidRDefault="00AC0966" w:rsidP="00980876">
      <w:pPr>
        <w:widowControl w:val="0"/>
        <w:numPr>
          <w:ilvl w:val="1"/>
          <w:numId w:val="644"/>
        </w:numPr>
        <w:tabs>
          <w:tab w:val="clear" w:pos="3977"/>
          <w:tab w:val="num" w:pos="716"/>
        </w:tabs>
        <w:spacing w:before="120" w:after="120" w:line="240" w:lineRule="auto"/>
        <w:ind w:left="993" w:hanging="426"/>
        <w:contextualSpacing/>
        <w:jc w:val="both"/>
        <w:rPr>
          <w:rFonts w:ascii="Times New Roman" w:eastAsia="Times New Roman" w:hAnsi="Times New Roman" w:cs="Times New Roman"/>
          <w:b/>
          <w:bCs/>
        </w:rPr>
      </w:pPr>
      <w:r w:rsidRPr="00AC0966">
        <w:rPr>
          <w:rFonts w:ascii="Times New Roman" w:eastAsia="Times New Roman" w:hAnsi="Times New Roman" w:cs="Times New Roman"/>
          <w:bCs/>
        </w:rPr>
        <w:t>a tantárgy elméleti vagy gyakorlati jellegének mértéke: 50</w:t>
      </w:r>
      <w:r w:rsidRPr="00AC0966">
        <w:rPr>
          <w:rFonts w:ascii="Times New Roman" w:eastAsia="Times New Roman" w:hAnsi="Times New Roman" w:cs="Times New Roman"/>
          <w:b/>
          <w:bCs/>
        </w:rPr>
        <w:t xml:space="preserve"> </w:t>
      </w:r>
      <w:r w:rsidRPr="00AC0966">
        <w:rPr>
          <w:rFonts w:ascii="Times New Roman" w:eastAsia="Times New Roman" w:hAnsi="Times New Roman" w:cs="Times New Roman"/>
          <w:bCs/>
        </w:rPr>
        <w:t>% gyakorlat, 50 % elmélet</w:t>
      </w:r>
    </w:p>
    <w:p w:rsidR="00AC0966" w:rsidRPr="00AC0966" w:rsidRDefault="00AC0966" w:rsidP="00980876">
      <w:pPr>
        <w:widowControl w:val="0"/>
        <w:numPr>
          <w:ilvl w:val="0"/>
          <w:numId w:val="644"/>
        </w:numPr>
        <w:spacing w:before="120" w:after="120" w:line="240" w:lineRule="auto"/>
        <w:ind w:left="426" w:hanging="142"/>
        <w:jc w:val="both"/>
        <w:rPr>
          <w:rFonts w:ascii="Times New Roman" w:eastAsia="Times New Roman" w:hAnsi="Times New Roman" w:cs="Times New Roman"/>
          <w:bCs/>
        </w:rPr>
      </w:pPr>
      <w:r w:rsidRPr="00AC0966">
        <w:rPr>
          <w:rFonts w:ascii="Times New Roman" w:eastAsia="Times New Roman" w:hAnsi="Times New Roman" w:cs="Times New Roman"/>
          <w:b/>
          <w:bCs/>
        </w:rPr>
        <w:t>A szak(ok), szakirányok/specializációk megnevezése (ahol oktatják):</w:t>
      </w:r>
      <w:r w:rsidRPr="00AC0966">
        <w:rPr>
          <w:rFonts w:ascii="Times New Roman" w:eastAsia="Times New Roman" w:hAnsi="Times New Roman" w:cs="Times New Roman"/>
          <w:bCs/>
        </w:rPr>
        <w:t xml:space="preserve"> Katonai logisztika (</w:t>
      </w:r>
      <w:r w:rsidR="00137B8A">
        <w:rPr>
          <w:rFonts w:ascii="Times New Roman" w:eastAsia="Times New Roman" w:hAnsi="Times New Roman" w:cs="Times New Roman"/>
          <w:bCs/>
        </w:rPr>
        <w:t>BSc</w:t>
      </w:r>
      <w:r w:rsidRPr="00AC0966">
        <w:rPr>
          <w:rFonts w:ascii="Times New Roman" w:eastAsia="Times New Roman" w:hAnsi="Times New Roman" w:cs="Times New Roman"/>
          <w:bCs/>
        </w:rPr>
        <w:t>) alapképzési szak</w:t>
      </w:r>
    </w:p>
    <w:p w:rsidR="00AC0966" w:rsidRPr="00AC0966" w:rsidRDefault="00AC0966" w:rsidP="00980876">
      <w:pPr>
        <w:widowControl w:val="0"/>
        <w:numPr>
          <w:ilvl w:val="0"/>
          <w:numId w:val="644"/>
        </w:numPr>
        <w:tabs>
          <w:tab w:val="num" w:pos="567"/>
        </w:tabs>
        <w:spacing w:before="120" w:after="120" w:line="240" w:lineRule="auto"/>
        <w:ind w:left="426" w:hanging="142"/>
        <w:jc w:val="both"/>
        <w:rPr>
          <w:rFonts w:ascii="Times New Roman" w:eastAsia="Times New Roman" w:hAnsi="Times New Roman" w:cs="Times New Roman"/>
          <w:bCs/>
        </w:rPr>
      </w:pPr>
      <w:r w:rsidRPr="00AC0966">
        <w:rPr>
          <w:rFonts w:ascii="Times New Roman" w:eastAsia="Times New Roman" w:hAnsi="Times New Roman" w:cs="Times New Roman"/>
          <w:b/>
          <w:bCs/>
        </w:rPr>
        <w:t xml:space="preserve">Az oktatásért felelős oktatási szervezeti egység megnevezése: </w:t>
      </w:r>
      <w:r w:rsidRPr="00AC0966">
        <w:rPr>
          <w:rFonts w:ascii="Times New Roman" w:eastAsia="Times New Roman" w:hAnsi="Times New Roman" w:cs="Times New Roman"/>
          <w:bCs/>
        </w:rPr>
        <w:t>HHK Haditechnikai Tanszék</w:t>
      </w:r>
    </w:p>
    <w:p w:rsidR="00AC0966" w:rsidRPr="00AC0966" w:rsidRDefault="00AC0966" w:rsidP="00980876">
      <w:pPr>
        <w:widowControl w:val="0"/>
        <w:numPr>
          <w:ilvl w:val="0"/>
          <w:numId w:val="644"/>
        </w:numPr>
        <w:tabs>
          <w:tab w:val="num" w:pos="567"/>
        </w:tabs>
        <w:spacing w:before="120" w:after="120" w:line="240" w:lineRule="auto"/>
        <w:ind w:left="426" w:hanging="142"/>
        <w:jc w:val="both"/>
        <w:rPr>
          <w:rFonts w:ascii="Times New Roman" w:eastAsia="Times New Roman" w:hAnsi="Times New Roman" w:cs="Times New Roman"/>
          <w:bCs/>
        </w:rPr>
      </w:pPr>
      <w:r w:rsidRPr="00AC0966">
        <w:rPr>
          <w:rFonts w:ascii="Times New Roman" w:eastAsia="Times New Roman" w:hAnsi="Times New Roman" w:cs="Times New Roman"/>
          <w:b/>
          <w:bCs/>
        </w:rPr>
        <w:t>A tantárgyfelelős oktató neve, beosztása, tudományos fokozata:</w:t>
      </w:r>
      <w:r w:rsidRPr="00AC0966">
        <w:rPr>
          <w:rFonts w:ascii="Times New Roman" w:eastAsia="Times New Roman" w:hAnsi="Times New Roman" w:cs="Times New Roman"/>
          <w:bCs/>
        </w:rPr>
        <w:t xml:space="preserve"> </w:t>
      </w:r>
      <w:r w:rsidRPr="00AC0966">
        <w:rPr>
          <w:rFonts w:ascii="Times New Roman" w:eastAsia="Times New Roman" w:hAnsi="Times New Roman" w:cs="Times New Roman"/>
          <w:bCs/>
          <w:lang w:eastAsia="hu-HU"/>
        </w:rPr>
        <w:t>Dr. Hegedűs Ernő alezredes PhD, egyetemi tanársegéd</w:t>
      </w:r>
    </w:p>
    <w:p w:rsidR="00AC0966" w:rsidRPr="00AC0966" w:rsidRDefault="00AC0966" w:rsidP="00980876">
      <w:pPr>
        <w:widowControl w:val="0"/>
        <w:numPr>
          <w:ilvl w:val="0"/>
          <w:numId w:val="644"/>
        </w:numPr>
        <w:spacing w:before="120" w:after="120" w:line="240" w:lineRule="auto"/>
        <w:ind w:left="426" w:hanging="142"/>
        <w:jc w:val="both"/>
        <w:rPr>
          <w:rFonts w:ascii="Times New Roman" w:eastAsia="Times New Roman" w:hAnsi="Times New Roman" w:cs="Times New Roman"/>
          <w:bCs/>
        </w:rPr>
      </w:pPr>
      <w:r w:rsidRPr="00AC0966">
        <w:rPr>
          <w:rFonts w:ascii="Times New Roman" w:eastAsia="Times New Roman" w:hAnsi="Times New Roman" w:cs="Times New Roman"/>
          <w:b/>
          <w:bCs/>
        </w:rPr>
        <w:t>A tanórák száma és típusa</w:t>
      </w:r>
    </w:p>
    <w:p w:rsidR="00AC0966" w:rsidRPr="00AC0966" w:rsidRDefault="00AC0966" w:rsidP="00980876">
      <w:pPr>
        <w:widowControl w:val="0"/>
        <w:numPr>
          <w:ilvl w:val="1"/>
          <w:numId w:val="644"/>
        </w:numPr>
        <w:tabs>
          <w:tab w:val="clear" w:pos="3977"/>
          <w:tab w:val="num" w:pos="709"/>
          <w:tab w:val="num" w:pos="2069"/>
        </w:tabs>
        <w:spacing w:before="120" w:after="120" w:line="240" w:lineRule="auto"/>
        <w:ind w:left="851" w:hanging="425"/>
        <w:jc w:val="both"/>
        <w:rPr>
          <w:rFonts w:ascii="Times New Roman" w:eastAsia="Times New Roman" w:hAnsi="Times New Roman" w:cs="Times New Roman"/>
          <w:bCs/>
        </w:rPr>
      </w:pPr>
      <w:r w:rsidRPr="00AC0966">
        <w:rPr>
          <w:rFonts w:ascii="Times New Roman" w:eastAsia="Times New Roman" w:hAnsi="Times New Roman" w:cs="Times New Roman"/>
          <w:bCs/>
        </w:rPr>
        <w:t>össz óraszám/félév: 28</w:t>
      </w:r>
    </w:p>
    <w:p w:rsidR="00AC0966" w:rsidRPr="00AC0966" w:rsidRDefault="00AC0966" w:rsidP="00980876">
      <w:pPr>
        <w:widowControl w:val="0"/>
        <w:numPr>
          <w:ilvl w:val="2"/>
          <w:numId w:val="644"/>
        </w:numPr>
        <w:tabs>
          <w:tab w:val="clear" w:pos="1800"/>
          <w:tab w:val="num" w:pos="709"/>
          <w:tab w:val="num" w:pos="1134"/>
        </w:tabs>
        <w:spacing w:before="120" w:after="120" w:line="240" w:lineRule="auto"/>
        <w:ind w:left="993" w:hanging="425"/>
        <w:jc w:val="both"/>
        <w:rPr>
          <w:rFonts w:ascii="Times New Roman" w:eastAsia="Times New Roman" w:hAnsi="Times New Roman" w:cs="Times New Roman"/>
          <w:bCs/>
        </w:rPr>
      </w:pPr>
      <w:r w:rsidRPr="00AC0966">
        <w:rPr>
          <w:rFonts w:ascii="Times New Roman" w:eastAsia="Times New Roman" w:hAnsi="Times New Roman" w:cs="Times New Roman"/>
          <w:bCs/>
        </w:rPr>
        <w:t>nappali munkarend: 28 (14 EA + -SZ + 14 GY)</w:t>
      </w:r>
    </w:p>
    <w:p w:rsidR="00AC0966" w:rsidRPr="00AC0966" w:rsidRDefault="00AC0966" w:rsidP="00980876">
      <w:pPr>
        <w:widowControl w:val="0"/>
        <w:numPr>
          <w:ilvl w:val="2"/>
          <w:numId w:val="644"/>
        </w:numPr>
        <w:tabs>
          <w:tab w:val="clear" w:pos="1800"/>
          <w:tab w:val="num" w:pos="709"/>
          <w:tab w:val="num" w:pos="1134"/>
        </w:tabs>
        <w:spacing w:before="120" w:after="120" w:line="240" w:lineRule="auto"/>
        <w:ind w:left="993" w:hanging="425"/>
        <w:jc w:val="both"/>
        <w:rPr>
          <w:rFonts w:ascii="Times New Roman" w:eastAsia="Times New Roman" w:hAnsi="Times New Roman" w:cs="Times New Roman"/>
          <w:bCs/>
        </w:rPr>
      </w:pPr>
      <w:r w:rsidRPr="00AC0966">
        <w:rPr>
          <w:rFonts w:ascii="Times New Roman" w:eastAsia="Times New Roman" w:hAnsi="Times New Roman" w:cs="Times New Roman"/>
          <w:bCs/>
        </w:rPr>
        <w:t>levelező munkarend: - (- EA + - SZ + - GY)</w:t>
      </w:r>
    </w:p>
    <w:p w:rsidR="00AC0966" w:rsidRPr="00AC0966" w:rsidRDefault="00AC0966" w:rsidP="00980876">
      <w:pPr>
        <w:widowControl w:val="0"/>
        <w:numPr>
          <w:ilvl w:val="1"/>
          <w:numId w:val="644"/>
        </w:numPr>
        <w:tabs>
          <w:tab w:val="clear" w:pos="3977"/>
          <w:tab w:val="num" w:pos="709"/>
          <w:tab w:val="num" w:pos="2069"/>
        </w:tabs>
        <w:spacing w:before="120" w:after="120" w:line="240" w:lineRule="auto"/>
        <w:ind w:left="851" w:hanging="425"/>
        <w:jc w:val="both"/>
        <w:rPr>
          <w:rFonts w:ascii="Times New Roman" w:eastAsia="Times New Roman" w:hAnsi="Times New Roman" w:cs="Times New Roman"/>
          <w:bCs/>
        </w:rPr>
      </w:pPr>
      <w:r w:rsidRPr="00AC0966">
        <w:rPr>
          <w:rFonts w:ascii="Times New Roman" w:eastAsia="Times New Roman" w:hAnsi="Times New Roman" w:cs="Times New Roman"/>
          <w:bCs/>
        </w:rPr>
        <w:t>heti óraszám - nappali munkarend: 2 (1+1)</w:t>
      </w:r>
    </w:p>
    <w:p w:rsidR="00AC0966" w:rsidRPr="00AC0966" w:rsidRDefault="00AC0966" w:rsidP="00980876">
      <w:pPr>
        <w:widowControl w:val="0"/>
        <w:numPr>
          <w:ilvl w:val="1"/>
          <w:numId w:val="644"/>
        </w:numPr>
        <w:tabs>
          <w:tab w:val="clear" w:pos="3977"/>
          <w:tab w:val="num" w:pos="709"/>
          <w:tab w:val="num" w:pos="2069"/>
        </w:tabs>
        <w:spacing w:before="120" w:after="120" w:line="240" w:lineRule="auto"/>
        <w:ind w:left="851" w:hanging="425"/>
        <w:contextualSpacing/>
        <w:jc w:val="both"/>
        <w:rPr>
          <w:rFonts w:ascii="Times New Roman" w:eastAsia="Times New Roman" w:hAnsi="Times New Roman" w:cs="Times New Roman"/>
          <w:bCs/>
        </w:rPr>
      </w:pPr>
      <w:r w:rsidRPr="00AC0966">
        <w:rPr>
          <w:rFonts w:ascii="Times New Roman" w:eastAsia="Calibri" w:hAnsi="Times New Roman" w:cs="Times New Roman"/>
        </w:rPr>
        <w:t>Az ismeret átadásában alkalmazandó további sajátos módok, jellemzők: Az ismeretek feldolgozása vegyes tanulási program (blended learning) alapján történik.</w:t>
      </w:r>
    </w:p>
    <w:p w:rsidR="00AC0966" w:rsidRPr="00AC0966" w:rsidRDefault="00AC0966" w:rsidP="00980876">
      <w:pPr>
        <w:widowControl w:val="0"/>
        <w:numPr>
          <w:ilvl w:val="0"/>
          <w:numId w:val="644"/>
        </w:numPr>
        <w:spacing w:before="120" w:after="120" w:line="240" w:lineRule="auto"/>
        <w:ind w:left="426"/>
        <w:jc w:val="both"/>
        <w:rPr>
          <w:rFonts w:ascii="Times New Roman" w:eastAsia="Times New Roman" w:hAnsi="Times New Roman" w:cs="Times New Roman"/>
          <w:bCs/>
          <w:lang w:eastAsia="hu-HU"/>
        </w:rPr>
      </w:pPr>
      <w:r w:rsidRPr="00AC0966">
        <w:rPr>
          <w:rFonts w:ascii="Times New Roman" w:eastAsia="Times New Roman" w:hAnsi="Times New Roman" w:cs="Times New Roman"/>
          <w:b/>
          <w:bCs/>
        </w:rPr>
        <w:t xml:space="preserve">A tantárgy szakmai tartalma (magyarul): </w:t>
      </w:r>
      <w:r w:rsidRPr="00AC0966">
        <w:rPr>
          <w:rFonts w:ascii="Times New Roman" w:eastAsia="Times New Roman" w:hAnsi="Times New Roman" w:cs="Times New Roman"/>
          <w:bCs/>
        </w:rPr>
        <w:t>A kőolaj kitermelésének módszerei, az atmoszférikus és a vákuum desztillációs folyamatok, a kőolajtermékek átalakításának folyamatai, a NATO egységes üzemanyag koncepciója, a Magyar Honvédségnél használatos üzemanyagok csoportosítása, a hajtó-, kenő- és karbantartó anyagok összetétele, fizikai-kémiai tulajdonságai és alkalmazásuk rendje.</w:t>
      </w:r>
    </w:p>
    <w:p w:rsidR="00AC0966" w:rsidRPr="00AC0966" w:rsidRDefault="00AC0966" w:rsidP="00AC0966">
      <w:pPr>
        <w:widowControl w:val="0"/>
        <w:spacing w:before="120" w:after="120" w:line="240" w:lineRule="auto"/>
        <w:ind w:left="426"/>
        <w:jc w:val="both"/>
        <w:rPr>
          <w:rFonts w:ascii="Times New Roman" w:eastAsia="Times New Roman" w:hAnsi="Times New Roman" w:cs="Times New Roman"/>
          <w:bCs/>
        </w:rPr>
      </w:pPr>
      <w:r w:rsidRPr="00AC0966">
        <w:rPr>
          <w:rFonts w:ascii="Times New Roman" w:eastAsia="Times New Roman" w:hAnsi="Times New Roman" w:cs="Times New Roman"/>
          <w:b/>
          <w:bCs/>
        </w:rPr>
        <w:t>A tantárgy szakmai tartalma (angolul) (</w:t>
      </w:r>
      <w:r w:rsidRPr="00AC0966">
        <w:rPr>
          <w:rFonts w:ascii="Times New Roman" w:eastAsia="Times New Roman" w:hAnsi="Times New Roman" w:cs="Times New Roman"/>
          <w:b/>
          <w:bCs/>
          <w:lang w:val="en-US"/>
        </w:rPr>
        <w:t>Course description</w:t>
      </w:r>
      <w:r w:rsidRPr="00AC0966">
        <w:rPr>
          <w:rFonts w:ascii="Times New Roman" w:eastAsia="Times New Roman" w:hAnsi="Times New Roman" w:cs="Times New Roman"/>
          <w:b/>
          <w:bCs/>
        </w:rPr>
        <w:t xml:space="preserve">): </w:t>
      </w:r>
      <w:r w:rsidRPr="00AC0966">
        <w:rPr>
          <w:rFonts w:ascii="Times New Roman" w:eastAsia="Times New Roman" w:hAnsi="Times New Roman" w:cs="Times New Roman"/>
          <w:bCs/>
        </w:rPr>
        <w:t>Methods of oil mining. Atmospheric and vacuum distillation. Processes of transformation of petroleum products. NATO single fuel concept. Grouping of fuel used by the Hungarian Defence Forces. Composition, physico-chemical properties and the way of application of petrol, oil, lubricants (pol) and oil based maintenance materials.</w:t>
      </w:r>
    </w:p>
    <w:p w:rsidR="00AC0966" w:rsidRPr="00AC0966" w:rsidRDefault="00AC0966" w:rsidP="00980876">
      <w:pPr>
        <w:widowControl w:val="0"/>
        <w:numPr>
          <w:ilvl w:val="0"/>
          <w:numId w:val="644"/>
        </w:numPr>
        <w:spacing w:before="120" w:after="120" w:line="240" w:lineRule="auto"/>
        <w:contextualSpacing/>
        <w:jc w:val="both"/>
        <w:rPr>
          <w:rFonts w:ascii="Times New Roman" w:eastAsia="Times New Roman" w:hAnsi="Times New Roman" w:cs="Times New Roman"/>
          <w:bCs/>
        </w:rPr>
      </w:pPr>
      <w:r w:rsidRPr="00AC0966">
        <w:rPr>
          <w:rFonts w:ascii="Times New Roman" w:eastAsia="Times New Roman" w:hAnsi="Times New Roman" w:cs="Times New Roman"/>
          <w:b/>
          <w:bCs/>
        </w:rPr>
        <w:t xml:space="preserve">Elérendő kompetenciák (magyarul): </w:t>
      </w:r>
    </w:p>
    <w:p w:rsidR="00AC0966" w:rsidRPr="00AC0966" w:rsidRDefault="00AC0966" w:rsidP="00AC0966">
      <w:pPr>
        <w:widowControl w:val="0"/>
        <w:spacing w:before="120" w:after="120" w:line="240" w:lineRule="auto"/>
        <w:ind w:left="426"/>
        <w:jc w:val="both"/>
        <w:rPr>
          <w:rFonts w:ascii="Times New Roman" w:eastAsia="Times New Roman" w:hAnsi="Times New Roman" w:cs="Times New Roman"/>
          <w:bCs/>
        </w:rPr>
      </w:pPr>
      <w:r w:rsidRPr="00AC0966">
        <w:rPr>
          <w:rFonts w:ascii="Times New Roman" w:eastAsia="Times New Roman" w:hAnsi="Times New Roman" w:cs="Times New Roman"/>
          <w:b/>
          <w:bCs/>
        </w:rPr>
        <w:t>Tudása:</w:t>
      </w:r>
      <w:r w:rsidRPr="00AC0966">
        <w:rPr>
          <w:rFonts w:ascii="Times New Roman" w:eastAsia="Times New Roman" w:hAnsi="Times New Roman" w:cs="Times New Roman"/>
          <w:bCs/>
        </w:rPr>
        <w:t xml:space="preserve"> </w:t>
      </w:r>
    </w:p>
    <w:p w:rsidR="00AC0966" w:rsidRPr="00AC0966" w:rsidRDefault="00AC0966" w:rsidP="00980876">
      <w:pPr>
        <w:widowControl w:val="0"/>
        <w:numPr>
          <w:ilvl w:val="0"/>
          <w:numId w:val="641"/>
        </w:numPr>
        <w:spacing w:before="120" w:after="120" w:line="240" w:lineRule="auto"/>
        <w:contextualSpacing/>
        <w:jc w:val="both"/>
        <w:rPr>
          <w:rFonts w:ascii="Times New Roman" w:eastAsia="Times New Roman" w:hAnsi="Times New Roman" w:cs="Times New Roman"/>
          <w:bCs/>
        </w:rPr>
      </w:pPr>
      <w:r w:rsidRPr="00AC0966">
        <w:rPr>
          <w:rFonts w:ascii="Times New Roman" w:eastAsia="Times New Roman" w:hAnsi="Times New Roman" w:cs="Times New Roman"/>
          <w:bCs/>
        </w:rPr>
        <w:t xml:space="preserve">Ismeri a kőolaj kitermelés módszereinek alapfogalmait, a desztillációs folyamatok fajtáit. </w:t>
      </w:r>
    </w:p>
    <w:p w:rsidR="00AC0966" w:rsidRPr="00AC0966" w:rsidRDefault="00AC0966" w:rsidP="00980876">
      <w:pPr>
        <w:widowControl w:val="0"/>
        <w:numPr>
          <w:ilvl w:val="0"/>
          <w:numId w:val="641"/>
        </w:numPr>
        <w:spacing w:before="120" w:after="120" w:line="240" w:lineRule="auto"/>
        <w:contextualSpacing/>
        <w:jc w:val="both"/>
        <w:rPr>
          <w:rFonts w:ascii="Times New Roman" w:eastAsia="Times New Roman" w:hAnsi="Times New Roman" w:cs="Times New Roman"/>
          <w:bCs/>
        </w:rPr>
      </w:pPr>
      <w:r w:rsidRPr="00AC0966">
        <w:rPr>
          <w:rFonts w:ascii="Times New Roman" w:eastAsia="Times New Roman" w:hAnsi="Times New Roman" w:cs="Times New Roman"/>
          <w:bCs/>
        </w:rPr>
        <w:t xml:space="preserve">Ismeri az atmoszférikus és a vákuum desztillációs folyamatokat. </w:t>
      </w:r>
    </w:p>
    <w:p w:rsidR="00AC0966" w:rsidRPr="00AC0966" w:rsidRDefault="00AC0966" w:rsidP="00980876">
      <w:pPr>
        <w:widowControl w:val="0"/>
        <w:numPr>
          <w:ilvl w:val="0"/>
          <w:numId w:val="641"/>
        </w:numPr>
        <w:spacing w:before="120" w:after="120" w:line="240" w:lineRule="auto"/>
        <w:contextualSpacing/>
        <w:jc w:val="both"/>
        <w:rPr>
          <w:rFonts w:ascii="Times New Roman" w:eastAsia="Times New Roman" w:hAnsi="Times New Roman" w:cs="Times New Roman"/>
          <w:bCs/>
        </w:rPr>
      </w:pPr>
      <w:r w:rsidRPr="00AC0966">
        <w:rPr>
          <w:rFonts w:ascii="Times New Roman" w:eastAsia="Times New Roman" w:hAnsi="Times New Roman" w:cs="Times New Roman"/>
          <w:bCs/>
        </w:rPr>
        <w:t xml:space="preserve">Ismeri a kőolajtermékek átalakításának folyamatait. </w:t>
      </w:r>
    </w:p>
    <w:p w:rsidR="00AC0966" w:rsidRPr="00AC0966" w:rsidRDefault="00AC0966" w:rsidP="00980876">
      <w:pPr>
        <w:widowControl w:val="0"/>
        <w:numPr>
          <w:ilvl w:val="0"/>
          <w:numId w:val="641"/>
        </w:numPr>
        <w:spacing w:before="120" w:after="120" w:line="240" w:lineRule="auto"/>
        <w:contextualSpacing/>
        <w:jc w:val="both"/>
        <w:rPr>
          <w:rFonts w:ascii="Times New Roman" w:eastAsia="Times New Roman" w:hAnsi="Times New Roman" w:cs="Times New Roman"/>
          <w:bCs/>
        </w:rPr>
      </w:pPr>
      <w:r w:rsidRPr="00AC0966">
        <w:rPr>
          <w:rFonts w:ascii="Times New Roman" w:eastAsia="Times New Roman" w:hAnsi="Times New Roman" w:cs="Times New Roman"/>
          <w:bCs/>
        </w:rPr>
        <w:t xml:space="preserve">Ismeri a NATO egységes üzemanyag koncepcióját. </w:t>
      </w:r>
    </w:p>
    <w:p w:rsidR="00AC0966" w:rsidRPr="00AC0966" w:rsidRDefault="00AC0966" w:rsidP="00980876">
      <w:pPr>
        <w:widowControl w:val="0"/>
        <w:numPr>
          <w:ilvl w:val="0"/>
          <w:numId w:val="641"/>
        </w:numPr>
        <w:spacing w:before="120" w:after="120" w:line="240" w:lineRule="auto"/>
        <w:contextualSpacing/>
        <w:jc w:val="both"/>
        <w:rPr>
          <w:rFonts w:ascii="Times New Roman" w:eastAsia="Times New Roman" w:hAnsi="Times New Roman" w:cs="Times New Roman"/>
          <w:bCs/>
        </w:rPr>
      </w:pPr>
      <w:r w:rsidRPr="00AC0966">
        <w:rPr>
          <w:rFonts w:ascii="Times New Roman" w:eastAsia="Times New Roman" w:hAnsi="Times New Roman" w:cs="Times New Roman"/>
          <w:bCs/>
        </w:rPr>
        <w:t>Ismeri a</w:t>
      </w:r>
      <w:r w:rsidRPr="00AC0966">
        <w:rPr>
          <w:rFonts w:ascii="Calibri" w:eastAsia="Calibri" w:hAnsi="Calibri" w:cs="Times New Roman"/>
        </w:rPr>
        <w:t xml:space="preserve"> </w:t>
      </w:r>
      <w:r w:rsidRPr="00AC0966">
        <w:rPr>
          <w:rFonts w:ascii="Times New Roman" w:eastAsia="Times New Roman" w:hAnsi="Times New Roman" w:cs="Times New Roman"/>
          <w:bCs/>
        </w:rPr>
        <w:t xml:space="preserve">Magyar Honvédségnél használatos üzemanyagok csoportosítását. </w:t>
      </w:r>
    </w:p>
    <w:p w:rsidR="00AC0966" w:rsidRPr="00AC0966" w:rsidRDefault="00AC0966" w:rsidP="00980876">
      <w:pPr>
        <w:widowControl w:val="0"/>
        <w:numPr>
          <w:ilvl w:val="0"/>
          <w:numId w:val="641"/>
        </w:numPr>
        <w:spacing w:before="120" w:after="120" w:line="240" w:lineRule="auto"/>
        <w:contextualSpacing/>
        <w:jc w:val="both"/>
        <w:rPr>
          <w:rFonts w:ascii="Times New Roman" w:eastAsia="Times New Roman" w:hAnsi="Times New Roman" w:cs="Times New Roman"/>
          <w:bCs/>
        </w:rPr>
      </w:pPr>
      <w:r w:rsidRPr="00AC0966">
        <w:rPr>
          <w:rFonts w:ascii="Times New Roman" w:eastAsia="Times New Roman" w:hAnsi="Times New Roman" w:cs="Times New Roman"/>
          <w:bCs/>
        </w:rPr>
        <w:t>Megfelelő mélységű ismerettel rendelkezik a hajtó-, kenő- és karbantartó anyagok összetétele, fizikai-kémiai tulajdonságai és alkalmazásuk rendje területén.</w:t>
      </w:r>
    </w:p>
    <w:p w:rsidR="00AC0966" w:rsidRPr="00AC0966" w:rsidRDefault="00AC0966" w:rsidP="00AC0966">
      <w:pPr>
        <w:widowControl w:val="0"/>
        <w:spacing w:before="120" w:after="120" w:line="240" w:lineRule="auto"/>
        <w:ind w:left="426"/>
        <w:jc w:val="both"/>
        <w:rPr>
          <w:rFonts w:ascii="Times New Roman" w:eastAsia="Times New Roman" w:hAnsi="Times New Roman" w:cs="Times New Roman"/>
          <w:bCs/>
        </w:rPr>
      </w:pPr>
      <w:r w:rsidRPr="00AC0966">
        <w:rPr>
          <w:rFonts w:ascii="Times New Roman" w:eastAsia="Times New Roman" w:hAnsi="Times New Roman" w:cs="Times New Roman"/>
          <w:b/>
          <w:bCs/>
        </w:rPr>
        <w:t>Képességei:</w:t>
      </w:r>
      <w:r w:rsidRPr="00AC0966">
        <w:rPr>
          <w:rFonts w:ascii="Times New Roman" w:eastAsia="Times New Roman" w:hAnsi="Times New Roman" w:cs="Times New Roman"/>
          <w:bCs/>
        </w:rPr>
        <w:t xml:space="preserve"> </w:t>
      </w:r>
    </w:p>
    <w:p w:rsidR="00AC0966" w:rsidRPr="00AC0966" w:rsidRDefault="00AC0966" w:rsidP="00980876">
      <w:pPr>
        <w:widowControl w:val="0"/>
        <w:numPr>
          <w:ilvl w:val="0"/>
          <w:numId w:val="641"/>
        </w:numPr>
        <w:spacing w:before="120" w:after="120" w:line="240" w:lineRule="auto"/>
        <w:contextualSpacing/>
        <w:jc w:val="both"/>
        <w:rPr>
          <w:rFonts w:ascii="Times New Roman" w:eastAsia="Times New Roman" w:hAnsi="Times New Roman" w:cs="Times New Roman"/>
          <w:bCs/>
        </w:rPr>
      </w:pPr>
      <w:r w:rsidRPr="00AC0966">
        <w:rPr>
          <w:rFonts w:ascii="Times New Roman" w:eastAsia="Times New Roman" w:hAnsi="Times New Roman" w:cs="Times New Roman"/>
          <w:bCs/>
        </w:rPr>
        <w:t xml:space="preserve">Képes a szakterületén rendszeresített és használt berendezések és technikai eszközök kenő- és hajtóanyagainak felismerésére. </w:t>
      </w:r>
    </w:p>
    <w:p w:rsidR="00AC0966" w:rsidRPr="00AC0966" w:rsidRDefault="00AC0966" w:rsidP="00980876">
      <w:pPr>
        <w:widowControl w:val="0"/>
        <w:numPr>
          <w:ilvl w:val="0"/>
          <w:numId w:val="641"/>
        </w:numPr>
        <w:spacing w:before="120" w:after="120" w:line="240" w:lineRule="auto"/>
        <w:contextualSpacing/>
        <w:jc w:val="both"/>
        <w:rPr>
          <w:rFonts w:ascii="Times New Roman" w:eastAsia="Times New Roman" w:hAnsi="Times New Roman" w:cs="Times New Roman"/>
          <w:bCs/>
        </w:rPr>
      </w:pPr>
      <w:r w:rsidRPr="00AC0966">
        <w:rPr>
          <w:rFonts w:ascii="Times New Roman" w:eastAsia="Times New Roman" w:hAnsi="Times New Roman" w:cs="Times New Roman"/>
          <w:bCs/>
        </w:rPr>
        <w:t xml:space="preserve">Képes a kőolaj kitermelés módszerei alapfogalmainak, a desztillációs folyamatoknak a megértésére. </w:t>
      </w:r>
    </w:p>
    <w:p w:rsidR="00AC0966" w:rsidRPr="00AC0966" w:rsidRDefault="00AC0966" w:rsidP="00980876">
      <w:pPr>
        <w:widowControl w:val="0"/>
        <w:numPr>
          <w:ilvl w:val="0"/>
          <w:numId w:val="641"/>
        </w:numPr>
        <w:spacing w:before="120" w:after="120" w:line="240" w:lineRule="auto"/>
        <w:contextualSpacing/>
        <w:jc w:val="both"/>
        <w:rPr>
          <w:rFonts w:ascii="Times New Roman" w:eastAsia="Times New Roman" w:hAnsi="Times New Roman" w:cs="Times New Roman"/>
          <w:bCs/>
        </w:rPr>
      </w:pPr>
      <w:r w:rsidRPr="00AC0966">
        <w:rPr>
          <w:rFonts w:ascii="Times New Roman" w:eastAsia="Times New Roman" w:hAnsi="Times New Roman" w:cs="Times New Roman"/>
          <w:bCs/>
        </w:rPr>
        <w:lastRenderedPageBreak/>
        <w:t xml:space="preserve">Képes megkülönböztetni az atmoszférikus és a vákuum desztillációs folyamatokat. </w:t>
      </w:r>
    </w:p>
    <w:p w:rsidR="00AC0966" w:rsidRPr="00AC0966" w:rsidRDefault="00AC0966" w:rsidP="00980876">
      <w:pPr>
        <w:widowControl w:val="0"/>
        <w:numPr>
          <w:ilvl w:val="0"/>
          <w:numId w:val="641"/>
        </w:numPr>
        <w:spacing w:before="120" w:after="120" w:line="240" w:lineRule="auto"/>
        <w:contextualSpacing/>
        <w:jc w:val="both"/>
        <w:rPr>
          <w:rFonts w:ascii="Times New Roman" w:eastAsia="Times New Roman" w:hAnsi="Times New Roman" w:cs="Times New Roman"/>
          <w:bCs/>
        </w:rPr>
      </w:pPr>
      <w:r w:rsidRPr="00AC0966">
        <w:rPr>
          <w:rFonts w:ascii="Times New Roman" w:eastAsia="Times New Roman" w:hAnsi="Times New Roman" w:cs="Times New Roman"/>
          <w:bCs/>
        </w:rPr>
        <w:t xml:space="preserve">Képes a NATO egységes üzemanyag koncepciójának felismerésére. </w:t>
      </w:r>
    </w:p>
    <w:p w:rsidR="00AC0966" w:rsidRPr="00AC0966" w:rsidRDefault="00AC0966" w:rsidP="00980876">
      <w:pPr>
        <w:widowControl w:val="0"/>
        <w:numPr>
          <w:ilvl w:val="0"/>
          <w:numId w:val="641"/>
        </w:numPr>
        <w:spacing w:before="120" w:after="120" w:line="240" w:lineRule="auto"/>
        <w:contextualSpacing/>
        <w:jc w:val="both"/>
        <w:rPr>
          <w:rFonts w:ascii="Times New Roman" w:eastAsia="Times New Roman" w:hAnsi="Times New Roman" w:cs="Times New Roman"/>
          <w:bCs/>
        </w:rPr>
      </w:pPr>
      <w:r w:rsidRPr="00AC0966">
        <w:rPr>
          <w:rFonts w:ascii="Times New Roman" w:eastAsia="Times New Roman" w:hAnsi="Times New Roman" w:cs="Times New Roman"/>
          <w:bCs/>
        </w:rPr>
        <w:t xml:space="preserve">Képes felismerni a Magyar Honvédségnél használatos üzemanyagokat. </w:t>
      </w:r>
    </w:p>
    <w:p w:rsidR="00AC0966" w:rsidRPr="00AC0966" w:rsidRDefault="00AC0966" w:rsidP="00980876">
      <w:pPr>
        <w:widowControl w:val="0"/>
        <w:numPr>
          <w:ilvl w:val="0"/>
          <w:numId w:val="641"/>
        </w:numPr>
        <w:spacing w:before="120" w:after="120" w:line="240" w:lineRule="auto"/>
        <w:contextualSpacing/>
        <w:jc w:val="both"/>
        <w:rPr>
          <w:rFonts w:ascii="Times New Roman" w:eastAsia="Times New Roman" w:hAnsi="Times New Roman" w:cs="Times New Roman"/>
          <w:bCs/>
        </w:rPr>
      </w:pPr>
      <w:r w:rsidRPr="00AC0966">
        <w:rPr>
          <w:rFonts w:ascii="Times New Roman" w:eastAsia="Times New Roman" w:hAnsi="Times New Roman" w:cs="Times New Roman"/>
          <w:bCs/>
        </w:rPr>
        <w:t>Képes felismerni a hajtó-, kenő- és karbantartó anyagokat.</w:t>
      </w:r>
    </w:p>
    <w:p w:rsidR="00AC0966" w:rsidRPr="00AC0966" w:rsidRDefault="00AC0966" w:rsidP="00AC0966">
      <w:pPr>
        <w:widowControl w:val="0"/>
        <w:spacing w:before="120" w:after="120" w:line="240" w:lineRule="auto"/>
        <w:ind w:left="426"/>
        <w:jc w:val="both"/>
        <w:rPr>
          <w:rFonts w:ascii="Times New Roman" w:eastAsia="Times New Roman" w:hAnsi="Times New Roman" w:cs="Times New Roman"/>
          <w:bCs/>
        </w:rPr>
      </w:pPr>
      <w:r w:rsidRPr="00AC0966">
        <w:rPr>
          <w:rFonts w:ascii="Times New Roman" w:eastAsia="Times New Roman" w:hAnsi="Times New Roman" w:cs="Times New Roman"/>
          <w:b/>
          <w:bCs/>
        </w:rPr>
        <w:t>Attitűdje:</w:t>
      </w:r>
      <w:r w:rsidRPr="00AC0966">
        <w:rPr>
          <w:rFonts w:ascii="Times New Roman" w:eastAsia="Times New Roman" w:hAnsi="Times New Roman" w:cs="Times New Roman"/>
          <w:bCs/>
        </w:rPr>
        <w:t xml:space="preserve"> </w:t>
      </w:r>
    </w:p>
    <w:p w:rsidR="00AC0966" w:rsidRPr="00AC0966" w:rsidRDefault="00AC0966" w:rsidP="00980876">
      <w:pPr>
        <w:widowControl w:val="0"/>
        <w:numPr>
          <w:ilvl w:val="0"/>
          <w:numId w:val="641"/>
        </w:numPr>
        <w:spacing w:before="120" w:after="120" w:line="240" w:lineRule="auto"/>
        <w:contextualSpacing/>
        <w:jc w:val="both"/>
        <w:rPr>
          <w:rFonts w:ascii="Times New Roman" w:eastAsia="Times New Roman" w:hAnsi="Times New Roman" w:cs="Times New Roman"/>
          <w:bCs/>
        </w:rPr>
      </w:pPr>
      <w:r w:rsidRPr="00AC0966">
        <w:rPr>
          <w:rFonts w:ascii="Times New Roman" w:eastAsia="Times New Roman" w:hAnsi="Times New Roman" w:cs="Times New Roman"/>
          <w:bCs/>
        </w:rPr>
        <w:t xml:space="preserve">Nyitott a szakterületén rendszeresített és használt berendezések és technikai eszközök kenő- és hajtóanyagaival kapcsolatos szakmai ismereteinek gyarapítása iránt, folyamatos önképzési igény jellemzi. </w:t>
      </w:r>
    </w:p>
    <w:p w:rsidR="00AC0966" w:rsidRPr="00AC0966" w:rsidRDefault="00AC0966" w:rsidP="00980876">
      <w:pPr>
        <w:widowControl w:val="0"/>
        <w:numPr>
          <w:ilvl w:val="0"/>
          <w:numId w:val="641"/>
        </w:numPr>
        <w:spacing w:before="120" w:after="120" w:line="240" w:lineRule="auto"/>
        <w:contextualSpacing/>
        <w:jc w:val="both"/>
        <w:rPr>
          <w:rFonts w:ascii="Times New Roman" w:eastAsia="Times New Roman" w:hAnsi="Times New Roman" w:cs="Times New Roman"/>
          <w:bCs/>
        </w:rPr>
      </w:pPr>
      <w:r w:rsidRPr="00AC0966">
        <w:rPr>
          <w:rFonts w:ascii="Times New Roman" w:eastAsia="Times New Roman" w:hAnsi="Times New Roman" w:cs="Times New Roman"/>
          <w:bCs/>
        </w:rPr>
        <w:t xml:space="preserve">Törekszik munkája során a vonatkozó üzemanyag koncepciók megismerésére. </w:t>
      </w:r>
    </w:p>
    <w:p w:rsidR="00AC0966" w:rsidRPr="00AC0966" w:rsidRDefault="00AC0966" w:rsidP="00980876">
      <w:pPr>
        <w:widowControl w:val="0"/>
        <w:numPr>
          <w:ilvl w:val="0"/>
          <w:numId w:val="641"/>
        </w:numPr>
        <w:spacing w:before="120" w:after="120" w:line="240" w:lineRule="auto"/>
        <w:contextualSpacing/>
        <w:jc w:val="both"/>
        <w:rPr>
          <w:rFonts w:ascii="Times New Roman" w:eastAsia="Times New Roman" w:hAnsi="Times New Roman" w:cs="Times New Roman"/>
          <w:bCs/>
        </w:rPr>
      </w:pPr>
      <w:r w:rsidRPr="00AC0966">
        <w:rPr>
          <w:rFonts w:ascii="Times New Roman" w:eastAsia="Times New Roman" w:hAnsi="Times New Roman" w:cs="Times New Roman"/>
          <w:bCs/>
        </w:rPr>
        <w:t>Nyitott a haditechnikai szakterület új eredményei felé, törekszik azok megismerésére, különös tekintettel az üzem- és kenőanyagokra.</w:t>
      </w:r>
    </w:p>
    <w:p w:rsidR="00AC0966" w:rsidRPr="00AC0966" w:rsidRDefault="00AC0966" w:rsidP="00AC0966">
      <w:pPr>
        <w:widowControl w:val="0"/>
        <w:spacing w:before="120" w:after="120" w:line="240" w:lineRule="auto"/>
        <w:ind w:left="426"/>
        <w:jc w:val="both"/>
        <w:rPr>
          <w:rFonts w:ascii="Times New Roman" w:eastAsia="Times New Roman" w:hAnsi="Times New Roman" w:cs="Times New Roman"/>
          <w:bCs/>
        </w:rPr>
      </w:pPr>
      <w:r w:rsidRPr="00AC0966">
        <w:rPr>
          <w:rFonts w:ascii="Times New Roman" w:eastAsia="Times New Roman" w:hAnsi="Times New Roman" w:cs="Times New Roman"/>
          <w:b/>
          <w:bCs/>
        </w:rPr>
        <w:t>Autonómiája és felelőssége:</w:t>
      </w:r>
      <w:r w:rsidRPr="00AC0966">
        <w:rPr>
          <w:rFonts w:ascii="Times New Roman" w:eastAsia="Times New Roman" w:hAnsi="Times New Roman" w:cs="Times New Roman"/>
          <w:bCs/>
        </w:rPr>
        <w:t xml:space="preserve"> </w:t>
      </w:r>
    </w:p>
    <w:p w:rsidR="00AC0966" w:rsidRPr="00AC0966" w:rsidRDefault="00AC0966" w:rsidP="00980876">
      <w:pPr>
        <w:widowControl w:val="0"/>
        <w:numPr>
          <w:ilvl w:val="0"/>
          <w:numId w:val="641"/>
        </w:numPr>
        <w:spacing w:before="120" w:after="120" w:line="240" w:lineRule="auto"/>
        <w:contextualSpacing/>
        <w:jc w:val="both"/>
        <w:rPr>
          <w:rFonts w:ascii="Times New Roman" w:eastAsia="Times New Roman" w:hAnsi="Times New Roman" w:cs="Times New Roman"/>
          <w:bCs/>
        </w:rPr>
      </w:pPr>
      <w:r w:rsidRPr="00AC0966">
        <w:rPr>
          <w:rFonts w:ascii="Times New Roman" w:eastAsia="Times New Roman" w:hAnsi="Times New Roman" w:cs="Times New Roman"/>
          <w:bCs/>
        </w:rPr>
        <w:t xml:space="preserve">Képes alárendeltjeinek feladatait megszervezni és meghatározni, valamint elvégzett munkájukat szakmai szempontok alapján ellenőrizni. </w:t>
      </w:r>
    </w:p>
    <w:p w:rsidR="00AC0966" w:rsidRPr="00AC0966" w:rsidRDefault="00AC0966" w:rsidP="00980876">
      <w:pPr>
        <w:widowControl w:val="0"/>
        <w:numPr>
          <w:ilvl w:val="0"/>
          <w:numId w:val="641"/>
        </w:numPr>
        <w:spacing w:before="120" w:after="120" w:line="240" w:lineRule="auto"/>
        <w:contextualSpacing/>
        <w:jc w:val="both"/>
        <w:rPr>
          <w:rFonts w:ascii="Times New Roman" w:eastAsia="Times New Roman" w:hAnsi="Times New Roman" w:cs="Times New Roman"/>
          <w:bCs/>
        </w:rPr>
      </w:pPr>
      <w:r w:rsidRPr="00AC0966">
        <w:rPr>
          <w:rFonts w:ascii="Times New Roman" w:eastAsia="Times New Roman" w:hAnsi="Times New Roman" w:cs="Times New Roman"/>
          <w:bCs/>
        </w:rPr>
        <w:t xml:space="preserve">Együttműködés és felelősség jellemzi szakterületének szakembereivel szemben. </w:t>
      </w:r>
    </w:p>
    <w:p w:rsidR="00AC0966" w:rsidRPr="00AC0966" w:rsidRDefault="00AC0966" w:rsidP="00980876">
      <w:pPr>
        <w:widowControl w:val="0"/>
        <w:numPr>
          <w:ilvl w:val="0"/>
          <w:numId w:val="641"/>
        </w:numPr>
        <w:spacing w:before="120" w:after="120" w:line="240" w:lineRule="auto"/>
        <w:contextualSpacing/>
        <w:jc w:val="both"/>
        <w:rPr>
          <w:rFonts w:ascii="Times New Roman" w:eastAsia="Times New Roman" w:hAnsi="Times New Roman" w:cs="Times New Roman"/>
          <w:bCs/>
        </w:rPr>
      </w:pPr>
      <w:r w:rsidRPr="00AC0966">
        <w:rPr>
          <w:rFonts w:ascii="Times New Roman" w:eastAsia="Times New Roman" w:hAnsi="Times New Roman" w:cs="Times New Roman"/>
          <w:bCs/>
        </w:rPr>
        <w:t>Szakterületén belül képes rendszer-szemléletűen gondolkodni.</w:t>
      </w:r>
    </w:p>
    <w:p w:rsidR="00AC0966" w:rsidRPr="00AC0966" w:rsidRDefault="00AC0966" w:rsidP="00AC0966">
      <w:pPr>
        <w:widowControl w:val="0"/>
        <w:spacing w:before="120" w:after="120" w:line="240" w:lineRule="auto"/>
        <w:ind w:left="426"/>
        <w:jc w:val="both"/>
        <w:rPr>
          <w:rFonts w:ascii="Times New Roman" w:eastAsia="Times New Roman" w:hAnsi="Times New Roman" w:cs="Times New Roman"/>
          <w:b/>
          <w:bCs/>
          <w:lang w:val="en-US"/>
        </w:rPr>
      </w:pPr>
      <w:r w:rsidRPr="00AC0966">
        <w:rPr>
          <w:rFonts w:ascii="Times New Roman" w:eastAsia="Times New Roman" w:hAnsi="Times New Roman" w:cs="Times New Roman"/>
          <w:b/>
          <w:bCs/>
        </w:rPr>
        <w:t>Elérendő kompetenciák (angolul) (</w:t>
      </w:r>
      <w:r w:rsidRPr="00AC0966">
        <w:rPr>
          <w:rFonts w:ascii="Times New Roman" w:eastAsia="Times New Roman" w:hAnsi="Times New Roman" w:cs="Times New Roman"/>
          <w:b/>
          <w:bCs/>
          <w:lang w:val="en-US"/>
        </w:rPr>
        <w:t xml:space="preserve">Competences – English): </w:t>
      </w:r>
    </w:p>
    <w:p w:rsidR="00AC0966" w:rsidRPr="00AC0966" w:rsidRDefault="00AC0966" w:rsidP="00AC0966">
      <w:pPr>
        <w:widowControl w:val="0"/>
        <w:spacing w:before="120" w:after="120" w:line="240" w:lineRule="auto"/>
        <w:ind w:left="426"/>
        <w:jc w:val="both"/>
        <w:rPr>
          <w:rFonts w:ascii="Times New Roman" w:eastAsia="Times New Roman" w:hAnsi="Times New Roman" w:cs="Times New Roman"/>
          <w:bCs/>
          <w:i/>
        </w:rPr>
      </w:pPr>
      <w:r w:rsidRPr="00AC0966">
        <w:rPr>
          <w:rFonts w:ascii="Times New Roman" w:eastAsia="Times New Roman" w:hAnsi="Times New Roman" w:cs="Times New Roman"/>
          <w:b/>
          <w:lang w:val="en-GB"/>
        </w:rPr>
        <w:t>Knowledge</w:t>
      </w:r>
      <w:r w:rsidRPr="00AC0966">
        <w:rPr>
          <w:rFonts w:ascii="Times New Roman" w:eastAsia="Times New Roman" w:hAnsi="Times New Roman" w:cs="Times New Roman"/>
          <w:lang w:val="en-GB"/>
        </w:rPr>
        <w:t>:</w:t>
      </w:r>
      <w:r w:rsidRPr="00AC0966">
        <w:rPr>
          <w:rFonts w:ascii="Times New Roman" w:eastAsia="Times New Roman" w:hAnsi="Times New Roman" w:cs="Times New Roman"/>
          <w:bCs/>
          <w:i/>
        </w:rPr>
        <w:t xml:space="preserve"> </w:t>
      </w:r>
    </w:p>
    <w:p w:rsidR="00AC0966" w:rsidRPr="00AC0966" w:rsidRDefault="00AC0966" w:rsidP="00980876">
      <w:pPr>
        <w:widowControl w:val="0"/>
        <w:numPr>
          <w:ilvl w:val="0"/>
          <w:numId w:val="641"/>
        </w:numPr>
        <w:spacing w:before="120" w:after="120" w:line="240" w:lineRule="auto"/>
        <w:contextualSpacing/>
        <w:jc w:val="both"/>
        <w:rPr>
          <w:rFonts w:ascii="Times New Roman" w:eastAsia="Times New Roman" w:hAnsi="Times New Roman" w:cs="Times New Roman"/>
          <w:bCs/>
        </w:rPr>
      </w:pPr>
      <w:r w:rsidRPr="00AC0966">
        <w:rPr>
          <w:rFonts w:ascii="Times New Roman" w:eastAsia="Times New Roman" w:hAnsi="Times New Roman" w:cs="Times New Roman"/>
          <w:bCs/>
        </w:rPr>
        <w:t xml:space="preserve">Knows the methods of oil mining. </w:t>
      </w:r>
    </w:p>
    <w:p w:rsidR="00AC0966" w:rsidRPr="00AC0966" w:rsidRDefault="00AC0966" w:rsidP="00980876">
      <w:pPr>
        <w:widowControl w:val="0"/>
        <w:numPr>
          <w:ilvl w:val="0"/>
          <w:numId w:val="641"/>
        </w:numPr>
        <w:spacing w:before="120" w:after="120" w:line="240" w:lineRule="auto"/>
        <w:contextualSpacing/>
        <w:jc w:val="both"/>
        <w:rPr>
          <w:rFonts w:ascii="Times New Roman" w:eastAsia="Times New Roman" w:hAnsi="Times New Roman" w:cs="Times New Roman"/>
          <w:bCs/>
        </w:rPr>
      </w:pPr>
      <w:r w:rsidRPr="00AC0966">
        <w:rPr>
          <w:rFonts w:ascii="Times New Roman" w:eastAsia="Times New Roman" w:hAnsi="Times New Roman" w:cs="Times New Roman"/>
          <w:bCs/>
        </w:rPr>
        <w:t xml:space="preserve">Knows and is able to apply </w:t>
      </w:r>
      <w:r w:rsidRPr="00AC0966">
        <w:rPr>
          <w:rFonts w:ascii="Times New Roman" w:eastAsia="Times New Roman" w:hAnsi="Times New Roman" w:cs="Times New Roman"/>
          <w:bCs/>
          <w:lang w:eastAsia="hu-HU"/>
        </w:rPr>
        <w:t xml:space="preserve">the types of oil </w:t>
      </w:r>
      <w:r w:rsidRPr="00AC0966">
        <w:rPr>
          <w:rFonts w:ascii="Times New Roman" w:eastAsia="Times New Roman" w:hAnsi="Times New Roman" w:cs="Times New Roman"/>
          <w:bCs/>
        </w:rPr>
        <w:t>distillation</w:t>
      </w:r>
      <w:r w:rsidRPr="00AC0966">
        <w:rPr>
          <w:rFonts w:ascii="Times New Roman" w:eastAsia="Times New Roman" w:hAnsi="Times New Roman" w:cs="Times New Roman"/>
          <w:bCs/>
          <w:lang w:eastAsia="hu-HU"/>
        </w:rPr>
        <w:t xml:space="preserve">. </w:t>
      </w:r>
    </w:p>
    <w:p w:rsidR="00AC0966" w:rsidRPr="00AC0966" w:rsidRDefault="00AC0966" w:rsidP="00980876">
      <w:pPr>
        <w:widowControl w:val="0"/>
        <w:numPr>
          <w:ilvl w:val="0"/>
          <w:numId w:val="641"/>
        </w:numPr>
        <w:spacing w:before="120" w:after="120" w:line="240" w:lineRule="auto"/>
        <w:contextualSpacing/>
        <w:jc w:val="both"/>
        <w:rPr>
          <w:rFonts w:ascii="Times New Roman" w:eastAsia="Times New Roman" w:hAnsi="Times New Roman" w:cs="Times New Roman"/>
          <w:bCs/>
        </w:rPr>
      </w:pPr>
      <w:r w:rsidRPr="00AC0966">
        <w:rPr>
          <w:rFonts w:ascii="Times New Roman" w:eastAsia="Times New Roman" w:hAnsi="Times New Roman" w:cs="Times New Roman"/>
          <w:bCs/>
        </w:rPr>
        <w:t xml:space="preserve">Knows the atmospheric and vacuum distillation. </w:t>
      </w:r>
    </w:p>
    <w:p w:rsidR="00AC0966" w:rsidRPr="00AC0966" w:rsidRDefault="00AC0966" w:rsidP="00980876">
      <w:pPr>
        <w:widowControl w:val="0"/>
        <w:numPr>
          <w:ilvl w:val="0"/>
          <w:numId w:val="641"/>
        </w:numPr>
        <w:spacing w:before="120" w:after="120" w:line="240" w:lineRule="auto"/>
        <w:contextualSpacing/>
        <w:jc w:val="both"/>
        <w:rPr>
          <w:rFonts w:ascii="Times New Roman" w:eastAsia="Times New Roman" w:hAnsi="Times New Roman" w:cs="Times New Roman"/>
          <w:bCs/>
        </w:rPr>
      </w:pPr>
      <w:r w:rsidRPr="00AC0966">
        <w:rPr>
          <w:rFonts w:ascii="Times New Roman" w:eastAsia="Times New Roman" w:hAnsi="Times New Roman" w:cs="Times New Roman"/>
          <w:bCs/>
        </w:rPr>
        <w:t>Knows how to</w:t>
      </w:r>
      <w:r w:rsidRPr="00AC0966">
        <w:rPr>
          <w:rFonts w:ascii="Times New Roman" w:eastAsia="Times New Roman" w:hAnsi="Times New Roman" w:cs="Times New Roman"/>
          <w:bCs/>
          <w:lang w:eastAsia="hu-HU"/>
        </w:rPr>
        <w:t xml:space="preserve"> </w:t>
      </w:r>
      <w:r w:rsidRPr="00AC0966">
        <w:rPr>
          <w:rFonts w:ascii="Times New Roman" w:eastAsia="Times New Roman" w:hAnsi="Times New Roman" w:cs="Times New Roman"/>
          <w:bCs/>
        </w:rPr>
        <w:t>transform the petroleum products</w:t>
      </w:r>
      <w:r w:rsidRPr="00AC0966">
        <w:rPr>
          <w:rFonts w:ascii="Times New Roman" w:eastAsia="Times New Roman" w:hAnsi="Times New Roman" w:cs="Times New Roman"/>
          <w:bCs/>
          <w:lang w:eastAsia="hu-HU"/>
        </w:rPr>
        <w:t xml:space="preserve">. </w:t>
      </w:r>
    </w:p>
    <w:p w:rsidR="00AC0966" w:rsidRPr="00AC0966" w:rsidRDefault="00AC0966" w:rsidP="00980876">
      <w:pPr>
        <w:widowControl w:val="0"/>
        <w:numPr>
          <w:ilvl w:val="0"/>
          <w:numId w:val="641"/>
        </w:numPr>
        <w:spacing w:before="120" w:after="120" w:line="240" w:lineRule="auto"/>
        <w:contextualSpacing/>
        <w:jc w:val="both"/>
        <w:rPr>
          <w:rFonts w:ascii="Times New Roman" w:eastAsia="Times New Roman" w:hAnsi="Times New Roman" w:cs="Times New Roman"/>
          <w:bCs/>
        </w:rPr>
      </w:pPr>
      <w:r w:rsidRPr="00AC0966">
        <w:rPr>
          <w:rFonts w:ascii="Times New Roman" w:eastAsia="Times New Roman" w:hAnsi="Times New Roman" w:cs="Times New Roman"/>
          <w:bCs/>
        </w:rPr>
        <w:t xml:space="preserve">Knows the NATO single fuel concept. </w:t>
      </w:r>
    </w:p>
    <w:p w:rsidR="00AC0966" w:rsidRPr="00AC0966" w:rsidRDefault="00AC0966" w:rsidP="00980876">
      <w:pPr>
        <w:widowControl w:val="0"/>
        <w:numPr>
          <w:ilvl w:val="0"/>
          <w:numId w:val="641"/>
        </w:numPr>
        <w:spacing w:before="120" w:after="120" w:line="240" w:lineRule="auto"/>
        <w:contextualSpacing/>
        <w:jc w:val="both"/>
        <w:rPr>
          <w:rFonts w:ascii="Times New Roman" w:eastAsia="Times New Roman" w:hAnsi="Times New Roman" w:cs="Times New Roman"/>
          <w:bCs/>
        </w:rPr>
      </w:pPr>
      <w:r w:rsidRPr="00AC0966">
        <w:rPr>
          <w:rFonts w:ascii="Times New Roman" w:eastAsia="Times New Roman" w:hAnsi="Times New Roman" w:cs="Times New Roman"/>
          <w:bCs/>
        </w:rPr>
        <w:t xml:space="preserve">Possesses knowledge of adequate depth and spectrum about the grouping of fuel used by the Hungarian Defence Forces. </w:t>
      </w:r>
    </w:p>
    <w:p w:rsidR="00AC0966" w:rsidRPr="00AC0966" w:rsidRDefault="00AC0966" w:rsidP="00980876">
      <w:pPr>
        <w:widowControl w:val="0"/>
        <w:numPr>
          <w:ilvl w:val="0"/>
          <w:numId w:val="641"/>
        </w:numPr>
        <w:spacing w:before="120" w:after="120" w:line="240" w:lineRule="auto"/>
        <w:contextualSpacing/>
        <w:jc w:val="both"/>
        <w:rPr>
          <w:rFonts w:ascii="Times New Roman" w:eastAsia="Times New Roman" w:hAnsi="Times New Roman" w:cs="Times New Roman"/>
          <w:bCs/>
        </w:rPr>
      </w:pPr>
      <w:r w:rsidRPr="00AC0966">
        <w:rPr>
          <w:rFonts w:ascii="Times New Roman" w:eastAsia="Times New Roman" w:hAnsi="Times New Roman" w:cs="Times New Roman"/>
          <w:bCs/>
        </w:rPr>
        <w:t xml:space="preserve">Knows the composition, physico-chemical properties and the way of application of petrol, oil, lubricants (pol) and oil based maintenance materials. </w:t>
      </w:r>
    </w:p>
    <w:p w:rsidR="00AC0966" w:rsidRPr="00AC0966" w:rsidRDefault="00AC0966" w:rsidP="00AC0966">
      <w:pPr>
        <w:widowControl w:val="0"/>
        <w:spacing w:before="120" w:after="120" w:line="240" w:lineRule="auto"/>
        <w:ind w:left="426"/>
        <w:jc w:val="both"/>
        <w:rPr>
          <w:rFonts w:ascii="Times New Roman" w:eastAsia="Times New Roman" w:hAnsi="Times New Roman" w:cs="Times New Roman"/>
          <w:lang w:val="en-GB"/>
        </w:rPr>
      </w:pPr>
      <w:r w:rsidRPr="00AC0966">
        <w:rPr>
          <w:rFonts w:ascii="Times New Roman" w:eastAsia="Times New Roman" w:hAnsi="Times New Roman" w:cs="Times New Roman"/>
          <w:b/>
          <w:lang w:val="en-GB"/>
        </w:rPr>
        <w:t>Capabilities</w:t>
      </w:r>
      <w:r w:rsidRPr="00AC0966">
        <w:rPr>
          <w:rFonts w:ascii="Times New Roman" w:eastAsia="Times New Roman" w:hAnsi="Times New Roman" w:cs="Times New Roman"/>
          <w:lang w:val="en-GB"/>
        </w:rPr>
        <w:t xml:space="preserve">: </w:t>
      </w:r>
    </w:p>
    <w:p w:rsidR="00AC0966" w:rsidRPr="00AC0966" w:rsidRDefault="00AC0966" w:rsidP="00980876">
      <w:pPr>
        <w:widowControl w:val="0"/>
        <w:numPr>
          <w:ilvl w:val="0"/>
          <w:numId w:val="641"/>
        </w:numPr>
        <w:spacing w:before="120" w:after="120" w:line="240" w:lineRule="auto"/>
        <w:contextualSpacing/>
        <w:jc w:val="both"/>
        <w:rPr>
          <w:rFonts w:ascii="Times New Roman" w:eastAsia="Times New Roman" w:hAnsi="Times New Roman" w:cs="Times New Roman"/>
          <w:bCs/>
        </w:rPr>
      </w:pPr>
      <w:r w:rsidRPr="00AC0966">
        <w:rPr>
          <w:rFonts w:ascii="Times New Roman" w:eastAsia="Times New Roman" w:hAnsi="Times New Roman" w:cs="Times New Roman"/>
          <w:bCs/>
        </w:rPr>
        <w:t>Is capable of recogniseing the</w:t>
      </w:r>
      <w:r w:rsidRPr="00AC0966">
        <w:rPr>
          <w:rFonts w:ascii="Calibri" w:eastAsia="Calibri" w:hAnsi="Calibri" w:cs="Times New Roman"/>
        </w:rPr>
        <w:t xml:space="preserve"> </w:t>
      </w:r>
      <w:r w:rsidRPr="00AC0966">
        <w:rPr>
          <w:rFonts w:ascii="Times New Roman" w:eastAsia="Times New Roman" w:hAnsi="Times New Roman" w:cs="Times New Roman"/>
          <w:bCs/>
        </w:rPr>
        <w:t xml:space="preserve">methods of oil mining. </w:t>
      </w:r>
    </w:p>
    <w:p w:rsidR="00AC0966" w:rsidRPr="00AC0966" w:rsidRDefault="00AC0966" w:rsidP="00980876">
      <w:pPr>
        <w:widowControl w:val="0"/>
        <w:numPr>
          <w:ilvl w:val="0"/>
          <w:numId w:val="641"/>
        </w:numPr>
        <w:spacing w:before="120" w:after="120" w:line="240" w:lineRule="auto"/>
        <w:contextualSpacing/>
        <w:jc w:val="both"/>
        <w:rPr>
          <w:rFonts w:ascii="Times New Roman" w:eastAsia="Times New Roman" w:hAnsi="Times New Roman" w:cs="Times New Roman"/>
          <w:bCs/>
        </w:rPr>
      </w:pPr>
      <w:r w:rsidRPr="00AC0966">
        <w:rPr>
          <w:rFonts w:ascii="Times New Roman" w:eastAsia="Times New Roman" w:hAnsi="Times New Roman" w:cs="Times New Roman"/>
          <w:bCs/>
        </w:rPr>
        <w:t>Is capable of</w:t>
      </w:r>
      <w:r w:rsidRPr="00AC0966">
        <w:rPr>
          <w:rFonts w:ascii="Calibri" w:eastAsia="Calibri" w:hAnsi="Calibri" w:cs="Times New Roman"/>
        </w:rPr>
        <w:t xml:space="preserve"> </w:t>
      </w:r>
      <w:r w:rsidRPr="00AC0966">
        <w:rPr>
          <w:rFonts w:ascii="Times New Roman" w:eastAsia="Times New Roman" w:hAnsi="Times New Roman" w:cs="Times New Roman"/>
          <w:bCs/>
        </w:rPr>
        <w:t xml:space="preserve">applying the types of oil distillation. </w:t>
      </w:r>
    </w:p>
    <w:p w:rsidR="00AC0966" w:rsidRPr="00AC0966" w:rsidRDefault="00AC0966" w:rsidP="00980876">
      <w:pPr>
        <w:widowControl w:val="0"/>
        <w:numPr>
          <w:ilvl w:val="0"/>
          <w:numId w:val="641"/>
        </w:numPr>
        <w:spacing w:before="120" w:after="120" w:line="240" w:lineRule="auto"/>
        <w:contextualSpacing/>
        <w:jc w:val="both"/>
        <w:rPr>
          <w:rFonts w:ascii="Times New Roman" w:eastAsia="Times New Roman" w:hAnsi="Times New Roman" w:cs="Times New Roman"/>
          <w:bCs/>
        </w:rPr>
      </w:pPr>
      <w:r w:rsidRPr="00AC0966">
        <w:rPr>
          <w:rFonts w:ascii="Times New Roman" w:eastAsia="Times New Roman" w:hAnsi="Times New Roman" w:cs="Times New Roman"/>
          <w:bCs/>
        </w:rPr>
        <w:t xml:space="preserve">Is capable of distinguishing the atmospheric and vacuum distillation methods. </w:t>
      </w:r>
    </w:p>
    <w:p w:rsidR="00AC0966" w:rsidRPr="00AC0966" w:rsidRDefault="00AC0966" w:rsidP="00980876">
      <w:pPr>
        <w:widowControl w:val="0"/>
        <w:numPr>
          <w:ilvl w:val="0"/>
          <w:numId w:val="641"/>
        </w:numPr>
        <w:spacing w:before="120" w:after="120" w:line="240" w:lineRule="auto"/>
        <w:contextualSpacing/>
        <w:jc w:val="both"/>
        <w:rPr>
          <w:rFonts w:ascii="Times New Roman" w:eastAsia="Times New Roman" w:hAnsi="Times New Roman" w:cs="Times New Roman"/>
          <w:bCs/>
        </w:rPr>
      </w:pPr>
      <w:r w:rsidRPr="00AC0966">
        <w:rPr>
          <w:rFonts w:ascii="Times New Roman" w:eastAsia="Times New Roman" w:hAnsi="Times New Roman" w:cs="Times New Roman"/>
          <w:bCs/>
        </w:rPr>
        <w:t>Is capable of recogniesing the</w:t>
      </w:r>
      <w:r w:rsidRPr="00AC0966">
        <w:rPr>
          <w:rFonts w:ascii="Calibri" w:eastAsia="Calibri" w:hAnsi="Calibri" w:cs="Times New Roman"/>
        </w:rPr>
        <w:t xml:space="preserve"> </w:t>
      </w:r>
      <w:r w:rsidRPr="00AC0966">
        <w:rPr>
          <w:rFonts w:ascii="Times New Roman" w:eastAsia="Times New Roman" w:hAnsi="Times New Roman" w:cs="Times New Roman"/>
          <w:bCs/>
        </w:rPr>
        <w:t xml:space="preserve">transform of the petroleum products. </w:t>
      </w:r>
    </w:p>
    <w:p w:rsidR="00AC0966" w:rsidRPr="00AC0966" w:rsidRDefault="00AC0966" w:rsidP="00980876">
      <w:pPr>
        <w:widowControl w:val="0"/>
        <w:numPr>
          <w:ilvl w:val="0"/>
          <w:numId w:val="641"/>
        </w:numPr>
        <w:spacing w:before="120" w:after="120" w:line="240" w:lineRule="auto"/>
        <w:contextualSpacing/>
        <w:jc w:val="both"/>
        <w:rPr>
          <w:rFonts w:ascii="Times New Roman" w:eastAsia="Times New Roman" w:hAnsi="Times New Roman" w:cs="Times New Roman"/>
          <w:bCs/>
        </w:rPr>
      </w:pPr>
      <w:r w:rsidRPr="00AC0966">
        <w:rPr>
          <w:rFonts w:ascii="Times New Roman" w:eastAsia="Times New Roman" w:hAnsi="Times New Roman" w:cs="Times New Roman"/>
          <w:bCs/>
        </w:rPr>
        <w:t xml:space="preserve">Is capable of understanding the NATO single fuel concept. </w:t>
      </w:r>
    </w:p>
    <w:p w:rsidR="00AC0966" w:rsidRPr="00AC0966" w:rsidRDefault="00AC0966" w:rsidP="00980876">
      <w:pPr>
        <w:widowControl w:val="0"/>
        <w:numPr>
          <w:ilvl w:val="0"/>
          <w:numId w:val="641"/>
        </w:numPr>
        <w:spacing w:before="120" w:after="120" w:line="240" w:lineRule="auto"/>
        <w:contextualSpacing/>
        <w:jc w:val="both"/>
        <w:rPr>
          <w:rFonts w:ascii="Times New Roman" w:eastAsia="Times New Roman" w:hAnsi="Times New Roman" w:cs="Times New Roman"/>
          <w:bCs/>
        </w:rPr>
      </w:pPr>
      <w:r w:rsidRPr="00AC0966">
        <w:rPr>
          <w:rFonts w:ascii="Times New Roman" w:eastAsia="Times New Roman" w:hAnsi="Times New Roman" w:cs="Times New Roman"/>
          <w:bCs/>
        </w:rPr>
        <w:t>Is capable of distinguishing the types of fuel used by the Hungarian Defence Forces.</w:t>
      </w:r>
    </w:p>
    <w:p w:rsidR="00AC0966" w:rsidRPr="00AC0966" w:rsidRDefault="00AC0966" w:rsidP="00AC09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lang w:val="en-GB"/>
        </w:rPr>
      </w:pPr>
      <w:r w:rsidRPr="00AC0966">
        <w:rPr>
          <w:rFonts w:ascii="Times New Roman" w:eastAsia="Times New Roman" w:hAnsi="Times New Roman" w:cs="Times New Roman"/>
          <w:b/>
          <w:lang w:val="en-GB"/>
        </w:rPr>
        <w:t>Attitude:</w:t>
      </w:r>
      <w:r w:rsidRPr="00AC0966">
        <w:rPr>
          <w:rFonts w:ascii="Times New Roman" w:eastAsia="Times New Roman" w:hAnsi="Times New Roman" w:cs="Times New Roman"/>
          <w:lang w:val="en-GB"/>
        </w:rPr>
        <w:t xml:space="preserve"> </w:t>
      </w:r>
    </w:p>
    <w:p w:rsidR="00AC0966" w:rsidRPr="00AC0966" w:rsidRDefault="00AC0966" w:rsidP="00980876">
      <w:pPr>
        <w:widowControl w:val="0"/>
        <w:numPr>
          <w:ilvl w:val="0"/>
          <w:numId w:val="641"/>
        </w:numPr>
        <w:spacing w:before="120" w:after="120" w:line="240" w:lineRule="auto"/>
        <w:contextualSpacing/>
        <w:jc w:val="both"/>
        <w:rPr>
          <w:rFonts w:ascii="Times New Roman" w:eastAsia="Times New Roman" w:hAnsi="Times New Roman" w:cs="Times New Roman"/>
          <w:bCs/>
        </w:rPr>
      </w:pPr>
      <w:r w:rsidRPr="00AC0966">
        <w:rPr>
          <w:rFonts w:ascii="Times New Roman" w:eastAsia="Times New Roman" w:hAnsi="Times New Roman" w:cs="Times New Roman"/>
          <w:bCs/>
        </w:rPr>
        <w:t xml:space="preserve">He/she is open to widen his/her knowledge regarding oil products and tribology. </w:t>
      </w:r>
    </w:p>
    <w:p w:rsidR="00AC0966" w:rsidRPr="00AC0966" w:rsidRDefault="00AC0966" w:rsidP="00980876">
      <w:pPr>
        <w:widowControl w:val="0"/>
        <w:numPr>
          <w:ilvl w:val="0"/>
          <w:numId w:val="641"/>
        </w:numPr>
        <w:spacing w:before="120" w:after="120" w:line="240" w:lineRule="auto"/>
        <w:contextualSpacing/>
        <w:jc w:val="both"/>
        <w:rPr>
          <w:rFonts w:ascii="Times New Roman" w:eastAsia="Times New Roman" w:hAnsi="Times New Roman" w:cs="Times New Roman"/>
          <w:bCs/>
        </w:rPr>
      </w:pPr>
      <w:r w:rsidRPr="00AC0966">
        <w:rPr>
          <w:rFonts w:ascii="Times New Roman" w:eastAsia="Times New Roman" w:hAnsi="Times New Roman" w:cs="Times New Roman"/>
          <w:bCs/>
        </w:rPr>
        <w:t xml:space="preserve">He/she aims to adhere to the knowledge of the types of oil distillation (atmospheric and vacuum methods). </w:t>
      </w:r>
    </w:p>
    <w:p w:rsidR="00AC0966" w:rsidRPr="00AC0966" w:rsidRDefault="00AC0966" w:rsidP="00980876">
      <w:pPr>
        <w:widowControl w:val="0"/>
        <w:numPr>
          <w:ilvl w:val="0"/>
          <w:numId w:val="641"/>
        </w:numPr>
        <w:spacing w:before="120" w:after="120" w:line="240" w:lineRule="auto"/>
        <w:contextualSpacing/>
        <w:jc w:val="both"/>
        <w:rPr>
          <w:rFonts w:ascii="Times New Roman" w:eastAsia="Times New Roman" w:hAnsi="Times New Roman" w:cs="Times New Roman"/>
          <w:bCs/>
        </w:rPr>
      </w:pPr>
      <w:r w:rsidRPr="00AC0966">
        <w:rPr>
          <w:rFonts w:ascii="Times New Roman" w:eastAsia="Times New Roman" w:hAnsi="Times New Roman" w:cs="Times New Roman"/>
          <w:bCs/>
        </w:rPr>
        <w:t xml:space="preserve">His/her work and relationships can be described by loyalty and reliability. </w:t>
      </w:r>
    </w:p>
    <w:p w:rsidR="00AC0966" w:rsidRPr="00AC0966" w:rsidRDefault="00AC0966" w:rsidP="00980876">
      <w:pPr>
        <w:widowControl w:val="0"/>
        <w:numPr>
          <w:ilvl w:val="0"/>
          <w:numId w:val="641"/>
        </w:numPr>
        <w:spacing w:before="120" w:after="120" w:line="240" w:lineRule="auto"/>
        <w:contextualSpacing/>
        <w:jc w:val="both"/>
        <w:rPr>
          <w:rFonts w:ascii="Times New Roman" w:eastAsia="Times New Roman" w:hAnsi="Times New Roman" w:cs="Times New Roman"/>
          <w:bCs/>
        </w:rPr>
      </w:pPr>
      <w:r w:rsidRPr="00AC0966">
        <w:rPr>
          <w:rFonts w:ascii="Times New Roman" w:eastAsia="Times New Roman" w:hAnsi="Times New Roman" w:cs="Times New Roman"/>
          <w:bCs/>
        </w:rPr>
        <w:t>He/she is open towards the new accomplishments of military technology and aims to gain knowledge of these, especially the composition, physico-chemical properties and the way of application of petrol, oil, lubricants (pol) and oil based maintenance materials.</w:t>
      </w:r>
    </w:p>
    <w:p w:rsidR="00AC0966" w:rsidRPr="00AC0966" w:rsidRDefault="00AC0966" w:rsidP="00AC0966">
      <w:pPr>
        <w:widowControl w:val="0"/>
        <w:spacing w:before="120" w:after="120" w:line="240" w:lineRule="auto"/>
        <w:ind w:left="426"/>
        <w:jc w:val="both"/>
        <w:rPr>
          <w:rFonts w:ascii="Times New Roman" w:eastAsia="Times New Roman" w:hAnsi="Times New Roman" w:cs="Times New Roman"/>
          <w:b/>
          <w:lang w:val="en-GB"/>
        </w:rPr>
      </w:pPr>
      <w:r w:rsidRPr="00AC0966">
        <w:rPr>
          <w:rFonts w:ascii="Times New Roman" w:eastAsia="Times New Roman" w:hAnsi="Times New Roman" w:cs="Times New Roman"/>
          <w:b/>
          <w:lang w:val="en-GB"/>
        </w:rPr>
        <w:t xml:space="preserve">Autonomy and responsibility: </w:t>
      </w:r>
    </w:p>
    <w:p w:rsidR="00AC0966" w:rsidRPr="00AC0966" w:rsidRDefault="00AC0966" w:rsidP="00980876">
      <w:pPr>
        <w:widowControl w:val="0"/>
        <w:numPr>
          <w:ilvl w:val="0"/>
          <w:numId w:val="641"/>
        </w:numPr>
        <w:spacing w:before="120" w:after="120" w:line="240" w:lineRule="auto"/>
        <w:contextualSpacing/>
        <w:jc w:val="both"/>
        <w:rPr>
          <w:rFonts w:ascii="Times New Roman" w:eastAsia="Times New Roman" w:hAnsi="Times New Roman" w:cs="Times New Roman"/>
          <w:lang w:val="en-GB"/>
        </w:rPr>
      </w:pPr>
      <w:r w:rsidRPr="00AC0966">
        <w:rPr>
          <w:rFonts w:ascii="Times New Roman" w:eastAsia="Times New Roman" w:hAnsi="Times New Roman" w:cs="Times New Roman"/>
        </w:rPr>
        <w:t>Is capable of</w:t>
      </w:r>
      <w:r w:rsidRPr="00AC0966">
        <w:rPr>
          <w:rFonts w:ascii="Times New Roman" w:eastAsia="Calibri" w:hAnsi="Times New Roman" w:cs="Times New Roman"/>
        </w:rPr>
        <w:t xml:space="preserve"> </w:t>
      </w:r>
      <w:r w:rsidRPr="00AC0966">
        <w:rPr>
          <w:rFonts w:ascii="Times New Roman" w:eastAsia="Times New Roman" w:hAnsi="Times New Roman" w:cs="Times New Roman"/>
        </w:rPr>
        <w:t xml:space="preserve">distinguishing </w:t>
      </w:r>
      <w:r w:rsidRPr="00AC0966">
        <w:rPr>
          <w:rFonts w:ascii="Times New Roman" w:eastAsia="Times New Roman" w:hAnsi="Times New Roman" w:cs="Times New Roman"/>
          <w:bCs/>
          <w:lang w:eastAsia="hu-HU"/>
        </w:rPr>
        <w:t xml:space="preserve">the types, variations and species of fuels and lubricants. </w:t>
      </w:r>
    </w:p>
    <w:p w:rsidR="00AC0966" w:rsidRPr="00AC0966" w:rsidRDefault="00AC0966" w:rsidP="00980876">
      <w:pPr>
        <w:widowControl w:val="0"/>
        <w:numPr>
          <w:ilvl w:val="0"/>
          <w:numId w:val="641"/>
        </w:numPr>
        <w:spacing w:before="120" w:after="120" w:line="240" w:lineRule="auto"/>
        <w:contextualSpacing/>
        <w:jc w:val="both"/>
        <w:rPr>
          <w:rFonts w:ascii="Times New Roman" w:eastAsia="Times New Roman" w:hAnsi="Times New Roman" w:cs="Times New Roman"/>
          <w:lang w:val="en-GB"/>
        </w:rPr>
      </w:pPr>
      <w:r w:rsidRPr="00AC0966">
        <w:rPr>
          <w:rFonts w:ascii="Times New Roman" w:eastAsia="Times New Roman" w:hAnsi="Times New Roman" w:cs="Times New Roman"/>
        </w:rPr>
        <w:t xml:space="preserve">He/she is capable of </w:t>
      </w:r>
      <w:r w:rsidRPr="00AC0966">
        <w:rPr>
          <w:rFonts w:ascii="Times New Roman" w:eastAsia="Times New Roman" w:hAnsi="Times New Roman" w:cs="Times New Roman"/>
          <w:bCs/>
        </w:rPr>
        <w:t>recogniseing the</w:t>
      </w:r>
      <w:r w:rsidRPr="00AC0966">
        <w:rPr>
          <w:rFonts w:ascii="Calibri" w:eastAsia="Calibri" w:hAnsi="Calibri" w:cs="Times New Roman"/>
        </w:rPr>
        <w:t xml:space="preserve"> </w:t>
      </w:r>
      <w:r w:rsidRPr="00AC0966">
        <w:rPr>
          <w:rFonts w:ascii="Times New Roman" w:eastAsia="Times New Roman" w:hAnsi="Times New Roman" w:cs="Times New Roman"/>
          <w:bCs/>
        </w:rPr>
        <w:t xml:space="preserve">transform of the petroleum products. </w:t>
      </w:r>
    </w:p>
    <w:p w:rsidR="00AC0966" w:rsidRPr="00AC0966" w:rsidRDefault="00AC0966" w:rsidP="00980876">
      <w:pPr>
        <w:widowControl w:val="0"/>
        <w:numPr>
          <w:ilvl w:val="0"/>
          <w:numId w:val="641"/>
        </w:numPr>
        <w:spacing w:before="120" w:after="120" w:line="240" w:lineRule="auto"/>
        <w:contextualSpacing/>
        <w:jc w:val="both"/>
        <w:rPr>
          <w:rFonts w:ascii="Times New Roman" w:eastAsia="Times New Roman" w:hAnsi="Times New Roman" w:cs="Times New Roman"/>
          <w:lang w:val="en-GB"/>
        </w:rPr>
      </w:pPr>
      <w:r w:rsidRPr="00AC0966">
        <w:rPr>
          <w:rFonts w:ascii="Times New Roman" w:eastAsia="Times New Roman" w:hAnsi="Times New Roman" w:cs="Times New Roman"/>
        </w:rPr>
        <w:t xml:space="preserve">He/she is cooperative and responsible towards the professionals of his/her field. </w:t>
      </w:r>
    </w:p>
    <w:p w:rsidR="00AC0966" w:rsidRPr="00AC0966" w:rsidRDefault="00AC0966" w:rsidP="00980876">
      <w:pPr>
        <w:widowControl w:val="0"/>
        <w:numPr>
          <w:ilvl w:val="0"/>
          <w:numId w:val="641"/>
        </w:numPr>
        <w:spacing w:before="120" w:after="120" w:line="240" w:lineRule="auto"/>
        <w:contextualSpacing/>
        <w:jc w:val="both"/>
        <w:rPr>
          <w:rFonts w:ascii="Times New Roman" w:eastAsia="Times New Roman" w:hAnsi="Times New Roman" w:cs="Times New Roman"/>
          <w:lang w:val="en-GB"/>
        </w:rPr>
      </w:pPr>
      <w:r w:rsidRPr="00AC0966">
        <w:rPr>
          <w:rFonts w:ascii="Times New Roman" w:eastAsia="Times New Roman" w:hAnsi="Times New Roman" w:cs="Times New Roman"/>
        </w:rPr>
        <w:t>Is capable of thinking in a system approach within his/her own field.</w:t>
      </w:r>
    </w:p>
    <w:p w:rsidR="00AC0966" w:rsidRPr="00AC0966" w:rsidRDefault="00AC0966" w:rsidP="00980876">
      <w:pPr>
        <w:widowControl w:val="0"/>
        <w:numPr>
          <w:ilvl w:val="0"/>
          <w:numId w:val="644"/>
        </w:numPr>
        <w:tabs>
          <w:tab w:val="num" w:pos="567"/>
        </w:tabs>
        <w:spacing w:before="240" w:after="120" w:line="240" w:lineRule="auto"/>
        <w:ind w:left="426" w:hanging="142"/>
        <w:jc w:val="both"/>
        <w:rPr>
          <w:rFonts w:ascii="Times New Roman" w:eastAsia="Times New Roman" w:hAnsi="Times New Roman" w:cs="Times New Roman"/>
          <w:bCs/>
        </w:rPr>
      </w:pPr>
      <w:r w:rsidRPr="00AC0966">
        <w:rPr>
          <w:rFonts w:ascii="Times New Roman" w:eastAsia="Times New Roman" w:hAnsi="Times New Roman" w:cs="Times New Roman"/>
          <w:b/>
          <w:bCs/>
        </w:rPr>
        <w:t>Előtanulmányi követelmények: -</w:t>
      </w:r>
    </w:p>
    <w:p w:rsidR="00AC0966" w:rsidRPr="00AC0966" w:rsidRDefault="00AC0966" w:rsidP="00980876">
      <w:pPr>
        <w:widowControl w:val="0"/>
        <w:numPr>
          <w:ilvl w:val="0"/>
          <w:numId w:val="644"/>
        </w:numPr>
        <w:spacing w:before="120" w:after="120" w:line="240" w:lineRule="auto"/>
        <w:ind w:left="426" w:hanging="142"/>
        <w:jc w:val="both"/>
        <w:rPr>
          <w:rFonts w:ascii="Times New Roman" w:eastAsia="Times New Roman" w:hAnsi="Times New Roman" w:cs="Times New Roman"/>
          <w:b/>
          <w:bCs/>
        </w:rPr>
      </w:pPr>
      <w:r w:rsidRPr="00AC0966">
        <w:rPr>
          <w:rFonts w:ascii="Times New Roman" w:eastAsia="Times New Roman" w:hAnsi="Times New Roman" w:cs="Times New Roman"/>
          <w:b/>
          <w:bCs/>
        </w:rPr>
        <w:t>A tantárgy tananyagának leírása, tematika. Description of the subject, curriculum (magyarul, angolul - English):</w:t>
      </w:r>
    </w:p>
    <w:p w:rsidR="00AC0966" w:rsidRPr="00AC0966" w:rsidRDefault="00AC0966" w:rsidP="00980876">
      <w:pPr>
        <w:widowControl w:val="0"/>
        <w:numPr>
          <w:ilvl w:val="1"/>
          <w:numId w:val="644"/>
        </w:numPr>
        <w:tabs>
          <w:tab w:val="clear" w:pos="3977"/>
          <w:tab w:val="num" w:pos="2069"/>
        </w:tabs>
        <w:spacing w:before="120" w:after="120" w:line="240" w:lineRule="auto"/>
        <w:ind w:left="1134" w:hanging="708"/>
        <w:jc w:val="both"/>
        <w:rPr>
          <w:rFonts w:ascii="Times New Roman" w:eastAsia="Times New Roman" w:hAnsi="Times New Roman" w:cs="Times New Roman"/>
          <w:b/>
        </w:rPr>
      </w:pPr>
      <w:r w:rsidRPr="00AC0966">
        <w:rPr>
          <w:rFonts w:ascii="Times New Roman" w:eastAsia="Times New Roman" w:hAnsi="Times New Roman" w:cs="Times New Roman"/>
          <w:bCs/>
        </w:rPr>
        <w:t xml:space="preserve">A kőolajipar és a tribológia alapfogalmai. </w:t>
      </w:r>
      <w:r w:rsidRPr="00AC0966">
        <w:rPr>
          <w:rFonts w:ascii="Times New Roman" w:eastAsia="Times New Roman" w:hAnsi="Times New Roman" w:cs="Times New Roman"/>
        </w:rPr>
        <w:t>(</w:t>
      </w:r>
      <w:r w:rsidRPr="00AC0966">
        <w:rPr>
          <w:rFonts w:ascii="Times New Roman" w:eastAsia="Times New Roman" w:hAnsi="Times New Roman" w:cs="Times New Roman"/>
          <w:bCs/>
          <w:i/>
        </w:rPr>
        <w:t xml:space="preserve">Basic terms, rules and theories of oil products </w:t>
      </w:r>
      <w:r w:rsidRPr="00AC0966">
        <w:rPr>
          <w:rFonts w:ascii="Times New Roman" w:eastAsia="Times New Roman" w:hAnsi="Times New Roman" w:cs="Times New Roman"/>
          <w:bCs/>
          <w:i/>
        </w:rPr>
        <w:lastRenderedPageBreak/>
        <w:t>and tribology.</w:t>
      </w:r>
      <w:r w:rsidRPr="00AC0966">
        <w:rPr>
          <w:rFonts w:ascii="Times New Roman" w:eastAsia="Times New Roman" w:hAnsi="Times New Roman" w:cs="Times New Roman"/>
        </w:rPr>
        <w:t>)</w:t>
      </w:r>
    </w:p>
    <w:p w:rsidR="00AC0966" w:rsidRPr="00AC0966" w:rsidRDefault="00AC0966" w:rsidP="00980876">
      <w:pPr>
        <w:widowControl w:val="0"/>
        <w:numPr>
          <w:ilvl w:val="1"/>
          <w:numId w:val="644"/>
        </w:numPr>
        <w:tabs>
          <w:tab w:val="clear" w:pos="3977"/>
          <w:tab w:val="num" w:pos="2069"/>
        </w:tabs>
        <w:spacing w:before="120" w:after="120" w:line="240" w:lineRule="auto"/>
        <w:ind w:left="1134" w:hanging="708"/>
        <w:jc w:val="both"/>
        <w:rPr>
          <w:rFonts w:ascii="Times New Roman" w:eastAsia="Times New Roman" w:hAnsi="Times New Roman" w:cs="Times New Roman"/>
          <w:b/>
        </w:rPr>
      </w:pPr>
      <w:r w:rsidRPr="00AC0966">
        <w:rPr>
          <w:rFonts w:ascii="Times New Roman" w:eastAsia="Times New Roman" w:hAnsi="Times New Roman" w:cs="Times New Roman"/>
          <w:bCs/>
        </w:rPr>
        <w:t>A kőolaj kitermelésének módszerei. (</w:t>
      </w:r>
      <w:r w:rsidRPr="00AC0966">
        <w:rPr>
          <w:rFonts w:ascii="Times New Roman" w:eastAsia="Times New Roman" w:hAnsi="Times New Roman" w:cs="Times New Roman"/>
          <w:bCs/>
          <w:i/>
        </w:rPr>
        <w:t>Methods of oil mining</w:t>
      </w:r>
      <w:r w:rsidRPr="00AC0966">
        <w:rPr>
          <w:rFonts w:ascii="Times New Roman" w:eastAsia="Times New Roman" w:hAnsi="Times New Roman" w:cs="Times New Roman"/>
          <w:bCs/>
        </w:rPr>
        <w:t xml:space="preserve">.) </w:t>
      </w:r>
    </w:p>
    <w:p w:rsidR="00AC0966" w:rsidRPr="00AC0966" w:rsidRDefault="00AC0966" w:rsidP="00980876">
      <w:pPr>
        <w:widowControl w:val="0"/>
        <w:numPr>
          <w:ilvl w:val="1"/>
          <w:numId w:val="644"/>
        </w:numPr>
        <w:tabs>
          <w:tab w:val="clear" w:pos="3977"/>
          <w:tab w:val="num" w:pos="2069"/>
        </w:tabs>
        <w:spacing w:before="120" w:after="120" w:line="240" w:lineRule="auto"/>
        <w:ind w:left="1134" w:hanging="708"/>
        <w:jc w:val="both"/>
        <w:rPr>
          <w:rFonts w:ascii="Times New Roman" w:eastAsia="Times New Roman" w:hAnsi="Times New Roman" w:cs="Times New Roman"/>
          <w:b/>
        </w:rPr>
      </w:pPr>
      <w:r w:rsidRPr="00AC0966">
        <w:rPr>
          <w:rFonts w:ascii="Times New Roman" w:eastAsia="Times New Roman" w:hAnsi="Times New Roman" w:cs="Times New Roman"/>
          <w:bCs/>
        </w:rPr>
        <w:t>Atmospheric distillation. (</w:t>
      </w:r>
      <w:r w:rsidRPr="00AC0966">
        <w:rPr>
          <w:rFonts w:ascii="Times New Roman" w:eastAsia="Times New Roman" w:hAnsi="Times New Roman" w:cs="Times New Roman"/>
          <w:bCs/>
          <w:i/>
        </w:rPr>
        <w:t>Az atmoszférikus desztillációs folyamatok</w:t>
      </w:r>
      <w:r w:rsidRPr="00AC0966">
        <w:rPr>
          <w:rFonts w:ascii="Times New Roman" w:eastAsia="Times New Roman" w:hAnsi="Times New Roman" w:cs="Times New Roman"/>
          <w:bCs/>
        </w:rPr>
        <w:t>.)</w:t>
      </w:r>
    </w:p>
    <w:p w:rsidR="00AC0966" w:rsidRPr="00AC0966" w:rsidRDefault="00AC0966" w:rsidP="00980876">
      <w:pPr>
        <w:widowControl w:val="0"/>
        <w:numPr>
          <w:ilvl w:val="1"/>
          <w:numId w:val="644"/>
        </w:numPr>
        <w:tabs>
          <w:tab w:val="clear" w:pos="3977"/>
          <w:tab w:val="num" w:pos="2069"/>
        </w:tabs>
        <w:spacing w:before="120" w:after="120" w:line="240" w:lineRule="auto"/>
        <w:ind w:left="1134" w:hanging="708"/>
        <w:jc w:val="both"/>
        <w:rPr>
          <w:rFonts w:ascii="Times New Roman" w:eastAsia="Times New Roman" w:hAnsi="Times New Roman" w:cs="Times New Roman"/>
          <w:b/>
        </w:rPr>
      </w:pPr>
      <w:r w:rsidRPr="00AC0966">
        <w:rPr>
          <w:rFonts w:ascii="Times New Roman" w:eastAsia="Times New Roman" w:hAnsi="Times New Roman" w:cs="Times New Roman"/>
          <w:bCs/>
        </w:rPr>
        <w:t>Vacuum distillation. (</w:t>
      </w:r>
      <w:r w:rsidRPr="00AC0966">
        <w:rPr>
          <w:rFonts w:ascii="Times New Roman" w:eastAsia="Times New Roman" w:hAnsi="Times New Roman" w:cs="Times New Roman"/>
          <w:bCs/>
          <w:i/>
        </w:rPr>
        <w:t>Vákuum desztillációs folyamatok</w:t>
      </w:r>
      <w:r w:rsidRPr="00AC0966">
        <w:rPr>
          <w:rFonts w:ascii="Times New Roman" w:eastAsia="Times New Roman" w:hAnsi="Times New Roman" w:cs="Times New Roman"/>
          <w:bCs/>
        </w:rPr>
        <w:t>.)</w:t>
      </w:r>
    </w:p>
    <w:p w:rsidR="00AC0966" w:rsidRPr="00AC0966" w:rsidRDefault="00AC0966" w:rsidP="00980876">
      <w:pPr>
        <w:widowControl w:val="0"/>
        <w:numPr>
          <w:ilvl w:val="1"/>
          <w:numId w:val="644"/>
        </w:numPr>
        <w:tabs>
          <w:tab w:val="clear" w:pos="3977"/>
          <w:tab w:val="num" w:pos="2069"/>
        </w:tabs>
        <w:spacing w:before="120" w:after="120" w:line="240" w:lineRule="auto"/>
        <w:ind w:left="1134" w:hanging="708"/>
        <w:jc w:val="both"/>
        <w:rPr>
          <w:rFonts w:ascii="Times New Roman" w:eastAsia="Times New Roman" w:hAnsi="Times New Roman" w:cs="Times New Roman"/>
          <w:b/>
        </w:rPr>
      </w:pPr>
      <w:r w:rsidRPr="00AC0966">
        <w:rPr>
          <w:rFonts w:ascii="Times New Roman" w:eastAsia="Times New Roman" w:hAnsi="Times New Roman" w:cs="Times New Roman"/>
          <w:bCs/>
        </w:rPr>
        <w:t>A kőolajtermékek átalakításának folyamatai. (</w:t>
      </w:r>
      <w:r w:rsidRPr="00AC0966">
        <w:rPr>
          <w:rFonts w:ascii="Times New Roman" w:eastAsia="Times New Roman" w:hAnsi="Times New Roman" w:cs="Times New Roman"/>
          <w:bCs/>
          <w:i/>
        </w:rPr>
        <w:t>Processes of transformation of petroleum products.</w:t>
      </w:r>
      <w:r w:rsidRPr="00AC0966">
        <w:rPr>
          <w:rFonts w:ascii="Times New Roman" w:eastAsia="Times New Roman" w:hAnsi="Times New Roman" w:cs="Times New Roman"/>
          <w:bCs/>
        </w:rPr>
        <w:t xml:space="preserve">) </w:t>
      </w:r>
    </w:p>
    <w:p w:rsidR="00AC0966" w:rsidRPr="00AC0966" w:rsidRDefault="00AC0966" w:rsidP="00980876">
      <w:pPr>
        <w:widowControl w:val="0"/>
        <w:numPr>
          <w:ilvl w:val="1"/>
          <w:numId w:val="644"/>
        </w:numPr>
        <w:tabs>
          <w:tab w:val="clear" w:pos="3977"/>
          <w:tab w:val="num" w:pos="2069"/>
        </w:tabs>
        <w:spacing w:before="120" w:after="120" w:line="240" w:lineRule="auto"/>
        <w:ind w:left="1134" w:hanging="708"/>
        <w:jc w:val="both"/>
        <w:rPr>
          <w:rFonts w:ascii="Times New Roman" w:eastAsia="Times New Roman" w:hAnsi="Times New Roman" w:cs="Times New Roman"/>
          <w:bCs/>
        </w:rPr>
      </w:pPr>
      <w:r w:rsidRPr="00AC0966">
        <w:rPr>
          <w:rFonts w:ascii="Times New Roman" w:eastAsia="Times New Roman" w:hAnsi="Times New Roman" w:cs="Times New Roman"/>
          <w:bCs/>
        </w:rPr>
        <w:t>A NATO egységes üzemanyag koncepciója. (</w:t>
      </w:r>
      <w:r w:rsidRPr="00AC0966">
        <w:rPr>
          <w:rFonts w:ascii="Times New Roman" w:eastAsia="Times New Roman" w:hAnsi="Times New Roman" w:cs="Times New Roman"/>
          <w:bCs/>
          <w:i/>
        </w:rPr>
        <w:t>NATO Single Fuel Concept</w:t>
      </w:r>
      <w:r w:rsidRPr="00AC0966">
        <w:rPr>
          <w:rFonts w:ascii="Times New Roman" w:eastAsia="Times New Roman" w:hAnsi="Times New Roman" w:cs="Times New Roman"/>
          <w:bCs/>
        </w:rPr>
        <w:t>.)</w:t>
      </w:r>
    </w:p>
    <w:p w:rsidR="00AC0966" w:rsidRPr="00AC0966" w:rsidRDefault="00AC0966" w:rsidP="00980876">
      <w:pPr>
        <w:widowControl w:val="0"/>
        <w:numPr>
          <w:ilvl w:val="1"/>
          <w:numId w:val="644"/>
        </w:numPr>
        <w:tabs>
          <w:tab w:val="clear" w:pos="3977"/>
          <w:tab w:val="num" w:pos="2069"/>
        </w:tabs>
        <w:spacing w:before="120" w:after="120" w:line="240" w:lineRule="auto"/>
        <w:ind w:left="1134" w:hanging="708"/>
        <w:jc w:val="both"/>
        <w:rPr>
          <w:rFonts w:ascii="Times New Roman" w:eastAsia="Times New Roman" w:hAnsi="Times New Roman" w:cs="Times New Roman"/>
          <w:b/>
        </w:rPr>
      </w:pPr>
      <w:r w:rsidRPr="00AC0966">
        <w:rPr>
          <w:rFonts w:ascii="Times New Roman" w:eastAsia="Times New Roman" w:hAnsi="Times New Roman" w:cs="Times New Roman"/>
          <w:bCs/>
        </w:rPr>
        <w:t>A Magyar Honvédségnél használatos üzemanyagok csoportosítása. (</w:t>
      </w:r>
      <w:r w:rsidRPr="00AC0966">
        <w:rPr>
          <w:rFonts w:ascii="Times New Roman" w:eastAsia="Times New Roman" w:hAnsi="Times New Roman" w:cs="Times New Roman"/>
          <w:bCs/>
          <w:i/>
        </w:rPr>
        <w:t>Grouping of fuel used by the Hungarian Defence Forces.</w:t>
      </w:r>
      <w:r w:rsidRPr="00AC0966">
        <w:rPr>
          <w:rFonts w:ascii="Times New Roman" w:eastAsia="Times New Roman" w:hAnsi="Times New Roman" w:cs="Times New Roman"/>
          <w:bCs/>
        </w:rPr>
        <w:t>)</w:t>
      </w:r>
    </w:p>
    <w:p w:rsidR="00AC0966" w:rsidRPr="00AC0966" w:rsidRDefault="00AC0966" w:rsidP="00980876">
      <w:pPr>
        <w:widowControl w:val="0"/>
        <w:numPr>
          <w:ilvl w:val="1"/>
          <w:numId w:val="644"/>
        </w:numPr>
        <w:tabs>
          <w:tab w:val="clear" w:pos="3977"/>
          <w:tab w:val="num" w:pos="2069"/>
        </w:tabs>
        <w:spacing w:before="120" w:after="120" w:line="240" w:lineRule="auto"/>
        <w:ind w:left="1134" w:hanging="708"/>
        <w:jc w:val="both"/>
        <w:rPr>
          <w:rFonts w:ascii="Times New Roman" w:eastAsia="Times New Roman" w:hAnsi="Times New Roman" w:cs="Times New Roman"/>
          <w:b/>
        </w:rPr>
      </w:pPr>
      <w:r w:rsidRPr="00AC0966">
        <w:rPr>
          <w:rFonts w:ascii="Times New Roman" w:eastAsia="Times New Roman" w:hAnsi="Times New Roman" w:cs="Times New Roman"/>
          <w:bCs/>
        </w:rPr>
        <w:t>Üzemanyagok szerkezete, kémiai és fizikai jellemzői. (</w:t>
      </w:r>
      <w:r w:rsidRPr="00AC0966">
        <w:rPr>
          <w:rFonts w:ascii="Times New Roman" w:eastAsia="Times New Roman" w:hAnsi="Times New Roman" w:cs="Times New Roman"/>
          <w:bCs/>
          <w:i/>
        </w:rPr>
        <w:t>Composition, physico-chemical properties of petrol.</w:t>
      </w:r>
      <w:r w:rsidRPr="00AC0966">
        <w:rPr>
          <w:rFonts w:ascii="Times New Roman" w:eastAsia="Times New Roman" w:hAnsi="Times New Roman" w:cs="Times New Roman"/>
          <w:bCs/>
        </w:rPr>
        <w:t xml:space="preserve">) </w:t>
      </w:r>
    </w:p>
    <w:p w:rsidR="00AC0966" w:rsidRPr="00AC0966" w:rsidRDefault="00AC0966" w:rsidP="00980876">
      <w:pPr>
        <w:widowControl w:val="0"/>
        <w:numPr>
          <w:ilvl w:val="1"/>
          <w:numId w:val="644"/>
        </w:numPr>
        <w:tabs>
          <w:tab w:val="clear" w:pos="3977"/>
          <w:tab w:val="num" w:pos="2069"/>
        </w:tabs>
        <w:spacing w:before="120" w:after="120" w:line="240" w:lineRule="auto"/>
        <w:ind w:left="1134" w:hanging="708"/>
        <w:jc w:val="both"/>
        <w:rPr>
          <w:rFonts w:ascii="Times New Roman" w:eastAsia="Times New Roman" w:hAnsi="Times New Roman" w:cs="Times New Roman"/>
          <w:b/>
        </w:rPr>
      </w:pPr>
      <w:bookmarkStart w:id="64" w:name="_Hlk35175857"/>
      <w:r w:rsidRPr="00AC0966">
        <w:rPr>
          <w:rFonts w:ascii="Times New Roman" w:eastAsia="Times New Roman" w:hAnsi="Times New Roman" w:cs="Times New Roman"/>
          <w:bCs/>
        </w:rPr>
        <w:t>Kenőanyagok szerkezete, kémiai jellemzői. (</w:t>
      </w:r>
      <w:r w:rsidRPr="00AC0966">
        <w:rPr>
          <w:rFonts w:ascii="Times New Roman" w:eastAsia="Times New Roman" w:hAnsi="Times New Roman" w:cs="Times New Roman"/>
          <w:bCs/>
          <w:i/>
        </w:rPr>
        <w:t>Composition and chemical properties of oil, lubricants</w:t>
      </w:r>
      <w:bookmarkEnd w:id="64"/>
      <w:r w:rsidRPr="00AC0966">
        <w:rPr>
          <w:rFonts w:ascii="Times New Roman" w:eastAsia="Times New Roman" w:hAnsi="Times New Roman" w:cs="Times New Roman"/>
          <w:bCs/>
          <w:i/>
        </w:rPr>
        <w:t>.</w:t>
      </w:r>
      <w:r w:rsidRPr="00AC0966">
        <w:rPr>
          <w:rFonts w:ascii="Times New Roman" w:eastAsia="Times New Roman" w:hAnsi="Times New Roman" w:cs="Times New Roman"/>
          <w:bCs/>
        </w:rPr>
        <w:t>)</w:t>
      </w:r>
    </w:p>
    <w:p w:rsidR="00AC0966" w:rsidRPr="00AC0966" w:rsidRDefault="00AC0966" w:rsidP="00980876">
      <w:pPr>
        <w:widowControl w:val="0"/>
        <w:numPr>
          <w:ilvl w:val="1"/>
          <w:numId w:val="644"/>
        </w:numPr>
        <w:tabs>
          <w:tab w:val="clear" w:pos="3977"/>
          <w:tab w:val="num" w:pos="2069"/>
        </w:tabs>
        <w:spacing w:before="120" w:after="120" w:line="240" w:lineRule="auto"/>
        <w:ind w:left="1134" w:hanging="708"/>
        <w:jc w:val="both"/>
        <w:rPr>
          <w:rFonts w:ascii="Times New Roman" w:eastAsia="Times New Roman" w:hAnsi="Times New Roman" w:cs="Times New Roman"/>
          <w:bCs/>
        </w:rPr>
      </w:pPr>
      <w:r w:rsidRPr="00AC0966">
        <w:rPr>
          <w:rFonts w:ascii="Times New Roman" w:eastAsia="Times New Roman" w:hAnsi="Times New Roman" w:cs="Times New Roman"/>
          <w:bCs/>
        </w:rPr>
        <w:t>Kenőanyagok szerkezete, fizikai jellemzői. (</w:t>
      </w:r>
      <w:r w:rsidRPr="00AC0966">
        <w:rPr>
          <w:rFonts w:ascii="Times New Roman" w:eastAsia="Times New Roman" w:hAnsi="Times New Roman" w:cs="Times New Roman"/>
          <w:bCs/>
          <w:i/>
          <w:iCs/>
        </w:rPr>
        <w:t>Composition and physical properties of oil, lubricants</w:t>
      </w:r>
      <w:r w:rsidRPr="00AC0966">
        <w:rPr>
          <w:rFonts w:ascii="Times New Roman" w:eastAsia="Times New Roman" w:hAnsi="Times New Roman" w:cs="Times New Roman"/>
          <w:bCs/>
        </w:rPr>
        <w:t>.)</w:t>
      </w:r>
    </w:p>
    <w:p w:rsidR="00AC0966" w:rsidRPr="00AC0966" w:rsidRDefault="00AC0966" w:rsidP="00980876">
      <w:pPr>
        <w:widowControl w:val="0"/>
        <w:numPr>
          <w:ilvl w:val="1"/>
          <w:numId w:val="644"/>
        </w:numPr>
        <w:tabs>
          <w:tab w:val="clear" w:pos="3977"/>
          <w:tab w:val="num" w:pos="2069"/>
        </w:tabs>
        <w:spacing w:before="120" w:after="120" w:line="240" w:lineRule="auto"/>
        <w:ind w:left="1134" w:hanging="708"/>
        <w:jc w:val="both"/>
        <w:rPr>
          <w:rFonts w:ascii="Times New Roman" w:eastAsia="Times New Roman" w:hAnsi="Times New Roman" w:cs="Times New Roman"/>
          <w:b/>
        </w:rPr>
      </w:pPr>
      <w:r w:rsidRPr="00AC0966">
        <w:rPr>
          <w:rFonts w:ascii="Times New Roman" w:eastAsia="Times New Roman" w:hAnsi="Times New Roman" w:cs="Times New Roman"/>
          <w:bCs/>
        </w:rPr>
        <w:t>Üzemanyagok felhasználásának módszerei. (</w:t>
      </w:r>
      <w:r w:rsidRPr="00AC0966">
        <w:rPr>
          <w:rFonts w:ascii="Times New Roman" w:eastAsia="Times New Roman" w:hAnsi="Times New Roman" w:cs="Times New Roman"/>
          <w:bCs/>
          <w:i/>
        </w:rPr>
        <w:t>The way of application of petrol</w:t>
      </w:r>
      <w:r w:rsidRPr="00AC0966">
        <w:rPr>
          <w:rFonts w:ascii="Times New Roman" w:eastAsia="Times New Roman" w:hAnsi="Times New Roman" w:cs="Times New Roman"/>
          <w:bCs/>
        </w:rPr>
        <w:t>.)</w:t>
      </w:r>
    </w:p>
    <w:p w:rsidR="00AC0966" w:rsidRPr="00AC0966" w:rsidRDefault="00AC0966" w:rsidP="00980876">
      <w:pPr>
        <w:widowControl w:val="0"/>
        <w:numPr>
          <w:ilvl w:val="1"/>
          <w:numId w:val="644"/>
        </w:numPr>
        <w:tabs>
          <w:tab w:val="clear" w:pos="3977"/>
          <w:tab w:val="num" w:pos="2069"/>
        </w:tabs>
        <w:spacing w:before="120" w:after="120" w:line="240" w:lineRule="auto"/>
        <w:ind w:left="1134" w:hanging="708"/>
        <w:jc w:val="both"/>
        <w:rPr>
          <w:rFonts w:ascii="Times New Roman" w:eastAsia="Times New Roman" w:hAnsi="Times New Roman" w:cs="Times New Roman"/>
          <w:b/>
        </w:rPr>
      </w:pPr>
      <w:r w:rsidRPr="00AC0966">
        <w:rPr>
          <w:rFonts w:ascii="Times New Roman" w:eastAsia="Times New Roman" w:hAnsi="Times New Roman" w:cs="Times New Roman"/>
          <w:bCs/>
        </w:rPr>
        <w:t>Kenőanyagok felhasználásának módszerei. (</w:t>
      </w:r>
      <w:r w:rsidRPr="00AC0966">
        <w:rPr>
          <w:rFonts w:ascii="Times New Roman" w:eastAsia="Times New Roman" w:hAnsi="Times New Roman" w:cs="Times New Roman"/>
          <w:bCs/>
          <w:i/>
        </w:rPr>
        <w:t>The way of application of oil, lubricants</w:t>
      </w:r>
      <w:r w:rsidRPr="00AC0966">
        <w:rPr>
          <w:rFonts w:ascii="Times New Roman" w:eastAsia="Times New Roman" w:hAnsi="Times New Roman" w:cs="Times New Roman"/>
          <w:bCs/>
        </w:rPr>
        <w:t>.)</w:t>
      </w:r>
    </w:p>
    <w:p w:rsidR="00AC0966" w:rsidRPr="00AC0966" w:rsidRDefault="00AC0966" w:rsidP="00980876">
      <w:pPr>
        <w:widowControl w:val="0"/>
        <w:numPr>
          <w:ilvl w:val="1"/>
          <w:numId w:val="644"/>
        </w:numPr>
        <w:tabs>
          <w:tab w:val="clear" w:pos="3977"/>
          <w:tab w:val="num" w:pos="2069"/>
        </w:tabs>
        <w:spacing w:before="120" w:after="120" w:line="240" w:lineRule="auto"/>
        <w:ind w:left="1134" w:hanging="708"/>
        <w:jc w:val="both"/>
        <w:rPr>
          <w:rFonts w:ascii="Times New Roman" w:eastAsia="Times New Roman" w:hAnsi="Times New Roman" w:cs="Times New Roman"/>
          <w:b/>
        </w:rPr>
      </w:pPr>
      <w:r w:rsidRPr="00AC0966">
        <w:rPr>
          <w:rFonts w:ascii="Times New Roman" w:eastAsia="Times New Roman" w:hAnsi="Times New Roman" w:cs="Times New Roman"/>
          <w:bCs/>
        </w:rPr>
        <w:t>Kőolajbázisú karbantartóanyagok. (</w:t>
      </w:r>
      <w:r w:rsidRPr="00AC0966">
        <w:rPr>
          <w:rFonts w:ascii="Times New Roman" w:eastAsia="Times New Roman" w:hAnsi="Times New Roman" w:cs="Times New Roman"/>
          <w:bCs/>
          <w:i/>
        </w:rPr>
        <w:t>Oil based maintenance materials</w:t>
      </w:r>
      <w:r w:rsidRPr="00AC0966">
        <w:rPr>
          <w:rFonts w:ascii="Times New Roman" w:eastAsia="Times New Roman" w:hAnsi="Times New Roman" w:cs="Times New Roman"/>
          <w:bCs/>
        </w:rPr>
        <w:t>.)</w:t>
      </w:r>
    </w:p>
    <w:p w:rsidR="00AC0966" w:rsidRPr="00AC0966" w:rsidRDefault="00AC0966" w:rsidP="00980876">
      <w:pPr>
        <w:widowControl w:val="0"/>
        <w:numPr>
          <w:ilvl w:val="1"/>
          <w:numId w:val="644"/>
        </w:numPr>
        <w:tabs>
          <w:tab w:val="clear" w:pos="3977"/>
          <w:tab w:val="num" w:pos="2069"/>
        </w:tabs>
        <w:spacing w:before="120" w:after="120" w:line="240" w:lineRule="auto"/>
        <w:ind w:left="1134" w:hanging="708"/>
        <w:jc w:val="both"/>
        <w:rPr>
          <w:rFonts w:ascii="Times New Roman" w:eastAsia="Times New Roman" w:hAnsi="Times New Roman" w:cs="Times New Roman"/>
          <w:b/>
        </w:rPr>
      </w:pPr>
      <w:r w:rsidRPr="00AC0966">
        <w:rPr>
          <w:rFonts w:ascii="Times New Roman" w:eastAsia="Times New Roman" w:hAnsi="Times New Roman" w:cs="Times New Roman"/>
        </w:rPr>
        <w:t xml:space="preserve"> Kenőanyagok és tribológia. (</w:t>
      </w:r>
      <w:r w:rsidRPr="00AC0966">
        <w:rPr>
          <w:rFonts w:ascii="Times New Roman" w:eastAsia="Times New Roman" w:hAnsi="Times New Roman" w:cs="Times New Roman"/>
          <w:bCs/>
          <w:i/>
        </w:rPr>
        <w:t>Lubricants and tribology</w:t>
      </w:r>
      <w:r w:rsidRPr="00AC0966">
        <w:rPr>
          <w:rFonts w:ascii="Times New Roman" w:eastAsia="Times New Roman" w:hAnsi="Times New Roman" w:cs="Times New Roman"/>
          <w:bCs/>
        </w:rPr>
        <w:t>.</w:t>
      </w:r>
      <w:r w:rsidRPr="00AC0966">
        <w:rPr>
          <w:rFonts w:ascii="Times New Roman" w:eastAsia="Times New Roman" w:hAnsi="Times New Roman" w:cs="Times New Roman"/>
        </w:rPr>
        <w:t>)</w:t>
      </w:r>
    </w:p>
    <w:p w:rsidR="00AC0966" w:rsidRPr="00AC0966" w:rsidRDefault="00AC0966" w:rsidP="00980876">
      <w:pPr>
        <w:widowControl w:val="0"/>
        <w:numPr>
          <w:ilvl w:val="0"/>
          <w:numId w:val="644"/>
        </w:numPr>
        <w:tabs>
          <w:tab w:val="num" w:pos="360"/>
        </w:tabs>
        <w:spacing w:before="120" w:after="120" w:line="240" w:lineRule="auto"/>
        <w:ind w:left="426" w:hanging="142"/>
        <w:jc w:val="both"/>
        <w:rPr>
          <w:rFonts w:ascii="Times New Roman" w:eastAsia="Times New Roman" w:hAnsi="Times New Roman" w:cs="Times New Roman"/>
          <w:bCs/>
        </w:rPr>
      </w:pPr>
      <w:r w:rsidRPr="00AC0966">
        <w:rPr>
          <w:rFonts w:ascii="Times New Roman" w:eastAsia="Times New Roman" w:hAnsi="Times New Roman" w:cs="Times New Roman"/>
          <w:b/>
          <w:bCs/>
        </w:rPr>
        <w:t>A tantárgy meghirdetésének gyakorisága/a tantervben történő félévi elhelyezkedése: 6</w:t>
      </w:r>
      <w:r w:rsidRPr="00AC0966">
        <w:rPr>
          <w:rFonts w:ascii="Times New Roman" w:eastAsia="Times New Roman" w:hAnsi="Times New Roman" w:cs="Times New Roman"/>
          <w:bCs/>
        </w:rPr>
        <w:t>. félév</w:t>
      </w:r>
    </w:p>
    <w:p w:rsidR="00AC0966" w:rsidRPr="00AC0966" w:rsidRDefault="00AC0966" w:rsidP="00980876">
      <w:pPr>
        <w:widowControl w:val="0"/>
        <w:numPr>
          <w:ilvl w:val="0"/>
          <w:numId w:val="644"/>
        </w:numPr>
        <w:tabs>
          <w:tab w:val="num" w:pos="360"/>
        </w:tabs>
        <w:spacing w:before="120" w:after="120" w:line="240" w:lineRule="auto"/>
        <w:ind w:left="426" w:hanging="142"/>
        <w:jc w:val="both"/>
        <w:rPr>
          <w:rFonts w:ascii="Times New Roman" w:eastAsia="Times New Roman" w:hAnsi="Times New Roman" w:cs="Times New Roman"/>
          <w:bCs/>
        </w:rPr>
      </w:pPr>
      <w:r w:rsidRPr="00AC0966">
        <w:rPr>
          <w:rFonts w:ascii="Times New Roman" w:eastAsia="Times New Roman" w:hAnsi="Times New Roman" w:cs="Times New Roman"/>
          <w:b/>
          <w:bCs/>
        </w:rPr>
        <w:t>A tanórákon való részvétel követelményei, az elfogadható hiányzások mértéke, a távolmaradás pótlásának lehetősége:</w:t>
      </w:r>
      <w:r w:rsidRPr="00AC0966">
        <w:rPr>
          <w:rFonts w:ascii="Times New Roman" w:eastAsia="Times New Roman" w:hAnsi="Times New Roman" w:cs="Times New Roman"/>
          <w:bCs/>
        </w:rPr>
        <w:t xml:space="preserve"> A hallgatónak a tanórák legalább 70 %-án jelen kell lennie, 30 %-ot meghaladó hiányzás esetén a félév teljesítése nem írható alá. A hallgató köteles az előadás és a gyakorlat anyagát beszerezni, abból önállóan felkészülni. A hiányzás pótolható az oktató által kijelölt témakörben beadott, legalább elégségesre értékelt házidolgozattal.</w:t>
      </w:r>
    </w:p>
    <w:p w:rsidR="00AC0966" w:rsidRPr="00AC0966" w:rsidRDefault="00AC0966" w:rsidP="00980876">
      <w:pPr>
        <w:widowControl w:val="0"/>
        <w:numPr>
          <w:ilvl w:val="0"/>
          <w:numId w:val="644"/>
        </w:numPr>
        <w:spacing w:before="120" w:after="120" w:line="240" w:lineRule="auto"/>
        <w:ind w:left="426" w:hanging="142"/>
        <w:jc w:val="both"/>
        <w:rPr>
          <w:rFonts w:ascii="Times New Roman" w:eastAsia="Times New Roman" w:hAnsi="Times New Roman" w:cs="Times New Roman"/>
          <w:bCs/>
        </w:rPr>
      </w:pPr>
      <w:r w:rsidRPr="00AC0966">
        <w:rPr>
          <w:rFonts w:ascii="Times New Roman" w:eastAsia="Times New Roman" w:hAnsi="Times New Roman" w:cs="Times New Roman"/>
          <w:b/>
        </w:rPr>
        <w:t>Félévközi feladatok, ismeretek ellenőrzésének rendje:</w:t>
      </w:r>
      <w:r w:rsidRPr="00AC0966">
        <w:rPr>
          <w:rFonts w:ascii="Times New Roman" w:eastAsia="Times New Roman" w:hAnsi="Times New Roman" w:cs="Times New Roman"/>
          <w:bCs/>
        </w:rPr>
        <w:t xml:space="preserve"> A félév során a hallgató kettő zárthelyi dolgozatot ír. Zárthelyi dolgozatok a 12.1-12.14 tantárgyrészekből. A zárthelyi dolgozat témáit a kötelező irodalmak anyagából, illetve az előadásokon elhangzott ismeretanyagból kell összeállítani. A zárthelyi dolgozat értékelése ötfokozatú értékelés (a helyes válaszok aránya 0-60% elégtelen; 61-70% elégséges; 71-80% közepes; 81-90% jó; 91-100% jeles osztályzat). Eredménytelen zárthelyi dolgozat kétszer javítható</w:t>
      </w:r>
      <w:r w:rsidRPr="00AC0966">
        <w:rPr>
          <w:rFonts w:ascii="Calibri" w:eastAsia="Calibri" w:hAnsi="Calibri" w:cs="Times New Roman"/>
        </w:rPr>
        <w:t xml:space="preserve"> </w:t>
      </w:r>
      <w:r w:rsidRPr="00AC0966">
        <w:rPr>
          <w:rFonts w:ascii="Times New Roman" w:eastAsia="Times New Roman" w:hAnsi="Times New Roman" w:cs="Times New Roman"/>
          <w:bCs/>
        </w:rPr>
        <w:t>a szorgalmi időszak végéig az oktatóval egyeztetett időpontokban</w:t>
      </w:r>
      <w:r w:rsidRPr="00AC0966">
        <w:rPr>
          <w:rFonts w:ascii="Times New Roman" w:eastAsia="Times New Roman" w:hAnsi="Times New Roman" w:cs="Times New Roman"/>
          <w:b/>
          <w:bCs/>
        </w:rPr>
        <w:t>.</w:t>
      </w:r>
      <w:r w:rsidRPr="00AC0966">
        <w:rPr>
          <w:rFonts w:ascii="Times New Roman" w:eastAsia="Times New Roman" w:hAnsi="Times New Roman" w:cs="Times New Roman"/>
          <w:bCs/>
        </w:rPr>
        <w:t xml:space="preserve"> A dolgozatban teszt és esszé jellegű kérdések egyaránt szerepelnek. </w:t>
      </w:r>
    </w:p>
    <w:p w:rsidR="00AC0966" w:rsidRPr="00AC0966" w:rsidRDefault="00AC0966" w:rsidP="00980876">
      <w:pPr>
        <w:widowControl w:val="0"/>
        <w:numPr>
          <w:ilvl w:val="0"/>
          <w:numId w:val="644"/>
        </w:numPr>
        <w:spacing w:before="120" w:after="120" w:line="240" w:lineRule="auto"/>
        <w:ind w:left="426" w:hanging="142"/>
        <w:jc w:val="both"/>
        <w:rPr>
          <w:rFonts w:ascii="Times New Roman" w:eastAsia="Times New Roman" w:hAnsi="Times New Roman" w:cs="Times New Roman"/>
          <w:b/>
          <w:bCs/>
        </w:rPr>
      </w:pPr>
      <w:r w:rsidRPr="00AC0966">
        <w:rPr>
          <w:rFonts w:ascii="Times New Roman" w:eastAsia="Times New Roman" w:hAnsi="Times New Roman" w:cs="Times New Roman"/>
          <w:b/>
          <w:bCs/>
        </w:rPr>
        <w:t xml:space="preserve">Az értékelés, az aláírás és a kreditek megszerzésének pontos feltételei: </w:t>
      </w:r>
    </w:p>
    <w:p w:rsidR="00AC0966" w:rsidRPr="00AC0966" w:rsidRDefault="00AC0966" w:rsidP="00980876">
      <w:pPr>
        <w:widowControl w:val="0"/>
        <w:numPr>
          <w:ilvl w:val="1"/>
          <w:numId w:val="644"/>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AC0966">
        <w:rPr>
          <w:rFonts w:ascii="Times New Roman" w:eastAsia="Times New Roman" w:hAnsi="Times New Roman" w:cs="Times New Roman"/>
          <w:b/>
        </w:rPr>
        <w:t>Az aláírás megszerzésének feltételei:</w:t>
      </w:r>
      <w:r w:rsidRPr="00AC0966">
        <w:rPr>
          <w:rFonts w:ascii="Times New Roman" w:eastAsia="Times New Roman" w:hAnsi="Times New Roman" w:cs="Times New Roman"/>
        </w:rPr>
        <w:t xml:space="preserve"> </w:t>
      </w:r>
      <w:r w:rsidRPr="00AC0966">
        <w:rPr>
          <w:rFonts w:ascii="Times New Roman" w:eastAsia="Calibri" w:hAnsi="Times New Roman" w:cs="Times New Roman"/>
          <w:bCs/>
        </w:rPr>
        <w:t>Az aláírás megszerzésének feltétele a 14. pontban meghatározott arányú részvétel a foglalkozásokon és a 15. pontban meghatározott félévközi feladatok legalább elégséges teljesítése.</w:t>
      </w:r>
    </w:p>
    <w:p w:rsidR="00AC0966" w:rsidRPr="00AC0966" w:rsidRDefault="00AC0966" w:rsidP="00980876">
      <w:pPr>
        <w:widowControl w:val="0"/>
        <w:numPr>
          <w:ilvl w:val="1"/>
          <w:numId w:val="644"/>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AC0966">
        <w:rPr>
          <w:rFonts w:ascii="Times New Roman" w:eastAsia="Times New Roman" w:hAnsi="Times New Roman" w:cs="Times New Roman"/>
          <w:b/>
        </w:rPr>
        <w:t>Az értékelés:</w:t>
      </w:r>
      <w:r w:rsidRPr="00AC0966">
        <w:rPr>
          <w:rFonts w:ascii="Times New Roman" w:eastAsia="Times New Roman" w:hAnsi="Times New Roman" w:cs="Times New Roman"/>
        </w:rPr>
        <w:t xml:space="preserve"> </w:t>
      </w:r>
      <w:r w:rsidRPr="00AC0966">
        <w:rPr>
          <w:rFonts w:ascii="Times New Roman" w:eastAsia="Calibri" w:hAnsi="Times New Roman" w:cs="Times New Roman"/>
        </w:rPr>
        <w:t>évközi értékelés, ötfokozatú értékelés.</w:t>
      </w:r>
      <w:r w:rsidRPr="00AC0966">
        <w:rPr>
          <w:rFonts w:ascii="Times New Roman" w:eastAsia="Times New Roman" w:hAnsi="Times New Roman" w:cs="Times New Roman"/>
          <w:bCs/>
        </w:rPr>
        <w:t xml:space="preserve"> </w:t>
      </w:r>
      <w:r w:rsidRPr="00AC0966">
        <w:rPr>
          <w:rFonts w:ascii="Times New Roman" w:eastAsia="Calibri" w:hAnsi="Times New Roman" w:cs="Times New Roman"/>
          <w:bCs/>
        </w:rPr>
        <w:t>Az évközi értékelést az elért eredmények kerekített matematikai átlaga képezi.</w:t>
      </w:r>
    </w:p>
    <w:p w:rsidR="00AC0966" w:rsidRPr="00AC0966" w:rsidRDefault="00AC0966" w:rsidP="00980876">
      <w:pPr>
        <w:widowControl w:val="0"/>
        <w:numPr>
          <w:ilvl w:val="1"/>
          <w:numId w:val="644"/>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AC0966">
        <w:rPr>
          <w:rFonts w:ascii="Times New Roman" w:eastAsia="Times New Roman" w:hAnsi="Times New Roman" w:cs="Times New Roman"/>
          <w:b/>
        </w:rPr>
        <w:t>A kreditek megszerzésének feltételei:</w:t>
      </w:r>
      <w:r w:rsidRPr="00AC0966">
        <w:rPr>
          <w:rFonts w:ascii="Times New Roman" w:eastAsia="Times New Roman" w:hAnsi="Times New Roman" w:cs="Times New Roman"/>
        </w:rPr>
        <w:t xml:space="preserve"> az aláírás megszerzése és legalább elégséges</w:t>
      </w:r>
      <w:r w:rsidRPr="00AC0966">
        <w:rPr>
          <w:rFonts w:ascii="Times New Roman" w:eastAsia="Times New Roman" w:hAnsi="Times New Roman" w:cs="Times New Roman"/>
          <w:b/>
        </w:rPr>
        <w:t xml:space="preserve"> </w:t>
      </w:r>
      <w:r w:rsidRPr="00AC0966">
        <w:rPr>
          <w:rFonts w:ascii="Times New Roman" w:eastAsia="Times New Roman" w:hAnsi="Times New Roman" w:cs="Times New Roman"/>
        </w:rPr>
        <w:t>évközi értékelés</w:t>
      </w:r>
      <w:r w:rsidRPr="00AC0966">
        <w:rPr>
          <w:rFonts w:ascii="Times New Roman" w:eastAsia="Times New Roman" w:hAnsi="Times New Roman" w:cs="Times New Roman"/>
          <w:bCs/>
        </w:rPr>
        <w:t>.</w:t>
      </w:r>
    </w:p>
    <w:p w:rsidR="00AC0966" w:rsidRPr="00AC0966" w:rsidRDefault="00AC0966" w:rsidP="00980876">
      <w:pPr>
        <w:widowControl w:val="0"/>
        <w:numPr>
          <w:ilvl w:val="0"/>
          <w:numId w:val="644"/>
        </w:numPr>
        <w:tabs>
          <w:tab w:val="num" w:pos="360"/>
        </w:tabs>
        <w:spacing w:before="120" w:after="120" w:line="240" w:lineRule="auto"/>
        <w:ind w:left="426" w:hanging="142"/>
        <w:jc w:val="both"/>
        <w:rPr>
          <w:rFonts w:ascii="Times New Roman" w:eastAsia="Times New Roman" w:hAnsi="Times New Roman" w:cs="Times New Roman"/>
          <w:bCs/>
        </w:rPr>
      </w:pPr>
      <w:r w:rsidRPr="00AC0966">
        <w:rPr>
          <w:rFonts w:ascii="Times New Roman" w:eastAsia="Times New Roman" w:hAnsi="Times New Roman" w:cs="Times New Roman"/>
          <w:b/>
          <w:bCs/>
        </w:rPr>
        <w:t>Irodalomjegyzék:</w:t>
      </w:r>
    </w:p>
    <w:p w:rsidR="00AC0966" w:rsidRPr="00AC0966" w:rsidRDefault="00AC0966" w:rsidP="00980876">
      <w:pPr>
        <w:widowControl w:val="0"/>
        <w:numPr>
          <w:ilvl w:val="1"/>
          <w:numId w:val="644"/>
        </w:numPr>
        <w:tabs>
          <w:tab w:val="clear" w:pos="3977"/>
          <w:tab w:val="left" w:pos="567"/>
          <w:tab w:val="num" w:pos="716"/>
          <w:tab w:val="left" w:pos="851"/>
          <w:tab w:val="num" w:pos="2069"/>
        </w:tabs>
        <w:spacing w:before="120" w:after="120" w:line="240" w:lineRule="auto"/>
        <w:ind w:left="426" w:hanging="142"/>
        <w:jc w:val="both"/>
        <w:rPr>
          <w:rFonts w:ascii="Times New Roman" w:eastAsia="Times New Roman" w:hAnsi="Times New Roman" w:cs="Times New Roman"/>
          <w:b/>
          <w:bCs/>
        </w:rPr>
      </w:pPr>
      <w:r w:rsidRPr="00AC0966">
        <w:rPr>
          <w:rFonts w:ascii="Times New Roman" w:eastAsia="Times New Roman" w:hAnsi="Times New Roman" w:cs="Times New Roman"/>
          <w:b/>
          <w:bCs/>
        </w:rPr>
        <w:t>Kötelező irodalom:</w:t>
      </w:r>
      <w:r w:rsidRPr="00AC0966">
        <w:rPr>
          <w:rFonts w:ascii="Times New Roman" w:eastAsia="Times New Roman" w:hAnsi="Times New Roman" w:cs="Times New Roman"/>
          <w:lang w:eastAsia="hu-HU"/>
        </w:rPr>
        <w:t xml:space="preserve"> </w:t>
      </w:r>
    </w:p>
    <w:p w:rsidR="00AC0966" w:rsidRPr="00AC0966" w:rsidRDefault="00AC0966" w:rsidP="00980876">
      <w:pPr>
        <w:widowControl w:val="0"/>
        <w:numPr>
          <w:ilvl w:val="0"/>
          <w:numId w:val="642"/>
        </w:numPr>
        <w:spacing w:before="120" w:after="120" w:line="240" w:lineRule="auto"/>
        <w:ind w:left="709" w:hanging="283"/>
        <w:contextualSpacing/>
        <w:jc w:val="both"/>
        <w:rPr>
          <w:rFonts w:ascii="Times New Roman" w:eastAsia="Times New Roman" w:hAnsi="Times New Roman" w:cs="Times New Roman"/>
          <w:bCs/>
        </w:rPr>
      </w:pPr>
      <w:r w:rsidRPr="00AC0966">
        <w:rPr>
          <w:rFonts w:ascii="Times New Roman" w:eastAsia="Times New Roman" w:hAnsi="Times New Roman" w:cs="Times New Roman"/>
          <w:bCs/>
        </w:rPr>
        <w:t>Nagy Anikó: Anyagismeret és gyártástechnológia (Főiskolai jegyzet, 2001.)</w:t>
      </w:r>
    </w:p>
    <w:p w:rsidR="00AC0966" w:rsidRPr="00AC0966" w:rsidRDefault="00AC0966" w:rsidP="00980876">
      <w:pPr>
        <w:widowControl w:val="0"/>
        <w:numPr>
          <w:ilvl w:val="0"/>
          <w:numId w:val="642"/>
        </w:numPr>
        <w:spacing w:before="120" w:after="120" w:line="240" w:lineRule="auto"/>
        <w:ind w:left="709" w:hanging="283"/>
        <w:contextualSpacing/>
        <w:jc w:val="both"/>
        <w:rPr>
          <w:rFonts w:ascii="Times New Roman" w:eastAsia="Times New Roman" w:hAnsi="Times New Roman" w:cs="Times New Roman"/>
          <w:bCs/>
        </w:rPr>
      </w:pPr>
      <w:r w:rsidRPr="00AC0966">
        <w:rPr>
          <w:rFonts w:ascii="Times New Roman" w:eastAsia="Times New Roman" w:hAnsi="Times New Roman" w:cs="Times New Roman"/>
          <w:bCs/>
        </w:rPr>
        <w:t xml:space="preserve">Baranyiné C Veres Anna: Anyag és gyártásismeret. (Műszaki könyvkiadó, Budapest, 2003.) </w:t>
      </w:r>
      <w:r w:rsidRPr="00AC0966">
        <w:rPr>
          <w:rFonts w:ascii="Times New Roman" w:eastAsia="Times New Roman" w:hAnsi="Times New Roman" w:cs="Times New Roman"/>
          <w:bCs/>
        </w:rPr>
        <w:lastRenderedPageBreak/>
        <w:t>ISBN: 9789631619713</w:t>
      </w:r>
    </w:p>
    <w:p w:rsidR="00AC0966" w:rsidRPr="00AC0966" w:rsidRDefault="00AC0966" w:rsidP="00980876">
      <w:pPr>
        <w:widowControl w:val="0"/>
        <w:numPr>
          <w:ilvl w:val="0"/>
          <w:numId w:val="642"/>
        </w:numPr>
        <w:spacing w:before="120" w:after="120" w:line="240" w:lineRule="auto"/>
        <w:ind w:left="709" w:hanging="283"/>
        <w:contextualSpacing/>
        <w:jc w:val="both"/>
        <w:rPr>
          <w:rFonts w:ascii="Times New Roman" w:eastAsia="Times New Roman" w:hAnsi="Times New Roman" w:cs="Times New Roman"/>
          <w:bCs/>
        </w:rPr>
      </w:pPr>
      <w:r w:rsidRPr="00AC0966">
        <w:rPr>
          <w:rFonts w:ascii="Times New Roman" w:eastAsia="Times New Roman" w:hAnsi="Times New Roman" w:cs="Times New Roman"/>
          <w:bCs/>
        </w:rPr>
        <w:t>Dr. Gáti József, Dr. Kovács Mihály: Anyag- és gyártásismeret. (Műszaki könyvkiadó, Budapest, 1999.) ISBN: 9789631618420</w:t>
      </w:r>
    </w:p>
    <w:p w:rsidR="00AC0966" w:rsidRPr="00AC0966" w:rsidRDefault="00AC0966" w:rsidP="00AC0966">
      <w:pPr>
        <w:widowControl w:val="0"/>
        <w:spacing w:before="120" w:after="120" w:line="240" w:lineRule="auto"/>
        <w:ind w:left="709"/>
        <w:contextualSpacing/>
        <w:jc w:val="both"/>
        <w:rPr>
          <w:rFonts w:ascii="Times New Roman" w:eastAsia="Times New Roman" w:hAnsi="Times New Roman" w:cs="Times New Roman"/>
          <w:bCs/>
        </w:rPr>
      </w:pPr>
    </w:p>
    <w:p w:rsidR="00AC0966" w:rsidRPr="00AC0966" w:rsidRDefault="00AC0966" w:rsidP="00980876">
      <w:pPr>
        <w:widowControl w:val="0"/>
        <w:numPr>
          <w:ilvl w:val="1"/>
          <w:numId w:val="644"/>
        </w:numPr>
        <w:tabs>
          <w:tab w:val="clear" w:pos="3977"/>
          <w:tab w:val="num" w:pos="567"/>
          <w:tab w:val="num" w:pos="716"/>
          <w:tab w:val="num" w:pos="2069"/>
        </w:tabs>
        <w:spacing w:before="120" w:after="120" w:line="240" w:lineRule="auto"/>
        <w:ind w:left="993" w:hanging="709"/>
        <w:jc w:val="both"/>
        <w:rPr>
          <w:rFonts w:ascii="Times New Roman" w:eastAsia="Times New Roman" w:hAnsi="Times New Roman" w:cs="Times New Roman"/>
          <w:b/>
          <w:bCs/>
        </w:rPr>
      </w:pPr>
      <w:r w:rsidRPr="00AC0966">
        <w:rPr>
          <w:rFonts w:ascii="Times New Roman" w:eastAsia="Times New Roman" w:hAnsi="Times New Roman" w:cs="Times New Roman"/>
          <w:b/>
          <w:bCs/>
        </w:rPr>
        <w:t>Ajánlott irodalom:</w:t>
      </w:r>
    </w:p>
    <w:p w:rsidR="00AC0966" w:rsidRPr="00C079AC" w:rsidRDefault="00AC0966" w:rsidP="00980876">
      <w:pPr>
        <w:widowControl w:val="0"/>
        <w:numPr>
          <w:ilvl w:val="0"/>
          <w:numId w:val="643"/>
        </w:numPr>
        <w:spacing w:before="120" w:after="120" w:line="240" w:lineRule="auto"/>
        <w:ind w:left="708"/>
        <w:contextualSpacing/>
        <w:jc w:val="both"/>
        <w:rPr>
          <w:rFonts w:ascii="Times New Roman" w:eastAsia="Times New Roman" w:hAnsi="Times New Roman" w:cs="Times New Roman"/>
          <w:bCs/>
          <w:highlight w:val="yellow"/>
        </w:rPr>
      </w:pPr>
      <w:r w:rsidRPr="00C079AC">
        <w:rPr>
          <w:rFonts w:ascii="Times New Roman" w:eastAsia="Times New Roman" w:hAnsi="Times New Roman" w:cs="Times New Roman"/>
          <w:bCs/>
          <w:highlight w:val="yellow"/>
        </w:rPr>
        <w:t>EVE STANAG 2115 (NATO Defence Policy and Planning International Staff, 2005)</w:t>
      </w:r>
    </w:p>
    <w:p w:rsidR="00AC0966" w:rsidRPr="00C079AC" w:rsidRDefault="00AC0966" w:rsidP="00980876">
      <w:pPr>
        <w:widowControl w:val="0"/>
        <w:numPr>
          <w:ilvl w:val="0"/>
          <w:numId w:val="643"/>
        </w:numPr>
        <w:spacing w:before="120" w:after="120" w:line="240" w:lineRule="auto"/>
        <w:ind w:left="708"/>
        <w:contextualSpacing/>
        <w:jc w:val="both"/>
        <w:rPr>
          <w:rFonts w:ascii="Times New Roman" w:eastAsia="Times New Roman" w:hAnsi="Times New Roman" w:cs="Times New Roman"/>
          <w:bCs/>
          <w:highlight w:val="yellow"/>
        </w:rPr>
      </w:pPr>
      <w:r w:rsidRPr="00C079AC">
        <w:rPr>
          <w:rFonts w:ascii="Times New Roman" w:eastAsia="Times New Roman" w:hAnsi="Times New Roman" w:cs="Times New Roman"/>
          <w:bCs/>
          <w:highlight w:val="yellow"/>
        </w:rPr>
        <w:t>Dr. Gáti József, Dr. Kovács Mihály: Anyag- és gyártásismeret (Műszaki könyvkiadó, Budapest, 1999.) ISBN: 9789631618420</w:t>
      </w:r>
    </w:p>
    <w:p w:rsidR="00AC0966" w:rsidRPr="00AC0966" w:rsidRDefault="00AC0966" w:rsidP="00AC0966">
      <w:pPr>
        <w:widowControl w:val="0"/>
        <w:spacing w:before="120" w:after="120" w:line="240" w:lineRule="auto"/>
        <w:jc w:val="both"/>
        <w:rPr>
          <w:rFonts w:ascii="Times New Roman" w:eastAsia="Times New Roman" w:hAnsi="Times New Roman" w:cs="Times New Roman"/>
          <w:bCs/>
        </w:rPr>
      </w:pPr>
    </w:p>
    <w:p w:rsidR="00AC0966" w:rsidRPr="00AC0966" w:rsidRDefault="00AC0966" w:rsidP="00AC0966">
      <w:pPr>
        <w:widowControl w:val="0"/>
        <w:spacing w:before="120" w:after="120" w:line="240" w:lineRule="auto"/>
        <w:jc w:val="both"/>
        <w:rPr>
          <w:rFonts w:ascii="Times New Roman" w:eastAsia="Times New Roman" w:hAnsi="Times New Roman" w:cs="Times New Roman"/>
          <w:bCs/>
        </w:rPr>
      </w:pPr>
      <w:r w:rsidRPr="00AC0966">
        <w:rPr>
          <w:rFonts w:ascii="Times New Roman" w:eastAsia="Times New Roman" w:hAnsi="Times New Roman" w:cs="Times New Roman"/>
          <w:bCs/>
        </w:rPr>
        <w:t>Budapest, 2020. március 9.</w:t>
      </w:r>
    </w:p>
    <w:p w:rsidR="00AC0966" w:rsidRPr="00AC0966" w:rsidRDefault="00AC0966" w:rsidP="00AC0966">
      <w:pPr>
        <w:widowControl w:val="0"/>
        <w:spacing w:before="120" w:after="120" w:line="240" w:lineRule="auto"/>
        <w:jc w:val="both"/>
        <w:rPr>
          <w:rFonts w:ascii="Times New Roman" w:eastAsia="Times New Roman" w:hAnsi="Times New Roman" w:cs="Times New Roman"/>
          <w:bCs/>
        </w:rPr>
      </w:pPr>
    </w:p>
    <w:p w:rsidR="00AC0966" w:rsidRPr="006B225A" w:rsidRDefault="00AC0966" w:rsidP="00AC0966">
      <w:pPr>
        <w:widowControl w:val="0"/>
        <w:spacing w:after="0" w:line="240" w:lineRule="auto"/>
        <w:jc w:val="right"/>
        <w:rPr>
          <w:rFonts w:ascii="Times New Roman" w:eastAsia="Times New Roman" w:hAnsi="Times New Roman" w:cs="Times New Roman"/>
          <w:b/>
          <w:bCs/>
        </w:rPr>
      </w:pPr>
      <w:r w:rsidRPr="006B225A">
        <w:rPr>
          <w:rFonts w:ascii="Times New Roman" w:eastAsia="Times New Roman" w:hAnsi="Times New Roman" w:cs="Times New Roman"/>
          <w:b/>
          <w:bCs/>
        </w:rPr>
        <w:t>Dr. Hegedűs Ernő PhD</w:t>
      </w:r>
    </w:p>
    <w:p w:rsidR="00AC0966" w:rsidRPr="00AC0966" w:rsidRDefault="00AC0966" w:rsidP="00AC0966">
      <w:pPr>
        <w:widowControl w:val="0"/>
        <w:spacing w:after="0" w:line="240" w:lineRule="auto"/>
        <w:jc w:val="right"/>
        <w:rPr>
          <w:rFonts w:ascii="Times New Roman" w:eastAsia="Times New Roman" w:hAnsi="Times New Roman" w:cs="Times New Roman"/>
          <w:bCs/>
        </w:rPr>
      </w:pPr>
      <w:r w:rsidRPr="00AC0966">
        <w:rPr>
          <w:rFonts w:ascii="Times New Roman" w:eastAsia="Times New Roman" w:hAnsi="Times New Roman" w:cs="Times New Roman"/>
          <w:bCs/>
        </w:rPr>
        <w:t xml:space="preserve">egyetemi tanársegéd </w:t>
      </w:r>
    </w:p>
    <w:p w:rsidR="002A7491" w:rsidRPr="00C00C66" w:rsidRDefault="00E81C30" w:rsidP="002A7491">
      <w:pPr>
        <w:spacing w:before="1920" w:after="200" w:line="276" w:lineRule="auto"/>
        <w:jc w:val="center"/>
        <w:rPr>
          <w:rFonts w:ascii="Times New Roman" w:hAnsi="Times New Roman" w:cs="Times New Roman"/>
          <w:b/>
          <w:sz w:val="24"/>
          <w:u w:val="single"/>
        </w:rPr>
      </w:pPr>
      <w:r w:rsidRPr="00210B7A">
        <w:rPr>
          <w:rFonts w:ascii="Times New Roman" w:hAnsi="Times New Roman" w:cs="Times New Roman"/>
          <w:sz w:val="24"/>
        </w:rPr>
        <w:br w:type="page"/>
      </w:r>
    </w:p>
    <w:tbl>
      <w:tblPr>
        <w:tblW w:w="9072" w:type="dxa"/>
        <w:tblInd w:w="113" w:type="dxa"/>
        <w:tblLook w:val="01E0" w:firstRow="1" w:lastRow="1" w:firstColumn="1" w:lastColumn="1" w:noHBand="0" w:noVBand="0"/>
      </w:tblPr>
      <w:tblGrid>
        <w:gridCol w:w="4855"/>
        <w:gridCol w:w="1620"/>
        <w:gridCol w:w="2597"/>
      </w:tblGrid>
      <w:tr w:rsidR="00C00C66" w:rsidRPr="00C00C66" w:rsidTr="00EE0E7D">
        <w:tc>
          <w:tcPr>
            <w:tcW w:w="4855" w:type="dxa"/>
            <w:tcBorders>
              <w:bottom w:val="single" w:sz="4" w:space="0" w:color="auto"/>
            </w:tcBorders>
          </w:tcPr>
          <w:p w:rsidR="00C00C66" w:rsidRPr="00C00C66" w:rsidRDefault="00C00C66" w:rsidP="00C00C66">
            <w:pPr>
              <w:spacing w:after="0" w:line="240" w:lineRule="auto"/>
              <w:jc w:val="center"/>
              <w:rPr>
                <w:rFonts w:ascii="Times New Roman" w:eastAsia="Times New Roman" w:hAnsi="Times New Roman" w:cs="Times New Roman"/>
                <w:b/>
                <w:smallCaps/>
                <w:lang w:eastAsia="hu-HU"/>
              </w:rPr>
            </w:pPr>
            <w:r w:rsidRPr="00C00C66">
              <w:rPr>
                <w:rFonts w:ascii="Times New Roman" w:eastAsia="Times New Roman" w:hAnsi="Times New Roman" w:cs="Times New Roman"/>
                <w:b/>
                <w:smallCaps/>
                <w:lang w:eastAsia="hu-HU"/>
              </w:rPr>
              <w:lastRenderedPageBreak/>
              <w:t>Nemzeti Közszolgálati Egyetem</w:t>
            </w:r>
          </w:p>
        </w:tc>
        <w:tc>
          <w:tcPr>
            <w:tcW w:w="1620" w:type="dxa"/>
          </w:tcPr>
          <w:p w:rsidR="00C00C66" w:rsidRPr="00C00C66" w:rsidRDefault="00C00C66" w:rsidP="00C00C66">
            <w:pPr>
              <w:spacing w:after="0" w:line="240" w:lineRule="auto"/>
              <w:jc w:val="both"/>
              <w:rPr>
                <w:rFonts w:ascii="Times New Roman" w:eastAsia="Times New Roman" w:hAnsi="Times New Roman" w:cs="Times New Roman"/>
                <w:lang w:eastAsia="hu-HU"/>
              </w:rPr>
            </w:pPr>
          </w:p>
        </w:tc>
        <w:tc>
          <w:tcPr>
            <w:tcW w:w="2597" w:type="dxa"/>
          </w:tcPr>
          <w:p w:rsidR="00C00C66" w:rsidRPr="00C00C66" w:rsidRDefault="00C00C66" w:rsidP="00C00C66">
            <w:pPr>
              <w:spacing w:after="0" w:line="240" w:lineRule="auto"/>
              <w:jc w:val="right"/>
              <w:rPr>
                <w:rFonts w:ascii="Times New Roman" w:eastAsia="Times New Roman" w:hAnsi="Times New Roman" w:cs="Times New Roman"/>
                <w:lang w:eastAsia="hu-HU"/>
              </w:rPr>
            </w:pPr>
          </w:p>
        </w:tc>
      </w:tr>
      <w:tr w:rsidR="00C00C66" w:rsidRPr="00C00C66" w:rsidTr="00EE0E7D">
        <w:tc>
          <w:tcPr>
            <w:tcW w:w="4855" w:type="dxa"/>
            <w:tcBorders>
              <w:top w:val="single" w:sz="4" w:space="0" w:color="auto"/>
            </w:tcBorders>
          </w:tcPr>
          <w:p w:rsidR="00C00C66" w:rsidRPr="00C00C66" w:rsidRDefault="00C00C66" w:rsidP="00C00C66">
            <w:pPr>
              <w:spacing w:after="0" w:line="240" w:lineRule="auto"/>
              <w:jc w:val="center"/>
              <w:rPr>
                <w:rFonts w:ascii="Times New Roman" w:eastAsia="Times New Roman" w:hAnsi="Times New Roman" w:cs="Times New Roman"/>
                <w:b/>
                <w:lang w:eastAsia="hu-HU"/>
              </w:rPr>
            </w:pPr>
            <w:r w:rsidRPr="00C00C66">
              <w:rPr>
                <w:rFonts w:ascii="Times New Roman" w:eastAsia="Times New Roman" w:hAnsi="Times New Roman" w:cs="Times New Roman"/>
                <w:b/>
                <w:lang w:eastAsia="hu-HU"/>
              </w:rPr>
              <w:t>Hadtudományi és Honvédtisztképző Kar</w:t>
            </w:r>
          </w:p>
        </w:tc>
        <w:tc>
          <w:tcPr>
            <w:tcW w:w="1620" w:type="dxa"/>
          </w:tcPr>
          <w:p w:rsidR="00C00C66" w:rsidRPr="00C00C66" w:rsidRDefault="00C00C66" w:rsidP="00C00C66">
            <w:pPr>
              <w:spacing w:after="0" w:line="240" w:lineRule="auto"/>
              <w:jc w:val="both"/>
              <w:rPr>
                <w:rFonts w:ascii="Times New Roman" w:eastAsia="Times New Roman" w:hAnsi="Times New Roman" w:cs="Times New Roman"/>
                <w:lang w:eastAsia="hu-HU"/>
              </w:rPr>
            </w:pPr>
          </w:p>
        </w:tc>
        <w:tc>
          <w:tcPr>
            <w:tcW w:w="2597" w:type="dxa"/>
          </w:tcPr>
          <w:p w:rsidR="00C00C66" w:rsidRPr="00C00C66" w:rsidRDefault="00C00C66" w:rsidP="00C00C66">
            <w:pPr>
              <w:spacing w:after="0" w:line="240" w:lineRule="auto"/>
              <w:jc w:val="both"/>
              <w:rPr>
                <w:rFonts w:ascii="Times New Roman" w:eastAsia="Times New Roman" w:hAnsi="Times New Roman" w:cs="Times New Roman"/>
                <w:lang w:eastAsia="hu-HU"/>
              </w:rPr>
            </w:pPr>
          </w:p>
        </w:tc>
      </w:tr>
    </w:tbl>
    <w:p w:rsidR="00C00C66" w:rsidRPr="00C00C66" w:rsidRDefault="00C00C66" w:rsidP="00C00C66">
      <w:pPr>
        <w:widowControl w:val="0"/>
        <w:spacing w:before="120" w:after="120" w:line="240" w:lineRule="auto"/>
        <w:ind w:left="426" w:hanging="142"/>
        <w:jc w:val="center"/>
        <w:rPr>
          <w:rFonts w:ascii="Times New Roman" w:eastAsia="Times New Roman" w:hAnsi="Times New Roman" w:cs="Times New Roman"/>
          <w:b/>
          <w:bCs/>
        </w:rPr>
      </w:pPr>
    </w:p>
    <w:p w:rsidR="00C00C66" w:rsidRPr="00C00C66" w:rsidRDefault="00C00C66" w:rsidP="00C00C66">
      <w:pPr>
        <w:widowControl w:val="0"/>
        <w:spacing w:before="120" w:after="120" w:line="240" w:lineRule="auto"/>
        <w:ind w:left="426" w:hanging="142"/>
        <w:jc w:val="center"/>
        <w:rPr>
          <w:rFonts w:ascii="Times New Roman" w:eastAsia="Times New Roman" w:hAnsi="Times New Roman" w:cs="Times New Roman"/>
          <w:b/>
          <w:bCs/>
        </w:rPr>
      </w:pPr>
      <w:r w:rsidRPr="00C00C66">
        <w:rPr>
          <w:rFonts w:ascii="Times New Roman" w:eastAsia="Times New Roman" w:hAnsi="Times New Roman" w:cs="Times New Roman"/>
          <w:b/>
          <w:bCs/>
        </w:rPr>
        <w:t>TANTÁRGYI PROGRAM</w:t>
      </w:r>
    </w:p>
    <w:p w:rsidR="00C00C66" w:rsidRPr="00C00C66" w:rsidRDefault="00C00C66" w:rsidP="00980876">
      <w:pPr>
        <w:widowControl w:val="0"/>
        <w:numPr>
          <w:ilvl w:val="0"/>
          <w:numId w:val="646"/>
        </w:numPr>
        <w:tabs>
          <w:tab w:val="num" w:pos="567"/>
        </w:tabs>
        <w:spacing w:before="120" w:after="120" w:line="240" w:lineRule="auto"/>
        <w:ind w:left="426" w:hanging="142"/>
        <w:jc w:val="both"/>
        <w:rPr>
          <w:rFonts w:ascii="Times New Roman" w:eastAsia="Times New Roman" w:hAnsi="Times New Roman" w:cs="Times New Roman"/>
          <w:bCs/>
        </w:rPr>
      </w:pPr>
      <w:r w:rsidRPr="00C00C66">
        <w:rPr>
          <w:rFonts w:ascii="Times New Roman" w:eastAsia="Times New Roman" w:hAnsi="Times New Roman" w:cs="Times New Roman"/>
          <w:b/>
          <w:bCs/>
        </w:rPr>
        <w:t xml:space="preserve">A tantárgy kódja: </w:t>
      </w:r>
      <w:r w:rsidRPr="00C00C66">
        <w:rPr>
          <w:rFonts w:ascii="Times New Roman" w:eastAsia="Times New Roman" w:hAnsi="Times New Roman" w:cs="Times New Roman"/>
          <w:bCs/>
        </w:rPr>
        <w:t>HKHDTA14</w:t>
      </w:r>
    </w:p>
    <w:p w:rsidR="00C00C66" w:rsidRPr="00C00C66" w:rsidRDefault="00C00C66" w:rsidP="00980876">
      <w:pPr>
        <w:widowControl w:val="0"/>
        <w:numPr>
          <w:ilvl w:val="0"/>
          <w:numId w:val="646"/>
        </w:numPr>
        <w:tabs>
          <w:tab w:val="num" w:pos="567"/>
        </w:tabs>
        <w:spacing w:before="120" w:after="120" w:line="240" w:lineRule="auto"/>
        <w:ind w:left="426" w:hanging="142"/>
        <w:jc w:val="both"/>
        <w:rPr>
          <w:rFonts w:ascii="Times New Roman" w:eastAsia="Times New Roman" w:hAnsi="Times New Roman" w:cs="Times New Roman"/>
          <w:b/>
          <w:bCs/>
          <w:lang w:val="en-GB"/>
        </w:rPr>
      </w:pPr>
      <w:r w:rsidRPr="00C00C66">
        <w:rPr>
          <w:rFonts w:ascii="Times New Roman" w:eastAsia="Times New Roman" w:hAnsi="Times New Roman" w:cs="Times New Roman"/>
          <w:b/>
          <w:bCs/>
        </w:rPr>
        <w:t>A tantárgy megnevezése (magyarul):</w:t>
      </w:r>
      <w:r w:rsidRPr="00C00C66">
        <w:rPr>
          <w:rFonts w:ascii="Times New Roman" w:eastAsia="Times New Roman" w:hAnsi="Times New Roman" w:cs="Times New Roman"/>
          <w:bCs/>
        </w:rPr>
        <w:t xml:space="preserve"> </w:t>
      </w:r>
      <w:r w:rsidRPr="00C00C66">
        <w:rPr>
          <w:rFonts w:ascii="Times New Roman" w:eastAsia="Calibri" w:hAnsi="Times New Roman" w:cs="Times New Roman"/>
          <w:bCs/>
        </w:rPr>
        <w:t>Karbantartás és javításszervezés L</w:t>
      </w:r>
    </w:p>
    <w:p w:rsidR="00C00C66" w:rsidRPr="00C00C66" w:rsidRDefault="00C00C66" w:rsidP="00980876">
      <w:pPr>
        <w:widowControl w:val="0"/>
        <w:numPr>
          <w:ilvl w:val="0"/>
          <w:numId w:val="646"/>
        </w:numPr>
        <w:tabs>
          <w:tab w:val="num" w:pos="567"/>
        </w:tabs>
        <w:spacing w:before="120" w:after="120" w:line="240" w:lineRule="auto"/>
        <w:ind w:left="426" w:hanging="142"/>
        <w:jc w:val="both"/>
        <w:rPr>
          <w:rFonts w:ascii="Times New Roman" w:eastAsia="Times New Roman" w:hAnsi="Times New Roman" w:cs="Times New Roman"/>
          <w:b/>
          <w:bCs/>
          <w:lang w:val="en-GB"/>
        </w:rPr>
      </w:pPr>
      <w:r w:rsidRPr="00C00C66">
        <w:rPr>
          <w:rFonts w:ascii="Times New Roman" w:eastAsia="Times New Roman" w:hAnsi="Times New Roman" w:cs="Times New Roman"/>
          <w:b/>
          <w:bCs/>
        </w:rPr>
        <w:t xml:space="preserve">A tantárgy megnevezése (angolul): </w:t>
      </w:r>
      <w:r w:rsidRPr="00C00C66">
        <w:rPr>
          <w:rFonts w:ascii="Times New Roman" w:eastAsia="Calibri" w:hAnsi="Times New Roman" w:cs="Times New Roman"/>
          <w:bCs/>
        </w:rPr>
        <w:t>Maintance and repair management L</w:t>
      </w:r>
    </w:p>
    <w:p w:rsidR="00C00C66" w:rsidRPr="00C00C66" w:rsidRDefault="00C00C66" w:rsidP="00980876">
      <w:pPr>
        <w:widowControl w:val="0"/>
        <w:numPr>
          <w:ilvl w:val="0"/>
          <w:numId w:val="646"/>
        </w:numPr>
        <w:tabs>
          <w:tab w:val="num" w:pos="567"/>
        </w:tabs>
        <w:spacing w:before="120" w:after="120" w:line="240" w:lineRule="auto"/>
        <w:ind w:left="426" w:hanging="142"/>
        <w:jc w:val="both"/>
        <w:rPr>
          <w:rFonts w:ascii="Times New Roman" w:eastAsia="Times New Roman" w:hAnsi="Times New Roman" w:cs="Times New Roman"/>
          <w:b/>
          <w:bCs/>
        </w:rPr>
      </w:pPr>
      <w:r w:rsidRPr="00C00C66">
        <w:rPr>
          <w:rFonts w:ascii="Times New Roman" w:eastAsia="Times New Roman" w:hAnsi="Times New Roman" w:cs="Times New Roman"/>
          <w:b/>
          <w:bCs/>
        </w:rPr>
        <w:t xml:space="preserve">Kreditérték és képzési karakter: </w:t>
      </w:r>
    </w:p>
    <w:p w:rsidR="00C00C66" w:rsidRPr="00C00C66" w:rsidRDefault="00C00C66" w:rsidP="00980876">
      <w:pPr>
        <w:widowControl w:val="0"/>
        <w:numPr>
          <w:ilvl w:val="1"/>
          <w:numId w:val="646"/>
        </w:numPr>
        <w:tabs>
          <w:tab w:val="clear" w:pos="3977"/>
          <w:tab w:val="num" w:pos="709"/>
          <w:tab w:val="num" w:pos="1142"/>
          <w:tab w:val="num" w:pos="2069"/>
        </w:tabs>
        <w:spacing w:before="120" w:after="120" w:line="240" w:lineRule="auto"/>
        <w:ind w:left="851" w:hanging="425"/>
        <w:jc w:val="both"/>
        <w:rPr>
          <w:rFonts w:ascii="Times New Roman" w:eastAsia="Times New Roman" w:hAnsi="Times New Roman" w:cs="Times New Roman"/>
          <w:bCs/>
        </w:rPr>
      </w:pPr>
      <w:r w:rsidRPr="00C00C66">
        <w:rPr>
          <w:rFonts w:ascii="Times New Roman" w:eastAsia="Times New Roman" w:hAnsi="Times New Roman" w:cs="Times New Roman"/>
          <w:bCs/>
        </w:rPr>
        <w:t>4 kredit</w:t>
      </w:r>
    </w:p>
    <w:p w:rsidR="00C00C66" w:rsidRPr="00C00C66" w:rsidRDefault="00C00C66" w:rsidP="00980876">
      <w:pPr>
        <w:widowControl w:val="0"/>
        <w:numPr>
          <w:ilvl w:val="1"/>
          <w:numId w:val="646"/>
        </w:numPr>
        <w:tabs>
          <w:tab w:val="clear" w:pos="3977"/>
          <w:tab w:val="num" w:pos="709"/>
          <w:tab w:val="num" w:pos="1142"/>
          <w:tab w:val="num" w:pos="2069"/>
        </w:tabs>
        <w:spacing w:before="120" w:after="120" w:line="240" w:lineRule="auto"/>
        <w:ind w:left="851" w:hanging="425"/>
        <w:jc w:val="both"/>
        <w:rPr>
          <w:rFonts w:ascii="Times New Roman" w:eastAsia="Times New Roman" w:hAnsi="Times New Roman" w:cs="Times New Roman"/>
          <w:bCs/>
        </w:rPr>
      </w:pPr>
      <w:r w:rsidRPr="00C00C66">
        <w:rPr>
          <w:rFonts w:ascii="Times New Roman" w:eastAsia="Times New Roman" w:hAnsi="Times New Roman" w:cs="Times New Roman"/>
          <w:bCs/>
        </w:rPr>
        <w:t>a tantárgy elméleti vagy gyakorlati jellegének mértéke: 75 % elmélet, 25 % gyakorlat</w:t>
      </w:r>
    </w:p>
    <w:p w:rsidR="00C00C66" w:rsidRPr="00C00C66" w:rsidRDefault="00C00C66" w:rsidP="00980876">
      <w:pPr>
        <w:widowControl w:val="0"/>
        <w:numPr>
          <w:ilvl w:val="0"/>
          <w:numId w:val="646"/>
        </w:numPr>
        <w:spacing w:before="120" w:after="120" w:line="240" w:lineRule="auto"/>
        <w:ind w:left="426" w:hanging="142"/>
        <w:jc w:val="both"/>
        <w:rPr>
          <w:rFonts w:ascii="Times New Roman" w:eastAsia="Times New Roman" w:hAnsi="Times New Roman" w:cs="Times New Roman"/>
          <w:bCs/>
        </w:rPr>
      </w:pPr>
      <w:r w:rsidRPr="00C00C66">
        <w:rPr>
          <w:rFonts w:ascii="Times New Roman" w:eastAsia="Times New Roman" w:hAnsi="Times New Roman" w:cs="Times New Roman"/>
          <w:b/>
          <w:bCs/>
        </w:rPr>
        <w:t>A szak(ok), szakirányok/specializációk megnevezése (ahol oktatják):</w:t>
      </w:r>
      <w:r w:rsidRPr="00C00C66">
        <w:rPr>
          <w:rFonts w:ascii="Times New Roman" w:eastAsia="Times New Roman" w:hAnsi="Times New Roman" w:cs="Times New Roman"/>
          <w:bCs/>
        </w:rPr>
        <w:t xml:space="preserve"> Katonai logisztika alapképzési szak, Haditechnikai specializáció</w:t>
      </w:r>
    </w:p>
    <w:p w:rsidR="00C00C66" w:rsidRPr="00C00C66" w:rsidRDefault="00C00C66" w:rsidP="00980876">
      <w:pPr>
        <w:widowControl w:val="0"/>
        <w:numPr>
          <w:ilvl w:val="0"/>
          <w:numId w:val="646"/>
        </w:numPr>
        <w:tabs>
          <w:tab w:val="num" w:pos="567"/>
        </w:tabs>
        <w:spacing w:before="120" w:after="120" w:line="240" w:lineRule="auto"/>
        <w:ind w:left="426" w:hanging="142"/>
        <w:jc w:val="both"/>
        <w:rPr>
          <w:rFonts w:ascii="Times New Roman" w:eastAsia="Times New Roman" w:hAnsi="Times New Roman" w:cs="Times New Roman"/>
          <w:bCs/>
        </w:rPr>
      </w:pPr>
      <w:r w:rsidRPr="00C00C66">
        <w:rPr>
          <w:rFonts w:ascii="Times New Roman" w:eastAsia="Times New Roman" w:hAnsi="Times New Roman" w:cs="Times New Roman"/>
          <w:b/>
          <w:bCs/>
        </w:rPr>
        <w:t xml:space="preserve">Az oktatásért felelős oktatási szervezeti egység megnevezése: </w:t>
      </w:r>
      <w:r w:rsidRPr="00C00C66">
        <w:rPr>
          <w:rFonts w:ascii="Times New Roman" w:eastAsia="Times New Roman" w:hAnsi="Times New Roman" w:cs="Times New Roman"/>
          <w:bCs/>
        </w:rPr>
        <w:t xml:space="preserve">NKE </w:t>
      </w:r>
      <w:r w:rsidRPr="00C00C66">
        <w:rPr>
          <w:rFonts w:ascii="Times New Roman" w:eastAsia="Calibri" w:hAnsi="Times New Roman" w:cs="Times New Roman"/>
          <w:bCs/>
          <w:kern w:val="2"/>
        </w:rPr>
        <w:t>Hadtudományi és Honvédtisztképző Kar,</w:t>
      </w:r>
      <w:r w:rsidRPr="00C00C66">
        <w:rPr>
          <w:rFonts w:ascii="Times New Roman" w:eastAsia="Times New Roman" w:hAnsi="Times New Roman" w:cs="Times New Roman"/>
          <w:bCs/>
        </w:rPr>
        <w:t xml:space="preserve"> Haditechnikai Tanszék</w:t>
      </w:r>
    </w:p>
    <w:p w:rsidR="00C00C66" w:rsidRPr="00C00C66" w:rsidRDefault="00C00C66" w:rsidP="00980876">
      <w:pPr>
        <w:widowControl w:val="0"/>
        <w:numPr>
          <w:ilvl w:val="0"/>
          <w:numId w:val="646"/>
        </w:numPr>
        <w:tabs>
          <w:tab w:val="num" w:pos="567"/>
        </w:tabs>
        <w:spacing w:before="120" w:after="120" w:line="240" w:lineRule="auto"/>
        <w:ind w:left="426" w:hanging="142"/>
        <w:jc w:val="both"/>
        <w:rPr>
          <w:rFonts w:ascii="Times New Roman" w:eastAsia="Times New Roman" w:hAnsi="Times New Roman" w:cs="Times New Roman"/>
          <w:bCs/>
        </w:rPr>
      </w:pPr>
      <w:r w:rsidRPr="00C00C66">
        <w:rPr>
          <w:rFonts w:ascii="Times New Roman" w:eastAsia="Times New Roman" w:hAnsi="Times New Roman" w:cs="Times New Roman"/>
          <w:b/>
          <w:bCs/>
        </w:rPr>
        <w:t>A tantárgyfelelős oktató neve, beosztása, tudományos fokozata:</w:t>
      </w:r>
      <w:r w:rsidRPr="00C00C66">
        <w:rPr>
          <w:rFonts w:ascii="Times New Roman" w:eastAsia="Times New Roman" w:hAnsi="Times New Roman" w:cs="Times New Roman"/>
          <w:bCs/>
        </w:rPr>
        <w:t xml:space="preserve"> Dr. Gávay György Viktor, adjunktus, PhD.</w:t>
      </w:r>
    </w:p>
    <w:p w:rsidR="00C00C66" w:rsidRPr="00C00C66" w:rsidRDefault="00C00C66" w:rsidP="00980876">
      <w:pPr>
        <w:widowControl w:val="0"/>
        <w:numPr>
          <w:ilvl w:val="0"/>
          <w:numId w:val="646"/>
        </w:numPr>
        <w:spacing w:before="120" w:after="120" w:line="240" w:lineRule="auto"/>
        <w:ind w:left="426" w:hanging="142"/>
        <w:jc w:val="both"/>
        <w:rPr>
          <w:rFonts w:ascii="Times New Roman" w:eastAsia="Times New Roman" w:hAnsi="Times New Roman" w:cs="Times New Roman"/>
          <w:bCs/>
        </w:rPr>
      </w:pPr>
      <w:r w:rsidRPr="00C00C66">
        <w:rPr>
          <w:rFonts w:ascii="Times New Roman" w:eastAsia="Times New Roman" w:hAnsi="Times New Roman" w:cs="Times New Roman"/>
          <w:b/>
          <w:bCs/>
        </w:rPr>
        <w:t>A tanórák száma és típusa</w:t>
      </w:r>
    </w:p>
    <w:p w:rsidR="00C00C66" w:rsidRPr="00C00C66" w:rsidRDefault="00C00C66" w:rsidP="00980876">
      <w:pPr>
        <w:widowControl w:val="0"/>
        <w:numPr>
          <w:ilvl w:val="1"/>
          <w:numId w:val="646"/>
        </w:numPr>
        <w:tabs>
          <w:tab w:val="clear" w:pos="3977"/>
          <w:tab w:val="num" w:pos="709"/>
          <w:tab w:val="num" w:pos="1142"/>
          <w:tab w:val="num" w:pos="2069"/>
        </w:tabs>
        <w:spacing w:before="120" w:after="120" w:line="240" w:lineRule="auto"/>
        <w:ind w:left="851" w:hanging="425"/>
        <w:jc w:val="both"/>
        <w:rPr>
          <w:rFonts w:ascii="Times New Roman" w:eastAsia="Times New Roman" w:hAnsi="Times New Roman" w:cs="Times New Roman"/>
          <w:b/>
          <w:bCs/>
        </w:rPr>
      </w:pPr>
      <w:r w:rsidRPr="00C00C66">
        <w:rPr>
          <w:rFonts w:ascii="Times New Roman" w:eastAsia="Times New Roman" w:hAnsi="Times New Roman" w:cs="Times New Roman"/>
          <w:bCs/>
        </w:rPr>
        <w:t>össz óraszám/félév:</w:t>
      </w:r>
    </w:p>
    <w:p w:rsidR="00C00C66" w:rsidRPr="00C00C66" w:rsidRDefault="00C00C66" w:rsidP="00980876">
      <w:pPr>
        <w:widowControl w:val="0"/>
        <w:numPr>
          <w:ilvl w:val="2"/>
          <w:numId w:val="646"/>
        </w:numPr>
        <w:tabs>
          <w:tab w:val="num" w:pos="709"/>
          <w:tab w:val="num" w:pos="1134"/>
        </w:tabs>
        <w:spacing w:before="120" w:after="120" w:line="240" w:lineRule="auto"/>
        <w:ind w:left="993" w:hanging="425"/>
        <w:jc w:val="both"/>
        <w:rPr>
          <w:rFonts w:ascii="Times New Roman" w:eastAsia="Times New Roman" w:hAnsi="Times New Roman" w:cs="Times New Roman"/>
          <w:bCs/>
        </w:rPr>
      </w:pPr>
      <w:r w:rsidRPr="00C00C66">
        <w:rPr>
          <w:rFonts w:ascii="Times New Roman" w:eastAsia="Times New Roman" w:hAnsi="Times New Roman" w:cs="Times New Roman"/>
          <w:bCs/>
        </w:rPr>
        <w:t>nappali munkarend: 56 (42 EA + 0 SZ + 14 GY)</w:t>
      </w:r>
    </w:p>
    <w:p w:rsidR="00C00C66" w:rsidRPr="00C00C66" w:rsidRDefault="00C00C66" w:rsidP="00980876">
      <w:pPr>
        <w:widowControl w:val="0"/>
        <w:numPr>
          <w:ilvl w:val="2"/>
          <w:numId w:val="646"/>
        </w:numPr>
        <w:tabs>
          <w:tab w:val="num" w:pos="709"/>
          <w:tab w:val="num" w:pos="1134"/>
        </w:tabs>
        <w:spacing w:before="120" w:after="120" w:line="240" w:lineRule="auto"/>
        <w:ind w:left="993" w:hanging="425"/>
        <w:jc w:val="both"/>
        <w:rPr>
          <w:rFonts w:ascii="Times New Roman" w:eastAsia="Times New Roman" w:hAnsi="Times New Roman" w:cs="Times New Roman"/>
          <w:bCs/>
        </w:rPr>
      </w:pPr>
      <w:r w:rsidRPr="00C00C66">
        <w:rPr>
          <w:rFonts w:ascii="Times New Roman" w:eastAsia="Times New Roman" w:hAnsi="Times New Roman" w:cs="Times New Roman"/>
          <w:bCs/>
        </w:rPr>
        <w:t>levelező munkarend: -</w:t>
      </w:r>
    </w:p>
    <w:p w:rsidR="00C00C66" w:rsidRPr="00C00C66" w:rsidRDefault="00C00C66" w:rsidP="00980876">
      <w:pPr>
        <w:widowControl w:val="0"/>
        <w:numPr>
          <w:ilvl w:val="1"/>
          <w:numId w:val="646"/>
        </w:numPr>
        <w:tabs>
          <w:tab w:val="clear" w:pos="3977"/>
          <w:tab w:val="num" w:pos="709"/>
          <w:tab w:val="num" w:pos="1142"/>
          <w:tab w:val="num" w:pos="2069"/>
        </w:tabs>
        <w:spacing w:before="120" w:after="120" w:line="240" w:lineRule="auto"/>
        <w:ind w:left="851" w:hanging="425"/>
        <w:jc w:val="both"/>
        <w:rPr>
          <w:rFonts w:ascii="Times New Roman" w:eastAsia="Times New Roman" w:hAnsi="Times New Roman" w:cs="Times New Roman"/>
          <w:bCs/>
        </w:rPr>
      </w:pPr>
      <w:r w:rsidRPr="00C00C66">
        <w:rPr>
          <w:rFonts w:ascii="Times New Roman" w:eastAsia="Times New Roman" w:hAnsi="Times New Roman" w:cs="Times New Roman"/>
          <w:bCs/>
        </w:rPr>
        <w:t>heti óraszám - nappali munkarend: 4 (3 + 1)</w:t>
      </w:r>
    </w:p>
    <w:p w:rsidR="00C00C66" w:rsidRPr="00C00C66" w:rsidRDefault="00C00C66" w:rsidP="00980876">
      <w:pPr>
        <w:widowControl w:val="0"/>
        <w:numPr>
          <w:ilvl w:val="1"/>
          <w:numId w:val="646"/>
        </w:numPr>
        <w:tabs>
          <w:tab w:val="clear" w:pos="3977"/>
          <w:tab w:val="num" w:pos="709"/>
          <w:tab w:val="num" w:pos="1142"/>
          <w:tab w:val="num" w:pos="2069"/>
        </w:tabs>
        <w:spacing w:before="120" w:after="120" w:line="240" w:lineRule="auto"/>
        <w:ind w:left="851" w:hanging="425"/>
        <w:jc w:val="both"/>
        <w:rPr>
          <w:rFonts w:ascii="Times New Roman" w:eastAsia="Times New Roman" w:hAnsi="Times New Roman" w:cs="Times New Roman"/>
          <w:bCs/>
        </w:rPr>
      </w:pPr>
      <w:r w:rsidRPr="00C00C66">
        <w:rPr>
          <w:rFonts w:ascii="Times New Roman" w:eastAsia="Calibri" w:hAnsi="Times New Roman" w:cs="Times New Roman"/>
        </w:rPr>
        <w:t xml:space="preserve">Az ismeret átadásában alkalmazandó további sajátos módok, jellemzők: </w:t>
      </w:r>
      <w:r w:rsidRPr="00C00C66">
        <w:rPr>
          <w:rFonts w:ascii="Times New Roman" w:eastAsia="Calibri" w:hAnsi="Times New Roman" w:cs="Times New Roman"/>
          <w:bCs/>
        </w:rPr>
        <w:t>Az ismeretek feldolgozása vegyes tanulási program (blended learning) alapján történik.</w:t>
      </w:r>
    </w:p>
    <w:p w:rsidR="00C00C66" w:rsidRPr="00C00C66" w:rsidRDefault="00C00C66" w:rsidP="00980876">
      <w:pPr>
        <w:widowControl w:val="0"/>
        <w:numPr>
          <w:ilvl w:val="0"/>
          <w:numId w:val="646"/>
        </w:numPr>
        <w:spacing w:before="120" w:after="120" w:line="240" w:lineRule="auto"/>
        <w:ind w:left="426" w:hanging="142"/>
        <w:jc w:val="both"/>
        <w:rPr>
          <w:rFonts w:ascii="Times New Roman" w:eastAsia="Times New Roman" w:hAnsi="Times New Roman" w:cs="Times New Roman"/>
          <w:bCs/>
        </w:rPr>
      </w:pPr>
      <w:r w:rsidRPr="00C00C66">
        <w:rPr>
          <w:rFonts w:ascii="Times New Roman" w:eastAsia="Times New Roman" w:hAnsi="Times New Roman" w:cs="Times New Roman"/>
          <w:b/>
          <w:bCs/>
        </w:rPr>
        <w:t>A tantárgy szakmai tartalma (magyarul):</w:t>
      </w:r>
      <w:r w:rsidRPr="00C00C66">
        <w:rPr>
          <w:rFonts w:ascii="Times New Roman" w:eastAsia="Times New Roman" w:hAnsi="Times New Roman" w:cs="Times New Roman"/>
          <w:bCs/>
        </w:rPr>
        <w:t xml:space="preserve"> A technikai kiszolgálási rendszer fokozatai. Meghibásodás és javítás fokozatai, az RMH fogalma. Javításba adás folyamata, javításba adás okmányai. A javítás folyamata, a kapacitással le nem fedhető javítások (polgári szolgáltatás igénybevétele, központi javításba adás). A javító alegység felépítése, feladatai, a javító alegység munkájának szervezése. Műhely munkavégzés biztonsági előírásai, munkavédelmi előírások, tűzvédelmi előírások. A PC és GJMŰ szakág okmányai, okmányok kezelése, kitöltése nyilvántartása (besorolási parancs, technikai kiszolgálási tervek).</w:t>
      </w:r>
    </w:p>
    <w:p w:rsidR="00C00C66" w:rsidRPr="00C00C66" w:rsidRDefault="00C00C66" w:rsidP="00C00C66">
      <w:pPr>
        <w:widowControl w:val="0"/>
        <w:spacing w:before="120" w:after="120" w:line="240" w:lineRule="auto"/>
        <w:ind w:left="426"/>
        <w:jc w:val="both"/>
        <w:rPr>
          <w:rFonts w:ascii="Times New Roman" w:eastAsia="Times New Roman" w:hAnsi="Times New Roman" w:cs="Times New Roman"/>
          <w:bCs/>
          <w:lang w:val="en-GB"/>
        </w:rPr>
      </w:pPr>
      <w:r w:rsidRPr="00C00C66">
        <w:rPr>
          <w:rFonts w:ascii="Times New Roman" w:eastAsia="Times New Roman" w:hAnsi="Times New Roman" w:cs="Times New Roman"/>
          <w:b/>
          <w:bCs/>
        </w:rPr>
        <w:t>A tantárgy szakmai tartalma (angolul) (</w:t>
      </w:r>
      <w:r w:rsidRPr="00C00C66">
        <w:rPr>
          <w:rFonts w:ascii="Times New Roman" w:eastAsia="Times New Roman" w:hAnsi="Times New Roman" w:cs="Times New Roman"/>
          <w:b/>
          <w:bCs/>
          <w:lang w:val="en-US"/>
        </w:rPr>
        <w:t>Course description</w:t>
      </w:r>
      <w:r w:rsidRPr="00C00C66">
        <w:rPr>
          <w:rFonts w:ascii="Times New Roman" w:eastAsia="Times New Roman" w:hAnsi="Times New Roman" w:cs="Times New Roman"/>
          <w:b/>
          <w:bCs/>
        </w:rPr>
        <w:t xml:space="preserve">): </w:t>
      </w:r>
      <w:r w:rsidRPr="00C00C66">
        <w:rPr>
          <w:rFonts w:ascii="Times New Roman" w:eastAsia="Times New Roman" w:hAnsi="Times New Roman" w:cs="Times New Roman"/>
          <w:bCs/>
        </w:rPr>
        <w:t>Maintaining and repairing military devices and vehicles. Degrees and steps of the technical maintenance system. Degrees of failure and repair, the concept of exceptiolnal malfunction. Process and documentation of starting the repair. The process of repair, repairs that  require external assistance (civil service, central repairs). The tasks, structure and management of the maintenance subunit. Safety regulations, work safety regulations, fire safety regulations of working in a workshop.</w:t>
      </w:r>
      <w:r w:rsidRPr="00C00C66">
        <w:rPr>
          <w:rFonts w:ascii="Calibri" w:eastAsia="Calibri" w:hAnsi="Calibri" w:cs="Times New Roman"/>
        </w:rPr>
        <w:t xml:space="preserve"> </w:t>
      </w:r>
      <w:r w:rsidRPr="00C00C66">
        <w:rPr>
          <w:rFonts w:ascii="Times New Roman" w:eastAsia="Times New Roman" w:hAnsi="Times New Roman" w:cs="Times New Roman"/>
          <w:bCs/>
        </w:rPr>
        <w:t>Documents of the vehicle maintenance, records management and filling records (technical service plans).</w:t>
      </w:r>
      <w:r w:rsidRPr="00C00C66">
        <w:rPr>
          <w:rFonts w:ascii="Times New Roman" w:eastAsia="Times New Roman" w:hAnsi="Times New Roman" w:cs="Times New Roman"/>
          <w:bCs/>
          <w:lang w:val="en-GB"/>
        </w:rPr>
        <w:t xml:space="preserve"> </w:t>
      </w:r>
    </w:p>
    <w:p w:rsidR="00C00C66" w:rsidRPr="00C00C66" w:rsidRDefault="00C00C66" w:rsidP="00980876">
      <w:pPr>
        <w:widowControl w:val="0"/>
        <w:numPr>
          <w:ilvl w:val="0"/>
          <w:numId w:val="646"/>
        </w:numPr>
        <w:spacing w:before="120" w:after="120" w:line="240" w:lineRule="auto"/>
        <w:ind w:left="426" w:hanging="142"/>
        <w:contextualSpacing/>
        <w:jc w:val="both"/>
        <w:rPr>
          <w:rFonts w:ascii="Times New Roman" w:eastAsia="Times New Roman" w:hAnsi="Times New Roman" w:cs="Times New Roman"/>
          <w:bCs/>
        </w:rPr>
      </w:pPr>
      <w:r w:rsidRPr="00C00C66">
        <w:rPr>
          <w:rFonts w:ascii="Times New Roman" w:eastAsia="Times New Roman" w:hAnsi="Times New Roman" w:cs="Times New Roman"/>
          <w:b/>
          <w:bCs/>
        </w:rPr>
        <w:t xml:space="preserve">Elérendő kompetenciák (magyarul): </w:t>
      </w:r>
    </w:p>
    <w:p w:rsidR="00C00C66" w:rsidRPr="00C079AC" w:rsidRDefault="00C00C66" w:rsidP="00C079AC">
      <w:pPr>
        <w:widowControl w:val="0"/>
        <w:spacing w:before="120" w:after="0" w:line="240" w:lineRule="auto"/>
        <w:ind w:left="425"/>
        <w:jc w:val="both"/>
        <w:rPr>
          <w:rFonts w:ascii="Times New Roman" w:eastAsia="Times New Roman" w:hAnsi="Times New Roman" w:cs="Times New Roman"/>
          <w:b/>
          <w:bCs/>
        </w:rPr>
      </w:pPr>
      <w:r w:rsidRPr="00C00C66">
        <w:rPr>
          <w:rFonts w:ascii="Times New Roman" w:eastAsia="Times New Roman" w:hAnsi="Times New Roman" w:cs="Times New Roman"/>
          <w:b/>
          <w:bCs/>
        </w:rPr>
        <w:t>Tudása:</w:t>
      </w:r>
    </w:p>
    <w:p w:rsidR="00C00C66" w:rsidRPr="00C00C66" w:rsidRDefault="00C00C66" w:rsidP="00C14833">
      <w:pPr>
        <w:widowControl w:val="0"/>
        <w:numPr>
          <w:ilvl w:val="0"/>
          <w:numId w:val="133"/>
        </w:numPr>
        <w:spacing w:before="120" w:after="120" w:line="240" w:lineRule="auto"/>
        <w:ind w:left="709" w:hanging="218"/>
        <w:contextualSpacing/>
        <w:jc w:val="both"/>
        <w:rPr>
          <w:rFonts w:ascii="Times New Roman" w:eastAsia="Times New Roman" w:hAnsi="Times New Roman" w:cs="Times New Roman"/>
          <w:bCs/>
          <w:kern w:val="2"/>
        </w:rPr>
      </w:pPr>
      <w:r w:rsidRPr="00C00C66">
        <w:rPr>
          <w:rFonts w:ascii="Times New Roman" w:eastAsia="Times New Roman" w:hAnsi="Times New Roman" w:cs="Times New Roman"/>
          <w:bCs/>
        </w:rPr>
        <w:t>Rendelkezik alapvető vezetői ismeretekkel, tisztában van a vezetői kompetenciákkal és a beosztottak eredményes irányításához szükséges alapvető ismeretekkel, valamint a beosztottakat motiváló képességekkel.</w:t>
      </w:r>
    </w:p>
    <w:p w:rsidR="00C00C66" w:rsidRPr="00C00C66" w:rsidRDefault="00C00C66" w:rsidP="00C14833">
      <w:pPr>
        <w:widowControl w:val="0"/>
        <w:numPr>
          <w:ilvl w:val="0"/>
          <w:numId w:val="133"/>
        </w:numPr>
        <w:spacing w:before="120" w:after="120" w:line="240" w:lineRule="auto"/>
        <w:ind w:left="709" w:hanging="218"/>
        <w:contextualSpacing/>
        <w:jc w:val="both"/>
        <w:rPr>
          <w:rFonts w:ascii="Times New Roman" w:eastAsia="Times New Roman" w:hAnsi="Times New Roman" w:cs="Times New Roman"/>
          <w:bCs/>
          <w:kern w:val="2"/>
        </w:rPr>
      </w:pPr>
      <w:r w:rsidRPr="00C00C66">
        <w:rPr>
          <w:rFonts w:ascii="Times New Roman" w:eastAsia="Times New Roman" w:hAnsi="Times New Roman" w:cs="Times New Roman"/>
          <w:bCs/>
        </w:rPr>
        <w:t>Ismeri a zászlóalj páncélos- és gépjárműtechnika biztosításának feladatrendszerét béke és háborús körülmények között.</w:t>
      </w:r>
    </w:p>
    <w:p w:rsidR="00C00C66" w:rsidRPr="00C00C66" w:rsidRDefault="00C00C66" w:rsidP="00C14833">
      <w:pPr>
        <w:widowControl w:val="0"/>
        <w:numPr>
          <w:ilvl w:val="0"/>
          <w:numId w:val="133"/>
        </w:numPr>
        <w:spacing w:before="120" w:after="120" w:line="240" w:lineRule="auto"/>
        <w:ind w:left="709" w:hanging="218"/>
        <w:contextualSpacing/>
        <w:jc w:val="both"/>
        <w:rPr>
          <w:rFonts w:ascii="Times New Roman" w:eastAsia="Times New Roman" w:hAnsi="Times New Roman" w:cs="Times New Roman"/>
          <w:bCs/>
          <w:kern w:val="2"/>
        </w:rPr>
      </w:pPr>
      <w:r w:rsidRPr="00C00C66">
        <w:rPr>
          <w:rFonts w:ascii="Times New Roman" w:eastAsia="Times New Roman" w:hAnsi="Times New Roman" w:cs="Times New Roman"/>
          <w:bCs/>
        </w:rPr>
        <w:t xml:space="preserve">Ismeri és alkalmazni tudja a páncélos- és gépjárműtechnikai eszközök technikai </w:t>
      </w:r>
      <w:r w:rsidRPr="00C00C66">
        <w:rPr>
          <w:rFonts w:ascii="Times New Roman" w:eastAsia="Times New Roman" w:hAnsi="Times New Roman" w:cs="Times New Roman"/>
          <w:bCs/>
        </w:rPr>
        <w:lastRenderedPageBreak/>
        <w:t>kiszolgálásának tervezéséhez szükséges eljárásokat.</w:t>
      </w:r>
    </w:p>
    <w:p w:rsidR="00C00C66" w:rsidRPr="00C079AC" w:rsidRDefault="00C00C66" w:rsidP="00C079AC">
      <w:pPr>
        <w:widowControl w:val="0"/>
        <w:spacing w:before="240" w:after="0" w:line="240" w:lineRule="auto"/>
        <w:ind w:left="425"/>
        <w:jc w:val="both"/>
        <w:rPr>
          <w:rFonts w:ascii="Times New Roman" w:eastAsia="Times New Roman" w:hAnsi="Times New Roman" w:cs="Times New Roman"/>
          <w:b/>
          <w:bCs/>
        </w:rPr>
      </w:pPr>
      <w:r w:rsidRPr="00C00C66">
        <w:rPr>
          <w:rFonts w:ascii="Times New Roman" w:eastAsia="Times New Roman" w:hAnsi="Times New Roman" w:cs="Times New Roman"/>
          <w:b/>
          <w:bCs/>
        </w:rPr>
        <w:t>Képességei:</w:t>
      </w:r>
      <w:r w:rsidRPr="00C079AC">
        <w:rPr>
          <w:rFonts w:ascii="Times New Roman" w:eastAsia="Times New Roman" w:hAnsi="Times New Roman" w:cs="Times New Roman"/>
          <w:b/>
          <w:bCs/>
        </w:rPr>
        <w:t xml:space="preserve"> </w:t>
      </w:r>
    </w:p>
    <w:p w:rsidR="00C00C66" w:rsidRPr="00C079AC" w:rsidRDefault="00C00C66" w:rsidP="00C14833">
      <w:pPr>
        <w:widowControl w:val="0"/>
        <w:numPr>
          <w:ilvl w:val="0"/>
          <w:numId w:val="133"/>
        </w:numPr>
        <w:spacing w:before="120" w:after="120" w:line="240" w:lineRule="auto"/>
        <w:ind w:left="709" w:hanging="218"/>
        <w:contextualSpacing/>
        <w:jc w:val="both"/>
        <w:rPr>
          <w:rFonts w:ascii="Times New Roman" w:eastAsia="Times New Roman" w:hAnsi="Times New Roman" w:cs="Times New Roman"/>
          <w:bCs/>
        </w:rPr>
      </w:pPr>
      <w:r w:rsidRPr="00C00C66">
        <w:rPr>
          <w:rFonts w:ascii="Times New Roman" w:eastAsia="Times New Roman" w:hAnsi="Times New Roman" w:cs="Times New Roman"/>
          <w:bCs/>
        </w:rPr>
        <w:t>Képes a munkaköréhez kapcsolódó dokumentumok, nyomtatványok, jegyzőkönyvek, feljegyzések és emlékeztetők önálló elkészítésére, okmányok kitöltésére, a munkaköréhez kapcsolódó események szervezésére, technikaielőkészítésére.</w:t>
      </w:r>
    </w:p>
    <w:p w:rsidR="00C00C66" w:rsidRPr="00C079AC" w:rsidRDefault="00C00C66" w:rsidP="00C14833">
      <w:pPr>
        <w:widowControl w:val="0"/>
        <w:numPr>
          <w:ilvl w:val="0"/>
          <w:numId w:val="133"/>
        </w:numPr>
        <w:spacing w:before="120" w:after="120" w:line="240" w:lineRule="auto"/>
        <w:ind w:left="709" w:hanging="218"/>
        <w:contextualSpacing/>
        <w:jc w:val="both"/>
        <w:rPr>
          <w:rFonts w:ascii="Times New Roman" w:eastAsia="Times New Roman" w:hAnsi="Times New Roman" w:cs="Times New Roman"/>
          <w:bCs/>
        </w:rPr>
      </w:pPr>
      <w:r w:rsidRPr="00C00C66">
        <w:rPr>
          <w:rFonts w:ascii="Times New Roman" w:eastAsia="Times New Roman" w:hAnsi="Times New Roman" w:cs="Times New Roman"/>
          <w:bCs/>
        </w:rPr>
        <w:t>Képes beosztottjai általános katonai és szakmai vezetésére, munkájuk hatékony megszervezésére.</w:t>
      </w:r>
    </w:p>
    <w:p w:rsidR="00C00C66" w:rsidRPr="00C079AC" w:rsidRDefault="00C00C66" w:rsidP="00C14833">
      <w:pPr>
        <w:widowControl w:val="0"/>
        <w:numPr>
          <w:ilvl w:val="0"/>
          <w:numId w:val="133"/>
        </w:numPr>
        <w:spacing w:before="120" w:after="120" w:line="240" w:lineRule="auto"/>
        <w:ind w:left="709" w:hanging="218"/>
        <w:contextualSpacing/>
        <w:jc w:val="both"/>
        <w:rPr>
          <w:rFonts w:ascii="Times New Roman" w:eastAsia="Times New Roman" w:hAnsi="Times New Roman" w:cs="Times New Roman"/>
          <w:bCs/>
        </w:rPr>
      </w:pPr>
      <w:r w:rsidRPr="00C00C66">
        <w:rPr>
          <w:rFonts w:ascii="Times New Roman" w:eastAsia="Times New Roman" w:hAnsi="Times New Roman" w:cs="Times New Roman"/>
          <w:bCs/>
        </w:rPr>
        <w:t>Képes az alegységszinten elvégzendő szükség szerinti javítások megszervezésére, végrehajtására és a végrehajtás ellenőrzésére.</w:t>
      </w:r>
    </w:p>
    <w:p w:rsidR="00C00C66" w:rsidRPr="00C079AC" w:rsidRDefault="00C00C66" w:rsidP="00C14833">
      <w:pPr>
        <w:widowControl w:val="0"/>
        <w:numPr>
          <w:ilvl w:val="0"/>
          <w:numId w:val="133"/>
        </w:numPr>
        <w:spacing w:before="120" w:after="120" w:line="240" w:lineRule="auto"/>
        <w:ind w:left="709" w:hanging="218"/>
        <w:contextualSpacing/>
        <w:jc w:val="both"/>
        <w:rPr>
          <w:rFonts w:ascii="Times New Roman" w:eastAsia="Times New Roman" w:hAnsi="Times New Roman" w:cs="Times New Roman"/>
          <w:bCs/>
        </w:rPr>
      </w:pPr>
      <w:r w:rsidRPr="00C00C66">
        <w:rPr>
          <w:rFonts w:ascii="Times New Roman" w:eastAsia="Times New Roman" w:hAnsi="Times New Roman" w:cs="Times New Roman"/>
          <w:bCs/>
        </w:rPr>
        <w:t>Képes a páncélos- és gépjárműtechnikai eszközök rendszerben tartását tervezni, szervezni és irányítani.</w:t>
      </w:r>
    </w:p>
    <w:p w:rsidR="00C00C66" w:rsidRPr="00C079AC" w:rsidRDefault="00C00C66" w:rsidP="00C14833">
      <w:pPr>
        <w:widowControl w:val="0"/>
        <w:numPr>
          <w:ilvl w:val="0"/>
          <w:numId w:val="133"/>
        </w:numPr>
        <w:spacing w:before="120" w:after="120" w:line="240" w:lineRule="auto"/>
        <w:ind w:left="709" w:hanging="218"/>
        <w:contextualSpacing/>
        <w:jc w:val="both"/>
        <w:rPr>
          <w:rFonts w:ascii="Times New Roman" w:eastAsia="Times New Roman" w:hAnsi="Times New Roman" w:cs="Times New Roman"/>
          <w:bCs/>
        </w:rPr>
      </w:pPr>
      <w:r w:rsidRPr="00C00C66">
        <w:rPr>
          <w:rFonts w:ascii="Times New Roman" w:eastAsia="Times New Roman" w:hAnsi="Times New Roman" w:cs="Times New Roman"/>
          <w:bCs/>
        </w:rPr>
        <w:t>Képes a szakterületéhez kapcsolódó ügydarabokat elkészíteni, haditechnikai eszköz átadás-átvételét végrehajtani és jegyzőkönyveket elkészíteni.</w:t>
      </w:r>
    </w:p>
    <w:p w:rsidR="00C00C66" w:rsidRPr="00C079AC" w:rsidRDefault="00C00C66" w:rsidP="00C14833">
      <w:pPr>
        <w:widowControl w:val="0"/>
        <w:numPr>
          <w:ilvl w:val="0"/>
          <w:numId w:val="133"/>
        </w:numPr>
        <w:spacing w:before="120" w:after="120" w:line="240" w:lineRule="auto"/>
        <w:ind w:left="709" w:hanging="218"/>
        <w:contextualSpacing/>
        <w:jc w:val="both"/>
        <w:rPr>
          <w:rFonts w:ascii="Times New Roman" w:eastAsia="Times New Roman" w:hAnsi="Times New Roman" w:cs="Times New Roman"/>
          <w:bCs/>
        </w:rPr>
      </w:pPr>
      <w:r w:rsidRPr="00C00C66">
        <w:rPr>
          <w:rFonts w:ascii="Times New Roman" w:eastAsia="Times New Roman" w:hAnsi="Times New Roman" w:cs="Times New Roman"/>
          <w:bCs/>
        </w:rPr>
        <w:t>Képes a biztonságos munkavégzés feltételeit megteremteni, a biztonságos munkavégzéshez szükséges szabályokat másokkal is betartatni.</w:t>
      </w:r>
    </w:p>
    <w:p w:rsidR="00C00C66" w:rsidRPr="00C079AC" w:rsidRDefault="00C00C66" w:rsidP="00C079AC">
      <w:pPr>
        <w:widowControl w:val="0"/>
        <w:spacing w:before="240" w:after="0" w:line="240" w:lineRule="auto"/>
        <w:ind w:left="425"/>
        <w:jc w:val="both"/>
        <w:rPr>
          <w:rFonts w:ascii="Times New Roman" w:eastAsia="Times New Roman" w:hAnsi="Times New Roman" w:cs="Times New Roman"/>
          <w:b/>
          <w:bCs/>
        </w:rPr>
      </w:pPr>
      <w:r w:rsidRPr="00C00C66">
        <w:rPr>
          <w:rFonts w:ascii="Times New Roman" w:eastAsia="Times New Roman" w:hAnsi="Times New Roman" w:cs="Times New Roman"/>
          <w:b/>
          <w:bCs/>
        </w:rPr>
        <w:t>Attitűdje:</w:t>
      </w:r>
    </w:p>
    <w:p w:rsidR="00C00C66" w:rsidRPr="00C00C66" w:rsidRDefault="00C00C66" w:rsidP="00C14833">
      <w:pPr>
        <w:widowControl w:val="0"/>
        <w:numPr>
          <w:ilvl w:val="0"/>
          <w:numId w:val="133"/>
        </w:numPr>
        <w:spacing w:before="120" w:after="120" w:line="240" w:lineRule="auto"/>
        <w:ind w:left="709" w:hanging="218"/>
        <w:contextualSpacing/>
        <w:jc w:val="both"/>
        <w:rPr>
          <w:rFonts w:ascii="Times New Roman" w:eastAsia="Times New Roman" w:hAnsi="Times New Roman" w:cs="Times New Roman"/>
          <w:bCs/>
        </w:rPr>
      </w:pPr>
      <w:r w:rsidRPr="00C00C66">
        <w:rPr>
          <w:rFonts w:ascii="Times New Roman" w:eastAsia="Times New Roman" w:hAnsi="Times New Roman" w:cs="Times New Roman"/>
          <w:bCs/>
        </w:rPr>
        <w:t>Feladatai ellátása során együttműködési készség jellemzi, törekszik a beosztottak bevonására a döntési folyamatokba.</w:t>
      </w:r>
    </w:p>
    <w:p w:rsidR="00C00C66" w:rsidRPr="00C00C66" w:rsidRDefault="00C00C66" w:rsidP="00C14833">
      <w:pPr>
        <w:widowControl w:val="0"/>
        <w:numPr>
          <w:ilvl w:val="0"/>
          <w:numId w:val="133"/>
        </w:numPr>
        <w:spacing w:before="120" w:after="120" w:line="240" w:lineRule="auto"/>
        <w:ind w:left="709" w:hanging="218"/>
        <w:contextualSpacing/>
        <w:jc w:val="both"/>
        <w:rPr>
          <w:rFonts w:ascii="Times New Roman" w:eastAsia="Times New Roman" w:hAnsi="Times New Roman" w:cs="Times New Roman"/>
          <w:bCs/>
        </w:rPr>
      </w:pPr>
      <w:r w:rsidRPr="00C00C66">
        <w:rPr>
          <w:rFonts w:ascii="Times New Roman" w:eastAsia="Times New Roman" w:hAnsi="Times New Roman" w:cs="Times New Roman"/>
          <w:bCs/>
        </w:rPr>
        <w:t>Feladatellátása során törekszik a megfelelő önkontroll, tolerancia, empátia, az előítéletektől mentes gondolkodás és viselkedés tanúsítására.</w:t>
      </w:r>
    </w:p>
    <w:p w:rsidR="00C00C66" w:rsidRPr="00C00C66" w:rsidRDefault="00C00C66" w:rsidP="00C14833">
      <w:pPr>
        <w:widowControl w:val="0"/>
        <w:numPr>
          <w:ilvl w:val="0"/>
          <w:numId w:val="133"/>
        </w:numPr>
        <w:spacing w:before="120" w:after="120" w:line="240" w:lineRule="auto"/>
        <w:ind w:left="709" w:hanging="218"/>
        <w:contextualSpacing/>
        <w:jc w:val="both"/>
        <w:rPr>
          <w:rFonts w:ascii="Times New Roman" w:eastAsia="Times New Roman" w:hAnsi="Times New Roman" w:cs="Times New Roman"/>
          <w:bCs/>
        </w:rPr>
      </w:pPr>
      <w:r w:rsidRPr="00C00C66">
        <w:rPr>
          <w:rFonts w:ascii="Times New Roman" w:eastAsia="Times New Roman" w:hAnsi="Times New Roman" w:cs="Times New Roman"/>
          <w:bCs/>
        </w:rPr>
        <w:t>Munkájában és emberi kapcsolataiban megbízhatóság jellemzi.</w:t>
      </w:r>
    </w:p>
    <w:p w:rsidR="00C00C66" w:rsidRPr="00C00C66" w:rsidRDefault="00C00C66" w:rsidP="00C14833">
      <w:pPr>
        <w:widowControl w:val="0"/>
        <w:numPr>
          <w:ilvl w:val="0"/>
          <w:numId w:val="133"/>
        </w:numPr>
        <w:spacing w:before="120" w:after="120" w:line="240" w:lineRule="auto"/>
        <w:ind w:left="709" w:hanging="218"/>
        <w:contextualSpacing/>
        <w:jc w:val="both"/>
        <w:rPr>
          <w:rFonts w:ascii="Times New Roman" w:eastAsia="Times New Roman" w:hAnsi="Times New Roman" w:cs="Times New Roman"/>
          <w:bCs/>
        </w:rPr>
      </w:pPr>
      <w:r w:rsidRPr="00C00C66">
        <w:rPr>
          <w:rFonts w:ascii="Times New Roman" w:eastAsia="Times New Roman" w:hAnsi="Times New Roman" w:cs="Times New Roman"/>
          <w:bCs/>
        </w:rPr>
        <w:t>A minőségi szakmai munkavégzés iránt elkötelezett, azt a pontosságra való törekvés jellemzi.</w:t>
      </w:r>
    </w:p>
    <w:p w:rsidR="00C00C66" w:rsidRPr="00C00C66" w:rsidRDefault="00C00C66" w:rsidP="00C14833">
      <w:pPr>
        <w:widowControl w:val="0"/>
        <w:numPr>
          <w:ilvl w:val="0"/>
          <w:numId w:val="133"/>
        </w:numPr>
        <w:spacing w:before="120" w:after="120" w:line="240" w:lineRule="auto"/>
        <w:ind w:left="709" w:hanging="218"/>
        <w:contextualSpacing/>
        <w:jc w:val="both"/>
        <w:rPr>
          <w:rFonts w:ascii="Times New Roman" w:eastAsia="Times New Roman" w:hAnsi="Times New Roman" w:cs="Times New Roman"/>
          <w:bCs/>
        </w:rPr>
      </w:pPr>
      <w:r w:rsidRPr="00C00C66">
        <w:rPr>
          <w:rFonts w:ascii="Times New Roman" w:eastAsia="Times New Roman" w:hAnsi="Times New Roman" w:cs="Times New Roman"/>
          <w:bCs/>
        </w:rPr>
        <w:t>Tevékenységét a hatékonyság központú szemlélet jellemzi.</w:t>
      </w:r>
    </w:p>
    <w:p w:rsidR="00C00C66" w:rsidRPr="00C00C66" w:rsidRDefault="00C00C66" w:rsidP="00C14833">
      <w:pPr>
        <w:widowControl w:val="0"/>
        <w:numPr>
          <w:ilvl w:val="0"/>
          <w:numId w:val="133"/>
        </w:numPr>
        <w:spacing w:before="120" w:after="120" w:line="240" w:lineRule="auto"/>
        <w:ind w:left="709" w:hanging="218"/>
        <w:contextualSpacing/>
        <w:jc w:val="both"/>
        <w:rPr>
          <w:rFonts w:ascii="Times New Roman" w:eastAsia="Times New Roman" w:hAnsi="Times New Roman" w:cs="Times New Roman"/>
          <w:bCs/>
        </w:rPr>
      </w:pPr>
      <w:r w:rsidRPr="00C00C66">
        <w:rPr>
          <w:rFonts w:ascii="Times New Roman" w:eastAsia="Times New Roman" w:hAnsi="Times New Roman" w:cs="Times New Roman"/>
          <w:bCs/>
        </w:rPr>
        <w:t>Jó szervezőkészség jellemzi.</w:t>
      </w:r>
    </w:p>
    <w:p w:rsidR="00C00C66" w:rsidRPr="00C00C66" w:rsidRDefault="00C00C66" w:rsidP="00C14833">
      <w:pPr>
        <w:widowControl w:val="0"/>
        <w:numPr>
          <w:ilvl w:val="0"/>
          <w:numId w:val="133"/>
        </w:numPr>
        <w:spacing w:before="120" w:after="120" w:line="240" w:lineRule="auto"/>
        <w:ind w:left="709" w:hanging="218"/>
        <w:contextualSpacing/>
        <w:jc w:val="both"/>
        <w:rPr>
          <w:rFonts w:ascii="Times New Roman" w:eastAsia="Times New Roman" w:hAnsi="Times New Roman" w:cs="Times New Roman"/>
          <w:bCs/>
        </w:rPr>
      </w:pPr>
      <w:r w:rsidRPr="00C00C66">
        <w:rPr>
          <w:rFonts w:ascii="Times New Roman" w:eastAsia="Times New Roman" w:hAnsi="Times New Roman" w:cs="Times New Roman"/>
          <w:bCs/>
        </w:rPr>
        <w:t>Törekszik munkája során a vonatkozó szabályok betartására és betartatására.</w:t>
      </w:r>
    </w:p>
    <w:p w:rsidR="00C00C66" w:rsidRPr="00C00C66" w:rsidRDefault="00C00C66" w:rsidP="00C14833">
      <w:pPr>
        <w:widowControl w:val="0"/>
        <w:numPr>
          <w:ilvl w:val="0"/>
          <w:numId w:val="133"/>
        </w:numPr>
        <w:spacing w:before="120" w:after="120" w:line="240" w:lineRule="auto"/>
        <w:ind w:left="709" w:hanging="218"/>
        <w:contextualSpacing/>
        <w:jc w:val="both"/>
        <w:rPr>
          <w:rFonts w:ascii="Times New Roman" w:eastAsia="Times New Roman" w:hAnsi="Times New Roman" w:cs="Times New Roman"/>
          <w:bCs/>
        </w:rPr>
      </w:pPr>
      <w:r w:rsidRPr="00C00C66">
        <w:rPr>
          <w:rFonts w:ascii="Times New Roman" w:eastAsia="Times New Roman" w:hAnsi="Times New Roman" w:cs="Times New Roman"/>
          <w:bCs/>
        </w:rPr>
        <w:t>Munkáját és emberi kapcsolatait a megbízhatóság jellemzi.</w:t>
      </w:r>
    </w:p>
    <w:p w:rsidR="00C00C66" w:rsidRPr="00C079AC" w:rsidRDefault="00C00C66" w:rsidP="00C079AC">
      <w:pPr>
        <w:widowControl w:val="0"/>
        <w:spacing w:before="240" w:after="0" w:line="240" w:lineRule="auto"/>
        <w:ind w:left="425"/>
        <w:jc w:val="both"/>
        <w:rPr>
          <w:rFonts w:ascii="Times New Roman" w:eastAsia="Times New Roman" w:hAnsi="Times New Roman" w:cs="Times New Roman"/>
          <w:b/>
          <w:bCs/>
        </w:rPr>
      </w:pPr>
      <w:r w:rsidRPr="00C00C66">
        <w:rPr>
          <w:rFonts w:ascii="Times New Roman" w:eastAsia="Times New Roman" w:hAnsi="Times New Roman" w:cs="Times New Roman"/>
          <w:b/>
          <w:bCs/>
        </w:rPr>
        <w:t>Autonómiája és felelőssége:</w:t>
      </w:r>
    </w:p>
    <w:p w:rsidR="00C00C66" w:rsidRPr="00C079AC" w:rsidRDefault="00C00C66" w:rsidP="00C14833">
      <w:pPr>
        <w:widowControl w:val="0"/>
        <w:numPr>
          <w:ilvl w:val="0"/>
          <w:numId w:val="133"/>
        </w:numPr>
        <w:spacing w:before="120" w:after="120" w:line="240" w:lineRule="auto"/>
        <w:ind w:left="709" w:hanging="218"/>
        <w:contextualSpacing/>
        <w:jc w:val="both"/>
        <w:rPr>
          <w:rFonts w:ascii="Times New Roman" w:eastAsia="Times New Roman" w:hAnsi="Times New Roman" w:cs="Times New Roman"/>
          <w:bCs/>
        </w:rPr>
      </w:pPr>
      <w:r w:rsidRPr="00C00C66">
        <w:rPr>
          <w:rFonts w:ascii="Times New Roman" w:eastAsia="Times New Roman" w:hAnsi="Times New Roman" w:cs="Times New Roman"/>
          <w:bCs/>
        </w:rPr>
        <w:t>Az alegység, illetve egység szintű katonai logisztikai, valamint katonai gazdálkodási folyamatokban képes önállóan döntéseket hozni, azokat felelősséggel, a jogszabályi keretek figyelembevételével végrehajtani.</w:t>
      </w:r>
    </w:p>
    <w:p w:rsidR="00C00C66" w:rsidRPr="00C079AC" w:rsidRDefault="00C00C66" w:rsidP="00C14833">
      <w:pPr>
        <w:widowControl w:val="0"/>
        <w:numPr>
          <w:ilvl w:val="0"/>
          <w:numId w:val="133"/>
        </w:numPr>
        <w:spacing w:before="120" w:after="120" w:line="240" w:lineRule="auto"/>
        <w:ind w:left="709" w:hanging="218"/>
        <w:contextualSpacing/>
        <w:jc w:val="both"/>
        <w:rPr>
          <w:rFonts w:ascii="Times New Roman" w:eastAsia="Times New Roman" w:hAnsi="Times New Roman" w:cs="Times New Roman"/>
          <w:bCs/>
        </w:rPr>
      </w:pPr>
      <w:r w:rsidRPr="00C00C66">
        <w:rPr>
          <w:rFonts w:ascii="Times New Roman" w:eastAsia="Times New Roman" w:hAnsi="Times New Roman" w:cs="Times New Roman"/>
          <w:bCs/>
        </w:rPr>
        <w:t>Képes szakfeladatait önállóan végezni, saját munkáját hatékonyan megszervezni és végrehajtani.</w:t>
      </w:r>
    </w:p>
    <w:p w:rsidR="00C00C66" w:rsidRPr="00C079AC" w:rsidRDefault="00C00C66" w:rsidP="00C14833">
      <w:pPr>
        <w:widowControl w:val="0"/>
        <w:numPr>
          <w:ilvl w:val="0"/>
          <w:numId w:val="133"/>
        </w:numPr>
        <w:spacing w:before="120" w:after="120" w:line="240" w:lineRule="auto"/>
        <w:ind w:left="709" w:hanging="218"/>
        <w:contextualSpacing/>
        <w:jc w:val="both"/>
        <w:rPr>
          <w:rFonts w:ascii="Times New Roman" w:eastAsia="Times New Roman" w:hAnsi="Times New Roman" w:cs="Times New Roman"/>
          <w:bCs/>
        </w:rPr>
      </w:pPr>
      <w:r w:rsidRPr="00C00C66">
        <w:rPr>
          <w:rFonts w:ascii="Times New Roman" w:eastAsia="Times New Roman" w:hAnsi="Times New Roman" w:cs="Times New Roman"/>
          <w:bCs/>
        </w:rPr>
        <w:t>Képes alárendeltjeinek feladatait megszervezni és meghatározni, valamint elvégzett munkájukat szakmai szempontok alapján ellenőrizni.</w:t>
      </w:r>
    </w:p>
    <w:p w:rsidR="00C00C66" w:rsidRPr="00C079AC" w:rsidRDefault="00C00C66" w:rsidP="00C14833">
      <w:pPr>
        <w:widowControl w:val="0"/>
        <w:numPr>
          <w:ilvl w:val="0"/>
          <w:numId w:val="133"/>
        </w:numPr>
        <w:spacing w:before="120" w:after="120" w:line="240" w:lineRule="auto"/>
        <w:ind w:left="709" w:hanging="218"/>
        <w:contextualSpacing/>
        <w:jc w:val="both"/>
        <w:rPr>
          <w:rFonts w:ascii="Times New Roman" w:eastAsia="Times New Roman" w:hAnsi="Times New Roman" w:cs="Times New Roman"/>
          <w:bCs/>
        </w:rPr>
      </w:pPr>
      <w:r w:rsidRPr="00C00C66">
        <w:rPr>
          <w:rFonts w:ascii="Times New Roman" w:eastAsia="Times New Roman" w:hAnsi="Times New Roman" w:cs="Times New Roman"/>
          <w:bCs/>
        </w:rPr>
        <w:t>A páncélos- és gépjárműtechnikai eszközök technikai kiszolgálása és javítása során képes elemzések végrehajtása után a legmegfelelőbb döntéseket meghozni, amely döntésekért a szakmai felelősséget vállalja.</w:t>
      </w:r>
    </w:p>
    <w:p w:rsidR="00C00C66" w:rsidRPr="00C079AC" w:rsidRDefault="00C00C66" w:rsidP="00C14833">
      <w:pPr>
        <w:widowControl w:val="0"/>
        <w:numPr>
          <w:ilvl w:val="0"/>
          <w:numId w:val="133"/>
        </w:numPr>
        <w:spacing w:before="120" w:after="120" w:line="240" w:lineRule="auto"/>
        <w:ind w:left="709" w:hanging="218"/>
        <w:contextualSpacing/>
        <w:jc w:val="both"/>
        <w:rPr>
          <w:rFonts w:ascii="Times New Roman" w:eastAsia="Times New Roman" w:hAnsi="Times New Roman" w:cs="Times New Roman"/>
          <w:bCs/>
        </w:rPr>
      </w:pPr>
      <w:r w:rsidRPr="00C00C66">
        <w:rPr>
          <w:rFonts w:ascii="Times New Roman" w:eastAsia="Times New Roman" w:hAnsi="Times New Roman" w:cs="Times New Roman"/>
          <w:bCs/>
        </w:rPr>
        <w:t>Együttműködés és felelősség jellemzi szakterületének szakembereivel szemben.</w:t>
      </w:r>
    </w:p>
    <w:p w:rsidR="00C00C66" w:rsidRPr="00C079AC" w:rsidRDefault="00C00C66" w:rsidP="00C14833">
      <w:pPr>
        <w:widowControl w:val="0"/>
        <w:numPr>
          <w:ilvl w:val="0"/>
          <w:numId w:val="133"/>
        </w:numPr>
        <w:spacing w:before="120" w:after="120" w:line="240" w:lineRule="auto"/>
        <w:ind w:left="709" w:hanging="218"/>
        <w:contextualSpacing/>
        <w:jc w:val="both"/>
        <w:rPr>
          <w:rFonts w:ascii="Times New Roman" w:eastAsia="Times New Roman" w:hAnsi="Times New Roman" w:cs="Times New Roman"/>
          <w:bCs/>
        </w:rPr>
      </w:pPr>
      <w:r w:rsidRPr="00C00C66">
        <w:rPr>
          <w:rFonts w:ascii="Times New Roman" w:eastAsia="Times New Roman" w:hAnsi="Times New Roman" w:cs="Times New Roman"/>
          <w:bCs/>
        </w:rPr>
        <w:t>Szakterületén belül képes rendszer-szemléletűen gondolkodni.</w:t>
      </w:r>
      <w:r w:rsidRPr="00C079AC">
        <w:rPr>
          <w:rFonts w:ascii="Times New Roman" w:eastAsia="Times New Roman" w:hAnsi="Times New Roman" w:cs="Times New Roman"/>
          <w:bCs/>
        </w:rPr>
        <w:t xml:space="preserve"> </w:t>
      </w:r>
    </w:p>
    <w:p w:rsidR="00C00C66" w:rsidRPr="00C079AC" w:rsidRDefault="00C00C66" w:rsidP="00C079AC">
      <w:pPr>
        <w:widowControl w:val="0"/>
        <w:spacing w:before="240" w:after="0" w:line="240" w:lineRule="auto"/>
        <w:ind w:left="425"/>
        <w:jc w:val="both"/>
        <w:rPr>
          <w:rFonts w:ascii="Times New Roman" w:eastAsia="Times New Roman" w:hAnsi="Times New Roman" w:cs="Times New Roman"/>
          <w:b/>
          <w:bCs/>
        </w:rPr>
      </w:pPr>
      <w:r w:rsidRPr="00C00C66">
        <w:rPr>
          <w:rFonts w:ascii="Times New Roman" w:eastAsia="Times New Roman" w:hAnsi="Times New Roman" w:cs="Times New Roman"/>
          <w:b/>
          <w:bCs/>
        </w:rPr>
        <w:t>Elérendő kompetenciák (angolul) (</w:t>
      </w:r>
      <w:r w:rsidRPr="00C079AC">
        <w:rPr>
          <w:rFonts w:ascii="Times New Roman" w:eastAsia="Times New Roman" w:hAnsi="Times New Roman" w:cs="Times New Roman"/>
          <w:b/>
          <w:bCs/>
        </w:rPr>
        <w:t xml:space="preserve">Competences – English): </w:t>
      </w:r>
    </w:p>
    <w:p w:rsidR="00C00C66" w:rsidRPr="00C079AC" w:rsidRDefault="00C00C66" w:rsidP="00C079AC">
      <w:pPr>
        <w:widowControl w:val="0"/>
        <w:spacing w:before="120" w:after="0" w:line="240" w:lineRule="auto"/>
        <w:ind w:left="425"/>
        <w:jc w:val="both"/>
        <w:rPr>
          <w:rFonts w:ascii="Times New Roman" w:eastAsia="Times New Roman" w:hAnsi="Times New Roman" w:cs="Times New Roman"/>
          <w:b/>
          <w:bCs/>
        </w:rPr>
      </w:pPr>
      <w:r w:rsidRPr="00C079AC">
        <w:rPr>
          <w:rFonts w:ascii="Times New Roman" w:eastAsia="Times New Roman" w:hAnsi="Times New Roman" w:cs="Times New Roman"/>
          <w:b/>
          <w:bCs/>
        </w:rPr>
        <w:t>Knowledge:</w:t>
      </w:r>
    </w:p>
    <w:p w:rsidR="00C00C66" w:rsidRPr="00C079AC" w:rsidRDefault="00C00C66" w:rsidP="00C14833">
      <w:pPr>
        <w:widowControl w:val="0"/>
        <w:numPr>
          <w:ilvl w:val="0"/>
          <w:numId w:val="133"/>
        </w:numPr>
        <w:spacing w:before="120" w:after="120" w:line="240" w:lineRule="auto"/>
        <w:ind w:left="709" w:hanging="218"/>
        <w:contextualSpacing/>
        <w:jc w:val="both"/>
        <w:rPr>
          <w:rFonts w:ascii="Times New Roman" w:eastAsia="Times New Roman" w:hAnsi="Times New Roman" w:cs="Times New Roman"/>
          <w:bCs/>
        </w:rPr>
      </w:pPr>
      <w:r w:rsidRPr="00C079AC">
        <w:rPr>
          <w:rFonts w:ascii="Times New Roman" w:eastAsia="Times New Roman" w:hAnsi="Times New Roman" w:cs="Times New Roman"/>
          <w:bCs/>
        </w:rPr>
        <w:t>Possesses the basic leadership skills and competences and the basic knowledge needed to effectively manage subordinates and also the ability to motivate them.</w:t>
      </w:r>
    </w:p>
    <w:p w:rsidR="00C00C66" w:rsidRPr="00C079AC" w:rsidRDefault="00C00C66" w:rsidP="00C14833">
      <w:pPr>
        <w:widowControl w:val="0"/>
        <w:numPr>
          <w:ilvl w:val="0"/>
          <w:numId w:val="133"/>
        </w:numPr>
        <w:spacing w:before="120" w:after="120" w:line="240" w:lineRule="auto"/>
        <w:ind w:left="709" w:hanging="218"/>
        <w:contextualSpacing/>
        <w:jc w:val="both"/>
        <w:rPr>
          <w:rFonts w:ascii="Times New Roman" w:eastAsia="Times New Roman" w:hAnsi="Times New Roman" w:cs="Times New Roman"/>
          <w:bCs/>
        </w:rPr>
      </w:pPr>
      <w:r w:rsidRPr="00C079AC">
        <w:rPr>
          <w:rFonts w:ascii="Times New Roman" w:eastAsia="Times New Roman" w:hAnsi="Times New Roman" w:cs="Times New Roman"/>
          <w:bCs/>
        </w:rPr>
        <w:t>Knows the system of tasks regarding the security of armored vehicle technology of the battalion in peace and war.</w:t>
      </w:r>
    </w:p>
    <w:p w:rsidR="00C00C66" w:rsidRPr="00C079AC" w:rsidRDefault="00C00C66" w:rsidP="00C14833">
      <w:pPr>
        <w:widowControl w:val="0"/>
        <w:numPr>
          <w:ilvl w:val="0"/>
          <w:numId w:val="133"/>
        </w:numPr>
        <w:spacing w:before="120" w:after="120" w:line="240" w:lineRule="auto"/>
        <w:ind w:left="709" w:hanging="218"/>
        <w:contextualSpacing/>
        <w:jc w:val="both"/>
        <w:rPr>
          <w:rFonts w:ascii="Times New Roman" w:eastAsia="Times New Roman" w:hAnsi="Times New Roman" w:cs="Times New Roman"/>
          <w:bCs/>
        </w:rPr>
      </w:pPr>
      <w:r w:rsidRPr="00C079AC">
        <w:rPr>
          <w:rFonts w:ascii="Times New Roman" w:eastAsia="Times New Roman" w:hAnsi="Times New Roman" w:cs="Times New Roman"/>
          <w:bCs/>
        </w:rPr>
        <w:t>Knows and is able to apply the processes required for planning the technical maintenance of armored vehicles.</w:t>
      </w:r>
    </w:p>
    <w:p w:rsidR="00C00C66" w:rsidRPr="00C079AC" w:rsidRDefault="00C00C66" w:rsidP="00C079AC">
      <w:pPr>
        <w:widowControl w:val="0"/>
        <w:spacing w:before="240" w:after="0" w:line="240" w:lineRule="auto"/>
        <w:ind w:left="425"/>
        <w:jc w:val="both"/>
        <w:rPr>
          <w:rFonts w:ascii="Times New Roman" w:eastAsia="Times New Roman" w:hAnsi="Times New Roman" w:cs="Times New Roman"/>
          <w:b/>
          <w:bCs/>
        </w:rPr>
      </w:pPr>
      <w:r w:rsidRPr="00C079AC">
        <w:rPr>
          <w:rFonts w:ascii="Times New Roman" w:eastAsia="Times New Roman" w:hAnsi="Times New Roman" w:cs="Times New Roman"/>
          <w:b/>
          <w:bCs/>
        </w:rPr>
        <w:t>Capabilities:</w:t>
      </w:r>
    </w:p>
    <w:p w:rsidR="00C00C66" w:rsidRPr="00C079AC" w:rsidRDefault="00C00C66" w:rsidP="00C14833">
      <w:pPr>
        <w:widowControl w:val="0"/>
        <w:numPr>
          <w:ilvl w:val="0"/>
          <w:numId w:val="133"/>
        </w:numPr>
        <w:spacing w:before="120" w:after="120" w:line="240" w:lineRule="auto"/>
        <w:ind w:left="709" w:hanging="218"/>
        <w:contextualSpacing/>
        <w:jc w:val="both"/>
        <w:rPr>
          <w:rFonts w:ascii="Times New Roman" w:eastAsia="Times New Roman" w:hAnsi="Times New Roman" w:cs="Times New Roman"/>
          <w:bCs/>
        </w:rPr>
      </w:pPr>
      <w:r w:rsidRPr="00C079AC">
        <w:rPr>
          <w:rFonts w:ascii="Times New Roman" w:eastAsia="Times New Roman" w:hAnsi="Times New Roman" w:cs="Times New Roman"/>
          <w:bCs/>
        </w:rPr>
        <w:t>Is capable of independently preparing documents, forms, minutes, notes and memos, completing documents, organizing and technically preparing events related to his/her job.</w:t>
      </w:r>
    </w:p>
    <w:p w:rsidR="00C00C66" w:rsidRPr="00C079AC" w:rsidRDefault="00C00C66" w:rsidP="00C14833">
      <w:pPr>
        <w:widowControl w:val="0"/>
        <w:numPr>
          <w:ilvl w:val="0"/>
          <w:numId w:val="133"/>
        </w:numPr>
        <w:spacing w:before="120" w:after="120" w:line="240" w:lineRule="auto"/>
        <w:ind w:left="709" w:hanging="218"/>
        <w:contextualSpacing/>
        <w:jc w:val="both"/>
        <w:rPr>
          <w:rFonts w:ascii="Times New Roman" w:eastAsia="Times New Roman" w:hAnsi="Times New Roman" w:cs="Times New Roman"/>
          <w:bCs/>
        </w:rPr>
      </w:pPr>
      <w:r w:rsidRPr="00C079AC">
        <w:rPr>
          <w:rFonts w:ascii="Times New Roman" w:eastAsia="Times New Roman" w:hAnsi="Times New Roman" w:cs="Times New Roman"/>
          <w:bCs/>
        </w:rPr>
        <w:t>Is capable of providing both military and professional leadership for his/her subordinates and effectively and efficiently organizing their work.</w:t>
      </w:r>
    </w:p>
    <w:p w:rsidR="00C00C66" w:rsidRPr="00C079AC" w:rsidRDefault="00C00C66" w:rsidP="00C14833">
      <w:pPr>
        <w:widowControl w:val="0"/>
        <w:numPr>
          <w:ilvl w:val="0"/>
          <w:numId w:val="133"/>
        </w:numPr>
        <w:spacing w:before="120" w:after="120" w:line="240" w:lineRule="auto"/>
        <w:ind w:left="709" w:hanging="218"/>
        <w:contextualSpacing/>
        <w:jc w:val="both"/>
        <w:rPr>
          <w:rFonts w:ascii="Times New Roman" w:eastAsia="Times New Roman" w:hAnsi="Times New Roman" w:cs="Times New Roman"/>
          <w:bCs/>
        </w:rPr>
      </w:pPr>
      <w:r w:rsidRPr="00C079AC">
        <w:rPr>
          <w:rFonts w:ascii="Times New Roman" w:eastAsia="Times New Roman" w:hAnsi="Times New Roman" w:cs="Times New Roman"/>
          <w:bCs/>
        </w:rPr>
        <w:lastRenderedPageBreak/>
        <w:t>Is capable of professionally executing as well as planning and controlling the execution of the technical maintenance of armored vehicles based on the technological commands.</w:t>
      </w:r>
    </w:p>
    <w:p w:rsidR="00C00C66" w:rsidRPr="00C079AC" w:rsidRDefault="00C00C66" w:rsidP="00C14833">
      <w:pPr>
        <w:widowControl w:val="0"/>
        <w:numPr>
          <w:ilvl w:val="0"/>
          <w:numId w:val="133"/>
        </w:numPr>
        <w:spacing w:before="120" w:after="120" w:line="240" w:lineRule="auto"/>
        <w:ind w:left="709" w:hanging="218"/>
        <w:contextualSpacing/>
        <w:jc w:val="both"/>
        <w:rPr>
          <w:rFonts w:ascii="Times New Roman" w:eastAsia="Times New Roman" w:hAnsi="Times New Roman" w:cs="Times New Roman"/>
          <w:bCs/>
        </w:rPr>
      </w:pPr>
      <w:r w:rsidRPr="00C079AC">
        <w:rPr>
          <w:rFonts w:ascii="Times New Roman" w:eastAsia="Times New Roman" w:hAnsi="Times New Roman" w:cs="Times New Roman"/>
          <w:bCs/>
        </w:rPr>
        <w:t>Is capable of organizing, executing and controlling the repairs required at a subunit level. Is capable of planning, organizing and managing the maintenance and supply of the armored vehicles.</w:t>
      </w:r>
    </w:p>
    <w:p w:rsidR="00C00C66" w:rsidRPr="00C079AC" w:rsidRDefault="00C00C66" w:rsidP="00C14833">
      <w:pPr>
        <w:widowControl w:val="0"/>
        <w:numPr>
          <w:ilvl w:val="0"/>
          <w:numId w:val="133"/>
        </w:numPr>
        <w:spacing w:before="120" w:after="120" w:line="240" w:lineRule="auto"/>
        <w:ind w:left="709" w:hanging="218"/>
        <w:contextualSpacing/>
        <w:jc w:val="both"/>
        <w:rPr>
          <w:rFonts w:ascii="Times New Roman" w:eastAsia="Times New Roman" w:hAnsi="Times New Roman" w:cs="Times New Roman"/>
          <w:bCs/>
        </w:rPr>
      </w:pPr>
      <w:r w:rsidRPr="00C079AC">
        <w:rPr>
          <w:rFonts w:ascii="Times New Roman" w:eastAsia="Times New Roman" w:hAnsi="Times New Roman" w:cs="Times New Roman"/>
          <w:bCs/>
        </w:rPr>
        <w:t>Is capable of preparing documents regarding his/her field of specialty, executing the handover of military devices and preparing the records.</w:t>
      </w:r>
    </w:p>
    <w:p w:rsidR="00C00C66" w:rsidRPr="00C079AC" w:rsidRDefault="00C00C66" w:rsidP="00C14833">
      <w:pPr>
        <w:widowControl w:val="0"/>
        <w:numPr>
          <w:ilvl w:val="0"/>
          <w:numId w:val="133"/>
        </w:numPr>
        <w:spacing w:before="120" w:after="120" w:line="240" w:lineRule="auto"/>
        <w:ind w:left="709" w:hanging="218"/>
        <w:contextualSpacing/>
        <w:jc w:val="both"/>
        <w:rPr>
          <w:rFonts w:ascii="Times New Roman" w:eastAsia="Times New Roman" w:hAnsi="Times New Roman" w:cs="Times New Roman"/>
          <w:bCs/>
        </w:rPr>
      </w:pPr>
      <w:r w:rsidRPr="00C079AC">
        <w:rPr>
          <w:rFonts w:ascii="Times New Roman" w:eastAsia="Times New Roman" w:hAnsi="Times New Roman" w:cs="Times New Roman"/>
          <w:bCs/>
        </w:rPr>
        <w:t>Is capable of preparing the conditions of a safe working environment and making others adhere to the rules of work safety.</w:t>
      </w:r>
    </w:p>
    <w:p w:rsidR="00C00C66" w:rsidRPr="00C079AC" w:rsidRDefault="00C00C66" w:rsidP="00C079AC">
      <w:pPr>
        <w:widowControl w:val="0"/>
        <w:spacing w:before="240" w:after="0" w:line="240" w:lineRule="auto"/>
        <w:ind w:left="425"/>
        <w:jc w:val="both"/>
        <w:rPr>
          <w:rFonts w:ascii="Times New Roman" w:eastAsia="Times New Roman" w:hAnsi="Times New Roman" w:cs="Times New Roman"/>
          <w:b/>
          <w:bCs/>
        </w:rPr>
      </w:pPr>
      <w:r w:rsidRPr="00C079AC">
        <w:rPr>
          <w:rFonts w:ascii="Times New Roman" w:eastAsia="Times New Roman" w:hAnsi="Times New Roman" w:cs="Times New Roman"/>
          <w:b/>
          <w:bCs/>
        </w:rPr>
        <w:t>Attitude:</w:t>
      </w:r>
    </w:p>
    <w:p w:rsidR="00C00C66" w:rsidRPr="00C00C66" w:rsidRDefault="00C00C66" w:rsidP="00C14833">
      <w:pPr>
        <w:widowControl w:val="0"/>
        <w:numPr>
          <w:ilvl w:val="0"/>
          <w:numId w:val="133"/>
        </w:numPr>
        <w:spacing w:before="120" w:after="120" w:line="240" w:lineRule="auto"/>
        <w:ind w:left="709" w:hanging="218"/>
        <w:contextualSpacing/>
        <w:jc w:val="both"/>
        <w:rPr>
          <w:rFonts w:ascii="Times New Roman" w:eastAsia="Times New Roman" w:hAnsi="Times New Roman" w:cs="Times New Roman"/>
          <w:bCs/>
        </w:rPr>
      </w:pPr>
      <w:r w:rsidRPr="00C079AC">
        <w:rPr>
          <w:rFonts w:ascii="Times New Roman" w:eastAsia="Times New Roman" w:hAnsi="Times New Roman" w:cs="Times New Roman"/>
          <w:bCs/>
        </w:rPr>
        <w:t>While performing his/her duties he/she is characterized by a willingness to cooperate with his/her subordinates and strives to involve them in decision-making processes.</w:t>
      </w:r>
    </w:p>
    <w:p w:rsidR="00C00C66" w:rsidRPr="00C00C66" w:rsidRDefault="00C00C66" w:rsidP="00C14833">
      <w:pPr>
        <w:widowControl w:val="0"/>
        <w:numPr>
          <w:ilvl w:val="0"/>
          <w:numId w:val="133"/>
        </w:numPr>
        <w:spacing w:before="120" w:after="120" w:line="240" w:lineRule="auto"/>
        <w:ind w:left="709" w:hanging="218"/>
        <w:contextualSpacing/>
        <w:jc w:val="both"/>
        <w:rPr>
          <w:rFonts w:ascii="Times New Roman" w:eastAsia="Times New Roman" w:hAnsi="Times New Roman" w:cs="Times New Roman"/>
          <w:bCs/>
        </w:rPr>
      </w:pPr>
      <w:r w:rsidRPr="00C079AC">
        <w:rPr>
          <w:rFonts w:ascii="Times New Roman" w:eastAsia="Times New Roman" w:hAnsi="Times New Roman" w:cs="Times New Roman"/>
          <w:bCs/>
        </w:rPr>
        <w:t>In the course of his duties he tries to demonstrate proper self-control, tolerance, empathy, a non-biased way of thinking and behaviour.</w:t>
      </w:r>
    </w:p>
    <w:p w:rsidR="00C00C66" w:rsidRPr="00C00C66" w:rsidRDefault="00C00C66" w:rsidP="00C14833">
      <w:pPr>
        <w:widowControl w:val="0"/>
        <w:numPr>
          <w:ilvl w:val="0"/>
          <w:numId w:val="133"/>
        </w:numPr>
        <w:spacing w:before="120" w:after="120" w:line="240" w:lineRule="auto"/>
        <w:ind w:left="709" w:hanging="218"/>
        <w:contextualSpacing/>
        <w:jc w:val="both"/>
        <w:rPr>
          <w:rFonts w:ascii="Times New Roman" w:eastAsia="Times New Roman" w:hAnsi="Times New Roman" w:cs="Times New Roman"/>
          <w:bCs/>
        </w:rPr>
      </w:pPr>
      <w:r w:rsidRPr="00C079AC">
        <w:rPr>
          <w:rFonts w:ascii="Times New Roman" w:eastAsia="Times New Roman" w:hAnsi="Times New Roman" w:cs="Times New Roman"/>
          <w:bCs/>
        </w:rPr>
        <w:t>He/She is reliable in both his/her work and human relationships.</w:t>
      </w:r>
    </w:p>
    <w:p w:rsidR="00C00C66" w:rsidRPr="00C00C66" w:rsidRDefault="00C00C66" w:rsidP="00C14833">
      <w:pPr>
        <w:widowControl w:val="0"/>
        <w:numPr>
          <w:ilvl w:val="0"/>
          <w:numId w:val="133"/>
        </w:numPr>
        <w:spacing w:before="120" w:after="120" w:line="240" w:lineRule="auto"/>
        <w:ind w:left="709" w:hanging="218"/>
        <w:contextualSpacing/>
        <w:jc w:val="both"/>
        <w:rPr>
          <w:rFonts w:ascii="Times New Roman" w:eastAsia="Times New Roman" w:hAnsi="Times New Roman" w:cs="Times New Roman"/>
          <w:bCs/>
        </w:rPr>
      </w:pPr>
      <w:r w:rsidRPr="00C079AC">
        <w:rPr>
          <w:rFonts w:ascii="Times New Roman" w:eastAsia="Times New Roman" w:hAnsi="Times New Roman" w:cs="Times New Roman"/>
          <w:bCs/>
        </w:rPr>
        <w:t>He/She is committed to accuracy and high quality at work.</w:t>
      </w:r>
    </w:p>
    <w:p w:rsidR="00C00C66" w:rsidRPr="00C00C66" w:rsidRDefault="00C00C66" w:rsidP="00C14833">
      <w:pPr>
        <w:widowControl w:val="0"/>
        <w:numPr>
          <w:ilvl w:val="0"/>
          <w:numId w:val="133"/>
        </w:numPr>
        <w:spacing w:before="120" w:after="120" w:line="240" w:lineRule="auto"/>
        <w:ind w:left="709" w:hanging="218"/>
        <w:contextualSpacing/>
        <w:jc w:val="both"/>
        <w:rPr>
          <w:rFonts w:ascii="Times New Roman" w:eastAsia="Times New Roman" w:hAnsi="Times New Roman" w:cs="Times New Roman"/>
          <w:bCs/>
        </w:rPr>
      </w:pPr>
      <w:r w:rsidRPr="00C079AC">
        <w:rPr>
          <w:rFonts w:ascii="Times New Roman" w:eastAsia="Times New Roman" w:hAnsi="Times New Roman" w:cs="Times New Roman"/>
          <w:bCs/>
        </w:rPr>
        <w:t>His/Her activities are characterized by an efficiency-oriented approach.</w:t>
      </w:r>
    </w:p>
    <w:p w:rsidR="00C00C66" w:rsidRPr="00C00C66" w:rsidRDefault="00C00C66" w:rsidP="00C14833">
      <w:pPr>
        <w:widowControl w:val="0"/>
        <w:numPr>
          <w:ilvl w:val="0"/>
          <w:numId w:val="133"/>
        </w:numPr>
        <w:spacing w:before="120" w:after="120" w:line="240" w:lineRule="auto"/>
        <w:ind w:left="709" w:hanging="218"/>
        <w:contextualSpacing/>
        <w:jc w:val="both"/>
        <w:rPr>
          <w:rFonts w:ascii="Times New Roman" w:eastAsia="Times New Roman" w:hAnsi="Times New Roman" w:cs="Times New Roman"/>
          <w:bCs/>
        </w:rPr>
      </w:pPr>
      <w:r w:rsidRPr="00C079AC">
        <w:rPr>
          <w:rFonts w:ascii="Times New Roman" w:eastAsia="Times New Roman" w:hAnsi="Times New Roman" w:cs="Times New Roman"/>
          <w:bCs/>
        </w:rPr>
        <w:t>He/She has good organizational skills. He/she aims to adhere to the respective rules and make others follow them as well.</w:t>
      </w:r>
    </w:p>
    <w:p w:rsidR="00C00C66" w:rsidRPr="00C00C66" w:rsidRDefault="00C00C66" w:rsidP="00C14833">
      <w:pPr>
        <w:widowControl w:val="0"/>
        <w:numPr>
          <w:ilvl w:val="0"/>
          <w:numId w:val="133"/>
        </w:numPr>
        <w:spacing w:before="120" w:after="120" w:line="240" w:lineRule="auto"/>
        <w:ind w:left="709" w:hanging="218"/>
        <w:contextualSpacing/>
        <w:jc w:val="both"/>
        <w:rPr>
          <w:rFonts w:ascii="Times New Roman" w:eastAsia="Times New Roman" w:hAnsi="Times New Roman" w:cs="Times New Roman"/>
          <w:bCs/>
        </w:rPr>
      </w:pPr>
      <w:r w:rsidRPr="00C079AC">
        <w:rPr>
          <w:rFonts w:ascii="Times New Roman" w:eastAsia="Times New Roman" w:hAnsi="Times New Roman" w:cs="Times New Roman"/>
          <w:bCs/>
        </w:rPr>
        <w:t>His/her work and relationships can be described by loyalty and reliability.</w:t>
      </w:r>
    </w:p>
    <w:p w:rsidR="00C00C66" w:rsidRPr="00C079AC" w:rsidRDefault="00C00C66" w:rsidP="00C079AC">
      <w:pPr>
        <w:widowControl w:val="0"/>
        <w:spacing w:before="240" w:after="0" w:line="240" w:lineRule="auto"/>
        <w:ind w:left="425"/>
        <w:jc w:val="both"/>
        <w:rPr>
          <w:rFonts w:ascii="Times New Roman" w:eastAsia="Times New Roman" w:hAnsi="Times New Roman" w:cs="Times New Roman"/>
          <w:b/>
          <w:bCs/>
        </w:rPr>
      </w:pPr>
      <w:r w:rsidRPr="00C079AC">
        <w:rPr>
          <w:rFonts w:ascii="Times New Roman" w:eastAsia="Times New Roman" w:hAnsi="Times New Roman" w:cs="Times New Roman"/>
          <w:b/>
          <w:bCs/>
        </w:rPr>
        <w:t>Autonomy and responsibility:</w:t>
      </w:r>
    </w:p>
    <w:p w:rsidR="00C00C66" w:rsidRPr="00C079AC" w:rsidRDefault="00C00C66" w:rsidP="00C14833">
      <w:pPr>
        <w:widowControl w:val="0"/>
        <w:numPr>
          <w:ilvl w:val="0"/>
          <w:numId w:val="133"/>
        </w:numPr>
        <w:spacing w:before="120" w:after="120" w:line="240" w:lineRule="auto"/>
        <w:ind w:left="709" w:hanging="218"/>
        <w:contextualSpacing/>
        <w:jc w:val="both"/>
        <w:rPr>
          <w:rFonts w:ascii="Times New Roman" w:eastAsia="Times New Roman" w:hAnsi="Times New Roman" w:cs="Times New Roman"/>
          <w:bCs/>
        </w:rPr>
      </w:pPr>
      <w:r w:rsidRPr="00C00C66">
        <w:rPr>
          <w:rFonts w:ascii="Times New Roman" w:eastAsia="Times New Roman" w:hAnsi="Times New Roman" w:cs="Times New Roman"/>
          <w:bCs/>
        </w:rPr>
        <w:t>He/She is able to make autonomous decisions in military logistics and military management processes at unit and subunit level, and implement them with responsibility and within the legal framework.</w:t>
      </w:r>
    </w:p>
    <w:p w:rsidR="00C00C66" w:rsidRPr="00C079AC" w:rsidRDefault="00C00C66" w:rsidP="00C14833">
      <w:pPr>
        <w:widowControl w:val="0"/>
        <w:numPr>
          <w:ilvl w:val="0"/>
          <w:numId w:val="133"/>
        </w:numPr>
        <w:spacing w:before="120" w:after="120" w:line="240" w:lineRule="auto"/>
        <w:ind w:left="709" w:hanging="218"/>
        <w:contextualSpacing/>
        <w:jc w:val="both"/>
        <w:rPr>
          <w:rFonts w:ascii="Times New Roman" w:eastAsia="Times New Roman" w:hAnsi="Times New Roman" w:cs="Times New Roman"/>
          <w:bCs/>
        </w:rPr>
      </w:pPr>
      <w:r w:rsidRPr="00C00C66">
        <w:rPr>
          <w:rFonts w:ascii="Times New Roman" w:eastAsia="Times New Roman" w:hAnsi="Times New Roman" w:cs="Times New Roman"/>
          <w:bCs/>
        </w:rPr>
        <w:t>He/She is aware of the impact of his/her decisions and activities on technical equipment and business discipline.</w:t>
      </w:r>
    </w:p>
    <w:p w:rsidR="00C00C66" w:rsidRPr="00C079AC" w:rsidRDefault="00C00C66" w:rsidP="00C14833">
      <w:pPr>
        <w:widowControl w:val="0"/>
        <w:numPr>
          <w:ilvl w:val="0"/>
          <w:numId w:val="133"/>
        </w:numPr>
        <w:spacing w:before="120" w:after="120" w:line="240" w:lineRule="auto"/>
        <w:ind w:left="709" w:hanging="218"/>
        <w:contextualSpacing/>
        <w:jc w:val="both"/>
        <w:rPr>
          <w:rFonts w:ascii="Times New Roman" w:eastAsia="Times New Roman" w:hAnsi="Times New Roman" w:cs="Times New Roman"/>
          <w:bCs/>
        </w:rPr>
      </w:pPr>
      <w:r w:rsidRPr="00C00C66">
        <w:rPr>
          <w:rFonts w:ascii="Times New Roman" w:eastAsia="Times New Roman" w:hAnsi="Times New Roman" w:cs="Times New Roman"/>
          <w:bCs/>
        </w:rPr>
        <w:t xml:space="preserve">Is capable of organizing and determining the tasks of his/her subordinates as well as controlling their work based on professional aspects. </w:t>
      </w:r>
    </w:p>
    <w:p w:rsidR="00C00C66" w:rsidRPr="00C079AC" w:rsidRDefault="00C00C66" w:rsidP="00C14833">
      <w:pPr>
        <w:widowControl w:val="0"/>
        <w:numPr>
          <w:ilvl w:val="0"/>
          <w:numId w:val="133"/>
        </w:numPr>
        <w:spacing w:before="120" w:after="120" w:line="240" w:lineRule="auto"/>
        <w:ind w:left="709" w:hanging="218"/>
        <w:contextualSpacing/>
        <w:jc w:val="both"/>
        <w:rPr>
          <w:rFonts w:ascii="Times New Roman" w:eastAsia="Times New Roman" w:hAnsi="Times New Roman" w:cs="Times New Roman"/>
          <w:bCs/>
        </w:rPr>
      </w:pPr>
      <w:r w:rsidRPr="00C00C66">
        <w:rPr>
          <w:rFonts w:ascii="Times New Roman" w:eastAsia="Times New Roman" w:hAnsi="Times New Roman" w:cs="Times New Roman"/>
          <w:bCs/>
        </w:rPr>
        <w:t>After doing proper analysation, he/she is capable of making the best decisions and taking professional responsibility during the technical maintenance and repairing of the armored vehicles.</w:t>
      </w:r>
    </w:p>
    <w:p w:rsidR="00C00C66" w:rsidRPr="00C079AC" w:rsidRDefault="00C00C66" w:rsidP="00C14833">
      <w:pPr>
        <w:widowControl w:val="0"/>
        <w:numPr>
          <w:ilvl w:val="0"/>
          <w:numId w:val="133"/>
        </w:numPr>
        <w:spacing w:before="120" w:after="120" w:line="240" w:lineRule="auto"/>
        <w:ind w:left="709" w:hanging="218"/>
        <w:contextualSpacing/>
        <w:jc w:val="both"/>
        <w:rPr>
          <w:rFonts w:ascii="Times New Roman" w:eastAsia="Times New Roman" w:hAnsi="Times New Roman" w:cs="Times New Roman"/>
          <w:bCs/>
        </w:rPr>
      </w:pPr>
      <w:r w:rsidRPr="00C00C66">
        <w:rPr>
          <w:rFonts w:ascii="Times New Roman" w:eastAsia="Times New Roman" w:hAnsi="Times New Roman" w:cs="Times New Roman"/>
          <w:bCs/>
        </w:rPr>
        <w:t>He/she is cooperative and responsible towards the professionals of his/her field. Is capable of thinking in a system approach within his/her own field..</w:t>
      </w:r>
      <w:r w:rsidRPr="00C079AC">
        <w:rPr>
          <w:rFonts w:ascii="Times New Roman" w:eastAsia="Times New Roman" w:hAnsi="Times New Roman" w:cs="Times New Roman"/>
          <w:bCs/>
        </w:rPr>
        <w:t xml:space="preserve"> </w:t>
      </w:r>
    </w:p>
    <w:p w:rsidR="00C00C66" w:rsidRPr="00C00C66" w:rsidRDefault="00C00C66" w:rsidP="00980876">
      <w:pPr>
        <w:widowControl w:val="0"/>
        <w:numPr>
          <w:ilvl w:val="0"/>
          <w:numId w:val="646"/>
        </w:numPr>
        <w:tabs>
          <w:tab w:val="num" w:pos="567"/>
        </w:tabs>
        <w:spacing w:before="240" w:after="120" w:line="240" w:lineRule="auto"/>
        <w:ind w:left="426" w:hanging="142"/>
        <w:jc w:val="both"/>
        <w:rPr>
          <w:rFonts w:ascii="Times New Roman" w:eastAsia="Times New Roman" w:hAnsi="Times New Roman" w:cs="Times New Roman"/>
          <w:bCs/>
          <w:i/>
        </w:rPr>
      </w:pPr>
      <w:r w:rsidRPr="00C00C66">
        <w:rPr>
          <w:rFonts w:ascii="Times New Roman" w:eastAsia="Times New Roman" w:hAnsi="Times New Roman" w:cs="Times New Roman"/>
          <w:b/>
          <w:bCs/>
        </w:rPr>
        <w:t xml:space="preserve">Előtanulmányi követelmények: </w:t>
      </w:r>
      <w:r w:rsidRPr="00C00C66">
        <w:rPr>
          <w:rFonts w:ascii="Times New Roman" w:eastAsia="Times New Roman" w:hAnsi="Times New Roman" w:cs="Times New Roman"/>
          <w:bCs/>
        </w:rPr>
        <w:t>-</w:t>
      </w:r>
    </w:p>
    <w:p w:rsidR="00C00C66" w:rsidRPr="00C00C66" w:rsidRDefault="00C00C66" w:rsidP="00980876">
      <w:pPr>
        <w:widowControl w:val="0"/>
        <w:numPr>
          <w:ilvl w:val="0"/>
          <w:numId w:val="646"/>
        </w:numPr>
        <w:spacing w:before="120" w:after="120" w:line="240" w:lineRule="auto"/>
        <w:ind w:left="426" w:hanging="142"/>
        <w:jc w:val="both"/>
        <w:rPr>
          <w:rFonts w:ascii="Times New Roman" w:eastAsia="Times New Roman" w:hAnsi="Times New Roman" w:cs="Times New Roman"/>
          <w:b/>
          <w:bCs/>
        </w:rPr>
      </w:pPr>
      <w:r w:rsidRPr="00C00C66">
        <w:rPr>
          <w:rFonts w:ascii="Times New Roman" w:eastAsia="Times New Roman" w:hAnsi="Times New Roman" w:cs="Times New Roman"/>
          <w:b/>
          <w:bCs/>
        </w:rPr>
        <w:t>A tantárgy tananyagának leírása, tematika. Description of the subject, curriculum (magyarul, angolul - English):</w:t>
      </w:r>
    </w:p>
    <w:p w:rsidR="00C00C66" w:rsidRPr="00C00C66" w:rsidRDefault="00C00C66" w:rsidP="00980876">
      <w:pPr>
        <w:widowControl w:val="0"/>
        <w:numPr>
          <w:ilvl w:val="1"/>
          <w:numId w:val="646"/>
        </w:numPr>
        <w:tabs>
          <w:tab w:val="clear" w:pos="3977"/>
          <w:tab w:val="left" w:pos="709"/>
          <w:tab w:val="left" w:pos="993"/>
          <w:tab w:val="num" w:pos="1142"/>
          <w:tab w:val="num" w:pos="2069"/>
        </w:tabs>
        <w:spacing w:before="120" w:after="120" w:line="240" w:lineRule="auto"/>
        <w:ind w:left="426" w:firstLine="0"/>
        <w:jc w:val="both"/>
        <w:rPr>
          <w:rFonts w:ascii="Times New Roman" w:eastAsia="Times New Roman" w:hAnsi="Times New Roman" w:cs="Times New Roman"/>
          <w:b/>
        </w:rPr>
      </w:pPr>
      <w:r w:rsidRPr="00C00C66">
        <w:rPr>
          <w:rFonts w:ascii="Times New Roman" w:eastAsia="Times New Roman" w:hAnsi="Times New Roman" w:cs="Times New Roman"/>
          <w:b/>
          <w:bCs/>
        </w:rPr>
        <w:t>– 12.2</w:t>
      </w:r>
      <w:r w:rsidRPr="00C00C66">
        <w:rPr>
          <w:rFonts w:ascii="Times New Roman" w:eastAsia="Times New Roman" w:hAnsi="Times New Roman" w:cs="Times New Roman"/>
          <w:bCs/>
        </w:rPr>
        <w:t xml:space="preserve">. A technikai kiszolgálási rendszer fokozatai. </w:t>
      </w:r>
      <w:r w:rsidRPr="00C00C66">
        <w:rPr>
          <w:rFonts w:ascii="Times New Roman" w:eastAsia="Times New Roman" w:hAnsi="Times New Roman" w:cs="Times New Roman"/>
          <w:bCs/>
          <w:i/>
          <w:iCs/>
        </w:rPr>
        <w:t>(Degrees and steps of the technical maintenance system.)</w:t>
      </w:r>
      <w:r w:rsidRPr="00C00C66">
        <w:rPr>
          <w:rFonts w:ascii="Times New Roman" w:eastAsia="Times New Roman" w:hAnsi="Times New Roman" w:cs="Times New Roman"/>
          <w:bCs/>
        </w:rPr>
        <w:t xml:space="preserve"> </w:t>
      </w:r>
    </w:p>
    <w:p w:rsidR="00C00C66" w:rsidRPr="00C00C66" w:rsidRDefault="00C00C66" w:rsidP="00980876">
      <w:pPr>
        <w:widowControl w:val="0"/>
        <w:numPr>
          <w:ilvl w:val="1"/>
          <w:numId w:val="646"/>
        </w:numPr>
        <w:tabs>
          <w:tab w:val="clear" w:pos="3977"/>
          <w:tab w:val="left" w:pos="709"/>
          <w:tab w:val="num" w:pos="1142"/>
        </w:tabs>
        <w:spacing w:before="120" w:after="120" w:line="240" w:lineRule="auto"/>
        <w:ind w:left="1142"/>
        <w:jc w:val="both"/>
        <w:rPr>
          <w:rFonts w:ascii="Times New Roman" w:eastAsia="Times New Roman" w:hAnsi="Times New Roman" w:cs="Times New Roman"/>
          <w:bCs/>
          <w:vanish/>
        </w:rPr>
      </w:pPr>
    </w:p>
    <w:p w:rsidR="00C00C66" w:rsidRPr="00C00C66" w:rsidRDefault="00C00C66" w:rsidP="00980876">
      <w:pPr>
        <w:widowControl w:val="0"/>
        <w:numPr>
          <w:ilvl w:val="1"/>
          <w:numId w:val="646"/>
        </w:numPr>
        <w:tabs>
          <w:tab w:val="clear" w:pos="3977"/>
          <w:tab w:val="num" w:pos="426"/>
          <w:tab w:val="left" w:pos="709"/>
          <w:tab w:val="num" w:pos="993"/>
          <w:tab w:val="num" w:pos="1142"/>
          <w:tab w:val="num" w:pos="1985"/>
        </w:tabs>
        <w:spacing w:before="120" w:after="120" w:line="240" w:lineRule="auto"/>
        <w:ind w:left="426" w:firstLine="0"/>
        <w:jc w:val="both"/>
        <w:rPr>
          <w:rFonts w:ascii="Times New Roman" w:eastAsia="Times New Roman" w:hAnsi="Times New Roman" w:cs="Times New Roman"/>
          <w:b/>
        </w:rPr>
      </w:pPr>
      <w:r w:rsidRPr="00C00C66">
        <w:rPr>
          <w:rFonts w:ascii="Times New Roman" w:eastAsia="Times New Roman" w:hAnsi="Times New Roman" w:cs="Times New Roman"/>
          <w:b/>
          <w:bCs/>
        </w:rPr>
        <w:t>– 12.4.</w:t>
      </w:r>
      <w:r w:rsidRPr="00C00C66">
        <w:rPr>
          <w:rFonts w:ascii="Times New Roman" w:eastAsia="Times New Roman" w:hAnsi="Times New Roman" w:cs="Times New Roman"/>
          <w:bCs/>
        </w:rPr>
        <w:t xml:space="preserve">  A szakági beosztások feladatrendszere. </w:t>
      </w:r>
      <w:r w:rsidRPr="00C00C66">
        <w:rPr>
          <w:rFonts w:ascii="Times New Roman" w:eastAsia="Times New Roman" w:hAnsi="Times New Roman" w:cs="Times New Roman"/>
          <w:bCs/>
          <w:i/>
          <w:iCs/>
        </w:rPr>
        <w:t>(The task system of the professional positions.)</w:t>
      </w:r>
    </w:p>
    <w:p w:rsidR="00C00C66" w:rsidRPr="00C00C66" w:rsidRDefault="00C00C66" w:rsidP="00980876">
      <w:pPr>
        <w:widowControl w:val="0"/>
        <w:numPr>
          <w:ilvl w:val="1"/>
          <w:numId w:val="646"/>
        </w:numPr>
        <w:tabs>
          <w:tab w:val="clear" w:pos="3977"/>
          <w:tab w:val="left" w:pos="709"/>
          <w:tab w:val="left" w:pos="993"/>
          <w:tab w:val="num" w:pos="1142"/>
          <w:tab w:val="num" w:pos="2069"/>
        </w:tabs>
        <w:spacing w:before="120" w:after="120" w:line="240" w:lineRule="auto"/>
        <w:ind w:left="1142"/>
        <w:jc w:val="both"/>
        <w:rPr>
          <w:rFonts w:ascii="Times New Roman" w:eastAsia="Times New Roman" w:hAnsi="Times New Roman" w:cs="Times New Roman"/>
          <w:bCs/>
          <w:vanish/>
        </w:rPr>
      </w:pPr>
    </w:p>
    <w:p w:rsidR="00C00C66" w:rsidRPr="00C00C66" w:rsidRDefault="00C00C66" w:rsidP="00980876">
      <w:pPr>
        <w:widowControl w:val="0"/>
        <w:numPr>
          <w:ilvl w:val="1"/>
          <w:numId w:val="646"/>
        </w:numPr>
        <w:tabs>
          <w:tab w:val="clear" w:pos="3977"/>
          <w:tab w:val="left" w:pos="709"/>
          <w:tab w:val="left" w:pos="993"/>
          <w:tab w:val="num" w:pos="1142"/>
          <w:tab w:val="num" w:pos="2069"/>
        </w:tabs>
        <w:spacing w:before="120" w:after="120" w:line="240" w:lineRule="auto"/>
        <w:ind w:left="426" w:firstLine="0"/>
        <w:jc w:val="both"/>
        <w:rPr>
          <w:rFonts w:ascii="Times New Roman" w:eastAsia="Times New Roman" w:hAnsi="Times New Roman" w:cs="Times New Roman"/>
          <w:b/>
        </w:rPr>
      </w:pPr>
      <w:r w:rsidRPr="00C00C66">
        <w:rPr>
          <w:rFonts w:ascii="Times New Roman" w:eastAsia="Times New Roman" w:hAnsi="Times New Roman" w:cs="Times New Roman"/>
          <w:bCs/>
        </w:rPr>
        <w:t>Meghibásodás és javítás fokozatai</w:t>
      </w:r>
      <w:r w:rsidRPr="00C00C66">
        <w:rPr>
          <w:rFonts w:ascii="Times New Roman" w:eastAsia="Times New Roman" w:hAnsi="Times New Roman" w:cs="Times New Roman"/>
          <w:bCs/>
          <w:i/>
          <w:iCs/>
        </w:rPr>
        <w:t>. (Degrees of failure and repair.)</w:t>
      </w:r>
      <w:r w:rsidRPr="00C00C66">
        <w:rPr>
          <w:rFonts w:ascii="Times New Roman" w:eastAsia="Times New Roman" w:hAnsi="Times New Roman" w:cs="Times New Roman"/>
          <w:bCs/>
        </w:rPr>
        <w:t xml:space="preserve"> </w:t>
      </w:r>
    </w:p>
    <w:p w:rsidR="00C00C66" w:rsidRPr="00C00C66" w:rsidRDefault="00C00C66" w:rsidP="00980876">
      <w:pPr>
        <w:widowControl w:val="0"/>
        <w:numPr>
          <w:ilvl w:val="1"/>
          <w:numId w:val="646"/>
        </w:numPr>
        <w:tabs>
          <w:tab w:val="clear" w:pos="3977"/>
          <w:tab w:val="left" w:pos="709"/>
          <w:tab w:val="left" w:pos="993"/>
          <w:tab w:val="num" w:pos="1142"/>
          <w:tab w:val="num" w:pos="2069"/>
        </w:tabs>
        <w:spacing w:before="120" w:after="120" w:line="240" w:lineRule="auto"/>
        <w:ind w:left="426" w:firstLine="0"/>
        <w:jc w:val="both"/>
        <w:rPr>
          <w:rFonts w:ascii="Times New Roman" w:eastAsia="Times New Roman" w:hAnsi="Times New Roman" w:cs="Times New Roman"/>
        </w:rPr>
      </w:pPr>
      <w:r w:rsidRPr="00C00C66">
        <w:rPr>
          <w:rFonts w:ascii="Times New Roman" w:eastAsia="Times New Roman" w:hAnsi="Times New Roman" w:cs="Times New Roman"/>
          <w:bCs/>
        </w:rPr>
        <w:t xml:space="preserve">Az RMH fogalma. </w:t>
      </w:r>
      <w:r w:rsidRPr="00C00C66">
        <w:rPr>
          <w:rFonts w:ascii="Times New Roman" w:eastAsia="Times New Roman" w:hAnsi="Times New Roman" w:cs="Times New Roman"/>
          <w:bCs/>
          <w:i/>
          <w:iCs/>
        </w:rPr>
        <w:t>(The concept of exceptiolnal malfunction.)</w:t>
      </w:r>
    </w:p>
    <w:p w:rsidR="00C00C66" w:rsidRPr="00C00C66" w:rsidRDefault="00C00C66" w:rsidP="00980876">
      <w:pPr>
        <w:widowControl w:val="0"/>
        <w:numPr>
          <w:ilvl w:val="1"/>
          <w:numId w:val="646"/>
        </w:numPr>
        <w:tabs>
          <w:tab w:val="clear" w:pos="3977"/>
          <w:tab w:val="left" w:pos="709"/>
          <w:tab w:val="left" w:pos="993"/>
          <w:tab w:val="num" w:pos="1142"/>
          <w:tab w:val="num" w:pos="2069"/>
        </w:tabs>
        <w:spacing w:before="120" w:after="120" w:line="240" w:lineRule="auto"/>
        <w:ind w:left="426" w:firstLine="0"/>
        <w:jc w:val="both"/>
        <w:rPr>
          <w:rFonts w:ascii="Times New Roman" w:eastAsia="Times New Roman" w:hAnsi="Times New Roman" w:cs="Times New Roman"/>
          <w:b/>
        </w:rPr>
      </w:pPr>
      <w:r w:rsidRPr="00C00C66">
        <w:rPr>
          <w:rFonts w:ascii="Times New Roman" w:eastAsia="Times New Roman" w:hAnsi="Times New Roman" w:cs="Times New Roman"/>
          <w:b/>
          <w:bCs/>
        </w:rPr>
        <w:t>– 12.8.</w:t>
      </w:r>
      <w:r w:rsidRPr="00C00C66">
        <w:rPr>
          <w:rFonts w:ascii="Times New Roman" w:eastAsia="Times New Roman" w:hAnsi="Times New Roman" w:cs="Times New Roman"/>
          <w:bCs/>
        </w:rPr>
        <w:t xml:space="preserve"> Javításba adás folyamata, javításba adás okmányai. </w:t>
      </w:r>
      <w:r w:rsidRPr="00C00C66">
        <w:rPr>
          <w:rFonts w:ascii="Times New Roman" w:eastAsia="Times New Roman" w:hAnsi="Times New Roman" w:cs="Times New Roman"/>
          <w:bCs/>
          <w:i/>
          <w:iCs/>
        </w:rPr>
        <w:t>(Process and documentation of starting the repair.)</w:t>
      </w:r>
    </w:p>
    <w:p w:rsidR="00C00C66" w:rsidRPr="00C00C66" w:rsidRDefault="00C00C66" w:rsidP="00980876">
      <w:pPr>
        <w:widowControl w:val="0"/>
        <w:numPr>
          <w:ilvl w:val="1"/>
          <w:numId w:val="646"/>
        </w:numPr>
        <w:tabs>
          <w:tab w:val="clear" w:pos="3977"/>
          <w:tab w:val="left" w:pos="709"/>
          <w:tab w:val="left" w:pos="993"/>
          <w:tab w:val="num" w:pos="1142"/>
          <w:tab w:val="num" w:pos="2069"/>
        </w:tabs>
        <w:spacing w:before="120" w:after="120" w:line="240" w:lineRule="auto"/>
        <w:ind w:left="1142"/>
        <w:jc w:val="both"/>
        <w:rPr>
          <w:rFonts w:ascii="Times New Roman" w:eastAsia="Times New Roman" w:hAnsi="Times New Roman" w:cs="Times New Roman"/>
          <w:bCs/>
          <w:vanish/>
        </w:rPr>
      </w:pPr>
    </w:p>
    <w:p w:rsidR="00C00C66" w:rsidRPr="00C00C66" w:rsidRDefault="00C00C66" w:rsidP="00980876">
      <w:pPr>
        <w:widowControl w:val="0"/>
        <w:numPr>
          <w:ilvl w:val="1"/>
          <w:numId w:val="646"/>
        </w:numPr>
        <w:tabs>
          <w:tab w:val="clear" w:pos="3977"/>
          <w:tab w:val="left" w:pos="709"/>
          <w:tab w:val="left" w:pos="993"/>
          <w:tab w:val="num" w:pos="1142"/>
          <w:tab w:val="num" w:pos="2069"/>
        </w:tabs>
        <w:spacing w:before="120" w:after="120" w:line="240" w:lineRule="auto"/>
        <w:ind w:left="426" w:firstLine="0"/>
        <w:jc w:val="both"/>
        <w:rPr>
          <w:rFonts w:ascii="Times New Roman" w:eastAsia="Times New Roman" w:hAnsi="Times New Roman" w:cs="Times New Roman"/>
          <w:b/>
        </w:rPr>
      </w:pPr>
      <w:r w:rsidRPr="00C00C66">
        <w:rPr>
          <w:rFonts w:ascii="Times New Roman" w:eastAsia="Times New Roman" w:hAnsi="Times New Roman" w:cs="Times New Roman"/>
          <w:bCs/>
        </w:rPr>
        <w:t xml:space="preserve">A javítás folyamata, a kapacitással le nem fedhető javítások (polgári szolgáltatás igénybevétele, központi javításba adás). </w:t>
      </w:r>
      <w:r w:rsidRPr="00C00C66">
        <w:rPr>
          <w:rFonts w:ascii="Times New Roman" w:eastAsia="Times New Roman" w:hAnsi="Times New Roman" w:cs="Times New Roman"/>
          <w:bCs/>
          <w:i/>
          <w:iCs/>
        </w:rPr>
        <w:t xml:space="preserve">(The process of repair, repairs that  require external </w:t>
      </w:r>
      <w:r w:rsidRPr="00C00C66">
        <w:rPr>
          <w:rFonts w:ascii="Times New Roman" w:eastAsia="Times New Roman" w:hAnsi="Times New Roman" w:cs="Times New Roman"/>
          <w:bCs/>
          <w:i/>
          <w:iCs/>
        </w:rPr>
        <w:lastRenderedPageBreak/>
        <w:t>assistance (civil service, central repairs)</w:t>
      </w:r>
      <w:r w:rsidRPr="00C00C66">
        <w:rPr>
          <w:rFonts w:ascii="Times New Roman" w:eastAsia="Times New Roman" w:hAnsi="Times New Roman" w:cs="Times New Roman"/>
          <w:bCs/>
        </w:rPr>
        <w:t xml:space="preserve">.) </w:t>
      </w:r>
    </w:p>
    <w:p w:rsidR="00C00C66" w:rsidRPr="00C00C66" w:rsidRDefault="00C00C66" w:rsidP="00980876">
      <w:pPr>
        <w:widowControl w:val="0"/>
        <w:numPr>
          <w:ilvl w:val="1"/>
          <w:numId w:val="646"/>
        </w:numPr>
        <w:tabs>
          <w:tab w:val="clear" w:pos="3977"/>
          <w:tab w:val="left" w:pos="709"/>
          <w:tab w:val="left" w:pos="993"/>
          <w:tab w:val="num" w:pos="1142"/>
          <w:tab w:val="num" w:pos="2069"/>
        </w:tabs>
        <w:spacing w:before="120" w:after="120" w:line="240" w:lineRule="auto"/>
        <w:ind w:left="426" w:firstLine="0"/>
        <w:jc w:val="both"/>
        <w:rPr>
          <w:rFonts w:ascii="Times New Roman" w:eastAsia="Times New Roman" w:hAnsi="Times New Roman" w:cs="Times New Roman"/>
          <w:b/>
        </w:rPr>
      </w:pPr>
      <w:r w:rsidRPr="00C00C66">
        <w:rPr>
          <w:rFonts w:ascii="Times New Roman" w:eastAsia="Times New Roman" w:hAnsi="Times New Roman" w:cs="Times New Roman"/>
          <w:bCs/>
        </w:rPr>
        <w:t xml:space="preserve"> A javító alegység felépítése, feladatai. </w:t>
      </w:r>
      <w:r w:rsidRPr="00C00C66">
        <w:rPr>
          <w:rFonts w:ascii="Times New Roman" w:eastAsia="Times New Roman" w:hAnsi="Times New Roman" w:cs="Times New Roman"/>
          <w:bCs/>
          <w:i/>
          <w:iCs/>
        </w:rPr>
        <w:t>(The tasks, structure of the maintenance subunit.)</w:t>
      </w:r>
    </w:p>
    <w:p w:rsidR="00C00C66" w:rsidRPr="00C00C66" w:rsidRDefault="00C00C66" w:rsidP="00980876">
      <w:pPr>
        <w:widowControl w:val="0"/>
        <w:numPr>
          <w:ilvl w:val="1"/>
          <w:numId w:val="646"/>
        </w:numPr>
        <w:tabs>
          <w:tab w:val="clear" w:pos="3977"/>
          <w:tab w:val="left" w:pos="709"/>
          <w:tab w:val="left" w:pos="993"/>
          <w:tab w:val="num" w:pos="1142"/>
          <w:tab w:val="num" w:pos="2069"/>
        </w:tabs>
        <w:spacing w:before="120" w:after="120" w:line="240" w:lineRule="auto"/>
        <w:ind w:left="426" w:firstLine="0"/>
        <w:jc w:val="both"/>
        <w:rPr>
          <w:rFonts w:ascii="Times New Roman" w:eastAsia="Times New Roman" w:hAnsi="Times New Roman" w:cs="Times New Roman"/>
          <w:b/>
        </w:rPr>
      </w:pPr>
      <w:r w:rsidRPr="00C00C66">
        <w:rPr>
          <w:rFonts w:ascii="Times New Roman" w:eastAsia="Times New Roman" w:hAnsi="Times New Roman" w:cs="Times New Roman"/>
          <w:bCs/>
        </w:rPr>
        <w:t xml:space="preserve"> A javító alegység munkájának szervezése</w:t>
      </w:r>
      <w:r w:rsidRPr="00C00C66">
        <w:rPr>
          <w:rFonts w:ascii="Times New Roman" w:eastAsia="Times New Roman" w:hAnsi="Times New Roman" w:cs="Times New Roman"/>
          <w:bCs/>
          <w:i/>
          <w:iCs/>
        </w:rPr>
        <w:t>. (Management of the maintenance subunit.).</w:t>
      </w:r>
      <w:r w:rsidRPr="00C00C66">
        <w:rPr>
          <w:rFonts w:ascii="Times New Roman" w:eastAsia="Times New Roman" w:hAnsi="Times New Roman" w:cs="Times New Roman"/>
          <w:bCs/>
        </w:rPr>
        <w:t xml:space="preserve"> </w:t>
      </w:r>
    </w:p>
    <w:p w:rsidR="00C00C66" w:rsidRPr="00C00C66" w:rsidRDefault="00C00C66" w:rsidP="00980876">
      <w:pPr>
        <w:widowControl w:val="0"/>
        <w:numPr>
          <w:ilvl w:val="1"/>
          <w:numId w:val="646"/>
        </w:numPr>
        <w:tabs>
          <w:tab w:val="clear" w:pos="3977"/>
          <w:tab w:val="left" w:pos="709"/>
          <w:tab w:val="left" w:pos="993"/>
          <w:tab w:val="num" w:pos="1142"/>
          <w:tab w:val="num" w:pos="2069"/>
        </w:tabs>
        <w:spacing w:before="120" w:after="120" w:line="240" w:lineRule="auto"/>
        <w:ind w:left="426" w:firstLine="0"/>
        <w:jc w:val="both"/>
        <w:rPr>
          <w:rFonts w:ascii="Times New Roman" w:eastAsia="Times New Roman" w:hAnsi="Times New Roman" w:cs="Times New Roman"/>
          <w:b/>
          <w:i/>
          <w:iCs/>
        </w:rPr>
      </w:pPr>
      <w:r w:rsidRPr="00C00C66">
        <w:rPr>
          <w:rFonts w:ascii="Times New Roman" w:eastAsia="Times New Roman" w:hAnsi="Times New Roman" w:cs="Times New Roman"/>
          <w:bCs/>
        </w:rPr>
        <w:t xml:space="preserve"> Műhely munkavégzés biztonsági előírásai, munkavédelmi előírások, tűzvédelmi előírások. </w:t>
      </w:r>
      <w:r w:rsidRPr="00C00C66">
        <w:rPr>
          <w:rFonts w:ascii="Times New Roman" w:eastAsia="Times New Roman" w:hAnsi="Times New Roman" w:cs="Times New Roman"/>
          <w:bCs/>
          <w:i/>
          <w:iCs/>
        </w:rPr>
        <w:t xml:space="preserve">(Safety regulations, work safety regulations, fire safety regulations of working in a workshop.) </w:t>
      </w:r>
    </w:p>
    <w:p w:rsidR="00C00C66" w:rsidRPr="00C00C66" w:rsidRDefault="00C00C66" w:rsidP="00980876">
      <w:pPr>
        <w:widowControl w:val="0"/>
        <w:numPr>
          <w:ilvl w:val="1"/>
          <w:numId w:val="646"/>
        </w:numPr>
        <w:tabs>
          <w:tab w:val="clear" w:pos="3977"/>
          <w:tab w:val="left" w:pos="709"/>
          <w:tab w:val="left" w:pos="993"/>
          <w:tab w:val="num" w:pos="1142"/>
          <w:tab w:val="num" w:pos="2069"/>
        </w:tabs>
        <w:spacing w:before="120" w:after="120" w:line="240" w:lineRule="auto"/>
        <w:ind w:left="426" w:firstLine="0"/>
        <w:jc w:val="both"/>
        <w:rPr>
          <w:rFonts w:ascii="Times New Roman" w:eastAsia="Times New Roman" w:hAnsi="Times New Roman" w:cs="Times New Roman"/>
        </w:rPr>
      </w:pPr>
      <w:r w:rsidRPr="00C00C66">
        <w:rPr>
          <w:rFonts w:ascii="Times New Roman" w:eastAsia="Times New Roman" w:hAnsi="Times New Roman" w:cs="Times New Roman"/>
          <w:b/>
        </w:rPr>
        <w:t xml:space="preserve"> </w:t>
      </w:r>
      <w:r w:rsidRPr="00C00C66">
        <w:rPr>
          <w:rFonts w:ascii="Times New Roman" w:eastAsia="Times New Roman" w:hAnsi="Times New Roman" w:cs="Times New Roman"/>
          <w:bCs/>
        </w:rPr>
        <w:t xml:space="preserve">Műhely munkavégzés biztonsági előírásai, munkavédelmi előírások, tűzvédelmi előírások. </w:t>
      </w:r>
      <w:r w:rsidRPr="00C00C66">
        <w:rPr>
          <w:rFonts w:ascii="Times New Roman" w:eastAsia="Times New Roman" w:hAnsi="Times New Roman" w:cs="Times New Roman"/>
          <w:bCs/>
          <w:i/>
          <w:iCs/>
        </w:rPr>
        <w:t>(Safety regulations, work safety regulations, fire safety regulations of working in a workshop.)</w:t>
      </w:r>
      <w:r w:rsidRPr="00C00C66">
        <w:rPr>
          <w:rFonts w:ascii="Times New Roman" w:eastAsia="Times New Roman" w:hAnsi="Times New Roman" w:cs="Times New Roman"/>
          <w:bCs/>
        </w:rPr>
        <w:t xml:space="preserve"> (2/2)</w:t>
      </w:r>
    </w:p>
    <w:p w:rsidR="00C00C66" w:rsidRPr="00C00C66" w:rsidRDefault="00C00C66" w:rsidP="00980876">
      <w:pPr>
        <w:widowControl w:val="0"/>
        <w:numPr>
          <w:ilvl w:val="1"/>
          <w:numId w:val="646"/>
        </w:numPr>
        <w:tabs>
          <w:tab w:val="clear" w:pos="3977"/>
          <w:tab w:val="left" w:pos="709"/>
          <w:tab w:val="left" w:pos="993"/>
          <w:tab w:val="num" w:pos="1142"/>
          <w:tab w:val="num" w:pos="2069"/>
        </w:tabs>
        <w:spacing w:before="120" w:after="120" w:line="240" w:lineRule="auto"/>
        <w:ind w:left="426" w:firstLine="0"/>
        <w:jc w:val="both"/>
        <w:rPr>
          <w:rFonts w:ascii="Times New Roman" w:eastAsia="Times New Roman" w:hAnsi="Times New Roman" w:cs="Times New Roman"/>
          <w:b/>
        </w:rPr>
      </w:pPr>
      <w:r w:rsidRPr="00C00C66">
        <w:rPr>
          <w:rFonts w:ascii="Times New Roman" w:eastAsia="Times New Roman" w:hAnsi="Times New Roman" w:cs="Times New Roman"/>
          <w:bCs/>
        </w:rPr>
        <w:t xml:space="preserve"> A PC és GJMŰ szakág okmányai, okmányok kezelése, kitöltése nyilvántartása (besorolási parancs, technikai kiszolgálási tervek). </w:t>
      </w:r>
      <w:r w:rsidRPr="00C00C66">
        <w:rPr>
          <w:rFonts w:ascii="Times New Roman" w:eastAsia="Times New Roman" w:hAnsi="Times New Roman" w:cs="Times New Roman"/>
          <w:bCs/>
          <w:i/>
          <w:iCs/>
        </w:rPr>
        <w:t>(Documents of the vehicle maintenance, records management and filling records (technical service plans).)</w:t>
      </w:r>
    </w:p>
    <w:p w:rsidR="00C00C66" w:rsidRPr="00C00C66" w:rsidRDefault="00C00C66" w:rsidP="00980876">
      <w:pPr>
        <w:widowControl w:val="0"/>
        <w:numPr>
          <w:ilvl w:val="0"/>
          <w:numId w:val="646"/>
        </w:numPr>
        <w:tabs>
          <w:tab w:val="num" w:pos="360"/>
        </w:tabs>
        <w:spacing w:before="120" w:after="120" w:line="240" w:lineRule="auto"/>
        <w:ind w:left="426" w:hanging="142"/>
        <w:jc w:val="both"/>
        <w:rPr>
          <w:rFonts w:ascii="Times New Roman" w:eastAsia="Times New Roman" w:hAnsi="Times New Roman" w:cs="Times New Roman"/>
          <w:bCs/>
        </w:rPr>
      </w:pPr>
      <w:r w:rsidRPr="00C00C66">
        <w:rPr>
          <w:rFonts w:ascii="Times New Roman" w:eastAsia="Times New Roman" w:hAnsi="Times New Roman" w:cs="Times New Roman"/>
          <w:b/>
          <w:bCs/>
        </w:rPr>
        <w:t xml:space="preserve">A tantárgy meghirdetésének gyakorisága/a tantervben történő félévi elhelyezkedése: </w:t>
      </w:r>
      <w:r w:rsidRPr="00C00C66">
        <w:rPr>
          <w:rFonts w:ascii="Times New Roman" w:eastAsia="Times New Roman" w:hAnsi="Times New Roman" w:cs="Times New Roman"/>
          <w:bCs/>
        </w:rPr>
        <w:t>5. félév</w:t>
      </w:r>
    </w:p>
    <w:p w:rsidR="00C00C66" w:rsidRPr="00C00C66" w:rsidRDefault="00C00C66" w:rsidP="00980876">
      <w:pPr>
        <w:widowControl w:val="0"/>
        <w:numPr>
          <w:ilvl w:val="0"/>
          <w:numId w:val="646"/>
        </w:numPr>
        <w:tabs>
          <w:tab w:val="num" w:pos="360"/>
        </w:tabs>
        <w:spacing w:before="120" w:after="120" w:line="240" w:lineRule="auto"/>
        <w:ind w:left="426" w:hanging="142"/>
        <w:jc w:val="both"/>
        <w:rPr>
          <w:rFonts w:ascii="Times New Roman" w:eastAsia="Times New Roman" w:hAnsi="Times New Roman" w:cs="Times New Roman"/>
          <w:bCs/>
        </w:rPr>
      </w:pPr>
      <w:r w:rsidRPr="00C00C66">
        <w:rPr>
          <w:rFonts w:ascii="Times New Roman" w:eastAsia="Times New Roman" w:hAnsi="Times New Roman" w:cs="Times New Roman"/>
          <w:b/>
          <w:bCs/>
        </w:rPr>
        <w:t>A tanórákon való részvétel követelményei, az elfogadható hiányzások mértéke, a távolmaradás pótlásának lehetősége:</w:t>
      </w:r>
      <w:r w:rsidRPr="00C00C66">
        <w:rPr>
          <w:rFonts w:ascii="Times New Roman" w:eastAsia="Times New Roman" w:hAnsi="Times New Roman" w:cs="Times New Roman"/>
          <w:bCs/>
        </w:rPr>
        <w:t xml:space="preserve"> A tanórákat csak a kurzusra eredményesen jelentkezett hallgatók látogathatják. Az aláírás megszerzésének szempontjából az elfogadható hiányzás mértéke nem haladhatja meg a tanórák 30%-át, ellenkező esetben az aláírást meg kell tagadni. A hiányzás pótolható az oktató által kijelölt témakörben beadott, legalább elégségesre értékelt házidolgozattal. Az aláírás pótlása a TVSZ-ben megfogalmazott módon lehetséges.</w:t>
      </w:r>
    </w:p>
    <w:p w:rsidR="00C00C66" w:rsidRPr="00C00C66" w:rsidRDefault="00C00C66" w:rsidP="00980876">
      <w:pPr>
        <w:widowControl w:val="0"/>
        <w:numPr>
          <w:ilvl w:val="0"/>
          <w:numId w:val="646"/>
        </w:numPr>
        <w:tabs>
          <w:tab w:val="num" w:pos="360"/>
        </w:tabs>
        <w:spacing w:before="120" w:after="120" w:line="240" w:lineRule="auto"/>
        <w:ind w:left="426" w:hanging="142"/>
        <w:jc w:val="both"/>
        <w:rPr>
          <w:rFonts w:ascii="Times New Roman" w:eastAsia="Times New Roman" w:hAnsi="Times New Roman" w:cs="Times New Roman"/>
          <w:bCs/>
        </w:rPr>
      </w:pPr>
      <w:r w:rsidRPr="00C00C66">
        <w:rPr>
          <w:rFonts w:ascii="Times New Roman" w:eastAsia="Times New Roman" w:hAnsi="Times New Roman" w:cs="Times New Roman"/>
          <w:b/>
        </w:rPr>
        <w:t>Félévközi feladatok, ismeretek ellenőrzésének rendje:</w:t>
      </w:r>
      <w:r w:rsidRPr="00C00C66">
        <w:rPr>
          <w:rFonts w:ascii="Times New Roman" w:eastAsia="Times New Roman" w:hAnsi="Times New Roman" w:cs="Times New Roman"/>
          <w:bCs/>
        </w:rPr>
        <w:t xml:space="preserve"> Az ismeretek ellenőrzése két zárthelyi dolgozat megírása alapján történik. A zárthelyi dolgozatok témái a 12.1.–12.6. és a 12.7.–12.14. tantárgyrészekből a kötelező irodalmak anyagából, illetve az előadásokon elhangzott ismeretanyagból kell összeállítani. Az érdemjegyek pontszámait a kiadott feladatlap tartalmazza. A dolgozatban teszt és esszé jellegű kérdések egyaránt szerepelhetnek. A zárthelyi dolgozat értékelése ötfokozatú értékelés. A zárthelyi írásbeli dolgozat értékelése az elért maximális pontszám 60%-ig elégtelen; 61-70%-a között elégséges; 71-80%-a között közepes; 81-90%-a között jó; e felett jeles. Eredménytelen zárthelyi dolgozat kétszer javítható. A félévközi jegyet az elért eredmények kerekített matematikai átlaga képezi. A bármely zárthelyi dolgozatból vagy beadandó feladatból kapott elégtelen (1) osztályzat aláírás megtagadást jelent.  A 14. pontban említett beadandó dolgozat a hiányzást ellentételező feladat, a zárthelyi dolgozatokat nem helyettesíti.</w:t>
      </w:r>
    </w:p>
    <w:p w:rsidR="00C00C66" w:rsidRPr="00C00C66" w:rsidRDefault="00C00C66" w:rsidP="00980876">
      <w:pPr>
        <w:widowControl w:val="0"/>
        <w:numPr>
          <w:ilvl w:val="0"/>
          <w:numId w:val="646"/>
        </w:numPr>
        <w:spacing w:before="120" w:after="120" w:line="240" w:lineRule="auto"/>
        <w:ind w:left="426" w:hanging="142"/>
        <w:jc w:val="both"/>
        <w:rPr>
          <w:rFonts w:ascii="Times New Roman" w:eastAsia="Times New Roman" w:hAnsi="Times New Roman" w:cs="Times New Roman"/>
          <w:b/>
          <w:bCs/>
        </w:rPr>
      </w:pPr>
      <w:r w:rsidRPr="00C00C66">
        <w:rPr>
          <w:rFonts w:ascii="Times New Roman" w:eastAsia="Times New Roman" w:hAnsi="Times New Roman" w:cs="Times New Roman"/>
          <w:b/>
          <w:bCs/>
        </w:rPr>
        <w:t xml:space="preserve">Az értékelés, az aláírás és a kreditek megszerzésének pontos feltételei: </w:t>
      </w:r>
    </w:p>
    <w:p w:rsidR="00C00C66" w:rsidRPr="00C00C66" w:rsidRDefault="00C00C66" w:rsidP="00C00C66">
      <w:pPr>
        <w:widowControl w:val="0"/>
        <w:spacing w:before="120" w:after="120" w:line="240" w:lineRule="auto"/>
        <w:ind w:left="426"/>
        <w:jc w:val="both"/>
        <w:rPr>
          <w:rFonts w:ascii="Times New Roman" w:eastAsia="Times New Roman" w:hAnsi="Times New Roman" w:cs="Times New Roman"/>
          <w:bCs/>
        </w:rPr>
      </w:pPr>
      <w:r w:rsidRPr="00C00C66">
        <w:rPr>
          <w:rFonts w:ascii="Times New Roman" w:eastAsia="Times New Roman" w:hAnsi="Times New Roman" w:cs="Times New Roman"/>
          <w:b/>
          <w:bCs/>
        </w:rPr>
        <w:t xml:space="preserve">16.1.: Az aláírás megszerzésének feltételei: </w:t>
      </w:r>
      <w:r w:rsidRPr="00C00C66">
        <w:rPr>
          <w:rFonts w:ascii="Times New Roman" w:eastAsia="Calibri" w:hAnsi="Times New Roman" w:cs="Times New Roman"/>
          <w:bCs/>
        </w:rPr>
        <w:t>Az aláírás megszerzésének feltétele a 14. pontban meghatározott arányú részvétel a foglalkozásokon és a 15. pontban meghatározott félévközi feladatok legalább elégséges teljesítése.</w:t>
      </w:r>
    </w:p>
    <w:p w:rsidR="00C00C66" w:rsidRPr="00C00C66" w:rsidRDefault="00C00C66" w:rsidP="00C00C66">
      <w:pPr>
        <w:widowControl w:val="0"/>
        <w:spacing w:before="120" w:after="120" w:line="240" w:lineRule="auto"/>
        <w:ind w:left="426"/>
        <w:jc w:val="both"/>
        <w:rPr>
          <w:rFonts w:ascii="Times New Roman" w:eastAsia="Times New Roman" w:hAnsi="Times New Roman" w:cs="Times New Roman"/>
          <w:bCs/>
        </w:rPr>
      </w:pPr>
      <w:r w:rsidRPr="00C00C66">
        <w:rPr>
          <w:rFonts w:ascii="Times New Roman" w:eastAsia="Times New Roman" w:hAnsi="Times New Roman" w:cs="Times New Roman"/>
          <w:b/>
          <w:bCs/>
        </w:rPr>
        <w:t>16.2.: Az értékelés:</w:t>
      </w:r>
      <w:r w:rsidRPr="00C00C66">
        <w:rPr>
          <w:rFonts w:ascii="Times New Roman" w:eastAsia="Times New Roman" w:hAnsi="Times New Roman" w:cs="Times New Roman"/>
          <w:bCs/>
        </w:rPr>
        <w:t xml:space="preserve"> évközi értékelés, ötfokozatú értékelés. Az évközi értékelést az elért eredmények kerekített matematikai átlaga képezi. </w:t>
      </w:r>
    </w:p>
    <w:p w:rsidR="00C079AC" w:rsidRDefault="00C00C66" w:rsidP="00C00C66">
      <w:pPr>
        <w:widowControl w:val="0"/>
        <w:spacing w:before="120" w:after="120" w:line="240" w:lineRule="auto"/>
        <w:ind w:left="426"/>
        <w:jc w:val="both"/>
        <w:rPr>
          <w:rFonts w:ascii="Times New Roman" w:eastAsia="Times New Roman" w:hAnsi="Times New Roman" w:cs="Times New Roman"/>
          <w:bCs/>
        </w:rPr>
      </w:pPr>
      <w:r w:rsidRPr="00C00C66">
        <w:rPr>
          <w:rFonts w:ascii="Times New Roman" w:eastAsia="Times New Roman" w:hAnsi="Times New Roman" w:cs="Times New Roman"/>
          <w:b/>
          <w:bCs/>
        </w:rPr>
        <w:t>16.3.: A kreditek megszerzésének feltételei:</w:t>
      </w:r>
      <w:r w:rsidRPr="00C00C66">
        <w:rPr>
          <w:rFonts w:ascii="Times New Roman" w:eastAsia="Times New Roman" w:hAnsi="Times New Roman" w:cs="Times New Roman"/>
          <w:bCs/>
        </w:rPr>
        <w:t xml:space="preserve"> </w:t>
      </w:r>
    </w:p>
    <w:p w:rsidR="00C00C66" w:rsidRPr="00C00C66" w:rsidRDefault="00C00C66" w:rsidP="00C00C66">
      <w:pPr>
        <w:widowControl w:val="0"/>
        <w:spacing w:before="120" w:after="120" w:line="240" w:lineRule="auto"/>
        <w:ind w:left="426"/>
        <w:jc w:val="both"/>
        <w:rPr>
          <w:rFonts w:ascii="Times New Roman" w:eastAsia="Times New Roman" w:hAnsi="Times New Roman" w:cs="Times New Roman"/>
          <w:bCs/>
        </w:rPr>
      </w:pPr>
      <w:r w:rsidRPr="00C00C66">
        <w:rPr>
          <w:rFonts w:ascii="Times New Roman" w:eastAsia="Times New Roman" w:hAnsi="Times New Roman" w:cs="Times New Roman"/>
          <w:bCs/>
        </w:rPr>
        <w:t>Az aláírás, valamint a félévközi jegy megszerzése.</w:t>
      </w:r>
    </w:p>
    <w:p w:rsidR="00C00C66" w:rsidRPr="00C00C66" w:rsidRDefault="00C00C66" w:rsidP="00980876">
      <w:pPr>
        <w:widowControl w:val="0"/>
        <w:numPr>
          <w:ilvl w:val="0"/>
          <w:numId w:val="646"/>
        </w:numPr>
        <w:tabs>
          <w:tab w:val="num" w:pos="360"/>
        </w:tabs>
        <w:spacing w:before="120" w:after="120" w:line="240" w:lineRule="auto"/>
        <w:ind w:left="426" w:hanging="142"/>
        <w:jc w:val="both"/>
        <w:rPr>
          <w:rFonts w:ascii="Times New Roman" w:eastAsia="Times New Roman" w:hAnsi="Times New Roman" w:cs="Times New Roman"/>
          <w:bCs/>
        </w:rPr>
      </w:pPr>
      <w:r w:rsidRPr="00C00C66">
        <w:rPr>
          <w:rFonts w:ascii="Times New Roman" w:eastAsia="Times New Roman" w:hAnsi="Times New Roman" w:cs="Times New Roman"/>
          <w:b/>
          <w:bCs/>
        </w:rPr>
        <w:t>Irodalomjegyzék:</w:t>
      </w:r>
    </w:p>
    <w:p w:rsidR="00C00C66" w:rsidRPr="00C00C66" w:rsidRDefault="00C00C66" w:rsidP="00980876">
      <w:pPr>
        <w:widowControl w:val="0"/>
        <w:numPr>
          <w:ilvl w:val="1"/>
          <w:numId w:val="646"/>
        </w:numPr>
        <w:tabs>
          <w:tab w:val="clear" w:pos="3977"/>
          <w:tab w:val="left" w:pos="709"/>
          <w:tab w:val="left" w:pos="993"/>
          <w:tab w:val="num" w:pos="1142"/>
          <w:tab w:val="num" w:pos="2069"/>
        </w:tabs>
        <w:spacing w:before="120" w:after="120" w:line="240" w:lineRule="auto"/>
        <w:ind w:left="426" w:firstLine="0"/>
        <w:jc w:val="both"/>
        <w:rPr>
          <w:rFonts w:ascii="Times New Roman" w:eastAsia="Times New Roman" w:hAnsi="Times New Roman" w:cs="Times New Roman"/>
          <w:b/>
          <w:bCs/>
        </w:rPr>
      </w:pPr>
      <w:r w:rsidRPr="00C00C66">
        <w:rPr>
          <w:rFonts w:ascii="Times New Roman" w:eastAsia="Times New Roman" w:hAnsi="Times New Roman" w:cs="Times New Roman"/>
          <w:b/>
          <w:bCs/>
        </w:rPr>
        <w:t>Kötelező irodalom:</w:t>
      </w:r>
    </w:p>
    <w:p w:rsidR="00C00C66" w:rsidRPr="00C00C66" w:rsidRDefault="00C00C66" w:rsidP="00980876">
      <w:pPr>
        <w:widowControl w:val="0"/>
        <w:numPr>
          <w:ilvl w:val="0"/>
          <w:numId w:val="790"/>
        </w:numPr>
        <w:spacing w:after="0" w:line="240" w:lineRule="auto"/>
        <w:contextualSpacing/>
        <w:jc w:val="both"/>
        <w:rPr>
          <w:rFonts w:ascii="Times New Roman" w:eastAsia="Times New Roman" w:hAnsi="Times New Roman" w:cs="Times New Roman"/>
        </w:rPr>
      </w:pPr>
      <w:r w:rsidRPr="00C00C66">
        <w:rPr>
          <w:rFonts w:ascii="Times New Roman" w:eastAsia="Times New Roman" w:hAnsi="Times New Roman" w:cs="Times New Roman"/>
        </w:rPr>
        <w:t xml:space="preserve">Gjmű/2. Gépjármű-igénybevételi szabályzat. A Magyar Honvédség kiadványa, 2015. </w:t>
      </w:r>
    </w:p>
    <w:p w:rsidR="00C00C66" w:rsidRPr="00C00C66" w:rsidRDefault="00C00C66" w:rsidP="00980876">
      <w:pPr>
        <w:widowControl w:val="0"/>
        <w:numPr>
          <w:ilvl w:val="0"/>
          <w:numId w:val="790"/>
        </w:numPr>
        <w:spacing w:after="0" w:line="240" w:lineRule="auto"/>
        <w:contextualSpacing/>
        <w:jc w:val="both"/>
        <w:rPr>
          <w:rFonts w:ascii="Times New Roman" w:eastAsia="Times New Roman" w:hAnsi="Times New Roman" w:cs="Times New Roman"/>
        </w:rPr>
      </w:pPr>
      <w:r w:rsidRPr="00C00C66">
        <w:rPr>
          <w:rFonts w:ascii="Times New Roman" w:eastAsia="Times New Roman" w:hAnsi="Times New Roman" w:cs="Times New Roman"/>
        </w:rPr>
        <w:t xml:space="preserve">A Magyar Honvédség egységes iratkezelési szabályzata. Melléklet a 20/2008. (HK 6.) HM utasításhoz: Ált/40. </w:t>
      </w:r>
    </w:p>
    <w:p w:rsidR="00C00C66" w:rsidRPr="00C00C66" w:rsidRDefault="00C00C66" w:rsidP="00980876">
      <w:pPr>
        <w:widowControl w:val="0"/>
        <w:numPr>
          <w:ilvl w:val="0"/>
          <w:numId w:val="790"/>
        </w:numPr>
        <w:spacing w:after="0" w:line="240" w:lineRule="auto"/>
        <w:contextualSpacing/>
        <w:jc w:val="both"/>
        <w:rPr>
          <w:rFonts w:ascii="Times New Roman" w:eastAsia="Times New Roman" w:hAnsi="Times New Roman" w:cs="Times New Roman"/>
        </w:rPr>
      </w:pPr>
      <w:r w:rsidRPr="00C00C66">
        <w:rPr>
          <w:rFonts w:ascii="Times New Roman" w:eastAsia="Times New Roman" w:hAnsi="Times New Roman" w:cs="Times New Roman"/>
        </w:rPr>
        <w:t xml:space="preserve">Ált/23. A Magyar Honvédség szolgálati szabályzata. </w:t>
      </w:r>
    </w:p>
    <w:p w:rsidR="00C00C66" w:rsidRPr="00C00C66" w:rsidRDefault="00C00C66" w:rsidP="00980876">
      <w:pPr>
        <w:widowControl w:val="0"/>
        <w:numPr>
          <w:ilvl w:val="0"/>
          <w:numId w:val="790"/>
        </w:numPr>
        <w:spacing w:after="0" w:line="240" w:lineRule="auto"/>
        <w:contextualSpacing/>
        <w:jc w:val="both"/>
        <w:rPr>
          <w:rFonts w:ascii="Times New Roman" w:eastAsia="Times New Roman" w:hAnsi="Times New Roman" w:cs="Times New Roman"/>
        </w:rPr>
      </w:pPr>
      <w:r w:rsidRPr="00C00C66">
        <w:rPr>
          <w:rFonts w:ascii="Times New Roman" w:eastAsia="Times New Roman" w:hAnsi="Times New Roman" w:cs="Times New Roman"/>
        </w:rPr>
        <w:t>A Magyar Honvédség főbb haditechnikai eszközei című kiadvány MH ÖHP, 2011.</w:t>
      </w:r>
    </w:p>
    <w:p w:rsidR="00C00C66" w:rsidRPr="00C00C66" w:rsidRDefault="00C00C66" w:rsidP="00980876">
      <w:pPr>
        <w:widowControl w:val="0"/>
        <w:numPr>
          <w:ilvl w:val="1"/>
          <w:numId w:val="646"/>
        </w:numPr>
        <w:tabs>
          <w:tab w:val="clear" w:pos="3977"/>
          <w:tab w:val="left" w:pos="709"/>
          <w:tab w:val="left" w:pos="993"/>
          <w:tab w:val="num" w:pos="1142"/>
          <w:tab w:val="num" w:pos="2069"/>
        </w:tabs>
        <w:spacing w:before="120" w:after="120" w:line="240" w:lineRule="auto"/>
        <w:ind w:left="426" w:firstLine="0"/>
        <w:jc w:val="both"/>
        <w:rPr>
          <w:rFonts w:ascii="Times New Roman" w:eastAsia="Times New Roman" w:hAnsi="Times New Roman" w:cs="Times New Roman"/>
          <w:b/>
          <w:bCs/>
        </w:rPr>
      </w:pPr>
      <w:r w:rsidRPr="00C00C66">
        <w:rPr>
          <w:rFonts w:ascii="Times New Roman" w:eastAsia="Times New Roman" w:hAnsi="Times New Roman" w:cs="Times New Roman"/>
          <w:b/>
          <w:bCs/>
        </w:rPr>
        <w:t>Ajánlott irodalom:</w:t>
      </w:r>
    </w:p>
    <w:p w:rsidR="00C00C66" w:rsidRPr="00C00C66" w:rsidRDefault="00C00C66" w:rsidP="00980876">
      <w:pPr>
        <w:widowControl w:val="0"/>
        <w:numPr>
          <w:ilvl w:val="0"/>
          <w:numId w:val="645"/>
        </w:numPr>
        <w:spacing w:after="0" w:line="240" w:lineRule="auto"/>
        <w:ind w:left="714" w:hanging="357"/>
        <w:contextualSpacing/>
        <w:jc w:val="both"/>
        <w:rPr>
          <w:rFonts w:ascii="Times New Roman" w:eastAsia="Times New Roman" w:hAnsi="Times New Roman" w:cs="Times New Roman"/>
        </w:rPr>
      </w:pPr>
      <w:r w:rsidRPr="00C00C66">
        <w:rPr>
          <w:rFonts w:ascii="Times New Roman" w:eastAsia="Times New Roman" w:hAnsi="Times New Roman" w:cs="Times New Roman"/>
        </w:rPr>
        <w:lastRenderedPageBreak/>
        <w:t>A hadfelszerelések életciklusával kapcsolatos fogalmak elemzése a fontosabb magyar és angol nyelvű kifejezések megfeleltetése Hadmérnök 9: 3 pp. 267-273., 7 p. 2014. ISSN 1788-1929</w:t>
      </w:r>
    </w:p>
    <w:p w:rsidR="00C00C66" w:rsidRDefault="00C00C66" w:rsidP="00980876">
      <w:pPr>
        <w:widowControl w:val="0"/>
        <w:numPr>
          <w:ilvl w:val="0"/>
          <w:numId w:val="645"/>
        </w:numPr>
        <w:spacing w:after="0" w:line="240" w:lineRule="auto"/>
        <w:ind w:left="714" w:hanging="357"/>
        <w:contextualSpacing/>
        <w:jc w:val="both"/>
        <w:rPr>
          <w:rFonts w:ascii="Times New Roman" w:eastAsia="Times New Roman" w:hAnsi="Times New Roman" w:cs="Times New Roman"/>
        </w:rPr>
      </w:pPr>
      <w:r w:rsidRPr="00C00C66">
        <w:rPr>
          <w:rFonts w:ascii="Times New Roman" w:eastAsia="Times New Roman" w:hAnsi="Times New Roman" w:cs="Times New Roman"/>
        </w:rPr>
        <w:t>Buzás Attiláné, Dornai Tibor: Munkavédelem Műszaki kiadó Budapest, 1996 ISBN 9631608611</w:t>
      </w:r>
    </w:p>
    <w:p w:rsidR="00C079AC" w:rsidRPr="00C079AC" w:rsidRDefault="00C079AC" w:rsidP="00980876">
      <w:pPr>
        <w:widowControl w:val="0"/>
        <w:numPr>
          <w:ilvl w:val="0"/>
          <w:numId w:val="645"/>
        </w:numPr>
        <w:spacing w:after="0" w:line="240" w:lineRule="auto"/>
        <w:ind w:left="714" w:hanging="357"/>
        <w:contextualSpacing/>
        <w:jc w:val="both"/>
        <w:rPr>
          <w:rFonts w:ascii="Times New Roman" w:eastAsia="Times New Roman" w:hAnsi="Times New Roman" w:cs="Times New Roman"/>
          <w:highlight w:val="yellow"/>
        </w:rPr>
      </w:pPr>
      <w:r w:rsidRPr="00C079AC">
        <w:rPr>
          <w:rFonts w:ascii="Times New Roman" w:eastAsia="Times New Roman" w:hAnsi="Times New Roman" w:cs="Times New Roman"/>
          <w:highlight w:val="yellow"/>
        </w:rPr>
        <w:t>Gávay György: A tervszerű fenntartási rendszer és az amerikai forrásból származó páncélos- és gépjármű-technikai eszközök karbantartási rendszere, Honvédségi szemle. 143: 4 pp. 85-92., 8 p. (2015) ISSN 1216-7436</w:t>
      </w:r>
    </w:p>
    <w:p w:rsidR="00C00C66" w:rsidRPr="00C00C66" w:rsidRDefault="00C00C66" w:rsidP="00C00C66">
      <w:pPr>
        <w:widowControl w:val="0"/>
        <w:spacing w:after="0" w:line="240" w:lineRule="auto"/>
        <w:jc w:val="both"/>
        <w:rPr>
          <w:rFonts w:ascii="Times New Roman" w:eastAsia="Times New Roman" w:hAnsi="Times New Roman" w:cs="Times New Roman"/>
        </w:rPr>
      </w:pPr>
    </w:p>
    <w:p w:rsidR="00C00C66" w:rsidRPr="00C00C66" w:rsidRDefault="00C00C66" w:rsidP="00C00C66">
      <w:pPr>
        <w:widowControl w:val="0"/>
        <w:spacing w:before="120" w:after="120" w:line="240" w:lineRule="auto"/>
        <w:ind w:firstLine="357"/>
        <w:jc w:val="both"/>
        <w:rPr>
          <w:rFonts w:ascii="Times New Roman" w:eastAsia="Times New Roman" w:hAnsi="Times New Roman" w:cs="Times New Roman"/>
          <w:bCs/>
        </w:rPr>
      </w:pPr>
      <w:r w:rsidRPr="00C00C66">
        <w:rPr>
          <w:rFonts w:ascii="Times New Roman" w:eastAsia="Times New Roman" w:hAnsi="Times New Roman" w:cs="Times New Roman"/>
          <w:bCs/>
        </w:rPr>
        <w:t>Budapest, 2020.02.20.</w:t>
      </w:r>
    </w:p>
    <w:p w:rsidR="00C00C66" w:rsidRPr="00C00C66" w:rsidRDefault="00C00C66" w:rsidP="00C00C66">
      <w:pPr>
        <w:widowControl w:val="0"/>
        <w:spacing w:before="120" w:after="120" w:line="240" w:lineRule="auto"/>
        <w:jc w:val="both"/>
        <w:rPr>
          <w:rFonts w:ascii="Times New Roman" w:eastAsia="Times New Roman" w:hAnsi="Times New Roman" w:cs="Times New Roman"/>
          <w:bCs/>
        </w:rPr>
      </w:pPr>
    </w:p>
    <w:p w:rsidR="006B225A" w:rsidRPr="006B225A" w:rsidRDefault="00C00C66" w:rsidP="006B225A">
      <w:pPr>
        <w:widowControl w:val="0"/>
        <w:spacing w:after="0" w:line="240" w:lineRule="auto"/>
        <w:ind w:left="5387"/>
        <w:jc w:val="center"/>
        <w:rPr>
          <w:rFonts w:ascii="Times New Roman" w:eastAsia="Times New Roman" w:hAnsi="Times New Roman" w:cs="Times New Roman"/>
          <w:b/>
          <w:bCs/>
        </w:rPr>
      </w:pPr>
      <w:r w:rsidRPr="006B225A">
        <w:rPr>
          <w:rFonts w:ascii="Times New Roman" w:eastAsia="Times New Roman" w:hAnsi="Times New Roman" w:cs="Times New Roman"/>
          <w:b/>
          <w:bCs/>
        </w:rPr>
        <w:t>Dr. Gávay György Viktor PhD</w:t>
      </w:r>
    </w:p>
    <w:p w:rsidR="00C00C66" w:rsidRPr="00C00C66" w:rsidRDefault="00C00C66" w:rsidP="006B225A">
      <w:pPr>
        <w:widowControl w:val="0"/>
        <w:spacing w:after="0" w:line="240" w:lineRule="auto"/>
        <w:ind w:left="5387"/>
        <w:jc w:val="center"/>
        <w:rPr>
          <w:rFonts w:ascii="Times New Roman" w:eastAsia="Times New Roman" w:hAnsi="Times New Roman" w:cs="Times New Roman"/>
          <w:bCs/>
        </w:rPr>
      </w:pPr>
      <w:r w:rsidRPr="00C00C66">
        <w:rPr>
          <w:rFonts w:ascii="Times New Roman" w:eastAsia="Times New Roman" w:hAnsi="Times New Roman" w:cs="Times New Roman"/>
          <w:bCs/>
        </w:rPr>
        <w:t>adjunktus</w:t>
      </w:r>
    </w:p>
    <w:p w:rsidR="00FE6A3F" w:rsidRDefault="00FE6A3F">
      <w:pPr>
        <w:spacing w:after="200" w:line="276" w:lineRule="auto"/>
        <w:rPr>
          <w:rFonts w:ascii="Times New Roman" w:hAnsi="Times New Roman" w:cs="Times New Roman"/>
          <w:sz w:val="24"/>
        </w:rPr>
      </w:pPr>
    </w:p>
    <w:p w:rsidR="00FE6A3F" w:rsidRDefault="00FE6A3F">
      <w:pPr>
        <w:spacing w:after="200" w:line="276" w:lineRule="auto"/>
        <w:rPr>
          <w:rFonts w:ascii="Times New Roman" w:hAnsi="Times New Roman" w:cs="Times New Roman"/>
          <w:b/>
          <w:sz w:val="24"/>
          <w:u w:val="single"/>
        </w:rPr>
      </w:pPr>
      <w:r>
        <w:rPr>
          <w:rFonts w:ascii="Times New Roman" w:hAnsi="Times New Roman" w:cs="Times New Roman"/>
          <w:b/>
          <w:sz w:val="24"/>
          <w:u w:val="single"/>
        </w:rPr>
        <w:br w:type="page"/>
      </w:r>
    </w:p>
    <w:p w:rsidR="00C00C66" w:rsidRDefault="00FE6A3F" w:rsidP="004354D2">
      <w:pPr>
        <w:pStyle w:val="Cmsor1"/>
        <w:spacing w:before="2040"/>
        <w:jc w:val="center"/>
        <w:rPr>
          <w:rFonts w:eastAsia="Calibri"/>
          <w:i w:val="0"/>
          <w:szCs w:val="22"/>
          <w:u w:val="none"/>
        </w:rPr>
      </w:pPr>
      <w:bookmarkStart w:id="65" w:name="_Toc37240850"/>
      <w:r w:rsidRPr="004354D2">
        <w:rPr>
          <w:rFonts w:eastAsia="Calibri"/>
          <w:i w:val="0"/>
          <w:szCs w:val="22"/>
          <w:u w:val="none"/>
        </w:rPr>
        <w:lastRenderedPageBreak/>
        <w:t>ca) Páncélos- és gépjárműtechnikai modul</w:t>
      </w:r>
      <w:bookmarkEnd w:id="65"/>
    </w:p>
    <w:p w:rsidR="004354D2" w:rsidRPr="004354D2" w:rsidRDefault="004354D2" w:rsidP="004354D2">
      <w:pPr>
        <w:rPr>
          <w:lang w:eastAsia="hu-HU"/>
        </w:rPr>
      </w:pPr>
    </w:p>
    <w:tbl>
      <w:tblPr>
        <w:tblW w:w="9072" w:type="dxa"/>
        <w:tblInd w:w="113" w:type="dxa"/>
        <w:tblLook w:val="01E0" w:firstRow="1" w:lastRow="1" w:firstColumn="1" w:lastColumn="1" w:noHBand="0" w:noVBand="0"/>
      </w:tblPr>
      <w:tblGrid>
        <w:gridCol w:w="4855"/>
        <w:gridCol w:w="1620"/>
        <w:gridCol w:w="2597"/>
      </w:tblGrid>
      <w:tr w:rsidR="00EE0E7D" w:rsidRPr="00EE0E7D" w:rsidTr="00EE0E7D">
        <w:tc>
          <w:tcPr>
            <w:tcW w:w="4855" w:type="dxa"/>
            <w:tcBorders>
              <w:bottom w:val="single" w:sz="4" w:space="0" w:color="auto"/>
            </w:tcBorders>
          </w:tcPr>
          <w:p w:rsidR="00EE0E7D" w:rsidRPr="00EE0E7D" w:rsidRDefault="00EE0E7D" w:rsidP="00EE0E7D">
            <w:pPr>
              <w:spacing w:after="0" w:line="240" w:lineRule="auto"/>
              <w:jc w:val="center"/>
              <w:rPr>
                <w:rFonts w:ascii="Times New Roman" w:eastAsia="Times New Roman" w:hAnsi="Times New Roman" w:cs="Times New Roman"/>
                <w:b/>
                <w:smallCaps/>
                <w:lang w:eastAsia="hu-HU"/>
              </w:rPr>
            </w:pPr>
            <w:r w:rsidRPr="00EE0E7D">
              <w:rPr>
                <w:rFonts w:ascii="Times New Roman" w:eastAsia="Times New Roman" w:hAnsi="Times New Roman" w:cs="Times New Roman"/>
                <w:b/>
                <w:smallCaps/>
                <w:lang w:eastAsia="hu-HU"/>
              </w:rPr>
              <w:t>Nemzeti Közszolgálati Egyetem</w:t>
            </w:r>
          </w:p>
        </w:tc>
        <w:tc>
          <w:tcPr>
            <w:tcW w:w="1620" w:type="dxa"/>
          </w:tcPr>
          <w:p w:rsidR="00EE0E7D" w:rsidRPr="00EE0E7D" w:rsidRDefault="00EE0E7D" w:rsidP="00EE0E7D">
            <w:pPr>
              <w:spacing w:after="0" w:line="240" w:lineRule="auto"/>
              <w:jc w:val="both"/>
              <w:rPr>
                <w:rFonts w:ascii="Times New Roman" w:eastAsia="Times New Roman" w:hAnsi="Times New Roman" w:cs="Times New Roman"/>
                <w:lang w:eastAsia="hu-HU"/>
              </w:rPr>
            </w:pPr>
          </w:p>
        </w:tc>
        <w:tc>
          <w:tcPr>
            <w:tcW w:w="2597" w:type="dxa"/>
          </w:tcPr>
          <w:p w:rsidR="00EE0E7D" w:rsidRPr="00EE0E7D" w:rsidRDefault="00EE0E7D" w:rsidP="00EE0E7D">
            <w:pPr>
              <w:spacing w:after="0" w:line="240" w:lineRule="auto"/>
              <w:jc w:val="right"/>
              <w:rPr>
                <w:rFonts w:ascii="Times New Roman" w:eastAsia="Times New Roman" w:hAnsi="Times New Roman" w:cs="Times New Roman"/>
                <w:lang w:eastAsia="hu-HU"/>
              </w:rPr>
            </w:pPr>
          </w:p>
        </w:tc>
      </w:tr>
      <w:tr w:rsidR="00EE0E7D" w:rsidRPr="00EE0E7D" w:rsidTr="00EE0E7D">
        <w:tc>
          <w:tcPr>
            <w:tcW w:w="4855" w:type="dxa"/>
            <w:tcBorders>
              <w:top w:val="single" w:sz="4" w:space="0" w:color="auto"/>
            </w:tcBorders>
          </w:tcPr>
          <w:p w:rsidR="00EE0E7D" w:rsidRPr="00EE0E7D" w:rsidRDefault="00EE0E7D" w:rsidP="00EE0E7D">
            <w:pPr>
              <w:spacing w:after="0" w:line="240" w:lineRule="auto"/>
              <w:jc w:val="center"/>
              <w:rPr>
                <w:rFonts w:ascii="Times New Roman" w:eastAsia="Times New Roman" w:hAnsi="Times New Roman" w:cs="Times New Roman"/>
                <w:b/>
                <w:lang w:eastAsia="hu-HU"/>
              </w:rPr>
            </w:pPr>
            <w:r w:rsidRPr="00EE0E7D">
              <w:rPr>
                <w:rFonts w:ascii="Times New Roman" w:eastAsia="Times New Roman" w:hAnsi="Times New Roman" w:cs="Times New Roman"/>
                <w:b/>
                <w:lang w:eastAsia="hu-HU"/>
              </w:rPr>
              <w:t>Hadtudományi és Honvédtisztképző Kar</w:t>
            </w:r>
          </w:p>
        </w:tc>
        <w:tc>
          <w:tcPr>
            <w:tcW w:w="1620" w:type="dxa"/>
          </w:tcPr>
          <w:p w:rsidR="00EE0E7D" w:rsidRPr="00EE0E7D" w:rsidRDefault="00EE0E7D" w:rsidP="00EE0E7D">
            <w:pPr>
              <w:spacing w:after="0" w:line="240" w:lineRule="auto"/>
              <w:jc w:val="both"/>
              <w:rPr>
                <w:rFonts w:ascii="Times New Roman" w:eastAsia="Times New Roman" w:hAnsi="Times New Roman" w:cs="Times New Roman"/>
                <w:lang w:eastAsia="hu-HU"/>
              </w:rPr>
            </w:pPr>
          </w:p>
        </w:tc>
        <w:tc>
          <w:tcPr>
            <w:tcW w:w="2597" w:type="dxa"/>
          </w:tcPr>
          <w:p w:rsidR="00EE0E7D" w:rsidRPr="00EE0E7D" w:rsidRDefault="00EE0E7D" w:rsidP="00EE0E7D">
            <w:pPr>
              <w:spacing w:after="0" w:line="240" w:lineRule="auto"/>
              <w:jc w:val="both"/>
              <w:rPr>
                <w:rFonts w:ascii="Times New Roman" w:eastAsia="Times New Roman" w:hAnsi="Times New Roman" w:cs="Times New Roman"/>
                <w:lang w:eastAsia="hu-HU"/>
              </w:rPr>
            </w:pPr>
          </w:p>
        </w:tc>
      </w:tr>
    </w:tbl>
    <w:p w:rsidR="00EE0E7D" w:rsidRPr="00EE0E7D" w:rsidRDefault="00EE0E7D" w:rsidP="00EE0E7D">
      <w:pPr>
        <w:widowControl w:val="0"/>
        <w:spacing w:before="120" w:after="120" w:line="240" w:lineRule="auto"/>
        <w:ind w:left="426" w:hanging="142"/>
        <w:jc w:val="center"/>
        <w:rPr>
          <w:rFonts w:ascii="Times New Roman" w:eastAsia="Times New Roman" w:hAnsi="Times New Roman" w:cs="Times New Roman"/>
          <w:b/>
          <w:bCs/>
        </w:rPr>
      </w:pPr>
    </w:p>
    <w:p w:rsidR="00EE0E7D" w:rsidRPr="00EE0E7D" w:rsidRDefault="00EE0E7D" w:rsidP="00EE0E7D">
      <w:pPr>
        <w:widowControl w:val="0"/>
        <w:spacing w:before="120" w:after="120" w:line="240" w:lineRule="auto"/>
        <w:ind w:left="426" w:hanging="142"/>
        <w:jc w:val="center"/>
        <w:rPr>
          <w:rFonts w:ascii="Times New Roman" w:eastAsia="Times New Roman" w:hAnsi="Times New Roman" w:cs="Times New Roman"/>
          <w:b/>
          <w:bCs/>
        </w:rPr>
      </w:pPr>
      <w:r w:rsidRPr="00EE0E7D">
        <w:rPr>
          <w:rFonts w:ascii="Times New Roman" w:eastAsia="Times New Roman" w:hAnsi="Times New Roman" w:cs="Times New Roman"/>
          <w:b/>
          <w:bCs/>
        </w:rPr>
        <w:t>TANTÁRGYI PROGRAM</w:t>
      </w:r>
    </w:p>
    <w:p w:rsidR="00EE0E7D" w:rsidRPr="00EE0E7D" w:rsidRDefault="00EE0E7D" w:rsidP="00980876">
      <w:pPr>
        <w:widowControl w:val="0"/>
        <w:numPr>
          <w:ilvl w:val="0"/>
          <w:numId w:val="654"/>
        </w:numPr>
        <w:tabs>
          <w:tab w:val="num" w:pos="567"/>
        </w:tabs>
        <w:spacing w:before="120" w:after="120" w:line="240" w:lineRule="auto"/>
        <w:ind w:left="426" w:hanging="142"/>
        <w:jc w:val="both"/>
        <w:rPr>
          <w:rFonts w:ascii="Times New Roman" w:eastAsia="Times New Roman" w:hAnsi="Times New Roman" w:cs="Times New Roman"/>
          <w:bCs/>
        </w:rPr>
      </w:pPr>
      <w:r w:rsidRPr="00EE0E7D">
        <w:rPr>
          <w:rFonts w:ascii="Times New Roman" w:eastAsia="Times New Roman" w:hAnsi="Times New Roman" w:cs="Times New Roman"/>
          <w:b/>
          <w:bCs/>
        </w:rPr>
        <w:t xml:space="preserve">A tantárgy kódja: </w:t>
      </w:r>
      <w:r w:rsidRPr="00EE0E7D">
        <w:rPr>
          <w:rFonts w:ascii="Times New Roman" w:eastAsia="Times New Roman" w:hAnsi="Times New Roman" w:cs="Times New Roman"/>
          <w:bCs/>
        </w:rPr>
        <w:t>HKHDTA16</w:t>
      </w:r>
    </w:p>
    <w:p w:rsidR="00EE0E7D" w:rsidRPr="00EE0E7D" w:rsidRDefault="00EE0E7D" w:rsidP="00980876">
      <w:pPr>
        <w:widowControl w:val="0"/>
        <w:numPr>
          <w:ilvl w:val="0"/>
          <w:numId w:val="654"/>
        </w:numPr>
        <w:tabs>
          <w:tab w:val="num" w:pos="567"/>
        </w:tabs>
        <w:spacing w:before="120" w:after="120" w:line="240" w:lineRule="auto"/>
        <w:ind w:left="426" w:hanging="142"/>
        <w:jc w:val="both"/>
        <w:rPr>
          <w:rFonts w:ascii="Times New Roman" w:eastAsia="Times New Roman" w:hAnsi="Times New Roman" w:cs="Times New Roman"/>
          <w:b/>
          <w:bCs/>
          <w:lang w:val="en-GB"/>
        </w:rPr>
      </w:pPr>
      <w:r w:rsidRPr="00EE0E7D">
        <w:rPr>
          <w:rFonts w:ascii="Times New Roman" w:eastAsia="Times New Roman" w:hAnsi="Times New Roman" w:cs="Times New Roman"/>
          <w:b/>
          <w:bCs/>
        </w:rPr>
        <w:t>A tantárgy megnevezése (magyarul):</w:t>
      </w:r>
      <w:r w:rsidRPr="00EE0E7D">
        <w:rPr>
          <w:rFonts w:ascii="Times New Roman" w:eastAsia="Times New Roman" w:hAnsi="Times New Roman" w:cs="Times New Roman"/>
          <w:bCs/>
        </w:rPr>
        <w:t xml:space="preserve"> Rendszerben tartás I.</w:t>
      </w:r>
    </w:p>
    <w:p w:rsidR="00EE0E7D" w:rsidRPr="00EE0E7D" w:rsidRDefault="00EE0E7D" w:rsidP="00980876">
      <w:pPr>
        <w:widowControl w:val="0"/>
        <w:numPr>
          <w:ilvl w:val="0"/>
          <w:numId w:val="654"/>
        </w:numPr>
        <w:tabs>
          <w:tab w:val="num" w:pos="567"/>
        </w:tabs>
        <w:spacing w:before="120" w:after="120" w:line="240" w:lineRule="auto"/>
        <w:ind w:left="426" w:hanging="142"/>
        <w:jc w:val="both"/>
        <w:rPr>
          <w:rFonts w:ascii="Times New Roman" w:eastAsia="Times New Roman" w:hAnsi="Times New Roman" w:cs="Times New Roman"/>
          <w:b/>
          <w:bCs/>
          <w:lang w:val="en-GB"/>
        </w:rPr>
      </w:pPr>
      <w:r w:rsidRPr="00EE0E7D">
        <w:rPr>
          <w:rFonts w:ascii="Times New Roman" w:eastAsia="Times New Roman" w:hAnsi="Times New Roman" w:cs="Times New Roman"/>
          <w:b/>
          <w:bCs/>
        </w:rPr>
        <w:t xml:space="preserve">A tantárgy megnevezése (angolul): </w:t>
      </w:r>
      <w:r w:rsidRPr="00EE0E7D">
        <w:rPr>
          <w:rFonts w:ascii="Times New Roman" w:eastAsia="Times New Roman" w:hAnsi="Times New Roman" w:cs="Times New Roman"/>
          <w:bCs/>
        </w:rPr>
        <w:t>Maintenance I.</w:t>
      </w:r>
    </w:p>
    <w:p w:rsidR="00EE0E7D" w:rsidRPr="00EE0E7D" w:rsidRDefault="00EE0E7D" w:rsidP="00980876">
      <w:pPr>
        <w:widowControl w:val="0"/>
        <w:numPr>
          <w:ilvl w:val="0"/>
          <w:numId w:val="654"/>
        </w:numPr>
        <w:tabs>
          <w:tab w:val="num" w:pos="567"/>
        </w:tabs>
        <w:spacing w:before="120" w:after="120" w:line="240" w:lineRule="auto"/>
        <w:ind w:left="426" w:hanging="142"/>
        <w:jc w:val="both"/>
        <w:rPr>
          <w:rFonts w:ascii="Times New Roman" w:eastAsia="Times New Roman" w:hAnsi="Times New Roman" w:cs="Times New Roman"/>
          <w:b/>
          <w:bCs/>
        </w:rPr>
      </w:pPr>
      <w:r w:rsidRPr="00EE0E7D">
        <w:rPr>
          <w:rFonts w:ascii="Times New Roman" w:eastAsia="Times New Roman" w:hAnsi="Times New Roman" w:cs="Times New Roman"/>
          <w:b/>
          <w:bCs/>
        </w:rPr>
        <w:t xml:space="preserve">Kreditérték és képzési karakter: </w:t>
      </w:r>
    </w:p>
    <w:p w:rsidR="00EE0E7D" w:rsidRPr="00EE0E7D" w:rsidRDefault="00EE0E7D" w:rsidP="00980876">
      <w:pPr>
        <w:widowControl w:val="0"/>
        <w:numPr>
          <w:ilvl w:val="1"/>
          <w:numId w:val="654"/>
        </w:numPr>
        <w:spacing w:before="120" w:after="120" w:line="240" w:lineRule="auto"/>
        <w:ind w:left="993" w:hanging="426"/>
        <w:contextualSpacing/>
        <w:jc w:val="both"/>
        <w:rPr>
          <w:rFonts w:ascii="Times New Roman" w:eastAsia="Times New Roman" w:hAnsi="Times New Roman" w:cs="Times New Roman"/>
          <w:b/>
          <w:bCs/>
        </w:rPr>
      </w:pPr>
      <w:r w:rsidRPr="00EE0E7D">
        <w:rPr>
          <w:rFonts w:ascii="Times New Roman" w:eastAsia="Times New Roman" w:hAnsi="Times New Roman" w:cs="Times New Roman"/>
          <w:bCs/>
        </w:rPr>
        <w:t>4 kredit</w:t>
      </w:r>
    </w:p>
    <w:p w:rsidR="00EE0E7D" w:rsidRPr="00EE0E7D" w:rsidRDefault="00EE0E7D" w:rsidP="00980876">
      <w:pPr>
        <w:widowControl w:val="0"/>
        <w:numPr>
          <w:ilvl w:val="1"/>
          <w:numId w:val="654"/>
        </w:numPr>
        <w:spacing w:before="120" w:after="120" w:line="240" w:lineRule="auto"/>
        <w:ind w:left="993" w:hanging="426"/>
        <w:contextualSpacing/>
        <w:jc w:val="both"/>
        <w:rPr>
          <w:rFonts w:ascii="Times New Roman" w:eastAsia="Times New Roman" w:hAnsi="Times New Roman" w:cs="Times New Roman"/>
          <w:b/>
          <w:bCs/>
        </w:rPr>
      </w:pPr>
      <w:r w:rsidRPr="00EE0E7D">
        <w:rPr>
          <w:rFonts w:ascii="Times New Roman" w:eastAsia="Times New Roman" w:hAnsi="Times New Roman" w:cs="Times New Roman"/>
          <w:bCs/>
        </w:rPr>
        <w:t>a tantárgy elméleti vagy gyakorlati jellegének mértéke: 50</w:t>
      </w:r>
      <w:r w:rsidRPr="00EE0E7D">
        <w:rPr>
          <w:rFonts w:ascii="Times New Roman" w:eastAsia="Times New Roman" w:hAnsi="Times New Roman" w:cs="Times New Roman"/>
          <w:b/>
          <w:bCs/>
        </w:rPr>
        <w:t xml:space="preserve"> </w:t>
      </w:r>
      <w:r w:rsidRPr="00EE0E7D">
        <w:rPr>
          <w:rFonts w:ascii="Times New Roman" w:eastAsia="Times New Roman" w:hAnsi="Times New Roman" w:cs="Times New Roman"/>
          <w:bCs/>
        </w:rPr>
        <w:t>% gyakorlat, 50 % elmélet</w:t>
      </w:r>
    </w:p>
    <w:p w:rsidR="00EE0E7D" w:rsidRPr="00EE0E7D" w:rsidRDefault="00EE0E7D" w:rsidP="00980876">
      <w:pPr>
        <w:widowControl w:val="0"/>
        <w:numPr>
          <w:ilvl w:val="0"/>
          <w:numId w:val="654"/>
        </w:numPr>
        <w:spacing w:before="120" w:after="120" w:line="240" w:lineRule="auto"/>
        <w:ind w:left="426" w:hanging="142"/>
        <w:jc w:val="both"/>
        <w:rPr>
          <w:rFonts w:ascii="Times New Roman" w:eastAsia="Times New Roman" w:hAnsi="Times New Roman" w:cs="Times New Roman"/>
          <w:bCs/>
        </w:rPr>
      </w:pPr>
      <w:r w:rsidRPr="00EE0E7D">
        <w:rPr>
          <w:rFonts w:ascii="Times New Roman" w:eastAsia="Times New Roman" w:hAnsi="Times New Roman" w:cs="Times New Roman"/>
          <w:b/>
          <w:bCs/>
        </w:rPr>
        <w:t>A szak(ok), szakirányok/specializációk megnevezése (ahol oktatják):</w:t>
      </w:r>
      <w:r w:rsidRPr="00EE0E7D">
        <w:rPr>
          <w:rFonts w:ascii="Times New Roman" w:eastAsia="Times New Roman" w:hAnsi="Times New Roman" w:cs="Times New Roman"/>
          <w:bCs/>
        </w:rPr>
        <w:t xml:space="preserve"> Katonai logisztika (</w:t>
      </w:r>
      <w:r w:rsidR="00137B8A">
        <w:rPr>
          <w:rFonts w:ascii="Times New Roman" w:eastAsia="Times New Roman" w:hAnsi="Times New Roman" w:cs="Times New Roman"/>
          <w:bCs/>
        </w:rPr>
        <w:t>BSc</w:t>
      </w:r>
      <w:r w:rsidRPr="00EE0E7D">
        <w:rPr>
          <w:rFonts w:ascii="Times New Roman" w:eastAsia="Times New Roman" w:hAnsi="Times New Roman" w:cs="Times New Roman"/>
          <w:bCs/>
        </w:rPr>
        <w:t>) alapképzési szak</w:t>
      </w:r>
    </w:p>
    <w:p w:rsidR="00EE0E7D" w:rsidRPr="00EE0E7D" w:rsidRDefault="00EE0E7D" w:rsidP="00980876">
      <w:pPr>
        <w:widowControl w:val="0"/>
        <w:numPr>
          <w:ilvl w:val="0"/>
          <w:numId w:val="654"/>
        </w:numPr>
        <w:tabs>
          <w:tab w:val="num" w:pos="567"/>
        </w:tabs>
        <w:spacing w:before="120" w:after="120" w:line="240" w:lineRule="auto"/>
        <w:ind w:left="426" w:hanging="142"/>
        <w:jc w:val="both"/>
        <w:rPr>
          <w:rFonts w:ascii="Times New Roman" w:eastAsia="Times New Roman" w:hAnsi="Times New Roman" w:cs="Times New Roman"/>
          <w:bCs/>
        </w:rPr>
      </w:pPr>
      <w:r w:rsidRPr="00EE0E7D">
        <w:rPr>
          <w:rFonts w:ascii="Times New Roman" w:eastAsia="Times New Roman" w:hAnsi="Times New Roman" w:cs="Times New Roman"/>
          <w:b/>
          <w:bCs/>
        </w:rPr>
        <w:t xml:space="preserve">Az oktatásért felelős oktatási szervezeti egység megnevezése: </w:t>
      </w:r>
      <w:r w:rsidRPr="00EE0E7D">
        <w:rPr>
          <w:rFonts w:ascii="Times New Roman" w:eastAsia="Times New Roman" w:hAnsi="Times New Roman" w:cs="Times New Roman"/>
          <w:bCs/>
        </w:rPr>
        <w:t>HHK Haditechnikai Tanszék</w:t>
      </w:r>
    </w:p>
    <w:p w:rsidR="00EE0E7D" w:rsidRPr="00EE0E7D" w:rsidRDefault="00EE0E7D" w:rsidP="00980876">
      <w:pPr>
        <w:widowControl w:val="0"/>
        <w:numPr>
          <w:ilvl w:val="0"/>
          <w:numId w:val="654"/>
        </w:numPr>
        <w:tabs>
          <w:tab w:val="num" w:pos="567"/>
        </w:tabs>
        <w:spacing w:before="120" w:after="120" w:line="240" w:lineRule="auto"/>
        <w:ind w:left="426" w:hanging="142"/>
        <w:jc w:val="both"/>
        <w:rPr>
          <w:rFonts w:ascii="Times New Roman" w:eastAsia="Times New Roman" w:hAnsi="Times New Roman" w:cs="Times New Roman"/>
          <w:bCs/>
        </w:rPr>
      </w:pPr>
      <w:r w:rsidRPr="00EE0E7D">
        <w:rPr>
          <w:rFonts w:ascii="Times New Roman" w:eastAsia="Times New Roman" w:hAnsi="Times New Roman" w:cs="Times New Roman"/>
          <w:b/>
          <w:bCs/>
        </w:rPr>
        <w:t>A tantárgyfelelős oktató neve, beosztása, tudományos fokozata:</w:t>
      </w:r>
      <w:r w:rsidRPr="00EE0E7D">
        <w:rPr>
          <w:rFonts w:ascii="Times New Roman" w:eastAsia="Times New Roman" w:hAnsi="Times New Roman" w:cs="Times New Roman"/>
          <w:bCs/>
        </w:rPr>
        <w:t xml:space="preserve"> </w:t>
      </w:r>
      <w:r w:rsidRPr="00EE0E7D">
        <w:rPr>
          <w:rFonts w:ascii="Times New Roman" w:eastAsia="Times New Roman" w:hAnsi="Times New Roman" w:cs="Times New Roman"/>
          <w:bCs/>
          <w:lang w:eastAsia="hu-HU"/>
        </w:rPr>
        <w:t>Dr. Vég Róbert László alezredes PhD, egyetemi docens</w:t>
      </w:r>
    </w:p>
    <w:p w:rsidR="00EE0E7D" w:rsidRPr="00EE0E7D" w:rsidRDefault="00EE0E7D" w:rsidP="00980876">
      <w:pPr>
        <w:widowControl w:val="0"/>
        <w:numPr>
          <w:ilvl w:val="0"/>
          <w:numId w:val="654"/>
        </w:numPr>
        <w:spacing w:before="120" w:after="120" w:line="240" w:lineRule="auto"/>
        <w:ind w:left="426" w:hanging="142"/>
        <w:jc w:val="both"/>
        <w:rPr>
          <w:rFonts w:ascii="Times New Roman" w:eastAsia="Times New Roman" w:hAnsi="Times New Roman" w:cs="Times New Roman"/>
          <w:bCs/>
        </w:rPr>
      </w:pPr>
      <w:r w:rsidRPr="00EE0E7D">
        <w:rPr>
          <w:rFonts w:ascii="Times New Roman" w:eastAsia="Times New Roman" w:hAnsi="Times New Roman" w:cs="Times New Roman"/>
          <w:b/>
          <w:bCs/>
        </w:rPr>
        <w:t>A tanórák száma és típusa</w:t>
      </w:r>
    </w:p>
    <w:p w:rsidR="00EE0E7D" w:rsidRPr="00EE0E7D" w:rsidRDefault="00EE0E7D" w:rsidP="00980876">
      <w:pPr>
        <w:widowControl w:val="0"/>
        <w:numPr>
          <w:ilvl w:val="1"/>
          <w:numId w:val="654"/>
        </w:numPr>
        <w:tabs>
          <w:tab w:val="num" w:pos="709"/>
          <w:tab w:val="num" w:pos="2069"/>
        </w:tabs>
        <w:spacing w:before="120" w:after="120" w:line="240" w:lineRule="auto"/>
        <w:ind w:left="851" w:hanging="425"/>
        <w:jc w:val="both"/>
        <w:rPr>
          <w:rFonts w:ascii="Times New Roman" w:eastAsia="Times New Roman" w:hAnsi="Times New Roman" w:cs="Times New Roman"/>
          <w:bCs/>
        </w:rPr>
      </w:pPr>
      <w:r w:rsidRPr="00EE0E7D">
        <w:rPr>
          <w:rFonts w:ascii="Times New Roman" w:eastAsia="Times New Roman" w:hAnsi="Times New Roman" w:cs="Times New Roman"/>
          <w:bCs/>
        </w:rPr>
        <w:t>össz óraszám/félév:</w:t>
      </w:r>
    </w:p>
    <w:p w:rsidR="00EE0E7D" w:rsidRPr="00EE0E7D" w:rsidRDefault="00EE0E7D" w:rsidP="00980876">
      <w:pPr>
        <w:widowControl w:val="0"/>
        <w:numPr>
          <w:ilvl w:val="2"/>
          <w:numId w:val="654"/>
        </w:numPr>
        <w:tabs>
          <w:tab w:val="num" w:pos="709"/>
          <w:tab w:val="num" w:pos="1134"/>
        </w:tabs>
        <w:spacing w:after="0" w:line="240" w:lineRule="auto"/>
        <w:ind w:left="992" w:hanging="425"/>
        <w:jc w:val="both"/>
        <w:rPr>
          <w:rFonts w:ascii="Times New Roman" w:eastAsia="Times New Roman" w:hAnsi="Times New Roman" w:cs="Times New Roman"/>
          <w:bCs/>
        </w:rPr>
      </w:pPr>
      <w:r w:rsidRPr="00EE0E7D">
        <w:rPr>
          <w:rFonts w:ascii="Times New Roman" w:eastAsia="Times New Roman" w:hAnsi="Times New Roman" w:cs="Times New Roman"/>
          <w:bCs/>
        </w:rPr>
        <w:t>nappali munkarend: 56 (28 EA + 0 SZ + 28 GY)</w:t>
      </w:r>
    </w:p>
    <w:p w:rsidR="00EE0E7D" w:rsidRPr="00EE0E7D" w:rsidRDefault="00EE0E7D" w:rsidP="00980876">
      <w:pPr>
        <w:widowControl w:val="0"/>
        <w:numPr>
          <w:ilvl w:val="2"/>
          <w:numId w:val="654"/>
        </w:numPr>
        <w:tabs>
          <w:tab w:val="num" w:pos="709"/>
          <w:tab w:val="num" w:pos="1134"/>
        </w:tabs>
        <w:spacing w:after="0" w:line="240" w:lineRule="auto"/>
        <w:ind w:left="992" w:hanging="425"/>
        <w:jc w:val="both"/>
        <w:rPr>
          <w:rFonts w:ascii="Times New Roman" w:eastAsia="Times New Roman" w:hAnsi="Times New Roman" w:cs="Times New Roman"/>
          <w:bCs/>
        </w:rPr>
      </w:pPr>
      <w:r w:rsidRPr="00EE0E7D">
        <w:rPr>
          <w:rFonts w:ascii="Times New Roman" w:eastAsia="Times New Roman" w:hAnsi="Times New Roman" w:cs="Times New Roman"/>
          <w:bCs/>
        </w:rPr>
        <w:t>levelező munkarend: - (- EA + - SZ + - GY)</w:t>
      </w:r>
    </w:p>
    <w:p w:rsidR="00EE0E7D" w:rsidRPr="00EE0E7D" w:rsidRDefault="00EE0E7D" w:rsidP="00980876">
      <w:pPr>
        <w:widowControl w:val="0"/>
        <w:numPr>
          <w:ilvl w:val="1"/>
          <w:numId w:val="654"/>
        </w:numPr>
        <w:tabs>
          <w:tab w:val="num" w:pos="709"/>
          <w:tab w:val="num" w:pos="2069"/>
        </w:tabs>
        <w:spacing w:before="120" w:after="120" w:line="240" w:lineRule="auto"/>
        <w:ind w:left="851" w:hanging="425"/>
        <w:jc w:val="both"/>
        <w:rPr>
          <w:rFonts w:ascii="Times New Roman" w:eastAsia="Times New Roman" w:hAnsi="Times New Roman" w:cs="Times New Roman"/>
          <w:bCs/>
        </w:rPr>
      </w:pPr>
      <w:r w:rsidRPr="00EE0E7D">
        <w:rPr>
          <w:rFonts w:ascii="Times New Roman" w:eastAsia="Times New Roman" w:hAnsi="Times New Roman" w:cs="Times New Roman"/>
          <w:bCs/>
        </w:rPr>
        <w:t>heti óraszám - nappali munkarend: 4 (2+2)</w:t>
      </w:r>
    </w:p>
    <w:p w:rsidR="00EE0E7D" w:rsidRPr="00EE0E7D" w:rsidRDefault="00EE0E7D" w:rsidP="00980876">
      <w:pPr>
        <w:widowControl w:val="0"/>
        <w:numPr>
          <w:ilvl w:val="1"/>
          <w:numId w:val="654"/>
        </w:numPr>
        <w:tabs>
          <w:tab w:val="num" w:pos="709"/>
          <w:tab w:val="num" w:pos="2069"/>
        </w:tabs>
        <w:spacing w:before="120" w:after="120" w:line="240" w:lineRule="auto"/>
        <w:ind w:left="851" w:hanging="425"/>
        <w:jc w:val="both"/>
        <w:rPr>
          <w:rFonts w:ascii="Times New Roman" w:eastAsia="Times New Roman" w:hAnsi="Times New Roman" w:cs="Times New Roman"/>
          <w:bCs/>
        </w:rPr>
      </w:pPr>
      <w:r w:rsidRPr="00EE0E7D">
        <w:rPr>
          <w:rFonts w:ascii="Times New Roman" w:eastAsia="Calibri" w:hAnsi="Times New Roman" w:cs="Times New Roman"/>
        </w:rPr>
        <w:t>Az ismeret átadásában alkalmazandó további sajátos módok, jellemzők: Az ismeretek feldolgozása vegyes tanulási program (blended learning) alapján történik.</w:t>
      </w:r>
    </w:p>
    <w:p w:rsidR="00EE0E7D" w:rsidRPr="00EE0E7D" w:rsidRDefault="00EE0E7D" w:rsidP="00980876">
      <w:pPr>
        <w:widowControl w:val="0"/>
        <w:numPr>
          <w:ilvl w:val="0"/>
          <w:numId w:val="654"/>
        </w:numPr>
        <w:spacing w:before="120" w:after="120" w:line="240" w:lineRule="auto"/>
        <w:ind w:left="426" w:hanging="142"/>
        <w:jc w:val="both"/>
        <w:rPr>
          <w:rFonts w:ascii="Times New Roman" w:eastAsia="Times New Roman" w:hAnsi="Times New Roman" w:cs="Times New Roman"/>
          <w:bCs/>
        </w:rPr>
      </w:pPr>
      <w:r w:rsidRPr="00EE0E7D">
        <w:rPr>
          <w:rFonts w:ascii="Times New Roman" w:eastAsia="Times New Roman" w:hAnsi="Times New Roman" w:cs="Times New Roman"/>
          <w:b/>
          <w:bCs/>
        </w:rPr>
        <w:t xml:space="preserve">A tantárgy szakmai tartalma (magyarul): </w:t>
      </w:r>
      <w:r w:rsidRPr="00EE0E7D">
        <w:rPr>
          <w:rFonts w:ascii="Times New Roman" w:eastAsia="Times New Roman" w:hAnsi="Times New Roman" w:cs="Times New Roman"/>
          <w:bCs/>
          <w:lang w:eastAsia="hu-HU"/>
        </w:rPr>
        <w:t>Üzemfenntartás alapfogalmai, meghibásodás, megbízhatóság. Alkatrészek felújításának technológiája. Motorok javítása, felújítása és vizsgálata. Motorok megbontás nélküli és megbontásos vizsgálata, szét- és összeszerelés technológiai folyamata. Motorok segédberendezéseinek javítása, felújítása, beszabályozása. Motorok diagnosztikai vizsgálata, kipufogógáz elemzés. Erőátviteli berendezések üzemeltetési sajátosságai. Harcjármű, harckocsi, gépjármű főtengelykapcsolók, nyomatékváltóművek, osztóművek, előtéthajtóművek, kardánmechanizmusok, kiegyenlítőművek igénybevétele, meghibásodása, hibafelvétele, javítása és felújítása.</w:t>
      </w:r>
    </w:p>
    <w:p w:rsidR="00EE0E7D" w:rsidRPr="00EE0E7D" w:rsidRDefault="00EE0E7D" w:rsidP="00EE0E7D">
      <w:pPr>
        <w:widowControl w:val="0"/>
        <w:spacing w:before="120" w:after="120" w:line="240" w:lineRule="auto"/>
        <w:ind w:left="426"/>
        <w:jc w:val="both"/>
        <w:rPr>
          <w:rFonts w:ascii="Times New Roman" w:eastAsia="Times New Roman" w:hAnsi="Times New Roman" w:cs="Times New Roman"/>
          <w:bCs/>
          <w:lang w:val="en-GB"/>
        </w:rPr>
      </w:pPr>
      <w:r w:rsidRPr="00EE0E7D">
        <w:rPr>
          <w:rFonts w:ascii="Times New Roman" w:eastAsia="Times New Roman" w:hAnsi="Times New Roman" w:cs="Times New Roman"/>
          <w:b/>
          <w:bCs/>
        </w:rPr>
        <w:t>A tantárgy szakmai tartalma (angolul) (</w:t>
      </w:r>
      <w:r w:rsidRPr="00EE0E7D">
        <w:rPr>
          <w:rFonts w:ascii="Times New Roman" w:eastAsia="Times New Roman" w:hAnsi="Times New Roman" w:cs="Times New Roman"/>
          <w:b/>
          <w:bCs/>
          <w:lang w:val="en-US"/>
        </w:rPr>
        <w:t>Course description</w:t>
      </w:r>
      <w:r w:rsidRPr="00EE0E7D">
        <w:rPr>
          <w:rFonts w:ascii="Times New Roman" w:eastAsia="Times New Roman" w:hAnsi="Times New Roman" w:cs="Times New Roman"/>
          <w:b/>
          <w:bCs/>
        </w:rPr>
        <w:t xml:space="preserve">): </w:t>
      </w:r>
      <w:r w:rsidRPr="00EE0E7D">
        <w:rPr>
          <w:rFonts w:ascii="Times New Roman" w:eastAsia="Times New Roman" w:hAnsi="Times New Roman" w:cs="Times New Roman"/>
          <w:bCs/>
          <w:lang w:eastAsia="hu-HU"/>
        </w:rPr>
        <w:t>Basic concepts of maintenance, failure, reliability. Component renewal technology. Repair, renewal and diagnostics of engines. Investigation, diagnostics and testing of engines without disassemly. The process of disassembly and assembly. Repair, renovation and adjustment of auxiliary equipment for engines. Diagnostical testing of engines, exhaust gas analysis, smoke opacity measuring. Operational features of power transmission equipment. Failure, fault recognition, repair and renewal of armored, main battle tanks’ clutch, hydrodynamic transmission, planetry gearing, propeller shafts, differentials, cardan mechanism and auxiliary gearboxes.</w:t>
      </w:r>
    </w:p>
    <w:p w:rsidR="00EE0E7D" w:rsidRPr="00EE0E7D" w:rsidRDefault="00EE0E7D" w:rsidP="00980876">
      <w:pPr>
        <w:widowControl w:val="0"/>
        <w:numPr>
          <w:ilvl w:val="0"/>
          <w:numId w:val="654"/>
        </w:numPr>
        <w:spacing w:before="120" w:after="120" w:line="240" w:lineRule="auto"/>
        <w:contextualSpacing/>
        <w:jc w:val="both"/>
        <w:rPr>
          <w:rFonts w:ascii="Times New Roman" w:eastAsia="Times New Roman" w:hAnsi="Times New Roman" w:cs="Times New Roman"/>
          <w:bCs/>
        </w:rPr>
      </w:pPr>
      <w:r w:rsidRPr="00EE0E7D">
        <w:rPr>
          <w:rFonts w:ascii="Times New Roman" w:eastAsia="Times New Roman" w:hAnsi="Times New Roman" w:cs="Times New Roman"/>
          <w:b/>
          <w:bCs/>
        </w:rPr>
        <w:t xml:space="preserve">Elérendő kompetenciák (magyarul): </w:t>
      </w:r>
    </w:p>
    <w:p w:rsidR="00EE0E7D" w:rsidRPr="006B225A" w:rsidRDefault="00EE0E7D" w:rsidP="006B225A">
      <w:pPr>
        <w:widowControl w:val="0"/>
        <w:spacing w:before="240" w:after="0" w:line="240" w:lineRule="auto"/>
        <w:ind w:left="425"/>
        <w:jc w:val="both"/>
        <w:rPr>
          <w:rFonts w:ascii="Times New Roman" w:eastAsia="Times New Roman" w:hAnsi="Times New Roman" w:cs="Times New Roman"/>
          <w:b/>
          <w:lang w:val="en-GB"/>
        </w:rPr>
      </w:pPr>
      <w:r w:rsidRPr="006B225A">
        <w:rPr>
          <w:rFonts w:ascii="Times New Roman" w:eastAsia="Times New Roman" w:hAnsi="Times New Roman" w:cs="Times New Roman"/>
          <w:b/>
          <w:lang w:val="en-GB"/>
        </w:rPr>
        <w:t>Tudása:</w:t>
      </w:r>
    </w:p>
    <w:p w:rsidR="00EE0E7D" w:rsidRPr="00EE0E7D" w:rsidRDefault="00EE0E7D" w:rsidP="00980876">
      <w:pPr>
        <w:widowControl w:val="0"/>
        <w:numPr>
          <w:ilvl w:val="0"/>
          <w:numId w:val="647"/>
        </w:numPr>
        <w:spacing w:after="0" w:line="240" w:lineRule="auto"/>
        <w:ind w:left="993"/>
        <w:contextualSpacing/>
        <w:jc w:val="both"/>
        <w:rPr>
          <w:rFonts w:ascii="Times New Roman" w:eastAsia="Times New Roman" w:hAnsi="Times New Roman" w:cs="Times New Roman"/>
          <w:bCs/>
        </w:rPr>
      </w:pPr>
      <w:r w:rsidRPr="00EE0E7D">
        <w:rPr>
          <w:rFonts w:ascii="Times New Roman" w:eastAsia="Times New Roman" w:hAnsi="Times New Roman" w:cs="Times New Roman"/>
          <w:bCs/>
        </w:rPr>
        <w:t>Ismeri a páncélos- és gépjárműtechnikai eszközök felépítését, berendezéseit, azok működését és üzemeltetési rendjét.</w:t>
      </w:r>
    </w:p>
    <w:p w:rsidR="00EE0E7D" w:rsidRPr="00EE0E7D" w:rsidRDefault="00EE0E7D" w:rsidP="00980876">
      <w:pPr>
        <w:widowControl w:val="0"/>
        <w:numPr>
          <w:ilvl w:val="0"/>
          <w:numId w:val="647"/>
        </w:numPr>
        <w:spacing w:after="0" w:line="240" w:lineRule="auto"/>
        <w:ind w:left="993"/>
        <w:contextualSpacing/>
        <w:jc w:val="both"/>
        <w:rPr>
          <w:rFonts w:ascii="Times New Roman" w:eastAsia="Times New Roman" w:hAnsi="Times New Roman" w:cs="Times New Roman"/>
          <w:bCs/>
        </w:rPr>
      </w:pPr>
      <w:r w:rsidRPr="00EE0E7D">
        <w:rPr>
          <w:rFonts w:ascii="Times New Roman" w:eastAsia="Times New Roman" w:hAnsi="Times New Roman" w:cs="Times New Roman"/>
          <w:bCs/>
        </w:rPr>
        <w:t xml:space="preserve">Ismeri és alkalmazni tudja a páncélos- és gépjárműtechnikai eszközök technikai </w:t>
      </w:r>
      <w:r w:rsidRPr="00EE0E7D">
        <w:rPr>
          <w:rFonts w:ascii="Times New Roman" w:eastAsia="Times New Roman" w:hAnsi="Times New Roman" w:cs="Times New Roman"/>
          <w:bCs/>
        </w:rPr>
        <w:lastRenderedPageBreak/>
        <w:t>kiszolgálásának tervezéséhez szükséges eljárásokat.</w:t>
      </w:r>
    </w:p>
    <w:p w:rsidR="00EE0E7D" w:rsidRPr="00EE0E7D" w:rsidRDefault="00EE0E7D" w:rsidP="00980876">
      <w:pPr>
        <w:widowControl w:val="0"/>
        <w:numPr>
          <w:ilvl w:val="0"/>
          <w:numId w:val="647"/>
        </w:numPr>
        <w:spacing w:after="0" w:line="240" w:lineRule="auto"/>
        <w:ind w:left="993"/>
        <w:contextualSpacing/>
        <w:jc w:val="both"/>
        <w:rPr>
          <w:rFonts w:ascii="Times New Roman" w:eastAsia="Times New Roman" w:hAnsi="Times New Roman" w:cs="Times New Roman"/>
          <w:bCs/>
        </w:rPr>
      </w:pPr>
      <w:r w:rsidRPr="00EE0E7D">
        <w:rPr>
          <w:rFonts w:ascii="Times New Roman" w:eastAsia="Times New Roman" w:hAnsi="Times New Roman" w:cs="Times New Roman"/>
          <w:bCs/>
        </w:rPr>
        <w:t>Ismeri a páncélos- és gépjárműtechnikai eszközök fődarabjainak és részegységeinek karbantartását, ellenőrzését, az egyes szerelési egységek hibáinak behatárolási és javítási módjait.</w:t>
      </w:r>
    </w:p>
    <w:p w:rsidR="00EE0E7D" w:rsidRPr="00EE0E7D" w:rsidRDefault="00EE0E7D" w:rsidP="00980876">
      <w:pPr>
        <w:widowControl w:val="0"/>
        <w:numPr>
          <w:ilvl w:val="0"/>
          <w:numId w:val="647"/>
        </w:numPr>
        <w:spacing w:after="0" w:line="240" w:lineRule="auto"/>
        <w:ind w:left="993"/>
        <w:contextualSpacing/>
        <w:jc w:val="both"/>
        <w:rPr>
          <w:rFonts w:ascii="Times New Roman" w:eastAsia="Times New Roman" w:hAnsi="Times New Roman" w:cs="Times New Roman"/>
          <w:bCs/>
        </w:rPr>
      </w:pPr>
      <w:r w:rsidRPr="00EE0E7D">
        <w:rPr>
          <w:rFonts w:ascii="Times New Roman" w:eastAsia="Times New Roman" w:hAnsi="Times New Roman" w:cs="Times New Roman"/>
          <w:bCs/>
        </w:rPr>
        <w:t>Ismeri a páncélos- és gépjárműtechnikai eszközök ellátáshoz és fenntartásához szükséges anyagok körét.</w:t>
      </w:r>
    </w:p>
    <w:p w:rsidR="00EE0E7D" w:rsidRPr="00EE0E7D" w:rsidRDefault="00EE0E7D" w:rsidP="00980876">
      <w:pPr>
        <w:widowControl w:val="0"/>
        <w:numPr>
          <w:ilvl w:val="0"/>
          <w:numId w:val="647"/>
        </w:numPr>
        <w:spacing w:after="0" w:line="240" w:lineRule="auto"/>
        <w:ind w:left="993"/>
        <w:contextualSpacing/>
        <w:jc w:val="both"/>
        <w:rPr>
          <w:rFonts w:ascii="Times New Roman" w:eastAsia="Times New Roman" w:hAnsi="Times New Roman" w:cs="Times New Roman"/>
          <w:bCs/>
        </w:rPr>
      </w:pPr>
      <w:r w:rsidRPr="00EE0E7D">
        <w:rPr>
          <w:rFonts w:ascii="Times New Roman" w:eastAsia="Times New Roman" w:hAnsi="Times New Roman" w:cs="Times New Roman"/>
          <w:bCs/>
        </w:rPr>
        <w:t>Ismeri a szakfeladatainak ellátásához szükséges munkavédelmi rendszabályokat.</w:t>
      </w:r>
    </w:p>
    <w:p w:rsidR="00EE0E7D" w:rsidRPr="00EE0E7D" w:rsidRDefault="00EE0E7D" w:rsidP="00980876">
      <w:pPr>
        <w:widowControl w:val="0"/>
        <w:numPr>
          <w:ilvl w:val="0"/>
          <w:numId w:val="647"/>
        </w:numPr>
        <w:spacing w:after="0" w:line="240" w:lineRule="auto"/>
        <w:ind w:left="993"/>
        <w:contextualSpacing/>
        <w:jc w:val="both"/>
        <w:rPr>
          <w:rFonts w:ascii="Times New Roman" w:eastAsia="Times New Roman" w:hAnsi="Times New Roman" w:cs="Times New Roman"/>
          <w:bCs/>
        </w:rPr>
      </w:pPr>
      <w:r w:rsidRPr="00EE0E7D">
        <w:rPr>
          <w:rFonts w:ascii="Times New Roman" w:eastAsia="Times New Roman" w:hAnsi="Times New Roman" w:cs="Times New Roman"/>
          <w:bCs/>
        </w:rPr>
        <w:t>Megfelelő mélységű és spektrumú páncélos- és gépjárműtechnikai típusismerettel rendelkezik.</w:t>
      </w:r>
    </w:p>
    <w:p w:rsidR="00EE0E7D" w:rsidRPr="006B225A" w:rsidRDefault="00EE0E7D" w:rsidP="006B225A">
      <w:pPr>
        <w:widowControl w:val="0"/>
        <w:spacing w:before="120" w:after="0" w:line="240" w:lineRule="auto"/>
        <w:ind w:left="425"/>
        <w:jc w:val="both"/>
        <w:rPr>
          <w:rFonts w:ascii="Times New Roman" w:eastAsia="Times New Roman" w:hAnsi="Times New Roman" w:cs="Times New Roman"/>
          <w:b/>
          <w:lang w:val="en-GB"/>
        </w:rPr>
      </w:pPr>
      <w:r w:rsidRPr="006B225A">
        <w:rPr>
          <w:rFonts w:ascii="Times New Roman" w:eastAsia="Times New Roman" w:hAnsi="Times New Roman" w:cs="Times New Roman"/>
          <w:b/>
          <w:lang w:val="en-GB"/>
        </w:rPr>
        <w:t>Képességei:</w:t>
      </w:r>
    </w:p>
    <w:p w:rsidR="00EE0E7D" w:rsidRPr="00EE0E7D" w:rsidRDefault="00EE0E7D" w:rsidP="00980876">
      <w:pPr>
        <w:widowControl w:val="0"/>
        <w:numPr>
          <w:ilvl w:val="0"/>
          <w:numId w:val="648"/>
        </w:numPr>
        <w:spacing w:after="0" w:line="240" w:lineRule="auto"/>
        <w:ind w:left="993"/>
        <w:contextualSpacing/>
        <w:jc w:val="both"/>
        <w:rPr>
          <w:rFonts w:ascii="Times New Roman" w:eastAsia="Times New Roman" w:hAnsi="Times New Roman" w:cs="Times New Roman"/>
          <w:bCs/>
        </w:rPr>
      </w:pPr>
      <w:r w:rsidRPr="00EE0E7D">
        <w:rPr>
          <w:rFonts w:ascii="Times New Roman" w:eastAsia="Times New Roman" w:hAnsi="Times New Roman" w:cs="Times New Roman"/>
          <w:bCs/>
        </w:rPr>
        <w:t>Képes a szakterületén rendszeresített és használt berendezések és technikai eszközök használatának megszervezésére és hatékony alkalmazására.</w:t>
      </w:r>
    </w:p>
    <w:p w:rsidR="00EE0E7D" w:rsidRPr="00EE0E7D" w:rsidRDefault="00EE0E7D" w:rsidP="00980876">
      <w:pPr>
        <w:widowControl w:val="0"/>
        <w:numPr>
          <w:ilvl w:val="0"/>
          <w:numId w:val="648"/>
        </w:numPr>
        <w:spacing w:after="0" w:line="240" w:lineRule="auto"/>
        <w:ind w:left="993"/>
        <w:contextualSpacing/>
        <w:jc w:val="both"/>
        <w:rPr>
          <w:rFonts w:ascii="Times New Roman" w:eastAsia="Times New Roman" w:hAnsi="Times New Roman" w:cs="Times New Roman"/>
          <w:bCs/>
        </w:rPr>
      </w:pPr>
      <w:r w:rsidRPr="00EE0E7D">
        <w:rPr>
          <w:rFonts w:ascii="Times New Roman" w:eastAsia="Times New Roman" w:hAnsi="Times New Roman" w:cs="Times New Roman"/>
          <w:bCs/>
        </w:rPr>
        <w:t>Képes a technológiai utasításoknak megfelelően a páncélos- és gépjárműtechnikai eszközök technikai kiszolgálásának szakszerű végrehajtására, illetve a végrehajtás megszervezésére és ellenőrzésére.</w:t>
      </w:r>
    </w:p>
    <w:p w:rsidR="00EE0E7D" w:rsidRPr="00EE0E7D" w:rsidRDefault="00EE0E7D" w:rsidP="00980876">
      <w:pPr>
        <w:widowControl w:val="0"/>
        <w:numPr>
          <w:ilvl w:val="0"/>
          <w:numId w:val="648"/>
        </w:numPr>
        <w:spacing w:after="0" w:line="240" w:lineRule="auto"/>
        <w:ind w:left="993"/>
        <w:contextualSpacing/>
        <w:jc w:val="both"/>
        <w:rPr>
          <w:rFonts w:ascii="Times New Roman" w:eastAsia="Times New Roman" w:hAnsi="Times New Roman" w:cs="Times New Roman"/>
          <w:bCs/>
        </w:rPr>
      </w:pPr>
      <w:r w:rsidRPr="00EE0E7D">
        <w:rPr>
          <w:rFonts w:ascii="Times New Roman" w:eastAsia="Times New Roman" w:hAnsi="Times New Roman" w:cs="Times New Roman"/>
          <w:bCs/>
        </w:rPr>
        <w:t>Képes az alegységszinten elvégzendő szükség szerinti javítások megszervezésére, végrehajtására és a végrehajtás ellenőrzésére.</w:t>
      </w:r>
    </w:p>
    <w:p w:rsidR="00EE0E7D" w:rsidRPr="00EE0E7D" w:rsidRDefault="00EE0E7D" w:rsidP="00980876">
      <w:pPr>
        <w:widowControl w:val="0"/>
        <w:numPr>
          <w:ilvl w:val="0"/>
          <w:numId w:val="648"/>
        </w:numPr>
        <w:spacing w:after="0" w:line="240" w:lineRule="auto"/>
        <w:ind w:left="993"/>
        <w:contextualSpacing/>
        <w:jc w:val="both"/>
        <w:rPr>
          <w:rFonts w:ascii="Times New Roman" w:eastAsia="Times New Roman" w:hAnsi="Times New Roman" w:cs="Times New Roman"/>
          <w:bCs/>
        </w:rPr>
      </w:pPr>
      <w:r w:rsidRPr="00EE0E7D">
        <w:rPr>
          <w:rFonts w:ascii="Times New Roman" w:eastAsia="Times New Roman" w:hAnsi="Times New Roman" w:cs="Times New Roman"/>
          <w:bCs/>
        </w:rPr>
        <w:t>Képes a páncélos- és gépjárműtechnikai eszközök rendszerben tartását tervezni, szervezni és irányítani.</w:t>
      </w:r>
    </w:p>
    <w:p w:rsidR="00EE0E7D" w:rsidRPr="00EE0E7D" w:rsidRDefault="00EE0E7D" w:rsidP="00980876">
      <w:pPr>
        <w:widowControl w:val="0"/>
        <w:numPr>
          <w:ilvl w:val="0"/>
          <w:numId w:val="648"/>
        </w:numPr>
        <w:spacing w:after="0" w:line="240" w:lineRule="auto"/>
        <w:ind w:left="993"/>
        <w:contextualSpacing/>
        <w:jc w:val="both"/>
        <w:rPr>
          <w:rFonts w:ascii="Times New Roman" w:eastAsia="Times New Roman" w:hAnsi="Times New Roman" w:cs="Times New Roman"/>
          <w:bCs/>
        </w:rPr>
      </w:pPr>
      <w:r w:rsidRPr="00EE0E7D">
        <w:rPr>
          <w:rFonts w:ascii="Times New Roman" w:eastAsia="Times New Roman" w:hAnsi="Times New Roman" w:cs="Times New Roman"/>
          <w:bCs/>
        </w:rPr>
        <w:t>Képes a biztonságos munkavégzés feltételeit megteremteni, a biztonságos munkavégzéshez szükséges szabályokat másokkal is betartatni.</w:t>
      </w:r>
    </w:p>
    <w:p w:rsidR="00EE0E7D" w:rsidRPr="00EE0E7D" w:rsidRDefault="00EE0E7D" w:rsidP="00980876">
      <w:pPr>
        <w:widowControl w:val="0"/>
        <w:numPr>
          <w:ilvl w:val="0"/>
          <w:numId w:val="648"/>
        </w:numPr>
        <w:spacing w:after="0" w:line="240" w:lineRule="auto"/>
        <w:ind w:left="993"/>
        <w:contextualSpacing/>
        <w:jc w:val="both"/>
        <w:rPr>
          <w:rFonts w:ascii="Times New Roman" w:eastAsia="Times New Roman" w:hAnsi="Times New Roman" w:cs="Times New Roman"/>
          <w:bCs/>
          <w:i/>
        </w:rPr>
      </w:pPr>
      <w:r w:rsidRPr="00EE0E7D">
        <w:rPr>
          <w:rFonts w:ascii="Times New Roman" w:eastAsia="Times New Roman" w:hAnsi="Times New Roman" w:cs="Times New Roman"/>
          <w:bCs/>
        </w:rPr>
        <w:t>Képes az alárendeltségében levő szakjavító alegység munkájának a megtervezésére, megszervezésére, irányítására és ellenőrzésére.</w:t>
      </w:r>
    </w:p>
    <w:p w:rsidR="00EE0E7D" w:rsidRPr="006B225A" w:rsidRDefault="00EE0E7D" w:rsidP="006B225A">
      <w:pPr>
        <w:widowControl w:val="0"/>
        <w:spacing w:before="120" w:after="0" w:line="240" w:lineRule="auto"/>
        <w:ind w:left="425"/>
        <w:jc w:val="both"/>
        <w:rPr>
          <w:rFonts w:ascii="Times New Roman" w:eastAsia="Times New Roman" w:hAnsi="Times New Roman" w:cs="Times New Roman"/>
          <w:b/>
          <w:lang w:val="en-GB"/>
        </w:rPr>
      </w:pPr>
      <w:r w:rsidRPr="006B225A">
        <w:rPr>
          <w:rFonts w:ascii="Times New Roman" w:eastAsia="Times New Roman" w:hAnsi="Times New Roman" w:cs="Times New Roman"/>
          <w:b/>
          <w:lang w:val="en-GB"/>
        </w:rPr>
        <w:t>Attitűdje:</w:t>
      </w:r>
    </w:p>
    <w:p w:rsidR="00EE0E7D" w:rsidRPr="00EE0E7D" w:rsidRDefault="00EE0E7D" w:rsidP="00980876">
      <w:pPr>
        <w:widowControl w:val="0"/>
        <w:numPr>
          <w:ilvl w:val="0"/>
          <w:numId w:val="649"/>
        </w:numPr>
        <w:spacing w:after="0" w:line="240" w:lineRule="auto"/>
        <w:ind w:left="993"/>
        <w:contextualSpacing/>
        <w:jc w:val="both"/>
        <w:rPr>
          <w:rFonts w:ascii="Times New Roman" w:eastAsia="Times New Roman" w:hAnsi="Times New Roman" w:cs="Times New Roman"/>
          <w:bCs/>
        </w:rPr>
      </w:pPr>
      <w:r w:rsidRPr="00EE0E7D">
        <w:rPr>
          <w:rFonts w:ascii="Times New Roman" w:eastAsia="Times New Roman" w:hAnsi="Times New Roman" w:cs="Times New Roman"/>
          <w:bCs/>
        </w:rPr>
        <w:t>Nyitott a páncélos- és gépjárműtechnikával kapcsolatos szakmai ismereteinek gyarapítása iránt, folyamatos önképzési igény jellemzi.</w:t>
      </w:r>
    </w:p>
    <w:p w:rsidR="00EE0E7D" w:rsidRPr="00EE0E7D" w:rsidRDefault="00EE0E7D" w:rsidP="00980876">
      <w:pPr>
        <w:widowControl w:val="0"/>
        <w:numPr>
          <w:ilvl w:val="0"/>
          <w:numId w:val="649"/>
        </w:numPr>
        <w:spacing w:after="0" w:line="240" w:lineRule="auto"/>
        <w:ind w:left="993"/>
        <w:contextualSpacing/>
        <w:jc w:val="both"/>
        <w:rPr>
          <w:rFonts w:ascii="Times New Roman" w:eastAsia="Times New Roman" w:hAnsi="Times New Roman" w:cs="Times New Roman"/>
          <w:bCs/>
        </w:rPr>
      </w:pPr>
      <w:r w:rsidRPr="00EE0E7D">
        <w:rPr>
          <w:rFonts w:ascii="Times New Roman" w:eastAsia="Times New Roman" w:hAnsi="Times New Roman" w:cs="Times New Roman"/>
          <w:bCs/>
        </w:rPr>
        <w:t>Törekszik munkája során a vonatkozó szabályok betartására és betartatására.</w:t>
      </w:r>
    </w:p>
    <w:p w:rsidR="00EE0E7D" w:rsidRPr="00EE0E7D" w:rsidRDefault="00EE0E7D" w:rsidP="00980876">
      <w:pPr>
        <w:widowControl w:val="0"/>
        <w:numPr>
          <w:ilvl w:val="0"/>
          <w:numId w:val="649"/>
        </w:numPr>
        <w:spacing w:after="0" w:line="240" w:lineRule="auto"/>
        <w:ind w:left="993"/>
        <w:contextualSpacing/>
        <w:jc w:val="both"/>
        <w:rPr>
          <w:rFonts w:ascii="Times New Roman" w:eastAsia="Times New Roman" w:hAnsi="Times New Roman" w:cs="Times New Roman"/>
          <w:bCs/>
        </w:rPr>
      </w:pPr>
      <w:r w:rsidRPr="00EE0E7D">
        <w:rPr>
          <w:rFonts w:ascii="Times New Roman" w:eastAsia="Times New Roman" w:hAnsi="Times New Roman" w:cs="Times New Roman"/>
          <w:bCs/>
        </w:rPr>
        <w:t>Munkáját és emberi kapcsolatait a megbízhatóság jellemzi.</w:t>
      </w:r>
    </w:p>
    <w:p w:rsidR="00EE0E7D" w:rsidRPr="00EE0E7D" w:rsidRDefault="00EE0E7D" w:rsidP="00980876">
      <w:pPr>
        <w:widowControl w:val="0"/>
        <w:numPr>
          <w:ilvl w:val="0"/>
          <w:numId w:val="649"/>
        </w:numPr>
        <w:spacing w:after="0" w:line="240" w:lineRule="auto"/>
        <w:ind w:left="993"/>
        <w:contextualSpacing/>
        <w:jc w:val="both"/>
        <w:rPr>
          <w:rFonts w:ascii="Times New Roman" w:eastAsia="Times New Roman" w:hAnsi="Times New Roman" w:cs="Times New Roman"/>
          <w:bCs/>
        </w:rPr>
      </w:pPr>
      <w:r w:rsidRPr="00EE0E7D">
        <w:rPr>
          <w:rFonts w:ascii="Times New Roman" w:eastAsia="Times New Roman" w:hAnsi="Times New Roman" w:cs="Times New Roman"/>
          <w:bCs/>
        </w:rPr>
        <w:t>Nyitott a haditechnikai szakterület új eredményei felé, törekszik azok megismerésére.</w:t>
      </w:r>
    </w:p>
    <w:p w:rsidR="00EE0E7D" w:rsidRPr="006B225A" w:rsidRDefault="00EE0E7D" w:rsidP="006B225A">
      <w:pPr>
        <w:widowControl w:val="0"/>
        <w:spacing w:before="120" w:after="0" w:line="240" w:lineRule="auto"/>
        <w:ind w:left="425"/>
        <w:jc w:val="both"/>
        <w:rPr>
          <w:rFonts w:ascii="Times New Roman" w:eastAsia="Times New Roman" w:hAnsi="Times New Roman" w:cs="Times New Roman"/>
          <w:b/>
          <w:lang w:val="en-GB"/>
        </w:rPr>
      </w:pPr>
      <w:r w:rsidRPr="006B225A">
        <w:rPr>
          <w:rFonts w:ascii="Times New Roman" w:eastAsia="Times New Roman" w:hAnsi="Times New Roman" w:cs="Times New Roman"/>
          <w:b/>
          <w:lang w:val="en-GB"/>
        </w:rPr>
        <w:t>Autonómiája és felelőssége:</w:t>
      </w:r>
    </w:p>
    <w:p w:rsidR="00EE0E7D" w:rsidRPr="00EE0E7D" w:rsidRDefault="00EE0E7D" w:rsidP="00980876">
      <w:pPr>
        <w:widowControl w:val="0"/>
        <w:numPr>
          <w:ilvl w:val="0"/>
          <w:numId w:val="650"/>
        </w:numPr>
        <w:spacing w:after="0" w:line="240" w:lineRule="auto"/>
        <w:ind w:left="993"/>
        <w:contextualSpacing/>
        <w:jc w:val="both"/>
        <w:rPr>
          <w:rFonts w:ascii="Times New Roman" w:eastAsia="Times New Roman" w:hAnsi="Times New Roman" w:cs="Times New Roman"/>
          <w:bCs/>
        </w:rPr>
      </w:pPr>
      <w:r w:rsidRPr="00EE0E7D">
        <w:rPr>
          <w:rFonts w:ascii="Times New Roman" w:eastAsia="Times New Roman" w:hAnsi="Times New Roman" w:cs="Times New Roman"/>
          <w:bCs/>
        </w:rPr>
        <w:t>Képes alárendeltjeinek feladatait megszervezni és meghatározni, valamint elvégzett munkájukat szakmai szempontok alapján ellenőrizni.</w:t>
      </w:r>
    </w:p>
    <w:p w:rsidR="00EE0E7D" w:rsidRPr="00EE0E7D" w:rsidRDefault="00EE0E7D" w:rsidP="00980876">
      <w:pPr>
        <w:widowControl w:val="0"/>
        <w:numPr>
          <w:ilvl w:val="0"/>
          <w:numId w:val="650"/>
        </w:numPr>
        <w:spacing w:after="0" w:line="240" w:lineRule="auto"/>
        <w:ind w:left="993"/>
        <w:contextualSpacing/>
        <w:jc w:val="both"/>
        <w:rPr>
          <w:rFonts w:ascii="Times New Roman" w:eastAsia="Times New Roman" w:hAnsi="Times New Roman" w:cs="Times New Roman"/>
          <w:bCs/>
        </w:rPr>
      </w:pPr>
      <w:r w:rsidRPr="00EE0E7D">
        <w:rPr>
          <w:rFonts w:ascii="Times New Roman" w:eastAsia="Times New Roman" w:hAnsi="Times New Roman" w:cs="Times New Roman"/>
          <w:bCs/>
        </w:rPr>
        <w:t>A páncélos- és gépjárműtechnikai eszközök technikai kiszolgálása és javítása során képes elemzések végrehajtása után a legmegfelelőbb döntéseket meghozni, amely döntésekért a szakmai felelősséget vállalja.</w:t>
      </w:r>
    </w:p>
    <w:p w:rsidR="00EE0E7D" w:rsidRPr="00EE0E7D" w:rsidRDefault="00EE0E7D" w:rsidP="00980876">
      <w:pPr>
        <w:widowControl w:val="0"/>
        <w:numPr>
          <w:ilvl w:val="0"/>
          <w:numId w:val="650"/>
        </w:numPr>
        <w:spacing w:after="0" w:line="240" w:lineRule="auto"/>
        <w:ind w:left="993"/>
        <w:contextualSpacing/>
        <w:jc w:val="both"/>
        <w:rPr>
          <w:rFonts w:ascii="Times New Roman" w:eastAsia="Times New Roman" w:hAnsi="Times New Roman" w:cs="Times New Roman"/>
          <w:bCs/>
        </w:rPr>
      </w:pPr>
      <w:r w:rsidRPr="00EE0E7D">
        <w:rPr>
          <w:rFonts w:ascii="Times New Roman" w:eastAsia="Times New Roman" w:hAnsi="Times New Roman" w:cs="Times New Roman"/>
          <w:bCs/>
        </w:rPr>
        <w:t>Együttműködés és felelősség jellemzi szakterületének szakembereivel szemben.</w:t>
      </w:r>
    </w:p>
    <w:p w:rsidR="00EE0E7D" w:rsidRPr="00EE0E7D" w:rsidRDefault="00EE0E7D" w:rsidP="00980876">
      <w:pPr>
        <w:widowControl w:val="0"/>
        <w:numPr>
          <w:ilvl w:val="0"/>
          <w:numId w:val="650"/>
        </w:numPr>
        <w:spacing w:after="0" w:line="240" w:lineRule="auto"/>
        <w:ind w:left="993"/>
        <w:contextualSpacing/>
        <w:jc w:val="both"/>
        <w:rPr>
          <w:rFonts w:ascii="Times New Roman" w:eastAsia="Times New Roman" w:hAnsi="Times New Roman" w:cs="Times New Roman"/>
          <w:bCs/>
        </w:rPr>
      </w:pPr>
      <w:r w:rsidRPr="00EE0E7D">
        <w:rPr>
          <w:rFonts w:ascii="Times New Roman" w:eastAsia="Times New Roman" w:hAnsi="Times New Roman" w:cs="Times New Roman"/>
          <w:bCs/>
        </w:rPr>
        <w:t>Szakterületén belül képes rendszer-szemléletűen gondolkodni.</w:t>
      </w:r>
    </w:p>
    <w:p w:rsidR="00EE0E7D" w:rsidRPr="00EE0E7D" w:rsidRDefault="00EE0E7D" w:rsidP="00EE0E7D">
      <w:pPr>
        <w:widowControl w:val="0"/>
        <w:spacing w:before="120" w:after="120" w:line="240" w:lineRule="auto"/>
        <w:ind w:left="426"/>
        <w:jc w:val="both"/>
        <w:rPr>
          <w:rFonts w:ascii="Times New Roman" w:eastAsia="Times New Roman" w:hAnsi="Times New Roman" w:cs="Times New Roman"/>
          <w:b/>
          <w:bCs/>
          <w:lang w:val="en-US"/>
        </w:rPr>
      </w:pPr>
      <w:r w:rsidRPr="00EE0E7D">
        <w:rPr>
          <w:rFonts w:ascii="Times New Roman" w:eastAsia="Times New Roman" w:hAnsi="Times New Roman" w:cs="Times New Roman"/>
          <w:b/>
          <w:bCs/>
        </w:rPr>
        <w:t>Elérendő kompetenciák (angolul) (</w:t>
      </w:r>
      <w:r w:rsidRPr="00EE0E7D">
        <w:rPr>
          <w:rFonts w:ascii="Times New Roman" w:eastAsia="Times New Roman" w:hAnsi="Times New Roman" w:cs="Times New Roman"/>
          <w:b/>
          <w:bCs/>
          <w:lang w:val="en-US"/>
        </w:rPr>
        <w:t xml:space="preserve">Competences – English): </w:t>
      </w:r>
    </w:p>
    <w:p w:rsidR="00EE0E7D" w:rsidRPr="00EE0E7D" w:rsidRDefault="00EE0E7D" w:rsidP="006B225A">
      <w:pPr>
        <w:widowControl w:val="0"/>
        <w:spacing w:before="120" w:after="0" w:line="240" w:lineRule="auto"/>
        <w:ind w:left="425"/>
        <w:jc w:val="both"/>
        <w:rPr>
          <w:rFonts w:ascii="Times New Roman" w:eastAsia="Times New Roman" w:hAnsi="Times New Roman" w:cs="Times New Roman"/>
          <w:bCs/>
          <w:i/>
        </w:rPr>
      </w:pPr>
      <w:r w:rsidRPr="00EE0E7D">
        <w:rPr>
          <w:rFonts w:ascii="Times New Roman" w:eastAsia="Times New Roman" w:hAnsi="Times New Roman" w:cs="Times New Roman"/>
          <w:b/>
          <w:lang w:val="en-GB"/>
        </w:rPr>
        <w:t>Knowledge</w:t>
      </w:r>
      <w:r w:rsidRPr="00EE0E7D">
        <w:rPr>
          <w:rFonts w:ascii="Times New Roman" w:eastAsia="Times New Roman" w:hAnsi="Times New Roman" w:cs="Times New Roman"/>
          <w:lang w:val="en-GB"/>
        </w:rPr>
        <w:t>:</w:t>
      </w:r>
    </w:p>
    <w:p w:rsidR="00EE0E7D" w:rsidRPr="00EE0E7D" w:rsidRDefault="00EE0E7D" w:rsidP="00980876">
      <w:pPr>
        <w:widowControl w:val="0"/>
        <w:numPr>
          <w:ilvl w:val="0"/>
          <w:numId w:val="651"/>
        </w:numPr>
        <w:spacing w:after="0" w:line="240" w:lineRule="auto"/>
        <w:ind w:left="993"/>
        <w:contextualSpacing/>
        <w:jc w:val="both"/>
        <w:rPr>
          <w:rFonts w:ascii="Times New Roman" w:eastAsia="Times New Roman" w:hAnsi="Times New Roman" w:cs="Times New Roman"/>
          <w:bCs/>
        </w:rPr>
      </w:pPr>
      <w:r w:rsidRPr="00EE0E7D">
        <w:rPr>
          <w:rFonts w:ascii="Times New Roman" w:eastAsia="Times New Roman" w:hAnsi="Times New Roman" w:cs="Times New Roman"/>
          <w:bCs/>
        </w:rPr>
        <w:t>Knows the structure and equipment as well as the functioning and operation of armored vehicles.</w:t>
      </w:r>
    </w:p>
    <w:p w:rsidR="00EE0E7D" w:rsidRPr="00EE0E7D" w:rsidRDefault="00EE0E7D" w:rsidP="00980876">
      <w:pPr>
        <w:widowControl w:val="0"/>
        <w:numPr>
          <w:ilvl w:val="0"/>
          <w:numId w:val="651"/>
        </w:numPr>
        <w:spacing w:after="0" w:line="240" w:lineRule="auto"/>
        <w:ind w:left="993"/>
        <w:contextualSpacing/>
        <w:jc w:val="both"/>
        <w:rPr>
          <w:rFonts w:ascii="Times New Roman" w:eastAsia="Times New Roman" w:hAnsi="Times New Roman" w:cs="Times New Roman"/>
          <w:bCs/>
        </w:rPr>
      </w:pPr>
      <w:r w:rsidRPr="00EE0E7D">
        <w:rPr>
          <w:rFonts w:ascii="Times New Roman" w:eastAsia="Times New Roman" w:hAnsi="Times New Roman" w:cs="Times New Roman"/>
          <w:bCs/>
        </w:rPr>
        <w:t>Knows and is able to apply the processes required for planning the technical maintenance of armored vehicles.</w:t>
      </w:r>
    </w:p>
    <w:p w:rsidR="00EE0E7D" w:rsidRPr="00EE0E7D" w:rsidRDefault="00EE0E7D" w:rsidP="00980876">
      <w:pPr>
        <w:widowControl w:val="0"/>
        <w:numPr>
          <w:ilvl w:val="0"/>
          <w:numId w:val="651"/>
        </w:numPr>
        <w:spacing w:after="0" w:line="240" w:lineRule="auto"/>
        <w:ind w:left="993"/>
        <w:contextualSpacing/>
        <w:jc w:val="both"/>
        <w:rPr>
          <w:rFonts w:ascii="Times New Roman" w:eastAsia="Times New Roman" w:hAnsi="Times New Roman" w:cs="Times New Roman"/>
          <w:bCs/>
        </w:rPr>
      </w:pPr>
      <w:r w:rsidRPr="00EE0E7D">
        <w:rPr>
          <w:rFonts w:ascii="Times New Roman" w:eastAsia="Times New Roman" w:hAnsi="Times New Roman" w:cs="Times New Roman"/>
          <w:bCs/>
        </w:rPr>
        <w:t>Knows how to maintain and control the main parts and units of armored vehicles, as well as the ways to identify and repair the defects of certain parts.</w:t>
      </w:r>
    </w:p>
    <w:p w:rsidR="00EE0E7D" w:rsidRPr="00EE0E7D" w:rsidRDefault="00EE0E7D" w:rsidP="00980876">
      <w:pPr>
        <w:widowControl w:val="0"/>
        <w:numPr>
          <w:ilvl w:val="0"/>
          <w:numId w:val="651"/>
        </w:numPr>
        <w:spacing w:after="0" w:line="240" w:lineRule="auto"/>
        <w:ind w:left="993"/>
        <w:contextualSpacing/>
        <w:jc w:val="both"/>
        <w:rPr>
          <w:rFonts w:ascii="Times New Roman" w:eastAsia="Times New Roman" w:hAnsi="Times New Roman" w:cs="Times New Roman"/>
          <w:bCs/>
        </w:rPr>
      </w:pPr>
      <w:r w:rsidRPr="00EE0E7D">
        <w:rPr>
          <w:rFonts w:ascii="Times New Roman" w:eastAsia="Times New Roman" w:hAnsi="Times New Roman" w:cs="Times New Roman"/>
          <w:bCs/>
        </w:rPr>
        <w:t>Knows the range of materials required for the maintenance of the armored vehicles.</w:t>
      </w:r>
    </w:p>
    <w:p w:rsidR="00EE0E7D" w:rsidRPr="00EE0E7D" w:rsidRDefault="00EE0E7D" w:rsidP="00980876">
      <w:pPr>
        <w:widowControl w:val="0"/>
        <w:numPr>
          <w:ilvl w:val="0"/>
          <w:numId w:val="651"/>
        </w:numPr>
        <w:spacing w:after="0" w:line="240" w:lineRule="auto"/>
        <w:ind w:left="993"/>
        <w:contextualSpacing/>
        <w:jc w:val="both"/>
        <w:rPr>
          <w:rFonts w:ascii="Times New Roman" w:eastAsia="Times New Roman" w:hAnsi="Times New Roman" w:cs="Times New Roman"/>
          <w:bCs/>
        </w:rPr>
      </w:pPr>
      <w:r w:rsidRPr="00EE0E7D">
        <w:rPr>
          <w:rFonts w:ascii="Times New Roman" w:eastAsia="Times New Roman" w:hAnsi="Times New Roman" w:cs="Times New Roman"/>
          <w:bCs/>
        </w:rPr>
        <w:t>Knows the work safety regulations required for fulfilling his/her professional tasks.</w:t>
      </w:r>
    </w:p>
    <w:p w:rsidR="00EE0E7D" w:rsidRPr="00EE0E7D" w:rsidRDefault="00EE0E7D" w:rsidP="00980876">
      <w:pPr>
        <w:widowControl w:val="0"/>
        <w:numPr>
          <w:ilvl w:val="0"/>
          <w:numId w:val="651"/>
        </w:numPr>
        <w:spacing w:after="0" w:line="240" w:lineRule="auto"/>
        <w:ind w:left="993"/>
        <w:contextualSpacing/>
        <w:jc w:val="both"/>
        <w:rPr>
          <w:rFonts w:ascii="Times New Roman" w:eastAsia="Times New Roman" w:hAnsi="Times New Roman" w:cs="Times New Roman"/>
          <w:lang w:val="en-GB"/>
        </w:rPr>
      </w:pPr>
      <w:r w:rsidRPr="00EE0E7D">
        <w:rPr>
          <w:rFonts w:ascii="Times New Roman" w:eastAsia="Times New Roman" w:hAnsi="Times New Roman" w:cs="Times New Roman"/>
          <w:bCs/>
        </w:rPr>
        <w:t>Possesses knowledge of adequate depth and spectrum regarding armored vehicle types.</w:t>
      </w:r>
    </w:p>
    <w:p w:rsidR="00EE0E7D" w:rsidRPr="006B225A" w:rsidRDefault="00EE0E7D" w:rsidP="006B225A">
      <w:pPr>
        <w:widowControl w:val="0"/>
        <w:spacing w:before="120" w:after="0" w:line="240" w:lineRule="auto"/>
        <w:ind w:left="425"/>
        <w:jc w:val="both"/>
        <w:rPr>
          <w:rFonts w:ascii="Times New Roman" w:eastAsia="Times New Roman" w:hAnsi="Times New Roman" w:cs="Times New Roman"/>
          <w:b/>
          <w:lang w:val="en-GB"/>
        </w:rPr>
      </w:pPr>
      <w:r w:rsidRPr="00EE0E7D">
        <w:rPr>
          <w:rFonts w:ascii="Times New Roman" w:eastAsia="Times New Roman" w:hAnsi="Times New Roman" w:cs="Times New Roman"/>
          <w:b/>
          <w:lang w:val="en-GB"/>
        </w:rPr>
        <w:t>Capabilities</w:t>
      </w:r>
      <w:r w:rsidRPr="006B225A">
        <w:rPr>
          <w:rFonts w:ascii="Times New Roman" w:eastAsia="Times New Roman" w:hAnsi="Times New Roman" w:cs="Times New Roman"/>
          <w:b/>
          <w:lang w:val="en-GB"/>
        </w:rPr>
        <w:t>:</w:t>
      </w:r>
    </w:p>
    <w:p w:rsidR="00EE0E7D" w:rsidRPr="00EE0E7D" w:rsidRDefault="00EE0E7D" w:rsidP="00980876">
      <w:pPr>
        <w:widowControl w:val="0"/>
        <w:numPr>
          <w:ilvl w:val="0"/>
          <w:numId w:val="652"/>
        </w:numPr>
        <w:spacing w:after="0" w:line="240" w:lineRule="auto"/>
        <w:ind w:left="993"/>
        <w:contextualSpacing/>
        <w:jc w:val="both"/>
        <w:rPr>
          <w:rFonts w:ascii="Times New Roman" w:eastAsia="Times New Roman" w:hAnsi="Times New Roman" w:cs="Times New Roman"/>
          <w:bCs/>
        </w:rPr>
      </w:pPr>
      <w:r w:rsidRPr="00EE0E7D">
        <w:rPr>
          <w:rFonts w:ascii="Times New Roman" w:eastAsia="Times New Roman" w:hAnsi="Times New Roman" w:cs="Times New Roman"/>
          <w:bCs/>
        </w:rPr>
        <w:t>Is capable of organizing and efficiently utilizing the usage of the equipment and technical appliances applied in his/her respective specialty field.</w:t>
      </w:r>
    </w:p>
    <w:p w:rsidR="00EE0E7D" w:rsidRPr="006B225A" w:rsidRDefault="00EE0E7D" w:rsidP="00980876">
      <w:pPr>
        <w:widowControl w:val="0"/>
        <w:numPr>
          <w:ilvl w:val="0"/>
          <w:numId w:val="653"/>
        </w:numPr>
        <w:spacing w:after="0" w:line="240" w:lineRule="auto"/>
        <w:ind w:left="993"/>
        <w:contextualSpacing/>
        <w:jc w:val="both"/>
        <w:rPr>
          <w:rFonts w:ascii="Times New Roman" w:eastAsia="Times New Roman" w:hAnsi="Times New Roman" w:cs="Times New Roman"/>
        </w:rPr>
      </w:pPr>
      <w:r w:rsidRPr="006B225A">
        <w:rPr>
          <w:rFonts w:ascii="Times New Roman" w:eastAsia="Times New Roman" w:hAnsi="Times New Roman" w:cs="Times New Roman"/>
        </w:rPr>
        <w:t xml:space="preserve">Is capable of professionally executing as well as planning and controlling the execution of </w:t>
      </w:r>
      <w:r w:rsidRPr="006B225A">
        <w:rPr>
          <w:rFonts w:ascii="Times New Roman" w:eastAsia="Times New Roman" w:hAnsi="Times New Roman" w:cs="Times New Roman"/>
        </w:rPr>
        <w:lastRenderedPageBreak/>
        <w:t>the technical maintenance of armored vehicles based on the technological commands.</w:t>
      </w:r>
    </w:p>
    <w:p w:rsidR="00EE0E7D" w:rsidRPr="006B225A" w:rsidRDefault="00EE0E7D" w:rsidP="00980876">
      <w:pPr>
        <w:widowControl w:val="0"/>
        <w:numPr>
          <w:ilvl w:val="0"/>
          <w:numId w:val="653"/>
        </w:numPr>
        <w:spacing w:after="0" w:line="240" w:lineRule="auto"/>
        <w:ind w:left="993"/>
        <w:contextualSpacing/>
        <w:jc w:val="both"/>
        <w:rPr>
          <w:rFonts w:ascii="Times New Roman" w:eastAsia="Times New Roman" w:hAnsi="Times New Roman" w:cs="Times New Roman"/>
        </w:rPr>
      </w:pPr>
      <w:r w:rsidRPr="006B225A">
        <w:rPr>
          <w:rFonts w:ascii="Times New Roman" w:eastAsia="Times New Roman" w:hAnsi="Times New Roman" w:cs="Times New Roman"/>
        </w:rPr>
        <w:t>Is capable of organizing, executing and controlling the repairs required at a subunit level.</w:t>
      </w:r>
    </w:p>
    <w:p w:rsidR="00EE0E7D" w:rsidRPr="006B225A" w:rsidRDefault="00EE0E7D" w:rsidP="00980876">
      <w:pPr>
        <w:widowControl w:val="0"/>
        <w:numPr>
          <w:ilvl w:val="0"/>
          <w:numId w:val="653"/>
        </w:numPr>
        <w:spacing w:after="0" w:line="240" w:lineRule="auto"/>
        <w:ind w:left="993"/>
        <w:contextualSpacing/>
        <w:jc w:val="both"/>
        <w:rPr>
          <w:rFonts w:ascii="Times New Roman" w:eastAsia="Times New Roman" w:hAnsi="Times New Roman" w:cs="Times New Roman"/>
        </w:rPr>
      </w:pPr>
      <w:r w:rsidRPr="006B225A">
        <w:rPr>
          <w:rFonts w:ascii="Times New Roman" w:eastAsia="Times New Roman" w:hAnsi="Times New Roman" w:cs="Times New Roman"/>
        </w:rPr>
        <w:t>Is capable of planning, organizing and managing the maintenance and supply of the armored vehicles.</w:t>
      </w:r>
    </w:p>
    <w:p w:rsidR="00EE0E7D" w:rsidRPr="006B225A" w:rsidRDefault="00EE0E7D" w:rsidP="00980876">
      <w:pPr>
        <w:widowControl w:val="0"/>
        <w:numPr>
          <w:ilvl w:val="0"/>
          <w:numId w:val="653"/>
        </w:numPr>
        <w:spacing w:after="0" w:line="240" w:lineRule="auto"/>
        <w:ind w:left="993"/>
        <w:contextualSpacing/>
        <w:jc w:val="both"/>
        <w:rPr>
          <w:rFonts w:ascii="Times New Roman" w:eastAsia="Times New Roman" w:hAnsi="Times New Roman" w:cs="Times New Roman"/>
        </w:rPr>
      </w:pPr>
      <w:r w:rsidRPr="006B225A">
        <w:rPr>
          <w:rFonts w:ascii="Times New Roman" w:eastAsia="Times New Roman" w:hAnsi="Times New Roman" w:cs="Times New Roman"/>
        </w:rPr>
        <w:t>Is capable of preparing the conditions of a safe working environment and making others adhere to the rules of work safety.</w:t>
      </w:r>
    </w:p>
    <w:p w:rsidR="00EE0E7D" w:rsidRPr="006B225A" w:rsidRDefault="00EE0E7D" w:rsidP="00980876">
      <w:pPr>
        <w:widowControl w:val="0"/>
        <w:numPr>
          <w:ilvl w:val="0"/>
          <w:numId w:val="653"/>
        </w:numPr>
        <w:spacing w:after="0" w:line="240" w:lineRule="auto"/>
        <w:ind w:left="993"/>
        <w:contextualSpacing/>
        <w:jc w:val="both"/>
        <w:rPr>
          <w:rFonts w:ascii="Times New Roman" w:eastAsia="Times New Roman" w:hAnsi="Times New Roman" w:cs="Times New Roman"/>
        </w:rPr>
      </w:pPr>
      <w:r w:rsidRPr="006B225A">
        <w:rPr>
          <w:rFonts w:ascii="Times New Roman" w:eastAsia="Times New Roman" w:hAnsi="Times New Roman" w:cs="Times New Roman"/>
        </w:rPr>
        <w:t>Is capable of planning, organizing, managing and controlling the work of the maintenance sub-unit under his/her supervision.</w:t>
      </w:r>
    </w:p>
    <w:p w:rsidR="00EE0E7D" w:rsidRPr="006B225A" w:rsidRDefault="00EE0E7D" w:rsidP="006B225A">
      <w:pPr>
        <w:widowControl w:val="0"/>
        <w:spacing w:before="120" w:after="0" w:line="240" w:lineRule="auto"/>
        <w:ind w:left="425"/>
        <w:jc w:val="both"/>
        <w:rPr>
          <w:rFonts w:ascii="Times New Roman" w:eastAsia="Times New Roman" w:hAnsi="Times New Roman" w:cs="Times New Roman"/>
          <w:b/>
          <w:lang w:val="en-GB"/>
        </w:rPr>
      </w:pPr>
      <w:r w:rsidRPr="00EE0E7D">
        <w:rPr>
          <w:rFonts w:ascii="Times New Roman" w:eastAsia="Times New Roman" w:hAnsi="Times New Roman" w:cs="Times New Roman"/>
          <w:b/>
          <w:lang w:val="en-GB"/>
        </w:rPr>
        <w:t>Attitude:</w:t>
      </w:r>
    </w:p>
    <w:p w:rsidR="00EE0E7D" w:rsidRPr="00EE0E7D" w:rsidRDefault="00EE0E7D" w:rsidP="00980876">
      <w:pPr>
        <w:widowControl w:val="0"/>
        <w:numPr>
          <w:ilvl w:val="0"/>
          <w:numId w:val="653"/>
        </w:numPr>
        <w:spacing w:after="0" w:line="240" w:lineRule="auto"/>
        <w:ind w:left="993"/>
        <w:contextualSpacing/>
        <w:jc w:val="both"/>
        <w:rPr>
          <w:rFonts w:ascii="Times New Roman" w:eastAsia="Times New Roman" w:hAnsi="Times New Roman" w:cs="Times New Roman"/>
        </w:rPr>
      </w:pPr>
      <w:r w:rsidRPr="00EE0E7D">
        <w:rPr>
          <w:rFonts w:ascii="Times New Roman" w:eastAsia="Times New Roman" w:hAnsi="Times New Roman" w:cs="Times New Roman"/>
        </w:rPr>
        <w:t>He/she is open to widen his/her knowledge regarding armored vehicles and has a constant need for self-education.</w:t>
      </w:r>
    </w:p>
    <w:p w:rsidR="00EE0E7D" w:rsidRPr="00EE0E7D" w:rsidRDefault="00EE0E7D" w:rsidP="00980876">
      <w:pPr>
        <w:widowControl w:val="0"/>
        <w:numPr>
          <w:ilvl w:val="0"/>
          <w:numId w:val="653"/>
        </w:numPr>
        <w:spacing w:after="0" w:line="240" w:lineRule="auto"/>
        <w:ind w:left="993"/>
        <w:contextualSpacing/>
        <w:jc w:val="both"/>
        <w:rPr>
          <w:rFonts w:ascii="Times New Roman" w:eastAsia="Times New Roman" w:hAnsi="Times New Roman" w:cs="Times New Roman"/>
        </w:rPr>
      </w:pPr>
      <w:r w:rsidRPr="00EE0E7D">
        <w:rPr>
          <w:rFonts w:ascii="Times New Roman" w:eastAsia="Times New Roman" w:hAnsi="Times New Roman" w:cs="Times New Roman"/>
        </w:rPr>
        <w:t>He/she aims to adhere to the respective rules and make others follow them as well.</w:t>
      </w:r>
    </w:p>
    <w:p w:rsidR="00EE0E7D" w:rsidRPr="00EE0E7D" w:rsidRDefault="00EE0E7D" w:rsidP="00980876">
      <w:pPr>
        <w:widowControl w:val="0"/>
        <w:numPr>
          <w:ilvl w:val="0"/>
          <w:numId w:val="653"/>
        </w:numPr>
        <w:spacing w:after="0" w:line="240" w:lineRule="auto"/>
        <w:ind w:left="993"/>
        <w:contextualSpacing/>
        <w:jc w:val="both"/>
        <w:rPr>
          <w:rFonts w:ascii="Times New Roman" w:eastAsia="Times New Roman" w:hAnsi="Times New Roman" w:cs="Times New Roman"/>
        </w:rPr>
      </w:pPr>
      <w:r w:rsidRPr="00EE0E7D">
        <w:rPr>
          <w:rFonts w:ascii="Times New Roman" w:eastAsia="Times New Roman" w:hAnsi="Times New Roman" w:cs="Times New Roman"/>
        </w:rPr>
        <w:t>His/her work and relationships can be described by loyalty and reliability.</w:t>
      </w:r>
    </w:p>
    <w:p w:rsidR="00EE0E7D" w:rsidRPr="006B225A" w:rsidRDefault="00EE0E7D" w:rsidP="00980876">
      <w:pPr>
        <w:widowControl w:val="0"/>
        <w:numPr>
          <w:ilvl w:val="0"/>
          <w:numId w:val="653"/>
        </w:numPr>
        <w:spacing w:after="0" w:line="240" w:lineRule="auto"/>
        <w:ind w:left="993"/>
        <w:contextualSpacing/>
        <w:jc w:val="both"/>
        <w:rPr>
          <w:rFonts w:ascii="Times New Roman" w:eastAsia="Times New Roman" w:hAnsi="Times New Roman" w:cs="Times New Roman"/>
        </w:rPr>
      </w:pPr>
      <w:r w:rsidRPr="00EE0E7D">
        <w:rPr>
          <w:rFonts w:ascii="Times New Roman" w:eastAsia="Times New Roman" w:hAnsi="Times New Roman" w:cs="Times New Roman"/>
        </w:rPr>
        <w:t>He/she is open towards the new accomplishments of military technology and aims to gain knowledge of these.</w:t>
      </w:r>
    </w:p>
    <w:p w:rsidR="00EE0E7D" w:rsidRPr="00EE0E7D" w:rsidRDefault="00EE0E7D" w:rsidP="006B225A">
      <w:pPr>
        <w:widowControl w:val="0"/>
        <w:spacing w:before="120" w:after="0" w:line="240" w:lineRule="auto"/>
        <w:ind w:left="425"/>
        <w:jc w:val="both"/>
        <w:rPr>
          <w:rFonts w:ascii="Times New Roman" w:eastAsia="Times New Roman" w:hAnsi="Times New Roman" w:cs="Times New Roman"/>
          <w:b/>
          <w:lang w:val="en-GB"/>
        </w:rPr>
      </w:pPr>
      <w:r w:rsidRPr="00EE0E7D">
        <w:rPr>
          <w:rFonts w:ascii="Times New Roman" w:eastAsia="Times New Roman" w:hAnsi="Times New Roman" w:cs="Times New Roman"/>
          <w:b/>
          <w:lang w:val="en-GB"/>
        </w:rPr>
        <w:t>Autonomy and responsibility:</w:t>
      </w:r>
    </w:p>
    <w:p w:rsidR="00EE0E7D" w:rsidRPr="00EE0E7D" w:rsidRDefault="00EE0E7D" w:rsidP="00980876">
      <w:pPr>
        <w:widowControl w:val="0"/>
        <w:numPr>
          <w:ilvl w:val="0"/>
          <w:numId w:val="653"/>
        </w:numPr>
        <w:spacing w:after="0" w:line="240" w:lineRule="auto"/>
        <w:ind w:left="993"/>
        <w:contextualSpacing/>
        <w:jc w:val="both"/>
        <w:rPr>
          <w:rFonts w:ascii="Times New Roman" w:eastAsia="Times New Roman" w:hAnsi="Times New Roman" w:cs="Times New Roman"/>
        </w:rPr>
      </w:pPr>
      <w:r w:rsidRPr="00EE0E7D">
        <w:rPr>
          <w:rFonts w:ascii="Times New Roman" w:eastAsia="Times New Roman" w:hAnsi="Times New Roman" w:cs="Times New Roman"/>
        </w:rPr>
        <w:t>Is capable of organizing and determining the tasks of his/her subordinates as well as controlling their work based on professional aspects.</w:t>
      </w:r>
    </w:p>
    <w:p w:rsidR="00EE0E7D" w:rsidRPr="00EE0E7D" w:rsidRDefault="00EE0E7D" w:rsidP="00980876">
      <w:pPr>
        <w:widowControl w:val="0"/>
        <w:numPr>
          <w:ilvl w:val="0"/>
          <w:numId w:val="653"/>
        </w:numPr>
        <w:spacing w:after="0" w:line="240" w:lineRule="auto"/>
        <w:ind w:left="993"/>
        <w:contextualSpacing/>
        <w:jc w:val="both"/>
        <w:rPr>
          <w:rFonts w:ascii="Times New Roman" w:eastAsia="Times New Roman" w:hAnsi="Times New Roman" w:cs="Times New Roman"/>
        </w:rPr>
      </w:pPr>
      <w:r w:rsidRPr="00EE0E7D">
        <w:rPr>
          <w:rFonts w:ascii="Times New Roman" w:eastAsia="Times New Roman" w:hAnsi="Times New Roman" w:cs="Times New Roman"/>
        </w:rPr>
        <w:t>After doing proper analysation, he/she is capable of making the best decisions and taking professional responsibility during the technical maintenance and repairing of the armored vehicles.</w:t>
      </w:r>
    </w:p>
    <w:p w:rsidR="00EE0E7D" w:rsidRPr="00EE0E7D" w:rsidRDefault="00EE0E7D" w:rsidP="00980876">
      <w:pPr>
        <w:widowControl w:val="0"/>
        <w:numPr>
          <w:ilvl w:val="0"/>
          <w:numId w:val="653"/>
        </w:numPr>
        <w:spacing w:after="0" w:line="240" w:lineRule="auto"/>
        <w:ind w:left="993"/>
        <w:contextualSpacing/>
        <w:jc w:val="both"/>
        <w:rPr>
          <w:rFonts w:ascii="Times New Roman" w:eastAsia="Times New Roman" w:hAnsi="Times New Roman" w:cs="Times New Roman"/>
        </w:rPr>
      </w:pPr>
      <w:r w:rsidRPr="00EE0E7D">
        <w:rPr>
          <w:rFonts w:ascii="Times New Roman" w:eastAsia="Times New Roman" w:hAnsi="Times New Roman" w:cs="Times New Roman"/>
        </w:rPr>
        <w:t>He/she is cooperative and responsible towards the professionals of his/her field.</w:t>
      </w:r>
    </w:p>
    <w:p w:rsidR="00EE0E7D" w:rsidRPr="00EE0E7D" w:rsidRDefault="00EE0E7D" w:rsidP="00980876">
      <w:pPr>
        <w:widowControl w:val="0"/>
        <w:numPr>
          <w:ilvl w:val="0"/>
          <w:numId w:val="653"/>
        </w:numPr>
        <w:spacing w:after="0" w:line="240" w:lineRule="auto"/>
        <w:ind w:left="993"/>
        <w:contextualSpacing/>
        <w:jc w:val="both"/>
        <w:rPr>
          <w:rFonts w:ascii="Times New Roman" w:eastAsia="Times New Roman" w:hAnsi="Times New Roman" w:cs="Times New Roman"/>
          <w:lang w:val="en-GB"/>
        </w:rPr>
      </w:pPr>
      <w:r w:rsidRPr="00EE0E7D">
        <w:rPr>
          <w:rFonts w:ascii="Times New Roman" w:eastAsia="Times New Roman" w:hAnsi="Times New Roman" w:cs="Times New Roman"/>
        </w:rPr>
        <w:t>Is capable of thinking in a system approach within his/her own field.</w:t>
      </w:r>
    </w:p>
    <w:p w:rsidR="00EE0E7D" w:rsidRPr="00EE0E7D" w:rsidRDefault="00EE0E7D" w:rsidP="00980876">
      <w:pPr>
        <w:widowControl w:val="0"/>
        <w:numPr>
          <w:ilvl w:val="0"/>
          <w:numId w:val="654"/>
        </w:numPr>
        <w:tabs>
          <w:tab w:val="num" w:pos="567"/>
        </w:tabs>
        <w:spacing w:before="120" w:after="120" w:line="240" w:lineRule="auto"/>
        <w:ind w:left="426" w:hanging="142"/>
        <w:jc w:val="both"/>
        <w:rPr>
          <w:rFonts w:ascii="Times New Roman" w:eastAsia="Times New Roman" w:hAnsi="Times New Roman" w:cs="Times New Roman"/>
          <w:bCs/>
        </w:rPr>
      </w:pPr>
      <w:r w:rsidRPr="00EE0E7D">
        <w:rPr>
          <w:rFonts w:ascii="Times New Roman" w:eastAsia="Times New Roman" w:hAnsi="Times New Roman" w:cs="Times New Roman"/>
          <w:b/>
          <w:bCs/>
        </w:rPr>
        <w:t xml:space="preserve">Előtanulmányi követelmények: </w:t>
      </w:r>
      <w:r w:rsidRPr="00EE0E7D">
        <w:rPr>
          <w:rFonts w:ascii="Times New Roman" w:eastAsia="Times New Roman" w:hAnsi="Times New Roman" w:cs="Times New Roman"/>
          <w:bCs/>
          <w:lang w:eastAsia="hu-HU"/>
        </w:rPr>
        <w:t>-</w:t>
      </w:r>
    </w:p>
    <w:p w:rsidR="00EE0E7D" w:rsidRPr="00EE0E7D" w:rsidRDefault="00EE0E7D" w:rsidP="00980876">
      <w:pPr>
        <w:widowControl w:val="0"/>
        <w:numPr>
          <w:ilvl w:val="0"/>
          <w:numId w:val="654"/>
        </w:numPr>
        <w:spacing w:before="120" w:after="120" w:line="240" w:lineRule="auto"/>
        <w:ind w:left="426" w:hanging="142"/>
        <w:jc w:val="both"/>
        <w:rPr>
          <w:rFonts w:ascii="Times New Roman" w:eastAsia="Times New Roman" w:hAnsi="Times New Roman" w:cs="Times New Roman"/>
          <w:b/>
          <w:bCs/>
        </w:rPr>
      </w:pPr>
      <w:r w:rsidRPr="00EE0E7D">
        <w:rPr>
          <w:rFonts w:ascii="Times New Roman" w:eastAsia="Times New Roman" w:hAnsi="Times New Roman" w:cs="Times New Roman"/>
          <w:b/>
          <w:bCs/>
        </w:rPr>
        <w:t>A tantárgy tananyagának leírása, tematika. Description of the subject, curriculum (magyarul, angolul - English):</w:t>
      </w:r>
    </w:p>
    <w:p w:rsidR="00EE0E7D" w:rsidRPr="00EE0E7D" w:rsidRDefault="00EE0E7D" w:rsidP="00980876">
      <w:pPr>
        <w:widowControl w:val="0"/>
        <w:numPr>
          <w:ilvl w:val="1"/>
          <w:numId w:val="654"/>
        </w:numPr>
        <w:spacing w:before="60" w:after="0" w:line="240" w:lineRule="auto"/>
        <w:ind w:left="709" w:hanging="567"/>
        <w:jc w:val="both"/>
        <w:rPr>
          <w:rFonts w:ascii="Times New Roman" w:eastAsia="Times New Roman" w:hAnsi="Times New Roman" w:cs="Times New Roman"/>
          <w:b/>
        </w:rPr>
      </w:pPr>
      <w:r w:rsidRPr="00EE0E7D">
        <w:rPr>
          <w:rFonts w:ascii="Times New Roman" w:eastAsia="Times New Roman" w:hAnsi="Times New Roman" w:cs="Times New Roman"/>
          <w:bCs/>
          <w:lang w:eastAsia="hu-HU"/>
        </w:rPr>
        <w:t>Üzemfenntartás alapfogalmai.</w:t>
      </w:r>
      <w:r w:rsidRPr="00EE0E7D">
        <w:rPr>
          <w:rFonts w:ascii="Times New Roman" w:eastAsia="Times New Roman" w:hAnsi="Times New Roman" w:cs="Times New Roman"/>
        </w:rPr>
        <w:t xml:space="preserve"> (</w:t>
      </w:r>
      <w:r w:rsidRPr="00EE0E7D">
        <w:rPr>
          <w:rFonts w:ascii="Times New Roman" w:eastAsia="Times New Roman" w:hAnsi="Times New Roman" w:cs="Times New Roman"/>
          <w:bCs/>
          <w:i/>
        </w:rPr>
        <w:t>Basic concepts of maintenance</w:t>
      </w:r>
      <w:r w:rsidRPr="00EE0E7D">
        <w:rPr>
          <w:rFonts w:ascii="Times New Roman" w:eastAsia="Times New Roman" w:hAnsi="Times New Roman" w:cs="Times New Roman"/>
          <w:bCs/>
        </w:rPr>
        <w:t>.</w:t>
      </w:r>
      <w:r w:rsidRPr="00EE0E7D">
        <w:rPr>
          <w:rFonts w:ascii="Times New Roman" w:eastAsia="Times New Roman" w:hAnsi="Times New Roman" w:cs="Times New Roman"/>
        </w:rPr>
        <w:t>)</w:t>
      </w:r>
    </w:p>
    <w:p w:rsidR="00EE0E7D" w:rsidRPr="00EE0E7D" w:rsidRDefault="00EE0E7D" w:rsidP="00980876">
      <w:pPr>
        <w:widowControl w:val="0"/>
        <w:numPr>
          <w:ilvl w:val="1"/>
          <w:numId w:val="654"/>
        </w:numPr>
        <w:spacing w:before="60" w:after="0" w:line="240" w:lineRule="auto"/>
        <w:ind w:left="709" w:hanging="567"/>
        <w:jc w:val="both"/>
        <w:rPr>
          <w:rFonts w:ascii="Times New Roman" w:eastAsia="Times New Roman" w:hAnsi="Times New Roman" w:cs="Times New Roman"/>
          <w:b/>
        </w:rPr>
      </w:pPr>
      <w:r w:rsidRPr="00EE0E7D">
        <w:rPr>
          <w:rFonts w:ascii="Times New Roman" w:eastAsia="Times New Roman" w:hAnsi="Times New Roman" w:cs="Times New Roman"/>
          <w:bCs/>
          <w:lang w:eastAsia="hu-HU"/>
        </w:rPr>
        <w:t>Meghibásodás. (</w:t>
      </w:r>
      <w:r w:rsidRPr="00EE0E7D">
        <w:rPr>
          <w:rFonts w:ascii="Times New Roman" w:eastAsia="Times New Roman" w:hAnsi="Times New Roman" w:cs="Times New Roman"/>
          <w:bCs/>
          <w:i/>
          <w:lang w:eastAsia="hu-HU"/>
        </w:rPr>
        <w:t>Failure</w:t>
      </w:r>
      <w:r w:rsidRPr="00EE0E7D">
        <w:rPr>
          <w:rFonts w:ascii="Times New Roman" w:eastAsia="Times New Roman" w:hAnsi="Times New Roman" w:cs="Times New Roman"/>
          <w:bCs/>
          <w:lang w:eastAsia="hu-HU"/>
        </w:rPr>
        <w:t>.)</w:t>
      </w:r>
    </w:p>
    <w:p w:rsidR="00EE0E7D" w:rsidRPr="00EE0E7D" w:rsidRDefault="00EE0E7D" w:rsidP="00980876">
      <w:pPr>
        <w:widowControl w:val="0"/>
        <w:numPr>
          <w:ilvl w:val="1"/>
          <w:numId w:val="654"/>
        </w:numPr>
        <w:spacing w:before="60" w:after="0" w:line="240" w:lineRule="auto"/>
        <w:ind w:left="709" w:hanging="567"/>
        <w:jc w:val="both"/>
        <w:rPr>
          <w:rFonts w:ascii="Times New Roman" w:eastAsia="Times New Roman" w:hAnsi="Times New Roman" w:cs="Times New Roman"/>
          <w:b/>
        </w:rPr>
      </w:pPr>
      <w:r w:rsidRPr="00EE0E7D">
        <w:rPr>
          <w:rFonts w:ascii="Times New Roman" w:eastAsia="Times New Roman" w:hAnsi="Times New Roman" w:cs="Times New Roman"/>
          <w:bCs/>
          <w:lang w:eastAsia="hu-HU"/>
        </w:rPr>
        <w:t>Megbízhatóság (</w:t>
      </w:r>
      <w:r w:rsidRPr="00EE0E7D">
        <w:rPr>
          <w:rFonts w:ascii="Times New Roman" w:eastAsia="Times New Roman" w:hAnsi="Times New Roman" w:cs="Times New Roman"/>
          <w:bCs/>
          <w:i/>
          <w:lang w:eastAsia="hu-HU"/>
        </w:rPr>
        <w:t>Reliability</w:t>
      </w:r>
      <w:r w:rsidRPr="00EE0E7D">
        <w:rPr>
          <w:rFonts w:ascii="Times New Roman" w:eastAsia="Times New Roman" w:hAnsi="Times New Roman" w:cs="Times New Roman"/>
          <w:bCs/>
          <w:lang w:eastAsia="hu-HU"/>
        </w:rPr>
        <w:t>.)</w:t>
      </w:r>
    </w:p>
    <w:p w:rsidR="00EE0E7D" w:rsidRPr="00EE0E7D" w:rsidRDefault="00EE0E7D" w:rsidP="00980876">
      <w:pPr>
        <w:widowControl w:val="0"/>
        <w:numPr>
          <w:ilvl w:val="1"/>
          <w:numId w:val="654"/>
        </w:numPr>
        <w:spacing w:before="60" w:after="0" w:line="240" w:lineRule="auto"/>
        <w:ind w:left="709" w:hanging="567"/>
        <w:jc w:val="both"/>
        <w:rPr>
          <w:rFonts w:ascii="Times New Roman" w:eastAsia="Times New Roman" w:hAnsi="Times New Roman" w:cs="Times New Roman"/>
          <w:b/>
        </w:rPr>
      </w:pPr>
      <w:r w:rsidRPr="00EE0E7D">
        <w:rPr>
          <w:rFonts w:ascii="Times New Roman" w:eastAsia="Times New Roman" w:hAnsi="Times New Roman" w:cs="Times New Roman"/>
          <w:bCs/>
          <w:lang w:eastAsia="hu-HU"/>
        </w:rPr>
        <w:t>Alkatrészek felújításának technológiája. (</w:t>
      </w:r>
      <w:r w:rsidRPr="00EE0E7D">
        <w:rPr>
          <w:rFonts w:ascii="Times New Roman" w:eastAsia="Times New Roman" w:hAnsi="Times New Roman" w:cs="Times New Roman"/>
          <w:bCs/>
          <w:i/>
          <w:lang w:eastAsia="hu-HU"/>
        </w:rPr>
        <w:t>Component renewal technology</w:t>
      </w:r>
      <w:r w:rsidRPr="00EE0E7D">
        <w:rPr>
          <w:rFonts w:ascii="Times New Roman" w:eastAsia="Times New Roman" w:hAnsi="Times New Roman" w:cs="Times New Roman"/>
          <w:bCs/>
          <w:lang w:eastAsia="hu-HU"/>
        </w:rPr>
        <w:t>.)</w:t>
      </w:r>
    </w:p>
    <w:p w:rsidR="00EE0E7D" w:rsidRPr="00EE0E7D" w:rsidRDefault="00EE0E7D" w:rsidP="00980876">
      <w:pPr>
        <w:widowControl w:val="0"/>
        <w:numPr>
          <w:ilvl w:val="1"/>
          <w:numId w:val="654"/>
        </w:numPr>
        <w:spacing w:before="60" w:after="0" w:line="240" w:lineRule="auto"/>
        <w:ind w:left="709" w:hanging="567"/>
        <w:jc w:val="both"/>
        <w:rPr>
          <w:rFonts w:ascii="Times New Roman" w:eastAsia="Times New Roman" w:hAnsi="Times New Roman" w:cs="Times New Roman"/>
        </w:rPr>
      </w:pPr>
      <w:r w:rsidRPr="00EE0E7D">
        <w:rPr>
          <w:rFonts w:ascii="Times New Roman" w:eastAsia="Times New Roman" w:hAnsi="Times New Roman" w:cs="Times New Roman"/>
          <w:bCs/>
          <w:lang w:eastAsia="hu-HU"/>
        </w:rPr>
        <w:t>Motorok javítása, felújítása és vizsgálata.</w:t>
      </w:r>
      <w:r w:rsidRPr="00EE0E7D">
        <w:rPr>
          <w:rFonts w:ascii="Times New Roman" w:eastAsia="Times New Roman" w:hAnsi="Times New Roman" w:cs="Times New Roman"/>
        </w:rPr>
        <w:t xml:space="preserve"> (</w:t>
      </w:r>
      <w:r w:rsidRPr="00EE0E7D">
        <w:rPr>
          <w:rFonts w:ascii="Times New Roman" w:eastAsia="Times New Roman" w:hAnsi="Times New Roman" w:cs="Times New Roman"/>
          <w:bCs/>
          <w:i/>
        </w:rPr>
        <w:t>Repair, renewal and diagnostics of engines</w:t>
      </w:r>
      <w:r w:rsidRPr="00EE0E7D">
        <w:rPr>
          <w:rFonts w:ascii="Times New Roman" w:eastAsia="Times New Roman" w:hAnsi="Times New Roman" w:cs="Times New Roman"/>
          <w:bCs/>
        </w:rPr>
        <w:t>.</w:t>
      </w:r>
      <w:r w:rsidRPr="00EE0E7D">
        <w:rPr>
          <w:rFonts w:ascii="Times New Roman" w:eastAsia="Times New Roman" w:hAnsi="Times New Roman" w:cs="Times New Roman"/>
        </w:rPr>
        <w:t>)</w:t>
      </w:r>
    </w:p>
    <w:p w:rsidR="00EE0E7D" w:rsidRPr="00EE0E7D" w:rsidRDefault="00EE0E7D" w:rsidP="00980876">
      <w:pPr>
        <w:widowControl w:val="0"/>
        <w:numPr>
          <w:ilvl w:val="1"/>
          <w:numId w:val="654"/>
        </w:numPr>
        <w:spacing w:before="60" w:after="0" w:line="240" w:lineRule="auto"/>
        <w:ind w:left="709" w:hanging="567"/>
        <w:jc w:val="both"/>
        <w:rPr>
          <w:rFonts w:ascii="Times New Roman" w:eastAsia="Times New Roman" w:hAnsi="Times New Roman" w:cs="Times New Roman"/>
        </w:rPr>
      </w:pPr>
      <w:r w:rsidRPr="00EE0E7D">
        <w:rPr>
          <w:rFonts w:ascii="Times New Roman" w:eastAsia="Times New Roman" w:hAnsi="Times New Roman" w:cs="Times New Roman"/>
          <w:bCs/>
          <w:lang w:eastAsia="hu-HU"/>
        </w:rPr>
        <w:t xml:space="preserve">Motorok megbontás nélküli és megbontásos vizsgálata. </w:t>
      </w:r>
      <w:r w:rsidRPr="00EE0E7D">
        <w:rPr>
          <w:rFonts w:ascii="Times New Roman" w:eastAsia="Times New Roman" w:hAnsi="Times New Roman" w:cs="Times New Roman"/>
        </w:rPr>
        <w:t>(</w:t>
      </w:r>
      <w:r w:rsidRPr="00EE0E7D">
        <w:rPr>
          <w:rFonts w:ascii="Times New Roman" w:eastAsia="Times New Roman" w:hAnsi="Times New Roman" w:cs="Times New Roman"/>
          <w:bCs/>
          <w:i/>
        </w:rPr>
        <w:t>Investigation, diagnostics and testing of engines without disassemly.</w:t>
      </w:r>
      <w:r w:rsidRPr="00EE0E7D">
        <w:rPr>
          <w:rFonts w:ascii="Times New Roman" w:eastAsia="Times New Roman" w:hAnsi="Times New Roman" w:cs="Times New Roman"/>
        </w:rPr>
        <w:t>)</w:t>
      </w:r>
    </w:p>
    <w:p w:rsidR="00EE0E7D" w:rsidRPr="00EE0E7D" w:rsidRDefault="00EE0E7D" w:rsidP="00980876">
      <w:pPr>
        <w:widowControl w:val="0"/>
        <w:numPr>
          <w:ilvl w:val="1"/>
          <w:numId w:val="654"/>
        </w:numPr>
        <w:spacing w:before="60" w:after="0" w:line="240" w:lineRule="auto"/>
        <w:ind w:left="709" w:hanging="567"/>
        <w:jc w:val="both"/>
        <w:rPr>
          <w:rFonts w:ascii="Times New Roman" w:eastAsia="Times New Roman" w:hAnsi="Times New Roman" w:cs="Times New Roman"/>
        </w:rPr>
      </w:pPr>
      <w:r w:rsidRPr="00EE0E7D">
        <w:rPr>
          <w:rFonts w:ascii="Times New Roman" w:eastAsia="Times New Roman" w:hAnsi="Times New Roman" w:cs="Times New Roman"/>
          <w:bCs/>
        </w:rPr>
        <w:t>Motorok szét- és összeszerelésének technológiai folyamata. (</w:t>
      </w:r>
      <w:r w:rsidRPr="00EE0E7D">
        <w:rPr>
          <w:rFonts w:ascii="Times New Roman" w:eastAsia="Times New Roman" w:hAnsi="Times New Roman" w:cs="Times New Roman"/>
          <w:bCs/>
          <w:i/>
        </w:rPr>
        <w:t>The process of disassembly and assembly</w:t>
      </w:r>
      <w:r w:rsidRPr="00EE0E7D">
        <w:rPr>
          <w:rFonts w:ascii="Times New Roman" w:eastAsia="Times New Roman" w:hAnsi="Times New Roman" w:cs="Times New Roman"/>
          <w:bCs/>
        </w:rPr>
        <w:t>.)</w:t>
      </w:r>
    </w:p>
    <w:p w:rsidR="00EE0E7D" w:rsidRPr="00EE0E7D" w:rsidRDefault="00EE0E7D" w:rsidP="00980876">
      <w:pPr>
        <w:widowControl w:val="0"/>
        <w:numPr>
          <w:ilvl w:val="1"/>
          <w:numId w:val="654"/>
        </w:numPr>
        <w:spacing w:before="60" w:after="0" w:line="240" w:lineRule="auto"/>
        <w:ind w:left="709" w:hanging="567"/>
        <w:jc w:val="both"/>
        <w:rPr>
          <w:rFonts w:ascii="Times New Roman" w:eastAsia="Times New Roman" w:hAnsi="Times New Roman" w:cs="Times New Roman"/>
        </w:rPr>
      </w:pPr>
      <w:r w:rsidRPr="00EE0E7D">
        <w:rPr>
          <w:rFonts w:ascii="Times New Roman" w:eastAsia="Times New Roman" w:hAnsi="Times New Roman" w:cs="Times New Roman"/>
          <w:bCs/>
        </w:rPr>
        <w:t>Motorok segédberendezéseinek javítása. (</w:t>
      </w:r>
      <w:r w:rsidRPr="00EE0E7D">
        <w:rPr>
          <w:rFonts w:ascii="Times New Roman" w:eastAsia="Times New Roman" w:hAnsi="Times New Roman" w:cs="Times New Roman"/>
          <w:bCs/>
          <w:i/>
        </w:rPr>
        <w:t>Repair of auxiliary equipment for engines</w:t>
      </w:r>
      <w:r w:rsidRPr="00EE0E7D">
        <w:rPr>
          <w:rFonts w:ascii="Times New Roman" w:eastAsia="Times New Roman" w:hAnsi="Times New Roman" w:cs="Times New Roman"/>
          <w:bCs/>
        </w:rPr>
        <w:t>.</w:t>
      </w:r>
      <w:r w:rsidRPr="00EE0E7D">
        <w:rPr>
          <w:rFonts w:ascii="Times New Roman" w:eastAsia="Times New Roman" w:hAnsi="Times New Roman" w:cs="Times New Roman"/>
          <w:bCs/>
          <w:lang w:eastAsia="hu-HU"/>
        </w:rPr>
        <w:t>)</w:t>
      </w:r>
    </w:p>
    <w:p w:rsidR="00EE0E7D" w:rsidRPr="00EE0E7D" w:rsidRDefault="00EE0E7D" w:rsidP="00980876">
      <w:pPr>
        <w:widowControl w:val="0"/>
        <w:numPr>
          <w:ilvl w:val="1"/>
          <w:numId w:val="654"/>
        </w:numPr>
        <w:spacing w:before="60" w:after="0" w:line="240" w:lineRule="auto"/>
        <w:ind w:left="709" w:hanging="567"/>
        <w:jc w:val="both"/>
        <w:rPr>
          <w:rFonts w:ascii="Times New Roman" w:eastAsia="Times New Roman" w:hAnsi="Times New Roman" w:cs="Times New Roman"/>
        </w:rPr>
      </w:pPr>
      <w:r w:rsidRPr="00EE0E7D">
        <w:rPr>
          <w:rFonts w:ascii="Times New Roman" w:eastAsia="Times New Roman" w:hAnsi="Times New Roman" w:cs="Times New Roman"/>
          <w:bCs/>
        </w:rPr>
        <w:t>Motorok segédberendezéseinek felújítása, beszabályozása. (</w:t>
      </w:r>
      <w:r w:rsidRPr="00EE0E7D">
        <w:rPr>
          <w:rFonts w:ascii="Times New Roman" w:eastAsia="Times New Roman" w:hAnsi="Times New Roman" w:cs="Times New Roman"/>
          <w:bCs/>
          <w:i/>
        </w:rPr>
        <w:t>Renovation and adjustment of auxiliary equipment for engines.</w:t>
      </w:r>
      <w:r w:rsidRPr="00EE0E7D">
        <w:rPr>
          <w:rFonts w:ascii="Times New Roman" w:eastAsia="Times New Roman" w:hAnsi="Times New Roman" w:cs="Times New Roman"/>
          <w:bCs/>
        </w:rPr>
        <w:t>)</w:t>
      </w:r>
    </w:p>
    <w:p w:rsidR="00EE0E7D" w:rsidRPr="00EE0E7D" w:rsidRDefault="00EE0E7D" w:rsidP="00980876">
      <w:pPr>
        <w:widowControl w:val="0"/>
        <w:numPr>
          <w:ilvl w:val="1"/>
          <w:numId w:val="654"/>
        </w:numPr>
        <w:spacing w:before="60" w:after="0" w:line="240" w:lineRule="auto"/>
        <w:ind w:left="709" w:hanging="567"/>
        <w:jc w:val="both"/>
        <w:rPr>
          <w:rFonts w:ascii="Times New Roman" w:eastAsia="Times New Roman" w:hAnsi="Times New Roman" w:cs="Times New Roman"/>
        </w:rPr>
      </w:pPr>
      <w:r w:rsidRPr="00EE0E7D">
        <w:rPr>
          <w:rFonts w:ascii="Times New Roman" w:eastAsia="Times New Roman" w:hAnsi="Times New Roman" w:cs="Times New Roman"/>
          <w:bCs/>
        </w:rPr>
        <w:t>Motorok diagnosztikai vizsgálata. Kipufogógáz elemzés. (</w:t>
      </w:r>
      <w:r w:rsidRPr="00EE0E7D">
        <w:rPr>
          <w:rFonts w:ascii="Times New Roman" w:eastAsia="Times New Roman" w:hAnsi="Times New Roman" w:cs="Times New Roman"/>
          <w:bCs/>
          <w:i/>
        </w:rPr>
        <w:t>Diagnostical testing of engines, exhaust gas analysis</w:t>
      </w:r>
      <w:r w:rsidRPr="00EE0E7D">
        <w:rPr>
          <w:rFonts w:ascii="Times New Roman" w:eastAsia="Times New Roman" w:hAnsi="Times New Roman" w:cs="Times New Roman"/>
          <w:bCs/>
        </w:rPr>
        <w:t>.</w:t>
      </w:r>
      <w:r w:rsidRPr="00EE0E7D">
        <w:rPr>
          <w:rFonts w:ascii="Times New Roman" w:eastAsia="Times New Roman" w:hAnsi="Times New Roman" w:cs="Times New Roman"/>
          <w:bCs/>
          <w:i/>
          <w:lang w:eastAsia="hu-HU"/>
        </w:rPr>
        <w:t xml:space="preserve"> </w:t>
      </w:r>
      <w:r w:rsidRPr="00EE0E7D">
        <w:rPr>
          <w:rFonts w:ascii="Times New Roman" w:eastAsia="Times New Roman" w:hAnsi="Times New Roman" w:cs="Times New Roman"/>
          <w:bCs/>
          <w:i/>
        </w:rPr>
        <w:t>Smoke opacity measuring</w:t>
      </w:r>
      <w:r w:rsidRPr="00EE0E7D">
        <w:rPr>
          <w:rFonts w:ascii="Times New Roman" w:eastAsia="Times New Roman" w:hAnsi="Times New Roman" w:cs="Times New Roman"/>
          <w:bCs/>
        </w:rPr>
        <w:t>.</w:t>
      </w:r>
      <w:r w:rsidRPr="00EE0E7D">
        <w:rPr>
          <w:rFonts w:ascii="Times New Roman" w:eastAsia="Times New Roman" w:hAnsi="Times New Roman" w:cs="Times New Roman"/>
          <w:bCs/>
          <w:lang w:eastAsia="hu-HU"/>
        </w:rPr>
        <w:t>)</w:t>
      </w:r>
    </w:p>
    <w:p w:rsidR="00EE0E7D" w:rsidRPr="00EE0E7D" w:rsidRDefault="00EE0E7D" w:rsidP="00980876">
      <w:pPr>
        <w:widowControl w:val="0"/>
        <w:numPr>
          <w:ilvl w:val="1"/>
          <w:numId w:val="654"/>
        </w:numPr>
        <w:spacing w:before="60" w:after="0" w:line="240" w:lineRule="auto"/>
        <w:ind w:left="709" w:hanging="567"/>
        <w:jc w:val="both"/>
        <w:rPr>
          <w:rFonts w:ascii="Times New Roman" w:eastAsia="Times New Roman" w:hAnsi="Times New Roman" w:cs="Times New Roman"/>
        </w:rPr>
      </w:pPr>
      <w:r w:rsidRPr="00EE0E7D">
        <w:rPr>
          <w:rFonts w:ascii="Times New Roman" w:eastAsia="Times New Roman" w:hAnsi="Times New Roman" w:cs="Times New Roman"/>
          <w:bCs/>
          <w:lang w:eastAsia="hu-HU"/>
        </w:rPr>
        <w:t>Erőátviteli berendezések üzemeltetési sajátosságai. (</w:t>
      </w:r>
      <w:r w:rsidRPr="00EE0E7D">
        <w:rPr>
          <w:rFonts w:ascii="Times New Roman" w:eastAsia="Times New Roman" w:hAnsi="Times New Roman" w:cs="Times New Roman"/>
          <w:bCs/>
          <w:i/>
          <w:lang w:eastAsia="hu-HU"/>
        </w:rPr>
        <w:t>Operational features of power transmission equipment.</w:t>
      </w:r>
      <w:r w:rsidRPr="00EE0E7D">
        <w:rPr>
          <w:rFonts w:ascii="Times New Roman" w:eastAsia="Times New Roman" w:hAnsi="Times New Roman" w:cs="Times New Roman"/>
          <w:bCs/>
          <w:lang w:eastAsia="hu-HU"/>
        </w:rPr>
        <w:t>)</w:t>
      </w:r>
    </w:p>
    <w:p w:rsidR="00EE0E7D" w:rsidRPr="00EE0E7D" w:rsidRDefault="00EE0E7D" w:rsidP="00980876">
      <w:pPr>
        <w:widowControl w:val="0"/>
        <w:numPr>
          <w:ilvl w:val="1"/>
          <w:numId w:val="654"/>
        </w:numPr>
        <w:spacing w:before="60" w:after="0" w:line="240" w:lineRule="auto"/>
        <w:ind w:left="709" w:hanging="567"/>
        <w:jc w:val="both"/>
        <w:rPr>
          <w:rFonts w:ascii="Times New Roman" w:eastAsia="Times New Roman" w:hAnsi="Times New Roman" w:cs="Times New Roman"/>
        </w:rPr>
      </w:pPr>
      <w:r w:rsidRPr="00EE0E7D">
        <w:rPr>
          <w:rFonts w:ascii="Times New Roman" w:eastAsia="Times New Roman" w:hAnsi="Times New Roman" w:cs="Times New Roman"/>
          <w:bCs/>
          <w:lang w:eastAsia="hu-HU"/>
        </w:rPr>
        <w:t>Harcjármű, harckocsi, gépjármű főtengelykapcsolók, nyomatékváltóművek igénybevétele, meghibásodása, hibafelvétele, javítása és felújítása. (</w:t>
      </w:r>
      <w:r w:rsidRPr="00EE0E7D">
        <w:rPr>
          <w:rFonts w:ascii="Times New Roman" w:eastAsia="Times New Roman" w:hAnsi="Times New Roman" w:cs="Times New Roman"/>
          <w:bCs/>
          <w:i/>
          <w:lang w:eastAsia="hu-HU"/>
        </w:rPr>
        <w:t>Failure, fault recognition, repair and renewal of armored, main battle tanks’ clutch, hydrodynamic transmission.</w:t>
      </w:r>
      <w:r w:rsidRPr="00EE0E7D">
        <w:rPr>
          <w:rFonts w:ascii="Times New Roman" w:eastAsia="Times New Roman" w:hAnsi="Times New Roman" w:cs="Times New Roman"/>
          <w:bCs/>
          <w:lang w:eastAsia="hu-HU"/>
        </w:rPr>
        <w:t>)</w:t>
      </w:r>
    </w:p>
    <w:p w:rsidR="00EE0E7D" w:rsidRPr="00EE0E7D" w:rsidRDefault="00EE0E7D" w:rsidP="00980876">
      <w:pPr>
        <w:widowControl w:val="0"/>
        <w:numPr>
          <w:ilvl w:val="1"/>
          <w:numId w:val="654"/>
        </w:numPr>
        <w:spacing w:before="60" w:after="0" w:line="240" w:lineRule="auto"/>
        <w:ind w:left="709" w:hanging="567"/>
        <w:jc w:val="both"/>
        <w:rPr>
          <w:rFonts w:ascii="Times New Roman" w:eastAsia="Times New Roman" w:hAnsi="Times New Roman" w:cs="Times New Roman"/>
        </w:rPr>
      </w:pPr>
      <w:r w:rsidRPr="00EE0E7D">
        <w:rPr>
          <w:rFonts w:ascii="Times New Roman" w:eastAsia="Times New Roman" w:hAnsi="Times New Roman" w:cs="Times New Roman"/>
          <w:bCs/>
          <w:lang w:eastAsia="hu-HU"/>
        </w:rPr>
        <w:t>Harcjármű, harckocsi, gépjármű osztóművek, előtéthajtóművek igénybevétele, meghibásodása, hibafelvétele, javítása és felújítása. (</w:t>
      </w:r>
      <w:r w:rsidRPr="00EE0E7D">
        <w:rPr>
          <w:rFonts w:ascii="Times New Roman" w:eastAsia="Times New Roman" w:hAnsi="Times New Roman" w:cs="Times New Roman"/>
          <w:bCs/>
          <w:i/>
          <w:lang w:eastAsia="hu-HU"/>
        </w:rPr>
        <w:t>Failure, fault recognition, repair and renewal of armored, main battle tanks’ planetry gearing, propeller shafts</w:t>
      </w:r>
      <w:r w:rsidRPr="00EE0E7D">
        <w:rPr>
          <w:rFonts w:ascii="Times New Roman" w:eastAsia="Times New Roman" w:hAnsi="Times New Roman" w:cs="Times New Roman"/>
          <w:bCs/>
          <w:lang w:eastAsia="hu-HU"/>
        </w:rPr>
        <w:t>.)</w:t>
      </w:r>
    </w:p>
    <w:p w:rsidR="00EE0E7D" w:rsidRPr="00EE0E7D" w:rsidRDefault="00EE0E7D" w:rsidP="00980876">
      <w:pPr>
        <w:widowControl w:val="0"/>
        <w:numPr>
          <w:ilvl w:val="1"/>
          <w:numId w:val="654"/>
        </w:numPr>
        <w:spacing w:before="60" w:after="0" w:line="240" w:lineRule="auto"/>
        <w:ind w:left="709" w:hanging="567"/>
        <w:jc w:val="both"/>
        <w:rPr>
          <w:rFonts w:ascii="Times New Roman" w:eastAsia="Times New Roman" w:hAnsi="Times New Roman" w:cs="Times New Roman"/>
        </w:rPr>
      </w:pPr>
      <w:r w:rsidRPr="00EE0E7D">
        <w:rPr>
          <w:rFonts w:ascii="Times New Roman" w:eastAsia="Times New Roman" w:hAnsi="Times New Roman" w:cs="Times New Roman"/>
          <w:bCs/>
          <w:lang w:eastAsia="hu-HU"/>
        </w:rPr>
        <w:t xml:space="preserve">Harcjármű, harckocsi, gépjármű kardánmechanizmusok, kiegyenlítőművek igénybevétele, </w:t>
      </w:r>
      <w:r w:rsidRPr="00EE0E7D">
        <w:rPr>
          <w:rFonts w:ascii="Times New Roman" w:eastAsia="Times New Roman" w:hAnsi="Times New Roman" w:cs="Times New Roman"/>
          <w:bCs/>
          <w:lang w:eastAsia="hu-HU"/>
        </w:rPr>
        <w:lastRenderedPageBreak/>
        <w:t>meghibásodása, hibafelvétele, javítása és felújítása. (</w:t>
      </w:r>
      <w:r w:rsidRPr="00EE0E7D">
        <w:rPr>
          <w:rFonts w:ascii="Times New Roman" w:eastAsia="Times New Roman" w:hAnsi="Times New Roman" w:cs="Times New Roman"/>
          <w:bCs/>
          <w:i/>
          <w:lang w:eastAsia="hu-HU"/>
        </w:rPr>
        <w:t>Failure, fault recognition, repair and renewal of armored, main battle tanks’ differentials, cardan mechanism and auxiliary gearboxes</w:t>
      </w:r>
      <w:r w:rsidRPr="00EE0E7D">
        <w:rPr>
          <w:rFonts w:ascii="Times New Roman" w:eastAsia="Times New Roman" w:hAnsi="Times New Roman" w:cs="Times New Roman"/>
          <w:bCs/>
          <w:lang w:eastAsia="hu-HU"/>
        </w:rPr>
        <w:t>.)</w:t>
      </w:r>
    </w:p>
    <w:p w:rsidR="00EE0E7D" w:rsidRPr="00EE0E7D" w:rsidRDefault="00EE0E7D" w:rsidP="00980876">
      <w:pPr>
        <w:widowControl w:val="0"/>
        <w:numPr>
          <w:ilvl w:val="0"/>
          <w:numId w:val="654"/>
        </w:numPr>
        <w:tabs>
          <w:tab w:val="num" w:pos="360"/>
        </w:tabs>
        <w:spacing w:before="120" w:after="120" w:line="240" w:lineRule="auto"/>
        <w:ind w:left="426" w:hanging="142"/>
        <w:jc w:val="both"/>
        <w:rPr>
          <w:rFonts w:ascii="Times New Roman" w:eastAsia="Times New Roman" w:hAnsi="Times New Roman" w:cs="Times New Roman"/>
          <w:bCs/>
        </w:rPr>
      </w:pPr>
      <w:r w:rsidRPr="00EE0E7D">
        <w:rPr>
          <w:rFonts w:ascii="Times New Roman" w:eastAsia="Times New Roman" w:hAnsi="Times New Roman" w:cs="Times New Roman"/>
          <w:b/>
          <w:bCs/>
        </w:rPr>
        <w:t xml:space="preserve">A tantárgy meghirdetésének gyakorisága/a tantervben történő félévi elhelyezkedése: </w:t>
      </w:r>
      <w:r w:rsidRPr="00EE0E7D">
        <w:rPr>
          <w:rFonts w:ascii="Times New Roman" w:eastAsia="Times New Roman" w:hAnsi="Times New Roman" w:cs="Times New Roman"/>
          <w:bCs/>
        </w:rPr>
        <w:t>7. félév</w:t>
      </w:r>
    </w:p>
    <w:p w:rsidR="00EE0E7D" w:rsidRPr="00EE0E7D" w:rsidRDefault="00EE0E7D" w:rsidP="00980876">
      <w:pPr>
        <w:widowControl w:val="0"/>
        <w:numPr>
          <w:ilvl w:val="0"/>
          <w:numId w:val="654"/>
        </w:numPr>
        <w:tabs>
          <w:tab w:val="num" w:pos="360"/>
        </w:tabs>
        <w:spacing w:before="120" w:after="120" w:line="240" w:lineRule="auto"/>
        <w:ind w:left="426" w:hanging="142"/>
        <w:jc w:val="both"/>
        <w:rPr>
          <w:rFonts w:ascii="Times New Roman" w:eastAsia="Times New Roman" w:hAnsi="Times New Roman" w:cs="Times New Roman"/>
          <w:bCs/>
        </w:rPr>
      </w:pPr>
      <w:r w:rsidRPr="00EE0E7D">
        <w:rPr>
          <w:rFonts w:ascii="Times New Roman" w:eastAsia="Times New Roman" w:hAnsi="Times New Roman" w:cs="Times New Roman"/>
          <w:b/>
          <w:bCs/>
        </w:rPr>
        <w:t>A tanórákon való részvétel követelményei, az elfogadható hiányzások mértéke, a távolmaradás pótlásának lehetősége:</w:t>
      </w:r>
      <w:r w:rsidRPr="00EE0E7D">
        <w:rPr>
          <w:rFonts w:ascii="Times New Roman" w:eastAsia="Times New Roman" w:hAnsi="Times New Roman" w:cs="Times New Roman"/>
          <w:bCs/>
        </w:rPr>
        <w:t xml:space="preserve"> </w:t>
      </w:r>
    </w:p>
    <w:p w:rsidR="00EE0E7D" w:rsidRPr="00EE0E7D" w:rsidRDefault="00EE0E7D" w:rsidP="00EE0E7D">
      <w:pPr>
        <w:widowControl w:val="0"/>
        <w:spacing w:before="120" w:after="120" w:line="240" w:lineRule="auto"/>
        <w:ind w:left="426"/>
        <w:jc w:val="both"/>
        <w:rPr>
          <w:rFonts w:ascii="Times New Roman" w:eastAsia="Times New Roman" w:hAnsi="Times New Roman" w:cs="Times New Roman"/>
          <w:bCs/>
        </w:rPr>
      </w:pPr>
      <w:r w:rsidRPr="00EE0E7D">
        <w:rPr>
          <w:rFonts w:ascii="Times New Roman" w:eastAsia="Times New Roman" w:hAnsi="Times New Roman" w:cs="Times New Roman"/>
          <w:bCs/>
        </w:rPr>
        <w:t>A hallgatónak a tanórák legalább 70 %-án jelen kell lennie, 30 %-ot meghaladó hiányzás esetén a félév teljesítése nem írható alá. A hallgató köteles az előadás és a gyakorlat anyagát beszerezni, abból önállóan felkészülni. A hiányzás pótolható az oktató által kijelölt témakörben beadott, legalább elégségesre értékelt házidolgozattal.</w:t>
      </w:r>
    </w:p>
    <w:p w:rsidR="00EE0E7D" w:rsidRPr="00EE0E7D" w:rsidRDefault="00EE0E7D" w:rsidP="00980876">
      <w:pPr>
        <w:widowControl w:val="0"/>
        <w:numPr>
          <w:ilvl w:val="0"/>
          <w:numId w:val="654"/>
        </w:numPr>
        <w:tabs>
          <w:tab w:val="num" w:pos="360"/>
        </w:tabs>
        <w:spacing w:before="120" w:after="120" w:line="240" w:lineRule="auto"/>
        <w:ind w:left="426" w:hanging="142"/>
        <w:jc w:val="both"/>
        <w:rPr>
          <w:rFonts w:ascii="Times New Roman" w:eastAsia="Times New Roman" w:hAnsi="Times New Roman" w:cs="Times New Roman"/>
          <w:bCs/>
        </w:rPr>
      </w:pPr>
      <w:r w:rsidRPr="00EE0E7D">
        <w:rPr>
          <w:rFonts w:ascii="Times New Roman" w:eastAsia="Times New Roman" w:hAnsi="Times New Roman" w:cs="Times New Roman"/>
          <w:b/>
        </w:rPr>
        <w:t>Félévközi feladatok, ismeretek ellenőrzésének rendje:</w:t>
      </w:r>
      <w:r w:rsidRPr="00EE0E7D">
        <w:rPr>
          <w:rFonts w:ascii="Times New Roman" w:eastAsia="Times New Roman" w:hAnsi="Times New Roman" w:cs="Times New Roman"/>
          <w:bCs/>
        </w:rPr>
        <w:t xml:space="preserve"> A félév során a hallgató kettő zárthelyi dolgozatot ír. Az első zárthelyi dolgozat a 12.1-12.7. a második zárthelyi dolgozat a 12.8-12.13 tantárgyrészekből áll. A zárthelyi dolgozat témáit a kötelező irodalmak anyagából, illetve az előadásokon elhangzott ismeretanyagból kell összeállítani. A zárthelyi dolgozat értékelése ötfokozatú értékelés (a helyes válaszok aránya 0-60% elégtelen; 61-70% elégséges; 71-80% közepes; 81-90% jó; 91-100% jeles osztályzat). Eredménytelen zárthelyi dolgozat kétszer javítható a szorgalmi időszak végéig az oktatóval egyeztetett időpontokban</w:t>
      </w:r>
      <w:r w:rsidRPr="00EE0E7D">
        <w:rPr>
          <w:rFonts w:ascii="Times New Roman" w:eastAsia="Times New Roman" w:hAnsi="Times New Roman" w:cs="Times New Roman"/>
          <w:b/>
          <w:bCs/>
        </w:rPr>
        <w:t>.</w:t>
      </w:r>
      <w:r w:rsidRPr="00EE0E7D">
        <w:rPr>
          <w:rFonts w:ascii="Times New Roman" w:eastAsia="Times New Roman" w:hAnsi="Times New Roman" w:cs="Times New Roman"/>
          <w:bCs/>
        </w:rPr>
        <w:t xml:space="preserve"> A dolgozatban teszt és esszé jellegű kérdések egyaránt szerepelnek</w:t>
      </w:r>
      <w:r w:rsidRPr="00EE0E7D">
        <w:rPr>
          <w:rFonts w:ascii="Times New Roman" w:eastAsia="Times New Roman" w:hAnsi="Times New Roman" w:cs="Times New Roman"/>
          <w:bCs/>
          <w:lang w:eastAsia="hu-HU"/>
        </w:rPr>
        <w:t>.</w:t>
      </w:r>
    </w:p>
    <w:p w:rsidR="00EE0E7D" w:rsidRPr="00EE0E7D" w:rsidRDefault="00EE0E7D" w:rsidP="00980876">
      <w:pPr>
        <w:widowControl w:val="0"/>
        <w:numPr>
          <w:ilvl w:val="0"/>
          <w:numId w:val="654"/>
        </w:numPr>
        <w:spacing w:before="120" w:after="120" w:line="240" w:lineRule="auto"/>
        <w:ind w:left="426" w:hanging="142"/>
        <w:jc w:val="both"/>
        <w:rPr>
          <w:rFonts w:ascii="Times New Roman" w:eastAsia="Times New Roman" w:hAnsi="Times New Roman" w:cs="Times New Roman"/>
          <w:b/>
          <w:bCs/>
        </w:rPr>
      </w:pPr>
      <w:r w:rsidRPr="00EE0E7D">
        <w:rPr>
          <w:rFonts w:ascii="Times New Roman" w:eastAsia="Times New Roman" w:hAnsi="Times New Roman" w:cs="Times New Roman"/>
          <w:b/>
          <w:bCs/>
        </w:rPr>
        <w:t xml:space="preserve">Az értékelés, az aláírás és a kreditek megszerzésének pontos feltételei: </w:t>
      </w:r>
    </w:p>
    <w:p w:rsidR="00EE0E7D" w:rsidRPr="00EE0E7D" w:rsidRDefault="00EE0E7D" w:rsidP="00980876">
      <w:pPr>
        <w:widowControl w:val="0"/>
        <w:numPr>
          <w:ilvl w:val="1"/>
          <w:numId w:val="654"/>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EE0E7D">
        <w:rPr>
          <w:rFonts w:ascii="Times New Roman" w:eastAsia="Times New Roman" w:hAnsi="Times New Roman" w:cs="Times New Roman"/>
          <w:b/>
        </w:rPr>
        <w:t>Az aláírás megszerzésének feltételei:</w:t>
      </w:r>
      <w:r w:rsidRPr="00EE0E7D">
        <w:rPr>
          <w:rFonts w:ascii="Times New Roman" w:eastAsia="Times New Roman" w:hAnsi="Times New Roman" w:cs="Times New Roman"/>
        </w:rPr>
        <w:t xml:space="preserve"> </w:t>
      </w:r>
      <w:r w:rsidRPr="00EE0E7D">
        <w:rPr>
          <w:rFonts w:ascii="Times New Roman" w:eastAsia="Calibri" w:hAnsi="Times New Roman" w:cs="Times New Roman"/>
          <w:bCs/>
        </w:rPr>
        <w:t>Az aláírás megszerzésének feltétele a 14. pontban meghatározott arányú részvétel a foglalkozásokon és a 15. pontban meghatározott félévközi feladatok legalább elégséges teljesítése.</w:t>
      </w:r>
    </w:p>
    <w:p w:rsidR="00EE0E7D" w:rsidRPr="00EE0E7D" w:rsidRDefault="00EE0E7D" w:rsidP="00980876">
      <w:pPr>
        <w:widowControl w:val="0"/>
        <w:numPr>
          <w:ilvl w:val="1"/>
          <w:numId w:val="654"/>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EE0E7D">
        <w:rPr>
          <w:rFonts w:ascii="Times New Roman" w:eastAsia="Times New Roman" w:hAnsi="Times New Roman" w:cs="Times New Roman"/>
          <w:b/>
        </w:rPr>
        <w:t>Az értékelés:</w:t>
      </w:r>
      <w:r w:rsidRPr="00EE0E7D">
        <w:rPr>
          <w:rFonts w:ascii="Times New Roman" w:eastAsia="Times New Roman" w:hAnsi="Times New Roman" w:cs="Times New Roman"/>
        </w:rPr>
        <w:t xml:space="preserve"> </w:t>
      </w:r>
      <w:r w:rsidRPr="00EE0E7D">
        <w:rPr>
          <w:rFonts w:ascii="Times New Roman" w:eastAsia="Calibri" w:hAnsi="Times New Roman" w:cs="Times New Roman"/>
        </w:rPr>
        <w:t>évközi értékelés, ötfokozatú értékelés.</w:t>
      </w:r>
      <w:r w:rsidRPr="00EE0E7D">
        <w:rPr>
          <w:rFonts w:ascii="Times New Roman" w:eastAsia="Times New Roman" w:hAnsi="Times New Roman" w:cs="Times New Roman"/>
          <w:bCs/>
        </w:rPr>
        <w:t xml:space="preserve"> </w:t>
      </w:r>
      <w:r w:rsidRPr="00EE0E7D">
        <w:rPr>
          <w:rFonts w:ascii="Times New Roman" w:eastAsia="Calibri" w:hAnsi="Times New Roman" w:cs="Times New Roman"/>
          <w:bCs/>
        </w:rPr>
        <w:t>Az évközi értékelést az elért eredmények kerekített matematikai átlaga képezi.</w:t>
      </w:r>
    </w:p>
    <w:p w:rsidR="00EE0E7D" w:rsidRPr="00EE0E7D" w:rsidRDefault="00EE0E7D" w:rsidP="00980876">
      <w:pPr>
        <w:widowControl w:val="0"/>
        <w:numPr>
          <w:ilvl w:val="1"/>
          <w:numId w:val="654"/>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EE0E7D">
        <w:rPr>
          <w:rFonts w:ascii="Times New Roman" w:eastAsia="Times New Roman" w:hAnsi="Times New Roman" w:cs="Times New Roman"/>
          <w:b/>
        </w:rPr>
        <w:t>A kreditek megszerzésének feltételei:</w:t>
      </w:r>
      <w:r w:rsidRPr="00EE0E7D">
        <w:rPr>
          <w:rFonts w:ascii="Times New Roman" w:eastAsia="Times New Roman" w:hAnsi="Times New Roman" w:cs="Times New Roman"/>
        </w:rPr>
        <w:t xml:space="preserve"> az aláírás megszerzése és legalább elégséges</w:t>
      </w:r>
      <w:r w:rsidRPr="00EE0E7D">
        <w:rPr>
          <w:rFonts w:ascii="Times New Roman" w:eastAsia="Times New Roman" w:hAnsi="Times New Roman" w:cs="Times New Roman"/>
          <w:b/>
        </w:rPr>
        <w:t xml:space="preserve"> </w:t>
      </w:r>
      <w:r w:rsidRPr="00EE0E7D">
        <w:rPr>
          <w:rFonts w:ascii="Times New Roman" w:eastAsia="Times New Roman" w:hAnsi="Times New Roman" w:cs="Times New Roman"/>
        </w:rPr>
        <w:t>évközi értékelés</w:t>
      </w:r>
      <w:r w:rsidRPr="00EE0E7D">
        <w:rPr>
          <w:rFonts w:ascii="Times New Roman" w:eastAsia="Times New Roman" w:hAnsi="Times New Roman" w:cs="Times New Roman"/>
          <w:bCs/>
        </w:rPr>
        <w:t>.</w:t>
      </w:r>
    </w:p>
    <w:p w:rsidR="00EE0E7D" w:rsidRPr="00EE0E7D" w:rsidRDefault="00EE0E7D" w:rsidP="00980876">
      <w:pPr>
        <w:widowControl w:val="0"/>
        <w:numPr>
          <w:ilvl w:val="0"/>
          <w:numId w:val="654"/>
        </w:numPr>
        <w:tabs>
          <w:tab w:val="num" w:pos="360"/>
        </w:tabs>
        <w:spacing w:before="120" w:after="120" w:line="240" w:lineRule="auto"/>
        <w:ind w:left="426" w:hanging="142"/>
        <w:jc w:val="both"/>
        <w:rPr>
          <w:rFonts w:ascii="Times New Roman" w:eastAsia="Times New Roman" w:hAnsi="Times New Roman" w:cs="Times New Roman"/>
          <w:bCs/>
        </w:rPr>
      </w:pPr>
      <w:r w:rsidRPr="00EE0E7D">
        <w:rPr>
          <w:rFonts w:ascii="Times New Roman" w:eastAsia="Times New Roman" w:hAnsi="Times New Roman" w:cs="Times New Roman"/>
          <w:b/>
          <w:bCs/>
        </w:rPr>
        <w:t>Irodalomjegyzék:</w:t>
      </w:r>
    </w:p>
    <w:p w:rsidR="00EE0E7D" w:rsidRPr="00EE0E7D" w:rsidRDefault="00EE0E7D" w:rsidP="00980876">
      <w:pPr>
        <w:widowControl w:val="0"/>
        <w:numPr>
          <w:ilvl w:val="1"/>
          <w:numId w:val="654"/>
        </w:numPr>
        <w:tabs>
          <w:tab w:val="left" w:pos="567"/>
          <w:tab w:val="left" w:pos="851"/>
          <w:tab w:val="num" w:pos="2069"/>
        </w:tabs>
        <w:spacing w:before="120" w:after="120" w:line="240" w:lineRule="auto"/>
        <w:ind w:left="426" w:hanging="142"/>
        <w:jc w:val="both"/>
        <w:rPr>
          <w:rFonts w:ascii="Times New Roman" w:eastAsia="Times New Roman" w:hAnsi="Times New Roman" w:cs="Times New Roman"/>
          <w:bCs/>
        </w:rPr>
      </w:pPr>
      <w:r w:rsidRPr="00EE0E7D">
        <w:rPr>
          <w:rFonts w:ascii="Times New Roman" w:eastAsia="Times New Roman" w:hAnsi="Times New Roman" w:cs="Times New Roman"/>
          <w:b/>
          <w:bCs/>
        </w:rPr>
        <w:t>Kötelező irodalom:</w:t>
      </w:r>
    </w:p>
    <w:p w:rsidR="00EE0E7D" w:rsidRPr="00EE0E7D" w:rsidRDefault="00EE0E7D" w:rsidP="00980876">
      <w:pPr>
        <w:widowControl w:val="0"/>
        <w:numPr>
          <w:ilvl w:val="0"/>
          <w:numId w:val="655"/>
        </w:numPr>
        <w:spacing w:after="0" w:line="240" w:lineRule="auto"/>
        <w:ind w:left="709" w:hanging="425"/>
        <w:jc w:val="both"/>
        <w:rPr>
          <w:rFonts w:ascii="Times New Roman" w:eastAsia="Times New Roman" w:hAnsi="Times New Roman" w:cs="Times New Roman"/>
        </w:rPr>
      </w:pPr>
      <w:r w:rsidRPr="00EE0E7D">
        <w:rPr>
          <w:rFonts w:ascii="Times New Roman" w:eastAsia="Times New Roman" w:hAnsi="Times New Roman" w:cs="Times New Roman"/>
        </w:rPr>
        <w:t>Kiss László: Gépjárműmotorok üzembentartása I.+II. ZMNE nyomda, főiskolai jegyzet, Budapest, 1996.</w:t>
      </w:r>
    </w:p>
    <w:p w:rsidR="00EE0E7D" w:rsidRPr="00EE0E7D" w:rsidRDefault="00EE0E7D" w:rsidP="00980876">
      <w:pPr>
        <w:widowControl w:val="0"/>
        <w:numPr>
          <w:ilvl w:val="0"/>
          <w:numId w:val="655"/>
        </w:numPr>
        <w:spacing w:after="0" w:line="240" w:lineRule="auto"/>
        <w:ind w:left="709" w:hanging="425"/>
        <w:jc w:val="both"/>
        <w:rPr>
          <w:rFonts w:ascii="Times New Roman" w:eastAsia="Times New Roman" w:hAnsi="Times New Roman" w:cs="Times New Roman"/>
        </w:rPr>
      </w:pPr>
      <w:r w:rsidRPr="00EE0E7D">
        <w:rPr>
          <w:rFonts w:ascii="Times New Roman" w:eastAsia="Times New Roman" w:hAnsi="Times New Roman" w:cs="Times New Roman"/>
        </w:rPr>
        <w:t>Kiss László: Gépjárművek rendszerben tartása. ZMNE nyomda, főiskolai jegyzet, Budapest, 2005.</w:t>
      </w:r>
    </w:p>
    <w:p w:rsidR="00EE0E7D" w:rsidRPr="00EE0E7D" w:rsidRDefault="00EE0E7D" w:rsidP="00980876">
      <w:pPr>
        <w:widowControl w:val="0"/>
        <w:numPr>
          <w:ilvl w:val="0"/>
          <w:numId w:val="655"/>
        </w:numPr>
        <w:spacing w:after="0" w:line="240" w:lineRule="auto"/>
        <w:ind w:left="709" w:hanging="425"/>
        <w:jc w:val="both"/>
        <w:rPr>
          <w:rFonts w:ascii="Times New Roman" w:eastAsia="Times New Roman" w:hAnsi="Times New Roman" w:cs="Times New Roman"/>
        </w:rPr>
      </w:pPr>
      <w:r w:rsidRPr="00EE0E7D">
        <w:rPr>
          <w:rFonts w:ascii="Times New Roman" w:eastAsia="Times New Roman" w:hAnsi="Times New Roman" w:cs="Times New Roman"/>
        </w:rPr>
        <w:t>BOSCH sárga füzetek sorozat: Benzinmotorok kipufogógáz technikája. Maróti Könyvkiadó, Budapest, 2008. ISBN: 963900586X</w:t>
      </w:r>
    </w:p>
    <w:p w:rsidR="00EE0E7D" w:rsidRPr="00EE0E7D" w:rsidRDefault="00EE0E7D" w:rsidP="00980876">
      <w:pPr>
        <w:widowControl w:val="0"/>
        <w:numPr>
          <w:ilvl w:val="0"/>
          <w:numId w:val="655"/>
        </w:numPr>
        <w:spacing w:after="0" w:line="240" w:lineRule="auto"/>
        <w:ind w:left="709" w:hanging="425"/>
        <w:jc w:val="both"/>
        <w:rPr>
          <w:rFonts w:ascii="Times New Roman" w:eastAsia="Times New Roman" w:hAnsi="Times New Roman" w:cs="Times New Roman"/>
        </w:rPr>
      </w:pPr>
      <w:r w:rsidRPr="00EE0E7D">
        <w:rPr>
          <w:rFonts w:ascii="Times New Roman" w:eastAsia="Times New Roman" w:hAnsi="Times New Roman" w:cs="Times New Roman"/>
        </w:rPr>
        <w:t>BOSCH sárga füzetek sorozat: Dízelmotorok kipufogógáz technikája. Maróti Könyvkiadó, Budapest, 2008. ISBN: 9639005827</w:t>
      </w:r>
    </w:p>
    <w:p w:rsidR="00EE0E7D" w:rsidRPr="00EE0E7D" w:rsidRDefault="00EE0E7D" w:rsidP="00980876">
      <w:pPr>
        <w:widowControl w:val="0"/>
        <w:numPr>
          <w:ilvl w:val="0"/>
          <w:numId w:val="655"/>
        </w:numPr>
        <w:spacing w:after="0" w:line="240" w:lineRule="auto"/>
        <w:ind w:left="709" w:hanging="425"/>
        <w:jc w:val="both"/>
        <w:rPr>
          <w:rFonts w:ascii="Times New Roman" w:eastAsia="Times New Roman" w:hAnsi="Times New Roman" w:cs="Times New Roman"/>
        </w:rPr>
      </w:pPr>
      <w:r w:rsidRPr="00EE0E7D">
        <w:rPr>
          <w:rFonts w:ascii="Times New Roman" w:eastAsia="Times New Roman" w:hAnsi="Times New Roman" w:cs="Times New Roman"/>
        </w:rPr>
        <w:t>Dr. Frank Tibor – Dr. Kováts Miklós: Benzinbefecskendező és motorirányító rendszerek. Maróti Könyvkiadó, Budapest, 2004. ISBN: 9639005649</w:t>
      </w:r>
    </w:p>
    <w:p w:rsidR="00EE0E7D" w:rsidRPr="00EE0E7D" w:rsidRDefault="00EE0E7D" w:rsidP="00980876">
      <w:pPr>
        <w:widowControl w:val="0"/>
        <w:numPr>
          <w:ilvl w:val="1"/>
          <w:numId w:val="654"/>
        </w:numPr>
        <w:tabs>
          <w:tab w:val="num" w:pos="567"/>
          <w:tab w:val="num" w:pos="2069"/>
        </w:tabs>
        <w:spacing w:before="120" w:after="120" w:line="240" w:lineRule="auto"/>
        <w:ind w:left="993" w:hanging="709"/>
        <w:jc w:val="both"/>
        <w:rPr>
          <w:rFonts w:ascii="Times New Roman" w:eastAsia="Times New Roman" w:hAnsi="Times New Roman" w:cs="Times New Roman"/>
          <w:b/>
          <w:bCs/>
        </w:rPr>
      </w:pPr>
      <w:r w:rsidRPr="00EE0E7D">
        <w:rPr>
          <w:rFonts w:ascii="Times New Roman" w:eastAsia="Times New Roman" w:hAnsi="Times New Roman" w:cs="Times New Roman"/>
          <w:b/>
          <w:bCs/>
        </w:rPr>
        <w:t>Ajánlott irodalom:</w:t>
      </w:r>
    </w:p>
    <w:p w:rsidR="00EE0E7D" w:rsidRPr="00EE0E7D" w:rsidRDefault="00EE0E7D" w:rsidP="00980876">
      <w:pPr>
        <w:widowControl w:val="0"/>
        <w:numPr>
          <w:ilvl w:val="0"/>
          <w:numId w:val="656"/>
        </w:numPr>
        <w:spacing w:after="0" w:line="240" w:lineRule="auto"/>
        <w:jc w:val="both"/>
        <w:rPr>
          <w:rFonts w:ascii="Times New Roman" w:eastAsia="Times New Roman" w:hAnsi="Times New Roman" w:cs="Times New Roman"/>
        </w:rPr>
      </w:pPr>
      <w:r w:rsidRPr="00EE0E7D">
        <w:rPr>
          <w:rFonts w:ascii="Times New Roman" w:eastAsia="Times New Roman" w:hAnsi="Times New Roman" w:cs="Times New Roman"/>
        </w:rPr>
        <w:t>Gépjármű-technikai képletgyűjtemény. Műszaki Könyvkiadó, Budapest, 1995. ISBN: 9631605922</w:t>
      </w:r>
    </w:p>
    <w:p w:rsidR="00EE0E7D" w:rsidRPr="00EE0E7D" w:rsidRDefault="00EE0E7D" w:rsidP="00980876">
      <w:pPr>
        <w:widowControl w:val="0"/>
        <w:numPr>
          <w:ilvl w:val="0"/>
          <w:numId w:val="656"/>
        </w:numPr>
        <w:spacing w:after="0" w:line="240" w:lineRule="auto"/>
        <w:jc w:val="both"/>
        <w:rPr>
          <w:rFonts w:ascii="Times New Roman" w:eastAsia="Times New Roman" w:hAnsi="Times New Roman" w:cs="Times New Roman"/>
        </w:rPr>
      </w:pPr>
      <w:r w:rsidRPr="00EE0E7D">
        <w:rPr>
          <w:rFonts w:ascii="Times New Roman" w:eastAsia="Times New Roman" w:hAnsi="Times New Roman" w:cs="Times New Roman"/>
        </w:rPr>
        <w:t>Gépjármű-technikai szakszámítások. Műszaki Könyvkiadó, Budapest, 2000. ISBN: 9631605957</w:t>
      </w:r>
    </w:p>
    <w:p w:rsidR="00EE0E7D" w:rsidRPr="00EE0E7D" w:rsidRDefault="00EE0E7D" w:rsidP="00980876">
      <w:pPr>
        <w:widowControl w:val="0"/>
        <w:numPr>
          <w:ilvl w:val="0"/>
          <w:numId w:val="656"/>
        </w:numPr>
        <w:spacing w:after="0" w:line="240" w:lineRule="auto"/>
        <w:jc w:val="both"/>
        <w:rPr>
          <w:rFonts w:ascii="Times New Roman" w:eastAsia="Times New Roman" w:hAnsi="Times New Roman" w:cs="Times New Roman"/>
        </w:rPr>
      </w:pPr>
      <w:r w:rsidRPr="00EE0E7D">
        <w:rPr>
          <w:rFonts w:ascii="Times New Roman" w:eastAsia="Times New Roman" w:hAnsi="Times New Roman" w:cs="Times New Roman"/>
        </w:rPr>
        <w:t>Zinner György: Gépjárművek erőátviteli berendezései. Tankönyvmester Kiadó, Budapest, 2006. ISBN: 9639668222.</w:t>
      </w:r>
    </w:p>
    <w:p w:rsidR="00EE0E7D" w:rsidRPr="00EE0E7D" w:rsidRDefault="00EE0E7D" w:rsidP="00EE0E7D">
      <w:pPr>
        <w:widowControl w:val="0"/>
        <w:spacing w:before="120" w:after="120" w:line="240" w:lineRule="auto"/>
        <w:jc w:val="both"/>
        <w:rPr>
          <w:rFonts w:ascii="Times New Roman" w:eastAsia="Times New Roman" w:hAnsi="Times New Roman" w:cs="Times New Roman"/>
          <w:bCs/>
        </w:rPr>
      </w:pPr>
      <w:r w:rsidRPr="00EE0E7D">
        <w:rPr>
          <w:rFonts w:ascii="Times New Roman" w:eastAsia="Times New Roman" w:hAnsi="Times New Roman" w:cs="Times New Roman"/>
          <w:bCs/>
        </w:rPr>
        <w:t>Budapest, 2020.03.14.</w:t>
      </w:r>
    </w:p>
    <w:p w:rsidR="00EE0E7D" w:rsidRPr="006B225A" w:rsidRDefault="00EE0E7D" w:rsidP="00AB7D64">
      <w:pPr>
        <w:widowControl w:val="0"/>
        <w:spacing w:after="0" w:line="240" w:lineRule="auto"/>
        <w:ind w:left="6379"/>
        <w:jc w:val="center"/>
        <w:rPr>
          <w:rFonts w:ascii="Times New Roman" w:eastAsia="Times New Roman" w:hAnsi="Times New Roman" w:cs="Times New Roman"/>
          <w:b/>
          <w:bCs/>
        </w:rPr>
      </w:pPr>
      <w:r w:rsidRPr="006B225A">
        <w:rPr>
          <w:rFonts w:ascii="Times New Roman" w:eastAsia="Times New Roman" w:hAnsi="Times New Roman" w:cs="Times New Roman"/>
          <w:b/>
          <w:bCs/>
        </w:rPr>
        <w:t>Dr. Vég Róbert László</w:t>
      </w:r>
      <w:r w:rsidR="00AB7D64" w:rsidRPr="006B225A">
        <w:rPr>
          <w:rFonts w:ascii="Times New Roman" w:eastAsia="Times New Roman" w:hAnsi="Times New Roman" w:cs="Times New Roman"/>
          <w:b/>
          <w:bCs/>
        </w:rPr>
        <w:t>,</w:t>
      </w:r>
      <w:r w:rsidRPr="006B225A">
        <w:rPr>
          <w:rFonts w:ascii="Times New Roman" w:eastAsia="Times New Roman" w:hAnsi="Times New Roman" w:cs="Times New Roman"/>
          <w:b/>
          <w:bCs/>
        </w:rPr>
        <w:t xml:space="preserve"> PhD</w:t>
      </w:r>
    </w:p>
    <w:p w:rsidR="00EE0E7D" w:rsidRPr="00EE0E7D" w:rsidRDefault="00EE0E7D" w:rsidP="00AB7D64">
      <w:pPr>
        <w:widowControl w:val="0"/>
        <w:spacing w:after="0" w:line="240" w:lineRule="auto"/>
        <w:ind w:left="6379"/>
        <w:jc w:val="center"/>
        <w:rPr>
          <w:rFonts w:ascii="Times New Roman" w:eastAsia="Times New Roman" w:hAnsi="Times New Roman" w:cs="Times New Roman"/>
          <w:bCs/>
        </w:rPr>
      </w:pPr>
      <w:r w:rsidRPr="00EE0E7D">
        <w:rPr>
          <w:rFonts w:ascii="Times New Roman" w:eastAsia="Times New Roman" w:hAnsi="Times New Roman" w:cs="Times New Roman"/>
          <w:bCs/>
        </w:rPr>
        <w:t>egyetemi docens</w:t>
      </w:r>
    </w:p>
    <w:tbl>
      <w:tblPr>
        <w:tblW w:w="9072" w:type="dxa"/>
        <w:tblInd w:w="113" w:type="dxa"/>
        <w:tblLook w:val="01E0" w:firstRow="1" w:lastRow="1" w:firstColumn="1" w:lastColumn="1" w:noHBand="0" w:noVBand="0"/>
      </w:tblPr>
      <w:tblGrid>
        <w:gridCol w:w="4855"/>
        <w:gridCol w:w="1620"/>
        <w:gridCol w:w="2597"/>
      </w:tblGrid>
      <w:tr w:rsidR="00AB7D64" w:rsidRPr="00AB7D64" w:rsidTr="00AB7D64">
        <w:tc>
          <w:tcPr>
            <w:tcW w:w="4855" w:type="dxa"/>
            <w:tcBorders>
              <w:bottom w:val="single" w:sz="4" w:space="0" w:color="auto"/>
            </w:tcBorders>
          </w:tcPr>
          <w:p w:rsidR="00AB7D64" w:rsidRPr="00AB7D64" w:rsidRDefault="00AB7D64" w:rsidP="00AB7D64">
            <w:pPr>
              <w:spacing w:after="0" w:line="240" w:lineRule="auto"/>
              <w:jc w:val="center"/>
              <w:rPr>
                <w:rFonts w:ascii="Times New Roman" w:eastAsia="Times New Roman" w:hAnsi="Times New Roman" w:cs="Times New Roman"/>
                <w:b/>
                <w:smallCaps/>
                <w:lang w:eastAsia="hu-HU"/>
              </w:rPr>
            </w:pPr>
            <w:r w:rsidRPr="00AB7D64">
              <w:rPr>
                <w:rFonts w:ascii="Times New Roman" w:eastAsia="Times New Roman" w:hAnsi="Times New Roman" w:cs="Times New Roman"/>
                <w:b/>
                <w:smallCaps/>
                <w:lang w:eastAsia="hu-HU"/>
              </w:rPr>
              <w:lastRenderedPageBreak/>
              <w:t>Nemzeti Közszolgálati Egyetem</w:t>
            </w:r>
          </w:p>
        </w:tc>
        <w:tc>
          <w:tcPr>
            <w:tcW w:w="1620" w:type="dxa"/>
          </w:tcPr>
          <w:p w:rsidR="00AB7D64" w:rsidRPr="00AB7D64" w:rsidRDefault="00AB7D64" w:rsidP="00AB7D64">
            <w:pPr>
              <w:spacing w:after="0" w:line="240" w:lineRule="auto"/>
              <w:jc w:val="both"/>
              <w:rPr>
                <w:rFonts w:ascii="Times New Roman" w:eastAsia="Times New Roman" w:hAnsi="Times New Roman" w:cs="Times New Roman"/>
                <w:lang w:eastAsia="hu-HU"/>
              </w:rPr>
            </w:pPr>
          </w:p>
        </w:tc>
        <w:tc>
          <w:tcPr>
            <w:tcW w:w="2597" w:type="dxa"/>
          </w:tcPr>
          <w:p w:rsidR="00AB7D64" w:rsidRPr="00AB7D64" w:rsidRDefault="00AB7D64" w:rsidP="00AB7D64">
            <w:pPr>
              <w:spacing w:after="0" w:line="240" w:lineRule="auto"/>
              <w:jc w:val="right"/>
              <w:rPr>
                <w:rFonts w:ascii="Times New Roman" w:eastAsia="Times New Roman" w:hAnsi="Times New Roman" w:cs="Times New Roman"/>
                <w:lang w:eastAsia="hu-HU"/>
              </w:rPr>
            </w:pPr>
          </w:p>
        </w:tc>
      </w:tr>
      <w:tr w:rsidR="00AB7D64" w:rsidRPr="00AB7D64" w:rsidTr="00AB7D64">
        <w:tc>
          <w:tcPr>
            <w:tcW w:w="4855" w:type="dxa"/>
            <w:tcBorders>
              <w:top w:val="single" w:sz="4" w:space="0" w:color="auto"/>
            </w:tcBorders>
          </w:tcPr>
          <w:p w:rsidR="00AB7D64" w:rsidRPr="00AB7D64" w:rsidRDefault="00AB7D64" w:rsidP="00AB7D64">
            <w:pPr>
              <w:spacing w:after="0" w:line="240" w:lineRule="auto"/>
              <w:jc w:val="center"/>
              <w:rPr>
                <w:rFonts w:ascii="Times New Roman" w:eastAsia="Times New Roman" w:hAnsi="Times New Roman" w:cs="Times New Roman"/>
                <w:b/>
                <w:lang w:eastAsia="hu-HU"/>
              </w:rPr>
            </w:pPr>
            <w:r w:rsidRPr="00AB7D64">
              <w:rPr>
                <w:rFonts w:ascii="Times New Roman" w:eastAsia="Times New Roman" w:hAnsi="Times New Roman" w:cs="Times New Roman"/>
                <w:b/>
                <w:lang w:eastAsia="hu-HU"/>
              </w:rPr>
              <w:t>Hadtudományi és Honvédtisztképző Kar</w:t>
            </w:r>
          </w:p>
        </w:tc>
        <w:tc>
          <w:tcPr>
            <w:tcW w:w="1620" w:type="dxa"/>
          </w:tcPr>
          <w:p w:rsidR="00AB7D64" w:rsidRPr="00AB7D64" w:rsidRDefault="00AB7D64" w:rsidP="00AB7D64">
            <w:pPr>
              <w:spacing w:after="0" w:line="240" w:lineRule="auto"/>
              <w:jc w:val="both"/>
              <w:rPr>
                <w:rFonts w:ascii="Times New Roman" w:eastAsia="Times New Roman" w:hAnsi="Times New Roman" w:cs="Times New Roman"/>
                <w:lang w:eastAsia="hu-HU"/>
              </w:rPr>
            </w:pPr>
          </w:p>
        </w:tc>
        <w:tc>
          <w:tcPr>
            <w:tcW w:w="2597" w:type="dxa"/>
          </w:tcPr>
          <w:p w:rsidR="00AB7D64" w:rsidRPr="00AB7D64" w:rsidRDefault="00AB7D64" w:rsidP="00AB7D64">
            <w:pPr>
              <w:spacing w:after="0" w:line="240" w:lineRule="auto"/>
              <w:jc w:val="both"/>
              <w:rPr>
                <w:rFonts w:ascii="Times New Roman" w:eastAsia="Times New Roman" w:hAnsi="Times New Roman" w:cs="Times New Roman"/>
                <w:lang w:eastAsia="hu-HU"/>
              </w:rPr>
            </w:pPr>
          </w:p>
        </w:tc>
      </w:tr>
    </w:tbl>
    <w:p w:rsidR="00AB7D64" w:rsidRPr="00AB7D64" w:rsidRDefault="00AB7D64" w:rsidP="00AB7D64">
      <w:pPr>
        <w:widowControl w:val="0"/>
        <w:spacing w:before="120" w:after="120" w:line="240" w:lineRule="auto"/>
        <w:ind w:left="426" w:hanging="142"/>
        <w:jc w:val="center"/>
        <w:rPr>
          <w:rFonts w:ascii="Times New Roman" w:eastAsia="Times New Roman" w:hAnsi="Times New Roman" w:cs="Times New Roman"/>
          <w:b/>
          <w:bCs/>
        </w:rPr>
      </w:pPr>
    </w:p>
    <w:p w:rsidR="00AB7D64" w:rsidRPr="00AB7D64" w:rsidRDefault="00AB7D64" w:rsidP="00AB7D64">
      <w:pPr>
        <w:widowControl w:val="0"/>
        <w:spacing w:before="120" w:after="120" w:line="240" w:lineRule="auto"/>
        <w:ind w:left="426" w:hanging="142"/>
        <w:jc w:val="center"/>
        <w:rPr>
          <w:rFonts w:ascii="Times New Roman" w:eastAsia="Times New Roman" w:hAnsi="Times New Roman" w:cs="Times New Roman"/>
          <w:b/>
          <w:bCs/>
        </w:rPr>
      </w:pPr>
      <w:r w:rsidRPr="00AB7D64">
        <w:rPr>
          <w:rFonts w:ascii="Times New Roman" w:eastAsia="Times New Roman" w:hAnsi="Times New Roman" w:cs="Times New Roman"/>
          <w:b/>
          <w:bCs/>
        </w:rPr>
        <w:t>TANTÁRGYI PROGRAM</w:t>
      </w:r>
    </w:p>
    <w:p w:rsidR="00AB7D64" w:rsidRPr="00AB7D64" w:rsidRDefault="00AB7D64" w:rsidP="00980876">
      <w:pPr>
        <w:widowControl w:val="0"/>
        <w:numPr>
          <w:ilvl w:val="0"/>
          <w:numId w:val="665"/>
        </w:numPr>
        <w:tabs>
          <w:tab w:val="num" w:pos="567"/>
        </w:tabs>
        <w:spacing w:before="120" w:after="120" w:line="240" w:lineRule="auto"/>
        <w:ind w:left="426" w:hanging="142"/>
        <w:jc w:val="both"/>
        <w:rPr>
          <w:rFonts w:ascii="Times New Roman" w:eastAsia="Times New Roman" w:hAnsi="Times New Roman" w:cs="Times New Roman"/>
          <w:bCs/>
        </w:rPr>
      </w:pPr>
      <w:r w:rsidRPr="00AB7D64">
        <w:rPr>
          <w:rFonts w:ascii="Times New Roman" w:eastAsia="Times New Roman" w:hAnsi="Times New Roman" w:cs="Times New Roman"/>
          <w:b/>
          <w:bCs/>
        </w:rPr>
        <w:t xml:space="preserve">A tantárgy kódja: </w:t>
      </w:r>
      <w:r w:rsidRPr="00AB7D64">
        <w:rPr>
          <w:rFonts w:ascii="Times New Roman" w:eastAsia="Times New Roman" w:hAnsi="Times New Roman" w:cs="Times New Roman"/>
          <w:bCs/>
        </w:rPr>
        <w:t>HKHDTA17</w:t>
      </w:r>
    </w:p>
    <w:p w:rsidR="00AB7D64" w:rsidRPr="00AB7D64" w:rsidRDefault="00AB7D64" w:rsidP="00980876">
      <w:pPr>
        <w:widowControl w:val="0"/>
        <w:numPr>
          <w:ilvl w:val="0"/>
          <w:numId w:val="665"/>
        </w:numPr>
        <w:tabs>
          <w:tab w:val="num" w:pos="567"/>
        </w:tabs>
        <w:spacing w:before="120" w:after="120" w:line="240" w:lineRule="auto"/>
        <w:ind w:left="426" w:hanging="142"/>
        <w:jc w:val="both"/>
        <w:rPr>
          <w:rFonts w:ascii="Times New Roman" w:eastAsia="Times New Roman" w:hAnsi="Times New Roman" w:cs="Times New Roman"/>
          <w:b/>
          <w:bCs/>
          <w:lang w:val="en-GB"/>
        </w:rPr>
      </w:pPr>
      <w:r w:rsidRPr="00AB7D64">
        <w:rPr>
          <w:rFonts w:ascii="Times New Roman" w:eastAsia="Times New Roman" w:hAnsi="Times New Roman" w:cs="Times New Roman"/>
          <w:b/>
          <w:bCs/>
        </w:rPr>
        <w:t>A tantárgy megnevezése (magyarul):</w:t>
      </w:r>
      <w:r w:rsidRPr="00AB7D64">
        <w:rPr>
          <w:rFonts w:ascii="Times New Roman" w:eastAsia="Times New Roman" w:hAnsi="Times New Roman" w:cs="Times New Roman"/>
          <w:bCs/>
        </w:rPr>
        <w:t xml:space="preserve"> Belsőégésű motorok és vezérlésük</w:t>
      </w:r>
    </w:p>
    <w:p w:rsidR="00AB7D64" w:rsidRPr="00AB7D64" w:rsidRDefault="00AB7D64" w:rsidP="00980876">
      <w:pPr>
        <w:widowControl w:val="0"/>
        <w:numPr>
          <w:ilvl w:val="0"/>
          <w:numId w:val="665"/>
        </w:numPr>
        <w:tabs>
          <w:tab w:val="num" w:pos="567"/>
        </w:tabs>
        <w:spacing w:before="120" w:after="120" w:line="240" w:lineRule="auto"/>
        <w:ind w:left="426" w:hanging="142"/>
        <w:jc w:val="both"/>
        <w:rPr>
          <w:rFonts w:ascii="Times New Roman" w:eastAsia="Times New Roman" w:hAnsi="Times New Roman" w:cs="Times New Roman"/>
          <w:b/>
          <w:bCs/>
          <w:lang w:val="en-GB"/>
        </w:rPr>
      </w:pPr>
      <w:r w:rsidRPr="00AB7D64">
        <w:rPr>
          <w:rFonts w:ascii="Times New Roman" w:eastAsia="Times New Roman" w:hAnsi="Times New Roman" w:cs="Times New Roman"/>
          <w:b/>
          <w:bCs/>
        </w:rPr>
        <w:t xml:space="preserve">A tantárgy megnevezése (angolul): </w:t>
      </w:r>
      <w:r w:rsidRPr="00AB7D64">
        <w:rPr>
          <w:rFonts w:ascii="Times New Roman" w:eastAsia="Times New Roman" w:hAnsi="Times New Roman" w:cs="Times New Roman"/>
          <w:bCs/>
        </w:rPr>
        <w:t>Combustion Engines and their control</w:t>
      </w:r>
    </w:p>
    <w:p w:rsidR="00AB7D64" w:rsidRPr="00AB7D64" w:rsidRDefault="00AB7D64" w:rsidP="00980876">
      <w:pPr>
        <w:widowControl w:val="0"/>
        <w:numPr>
          <w:ilvl w:val="0"/>
          <w:numId w:val="665"/>
        </w:numPr>
        <w:tabs>
          <w:tab w:val="num" w:pos="567"/>
        </w:tabs>
        <w:spacing w:before="120" w:after="120" w:line="240" w:lineRule="auto"/>
        <w:ind w:left="426" w:hanging="142"/>
        <w:jc w:val="both"/>
        <w:rPr>
          <w:rFonts w:ascii="Times New Roman" w:eastAsia="Times New Roman" w:hAnsi="Times New Roman" w:cs="Times New Roman"/>
          <w:b/>
          <w:bCs/>
        </w:rPr>
      </w:pPr>
      <w:r w:rsidRPr="00AB7D64">
        <w:rPr>
          <w:rFonts w:ascii="Times New Roman" w:eastAsia="Times New Roman" w:hAnsi="Times New Roman" w:cs="Times New Roman"/>
          <w:b/>
          <w:bCs/>
        </w:rPr>
        <w:t xml:space="preserve">Kreditérték és képzési karakter: </w:t>
      </w:r>
    </w:p>
    <w:p w:rsidR="00AB7D64" w:rsidRPr="00AB7D64" w:rsidRDefault="00AB7D64" w:rsidP="00980876">
      <w:pPr>
        <w:widowControl w:val="0"/>
        <w:numPr>
          <w:ilvl w:val="1"/>
          <w:numId w:val="665"/>
        </w:numPr>
        <w:spacing w:before="120" w:after="120" w:line="240" w:lineRule="auto"/>
        <w:ind w:left="993" w:hanging="426"/>
        <w:contextualSpacing/>
        <w:jc w:val="both"/>
        <w:rPr>
          <w:rFonts w:ascii="Times New Roman" w:eastAsia="Times New Roman" w:hAnsi="Times New Roman" w:cs="Times New Roman"/>
          <w:b/>
          <w:bCs/>
        </w:rPr>
      </w:pPr>
      <w:r w:rsidRPr="00AB7D64">
        <w:rPr>
          <w:rFonts w:ascii="Times New Roman" w:eastAsia="Times New Roman" w:hAnsi="Times New Roman" w:cs="Times New Roman"/>
          <w:bCs/>
        </w:rPr>
        <w:t>5 kredit</w:t>
      </w:r>
    </w:p>
    <w:p w:rsidR="00AB7D64" w:rsidRPr="00AB7D64" w:rsidRDefault="00AB7D64" w:rsidP="00980876">
      <w:pPr>
        <w:widowControl w:val="0"/>
        <w:numPr>
          <w:ilvl w:val="1"/>
          <w:numId w:val="665"/>
        </w:numPr>
        <w:spacing w:before="120" w:after="120" w:line="240" w:lineRule="auto"/>
        <w:ind w:left="993" w:hanging="426"/>
        <w:contextualSpacing/>
        <w:jc w:val="both"/>
        <w:rPr>
          <w:rFonts w:ascii="Times New Roman" w:eastAsia="Times New Roman" w:hAnsi="Times New Roman" w:cs="Times New Roman"/>
          <w:b/>
          <w:bCs/>
        </w:rPr>
      </w:pPr>
      <w:r w:rsidRPr="00AB7D64">
        <w:rPr>
          <w:rFonts w:ascii="Times New Roman" w:eastAsia="Times New Roman" w:hAnsi="Times New Roman" w:cs="Times New Roman"/>
          <w:bCs/>
        </w:rPr>
        <w:t>a tantárgy elméleti vagy gyakorlati jellegének mértéke: 40</w:t>
      </w:r>
      <w:r w:rsidRPr="00AB7D64">
        <w:rPr>
          <w:rFonts w:ascii="Times New Roman" w:eastAsia="Times New Roman" w:hAnsi="Times New Roman" w:cs="Times New Roman"/>
          <w:b/>
          <w:bCs/>
        </w:rPr>
        <w:t xml:space="preserve"> </w:t>
      </w:r>
      <w:r w:rsidRPr="00AB7D64">
        <w:rPr>
          <w:rFonts w:ascii="Times New Roman" w:eastAsia="Times New Roman" w:hAnsi="Times New Roman" w:cs="Times New Roman"/>
          <w:bCs/>
        </w:rPr>
        <w:t>% gyakorlat, 60 % elmélet</w:t>
      </w:r>
    </w:p>
    <w:p w:rsidR="00AB7D64" w:rsidRPr="00AB7D64" w:rsidRDefault="00AB7D64" w:rsidP="00980876">
      <w:pPr>
        <w:widowControl w:val="0"/>
        <w:numPr>
          <w:ilvl w:val="0"/>
          <w:numId w:val="665"/>
        </w:numPr>
        <w:spacing w:before="120" w:after="120" w:line="240" w:lineRule="auto"/>
        <w:ind w:left="426" w:hanging="142"/>
        <w:jc w:val="both"/>
        <w:rPr>
          <w:rFonts w:ascii="Times New Roman" w:eastAsia="Times New Roman" w:hAnsi="Times New Roman" w:cs="Times New Roman"/>
          <w:bCs/>
        </w:rPr>
      </w:pPr>
      <w:r w:rsidRPr="00AB7D64">
        <w:rPr>
          <w:rFonts w:ascii="Times New Roman" w:eastAsia="Times New Roman" w:hAnsi="Times New Roman" w:cs="Times New Roman"/>
          <w:b/>
          <w:bCs/>
        </w:rPr>
        <w:t>A szak(ok), szakirányok/specializációk megnevezése (ahol oktatják):</w:t>
      </w:r>
      <w:r w:rsidRPr="00AB7D64">
        <w:rPr>
          <w:rFonts w:ascii="Times New Roman" w:eastAsia="Times New Roman" w:hAnsi="Times New Roman" w:cs="Times New Roman"/>
          <w:bCs/>
        </w:rPr>
        <w:t xml:space="preserve"> Katonai logisztika (</w:t>
      </w:r>
      <w:r w:rsidR="00137B8A">
        <w:rPr>
          <w:rFonts w:ascii="Times New Roman" w:eastAsia="Times New Roman" w:hAnsi="Times New Roman" w:cs="Times New Roman"/>
          <w:bCs/>
        </w:rPr>
        <w:t>BSc</w:t>
      </w:r>
      <w:r w:rsidRPr="00AB7D64">
        <w:rPr>
          <w:rFonts w:ascii="Times New Roman" w:eastAsia="Times New Roman" w:hAnsi="Times New Roman" w:cs="Times New Roman"/>
          <w:bCs/>
        </w:rPr>
        <w:t>) alapképzési szak</w:t>
      </w:r>
    </w:p>
    <w:p w:rsidR="00AB7D64" w:rsidRPr="00AB7D64" w:rsidRDefault="00AB7D64" w:rsidP="00980876">
      <w:pPr>
        <w:widowControl w:val="0"/>
        <w:numPr>
          <w:ilvl w:val="0"/>
          <w:numId w:val="665"/>
        </w:numPr>
        <w:tabs>
          <w:tab w:val="num" w:pos="567"/>
        </w:tabs>
        <w:spacing w:before="120" w:after="120" w:line="240" w:lineRule="auto"/>
        <w:ind w:left="426" w:hanging="142"/>
        <w:jc w:val="both"/>
        <w:rPr>
          <w:rFonts w:ascii="Times New Roman" w:eastAsia="Times New Roman" w:hAnsi="Times New Roman" w:cs="Times New Roman"/>
          <w:bCs/>
        </w:rPr>
      </w:pPr>
      <w:r w:rsidRPr="00AB7D64">
        <w:rPr>
          <w:rFonts w:ascii="Times New Roman" w:eastAsia="Times New Roman" w:hAnsi="Times New Roman" w:cs="Times New Roman"/>
          <w:b/>
          <w:bCs/>
        </w:rPr>
        <w:t xml:space="preserve">Az oktatásért felelős oktatási szervezeti egység megnevezése: </w:t>
      </w:r>
      <w:r w:rsidRPr="00AB7D64">
        <w:rPr>
          <w:rFonts w:ascii="Times New Roman" w:eastAsia="Times New Roman" w:hAnsi="Times New Roman" w:cs="Times New Roman"/>
          <w:bCs/>
        </w:rPr>
        <w:t>HHK Haditechnikai Tanszék</w:t>
      </w:r>
    </w:p>
    <w:p w:rsidR="00AB7D64" w:rsidRPr="00AB7D64" w:rsidRDefault="00AB7D64" w:rsidP="00980876">
      <w:pPr>
        <w:widowControl w:val="0"/>
        <w:numPr>
          <w:ilvl w:val="0"/>
          <w:numId w:val="665"/>
        </w:numPr>
        <w:tabs>
          <w:tab w:val="num" w:pos="567"/>
        </w:tabs>
        <w:spacing w:before="120" w:after="120" w:line="240" w:lineRule="auto"/>
        <w:ind w:left="426" w:hanging="142"/>
        <w:jc w:val="both"/>
        <w:rPr>
          <w:rFonts w:ascii="Times New Roman" w:eastAsia="Times New Roman" w:hAnsi="Times New Roman" w:cs="Times New Roman"/>
          <w:bCs/>
        </w:rPr>
      </w:pPr>
      <w:r w:rsidRPr="00AB7D64">
        <w:rPr>
          <w:rFonts w:ascii="Times New Roman" w:eastAsia="Times New Roman" w:hAnsi="Times New Roman" w:cs="Times New Roman"/>
          <w:b/>
          <w:bCs/>
        </w:rPr>
        <w:t>A tantárgyfelelős oktató neve, beosztása, tudományos fokozata:</w:t>
      </w:r>
      <w:r w:rsidRPr="00AB7D64">
        <w:rPr>
          <w:rFonts w:ascii="Times New Roman" w:eastAsia="Times New Roman" w:hAnsi="Times New Roman" w:cs="Times New Roman"/>
          <w:bCs/>
        </w:rPr>
        <w:t xml:space="preserve"> </w:t>
      </w:r>
      <w:r w:rsidRPr="00AB7D64">
        <w:rPr>
          <w:rFonts w:ascii="Times New Roman" w:eastAsia="Times New Roman" w:hAnsi="Times New Roman" w:cs="Times New Roman"/>
          <w:bCs/>
          <w:lang w:eastAsia="hu-HU"/>
        </w:rPr>
        <w:t>Dr. Vég Róbert László alezredes PhD, egyetemi docens</w:t>
      </w:r>
    </w:p>
    <w:p w:rsidR="00AB7D64" w:rsidRPr="00AB7D64" w:rsidRDefault="00AB7D64" w:rsidP="00980876">
      <w:pPr>
        <w:widowControl w:val="0"/>
        <w:numPr>
          <w:ilvl w:val="0"/>
          <w:numId w:val="665"/>
        </w:numPr>
        <w:spacing w:before="120" w:after="120" w:line="240" w:lineRule="auto"/>
        <w:ind w:left="426" w:hanging="142"/>
        <w:jc w:val="both"/>
        <w:rPr>
          <w:rFonts w:ascii="Times New Roman" w:eastAsia="Times New Roman" w:hAnsi="Times New Roman" w:cs="Times New Roman"/>
          <w:bCs/>
        </w:rPr>
      </w:pPr>
      <w:r w:rsidRPr="00AB7D64">
        <w:rPr>
          <w:rFonts w:ascii="Times New Roman" w:eastAsia="Times New Roman" w:hAnsi="Times New Roman" w:cs="Times New Roman"/>
          <w:b/>
          <w:bCs/>
        </w:rPr>
        <w:t>A tanórák száma és típusa</w:t>
      </w:r>
    </w:p>
    <w:p w:rsidR="00AB7D64" w:rsidRPr="00AB7D64" w:rsidRDefault="00AB7D64" w:rsidP="00980876">
      <w:pPr>
        <w:widowControl w:val="0"/>
        <w:numPr>
          <w:ilvl w:val="1"/>
          <w:numId w:val="665"/>
        </w:numPr>
        <w:tabs>
          <w:tab w:val="num" w:pos="709"/>
          <w:tab w:val="num" w:pos="2069"/>
        </w:tabs>
        <w:spacing w:before="120" w:after="120" w:line="240" w:lineRule="auto"/>
        <w:ind w:left="851" w:hanging="425"/>
        <w:jc w:val="both"/>
        <w:rPr>
          <w:rFonts w:ascii="Times New Roman" w:eastAsia="Times New Roman" w:hAnsi="Times New Roman" w:cs="Times New Roman"/>
          <w:bCs/>
        </w:rPr>
      </w:pPr>
      <w:r w:rsidRPr="00AB7D64">
        <w:rPr>
          <w:rFonts w:ascii="Times New Roman" w:eastAsia="Times New Roman" w:hAnsi="Times New Roman" w:cs="Times New Roman"/>
          <w:bCs/>
        </w:rPr>
        <w:t>össz óraszám/félév:</w:t>
      </w:r>
    </w:p>
    <w:p w:rsidR="00AB7D64" w:rsidRPr="00AB7D64" w:rsidRDefault="00AB7D64" w:rsidP="00980876">
      <w:pPr>
        <w:widowControl w:val="0"/>
        <w:numPr>
          <w:ilvl w:val="2"/>
          <w:numId w:val="665"/>
        </w:numPr>
        <w:tabs>
          <w:tab w:val="num" w:pos="709"/>
          <w:tab w:val="num" w:pos="1134"/>
        </w:tabs>
        <w:spacing w:after="0" w:line="240" w:lineRule="auto"/>
        <w:ind w:left="992" w:hanging="425"/>
        <w:jc w:val="both"/>
        <w:rPr>
          <w:rFonts w:ascii="Times New Roman" w:eastAsia="Times New Roman" w:hAnsi="Times New Roman" w:cs="Times New Roman"/>
          <w:bCs/>
        </w:rPr>
      </w:pPr>
      <w:r w:rsidRPr="00AB7D64">
        <w:rPr>
          <w:rFonts w:ascii="Times New Roman" w:eastAsia="Times New Roman" w:hAnsi="Times New Roman" w:cs="Times New Roman"/>
          <w:bCs/>
        </w:rPr>
        <w:t>nappali munkarend: 70 (42 EA + 0 SZ + 28 GY)</w:t>
      </w:r>
    </w:p>
    <w:p w:rsidR="00AB7D64" w:rsidRPr="00AB7D64" w:rsidRDefault="00AB7D64" w:rsidP="00980876">
      <w:pPr>
        <w:widowControl w:val="0"/>
        <w:numPr>
          <w:ilvl w:val="2"/>
          <w:numId w:val="665"/>
        </w:numPr>
        <w:tabs>
          <w:tab w:val="num" w:pos="709"/>
          <w:tab w:val="num" w:pos="1134"/>
        </w:tabs>
        <w:spacing w:after="0" w:line="240" w:lineRule="auto"/>
        <w:ind w:left="992" w:hanging="425"/>
        <w:jc w:val="both"/>
        <w:rPr>
          <w:rFonts w:ascii="Times New Roman" w:eastAsia="Times New Roman" w:hAnsi="Times New Roman" w:cs="Times New Roman"/>
          <w:bCs/>
        </w:rPr>
      </w:pPr>
      <w:r w:rsidRPr="00AB7D64">
        <w:rPr>
          <w:rFonts w:ascii="Times New Roman" w:eastAsia="Times New Roman" w:hAnsi="Times New Roman" w:cs="Times New Roman"/>
          <w:bCs/>
        </w:rPr>
        <w:t>levelező munkarend: - (- EA + - SZ + - GY)</w:t>
      </w:r>
    </w:p>
    <w:p w:rsidR="00AB7D64" w:rsidRPr="00AB7D64" w:rsidRDefault="00AB7D64" w:rsidP="00980876">
      <w:pPr>
        <w:widowControl w:val="0"/>
        <w:numPr>
          <w:ilvl w:val="1"/>
          <w:numId w:val="665"/>
        </w:numPr>
        <w:tabs>
          <w:tab w:val="num" w:pos="709"/>
          <w:tab w:val="num" w:pos="2069"/>
        </w:tabs>
        <w:spacing w:before="120" w:after="120" w:line="240" w:lineRule="auto"/>
        <w:ind w:left="851" w:hanging="425"/>
        <w:jc w:val="both"/>
        <w:rPr>
          <w:rFonts w:ascii="Times New Roman" w:eastAsia="Times New Roman" w:hAnsi="Times New Roman" w:cs="Times New Roman"/>
          <w:bCs/>
        </w:rPr>
      </w:pPr>
      <w:r w:rsidRPr="00AB7D64">
        <w:rPr>
          <w:rFonts w:ascii="Times New Roman" w:eastAsia="Times New Roman" w:hAnsi="Times New Roman" w:cs="Times New Roman"/>
          <w:bCs/>
        </w:rPr>
        <w:t>heti óraszám - nappali munkarend: 5 (3+2)</w:t>
      </w:r>
    </w:p>
    <w:p w:rsidR="00AB7D64" w:rsidRPr="00AB7D64" w:rsidRDefault="00AB7D64" w:rsidP="00980876">
      <w:pPr>
        <w:widowControl w:val="0"/>
        <w:numPr>
          <w:ilvl w:val="1"/>
          <w:numId w:val="665"/>
        </w:numPr>
        <w:tabs>
          <w:tab w:val="num" w:pos="709"/>
          <w:tab w:val="num" w:pos="2069"/>
        </w:tabs>
        <w:spacing w:before="120" w:after="120" w:line="240" w:lineRule="auto"/>
        <w:ind w:left="851" w:hanging="425"/>
        <w:jc w:val="both"/>
        <w:rPr>
          <w:rFonts w:ascii="Times New Roman" w:eastAsia="Times New Roman" w:hAnsi="Times New Roman" w:cs="Times New Roman"/>
          <w:bCs/>
        </w:rPr>
      </w:pPr>
      <w:r w:rsidRPr="00AB7D64">
        <w:rPr>
          <w:rFonts w:ascii="Times New Roman" w:eastAsia="Calibri" w:hAnsi="Times New Roman" w:cs="Times New Roman"/>
        </w:rPr>
        <w:t>Az ismeret átadásában alkalmazandó további sajátos módok, jellemzők: Az ismeretek feldolgozása vegyes tanulási program (blended learning) alapján történik.</w:t>
      </w:r>
    </w:p>
    <w:p w:rsidR="00AB7D64" w:rsidRPr="00AB7D64" w:rsidRDefault="00AB7D64" w:rsidP="00980876">
      <w:pPr>
        <w:widowControl w:val="0"/>
        <w:numPr>
          <w:ilvl w:val="0"/>
          <w:numId w:val="665"/>
        </w:numPr>
        <w:spacing w:before="120" w:after="120" w:line="240" w:lineRule="auto"/>
        <w:ind w:left="426" w:hanging="142"/>
        <w:jc w:val="both"/>
        <w:rPr>
          <w:rFonts w:ascii="Times New Roman" w:eastAsia="Times New Roman" w:hAnsi="Times New Roman" w:cs="Times New Roman"/>
          <w:bCs/>
        </w:rPr>
      </w:pPr>
      <w:r w:rsidRPr="00AB7D64">
        <w:rPr>
          <w:rFonts w:ascii="Times New Roman" w:eastAsia="Times New Roman" w:hAnsi="Times New Roman" w:cs="Times New Roman"/>
          <w:b/>
          <w:bCs/>
        </w:rPr>
        <w:t xml:space="preserve">A tantárgy szakmai tartalma (magyarul): </w:t>
      </w:r>
      <w:r w:rsidRPr="00AB7D64">
        <w:rPr>
          <w:rFonts w:ascii="Times New Roman" w:eastAsia="Times New Roman" w:hAnsi="Times New Roman" w:cs="Times New Roman"/>
          <w:bCs/>
          <w:lang w:eastAsia="hu-HU"/>
        </w:rPr>
        <w:t>Alapfogalmak, elméleti és valóságos körfolyamatok. Két- és négyütemű benzin- és dízelmotorok működése. Gázturbina és Wankel motor működése. Belsőégésű motorok jellemzői, fő méretei, jelleggörbéi. Motorok felépítése, a motorfékezés folyamata. Forgattyús mechanizmus szerkezete. Gázerők, tömegerők hatása. Motorok hengerfej, henger és motortömb kialakításai, motorok töltetcsere vezérlése. Változtatható paraméterű motorvezérlő rendszerek. Hűtőrendszer feladata, felépítése, hő- és áramlástani jellemzői. Előmelegítő rendszerek, hűtőrendszer méretezési elvei. Kenés feladata, kenőrendszer felépítése, működése és típusai. A motorirányítás alapelemei. A motorvezérlés kapcsolati rendszere. A vezérlőegység működése. Motor üzemállapotok vezérlése és szabályozása. További ECU-funkciók.</w:t>
      </w:r>
    </w:p>
    <w:p w:rsidR="00AB7D64" w:rsidRPr="00AB7D64" w:rsidRDefault="00AB7D64" w:rsidP="00AB7D64">
      <w:pPr>
        <w:widowControl w:val="0"/>
        <w:spacing w:before="120" w:after="120" w:line="240" w:lineRule="auto"/>
        <w:ind w:left="426"/>
        <w:jc w:val="both"/>
        <w:rPr>
          <w:rFonts w:ascii="Times New Roman" w:eastAsia="Times New Roman" w:hAnsi="Times New Roman" w:cs="Times New Roman"/>
          <w:bCs/>
          <w:lang w:val="en-GB"/>
        </w:rPr>
      </w:pPr>
      <w:r w:rsidRPr="00AB7D64">
        <w:rPr>
          <w:rFonts w:ascii="Times New Roman" w:eastAsia="Times New Roman" w:hAnsi="Times New Roman" w:cs="Times New Roman"/>
          <w:b/>
          <w:bCs/>
        </w:rPr>
        <w:t>A tantárgy szakmai tartalma (angolul) (</w:t>
      </w:r>
      <w:r w:rsidRPr="00AB7D64">
        <w:rPr>
          <w:rFonts w:ascii="Times New Roman" w:eastAsia="Times New Roman" w:hAnsi="Times New Roman" w:cs="Times New Roman"/>
          <w:b/>
          <w:bCs/>
          <w:lang w:val="en-US"/>
        </w:rPr>
        <w:t>Course description</w:t>
      </w:r>
      <w:r w:rsidRPr="00AB7D64">
        <w:rPr>
          <w:rFonts w:ascii="Times New Roman" w:eastAsia="Times New Roman" w:hAnsi="Times New Roman" w:cs="Times New Roman"/>
          <w:b/>
          <w:bCs/>
        </w:rPr>
        <w:t xml:space="preserve">): </w:t>
      </w:r>
      <w:r w:rsidRPr="00AB7D64">
        <w:rPr>
          <w:rFonts w:ascii="Times New Roman" w:eastAsia="Times New Roman" w:hAnsi="Times New Roman" w:cs="Times New Roman"/>
          <w:bCs/>
          <w:lang w:eastAsia="hu-HU"/>
        </w:rPr>
        <w:t>Basic terms, theoretical and realistic cycles. Operation of two- and four-stroke petrol, diesel engines, gas turbine and Wankel engine. Main dimensions, typical values and characteristic curves of internal combustion engines. Engine structure, the process of engine braking. Structure of the crankshaft mechanism. Impact of gas forces and mass forces. Structure of cylinder head, cylinder and engine block, control of gas exchange. Variable valve timing. The function, structure, heat and flow properties of the cooling system. Design principles of preheating systems, cooling system. Task, structure, operation and types of lubrication system. Basic elements of motor control. Engine control connection system.</w:t>
      </w:r>
      <w:r w:rsidRPr="00AB7D64">
        <w:rPr>
          <w:rFonts w:ascii="Calibri" w:eastAsia="Calibri" w:hAnsi="Calibri" w:cs="Times New Roman"/>
        </w:rPr>
        <w:t xml:space="preserve"> </w:t>
      </w:r>
      <w:r w:rsidRPr="00AB7D64">
        <w:rPr>
          <w:rFonts w:ascii="Times New Roman" w:eastAsia="Times New Roman" w:hAnsi="Times New Roman" w:cs="Times New Roman"/>
          <w:bCs/>
          <w:lang w:eastAsia="hu-HU"/>
        </w:rPr>
        <w:t>Operation of the control unit. Control and regulation of engine operating conditions. Additional ECU functions.</w:t>
      </w:r>
    </w:p>
    <w:p w:rsidR="00AB7D64" w:rsidRPr="00AB7D64" w:rsidRDefault="00AB7D64" w:rsidP="00980876">
      <w:pPr>
        <w:widowControl w:val="0"/>
        <w:numPr>
          <w:ilvl w:val="0"/>
          <w:numId w:val="665"/>
        </w:numPr>
        <w:spacing w:before="120" w:after="120" w:line="240" w:lineRule="auto"/>
        <w:contextualSpacing/>
        <w:jc w:val="both"/>
        <w:rPr>
          <w:rFonts w:ascii="Times New Roman" w:eastAsia="Times New Roman" w:hAnsi="Times New Roman" w:cs="Times New Roman"/>
          <w:bCs/>
        </w:rPr>
      </w:pPr>
      <w:r w:rsidRPr="00AB7D64">
        <w:rPr>
          <w:rFonts w:ascii="Times New Roman" w:eastAsia="Times New Roman" w:hAnsi="Times New Roman" w:cs="Times New Roman"/>
          <w:b/>
          <w:bCs/>
        </w:rPr>
        <w:t xml:space="preserve">Elérendő kompetenciák (magyarul): </w:t>
      </w:r>
    </w:p>
    <w:p w:rsidR="00AB7D64" w:rsidRPr="00AB7D64" w:rsidRDefault="00AB7D64" w:rsidP="00AB7D64">
      <w:pPr>
        <w:widowControl w:val="0"/>
        <w:spacing w:before="120" w:after="120" w:line="240" w:lineRule="auto"/>
        <w:ind w:left="426"/>
        <w:jc w:val="both"/>
        <w:rPr>
          <w:rFonts w:ascii="Times New Roman" w:eastAsia="Times New Roman" w:hAnsi="Times New Roman" w:cs="Times New Roman"/>
          <w:bCs/>
        </w:rPr>
      </w:pPr>
      <w:r w:rsidRPr="00AB7D64">
        <w:rPr>
          <w:rFonts w:ascii="Times New Roman" w:eastAsia="Times New Roman" w:hAnsi="Times New Roman" w:cs="Times New Roman"/>
          <w:b/>
          <w:bCs/>
        </w:rPr>
        <w:t>Tudása:</w:t>
      </w:r>
    </w:p>
    <w:p w:rsidR="00AB7D64" w:rsidRPr="00AB7D64" w:rsidRDefault="00AB7D64" w:rsidP="00980876">
      <w:pPr>
        <w:widowControl w:val="0"/>
        <w:numPr>
          <w:ilvl w:val="0"/>
          <w:numId w:val="657"/>
        </w:numPr>
        <w:spacing w:after="0" w:line="240" w:lineRule="auto"/>
        <w:ind w:left="993"/>
        <w:contextualSpacing/>
        <w:jc w:val="both"/>
        <w:rPr>
          <w:rFonts w:ascii="Times New Roman" w:eastAsia="Times New Roman" w:hAnsi="Times New Roman" w:cs="Times New Roman"/>
          <w:bCs/>
        </w:rPr>
      </w:pPr>
      <w:r w:rsidRPr="00AB7D64">
        <w:rPr>
          <w:rFonts w:ascii="Times New Roman" w:eastAsia="Times New Roman" w:hAnsi="Times New Roman" w:cs="Times New Roman"/>
          <w:bCs/>
        </w:rPr>
        <w:t>Ismeri a páncélos- és gépjárműtechnikai eszközök felépítését, berendezéseit, azok működését és üzemeltetési rendjét.</w:t>
      </w:r>
    </w:p>
    <w:p w:rsidR="00AB7D64" w:rsidRPr="00AB7D64" w:rsidRDefault="00AB7D64" w:rsidP="00980876">
      <w:pPr>
        <w:widowControl w:val="0"/>
        <w:numPr>
          <w:ilvl w:val="0"/>
          <w:numId w:val="657"/>
        </w:numPr>
        <w:spacing w:after="0" w:line="240" w:lineRule="auto"/>
        <w:ind w:left="993"/>
        <w:contextualSpacing/>
        <w:jc w:val="both"/>
        <w:rPr>
          <w:rFonts w:ascii="Times New Roman" w:eastAsia="Times New Roman" w:hAnsi="Times New Roman" w:cs="Times New Roman"/>
          <w:bCs/>
        </w:rPr>
      </w:pPr>
      <w:r w:rsidRPr="00AB7D64">
        <w:rPr>
          <w:rFonts w:ascii="Times New Roman" w:eastAsia="Times New Roman" w:hAnsi="Times New Roman" w:cs="Times New Roman"/>
          <w:bCs/>
        </w:rPr>
        <w:lastRenderedPageBreak/>
        <w:t>Ismeri a páncélos- és gépjárműtechnikai eszközök szerkezeti részeinek igénybevételét. Ismeri a legújabb gépjárműtechnikai megoldásokat.</w:t>
      </w:r>
    </w:p>
    <w:p w:rsidR="00AB7D64" w:rsidRPr="00AB7D64" w:rsidRDefault="00AB7D64" w:rsidP="00980876">
      <w:pPr>
        <w:widowControl w:val="0"/>
        <w:numPr>
          <w:ilvl w:val="0"/>
          <w:numId w:val="657"/>
        </w:numPr>
        <w:spacing w:after="0" w:line="240" w:lineRule="auto"/>
        <w:ind w:left="993"/>
        <w:contextualSpacing/>
        <w:jc w:val="both"/>
        <w:rPr>
          <w:rFonts w:ascii="Times New Roman" w:eastAsia="Calibri" w:hAnsi="Times New Roman" w:cs="Times New Roman"/>
        </w:rPr>
      </w:pPr>
      <w:r w:rsidRPr="00AB7D64">
        <w:rPr>
          <w:rFonts w:ascii="Times New Roman" w:eastAsia="Times New Roman" w:hAnsi="Times New Roman" w:cs="Times New Roman"/>
          <w:bCs/>
        </w:rPr>
        <w:t>Ismeri a páncélos- és gépjárműtechnikai eszközök fődarabjainak és részegységeinek karbantartását, ellenőrzését, az egyes szerelési egységek hibáinak behatárolási és javítási módjait.</w:t>
      </w:r>
    </w:p>
    <w:p w:rsidR="00AB7D64" w:rsidRPr="00AB7D64" w:rsidRDefault="00AB7D64" w:rsidP="00980876">
      <w:pPr>
        <w:widowControl w:val="0"/>
        <w:numPr>
          <w:ilvl w:val="0"/>
          <w:numId w:val="657"/>
        </w:numPr>
        <w:spacing w:after="0" w:line="240" w:lineRule="auto"/>
        <w:ind w:left="993"/>
        <w:contextualSpacing/>
        <w:jc w:val="both"/>
        <w:rPr>
          <w:rFonts w:ascii="Times New Roman" w:eastAsia="Times New Roman" w:hAnsi="Times New Roman" w:cs="Times New Roman"/>
          <w:bCs/>
        </w:rPr>
      </w:pPr>
      <w:r w:rsidRPr="00AB7D64">
        <w:rPr>
          <w:rFonts w:ascii="Times New Roman" w:eastAsia="Times New Roman" w:hAnsi="Times New Roman" w:cs="Times New Roman"/>
          <w:bCs/>
        </w:rPr>
        <w:t>Ismeri a szakfeladatainak ellátásához szükséges munkavédelmi rendszabályokat. Megfelelő mélységű és spektrumú páncélos- és gépjárműtechnikai típusismerettel rendelkezik.</w:t>
      </w:r>
    </w:p>
    <w:p w:rsidR="00AB7D64" w:rsidRPr="00AB7D64" w:rsidRDefault="00AB7D64" w:rsidP="00AB7D64">
      <w:pPr>
        <w:widowControl w:val="0"/>
        <w:spacing w:before="120" w:after="120" w:line="240" w:lineRule="auto"/>
        <w:ind w:left="426"/>
        <w:jc w:val="both"/>
        <w:rPr>
          <w:rFonts w:ascii="Times New Roman" w:eastAsia="Times New Roman" w:hAnsi="Times New Roman" w:cs="Times New Roman"/>
          <w:bCs/>
        </w:rPr>
      </w:pPr>
      <w:r w:rsidRPr="00AB7D64">
        <w:rPr>
          <w:rFonts w:ascii="Times New Roman" w:eastAsia="Times New Roman" w:hAnsi="Times New Roman" w:cs="Times New Roman"/>
          <w:b/>
          <w:bCs/>
        </w:rPr>
        <w:t>Képességei:</w:t>
      </w:r>
    </w:p>
    <w:p w:rsidR="00AB7D64" w:rsidRPr="00AB7D64" w:rsidRDefault="00AB7D64" w:rsidP="00980876">
      <w:pPr>
        <w:widowControl w:val="0"/>
        <w:numPr>
          <w:ilvl w:val="0"/>
          <w:numId w:val="658"/>
        </w:numPr>
        <w:spacing w:after="0" w:line="240" w:lineRule="auto"/>
        <w:ind w:left="993"/>
        <w:contextualSpacing/>
        <w:jc w:val="both"/>
        <w:rPr>
          <w:rFonts w:ascii="Times New Roman" w:eastAsia="Times New Roman" w:hAnsi="Times New Roman" w:cs="Times New Roman"/>
          <w:bCs/>
        </w:rPr>
      </w:pPr>
      <w:r w:rsidRPr="00AB7D64">
        <w:rPr>
          <w:rFonts w:ascii="Times New Roman" w:eastAsia="Times New Roman" w:hAnsi="Times New Roman" w:cs="Times New Roman"/>
          <w:bCs/>
        </w:rPr>
        <w:t>Képes a szakterületén rendszeresített és használt berendezések és technikai eszközök használatának megszervezésére és hatékony alkalmazására.</w:t>
      </w:r>
    </w:p>
    <w:p w:rsidR="00AB7D64" w:rsidRPr="00AB7D64" w:rsidRDefault="00AB7D64" w:rsidP="00980876">
      <w:pPr>
        <w:widowControl w:val="0"/>
        <w:numPr>
          <w:ilvl w:val="0"/>
          <w:numId w:val="658"/>
        </w:numPr>
        <w:spacing w:after="0" w:line="240" w:lineRule="auto"/>
        <w:ind w:left="993"/>
        <w:contextualSpacing/>
        <w:jc w:val="both"/>
        <w:rPr>
          <w:rFonts w:ascii="Times New Roman" w:eastAsia="Times New Roman" w:hAnsi="Times New Roman" w:cs="Times New Roman"/>
          <w:bCs/>
        </w:rPr>
      </w:pPr>
      <w:r w:rsidRPr="00AB7D64">
        <w:rPr>
          <w:rFonts w:ascii="Times New Roman" w:eastAsia="Times New Roman" w:hAnsi="Times New Roman" w:cs="Times New Roman"/>
          <w:bCs/>
        </w:rPr>
        <w:t>Képes a technológiai utasításoknak megfelelően a páncélos- és gépjárműtechnikai eszközök technikai kiszolgálásának szakszerű végrehajtására, illetve a végrehajtás megszervezésére és ellenőrzésére.</w:t>
      </w:r>
    </w:p>
    <w:p w:rsidR="00AB7D64" w:rsidRPr="00AB7D64" w:rsidRDefault="00AB7D64" w:rsidP="00980876">
      <w:pPr>
        <w:widowControl w:val="0"/>
        <w:numPr>
          <w:ilvl w:val="0"/>
          <w:numId w:val="658"/>
        </w:numPr>
        <w:spacing w:after="0" w:line="240" w:lineRule="auto"/>
        <w:ind w:left="993"/>
        <w:contextualSpacing/>
        <w:jc w:val="both"/>
        <w:rPr>
          <w:rFonts w:ascii="Times New Roman" w:eastAsia="Times New Roman" w:hAnsi="Times New Roman" w:cs="Times New Roman"/>
          <w:bCs/>
        </w:rPr>
      </w:pPr>
      <w:r w:rsidRPr="00AB7D64">
        <w:rPr>
          <w:rFonts w:ascii="Times New Roman" w:eastAsia="Times New Roman" w:hAnsi="Times New Roman" w:cs="Times New Roman"/>
          <w:bCs/>
        </w:rPr>
        <w:t>Képes az alegységszinten elvégzendő szükség szerinti javítások megszervezésére, végrehajtására és a végrehajtás ellenőrzésére.</w:t>
      </w:r>
    </w:p>
    <w:p w:rsidR="00AB7D64" w:rsidRPr="00AB7D64" w:rsidRDefault="00AB7D64" w:rsidP="00980876">
      <w:pPr>
        <w:widowControl w:val="0"/>
        <w:numPr>
          <w:ilvl w:val="0"/>
          <w:numId w:val="658"/>
        </w:numPr>
        <w:spacing w:after="0" w:line="240" w:lineRule="auto"/>
        <w:ind w:left="993"/>
        <w:contextualSpacing/>
        <w:jc w:val="both"/>
        <w:rPr>
          <w:rFonts w:ascii="Times New Roman" w:eastAsia="Times New Roman" w:hAnsi="Times New Roman" w:cs="Times New Roman"/>
          <w:bCs/>
        </w:rPr>
      </w:pPr>
      <w:r w:rsidRPr="00AB7D64">
        <w:rPr>
          <w:rFonts w:ascii="Times New Roman" w:eastAsia="Times New Roman" w:hAnsi="Times New Roman" w:cs="Times New Roman"/>
          <w:bCs/>
        </w:rPr>
        <w:t>Képes a páncélos- és gépjárműtechnikai eszközök rendszerben tartását tervezni, szervezni és irányítani.</w:t>
      </w:r>
    </w:p>
    <w:p w:rsidR="00AB7D64" w:rsidRPr="00AB7D64" w:rsidRDefault="00AB7D64" w:rsidP="00980876">
      <w:pPr>
        <w:widowControl w:val="0"/>
        <w:numPr>
          <w:ilvl w:val="0"/>
          <w:numId w:val="658"/>
        </w:numPr>
        <w:spacing w:after="0" w:line="240" w:lineRule="auto"/>
        <w:ind w:left="993"/>
        <w:contextualSpacing/>
        <w:jc w:val="both"/>
        <w:rPr>
          <w:rFonts w:ascii="Times New Roman" w:eastAsia="Times New Roman" w:hAnsi="Times New Roman" w:cs="Times New Roman"/>
          <w:bCs/>
        </w:rPr>
      </w:pPr>
      <w:r w:rsidRPr="00AB7D64">
        <w:rPr>
          <w:rFonts w:ascii="Times New Roman" w:eastAsia="Times New Roman" w:hAnsi="Times New Roman" w:cs="Times New Roman"/>
          <w:bCs/>
        </w:rPr>
        <w:t>Képes a biztonságos munkavégzés feltételeit megteremteni, a biztonságos munkavégzéshez szükséges szabályokat másokkal is betartatni.</w:t>
      </w:r>
    </w:p>
    <w:p w:rsidR="00AB7D64" w:rsidRPr="00AB7D64" w:rsidRDefault="00AB7D64" w:rsidP="00980876">
      <w:pPr>
        <w:widowControl w:val="0"/>
        <w:numPr>
          <w:ilvl w:val="0"/>
          <w:numId w:val="658"/>
        </w:numPr>
        <w:spacing w:after="0" w:line="240" w:lineRule="auto"/>
        <w:ind w:left="993"/>
        <w:contextualSpacing/>
        <w:jc w:val="both"/>
        <w:rPr>
          <w:rFonts w:ascii="Times New Roman" w:eastAsia="Times New Roman" w:hAnsi="Times New Roman" w:cs="Times New Roman"/>
          <w:bCs/>
        </w:rPr>
      </w:pPr>
      <w:r w:rsidRPr="00AB7D64">
        <w:rPr>
          <w:rFonts w:ascii="Times New Roman" w:eastAsia="Times New Roman" w:hAnsi="Times New Roman" w:cs="Times New Roman"/>
          <w:bCs/>
        </w:rPr>
        <w:t>Képes az alárendeltségében levő szakjavító alegység munkájának a megtervezésére, megszervezésére, irányítására és ellenőrzésére.</w:t>
      </w:r>
    </w:p>
    <w:p w:rsidR="00AB7D64" w:rsidRPr="00AB7D64" w:rsidRDefault="00AB7D64" w:rsidP="00980876">
      <w:pPr>
        <w:widowControl w:val="0"/>
        <w:numPr>
          <w:ilvl w:val="0"/>
          <w:numId w:val="658"/>
        </w:numPr>
        <w:spacing w:after="0" w:line="240" w:lineRule="auto"/>
        <w:ind w:left="993"/>
        <w:contextualSpacing/>
        <w:jc w:val="both"/>
        <w:rPr>
          <w:rFonts w:ascii="Times New Roman" w:eastAsia="Times New Roman" w:hAnsi="Times New Roman" w:cs="Times New Roman"/>
          <w:bCs/>
        </w:rPr>
      </w:pPr>
      <w:r w:rsidRPr="00AB7D64">
        <w:rPr>
          <w:rFonts w:ascii="Times New Roman" w:eastAsia="Times New Roman" w:hAnsi="Times New Roman" w:cs="Times New Roman"/>
          <w:bCs/>
        </w:rPr>
        <w:t>Képes a megtanultakat felhasználva a szakterületén felmerülő új műszaki információkat megérteni és megtanulni.</w:t>
      </w:r>
    </w:p>
    <w:p w:rsidR="00AB7D64" w:rsidRPr="00AB7D64" w:rsidRDefault="00AB7D64" w:rsidP="00AB7D64">
      <w:pPr>
        <w:widowControl w:val="0"/>
        <w:spacing w:before="120" w:after="120" w:line="240" w:lineRule="auto"/>
        <w:ind w:left="426"/>
        <w:jc w:val="both"/>
        <w:rPr>
          <w:rFonts w:ascii="Times New Roman" w:eastAsia="Times New Roman" w:hAnsi="Times New Roman" w:cs="Times New Roman"/>
          <w:bCs/>
        </w:rPr>
      </w:pPr>
      <w:r w:rsidRPr="00AB7D64">
        <w:rPr>
          <w:rFonts w:ascii="Times New Roman" w:eastAsia="Times New Roman" w:hAnsi="Times New Roman" w:cs="Times New Roman"/>
          <w:b/>
          <w:bCs/>
        </w:rPr>
        <w:t>Attitűdje:</w:t>
      </w:r>
    </w:p>
    <w:p w:rsidR="00AB7D64" w:rsidRPr="00AB7D64" w:rsidRDefault="00AB7D64" w:rsidP="00980876">
      <w:pPr>
        <w:widowControl w:val="0"/>
        <w:numPr>
          <w:ilvl w:val="0"/>
          <w:numId w:val="659"/>
        </w:numPr>
        <w:spacing w:after="0" w:line="240" w:lineRule="auto"/>
        <w:ind w:left="993"/>
        <w:contextualSpacing/>
        <w:jc w:val="both"/>
        <w:rPr>
          <w:rFonts w:ascii="Times New Roman" w:eastAsia="Times New Roman" w:hAnsi="Times New Roman" w:cs="Times New Roman"/>
          <w:bCs/>
        </w:rPr>
      </w:pPr>
      <w:r w:rsidRPr="00AB7D64">
        <w:rPr>
          <w:rFonts w:ascii="Times New Roman" w:eastAsia="Times New Roman" w:hAnsi="Times New Roman" w:cs="Times New Roman"/>
          <w:bCs/>
        </w:rPr>
        <w:t>Nyitott a páncélos- és gépjárműtechnikával kapcsolatos szakmai ismereteinek gyarapítása iránt, folyamatos önképzési igény jellemzi.</w:t>
      </w:r>
    </w:p>
    <w:p w:rsidR="00AB7D64" w:rsidRPr="00AB7D64" w:rsidRDefault="00AB7D64" w:rsidP="00980876">
      <w:pPr>
        <w:widowControl w:val="0"/>
        <w:numPr>
          <w:ilvl w:val="0"/>
          <w:numId w:val="659"/>
        </w:numPr>
        <w:spacing w:after="0" w:line="240" w:lineRule="auto"/>
        <w:ind w:left="993"/>
        <w:contextualSpacing/>
        <w:jc w:val="both"/>
        <w:rPr>
          <w:rFonts w:ascii="Times New Roman" w:eastAsia="Times New Roman" w:hAnsi="Times New Roman" w:cs="Times New Roman"/>
          <w:bCs/>
        </w:rPr>
      </w:pPr>
      <w:r w:rsidRPr="00AB7D64">
        <w:rPr>
          <w:rFonts w:ascii="Times New Roman" w:eastAsia="Times New Roman" w:hAnsi="Times New Roman" w:cs="Times New Roman"/>
          <w:bCs/>
        </w:rPr>
        <w:t>Törekszik munkája során a vonatkozó szabályok betartására és betartatására.</w:t>
      </w:r>
    </w:p>
    <w:p w:rsidR="00AB7D64" w:rsidRPr="00AB7D64" w:rsidRDefault="00AB7D64" w:rsidP="00980876">
      <w:pPr>
        <w:widowControl w:val="0"/>
        <w:numPr>
          <w:ilvl w:val="0"/>
          <w:numId w:val="659"/>
        </w:numPr>
        <w:spacing w:after="0" w:line="240" w:lineRule="auto"/>
        <w:ind w:left="993"/>
        <w:contextualSpacing/>
        <w:jc w:val="both"/>
        <w:rPr>
          <w:rFonts w:ascii="Times New Roman" w:eastAsia="Times New Roman" w:hAnsi="Times New Roman" w:cs="Times New Roman"/>
          <w:bCs/>
        </w:rPr>
      </w:pPr>
      <w:r w:rsidRPr="00AB7D64">
        <w:rPr>
          <w:rFonts w:ascii="Times New Roman" w:eastAsia="Times New Roman" w:hAnsi="Times New Roman" w:cs="Times New Roman"/>
          <w:bCs/>
        </w:rPr>
        <w:t>Munkáját és emberi kapcsolatait a megbízhatóság jellemzi.</w:t>
      </w:r>
    </w:p>
    <w:p w:rsidR="00AB7D64" w:rsidRPr="00AB7D64" w:rsidRDefault="00AB7D64" w:rsidP="00980876">
      <w:pPr>
        <w:widowControl w:val="0"/>
        <w:numPr>
          <w:ilvl w:val="0"/>
          <w:numId w:val="659"/>
        </w:numPr>
        <w:spacing w:after="0" w:line="240" w:lineRule="auto"/>
        <w:ind w:left="993"/>
        <w:contextualSpacing/>
        <w:jc w:val="both"/>
        <w:rPr>
          <w:rFonts w:ascii="Times New Roman" w:eastAsia="Times New Roman" w:hAnsi="Times New Roman" w:cs="Times New Roman"/>
          <w:bCs/>
        </w:rPr>
      </w:pPr>
      <w:r w:rsidRPr="00AB7D64">
        <w:rPr>
          <w:rFonts w:ascii="Times New Roman" w:eastAsia="Times New Roman" w:hAnsi="Times New Roman" w:cs="Times New Roman"/>
          <w:bCs/>
        </w:rPr>
        <w:t>Nyitott a haditechnikai szakterület új eredményei felé, törekszik azok megismerésére.</w:t>
      </w:r>
    </w:p>
    <w:p w:rsidR="00AB7D64" w:rsidRPr="00AB7D64" w:rsidRDefault="00AB7D64" w:rsidP="00AB7D64">
      <w:pPr>
        <w:widowControl w:val="0"/>
        <w:spacing w:before="120" w:after="120" w:line="240" w:lineRule="auto"/>
        <w:ind w:left="426"/>
        <w:jc w:val="both"/>
        <w:rPr>
          <w:rFonts w:ascii="Times New Roman" w:eastAsia="Times New Roman" w:hAnsi="Times New Roman" w:cs="Times New Roman"/>
          <w:bCs/>
        </w:rPr>
      </w:pPr>
      <w:r w:rsidRPr="00AB7D64">
        <w:rPr>
          <w:rFonts w:ascii="Times New Roman" w:eastAsia="Times New Roman" w:hAnsi="Times New Roman" w:cs="Times New Roman"/>
          <w:b/>
          <w:bCs/>
        </w:rPr>
        <w:t>Autonómiája és felelőssége:</w:t>
      </w:r>
    </w:p>
    <w:p w:rsidR="00AB7D64" w:rsidRPr="00AB7D64" w:rsidRDefault="00AB7D64" w:rsidP="00980876">
      <w:pPr>
        <w:widowControl w:val="0"/>
        <w:numPr>
          <w:ilvl w:val="0"/>
          <w:numId w:val="660"/>
        </w:numPr>
        <w:spacing w:after="0" w:line="240" w:lineRule="auto"/>
        <w:ind w:left="993"/>
        <w:contextualSpacing/>
        <w:jc w:val="both"/>
        <w:rPr>
          <w:rFonts w:ascii="Times New Roman" w:eastAsia="Times New Roman" w:hAnsi="Times New Roman" w:cs="Times New Roman"/>
          <w:bCs/>
        </w:rPr>
      </w:pPr>
      <w:r w:rsidRPr="00AB7D64">
        <w:rPr>
          <w:rFonts w:ascii="Times New Roman" w:eastAsia="Times New Roman" w:hAnsi="Times New Roman" w:cs="Times New Roman"/>
          <w:bCs/>
        </w:rPr>
        <w:t>Képes alárendeltjeinek feladatait megszervezni és meghatározni, valamint elvégzett munkájukat szakmai szempontok alapján ellenőrizni.</w:t>
      </w:r>
    </w:p>
    <w:p w:rsidR="00AB7D64" w:rsidRPr="00AB7D64" w:rsidRDefault="00AB7D64" w:rsidP="00980876">
      <w:pPr>
        <w:widowControl w:val="0"/>
        <w:numPr>
          <w:ilvl w:val="0"/>
          <w:numId w:val="660"/>
        </w:numPr>
        <w:spacing w:after="0" w:line="240" w:lineRule="auto"/>
        <w:ind w:left="993"/>
        <w:contextualSpacing/>
        <w:jc w:val="both"/>
        <w:rPr>
          <w:rFonts w:ascii="Times New Roman" w:eastAsia="Times New Roman" w:hAnsi="Times New Roman" w:cs="Times New Roman"/>
          <w:bCs/>
        </w:rPr>
      </w:pPr>
      <w:r w:rsidRPr="00AB7D64">
        <w:rPr>
          <w:rFonts w:ascii="Times New Roman" w:eastAsia="Times New Roman" w:hAnsi="Times New Roman" w:cs="Times New Roman"/>
          <w:bCs/>
        </w:rPr>
        <w:t>A páncélos- és gépjárműtechnikai eszközök technikai kiszolgálása és javítása során képes elemzések végrehajtása után a legmegfelelőbb döntéseket meghozni, amely döntésekért a szakmai felelősséget vállalja.</w:t>
      </w:r>
    </w:p>
    <w:p w:rsidR="00AB7D64" w:rsidRPr="00AB7D64" w:rsidRDefault="00AB7D64" w:rsidP="00980876">
      <w:pPr>
        <w:widowControl w:val="0"/>
        <w:numPr>
          <w:ilvl w:val="0"/>
          <w:numId w:val="660"/>
        </w:numPr>
        <w:spacing w:after="0" w:line="240" w:lineRule="auto"/>
        <w:ind w:left="993"/>
        <w:contextualSpacing/>
        <w:jc w:val="both"/>
        <w:rPr>
          <w:rFonts w:ascii="Times New Roman" w:eastAsia="Times New Roman" w:hAnsi="Times New Roman" w:cs="Times New Roman"/>
          <w:bCs/>
        </w:rPr>
      </w:pPr>
      <w:r w:rsidRPr="00AB7D64">
        <w:rPr>
          <w:rFonts w:ascii="Times New Roman" w:eastAsia="Times New Roman" w:hAnsi="Times New Roman" w:cs="Times New Roman"/>
          <w:bCs/>
        </w:rPr>
        <w:t>Együttműködés és felelősség jellemzi szakterületének szakembereivel szemben.</w:t>
      </w:r>
    </w:p>
    <w:p w:rsidR="00AB7D64" w:rsidRPr="00AB7D64" w:rsidRDefault="00AB7D64" w:rsidP="00980876">
      <w:pPr>
        <w:widowControl w:val="0"/>
        <w:numPr>
          <w:ilvl w:val="0"/>
          <w:numId w:val="660"/>
        </w:numPr>
        <w:spacing w:after="0" w:line="240" w:lineRule="auto"/>
        <w:ind w:left="993"/>
        <w:contextualSpacing/>
        <w:jc w:val="both"/>
        <w:rPr>
          <w:rFonts w:ascii="Times New Roman" w:eastAsia="Times New Roman" w:hAnsi="Times New Roman" w:cs="Times New Roman"/>
          <w:bCs/>
        </w:rPr>
      </w:pPr>
      <w:r w:rsidRPr="00AB7D64">
        <w:rPr>
          <w:rFonts w:ascii="Times New Roman" w:eastAsia="Times New Roman" w:hAnsi="Times New Roman" w:cs="Times New Roman"/>
          <w:bCs/>
        </w:rPr>
        <w:t>Szakterületén belül képes rendszer-szemléletűen gondolkodni.</w:t>
      </w:r>
    </w:p>
    <w:p w:rsidR="00AB7D64" w:rsidRPr="00AB7D64" w:rsidRDefault="00AB7D64" w:rsidP="00AB7D64">
      <w:pPr>
        <w:widowControl w:val="0"/>
        <w:spacing w:before="120" w:after="120" w:line="240" w:lineRule="auto"/>
        <w:ind w:left="426"/>
        <w:jc w:val="both"/>
        <w:rPr>
          <w:rFonts w:ascii="Times New Roman" w:eastAsia="Times New Roman" w:hAnsi="Times New Roman" w:cs="Times New Roman"/>
          <w:b/>
          <w:bCs/>
          <w:lang w:val="en-US"/>
        </w:rPr>
      </w:pPr>
      <w:r w:rsidRPr="00AB7D64">
        <w:rPr>
          <w:rFonts w:ascii="Times New Roman" w:eastAsia="Times New Roman" w:hAnsi="Times New Roman" w:cs="Times New Roman"/>
          <w:b/>
          <w:bCs/>
        </w:rPr>
        <w:t>Elérendő kompetenciák (angolul) (</w:t>
      </w:r>
      <w:r w:rsidRPr="00AB7D64">
        <w:rPr>
          <w:rFonts w:ascii="Times New Roman" w:eastAsia="Times New Roman" w:hAnsi="Times New Roman" w:cs="Times New Roman"/>
          <w:b/>
          <w:bCs/>
          <w:lang w:val="en-US"/>
        </w:rPr>
        <w:t xml:space="preserve">Competences – English): </w:t>
      </w:r>
    </w:p>
    <w:p w:rsidR="00AB7D64" w:rsidRPr="00AB7D64" w:rsidRDefault="00AB7D64" w:rsidP="00AB7D64">
      <w:pPr>
        <w:widowControl w:val="0"/>
        <w:spacing w:before="120" w:after="120" w:line="240" w:lineRule="auto"/>
        <w:ind w:left="426"/>
        <w:jc w:val="both"/>
        <w:rPr>
          <w:rFonts w:ascii="Times New Roman" w:eastAsia="Times New Roman" w:hAnsi="Times New Roman" w:cs="Times New Roman"/>
          <w:lang w:val="en-GB"/>
        </w:rPr>
      </w:pPr>
      <w:r w:rsidRPr="00AB7D64">
        <w:rPr>
          <w:rFonts w:ascii="Times New Roman" w:eastAsia="Times New Roman" w:hAnsi="Times New Roman" w:cs="Times New Roman"/>
          <w:b/>
          <w:lang w:val="en-GB"/>
        </w:rPr>
        <w:t>Knowledge</w:t>
      </w:r>
      <w:r w:rsidRPr="00AB7D64">
        <w:rPr>
          <w:rFonts w:ascii="Times New Roman" w:eastAsia="Times New Roman" w:hAnsi="Times New Roman" w:cs="Times New Roman"/>
          <w:lang w:val="en-GB"/>
        </w:rPr>
        <w:t>:</w:t>
      </w:r>
    </w:p>
    <w:p w:rsidR="00AB7D64" w:rsidRPr="00AB7D64" w:rsidRDefault="00AB7D64" w:rsidP="00980876">
      <w:pPr>
        <w:widowControl w:val="0"/>
        <w:numPr>
          <w:ilvl w:val="0"/>
          <w:numId w:val="661"/>
        </w:numPr>
        <w:spacing w:after="0" w:line="240" w:lineRule="auto"/>
        <w:ind w:left="993"/>
        <w:contextualSpacing/>
        <w:jc w:val="both"/>
        <w:rPr>
          <w:rFonts w:ascii="Times New Roman" w:eastAsia="Times New Roman" w:hAnsi="Times New Roman" w:cs="Times New Roman"/>
          <w:bCs/>
        </w:rPr>
      </w:pPr>
      <w:r w:rsidRPr="00AB7D64">
        <w:rPr>
          <w:rFonts w:ascii="Times New Roman" w:eastAsia="Times New Roman" w:hAnsi="Times New Roman" w:cs="Times New Roman"/>
          <w:bCs/>
        </w:rPr>
        <w:t>Knows the structure and equipment as well as the functioning and operation of armored vehicles.</w:t>
      </w:r>
    </w:p>
    <w:p w:rsidR="00AB7D64" w:rsidRPr="00AB7D64" w:rsidRDefault="00AB7D64" w:rsidP="00980876">
      <w:pPr>
        <w:widowControl w:val="0"/>
        <w:numPr>
          <w:ilvl w:val="0"/>
          <w:numId w:val="661"/>
        </w:numPr>
        <w:spacing w:after="0" w:line="240" w:lineRule="auto"/>
        <w:ind w:left="993"/>
        <w:contextualSpacing/>
        <w:jc w:val="both"/>
        <w:rPr>
          <w:rFonts w:ascii="Times New Roman" w:eastAsia="Times New Roman" w:hAnsi="Times New Roman" w:cs="Times New Roman"/>
          <w:bCs/>
        </w:rPr>
      </w:pPr>
      <w:r w:rsidRPr="00AB7D64">
        <w:rPr>
          <w:rFonts w:ascii="Times New Roman" w:eastAsia="Times New Roman" w:hAnsi="Times New Roman" w:cs="Times New Roman"/>
          <w:bCs/>
        </w:rPr>
        <w:t>Knows the usage circumstances of the structural parts of armored vehicles.</w:t>
      </w:r>
    </w:p>
    <w:p w:rsidR="00AB7D64" w:rsidRPr="00AB7D64" w:rsidRDefault="00AB7D64" w:rsidP="00980876">
      <w:pPr>
        <w:widowControl w:val="0"/>
        <w:numPr>
          <w:ilvl w:val="0"/>
          <w:numId w:val="661"/>
        </w:numPr>
        <w:spacing w:after="0" w:line="240" w:lineRule="auto"/>
        <w:ind w:left="993"/>
        <w:contextualSpacing/>
        <w:jc w:val="both"/>
        <w:rPr>
          <w:rFonts w:ascii="Times New Roman" w:eastAsia="Times New Roman" w:hAnsi="Times New Roman" w:cs="Times New Roman"/>
          <w:bCs/>
        </w:rPr>
      </w:pPr>
      <w:r w:rsidRPr="00AB7D64">
        <w:rPr>
          <w:rFonts w:ascii="Times New Roman" w:eastAsia="Times New Roman" w:hAnsi="Times New Roman" w:cs="Times New Roman"/>
          <w:bCs/>
        </w:rPr>
        <w:t>Knows the latest solutions regarding armored vehicles.</w:t>
      </w:r>
    </w:p>
    <w:p w:rsidR="00AB7D64" w:rsidRPr="00AB7D64" w:rsidRDefault="00AB7D64" w:rsidP="00980876">
      <w:pPr>
        <w:widowControl w:val="0"/>
        <w:numPr>
          <w:ilvl w:val="0"/>
          <w:numId w:val="661"/>
        </w:numPr>
        <w:spacing w:after="0" w:line="240" w:lineRule="auto"/>
        <w:ind w:left="993"/>
        <w:contextualSpacing/>
        <w:jc w:val="both"/>
        <w:rPr>
          <w:rFonts w:ascii="Times New Roman" w:eastAsia="Times New Roman" w:hAnsi="Times New Roman" w:cs="Times New Roman"/>
          <w:bCs/>
        </w:rPr>
      </w:pPr>
      <w:r w:rsidRPr="00AB7D64">
        <w:rPr>
          <w:rFonts w:ascii="Times New Roman" w:eastAsia="Times New Roman" w:hAnsi="Times New Roman" w:cs="Times New Roman"/>
          <w:bCs/>
        </w:rPr>
        <w:t>Knows how to maintain and control the main parts and units of armored vehicles, as well as the ways to identify and repair the defects of certain parts.</w:t>
      </w:r>
    </w:p>
    <w:p w:rsidR="00AB7D64" w:rsidRPr="00AB7D64" w:rsidRDefault="00AB7D64" w:rsidP="00980876">
      <w:pPr>
        <w:widowControl w:val="0"/>
        <w:numPr>
          <w:ilvl w:val="0"/>
          <w:numId w:val="661"/>
        </w:numPr>
        <w:spacing w:after="0" w:line="240" w:lineRule="auto"/>
        <w:ind w:left="993"/>
        <w:contextualSpacing/>
        <w:jc w:val="both"/>
        <w:rPr>
          <w:rFonts w:ascii="Times New Roman" w:eastAsia="Times New Roman" w:hAnsi="Times New Roman" w:cs="Times New Roman"/>
          <w:bCs/>
        </w:rPr>
      </w:pPr>
      <w:r w:rsidRPr="00AB7D64">
        <w:rPr>
          <w:rFonts w:ascii="Times New Roman" w:eastAsia="Times New Roman" w:hAnsi="Times New Roman" w:cs="Times New Roman"/>
          <w:bCs/>
        </w:rPr>
        <w:t>Knows the work safety regulations required for fulfilling his/her professional tasks.</w:t>
      </w:r>
    </w:p>
    <w:p w:rsidR="00AB7D64" w:rsidRPr="00AB7D64" w:rsidRDefault="00AB7D64" w:rsidP="00980876">
      <w:pPr>
        <w:widowControl w:val="0"/>
        <w:numPr>
          <w:ilvl w:val="0"/>
          <w:numId w:val="661"/>
        </w:numPr>
        <w:spacing w:after="0" w:line="240" w:lineRule="auto"/>
        <w:ind w:left="993"/>
        <w:contextualSpacing/>
        <w:jc w:val="both"/>
        <w:rPr>
          <w:rFonts w:ascii="Times New Roman" w:eastAsia="Times New Roman" w:hAnsi="Times New Roman" w:cs="Times New Roman"/>
          <w:lang w:val="en-GB"/>
        </w:rPr>
      </w:pPr>
      <w:r w:rsidRPr="00AB7D64">
        <w:rPr>
          <w:rFonts w:ascii="Times New Roman" w:eastAsia="Times New Roman" w:hAnsi="Times New Roman" w:cs="Times New Roman"/>
          <w:bCs/>
        </w:rPr>
        <w:t>Possesses knowledge of adequate depth and spectrum regarding armored vehicle types.</w:t>
      </w:r>
    </w:p>
    <w:p w:rsidR="00AB7D64" w:rsidRPr="00AB7D64" w:rsidRDefault="00AB7D64" w:rsidP="00AB7D64">
      <w:pPr>
        <w:widowControl w:val="0"/>
        <w:spacing w:before="120" w:after="120" w:line="240" w:lineRule="auto"/>
        <w:ind w:left="426"/>
        <w:jc w:val="both"/>
        <w:rPr>
          <w:rFonts w:ascii="Times New Roman" w:eastAsia="Times New Roman" w:hAnsi="Times New Roman" w:cs="Times New Roman"/>
          <w:lang w:val="en-GB"/>
        </w:rPr>
      </w:pPr>
      <w:r w:rsidRPr="00AB7D64">
        <w:rPr>
          <w:rFonts w:ascii="Times New Roman" w:eastAsia="Times New Roman" w:hAnsi="Times New Roman" w:cs="Times New Roman"/>
          <w:b/>
          <w:lang w:val="en-GB"/>
        </w:rPr>
        <w:t>Capabilities</w:t>
      </w:r>
      <w:r w:rsidRPr="00AB7D64">
        <w:rPr>
          <w:rFonts w:ascii="Times New Roman" w:eastAsia="Times New Roman" w:hAnsi="Times New Roman" w:cs="Times New Roman"/>
          <w:lang w:val="en-GB"/>
        </w:rPr>
        <w:t>:</w:t>
      </w:r>
    </w:p>
    <w:p w:rsidR="00AB7D64" w:rsidRPr="00AB7D64" w:rsidRDefault="00AB7D64" w:rsidP="00980876">
      <w:pPr>
        <w:widowControl w:val="0"/>
        <w:numPr>
          <w:ilvl w:val="0"/>
          <w:numId w:val="662"/>
        </w:numPr>
        <w:spacing w:after="0" w:line="240" w:lineRule="auto"/>
        <w:ind w:left="993"/>
        <w:contextualSpacing/>
        <w:jc w:val="both"/>
        <w:rPr>
          <w:rFonts w:ascii="Times New Roman" w:eastAsia="Times New Roman" w:hAnsi="Times New Roman" w:cs="Times New Roman"/>
          <w:bCs/>
        </w:rPr>
      </w:pPr>
      <w:r w:rsidRPr="00AB7D64">
        <w:rPr>
          <w:rFonts w:ascii="Times New Roman" w:eastAsia="Times New Roman" w:hAnsi="Times New Roman" w:cs="Times New Roman"/>
          <w:bCs/>
        </w:rPr>
        <w:t>Is capable of organizing and efficiently utilizing the usage of the equipment and technical appliances applied in his/her respective specialty field.</w:t>
      </w:r>
    </w:p>
    <w:p w:rsidR="00AB7D64" w:rsidRPr="00AB7D64" w:rsidRDefault="00AB7D64" w:rsidP="00980876">
      <w:pPr>
        <w:widowControl w:val="0"/>
        <w:numPr>
          <w:ilvl w:val="0"/>
          <w:numId w:val="662"/>
        </w:numPr>
        <w:spacing w:after="0" w:line="240" w:lineRule="auto"/>
        <w:ind w:left="993"/>
        <w:contextualSpacing/>
        <w:jc w:val="both"/>
        <w:rPr>
          <w:rFonts w:ascii="Times New Roman" w:eastAsia="Times New Roman" w:hAnsi="Times New Roman" w:cs="Times New Roman"/>
          <w:bCs/>
        </w:rPr>
      </w:pPr>
      <w:r w:rsidRPr="00AB7D64">
        <w:rPr>
          <w:rFonts w:ascii="Times New Roman" w:eastAsia="Times New Roman" w:hAnsi="Times New Roman" w:cs="Times New Roman"/>
          <w:bCs/>
        </w:rPr>
        <w:lastRenderedPageBreak/>
        <w:t>Is capable of professionally executing as well as planning and controlling the execution of the technical maintenance of armored vehicles based on the technological commands.</w:t>
      </w:r>
    </w:p>
    <w:p w:rsidR="00AB7D64" w:rsidRPr="00AB7D64" w:rsidRDefault="00AB7D64" w:rsidP="00980876">
      <w:pPr>
        <w:widowControl w:val="0"/>
        <w:numPr>
          <w:ilvl w:val="0"/>
          <w:numId w:val="662"/>
        </w:numPr>
        <w:spacing w:after="0" w:line="240" w:lineRule="auto"/>
        <w:ind w:left="993"/>
        <w:contextualSpacing/>
        <w:jc w:val="both"/>
        <w:rPr>
          <w:rFonts w:ascii="Times New Roman" w:eastAsia="Times New Roman" w:hAnsi="Times New Roman" w:cs="Times New Roman"/>
          <w:bCs/>
        </w:rPr>
      </w:pPr>
      <w:r w:rsidRPr="00AB7D64">
        <w:rPr>
          <w:rFonts w:ascii="Times New Roman" w:eastAsia="Times New Roman" w:hAnsi="Times New Roman" w:cs="Times New Roman"/>
          <w:bCs/>
        </w:rPr>
        <w:t>Is capable of organizing, executing and controlling the repairs required at a subunit level.</w:t>
      </w:r>
    </w:p>
    <w:p w:rsidR="00AB7D64" w:rsidRPr="00AB7D64" w:rsidRDefault="00AB7D64" w:rsidP="00980876">
      <w:pPr>
        <w:widowControl w:val="0"/>
        <w:numPr>
          <w:ilvl w:val="0"/>
          <w:numId w:val="662"/>
        </w:numPr>
        <w:spacing w:after="0" w:line="240" w:lineRule="auto"/>
        <w:ind w:left="993"/>
        <w:contextualSpacing/>
        <w:jc w:val="both"/>
        <w:rPr>
          <w:rFonts w:ascii="Times New Roman" w:eastAsia="Times New Roman" w:hAnsi="Times New Roman" w:cs="Times New Roman"/>
          <w:bCs/>
        </w:rPr>
      </w:pPr>
      <w:r w:rsidRPr="00AB7D64">
        <w:rPr>
          <w:rFonts w:ascii="Times New Roman" w:eastAsia="Times New Roman" w:hAnsi="Times New Roman" w:cs="Times New Roman"/>
          <w:bCs/>
        </w:rPr>
        <w:t>Is capable of planning, organizing and managing the maintenance and supply of the armored vehicles.</w:t>
      </w:r>
    </w:p>
    <w:p w:rsidR="00AB7D64" w:rsidRPr="00AB7D64" w:rsidRDefault="00AB7D64" w:rsidP="00980876">
      <w:pPr>
        <w:widowControl w:val="0"/>
        <w:numPr>
          <w:ilvl w:val="0"/>
          <w:numId w:val="662"/>
        </w:numPr>
        <w:spacing w:after="0" w:line="240" w:lineRule="auto"/>
        <w:ind w:left="993"/>
        <w:contextualSpacing/>
        <w:jc w:val="both"/>
        <w:rPr>
          <w:rFonts w:ascii="Times New Roman" w:eastAsia="Times New Roman" w:hAnsi="Times New Roman" w:cs="Times New Roman"/>
          <w:bCs/>
        </w:rPr>
      </w:pPr>
      <w:r w:rsidRPr="00AB7D64">
        <w:rPr>
          <w:rFonts w:ascii="Times New Roman" w:eastAsia="Times New Roman" w:hAnsi="Times New Roman" w:cs="Times New Roman"/>
          <w:bCs/>
        </w:rPr>
        <w:t>Is capable of preparing the conditions of a safe working environment and making others adhere to the rules of work safety.</w:t>
      </w:r>
    </w:p>
    <w:p w:rsidR="00AB7D64" w:rsidRPr="00AB7D64" w:rsidRDefault="00AB7D64" w:rsidP="00980876">
      <w:pPr>
        <w:widowControl w:val="0"/>
        <w:numPr>
          <w:ilvl w:val="0"/>
          <w:numId w:val="662"/>
        </w:numPr>
        <w:spacing w:after="0" w:line="240" w:lineRule="auto"/>
        <w:ind w:left="993"/>
        <w:contextualSpacing/>
        <w:jc w:val="both"/>
        <w:rPr>
          <w:rFonts w:ascii="Times New Roman" w:eastAsia="Times New Roman" w:hAnsi="Times New Roman" w:cs="Times New Roman"/>
          <w:bCs/>
        </w:rPr>
      </w:pPr>
      <w:r w:rsidRPr="00AB7D64">
        <w:rPr>
          <w:rFonts w:ascii="Times New Roman" w:eastAsia="Times New Roman" w:hAnsi="Times New Roman" w:cs="Times New Roman"/>
          <w:bCs/>
        </w:rPr>
        <w:t>Is capable of planning, organizing, managing and controlling the work of the maintenance sub-unit under his/her supervision.</w:t>
      </w:r>
    </w:p>
    <w:p w:rsidR="00AB7D64" w:rsidRPr="00AB7D64" w:rsidRDefault="00AB7D64" w:rsidP="00980876">
      <w:pPr>
        <w:widowControl w:val="0"/>
        <w:numPr>
          <w:ilvl w:val="0"/>
          <w:numId w:val="662"/>
        </w:numPr>
        <w:spacing w:after="120" w:line="240" w:lineRule="auto"/>
        <w:ind w:left="992" w:hanging="357"/>
        <w:contextualSpacing/>
        <w:jc w:val="both"/>
        <w:rPr>
          <w:rFonts w:ascii="Times New Roman" w:eastAsia="Times New Roman" w:hAnsi="Times New Roman" w:cs="Times New Roman"/>
          <w:lang w:val="en-GB"/>
        </w:rPr>
      </w:pPr>
      <w:r w:rsidRPr="00AB7D64">
        <w:rPr>
          <w:rFonts w:ascii="Times New Roman" w:eastAsia="Times New Roman" w:hAnsi="Times New Roman" w:cs="Times New Roman"/>
          <w:bCs/>
        </w:rPr>
        <w:t>Is capable of acqiring the understaning of new engineering information arising in his/her field of specialty using the already gained knowldge.</w:t>
      </w:r>
    </w:p>
    <w:p w:rsidR="00AB7D64" w:rsidRPr="00AB7D64" w:rsidRDefault="00AB7D64" w:rsidP="00AB7D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lang w:val="en-GB"/>
        </w:rPr>
      </w:pPr>
      <w:r w:rsidRPr="00AB7D64">
        <w:rPr>
          <w:rFonts w:ascii="Times New Roman" w:eastAsia="Times New Roman" w:hAnsi="Times New Roman" w:cs="Times New Roman"/>
          <w:b/>
          <w:lang w:val="en-GB"/>
        </w:rPr>
        <w:t>Attitude:</w:t>
      </w:r>
    </w:p>
    <w:p w:rsidR="00AB7D64" w:rsidRPr="00AB7D64" w:rsidRDefault="00AB7D64" w:rsidP="00980876">
      <w:pPr>
        <w:numPr>
          <w:ilvl w:val="0"/>
          <w:numId w:val="66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contextualSpacing/>
        <w:jc w:val="both"/>
        <w:rPr>
          <w:rFonts w:ascii="Times New Roman" w:eastAsia="Times New Roman" w:hAnsi="Times New Roman" w:cs="Times New Roman"/>
        </w:rPr>
      </w:pPr>
      <w:r w:rsidRPr="00AB7D64">
        <w:rPr>
          <w:rFonts w:ascii="Times New Roman" w:eastAsia="Times New Roman" w:hAnsi="Times New Roman" w:cs="Times New Roman"/>
        </w:rPr>
        <w:t>He/she is open to widen his/her knowledge regarding armored vehicles and has a constant need for self-education.</w:t>
      </w:r>
    </w:p>
    <w:p w:rsidR="00AB7D64" w:rsidRPr="00AB7D64" w:rsidRDefault="00AB7D64" w:rsidP="00980876">
      <w:pPr>
        <w:numPr>
          <w:ilvl w:val="0"/>
          <w:numId w:val="66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contextualSpacing/>
        <w:jc w:val="both"/>
        <w:rPr>
          <w:rFonts w:ascii="Times New Roman" w:eastAsia="Times New Roman" w:hAnsi="Times New Roman" w:cs="Times New Roman"/>
        </w:rPr>
      </w:pPr>
      <w:r w:rsidRPr="00AB7D64">
        <w:rPr>
          <w:rFonts w:ascii="Times New Roman" w:eastAsia="Times New Roman" w:hAnsi="Times New Roman" w:cs="Times New Roman"/>
        </w:rPr>
        <w:t>He/she aims to adhere to the respective rules and make others follow them as well.</w:t>
      </w:r>
    </w:p>
    <w:p w:rsidR="00AB7D64" w:rsidRPr="00AB7D64" w:rsidRDefault="00AB7D64" w:rsidP="00980876">
      <w:pPr>
        <w:numPr>
          <w:ilvl w:val="0"/>
          <w:numId w:val="66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contextualSpacing/>
        <w:jc w:val="both"/>
        <w:rPr>
          <w:rFonts w:ascii="Times New Roman" w:eastAsia="Times New Roman" w:hAnsi="Times New Roman" w:cs="Times New Roman"/>
        </w:rPr>
      </w:pPr>
      <w:r w:rsidRPr="00AB7D64">
        <w:rPr>
          <w:rFonts w:ascii="Times New Roman" w:eastAsia="Times New Roman" w:hAnsi="Times New Roman" w:cs="Times New Roman"/>
        </w:rPr>
        <w:t>His/her work and relationships can be described by loyalty and reliability.</w:t>
      </w:r>
    </w:p>
    <w:p w:rsidR="00AB7D64" w:rsidRPr="00AB7D64" w:rsidRDefault="00AB7D64" w:rsidP="00980876">
      <w:pPr>
        <w:numPr>
          <w:ilvl w:val="0"/>
          <w:numId w:val="66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contextualSpacing/>
        <w:jc w:val="both"/>
        <w:rPr>
          <w:rFonts w:ascii="Times New Roman" w:eastAsia="Times New Roman" w:hAnsi="Times New Roman" w:cs="Times New Roman"/>
          <w:lang w:val="en-GB"/>
        </w:rPr>
      </w:pPr>
      <w:r w:rsidRPr="00AB7D64">
        <w:rPr>
          <w:rFonts w:ascii="Times New Roman" w:eastAsia="Times New Roman" w:hAnsi="Times New Roman" w:cs="Times New Roman"/>
        </w:rPr>
        <w:t>He/she is open towards the new accomplishments of military technology and aims to gain knowledge of these.</w:t>
      </w:r>
    </w:p>
    <w:p w:rsidR="00AB7D64" w:rsidRPr="00AB7D64" w:rsidRDefault="00AB7D64" w:rsidP="00AB7D64">
      <w:pPr>
        <w:widowControl w:val="0"/>
        <w:spacing w:before="120" w:after="120" w:line="240" w:lineRule="auto"/>
        <w:ind w:left="426"/>
        <w:jc w:val="both"/>
        <w:rPr>
          <w:rFonts w:ascii="Times New Roman" w:eastAsia="Times New Roman" w:hAnsi="Times New Roman" w:cs="Times New Roman"/>
          <w:b/>
          <w:lang w:val="en-GB"/>
        </w:rPr>
      </w:pPr>
      <w:r w:rsidRPr="00AB7D64">
        <w:rPr>
          <w:rFonts w:ascii="Times New Roman" w:eastAsia="Times New Roman" w:hAnsi="Times New Roman" w:cs="Times New Roman"/>
          <w:b/>
          <w:lang w:val="en-GB"/>
        </w:rPr>
        <w:t>Autonomy and responsibility:</w:t>
      </w:r>
    </w:p>
    <w:p w:rsidR="00AB7D64" w:rsidRPr="00AB7D64" w:rsidRDefault="00AB7D64" w:rsidP="00980876">
      <w:pPr>
        <w:widowControl w:val="0"/>
        <w:numPr>
          <w:ilvl w:val="0"/>
          <w:numId w:val="664"/>
        </w:numPr>
        <w:spacing w:after="0" w:line="240" w:lineRule="auto"/>
        <w:ind w:left="993"/>
        <w:contextualSpacing/>
        <w:jc w:val="both"/>
        <w:rPr>
          <w:rFonts w:ascii="Times New Roman" w:eastAsia="Times New Roman" w:hAnsi="Times New Roman" w:cs="Times New Roman"/>
        </w:rPr>
      </w:pPr>
      <w:r w:rsidRPr="00AB7D64">
        <w:rPr>
          <w:rFonts w:ascii="Times New Roman" w:eastAsia="Times New Roman" w:hAnsi="Times New Roman" w:cs="Times New Roman"/>
        </w:rPr>
        <w:t>Is capable of organizing and determining the tasks of his/her subordinates as well as controlling their work based on professional aspects.</w:t>
      </w:r>
    </w:p>
    <w:p w:rsidR="00AB7D64" w:rsidRPr="00AB7D64" w:rsidRDefault="00AB7D64" w:rsidP="00980876">
      <w:pPr>
        <w:widowControl w:val="0"/>
        <w:numPr>
          <w:ilvl w:val="0"/>
          <w:numId w:val="664"/>
        </w:numPr>
        <w:spacing w:after="0" w:line="240" w:lineRule="auto"/>
        <w:ind w:left="993"/>
        <w:contextualSpacing/>
        <w:jc w:val="both"/>
        <w:rPr>
          <w:rFonts w:ascii="Times New Roman" w:eastAsia="Times New Roman" w:hAnsi="Times New Roman" w:cs="Times New Roman"/>
        </w:rPr>
      </w:pPr>
      <w:r w:rsidRPr="00AB7D64">
        <w:rPr>
          <w:rFonts w:ascii="Times New Roman" w:eastAsia="Times New Roman" w:hAnsi="Times New Roman" w:cs="Times New Roman"/>
        </w:rPr>
        <w:t>After doing proper analysation, he/she is capable of making the best decisions and taking professional responsibility during the technical maintenance and repairing of the armored vehicles.</w:t>
      </w:r>
    </w:p>
    <w:p w:rsidR="00AB7D64" w:rsidRPr="00AB7D64" w:rsidRDefault="00AB7D64" w:rsidP="00980876">
      <w:pPr>
        <w:widowControl w:val="0"/>
        <w:numPr>
          <w:ilvl w:val="0"/>
          <w:numId w:val="664"/>
        </w:numPr>
        <w:spacing w:after="0" w:line="240" w:lineRule="auto"/>
        <w:ind w:left="993"/>
        <w:contextualSpacing/>
        <w:jc w:val="both"/>
        <w:rPr>
          <w:rFonts w:ascii="Times New Roman" w:eastAsia="Times New Roman" w:hAnsi="Times New Roman" w:cs="Times New Roman"/>
        </w:rPr>
      </w:pPr>
      <w:r w:rsidRPr="00AB7D64">
        <w:rPr>
          <w:rFonts w:ascii="Times New Roman" w:eastAsia="Times New Roman" w:hAnsi="Times New Roman" w:cs="Times New Roman"/>
        </w:rPr>
        <w:t>He/she is cooperative and responsible towards the professionals of his/her field.</w:t>
      </w:r>
    </w:p>
    <w:p w:rsidR="00AB7D64" w:rsidRPr="00AB7D64" w:rsidRDefault="00AB7D64" w:rsidP="00980876">
      <w:pPr>
        <w:widowControl w:val="0"/>
        <w:numPr>
          <w:ilvl w:val="0"/>
          <w:numId w:val="664"/>
        </w:numPr>
        <w:spacing w:after="0" w:line="240" w:lineRule="auto"/>
        <w:ind w:left="993"/>
        <w:contextualSpacing/>
        <w:jc w:val="both"/>
        <w:rPr>
          <w:rFonts w:ascii="Times New Roman" w:eastAsia="Times New Roman" w:hAnsi="Times New Roman" w:cs="Times New Roman"/>
          <w:lang w:val="en-GB"/>
        </w:rPr>
      </w:pPr>
      <w:r w:rsidRPr="00AB7D64">
        <w:rPr>
          <w:rFonts w:ascii="Times New Roman" w:eastAsia="Times New Roman" w:hAnsi="Times New Roman" w:cs="Times New Roman"/>
        </w:rPr>
        <w:t>Is capable of thinking in a system approach within his/her own field.</w:t>
      </w:r>
    </w:p>
    <w:p w:rsidR="00AB7D64" w:rsidRPr="00AB7D64" w:rsidRDefault="00AB7D64" w:rsidP="00980876">
      <w:pPr>
        <w:widowControl w:val="0"/>
        <w:numPr>
          <w:ilvl w:val="0"/>
          <w:numId w:val="665"/>
        </w:numPr>
        <w:tabs>
          <w:tab w:val="num" w:pos="567"/>
        </w:tabs>
        <w:spacing w:before="120" w:after="120" w:line="240" w:lineRule="auto"/>
        <w:ind w:left="426" w:hanging="142"/>
        <w:jc w:val="both"/>
        <w:rPr>
          <w:rFonts w:ascii="Times New Roman" w:eastAsia="Times New Roman" w:hAnsi="Times New Roman" w:cs="Times New Roman"/>
          <w:bCs/>
        </w:rPr>
      </w:pPr>
      <w:r w:rsidRPr="00AB7D64">
        <w:rPr>
          <w:rFonts w:ascii="Times New Roman" w:eastAsia="Times New Roman" w:hAnsi="Times New Roman" w:cs="Times New Roman"/>
          <w:b/>
          <w:bCs/>
        </w:rPr>
        <w:t>Előtanulmányi követelmények:</w:t>
      </w:r>
    </w:p>
    <w:p w:rsidR="00AB7D64" w:rsidRPr="00AB7D64" w:rsidRDefault="00AB7D64" w:rsidP="00980876">
      <w:pPr>
        <w:widowControl w:val="0"/>
        <w:numPr>
          <w:ilvl w:val="0"/>
          <w:numId w:val="665"/>
        </w:numPr>
        <w:spacing w:before="120" w:after="120" w:line="240" w:lineRule="auto"/>
        <w:ind w:left="426" w:hanging="142"/>
        <w:jc w:val="both"/>
        <w:rPr>
          <w:rFonts w:ascii="Times New Roman" w:eastAsia="Times New Roman" w:hAnsi="Times New Roman" w:cs="Times New Roman"/>
          <w:b/>
          <w:bCs/>
        </w:rPr>
      </w:pPr>
      <w:r w:rsidRPr="00AB7D64">
        <w:rPr>
          <w:rFonts w:ascii="Times New Roman" w:eastAsia="Times New Roman" w:hAnsi="Times New Roman" w:cs="Times New Roman"/>
          <w:b/>
          <w:bCs/>
        </w:rPr>
        <w:t>A tantárgy tananyagának leírása, tematika. Description of the subject, curriculum (magyarul, angolul - English):</w:t>
      </w:r>
    </w:p>
    <w:p w:rsidR="00AB7D64" w:rsidRPr="00AB7D64" w:rsidRDefault="00AB7D64" w:rsidP="00980876">
      <w:pPr>
        <w:widowControl w:val="0"/>
        <w:numPr>
          <w:ilvl w:val="1"/>
          <w:numId w:val="665"/>
        </w:numPr>
        <w:spacing w:before="120" w:after="120" w:line="240" w:lineRule="auto"/>
        <w:ind w:left="993" w:hanging="567"/>
        <w:jc w:val="both"/>
        <w:rPr>
          <w:rFonts w:ascii="Times New Roman" w:eastAsia="Times New Roman" w:hAnsi="Times New Roman" w:cs="Times New Roman"/>
          <w:b/>
        </w:rPr>
      </w:pPr>
      <w:r w:rsidRPr="00AB7D64">
        <w:rPr>
          <w:rFonts w:ascii="Times New Roman" w:eastAsia="Times New Roman" w:hAnsi="Times New Roman" w:cs="Times New Roman"/>
          <w:bCs/>
          <w:lang w:eastAsia="hu-HU"/>
        </w:rPr>
        <w:t>Alapfogalmak.</w:t>
      </w:r>
      <w:r w:rsidRPr="00AB7D64">
        <w:rPr>
          <w:rFonts w:ascii="Times New Roman" w:eastAsia="Times New Roman" w:hAnsi="Times New Roman" w:cs="Times New Roman"/>
        </w:rPr>
        <w:t xml:space="preserve"> </w:t>
      </w:r>
      <w:r w:rsidRPr="00AB7D64">
        <w:rPr>
          <w:rFonts w:ascii="Times New Roman" w:eastAsia="Times New Roman" w:hAnsi="Times New Roman" w:cs="Times New Roman"/>
          <w:bCs/>
          <w:lang w:eastAsia="hu-HU"/>
        </w:rPr>
        <w:t xml:space="preserve">Elméleti és valóságos körfolyamatok. </w:t>
      </w:r>
      <w:r w:rsidRPr="00AB7D64">
        <w:rPr>
          <w:rFonts w:ascii="Times New Roman" w:eastAsia="Times New Roman" w:hAnsi="Times New Roman" w:cs="Times New Roman"/>
        </w:rPr>
        <w:t>(</w:t>
      </w:r>
      <w:r w:rsidRPr="00AB7D64">
        <w:rPr>
          <w:rFonts w:ascii="Times New Roman" w:eastAsia="Times New Roman" w:hAnsi="Times New Roman" w:cs="Times New Roman"/>
          <w:bCs/>
          <w:i/>
          <w:lang w:eastAsia="hu-HU"/>
        </w:rPr>
        <w:t>Basic terms</w:t>
      </w:r>
      <w:r w:rsidRPr="00AB7D64">
        <w:rPr>
          <w:rFonts w:ascii="Times New Roman" w:eastAsia="Times New Roman" w:hAnsi="Times New Roman" w:cs="Times New Roman"/>
          <w:bCs/>
          <w:lang w:eastAsia="hu-HU"/>
        </w:rPr>
        <w:t xml:space="preserve">. </w:t>
      </w:r>
      <w:r w:rsidRPr="00AB7D64">
        <w:rPr>
          <w:rFonts w:ascii="Times New Roman" w:eastAsia="Times New Roman" w:hAnsi="Times New Roman" w:cs="Times New Roman"/>
          <w:bCs/>
          <w:i/>
          <w:lang w:eastAsia="hu-HU"/>
        </w:rPr>
        <w:t>Theoretical and realistic cycles</w:t>
      </w:r>
      <w:r w:rsidRPr="00AB7D64">
        <w:rPr>
          <w:rFonts w:ascii="Times New Roman" w:eastAsia="Times New Roman" w:hAnsi="Times New Roman" w:cs="Times New Roman"/>
          <w:bCs/>
          <w:lang w:eastAsia="hu-HU"/>
        </w:rPr>
        <w:t>.</w:t>
      </w:r>
      <w:r w:rsidRPr="00AB7D64">
        <w:rPr>
          <w:rFonts w:ascii="Times New Roman" w:eastAsia="Times New Roman" w:hAnsi="Times New Roman" w:cs="Times New Roman"/>
        </w:rPr>
        <w:t>)</w:t>
      </w:r>
    </w:p>
    <w:p w:rsidR="00AB7D64" w:rsidRPr="00AB7D64" w:rsidRDefault="00AB7D64" w:rsidP="00980876">
      <w:pPr>
        <w:widowControl w:val="0"/>
        <w:numPr>
          <w:ilvl w:val="1"/>
          <w:numId w:val="665"/>
        </w:numPr>
        <w:spacing w:before="120" w:after="120" w:line="240" w:lineRule="auto"/>
        <w:ind w:left="993" w:hanging="567"/>
        <w:jc w:val="both"/>
        <w:rPr>
          <w:rFonts w:ascii="Times New Roman" w:eastAsia="Times New Roman" w:hAnsi="Times New Roman" w:cs="Times New Roman"/>
        </w:rPr>
      </w:pPr>
      <w:r w:rsidRPr="00AB7D64">
        <w:rPr>
          <w:rFonts w:ascii="Times New Roman" w:eastAsia="Times New Roman" w:hAnsi="Times New Roman" w:cs="Times New Roman"/>
          <w:bCs/>
          <w:lang w:eastAsia="hu-HU"/>
        </w:rPr>
        <w:t>Két- és négyütemű benzinmotorok működése.</w:t>
      </w:r>
      <w:r w:rsidRPr="00AB7D64">
        <w:rPr>
          <w:rFonts w:ascii="Times New Roman" w:eastAsia="Times New Roman" w:hAnsi="Times New Roman" w:cs="Times New Roman"/>
        </w:rPr>
        <w:t xml:space="preserve"> (</w:t>
      </w:r>
      <w:r w:rsidRPr="00AB7D64">
        <w:rPr>
          <w:rFonts w:ascii="Times New Roman" w:eastAsia="Times New Roman" w:hAnsi="Times New Roman" w:cs="Times New Roman"/>
          <w:bCs/>
          <w:i/>
          <w:lang w:eastAsia="hu-HU"/>
        </w:rPr>
        <w:t>Operation of two- and four-stroke petrol engines.</w:t>
      </w:r>
      <w:r w:rsidRPr="00AB7D64">
        <w:rPr>
          <w:rFonts w:ascii="Times New Roman" w:eastAsia="Times New Roman" w:hAnsi="Times New Roman" w:cs="Times New Roman"/>
        </w:rPr>
        <w:t>)</w:t>
      </w:r>
    </w:p>
    <w:p w:rsidR="00AB7D64" w:rsidRPr="00AB7D64" w:rsidRDefault="00AB7D64" w:rsidP="00980876">
      <w:pPr>
        <w:widowControl w:val="0"/>
        <w:numPr>
          <w:ilvl w:val="1"/>
          <w:numId w:val="665"/>
        </w:numPr>
        <w:spacing w:before="120" w:after="120" w:line="240" w:lineRule="auto"/>
        <w:ind w:left="993" w:hanging="567"/>
        <w:jc w:val="both"/>
        <w:rPr>
          <w:rFonts w:ascii="Times New Roman" w:eastAsia="Times New Roman" w:hAnsi="Times New Roman" w:cs="Times New Roman"/>
        </w:rPr>
      </w:pPr>
      <w:r w:rsidRPr="00AB7D64">
        <w:rPr>
          <w:rFonts w:ascii="Times New Roman" w:eastAsia="Times New Roman" w:hAnsi="Times New Roman" w:cs="Times New Roman"/>
          <w:bCs/>
          <w:lang w:eastAsia="hu-HU"/>
        </w:rPr>
        <w:t>Két- és négyütemű dízelmotorok működése.</w:t>
      </w:r>
      <w:r w:rsidRPr="00AB7D64">
        <w:rPr>
          <w:rFonts w:ascii="Times New Roman" w:eastAsia="Times New Roman" w:hAnsi="Times New Roman" w:cs="Times New Roman"/>
        </w:rPr>
        <w:t xml:space="preserve"> (</w:t>
      </w:r>
      <w:r w:rsidRPr="00AB7D64">
        <w:rPr>
          <w:rFonts w:ascii="Times New Roman" w:eastAsia="Times New Roman" w:hAnsi="Times New Roman" w:cs="Times New Roman"/>
          <w:bCs/>
          <w:i/>
          <w:lang w:eastAsia="hu-HU"/>
        </w:rPr>
        <w:t>Operation of two- and four-stroke diesel engines</w:t>
      </w:r>
      <w:r w:rsidRPr="00AB7D64">
        <w:rPr>
          <w:rFonts w:ascii="Times New Roman" w:eastAsia="Times New Roman" w:hAnsi="Times New Roman" w:cs="Times New Roman"/>
          <w:bCs/>
          <w:lang w:eastAsia="hu-HU"/>
        </w:rPr>
        <w:t>.</w:t>
      </w:r>
      <w:r w:rsidRPr="00AB7D64">
        <w:rPr>
          <w:rFonts w:ascii="Times New Roman" w:eastAsia="Times New Roman" w:hAnsi="Times New Roman" w:cs="Times New Roman"/>
        </w:rPr>
        <w:t>)</w:t>
      </w:r>
    </w:p>
    <w:p w:rsidR="00AB7D64" w:rsidRPr="00AB7D64" w:rsidRDefault="00AB7D64" w:rsidP="00980876">
      <w:pPr>
        <w:widowControl w:val="0"/>
        <w:numPr>
          <w:ilvl w:val="1"/>
          <w:numId w:val="665"/>
        </w:numPr>
        <w:spacing w:before="120" w:after="120" w:line="240" w:lineRule="auto"/>
        <w:ind w:left="993" w:hanging="567"/>
        <w:jc w:val="both"/>
        <w:rPr>
          <w:rFonts w:ascii="Times New Roman" w:eastAsia="Times New Roman" w:hAnsi="Times New Roman" w:cs="Times New Roman"/>
        </w:rPr>
      </w:pPr>
      <w:r w:rsidRPr="00AB7D64">
        <w:rPr>
          <w:rFonts w:ascii="Times New Roman" w:eastAsia="Times New Roman" w:hAnsi="Times New Roman" w:cs="Times New Roman"/>
          <w:bCs/>
        </w:rPr>
        <w:t>Gázturbina működése. Wankel motor működése. (</w:t>
      </w:r>
      <w:r w:rsidRPr="00AB7D64">
        <w:rPr>
          <w:rFonts w:ascii="Times New Roman" w:eastAsia="Times New Roman" w:hAnsi="Times New Roman" w:cs="Times New Roman"/>
          <w:bCs/>
          <w:i/>
        </w:rPr>
        <w:t>Operation of</w:t>
      </w:r>
      <w:r w:rsidRPr="00AB7D64">
        <w:rPr>
          <w:rFonts w:ascii="Times New Roman" w:eastAsia="Times New Roman" w:hAnsi="Times New Roman" w:cs="Times New Roman"/>
          <w:bCs/>
          <w:i/>
          <w:lang w:eastAsia="hu-HU"/>
        </w:rPr>
        <w:t xml:space="preserve"> gas turbine</w:t>
      </w:r>
      <w:r w:rsidRPr="00AB7D64">
        <w:rPr>
          <w:rFonts w:ascii="Times New Roman" w:eastAsia="Times New Roman" w:hAnsi="Times New Roman" w:cs="Times New Roman"/>
          <w:bCs/>
          <w:lang w:eastAsia="hu-HU"/>
        </w:rPr>
        <w:t xml:space="preserve">. </w:t>
      </w:r>
      <w:r w:rsidRPr="00AB7D64">
        <w:rPr>
          <w:rFonts w:ascii="Times New Roman" w:eastAsia="Times New Roman" w:hAnsi="Times New Roman" w:cs="Times New Roman"/>
          <w:bCs/>
          <w:i/>
          <w:lang w:eastAsia="hu-HU"/>
        </w:rPr>
        <w:t>Operation of Wankel engine.</w:t>
      </w:r>
      <w:r w:rsidRPr="00AB7D64">
        <w:rPr>
          <w:rFonts w:ascii="Times New Roman" w:eastAsia="Times New Roman" w:hAnsi="Times New Roman" w:cs="Times New Roman"/>
          <w:bCs/>
          <w:lang w:eastAsia="hu-HU"/>
        </w:rPr>
        <w:t>)</w:t>
      </w:r>
    </w:p>
    <w:p w:rsidR="00AB7D64" w:rsidRPr="00AB7D64" w:rsidRDefault="00AB7D64" w:rsidP="00980876">
      <w:pPr>
        <w:widowControl w:val="0"/>
        <w:numPr>
          <w:ilvl w:val="1"/>
          <w:numId w:val="665"/>
        </w:numPr>
        <w:spacing w:before="120" w:after="120" w:line="240" w:lineRule="auto"/>
        <w:ind w:left="993" w:hanging="567"/>
        <w:jc w:val="both"/>
        <w:rPr>
          <w:rFonts w:ascii="Times New Roman" w:eastAsia="Times New Roman" w:hAnsi="Times New Roman" w:cs="Times New Roman"/>
        </w:rPr>
      </w:pPr>
      <w:r w:rsidRPr="00AB7D64">
        <w:rPr>
          <w:rFonts w:ascii="Times New Roman" w:eastAsia="Times New Roman" w:hAnsi="Times New Roman" w:cs="Times New Roman"/>
          <w:bCs/>
          <w:lang w:eastAsia="hu-HU"/>
        </w:rPr>
        <w:t>Belsőégésű motorok jellemzői, fő méretei, jelleggörbéi. (</w:t>
      </w:r>
      <w:r w:rsidRPr="00AB7D64">
        <w:rPr>
          <w:rFonts w:ascii="Times New Roman" w:eastAsia="Times New Roman" w:hAnsi="Times New Roman" w:cs="Times New Roman"/>
          <w:bCs/>
          <w:i/>
          <w:lang w:eastAsia="hu-HU"/>
        </w:rPr>
        <w:t>Main dimensions, typical values and characteristic curves of internal combustion engines.</w:t>
      </w:r>
      <w:r w:rsidRPr="00AB7D64">
        <w:rPr>
          <w:rFonts w:ascii="Times New Roman" w:eastAsia="Times New Roman" w:hAnsi="Times New Roman" w:cs="Times New Roman"/>
          <w:bCs/>
          <w:lang w:eastAsia="hu-HU"/>
        </w:rPr>
        <w:t>)</w:t>
      </w:r>
    </w:p>
    <w:p w:rsidR="00AB7D64" w:rsidRPr="00AB7D64" w:rsidRDefault="00AB7D64" w:rsidP="00980876">
      <w:pPr>
        <w:widowControl w:val="0"/>
        <w:numPr>
          <w:ilvl w:val="1"/>
          <w:numId w:val="665"/>
        </w:numPr>
        <w:spacing w:before="120" w:after="120" w:line="240" w:lineRule="auto"/>
        <w:ind w:left="993" w:hanging="567"/>
        <w:jc w:val="both"/>
        <w:rPr>
          <w:rFonts w:ascii="Times New Roman" w:eastAsia="Times New Roman" w:hAnsi="Times New Roman" w:cs="Times New Roman"/>
        </w:rPr>
      </w:pPr>
      <w:r w:rsidRPr="00AB7D64">
        <w:rPr>
          <w:rFonts w:ascii="Times New Roman" w:eastAsia="Times New Roman" w:hAnsi="Times New Roman" w:cs="Times New Roman"/>
          <w:bCs/>
          <w:lang w:eastAsia="hu-HU"/>
        </w:rPr>
        <w:t>Motorok felépítése, a motorfékezés folyamata. (</w:t>
      </w:r>
      <w:r w:rsidRPr="00AB7D64">
        <w:rPr>
          <w:rFonts w:ascii="Times New Roman" w:eastAsia="Times New Roman" w:hAnsi="Times New Roman" w:cs="Times New Roman"/>
          <w:bCs/>
          <w:i/>
          <w:lang w:eastAsia="hu-HU"/>
        </w:rPr>
        <w:t>Engine structure, the process of engine braking.</w:t>
      </w:r>
      <w:r w:rsidRPr="00AB7D64">
        <w:rPr>
          <w:rFonts w:ascii="Times New Roman" w:eastAsia="Times New Roman" w:hAnsi="Times New Roman" w:cs="Times New Roman"/>
          <w:bCs/>
          <w:lang w:eastAsia="hu-HU"/>
        </w:rPr>
        <w:t>)</w:t>
      </w:r>
    </w:p>
    <w:p w:rsidR="00AB7D64" w:rsidRPr="00AB7D64" w:rsidRDefault="00AB7D64" w:rsidP="00980876">
      <w:pPr>
        <w:widowControl w:val="0"/>
        <w:numPr>
          <w:ilvl w:val="1"/>
          <w:numId w:val="665"/>
        </w:numPr>
        <w:spacing w:before="120" w:after="120" w:line="240" w:lineRule="auto"/>
        <w:ind w:left="993" w:hanging="567"/>
        <w:jc w:val="both"/>
        <w:rPr>
          <w:rFonts w:ascii="Times New Roman" w:eastAsia="Times New Roman" w:hAnsi="Times New Roman" w:cs="Times New Roman"/>
        </w:rPr>
      </w:pPr>
      <w:r w:rsidRPr="00AB7D64">
        <w:rPr>
          <w:rFonts w:ascii="Times New Roman" w:eastAsia="Times New Roman" w:hAnsi="Times New Roman" w:cs="Times New Roman"/>
          <w:bCs/>
          <w:lang w:eastAsia="hu-HU"/>
        </w:rPr>
        <w:t>Forgattyús mechanizmus szerkezete. Gázerők, tömegerők hatása. (</w:t>
      </w:r>
      <w:r w:rsidRPr="00AB7D64">
        <w:rPr>
          <w:rFonts w:ascii="Times New Roman" w:eastAsia="Times New Roman" w:hAnsi="Times New Roman" w:cs="Times New Roman"/>
          <w:bCs/>
          <w:i/>
          <w:lang w:eastAsia="hu-HU"/>
        </w:rPr>
        <w:t>Structure of the crankshaft mechanism</w:t>
      </w:r>
      <w:r w:rsidRPr="00AB7D64">
        <w:rPr>
          <w:rFonts w:ascii="Times New Roman" w:eastAsia="Times New Roman" w:hAnsi="Times New Roman" w:cs="Times New Roman"/>
          <w:bCs/>
          <w:lang w:eastAsia="hu-HU"/>
        </w:rPr>
        <w:t>.</w:t>
      </w:r>
      <w:r w:rsidRPr="00AB7D64">
        <w:rPr>
          <w:rFonts w:ascii="Times New Roman" w:eastAsia="Times New Roman" w:hAnsi="Times New Roman" w:cs="Times New Roman"/>
          <w:bCs/>
          <w:i/>
          <w:lang w:eastAsia="hu-HU"/>
        </w:rPr>
        <w:t xml:space="preserve"> Impact of gas forces and mass forces</w:t>
      </w:r>
      <w:r w:rsidRPr="00AB7D64">
        <w:rPr>
          <w:rFonts w:ascii="Times New Roman" w:eastAsia="Times New Roman" w:hAnsi="Times New Roman" w:cs="Times New Roman"/>
          <w:bCs/>
          <w:lang w:eastAsia="hu-HU"/>
        </w:rPr>
        <w:t>.)</w:t>
      </w:r>
    </w:p>
    <w:p w:rsidR="00AB7D64" w:rsidRPr="00AB7D64" w:rsidRDefault="00AB7D64" w:rsidP="00980876">
      <w:pPr>
        <w:widowControl w:val="0"/>
        <w:numPr>
          <w:ilvl w:val="1"/>
          <w:numId w:val="665"/>
        </w:numPr>
        <w:spacing w:before="120" w:after="120" w:line="240" w:lineRule="auto"/>
        <w:ind w:left="993" w:hanging="567"/>
        <w:jc w:val="both"/>
        <w:rPr>
          <w:rFonts w:ascii="Times New Roman" w:eastAsia="Times New Roman" w:hAnsi="Times New Roman" w:cs="Times New Roman"/>
        </w:rPr>
      </w:pPr>
      <w:r w:rsidRPr="00AB7D64">
        <w:rPr>
          <w:rFonts w:ascii="Times New Roman" w:eastAsia="Times New Roman" w:hAnsi="Times New Roman" w:cs="Times New Roman"/>
          <w:bCs/>
          <w:lang w:eastAsia="hu-HU"/>
        </w:rPr>
        <w:t>Motorok hengerfej, henger és motortömb kialakításai, motorok töltetcsere vezérlése. Változtatható paraméterű motorvezérlő rendszerek. (</w:t>
      </w:r>
      <w:r w:rsidRPr="00AB7D64">
        <w:rPr>
          <w:rFonts w:ascii="Times New Roman" w:eastAsia="Times New Roman" w:hAnsi="Times New Roman" w:cs="Times New Roman"/>
          <w:bCs/>
          <w:i/>
          <w:lang w:eastAsia="hu-HU"/>
        </w:rPr>
        <w:t>Structure of cylinder head, cylinder and engine block, control of gas exchange</w:t>
      </w:r>
      <w:r w:rsidRPr="00AB7D64">
        <w:rPr>
          <w:rFonts w:ascii="Times New Roman" w:eastAsia="Times New Roman" w:hAnsi="Times New Roman" w:cs="Times New Roman"/>
          <w:bCs/>
          <w:lang w:eastAsia="hu-HU"/>
        </w:rPr>
        <w:t>.</w:t>
      </w:r>
      <w:r w:rsidRPr="00AB7D64">
        <w:rPr>
          <w:rFonts w:ascii="Times New Roman" w:eastAsia="Times New Roman" w:hAnsi="Times New Roman" w:cs="Times New Roman"/>
          <w:bCs/>
          <w:i/>
          <w:lang w:eastAsia="hu-HU"/>
        </w:rPr>
        <w:t xml:space="preserve"> Variable valve timing</w:t>
      </w:r>
      <w:r w:rsidRPr="00AB7D64">
        <w:rPr>
          <w:rFonts w:ascii="Times New Roman" w:eastAsia="Times New Roman" w:hAnsi="Times New Roman" w:cs="Times New Roman"/>
          <w:bCs/>
          <w:lang w:eastAsia="hu-HU"/>
        </w:rPr>
        <w:t>.)</w:t>
      </w:r>
    </w:p>
    <w:p w:rsidR="00AB7D64" w:rsidRPr="00AB7D64" w:rsidRDefault="00AB7D64" w:rsidP="00980876">
      <w:pPr>
        <w:widowControl w:val="0"/>
        <w:numPr>
          <w:ilvl w:val="1"/>
          <w:numId w:val="665"/>
        </w:numPr>
        <w:spacing w:before="120" w:after="120" w:line="240" w:lineRule="auto"/>
        <w:ind w:left="993" w:hanging="567"/>
        <w:jc w:val="both"/>
        <w:rPr>
          <w:rFonts w:ascii="Times New Roman" w:eastAsia="Times New Roman" w:hAnsi="Times New Roman" w:cs="Times New Roman"/>
        </w:rPr>
      </w:pPr>
      <w:r w:rsidRPr="00AB7D64">
        <w:rPr>
          <w:rFonts w:ascii="Times New Roman" w:eastAsia="Times New Roman" w:hAnsi="Times New Roman" w:cs="Times New Roman"/>
          <w:bCs/>
          <w:lang w:eastAsia="hu-HU"/>
        </w:rPr>
        <w:t>Hűtőrendszer feladata, felépítése, hő- és áramlástani jellemzői. Előmelegítő rendszerek, hűtőrendszer méretezési elvei. (</w:t>
      </w:r>
      <w:r w:rsidRPr="00AB7D64">
        <w:rPr>
          <w:rFonts w:ascii="Times New Roman" w:eastAsia="Times New Roman" w:hAnsi="Times New Roman" w:cs="Times New Roman"/>
          <w:bCs/>
          <w:i/>
          <w:lang w:eastAsia="hu-HU"/>
        </w:rPr>
        <w:t>The function, structure, heat and flow properties of the cooling system</w:t>
      </w:r>
      <w:r w:rsidRPr="00AB7D64">
        <w:rPr>
          <w:rFonts w:ascii="Times New Roman" w:eastAsia="Times New Roman" w:hAnsi="Times New Roman" w:cs="Times New Roman"/>
          <w:bCs/>
          <w:lang w:eastAsia="hu-HU"/>
        </w:rPr>
        <w:t xml:space="preserve">. </w:t>
      </w:r>
      <w:r w:rsidRPr="00AB7D64">
        <w:rPr>
          <w:rFonts w:ascii="Times New Roman" w:eastAsia="Times New Roman" w:hAnsi="Times New Roman" w:cs="Times New Roman"/>
          <w:bCs/>
          <w:i/>
          <w:lang w:eastAsia="hu-HU"/>
        </w:rPr>
        <w:t>Design principles of preheating systems, cooling system.</w:t>
      </w:r>
      <w:r w:rsidRPr="00AB7D64">
        <w:rPr>
          <w:rFonts w:ascii="Times New Roman" w:eastAsia="Times New Roman" w:hAnsi="Times New Roman" w:cs="Times New Roman"/>
          <w:bCs/>
          <w:lang w:eastAsia="hu-HU"/>
        </w:rPr>
        <w:t>)</w:t>
      </w:r>
    </w:p>
    <w:p w:rsidR="00AB7D64" w:rsidRPr="00AB7D64" w:rsidRDefault="00AB7D64" w:rsidP="00980876">
      <w:pPr>
        <w:widowControl w:val="0"/>
        <w:numPr>
          <w:ilvl w:val="1"/>
          <w:numId w:val="665"/>
        </w:numPr>
        <w:spacing w:before="120" w:after="120" w:line="240" w:lineRule="auto"/>
        <w:ind w:left="993" w:hanging="567"/>
        <w:jc w:val="both"/>
        <w:rPr>
          <w:rFonts w:ascii="Times New Roman" w:eastAsia="Times New Roman" w:hAnsi="Times New Roman" w:cs="Times New Roman"/>
          <w:b/>
        </w:rPr>
      </w:pPr>
      <w:r w:rsidRPr="00AB7D64">
        <w:rPr>
          <w:rFonts w:ascii="Times New Roman" w:eastAsia="Times New Roman" w:hAnsi="Times New Roman" w:cs="Times New Roman"/>
          <w:bCs/>
          <w:lang w:eastAsia="hu-HU"/>
        </w:rPr>
        <w:lastRenderedPageBreak/>
        <w:t>Kenés feladata, kenőrendszer felépítése, működése és típusai. (</w:t>
      </w:r>
      <w:r w:rsidRPr="00AB7D64">
        <w:rPr>
          <w:rFonts w:ascii="Times New Roman" w:eastAsia="Times New Roman" w:hAnsi="Times New Roman" w:cs="Times New Roman"/>
          <w:bCs/>
          <w:i/>
          <w:lang w:eastAsia="hu-HU"/>
        </w:rPr>
        <w:t>Task, structure, operation and types of lubrication system</w:t>
      </w:r>
      <w:r w:rsidRPr="00AB7D64">
        <w:rPr>
          <w:rFonts w:ascii="Times New Roman" w:eastAsia="Times New Roman" w:hAnsi="Times New Roman" w:cs="Times New Roman"/>
          <w:bCs/>
          <w:lang w:eastAsia="hu-HU"/>
        </w:rPr>
        <w:t>.)</w:t>
      </w:r>
    </w:p>
    <w:p w:rsidR="00AB7D64" w:rsidRPr="00AB7D64" w:rsidRDefault="00AB7D64" w:rsidP="00980876">
      <w:pPr>
        <w:widowControl w:val="0"/>
        <w:numPr>
          <w:ilvl w:val="1"/>
          <w:numId w:val="665"/>
        </w:numPr>
        <w:spacing w:before="120" w:after="120" w:line="240" w:lineRule="auto"/>
        <w:ind w:left="993" w:hanging="567"/>
        <w:jc w:val="both"/>
        <w:rPr>
          <w:rFonts w:ascii="Times New Roman" w:eastAsia="Times New Roman" w:hAnsi="Times New Roman" w:cs="Times New Roman"/>
          <w:b/>
        </w:rPr>
      </w:pPr>
      <w:r w:rsidRPr="00AB7D64">
        <w:rPr>
          <w:rFonts w:ascii="Times New Roman" w:eastAsia="Times New Roman" w:hAnsi="Times New Roman" w:cs="Times New Roman"/>
          <w:bCs/>
          <w:lang w:eastAsia="hu-HU"/>
        </w:rPr>
        <w:t>A motorirányítás alapelemei. A motorvezérlés kapcsolati rendszere. (</w:t>
      </w:r>
      <w:r w:rsidRPr="00AB7D64">
        <w:rPr>
          <w:rFonts w:ascii="Times New Roman" w:eastAsia="Times New Roman" w:hAnsi="Times New Roman" w:cs="Times New Roman"/>
          <w:bCs/>
          <w:i/>
          <w:lang w:eastAsia="hu-HU"/>
        </w:rPr>
        <w:t>Basic elements of motor control. Engine control connection system.</w:t>
      </w:r>
      <w:r w:rsidRPr="00AB7D64">
        <w:rPr>
          <w:rFonts w:ascii="Times New Roman" w:eastAsia="Times New Roman" w:hAnsi="Times New Roman" w:cs="Times New Roman"/>
          <w:bCs/>
          <w:lang w:eastAsia="hu-HU"/>
        </w:rPr>
        <w:t>)</w:t>
      </w:r>
    </w:p>
    <w:p w:rsidR="00AB7D64" w:rsidRPr="00AB7D64" w:rsidRDefault="00AB7D64" w:rsidP="00980876">
      <w:pPr>
        <w:widowControl w:val="0"/>
        <w:numPr>
          <w:ilvl w:val="1"/>
          <w:numId w:val="665"/>
        </w:numPr>
        <w:spacing w:before="120" w:after="120" w:line="240" w:lineRule="auto"/>
        <w:ind w:left="993" w:hanging="567"/>
        <w:jc w:val="both"/>
        <w:rPr>
          <w:rFonts w:ascii="Times New Roman" w:eastAsia="Times New Roman" w:hAnsi="Times New Roman" w:cs="Times New Roman"/>
          <w:b/>
        </w:rPr>
      </w:pPr>
      <w:r w:rsidRPr="00AB7D64">
        <w:rPr>
          <w:rFonts w:ascii="Times New Roman" w:eastAsia="Times New Roman" w:hAnsi="Times New Roman" w:cs="Times New Roman"/>
          <w:bCs/>
          <w:lang w:eastAsia="hu-HU"/>
        </w:rPr>
        <w:t>A vezérlőegység működése. (</w:t>
      </w:r>
      <w:r w:rsidRPr="00AB7D64">
        <w:rPr>
          <w:rFonts w:ascii="Times New Roman" w:eastAsia="Times New Roman" w:hAnsi="Times New Roman" w:cs="Times New Roman"/>
          <w:bCs/>
          <w:i/>
          <w:lang w:eastAsia="hu-HU"/>
        </w:rPr>
        <w:t>Operation of the control unit</w:t>
      </w:r>
      <w:r w:rsidRPr="00AB7D64">
        <w:rPr>
          <w:rFonts w:ascii="Times New Roman" w:eastAsia="Times New Roman" w:hAnsi="Times New Roman" w:cs="Times New Roman"/>
          <w:bCs/>
          <w:lang w:eastAsia="hu-HU"/>
        </w:rPr>
        <w:t>.)</w:t>
      </w:r>
    </w:p>
    <w:p w:rsidR="00AB7D64" w:rsidRPr="00AB7D64" w:rsidRDefault="00AB7D64" w:rsidP="00980876">
      <w:pPr>
        <w:widowControl w:val="0"/>
        <w:numPr>
          <w:ilvl w:val="1"/>
          <w:numId w:val="665"/>
        </w:numPr>
        <w:spacing w:before="120" w:after="120" w:line="240" w:lineRule="auto"/>
        <w:ind w:left="993" w:hanging="567"/>
        <w:jc w:val="both"/>
        <w:rPr>
          <w:rFonts w:ascii="Times New Roman" w:eastAsia="Times New Roman" w:hAnsi="Times New Roman" w:cs="Times New Roman"/>
          <w:b/>
        </w:rPr>
      </w:pPr>
      <w:r w:rsidRPr="00AB7D64">
        <w:rPr>
          <w:rFonts w:ascii="Times New Roman" w:eastAsia="Times New Roman" w:hAnsi="Times New Roman" w:cs="Times New Roman"/>
          <w:bCs/>
          <w:lang w:eastAsia="hu-HU"/>
        </w:rPr>
        <w:t>Motor üzemállapotok vezérlése és szabályozása. (</w:t>
      </w:r>
      <w:r w:rsidRPr="00AB7D64">
        <w:rPr>
          <w:rFonts w:ascii="Times New Roman" w:eastAsia="Times New Roman" w:hAnsi="Times New Roman" w:cs="Times New Roman"/>
          <w:bCs/>
          <w:i/>
          <w:lang w:eastAsia="hu-HU"/>
        </w:rPr>
        <w:t>Control and regulation of engine operating conditions.</w:t>
      </w:r>
      <w:r w:rsidRPr="00AB7D64">
        <w:rPr>
          <w:rFonts w:ascii="Times New Roman" w:eastAsia="Times New Roman" w:hAnsi="Times New Roman" w:cs="Times New Roman"/>
          <w:bCs/>
          <w:lang w:eastAsia="hu-HU"/>
        </w:rPr>
        <w:t>)</w:t>
      </w:r>
    </w:p>
    <w:p w:rsidR="00AB7D64" w:rsidRPr="00AB7D64" w:rsidRDefault="00AB7D64" w:rsidP="00980876">
      <w:pPr>
        <w:widowControl w:val="0"/>
        <w:numPr>
          <w:ilvl w:val="1"/>
          <w:numId w:val="665"/>
        </w:numPr>
        <w:spacing w:before="120" w:after="120" w:line="240" w:lineRule="auto"/>
        <w:ind w:left="993" w:hanging="567"/>
        <w:jc w:val="both"/>
        <w:rPr>
          <w:rFonts w:ascii="Times New Roman" w:eastAsia="Times New Roman" w:hAnsi="Times New Roman" w:cs="Times New Roman"/>
          <w:b/>
        </w:rPr>
      </w:pPr>
      <w:r w:rsidRPr="00AB7D64">
        <w:rPr>
          <w:rFonts w:ascii="Times New Roman" w:eastAsia="Times New Roman" w:hAnsi="Times New Roman" w:cs="Times New Roman"/>
          <w:bCs/>
          <w:lang w:eastAsia="hu-HU"/>
        </w:rPr>
        <w:t>További ECU-funkciók. (</w:t>
      </w:r>
      <w:r w:rsidRPr="00AB7D64">
        <w:rPr>
          <w:rFonts w:ascii="Times New Roman" w:eastAsia="Times New Roman" w:hAnsi="Times New Roman" w:cs="Times New Roman"/>
          <w:bCs/>
          <w:i/>
          <w:lang w:eastAsia="hu-HU"/>
        </w:rPr>
        <w:t>Additional ECU functions</w:t>
      </w:r>
      <w:r w:rsidRPr="00AB7D64">
        <w:rPr>
          <w:rFonts w:ascii="Times New Roman" w:eastAsia="Times New Roman" w:hAnsi="Times New Roman" w:cs="Times New Roman"/>
          <w:bCs/>
          <w:lang w:eastAsia="hu-HU"/>
        </w:rPr>
        <w:t>.)</w:t>
      </w:r>
    </w:p>
    <w:p w:rsidR="00AB7D64" w:rsidRPr="00AB7D64" w:rsidRDefault="00AB7D64" w:rsidP="00980876">
      <w:pPr>
        <w:widowControl w:val="0"/>
        <w:numPr>
          <w:ilvl w:val="0"/>
          <w:numId w:val="665"/>
        </w:numPr>
        <w:tabs>
          <w:tab w:val="num" w:pos="360"/>
        </w:tabs>
        <w:spacing w:before="120" w:after="120" w:line="240" w:lineRule="auto"/>
        <w:ind w:left="426" w:hanging="142"/>
        <w:jc w:val="both"/>
        <w:rPr>
          <w:rFonts w:ascii="Times New Roman" w:eastAsia="Times New Roman" w:hAnsi="Times New Roman" w:cs="Times New Roman"/>
          <w:bCs/>
        </w:rPr>
      </w:pPr>
      <w:r w:rsidRPr="00AB7D64">
        <w:rPr>
          <w:rFonts w:ascii="Times New Roman" w:eastAsia="Times New Roman" w:hAnsi="Times New Roman" w:cs="Times New Roman"/>
          <w:b/>
          <w:bCs/>
        </w:rPr>
        <w:t xml:space="preserve">A tantárgy meghirdetésének gyakorisága/a tantervben történő félévi elhelyezkedése: </w:t>
      </w:r>
      <w:r w:rsidRPr="00AB7D64">
        <w:rPr>
          <w:rFonts w:ascii="Times New Roman" w:eastAsia="Times New Roman" w:hAnsi="Times New Roman" w:cs="Times New Roman"/>
          <w:bCs/>
        </w:rPr>
        <w:t>7. félév</w:t>
      </w:r>
    </w:p>
    <w:p w:rsidR="00AB7D64" w:rsidRPr="00AB7D64" w:rsidRDefault="00AB7D64" w:rsidP="00980876">
      <w:pPr>
        <w:widowControl w:val="0"/>
        <w:numPr>
          <w:ilvl w:val="0"/>
          <w:numId w:val="665"/>
        </w:numPr>
        <w:tabs>
          <w:tab w:val="num" w:pos="360"/>
        </w:tabs>
        <w:spacing w:before="120" w:after="120" w:line="240" w:lineRule="auto"/>
        <w:ind w:left="426" w:hanging="142"/>
        <w:jc w:val="both"/>
        <w:rPr>
          <w:rFonts w:ascii="Times New Roman" w:eastAsia="Times New Roman" w:hAnsi="Times New Roman" w:cs="Times New Roman"/>
          <w:bCs/>
        </w:rPr>
      </w:pPr>
      <w:r w:rsidRPr="00AB7D64">
        <w:rPr>
          <w:rFonts w:ascii="Times New Roman" w:eastAsia="Times New Roman" w:hAnsi="Times New Roman" w:cs="Times New Roman"/>
          <w:b/>
          <w:bCs/>
        </w:rPr>
        <w:t>A tanórákon való részvétel követelményei, az elfogadható hiányzások mértéke, a távolmaradás pótlásának lehetősége:</w:t>
      </w:r>
    </w:p>
    <w:p w:rsidR="00AB7D64" w:rsidRPr="00AB7D64" w:rsidRDefault="00AB7D64" w:rsidP="00AB7D64">
      <w:pPr>
        <w:widowControl w:val="0"/>
        <w:spacing w:before="120" w:after="120" w:line="240" w:lineRule="auto"/>
        <w:ind w:left="426"/>
        <w:jc w:val="both"/>
        <w:rPr>
          <w:rFonts w:ascii="Times New Roman" w:eastAsia="Times New Roman" w:hAnsi="Times New Roman" w:cs="Times New Roman"/>
          <w:bCs/>
        </w:rPr>
      </w:pPr>
      <w:r w:rsidRPr="00AB7D64">
        <w:rPr>
          <w:rFonts w:ascii="Times New Roman" w:eastAsia="Times New Roman" w:hAnsi="Times New Roman" w:cs="Times New Roman"/>
          <w:bCs/>
        </w:rPr>
        <w:t>A hallgatónak a tanórák legalább 70 %-án jelen kell lennie, 30 %-ot meghaladó hiányzás esetén a félév teljesítése nem írható alá. A hallgató köteles az előadás és a gyakorlat anyagát beszerezni, abból önállóan felkészülni. A hiányzás pótolható az oktató által kijelölt témakörben beadott, legalább elégségesre értékelt házidolgozattal.</w:t>
      </w:r>
    </w:p>
    <w:p w:rsidR="00AB7D64" w:rsidRPr="00AB7D64" w:rsidRDefault="00AB7D64" w:rsidP="00980876">
      <w:pPr>
        <w:widowControl w:val="0"/>
        <w:numPr>
          <w:ilvl w:val="0"/>
          <w:numId w:val="665"/>
        </w:numPr>
        <w:tabs>
          <w:tab w:val="num" w:pos="360"/>
        </w:tabs>
        <w:spacing w:before="120" w:after="120" w:line="240" w:lineRule="auto"/>
        <w:ind w:left="426" w:hanging="142"/>
        <w:jc w:val="both"/>
        <w:rPr>
          <w:rFonts w:ascii="Times New Roman" w:eastAsia="Times New Roman" w:hAnsi="Times New Roman" w:cs="Times New Roman"/>
          <w:bCs/>
        </w:rPr>
      </w:pPr>
      <w:r w:rsidRPr="00AB7D64">
        <w:rPr>
          <w:rFonts w:ascii="Times New Roman" w:eastAsia="Times New Roman" w:hAnsi="Times New Roman" w:cs="Times New Roman"/>
          <w:b/>
        </w:rPr>
        <w:t>Félévközi feladatok, ismeretek ellenőrzésének rendje:</w:t>
      </w:r>
      <w:r w:rsidRPr="00AB7D64">
        <w:rPr>
          <w:rFonts w:ascii="Times New Roman" w:eastAsia="Times New Roman" w:hAnsi="Times New Roman" w:cs="Times New Roman"/>
          <w:bCs/>
        </w:rPr>
        <w:t xml:space="preserve"> A félév során a hallgató kettő zárthelyi dolgozatot ír. Az első zárthelyi dolgozat a 12.1-12.7. a második zárthelyi dolgozat a 12.8-12.13 tantárgyrészekből áll. </w:t>
      </w:r>
      <w:r w:rsidRPr="00AB7D64">
        <w:rPr>
          <w:rFonts w:ascii="Times New Roman" w:eastAsia="Times New Roman" w:hAnsi="Times New Roman" w:cs="Times New Roman"/>
          <w:bCs/>
          <w:lang w:eastAsia="hu-HU"/>
        </w:rPr>
        <w:t>A zárthelyi dolgozat témáit a kötelező irodalmak anyagából, illetve az előadásokon elhangzott ismeretanyagból kell összeállítani. A zárthelyi dolgozat értékelése ötfokozatú értékelés (a helyes válaszok aránya 0-60% elégtelen; 61-70% elégséges; 71-80% közepes; 81-90% jó; 91-100% jeles osztályzat). Eredménytelen zárthelyi dolgozat kétszer javítható a szorgalmi időszak végéig az oktatóval egyeztetett időpontokban</w:t>
      </w:r>
      <w:r w:rsidRPr="00AB7D64">
        <w:rPr>
          <w:rFonts w:ascii="Times New Roman" w:eastAsia="Times New Roman" w:hAnsi="Times New Roman" w:cs="Times New Roman"/>
          <w:b/>
          <w:bCs/>
          <w:lang w:eastAsia="hu-HU"/>
        </w:rPr>
        <w:t>.</w:t>
      </w:r>
      <w:r w:rsidRPr="00AB7D64">
        <w:rPr>
          <w:rFonts w:ascii="Times New Roman" w:eastAsia="Times New Roman" w:hAnsi="Times New Roman" w:cs="Times New Roman"/>
          <w:bCs/>
          <w:lang w:eastAsia="hu-HU"/>
        </w:rPr>
        <w:t xml:space="preserve"> A dolgozatban teszt és esszé jellegű kérdések egyaránt szerepelnek.</w:t>
      </w:r>
    </w:p>
    <w:p w:rsidR="00AB7D64" w:rsidRPr="00AB7D64" w:rsidRDefault="00AB7D64" w:rsidP="00980876">
      <w:pPr>
        <w:widowControl w:val="0"/>
        <w:numPr>
          <w:ilvl w:val="0"/>
          <w:numId w:val="665"/>
        </w:numPr>
        <w:spacing w:before="120" w:after="120" w:line="240" w:lineRule="auto"/>
        <w:ind w:left="426" w:hanging="142"/>
        <w:jc w:val="both"/>
        <w:rPr>
          <w:rFonts w:ascii="Times New Roman" w:eastAsia="Times New Roman" w:hAnsi="Times New Roman" w:cs="Times New Roman"/>
          <w:b/>
          <w:bCs/>
        </w:rPr>
      </w:pPr>
      <w:r w:rsidRPr="00AB7D64">
        <w:rPr>
          <w:rFonts w:ascii="Times New Roman" w:eastAsia="Times New Roman" w:hAnsi="Times New Roman" w:cs="Times New Roman"/>
          <w:b/>
          <w:bCs/>
        </w:rPr>
        <w:t xml:space="preserve">Az értékelés, az aláírás és a kreditek megszerzésének pontos feltételei: </w:t>
      </w:r>
    </w:p>
    <w:p w:rsidR="00AB7D64" w:rsidRPr="00AB7D64" w:rsidRDefault="00AB7D64" w:rsidP="00980876">
      <w:pPr>
        <w:widowControl w:val="0"/>
        <w:numPr>
          <w:ilvl w:val="1"/>
          <w:numId w:val="665"/>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AB7D64">
        <w:rPr>
          <w:rFonts w:ascii="Times New Roman" w:eastAsia="Times New Roman" w:hAnsi="Times New Roman" w:cs="Times New Roman"/>
          <w:b/>
        </w:rPr>
        <w:t>Az aláírás megszerzésének feltételei:</w:t>
      </w:r>
      <w:r w:rsidRPr="00AB7D64">
        <w:rPr>
          <w:rFonts w:ascii="Times New Roman" w:eastAsia="Times New Roman" w:hAnsi="Times New Roman" w:cs="Times New Roman"/>
        </w:rPr>
        <w:t xml:space="preserve"> Az aláírás megszerzésének feltétele a 14. pontban meghatározott arányú részvétel a foglalkozásokon és a 15. pontban meghatározott félévközi feladatok legalább elégséges teljesítése.</w:t>
      </w:r>
    </w:p>
    <w:p w:rsidR="00AB7D64" w:rsidRPr="00AB7D64" w:rsidRDefault="00AB7D64" w:rsidP="00980876">
      <w:pPr>
        <w:widowControl w:val="0"/>
        <w:numPr>
          <w:ilvl w:val="1"/>
          <w:numId w:val="665"/>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AB7D64">
        <w:rPr>
          <w:rFonts w:ascii="Times New Roman" w:eastAsia="Times New Roman" w:hAnsi="Times New Roman" w:cs="Times New Roman"/>
          <w:b/>
        </w:rPr>
        <w:t>Az értékelés:</w:t>
      </w:r>
      <w:r w:rsidRPr="00AB7D64">
        <w:rPr>
          <w:rFonts w:ascii="Times New Roman" w:eastAsia="Times New Roman" w:hAnsi="Times New Roman" w:cs="Times New Roman"/>
        </w:rPr>
        <w:t xml:space="preserve"> </w:t>
      </w:r>
      <w:r w:rsidRPr="00AB7D64">
        <w:rPr>
          <w:rFonts w:ascii="Times New Roman" w:eastAsia="Calibri" w:hAnsi="Times New Roman" w:cs="Times New Roman"/>
        </w:rPr>
        <w:t>szóbeli</w:t>
      </w:r>
      <w:r w:rsidRPr="00AB7D64">
        <w:rPr>
          <w:rFonts w:ascii="Times New Roman" w:eastAsia="Calibri" w:hAnsi="Times New Roman" w:cs="Times New Roman"/>
          <w:b/>
        </w:rPr>
        <w:t xml:space="preserve"> </w:t>
      </w:r>
      <w:r w:rsidRPr="00AB7D64">
        <w:rPr>
          <w:rFonts w:ascii="Times New Roman" w:eastAsia="Calibri" w:hAnsi="Times New Roman" w:cs="Times New Roman"/>
        </w:rPr>
        <w:t>kollokvium, ötfokozatú értékelés. A Tanszék felkészülési kérdéseket ad ki. A vizsga tartalmát az előadáson elhangzottak és az alább felsorolt kötelező és ajánlott irodalmak anyagai képezik.</w:t>
      </w:r>
    </w:p>
    <w:p w:rsidR="00AB7D64" w:rsidRPr="00AB7D64" w:rsidRDefault="00AB7D64" w:rsidP="00980876">
      <w:pPr>
        <w:widowControl w:val="0"/>
        <w:numPr>
          <w:ilvl w:val="1"/>
          <w:numId w:val="665"/>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AB7D64">
        <w:rPr>
          <w:rFonts w:ascii="Times New Roman" w:eastAsia="Times New Roman" w:hAnsi="Times New Roman" w:cs="Times New Roman"/>
          <w:b/>
        </w:rPr>
        <w:t>A kreditek megszerzésének feltételei:</w:t>
      </w:r>
      <w:r w:rsidRPr="00AB7D64">
        <w:rPr>
          <w:rFonts w:ascii="Times New Roman" w:eastAsia="Times New Roman" w:hAnsi="Times New Roman" w:cs="Times New Roman"/>
        </w:rPr>
        <w:t xml:space="preserve"> az aláírás megszerzése és legalább elégséges</w:t>
      </w:r>
      <w:r w:rsidRPr="00AB7D64">
        <w:rPr>
          <w:rFonts w:ascii="Times New Roman" w:eastAsia="Times New Roman" w:hAnsi="Times New Roman" w:cs="Times New Roman"/>
          <w:b/>
        </w:rPr>
        <w:t xml:space="preserve"> </w:t>
      </w:r>
      <w:r w:rsidRPr="00AB7D64">
        <w:rPr>
          <w:rFonts w:ascii="Times New Roman" w:eastAsia="Times New Roman" w:hAnsi="Times New Roman" w:cs="Times New Roman"/>
        </w:rPr>
        <w:t>szóbeli kollokvium jegy.</w:t>
      </w:r>
    </w:p>
    <w:p w:rsidR="00AB7D64" w:rsidRPr="00AB7D64" w:rsidRDefault="00AB7D64" w:rsidP="00980876">
      <w:pPr>
        <w:widowControl w:val="0"/>
        <w:numPr>
          <w:ilvl w:val="0"/>
          <w:numId w:val="665"/>
        </w:numPr>
        <w:tabs>
          <w:tab w:val="num" w:pos="360"/>
        </w:tabs>
        <w:spacing w:before="120" w:after="120" w:line="240" w:lineRule="auto"/>
        <w:ind w:left="426" w:hanging="142"/>
        <w:jc w:val="both"/>
        <w:rPr>
          <w:rFonts w:ascii="Times New Roman" w:eastAsia="Times New Roman" w:hAnsi="Times New Roman" w:cs="Times New Roman"/>
          <w:bCs/>
        </w:rPr>
      </w:pPr>
      <w:r w:rsidRPr="00AB7D64">
        <w:rPr>
          <w:rFonts w:ascii="Times New Roman" w:eastAsia="Times New Roman" w:hAnsi="Times New Roman" w:cs="Times New Roman"/>
          <w:b/>
          <w:bCs/>
        </w:rPr>
        <w:t>Irodalomjegyzék:</w:t>
      </w:r>
    </w:p>
    <w:p w:rsidR="00AB7D64" w:rsidRPr="00AB7D64" w:rsidRDefault="00AB7D64" w:rsidP="00980876">
      <w:pPr>
        <w:widowControl w:val="0"/>
        <w:numPr>
          <w:ilvl w:val="1"/>
          <w:numId w:val="665"/>
        </w:numPr>
        <w:tabs>
          <w:tab w:val="left" w:pos="567"/>
          <w:tab w:val="left" w:pos="851"/>
          <w:tab w:val="num" w:pos="2069"/>
        </w:tabs>
        <w:spacing w:before="120" w:after="120" w:line="240" w:lineRule="auto"/>
        <w:ind w:left="426" w:hanging="142"/>
        <w:jc w:val="both"/>
        <w:rPr>
          <w:rFonts w:ascii="Times New Roman" w:eastAsia="Times New Roman" w:hAnsi="Times New Roman" w:cs="Times New Roman"/>
          <w:bCs/>
        </w:rPr>
      </w:pPr>
      <w:r w:rsidRPr="00AB7D64">
        <w:rPr>
          <w:rFonts w:ascii="Times New Roman" w:eastAsia="Times New Roman" w:hAnsi="Times New Roman" w:cs="Times New Roman"/>
          <w:b/>
          <w:bCs/>
        </w:rPr>
        <w:t>Kötelező irodalom:</w:t>
      </w:r>
    </w:p>
    <w:p w:rsidR="00AB7D64" w:rsidRPr="00AB7D64" w:rsidRDefault="00AB7D64" w:rsidP="00980876">
      <w:pPr>
        <w:widowControl w:val="0"/>
        <w:numPr>
          <w:ilvl w:val="0"/>
          <w:numId w:val="666"/>
        </w:numPr>
        <w:spacing w:after="0" w:line="240" w:lineRule="auto"/>
        <w:jc w:val="both"/>
        <w:rPr>
          <w:rFonts w:ascii="Times New Roman" w:eastAsia="Times New Roman" w:hAnsi="Times New Roman" w:cs="Times New Roman"/>
        </w:rPr>
      </w:pPr>
      <w:r w:rsidRPr="00AB7D64">
        <w:rPr>
          <w:rFonts w:ascii="Times New Roman" w:eastAsia="Times New Roman" w:hAnsi="Times New Roman" w:cs="Times New Roman"/>
        </w:rPr>
        <w:t>Dr. Dezsényi György, Dr. Emőd István, Dr. Finichiu Líviu: Belsőégésű motorok tervezése és vizsgálata. Tankönyvkiadó, Budapest, 1992. ISBN: 9631845664</w:t>
      </w:r>
    </w:p>
    <w:p w:rsidR="00AB7D64" w:rsidRPr="00AB7D64" w:rsidRDefault="00AB7D64" w:rsidP="00980876">
      <w:pPr>
        <w:widowControl w:val="0"/>
        <w:numPr>
          <w:ilvl w:val="0"/>
          <w:numId w:val="666"/>
        </w:numPr>
        <w:spacing w:after="0" w:line="240" w:lineRule="auto"/>
        <w:jc w:val="both"/>
        <w:rPr>
          <w:rFonts w:ascii="Times New Roman" w:eastAsia="Times New Roman" w:hAnsi="Times New Roman" w:cs="Times New Roman"/>
        </w:rPr>
      </w:pPr>
      <w:r w:rsidRPr="00AB7D64">
        <w:rPr>
          <w:rFonts w:ascii="Times New Roman" w:eastAsia="Times New Roman" w:hAnsi="Times New Roman" w:cs="Times New Roman"/>
        </w:rPr>
        <w:t>Dr. Frank Tibor, Dr. Kováts Miklós: Benzinbefecskendező és motorirányító rendszerek. Maróti Könyvkereskedés és Könyvkiadó Kft., 2004. ISBN:</w:t>
      </w:r>
      <w:r w:rsidR="001F4B47">
        <w:rPr>
          <w:rFonts w:ascii="Times New Roman" w:eastAsia="Times New Roman" w:hAnsi="Times New Roman" w:cs="Times New Roman"/>
        </w:rPr>
        <w:t xml:space="preserve"> </w:t>
      </w:r>
      <w:r w:rsidRPr="00AB7D64">
        <w:rPr>
          <w:rFonts w:ascii="Times New Roman" w:eastAsia="Times New Roman" w:hAnsi="Times New Roman" w:cs="Times New Roman"/>
        </w:rPr>
        <w:t>9639005649</w:t>
      </w:r>
    </w:p>
    <w:p w:rsidR="00AB7D64" w:rsidRPr="00AB7D64" w:rsidRDefault="00AB7D64" w:rsidP="00980876">
      <w:pPr>
        <w:widowControl w:val="0"/>
        <w:numPr>
          <w:ilvl w:val="0"/>
          <w:numId w:val="666"/>
        </w:numPr>
        <w:spacing w:after="0" w:line="240" w:lineRule="auto"/>
        <w:jc w:val="both"/>
        <w:rPr>
          <w:rFonts w:ascii="Times New Roman" w:eastAsia="Times New Roman" w:hAnsi="Times New Roman" w:cs="Times New Roman"/>
        </w:rPr>
      </w:pPr>
      <w:r w:rsidRPr="00AB7D64">
        <w:rPr>
          <w:rFonts w:ascii="Times New Roman" w:eastAsia="Times New Roman" w:hAnsi="Times New Roman" w:cs="Times New Roman"/>
        </w:rPr>
        <w:t>Bohner: Gépjárműszerkezetek. Műegyetemi Kiadó, Budapest, 1994. ISBN: 9631605434</w:t>
      </w:r>
    </w:p>
    <w:p w:rsidR="00AB7D64" w:rsidRPr="00AB7D64" w:rsidRDefault="00AB7D64" w:rsidP="00980876">
      <w:pPr>
        <w:widowControl w:val="0"/>
        <w:numPr>
          <w:ilvl w:val="0"/>
          <w:numId w:val="666"/>
        </w:numPr>
        <w:spacing w:after="0" w:line="240" w:lineRule="auto"/>
        <w:jc w:val="both"/>
        <w:rPr>
          <w:rFonts w:ascii="Times New Roman" w:eastAsia="Times New Roman" w:hAnsi="Times New Roman" w:cs="Times New Roman"/>
        </w:rPr>
      </w:pPr>
      <w:r w:rsidRPr="00AB7D64">
        <w:rPr>
          <w:rFonts w:ascii="Times New Roman" w:eastAsia="Times New Roman" w:hAnsi="Times New Roman" w:cs="Times New Roman"/>
        </w:rPr>
        <w:t>Vég Róbert: Belsőégésű motorok I.-II.-III. ZMNE jegyzet, Budapest, 2004.</w:t>
      </w:r>
    </w:p>
    <w:p w:rsidR="00AB7D64" w:rsidRPr="00AB7D64" w:rsidRDefault="00AB7D64" w:rsidP="00980876">
      <w:pPr>
        <w:widowControl w:val="0"/>
        <w:numPr>
          <w:ilvl w:val="0"/>
          <w:numId w:val="666"/>
        </w:numPr>
        <w:spacing w:after="0" w:line="240" w:lineRule="auto"/>
        <w:jc w:val="both"/>
        <w:rPr>
          <w:rFonts w:ascii="Times New Roman" w:eastAsia="Times New Roman" w:hAnsi="Times New Roman" w:cs="Times New Roman"/>
        </w:rPr>
      </w:pPr>
      <w:r w:rsidRPr="00AB7D64">
        <w:rPr>
          <w:rFonts w:ascii="Times New Roman" w:eastAsia="Times New Roman" w:hAnsi="Times New Roman" w:cs="Times New Roman"/>
        </w:rPr>
        <w:t>Dr. Kováts Miklós: Turbófeltöltés alkalmazása járműmotoroknál. Maróti Könyvkiadó, Budapest, 2006. ISBN: 963900572X</w:t>
      </w:r>
    </w:p>
    <w:p w:rsidR="00AB7D64" w:rsidRPr="00AB7D64" w:rsidRDefault="00AB7D64" w:rsidP="00980876">
      <w:pPr>
        <w:widowControl w:val="0"/>
        <w:numPr>
          <w:ilvl w:val="1"/>
          <w:numId w:val="665"/>
        </w:numPr>
        <w:tabs>
          <w:tab w:val="num" w:pos="567"/>
          <w:tab w:val="num" w:pos="2069"/>
        </w:tabs>
        <w:spacing w:before="120" w:after="120" w:line="240" w:lineRule="auto"/>
        <w:ind w:left="993" w:hanging="709"/>
        <w:jc w:val="both"/>
        <w:rPr>
          <w:rFonts w:ascii="Times New Roman" w:eastAsia="Times New Roman" w:hAnsi="Times New Roman" w:cs="Times New Roman"/>
          <w:b/>
          <w:bCs/>
        </w:rPr>
      </w:pPr>
      <w:r w:rsidRPr="00AB7D64">
        <w:rPr>
          <w:rFonts w:ascii="Times New Roman" w:eastAsia="Times New Roman" w:hAnsi="Times New Roman" w:cs="Times New Roman"/>
          <w:b/>
          <w:bCs/>
        </w:rPr>
        <w:t>Ajánlott irodalom:</w:t>
      </w:r>
    </w:p>
    <w:p w:rsidR="00AB7D64" w:rsidRDefault="00AB7D64" w:rsidP="00980876">
      <w:pPr>
        <w:widowControl w:val="0"/>
        <w:numPr>
          <w:ilvl w:val="0"/>
          <w:numId w:val="667"/>
        </w:numPr>
        <w:spacing w:after="0" w:line="240" w:lineRule="auto"/>
        <w:jc w:val="both"/>
        <w:rPr>
          <w:rFonts w:ascii="Times New Roman" w:eastAsia="Times New Roman" w:hAnsi="Times New Roman" w:cs="Times New Roman"/>
        </w:rPr>
      </w:pPr>
      <w:r w:rsidRPr="00AB7D64">
        <w:rPr>
          <w:rFonts w:ascii="Times New Roman" w:eastAsia="Times New Roman" w:hAnsi="Times New Roman" w:cs="Times New Roman"/>
        </w:rPr>
        <w:t>Gépjármű-technikai képletgyűjtemény. Műszaki Könyvkiadó, Budapest, 1995. ISBN: 9631605922</w:t>
      </w:r>
    </w:p>
    <w:p w:rsidR="00AB7D64" w:rsidRPr="00AB7D64" w:rsidRDefault="00AB7D64" w:rsidP="00980876">
      <w:pPr>
        <w:widowControl w:val="0"/>
        <w:numPr>
          <w:ilvl w:val="0"/>
          <w:numId w:val="667"/>
        </w:numPr>
        <w:spacing w:after="0" w:line="240" w:lineRule="auto"/>
        <w:jc w:val="both"/>
        <w:rPr>
          <w:rFonts w:ascii="Times New Roman" w:eastAsia="Times New Roman" w:hAnsi="Times New Roman" w:cs="Times New Roman"/>
        </w:rPr>
      </w:pPr>
      <w:r w:rsidRPr="00AB7D64">
        <w:rPr>
          <w:rFonts w:ascii="Times New Roman" w:eastAsia="Times New Roman" w:hAnsi="Times New Roman" w:cs="Times New Roman"/>
        </w:rPr>
        <w:t>Gépjármű-technikai szakszámítások. Műszaki Könyvkiadó, Budapest, 2000. ISBN: 9631605957</w:t>
      </w:r>
    </w:p>
    <w:p w:rsidR="00AB7D64" w:rsidRPr="00AB7D64" w:rsidRDefault="00AB7D64" w:rsidP="00980876">
      <w:pPr>
        <w:widowControl w:val="0"/>
        <w:numPr>
          <w:ilvl w:val="0"/>
          <w:numId w:val="667"/>
        </w:numPr>
        <w:spacing w:after="0" w:line="240" w:lineRule="auto"/>
        <w:jc w:val="both"/>
        <w:rPr>
          <w:rFonts w:ascii="Times New Roman" w:eastAsia="Times New Roman" w:hAnsi="Times New Roman" w:cs="Times New Roman"/>
        </w:rPr>
      </w:pPr>
      <w:r w:rsidRPr="00AB7D64">
        <w:rPr>
          <w:rFonts w:ascii="Times New Roman" w:eastAsia="Times New Roman" w:hAnsi="Times New Roman" w:cs="Times New Roman"/>
        </w:rPr>
        <w:lastRenderedPageBreak/>
        <w:t>Dr. Kalmár, Dr. Kováts, Dr. Stukovszky: Turbómotorok és más feltöltő rendszerek. K és Z motor Bt., Budapest, 1994. ISBN: 9630296519</w:t>
      </w:r>
    </w:p>
    <w:p w:rsidR="00AB7D64" w:rsidRDefault="00AB7D64" w:rsidP="00AB7D64">
      <w:pPr>
        <w:widowControl w:val="0"/>
        <w:spacing w:before="120" w:after="120" w:line="240" w:lineRule="auto"/>
        <w:jc w:val="both"/>
        <w:rPr>
          <w:rFonts w:ascii="Times New Roman" w:eastAsia="Times New Roman" w:hAnsi="Times New Roman" w:cs="Times New Roman"/>
          <w:bCs/>
        </w:rPr>
      </w:pPr>
    </w:p>
    <w:p w:rsidR="00AB7D64" w:rsidRPr="00AB7D64" w:rsidRDefault="00AB7D64" w:rsidP="00AB7D64">
      <w:pPr>
        <w:widowControl w:val="0"/>
        <w:spacing w:before="120" w:after="120" w:line="240" w:lineRule="auto"/>
        <w:ind w:firstLine="360"/>
        <w:jc w:val="both"/>
        <w:rPr>
          <w:rFonts w:ascii="Times New Roman" w:eastAsia="Times New Roman" w:hAnsi="Times New Roman" w:cs="Times New Roman"/>
          <w:bCs/>
        </w:rPr>
      </w:pPr>
      <w:r w:rsidRPr="00AB7D64">
        <w:rPr>
          <w:rFonts w:ascii="Times New Roman" w:eastAsia="Times New Roman" w:hAnsi="Times New Roman" w:cs="Times New Roman"/>
          <w:bCs/>
        </w:rPr>
        <w:t>Budapest, 2020.03.14.</w:t>
      </w:r>
    </w:p>
    <w:p w:rsidR="00AB7D64" w:rsidRPr="00AB7D64" w:rsidRDefault="00AB7D64" w:rsidP="00AB7D64">
      <w:pPr>
        <w:widowControl w:val="0"/>
        <w:spacing w:before="120" w:after="120" w:line="240" w:lineRule="auto"/>
        <w:jc w:val="both"/>
        <w:rPr>
          <w:rFonts w:ascii="Times New Roman" w:eastAsia="Times New Roman" w:hAnsi="Times New Roman" w:cs="Times New Roman"/>
          <w:bCs/>
        </w:rPr>
      </w:pPr>
    </w:p>
    <w:p w:rsidR="00AB7D64" w:rsidRPr="006B225A" w:rsidRDefault="00AB7D64" w:rsidP="006B225A">
      <w:pPr>
        <w:widowControl w:val="0"/>
        <w:spacing w:after="0" w:line="240" w:lineRule="auto"/>
        <w:ind w:left="6379"/>
        <w:jc w:val="center"/>
        <w:rPr>
          <w:rFonts w:ascii="Times New Roman" w:eastAsia="Times New Roman" w:hAnsi="Times New Roman" w:cs="Times New Roman"/>
          <w:b/>
          <w:bCs/>
        </w:rPr>
      </w:pPr>
      <w:r w:rsidRPr="006B225A">
        <w:rPr>
          <w:rFonts w:ascii="Times New Roman" w:eastAsia="Times New Roman" w:hAnsi="Times New Roman" w:cs="Times New Roman"/>
          <w:b/>
          <w:bCs/>
        </w:rPr>
        <w:t>Dr. Vég Róbert László PhD</w:t>
      </w:r>
    </w:p>
    <w:p w:rsidR="00AB7D64" w:rsidRPr="00AB7D64" w:rsidRDefault="00AB7D64" w:rsidP="00AB7D64">
      <w:pPr>
        <w:widowControl w:val="0"/>
        <w:spacing w:after="0" w:line="240" w:lineRule="auto"/>
        <w:ind w:left="6521"/>
        <w:jc w:val="center"/>
        <w:rPr>
          <w:rFonts w:ascii="Times New Roman" w:eastAsia="Times New Roman" w:hAnsi="Times New Roman" w:cs="Times New Roman"/>
          <w:bCs/>
        </w:rPr>
      </w:pPr>
      <w:r w:rsidRPr="00AB7D64">
        <w:rPr>
          <w:rFonts w:ascii="Times New Roman" w:eastAsia="Times New Roman" w:hAnsi="Times New Roman" w:cs="Times New Roman"/>
          <w:bCs/>
        </w:rPr>
        <w:t>egyetemi docens</w:t>
      </w:r>
    </w:p>
    <w:p w:rsidR="002A7491" w:rsidRDefault="002A7491">
      <w:pPr>
        <w:spacing w:after="200" w:line="276" w:lineRule="auto"/>
        <w:rPr>
          <w:rFonts w:ascii="Times New Roman" w:hAnsi="Times New Roman" w:cs="Times New Roman"/>
          <w:b/>
          <w:sz w:val="24"/>
        </w:rPr>
      </w:pPr>
      <w:r>
        <w:rPr>
          <w:rFonts w:ascii="Times New Roman" w:hAnsi="Times New Roman" w:cs="Times New Roman"/>
          <w:b/>
          <w:sz w:val="24"/>
        </w:rPr>
        <w:br w:type="page"/>
      </w:r>
    </w:p>
    <w:tbl>
      <w:tblPr>
        <w:tblW w:w="9072" w:type="dxa"/>
        <w:tblInd w:w="113" w:type="dxa"/>
        <w:tblLook w:val="01E0" w:firstRow="1" w:lastRow="1" w:firstColumn="1" w:lastColumn="1" w:noHBand="0" w:noVBand="0"/>
      </w:tblPr>
      <w:tblGrid>
        <w:gridCol w:w="4855"/>
        <w:gridCol w:w="1620"/>
        <w:gridCol w:w="2597"/>
      </w:tblGrid>
      <w:tr w:rsidR="00AB7D64" w:rsidRPr="00AB7D64" w:rsidTr="00AB7D64">
        <w:tc>
          <w:tcPr>
            <w:tcW w:w="4855" w:type="dxa"/>
            <w:tcBorders>
              <w:bottom w:val="single" w:sz="4" w:space="0" w:color="auto"/>
            </w:tcBorders>
          </w:tcPr>
          <w:p w:rsidR="00AB7D64" w:rsidRPr="00AB7D64" w:rsidRDefault="00AB7D64" w:rsidP="00AB7D64">
            <w:pPr>
              <w:spacing w:after="0" w:line="240" w:lineRule="auto"/>
              <w:jc w:val="center"/>
              <w:rPr>
                <w:rFonts w:ascii="Times New Roman" w:eastAsia="Times New Roman" w:hAnsi="Times New Roman" w:cs="Times New Roman"/>
                <w:b/>
                <w:smallCaps/>
                <w:lang w:eastAsia="hu-HU"/>
              </w:rPr>
            </w:pPr>
            <w:r w:rsidRPr="00AB7D64">
              <w:rPr>
                <w:rFonts w:ascii="Times New Roman" w:eastAsia="Times New Roman" w:hAnsi="Times New Roman" w:cs="Times New Roman"/>
                <w:b/>
                <w:smallCaps/>
                <w:lang w:eastAsia="hu-HU"/>
              </w:rPr>
              <w:lastRenderedPageBreak/>
              <w:t>Nemzeti Közszolgálati Egyetem</w:t>
            </w:r>
          </w:p>
        </w:tc>
        <w:tc>
          <w:tcPr>
            <w:tcW w:w="1620" w:type="dxa"/>
          </w:tcPr>
          <w:p w:rsidR="00AB7D64" w:rsidRPr="00AB7D64" w:rsidRDefault="00AB7D64" w:rsidP="00AB7D64">
            <w:pPr>
              <w:spacing w:after="0" w:line="240" w:lineRule="auto"/>
              <w:jc w:val="both"/>
              <w:rPr>
                <w:rFonts w:ascii="Times New Roman" w:eastAsia="Times New Roman" w:hAnsi="Times New Roman" w:cs="Times New Roman"/>
                <w:lang w:eastAsia="hu-HU"/>
              </w:rPr>
            </w:pPr>
          </w:p>
        </w:tc>
        <w:tc>
          <w:tcPr>
            <w:tcW w:w="2597" w:type="dxa"/>
          </w:tcPr>
          <w:p w:rsidR="00AB7D64" w:rsidRPr="00AB7D64" w:rsidRDefault="00AB7D64" w:rsidP="00AB7D64">
            <w:pPr>
              <w:spacing w:after="0" w:line="240" w:lineRule="auto"/>
              <w:jc w:val="right"/>
              <w:rPr>
                <w:rFonts w:ascii="Times New Roman" w:eastAsia="Times New Roman" w:hAnsi="Times New Roman" w:cs="Times New Roman"/>
                <w:lang w:eastAsia="hu-HU"/>
              </w:rPr>
            </w:pPr>
          </w:p>
        </w:tc>
      </w:tr>
      <w:tr w:rsidR="00AB7D64" w:rsidRPr="00AB7D64" w:rsidTr="00AB7D64">
        <w:tc>
          <w:tcPr>
            <w:tcW w:w="4855" w:type="dxa"/>
            <w:tcBorders>
              <w:top w:val="single" w:sz="4" w:space="0" w:color="auto"/>
            </w:tcBorders>
          </w:tcPr>
          <w:p w:rsidR="00AB7D64" w:rsidRPr="00AB7D64" w:rsidRDefault="00AB7D64" w:rsidP="00AB7D64">
            <w:pPr>
              <w:spacing w:after="0" w:line="240" w:lineRule="auto"/>
              <w:jc w:val="center"/>
              <w:rPr>
                <w:rFonts w:ascii="Times New Roman" w:eastAsia="Times New Roman" w:hAnsi="Times New Roman" w:cs="Times New Roman"/>
                <w:b/>
                <w:lang w:eastAsia="hu-HU"/>
              </w:rPr>
            </w:pPr>
            <w:r w:rsidRPr="00AB7D64">
              <w:rPr>
                <w:rFonts w:ascii="Times New Roman" w:eastAsia="Times New Roman" w:hAnsi="Times New Roman" w:cs="Times New Roman"/>
                <w:b/>
                <w:lang w:eastAsia="hu-HU"/>
              </w:rPr>
              <w:t>Hadtudományi és Honvédtisztképző Kar</w:t>
            </w:r>
          </w:p>
        </w:tc>
        <w:tc>
          <w:tcPr>
            <w:tcW w:w="1620" w:type="dxa"/>
          </w:tcPr>
          <w:p w:rsidR="00AB7D64" w:rsidRPr="00AB7D64" w:rsidRDefault="00AB7D64" w:rsidP="00AB7D64">
            <w:pPr>
              <w:spacing w:after="0" w:line="240" w:lineRule="auto"/>
              <w:jc w:val="both"/>
              <w:rPr>
                <w:rFonts w:ascii="Times New Roman" w:eastAsia="Times New Roman" w:hAnsi="Times New Roman" w:cs="Times New Roman"/>
                <w:lang w:eastAsia="hu-HU"/>
              </w:rPr>
            </w:pPr>
          </w:p>
        </w:tc>
        <w:tc>
          <w:tcPr>
            <w:tcW w:w="2597" w:type="dxa"/>
          </w:tcPr>
          <w:p w:rsidR="00AB7D64" w:rsidRPr="00AB7D64" w:rsidRDefault="00AB7D64" w:rsidP="00AB7D64">
            <w:pPr>
              <w:spacing w:after="0" w:line="240" w:lineRule="auto"/>
              <w:jc w:val="both"/>
              <w:rPr>
                <w:rFonts w:ascii="Times New Roman" w:eastAsia="Times New Roman" w:hAnsi="Times New Roman" w:cs="Times New Roman"/>
                <w:lang w:eastAsia="hu-HU"/>
              </w:rPr>
            </w:pPr>
          </w:p>
        </w:tc>
      </w:tr>
    </w:tbl>
    <w:p w:rsidR="00AB7D64" w:rsidRPr="00AB7D64" w:rsidRDefault="00AB7D64" w:rsidP="00AB7D64">
      <w:pPr>
        <w:widowControl w:val="0"/>
        <w:spacing w:before="120" w:after="120" w:line="240" w:lineRule="auto"/>
        <w:ind w:left="426" w:hanging="142"/>
        <w:jc w:val="center"/>
        <w:rPr>
          <w:rFonts w:ascii="Times New Roman" w:eastAsia="Times New Roman" w:hAnsi="Times New Roman" w:cs="Times New Roman"/>
          <w:b/>
          <w:bCs/>
        </w:rPr>
      </w:pPr>
    </w:p>
    <w:p w:rsidR="00AB7D64" w:rsidRPr="00AB7D64" w:rsidRDefault="00AB7D64" w:rsidP="00AB7D64">
      <w:pPr>
        <w:widowControl w:val="0"/>
        <w:spacing w:before="120" w:after="120" w:line="240" w:lineRule="auto"/>
        <w:ind w:left="426" w:hanging="142"/>
        <w:jc w:val="center"/>
        <w:rPr>
          <w:rFonts w:ascii="Times New Roman" w:eastAsia="Times New Roman" w:hAnsi="Times New Roman" w:cs="Times New Roman"/>
          <w:b/>
          <w:bCs/>
        </w:rPr>
      </w:pPr>
      <w:r w:rsidRPr="00AB7D64">
        <w:rPr>
          <w:rFonts w:ascii="Times New Roman" w:eastAsia="Times New Roman" w:hAnsi="Times New Roman" w:cs="Times New Roman"/>
          <w:b/>
          <w:bCs/>
        </w:rPr>
        <w:t>TANTÁRGYI PROGRAM</w:t>
      </w:r>
    </w:p>
    <w:p w:rsidR="00AB7D64" w:rsidRPr="00AB7D64" w:rsidRDefault="00AB7D64" w:rsidP="00980876">
      <w:pPr>
        <w:widowControl w:val="0"/>
        <w:numPr>
          <w:ilvl w:val="0"/>
          <w:numId w:val="676"/>
        </w:numPr>
        <w:spacing w:before="120" w:after="120" w:line="240" w:lineRule="auto"/>
        <w:ind w:left="426" w:hanging="142"/>
        <w:jc w:val="both"/>
        <w:rPr>
          <w:rFonts w:ascii="Times New Roman" w:eastAsia="Times New Roman" w:hAnsi="Times New Roman" w:cs="Times New Roman"/>
          <w:bCs/>
        </w:rPr>
      </w:pPr>
      <w:r w:rsidRPr="00AB7D64">
        <w:rPr>
          <w:rFonts w:ascii="Times New Roman" w:eastAsia="Times New Roman" w:hAnsi="Times New Roman" w:cs="Times New Roman"/>
          <w:b/>
          <w:bCs/>
        </w:rPr>
        <w:t xml:space="preserve">A tantárgy kódja: </w:t>
      </w:r>
      <w:r w:rsidRPr="00AB7D64">
        <w:rPr>
          <w:rFonts w:ascii="Times New Roman" w:eastAsia="Calibri" w:hAnsi="Times New Roman" w:cs="Times New Roman"/>
        </w:rPr>
        <w:t>HKHDTA18</w:t>
      </w:r>
    </w:p>
    <w:p w:rsidR="00AB7D64" w:rsidRPr="00AB7D64" w:rsidRDefault="00AB7D64" w:rsidP="00980876">
      <w:pPr>
        <w:widowControl w:val="0"/>
        <w:numPr>
          <w:ilvl w:val="0"/>
          <w:numId w:val="676"/>
        </w:numPr>
        <w:spacing w:before="120" w:after="120" w:line="240" w:lineRule="auto"/>
        <w:ind w:left="426" w:hanging="142"/>
        <w:jc w:val="both"/>
        <w:rPr>
          <w:rFonts w:ascii="Times New Roman" w:eastAsia="Times New Roman" w:hAnsi="Times New Roman" w:cs="Times New Roman"/>
          <w:b/>
          <w:bCs/>
          <w:lang w:val="en-GB"/>
        </w:rPr>
      </w:pPr>
      <w:r w:rsidRPr="00AB7D64">
        <w:rPr>
          <w:rFonts w:ascii="Times New Roman" w:eastAsia="Times New Roman" w:hAnsi="Times New Roman" w:cs="Times New Roman"/>
          <w:b/>
          <w:bCs/>
        </w:rPr>
        <w:t>A tantárgy megnevezése (magyarul):</w:t>
      </w:r>
      <w:r w:rsidRPr="00AB7D64">
        <w:rPr>
          <w:rFonts w:ascii="Times New Roman" w:eastAsia="Times New Roman" w:hAnsi="Times New Roman" w:cs="Times New Roman"/>
          <w:bCs/>
        </w:rPr>
        <w:t xml:space="preserve"> Harc</w:t>
      </w:r>
      <w:r w:rsidR="00C82157">
        <w:rPr>
          <w:rFonts w:ascii="Times New Roman" w:eastAsia="Times New Roman" w:hAnsi="Times New Roman" w:cs="Times New Roman"/>
          <w:bCs/>
        </w:rPr>
        <w:t>-</w:t>
      </w:r>
      <w:r w:rsidRPr="00AB7D64">
        <w:rPr>
          <w:rFonts w:ascii="Times New Roman" w:eastAsia="Times New Roman" w:hAnsi="Times New Roman" w:cs="Times New Roman"/>
          <w:bCs/>
        </w:rPr>
        <w:t xml:space="preserve"> és gépj</w:t>
      </w:r>
      <w:r w:rsidRPr="00AB7D64">
        <w:rPr>
          <w:rFonts w:ascii="Times New Roman" w:eastAsia="Calibri" w:hAnsi="Times New Roman" w:cs="Times New Roman"/>
          <w:bCs/>
        </w:rPr>
        <w:t>árművek szerkezete I.</w:t>
      </w:r>
    </w:p>
    <w:p w:rsidR="00AB7D64" w:rsidRPr="00AB7D64" w:rsidRDefault="00AB7D64" w:rsidP="00980876">
      <w:pPr>
        <w:widowControl w:val="0"/>
        <w:numPr>
          <w:ilvl w:val="0"/>
          <w:numId w:val="676"/>
        </w:numPr>
        <w:spacing w:before="120" w:after="120" w:line="240" w:lineRule="auto"/>
        <w:ind w:left="426" w:hanging="142"/>
        <w:jc w:val="both"/>
        <w:rPr>
          <w:rFonts w:ascii="Times New Roman" w:eastAsia="Times New Roman" w:hAnsi="Times New Roman" w:cs="Times New Roman"/>
          <w:b/>
          <w:bCs/>
          <w:lang w:val="en-GB"/>
        </w:rPr>
      </w:pPr>
      <w:r w:rsidRPr="00AB7D64">
        <w:rPr>
          <w:rFonts w:ascii="Times New Roman" w:eastAsia="Times New Roman" w:hAnsi="Times New Roman" w:cs="Times New Roman"/>
          <w:b/>
          <w:bCs/>
        </w:rPr>
        <w:t xml:space="preserve">A tantárgy megnevezése (angolul): </w:t>
      </w:r>
      <w:r w:rsidRPr="00AB7D64">
        <w:rPr>
          <w:rFonts w:ascii="Times New Roman" w:eastAsia="Calibri" w:hAnsi="Times New Roman" w:cs="Times New Roman"/>
          <w:lang w:val="en-GB"/>
        </w:rPr>
        <w:t>Structure of Vehicles</w:t>
      </w:r>
      <w:r w:rsidRPr="00AB7D64">
        <w:rPr>
          <w:rFonts w:ascii="Times New Roman" w:eastAsia="Calibri" w:hAnsi="Times New Roman" w:cs="Times New Roman"/>
          <w:bCs/>
          <w:lang w:val="en-GB"/>
        </w:rPr>
        <w:t xml:space="preserve"> and combat vehicles</w:t>
      </w:r>
      <w:r w:rsidRPr="00AB7D64">
        <w:rPr>
          <w:rFonts w:ascii="Times New Roman" w:eastAsia="Calibri" w:hAnsi="Times New Roman" w:cs="Times New Roman"/>
          <w:bCs/>
        </w:rPr>
        <w:t xml:space="preserve"> I</w:t>
      </w:r>
    </w:p>
    <w:p w:rsidR="00AB7D64" w:rsidRPr="00AB7D64" w:rsidRDefault="00AB7D64" w:rsidP="00980876">
      <w:pPr>
        <w:widowControl w:val="0"/>
        <w:numPr>
          <w:ilvl w:val="0"/>
          <w:numId w:val="676"/>
        </w:numPr>
        <w:spacing w:before="120" w:after="120" w:line="240" w:lineRule="auto"/>
        <w:ind w:left="426" w:hanging="142"/>
        <w:jc w:val="both"/>
        <w:rPr>
          <w:rFonts w:ascii="Times New Roman" w:eastAsia="Times New Roman" w:hAnsi="Times New Roman" w:cs="Times New Roman"/>
          <w:b/>
          <w:bCs/>
        </w:rPr>
      </w:pPr>
      <w:r w:rsidRPr="00AB7D64">
        <w:rPr>
          <w:rFonts w:ascii="Times New Roman" w:eastAsia="Times New Roman" w:hAnsi="Times New Roman" w:cs="Times New Roman"/>
          <w:b/>
          <w:bCs/>
        </w:rPr>
        <w:t xml:space="preserve">Kreditérték és képzési karakter: </w:t>
      </w:r>
    </w:p>
    <w:p w:rsidR="00AB7D64" w:rsidRPr="00AB7D64" w:rsidRDefault="00AB7D64" w:rsidP="00980876">
      <w:pPr>
        <w:widowControl w:val="0"/>
        <w:numPr>
          <w:ilvl w:val="1"/>
          <w:numId w:val="676"/>
        </w:numPr>
        <w:spacing w:before="120" w:after="120" w:line="240" w:lineRule="auto"/>
        <w:ind w:left="993" w:hanging="426"/>
        <w:contextualSpacing/>
        <w:jc w:val="both"/>
        <w:rPr>
          <w:rFonts w:ascii="Times New Roman" w:eastAsia="Times New Roman" w:hAnsi="Times New Roman" w:cs="Times New Roman"/>
          <w:b/>
          <w:bCs/>
        </w:rPr>
      </w:pPr>
      <w:r w:rsidRPr="00AB7D64">
        <w:rPr>
          <w:rFonts w:ascii="Times New Roman" w:eastAsia="Times New Roman" w:hAnsi="Times New Roman" w:cs="Times New Roman"/>
          <w:bCs/>
        </w:rPr>
        <w:t xml:space="preserve"> kredit 5</w:t>
      </w:r>
    </w:p>
    <w:p w:rsidR="00AB7D64" w:rsidRPr="00AB7D64" w:rsidRDefault="00AB7D64" w:rsidP="00980876">
      <w:pPr>
        <w:widowControl w:val="0"/>
        <w:numPr>
          <w:ilvl w:val="1"/>
          <w:numId w:val="676"/>
        </w:numPr>
        <w:spacing w:before="120" w:after="120" w:line="240" w:lineRule="auto"/>
        <w:ind w:left="993" w:hanging="426"/>
        <w:contextualSpacing/>
        <w:jc w:val="both"/>
        <w:rPr>
          <w:rFonts w:ascii="Times New Roman" w:eastAsia="Times New Roman" w:hAnsi="Times New Roman" w:cs="Times New Roman"/>
          <w:b/>
          <w:bCs/>
        </w:rPr>
      </w:pPr>
      <w:r w:rsidRPr="00AB7D64">
        <w:rPr>
          <w:rFonts w:ascii="Times New Roman" w:eastAsia="Times New Roman" w:hAnsi="Times New Roman" w:cs="Times New Roman"/>
          <w:bCs/>
        </w:rPr>
        <w:t>a tantárgy elméleti vagy gyakorlati jellegének mértéke: 40 % gyakorlat, 60 % elmélet</w:t>
      </w:r>
    </w:p>
    <w:p w:rsidR="00AB7D64" w:rsidRPr="00AB7D64" w:rsidRDefault="00AB7D64" w:rsidP="00980876">
      <w:pPr>
        <w:widowControl w:val="0"/>
        <w:numPr>
          <w:ilvl w:val="0"/>
          <w:numId w:val="676"/>
        </w:numPr>
        <w:spacing w:before="120" w:after="120" w:line="240" w:lineRule="auto"/>
        <w:ind w:left="426" w:hanging="142"/>
        <w:jc w:val="both"/>
        <w:rPr>
          <w:rFonts w:ascii="Times New Roman" w:eastAsia="Times New Roman" w:hAnsi="Times New Roman" w:cs="Times New Roman"/>
          <w:bCs/>
        </w:rPr>
      </w:pPr>
      <w:r w:rsidRPr="00AB7D64">
        <w:rPr>
          <w:rFonts w:ascii="Times New Roman" w:eastAsia="Times New Roman" w:hAnsi="Times New Roman" w:cs="Times New Roman"/>
          <w:b/>
          <w:bCs/>
        </w:rPr>
        <w:t>A szak(ok), szakirányok/specializációk megnevezése (ahol oktatják):</w:t>
      </w:r>
      <w:r w:rsidRPr="00AB7D64">
        <w:rPr>
          <w:rFonts w:ascii="Times New Roman" w:eastAsia="Times New Roman" w:hAnsi="Times New Roman" w:cs="Times New Roman"/>
          <w:bCs/>
        </w:rPr>
        <w:t xml:space="preserve"> </w:t>
      </w:r>
      <w:r w:rsidRPr="00AB7D64">
        <w:rPr>
          <w:rFonts w:ascii="Times New Roman" w:eastAsia="Calibri" w:hAnsi="Times New Roman" w:cs="Times New Roman"/>
          <w:bCs/>
        </w:rPr>
        <w:t>Katonai logisztika (</w:t>
      </w:r>
      <w:r w:rsidR="00137B8A">
        <w:rPr>
          <w:rFonts w:ascii="Times New Roman" w:eastAsia="Calibri" w:hAnsi="Times New Roman" w:cs="Times New Roman"/>
          <w:bCs/>
        </w:rPr>
        <w:t>BSc</w:t>
      </w:r>
      <w:r w:rsidRPr="00AB7D64">
        <w:rPr>
          <w:rFonts w:ascii="Times New Roman" w:eastAsia="Calibri" w:hAnsi="Times New Roman" w:cs="Times New Roman"/>
          <w:bCs/>
        </w:rPr>
        <w:t>) alapképzési szak</w:t>
      </w:r>
    </w:p>
    <w:p w:rsidR="00AB7D64" w:rsidRPr="00AB7D64" w:rsidRDefault="00AB7D64" w:rsidP="00980876">
      <w:pPr>
        <w:widowControl w:val="0"/>
        <w:numPr>
          <w:ilvl w:val="0"/>
          <w:numId w:val="676"/>
        </w:numPr>
        <w:spacing w:before="120" w:after="120" w:line="240" w:lineRule="auto"/>
        <w:ind w:left="426" w:hanging="142"/>
        <w:jc w:val="both"/>
        <w:rPr>
          <w:rFonts w:ascii="Times New Roman" w:eastAsia="Times New Roman" w:hAnsi="Times New Roman" w:cs="Times New Roman"/>
          <w:bCs/>
        </w:rPr>
      </w:pPr>
      <w:r w:rsidRPr="00AB7D64">
        <w:rPr>
          <w:rFonts w:ascii="Times New Roman" w:eastAsia="Times New Roman" w:hAnsi="Times New Roman" w:cs="Times New Roman"/>
          <w:b/>
          <w:bCs/>
        </w:rPr>
        <w:t xml:space="preserve">Az oktatásért felelős oktatási szervezeti egység megnevezése: </w:t>
      </w:r>
      <w:r w:rsidRPr="00AB7D64">
        <w:rPr>
          <w:rFonts w:ascii="Times New Roman" w:eastAsia="Times New Roman" w:hAnsi="Times New Roman" w:cs="Times New Roman"/>
          <w:bCs/>
        </w:rPr>
        <w:t>HHK Haditechnikai Tanszék</w:t>
      </w:r>
    </w:p>
    <w:p w:rsidR="00AB7D64" w:rsidRPr="00AB7D64" w:rsidRDefault="00AB7D64" w:rsidP="00980876">
      <w:pPr>
        <w:widowControl w:val="0"/>
        <w:numPr>
          <w:ilvl w:val="0"/>
          <w:numId w:val="676"/>
        </w:numPr>
        <w:spacing w:before="120" w:after="120" w:line="240" w:lineRule="auto"/>
        <w:ind w:left="426" w:hanging="142"/>
        <w:jc w:val="both"/>
        <w:rPr>
          <w:rFonts w:ascii="Times New Roman" w:eastAsia="Times New Roman" w:hAnsi="Times New Roman" w:cs="Times New Roman"/>
          <w:bCs/>
        </w:rPr>
      </w:pPr>
      <w:r w:rsidRPr="00AB7D64">
        <w:rPr>
          <w:rFonts w:ascii="Times New Roman" w:eastAsia="Times New Roman" w:hAnsi="Times New Roman" w:cs="Times New Roman"/>
          <w:b/>
          <w:bCs/>
        </w:rPr>
        <w:t>A tantárgyfelelős oktató neve, beosztása, tudományos fokozata:</w:t>
      </w:r>
      <w:r w:rsidRPr="00AB7D64">
        <w:rPr>
          <w:rFonts w:ascii="Times New Roman" w:eastAsia="Times New Roman" w:hAnsi="Times New Roman" w:cs="Times New Roman"/>
          <w:bCs/>
        </w:rPr>
        <w:t xml:space="preserve"> Dr. Gyarmati József egyetemi docens</w:t>
      </w:r>
    </w:p>
    <w:p w:rsidR="00AB7D64" w:rsidRPr="00AB7D64" w:rsidRDefault="00AB7D64" w:rsidP="00980876">
      <w:pPr>
        <w:widowControl w:val="0"/>
        <w:numPr>
          <w:ilvl w:val="0"/>
          <w:numId w:val="676"/>
        </w:numPr>
        <w:spacing w:before="120" w:after="120" w:line="240" w:lineRule="auto"/>
        <w:ind w:left="426" w:hanging="142"/>
        <w:jc w:val="both"/>
        <w:rPr>
          <w:rFonts w:ascii="Times New Roman" w:eastAsia="Times New Roman" w:hAnsi="Times New Roman" w:cs="Times New Roman"/>
          <w:bCs/>
        </w:rPr>
      </w:pPr>
      <w:r w:rsidRPr="00AB7D64">
        <w:rPr>
          <w:rFonts w:ascii="Times New Roman" w:eastAsia="Times New Roman" w:hAnsi="Times New Roman" w:cs="Times New Roman"/>
          <w:b/>
          <w:bCs/>
        </w:rPr>
        <w:t>A tanórák száma és típusa</w:t>
      </w:r>
    </w:p>
    <w:p w:rsidR="00AB7D64" w:rsidRPr="00AB7D64" w:rsidRDefault="00AB7D64" w:rsidP="00980876">
      <w:pPr>
        <w:widowControl w:val="0"/>
        <w:numPr>
          <w:ilvl w:val="1"/>
          <w:numId w:val="676"/>
        </w:numPr>
        <w:spacing w:before="120" w:after="120" w:line="240" w:lineRule="auto"/>
        <w:ind w:left="851" w:hanging="425"/>
        <w:jc w:val="both"/>
        <w:rPr>
          <w:rFonts w:ascii="Times New Roman" w:eastAsia="Times New Roman" w:hAnsi="Times New Roman" w:cs="Times New Roman"/>
          <w:bCs/>
        </w:rPr>
      </w:pPr>
      <w:r w:rsidRPr="00AB7D64">
        <w:rPr>
          <w:rFonts w:ascii="Times New Roman" w:eastAsia="Times New Roman" w:hAnsi="Times New Roman" w:cs="Times New Roman"/>
          <w:bCs/>
        </w:rPr>
        <w:t xml:space="preserve">össz óraszám/félév: </w:t>
      </w:r>
    </w:p>
    <w:p w:rsidR="00AB7D64" w:rsidRPr="00AB7D64" w:rsidRDefault="00AB7D64" w:rsidP="00980876">
      <w:pPr>
        <w:widowControl w:val="0"/>
        <w:numPr>
          <w:ilvl w:val="2"/>
          <w:numId w:val="676"/>
        </w:numPr>
        <w:spacing w:before="120" w:after="120" w:line="240" w:lineRule="auto"/>
        <w:ind w:left="993" w:hanging="425"/>
        <w:jc w:val="both"/>
        <w:rPr>
          <w:rFonts w:ascii="Times New Roman" w:eastAsia="Times New Roman" w:hAnsi="Times New Roman" w:cs="Times New Roman"/>
          <w:bCs/>
        </w:rPr>
      </w:pPr>
      <w:r w:rsidRPr="00AB7D64">
        <w:rPr>
          <w:rFonts w:ascii="Times New Roman" w:eastAsia="Times New Roman" w:hAnsi="Times New Roman" w:cs="Times New Roman"/>
          <w:bCs/>
        </w:rPr>
        <w:t>nappali munkarend:  ( 42 EA +  SZ + 28 GY)</w:t>
      </w:r>
    </w:p>
    <w:p w:rsidR="00AB7D64" w:rsidRPr="00AB7D64" w:rsidRDefault="00AB7D64" w:rsidP="00980876">
      <w:pPr>
        <w:widowControl w:val="0"/>
        <w:numPr>
          <w:ilvl w:val="2"/>
          <w:numId w:val="676"/>
        </w:numPr>
        <w:spacing w:before="120" w:after="120" w:line="240" w:lineRule="auto"/>
        <w:ind w:left="993" w:hanging="425"/>
        <w:jc w:val="both"/>
        <w:rPr>
          <w:rFonts w:ascii="Times New Roman" w:eastAsia="Times New Roman" w:hAnsi="Times New Roman" w:cs="Times New Roman"/>
          <w:bCs/>
        </w:rPr>
      </w:pPr>
      <w:r w:rsidRPr="00AB7D64">
        <w:rPr>
          <w:rFonts w:ascii="Times New Roman" w:eastAsia="Times New Roman" w:hAnsi="Times New Roman" w:cs="Times New Roman"/>
          <w:bCs/>
        </w:rPr>
        <w:t>levelező munkarend: 20 (15 EA +  SZ + 5 GY)</w:t>
      </w:r>
    </w:p>
    <w:p w:rsidR="00AB7D64" w:rsidRPr="00AB7D64" w:rsidRDefault="00AB7D64" w:rsidP="00980876">
      <w:pPr>
        <w:widowControl w:val="0"/>
        <w:numPr>
          <w:ilvl w:val="1"/>
          <w:numId w:val="676"/>
        </w:numPr>
        <w:spacing w:before="120" w:after="120" w:line="240" w:lineRule="auto"/>
        <w:ind w:left="851" w:hanging="425"/>
        <w:jc w:val="both"/>
        <w:rPr>
          <w:rFonts w:ascii="Times New Roman" w:eastAsia="Times New Roman" w:hAnsi="Times New Roman" w:cs="Times New Roman"/>
          <w:bCs/>
        </w:rPr>
      </w:pPr>
      <w:r w:rsidRPr="00AB7D64">
        <w:rPr>
          <w:rFonts w:ascii="Times New Roman" w:eastAsia="Times New Roman" w:hAnsi="Times New Roman" w:cs="Times New Roman"/>
          <w:bCs/>
        </w:rPr>
        <w:t>heti óraszám - nappali munkarend: 5</w:t>
      </w:r>
    </w:p>
    <w:p w:rsidR="00AB7D64" w:rsidRPr="00AB7D64" w:rsidRDefault="00AB7D64" w:rsidP="00980876">
      <w:pPr>
        <w:widowControl w:val="0"/>
        <w:numPr>
          <w:ilvl w:val="1"/>
          <w:numId w:val="676"/>
        </w:numPr>
        <w:spacing w:before="120" w:after="120" w:line="240" w:lineRule="auto"/>
        <w:ind w:left="851" w:hanging="425"/>
        <w:jc w:val="both"/>
        <w:rPr>
          <w:rFonts w:ascii="Times New Roman" w:eastAsia="Times New Roman" w:hAnsi="Times New Roman" w:cs="Times New Roman"/>
          <w:bCs/>
        </w:rPr>
      </w:pPr>
      <w:r w:rsidRPr="00AB7D64">
        <w:rPr>
          <w:rFonts w:ascii="Times New Roman" w:eastAsia="Calibri" w:hAnsi="Times New Roman" w:cs="Times New Roman"/>
        </w:rPr>
        <w:t>Az ismeret átadásában alkalmazandó további sajátos módok, jellemzők: ..</w:t>
      </w:r>
    </w:p>
    <w:p w:rsidR="00AB7D64" w:rsidRPr="00AB7D64" w:rsidRDefault="00AB7D64" w:rsidP="00980876">
      <w:pPr>
        <w:widowControl w:val="0"/>
        <w:numPr>
          <w:ilvl w:val="0"/>
          <w:numId w:val="676"/>
        </w:numPr>
        <w:spacing w:before="120" w:after="120" w:line="240" w:lineRule="auto"/>
        <w:ind w:left="426" w:hanging="142"/>
        <w:jc w:val="both"/>
        <w:rPr>
          <w:rFonts w:ascii="Times New Roman" w:eastAsia="Times New Roman" w:hAnsi="Times New Roman" w:cs="Times New Roman"/>
          <w:bCs/>
        </w:rPr>
      </w:pPr>
      <w:r w:rsidRPr="00AB7D64">
        <w:rPr>
          <w:rFonts w:ascii="Times New Roman" w:eastAsia="Times New Roman" w:hAnsi="Times New Roman" w:cs="Times New Roman"/>
          <w:b/>
          <w:bCs/>
        </w:rPr>
        <w:t>A tantárgy szakmai tartalma (magyarul):</w:t>
      </w:r>
      <w:r w:rsidRPr="00AB7D64">
        <w:rPr>
          <w:rFonts w:ascii="Times New Roman" w:eastAsia="Times New Roman" w:hAnsi="Times New Roman" w:cs="Times New Roman"/>
          <w:bCs/>
        </w:rPr>
        <w:t xml:space="preserve"> </w:t>
      </w:r>
      <w:r w:rsidRPr="00AB7D64">
        <w:rPr>
          <w:rFonts w:ascii="Times New Roman" w:eastAsia="Calibri" w:hAnsi="Times New Roman" w:cs="Times New Roman"/>
        </w:rPr>
        <w:t>Gépjárművek erőátviteli rendszerei. Tengelykapcsolók feladata, típusai, szerkezete, vezérlési módjai. Hidraulikus tengelykapcsolók. Gépjármű mozgásegyenlete, menetellenállások. Vonóerő és gyorsulási diagrammok. Sebességváltóműváltó felépítése, működése, áttételei, típuskialakításai. Bolygóművek kialakításai, szerkezete. Hidrodinamikus nyomatékváltó. Automatikus és fél-automatikus sebességváltóművek szerkezete, működése és vezérlése. Kardánhajtások elmélete, típusai és kialakításai. Differenciálművek elmélete, típusai, szerkezete, működése és alkalmazási lehetőségei. Osztóművek szerkezete, feladata, típusai. Viszkokapcsolók. Gépjármű futómű kialakítások. Alváz, kerekek kialakítása, felépítése, típusai. Gépjárművek lengései, rugózása, kerék-felfüggesztési megoldások. Futómű geometria. Harcjármű szerkezeti kialakítása (lánctalpas járószerkezet, kormányzás)</w:t>
      </w:r>
    </w:p>
    <w:p w:rsidR="00AB7D64" w:rsidRPr="00AB7D64" w:rsidRDefault="00AB7D64" w:rsidP="00AB7D64">
      <w:pPr>
        <w:widowControl w:val="0"/>
        <w:spacing w:before="120" w:after="120" w:line="240" w:lineRule="auto"/>
        <w:ind w:left="426"/>
        <w:jc w:val="both"/>
        <w:rPr>
          <w:rFonts w:ascii="Times New Roman" w:eastAsia="Times New Roman" w:hAnsi="Times New Roman" w:cs="Times New Roman"/>
          <w:bCs/>
          <w:lang w:val="en-GB"/>
        </w:rPr>
      </w:pPr>
      <w:r w:rsidRPr="00AB7D64">
        <w:rPr>
          <w:rFonts w:ascii="Times New Roman" w:eastAsia="Times New Roman" w:hAnsi="Times New Roman" w:cs="Times New Roman"/>
          <w:b/>
          <w:bCs/>
        </w:rPr>
        <w:t>A tantárgy szakmai tartalma (angolul) (</w:t>
      </w:r>
      <w:r w:rsidRPr="00AB7D64">
        <w:rPr>
          <w:rFonts w:ascii="Times New Roman" w:eastAsia="Times New Roman" w:hAnsi="Times New Roman" w:cs="Times New Roman"/>
          <w:b/>
          <w:bCs/>
          <w:lang w:val="en-US"/>
        </w:rPr>
        <w:t>Course description</w:t>
      </w:r>
      <w:r w:rsidRPr="00AB7D64">
        <w:rPr>
          <w:rFonts w:ascii="Times New Roman" w:eastAsia="Times New Roman" w:hAnsi="Times New Roman" w:cs="Times New Roman"/>
          <w:b/>
          <w:bCs/>
        </w:rPr>
        <w:t xml:space="preserve">): </w:t>
      </w:r>
      <w:r w:rsidRPr="00AB7D64">
        <w:rPr>
          <w:rFonts w:ascii="Times New Roman" w:eastAsia="Calibri" w:hAnsi="Times New Roman" w:cs="Times New Roman"/>
          <w:lang w:val="en"/>
        </w:rPr>
        <w:t>Power transmission systems for vehicles. Function, types, structure and control modes of couplings. Hydraulic couplings. Vehicle equation of motion, driving resistors. Traction and acceleration diagrams. Gearbox structure, operation, gears, type designs. Design and structure of planetary gear. Hydrodynamic torque converter. Construction, operation and control of automatic and semi-automatic transmissions. Theory, types and designs of joints. Theory, types, structure, operation and applications of differential gear. Structure, function and types of switchgear. Visco-couplings. Vehicle chassis designs. Chassis, wheels design, construction, types. Vehicle vibration, suspension, wheel suspension solutions. Chassis geometry. Structure of a tracked vehicle (tracked walker, steering).</w:t>
      </w:r>
    </w:p>
    <w:p w:rsidR="00AB7D64" w:rsidRPr="00AB7D64" w:rsidRDefault="00AB7D64" w:rsidP="00980876">
      <w:pPr>
        <w:widowControl w:val="0"/>
        <w:numPr>
          <w:ilvl w:val="0"/>
          <w:numId w:val="676"/>
        </w:numPr>
        <w:spacing w:before="120" w:after="120" w:line="240" w:lineRule="auto"/>
        <w:contextualSpacing/>
        <w:jc w:val="both"/>
        <w:rPr>
          <w:rFonts w:ascii="Times New Roman" w:eastAsia="Times New Roman" w:hAnsi="Times New Roman" w:cs="Times New Roman"/>
          <w:bCs/>
        </w:rPr>
      </w:pPr>
      <w:r w:rsidRPr="00AB7D64">
        <w:rPr>
          <w:rFonts w:ascii="Times New Roman" w:eastAsia="Times New Roman" w:hAnsi="Times New Roman" w:cs="Times New Roman"/>
          <w:b/>
          <w:bCs/>
        </w:rPr>
        <w:t xml:space="preserve">Elérendő kompetenciák (magyarul): </w:t>
      </w:r>
    </w:p>
    <w:p w:rsidR="00AB7D64" w:rsidRPr="00AB7D64" w:rsidRDefault="00AB7D64" w:rsidP="00AB7D64">
      <w:pPr>
        <w:widowControl w:val="0"/>
        <w:spacing w:before="120" w:after="120" w:line="240" w:lineRule="auto"/>
        <w:ind w:left="426"/>
        <w:jc w:val="both"/>
        <w:rPr>
          <w:rFonts w:ascii="Times New Roman" w:eastAsia="Times New Roman" w:hAnsi="Times New Roman" w:cs="Times New Roman"/>
          <w:bCs/>
        </w:rPr>
      </w:pPr>
      <w:r w:rsidRPr="00AB7D64">
        <w:rPr>
          <w:rFonts w:ascii="Times New Roman" w:eastAsia="Times New Roman" w:hAnsi="Times New Roman" w:cs="Times New Roman"/>
          <w:b/>
          <w:bCs/>
        </w:rPr>
        <w:t>Tudása:</w:t>
      </w:r>
    </w:p>
    <w:p w:rsidR="00AB7D64" w:rsidRPr="00AB7D64" w:rsidRDefault="00AB7D64" w:rsidP="00980876">
      <w:pPr>
        <w:widowControl w:val="0"/>
        <w:numPr>
          <w:ilvl w:val="0"/>
          <w:numId w:val="668"/>
        </w:numPr>
        <w:spacing w:after="0" w:line="240" w:lineRule="auto"/>
        <w:ind w:left="993"/>
        <w:contextualSpacing/>
        <w:jc w:val="both"/>
        <w:rPr>
          <w:rFonts w:ascii="Times New Roman" w:eastAsia="Times New Roman" w:hAnsi="Times New Roman" w:cs="Times New Roman"/>
          <w:bCs/>
        </w:rPr>
      </w:pPr>
      <w:r w:rsidRPr="00AB7D64">
        <w:rPr>
          <w:rFonts w:ascii="Times New Roman" w:eastAsia="Times New Roman" w:hAnsi="Times New Roman" w:cs="Times New Roman"/>
          <w:bCs/>
        </w:rPr>
        <w:t>Ismeri a páncélos- és gépjárműtechnikai eszközök felépítését, berendezéseit, azok működését és üzemeltetési rendjét.</w:t>
      </w:r>
    </w:p>
    <w:p w:rsidR="00AB7D64" w:rsidRPr="00AB7D64" w:rsidRDefault="00AB7D64" w:rsidP="00980876">
      <w:pPr>
        <w:widowControl w:val="0"/>
        <w:numPr>
          <w:ilvl w:val="0"/>
          <w:numId w:val="668"/>
        </w:numPr>
        <w:spacing w:after="0" w:line="240" w:lineRule="auto"/>
        <w:ind w:left="993"/>
        <w:contextualSpacing/>
        <w:jc w:val="both"/>
        <w:rPr>
          <w:rFonts w:ascii="Times New Roman" w:eastAsia="Times New Roman" w:hAnsi="Times New Roman" w:cs="Times New Roman"/>
          <w:bCs/>
        </w:rPr>
      </w:pPr>
      <w:r w:rsidRPr="00AB7D64">
        <w:rPr>
          <w:rFonts w:ascii="Times New Roman" w:eastAsia="Times New Roman" w:hAnsi="Times New Roman" w:cs="Times New Roman"/>
          <w:bCs/>
        </w:rPr>
        <w:t>Ismeri a páncélos- és gépjárműtechnikai eszközök szerkezeti részeinek igénybevételét.</w:t>
      </w:r>
    </w:p>
    <w:p w:rsidR="00AB7D64" w:rsidRPr="00AB7D64" w:rsidRDefault="00AB7D64" w:rsidP="00980876">
      <w:pPr>
        <w:widowControl w:val="0"/>
        <w:numPr>
          <w:ilvl w:val="0"/>
          <w:numId w:val="668"/>
        </w:numPr>
        <w:spacing w:after="0" w:line="240" w:lineRule="auto"/>
        <w:ind w:left="993"/>
        <w:contextualSpacing/>
        <w:jc w:val="both"/>
        <w:rPr>
          <w:rFonts w:ascii="Times New Roman" w:eastAsia="Times New Roman" w:hAnsi="Times New Roman" w:cs="Times New Roman"/>
          <w:bCs/>
        </w:rPr>
      </w:pPr>
      <w:r w:rsidRPr="00AB7D64">
        <w:rPr>
          <w:rFonts w:ascii="Times New Roman" w:eastAsia="Times New Roman" w:hAnsi="Times New Roman" w:cs="Times New Roman"/>
          <w:bCs/>
        </w:rPr>
        <w:lastRenderedPageBreak/>
        <w:t>Ismeri a legújabb gépjárműtechnikai megoldásokat.</w:t>
      </w:r>
    </w:p>
    <w:p w:rsidR="00AB7D64" w:rsidRPr="00AB7D64" w:rsidRDefault="00AB7D64" w:rsidP="00980876">
      <w:pPr>
        <w:widowControl w:val="0"/>
        <w:numPr>
          <w:ilvl w:val="0"/>
          <w:numId w:val="668"/>
        </w:numPr>
        <w:spacing w:after="0" w:line="240" w:lineRule="auto"/>
        <w:ind w:left="993"/>
        <w:contextualSpacing/>
        <w:jc w:val="both"/>
        <w:rPr>
          <w:rFonts w:ascii="Times New Roman" w:eastAsia="Calibri" w:hAnsi="Times New Roman" w:cs="Times New Roman"/>
        </w:rPr>
      </w:pPr>
      <w:r w:rsidRPr="00AB7D64">
        <w:rPr>
          <w:rFonts w:ascii="Times New Roman" w:eastAsia="Times New Roman" w:hAnsi="Times New Roman" w:cs="Times New Roman"/>
          <w:bCs/>
        </w:rPr>
        <w:t>Ismeri a páncélos- és gépjárműtechnikai eszközök fődarabjainak és részegységeinek karbantartását, ellenőrzését, az egyes szerelési egységek hibáinak behatárolási és javítási módjait.</w:t>
      </w:r>
    </w:p>
    <w:p w:rsidR="00AB7D64" w:rsidRPr="00AB7D64" w:rsidRDefault="00AB7D64" w:rsidP="00980876">
      <w:pPr>
        <w:widowControl w:val="0"/>
        <w:numPr>
          <w:ilvl w:val="0"/>
          <w:numId w:val="668"/>
        </w:numPr>
        <w:spacing w:after="0" w:line="240" w:lineRule="auto"/>
        <w:ind w:left="993"/>
        <w:contextualSpacing/>
        <w:jc w:val="both"/>
        <w:rPr>
          <w:rFonts w:ascii="Times New Roman" w:eastAsia="Times New Roman" w:hAnsi="Times New Roman" w:cs="Times New Roman"/>
          <w:bCs/>
        </w:rPr>
      </w:pPr>
      <w:r w:rsidRPr="00AB7D64">
        <w:rPr>
          <w:rFonts w:ascii="Times New Roman" w:eastAsia="Times New Roman" w:hAnsi="Times New Roman" w:cs="Times New Roman"/>
          <w:bCs/>
        </w:rPr>
        <w:t>Ismeri a szakfeladatainak ellátásához szükséges munkavédelmi rendszabályokat.</w:t>
      </w:r>
    </w:p>
    <w:p w:rsidR="00AB7D64" w:rsidRPr="00AB7D64" w:rsidRDefault="00AB7D64" w:rsidP="00980876">
      <w:pPr>
        <w:widowControl w:val="0"/>
        <w:numPr>
          <w:ilvl w:val="0"/>
          <w:numId w:val="668"/>
        </w:numPr>
        <w:spacing w:after="0" w:line="240" w:lineRule="auto"/>
        <w:ind w:left="993"/>
        <w:contextualSpacing/>
        <w:jc w:val="both"/>
        <w:rPr>
          <w:rFonts w:ascii="Times New Roman" w:eastAsia="Times New Roman" w:hAnsi="Times New Roman" w:cs="Times New Roman"/>
          <w:bCs/>
        </w:rPr>
      </w:pPr>
      <w:r w:rsidRPr="00AB7D64">
        <w:rPr>
          <w:rFonts w:ascii="Times New Roman" w:eastAsia="Times New Roman" w:hAnsi="Times New Roman" w:cs="Times New Roman"/>
          <w:bCs/>
        </w:rPr>
        <w:t>Megfelelő mélységű és spektrumú páncélos- és gépjárműtechnikai típusismerettel rendelkezik.</w:t>
      </w:r>
    </w:p>
    <w:p w:rsidR="00AB7D64" w:rsidRPr="00AB7D64" w:rsidRDefault="00AB7D64" w:rsidP="00AB7D64">
      <w:pPr>
        <w:widowControl w:val="0"/>
        <w:spacing w:before="120" w:after="120" w:line="240" w:lineRule="auto"/>
        <w:ind w:left="426"/>
        <w:jc w:val="both"/>
        <w:rPr>
          <w:rFonts w:ascii="Times New Roman" w:eastAsia="Times New Roman" w:hAnsi="Times New Roman" w:cs="Times New Roman"/>
          <w:bCs/>
        </w:rPr>
      </w:pPr>
      <w:r w:rsidRPr="00AB7D64">
        <w:rPr>
          <w:rFonts w:ascii="Times New Roman" w:eastAsia="Times New Roman" w:hAnsi="Times New Roman" w:cs="Times New Roman"/>
          <w:b/>
          <w:bCs/>
        </w:rPr>
        <w:t>Képességei:</w:t>
      </w:r>
    </w:p>
    <w:p w:rsidR="00AB7D64" w:rsidRPr="00AB7D64" w:rsidRDefault="00AB7D64" w:rsidP="00980876">
      <w:pPr>
        <w:widowControl w:val="0"/>
        <w:numPr>
          <w:ilvl w:val="0"/>
          <w:numId w:val="669"/>
        </w:numPr>
        <w:spacing w:after="0" w:line="240" w:lineRule="auto"/>
        <w:ind w:left="993"/>
        <w:contextualSpacing/>
        <w:jc w:val="both"/>
        <w:rPr>
          <w:rFonts w:ascii="Times New Roman" w:eastAsia="Times New Roman" w:hAnsi="Times New Roman" w:cs="Times New Roman"/>
          <w:bCs/>
        </w:rPr>
      </w:pPr>
      <w:r w:rsidRPr="00AB7D64">
        <w:rPr>
          <w:rFonts w:ascii="Times New Roman" w:eastAsia="Times New Roman" w:hAnsi="Times New Roman" w:cs="Times New Roman"/>
          <w:bCs/>
        </w:rPr>
        <w:t>Képes a szakterületén rendszeresített és használt berendezések és technikai eszközök használatának megszervezésére és hatékony alkalmazására.</w:t>
      </w:r>
    </w:p>
    <w:p w:rsidR="00AB7D64" w:rsidRPr="00AB7D64" w:rsidRDefault="00AB7D64" w:rsidP="00980876">
      <w:pPr>
        <w:widowControl w:val="0"/>
        <w:numPr>
          <w:ilvl w:val="0"/>
          <w:numId w:val="669"/>
        </w:numPr>
        <w:spacing w:after="0" w:line="240" w:lineRule="auto"/>
        <w:ind w:left="993"/>
        <w:contextualSpacing/>
        <w:jc w:val="both"/>
        <w:rPr>
          <w:rFonts w:ascii="Times New Roman" w:eastAsia="Times New Roman" w:hAnsi="Times New Roman" w:cs="Times New Roman"/>
          <w:bCs/>
        </w:rPr>
      </w:pPr>
      <w:r w:rsidRPr="00AB7D64">
        <w:rPr>
          <w:rFonts w:ascii="Times New Roman" w:eastAsia="Times New Roman" w:hAnsi="Times New Roman" w:cs="Times New Roman"/>
          <w:bCs/>
        </w:rPr>
        <w:t>Képes a technológiai utasításoknak megfelelően a páncélos- és gépjárműtechnikai eszközök technikai kiszolgálásának szakszerű végrehajtására, illetve a végrehajtás megszervezésére és ellenőrzésére.</w:t>
      </w:r>
    </w:p>
    <w:p w:rsidR="00AB7D64" w:rsidRPr="00AB7D64" w:rsidRDefault="00AB7D64" w:rsidP="00980876">
      <w:pPr>
        <w:widowControl w:val="0"/>
        <w:numPr>
          <w:ilvl w:val="0"/>
          <w:numId w:val="669"/>
        </w:numPr>
        <w:spacing w:after="0" w:line="240" w:lineRule="auto"/>
        <w:ind w:left="993"/>
        <w:contextualSpacing/>
        <w:jc w:val="both"/>
        <w:rPr>
          <w:rFonts w:ascii="Times New Roman" w:eastAsia="Times New Roman" w:hAnsi="Times New Roman" w:cs="Times New Roman"/>
          <w:bCs/>
        </w:rPr>
      </w:pPr>
      <w:r w:rsidRPr="00AB7D64">
        <w:rPr>
          <w:rFonts w:ascii="Times New Roman" w:eastAsia="Times New Roman" w:hAnsi="Times New Roman" w:cs="Times New Roman"/>
          <w:bCs/>
        </w:rPr>
        <w:t>Képes az alegységszinten elvégzendő szükség szerinti javítások megszervezésére, végrehajtására és a végrehajtás ellenőrzésére.</w:t>
      </w:r>
    </w:p>
    <w:p w:rsidR="00AB7D64" w:rsidRPr="00AB7D64" w:rsidRDefault="00AB7D64" w:rsidP="00980876">
      <w:pPr>
        <w:widowControl w:val="0"/>
        <w:numPr>
          <w:ilvl w:val="0"/>
          <w:numId w:val="669"/>
        </w:numPr>
        <w:spacing w:after="0" w:line="240" w:lineRule="auto"/>
        <w:ind w:left="993"/>
        <w:contextualSpacing/>
        <w:jc w:val="both"/>
        <w:rPr>
          <w:rFonts w:ascii="Times New Roman" w:eastAsia="Times New Roman" w:hAnsi="Times New Roman" w:cs="Times New Roman"/>
          <w:bCs/>
        </w:rPr>
      </w:pPr>
      <w:r w:rsidRPr="00AB7D64">
        <w:rPr>
          <w:rFonts w:ascii="Times New Roman" w:eastAsia="Times New Roman" w:hAnsi="Times New Roman" w:cs="Times New Roman"/>
          <w:bCs/>
        </w:rPr>
        <w:t>Képes a páncélos- és gépjárműtechnikai eszközök rendszerben tartását tervezni, szervezni és irányítani.</w:t>
      </w:r>
    </w:p>
    <w:p w:rsidR="00AB7D64" w:rsidRPr="00AB7D64" w:rsidRDefault="00AB7D64" w:rsidP="00980876">
      <w:pPr>
        <w:widowControl w:val="0"/>
        <w:numPr>
          <w:ilvl w:val="0"/>
          <w:numId w:val="669"/>
        </w:numPr>
        <w:spacing w:after="0" w:line="240" w:lineRule="auto"/>
        <w:ind w:left="993"/>
        <w:contextualSpacing/>
        <w:jc w:val="both"/>
        <w:rPr>
          <w:rFonts w:ascii="Times New Roman" w:eastAsia="Times New Roman" w:hAnsi="Times New Roman" w:cs="Times New Roman"/>
          <w:bCs/>
        </w:rPr>
      </w:pPr>
      <w:r w:rsidRPr="00AB7D64">
        <w:rPr>
          <w:rFonts w:ascii="Times New Roman" w:eastAsia="Times New Roman" w:hAnsi="Times New Roman" w:cs="Times New Roman"/>
          <w:bCs/>
        </w:rPr>
        <w:t>Képes a biztonságos munkavégzés feltételeit megteremteni, a biztonságos munkavégzéshez szükséges szabályokat másokkal is betartatni.</w:t>
      </w:r>
    </w:p>
    <w:p w:rsidR="00AB7D64" w:rsidRPr="00AB7D64" w:rsidRDefault="00AB7D64" w:rsidP="00980876">
      <w:pPr>
        <w:widowControl w:val="0"/>
        <w:numPr>
          <w:ilvl w:val="0"/>
          <w:numId w:val="669"/>
        </w:numPr>
        <w:spacing w:after="0" w:line="240" w:lineRule="auto"/>
        <w:ind w:left="993"/>
        <w:contextualSpacing/>
        <w:jc w:val="both"/>
        <w:rPr>
          <w:rFonts w:ascii="Times New Roman" w:eastAsia="Times New Roman" w:hAnsi="Times New Roman" w:cs="Times New Roman"/>
          <w:bCs/>
        </w:rPr>
      </w:pPr>
      <w:r w:rsidRPr="00AB7D64">
        <w:rPr>
          <w:rFonts w:ascii="Times New Roman" w:eastAsia="Times New Roman" w:hAnsi="Times New Roman" w:cs="Times New Roman"/>
          <w:bCs/>
        </w:rPr>
        <w:t>Képes az alárendeltségében levő szakjavító alegység munkájának a megtervezésére, megszervezésére, irányítására és ellenőrzésére.</w:t>
      </w:r>
    </w:p>
    <w:p w:rsidR="00AB7D64" w:rsidRPr="00AB7D64" w:rsidRDefault="00AB7D64" w:rsidP="00980876">
      <w:pPr>
        <w:widowControl w:val="0"/>
        <w:numPr>
          <w:ilvl w:val="0"/>
          <w:numId w:val="669"/>
        </w:numPr>
        <w:spacing w:after="0" w:line="240" w:lineRule="auto"/>
        <w:ind w:left="993"/>
        <w:contextualSpacing/>
        <w:jc w:val="both"/>
        <w:rPr>
          <w:rFonts w:ascii="Times New Roman" w:eastAsia="Times New Roman" w:hAnsi="Times New Roman" w:cs="Times New Roman"/>
          <w:bCs/>
        </w:rPr>
      </w:pPr>
      <w:r w:rsidRPr="00AB7D64">
        <w:rPr>
          <w:rFonts w:ascii="Times New Roman" w:eastAsia="Times New Roman" w:hAnsi="Times New Roman" w:cs="Times New Roman"/>
          <w:bCs/>
        </w:rPr>
        <w:t>Képes a megtanultakat felhasználva a szakterületén felmerülő új műszaki információkat megérteni és megtanulni.</w:t>
      </w:r>
    </w:p>
    <w:p w:rsidR="00AB7D64" w:rsidRPr="00AB7D64" w:rsidRDefault="00AB7D64" w:rsidP="00AB7D64">
      <w:pPr>
        <w:widowControl w:val="0"/>
        <w:spacing w:before="120" w:after="120" w:line="240" w:lineRule="auto"/>
        <w:ind w:left="426"/>
        <w:jc w:val="both"/>
        <w:rPr>
          <w:rFonts w:ascii="Times New Roman" w:eastAsia="Times New Roman" w:hAnsi="Times New Roman" w:cs="Times New Roman"/>
          <w:bCs/>
        </w:rPr>
      </w:pPr>
      <w:r w:rsidRPr="00AB7D64">
        <w:rPr>
          <w:rFonts w:ascii="Times New Roman" w:eastAsia="Times New Roman" w:hAnsi="Times New Roman" w:cs="Times New Roman"/>
          <w:b/>
          <w:bCs/>
        </w:rPr>
        <w:t>Attitűdje:</w:t>
      </w:r>
    </w:p>
    <w:p w:rsidR="00AB7D64" w:rsidRPr="00AB7D64" w:rsidRDefault="00AB7D64" w:rsidP="00980876">
      <w:pPr>
        <w:widowControl w:val="0"/>
        <w:numPr>
          <w:ilvl w:val="0"/>
          <w:numId w:val="670"/>
        </w:numPr>
        <w:spacing w:after="0" w:line="240" w:lineRule="auto"/>
        <w:ind w:left="993"/>
        <w:contextualSpacing/>
        <w:jc w:val="both"/>
        <w:rPr>
          <w:rFonts w:ascii="Times New Roman" w:eastAsia="Times New Roman" w:hAnsi="Times New Roman" w:cs="Times New Roman"/>
          <w:bCs/>
        </w:rPr>
      </w:pPr>
      <w:r w:rsidRPr="00AB7D64">
        <w:rPr>
          <w:rFonts w:ascii="Times New Roman" w:eastAsia="Times New Roman" w:hAnsi="Times New Roman" w:cs="Times New Roman"/>
          <w:bCs/>
        </w:rPr>
        <w:t>Nyitott a páncélos- és gépjárműtechnikával kapcsolatos szakmai ismereteinek gyarapítása iránt, folyamatos önképzési igény jellemzi.</w:t>
      </w:r>
    </w:p>
    <w:p w:rsidR="00AB7D64" w:rsidRPr="00AB7D64" w:rsidRDefault="00AB7D64" w:rsidP="00980876">
      <w:pPr>
        <w:widowControl w:val="0"/>
        <w:numPr>
          <w:ilvl w:val="0"/>
          <w:numId w:val="670"/>
        </w:numPr>
        <w:spacing w:after="0" w:line="240" w:lineRule="auto"/>
        <w:ind w:left="993"/>
        <w:contextualSpacing/>
        <w:jc w:val="both"/>
        <w:rPr>
          <w:rFonts w:ascii="Times New Roman" w:eastAsia="Times New Roman" w:hAnsi="Times New Roman" w:cs="Times New Roman"/>
          <w:bCs/>
        </w:rPr>
      </w:pPr>
      <w:r w:rsidRPr="00AB7D64">
        <w:rPr>
          <w:rFonts w:ascii="Times New Roman" w:eastAsia="Times New Roman" w:hAnsi="Times New Roman" w:cs="Times New Roman"/>
          <w:bCs/>
        </w:rPr>
        <w:t>Törekszik munkája során a vonatkozó szabályok betartására és betartatására.</w:t>
      </w:r>
    </w:p>
    <w:p w:rsidR="00AB7D64" w:rsidRPr="00AB7D64" w:rsidRDefault="00AB7D64" w:rsidP="00980876">
      <w:pPr>
        <w:widowControl w:val="0"/>
        <w:numPr>
          <w:ilvl w:val="0"/>
          <w:numId w:val="670"/>
        </w:numPr>
        <w:spacing w:after="0" w:line="240" w:lineRule="auto"/>
        <w:ind w:left="993"/>
        <w:contextualSpacing/>
        <w:jc w:val="both"/>
        <w:rPr>
          <w:rFonts w:ascii="Times New Roman" w:eastAsia="Times New Roman" w:hAnsi="Times New Roman" w:cs="Times New Roman"/>
          <w:bCs/>
        </w:rPr>
      </w:pPr>
      <w:r w:rsidRPr="00AB7D64">
        <w:rPr>
          <w:rFonts w:ascii="Times New Roman" w:eastAsia="Times New Roman" w:hAnsi="Times New Roman" w:cs="Times New Roman"/>
          <w:bCs/>
        </w:rPr>
        <w:t>Munkáját és emberi kapcsolatait a megbízhatóság jellemzi.</w:t>
      </w:r>
    </w:p>
    <w:p w:rsidR="00AB7D64" w:rsidRPr="00AB7D64" w:rsidRDefault="00AB7D64" w:rsidP="00980876">
      <w:pPr>
        <w:widowControl w:val="0"/>
        <w:numPr>
          <w:ilvl w:val="0"/>
          <w:numId w:val="670"/>
        </w:numPr>
        <w:spacing w:after="0" w:line="240" w:lineRule="auto"/>
        <w:ind w:left="993"/>
        <w:contextualSpacing/>
        <w:jc w:val="both"/>
        <w:rPr>
          <w:rFonts w:ascii="Times New Roman" w:eastAsia="Times New Roman" w:hAnsi="Times New Roman" w:cs="Times New Roman"/>
          <w:bCs/>
        </w:rPr>
      </w:pPr>
      <w:r w:rsidRPr="00AB7D64">
        <w:rPr>
          <w:rFonts w:ascii="Times New Roman" w:eastAsia="Times New Roman" w:hAnsi="Times New Roman" w:cs="Times New Roman"/>
          <w:bCs/>
        </w:rPr>
        <w:t>Nyitott a haditechnikai szakterület új eredményei felé, törekszik azok megismerésére.</w:t>
      </w:r>
    </w:p>
    <w:p w:rsidR="00AB7D64" w:rsidRPr="00AB7D64" w:rsidRDefault="00AB7D64" w:rsidP="00AB7D64">
      <w:pPr>
        <w:widowControl w:val="0"/>
        <w:spacing w:before="120" w:after="120" w:line="240" w:lineRule="auto"/>
        <w:ind w:left="426"/>
        <w:jc w:val="both"/>
        <w:rPr>
          <w:rFonts w:ascii="Times New Roman" w:eastAsia="Times New Roman" w:hAnsi="Times New Roman" w:cs="Times New Roman"/>
          <w:bCs/>
        </w:rPr>
      </w:pPr>
      <w:r w:rsidRPr="00AB7D64">
        <w:rPr>
          <w:rFonts w:ascii="Times New Roman" w:eastAsia="Times New Roman" w:hAnsi="Times New Roman" w:cs="Times New Roman"/>
          <w:b/>
          <w:bCs/>
        </w:rPr>
        <w:t>Autonómiája és felelőssége:</w:t>
      </w:r>
    </w:p>
    <w:p w:rsidR="00AB7D64" w:rsidRPr="00AB7D64" w:rsidRDefault="00AB7D64" w:rsidP="00980876">
      <w:pPr>
        <w:widowControl w:val="0"/>
        <w:numPr>
          <w:ilvl w:val="0"/>
          <w:numId w:val="671"/>
        </w:numPr>
        <w:spacing w:after="0" w:line="240" w:lineRule="auto"/>
        <w:ind w:left="993"/>
        <w:contextualSpacing/>
        <w:jc w:val="both"/>
        <w:rPr>
          <w:rFonts w:ascii="Times New Roman" w:eastAsia="Times New Roman" w:hAnsi="Times New Roman" w:cs="Times New Roman"/>
          <w:bCs/>
        </w:rPr>
      </w:pPr>
      <w:r w:rsidRPr="00AB7D64">
        <w:rPr>
          <w:rFonts w:ascii="Times New Roman" w:eastAsia="Times New Roman" w:hAnsi="Times New Roman" w:cs="Times New Roman"/>
          <w:bCs/>
        </w:rPr>
        <w:t>Képes alárendeltjeinek feladatait megszervezni és meghatározni, valamint elvégzett munkájukat szakmai szempontok alapján ellenőrizni.</w:t>
      </w:r>
    </w:p>
    <w:p w:rsidR="00AB7D64" w:rsidRPr="00AB7D64" w:rsidRDefault="00AB7D64" w:rsidP="00980876">
      <w:pPr>
        <w:widowControl w:val="0"/>
        <w:numPr>
          <w:ilvl w:val="0"/>
          <w:numId w:val="671"/>
        </w:numPr>
        <w:spacing w:after="0" w:line="240" w:lineRule="auto"/>
        <w:ind w:left="993"/>
        <w:contextualSpacing/>
        <w:jc w:val="both"/>
        <w:rPr>
          <w:rFonts w:ascii="Times New Roman" w:eastAsia="Times New Roman" w:hAnsi="Times New Roman" w:cs="Times New Roman"/>
          <w:bCs/>
        </w:rPr>
      </w:pPr>
      <w:r w:rsidRPr="00AB7D64">
        <w:rPr>
          <w:rFonts w:ascii="Times New Roman" w:eastAsia="Times New Roman" w:hAnsi="Times New Roman" w:cs="Times New Roman"/>
          <w:bCs/>
        </w:rPr>
        <w:t>A páncélos- és gépjárműtechnikai eszközök technikai kiszolgálása és javítása során képes elemzések végrehajtása után a legmegfelelőbb döntéseket meghozni, amely döntésekért a szakmai felelősséget vállalja.</w:t>
      </w:r>
    </w:p>
    <w:p w:rsidR="00AB7D64" w:rsidRPr="00AB7D64" w:rsidRDefault="00AB7D64" w:rsidP="00980876">
      <w:pPr>
        <w:widowControl w:val="0"/>
        <w:numPr>
          <w:ilvl w:val="0"/>
          <w:numId w:val="671"/>
        </w:numPr>
        <w:spacing w:after="0" w:line="240" w:lineRule="auto"/>
        <w:ind w:left="993"/>
        <w:contextualSpacing/>
        <w:jc w:val="both"/>
        <w:rPr>
          <w:rFonts w:ascii="Times New Roman" w:eastAsia="Times New Roman" w:hAnsi="Times New Roman" w:cs="Times New Roman"/>
          <w:bCs/>
        </w:rPr>
      </w:pPr>
      <w:r w:rsidRPr="00AB7D64">
        <w:rPr>
          <w:rFonts w:ascii="Times New Roman" w:eastAsia="Times New Roman" w:hAnsi="Times New Roman" w:cs="Times New Roman"/>
          <w:bCs/>
        </w:rPr>
        <w:t>Együttműködés és felelősség jellemzi szakterületének szakembereivel szemben.</w:t>
      </w:r>
    </w:p>
    <w:p w:rsidR="00AB7D64" w:rsidRPr="00AB7D64" w:rsidRDefault="00AB7D64" w:rsidP="00980876">
      <w:pPr>
        <w:widowControl w:val="0"/>
        <w:numPr>
          <w:ilvl w:val="0"/>
          <w:numId w:val="671"/>
        </w:numPr>
        <w:spacing w:after="0" w:line="240" w:lineRule="auto"/>
        <w:ind w:left="993"/>
        <w:contextualSpacing/>
        <w:jc w:val="both"/>
        <w:rPr>
          <w:rFonts w:ascii="Times New Roman" w:eastAsia="Times New Roman" w:hAnsi="Times New Roman" w:cs="Times New Roman"/>
          <w:bCs/>
        </w:rPr>
      </w:pPr>
      <w:r w:rsidRPr="00AB7D64">
        <w:rPr>
          <w:rFonts w:ascii="Times New Roman" w:eastAsia="Times New Roman" w:hAnsi="Times New Roman" w:cs="Times New Roman"/>
          <w:bCs/>
        </w:rPr>
        <w:t>Szakterületén belül képes rendszer-szemléletűen gondolkodni.</w:t>
      </w:r>
    </w:p>
    <w:p w:rsidR="00AB7D64" w:rsidRPr="00AB7D64" w:rsidRDefault="00AB7D64" w:rsidP="00AB7D64">
      <w:pPr>
        <w:widowControl w:val="0"/>
        <w:spacing w:before="120" w:after="120" w:line="240" w:lineRule="auto"/>
        <w:ind w:left="426"/>
        <w:jc w:val="both"/>
        <w:rPr>
          <w:rFonts w:ascii="Times New Roman" w:eastAsia="Times New Roman" w:hAnsi="Times New Roman" w:cs="Times New Roman"/>
          <w:b/>
          <w:bCs/>
          <w:lang w:val="en-US"/>
        </w:rPr>
      </w:pPr>
      <w:r w:rsidRPr="00AB7D64">
        <w:rPr>
          <w:rFonts w:ascii="Times New Roman" w:eastAsia="Times New Roman" w:hAnsi="Times New Roman" w:cs="Times New Roman"/>
          <w:b/>
          <w:bCs/>
        </w:rPr>
        <w:t>Elérendő kompetenciák (angolul) (</w:t>
      </w:r>
      <w:r w:rsidRPr="00AB7D64">
        <w:rPr>
          <w:rFonts w:ascii="Times New Roman" w:eastAsia="Times New Roman" w:hAnsi="Times New Roman" w:cs="Times New Roman"/>
          <w:b/>
          <w:bCs/>
          <w:lang w:val="en-US"/>
        </w:rPr>
        <w:t xml:space="preserve">Competences – English): </w:t>
      </w:r>
    </w:p>
    <w:p w:rsidR="00AB7D64" w:rsidRPr="00AB7D64" w:rsidRDefault="00AB7D64" w:rsidP="00AB7D64">
      <w:pPr>
        <w:widowControl w:val="0"/>
        <w:spacing w:before="120" w:after="120" w:line="240" w:lineRule="auto"/>
        <w:ind w:left="426"/>
        <w:jc w:val="both"/>
        <w:rPr>
          <w:rFonts w:ascii="Times New Roman" w:eastAsia="Times New Roman" w:hAnsi="Times New Roman" w:cs="Times New Roman"/>
          <w:lang w:val="en-GB"/>
        </w:rPr>
      </w:pPr>
      <w:r w:rsidRPr="00AB7D64">
        <w:rPr>
          <w:rFonts w:ascii="Times New Roman" w:eastAsia="Times New Roman" w:hAnsi="Times New Roman" w:cs="Times New Roman"/>
          <w:b/>
          <w:lang w:val="en-GB"/>
        </w:rPr>
        <w:t>Knowledge</w:t>
      </w:r>
      <w:r w:rsidRPr="00AB7D64">
        <w:rPr>
          <w:rFonts w:ascii="Times New Roman" w:eastAsia="Times New Roman" w:hAnsi="Times New Roman" w:cs="Times New Roman"/>
          <w:lang w:val="en-GB"/>
        </w:rPr>
        <w:t>:</w:t>
      </w:r>
    </w:p>
    <w:p w:rsidR="00AB7D64" w:rsidRPr="00AB7D64" w:rsidRDefault="00AB7D64" w:rsidP="00980876">
      <w:pPr>
        <w:widowControl w:val="0"/>
        <w:numPr>
          <w:ilvl w:val="0"/>
          <w:numId w:val="672"/>
        </w:numPr>
        <w:spacing w:after="0" w:line="240" w:lineRule="auto"/>
        <w:ind w:left="993"/>
        <w:contextualSpacing/>
        <w:jc w:val="both"/>
        <w:rPr>
          <w:rFonts w:ascii="Times New Roman" w:eastAsia="Times New Roman" w:hAnsi="Times New Roman" w:cs="Times New Roman"/>
          <w:bCs/>
          <w:lang w:val="en-GB"/>
        </w:rPr>
      </w:pPr>
      <w:r w:rsidRPr="00AB7D64">
        <w:rPr>
          <w:rFonts w:ascii="Times New Roman" w:eastAsia="Times New Roman" w:hAnsi="Times New Roman" w:cs="Times New Roman"/>
          <w:bCs/>
          <w:lang w:val="en-GB"/>
        </w:rPr>
        <w:t>Knows the structure and equipment as well as the functioning and operation of armoured vehicles.</w:t>
      </w:r>
    </w:p>
    <w:p w:rsidR="00AB7D64" w:rsidRPr="00AB7D64" w:rsidRDefault="00AB7D64" w:rsidP="00980876">
      <w:pPr>
        <w:widowControl w:val="0"/>
        <w:numPr>
          <w:ilvl w:val="0"/>
          <w:numId w:val="672"/>
        </w:numPr>
        <w:spacing w:after="0" w:line="240" w:lineRule="auto"/>
        <w:ind w:left="993"/>
        <w:contextualSpacing/>
        <w:jc w:val="both"/>
        <w:rPr>
          <w:rFonts w:ascii="Times New Roman" w:eastAsia="Times New Roman" w:hAnsi="Times New Roman" w:cs="Times New Roman"/>
          <w:bCs/>
          <w:lang w:val="en-GB"/>
        </w:rPr>
      </w:pPr>
      <w:r w:rsidRPr="00AB7D64">
        <w:rPr>
          <w:rFonts w:ascii="Times New Roman" w:eastAsia="Times New Roman" w:hAnsi="Times New Roman" w:cs="Times New Roman"/>
          <w:bCs/>
          <w:lang w:val="en-GB"/>
        </w:rPr>
        <w:t>Knows the usage circumstances of the structural parts of armoured vehicles.</w:t>
      </w:r>
    </w:p>
    <w:p w:rsidR="00AB7D64" w:rsidRPr="00AB7D64" w:rsidRDefault="00AB7D64" w:rsidP="00980876">
      <w:pPr>
        <w:widowControl w:val="0"/>
        <w:numPr>
          <w:ilvl w:val="0"/>
          <w:numId w:val="672"/>
        </w:numPr>
        <w:spacing w:after="0" w:line="240" w:lineRule="auto"/>
        <w:ind w:left="993"/>
        <w:contextualSpacing/>
        <w:jc w:val="both"/>
        <w:rPr>
          <w:rFonts w:ascii="Times New Roman" w:eastAsia="Times New Roman" w:hAnsi="Times New Roman" w:cs="Times New Roman"/>
          <w:bCs/>
          <w:lang w:val="en-GB"/>
        </w:rPr>
      </w:pPr>
      <w:r w:rsidRPr="00AB7D64">
        <w:rPr>
          <w:rFonts w:ascii="Times New Roman" w:eastAsia="Times New Roman" w:hAnsi="Times New Roman" w:cs="Times New Roman"/>
          <w:bCs/>
          <w:lang w:val="en-GB"/>
        </w:rPr>
        <w:t>Knows the latest solutions regarding armoured vehicles.</w:t>
      </w:r>
    </w:p>
    <w:p w:rsidR="00AB7D64" w:rsidRPr="00AB7D64" w:rsidRDefault="00AB7D64" w:rsidP="00980876">
      <w:pPr>
        <w:widowControl w:val="0"/>
        <w:numPr>
          <w:ilvl w:val="0"/>
          <w:numId w:val="672"/>
        </w:numPr>
        <w:spacing w:after="0" w:line="240" w:lineRule="auto"/>
        <w:ind w:left="993"/>
        <w:contextualSpacing/>
        <w:jc w:val="both"/>
        <w:rPr>
          <w:rFonts w:ascii="Times New Roman" w:eastAsia="Times New Roman" w:hAnsi="Times New Roman" w:cs="Times New Roman"/>
          <w:bCs/>
          <w:lang w:val="en-GB"/>
        </w:rPr>
      </w:pPr>
      <w:r w:rsidRPr="00AB7D64">
        <w:rPr>
          <w:rFonts w:ascii="Times New Roman" w:eastAsia="Times New Roman" w:hAnsi="Times New Roman" w:cs="Times New Roman"/>
          <w:bCs/>
          <w:lang w:val="en-GB"/>
        </w:rPr>
        <w:t>Knows how to maintain and control the main parts and units of armoured vehicles, as well as the ways to identify and repair the defects of certain parts.</w:t>
      </w:r>
    </w:p>
    <w:p w:rsidR="00AB7D64" w:rsidRPr="00AB7D64" w:rsidRDefault="00AB7D64" w:rsidP="00980876">
      <w:pPr>
        <w:widowControl w:val="0"/>
        <w:numPr>
          <w:ilvl w:val="0"/>
          <w:numId w:val="672"/>
        </w:numPr>
        <w:spacing w:after="0" w:line="240" w:lineRule="auto"/>
        <w:ind w:left="993"/>
        <w:contextualSpacing/>
        <w:jc w:val="both"/>
        <w:rPr>
          <w:rFonts w:ascii="Times New Roman" w:eastAsia="Times New Roman" w:hAnsi="Times New Roman" w:cs="Times New Roman"/>
          <w:bCs/>
          <w:lang w:val="en-GB"/>
        </w:rPr>
      </w:pPr>
      <w:r w:rsidRPr="00AB7D64">
        <w:rPr>
          <w:rFonts w:ascii="Times New Roman" w:eastAsia="Times New Roman" w:hAnsi="Times New Roman" w:cs="Times New Roman"/>
          <w:bCs/>
          <w:lang w:val="en-GB"/>
        </w:rPr>
        <w:t>Knows the work safety regulations required for fulfilling his/her professional tasks.</w:t>
      </w:r>
    </w:p>
    <w:p w:rsidR="00AB7D64" w:rsidRPr="00AB7D64" w:rsidRDefault="00AB7D64" w:rsidP="00980876">
      <w:pPr>
        <w:widowControl w:val="0"/>
        <w:numPr>
          <w:ilvl w:val="0"/>
          <w:numId w:val="672"/>
        </w:numPr>
        <w:spacing w:after="0" w:line="240" w:lineRule="auto"/>
        <w:ind w:left="993"/>
        <w:contextualSpacing/>
        <w:jc w:val="both"/>
        <w:rPr>
          <w:rFonts w:ascii="Times New Roman" w:eastAsia="Times New Roman" w:hAnsi="Times New Roman" w:cs="Times New Roman"/>
          <w:lang w:val="en-GB"/>
        </w:rPr>
      </w:pPr>
      <w:r w:rsidRPr="00AB7D64">
        <w:rPr>
          <w:rFonts w:ascii="Times New Roman" w:eastAsia="Times New Roman" w:hAnsi="Times New Roman" w:cs="Times New Roman"/>
          <w:bCs/>
          <w:lang w:val="en-GB"/>
        </w:rPr>
        <w:t>Possesses knowledge of adequate depth and spectrum regarding armoured vehicle types.</w:t>
      </w:r>
    </w:p>
    <w:p w:rsidR="00AB7D64" w:rsidRPr="00AB7D64" w:rsidRDefault="00AB7D64" w:rsidP="00AB7D64">
      <w:pPr>
        <w:widowControl w:val="0"/>
        <w:spacing w:before="120" w:after="120" w:line="240" w:lineRule="auto"/>
        <w:ind w:left="426"/>
        <w:jc w:val="both"/>
        <w:rPr>
          <w:rFonts w:ascii="Times New Roman" w:eastAsia="Times New Roman" w:hAnsi="Times New Roman" w:cs="Times New Roman"/>
          <w:lang w:val="en-GB"/>
        </w:rPr>
      </w:pPr>
      <w:r w:rsidRPr="00AB7D64">
        <w:rPr>
          <w:rFonts w:ascii="Times New Roman" w:eastAsia="Times New Roman" w:hAnsi="Times New Roman" w:cs="Times New Roman"/>
          <w:b/>
          <w:lang w:val="en-GB"/>
        </w:rPr>
        <w:t>Capabilities</w:t>
      </w:r>
      <w:r w:rsidRPr="00AB7D64">
        <w:rPr>
          <w:rFonts w:ascii="Times New Roman" w:eastAsia="Times New Roman" w:hAnsi="Times New Roman" w:cs="Times New Roman"/>
          <w:lang w:val="en-GB"/>
        </w:rPr>
        <w:t>:</w:t>
      </w:r>
    </w:p>
    <w:p w:rsidR="00AB7D64" w:rsidRPr="00AB7D64" w:rsidRDefault="00AB7D64" w:rsidP="00980876">
      <w:pPr>
        <w:widowControl w:val="0"/>
        <w:numPr>
          <w:ilvl w:val="0"/>
          <w:numId w:val="673"/>
        </w:numPr>
        <w:spacing w:after="0" w:line="240" w:lineRule="auto"/>
        <w:ind w:left="993"/>
        <w:contextualSpacing/>
        <w:jc w:val="both"/>
        <w:rPr>
          <w:rFonts w:ascii="Times New Roman" w:eastAsia="Times New Roman" w:hAnsi="Times New Roman" w:cs="Times New Roman"/>
          <w:bCs/>
          <w:lang w:val="en-GB"/>
        </w:rPr>
      </w:pPr>
      <w:r w:rsidRPr="00AB7D64">
        <w:rPr>
          <w:rFonts w:ascii="Times New Roman" w:eastAsia="Times New Roman" w:hAnsi="Times New Roman" w:cs="Times New Roman"/>
          <w:bCs/>
          <w:lang w:val="en-GB"/>
        </w:rPr>
        <w:t>Is capable of organizing and efficiently utilizing the usage of the equipment and technical appliances applied in his/her respective specialty field.</w:t>
      </w:r>
    </w:p>
    <w:p w:rsidR="00AB7D64" w:rsidRPr="00AB7D64" w:rsidRDefault="00AB7D64" w:rsidP="00980876">
      <w:pPr>
        <w:widowControl w:val="0"/>
        <w:numPr>
          <w:ilvl w:val="0"/>
          <w:numId w:val="673"/>
        </w:numPr>
        <w:spacing w:after="0" w:line="240" w:lineRule="auto"/>
        <w:ind w:left="993"/>
        <w:contextualSpacing/>
        <w:jc w:val="both"/>
        <w:rPr>
          <w:rFonts w:ascii="Times New Roman" w:eastAsia="Times New Roman" w:hAnsi="Times New Roman" w:cs="Times New Roman"/>
          <w:bCs/>
          <w:lang w:val="en-GB"/>
        </w:rPr>
      </w:pPr>
      <w:r w:rsidRPr="00AB7D64">
        <w:rPr>
          <w:rFonts w:ascii="Times New Roman" w:eastAsia="Times New Roman" w:hAnsi="Times New Roman" w:cs="Times New Roman"/>
          <w:bCs/>
          <w:lang w:val="en-GB"/>
        </w:rPr>
        <w:lastRenderedPageBreak/>
        <w:t>Is capable of professionally executing as well as planning and controlling the execution of the technical maintenance of armoured vehicles based on the technological commands.</w:t>
      </w:r>
    </w:p>
    <w:p w:rsidR="00AB7D64" w:rsidRPr="00AB7D64" w:rsidRDefault="00AB7D64" w:rsidP="00980876">
      <w:pPr>
        <w:widowControl w:val="0"/>
        <w:numPr>
          <w:ilvl w:val="0"/>
          <w:numId w:val="673"/>
        </w:numPr>
        <w:spacing w:after="0" w:line="240" w:lineRule="auto"/>
        <w:ind w:left="993"/>
        <w:contextualSpacing/>
        <w:jc w:val="both"/>
        <w:rPr>
          <w:rFonts w:ascii="Times New Roman" w:eastAsia="Times New Roman" w:hAnsi="Times New Roman" w:cs="Times New Roman"/>
          <w:bCs/>
          <w:lang w:val="en-GB"/>
        </w:rPr>
      </w:pPr>
      <w:r w:rsidRPr="00AB7D64">
        <w:rPr>
          <w:rFonts w:ascii="Times New Roman" w:eastAsia="Times New Roman" w:hAnsi="Times New Roman" w:cs="Times New Roman"/>
          <w:bCs/>
          <w:lang w:val="en-GB"/>
        </w:rPr>
        <w:t>Is capable of organizing, executing and controlling the repairs required at a subunit level.</w:t>
      </w:r>
    </w:p>
    <w:p w:rsidR="00AB7D64" w:rsidRPr="00AB7D64" w:rsidRDefault="00AB7D64" w:rsidP="00980876">
      <w:pPr>
        <w:widowControl w:val="0"/>
        <w:numPr>
          <w:ilvl w:val="0"/>
          <w:numId w:val="673"/>
        </w:numPr>
        <w:spacing w:after="0" w:line="240" w:lineRule="auto"/>
        <w:ind w:left="993"/>
        <w:contextualSpacing/>
        <w:jc w:val="both"/>
        <w:rPr>
          <w:rFonts w:ascii="Times New Roman" w:eastAsia="Times New Roman" w:hAnsi="Times New Roman" w:cs="Times New Roman"/>
          <w:bCs/>
          <w:lang w:val="en-GB"/>
        </w:rPr>
      </w:pPr>
      <w:r w:rsidRPr="00AB7D64">
        <w:rPr>
          <w:rFonts w:ascii="Times New Roman" w:eastAsia="Times New Roman" w:hAnsi="Times New Roman" w:cs="Times New Roman"/>
          <w:bCs/>
          <w:lang w:val="en-GB"/>
        </w:rPr>
        <w:t>Is capable of planning, organizing and managing the maintenance and supply of the armored vehicles.</w:t>
      </w:r>
    </w:p>
    <w:p w:rsidR="00AB7D64" w:rsidRPr="00AB7D64" w:rsidRDefault="00AB7D64" w:rsidP="00980876">
      <w:pPr>
        <w:widowControl w:val="0"/>
        <w:numPr>
          <w:ilvl w:val="0"/>
          <w:numId w:val="673"/>
        </w:numPr>
        <w:spacing w:after="0" w:line="240" w:lineRule="auto"/>
        <w:ind w:left="993"/>
        <w:contextualSpacing/>
        <w:jc w:val="both"/>
        <w:rPr>
          <w:rFonts w:ascii="Times New Roman" w:eastAsia="Times New Roman" w:hAnsi="Times New Roman" w:cs="Times New Roman"/>
          <w:bCs/>
          <w:lang w:val="en-GB"/>
        </w:rPr>
      </w:pPr>
      <w:r w:rsidRPr="00AB7D64">
        <w:rPr>
          <w:rFonts w:ascii="Times New Roman" w:eastAsia="Times New Roman" w:hAnsi="Times New Roman" w:cs="Times New Roman"/>
          <w:bCs/>
          <w:lang w:val="en-GB"/>
        </w:rPr>
        <w:t>Is capable of preparing the conditions of a safe working environment and making others adhere to the rules of work safety.</w:t>
      </w:r>
    </w:p>
    <w:p w:rsidR="00AB7D64" w:rsidRPr="00AB7D64" w:rsidRDefault="00AB7D64" w:rsidP="00980876">
      <w:pPr>
        <w:widowControl w:val="0"/>
        <w:numPr>
          <w:ilvl w:val="0"/>
          <w:numId w:val="673"/>
        </w:numPr>
        <w:spacing w:after="0" w:line="240" w:lineRule="auto"/>
        <w:ind w:left="993"/>
        <w:contextualSpacing/>
        <w:jc w:val="both"/>
        <w:rPr>
          <w:rFonts w:ascii="Times New Roman" w:eastAsia="Times New Roman" w:hAnsi="Times New Roman" w:cs="Times New Roman"/>
          <w:bCs/>
          <w:lang w:val="en-GB"/>
        </w:rPr>
      </w:pPr>
      <w:r w:rsidRPr="00AB7D64">
        <w:rPr>
          <w:rFonts w:ascii="Times New Roman" w:eastAsia="Times New Roman" w:hAnsi="Times New Roman" w:cs="Times New Roman"/>
          <w:bCs/>
          <w:lang w:val="en-GB"/>
        </w:rPr>
        <w:t>Is capable of planning, organizing, managing and controlling the work of the maintenance sub-unit under his/her supervision.</w:t>
      </w:r>
    </w:p>
    <w:p w:rsidR="00AB7D64" w:rsidRPr="00AB7D64" w:rsidRDefault="00AB7D64" w:rsidP="00980876">
      <w:pPr>
        <w:widowControl w:val="0"/>
        <w:numPr>
          <w:ilvl w:val="0"/>
          <w:numId w:val="673"/>
        </w:numPr>
        <w:spacing w:after="120" w:line="240" w:lineRule="auto"/>
        <w:ind w:left="992" w:hanging="357"/>
        <w:contextualSpacing/>
        <w:jc w:val="both"/>
        <w:rPr>
          <w:rFonts w:ascii="Times New Roman" w:eastAsia="Times New Roman" w:hAnsi="Times New Roman" w:cs="Times New Roman"/>
          <w:lang w:val="en-GB"/>
        </w:rPr>
      </w:pPr>
      <w:r w:rsidRPr="00AB7D64">
        <w:rPr>
          <w:rFonts w:ascii="Times New Roman" w:eastAsia="Times New Roman" w:hAnsi="Times New Roman" w:cs="Times New Roman"/>
          <w:bCs/>
          <w:lang w:val="en-GB"/>
        </w:rPr>
        <w:t>Is capable of acquiring the understanding of new engineering information arising in his/her field of specialty using the already gained knowledge.</w:t>
      </w:r>
    </w:p>
    <w:p w:rsidR="00AB7D64" w:rsidRPr="00AB7D64" w:rsidRDefault="00AB7D64" w:rsidP="00AB7D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425"/>
        <w:jc w:val="both"/>
        <w:rPr>
          <w:rFonts w:ascii="Times New Roman" w:eastAsia="Times New Roman" w:hAnsi="Times New Roman" w:cs="Times New Roman"/>
          <w:lang w:val="en-GB"/>
        </w:rPr>
      </w:pPr>
      <w:r w:rsidRPr="00AB7D64">
        <w:rPr>
          <w:rFonts w:ascii="Times New Roman" w:eastAsia="Times New Roman" w:hAnsi="Times New Roman" w:cs="Times New Roman"/>
          <w:b/>
          <w:lang w:val="en-GB"/>
        </w:rPr>
        <w:t>Attitude:</w:t>
      </w:r>
    </w:p>
    <w:p w:rsidR="00AB7D64" w:rsidRPr="00AB7D64" w:rsidRDefault="00AB7D64" w:rsidP="00980876">
      <w:pPr>
        <w:numPr>
          <w:ilvl w:val="0"/>
          <w:numId w:val="6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contextualSpacing/>
        <w:jc w:val="both"/>
        <w:rPr>
          <w:rFonts w:ascii="Times New Roman" w:eastAsia="Times New Roman" w:hAnsi="Times New Roman" w:cs="Times New Roman"/>
          <w:lang w:val="en-GB"/>
        </w:rPr>
      </w:pPr>
      <w:r w:rsidRPr="00AB7D64">
        <w:rPr>
          <w:rFonts w:ascii="Times New Roman" w:eastAsia="Times New Roman" w:hAnsi="Times New Roman" w:cs="Times New Roman"/>
          <w:lang w:val="en-GB"/>
        </w:rPr>
        <w:t>He/she is open to widen his/her knowledge regarding armored vehicles and has a constant need for self-education.</w:t>
      </w:r>
    </w:p>
    <w:p w:rsidR="00AB7D64" w:rsidRPr="00AB7D64" w:rsidRDefault="00AB7D64" w:rsidP="00980876">
      <w:pPr>
        <w:numPr>
          <w:ilvl w:val="0"/>
          <w:numId w:val="6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contextualSpacing/>
        <w:jc w:val="both"/>
        <w:rPr>
          <w:rFonts w:ascii="Times New Roman" w:eastAsia="Times New Roman" w:hAnsi="Times New Roman" w:cs="Times New Roman"/>
          <w:lang w:val="en-GB"/>
        </w:rPr>
      </w:pPr>
      <w:r w:rsidRPr="00AB7D64">
        <w:rPr>
          <w:rFonts w:ascii="Times New Roman" w:eastAsia="Times New Roman" w:hAnsi="Times New Roman" w:cs="Times New Roman"/>
          <w:lang w:val="en-GB"/>
        </w:rPr>
        <w:t>He/she aims to adhere to the respective rules and make others follow them as well.</w:t>
      </w:r>
    </w:p>
    <w:p w:rsidR="00AB7D64" w:rsidRPr="00AB7D64" w:rsidRDefault="00AB7D64" w:rsidP="00980876">
      <w:pPr>
        <w:numPr>
          <w:ilvl w:val="0"/>
          <w:numId w:val="6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contextualSpacing/>
        <w:jc w:val="both"/>
        <w:rPr>
          <w:rFonts w:ascii="Times New Roman" w:eastAsia="Times New Roman" w:hAnsi="Times New Roman" w:cs="Times New Roman"/>
          <w:lang w:val="en-GB"/>
        </w:rPr>
      </w:pPr>
      <w:r w:rsidRPr="00AB7D64">
        <w:rPr>
          <w:rFonts w:ascii="Times New Roman" w:eastAsia="Times New Roman" w:hAnsi="Times New Roman" w:cs="Times New Roman"/>
          <w:lang w:val="en-GB"/>
        </w:rPr>
        <w:t>His/her work and relationships can be described by loyalty and reliability.</w:t>
      </w:r>
    </w:p>
    <w:p w:rsidR="00AB7D64" w:rsidRPr="00AB7D64" w:rsidRDefault="00AB7D64" w:rsidP="00980876">
      <w:pPr>
        <w:numPr>
          <w:ilvl w:val="0"/>
          <w:numId w:val="6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contextualSpacing/>
        <w:jc w:val="both"/>
        <w:rPr>
          <w:rFonts w:ascii="Times New Roman" w:eastAsia="Times New Roman" w:hAnsi="Times New Roman" w:cs="Times New Roman"/>
          <w:lang w:val="en-GB"/>
        </w:rPr>
      </w:pPr>
      <w:r w:rsidRPr="00AB7D64">
        <w:rPr>
          <w:rFonts w:ascii="Times New Roman" w:eastAsia="Times New Roman" w:hAnsi="Times New Roman" w:cs="Times New Roman"/>
          <w:lang w:val="en-GB"/>
        </w:rPr>
        <w:t>He/she is open towards the new accomplishments of military technology and aims to gain knowledge of these.</w:t>
      </w:r>
    </w:p>
    <w:p w:rsidR="00AB7D64" w:rsidRPr="00AB7D64" w:rsidRDefault="00AB7D64" w:rsidP="00AB7D64">
      <w:pPr>
        <w:widowControl w:val="0"/>
        <w:spacing w:before="120" w:after="120" w:line="240" w:lineRule="auto"/>
        <w:ind w:left="426"/>
        <w:jc w:val="both"/>
        <w:rPr>
          <w:rFonts w:ascii="Times New Roman" w:eastAsia="Times New Roman" w:hAnsi="Times New Roman" w:cs="Times New Roman"/>
          <w:b/>
          <w:lang w:val="en-GB"/>
        </w:rPr>
      </w:pPr>
      <w:r w:rsidRPr="00AB7D64">
        <w:rPr>
          <w:rFonts w:ascii="Times New Roman" w:eastAsia="Times New Roman" w:hAnsi="Times New Roman" w:cs="Times New Roman"/>
          <w:b/>
          <w:lang w:val="en-GB"/>
        </w:rPr>
        <w:t>Autonomy and responsibility:</w:t>
      </w:r>
    </w:p>
    <w:p w:rsidR="00AB7D64" w:rsidRPr="00AB7D64" w:rsidRDefault="00AB7D64" w:rsidP="00980876">
      <w:pPr>
        <w:widowControl w:val="0"/>
        <w:numPr>
          <w:ilvl w:val="0"/>
          <w:numId w:val="675"/>
        </w:numPr>
        <w:spacing w:after="0" w:line="240" w:lineRule="auto"/>
        <w:ind w:left="993"/>
        <w:contextualSpacing/>
        <w:jc w:val="both"/>
        <w:rPr>
          <w:rFonts w:ascii="Times New Roman" w:eastAsia="Times New Roman" w:hAnsi="Times New Roman" w:cs="Times New Roman"/>
          <w:lang w:val="en-GB"/>
        </w:rPr>
      </w:pPr>
      <w:r w:rsidRPr="00AB7D64">
        <w:rPr>
          <w:rFonts w:ascii="Times New Roman" w:eastAsia="Times New Roman" w:hAnsi="Times New Roman" w:cs="Times New Roman"/>
          <w:lang w:val="en-GB"/>
        </w:rPr>
        <w:t>Is capable of organizing and determining the tasks of his/her subordinates as well as controlling their work based on professional aspects.</w:t>
      </w:r>
    </w:p>
    <w:p w:rsidR="00AB7D64" w:rsidRPr="00AB7D64" w:rsidRDefault="00AB7D64" w:rsidP="00980876">
      <w:pPr>
        <w:widowControl w:val="0"/>
        <w:numPr>
          <w:ilvl w:val="0"/>
          <w:numId w:val="675"/>
        </w:numPr>
        <w:spacing w:after="0" w:line="240" w:lineRule="auto"/>
        <w:ind w:left="993"/>
        <w:contextualSpacing/>
        <w:jc w:val="both"/>
        <w:rPr>
          <w:rFonts w:ascii="Times New Roman" w:eastAsia="Times New Roman" w:hAnsi="Times New Roman" w:cs="Times New Roman"/>
          <w:lang w:val="en-GB"/>
        </w:rPr>
      </w:pPr>
      <w:r w:rsidRPr="00AB7D64">
        <w:rPr>
          <w:rFonts w:ascii="Times New Roman" w:eastAsia="Times New Roman" w:hAnsi="Times New Roman" w:cs="Times New Roman"/>
          <w:lang w:val="en-GB"/>
        </w:rPr>
        <w:t>After doing proper analysation, he/she is capable of making the best decisions and taking professional responsibility during the technical maintenance and repairing of the armored vehicles.</w:t>
      </w:r>
    </w:p>
    <w:p w:rsidR="00AB7D64" w:rsidRPr="00AB7D64" w:rsidRDefault="00AB7D64" w:rsidP="00980876">
      <w:pPr>
        <w:widowControl w:val="0"/>
        <w:numPr>
          <w:ilvl w:val="0"/>
          <w:numId w:val="675"/>
        </w:numPr>
        <w:spacing w:after="0" w:line="240" w:lineRule="auto"/>
        <w:ind w:left="993"/>
        <w:contextualSpacing/>
        <w:jc w:val="both"/>
        <w:rPr>
          <w:rFonts w:ascii="Times New Roman" w:eastAsia="Times New Roman" w:hAnsi="Times New Roman" w:cs="Times New Roman"/>
          <w:lang w:val="en-GB"/>
        </w:rPr>
      </w:pPr>
      <w:r w:rsidRPr="00AB7D64">
        <w:rPr>
          <w:rFonts w:ascii="Times New Roman" w:eastAsia="Times New Roman" w:hAnsi="Times New Roman" w:cs="Times New Roman"/>
          <w:lang w:val="en-GB"/>
        </w:rPr>
        <w:t>He/she is cooperative and responsible towards the professionals of his/her field.</w:t>
      </w:r>
    </w:p>
    <w:p w:rsidR="00AB7D64" w:rsidRPr="00AB7D64" w:rsidRDefault="00AB7D64" w:rsidP="00980876">
      <w:pPr>
        <w:widowControl w:val="0"/>
        <w:numPr>
          <w:ilvl w:val="0"/>
          <w:numId w:val="676"/>
        </w:numPr>
        <w:spacing w:before="120" w:after="120" w:line="240" w:lineRule="auto"/>
        <w:ind w:left="426" w:hanging="142"/>
        <w:jc w:val="both"/>
        <w:rPr>
          <w:rFonts w:ascii="Times New Roman" w:eastAsia="Times New Roman" w:hAnsi="Times New Roman" w:cs="Times New Roman"/>
          <w:bCs/>
        </w:rPr>
      </w:pPr>
      <w:r w:rsidRPr="00AB7D64">
        <w:rPr>
          <w:rFonts w:ascii="Times New Roman" w:eastAsia="Times New Roman" w:hAnsi="Times New Roman" w:cs="Times New Roman"/>
          <w:b/>
          <w:bCs/>
        </w:rPr>
        <w:t xml:space="preserve">Előtanulmányi követelmények: </w:t>
      </w:r>
      <w:r w:rsidRPr="00AB7D64">
        <w:rPr>
          <w:rFonts w:ascii="Times New Roman" w:eastAsia="Times New Roman" w:hAnsi="Times New Roman" w:cs="Times New Roman"/>
          <w:bCs/>
        </w:rPr>
        <w:t xml:space="preserve"> </w:t>
      </w:r>
    </w:p>
    <w:p w:rsidR="00AB7D64" w:rsidRPr="00AB7D64" w:rsidRDefault="00AB7D64" w:rsidP="00980876">
      <w:pPr>
        <w:widowControl w:val="0"/>
        <w:numPr>
          <w:ilvl w:val="0"/>
          <w:numId w:val="676"/>
        </w:numPr>
        <w:spacing w:before="120" w:after="120" w:line="240" w:lineRule="auto"/>
        <w:ind w:left="426" w:hanging="142"/>
        <w:jc w:val="both"/>
        <w:rPr>
          <w:rFonts w:ascii="Times New Roman" w:eastAsia="Times New Roman" w:hAnsi="Times New Roman" w:cs="Times New Roman"/>
          <w:b/>
          <w:bCs/>
        </w:rPr>
      </w:pPr>
      <w:r w:rsidRPr="00AB7D64">
        <w:rPr>
          <w:rFonts w:ascii="Times New Roman" w:eastAsia="Times New Roman" w:hAnsi="Times New Roman" w:cs="Times New Roman"/>
          <w:b/>
          <w:bCs/>
        </w:rPr>
        <w:t>A tantárgy tananyagának leírása, tematika. Description of the subject, curriculum (magyarul, angolul - English):</w:t>
      </w:r>
    </w:p>
    <w:p w:rsidR="00AB7D64" w:rsidRPr="00AB7D64" w:rsidRDefault="00AB7D64" w:rsidP="00980876">
      <w:pPr>
        <w:widowControl w:val="0"/>
        <w:numPr>
          <w:ilvl w:val="1"/>
          <w:numId w:val="676"/>
        </w:numPr>
        <w:tabs>
          <w:tab w:val="clear" w:pos="3977"/>
        </w:tabs>
        <w:spacing w:before="120" w:after="120" w:line="240" w:lineRule="auto"/>
        <w:ind w:left="709" w:hanging="567"/>
        <w:jc w:val="both"/>
        <w:rPr>
          <w:rFonts w:ascii="Times New Roman" w:eastAsia="Calibri" w:hAnsi="Times New Roman" w:cs="Times New Roman"/>
        </w:rPr>
      </w:pPr>
      <w:r w:rsidRPr="00AB7D64">
        <w:rPr>
          <w:rFonts w:ascii="Times New Roman" w:eastAsia="Calibri" w:hAnsi="Times New Roman" w:cs="Times New Roman"/>
        </w:rPr>
        <w:t>Gépjárművek erőátviteli rendszereinek feladata, felépítése elhelyezése. (</w:t>
      </w:r>
      <w:r w:rsidRPr="00AB7D64">
        <w:rPr>
          <w:rFonts w:ascii="Times New Roman" w:eastAsia="Calibri" w:hAnsi="Times New Roman" w:cs="Times New Roman"/>
          <w:i/>
        </w:rPr>
        <w:t xml:space="preserve">Task and structure of </w:t>
      </w:r>
      <w:r w:rsidRPr="00AB7D64">
        <w:rPr>
          <w:rFonts w:ascii="Times New Roman" w:eastAsia="Times New Roman" w:hAnsi="Times New Roman" w:cs="Times New Roman"/>
          <w:i/>
          <w:lang w:val="en" w:eastAsia="hu-HU"/>
        </w:rPr>
        <w:t>power transmission systems for motor vehicles)</w:t>
      </w:r>
    </w:p>
    <w:p w:rsidR="00AB7D64" w:rsidRPr="00AB7D64" w:rsidRDefault="00AB7D64" w:rsidP="00980876">
      <w:pPr>
        <w:widowControl w:val="0"/>
        <w:numPr>
          <w:ilvl w:val="1"/>
          <w:numId w:val="676"/>
        </w:numPr>
        <w:tabs>
          <w:tab w:val="clear" w:pos="3977"/>
        </w:tabs>
        <w:spacing w:before="120" w:after="120" w:line="240" w:lineRule="auto"/>
        <w:ind w:left="709" w:hanging="567"/>
        <w:jc w:val="both"/>
        <w:rPr>
          <w:rFonts w:ascii="Times New Roman" w:eastAsia="Calibri" w:hAnsi="Times New Roman" w:cs="Times New Roman"/>
          <w:b/>
        </w:rPr>
      </w:pPr>
      <w:r w:rsidRPr="00AB7D64">
        <w:rPr>
          <w:rFonts w:ascii="Times New Roman" w:eastAsia="Calibri" w:hAnsi="Times New Roman" w:cs="Times New Roman"/>
        </w:rPr>
        <w:t>Harcjármű erőátviteli rendszereinek elhelyezése. (</w:t>
      </w:r>
      <w:r w:rsidRPr="00AB7D64">
        <w:rPr>
          <w:rFonts w:ascii="Times New Roman" w:eastAsia="Calibri" w:hAnsi="Times New Roman" w:cs="Times New Roman"/>
          <w:i/>
        </w:rPr>
        <w:t xml:space="preserve">Task and structure of </w:t>
      </w:r>
      <w:r w:rsidRPr="00AB7D64">
        <w:rPr>
          <w:rFonts w:ascii="Times New Roman" w:eastAsia="Times New Roman" w:hAnsi="Times New Roman" w:cs="Times New Roman"/>
          <w:i/>
          <w:lang w:val="en" w:eastAsia="hu-HU"/>
        </w:rPr>
        <w:t>power transmission systems for tracked vehicles)</w:t>
      </w:r>
    </w:p>
    <w:p w:rsidR="00AB7D64" w:rsidRPr="00AB7D64" w:rsidRDefault="00AB7D64" w:rsidP="00980876">
      <w:pPr>
        <w:widowControl w:val="0"/>
        <w:numPr>
          <w:ilvl w:val="1"/>
          <w:numId w:val="676"/>
        </w:numPr>
        <w:tabs>
          <w:tab w:val="clear" w:pos="3977"/>
        </w:tabs>
        <w:spacing w:before="120" w:after="120" w:line="240" w:lineRule="auto"/>
        <w:ind w:left="709" w:hanging="567"/>
        <w:jc w:val="both"/>
        <w:rPr>
          <w:rFonts w:ascii="Times New Roman" w:eastAsia="Calibri" w:hAnsi="Times New Roman" w:cs="Times New Roman"/>
          <w:b/>
        </w:rPr>
      </w:pPr>
      <w:r w:rsidRPr="00AB7D64">
        <w:rPr>
          <w:rFonts w:ascii="Times New Roman" w:eastAsia="Calibri" w:hAnsi="Times New Roman" w:cs="Times New Roman"/>
        </w:rPr>
        <w:t>Hibrid és elektromos gépjárművek erőátvitele</w:t>
      </w:r>
      <w:r w:rsidRPr="00AB7D64">
        <w:rPr>
          <w:rFonts w:ascii="Times New Roman" w:eastAsia="Calibri" w:hAnsi="Times New Roman" w:cs="Times New Roman"/>
          <w:b/>
        </w:rPr>
        <w:t xml:space="preserve"> </w:t>
      </w:r>
      <w:r w:rsidRPr="00AB7D64">
        <w:rPr>
          <w:rFonts w:ascii="Times New Roman" w:eastAsia="Calibri" w:hAnsi="Times New Roman" w:cs="Times New Roman"/>
          <w:b/>
          <w:i/>
        </w:rPr>
        <w:t>(</w:t>
      </w:r>
      <w:r w:rsidRPr="00AB7D64">
        <w:rPr>
          <w:rFonts w:ascii="Times New Roman" w:eastAsia="Calibri" w:hAnsi="Times New Roman" w:cs="Times New Roman"/>
          <w:i/>
          <w:lang w:val="en"/>
        </w:rPr>
        <w:t>Transmission of hybrid and electric vehicles)</w:t>
      </w:r>
    </w:p>
    <w:p w:rsidR="00AB7D64" w:rsidRPr="00AB7D64" w:rsidRDefault="00AB7D64" w:rsidP="00980876">
      <w:pPr>
        <w:widowControl w:val="0"/>
        <w:numPr>
          <w:ilvl w:val="1"/>
          <w:numId w:val="676"/>
        </w:numPr>
        <w:tabs>
          <w:tab w:val="clear" w:pos="3977"/>
        </w:tabs>
        <w:spacing w:before="120" w:after="120" w:line="240" w:lineRule="auto"/>
        <w:ind w:left="709" w:hanging="567"/>
        <w:jc w:val="both"/>
        <w:rPr>
          <w:rFonts w:ascii="Times New Roman" w:eastAsia="Calibri" w:hAnsi="Times New Roman" w:cs="Times New Roman"/>
          <w:bCs/>
        </w:rPr>
      </w:pPr>
      <w:r w:rsidRPr="00AB7D64">
        <w:rPr>
          <w:rFonts w:ascii="Times New Roman" w:eastAsia="Calibri" w:hAnsi="Times New Roman" w:cs="Times New Roman"/>
        </w:rPr>
        <w:t xml:space="preserve">Tengelykapcsolók feladata, típusai, szerkezete, vezérlési módjai. Hidraulikus tengelykapcsolók. </w:t>
      </w:r>
      <w:r w:rsidRPr="00AB7D64">
        <w:rPr>
          <w:rFonts w:ascii="Times New Roman" w:eastAsia="Calibri" w:hAnsi="Times New Roman" w:cs="Times New Roman"/>
          <w:i/>
        </w:rPr>
        <w:t>(</w:t>
      </w:r>
      <w:r w:rsidRPr="00AB7D64">
        <w:rPr>
          <w:rFonts w:ascii="Times New Roman" w:eastAsia="Times New Roman" w:hAnsi="Times New Roman" w:cs="Times New Roman"/>
          <w:i/>
          <w:lang w:val="en" w:eastAsia="hu-HU"/>
        </w:rPr>
        <w:t>. Function, types, structure, control modes of couplings. Hydraulic couplings.)</w:t>
      </w:r>
    </w:p>
    <w:p w:rsidR="00AB7D64" w:rsidRPr="00AB7D64" w:rsidRDefault="00AB7D64" w:rsidP="00980876">
      <w:pPr>
        <w:widowControl w:val="0"/>
        <w:numPr>
          <w:ilvl w:val="1"/>
          <w:numId w:val="676"/>
        </w:numPr>
        <w:tabs>
          <w:tab w:val="clear" w:pos="3977"/>
        </w:tabs>
        <w:spacing w:before="120" w:after="120" w:line="240" w:lineRule="auto"/>
        <w:ind w:left="709" w:hanging="567"/>
        <w:jc w:val="both"/>
        <w:rPr>
          <w:rFonts w:ascii="Times New Roman" w:eastAsia="Calibri" w:hAnsi="Times New Roman" w:cs="Times New Roman"/>
        </w:rPr>
      </w:pPr>
      <w:r w:rsidRPr="00AB7D64">
        <w:rPr>
          <w:rFonts w:ascii="Times New Roman" w:eastAsia="Calibri" w:hAnsi="Times New Roman" w:cs="Times New Roman"/>
        </w:rPr>
        <w:t xml:space="preserve">Gépjármű mozgásegyenlete, menetellenállások. Vonóerő és gyorsulási diagrammok. </w:t>
      </w:r>
      <w:r w:rsidRPr="00AB7D64">
        <w:rPr>
          <w:rFonts w:ascii="Times New Roman" w:eastAsia="Calibri" w:hAnsi="Times New Roman" w:cs="Times New Roman"/>
          <w:i/>
        </w:rPr>
        <w:t>(</w:t>
      </w:r>
      <w:r w:rsidRPr="00AB7D64">
        <w:rPr>
          <w:rFonts w:ascii="Times New Roman" w:eastAsia="Times New Roman" w:hAnsi="Times New Roman" w:cs="Times New Roman"/>
          <w:i/>
          <w:lang w:val="en" w:eastAsia="hu-HU"/>
        </w:rPr>
        <w:t>Vehicle equation of motion, driving resistors.</w:t>
      </w:r>
      <w:r w:rsidRPr="00AB7D64">
        <w:rPr>
          <w:rFonts w:ascii="Times New Roman" w:eastAsia="Times New Roman" w:hAnsi="Times New Roman" w:cs="Times New Roman"/>
          <w:lang w:val="en" w:eastAsia="hu-HU"/>
        </w:rPr>
        <w:t xml:space="preserve"> </w:t>
      </w:r>
      <w:r w:rsidRPr="00AB7D64">
        <w:rPr>
          <w:rFonts w:ascii="Times New Roman" w:eastAsia="Times New Roman" w:hAnsi="Times New Roman" w:cs="Times New Roman"/>
          <w:i/>
          <w:lang w:val="en" w:eastAsia="hu-HU"/>
        </w:rPr>
        <w:t>Traction and acceleration diagrams.)</w:t>
      </w:r>
    </w:p>
    <w:p w:rsidR="00AB7D64" w:rsidRPr="00AB7D64" w:rsidRDefault="00AB7D64" w:rsidP="00980876">
      <w:pPr>
        <w:widowControl w:val="0"/>
        <w:numPr>
          <w:ilvl w:val="1"/>
          <w:numId w:val="676"/>
        </w:numPr>
        <w:tabs>
          <w:tab w:val="clear" w:pos="3977"/>
        </w:tabs>
        <w:spacing w:before="120" w:after="120" w:line="240" w:lineRule="auto"/>
        <w:ind w:left="709" w:hanging="567"/>
        <w:jc w:val="both"/>
        <w:rPr>
          <w:rFonts w:ascii="Times New Roman" w:eastAsia="Calibri" w:hAnsi="Times New Roman" w:cs="Times New Roman"/>
        </w:rPr>
      </w:pPr>
      <w:r w:rsidRPr="00AB7D64">
        <w:rPr>
          <w:rFonts w:ascii="Times New Roman" w:eastAsia="Calibri" w:hAnsi="Times New Roman" w:cs="Times New Roman"/>
        </w:rPr>
        <w:t>Sebességváltóműváltó felépítése, működése, áttételei, kialakításai. Bolygóművek kialakításai, szerkezete. (</w:t>
      </w:r>
      <w:r w:rsidRPr="00AB7D64">
        <w:rPr>
          <w:rFonts w:ascii="Times New Roman" w:eastAsia="Times New Roman" w:hAnsi="Times New Roman" w:cs="Times New Roman"/>
          <w:i/>
          <w:lang w:val="en" w:eastAsia="hu-HU"/>
        </w:rPr>
        <w:t>Gearbox construction, operation, gear ratios, designs. Design and structure of planetary gear.)</w:t>
      </w:r>
    </w:p>
    <w:p w:rsidR="00AB7D64" w:rsidRPr="00AB7D64" w:rsidRDefault="00AB7D64" w:rsidP="00980876">
      <w:pPr>
        <w:widowControl w:val="0"/>
        <w:numPr>
          <w:ilvl w:val="1"/>
          <w:numId w:val="676"/>
        </w:numPr>
        <w:tabs>
          <w:tab w:val="clear" w:pos="3977"/>
        </w:tabs>
        <w:spacing w:before="120" w:after="120" w:line="240" w:lineRule="auto"/>
        <w:ind w:left="709" w:hanging="567"/>
        <w:jc w:val="both"/>
        <w:rPr>
          <w:rFonts w:ascii="Times New Roman" w:eastAsia="Calibri" w:hAnsi="Times New Roman" w:cs="Times New Roman"/>
        </w:rPr>
      </w:pPr>
      <w:r w:rsidRPr="00AB7D64">
        <w:rPr>
          <w:rFonts w:ascii="Times New Roman" w:eastAsia="Calibri" w:hAnsi="Times New Roman" w:cs="Times New Roman"/>
        </w:rPr>
        <w:t>Hidrodinamikus nyomatékváltó. Automatikus és fél-automatikus sebességváltóművek szerkezete, működése és vezérlése. (</w:t>
      </w:r>
      <w:r w:rsidRPr="00AB7D64">
        <w:rPr>
          <w:rFonts w:ascii="Times New Roman" w:eastAsia="Times New Roman" w:hAnsi="Times New Roman" w:cs="Times New Roman"/>
          <w:i/>
          <w:lang w:val="en" w:eastAsia="hu-HU"/>
        </w:rPr>
        <w:t>Hydrodynamic torque converter. Construction, operation and control of automatic and semi-automatic transmissions.)</w:t>
      </w:r>
    </w:p>
    <w:p w:rsidR="00AB7D64" w:rsidRPr="00AB7D64" w:rsidRDefault="00AB7D64" w:rsidP="00980876">
      <w:pPr>
        <w:widowControl w:val="0"/>
        <w:numPr>
          <w:ilvl w:val="1"/>
          <w:numId w:val="676"/>
        </w:numPr>
        <w:tabs>
          <w:tab w:val="clear" w:pos="3977"/>
        </w:tabs>
        <w:spacing w:before="120" w:after="120" w:line="240" w:lineRule="auto"/>
        <w:ind w:left="709" w:hanging="567"/>
        <w:jc w:val="both"/>
        <w:rPr>
          <w:rFonts w:ascii="Times New Roman" w:eastAsia="Calibri" w:hAnsi="Times New Roman" w:cs="Times New Roman"/>
          <w:bCs/>
        </w:rPr>
      </w:pPr>
      <w:r w:rsidRPr="00AB7D64">
        <w:rPr>
          <w:rFonts w:ascii="Times New Roman" w:eastAsia="Calibri" w:hAnsi="Times New Roman" w:cs="Times New Roman"/>
        </w:rPr>
        <w:t>Kardánhajtások elmélete, típusai és kialakításai</w:t>
      </w:r>
      <w:r w:rsidRPr="00AB7D64">
        <w:rPr>
          <w:rFonts w:ascii="Times New Roman" w:eastAsia="Times New Roman" w:hAnsi="Times New Roman" w:cs="Times New Roman"/>
          <w:lang w:val="en" w:eastAsia="hu-HU"/>
        </w:rPr>
        <w:t xml:space="preserve"> (</w:t>
      </w:r>
      <w:r w:rsidRPr="00AB7D64">
        <w:rPr>
          <w:rFonts w:ascii="Times New Roman" w:eastAsia="Times New Roman" w:hAnsi="Times New Roman" w:cs="Times New Roman"/>
          <w:i/>
          <w:lang w:val="en" w:eastAsia="hu-HU"/>
        </w:rPr>
        <w:t>Theory, types and designs of joints.)</w:t>
      </w:r>
    </w:p>
    <w:p w:rsidR="00AB7D64" w:rsidRPr="00AB7D64" w:rsidRDefault="00AB7D64" w:rsidP="00980876">
      <w:pPr>
        <w:widowControl w:val="0"/>
        <w:numPr>
          <w:ilvl w:val="1"/>
          <w:numId w:val="676"/>
        </w:numPr>
        <w:tabs>
          <w:tab w:val="clear" w:pos="3977"/>
        </w:tabs>
        <w:spacing w:before="120" w:after="120" w:line="240" w:lineRule="auto"/>
        <w:ind w:left="709" w:hanging="567"/>
        <w:jc w:val="both"/>
        <w:rPr>
          <w:rFonts w:ascii="Times New Roman" w:eastAsia="Calibri" w:hAnsi="Times New Roman" w:cs="Times New Roman"/>
          <w:b/>
        </w:rPr>
      </w:pPr>
      <w:r w:rsidRPr="00AB7D64">
        <w:rPr>
          <w:rFonts w:ascii="Times New Roman" w:eastAsia="Calibri" w:hAnsi="Times New Roman" w:cs="Times New Roman"/>
        </w:rPr>
        <w:t xml:space="preserve">Differenciálművek elmélete, típusai, szerkezete, működése és alkalmazási lehetőségei. </w:t>
      </w:r>
      <w:r w:rsidRPr="00AB7D64">
        <w:rPr>
          <w:rFonts w:ascii="Times New Roman" w:eastAsia="Calibri" w:hAnsi="Times New Roman" w:cs="Times New Roman"/>
          <w:i/>
        </w:rPr>
        <w:t>(</w:t>
      </w:r>
      <w:r w:rsidRPr="00AB7D64">
        <w:rPr>
          <w:rFonts w:ascii="Times New Roman" w:eastAsia="Times New Roman" w:hAnsi="Times New Roman" w:cs="Times New Roman"/>
          <w:i/>
          <w:lang w:val="en" w:eastAsia="hu-HU"/>
        </w:rPr>
        <w:t>Theory, types, structure, operation and applications of differential gear.)</w:t>
      </w:r>
    </w:p>
    <w:p w:rsidR="00AB7D64" w:rsidRPr="00AB7D64" w:rsidRDefault="00AB7D64" w:rsidP="00980876">
      <w:pPr>
        <w:widowControl w:val="0"/>
        <w:numPr>
          <w:ilvl w:val="1"/>
          <w:numId w:val="676"/>
        </w:numPr>
        <w:tabs>
          <w:tab w:val="clear" w:pos="3977"/>
        </w:tabs>
        <w:spacing w:before="120" w:after="120" w:line="240" w:lineRule="auto"/>
        <w:ind w:left="709" w:hanging="567"/>
        <w:jc w:val="both"/>
        <w:rPr>
          <w:rFonts w:ascii="Times New Roman" w:eastAsia="Calibri" w:hAnsi="Times New Roman" w:cs="Times New Roman"/>
          <w:bCs/>
        </w:rPr>
      </w:pPr>
      <w:r w:rsidRPr="00AB7D64">
        <w:rPr>
          <w:rFonts w:ascii="Times New Roman" w:eastAsia="Calibri" w:hAnsi="Times New Roman" w:cs="Times New Roman"/>
        </w:rPr>
        <w:t>Osztóművek szerkezete, feladata, típusai. Viszko-tengelykapcsolók</w:t>
      </w:r>
      <w:r w:rsidRPr="00AB7D64">
        <w:rPr>
          <w:rFonts w:ascii="Times New Roman" w:eastAsia="Times New Roman" w:hAnsi="Times New Roman" w:cs="Times New Roman"/>
          <w:i/>
          <w:lang w:val="en" w:eastAsia="hu-HU"/>
        </w:rPr>
        <w:t xml:space="preserve"> (Structure, function and </w:t>
      </w:r>
      <w:r w:rsidRPr="00AB7D64">
        <w:rPr>
          <w:rFonts w:ascii="Times New Roman" w:eastAsia="Times New Roman" w:hAnsi="Times New Roman" w:cs="Times New Roman"/>
          <w:i/>
          <w:lang w:val="en" w:eastAsia="hu-HU"/>
        </w:rPr>
        <w:lastRenderedPageBreak/>
        <w:t>types of switchgear. Visco-clutches.)</w:t>
      </w:r>
    </w:p>
    <w:p w:rsidR="00AB7D64" w:rsidRPr="00AB7D64" w:rsidRDefault="00AB7D64" w:rsidP="00980876">
      <w:pPr>
        <w:widowControl w:val="0"/>
        <w:numPr>
          <w:ilvl w:val="1"/>
          <w:numId w:val="676"/>
        </w:numPr>
        <w:tabs>
          <w:tab w:val="clear" w:pos="3977"/>
        </w:tabs>
        <w:spacing w:before="120" w:after="120" w:line="240" w:lineRule="auto"/>
        <w:ind w:left="709" w:hanging="567"/>
        <w:jc w:val="both"/>
        <w:rPr>
          <w:rFonts w:ascii="Times New Roman" w:eastAsia="Calibri" w:hAnsi="Times New Roman" w:cs="Times New Roman"/>
          <w:b/>
        </w:rPr>
      </w:pPr>
      <w:r w:rsidRPr="00AB7D64">
        <w:rPr>
          <w:rFonts w:ascii="Times New Roman" w:eastAsia="Calibri" w:hAnsi="Times New Roman" w:cs="Times New Roman"/>
        </w:rPr>
        <w:t xml:space="preserve">Gépjármű futómű kialakítások. Alváz, kerekek, kialakítása, felépítése, típusai. </w:t>
      </w:r>
      <w:r w:rsidRPr="00AB7D64">
        <w:rPr>
          <w:rFonts w:ascii="Times New Roman" w:eastAsia="Calibri" w:hAnsi="Times New Roman" w:cs="Times New Roman"/>
          <w:i/>
        </w:rPr>
        <w:t>(</w:t>
      </w:r>
      <w:r w:rsidRPr="00AB7D64">
        <w:rPr>
          <w:rFonts w:ascii="Times New Roman" w:eastAsia="Calibri" w:hAnsi="Times New Roman" w:cs="Times New Roman"/>
          <w:i/>
          <w:lang w:val="en"/>
        </w:rPr>
        <w:t>Vehicle chassis designs. Chassis, wheels, design, construction, types.)</w:t>
      </w:r>
    </w:p>
    <w:p w:rsidR="00AB7D64" w:rsidRPr="00AB7D64" w:rsidRDefault="00AB7D64" w:rsidP="00980876">
      <w:pPr>
        <w:widowControl w:val="0"/>
        <w:numPr>
          <w:ilvl w:val="1"/>
          <w:numId w:val="676"/>
        </w:numPr>
        <w:tabs>
          <w:tab w:val="clear" w:pos="3977"/>
        </w:tabs>
        <w:spacing w:before="120" w:after="120" w:line="240" w:lineRule="auto"/>
        <w:ind w:left="709" w:hanging="567"/>
        <w:jc w:val="both"/>
        <w:rPr>
          <w:rFonts w:ascii="Times New Roman" w:eastAsia="Times New Roman" w:hAnsi="Times New Roman" w:cs="Times New Roman"/>
        </w:rPr>
      </w:pPr>
      <w:r w:rsidRPr="00AB7D64">
        <w:rPr>
          <w:rFonts w:ascii="Times New Roman" w:eastAsia="Calibri" w:hAnsi="Times New Roman" w:cs="Times New Roman"/>
        </w:rPr>
        <w:t xml:space="preserve">Gépjárművek lengései, rugózása, kerék-felfüggesztési megoldások. Futómű geometria. </w:t>
      </w:r>
      <w:r w:rsidRPr="00AB7D64">
        <w:rPr>
          <w:rFonts w:ascii="Times New Roman" w:eastAsia="Times New Roman" w:hAnsi="Times New Roman" w:cs="Times New Roman"/>
          <w:lang w:val="en" w:eastAsia="hu-HU"/>
        </w:rPr>
        <w:t>Vehicle chassis designs. Chassis, wheels, design, construction, types</w:t>
      </w:r>
      <w:r w:rsidRPr="00AB7D64">
        <w:rPr>
          <w:rFonts w:ascii="Times New Roman" w:eastAsia="Times New Roman" w:hAnsi="Times New Roman" w:cs="Times New Roman"/>
          <w:i/>
          <w:lang w:val="en" w:eastAsia="hu-HU"/>
        </w:rPr>
        <w:t>. (Vehicle vibration, suspension, wheel suspension solutions. Chassis geometry.)</w:t>
      </w:r>
    </w:p>
    <w:p w:rsidR="00AB7D64" w:rsidRPr="00AB7D64" w:rsidRDefault="00AB7D64" w:rsidP="00980876">
      <w:pPr>
        <w:widowControl w:val="0"/>
        <w:numPr>
          <w:ilvl w:val="1"/>
          <w:numId w:val="676"/>
        </w:numPr>
        <w:tabs>
          <w:tab w:val="clear" w:pos="3977"/>
        </w:tabs>
        <w:spacing w:before="120" w:after="120" w:line="240" w:lineRule="auto"/>
        <w:ind w:left="709" w:hanging="567"/>
        <w:jc w:val="both"/>
        <w:rPr>
          <w:rFonts w:ascii="Times New Roman" w:eastAsia="Calibri" w:hAnsi="Times New Roman" w:cs="Times New Roman"/>
          <w:b/>
        </w:rPr>
      </w:pPr>
      <w:r w:rsidRPr="00AB7D64">
        <w:rPr>
          <w:rFonts w:ascii="Times New Roman" w:eastAsia="Calibri" w:hAnsi="Times New Roman" w:cs="Times New Roman"/>
        </w:rPr>
        <w:t xml:space="preserve"> Lánctalpas harcjármű járószerkezet. </w:t>
      </w:r>
      <w:r w:rsidRPr="00AB7D64">
        <w:rPr>
          <w:rFonts w:ascii="Times New Roman" w:eastAsia="Calibri" w:hAnsi="Times New Roman" w:cs="Times New Roman"/>
          <w:i/>
        </w:rPr>
        <w:t>(</w:t>
      </w:r>
      <w:r w:rsidRPr="00AB7D64">
        <w:rPr>
          <w:rFonts w:ascii="Times New Roman" w:eastAsia="Calibri" w:hAnsi="Times New Roman" w:cs="Times New Roman"/>
          <w:i/>
          <w:lang w:val="en"/>
        </w:rPr>
        <w:t>Tracked track gear.)</w:t>
      </w:r>
    </w:p>
    <w:p w:rsidR="00AB7D64" w:rsidRPr="00AB7D64" w:rsidRDefault="00AB7D64" w:rsidP="00980876">
      <w:pPr>
        <w:widowControl w:val="0"/>
        <w:numPr>
          <w:ilvl w:val="1"/>
          <w:numId w:val="676"/>
        </w:numPr>
        <w:tabs>
          <w:tab w:val="clear" w:pos="3977"/>
        </w:tabs>
        <w:spacing w:before="120" w:after="120" w:line="240" w:lineRule="auto"/>
        <w:ind w:left="709" w:hanging="567"/>
        <w:jc w:val="both"/>
        <w:rPr>
          <w:rFonts w:ascii="Times New Roman" w:eastAsia="Times New Roman" w:hAnsi="Times New Roman" w:cs="Times New Roman"/>
        </w:rPr>
      </w:pPr>
      <w:r w:rsidRPr="00AB7D64">
        <w:rPr>
          <w:rFonts w:ascii="Times New Roman" w:eastAsia="Calibri" w:hAnsi="Times New Roman" w:cs="Times New Roman"/>
        </w:rPr>
        <w:t xml:space="preserve"> Lánctalpas harcjármű járószerkezet és kormányzás. </w:t>
      </w:r>
      <w:r w:rsidRPr="00AB7D64">
        <w:rPr>
          <w:rFonts w:ascii="Times New Roman" w:eastAsia="Calibri" w:hAnsi="Times New Roman" w:cs="Times New Roman"/>
          <w:i/>
        </w:rPr>
        <w:t>(</w:t>
      </w:r>
      <w:r w:rsidRPr="00AB7D64">
        <w:rPr>
          <w:rFonts w:ascii="Times New Roman" w:eastAsia="Calibri" w:hAnsi="Times New Roman" w:cs="Times New Roman"/>
          <w:i/>
          <w:lang w:val="en"/>
        </w:rPr>
        <w:t>Tracked track steering.)</w:t>
      </w:r>
    </w:p>
    <w:p w:rsidR="00AB7D64" w:rsidRPr="00AB7D64" w:rsidRDefault="00AB7D64" w:rsidP="00980876">
      <w:pPr>
        <w:widowControl w:val="0"/>
        <w:numPr>
          <w:ilvl w:val="0"/>
          <w:numId w:val="676"/>
        </w:numPr>
        <w:tabs>
          <w:tab w:val="num" w:pos="360"/>
        </w:tabs>
        <w:spacing w:before="120" w:after="120" w:line="240" w:lineRule="auto"/>
        <w:ind w:left="426" w:hanging="142"/>
        <w:jc w:val="both"/>
        <w:rPr>
          <w:rFonts w:ascii="Times New Roman" w:eastAsia="Times New Roman" w:hAnsi="Times New Roman" w:cs="Times New Roman"/>
          <w:bCs/>
        </w:rPr>
      </w:pPr>
      <w:r w:rsidRPr="00AB7D64">
        <w:rPr>
          <w:rFonts w:ascii="Times New Roman" w:eastAsia="Times New Roman" w:hAnsi="Times New Roman" w:cs="Times New Roman"/>
          <w:b/>
          <w:bCs/>
        </w:rPr>
        <w:t xml:space="preserve">A tantárgy meghirdetésének gyakorisága/a tantervben történő félévi elhelyezkedése: </w:t>
      </w:r>
      <w:r w:rsidRPr="00AB7D64">
        <w:rPr>
          <w:rFonts w:ascii="Times New Roman" w:eastAsia="Times New Roman" w:hAnsi="Times New Roman" w:cs="Times New Roman"/>
          <w:bCs/>
        </w:rPr>
        <w:t>7</w:t>
      </w:r>
    </w:p>
    <w:p w:rsidR="00AB7D64" w:rsidRPr="00AB7D64" w:rsidRDefault="00AB7D64" w:rsidP="00980876">
      <w:pPr>
        <w:widowControl w:val="0"/>
        <w:numPr>
          <w:ilvl w:val="0"/>
          <w:numId w:val="676"/>
        </w:numPr>
        <w:tabs>
          <w:tab w:val="num" w:pos="360"/>
        </w:tabs>
        <w:spacing w:before="120" w:after="120" w:line="240" w:lineRule="auto"/>
        <w:ind w:left="426" w:hanging="142"/>
        <w:jc w:val="both"/>
        <w:rPr>
          <w:rFonts w:ascii="Times New Roman" w:eastAsia="Times New Roman" w:hAnsi="Times New Roman" w:cs="Times New Roman"/>
          <w:bCs/>
          <w:highlight w:val="lightGray"/>
        </w:rPr>
      </w:pPr>
      <w:r w:rsidRPr="00AB7D64">
        <w:rPr>
          <w:rFonts w:ascii="Times New Roman" w:eastAsia="Times New Roman" w:hAnsi="Times New Roman" w:cs="Times New Roman"/>
          <w:b/>
          <w:bCs/>
        </w:rPr>
        <w:t>A tanórákon való részvétel követelményei, az elfogadható hiányzások mértéke, a távolmaradás pótlásának lehetősége:</w:t>
      </w:r>
      <w:r w:rsidRPr="00AB7D64">
        <w:rPr>
          <w:rFonts w:ascii="Times New Roman" w:eastAsia="Times New Roman" w:hAnsi="Times New Roman" w:cs="Times New Roman"/>
          <w:bCs/>
        </w:rPr>
        <w:t xml:space="preserve"> A tanórák legalább 60%-án köteles a hallgató részt venni. Amennyiben a hiányzások mértéke ezt meghaladja, akkor az aláírás megszerzéséhez a hiányzott összes órák anyagából a szorgalmi időszakban be kell számolni.</w:t>
      </w:r>
    </w:p>
    <w:p w:rsidR="00AB7D64" w:rsidRPr="00AB7D64" w:rsidRDefault="00AB7D64" w:rsidP="00980876">
      <w:pPr>
        <w:widowControl w:val="0"/>
        <w:numPr>
          <w:ilvl w:val="0"/>
          <w:numId w:val="676"/>
        </w:numPr>
        <w:tabs>
          <w:tab w:val="num" w:pos="360"/>
        </w:tabs>
        <w:spacing w:before="120" w:after="120" w:line="240" w:lineRule="auto"/>
        <w:ind w:left="426" w:hanging="142"/>
        <w:jc w:val="both"/>
        <w:rPr>
          <w:rFonts w:ascii="Times New Roman" w:eastAsia="Times New Roman" w:hAnsi="Times New Roman" w:cs="Times New Roman"/>
          <w:bCs/>
          <w:highlight w:val="lightGray"/>
        </w:rPr>
      </w:pPr>
      <w:r w:rsidRPr="00AB7D64">
        <w:rPr>
          <w:rFonts w:ascii="Times New Roman" w:eastAsia="Times New Roman" w:hAnsi="Times New Roman" w:cs="Times New Roman"/>
          <w:b/>
        </w:rPr>
        <w:t>Félévközi feladatok, ismeretek ellenőrzésének rendje:</w:t>
      </w:r>
      <w:r w:rsidRPr="00AB7D64">
        <w:rPr>
          <w:rFonts w:ascii="Times New Roman" w:eastAsia="Times New Roman" w:hAnsi="Times New Roman" w:cs="Times New Roman"/>
          <w:bCs/>
        </w:rPr>
        <w:t xml:space="preserve"> </w:t>
      </w:r>
      <w:r w:rsidRPr="00AB7D64">
        <w:rPr>
          <w:rFonts w:ascii="Times New Roman" w:eastAsia="Times New Roman" w:hAnsi="Times New Roman" w:cs="Times New Roman"/>
        </w:rPr>
        <w:t xml:space="preserve">A félév során egy zárthelyi dolgozatot kell írni a tantárgy teljes tartalmából. Az értékelés: </w:t>
      </w:r>
      <w:r w:rsidRPr="00AB7D64">
        <w:rPr>
          <w:rFonts w:ascii="Times New Roman" w:eastAsia="Times New Roman" w:hAnsi="Times New Roman" w:cs="Times New Roman"/>
          <w:bCs/>
        </w:rPr>
        <w:t>60 %-tól elégséges, 70 %-tól közepes, 80-tól % jó, 90 %-tól jeles. Elégtelen zárthelyi dolgozat esetén a vizsgaidőszak első hetében van lehetőség a pótlásra. Ezt követően még két alkalommal van további pótlási lehetőség.</w:t>
      </w:r>
      <w:r w:rsidRPr="00AB7D64">
        <w:rPr>
          <w:rFonts w:ascii="Times New Roman" w:eastAsia="Times New Roman" w:hAnsi="Times New Roman" w:cs="Times New Roman"/>
          <w:bCs/>
          <w:highlight w:val="lightGray"/>
        </w:rPr>
        <w:t xml:space="preserve"> </w:t>
      </w:r>
    </w:p>
    <w:p w:rsidR="00AB7D64" w:rsidRPr="00AB7D64" w:rsidRDefault="00AB7D64" w:rsidP="00980876">
      <w:pPr>
        <w:widowControl w:val="0"/>
        <w:numPr>
          <w:ilvl w:val="0"/>
          <w:numId w:val="676"/>
        </w:numPr>
        <w:spacing w:before="120" w:after="120" w:line="240" w:lineRule="auto"/>
        <w:ind w:left="426" w:hanging="142"/>
        <w:jc w:val="both"/>
        <w:rPr>
          <w:rFonts w:ascii="Times New Roman" w:eastAsia="Times New Roman" w:hAnsi="Times New Roman" w:cs="Times New Roman"/>
          <w:bCs/>
        </w:rPr>
      </w:pPr>
      <w:r w:rsidRPr="00AB7D64">
        <w:rPr>
          <w:rFonts w:ascii="Times New Roman" w:eastAsia="Times New Roman" w:hAnsi="Times New Roman" w:cs="Times New Roman"/>
          <w:b/>
          <w:bCs/>
        </w:rPr>
        <w:t xml:space="preserve">Az értékelés, az aláírás és a kreditek megszerzésének pontos feltételei: </w:t>
      </w:r>
      <w:r w:rsidRPr="00AB7D64">
        <w:rPr>
          <w:rFonts w:ascii="Times New Roman" w:eastAsia="Times New Roman" w:hAnsi="Times New Roman" w:cs="Times New Roman"/>
          <w:bCs/>
        </w:rPr>
        <w:t>Az a8láírás és kredit megszerzésének feltétele a tanórákon való 60% részvét a 14. pontban leírtakat figyelembe véve és a zárthelyi dolgozat legalább elégséges szintű megírása.</w:t>
      </w:r>
    </w:p>
    <w:p w:rsidR="00AB7D64" w:rsidRPr="00AB7D64" w:rsidRDefault="00AB7D64" w:rsidP="00980876">
      <w:pPr>
        <w:widowControl w:val="0"/>
        <w:numPr>
          <w:ilvl w:val="1"/>
          <w:numId w:val="676"/>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AB7D64">
        <w:rPr>
          <w:rFonts w:ascii="Times New Roman" w:eastAsia="Times New Roman" w:hAnsi="Times New Roman" w:cs="Times New Roman"/>
          <w:b/>
        </w:rPr>
        <w:t>Az aláírás megszerzésének feltételei:</w:t>
      </w:r>
      <w:r w:rsidRPr="00AB7D64">
        <w:rPr>
          <w:rFonts w:ascii="Times New Roman" w:eastAsia="Times New Roman" w:hAnsi="Times New Roman" w:cs="Times New Roman"/>
        </w:rPr>
        <w:t xml:space="preserve"> Az aláírás megszerzésének feltétele a 14. pontban meghatározott arányú részvétel a foglalkozásokon és a 15. pontban meghatározott félévközi feladatok legalább elégséges teljesítése.</w:t>
      </w:r>
    </w:p>
    <w:p w:rsidR="00AB7D64" w:rsidRPr="00AB7D64" w:rsidRDefault="00AB7D64" w:rsidP="00980876">
      <w:pPr>
        <w:widowControl w:val="0"/>
        <w:numPr>
          <w:ilvl w:val="1"/>
          <w:numId w:val="676"/>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AB7D64">
        <w:rPr>
          <w:rFonts w:ascii="Times New Roman" w:eastAsia="Times New Roman" w:hAnsi="Times New Roman" w:cs="Times New Roman"/>
          <w:b/>
        </w:rPr>
        <w:t>Az értékelés:</w:t>
      </w:r>
      <w:r w:rsidRPr="00AB7D64">
        <w:rPr>
          <w:rFonts w:ascii="Times New Roman" w:eastAsia="Times New Roman" w:hAnsi="Times New Roman" w:cs="Times New Roman"/>
        </w:rPr>
        <w:t xml:space="preserve"> Szóbeli vizsgán történik</w:t>
      </w:r>
    </w:p>
    <w:p w:rsidR="00AB7D64" w:rsidRPr="00AB7D64" w:rsidRDefault="00AB7D64" w:rsidP="00980876">
      <w:pPr>
        <w:widowControl w:val="0"/>
        <w:numPr>
          <w:ilvl w:val="1"/>
          <w:numId w:val="676"/>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AB7D64">
        <w:rPr>
          <w:rFonts w:ascii="Times New Roman" w:eastAsia="Times New Roman" w:hAnsi="Times New Roman" w:cs="Times New Roman"/>
          <w:b/>
        </w:rPr>
        <w:t>A kreditek megszerzésének feltételei:</w:t>
      </w:r>
      <w:r w:rsidRPr="00AB7D64">
        <w:rPr>
          <w:rFonts w:ascii="Times New Roman" w:eastAsia="Times New Roman" w:hAnsi="Times New Roman" w:cs="Times New Roman"/>
        </w:rPr>
        <w:t xml:space="preserve"> </w:t>
      </w:r>
    </w:p>
    <w:p w:rsidR="00AB7D64" w:rsidRPr="00AB7D64" w:rsidRDefault="00AB7D64" w:rsidP="00AB7D64">
      <w:pPr>
        <w:widowControl w:val="0"/>
        <w:tabs>
          <w:tab w:val="left" w:pos="993"/>
        </w:tabs>
        <w:spacing w:before="120" w:after="120" w:line="240" w:lineRule="auto"/>
        <w:ind w:left="426"/>
        <w:jc w:val="both"/>
        <w:rPr>
          <w:rFonts w:ascii="Times New Roman" w:eastAsia="Times New Roman" w:hAnsi="Times New Roman" w:cs="Times New Roman"/>
        </w:rPr>
      </w:pPr>
      <w:r w:rsidRPr="00AB7D64">
        <w:rPr>
          <w:rFonts w:ascii="Times New Roman" w:eastAsia="Times New Roman" w:hAnsi="Times New Roman" w:cs="Times New Roman"/>
        </w:rPr>
        <w:t>Sikeres vizsga.</w:t>
      </w:r>
    </w:p>
    <w:p w:rsidR="00AB7D64" w:rsidRPr="00AB7D64" w:rsidRDefault="00AB7D64" w:rsidP="00980876">
      <w:pPr>
        <w:widowControl w:val="0"/>
        <w:numPr>
          <w:ilvl w:val="0"/>
          <w:numId w:val="676"/>
        </w:numPr>
        <w:tabs>
          <w:tab w:val="num" w:pos="360"/>
        </w:tabs>
        <w:spacing w:before="120" w:after="120" w:line="240" w:lineRule="auto"/>
        <w:ind w:left="426" w:hanging="142"/>
        <w:jc w:val="both"/>
        <w:rPr>
          <w:rFonts w:ascii="Times New Roman" w:eastAsia="Times New Roman" w:hAnsi="Times New Roman" w:cs="Times New Roman"/>
          <w:bCs/>
        </w:rPr>
      </w:pPr>
      <w:r w:rsidRPr="00AB7D64">
        <w:rPr>
          <w:rFonts w:ascii="Times New Roman" w:eastAsia="Times New Roman" w:hAnsi="Times New Roman" w:cs="Times New Roman"/>
          <w:b/>
          <w:bCs/>
        </w:rPr>
        <w:t>Irodalomjegyzék:</w:t>
      </w:r>
    </w:p>
    <w:p w:rsidR="00AB7D64" w:rsidRPr="00AB7D64" w:rsidRDefault="00AB7D64" w:rsidP="00980876">
      <w:pPr>
        <w:widowControl w:val="0"/>
        <w:numPr>
          <w:ilvl w:val="1"/>
          <w:numId w:val="676"/>
        </w:numPr>
        <w:tabs>
          <w:tab w:val="left" w:pos="567"/>
          <w:tab w:val="left" w:pos="851"/>
        </w:tabs>
        <w:spacing w:before="120" w:after="120" w:line="240" w:lineRule="auto"/>
        <w:ind w:left="426" w:hanging="142"/>
        <w:jc w:val="both"/>
        <w:rPr>
          <w:rFonts w:ascii="Times New Roman" w:eastAsia="Times New Roman" w:hAnsi="Times New Roman" w:cs="Times New Roman"/>
          <w:bCs/>
        </w:rPr>
      </w:pPr>
      <w:r w:rsidRPr="00AB7D64">
        <w:rPr>
          <w:rFonts w:ascii="Times New Roman" w:eastAsia="Times New Roman" w:hAnsi="Times New Roman" w:cs="Times New Roman"/>
          <w:b/>
          <w:bCs/>
        </w:rPr>
        <w:t>Kötelező irodalom:</w:t>
      </w:r>
    </w:p>
    <w:p w:rsidR="00AB7D64" w:rsidRPr="00AB7D64" w:rsidRDefault="00AB7D64" w:rsidP="00980876">
      <w:pPr>
        <w:numPr>
          <w:ilvl w:val="0"/>
          <w:numId w:val="791"/>
        </w:numPr>
        <w:spacing w:after="0" w:line="240" w:lineRule="auto"/>
        <w:ind w:left="1134"/>
        <w:contextualSpacing/>
        <w:jc w:val="both"/>
        <w:rPr>
          <w:rFonts w:ascii="Times New Roman" w:eastAsia="Calibri" w:hAnsi="Times New Roman" w:cs="Times New Roman"/>
        </w:rPr>
      </w:pPr>
      <w:r w:rsidRPr="00AB7D64">
        <w:rPr>
          <w:rFonts w:ascii="Times New Roman" w:eastAsia="Calibri" w:hAnsi="Times New Roman" w:cs="Times New Roman"/>
        </w:rPr>
        <w:t>Gyarmati József: Járművek szerkezete I, (NKE egyetemi jegyzet, Budapest 2016) ISBN: 978-615-5527-83-8</w:t>
      </w:r>
    </w:p>
    <w:p w:rsidR="00AB7D64" w:rsidRPr="00AB7D64" w:rsidRDefault="00AB7D64" w:rsidP="00980876">
      <w:pPr>
        <w:numPr>
          <w:ilvl w:val="0"/>
          <w:numId w:val="791"/>
        </w:numPr>
        <w:spacing w:after="0" w:line="240" w:lineRule="auto"/>
        <w:ind w:left="1134"/>
        <w:contextualSpacing/>
        <w:jc w:val="both"/>
        <w:rPr>
          <w:rFonts w:ascii="Times New Roman" w:eastAsia="Calibri" w:hAnsi="Times New Roman" w:cs="Times New Roman"/>
        </w:rPr>
      </w:pPr>
      <w:r w:rsidRPr="00AB7D64">
        <w:rPr>
          <w:rFonts w:ascii="Times New Roman" w:eastAsia="Calibri" w:hAnsi="Times New Roman" w:cs="Times New Roman"/>
        </w:rPr>
        <w:t>Zinner György: Gépjárművek erőátviteli berendezései (Tankönyvmester Kiadó, Budapest, 2006.) ISBN: 9639668222.</w:t>
      </w:r>
    </w:p>
    <w:p w:rsidR="00AB7D64" w:rsidRPr="00AB7D64" w:rsidRDefault="00AB7D64" w:rsidP="00980876">
      <w:pPr>
        <w:numPr>
          <w:ilvl w:val="0"/>
          <w:numId w:val="791"/>
        </w:numPr>
        <w:spacing w:after="0" w:line="240" w:lineRule="auto"/>
        <w:ind w:left="1134"/>
        <w:contextualSpacing/>
        <w:jc w:val="both"/>
        <w:rPr>
          <w:rFonts w:ascii="Times New Roman" w:eastAsia="Calibri" w:hAnsi="Times New Roman" w:cs="Times New Roman"/>
        </w:rPr>
      </w:pPr>
      <w:r w:rsidRPr="00AB7D64">
        <w:rPr>
          <w:rFonts w:ascii="Times New Roman" w:eastAsia="Calibri" w:hAnsi="Times New Roman" w:cs="Times New Roman"/>
        </w:rPr>
        <w:t>Wilfried Staudt: Gépjárműtechnika (OMÁR Könyvkiadó, Székesfehérvár, 1993.) ISBN: 9638510803</w:t>
      </w:r>
    </w:p>
    <w:p w:rsidR="00AB7D64" w:rsidRPr="00AB7D64" w:rsidRDefault="00AB7D64" w:rsidP="00980876">
      <w:pPr>
        <w:widowControl w:val="0"/>
        <w:numPr>
          <w:ilvl w:val="1"/>
          <w:numId w:val="676"/>
        </w:numPr>
        <w:spacing w:before="120" w:after="120" w:line="240" w:lineRule="auto"/>
        <w:ind w:left="993" w:hanging="709"/>
        <w:jc w:val="both"/>
        <w:rPr>
          <w:rFonts w:ascii="Times New Roman" w:eastAsia="Times New Roman" w:hAnsi="Times New Roman" w:cs="Times New Roman"/>
          <w:b/>
          <w:bCs/>
        </w:rPr>
      </w:pPr>
      <w:r w:rsidRPr="00AB7D64">
        <w:rPr>
          <w:rFonts w:ascii="Times New Roman" w:eastAsia="Times New Roman" w:hAnsi="Times New Roman" w:cs="Times New Roman"/>
          <w:b/>
          <w:bCs/>
        </w:rPr>
        <w:t>Ajánlott irodalom:</w:t>
      </w:r>
    </w:p>
    <w:p w:rsidR="00AB7D64" w:rsidRPr="00AB7D64" w:rsidRDefault="00AB7D64" w:rsidP="00980876">
      <w:pPr>
        <w:numPr>
          <w:ilvl w:val="0"/>
          <w:numId w:val="792"/>
        </w:numPr>
        <w:tabs>
          <w:tab w:val="clear" w:pos="1352"/>
          <w:tab w:val="num" w:pos="3621"/>
        </w:tabs>
        <w:spacing w:after="0" w:line="240" w:lineRule="auto"/>
        <w:ind w:left="1134" w:hanging="217"/>
        <w:contextualSpacing/>
        <w:jc w:val="both"/>
        <w:rPr>
          <w:rFonts w:ascii="Times New Roman" w:eastAsia="Calibri" w:hAnsi="Times New Roman" w:cs="Times New Roman"/>
        </w:rPr>
      </w:pPr>
      <w:r w:rsidRPr="00AB7D64">
        <w:rPr>
          <w:rFonts w:ascii="Times New Roman" w:eastAsia="Calibri" w:hAnsi="Times New Roman" w:cs="Times New Roman"/>
        </w:rPr>
        <w:t>Bohner: Gépjárműszerkezetek (Műegyetemi Kiadó, Budapest, 1994.) ISBN: 9631605434</w:t>
      </w:r>
    </w:p>
    <w:p w:rsidR="00AB7D64" w:rsidRPr="00AB7D64" w:rsidRDefault="00AB7D64" w:rsidP="00980876">
      <w:pPr>
        <w:numPr>
          <w:ilvl w:val="0"/>
          <w:numId w:val="792"/>
        </w:numPr>
        <w:tabs>
          <w:tab w:val="clear" w:pos="1352"/>
          <w:tab w:val="num" w:pos="3621"/>
        </w:tabs>
        <w:spacing w:after="0" w:line="240" w:lineRule="auto"/>
        <w:ind w:left="1134" w:hanging="217"/>
        <w:contextualSpacing/>
        <w:jc w:val="both"/>
        <w:rPr>
          <w:rFonts w:ascii="Times New Roman" w:eastAsia="Calibri" w:hAnsi="Times New Roman" w:cs="Times New Roman"/>
        </w:rPr>
      </w:pPr>
      <w:r w:rsidRPr="00AB7D64">
        <w:rPr>
          <w:rFonts w:ascii="Times New Roman" w:eastAsia="Calibri" w:hAnsi="Times New Roman" w:cs="Times New Roman"/>
        </w:rPr>
        <w:t>Zomotor Ádám: Gépjármű menetdinamika (IbB Mérnöki Szakértői Iroda, Budapest, 2009.) ISBN: 9632124006</w:t>
      </w:r>
    </w:p>
    <w:p w:rsidR="00AB7D64" w:rsidRPr="00AB7D64" w:rsidRDefault="00AB7D64" w:rsidP="00980876">
      <w:pPr>
        <w:numPr>
          <w:ilvl w:val="0"/>
          <w:numId w:val="792"/>
        </w:numPr>
        <w:tabs>
          <w:tab w:val="clear" w:pos="1352"/>
          <w:tab w:val="num" w:pos="3621"/>
        </w:tabs>
        <w:spacing w:after="0" w:line="240" w:lineRule="auto"/>
        <w:ind w:left="1134" w:hanging="217"/>
        <w:jc w:val="both"/>
        <w:rPr>
          <w:rFonts w:ascii="Times New Roman" w:eastAsia="Calibri" w:hAnsi="Times New Roman" w:cs="Times New Roman"/>
        </w:rPr>
      </w:pPr>
      <w:r w:rsidRPr="00AB7D64">
        <w:rPr>
          <w:rFonts w:ascii="Times New Roman" w:eastAsia="Calibri" w:hAnsi="Times New Roman" w:cs="Times New Roman"/>
        </w:rPr>
        <w:t>Gépjármű-technikai képletgyűjtemény (Műszaki Könyvkiadó, Budapest, 1995.) ISBN: 9631605922</w:t>
      </w:r>
    </w:p>
    <w:p w:rsidR="00AB7D64" w:rsidRPr="00AB7D64" w:rsidRDefault="00AB7D64" w:rsidP="00980876">
      <w:pPr>
        <w:numPr>
          <w:ilvl w:val="0"/>
          <w:numId w:val="792"/>
        </w:numPr>
        <w:tabs>
          <w:tab w:val="clear" w:pos="1352"/>
          <w:tab w:val="num" w:pos="3621"/>
        </w:tabs>
        <w:spacing w:after="0" w:line="240" w:lineRule="auto"/>
        <w:ind w:left="1134" w:hanging="217"/>
        <w:contextualSpacing/>
        <w:jc w:val="both"/>
        <w:rPr>
          <w:rFonts w:ascii="Times New Roman" w:eastAsia="Calibri" w:hAnsi="Times New Roman" w:cs="Times New Roman"/>
        </w:rPr>
      </w:pPr>
      <w:r w:rsidRPr="00AB7D64">
        <w:rPr>
          <w:rFonts w:ascii="Times New Roman" w:eastAsia="Calibri" w:hAnsi="Times New Roman" w:cs="Times New Roman"/>
        </w:rPr>
        <w:t>Gépjármű-technikai szakszámítások (Műszaki Könyvkiadó, Budapest, 2000.) ISBN: 9631605957</w:t>
      </w:r>
    </w:p>
    <w:p w:rsidR="00AB7D64" w:rsidRPr="00AB7D64" w:rsidRDefault="00AB7D64" w:rsidP="00AB7D64">
      <w:pPr>
        <w:widowControl w:val="0"/>
        <w:spacing w:after="0" w:line="240" w:lineRule="auto"/>
        <w:ind w:left="720"/>
        <w:contextualSpacing/>
        <w:jc w:val="both"/>
        <w:rPr>
          <w:rFonts w:ascii="Times New Roman" w:eastAsia="Times New Roman" w:hAnsi="Times New Roman" w:cs="Times New Roman"/>
          <w:highlight w:val="lightGray"/>
        </w:rPr>
      </w:pPr>
    </w:p>
    <w:p w:rsidR="00AB7D64" w:rsidRPr="00AB7D64" w:rsidRDefault="00AB7D64" w:rsidP="00887DFE">
      <w:pPr>
        <w:widowControl w:val="0"/>
        <w:spacing w:before="120" w:after="120" w:line="240" w:lineRule="auto"/>
        <w:ind w:firstLine="708"/>
        <w:jc w:val="both"/>
        <w:rPr>
          <w:rFonts w:ascii="Times New Roman" w:eastAsia="Times New Roman" w:hAnsi="Times New Roman" w:cs="Times New Roman"/>
          <w:bCs/>
        </w:rPr>
      </w:pPr>
      <w:r w:rsidRPr="00AB7D64">
        <w:rPr>
          <w:rFonts w:ascii="Times New Roman" w:eastAsia="Times New Roman" w:hAnsi="Times New Roman" w:cs="Times New Roman"/>
          <w:bCs/>
        </w:rPr>
        <w:t xml:space="preserve">Budapest, </w:t>
      </w:r>
      <w:r w:rsidR="00887DFE">
        <w:rPr>
          <w:rFonts w:ascii="Times New Roman" w:eastAsia="Times New Roman" w:hAnsi="Times New Roman" w:cs="Times New Roman"/>
          <w:bCs/>
        </w:rPr>
        <w:t xml:space="preserve">március 15. </w:t>
      </w:r>
    </w:p>
    <w:p w:rsidR="004A4C51" w:rsidRPr="00A3436E" w:rsidRDefault="004A4C51" w:rsidP="004A4C51">
      <w:pPr>
        <w:widowControl w:val="0"/>
        <w:spacing w:after="0" w:line="240" w:lineRule="auto"/>
        <w:ind w:left="5529"/>
        <w:jc w:val="center"/>
        <w:rPr>
          <w:rFonts w:ascii="Times New Roman" w:eastAsia="Times New Roman" w:hAnsi="Times New Roman" w:cs="Times New Roman"/>
          <w:b/>
          <w:bCs/>
        </w:rPr>
      </w:pPr>
      <w:r w:rsidRPr="00A3436E">
        <w:rPr>
          <w:rFonts w:ascii="Times New Roman" w:eastAsia="Times New Roman" w:hAnsi="Times New Roman" w:cs="Times New Roman"/>
          <w:b/>
          <w:bCs/>
        </w:rPr>
        <w:t xml:space="preserve">Dr. Gyarmati József </w:t>
      </w:r>
      <w:r>
        <w:rPr>
          <w:rFonts w:ascii="Times New Roman" w:eastAsia="Times New Roman" w:hAnsi="Times New Roman" w:cs="Times New Roman"/>
          <w:b/>
          <w:bCs/>
        </w:rPr>
        <w:t>alezredes, PhD</w:t>
      </w:r>
    </w:p>
    <w:p w:rsidR="00AB7D64" w:rsidRPr="00AB7D64" w:rsidRDefault="00AB7D64" w:rsidP="006B225A">
      <w:pPr>
        <w:widowControl w:val="0"/>
        <w:spacing w:after="0" w:line="240" w:lineRule="auto"/>
        <w:ind w:left="5529"/>
        <w:jc w:val="center"/>
        <w:rPr>
          <w:rFonts w:ascii="Calibri" w:eastAsia="Calibri" w:hAnsi="Calibri" w:cs="Times New Roman"/>
        </w:rPr>
      </w:pPr>
      <w:r w:rsidRPr="00AB7D64">
        <w:rPr>
          <w:rFonts w:ascii="Times New Roman" w:eastAsia="Times New Roman" w:hAnsi="Times New Roman" w:cs="Times New Roman"/>
          <w:bCs/>
        </w:rPr>
        <w:t>egyetemi docens</w:t>
      </w:r>
      <w:r w:rsidR="00FC1CD9">
        <w:rPr>
          <w:rFonts w:ascii="Times New Roman" w:eastAsia="Times New Roman" w:hAnsi="Times New Roman" w:cs="Times New Roman"/>
          <w:bCs/>
        </w:rPr>
        <w:t>, sk.</w:t>
      </w:r>
    </w:p>
    <w:tbl>
      <w:tblPr>
        <w:tblW w:w="9072" w:type="dxa"/>
        <w:tblInd w:w="113" w:type="dxa"/>
        <w:tblLook w:val="01E0" w:firstRow="1" w:lastRow="1" w:firstColumn="1" w:lastColumn="1" w:noHBand="0" w:noVBand="0"/>
      </w:tblPr>
      <w:tblGrid>
        <w:gridCol w:w="4855"/>
        <w:gridCol w:w="1620"/>
        <w:gridCol w:w="2597"/>
      </w:tblGrid>
      <w:tr w:rsidR="0015433A" w:rsidRPr="0015433A" w:rsidTr="007C0E71">
        <w:tc>
          <w:tcPr>
            <w:tcW w:w="4855" w:type="dxa"/>
            <w:tcBorders>
              <w:bottom w:val="single" w:sz="4" w:space="0" w:color="auto"/>
            </w:tcBorders>
          </w:tcPr>
          <w:p w:rsidR="0015433A" w:rsidRPr="0015433A" w:rsidRDefault="002A7491" w:rsidP="0015433A">
            <w:pPr>
              <w:spacing w:after="0" w:line="240" w:lineRule="auto"/>
              <w:jc w:val="center"/>
              <w:rPr>
                <w:rFonts w:ascii="Times New Roman" w:eastAsia="Times New Roman" w:hAnsi="Times New Roman" w:cs="Times New Roman"/>
                <w:b/>
                <w:smallCaps/>
                <w:lang w:eastAsia="hu-HU"/>
              </w:rPr>
            </w:pPr>
            <w:r>
              <w:rPr>
                <w:rFonts w:ascii="Times New Roman" w:hAnsi="Times New Roman" w:cs="Times New Roman"/>
                <w:b/>
                <w:sz w:val="24"/>
              </w:rPr>
              <w:lastRenderedPageBreak/>
              <w:br w:type="page"/>
            </w:r>
            <w:r w:rsidR="0015433A" w:rsidRPr="0015433A">
              <w:rPr>
                <w:rFonts w:ascii="Times New Roman" w:eastAsia="Times New Roman" w:hAnsi="Times New Roman" w:cs="Times New Roman"/>
                <w:b/>
                <w:smallCaps/>
                <w:lang w:eastAsia="hu-HU"/>
              </w:rPr>
              <w:t>Nemzeti Közszolgálati Egyetem</w:t>
            </w:r>
          </w:p>
        </w:tc>
        <w:tc>
          <w:tcPr>
            <w:tcW w:w="1620" w:type="dxa"/>
          </w:tcPr>
          <w:p w:rsidR="0015433A" w:rsidRPr="0015433A" w:rsidRDefault="0015433A" w:rsidP="0015433A">
            <w:pPr>
              <w:spacing w:after="0" w:line="240" w:lineRule="auto"/>
              <w:jc w:val="both"/>
              <w:rPr>
                <w:rFonts w:ascii="Times New Roman" w:eastAsia="Times New Roman" w:hAnsi="Times New Roman" w:cs="Times New Roman"/>
                <w:lang w:eastAsia="hu-HU"/>
              </w:rPr>
            </w:pPr>
          </w:p>
        </w:tc>
        <w:tc>
          <w:tcPr>
            <w:tcW w:w="2597" w:type="dxa"/>
          </w:tcPr>
          <w:p w:rsidR="0015433A" w:rsidRPr="0015433A" w:rsidRDefault="0015433A" w:rsidP="0015433A">
            <w:pPr>
              <w:spacing w:after="0" w:line="240" w:lineRule="auto"/>
              <w:jc w:val="right"/>
              <w:rPr>
                <w:rFonts w:ascii="Times New Roman" w:eastAsia="Times New Roman" w:hAnsi="Times New Roman" w:cs="Times New Roman"/>
                <w:lang w:eastAsia="hu-HU"/>
              </w:rPr>
            </w:pPr>
          </w:p>
        </w:tc>
      </w:tr>
      <w:tr w:rsidR="0015433A" w:rsidRPr="0015433A" w:rsidTr="007C0E71">
        <w:tc>
          <w:tcPr>
            <w:tcW w:w="4855" w:type="dxa"/>
            <w:tcBorders>
              <w:top w:val="single" w:sz="4" w:space="0" w:color="auto"/>
            </w:tcBorders>
          </w:tcPr>
          <w:p w:rsidR="0015433A" w:rsidRPr="0015433A" w:rsidRDefault="0015433A" w:rsidP="0015433A">
            <w:pPr>
              <w:spacing w:after="0" w:line="240" w:lineRule="auto"/>
              <w:jc w:val="center"/>
              <w:rPr>
                <w:rFonts w:ascii="Times New Roman" w:eastAsia="Times New Roman" w:hAnsi="Times New Roman" w:cs="Times New Roman"/>
                <w:b/>
                <w:lang w:eastAsia="hu-HU"/>
              </w:rPr>
            </w:pPr>
            <w:r w:rsidRPr="0015433A">
              <w:rPr>
                <w:rFonts w:ascii="Times New Roman" w:eastAsia="Times New Roman" w:hAnsi="Times New Roman" w:cs="Times New Roman"/>
                <w:b/>
                <w:lang w:eastAsia="hu-HU"/>
              </w:rPr>
              <w:t>Hadtudományi és Honvédtisztképző Kar</w:t>
            </w:r>
          </w:p>
        </w:tc>
        <w:tc>
          <w:tcPr>
            <w:tcW w:w="1620" w:type="dxa"/>
          </w:tcPr>
          <w:p w:rsidR="0015433A" w:rsidRPr="0015433A" w:rsidRDefault="0015433A" w:rsidP="0015433A">
            <w:pPr>
              <w:spacing w:after="0" w:line="240" w:lineRule="auto"/>
              <w:jc w:val="both"/>
              <w:rPr>
                <w:rFonts w:ascii="Times New Roman" w:eastAsia="Times New Roman" w:hAnsi="Times New Roman" w:cs="Times New Roman"/>
                <w:lang w:eastAsia="hu-HU"/>
              </w:rPr>
            </w:pPr>
          </w:p>
        </w:tc>
        <w:tc>
          <w:tcPr>
            <w:tcW w:w="2597" w:type="dxa"/>
          </w:tcPr>
          <w:p w:rsidR="0015433A" w:rsidRPr="0015433A" w:rsidRDefault="0015433A" w:rsidP="0015433A">
            <w:pPr>
              <w:spacing w:after="0" w:line="240" w:lineRule="auto"/>
              <w:jc w:val="both"/>
              <w:rPr>
                <w:rFonts w:ascii="Times New Roman" w:eastAsia="Times New Roman" w:hAnsi="Times New Roman" w:cs="Times New Roman"/>
                <w:lang w:eastAsia="hu-HU"/>
              </w:rPr>
            </w:pPr>
          </w:p>
        </w:tc>
      </w:tr>
    </w:tbl>
    <w:p w:rsidR="0015433A" w:rsidRPr="0015433A" w:rsidRDefault="0015433A" w:rsidP="0015433A">
      <w:pPr>
        <w:widowControl w:val="0"/>
        <w:spacing w:before="120" w:after="120" w:line="240" w:lineRule="auto"/>
        <w:ind w:left="426" w:hanging="142"/>
        <w:jc w:val="center"/>
        <w:rPr>
          <w:rFonts w:ascii="Times New Roman" w:eastAsia="Times New Roman" w:hAnsi="Times New Roman" w:cs="Times New Roman"/>
          <w:b/>
          <w:bCs/>
        </w:rPr>
      </w:pPr>
    </w:p>
    <w:p w:rsidR="0015433A" w:rsidRPr="0015433A" w:rsidRDefault="0015433A" w:rsidP="0015433A">
      <w:pPr>
        <w:widowControl w:val="0"/>
        <w:spacing w:before="120" w:after="120" w:line="240" w:lineRule="auto"/>
        <w:ind w:left="426" w:hanging="142"/>
        <w:jc w:val="center"/>
        <w:rPr>
          <w:rFonts w:ascii="Times New Roman" w:eastAsia="Times New Roman" w:hAnsi="Times New Roman" w:cs="Times New Roman"/>
          <w:b/>
          <w:bCs/>
        </w:rPr>
      </w:pPr>
      <w:r w:rsidRPr="0015433A">
        <w:rPr>
          <w:rFonts w:ascii="Times New Roman" w:eastAsia="Times New Roman" w:hAnsi="Times New Roman" w:cs="Times New Roman"/>
          <w:b/>
          <w:bCs/>
        </w:rPr>
        <w:t>TANTÁRGYI PROGRAM</w:t>
      </w:r>
    </w:p>
    <w:p w:rsidR="0015433A" w:rsidRPr="0015433A" w:rsidRDefault="0015433A" w:rsidP="00980876">
      <w:pPr>
        <w:widowControl w:val="0"/>
        <w:numPr>
          <w:ilvl w:val="0"/>
          <w:numId w:val="678"/>
        </w:numPr>
        <w:tabs>
          <w:tab w:val="num" w:pos="567"/>
        </w:tabs>
        <w:spacing w:before="120" w:after="120" w:line="240" w:lineRule="auto"/>
        <w:ind w:left="426" w:hanging="142"/>
        <w:jc w:val="both"/>
        <w:rPr>
          <w:rFonts w:ascii="Times New Roman" w:eastAsia="Times New Roman" w:hAnsi="Times New Roman" w:cs="Times New Roman"/>
          <w:bCs/>
        </w:rPr>
      </w:pPr>
      <w:r w:rsidRPr="0015433A">
        <w:rPr>
          <w:rFonts w:ascii="Times New Roman" w:eastAsia="Times New Roman" w:hAnsi="Times New Roman" w:cs="Times New Roman"/>
          <w:b/>
          <w:bCs/>
        </w:rPr>
        <w:t xml:space="preserve">A tantárgy kódja: </w:t>
      </w:r>
      <w:r w:rsidRPr="0015433A">
        <w:rPr>
          <w:rFonts w:ascii="Times New Roman" w:eastAsia="Times New Roman" w:hAnsi="Times New Roman" w:cs="Times New Roman"/>
          <w:bCs/>
        </w:rPr>
        <w:t>HKHDTA19</w:t>
      </w:r>
    </w:p>
    <w:p w:rsidR="0015433A" w:rsidRPr="0015433A" w:rsidRDefault="0015433A" w:rsidP="00980876">
      <w:pPr>
        <w:widowControl w:val="0"/>
        <w:numPr>
          <w:ilvl w:val="0"/>
          <w:numId w:val="678"/>
        </w:numPr>
        <w:tabs>
          <w:tab w:val="num" w:pos="567"/>
        </w:tabs>
        <w:spacing w:before="120" w:after="120" w:line="240" w:lineRule="auto"/>
        <w:ind w:left="426" w:hanging="142"/>
        <w:jc w:val="both"/>
        <w:rPr>
          <w:rFonts w:ascii="Times New Roman" w:eastAsia="Times New Roman" w:hAnsi="Times New Roman" w:cs="Times New Roman"/>
          <w:b/>
          <w:bCs/>
          <w:lang w:val="en-GB"/>
        </w:rPr>
      </w:pPr>
      <w:r w:rsidRPr="0015433A">
        <w:rPr>
          <w:rFonts w:ascii="Times New Roman" w:eastAsia="Times New Roman" w:hAnsi="Times New Roman" w:cs="Times New Roman"/>
          <w:b/>
          <w:bCs/>
        </w:rPr>
        <w:t>A tantárgy megnevezése (magyarul):</w:t>
      </w:r>
      <w:r w:rsidRPr="0015433A">
        <w:rPr>
          <w:rFonts w:ascii="Times New Roman" w:eastAsia="Times New Roman" w:hAnsi="Times New Roman" w:cs="Times New Roman"/>
          <w:bCs/>
        </w:rPr>
        <w:t xml:space="preserve"> Üzemanyag ellátó rendszerek L</w:t>
      </w:r>
    </w:p>
    <w:p w:rsidR="0015433A" w:rsidRPr="0015433A" w:rsidRDefault="0015433A" w:rsidP="00980876">
      <w:pPr>
        <w:widowControl w:val="0"/>
        <w:numPr>
          <w:ilvl w:val="0"/>
          <w:numId w:val="678"/>
        </w:numPr>
        <w:tabs>
          <w:tab w:val="num" w:pos="567"/>
        </w:tabs>
        <w:spacing w:before="120" w:after="120" w:line="240" w:lineRule="auto"/>
        <w:ind w:left="426" w:hanging="142"/>
        <w:jc w:val="both"/>
        <w:rPr>
          <w:rFonts w:ascii="Times New Roman" w:eastAsia="Times New Roman" w:hAnsi="Times New Roman" w:cs="Times New Roman"/>
          <w:b/>
          <w:bCs/>
          <w:lang w:val="en-GB"/>
        </w:rPr>
      </w:pPr>
      <w:r w:rsidRPr="0015433A">
        <w:rPr>
          <w:rFonts w:ascii="Times New Roman" w:eastAsia="Times New Roman" w:hAnsi="Times New Roman" w:cs="Times New Roman"/>
          <w:b/>
          <w:bCs/>
        </w:rPr>
        <w:t xml:space="preserve">A tantárgy megnevezése (angolul): </w:t>
      </w:r>
      <w:r w:rsidRPr="0015433A">
        <w:rPr>
          <w:rFonts w:ascii="Times New Roman" w:eastAsia="Times New Roman" w:hAnsi="Times New Roman" w:cs="Times New Roman"/>
          <w:bCs/>
        </w:rPr>
        <w:t>Fuel supply systems L</w:t>
      </w:r>
    </w:p>
    <w:p w:rsidR="0015433A" w:rsidRPr="0015433A" w:rsidRDefault="0015433A" w:rsidP="00980876">
      <w:pPr>
        <w:widowControl w:val="0"/>
        <w:numPr>
          <w:ilvl w:val="0"/>
          <w:numId w:val="678"/>
        </w:numPr>
        <w:tabs>
          <w:tab w:val="num" w:pos="567"/>
        </w:tabs>
        <w:spacing w:before="120" w:after="120" w:line="240" w:lineRule="auto"/>
        <w:ind w:left="426" w:hanging="142"/>
        <w:jc w:val="both"/>
        <w:rPr>
          <w:rFonts w:ascii="Times New Roman" w:eastAsia="Times New Roman" w:hAnsi="Times New Roman" w:cs="Times New Roman"/>
          <w:b/>
          <w:bCs/>
        </w:rPr>
      </w:pPr>
      <w:r w:rsidRPr="0015433A">
        <w:rPr>
          <w:rFonts w:ascii="Times New Roman" w:eastAsia="Times New Roman" w:hAnsi="Times New Roman" w:cs="Times New Roman"/>
          <w:b/>
          <w:bCs/>
        </w:rPr>
        <w:t xml:space="preserve">Kreditérték és képzési karakter: </w:t>
      </w:r>
    </w:p>
    <w:p w:rsidR="0015433A" w:rsidRPr="0015433A" w:rsidRDefault="0015433A" w:rsidP="00980876">
      <w:pPr>
        <w:widowControl w:val="0"/>
        <w:numPr>
          <w:ilvl w:val="1"/>
          <w:numId w:val="678"/>
        </w:numPr>
        <w:tabs>
          <w:tab w:val="clear" w:pos="3977"/>
          <w:tab w:val="num" w:pos="1142"/>
        </w:tabs>
        <w:spacing w:before="120" w:after="120" w:line="240" w:lineRule="auto"/>
        <w:ind w:left="993" w:hanging="426"/>
        <w:contextualSpacing/>
        <w:jc w:val="both"/>
        <w:rPr>
          <w:rFonts w:ascii="Times New Roman" w:eastAsia="Times New Roman" w:hAnsi="Times New Roman" w:cs="Times New Roman"/>
          <w:b/>
          <w:bCs/>
        </w:rPr>
      </w:pPr>
      <w:r w:rsidRPr="0015433A">
        <w:rPr>
          <w:rFonts w:ascii="Times New Roman" w:eastAsia="Times New Roman" w:hAnsi="Times New Roman" w:cs="Times New Roman"/>
          <w:bCs/>
        </w:rPr>
        <w:t>3 kredit</w:t>
      </w:r>
    </w:p>
    <w:p w:rsidR="0015433A" w:rsidRPr="0015433A" w:rsidRDefault="0015433A" w:rsidP="00980876">
      <w:pPr>
        <w:widowControl w:val="0"/>
        <w:numPr>
          <w:ilvl w:val="1"/>
          <w:numId w:val="678"/>
        </w:numPr>
        <w:tabs>
          <w:tab w:val="clear" w:pos="3977"/>
          <w:tab w:val="num" w:pos="1142"/>
        </w:tabs>
        <w:spacing w:before="120" w:after="120" w:line="240" w:lineRule="auto"/>
        <w:ind w:left="993" w:hanging="426"/>
        <w:contextualSpacing/>
        <w:jc w:val="both"/>
        <w:rPr>
          <w:rFonts w:ascii="Times New Roman" w:eastAsia="Times New Roman" w:hAnsi="Times New Roman" w:cs="Times New Roman"/>
          <w:b/>
          <w:bCs/>
        </w:rPr>
      </w:pPr>
      <w:r w:rsidRPr="0015433A">
        <w:rPr>
          <w:rFonts w:ascii="Times New Roman" w:eastAsia="Times New Roman" w:hAnsi="Times New Roman" w:cs="Times New Roman"/>
          <w:bCs/>
        </w:rPr>
        <w:t>a tantárgy elméleti vagy gyakorlati jellegének mértéke: 33</w:t>
      </w:r>
      <w:r w:rsidRPr="0015433A">
        <w:rPr>
          <w:rFonts w:ascii="Times New Roman" w:eastAsia="Times New Roman" w:hAnsi="Times New Roman" w:cs="Times New Roman"/>
          <w:b/>
          <w:bCs/>
        </w:rPr>
        <w:t xml:space="preserve"> </w:t>
      </w:r>
      <w:r w:rsidRPr="0015433A">
        <w:rPr>
          <w:rFonts w:ascii="Times New Roman" w:eastAsia="Times New Roman" w:hAnsi="Times New Roman" w:cs="Times New Roman"/>
          <w:bCs/>
        </w:rPr>
        <w:t>% gyakorlat, 67 % elmélet</w:t>
      </w:r>
    </w:p>
    <w:p w:rsidR="0015433A" w:rsidRPr="0015433A" w:rsidRDefault="0015433A" w:rsidP="00980876">
      <w:pPr>
        <w:widowControl w:val="0"/>
        <w:numPr>
          <w:ilvl w:val="0"/>
          <w:numId w:val="678"/>
        </w:numPr>
        <w:spacing w:before="120" w:after="120" w:line="240" w:lineRule="auto"/>
        <w:ind w:left="426" w:hanging="142"/>
        <w:jc w:val="both"/>
        <w:rPr>
          <w:rFonts w:ascii="Times New Roman" w:eastAsia="Times New Roman" w:hAnsi="Times New Roman" w:cs="Times New Roman"/>
          <w:bCs/>
        </w:rPr>
      </w:pPr>
      <w:r w:rsidRPr="0015433A">
        <w:rPr>
          <w:rFonts w:ascii="Times New Roman" w:eastAsia="Times New Roman" w:hAnsi="Times New Roman" w:cs="Times New Roman"/>
          <w:b/>
          <w:bCs/>
        </w:rPr>
        <w:t>A szak(ok), szakirányok/specializációk megnevezése (ahol oktatják):</w:t>
      </w:r>
      <w:r w:rsidRPr="0015433A">
        <w:rPr>
          <w:rFonts w:ascii="Times New Roman" w:eastAsia="Times New Roman" w:hAnsi="Times New Roman" w:cs="Times New Roman"/>
          <w:bCs/>
        </w:rPr>
        <w:t xml:space="preserve"> Katonai logisztika (</w:t>
      </w:r>
      <w:r w:rsidR="00137B8A">
        <w:rPr>
          <w:rFonts w:ascii="Times New Roman" w:eastAsia="Times New Roman" w:hAnsi="Times New Roman" w:cs="Times New Roman"/>
          <w:bCs/>
        </w:rPr>
        <w:t>BSc</w:t>
      </w:r>
      <w:r w:rsidRPr="0015433A">
        <w:rPr>
          <w:rFonts w:ascii="Times New Roman" w:eastAsia="Times New Roman" w:hAnsi="Times New Roman" w:cs="Times New Roman"/>
          <w:bCs/>
        </w:rPr>
        <w:t>) alapképzési szak</w:t>
      </w:r>
    </w:p>
    <w:p w:rsidR="0015433A" w:rsidRPr="0015433A" w:rsidRDefault="0015433A" w:rsidP="00980876">
      <w:pPr>
        <w:widowControl w:val="0"/>
        <w:numPr>
          <w:ilvl w:val="0"/>
          <w:numId w:val="678"/>
        </w:numPr>
        <w:tabs>
          <w:tab w:val="num" w:pos="567"/>
        </w:tabs>
        <w:spacing w:before="120" w:after="120" w:line="240" w:lineRule="auto"/>
        <w:ind w:left="426" w:hanging="142"/>
        <w:jc w:val="both"/>
        <w:rPr>
          <w:rFonts w:ascii="Times New Roman" w:eastAsia="Times New Roman" w:hAnsi="Times New Roman" w:cs="Times New Roman"/>
          <w:bCs/>
        </w:rPr>
      </w:pPr>
      <w:r w:rsidRPr="0015433A">
        <w:rPr>
          <w:rFonts w:ascii="Times New Roman" w:eastAsia="Times New Roman" w:hAnsi="Times New Roman" w:cs="Times New Roman"/>
          <w:b/>
          <w:bCs/>
        </w:rPr>
        <w:t xml:space="preserve">Az oktatásért felelős oktatási szervezeti egység megnevezése: </w:t>
      </w:r>
      <w:r w:rsidRPr="0015433A">
        <w:rPr>
          <w:rFonts w:ascii="Times New Roman" w:eastAsia="Times New Roman" w:hAnsi="Times New Roman" w:cs="Times New Roman"/>
          <w:bCs/>
        </w:rPr>
        <w:t>HHK Haditechnikai Tanszék</w:t>
      </w:r>
    </w:p>
    <w:p w:rsidR="0015433A" w:rsidRPr="0015433A" w:rsidRDefault="0015433A" w:rsidP="00980876">
      <w:pPr>
        <w:widowControl w:val="0"/>
        <w:numPr>
          <w:ilvl w:val="0"/>
          <w:numId w:val="678"/>
        </w:numPr>
        <w:tabs>
          <w:tab w:val="num" w:pos="567"/>
        </w:tabs>
        <w:spacing w:before="120" w:after="120" w:line="240" w:lineRule="auto"/>
        <w:ind w:left="426" w:hanging="142"/>
        <w:jc w:val="both"/>
        <w:rPr>
          <w:rFonts w:ascii="Times New Roman" w:eastAsia="Times New Roman" w:hAnsi="Times New Roman" w:cs="Times New Roman"/>
          <w:bCs/>
        </w:rPr>
      </w:pPr>
      <w:r w:rsidRPr="0015433A">
        <w:rPr>
          <w:rFonts w:ascii="Times New Roman" w:eastAsia="Times New Roman" w:hAnsi="Times New Roman" w:cs="Times New Roman"/>
          <w:b/>
          <w:bCs/>
        </w:rPr>
        <w:t>A tantárgyfelelős oktató neve, beosztása, tudományos fokozata:</w:t>
      </w:r>
      <w:r w:rsidRPr="0015433A">
        <w:rPr>
          <w:rFonts w:ascii="Times New Roman" w:eastAsia="Times New Roman" w:hAnsi="Times New Roman" w:cs="Times New Roman"/>
          <w:bCs/>
        </w:rPr>
        <w:t xml:space="preserve"> </w:t>
      </w:r>
      <w:r w:rsidRPr="0015433A">
        <w:rPr>
          <w:rFonts w:ascii="Times New Roman" w:eastAsia="Times New Roman" w:hAnsi="Times New Roman" w:cs="Times New Roman"/>
          <w:bCs/>
          <w:lang w:eastAsia="hu-HU"/>
        </w:rPr>
        <w:t>Dr. Vég Róbert László alezredes PhD, egyetemi docens</w:t>
      </w:r>
    </w:p>
    <w:p w:rsidR="0015433A" w:rsidRPr="0015433A" w:rsidRDefault="0015433A" w:rsidP="00980876">
      <w:pPr>
        <w:widowControl w:val="0"/>
        <w:numPr>
          <w:ilvl w:val="0"/>
          <w:numId w:val="678"/>
        </w:numPr>
        <w:spacing w:before="120" w:after="120" w:line="240" w:lineRule="auto"/>
        <w:ind w:left="426" w:hanging="142"/>
        <w:jc w:val="both"/>
        <w:rPr>
          <w:rFonts w:ascii="Times New Roman" w:eastAsia="Times New Roman" w:hAnsi="Times New Roman" w:cs="Times New Roman"/>
          <w:bCs/>
        </w:rPr>
      </w:pPr>
      <w:r w:rsidRPr="0015433A">
        <w:rPr>
          <w:rFonts w:ascii="Times New Roman" w:eastAsia="Times New Roman" w:hAnsi="Times New Roman" w:cs="Times New Roman"/>
          <w:b/>
          <w:bCs/>
        </w:rPr>
        <w:t>A tanórák száma és típusa</w:t>
      </w:r>
    </w:p>
    <w:p w:rsidR="0015433A" w:rsidRPr="0015433A" w:rsidRDefault="0015433A" w:rsidP="00980876">
      <w:pPr>
        <w:widowControl w:val="0"/>
        <w:numPr>
          <w:ilvl w:val="1"/>
          <w:numId w:val="678"/>
        </w:numPr>
        <w:tabs>
          <w:tab w:val="clear" w:pos="3977"/>
          <w:tab w:val="num" w:pos="709"/>
          <w:tab w:val="num" w:pos="1142"/>
          <w:tab w:val="num" w:pos="2069"/>
        </w:tabs>
        <w:spacing w:before="120" w:after="120" w:line="240" w:lineRule="auto"/>
        <w:ind w:left="851" w:hanging="425"/>
        <w:jc w:val="both"/>
        <w:rPr>
          <w:rFonts w:ascii="Times New Roman" w:eastAsia="Times New Roman" w:hAnsi="Times New Roman" w:cs="Times New Roman"/>
          <w:bCs/>
        </w:rPr>
      </w:pPr>
      <w:r w:rsidRPr="0015433A">
        <w:rPr>
          <w:rFonts w:ascii="Times New Roman" w:eastAsia="Times New Roman" w:hAnsi="Times New Roman" w:cs="Times New Roman"/>
          <w:bCs/>
        </w:rPr>
        <w:t>össz óraszám/félév:</w:t>
      </w:r>
    </w:p>
    <w:p w:rsidR="0015433A" w:rsidRPr="0015433A" w:rsidRDefault="0015433A" w:rsidP="00980876">
      <w:pPr>
        <w:widowControl w:val="0"/>
        <w:numPr>
          <w:ilvl w:val="2"/>
          <w:numId w:val="678"/>
        </w:numPr>
        <w:tabs>
          <w:tab w:val="num" w:pos="709"/>
          <w:tab w:val="num" w:pos="1134"/>
        </w:tabs>
        <w:spacing w:after="0" w:line="240" w:lineRule="auto"/>
        <w:ind w:left="992" w:hanging="425"/>
        <w:jc w:val="both"/>
        <w:rPr>
          <w:rFonts w:ascii="Times New Roman" w:eastAsia="Times New Roman" w:hAnsi="Times New Roman" w:cs="Times New Roman"/>
          <w:bCs/>
        </w:rPr>
      </w:pPr>
      <w:r w:rsidRPr="0015433A">
        <w:rPr>
          <w:rFonts w:ascii="Times New Roman" w:eastAsia="Times New Roman" w:hAnsi="Times New Roman" w:cs="Times New Roman"/>
          <w:bCs/>
        </w:rPr>
        <w:t>nappali munkarend: 42 (28 EA + 0 SZ + 14 GY)</w:t>
      </w:r>
    </w:p>
    <w:p w:rsidR="0015433A" w:rsidRPr="0015433A" w:rsidRDefault="0015433A" w:rsidP="00980876">
      <w:pPr>
        <w:widowControl w:val="0"/>
        <w:numPr>
          <w:ilvl w:val="2"/>
          <w:numId w:val="678"/>
        </w:numPr>
        <w:tabs>
          <w:tab w:val="num" w:pos="709"/>
          <w:tab w:val="num" w:pos="1134"/>
        </w:tabs>
        <w:spacing w:after="0" w:line="240" w:lineRule="auto"/>
        <w:ind w:left="992" w:hanging="425"/>
        <w:jc w:val="both"/>
        <w:rPr>
          <w:rFonts w:ascii="Times New Roman" w:eastAsia="Times New Roman" w:hAnsi="Times New Roman" w:cs="Times New Roman"/>
          <w:bCs/>
        </w:rPr>
      </w:pPr>
      <w:r w:rsidRPr="0015433A">
        <w:rPr>
          <w:rFonts w:ascii="Times New Roman" w:eastAsia="Times New Roman" w:hAnsi="Times New Roman" w:cs="Times New Roman"/>
          <w:bCs/>
        </w:rPr>
        <w:t>levelező munkarend: - (- EA + - SZ + - GY)</w:t>
      </w:r>
    </w:p>
    <w:p w:rsidR="0015433A" w:rsidRPr="0015433A" w:rsidRDefault="0015433A" w:rsidP="00980876">
      <w:pPr>
        <w:widowControl w:val="0"/>
        <w:numPr>
          <w:ilvl w:val="1"/>
          <w:numId w:val="678"/>
        </w:numPr>
        <w:tabs>
          <w:tab w:val="clear" w:pos="3977"/>
          <w:tab w:val="num" w:pos="709"/>
          <w:tab w:val="num" w:pos="1142"/>
          <w:tab w:val="num" w:pos="2069"/>
        </w:tabs>
        <w:spacing w:before="120" w:after="120" w:line="240" w:lineRule="auto"/>
        <w:ind w:left="851" w:hanging="425"/>
        <w:jc w:val="both"/>
        <w:rPr>
          <w:rFonts w:ascii="Times New Roman" w:eastAsia="Times New Roman" w:hAnsi="Times New Roman" w:cs="Times New Roman"/>
          <w:bCs/>
        </w:rPr>
      </w:pPr>
      <w:r w:rsidRPr="0015433A">
        <w:rPr>
          <w:rFonts w:ascii="Times New Roman" w:eastAsia="Times New Roman" w:hAnsi="Times New Roman" w:cs="Times New Roman"/>
          <w:bCs/>
        </w:rPr>
        <w:t>heti óraszám - nappali munkarend: 3 (2+1)</w:t>
      </w:r>
    </w:p>
    <w:p w:rsidR="0015433A" w:rsidRPr="0015433A" w:rsidRDefault="0015433A" w:rsidP="00980876">
      <w:pPr>
        <w:widowControl w:val="0"/>
        <w:numPr>
          <w:ilvl w:val="1"/>
          <w:numId w:val="678"/>
        </w:numPr>
        <w:tabs>
          <w:tab w:val="clear" w:pos="3977"/>
          <w:tab w:val="num" w:pos="709"/>
          <w:tab w:val="num" w:pos="1142"/>
          <w:tab w:val="num" w:pos="2069"/>
        </w:tabs>
        <w:spacing w:before="120" w:after="120" w:line="240" w:lineRule="auto"/>
        <w:ind w:left="851" w:hanging="425"/>
        <w:jc w:val="both"/>
        <w:rPr>
          <w:rFonts w:ascii="Times New Roman" w:eastAsia="Times New Roman" w:hAnsi="Times New Roman" w:cs="Times New Roman"/>
          <w:bCs/>
        </w:rPr>
      </w:pPr>
      <w:r w:rsidRPr="0015433A">
        <w:rPr>
          <w:rFonts w:ascii="Times New Roman" w:eastAsia="Calibri" w:hAnsi="Times New Roman" w:cs="Times New Roman"/>
        </w:rPr>
        <w:t>Az ismeret átadásában alkalmazandó további sajátos módok, jellemzők: Az ismeretek feldolgozása vegyes tanulási program (blended learning) alapján történik.</w:t>
      </w:r>
    </w:p>
    <w:p w:rsidR="0015433A" w:rsidRPr="0015433A" w:rsidRDefault="0015433A" w:rsidP="00980876">
      <w:pPr>
        <w:widowControl w:val="0"/>
        <w:numPr>
          <w:ilvl w:val="0"/>
          <w:numId w:val="678"/>
        </w:numPr>
        <w:spacing w:before="120" w:after="120" w:line="240" w:lineRule="auto"/>
        <w:ind w:left="426" w:hanging="142"/>
        <w:jc w:val="both"/>
        <w:rPr>
          <w:rFonts w:ascii="Times New Roman" w:eastAsia="Times New Roman" w:hAnsi="Times New Roman" w:cs="Times New Roman"/>
          <w:bCs/>
        </w:rPr>
      </w:pPr>
      <w:r w:rsidRPr="0015433A">
        <w:rPr>
          <w:rFonts w:ascii="Times New Roman" w:eastAsia="Times New Roman" w:hAnsi="Times New Roman" w:cs="Times New Roman"/>
          <w:b/>
          <w:bCs/>
        </w:rPr>
        <w:t xml:space="preserve">A tantárgy szakmai tartalma (magyarul): </w:t>
      </w:r>
      <w:r w:rsidRPr="0015433A">
        <w:rPr>
          <w:rFonts w:ascii="Times New Roman" w:eastAsia="Times New Roman" w:hAnsi="Times New Roman" w:cs="Times New Roman"/>
          <w:bCs/>
          <w:lang w:eastAsia="hu-HU"/>
        </w:rPr>
        <w:t>Keverékképzés és égés a benzinmotorban. Tüzelőanyag-ellátó rendszer felépítése. Benzin befecskendezési rendszerek felépítése és működése. Keverékképzés és égés a dízelmotorban. A dízel táprendszer általános felépítése. Dízel befecskendezési rendszerek (soros Bosch, disztribútoros, Ganz-Jendrassic, GMC, PLD, Common-Rail). Motorok fordulatszám szabályozása. Kipufogó rendszerek, hangtompítók, katalizátorok, motor által kibocsátott káros anyagok. Motorok levegőellátása, levegőszűrők. Motorok indítási módjai és ezek elméletei.</w:t>
      </w:r>
    </w:p>
    <w:p w:rsidR="0015433A" w:rsidRPr="0015433A" w:rsidRDefault="0015433A" w:rsidP="0015433A">
      <w:pPr>
        <w:widowControl w:val="0"/>
        <w:spacing w:before="120" w:after="120" w:line="240" w:lineRule="auto"/>
        <w:ind w:left="426"/>
        <w:jc w:val="both"/>
        <w:rPr>
          <w:rFonts w:ascii="Times New Roman" w:eastAsia="Times New Roman" w:hAnsi="Times New Roman" w:cs="Times New Roman"/>
          <w:bCs/>
          <w:lang w:val="en-GB"/>
        </w:rPr>
      </w:pPr>
      <w:r w:rsidRPr="0015433A">
        <w:rPr>
          <w:rFonts w:ascii="Times New Roman" w:eastAsia="Times New Roman" w:hAnsi="Times New Roman" w:cs="Times New Roman"/>
          <w:b/>
          <w:bCs/>
        </w:rPr>
        <w:t>A tantárgy szakmai tartalma (angolul) (</w:t>
      </w:r>
      <w:r w:rsidRPr="0015433A">
        <w:rPr>
          <w:rFonts w:ascii="Times New Roman" w:eastAsia="Times New Roman" w:hAnsi="Times New Roman" w:cs="Times New Roman"/>
          <w:b/>
          <w:bCs/>
          <w:lang w:val="en-US"/>
        </w:rPr>
        <w:t>Course description</w:t>
      </w:r>
      <w:r w:rsidRPr="0015433A">
        <w:rPr>
          <w:rFonts w:ascii="Times New Roman" w:eastAsia="Times New Roman" w:hAnsi="Times New Roman" w:cs="Times New Roman"/>
          <w:b/>
          <w:bCs/>
        </w:rPr>
        <w:t xml:space="preserve">): </w:t>
      </w:r>
      <w:r w:rsidRPr="0015433A">
        <w:rPr>
          <w:rFonts w:ascii="Times New Roman" w:eastAsia="Times New Roman" w:hAnsi="Times New Roman" w:cs="Times New Roman"/>
          <w:bCs/>
          <w:lang w:eastAsia="hu-HU"/>
        </w:rPr>
        <w:t xml:space="preserve">Mixing and combustion in the gasoline engine. Structure of the fuel supply system. Construction and operation of petrol injection systems. Mixing and combustion in the diesel engine. The general structure of the diesel fuel system. Diesel injection systems (In-line </w:t>
      </w:r>
      <w:bookmarkStart w:id="66" w:name="_Hlk496559168"/>
      <w:r w:rsidRPr="0015433A">
        <w:rPr>
          <w:rFonts w:ascii="Times New Roman" w:eastAsia="Times New Roman" w:hAnsi="Times New Roman" w:cs="Times New Roman"/>
          <w:bCs/>
          <w:lang w:eastAsia="hu-HU"/>
        </w:rPr>
        <w:t>fuel injection pump</w:t>
      </w:r>
      <w:bookmarkEnd w:id="66"/>
      <w:r w:rsidRPr="0015433A">
        <w:rPr>
          <w:rFonts w:ascii="Times New Roman" w:eastAsia="Times New Roman" w:hAnsi="Times New Roman" w:cs="Times New Roman"/>
          <w:bCs/>
          <w:lang w:eastAsia="hu-HU"/>
        </w:rPr>
        <w:t>, distributor pump, Ganz-Jendrassic, GMC, PLD, Common Rail). Rpm control of engines. Exhaust systems, noise silencers, catalysts, pollutants emitted by the engine. Air intake systems, air filters. Starting modes of engines and their theories.</w:t>
      </w:r>
    </w:p>
    <w:p w:rsidR="0015433A" w:rsidRPr="0015433A" w:rsidRDefault="0015433A" w:rsidP="00980876">
      <w:pPr>
        <w:widowControl w:val="0"/>
        <w:numPr>
          <w:ilvl w:val="0"/>
          <w:numId w:val="678"/>
        </w:numPr>
        <w:spacing w:before="120" w:after="120" w:line="240" w:lineRule="auto"/>
        <w:contextualSpacing/>
        <w:jc w:val="both"/>
        <w:rPr>
          <w:rFonts w:ascii="Times New Roman" w:eastAsia="Times New Roman" w:hAnsi="Times New Roman" w:cs="Times New Roman"/>
          <w:bCs/>
        </w:rPr>
      </w:pPr>
      <w:r w:rsidRPr="0015433A">
        <w:rPr>
          <w:rFonts w:ascii="Times New Roman" w:eastAsia="Times New Roman" w:hAnsi="Times New Roman" w:cs="Times New Roman"/>
          <w:b/>
          <w:bCs/>
        </w:rPr>
        <w:t xml:space="preserve">Elérendő kompetenciák (magyarul): </w:t>
      </w:r>
    </w:p>
    <w:p w:rsidR="0015433A" w:rsidRPr="0015433A" w:rsidRDefault="0015433A" w:rsidP="0015433A">
      <w:pPr>
        <w:widowControl w:val="0"/>
        <w:spacing w:before="120" w:after="120" w:line="240" w:lineRule="auto"/>
        <w:ind w:left="426"/>
        <w:jc w:val="both"/>
        <w:rPr>
          <w:rFonts w:ascii="Times New Roman" w:eastAsia="Times New Roman" w:hAnsi="Times New Roman" w:cs="Times New Roman"/>
          <w:bCs/>
        </w:rPr>
      </w:pPr>
      <w:r w:rsidRPr="0015433A">
        <w:rPr>
          <w:rFonts w:ascii="Times New Roman" w:eastAsia="Times New Roman" w:hAnsi="Times New Roman" w:cs="Times New Roman"/>
          <w:b/>
          <w:bCs/>
        </w:rPr>
        <w:t>Tudása:</w:t>
      </w:r>
    </w:p>
    <w:p w:rsidR="0015433A" w:rsidRPr="0015433A" w:rsidRDefault="0015433A" w:rsidP="00980876">
      <w:pPr>
        <w:widowControl w:val="0"/>
        <w:numPr>
          <w:ilvl w:val="0"/>
          <w:numId w:val="677"/>
        </w:numPr>
        <w:spacing w:after="0" w:line="240" w:lineRule="auto"/>
        <w:ind w:left="851" w:hanging="218"/>
        <w:contextualSpacing/>
        <w:jc w:val="both"/>
        <w:rPr>
          <w:rFonts w:ascii="Times New Roman" w:eastAsia="Times New Roman" w:hAnsi="Times New Roman" w:cs="Times New Roman"/>
          <w:bCs/>
        </w:rPr>
      </w:pPr>
      <w:r w:rsidRPr="0015433A">
        <w:rPr>
          <w:rFonts w:ascii="Times New Roman" w:eastAsia="Times New Roman" w:hAnsi="Times New Roman" w:cs="Times New Roman"/>
          <w:bCs/>
        </w:rPr>
        <w:t>Ismeri a páncélos- és gépjárműtechnikai eszközök felépítését, berendezéseit, azok működését és üzemeltetési rendjét.</w:t>
      </w:r>
    </w:p>
    <w:p w:rsidR="0015433A" w:rsidRPr="0015433A" w:rsidRDefault="0015433A" w:rsidP="00980876">
      <w:pPr>
        <w:widowControl w:val="0"/>
        <w:numPr>
          <w:ilvl w:val="0"/>
          <w:numId w:val="677"/>
        </w:numPr>
        <w:spacing w:after="0" w:line="240" w:lineRule="auto"/>
        <w:ind w:left="851" w:hanging="218"/>
        <w:contextualSpacing/>
        <w:jc w:val="both"/>
        <w:rPr>
          <w:rFonts w:ascii="Times New Roman" w:eastAsia="Times New Roman" w:hAnsi="Times New Roman" w:cs="Times New Roman"/>
          <w:bCs/>
        </w:rPr>
      </w:pPr>
      <w:r w:rsidRPr="0015433A">
        <w:rPr>
          <w:rFonts w:ascii="Times New Roman" w:eastAsia="Times New Roman" w:hAnsi="Times New Roman" w:cs="Times New Roman"/>
          <w:bCs/>
        </w:rPr>
        <w:t>Ismeri a páncélos- és gépjárműtechnikai eszközök szerkezeti részeinek igénybevételét.</w:t>
      </w:r>
    </w:p>
    <w:p w:rsidR="0015433A" w:rsidRPr="0015433A" w:rsidRDefault="0015433A" w:rsidP="00980876">
      <w:pPr>
        <w:widowControl w:val="0"/>
        <w:numPr>
          <w:ilvl w:val="0"/>
          <w:numId w:val="677"/>
        </w:numPr>
        <w:spacing w:after="0" w:line="240" w:lineRule="auto"/>
        <w:ind w:left="851" w:hanging="218"/>
        <w:contextualSpacing/>
        <w:jc w:val="both"/>
        <w:rPr>
          <w:rFonts w:ascii="Times New Roman" w:eastAsia="Times New Roman" w:hAnsi="Times New Roman" w:cs="Times New Roman"/>
          <w:bCs/>
        </w:rPr>
      </w:pPr>
      <w:r w:rsidRPr="0015433A">
        <w:rPr>
          <w:rFonts w:ascii="Times New Roman" w:eastAsia="Times New Roman" w:hAnsi="Times New Roman" w:cs="Times New Roman"/>
          <w:bCs/>
        </w:rPr>
        <w:t>Ismeri a legújabb gépjárműtechnikai megoldásokat.</w:t>
      </w:r>
    </w:p>
    <w:p w:rsidR="0015433A" w:rsidRPr="0015433A" w:rsidRDefault="0015433A" w:rsidP="00980876">
      <w:pPr>
        <w:widowControl w:val="0"/>
        <w:numPr>
          <w:ilvl w:val="0"/>
          <w:numId w:val="677"/>
        </w:numPr>
        <w:spacing w:after="0" w:line="240" w:lineRule="auto"/>
        <w:ind w:left="851" w:hanging="218"/>
        <w:contextualSpacing/>
        <w:jc w:val="both"/>
        <w:rPr>
          <w:rFonts w:ascii="Times New Roman" w:eastAsia="Calibri" w:hAnsi="Times New Roman" w:cs="Times New Roman"/>
        </w:rPr>
      </w:pPr>
      <w:r w:rsidRPr="0015433A">
        <w:rPr>
          <w:rFonts w:ascii="Times New Roman" w:eastAsia="Times New Roman" w:hAnsi="Times New Roman" w:cs="Times New Roman"/>
          <w:bCs/>
        </w:rPr>
        <w:t>Ismeri a páncélos- és gépjárműtechnikai eszközök fődarabjainak és részegységeinek karbantartását, ellenőrzését, az egyes szerelési egységek hibáinak behatárolási és javítási módjait.</w:t>
      </w:r>
    </w:p>
    <w:p w:rsidR="0015433A" w:rsidRPr="0015433A" w:rsidRDefault="0015433A" w:rsidP="00980876">
      <w:pPr>
        <w:widowControl w:val="0"/>
        <w:numPr>
          <w:ilvl w:val="0"/>
          <w:numId w:val="677"/>
        </w:numPr>
        <w:spacing w:after="0" w:line="240" w:lineRule="auto"/>
        <w:ind w:left="851" w:hanging="218"/>
        <w:contextualSpacing/>
        <w:jc w:val="both"/>
        <w:rPr>
          <w:rFonts w:ascii="Times New Roman" w:eastAsia="Times New Roman" w:hAnsi="Times New Roman" w:cs="Times New Roman"/>
          <w:bCs/>
        </w:rPr>
      </w:pPr>
      <w:r w:rsidRPr="0015433A">
        <w:rPr>
          <w:rFonts w:ascii="Times New Roman" w:eastAsia="Times New Roman" w:hAnsi="Times New Roman" w:cs="Times New Roman"/>
          <w:bCs/>
        </w:rPr>
        <w:t>Ismeri a szakfeladatainak ellátásához szükséges munkavédelmi rendszabályokat.</w:t>
      </w:r>
    </w:p>
    <w:p w:rsidR="0015433A" w:rsidRPr="0015433A" w:rsidRDefault="0015433A" w:rsidP="00980876">
      <w:pPr>
        <w:widowControl w:val="0"/>
        <w:numPr>
          <w:ilvl w:val="0"/>
          <w:numId w:val="677"/>
        </w:numPr>
        <w:spacing w:after="0" w:line="240" w:lineRule="auto"/>
        <w:ind w:left="851" w:hanging="218"/>
        <w:contextualSpacing/>
        <w:jc w:val="both"/>
        <w:rPr>
          <w:rFonts w:ascii="Times New Roman" w:eastAsia="Times New Roman" w:hAnsi="Times New Roman" w:cs="Times New Roman"/>
          <w:bCs/>
        </w:rPr>
      </w:pPr>
      <w:r w:rsidRPr="0015433A">
        <w:rPr>
          <w:rFonts w:ascii="Times New Roman" w:eastAsia="Times New Roman" w:hAnsi="Times New Roman" w:cs="Times New Roman"/>
          <w:bCs/>
        </w:rPr>
        <w:lastRenderedPageBreak/>
        <w:t>Megfelelő mélységű és spektrumú páncélos- és gépjárműtechnikai típusismerettel rendelkezik.</w:t>
      </w:r>
    </w:p>
    <w:p w:rsidR="0015433A" w:rsidRPr="0015433A" w:rsidRDefault="0015433A" w:rsidP="0015433A">
      <w:pPr>
        <w:widowControl w:val="0"/>
        <w:spacing w:before="120" w:after="120" w:line="240" w:lineRule="auto"/>
        <w:ind w:left="426"/>
        <w:jc w:val="both"/>
        <w:rPr>
          <w:rFonts w:ascii="Times New Roman" w:eastAsia="Times New Roman" w:hAnsi="Times New Roman" w:cs="Times New Roman"/>
          <w:bCs/>
        </w:rPr>
      </w:pPr>
      <w:r w:rsidRPr="0015433A">
        <w:rPr>
          <w:rFonts w:ascii="Times New Roman" w:eastAsia="Times New Roman" w:hAnsi="Times New Roman" w:cs="Times New Roman"/>
          <w:b/>
          <w:bCs/>
        </w:rPr>
        <w:t>Képességei:</w:t>
      </w:r>
    </w:p>
    <w:p w:rsidR="0015433A" w:rsidRPr="0015433A" w:rsidRDefault="0015433A" w:rsidP="00980876">
      <w:pPr>
        <w:widowControl w:val="0"/>
        <w:numPr>
          <w:ilvl w:val="0"/>
          <w:numId w:val="677"/>
        </w:numPr>
        <w:spacing w:after="0" w:line="240" w:lineRule="auto"/>
        <w:ind w:left="851" w:hanging="218"/>
        <w:contextualSpacing/>
        <w:jc w:val="both"/>
        <w:rPr>
          <w:rFonts w:ascii="Times New Roman" w:eastAsia="Times New Roman" w:hAnsi="Times New Roman" w:cs="Times New Roman"/>
          <w:bCs/>
        </w:rPr>
      </w:pPr>
      <w:r w:rsidRPr="0015433A">
        <w:rPr>
          <w:rFonts w:ascii="Times New Roman" w:eastAsia="Times New Roman" w:hAnsi="Times New Roman" w:cs="Times New Roman"/>
          <w:bCs/>
        </w:rPr>
        <w:t>Képes a szakterületén rendszeresített és használt berendezések és technikai eszközök használatának megszervezésére és hatékony alkalmazására.</w:t>
      </w:r>
    </w:p>
    <w:p w:rsidR="0015433A" w:rsidRPr="0015433A" w:rsidRDefault="0015433A" w:rsidP="00980876">
      <w:pPr>
        <w:widowControl w:val="0"/>
        <w:numPr>
          <w:ilvl w:val="0"/>
          <w:numId w:val="677"/>
        </w:numPr>
        <w:spacing w:after="0" w:line="240" w:lineRule="auto"/>
        <w:ind w:left="851" w:hanging="218"/>
        <w:contextualSpacing/>
        <w:jc w:val="both"/>
        <w:rPr>
          <w:rFonts w:ascii="Times New Roman" w:eastAsia="Times New Roman" w:hAnsi="Times New Roman" w:cs="Times New Roman"/>
          <w:bCs/>
        </w:rPr>
      </w:pPr>
      <w:r w:rsidRPr="0015433A">
        <w:rPr>
          <w:rFonts w:ascii="Times New Roman" w:eastAsia="Times New Roman" w:hAnsi="Times New Roman" w:cs="Times New Roman"/>
          <w:bCs/>
        </w:rPr>
        <w:t>Képes a technológiai utasításoknak megfelelően a páncélos- és gépjárműtechnikai eszközök technikai kiszolgálásának szakszerű végrehajtására, illetve a végrehajtás megszervezésére és ellenőrzésére.</w:t>
      </w:r>
    </w:p>
    <w:p w:rsidR="0015433A" w:rsidRPr="0015433A" w:rsidRDefault="0015433A" w:rsidP="00980876">
      <w:pPr>
        <w:widowControl w:val="0"/>
        <w:numPr>
          <w:ilvl w:val="0"/>
          <w:numId w:val="677"/>
        </w:numPr>
        <w:spacing w:after="0" w:line="240" w:lineRule="auto"/>
        <w:ind w:left="851" w:hanging="218"/>
        <w:contextualSpacing/>
        <w:jc w:val="both"/>
        <w:rPr>
          <w:rFonts w:ascii="Times New Roman" w:eastAsia="Times New Roman" w:hAnsi="Times New Roman" w:cs="Times New Roman"/>
          <w:bCs/>
        </w:rPr>
      </w:pPr>
      <w:r w:rsidRPr="0015433A">
        <w:rPr>
          <w:rFonts w:ascii="Times New Roman" w:eastAsia="Times New Roman" w:hAnsi="Times New Roman" w:cs="Times New Roman"/>
          <w:bCs/>
        </w:rPr>
        <w:t>Képes az alegységszinten elvégzendő szükség szerinti javítások megszervezésére, végrehajtására és a végrehajtás ellenőrzésére.</w:t>
      </w:r>
    </w:p>
    <w:p w:rsidR="0015433A" w:rsidRPr="0015433A" w:rsidRDefault="0015433A" w:rsidP="00980876">
      <w:pPr>
        <w:widowControl w:val="0"/>
        <w:numPr>
          <w:ilvl w:val="0"/>
          <w:numId w:val="677"/>
        </w:numPr>
        <w:spacing w:after="0" w:line="240" w:lineRule="auto"/>
        <w:ind w:left="851" w:hanging="218"/>
        <w:contextualSpacing/>
        <w:jc w:val="both"/>
        <w:rPr>
          <w:rFonts w:ascii="Times New Roman" w:eastAsia="Times New Roman" w:hAnsi="Times New Roman" w:cs="Times New Roman"/>
          <w:bCs/>
        </w:rPr>
      </w:pPr>
      <w:r w:rsidRPr="0015433A">
        <w:rPr>
          <w:rFonts w:ascii="Times New Roman" w:eastAsia="Times New Roman" w:hAnsi="Times New Roman" w:cs="Times New Roman"/>
          <w:bCs/>
        </w:rPr>
        <w:t>Képes a páncélos- és gépjárműtechnikai eszközök rendszerben tartását tervezni, szervezni és irányítani.</w:t>
      </w:r>
    </w:p>
    <w:p w:rsidR="0015433A" w:rsidRPr="0015433A" w:rsidRDefault="0015433A" w:rsidP="00980876">
      <w:pPr>
        <w:widowControl w:val="0"/>
        <w:numPr>
          <w:ilvl w:val="0"/>
          <w:numId w:val="677"/>
        </w:numPr>
        <w:spacing w:after="0" w:line="240" w:lineRule="auto"/>
        <w:ind w:left="851" w:hanging="218"/>
        <w:contextualSpacing/>
        <w:jc w:val="both"/>
        <w:rPr>
          <w:rFonts w:ascii="Times New Roman" w:eastAsia="Times New Roman" w:hAnsi="Times New Roman" w:cs="Times New Roman"/>
          <w:bCs/>
        </w:rPr>
      </w:pPr>
      <w:r w:rsidRPr="0015433A">
        <w:rPr>
          <w:rFonts w:ascii="Times New Roman" w:eastAsia="Times New Roman" w:hAnsi="Times New Roman" w:cs="Times New Roman"/>
          <w:bCs/>
        </w:rPr>
        <w:t>Képes a biztonságos munkavégzés feltételeit megteremteni, a biztonságos munkavégzéshez szükséges szabályokat másokkal is betartatni.</w:t>
      </w:r>
    </w:p>
    <w:p w:rsidR="0015433A" w:rsidRPr="0015433A" w:rsidRDefault="0015433A" w:rsidP="00980876">
      <w:pPr>
        <w:widowControl w:val="0"/>
        <w:numPr>
          <w:ilvl w:val="0"/>
          <w:numId w:val="677"/>
        </w:numPr>
        <w:spacing w:after="0" w:line="240" w:lineRule="auto"/>
        <w:ind w:left="851" w:hanging="218"/>
        <w:contextualSpacing/>
        <w:jc w:val="both"/>
        <w:rPr>
          <w:rFonts w:ascii="Times New Roman" w:eastAsia="Times New Roman" w:hAnsi="Times New Roman" w:cs="Times New Roman"/>
          <w:bCs/>
        </w:rPr>
      </w:pPr>
      <w:r w:rsidRPr="0015433A">
        <w:rPr>
          <w:rFonts w:ascii="Times New Roman" w:eastAsia="Times New Roman" w:hAnsi="Times New Roman" w:cs="Times New Roman"/>
          <w:bCs/>
        </w:rPr>
        <w:t>Képes az alárendeltségében levő szakjavító alegység munkájának a megtervezésére, megszervezésére, irányítására és ellenőrzésére.</w:t>
      </w:r>
    </w:p>
    <w:p w:rsidR="0015433A" w:rsidRPr="0015433A" w:rsidRDefault="0015433A" w:rsidP="00980876">
      <w:pPr>
        <w:widowControl w:val="0"/>
        <w:numPr>
          <w:ilvl w:val="0"/>
          <w:numId w:val="677"/>
        </w:numPr>
        <w:spacing w:after="0" w:line="240" w:lineRule="auto"/>
        <w:ind w:left="851" w:hanging="218"/>
        <w:contextualSpacing/>
        <w:jc w:val="both"/>
        <w:rPr>
          <w:rFonts w:ascii="Times New Roman" w:eastAsia="Times New Roman" w:hAnsi="Times New Roman" w:cs="Times New Roman"/>
          <w:bCs/>
        </w:rPr>
      </w:pPr>
      <w:r w:rsidRPr="0015433A">
        <w:rPr>
          <w:rFonts w:ascii="Times New Roman" w:eastAsia="Times New Roman" w:hAnsi="Times New Roman" w:cs="Times New Roman"/>
          <w:bCs/>
        </w:rPr>
        <w:t>Képes a megtanultakat felhasználva a szakterületén felmerülő új műszaki információkat megérteni és megtanulni.</w:t>
      </w:r>
    </w:p>
    <w:p w:rsidR="0015433A" w:rsidRPr="0015433A" w:rsidRDefault="0015433A" w:rsidP="0015433A">
      <w:pPr>
        <w:widowControl w:val="0"/>
        <w:spacing w:before="120" w:after="120" w:line="240" w:lineRule="auto"/>
        <w:ind w:left="426"/>
        <w:jc w:val="both"/>
        <w:rPr>
          <w:rFonts w:ascii="Times New Roman" w:eastAsia="Times New Roman" w:hAnsi="Times New Roman" w:cs="Times New Roman"/>
          <w:bCs/>
        </w:rPr>
      </w:pPr>
      <w:r w:rsidRPr="0015433A">
        <w:rPr>
          <w:rFonts w:ascii="Times New Roman" w:eastAsia="Times New Roman" w:hAnsi="Times New Roman" w:cs="Times New Roman"/>
          <w:b/>
          <w:bCs/>
        </w:rPr>
        <w:t>Attitűdje:</w:t>
      </w:r>
    </w:p>
    <w:p w:rsidR="0015433A" w:rsidRPr="0015433A" w:rsidRDefault="0015433A" w:rsidP="00980876">
      <w:pPr>
        <w:widowControl w:val="0"/>
        <w:numPr>
          <w:ilvl w:val="0"/>
          <w:numId w:val="677"/>
        </w:numPr>
        <w:spacing w:after="0" w:line="240" w:lineRule="auto"/>
        <w:ind w:left="851" w:hanging="218"/>
        <w:contextualSpacing/>
        <w:jc w:val="both"/>
        <w:rPr>
          <w:rFonts w:ascii="Times New Roman" w:eastAsia="Times New Roman" w:hAnsi="Times New Roman" w:cs="Times New Roman"/>
          <w:bCs/>
        </w:rPr>
      </w:pPr>
      <w:r w:rsidRPr="0015433A">
        <w:rPr>
          <w:rFonts w:ascii="Times New Roman" w:eastAsia="Times New Roman" w:hAnsi="Times New Roman" w:cs="Times New Roman"/>
          <w:bCs/>
        </w:rPr>
        <w:t>Nyitott a páncélos- és gépjárműtechnikával kapcsolatos szakmai ismereteinek gyarapítása iránt, folyamatos önképzési igény jellemzi.</w:t>
      </w:r>
    </w:p>
    <w:p w:rsidR="0015433A" w:rsidRPr="0015433A" w:rsidRDefault="0015433A" w:rsidP="00980876">
      <w:pPr>
        <w:widowControl w:val="0"/>
        <w:numPr>
          <w:ilvl w:val="0"/>
          <w:numId w:val="677"/>
        </w:numPr>
        <w:spacing w:after="0" w:line="240" w:lineRule="auto"/>
        <w:ind w:left="851" w:hanging="218"/>
        <w:contextualSpacing/>
        <w:jc w:val="both"/>
        <w:rPr>
          <w:rFonts w:ascii="Times New Roman" w:eastAsia="Times New Roman" w:hAnsi="Times New Roman" w:cs="Times New Roman"/>
          <w:bCs/>
        </w:rPr>
      </w:pPr>
      <w:r w:rsidRPr="0015433A">
        <w:rPr>
          <w:rFonts w:ascii="Times New Roman" w:eastAsia="Times New Roman" w:hAnsi="Times New Roman" w:cs="Times New Roman"/>
          <w:bCs/>
        </w:rPr>
        <w:t>Törekszik munkája során a vonatkozó szabályok betartására és betartatására.</w:t>
      </w:r>
    </w:p>
    <w:p w:rsidR="0015433A" w:rsidRPr="0015433A" w:rsidRDefault="0015433A" w:rsidP="00980876">
      <w:pPr>
        <w:widowControl w:val="0"/>
        <w:numPr>
          <w:ilvl w:val="0"/>
          <w:numId w:val="677"/>
        </w:numPr>
        <w:spacing w:after="0" w:line="240" w:lineRule="auto"/>
        <w:ind w:left="851" w:hanging="218"/>
        <w:contextualSpacing/>
        <w:jc w:val="both"/>
        <w:rPr>
          <w:rFonts w:ascii="Times New Roman" w:eastAsia="Times New Roman" w:hAnsi="Times New Roman" w:cs="Times New Roman"/>
          <w:bCs/>
        </w:rPr>
      </w:pPr>
      <w:r w:rsidRPr="0015433A">
        <w:rPr>
          <w:rFonts w:ascii="Times New Roman" w:eastAsia="Times New Roman" w:hAnsi="Times New Roman" w:cs="Times New Roman"/>
          <w:bCs/>
        </w:rPr>
        <w:t>Munkáját és emberi kapcsolatait a megbízhatóság jellemzi.</w:t>
      </w:r>
    </w:p>
    <w:p w:rsidR="0015433A" w:rsidRPr="0015433A" w:rsidRDefault="0015433A" w:rsidP="00980876">
      <w:pPr>
        <w:widowControl w:val="0"/>
        <w:numPr>
          <w:ilvl w:val="0"/>
          <w:numId w:val="677"/>
        </w:numPr>
        <w:spacing w:after="0" w:line="240" w:lineRule="auto"/>
        <w:ind w:left="851" w:hanging="218"/>
        <w:contextualSpacing/>
        <w:jc w:val="both"/>
        <w:rPr>
          <w:rFonts w:ascii="Times New Roman" w:eastAsia="Times New Roman" w:hAnsi="Times New Roman" w:cs="Times New Roman"/>
          <w:bCs/>
        </w:rPr>
      </w:pPr>
      <w:r w:rsidRPr="0015433A">
        <w:rPr>
          <w:rFonts w:ascii="Times New Roman" w:eastAsia="Times New Roman" w:hAnsi="Times New Roman" w:cs="Times New Roman"/>
          <w:bCs/>
        </w:rPr>
        <w:t>Nyitott a haditechnikai szakterület új eredményei felé, törekszik azok megismerésére.</w:t>
      </w:r>
    </w:p>
    <w:p w:rsidR="0015433A" w:rsidRPr="0015433A" w:rsidRDefault="0015433A" w:rsidP="0015433A">
      <w:pPr>
        <w:widowControl w:val="0"/>
        <w:spacing w:before="120" w:after="120" w:line="240" w:lineRule="auto"/>
        <w:ind w:left="426"/>
        <w:jc w:val="both"/>
        <w:rPr>
          <w:rFonts w:ascii="Times New Roman" w:eastAsia="Times New Roman" w:hAnsi="Times New Roman" w:cs="Times New Roman"/>
          <w:bCs/>
        </w:rPr>
      </w:pPr>
      <w:r w:rsidRPr="0015433A">
        <w:rPr>
          <w:rFonts w:ascii="Times New Roman" w:eastAsia="Times New Roman" w:hAnsi="Times New Roman" w:cs="Times New Roman"/>
          <w:b/>
          <w:bCs/>
        </w:rPr>
        <w:t>Autonómiája és felelőssége:</w:t>
      </w:r>
    </w:p>
    <w:p w:rsidR="0015433A" w:rsidRPr="0015433A" w:rsidRDefault="0015433A" w:rsidP="00980876">
      <w:pPr>
        <w:widowControl w:val="0"/>
        <w:numPr>
          <w:ilvl w:val="0"/>
          <w:numId w:val="677"/>
        </w:numPr>
        <w:spacing w:after="0" w:line="240" w:lineRule="auto"/>
        <w:ind w:left="851" w:hanging="218"/>
        <w:contextualSpacing/>
        <w:jc w:val="both"/>
        <w:rPr>
          <w:rFonts w:ascii="Times New Roman" w:eastAsia="Times New Roman" w:hAnsi="Times New Roman" w:cs="Times New Roman"/>
          <w:bCs/>
        </w:rPr>
      </w:pPr>
      <w:r w:rsidRPr="0015433A">
        <w:rPr>
          <w:rFonts w:ascii="Times New Roman" w:eastAsia="Times New Roman" w:hAnsi="Times New Roman" w:cs="Times New Roman"/>
          <w:bCs/>
        </w:rPr>
        <w:t>Képes alárendeltjeinek feladatait megszervezni és meghatározni, valamint elvégzett munkájukat szakmai szempontok alapján ellenőrizni.</w:t>
      </w:r>
    </w:p>
    <w:p w:rsidR="0015433A" w:rsidRPr="0015433A" w:rsidRDefault="0015433A" w:rsidP="00980876">
      <w:pPr>
        <w:widowControl w:val="0"/>
        <w:numPr>
          <w:ilvl w:val="0"/>
          <w:numId w:val="677"/>
        </w:numPr>
        <w:spacing w:after="0" w:line="240" w:lineRule="auto"/>
        <w:ind w:left="851" w:hanging="218"/>
        <w:contextualSpacing/>
        <w:jc w:val="both"/>
        <w:rPr>
          <w:rFonts w:ascii="Times New Roman" w:eastAsia="Times New Roman" w:hAnsi="Times New Roman" w:cs="Times New Roman"/>
          <w:bCs/>
        </w:rPr>
      </w:pPr>
      <w:r w:rsidRPr="0015433A">
        <w:rPr>
          <w:rFonts w:ascii="Times New Roman" w:eastAsia="Times New Roman" w:hAnsi="Times New Roman" w:cs="Times New Roman"/>
          <w:bCs/>
        </w:rPr>
        <w:t>A páncélos- és gépjárműtechnikai eszközök technikai kiszolgálása és javítása során képes elemzések végrehajtása után a legmegfelelőbb döntéseket meghozni, amely döntésekért a szakmai felelősséget vállalja.</w:t>
      </w:r>
    </w:p>
    <w:p w:rsidR="0015433A" w:rsidRPr="0015433A" w:rsidRDefault="0015433A" w:rsidP="00980876">
      <w:pPr>
        <w:widowControl w:val="0"/>
        <w:numPr>
          <w:ilvl w:val="0"/>
          <w:numId w:val="677"/>
        </w:numPr>
        <w:spacing w:after="0" w:line="240" w:lineRule="auto"/>
        <w:ind w:left="851" w:hanging="218"/>
        <w:contextualSpacing/>
        <w:jc w:val="both"/>
        <w:rPr>
          <w:rFonts w:ascii="Times New Roman" w:eastAsia="Times New Roman" w:hAnsi="Times New Roman" w:cs="Times New Roman"/>
          <w:bCs/>
        </w:rPr>
      </w:pPr>
      <w:r w:rsidRPr="0015433A">
        <w:rPr>
          <w:rFonts w:ascii="Times New Roman" w:eastAsia="Times New Roman" w:hAnsi="Times New Roman" w:cs="Times New Roman"/>
          <w:bCs/>
        </w:rPr>
        <w:t>Együttműködés és felelősség jellemzi szakterületének szakembereivel szemben.</w:t>
      </w:r>
    </w:p>
    <w:p w:rsidR="0015433A" w:rsidRPr="0015433A" w:rsidRDefault="0015433A" w:rsidP="00980876">
      <w:pPr>
        <w:widowControl w:val="0"/>
        <w:numPr>
          <w:ilvl w:val="0"/>
          <w:numId w:val="677"/>
        </w:numPr>
        <w:spacing w:after="0" w:line="240" w:lineRule="auto"/>
        <w:ind w:left="851" w:hanging="218"/>
        <w:contextualSpacing/>
        <w:jc w:val="both"/>
        <w:rPr>
          <w:rFonts w:ascii="Times New Roman" w:eastAsia="Times New Roman" w:hAnsi="Times New Roman" w:cs="Times New Roman"/>
          <w:bCs/>
        </w:rPr>
      </w:pPr>
      <w:r w:rsidRPr="0015433A">
        <w:rPr>
          <w:rFonts w:ascii="Times New Roman" w:eastAsia="Times New Roman" w:hAnsi="Times New Roman" w:cs="Times New Roman"/>
          <w:bCs/>
        </w:rPr>
        <w:t>Szakterületén belül képes rendszer-szemléletűen gondolkodni.</w:t>
      </w:r>
    </w:p>
    <w:p w:rsidR="0015433A" w:rsidRPr="0015433A" w:rsidRDefault="0015433A" w:rsidP="0015433A">
      <w:pPr>
        <w:widowControl w:val="0"/>
        <w:spacing w:before="120" w:after="120" w:line="240" w:lineRule="auto"/>
        <w:ind w:left="426"/>
        <w:jc w:val="both"/>
        <w:rPr>
          <w:rFonts w:ascii="Times New Roman" w:eastAsia="Times New Roman" w:hAnsi="Times New Roman" w:cs="Times New Roman"/>
          <w:b/>
          <w:bCs/>
          <w:lang w:val="en-US"/>
        </w:rPr>
      </w:pPr>
      <w:r w:rsidRPr="0015433A">
        <w:rPr>
          <w:rFonts w:ascii="Times New Roman" w:eastAsia="Times New Roman" w:hAnsi="Times New Roman" w:cs="Times New Roman"/>
          <w:b/>
          <w:bCs/>
        </w:rPr>
        <w:t>Elérendő kompetenciák (angolul) (</w:t>
      </w:r>
      <w:r w:rsidRPr="0015433A">
        <w:rPr>
          <w:rFonts w:ascii="Times New Roman" w:eastAsia="Times New Roman" w:hAnsi="Times New Roman" w:cs="Times New Roman"/>
          <w:b/>
          <w:bCs/>
          <w:lang w:val="en-US"/>
        </w:rPr>
        <w:t xml:space="preserve">Competences – English): </w:t>
      </w:r>
    </w:p>
    <w:p w:rsidR="0015433A" w:rsidRPr="0015433A" w:rsidRDefault="0015433A" w:rsidP="0015433A">
      <w:pPr>
        <w:widowControl w:val="0"/>
        <w:spacing w:before="120" w:after="120" w:line="240" w:lineRule="auto"/>
        <w:ind w:left="426"/>
        <w:jc w:val="both"/>
        <w:rPr>
          <w:rFonts w:ascii="Times New Roman" w:eastAsia="Times New Roman" w:hAnsi="Times New Roman" w:cs="Times New Roman"/>
          <w:lang w:val="en-GB"/>
        </w:rPr>
      </w:pPr>
      <w:r w:rsidRPr="0015433A">
        <w:rPr>
          <w:rFonts w:ascii="Times New Roman" w:eastAsia="Times New Roman" w:hAnsi="Times New Roman" w:cs="Times New Roman"/>
          <w:b/>
          <w:lang w:val="en-GB"/>
        </w:rPr>
        <w:t>Knowledge</w:t>
      </w:r>
      <w:r w:rsidRPr="0015433A">
        <w:rPr>
          <w:rFonts w:ascii="Times New Roman" w:eastAsia="Times New Roman" w:hAnsi="Times New Roman" w:cs="Times New Roman"/>
          <w:lang w:val="en-GB"/>
        </w:rPr>
        <w:t>:</w:t>
      </w:r>
    </w:p>
    <w:p w:rsidR="0015433A" w:rsidRPr="0015433A" w:rsidRDefault="0015433A" w:rsidP="00980876">
      <w:pPr>
        <w:widowControl w:val="0"/>
        <w:numPr>
          <w:ilvl w:val="0"/>
          <w:numId w:val="677"/>
        </w:numPr>
        <w:spacing w:after="0" w:line="240" w:lineRule="auto"/>
        <w:ind w:left="851" w:hanging="218"/>
        <w:contextualSpacing/>
        <w:jc w:val="both"/>
        <w:rPr>
          <w:rFonts w:ascii="Times New Roman" w:eastAsia="Times New Roman" w:hAnsi="Times New Roman" w:cs="Times New Roman"/>
          <w:bCs/>
        </w:rPr>
      </w:pPr>
      <w:r w:rsidRPr="0015433A">
        <w:rPr>
          <w:rFonts w:ascii="Times New Roman" w:eastAsia="Times New Roman" w:hAnsi="Times New Roman" w:cs="Times New Roman"/>
          <w:bCs/>
        </w:rPr>
        <w:t>Knows the structure and equipment as well as the functioning and operation of armored vehicles.</w:t>
      </w:r>
    </w:p>
    <w:p w:rsidR="0015433A" w:rsidRPr="0015433A" w:rsidRDefault="0015433A" w:rsidP="00980876">
      <w:pPr>
        <w:widowControl w:val="0"/>
        <w:numPr>
          <w:ilvl w:val="0"/>
          <w:numId w:val="677"/>
        </w:numPr>
        <w:spacing w:after="0" w:line="240" w:lineRule="auto"/>
        <w:ind w:left="851" w:hanging="218"/>
        <w:contextualSpacing/>
        <w:jc w:val="both"/>
        <w:rPr>
          <w:rFonts w:ascii="Times New Roman" w:eastAsia="Times New Roman" w:hAnsi="Times New Roman" w:cs="Times New Roman"/>
          <w:bCs/>
        </w:rPr>
      </w:pPr>
      <w:r w:rsidRPr="0015433A">
        <w:rPr>
          <w:rFonts w:ascii="Times New Roman" w:eastAsia="Times New Roman" w:hAnsi="Times New Roman" w:cs="Times New Roman"/>
          <w:bCs/>
        </w:rPr>
        <w:t>Knows the usage circumstances of the structural parts of armored vehicles.</w:t>
      </w:r>
    </w:p>
    <w:p w:rsidR="0015433A" w:rsidRPr="0015433A" w:rsidRDefault="0015433A" w:rsidP="00980876">
      <w:pPr>
        <w:widowControl w:val="0"/>
        <w:numPr>
          <w:ilvl w:val="0"/>
          <w:numId w:val="677"/>
        </w:numPr>
        <w:spacing w:after="0" w:line="240" w:lineRule="auto"/>
        <w:ind w:left="851" w:hanging="218"/>
        <w:contextualSpacing/>
        <w:jc w:val="both"/>
        <w:rPr>
          <w:rFonts w:ascii="Times New Roman" w:eastAsia="Times New Roman" w:hAnsi="Times New Roman" w:cs="Times New Roman"/>
          <w:bCs/>
        </w:rPr>
      </w:pPr>
      <w:r w:rsidRPr="0015433A">
        <w:rPr>
          <w:rFonts w:ascii="Times New Roman" w:eastAsia="Times New Roman" w:hAnsi="Times New Roman" w:cs="Times New Roman"/>
          <w:bCs/>
        </w:rPr>
        <w:t>Knows the latest solutions regarding armored vehicles.</w:t>
      </w:r>
    </w:p>
    <w:p w:rsidR="0015433A" w:rsidRPr="0015433A" w:rsidRDefault="0015433A" w:rsidP="00980876">
      <w:pPr>
        <w:widowControl w:val="0"/>
        <w:numPr>
          <w:ilvl w:val="0"/>
          <w:numId w:val="677"/>
        </w:numPr>
        <w:spacing w:after="0" w:line="240" w:lineRule="auto"/>
        <w:ind w:left="851" w:hanging="218"/>
        <w:contextualSpacing/>
        <w:jc w:val="both"/>
        <w:rPr>
          <w:rFonts w:ascii="Times New Roman" w:eastAsia="Times New Roman" w:hAnsi="Times New Roman" w:cs="Times New Roman"/>
          <w:bCs/>
        </w:rPr>
      </w:pPr>
      <w:r w:rsidRPr="0015433A">
        <w:rPr>
          <w:rFonts w:ascii="Times New Roman" w:eastAsia="Times New Roman" w:hAnsi="Times New Roman" w:cs="Times New Roman"/>
          <w:bCs/>
        </w:rPr>
        <w:t>Knows how to maintain and control the main parts and units of armored vehicles, as well as the ways to identify and repair the defects of certain parts.</w:t>
      </w:r>
    </w:p>
    <w:p w:rsidR="0015433A" w:rsidRPr="0015433A" w:rsidRDefault="0015433A" w:rsidP="00980876">
      <w:pPr>
        <w:widowControl w:val="0"/>
        <w:numPr>
          <w:ilvl w:val="0"/>
          <w:numId w:val="677"/>
        </w:numPr>
        <w:spacing w:after="0" w:line="240" w:lineRule="auto"/>
        <w:ind w:left="851" w:hanging="218"/>
        <w:contextualSpacing/>
        <w:jc w:val="both"/>
        <w:rPr>
          <w:rFonts w:ascii="Times New Roman" w:eastAsia="Times New Roman" w:hAnsi="Times New Roman" w:cs="Times New Roman"/>
          <w:bCs/>
        </w:rPr>
      </w:pPr>
      <w:r w:rsidRPr="0015433A">
        <w:rPr>
          <w:rFonts w:ascii="Times New Roman" w:eastAsia="Times New Roman" w:hAnsi="Times New Roman" w:cs="Times New Roman"/>
          <w:bCs/>
        </w:rPr>
        <w:t>Knows the work safety regulations required for fulfilling his/her professional tasks.</w:t>
      </w:r>
    </w:p>
    <w:p w:rsidR="0015433A" w:rsidRPr="0015433A" w:rsidRDefault="0015433A" w:rsidP="00980876">
      <w:pPr>
        <w:widowControl w:val="0"/>
        <w:numPr>
          <w:ilvl w:val="0"/>
          <w:numId w:val="677"/>
        </w:numPr>
        <w:spacing w:after="0" w:line="240" w:lineRule="auto"/>
        <w:ind w:left="851" w:hanging="218"/>
        <w:contextualSpacing/>
        <w:jc w:val="both"/>
        <w:rPr>
          <w:rFonts w:ascii="Times New Roman" w:eastAsia="Times New Roman" w:hAnsi="Times New Roman" w:cs="Times New Roman"/>
          <w:bCs/>
        </w:rPr>
      </w:pPr>
      <w:r w:rsidRPr="0015433A">
        <w:rPr>
          <w:rFonts w:ascii="Times New Roman" w:eastAsia="Times New Roman" w:hAnsi="Times New Roman" w:cs="Times New Roman"/>
          <w:bCs/>
        </w:rPr>
        <w:t>Possesses knowledge of adequate depth and spectrum regarding armored vehicle types.</w:t>
      </w:r>
    </w:p>
    <w:p w:rsidR="0015433A" w:rsidRPr="0015433A" w:rsidRDefault="0015433A" w:rsidP="0015433A">
      <w:pPr>
        <w:widowControl w:val="0"/>
        <w:spacing w:before="120" w:after="120" w:line="240" w:lineRule="auto"/>
        <w:ind w:left="426"/>
        <w:jc w:val="both"/>
        <w:rPr>
          <w:rFonts w:ascii="Times New Roman" w:eastAsia="Times New Roman" w:hAnsi="Times New Roman" w:cs="Times New Roman"/>
          <w:b/>
          <w:lang w:val="en-GB"/>
        </w:rPr>
      </w:pPr>
      <w:r w:rsidRPr="0015433A">
        <w:rPr>
          <w:rFonts w:ascii="Times New Roman" w:eastAsia="Times New Roman" w:hAnsi="Times New Roman" w:cs="Times New Roman"/>
          <w:b/>
          <w:lang w:val="en-GB"/>
        </w:rPr>
        <w:t>Capabilities:</w:t>
      </w:r>
    </w:p>
    <w:p w:rsidR="0015433A" w:rsidRPr="0015433A" w:rsidRDefault="0015433A" w:rsidP="00980876">
      <w:pPr>
        <w:widowControl w:val="0"/>
        <w:numPr>
          <w:ilvl w:val="0"/>
          <w:numId w:val="677"/>
        </w:numPr>
        <w:spacing w:after="0" w:line="240" w:lineRule="auto"/>
        <w:ind w:left="851" w:hanging="218"/>
        <w:contextualSpacing/>
        <w:jc w:val="both"/>
        <w:rPr>
          <w:rFonts w:ascii="Times New Roman" w:eastAsia="Times New Roman" w:hAnsi="Times New Roman" w:cs="Times New Roman"/>
          <w:bCs/>
        </w:rPr>
      </w:pPr>
      <w:r w:rsidRPr="0015433A">
        <w:rPr>
          <w:rFonts w:ascii="Times New Roman" w:eastAsia="Times New Roman" w:hAnsi="Times New Roman" w:cs="Times New Roman"/>
          <w:bCs/>
        </w:rPr>
        <w:t>Is capable of organizing and efficiently utilizing the usage of the equipment and technical appliances applied in his/her respective specialty field.</w:t>
      </w:r>
    </w:p>
    <w:p w:rsidR="0015433A" w:rsidRPr="0015433A" w:rsidRDefault="0015433A" w:rsidP="00980876">
      <w:pPr>
        <w:widowControl w:val="0"/>
        <w:numPr>
          <w:ilvl w:val="0"/>
          <w:numId w:val="677"/>
        </w:numPr>
        <w:spacing w:after="0" w:line="240" w:lineRule="auto"/>
        <w:ind w:left="851" w:hanging="218"/>
        <w:contextualSpacing/>
        <w:jc w:val="both"/>
        <w:rPr>
          <w:rFonts w:ascii="Times New Roman" w:eastAsia="Times New Roman" w:hAnsi="Times New Roman" w:cs="Times New Roman"/>
          <w:bCs/>
        </w:rPr>
      </w:pPr>
      <w:r w:rsidRPr="0015433A">
        <w:rPr>
          <w:rFonts w:ascii="Times New Roman" w:eastAsia="Times New Roman" w:hAnsi="Times New Roman" w:cs="Times New Roman"/>
          <w:bCs/>
        </w:rPr>
        <w:t>Is capable of professionally executing as well as planning and controlling the execution of the technical maintenance of armored vehicles based on the technological commands.</w:t>
      </w:r>
    </w:p>
    <w:p w:rsidR="0015433A" w:rsidRPr="0015433A" w:rsidRDefault="0015433A" w:rsidP="00980876">
      <w:pPr>
        <w:widowControl w:val="0"/>
        <w:numPr>
          <w:ilvl w:val="0"/>
          <w:numId w:val="677"/>
        </w:numPr>
        <w:spacing w:after="0" w:line="240" w:lineRule="auto"/>
        <w:ind w:left="851" w:hanging="218"/>
        <w:contextualSpacing/>
        <w:jc w:val="both"/>
        <w:rPr>
          <w:rFonts w:ascii="Times New Roman" w:eastAsia="Times New Roman" w:hAnsi="Times New Roman" w:cs="Times New Roman"/>
          <w:bCs/>
        </w:rPr>
      </w:pPr>
      <w:r w:rsidRPr="0015433A">
        <w:rPr>
          <w:rFonts w:ascii="Times New Roman" w:eastAsia="Times New Roman" w:hAnsi="Times New Roman" w:cs="Times New Roman"/>
          <w:bCs/>
        </w:rPr>
        <w:t>Is capable of organizing, executing and controlling the repairs required at a subunit level.</w:t>
      </w:r>
    </w:p>
    <w:p w:rsidR="0015433A" w:rsidRPr="0015433A" w:rsidRDefault="0015433A" w:rsidP="00980876">
      <w:pPr>
        <w:widowControl w:val="0"/>
        <w:numPr>
          <w:ilvl w:val="0"/>
          <w:numId w:val="677"/>
        </w:numPr>
        <w:spacing w:after="0" w:line="240" w:lineRule="auto"/>
        <w:ind w:left="851" w:hanging="218"/>
        <w:contextualSpacing/>
        <w:jc w:val="both"/>
        <w:rPr>
          <w:rFonts w:ascii="Times New Roman" w:eastAsia="Times New Roman" w:hAnsi="Times New Roman" w:cs="Times New Roman"/>
          <w:bCs/>
        </w:rPr>
      </w:pPr>
      <w:r w:rsidRPr="0015433A">
        <w:rPr>
          <w:rFonts w:ascii="Times New Roman" w:eastAsia="Times New Roman" w:hAnsi="Times New Roman" w:cs="Times New Roman"/>
          <w:bCs/>
        </w:rPr>
        <w:t>Is capable of planning, organizing and managing the maintenance and supply of the armored vehicles.</w:t>
      </w:r>
    </w:p>
    <w:p w:rsidR="0015433A" w:rsidRPr="0015433A" w:rsidRDefault="0015433A" w:rsidP="00980876">
      <w:pPr>
        <w:widowControl w:val="0"/>
        <w:numPr>
          <w:ilvl w:val="0"/>
          <w:numId w:val="677"/>
        </w:numPr>
        <w:spacing w:after="0" w:line="240" w:lineRule="auto"/>
        <w:ind w:left="851" w:hanging="218"/>
        <w:contextualSpacing/>
        <w:jc w:val="both"/>
        <w:rPr>
          <w:rFonts w:ascii="Times New Roman" w:eastAsia="Times New Roman" w:hAnsi="Times New Roman" w:cs="Times New Roman"/>
          <w:bCs/>
        </w:rPr>
      </w:pPr>
      <w:r w:rsidRPr="0015433A">
        <w:rPr>
          <w:rFonts w:ascii="Times New Roman" w:eastAsia="Times New Roman" w:hAnsi="Times New Roman" w:cs="Times New Roman"/>
          <w:bCs/>
        </w:rPr>
        <w:lastRenderedPageBreak/>
        <w:t>Is capable of preparing the conditions of a safe working environment and making others adhere to the rules of work safety.</w:t>
      </w:r>
    </w:p>
    <w:p w:rsidR="0015433A" w:rsidRPr="0015433A" w:rsidRDefault="0015433A" w:rsidP="00980876">
      <w:pPr>
        <w:widowControl w:val="0"/>
        <w:numPr>
          <w:ilvl w:val="0"/>
          <w:numId w:val="677"/>
        </w:numPr>
        <w:spacing w:after="0" w:line="240" w:lineRule="auto"/>
        <w:ind w:left="851" w:hanging="218"/>
        <w:contextualSpacing/>
        <w:jc w:val="both"/>
        <w:rPr>
          <w:rFonts w:ascii="Times New Roman" w:eastAsia="Times New Roman" w:hAnsi="Times New Roman" w:cs="Times New Roman"/>
          <w:bCs/>
        </w:rPr>
      </w:pPr>
      <w:r w:rsidRPr="0015433A">
        <w:rPr>
          <w:rFonts w:ascii="Times New Roman" w:eastAsia="Times New Roman" w:hAnsi="Times New Roman" w:cs="Times New Roman"/>
          <w:bCs/>
        </w:rPr>
        <w:t>Is capable of planning, organizing, managing and controlling the work of the maintenance sub-unit under his/her supervision.</w:t>
      </w:r>
    </w:p>
    <w:p w:rsidR="0015433A" w:rsidRPr="0015433A" w:rsidRDefault="0015433A" w:rsidP="00980876">
      <w:pPr>
        <w:widowControl w:val="0"/>
        <w:numPr>
          <w:ilvl w:val="0"/>
          <w:numId w:val="677"/>
        </w:numPr>
        <w:spacing w:after="0" w:line="240" w:lineRule="auto"/>
        <w:ind w:left="851" w:hanging="218"/>
        <w:contextualSpacing/>
        <w:jc w:val="both"/>
        <w:rPr>
          <w:rFonts w:ascii="Times New Roman" w:eastAsia="Times New Roman" w:hAnsi="Times New Roman" w:cs="Times New Roman"/>
          <w:bCs/>
        </w:rPr>
      </w:pPr>
      <w:r w:rsidRPr="0015433A">
        <w:rPr>
          <w:rFonts w:ascii="Times New Roman" w:eastAsia="Times New Roman" w:hAnsi="Times New Roman" w:cs="Times New Roman"/>
          <w:bCs/>
        </w:rPr>
        <w:t>Is capable of acqiring the understaning of new engineering information arising in his/her field of specialty using the already gained knowldge.</w:t>
      </w:r>
    </w:p>
    <w:p w:rsidR="0015433A" w:rsidRPr="0015433A" w:rsidRDefault="0015433A" w:rsidP="001543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425"/>
        <w:jc w:val="both"/>
        <w:rPr>
          <w:rFonts w:ascii="Times New Roman" w:eastAsia="Times New Roman" w:hAnsi="Times New Roman" w:cs="Times New Roman"/>
          <w:lang w:val="en-GB"/>
        </w:rPr>
      </w:pPr>
      <w:r w:rsidRPr="0015433A">
        <w:rPr>
          <w:rFonts w:ascii="Times New Roman" w:eastAsia="Times New Roman" w:hAnsi="Times New Roman" w:cs="Times New Roman"/>
          <w:b/>
          <w:lang w:val="en-GB"/>
        </w:rPr>
        <w:t>Attitude:</w:t>
      </w:r>
    </w:p>
    <w:p w:rsidR="0015433A" w:rsidRPr="0015433A" w:rsidRDefault="0015433A" w:rsidP="00980876">
      <w:pPr>
        <w:widowControl w:val="0"/>
        <w:numPr>
          <w:ilvl w:val="0"/>
          <w:numId w:val="677"/>
        </w:numPr>
        <w:spacing w:after="0" w:line="240" w:lineRule="auto"/>
        <w:ind w:left="851" w:hanging="218"/>
        <w:contextualSpacing/>
        <w:jc w:val="both"/>
        <w:rPr>
          <w:rFonts w:ascii="Times New Roman" w:eastAsia="Times New Roman" w:hAnsi="Times New Roman" w:cs="Times New Roman"/>
          <w:bCs/>
        </w:rPr>
      </w:pPr>
      <w:r w:rsidRPr="0015433A">
        <w:rPr>
          <w:rFonts w:ascii="Times New Roman" w:eastAsia="Times New Roman" w:hAnsi="Times New Roman" w:cs="Times New Roman"/>
          <w:bCs/>
        </w:rPr>
        <w:t>He/she is open to widen his/her knowledge regarding armored vehicles and has a constant need for self-education.</w:t>
      </w:r>
    </w:p>
    <w:p w:rsidR="0015433A" w:rsidRPr="0015433A" w:rsidRDefault="0015433A" w:rsidP="00980876">
      <w:pPr>
        <w:widowControl w:val="0"/>
        <w:numPr>
          <w:ilvl w:val="0"/>
          <w:numId w:val="677"/>
        </w:numPr>
        <w:spacing w:after="0" w:line="240" w:lineRule="auto"/>
        <w:ind w:left="851" w:hanging="218"/>
        <w:contextualSpacing/>
        <w:jc w:val="both"/>
        <w:rPr>
          <w:rFonts w:ascii="Times New Roman" w:eastAsia="Times New Roman" w:hAnsi="Times New Roman" w:cs="Times New Roman"/>
          <w:bCs/>
        </w:rPr>
      </w:pPr>
      <w:r w:rsidRPr="0015433A">
        <w:rPr>
          <w:rFonts w:ascii="Times New Roman" w:eastAsia="Times New Roman" w:hAnsi="Times New Roman" w:cs="Times New Roman"/>
          <w:bCs/>
        </w:rPr>
        <w:t>He/she aims to adhere to the respective rules and make others follow them as well.</w:t>
      </w:r>
    </w:p>
    <w:p w:rsidR="0015433A" w:rsidRPr="0015433A" w:rsidRDefault="0015433A" w:rsidP="00980876">
      <w:pPr>
        <w:widowControl w:val="0"/>
        <w:numPr>
          <w:ilvl w:val="0"/>
          <w:numId w:val="677"/>
        </w:numPr>
        <w:spacing w:after="0" w:line="240" w:lineRule="auto"/>
        <w:ind w:left="851" w:hanging="218"/>
        <w:contextualSpacing/>
        <w:jc w:val="both"/>
        <w:rPr>
          <w:rFonts w:ascii="Times New Roman" w:eastAsia="Times New Roman" w:hAnsi="Times New Roman" w:cs="Times New Roman"/>
          <w:bCs/>
        </w:rPr>
      </w:pPr>
      <w:r w:rsidRPr="0015433A">
        <w:rPr>
          <w:rFonts w:ascii="Times New Roman" w:eastAsia="Times New Roman" w:hAnsi="Times New Roman" w:cs="Times New Roman"/>
          <w:bCs/>
        </w:rPr>
        <w:t>His/her work and relationships can be described by loyalty and reliability.</w:t>
      </w:r>
    </w:p>
    <w:p w:rsidR="0015433A" w:rsidRPr="0015433A" w:rsidRDefault="0015433A" w:rsidP="00980876">
      <w:pPr>
        <w:widowControl w:val="0"/>
        <w:numPr>
          <w:ilvl w:val="0"/>
          <w:numId w:val="677"/>
        </w:numPr>
        <w:spacing w:after="0" w:line="240" w:lineRule="auto"/>
        <w:ind w:left="851" w:hanging="218"/>
        <w:contextualSpacing/>
        <w:jc w:val="both"/>
        <w:rPr>
          <w:rFonts w:ascii="Times New Roman" w:eastAsia="Times New Roman" w:hAnsi="Times New Roman" w:cs="Times New Roman"/>
          <w:bCs/>
        </w:rPr>
      </w:pPr>
      <w:r w:rsidRPr="0015433A">
        <w:rPr>
          <w:rFonts w:ascii="Times New Roman" w:eastAsia="Times New Roman" w:hAnsi="Times New Roman" w:cs="Times New Roman"/>
          <w:bCs/>
        </w:rPr>
        <w:t>He/she is open towards the new accomplishments of military technology and aims to gain knowledge of these.</w:t>
      </w:r>
    </w:p>
    <w:p w:rsidR="0015433A" w:rsidRPr="0015433A" w:rsidRDefault="0015433A" w:rsidP="0015433A">
      <w:pPr>
        <w:widowControl w:val="0"/>
        <w:spacing w:before="120" w:after="120" w:line="240" w:lineRule="auto"/>
        <w:ind w:left="426"/>
        <w:jc w:val="both"/>
        <w:rPr>
          <w:rFonts w:ascii="Times New Roman" w:eastAsia="Times New Roman" w:hAnsi="Times New Roman" w:cs="Times New Roman"/>
          <w:b/>
          <w:lang w:val="en-GB"/>
        </w:rPr>
      </w:pPr>
      <w:r w:rsidRPr="0015433A">
        <w:rPr>
          <w:rFonts w:ascii="Times New Roman" w:eastAsia="Times New Roman" w:hAnsi="Times New Roman" w:cs="Times New Roman"/>
          <w:b/>
          <w:lang w:val="en-GB"/>
        </w:rPr>
        <w:t>Autonomy and responsibility:</w:t>
      </w:r>
    </w:p>
    <w:p w:rsidR="0015433A" w:rsidRPr="0015433A" w:rsidRDefault="0015433A" w:rsidP="00980876">
      <w:pPr>
        <w:widowControl w:val="0"/>
        <w:numPr>
          <w:ilvl w:val="0"/>
          <w:numId w:val="677"/>
        </w:numPr>
        <w:spacing w:after="0" w:line="240" w:lineRule="auto"/>
        <w:ind w:left="851" w:hanging="218"/>
        <w:contextualSpacing/>
        <w:jc w:val="both"/>
        <w:rPr>
          <w:rFonts w:ascii="Times New Roman" w:eastAsia="Times New Roman" w:hAnsi="Times New Roman" w:cs="Times New Roman"/>
          <w:bCs/>
        </w:rPr>
      </w:pPr>
      <w:r w:rsidRPr="0015433A">
        <w:rPr>
          <w:rFonts w:ascii="Times New Roman" w:eastAsia="Times New Roman" w:hAnsi="Times New Roman" w:cs="Times New Roman"/>
          <w:bCs/>
        </w:rPr>
        <w:t>Is capable of organizing and determining the tasks of his/her subordinates as well as controlling their work based on professional aspects.</w:t>
      </w:r>
    </w:p>
    <w:p w:rsidR="0015433A" w:rsidRPr="0015433A" w:rsidRDefault="0015433A" w:rsidP="00980876">
      <w:pPr>
        <w:widowControl w:val="0"/>
        <w:numPr>
          <w:ilvl w:val="0"/>
          <w:numId w:val="677"/>
        </w:numPr>
        <w:spacing w:after="0" w:line="240" w:lineRule="auto"/>
        <w:ind w:left="851" w:hanging="218"/>
        <w:contextualSpacing/>
        <w:jc w:val="both"/>
        <w:rPr>
          <w:rFonts w:ascii="Times New Roman" w:eastAsia="Times New Roman" w:hAnsi="Times New Roman" w:cs="Times New Roman"/>
          <w:bCs/>
        </w:rPr>
      </w:pPr>
      <w:r w:rsidRPr="0015433A">
        <w:rPr>
          <w:rFonts w:ascii="Times New Roman" w:eastAsia="Times New Roman" w:hAnsi="Times New Roman" w:cs="Times New Roman"/>
          <w:bCs/>
        </w:rPr>
        <w:t>After doing proper analysation, he/she is capable of making the best decisions and taking professional responsibility during the technical maintenance and repairing of the armored vehicles.</w:t>
      </w:r>
    </w:p>
    <w:p w:rsidR="0015433A" w:rsidRPr="0015433A" w:rsidRDefault="0015433A" w:rsidP="00980876">
      <w:pPr>
        <w:widowControl w:val="0"/>
        <w:numPr>
          <w:ilvl w:val="0"/>
          <w:numId w:val="677"/>
        </w:numPr>
        <w:spacing w:after="0" w:line="240" w:lineRule="auto"/>
        <w:ind w:left="851" w:hanging="218"/>
        <w:contextualSpacing/>
        <w:jc w:val="both"/>
        <w:rPr>
          <w:rFonts w:ascii="Times New Roman" w:eastAsia="Times New Roman" w:hAnsi="Times New Roman" w:cs="Times New Roman"/>
          <w:bCs/>
        </w:rPr>
      </w:pPr>
      <w:r w:rsidRPr="0015433A">
        <w:rPr>
          <w:rFonts w:ascii="Times New Roman" w:eastAsia="Times New Roman" w:hAnsi="Times New Roman" w:cs="Times New Roman"/>
          <w:bCs/>
        </w:rPr>
        <w:t>He/she is cooperative and responsible towards the professionals of his/her field.</w:t>
      </w:r>
    </w:p>
    <w:p w:rsidR="0015433A" w:rsidRPr="0015433A" w:rsidRDefault="0015433A" w:rsidP="00980876">
      <w:pPr>
        <w:widowControl w:val="0"/>
        <w:numPr>
          <w:ilvl w:val="0"/>
          <w:numId w:val="677"/>
        </w:numPr>
        <w:spacing w:after="0" w:line="240" w:lineRule="auto"/>
        <w:ind w:left="851" w:hanging="218"/>
        <w:contextualSpacing/>
        <w:jc w:val="both"/>
        <w:rPr>
          <w:rFonts w:ascii="Times New Roman" w:eastAsia="Times New Roman" w:hAnsi="Times New Roman" w:cs="Times New Roman"/>
          <w:bCs/>
        </w:rPr>
      </w:pPr>
      <w:r w:rsidRPr="0015433A">
        <w:rPr>
          <w:rFonts w:ascii="Times New Roman" w:eastAsia="Times New Roman" w:hAnsi="Times New Roman" w:cs="Times New Roman"/>
          <w:bCs/>
        </w:rPr>
        <w:t>Is capable of thinking in a system approach within his/her own field.</w:t>
      </w:r>
    </w:p>
    <w:p w:rsidR="0015433A" w:rsidRPr="0015433A" w:rsidRDefault="0015433A" w:rsidP="00980876">
      <w:pPr>
        <w:widowControl w:val="0"/>
        <w:numPr>
          <w:ilvl w:val="0"/>
          <w:numId w:val="678"/>
        </w:numPr>
        <w:tabs>
          <w:tab w:val="num" w:pos="567"/>
        </w:tabs>
        <w:spacing w:before="120" w:after="120" w:line="240" w:lineRule="auto"/>
        <w:ind w:left="426" w:hanging="142"/>
        <w:jc w:val="both"/>
        <w:rPr>
          <w:rFonts w:ascii="Times New Roman" w:eastAsia="Times New Roman" w:hAnsi="Times New Roman" w:cs="Times New Roman"/>
          <w:bCs/>
        </w:rPr>
      </w:pPr>
      <w:r w:rsidRPr="0015433A">
        <w:rPr>
          <w:rFonts w:ascii="Times New Roman" w:eastAsia="Times New Roman" w:hAnsi="Times New Roman" w:cs="Times New Roman"/>
          <w:b/>
          <w:bCs/>
        </w:rPr>
        <w:t xml:space="preserve">Előtanulmányi követelmények: </w:t>
      </w:r>
      <w:r w:rsidRPr="0015433A">
        <w:rPr>
          <w:rFonts w:ascii="Times New Roman" w:eastAsia="Times New Roman" w:hAnsi="Times New Roman" w:cs="Times New Roman"/>
          <w:bCs/>
          <w:lang w:eastAsia="hu-HU"/>
        </w:rPr>
        <w:t>-</w:t>
      </w:r>
    </w:p>
    <w:p w:rsidR="0015433A" w:rsidRPr="0015433A" w:rsidRDefault="0015433A" w:rsidP="00980876">
      <w:pPr>
        <w:widowControl w:val="0"/>
        <w:numPr>
          <w:ilvl w:val="0"/>
          <w:numId w:val="678"/>
        </w:numPr>
        <w:spacing w:before="120" w:after="120" w:line="240" w:lineRule="auto"/>
        <w:ind w:left="426" w:hanging="142"/>
        <w:jc w:val="both"/>
        <w:rPr>
          <w:rFonts w:ascii="Times New Roman" w:eastAsia="Times New Roman" w:hAnsi="Times New Roman" w:cs="Times New Roman"/>
          <w:b/>
          <w:bCs/>
        </w:rPr>
      </w:pPr>
      <w:r w:rsidRPr="0015433A">
        <w:rPr>
          <w:rFonts w:ascii="Times New Roman" w:eastAsia="Times New Roman" w:hAnsi="Times New Roman" w:cs="Times New Roman"/>
          <w:b/>
          <w:bCs/>
        </w:rPr>
        <w:t>A tantárgy tananyagának leírása, tematika. Description of the subject, curriculum (magyarul, angolul - English):</w:t>
      </w:r>
    </w:p>
    <w:p w:rsidR="0015433A" w:rsidRPr="0015433A" w:rsidRDefault="0015433A" w:rsidP="00980876">
      <w:pPr>
        <w:widowControl w:val="0"/>
        <w:numPr>
          <w:ilvl w:val="1"/>
          <w:numId w:val="678"/>
        </w:numPr>
        <w:tabs>
          <w:tab w:val="clear" w:pos="3977"/>
          <w:tab w:val="left" w:pos="709"/>
          <w:tab w:val="left" w:pos="993"/>
          <w:tab w:val="num" w:pos="1142"/>
          <w:tab w:val="num" w:pos="2069"/>
        </w:tabs>
        <w:spacing w:before="120" w:after="120" w:line="240" w:lineRule="auto"/>
        <w:ind w:left="993" w:hanging="567"/>
        <w:jc w:val="both"/>
        <w:rPr>
          <w:rFonts w:ascii="Times New Roman" w:eastAsia="Times New Roman" w:hAnsi="Times New Roman" w:cs="Times New Roman"/>
          <w:b/>
        </w:rPr>
      </w:pPr>
      <w:r w:rsidRPr="0015433A">
        <w:rPr>
          <w:rFonts w:ascii="Times New Roman" w:eastAsia="Times New Roman" w:hAnsi="Times New Roman" w:cs="Times New Roman"/>
          <w:bCs/>
          <w:lang w:eastAsia="hu-HU"/>
        </w:rPr>
        <w:t>Keverékképzés és égés a benzinmotorban.</w:t>
      </w:r>
      <w:r w:rsidRPr="0015433A">
        <w:rPr>
          <w:rFonts w:ascii="Times New Roman" w:eastAsia="Times New Roman" w:hAnsi="Times New Roman" w:cs="Times New Roman"/>
        </w:rPr>
        <w:t xml:space="preserve"> (</w:t>
      </w:r>
      <w:r w:rsidRPr="0015433A">
        <w:rPr>
          <w:rFonts w:ascii="Times New Roman" w:eastAsia="Times New Roman" w:hAnsi="Times New Roman" w:cs="Times New Roman"/>
          <w:bCs/>
          <w:i/>
        </w:rPr>
        <w:t>Mixing and combustion in the gasoline engine</w:t>
      </w:r>
      <w:r w:rsidRPr="0015433A">
        <w:rPr>
          <w:rFonts w:ascii="Times New Roman" w:eastAsia="Times New Roman" w:hAnsi="Times New Roman" w:cs="Times New Roman"/>
          <w:bCs/>
        </w:rPr>
        <w:t>.</w:t>
      </w:r>
      <w:r w:rsidRPr="0015433A">
        <w:rPr>
          <w:rFonts w:ascii="Times New Roman" w:eastAsia="Times New Roman" w:hAnsi="Times New Roman" w:cs="Times New Roman"/>
        </w:rPr>
        <w:t>)</w:t>
      </w:r>
    </w:p>
    <w:p w:rsidR="0015433A" w:rsidRPr="0015433A" w:rsidRDefault="0015433A" w:rsidP="00980876">
      <w:pPr>
        <w:widowControl w:val="0"/>
        <w:numPr>
          <w:ilvl w:val="1"/>
          <w:numId w:val="678"/>
        </w:numPr>
        <w:tabs>
          <w:tab w:val="clear" w:pos="3977"/>
          <w:tab w:val="left" w:pos="709"/>
          <w:tab w:val="left" w:pos="993"/>
          <w:tab w:val="num" w:pos="1142"/>
          <w:tab w:val="num" w:pos="2069"/>
        </w:tabs>
        <w:spacing w:before="120" w:after="120" w:line="240" w:lineRule="auto"/>
        <w:ind w:left="993" w:hanging="567"/>
        <w:jc w:val="both"/>
        <w:rPr>
          <w:rFonts w:ascii="Times New Roman" w:eastAsia="Times New Roman" w:hAnsi="Times New Roman" w:cs="Times New Roman"/>
          <w:b/>
        </w:rPr>
      </w:pPr>
      <w:r w:rsidRPr="0015433A">
        <w:rPr>
          <w:rFonts w:ascii="Times New Roman" w:eastAsia="Times New Roman" w:hAnsi="Times New Roman" w:cs="Times New Roman"/>
          <w:bCs/>
          <w:lang w:eastAsia="hu-HU"/>
        </w:rPr>
        <w:t>Tüzelőanyag-ellátó rendszer felépítése. (</w:t>
      </w:r>
      <w:r w:rsidRPr="0015433A">
        <w:rPr>
          <w:rFonts w:ascii="Times New Roman" w:eastAsia="Times New Roman" w:hAnsi="Times New Roman" w:cs="Times New Roman"/>
          <w:bCs/>
          <w:i/>
          <w:lang w:eastAsia="hu-HU"/>
        </w:rPr>
        <w:t>Structure of the fuel supply system</w:t>
      </w:r>
      <w:r w:rsidRPr="0015433A">
        <w:rPr>
          <w:rFonts w:ascii="Times New Roman" w:eastAsia="Times New Roman" w:hAnsi="Times New Roman" w:cs="Times New Roman"/>
          <w:bCs/>
          <w:lang w:eastAsia="hu-HU"/>
        </w:rPr>
        <w:t>.)</w:t>
      </w:r>
    </w:p>
    <w:p w:rsidR="0015433A" w:rsidRPr="0015433A" w:rsidRDefault="0015433A" w:rsidP="00980876">
      <w:pPr>
        <w:widowControl w:val="0"/>
        <w:numPr>
          <w:ilvl w:val="1"/>
          <w:numId w:val="678"/>
        </w:numPr>
        <w:tabs>
          <w:tab w:val="clear" w:pos="3977"/>
          <w:tab w:val="left" w:pos="709"/>
          <w:tab w:val="left" w:pos="993"/>
          <w:tab w:val="num" w:pos="1142"/>
          <w:tab w:val="num" w:pos="2069"/>
        </w:tabs>
        <w:spacing w:before="120" w:after="120" w:line="240" w:lineRule="auto"/>
        <w:ind w:left="993" w:hanging="567"/>
        <w:jc w:val="both"/>
        <w:rPr>
          <w:rFonts w:ascii="Times New Roman" w:eastAsia="Times New Roman" w:hAnsi="Times New Roman" w:cs="Times New Roman"/>
        </w:rPr>
      </w:pPr>
      <w:r w:rsidRPr="0015433A">
        <w:rPr>
          <w:rFonts w:ascii="Times New Roman" w:eastAsia="Times New Roman" w:hAnsi="Times New Roman" w:cs="Times New Roman"/>
          <w:bCs/>
          <w:lang w:eastAsia="hu-HU"/>
        </w:rPr>
        <w:t>Benzin befecskendezési rendszerek felépítése és működése.</w:t>
      </w:r>
      <w:r w:rsidRPr="0015433A">
        <w:rPr>
          <w:rFonts w:ascii="Times New Roman" w:eastAsia="Times New Roman" w:hAnsi="Times New Roman" w:cs="Times New Roman"/>
        </w:rPr>
        <w:t xml:space="preserve"> (</w:t>
      </w:r>
      <w:r w:rsidRPr="0015433A">
        <w:rPr>
          <w:rFonts w:ascii="Times New Roman" w:eastAsia="Times New Roman" w:hAnsi="Times New Roman" w:cs="Times New Roman"/>
          <w:bCs/>
          <w:i/>
        </w:rPr>
        <w:t>Construction and operation of petrol injection systems.</w:t>
      </w:r>
      <w:r w:rsidRPr="0015433A">
        <w:rPr>
          <w:rFonts w:ascii="Times New Roman" w:eastAsia="Times New Roman" w:hAnsi="Times New Roman" w:cs="Times New Roman"/>
        </w:rPr>
        <w:t>)</w:t>
      </w:r>
    </w:p>
    <w:p w:rsidR="0015433A" w:rsidRPr="0015433A" w:rsidRDefault="0015433A" w:rsidP="00980876">
      <w:pPr>
        <w:widowControl w:val="0"/>
        <w:numPr>
          <w:ilvl w:val="1"/>
          <w:numId w:val="678"/>
        </w:numPr>
        <w:tabs>
          <w:tab w:val="clear" w:pos="3977"/>
          <w:tab w:val="left" w:pos="709"/>
          <w:tab w:val="left" w:pos="993"/>
          <w:tab w:val="num" w:pos="1142"/>
          <w:tab w:val="num" w:pos="2069"/>
        </w:tabs>
        <w:spacing w:before="120" w:after="120" w:line="240" w:lineRule="auto"/>
        <w:ind w:left="993" w:hanging="567"/>
        <w:jc w:val="both"/>
        <w:rPr>
          <w:rFonts w:ascii="Times New Roman" w:eastAsia="Times New Roman" w:hAnsi="Times New Roman" w:cs="Times New Roman"/>
        </w:rPr>
      </w:pPr>
      <w:r w:rsidRPr="0015433A">
        <w:rPr>
          <w:rFonts w:ascii="Times New Roman" w:eastAsia="Times New Roman" w:hAnsi="Times New Roman" w:cs="Times New Roman"/>
          <w:bCs/>
          <w:lang w:eastAsia="hu-HU"/>
        </w:rPr>
        <w:t>Keverékképzés és égés a dízelmotorban.</w:t>
      </w:r>
      <w:r w:rsidRPr="0015433A">
        <w:rPr>
          <w:rFonts w:ascii="Times New Roman" w:eastAsia="Times New Roman" w:hAnsi="Times New Roman" w:cs="Times New Roman"/>
        </w:rPr>
        <w:t xml:space="preserve"> (</w:t>
      </w:r>
      <w:r w:rsidRPr="0015433A">
        <w:rPr>
          <w:rFonts w:ascii="Times New Roman" w:eastAsia="Times New Roman" w:hAnsi="Times New Roman" w:cs="Times New Roman"/>
          <w:bCs/>
          <w:i/>
        </w:rPr>
        <w:t>Mixing and combustion in the diesel engine</w:t>
      </w:r>
      <w:r w:rsidRPr="0015433A">
        <w:rPr>
          <w:rFonts w:ascii="Times New Roman" w:eastAsia="Times New Roman" w:hAnsi="Times New Roman" w:cs="Times New Roman"/>
          <w:bCs/>
        </w:rPr>
        <w:t>.</w:t>
      </w:r>
      <w:r w:rsidRPr="0015433A">
        <w:rPr>
          <w:rFonts w:ascii="Times New Roman" w:eastAsia="Times New Roman" w:hAnsi="Times New Roman" w:cs="Times New Roman"/>
        </w:rPr>
        <w:t>)</w:t>
      </w:r>
    </w:p>
    <w:p w:rsidR="0015433A" w:rsidRPr="0015433A" w:rsidRDefault="0015433A" w:rsidP="00980876">
      <w:pPr>
        <w:widowControl w:val="0"/>
        <w:numPr>
          <w:ilvl w:val="1"/>
          <w:numId w:val="678"/>
        </w:numPr>
        <w:tabs>
          <w:tab w:val="clear" w:pos="3977"/>
          <w:tab w:val="left" w:pos="709"/>
          <w:tab w:val="left" w:pos="993"/>
          <w:tab w:val="num" w:pos="1142"/>
          <w:tab w:val="num" w:pos="2069"/>
        </w:tabs>
        <w:spacing w:before="120" w:after="120" w:line="240" w:lineRule="auto"/>
        <w:ind w:left="993" w:hanging="567"/>
        <w:jc w:val="both"/>
        <w:rPr>
          <w:rFonts w:ascii="Times New Roman" w:eastAsia="Times New Roman" w:hAnsi="Times New Roman" w:cs="Times New Roman"/>
        </w:rPr>
      </w:pPr>
      <w:r w:rsidRPr="0015433A">
        <w:rPr>
          <w:rFonts w:ascii="Times New Roman" w:eastAsia="Times New Roman" w:hAnsi="Times New Roman" w:cs="Times New Roman"/>
          <w:bCs/>
          <w:lang w:eastAsia="hu-HU"/>
        </w:rPr>
        <w:t>A dízel táprendszer általános felépítése.</w:t>
      </w:r>
      <w:r w:rsidRPr="0015433A">
        <w:rPr>
          <w:rFonts w:ascii="Times New Roman" w:eastAsia="Times New Roman" w:hAnsi="Times New Roman" w:cs="Times New Roman"/>
          <w:bCs/>
        </w:rPr>
        <w:t xml:space="preserve"> (</w:t>
      </w:r>
      <w:r w:rsidRPr="0015433A">
        <w:rPr>
          <w:rFonts w:ascii="Times New Roman" w:eastAsia="Times New Roman" w:hAnsi="Times New Roman" w:cs="Times New Roman"/>
          <w:bCs/>
          <w:i/>
        </w:rPr>
        <w:t>The general structure of the diesel fuel system</w:t>
      </w:r>
      <w:r w:rsidRPr="0015433A">
        <w:rPr>
          <w:rFonts w:ascii="Times New Roman" w:eastAsia="Times New Roman" w:hAnsi="Times New Roman" w:cs="Times New Roman"/>
          <w:bCs/>
        </w:rPr>
        <w:t>.</w:t>
      </w:r>
      <w:r w:rsidRPr="0015433A">
        <w:rPr>
          <w:rFonts w:ascii="Times New Roman" w:eastAsia="Times New Roman" w:hAnsi="Times New Roman" w:cs="Times New Roman"/>
          <w:bCs/>
          <w:lang w:eastAsia="hu-HU"/>
        </w:rPr>
        <w:t>)</w:t>
      </w:r>
    </w:p>
    <w:p w:rsidR="0015433A" w:rsidRPr="0015433A" w:rsidRDefault="0015433A" w:rsidP="00980876">
      <w:pPr>
        <w:widowControl w:val="0"/>
        <w:numPr>
          <w:ilvl w:val="1"/>
          <w:numId w:val="678"/>
        </w:numPr>
        <w:tabs>
          <w:tab w:val="clear" w:pos="3977"/>
          <w:tab w:val="left" w:pos="709"/>
          <w:tab w:val="left" w:pos="993"/>
          <w:tab w:val="num" w:pos="1142"/>
          <w:tab w:val="num" w:pos="2069"/>
        </w:tabs>
        <w:spacing w:before="120" w:after="120" w:line="240" w:lineRule="auto"/>
        <w:ind w:left="993" w:hanging="567"/>
        <w:jc w:val="both"/>
        <w:rPr>
          <w:rFonts w:ascii="Times New Roman" w:eastAsia="Times New Roman" w:hAnsi="Times New Roman" w:cs="Times New Roman"/>
        </w:rPr>
      </w:pPr>
      <w:r w:rsidRPr="0015433A">
        <w:rPr>
          <w:rFonts w:ascii="Times New Roman" w:eastAsia="Times New Roman" w:hAnsi="Times New Roman" w:cs="Times New Roman"/>
          <w:bCs/>
        </w:rPr>
        <w:t>Dízel befecskendezési rendszerek (soros Bosch, disztribútoros) (</w:t>
      </w:r>
      <w:r w:rsidRPr="0015433A">
        <w:rPr>
          <w:rFonts w:ascii="Times New Roman" w:eastAsia="Times New Roman" w:hAnsi="Times New Roman" w:cs="Times New Roman"/>
          <w:bCs/>
          <w:i/>
        </w:rPr>
        <w:t>Diesel injection systems In-line fuel injection pump, distributor pump.</w:t>
      </w:r>
      <w:r w:rsidRPr="0015433A">
        <w:rPr>
          <w:rFonts w:ascii="Times New Roman" w:eastAsia="Times New Roman" w:hAnsi="Times New Roman" w:cs="Times New Roman"/>
          <w:bCs/>
        </w:rPr>
        <w:t>)</w:t>
      </w:r>
    </w:p>
    <w:p w:rsidR="0015433A" w:rsidRPr="0015433A" w:rsidRDefault="0015433A" w:rsidP="00980876">
      <w:pPr>
        <w:widowControl w:val="0"/>
        <w:numPr>
          <w:ilvl w:val="1"/>
          <w:numId w:val="678"/>
        </w:numPr>
        <w:tabs>
          <w:tab w:val="clear" w:pos="3977"/>
          <w:tab w:val="left" w:pos="709"/>
          <w:tab w:val="left" w:pos="993"/>
          <w:tab w:val="num" w:pos="1142"/>
          <w:tab w:val="num" w:pos="2069"/>
        </w:tabs>
        <w:spacing w:before="120" w:after="120" w:line="240" w:lineRule="auto"/>
        <w:ind w:left="993" w:hanging="567"/>
        <w:jc w:val="both"/>
        <w:rPr>
          <w:rFonts w:ascii="Times New Roman" w:eastAsia="Times New Roman" w:hAnsi="Times New Roman" w:cs="Times New Roman"/>
        </w:rPr>
      </w:pPr>
      <w:r w:rsidRPr="0015433A">
        <w:rPr>
          <w:rFonts w:ascii="Times New Roman" w:eastAsia="Times New Roman" w:hAnsi="Times New Roman" w:cs="Times New Roman"/>
          <w:bCs/>
        </w:rPr>
        <w:t>Dízel befecskendezési rendszerek (Ganz-Jendrassic, GMC). (</w:t>
      </w:r>
      <w:r w:rsidRPr="0015433A">
        <w:rPr>
          <w:rFonts w:ascii="Times New Roman" w:eastAsia="Times New Roman" w:hAnsi="Times New Roman" w:cs="Times New Roman"/>
          <w:bCs/>
          <w:i/>
        </w:rPr>
        <w:t>Diesel injection systems Ganz-Jendrassic, GMC.</w:t>
      </w:r>
      <w:r w:rsidRPr="0015433A">
        <w:rPr>
          <w:rFonts w:ascii="Times New Roman" w:eastAsia="Times New Roman" w:hAnsi="Times New Roman" w:cs="Times New Roman"/>
          <w:bCs/>
        </w:rPr>
        <w:t>)</w:t>
      </w:r>
    </w:p>
    <w:p w:rsidR="0015433A" w:rsidRPr="0015433A" w:rsidRDefault="0015433A" w:rsidP="00980876">
      <w:pPr>
        <w:widowControl w:val="0"/>
        <w:numPr>
          <w:ilvl w:val="1"/>
          <w:numId w:val="678"/>
        </w:numPr>
        <w:tabs>
          <w:tab w:val="clear" w:pos="3977"/>
          <w:tab w:val="left" w:pos="709"/>
          <w:tab w:val="left" w:pos="993"/>
          <w:tab w:val="num" w:pos="1142"/>
          <w:tab w:val="num" w:pos="2069"/>
        </w:tabs>
        <w:spacing w:before="120" w:after="120" w:line="240" w:lineRule="auto"/>
        <w:ind w:left="993" w:hanging="567"/>
        <w:jc w:val="both"/>
        <w:rPr>
          <w:rFonts w:ascii="Times New Roman" w:eastAsia="Times New Roman" w:hAnsi="Times New Roman" w:cs="Times New Roman"/>
        </w:rPr>
      </w:pPr>
      <w:r w:rsidRPr="0015433A">
        <w:rPr>
          <w:rFonts w:ascii="Times New Roman" w:eastAsia="Times New Roman" w:hAnsi="Times New Roman" w:cs="Times New Roman"/>
          <w:bCs/>
        </w:rPr>
        <w:t>Dízel befecskendezési rendszerek (PLD, Common-Rail). (</w:t>
      </w:r>
      <w:r w:rsidRPr="0015433A">
        <w:rPr>
          <w:rFonts w:ascii="Times New Roman" w:eastAsia="Times New Roman" w:hAnsi="Times New Roman" w:cs="Times New Roman"/>
          <w:bCs/>
          <w:i/>
        </w:rPr>
        <w:t>Diesel injection systems PLD, Common Rail.</w:t>
      </w:r>
      <w:r w:rsidRPr="0015433A">
        <w:rPr>
          <w:rFonts w:ascii="Times New Roman" w:eastAsia="Times New Roman" w:hAnsi="Times New Roman" w:cs="Times New Roman"/>
          <w:bCs/>
        </w:rPr>
        <w:t>)</w:t>
      </w:r>
    </w:p>
    <w:p w:rsidR="0015433A" w:rsidRPr="0015433A" w:rsidRDefault="0015433A" w:rsidP="00980876">
      <w:pPr>
        <w:widowControl w:val="0"/>
        <w:numPr>
          <w:ilvl w:val="1"/>
          <w:numId w:val="678"/>
        </w:numPr>
        <w:tabs>
          <w:tab w:val="clear" w:pos="3977"/>
          <w:tab w:val="left" w:pos="709"/>
          <w:tab w:val="left" w:pos="993"/>
          <w:tab w:val="num" w:pos="1142"/>
          <w:tab w:val="num" w:pos="2069"/>
        </w:tabs>
        <w:spacing w:before="120" w:after="120" w:line="240" w:lineRule="auto"/>
        <w:ind w:left="993" w:hanging="567"/>
        <w:jc w:val="both"/>
        <w:rPr>
          <w:rFonts w:ascii="Times New Roman" w:eastAsia="Times New Roman" w:hAnsi="Times New Roman" w:cs="Times New Roman"/>
        </w:rPr>
      </w:pPr>
      <w:r w:rsidRPr="0015433A">
        <w:rPr>
          <w:rFonts w:ascii="Times New Roman" w:eastAsia="Times New Roman" w:hAnsi="Times New Roman" w:cs="Times New Roman"/>
          <w:bCs/>
          <w:lang w:eastAsia="hu-HU"/>
        </w:rPr>
        <w:t>Motorok fordulatszám szabályozása. (</w:t>
      </w:r>
      <w:r w:rsidRPr="0015433A">
        <w:rPr>
          <w:rFonts w:ascii="Times New Roman" w:eastAsia="Times New Roman" w:hAnsi="Times New Roman" w:cs="Times New Roman"/>
          <w:bCs/>
          <w:i/>
          <w:lang w:eastAsia="hu-HU"/>
        </w:rPr>
        <w:t>Rpm control of engines</w:t>
      </w:r>
      <w:r w:rsidRPr="0015433A">
        <w:rPr>
          <w:rFonts w:ascii="Times New Roman" w:eastAsia="Times New Roman" w:hAnsi="Times New Roman" w:cs="Times New Roman"/>
          <w:bCs/>
          <w:lang w:eastAsia="hu-HU"/>
        </w:rPr>
        <w:t>.)</w:t>
      </w:r>
    </w:p>
    <w:p w:rsidR="0015433A" w:rsidRPr="0015433A" w:rsidRDefault="0015433A" w:rsidP="00980876">
      <w:pPr>
        <w:widowControl w:val="0"/>
        <w:numPr>
          <w:ilvl w:val="1"/>
          <w:numId w:val="678"/>
        </w:numPr>
        <w:tabs>
          <w:tab w:val="clear" w:pos="3977"/>
          <w:tab w:val="left" w:pos="709"/>
          <w:tab w:val="left" w:pos="993"/>
          <w:tab w:val="num" w:pos="1142"/>
          <w:tab w:val="num" w:pos="2069"/>
        </w:tabs>
        <w:spacing w:before="120" w:after="120" w:line="240" w:lineRule="auto"/>
        <w:ind w:left="993" w:hanging="567"/>
        <w:jc w:val="both"/>
        <w:rPr>
          <w:rFonts w:ascii="Times New Roman" w:eastAsia="Times New Roman" w:hAnsi="Times New Roman" w:cs="Times New Roman"/>
        </w:rPr>
      </w:pPr>
      <w:r w:rsidRPr="0015433A">
        <w:rPr>
          <w:rFonts w:ascii="Times New Roman" w:eastAsia="Times New Roman" w:hAnsi="Times New Roman" w:cs="Times New Roman"/>
          <w:bCs/>
          <w:lang w:eastAsia="hu-HU"/>
        </w:rPr>
        <w:t>Kipufogó rendszerek. (</w:t>
      </w:r>
      <w:r w:rsidRPr="0015433A">
        <w:rPr>
          <w:rFonts w:ascii="Times New Roman" w:eastAsia="Times New Roman" w:hAnsi="Times New Roman" w:cs="Times New Roman"/>
          <w:bCs/>
          <w:i/>
          <w:lang w:eastAsia="hu-HU"/>
        </w:rPr>
        <w:t>Exhaust systems</w:t>
      </w:r>
      <w:r w:rsidRPr="0015433A">
        <w:rPr>
          <w:rFonts w:ascii="Times New Roman" w:eastAsia="Times New Roman" w:hAnsi="Times New Roman" w:cs="Times New Roman"/>
          <w:bCs/>
          <w:lang w:eastAsia="hu-HU"/>
        </w:rPr>
        <w:t>.)</w:t>
      </w:r>
    </w:p>
    <w:p w:rsidR="0015433A" w:rsidRPr="0015433A" w:rsidRDefault="0015433A" w:rsidP="00980876">
      <w:pPr>
        <w:widowControl w:val="0"/>
        <w:numPr>
          <w:ilvl w:val="1"/>
          <w:numId w:val="678"/>
        </w:numPr>
        <w:tabs>
          <w:tab w:val="clear" w:pos="3977"/>
          <w:tab w:val="left" w:pos="709"/>
          <w:tab w:val="left" w:pos="993"/>
          <w:tab w:val="num" w:pos="1134"/>
        </w:tabs>
        <w:spacing w:before="120" w:after="120" w:line="240" w:lineRule="auto"/>
        <w:ind w:left="993" w:hanging="567"/>
        <w:jc w:val="both"/>
        <w:rPr>
          <w:rFonts w:ascii="Times New Roman" w:eastAsia="Times New Roman" w:hAnsi="Times New Roman" w:cs="Times New Roman"/>
        </w:rPr>
      </w:pPr>
      <w:r w:rsidRPr="0015433A">
        <w:rPr>
          <w:rFonts w:ascii="Times New Roman" w:eastAsia="Times New Roman" w:hAnsi="Times New Roman" w:cs="Times New Roman"/>
        </w:rPr>
        <w:t>Katalizátorok. (</w:t>
      </w:r>
      <w:r w:rsidRPr="0015433A">
        <w:rPr>
          <w:rFonts w:ascii="Times New Roman" w:eastAsia="Times New Roman" w:hAnsi="Times New Roman" w:cs="Times New Roman"/>
          <w:i/>
        </w:rPr>
        <w:t>Catalysts</w:t>
      </w:r>
      <w:r w:rsidRPr="0015433A">
        <w:rPr>
          <w:rFonts w:ascii="Times New Roman" w:eastAsia="Times New Roman" w:hAnsi="Times New Roman" w:cs="Times New Roman"/>
        </w:rPr>
        <w:t>.)</w:t>
      </w:r>
    </w:p>
    <w:p w:rsidR="0015433A" w:rsidRPr="0015433A" w:rsidRDefault="0015433A" w:rsidP="00980876">
      <w:pPr>
        <w:widowControl w:val="0"/>
        <w:numPr>
          <w:ilvl w:val="1"/>
          <w:numId w:val="678"/>
        </w:numPr>
        <w:tabs>
          <w:tab w:val="clear" w:pos="3977"/>
          <w:tab w:val="left" w:pos="709"/>
          <w:tab w:val="left" w:pos="993"/>
          <w:tab w:val="num" w:pos="1134"/>
        </w:tabs>
        <w:spacing w:before="120" w:after="120" w:line="240" w:lineRule="auto"/>
        <w:ind w:left="993" w:hanging="567"/>
        <w:jc w:val="both"/>
        <w:rPr>
          <w:rFonts w:ascii="Times New Roman" w:eastAsia="Times New Roman" w:hAnsi="Times New Roman" w:cs="Times New Roman"/>
        </w:rPr>
      </w:pPr>
      <w:r w:rsidRPr="0015433A">
        <w:rPr>
          <w:rFonts w:ascii="Times New Roman" w:eastAsia="Times New Roman" w:hAnsi="Times New Roman" w:cs="Times New Roman"/>
        </w:rPr>
        <w:t>A motor által kibocsátott káros anyagok. (</w:t>
      </w:r>
      <w:r w:rsidRPr="0015433A">
        <w:rPr>
          <w:rFonts w:ascii="Times New Roman" w:eastAsia="Times New Roman" w:hAnsi="Times New Roman" w:cs="Times New Roman"/>
          <w:bCs/>
          <w:i/>
        </w:rPr>
        <w:t>Pollutants emitted by the engine</w:t>
      </w:r>
      <w:r w:rsidRPr="0015433A">
        <w:rPr>
          <w:rFonts w:ascii="Times New Roman" w:eastAsia="Times New Roman" w:hAnsi="Times New Roman" w:cs="Times New Roman"/>
          <w:bCs/>
        </w:rPr>
        <w:t>.)</w:t>
      </w:r>
    </w:p>
    <w:p w:rsidR="0015433A" w:rsidRPr="0015433A" w:rsidRDefault="0015433A" w:rsidP="00980876">
      <w:pPr>
        <w:widowControl w:val="0"/>
        <w:numPr>
          <w:ilvl w:val="1"/>
          <w:numId w:val="678"/>
        </w:numPr>
        <w:tabs>
          <w:tab w:val="clear" w:pos="3977"/>
          <w:tab w:val="left" w:pos="709"/>
          <w:tab w:val="left" w:pos="993"/>
          <w:tab w:val="num" w:pos="1142"/>
          <w:tab w:val="num" w:pos="2069"/>
        </w:tabs>
        <w:spacing w:before="120" w:after="120" w:line="240" w:lineRule="auto"/>
        <w:ind w:left="993" w:hanging="567"/>
        <w:jc w:val="both"/>
        <w:rPr>
          <w:rFonts w:ascii="Times New Roman" w:eastAsia="Times New Roman" w:hAnsi="Times New Roman" w:cs="Times New Roman"/>
        </w:rPr>
      </w:pPr>
      <w:r w:rsidRPr="0015433A">
        <w:rPr>
          <w:rFonts w:ascii="Times New Roman" w:eastAsia="Times New Roman" w:hAnsi="Times New Roman" w:cs="Times New Roman"/>
          <w:bCs/>
          <w:lang w:eastAsia="hu-HU"/>
        </w:rPr>
        <w:t>Motorok levegőellátása. Levegőszűrők. (</w:t>
      </w:r>
      <w:r w:rsidRPr="0015433A">
        <w:rPr>
          <w:rFonts w:ascii="Times New Roman" w:eastAsia="Times New Roman" w:hAnsi="Times New Roman" w:cs="Times New Roman"/>
          <w:bCs/>
          <w:i/>
          <w:lang w:eastAsia="hu-HU"/>
        </w:rPr>
        <w:t>Air intake systems</w:t>
      </w:r>
      <w:r w:rsidRPr="0015433A">
        <w:rPr>
          <w:rFonts w:ascii="Times New Roman" w:eastAsia="Times New Roman" w:hAnsi="Times New Roman" w:cs="Times New Roman"/>
          <w:bCs/>
          <w:lang w:eastAsia="hu-HU"/>
        </w:rPr>
        <w:t>.</w:t>
      </w:r>
      <w:r w:rsidRPr="0015433A">
        <w:rPr>
          <w:rFonts w:ascii="Times New Roman" w:eastAsia="Times New Roman" w:hAnsi="Times New Roman" w:cs="Times New Roman"/>
          <w:bCs/>
          <w:i/>
          <w:lang w:eastAsia="hu-HU"/>
        </w:rPr>
        <w:t xml:space="preserve"> Air filters</w:t>
      </w:r>
      <w:r w:rsidRPr="0015433A">
        <w:rPr>
          <w:rFonts w:ascii="Times New Roman" w:eastAsia="Times New Roman" w:hAnsi="Times New Roman" w:cs="Times New Roman"/>
          <w:bCs/>
          <w:lang w:eastAsia="hu-HU"/>
        </w:rPr>
        <w:t>.)</w:t>
      </w:r>
    </w:p>
    <w:p w:rsidR="0015433A" w:rsidRPr="0015433A" w:rsidRDefault="0015433A" w:rsidP="00980876">
      <w:pPr>
        <w:widowControl w:val="0"/>
        <w:numPr>
          <w:ilvl w:val="1"/>
          <w:numId w:val="678"/>
        </w:numPr>
        <w:tabs>
          <w:tab w:val="clear" w:pos="3977"/>
          <w:tab w:val="left" w:pos="709"/>
          <w:tab w:val="left" w:pos="993"/>
          <w:tab w:val="num" w:pos="1142"/>
          <w:tab w:val="num" w:pos="2069"/>
        </w:tabs>
        <w:spacing w:before="120" w:after="120" w:line="240" w:lineRule="auto"/>
        <w:ind w:left="993" w:hanging="567"/>
        <w:jc w:val="both"/>
        <w:rPr>
          <w:rFonts w:ascii="Times New Roman" w:eastAsia="Times New Roman" w:hAnsi="Times New Roman" w:cs="Times New Roman"/>
        </w:rPr>
      </w:pPr>
      <w:r w:rsidRPr="0015433A">
        <w:rPr>
          <w:rFonts w:ascii="Times New Roman" w:eastAsia="Times New Roman" w:hAnsi="Times New Roman" w:cs="Times New Roman"/>
          <w:bCs/>
          <w:lang w:eastAsia="hu-HU"/>
        </w:rPr>
        <w:t>Motorok indítási módjai és ezek elméletei. (</w:t>
      </w:r>
      <w:r w:rsidRPr="0015433A">
        <w:rPr>
          <w:rFonts w:ascii="Times New Roman" w:eastAsia="Times New Roman" w:hAnsi="Times New Roman" w:cs="Times New Roman"/>
          <w:bCs/>
          <w:i/>
          <w:lang w:eastAsia="hu-HU"/>
        </w:rPr>
        <w:t>Starting modes of engines and their theories</w:t>
      </w:r>
      <w:r w:rsidRPr="0015433A">
        <w:rPr>
          <w:rFonts w:ascii="Times New Roman" w:eastAsia="Times New Roman" w:hAnsi="Times New Roman" w:cs="Times New Roman"/>
          <w:bCs/>
          <w:lang w:eastAsia="hu-HU"/>
        </w:rPr>
        <w:t>.)</w:t>
      </w:r>
    </w:p>
    <w:p w:rsidR="0015433A" w:rsidRPr="0015433A" w:rsidRDefault="0015433A" w:rsidP="00980876">
      <w:pPr>
        <w:widowControl w:val="0"/>
        <w:numPr>
          <w:ilvl w:val="0"/>
          <w:numId w:val="678"/>
        </w:numPr>
        <w:tabs>
          <w:tab w:val="num" w:pos="360"/>
        </w:tabs>
        <w:spacing w:before="120" w:after="120" w:line="240" w:lineRule="auto"/>
        <w:ind w:left="426" w:hanging="142"/>
        <w:jc w:val="both"/>
        <w:rPr>
          <w:rFonts w:ascii="Times New Roman" w:eastAsia="Times New Roman" w:hAnsi="Times New Roman" w:cs="Times New Roman"/>
          <w:bCs/>
        </w:rPr>
      </w:pPr>
      <w:r w:rsidRPr="0015433A">
        <w:rPr>
          <w:rFonts w:ascii="Times New Roman" w:eastAsia="Times New Roman" w:hAnsi="Times New Roman" w:cs="Times New Roman"/>
          <w:b/>
          <w:bCs/>
        </w:rPr>
        <w:t xml:space="preserve">A tantárgy meghirdetésének gyakorisága/a tantervben történő félévi elhelyezkedése: </w:t>
      </w:r>
      <w:r w:rsidRPr="0015433A">
        <w:rPr>
          <w:rFonts w:ascii="Times New Roman" w:eastAsia="Times New Roman" w:hAnsi="Times New Roman" w:cs="Times New Roman"/>
          <w:bCs/>
        </w:rPr>
        <w:t>7. félév</w:t>
      </w:r>
    </w:p>
    <w:p w:rsidR="0015433A" w:rsidRDefault="0015433A">
      <w:pPr>
        <w:spacing w:after="200" w:line="276" w:lineRule="auto"/>
        <w:rPr>
          <w:rFonts w:ascii="Times New Roman" w:eastAsia="Times New Roman" w:hAnsi="Times New Roman" w:cs="Times New Roman"/>
          <w:b/>
          <w:bCs/>
        </w:rPr>
      </w:pPr>
      <w:r>
        <w:rPr>
          <w:rFonts w:ascii="Times New Roman" w:eastAsia="Times New Roman" w:hAnsi="Times New Roman" w:cs="Times New Roman"/>
          <w:b/>
          <w:bCs/>
        </w:rPr>
        <w:br w:type="page"/>
      </w:r>
    </w:p>
    <w:p w:rsidR="0015433A" w:rsidRPr="0015433A" w:rsidRDefault="0015433A" w:rsidP="00980876">
      <w:pPr>
        <w:widowControl w:val="0"/>
        <w:numPr>
          <w:ilvl w:val="0"/>
          <w:numId w:val="678"/>
        </w:numPr>
        <w:tabs>
          <w:tab w:val="num" w:pos="360"/>
        </w:tabs>
        <w:spacing w:before="120" w:after="120" w:line="240" w:lineRule="auto"/>
        <w:ind w:left="426" w:hanging="142"/>
        <w:jc w:val="both"/>
        <w:rPr>
          <w:rFonts w:ascii="Times New Roman" w:eastAsia="Times New Roman" w:hAnsi="Times New Roman" w:cs="Times New Roman"/>
          <w:bCs/>
        </w:rPr>
      </w:pPr>
      <w:r w:rsidRPr="0015433A">
        <w:rPr>
          <w:rFonts w:ascii="Times New Roman" w:eastAsia="Times New Roman" w:hAnsi="Times New Roman" w:cs="Times New Roman"/>
          <w:b/>
          <w:bCs/>
        </w:rPr>
        <w:lastRenderedPageBreak/>
        <w:t>A tanórákon való részvétel követelményei, az elfogadható hiányzások mértéke, a távolmaradás pótlásának lehetősége:</w:t>
      </w:r>
      <w:r w:rsidRPr="0015433A">
        <w:rPr>
          <w:rFonts w:ascii="Times New Roman" w:eastAsia="Times New Roman" w:hAnsi="Times New Roman" w:cs="Times New Roman"/>
          <w:bCs/>
        </w:rPr>
        <w:t xml:space="preserve"> </w:t>
      </w:r>
    </w:p>
    <w:p w:rsidR="0015433A" w:rsidRPr="0015433A" w:rsidRDefault="0015433A" w:rsidP="0015433A">
      <w:pPr>
        <w:widowControl w:val="0"/>
        <w:spacing w:before="120" w:after="120" w:line="240" w:lineRule="auto"/>
        <w:ind w:left="426"/>
        <w:jc w:val="both"/>
        <w:rPr>
          <w:rFonts w:ascii="Times New Roman" w:eastAsia="Times New Roman" w:hAnsi="Times New Roman" w:cs="Times New Roman"/>
          <w:bCs/>
        </w:rPr>
      </w:pPr>
      <w:r w:rsidRPr="0015433A">
        <w:rPr>
          <w:rFonts w:ascii="Times New Roman" w:eastAsia="Times New Roman" w:hAnsi="Times New Roman" w:cs="Times New Roman"/>
          <w:bCs/>
        </w:rPr>
        <w:t>A hallgatónak a tanórák legalább 70 %-án jelen kell lennie, 30 %-ot meghaladó hiányzás esetén a félév teljesítése nem írható alá. A hallgató köteles az előadás és a gyakorlat anyagát beszerezni, abból önállóan felkészülni. A hiányzás pótolható az oktató által kijelölt témakörben beadott, legalább elégségesre értékelt házidolgozattal.</w:t>
      </w:r>
    </w:p>
    <w:p w:rsidR="0015433A" w:rsidRPr="0015433A" w:rsidRDefault="0015433A" w:rsidP="00980876">
      <w:pPr>
        <w:widowControl w:val="0"/>
        <w:numPr>
          <w:ilvl w:val="0"/>
          <w:numId w:val="678"/>
        </w:numPr>
        <w:tabs>
          <w:tab w:val="num" w:pos="360"/>
        </w:tabs>
        <w:spacing w:before="120" w:after="120" w:line="240" w:lineRule="auto"/>
        <w:ind w:left="426" w:hanging="142"/>
        <w:jc w:val="both"/>
        <w:rPr>
          <w:rFonts w:ascii="Times New Roman" w:eastAsia="Times New Roman" w:hAnsi="Times New Roman" w:cs="Times New Roman"/>
          <w:bCs/>
        </w:rPr>
      </w:pPr>
      <w:r w:rsidRPr="0015433A">
        <w:rPr>
          <w:rFonts w:ascii="Times New Roman" w:eastAsia="Times New Roman" w:hAnsi="Times New Roman" w:cs="Times New Roman"/>
          <w:b/>
        </w:rPr>
        <w:t>Félévközi feladatok, ismeretek ellenőrzésének rendje:</w:t>
      </w:r>
      <w:r w:rsidRPr="0015433A">
        <w:rPr>
          <w:rFonts w:ascii="Times New Roman" w:eastAsia="Times New Roman" w:hAnsi="Times New Roman" w:cs="Times New Roman"/>
          <w:bCs/>
        </w:rPr>
        <w:t xml:space="preserve"> A félév során a hallgató kettő zárthelyi dolgozatot ír. Az első zárthelyi dolgozat a 12.1-12.7. a második zárthelyi dolgozat a 12.8-12.13 tantárgyrészekből áll. A zárthelyi dolgozat témáit a kötelező irodalmak anyagából, illetve az előadásokon elhangzott ismeretanyagból kell összeállítani. A zárthelyi dolgozat értékelése ötfokozatú értékelés (a helyes válaszok aránya 0-60% elégtelen; 61-70% elégséges; 71-80% közepes; 81-90% jó; 91-100% jeles osztályzat). Eredménytelen zárthelyi dolgozat kétszer javítható a szorgalmi időszak végéig az oktatóval egyeztetett időpontokban</w:t>
      </w:r>
      <w:r w:rsidRPr="0015433A">
        <w:rPr>
          <w:rFonts w:ascii="Times New Roman" w:eastAsia="Times New Roman" w:hAnsi="Times New Roman" w:cs="Times New Roman"/>
          <w:b/>
          <w:bCs/>
        </w:rPr>
        <w:t>.</w:t>
      </w:r>
      <w:r w:rsidRPr="0015433A">
        <w:rPr>
          <w:rFonts w:ascii="Times New Roman" w:eastAsia="Times New Roman" w:hAnsi="Times New Roman" w:cs="Times New Roman"/>
          <w:bCs/>
        </w:rPr>
        <w:t xml:space="preserve"> A dolgozatban teszt és esszé jellegű kérdések egyaránt szerepelnek</w:t>
      </w:r>
      <w:r w:rsidRPr="0015433A">
        <w:rPr>
          <w:rFonts w:ascii="Times New Roman" w:eastAsia="Times New Roman" w:hAnsi="Times New Roman" w:cs="Times New Roman"/>
          <w:bCs/>
          <w:lang w:eastAsia="hu-HU"/>
        </w:rPr>
        <w:t>.</w:t>
      </w:r>
    </w:p>
    <w:p w:rsidR="0015433A" w:rsidRPr="0015433A" w:rsidRDefault="0015433A" w:rsidP="00980876">
      <w:pPr>
        <w:widowControl w:val="0"/>
        <w:numPr>
          <w:ilvl w:val="0"/>
          <w:numId w:val="678"/>
        </w:numPr>
        <w:spacing w:before="120" w:after="120" w:line="240" w:lineRule="auto"/>
        <w:ind w:left="426" w:hanging="142"/>
        <w:jc w:val="both"/>
        <w:rPr>
          <w:rFonts w:ascii="Times New Roman" w:eastAsia="Times New Roman" w:hAnsi="Times New Roman" w:cs="Times New Roman"/>
          <w:b/>
          <w:bCs/>
        </w:rPr>
      </w:pPr>
      <w:r w:rsidRPr="0015433A">
        <w:rPr>
          <w:rFonts w:ascii="Times New Roman" w:eastAsia="Times New Roman" w:hAnsi="Times New Roman" w:cs="Times New Roman"/>
          <w:b/>
          <w:bCs/>
        </w:rPr>
        <w:t xml:space="preserve">Az értékelés, az aláírás és a kreditek megszerzésének pontos feltételei: </w:t>
      </w:r>
    </w:p>
    <w:p w:rsidR="0015433A" w:rsidRPr="0015433A" w:rsidRDefault="0015433A" w:rsidP="00980876">
      <w:pPr>
        <w:widowControl w:val="0"/>
        <w:numPr>
          <w:ilvl w:val="1"/>
          <w:numId w:val="678"/>
        </w:numPr>
        <w:tabs>
          <w:tab w:val="clear" w:pos="3977"/>
          <w:tab w:val="left" w:pos="709"/>
          <w:tab w:val="left" w:pos="993"/>
          <w:tab w:val="num" w:pos="1142"/>
          <w:tab w:val="num" w:pos="2069"/>
        </w:tabs>
        <w:spacing w:before="120" w:after="120" w:line="240" w:lineRule="auto"/>
        <w:ind w:left="426" w:firstLine="0"/>
        <w:jc w:val="both"/>
        <w:rPr>
          <w:rFonts w:ascii="Times New Roman" w:eastAsia="Times New Roman" w:hAnsi="Times New Roman" w:cs="Times New Roman"/>
        </w:rPr>
      </w:pPr>
      <w:r w:rsidRPr="0015433A">
        <w:rPr>
          <w:rFonts w:ascii="Times New Roman" w:eastAsia="Times New Roman" w:hAnsi="Times New Roman" w:cs="Times New Roman"/>
          <w:b/>
        </w:rPr>
        <w:t>Az aláírás megszerzésének feltételei:</w:t>
      </w:r>
      <w:r w:rsidRPr="0015433A">
        <w:rPr>
          <w:rFonts w:ascii="Times New Roman" w:eastAsia="Times New Roman" w:hAnsi="Times New Roman" w:cs="Times New Roman"/>
        </w:rPr>
        <w:t xml:space="preserve"> </w:t>
      </w:r>
      <w:r w:rsidRPr="0015433A">
        <w:rPr>
          <w:rFonts w:ascii="Times New Roman" w:eastAsia="Calibri" w:hAnsi="Times New Roman" w:cs="Times New Roman"/>
          <w:bCs/>
        </w:rPr>
        <w:t>Az aláírás megszerzésének feltétele a 14. pontban meghatározott arányú részvétel a foglalkozásokon és a 15. pontban meghatározott félévközi feladatok legalább elégséges teljesítése.</w:t>
      </w:r>
    </w:p>
    <w:p w:rsidR="0015433A" w:rsidRPr="0015433A" w:rsidRDefault="0015433A" w:rsidP="00980876">
      <w:pPr>
        <w:widowControl w:val="0"/>
        <w:numPr>
          <w:ilvl w:val="1"/>
          <w:numId w:val="678"/>
        </w:numPr>
        <w:tabs>
          <w:tab w:val="clear" w:pos="3977"/>
          <w:tab w:val="left" w:pos="709"/>
          <w:tab w:val="left" w:pos="993"/>
          <w:tab w:val="num" w:pos="1142"/>
          <w:tab w:val="num" w:pos="2069"/>
        </w:tabs>
        <w:spacing w:before="120" w:after="120" w:line="240" w:lineRule="auto"/>
        <w:ind w:left="426" w:firstLine="0"/>
        <w:jc w:val="both"/>
        <w:rPr>
          <w:rFonts w:ascii="Times New Roman" w:eastAsia="Times New Roman" w:hAnsi="Times New Roman" w:cs="Times New Roman"/>
        </w:rPr>
      </w:pPr>
      <w:r w:rsidRPr="0015433A">
        <w:rPr>
          <w:rFonts w:ascii="Times New Roman" w:eastAsia="Times New Roman" w:hAnsi="Times New Roman" w:cs="Times New Roman"/>
          <w:b/>
        </w:rPr>
        <w:t>Az értékelés:</w:t>
      </w:r>
      <w:r w:rsidRPr="0015433A">
        <w:rPr>
          <w:rFonts w:ascii="Times New Roman" w:eastAsia="Times New Roman" w:hAnsi="Times New Roman" w:cs="Times New Roman"/>
        </w:rPr>
        <w:t xml:space="preserve"> </w:t>
      </w:r>
      <w:r w:rsidRPr="0015433A">
        <w:rPr>
          <w:rFonts w:ascii="Times New Roman" w:eastAsia="Calibri" w:hAnsi="Times New Roman" w:cs="Times New Roman"/>
        </w:rPr>
        <w:t>évközi értékelés, ötfokozatú értékelés.</w:t>
      </w:r>
      <w:r w:rsidRPr="0015433A">
        <w:rPr>
          <w:rFonts w:ascii="Times New Roman" w:eastAsia="Calibri" w:hAnsi="Times New Roman" w:cs="Times New Roman"/>
          <w:bCs/>
        </w:rPr>
        <w:t xml:space="preserve"> Az évközi értékelést az elért eredmények kerekített matematikai átlaga képezi</w:t>
      </w:r>
    </w:p>
    <w:p w:rsidR="0015433A" w:rsidRPr="0015433A" w:rsidRDefault="0015433A" w:rsidP="00980876">
      <w:pPr>
        <w:widowControl w:val="0"/>
        <w:numPr>
          <w:ilvl w:val="1"/>
          <w:numId w:val="678"/>
        </w:numPr>
        <w:tabs>
          <w:tab w:val="clear" w:pos="3977"/>
          <w:tab w:val="left" w:pos="709"/>
          <w:tab w:val="left" w:pos="993"/>
          <w:tab w:val="num" w:pos="1142"/>
          <w:tab w:val="num" w:pos="2069"/>
        </w:tabs>
        <w:spacing w:before="120" w:after="120" w:line="240" w:lineRule="auto"/>
        <w:ind w:left="426" w:firstLine="0"/>
        <w:jc w:val="both"/>
        <w:rPr>
          <w:rFonts w:ascii="Times New Roman" w:eastAsia="Times New Roman" w:hAnsi="Times New Roman" w:cs="Times New Roman"/>
        </w:rPr>
      </w:pPr>
      <w:r w:rsidRPr="0015433A">
        <w:rPr>
          <w:rFonts w:ascii="Times New Roman" w:eastAsia="Times New Roman" w:hAnsi="Times New Roman" w:cs="Times New Roman"/>
          <w:b/>
        </w:rPr>
        <w:t>A kreditek megszerzésének feltételei:</w:t>
      </w:r>
      <w:r w:rsidRPr="0015433A">
        <w:rPr>
          <w:rFonts w:ascii="Times New Roman" w:eastAsia="Times New Roman" w:hAnsi="Times New Roman" w:cs="Times New Roman"/>
        </w:rPr>
        <w:t xml:space="preserve"> az aláírás megszerzése és legalább elégséges</w:t>
      </w:r>
      <w:r w:rsidRPr="0015433A">
        <w:rPr>
          <w:rFonts w:ascii="Times New Roman" w:eastAsia="Times New Roman" w:hAnsi="Times New Roman" w:cs="Times New Roman"/>
          <w:b/>
        </w:rPr>
        <w:t xml:space="preserve"> </w:t>
      </w:r>
      <w:r w:rsidRPr="0015433A">
        <w:rPr>
          <w:rFonts w:ascii="Times New Roman" w:eastAsia="Times New Roman" w:hAnsi="Times New Roman" w:cs="Times New Roman"/>
        </w:rPr>
        <w:t>évközi értékelés.</w:t>
      </w:r>
    </w:p>
    <w:p w:rsidR="0015433A" w:rsidRPr="0015433A" w:rsidRDefault="0015433A" w:rsidP="00980876">
      <w:pPr>
        <w:widowControl w:val="0"/>
        <w:numPr>
          <w:ilvl w:val="0"/>
          <w:numId w:val="678"/>
        </w:numPr>
        <w:tabs>
          <w:tab w:val="num" w:pos="360"/>
        </w:tabs>
        <w:spacing w:before="120" w:after="120" w:line="240" w:lineRule="auto"/>
        <w:ind w:left="426" w:hanging="142"/>
        <w:jc w:val="both"/>
        <w:rPr>
          <w:rFonts w:ascii="Times New Roman" w:eastAsia="Times New Roman" w:hAnsi="Times New Roman" w:cs="Times New Roman"/>
          <w:bCs/>
        </w:rPr>
      </w:pPr>
      <w:r w:rsidRPr="0015433A">
        <w:rPr>
          <w:rFonts w:ascii="Times New Roman" w:eastAsia="Times New Roman" w:hAnsi="Times New Roman" w:cs="Times New Roman"/>
          <w:b/>
          <w:bCs/>
        </w:rPr>
        <w:t>Irodalomjegyzék:</w:t>
      </w:r>
    </w:p>
    <w:p w:rsidR="0015433A" w:rsidRPr="0015433A" w:rsidRDefault="0015433A" w:rsidP="00980876">
      <w:pPr>
        <w:widowControl w:val="0"/>
        <w:numPr>
          <w:ilvl w:val="1"/>
          <w:numId w:val="678"/>
        </w:numPr>
        <w:tabs>
          <w:tab w:val="clear" w:pos="3977"/>
          <w:tab w:val="left" w:pos="567"/>
          <w:tab w:val="left" w:pos="851"/>
          <w:tab w:val="num" w:pos="1142"/>
          <w:tab w:val="num" w:pos="2069"/>
        </w:tabs>
        <w:spacing w:before="120" w:after="120" w:line="240" w:lineRule="auto"/>
        <w:ind w:left="426" w:hanging="142"/>
        <w:jc w:val="both"/>
        <w:rPr>
          <w:rFonts w:ascii="Times New Roman" w:eastAsia="Times New Roman" w:hAnsi="Times New Roman" w:cs="Times New Roman"/>
          <w:bCs/>
        </w:rPr>
      </w:pPr>
      <w:r w:rsidRPr="0015433A">
        <w:rPr>
          <w:rFonts w:ascii="Times New Roman" w:eastAsia="Times New Roman" w:hAnsi="Times New Roman" w:cs="Times New Roman"/>
          <w:b/>
          <w:bCs/>
        </w:rPr>
        <w:t>Kötelező irodalom:</w:t>
      </w:r>
    </w:p>
    <w:p w:rsidR="0015433A" w:rsidRPr="0015433A" w:rsidRDefault="0015433A" w:rsidP="00980876">
      <w:pPr>
        <w:widowControl w:val="0"/>
        <w:numPr>
          <w:ilvl w:val="0"/>
          <w:numId w:val="679"/>
        </w:numPr>
        <w:spacing w:after="0" w:line="240" w:lineRule="auto"/>
        <w:jc w:val="both"/>
        <w:rPr>
          <w:rFonts w:ascii="Times New Roman" w:eastAsia="Times New Roman" w:hAnsi="Times New Roman" w:cs="Times New Roman"/>
        </w:rPr>
      </w:pPr>
      <w:r w:rsidRPr="0015433A">
        <w:rPr>
          <w:rFonts w:ascii="Times New Roman" w:eastAsia="Times New Roman" w:hAnsi="Times New Roman" w:cs="Times New Roman"/>
        </w:rPr>
        <w:t>Dr. Dezsényi György, Dr. Emőd István, Dr. Finichiu Líviu: Belsőégésű motorok tervezése és vizsgálata. Tankönyvkiadó, Budapest, 1992. ISBN: 9631845664</w:t>
      </w:r>
    </w:p>
    <w:p w:rsidR="0015433A" w:rsidRPr="0015433A" w:rsidRDefault="0015433A" w:rsidP="00980876">
      <w:pPr>
        <w:widowControl w:val="0"/>
        <w:numPr>
          <w:ilvl w:val="0"/>
          <w:numId w:val="679"/>
        </w:numPr>
        <w:spacing w:after="0" w:line="240" w:lineRule="auto"/>
        <w:jc w:val="both"/>
        <w:rPr>
          <w:rFonts w:ascii="Times New Roman" w:eastAsia="Times New Roman" w:hAnsi="Times New Roman" w:cs="Times New Roman"/>
        </w:rPr>
      </w:pPr>
      <w:r w:rsidRPr="0015433A">
        <w:rPr>
          <w:rFonts w:ascii="Times New Roman" w:eastAsia="Times New Roman" w:hAnsi="Times New Roman" w:cs="Times New Roman"/>
        </w:rPr>
        <w:t>Dr. Kováts Miklós: Common-Rail a gyakorlatban. Maróti Könyvkiadó, Budapest, 2010. ISBN: 9789639945050.</w:t>
      </w:r>
    </w:p>
    <w:p w:rsidR="0015433A" w:rsidRPr="0015433A" w:rsidRDefault="0015433A" w:rsidP="00980876">
      <w:pPr>
        <w:widowControl w:val="0"/>
        <w:numPr>
          <w:ilvl w:val="0"/>
          <w:numId w:val="679"/>
        </w:numPr>
        <w:spacing w:after="0" w:line="240" w:lineRule="auto"/>
        <w:jc w:val="both"/>
        <w:rPr>
          <w:rFonts w:ascii="Times New Roman" w:eastAsia="Times New Roman" w:hAnsi="Times New Roman" w:cs="Times New Roman"/>
        </w:rPr>
      </w:pPr>
      <w:r w:rsidRPr="0015433A">
        <w:rPr>
          <w:rFonts w:ascii="Times New Roman" w:eastAsia="Times New Roman" w:hAnsi="Times New Roman" w:cs="Times New Roman"/>
        </w:rPr>
        <w:t>Dr. Kováts Miklós, Dr. Nagyszokolyai Iván, Szalai László: Dízel befecskendező rendszerek. Maróti Könyvkiadó, Bp. 2005. ISBN: 9639005258</w:t>
      </w:r>
    </w:p>
    <w:p w:rsidR="0015433A" w:rsidRPr="0015433A" w:rsidRDefault="0015433A" w:rsidP="00980876">
      <w:pPr>
        <w:widowControl w:val="0"/>
        <w:numPr>
          <w:ilvl w:val="0"/>
          <w:numId w:val="679"/>
        </w:numPr>
        <w:spacing w:after="0" w:line="240" w:lineRule="auto"/>
        <w:jc w:val="both"/>
        <w:rPr>
          <w:rFonts w:ascii="Times New Roman" w:eastAsia="Times New Roman" w:hAnsi="Times New Roman" w:cs="Times New Roman"/>
        </w:rPr>
      </w:pPr>
      <w:r w:rsidRPr="0015433A">
        <w:rPr>
          <w:rFonts w:ascii="Times New Roman" w:eastAsia="Times New Roman" w:hAnsi="Times New Roman" w:cs="Times New Roman"/>
        </w:rPr>
        <w:t>Dr. Frank Tibor, Dr. Kováts Miklós: Benzinbefecskendező és motorirányító rendszerek. Maróti Könyvkiadó, Budapest. 2004. ISBN: 9639005649</w:t>
      </w:r>
    </w:p>
    <w:p w:rsidR="0015433A" w:rsidRPr="0015433A" w:rsidRDefault="0015433A" w:rsidP="00980876">
      <w:pPr>
        <w:widowControl w:val="0"/>
        <w:numPr>
          <w:ilvl w:val="0"/>
          <w:numId w:val="679"/>
        </w:numPr>
        <w:spacing w:after="0" w:line="240" w:lineRule="auto"/>
        <w:jc w:val="both"/>
        <w:rPr>
          <w:rFonts w:ascii="Times New Roman" w:eastAsia="Times New Roman" w:hAnsi="Times New Roman" w:cs="Times New Roman"/>
        </w:rPr>
      </w:pPr>
      <w:r w:rsidRPr="0015433A">
        <w:rPr>
          <w:rFonts w:ascii="Times New Roman" w:eastAsia="Times New Roman" w:hAnsi="Times New Roman" w:cs="Times New Roman"/>
        </w:rPr>
        <w:t>Bohner: Gépjárműszerkezetek. Műegyetemi Kiadó, Budapest, 1994. ISBN: 9631605434</w:t>
      </w:r>
    </w:p>
    <w:p w:rsidR="0015433A" w:rsidRPr="0015433A" w:rsidRDefault="0015433A" w:rsidP="00980876">
      <w:pPr>
        <w:widowControl w:val="0"/>
        <w:numPr>
          <w:ilvl w:val="1"/>
          <w:numId w:val="678"/>
        </w:numPr>
        <w:tabs>
          <w:tab w:val="clear" w:pos="3977"/>
          <w:tab w:val="num" w:pos="567"/>
          <w:tab w:val="num" w:pos="1142"/>
          <w:tab w:val="num" w:pos="2069"/>
        </w:tabs>
        <w:spacing w:before="120" w:after="120" w:line="240" w:lineRule="auto"/>
        <w:ind w:left="993" w:hanging="709"/>
        <w:jc w:val="both"/>
        <w:rPr>
          <w:rFonts w:ascii="Times New Roman" w:eastAsia="Times New Roman" w:hAnsi="Times New Roman" w:cs="Times New Roman"/>
          <w:b/>
          <w:bCs/>
        </w:rPr>
      </w:pPr>
      <w:r w:rsidRPr="0015433A">
        <w:rPr>
          <w:rFonts w:ascii="Times New Roman" w:eastAsia="Times New Roman" w:hAnsi="Times New Roman" w:cs="Times New Roman"/>
          <w:b/>
          <w:bCs/>
        </w:rPr>
        <w:t>Ajánlott irodalom:</w:t>
      </w:r>
    </w:p>
    <w:p w:rsidR="0015433A" w:rsidRPr="0015433A" w:rsidRDefault="0015433A" w:rsidP="00980876">
      <w:pPr>
        <w:widowControl w:val="0"/>
        <w:numPr>
          <w:ilvl w:val="0"/>
          <w:numId w:val="680"/>
        </w:numPr>
        <w:spacing w:after="0" w:line="240" w:lineRule="auto"/>
        <w:jc w:val="both"/>
        <w:rPr>
          <w:rFonts w:ascii="Times New Roman" w:eastAsia="Times New Roman" w:hAnsi="Times New Roman" w:cs="Times New Roman"/>
        </w:rPr>
      </w:pPr>
      <w:r w:rsidRPr="0015433A">
        <w:rPr>
          <w:rFonts w:ascii="Times New Roman" w:eastAsia="Times New Roman" w:hAnsi="Times New Roman" w:cs="Times New Roman"/>
        </w:rPr>
        <w:t>BOSCH füzetek sorozat: Adagoló-porlasztós dízel befecskendező rendszerek. Maróti Könyvkiadó, Budapest, 2006. ISBN: 9789639005976</w:t>
      </w:r>
    </w:p>
    <w:p w:rsidR="0015433A" w:rsidRPr="0015433A" w:rsidRDefault="0015433A" w:rsidP="00980876">
      <w:pPr>
        <w:widowControl w:val="0"/>
        <w:numPr>
          <w:ilvl w:val="0"/>
          <w:numId w:val="680"/>
        </w:numPr>
        <w:spacing w:after="0" w:line="240" w:lineRule="auto"/>
        <w:jc w:val="both"/>
        <w:rPr>
          <w:rFonts w:ascii="Times New Roman" w:eastAsia="Times New Roman" w:hAnsi="Times New Roman" w:cs="Times New Roman"/>
        </w:rPr>
      </w:pPr>
      <w:r w:rsidRPr="0015433A">
        <w:rPr>
          <w:rFonts w:ascii="Times New Roman" w:eastAsia="Times New Roman" w:hAnsi="Times New Roman" w:cs="Times New Roman"/>
        </w:rPr>
        <w:t>Barbara Eder, Franz Eder: A növényolaj mint hajtóanyag. Cser kiadó, Budapest, 2005. ISBN: 963741858X</w:t>
      </w:r>
    </w:p>
    <w:p w:rsidR="0015433A" w:rsidRPr="0015433A" w:rsidRDefault="0015433A" w:rsidP="00980876">
      <w:pPr>
        <w:widowControl w:val="0"/>
        <w:numPr>
          <w:ilvl w:val="0"/>
          <w:numId w:val="680"/>
        </w:numPr>
        <w:spacing w:after="0" w:line="240" w:lineRule="auto"/>
        <w:jc w:val="both"/>
        <w:rPr>
          <w:rFonts w:ascii="Times New Roman" w:eastAsia="Times New Roman" w:hAnsi="Times New Roman" w:cs="Times New Roman"/>
        </w:rPr>
      </w:pPr>
      <w:r w:rsidRPr="0015433A">
        <w:rPr>
          <w:rFonts w:ascii="Times New Roman" w:eastAsia="Times New Roman" w:hAnsi="Times New Roman" w:cs="Times New Roman"/>
        </w:rPr>
        <w:t xml:space="preserve">BOSCH füzetek sorozat: Benzinmotorok kipufogógáz technikája. Maróti Könyvkiadó, Budapest, 2008. ISBN: 963900586X </w:t>
      </w:r>
    </w:p>
    <w:p w:rsidR="0015433A" w:rsidRDefault="0015433A" w:rsidP="0015433A">
      <w:pPr>
        <w:widowControl w:val="0"/>
        <w:spacing w:before="120" w:after="120" w:line="240" w:lineRule="auto"/>
        <w:jc w:val="both"/>
        <w:rPr>
          <w:rFonts w:ascii="Times New Roman" w:eastAsia="Times New Roman" w:hAnsi="Times New Roman" w:cs="Times New Roman"/>
          <w:bCs/>
        </w:rPr>
      </w:pPr>
    </w:p>
    <w:p w:rsidR="0015433A" w:rsidRPr="0015433A" w:rsidRDefault="0015433A" w:rsidP="0015433A">
      <w:pPr>
        <w:widowControl w:val="0"/>
        <w:spacing w:before="120" w:after="120" w:line="240" w:lineRule="auto"/>
        <w:ind w:firstLine="360"/>
        <w:jc w:val="both"/>
        <w:rPr>
          <w:rFonts w:ascii="Times New Roman" w:eastAsia="Times New Roman" w:hAnsi="Times New Roman" w:cs="Times New Roman"/>
          <w:bCs/>
        </w:rPr>
      </w:pPr>
      <w:r w:rsidRPr="0015433A">
        <w:rPr>
          <w:rFonts w:ascii="Times New Roman" w:eastAsia="Times New Roman" w:hAnsi="Times New Roman" w:cs="Times New Roman"/>
          <w:bCs/>
        </w:rPr>
        <w:t>Budapest, 2020.03.14.</w:t>
      </w:r>
    </w:p>
    <w:p w:rsidR="0015433A" w:rsidRPr="006B225A" w:rsidRDefault="0015433A" w:rsidP="0015433A">
      <w:pPr>
        <w:widowControl w:val="0"/>
        <w:spacing w:after="0" w:line="240" w:lineRule="auto"/>
        <w:ind w:left="6379"/>
        <w:jc w:val="center"/>
        <w:rPr>
          <w:rFonts w:ascii="Times New Roman" w:eastAsia="Times New Roman" w:hAnsi="Times New Roman" w:cs="Times New Roman"/>
          <w:b/>
          <w:bCs/>
        </w:rPr>
      </w:pPr>
      <w:r w:rsidRPr="006B225A">
        <w:rPr>
          <w:rFonts w:ascii="Times New Roman" w:eastAsia="Times New Roman" w:hAnsi="Times New Roman" w:cs="Times New Roman"/>
          <w:b/>
          <w:bCs/>
        </w:rPr>
        <w:t>Dr. Vég Róbert László PhD</w:t>
      </w:r>
    </w:p>
    <w:p w:rsidR="0015433A" w:rsidRPr="0015433A" w:rsidRDefault="0015433A" w:rsidP="0015433A">
      <w:pPr>
        <w:widowControl w:val="0"/>
        <w:spacing w:after="0" w:line="240" w:lineRule="auto"/>
        <w:ind w:left="6379"/>
        <w:jc w:val="center"/>
        <w:rPr>
          <w:rFonts w:ascii="Times New Roman" w:eastAsia="Times New Roman" w:hAnsi="Times New Roman" w:cs="Times New Roman"/>
          <w:bCs/>
        </w:rPr>
      </w:pPr>
      <w:r w:rsidRPr="0015433A">
        <w:rPr>
          <w:rFonts w:ascii="Times New Roman" w:eastAsia="Times New Roman" w:hAnsi="Times New Roman" w:cs="Times New Roman"/>
          <w:bCs/>
        </w:rPr>
        <w:t>egyetemi docens</w:t>
      </w:r>
    </w:p>
    <w:p w:rsidR="00887DFE" w:rsidRDefault="00887DFE">
      <w:pPr>
        <w:spacing w:after="200" w:line="276" w:lineRule="auto"/>
        <w:rPr>
          <w:rFonts w:ascii="Times New Roman" w:hAnsi="Times New Roman" w:cs="Times New Roman"/>
          <w:b/>
          <w:sz w:val="24"/>
        </w:rPr>
      </w:pPr>
      <w:r>
        <w:rPr>
          <w:rFonts w:ascii="Times New Roman" w:hAnsi="Times New Roman" w:cs="Times New Roman"/>
          <w:b/>
          <w:sz w:val="24"/>
        </w:rPr>
        <w:br w:type="page"/>
      </w:r>
    </w:p>
    <w:tbl>
      <w:tblPr>
        <w:tblW w:w="9072" w:type="dxa"/>
        <w:tblInd w:w="113" w:type="dxa"/>
        <w:tblLook w:val="01E0" w:firstRow="1" w:lastRow="1" w:firstColumn="1" w:lastColumn="1" w:noHBand="0" w:noVBand="0"/>
      </w:tblPr>
      <w:tblGrid>
        <w:gridCol w:w="4855"/>
        <w:gridCol w:w="1620"/>
        <w:gridCol w:w="2597"/>
      </w:tblGrid>
      <w:tr w:rsidR="009C4096" w:rsidRPr="009C4096" w:rsidTr="007C0E71">
        <w:tc>
          <w:tcPr>
            <w:tcW w:w="4855" w:type="dxa"/>
            <w:tcBorders>
              <w:bottom w:val="single" w:sz="4" w:space="0" w:color="auto"/>
            </w:tcBorders>
          </w:tcPr>
          <w:p w:rsidR="009C4096" w:rsidRPr="009C4096" w:rsidRDefault="009C4096" w:rsidP="009C4096">
            <w:pPr>
              <w:spacing w:after="0" w:line="240" w:lineRule="auto"/>
              <w:jc w:val="center"/>
              <w:rPr>
                <w:rFonts w:ascii="Times New Roman" w:eastAsia="Times New Roman" w:hAnsi="Times New Roman" w:cs="Times New Roman"/>
                <w:b/>
                <w:smallCaps/>
                <w:lang w:eastAsia="hu-HU"/>
              </w:rPr>
            </w:pPr>
            <w:r w:rsidRPr="009C4096">
              <w:rPr>
                <w:rFonts w:ascii="Times New Roman" w:eastAsia="Times New Roman" w:hAnsi="Times New Roman" w:cs="Times New Roman"/>
                <w:b/>
                <w:smallCaps/>
                <w:lang w:eastAsia="hu-HU"/>
              </w:rPr>
              <w:lastRenderedPageBreak/>
              <w:t>Nemzeti Közszolgálati Egyetem</w:t>
            </w:r>
          </w:p>
        </w:tc>
        <w:tc>
          <w:tcPr>
            <w:tcW w:w="1620" w:type="dxa"/>
          </w:tcPr>
          <w:p w:rsidR="009C4096" w:rsidRPr="009C4096" w:rsidRDefault="009C4096" w:rsidP="009C4096">
            <w:pPr>
              <w:spacing w:after="0" w:line="240" w:lineRule="auto"/>
              <w:jc w:val="both"/>
              <w:rPr>
                <w:rFonts w:ascii="Times New Roman" w:eastAsia="Times New Roman" w:hAnsi="Times New Roman" w:cs="Times New Roman"/>
                <w:lang w:eastAsia="hu-HU"/>
              </w:rPr>
            </w:pPr>
          </w:p>
        </w:tc>
        <w:tc>
          <w:tcPr>
            <w:tcW w:w="2597" w:type="dxa"/>
          </w:tcPr>
          <w:p w:rsidR="009C4096" w:rsidRPr="009C4096" w:rsidRDefault="009C4096" w:rsidP="009C4096">
            <w:pPr>
              <w:spacing w:after="0" w:line="240" w:lineRule="auto"/>
              <w:jc w:val="right"/>
              <w:rPr>
                <w:rFonts w:ascii="Times New Roman" w:eastAsia="Times New Roman" w:hAnsi="Times New Roman" w:cs="Times New Roman"/>
                <w:lang w:eastAsia="hu-HU"/>
              </w:rPr>
            </w:pPr>
          </w:p>
        </w:tc>
      </w:tr>
      <w:tr w:rsidR="009C4096" w:rsidRPr="009C4096" w:rsidTr="007C0E71">
        <w:tc>
          <w:tcPr>
            <w:tcW w:w="4855" w:type="dxa"/>
            <w:tcBorders>
              <w:top w:val="single" w:sz="4" w:space="0" w:color="auto"/>
            </w:tcBorders>
          </w:tcPr>
          <w:p w:rsidR="009C4096" w:rsidRPr="009C4096" w:rsidRDefault="009C4096" w:rsidP="009C4096">
            <w:pPr>
              <w:spacing w:after="0" w:line="240" w:lineRule="auto"/>
              <w:jc w:val="center"/>
              <w:rPr>
                <w:rFonts w:ascii="Times New Roman" w:eastAsia="Times New Roman" w:hAnsi="Times New Roman" w:cs="Times New Roman"/>
                <w:b/>
                <w:lang w:eastAsia="hu-HU"/>
              </w:rPr>
            </w:pPr>
            <w:r w:rsidRPr="009C4096">
              <w:rPr>
                <w:rFonts w:ascii="Times New Roman" w:eastAsia="Times New Roman" w:hAnsi="Times New Roman" w:cs="Times New Roman"/>
                <w:b/>
                <w:lang w:eastAsia="hu-HU"/>
              </w:rPr>
              <w:t>Hadtudományi és Honvédtisztképző Kar</w:t>
            </w:r>
          </w:p>
        </w:tc>
        <w:tc>
          <w:tcPr>
            <w:tcW w:w="1620" w:type="dxa"/>
          </w:tcPr>
          <w:p w:rsidR="009C4096" w:rsidRPr="009C4096" w:rsidRDefault="009C4096" w:rsidP="009C4096">
            <w:pPr>
              <w:spacing w:after="0" w:line="240" w:lineRule="auto"/>
              <w:jc w:val="both"/>
              <w:rPr>
                <w:rFonts w:ascii="Times New Roman" w:eastAsia="Times New Roman" w:hAnsi="Times New Roman" w:cs="Times New Roman"/>
                <w:lang w:eastAsia="hu-HU"/>
              </w:rPr>
            </w:pPr>
          </w:p>
        </w:tc>
        <w:tc>
          <w:tcPr>
            <w:tcW w:w="2597" w:type="dxa"/>
          </w:tcPr>
          <w:p w:rsidR="009C4096" w:rsidRPr="009C4096" w:rsidRDefault="009C4096" w:rsidP="009C4096">
            <w:pPr>
              <w:spacing w:after="0" w:line="240" w:lineRule="auto"/>
              <w:jc w:val="both"/>
              <w:rPr>
                <w:rFonts w:ascii="Times New Roman" w:eastAsia="Times New Roman" w:hAnsi="Times New Roman" w:cs="Times New Roman"/>
                <w:lang w:eastAsia="hu-HU"/>
              </w:rPr>
            </w:pPr>
          </w:p>
        </w:tc>
      </w:tr>
    </w:tbl>
    <w:p w:rsidR="009C4096" w:rsidRPr="009C4096" w:rsidRDefault="009C4096" w:rsidP="009C4096">
      <w:pPr>
        <w:widowControl w:val="0"/>
        <w:spacing w:before="120" w:after="120" w:line="240" w:lineRule="auto"/>
        <w:ind w:left="426" w:hanging="142"/>
        <w:jc w:val="center"/>
        <w:rPr>
          <w:rFonts w:ascii="Times New Roman" w:eastAsia="Times New Roman" w:hAnsi="Times New Roman" w:cs="Times New Roman"/>
          <w:b/>
          <w:bCs/>
        </w:rPr>
      </w:pPr>
    </w:p>
    <w:p w:rsidR="009C4096" w:rsidRPr="009C4096" w:rsidRDefault="009C4096" w:rsidP="009C4096">
      <w:pPr>
        <w:widowControl w:val="0"/>
        <w:spacing w:before="120" w:after="120" w:line="240" w:lineRule="auto"/>
        <w:ind w:left="426" w:hanging="142"/>
        <w:jc w:val="center"/>
        <w:rPr>
          <w:rFonts w:ascii="Times New Roman" w:eastAsia="Times New Roman" w:hAnsi="Times New Roman" w:cs="Times New Roman"/>
          <w:b/>
          <w:bCs/>
        </w:rPr>
      </w:pPr>
      <w:r w:rsidRPr="009C4096">
        <w:rPr>
          <w:rFonts w:ascii="Times New Roman" w:eastAsia="Times New Roman" w:hAnsi="Times New Roman" w:cs="Times New Roman"/>
          <w:b/>
          <w:bCs/>
        </w:rPr>
        <w:t>TANTÁRGYI PROGRAM</w:t>
      </w:r>
    </w:p>
    <w:p w:rsidR="009C4096" w:rsidRPr="009C4096" w:rsidRDefault="009C4096" w:rsidP="00980876">
      <w:pPr>
        <w:widowControl w:val="0"/>
        <w:numPr>
          <w:ilvl w:val="0"/>
          <w:numId w:val="681"/>
        </w:numPr>
        <w:tabs>
          <w:tab w:val="num" w:pos="567"/>
        </w:tabs>
        <w:spacing w:before="120" w:after="120" w:line="240" w:lineRule="auto"/>
        <w:ind w:left="426" w:hanging="142"/>
        <w:jc w:val="both"/>
        <w:rPr>
          <w:rFonts w:ascii="Times New Roman" w:eastAsia="Times New Roman" w:hAnsi="Times New Roman" w:cs="Times New Roman"/>
          <w:bCs/>
        </w:rPr>
      </w:pPr>
      <w:r w:rsidRPr="009C4096">
        <w:rPr>
          <w:rFonts w:ascii="Times New Roman" w:eastAsia="Times New Roman" w:hAnsi="Times New Roman" w:cs="Times New Roman"/>
          <w:b/>
          <w:bCs/>
        </w:rPr>
        <w:t xml:space="preserve">A tantárgy kódja: </w:t>
      </w:r>
      <w:r w:rsidRPr="009C4096">
        <w:rPr>
          <w:rFonts w:ascii="Times New Roman" w:eastAsia="Times New Roman" w:hAnsi="Times New Roman" w:cs="Times New Roman"/>
          <w:bCs/>
        </w:rPr>
        <w:t>HKHDTA20</w:t>
      </w:r>
    </w:p>
    <w:p w:rsidR="009C4096" w:rsidRPr="009C4096" w:rsidRDefault="009C4096" w:rsidP="00980876">
      <w:pPr>
        <w:widowControl w:val="0"/>
        <w:numPr>
          <w:ilvl w:val="0"/>
          <w:numId w:val="681"/>
        </w:numPr>
        <w:tabs>
          <w:tab w:val="num" w:pos="567"/>
        </w:tabs>
        <w:spacing w:before="120" w:after="120" w:line="240" w:lineRule="auto"/>
        <w:ind w:left="426" w:hanging="142"/>
        <w:jc w:val="both"/>
        <w:rPr>
          <w:rFonts w:ascii="Times New Roman" w:eastAsia="Times New Roman" w:hAnsi="Times New Roman" w:cs="Times New Roman"/>
          <w:b/>
          <w:bCs/>
          <w:lang w:val="en-GB"/>
        </w:rPr>
      </w:pPr>
      <w:r w:rsidRPr="009C4096">
        <w:rPr>
          <w:rFonts w:ascii="Times New Roman" w:eastAsia="Times New Roman" w:hAnsi="Times New Roman" w:cs="Times New Roman"/>
          <w:b/>
          <w:bCs/>
        </w:rPr>
        <w:t>A tantárgy megnevezése (magyarul):</w:t>
      </w:r>
      <w:r w:rsidRPr="009C4096">
        <w:rPr>
          <w:rFonts w:ascii="Times New Roman" w:eastAsia="Times New Roman" w:hAnsi="Times New Roman" w:cs="Times New Roman"/>
          <w:bCs/>
        </w:rPr>
        <w:t xml:space="preserve"> Harc- és gépjárművek szerkezete II.</w:t>
      </w:r>
    </w:p>
    <w:p w:rsidR="009C4096" w:rsidRPr="009C4096" w:rsidRDefault="009C4096" w:rsidP="00980876">
      <w:pPr>
        <w:widowControl w:val="0"/>
        <w:numPr>
          <w:ilvl w:val="0"/>
          <w:numId w:val="681"/>
        </w:numPr>
        <w:tabs>
          <w:tab w:val="num" w:pos="567"/>
        </w:tabs>
        <w:spacing w:before="120" w:after="120" w:line="240" w:lineRule="auto"/>
        <w:ind w:left="426" w:hanging="142"/>
        <w:jc w:val="both"/>
        <w:rPr>
          <w:rFonts w:ascii="Times New Roman" w:eastAsia="Times New Roman" w:hAnsi="Times New Roman" w:cs="Times New Roman"/>
          <w:b/>
          <w:bCs/>
          <w:lang w:val="en-GB"/>
        </w:rPr>
      </w:pPr>
      <w:r w:rsidRPr="009C4096">
        <w:rPr>
          <w:rFonts w:ascii="Times New Roman" w:eastAsia="Times New Roman" w:hAnsi="Times New Roman" w:cs="Times New Roman"/>
          <w:b/>
          <w:bCs/>
        </w:rPr>
        <w:t xml:space="preserve">A tantárgy megnevezése (angolul): </w:t>
      </w:r>
      <w:r w:rsidRPr="009C4096">
        <w:rPr>
          <w:rFonts w:ascii="Times New Roman" w:eastAsia="Times New Roman" w:hAnsi="Times New Roman" w:cs="Times New Roman"/>
          <w:bCs/>
        </w:rPr>
        <w:t>Combat and vehicle structure II.</w:t>
      </w:r>
    </w:p>
    <w:p w:rsidR="009C4096" w:rsidRPr="009C4096" w:rsidRDefault="009C4096" w:rsidP="00980876">
      <w:pPr>
        <w:widowControl w:val="0"/>
        <w:numPr>
          <w:ilvl w:val="0"/>
          <w:numId w:val="681"/>
        </w:numPr>
        <w:tabs>
          <w:tab w:val="num" w:pos="567"/>
        </w:tabs>
        <w:spacing w:before="120" w:after="120" w:line="240" w:lineRule="auto"/>
        <w:ind w:left="426" w:hanging="142"/>
        <w:jc w:val="both"/>
        <w:rPr>
          <w:rFonts w:ascii="Times New Roman" w:eastAsia="Times New Roman" w:hAnsi="Times New Roman" w:cs="Times New Roman"/>
          <w:b/>
          <w:bCs/>
        </w:rPr>
      </w:pPr>
      <w:r w:rsidRPr="009C4096">
        <w:rPr>
          <w:rFonts w:ascii="Times New Roman" w:eastAsia="Times New Roman" w:hAnsi="Times New Roman" w:cs="Times New Roman"/>
          <w:b/>
          <w:bCs/>
        </w:rPr>
        <w:t xml:space="preserve">Kreditérték és képzési karakter: </w:t>
      </w:r>
    </w:p>
    <w:p w:rsidR="009C4096" w:rsidRPr="009C4096" w:rsidRDefault="009C4096" w:rsidP="00980876">
      <w:pPr>
        <w:widowControl w:val="0"/>
        <w:numPr>
          <w:ilvl w:val="1"/>
          <w:numId w:val="681"/>
        </w:numPr>
        <w:tabs>
          <w:tab w:val="clear" w:pos="3977"/>
          <w:tab w:val="num" w:pos="1142"/>
        </w:tabs>
        <w:spacing w:before="120" w:after="120" w:line="240" w:lineRule="auto"/>
        <w:ind w:left="993" w:hanging="426"/>
        <w:contextualSpacing/>
        <w:jc w:val="both"/>
        <w:rPr>
          <w:rFonts w:ascii="Times New Roman" w:eastAsia="Times New Roman" w:hAnsi="Times New Roman" w:cs="Times New Roman"/>
          <w:b/>
          <w:bCs/>
        </w:rPr>
      </w:pPr>
      <w:r w:rsidRPr="009C4096">
        <w:rPr>
          <w:rFonts w:ascii="Times New Roman" w:eastAsia="Times New Roman" w:hAnsi="Times New Roman" w:cs="Times New Roman"/>
          <w:bCs/>
        </w:rPr>
        <w:t>5 kredit</w:t>
      </w:r>
    </w:p>
    <w:p w:rsidR="009C4096" w:rsidRPr="009C4096" w:rsidRDefault="009C4096" w:rsidP="00980876">
      <w:pPr>
        <w:widowControl w:val="0"/>
        <w:numPr>
          <w:ilvl w:val="1"/>
          <w:numId w:val="681"/>
        </w:numPr>
        <w:tabs>
          <w:tab w:val="clear" w:pos="3977"/>
          <w:tab w:val="num" w:pos="1142"/>
        </w:tabs>
        <w:spacing w:before="120" w:after="120" w:line="240" w:lineRule="auto"/>
        <w:ind w:left="993" w:hanging="426"/>
        <w:contextualSpacing/>
        <w:jc w:val="both"/>
        <w:rPr>
          <w:rFonts w:ascii="Times New Roman" w:eastAsia="Times New Roman" w:hAnsi="Times New Roman" w:cs="Times New Roman"/>
          <w:b/>
          <w:bCs/>
        </w:rPr>
      </w:pPr>
      <w:r w:rsidRPr="009C4096">
        <w:rPr>
          <w:rFonts w:ascii="Times New Roman" w:eastAsia="Times New Roman" w:hAnsi="Times New Roman" w:cs="Times New Roman"/>
          <w:bCs/>
        </w:rPr>
        <w:t>a tantárgy elméleti vagy gyakorlati jellegének mértéke: 50</w:t>
      </w:r>
      <w:r w:rsidRPr="009C4096">
        <w:rPr>
          <w:rFonts w:ascii="Times New Roman" w:eastAsia="Times New Roman" w:hAnsi="Times New Roman" w:cs="Times New Roman"/>
          <w:b/>
          <w:bCs/>
        </w:rPr>
        <w:t xml:space="preserve"> </w:t>
      </w:r>
      <w:r w:rsidRPr="009C4096">
        <w:rPr>
          <w:rFonts w:ascii="Times New Roman" w:eastAsia="Times New Roman" w:hAnsi="Times New Roman" w:cs="Times New Roman"/>
          <w:bCs/>
        </w:rPr>
        <w:t>% gyakorlat, 50 % elmélet</w:t>
      </w:r>
    </w:p>
    <w:p w:rsidR="009C4096" w:rsidRPr="009C4096" w:rsidRDefault="009C4096" w:rsidP="00980876">
      <w:pPr>
        <w:widowControl w:val="0"/>
        <w:numPr>
          <w:ilvl w:val="0"/>
          <w:numId w:val="681"/>
        </w:numPr>
        <w:spacing w:before="120" w:after="120" w:line="240" w:lineRule="auto"/>
        <w:ind w:left="426" w:hanging="142"/>
        <w:jc w:val="both"/>
        <w:rPr>
          <w:rFonts w:ascii="Times New Roman" w:eastAsia="Times New Roman" w:hAnsi="Times New Roman" w:cs="Times New Roman"/>
          <w:bCs/>
        </w:rPr>
      </w:pPr>
      <w:r w:rsidRPr="009C4096">
        <w:rPr>
          <w:rFonts w:ascii="Times New Roman" w:eastAsia="Times New Roman" w:hAnsi="Times New Roman" w:cs="Times New Roman"/>
          <w:b/>
          <w:bCs/>
        </w:rPr>
        <w:t>A szak(ok), szakirányok/specializációk megnevezése (ahol oktatják):</w:t>
      </w:r>
      <w:r w:rsidRPr="009C4096">
        <w:rPr>
          <w:rFonts w:ascii="Times New Roman" w:eastAsia="Times New Roman" w:hAnsi="Times New Roman" w:cs="Times New Roman"/>
          <w:bCs/>
        </w:rPr>
        <w:t xml:space="preserve"> Katonai logisztika (</w:t>
      </w:r>
      <w:r w:rsidR="00137B8A">
        <w:rPr>
          <w:rFonts w:ascii="Times New Roman" w:eastAsia="Times New Roman" w:hAnsi="Times New Roman" w:cs="Times New Roman"/>
          <w:bCs/>
        </w:rPr>
        <w:t>BSc</w:t>
      </w:r>
      <w:r w:rsidRPr="009C4096">
        <w:rPr>
          <w:rFonts w:ascii="Times New Roman" w:eastAsia="Times New Roman" w:hAnsi="Times New Roman" w:cs="Times New Roman"/>
          <w:bCs/>
        </w:rPr>
        <w:t>) alapképzési szak</w:t>
      </w:r>
    </w:p>
    <w:p w:rsidR="009C4096" w:rsidRPr="009C4096" w:rsidRDefault="009C4096" w:rsidP="00980876">
      <w:pPr>
        <w:widowControl w:val="0"/>
        <w:numPr>
          <w:ilvl w:val="0"/>
          <w:numId w:val="681"/>
        </w:numPr>
        <w:tabs>
          <w:tab w:val="num" w:pos="567"/>
        </w:tabs>
        <w:spacing w:before="120" w:after="120" w:line="240" w:lineRule="auto"/>
        <w:ind w:left="426" w:hanging="142"/>
        <w:jc w:val="both"/>
        <w:rPr>
          <w:rFonts w:ascii="Times New Roman" w:eastAsia="Times New Roman" w:hAnsi="Times New Roman" w:cs="Times New Roman"/>
          <w:bCs/>
        </w:rPr>
      </w:pPr>
      <w:r w:rsidRPr="009C4096">
        <w:rPr>
          <w:rFonts w:ascii="Times New Roman" w:eastAsia="Times New Roman" w:hAnsi="Times New Roman" w:cs="Times New Roman"/>
          <w:b/>
          <w:bCs/>
        </w:rPr>
        <w:t xml:space="preserve">Az oktatásért felelős oktatási szervezeti egység megnevezése: </w:t>
      </w:r>
      <w:r w:rsidRPr="009C4096">
        <w:rPr>
          <w:rFonts w:ascii="Times New Roman" w:eastAsia="Times New Roman" w:hAnsi="Times New Roman" w:cs="Times New Roman"/>
          <w:bCs/>
        </w:rPr>
        <w:t>HHK Haditechnikai Tanszék</w:t>
      </w:r>
    </w:p>
    <w:p w:rsidR="009C4096" w:rsidRPr="009C4096" w:rsidRDefault="009C4096" w:rsidP="00980876">
      <w:pPr>
        <w:widowControl w:val="0"/>
        <w:numPr>
          <w:ilvl w:val="0"/>
          <w:numId w:val="681"/>
        </w:numPr>
        <w:tabs>
          <w:tab w:val="num" w:pos="567"/>
        </w:tabs>
        <w:spacing w:before="120" w:after="120" w:line="240" w:lineRule="auto"/>
        <w:ind w:left="426" w:hanging="142"/>
        <w:jc w:val="both"/>
        <w:rPr>
          <w:rFonts w:ascii="Times New Roman" w:eastAsia="Times New Roman" w:hAnsi="Times New Roman" w:cs="Times New Roman"/>
          <w:bCs/>
        </w:rPr>
      </w:pPr>
      <w:r w:rsidRPr="009C4096">
        <w:rPr>
          <w:rFonts w:ascii="Times New Roman" w:eastAsia="Times New Roman" w:hAnsi="Times New Roman" w:cs="Times New Roman"/>
          <w:b/>
          <w:bCs/>
        </w:rPr>
        <w:t>A tantárgyfelelős oktató neve, beosztása, tudományos fokozata:</w:t>
      </w:r>
      <w:r w:rsidRPr="009C4096">
        <w:rPr>
          <w:rFonts w:ascii="Times New Roman" w:eastAsia="Times New Roman" w:hAnsi="Times New Roman" w:cs="Times New Roman"/>
          <w:bCs/>
        </w:rPr>
        <w:t xml:space="preserve"> </w:t>
      </w:r>
      <w:r w:rsidRPr="009C4096">
        <w:rPr>
          <w:rFonts w:ascii="Times New Roman" w:eastAsia="Times New Roman" w:hAnsi="Times New Roman" w:cs="Times New Roman"/>
          <w:bCs/>
          <w:lang w:eastAsia="hu-HU"/>
        </w:rPr>
        <w:t>Dr. Vég Róbert László alezredes PhD, egyetemi docens</w:t>
      </w:r>
    </w:p>
    <w:p w:rsidR="009C4096" w:rsidRPr="009C4096" w:rsidRDefault="009C4096" w:rsidP="00980876">
      <w:pPr>
        <w:widowControl w:val="0"/>
        <w:numPr>
          <w:ilvl w:val="0"/>
          <w:numId w:val="681"/>
        </w:numPr>
        <w:spacing w:before="120" w:after="120" w:line="240" w:lineRule="auto"/>
        <w:ind w:left="426" w:hanging="142"/>
        <w:jc w:val="both"/>
        <w:rPr>
          <w:rFonts w:ascii="Times New Roman" w:eastAsia="Times New Roman" w:hAnsi="Times New Roman" w:cs="Times New Roman"/>
          <w:bCs/>
        </w:rPr>
      </w:pPr>
      <w:r w:rsidRPr="009C4096">
        <w:rPr>
          <w:rFonts w:ascii="Times New Roman" w:eastAsia="Times New Roman" w:hAnsi="Times New Roman" w:cs="Times New Roman"/>
          <w:b/>
          <w:bCs/>
        </w:rPr>
        <w:t>A tanórák száma és típusa</w:t>
      </w:r>
    </w:p>
    <w:p w:rsidR="009C4096" w:rsidRPr="009C4096" w:rsidRDefault="009C4096" w:rsidP="00980876">
      <w:pPr>
        <w:widowControl w:val="0"/>
        <w:numPr>
          <w:ilvl w:val="1"/>
          <w:numId w:val="681"/>
        </w:numPr>
        <w:tabs>
          <w:tab w:val="clear" w:pos="3977"/>
          <w:tab w:val="num" w:pos="709"/>
          <w:tab w:val="num" w:pos="1142"/>
          <w:tab w:val="num" w:pos="2069"/>
        </w:tabs>
        <w:spacing w:before="120" w:after="120" w:line="240" w:lineRule="auto"/>
        <w:ind w:left="851" w:hanging="425"/>
        <w:jc w:val="both"/>
        <w:rPr>
          <w:rFonts w:ascii="Times New Roman" w:eastAsia="Times New Roman" w:hAnsi="Times New Roman" w:cs="Times New Roman"/>
          <w:bCs/>
        </w:rPr>
      </w:pPr>
      <w:r w:rsidRPr="009C4096">
        <w:rPr>
          <w:rFonts w:ascii="Times New Roman" w:eastAsia="Times New Roman" w:hAnsi="Times New Roman" w:cs="Times New Roman"/>
          <w:bCs/>
        </w:rPr>
        <w:t>össz óraszám/félév:</w:t>
      </w:r>
    </w:p>
    <w:p w:rsidR="009C4096" w:rsidRPr="009C4096" w:rsidRDefault="009C4096" w:rsidP="00980876">
      <w:pPr>
        <w:widowControl w:val="0"/>
        <w:numPr>
          <w:ilvl w:val="2"/>
          <w:numId w:val="681"/>
        </w:numPr>
        <w:tabs>
          <w:tab w:val="num" w:pos="709"/>
          <w:tab w:val="num" w:pos="1134"/>
        </w:tabs>
        <w:spacing w:after="0" w:line="240" w:lineRule="auto"/>
        <w:ind w:left="992" w:hanging="425"/>
        <w:jc w:val="both"/>
        <w:rPr>
          <w:rFonts w:ascii="Times New Roman" w:eastAsia="Times New Roman" w:hAnsi="Times New Roman" w:cs="Times New Roman"/>
          <w:bCs/>
        </w:rPr>
      </w:pPr>
      <w:r w:rsidRPr="009C4096">
        <w:rPr>
          <w:rFonts w:ascii="Times New Roman" w:eastAsia="Times New Roman" w:hAnsi="Times New Roman" w:cs="Times New Roman"/>
          <w:bCs/>
        </w:rPr>
        <w:t>nappali munkarend: 56 (28 EA + 0 SZ + 28 GY)</w:t>
      </w:r>
    </w:p>
    <w:p w:rsidR="009C4096" w:rsidRPr="009C4096" w:rsidRDefault="009C4096" w:rsidP="00980876">
      <w:pPr>
        <w:widowControl w:val="0"/>
        <w:numPr>
          <w:ilvl w:val="2"/>
          <w:numId w:val="681"/>
        </w:numPr>
        <w:tabs>
          <w:tab w:val="num" w:pos="709"/>
          <w:tab w:val="num" w:pos="1134"/>
        </w:tabs>
        <w:spacing w:after="0" w:line="240" w:lineRule="auto"/>
        <w:ind w:left="992" w:hanging="425"/>
        <w:jc w:val="both"/>
        <w:rPr>
          <w:rFonts w:ascii="Times New Roman" w:eastAsia="Times New Roman" w:hAnsi="Times New Roman" w:cs="Times New Roman"/>
          <w:bCs/>
        </w:rPr>
      </w:pPr>
      <w:r w:rsidRPr="009C4096">
        <w:rPr>
          <w:rFonts w:ascii="Times New Roman" w:eastAsia="Times New Roman" w:hAnsi="Times New Roman" w:cs="Times New Roman"/>
          <w:bCs/>
        </w:rPr>
        <w:t>levelező munkarend: - (- EA + - SZ + - GY)</w:t>
      </w:r>
    </w:p>
    <w:p w:rsidR="009C4096" w:rsidRPr="009C4096" w:rsidRDefault="009C4096" w:rsidP="00980876">
      <w:pPr>
        <w:widowControl w:val="0"/>
        <w:numPr>
          <w:ilvl w:val="1"/>
          <w:numId w:val="681"/>
        </w:numPr>
        <w:tabs>
          <w:tab w:val="clear" w:pos="3977"/>
          <w:tab w:val="num" w:pos="709"/>
          <w:tab w:val="num" w:pos="1142"/>
          <w:tab w:val="num" w:pos="2069"/>
        </w:tabs>
        <w:spacing w:before="120" w:after="120" w:line="240" w:lineRule="auto"/>
        <w:ind w:left="851" w:hanging="425"/>
        <w:jc w:val="both"/>
        <w:rPr>
          <w:rFonts w:ascii="Times New Roman" w:eastAsia="Times New Roman" w:hAnsi="Times New Roman" w:cs="Times New Roman"/>
          <w:bCs/>
        </w:rPr>
      </w:pPr>
      <w:r w:rsidRPr="009C4096">
        <w:rPr>
          <w:rFonts w:ascii="Times New Roman" w:eastAsia="Times New Roman" w:hAnsi="Times New Roman" w:cs="Times New Roman"/>
          <w:bCs/>
        </w:rPr>
        <w:t>heti óraszám - nappali munkarend: 4 (2+2)</w:t>
      </w:r>
    </w:p>
    <w:p w:rsidR="009C4096" w:rsidRPr="009C4096" w:rsidRDefault="009C4096" w:rsidP="00980876">
      <w:pPr>
        <w:widowControl w:val="0"/>
        <w:numPr>
          <w:ilvl w:val="1"/>
          <w:numId w:val="681"/>
        </w:numPr>
        <w:tabs>
          <w:tab w:val="clear" w:pos="3977"/>
          <w:tab w:val="num" w:pos="709"/>
          <w:tab w:val="num" w:pos="1142"/>
          <w:tab w:val="num" w:pos="2069"/>
        </w:tabs>
        <w:spacing w:before="120" w:after="120" w:line="240" w:lineRule="auto"/>
        <w:ind w:left="851" w:hanging="425"/>
        <w:jc w:val="both"/>
        <w:rPr>
          <w:rFonts w:ascii="Times New Roman" w:eastAsia="Times New Roman" w:hAnsi="Times New Roman" w:cs="Times New Roman"/>
          <w:bCs/>
        </w:rPr>
      </w:pPr>
      <w:r w:rsidRPr="009C4096">
        <w:rPr>
          <w:rFonts w:ascii="Times New Roman" w:eastAsia="Calibri" w:hAnsi="Times New Roman" w:cs="Times New Roman"/>
        </w:rPr>
        <w:t>Az ismeret átadásában alkalmazandó további sajátos módok, jellemzők: Az ismeretek feldolgozása vegyes tanulási program (blended learning) alapján történik.</w:t>
      </w:r>
    </w:p>
    <w:p w:rsidR="009C4096" w:rsidRPr="009C4096" w:rsidRDefault="009C4096" w:rsidP="00980876">
      <w:pPr>
        <w:widowControl w:val="0"/>
        <w:numPr>
          <w:ilvl w:val="0"/>
          <w:numId w:val="681"/>
        </w:numPr>
        <w:spacing w:before="120" w:after="120" w:line="240" w:lineRule="auto"/>
        <w:ind w:left="426" w:hanging="142"/>
        <w:jc w:val="both"/>
        <w:rPr>
          <w:rFonts w:ascii="Times New Roman" w:eastAsia="Times New Roman" w:hAnsi="Times New Roman" w:cs="Times New Roman"/>
          <w:bCs/>
        </w:rPr>
      </w:pPr>
      <w:r w:rsidRPr="009C4096">
        <w:rPr>
          <w:rFonts w:ascii="Times New Roman" w:eastAsia="Times New Roman" w:hAnsi="Times New Roman" w:cs="Times New Roman"/>
          <w:b/>
          <w:bCs/>
        </w:rPr>
        <w:t>A tantárgy szakmai tartalma (magyarul):</w:t>
      </w:r>
      <w:r w:rsidRPr="009C4096">
        <w:rPr>
          <w:rFonts w:ascii="Times New Roman" w:eastAsia="Times New Roman" w:hAnsi="Times New Roman" w:cs="Times New Roman"/>
          <w:bCs/>
          <w:lang w:eastAsia="hu-HU"/>
        </w:rPr>
        <w:t xml:space="preserve"> Gép- és harcjárművek kormányzása. Kanyarodó járműre ható erők, stabilitási viszonyok, kicsúszás, felborulás. Hatósági előírások. Kormányszerkezet felépítése, működése. Kormányrudazatok, kormánytrapéz. Mechanikus kormányművek, szervokormányok. Lánctalpas járművek kanyarodásának elmélete, lánctalpas járművek kormánymű kialakításai, azok szerkezete és működése. Gép- és harcjárművek fékezésének elmélete, fékelőírások. Dobfék és tárcsafék szerkezetek. Hidraulikus fékrendszerek elemei, kialakításai és típusai. Légfékrendszerek alkalmazása, szerkezete, típussajátosságai, működése. Kombinált fékrendszerek. Pótkocsik fékezése. ABS fékszerkezet, blokkolásgátlók, fékrásegítő szerkezetek. Rögzítőfék szerkezetek.</w:t>
      </w:r>
    </w:p>
    <w:p w:rsidR="009C4096" w:rsidRPr="009C4096" w:rsidRDefault="009C4096" w:rsidP="009C4096">
      <w:pPr>
        <w:widowControl w:val="0"/>
        <w:spacing w:before="120" w:after="120" w:line="240" w:lineRule="auto"/>
        <w:ind w:left="426"/>
        <w:jc w:val="both"/>
        <w:rPr>
          <w:rFonts w:ascii="Times New Roman" w:eastAsia="Times New Roman" w:hAnsi="Times New Roman" w:cs="Times New Roman"/>
          <w:bCs/>
          <w:lang w:val="en-GB"/>
        </w:rPr>
      </w:pPr>
      <w:r w:rsidRPr="009C4096">
        <w:rPr>
          <w:rFonts w:ascii="Times New Roman" w:eastAsia="Times New Roman" w:hAnsi="Times New Roman" w:cs="Times New Roman"/>
          <w:b/>
          <w:bCs/>
        </w:rPr>
        <w:t>A tantárgy szakmai tartalma (angolul) (</w:t>
      </w:r>
      <w:r w:rsidRPr="009C4096">
        <w:rPr>
          <w:rFonts w:ascii="Times New Roman" w:eastAsia="Times New Roman" w:hAnsi="Times New Roman" w:cs="Times New Roman"/>
          <w:b/>
          <w:bCs/>
          <w:lang w:val="en-US"/>
        </w:rPr>
        <w:t>Course description</w:t>
      </w:r>
      <w:r w:rsidRPr="009C4096">
        <w:rPr>
          <w:rFonts w:ascii="Times New Roman" w:eastAsia="Times New Roman" w:hAnsi="Times New Roman" w:cs="Times New Roman"/>
          <w:b/>
          <w:bCs/>
        </w:rPr>
        <w:t xml:space="preserve">): </w:t>
      </w:r>
      <w:r w:rsidRPr="009C4096">
        <w:rPr>
          <w:rFonts w:ascii="Times New Roman" w:eastAsia="Times New Roman" w:hAnsi="Times New Roman" w:cs="Times New Roman"/>
          <w:bCs/>
          <w:lang w:eastAsia="hu-HU"/>
        </w:rPr>
        <w:t>Steering of vehicles and combat vehicles. Forces, stability, slipping, overturning affecting the vehicle during the turning movement. Authority regulations. Structure and operation of a steering system. Paralelogram steering linkage. Mechanical steering gears, power steering. Steering theory and steering gears of tracked vehicles. Braking theory of vehicles and combat vehicles. Authority regulations of braking vehicles. Drum and disc brakes. Elements, designs and types of hydraulic braking systems. Application, structure, type and function of air brake systems. Combined braking systems. Braking of trailers. ABS braking system, anti-lock brakes, brake assist devices. Parking braking devices.</w:t>
      </w:r>
    </w:p>
    <w:p w:rsidR="009C4096" w:rsidRPr="009C4096" w:rsidRDefault="009C4096" w:rsidP="00980876">
      <w:pPr>
        <w:widowControl w:val="0"/>
        <w:numPr>
          <w:ilvl w:val="0"/>
          <w:numId w:val="681"/>
        </w:numPr>
        <w:spacing w:before="120" w:after="120" w:line="240" w:lineRule="auto"/>
        <w:ind w:left="426" w:hanging="142"/>
        <w:jc w:val="both"/>
        <w:rPr>
          <w:rFonts w:ascii="Times New Roman" w:eastAsia="Times New Roman" w:hAnsi="Times New Roman" w:cs="Times New Roman"/>
          <w:bCs/>
        </w:rPr>
      </w:pPr>
      <w:r w:rsidRPr="009C4096">
        <w:rPr>
          <w:rFonts w:ascii="Times New Roman" w:eastAsia="Times New Roman" w:hAnsi="Times New Roman" w:cs="Times New Roman"/>
          <w:b/>
          <w:bCs/>
        </w:rPr>
        <w:t xml:space="preserve">Elérendő kompetenciák (magyarul): </w:t>
      </w:r>
    </w:p>
    <w:p w:rsidR="009C4096" w:rsidRPr="009C4096" w:rsidRDefault="009C4096" w:rsidP="009C4096">
      <w:pPr>
        <w:widowControl w:val="0"/>
        <w:spacing w:before="120" w:after="120" w:line="240" w:lineRule="auto"/>
        <w:ind w:left="426"/>
        <w:jc w:val="both"/>
        <w:rPr>
          <w:rFonts w:ascii="Times New Roman" w:eastAsia="Times New Roman" w:hAnsi="Times New Roman" w:cs="Times New Roman"/>
          <w:bCs/>
        </w:rPr>
      </w:pPr>
      <w:r w:rsidRPr="009C4096">
        <w:rPr>
          <w:rFonts w:ascii="Times New Roman" w:eastAsia="Times New Roman" w:hAnsi="Times New Roman" w:cs="Times New Roman"/>
          <w:b/>
          <w:bCs/>
        </w:rPr>
        <w:t>Tudása:</w:t>
      </w:r>
    </w:p>
    <w:p w:rsidR="009C4096" w:rsidRPr="009C4096" w:rsidRDefault="009C4096" w:rsidP="00980876">
      <w:pPr>
        <w:widowControl w:val="0"/>
        <w:numPr>
          <w:ilvl w:val="0"/>
          <w:numId w:val="668"/>
        </w:numPr>
        <w:spacing w:after="0" w:line="240" w:lineRule="auto"/>
        <w:ind w:left="993"/>
        <w:contextualSpacing/>
        <w:jc w:val="both"/>
        <w:rPr>
          <w:rFonts w:ascii="Times New Roman" w:eastAsia="Times New Roman" w:hAnsi="Times New Roman" w:cs="Times New Roman"/>
          <w:bCs/>
        </w:rPr>
      </w:pPr>
      <w:r w:rsidRPr="009C4096">
        <w:rPr>
          <w:rFonts w:ascii="Times New Roman" w:eastAsia="Times New Roman" w:hAnsi="Times New Roman" w:cs="Times New Roman"/>
          <w:bCs/>
        </w:rPr>
        <w:t>Ismeri a páncélos- és gépjárműtechnikai eszközök felépítését, berendezéseit, azok működését és üzemeltetési rendjét.</w:t>
      </w:r>
    </w:p>
    <w:p w:rsidR="009C4096" w:rsidRPr="009C4096" w:rsidRDefault="009C4096" w:rsidP="00980876">
      <w:pPr>
        <w:widowControl w:val="0"/>
        <w:numPr>
          <w:ilvl w:val="0"/>
          <w:numId w:val="668"/>
        </w:numPr>
        <w:spacing w:after="0" w:line="240" w:lineRule="auto"/>
        <w:ind w:left="993"/>
        <w:contextualSpacing/>
        <w:jc w:val="both"/>
        <w:rPr>
          <w:rFonts w:ascii="Times New Roman" w:eastAsia="Times New Roman" w:hAnsi="Times New Roman" w:cs="Times New Roman"/>
          <w:bCs/>
        </w:rPr>
      </w:pPr>
      <w:r w:rsidRPr="009C4096">
        <w:rPr>
          <w:rFonts w:ascii="Times New Roman" w:eastAsia="Times New Roman" w:hAnsi="Times New Roman" w:cs="Times New Roman"/>
          <w:bCs/>
        </w:rPr>
        <w:t>Ismeri a páncélos- és gépjárműtechnikai eszközök szerkezeti részeinek igénybevételét.</w:t>
      </w:r>
    </w:p>
    <w:p w:rsidR="009C4096" w:rsidRPr="009C4096" w:rsidRDefault="009C4096" w:rsidP="00980876">
      <w:pPr>
        <w:widowControl w:val="0"/>
        <w:numPr>
          <w:ilvl w:val="0"/>
          <w:numId w:val="668"/>
        </w:numPr>
        <w:spacing w:after="0" w:line="240" w:lineRule="auto"/>
        <w:ind w:left="993"/>
        <w:contextualSpacing/>
        <w:jc w:val="both"/>
        <w:rPr>
          <w:rFonts w:ascii="Times New Roman" w:eastAsia="Times New Roman" w:hAnsi="Times New Roman" w:cs="Times New Roman"/>
          <w:bCs/>
        </w:rPr>
      </w:pPr>
      <w:r w:rsidRPr="009C4096">
        <w:rPr>
          <w:rFonts w:ascii="Times New Roman" w:eastAsia="Times New Roman" w:hAnsi="Times New Roman" w:cs="Times New Roman"/>
          <w:bCs/>
        </w:rPr>
        <w:t>Ismeri a legújabb gépjárműtechnikai megoldásokat.</w:t>
      </w:r>
    </w:p>
    <w:p w:rsidR="009C4096" w:rsidRPr="009C4096" w:rsidRDefault="009C4096" w:rsidP="00980876">
      <w:pPr>
        <w:widowControl w:val="0"/>
        <w:numPr>
          <w:ilvl w:val="0"/>
          <w:numId w:val="668"/>
        </w:numPr>
        <w:spacing w:after="0" w:line="240" w:lineRule="auto"/>
        <w:ind w:left="993"/>
        <w:contextualSpacing/>
        <w:jc w:val="both"/>
        <w:rPr>
          <w:rFonts w:ascii="Times New Roman" w:eastAsia="Calibri" w:hAnsi="Times New Roman" w:cs="Times New Roman"/>
        </w:rPr>
      </w:pPr>
      <w:r w:rsidRPr="009C4096">
        <w:rPr>
          <w:rFonts w:ascii="Times New Roman" w:eastAsia="Times New Roman" w:hAnsi="Times New Roman" w:cs="Times New Roman"/>
          <w:bCs/>
        </w:rPr>
        <w:lastRenderedPageBreak/>
        <w:t>Ismeri a páncélos- és gépjárműtechnikai eszközök fődarabjainak és részegységeinek karbantartását, ellenőrzését, az egyes szerelési egységek hibáinak behatárolási és javítási módjait.</w:t>
      </w:r>
    </w:p>
    <w:p w:rsidR="009C4096" w:rsidRPr="009C4096" w:rsidRDefault="009C4096" w:rsidP="00980876">
      <w:pPr>
        <w:widowControl w:val="0"/>
        <w:numPr>
          <w:ilvl w:val="0"/>
          <w:numId w:val="668"/>
        </w:numPr>
        <w:spacing w:after="0" w:line="240" w:lineRule="auto"/>
        <w:ind w:left="993"/>
        <w:contextualSpacing/>
        <w:jc w:val="both"/>
        <w:rPr>
          <w:rFonts w:ascii="Times New Roman" w:eastAsia="Times New Roman" w:hAnsi="Times New Roman" w:cs="Times New Roman"/>
          <w:bCs/>
        </w:rPr>
      </w:pPr>
      <w:r w:rsidRPr="009C4096">
        <w:rPr>
          <w:rFonts w:ascii="Times New Roman" w:eastAsia="Times New Roman" w:hAnsi="Times New Roman" w:cs="Times New Roman"/>
          <w:bCs/>
        </w:rPr>
        <w:t>Ismeri a szakfeladatainak ellátásához szükséges munkavédelmi rendszabályokat.</w:t>
      </w:r>
    </w:p>
    <w:p w:rsidR="009C4096" w:rsidRPr="009C4096" w:rsidRDefault="009C4096" w:rsidP="00980876">
      <w:pPr>
        <w:widowControl w:val="0"/>
        <w:numPr>
          <w:ilvl w:val="0"/>
          <w:numId w:val="668"/>
        </w:numPr>
        <w:spacing w:after="0" w:line="240" w:lineRule="auto"/>
        <w:ind w:left="993"/>
        <w:contextualSpacing/>
        <w:jc w:val="both"/>
        <w:rPr>
          <w:rFonts w:ascii="Times New Roman" w:eastAsia="Times New Roman" w:hAnsi="Times New Roman" w:cs="Times New Roman"/>
          <w:bCs/>
        </w:rPr>
      </w:pPr>
      <w:r w:rsidRPr="009C4096">
        <w:rPr>
          <w:rFonts w:ascii="Times New Roman" w:eastAsia="Times New Roman" w:hAnsi="Times New Roman" w:cs="Times New Roman"/>
          <w:bCs/>
        </w:rPr>
        <w:t>Megfelelő mélységű és spektrumú páncélos- és gépjárműtechnikai típusismerettel rendelkezik.</w:t>
      </w:r>
    </w:p>
    <w:p w:rsidR="009C4096" w:rsidRPr="009C4096" w:rsidRDefault="009C4096" w:rsidP="009C4096">
      <w:pPr>
        <w:widowControl w:val="0"/>
        <w:spacing w:before="120" w:after="120" w:line="240" w:lineRule="auto"/>
        <w:ind w:left="426"/>
        <w:jc w:val="both"/>
        <w:rPr>
          <w:rFonts w:ascii="Times New Roman" w:eastAsia="Times New Roman" w:hAnsi="Times New Roman" w:cs="Times New Roman"/>
          <w:bCs/>
        </w:rPr>
      </w:pPr>
      <w:r w:rsidRPr="009C4096">
        <w:rPr>
          <w:rFonts w:ascii="Times New Roman" w:eastAsia="Times New Roman" w:hAnsi="Times New Roman" w:cs="Times New Roman"/>
          <w:b/>
          <w:bCs/>
        </w:rPr>
        <w:t>Képességei:</w:t>
      </w:r>
    </w:p>
    <w:p w:rsidR="009C4096" w:rsidRPr="009C4096" w:rsidRDefault="009C4096" w:rsidP="00980876">
      <w:pPr>
        <w:widowControl w:val="0"/>
        <w:numPr>
          <w:ilvl w:val="0"/>
          <w:numId w:val="669"/>
        </w:numPr>
        <w:spacing w:after="0" w:line="240" w:lineRule="auto"/>
        <w:ind w:left="993"/>
        <w:contextualSpacing/>
        <w:jc w:val="both"/>
        <w:rPr>
          <w:rFonts w:ascii="Times New Roman" w:eastAsia="Times New Roman" w:hAnsi="Times New Roman" w:cs="Times New Roman"/>
          <w:bCs/>
        </w:rPr>
      </w:pPr>
      <w:r w:rsidRPr="009C4096">
        <w:rPr>
          <w:rFonts w:ascii="Times New Roman" w:eastAsia="Times New Roman" w:hAnsi="Times New Roman" w:cs="Times New Roman"/>
          <w:bCs/>
        </w:rPr>
        <w:t>Képes a szakterületén rendszeresített és használt berendezések és technikai eszközök használatának megszervezésére és hatékony alkalmazására.</w:t>
      </w:r>
    </w:p>
    <w:p w:rsidR="009C4096" w:rsidRPr="009C4096" w:rsidRDefault="009C4096" w:rsidP="00980876">
      <w:pPr>
        <w:widowControl w:val="0"/>
        <w:numPr>
          <w:ilvl w:val="0"/>
          <w:numId w:val="669"/>
        </w:numPr>
        <w:spacing w:after="0" w:line="240" w:lineRule="auto"/>
        <w:ind w:left="993"/>
        <w:contextualSpacing/>
        <w:jc w:val="both"/>
        <w:rPr>
          <w:rFonts w:ascii="Times New Roman" w:eastAsia="Times New Roman" w:hAnsi="Times New Roman" w:cs="Times New Roman"/>
          <w:bCs/>
        </w:rPr>
      </w:pPr>
      <w:r w:rsidRPr="009C4096">
        <w:rPr>
          <w:rFonts w:ascii="Times New Roman" w:eastAsia="Times New Roman" w:hAnsi="Times New Roman" w:cs="Times New Roman"/>
          <w:bCs/>
        </w:rPr>
        <w:t>Képes a technológiai utasításoknak megfelelően a páncélos- és gépjárműtechnikai eszközök technikai kiszolgálásának szakszerű végrehajtására, illetve a végrehajtás megszervezésére és ellenőrzésére.</w:t>
      </w:r>
    </w:p>
    <w:p w:rsidR="009C4096" w:rsidRPr="009C4096" w:rsidRDefault="009C4096" w:rsidP="00980876">
      <w:pPr>
        <w:widowControl w:val="0"/>
        <w:numPr>
          <w:ilvl w:val="0"/>
          <w:numId w:val="669"/>
        </w:numPr>
        <w:spacing w:after="0" w:line="240" w:lineRule="auto"/>
        <w:ind w:left="993"/>
        <w:contextualSpacing/>
        <w:jc w:val="both"/>
        <w:rPr>
          <w:rFonts w:ascii="Times New Roman" w:eastAsia="Times New Roman" w:hAnsi="Times New Roman" w:cs="Times New Roman"/>
          <w:bCs/>
        </w:rPr>
      </w:pPr>
      <w:r w:rsidRPr="009C4096">
        <w:rPr>
          <w:rFonts w:ascii="Times New Roman" w:eastAsia="Times New Roman" w:hAnsi="Times New Roman" w:cs="Times New Roman"/>
          <w:bCs/>
        </w:rPr>
        <w:t>Képes az alegységszinten elvégzendő szükség szerinti javítások megszervezésére, végrehajtására és a végrehajtás ellenőrzésére.</w:t>
      </w:r>
    </w:p>
    <w:p w:rsidR="009C4096" w:rsidRPr="009C4096" w:rsidRDefault="009C4096" w:rsidP="00980876">
      <w:pPr>
        <w:widowControl w:val="0"/>
        <w:numPr>
          <w:ilvl w:val="0"/>
          <w:numId w:val="669"/>
        </w:numPr>
        <w:spacing w:after="0" w:line="240" w:lineRule="auto"/>
        <w:ind w:left="993"/>
        <w:contextualSpacing/>
        <w:jc w:val="both"/>
        <w:rPr>
          <w:rFonts w:ascii="Times New Roman" w:eastAsia="Times New Roman" w:hAnsi="Times New Roman" w:cs="Times New Roman"/>
          <w:bCs/>
        </w:rPr>
      </w:pPr>
      <w:r w:rsidRPr="009C4096">
        <w:rPr>
          <w:rFonts w:ascii="Times New Roman" w:eastAsia="Times New Roman" w:hAnsi="Times New Roman" w:cs="Times New Roman"/>
          <w:bCs/>
        </w:rPr>
        <w:t>Képes a páncélos- és gépjárműtechnikai eszközök rendszerben tartását tervezni, szervezni és irányítani.</w:t>
      </w:r>
    </w:p>
    <w:p w:rsidR="009C4096" w:rsidRPr="009C4096" w:rsidRDefault="009C4096" w:rsidP="00980876">
      <w:pPr>
        <w:widowControl w:val="0"/>
        <w:numPr>
          <w:ilvl w:val="0"/>
          <w:numId w:val="669"/>
        </w:numPr>
        <w:spacing w:after="0" w:line="240" w:lineRule="auto"/>
        <w:ind w:left="993"/>
        <w:contextualSpacing/>
        <w:jc w:val="both"/>
        <w:rPr>
          <w:rFonts w:ascii="Times New Roman" w:eastAsia="Times New Roman" w:hAnsi="Times New Roman" w:cs="Times New Roman"/>
          <w:bCs/>
        </w:rPr>
      </w:pPr>
      <w:r w:rsidRPr="009C4096">
        <w:rPr>
          <w:rFonts w:ascii="Times New Roman" w:eastAsia="Times New Roman" w:hAnsi="Times New Roman" w:cs="Times New Roman"/>
          <w:bCs/>
        </w:rPr>
        <w:t>Képes a biztonságos munkavégzés feltételeit megteremteni, a biztonságos munkavégzéshez szükséges szabályokat másokkal is betartatni.</w:t>
      </w:r>
    </w:p>
    <w:p w:rsidR="009C4096" w:rsidRPr="009C4096" w:rsidRDefault="009C4096" w:rsidP="00980876">
      <w:pPr>
        <w:widowControl w:val="0"/>
        <w:numPr>
          <w:ilvl w:val="0"/>
          <w:numId w:val="669"/>
        </w:numPr>
        <w:spacing w:after="0" w:line="240" w:lineRule="auto"/>
        <w:ind w:left="993"/>
        <w:contextualSpacing/>
        <w:jc w:val="both"/>
        <w:rPr>
          <w:rFonts w:ascii="Times New Roman" w:eastAsia="Times New Roman" w:hAnsi="Times New Roman" w:cs="Times New Roman"/>
          <w:bCs/>
        </w:rPr>
      </w:pPr>
      <w:r w:rsidRPr="009C4096">
        <w:rPr>
          <w:rFonts w:ascii="Times New Roman" w:eastAsia="Times New Roman" w:hAnsi="Times New Roman" w:cs="Times New Roman"/>
          <w:bCs/>
        </w:rPr>
        <w:t>Képes az alárendeltségében levő szakjavító alegység munkájának a megtervezésére, megszervezésére, irányítására és ellenőrzésére.</w:t>
      </w:r>
    </w:p>
    <w:p w:rsidR="009C4096" w:rsidRPr="009C4096" w:rsidRDefault="009C4096" w:rsidP="00980876">
      <w:pPr>
        <w:widowControl w:val="0"/>
        <w:numPr>
          <w:ilvl w:val="0"/>
          <w:numId w:val="669"/>
        </w:numPr>
        <w:spacing w:after="0" w:line="240" w:lineRule="auto"/>
        <w:ind w:left="993"/>
        <w:contextualSpacing/>
        <w:jc w:val="both"/>
        <w:rPr>
          <w:rFonts w:ascii="Times New Roman" w:eastAsia="Times New Roman" w:hAnsi="Times New Roman" w:cs="Times New Roman"/>
          <w:bCs/>
        </w:rPr>
      </w:pPr>
      <w:r w:rsidRPr="009C4096">
        <w:rPr>
          <w:rFonts w:ascii="Times New Roman" w:eastAsia="Times New Roman" w:hAnsi="Times New Roman" w:cs="Times New Roman"/>
          <w:bCs/>
        </w:rPr>
        <w:t>Képes a megtanultakat felhasználva a szakterületén felmerülő új műszaki információkat megérteni és megtanulni.</w:t>
      </w:r>
    </w:p>
    <w:p w:rsidR="009C4096" w:rsidRPr="009C4096" w:rsidRDefault="009C4096" w:rsidP="009C4096">
      <w:pPr>
        <w:widowControl w:val="0"/>
        <w:spacing w:before="120" w:after="120" w:line="240" w:lineRule="auto"/>
        <w:ind w:left="426"/>
        <w:jc w:val="both"/>
        <w:rPr>
          <w:rFonts w:ascii="Times New Roman" w:eastAsia="Times New Roman" w:hAnsi="Times New Roman" w:cs="Times New Roman"/>
          <w:bCs/>
        </w:rPr>
      </w:pPr>
      <w:r w:rsidRPr="009C4096">
        <w:rPr>
          <w:rFonts w:ascii="Times New Roman" w:eastAsia="Times New Roman" w:hAnsi="Times New Roman" w:cs="Times New Roman"/>
          <w:b/>
          <w:bCs/>
        </w:rPr>
        <w:t>Attitűdje:</w:t>
      </w:r>
    </w:p>
    <w:p w:rsidR="009C4096" w:rsidRPr="009C4096" w:rsidRDefault="009C4096" w:rsidP="00980876">
      <w:pPr>
        <w:widowControl w:val="0"/>
        <w:numPr>
          <w:ilvl w:val="0"/>
          <w:numId w:val="670"/>
        </w:numPr>
        <w:spacing w:after="0" w:line="240" w:lineRule="auto"/>
        <w:ind w:left="993"/>
        <w:contextualSpacing/>
        <w:jc w:val="both"/>
        <w:rPr>
          <w:rFonts w:ascii="Times New Roman" w:eastAsia="Times New Roman" w:hAnsi="Times New Roman" w:cs="Times New Roman"/>
          <w:bCs/>
        </w:rPr>
      </w:pPr>
      <w:r w:rsidRPr="009C4096">
        <w:rPr>
          <w:rFonts w:ascii="Times New Roman" w:eastAsia="Times New Roman" w:hAnsi="Times New Roman" w:cs="Times New Roman"/>
          <w:bCs/>
        </w:rPr>
        <w:t>Nyitott a páncélos- és gépjárműtechnikával kapcsolatos szakmai ismereteinek gyarapítása iránt, folyamatos önképzési igény jellemzi.</w:t>
      </w:r>
    </w:p>
    <w:p w:rsidR="009C4096" w:rsidRPr="009C4096" w:rsidRDefault="009C4096" w:rsidP="00980876">
      <w:pPr>
        <w:widowControl w:val="0"/>
        <w:numPr>
          <w:ilvl w:val="0"/>
          <w:numId w:val="670"/>
        </w:numPr>
        <w:spacing w:after="0" w:line="240" w:lineRule="auto"/>
        <w:ind w:left="993"/>
        <w:contextualSpacing/>
        <w:jc w:val="both"/>
        <w:rPr>
          <w:rFonts w:ascii="Times New Roman" w:eastAsia="Times New Roman" w:hAnsi="Times New Roman" w:cs="Times New Roman"/>
          <w:bCs/>
        </w:rPr>
      </w:pPr>
      <w:r w:rsidRPr="009C4096">
        <w:rPr>
          <w:rFonts w:ascii="Times New Roman" w:eastAsia="Times New Roman" w:hAnsi="Times New Roman" w:cs="Times New Roman"/>
          <w:bCs/>
        </w:rPr>
        <w:t>Törekszik munkája során a vonatkozó szabályok betartására és betartatására.</w:t>
      </w:r>
    </w:p>
    <w:p w:rsidR="009C4096" w:rsidRPr="009C4096" w:rsidRDefault="009C4096" w:rsidP="00980876">
      <w:pPr>
        <w:widowControl w:val="0"/>
        <w:numPr>
          <w:ilvl w:val="0"/>
          <w:numId w:val="670"/>
        </w:numPr>
        <w:spacing w:after="0" w:line="240" w:lineRule="auto"/>
        <w:ind w:left="993"/>
        <w:contextualSpacing/>
        <w:jc w:val="both"/>
        <w:rPr>
          <w:rFonts w:ascii="Times New Roman" w:eastAsia="Times New Roman" w:hAnsi="Times New Roman" w:cs="Times New Roman"/>
          <w:bCs/>
        </w:rPr>
      </w:pPr>
      <w:r w:rsidRPr="009C4096">
        <w:rPr>
          <w:rFonts w:ascii="Times New Roman" w:eastAsia="Times New Roman" w:hAnsi="Times New Roman" w:cs="Times New Roman"/>
          <w:bCs/>
        </w:rPr>
        <w:t>Munkáját és emberi kapcsolatait a megbízhatóság jellemzi.</w:t>
      </w:r>
    </w:p>
    <w:p w:rsidR="009C4096" w:rsidRPr="009C4096" w:rsidRDefault="009C4096" w:rsidP="00980876">
      <w:pPr>
        <w:widowControl w:val="0"/>
        <w:numPr>
          <w:ilvl w:val="0"/>
          <w:numId w:val="670"/>
        </w:numPr>
        <w:spacing w:after="0" w:line="240" w:lineRule="auto"/>
        <w:ind w:left="993"/>
        <w:contextualSpacing/>
        <w:jc w:val="both"/>
        <w:rPr>
          <w:rFonts w:ascii="Times New Roman" w:eastAsia="Times New Roman" w:hAnsi="Times New Roman" w:cs="Times New Roman"/>
          <w:bCs/>
        </w:rPr>
      </w:pPr>
      <w:r w:rsidRPr="009C4096">
        <w:rPr>
          <w:rFonts w:ascii="Times New Roman" w:eastAsia="Times New Roman" w:hAnsi="Times New Roman" w:cs="Times New Roman"/>
          <w:bCs/>
        </w:rPr>
        <w:t>Nyitott a haditechnikai szakterület új eredményei felé, törekszik azok megismerésére.</w:t>
      </w:r>
    </w:p>
    <w:p w:rsidR="009C4096" w:rsidRPr="009C4096" w:rsidRDefault="009C4096" w:rsidP="009C4096">
      <w:pPr>
        <w:widowControl w:val="0"/>
        <w:spacing w:before="120" w:after="120" w:line="240" w:lineRule="auto"/>
        <w:ind w:left="426"/>
        <w:jc w:val="both"/>
        <w:rPr>
          <w:rFonts w:ascii="Times New Roman" w:eastAsia="Times New Roman" w:hAnsi="Times New Roman" w:cs="Times New Roman"/>
          <w:bCs/>
        </w:rPr>
      </w:pPr>
      <w:r w:rsidRPr="009C4096">
        <w:rPr>
          <w:rFonts w:ascii="Times New Roman" w:eastAsia="Times New Roman" w:hAnsi="Times New Roman" w:cs="Times New Roman"/>
          <w:b/>
          <w:bCs/>
        </w:rPr>
        <w:t>Autonómiája és felelőssége:</w:t>
      </w:r>
    </w:p>
    <w:p w:rsidR="009C4096" w:rsidRPr="009C4096" w:rsidRDefault="009C4096" w:rsidP="00980876">
      <w:pPr>
        <w:widowControl w:val="0"/>
        <w:numPr>
          <w:ilvl w:val="0"/>
          <w:numId w:val="671"/>
        </w:numPr>
        <w:spacing w:after="0" w:line="240" w:lineRule="auto"/>
        <w:ind w:left="993"/>
        <w:contextualSpacing/>
        <w:jc w:val="both"/>
        <w:rPr>
          <w:rFonts w:ascii="Times New Roman" w:eastAsia="Times New Roman" w:hAnsi="Times New Roman" w:cs="Times New Roman"/>
          <w:bCs/>
        </w:rPr>
      </w:pPr>
      <w:r w:rsidRPr="009C4096">
        <w:rPr>
          <w:rFonts w:ascii="Times New Roman" w:eastAsia="Times New Roman" w:hAnsi="Times New Roman" w:cs="Times New Roman"/>
          <w:bCs/>
        </w:rPr>
        <w:t>Képes alárendeltjeinek feladatait megszervezni és meghatározni, valamint elvégzett munkájukat szakmai szempontok alapján ellenőrizni.</w:t>
      </w:r>
    </w:p>
    <w:p w:rsidR="009C4096" w:rsidRPr="009C4096" w:rsidRDefault="009C4096" w:rsidP="00980876">
      <w:pPr>
        <w:widowControl w:val="0"/>
        <w:numPr>
          <w:ilvl w:val="0"/>
          <w:numId w:val="671"/>
        </w:numPr>
        <w:spacing w:after="0" w:line="240" w:lineRule="auto"/>
        <w:ind w:left="993"/>
        <w:contextualSpacing/>
        <w:jc w:val="both"/>
        <w:rPr>
          <w:rFonts w:ascii="Times New Roman" w:eastAsia="Times New Roman" w:hAnsi="Times New Roman" w:cs="Times New Roman"/>
          <w:bCs/>
        </w:rPr>
      </w:pPr>
      <w:r w:rsidRPr="009C4096">
        <w:rPr>
          <w:rFonts w:ascii="Times New Roman" w:eastAsia="Times New Roman" w:hAnsi="Times New Roman" w:cs="Times New Roman"/>
          <w:bCs/>
        </w:rPr>
        <w:t>A páncélos- és gépjárműtechnikai eszközök technikai kiszolgálása és javítása során képes elemzések végrehajtása után a legmegfelelőbb döntéseket meghozni, amely döntésekért a szakmai felelősséget vállalja.</w:t>
      </w:r>
    </w:p>
    <w:p w:rsidR="009C4096" w:rsidRPr="009C4096" w:rsidRDefault="009C4096" w:rsidP="00980876">
      <w:pPr>
        <w:widowControl w:val="0"/>
        <w:numPr>
          <w:ilvl w:val="0"/>
          <w:numId w:val="671"/>
        </w:numPr>
        <w:spacing w:after="0" w:line="240" w:lineRule="auto"/>
        <w:ind w:left="993"/>
        <w:contextualSpacing/>
        <w:jc w:val="both"/>
        <w:rPr>
          <w:rFonts w:ascii="Times New Roman" w:eastAsia="Times New Roman" w:hAnsi="Times New Roman" w:cs="Times New Roman"/>
          <w:bCs/>
        </w:rPr>
      </w:pPr>
      <w:r w:rsidRPr="009C4096">
        <w:rPr>
          <w:rFonts w:ascii="Times New Roman" w:eastAsia="Times New Roman" w:hAnsi="Times New Roman" w:cs="Times New Roman"/>
          <w:bCs/>
        </w:rPr>
        <w:t>Együttműködés és felelősség jellemzi szakterületének szakembereivel szemben.</w:t>
      </w:r>
    </w:p>
    <w:p w:rsidR="009C4096" w:rsidRPr="009C4096" w:rsidRDefault="009C4096" w:rsidP="00980876">
      <w:pPr>
        <w:widowControl w:val="0"/>
        <w:numPr>
          <w:ilvl w:val="0"/>
          <w:numId w:val="671"/>
        </w:numPr>
        <w:spacing w:after="0" w:line="240" w:lineRule="auto"/>
        <w:ind w:left="993"/>
        <w:contextualSpacing/>
        <w:jc w:val="both"/>
        <w:rPr>
          <w:rFonts w:ascii="Times New Roman" w:eastAsia="Times New Roman" w:hAnsi="Times New Roman" w:cs="Times New Roman"/>
          <w:bCs/>
        </w:rPr>
      </w:pPr>
      <w:r w:rsidRPr="009C4096">
        <w:rPr>
          <w:rFonts w:ascii="Times New Roman" w:eastAsia="Times New Roman" w:hAnsi="Times New Roman" w:cs="Times New Roman"/>
          <w:bCs/>
        </w:rPr>
        <w:t>Szakterületén belül képes rendszer-szemléletűen gondolkodni.</w:t>
      </w:r>
    </w:p>
    <w:p w:rsidR="009C4096" w:rsidRPr="009C4096" w:rsidRDefault="009C4096" w:rsidP="009C4096">
      <w:pPr>
        <w:widowControl w:val="0"/>
        <w:spacing w:before="120" w:after="120" w:line="240" w:lineRule="auto"/>
        <w:ind w:left="426"/>
        <w:jc w:val="both"/>
        <w:rPr>
          <w:rFonts w:ascii="Times New Roman" w:eastAsia="Times New Roman" w:hAnsi="Times New Roman" w:cs="Times New Roman"/>
          <w:b/>
          <w:bCs/>
          <w:lang w:val="en-US"/>
        </w:rPr>
      </w:pPr>
      <w:r w:rsidRPr="009C4096">
        <w:rPr>
          <w:rFonts w:ascii="Times New Roman" w:eastAsia="Times New Roman" w:hAnsi="Times New Roman" w:cs="Times New Roman"/>
          <w:b/>
          <w:bCs/>
        </w:rPr>
        <w:t>Elérendő kompetenciák (angolul) (</w:t>
      </w:r>
      <w:r w:rsidRPr="009C4096">
        <w:rPr>
          <w:rFonts w:ascii="Times New Roman" w:eastAsia="Times New Roman" w:hAnsi="Times New Roman" w:cs="Times New Roman"/>
          <w:b/>
          <w:bCs/>
          <w:lang w:val="en-US"/>
        </w:rPr>
        <w:t xml:space="preserve">Competences – English): </w:t>
      </w:r>
    </w:p>
    <w:p w:rsidR="009C4096" w:rsidRPr="009C4096" w:rsidRDefault="009C4096" w:rsidP="009C4096">
      <w:pPr>
        <w:widowControl w:val="0"/>
        <w:spacing w:before="120" w:after="120" w:line="240" w:lineRule="auto"/>
        <w:ind w:left="426"/>
        <w:jc w:val="both"/>
        <w:rPr>
          <w:rFonts w:ascii="Times New Roman" w:eastAsia="Times New Roman" w:hAnsi="Times New Roman" w:cs="Times New Roman"/>
          <w:lang w:val="en-GB"/>
        </w:rPr>
      </w:pPr>
      <w:r w:rsidRPr="009C4096">
        <w:rPr>
          <w:rFonts w:ascii="Times New Roman" w:eastAsia="Times New Roman" w:hAnsi="Times New Roman" w:cs="Times New Roman"/>
          <w:b/>
          <w:lang w:val="en-GB"/>
        </w:rPr>
        <w:t>Knowledge</w:t>
      </w:r>
      <w:r w:rsidRPr="009C4096">
        <w:rPr>
          <w:rFonts w:ascii="Times New Roman" w:eastAsia="Times New Roman" w:hAnsi="Times New Roman" w:cs="Times New Roman"/>
          <w:lang w:val="en-GB"/>
        </w:rPr>
        <w:t>:</w:t>
      </w:r>
    </w:p>
    <w:p w:rsidR="009C4096" w:rsidRPr="009C4096" w:rsidRDefault="009C4096" w:rsidP="00980876">
      <w:pPr>
        <w:widowControl w:val="0"/>
        <w:numPr>
          <w:ilvl w:val="0"/>
          <w:numId w:val="672"/>
        </w:numPr>
        <w:spacing w:after="0" w:line="240" w:lineRule="auto"/>
        <w:ind w:left="993"/>
        <w:contextualSpacing/>
        <w:jc w:val="both"/>
        <w:rPr>
          <w:rFonts w:ascii="Times New Roman" w:eastAsia="Times New Roman" w:hAnsi="Times New Roman" w:cs="Times New Roman"/>
          <w:bCs/>
        </w:rPr>
      </w:pPr>
      <w:r w:rsidRPr="009C4096">
        <w:rPr>
          <w:rFonts w:ascii="Times New Roman" w:eastAsia="Times New Roman" w:hAnsi="Times New Roman" w:cs="Times New Roman"/>
          <w:bCs/>
        </w:rPr>
        <w:t>Knows the structure and equipment as well as the functioning and operation of armored vehicles.</w:t>
      </w:r>
    </w:p>
    <w:p w:rsidR="009C4096" w:rsidRPr="009C4096" w:rsidRDefault="009C4096" w:rsidP="00980876">
      <w:pPr>
        <w:widowControl w:val="0"/>
        <w:numPr>
          <w:ilvl w:val="0"/>
          <w:numId w:val="672"/>
        </w:numPr>
        <w:spacing w:after="0" w:line="240" w:lineRule="auto"/>
        <w:ind w:left="993"/>
        <w:contextualSpacing/>
        <w:jc w:val="both"/>
        <w:rPr>
          <w:rFonts w:ascii="Times New Roman" w:eastAsia="Times New Roman" w:hAnsi="Times New Roman" w:cs="Times New Roman"/>
          <w:bCs/>
        </w:rPr>
      </w:pPr>
      <w:r w:rsidRPr="009C4096">
        <w:rPr>
          <w:rFonts w:ascii="Times New Roman" w:eastAsia="Times New Roman" w:hAnsi="Times New Roman" w:cs="Times New Roman"/>
          <w:bCs/>
        </w:rPr>
        <w:t>Knows the usage circumstances of the structural parts of armored vehicles.</w:t>
      </w:r>
    </w:p>
    <w:p w:rsidR="009C4096" w:rsidRPr="009C4096" w:rsidRDefault="009C4096" w:rsidP="00980876">
      <w:pPr>
        <w:widowControl w:val="0"/>
        <w:numPr>
          <w:ilvl w:val="0"/>
          <w:numId w:val="672"/>
        </w:numPr>
        <w:spacing w:after="0" w:line="240" w:lineRule="auto"/>
        <w:ind w:left="993"/>
        <w:contextualSpacing/>
        <w:jc w:val="both"/>
        <w:rPr>
          <w:rFonts w:ascii="Times New Roman" w:eastAsia="Times New Roman" w:hAnsi="Times New Roman" w:cs="Times New Roman"/>
          <w:bCs/>
        </w:rPr>
      </w:pPr>
      <w:r w:rsidRPr="009C4096">
        <w:rPr>
          <w:rFonts w:ascii="Times New Roman" w:eastAsia="Times New Roman" w:hAnsi="Times New Roman" w:cs="Times New Roman"/>
          <w:bCs/>
        </w:rPr>
        <w:t>Knows the latest solutions regarding armored vehicles.</w:t>
      </w:r>
    </w:p>
    <w:p w:rsidR="009C4096" w:rsidRPr="009C4096" w:rsidRDefault="009C4096" w:rsidP="00980876">
      <w:pPr>
        <w:widowControl w:val="0"/>
        <w:numPr>
          <w:ilvl w:val="0"/>
          <w:numId w:val="672"/>
        </w:numPr>
        <w:spacing w:after="0" w:line="240" w:lineRule="auto"/>
        <w:ind w:left="993"/>
        <w:contextualSpacing/>
        <w:jc w:val="both"/>
        <w:rPr>
          <w:rFonts w:ascii="Times New Roman" w:eastAsia="Times New Roman" w:hAnsi="Times New Roman" w:cs="Times New Roman"/>
          <w:bCs/>
        </w:rPr>
      </w:pPr>
      <w:r w:rsidRPr="009C4096">
        <w:rPr>
          <w:rFonts w:ascii="Times New Roman" w:eastAsia="Times New Roman" w:hAnsi="Times New Roman" w:cs="Times New Roman"/>
          <w:bCs/>
        </w:rPr>
        <w:t>Knows how to maintain and control the main parts and units of armored vehicles, as well as the ways to identify and repair the defects of certain parts.</w:t>
      </w:r>
    </w:p>
    <w:p w:rsidR="009C4096" w:rsidRPr="009C4096" w:rsidRDefault="009C4096" w:rsidP="00980876">
      <w:pPr>
        <w:widowControl w:val="0"/>
        <w:numPr>
          <w:ilvl w:val="0"/>
          <w:numId w:val="672"/>
        </w:numPr>
        <w:spacing w:after="0" w:line="240" w:lineRule="auto"/>
        <w:ind w:left="993"/>
        <w:contextualSpacing/>
        <w:jc w:val="both"/>
        <w:rPr>
          <w:rFonts w:ascii="Times New Roman" w:eastAsia="Times New Roman" w:hAnsi="Times New Roman" w:cs="Times New Roman"/>
          <w:bCs/>
        </w:rPr>
      </w:pPr>
      <w:r w:rsidRPr="009C4096">
        <w:rPr>
          <w:rFonts w:ascii="Times New Roman" w:eastAsia="Times New Roman" w:hAnsi="Times New Roman" w:cs="Times New Roman"/>
          <w:bCs/>
        </w:rPr>
        <w:t>Knows the work safety regulations required for fulfilling his/her professional tasks.</w:t>
      </w:r>
    </w:p>
    <w:p w:rsidR="009C4096" w:rsidRPr="009C4096" w:rsidRDefault="009C4096" w:rsidP="00980876">
      <w:pPr>
        <w:widowControl w:val="0"/>
        <w:numPr>
          <w:ilvl w:val="0"/>
          <w:numId w:val="672"/>
        </w:numPr>
        <w:spacing w:after="0" w:line="240" w:lineRule="auto"/>
        <w:ind w:left="993"/>
        <w:contextualSpacing/>
        <w:jc w:val="both"/>
        <w:rPr>
          <w:rFonts w:ascii="Times New Roman" w:eastAsia="Times New Roman" w:hAnsi="Times New Roman" w:cs="Times New Roman"/>
          <w:lang w:val="en-GB"/>
        </w:rPr>
      </w:pPr>
      <w:r w:rsidRPr="009C4096">
        <w:rPr>
          <w:rFonts w:ascii="Times New Roman" w:eastAsia="Times New Roman" w:hAnsi="Times New Roman" w:cs="Times New Roman"/>
          <w:bCs/>
        </w:rPr>
        <w:t>Possesses knowledge of adequate depth and spectrum regarding armored vehicle types.</w:t>
      </w:r>
    </w:p>
    <w:p w:rsidR="009C4096" w:rsidRPr="009C4096" w:rsidRDefault="009C4096" w:rsidP="009C4096">
      <w:pPr>
        <w:widowControl w:val="0"/>
        <w:spacing w:before="120" w:after="120" w:line="240" w:lineRule="auto"/>
        <w:ind w:left="426"/>
        <w:jc w:val="both"/>
        <w:rPr>
          <w:rFonts w:ascii="Times New Roman" w:eastAsia="Times New Roman" w:hAnsi="Times New Roman" w:cs="Times New Roman"/>
          <w:lang w:val="en-GB"/>
        </w:rPr>
      </w:pPr>
      <w:r w:rsidRPr="009C4096">
        <w:rPr>
          <w:rFonts w:ascii="Times New Roman" w:eastAsia="Times New Roman" w:hAnsi="Times New Roman" w:cs="Times New Roman"/>
          <w:b/>
          <w:lang w:val="en-GB"/>
        </w:rPr>
        <w:t>Capabilities</w:t>
      </w:r>
      <w:r w:rsidRPr="009C4096">
        <w:rPr>
          <w:rFonts w:ascii="Times New Roman" w:eastAsia="Times New Roman" w:hAnsi="Times New Roman" w:cs="Times New Roman"/>
          <w:lang w:val="en-GB"/>
        </w:rPr>
        <w:t>:</w:t>
      </w:r>
    </w:p>
    <w:p w:rsidR="009C4096" w:rsidRPr="009C4096" w:rsidRDefault="009C4096" w:rsidP="00980876">
      <w:pPr>
        <w:widowControl w:val="0"/>
        <w:numPr>
          <w:ilvl w:val="0"/>
          <w:numId w:val="673"/>
        </w:numPr>
        <w:spacing w:after="0" w:line="240" w:lineRule="auto"/>
        <w:ind w:left="993"/>
        <w:contextualSpacing/>
        <w:jc w:val="both"/>
        <w:rPr>
          <w:rFonts w:ascii="Times New Roman" w:eastAsia="Times New Roman" w:hAnsi="Times New Roman" w:cs="Times New Roman"/>
          <w:bCs/>
        </w:rPr>
      </w:pPr>
      <w:r w:rsidRPr="009C4096">
        <w:rPr>
          <w:rFonts w:ascii="Times New Roman" w:eastAsia="Times New Roman" w:hAnsi="Times New Roman" w:cs="Times New Roman"/>
          <w:bCs/>
        </w:rPr>
        <w:t>Is capable of organizing and efficiently utilizing the usage of the equipment and technical appliances applied in his/her respective specialty field.</w:t>
      </w:r>
    </w:p>
    <w:p w:rsidR="009C4096" w:rsidRPr="009C4096" w:rsidRDefault="009C4096" w:rsidP="00980876">
      <w:pPr>
        <w:widowControl w:val="0"/>
        <w:numPr>
          <w:ilvl w:val="0"/>
          <w:numId w:val="673"/>
        </w:numPr>
        <w:spacing w:after="0" w:line="240" w:lineRule="auto"/>
        <w:ind w:left="993"/>
        <w:contextualSpacing/>
        <w:jc w:val="both"/>
        <w:rPr>
          <w:rFonts w:ascii="Times New Roman" w:eastAsia="Times New Roman" w:hAnsi="Times New Roman" w:cs="Times New Roman"/>
          <w:bCs/>
        </w:rPr>
      </w:pPr>
      <w:r w:rsidRPr="009C4096">
        <w:rPr>
          <w:rFonts w:ascii="Times New Roman" w:eastAsia="Times New Roman" w:hAnsi="Times New Roman" w:cs="Times New Roman"/>
          <w:bCs/>
        </w:rPr>
        <w:t xml:space="preserve">Is capable of professionally executing as well as planning and controlling the execution of </w:t>
      </w:r>
      <w:r w:rsidRPr="009C4096">
        <w:rPr>
          <w:rFonts w:ascii="Times New Roman" w:eastAsia="Times New Roman" w:hAnsi="Times New Roman" w:cs="Times New Roman"/>
          <w:bCs/>
        </w:rPr>
        <w:lastRenderedPageBreak/>
        <w:t>the technical maintenance of armored vehicles based on the technological commands.</w:t>
      </w:r>
    </w:p>
    <w:p w:rsidR="009C4096" w:rsidRPr="009C4096" w:rsidRDefault="009C4096" w:rsidP="00980876">
      <w:pPr>
        <w:widowControl w:val="0"/>
        <w:numPr>
          <w:ilvl w:val="0"/>
          <w:numId w:val="673"/>
        </w:numPr>
        <w:spacing w:after="0" w:line="240" w:lineRule="auto"/>
        <w:ind w:left="993"/>
        <w:contextualSpacing/>
        <w:jc w:val="both"/>
        <w:rPr>
          <w:rFonts w:ascii="Times New Roman" w:eastAsia="Times New Roman" w:hAnsi="Times New Roman" w:cs="Times New Roman"/>
          <w:bCs/>
        </w:rPr>
      </w:pPr>
      <w:r w:rsidRPr="009C4096">
        <w:rPr>
          <w:rFonts w:ascii="Times New Roman" w:eastAsia="Times New Roman" w:hAnsi="Times New Roman" w:cs="Times New Roman"/>
          <w:bCs/>
        </w:rPr>
        <w:t>Is capable of organizing, executing and controlling the repairs required at a subunit level.</w:t>
      </w:r>
    </w:p>
    <w:p w:rsidR="009C4096" w:rsidRPr="009C4096" w:rsidRDefault="009C4096" w:rsidP="00980876">
      <w:pPr>
        <w:widowControl w:val="0"/>
        <w:numPr>
          <w:ilvl w:val="0"/>
          <w:numId w:val="673"/>
        </w:numPr>
        <w:spacing w:after="0" w:line="240" w:lineRule="auto"/>
        <w:ind w:left="993"/>
        <w:contextualSpacing/>
        <w:jc w:val="both"/>
        <w:rPr>
          <w:rFonts w:ascii="Times New Roman" w:eastAsia="Times New Roman" w:hAnsi="Times New Roman" w:cs="Times New Roman"/>
          <w:bCs/>
        </w:rPr>
      </w:pPr>
      <w:r w:rsidRPr="009C4096">
        <w:rPr>
          <w:rFonts w:ascii="Times New Roman" w:eastAsia="Times New Roman" w:hAnsi="Times New Roman" w:cs="Times New Roman"/>
          <w:bCs/>
        </w:rPr>
        <w:t>Is capable of planning, organizing and managing the maintenance and supply of the armored vehicles.</w:t>
      </w:r>
    </w:p>
    <w:p w:rsidR="009C4096" w:rsidRPr="009C4096" w:rsidRDefault="009C4096" w:rsidP="00980876">
      <w:pPr>
        <w:widowControl w:val="0"/>
        <w:numPr>
          <w:ilvl w:val="0"/>
          <w:numId w:val="673"/>
        </w:numPr>
        <w:spacing w:after="0" w:line="240" w:lineRule="auto"/>
        <w:ind w:left="993"/>
        <w:contextualSpacing/>
        <w:jc w:val="both"/>
        <w:rPr>
          <w:rFonts w:ascii="Times New Roman" w:eastAsia="Times New Roman" w:hAnsi="Times New Roman" w:cs="Times New Roman"/>
          <w:bCs/>
        </w:rPr>
      </w:pPr>
      <w:r w:rsidRPr="009C4096">
        <w:rPr>
          <w:rFonts w:ascii="Times New Roman" w:eastAsia="Times New Roman" w:hAnsi="Times New Roman" w:cs="Times New Roman"/>
          <w:bCs/>
        </w:rPr>
        <w:t>Is capable of preparing the conditions of a safe working environment and making others adhere to the rules of work safety.</w:t>
      </w:r>
    </w:p>
    <w:p w:rsidR="009C4096" w:rsidRPr="009C4096" w:rsidRDefault="009C4096" w:rsidP="00980876">
      <w:pPr>
        <w:widowControl w:val="0"/>
        <w:numPr>
          <w:ilvl w:val="0"/>
          <w:numId w:val="673"/>
        </w:numPr>
        <w:spacing w:after="0" w:line="240" w:lineRule="auto"/>
        <w:ind w:left="993"/>
        <w:contextualSpacing/>
        <w:jc w:val="both"/>
        <w:rPr>
          <w:rFonts w:ascii="Times New Roman" w:eastAsia="Times New Roman" w:hAnsi="Times New Roman" w:cs="Times New Roman"/>
          <w:bCs/>
        </w:rPr>
      </w:pPr>
      <w:r w:rsidRPr="009C4096">
        <w:rPr>
          <w:rFonts w:ascii="Times New Roman" w:eastAsia="Times New Roman" w:hAnsi="Times New Roman" w:cs="Times New Roman"/>
          <w:bCs/>
        </w:rPr>
        <w:t>Is capable of planning, organizing, managing and controlling the work of the maintenance sub-unit under his/her supervision.</w:t>
      </w:r>
    </w:p>
    <w:p w:rsidR="009C4096" w:rsidRPr="009C4096" w:rsidRDefault="009C4096" w:rsidP="00980876">
      <w:pPr>
        <w:widowControl w:val="0"/>
        <w:numPr>
          <w:ilvl w:val="0"/>
          <w:numId w:val="673"/>
        </w:numPr>
        <w:spacing w:after="120" w:line="240" w:lineRule="auto"/>
        <w:ind w:left="992" w:hanging="357"/>
        <w:contextualSpacing/>
        <w:jc w:val="both"/>
        <w:rPr>
          <w:rFonts w:ascii="Times New Roman" w:eastAsia="Times New Roman" w:hAnsi="Times New Roman" w:cs="Times New Roman"/>
          <w:lang w:val="en-GB"/>
        </w:rPr>
      </w:pPr>
      <w:r w:rsidRPr="009C4096">
        <w:rPr>
          <w:rFonts w:ascii="Times New Roman" w:eastAsia="Times New Roman" w:hAnsi="Times New Roman" w:cs="Times New Roman"/>
          <w:bCs/>
        </w:rPr>
        <w:t>Is capable of acqiring the understaning of new engineering information arising in his/her field of specialty using the already gained knowldge.</w:t>
      </w:r>
    </w:p>
    <w:p w:rsidR="009C4096" w:rsidRPr="009C4096" w:rsidRDefault="009C4096" w:rsidP="009C40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425"/>
        <w:jc w:val="both"/>
        <w:rPr>
          <w:rFonts w:ascii="Times New Roman" w:eastAsia="Times New Roman" w:hAnsi="Times New Roman" w:cs="Times New Roman"/>
          <w:lang w:val="en-GB"/>
        </w:rPr>
      </w:pPr>
      <w:r w:rsidRPr="009C4096">
        <w:rPr>
          <w:rFonts w:ascii="Times New Roman" w:eastAsia="Times New Roman" w:hAnsi="Times New Roman" w:cs="Times New Roman"/>
          <w:b/>
          <w:lang w:val="en-GB"/>
        </w:rPr>
        <w:t>Attitude:</w:t>
      </w:r>
    </w:p>
    <w:p w:rsidR="009C4096" w:rsidRPr="009C4096" w:rsidRDefault="009C4096" w:rsidP="00980876">
      <w:pPr>
        <w:numPr>
          <w:ilvl w:val="0"/>
          <w:numId w:val="6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contextualSpacing/>
        <w:jc w:val="both"/>
        <w:rPr>
          <w:rFonts w:ascii="Times New Roman" w:eastAsia="Times New Roman" w:hAnsi="Times New Roman" w:cs="Times New Roman"/>
        </w:rPr>
      </w:pPr>
      <w:r w:rsidRPr="009C4096">
        <w:rPr>
          <w:rFonts w:ascii="Times New Roman" w:eastAsia="Times New Roman" w:hAnsi="Times New Roman" w:cs="Times New Roman"/>
        </w:rPr>
        <w:t>He/she is open to widen his/her knowledge regarding armored vehicles and has a constant need for self-education.</w:t>
      </w:r>
    </w:p>
    <w:p w:rsidR="009C4096" w:rsidRPr="009C4096" w:rsidRDefault="009C4096" w:rsidP="00980876">
      <w:pPr>
        <w:numPr>
          <w:ilvl w:val="0"/>
          <w:numId w:val="6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contextualSpacing/>
        <w:jc w:val="both"/>
        <w:rPr>
          <w:rFonts w:ascii="Times New Roman" w:eastAsia="Times New Roman" w:hAnsi="Times New Roman" w:cs="Times New Roman"/>
        </w:rPr>
      </w:pPr>
      <w:r w:rsidRPr="009C4096">
        <w:rPr>
          <w:rFonts w:ascii="Times New Roman" w:eastAsia="Times New Roman" w:hAnsi="Times New Roman" w:cs="Times New Roman"/>
        </w:rPr>
        <w:t>He/she aims to adhere to the respective rules and make others follow them as well.</w:t>
      </w:r>
    </w:p>
    <w:p w:rsidR="009C4096" w:rsidRPr="009C4096" w:rsidRDefault="009C4096" w:rsidP="00980876">
      <w:pPr>
        <w:numPr>
          <w:ilvl w:val="0"/>
          <w:numId w:val="6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contextualSpacing/>
        <w:jc w:val="both"/>
        <w:rPr>
          <w:rFonts w:ascii="Times New Roman" w:eastAsia="Times New Roman" w:hAnsi="Times New Roman" w:cs="Times New Roman"/>
        </w:rPr>
      </w:pPr>
      <w:r w:rsidRPr="009C4096">
        <w:rPr>
          <w:rFonts w:ascii="Times New Roman" w:eastAsia="Times New Roman" w:hAnsi="Times New Roman" w:cs="Times New Roman"/>
        </w:rPr>
        <w:t>His/her work and relationships can be described by loyalty and reliability.</w:t>
      </w:r>
    </w:p>
    <w:p w:rsidR="009C4096" w:rsidRPr="009C4096" w:rsidRDefault="009C4096" w:rsidP="00980876">
      <w:pPr>
        <w:numPr>
          <w:ilvl w:val="0"/>
          <w:numId w:val="6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contextualSpacing/>
        <w:jc w:val="both"/>
        <w:rPr>
          <w:rFonts w:ascii="Times New Roman" w:eastAsia="Times New Roman" w:hAnsi="Times New Roman" w:cs="Times New Roman"/>
          <w:lang w:val="en-GB"/>
        </w:rPr>
      </w:pPr>
      <w:r w:rsidRPr="009C4096">
        <w:rPr>
          <w:rFonts w:ascii="Times New Roman" w:eastAsia="Times New Roman" w:hAnsi="Times New Roman" w:cs="Times New Roman"/>
        </w:rPr>
        <w:t>He/she is open towards the new accomplishments of military technology and aims to gain knowledge of these.</w:t>
      </w:r>
    </w:p>
    <w:p w:rsidR="009C4096" w:rsidRPr="009C4096" w:rsidRDefault="009C4096" w:rsidP="009C4096">
      <w:pPr>
        <w:widowControl w:val="0"/>
        <w:spacing w:before="120" w:after="120" w:line="240" w:lineRule="auto"/>
        <w:ind w:left="426"/>
        <w:jc w:val="both"/>
        <w:rPr>
          <w:rFonts w:ascii="Times New Roman" w:eastAsia="Times New Roman" w:hAnsi="Times New Roman" w:cs="Times New Roman"/>
          <w:b/>
          <w:lang w:val="en-GB"/>
        </w:rPr>
      </w:pPr>
      <w:r w:rsidRPr="009C4096">
        <w:rPr>
          <w:rFonts w:ascii="Times New Roman" w:eastAsia="Times New Roman" w:hAnsi="Times New Roman" w:cs="Times New Roman"/>
          <w:b/>
          <w:lang w:val="en-GB"/>
        </w:rPr>
        <w:t>Autonomy and responsibility:</w:t>
      </w:r>
    </w:p>
    <w:p w:rsidR="009C4096" w:rsidRPr="009C4096" w:rsidRDefault="009C4096" w:rsidP="00980876">
      <w:pPr>
        <w:widowControl w:val="0"/>
        <w:numPr>
          <w:ilvl w:val="0"/>
          <w:numId w:val="675"/>
        </w:numPr>
        <w:spacing w:after="0" w:line="240" w:lineRule="auto"/>
        <w:ind w:left="993"/>
        <w:contextualSpacing/>
        <w:jc w:val="both"/>
        <w:rPr>
          <w:rFonts w:ascii="Times New Roman" w:eastAsia="Times New Roman" w:hAnsi="Times New Roman" w:cs="Times New Roman"/>
        </w:rPr>
      </w:pPr>
      <w:r w:rsidRPr="009C4096">
        <w:rPr>
          <w:rFonts w:ascii="Times New Roman" w:eastAsia="Times New Roman" w:hAnsi="Times New Roman" w:cs="Times New Roman"/>
        </w:rPr>
        <w:t>Is capable of organizing and determining the tasks of his/her subordinates as well as controlling their work based on professional aspects.</w:t>
      </w:r>
    </w:p>
    <w:p w:rsidR="009C4096" w:rsidRPr="009C4096" w:rsidRDefault="009C4096" w:rsidP="00980876">
      <w:pPr>
        <w:widowControl w:val="0"/>
        <w:numPr>
          <w:ilvl w:val="0"/>
          <w:numId w:val="675"/>
        </w:numPr>
        <w:spacing w:after="0" w:line="240" w:lineRule="auto"/>
        <w:ind w:left="993"/>
        <w:contextualSpacing/>
        <w:jc w:val="both"/>
        <w:rPr>
          <w:rFonts w:ascii="Times New Roman" w:eastAsia="Times New Roman" w:hAnsi="Times New Roman" w:cs="Times New Roman"/>
        </w:rPr>
      </w:pPr>
      <w:r w:rsidRPr="009C4096">
        <w:rPr>
          <w:rFonts w:ascii="Times New Roman" w:eastAsia="Times New Roman" w:hAnsi="Times New Roman" w:cs="Times New Roman"/>
        </w:rPr>
        <w:t>After doing proper analysation, he/she is capable of making the best decisions and taking professional responsibility during the technical maintenance and repairing of the armored vehicles.</w:t>
      </w:r>
    </w:p>
    <w:p w:rsidR="009C4096" w:rsidRPr="009C4096" w:rsidRDefault="009C4096" w:rsidP="00980876">
      <w:pPr>
        <w:widowControl w:val="0"/>
        <w:numPr>
          <w:ilvl w:val="0"/>
          <w:numId w:val="675"/>
        </w:numPr>
        <w:spacing w:after="0" w:line="240" w:lineRule="auto"/>
        <w:ind w:left="993"/>
        <w:contextualSpacing/>
        <w:jc w:val="both"/>
        <w:rPr>
          <w:rFonts w:ascii="Times New Roman" w:eastAsia="Times New Roman" w:hAnsi="Times New Roman" w:cs="Times New Roman"/>
        </w:rPr>
      </w:pPr>
      <w:r w:rsidRPr="009C4096">
        <w:rPr>
          <w:rFonts w:ascii="Times New Roman" w:eastAsia="Times New Roman" w:hAnsi="Times New Roman" w:cs="Times New Roman"/>
        </w:rPr>
        <w:t>He/she is cooperative and responsible towards the professionals of his/her field.</w:t>
      </w:r>
    </w:p>
    <w:p w:rsidR="009C4096" w:rsidRPr="009C4096" w:rsidRDefault="009C4096" w:rsidP="00980876">
      <w:pPr>
        <w:widowControl w:val="0"/>
        <w:numPr>
          <w:ilvl w:val="0"/>
          <w:numId w:val="675"/>
        </w:numPr>
        <w:spacing w:after="0" w:line="240" w:lineRule="auto"/>
        <w:ind w:left="993"/>
        <w:contextualSpacing/>
        <w:jc w:val="both"/>
        <w:rPr>
          <w:rFonts w:ascii="Times New Roman" w:eastAsia="Times New Roman" w:hAnsi="Times New Roman" w:cs="Times New Roman"/>
          <w:lang w:val="en-GB"/>
        </w:rPr>
      </w:pPr>
      <w:r w:rsidRPr="009C4096">
        <w:rPr>
          <w:rFonts w:ascii="Times New Roman" w:eastAsia="Times New Roman" w:hAnsi="Times New Roman" w:cs="Times New Roman"/>
        </w:rPr>
        <w:t>Is capable of thinking in a system approach within his/her own field.</w:t>
      </w:r>
    </w:p>
    <w:p w:rsidR="009C4096" w:rsidRPr="009C4096" w:rsidRDefault="009C4096" w:rsidP="00980876">
      <w:pPr>
        <w:widowControl w:val="0"/>
        <w:numPr>
          <w:ilvl w:val="0"/>
          <w:numId w:val="681"/>
        </w:numPr>
        <w:spacing w:before="120" w:after="120" w:line="240" w:lineRule="auto"/>
        <w:ind w:left="426" w:hanging="142"/>
        <w:jc w:val="both"/>
        <w:rPr>
          <w:rFonts w:ascii="Times New Roman" w:eastAsia="Times New Roman" w:hAnsi="Times New Roman" w:cs="Times New Roman"/>
          <w:bCs/>
        </w:rPr>
      </w:pPr>
      <w:r w:rsidRPr="009C4096">
        <w:rPr>
          <w:rFonts w:ascii="Times New Roman" w:eastAsia="Times New Roman" w:hAnsi="Times New Roman" w:cs="Times New Roman"/>
          <w:b/>
          <w:bCs/>
        </w:rPr>
        <w:t xml:space="preserve">Előtanulmányi követelmények: </w:t>
      </w:r>
      <w:r w:rsidRPr="009C4096">
        <w:rPr>
          <w:rFonts w:ascii="Times New Roman" w:eastAsia="Times New Roman" w:hAnsi="Times New Roman" w:cs="Times New Roman"/>
          <w:bCs/>
          <w:lang w:eastAsia="hu-HU"/>
        </w:rPr>
        <w:t>-</w:t>
      </w:r>
    </w:p>
    <w:p w:rsidR="009C4096" w:rsidRPr="009C4096" w:rsidRDefault="009C4096" w:rsidP="00980876">
      <w:pPr>
        <w:widowControl w:val="0"/>
        <w:numPr>
          <w:ilvl w:val="0"/>
          <w:numId w:val="681"/>
        </w:numPr>
        <w:spacing w:before="120" w:after="120" w:line="240" w:lineRule="auto"/>
        <w:ind w:left="426" w:hanging="142"/>
        <w:jc w:val="both"/>
        <w:rPr>
          <w:rFonts w:ascii="Times New Roman" w:eastAsia="Times New Roman" w:hAnsi="Times New Roman" w:cs="Times New Roman"/>
          <w:b/>
          <w:bCs/>
        </w:rPr>
      </w:pPr>
      <w:r w:rsidRPr="009C4096">
        <w:rPr>
          <w:rFonts w:ascii="Times New Roman" w:eastAsia="Times New Roman" w:hAnsi="Times New Roman" w:cs="Times New Roman"/>
          <w:b/>
          <w:bCs/>
        </w:rPr>
        <w:t>A tantárgy tananyagának leírása, tematika. Description of the subject, curriculum (magyarul, angolul - English):</w:t>
      </w:r>
    </w:p>
    <w:p w:rsidR="009C4096" w:rsidRPr="009C4096" w:rsidRDefault="009C4096" w:rsidP="00980876">
      <w:pPr>
        <w:widowControl w:val="0"/>
        <w:numPr>
          <w:ilvl w:val="1"/>
          <w:numId w:val="681"/>
        </w:numPr>
        <w:tabs>
          <w:tab w:val="clear" w:pos="3977"/>
          <w:tab w:val="num" w:pos="2069"/>
        </w:tabs>
        <w:spacing w:before="120" w:after="120" w:line="240" w:lineRule="auto"/>
        <w:ind w:left="1134" w:hanging="708"/>
        <w:jc w:val="both"/>
        <w:rPr>
          <w:rFonts w:ascii="Times New Roman" w:eastAsia="Times New Roman" w:hAnsi="Times New Roman" w:cs="Times New Roman"/>
          <w:b/>
        </w:rPr>
      </w:pPr>
      <w:r w:rsidRPr="009C4096">
        <w:rPr>
          <w:rFonts w:ascii="Times New Roman" w:eastAsia="Times New Roman" w:hAnsi="Times New Roman" w:cs="Times New Roman"/>
          <w:bCs/>
          <w:lang w:eastAsia="hu-HU"/>
        </w:rPr>
        <w:t xml:space="preserve">Gép- és </w:t>
      </w:r>
      <w:r w:rsidRPr="009C4096">
        <w:rPr>
          <w:rFonts w:ascii="Times New Roman" w:eastAsia="Times New Roman" w:hAnsi="Times New Roman" w:cs="Times New Roman"/>
          <w:bCs/>
        </w:rPr>
        <w:t>harcjárművek</w:t>
      </w:r>
      <w:r w:rsidRPr="009C4096">
        <w:rPr>
          <w:rFonts w:ascii="Times New Roman" w:eastAsia="Times New Roman" w:hAnsi="Times New Roman" w:cs="Times New Roman"/>
          <w:bCs/>
          <w:lang w:eastAsia="hu-HU"/>
        </w:rPr>
        <w:t xml:space="preserve"> kormányzása.</w:t>
      </w:r>
      <w:r w:rsidRPr="009C4096">
        <w:rPr>
          <w:rFonts w:ascii="Times New Roman" w:eastAsia="Times New Roman" w:hAnsi="Times New Roman" w:cs="Times New Roman"/>
        </w:rPr>
        <w:t xml:space="preserve"> (</w:t>
      </w:r>
      <w:r w:rsidRPr="009C4096">
        <w:rPr>
          <w:rFonts w:ascii="Times New Roman" w:eastAsia="Times New Roman" w:hAnsi="Times New Roman" w:cs="Times New Roman"/>
          <w:bCs/>
          <w:i/>
        </w:rPr>
        <w:t>Steering of vehicles and combat vehicles</w:t>
      </w:r>
      <w:r w:rsidRPr="009C4096">
        <w:rPr>
          <w:rFonts w:ascii="Times New Roman" w:eastAsia="Times New Roman" w:hAnsi="Times New Roman" w:cs="Times New Roman"/>
          <w:bCs/>
        </w:rPr>
        <w:t>.</w:t>
      </w:r>
      <w:r w:rsidRPr="009C4096">
        <w:rPr>
          <w:rFonts w:ascii="Times New Roman" w:eastAsia="Times New Roman" w:hAnsi="Times New Roman" w:cs="Times New Roman"/>
        </w:rPr>
        <w:t>)</w:t>
      </w:r>
    </w:p>
    <w:p w:rsidR="009C4096" w:rsidRPr="009C4096" w:rsidRDefault="009C4096" w:rsidP="00980876">
      <w:pPr>
        <w:widowControl w:val="0"/>
        <w:numPr>
          <w:ilvl w:val="1"/>
          <w:numId w:val="681"/>
        </w:numPr>
        <w:tabs>
          <w:tab w:val="clear" w:pos="3977"/>
          <w:tab w:val="num" w:pos="2069"/>
        </w:tabs>
        <w:spacing w:before="120" w:after="120" w:line="240" w:lineRule="auto"/>
        <w:ind w:left="1134" w:hanging="708"/>
        <w:jc w:val="both"/>
        <w:rPr>
          <w:rFonts w:ascii="Times New Roman" w:eastAsia="Times New Roman" w:hAnsi="Times New Roman" w:cs="Times New Roman"/>
          <w:b/>
        </w:rPr>
      </w:pPr>
      <w:r w:rsidRPr="009C4096">
        <w:rPr>
          <w:rFonts w:ascii="Times New Roman" w:eastAsia="Times New Roman" w:hAnsi="Times New Roman" w:cs="Times New Roman"/>
          <w:bCs/>
        </w:rPr>
        <w:t>Kanyarodó</w:t>
      </w:r>
      <w:r w:rsidRPr="009C4096">
        <w:rPr>
          <w:rFonts w:ascii="Times New Roman" w:eastAsia="Times New Roman" w:hAnsi="Times New Roman" w:cs="Times New Roman"/>
          <w:bCs/>
          <w:lang w:eastAsia="hu-HU"/>
        </w:rPr>
        <w:t xml:space="preserve"> járműre ható erők, stabilitási viszonyok, kicsúszás, felborulás. (</w:t>
      </w:r>
      <w:r w:rsidRPr="009C4096">
        <w:rPr>
          <w:rFonts w:ascii="Times New Roman" w:eastAsia="Times New Roman" w:hAnsi="Times New Roman" w:cs="Times New Roman"/>
          <w:bCs/>
          <w:i/>
          <w:lang w:eastAsia="hu-HU"/>
        </w:rPr>
        <w:t>Forces, stability, slipping, overturning affecting the vehicle during the turning movement.</w:t>
      </w:r>
      <w:r w:rsidRPr="009C4096">
        <w:rPr>
          <w:rFonts w:ascii="Times New Roman" w:eastAsia="Times New Roman" w:hAnsi="Times New Roman" w:cs="Times New Roman"/>
          <w:bCs/>
          <w:lang w:eastAsia="hu-HU"/>
        </w:rPr>
        <w:t>)</w:t>
      </w:r>
    </w:p>
    <w:p w:rsidR="009C4096" w:rsidRPr="009C4096" w:rsidRDefault="009C4096" w:rsidP="00980876">
      <w:pPr>
        <w:widowControl w:val="0"/>
        <w:numPr>
          <w:ilvl w:val="1"/>
          <w:numId w:val="681"/>
        </w:numPr>
        <w:tabs>
          <w:tab w:val="clear" w:pos="3977"/>
          <w:tab w:val="num" w:pos="2069"/>
        </w:tabs>
        <w:spacing w:before="120" w:after="120" w:line="240" w:lineRule="auto"/>
        <w:ind w:left="1134" w:hanging="708"/>
        <w:jc w:val="both"/>
        <w:rPr>
          <w:rFonts w:ascii="Times New Roman" w:eastAsia="Times New Roman" w:hAnsi="Times New Roman" w:cs="Times New Roman"/>
        </w:rPr>
      </w:pPr>
      <w:r w:rsidRPr="009C4096">
        <w:rPr>
          <w:rFonts w:ascii="Times New Roman" w:eastAsia="Times New Roman" w:hAnsi="Times New Roman" w:cs="Times New Roman"/>
          <w:bCs/>
        </w:rPr>
        <w:t>Hatósági</w:t>
      </w:r>
      <w:r w:rsidRPr="009C4096">
        <w:rPr>
          <w:rFonts w:ascii="Times New Roman" w:eastAsia="Times New Roman" w:hAnsi="Times New Roman" w:cs="Times New Roman"/>
          <w:bCs/>
          <w:lang w:eastAsia="hu-HU"/>
        </w:rPr>
        <w:t xml:space="preserve"> előírások.</w:t>
      </w:r>
      <w:r w:rsidRPr="009C4096">
        <w:rPr>
          <w:rFonts w:ascii="Times New Roman" w:eastAsia="Times New Roman" w:hAnsi="Times New Roman" w:cs="Times New Roman"/>
        </w:rPr>
        <w:t xml:space="preserve"> (</w:t>
      </w:r>
      <w:r w:rsidRPr="009C4096">
        <w:rPr>
          <w:rFonts w:ascii="Times New Roman" w:eastAsia="Times New Roman" w:hAnsi="Times New Roman" w:cs="Times New Roman"/>
          <w:bCs/>
          <w:i/>
        </w:rPr>
        <w:t>Authority regulations</w:t>
      </w:r>
      <w:r w:rsidRPr="009C4096">
        <w:rPr>
          <w:rFonts w:ascii="Times New Roman" w:eastAsia="Times New Roman" w:hAnsi="Times New Roman" w:cs="Times New Roman"/>
          <w:bCs/>
        </w:rPr>
        <w:t>.</w:t>
      </w:r>
      <w:r w:rsidRPr="009C4096">
        <w:rPr>
          <w:rFonts w:ascii="Times New Roman" w:eastAsia="Times New Roman" w:hAnsi="Times New Roman" w:cs="Times New Roman"/>
        </w:rPr>
        <w:t>)</w:t>
      </w:r>
    </w:p>
    <w:p w:rsidR="009C4096" w:rsidRPr="009C4096" w:rsidRDefault="009C4096" w:rsidP="00980876">
      <w:pPr>
        <w:widowControl w:val="0"/>
        <w:numPr>
          <w:ilvl w:val="1"/>
          <w:numId w:val="681"/>
        </w:numPr>
        <w:tabs>
          <w:tab w:val="clear" w:pos="3977"/>
          <w:tab w:val="num" w:pos="2069"/>
        </w:tabs>
        <w:spacing w:before="120" w:after="120" w:line="240" w:lineRule="auto"/>
        <w:ind w:left="1134" w:hanging="708"/>
        <w:jc w:val="both"/>
        <w:rPr>
          <w:rFonts w:ascii="Times New Roman" w:eastAsia="Times New Roman" w:hAnsi="Times New Roman" w:cs="Times New Roman"/>
        </w:rPr>
      </w:pPr>
      <w:r w:rsidRPr="009C4096">
        <w:rPr>
          <w:rFonts w:ascii="Times New Roman" w:eastAsia="Times New Roman" w:hAnsi="Times New Roman" w:cs="Times New Roman"/>
          <w:bCs/>
        </w:rPr>
        <w:t>Kormányszerkezet</w:t>
      </w:r>
      <w:r w:rsidRPr="009C4096">
        <w:rPr>
          <w:rFonts w:ascii="Times New Roman" w:eastAsia="Times New Roman" w:hAnsi="Times New Roman" w:cs="Times New Roman"/>
          <w:bCs/>
          <w:lang w:eastAsia="hu-HU"/>
        </w:rPr>
        <w:t xml:space="preserve"> felépítése, működése.</w:t>
      </w:r>
      <w:r w:rsidRPr="009C4096">
        <w:rPr>
          <w:rFonts w:ascii="Times New Roman" w:eastAsia="Times New Roman" w:hAnsi="Times New Roman" w:cs="Times New Roman"/>
        </w:rPr>
        <w:t xml:space="preserve"> (</w:t>
      </w:r>
      <w:r w:rsidRPr="009C4096">
        <w:rPr>
          <w:rFonts w:ascii="Times New Roman" w:eastAsia="Times New Roman" w:hAnsi="Times New Roman" w:cs="Times New Roman"/>
          <w:bCs/>
          <w:i/>
        </w:rPr>
        <w:t>Structure and operation of a steering system</w:t>
      </w:r>
      <w:r w:rsidRPr="009C4096">
        <w:rPr>
          <w:rFonts w:ascii="Times New Roman" w:eastAsia="Times New Roman" w:hAnsi="Times New Roman" w:cs="Times New Roman"/>
          <w:bCs/>
        </w:rPr>
        <w:t>.</w:t>
      </w:r>
      <w:r w:rsidRPr="009C4096">
        <w:rPr>
          <w:rFonts w:ascii="Times New Roman" w:eastAsia="Times New Roman" w:hAnsi="Times New Roman" w:cs="Times New Roman"/>
        </w:rPr>
        <w:t>)</w:t>
      </w:r>
    </w:p>
    <w:p w:rsidR="009C4096" w:rsidRPr="009C4096" w:rsidRDefault="009C4096" w:rsidP="00980876">
      <w:pPr>
        <w:widowControl w:val="0"/>
        <w:numPr>
          <w:ilvl w:val="1"/>
          <w:numId w:val="681"/>
        </w:numPr>
        <w:tabs>
          <w:tab w:val="clear" w:pos="3977"/>
          <w:tab w:val="num" w:pos="2069"/>
        </w:tabs>
        <w:spacing w:before="120" w:after="120" w:line="240" w:lineRule="auto"/>
        <w:ind w:left="1134" w:hanging="708"/>
        <w:jc w:val="both"/>
        <w:rPr>
          <w:rFonts w:ascii="Times New Roman" w:eastAsia="Times New Roman" w:hAnsi="Times New Roman" w:cs="Times New Roman"/>
        </w:rPr>
      </w:pPr>
      <w:r w:rsidRPr="009C4096">
        <w:rPr>
          <w:rFonts w:ascii="Times New Roman" w:eastAsia="Times New Roman" w:hAnsi="Times New Roman" w:cs="Times New Roman"/>
          <w:bCs/>
        </w:rPr>
        <w:t>Kormányrudazatok</w:t>
      </w:r>
      <w:r w:rsidRPr="009C4096">
        <w:rPr>
          <w:rFonts w:ascii="Times New Roman" w:eastAsia="Times New Roman" w:hAnsi="Times New Roman" w:cs="Times New Roman"/>
          <w:bCs/>
          <w:lang w:eastAsia="hu-HU"/>
        </w:rPr>
        <w:t>, kormánytrapéz.</w:t>
      </w:r>
      <w:r w:rsidRPr="009C4096">
        <w:rPr>
          <w:rFonts w:ascii="Times New Roman" w:eastAsia="Times New Roman" w:hAnsi="Times New Roman" w:cs="Times New Roman"/>
          <w:bCs/>
        </w:rPr>
        <w:t xml:space="preserve"> (</w:t>
      </w:r>
      <w:r w:rsidRPr="009C4096">
        <w:rPr>
          <w:rFonts w:ascii="Times New Roman" w:eastAsia="Times New Roman" w:hAnsi="Times New Roman" w:cs="Times New Roman"/>
          <w:bCs/>
          <w:i/>
        </w:rPr>
        <w:t>Paralelogram steering linkage</w:t>
      </w:r>
      <w:r w:rsidRPr="009C4096">
        <w:rPr>
          <w:rFonts w:ascii="Times New Roman" w:eastAsia="Times New Roman" w:hAnsi="Times New Roman" w:cs="Times New Roman"/>
          <w:bCs/>
        </w:rPr>
        <w:t>.</w:t>
      </w:r>
      <w:r w:rsidRPr="009C4096">
        <w:rPr>
          <w:rFonts w:ascii="Times New Roman" w:eastAsia="Times New Roman" w:hAnsi="Times New Roman" w:cs="Times New Roman"/>
          <w:bCs/>
          <w:lang w:eastAsia="hu-HU"/>
        </w:rPr>
        <w:t>)</w:t>
      </w:r>
    </w:p>
    <w:p w:rsidR="009C4096" w:rsidRPr="009C4096" w:rsidRDefault="009C4096" w:rsidP="00980876">
      <w:pPr>
        <w:widowControl w:val="0"/>
        <w:numPr>
          <w:ilvl w:val="1"/>
          <w:numId w:val="681"/>
        </w:numPr>
        <w:tabs>
          <w:tab w:val="clear" w:pos="3977"/>
          <w:tab w:val="num" w:pos="2069"/>
        </w:tabs>
        <w:spacing w:before="120" w:after="120" w:line="240" w:lineRule="auto"/>
        <w:ind w:left="1134" w:hanging="708"/>
        <w:jc w:val="both"/>
        <w:rPr>
          <w:rFonts w:ascii="Times New Roman" w:eastAsia="Times New Roman" w:hAnsi="Times New Roman" w:cs="Times New Roman"/>
        </w:rPr>
      </w:pPr>
      <w:r w:rsidRPr="009C4096">
        <w:rPr>
          <w:rFonts w:ascii="Times New Roman" w:eastAsia="Times New Roman" w:hAnsi="Times New Roman" w:cs="Times New Roman"/>
          <w:bCs/>
        </w:rPr>
        <w:t>Mechanikus kormányművek, szervokormányok. (</w:t>
      </w:r>
      <w:r w:rsidRPr="009C4096">
        <w:rPr>
          <w:rFonts w:ascii="Times New Roman" w:eastAsia="Times New Roman" w:hAnsi="Times New Roman" w:cs="Times New Roman"/>
          <w:bCs/>
          <w:i/>
        </w:rPr>
        <w:t>Mechanical steering gears, power steering.</w:t>
      </w:r>
      <w:r w:rsidRPr="009C4096">
        <w:rPr>
          <w:rFonts w:ascii="Times New Roman" w:eastAsia="Times New Roman" w:hAnsi="Times New Roman" w:cs="Times New Roman"/>
          <w:bCs/>
        </w:rPr>
        <w:t>)</w:t>
      </w:r>
    </w:p>
    <w:p w:rsidR="009C4096" w:rsidRPr="009C4096" w:rsidRDefault="009C4096" w:rsidP="00980876">
      <w:pPr>
        <w:widowControl w:val="0"/>
        <w:numPr>
          <w:ilvl w:val="1"/>
          <w:numId w:val="681"/>
        </w:numPr>
        <w:tabs>
          <w:tab w:val="clear" w:pos="3977"/>
          <w:tab w:val="num" w:pos="2069"/>
        </w:tabs>
        <w:spacing w:before="120" w:after="120" w:line="240" w:lineRule="auto"/>
        <w:ind w:left="1134" w:hanging="708"/>
        <w:jc w:val="both"/>
        <w:rPr>
          <w:rFonts w:ascii="Times New Roman" w:eastAsia="Times New Roman" w:hAnsi="Times New Roman" w:cs="Times New Roman"/>
        </w:rPr>
      </w:pPr>
      <w:r w:rsidRPr="009C4096">
        <w:rPr>
          <w:rFonts w:ascii="Times New Roman" w:eastAsia="Times New Roman" w:hAnsi="Times New Roman" w:cs="Times New Roman"/>
          <w:bCs/>
        </w:rPr>
        <w:t>Lánctalpas járművek kanyarodásának elmélete, lánctalpas járművek kormánymű kialakításai, azok szerkezete és működése. (</w:t>
      </w:r>
      <w:r w:rsidRPr="009C4096">
        <w:rPr>
          <w:rFonts w:ascii="Times New Roman" w:eastAsia="Times New Roman" w:hAnsi="Times New Roman" w:cs="Times New Roman"/>
          <w:bCs/>
          <w:i/>
        </w:rPr>
        <w:t>Steering theory and steering gears of tracked vehicles</w:t>
      </w:r>
      <w:r w:rsidRPr="009C4096">
        <w:rPr>
          <w:rFonts w:ascii="Times New Roman" w:eastAsia="Times New Roman" w:hAnsi="Times New Roman" w:cs="Times New Roman"/>
          <w:bCs/>
        </w:rPr>
        <w:t>.)</w:t>
      </w:r>
    </w:p>
    <w:p w:rsidR="009C4096" w:rsidRPr="009C4096" w:rsidRDefault="009C4096" w:rsidP="00980876">
      <w:pPr>
        <w:widowControl w:val="0"/>
        <w:numPr>
          <w:ilvl w:val="1"/>
          <w:numId w:val="681"/>
        </w:numPr>
        <w:tabs>
          <w:tab w:val="clear" w:pos="3977"/>
          <w:tab w:val="num" w:pos="2069"/>
        </w:tabs>
        <w:spacing w:before="120" w:after="120" w:line="240" w:lineRule="auto"/>
        <w:ind w:left="1134" w:hanging="708"/>
        <w:jc w:val="both"/>
        <w:rPr>
          <w:rFonts w:ascii="Times New Roman" w:eastAsia="Times New Roman" w:hAnsi="Times New Roman" w:cs="Times New Roman"/>
        </w:rPr>
      </w:pPr>
      <w:r w:rsidRPr="009C4096">
        <w:rPr>
          <w:rFonts w:ascii="Times New Roman" w:eastAsia="Times New Roman" w:hAnsi="Times New Roman" w:cs="Times New Roman"/>
          <w:bCs/>
        </w:rPr>
        <w:t>Gép- és harcjárművek fékezésének elmélete, fékelőírások. (</w:t>
      </w:r>
      <w:r w:rsidRPr="009C4096">
        <w:rPr>
          <w:rFonts w:ascii="Times New Roman" w:eastAsia="Times New Roman" w:hAnsi="Times New Roman" w:cs="Times New Roman"/>
          <w:bCs/>
          <w:i/>
        </w:rPr>
        <w:t>Braking theory of vehicles and combat vehicles.</w:t>
      </w:r>
      <w:r w:rsidRPr="009C4096">
        <w:rPr>
          <w:rFonts w:ascii="Times New Roman" w:eastAsia="Times New Roman" w:hAnsi="Times New Roman" w:cs="Times New Roman"/>
          <w:bCs/>
          <w:i/>
          <w:lang w:eastAsia="hu-HU"/>
        </w:rPr>
        <w:t xml:space="preserve"> </w:t>
      </w:r>
      <w:r w:rsidRPr="009C4096">
        <w:rPr>
          <w:rFonts w:ascii="Times New Roman" w:eastAsia="Times New Roman" w:hAnsi="Times New Roman" w:cs="Times New Roman"/>
          <w:bCs/>
          <w:i/>
        </w:rPr>
        <w:t>Authority regulations of braking vehicles.</w:t>
      </w:r>
      <w:r w:rsidRPr="009C4096">
        <w:rPr>
          <w:rFonts w:ascii="Times New Roman" w:eastAsia="Times New Roman" w:hAnsi="Times New Roman" w:cs="Times New Roman"/>
          <w:bCs/>
        </w:rPr>
        <w:t>)</w:t>
      </w:r>
    </w:p>
    <w:p w:rsidR="009C4096" w:rsidRPr="009C4096" w:rsidRDefault="009C4096" w:rsidP="00980876">
      <w:pPr>
        <w:widowControl w:val="0"/>
        <w:numPr>
          <w:ilvl w:val="1"/>
          <w:numId w:val="681"/>
        </w:numPr>
        <w:tabs>
          <w:tab w:val="clear" w:pos="3977"/>
          <w:tab w:val="left" w:pos="709"/>
          <w:tab w:val="left" w:pos="993"/>
          <w:tab w:val="num" w:pos="1142"/>
          <w:tab w:val="num" w:pos="2069"/>
        </w:tabs>
        <w:spacing w:before="120" w:after="120" w:line="240" w:lineRule="auto"/>
        <w:ind w:left="1134" w:hanging="708"/>
        <w:jc w:val="both"/>
        <w:rPr>
          <w:rFonts w:ascii="Times New Roman" w:eastAsia="Times New Roman" w:hAnsi="Times New Roman" w:cs="Times New Roman"/>
        </w:rPr>
      </w:pPr>
      <w:r w:rsidRPr="009C4096">
        <w:rPr>
          <w:rFonts w:ascii="Times New Roman" w:eastAsia="Times New Roman" w:hAnsi="Times New Roman" w:cs="Times New Roman"/>
          <w:bCs/>
          <w:lang w:eastAsia="hu-HU"/>
        </w:rPr>
        <w:t>Dobfék és tárcsafék szerkezetek. (</w:t>
      </w:r>
      <w:r w:rsidRPr="009C4096">
        <w:rPr>
          <w:rFonts w:ascii="Times New Roman" w:eastAsia="Times New Roman" w:hAnsi="Times New Roman" w:cs="Times New Roman"/>
          <w:bCs/>
          <w:i/>
          <w:lang w:eastAsia="hu-HU"/>
        </w:rPr>
        <w:t>Drum and disc brakes</w:t>
      </w:r>
      <w:r w:rsidRPr="009C4096">
        <w:rPr>
          <w:rFonts w:ascii="Times New Roman" w:eastAsia="Times New Roman" w:hAnsi="Times New Roman" w:cs="Times New Roman"/>
          <w:bCs/>
          <w:lang w:eastAsia="hu-HU"/>
        </w:rPr>
        <w:t>.)</w:t>
      </w:r>
    </w:p>
    <w:p w:rsidR="009C4096" w:rsidRPr="009C4096" w:rsidRDefault="009C4096" w:rsidP="00980876">
      <w:pPr>
        <w:widowControl w:val="0"/>
        <w:numPr>
          <w:ilvl w:val="1"/>
          <w:numId w:val="681"/>
        </w:numPr>
        <w:tabs>
          <w:tab w:val="clear" w:pos="3977"/>
          <w:tab w:val="left" w:pos="709"/>
          <w:tab w:val="left" w:pos="993"/>
          <w:tab w:val="num" w:pos="1142"/>
          <w:tab w:val="num" w:pos="2069"/>
        </w:tabs>
        <w:spacing w:before="120" w:after="120" w:line="240" w:lineRule="auto"/>
        <w:ind w:left="1134" w:hanging="708"/>
        <w:jc w:val="both"/>
        <w:rPr>
          <w:rFonts w:ascii="Times New Roman" w:eastAsia="Times New Roman" w:hAnsi="Times New Roman" w:cs="Times New Roman"/>
        </w:rPr>
      </w:pPr>
      <w:r w:rsidRPr="009C4096">
        <w:rPr>
          <w:rFonts w:ascii="Times New Roman" w:eastAsia="Times New Roman" w:hAnsi="Times New Roman" w:cs="Times New Roman"/>
          <w:bCs/>
          <w:lang w:eastAsia="hu-HU"/>
        </w:rPr>
        <w:t>Hidraulikus fékrendszerek elemei, kialakításai és típusai. (</w:t>
      </w:r>
      <w:r w:rsidRPr="009C4096">
        <w:rPr>
          <w:rFonts w:ascii="Times New Roman" w:eastAsia="Times New Roman" w:hAnsi="Times New Roman" w:cs="Times New Roman"/>
          <w:bCs/>
          <w:i/>
          <w:lang w:eastAsia="hu-HU"/>
        </w:rPr>
        <w:t>Elements, designs and types of hydraulic braking systems.</w:t>
      </w:r>
      <w:r w:rsidRPr="009C4096">
        <w:rPr>
          <w:rFonts w:ascii="Times New Roman" w:eastAsia="Times New Roman" w:hAnsi="Times New Roman" w:cs="Times New Roman"/>
          <w:bCs/>
          <w:lang w:eastAsia="hu-HU"/>
        </w:rPr>
        <w:t>)</w:t>
      </w:r>
    </w:p>
    <w:p w:rsidR="009C4096" w:rsidRPr="009C4096" w:rsidRDefault="009C4096" w:rsidP="00980876">
      <w:pPr>
        <w:widowControl w:val="0"/>
        <w:numPr>
          <w:ilvl w:val="1"/>
          <w:numId w:val="681"/>
        </w:numPr>
        <w:tabs>
          <w:tab w:val="clear" w:pos="3977"/>
          <w:tab w:val="num" w:pos="2069"/>
        </w:tabs>
        <w:spacing w:before="120" w:after="120" w:line="240" w:lineRule="auto"/>
        <w:ind w:left="1134" w:hanging="708"/>
        <w:jc w:val="both"/>
        <w:rPr>
          <w:rFonts w:ascii="Times New Roman" w:eastAsia="Times New Roman" w:hAnsi="Times New Roman" w:cs="Times New Roman"/>
        </w:rPr>
      </w:pPr>
      <w:r w:rsidRPr="009C4096">
        <w:rPr>
          <w:rFonts w:ascii="Times New Roman" w:eastAsia="Times New Roman" w:hAnsi="Times New Roman" w:cs="Times New Roman"/>
          <w:bCs/>
        </w:rPr>
        <w:t>Légfékrendszerek alkalmazása, szerkezete, típussajátosságai, működése</w:t>
      </w:r>
      <w:r w:rsidRPr="009C4096">
        <w:rPr>
          <w:rFonts w:ascii="Times New Roman" w:eastAsia="Times New Roman" w:hAnsi="Times New Roman" w:cs="Times New Roman"/>
        </w:rPr>
        <w:t>. (</w:t>
      </w:r>
      <w:r w:rsidRPr="009C4096">
        <w:rPr>
          <w:rFonts w:ascii="Times New Roman" w:eastAsia="Times New Roman" w:hAnsi="Times New Roman" w:cs="Times New Roman"/>
          <w:bCs/>
          <w:i/>
        </w:rPr>
        <w:t>Application, structure, type and function of air brake systems.</w:t>
      </w:r>
      <w:r w:rsidRPr="009C4096">
        <w:rPr>
          <w:rFonts w:ascii="Times New Roman" w:eastAsia="Times New Roman" w:hAnsi="Times New Roman" w:cs="Times New Roman"/>
        </w:rPr>
        <w:t>)</w:t>
      </w:r>
    </w:p>
    <w:p w:rsidR="009C4096" w:rsidRPr="009C4096" w:rsidRDefault="009C4096" w:rsidP="00980876">
      <w:pPr>
        <w:widowControl w:val="0"/>
        <w:numPr>
          <w:ilvl w:val="1"/>
          <w:numId w:val="681"/>
        </w:numPr>
        <w:tabs>
          <w:tab w:val="clear" w:pos="3977"/>
          <w:tab w:val="num" w:pos="2069"/>
        </w:tabs>
        <w:spacing w:before="120" w:after="120" w:line="240" w:lineRule="auto"/>
        <w:ind w:left="1134" w:hanging="708"/>
        <w:jc w:val="both"/>
        <w:rPr>
          <w:rFonts w:ascii="Times New Roman" w:eastAsia="Times New Roman" w:hAnsi="Times New Roman" w:cs="Times New Roman"/>
        </w:rPr>
      </w:pPr>
      <w:r w:rsidRPr="009C4096">
        <w:rPr>
          <w:rFonts w:ascii="Times New Roman" w:eastAsia="Times New Roman" w:hAnsi="Times New Roman" w:cs="Times New Roman"/>
          <w:bCs/>
        </w:rPr>
        <w:t>Kombinált fékrendszerek</w:t>
      </w:r>
      <w:r w:rsidRPr="009C4096">
        <w:rPr>
          <w:rFonts w:ascii="Times New Roman" w:eastAsia="Times New Roman" w:hAnsi="Times New Roman" w:cs="Times New Roman"/>
        </w:rPr>
        <w:t xml:space="preserve">. </w:t>
      </w:r>
      <w:r w:rsidRPr="009C4096">
        <w:rPr>
          <w:rFonts w:ascii="Times New Roman" w:eastAsia="Times New Roman" w:hAnsi="Times New Roman" w:cs="Times New Roman"/>
          <w:bCs/>
        </w:rPr>
        <w:t>Pótkocsik fékezése.</w:t>
      </w:r>
      <w:r w:rsidRPr="009C4096">
        <w:rPr>
          <w:rFonts w:ascii="Times New Roman" w:eastAsia="Times New Roman" w:hAnsi="Times New Roman" w:cs="Times New Roman"/>
        </w:rPr>
        <w:t xml:space="preserve"> (</w:t>
      </w:r>
      <w:r w:rsidRPr="009C4096">
        <w:rPr>
          <w:rFonts w:ascii="Times New Roman" w:eastAsia="Times New Roman" w:hAnsi="Times New Roman" w:cs="Times New Roman"/>
          <w:bCs/>
          <w:i/>
        </w:rPr>
        <w:t>Combined braking systems</w:t>
      </w:r>
      <w:r w:rsidRPr="009C4096">
        <w:rPr>
          <w:rFonts w:ascii="Times New Roman" w:eastAsia="Times New Roman" w:hAnsi="Times New Roman" w:cs="Times New Roman"/>
          <w:bCs/>
        </w:rPr>
        <w:t>.</w:t>
      </w:r>
      <w:r w:rsidRPr="009C4096">
        <w:rPr>
          <w:rFonts w:ascii="Times New Roman" w:eastAsia="Times New Roman" w:hAnsi="Times New Roman" w:cs="Times New Roman"/>
          <w:bCs/>
          <w:i/>
          <w:lang w:eastAsia="hu-HU"/>
        </w:rPr>
        <w:t xml:space="preserve"> </w:t>
      </w:r>
      <w:r w:rsidRPr="009C4096">
        <w:rPr>
          <w:rFonts w:ascii="Times New Roman" w:eastAsia="Times New Roman" w:hAnsi="Times New Roman" w:cs="Times New Roman"/>
          <w:bCs/>
          <w:i/>
        </w:rPr>
        <w:t xml:space="preserve">Braking of </w:t>
      </w:r>
      <w:r w:rsidRPr="009C4096">
        <w:rPr>
          <w:rFonts w:ascii="Times New Roman" w:eastAsia="Times New Roman" w:hAnsi="Times New Roman" w:cs="Times New Roman"/>
          <w:bCs/>
          <w:i/>
        </w:rPr>
        <w:lastRenderedPageBreak/>
        <w:t>trailers</w:t>
      </w:r>
      <w:r w:rsidRPr="009C4096">
        <w:rPr>
          <w:rFonts w:ascii="Times New Roman" w:eastAsia="Times New Roman" w:hAnsi="Times New Roman" w:cs="Times New Roman"/>
          <w:bCs/>
        </w:rPr>
        <w:t>.)</w:t>
      </w:r>
    </w:p>
    <w:p w:rsidR="009C4096" w:rsidRPr="009C4096" w:rsidRDefault="009C4096" w:rsidP="00980876">
      <w:pPr>
        <w:widowControl w:val="0"/>
        <w:numPr>
          <w:ilvl w:val="1"/>
          <w:numId w:val="681"/>
        </w:numPr>
        <w:tabs>
          <w:tab w:val="clear" w:pos="3977"/>
          <w:tab w:val="num" w:pos="2069"/>
        </w:tabs>
        <w:spacing w:before="120" w:after="120" w:line="240" w:lineRule="auto"/>
        <w:ind w:left="1134" w:hanging="708"/>
        <w:jc w:val="both"/>
        <w:rPr>
          <w:rFonts w:ascii="Times New Roman" w:eastAsia="Times New Roman" w:hAnsi="Times New Roman" w:cs="Times New Roman"/>
        </w:rPr>
      </w:pPr>
      <w:r w:rsidRPr="009C4096">
        <w:rPr>
          <w:rFonts w:ascii="Times New Roman" w:eastAsia="Times New Roman" w:hAnsi="Times New Roman" w:cs="Times New Roman"/>
          <w:bCs/>
          <w:lang w:eastAsia="hu-HU"/>
        </w:rPr>
        <w:t>ABS fékszerkezet, blokkolásgátlók, fékrásegítő szerkezetek. (</w:t>
      </w:r>
      <w:r w:rsidRPr="009C4096">
        <w:rPr>
          <w:rFonts w:ascii="Times New Roman" w:eastAsia="Times New Roman" w:hAnsi="Times New Roman" w:cs="Times New Roman"/>
          <w:bCs/>
          <w:i/>
          <w:lang w:eastAsia="hu-HU"/>
        </w:rPr>
        <w:t>ABS braking system, anti-lock brakes, brake assist devices</w:t>
      </w:r>
      <w:r w:rsidRPr="009C4096">
        <w:rPr>
          <w:rFonts w:ascii="Times New Roman" w:eastAsia="Times New Roman" w:hAnsi="Times New Roman" w:cs="Times New Roman"/>
          <w:bCs/>
          <w:lang w:eastAsia="hu-HU"/>
        </w:rPr>
        <w:t>.)</w:t>
      </w:r>
    </w:p>
    <w:p w:rsidR="009C4096" w:rsidRPr="009C4096" w:rsidRDefault="009C4096" w:rsidP="00980876">
      <w:pPr>
        <w:widowControl w:val="0"/>
        <w:numPr>
          <w:ilvl w:val="1"/>
          <w:numId w:val="681"/>
        </w:numPr>
        <w:tabs>
          <w:tab w:val="clear" w:pos="3977"/>
          <w:tab w:val="num" w:pos="2069"/>
        </w:tabs>
        <w:spacing w:before="120" w:after="120" w:line="240" w:lineRule="auto"/>
        <w:ind w:left="1134" w:hanging="708"/>
        <w:jc w:val="both"/>
        <w:rPr>
          <w:rFonts w:ascii="Times New Roman" w:eastAsia="Times New Roman" w:hAnsi="Times New Roman" w:cs="Times New Roman"/>
        </w:rPr>
      </w:pPr>
      <w:r w:rsidRPr="009C4096">
        <w:rPr>
          <w:rFonts w:ascii="Times New Roman" w:eastAsia="Times New Roman" w:hAnsi="Times New Roman" w:cs="Times New Roman"/>
          <w:bCs/>
          <w:lang w:eastAsia="hu-HU"/>
        </w:rPr>
        <w:t>Rögzítőfék szerkezetek. (</w:t>
      </w:r>
      <w:r w:rsidRPr="009C4096">
        <w:rPr>
          <w:rFonts w:ascii="Times New Roman" w:eastAsia="Times New Roman" w:hAnsi="Times New Roman" w:cs="Times New Roman"/>
          <w:bCs/>
          <w:i/>
          <w:lang w:eastAsia="hu-HU"/>
        </w:rPr>
        <w:t>Parking braking devices</w:t>
      </w:r>
      <w:r w:rsidRPr="009C4096">
        <w:rPr>
          <w:rFonts w:ascii="Times New Roman" w:eastAsia="Times New Roman" w:hAnsi="Times New Roman" w:cs="Times New Roman"/>
          <w:bCs/>
          <w:lang w:eastAsia="hu-HU"/>
        </w:rPr>
        <w:t>.)</w:t>
      </w:r>
    </w:p>
    <w:p w:rsidR="009C4096" w:rsidRPr="009C4096" w:rsidRDefault="009C4096" w:rsidP="00980876">
      <w:pPr>
        <w:widowControl w:val="0"/>
        <w:numPr>
          <w:ilvl w:val="0"/>
          <w:numId w:val="681"/>
        </w:numPr>
        <w:tabs>
          <w:tab w:val="num" w:pos="360"/>
        </w:tabs>
        <w:spacing w:before="120" w:after="120" w:line="240" w:lineRule="auto"/>
        <w:ind w:left="426" w:hanging="142"/>
        <w:jc w:val="both"/>
        <w:rPr>
          <w:rFonts w:ascii="Times New Roman" w:eastAsia="Times New Roman" w:hAnsi="Times New Roman" w:cs="Times New Roman"/>
          <w:bCs/>
        </w:rPr>
      </w:pPr>
      <w:r w:rsidRPr="009C4096">
        <w:rPr>
          <w:rFonts w:ascii="Times New Roman" w:eastAsia="Times New Roman" w:hAnsi="Times New Roman" w:cs="Times New Roman"/>
          <w:b/>
          <w:bCs/>
        </w:rPr>
        <w:t xml:space="preserve">A tantárgy meghirdetésének gyakorisága/a tantervben történő félévi elhelyezkedése: </w:t>
      </w:r>
      <w:r w:rsidRPr="009C4096">
        <w:rPr>
          <w:rFonts w:ascii="Times New Roman" w:eastAsia="Times New Roman" w:hAnsi="Times New Roman" w:cs="Times New Roman"/>
          <w:bCs/>
        </w:rPr>
        <w:t>8. félév</w:t>
      </w:r>
    </w:p>
    <w:p w:rsidR="009C4096" w:rsidRPr="009C4096" w:rsidRDefault="009C4096" w:rsidP="00980876">
      <w:pPr>
        <w:widowControl w:val="0"/>
        <w:numPr>
          <w:ilvl w:val="0"/>
          <w:numId w:val="681"/>
        </w:numPr>
        <w:tabs>
          <w:tab w:val="num" w:pos="360"/>
        </w:tabs>
        <w:spacing w:before="120" w:after="120" w:line="240" w:lineRule="auto"/>
        <w:ind w:left="426" w:hanging="142"/>
        <w:jc w:val="both"/>
        <w:rPr>
          <w:rFonts w:ascii="Times New Roman" w:eastAsia="Times New Roman" w:hAnsi="Times New Roman" w:cs="Times New Roman"/>
          <w:bCs/>
        </w:rPr>
      </w:pPr>
      <w:r w:rsidRPr="009C4096">
        <w:rPr>
          <w:rFonts w:ascii="Times New Roman" w:eastAsia="Times New Roman" w:hAnsi="Times New Roman" w:cs="Times New Roman"/>
          <w:b/>
          <w:bCs/>
        </w:rPr>
        <w:t>A tanórákon való részvétel követelményei, az elfogadható hiányzások mértéke, a távolmaradás pótlásának lehetősége:</w:t>
      </w:r>
      <w:r w:rsidRPr="009C4096">
        <w:rPr>
          <w:rFonts w:ascii="Times New Roman" w:eastAsia="Times New Roman" w:hAnsi="Times New Roman" w:cs="Times New Roman"/>
          <w:bCs/>
        </w:rPr>
        <w:t xml:space="preserve"> </w:t>
      </w:r>
    </w:p>
    <w:p w:rsidR="009C4096" w:rsidRPr="009C4096" w:rsidRDefault="009C4096" w:rsidP="009C4096">
      <w:pPr>
        <w:widowControl w:val="0"/>
        <w:spacing w:before="120" w:after="120" w:line="240" w:lineRule="auto"/>
        <w:ind w:left="426"/>
        <w:jc w:val="both"/>
        <w:rPr>
          <w:rFonts w:ascii="Times New Roman" w:eastAsia="Times New Roman" w:hAnsi="Times New Roman" w:cs="Times New Roman"/>
          <w:bCs/>
        </w:rPr>
      </w:pPr>
      <w:r w:rsidRPr="009C4096">
        <w:rPr>
          <w:rFonts w:ascii="Times New Roman" w:eastAsia="Times New Roman" w:hAnsi="Times New Roman" w:cs="Times New Roman"/>
          <w:bCs/>
        </w:rPr>
        <w:t>A hallgatónak a tanórák legalább 70 %-án jelen kell lennie, 30 %-ot meghaladó hiányzás esetén a félév teljesítése nem írható alá. A hallgató köteles az előadás és a gyakorlat anyagát beszerezni, abból önállóan felkészülni. A hiányzás pótolható az oktató által kijelölt témakörben beadott, legalább elégségesre értékelt házidolgozattal.</w:t>
      </w:r>
    </w:p>
    <w:p w:rsidR="009C4096" w:rsidRPr="009C4096" w:rsidRDefault="009C4096" w:rsidP="00980876">
      <w:pPr>
        <w:widowControl w:val="0"/>
        <w:numPr>
          <w:ilvl w:val="0"/>
          <w:numId w:val="681"/>
        </w:numPr>
        <w:tabs>
          <w:tab w:val="num" w:pos="360"/>
        </w:tabs>
        <w:spacing w:before="120" w:after="120" w:line="240" w:lineRule="auto"/>
        <w:ind w:left="426" w:hanging="142"/>
        <w:jc w:val="both"/>
        <w:rPr>
          <w:rFonts w:ascii="Times New Roman" w:eastAsia="Times New Roman" w:hAnsi="Times New Roman" w:cs="Times New Roman"/>
          <w:bCs/>
        </w:rPr>
      </w:pPr>
      <w:r w:rsidRPr="009C4096">
        <w:rPr>
          <w:rFonts w:ascii="Times New Roman" w:eastAsia="Times New Roman" w:hAnsi="Times New Roman" w:cs="Times New Roman"/>
          <w:b/>
        </w:rPr>
        <w:t>Félévközi feladatok, ismeretek ellenőrzésének rendje:</w:t>
      </w:r>
      <w:r w:rsidRPr="009C4096">
        <w:rPr>
          <w:rFonts w:ascii="Times New Roman" w:eastAsia="Times New Roman" w:hAnsi="Times New Roman" w:cs="Times New Roman"/>
          <w:bCs/>
        </w:rPr>
        <w:t xml:space="preserve"> A félév során a hallgató kettő zárthelyi dolgozatot ír. Az első zárthelyi dolgozat a 12.1-12.7. a második zárthelyi dolgozat a 12.8-12.13 tantárgyrészekből áll. A zárthelyi dolgozat témáit a kötelező irodalmak anyagából, illetve az előadásokon elhangzott ismeretanyagból kell összeállítani. A zárthelyi dolgozat értékelése ötfokozatú értékelés (a helyes válaszok aránya 0-60% elégtelen; 61-70% elégséges; 71-80% közepes; 81-90% jó; 91-100% jeles osztályzat). Eredménytelen zárthelyi dolgozat kétszer javítható a szorgalmi időszak végéig az oktatóval egyeztetett időpontokban</w:t>
      </w:r>
      <w:r w:rsidRPr="009C4096">
        <w:rPr>
          <w:rFonts w:ascii="Times New Roman" w:eastAsia="Times New Roman" w:hAnsi="Times New Roman" w:cs="Times New Roman"/>
          <w:b/>
          <w:bCs/>
        </w:rPr>
        <w:t>.</w:t>
      </w:r>
      <w:r w:rsidRPr="009C4096">
        <w:rPr>
          <w:rFonts w:ascii="Times New Roman" w:eastAsia="Times New Roman" w:hAnsi="Times New Roman" w:cs="Times New Roman"/>
          <w:bCs/>
        </w:rPr>
        <w:t xml:space="preserve"> A dolgozatban teszt és esszé jellegű kérdések egyaránt szerepelnek</w:t>
      </w:r>
      <w:r w:rsidRPr="009C4096">
        <w:rPr>
          <w:rFonts w:ascii="Times New Roman" w:eastAsia="Times New Roman" w:hAnsi="Times New Roman" w:cs="Times New Roman"/>
          <w:bCs/>
          <w:lang w:eastAsia="hu-HU"/>
        </w:rPr>
        <w:t>.</w:t>
      </w:r>
    </w:p>
    <w:p w:rsidR="009C4096" w:rsidRPr="009C4096" w:rsidRDefault="009C4096" w:rsidP="00980876">
      <w:pPr>
        <w:widowControl w:val="0"/>
        <w:numPr>
          <w:ilvl w:val="0"/>
          <w:numId w:val="681"/>
        </w:numPr>
        <w:spacing w:before="120" w:after="120" w:line="240" w:lineRule="auto"/>
        <w:ind w:left="426" w:hanging="142"/>
        <w:jc w:val="both"/>
        <w:rPr>
          <w:rFonts w:ascii="Times New Roman" w:eastAsia="Times New Roman" w:hAnsi="Times New Roman" w:cs="Times New Roman"/>
          <w:b/>
          <w:bCs/>
        </w:rPr>
      </w:pPr>
      <w:r w:rsidRPr="009C4096">
        <w:rPr>
          <w:rFonts w:ascii="Times New Roman" w:eastAsia="Times New Roman" w:hAnsi="Times New Roman" w:cs="Times New Roman"/>
          <w:b/>
          <w:bCs/>
        </w:rPr>
        <w:t xml:space="preserve">Az értékelés, az aláírás és a kreditek megszerzésének pontos feltételei: </w:t>
      </w:r>
    </w:p>
    <w:p w:rsidR="009C4096" w:rsidRPr="009C4096" w:rsidRDefault="009C4096" w:rsidP="00980876">
      <w:pPr>
        <w:widowControl w:val="0"/>
        <w:numPr>
          <w:ilvl w:val="1"/>
          <w:numId w:val="681"/>
        </w:numPr>
        <w:tabs>
          <w:tab w:val="clear" w:pos="3977"/>
          <w:tab w:val="left" w:pos="709"/>
          <w:tab w:val="left" w:pos="993"/>
          <w:tab w:val="num" w:pos="1142"/>
          <w:tab w:val="num" w:pos="2069"/>
        </w:tabs>
        <w:spacing w:before="120" w:after="120" w:line="240" w:lineRule="auto"/>
        <w:ind w:left="426" w:firstLine="0"/>
        <w:jc w:val="both"/>
        <w:rPr>
          <w:rFonts w:ascii="Times New Roman" w:eastAsia="Times New Roman" w:hAnsi="Times New Roman" w:cs="Times New Roman"/>
        </w:rPr>
      </w:pPr>
      <w:r w:rsidRPr="009C4096">
        <w:rPr>
          <w:rFonts w:ascii="Times New Roman" w:eastAsia="Times New Roman" w:hAnsi="Times New Roman" w:cs="Times New Roman"/>
          <w:b/>
        </w:rPr>
        <w:t>Az aláírás megszerzésének feltételei:</w:t>
      </w:r>
      <w:r w:rsidRPr="009C4096">
        <w:rPr>
          <w:rFonts w:ascii="Times New Roman" w:eastAsia="Times New Roman" w:hAnsi="Times New Roman" w:cs="Times New Roman"/>
        </w:rPr>
        <w:t xml:space="preserve"> Az aláírás megszerzésének feltétele a 14. pontban meghatározott arányú részvétel a foglalkozásokon és a 15. pontban meghatározott félévközi feladatok legalább elégséges teljesítése.</w:t>
      </w:r>
    </w:p>
    <w:p w:rsidR="009C4096" w:rsidRPr="009C4096" w:rsidRDefault="009C4096" w:rsidP="00980876">
      <w:pPr>
        <w:widowControl w:val="0"/>
        <w:numPr>
          <w:ilvl w:val="1"/>
          <w:numId w:val="681"/>
        </w:numPr>
        <w:tabs>
          <w:tab w:val="clear" w:pos="3977"/>
          <w:tab w:val="left" w:pos="709"/>
          <w:tab w:val="left" w:pos="993"/>
          <w:tab w:val="num" w:pos="1142"/>
          <w:tab w:val="num" w:pos="2069"/>
        </w:tabs>
        <w:spacing w:before="120" w:after="120" w:line="240" w:lineRule="auto"/>
        <w:ind w:left="426" w:firstLine="0"/>
        <w:jc w:val="both"/>
        <w:rPr>
          <w:rFonts w:ascii="Times New Roman" w:eastAsia="Times New Roman" w:hAnsi="Times New Roman" w:cs="Times New Roman"/>
        </w:rPr>
      </w:pPr>
      <w:r w:rsidRPr="009C4096">
        <w:rPr>
          <w:rFonts w:ascii="Times New Roman" w:eastAsia="Times New Roman" w:hAnsi="Times New Roman" w:cs="Times New Roman"/>
          <w:b/>
        </w:rPr>
        <w:t>Az értékelés:</w:t>
      </w:r>
      <w:r w:rsidRPr="009C4096">
        <w:rPr>
          <w:rFonts w:ascii="Times New Roman" w:eastAsia="Times New Roman" w:hAnsi="Times New Roman" w:cs="Times New Roman"/>
        </w:rPr>
        <w:t xml:space="preserve"> </w:t>
      </w:r>
      <w:r w:rsidRPr="009C4096">
        <w:rPr>
          <w:rFonts w:ascii="Times New Roman" w:eastAsia="Calibri" w:hAnsi="Times New Roman" w:cs="Times New Roman"/>
        </w:rPr>
        <w:t>évközi értékelés, ötfokozatú értékelés.</w:t>
      </w:r>
      <w:r w:rsidRPr="009C4096">
        <w:rPr>
          <w:rFonts w:ascii="Times New Roman" w:eastAsia="Calibri" w:hAnsi="Times New Roman" w:cs="Times New Roman"/>
          <w:bCs/>
        </w:rPr>
        <w:t xml:space="preserve"> Az évközi értékelést az elért eredmények kerekített matematikai átlaga képezi</w:t>
      </w:r>
    </w:p>
    <w:p w:rsidR="009C4096" w:rsidRPr="009C4096" w:rsidRDefault="009C4096" w:rsidP="00980876">
      <w:pPr>
        <w:widowControl w:val="0"/>
        <w:numPr>
          <w:ilvl w:val="1"/>
          <w:numId w:val="681"/>
        </w:numPr>
        <w:tabs>
          <w:tab w:val="clear" w:pos="3977"/>
          <w:tab w:val="left" w:pos="709"/>
          <w:tab w:val="left" w:pos="993"/>
          <w:tab w:val="num" w:pos="1142"/>
          <w:tab w:val="num" w:pos="2069"/>
        </w:tabs>
        <w:spacing w:before="120" w:after="120" w:line="240" w:lineRule="auto"/>
        <w:ind w:left="426" w:firstLine="0"/>
        <w:jc w:val="both"/>
        <w:rPr>
          <w:rFonts w:ascii="Times New Roman" w:eastAsia="Times New Roman" w:hAnsi="Times New Roman" w:cs="Times New Roman"/>
        </w:rPr>
      </w:pPr>
      <w:r w:rsidRPr="009C4096">
        <w:rPr>
          <w:rFonts w:ascii="Times New Roman" w:eastAsia="Times New Roman" w:hAnsi="Times New Roman" w:cs="Times New Roman"/>
          <w:b/>
        </w:rPr>
        <w:t>A kreditek megszerzésének feltételei:</w:t>
      </w:r>
      <w:r w:rsidRPr="009C4096">
        <w:rPr>
          <w:rFonts w:ascii="Times New Roman" w:eastAsia="Times New Roman" w:hAnsi="Times New Roman" w:cs="Times New Roman"/>
        </w:rPr>
        <w:t xml:space="preserve"> az aláírás megszerzése és legalább elégséges</w:t>
      </w:r>
      <w:r w:rsidRPr="009C4096">
        <w:rPr>
          <w:rFonts w:ascii="Times New Roman" w:eastAsia="Times New Roman" w:hAnsi="Times New Roman" w:cs="Times New Roman"/>
          <w:b/>
        </w:rPr>
        <w:t xml:space="preserve"> </w:t>
      </w:r>
      <w:r w:rsidRPr="009C4096">
        <w:rPr>
          <w:rFonts w:ascii="Times New Roman" w:eastAsia="Times New Roman" w:hAnsi="Times New Roman" w:cs="Times New Roman"/>
        </w:rPr>
        <w:t>évközi értékelés.</w:t>
      </w:r>
    </w:p>
    <w:p w:rsidR="009C4096" w:rsidRPr="009C4096" w:rsidRDefault="009C4096" w:rsidP="00980876">
      <w:pPr>
        <w:widowControl w:val="0"/>
        <w:numPr>
          <w:ilvl w:val="0"/>
          <w:numId w:val="681"/>
        </w:numPr>
        <w:tabs>
          <w:tab w:val="num" w:pos="360"/>
        </w:tabs>
        <w:spacing w:before="120" w:after="120" w:line="240" w:lineRule="auto"/>
        <w:ind w:left="426" w:hanging="142"/>
        <w:jc w:val="both"/>
        <w:rPr>
          <w:rFonts w:ascii="Times New Roman" w:eastAsia="Times New Roman" w:hAnsi="Times New Roman" w:cs="Times New Roman"/>
          <w:bCs/>
        </w:rPr>
      </w:pPr>
      <w:r w:rsidRPr="009C4096">
        <w:rPr>
          <w:rFonts w:ascii="Times New Roman" w:eastAsia="Times New Roman" w:hAnsi="Times New Roman" w:cs="Times New Roman"/>
          <w:b/>
          <w:bCs/>
        </w:rPr>
        <w:t>Irodalomjegyzék:</w:t>
      </w:r>
    </w:p>
    <w:p w:rsidR="009C4096" w:rsidRPr="009C4096" w:rsidRDefault="009C4096" w:rsidP="00980876">
      <w:pPr>
        <w:widowControl w:val="0"/>
        <w:numPr>
          <w:ilvl w:val="1"/>
          <w:numId w:val="681"/>
        </w:numPr>
        <w:tabs>
          <w:tab w:val="clear" w:pos="3977"/>
          <w:tab w:val="left" w:pos="567"/>
          <w:tab w:val="left" w:pos="851"/>
          <w:tab w:val="num" w:pos="1142"/>
          <w:tab w:val="num" w:pos="2069"/>
        </w:tabs>
        <w:spacing w:before="120" w:after="0" w:line="240" w:lineRule="auto"/>
        <w:ind w:left="426" w:hanging="142"/>
        <w:jc w:val="both"/>
        <w:rPr>
          <w:rFonts w:ascii="Times New Roman" w:eastAsia="Times New Roman" w:hAnsi="Times New Roman" w:cs="Times New Roman"/>
          <w:bCs/>
        </w:rPr>
      </w:pPr>
      <w:r w:rsidRPr="009C4096">
        <w:rPr>
          <w:rFonts w:ascii="Times New Roman" w:eastAsia="Times New Roman" w:hAnsi="Times New Roman" w:cs="Times New Roman"/>
          <w:b/>
          <w:bCs/>
        </w:rPr>
        <w:t>Kötelező irodalom:</w:t>
      </w:r>
    </w:p>
    <w:p w:rsidR="009C4096" w:rsidRPr="009C4096" w:rsidRDefault="009C4096" w:rsidP="00980876">
      <w:pPr>
        <w:widowControl w:val="0"/>
        <w:numPr>
          <w:ilvl w:val="0"/>
          <w:numId w:val="682"/>
        </w:numPr>
        <w:spacing w:after="0" w:line="240" w:lineRule="auto"/>
        <w:ind w:left="709" w:hanging="425"/>
        <w:jc w:val="both"/>
        <w:rPr>
          <w:rFonts w:ascii="Times New Roman" w:eastAsia="Times New Roman" w:hAnsi="Times New Roman" w:cs="Times New Roman"/>
        </w:rPr>
      </w:pPr>
      <w:r w:rsidRPr="009C4096">
        <w:rPr>
          <w:rFonts w:ascii="Times New Roman" w:eastAsia="Times New Roman" w:hAnsi="Times New Roman" w:cs="Times New Roman"/>
        </w:rPr>
        <w:t>Gépjárművek dinamikája és szerkezettana. Tankönyvmester Kiadó, Budapest, 2006. ISBN: 9639668214</w:t>
      </w:r>
    </w:p>
    <w:p w:rsidR="009C4096" w:rsidRPr="009C4096" w:rsidRDefault="009C4096" w:rsidP="00980876">
      <w:pPr>
        <w:widowControl w:val="0"/>
        <w:numPr>
          <w:ilvl w:val="0"/>
          <w:numId w:val="682"/>
        </w:numPr>
        <w:spacing w:after="0" w:line="240" w:lineRule="auto"/>
        <w:ind w:left="709" w:hanging="425"/>
        <w:jc w:val="both"/>
        <w:rPr>
          <w:rFonts w:ascii="Times New Roman" w:eastAsia="Times New Roman" w:hAnsi="Times New Roman" w:cs="Times New Roman"/>
        </w:rPr>
      </w:pPr>
      <w:r w:rsidRPr="009C4096">
        <w:rPr>
          <w:rFonts w:ascii="Times New Roman" w:eastAsia="Times New Roman" w:hAnsi="Times New Roman" w:cs="Times New Roman"/>
        </w:rPr>
        <w:t>Kőfalusi Pál, Dr. Szőcs Károly, Dr. Varga Ferenc: Fékrendszerek. Maróti Könyvkiadó, Budapest, 2004. ISBN: 9639005630</w:t>
      </w:r>
    </w:p>
    <w:p w:rsidR="009C4096" w:rsidRPr="009C4096" w:rsidRDefault="009C4096" w:rsidP="00980876">
      <w:pPr>
        <w:widowControl w:val="0"/>
        <w:numPr>
          <w:ilvl w:val="0"/>
          <w:numId w:val="682"/>
        </w:numPr>
        <w:spacing w:after="0" w:line="240" w:lineRule="auto"/>
        <w:ind w:left="709" w:hanging="425"/>
        <w:jc w:val="both"/>
        <w:rPr>
          <w:rFonts w:ascii="Times New Roman" w:eastAsia="Times New Roman" w:hAnsi="Times New Roman" w:cs="Times New Roman"/>
        </w:rPr>
      </w:pPr>
      <w:r w:rsidRPr="009C4096">
        <w:rPr>
          <w:rFonts w:ascii="Times New Roman" w:eastAsia="Times New Roman" w:hAnsi="Times New Roman" w:cs="Times New Roman"/>
        </w:rPr>
        <w:t>Wilfried Staudt: Gépjárműtechnika. OMÁR Könyvkiadó, Székesfehérvár, 1993. ISBN: 9638510803</w:t>
      </w:r>
    </w:p>
    <w:p w:rsidR="009C4096" w:rsidRPr="009C4096" w:rsidRDefault="009C4096" w:rsidP="00980876">
      <w:pPr>
        <w:widowControl w:val="0"/>
        <w:numPr>
          <w:ilvl w:val="0"/>
          <w:numId w:val="682"/>
        </w:numPr>
        <w:spacing w:after="0" w:line="240" w:lineRule="auto"/>
        <w:ind w:left="709" w:hanging="425"/>
        <w:jc w:val="both"/>
        <w:rPr>
          <w:rFonts w:ascii="Times New Roman" w:eastAsia="Times New Roman" w:hAnsi="Times New Roman" w:cs="Times New Roman"/>
        </w:rPr>
      </w:pPr>
      <w:r w:rsidRPr="009C4096">
        <w:rPr>
          <w:rFonts w:ascii="Times New Roman" w:eastAsia="Times New Roman" w:hAnsi="Times New Roman" w:cs="Times New Roman"/>
        </w:rPr>
        <w:t>Bohner: Gépjárműszerkezetek. Műegyetemi Kiadó, Budapest, 1994. ISBN: 9631605434</w:t>
      </w:r>
    </w:p>
    <w:p w:rsidR="009C4096" w:rsidRPr="009C4096" w:rsidRDefault="009C4096" w:rsidP="00980876">
      <w:pPr>
        <w:widowControl w:val="0"/>
        <w:numPr>
          <w:ilvl w:val="0"/>
          <w:numId w:val="682"/>
        </w:numPr>
        <w:spacing w:after="0" w:line="240" w:lineRule="auto"/>
        <w:ind w:left="709" w:hanging="425"/>
        <w:jc w:val="both"/>
        <w:rPr>
          <w:rFonts w:ascii="Times New Roman" w:eastAsia="Times New Roman" w:hAnsi="Times New Roman" w:cs="Times New Roman"/>
        </w:rPr>
      </w:pPr>
      <w:r w:rsidRPr="009C4096">
        <w:rPr>
          <w:rFonts w:ascii="Times New Roman" w:eastAsia="Times New Roman" w:hAnsi="Times New Roman" w:cs="Times New Roman"/>
        </w:rPr>
        <w:t>Kiss: Lánctalpas eszközök kormányzása. ZMNE nyomda, Budapest, 1998.</w:t>
      </w:r>
    </w:p>
    <w:p w:rsidR="009C4096" w:rsidRPr="009C4096" w:rsidRDefault="009C4096" w:rsidP="00980876">
      <w:pPr>
        <w:widowControl w:val="0"/>
        <w:numPr>
          <w:ilvl w:val="1"/>
          <w:numId w:val="681"/>
        </w:numPr>
        <w:tabs>
          <w:tab w:val="clear" w:pos="3977"/>
          <w:tab w:val="left" w:pos="567"/>
          <w:tab w:val="left" w:pos="851"/>
          <w:tab w:val="num" w:pos="1142"/>
          <w:tab w:val="num" w:pos="2069"/>
        </w:tabs>
        <w:spacing w:before="120" w:after="0" w:line="240" w:lineRule="auto"/>
        <w:ind w:left="426" w:hanging="142"/>
        <w:jc w:val="both"/>
        <w:rPr>
          <w:rFonts w:ascii="Times New Roman" w:eastAsia="Times New Roman" w:hAnsi="Times New Roman" w:cs="Times New Roman"/>
          <w:b/>
          <w:bCs/>
        </w:rPr>
      </w:pPr>
      <w:r w:rsidRPr="009C4096">
        <w:rPr>
          <w:rFonts w:ascii="Times New Roman" w:eastAsia="Times New Roman" w:hAnsi="Times New Roman" w:cs="Times New Roman"/>
          <w:b/>
          <w:bCs/>
        </w:rPr>
        <w:t>Ajánlott irodalom:</w:t>
      </w:r>
    </w:p>
    <w:p w:rsidR="009C4096" w:rsidRPr="009C4096" w:rsidRDefault="009C4096" w:rsidP="00980876">
      <w:pPr>
        <w:widowControl w:val="0"/>
        <w:numPr>
          <w:ilvl w:val="0"/>
          <w:numId w:val="683"/>
        </w:numPr>
        <w:spacing w:after="0" w:line="240" w:lineRule="auto"/>
        <w:contextualSpacing/>
        <w:jc w:val="both"/>
        <w:rPr>
          <w:rFonts w:ascii="Times New Roman" w:eastAsia="Times New Roman" w:hAnsi="Times New Roman" w:cs="Times New Roman"/>
        </w:rPr>
      </w:pPr>
      <w:r w:rsidRPr="009C4096">
        <w:rPr>
          <w:rFonts w:ascii="Times New Roman" w:eastAsia="Times New Roman" w:hAnsi="Times New Roman" w:cs="Times New Roman"/>
        </w:rPr>
        <w:t>Gépjármű-technikai képletgyűjtemény. Műszaki Könyvkiadó, Budapest, 1995. ISBN: 9631605922</w:t>
      </w:r>
    </w:p>
    <w:p w:rsidR="009C4096" w:rsidRPr="009C4096" w:rsidRDefault="009C4096" w:rsidP="00980876">
      <w:pPr>
        <w:widowControl w:val="0"/>
        <w:numPr>
          <w:ilvl w:val="0"/>
          <w:numId w:val="683"/>
        </w:numPr>
        <w:contextualSpacing/>
        <w:rPr>
          <w:rFonts w:ascii="Times New Roman" w:eastAsia="Times New Roman" w:hAnsi="Times New Roman" w:cs="Times New Roman"/>
        </w:rPr>
      </w:pPr>
      <w:r w:rsidRPr="009C4096">
        <w:rPr>
          <w:rFonts w:ascii="Times New Roman" w:eastAsia="Times New Roman" w:hAnsi="Times New Roman" w:cs="Times New Roman"/>
        </w:rPr>
        <w:t>Gépjármű-technikai szakszámítások. Műszaki Könyvkiadó, Budapest, 2000. ISBN: 9631605957</w:t>
      </w:r>
    </w:p>
    <w:p w:rsidR="009C4096" w:rsidRPr="009C4096" w:rsidRDefault="009C4096" w:rsidP="00980876">
      <w:pPr>
        <w:widowControl w:val="0"/>
        <w:numPr>
          <w:ilvl w:val="0"/>
          <w:numId w:val="683"/>
        </w:numPr>
        <w:spacing w:after="0" w:line="240" w:lineRule="auto"/>
        <w:contextualSpacing/>
        <w:jc w:val="both"/>
        <w:rPr>
          <w:rFonts w:ascii="Times New Roman" w:eastAsia="Times New Roman" w:hAnsi="Times New Roman" w:cs="Times New Roman"/>
        </w:rPr>
      </w:pPr>
      <w:r w:rsidRPr="009C4096">
        <w:rPr>
          <w:rFonts w:ascii="Times New Roman" w:eastAsia="Times New Roman" w:hAnsi="Times New Roman" w:cs="Times New Roman"/>
        </w:rPr>
        <w:t>Lévai: Gépjárművek szerkezettana. Tankönyvkiadó, Budapest, 1978. ISBN: 9631725189</w:t>
      </w:r>
    </w:p>
    <w:p w:rsidR="009C4096" w:rsidRDefault="009C4096" w:rsidP="009C4096">
      <w:pPr>
        <w:widowControl w:val="0"/>
        <w:spacing w:before="120" w:after="120" w:line="240" w:lineRule="auto"/>
        <w:ind w:firstLine="360"/>
        <w:jc w:val="both"/>
        <w:rPr>
          <w:rFonts w:ascii="Times New Roman" w:eastAsia="Times New Roman" w:hAnsi="Times New Roman" w:cs="Times New Roman"/>
          <w:bCs/>
        </w:rPr>
      </w:pPr>
      <w:r w:rsidRPr="009C4096">
        <w:rPr>
          <w:rFonts w:ascii="Times New Roman" w:eastAsia="Times New Roman" w:hAnsi="Times New Roman" w:cs="Times New Roman"/>
          <w:bCs/>
        </w:rPr>
        <w:t>Budapest, 2020.03.14.</w:t>
      </w:r>
    </w:p>
    <w:p w:rsidR="001F4B47" w:rsidRPr="009C4096" w:rsidRDefault="001F4B47" w:rsidP="009C4096">
      <w:pPr>
        <w:widowControl w:val="0"/>
        <w:spacing w:before="120" w:after="120" w:line="240" w:lineRule="auto"/>
        <w:ind w:firstLine="360"/>
        <w:jc w:val="both"/>
        <w:rPr>
          <w:rFonts w:ascii="Times New Roman" w:eastAsia="Times New Roman" w:hAnsi="Times New Roman" w:cs="Times New Roman"/>
          <w:bCs/>
        </w:rPr>
      </w:pPr>
    </w:p>
    <w:p w:rsidR="009C4096" w:rsidRPr="009C4096" w:rsidRDefault="009C4096" w:rsidP="009C4096">
      <w:pPr>
        <w:widowControl w:val="0"/>
        <w:spacing w:after="0" w:line="240" w:lineRule="auto"/>
        <w:ind w:left="6379"/>
        <w:jc w:val="center"/>
        <w:rPr>
          <w:rFonts w:ascii="Times New Roman" w:eastAsia="Times New Roman" w:hAnsi="Times New Roman" w:cs="Times New Roman"/>
          <w:b/>
          <w:bCs/>
        </w:rPr>
      </w:pPr>
      <w:r w:rsidRPr="009C4096">
        <w:rPr>
          <w:rFonts w:ascii="Times New Roman" w:eastAsia="Times New Roman" w:hAnsi="Times New Roman" w:cs="Times New Roman"/>
          <w:b/>
          <w:bCs/>
        </w:rPr>
        <w:t>Dr. Vég Róbert László PhD</w:t>
      </w:r>
    </w:p>
    <w:p w:rsidR="009C4096" w:rsidRPr="009C4096" w:rsidRDefault="009C4096" w:rsidP="009C4096">
      <w:pPr>
        <w:widowControl w:val="0"/>
        <w:spacing w:after="0" w:line="240" w:lineRule="auto"/>
        <w:ind w:left="6521"/>
        <w:jc w:val="center"/>
        <w:rPr>
          <w:rFonts w:ascii="Times New Roman" w:eastAsia="Times New Roman" w:hAnsi="Times New Roman" w:cs="Times New Roman"/>
          <w:bCs/>
        </w:rPr>
      </w:pPr>
      <w:r w:rsidRPr="009C4096">
        <w:rPr>
          <w:rFonts w:ascii="Times New Roman" w:eastAsia="Times New Roman" w:hAnsi="Times New Roman" w:cs="Times New Roman"/>
          <w:bCs/>
        </w:rPr>
        <w:t>egyetemi docens</w:t>
      </w:r>
    </w:p>
    <w:p w:rsidR="009C4096" w:rsidRPr="009C4096" w:rsidRDefault="009C4096" w:rsidP="009C4096">
      <w:pPr>
        <w:widowControl w:val="0"/>
        <w:spacing w:after="0" w:line="240" w:lineRule="auto"/>
        <w:ind w:left="6521"/>
        <w:jc w:val="center"/>
        <w:rPr>
          <w:rFonts w:ascii="Times New Roman" w:eastAsia="Times New Roman" w:hAnsi="Times New Roman" w:cs="Times New Roman"/>
          <w:bCs/>
        </w:rPr>
      </w:pPr>
    </w:p>
    <w:tbl>
      <w:tblPr>
        <w:tblW w:w="9072" w:type="dxa"/>
        <w:tblInd w:w="113" w:type="dxa"/>
        <w:tblLook w:val="01E0" w:firstRow="1" w:lastRow="1" w:firstColumn="1" w:lastColumn="1" w:noHBand="0" w:noVBand="0"/>
      </w:tblPr>
      <w:tblGrid>
        <w:gridCol w:w="4855"/>
        <w:gridCol w:w="1620"/>
        <w:gridCol w:w="2597"/>
      </w:tblGrid>
      <w:tr w:rsidR="00C16321" w:rsidRPr="00C16321" w:rsidTr="007C0E71">
        <w:tc>
          <w:tcPr>
            <w:tcW w:w="4855" w:type="dxa"/>
            <w:tcBorders>
              <w:bottom w:val="single" w:sz="4" w:space="0" w:color="auto"/>
            </w:tcBorders>
          </w:tcPr>
          <w:p w:rsidR="00C16321" w:rsidRPr="00C16321" w:rsidRDefault="00C16321" w:rsidP="00C16321">
            <w:pPr>
              <w:spacing w:after="0" w:line="240" w:lineRule="auto"/>
              <w:jc w:val="center"/>
              <w:rPr>
                <w:rFonts w:ascii="Times New Roman" w:eastAsia="Times New Roman" w:hAnsi="Times New Roman" w:cs="Times New Roman"/>
                <w:b/>
                <w:smallCaps/>
                <w:lang w:eastAsia="hu-HU"/>
              </w:rPr>
            </w:pPr>
            <w:r w:rsidRPr="00C16321">
              <w:rPr>
                <w:rFonts w:ascii="Times New Roman" w:eastAsia="Times New Roman" w:hAnsi="Times New Roman" w:cs="Times New Roman"/>
                <w:b/>
                <w:smallCaps/>
                <w:lang w:eastAsia="hu-HU"/>
              </w:rPr>
              <w:t>Nemzeti Közszolgálati Egyetem</w:t>
            </w:r>
          </w:p>
        </w:tc>
        <w:tc>
          <w:tcPr>
            <w:tcW w:w="1620" w:type="dxa"/>
          </w:tcPr>
          <w:p w:rsidR="00C16321" w:rsidRPr="00C16321" w:rsidRDefault="00C16321" w:rsidP="00C16321">
            <w:pPr>
              <w:spacing w:after="0" w:line="240" w:lineRule="auto"/>
              <w:jc w:val="both"/>
              <w:rPr>
                <w:rFonts w:ascii="Times New Roman" w:eastAsia="Times New Roman" w:hAnsi="Times New Roman" w:cs="Times New Roman"/>
                <w:lang w:eastAsia="hu-HU"/>
              </w:rPr>
            </w:pPr>
          </w:p>
        </w:tc>
        <w:tc>
          <w:tcPr>
            <w:tcW w:w="2597" w:type="dxa"/>
          </w:tcPr>
          <w:p w:rsidR="00C16321" w:rsidRPr="00C16321" w:rsidRDefault="00C16321" w:rsidP="00C16321">
            <w:pPr>
              <w:spacing w:after="0" w:line="240" w:lineRule="auto"/>
              <w:jc w:val="right"/>
              <w:rPr>
                <w:rFonts w:ascii="Times New Roman" w:eastAsia="Times New Roman" w:hAnsi="Times New Roman" w:cs="Times New Roman"/>
                <w:lang w:eastAsia="hu-HU"/>
              </w:rPr>
            </w:pPr>
          </w:p>
        </w:tc>
      </w:tr>
      <w:tr w:rsidR="00C16321" w:rsidRPr="00C16321" w:rsidTr="007C0E71">
        <w:tc>
          <w:tcPr>
            <w:tcW w:w="4855" w:type="dxa"/>
            <w:tcBorders>
              <w:top w:val="single" w:sz="4" w:space="0" w:color="auto"/>
            </w:tcBorders>
          </w:tcPr>
          <w:p w:rsidR="00C16321" w:rsidRPr="00C16321" w:rsidRDefault="00C16321" w:rsidP="00C16321">
            <w:pPr>
              <w:spacing w:after="0" w:line="240" w:lineRule="auto"/>
              <w:jc w:val="center"/>
              <w:rPr>
                <w:rFonts w:ascii="Times New Roman" w:eastAsia="Times New Roman" w:hAnsi="Times New Roman" w:cs="Times New Roman"/>
                <w:b/>
                <w:lang w:eastAsia="hu-HU"/>
              </w:rPr>
            </w:pPr>
            <w:r w:rsidRPr="00C16321">
              <w:rPr>
                <w:rFonts w:ascii="Times New Roman" w:eastAsia="Times New Roman" w:hAnsi="Times New Roman" w:cs="Times New Roman"/>
                <w:b/>
                <w:lang w:eastAsia="hu-HU"/>
              </w:rPr>
              <w:t>Hadtudományi és Honvédtisztképző Kar</w:t>
            </w:r>
          </w:p>
        </w:tc>
        <w:tc>
          <w:tcPr>
            <w:tcW w:w="1620" w:type="dxa"/>
          </w:tcPr>
          <w:p w:rsidR="00C16321" w:rsidRPr="00C16321" w:rsidRDefault="00C16321" w:rsidP="00C16321">
            <w:pPr>
              <w:spacing w:after="0" w:line="240" w:lineRule="auto"/>
              <w:jc w:val="both"/>
              <w:rPr>
                <w:rFonts w:ascii="Times New Roman" w:eastAsia="Times New Roman" w:hAnsi="Times New Roman" w:cs="Times New Roman"/>
                <w:lang w:eastAsia="hu-HU"/>
              </w:rPr>
            </w:pPr>
          </w:p>
        </w:tc>
        <w:tc>
          <w:tcPr>
            <w:tcW w:w="2597" w:type="dxa"/>
          </w:tcPr>
          <w:p w:rsidR="00C16321" w:rsidRPr="00C16321" w:rsidRDefault="00C16321" w:rsidP="00C16321">
            <w:pPr>
              <w:spacing w:after="0" w:line="240" w:lineRule="auto"/>
              <w:jc w:val="both"/>
              <w:rPr>
                <w:rFonts w:ascii="Times New Roman" w:eastAsia="Times New Roman" w:hAnsi="Times New Roman" w:cs="Times New Roman"/>
                <w:lang w:eastAsia="hu-HU"/>
              </w:rPr>
            </w:pPr>
          </w:p>
        </w:tc>
      </w:tr>
    </w:tbl>
    <w:p w:rsidR="00C16321" w:rsidRPr="00C16321" w:rsidRDefault="00C16321" w:rsidP="00C16321">
      <w:pPr>
        <w:widowControl w:val="0"/>
        <w:spacing w:before="120" w:after="120" w:line="240" w:lineRule="auto"/>
        <w:ind w:left="426" w:hanging="142"/>
        <w:jc w:val="center"/>
        <w:rPr>
          <w:rFonts w:ascii="Times New Roman" w:eastAsia="Times New Roman" w:hAnsi="Times New Roman" w:cs="Times New Roman"/>
          <w:b/>
          <w:bCs/>
        </w:rPr>
      </w:pPr>
    </w:p>
    <w:p w:rsidR="00C16321" w:rsidRPr="00C16321" w:rsidRDefault="00C16321" w:rsidP="00C16321">
      <w:pPr>
        <w:widowControl w:val="0"/>
        <w:spacing w:before="120" w:after="120" w:line="240" w:lineRule="auto"/>
        <w:ind w:left="426" w:hanging="142"/>
        <w:jc w:val="center"/>
        <w:rPr>
          <w:rFonts w:ascii="Times New Roman" w:eastAsia="Times New Roman" w:hAnsi="Times New Roman" w:cs="Times New Roman"/>
          <w:b/>
          <w:bCs/>
        </w:rPr>
      </w:pPr>
      <w:r w:rsidRPr="00C16321">
        <w:rPr>
          <w:rFonts w:ascii="Times New Roman" w:eastAsia="Times New Roman" w:hAnsi="Times New Roman" w:cs="Times New Roman"/>
          <w:b/>
          <w:bCs/>
        </w:rPr>
        <w:t>TANTÁRGYI PROGRAM</w:t>
      </w:r>
    </w:p>
    <w:p w:rsidR="00C16321" w:rsidRPr="00C16321" w:rsidRDefault="00C16321" w:rsidP="00980876">
      <w:pPr>
        <w:widowControl w:val="0"/>
        <w:numPr>
          <w:ilvl w:val="0"/>
          <w:numId w:val="692"/>
        </w:numPr>
        <w:tabs>
          <w:tab w:val="num" w:pos="567"/>
        </w:tabs>
        <w:spacing w:before="120" w:after="120" w:line="240" w:lineRule="auto"/>
        <w:ind w:left="426" w:hanging="142"/>
        <w:jc w:val="both"/>
        <w:rPr>
          <w:rFonts w:ascii="Times New Roman" w:eastAsia="Times New Roman" w:hAnsi="Times New Roman" w:cs="Times New Roman"/>
          <w:bCs/>
        </w:rPr>
      </w:pPr>
      <w:r w:rsidRPr="00C16321">
        <w:rPr>
          <w:rFonts w:ascii="Times New Roman" w:eastAsia="Times New Roman" w:hAnsi="Times New Roman" w:cs="Times New Roman"/>
          <w:b/>
          <w:bCs/>
        </w:rPr>
        <w:t xml:space="preserve">A tantárgy kódja: </w:t>
      </w:r>
      <w:r w:rsidRPr="00C16321">
        <w:rPr>
          <w:rFonts w:ascii="Times New Roman" w:eastAsia="Times New Roman" w:hAnsi="Times New Roman" w:cs="Times New Roman"/>
          <w:bCs/>
        </w:rPr>
        <w:t>HKHDTA21</w:t>
      </w:r>
    </w:p>
    <w:p w:rsidR="00C16321" w:rsidRPr="00C16321" w:rsidRDefault="00C16321" w:rsidP="00980876">
      <w:pPr>
        <w:widowControl w:val="0"/>
        <w:numPr>
          <w:ilvl w:val="0"/>
          <w:numId w:val="692"/>
        </w:numPr>
        <w:tabs>
          <w:tab w:val="num" w:pos="567"/>
        </w:tabs>
        <w:spacing w:before="120" w:after="120" w:line="240" w:lineRule="auto"/>
        <w:ind w:left="426" w:hanging="142"/>
        <w:jc w:val="both"/>
        <w:rPr>
          <w:rFonts w:ascii="Times New Roman" w:eastAsia="Times New Roman" w:hAnsi="Times New Roman" w:cs="Times New Roman"/>
          <w:b/>
          <w:bCs/>
          <w:lang w:val="en-GB"/>
        </w:rPr>
      </w:pPr>
      <w:r w:rsidRPr="00C16321">
        <w:rPr>
          <w:rFonts w:ascii="Times New Roman" w:eastAsia="Times New Roman" w:hAnsi="Times New Roman" w:cs="Times New Roman"/>
          <w:b/>
          <w:bCs/>
        </w:rPr>
        <w:t>A tantárgy megnevezése (magyarul):</w:t>
      </w:r>
      <w:r w:rsidRPr="00C16321">
        <w:rPr>
          <w:rFonts w:ascii="Times New Roman" w:eastAsia="Times New Roman" w:hAnsi="Times New Roman" w:cs="Times New Roman"/>
          <w:bCs/>
        </w:rPr>
        <w:t xml:space="preserve"> Rendszerben tartás II. L</w:t>
      </w:r>
    </w:p>
    <w:p w:rsidR="00C16321" w:rsidRPr="00C16321" w:rsidRDefault="00C16321" w:rsidP="00980876">
      <w:pPr>
        <w:widowControl w:val="0"/>
        <w:numPr>
          <w:ilvl w:val="0"/>
          <w:numId w:val="692"/>
        </w:numPr>
        <w:tabs>
          <w:tab w:val="num" w:pos="567"/>
        </w:tabs>
        <w:spacing w:before="120" w:after="120" w:line="240" w:lineRule="auto"/>
        <w:ind w:left="426" w:hanging="142"/>
        <w:jc w:val="both"/>
        <w:rPr>
          <w:rFonts w:ascii="Times New Roman" w:eastAsia="Times New Roman" w:hAnsi="Times New Roman" w:cs="Times New Roman"/>
          <w:b/>
          <w:bCs/>
          <w:lang w:val="en-GB"/>
        </w:rPr>
      </w:pPr>
      <w:r w:rsidRPr="00C16321">
        <w:rPr>
          <w:rFonts w:ascii="Times New Roman" w:eastAsia="Times New Roman" w:hAnsi="Times New Roman" w:cs="Times New Roman"/>
          <w:b/>
          <w:bCs/>
        </w:rPr>
        <w:t xml:space="preserve">A tantárgy megnevezése (angolul): </w:t>
      </w:r>
      <w:r w:rsidRPr="00C16321">
        <w:rPr>
          <w:rFonts w:ascii="Times New Roman" w:eastAsia="Times New Roman" w:hAnsi="Times New Roman" w:cs="Times New Roman"/>
          <w:bCs/>
        </w:rPr>
        <w:t>Maintenance II. L</w:t>
      </w:r>
    </w:p>
    <w:p w:rsidR="00C16321" w:rsidRPr="00C16321" w:rsidRDefault="00C16321" w:rsidP="00980876">
      <w:pPr>
        <w:widowControl w:val="0"/>
        <w:numPr>
          <w:ilvl w:val="0"/>
          <w:numId w:val="692"/>
        </w:numPr>
        <w:tabs>
          <w:tab w:val="num" w:pos="567"/>
        </w:tabs>
        <w:spacing w:before="120" w:after="120" w:line="240" w:lineRule="auto"/>
        <w:ind w:left="426" w:hanging="142"/>
        <w:jc w:val="both"/>
        <w:rPr>
          <w:rFonts w:ascii="Times New Roman" w:eastAsia="Times New Roman" w:hAnsi="Times New Roman" w:cs="Times New Roman"/>
          <w:b/>
          <w:bCs/>
        </w:rPr>
      </w:pPr>
      <w:r w:rsidRPr="00C16321">
        <w:rPr>
          <w:rFonts w:ascii="Times New Roman" w:eastAsia="Times New Roman" w:hAnsi="Times New Roman" w:cs="Times New Roman"/>
          <w:b/>
          <w:bCs/>
        </w:rPr>
        <w:t xml:space="preserve">Kreditérték és képzési karakter: </w:t>
      </w:r>
    </w:p>
    <w:p w:rsidR="00C16321" w:rsidRPr="00C16321" w:rsidRDefault="00C16321" w:rsidP="00980876">
      <w:pPr>
        <w:widowControl w:val="0"/>
        <w:numPr>
          <w:ilvl w:val="1"/>
          <w:numId w:val="692"/>
        </w:numPr>
        <w:spacing w:before="120" w:after="120" w:line="240" w:lineRule="auto"/>
        <w:ind w:left="993" w:hanging="426"/>
        <w:contextualSpacing/>
        <w:jc w:val="both"/>
        <w:rPr>
          <w:rFonts w:ascii="Times New Roman" w:eastAsia="Times New Roman" w:hAnsi="Times New Roman" w:cs="Times New Roman"/>
          <w:b/>
          <w:bCs/>
        </w:rPr>
      </w:pPr>
      <w:r w:rsidRPr="00C16321">
        <w:rPr>
          <w:rFonts w:ascii="Times New Roman" w:eastAsia="Times New Roman" w:hAnsi="Times New Roman" w:cs="Times New Roman"/>
          <w:bCs/>
        </w:rPr>
        <w:t>5 kredit</w:t>
      </w:r>
    </w:p>
    <w:p w:rsidR="00C16321" w:rsidRPr="00C16321" w:rsidRDefault="00C16321" w:rsidP="00980876">
      <w:pPr>
        <w:widowControl w:val="0"/>
        <w:numPr>
          <w:ilvl w:val="1"/>
          <w:numId w:val="692"/>
        </w:numPr>
        <w:spacing w:before="120" w:after="120" w:line="240" w:lineRule="auto"/>
        <w:ind w:left="993" w:hanging="426"/>
        <w:contextualSpacing/>
        <w:jc w:val="both"/>
        <w:rPr>
          <w:rFonts w:ascii="Times New Roman" w:eastAsia="Times New Roman" w:hAnsi="Times New Roman" w:cs="Times New Roman"/>
          <w:b/>
          <w:bCs/>
        </w:rPr>
      </w:pPr>
      <w:r w:rsidRPr="00C16321">
        <w:rPr>
          <w:rFonts w:ascii="Times New Roman" w:eastAsia="Times New Roman" w:hAnsi="Times New Roman" w:cs="Times New Roman"/>
          <w:bCs/>
        </w:rPr>
        <w:t>a tantárgy elméleti vagy gyakorlati jellegének mértéke: 50</w:t>
      </w:r>
      <w:r w:rsidRPr="00C16321">
        <w:rPr>
          <w:rFonts w:ascii="Times New Roman" w:eastAsia="Times New Roman" w:hAnsi="Times New Roman" w:cs="Times New Roman"/>
          <w:b/>
          <w:bCs/>
        </w:rPr>
        <w:t xml:space="preserve"> </w:t>
      </w:r>
      <w:r w:rsidRPr="00C16321">
        <w:rPr>
          <w:rFonts w:ascii="Times New Roman" w:eastAsia="Times New Roman" w:hAnsi="Times New Roman" w:cs="Times New Roman"/>
          <w:bCs/>
        </w:rPr>
        <w:t>% gyakorlat, 50 % elmélet</w:t>
      </w:r>
    </w:p>
    <w:p w:rsidR="00C16321" w:rsidRPr="00C16321" w:rsidRDefault="00C16321" w:rsidP="00980876">
      <w:pPr>
        <w:widowControl w:val="0"/>
        <w:numPr>
          <w:ilvl w:val="0"/>
          <w:numId w:val="692"/>
        </w:numPr>
        <w:spacing w:before="120" w:after="120" w:line="240" w:lineRule="auto"/>
        <w:ind w:left="426" w:hanging="142"/>
        <w:jc w:val="both"/>
        <w:rPr>
          <w:rFonts w:ascii="Times New Roman" w:eastAsia="Times New Roman" w:hAnsi="Times New Roman" w:cs="Times New Roman"/>
          <w:bCs/>
        </w:rPr>
      </w:pPr>
      <w:r w:rsidRPr="00C16321">
        <w:rPr>
          <w:rFonts w:ascii="Times New Roman" w:eastAsia="Times New Roman" w:hAnsi="Times New Roman" w:cs="Times New Roman"/>
          <w:b/>
          <w:bCs/>
        </w:rPr>
        <w:t>A szak(ok), szakirányok/specializációk megnevezése (ahol oktatják):</w:t>
      </w:r>
      <w:r w:rsidRPr="00C16321">
        <w:rPr>
          <w:rFonts w:ascii="Times New Roman" w:eastAsia="Times New Roman" w:hAnsi="Times New Roman" w:cs="Times New Roman"/>
          <w:bCs/>
        </w:rPr>
        <w:t xml:space="preserve"> Katonai logisztika (</w:t>
      </w:r>
      <w:r w:rsidR="00137B8A">
        <w:rPr>
          <w:rFonts w:ascii="Times New Roman" w:eastAsia="Times New Roman" w:hAnsi="Times New Roman" w:cs="Times New Roman"/>
          <w:bCs/>
        </w:rPr>
        <w:t>BSc</w:t>
      </w:r>
      <w:r w:rsidRPr="00C16321">
        <w:rPr>
          <w:rFonts w:ascii="Times New Roman" w:eastAsia="Times New Roman" w:hAnsi="Times New Roman" w:cs="Times New Roman"/>
          <w:bCs/>
        </w:rPr>
        <w:t>) alapképzési szak</w:t>
      </w:r>
    </w:p>
    <w:p w:rsidR="00C16321" w:rsidRPr="00C16321" w:rsidRDefault="00C16321" w:rsidP="00980876">
      <w:pPr>
        <w:widowControl w:val="0"/>
        <w:numPr>
          <w:ilvl w:val="0"/>
          <w:numId w:val="692"/>
        </w:numPr>
        <w:tabs>
          <w:tab w:val="num" w:pos="567"/>
        </w:tabs>
        <w:spacing w:before="120" w:after="120" w:line="240" w:lineRule="auto"/>
        <w:ind w:left="426" w:hanging="142"/>
        <w:jc w:val="both"/>
        <w:rPr>
          <w:rFonts w:ascii="Times New Roman" w:eastAsia="Times New Roman" w:hAnsi="Times New Roman" w:cs="Times New Roman"/>
          <w:bCs/>
        </w:rPr>
      </w:pPr>
      <w:r w:rsidRPr="00C16321">
        <w:rPr>
          <w:rFonts w:ascii="Times New Roman" w:eastAsia="Times New Roman" w:hAnsi="Times New Roman" w:cs="Times New Roman"/>
          <w:b/>
          <w:bCs/>
        </w:rPr>
        <w:t xml:space="preserve">Az oktatásért felelős oktatási szervezeti egység megnevezése: </w:t>
      </w:r>
      <w:r w:rsidRPr="00C16321">
        <w:rPr>
          <w:rFonts w:ascii="Times New Roman" w:eastAsia="Times New Roman" w:hAnsi="Times New Roman" w:cs="Times New Roman"/>
          <w:bCs/>
        </w:rPr>
        <w:t>HHK Haditechnikai Tanszék</w:t>
      </w:r>
    </w:p>
    <w:p w:rsidR="00C16321" w:rsidRPr="00C16321" w:rsidRDefault="00C16321" w:rsidP="00980876">
      <w:pPr>
        <w:widowControl w:val="0"/>
        <w:numPr>
          <w:ilvl w:val="0"/>
          <w:numId w:val="692"/>
        </w:numPr>
        <w:tabs>
          <w:tab w:val="num" w:pos="567"/>
        </w:tabs>
        <w:spacing w:before="120" w:after="120" w:line="240" w:lineRule="auto"/>
        <w:ind w:left="426" w:hanging="142"/>
        <w:jc w:val="both"/>
        <w:rPr>
          <w:rFonts w:ascii="Times New Roman" w:eastAsia="Times New Roman" w:hAnsi="Times New Roman" w:cs="Times New Roman"/>
          <w:bCs/>
        </w:rPr>
      </w:pPr>
      <w:r w:rsidRPr="00C16321">
        <w:rPr>
          <w:rFonts w:ascii="Times New Roman" w:eastAsia="Times New Roman" w:hAnsi="Times New Roman" w:cs="Times New Roman"/>
          <w:b/>
          <w:bCs/>
        </w:rPr>
        <w:t>A tantárgyfelelős oktató neve, beosztása, tudományos fokozata:</w:t>
      </w:r>
      <w:r w:rsidRPr="00C16321">
        <w:rPr>
          <w:rFonts w:ascii="Times New Roman" w:eastAsia="Times New Roman" w:hAnsi="Times New Roman" w:cs="Times New Roman"/>
          <w:bCs/>
        </w:rPr>
        <w:t xml:space="preserve"> </w:t>
      </w:r>
      <w:r w:rsidRPr="00C16321">
        <w:rPr>
          <w:rFonts w:ascii="Times New Roman" w:eastAsia="Times New Roman" w:hAnsi="Times New Roman" w:cs="Times New Roman"/>
          <w:bCs/>
          <w:lang w:eastAsia="hu-HU"/>
        </w:rPr>
        <w:t>Dr. Vég Róbert László alezredes PhD, egyetemi docens</w:t>
      </w:r>
    </w:p>
    <w:p w:rsidR="00C16321" w:rsidRPr="00C16321" w:rsidRDefault="00C16321" w:rsidP="00980876">
      <w:pPr>
        <w:widowControl w:val="0"/>
        <w:numPr>
          <w:ilvl w:val="0"/>
          <w:numId w:val="692"/>
        </w:numPr>
        <w:spacing w:before="120" w:after="120" w:line="240" w:lineRule="auto"/>
        <w:ind w:left="426" w:hanging="142"/>
        <w:jc w:val="both"/>
        <w:rPr>
          <w:rFonts w:ascii="Times New Roman" w:eastAsia="Times New Roman" w:hAnsi="Times New Roman" w:cs="Times New Roman"/>
          <w:bCs/>
        </w:rPr>
      </w:pPr>
      <w:r w:rsidRPr="00C16321">
        <w:rPr>
          <w:rFonts w:ascii="Times New Roman" w:eastAsia="Times New Roman" w:hAnsi="Times New Roman" w:cs="Times New Roman"/>
          <w:b/>
          <w:bCs/>
        </w:rPr>
        <w:t>A tanórák száma és típusa</w:t>
      </w:r>
    </w:p>
    <w:p w:rsidR="00C16321" w:rsidRPr="00C16321" w:rsidRDefault="00C16321" w:rsidP="00980876">
      <w:pPr>
        <w:widowControl w:val="0"/>
        <w:numPr>
          <w:ilvl w:val="1"/>
          <w:numId w:val="692"/>
        </w:numPr>
        <w:tabs>
          <w:tab w:val="num" w:pos="709"/>
          <w:tab w:val="num" w:pos="2069"/>
        </w:tabs>
        <w:spacing w:before="120" w:after="120" w:line="240" w:lineRule="auto"/>
        <w:ind w:left="851" w:hanging="425"/>
        <w:jc w:val="both"/>
        <w:rPr>
          <w:rFonts w:ascii="Times New Roman" w:eastAsia="Times New Roman" w:hAnsi="Times New Roman" w:cs="Times New Roman"/>
          <w:bCs/>
        </w:rPr>
      </w:pPr>
      <w:r w:rsidRPr="00C16321">
        <w:rPr>
          <w:rFonts w:ascii="Times New Roman" w:eastAsia="Times New Roman" w:hAnsi="Times New Roman" w:cs="Times New Roman"/>
          <w:bCs/>
        </w:rPr>
        <w:t>össz óraszám/félév:</w:t>
      </w:r>
    </w:p>
    <w:p w:rsidR="00C16321" w:rsidRPr="00C16321" w:rsidRDefault="00C16321" w:rsidP="00980876">
      <w:pPr>
        <w:widowControl w:val="0"/>
        <w:numPr>
          <w:ilvl w:val="2"/>
          <w:numId w:val="692"/>
        </w:numPr>
        <w:tabs>
          <w:tab w:val="num" w:pos="709"/>
          <w:tab w:val="num" w:pos="1134"/>
        </w:tabs>
        <w:spacing w:after="0" w:line="240" w:lineRule="auto"/>
        <w:ind w:left="992" w:hanging="425"/>
        <w:jc w:val="both"/>
        <w:rPr>
          <w:rFonts w:ascii="Times New Roman" w:eastAsia="Times New Roman" w:hAnsi="Times New Roman" w:cs="Times New Roman"/>
          <w:bCs/>
        </w:rPr>
      </w:pPr>
      <w:r w:rsidRPr="00C16321">
        <w:rPr>
          <w:rFonts w:ascii="Times New Roman" w:eastAsia="Times New Roman" w:hAnsi="Times New Roman" w:cs="Times New Roman"/>
          <w:bCs/>
        </w:rPr>
        <w:t>nappali munkarend: 56 (28 EA + 0 SZ + 28 GY)</w:t>
      </w:r>
    </w:p>
    <w:p w:rsidR="00C16321" w:rsidRPr="00C16321" w:rsidRDefault="00C16321" w:rsidP="00980876">
      <w:pPr>
        <w:widowControl w:val="0"/>
        <w:numPr>
          <w:ilvl w:val="2"/>
          <w:numId w:val="692"/>
        </w:numPr>
        <w:tabs>
          <w:tab w:val="num" w:pos="709"/>
          <w:tab w:val="num" w:pos="1134"/>
        </w:tabs>
        <w:spacing w:after="0" w:line="240" w:lineRule="auto"/>
        <w:ind w:left="992" w:hanging="425"/>
        <w:jc w:val="both"/>
        <w:rPr>
          <w:rFonts w:ascii="Times New Roman" w:eastAsia="Times New Roman" w:hAnsi="Times New Roman" w:cs="Times New Roman"/>
          <w:bCs/>
        </w:rPr>
      </w:pPr>
      <w:r w:rsidRPr="00C16321">
        <w:rPr>
          <w:rFonts w:ascii="Times New Roman" w:eastAsia="Times New Roman" w:hAnsi="Times New Roman" w:cs="Times New Roman"/>
          <w:bCs/>
        </w:rPr>
        <w:t>levelező munkarend: - (- EA + - SZ + - GY)</w:t>
      </w:r>
    </w:p>
    <w:p w:rsidR="00C16321" w:rsidRPr="00C16321" w:rsidRDefault="00C16321" w:rsidP="00980876">
      <w:pPr>
        <w:widowControl w:val="0"/>
        <w:numPr>
          <w:ilvl w:val="1"/>
          <w:numId w:val="692"/>
        </w:numPr>
        <w:tabs>
          <w:tab w:val="num" w:pos="709"/>
          <w:tab w:val="num" w:pos="2069"/>
        </w:tabs>
        <w:spacing w:before="120" w:after="120" w:line="240" w:lineRule="auto"/>
        <w:ind w:left="851" w:hanging="425"/>
        <w:jc w:val="both"/>
        <w:rPr>
          <w:rFonts w:ascii="Times New Roman" w:eastAsia="Times New Roman" w:hAnsi="Times New Roman" w:cs="Times New Roman"/>
          <w:bCs/>
        </w:rPr>
      </w:pPr>
      <w:r w:rsidRPr="00C16321">
        <w:rPr>
          <w:rFonts w:ascii="Times New Roman" w:eastAsia="Times New Roman" w:hAnsi="Times New Roman" w:cs="Times New Roman"/>
          <w:bCs/>
        </w:rPr>
        <w:t>heti óraszám - nappali munkarend: 4 (2+2)</w:t>
      </w:r>
    </w:p>
    <w:p w:rsidR="00C16321" w:rsidRPr="00C16321" w:rsidRDefault="00C16321" w:rsidP="00980876">
      <w:pPr>
        <w:widowControl w:val="0"/>
        <w:numPr>
          <w:ilvl w:val="1"/>
          <w:numId w:val="692"/>
        </w:numPr>
        <w:tabs>
          <w:tab w:val="num" w:pos="709"/>
          <w:tab w:val="num" w:pos="2069"/>
        </w:tabs>
        <w:spacing w:before="120" w:after="120" w:line="240" w:lineRule="auto"/>
        <w:ind w:left="851" w:hanging="425"/>
        <w:jc w:val="both"/>
        <w:rPr>
          <w:rFonts w:ascii="Times New Roman" w:eastAsia="Times New Roman" w:hAnsi="Times New Roman" w:cs="Times New Roman"/>
          <w:bCs/>
        </w:rPr>
      </w:pPr>
      <w:r w:rsidRPr="00C16321">
        <w:rPr>
          <w:rFonts w:ascii="Times New Roman" w:eastAsia="Calibri" w:hAnsi="Times New Roman" w:cs="Times New Roman"/>
        </w:rPr>
        <w:t>Az ismeret átadásában alkalmazandó további sajátos módok, jellemzők: Az ismeretek feldolgozása vegyes tanulási program (blended learning) alapján történik.</w:t>
      </w:r>
    </w:p>
    <w:p w:rsidR="00C16321" w:rsidRPr="00C16321" w:rsidRDefault="00C16321" w:rsidP="00980876">
      <w:pPr>
        <w:widowControl w:val="0"/>
        <w:numPr>
          <w:ilvl w:val="0"/>
          <w:numId w:val="692"/>
        </w:numPr>
        <w:spacing w:before="120" w:after="120" w:line="240" w:lineRule="auto"/>
        <w:ind w:left="426" w:hanging="142"/>
        <w:jc w:val="both"/>
        <w:rPr>
          <w:rFonts w:ascii="Times New Roman" w:eastAsia="Times New Roman" w:hAnsi="Times New Roman" w:cs="Times New Roman"/>
          <w:bCs/>
        </w:rPr>
      </w:pPr>
      <w:r w:rsidRPr="00C16321">
        <w:rPr>
          <w:rFonts w:ascii="Times New Roman" w:eastAsia="Times New Roman" w:hAnsi="Times New Roman" w:cs="Times New Roman"/>
          <w:b/>
          <w:bCs/>
        </w:rPr>
        <w:t xml:space="preserve">A tantárgy szakmai tartalma (magyarul): </w:t>
      </w:r>
      <w:r w:rsidRPr="00C16321">
        <w:rPr>
          <w:rFonts w:ascii="Times New Roman" w:eastAsia="Times New Roman" w:hAnsi="Times New Roman" w:cs="Times New Roman"/>
          <w:bCs/>
          <w:lang w:eastAsia="hu-HU"/>
        </w:rPr>
        <w:t>Kerekes és lánctalpas futóművek igénybevétele, meghibásodásai, hibafelvétele, szerelési műveletei, javítása. Futómű diagnosztika, technikai kiszolgálási műveletek. Kormányszerkezetek meghibásodása, hibafelvétele, szétszerelése, diagnosztikai vizsgálata, javítása. Fékszerkezetek meghibásodásai, hibafelvétele, szét- és összeszerelése javítása. Fékberendezések diagnosztikai vizsgálata és technikai kiszolgálása. Kocsiszekrény, páncéltest, fegyver és különleges berendezések üzemeltetési sajátosságai, meghibásodásai, hibafelvétele, javítása és technikai kiszolgálása.</w:t>
      </w:r>
    </w:p>
    <w:p w:rsidR="00C16321" w:rsidRPr="00C16321" w:rsidRDefault="00C16321" w:rsidP="00C16321">
      <w:pPr>
        <w:widowControl w:val="0"/>
        <w:spacing w:before="120" w:after="120" w:line="240" w:lineRule="auto"/>
        <w:ind w:left="426"/>
        <w:jc w:val="both"/>
        <w:rPr>
          <w:rFonts w:ascii="Times New Roman" w:eastAsia="Times New Roman" w:hAnsi="Times New Roman" w:cs="Times New Roman"/>
          <w:bCs/>
          <w:lang w:val="en-GB"/>
        </w:rPr>
      </w:pPr>
      <w:r w:rsidRPr="00C16321">
        <w:rPr>
          <w:rFonts w:ascii="Times New Roman" w:eastAsia="Times New Roman" w:hAnsi="Times New Roman" w:cs="Times New Roman"/>
          <w:b/>
          <w:bCs/>
        </w:rPr>
        <w:t>A tantárgy szakmai tartalma (angolul) (</w:t>
      </w:r>
      <w:r w:rsidRPr="00C16321">
        <w:rPr>
          <w:rFonts w:ascii="Times New Roman" w:eastAsia="Times New Roman" w:hAnsi="Times New Roman" w:cs="Times New Roman"/>
          <w:b/>
          <w:bCs/>
          <w:lang w:val="en-US"/>
        </w:rPr>
        <w:t>Course description</w:t>
      </w:r>
      <w:r w:rsidRPr="00C16321">
        <w:rPr>
          <w:rFonts w:ascii="Times New Roman" w:eastAsia="Times New Roman" w:hAnsi="Times New Roman" w:cs="Times New Roman"/>
          <w:b/>
          <w:bCs/>
        </w:rPr>
        <w:t xml:space="preserve">): </w:t>
      </w:r>
      <w:r w:rsidRPr="00C16321">
        <w:rPr>
          <w:rFonts w:ascii="Times New Roman" w:eastAsia="Times New Roman" w:hAnsi="Times New Roman" w:cs="Times New Roman"/>
          <w:bCs/>
          <w:lang w:eastAsia="hu-HU"/>
        </w:rPr>
        <w:t>Usage, faliure registration, diagnostics repair of wheeled and tracked vehicle. Suspension diagnostics, technical service operations. Failure, dismantling, diagnostics, testing and repair of steering gears. Fault sampling, disassembly and assembly of brake components. Diagnostical testing and maintenance of braking devices. Operational specifications, malfunctions, fault recognition, repair and maintenance of armor, weapon and special equipments.</w:t>
      </w:r>
    </w:p>
    <w:p w:rsidR="00C16321" w:rsidRPr="00C16321" w:rsidRDefault="00C16321" w:rsidP="00980876">
      <w:pPr>
        <w:widowControl w:val="0"/>
        <w:numPr>
          <w:ilvl w:val="0"/>
          <w:numId w:val="692"/>
        </w:numPr>
        <w:spacing w:before="120" w:after="120" w:line="240" w:lineRule="auto"/>
        <w:contextualSpacing/>
        <w:jc w:val="both"/>
        <w:rPr>
          <w:rFonts w:ascii="Times New Roman" w:eastAsia="Times New Roman" w:hAnsi="Times New Roman" w:cs="Times New Roman"/>
          <w:bCs/>
        </w:rPr>
      </w:pPr>
      <w:r w:rsidRPr="00C16321">
        <w:rPr>
          <w:rFonts w:ascii="Times New Roman" w:eastAsia="Times New Roman" w:hAnsi="Times New Roman" w:cs="Times New Roman"/>
          <w:b/>
          <w:bCs/>
        </w:rPr>
        <w:t xml:space="preserve">Elérendő kompetenciák (magyarul): </w:t>
      </w:r>
    </w:p>
    <w:p w:rsidR="00C16321" w:rsidRPr="00C16321" w:rsidRDefault="00C16321" w:rsidP="00C16321">
      <w:pPr>
        <w:widowControl w:val="0"/>
        <w:spacing w:before="120" w:after="120" w:line="240" w:lineRule="auto"/>
        <w:ind w:left="426"/>
        <w:jc w:val="both"/>
        <w:rPr>
          <w:rFonts w:ascii="Times New Roman" w:eastAsia="Times New Roman" w:hAnsi="Times New Roman" w:cs="Times New Roman"/>
          <w:bCs/>
        </w:rPr>
      </w:pPr>
      <w:r w:rsidRPr="00C16321">
        <w:rPr>
          <w:rFonts w:ascii="Times New Roman" w:eastAsia="Times New Roman" w:hAnsi="Times New Roman" w:cs="Times New Roman"/>
          <w:b/>
          <w:bCs/>
        </w:rPr>
        <w:t>Tudása:</w:t>
      </w:r>
    </w:p>
    <w:p w:rsidR="00C16321" w:rsidRPr="00C16321" w:rsidRDefault="00C16321" w:rsidP="00980876">
      <w:pPr>
        <w:widowControl w:val="0"/>
        <w:numPr>
          <w:ilvl w:val="0"/>
          <w:numId w:val="684"/>
        </w:numPr>
        <w:spacing w:after="0" w:line="240" w:lineRule="auto"/>
        <w:ind w:left="993"/>
        <w:contextualSpacing/>
        <w:jc w:val="both"/>
        <w:rPr>
          <w:rFonts w:ascii="Times New Roman" w:eastAsia="Times New Roman" w:hAnsi="Times New Roman" w:cs="Times New Roman"/>
          <w:bCs/>
        </w:rPr>
      </w:pPr>
      <w:r w:rsidRPr="00C16321">
        <w:rPr>
          <w:rFonts w:ascii="Times New Roman" w:eastAsia="Times New Roman" w:hAnsi="Times New Roman" w:cs="Times New Roman"/>
          <w:bCs/>
        </w:rPr>
        <w:t>Ismeri a páncélos- és gépjárműtechnikai eszközök felépítését, berendezéseit, azok működését és üzemeltetési rendjét.</w:t>
      </w:r>
    </w:p>
    <w:p w:rsidR="00C16321" w:rsidRPr="00C16321" w:rsidRDefault="00C16321" w:rsidP="00980876">
      <w:pPr>
        <w:widowControl w:val="0"/>
        <w:numPr>
          <w:ilvl w:val="0"/>
          <w:numId w:val="684"/>
        </w:numPr>
        <w:spacing w:after="0" w:line="240" w:lineRule="auto"/>
        <w:ind w:left="993"/>
        <w:contextualSpacing/>
        <w:jc w:val="both"/>
        <w:rPr>
          <w:rFonts w:ascii="Times New Roman" w:eastAsia="Times New Roman" w:hAnsi="Times New Roman" w:cs="Times New Roman"/>
          <w:bCs/>
        </w:rPr>
      </w:pPr>
      <w:r w:rsidRPr="00C16321">
        <w:rPr>
          <w:rFonts w:ascii="Times New Roman" w:eastAsia="Times New Roman" w:hAnsi="Times New Roman" w:cs="Times New Roman"/>
          <w:bCs/>
        </w:rPr>
        <w:t>Ismeri és alkalmazni tudja a páncélos- és gépjárműtechnikai eszközök technikai kiszolgálásának tervezéséhez szükséges eljárásokat.</w:t>
      </w:r>
    </w:p>
    <w:p w:rsidR="00C16321" w:rsidRPr="00C16321" w:rsidRDefault="00C16321" w:rsidP="00980876">
      <w:pPr>
        <w:widowControl w:val="0"/>
        <w:numPr>
          <w:ilvl w:val="0"/>
          <w:numId w:val="684"/>
        </w:numPr>
        <w:spacing w:after="0" w:line="240" w:lineRule="auto"/>
        <w:ind w:left="993"/>
        <w:contextualSpacing/>
        <w:jc w:val="both"/>
        <w:rPr>
          <w:rFonts w:ascii="Times New Roman" w:eastAsia="Times New Roman" w:hAnsi="Times New Roman" w:cs="Times New Roman"/>
          <w:bCs/>
        </w:rPr>
      </w:pPr>
      <w:r w:rsidRPr="00C16321">
        <w:rPr>
          <w:rFonts w:ascii="Times New Roman" w:eastAsia="Times New Roman" w:hAnsi="Times New Roman" w:cs="Times New Roman"/>
          <w:bCs/>
        </w:rPr>
        <w:t>Ismeri a páncélos- és gépjárműtechnikai eszközök fődarabjainak és részegységeinek karbantartását, ellenőrzését, az egyes szerelési egységek hibáinak behatárolási és javítási módjait.</w:t>
      </w:r>
    </w:p>
    <w:p w:rsidR="00C16321" w:rsidRPr="00C16321" w:rsidRDefault="00C16321" w:rsidP="00980876">
      <w:pPr>
        <w:widowControl w:val="0"/>
        <w:numPr>
          <w:ilvl w:val="0"/>
          <w:numId w:val="684"/>
        </w:numPr>
        <w:spacing w:after="0" w:line="240" w:lineRule="auto"/>
        <w:ind w:left="993"/>
        <w:contextualSpacing/>
        <w:jc w:val="both"/>
        <w:rPr>
          <w:rFonts w:ascii="Times New Roman" w:eastAsia="Times New Roman" w:hAnsi="Times New Roman" w:cs="Times New Roman"/>
          <w:bCs/>
        </w:rPr>
      </w:pPr>
      <w:r w:rsidRPr="00C16321">
        <w:rPr>
          <w:rFonts w:ascii="Times New Roman" w:eastAsia="Times New Roman" w:hAnsi="Times New Roman" w:cs="Times New Roman"/>
          <w:bCs/>
        </w:rPr>
        <w:t xml:space="preserve">Ismeri a páncélos- és gépjárműtechnikai eszközök ellátáshoz és fenntartásához szükséges </w:t>
      </w:r>
      <w:r w:rsidRPr="00C16321">
        <w:rPr>
          <w:rFonts w:ascii="Times New Roman" w:eastAsia="Times New Roman" w:hAnsi="Times New Roman" w:cs="Times New Roman"/>
          <w:bCs/>
        </w:rPr>
        <w:lastRenderedPageBreak/>
        <w:t>anyagok körét.</w:t>
      </w:r>
    </w:p>
    <w:p w:rsidR="00C16321" w:rsidRPr="00C16321" w:rsidRDefault="00C16321" w:rsidP="00980876">
      <w:pPr>
        <w:widowControl w:val="0"/>
        <w:numPr>
          <w:ilvl w:val="0"/>
          <w:numId w:val="684"/>
        </w:numPr>
        <w:spacing w:after="0" w:line="240" w:lineRule="auto"/>
        <w:ind w:left="993"/>
        <w:contextualSpacing/>
        <w:jc w:val="both"/>
        <w:rPr>
          <w:rFonts w:ascii="Times New Roman" w:eastAsia="Times New Roman" w:hAnsi="Times New Roman" w:cs="Times New Roman"/>
          <w:bCs/>
        </w:rPr>
      </w:pPr>
      <w:r w:rsidRPr="00C16321">
        <w:rPr>
          <w:rFonts w:ascii="Times New Roman" w:eastAsia="Times New Roman" w:hAnsi="Times New Roman" w:cs="Times New Roman"/>
          <w:bCs/>
        </w:rPr>
        <w:t>Ismeri a szakfeladatainak ellátásához szükséges munkavédelmi rendszabályokat.</w:t>
      </w:r>
    </w:p>
    <w:p w:rsidR="00C16321" w:rsidRPr="00C16321" w:rsidRDefault="00C16321" w:rsidP="00980876">
      <w:pPr>
        <w:widowControl w:val="0"/>
        <w:numPr>
          <w:ilvl w:val="0"/>
          <w:numId w:val="684"/>
        </w:numPr>
        <w:spacing w:after="0" w:line="240" w:lineRule="auto"/>
        <w:ind w:left="993"/>
        <w:contextualSpacing/>
        <w:jc w:val="both"/>
        <w:rPr>
          <w:rFonts w:ascii="Times New Roman" w:eastAsia="Times New Roman" w:hAnsi="Times New Roman" w:cs="Times New Roman"/>
          <w:bCs/>
        </w:rPr>
      </w:pPr>
      <w:r w:rsidRPr="00C16321">
        <w:rPr>
          <w:rFonts w:ascii="Times New Roman" w:eastAsia="Times New Roman" w:hAnsi="Times New Roman" w:cs="Times New Roman"/>
          <w:bCs/>
        </w:rPr>
        <w:t>Megfelelő mélységű és spektrumú páncélos- és gépjárműtechnikai típusismerettel rendelkezik.</w:t>
      </w:r>
    </w:p>
    <w:p w:rsidR="00C16321" w:rsidRPr="00C16321" w:rsidRDefault="00C16321" w:rsidP="00C16321">
      <w:pPr>
        <w:widowControl w:val="0"/>
        <w:spacing w:before="120" w:after="120" w:line="240" w:lineRule="auto"/>
        <w:ind w:left="426"/>
        <w:jc w:val="both"/>
        <w:rPr>
          <w:rFonts w:ascii="Times New Roman" w:eastAsia="Times New Roman" w:hAnsi="Times New Roman" w:cs="Times New Roman"/>
          <w:bCs/>
        </w:rPr>
      </w:pPr>
      <w:r w:rsidRPr="00C16321">
        <w:rPr>
          <w:rFonts w:ascii="Times New Roman" w:eastAsia="Times New Roman" w:hAnsi="Times New Roman" w:cs="Times New Roman"/>
          <w:b/>
          <w:bCs/>
        </w:rPr>
        <w:t>Képességei:</w:t>
      </w:r>
    </w:p>
    <w:p w:rsidR="00C16321" w:rsidRPr="00C16321" w:rsidRDefault="00C16321" w:rsidP="00980876">
      <w:pPr>
        <w:widowControl w:val="0"/>
        <w:numPr>
          <w:ilvl w:val="0"/>
          <w:numId w:val="685"/>
        </w:numPr>
        <w:spacing w:after="0" w:line="240" w:lineRule="auto"/>
        <w:ind w:left="993"/>
        <w:contextualSpacing/>
        <w:jc w:val="both"/>
        <w:rPr>
          <w:rFonts w:ascii="Times New Roman" w:eastAsia="Times New Roman" w:hAnsi="Times New Roman" w:cs="Times New Roman"/>
          <w:bCs/>
        </w:rPr>
      </w:pPr>
      <w:r w:rsidRPr="00C16321">
        <w:rPr>
          <w:rFonts w:ascii="Times New Roman" w:eastAsia="Times New Roman" w:hAnsi="Times New Roman" w:cs="Times New Roman"/>
          <w:bCs/>
        </w:rPr>
        <w:t>Képes a szakterületén rendszeresített és használt berendezések és technikai eszközök használatának megszervezésére és hatékony alkalmazására.</w:t>
      </w:r>
    </w:p>
    <w:p w:rsidR="00C16321" w:rsidRPr="00C16321" w:rsidRDefault="00C16321" w:rsidP="00980876">
      <w:pPr>
        <w:widowControl w:val="0"/>
        <w:numPr>
          <w:ilvl w:val="0"/>
          <w:numId w:val="685"/>
        </w:numPr>
        <w:spacing w:after="0" w:line="240" w:lineRule="auto"/>
        <w:ind w:left="993"/>
        <w:contextualSpacing/>
        <w:jc w:val="both"/>
        <w:rPr>
          <w:rFonts w:ascii="Times New Roman" w:eastAsia="Times New Roman" w:hAnsi="Times New Roman" w:cs="Times New Roman"/>
          <w:bCs/>
        </w:rPr>
      </w:pPr>
      <w:r w:rsidRPr="00C16321">
        <w:rPr>
          <w:rFonts w:ascii="Times New Roman" w:eastAsia="Times New Roman" w:hAnsi="Times New Roman" w:cs="Times New Roman"/>
          <w:bCs/>
        </w:rPr>
        <w:t>Képes a technológiai utasításoknak megfelelően a páncélos- és gépjárműtechnikai eszközök technikai kiszolgálásának szakszerű végrehajtására, illetve a végrehajtás megszervezésére és ellenőrzésére.</w:t>
      </w:r>
    </w:p>
    <w:p w:rsidR="00C16321" w:rsidRPr="00C16321" w:rsidRDefault="00C16321" w:rsidP="00980876">
      <w:pPr>
        <w:widowControl w:val="0"/>
        <w:numPr>
          <w:ilvl w:val="0"/>
          <w:numId w:val="685"/>
        </w:numPr>
        <w:spacing w:after="0" w:line="240" w:lineRule="auto"/>
        <w:ind w:left="993"/>
        <w:contextualSpacing/>
        <w:jc w:val="both"/>
        <w:rPr>
          <w:rFonts w:ascii="Times New Roman" w:eastAsia="Times New Roman" w:hAnsi="Times New Roman" w:cs="Times New Roman"/>
          <w:bCs/>
        </w:rPr>
      </w:pPr>
      <w:r w:rsidRPr="00C16321">
        <w:rPr>
          <w:rFonts w:ascii="Times New Roman" w:eastAsia="Times New Roman" w:hAnsi="Times New Roman" w:cs="Times New Roman"/>
          <w:bCs/>
        </w:rPr>
        <w:t>Képes az alegységszinten elvégzendő szükség szerinti javítások megszervezésére, végrehajtására és a végrehajtás ellenőrzésére.</w:t>
      </w:r>
    </w:p>
    <w:p w:rsidR="00C16321" w:rsidRPr="00C16321" w:rsidRDefault="00C16321" w:rsidP="00980876">
      <w:pPr>
        <w:widowControl w:val="0"/>
        <w:numPr>
          <w:ilvl w:val="0"/>
          <w:numId w:val="685"/>
        </w:numPr>
        <w:spacing w:after="0" w:line="240" w:lineRule="auto"/>
        <w:ind w:left="993"/>
        <w:contextualSpacing/>
        <w:jc w:val="both"/>
        <w:rPr>
          <w:rFonts w:ascii="Times New Roman" w:eastAsia="Times New Roman" w:hAnsi="Times New Roman" w:cs="Times New Roman"/>
          <w:bCs/>
        </w:rPr>
      </w:pPr>
      <w:r w:rsidRPr="00C16321">
        <w:rPr>
          <w:rFonts w:ascii="Times New Roman" w:eastAsia="Times New Roman" w:hAnsi="Times New Roman" w:cs="Times New Roman"/>
          <w:bCs/>
        </w:rPr>
        <w:t>Képes a páncélos- és gépjárműtechnikai eszközök rendszerben tartását tervezni, szervezni és irányítani.</w:t>
      </w:r>
    </w:p>
    <w:p w:rsidR="00C16321" w:rsidRPr="00C16321" w:rsidRDefault="00C16321" w:rsidP="00980876">
      <w:pPr>
        <w:widowControl w:val="0"/>
        <w:numPr>
          <w:ilvl w:val="0"/>
          <w:numId w:val="685"/>
        </w:numPr>
        <w:spacing w:after="0" w:line="240" w:lineRule="auto"/>
        <w:ind w:left="993"/>
        <w:contextualSpacing/>
        <w:jc w:val="both"/>
        <w:rPr>
          <w:rFonts w:ascii="Times New Roman" w:eastAsia="Times New Roman" w:hAnsi="Times New Roman" w:cs="Times New Roman"/>
          <w:bCs/>
        </w:rPr>
      </w:pPr>
      <w:r w:rsidRPr="00C16321">
        <w:rPr>
          <w:rFonts w:ascii="Times New Roman" w:eastAsia="Times New Roman" w:hAnsi="Times New Roman" w:cs="Times New Roman"/>
          <w:bCs/>
        </w:rPr>
        <w:t>Képes a biztonságos munkavégzés feltételeit megteremteni, a biztonságos munkavégzéshez szükséges szabályokat másokkal is betartatni.</w:t>
      </w:r>
    </w:p>
    <w:p w:rsidR="00C16321" w:rsidRPr="00C16321" w:rsidRDefault="00C16321" w:rsidP="00980876">
      <w:pPr>
        <w:widowControl w:val="0"/>
        <w:numPr>
          <w:ilvl w:val="0"/>
          <w:numId w:val="685"/>
        </w:numPr>
        <w:spacing w:after="0" w:line="240" w:lineRule="auto"/>
        <w:ind w:left="993"/>
        <w:contextualSpacing/>
        <w:jc w:val="both"/>
        <w:rPr>
          <w:rFonts w:ascii="Times New Roman" w:eastAsia="Times New Roman" w:hAnsi="Times New Roman" w:cs="Times New Roman"/>
          <w:bCs/>
        </w:rPr>
      </w:pPr>
      <w:r w:rsidRPr="00C16321">
        <w:rPr>
          <w:rFonts w:ascii="Times New Roman" w:eastAsia="Times New Roman" w:hAnsi="Times New Roman" w:cs="Times New Roman"/>
          <w:bCs/>
        </w:rPr>
        <w:t>Képes az alárendeltségében levő szakjavító alegység munkájának a megtervezésére, megszervezésére, irányítására és ellenőrzésére.</w:t>
      </w:r>
    </w:p>
    <w:p w:rsidR="00C16321" w:rsidRPr="00C16321" w:rsidRDefault="00C16321" w:rsidP="00C16321">
      <w:pPr>
        <w:widowControl w:val="0"/>
        <w:spacing w:before="120" w:after="120" w:line="240" w:lineRule="auto"/>
        <w:ind w:left="426"/>
        <w:jc w:val="both"/>
        <w:rPr>
          <w:rFonts w:ascii="Times New Roman" w:eastAsia="Times New Roman" w:hAnsi="Times New Roman" w:cs="Times New Roman"/>
          <w:bCs/>
        </w:rPr>
      </w:pPr>
      <w:r w:rsidRPr="00C16321">
        <w:rPr>
          <w:rFonts w:ascii="Times New Roman" w:eastAsia="Times New Roman" w:hAnsi="Times New Roman" w:cs="Times New Roman"/>
          <w:b/>
          <w:bCs/>
        </w:rPr>
        <w:t>Attitűdje:</w:t>
      </w:r>
    </w:p>
    <w:p w:rsidR="00C16321" w:rsidRPr="00C16321" w:rsidRDefault="00C16321" w:rsidP="00980876">
      <w:pPr>
        <w:widowControl w:val="0"/>
        <w:numPr>
          <w:ilvl w:val="0"/>
          <w:numId w:val="686"/>
        </w:numPr>
        <w:spacing w:after="0" w:line="240" w:lineRule="auto"/>
        <w:ind w:left="993"/>
        <w:contextualSpacing/>
        <w:jc w:val="both"/>
        <w:rPr>
          <w:rFonts w:ascii="Times New Roman" w:eastAsia="Times New Roman" w:hAnsi="Times New Roman" w:cs="Times New Roman"/>
          <w:bCs/>
        </w:rPr>
      </w:pPr>
      <w:r w:rsidRPr="00C16321">
        <w:rPr>
          <w:rFonts w:ascii="Times New Roman" w:eastAsia="Times New Roman" w:hAnsi="Times New Roman" w:cs="Times New Roman"/>
          <w:bCs/>
        </w:rPr>
        <w:t>Nyitott a páncélos- és gépjárműtechnikával kapcsolatos szakmai ismereteinek gyarapítása iránt, folyamatos önképzési igény jellemzi.</w:t>
      </w:r>
    </w:p>
    <w:p w:rsidR="00C16321" w:rsidRPr="00C16321" w:rsidRDefault="00C16321" w:rsidP="00980876">
      <w:pPr>
        <w:widowControl w:val="0"/>
        <w:numPr>
          <w:ilvl w:val="0"/>
          <w:numId w:val="686"/>
        </w:numPr>
        <w:spacing w:after="0" w:line="240" w:lineRule="auto"/>
        <w:ind w:left="993"/>
        <w:contextualSpacing/>
        <w:jc w:val="both"/>
        <w:rPr>
          <w:rFonts w:ascii="Times New Roman" w:eastAsia="Times New Roman" w:hAnsi="Times New Roman" w:cs="Times New Roman"/>
          <w:bCs/>
        </w:rPr>
      </w:pPr>
      <w:r w:rsidRPr="00C16321">
        <w:rPr>
          <w:rFonts w:ascii="Times New Roman" w:eastAsia="Times New Roman" w:hAnsi="Times New Roman" w:cs="Times New Roman"/>
          <w:bCs/>
        </w:rPr>
        <w:t>Törekszik munkája során a vonatkozó szabályok betartására és betartatására.</w:t>
      </w:r>
    </w:p>
    <w:p w:rsidR="00C16321" w:rsidRPr="00C16321" w:rsidRDefault="00C16321" w:rsidP="00980876">
      <w:pPr>
        <w:widowControl w:val="0"/>
        <w:numPr>
          <w:ilvl w:val="0"/>
          <w:numId w:val="686"/>
        </w:numPr>
        <w:spacing w:after="0" w:line="240" w:lineRule="auto"/>
        <w:ind w:left="993"/>
        <w:contextualSpacing/>
        <w:jc w:val="both"/>
        <w:rPr>
          <w:rFonts w:ascii="Times New Roman" w:eastAsia="Times New Roman" w:hAnsi="Times New Roman" w:cs="Times New Roman"/>
          <w:bCs/>
        </w:rPr>
      </w:pPr>
      <w:r w:rsidRPr="00C16321">
        <w:rPr>
          <w:rFonts w:ascii="Times New Roman" w:eastAsia="Times New Roman" w:hAnsi="Times New Roman" w:cs="Times New Roman"/>
          <w:bCs/>
        </w:rPr>
        <w:t>Munkáját és emberi kapcsolatait a megbízhatóság jellemzi.</w:t>
      </w:r>
    </w:p>
    <w:p w:rsidR="00C16321" w:rsidRPr="00C16321" w:rsidRDefault="00C16321" w:rsidP="00980876">
      <w:pPr>
        <w:widowControl w:val="0"/>
        <w:numPr>
          <w:ilvl w:val="0"/>
          <w:numId w:val="686"/>
        </w:numPr>
        <w:spacing w:after="0" w:line="240" w:lineRule="auto"/>
        <w:ind w:left="993"/>
        <w:contextualSpacing/>
        <w:jc w:val="both"/>
        <w:rPr>
          <w:rFonts w:ascii="Times New Roman" w:eastAsia="Times New Roman" w:hAnsi="Times New Roman" w:cs="Times New Roman"/>
          <w:bCs/>
        </w:rPr>
      </w:pPr>
      <w:r w:rsidRPr="00C16321">
        <w:rPr>
          <w:rFonts w:ascii="Times New Roman" w:eastAsia="Times New Roman" w:hAnsi="Times New Roman" w:cs="Times New Roman"/>
          <w:bCs/>
        </w:rPr>
        <w:t>Nyitott a haditechnikai szakterület új eredményei felé, törekszik azok megismerésére.</w:t>
      </w:r>
    </w:p>
    <w:p w:rsidR="00C16321" w:rsidRPr="00C16321" w:rsidRDefault="00C16321" w:rsidP="00C16321">
      <w:pPr>
        <w:widowControl w:val="0"/>
        <w:spacing w:before="120" w:after="120" w:line="240" w:lineRule="auto"/>
        <w:ind w:left="426"/>
        <w:jc w:val="both"/>
        <w:rPr>
          <w:rFonts w:ascii="Times New Roman" w:eastAsia="Times New Roman" w:hAnsi="Times New Roman" w:cs="Times New Roman"/>
          <w:bCs/>
        </w:rPr>
      </w:pPr>
      <w:r w:rsidRPr="00C16321">
        <w:rPr>
          <w:rFonts w:ascii="Times New Roman" w:eastAsia="Times New Roman" w:hAnsi="Times New Roman" w:cs="Times New Roman"/>
          <w:b/>
          <w:bCs/>
        </w:rPr>
        <w:t>Autonómiája és felelőssége:</w:t>
      </w:r>
    </w:p>
    <w:p w:rsidR="00C16321" w:rsidRPr="00C16321" w:rsidRDefault="00C16321" w:rsidP="00980876">
      <w:pPr>
        <w:widowControl w:val="0"/>
        <w:numPr>
          <w:ilvl w:val="0"/>
          <w:numId w:val="687"/>
        </w:numPr>
        <w:spacing w:after="0" w:line="240" w:lineRule="auto"/>
        <w:ind w:left="993"/>
        <w:contextualSpacing/>
        <w:jc w:val="both"/>
        <w:rPr>
          <w:rFonts w:ascii="Times New Roman" w:eastAsia="Times New Roman" w:hAnsi="Times New Roman" w:cs="Times New Roman"/>
          <w:bCs/>
        </w:rPr>
      </w:pPr>
      <w:r w:rsidRPr="00C16321">
        <w:rPr>
          <w:rFonts w:ascii="Times New Roman" w:eastAsia="Times New Roman" w:hAnsi="Times New Roman" w:cs="Times New Roman"/>
          <w:bCs/>
        </w:rPr>
        <w:t>Képes alárendeltjeinek feladatait megszervezni és meghatározni, valamint elvégzett munkájukat szakmai szempontok alapján ellenőrizni.</w:t>
      </w:r>
    </w:p>
    <w:p w:rsidR="00C16321" w:rsidRPr="00C16321" w:rsidRDefault="00C16321" w:rsidP="00980876">
      <w:pPr>
        <w:widowControl w:val="0"/>
        <w:numPr>
          <w:ilvl w:val="0"/>
          <w:numId w:val="687"/>
        </w:numPr>
        <w:spacing w:after="0" w:line="240" w:lineRule="auto"/>
        <w:ind w:left="993"/>
        <w:contextualSpacing/>
        <w:jc w:val="both"/>
        <w:rPr>
          <w:rFonts w:ascii="Times New Roman" w:eastAsia="Times New Roman" w:hAnsi="Times New Roman" w:cs="Times New Roman"/>
          <w:bCs/>
        </w:rPr>
      </w:pPr>
      <w:r w:rsidRPr="00C16321">
        <w:rPr>
          <w:rFonts w:ascii="Times New Roman" w:eastAsia="Times New Roman" w:hAnsi="Times New Roman" w:cs="Times New Roman"/>
          <w:bCs/>
        </w:rPr>
        <w:t>A páncélos- és gépjárműtechnikai eszközök technikai kiszolgálása és javítása során képes elemzések végrehajtása után a legmegfelelőbb döntéseket meghozni, amely döntésekért a szakmai felelősséget vállalja.</w:t>
      </w:r>
    </w:p>
    <w:p w:rsidR="00C16321" w:rsidRPr="00C16321" w:rsidRDefault="00C16321" w:rsidP="00980876">
      <w:pPr>
        <w:widowControl w:val="0"/>
        <w:numPr>
          <w:ilvl w:val="0"/>
          <w:numId w:val="687"/>
        </w:numPr>
        <w:spacing w:after="0" w:line="240" w:lineRule="auto"/>
        <w:ind w:left="993"/>
        <w:contextualSpacing/>
        <w:jc w:val="both"/>
        <w:rPr>
          <w:rFonts w:ascii="Times New Roman" w:eastAsia="Times New Roman" w:hAnsi="Times New Roman" w:cs="Times New Roman"/>
          <w:bCs/>
        </w:rPr>
      </w:pPr>
      <w:r w:rsidRPr="00C16321">
        <w:rPr>
          <w:rFonts w:ascii="Times New Roman" w:eastAsia="Times New Roman" w:hAnsi="Times New Roman" w:cs="Times New Roman"/>
          <w:bCs/>
        </w:rPr>
        <w:t>Együttműködés és felelősség jellemzi szakterületének szakembereivel szemben.</w:t>
      </w:r>
    </w:p>
    <w:p w:rsidR="00C16321" w:rsidRPr="00C16321" w:rsidRDefault="00C16321" w:rsidP="00980876">
      <w:pPr>
        <w:widowControl w:val="0"/>
        <w:numPr>
          <w:ilvl w:val="0"/>
          <w:numId w:val="687"/>
        </w:numPr>
        <w:spacing w:after="0" w:line="240" w:lineRule="auto"/>
        <w:ind w:left="993"/>
        <w:contextualSpacing/>
        <w:jc w:val="both"/>
        <w:rPr>
          <w:rFonts w:ascii="Times New Roman" w:eastAsia="Times New Roman" w:hAnsi="Times New Roman" w:cs="Times New Roman"/>
          <w:bCs/>
        </w:rPr>
      </w:pPr>
      <w:r w:rsidRPr="00C16321">
        <w:rPr>
          <w:rFonts w:ascii="Times New Roman" w:eastAsia="Times New Roman" w:hAnsi="Times New Roman" w:cs="Times New Roman"/>
          <w:bCs/>
        </w:rPr>
        <w:t>Szakterületén belül képes rendszer-szemléletűen gondolkodni.</w:t>
      </w:r>
    </w:p>
    <w:p w:rsidR="00C16321" w:rsidRPr="00C16321" w:rsidRDefault="00C16321" w:rsidP="00C16321">
      <w:pPr>
        <w:widowControl w:val="0"/>
        <w:spacing w:before="120" w:after="120" w:line="240" w:lineRule="auto"/>
        <w:ind w:left="426"/>
        <w:jc w:val="both"/>
        <w:rPr>
          <w:rFonts w:ascii="Times New Roman" w:eastAsia="Times New Roman" w:hAnsi="Times New Roman" w:cs="Times New Roman"/>
          <w:b/>
          <w:bCs/>
          <w:lang w:val="en-US"/>
        </w:rPr>
      </w:pPr>
      <w:r w:rsidRPr="00C16321">
        <w:rPr>
          <w:rFonts w:ascii="Times New Roman" w:eastAsia="Times New Roman" w:hAnsi="Times New Roman" w:cs="Times New Roman"/>
          <w:b/>
          <w:bCs/>
        </w:rPr>
        <w:t>Elérendő kompetenciák (angolul) (</w:t>
      </w:r>
      <w:r w:rsidRPr="00C16321">
        <w:rPr>
          <w:rFonts w:ascii="Times New Roman" w:eastAsia="Times New Roman" w:hAnsi="Times New Roman" w:cs="Times New Roman"/>
          <w:b/>
          <w:bCs/>
          <w:lang w:val="en-US"/>
        </w:rPr>
        <w:t xml:space="preserve">Competences – English): </w:t>
      </w:r>
    </w:p>
    <w:p w:rsidR="00C16321" w:rsidRPr="00C16321" w:rsidRDefault="00C16321" w:rsidP="00C16321">
      <w:pPr>
        <w:widowControl w:val="0"/>
        <w:spacing w:before="120" w:after="120" w:line="240" w:lineRule="auto"/>
        <w:ind w:left="426"/>
        <w:jc w:val="both"/>
        <w:rPr>
          <w:rFonts w:ascii="Times New Roman" w:eastAsia="Times New Roman" w:hAnsi="Times New Roman" w:cs="Times New Roman"/>
          <w:lang w:val="en-GB"/>
        </w:rPr>
      </w:pPr>
      <w:r w:rsidRPr="00C16321">
        <w:rPr>
          <w:rFonts w:ascii="Times New Roman" w:eastAsia="Times New Roman" w:hAnsi="Times New Roman" w:cs="Times New Roman"/>
          <w:b/>
          <w:lang w:val="en-GB"/>
        </w:rPr>
        <w:t>Knowledge</w:t>
      </w:r>
      <w:r w:rsidRPr="00C16321">
        <w:rPr>
          <w:rFonts w:ascii="Times New Roman" w:eastAsia="Times New Roman" w:hAnsi="Times New Roman" w:cs="Times New Roman"/>
          <w:lang w:val="en-GB"/>
        </w:rPr>
        <w:t>:</w:t>
      </w:r>
    </w:p>
    <w:p w:rsidR="00C16321" w:rsidRPr="00C16321" w:rsidRDefault="00C16321" w:rsidP="00980876">
      <w:pPr>
        <w:widowControl w:val="0"/>
        <w:numPr>
          <w:ilvl w:val="0"/>
          <w:numId w:val="688"/>
        </w:numPr>
        <w:spacing w:after="0" w:line="240" w:lineRule="auto"/>
        <w:ind w:left="993"/>
        <w:contextualSpacing/>
        <w:jc w:val="both"/>
        <w:rPr>
          <w:rFonts w:ascii="Times New Roman" w:eastAsia="Times New Roman" w:hAnsi="Times New Roman" w:cs="Times New Roman"/>
          <w:bCs/>
        </w:rPr>
      </w:pPr>
      <w:r w:rsidRPr="00C16321">
        <w:rPr>
          <w:rFonts w:ascii="Times New Roman" w:eastAsia="Times New Roman" w:hAnsi="Times New Roman" w:cs="Times New Roman"/>
          <w:bCs/>
        </w:rPr>
        <w:t>Knows the structure and equipment as well as the functioning and operation of armored vehicles.</w:t>
      </w:r>
    </w:p>
    <w:p w:rsidR="00C16321" w:rsidRPr="00C16321" w:rsidRDefault="00C16321" w:rsidP="00980876">
      <w:pPr>
        <w:widowControl w:val="0"/>
        <w:numPr>
          <w:ilvl w:val="0"/>
          <w:numId w:val="688"/>
        </w:numPr>
        <w:spacing w:after="0" w:line="240" w:lineRule="auto"/>
        <w:ind w:left="993"/>
        <w:contextualSpacing/>
        <w:jc w:val="both"/>
        <w:rPr>
          <w:rFonts w:ascii="Times New Roman" w:eastAsia="Times New Roman" w:hAnsi="Times New Roman" w:cs="Times New Roman"/>
          <w:bCs/>
        </w:rPr>
      </w:pPr>
      <w:r w:rsidRPr="00C16321">
        <w:rPr>
          <w:rFonts w:ascii="Times New Roman" w:eastAsia="Times New Roman" w:hAnsi="Times New Roman" w:cs="Times New Roman"/>
          <w:bCs/>
        </w:rPr>
        <w:t>Knows and is able to apply the processes required for planning the technical maintenance of armored vehicles.</w:t>
      </w:r>
    </w:p>
    <w:p w:rsidR="00C16321" w:rsidRPr="00C16321" w:rsidRDefault="00C16321" w:rsidP="00980876">
      <w:pPr>
        <w:widowControl w:val="0"/>
        <w:numPr>
          <w:ilvl w:val="0"/>
          <w:numId w:val="688"/>
        </w:numPr>
        <w:spacing w:after="0" w:line="240" w:lineRule="auto"/>
        <w:ind w:left="993"/>
        <w:contextualSpacing/>
        <w:jc w:val="both"/>
        <w:rPr>
          <w:rFonts w:ascii="Times New Roman" w:eastAsia="Times New Roman" w:hAnsi="Times New Roman" w:cs="Times New Roman"/>
          <w:bCs/>
        </w:rPr>
      </w:pPr>
      <w:r w:rsidRPr="00C16321">
        <w:rPr>
          <w:rFonts w:ascii="Times New Roman" w:eastAsia="Times New Roman" w:hAnsi="Times New Roman" w:cs="Times New Roman"/>
          <w:bCs/>
        </w:rPr>
        <w:t>Knows how to maintain and control the main parts and units of armored vehicles, as well as the ways to identify and repair the defects of certain parts.</w:t>
      </w:r>
    </w:p>
    <w:p w:rsidR="00C16321" w:rsidRPr="00C16321" w:rsidRDefault="00C16321" w:rsidP="00980876">
      <w:pPr>
        <w:widowControl w:val="0"/>
        <w:numPr>
          <w:ilvl w:val="0"/>
          <w:numId w:val="688"/>
        </w:numPr>
        <w:spacing w:after="0" w:line="240" w:lineRule="auto"/>
        <w:ind w:left="993"/>
        <w:contextualSpacing/>
        <w:jc w:val="both"/>
        <w:rPr>
          <w:rFonts w:ascii="Times New Roman" w:eastAsia="Times New Roman" w:hAnsi="Times New Roman" w:cs="Times New Roman"/>
          <w:bCs/>
        </w:rPr>
      </w:pPr>
      <w:r w:rsidRPr="00C16321">
        <w:rPr>
          <w:rFonts w:ascii="Times New Roman" w:eastAsia="Times New Roman" w:hAnsi="Times New Roman" w:cs="Times New Roman"/>
          <w:bCs/>
        </w:rPr>
        <w:t>Knows the range of materials required for the maintenance of the armored vehicles.</w:t>
      </w:r>
    </w:p>
    <w:p w:rsidR="00C16321" w:rsidRPr="00C16321" w:rsidRDefault="00C16321" w:rsidP="00980876">
      <w:pPr>
        <w:widowControl w:val="0"/>
        <w:numPr>
          <w:ilvl w:val="0"/>
          <w:numId w:val="688"/>
        </w:numPr>
        <w:spacing w:after="0" w:line="240" w:lineRule="auto"/>
        <w:ind w:left="993"/>
        <w:contextualSpacing/>
        <w:jc w:val="both"/>
        <w:rPr>
          <w:rFonts w:ascii="Times New Roman" w:eastAsia="Times New Roman" w:hAnsi="Times New Roman" w:cs="Times New Roman"/>
          <w:bCs/>
        </w:rPr>
      </w:pPr>
      <w:r w:rsidRPr="00C16321">
        <w:rPr>
          <w:rFonts w:ascii="Times New Roman" w:eastAsia="Times New Roman" w:hAnsi="Times New Roman" w:cs="Times New Roman"/>
          <w:bCs/>
        </w:rPr>
        <w:t>Knows the work safety regulations required for fulfilling his/her professional tasks.</w:t>
      </w:r>
    </w:p>
    <w:p w:rsidR="00C16321" w:rsidRPr="00C16321" w:rsidRDefault="00C16321" w:rsidP="00980876">
      <w:pPr>
        <w:widowControl w:val="0"/>
        <w:numPr>
          <w:ilvl w:val="0"/>
          <w:numId w:val="688"/>
        </w:numPr>
        <w:spacing w:after="0" w:line="240" w:lineRule="auto"/>
        <w:ind w:left="993"/>
        <w:contextualSpacing/>
        <w:jc w:val="both"/>
        <w:rPr>
          <w:rFonts w:ascii="Times New Roman" w:eastAsia="Times New Roman" w:hAnsi="Times New Roman" w:cs="Times New Roman"/>
          <w:lang w:val="en-GB"/>
        </w:rPr>
      </w:pPr>
      <w:r w:rsidRPr="00C16321">
        <w:rPr>
          <w:rFonts w:ascii="Times New Roman" w:eastAsia="Times New Roman" w:hAnsi="Times New Roman" w:cs="Times New Roman"/>
          <w:bCs/>
        </w:rPr>
        <w:t>Possesses knowledge of adequate depth and spectrum regarding armored vehicle types.</w:t>
      </w:r>
    </w:p>
    <w:p w:rsidR="00C16321" w:rsidRPr="00C16321" w:rsidRDefault="00C16321" w:rsidP="00C16321">
      <w:pPr>
        <w:widowControl w:val="0"/>
        <w:spacing w:before="120" w:after="120" w:line="240" w:lineRule="auto"/>
        <w:ind w:left="426"/>
        <w:jc w:val="both"/>
        <w:rPr>
          <w:rFonts w:ascii="Times New Roman" w:eastAsia="Times New Roman" w:hAnsi="Times New Roman" w:cs="Times New Roman"/>
          <w:lang w:val="en-GB"/>
        </w:rPr>
      </w:pPr>
      <w:r w:rsidRPr="00C16321">
        <w:rPr>
          <w:rFonts w:ascii="Times New Roman" w:eastAsia="Times New Roman" w:hAnsi="Times New Roman" w:cs="Times New Roman"/>
          <w:b/>
          <w:lang w:val="en-GB"/>
        </w:rPr>
        <w:t>Capabilities</w:t>
      </w:r>
      <w:r w:rsidRPr="00C16321">
        <w:rPr>
          <w:rFonts w:ascii="Times New Roman" w:eastAsia="Times New Roman" w:hAnsi="Times New Roman" w:cs="Times New Roman"/>
          <w:lang w:val="en-GB"/>
        </w:rPr>
        <w:t>:</w:t>
      </w:r>
    </w:p>
    <w:p w:rsidR="00C16321" w:rsidRPr="00C16321" w:rsidRDefault="00C16321" w:rsidP="00980876">
      <w:pPr>
        <w:widowControl w:val="0"/>
        <w:numPr>
          <w:ilvl w:val="0"/>
          <w:numId w:val="689"/>
        </w:numPr>
        <w:spacing w:after="0" w:line="240" w:lineRule="auto"/>
        <w:ind w:left="993"/>
        <w:contextualSpacing/>
        <w:jc w:val="both"/>
        <w:rPr>
          <w:rFonts w:ascii="Times New Roman" w:eastAsia="Times New Roman" w:hAnsi="Times New Roman" w:cs="Times New Roman"/>
          <w:bCs/>
        </w:rPr>
      </w:pPr>
      <w:r w:rsidRPr="00C16321">
        <w:rPr>
          <w:rFonts w:ascii="Times New Roman" w:eastAsia="Times New Roman" w:hAnsi="Times New Roman" w:cs="Times New Roman"/>
          <w:bCs/>
        </w:rPr>
        <w:t>Is capable of organizing and efficiently utilizing the usage of the equipment and technical appliances applied in his/her respective specialty field.</w:t>
      </w:r>
    </w:p>
    <w:p w:rsidR="00C16321" w:rsidRPr="00C16321" w:rsidRDefault="00C16321" w:rsidP="00980876">
      <w:pPr>
        <w:widowControl w:val="0"/>
        <w:numPr>
          <w:ilvl w:val="0"/>
          <w:numId w:val="689"/>
        </w:numPr>
        <w:spacing w:after="0" w:line="240" w:lineRule="auto"/>
        <w:ind w:left="993"/>
        <w:contextualSpacing/>
        <w:jc w:val="both"/>
        <w:rPr>
          <w:rFonts w:ascii="Times New Roman" w:eastAsia="Times New Roman" w:hAnsi="Times New Roman" w:cs="Times New Roman"/>
          <w:bCs/>
        </w:rPr>
      </w:pPr>
      <w:r w:rsidRPr="00C16321">
        <w:rPr>
          <w:rFonts w:ascii="Times New Roman" w:eastAsia="Times New Roman" w:hAnsi="Times New Roman" w:cs="Times New Roman"/>
          <w:bCs/>
        </w:rPr>
        <w:t>Is capable of professionally executing as well as planning and controlling the execution of the technical maintenance of armored vehicles based on the technological commands.</w:t>
      </w:r>
    </w:p>
    <w:p w:rsidR="00C16321" w:rsidRPr="00C16321" w:rsidRDefault="00C16321" w:rsidP="00980876">
      <w:pPr>
        <w:widowControl w:val="0"/>
        <w:numPr>
          <w:ilvl w:val="0"/>
          <w:numId w:val="689"/>
        </w:numPr>
        <w:spacing w:after="0" w:line="240" w:lineRule="auto"/>
        <w:ind w:left="993"/>
        <w:contextualSpacing/>
        <w:jc w:val="both"/>
        <w:rPr>
          <w:rFonts w:ascii="Times New Roman" w:eastAsia="Times New Roman" w:hAnsi="Times New Roman" w:cs="Times New Roman"/>
          <w:bCs/>
        </w:rPr>
      </w:pPr>
      <w:r w:rsidRPr="00C16321">
        <w:rPr>
          <w:rFonts w:ascii="Times New Roman" w:eastAsia="Times New Roman" w:hAnsi="Times New Roman" w:cs="Times New Roman"/>
          <w:bCs/>
        </w:rPr>
        <w:t>Is capable of organizing, executing and controlling the repairs required at a subunit level.</w:t>
      </w:r>
    </w:p>
    <w:p w:rsidR="00C16321" w:rsidRPr="00C16321" w:rsidRDefault="00C16321" w:rsidP="00980876">
      <w:pPr>
        <w:widowControl w:val="0"/>
        <w:numPr>
          <w:ilvl w:val="0"/>
          <w:numId w:val="689"/>
        </w:numPr>
        <w:spacing w:after="0" w:line="240" w:lineRule="auto"/>
        <w:ind w:left="993"/>
        <w:contextualSpacing/>
        <w:jc w:val="both"/>
        <w:rPr>
          <w:rFonts w:ascii="Times New Roman" w:eastAsia="Times New Roman" w:hAnsi="Times New Roman" w:cs="Times New Roman"/>
          <w:bCs/>
        </w:rPr>
      </w:pPr>
      <w:r w:rsidRPr="00C16321">
        <w:rPr>
          <w:rFonts w:ascii="Times New Roman" w:eastAsia="Times New Roman" w:hAnsi="Times New Roman" w:cs="Times New Roman"/>
          <w:bCs/>
        </w:rPr>
        <w:t xml:space="preserve">Is capable of planning, organizing and managing the maintenance and supply of the </w:t>
      </w:r>
      <w:r w:rsidRPr="00C16321">
        <w:rPr>
          <w:rFonts w:ascii="Times New Roman" w:eastAsia="Times New Roman" w:hAnsi="Times New Roman" w:cs="Times New Roman"/>
          <w:bCs/>
        </w:rPr>
        <w:lastRenderedPageBreak/>
        <w:t>armored vehicles.</w:t>
      </w:r>
    </w:p>
    <w:p w:rsidR="00C16321" w:rsidRPr="00C16321" w:rsidRDefault="00C16321" w:rsidP="00980876">
      <w:pPr>
        <w:widowControl w:val="0"/>
        <w:numPr>
          <w:ilvl w:val="0"/>
          <w:numId w:val="689"/>
        </w:numPr>
        <w:spacing w:after="0" w:line="240" w:lineRule="auto"/>
        <w:ind w:left="993"/>
        <w:contextualSpacing/>
        <w:jc w:val="both"/>
        <w:rPr>
          <w:rFonts w:ascii="Times New Roman" w:eastAsia="Times New Roman" w:hAnsi="Times New Roman" w:cs="Times New Roman"/>
          <w:bCs/>
        </w:rPr>
      </w:pPr>
      <w:r w:rsidRPr="00C16321">
        <w:rPr>
          <w:rFonts w:ascii="Times New Roman" w:eastAsia="Times New Roman" w:hAnsi="Times New Roman" w:cs="Times New Roman"/>
          <w:bCs/>
        </w:rPr>
        <w:t>Is capable of preparing the conditions of a safe working environment and making others adhere to the rules of work safety.</w:t>
      </w:r>
    </w:p>
    <w:p w:rsidR="00C16321" w:rsidRPr="00C16321" w:rsidRDefault="00C16321" w:rsidP="00980876">
      <w:pPr>
        <w:widowControl w:val="0"/>
        <w:numPr>
          <w:ilvl w:val="0"/>
          <w:numId w:val="689"/>
        </w:numPr>
        <w:spacing w:after="120" w:line="240" w:lineRule="auto"/>
        <w:ind w:left="992" w:hanging="357"/>
        <w:contextualSpacing/>
        <w:jc w:val="both"/>
        <w:rPr>
          <w:rFonts w:ascii="Times New Roman" w:eastAsia="Times New Roman" w:hAnsi="Times New Roman" w:cs="Times New Roman"/>
          <w:lang w:val="en-GB"/>
        </w:rPr>
      </w:pPr>
      <w:r w:rsidRPr="00C16321">
        <w:rPr>
          <w:rFonts w:ascii="Times New Roman" w:eastAsia="Times New Roman" w:hAnsi="Times New Roman" w:cs="Times New Roman"/>
          <w:bCs/>
        </w:rPr>
        <w:t>Is capable of planning, organizing, managing and controlling the work of the maintenance sub-unit under his/her supervision.</w:t>
      </w:r>
    </w:p>
    <w:p w:rsidR="00C16321" w:rsidRPr="00C16321" w:rsidRDefault="00C16321" w:rsidP="00C163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425"/>
        <w:jc w:val="both"/>
        <w:rPr>
          <w:rFonts w:ascii="Times New Roman" w:eastAsia="Times New Roman" w:hAnsi="Times New Roman" w:cs="Times New Roman"/>
          <w:lang w:val="en-GB"/>
        </w:rPr>
      </w:pPr>
      <w:r w:rsidRPr="00C16321">
        <w:rPr>
          <w:rFonts w:ascii="Times New Roman" w:eastAsia="Times New Roman" w:hAnsi="Times New Roman" w:cs="Times New Roman"/>
          <w:b/>
          <w:lang w:val="en-GB"/>
        </w:rPr>
        <w:t>Attitude:</w:t>
      </w:r>
    </w:p>
    <w:p w:rsidR="00C16321" w:rsidRPr="00C16321" w:rsidRDefault="00C16321" w:rsidP="00980876">
      <w:pPr>
        <w:numPr>
          <w:ilvl w:val="0"/>
          <w:numId w:val="69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contextualSpacing/>
        <w:jc w:val="both"/>
        <w:rPr>
          <w:rFonts w:ascii="Times New Roman" w:eastAsia="Times New Roman" w:hAnsi="Times New Roman" w:cs="Times New Roman"/>
        </w:rPr>
      </w:pPr>
      <w:r w:rsidRPr="00C16321">
        <w:rPr>
          <w:rFonts w:ascii="Times New Roman" w:eastAsia="Times New Roman" w:hAnsi="Times New Roman" w:cs="Times New Roman"/>
        </w:rPr>
        <w:t>He/she is open to widen his/her knowledge regarding armored vehicles and has a constant need for self-education.</w:t>
      </w:r>
    </w:p>
    <w:p w:rsidR="00C16321" w:rsidRPr="00C16321" w:rsidRDefault="00C16321" w:rsidP="00980876">
      <w:pPr>
        <w:numPr>
          <w:ilvl w:val="0"/>
          <w:numId w:val="69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contextualSpacing/>
        <w:jc w:val="both"/>
        <w:rPr>
          <w:rFonts w:ascii="Times New Roman" w:eastAsia="Times New Roman" w:hAnsi="Times New Roman" w:cs="Times New Roman"/>
        </w:rPr>
      </w:pPr>
      <w:r w:rsidRPr="00C16321">
        <w:rPr>
          <w:rFonts w:ascii="Times New Roman" w:eastAsia="Times New Roman" w:hAnsi="Times New Roman" w:cs="Times New Roman"/>
        </w:rPr>
        <w:t>He/she aims to adhere to the respective rules and make others follow them as well.</w:t>
      </w:r>
    </w:p>
    <w:p w:rsidR="00C16321" w:rsidRPr="00C16321" w:rsidRDefault="00C16321" w:rsidP="00980876">
      <w:pPr>
        <w:numPr>
          <w:ilvl w:val="0"/>
          <w:numId w:val="69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contextualSpacing/>
        <w:jc w:val="both"/>
        <w:rPr>
          <w:rFonts w:ascii="Times New Roman" w:eastAsia="Times New Roman" w:hAnsi="Times New Roman" w:cs="Times New Roman"/>
        </w:rPr>
      </w:pPr>
      <w:r w:rsidRPr="00C16321">
        <w:rPr>
          <w:rFonts w:ascii="Times New Roman" w:eastAsia="Times New Roman" w:hAnsi="Times New Roman" w:cs="Times New Roman"/>
        </w:rPr>
        <w:t>His/her work and relationships can be described by loyalty and reliability.</w:t>
      </w:r>
    </w:p>
    <w:p w:rsidR="00C16321" w:rsidRPr="00C16321" w:rsidRDefault="00C16321" w:rsidP="00980876">
      <w:pPr>
        <w:numPr>
          <w:ilvl w:val="0"/>
          <w:numId w:val="69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contextualSpacing/>
        <w:jc w:val="both"/>
        <w:rPr>
          <w:rFonts w:ascii="Times New Roman" w:eastAsia="Times New Roman" w:hAnsi="Times New Roman" w:cs="Times New Roman"/>
          <w:lang w:val="en-GB"/>
        </w:rPr>
      </w:pPr>
      <w:r w:rsidRPr="00C16321">
        <w:rPr>
          <w:rFonts w:ascii="Times New Roman" w:eastAsia="Times New Roman" w:hAnsi="Times New Roman" w:cs="Times New Roman"/>
        </w:rPr>
        <w:t>He/she is open towards the new accomplishments of military technology and aims to gain knowledge of these.</w:t>
      </w:r>
    </w:p>
    <w:p w:rsidR="00C16321" w:rsidRPr="00C16321" w:rsidRDefault="00C16321" w:rsidP="00C16321">
      <w:pPr>
        <w:widowControl w:val="0"/>
        <w:spacing w:before="120" w:after="120" w:line="240" w:lineRule="auto"/>
        <w:ind w:left="426"/>
        <w:jc w:val="both"/>
        <w:rPr>
          <w:rFonts w:ascii="Times New Roman" w:eastAsia="Times New Roman" w:hAnsi="Times New Roman" w:cs="Times New Roman"/>
          <w:b/>
          <w:lang w:val="en-GB"/>
        </w:rPr>
      </w:pPr>
      <w:r w:rsidRPr="00C16321">
        <w:rPr>
          <w:rFonts w:ascii="Times New Roman" w:eastAsia="Times New Roman" w:hAnsi="Times New Roman" w:cs="Times New Roman"/>
          <w:b/>
          <w:lang w:val="en-GB"/>
        </w:rPr>
        <w:t>Autonomy and responsibility:</w:t>
      </w:r>
    </w:p>
    <w:p w:rsidR="00C16321" w:rsidRPr="00C16321" w:rsidRDefault="00C16321" w:rsidP="00980876">
      <w:pPr>
        <w:widowControl w:val="0"/>
        <w:numPr>
          <w:ilvl w:val="0"/>
          <w:numId w:val="691"/>
        </w:numPr>
        <w:spacing w:after="0" w:line="240" w:lineRule="auto"/>
        <w:ind w:left="993"/>
        <w:contextualSpacing/>
        <w:jc w:val="both"/>
        <w:rPr>
          <w:rFonts w:ascii="Times New Roman" w:eastAsia="Times New Roman" w:hAnsi="Times New Roman" w:cs="Times New Roman"/>
        </w:rPr>
      </w:pPr>
      <w:r w:rsidRPr="00C16321">
        <w:rPr>
          <w:rFonts w:ascii="Times New Roman" w:eastAsia="Times New Roman" w:hAnsi="Times New Roman" w:cs="Times New Roman"/>
        </w:rPr>
        <w:t>Is capable of organizing and determining the tasks of his/her subordinates as well as controlling their work based on professional aspects.</w:t>
      </w:r>
    </w:p>
    <w:p w:rsidR="00C16321" w:rsidRPr="00C16321" w:rsidRDefault="00C16321" w:rsidP="00980876">
      <w:pPr>
        <w:widowControl w:val="0"/>
        <w:numPr>
          <w:ilvl w:val="0"/>
          <w:numId w:val="691"/>
        </w:numPr>
        <w:spacing w:after="0" w:line="240" w:lineRule="auto"/>
        <w:ind w:left="993"/>
        <w:contextualSpacing/>
        <w:jc w:val="both"/>
        <w:rPr>
          <w:rFonts w:ascii="Times New Roman" w:eastAsia="Times New Roman" w:hAnsi="Times New Roman" w:cs="Times New Roman"/>
        </w:rPr>
      </w:pPr>
      <w:r w:rsidRPr="00C16321">
        <w:rPr>
          <w:rFonts w:ascii="Times New Roman" w:eastAsia="Times New Roman" w:hAnsi="Times New Roman" w:cs="Times New Roman"/>
        </w:rPr>
        <w:t>After doing proper analysation, he/she is capable of making the best decisions and taking professional responsibility during the technical maintenance and repairing of the armored vehicles.</w:t>
      </w:r>
    </w:p>
    <w:p w:rsidR="00C16321" w:rsidRPr="00C16321" w:rsidRDefault="00C16321" w:rsidP="00980876">
      <w:pPr>
        <w:widowControl w:val="0"/>
        <w:numPr>
          <w:ilvl w:val="0"/>
          <w:numId w:val="691"/>
        </w:numPr>
        <w:spacing w:after="0" w:line="240" w:lineRule="auto"/>
        <w:ind w:left="993"/>
        <w:contextualSpacing/>
        <w:jc w:val="both"/>
        <w:rPr>
          <w:rFonts w:ascii="Times New Roman" w:eastAsia="Times New Roman" w:hAnsi="Times New Roman" w:cs="Times New Roman"/>
        </w:rPr>
      </w:pPr>
      <w:r w:rsidRPr="00C16321">
        <w:rPr>
          <w:rFonts w:ascii="Times New Roman" w:eastAsia="Times New Roman" w:hAnsi="Times New Roman" w:cs="Times New Roman"/>
        </w:rPr>
        <w:t>He/she is cooperative and responsible towards the professionals of his/her field.</w:t>
      </w:r>
    </w:p>
    <w:p w:rsidR="00C16321" w:rsidRPr="00C16321" w:rsidRDefault="00C16321" w:rsidP="00980876">
      <w:pPr>
        <w:widowControl w:val="0"/>
        <w:numPr>
          <w:ilvl w:val="0"/>
          <w:numId w:val="691"/>
        </w:numPr>
        <w:spacing w:after="0" w:line="240" w:lineRule="auto"/>
        <w:ind w:left="993"/>
        <w:contextualSpacing/>
        <w:jc w:val="both"/>
        <w:rPr>
          <w:rFonts w:ascii="Times New Roman" w:eastAsia="Times New Roman" w:hAnsi="Times New Roman" w:cs="Times New Roman"/>
          <w:lang w:val="en-GB"/>
        </w:rPr>
      </w:pPr>
      <w:r w:rsidRPr="00C16321">
        <w:rPr>
          <w:rFonts w:ascii="Times New Roman" w:eastAsia="Times New Roman" w:hAnsi="Times New Roman" w:cs="Times New Roman"/>
        </w:rPr>
        <w:t>Is capable of thinking in a system approach within his/her own field.</w:t>
      </w:r>
    </w:p>
    <w:p w:rsidR="00C16321" w:rsidRPr="00C16321" w:rsidRDefault="00C16321" w:rsidP="00980876">
      <w:pPr>
        <w:widowControl w:val="0"/>
        <w:numPr>
          <w:ilvl w:val="0"/>
          <w:numId w:val="692"/>
        </w:numPr>
        <w:tabs>
          <w:tab w:val="num" w:pos="567"/>
        </w:tabs>
        <w:spacing w:before="120" w:after="120" w:line="240" w:lineRule="auto"/>
        <w:ind w:left="426" w:hanging="142"/>
        <w:jc w:val="both"/>
        <w:rPr>
          <w:rFonts w:ascii="Times New Roman" w:eastAsia="Times New Roman" w:hAnsi="Times New Roman" w:cs="Times New Roman"/>
          <w:bCs/>
        </w:rPr>
      </w:pPr>
      <w:r w:rsidRPr="00C16321">
        <w:rPr>
          <w:rFonts w:ascii="Times New Roman" w:eastAsia="Times New Roman" w:hAnsi="Times New Roman" w:cs="Times New Roman"/>
          <w:b/>
          <w:bCs/>
        </w:rPr>
        <w:t xml:space="preserve">Előtanulmányi követelmények: </w:t>
      </w:r>
      <w:r w:rsidRPr="00C16321">
        <w:rPr>
          <w:rFonts w:ascii="Times New Roman" w:eastAsia="Times New Roman" w:hAnsi="Times New Roman" w:cs="Times New Roman"/>
          <w:bCs/>
          <w:lang w:eastAsia="hu-HU"/>
        </w:rPr>
        <w:t>-</w:t>
      </w:r>
    </w:p>
    <w:p w:rsidR="00C16321" w:rsidRPr="00C16321" w:rsidRDefault="00C16321" w:rsidP="00980876">
      <w:pPr>
        <w:widowControl w:val="0"/>
        <w:numPr>
          <w:ilvl w:val="0"/>
          <w:numId w:val="692"/>
        </w:numPr>
        <w:tabs>
          <w:tab w:val="clear" w:pos="720"/>
        </w:tabs>
        <w:spacing w:before="120" w:after="120" w:line="240" w:lineRule="auto"/>
        <w:ind w:left="851" w:hanging="567"/>
        <w:jc w:val="both"/>
        <w:rPr>
          <w:rFonts w:ascii="Times New Roman" w:eastAsia="Times New Roman" w:hAnsi="Times New Roman" w:cs="Times New Roman"/>
          <w:b/>
          <w:bCs/>
        </w:rPr>
      </w:pPr>
      <w:r w:rsidRPr="00C16321">
        <w:rPr>
          <w:rFonts w:ascii="Times New Roman" w:eastAsia="Times New Roman" w:hAnsi="Times New Roman" w:cs="Times New Roman"/>
          <w:b/>
          <w:bCs/>
        </w:rPr>
        <w:t>A tantárgy tananyagának leírása, tematika. Description of the subject, curriculum (magyarul, angolul - English):</w:t>
      </w:r>
    </w:p>
    <w:p w:rsidR="00C16321" w:rsidRPr="00C16321" w:rsidRDefault="00C16321" w:rsidP="00980876">
      <w:pPr>
        <w:widowControl w:val="0"/>
        <w:numPr>
          <w:ilvl w:val="1"/>
          <w:numId w:val="692"/>
        </w:numPr>
        <w:tabs>
          <w:tab w:val="left" w:pos="993"/>
          <w:tab w:val="num" w:pos="2069"/>
        </w:tabs>
        <w:spacing w:before="120" w:after="120" w:line="240" w:lineRule="auto"/>
        <w:ind w:left="851" w:hanging="567"/>
        <w:jc w:val="both"/>
        <w:rPr>
          <w:rFonts w:ascii="Times New Roman" w:eastAsia="Times New Roman" w:hAnsi="Times New Roman" w:cs="Times New Roman"/>
          <w:b/>
        </w:rPr>
      </w:pPr>
      <w:r w:rsidRPr="00C16321">
        <w:rPr>
          <w:rFonts w:ascii="Times New Roman" w:eastAsia="Times New Roman" w:hAnsi="Times New Roman" w:cs="Times New Roman"/>
          <w:bCs/>
          <w:lang w:eastAsia="hu-HU"/>
        </w:rPr>
        <w:t>Kerekes és lánctalpas futóművek igénybevétele, meghibásodásai.</w:t>
      </w:r>
      <w:r w:rsidRPr="00C16321">
        <w:rPr>
          <w:rFonts w:ascii="Times New Roman" w:eastAsia="Times New Roman" w:hAnsi="Times New Roman" w:cs="Times New Roman"/>
        </w:rPr>
        <w:t xml:space="preserve"> (</w:t>
      </w:r>
      <w:r w:rsidRPr="00C16321">
        <w:rPr>
          <w:rFonts w:ascii="Times New Roman" w:eastAsia="Times New Roman" w:hAnsi="Times New Roman" w:cs="Times New Roman"/>
          <w:bCs/>
          <w:i/>
        </w:rPr>
        <w:t>Usage and failure registration of wheeled and tracked vehicle.</w:t>
      </w:r>
      <w:r w:rsidRPr="00C16321">
        <w:rPr>
          <w:rFonts w:ascii="Times New Roman" w:eastAsia="Times New Roman" w:hAnsi="Times New Roman" w:cs="Times New Roman"/>
        </w:rPr>
        <w:t>)</w:t>
      </w:r>
    </w:p>
    <w:p w:rsidR="00C16321" w:rsidRPr="00C16321" w:rsidRDefault="00C16321" w:rsidP="00980876">
      <w:pPr>
        <w:widowControl w:val="0"/>
        <w:numPr>
          <w:ilvl w:val="1"/>
          <w:numId w:val="692"/>
        </w:numPr>
        <w:tabs>
          <w:tab w:val="left" w:pos="993"/>
          <w:tab w:val="num" w:pos="2069"/>
        </w:tabs>
        <w:spacing w:before="120" w:after="120" w:line="240" w:lineRule="auto"/>
        <w:ind w:left="851" w:hanging="567"/>
        <w:jc w:val="both"/>
        <w:rPr>
          <w:rFonts w:ascii="Times New Roman" w:eastAsia="Times New Roman" w:hAnsi="Times New Roman" w:cs="Times New Roman"/>
          <w:b/>
        </w:rPr>
      </w:pPr>
      <w:r w:rsidRPr="00C16321">
        <w:rPr>
          <w:rFonts w:ascii="Times New Roman" w:eastAsia="Times New Roman" w:hAnsi="Times New Roman" w:cs="Times New Roman"/>
          <w:bCs/>
          <w:lang w:eastAsia="hu-HU"/>
        </w:rPr>
        <w:t>Kerekes és lánctalpas futóművek hibafelvétele.</w:t>
      </w:r>
      <w:r w:rsidRPr="00C16321">
        <w:rPr>
          <w:rFonts w:ascii="Times New Roman" w:eastAsia="Times New Roman" w:hAnsi="Times New Roman" w:cs="Times New Roman"/>
        </w:rPr>
        <w:t xml:space="preserve"> (</w:t>
      </w:r>
      <w:r w:rsidRPr="00C16321">
        <w:rPr>
          <w:rFonts w:ascii="Times New Roman" w:eastAsia="Times New Roman" w:hAnsi="Times New Roman" w:cs="Times New Roman"/>
          <w:bCs/>
          <w:i/>
        </w:rPr>
        <w:t>Diagnostics of wheeled and tracked vehicle.</w:t>
      </w:r>
      <w:r w:rsidRPr="00C16321">
        <w:rPr>
          <w:rFonts w:ascii="Times New Roman" w:eastAsia="Times New Roman" w:hAnsi="Times New Roman" w:cs="Times New Roman"/>
          <w:bCs/>
        </w:rPr>
        <w:t>)</w:t>
      </w:r>
    </w:p>
    <w:p w:rsidR="00C16321" w:rsidRPr="00C16321" w:rsidRDefault="00C16321" w:rsidP="00980876">
      <w:pPr>
        <w:widowControl w:val="0"/>
        <w:numPr>
          <w:ilvl w:val="1"/>
          <w:numId w:val="692"/>
        </w:numPr>
        <w:tabs>
          <w:tab w:val="left" w:pos="993"/>
          <w:tab w:val="num" w:pos="2069"/>
        </w:tabs>
        <w:spacing w:before="120" w:after="120" w:line="240" w:lineRule="auto"/>
        <w:ind w:left="851" w:hanging="567"/>
        <w:jc w:val="both"/>
        <w:rPr>
          <w:rFonts w:ascii="Times New Roman" w:eastAsia="Times New Roman" w:hAnsi="Times New Roman" w:cs="Times New Roman"/>
          <w:b/>
        </w:rPr>
      </w:pPr>
      <w:r w:rsidRPr="00C16321">
        <w:rPr>
          <w:rFonts w:ascii="Times New Roman" w:eastAsia="Times New Roman" w:hAnsi="Times New Roman" w:cs="Times New Roman"/>
          <w:bCs/>
          <w:lang w:eastAsia="hu-HU"/>
        </w:rPr>
        <w:t>Kerekes és lánctalpas futóművek szerelési műveletei, javítása.</w:t>
      </w:r>
      <w:r w:rsidRPr="00C16321">
        <w:rPr>
          <w:rFonts w:ascii="Times New Roman" w:eastAsia="Times New Roman" w:hAnsi="Times New Roman" w:cs="Times New Roman"/>
        </w:rPr>
        <w:t xml:space="preserve"> (</w:t>
      </w:r>
      <w:r w:rsidRPr="00C16321">
        <w:rPr>
          <w:rFonts w:ascii="Times New Roman" w:eastAsia="Times New Roman" w:hAnsi="Times New Roman" w:cs="Times New Roman"/>
          <w:i/>
        </w:rPr>
        <w:t>Assembly operations and</w:t>
      </w:r>
      <w:r w:rsidRPr="00C16321">
        <w:rPr>
          <w:rFonts w:ascii="Times New Roman" w:eastAsia="Times New Roman" w:hAnsi="Times New Roman" w:cs="Times New Roman"/>
          <w:bCs/>
          <w:i/>
        </w:rPr>
        <w:t xml:space="preserve"> repair of wheeled and tracked vehicle</w:t>
      </w:r>
      <w:r w:rsidRPr="00C16321">
        <w:rPr>
          <w:rFonts w:ascii="Times New Roman" w:eastAsia="Times New Roman" w:hAnsi="Times New Roman" w:cs="Times New Roman"/>
          <w:bCs/>
        </w:rPr>
        <w:t>.)</w:t>
      </w:r>
    </w:p>
    <w:p w:rsidR="00C16321" w:rsidRPr="00C16321" w:rsidRDefault="00C16321" w:rsidP="00980876">
      <w:pPr>
        <w:widowControl w:val="0"/>
        <w:numPr>
          <w:ilvl w:val="1"/>
          <w:numId w:val="692"/>
        </w:numPr>
        <w:tabs>
          <w:tab w:val="left" w:pos="993"/>
          <w:tab w:val="num" w:pos="2069"/>
        </w:tabs>
        <w:spacing w:before="120" w:after="120" w:line="240" w:lineRule="auto"/>
        <w:ind w:left="851" w:hanging="567"/>
        <w:jc w:val="both"/>
        <w:rPr>
          <w:rFonts w:ascii="Times New Roman" w:eastAsia="Times New Roman" w:hAnsi="Times New Roman" w:cs="Times New Roman"/>
          <w:b/>
        </w:rPr>
      </w:pPr>
      <w:r w:rsidRPr="00C16321">
        <w:rPr>
          <w:rFonts w:ascii="Times New Roman" w:eastAsia="Times New Roman" w:hAnsi="Times New Roman" w:cs="Times New Roman"/>
          <w:bCs/>
          <w:lang w:eastAsia="hu-HU"/>
        </w:rPr>
        <w:t>Futómű diagnosztika. (</w:t>
      </w:r>
      <w:r w:rsidRPr="00C16321">
        <w:rPr>
          <w:rFonts w:ascii="Times New Roman" w:eastAsia="Times New Roman" w:hAnsi="Times New Roman" w:cs="Times New Roman"/>
          <w:bCs/>
          <w:i/>
          <w:lang w:eastAsia="hu-HU"/>
        </w:rPr>
        <w:t>Suspension diagnostics</w:t>
      </w:r>
      <w:r w:rsidRPr="00C16321">
        <w:rPr>
          <w:rFonts w:ascii="Times New Roman" w:eastAsia="Times New Roman" w:hAnsi="Times New Roman" w:cs="Times New Roman"/>
          <w:bCs/>
          <w:lang w:eastAsia="hu-HU"/>
        </w:rPr>
        <w:t>.)</w:t>
      </w:r>
    </w:p>
    <w:p w:rsidR="00C16321" w:rsidRPr="00C16321" w:rsidRDefault="00C16321" w:rsidP="00980876">
      <w:pPr>
        <w:widowControl w:val="0"/>
        <w:numPr>
          <w:ilvl w:val="1"/>
          <w:numId w:val="692"/>
        </w:numPr>
        <w:tabs>
          <w:tab w:val="left" w:pos="993"/>
          <w:tab w:val="num" w:pos="2069"/>
        </w:tabs>
        <w:spacing w:before="120" w:after="120" w:line="240" w:lineRule="auto"/>
        <w:ind w:left="851" w:hanging="567"/>
        <w:jc w:val="both"/>
        <w:rPr>
          <w:rFonts w:ascii="Times New Roman" w:eastAsia="Times New Roman" w:hAnsi="Times New Roman" w:cs="Times New Roman"/>
          <w:b/>
        </w:rPr>
      </w:pPr>
      <w:r w:rsidRPr="00C16321">
        <w:rPr>
          <w:rFonts w:ascii="Times New Roman" w:eastAsia="Times New Roman" w:hAnsi="Times New Roman" w:cs="Times New Roman"/>
          <w:bCs/>
          <w:lang w:eastAsia="hu-HU"/>
        </w:rPr>
        <w:t>Technikai kiszolgálási műveletek. (</w:t>
      </w:r>
      <w:r w:rsidRPr="00C16321">
        <w:rPr>
          <w:rFonts w:ascii="Times New Roman" w:eastAsia="Times New Roman" w:hAnsi="Times New Roman" w:cs="Times New Roman"/>
          <w:bCs/>
          <w:i/>
          <w:lang w:eastAsia="hu-HU"/>
        </w:rPr>
        <w:t>Technical service operations</w:t>
      </w:r>
      <w:r w:rsidRPr="00C16321">
        <w:rPr>
          <w:rFonts w:ascii="Times New Roman" w:eastAsia="Times New Roman" w:hAnsi="Times New Roman" w:cs="Times New Roman"/>
          <w:bCs/>
          <w:lang w:eastAsia="hu-HU"/>
        </w:rPr>
        <w:t>.)</w:t>
      </w:r>
    </w:p>
    <w:p w:rsidR="00C16321" w:rsidRPr="00C16321" w:rsidRDefault="00C16321" w:rsidP="00980876">
      <w:pPr>
        <w:widowControl w:val="0"/>
        <w:numPr>
          <w:ilvl w:val="1"/>
          <w:numId w:val="692"/>
        </w:numPr>
        <w:tabs>
          <w:tab w:val="left" w:pos="993"/>
          <w:tab w:val="num" w:pos="2069"/>
        </w:tabs>
        <w:spacing w:before="120" w:after="120" w:line="240" w:lineRule="auto"/>
        <w:ind w:left="851" w:hanging="567"/>
        <w:jc w:val="both"/>
        <w:rPr>
          <w:rFonts w:ascii="Times New Roman" w:eastAsia="Times New Roman" w:hAnsi="Times New Roman" w:cs="Times New Roman"/>
          <w:b/>
        </w:rPr>
      </w:pPr>
      <w:r w:rsidRPr="00C16321">
        <w:rPr>
          <w:rFonts w:ascii="Times New Roman" w:eastAsia="Times New Roman" w:hAnsi="Times New Roman" w:cs="Times New Roman"/>
          <w:bCs/>
          <w:lang w:eastAsia="hu-HU"/>
        </w:rPr>
        <w:t>Kormányszerkezetek meghibásodása, hibafelvétele. (</w:t>
      </w:r>
      <w:r w:rsidRPr="00C16321">
        <w:rPr>
          <w:rFonts w:ascii="Times New Roman" w:eastAsia="Times New Roman" w:hAnsi="Times New Roman" w:cs="Times New Roman"/>
          <w:bCs/>
          <w:i/>
          <w:lang w:eastAsia="hu-HU"/>
        </w:rPr>
        <w:t>Failure and diagnostics of steering gears.</w:t>
      </w:r>
      <w:r w:rsidRPr="00C16321">
        <w:rPr>
          <w:rFonts w:ascii="Times New Roman" w:eastAsia="Times New Roman" w:hAnsi="Times New Roman" w:cs="Times New Roman"/>
          <w:bCs/>
          <w:lang w:eastAsia="hu-HU"/>
        </w:rPr>
        <w:t>)</w:t>
      </w:r>
    </w:p>
    <w:p w:rsidR="00C16321" w:rsidRPr="00C16321" w:rsidRDefault="00C16321" w:rsidP="00980876">
      <w:pPr>
        <w:widowControl w:val="0"/>
        <w:numPr>
          <w:ilvl w:val="1"/>
          <w:numId w:val="692"/>
        </w:numPr>
        <w:tabs>
          <w:tab w:val="left" w:pos="993"/>
          <w:tab w:val="num" w:pos="2069"/>
        </w:tabs>
        <w:spacing w:before="120" w:after="120" w:line="240" w:lineRule="auto"/>
        <w:ind w:left="851" w:hanging="567"/>
        <w:jc w:val="both"/>
        <w:rPr>
          <w:rFonts w:ascii="Times New Roman" w:eastAsia="Times New Roman" w:hAnsi="Times New Roman" w:cs="Times New Roman"/>
          <w:b/>
        </w:rPr>
      </w:pPr>
      <w:r w:rsidRPr="00C16321">
        <w:rPr>
          <w:rFonts w:ascii="Times New Roman" w:eastAsia="Times New Roman" w:hAnsi="Times New Roman" w:cs="Times New Roman"/>
          <w:bCs/>
          <w:lang w:eastAsia="hu-HU"/>
        </w:rPr>
        <w:t>Kormányszerkezetek szétszerelése, diagnosztikai vizsgálata. (</w:t>
      </w:r>
      <w:r w:rsidRPr="00C16321">
        <w:rPr>
          <w:rFonts w:ascii="Times New Roman" w:eastAsia="Times New Roman" w:hAnsi="Times New Roman" w:cs="Times New Roman"/>
          <w:bCs/>
          <w:i/>
          <w:lang w:eastAsia="hu-HU"/>
        </w:rPr>
        <w:t>Dismantling and testing of steering gears</w:t>
      </w:r>
      <w:r w:rsidRPr="00C16321">
        <w:rPr>
          <w:rFonts w:ascii="Times New Roman" w:eastAsia="Times New Roman" w:hAnsi="Times New Roman" w:cs="Times New Roman"/>
          <w:bCs/>
          <w:lang w:eastAsia="hu-HU"/>
        </w:rPr>
        <w:t>.)</w:t>
      </w:r>
    </w:p>
    <w:p w:rsidR="00C16321" w:rsidRPr="00C16321" w:rsidRDefault="00C16321" w:rsidP="00980876">
      <w:pPr>
        <w:widowControl w:val="0"/>
        <w:numPr>
          <w:ilvl w:val="1"/>
          <w:numId w:val="692"/>
        </w:numPr>
        <w:tabs>
          <w:tab w:val="left" w:pos="993"/>
          <w:tab w:val="num" w:pos="2069"/>
        </w:tabs>
        <w:spacing w:before="120" w:after="120" w:line="240" w:lineRule="auto"/>
        <w:ind w:left="851" w:hanging="567"/>
        <w:jc w:val="both"/>
        <w:rPr>
          <w:rFonts w:ascii="Times New Roman" w:eastAsia="Times New Roman" w:hAnsi="Times New Roman" w:cs="Times New Roman"/>
          <w:b/>
        </w:rPr>
      </w:pPr>
      <w:r w:rsidRPr="00C16321">
        <w:rPr>
          <w:rFonts w:ascii="Times New Roman" w:eastAsia="Times New Roman" w:hAnsi="Times New Roman" w:cs="Times New Roman"/>
          <w:bCs/>
          <w:lang w:eastAsia="hu-HU"/>
        </w:rPr>
        <w:t>Kormányszerkezetek javítása. (</w:t>
      </w:r>
      <w:r w:rsidRPr="00C16321">
        <w:rPr>
          <w:rFonts w:ascii="Times New Roman" w:eastAsia="Times New Roman" w:hAnsi="Times New Roman" w:cs="Times New Roman"/>
          <w:bCs/>
          <w:i/>
          <w:lang w:eastAsia="hu-HU"/>
        </w:rPr>
        <w:t>Repair of steering gears</w:t>
      </w:r>
      <w:r w:rsidRPr="00C16321">
        <w:rPr>
          <w:rFonts w:ascii="Times New Roman" w:eastAsia="Times New Roman" w:hAnsi="Times New Roman" w:cs="Times New Roman"/>
          <w:bCs/>
          <w:lang w:eastAsia="hu-HU"/>
        </w:rPr>
        <w:t>.)</w:t>
      </w:r>
    </w:p>
    <w:p w:rsidR="00C16321" w:rsidRPr="00C16321" w:rsidRDefault="00C16321" w:rsidP="00980876">
      <w:pPr>
        <w:widowControl w:val="0"/>
        <w:numPr>
          <w:ilvl w:val="1"/>
          <w:numId w:val="692"/>
        </w:numPr>
        <w:tabs>
          <w:tab w:val="left" w:pos="993"/>
          <w:tab w:val="num" w:pos="2069"/>
        </w:tabs>
        <w:spacing w:before="120" w:after="120" w:line="240" w:lineRule="auto"/>
        <w:ind w:left="851" w:hanging="567"/>
        <w:jc w:val="both"/>
        <w:rPr>
          <w:rFonts w:ascii="Times New Roman" w:eastAsia="Times New Roman" w:hAnsi="Times New Roman" w:cs="Times New Roman"/>
          <w:b/>
        </w:rPr>
      </w:pPr>
      <w:r w:rsidRPr="00C16321">
        <w:rPr>
          <w:rFonts w:ascii="Times New Roman" w:eastAsia="Times New Roman" w:hAnsi="Times New Roman" w:cs="Times New Roman"/>
          <w:bCs/>
          <w:lang w:eastAsia="hu-HU"/>
        </w:rPr>
        <w:t>Fékszerkezetek meghibásodásai, hibafelvétele. (</w:t>
      </w:r>
      <w:r w:rsidRPr="00C16321">
        <w:rPr>
          <w:rFonts w:ascii="Times New Roman" w:eastAsia="Times New Roman" w:hAnsi="Times New Roman" w:cs="Times New Roman"/>
          <w:bCs/>
          <w:i/>
          <w:lang w:eastAsia="hu-HU"/>
        </w:rPr>
        <w:t>Failure and diagnostics of brake components.</w:t>
      </w:r>
      <w:r w:rsidRPr="00C16321">
        <w:rPr>
          <w:rFonts w:ascii="Times New Roman" w:eastAsia="Times New Roman" w:hAnsi="Times New Roman" w:cs="Times New Roman"/>
          <w:bCs/>
          <w:lang w:eastAsia="hu-HU"/>
        </w:rPr>
        <w:t>)</w:t>
      </w:r>
    </w:p>
    <w:p w:rsidR="00C16321" w:rsidRPr="00C16321" w:rsidRDefault="00C16321" w:rsidP="00980876">
      <w:pPr>
        <w:widowControl w:val="0"/>
        <w:numPr>
          <w:ilvl w:val="1"/>
          <w:numId w:val="692"/>
        </w:numPr>
        <w:tabs>
          <w:tab w:val="left" w:pos="993"/>
          <w:tab w:val="num" w:pos="2069"/>
        </w:tabs>
        <w:spacing w:before="120" w:after="120" w:line="240" w:lineRule="auto"/>
        <w:ind w:left="851" w:hanging="567"/>
        <w:jc w:val="both"/>
        <w:rPr>
          <w:rFonts w:ascii="Times New Roman" w:eastAsia="Times New Roman" w:hAnsi="Times New Roman" w:cs="Times New Roman"/>
          <w:b/>
        </w:rPr>
      </w:pPr>
      <w:r w:rsidRPr="00C16321">
        <w:rPr>
          <w:rFonts w:ascii="Times New Roman" w:eastAsia="Times New Roman" w:hAnsi="Times New Roman" w:cs="Times New Roman"/>
          <w:bCs/>
          <w:lang w:eastAsia="hu-HU"/>
        </w:rPr>
        <w:t>Fékszerkezetek szét- és összeszerelése, javítása. (</w:t>
      </w:r>
      <w:r w:rsidRPr="00C16321">
        <w:rPr>
          <w:rFonts w:ascii="Times New Roman" w:eastAsia="Times New Roman" w:hAnsi="Times New Roman" w:cs="Times New Roman"/>
          <w:bCs/>
          <w:i/>
          <w:lang w:eastAsia="hu-HU"/>
        </w:rPr>
        <w:t>Disassembly and assembly, repair of brake components</w:t>
      </w:r>
      <w:r w:rsidRPr="00C16321">
        <w:rPr>
          <w:rFonts w:ascii="Times New Roman" w:eastAsia="Times New Roman" w:hAnsi="Times New Roman" w:cs="Times New Roman"/>
          <w:bCs/>
          <w:lang w:eastAsia="hu-HU"/>
        </w:rPr>
        <w:t>.)</w:t>
      </w:r>
    </w:p>
    <w:p w:rsidR="00C16321" w:rsidRPr="00C16321" w:rsidRDefault="00C16321" w:rsidP="00980876">
      <w:pPr>
        <w:widowControl w:val="0"/>
        <w:numPr>
          <w:ilvl w:val="1"/>
          <w:numId w:val="692"/>
        </w:numPr>
        <w:tabs>
          <w:tab w:val="left" w:pos="993"/>
          <w:tab w:val="num" w:pos="2069"/>
        </w:tabs>
        <w:spacing w:before="120" w:after="120" w:line="240" w:lineRule="auto"/>
        <w:ind w:left="851" w:hanging="567"/>
        <w:jc w:val="both"/>
        <w:rPr>
          <w:rFonts w:ascii="Times New Roman" w:eastAsia="Times New Roman" w:hAnsi="Times New Roman" w:cs="Times New Roman"/>
        </w:rPr>
      </w:pPr>
      <w:r w:rsidRPr="00C16321">
        <w:rPr>
          <w:rFonts w:ascii="Times New Roman" w:eastAsia="Times New Roman" w:hAnsi="Times New Roman" w:cs="Times New Roman"/>
          <w:bCs/>
          <w:lang w:eastAsia="hu-HU"/>
        </w:rPr>
        <w:t>Fékberendezések diagnosztikai vizsgálata.</w:t>
      </w:r>
      <w:r w:rsidRPr="00C16321">
        <w:rPr>
          <w:rFonts w:ascii="Times New Roman" w:eastAsia="Times New Roman" w:hAnsi="Times New Roman" w:cs="Times New Roman"/>
        </w:rPr>
        <w:t xml:space="preserve"> </w:t>
      </w:r>
      <w:r w:rsidRPr="00C16321">
        <w:rPr>
          <w:rFonts w:ascii="Times New Roman" w:eastAsia="Times New Roman" w:hAnsi="Times New Roman" w:cs="Times New Roman"/>
          <w:bCs/>
        </w:rPr>
        <w:t>Fékberendezések technikai kiszolgálása.</w:t>
      </w:r>
      <w:r w:rsidRPr="00C16321">
        <w:rPr>
          <w:rFonts w:ascii="Times New Roman" w:eastAsia="Times New Roman" w:hAnsi="Times New Roman" w:cs="Times New Roman"/>
        </w:rPr>
        <w:t xml:space="preserve"> (</w:t>
      </w:r>
      <w:r w:rsidRPr="00C16321">
        <w:rPr>
          <w:rFonts w:ascii="Times New Roman" w:eastAsia="Times New Roman" w:hAnsi="Times New Roman" w:cs="Times New Roman"/>
          <w:bCs/>
          <w:i/>
        </w:rPr>
        <w:t>Diagnostical testing of braking devices</w:t>
      </w:r>
      <w:r w:rsidRPr="00C16321">
        <w:rPr>
          <w:rFonts w:ascii="Times New Roman" w:eastAsia="Times New Roman" w:hAnsi="Times New Roman" w:cs="Times New Roman"/>
          <w:bCs/>
        </w:rPr>
        <w:t>.</w:t>
      </w:r>
      <w:r w:rsidRPr="00C16321">
        <w:rPr>
          <w:rFonts w:ascii="Times New Roman" w:eastAsia="Times New Roman" w:hAnsi="Times New Roman" w:cs="Times New Roman"/>
          <w:i/>
        </w:rPr>
        <w:t xml:space="preserve"> </w:t>
      </w:r>
      <w:r w:rsidRPr="00C16321">
        <w:rPr>
          <w:rFonts w:ascii="Times New Roman" w:eastAsia="Times New Roman" w:hAnsi="Times New Roman" w:cs="Times New Roman"/>
          <w:bCs/>
          <w:i/>
        </w:rPr>
        <w:t>Maintenance of braking devices</w:t>
      </w:r>
      <w:r w:rsidRPr="00C16321">
        <w:rPr>
          <w:rFonts w:ascii="Times New Roman" w:eastAsia="Times New Roman" w:hAnsi="Times New Roman" w:cs="Times New Roman"/>
          <w:bCs/>
        </w:rPr>
        <w:t>.</w:t>
      </w:r>
      <w:r w:rsidRPr="00C16321">
        <w:rPr>
          <w:rFonts w:ascii="Times New Roman" w:eastAsia="Times New Roman" w:hAnsi="Times New Roman" w:cs="Times New Roman"/>
        </w:rPr>
        <w:t>)</w:t>
      </w:r>
    </w:p>
    <w:p w:rsidR="00C16321" w:rsidRPr="00C16321" w:rsidRDefault="00C16321" w:rsidP="00980876">
      <w:pPr>
        <w:widowControl w:val="0"/>
        <w:numPr>
          <w:ilvl w:val="1"/>
          <w:numId w:val="692"/>
        </w:numPr>
        <w:tabs>
          <w:tab w:val="left" w:pos="993"/>
          <w:tab w:val="num" w:pos="2069"/>
        </w:tabs>
        <w:spacing w:before="120" w:after="120" w:line="240" w:lineRule="auto"/>
        <w:ind w:left="851" w:hanging="567"/>
        <w:jc w:val="both"/>
        <w:rPr>
          <w:rFonts w:ascii="Times New Roman" w:eastAsia="Times New Roman" w:hAnsi="Times New Roman" w:cs="Times New Roman"/>
        </w:rPr>
      </w:pPr>
      <w:r w:rsidRPr="00C16321">
        <w:rPr>
          <w:rFonts w:ascii="Times New Roman" w:eastAsia="Times New Roman" w:hAnsi="Times New Roman" w:cs="Times New Roman"/>
          <w:bCs/>
          <w:lang w:eastAsia="hu-HU"/>
        </w:rPr>
        <w:t xml:space="preserve">Kocsiszekrény, páncéltest, fegyver és különleges berendezések üzemeltetési sajátosságai. </w:t>
      </w:r>
      <w:r w:rsidRPr="00C16321">
        <w:rPr>
          <w:rFonts w:ascii="Times New Roman" w:eastAsia="Times New Roman" w:hAnsi="Times New Roman" w:cs="Times New Roman"/>
        </w:rPr>
        <w:t>(</w:t>
      </w:r>
      <w:r w:rsidRPr="00C16321">
        <w:rPr>
          <w:rFonts w:ascii="Times New Roman" w:eastAsia="Times New Roman" w:hAnsi="Times New Roman" w:cs="Times New Roman"/>
          <w:bCs/>
          <w:i/>
        </w:rPr>
        <w:t>Operational specifications of armor, weapon and special equipments</w:t>
      </w:r>
      <w:r w:rsidRPr="00C16321">
        <w:rPr>
          <w:rFonts w:ascii="Times New Roman" w:eastAsia="Times New Roman" w:hAnsi="Times New Roman" w:cs="Times New Roman"/>
          <w:bCs/>
        </w:rPr>
        <w:t>.</w:t>
      </w:r>
      <w:r w:rsidRPr="00C16321">
        <w:rPr>
          <w:rFonts w:ascii="Times New Roman" w:eastAsia="Times New Roman" w:hAnsi="Times New Roman" w:cs="Times New Roman"/>
        </w:rPr>
        <w:t>)</w:t>
      </w:r>
    </w:p>
    <w:p w:rsidR="00C16321" w:rsidRPr="00C16321" w:rsidRDefault="00C16321" w:rsidP="00980876">
      <w:pPr>
        <w:widowControl w:val="0"/>
        <w:numPr>
          <w:ilvl w:val="1"/>
          <w:numId w:val="692"/>
        </w:numPr>
        <w:tabs>
          <w:tab w:val="left" w:pos="993"/>
          <w:tab w:val="num" w:pos="2069"/>
        </w:tabs>
        <w:spacing w:before="120" w:after="120" w:line="240" w:lineRule="auto"/>
        <w:ind w:left="851" w:hanging="567"/>
        <w:jc w:val="both"/>
        <w:rPr>
          <w:rFonts w:ascii="Times New Roman" w:eastAsia="Times New Roman" w:hAnsi="Times New Roman" w:cs="Times New Roman"/>
        </w:rPr>
      </w:pPr>
      <w:r w:rsidRPr="00C16321">
        <w:rPr>
          <w:rFonts w:ascii="Times New Roman" w:eastAsia="Times New Roman" w:hAnsi="Times New Roman" w:cs="Times New Roman"/>
          <w:bCs/>
        </w:rPr>
        <w:t xml:space="preserve">Kocsiszekrény, páncéltest, fegyver és különleges berendezések meghibásodásai, hibafelvétele. </w:t>
      </w:r>
      <w:r w:rsidRPr="00C16321">
        <w:rPr>
          <w:rFonts w:ascii="Times New Roman" w:eastAsia="Times New Roman" w:hAnsi="Times New Roman" w:cs="Times New Roman"/>
        </w:rPr>
        <w:t>(</w:t>
      </w:r>
      <w:r w:rsidRPr="00C16321">
        <w:rPr>
          <w:rFonts w:ascii="Times New Roman" w:eastAsia="Times New Roman" w:hAnsi="Times New Roman" w:cs="Times New Roman"/>
          <w:i/>
        </w:rPr>
        <w:t>M</w:t>
      </w:r>
      <w:r w:rsidRPr="00C16321">
        <w:rPr>
          <w:rFonts w:ascii="Times New Roman" w:eastAsia="Times New Roman" w:hAnsi="Times New Roman" w:cs="Times New Roman"/>
          <w:bCs/>
          <w:i/>
        </w:rPr>
        <w:t>alfunctions, fault recognition of armor, weapon and special equipments</w:t>
      </w:r>
      <w:r w:rsidRPr="00C16321">
        <w:rPr>
          <w:rFonts w:ascii="Times New Roman" w:eastAsia="Times New Roman" w:hAnsi="Times New Roman" w:cs="Times New Roman"/>
          <w:bCs/>
        </w:rPr>
        <w:t>.)</w:t>
      </w:r>
    </w:p>
    <w:p w:rsidR="00C16321" w:rsidRPr="00C16321" w:rsidRDefault="00C16321" w:rsidP="00980876">
      <w:pPr>
        <w:widowControl w:val="0"/>
        <w:numPr>
          <w:ilvl w:val="1"/>
          <w:numId w:val="692"/>
        </w:numPr>
        <w:tabs>
          <w:tab w:val="left" w:pos="993"/>
          <w:tab w:val="num" w:pos="2069"/>
        </w:tabs>
        <w:spacing w:before="120" w:after="120" w:line="240" w:lineRule="auto"/>
        <w:ind w:left="851" w:hanging="567"/>
        <w:jc w:val="both"/>
        <w:rPr>
          <w:rFonts w:ascii="Times New Roman" w:eastAsia="Times New Roman" w:hAnsi="Times New Roman" w:cs="Times New Roman"/>
        </w:rPr>
      </w:pPr>
      <w:r w:rsidRPr="00C16321">
        <w:rPr>
          <w:rFonts w:ascii="Times New Roman" w:eastAsia="Times New Roman" w:hAnsi="Times New Roman" w:cs="Times New Roman"/>
          <w:bCs/>
        </w:rPr>
        <w:lastRenderedPageBreak/>
        <w:t xml:space="preserve">Kocsiszekrény, páncéltest, fegyver és különleges berendezések javítása és technikai kiszolgálása. </w:t>
      </w:r>
      <w:r w:rsidRPr="00C16321">
        <w:rPr>
          <w:rFonts w:ascii="Times New Roman" w:eastAsia="Times New Roman" w:hAnsi="Times New Roman" w:cs="Times New Roman"/>
        </w:rPr>
        <w:t>(</w:t>
      </w:r>
      <w:r w:rsidRPr="00C16321">
        <w:rPr>
          <w:rFonts w:ascii="Times New Roman" w:eastAsia="Times New Roman" w:hAnsi="Times New Roman" w:cs="Times New Roman"/>
          <w:i/>
        </w:rPr>
        <w:t>Repair and m</w:t>
      </w:r>
      <w:r w:rsidRPr="00C16321">
        <w:rPr>
          <w:rFonts w:ascii="Times New Roman" w:eastAsia="Times New Roman" w:hAnsi="Times New Roman" w:cs="Times New Roman"/>
          <w:bCs/>
          <w:i/>
        </w:rPr>
        <w:t>aintenance of armor, weapon and special equipments</w:t>
      </w:r>
      <w:r w:rsidRPr="00C16321">
        <w:rPr>
          <w:rFonts w:ascii="Times New Roman" w:eastAsia="Times New Roman" w:hAnsi="Times New Roman" w:cs="Times New Roman"/>
          <w:bCs/>
        </w:rPr>
        <w:t>.)</w:t>
      </w:r>
    </w:p>
    <w:p w:rsidR="00C16321" w:rsidRPr="00C16321" w:rsidRDefault="00C16321" w:rsidP="00980876">
      <w:pPr>
        <w:widowControl w:val="0"/>
        <w:numPr>
          <w:ilvl w:val="0"/>
          <w:numId w:val="692"/>
        </w:numPr>
        <w:tabs>
          <w:tab w:val="num" w:pos="360"/>
        </w:tabs>
        <w:spacing w:before="120" w:after="120" w:line="240" w:lineRule="auto"/>
        <w:ind w:left="426" w:hanging="142"/>
        <w:jc w:val="both"/>
        <w:rPr>
          <w:rFonts w:ascii="Times New Roman" w:eastAsia="Times New Roman" w:hAnsi="Times New Roman" w:cs="Times New Roman"/>
          <w:bCs/>
        </w:rPr>
      </w:pPr>
      <w:r w:rsidRPr="00C16321">
        <w:rPr>
          <w:rFonts w:ascii="Times New Roman" w:eastAsia="Times New Roman" w:hAnsi="Times New Roman" w:cs="Times New Roman"/>
          <w:b/>
          <w:bCs/>
        </w:rPr>
        <w:t xml:space="preserve">A tantárgy meghirdetésének gyakorisága/a tantervben történő félévi elhelyezkedése: </w:t>
      </w:r>
      <w:r w:rsidRPr="00C16321">
        <w:rPr>
          <w:rFonts w:ascii="Times New Roman" w:eastAsia="Times New Roman" w:hAnsi="Times New Roman" w:cs="Times New Roman"/>
          <w:bCs/>
        </w:rPr>
        <w:t>8. félév</w:t>
      </w:r>
    </w:p>
    <w:p w:rsidR="00C16321" w:rsidRPr="00C16321" w:rsidRDefault="00C16321" w:rsidP="00980876">
      <w:pPr>
        <w:widowControl w:val="0"/>
        <w:numPr>
          <w:ilvl w:val="0"/>
          <w:numId w:val="692"/>
        </w:numPr>
        <w:tabs>
          <w:tab w:val="num" w:pos="360"/>
        </w:tabs>
        <w:spacing w:before="120" w:after="120" w:line="240" w:lineRule="auto"/>
        <w:ind w:left="426" w:hanging="142"/>
        <w:jc w:val="both"/>
        <w:rPr>
          <w:rFonts w:ascii="Times New Roman" w:eastAsia="Times New Roman" w:hAnsi="Times New Roman" w:cs="Times New Roman"/>
          <w:bCs/>
        </w:rPr>
      </w:pPr>
      <w:r w:rsidRPr="00C16321">
        <w:rPr>
          <w:rFonts w:ascii="Times New Roman" w:eastAsia="Times New Roman" w:hAnsi="Times New Roman" w:cs="Times New Roman"/>
          <w:b/>
          <w:bCs/>
        </w:rPr>
        <w:t>A tanórákon való részvétel követelményei, az elfogadható hiányzások mértéke, a távolmaradás pótlásának lehetősége:</w:t>
      </w:r>
      <w:r w:rsidRPr="00C16321">
        <w:rPr>
          <w:rFonts w:ascii="Times New Roman" w:eastAsia="Times New Roman" w:hAnsi="Times New Roman" w:cs="Times New Roman"/>
          <w:bCs/>
        </w:rPr>
        <w:t xml:space="preserve"> </w:t>
      </w:r>
    </w:p>
    <w:p w:rsidR="00C16321" w:rsidRPr="00C16321" w:rsidRDefault="00C16321" w:rsidP="00C16321">
      <w:pPr>
        <w:widowControl w:val="0"/>
        <w:spacing w:before="120" w:after="120" w:line="240" w:lineRule="auto"/>
        <w:ind w:left="426"/>
        <w:jc w:val="both"/>
        <w:rPr>
          <w:rFonts w:ascii="Times New Roman" w:eastAsia="Times New Roman" w:hAnsi="Times New Roman" w:cs="Times New Roman"/>
          <w:bCs/>
        </w:rPr>
      </w:pPr>
      <w:r w:rsidRPr="00C16321">
        <w:rPr>
          <w:rFonts w:ascii="Times New Roman" w:eastAsia="Times New Roman" w:hAnsi="Times New Roman" w:cs="Times New Roman"/>
          <w:bCs/>
        </w:rPr>
        <w:t>A hallgatónak a tanórák legalább 70 %-án jelen kell lennie, 30 %-ot meghaladó hiányzás esetén a félév teljesítése nem írható alá. A hallgató köteles az előadás és a gyakorlat anyagát beszerezni, abból önállóan felkészülni. A hiányzás pótolható az oktató által kijelölt témakörben beadott, legalább elégségesre értékelt házidolgozattal.</w:t>
      </w:r>
    </w:p>
    <w:p w:rsidR="00C16321" w:rsidRPr="00C16321" w:rsidRDefault="00C16321" w:rsidP="00980876">
      <w:pPr>
        <w:widowControl w:val="0"/>
        <w:numPr>
          <w:ilvl w:val="0"/>
          <w:numId w:val="692"/>
        </w:numPr>
        <w:tabs>
          <w:tab w:val="num" w:pos="360"/>
        </w:tabs>
        <w:spacing w:before="120" w:after="120" w:line="240" w:lineRule="auto"/>
        <w:ind w:left="426" w:hanging="142"/>
        <w:jc w:val="both"/>
        <w:rPr>
          <w:rFonts w:ascii="Times New Roman" w:eastAsia="Times New Roman" w:hAnsi="Times New Roman" w:cs="Times New Roman"/>
          <w:bCs/>
        </w:rPr>
      </w:pPr>
      <w:r w:rsidRPr="00C16321">
        <w:rPr>
          <w:rFonts w:ascii="Times New Roman" w:eastAsia="Times New Roman" w:hAnsi="Times New Roman" w:cs="Times New Roman"/>
          <w:b/>
        </w:rPr>
        <w:t>Félévközi feladatok, ismeretek ellenőrzésének rendje:</w:t>
      </w:r>
      <w:r w:rsidRPr="00C16321">
        <w:rPr>
          <w:rFonts w:ascii="Times New Roman" w:eastAsia="Times New Roman" w:hAnsi="Times New Roman" w:cs="Times New Roman"/>
          <w:bCs/>
        </w:rPr>
        <w:t xml:space="preserve"> A félév során a hallgató kettő zárthelyi dolgozatot ír. Az első zárthelyi dolgozat a 12.1-12.7. a második zárthelyi dolgozat a 12.8-12.13 tantárgyrészekből áll. A zárthelyi dolgozat témáit a kötelező irodalmak anyagából, illetve az előadásokon elhangzott ismeretanyagból kell összeállítani. A zárthelyi dolgozat értékelése ötfokozatú értékelés (a helyes válaszok aránya 0-60% elégtelen; 61-70% elégséges; 71-80% közepes; 81-90% jó; 91-100% jeles osztályzat). Eredménytelen zárthelyi dolgozat kétszer javítható a szorgalmi időszak végéig az oktatóval egyeztetett időpontokban</w:t>
      </w:r>
      <w:r w:rsidRPr="00C16321">
        <w:rPr>
          <w:rFonts w:ascii="Times New Roman" w:eastAsia="Times New Roman" w:hAnsi="Times New Roman" w:cs="Times New Roman"/>
          <w:b/>
          <w:bCs/>
        </w:rPr>
        <w:t>.</w:t>
      </w:r>
      <w:r w:rsidRPr="00C16321">
        <w:rPr>
          <w:rFonts w:ascii="Times New Roman" w:eastAsia="Times New Roman" w:hAnsi="Times New Roman" w:cs="Times New Roman"/>
          <w:bCs/>
        </w:rPr>
        <w:t xml:space="preserve"> A dolgozatban teszt és esszé jellegű kérdések egyaránt szerepelnek</w:t>
      </w:r>
      <w:r w:rsidRPr="00C16321">
        <w:rPr>
          <w:rFonts w:ascii="Times New Roman" w:eastAsia="Times New Roman" w:hAnsi="Times New Roman" w:cs="Times New Roman"/>
          <w:bCs/>
          <w:lang w:eastAsia="hu-HU"/>
        </w:rPr>
        <w:t>.</w:t>
      </w:r>
    </w:p>
    <w:p w:rsidR="00C16321" w:rsidRPr="00C16321" w:rsidRDefault="00C16321" w:rsidP="00980876">
      <w:pPr>
        <w:widowControl w:val="0"/>
        <w:numPr>
          <w:ilvl w:val="0"/>
          <w:numId w:val="692"/>
        </w:numPr>
        <w:spacing w:before="120" w:after="120" w:line="240" w:lineRule="auto"/>
        <w:ind w:left="426" w:hanging="142"/>
        <w:jc w:val="both"/>
        <w:rPr>
          <w:rFonts w:ascii="Times New Roman" w:eastAsia="Times New Roman" w:hAnsi="Times New Roman" w:cs="Times New Roman"/>
          <w:b/>
          <w:bCs/>
        </w:rPr>
      </w:pPr>
      <w:r w:rsidRPr="00C16321">
        <w:rPr>
          <w:rFonts w:ascii="Times New Roman" w:eastAsia="Times New Roman" w:hAnsi="Times New Roman" w:cs="Times New Roman"/>
          <w:b/>
          <w:bCs/>
        </w:rPr>
        <w:t xml:space="preserve">Az értékelés, az aláírás és a kreditek megszerzésének pontos feltételei: </w:t>
      </w:r>
    </w:p>
    <w:p w:rsidR="00C16321" w:rsidRPr="00C16321" w:rsidRDefault="00C16321" w:rsidP="00980876">
      <w:pPr>
        <w:widowControl w:val="0"/>
        <w:numPr>
          <w:ilvl w:val="1"/>
          <w:numId w:val="692"/>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C16321">
        <w:rPr>
          <w:rFonts w:ascii="Times New Roman" w:eastAsia="Times New Roman" w:hAnsi="Times New Roman" w:cs="Times New Roman"/>
          <w:b/>
        </w:rPr>
        <w:t>Az aláírás megszerzésének feltételei:</w:t>
      </w:r>
      <w:r w:rsidRPr="00C16321">
        <w:rPr>
          <w:rFonts w:ascii="Times New Roman" w:eastAsia="Times New Roman" w:hAnsi="Times New Roman" w:cs="Times New Roman"/>
        </w:rPr>
        <w:t xml:space="preserve"> </w:t>
      </w:r>
      <w:r w:rsidRPr="00C16321">
        <w:rPr>
          <w:rFonts w:ascii="Times New Roman" w:eastAsia="Calibri" w:hAnsi="Times New Roman" w:cs="Times New Roman"/>
          <w:bCs/>
        </w:rPr>
        <w:t>Az aláírás megszerzésének feltétele a 14. pontban meghatározott arányú részvétel a foglalkozásokon és a 15. pontban meghatározott félévközi feladatok legalább elégséges teljesítése.</w:t>
      </w:r>
    </w:p>
    <w:p w:rsidR="00C16321" w:rsidRPr="00C16321" w:rsidRDefault="00C16321" w:rsidP="00980876">
      <w:pPr>
        <w:widowControl w:val="0"/>
        <w:numPr>
          <w:ilvl w:val="1"/>
          <w:numId w:val="692"/>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C16321">
        <w:rPr>
          <w:rFonts w:ascii="Times New Roman" w:eastAsia="Times New Roman" w:hAnsi="Times New Roman" w:cs="Times New Roman"/>
          <w:b/>
        </w:rPr>
        <w:t>Az értékelés:</w:t>
      </w:r>
      <w:r w:rsidRPr="00C16321">
        <w:rPr>
          <w:rFonts w:ascii="Times New Roman" w:eastAsia="Times New Roman" w:hAnsi="Times New Roman" w:cs="Times New Roman"/>
        </w:rPr>
        <w:t xml:space="preserve"> </w:t>
      </w:r>
      <w:r w:rsidRPr="00C16321">
        <w:rPr>
          <w:rFonts w:ascii="Times New Roman" w:eastAsia="Calibri" w:hAnsi="Times New Roman" w:cs="Times New Roman"/>
        </w:rPr>
        <w:t>évközi értékelés, ötfokozatú értékelés.</w:t>
      </w:r>
      <w:r w:rsidRPr="00C16321">
        <w:rPr>
          <w:rFonts w:ascii="Times New Roman" w:eastAsia="Times New Roman" w:hAnsi="Times New Roman" w:cs="Times New Roman"/>
          <w:bCs/>
        </w:rPr>
        <w:t xml:space="preserve"> </w:t>
      </w:r>
      <w:r w:rsidRPr="00C16321">
        <w:rPr>
          <w:rFonts w:ascii="Times New Roman" w:eastAsia="Calibri" w:hAnsi="Times New Roman" w:cs="Times New Roman"/>
          <w:bCs/>
        </w:rPr>
        <w:t>Az évközi értékelést az elért eredmények kerekített matematikai átlaga képezi.</w:t>
      </w:r>
    </w:p>
    <w:p w:rsidR="00C16321" w:rsidRPr="00C16321" w:rsidRDefault="00C16321" w:rsidP="00980876">
      <w:pPr>
        <w:widowControl w:val="0"/>
        <w:numPr>
          <w:ilvl w:val="1"/>
          <w:numId w:val="692"/>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C16321">
        <w:rPr>
          <w:rFonts w:ascii="Times New Roman" w:eastAsia="Times New Roman" w:hAnsi="Times New Roman" w:cs="Times New Roman"/>
          <w:b/>
        </w:rPr>
        <w:t>A kreditek megszerzésének feltételei:</w:t>
      </w:r>
      <w:r w:rsidRPr="00C16321">
        <w:rPr>
          <w:rFonts w:ascii="Times New Roman" w:eastAsia="Times New Roman" w:hAnsi="Times New Roman" w:cs="Times New Roman"/>
        </w:rPr>
        <w:t xml:space="preserve"> az aláírás megszerzése és legalább elégséges</w:t>
      </w:r>
      <w:r w:rsidRPr="00C16321">
        <w:rPr>
          <w:rFonts w:ascii="Times New Roman" w:eastAsia="Times New Roman" w:hAnsi="Times New Roman" w:cs="Times New Roman"/>
          <w:b/>
        </w:rPr>
        <w:t xml:space="preserve"> </w:t>
      </w:r>
      <w:r w:rsidRPr="00C16321">
        <w:rPr>
          <w:rFonts w:ascii="Times New Roman" w:eastAsia="Times New Roman" w:hAnsi="Times New Roman" w:cs="Times New Roman"/>
        </w:rPr>
        <w:t>évközi értékelés.</w:t>
      </w:r>
    </w:p>
    <w:p w:rsidR="00C16321" w:rsidRPr="00C16321" w:rsidRDefault="00C16321" w:rsidP="00980876">
      <w:pPr>
        <w:widowControl w:val="0"/>
        <w:numPr>
          <w:ilvl w:val="0"/>
          <w:numId w:val="692"/>
        </w:numPr>
        <w:tabs>
          <w:tab w:val="num" w:pos="360"/>
        </w:tabs>
        <w:spacing w:before="120" w:after="120" w:line="240" w:lineRule="auto"/>
        <w:ind w:left="426" w:hanging="142"/>
        <w:jc w:val="both"/>
        <w:rPr>
          <w:rFonts w:ascii="Times New Roman" w:eastAsia="Times New Roman" w:hAnsi="Times New Roman" w:cs="Times New Roman"/>
          <w:bCs/>
        </w:rPr>
      </w:pPr>
      <w:r w:rsidRPr="00C16321">
        <w:rPr>
          <w:rFonts w:ascii="Times New Roman" w:eastAsia="Times New Roman" w:hAnsi="Times New Roman" w:cs="Times New Roman"/>
          <w:b/>
          <w:bCs/>
        </w:rPr>
        <w:t>Irodalomjegyzék:</w:t>
      </w:r>
    </w:p>
    <w:p w:rsidR="00C16321" w:rsidRPr="00C16321" w:rsidRDefault="00C16321" w:rsidP="00980876">
      <w:pPr>
        <w:widowControl w:val="0"/>
        <w:numPr>
          <w:ilvl w:val="1"/>
          <w:numId w:val="692"/>
        </w:numPr>
        <w:tabs>
          <w:tab w:val="left" w:pos="567"/>
          <w:tab w:val="left" w:pos="851"/>
          <w:tab w:val="num" w:pos="2069"/>
        </w:tabs>
        <w:spacing w:before="120" w:after="120" w:line="240" w:lineRule="auto"/>
        <w:ind w:left="426" w:hanging="142"/>
        <w:jc w:val="both"/>
        <w:rPr>
          <w:rFonts w:ascii="Times New Roman" w:eastAsia="Times New Roman" w:hAnsi="Times New Roman" w:cs="Times New Roman"/>
          <w:bCs/>
        </w:rPr>
      </w:pPr>
      <w:r w:rsidRPr="00C16321">
        <w:rPr>
          <w:rFonts w:ascii="Times New Roman" w:eastAsia="Times New Roman" w:hAnsi="Times New Roman" w:cs="Times New Roman"/>
          <w:b/>
          <w:bCs/>
        </w:rPr>
        <w:t>Kötelező irodalom:</w:t>
      </w:r>
    </w:p>
    <w:p w:rsidR="00C16321" w:rsidRPr="00C16321" w:rsidRDefault="00C16321" w:rsidP="00980876">
      <w:pPr>
        <w:widowControl w:val="0"/>
        <w:numPr>
          <w:ilvl w:val="0"/>
          <w:numId w:val="693"/>
        </w:numPr>
        <w:spacing w:after="0"/>
        <w:rPr>
          <w:rFonts w:ascii="Times New Roman" w:eastAsia="Times New Roman" w:hAnsi="Times New Roman" w:cs="Times New Roman"/>
        </w:rPr>
      </w:pPr>
      <w:r w:rsidRPr="00C16321">
        <w:rPr>
          <w:rFonts w:ascii="Times New Roman" w:eastAsia="Times New Roman" w:hAnsi="Times New Roman" w:cs="Times New Roman"/>
        </w:rPr>
        <w:t>Kiss László: Gépjárművek rendszerben tartása. ZMNE nyomda, főiskolai jegyzet, Budapest, 2005.</w:t>
      </w:r>
    </w:p>
    <w:p w:rsidR="00C16321" w:rsidRPr="00C16321" w:rsidRDefault="00C16321" w:rsidP="00980876">
      <w:pPr>
        <w:widowControl w:val="0"/>
        <w:numPr>
          <w:ilvl w:val="0"/>
          <w:numId w:val="693"/>
        </w:numPr>
        <w:spacing w:after="0"/>
        <w:rPr>
          <w:rFonts w:ascii="Times New Roman" w:eastAsia="Times New Roman" w:hAnsi="Times New Roman" w:cs="Times New Roman"/>
        </w:rPr>
      </w:pPr>
      <w:r w:rsidRPr="00C16321">
        <w:rPr>
          <w:rFonts w:ascii="Times New Roman" w:eastAsia="Times New Roman" w:hAnsi="Times New Roman" w:cs="Times New Roman"/>
        </w:rPr>
        <w:t>Kőfalusi Pál – Dr. Szőcs Károly – Dr. Varga Ferenc: Fékrendszerek. Maróti Könyvkiadó, Budapest, 2004. ISBN: 9639005630</w:t>
      </w:r>
    </w:p>
    <w:p w:rsidR="00C16321" w:rsidRPr="00C16321" w:rsidRDefault="00C16321" w:rsidP="00980876">
      <w:pPr>
        <w:widowControl w:val="0"/>
        <w:numPr>
          <w:ilvl w:val="0"/>
          <w:numId w:val="693"/>
        </w:numPr>
        <w:spacing w:after="0"/>
        <w:rPr>
          <w:rFonts w:ascii="Times New Roman" w:eastAsia="Times New Roman" w:hAnsi="Times New Roman" w:cs="Times New Roman"/>
        </w:rPr>
      </w:pPr>
      <w:r w:rsidRPr="00C16321">
        <w:rPr>
          <w:rFonts w:ascii="Times New Roman" w:eastAsia="Times New Roman" w:hAnsi="Times New Roman" w:cs="Times New Roman"/>
        </w:rPr>
        <w:t>Kőfalusi Pál: ABS-től ESP-ig elektronikus menetdinamikai szabályozó rendszerek. Maróti Könyvkiadó, Budapest, 2005. ISBN: 9639005673</w:t>
      </w:r>
    </w:p>
    <w:p w:rsidR="00C16321" w:rsidRPr="00C16321" w:rsidRDefault="00C16321" w:rsidP="00980876">
      <w:pPr>
        <w:widowControl w:val="0"/>
        <w:numPr>
          <w:ilvl w:val="0"/>
          <w:numId w:val="693"/>
        </w:numPr>
        <w:spacing w:after="0"/>
        <w:rPr>
          <w:rFonts w:ascii="Times New Roman" w:eastAsia="Times New Roman" w:hAnsi="Times New Roman" w:cs="Times New Roman"/>
        </w:rPr>
      </w:pPr>
      <w:r w:rsidRPr="00C16321">
        <w:rPr>
          <w:rFonts w:ascii="Times New Roman" w:eastAsia="Times New Roman" w:hAnsi="Times New Roman" w:cs="Times New Roman"/>
        </w:rPr>
        <w:t>Szaller László: Gépjárművek dinamikája és szerkezettana. Tankönyvmester Kiadó, Budapest, 2005. ISBN: 9639668214</w:t>
      </w:r>
    </w:p>
    <w:p w:rsidR="00C16321" w:rsidRPr="00C16321" w:rsidRDefault="00C16321" w:rsidP="00980876">
      <w:pPr>
        <w:widowControl w:val="0"/>
        <w:numPr>
          <w:ilvl w:val="1"/>
          <w:numId w:val="692"/>
        </w:numPr>
        <w:tabs>
          <w:tab w:val="num" w:pos="567"/>
          <w:tab w:val="num" w:pos="2069"/>
        </w:tabs>
        <w:spacing w:before="120" w:after="120" w:line="240" w:lineRule="auto"/>
        <w:ind w:left="993" w:hanging="709"/>
        <w:jc w:val="both"/>
        <w:rPr>
          <w:rFonts w:ascii="Times New Roman" w:eastAsia="Times New Roman" w:hAnsi="Times New Roman" w:cs="Times New Roman"/>
          <w:b/>
          <w:bCs/>
        </w:rPr>
      </w:pPr>
      <w:r w:rsidRPr="00C16321">
        <w:rPr>
          <w:rFonts w:ascii="Times New Roman" w:eastAsia="Times New Roman" w:hAnsi="Times New Roman" w:cs="Times New Roman"/>
          <w:b/>
          <w:bCs/>
        </w:rPr>
        <w:t>Ajánlott irodalom:</w:t>
      </w:r>
    </w:p>
    <w:p w:rsidR="00C16321" w:rsidRPr="00C16321" w:rsidRDefault="00C16321" w:rsidP="00980876">
      <w:pPr>
        <w:widowControl w:val="0"/>
        <w:numPr>
          <w:ilvl w:val="0"/>
          <w:numId w:val="694"/>
        </w:numPr>
        <w:spacing w:after="0" w:line="240" w:lineRule="auto"/>
        <w:contextualSpacing/>
        <w:jc w:val="both"/>
        <w:rPr>
          <w:rFonts w:ascii="Times New Roman" w:eastAsia="Times New Roman" w:hAnsi="Times New Roman" w:cs="Times New Roman"/>
        </w:rPr>
      </w:pPr>
      <w:r w:rsidRPr="00C16321">
        <w:rPr>
          <w:rFonts w:ascii="Times New Roman" w:eastAsia="Times New Roman" w:hAnsi="Times New Roman" w:cs="Times New Roman"/>
        </w:rPr>
        <w:t>Gépjármű-technikai képletgyűjtemény. Műszaki Könyvkiadó, Budapest, 1995. ISBN: 9631605922</w:t>
      </w:r>
    </w:p>
    <w:p w:rsidR="00C16321" w:rsidRPr="00C16321" w:rsidRDefault="00C16321" w:rsidP="00980876">
      <w:pPr>
        <w:widowControl w:val="0"/>
        <w:numPr>
          <w:ilvl w:val="0"/>
          <w:numId w:val="694"/>
        </w:numPr>
        <w:spacing w:after="0" w:line="240" w:lineRule="auto"/>
        <w:contextualSpacing/>
        <w:jc w:val="both"/>
        <w:rPr>
          <w:rFonts w:ascii="Times New Roman" w:eastAsia="Times New Roman" w:hAnsi="Times New Roman" w:cs="Times New Roman"/>
        </w:rPr>
      </w:pPr>
      <w:r w:rsidRPr="00C16321">
        <w:rPr>
          <w:rFonts w:ascii="Times New Roman" w:eastAsia="Times New Roman" w:hAnsi="Times New Roman" w:cs="Times New Roman"/>
        </w:rPr>
        <w:t>Gépjármű-technikai szakszámítások. Műszaki Könyvkiadó, Budapest, 2000. ISBN: 9631605957</w:t>
      </w:r>
    </w:p>
    <w:p w:rsidR="00C16321" w:rsidRPr="00C16321" w:rsidRDefault="00C16321" w:rsidP="00980876">
      <w:pPr>
        <w:widowControl w:val="0"/>
        <w:numPr>
          <w:ilvl w:val="0"/>
          <w:numId w:val="694"/>
        </w:numPr>
        <w:spacing w:after="0" w:line="240" w:lineRule="auto"/>
        <w:contextualSpacing/>
        <w:jc w:val="both"/>
        <w:rPr>
          <w:rFonts w:ascii="Times New Roman" w:eastAsia="Times New Roman" w:hAnsi="Times New Roman" w:cs="Times New Roman"/>
          <w:bCs/>
        </w:rPr>
      </w:pPr>
      <w:r w:rsidRPr="00C16321">
        <w:rPr>
          <w:rFonts w:ascii="Times New Roman" w:eastAsia="Times New Roman" w:hAnsi="Times New Roman" w:cs="Times New Roman"/>
        </w:rPr>
        <w:t>Zinner György: Gépjárművek erőátviteli berendezései. Tankönyvmester Kiadó, Budapest, 2006. ISBN: 9639668222.</w:t>
      </w:r>
    </w:p>
    <w:p w:rsidR="00C16321" w:rsidRDefault="00C16321" w:rsidP="00C16321">
      <w:pPr>
        <w:widowControl w:val="0"/>
        <w:spacing w:before="120" w:after="120" w:line="240" w:lineRule="auto"/>
        <w:jc w:val="both"/>
        <w:rPr>
          <w:rFonts w:ascii="Times New Roman" w:eastAsia="Times New Roman" w:hAnsi="Times New Roman" w:cs="Times New Roman"/>
          <w:bCs/>
        </w:rPr>
      </w:pPr>
    </w:p>
    <w:p w:rsidR="00C16321" w:rsidRPr="00C16321" w:rsidRDefault="00C16321" w:rsidP="00C16321">
      <w:pPr>
        <w:widowControl w:val="0"/>
        <w:spacing w:before="120" w:after="120" w:line="240" w:lineRule="auto"/>
        <w:ind w:firstLine="360"/>
        <w:jc w:val="both"/>
        <w:rPr>
          <w:rFonts w:ascii="Times New Roman" w:eastAsia="Times New Roman" w:hAnsi="Times New Roman" w:cs="Times New Roman"/>
          <w:bCs/>
        </w:rPr>
      </w:pPr>
      <w:r w:rsidRPr="00C16321">
        <w:rPr>
          <w:rFonts w:ascii="Times New Roman" w:eastAsia="Times New Roman" w:hAnsi="Times New Roman" w:cs="Times New Roman"/>
          <w:bCs/>
        </w:rPr>
        <w:t>Budapest, 2020.03.14.</w:t>
      </w:r>
    </w:p>
    <w:p w:rsidR="00C16321" w:rsidRPr="00C16321" w:rsidRDefault="00C16321" w:rsidP="00C16321">
      <w:pPr>
        <w:widowControl w:val="0"/>
        <w:spacing w:after="0" w:line="240" w:lineRule="auto"/>
        <w:ind w:left="6379"/>
        <w:jc w:val="center"/>
        <w:rPr>
          <w:rFonts w:ascii="Times New Roman" w:eastAsia="Times New Roman" w:hAnsi="Times New Roman" w:cs="Times New Roman"/>
          <w:b/>
          <w:bCs/>
        </w:rPr>
      </w:pPr>
      <w:r w:rsidRPr="00C16321">
        <w:rPr>
          <w:rFonts w:ascii="Times New Roman" w:eastAsia="Times New Roman" w:hAnsi="Times New Roman" w:cs="Times New Roman"/>
          <w:b/>
          <w:bCs/>
        </w:rPr>
        <w:t>Dr. Vég Róbert László PhD</w:t>
      </w:r>
    </w:p>
    <w:p w:rsidR="00C16321" w:rsidRPr="00C16321" w:rsidRDefault="00C16321" w:rsidP="00C16321">
      <w:pPr>
        <w:widowControl w:val="0"/>
        <w:spacing w:after="0" w:line="240" w:lineRule="auto"/>
        <w:ind w:left="6379"/>
        <w:jc w:val="center"/>
        <w:rPr>
          <w:rFonts w:ascii="Times New Roman" w:eastAsia="Times New Roman" w:hAnsi="Times New Roman" w:cs="Times New Roman"/>
          <w:bCs/>
        </w:rPr>
      </w:pPr>
      <w:r w:rsidRPr="00C16321">
        <w:rPr>
          <w:rFonts w:ascii="Times New Roman" w:eastAsia="Times New Roman" w:hAnsi="Times New Roman" w:cs="Times New Roman"/>
          <w:bCs/>
        </w:rPr>
        <w:t>egyetemi docens</w:t>
      </w:r>
    </w:p>
    <w:p w:rsidR="0015433A" w:rsidRDefault="0015433A">
      <w:pPr>
        <w:spacing w:after="200" w:line="276" w:lineRule="auto"/>
        <w:rPr>
          <w:rFonts w:ascii="Times New Roman" w:hAnsi="Times New Roman" w:cs="Times New Roman"/>
          <w:b/>
          <w:sz w:val="24"/>
        </w:rPr>
      </w:pPr>
      <w:r>
        <w:rPr>
          <w:rFonts w:ascii="Times New Roman" w:hAnsi="Times New Roman" w:cs="Times New Roman"/>
          <w:b/>
          <w:sz w:val="24"/>
        </w:rPr>
        <w:br w:type="page"/>
      </w:r>
    </w:p>
    <w:tbl>
      <w:tblPr>
        <w:tblW w:w="9072" w:type="dxa"/>
        <w:tblInd w:w="113" w:type="dxa"/>
        <w:tblLook w:val="01E0" w:firstRow="1" w:lastRow="1" w:firstColumn="1" w:lastColumn="1" w:noHBand="0" w:noVBand="0"/>
      </w:tblPr>
      <w:tblGrid>
        <w:gridCol w:w="4855"/>
        <w:gridCol w:w="1620"/>
        <w:gridCol w:w="2597"/>
      </w:tblGrid>
      <w:tr w:rsidR="00C16321" w:rsidRPr="00C16321" w:rsidTr="007C0E71">
        <w:tc>
          <w:tcPr>
            <w:tcW w:w="4855" w:type="dxa"/>
            <w:tcBorders>
              <w:bottom w:val="single" w:sz="4" w:space="0" w:color="auto"/>
            </w:tcBorders>
          </w:tcPr>
          <w:p w:rsidR="00C16321" w:rsidRPr="00C16321" w:rsidRDefault="00C16321" w:rsidP="00C16321">
            <w:pPr>
              <w:spacing w:after="0" w:line="240" w:lineRule="auto"/>
              <w:jc w:val="center"/>
              <w:rPr>
                <w:rFonts w:ascii="Times New Roman" w:eastAsia="Times New Roman" w:hAnsi="Times New Roman" w:cs="Times New Roman"/>
                <w:b/>
                <w:smallCaps/>
                <w:lang w:eastAsia="hu-HU"/>
              </w:rPr>
            </w:pPr>
            <w:r w:rsidRPr="00C16321">
              <w:rPr>
                <w:rFonts w:ascii="Times New Roman" w:eastAsia="Times New Roman" w:hAnsi="Times New Roman" w:cs="Times New Roman"/>
                <w:b/>
                <w:smallCaps/>
                <w:lang w:eastAsia="hu-HU"/>
              </w:rPr>
              <w:lastRenderedPageBreak/>
              <w:t>Nemzeti Közszolgálati Egyetem</w:t>
            </w:r>
          </w:p>
        </w:tc>
        <w:tc>
          <w:tcPr>
            <w:tcW w:w="1620" w:type="dxa"/>
          </w:tcPr>
          <w:p w:rsidR="00C16321" w:rsidRPr="00C16321" w:rsidRDefault="00C16321" w:rsidP="00C16321">
            <w:pPr>
              <w:spacing w:after="0" w:line="240" w:lineRule="auto"/>
              <w:jc w:val="both"/>
              <w:rPr>
                <w:rFonts w:ascii="Times New Roman" w:eastAsia="Times New Roman" w:hAnsi="Times New Roman" w:cs="Times New Roman"/>
                <w:lang w:eastAsia="hu-HU"/>
              </w:rPr>
            </w:pPr>
          </w:p>
        </w:tc>
        <w:tc>
          <w:tcPr>
            <w:tcW w:w="2597" w:type="dxa"/>
          </w:tcPr>
          <w:p w:rsidR="00C16321" w:rsidRPr="00C16321" w:rsidRDefault="00C16321" w:rsidP="00C16321">
            <w:pPr>
              <w:spacing w:after="0" w:line="240" w:lineRule="auto"/>
              <w:jc w:val="right"/>
              <w:rPr>
                <w:rFonts w:ascii="Times New Roman" w:eastAsia="Times New Roman" w:hAnsi="Times New Roman" w:cs="Times New Roman"/>
                <w:lang w:eastAsia="hu-HU"/>
              </w:rPr>
            </w:pPr>
          </w:p>
        </w:tc>
      </w:tr>
      <w:tr w:rsidR="00C16321" w:rsidRPr="00C16321" w:rsidTr="007C0E71">
        <w:tc>
          <w:tcPr>
            <w:tcW w:w="4855" w:type="dxa"/>
            <w:tcBorders>
              <w:top w:val="single" w:sz="4" w:space="0" w:color="auto"/>
            </w:tcBorders>
          </w:tcPr>
          <w:p w:rsidR="00C16321" w:rsidRPr="00C16321" w:rsidRDefault="00C16321" w:rsidP="00C16321">
            <w:pPr>
              <w:spacing w:after="0" w:line="240" w:lineRule="auto"/>
              <w:jc w:val="center"/>
              <w:rPr>
                <w:rFonts w:ascii="Times New Roman" w:eastAsia="Times New Roman" w:hAnsi="Times New Roman" w:cs="Times New Roman"/>
                <w:b/>
                <w:lang w:eastAsia="hu-HU"/>
              </w:rPr>
            </w:pPr>
            <w:r w:rsidRPr="00C16321">
              <w:rPr>
                <w:rFonts w:ascii="Times New Roman" w:eastAsia="Times New Roman" w:hAnsi="Times New Roman" w:cs="Times New Roman"/>
                <w:b/>
                <w:lang w:eastAsia="hu-HU"/>
              </w:rPr>
              <w:t>Hadtudományi és Honvédtisztképző Kar</w:t>
            </w:r>
          </w:p>
        </w:tc>
        <w:tc>
          <w:tcPr>
            <w:tcW w:w="1620" w:type="dxa"/>
          </w:tcPr>
          <w:p w:rsidR="00C16321" w:rsidRPr="00C16321" w:rsidRDefault="00C16321" w:rsidP="00C16321">
            <w:pPr>
              <w:spacing w:after="0" w:line="240" w:lineRule="auto"/>
              <w:jc w:val="both"/>
              <w:rPr>
                <w:rFonts w:ascii="Times New Roman" w:eastAsia="Times New Roman" w:hAnsi="Times New Roman" w:cs="Times New Roman"/>
                <w:lang w:eastAsia="hu-HU"/>
              </w:rPr>
            </w:pPr>
          </w:p>
        </w:tc>
        <w:tc>
          <w:tcPr>
            <w:tcW w:w="2597" w:type="dxa"/>
          </w:tcPr>
          <w:p w:rsidR="00C16321" w:rsidRPr="00C16321" w:rsidRDefault="00C16321" w:rsidP="00C16321">
            <w:pPr>
              <w:spacing w:after="0" w:line="240" w:lineRule="auto"/>
              <w:jc w:val="both"/>
              <w:rPr>
                <w:rFonts w:ascii="Times New Roman" w:eastAsia="Times New Roman" w:hAnsi="Times New Roman" w:cs="Times New Roman"/>
                <w:lang w:eastAsia="hu-HU"/>
              </w:rPr>
            </w:pPr>
          </w:p>
        </w:tc>
      </w:tr>
    </w:tbl>
    <w:p w:rsidR="00C16321" w:rsidRPr="00C16321" w:rsidRDefault="00C16321" w:rsidP="00C16321">
      <w:pPr>
        <w:widowControl w:val="0"/>
        <w:spacing w:before="120" w:after="120" w:line="240" w:lineRule="auto"/>
        <w:ind w:left="426" w:hanging="142"/>
        <w:jc w:val="center"/>
        <w:rPr>
          <w:rFonts w:ascii="Times New Roman" w:eastAsia="Times New Roman" w:hAnsi="Times New Roman" w:cs="Times New Roman"/>
          <w:b/>
          <w:bCs/>
        </w:rPr>
      </w:pPr>
    </w:p>
    <w:p w:rsidR="00C16321" w:rsidRPr="00C16321" w:rsidRDefault="00C16321" w:rsidP="00C16321">
      <w:pPr>
        <w:widowControl w:val="0"/>
        <w:spacing w:before="120" w:after="120" w:line="240" w:lineRule="auto"/>
        <w:ind w:left="426" w:hanging="142"/>
        <w:jc w:val="center"/>
        <w:rPr>
          <w:rFonts w:ascii="Times New Roman" w:eastAsia="Times New Roman" w:hAnsi="Times New Roman" w:cs="Times New Roman"/>
          <w:b/>
          <w:bCs/>
        </w:rPr>
      </w:pPr>
      <w:r w:rsidRPr="00C16321">
        <w:rPr>
          <w:rFonts w:ascii="Times New Roman" w:eastAsia="Times New Roman" w:hAnsi="Times New Roman" w:cs="Times New Roman"/>
          <w:b/>
          <w:bCs/>
        </w:rPr>
        <w:t>TANTÁRGYI PROGRAM</w:t>
      </w:r>
    </w:p>
    <w:p w:rsidR="00C16321" w:rsidRPr="00C16321" w:rsidRDefault="00C16321" w:rsidP="00980876">
      <w:pPr>
        <w:widowControl w:val="0"/>
        <w:numPr>
          <w:ilvl w:val="0"/>
          <w:numId w:val="703"/>
        </w:numPr>
        <w:tabs>
          <w:tab w:val="num" w:pos="567"/>
        </w:tabs>
        <w:spacing w:before="120" w:after="120" w:line="240" w:lineRule="auto"/>
        <w:ind w:left="426" w:hanging="142"/>
        <w:jc w:val="both"/>
        <w:rPr>
          <w:rFonts w:ascii="Times New Roman" w:eastAsia="Times New Roman" w:hAnsi="Times New Roman" w:cs="Times New Roman"/>
          <w:bCs/>
        </w:rPr>
      </w:pPr>
      <w:r w:rsidRPr="00C16321">
        <w:rPr>
          <w:rFonts w:ascii="Times New Roman" w:eastAsia="Times New Roman" w:hAnsi="Times New Roman" w:cs="Times New Roman"/>
          <w:b/>
          <w:bCs/>
        </w:rPr>
        <w:t xml:space="preserve">A tantárgy kódja: </w:t>
      </w:r>
      <w:r w:rsidRPr="00C16321">
        <w:rPr>
          <w:rFonts w:ascii="Times New Roman" w:eastAsia="Times New Roman" w:hAnsi="Times New Roman" w:cs="Times New Roman"/>
          <w:bCs/>
        </w:rPr>
        <w:t>HKHDTA22</w:t>
      </w:r>
    </w:p>
    <w:p w:rsidR="00C16321" w:rsidRPr="00C16321" w:rsidRDefault="00C16321" w:rsidP="00980876">
      <w:pPr>
        <w:widowControl w:val="0"/>
        <w:numPr>
          <w:ilvl w:val="0"/>
          <w:numId w:val="703"/>
        </w:numPr>
        <w:tabs>
          <w:tab w:val="num" w:pos="567"/>
        </w:tabs>
        <w:spacing w:before="120" w:after="120" w:line="240" w:lineRule="auto"/>
        <w:ind w:left="426" w:hanging="142"/>
        <w:jc w:val="both"/>
        <w:rPr>
          <w:rFonts w:ascii="Times New Roman" w:eastAsia="Times New Roman" w:hAnsi="Times New Roman" w:cs="Times New Roman"/>
          <w:b/>
          <w:bCs/>
          <w:lang w:val="en-GB"/>
        </w:rPr>
      </w:pPr>
      <w:r w:rsidRPr="00C16321">
        <w:rPr>
          <w:rFonts w:ascii="Times New Roman" w:eastAsia="Times New Roman" w:hAnsi="Times New Roman" w:cs="Times New Roman"/>
          <w:b/>
          <w:bCs/>
        </w:rPr>
        <w:t>A tantárgy megnevezése (magyarul):</w:t>
      </w:r>
      <w:r w:rsidRPr="00C16321">
        <w:rPr>
          <w:rFonts w:ascii="Times New Roman" w:eastAsia="Times New Roman" w:hAnsi="Times New Roman" w:cs="Times New Roman"/>
          <w:bCs/>
        </w:rPr>
        <w:t xml:space="preserve"> Harcjármű típusismeret</w:t>
      </w:r>
    </w:p>
    <w:p w:rsidR="00C16321" w:rsidRPr="00C16321" w:rsidRDefault="00C16321" w:rsidP="00980876">
      <w:pPr>
        <w:widowControl w:val="0"/>
        <w:numPr>
          <w:ilvl w:val="0"/>
          <w:numId w:val="703"/>
        </w:numPr>
        <w:tabs>
          <w:tab w:val="num" w:pos="567"/>
        </w:tabs>
        <w:spacing w:before="120" w:after="120" w:line="240" w:lineRule="auto"/>
        <w:ind w:left="426" w:hanging="142"/>
        <w:jc w:val="both"/>
        <w:rPr>
          <w:rFonts w:ascii="Times New Roman" w:eastAsia="Times New Roman" w:hAnsi="Times New Roman" w:cs="Times New Roman"/>
          <w:b/>
          <w:bCs/>
          <w:lang w:val="en-GB"/>
        </w:rPr>
      </w:pPr>
      <w:r w:rsidRPr="00C16321">
        <w:rPr>
          <w:rFonts w:ascii="Times New Roman" w:eastAsia="Times New Roman" w:hAnsi="Times New Roman" w:cs="Times New Roman"/>
          <w:b/>
          <w:bCs/>
        </w:rPr>
        <w:t xml:space="preserve">A tantárgy megnevezése (angolul): </w:t>
      </w:r>
      <w:r w:rsidRPr="00C16321">
        <w:rPr>
          <w:rFonts w:ascii="Times New Roman" w:eastAsia="Times New Roman" w:hAnsi="Times New Roman" w:cs="Times New Roman"/>
          <w:bCs/>
        </w:rPr>
        <w:t>Military vehicles type</w:t>
      </w:r>
    </w:p>
    <w:p w:rsidR="00C16321" w:rsidRPr="00C16321" w:rsidRDefault="00C16321" w:rsidP="00980876">
      <w:pPr>
        <w:widowControl w:val="0"/>
        <w:numPr>
          <w:ilvl w:val="0"/>
          <w:numId w:val="703"/>
        </w:numPr>
        <w:tabs>
          <w:tab w:val="num" w:pos="567"/>
        </w:tabs>
        <w:spacing w:before="120" w:after="120" w:line="240" w:lineRule="auto"/>
        <w:ind w:left="426" w:hanging="142"/>
        <w:jc w:val="both"/>
        <w:rPr>
          <w:rFonts w:ascii="Times New Roman" w:eastAsia="Times New Roman" w:hAnsi="Times New Roman" w:cs="Times New Roman"/>
          <w:b/>
          <w:bCs/>
        </w:rPr>
      </w:pPr>
      <w:r w:rsidRPr="00C16321">
        <w:rPr>
          <w:rFonts w:ascii="Times New Roman" w:eastAsia="Times New Roman" w:hAnsi="Times New Roman" w:cs="Times New Roman"/>
          <w:b/>
          <w:bCs/>
        </w:rPr>
        <w:t xml:space="preserve">Kreditérték és képzési karakter: </w:t>
      </w:r>
    </w:p>
    <w:p w:rsidR="00C16321" w:rsidRPr="00C16321" w:rsidRDefault="00C16321" w:rsidP="00980876">
      <w:pPr>
        <w:widowControl w:val="0"/>
        <w:numPr>
          <w:ilvl w:val="1"/>
          <w:numId w:val="703"/>
        </w:numPr>
        <w:tabs>
          <w:tab w:val="clear" w:pos="3977"/>
          <w:tab w:val="num" w:pos="1142"/>
        </w:tabs>
        <w:spacing w:before="120" w:after="120" w:line="240" w:lineRule="auto"/>
        <w:ind w:left="993" w:hanging="426"/>
        <w:contextualSpacing/>
        <w:jc w:val="both"/>
        <w:rPr>
          <w:rFonts w:ascii="Times New Roman" w:eastAsia="Times New Roman" w:hAnsi="Times New Roman" w:cs="Times New Roman"/>
          <w:b/>
          <w:bCs/>
        </w:rPr>
      </w:pPr>
      <w:r w:rsidRPr="00C16321">
        <w:rPr>
          <w:rFonts w:ascii="Times New Roman" w:eastAsia="Times New Roman" w:hAnsi="Times New Roman" w:cs="Times New Roman"/>
          <w:bCs/>
        </w:rPr>
        <w:t>4 kredit</w:t>
      </w:r>
    </w:p>
    <w:p w:rsidR="00C16321" w:rsidRPr="00C16321" w:rsidRDefault="00C16321" w:rsidP="00980876">
      <w:pPr>
        <w:widowControl w:val="0"/>
        <w:numPr>
          <w:ilvl w:val="1"/>
          <w:numId w:val="703"/>
        </w:numPr>
        <w:tabs>
          <w:tab w:val="clear" w:pos="3977"/>
          <w:tab w:val="num" w:pos="1142"/>
        </w:tabs>
        <w:spacing w:before="120" w:after="120" w:line="240" w:lineRule="auto"/>
        <w:ind w:left="993" w:hanging="426"/>
        <w:contextualSpacing/>
        <w:jc w:val="both"/>
        <w:rPr>
          <w:rFonts w:ascii="Times New Roman" w:eastAsia="Times New Roman" w:hAnsi="Times New Roman" w:cs="Times New Roman"/>
          <w:b/>
          <w:bCs/>
        </w:rPr>
      </w:pPr>
      <w:r w:rsidRPr="00C16321">
        <w:rPr>
          <w:rFonts w:ascii="Times New Roman" w:eastAsia="Times New Roman" w:hAnsi="Times New Roman" w:cs="Times New Roman"/>
          <w:bCs/>
        </w:rPr>
        <w:t>a tantárgy elméleti vagy gyakorlati jellegének mértéke: 50</w:t>
      </w:r>
      <w:r w:rsidRPr="00C16321">
        <w:rPr>
          <w:rFonts w:ascii="Times New Roman" w:eastAsia="Times New Roman" w:hAnsi="Times New Roman" w:cs="Times New Roman"/>
          <w:b/>
          <w:bCs/>
        </w:rPr>
        <w:t xml:space="preserve"> </w:t>
      </w:r>
      <w:r w:rsidRPr="00C16321">
        <w:rPr>
          <w:rFonts w:ascii="Times New Roman" w:eastAsia="Times New Roman" w:hAnsi="Times New Roman" w:cs="Times New Roman"/>
          <w:bCs/>
        </w:rPr>
        <w:t>% gyakorlat, 50 % elmélet</w:t>
      </w:r>
    </w:p>
    <w:p w:rsidR="00C16321" w:rsidRPr="00C16321" w:rsidRDefault="00C16321" w:rsidP="00980876">
      <w:pPr>
        <w:widowControl w:val="0"/>
        <w:numPr>
          <w:ilvl w:val="0"/>
          <w:numId w:val="703"/>
        </w:numPr>
        <w:spacing w:before="120" w:after="120" w:line="240" w:lineRule="auto"/>
        <w:ind w:left="426" w:hanging="142"/>
        <w:jc w:val="both"/>
        <w:rPr>
          <w:rFonts w:ascii="Times New Roman" w:eastAsia="Times New Roman" w:hAnsi="Times New Roman" w:cs="Times New Roman"/>
          <w:bCs/>
        </w:rPr>
      </w:pPr>
      <w:r w:rsidRPr="00C16321">
        <w:rPr>
          <w:rFonts w:ascii="Times New Roman" w:eastAsia="Times New Roman" w:hAnsi="Times New Roman" w:cs="Times New Roman"/>
          <w:b/>
          <w:bCs/>
        </w:rPr>
        <w:t>A szak(ok), szakirányok/specializációk megnevezése (ahol oktatják):</w:t>
      </w:r>
      <w:r w:rsidRPr="00C16321">
        <w:rPr>
          <w:rFonts w:ascii="Times New Roman" w:eastAsia="Times New Roman" w:hAnsi="Times New Roman" w:cs="Times New Roman"/>
          <w:bCs/>
        </w:rPr>
        <w:t xml:space="preserve"> Katonai logisztika (</w:t>
      </w:r>
      <w:r w:rsidR="00137B8A">
        <w:rPr>
          <w:rFonts w:ascii="Times New Roman" w:eastAsia="Times New Roman" w:hAnsi="Times New Roman" w:cs="Times New Roman"/>
          <w:bCs/>
        </w:rPr>
        <w:t>BSc</w:t>
      </w:r>
      <w:r w:rsidRPr="00C16321">
        <w:rPr>
          <w:rFonts w:ascii="Times New Roman" w:eastAsia="Times New Roman" w:hAnsi="Times New Roman" w:cs="Times New Roman"/>
          <w:bCs/>
        </w:rPr>
        <w:t>) alapképzési szak</w:t>
      </w:r>
    </w:p>
    <w:p w:rsidR="00C16321" w:rsidRPr="00C16321" w:rsidRDefault="00C16321" w:rsidP="00980876">
      <w:pPr>
        <w:widowControl w:val="0"/>
        <w:numPr>
          <w:ilvl w:val="0"/>
          <w:numId w:val="703"/>
        </w:numPr>
        <w:tabs>
          <w:tab w:val="num" w:pos="567"/>
        </w:tabs>
        <w:spacing w:before="120" w:after="120" w:line="240" w:lineRule="auto"/>
        <w:ind w:left="426" w:hanging="142"/>
        <w:jc w:val="both"/>
        <w:rPr>
          <w:rFonts w:ascii="Times New Roman" w:eastAsia="Times New Roman" w:hAnsi="Times New Roman" w:cs="Times New Roman"/>
          <w:bCs/>
        </w:rPr>
      </w:pPr>
      <w:r w:rsidRPr="00C16321">
        <w:rPr>
          <w:rFonts w:ascii="Times New Roman" w:eastAsia="Times New Roman" w:hAnsi="Times New Roman" w:cs="Times New Roman"/>
          <w:b/>
          <w:bCs/>
        </w:rPr>
        <w:t xml:space="preserve">Az oktatásért felelős oktatási szervezeti egység megnevezése: </w:t>
      </w:r>
      <w:r w:rsidRPr="00C16321">
        <w:rPr>
          <w:rFonts w:ascii="Times New Roman" w:eastAsia="Times New Roman" w:hAnsi="Times New Roman" w:cs="Times New Roman"/>
          <w:bCs/>
        </w:rPr>
        <w:t>HHK Haditechnikai Tanszék</w:t>
      </w:r>
    </w:p>
    <w:p w:rsidR="00C16321" w:rsidRPr="00C16321" w:rsidRDefault="00C16321" w:rsidP="00980876">
      <w:pPr>
        <w:widowControl w:val="0"/>
        <w:numPr>
          <w:ilvl w:val="0"/>
          <w:numId w:val="703"/>
        </w:numPr>
        <w:tabs>
          <w:tab w:val="num" w:pos="567"/>
        </w:tabs>
        <w:spacing w:before="120" w:after="120" w:line="240" w:lineRule="auto"/>
        <w:ind w:left="426" w:hanging="142"/>
        <w:jc w:val="both"/>
        <w:rPr>
          <w:rFonts w:ascii="Times New Roman" w:eastAsia="Times New Roman" w:hAnsi="Times New Roman" w:cs="Times New Roman"/>
          <w:bCs/>
        </w:rPr>
      </w:pPr>
      <w:r w:rsidRPr="00C16321">
        <w:rPr>
          <w:rFonts w:ascii="Times New Roman" w:eastAsia="Times New Roman" w:hAnsi="Times New Roman" w:cs="Times New Roman"/>
          <w:b/>
          <w:bCs/>
        </w:rPr>
        <w:t>A tantárgyfelelős oktató neve, beosztása, tudományos fokozata:</w:t>
      </w:r>
      <w:r w:rsidRPr="00C16321">
        <w:rPr>
          <w:rFonts w:ascii="Times New Roman" w:eastAsia="Times New Roman" w:hAnsi="Times New Roman" w:cs="Times New Roman"/>
          <w:bCs/>
        </w:rPr>
        <w:t xml:space="preserve"> </w:t>
      </w:r>
      <w:r w:rsidRPr="00C16321">
        <w:rPr>
          <w:rFonts w:ascii="Times New Roman" w:eastAsia="Times New Roman" w:hAnsi="Times New Roman" w:cs="Times New Roman"/>
          <w:bCs/>
          <w:lang w:eastAsia="hu-HU"/>
        </w:rPr>
        <w:t>Dr. Vég Róbert László alezredes PhD, egyetemi docens</w:t>
      </w:r>
    </w:p>
    <w:p w:rsidR="00C16321" w:rsidRPr="00C16321" w:rsidRDefault="00C16321" w:rsidP="00980876">
      <w:pPr>
        <w:widowControl w:val="0"/>
        <w:numPr>
          <w:ilvl w:val="0"/>
          <w:numId w:val="703"/>
        </w:numPr>
        <w:spacing w:before="120" w:after="120" w:line="240" w:lineRule="auto"/>
        <w:ind w:left="426" w:hanging="142"/>
        <w:jc w:val="both"/>
        <w:rPr>
          <w:rFonts w:ascii="Times New Roman" w:eastAsia="Times New Roman" w:hAnsi="Times New Roman" w:cs="Times New Roman"/>
          <w:bCs/>
        </w:rPr>
      </w:pPr>
      <w:r w:rsidRPr="00C16321">
        <w:rPr>
          <w:rFonts w:ascii="Times New Roman" w:eastAsia="Times New Roman" w:hAnsi="Times New Roman" w:cs="Times New Roman"/>
          <w:b/>
          <w:bCs/>
        </w:rPr>
        <w:t>A tanórák száma és típusa</w:t>
      </w:r>
    </w:p>
    <w:p w:rsidR="00C16321" w:rsidRPr="00C16321" w:rsidRDefault="00C16321" w:rsidP="00980876">
      <w:pPr>
        <w:widowControl w:val="0"/>
        <w:numPr>
          <w:ilvl w:val="1"/>
          <w:numId w:val="703"/>
        </w:numPr>
        <w:tabs>
          <w:tab w:val="clear" w:pos="3977"/>
          <w:tab w:val="num" w:pos="709"/>
          <w:tab w:val="num" w:pos="1142"/>
          <w:tab w:val="num" w:pos="2069"/>
        </w:tabs>
        <w:spacing w:before="120" w:after="120" w:line="240" w:lineRule="auto"/>
        <w:ind w:left="851" w:hanging="425"/>
        <w:jc w:val="both"/>
        <w:rPr>
          <w:rFonts w:ascii="Times New Roman" w:eastAsia="Times New Roman" w:hAnsi="Times New Roman" w:cs="Times New Roman"/>
          <w:bCs/>
        </w:rPr>
      </w:pPr>
      <w:r w:rsidRPr="00C16321">
        <w:rPr>
          <w:rFonts w:ascii="Times New Roman" w:eastAsia="Times New Roman" w:hAnsi="Times New Roman" w:cs="Times New Roman"/>
          <w:bCs/>
        </w:rPr>
        <w:t>össz óraszám/félév:</w:t>
      </w:r>
    </w:p>
    <w:p w:rsidR="00C16321" w:rsidRPr="00C16321" w:rsidRDefault="00C16321" w:rsidP="00980876">
      <w:pPr>
        <w:widowControl w:val="0"/>
        <w:numPr>
          <w:ilvl w:val="2"/>
          <w:numId w:val="703"/>
        </w:numPr>
        <w:tabs>
          <w:tab w:val="num" w:pos="709"/>
          <w:tab w:val="num" w:pos="1134"/>
        </w:tabs>
        <w:spacing w:after="0" w:line="240" w:lineRule="auto"/>
        <w:ind w:left="850" w:hanging="425"/>
        <w:jc w:val="both"/>
        <w:rPr>
          <w:rFonts w:ascii="Times New Roman" w:eastAsia="Times New Roman" w:hAnsi="Times New Roman" w:cs="Times New Roman"/>
          <w:bCs/>
        </w:rPr>
      </w:pPr>
      <w:r w:rsidRPr="00C16321">
        <w:rPr>
          <w:rFonts w:ascii="Times New Roman" w:eastAsia="Times New Roman" w:hAnsi="Times New Roman" w:cs="Times New Roman"/>
          <w:bCs/>
        </w:rPr>
        <w:t>nappali munkarend: 28 (14 EA + 0 SZ + 14 GY)</w:t>
      </w:r>
    </w:p>
    <w:p w:rsidR="00C16321" w:rsidRPr="00C16321" w:rsidRDefault="00C16321" w:rsidP="00980876">
      <w:pPr>
        <w:widowControl w:val="0"/>
        <w:numPr>
          <w:ilvl w:val="2"/>
          <w:numId w:val="703"/>
        </w:numPr>
        <w:tabs>
          <w:tab w:val="num" w:pos="709"/>
          <w:tab w:val="num" w:pos="1134"/>
        </w:tabs>
        <w:spacing w:after="0" w:line="240" w:lineRule="auto"/>
        <w:ind w:left="850" w:hanging="425"/>
        <w:jc w:val="both"/>
        <w:rPr>
          <w:rFonts w:ascii="Times New Roman" w:eastAsia="Times New Roman" w:hAnsi="Times New Roman" w:cs="Times New Roman"/>
          <w:bCs/>
        </w:rPr>
      </w:pPr>
      <w:r w:rsidRPr="00C16321">
        <w:rPr>
          <w:rFonts w:ascii="Times New Roman" w:eastAsia="Times New Roman" w:hAnsi="Times New Roman" w:cs="Times New Roman"/>
          <w:bCs/>
        </w:rPr>
        <w:t>levelező munkarend: - (- EA + - SZ + - GY)</w:t>
      </w:r>
    </w:p>
    <w:p w:rsidR="00C16321" w:rsidRPr="00C16321" w:rsidRDefault="00C16321" w:rsidP="00980876">
      <w:pPr>
        <w:widowControl w:val="0"/>
        <w:numPr>
          <w:ilvl w:val="1"/>
          <w:numId w:val="703"/>
        </w:numPr>
        <w:tabs>
          <w:tab w:val="clear" w:pos="3977"/>
          <w:tab w:val="num" w:pos="709"/>
          <w:tab w:val="num" w:pos="1142"/>
          <w:tab w:val="num" w:pos="2069"/>
        </w:tabs>
        <w:spacing w:before="120" w:after="120" w:line="240" w:lineRule="auto"/>
        <w:ind w:left="851" w:hanging="425"/>
        <w:jc w:val="both"/>
        <w:rPr>
          <w:rFonts w:ascii="Times New Roman" w:eastAsia="Times New Roman" w:hAnsi="Times New Roman" w:cs="Times New Roman"/>
          <w:bCs/>
        </w:rPr>
      </w:pPr>
      <w:r w:rsidRPr="00C16321">
        <w:rPr>
          <w:rFonts w:ascii="Times New Roman" w:eastAsia="Times New Roman" w:hAnsi="Times New Roman" w:cs="Times New Roman"/>
          <w:bCs/>
        </w:rPr>
        <w:t>heti óraszám - nappali munkarend: 2 (1 + 1)</w:t>
      </w:r>
    </w:p>
    <w:p w:rsidR="00C16321" w:rsidRPr="00C16321" w:rsidRDefault="00C16321" w:rsidP="00980876">
      <w:pPr>
        <w:widowControl w:val="0"/>
        <w:numPr>
          <w:ilvl w:val="1"/>
          <w:numId w:val="703"/>
        </w:numPr>
        <w:tabs>
          <w:tab w:val="clear" w:pos="3977"/>
          <w:tab w:val="num" w:pos="709"/>
          <w:tab w:val="num" w:pos="1142"/>
          <w:tab w:val="num" w:pos="2069"/>
        </w:tabs>
        <w:spacing w:before="120" w:after="120" w:line="240" w:lineRule="auto"/>
        <w:ind w:left="851" w:hanging="425"/>
        <w:jc w:val="both"/>
        <w:rPr>
          <w:rFonts w:ascii="Times New Roman" w:eastAsia="Times New Roman" w:hAnsi="Times New Roman" w:cs="Times New Roman"/>
          <w:bCs/>
        </w:rPr>
      </w:pPr>
      <w:r w:rsidRPr="00C16321">
        <w:rPr>
          <w:rFonts w:ascii="Times New Roman" w:eastAsia="Calibri" w:hAnsi="Times New Roman" w:cs="Times New Roman"/>
        </w:rPr>
        <w:t>Az ismeret átadásában alkalmazandó további sajátos módok, jellemzők: Az ismeretek feldolgozása vegyes tanulási program (blended learning) alapján történik.</w:t>
      </w:r>
    </w:p>
    <w:p w:rsidR="00C16321" w:rsidRPr="00C16321" w:rsidRDefault="00C16321" w:rsidP="00980876">
      <w:pPr>
        <w:widowControl w:val="0"/>
        <w:numPr>
          <w:ilvl w:val="0"/>
          <w:numId w:val="703"/>
        </w:numPr>
        <w:spacing w:before="120" w:after="120" w:line="240" w:lineRule="auto"/>
        <w:ind w:left="426" w:hanging="142"/>
        <w:jc w:val="both"/>
        <w:rPr>
          <w:rFonts w:ascii="Times New Roman" w:eastAsia="Times New Roman" w:hAnsi="Times New Roman" w:cs="Times New Roman"/>
          <w:bCs/>
        </w:rPr>
      </w:pPr>
      <w:r w:rsidRPr="00C16321">
        <w:rPr>
          <w:rFonts w:ascii="Times New Roman" w:eastAsia="Times New Roman" w:hAnsi="Times New Roman" w:cs="Times New Roman"/>
          <w:b/>
          <w:bCs/>
        </w:rPr>
        <w:t xml:space="preserve">A tantárgy szakmai tartalma (magyarul): </w:t>
      </w:r>
      <w:r w:rsidRPr="00C16321">
        <w:rPr>
          <w:rFonts w:ascii="Times New Roman" w:eastAsia="Times New Roman" w:hAnsi="Times New Roman" w:cs="Times New Roman"/>
          <w:bCs/>
        </w:rPr>
        <w:t>A rendszeresített harcjárművek (BTR–80, BTR–80A, BTR–MVJ, BTR–SKJ, HMMWV), és a rendszeresített harckocsik általános felépítése, a kezelőszervek kialakítása, működtetése. A járművek általános szerkezeti felépítése, a motor, a motor kiszolgáló rendszereinek, az erőátvitelnek, kormány- és fékberendezésnek, az elektromos rendszereknek általános jellemzése és felépítése. A jármű alkalmazásával kapcsolatos feladatok indulás előtt és menet közben. A járművezető általi karbantartási feladatok végrehajtása. A járművek vontatásra történő előkészítése, a járművek vontatása</w:t>
      </w:r>
      <w:r w:rsidRPr="00C16321">
        <w:rPr>
          <w:rFonts w:ascii="Times New Roman" w:eastAsia="Times New Roman" w:hAnsi="Times New Roman" w:cs="Times New Roman"/>
          <w:bCs/>
          <w:lang w:eastAsia="hu-HU"/>
        </w:rPr>
        <w:t>.</w:t>
      </w:r>
    </w:p>
    <w:p w:rsidR="00C16321" w:rsidRPr="00C16321" w:rsidRDefault="00C16321" w:rsidP="00C16321">
      <w:pPr>
        <w:widowControl w:val="0"/>
        <w:spacing w:before="120" w:after="120" w:line="240" w:lineRule="auto"/>
        <w:ind w:left="426"/>
        <w:jc w:val="both"/>
        <w:rPr>
          <w:rFonts w:ascii="Times New Roman" w:eastAsia="Times New Roman" w:hAnsi="Times New Roman" w:cs="Times New Roman"/>
          <w:bCs/>
          <w:lang w:val="en-GB"/>
        </w:rPr>
      </w:pPr>
      <w:r w:rsidRPr="00C16321">
        <w:rPr>
          <w:rFonts w:ascii="Times New Roman" w:eastAsia="Times New Roman" w:hAnsi="Times New Roman" w:cs="Times New Roman"/>
          <w:b/>
          <w:bCs/>
        </w:rPr>
        <w:t>A tantárgy szakmai tartalma (angolul) (</w:t>
      </w:r>
      <w:r w:rsidRPr="00C16321">
        <w:rPr>
          <w:rFonts w:ascii="Times New Roman" w:eastAsia="Times New Roman" w:hAnsi="Times New Roman" w:cs="Times New Roman"/>
          <w:b/>
          <w:bCs/>
          <w:lang w:val="en-US"/>
        </w:rPr>
        <w:t>Course description</w:t>
      </w:r>
      <w:r w:rsidRPr="00C16321">
        <w:rPr>
          <w:rFonts w:ascii="Times New Roman" w:eastAsia="Times New Roman" w:hAnsi="Times New Roman" w:cs="Times New Roman"/>
          <w:b/>
          <w:bCs/>
        </w:rPr>
        <w:t xml:space="preserve">): </w:t>
      </w:r>
      <w:r w:rsidRPr="00C16321">
        <w:rPr>
          <w:rFonts w:ascii="Times New Roman" w:eastAsia="Times New Roman" w:hAnsi="Times New Roman" w:cs="Times New Roman"/>
          <w:bCs/>
          <w:lang w:eastAsia="hu-HU"/>
        </w:rPr>
        <w:t xml:space="preserve">General structure, operation and handling of applied armored vehicles </w:t>
      </w:r>
      <w:r w:rsidRPr="00C16321">
        <w:rPr>
          <w:rFonts w:ascii="Times New Roman" w:eastAsia="Times New Roman" w:hAnsi="Times New Roman" w:cs="Times New Roman"/>
          <w:bCs/>
        </w:rPr>
        <w:t>harcjárművek (BTR–80, BTR–80A, BTR–MVJ, BTR–SKJ, HMMWV)</w:t>
      </w:r>
      <w:r w:rsidRPr="00C16321">
        <w:rPr>
          <w:rFonts w:ascii="Times New Roman" w:eastAsia="Times New Roman" w:hAnsi="Times New Roman" w:cs="Times New Roman"/>
          <w:bCs/>
          <w:lang w:eastAsia="hu-HU"/>
        </w:rPr>
        <w:t xml:space="preserve"> and applied MBTs. The general structure of vehicles, the general characteristics and construction of engines, power transmission, steering and braking equipment, electrical systems. Tasks for the use of the vehicle before using and after departure. Fulfilling the maintenance tasks performed by the driver. Preparing the vehicles for hauling, towing.</w:t>
      </w:r>
    </w:p>
    <w:p w:rsidR="00C16321" w:rsidRPr="00C16321" w:rsidRDefault="00C16321" w:rsidP="00980876">
      <w:pPr>
        <w:widowControl w:val="0"/>
        <w:numPr>
          <w:ilvl w:val="0"/>
          <w:numId w:val="703"/>
        </w:numPr>
        <w:spacing w:before="120" w:after="120" w:line="240" w:lineRule="auto"/>
        <w:contextualSpacing/>
        <w:jc w:val="both"/>
        <w:rPr>
          <w:rFonts w:ascii="Times New Roman" w:eastAsia="Times New Roman" w:hAnsi="Times New Roman" w:cs="Times New Roman"/>
          <w:bCs/>
        </w:rPr>
      </w:pPr>
      <w:r w:rsidRPr="00C16321">
        <w:rPr>
          <w:rFonts w:ascii="Times New Roman" w:eastAsia="Times New Roman" w:hAnsi="Times New Roman" w:cs="Times New Roman"/>
          <w:b/>
          <w:bCs/>
        </w:rPr>
        <w:t xml:space="preserve">Elérendő kompetenciák (magyarul): </w:t>
      </w:r>
    </w:p>
    <w:p w:rsidR="00C16321" w:rsidRPr="00C16321" w:rsidRDefault="00C16321" w:rsidP="00C16321">
      <w:pPr>
        <w:widowControl w:val="0"/>
        <w:spacing w:before="120" w:after="120" w:line="240" w:lineRule="auto"/>
        <w:ind w:left="426"/>
        <w:jc w:val="both"/>
        <w:rPr>
          <w:rFonts w:ascii="Times New Roman" w:eastAsia="Times New Roman" w:hAnsi="Times New Roman" w:cs="Times New Roman"/>
          <w:b/>
          <w:bCs/>
        </w:rPr>
      </w:pPr>
      <w:r w:rsidRPr="00C16321">
        <w:rPr>
          <w:rFonts w:ascii="Times New Roman" w:eastAsia="Times New Roman" w:hAnsi="Times New Roman" w:cs="Times New Roman"/>
          <w:b/>
          <w:bCs/>
        </w:rPr>
        <w:t>Tudása:</w:t>
      </w:r>
    </w:p>
    <w:p w:rsidR="00C16321" w:rsidRPr="00C16321" w:rsidRDefault="00C16321" w:rsidP="00980876">
      <w:pPr>
        <w:widowControl w:val="0"/>
        <w:numPr>
          <w:ilvl w:val="0"/>
          <w:numId w:val="695"/>
        </w:numPr>
        <w:spacing w:after="0" w:line="240" w:lineRule="auto"/>
        <w:ind w:left="993"/>
        <w:contextualSpacing/>
        <w:jc w:val="both"/>
        <w:rPr>
          <w:rFonts w:ascii="Times New Roman" w:eastAsia="Times New Roman" w:hAnsi="Times New Roman" w:cs="Times New Roman"/>
          <w:bCs/>
        </w:rPr>
      </w:pPr>
      <w:r w:rsidRPr="00C16321">
        <w:rPr>
          <w:rFonts w:ascii="Times New Roman" w:eastAsia="Times New Roman" w:hAnsi="Times New Roman" w:cs="Times New Roman"/>
          <w:bCs/>
        </w:rPr>
        <w:t>Ismeri a páncélos- és gépjárműtechnikai eszközök felépítését, berendezéseit, azok működését és üzemeltetési rendjét.</w:t>
      </w:r>
    </w:p>
    <w:p w:rsidR="00C16321" w:rsidRPr="00C16321" w:rsidRDefault="00C16321" w:rsidP="00980876">
      <w:pPr>
        <w:widowControl w:val="0"/>
        <w:numPr>
          <w:ilvl w:val="0"/>
          <w:numId w:val="695"/>
        </w:numPr>
        <w:spacing w:after="0" w:line="240" w:lineRule="auto"/>
        <w:ind w:left="993"/>
        <w:contextualSpacing/>
        <w:jc w:val="both"/>
        <w:rPr>
          <w:rFonts w:ascii="Times New Roman" w:eastAsia="Times New Roman" w:hAnsi="Times New Roman" w:cs="Times New Roman"/>
          <w:bCs/>
        </w:rPr>
      </w:pPr>
      <w:r w:rsidRPr="00C16321">
        <w:rPr>
          <w:rFonts w:ascii="Times New Roman" w:eastAsia="Times New Roman" w:hAnsi="Times New Roman" w:cs="Times New Roman"/>
          <w:bCs/>
        </w:rPr>
        <w:t>Ismeri a legújabb gépjárműtechnikai megoldásokat.</w:t>
      </w:r>
    </w:p>
    <w:p w:rsidR="00C16321" w:rsidRPr="00C16321" w:rsidRDefault="00C16321" w:rsidP="00980876">
      <w:pPr>
        <w:widowControl w:val="0"/>
        <w:numPr>
          <w:ilvl w:val="0"/>
          <w:numId w:val="695"/>
        </w:numPr>
        <w:spacing w:after="0" w:line="240" w:lineRule="auto"/>
        <w:ind w:left="993"/>
        <w:contextualSpacing/>
        <w:jc w:val="both"/>
        <w:rPr>
          <w:rFonts w:ascii="Times New Roman" w:eastAsia="Times New Roman" w:hAnsi="Times New Roman" w:cs="Times New Roman"/>
          <w:bCs/>
        </w:rPr>
      </w:pPr>
      <w:r w:rsidRPr="00C16321">
        <w:rPr>
          <w:rFonts w:ascii="Times New Roman" w:eastAsia="Times New Roman" w:hAnsi="Times New Roman" w:cs="Times New Roman"/>
          <w:bCs/>
        </w:rPr>
        <w:t>Ismeri a szakfeladatainak ellátásához szükséges munkavédelmi rendszabályokat.</w:t>
      </w:r>
    </w:p>
    <w:p w:rsidR="00C16321" w:rsidRPr="00C16321" w:rsidRDefault="00C16321" w:rsidP="00980876">
      <w:pPr>
        <w:widowControl w:val="0"/>
        <w:numPr>
          <w:ilvl w:val="0"/>
          <w:numId w:val="695"/>
        </w:numPr>
        <w:spacing w:after="0" w:line="240" w:lineRule="auto"/>
        <w:ind w:left="993"/>
        <w:contextualSpacing/>
        <w:jc w:val="both"/>
        <w:rPr>
          <w:rFonts w:ascii="Times New Roman" w:eastAsia="Times New Roman" w:hAnsi="Times New Roman" w:cs="Times New Roman"/>
          <w:bCs/>
        </w:rPr>
      </w:pPr>
      <w:r w:rsidRPr="00C16321">
        <w:rPr>
          <w:rFonts w:ascii="Times New Roman" w:eastAsia="Times New Roman" w:hAnsi="Times New Roman" w:cs="Times New Roman"/>
          <w:bCs/>
        </w:rPr>
        <w:t>Megfelelő mélységű és spektrumú páncélos- és gépjárműtechnikai típusismerettel rendelkezik.</w:t>
      </w:r>
    </w:p>
    <w:p w:rsidR="00C16321" w:rsidRPr="00C16321" w:rsidRDefault="00C16321" w:rsidP="00C16321">
      <w:pPr>
        <w:widowControl w:val="0"/>
        <w:spacing w:before="120" w:after="120" w:line="240" w:lineRule="auto"/>
        <w:ind w:left="426"/>
        <w:jc w:val="both"/>
        <w:rPr>
          <w:rFonts w:ascii="Times New Roman" w:eastAsia="Times New Roman" w:hAnsi="Times New Roman" w:cs="Times New Roman"/>
          <w:bCs/>
        </w:rPr>
      </w:pPr>
      <w:r w:rsidRPr="00C16321">
        <w:rPr>
          <w:rFonts w:ascii="Times New Roman" w:eastAsia="Times New Roman" w:hAnsi="Times New Roman" w:cs="Times New Roman"/>
          <w:b/>
          <w:bCs/>
        </w:rPr>
        <w:t>Képességei:</w:t>
      </w:r>
    </w:p>
    <w:p w:rsidR="00C16321" w:rsidRPr="00C16321" w:rsidRDefault="00C16321" w:rsidP="00980876">
      <w:pPr>
        <w:widowControl w:val="0"/>
        <w:numPr>
          <w:ilvl w:val="0"/>
          <w:numId w:val="696"/>
        </w:numPr>
        <w:spacing w:after="0" w:line="240" w:lineRule="auto"/>
        <w:ind w:left="993"/>
        <w:contextualSpacing/>
        <w:jc w:val="both"/>
        <w:rPr>
          <w:rFonts w:ascii="Times New Roman" w:eastAsia="Times New Roman" w:hAnsi="Times New Roman" w:cs="Times New Roman"/>
          <w:bCs/>
        </w:rPr>
      </w:pPr>
      <w:r w:rsidRPr="00C16321">
        <w:rPr>
          <w:rFonts w:ascii="Times New Roman" w:eastAsia="Times New Roman" w:hAnsi="Times New Roman" w:cs="Times New Roman"/>
          <w:bCs/>
        </w:rPr>
        <w:t xml:space="preserve">Képes a szakterületén rendszeresített és használt berendezések és technikai eszközök </w:t>
      </w:r>
      <w:r w:rsidRPr="00C16321">
        <w:rPr>
          <w:rFonts w:ascii="Times New Roman" w:eastAsia="Times New Roman" w:hAnsi="Times New Roman" w:cs="Times New Roman"/>
          <w:bCs/>
        </w:rPr>
        <w:lastRenderedPageBreak/>
        <w:t>használatának megszervezésére és hatékony alkalmazására.</w:t>
      </w:r>
    </w:p>
    <w:p w:rsidR="00C16321" w:rsidRPr="00C16321" w:rsidRDefault="00C16321" w:rsidP="00980876">
      <w:pPr>
        <w:widowControl w:val="0"/>
        <w:numPr>
          <w:ilvl w:val="0"/>
          <w:numId w:val="696"/>
        </w:numPr>
        <w:spacing w:after="0" w:line="240" w:lineRule="auto"/>
        <w:ind w:left="993"/>
        <w:contextualSpacing/>
        <w:jc w:val="both"/>
        <w:rPr>
          <w:rFonts w:ascii="Times New Roman" w:eastAsia="Times New Roman" w:hAnsi="Times New Roman" w:cs="Times New Roman"/>
          <w:bCs/>
        </w:rPr>
      </w:pPr>
      <w:r w:rsidRPr="00C16321">
        <w:rPr>
          <w:rFonts w:ascii="Times New Roman" w:eastAsia="Times New Roman" w:hAnsi="Times New Roman" w:cs="Times New Roman"/>
          <w:bCs/>
        </w:rPr>
        <w:t>Képes más logisztikai beosztásokban dolgozó személyekkel való együttműködésre.</w:t>
      </w:r>
    </w:p>
    <w:p w:rsidR="00C16321" w:rsidRPr="00C16321" w:rsidRDefault="00C16321" w:rsidP="00980876">
      <w:pPr>
        <w:widowControl w:val="0"/>
        <w:numPr>
          <w:ilvl w:val="0"/>
          <w:numId w:val="696"/>
        </w:numPr>
        <w:spacing w:after="0" w:line="240" w:lineRule="auto"/>
        <w:ind w:left="993"/>
        <w:contextualSpacing/>
        <w:jc w:val="both"/>
        <w:rPr>
          <w:rFonts w:ascii="Times New Roman" w:eastAsia="Times New Roman" w:hAnsi="Times New Roman" w:cs="Times New Roman"/>
          <w:bCs/>
        </w:rPr>
      </w:pPr>
      <w:r w:rsidRPr="00C16321">
        <w:rPr>
          <w:rFonts w:ascii="Times New Roman" w:eastAsia="Times New Roman" w:hAnsi="Times New Roman" w:cs="Times New Roman"/>
          <w:bCs/>
        </w:rPr>
        <w:t>Képes a szakterületéhez kapcsolódó ügydarabokat elkészíteni, haditechnikai eszköz átadás-átvételét végrehajtani és jegyzőkönyveket elkészíteni.</w:t>
      </w:r>
    </w:p>
    <w:p w:rsidR="00C16321" w:rsidRPr="00C16321" w:rsidRDefault="00C16321" w:rsidP="00980876">
      <w:pPr>
        <w:widowControl w:val="0"/>
        <w:numPr>
          <w:ilvl w:val="0"/>
          <w:numId w:val="696"/>
        </w:numPr>
        <w:spacing w:after="0" w:line="240" w:lineRule="auto"/>
        <w:ind w:left="993"/>
        <w:contextualSpacing/>
        <w:jc w:val="both"/>
        <w:rPr>
          <w:rFonts w:ascii="Times New Roman" w:eastAsia="Times New Roman" w:hAnsi="Times New Roman" w:cs="Times New Roman"/>
          <w:bCs/>
        </w:rPr>
      </w:pPr>
      <w:r w:rsidRPr="00C16321">
        <w:rPr>
          <w:rFonts w:ascii="Times New Roman" w:eastAsia="Times New Roman" w:hAnsi="Times New Roman" w:cs="Times New Roman"/>
          <w:bCs/>
        </w:rPr>
        <w:t>Képes a biztonságos munkavégzés feltételeit megteremteni, a biztonságos munkavégzéshez szükséges szabályokat másokkal is betartatni.</w:t>
      </w:r>
    </w:p>
    <w:p w:rsidR="00C16321" w:rsidRPr="00C16321" w:rsidRDefault="00C16321" w:rsidP="00980876">
      <w:pPr>
        <w:widowControl w:val="0"/>
        <w:numPr>
          <w:ilvl w:val="0"/>
          <w:numId w:val="696"/>
        </w:numPr>
        <w:spacing w:after="0" w:line="240" w:lineRule="auto"/>
        <w:ind w:left="993"/>
        <w:contextualSpacing/>
        <w:jc w:val="both"/>
        <w:rPr>
          <w:rFonts w:ascii="Times New Roman" w:eastAsia="Times New Roman" w:hAnsi="Times New Roman" w:cs="Times New Roman"/>
          <w:bCs/>
        </w:rPr>
      </w:pPr>
      <w:r w:rsidRPr="00C16321">
        <w:rPr>
          <w:rFonts w:ascii="Times New Roman" w:eastAsia="Times New Roman" w:hAnsi="Times New Roman" w:cs="Times New Roman"/>
          <w:bCs/>
        </w:rPr>
        <w:t>Képes a megtanultakat felhasználva a szakterületén felmerülő új műszaki információkat megérteni és megtanulni.</w:t>
      </w:r>
    </w:p>
    <w:p w:rsidR="00C16321" w:rsidRPr="00C16321" w:rsidRDefault="00C16321" w:rsidP="00C16321">
      <w:pPr>
        <w:widowControl w:val="0"/>
        <w:spacing w:before="120" w:after="120" w:line="240" w:lineRule="auto"/>
        <w:ind w:left="426"/>
        <w:jc w:val="both"/>
        <w:rPr>
          <w:rFonts w:ascii="Times New Roman" w:eastAsia="Times New Roman" w:hAnsi="Times New Roman" w:cs="Times New Roman"/>
          <w:bCs/>
        </w:rPr>
      </w:pPr>
      <w:r w:rsidRPr="00C16321">
        <w:rPr>
          <w:rFonts w:ascii="Times New Roman" w:eastAsia="Times New Roman" w:hAnsi="Times New Roman" w:cs="Times New Roman"/>
          <w:b/>
          <w:bCs/>
        </w:rPr>
        <w:t>Attitűdje:</w:t>
      </w:r>
    </w:p>
    <w:p w:rsidR="00C16321" w:rsidRPr="00C16321" w:rsidRDefault="00C16321" w:rsidP="00980876">
      <w:pPr>
        <w:widowControl w:val="0"/>
        <w:numPr>
          <w:ilvl w:val="0"/>
          <w:numId w:val="697"/>
        </w:numPr>
        <w:spacing w:after="0" w:line="240" w:lineRule="auto"/>
        <w:ind w:left="993"/>
        <w:contextualSpacing/>
        <w:jc w:val="both"/>
        <w:rPr>
          <w:rFonts w:ascii="Times New Roman" w:eastAsia="Times New Roman" w:hAnsi="Times New Roman" w:cs="Times New Roman"/>
          <w:bCs/>
        </w:rPr>
      </w:pPr>
      <w:r w:rsidRPr="00C16321">
        <w:rPr>
          <w:rFonts w:ascii="Times New Roman" w:eastAsia="Times New Roman" w:hAnsi="Times New Roman" w:cs="Times New Roman"/>
          <w:bCs/>
        </w:rPr>
        <w:t>Nyitott a páncélos- és gépjárműtechnikával kapcsolatos szakmai ismereteinek gyarapítása iránt, folyamatos önképzési igény jellemzi.</w:t>
      </w:r>
    </w:p>
    <w:p w:rsidR="00C16321" w:rsidRPr="00C16321" w:rsidRDefault="00C16321" w:rsidP="00980876">
      <w:pPr>
        <w:widowControl w:val="0"/>
        <w:numPr>
          <w:ilvl w:val="0"/>
          <w:numId w:val="697"/>
        </w:numPr>
        <w:spacing w:after="0" w:line="240" w:lineRule="auto"/>
        <w:ind w:left="993"/>
        <w:contextualSpacing/>
        <w:jc w:val="both"/>
        <w:rPr>
          <w:rFonts w:ascii="Times New Roman" w:eastAsia="Times New Roman" w:hAnsi="Times New Roman" w:cs="Times New Roman"/>
          <w:bCs/>
        </w:rPr>
      </w:pPr>
      <w:r w:rsidRPr="00C16321">
        <w:rPr>
          <w:rFonts w:ascii="Times New Roman" w:eastAsia="Times New Roman" w:hAnsi="Times New Roman" w:cs="Times New Roman"/>
          <w:bCs/>
        </w:rPr>
        <w:t>Törekszik munkája során a vonatkozó szabályok betartására és betartatására.</w:t>
      </w:r>
    </w:p>
    <w:p w:rsidR="00C16321" w:rsidRPr="00C16321" w:rsidRDefault="00C16321" w:rsidP="00980876">
      <w:pPr>
        <w:widowControl w:val="0"/>
        <w:numPr>
          <w:ilvl w:val="0"/>
          <w:numId w:val="697"/>
        </w:numPr>
        <w:spacing w:after="0" w:line="240" w:lineRule="auto"/>
        <w:ind w:left="993"/>
        <w:contextualSpacing/>
        <w:jc w:val="both"/>
        <w:rPr>
          <w:rFonts w:ascii="Times New Roman" w:eastAsia="Times New Roman" w:hAnsi="Times New Roman" w:cs="Times New Roman"/>
          <w:bCs/>
        </w:rPr>
      </w:pPr>
      <w:r w:rsidRPr="00C16321">
        <w:rPr>
          <w:rFonts w:ascii="Times New Roman" w:eastAsia="Times New Roman" w:hAnsi="Times New Roman" w:cs="Times New Roman"/>
          <w:bCs/>
        </w:rPr>
        <w:t>Munkáját és emberi kapcsolatait a megbízhatóság jellemzi.</w:t>
      </w:r>
    </w:p>
    <w:p w:rsidR="00C16321" w:rsidRPr="00C16321" w:rsidRDefault="00C16321" w:rsidP="00980876">
      <w:pPr>
        <w:widowControl w:val="0"/>
        <w:numPr>
          <w:ilvl w:val="0"/>
          <w:numId w:val="697"/>
        </w:numPr>
        <w:spacing w:after="0" w:line="240" w:lineRule="auto"/>
        <w:ind w:left="993"/>
        <w:contextualSpacing/>
        <w:jc w:val="both"/>
        <w:rPr>
          <w:rFonts w:ascii="Times New Roman" w:eastAsia="Times New Roman" w:hAnsi="Times New Roman" w:cs="Times New Roman"/>
          <w:bCs/>
        </w:rPr>
      </w:pPr>
      <w:r w:rsidRPr="00C16321">
        <w:rPr>
          <w:rFonts w:ascii="Times New Roman" w:eastAsia="Times New Roman" w:hAnsi="Times New Roman" w:cs="Times New Roman"/>
          <w:bCs/>
        </w:rPr>
        <w:t>Nyitott a haditechnikai szakterület új eredményei felé, törekszik azok megismerésére.</w:t>
      </w:r>
    </w:p>
    <w:p w:rsidR="00C16321" w:rsidRPr="00C16321" w:rsidRDefault="00C16321" w:rsidP="00C16321">
      <w:pPr>
        <w:widowControl w:val="0"/>
        <w:spacing w:before="120" w:after="120" w:line="240" w:lineRule="auto"/>
        <w:ind w:left="426"/>
        <w:jc w:val="both"/>
        <w:rPr>
          <w:rFonts w:ascii="Times New Roman" w:eastAsia="Times New Roman" w:hAnsi="Times New Roman" w:cs="Times New Roman"/>
          <w:bCs/>
        </w:rPr>
      </w:pPr>
      <w:r w:rsidRPr="00C16321">
        <w:rPr>
          <w:rFonts w:ascii="Times New Roman" w:eastAsia="Times New Roman" w:hAnsi="Times New Roman" w:cs="Times New Roman"/>
          <w:b/>
          <w:bCs/>
        </w:rPr>
        <w:t>Autonómiája és felelőssége:</w:t>
      </w:r>
    </w:p>
    <w:p w:rsidR="00C16321" w:rsidRPr="00C16321" w:rsidRDefault="00C16321" w:rsidP="00980876">
      <w:pPr>
        <w:widowControl w:val="0"/>
        <w:numPr>
          <w:ilvl w:val="0"/>
          <w:numId w:val="698"/>
        </w:numPr>
        <w:spacing w:after="0" w:line="240" w:lineRule="auto"/>
        <w:ind w:left="993"/>
        <w:contextualSpacing/>
        <w:jc w:val="both"/>
        <w:rPr>
          <w:rFonts w:ascii="Times New Roman" w:eastAsia="Times New Roman" w:hAnsi="Times New Roman" w:cs="Times New Roman"/>
          <w:bCs/>
        </w:rPr>
      </w:pPr>
      <w:r w:rsidRPr="00C16321">
        <w:rPr>
          <w:rFonts w:ascii="Times New Roman" w:eastAsia="Times New Roman" w:hAnsi="Times New Roman" w:cs="Times New Roman"/>
          <w:bCs/>
        </w:rPr>
        <w:t>Képes alárendeltjeinek feladatait megszervezni és meghatározni, valamint elvégzett munkájukat szakmai szempontok alapján ellenőrizni.</w:t>
      </w:r>
    </w:p>
    <w:p w:rsidR="00C16321" w:rsidRPr="00C16321" w:rsidRDefault="00C16321" w:rsidP="00980876">
      <w:pPr>
        <w:widowControl w:val="0"/>
        <w:numPr>
          <w:ilvl w:val="0"/>
          <w:numId w:val="698"/>
        </w:numPr>
        <w:spacing w:after="0" w:line="240" w:lineRule="auto"/>
        <w:ind w:left="993"/>
        <w:contextualSpacing/>
        <w:jc w:val="both"/>
        <w:rPr>
          <w:rFonts w:ascii="Times New Roman" w:eastAsia="Times New Roman" w:hAnsi="Times New Roman" w:cs="Times New Roman"/>
          <w:bCs/>
        </w:rPr>
      </w:pPr>
      <w:r w:rsidRPr="00C16321">
        <w:rPr>
          <w:rFonts w:ascii="Times New Roman" w:eastAsia="Times New Roman" w:hAnsi="Times New Roman" w:cs="Times New Roman"/>
          <w:bCs/>
        </w:rPr>
        <w:t>A páncélos- és gépjárműtechnikai eszközök technikai kiszolgálása és javítása során képes elemzések végrehajtása után a legmegfelelőbb döntéseket meghozni, amely döntésekért a szakmai felelősséget vállalja.</w:t>
      </w:r>
    </w:p>
    <w:p w:rsidR="00C16321" w:rsidRPr="00C16321" w:rsidRDefault="00C16321" w:rsidP="00980876">
      <w:pPr>
        <w:widowControl w:val="0"/>
        <w:numPr>
          <w:ilvl w:val="0"/>
          <w:numId w:val="698"/>
        </w:numPr>
        <w:spacing w:after="0" w:line="240" w:lineRule="auto"/>
        <w:ind w:left="993"/>
        <w:contextualSpacing/>
        <w:jc w:val="both"/>
        <w:rPr>
          <w:rFonts w:ascii="Times New Roman" w:eastAsia="Times New Roman" w:hAnsi="Times New Roman" w:cs="Times New Roman"/>
          <w:bCs/>
        </w:rPr>
      </w:pPr>
      <w:r w:rsidRPr="00C16321">
        <w:rPr>
          <w:rFonts w:ascii="Times New Roman" w:eastAsia="Times New Roman" w:hAnsi="Times New Roman" w:cs="Times New Roman"/>
          <w:bCs/>
        </w:rPr>
        <w:t>Együttműködés és felelősség jellemzi szakterületének szakembereivel szemben.</w:t>
      </w:r>
    </w:p>
    <w:p w:rsidR="00C16321" w:rsidRPr="00C16321" w:rsidRDefault="00C16321" w:rsidP="00980876">
      <w:pPr>
        <w:widowControl w:val="0"/>
        <w:numPr>
          <w:ilvl w:val="0"/>
          <w:numId w:val="698"/>
        </w:numPr>
        <w:spacing w:after="0" w:line="240" w:lineRule="auto"/>
        <w:ind w:left="993"/>
        <w:contextualSpacing/>
        <w:jc w:val="both"/>
        <w:rPr>
          <w:rFonts w:ascii="Times New Roman" w:eastAsia="Times New Roman" w:hAnsi="Times New Roman" w:cs="Times New Roman"/>
          <w:bCs/>
        </w:rPr>
      </w:pPr>
      <w:r w:rsidRPr="00C16321">
        <w:rPr>
          <w:rFonts w:ascii="Times New Roman" w:eastAsia="Times New Roman" w:hAnsi="Times New Roman" w:cs="Times New Roman"/>
          <w:bCs/>
        </w:rPr>
        <w:t>Szakterületén belül képes rendszer-szemléletűen gondolkodni.</w:t>
      </w:r>
    </w:p>
    <w:p w:rsidR="00C16321" w:rsidRPr="00C16321" w:rsidRDefault="00C16321" w:rsidP="00C16321">
      <w:pPr>
        <w:widowControl w:val="0"/>
        <w:spacing w:before="120" w:after="120" w:line="240" w:lineRule="auto"/>
        <w:ind w:left="426"/>
        <w:jc w:val="both"/>
        <w:rPr>
          <w:rFonts w:ascii="Times New Roman" w:eastAsia="Times New Roman" w:hAnsi="Times New Roman" w:cs="Times New Roman"/>
          <w:b/>
          <w:bCs/>
          <w:lang w:val="en-US"/>
        </w:rPr>
      </w:pPr>
      <w:r w:rsidRPr="00C16321">
        <w:rPr>
          <w:rFonts w:ascii="Times New Roman" w:eastAsia="Times New Roman" w:hAnsi="Times New Roman" w:cs="Times New Roman"/>
          <w:b/>
          <w:bCs/>
        </w:rPr>
        <w:t>Elérendő kompetenciák (angolul) (</w:t>
      </w:r>
      <w:r w:rsidRPr="00C16321">
        <w:rPr>
          <w:rFonts w:ascii="Times New Roman" w:eastAsia="Times New Roman" w:hAnsi="Times New Roman" w:cs="Times New Roman"/>
          <w:b/>
          <w:bCs/>
          <w:lang w:val="en-US"/>
        </w:rPr>
        <w:t xml:space="preserve">Competences – English): </w:t>
      </w:r>
    </w:p>
    <w:p w:rsidR="00C16321" w:rsidRPr="00C16321" w:rsidRDefault="00C16321" w:rsidP="00C16321">
      <w:pPr>
        <w:widowControl w:val="0"/>
        <w:spacing w:before="120" w:after="120" w:line="240" w:lineRule="auto"/>
        <w:ind w:left="426"/>
        <w:jc w:val="both"/>
        <w:rPr>
          <w:rFonts w:ascii="Times New Roman" w:eastAsia="Times New Roman" w:hAnsi="Times New Roman" w:cs="Times New Roman"/>
          <w:lang w:val="en-GB"/>
        </w:rPr>
      </w:pPr>
      <w:r w:rsidRPr="00C16321">
        <w:rPr>
          <w:rFonts w:ascii="Times New Roman" w:eastAsia="Times New Roman" w:hAnsi="Times New Roman" w:cs="Times New Roman"/>
          <w:b/>
          <w:lang w:val="en-GB"/>
        </w:rPr>
        <w:t>Knowledge</w:t>
      </w:r>
      <w:r w:rsidRPr="00C16321">
        <w:rPr>
          <w:rFonts w:ascii="Times New Roman" w:eastAsia="Times New Roman" w:hAnsi="Times New Roman" w:cs="Times New Roman"/>
          <w:lang w:val="en-GB"/>
        </w:rPr>
        <w:t>:</w:t>
      </w:r>
    </w:p>
    <w:p w:rsidR="00C16321" w:rsidRPr="00C16321" w:rsidRDefault="00C16321" w:rsidP="00980876">
      <w:pPr>
        <w:widowControl w:val="0"/>
        <w:numPr>
          <w:ilvl w:val="0"/>
          <w:numId w:val="699"/>
        </w:numPr>
        <w:spacing w:after="0" w:line="240" w:lineRule="auto"/>
        <w:ind w:left="993"/>
        <w:contextualSpacing/>
        <w:jc w:val="both"/>
        <w:rPr>
          <w:rFonts w:ascii="Times New Roman" w:eastAsia="Times New Roman" w:hAnsi="Times New Roman" w:cs="Times New Roman"/>
          <w:bCs/>
        </w:rPr>
      </w:pPr>
      <w:r w:rsidRPr="00C16321">
        <w:rPr>
          <w:rFonts w:ascii="Times New Roman" w:eastAsia="Times New Roman" w:hAnsi="Times New Roman" w:cs="Times New Roman"/>
          <w:bCs/>
        </w:rPr>
        <w:t>Knows the structure and equipment as well as the functioning and operation of armored vehicles.</w:t>
      </w:r>
    </w:p>
    <w:p w:rsidR="00C16321" w:rsidRPr="00C16321" w:rsidRDefault="00C16321" w:rsidP="00980876">
      <w:pPr>
        <w:widowControl w:val="0"/>
        <w:numPr>
          <w:ilvl w:val="0"/>
          <w:numId w:val="699"/>
        </w:numPr>
        <w:spacing w:after="0" w:line="240" w:lineRule="auto"/>
        <w:ind w:left="993"/>
        <w:contextualSpacing/>
        <w:jc w:val="both"/>
        <w:rPr>
          <w:rFonts w:ascii="Times New Roman" w:eastAsia="Times New Roman" w:hAnsi="Times New Roman" w:cs="Times New Roman"/>
          <w:bCs/>
        </w:rPr>
      </w:pPr>
      <w:r w:rsidRPr="00C16321">
        <w:rPr>
          <w:rFonts w:ascii="Times New Roman" w:eastAsia="Times New Roman" w:hAnsi="Times New Roman" w:cs="Times New Roman"/>
          <w:bCs/>
        </w:rPr>
        <w:t>Knows the latest solutions regarding armored vehicles.</w:t>
      </w:r>
    </w:p>
    <w:p w:rsidR="00C16321" w:rsidRPr="00C16321" w:rsidRDefault="00C16321" w:rsidP="00980876">
      <w:pPr>
        <w:widowControl w:val="0"/>
        <w:numPr>
          <w:ilvl w:val="0"/>
          <w:numId w:val="699"/>
        </w:numPr>
        <w:spacing w:after="0" w:line="240" w:lineRule="auto"/>
        <w:ind w:left="993"/>
        <w:contextualSpacing/>
        <w:jc w:val="both"/>
        <w:rPr>
          <w:rFonts w:ascii="Times New Roman" w:eastAsia="Times New Roman" w:hAnsi="Times New Roman" w:cs="Times New Roman"/>
          <w:bCs/>
        </w:rPr>
      </w:pPr>
      <w:r w:rsidRPr="00C16321">
        <w:rPr>
          <w:rFonts w:ascii="Times New Roman" w:eastAsia="Times New Roman" w:hAnsi="Times New Roman" w:cs="Times New Roman"/>
          <w:bCs/>
        </w:rPr>
        <w:t>Knows the work safety regulations required for fulfilling his/her professional tasks.</w:t>
      </w:r>
    </w:p>
    <w:p w:rsidR="00C16321" w:rsidRPr="00C16321" w:rsidRDefault="00C16321" w:rsidP="00980876">
      <w:pPr>
        <w:widowControl w:val="0"/>
        <w:numPr>
          <w:ilvl w:val="0"/>
          <w:numId w:val="699"/>
        </w:numPr>
        <w:spacing w:after="0" w:line="240" w:lineRule="auto"/>
        <w:ind w:left="993"/>
        <w:contextualSpacing/>
        <w:jc w:val="both"/>
        <w:rPr>
          <w:rFonts w:ascii="Times New Roman" w:eastAsia="Times New Roman" w:hAnsi="Times New Roman" w:cs="Times New Roman"/>
          <w:lang w:val="en-GB"/>
        </w:rPr>
      </w:pPr>
      <w:r w:rsidRPr="00C16321">
        <w:rPr>
          <w:rFonts w:ascii="Times New Roman" w:eastAsia="Times New Roman" w:hAnsi="Times New Roman" w:cs="Times New Roman"/>
          <w:bCs/>
        </w:rPr>
        <w:t>Possesses knowledge of adequate depth and spectrum regarding armored vehicle types.</w:t>
      </w:r>
    </w:p>
    <w:p w:rsidR="00C16321" w:rsidRPr="00C16321" w:rsidRDefault="00C16321" w:rsidP="00C16321">
      <w:pPr>
        <w:widowControl w:val="0"/>
        <w:spacing w:before="120" w:after="120" w:line="240" w:lineRule="auto"/>
        <w:ind w:left="426"/>
        <w:jc w:val="both"/>
        <w:rPr>
          <w:rFonts w:ascii="Times New Roman" w:eastAsia="Times New Roman" w:hAnsi="Times New Roman" w:cs="Times New Roman"/>
          <w:lang w:val="en-GB"/>
        </w:rPr>
      </w:pPr>
      <w:r w:rsidRPr="00C16321">
        <w:rPr>
          <w:rFonts w:ascii="Times New Roman" w:eastAsia="Times New Roman" w:hAnsi="Times New Roman" w:cs="Times New Roman"/>
          <w:b/>
          <w:lang w:val="en-GB"/>
        </w:rPr>
        <w:t>Capabilities</w:t>
      </w:r>
      <w:r w:rsidRPr="00C16321">
        <w:rPr>
          <w:rFonts w:ascii="Times New Roman" w:eastAsia="Times New Roman" w:hAnsi="Times New Roman" w:cs="Times New Roman"/>
          <w:lang w:val="en-GB"/>
        </w:rPr>
        <w:t>:</w:t>
      </w:r>
    </w:p>
    <w:p w:rsidR="00C16321" w:rsidRPr="00C16321" w:rsidRDefault="00C16321" w:rsidP="00980876">
      <w:pPr>
        <w:widowControl w:val="0"/>
        <w:numPr>
          <w:ilvl w:val="0"/>
          <w:numId w:val="700"/>
        </w:numPr>
        <w:spacing w:after="0" w:line="240" w:lineRule="auto"/>
        <w:ind w:left="993"/>
        <w:contextualSpacing/>
        <w:jc w:val="both"/>
        <w:rPr>
          <w:rFonts w:ascii="Times New Roman" w:eastAsia="Times New Roman" w:hAnsi="Times New Roman" w:cs="Times New Roman"/>
          <w:bCs/>
        </w:rPr>
      </w:pPr>
      <w:r w:rsidRPr="00C16321">
        <w:rPr>
          <w:rFonts w:ascii="Times New Roman" w:eastAsia="Times New Roman" w:hAnsi="Times New Roman" w:cs="Times New Roman"/>
          <w:bCs/>
        </w:rPr>
        <w:t>Is capable of organizing and efficiently utilizing the usage of the equipment and technical appliances applied in his/her respective specialty field.</w:t>
      </w:r>
    </w:p>
    <w:p w:rsidR="00C16321" w:rsidRPr="00C16321" w:rsidRDefault="00C16321" w:rsidP="00980876">
      <w:pPr>
        <w:widowControl w:val="0"/>
        <w:numPr>
          <w:ilvl w:val="0"/>
          <w:numId w:val="700"/>
        </w:numPr>
        <w:spacing w:after="0" w:line="240" w:lineRule="auto"/>
        <w:ind w:left="993"/>
        <w:contextualSpacing/>
        <w:jc w:val="both"/>
        <w:rPr>
          <w:rFonts w:ascii="Times New Roman" w:eastAsia="Times New Roman" w:hAnsi="Times New Roman" w:cs="Times New Roman"/>
          <w:bCs/>
        </w:rPr>
      </w:pPr>
      <w:r w:rsidRPr="00C16321">
        <w:rPr>
          <w:rFonts w:ascii="Times New Roman" w:eastAsia="Times New Roman" w:hAnsi="Times New Roman" w:cs="Times New Roman"/>
          <w:bCs/>
        </w:rPr>
        <w:t>Is capable of cooperating with persons working in other logistical positions.</w:t>
      </w:r>
    </w:p>
    <w:p w:rsidR="00C16321" w:rsidRPr="00C16321" w:rsidRDefault="00C16321" w:rsidP="00980876">
      <w:pPr>
        <w:widowControl w:val="0"/>
        <w:numPr>
          <w:ilvl w:val="0"/>
          <w:numId w:val="700"/>
        </w:numPr>
        <w:spacing w:after="0" w:line="240" w:lineRule="auto"/>
        <w:ind w:left="993"/>
        <w:contextualSpacing/>
        <w:jc w:val="both"/>
        <w:rPr>
          <w:rFonts w:ascii="Times New Roman" w:eastAsia="Times New Roman" w:hAnsi="Times New Roman" w:cs="Times New Roman"/>
          <w:bCs/>
        </w:rPr>
      </w:pPr>
      <w:r w:rsidRPr="00C16321">
        <w:rPr>
          <w:rFonts w:ascii="Times New Roman" w:eastAsia="Times New Roman" w:hAnsi="Times New Roman" w:cs="Times New Roman"/>
          <w:bCs/>
        </w:rPr>
        <w:t>Is capable of preparing documents regarding his/her field of specialty, executing the handover of military devices and preparing the records.</w:t>
      </w:r>
    </w:p>
    <w:p w:rsidR="00C16321" w:rsidRPr="00C16321" w:rsidRDefault="00C16321" w:rsidP="00980876">
      <w:pPr>
        <w:widowControl w:val="0"/>
        <w:numPr>
          <w:ilvl w:val="0"/>
          <w:numId w:val="700"/>
        </w:numPr>
        <w:spacing w:after="0" w:line="240" w:lineRule="auto"/>
        <w:ind w:left="993"/>
        <w:contextualSpacing/>
        <w:jc w:val="both"/>
        <w:rPr>
          <w:rFonts w:ascii="Times New Roman" w:eastAsia="Times New Roman" w:hAnsi="Times New Roman" w:cs="Times New Roman"/>
          <w:bCs/>
        </w:rPr>
      </w:pPr>
      <w:r w:rsidRPr="00C16321">
        <w:rPr>
          <w:rFonts w:ascii="Times New Roman" w:eastAsia="Times New Roman" w:hAnsi="Times New Roman" w:cs="Times New Roman"/>
          <w:bCs/>
        </w:rPr>
        <w:t>Is capable of preparing the conditions of a safe working environment and making others adhere to the rules of work safety.</w:t>
      </w:r>
    </w:p>
    <w:p w:rsidR="00C16321" w:rsidRPr="00C16321" w:rsidRDefault="00C16321" w:rsidP="00980876">
      <w:pPr>
        <w:widowControl w:val="0"/>
        <w:numPr>
          <w:ilvl w:val="0"/>
          <w:numId w:val="700"/>
        </w:numPr>
        <w:spacing w:after="120" w:line="240" w:lineRule="auto"/>
        <w:ind w:left="992" w:hanging="357"/>
        <w:contextualSpacing/>
        <w:jc w:val="both"/>
        <w:rPr>
          <w:rFonts w:ascii="Times New Roman" w:eastAsia="Times New Roman" w:hAnsi="Times New Roman" w:cs="Times New Roman"/>
          <w:lang w:val="en-GB"/>
        </w:rPr>
      </w:pPr>
      <w:r w:rsidRPr="00C16321">
        <w:rPr>
          <w:rFonts w:ascii="Times New Roman" w:eastAsia="Times New Roman" w:hAnsi="Times New Roman" w:cs="Times New Roman"/>
          <w:bCs/>
        </w:rPr>
        <w:t>Is capable of acqiring the understaning of new engineering information arising in his/her field of specialty using the already gained knowldge.</w:t>
      </w:r>
    </w:p>
    <w:p w:rsidR="00C16321" w:rsidRPr="00C16321" w:rsidRDefault="00C16321" w:rsidP="00C163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425"/>
        <w:jc w:val="both"/>
        <w:rPr>
          <w:rFonts w:ascii="Times New Roman" w:eastAsia="Times New Roman" w:hAnsi="Times New Roman" w:cs="Times New Roman"/>
          <w:lang w:val="en-GB"/>
        </w:rPr>
      </w:pPr>
      <w:r w:rsidRPr="00C16321">
        <w:rPr>
          <w:rFonts w:ascii="Times New Roman" w:eastAsia="Times New Roman" w:hAnsi="Times New Roman" w:cs="Times New Roman"/>
          <w:b/>
          <w:lang w:val="en-GB"/>
        </w:rPr>
        <w:t>Attitude:</w:t>
      </w:r>
    </w:p>
    <w:p w:rsidR="00C16321" w:rsidRPr="00C16321" w:rsidRDefault="00C16321" w:rsidP="00980876">
      <w:pPr>
        <w:numPr>
          <w:ilvl w:val="0"/>
          <w:numId w:val="70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contextualSpacing/>
        <w:jc w:val="both"/>
        <w:rPr>
          <w:rFonts w:ascii="Times New Roman" w:eastAsia="Times New Roman" w:hAnsi="Times New Roman" w:cs="Times New Roman"/>
        </w:rPr>
      </w:pPr>
      <w:r w:rsidRPr="00C16321">
        <w:rPr>
          <w:rFonts w:ascii="Times New Roman" w:eastAsia="Times New Roman" w:hAnsi="Times New Roman" w:cs="Times New Roman"/>
        </w:rPr>
        <w:t>He/she is open to widen his/her knowledge regarding armored vehicles and has a constant need for self-education.</w:t>
      </w:r>
    </w:p>
    <w:p w:rsidR="00C16321" w:rsidRPr="00C16321" w:rsidRDefault="00C16321" w:rsidP="00980876">
      <w:pPr>
        <w:numPr>
          <w:ilvl w:val="0"/>
          <w:numId w:val="70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contextualSpacing/>
        <w:jc w:val="both"/>
        <w:rPr>
          <w:rFonts w:ascii="Times New Roman" w:eastAsia="Times New Roman" w:hAnsi="Times New Roman" w:cs="Times New Roman"/>
        </w:rPr>
      </w:pPr>
      <w:r w:rsidRPr="00C16321">
        <w:rPr>
          <w:rFonts w:ascii="Times New Roman" w:eastAsia="Times New Roman" w:hAnsi="Times New Roman" w:cs="Times New Roman"/>
        </w:rPr>
        <w:t>He/she aims to adhere to the respective rules and make others follow them as well.</w:t>
      </w:r>
    </w:p>
    <w:p w:rsidR="00C16321" w:rsidRPr="00C16321" w:rsidRDefault="00C16321" w:rsidP="00980876">
      <w:pPr>
        <w:numPr>
          <w:ilvl w:val="0"/>
          <w:numId w:val="70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contextualSpacing/>
        <w:jc w:val="both"/>
        <w:rPr>
          <w:rFonts w:ascii="Times New Roman" w:eastAsia="Times New Roman" w:hAnsi="Times New Roman" w:cs="Times New Roman"/>
        </w:rPr>
      </w:pPr>
      <w:r w:rsidRPr="00C16321">
        <w:rPr>
          <w:rFonts w:ascii="Times New Roman" w:eastAsia="Times New Roman" w:hAnsi="Times New Roman" w:cs="Times New Roman"/>
        </w:rPr>
        <w:t>His/her work and relationships can be described by loyalty and reliability.</w:t>
      </w:r>
    </w:p>
    <w:p w:rsidR="00C16321" w:rsidRPr="00C16321" w:rsidRDefault="00C16321" w:rsidP="00980876">
      <w:pPr>
        <w:numPr>
          <w:ilvl w:val="0"/>
          <w:numId w:val="70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contextualSpacing/>
        <w:jc w:val="both"/>
        <w:rPr>
          <w:rFonts w:ascii="Times New Roman" w:eastAsia="Times New Roman" w:hAnsi="Times New Roman" w:cs="Times New Roman"/>
          <w:lang w:val="en-GB"/>
        </w:rPr>
      </w:pPr>
      <w:r w:rsidRPr="00C16321">
        <w:rPr>
          <w:rFonts w:ascii="Times New Roman" w:eastAsia="Times New Roman" w:hAnsi="Times New Roman" w:cs="Times New Roman"/>
        </w:rPr>
        <w:t>He/she is open towards the new accomplishments of military technology and aims to gain knowledge of these.</w:t>
      </w:r>
    </w:p>
    <w:p w:rsidR="00C16321" w:rsidRPr="00C16321" w:rsidRDefault="00C16321" w:rsidP="00C16321">
      <w:pPr>
        <w:widowControl w:val="0"/>
        <w:spacing w:before="120" w:after="120" w:line="240" w:lineRule="auto"/>
        <w:ind w:left="426"/>
        <w:jc w:val="both"/>
        <w:rPr>
          <w:rFonts w:ascii="Times New Roman" w:eastAsia="Times New Roman" w:hAnsi="Times New Roman" w:cs="Times New Roman"/>
          <w:b/>
          <w:lang w:val="en-GB"/>
        </w:rPr>
      </w:pPr>
      <w:r w:rsidRPr="00C16321">
        <w:rPr>
          <w:rFonts w:ascii="Times New Roman" w:eastAsia="Times New Roman" w:hAnsi="Times New Roman" w:cs="Times New Roman"/>
          <w:b/>
          <w:lang w:val="en-GB"/>
        </w:rPr>
        <w:t>Autonomy and responsibility:</w:t>
      </w:r>
    </w:p>
    <w:p w:rsidR="00C16321" w:rsidRPr="00C16321" w:rsidRDefault="00C16321" w:rsidP="00980876">
      <w:pPr>
        <w:widowControl w:val="0"/>
        <w:numPr>
          <w:ilvl w:val="0"/>
          <w:numId w:val="702"/>
        </w:numPr>
        <w:spacing w:after="0" w:line="240" w:lineRule="auto"/>
        <w:ind w:left="993"/>
        <w:contextualSpacing/>
        <w:jc w:val="both"/>
        <w:rPr>
          <w:rFonts w:ascii="Times New Roman" w:eastAsia="Times New Roman" w:hAnsi="Times New Roman" w:cs="Times New Roman"/>
        </w:rPr>
      </w:pPr>
      <w:r w:rsidRPr="00C16321">
        <w:rPr>
          <w:rFonts w:ascii="Times New Roman" w:eastAsia="Times New Roman" w:hAnsi="Times New Roman" w:cs="Times New Roman"/>
        </w:rPr>
        <w:t>Is capable of organizing and determining the tasks of his/her subordinates as well as controlling their work based on professional aspects.</w:t>
      </w:r>
    </w:p>
    <w:p w:rsidR="00C16321" w:rsidRPr="00C16321" w:rsidRDefault="00C16321" w:rsidP="00980876">
      <w:pPr>
        <w:widowControl w:val="0"/>
        <w:numPr>
          <w:ilvl w:val="0"/>
          <w:numId w:val="702"/>
        </w:numPr>
        <w:spacing w:after="0" w:line="240" w:lineRule="auto"/>
        <w:ind w:left="993"/>
        <w:contextualSpacing/>
        <w:jc w:val="both"/>
        <w:rPr>
          <w:rFonts w:ascii="Times New Roman" w:eastAsia="Times New Roman" w:hAnsi="Times New Roman" w:cs="Times New Roman"/>
        </w:rPr>
      </w:pPr>
      <w:r w:rsidRPr="00C16321">
        <w:rPr>
          <w:rFonts w:ascii="Times New Roman" w:eastAsia="Times New Roman" w:hAnsi="Times New Roman" w:cs="Times New Roman"/>
        </w:rPr>
        <w:lastRenderedPageBreak/>
        <w:t>After doing proper analysation, he/she is capable of making the best decisions and taking professional responsibility during the technical maintenance and repairing of the armored vehicles.</w:t>
      </w:r>
    </w:p>
    <w:p w:rsidR="00C16321" w:rsidRPr="00C16321" w:rsidRDefault="00C16321" w:rsidP="00980876">
      <w:pPr>
        <w:widowControl w:val="0"/>
        <w:numPr>
          <w:ilvl w:val="0"/>
          <w:numId w:val="702"/>
        </w:numPr>
        <w:spacing w:after="0" w:line="240" w:lineRule="auto"/>
        <w:ind w:left="993"/>
        <w:contextualSpacing/>
        <w:jc w:val="both"/>
        <w:rPr>
          <w:rFonts w:ascii="Times New Roman" w:eastAsia="Times New Roman" w:hAnsi="Times New Roman" w:cs="Times New Roman"/>
        </w:rPr>
      </w:pPr>
      <w:r w:rsidRPr="00C16321">
        <w:rPr>
          <w:rFonts w:ascii="Times New Roman" w:eastAsia="Times New Roman" w:hAnsi="Times New Roman" w:cs="Times New Roman"/>
        </w:rPr>
        <w:t>He/she is cooperative and responsible towards the professionals of his/her field.</w:t>
      </w:r>
    </w:p>
    <w:p w:rsidR="00C16321" w:rsidRPr="00C16321" w:rsidRDefault="00C16321" w:rsidP="00980876">
      <w:pPr>
        <w:widowControl w:val="0"/>
        <w:numPr>
          <w:ilvl w:val="0"/>
          <w:numId w:val="702"/>
        </w:numPr>
        <w:spacing w:after="0" w:line="240" w:lineRule="auto"/>
        <w:ind w:left="993"/>
        <w:contextualSpacing/>
        <w:jc w:val="both"/>
        <w:rPr>
          <w:rFonts w:ascii="Times New Roman" w:eastAsia="Times New Roman" w:hAnsi="Times New Roman" w:cs="Times New Roman"/>
          <w:lang w:val="en-GB"/>
        </w:rPr>
      </w:pPr>
      <w:r w:rsidRPr="00C16321">
        <w:rPr>
          <w:rFonts w:ascii="Times New Roman" w:eastAsia="Times New Roman" w:hAnsi="Times New Roman" w:cs="Times New Roman"/>
        </w:rPr>
        <w:t>Is capable of thinking in a system approach within his/her own field.</w:t>
      </w:r>
    </w:p>
    <w:p w:rsidR="00C16321" w:rsidRPr="00C16321" w:rsidRDefault="00C16321" w:rsidP="00980876">
      <w:pPr>
        <w:widowControl w:val="0"/>
        <w:numPr>
          <w:ilvl w:val="0"/>
          <w:numId w:val="703"/>
        </w:numPr>
        <w:tabs>
          <w:tab w:val="num" w:pos="567"/>
        </w:tabs>
        <w:spacing w:before="120" w:after="120" w:line="240" w:lineRule="auto"/>
        <w:ind w:left="426" w:hanging="142"/>
        <w:jc w:val="both"/>
        <w:rPr>
          <w:rFonts w:ascii="Times New Roman" w:eastAsia="Times New Roman" w:hAnsi="Times New Roman" w:cs="Times New Roman"/>
          <w:bCs/>
        </w:rPr>
      </w:pPr>
      <w:r w:rsidRPr="00C16321">
        <w:rPr>
          <w:rFonts w:ascii="Times New Roman" w:eastAsia="Times New Roman" w:hAnsi="Times New Roman" w:cs="Times New Roman"/>
          <w:b/>
          <w:bCs/>
        </w:rPr>
        <w:t xml:space="preserve">Előtanulmányi követelmények: </w:t>
      </w:r>
      <w:r w:rsidRPr="00C16321">
        <w:rPr>
          <w:rFonts w:ascii="Times New Roman" w:eastAsia="Times New Roman" w:hAnsi="Times New Roman" w:cs="Times New Roman"/>
          <w:bCs/>
        </w:rPr>
        <w:t>-</w:t>
      </w:r>
    </w:p>
    <w:p w:rsidR="00C16321" w:rsidRPr="00C16321" w:rsidRDefault="00C16321" w:rsidP="00980876">
      <w:pPr>
        <w:widowControl w:val="0"/>
        <w:numPr>
          <w:ilvl w:val="0"/>
          <w:numId w:val="703"/>
        </w:numPr>
        <w:spacing w:before="120" w:after="120" w:line="240" w:lineRule="auto"/>
        <w:ind w:left="426" w:hanging="142"/>
        <w:jc w:val="both"/>
        <w:rPr>
          <w:rFonts w:ascii="Times New Roman" w:eastAsia="Times New Roman" w:hAnsi="Times New Roman" w:cs="Times New Roman"/>
          <w:b/>
          <w:bCs/>
        </w:rPr>
      </w:pPr>
      <w:r w:rsidRPr="00C16321">
        <w:rPr>
          <w:rFonts w:ascii="Times New Roman" w:eastAsia="Times New Roman" w:hAnsi="Times New Roman" w:cs="Times New Roman"/>
          <w:b/>
          <w:bCs/>
        </w:rPr>
        <w:t>A tantárgy tananyagának leírása, tematika. Description of the subject, curriculum (magyarul, angolul - English):</w:t>
      </w:r>
    </w:p>
    <w:p w:rsidR="00C16321" w:rsidRPr="00C16321" w:rsidRDefault="00C16321" w:rsidP="00980876">
      <w:pPr>
        <w:widowControl w:val="0"/>
        <w:numPr>
          <w:ilvl w:val="1"/>
          <w:numId w:val="703"/>
        </w:numPr>
        <w:tabs>
          <w:tab w:val="clear" w:pos="3977"/>
          <w:tab w:val="left" w:pos="709"/>
          <w:tab w:val="left" w:pos="993"/>
          <w:tab w:val="num" w:pos="1142"/>
          <w:tab w:val="num" w:pos="2069"/>
        </w:tabs>
        <w:spacing w:before="120" w:after="120" w:line="240" w:lineRule="auto"/>
        <w:ind w:left="426" w:firstLine="0"/>
        <w:jc w:val="both"/>
        <w:rPr>
          <w:rFonts w:ascii="Times New Roman" w:eastAsia="Times New Roman" w:hAnsi="Times New Roman" w:cs="Times New Roman"/>
          <w:b/>
        </w:rPr>
      </w:pPr>
      <w:r w:rsidRPr="00C16321">
        <w:rPr>
          <w:rFonts w:ascii="Times New Roman" w:eastAsia="Times New Roman" w:hAnsi="Times New Roman" w:cs="Times New Roman"/>
          <w:b/>
          <w:bCs/>
          <w:lang w:eastAsia="hu-HU"/>
        </w:rPr>
        <w:t>– 12.3.</w:t>
      </w:r>
      <w:r w:rsidRPr="00C16321">
        <w:rPr>
          <w:rFonts w:ascii="Times New Roman" w:eastAsia="Times New Roman" w:hAnsi="Times New Roman" w:cs="Times New Roman"/>
          <w:bCs/>
          <w:lang w:eastAsia="hu-HU"/>
        </w:rPr>
        <w:t xml:space="preserve"> A rendszeresített harcjárművek (BTR–80, BTR–80A, BTR–MVJ, BTR–SKJ, HMMWV), általános felépítése, a kezelőszervek kialakítása, működtetése. (</w:t>
      </w:r>
      <w:r w:rsidRPr="00C16321">
        <w:rPr>
          <w:rFonts w:ascii="Times New Roman" w:eastAsia="Times New Roman" w:hAnsi="Times New Roman" w:cs="Times New Roman"/>
          <w:bCs/>
          <w:i/>
          <w:iCs/>
          <w:lang w:eastAsia="hu-HU"/>
        </w:rPr>
        <w:t>General structure, operation and handling of applied armored vehicles (BTR–80, BTR–80A, BTR–MVJ, BTR–SKJ, HMMWV).)</w:t>
      </w:r>
    </w:p>
    <w:p w:rsidR="00C16321" w:rsidRPr="00C16321" w:rsidRDefault="00C16321" w:rsidP="00980876">
      <w:pPr>
        <w:widowControl w:val="0"/>
        <w:numPr>
          <w:ilvl w:val="1"/>
          <w:numId w:val="703"/>
        </w:numPr>
        <w:tabs>
          <w:tab w:val="clear" w:pos="3977"/>
          <w:tab w:val="left" w:pos="709"/>
          <w:tab w:val="left" w:pos="993"/>
          <w:tab w:val="num" w:pos="1142"/>
          <w:tab w:val="num" w:pos="2069"/>
        </w:tabs>
        <w:spacing w:before="120" w:after="120" w:line="240" w:lineRule="auto"/>
        <w:ind w:left="1142"/>
        <w:jc w:val="both"/>
        <w:rPr>
          <w:rFonts w:ascii="Times New Roman" w:eastAsia="Times New Roman" w:hAnsi="Times New Roman" w:cs="Times New Roman"/>
          <w:bCs/>
          <w:vanish/>
        </w:rPr>
      </w:pPr>
    </w:p>
    <w:p w:rsidR="00C16321" w:rsidRPr="00C16321" w:rsidRDefault="00C16321" w:rsidP="00980876">
      <w:pPr>
        <w:widowControl w:val="0"/>
        <w:numPr>
          <w:ilvl w:val="1"/>
          <w:numId w:val="703"/>
        </w:numPr>
        <w:tabs>
          <w:tab w:val="clear" w:pos="3977"/>
          <w:tab w:val="left" w:pos="709"/>
          <w:tab w:val="left" w:pos="993"/>
          <w:tab w:val="num" w:pos="1142"/>
          <w:tab w:val="num" w:pos="2069"/>
        </w:tabs>
        <w:spacing w:before="120" w:after="120" w:line="240" w:lineRule="auto"/>
        <w:ind w:left="1142"/>
        <w:jc w:val="both"/>
        <w:rPr>
          <w:rFonts w:ascii="Times New Roman" w:eastAsia="Times New Roman" w:hAnsi="Times New Roman" w:cs="Times New Roman"/>
          <w:bCs/>
          <w:vanish/>
        </w:rPr>
      </w:pPr>
    </w:p>
    <w:p w:rsidR="00C16321" w:rsidRPr="00C16321" w:rsidRDefault="00C16321" w:rsidP="00980876">
      <w:pPr>
        <w:widowControl w:val="0"/>
        <w:numPr>
          <w:ilvl w:val="1"/>
          <w:numId w:val="703"/>
        </w:numPr>
        <w:tabs>
          <w:tab w:val="clear" w:pos="3977"/>
          <w:tab w:val="left" w:pos="709"/>
          <w:tab w:val="num" w:pos="858"/>
          <w:tab w:val="left" w:pos="993"/>
          <w:tab w:val="num" w:pos="1142"/>
          <w:tab w:val="num" w:pos="2069"/>
        </w:tabs>
        <w:spacing w:before="120" w:after="120" w:line="240" w:lineRule="auto"/>
        <w:ind w:left="425" w:firstLine="0"/>
        <w:jc w:val="both"/>
        <w:rPr>
          <w:rFonts w:ascii="Times New Roman" w:eastAsia="Times New Roman" w:hAnsi="Times New Roman" w:cs="Times New Roman"/>
        </w:rPr>
      </w:pPr>
      <w:r w:rsidRPr="00C16321">
        <w:rPr>
          <w:rFonts w:ascii="Times New Roman" w:eastAsia="Times New Roman" w:hAnsi="Times New Roman" w:cs="Times New Roman"/>
          <w:b/>
          <w:bCs/>
        </w:rPr>
        <w:t xml:space="preserve">– 12.5. </w:t>
      </w:r>
      <w:r w:rsidRPr="00C16321">
        <w:rPr>
          <w:rFonts w:ascii="Times New Roman" w:eastAsia="Times New Roman" w:hAnsi="Times New Roman" w:cs="Times New Roman"/>
          <w:bCs/>
        </w:rPr>
        <w:t>A rendszeresített harckocsik általános felépítése, a kezelőszervek kialakítása, működtetése. (</w:t>
      </w:r>
      <w:r w:rsidRPr="00C16321">
        <w:rPr>
          <w:rFonts w:ascii="Times New Roman" w:eastAsia="Times New Roman" w:hAnsi="Times New Roman" w:cs="Times New Roman"/>
          <w:bCs/>
          <w:i/>
          <w:iCs/>
        </w:rPr>
        <w:t>General structure, operation and handling of applied MBTs.)</w:t>
      </w:r>
    </w:p>
    <w:p w:rsidR="00C16321" w:rsidRPr="00C16321" w:rsidRDefault="00C16321" w:rsidP="00C16321">
      <w:pPr>
        <w:widowControl w:val="0"/>
        <w:tabs>
          <w:tab w:val="left" w:pos="426"/>
        </w:tabs>
        <w:spacing w:before="120" w:after="120" w:line="240" w:lineRule="auto"/>
        <w:ind w:left="397"/>
        <w:contextualSpacing/>
        <w:jc w:val="both"/>
        <w:rPr>
          <w:rFonts w:ascii="Times New Roman" w:eastAsia="Times New Roman" w:hAnsi="Times New Roman" w:cs="Times New Roman"/>
          <w:bCs/>
          <w:lang w:eastAsia="hu-HU"/>
        </w:rPr>
      </w:pPr>
      <w:r w:rsidRPr="00C16321">
        <w:rPr>
          <w:rFonts w:ascii="Times New Roman" w:eastAsia="Times New Roman" w:hAnsi="Times New Roman" w:cs="Times New Roman"/>
          <w:b/>
          <w:bCs/>
          <w:lang w:eastAsia="hu-HU"/>
        </w:rPr>
        <w:t>12.6. – 12.7.</w:t>
      </w:r>
      <w:r w:rsidRPr="00C16321">
        <w:rPr>
          <w:rFonts w:ascii="Times New Roman" w:eastAsia="Times New Roman" w:hAnsi="Times New Roman" w:cs="Times New Roman"/>
          <w:bCs/>
          <w:lang w:eastAsia="hu-HU"/>
        </w:rPr>
        <w:t xml:space="preserve"> A rendszeresített harcjárművek (BTR–80, BTR–80A, BTR–MVJ, BTR–SKJ, HMMWV) a motorjának, a motor kiszolgáló rendszereinek, az erőátvitelnek, kormány- és fékberendezésnek, az elektromos rendszereknek általános jellemzése és felépítése. (The general characteristics and construction of engines, power transmission, steering and braking equipment, electrical systems.</w:t>
      </w:r>
      <w:r w:rsidRPr="00C16321">
        <w:rPr>
          <w:rFonts w:ascii="Times New Roman" w:eastAsia="Times New Roman" w:hAnsi="Times New Roman" w:cs="Times New Roman"/>
          <w:bCs/>
          <w:i/>
          <w:iCs/>
          <w:lang w:eastAsia="hu-HU"/>
        </w:rPr>
        <w:t xml:space="preserve"> applied armored vehicles (BTR–80, BTR–80A, BTR–MVJ, BTR–SKJ, HMMWV)</w:t>
      </w:r>
      <w:r w:rsidRPr="00C16321">
        <w:rPr>
          <w:rFonts w:ascii="Times New Roman" w:eastAsia="Times New Roman" w:hAnsi="Times New Roman" w:cs="Times New Roman"/>
          <w:bCs/>
          <w:lang w:eastAsia="hu-HU"/>
        </w:rPr>
        <w:t>)</w:t>
      </w:r>
    </w:p>
    <w:p w:rsidR="00C16321" w:rsidRPr="00C16321" w:rsidRDefault="00C16321" w:rsidP="00C16321">
      <w:pPr>
        <w:widowControl w:val="0"/>
        <w:tabs>
          <w:tab w:val="left" w:pos="426"/>
        </w:tabs>
        <w:spacing w:before="120" w:after="120" w:line="240" w:lineRule="auto"/>
        <w:ind w:left="397"/>
        <w:jc w:val="both"/>
        <w:rPr>
          <w:rFonts w:ascii="Times New Roman" w:eastAsia="Times New Roman" w:hAnsi="Times New Roman" w:cs="Times New Roman"/>
          <w:bCs/>
          <w:lang w:eastAsia="hu-HU"/>
        </w:rPr>
      </w:pPr>
      <w:r w:rsidRPr="00C16321">
        <w:rPr>
          <w:rFonts w:ascii="Times New Roman" w:eastAsia="Times New Roman" w:hAnsi="Times New Roman" w:cs="Times New Roman"/>
          <w:b/>
          <w:bCs/>
          <w:lang w:eastAsia="hu-HU"/>
        </w:rPr>
        <w:t>12.8. – 12.9.</w:t>
      </w:r>
      <w:r w:rsidRPr="00C16321">
        <w:rPr>
          <w:rFonts w:ascii="Times New Roman" w:eastAsia="Times New Roman" w:hAnsi="Times New Roman" w:cs="Times New Roman"/>
          <w:bCs/>
          <w:lang w:eastAsia="hu-HU"/>
        </w:rPr>
        <w:t xml:space="preserve"> A rendszeresített harckocsik a motorjának, a motor kiszolgáló rendszereinek, az erőátvitelnek, kormány- és fékberendezésnek, az elektromos rendszereknek általános jellemzése és felépítése. </w:t>
      </w:r>
      <w:r w:rsidRPr="00C16321">
        <w:rPr>
          <w:rFonts w:ascii="Times New Roman" w:eastAsia="Times New Roman" w:hAnsi="Times New Roman" w:cs="Times New Roman"/>
          <w:bCs/>
          <w:i/>
          <w:lang w:eastAsia="hu-HU"/>
        </w:rPr>
        <w:t>(The general characteristics and construction of engines, power transmission, steering and braking equipment, electrical systems of</w:t>
      </w:r>
      <w:r w:rsidRPr="00C16321">
        <w:rPr>
          <w:rFonts w:ascii="Times New Roman" w:eastAsia="Times New Roman" w:hAnsi="Times New Roman" w:cs="Times New Roman"/>
          <w:bCs/>
          <w:i/>
          <w:iCs/>
          <w:lang w:eastAsia="hu-HU"/>
        </w:rPr>
        <w:t xml:space="preserve"> applied MBT’s</w:t>
      </w:r>
      <w:r w:rsidRPr="00C16321">
        <w:rPr>
          <w:rFonts w:ascii="Times New Roman" w:eastAsia="Times New Roman" w:hAnsi="Times New Roman" w:cs="Times New Roman"/>
          <w:bCs/>
          <w:i/>
          <w:lang w:eastAsia="hu-HU"/>
        </w:rPr>
        <w:t>)</w:t>
      </w:r>
    </w:p>
    <w:p w:rsidR="00C16321" w:rsidRPr="00C16321" w:rsidRDefault="00C16321" w:rsidP="00980876">
      <w:pPr>
        <w:widowControl w:val="0"/>
        <w:numPr>
          <w:ilvl w:val="0"/>
          <w:numId w:val="617"/>
        </w:numPr>
        <w:tabs>
          <w:tab w:val="left" w:pos="426"/>
        </w:tabs>
        <w:spacing w:before="120" w:after="120" w:line="240" w:lineRule="auto"/>
        <w:contextualSpacing/>
        <w:jc w:val="both"/>
        <w:rPr>
          <w:rFonts w:ascii="Times New Roman" w:eastAsia="Times New Roman" w:hAnsi="Times New Roman" w:cs="Times New Roman"/>
          <w:bCs/>
          <w:vanish/>
          <w:lang w:eastAsia="hu-HU"/>
        </w:rPr>
      </w:pPr>
    </w:p>
    <w:p w:rsidR="00C16321" w:rsidRPr="00C16321" w:rsidRDefault="00C16321" w:rsidP="00980876">
      <w:pPr>
        <w:widowControl w:val="0"/>
        <w:numPr>
          <w:ilvl w:val="1"/>
          <w:numId w:val="617"/>
        </w:numPr>
        <w:tabs>
          <w:tab w:val="left" w:pos="426"/>
        </w:tabs>
        <w:spacing w:before="120" w:after="120" w:line="240" w:lineRule="auto"/>
        <w:contextualSpacing/>
        <w:jc w:val="both"/>
        <w:rPr>
          <w:rFonts w:ascii="Times New Roman" w:eastAsia="Times New Roman" w:hAnsi="Times New Roman" w:cs="Times New Roman"/>
          <w:bCs/>
          <w:vanish/>
          <w:lang w:eastAsia="hu-HU"/>
        </w:rPr>
      </w:pPr>
    </w:p>
    <w:p w:rsidR="00C16321" w:rsidRPr="00C16321" w:rsidRDefault="00C16321" w:rsidP="00980876">
      <w:pPr>
        <w:widowControl w:val="0"/>
        <w:numPr>
          <w:ilvl w:val="1"/>
          <w:numId w:val="617"/>
        </w:numPr>
        <w:tabs>
          <w:tab w:val="left" w:pos="426"/>
        </w:tabs>
        <w:spacing w:before="120" w:after="120" w:line="240" w:lineRule="auto"/>
        <w:contextualSpacing/>
        <w:jc w:val="both"/>
        <w:rPr>
          <w:rFonts w:ascii="Times New Roman" w:eastAsia="Times New Roman" w:hAnsi="Times New Roman" w:cs="Times New Roman"/>
          <w:bCs/>
          <w:vanish/>
          <w:lang w:eastAsia="hu-HU"/>
        </w:rPr>
      </w:pPr>
    </w:p>
    <w:p w:rsidR="00C16321" w:rsidRPr="00C16321" w:rsidRDefault="00C16321" w:rsidP="00980876">
      <w:pPr>
        <w:widowControl w:val="0"/>
        <w:numPr>
          <w:ilvl w:val="1"/>
          <w:numId w:val="617"/>
        </w:numPr>
        <w:tabs>
          <w:tab w:val="left" w:pos="426"/>
        </w:tabs>
        <w:spacing w:before="120" w:after="120" w:line="240" w:lineRule="auto"/>
        <w:contextualSpacing/>
        <w:jc w:val="both"/>
        <w:rPr>
          <w:rFonts w:ascii="Times New Roman" w:eastAsia="Times New Roman" w:hAnsi="Times New Roman" w:cs="Times New Roman"/>
          <w:bCs/>
          <w:vanish/>
          <w:lang w:eastAsia="hu-HU"/>
        </w:rPr>
      </w:pPr>
    </w:p>
    <w:p w:rsidR="00C16321" w:rsidRPr="00C16321" w:rsidRDefault="00C16321" w:rsidP="00980876">
      <w:pPr>
        <w:widowControl w:val="0"/>
        <w:numPr>
          <w:ilvl w:val="1"/>
          <w:numId w:val="617"/>
        </w:numPr>
        <w:tabs>
          <w:tab w:val="left" w:pos="426"/>
        </w:tabs>
        <w:spacing w:before="120" w:after="120" w:line="240" w:lineRule="auto"/>
        <w:contextualSpacing/>
        <w:jc w:val="both"/>
        <w:rPr>
          <w:rFonts w:ascii="Times New Roman" w:eastAsia="Times New Roman" w:hAnsi="Times New Roman" w:cs="Times New Roman"/>
          <w:bCs/>
          <w:vanish/>
          <w:lang w:eastAsia="hu-HU"/>
        </w:rPr>
      </w:pPr>
    </w:p>
    <w:p w:rsidR="00C16321" w:rsidRPr="00C16321" w:rsidRDefault="00C16321" w:rsidP="00980876">
      <w:pPr>
        <w:widowControl w:val="0"/>
        <w:numPr>
          <w:ilvl w:val="1"/>
          <w:numId w:val="617"/>
        </w:numPr>
        <w:tabs>
          <w:tab w:val="left" w:pos="426"/>
        </w:tabs>
        <w:spacing w:before="120" w:after="120" w:line="240" w:lineRule="auto"/>
        <w:contextualSpacing/>
        <w:jc w:val="both"/>
        <w:rPr>
          <w:rFonts w:ascii="Times New Roman" w:eastAsia="Times New Roman" w:hAnsi="Times New Roman" w:cs="Times New Roman"/>
          <w:bCs/>
          <w:vanish/>
          <w:lang w:eastAsia="hu-HU"/>
        </w:rPr>
      </w:pPr>
    </w:p>
    <w:p w:rsidR="00C16321" w:rsidRPr="00C16321" w:rsidRDefault="00C16321" w:rsidP="00C16321">
      <w:pPr>
        <w:widowControl w:val="0"/>
        <w:tabs>
          <w:tab w:val="left" w:pos="426"/>
        </w:tabs>
        <w:spacing w:before="120" w:after="120" w:line="240" w:lineRule="auto"/>
        <w:ind w:left="397"/>
        <w:contextualSpacing/>
        <w:jc w:val="both"/>
        <w:rPr>
          <w:rFonts w:ascii="Times New Roman" w:eastAsia="Times New Roman" w:hAnsi="Times New Roman" w:cs="Times New Roman"/>
          <w:b/>
        </w:rPr>
      </w:pPr>
      <w:r w:rsidRPr="00C16321">
        <w:rPr>
          <w:rFonts w:ascii="Times New Roman" w:eastAsia="Times New Roman" w:hAnsi="Times New Roman" w:cs="Times New Roman"/>
          <w:b/>
          <w:bCs/>
          <w:lang w:eastAsia="hu-HU"/>
        </w:rPr>
        <w:t>12.10</w:t>
      </w:r>
      <w:r w:rsidRPr="00C16321">
        <w:rPr>
          <w:rFonts w:ascii="Times New Roman" w:eastAsia="Times New Roman" w:hAnsi="Times New Roman" w:cs="Times New Roman"/>
          <w:bCs/>
          <w:lang w:eastAsia="hu-HU"/>
        </w:rPr>
        <w:t>. A harcjármű közúti forgalomban történő alkalmazásának feladatai indulás előtt. (</w:t>
      </w:r>
      <w:r w:rsidRPr="00C16321">
        <w:rPr>
          <w:rFonts w:ascii="Times New Roman" w:eastAsia="Times New Roman" w:hAnsi="Times New Roman" w:cs="Times New Roman"/>
          <w:bCs/>
          <w:i/>
          <w:lang w:eastAsia="hu-HU"/>
        </w:rPr>
        <w:t>Tasks for the use of the armored vehicle on the road before departure</w:t>
      </w:r>
      <w:r w:rsidRPr="00C16321">
        <w:rPr>
          <w:rFonts w:ascii="Times New Roman" w:eastAsia="Times New Roman" w:hAnsi="Times New Roman" w:cs="Times New Roman"/>
          <w:bCs/>
          <w:lang w:eastAsia="hu-HU"/>
        </w:rPr>
        <w:t>.)</w:t>
      </w:r>
    </w:p>
    <w:p w:rsidR="00C16321" w:rsidRPr="00C16321" w:rsidRDefault="00C16321" w:rsidP="00C16321">
      <w:pPr>
        <w:widowControl w:val="0"/>
        <w:tabs>
          <w:tab w:val="left" w:pos="426"/>
        </w:tabs>
        <w:spacing w:before="120" w:after="120" w:line="240" w:lineRule="auto"/>
        <w:ind w:left="397"/>
        <w:jc w:val="both"/>
        <w:rPr>
          <w:rFonts w:ascii="Times New Roman" w:eastAsia="Times New Roman" w:hAnsi="Times New Roman" w:cs="Times New Roman"/>
          <w:b/>
        </w:rPr>
      </w:pPr>
      <w:r w:rsidRPr="00C16321">
        <w:rPr>
          <w:rFonts w:ascii="Times New Roman" w:eastAsia="Times New Roman" w:hAnsi="Times New Roman" w:cs="Times New Roman"/>
          <w:b/>
          <w:bCs/>
          <w:lang w:eastAsia="hu-HU"/>
        </w:rPr>
        <w:t>12.11.</w:t>
      </w:r>
      <w:r w:rsidRPr="00C16321">
        <w:rPr>
          <w:rFonts w:ascii="Times New Roman" w:eastAsia="Times New Roman" w:hAnsi="Times New Roman" w:cs="Times New Roman"/>
          <w:bCs/>
          <w:lang w:eastAsia="hu-HU"/>
        </w:rPr>
        <w:t xml:space="preserve"> A harcjármű közúti forgalomban történő alkalmazásának feladatai menet közben. (</w:t>
      </w:r>
      <w:r w:rsidRPr="00C16321">
        <w:rPr>
          <w:rFonts w:ascii="Times New Roman" w:eastAsia="Times New Roman" w:hAnsi="Times New Roman" w:cs="Times New Roman"/>
          <w:bCs/>
          <w:i/>
          <w:lang w:eastAsia="hu-HU"/>
        </w:rPr>
        <w:t>Tasks for the use of the armored vehicle on the road after departure.</w:t>
      </w:r>
      <w:r w:rsidRPr="00C16321">
        <w:rPr>
          <w:rFonts w:ascii="Times New Roman" w:eastAsia="Times New Roman" w:hAnsi="Times New Roman" w:cs="Times New Roman"/>
          <w:bCs/>
          <w:lang w:eastAsia="hu-HU"/>
        </w:rPr>
        <w:t>)</w:t>
      </w:r>
    </w:p>
    <w:p w:rsidR="00C16321" w:rsidRPr="00C16321" w:rsidRDefault="00C16321" w:rsidP="00C16321">
      <w:pPr>
        <w:widowControl w:val="0"/>
        <w:tabs>
          <w:tab w:val="left" w:pos="709"/>
          <w:tab w:val="left" w:pos="993"/>
        </w:tabs>
        <w:spacing w:before="120" w:after="120" w:line="240" w:lineRule="auto"/>
        <w:ind w:left="397"/>
        <w:jc w:val="both"/>
        <w:rPr>
          <w:rFonts w:ascii="Times New Roman" w:eastAsia="Times New Roman" w:hAnsi="Times New Roman" w:cs="Times New Roman"/>
          <w:b/>
        </w:rPr>
      </w:pPr>
      <w:r w:rsidRPr="00C16321">
        <w:rPr>
          <w:rFonts w:ascii="Times New Roman" w:eastAsia="Times New Roman" w:hAnsi="Times New Roman" w:cs="Times New Roman"/>
          <w:b/>
          <w:bCs/>
          <w:lang w:eastAsia="hu-HU"/>
        </w:rPr>
        <w:t>12.12. – 12.13</w:t>
      </w:r>
      <w:r w:rsidRPr="00C16321">
        <w:rPr>
          <w:rFonts w:ascii="Times New Roman" w:eastAsia="Times New Roman" w:hAnsi="Times New Roman" w:cs="Times New Roman"/>
          <w:bCs/>
          <w:lang w:eastAsia="hu-HU"/>
        </w:rPr>
        <w:t>. A gépjárművezető általi karbantartási feladatok végrehajtása. (</w:t>
      </w:r>
      <w:r w:rsidRPr="00C16321">
        <w:rPr>
          <w:rFonts w:ascii="Times New Roman" w:eastAsia="Times New Roman" w:hAnsi="Times New Roman" w:cs="Times New Roman"/>
          <w:bCs/>
          <w:i/>
          <w:lang w:eastAsia="hu-HU"/>
        </w:rPr>
        <w:t>Fulfilling the maintenance tasks performed by the driver.</w:t>
      </w:r>
      <w:r w:rsidRPr="00C16321">
        <w:rPr>
          <w:rFonts w:ascii="Times New Roman" w:eastAsia="Times New Roman" w:hAnsi="Times New Roman" w:cs="Times New Roman"/>
          <w:bCs/>
          <w:lang w:eastAsia="hu-HU"/>
        </w:rPr>
        <w:t>)</w:t>
      </w:r>
    </w:p>
    <w:p w:rsidR="00C16321" w:rsidRPr="00C16321" w:rsidRDefault="00C16321" w:rsidP="00C16321">
      <w:pPr>
        <w:widowControl w:val="0"/>
        <w:tabs>
          <w:tab w:val="left" w:pos="709"/>
          <w:tab w:val="left" w:pos="993"/>
        </w:tabs>
        <w:spacing w:before="120" w:after="120" w:line="240" w:lineRule="auto"/>
        <w:ind w:left="426"/>
        <w:jc w:val="both"/>
        <w:rPr>
          <w:rFonts w:ascii="Times New Roman" w:eastAsia="Times New Roman" w:hAnsi="Times New Roman" w:cs="Times New Roman"/>
        </w:rPr>
      </w:pPr>
      <w:r w:rsidRPr="00C16321">
        <w:rPr>
          <w:rFonts w:ascii="Times New Roman" w:eastAsia="Times New Roman" w:hAnsi="Times New Roman" w:cs="Times New Roman"/>
          <w:b/>
          <w:bCs/>
          <w:lang w:eastAsia="hu-HU"/>
        </w:rPr>
        <w:t>12.14.</w:t>
      </w:r>
      <w:r w:rsidRPr="00C16321">
        <w:rPr>
          <w:rFonts w:ascii="Times New Roman" w:eastAsia="Times New Roman" w:hAnsi="Times New Roman" w:cs="Times New Roman"/>
          <w:bCs/>
          <w:lang w:eastAsia="hu-HU"/>
        </w:rPr>
        <w:t xml:space="preserve"> A járművek vontatásra történő előkészítése, a járművek vontatása.</w:t>
      </w:r>
      <w:r w:rsidRPr="00C16321">
        <w:rPr>
          <w:rFonts w:ascii="Times New Roman" w:eastAsia="Times New Roman" w:hAnsi="Times New Roman" w:cs="Times New Roman"/>
        </w:rPr>
        <w:t xml:space="preserve"> (</w:t>
      </w:r>
      <w:r w:rsidRPr="00C16321">
        <w:rPr>
          <w:rFonts w:ascii="Times New Roman" w:eastAsia="Times New Roman" w:hAnsi="Times New Roman" w:cs="Times New Roman"/>
          <w:bCs/>
          <w:i/>
        </w:rPr>
        <w:t>Preparing the vehicles for hauling, towing.</w:t>
      </w:r>
      <w:r w:rsidRPr="00C16321">
        <w:rPr>
          <w:rFonts w:ascii="Times New Roman" w:eastAsia="Times New Roman" w:hAnsi="Times New Roman" w:cs="Times New Roman"/>
        </w:rPr>
        <w:t>)</w:t>
      </w:r>
    </w:p>
    <w:p w:rsidR="00C16321" w:rsidRPr="00C16321" w:rsidRDefault="00C16321" w:rsidP="00980876">
      <w:pPr>
        <w:widowControl w:val="0"/>
        <w:numPr>
          <w:ilvl w:val="0"/>
          <w:numId w:val="703"/>
        </w:numPr>
        <w:tabs>
          <w:tab w:val="num" w:pos="567"/>
        </w:tabs>
        <w:spacing w:before="120" w:after="120" w:line="240" w:lineRule="auto"/>
        <w:ind w:left="426" w:hanging="142"/>
        <w:jc w:val="both"/>
        <w:rPr>
          <w:rFonts w:ascii="Times New Roman" w:eastAsia="Times New Roman" w:hAnsi="Times New Roman" w:cs="Times New Roman"/>
          <w:bCs/>
        </w:rPr>
      </w:pPr>
      <w:r w:rsidRPr="00C16321">
        <w:rPr>
          <w:rFonts w:ascii="Times New Roman" w:eastAsia="Times New Roman" w:hAnsi="Times New Roman" w:cs="Times New Roman"/>
          <w:b/>
          <w:bCs/>
        </w:rPr>
        <w:t xml:space="preserve">A tantárgy meghirdetésének gyakorisága/a tantervben történő félévi elhelyezkedése: </w:t>
      </w:r>
      <w:r w:rsidRPr="00C16321">
        <w:rPr>
          <w:rFonts w:ascii="Times New Roman" w:eastAsia="Times New Roman" w:hAnsi="Times New Roman" w:cs="Times New Roman"/>
          <w:bCs/>
        </w:rPr>
        <w:t>5. félév</w:t>
      </w:r>
    </w:p>
    <w:p w:rsidR="00C16321" w:rsidRPr="00C16321" w:rsidRDefault="00C16321" w:rsidP="00980876">
      <w:pPr>
        <w:widowControl w:val="0"/>
        <w:numPr>
          <w:ilvl w:val="0"/>
          <w:numId w:val="703"/>
        </w:numPr>
        <w:tabs>
          <w:tab w:val="num" w:pos="567"/>
        </w:tabs>
        <w:spacing w:before="120" w:after="120" w:line="240" w:lineRule="auto"/>
        <w:ind w:left="426" w:hanging="142"/>
        <w:jc w:val="both"/>
        <w:rPr>
          <w:rFonts w:ascii="Times New Roman" w:eastAsia="Times New Roman" w:hAnsi="Times New Roman" w:cs="Times New Roman"/>
          <w:bCs/>
        </w:rPr>
      </w:pPr>
      <w:r w:rsidRPr="00C16321">
        <w:rPr>
          <w:rFonts w:ascii="Times New Roman" w:eastAsia="Times New Roman" w:hAnsi="Times New Roman" w:cs="Times New Roman"/>
          <w:b/>
          <w:bCs/>
        </w:rPr>
        <w:t>A tanórákon való részvétel követelményei, az elfogadható hiányzások mértéke, a távolmaradás pótlásának lehetősége:</w:t>
      </w:r>
      <w:r w:rsidRPr="00C16321">
        <w:rPr>
          <w:rFonts w:ascii="Times New Roman" w:eastAsia="Times New Roman" w:hAnsi="Times New Roman" w:cs="Times New Roman"/>
          <w:bCs/>
        </w:rPr>
        <w:t xml:space="preserve"> </w:t>
      </w:r>
    </w:p>
    <w:p w:rsidR="00C16321" w:rsidRPr="00C16321" w:rsidRDefault="00C16321" w:rsidP="00C16321">
      <w:pPr>
        <w:widowControl w:val="0"/>
        <w:spacing w:before="120" w:after="120" w:line="240" w:lineRule="auto"/>
        <w:ind w:left="426"/>
        <w:jc w:val="both"/>
        <w:rPr>
          <w:rFonts w:ascii="Times New Roman" w:eastAsia="Times New Roman" w:hAnsi="Times New Roman" w:cs="Times New Roman"/>
          <w:bCs/>
        </w:rPr>
      </w:pPr>
      <w:r w:rsidRPr="00C16321">
        <w:rPr>
          <w:rFonts w:ascii="Times New Roman" w:eastAsia="Times New Roman" w:hAnsi="Times New Roman" w:cs="Times New Roman"/>
          <w:bCs/>
        </w:rPr>
        <w:t>A hallgatónak a tanórák legalább 70 %-án jelen kell lennie, 30 %-ot meghaladó hiányzás esetén a félév teljesítése nem írható alá. A hallgató köteles az előadás és a gyakorlat anyagát beszerezni, abból önállóan felkészülni. A hiányzás pótolható az oktató által kijelölt témakörben beadott, legalább elégségesre értékelt házidolgozattal.</w:t>
      </w:r>
    </w:p>
    <w:p w:rsidR="00C16321" w:rsidRPr="00C16321" w:rsidRDefault="00C16321" w:rsidP="00980876">
      <w:pPr>
        <w:widowControl w:val="0"/>
        <w:numPr>
          <w:ilvl w:val="0"/>
          <w:numId w:val="703"/>
        </w:numPr>
        <w:tabs>
          <w:tab w:val="num" w:pos="567"/>
        </w:tabs>
        <w:spacing w:before="120" w:after="120" w:line="240" w:lineRule="auto"/>
        <w:ind w:left="426" w:hanging="142"/>
        <w:jc w:val="both"/>
        <w:rPr>
          <w:rFonts w:ascii="Times New Roman" w:eastAsia="Times New Roman" w:hAnsi="Times New Roman" w:cs="Times New Roman"/>
          <w:bCs/>
        </w:rPr>
      </w:pPr>
      <w:r w:rsidRPr="00C16321">
        <w:rPr>
          <w:rFonts w:ascii="Times New Roman" w:eastAsia="Times New Roman" w:hAnsi="Times New Roman" w:cs="Times New Roman"/>
          <w:b/>
          <w:bCs/>
        </w:rPr>
        <w:t>Félévközi</w:t>
      </w:r>
      <w:r w:rsidRPr="00C16321">
        <w:rPr>
          <w:rFonts w:ascii="Times New Roman" w:eastAsia="Times New Roman" w:hAnsi="Times New Roman" w:cs="Times New Roman"/>
          <w:b/>
        </w:rPr>
        <w:t xml:space="preserve"> feladatok, ismeretek ellenőrzésének rendje:</w:t>
      </w:r>
      <w:r w:rsidRPr="00C16321">
        <w:rPr>
          <w:rFonts w:ascii="Times New Roman" w:eastAsia="Times New Roman" w:hAnsi="Times New Roman" w:cs="Times New Roman"/>
          <w:bCs/>
        </w:rPr>
        <w:t xml:space="preserve"> A félév során a hallgató kettő zárthelyi </w:t>
      </w:r>
      <w:r w:rsidRPr="00C16321">
        <w:rPr>
          <w:rFonts w:ascii="Times New Roman" w:eastAsia="Times New Roman" w:hAnsi="Times New Roman" w:cs="Times New Roman"/>
          <w:bCs/>
        </w:rPr>
        <w:lastRenderedPageBreak/>
        <w:t>dolgozatot ír. Az első zárthelyi dolgozat a 12.1-12.7. a második zárthelyi dolgozat a 12.8-12.13 tantárgyrészekből áll. A zárthelyi dolgozat témáit a kötelező irodalmak anyagából, illetve az előadásokon elhangzott ismeretanyagból kell összeállítani. A zárthelyi dolgozat értékelése ötfokozatú értékelés (a helyes válaszok aránya 0-60% elégtelen; 61-70% elégséges; 71-80% közepes; 81-90% jó; 91-100% jeles osztályzat). Eredménytelen zárthelyi dolgozat kétszer javítható a szorgalmi időszak végéig az oktatóval egyeztetett időpontokban</w:t>
      </w:r>
      <w:r w:rsidRPr="00C16321">
        <w:rPr>
          <w:rFonts w:ascii="Times New Roman" w:eastAsia="Times New Roman" w:hAnsi="Times New Roman" w:cs="Times New Roman"/>
          <w:b/>
          <w:bCs/>
        </w:rPr>
        <w:t>.</w:t>
      </w:r>
      <w:r w:rsidRPr="00C16321">
        <w:rPr>
          <w:rFonts w:ascii="Times New Roman" w:eastAsia="Times New Roman" w:hAnsi="Times New Roman" w:cs="Times New Roman"/>
          <w:bCs/>
        </w:rPr>
        <w:t xml:space="preserve"> A dolgozatban teszt és esszé jellegű kérdések egyaránt szerepelnek</w:t>
      </w:r>
      <w:r w:rsidRPr="00C16321">
        <w:rPr>
          <w:rFonts w:ascii="Times New Roman" w:eastAsia="Times New Roman" w:hAnsi="Times New Roman" w:cs="Times New Roman"/>
          <w:bCs/>
          <w:lang w:eastAsia="hu-HU"/>
        </w:rPr>
        <w:t>.</w:t>
      </w:r>
    </w:p>
    <w:p w:rsidR="00335F04" w:rsidRDefault="00335F04">
      <w:pPr>
        <w:spacing w:after="200" w:line="276" w:lineRule="auto"/>
        <w:rPr>
          <w:rFonts w:ascii="Times New Roman" w:eastAsia="Times New Roman" w:hAnsi="Times New Roman" w:cs="Times New Roman"/>
          <w:b/>
          <w:bCs/>
        </w:rPr>
      </w:pPr>
      <w:r>
        <w:rPr>
          <w:rFonts w:ascii="Times New Roman" w:eastAsia="Times New Roman" w:hAnsi="Times New Roman" w:cs="Times New Roman"/>
          <w:b/>
          <w:bCs/>
        </w:rPr>
        <w:br w:type="page"/>
      </w:r>
    </w:p>
    <w:p w:rsidR="00C16321" w:rsidRPr="00C16321" w:rsidRDefault="00C16321" w:rsidP="00980876">
      <w:pPr>
        <w:widowControl w:val="0"/>
        <w:numPr>
          <w:ilvl w:val="0"/>
          <w:numId w:val="703"/>
        </w:numPr>
        <w:tabs>
          <w:tab w:val="num" w:pos="567"/>
        </w:tabs>
        <w:spacing w:before="120" w:after="120" w:line="240" w:lineRule="auto"/>
        <w:ind w:left="426" w:hanging="142"/>
        <w:jc w:val="both"/>
        <w:rPr>
          <w:rFonts w:ascii="Times New Roman" w:eastAsia="Times New Roman" w:hAnsi="Times New Roman" w:cs="Times New Roman"/>
          <w:bCs/>
        </w:rPr>
      </w:pPr>
      <w:r w:rsidRPr="00C16321">
        <w:rPr>
          <w:rFonts w:ascii="Times New Roman" w:eastAsia="Times New Roman" w:hAnsi="Times New Roman" w:cs="Times New Roman"/>
          <w:b/>
          <w:bCs/>
        </w:rPr>
        <w:lastRenderedPageBreak/>
        <w:t xml:space="preserve">Az értékelés, az aláírás és a kreditek megszerzésének pontos feltételei: </w:t>
      </w:r>
    </w:p>
    <w:p w:rsidR="00C16321" w:rsidRPr="00C16321" w:rsidRDefault="00C16321" w:rsidP="00980876">
      <w:pPr>
        <w:widowControl w:val="0"/>
        <w:numPr>
          <w:ilvl w:val="1"/>
          <w:numId w:val="703"/>
        </w:numPr>
        <w:tabs>
          <w:tab w:val="clear" w:pos="3977"/>
        </w:tabs>
        <w:spacing w:before="120" w:after="120" w:line="240" w:lineRule="auto"/>
        <w:ind w:left="851" w:hanging="574"/>
        <w:rPr>
          <w:rFonts w:ascii="Times New Roman" w:eastAsia="Times New Roman" w:hAnsi="Times New Roman" w:cs="Times New Roman"/>
        </w:rPr>
      </w:pPr>
      <w:r w:rsidRPr="00C16321">
        <w:rPr>
          <w:rFonts w:ascii="Times New Roman" w:eastAsia="Times New Roman" w:hAnsi="Times New Roman" w:cs="Times New Roman"/>
          <w:b/>
        </w:rPr>
        <w:t xml:space="preserve">Az </w:t>
      </w:r>
      <w:r w:rsidRPr="00C16321">
        <w:rPr>
          <w:rFonts w:ascii="Times New Roman" w:eastAsia="Times New Roman" w:hAnsi="Times New Roman" w:cs="Times New Roman"/>
          <w:b/>
          <w:bCs/>
        </w:rPr>
        <w:t>aláírás</w:t>
      </w:r>
      <w:r w:rsidRPr="00C16321">
        <w:rPr>
          <w:rFonts w:ascii="Times New Roman" w:eastAsia="Times New Roman" w:hAnsi="Times New Roman" w:cs="Times New Roman"/>
          <w:b/>
        </w:rPr>
        <w:t xml:space="preserve"> megszerzésének feltételei:</w:t>
      </w:r>
      <w:r w:rsidRPr="00C16321">
        <w:rPr>
          <w:rFonts w:ascii="Times New Roman" w:eastAsia="Times New Roman" w:hAnsi="Times New Roman" w:cs="Times New Roman"/>
        </w:rPr>
        <w:t xml:space="preserve"> Az aláírás megszerzésének feltétele a 14. pontban meghatározott arányú részvétel a foglalkozásokon és a 15. pontban meghatározott félévközi feladatok legalább elégséges teljesítése</w:t>
      </w:r>
      <w:r w:rsidRPr="00C16321">
        <w:rPr>
          <w:rFonts w:ascii="Times New Roman" w:eastAsia="Calibri" w:hAnsi="Times New Roman" w:cs="Times New Roman"/>
          <w:bCs/>
        </w:rPr>
        <w:t>.</w:t>
      </w:r>
    </w:p>
    <w:p w:rsidR="00C16321" w:rsidRPr="00C16321" w:rsidRDefault="00C16321" w:rsidP="00980876">
      <w:pPr>
        <w:widowControl w:val="0"/>
        <w:numPr>
          <w:ilvl w:val="1"/>
          <w:numId w:val="703"/>
        </w:numPr>
        <w:tabs>
          <w:tab w:val="clear" w:pos="3977"/>
        </w:tabs>
        <w:spacing w:before="120" w:after="120" w:line="240" w:lineRule="auto"/>
        <w:ind w:left="851" w:hanging="574"/>
        <w:rPr>
          <w:rFonts w:ascii="Times New Roman" w:eastAsia="Times New Roman" w:hAnsi="Times New Roman" w:cs="Times New Roman"/>
        </w:rPr>
      </w:pPr>
      <w:r w:rsidRPr="00C16321">
        <w:rPr>
          <w:rFonts w:ascii="Times New Roman" w:eastAsia="Times New Roman" w:hAnsi="Times New Roman" w:cs="Times New Roman"/>
          <w:b/>
        </w:rPr>
        <w:t xml:space="preserve"> Az értékelés:</w:t>
      </w:r>
      <w:r w:rsidRPr="00C16321">
        <w:rPr>
          <w:rFonts w:ascii="Times New Roman" w:eastAsia="Times New Roman" w:hAnsi="Times New Roman" w:cs="Times New Roman"/>
        </w:rPr>
        <w:t xml:space="preserve"> évközi</w:t>
      </w:r>
      <w:r w:rsidRPr="00C16321">
        <w:rPr>
          <w:rFonts w:ascii="Times New Roman" w:eastAsia="Calibri" w:hAnsi="Times New Roman" w:cs="Times New Roman"/>
        </w:rPr>
        <w:t xml:space="preserve"> értékelés, ötfokozatú értékelés.</w:t>
      </w:r>
      <w:r w:rsidRPr="00C16321">
        <w:rPr>
          <w:rFonts w:ascii="Times New Roman" w:eastAsia="Calibri" w:hAnsi="Times New Roman" w:cs="Times New Roman"/>
          <w:bCs/>
        </w:rPr>
        <w:t xml:space="preserve"> Az évközi értékelést az elért eredmények kerekített matematikai átlaga képezi.</w:t>
      </w:r>
    </w:p>
    <w:p w:rsidR="00C16321" w:rsidRPr="00C16321" w:rsidRDefault="00C16321" w:rsidP="00980876">
      <w:pPr>
        <w:widowControl w:val="0"/>
        <w:numPr>
          <w:ilvl w:val="1"/>
          <w:numId w:val="703"/>
        </w:numPr>
        <w:tabs>
          <w:tab w:val="clear" w:pos="3977"/>
        </w:tabs>
        <w:spacing w:before="120" w:after="120" w:line="240" w:lineRule="auto"/>
        <w:ind w:left="851" w:hanging="574"/>
        <w:rPr>
          <w:rFonts w:ascii="Times New Roman" w:eastAsia="Times New Roman" w:hAnsi="Times New Roman" w:cs="Times New Roman"/>
        </w:rPr>
      </w:pPr>
      <w:r w:rsidRPr="00C16321">
        <w:rPr>
          <w:rFonts w:ascii="Times New Roman" w:eastAsia="Times New Roman" w:hAnsi="Times New Roman" w:cs="Times New Roman"/>
          <w:b/>
        </w:rPr>
        <w:t xml:space="preserve"> A kreditek megszerzésének feltételei:</w:t>
      </w:r>
      <w:r w:rsidRPr="00C16321">
        <w:rPr>
          <w:rFonts w:ascii="Times New Roman" w:eastAsia="Times New Roman" w:hAnsi="Times New Roman" w:cs="Times New Roman"/>
        </w:rPr>
        <w:t xml:space="preserve"> az aláírás megszerzése és legalább elégséges</w:t>
      </w:r>
      <w:r w:rsidRPr="00C16321">
        <w:rPr>
          <w:rFonts w:ascii="Times New Roman" w:eastAsia="Times New Roman" w:hAnsi="Times New Roman" w:cs="Times New Roman"/>
          <w:b/>
        </w:rPr>
        <w:t xml:space="preserve"> </w:t>
      </w:r>
      <w:r w:rsidRPr="00C16321">
        <w:rPr>
          <w:rFonts w:ascii="Times New Roman" w:eastAsia="Times New Roman" w:hAnsi="Times New Roman" w:cs="Times New Roman"/>
        </w:rPr>
        <w:t>évközi értékelés</w:t>
      </w:r>
      <w:r w:rsidRPr="00C16321">
        <w:rPr>
          <w:rFonts w:ascii="Times New Roman" w:eastAsia="Times New Roman" w:hAnsi="Times New Roman" w:cs="Times New Roman"/>
          <w:bCs/>
        </w:rPr>
        <w:t>.</w:t>
      </w:r>
    </w:p>
    <w:p w:rsidR="00C16321" w:rsidRPr="00C16321" w:rsidRDefault="00C16321" w:rsidP="00980876">
      <w:pPr>
        <w:widowControl w:val="0"/>
        <w:numPr>
          <w:ilvl w:val="0"/>
          <w:numId w:val="703"/>
        </w:numPr>
        <w:tabs>
          <w:tab w:val="num" w:pos="567"/>
        </w:tabs>
        <w:spacing w:before="120" w:after="120" w:line="240" w:lineRule="auto"/>
        <w:ind w:left="426" w:hanging="142"/>
        <w:jc w:val="both"/>
        <w:rPr>
          <w:rFonts w:ascii="Times New Roman" w:eastAsia="Times New Roman" w:hAnsi="Times New Roman" w:cs="Times New Roman"/>
          <w:bCs/>
        </w:rPr>
      </w:pPr>
      <w:r w:rsidRPr="00C16321">
        <w:rPr>
          <w:rFonts w:ascii="Times New Roman" w:eastAsia="Times New Roman" w:hAnsi="Times New Roman" w:cs="Times New Roman"/>
          <w:b/>
          <w:bCs/>
        </w:rPr>
        <w:t>Irodalomjegyzék:</w:t>
      </w:r>
    </w:p>
    <w:p w:rsidR="00C16321" w:rsidRPr="00C16321" w:rsidRDefault="00C16321" w:rsidP="00980876">
      <w:pPr>
        <w:widowControl w:val="0"/>
        <w:numPr>
          <w:ilvl w:val="1"/>
          <w:numId w:val="704"/>
        </w:numPr>
        <w:tabs>
          <w:tab w:val="left" w:pos="567"/>
          <w:tab w:val="left" w:pos="851"/>
        </w:tabs>
        <w:spacing w:before="120" w:after="120" w:line="240" w:lineRule="auto"/>
        <w:ind w:left="851"/>
        <w:jc w:val="both"/>
        <w:rPr>
          <w:rFonts w:ascii="Times New Roman" w:eastAsia="Times New Roman" w:hAnsi="Times New Roman" w:cs="Times New Roman"/>
          <w:bCs/>
        </w:rPr>
      </w:pPr>
      <w:r w:rsidRPr="00C16321">
        <w:rPr>
          <w:rFonts w:ascii="Times New Roman" w:eastAsia="Times New Roman" w:hAnsi="Times New Roman" w:cs="Times New Roman"/>
          <w:b/>
          <w:bCs/>
        </w:rPr>
        <w:t>Kötelező irodalom:</w:t>
      </w:r>
    </w:p>
    <w:p w:rsidR="00C16321" w:rsidRPr="00C16321" w:rsidRDefault="00C16321" w:rsidP="00980876">
      <w:pPr>
        <w:numPr>
          <w:ilvl w:val="0"/>
          <w:numId w:val="705"/>
        </w:numPr>
        <w:spacing w:after="0"/>
        <w:contextualSpacing/>
        <w:jc w:val="both"/>
        <w:rPr>
          <w:rFonts w:ascii="Times New Roman" w:eastAsia="Times New Roman" w:hAnsi="Times New Roman" w:cs="Times New Roman"/>
        </w:rPr>
      </w:pPr>
      <w:r w:rsidRPr="00C16321">
        <w:rPr>
          <w:rFonts w:ascii="Times New Roman" w:eastAsia="Times New Roman" w:hAnsi="Times New Roman" w:cs="Times New Roman"/>
        </w:rPr>
        <w:t>A BTR-80 páncélozott szállító harcjármű műszaki leírása és igénybevételi szakutasítása: Gjmű/166-1, Gjmű/166/2. A MH kiadványa, Budapest, 1994.</w:t>
      </w:r>
    </w:p>
    <w:p w:rsidR="00C16321" w:rsidRPr="00C16321" w:rsidRDefault="00C16321" w:rsidP="00980876">
      <w:pPr>
        <w:numPr>
          <w:ilvl w:val="0"/>
          <w:numId w:val="705"/>
        </w:numPr>
        <w:spacing w:after="0"/>
        <w:contextualSpacing/>
        <w:jc w:val="both"/>
        <w:rPr>
          <w:rFonts w:ascii="Times New Roman" w:eastAsia="Times New Roman" w:hAnsi="Times New Roman" w:cs="Times New Roman"/>
        </w:rPr>
      </w:pPr>
      <w:r w:rsidRPr="00C16321">
        <w:rPr>
          <w:rFonts w:ascii="Times New Roman" w:eastAsia="Times New Roman" w:hAnsi="Times New Roman" w:cs="Times New Roman"/>
        </w:rPr>
        <w:t>A rendszeresített harckocsik kezelési karbantartási utasítása. A MH kiadványa.</w:t>
      </w:r>
    </w:p>
    <w:p w:rsidR="00C16321" w:rsidRPr="00C16321" w:rsidRDefault="00C16321" w:rsidP="00980876">
      <w:pPr>
        <w:numPr>
          <w:ilvl w:val="0"/>
          <w:numId w:val="705"/>
        </w:numPr>
        <w:spacing w:after="0"/>
        <w:contextualSpacing/>
        <w:jc w:val="both"/>
        <w:rPr>
          <w:rFonts w:ascii="Times New Roman" w:eastAsia="Times New Roman" w:hAnsi="Times New Roman" w:cs="Times New Roman"/>
        </w:rPr>
      </w:pPr>
      <w:r w:rsidRPr="00C16321">
        <w:rPr>
          <w:rFonts w:ascii="Times New Roman" w:eastAsia="Times New Roman" w:hAnsi="Times New Roman" w:cs="Times New Roman"/>
        </w:rPr>
        <w:t>A rendszeresített harcjárművek kezelési karbantartási utasítása. A MH kiadványa.</w:t>
      </w:r>
    </w:p>
    <w:p w:rsidR="00C16321" w:rsidRPr="00C16321" w:rsidRDefault="00C16321" w:rsidP="00980876">
      <w:pPr>
        <w:widowControl w:val="0"/>
        <w:numPr>
          <w:ilvl w:val="1"/>
          <w:numId w:val="704"/>
        </w:numPr>
        <w:tabs>
          <w:tab w:val="left" w:pos="567"/>
          <w:tab w:val="left" w:pos="851"/>
        </w:tabs>
        <w:spacing w:before="120" w:after="120" w:line="240" w:lineRule="auto"/>
        <w:ind w:left="851"/>
        <w:jc w:val="both"/>
        <w:rPr>
          <w:rFonts w:ascii="Times New Roman" w:eastAsia="Times New Roman" w:hAnsi="Times New Roman" w:cs="Times New Roman"/>
          <w:b/>
          <w:bCs/>
        </w:rPr>
      </w:pPr>
      <w:r w:rsidRPr="00C16321">
        <w:rPr>
          <w:rFonts w:ascii="Times New Roman" w:eastAsia="Times New Roman" w:hAnsi="Times New Roman" w:cs="Times New Roman"/>
          <w:b/>
          <w:bCs/>
        </w:rPr>
        <w:t>Ajánlott irodalom:</w:t>
      </w:r>
    </w:p>
    <w:p w:rsidR="00C16321" w:rsidRPr="00C16321" w:rsidRDefault="00C16321" w:rsidP="00980876">
      <w:pPr>
        <w:widowControl w:val="0"/>
        <w:numPr>
          <w:ilvl w:val="0"/>
          <w:numId w:val="706"/>
        </w:numPr>
        <w:spacing w:after="0" w:line="240" w:lineRule="auto"/>
        <w:contextualSpacing/>
        <w:jc w:val="both"/>
        <w:rPr>
          <w:rFonts w:ascii="Times New Roman" w:eastAsia="Times New Roman" w:hAnsi="Times New Roman" w:cs="Times New Roman"/>
          <w:bCs/>
        </w:rPr>
      </w:pPr>
      <w:r w:rsidRPr="00C16321">
        <w:rPr>
          <w:rFonts w:ascii="Times New Roman" w:eastAsia="Times New Roman" w:hAnsi="Times New Roman" w:cs="Times New Roman"/>
        </w:rPr>
        <w:t>A BTR-80 páncélozott harcjármű csapatjavítási szakutasítása: pc/13. A MH kiadványa, Budapest, 1999.</w:t>
      </w:r>
    </w:p>
    <w:p w:rsidR="00C16321" w:rsidRPr="00C16321" w:rsidRDefault="00C16321" w:rsidP="00C16321">
      <w:pPr>
        <w:widowControl w:val="0"/>
        <w:spacing w:after="0" w:line="240" w:lineRule="auto"/>
        <w:ind w:left="720"/>
        <w:contextualSpacing/>
        <w:jc w:val="both"/>
        <w:rPr>
          <w:rFonts w:ascii="Times New Roman" w:eastAsia="Times New Roman" w:hAnsi="Times New Roman" w:cs="Times New Roman"/>
          <w:bCs/>
        </w:rPr>
      </w:pPr>
    </w:p>
    <w:p w:rsidR="00C16321" w:rsidRPr="00C16321" w:rsidRDefault="00C16321" w:rsidP="00C16321">
      <w:pPr>
        <w:widowControl w:val="0"/>
        <w:spacing w:before="120" w:after="120" w:line="240" w:lineRule="auto"/>
        <w:ind w:firstLine="708"/>
        <w:jc w:val="both"/>
        <w:rPr>
          <w:rFonts w:ascii="Times New Roman" w:eastAsia="Times New Roman" w:hAnsi="Times New Roman" w:cs="Times New Roman"/>
          <w:bCs/>
        </w:rPr>
      </w:pPr>
      <w:r w:rsidRPr="00C16321">
        <w:rPr>
          <w:rFonts w:ascii="Times New Roman" w:eastAsia="Times New Roman" w:hAnsi="Times New Roman" w:cs="Times New Roman"/>
          <w:bCs/>
        </w:rPr>
        <w:t>Budapest, 2020.03.14.</w:t>
      </w:r>
    </w:p>
    <w:p w:rsidR="00C16321" w:rsidRPr="00C16321" w:rsidRDefault="00C16321" w:rsidP="00C16321">
      <w:pPr>
        <w:widowControl w:val="0"/>
        <w:spacing w:before="120" w:after="120" w:line="240" w:lineRule="auto"/>
        <w:jc w:val="both"/>
        <w:rPr>
          <w:rFonts w:ascii="Times New Roman" w:eastAsia="Times New Roman" w:hAnsi="Times New Roman" w:cs="Times New Roman"/>
          <w:bCs/>
        </w:rPr>
      </w:pPr>
    </w:p>
    <w:p w:rsidR="00C16321" w:rsidRPr="00C16321" w:rsidRDefault="00C16321" w:rsidP="00C16321">
      <w:pPr>
        <w:widowControl w:val="0"/>
        <w:spacing w:after="0" w:line="240" w:lineRule="auto"/>
        <w:ind w:left="5954"/>
        <w:jc w:val="center"/>
        <w:rPr>
          <w:rFonts w:ascii="Times New Roman" w:eastAsia="Times New Roman" w:hAnsi="Times New Roman" w:cs="Times New Roman"/>
          <w:b/>
          <w:bCs/>
        </w:rPr>
      </w:pPr>
      <w:r w:rsidRPr="00C16321">
        <w:rPr>
          <w:rFonts w:ascii="Times New Roman" w:eastAsia="Times New Roman" w:hAnsi="Times New Roman" w:cs="Times New Roman"/>
          <w:b/>
          <w:bCs/>
        </w:rPr>
        <w:t>Dr. Vég Róbert László PhD</w:t>
      </w:r>
    </w:p>
    <w:p w:rsidR="00C16321" w:rsidRPr="00C16321" w:rsidRDefault="00C16321" w:rsidP="00C16321">
      <w:pPr>
        <w:widowControl w:val="0"/>
        <w:spacing w:after="0" w:line="240" w:lineRule="auto"/>
        <w:ind w:left="5954"/>
        <w:jc w:val="center"/>
        <w:rPr>
          <w:rFonts w:ascii="Times New Roman" w:eastAsia="Times New Roman" w:hAnsi="Times New Roman" w:cs="Times New Roman"/>
          <w:bCs/>
        </w:rPr>
      </w:pPr>
      <w:r w:rsidRPr="00C16321">
        <w:rPr>
          <w:rFonts w:ascii="Times New Roman" w:eastAsia="Times New Roman" w:hAnsi="Times New Roman" w:cs="Times New Roman"/>
          <w:bCs/>
        </w:rPr>
        <w:t>egyetemi docens</w:t>
      </w:r>
    </w:p>
    <w:p w:rsidR="00C16321" w:rsidRDefault="00C16321">
      <w:pPr>
        <w:spacing w:after="200" w:line="276" w:lineRule="auto"/>
        <w:rPr>
          <w:rFonts w:ascii="Times New Roman" w:hAnsi="Times New Roman" w:cs="Times New Roman"/>
          <w:b/>
          <w:sz w:val="24"/>
        </w:rPr>
      </w:pPr>
      <w:r>
        <w:rPr>
          <w:rFonts w:ascii="Times New Roman" w:hAnsi="Times New Roman" w:cs="Times New Roman"/>
          <w:b/>
          <w:sz w:val="24"/>
        </w:rPr>
        <w:br w:type="page"/>
      </w:r>
    </w:p>
    <w:p w:rsidR="002A7491" w:rsidRDefault="002A7491" w:rsidP="004354D2">
      <w:pPr>
        <w:pStyle w:val="Cmsor1"/>
        <w:spacing w:before="2040"/>
        <w:jc w:val="center"/>
        <w:rPr>
          <w:rFonts w:eastAsia="Calibri"/>
          <w:i w:val="0"/>
          <w:szCs w:val="22"/>
          <w:u w:val="none"/>
        </w:rPr>
      </w:pPr>
      <w:bookmarkStart w:id="67" w:name="_Toc37240851"/>
      <w:r w:rsidRPr="004354D2">
        <w:rPr>
          <w:rFonts w:eastAsia="Calibri"/>
          <w:i w:val="0"/>
          <w:szCs w:val="22"/>
          <w:u w:val="none"/>
        </w:rPr>
        <w:lastRenderedPageBreak/>
        <w:t>cb) Fegyverzettechnikai modul</w:t>
      </w:r>
      <w:bookmarkEnd w:id="67"/>
    </w:p>
    <w:p w:rsidR="004354D2" w:rsidRPr="004354D2" w:rsidRDefault="004354D2" w:rsidP="004354D2">
      <w:pPr>
        <w:rPr>
          <w:lang w:eastAsia="hu-HU"/>
        </w:rPr>
      </w:pPr>
    </w:p>
    <w:tbl>
      <w:tblPr>
        <w:tblW w:w="9072" w:type="dxa"/>
        <w:tblInd w:w="113" w:type="dxa"/>
        <w:tblLook w:val="01E0" w:firstRow="1" w:lastRow="1" w:firstColumn="1" w:lastColumn="1" w:noHBand="0" w:noVBand="0"/>
      </w:tblPr>
      <w:tblGrid>
        <w:gridCol w:w="4855"/>
        <w:gridCol w:w="1620"/>
        <w:gridCol w:w="2597"/>
      </w:tblGrid>
      <w:tr w:rsidR="006279A1" w:rsidRPr="006279A1" w:rsidTr="006279A1">
        <w:tc>
          <w:tcPr>
            <w:tcW w:w="4855" w:type="dxa"/>
            <w:tcBorders>
              <w:top w:val="nil"/>
              <w:left w:val="nil"/>
              <w:bottom w:val="single" w:sz="4" w:space="0" w:color="auto"/>
              <w:right w:val="nil"/>
            </w:tcBorders>
            <w:hideMark/>
          </w:tcPr>
          <w:p w:rsidR="006279A1" w:rsidRPr="006279A1" w:rsidRDefault="006279A1" w:rsidP="006279A1">
            <w:pPr>
              <w:spacing w:after="0" w:line="240" w:lineRule="auto"/>
              <w:jc w:val="center"/>
              <w:rPr>
                <w:rFonts w:ascii="Times New Roman" w:eastAsia="Times New Roman" w:hAnsi="Times New Roman" w:cs="Times New Roman"/>
                <w:b/>
                <w:smallCaps/>
                <w:lang w:eastAsia="hu-HU"/>
              </w:rPr>
            </w:pPr>
            <w:r w:rsidRPr="006279A1">
              <w:rPr>
                <w:rFonts w:ascii="Times New Roman" w:eastAsia="Times New Roman" w:hAnsi="Times New Roman" w:cs="Times New Roman"/>
                <w:b/>
                <w:smallCaps/>
                <w:lang w:eastAsia="hu-HU"/>
              </w:rPr>
              <w:t>Nemzeti Közszolgálati Egyetem</w:t>
            </w:r>
          </w:p>
        </w:tc>
        <w:tc>
          <w:tcPr>
            <w:tcW w:w="1620" w:type="dxa"/>
          </w:tcPr>
          <w:p w:rsidR="006279A1" w:rsidRPr="006279A1" w:rsidRDefault="006279A1" w:rsidP="006279A1">
            <w:pPr>
              <w:spacing w:after="0" w:line="240" w:lineRule="auto"/>
              <w:jc w:val="both"/>
              <w:rPr>
                <w:rFonts w:ascii="Times New Roman" w:eastAsia="Times New Roman" w:hAnsi="Times New Roman" w:cs="Times New Roman"/>
                <w:lang w:eastAsia="hu-HU"/>
              </w:rPr>
            </w:pPr>
          </w:p>
        </w:tc>
        <w:tc>
          <w:tcPr>
            <w:tcW w:w="2597" w:type="dxa"/>
          </w:tcPr>
          <w:p w:rsidR="006279A1" w:rsidRPr="006279A1" w:rsidRDefault="006279A1" w:rsidP="006279A1">
            <w:pPr>
              <w:spacing w:after="0" w:line="240" w:lineRule="auto"/>
              <w:jc w:val="right"/>
              <w:rPr>
                <w:rFonts w:ascii="Times New Roman" w:eastAsia="Times New Roman" w:hAnsi="Times New Roman" w:cs="Times New Roman"/>
                <w:lang w:eastAsia="hu-HU"/>
              </w:rPr>
            </w:pPr>
          </w:p>
        </w:tc>
      </w:tr>
      <w:tr w:rsidR="006279A1" w:rsidRPr="006279A1" w:rsidTr="006279A1">
        <w:tc>
          <w:tcPr>
            <w:tcW w:w="4855" w:type="dxa"/>
            <w:tcBorders>
              <w:top w:val="single" w:sz="4" w:space="0" w:color="auto"/>
              <w:left w:val="nil"/>
              <w:bottom w:val="nil"/>
              <w:right w:val="nil"/>
            </w:tcBorders>
            <w:hideMark/>
          </w:tcPr>
          <w:p w:rsidR="006279A1" w:rsidRPr="006279A1" w:rsidRDefault="006279A1" w:rsidP="006279A1">
            <w:pPr>
              <w:spacing w:after="0" w:line="240" w:lineRule="auto"/>
              <w:jc w:val="center"/>
              <w:rPr>
                <w:rFonts w:ascii="Times New Roman" w:eastAsia="Times New Roman" w:hAnsi="Times New Roman" w:cs="Times New Roman"/>
                <w:b/>
                <w:lang w:eastAsia="hu-HU"/>
              </w:rPr>
            </w:pPr>
            <w:r w:rsidRPr="006279A1">
              <w:rPr>
                <w:rFonts w:ascii="Times New Roman" w:eastAsia="Times New Roman" w:hAnsi="Times New Roman" w:cs="Times New Roman"/>
                <w:b/>
                <w:lang w:eastAsia="hu-HU"/>
              </w:rPr>
              <w:t>Hadtudományi és Honvédtisztképző Kar</w:t>
            </w:r>
          </w:p>
        </w:tc>
        <w:tc>
          <w:tcPr>
            <w:tcW w:w="1620" w:type="dxa"/>
          </w:tcPr>
          <w:p w:rsidR="006279A1" w:rsidRPr="006279A1" w:rsidRDefault="006279A1" w:rsidP="006279A1">
            <w:pPr>
              <w:spacing w:after="0" w:line="240" w:lineRule="auto"/>
              <w:jc w:val="both"/>
              <w:rPr>
                <w:rFonts w:ascii="Times New Roman" w:eastAsia="Times New Roman" w:hAnsi="Times New Roman" w:cs="Times New Roman"/>
                <w:lang w:eastAsia="hu-HU"/>
              </w:rPr>
            </w:pPr>
          </w:p>
        </w:tc>
        <w:tc>
          <w:tcPr>
            <w:tcW w:w="2597" w:type="dxa"/>
          </w:tcPr>
          <w:p w:rsidR="006279A1" w:rsidRPr="006279A1" w:rsidRDefault="006279A1" w:rsidP="006279A1">
            <w:pPr>
              <w:spacing w:after="0" w:line="240" w:lineRule="auto"/>
              <w:jc w:val="both"/>
              <w:rPr>
                <w:rFonts w:ascii="Times New Roman" w:eastAsia="Times New Roman" w:hAnsi="Times New Roman" w:cs="Times New Roman"/>
                <w:lang w:eastAsia="hu-HU"/>
              </w:rPr>
            </w:pPr>
          </w:p>
        </w:tc>
      </w:tr>
    </w:tbl>
    <w:p w:rsidR="006279A1" w:rsidRPr="006279A1" w:rsidRDefault="006279A1" w:rsidP="006279A1">
      <w:pPr>
        <w:spacing w:before="120" w:after="120" w:line="240" w:lineRule="auto"/>
        <w:jc w:val="center"/>
        <w:rPr>
          <w:rFonts w:ascii="Times New Roman" w:eastAsia="Times New Roman" w:hAnsi="Times New Roman" w:cs="Times New Roman"/>
          <w:b/>
          <w:bCs/>
          <w:lang w:eastAsia="hu-HU"/>
        </w:rPr>
      </w:pPr>
    </w:p>
    <w:p w:rsidR="006279A1" w:rsidRPr="006279A1" w:rsidRDefault="006279A1" w:rsidP="006279A1">
      <w:pPr>
        <w:spacing w:before="120" w:after="120" w:line="240" w:lineRule="auto"/>
        <w:jc w:val="center"/>
        <w:rPr>
          <w:rFonts w:ascii="Times New Roman" w:eastAsia="Times New Roman" w:hAnsi="Times New Roman" w:cs="Times New Roman"/>
          <w:b/>
          <w:bCs/>
          <w:lang w:eastAsia="hu-HU"/>
        </w:rPr>
      </w:pPr>
      <w:r w:rsidRPr="006279A1">
        <w:rPr>
          <w:rFonts w:ascii="Times New Roman" w:eastAsia="Times New Roman" w:hAnsi="Times New Roman" w:cs="Times New Roman"/>
          <w:b/>
          <w:bCs/>
          <w:lang w:eastAsia="hu-HU"/>
        </w:rPr>
        <w:t>TANTÁRGYI PROGRAM</w:t>
      </w:r>
    </w:p>
    <w:p w:rsidR="006279A1" w:rsidRPr="006279A1" w:rsidRDefault="006279A1" w:rsidP="00980876">
      <w:pPr>
        <w:numPr>
          <w:ilvl w:val="0"/>
          <w:numId w:val="709"/>
        </w:numPr>
        <w:tabs>
          <w:tab w:val="clear" w:pos="720"/>
          <w:tab w:val="num" w:pos="644"/>
          <w:tab w:val="right" w:pos="900"/>
          <w:tab w:val="center" w:pos="4536"/>
          <w:tab w:val="right" w:pos="9071"/>
        </w:tabs>
        <w:spacing w:before="120" w:after="120" w:line="240" w:lineRule="auto"/>
        <w:ind w:left="644"/>
        <w:jc w:val="both"/>
        <w:rPr>
          <w:rFonts w:ascii="Times New Roman" w:eastAsia="Times New Roman" w:hAnsi="Times New Roman" w:cs="Times New Roman"/>
          <w:bCs/>
          <w:lang w:eastAsia="hu-HU"/>
        </w:rPr>
      </w:pPr>
      <w:r w:rsidRPr="006279A1">
        <w:rPr>
          <w:rFonts w:ascii="Times New Roman" w:eastAsia="Times New Roman" w:hAnsi="Times New Roman" w:cs="Times New Roman"/>
          <w:b/>
          <w:bCs/>
          <w:lang w:eastAsia="hu-HU"/>
        </w:rPr>
        <w:t xml:space="preserve">A tantárgy kódja: </w:t>
      </w:r>
      <w:r w:rsidRPr="006279A1">
        <w:rPr>
          <w:rFonts w:ascii="Times New Roman" w:eastAsia="Times New Roman" w:hAnsi="Times New Roman" w:cs="Times New Roman"/>
          <w:bCs/>
          <w:lang w:eastAsia="hu-HU"/>
        </w:rPr>
        <w:t>HKHDTA24</w:t>
      </w:r>
    </w:p>
    <w:p w:rsidR="006279A1" w:rsidRPr="006279A1" w:rsidRDefault="006279A1" w:rsidP="00980876">
      <w:pPr>
        <w:numPr>
          <w:ilvl w:val="0"/>
          <w:numId w:val="709"/>
        </w:numPr>
        <w:tabs>
          <w:tab w:val="clear" w:pos="720"/>
          <w:tab w:val="num" w:pos="644"/>
          <w:tab w:val="right" w:pos="900"/>
          <w:tab w:val="center" w:pos="4536"/>
          <w:tab w:val="right" w:pos="9071"/>
        </w:tabs>
        <w:spacing w:before="120" w:after="120" w:line="240" w:lineRule="auto"/>
        <w:ind w:left="644"/>
        <w:jc w:val="both"/>
        <w:rPr>
          <w:rFonts w:ascii="Times New Roman" w:eastAsia="Times New Roman" w:hAnsi="Times New Roman" w:cs="Times New Roman"/>
          <w:bCs/>
          <w:lang w:eastAsia="hu-HU"/>
        </w:rPr>
      </w:pPr>
      <w:r w:rsidRPr="006279A1">
        <w:rPr>
          <w:rFonts w:ascii="Times New Roman" w:eastAsia="Times New Roman" w:hAnsi="Times New Roman" w:cs="Times New Roman"/>
          <w:b/>
          <w:bCs/>
          <w:lang w:eastAsia="hu-HU"/>
        </w:rPr>
        <w:t xml:space="preserve">A tantárgy megnevezése (magyarul): </w:t>
      </w:r>
      <w:r w:rsidRPr="006279A1">
        <w:rPr>
          <w:rFonts w:ascii="Times New Roman" w:eastAsia="Times New Roman" w:hAnsi="Times New Roman" w:cs="Times New Roman"/>
          <w:lang w:eastAsia="hu-HU"/>
        </w:rPr>
        <w:t>Lövészfegyver anyagismeret</w:t>
      </w:r>
    </w:p>
    <w:p w:rsidR="006279A1" w:rsidRPr="006279A1" w:rsidRDefault="006279A1" w:rsidP="00980876">
      <w:pPr>
        <w:numPr>
          <w:ilvl w:val="0"/>
          <w:numId w:val="709"/>
        </w:numPr>
        <w:tabs>
          <w:tab w:val="clear" w:pos="720"/>
          <w:tab w:val="num" w:pos="644"/>
          <w:tab w:val="right" w:pos="900"/>
          <w:tab w:val="center" w:pos="4536"/>
          <w:tab w:val="right" w:pos="9071"/>
        </w:tabs>
        <w:spacing w:before="120" w:after="120" w:line="240" w:lineRule="auto"/>
        <w:ind w:left="644"/>
        <w:jc w:val="both"/>
        <w:rPr>
          <w:rFonts w:ascii="Times New Roman" w:eastAsia="Times New Roman" w:hAnsi="Times New Roman" w:cs="Times New Roman"/>
          <w:bCs/>
          <w:lang w:eastAsia="hu-HU"/>
        </w:rPr>
      </w:pPr>
      <w:r w:rsidRPr="006279A1">
        <w:rPr>
          <w:rFonts w:ascii="Times New Roman" w:eastAsia="Times New Roman" w:hAnsi="Times New Roman" w:cs="Times New Roman"/>
          <w:b/>
          <w:bCs/>
          <w:lang w:eastAsia="hu-HU"/>
        </w:rPr>
        <w:t xml:space="preserve">A tantárgy megnevezése (angolul): </w:t>
      </w:r>
      <w:r w:rsidRPr="006279A1">
        <w:rPr>
          <w:rFonts w:ascii="Times New Roman" w:eastAsia="Times New Roman" w:hAnsi="Times New Roman" w:cs="Times New Roman"/>
          <w:bCs/>
          <w:lang w:eastAsia="hu-HU"/>
        </w:rPr>
        <w:t>Infantry weapons materials</w:t>
      </w:r>
    </w:p>
    <w:p w:rsidR="006279A1" w:rsidRPr="006279A1" w:rsidRDefault="006279A1" w:rsidP="00980876">
      <w:pPr>
        <w:numPr>
          <w:ilvl w:val="0"/>
          <w:numId w:val="709"/>
        </w:numPr>
        <w:tabs>
          <w:tab w:val="clear" w:pos="720"/>
          <w:tab w:val="num" w:pos="644"/>
          <w:tab w:val="right" w:pos="900"/>
          <w:tab w:val="center" w:pos="4536"/>
          <w:tab w:val="right" w:pos="9071"/>
        </w:tabs>
        <w:spacing w:before="120" w:after="120" w:line="240" w:lineRule="auto"/>
        <w:ind w:left="644"/>
        <w:rPr>
          <w:rFonts w:ascii="Times New Roman" w:eastAsia="Times New Roman" w:hAnsi="Times New Roman" w:cs="Times New Roman"/>
          <w:bCs/>
          <w:lang w:eastAsia="hu-HU"/>
        </w:rPr>
      </w:pPr>
      <w:r w:rsidRPr="006279A1">
        <w:rPr>
          <w:rFonts w:ascii="Times New Roman" w:eastAsia="Times New Roman" w:hAnsi="Times New Roman" w:cs="Times New Roman"/>
          <w:b/>
          <w:bCs/>
          <w:lang w:eastAsia="hu-HU"/>
        </w:rPr>
        <w:t>Kreditérték és képzési karakter:</w:t>
      </w:r>
    </w:p>
    <w:p w:rsidR="006279A1" w:rsidRPr="006279A1" w:rsidRDefault="006279A1" w:rsidP="00980876">
      <w:pPr>
        <w:numPr>
          <w:ilvl w:val="1"/>
          <w:numId w:val="709"/>
        </w:numPr>
        <w:tabs>
          <w:tab w:val="clear" w:pos="3977"/>
          <w:tab w:val="right" w:pos="900"/>
          <w:tab w:val="num" w:pos="1425"/>
          <w:tab w:val="center" w:pos="4536"/>
          <w:tab w:val="right" w:pos="9071"/>
        </w:tabs>
        <w:spacing w:before="120" w:after="120" w:line="240" w:lineRule="auto"/>
        <w:ind w:left="1425"/>
        <w:rPr>
          <w:rFonts w:ascii="Times New Roman" w:eastAsia="Times New Roman" w:hAnsi="Times New Roman" w:cs="Times New Roman"/>
          <w:bCs/>
          <w:lang w:eastAsia="hu-HU"/>
        </w:rPr>
      </w:pPr>
      <w:r w:rsidRPr="006279A1">
        <w:rPr>
          <w:rFonts w:ascii="Times New Roman" w:eastAsia="Times New Roman" w:hAnsi="Times New Roman" w:cs="Times New Roman"/>
          <w:b/>
          <w:bCs/>
          <w:lang w:eastAsia="hu-HU"/>
        </w:rPr>
        <w:t xml:space="preserve"> </w:t>
      </w:r>
      <w:r w:rsidRPr="006279A1">
        <w:rPr>
          <w:rFonts w:ascii="Times New Roman" w:eastAsia="Times New Roman" w:hAnsi="Times New Roman" w:cs="Times New Roman"/>
          <w:bCs/>
          <w:lang w:eastAsia="hu-HU"/>
        </w:rPr>
        <w:t>5 kredit</w:t>
      </w:r>
    </w:p>
    <w:p w:rsidR="006279A1" w:rsidRPr="006279A1" w:rsidRDefault="006279A1" w:rsidP="00980876">
      <w:pPr>
        <w:numPr>
          <w:ilvl w:val="1"/>
          <w:numId w:val="709"/>
        </w:numPr>
        <w:tabs>
          <w:tab w:val="clear" w:pos="3977"/>
          <w:tab w:val="right" w:pos="900"/>
          <w:tab w:val="num" w:pos="1425"/>
          <w:tab w:val="center" w:pos="4536"/>
          <w:tab w:val="right" w:pos="9071"/>
        </w:tabs>
        <w:spacing w:before="120" w:after="120" w:line="240" w:lineRule="auto"/>
        <w:ind w:left="1425"/>
        <w:rPr>
          <w:rFonts w:ascii="Times New Roman" w:eastAsia="Times New Roman" w:hAnsi="Times New Roman" w:cs="Times New Roman"/>
          <w:bCs/>
          <w:lang w:eastAsia="hu-HU"/>
        </w:rPr>
      </w:pPr>
      <w:r w:rsidRPr="006279A1">
        <w:rPr>
          <w:rFonts w:ascii="Times New Roman" w:eastAsia="Times New Roman" w:hAnsi="Times New Roman" w:cs="Times New Roman"/>
          <w:bCs/>
          <w:lang w:eastAsia="hu-HU"/>
        </w:rPr>
        <w:t>a tantárgy elméleti vagy gyakorlati jellegének mértéke: 40 % gyakorlat, 60 % elmélet</w:t>
      </w:r>
    </w:p>
    <w:p w:rsidR="006279A1" w:rsidRPr="006279A1" w:rsidRDefault="006279A1" w:rsidP="00980876">
      <w:pPr>
        <w:numPr>
          <w:ilvl w:val="0"/>
          <w:numId w:val="709"/>
        </w:numPr>
        <w:tabs>
          <w:tab w:val="clear" w:pos="720"/>
          <w:tab w:val="num" w:pos="644"/>
          <w:tab w:val="right" w:pos="900"/>
          <w:tab w:val="center" w:pos="4536"/>
          <w:tab w:val="right" w:pos="9071"/>
        </w:tabs>
        <w:spacing w:before="120" w:after="120" w:line="240" w:lineRule="auto"/>
        <w:ind w:left="644"/>
        <w:jc w:val="both"/>
        <w:rPr>
          <w:rFonts w:ascii="Times New Roman" w:eastAsia="Times New Roman" w:hAnsi="Times New Roman" w:cs="Times New Roman"/>
          <w:bCs/>
          <w:lang w:eastAsia="hu-HU"/>
        </w:rPr>
      </w:pPr>
      <w:r w:rsidRPr="006279A1">
        <w:rPr>
          <w:rFonts w:ascii="Times New Roman" w:eastAsia="Times New Roman" w:hAnsi="Times New Roman" w:cs="Times New Roman"/>
          <w:b/>
          <w:bCs/>
          <w:lang w:eastAsia="hu-HU"/>
        </w:rPr>
        <w:t xml:space="preserve">A szak(ok), szakirányok/specializációk megnevezése (ahol oktatják): </w:t>
      </w:r>
      <w:r w:rsidRPr="006279A1">
        <w:rPr>
          <w:rFonts w:ascii="Times New Roman" w:eastAsia="Times New Roman" w:hAnsi="Times New Roman" w:cs="Times New Roman"/>
          <w:bCs/>
          <w:lang w:eastAsia="hu-HU"/>
        </w:rPr>
        <w:t>Katonai logisztika (</w:t>
      </w:r>
      <w:r w:rsidR="00137B8A">
        <w:rPr>
          <w:rFonts w:ascii="Times New Roman" w:eastAsia="Times New Roman" w:hAnsi="Times New Roman" w:cs="Times New Roman"/>
          <w:bCs/>
          <w:lang w:eastAsia="hu-HU"/>
        </w:rPr>
        <w:t>BSc</w:t>
      </w:r>
      <w:r w:rsidRPr="006279A1">
        <w:rPr>
          <w:rFonts w:ascii="Times New Roman" w:eastAsia="Times New Roman" w:hAnsi="Times New Roman" w:cs="Times New Roman"/>
          <w:bCs/>
          <w:lang w:eastAsia="hu-HU"/>
        </w:rPr>
        <w:t>) alapképzési szak, haditechnika specializáció, fegyverzettechnikai modul</w:t>
      </w:r>
    </w:p>
    <w:p w:rsidR="006279A1" w:rsidRPr="006279A1" w:rsidRDefault="006279A1" w:rsidP="00980876">
      <w:pPr>
        <w:numPr>
          <w:ilvl w:val="0"/>
          <w:numId w:val="709"/>
        </w:numPr>
        <w:tabs>
          <w:tab w:val="clear" w:pos="720"/>
          <w:tab w:val="num" w:pos="644"/>
          <w:tab w:val="right" w:pos="900"/>
          <w:tab w:val="center" w:pos="4536"/>
          <w:tab w:val="right" w:pos="9071"/>
        </w:tabs>
        <w:spacing w:before="120" w:after="120" w:line="240" w:lineRule="auto"/>
        <w:ind w:left="644"/>
        <w:jc w:val="both"/>
        <w:rPr>
          <w:rFonts w:ascii="Times New Roman" w:eastAsia="Times New Roman" w:hAnsi="Times New Roman" w:cs="Times New Roman"/>
          <w:bCs/>
          <w:lang w:eastAsia="hu-HU"/>
        </w:rPr>
      </w:pPr>
      <w:r w:rsidRPr="006279A1">
        <w:rPr>
          <w:rFonts w:ascii="Times New Roman" w:eastAsia="Times New Roman" w:hAnsi="Times New Roman" w:cs="Times New Roman"/>
          <w:b/>
          <w:bCs/>
          <w:lang w:eastAsia="hu-HU"/>
        </w:rPr>
        <w:tab/>
        <w:t xml:space="preserve">Az oktatásért felelős oktatási szervezeti egység megnevezése: </w:t>
      </w:r>
      <w:r w:rsidRPr="006279A1">
        <w:rPr>
          <w:rFonts w:ascii="Times New Roman" w:eastAsia="Times New Roman" w:hAnsi="Times New Roman" w:cs="Times New Roman"/>
          <w:bCs/>
          <w:lang w:eastAsia="hu-HU"/>
        </w:rPr>
        <w:t>NKE,</w:t>
      </w:r>
      <w:r w:rsidRPr="006279A1">
        <w:rPr>
          <w:rFonts w:ascii="Times New Roman" w:eastAsia="Times New Roman" w:hAnsi="Times New Roman" w:cs="Times New Roman"/>
          <w:b/>
          <w:bCs/>
          <w:lang w:eastAsia="hu-HU"/>
        </w:rPr>
        <w:t xml:space="preserve"> </w:t>
      </w:r>
      <w:r w:rsidRPr="006279A1">
        <w:rPr>
          <w:rFonts w:ascii="Times New Roman" w:eastAsia="Times New Roman" w:hAnsi="Times New Roman" w:cs="Times New Roman"/>
          <w:bCs/>
          <w:lang w:eastAsia="hu-HU"/>
        </w:rPr>
        <w:t>Hadtudományi és Honvédtisztképző Kar, Haditechnikai Tanszék</w:t>
      </w:r>
    </w:p>
    <w:p w:rsidR="006279A1" w:rsidRPr="006279A1" w:rsidRDefault="006279A1" w:rsidP="00980876">
      <w:pPr>
        <w:numPr>
          <w:ilvl w:val="0"/>
          <w:numId w:val="709"/>
        </w:numPr>
        <w:tabs>
          <w:tab w:val="clear" w:pos="720"/>
          <w:tab w:val="num" w:pos="426"/>
          <w:tab w:val="num" w:pos="644"/>
          <w:tab w:val="right" w:pos="900"/>
          <w:tab w:val="center" w:pos="4536"/>
          <w:tab w:val="right" w:pos="9071"/>
        </w:tabs>
        <w:spacing w:before="120" w:after="120" w:line="240" w:lineRule="auto"/>
        <w:ind w:left="644"/>
        <w:jc w:val="both"/>
        <w:rPr>
          <w:rFonts w:ascii="Times New Roman" w:eastAsia="Times New Roman" w:hAnsi="Times New Roman" w:cs="Times New Roman"/>
          <w:bCs/>
          <w:lang w:eastAsia="hu-HU"/>
        </w:rPr>
      </w:pPr>
      <w:r w:rsidRPr="006279A1">
        <w:rPr>
          <w:rFonts w:ascii="Times New Roman" w:eastAsia="Times New Roman" w:hAnsi="Times New Roman" w:cs="Times New Roman"/>
          <w:b/>
          <w:bCs/>
          <w:lang w:eastAsia="hu-HU"/>
        </w:rPr>
        <w:t xml:space="preserve">  A tantárgyfelelős oktató neve, beosztása, tudományos fokozata: </w:t>
      </w:r>
      <w:r w:rsidRPr="006279A1">
        <w:rPr>
          <w:rFonts w:ascii="Times New Roman" w:eastAsia="Times New Roman" w:hAnsi="Times New Roman" w:cs="Times New Roman"/>
          <w:bCs/>
          <w:lang w:eastAsia="hu-HU"/>
        </w:rPr>
        <w:t>Dr. Gyarmati József egyetemi docens, PhD</w:t>
      </w:r>
    </w:p>
    <w:p w:rsidR="006279A1" w:rsidRPr="006279A1" w:rsidRDefault="006279A1" w:rsidP="00980876">
      <w:pPr>
        <w:numPr>
          <w:ilvl w:val="0"/>
          <w:numId w:val="709"/>
        </w:numPr>
        <w:tabs>
          <w:tab w:val="clear" w:pos="720"/>
          <w:tab w:val="num" w:pos="644"/>
          <w:tab w:val="right" w:pos="900"/>
          <w:tab w:val="center" w:pos="4536"/>
          <w:tab w:val="right" w:pos="9071"/>
        </w:tabs>
        <w:spacing w:before="120" w:after="120" w:line="240" w:lineRule="auto"/>
        <w:ind w:left="567" w:hanging="283"/>
        <w:jc w:val="both"/>
        <w:rPr>
          <w:rFonts w:ascii="Times New Roman" w:eastAsia="Times New Roman" w:hAnsi="Times New Roman" w:cs="Times New Roman"/>
          <w:b/>
          <w:lang w:eastAsia="hu-HU"/>
        </w:rPr>
      </w:pPr>
      <w:r w:rsidRPr="006279A1">
        <w:rPr>
          <w:rFonts w:ascii="Times New Roman" w:eastAsia="Times New Roman" w:hAnsi="Times New Roman" w:cs="Times New Roman"/>
          <w:b/>
          <w:bCs/>
          <w:lang w:eastAsia="hu-HU"/>
        </w:rPr>
        <w:t xml:space="preserve">A tanórák száma </w:t>
      </w:r>
      <w:r w:rsidRPr="006279A1">
        <w:rPr>
          <w:rFonts w:ascii="Times New Roman" w:eastAsia="Times New Roman" w:hAnsi="Times New Roman" w:cs="Times New Roman"/>
          <w:b/>
          <w:lang w:eastAsia="hu-HU"/>
        </w:rPr>
        <w:t>(előadás + szeminárium + gyakorlat)</w:t>
      </w:r>
    </w:p>
    <w:p w:rsidR="006279A1" w:rsidRPr="006279A1" w:rsidRDefault="006279A1" w:rsidP="00980876">
      <w:pPr>
        <w:numPr>
          <w:ilvl w:val="1"/>
          <w:numId w:val="709"/>
        </w:numPr>
        <w:tabs>
          <w:tab w:val="clear" w:pos="3977"/>
          <w:tab w:val="num" w:pos="1425"/>
        </w:tabs>
        <w:spacing w:before="120" w:after="120" w:line="240" w:lineRule="auto"/>
        <w:ind w:left="567" w:firstLine="0"/>
        <w:jc w:val="both"/>
        <w:rPr>
          <w:rFonts w:ascii="Times New Roman" w:eastAsia="Times New Roman" w:hAnsi="Times New Roman" w:cs="Times New Roman"/>
          <w:bCs/>
          <w:lang w:eastAsia="hu-HU"/>
        </w:rPr>
      </w:pPr>
      <w:r w:rsidRPr="006279A1">
        <w:rPr>
          <w:rFonts w:ascii="Times New Roman" w:eastAsia="Times New Roman" w:hAnsi="Times New Roman" w:cs="Times New Roman"/>
          <w:bCs/>
          <w:lang w:eastAsia="hu-HU"/>
        </w:rPr>
        <w:t>össz óraszám/félév: 70</w:t>
      </w:r>
    </w:p>
    <w:p w:rsidR="006279A1" w:rsidRPr="006279A1" w:rsidRDefault="006279A1" w:rsidP="00980876">
      <w:pPr>
        <w:numPr>
          <w:ilvl w:val="2"/>
          <w:numId w:val="709"/>
        </w:numPr>
        <w:tabs>
          <w:tab w:val="clear" w:pos="1800"/>
          <w:tab w:val="right" w:pos="900"/>
          <w:tab w:val="num" w:pos="1724"/>
          <w:tab w:val="num" w:pos="1843"/>
        </w:tabs>
        <w:spacing w:after="0" w:line="240" w:lineRule="auto"/>
        <w:ind w:left="851" w:firstLine="0"/>
        <w:jc w:val="both"/>
        <w:rPr>
          <w:rFonts w:ascii="Times New Roman" w:eastAsia="Times New Roman" w:hAnsi="Times New Roman" w:cs="Times New Roman"/>
          <w:bCs/>
          <w:lang w:eastAsia="hu-HU"/>
        </w:rPr>
      </w:pPr>
      <w:r w:rsidRPr="006279A1">
        <w:rPr>
          <w:rFonts w:ascii="Times New Roman" w:eastAsia="Times New Roman" w:hAnsi="Times New Roman" w:cs="Times New Roman"/>
          <w:bCs/>
          <w:lang w:eastAsia="hu-HU"/>
        </w:rPr>
        <w:t>Nappali munkarend: 70 (42 EA+ 0 SZ + 28 GY)</w:t>
      </w:r>
    </w:p>
    <w:p w:rsidR="006279A1" w:rsidRPr="006279A1" w:rsidRDefault="006279A1" w:rsidP="00980876">
      <w:pPr>
        <w:numPr>
          <w:ilvl w:val="2"/>
          <w:numId w:val="709"/>
        </w:numPr>
        <w:tabs>
          <w:tab w:val="clear" w:pos="1800"/>
          <w:tab w:val="right" w:pos="900"/>
          <w:tab w:val="num" w:pos="1724"/>
          <w:tab w:val="num" w:pos="1843"/>
        </w:tabs>
        <w:spacing w:after="0" w:line="240" w:lineRule="auto"/>
        <w:ind w:left="851" w:firstLine="0"/>
        <w:jc w:val="both"/>
        <w:rPr>
          <w:rFonts w:ascii="Times New Roman" w:eastAsia="Times New Roman" w:hAnsi="Times New Roman" w:cs="Times New Roman"/>
          <w:bCs/>
          <w:lang w:eastAsia="hu-HU"/>
        </w:rPr>
      </w:pPr>
      <w:r w:rsidRPr="006279A1">
        <w:rPr>
          <w:rFonts w:ascii="Times New Roman" w:eastAsia="Times New Roman" w:hAnsi="Times New Roman" w:cs="Times New Roman"/>
          <w:bCs/>
          <w:lang w:eastAsia="hu-HU"/>
        </w:rPr>
        <w:t>Levelező munkarend: -</w:t>
      </w:r>
    </w:p>
    <w:p w:rsidR="006279A1" w:rsidRPr="006279A1" w:rsidRDefault="006279A1" w:rsidP="00980876">
      <w:pPr>
        <w:numPr>
          <w:ilvl w:val="1"/>
          <w:numId w:val="709"/>
        </w:numPr>
        <w:tabs>
          <w:tab w:val="clear" w:pos="3977"/>
          <w:tab w:val="num" w:pos="1425"/>
        </w:tabs>
        <w:spacing w:before="120" w:after="120" w:line="240" w:lineRule="auto"/>
        <w:ind w:left="567" w:firstLine="0"/>
        <w:jc w:val="both"/>
        <w:rPr>
          <w:rFonts w:ascii="Times New Roman" w:eastAsia="Times New Roman" w:hAnsi="Times New Roman" w:cs="Times New Roman"/>
          <w:bCs/>
          <w:lang w:eastAsia="hu-HU"/>
        </w:rPr>
      </w:pPr>
      <w:r w:rsidRPr="006279A1">
        <w:rPr>
          <w:rFonts w:ascii="Times New Roman" w:eastAsia="Times New Roman" w:hAnsi="Times New Roman" w:cs="Times New Roman"/>
          <w:bCs/>
          <w:lang w:eastAsia="hu-HU"/>
        </w:rPr>
        <w:t>heti óraszám nappali munkarend: 5 (3 + 2)</w:t>
      </w:r>
    </w:p>
    <w:p w:rsidR="006279A1" w:rsidRPr="006279A1" w:rsidRDefault="006279A1" w:rsidP="00980876">
      <w:pPr>
        <w:numPr>
          <w:ilvl w:val="1"/>
          <w:numId w:val="709"/>
        </w:numPr>
        <w:tabs>
          <w:tab w:val="clear" w:pos="3977"/>
          <w:tab w:val="num" w:pos="1425"/>
        </w:tabs>
        <w:spacing w:before="120" w:after="120" w:line="240" w:lineRule="auto"/>
        <w:ind w:left="567" w:firstLine="0"/>
        <w:jc w:val="both"/>
        <w:rPr>
          <w:rFonts w:ascii="Times New Roman" w:eastAsia="Times New Roman" w:hAnsi="Times New Roman" w:cs="Times New Roman"/>
          <w:bCs/>
          <w:lang w:eastAsia="hu-HU"/>
        </w:rPr>
      </w:pPr>
      <w:r w:rsidRPr="006279A1">
        <w:rPr>
          <w:rFonts w:ascii="Times New Roman" w:eastAsia="Times New Roman" w:hAnsi="Times New Roman" w:cs="Times New Roman"/>
          <w:bCs/>
          <w:lang w:eastAsia="hu-HU"/>
        </w:rPr>
        <w:t>Az ismeret átadásában alkalmazandó további sajátos módok, jellemzők: vegyes tanulási program (blended learning)</w:t>
      </w:r>
    </w:p>
    <w:p w:rsidR="006279A1" w:rsidRPr="006279A1" w:rsidRDefault="006279A1" w:rsidP="00980876">
      <w:pPr>
        <w:numPr>
          <w:ilvl w:val="0"/>
          <w:numId w:val="709"/>
        </w:numPr>
        <w:tabs>
          <w:tab w:val="clear" w:pos="720"/>
          <w:tab w:val="num" w:pos="644"/>
        </w:tabs>
        <w:spacing w:before="120" w:after="120" w:line="240" w:lineRule="auto"/>
        <w:ind w:left="641" w:hanging="357"/>
        <w:jc w:val="both"/>
        <w:rPr>
          <w:rFonts w:ascii="Times New Roman" w:eastAsia="Times New Roman" w:hAnsi="Times New Roman" w:cs="Times New Roman"/>
          <w:lang w:eastAsia="hu-HU"/>
        </w:rPr>
      </w:pPr>
      <w:r w:rsidRPr="006279A1">
        <w:rPr>
          <w:rFonts w:ascii="Times New Roman" w:eastAsia="Times New Roman" w:hAnsi="Times New Roman" w:cs="Times New Roman"/>
          <w:b/>
          <w:bCs/>
          <w:lang w:eastAsia="hu-HU"/>
        </w:rPr>
        <w:t>A tantárgy szakmai tartalma (magyarul):</w:t>
      </w:r>
      <w:r w:rsidRPr="006279A1">
        <w:rPr>
          <w:rFonts w:ascii="CG Times (W1)" w:eastAsia="Times New Roman" w:hAnsi="CG Times (W1)" w:cs="Times New Roman"/>
          <w:b/>
          <w:bCs/>
          <w:lang w:eastAsia="hu-HU"/>
        </w:rPr>
        <w:t xml:space="preserve"> </w:t>
      </w:r>
      <w:r w:rsidRPr="006279A1">
        <w:rPr>
          <w:rFonts w:ascii="Times New Roman" w:eastAsia="Times New Roman" w:hAnsi="Times New Roman" w:cs="Times New Roman"/>
          <w:lang w:eastAsia="hu-HU"/>
        </w:rPr>
        <w:t>Lövészfegyverek rendszertana, Lövészfegyverek definíciói, felosztásuk, konstrukciós tulajdonságai, harcászati és m</w:t>
      </w:r>
      <w:r w:rsidRPr="006279A1">
        <w:rPr>
          <w:rFonts w:ascii="Times New Roman" w:eastAsia="Times New Roman" w:hAnsi="Times New Roman" w:cs="Times New Roman" w:hint="eastAsia"/>
          <w:lang w:eastAsia="hu-HU"/>
        </w:rPr>
        <w:t>ű</w:t>
      </w:r>
      <w:r w:rsidRPr="006279A1">
        <w:rPr>
          <w:rFonts w:ascii="Times New Roman" w:eastAsia="Times New Roman" w:hAnsi="Times New Roman" w:cs="Times New Roman"/>
          <w:lang w:eastAsia="hu-HU"/>
        </w:rPr>
        <w:t>szaki követelményei, alkalmazásuk, alapvet</w:t>
      </w:r>
      <w:r w:rsidRPr="006279A1">
        <w:rPr>
          <w:rFonts w:ascii="Times New Roman" w:eastAsia="Times New Roman" w:hAnsi="Times New Roman" w:cs="Times New Roman" w:hint="eastAsia"/>
          <w:lang w:eastAsia="hu-HU"/>
        </w:rPr>
        <w:t>ő</w:t>
      </w:r>
      <w:r w:rsidRPr="006279A1">
        <w:rPr>
          <w:rFonts w:ascii="Times New Roman" w:eastAsia="Times New Roman" w:hAnsi="Times New Roman" w:cs="Times New Roman"/>
          <w:lang w:eastAsia="hu-HU"/>
        </w:rPr>
        <w:t xml:space="preserve"> m</w:t>
      </w:r>
      <w:r w:rsidRPr="006279A1">
        <w:rPr>
          <w:rFonts w:ascii="Times New Roman" w:eastAsia="Times New Roman" w:hAnsi="Times New Roman" w:cs="Times New Roman" w:hint="eastAsia"/>
          <w:lang w:eastAsia="hu-HU"/>
        </w:rPr>
        <w:t>ű</w:t>
      </w:r>
      <w:r w:rsidRPr="006279A1">
        <w:rPr>
          <w:rFonts w:ascii="Times New Roman" w:eastAsia="Times New Roman" w:hAnsi="Times New Roman" w:cs="Times New Roman"/>
          <w:lang w:eastAsia="hu-HU"/>
        </w:rPr>
        <w:t>ködési elvei. Lövészfegyverek szerkezettana tárazás és tárelrendezés, zárak, zárolások elve, szilárdsági ellen</w:t>
      </w:r>
      <w:r w:rsidRPr="006279A1">
        <w:rPr>
          <w:rFonts w:ascii="Times New Roman" w:eastAsia="Times New Roman" w:hAnsi="Times New Roman" w:cs="Times New Roman" w:hint="eastAsia"/>
          <w:lang w:eastAsia="hu-HU"/>
        </w:rPr>
        <w:t>ő</w:t>
      </w:r>
      <w:r w:rsidRPr="006279A1">
        <w:rPr>
          <w:rFonts w:ascii="Times New Roman" w:eastAsia="Times New Roman" w:hAnsi="Times New Roman" w:cs="Times New Roman"/>
          <w:lang w:eastAsia="hu-HU"/>
        </w:rPr>
        <w:t>rzésük alapelvei. Lövészfegyverek szerkezeti felépítése, szerkezeti elemek rendeltetése, m</w:t>
      </w:r>
      <w:r w:rsidRPr="006279A1">
        <w:rPr>
          <w:rFonts w:ascii="Times New Roman" w:eastAsia="Times New Roman" w:hAnsi="Times New Roman" w:cs="Times New Roman" w:hint="eastAsia"/>
          <w:lang w:eastAsia="hu-HU"/>
        </w:rPr>
        <w:t>ű</w:t>
      </w:r>
      <w:r w:rsidRPr="006279A1">
        <w:rPr>
          <w:rFonts w:ascii="Times New Roman" w:eastAsia="Times New Roman" w:hAnsi="Times New Roman" w:cs="Times New Roman"/>
          <w:lang w:eastAsia="hu-HU"/>
        </w:rPr>
        <w:t>ködése. A MH-nél rendszeresített pisztolyok, géppisztolyok, karabélyok, gépkarabélyok, puskák, g</w:t>
      </w:r>
      <w:r w:rsidRPr="006279A1">
        <w:rPr>
          <w:rFonts w:ascii="Times New Roman" w:eastAsia="Times New Roman" w:hAnsi="Times New Roman" w:cs="Times New Roman" w:hint="eastAsia"/>
          <w:lang w:eastAsia="hu-HU"/>
        </w:rPr>
        <w:t>é</w:t>
      </w:r>
      <w:r w:rsidRPr="006279A1">
        <w:rPr>
          <w:rFonts w:ascii="Times New Roman" w:eastAsia="Times New Roman" w:hAnsi="Times New Roman" w:cs="Times New Roman"/>
          <w:lang w:eastAsia="hu-HU"/>
        </w:rPr>
        <w:t>ppuskák, kézi páncélelhárító gránátvet</w:t>
      </w:r>
      <w:r w:rsidRPr="006279A1">
        <w:rPr>
          <w:rFonts w:ascii="Times New Roman" w:eastAsia="Times New Roman" w:hAnsi="Times New Roman" w:cs="Times New Roman" w:hint="eastAsia"/>
          <w:lang w:eastAsia="hu-HU"/>
        </w:rPr>
        <w:t>ő</w:t>
      </w:r>
      <w:r w:rsidRPr="006279A1">
        <w:rPr>
          <w:rFonts w:ascii="Times New Roman" w:eastAsia="Times New Roman" w:hAnsi="Times New Roman" w:cs="Times New Roman"/>
          <w:lang w:eastAsia="hu-HU"/>
        </w:rPr>
        <w:t>k, aknavet</w:t>
      </w:r>
      <w:r w:rsidRPr="006279A1">
        <w:rPr>
          <w:rFonts w:ascii="Times New Roman" w:eastAsia="Times New Roman" w:hAnsi="Times New Roman" w:cs="Times New Roman" w:hint="eastAsia"/>
          <w:lang w:eastAsia="hu-HU"/>
        </w:rPr>
        <w:t>ő</w:t>
      </w:r>
      <w:r w:rsidRPr="006279A1">
        <w:rPr>
          <w:rFonts w:ascii="Times New Roman" w:eastAsia="Times New Roman" w:hAnsi="Times New Roman" w:cs="Times New Roman"/>
          <w:lang w:eastAsia="hu-HU"/>
        </w:rPr>
        <w:t>k szerkezeti felépítése, m</w:t>
      </w:r>
      <w:r w:rsidRPr="006279A1">
        <w:rPr>
          <w:rFonts w:ascii="Times New Roman" w:eastAsia="Times New Roman" w:hAnsi="Times New Roman" w:cs="Times New Roman" w:hint="eastAsia"/>
          <w:lang w:eastAsia="hu-HU"/>
        </w:rPr>
        <w:t>ű</w:t>
      </w:r>
      <w:r w:rsidRPr="006279A1">
        <w:rPr>
          <w:rFonts w:ascii="Times New Roman" w:eastAsia="Times New Roman" w:hAnsi="Times New Roman" w:cs="Times New Roman"/>
          <w:lang w:eastAsia="hu-HU"/>
        </w:rPr>
        <w:t>ködése, kezelése. Lövészfegyverek l</w:t>
      </w:r>
      <w:r w:rsidRPr="006279A1">
        <w:rPr>
          <w:rFonts w:ascii="Times New Roman" w:eastAsia="Times New Roman" w:hAnsi="Times New Roman" w:cs="Times New Roman" w:hint="eastAsia"/>
          <w:lang w:eastAsia="hu-HU"/>
        </w:rPr>
        <w:t>ő</w:t>
      </w:r>
      <w:r w:rsidRPr="006279A1">
        <w:rPr>
          <w:rFonts w:ascii="Times New Roman" w:eastAsia="Times New Roman" w:hAnsi="Times New Roman" w:cs="Times New Roman"/>
          <w:lang w:eastAsia="hu-HU"/>
        </w:rPr>
        <w:t>szerei.</w:t>
      </w:r>
    </w:p>
    <w:p w:rsidR="006279A1" w:rsidRPr="006279A1" w:rsidRDefault="006279A1" w:rsidP="006279A1">
      <w:pPr>
        <w:tabs>
          <w:tab w:val="right" w:pos="900"/>
          <w:tab w:val="center" w:pos="4536"/>
        </w:tabs>
        <w:spacing w:before="120" w:after="120" w:line="240" w:lineRule="auto"/>
        <w:ind w:left="644"/>
        <w:jc w:val="both"/>
        <w:rPr>
          <w:rFonts w:ascii="CG Times (W1)" w:eastAsia="Times New Roman" w:hAnsi="CG Times (W1)" w:cs="Times New Roman"/>
          <w:b/>
          <w:bCs/>
          <w:lang w:eastAsia="hu-HU"/>
        </w:rPr>
      </w:pPr>
      <w:r w:rsidRPr="006279A1">
        <w:rPr>
          <w:rFonts w:ascii="Times New Roman" w:eastAsia="Times New Roman" w:hAnsi="Times New Roman" w:cs="Times New Roman"/>
          <w:b/>
          <w:bCs/>
          <w:lang w:eastAsia="hu-HU"/>
        </w:rPr>
        <w:t>A tantárgy szakmai tartalma (angolul):</w:t>
      </w:r>
      <w:r w:rsidRPr="006279A1">
        <w:rPr>
          <w:rFonts w:ascii="CG Times (W1)" w:eastAsia="Times New Roman" w:hAnsi="CG Times (W1)" w:cs="Times New Roman"/>
          <w:b/>
          <w:bCs/>
          <w:lang w:eastAsia="hu-HU"/>
        </w:rPr>
        <w:t xml:space="preserve"> </w:t>
      </w:r>
      <w:r w:rsidRPr="006279A1">
        <w:rPr>
          <w:rFonts w:ascii="CG Times (W1)" w:eastAsia="Times New Roman" w:hAnsi="CG Times (W1)" w:cs="Times New Roman"/>
          <w:lang w:eastAsia="hu-HU"/>
        </w:rPr>
        <w:t>Firearms taxonomy. Definitions of firearms, their division, constructional properties, combat and technical requirements, their application, basic principles of operation. The structure of the firearms is the storage and storage arrangement, the principle of locks, the principles of their strength control. Structure of firearms, purpose and operation of structural elements. Structural design, operation, handling of pistols, machine guns, rifles, assault rifles, rifles, machine guns, hand-held anti-aircraft grenade launchers, mine launchers standardized at HDF Ammunition for small arms.</w:t>
      </w:r>
    </w:p>
    <w:p w:rsidR="006279A1" w:rsidRPr="006279A1" w:rsidRDefault="006279A1" w:rsidP="00980876">
      <w:pPr>
        <w:numPr>
          <w:ilvl w:val="0"/>
          <w:numId w:val="709"/>
        </w:numPr>
        <w:tabs>
          <w:tab w:val="clear" w:pos="720"/>
          <w:tab w:val="num" w:pos="644"/>
          <w:tab w:val="right" w:pos="900"/>
          <w:tab w:val="center" w:pos="4536"/>
        </w:tabs>
        <w:spacing w:before="120" w:after="120" w:line="240" w:lineRule="auto"/>
        <w:ind w:left="644"/>
        <w:jc w:val="both"/>
        <w:rPr>
          <w:rFonts w:ascii="CG Times (W1)" w:eastAsia="Times New Roman" w:hAnsi="CG Times (W1)" w:cs="Times New Roman"/>
          <w:b/>
          <w:bCs/>
          <w:lang w:eastAsia="hu-HU"/>
        </w:rPr>
      </w:pPr>
      <w:r w:rsidRPr="006279A1">
        <w:rPr>
          <w:rFonts w:ascii="CG Times (W1)" w:eastAsia="Times New Roman" w:hAnsi="CG Times (W1)" w:cs="Times New Roman"/>
          <w:b/>
          <w:bCs/>
          <w:lang w:eastAsia="hu-HU"/>
        </w:rPr>
        <w:t>Elérendő kompetenciák (magyarul)</w:t>
      </w:r>
    </w:p>
    <w:p w:rsidR="006279A1" w:rsidRPr="006279A1" w:rsidRDefault="006279A1" w:rsidP="006279A1">
      <w:pPr>
        <w:autoSpaceDE w:val="0"/>
        <w:autoSpaceDN w:val="0"/>
        <w:adjustRightInd w:val="0"/>
        <w:spacing w:before="120" w:after="120" w:line="240" w:lineRule="auto"/>
        <w:ind w:left="646"/>
        <w:jc w:val="both"/>
        <w:rPr>
          <w:rFonts w:ascii="Times New Roman" w:eastAsia="Times New Roman" w:hAnsi="Times New Roman" w:cs="Times New Roman"/>
          <w:b/>
          <w:color w:val="000000"/>
          <w:lang w:eastAsia="hu-HU"/>
        </w:rPr>
      </w:pPr>
      <w:r w:rsidRPr="006279A1">
        <w:rPr>
          <w:rFonts w:ascii="Times New Roman" w:eastAsia="Times New Roman" w:hAnsi="Times New Roman" w:cs="Times New Roman"/>
          <w:b/>
          <w:color w:val="000000"/>
          <w:lang w:eastAsia="hu-HU"/>
        </w:rPr>
        <w:t>Tudása:</w:t>
      </w:r>
    </w:p>
    <w:p w:rsidR="006279A1" w:rsidRPr="006279A1" w:rsidRDefault="006279A1"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6279A1">
        <w:rPr>
          <w:rFonts w:ascii="Times New Roman" w:eastAsia="Times New Roman" w:hAnsi="Times New Roman" w:cs="Times New Roman"/>
          <w:color w:val="000000"/>
          <w:lang w:eastAsia="hu-HU"/>
        </w:rPr>
        <w:t>Megfelelő műszaki alapokkal rendelkezik, amelyek biztosítják az új ismeretek elsajátítását.</w:t>
      </w:r>
    </w:p>
    <w:p w:rsidR="006279A1" w:rsidRPr="006279A1" w:rsidRDefault="006279A1"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6279A1">
        <w:rPr>
          <w:rFonts w:ascii="Times New Roman" w:eastAsia="Times New Roman" w:hAnsi="Times New Roman" w:cs="Times New Roman"/>
          <w:color w:val="000000"/>
          <w:lang w:eastAsia="hu-HU"/>
        </w:rPr>
        <w:t>Ismeri a fegyverzettechnikai eszközök ellátáshoz és fenntartásához szükséges anyagok körét.</w:t>
      </w:r>
    </w:p>
    <w:p w:rsidR="006279A1" w:rsidRPr="006279A1" w:rsidRDefault="006279A1"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6279A1">
        <w:rPr>
          <w:rFonts w:ascii="Times New Roman" w:eastAsia="Times New Roman" w:hAnsi="Times New Roman" w:cs="Times New Roman"/>
          <w:color w:val="000000"/>
          <w:lang w:eastAsia="hu-HU"/>
        </w:rPr>
        <w:lastRenderedPageBreak/>
        <w:t>Ismeri a szakfeladatainak ellátásához szükséges munkavédelmi rendszabályokat.</w:t>
      </w:r>
    </w:p>
    <w:p w:rsidR="006279A1" w:rsidRPr="006279A1" w:rsidRDefault="006279A1"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6279A1">
        <w:rPr>
          <w:rFonts w:ascii="Times New Roman" w:eastAsia="Times New Roman" w:hAnsi="Times New Roman" w:cs="Times New Roman"/>
          <w:color w:val="000000"/>
          <w:lang w:eastAsia="hu-HU"/>
        </w:rPr>
        <w:t>Megfelelő mélységű és spektrumú fegyverzettechnikai típusismerettel rendelkezik.</w:t>
      </w:r>
    </w:p>
    <w:p w:rsidR="006279A1" w:rsidRPr="006279A1" w:rsidRDefault="006279A1" w:rsidP="006279A1">
      <w:pPr>
        <w:autoSpaceDE w:val="0"/>
        <w:autoSpaceDN w:val="0"/>
        <w:adjustRightInd w:val="0"/>
        <w:spacing w:before="120" w:after="120" w:line="240" w:lineRule="auto"/>
        <w:ind w:left="646"/>
        <w:jc w:val="both"/>
        <w:rPr>
          <w:rFonts w:ascii="Times New Roman" w:eastAsia="Times New Roman" w:hAnsi="Times New Roman" w:cs="Times New Roman"/>
          <w:b/>
          <w:color w:val="000000"/>
          <w:lang w:eastAsia="hu-HU"/>
        </w:rPr>
      </w:pPr>
      <w:r w:rsidRPr="006279A1">
        <w:rPr>
          <w:rFonts w:ascii="Times New Roman" w:eastAsia="Times New Roman" w:hAnsi="Times New Roman" w:cs="Times New Roman"/>
          <w:b/>
          <w:color w:val="000000"/>
          <w:lang w:eastAsia="hu-HU"/>
        </w:rPr>
        <w:t>Képességei:</w:t>
      </w:r>
    </w:p>
    <w:p w:rsidR="006279A1" w:rsidRPr="006279A1" w:rsidRDefault="006279A1"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6279A1">
        <w:rPr>
          <w:rFonts w:ascii="Times New Roman" w:eastAsia="Times New Roman" w:hAnsi="Times New Roman" w:cs="Times New Roman"/>
          <w:color w:val="000000"/>
          <w:lang w:eastAsia="hu-HU"/>
        </w:rPr>
        <w:t>Képes a szakterületén rendszeresített és használt berendezések és technikai eszközök használatának megszervezésére és hatékony alkalmazására.</w:t>
      </w:r>
    </w:p>
    <w:p w:rsidR="006279A1" w:rsidRPr="006279A1" w:rsidRDefault="006279A1"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6279A1">
        <w:rPr>
          <w:rFonts w:ascii="Times New Roman" w:eastAsia="Times New Roman" w:hAnsi="Times New Roman" w:cs="Times New Roman"/>
          <w:color w:val="000000"/>
          <w:lang w:eastAsia="hu-HU"/>
        </w:rPr>
        <w:t>Képes a megtanultakat felhasználva a szakterületén felmerülő új műszaki információkat megérteni és megtanulni.</w:t>
      </w:r>
    </w:p>
    <w:p w:rsidR="006279A1" w:rsidRPr="006279A1" w:rsidRDefault="006279A1" w:rsidP="006279A1">
      <w:pPr>
        <w:autoSpaceDE w:val="0"/>
        <w:autoSpaceDN w:val="0"/>
        <w:adjustRightInd w:val="0"/>
        <w:spacing w:before="120" w:after="120" w:line="240" w:lineRule="auto"/>
        <w:ind w:left="646"/>
        <w:jc w:val="both"/>
        <w:rPr>
          <w:rFonts w:ascii="Times New Roman" w:eastAsia="Times New Roman" w:hAnsi="Times New Roman" w:cs="Times New Roman"/>
          <w:b/>
          <w:bCs/>
          <w:color w:val="000000"/>
          <w:lang w:eastAsia="hu-HU"/>
        </w:rPr>
      </w:pPr>
      <w:r w:rsidRPr="006279A1">
        <w:rPr>
          <w:rFonts w:ascii="Times New Roman" w:eastAsia="Times New Roman" w:hAnsi="Times New Roman" w:cs="Times New Roman"/>
          <w:b/>
          <w:bCs/>
          <w:color w:val="000000"/>
          <w:lang w:eastAsia="hu-HU"/>
        </w:rPr>
        <w:t>Attitüdje:</w:t>
      </w:r>
    </w:p>
    <w:p w:rsidR="006279A1" w:rsidRPr="006279A1" w:rsidRDefault="006279A1"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6279A1">
        <w:rPr>
          <w:rFonts w:ascii="Times New Roman" w:eastAsia="Times New Roman" w:hAnsi="Times New Roman" w:cs="Times New Roman"/>
          <w:color w:val="000000"/>
          <w:lang w:eastAsia="hu-HU"/>
        </w:rPr>
        <w:t>Nyitott a fegyverzettechnikával kapcsolatos szakmai ismereteinek gyarapítása iránt, folyamatos önképzési igény jellemzi.</w:t>
      </w:r>
    </w:p>
    <w:p w:rsidR="006279A1" w:rsidRPr="006279A1" w:rsidRDefault="006279A1"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6279A1">
        <w:rPr>
          <w:rFonts w:ascii="Times New Roman" w:eastAsia="Times New Roman" w:hAnsi="Times New Roman" w:cs="Times New Roman"/>
          <w:color w:val="000000"/>
          <w:lang w:eastAsia="hu-HU"/>
        </w:rPr>
        <w:t xml:space="preserve">Nyitott szakterülete új eredményei felé, törekszik azok megismerésére. </w:t>
      </w:r>
    </w:p>
    <w:p w:rsidR="006279A1" w:rsidRPr="006279A1" w:rsidRDefault="006279A1" w:rsidP="006279A1">
      <w:pPr>
        <w:autoSpaceDE w:val="0"/>
        <w:autoSpaceDN w:val="0"/>
        <w:adjustRightInd w:val="0"/>
        <w:spacing w:before="120" w:after="120" w:line="240" w:lineRule="auto"/>
        <w:ind w:left="646"/>
        <w:jc w:val="both"/>
        <w:rPr>
          <w:rFonts w:ascii="Times New Roman" w:eastAsia="Times New Roman" w:hAnsi="Times New Roman" w:cs="Times New Roman"/>
          <w:b/>
          <w:bCs/>
          <w:color w:val="000000"/>
          <w:lang w:eastAsia="hu-HU"/>
        </w:rPr>
      </w:pPr>
      <w:r w:rsidRPr="006279A1">
        <w:rPr>
          <w:rFonts w:ascii="Times New Roman" w:eastAsia="Times New Roman" w:hAnsi="Times New Roman" w:cs="Times New Roman"/>
          <w:b/>
          <w:bCs/>
          <w:color w:val="000000"/>
          <w:lang w:eastAsia="hu-HU"/>
        </w:rPr>
        <w:t>Autonómiája és felelőssége:</w:t>
      </w:r>
    </w:p>
    <w:p w:rsidR="006279A1" w:rsidRPr="006279A1" w:rsidRDefault="006279A1"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6279A1">
        <w:rPr>
          <w:rFonts w:ascii="Times New Roman" w:eastAsia="Times New Roman" w:hAnsi="Times New Roman" w:cs="Times New Roman"/>
          <w:color w:val="000000"/>
          <w:lang w:eastAsia="hu-HU"/>
        </w:rPr>
        <w:t>Képes szakfeladatait önállóan végezni, saját munkáját hatékonyan megszervezni és végrehajtani.</w:t>
      </w:r>
    </w:p>
    <w:p w:rsidR="006279A1" w:rsidRPr="006279A1" w:rsidRDefault="006279A1"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6279A1">
        <w:rPr>
          <w:rFonts w:ascii="Times New Roman" w:eastAsia="Times New Roman" w:hAnsi="Times New Roman" w:cs="Times New Roman"/>
          <w:color w:val="000000"/>
          <w:lang w:eastAsia="hu-HU"/>
        </w:rPr>
        <w:t>Együttműködés és felelősség jellemzi szakterületének szakembereivel szemben.</w:t>
      </w:r>
    </w:p>
    <w:p w:rsidR="006279A1" w:rsidRPr="006279A1" w:rsidRDefault="006279A1"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6279A1">
        <w:rPr>
          <w:rFonts w:ascii="Times New Roman" w:eastAsia="Times New Roman" w:hAnsi="Times New Roman" w:cs="Times New Roman"/>
          <w:color w:val="000000"/>
          <w:lang w:eastAsia="hu-HU"/>
        </w:rPr>
        <w:t>Szakterületén belül képes rendszer-szemléletűen gondolkodni.</w:t>
      </w:r>
    </w:p>
    <w:p w:rsidR="006279A1" w:rsidRPr="006279A1" w:rsidRDefault="006279A1" w:rsidP="006279A1">
      <w:pPr>
        <w:autoSpaceDE w:val="0"/>
        <w:autoSpaceDN w:val="0"/>
        <w:adjustRightInd w:val="0"/>
        <w:spacing w:before="120" w:after="120" w:line="240" w:lineRule="auto"/>
        <w:ind w:left="644"/>
        <w:jc w:val="both"/>
        <w:rPr>
          <w:rFonts w:ascii="Times New Roman" w:eastAsia="Times New Roman" w:hAnsi="Times New Roman" w:cs="Times New Roman"/>
          <w:b/>
          <w:bCs/>
          <w:color w:val="000000"/>
          <w:lang w:eastAsia="hu-HU"/>
        </w:rPr>
      </w:pPr>
      <w:r w:rsidRPr="006279A1">
        <w:rPr>
          <w:rFonts w:ascii="Times New Roman" w:eastAsia="Times New Roman" w:hAnsi="Times New Roman" w:cs="Times New Roman"/>
          <w:b/>
          <w:bCs/>
          <w:color w:val="000000"/>
          <w:lang w:eastAsia="hu-HU"/>
        </w:rPr>
        <w:t>Elérendő kompetenciák (angolul):</w:t>
      </w:r>
    </w:p>
    <w:p w:rsidR="006279A1" w:rsidRPr="006279A1" w:rsidRDefault="006279A1" w:rsidP="006279A1">
      <w:pPr>
        <w:tabs>
          <w:tab w:val="right" w:pos="900"/>
        </w:tabs>
        <w:spacing w:before="120" w:after="120" w:line="240" w:lineRule="auto"/>
        <w:ind w:left="646"/>
        <w:jc w:val="both"/>
        <w:rPr>
          <w:rFonts w:ascii="Times New Roman" w:eastAsia="Times New Roman" w:hAnsi="Times New Roman" w:cs="Times New Roman"/>
          <w:bCs/>
          <w:lang w:eastAsia="hu-HU"/>
        </w:rPr>
      </w:pPr>
      <w:r w:rsidRPr="006279A1">
        <w:rPr>
          <w:rFonts w:ascii="Times New Roman" w:eastAsia="Times New Roman" w:hAnsi="Times New Roman" w:cs="Times New Roman"/>
          <w:b/>
          <w:bCs/>
          <w:lang w:eastAsia="hu-HU"/>
        </w:rPr>
        <w:t>Knowledge:</w:t>
      </w:r>
    </w:p>
    <w:p w:rsidR="006279A1" w:rsidRPr="006279A1" w:rsidRDefault="006279A1"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6279A1">
        <w:rPr>
          <w:rFonts w:ascii="Times New Roman" w:eastAsia="Times New Roman" w:hAnsi="Times New Roman" w:cs="Times New Roman"/>
          <w:color w:val="000000"/>
          <w:lang w:eastAsia="hu-HU"/>
        </w:rPr>
        <w:t>Possesses adequate basic engineering knowledge which enables the acquirement of new knowledge.</w:t>
      </w:r>
    </w:p>
    <w:p w:rsidR="006279A1" w:rsidRPr="006279A1" w:rsidRDefault="006279A1"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6279A1">
        <w:rPr>
          <w:rFonts w:ascii="Times New Roman" w:eastAsia="Times New Roman" w:hAnsi="Times New Roman" w:cs="Times New Roman"/>
          <w:color w:val="000000"/>
          <w:lang w:eastAsia="hu-HU"/>
        </w:rPr>
        <w:t>Knows the range of materials required for the maintenance of the weapon.</w:t>
      </w:r>
    </w:p>
    <w:p w:rsidR="006279A1" w:rsidRPr="006279A1" w:rsidRDefault="006279A1"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6279A1">
        <w:rPr>
          <w:rFonts w:ascii="Times New Roman" w:eastAsia="Times New Roman" w:hAnsi="Times New Roman" w:cs="Times New Roman"/>
          <w:color w:val="000000"/>
          <w:lang w:eastAsia="hu-HU"/>
        </w:rPr>
        <w:t>Knows the work safety regulations required for fulfilling his/her professional tasks.</w:t>
      </w:r>
    </w:p>
    <w:p w:rsidR="006279A1" w:rsidRPr="006279A1" w:rsidRDefault="006279A1"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6279A1">
        <w:rPr>
          <w:rFonts w:ascii="Times New Roman" w:eastAsia="Times New Roman" w:hAnsi="Times New Roman" w:cs="Times New Roman"/>
          <w:color w:val="000000"/>
          <w:lang w:eastAsia="hu-HU"/>
        </w:rPr>
        <w:t>Possesses knowledge of adequate depth and spectrum regarding weapon types.</w:t>
      </w:r>
    </w:p>
    <w:p w:rsidR="006279A1" w:rsidRPr="006279A1" w:rsidRDefault="006279A1" w:rsidP="006279A1">
      <w:pPr>
        <w:tabs>
          <w:tab w:val="right" w:pos="900"/>
        </w:tabs>
        <w:spacing w:before="120" w:after="120" w:line="240" w:lineRule="auto"/>
        <w:ind w:left="646"/>
        <w:jc w:val="both"/>
        <w:rPr>
          <w:rFonts w:ascii="Times New Roman" w:eastAsia="Times New Roman" w:hAnsi="Times New Roman" w:cs="Times New Roman"/>
          <w:b/>
          <w:bCs/>
          <w:lang w:eastAsia="hu-HU"/>
        </w:rPr>
      </w:pPr>
      <w:r w:rsidRPr="006279A1">
        <w:rPr>
          <w:rFonts w:ascii="Times New Roman" w:eastAsia="Times New Roman" w:hAnsi="Times New Roman" w:cs="Times New Roman"/>
          <w:b/>
          <w:bCs/>
          <w:lang w:eastAsia="hu-HU"/>
        </w:rPr>
        <w:t>Capabilities:</w:t>
      </w:r>
    </w:p>
    <w:p w:rsidR="006279A1" w:rsidRPr="006279A1" w:rsidRDefault="006279A1"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6279A1">
        <w:rPr>
          <w:rFonts w:ascii="Times New Roman" w:eastAsia="Times New Roman" w:hAnsi="Times New Roman" w:cs="Times New Roman"/>
          <w:color w:val="000000"/>
          <w:lang w:eastAsia="hu-HU"/>
        </w:rPr>
        <w:t>Is capable of organizing and efficiently utilizing the usage of the equipment and technical appliances applied in his/her respective specialty field.</w:t>
      </w:r>
    </w:p>
    <w:p w:rsidR="006279A1" w:rsidRPr="006279A1" w:rsidRDefault="006279A1"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6279A1">
        <w:rPr>
          <w:rFonts w:ascii="Times New Roman" w:eastAsia="Times New Roman" w:hAnsi="Times New Roman" w:cs="Times New Roman"/>
          <w:color w:val="000000"/>
          <w:lang w:eastAsia="hu-HU"/>
        </w:rPr>
        <w:t>Is capable of acqiring the understaning of new engineering information arising in his/her field of specialty using the already gained knowldge.</w:t>
      </w:r>
    </w:p>
    <w:p w:rsidR="006279A1" w:rsidRPr="006279A1" w:rsidRDefault="006279A1" w:rsidP="006279A1">
      <w:pPr>
        <w:tabs>
          <w:tab w:val="right" w:pos="900"/>
        </w:tabs>
        <w:spacing w:before="120" w:after="120" w:line="240" w:lineRule="auto"/>
        <w:ind w:left="646"/>
        <w:jc w:val="both"/>
        <w:rPr>
          <w:rFonts w:ascii="Times New Roman" w:eastAsia="Times New Roman" w:hAnsi="Times New Roman" w:cs="Times New Roman"/>
          <w:b/>
          <w:bCs/>
          <w:lang w:eastAsia="hu-HU"/>
        </w:rPr>
      </w:pPr>
      <w:r w:rsidRPr="006279A1">
        <w:rPr>
          <w:rFonts w:ascii="Times New Roman" w:eastAsia="Times New Roman" w:hAnsi="Times New Roman" w:cs="Times New Roman"/>
          <w:b/>
          <w:bCs/>
          <w:lang w:eastAsia="hu-HU"/>
        </w:rPr>
        <w:t>Attitude:</w:t>
      </w:r>
    </w:p>
    <w:p w:rsidR="006279A1" w:rsidRPr="006279A1" w:rsidRDefault="006279A1"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6279A1">
        <w:rPr>
          <w:rFonts w:ascii="Times New Roman" w:eastAsia="Times New Roman" w:hAnsi="Times New Roman" w:cs="Times New Roman"/>
          <w:color w:val="000000"/>
          <w:lang w:eastAsia="hu-HU"/>
        </w:rPr>
        <w:t>He/she is open to widen his/her knowledge regarding weapons and has a constant need for self-education.</w:t>
      </w:r>
    </w:p>
    <w:p w:rsidR="006279A1" w:rsidRPr="006279A1" w:rsidRDefault="006279A1"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6279A1">
        <w:rPr>
          <w:rFonts w:ascii="Times New Roman" w:eastAsia="Times New Roman" w:hAnsi="Times New Roman" w:cs="Times New Roman"/>
          <w:color w:val="000000"/>
          <w:lang w:eastAsia="hu-HU"/>
        </w:rPr>
        <w:t>He/she is open towards the new accomplishments of military technology and aims to gain knowledge of these.</w:t>
      </w:r>
    </w:p>
    <w:p w:rsidR="006279A1" w:rsidRPr="006279A1" w:rsidRDefault="006279A1" w:rsidP="006279A1">
      <w:pPr>
        <w:tabs>
          <w:tab w:val="right" w:pos="900"/>
        </w:tabs>
        <w:spacing w:before="120" w:after="120" w:line="240" w:lineRule="auto"/>
        <w:ind w:left="644"/>
        <w:jc w:val="both"/>
        <w:rPr>
          <w:rFonts w:ascii="Times New Roman" w:eastAsia="Times New Roman" w:hAnsi="Times New Roman" w:cs="Times New Roman"/>
          <w:bCs/>
          <w:lang w:eastAsia="hu-HU"/>
        </w:rPr>
      </w:pPr>
      <w:r w:rsidRPr="006279A1">
        <w:rPr>
          <w:rFonts w:ascii="Times New Roman" w:eastAsia="Times New Roman" w:hAnsi="Times New Roman" w:cs="Times New Roman"/>
          <w:b/>
          <w:bCs/>
          <w:lang w:eastAsia="hu-HU"/>
        </w:rPr>
        <w:t>Autonomy and responsibility</w:t>
      </w:r>
    </w:p>
    <w:p w:rsidR="006279A1" w:rsidRPr="006279A1" w:rsidRDefault="006279A1"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6279A1">
        <w:rPr>
          <w:rFonts w:ascii="Times New Roman" w:eastAsia="Times New Roman" w:hAnsi="Times New Roman" w:cs="Times New Roman"/>
          <w:color w:val="000000"/>
          <w:lang w:eastAsia="hu-HU"/>
        </w:rPr>
        <w:t>Is capable of independently fulfilling his/her professional tasks as well as effectively organizing and executing his/her own work.</w:t>
      </w:r>
    </w:p>
    <w:p w:rsidR="006279A1" w:rsidRPr="006279A1" w:rsidRDefault="006279A1"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6279A1">
        <w:rPr>
          <w:rFonts w:ascii="Times New Roman" w:eastAsia="Times New Roman" w:hAnsi="Times New Roman" w:cs="Times New Roman"/>
          <w:color w:val="000000"/>
          <w:lang w:eastAsia="hu-HU"/>
        </w:rPr>
        <w:t>He/she is cooperative and responsible towards the professionals of his/her field. Is capable of thinking in a system approach within his/her own field.</w:t>
      </w:r>
    </w:p>
    <w:p w:rsidR="006279A1" w:rsidRPr="006279A1" w:rsidRDefault="006279A1" w:rsidP="00980876">
      <w:pPr>
        <w:numPr>
          <w:ilvl w:val="0"/>
          <w:numId w:val="709"/>
        </w:numPr>
        <w:tabs>
          <w:tab w:val="clear" w:pos="720"/>
          <w:tab w:val="num" w:pos="644"/>
          <w:tab w:val="right" w:pos="900"/>
          <w:tab w:val="center" w:pos="4536"/>
          <w:tab w:val="right" w:pos="9071"/>
        </w:tabs>
        <w:spacing w:before="120" w:after="120" w:line="240" w:lineRule="auto"/>
        <w:ind w:left="644"/>
        <w:jc w:val="both"/>
        <w:rPr>
          <w:rFonts w:ascii="Times New Roman" w:eastAsia="Times New Roman" w:hAnsi="Times New Roman" w:cs="Times New Roman"/>
          <w:bCs/>
          <w:lang w:eastAsia="hu-HU"/>
        </w:rPr>
      </w:pPr>
      <w:r w:rsidRPr="006279A1">
        <w:rPr>
          <w:rFonts w:ascii="Times New Roman" w:eastAsia="Times New Roman" w:hAnsi="Times New Roman" w:cs="Times New Roman"/>
          <w:b/>
          <w:bCs/>
          <w:lang w:eastAsia="hu-HU"/>
        </w:rPr>
        <w:t xml:space="preserve">Előtanulmányi kötelezettségek:  - </w:t>
      </w:r>
    </w:p>
    <w:p w:rsidR="006279A1" w:rsidRPr="006279A1" w:rsidRDefault="006279A1" w:rsidP="00980876">
      <w:pPr>
        <w:numPr>
          <w:ilvl w:val="0"/>
          <w:numId w:val="709"/>
        </w:numPr>
        <w:tabs>
          <w:tab w:val="clear" w:pos="720"/>
          <w:tab w:val="num" w:pos="644"/>
        </w:tabs>
        <w:spacing w:before="120" w:after="120" w:line="240" w:lineRule="auto"/>
        <w:ind w:left="641" w:hanging="357"/>
        <w:jc w:val="both"/>
        <w:rPr>
          <w:rFonts w:ascii="Times New Roman" w:eastAsia="Times New Roman" w:hAnsi="Times New Roman" w:cs="Times New Roman"/>
          <w:b/>
          <w:lang w:eastAsia="hu-HU"/>
        </w:rPr>
      </w:pPr>
      <w:r w:rsidRPr="006279A1">
        <w:rPr>
          <w:rFonts w:ascii="Times New Roman" w:eastAsia="Times New Roman" w:hAnsi="Times New Roman" w:cs="Times New Roman"/>
          <w:b/>
          <w:lang w:eastAsia="hu-HU"/>
        </w:rPr>
        <w:t xml:space="preserve">A tantárgy tananyagának leírása: (tematika): </w:t>
      </w:r>
    </w:p>
    <w:p w:rsidR="006279A1" w:rsidRPr="006279A1" w:rsidRDefault="006279A1" w:rsidP="00980876">
      <w:pPr>
        <w:numPr>
          <w:ilvl w:val="1"/>
          <w:numId w:val="709"/>
        </w:numPr>
        <w:tabs>
          <w:tab w:val="clear" w:pos="3977"/>
          <w:tab w:val="num" w:pos="1425"/>
        </w:tabs>
        <w:spacing w:before="120" w:after="120" w:line="240" w:lineRule="auto"/>
        <w:ind w:left="1134" w:hanging="566"/>
        <w:jc w:val="both"/>
        <w:rPr>
          <w:rFonts w:ascii="Times New Roman" w:eastAsia="Times New Roman" w:hAnsi="Times New Roman" w:cs="Times New Roman"/>
          <w:i/>
          <w:lang w:eastAsia="hu-HU"/>
        </w:rPr>
      </w:pPr>
      <w:r w:rsidRPr="006279A1">
        <w:rPr>
          <w:rFonts w:ascii="Times New Roman" w:eastAsia="Times New Roman" w:hAnsi="Times New Roman" w:cs="Times New Roman"/>
          <w:lang w:eastAsia="hu-HU"/>
        </w:rPr>
        <w:t xml:space="preserve">Lövészfegyverekben lövés közbeni megmaradó mennyiségek definíciója, a tételek alkalmazásai fegyverkonstrukcióknál illetve a lövés folyamatában. </w:t>
      </w:r>
      <w:r w:rsidRPr="006279A1">
        <w:rPr>
          <w:rFonts w:ascii="Times New Roman" w:eastAsia="Times New Roman" w:hAnsi="Times New Roman" w:cs="Times New Roman"/>
          <w:i/>
          <w:lang w:eastAsia="hu-HU"/>
        </w:rPr>
        <w:t>(Definition of remaining quantities in firearms during shooting, application of items in weapon designs and in the firing process.)</w:t>
      </w:r>
    </w:p>
    <w:p w:rsidR="006279A1" w:rsidRPr="006279A1" w:rsidRDefault="006279A1" w:rsidP="00980876">
      <w:pPr>
        <w:numPr>
          <w:ilvl w:val="1"/>
          <w:numId w:val="709"/>
        </w:numPr>
        <w:tabs>
          <w:tab w:val="clear" w:pos="3977"/>
          <w:tab w:val="num" w:pos="1425"/>
        </w:tabs>
        <w:spacing w:before="120" w:after="120" w:line="240" w:lineRule="auto"/>
        <w:ind w:left="1134" w:hanging="566"/>
        <w:jc w:val="both"/>
        <w:rPr>
          <w:rFonts w:ascii="Times New Roman" w:eastAsia="Times New Roman" w:hAnsi="Times New Roman" w:cs="Times New Roman"/>
          <w:bCs/>
          <w:i/>
          <w:lang w:eastAsia="hu-HU"/>
        </w:rPr>
      </w:pPr>
      <w:r w:rsidRPr="006279A1">
        <w:rPr>
          <w:rFonts w:ascii="Times New Roman" w:eastAsia="Times New Roman" w:hAnsi="Times New Roman" w:cs="Times New Roman"/>
          <w:lang w:eastAsia="hu-HU"/>
        </w:rPr>
        <w:t xml:space="preserve">Lövészfegyverek definíciói és elvei: felosztásuk, konstrukciós tulajdonságai, harcászati és műszaki követelményei, alkalmazásuk, alapvető működési elveik, tárazásuk és </w:t>
      </w:r>
      <w:r w:rsidRPr="006279A1">
        <w:rPr>
          <w:rFonts w:ascii="Times New Roman" w:eastAsia="Times New Roman" w:hAnsi="Times New Roman" w:cs="Times New Roman"/>
          <w:lang w:eastAsia="hu-HU"/>
        </w:rPr>
        <w:lastRenderedPageBreak/>
        <w:t xml:space="preserve">tárelrendezésük, zárak, zárolások elve, szilárdsági ellenőrzésük alapelvei. </w:t>
      </w:r>
      <w:r w:rsidRPr="006279A1">
        <w:rPr>
          <w:rFonts w:ascii="Times New Roman" w:eastAsia="Times New Roman" w:hAnsi="Times New Roman" w:cs="Times New Roman"/>
          <w:i/>
          <w:lang w:eastAsia="hu-HU"/>
        </w:rPr>
        <w:t>(Definitions and principles of firearms: their division, constructional properties, tactical and technical requirements, their application, their basic operating principles, their storage and storage arrangement, the principles of locks, locks, the principles of strength control.)</w:t>
      </w:r>
    </w:p>
    <w:p w:rsidR="006279A1" w:rsidRPr="006279A1" w:rsidRDefault="006279A1" w:rsidP="00980876">
      <w:pPr>
        <w:numPr>
          <w:ilvl w:val="1"/>
          <w:numId w:val="709"/>
        </w:numPr>
        <w:tabs>
          <w:tab w:val="clear" w:pos="3977"/>
          <w:tab w:val="num" w:pos="1425"/>
        </w:tabs>
        <w:spacing w:before="120" w:after="120" w:line="240" w:lineRule="auto"/>
        <w:ind w:left="1134" w:hanging="566"/>
        <w:jc w:val="both"/>
        <w:rPr>
          <w:rFonts w:ascii="Times New Roman" w:eastAsia="Times New Roman" w:hAnsi="Times New Roman" w:cs="Times New Roman"/>
          <w:bCs/>
          <w:i/>
          <w:lang w:eastAsia="hu-HU"/>
        </w:rPr>
      </w:pPr>
      <w:r w:rsidRPr="006279A1">
        <w:rPr>
          <w:rFonts w:ascii="Times New Roman" w:eastAsia="Times New Roman" w:hAnsi="Times New Roman" w:cs="Times New Roman"/>
          <w:lang w:eastAsia="hu-HU"/>
        </w:rPr>
        <w:t xml:space="preserve">Lövészfegyverekben lövés közben fellépő folyamatok, mechanikai, áramlástani és hőtani aspektusai. </w:t>
      </w:r>
      <w:r w:rsidRPr="006279A1">
        <w:rPr>
          <w:rFonts w:ascii="Times New Roman" w:eastAsia="Times New Roman" w:hAnsi="Times New Roman" w:cs="Times New Roman"/>
          <w:i/>
          <w:lang w:eastAsia="hu-HU"/>
        </w:rPr>
        <w:t>(Processes, mechanical, fluid and thermal aspects of firearms during firing.)</w:t>
      </w:r>
    </w:p>
    <w:p w:rsidR="006279A1" w:rsidRPr="006279A1" w:rsidRDefault="006279A1" w:rsidP="00980876">
      <w:pPr>
        <w:numPr>
          <w:ilvl w:val="1"/>
          <w:numId w:val="709"/>
        </w:numPr>
        <w:tabs>
          <w:tab w:val="clear" w:pos="3977"/>
          <w:tab w:val="num" w:pos="1425"/>
        </w:tabs>
        <w:spacing w:before="120" w:after="120" w:line="240" w:lineRule="auto"/>
        <w:ind w:left="1134" w:hanging="566"/>
        <w:jc w:val="both"/>
        <w:rPr>
          <w:rFonts w:ascii="Times New Roman" w:eastAsia="Times New Roman" w:hAnsi="Times New Roman" w:cs="Times New Roman"/>
          <w:bCs/>
          <w:i/>
          <w:lang w:eastAsia="hu-HU"/>
        </w:rPr>
      </w:pPr>
      <w:r w:rsidRPr="006279A1">
        <w:rPr>
          <w:rFonts w:ascii="Times New Roman" w:eastAsia="Times New Roman" w:hAnsi="Times New Roman" w:cs="Times New Roman"/>
          <w:lang w:eastAsia="hu-HU"/>
        </w:rPr>
        <w:t>Lövészfegyverek rendszertana</w:t>
      </w:r>
      <w:r w:rsidRPr="006279A1">
        <w:rPr>
          <w:rFonts w:ascii="Times New Roman" w:eastAsia="Times New Roman" w:hAnsi="Times New Roman" w:cs="Times New Roman"/>
          <w:i/>
          <w:lang w:eastAsia="hu-HU"/>
        </w:rPr>
        <w:t>. (Taxonomy of firearms.)</w:t>
      </w:r>
    </w:p>
    <w:p w:rsidR="006279A1" w:rsidRPr="006279A1" w:rsidRDefault="006279A1" w:rsidP="00980876">
      <w:pPr>
        <w:numPr>
          <w:ilvl w:val="1"/>
          <w:numId w:val="709"/>
        </w:numPr>
        <w:tabs>
          <w:tab w:val="clear" w:pos="3977"/>
          <w:tab w:val="num" w:pos="1425"/>
        </w:tabs>
        <w:spacing w:before="120" w:after="120" w:line="240" w:lineRule="auto"/>
        <w:ind w:left="1134" w:hanging="566"/>
        <w:jc w:val="both"/>
        <w:rPr>
          <w:rFonts w:ascii="Times New Roman" w:eastAsia="Times New Roman" w:hAnsi="Times New Roman" w:cs="Times New Roman"/>
          <w:bCs/>
          <w:i/>
          <w:lang w:eastAsia="hu-HU"/>
        </w:rPr>
      </w:pPr>
      <w:r w:rsidRPr="006279A1">
        <w:rPr>
          <w:rFonts w:ascii="Times New Roman" w:eastAsia="Times New Roman" w:hAnsi="Times New Roman" w:cs="Times New Roman"/>
          <w:lang w:eastAsia="hu-HU"/>
        </w:rPr>
        <w:t xml:space="preserve">Lövészfegyverek alkalmazott működési rendszer alapján történő felosztása, rendszerek működése. </w:t>
      </w:r>
      <w:r w:rsidRPr="006279A1">
        <w:rPr>
          <w:rFonts w:ascii="Times New Roman" w:eastAsia="Times New Roman" w:hAnsi="Times New Roman" w:cs="Times New Roman"/>
          <w:i/>
          <w:lang w:eastAsia="hu-HU"/>
        </w:rPr>
        <w:t>(Distribution of firearms according to the operating system used, operation of systems.)</w:t>
      </w:r>
    </w:p>
    <w:p w:rsidR="006279A1" w:rsidRPr="006279A1" w:rsidRDefault="006279A1" w:rsidP="00980876">
      <w:pPr>
        <w:numPr>
          <w:ilvl w:val="1"/>
          <w:numId w:val="709"/>
        </w:numPr>
        <w:tabs>
          <w:tab w:val="clear" w:pos="3977"/>
          <w:tab w:val="num" w:pos="1425"/>
        </w:tabs>
        <w:spacing w:before="120" w:after="120" w:line="240" w:lineRule="auto"/>
        <w:ind w:left="1134" w:hanging="566"/>
        <w:jc w:val="both"/>
        <w:rPr>
          <w:rFonts w:ascii="Times New Roman" w:eastAsia="Times New Roman" w:hAnsi="Times New Roman" w:cs="Times New Roman"/>
          <w:i/>
          <w:lang w:eastAsia="hu-HU"/>
        </w:rPr>
      </w:pPr>
      <w:r w:rsidRPr="006279A1">
        <w:rPr>
          <w:rFonts w:ascii="Times New Roman" w:eastAsia="Times New Roman" w:hAnsi="Times New Roman" w:cs="Times New Roman"/>
          <w:lang w:eastAsia="hu-HU"/>
        </w:rPr>
        <w:t>Lövészfegyverek szerkezettana</w:t>
      </w:r>
      <w:r w:rsidRPr="006279A1">
        <w:rPr>
          <w:rFonts w:ascii="Times New Roman" w:eastAsia="Times New Roman" w:hAnsi="Times New Roman" w:cs="Times New Roman"/>
          <w:i/>
          <w:lang w:eastAsia="hu-HU"/>
        </w:rPr>
        <w:t xml:space="preserve">, </w:t>
      </w:r>
      <w:r w:rsidRPr="006279A1">
        <w:rPr>
          <w:rFonts w:ascii="Times New Roman" w:eastAsia="Times New Roman" w:hAnsi="Times New Roman" w:cs="Times New Roman"/>
          <w:lang w:eastAsia="hu-HU"/>
        </w:rPr>
        <w:t xml:space="preserve">Lövészfegyverek szerkezeti felépítése, szerkezeti elemek rendeltetése, működése. Szerkezeti elemek megvalósítási formái. </w:t>
      </w:r>
      <w:r w:rsidRPr="006279A1">
        <w:rPr>
          <w:rFonts w:ascii="Times New Roman" w:eastAsia="Times New Roman" w:hAnsi="Times New Roman" w:cs="Times New Roman"/>
          <w:i/>
          <w:lang w:eastAsia="hu-HU"/>
        </w:rPr>
        <w:t>(Structure of firearms, purpose and operation of structural elements. Embodiments of structural elements.)</w:t>
      </w:r>
    </w:p>
    <w:p w:rsidR="006279A1" w:rsidRPr="006279A1" w:rsidRDefault="006279A1" w:rsidP="00980876">
      <w:pPr>
        <w:numPr>
          <w:ilvl w:val="1"/>
          <w:numId w:val="709"/>
        </w:numPr>
        <w:tabs>
          <w:tab w:val="clear" w:pos="3977"/>
          <w:tab w:val="num" w:pos="1425"/>
        </w:tabs>
        <w:spacing w:before="120" w:after="120" w:line="240" w:lineRule="auto"/>
        <w:ind w:left="1134" w:hanging="566"/>
        <w:jc w:val="both"/>
        <w:rPr>
          <w:rFonts w:ascii="Times New Roman" w:eastAsia="Times New Roman" w:hAnsi="Times New Roman" w:cs="Times New Roman"/>
          <w:i/>
          <w:lang w:eastAsia="hu-HU"/>
        </w:rPr>
      </w:pPr>
      <w:r w:rsidRPr="006279A1">
        <w:rPr>
          <w:rFonts w:ascii="Times New Roman" w:eastAsia="Times New Roman" w:hAnsi="Times New Roman" w:cs="Times New Roman"/>
          <w:lang w:eastAsia="hu-HU"/>
        </w:rPr>
        <w:t xml:space="preserve">Huzagemelkedés meghatározása. Fegyvercsőben kialakítandó huzagolás geometriai és szilárdsági számítása. </w:t>
      </w:r>
      <w:r w:rsidRPr="006279A1">
        <w:rPr>
          <w:rFonts w:ascii="Times New Roman" w:eastAsia="Times New Roman" w:hAnsi="Times New Roman" w:cs="Times New Roman"/>
          <w:i/>
          <w:lang w:eastAsia="hu-HU"/>
        </w:rPr>
        <w:t>(Determination of wire pitch. Geometric and strength calculations of barrel bonding.)</w:t>
      </w:r>
    </w:p>
    <w:p w:rsidR="006279A1" w:rsidRPr="006279A1" w:rsidRDefault="006279A1" w:rsidP="00980876">
      <w:pPr>
        <w:numPr>
          <w:ilvl w:val="1"/>
          <w:numId w:val="709"/>
        </w:numPr>
        <w:tabs>
          <w:tab w:val="clear" w:pos="3977"/>
          <w:tab w:val="num" w:pos="1425"/>
        </w:tabs>
        <w:spacing w:before="120" w:after="120" w:line="240" w:lineRule="auto"/>
        <w:ind w:left="1134" w:hanging="566"/>
        <w:jc w:val="both"/>
        <w:rPr>
          <w:rFonts w:ascii="Times New Roman" w:eastAsia="Times New Roman" w:hAnsi="Times New Roman" w:cs="Times New Roman"/>
          <w:i/>
          <w:lang w:eastAsia="hu-HU"/>
        </w:rPr>
      </w:pPr>
      <w:r w:rsidRPr="006279A1">
        <w:rPr>
          <w:rFonts w:ascii="Times New Roman" w:eastAsia="Times New Roman" w:hAnsi="Times New Roman" w:cs="Times New Roman"/>
          <w:lang w:eastAsia="hu-HU"/>
        </w:rPr>
        <w:t>Csőtorkolati szerelvények működési elvei</w:t>
      </w:r>
      <w:r w:rsidRPr="006279A1">
        <w:rPr>
          <w:rFonts w:ascii="Times New Roman" w:eastAsia="Times New Roman" w:hAnsi="Times New Roman" w:cs="Times New Roman"/>
          <w:i/>
          <w:lang w:eastAsia="hu-HU"/>
        </w:rPr>
        <w:t>. (Principles of operation of barrel fittings.)</w:t>
      </w:r>
    </w:p>
    <w:p w:rsidR="006279A1" w:rsidRPr="006279A1" w:rsidRDefault="006279A1" w:rsidP="00980876">
      <w:pPr>
        <w:numPr>
          <w:ilvl w:val="1"/>
          <w:numId w:val="709"/>
        </w:numPr>
        <w:tabs>
          <w:tab w:val="clear" w:pos="3977"/>
          <w:tab w:val="num" w:pos="1425"/>
        </w:tabs>
        <w:spacing w:before="120" w:after="120" w:line="240" w:lineRule="auto"/>
        <w:ind w:left="1134" w:hanging="566"/>
        <w:jc w:val="both"/>
        <w:rPr>
          <w:rFonts w:ascii="Times New Roman" w:eastAsia="Times New Roman" w:hAnsi="Times New Roman" w:cs="Times New Roman"/>
          <w:i/>
          <w:lang w:eastAsia="hu-HU"/>
        </w:rPr>
      </w:pPr>
      <w:r w:rsidRPr="006279A1">
        <w:rPr>
          <w:rFonts w:ascii="Times New Roman" w:eastAsia="Times New Roman" w:hAnsi="Times New Roman" w:cs="Times New Roman"/>
          <w:lang w:eastAsia="hu-HU"/>
        </w:rPr>
        <w:t xml:space="preserve">HSN és rakéta fegyverek működésének fizikai alapjai. A rakétahatás elve (Ciolkovszkij) és alkalmazásai. </w:t>
      </w:r>
      <w:r w:rsidRPr="006279A1">
        <w:rPr>
          <w:rFonts w:ascii="Times New Roman" w:eastAsia="Times New Roman" w:hAnsi="Times New Roman" w:cs="Times New Roman"/>
          <w:i/>
          <w:lang w:eastAsia="hu-HU"/>
        </w:rPr>
        <w:t>(Physical basics for the operation of recoilless rifle and rocket weapons. Rocket effect principle (Ciolkovsky) and its applications.)</w:t>
      </w:r>
    </w:p>
    <w:p w:rsidR="006279A1" w:rsidRPr="006279A1" w:rsidRDefault="006279A1" w:rsidP="00980876">
      <w:pPr>
        <w:numPr>
          <w:ilvl w:val="1"/>
          <w:numId w:val="709"/>
        </w:numPr>
        <w:tabs>
          <w:tab w:val="clear" w:pos="3977"/>
          <w:tab w:val="num" w:pos="1425"/>
        </w:tabs>
        <w:spacing w:before="120" w:after="120" w:line="240" w:lineRule="auto"/>
        <w:ind w:left="1134" w:hanging="566"/>
        <w:jc w:val="both"/>
        <w:rPr>
          <w:rFonts w:ascii="Times New Roman" w:eastAsia="Times New Roman" w:hAnsi="Times New Roman" w:cs="Times New Roman"/>
          <w:i/>
          <w:lang w:eastAsia="hu-HU"/>
        </w:rPr>
      </w:pPr>
      <w:r w:rsidRPr="006279A1">
        <w:rPr>
          <w:rFonts w:ascii="Times New Roman" w:eastAsia="Times New Roman" w:hAnsi="Times New Roman" w:cs="Times New Roman"/>
          <w:lang w:eastAsia="hu-HU"/>
        </w:rPr>
        <w:t>A maximálisan elérhető legnagyobb sebesség képlete</w:t>
      </w:r>
      <w:r w:rsidRPr="006279A1">
        <w:rPr>
          <w:rFonts w:ascii="Times New Roman" w:eastAsia="Times New Roman" w:hAnsi="Times New Roman" w:cs="Times New Roman"/>
          <w:i/>
          <w:lang w:eastAsia="hu-HU"/>
        </w:rPr>
        <w:t>. (The formula for the maximum available speed.)</w:t>
      </w:r>
    </w:p>
    <w:p w:rsidR="006279A1" w:rsidRPr="006279A1" w:rsidRDefault="006279A1" w:rsidP="00980876">
      <w:pPr>
        <w:numPr>
          <w:ilvl w:val="1"/>
          <w:numId w:val="709"/>
        </w:numPr>
        <w:tabs>
          <w:tab w:val="clear" w:pos="3977"/>
          <w:tab w:val="num" w:pos="1425"/>
        </w:tabs>
        <w:spacing w:before="120" w:after="120" w:line="240" w:lineRule="auto"/>
        <w:ind w:left="1134" w:hanging="566"/>
        <w:jc w:val="both"/>
        <w:rPr>
          <w:rFonts w:ascii="Times New Roman" w:eastAsia="Times New Roman" w:hAnsi="Times New Roman" w:cs="Times New Roman"/>
          <w:i/>
          <w:lang w:eastAsia="hu-HU"/>
        </w:rPr>
      </w:pPr>
      <w:r w:rsidRPr="006279A1">
        <w:rPr>
          <w:rFonts w:ascii="Times New Roman" w:eastAsia="Times New Roman" w:hAnsi="Times New Roman" w:cs="Times New Roman"/>
          <w:lang w:eastAsia="hu-HU"/>
        </w:rPr>
        <w:t xml:space="preserve">Hátra hatás kompenzálása HSN fegyvereknél. </w:t>
      </w:r>
      <w:r w:rsidRPr="006279A1">
        <w:rPr>
          <w:rFonts w:ascii="Times New Roman" w:eastAsia="Times New Roman" w:hAnsi="Times New Roman" w:cs="Times New Roman"/>
          <w:i/>
          <w:lang w:eastAsia="hu-HU"/>
        </w:rPr>
        <w:t>(Backward Compensation for recoilless rifle weapons.)</w:t>
      </w:r>
    </w:p>
    <w:p w:rsidR="006279A1" w:rsidRPr="006279A1" w:rsidRDefault="006279A1" w:rsidP="00980876">
      <w:pPr>
        <w:numPr>
          <w:ilvl w:val="1"/>
          <w:numId w:val="709"/>
        </w:numPr>
        <w:tabs>
          <w:tab w:val="clear" w:pos="3977"/>
          <w:tab w:val="num" w:pos="1425"/>
        </w:tabs>
        <w:spacing w:before="120" w:after="120" w:line="240" w:lineRule="auto"/>
        <w:ind w:left="1134" w:hanging="566"/>
        <w:jc w:val="both"/>
        <w:rPr>
          <w:rFonts w:ascii="Times New Roman" w:eastAsia="Times New Roman" w:hAnsi="Times New Roman" w:cs="Times New Roman"/>
          <w:i/>
          <w:lang w:eastAsia="hu-HU"/>
        </w:rPr>
      </w:pPr>
      <w:r w:rsidRPr="006279A1">
        <w:rPr>
          <w:rFonts w:ascii="Times New Roman" w:eastAsia="Times New Roman" w:hAnsi="Times New Roman" w:cs="Times New Roman"/>
          <w:lang w:eastAsia="hu-HU"/>
        </w:rPr>
        <w:t>Fegyvercsövek méretezésének alapelvei</w:t>
      </w:r>
      <w:r w:rsidRPr="006279A1">
        <w:rPr>
          <w:rFonts w:ascii="Times New Roman" w:eastAsia="Times New Roman" w:hAnsi="Times New Roman" w:cs="Times New Roman"/>
          <w:i/>
          <w:lang w:eastAsia="hu-HU"/>
        </w:rPr>
        <w:t>. (Principles for Sizing Weapons.)</w:t>
      </w:r>
    </w:p>
    <w:p w:rsidR="006279A1" w:rsidRPr="006279A1" w:rsidRDefault="006279A1" w:rsidP="00980876">
      <w:pPr>
        <w:numPr>
          <w:ilvl w:val="1"/>
          <w:numId w:val="709"/>
        </w:numPr>
        <w:tabs>
          <w:tab w:val="clear" w:pos="3977"/>
          <w:tab w:val="num" w:pos="1425"/>
        </w:tabs>
        <w:spacing w:before="120" w:after="120" w:line="240" w:lineRule="auto"/>
        <w:ind w:left="1134" w:hanging="566"/>
        <w:jc w:val="both"/>
        <w:rPr>
          <w:rFonts w:ascii="Times New Roman" w:eastAsia="Times New Roman" w:hAnsi="Times New Roman" w:cs="Times New Roman"/>
          <w:bCs/>
          <w:i/>
          <w:lang w:eastAsia="hu-HU"/>
        </w:rPr>
      </w:pPr>
      <w:r w:rsidRPr="006279A1">
        <w:rPr>
          <w:rFonts w:ascii="Times New Roman" w:eastAsia="Times New Roman" w:hAnsi="Times New Roman" w:cs="Times New Roman"/>
          <w:lang w:eastAsia="hu-HU"/>
        </w:rPr>
        <w:t>A MH-nél rendszeresített pisztolyok, géppisztolyok, karabélyok, gépkarabélyok, puskák, géppuskák, kézi páncélelhárító gránátvetők és aknavetők szerkezeti felépítése, működési elve, alapvető kezelése. (</w:t>
      </w:r>
      <w:r w:rsidRPr="006279A1">
        <w:rPr>
          <w:rFonts w:ascii="Times New Roman" w:eastAsia="Times New Roman" w:hAnsi="Times New Roman" w:cs="Times New Roman"/>
          <w:i/>
          <w:lang w:eastAsia="hu-HU"/>
        </w:rPr>
        <w:t>Structural design, operation, basic handling of pistols, machine guns, rifles, assault rifles, rifles, machine guns, hand-held anti-tank grenade launchers and launchers standardized at HDF.)</w:t>
      </w:r>
    </w:p>
    <w:p w:rsidR="006279A1" w:rsidRPr="006279A1" w:rsidRDefault="006279A1" w:rsidP="00980876">
      <w:pPr>
        <w:numPr>
          <w:ilvl w:val="1"/>
          <w:numId w:val="709"/>
        </w:numPr>
        <w:tabs>
          <w:tab w:val="clear" w:pos="3977"/>
          <w:tab w:val="num" w:pos="1425"/>
        </w:tabs>
        <w:spacing w:before="120" w:after="120" w:line="240" w:lineRule="auto"/>
        <w:ind w:left="1134" w:hanging="566"/>
        <w:jc w:val="both"/>
        <w:rPr>
          <w:rFonts w:ascii="Times New Roman" w:eastAsia="Times New Roman" w:hAnsi="Times New Roman" w:cs="Times New Roman"/>
          <w:bCs/>
          <w:i/>
          <w:lang w:eastAsia="hu-HU"/>
        </w:rPr>
      </w:pPr>
      <w:r w:rsidRPr="006279A1">
        <w:rPr>
          <w:rFonts w:ascii="Times New Roman" w:eastAsia="Times New Roman" w:hAnsi="Times New Roman" w:cs="Times New Roman"/>
          <w:lang w:eastAsia="hu-HU"/>
        </w:rPr>
        <w:t>Lövészfegyverek lőszer fajtái</w:t>
      </w:r>
      <w:r w:rsidRPr="006279A1">
        <w:rPr>
          <w:rFonts w:ascii="Times New Roman" w:eastAsia="Times New Roman" w:hAnsi="Times New Roman" w:cs="Times New Roman"/>
          <w:i/>
          <w:lang w:eastAsia="hu-HU"/>
        </w:rPr>
        <w:t>. (Types of ammunition for small arms.)</w:t>
      </w:r>
    </w:p>
    <w:p w:rsidR="006279A1" w:rsidRPr="006279A1" w:rsidRDefault="006279A1" w:rsidP="00980876">
      <w:pPr>
        <w:numPr>
          <w:ilvl w:val="0"/>
          <w:numId w:val="709"/>
        </w:numPr>
        <w:tabs>
          <w:tab w:val="clear" w:pos="720"/>
          <w:tab w:val="right" w:pos="567"/>
          <w:tab w:val="num" w:pos="644"/>
          <w:tab w:val="center" w:pos="4536"/>
          <w:tab w:val="right" w:pos="9071"/>
        </w:tabs>
        <w:spacing w:before="120" w:after="120" w:line="240" w:lineRule="auto"/>
        <w:ind w:left="426" w:hanging="142"/>
        <w:jc w:val="both"/>
        <w:rPr>
          <w:rFonts w:ascii="Times New Roman" w:eastAsia="Times New Roman" w:hAnsi="Times New Roman" w:cs="Times New Roman"/>
          <w:bCs/>
          <w:lang w:eastAsia="hu-HU"/>
        </w:rPr>
      </w:pPr>
      <w:r w:rsidRPr="006279A1">
        <w:rPr>
          <w:rFonts w:ascii="Times New Roman" w:eastAsia="Times New Roman" w:hAnsi="Times New Roman" w:cs="Times New Roman"/>
          <w:b/>
          <w:bCs/>
          <w:lang w:eastAsia="hu-HU"/>
        </w:rPr>
        <w:t xml:space="preserve">A tantárgy meghirdetésének gyakorisága/a tantervben történő félévi elhelyezkedése: </w:t>
      </w:r>
      <w:r w:rsidRPr="006279A1">
        <w:rPr>
          <w:rFonts w:ascii="Times New Roman" w:eastAsia="Times New Roman" w:hAnsi="Times New Roman" w:cs="Times New Roman"/>
          <w:bCs/>
          <w:lang w:eastAsia="hu-HU"/>
        </w:rPr>
        <w:t>évente /7. félév</w:t>
      </w:r>
    </w:p>
    <w:p w:rsidR="006279A1" w:rsidRPr="006279A1" w:rsidRDefault="006279A1" w:rsidP="00980876">
      <w:pPr>
        <w:widowControl w:val="0"/>
        <w:numPr>
          <w:ilvl w:val="0"/>
          <w:numId w:val="709"/>
        </w:numPr>
        <w:tabs>
          <w:tab w:val="num" w:pos="360"/>
          <w:tab w:val="num" w:pos="644"/>
        </w:tabs>
        <w:spacing w:before="120" w:after="120" w:line="240" w:lineRule="auto"/>
        <w:ind w:left="426" w:hanging="142"/>
        <w:jc w:val="both"/>
        <w:rPr>
          <w:rFonts w:ascii="Times New Roman" w:eastAsia="Times New Roman" w:hAnsi="Times New Roman" w:cs="Times New Roman"/>
          <w:bCs/>
          <w:lang w:eastAsia="hu-HU"/>
        </w:rPr>
      </w:pPr>
      <w:r w:rsidRPr="006279A1">
        <w:rPr>
          <w:rFonts w:ascii="Times New Roman" w:eastAsia="Times New Roman" w:hAnsi="Times New Roman" w:cs="Times New Roman"/>
          <w:b/>
          <w:bCs/>
          <w:lang w:eastAsia="hu-HU"/>
        </w:rPr>
        <w:t>A tanórákon való részvétel követelményei, az elfogadható hiányzások mértéke, a távolmaradás pótlásának lehetősége:</w:t>
      </w:r>
      <w:r w:rsidRPr="006279A1">
        <w:rPr>
          <w:rFonts w:ascii="Times New Roman" w:eastAsia="Times New Roman" w:hAnsi="Times New Roman" w:cs="Times New Roman"/>
          <w:bCs/>
          <w:lang w:eastAsia="hu-HU"/>
        </w:rPr>
        <w:t xml:space="preserve"> </w:t>
      </w:r>
    </w:p>
    <w:p w:rsidR="006279A1" w:rsidRPr="006279A1" w:rsidRDefault="006279A1" w:rsidP="006279A1">
      <w:pPr>
        <w:widowControl w:val="0"/>
        <w:spacing w:before="120" w:after="120" w:line="240" w:lineRule="auto"/>
        <w:ind w:left="426"/>
        <w:jc w:val="both"/>
        <w:rPr>
          <w:rFonts w:ascii="Times New Roman" w:eastAsia="Times New Roman" w:hAnsi="Times New Roman" w:cs="Times New Roman"/>
          <w:bCs/>
          <w:lang w:eastAsia="hu-HU"/>
        </w:rPr>
      </w:pPr>
      <w:r w:rsidRPr="006279A1">
        <w:rPr>
          <w:rFonts w:ascii="Times New Roman" w:eastAsia="Times New Roman" w:hAnsi="Times New Roman" w:cs="Times New Roman"/>
          <w:bCs/>
          <w:lang w:eastAsia="hu-HU"/>
        </w:rPr>
        <w:t>A hallgatónak a tanórák legalább 70 %-án jelen kell lennie, 30 %-ot meghaladó hiányzás esetén a félév teljesítése nem írható alá. A hallgató köteles az előadás és a gyakorlat anyagát beszerezni, abból önállóan felkészülni. A hiányzás pótolható az oktató által kijelölt témakörben beadott, legalább elégségesre értékelt házidolgozattal.</w:t>
      </w:r>
    </w:p>
    <w:p w:rsidR="006279A1" w:rsidRPr="001F4B47" w:rsidRDefault="006279A1" w:rsidP="00980876">
      <w:pPr>
        <w:widowControl w:val="0"/>
        <w:numPr>
          <w:ilvl w:val="0"/>
          <w:numId w:val="709"/>
        </w:numPr>
        <w:tabs>
          <w:tab w:val="num" w:pos="360"/>
          <w:tab w:val="num" w:pos="644"/>
        </w:tabs>
        <w:spacing w:before="120" w:after="200" w:line="276" w:lineRule="auto"/>
        <w:ind w:left="426" w:hanging="142"/>
        <w:jc w:val="both"/>
        <w:rPr>
          <w:rFonts w:ascii="Times New Roman" w:eastAsia="Times New Roman" w:hAnsi="Times New Roman" w:cs="Times New Roman"/>
          <w:b/>
          <w:bCs/>
          <w:lang w:eastAsia="hu-HU"/>
        </w:rPr>
      </w:pPr>
      <w:r w:rsidRPr="001F4B47">
        <w:rPr>
          <w:rFonts w:ascii="Times New Roman" w:eastAsia="Times New Roman" w:hAnsi="Times New Roman" w:cs="Times New Roman"/>
          <w:b/>
          <w:lang w:eastAsia="hu-HU"/>
        </w:rPr>
        <w:t>Félévközi feladatok, ismeretek ellenőrzésének rendje:</w:t>
      </w:r>
      <w:r w:rsidRPr="001F4B47">
        <w:rPr>
          <w:rFonts w:ascii="Times New Roman" w:eastAsia="Times New Roman" w:hAnsi="Times New Roman" w:cs="Times New Roman"/>
          <w:bCs/>
          <w:lang w:eastAsia="hu-HU"/>
        </w:rPr>
        <w:t xml:space="preserve"> A félév során a hallgató kettő zárthelyi dolgozatot ír. Zárthelyi dolgozatok a 12.1-12.15 tantárgyrészekből.</w:t>
      </w:r>
      <w:r w:rsidRPr="001F4B47">
        <w:rPr>
          <w:rFonts w:ascii="Times New Roman" w:eastAsia="Times New Roman" w:hAnsi="Times New Roman" w:cs="Times New Roman"/>
          <w:lang w:eastAsia="hu-HU"/>
        </w:rPr>
        <w:t xml:space="preserve"> </w:t>
      </w:r>
      <w:r w:rsidRPr="001F4B47">
        <w:rPr>
          <w:rFonts w:ascii="Times New Roman" w:eastAsia="Times New Roman" w:hAnsi="Times New Roman" w:cs="Times New Roman"/>
          <w:bCs/>
          <w:lang w:eastAsia="hu-HU"/>
        </w:rPr>
        <w:t>A zárthelyi dolgozat témáit a kötelező irodalmak anyagából, illetve az előadásokon elhangzott ismeretanyagból kell összeállítani. A zárthelyi dolgozat értékelése ötfokozatú értékelés (a helyes válaszok aránya 0-60% elégtelen; 61-70% elégséges; 71-80% közepes; 81-90% jó; 91-100% jeles osztályzat). Eredménytelen zárthelyi dolgozat kétszer javítható</w:t>
      </w:r>
      <w:r w:rsidRPr="001F4B47">
        <w:rPr>
          <w:rFonts w:ascii="Times New Roman" w:eastAsia="Times New Roman" w:hAnsi="Times New Roman" w:cs="Times New Roman"/>
          <w:b/>
          <w:bCs/>
          <w:lang w:eastAsia="hu-HU"/>
        </w:rPr>
        <w:t>.</w:t>
      </w:r>
      <w:r w:rsidRPr="001F4B47">
        <w:rPr>
          <w:rFonts w:ascii="Times New Roman" w:eastAsia="Times New Roman" w:hAnsi="Times New Roman" w:cs="Times New Roman"/>
          <w:bCs/>
          <w:lang w:eastAsia="hu-HU"/>
        </w:rPr>
        <w:t xml:space="preserve"> A dolgozatban teszt és esszé jellegű kérdések </w:t>
      </w:r>
      <w:r w:rsidRPr="001F4B47">
        <w:rPr>
          <w:rFonts w:ascii="Times New Roman" w:eastAsia="Times New Roman" w:hAnsi="Times New Roman" w:cs="Times New Roman"/>
          <w:bCs/>
          <w:lang w:eastAsia="hu-HU"/>
        </w:rPr>
        <w:lastRenderedPageBreak/>
        <w:t>egyaránt szerepelnek.</w:t>
      </w:r>
    </w:p>
    <w:p w:rsidR="006279A1" w:rsidRPr="006279A1" w:rsidRDefault="006279A1" w:rsidP="00980876">
      <w:pPr>
        <w:widowControl w:val="0"/>
        <w:numPr>
          <w:ilvl w:val="0"/>
          <w:numId w:val="709"/>
        </w:numPr>
        <w:tabs>
          <w:tab w:val="num" w:pos="644"/>
        </w:tabs>
        <w:spacing w:before="120" w:after="120" w:line="240" w:lineRule="auto"/>
        <w:ind w:left="426" w:hanging="142"/>
        <w:jc w:val="both"/>
        <w:rPr>
          <w:rFonts w:ascii="Times New Roman" w:eastAsia="Times New Roman" w:hAnsi="Times New Roman" w:cs="Times New Roman"/>
          <w:b/>
          <w:bCs/>
          <w:lang w:eastAsia="hu-HU"/>
        </w:rPr>
      </w:pPr>
      <w:r w:rsidRPr="006279A1">
        <w:rPr>
          <w:rFonts w:ascii="Times New Roman" w:eastAsia="Times New Roman" w:hAnsi="Times New Roman" w:cs="Times New Roman"/>
          <w:b/>
          <w:bCs/>
          <w:lang w:eastAsia="hu-HU"/>
        </w:rPr>
        <w:t xml:space="preserve">Az értékelés, az aláírás és a kreditek megszerzésének pontos feltételei: </w:t>
      </w:r>
    </w:p>
    <w:p w:rsidR="006279A1" w:rsidRPr="006279A1" w:rsidRDefault="006279A1" w:rsidP="00980876">
      <w:pPr>
        <w:widowControl w:val="0"/>
        <w:numPr>
          <w:ilvl w:val="1"/>
          <w:numId w:val="709"/>
        </w:numPr>
        <w:tabs>
          <w:tab w:val="clear" w:pos="3977"/>
          <w:tab w:val="left" w:pos="709"/>
          <w:tab w:val="left" w:pos="993"/>
          <w:tab w:val="num" w:pos="1425"/>
          <w:tab w:val="num" w:pos="2069"/>
        </w:tabs>
        <w:spacing w:before="120" w:after="120" w:line="240" w:lineRule="auto"/>
        <w:ind w:left="426" w:firstLine="0"/>
        <w:jc w:val="both"/>
        <w:rPr>
          <w:rFonts w:ascii="Times New Roman" w:eastAsia="Times New Roman" w:hAnsi="Times New Roman" w:cs="Times New Roman"/>
          <w:lang w:eastAsia="hu-HU"/>
        </w:rPr>
      </w:pPr>
      <w:r w:rsidRPr="006279A1">
        <w:rPr>
          <w:rFonts w:ascii="Times New Roman" w:eastAsia="Times New Roman" w:hAnsi="Times New Roman" w:cs="Times New Roman"/>
          <w:b/>
          <w:lang w:eastAsia="hu-HU"/>
        </w:rPr>
        <w:t>Az aláírás megszerzésének feltételei:</w:t>
      </w:r>
      <w:r w:rsidRPr="006279A1">
        <w:rPr>
          <w:rFonts w:ascii="Times New Roman" w:eastAsia="Times New Roman" w:hAnsi="Times New Roman" w:cs="Times New Roman"/>
          <w:lang w:eastAsia="hu-HU"/>
        </w:rPr>
        <w:t xml:space="preserve"> </w:t>
      </w:r>
      <w:r w:rsidRPr="006279A1">
        <w:rPr>
          <w:rFonts w:ascii="Times New Roman" w:eastAsia="Times New Roman" w:hAnsi="Times New Roman" w:cs="Times New Roman"/>
          <w:bCs/>
          <w:lang w:eastAsia="hu-HU"/>
        </w:rPr>
        <w:t>Az aláírás megszerzésének feltétele a 14. pontban meghatározott arányú részvétel a foglalkozásokon és a 15. pontban meghatározott félévközi feladatok legalább elégséges teljesítése.</w:t>
      </w:r>
    </w:p>
    <w:p w:rsidR="006279A1" w:rsidRPr="006279A1" w:rsidRDefault="006279A1" w:rsidP="00980876">
      <w:pPr>
        <w:widowControl w:val="0"/>
        <w:numPr>
          <w:ilvl w:val="1"/>
          <w:numId w:val="709"/>
        </w:numPr>
        <w:tabs>
          <w:tab w:val="clear" w:pos="3977"/>
          <w:tab w:val="left" w:pos="709"/>
          <w:tab w:val="left" w:pos="993"/>
          <w:tab w:val="num" w:pos="1425"/>
          <w:tab w:val="num" w:pos="2069"/>
        </w:tabs>
        <w:spacing w:before="120" w:after="120" w:line="240" w:lineRule="auto"/>
        <w:ind w:left="426" w:firstLine="0"/>
        <w:jc w:val="both"/>
        <w:rPr>
          <w:rFonts w:ascii="Times New Roman" w:eastAsia="Times New Roman" w:hAnsi="Times New Roman" w:cs="Times New Roman"/>
          <w:lang w:eastAsia="hu-HU"/>
        </w:rPr>
      </w:pPr>
      <w:r w:rsidRPr="006279A1">
        <w:rPr>
          <w:rFonts w:ascii="Times New Roman" w:eastAsia="Times New Roman" w:hAnsi="Times New Roman" w:cs="Times New Roman"/>
          <w:b/>
          <w:lang w:eastAsia="hu-HU"/>
        </w:rPr>
        <w:t>Az értékelés:</w:t>
      </w:r>
      <w:r w:rsidRPr="006279A1">
        <w:rPr>
          <w:rFonts w:ascii="Times New Roman" w:eastAsia="Times New Roman" w:hAnsi="Times New Roman" w:cs="Times New Roman"/>
          <w:lang w:eastAsia="hu-HU"/>
        </w:rPr>
        <w:t xml:space="preserve"> évközi értékelés, ötfokozatú értékelés.</w:t>
      </w:r>
      <w:r w:rsidRPr="006279A1">
        <w:rPr>
          <w:rFonts w:ascii="Times New Roman" w:eastAsia="Times New Roman" w:hAnsi="Times New Roman" w:cs="Times New Roman"/>
          <w:bCs/>
          <w:lang w:eastAsia="hu-HU"/>
        </w:rPr>
        <w:t xml:space="preserve"> Az évközi értékelést az elért eredmények kerekített matematikai átlaga képezi.</w:t>
      </w:r>
    </w:p>
    <w:p w:rsidR="006279A1" w:rsidRPr="006279A1" w:rsidRDefault="006279A1" w:rsidP="00980876">
      <w:pPr>
        <w:widowControl w:val="0"/>
        <w:numPr>
          <w:ilvl w:val="1"/>
          <w:numId w:val="709"/>
        </w:numPr>
        <w:tabs>
          <w:tab w:val="clear" w:pos="3977"/>
          <w:tab w:val="left" w:pos="709"/>
          <w:tab w:val="left" w:pos="993"/>
          <w:tab w:val="num" w:pos="1425"/>
          <w:tab w:val="num" w:pos="2069"/>
        </w:tabs>
        <w:spacing w:before="120" w:after="120" w:line="240" w:lineRule="auto"/>
        <w:ind w:left="426" w:firstLine="0"/>
        <w:jc w:val="both"/>
        <w:rPr>
          <w:rFonts w:ascii="Times New Roman" w:eastAsia="Times New Roman" w:hAnsi="Times New Roman" w:cs="Times New Roman"/>
          <w:lang w:eastAsia="hu-HU"/>
        </w:rPr>
      </w:pPr>
      <w:r w:rsidRPr="006279A1">
        <w:rPr>
          <w:rFonts w:ascii="Times New Roman" w:eastAsia="Times New Roman" w:hAnsi="Times New Roman" w:cs="Times New Roman"/>
          <w:b/>
          <w:lang w:eastAsia="hu-HU"/>
        </w:rPr>
        <w:t>A kreditek megszerzésének feltételei:</w:t>
      </w:r>
      <w:r w:rsidRPr="006279A1">
        <w:rPr>
          <w:rFonts w:ascii="Times New Roman" w:eastAsia="Times New Roman" w:hAnsi="Times New Roman" w:cs="Times New Roman"/>
          <w:lang w:eastAsia="hu-HU"/>
        </w:rPr>
        <w:t xml:space="preserve"> az aláírás megszerzése és legalább elégséges</w:t>
      </w:r>
      <w:r w:rsidRPr="006279A1">
        <w:rPr>
          <w:rFonts w:ascii="Times New Roman" w:eastAsia="Times New Roman" w:hAnsi="Times New Roman" w:cs="Times New Roman"/>
          <w:b/>
          <w:lang w:eastAsia="hu-HU"/>
        </w:rPr>
        <w:t xml:space="preserve"> </w:t>
      </w:r>
      <w:r w:rsidRPr="006279A1">
        <w:rPr>
          <w:rFonts w:ascii="Times New Roman" w:eastAsia="Times New Roman" w:hAnsi="Times New Roman" w:cs="Times New Roman"/>
          <w:lang w:eastAsia="hu-HU"/>
        </w:rPr>
        <w:t>évközi értékelés</w:t>
      </w:r>
      <w:r w:rsidRPr="006279A1">
        <w:rPr>
          <w:rFonts w:ascii="Times New Roman" w:eastAsia="Times New Roman" w:hAnsi="Times New Roman" w:cs="Times New Roman"/>
          <w:bCs/>
          <w:lang w:eastAsia="hu-HU"/>
        </w:rPr>
        <w:t>.</w:t>
      </w:r>
    </w:p>
    <w:p w:rsidR="006279A1" w:rsidRPr="006279A1" w:rsidRDefault="006279A1" w:rsidP="00980876">
      <w:pPr>
        <w:numPr>
          <w:ilvl w:val="0"/>
          <w:numId w:val="709"/>
        </w:numPr>
        <w:tabs>
          <w:tab w:val="clear" w:pos="720"/>
          <w:tab w:val="num" w:pos="426"/>
          <w:tab w:val="num" w:pos="644"/>
        </w:tabs>
        <w:spacing w:before="120" w:after="120" w:line="240" w:lineRule="auto"/>
        <w:ind w:left="426" w:hanging="142"/>
        <w:jc w:val="both"/>
        <w:rPr>
          <w:rFonts w:ascii="Times New Roman" w:eastAsia="Times New Roman" w:hAnsi="Times New Roman" w:cs="Times New Roman"/>
          <w:b/>
          <w:lang w:eastAsia="hu-HU"/>
        </w:rPr>
      </w:pPr>
      <w:r w:rsidRPr="006279A1">
        <w:rPr>
          <w:rFonts w:ascii="Times New Roman" w:eastAsia="Times New Roman" w:hAnsi="Times New Roman" w:cs="Times New Roman"/>
          <w:b/>
          <w:lang w:eastAsia="hu-HU"/>
        </w:rPr>
        <w:t>Irodalomjegyzék (magyarul, angolul):</w:t>
      </w:r>
    </w:p>
    <w:p w:rsidR="006279A1" w:rsidRPr="006279A1" w:rsidRDefault="006279A1" w:rsidP="00980876">
      <w:pPr>
        <w:numPr>
          <w:ilvl w:val="1"/>
          <w:numId w:val="709"/>
        </w:numPr>
        <w:tabs>
          <w:tab w:val="clear" w:pos="3977"/>
          <w:tab w:val="left" w:pos="1134"/>
          <w:tab w:val="num" w:pos="1425"/>
        </w:tabs>
        <w:spacing w:before="120" w:after="120" w:line="240" w:lineRule="auto"/>
        <w:ind w:left="568" w:firstLine="0"/>
        <w:jc w:val="both"/>
        <w:rPr>
          <w:rFonts w:ascii="Times New Roman" w:eastAsia="Times New Roman" w:hAnsi="Times New Roman" w:cs="Times New Roman"/>
          <w:b/>
          <w:lang w:eastAsia="hu-HU"/>
        </w:rPr>
      </w:pPr>
      <w:r w:rsidRPr="006279A1">
        <w:rPr>
          <w:rFonts w:ascii="Times New Roman" w:eastAsia="Times New Roman" w:hAnsi="Times New Roman" w:cs="Times New Roman"/>
          <w:b/>
          <w:lang w:eastAsia="hu-HU"/>
        </w:rPr>
        <w:t>Kötelező irodalom:</w:t>
      </w:r>
    </w:p>
    <w:p w:rsidR="006279A1" w:rsidRPr="006279A1" w:rsidRDefault="006279A1" w:rsidP="00980876">
      <w:pPr>
        <w:numPr>
          <w:ilvl w:val="0"/>
          <w:numId w:val="707"/>
        </w:numPr>
        <w:spacing w:before="120" w:after="120" w:line="240" w:lineRule="auto"/>
        <w:ind w:left="993" w:hanging="284"/>
        <w:jc w:val="both"/>
        <w:rPr>
          <w:rFonts w:ascii="Times New Roman" w:eastAsia="Times New Roman" w:hAnsi="Times New Roman" w:cs="Times New Roman"/>
          <w:lang w:eastAsia="hu-HU"/>
        </w:rPr>
      </w:pPr>
      <w:r w:rsidRPr="006279A1">
        <w:rPr>
          <w:rFonts w:ascii="Times New Roman" w:eastAsia="Times New Roman" w:hAnsi="Times New Roman" w:cs="Times New Roman"/>
          <w:lang w:eastAsia="hu-HU"/>
        </w:rPr>
        <w:t>Löfe/104 7,62 mm PKM és PKMSZ géppuska anyagismereti és kezelési utasítása. HM. kiadvány.</w:t>
      </w:r>
    </w:p>
    <w:p w:rsidR="006279A1" w:rsidRPr="006279A1" w:rsidRDefault="006279A1" w:rsidP="00980876">
      <w:pPr>
        <w:numPr>
          <w:ilvl w:val="0"/>
          <w:numId w:val="707"/>
        </w:numPr>
        <w:spacing w:before="120" w:after="120" w:line="240" w:lineRule="auto"/>
        <w:ind w:left="993" w:hanging="284"/>
        <w:jc w:val="both"/>
        <w:rPr>
          <w:rFonts w:ascii="Times New Roman" w:eastAsia="Times New Roman" w:hAnsi="Times New Roman" w:cs="Times New Roman"/>
          <w:lang w:eastAsia="hu-HU"/>
        </w:rPr>
      </w:pPr>
      <w:r w:rsidRPr="006279A1">
        <w:rPr>
          <w:rFonts w:ascii="Times New Roman" w:eastAsia="Times New Roman" w:hAnsi="Times New Roman" w:cs="Times New Roman"/>
          <w:lang w:eastAsia="hu-HU"/>
        </w:rPr>
        <w:t>Löfe/33 RPG-7 kézi páncélelhárító gránátvet</w:t>
      </w:r>
      <w:r w:rsidRPr="006279A1">
        <w:rPr>
          <w:rFonts w:ascii="Times New Roman" w:eastAsia="Times New Roman" w:hAnsi="Times New Roman" w:cs="Times New Roman" w:hint="eastAsia"/>
          <w:lang w:eastAsia="hu-HU"/>
        </w:rPr>
        <w:t>ő</w:t>
      </w:r>
      <w:r w:rsidRPr="006279A1">
        <w:rPr>
          <w:rFonts w:ascii="Times New Roman" w:eastAsia="Times New Roman" w:hAnsi="Times New Roman" w:cs="Times New Roman"/>
          <w:lang w:eastAsia="hu-HU"/>
        </w:rPr>
        <w:t xml:space="preserve"> és a PG-7V l</w:t>
      </w:r>
      <w:r w:rsidRPr="006279A1">
        <w:rPr>
          <w:rFonts w:ascii="Times New Roman" w:eastAsia="Times New Roman" w:hAnsi="Times New Roman" w:cs="Times New Roman" w:hint="eastAsia"/>
          <w:lang w:eastAsia="hu-HU"/>
        </w:rPr>
        <w:t>ő</w:t>
      </w:r>
      <w:r w:rsidRPr="006279A1">
        <w:rPr>
          <w:rFonts w:ascii="Times New Roman" w:eastAsia="Times New Roman" w:hAnsi="Times New Roman" w:cs="Times New Roman"/>
          <w:lang w:eastAsia="hu-HU"/>
        </w:rPr>
        <w:t>szer szolgálati és l</w:t>
      </w:r>
      <w:r w:rsidRPr="006279A1">
        <w:rPr>
          <w:rFonts w:ascii="Times New Roman" w:eastAsia="Times New Roman" w:hAnsi="Times New Roman" w:cs="Times New Roman" w:hint="eastAsia"/>
          <w:lang w:eastAsia="hu-HU"/>
        </w:rPr>
        <w:t>ő</w:t>
      </w:r>
      <w:r w:rsidRPr="006279A1">
        <w:rPr>
          <w:rFonts w:ascii="Times New Roman" w:eastAsia="Times New Roman" w:hAnsi="Times New Roman" w:cs="Times New Roman"/>
          <w:lang w:eastAsia="hu-HU"/>
        </w:rPr>
        <w:t>utasítása. HM. kiadvány.</w:t>
      </w:r>
    </w:p>
    <w:p w:rsidR="006279A1" w:rsidRPr="006279A1" w:rsidRDefault="006279A1" w:rsidP="00980876">
      <w:pPr>
        <w:numPr>
          <w:ilvl w:val="0"/>
          <w:numId w:val="707"/>
        </w:numPr>
        <w:spacing w:before="120" w:after="120" w:line="240" w:lineRule="auto"/>
        <w:ind w:left="993" w:hanging="284"/>
        <w:jc w:val="both"/>
        <w:rPr>
          <w:rFonts w:ascii="Times New Roman" w:eastAsia="Times New Roman" w:hAnsi="Times New Roman" w:cs="Times New Roman"/>
          <w:lang w:eastAsia="hu-HU"/>
        </w:rPr>
      </w:pPr>
      <w:r w:rsidRPr="006279A1">
        <w:rPr>
          <w:rFonts w:ascii="Times New Roman" w:eastAsia="Times New Roman" w:hAnsi="Times New Roman" w:cs="Times New Roman"/>
          <w:lang w:eastAsia="hu-HU"/>
        </w:rPr>
        <w:t>Löfe/109 A 7,62 mm Dragunov távcsöves puska anyagismereti és l</w:t>
      </w:r>
      <w:r w:rsidRPr="006279A1">
        <w:rPr>
          <w:rFonts w:ascii="Times New Roman" w:eastAsia="Times New Roman" w:hAnsi="Times New Roman" w:cs="Times New Roman" w:hint="eastAsia"/>
          <w:lang w:eastAsia="hu-HU"/>
        </w:rPr>
        <w:t>ő</w:t>
      </w:r>
      <w:r w:rsidRPr="006279A1">
        <w:rPr>
          <w:rFonts w:ascii="Times New Roman" w:eastAsia="Times New Roman" w:hAnsi="Times New Roman" w:cs="Times New Roman"/>
          <w:lang w:eastAsia="hu-HU"/>
        </w:rPr>
        <w:t>utasítása. HM. kiadvány.</w:t>
      </w:r>
    </w:p>
    <w:p w:rsidR="006279A1" w:rsidRPr="006279A1" w:rsidRDefault="006279A1" w:rsidP="00980876">
      <w:pPr>
        <w:numPr>
          <w:ilvl w:val="0"/>
          <w:numId w:val="707"/>
        </w:numPr>
        <w:spacing w:before="120" w:after="120" w:line="240" w:lineRule="auto"/>
        <w:ind w:left="993" w:hanging="284"/>
        <w:jc w:val="both"/>
        <w:rPr>
          <w:rFonts w:ascii="Times New Roman" w:eastAsia="Times New Roman" w:hAnsi="Times New Roman" w:cs="Times New Roman"/>
          <w:lang w:eastAsia="hu-HU"/>
        </w:rPr>
      </w:pPr>
      <w:r w:rsidRPr="006279A1">
        <w:rPr>
          <w:rFonts w:ascii="Times New Roman" w:eastAsia="Times New Roman" w:hAnsi="Times New Roman" w:cs="Times New Roman"/>
          <w:lang w:eastAsia="hu-HU"/>
        </w:rPr>
        <w:t>Dr. Farkas Tivadar: L</w:t>
      </w:r>
      <w:r w:rsidRPr="006279A1">
        <w:rPr>
          <w:rFonts w:ascii="Times New Roman" w:eastAsia="Times New Roman" w:hAnsi="Times New Roman" w:cs="Times New Roman" w:hint="eastAsia"/>
          <w:lang w:eastAsia="hu-HU"/>
        </w:rPr>
        <w:t>ő</w:t>
      </w:r>
      <w:r w:rsidRPr="006279A1">
        <w:rPr>
          <w:rFonts w:ascii="Times New Roman" w:eastAsia="Times New Roman" w:hAnsi="Times New Roman" w:cs="Times New Roman"/>
          <w:lang w:eastAsia="hu-HU"/>
        </w:rPr>
        <w:t>fegyverek rendszertana I-II. (ZMNE jegyzet, Budapest, 2000) ISBN: 9630035596</w:t>
      </w:r>
    </w:p>
    <w:p w:rsidR="006279A1" w:rsidRPr="006279A1" w:rsidRDefault="006279A1" w:rsidP="00980876">
      <w:pPr>
        <w:numPr>
          <w:ilvl w:val="0"/>
          <w:numId w:val="707"/>
        </w:numPr>
        <w:spacing w:before="120" w:after="120" w:line="240" w:lineRule="auto"/>
        <w:ind w:left="993" w:hanging="284"/>
        <w:jc w:val="both"/>
        <w:rPr>
          <w:rFonts w:ascii="Times New Roman" w:eastAsia="Times New Roman" w:hAnsi="Times New Roman" w:cs="Times New Roman"/>
          <w:b/>
          <w:lang w:eastAsia="hu-HU"/>
        </w:rPr>
      </w:pPr>
      <w:r w:rsidRPr="006279A1">
        <w:rPr>
          <w:rFonts w:ascii="Times New Roman" w:eastAsia="Times New Roman" w:hAnsi="Times New Roman" w:cs="Times New Roman"/>
          <w:lang w:eastAsia="hu-HU"/>
        </w:rPr>
        <w:t>Gát István: Fegyver és l</w:t>
      </w:r>
      <w:r w:rsidRPr="006279A1">
        <w:rPr>
          <w:rFonts w:ascii="Times New Roman" w:eastAsia="Times New Roman" w:hAnsi="Times New Roman" w:cs="Times New Roman" w:hint="eastAsia"/>
          <w:lang w:eastAsia="hu-HU"/>
        </w:rPr>
        <w:t>ő</w:t>
      </w:r>
      <w:r w:rsidRPr="006279A1">
        <w:rPr>
          <w:rFonts w:ascii="Times New Roman" w:eastAsia="Times New Roman" w:hAnsi="Times New Roman" w:cs="Times New Roman"/>
          <w:lang w:eastAsia="hu-HU"/>
        </w:rPr>
        <w:t>szertechnikai kézikönyv (Ipari Minisztérium Iparszervezési f</w:t>
      </w:r>
      <w:r w:rsidRPr="006279A1">
        <w:rPr>
          <w:rFonts w:ascii="Times New Roman" w:eastAsia="Times New Roman" w:hAnsi="Times New Roman" w:cs="Times New Roman" w:hint="eastAsia"/>
          <w:lang w:eastAsia="hu-HU"/>
        </w:rPr>
        <w:t>ő</w:t>
      </w:r>
      <w:r w:rsidRPr="006279A1">
        <w:rPr>
          <w:rFonts w:ascii="Times New Roman" w:eastAsia="Times New Roman" w:hAnsi="Times New Roman" w:cs="Times New Roman"/>
          <w:lang w:eastAsia="hu-HU"/>
        </w:rPr>
        <w:t>osztály, VASKUT MÜFIL Innovációs Iroda, Budapest, 1984, 84.408)</w:t>
      </w:r>
      <w:r w:rsidRPr="006279A1">
        <w:rPr>
          <w:rFonts w:ascii="Times New Roman" w:eastAsia="Times New Roman" w:hAnsi="Times New Roman" w:cs="Times New Roman"/>
          <w:b/>
          <w:lang w:eastAsia="hu-HU"/>
        </w:rPr>
        <w:t>.</w:t>
      </w:r>
    </w:p>
    <w:p w:rsidR="006279A1" w:rsidRPr="006279A1" w:rsidRDefault="006279A1" w:rsidP="00980876">
      <w:pPr>
        <w:numPr>
          <w:ilvl w:val="1"/>
          <w:numId w:val="709"/>
        </w:numPr>
        <w:tabs>
          <w:tab w:val="clear" w:pos="3977"/>
          <w:tab w:val="left" w:pos="1134"/>
          <w:tab w:val="num" w:pos="1425"/>
        </w:tabs>
        <w:spacing w:before="120" w:after="120" w:line="240" w:lineRule="auto"/>
        <w:ind w:left="568" w:firstLine="0"/>
        <w:jc w:val="both"/>
        <w:rPr>
          <w:rFonts w:ascii="Times New Roman" w:eastAsia="Times New Roman" w:hAnsi="Times New Roman" w:cs="Times New Roman"/>
          <w:b/>
          <w:lang w:eastAsia="hu-HU"/>
        </w:rPr>
      </w:pPr>
      <w:r w:rsidRPr="006279A1">
        <w:rPr>
          <w:rFonts w:ascii="Times New Roman" w:eastAsia="Times New Roman" w:hAnsi="Times New Roman" w:cs="Times New Roman"/>
          <w:b/>
          <w:lang w:eastAsia="hu-HU"/>
        </w:rPr>
        <w:t xml:space="preserve"> Ajánlott irodalom:</w:t>
      </w:r>
    </w:p>
    <w:p w:rsidR="006279A1" w:rsidRPr="006279A1" w:rsidRDefault="006279A1" w:rsidP="00980876">
      <w:pPr>
        <w:numPr>
          <w:ilvl w:val="0"/>
          <w:numId w:val="454"/>
        </w:numPr>
        <w:spacing w:before="120" w:after="120" w:line="240" w:lineRule="auto"/>
        <w:ind w:left="993" w:hanging="284"/>
        <w:jc w:val="both"/>
        <w:rPr>
          <w:rFonts w:ascii="Times New Roman" w:eastAsia="Times New Roman" w:hAnsi="Times New Roman" w:cs="Times New Roman"/>
          <w:lang w:eastAsia="hu-HU"/>
        </w:rPr>
      </w:pPr>
      <w:r w:rsidRPr="006279A1">
        <w:rPr>
          <w:rFonts w:ascii="Times New Roman" w:eastAsia="Times New Roman" w:hAnsi="Times New Roman" w:cs="Times New Roman"/>
          <w:lang w:eastAsia="hu-HU"/>
        </w:rPr>
        <w:t>Löfe/7 9 mm-es  PA-63 pisztoly javítási utasítása. HM. kiadvány</w:t>
      </w:r>
    </w:p>
    <w:p w:rsidR="006279A1" w:rsidRPr="006279A1" w:rsidRDefault="006279A1" w:rsidP="00980876">
      <w:pPr>
        <w:numPr>
          <w:ilvl w:val="0"/>
          <w:numId w:val="454"/>
        </w:numPr>
        <w:spacing w:before="120" w:after="120" w:line="240" w:lineRule="auto"/>
        <w:ind w:left="993" w:hanging="284"/>
        <w:jc w:val="both"/>
        <w:rPr>
          <w:rFonts w:ascii="Times New Roman" w:eastAsia="Times New Roman" w:hAnsi="Times New Roman" w:cs="Times New Roman"/>
          <w:lang w:eastAsia="hu-HU"/>
        </w:rPr>
      </w:pPr>
      <w:r w:rsidRPr="006279A1">
        <w:rPr>
          <w:rFonts w:ascii="Times New Roman" w:eastAsia="Times New Roman" w:hAnsi="Times New Roman" w:cs="Times New Roman"/>
          <w:lang w:eastAsia="hu-HU"/>
        </w:rPr>
        <w:t xml:space="preserve">Löfe/108 A </w:t>
      </w:r>
      <w:smartTag w:uri="urn:schemas-microsoft-com:office:smarttags" w:element="metricconverter">
        <w:smartTagPr>
          <w:attr w:name="ProductID" w:val="7,62 mm"/>
        </w:smartTagPr>
        <w:r w:rsidRPr="006279A1">
          <w:rPr>
            <w:rFonts w:ascii="Times New Roman" w:eastAsia="Times New Roman" w:hAnsi="Times New Roman" w:cs="Times New Roman"/>
            <w:lang w:eastAsia="hu-HU"/>
          </w:rPr>
          <w:t>7,62 mm</w:t>
        </w:r>
      </w:smartTag>
      <w:r w:rsidRPr="006279A1">
        <w:rPr>
          <w:rFonts w:ascii="Times New Roman" w:eastAsia="Times New Roman" w:hAnsi="Times New Roman" w:cs="Times New Roman"/>
          <w:lang w:eastAsia="hu-HU"/>
        </w:rPr>
        <w:t xml:space="preserve"> PKM, PKMSZ, PKT és PKB Kalasnyikov géppuskák javítási utasítása. HM. kiadvány</w:t>
      </w:r>
    </w:p>
    <w:p w:rsidR="006279A1" w:rsidRPr="006279A1" w:rsidRDefault="004D708E" w:rsidP="00980876">
      <w:pPr>
        <w:numPr>
          <w:ilvl w:val="0"/>
          <w:numId w:val="454"/>
        </w:numPr>
        <w:spacing w:before="120" w:after="120" w:line="240" w:lineRule="auto"/>
        <w:ind w:left="993" w:hanging="284"/>
        <w:jc w:val="both"/>
        <w:rPr>
          <w:rFonts w:ascii="Times New Roman" w:eastAsia="Times New Roman" w:hAnsi="Times New Roman" w:cs="Times New Roman"/>
          <w:lang w:eastAsia="hu-HU"/>
        </w:rPr>
      </w:pPr>
      <w:hyperlink r:id="rId12" w:tooltip="Find all the author's book" w:history="1">
        <w:r w:rsidR="006279A1" w:rsidRPr="006279A1">
          <w:rPr>
            <w:rFonts w:ascii="Times New Roman" w:eastAsia="Times New Roman" w:hAnsi="Times New Roman" w:cs="Times New Roman"/>
            <w:lang w:eastAsia="hu-HU"/>
          </w:rPr>
          <w:t>Donald E. Carlucci</w:t>
        </w:r>
      </w:hyperlink>
      <w:r w:rsidR="006279A1" w:rsidRPr="006279A1">
        <w:rPr>
          <w:rFonts w:ascii="Times New Roman" w:eastAsia="Times New Roman" w:hAnsi="Times New Roman" w:cs="Times New Roman"/>
          <w:lang w:eastAsia="hu-HU"/>
        </w:rPr>
        <w:t>, </w:t>
      </w:r>
      <w:hyperlink r:id="rId13" w:tooltip="Find all the author's book" w:history="1">
        <w:r w:rsidR="006279A1" w:rsidRPr="006279A1">
          <w:rPr>
            <w:rFonts w:ascii="Times New Roman" w:eastAsia="Times New Roman" w:hAnsi="Times New Roman" w:cs="Times New Roman"/>
            <w:lang w:eastAsia="hu-HU"/>
          </w:rPr>
          <w:t>Sidney S. Jacobson</w:t>
        </w:r>
      </w:hyperlink>
      <w:r w:rsidR="006279A1" w:rsidRPr="006279A1">
        <w:rPr>
          <w:rFonts w:ascii="Times New Roman" w:eastAsia="Times New Roman" w:hAnsi="Times New Roman" w:cs="Times New Roman"/>
          <w:lang w:eastAsia="hu-HU"/>
        </w:rPr>
        <w:t>, Ballistics: Theory and Design of Guns and Ammunition, CRC Press, 2018. ISBN 113805531X</w:t>
      </w:r>
    </w:p>
    <w:p w:rsidR="006279A1" w:rsidRPr="006279A1" w:rsidRDefault="006279A1" w:rsidP="006279A1">
      <w:pPr>
        <w:tabs>
          <w:tab w:val="right" w:pos="720"/>
          <w:tab w:val="center" w:pos="4819"/>
        </w:tabs>
        <w:spacing w:before="120" w:after="120" w:line="240" w:lineRule="auto"/>
        <w:ind w:left="646"/>
        <w:jc w:val="both"/>
        <w:rPr>
          <w:rFonts w:ascii="Times New Roman" w:eastAsia="Times New Roman" w:hAnsi="Times New Roman" w:cs="Times New Roman"/>
          <w:lang w:eastAsia="hu-HU"/>
        </w:rPr>
      </w:pPr>
    </w:p>
    <w:p w:rsidR="006279A1" w:rsidRPr="006279A1" w:rsidRDefault="006279A1" w:rsidP="006279A1">
      <w:pPr>
        <w:spacing w:before="120" w:after="120" w:line="240" w:lineRule="auto"/>
        <w:ind w:firstLine="708"/>
        <w:jc w:val="both"/>
        <w:rPr>
          <w:rFonts w:ascii="Times New Roman" w:eastAsia="Times New Roman" w:hAnsi="Times New Roman" w:cs="Times New Roman"/>
          <w:lang w:eastAsia="hu-HU"/>
        </w:rPr>
      </w:pPr>
      <w:r w:rsidRPr="006279A1">
        <w:rPr>
          <w:rFonts w:ascii="Times New Roman" w:eastAsia="Times New Roman" w:hAnsi="Times New Roman" w:cs="Times New Roman"/>
          <w:lang w:eastAsia="hu-HU"/>
        </w:rPr>
        <w:t>Budapest, 2020. február 15.</w:t>
      </w:r>
    </w:p>
    <w:p w:rsidR="006279A1" w:rsidRPr="006279A1" w:rsidRDefault="006279A1" w:rsidP="006279A1">
      <w:pPr>
        <w:spacing w:after="0" w:line="240" w:lineRule="auto"/>
        <w:jc w:val="both"/>
        <w:rPr>
          <w:rFonts w:ascii="Times New Roman" w:eastAsia="Times New Roman" w:hAnsi="Times New Roman" w:cs="Times New Roman"/>
          <w:lang w:eastAsia="hu-HU"/>
        </w:rPr>
      </w:pPr>
    </w:p>
    <w:p w:rsidR="006279A1" w:rsidRPr="006279A1" w:rsidRDefault="006279A1" w:rsidP="006279A1">
      <w:pPr>
        <w:tabs>
          <w:tab w:val="center" w:pos="7371"/>
        </w:tabs>
        <w:spacing w:after="0" w:line="240" w:lineRule="auto"/>
        <w:jc w:val="both"/>
        <w:rPr>
          <w:rFonts w:ascii="Times New Roman" w:eastAsia="Times New Roman" w:hAnsi="Times New Roman" w:cs="Times New Roman"/>
          <w:b/>
          <w:lang w:eastAsia="hu-HU"/>
        </w:rPr>
      </w:pPr>
      <w:r w:rsidRPr="006279A1">
        <w:rPr>
          <w:rFonts w:ascii="Times New Roman" w:eastAsia="Times New Roman" w:hAnsi="Times New Roman" w:cs="Times New Roman"/>
          <w:b/>
          <w:lang w:eastAsia="hu-HU"/>
        </w:rPr>
        <w:tab/>
        <w:t>Dr. Gyarmati József alezredes (PhD)</w:t>
      </w:r>
    </w:p>
    <w:p w:rsidR="006279A1" w:rsidRPr="006279A1" w:rsidRDefault="006279A1" w:rsidP="006279A1">
      <w:pPr>
        <w:tabs>
          <w:tab w:val="center" w:pos="7371"/>
        </w:tabs>
        <w:spacing w:after="0" w:line="240" w:lineRule="auto"/>
        <w:jc w:val="both"/>
        <w:rPr>
          <w:rFonts w:ascii="Times New Roman" w:eastAsia="Times New Roman" w:hAnsi="Times New Roman" w:cs="Times New Roman"/>
          <w:lang w:eastAsia="hu-HU"/>
        </w:rPr>
      </w:pPr>
      <w:r w:rsidRPr="006279A1">
        <w:rPr>
          <w:rFonts w:ascii="Times New Roman" w:eastAsia="Times New Roman" w:hAnsi="Times New Roman" w:cs="Times New Roman"/>
          <w:lang w:eastAsia="hu-HU"/>
        </w:rPr>
        <w:tab/>
        <w:t>egyetemi docens,</w:t>
      </w:r>
      <w:r w:rsidR="00FC1CD9">
        <w:rPr>
          <w:rFonts w:ascii="Times New Roman" w:eastAsia="Times New Roman" w:hAnsi="Times New Roman" w:cs="Times New Roman"/>
          <w:lang w:eastAsia="hu-HU"/>
        </w:rPr>
        <w:t xml:space="preserve"> sk.</w:t>
      </w:r>
    </w:p>
    <w:p w:rsidR="006279A1" w:rsidRDefault="006279A1">
      <w:pPr>
        <w:spacing w:after="200" w:line="276" w:lineRule="auto"/>
      </w:pPr>
      <w:r>
        <w:br w:type="page"/>
      </w:r>
    </w:p>
    <w:tbl>
      <w:tblPr>
        <w:tblW w:w="9072" w:type="dxa"/>
        <w:tblInd w:w="113" w:type="dxa"/>
        <w:tblLook w:val="01E0" w:firstRow="1" w:lastRow="1" w:firstColumn="1" w:lastColumn="1" w:noHBand="0" w:noVBand="0"/>
      </w:tblPr>
      <w:tblGrid>
        <w:gridCol w:w="4855"/>
        <w:gridCol w:w="1620"/>
        <w:gridCol w:w="2597"/>
      </w:tblGrid>
      <w:tr w:rsidR="006279A1" w:rsidRPr="006279A1" w:rsidTr="006279A1">
        <w:tc>
          <w:tcPr>
            <w:tcW w:w="4855" w:type="dxa"/>
            <w:tcBorders>
              <w:top w:val="nil"/>
              <w:left w:val="nil"/>
              <w:bottom w:val="single" w:sz="4" w:space="0" w:color="auto"/>
              <w:right w:val="nil"/>
            </w:tcBorders>
            <w:hideMark/>
          </w:tcPr>
          <w:p w:rsidR="006279A1" w:rsidRPr="006279A1" w:rsidRDefault="006279A1" w:rsidP="006279A1">
            <w:pPr>
              <w:spacing w:after="0" w:line="240" w:lineRule="auto"/>
              <w:jc w:val="center"/>
              <w:rPr>
                <w:rFonts w:ascii="Times New Roman" w:eastAsia="Times New Roman" w:hAnsi="Times New Roman" w:cs="Times New Roman"/>
                <w:b/>
                <w:smallCaps/>
                <w:lang w:eastAsia="hu-HU"/>
              </w:rPr>
            </w:pPr>
            <w:r w:rsidRPr="006279A1">
              <w:rPr>
                <w:rFonts w:ascii="Times New Roman" w:eastAsia="Times New Roman" w:hAnsi="Times New Roman" w:cs="Times New Roman"/>
                <w:b/>
                <w:smallCaps/>
                <w:lang w:eastAsia="hu-HU"/>
              </w:rPr>
              <w:lastRenderedPageBreak/>
              <w:t>Nemzeti Közszolgálati Egyetem</w:t>
            </w:r>
          </w:p>
        </w:tc>
        <w:tc>
          <w:tcPr>
            <w:tcW w:w="1620" w:type="dxa"/>
          </w:tcPr>
          <w:p w:rsidR="006279A1" w:rsidRPr="006279A1" w:rsidRDefault="006279A1" w:rsidP="006279A1">
            <w:pPr>
              <w:spacing w:after="0" w:line="240" w:lineRule="auto"/>
              <w:jc w:val="both"/>
              <w:rPr>
                <w:rFonts w:ascii="Times New Roman" w:eastAsia="Times New Roman" w:hAnsi="Times New Roman" w:cs="Times New Roman"/>
                <w:lang w:eastAsia="hu-HU"/>
              </w:rPr>
            </w:pPr>
          </w:p>
        </w:tc>
        <w:tc>
          <w:tcPr>
            <w:tcW w:w="2597" w:type="dxa"/>
          </w:tcPr>
          <w:p w:rsidR="006279A1" w:rsidRPr="006279A1" w:rsidRDefault="006279A1" w:rsidP="006279A1">
            <w:pPr>
              <w:spacing w:after="0" w:line="240" w:lineRule="auto"/>
              <w:jc w:val="right"/>
              <w:rPr>
                <w:rFonts w:ascii="Times New Roman" w:eastAsia="Times New Roman" w:hAnsi="Times New Roman" w:cs="Times New Roman"/>
                <w:lang w:eastAsia="hu-HU"/>
              </w:rPr>
            </w:pPr>
          </w:p>
        </w:tc>
      </w:tr>
      <w:tr w:rsidR="006279A1" w:rsidRPr="006279A1" w:rsidTr="006279A1">
        <w:tc>
          <w:tcPr>
            <w:tcW w:w="4855" w:type="dxa"/>
            <w:tcBorders>
              <w:top w:val="single" w:sz="4" w:space="0" w:color="auto"/>
              <w:left w:val="nil"/>
              <w:bottom w:val="nil"/>
              <w:right w:val="nil"/>
            </w:tcBorders>
            <w:hideMark/>
          </w:tcPr>
          <w:p w:rsidR="006279A1" w:rsidRPr="006279A1" w:rsidRDefault="006279A1" w:rsidP="006279A1">
            <w:pPr>
              <w:spacing w:after="0" w:line="240" w:lineRule="auto"/>
              <w:jc w:val="center"/>
              <w:rPr>
                <w:rFonts w:ascii="Times New Roman" w:eastAsia="Times New Roman" w:hAnsi="Times New Roman" w:cs="Times New Roman"/>
                <w:b/>
                <w:lang w:eastAsia="hu-HU"/>
              </w:rPr>
            </w:pPr>
            <w:r w:rsidRPr="006279A1">
              <w:rPr>
                <w:rFonts w:ascii="Times New Roman" w:eastAsia="Times New Roman" w:hAnsi="Times New Roman" w:cs="Times New Roman"/>
                <w:b/>
                <w:lang w:eastAsia="hu-HU"/>
              </w:rPr>
              <w:t>Hadtudományi és Honvédtisztképző Kar</w:t>
            </w:r>
          </w:p>
        </w:tc>
        <w:tc>
          <w:tcPr>
            <w:tcW w:w="1620" w:type="dxa"/>
          </w:tcPr>
          <w:p w:rsidR="006279A1" w:rsidRPr="006279A1" w:rsidRDefault="006279A1" w:rsidP="006279A1">
            <w:pPr>
              <w:spacing w:after="0" w:line="240" w:lineRule="auto"/>
              <w:jc w:val="both"/>
              <w:rPr>
                <w:rFonts w:ascii="Times New Roman" w:eastAsia="Times New Roman" w:hAnsi="Times New Roman" w:cs="Times New Roman"/>
                <w:lang w:eastAsia="hu-HU"/>
              </w:rPr>
            </w:pPr>
          </w:p>
        </w:tc>
        <w:tc>
          <w:tcPr>
            <w:tcW w:w="2597" w:type="dxa"/>
          </w:tcPr>
          <w:p w:rsidR="006279A1" w:rsidRPr="006279A1" w:rsidRDefault="006279A1" w:rsidP="006279A1">
            <w:pPr>
              <w:spacing w:after="0" w:line="240" w:lineRule="auto"/>
              <w:jc w:val="both"/>
              <w:rPr>
                <w:rFonts w:ascii="Times New Roman" w:eastAsia="Times New Roman" w:hAnsi="Times New Roman" w:cs="Times New Roman"/>
                <w:lang w:eastAsia="hu-HU"/>
              </w:rPr>
            </w:pPr>
          </w:p>
        </w:tc>
      </w:tr>
    </w:tbl>
    <w:p w:rsidR="006279A1" w:rsidRPr="006279A1" w:rsidRDefault="006279A1" w:rsidP="006279A1">
      <w:pPr>
        <w:spacing w:before="120" w:after="0" w:line="240" w:lineRule="auto"/>
        <w:jc w:val="center"/>
        <w:rPr>
          <w:rFonts w:ascii="Times New Roman" w:eastAsia="Times New Roman" w:hAnsi="Times New Roman" w:cs="Times New Roman"/>
          <w:b/>
          <w:bCs/>
          <w:lang w:eastAsia="hu-HU"/>
        </w:rPr>
      </w:pPr>
    </w:p>
    <w:p w:rsidR="006279A1" w:rsidRPr="006279A1" w:rsidRDefault="006279A1" w:rsidP="006279A1">
      <w:pPr>
        <w:spacing w:before="120" w:after="0" w:line="240" w:lineRule="auto"/>
        <w:jc w:val="center"/>
        <w:rPr>
          <w:rFonts w:ascii="Times New Roman" w:eastAsia="Times New Roman" w:hAnsi="Times New Roman" w:cs="Times New Roman"/>
          <w:b/>
          <w:bCs/>
          <w:lang w:eastAsia="hu-HU"/>
        </w:rPr>
      </w:pPr>
      <w:r w:rsidRPr="006279A1">
        <w:rPr>
          <w:rFonts w:ascii="Times New Roman" w:eastAsia="Times New Roman" w:hAnsi="Times New Roman" w:cs="Times New Roman"/>
          <w:b/>
          <w:bCs/>
          <w:lang w:eastAsia="hu-HU"/>
        </w:rPr>
        <w:t>TANTÁRGYI PROGRAM</w:t>
      </w:r>
    </w:p>
    <w:p w:rsidR="006279A1" w:rsidRPr="006279A1" w:rsidRDefault="006279A1" w:rsidP="00980876">
      <w:pPr>
        <w:numPr>
          <w:ilvl w:val="0"/>
          <w:numId w:val="710"/>
        </w:numPr>
        <w:tabs>
          <w:tab w:val="clear" w:pos="720"/>
          <w:tab w:val="center" w:pos="4536"/>
          <w:tab w:val="right" w:pos="9071"/>
        </w:tabs>
        <w:spacing w:after="0" w:line="276" w:lineRule="auto"/>
        <w:ind w:left="426" w:hanging="142"/>
        <w:jc w:val="both"/>
        <w:rPr>
          <w:rFonts w:ascii="Times New Roman" w:eastAsia="Times New Roman" w:hAnsi="Times New Roman" w:cs="Times New Roman"/>
          <w:bCs/>
          <w:lang w:eastAsia="hu-HU"/>
        </w:rPr>
      </w:pPr>
      <w:r w:rsidRPr="006279A1">
        <w:rPr>
          <w:rFonts w:ascii="Times New Roman" w:eastAsia="Times New Roman" w:hAnsi="Times New Roman" w:cs="Times New Roman"/>
          <w:b/>
          <w:bCs/>
          <w:lang w:eastAsia="hu-HU"/>
        </w:rPr>
        <w:t xml:space="preserve">A tantárgy kódja: </w:t>
      </w:r>
      <w:r w:rsidRPr="006279A1">
        <w:rPr>
          <w:rFonts w:ascii="Times New Roman" w:eastAsia="Times New Roman" w:hAnsi="Times New Roman" w:cs="Times New Roman"/>
          <w:bCs/>
          <w:lang w:eastAsia="hu-HU"/>
        </w:rPr>
        <w:t>HKHDTA25</w:t>
      </w:r>
    </w:p>
    <w:p w:rsidR="006279A1" w:rsidRPr="006279A1" w:rsidRDefault="006279A1" w:rsidP="00980876">
      <w:pPr>
        <w:numPr>
          <w:ilvl w:val="0"/>
          <w:numId w:val="710"/>
        </w:numPr>
        <w:tabs>
          <w:tab w:val="clear" w:pos="720"/>
          <w:tab w:val="center" w:pos="4536"/>
          <w:tab w:val="right" w:pos="9071"/>
        </w:tabs>
        <w:spacing w:after="0" w:line="276" w:lineRule="auto"/>
        <w:ind w:left="426" w:hanging="142"/>
        <w:jc w:val="both"/>
        <w:rPr>
          <w:rFonts w:ascii="Times New Roman" w:eastAsia="Times New Roman" w:hAnsi="Times New Roman" w:cs="Times New Roman"/>
          <w:bCs/>
          <w:lang w:eastAsia="hu-HU"/>
        </w:rPr>
      </w:pPr>
      <w:r w:rsidRPr="006279A1">
        <w:rPr>
          <w:rFonts w:ascii="Times New Roman" w:eastAsia="Times New Roman" w:hAnsi="Times New Roman" w:cs="Times New Roman"/>
          <w:b/>
          <w:bCs/>
          <w:lang w:eastAsia="hu-HU"/>
        </w:rPr>
        <w:t xml:space="preserve">A tantárgy megnevezése (magyarul): </w:t>
      </w:r>
      <w:r w:rsidRPr="006279A1">
        <w:rPr>
          <w:rFonts w:ascii="Times New Roman" w:eastAsia="Times New Roman" w:hAnsi="Times New Roman" w:cs="Times New Roman"/>
          <w:lang w:eastAsia="hu-HU"/>
        </w:rPr>
        <w:t>Általános lövegszerkezettan</w:t>
      </w:r>
    </w:p>
    <w:p w:rsidR="006279A1" w:rsidRPr="006279A1" w:rsidRDefault="006279A1" w:rsidP="00980876">
      <w:pPr>
        <w:numPr>
          <w:ilvl w:val="0"/>
          <w:numId w:val="710"/>
        </w:numPr>
        <w:tabs>
          <w:tab w:val="clear" w:pos="720"/>
          <w:tab w:val="center" w:pos="4536"/>
          <w:tab w:val="right" w:pos="9071"/>
        </w:tabs>
        <w:spacing w:after="0" w:line="276" w:lineRule="auto"/>
        <w:ind w:left="426" w:hanging="142"/>
        <w:jc w:val="both"/>
        <w:rPr>
          <w:rFonts w:ascii="Times New Roman" w:eastAsia="Times New Roman" w:hAnsi="Times New Roman" w:cs="Times New Roman"/>
          <w:bCs/>
          <w:lang w:eastAsia="hu-HU"/>
        </w:rPr>
      </w:pPr>
      <w:r w:rsidRPr="006279A1">
        <w:rPr>
          <w:rFonts w:ascii="Times New Roman" w:eastAsia="Times New Roman" w:hAnsi="Times New Roman" w:cs="Times New Roman"/>
          <w:b/>
          <w:bCs/>
          <w:lang w:eastAsia="hu-HU"/>
        </w:rPr>
        <w:t xml:space="preserve">A tantárgy megnevezése (angolul): </w:t>
      </w:r>
      <w:r w:rsidRPr="006279A1">
        <w:rPr>
          <w:rFonts w:ascii="Times New Roman" w:eastAsia="Times New Roman" w:hAnsi="Times New Roman" w:cs="Times New Roman"/>
          <w:bCs/>
          <w:lang w:eastAsia="hu-HU"/>
        </w:rPr>
        <w:t>General armour material</w:t>
      </w:r>
    </w:p>
    <w:p w:rsidR="006279A1" w:rsidRPr="006279A1" w:rsidRDefault="006279A1" w:rsidP="00980876">
      <w:pPr>
        <w:numPr>
          <w:ilvl w:val="0"/>
          <w:numId w:val="710"/>
        </w:numPr>
        <w:tabs>
          <w:tab w:val="clear" w:pos="720"/>
          <w:tab w:val="center" w:pos="4536"/>
          <w:tab w:val="right" w:pos="9071"/>
        </w:tabs>
        <w:spacing w:after="0" w:line="276" w:lineRule="auto"/>
        <w:ind w:left="426" w:hanging="142"/>
        <w:jc w:val="both"/>
        <w:rPr>
          <w:rFonts w:ascii="Times New Roman" w:eastAsia="Times New Roman" w:hAnsi="Times New Roman" w:cs="Times New Roman"/>
          <w:bCs/>
          <w:lang w:eastAsia="hu-HU"/>
        </w:rPr>
      </w:pPr>
      <w:r w:rsidRPr="006279A1">
        <w:rPr>
          <w:rFonts w:ascii="Times New Roman" w:eastAsia="Times New Roman" w:hAnsi="Times New Roman" w:cs="Times New Roman"/>
          <w:b/>
          <w:bCs/>
          <w:lang w:eastAsia="hu-HU"/>
        </w:rPr>
        <w:t>Kreditérték és képzési karakter:</w:t>
      </w:r>
    </w:p>
    <w:p w:rsidR="006279A1" w:rsidRPr="006279A1" w:rsidRDefault="006279A1" w:rsidP="00980876">
      <w:pPr>
        <w:numPr>
          <w:ilvl w:val="1"/>
          <w:numId w:val="710"/>
        </w:numPr>
        <w:tabs>
          <w:tab w:val="clear" w:pos="3977"/>
          <w:tab w:val="right" w:pos="900"/>
          <w:tab w:val="num" w:pos="1425"/>
          <w:tab w:val="center" w:pos="4536"/>
          <w:tab w:val="right" w:pos="9071"/>
        </w:tabs>
        <w:spacing w:after="0" w:line="276" w:lineRule="auto"/>
        <w:ind w:left="1425"/>
        <w:rPr>
          <w:rFonts w:ascii="Times New Roman" w:eastAsia="Times New Roman" w:hAnsi="Times New Roman" w:cs="Times New Roman"/>
          <w:bCs/>
          <w:lang w:eastAsia="hu-HU"/>
        </w:rPr>
      </w:pPr>
      <w:r w:rsidRPr="006279A1">
        <w:rPr>
          <w:rFonts w:ascii="Times New Roman" w:eastAsia="Times New Roman" w:hAnsi="Times New Roman" w:cs="Times New Roman"/>
          <w:b/>
          <w:bCs/>
          <w:lang w:eastAsia="hu-HU"/>
        </w:rPr>
        <w:t xml:space="preserve"> </w:t>
      </w:r>
      <w:r w:rsidRPr="006279A1">
        <w:rPr>
          <w:rFonts w:ascii="Times New Roman" w:eastAsia="Times New Roman" w:hAnsi="Times New Roman" w:cs="Times New Roman"/>
          <w:bCs/>
          <w:lang w:eastAsia="hu-HU"/>
        </w:rPr>
        <w:t>4 kredit</w:t>
      </w:r>
    </w:p>
    <w:p w:rsidR="006279A1" w:rsidRPr="006279A1" w:rsidRDefault="006279A1" w:rsidP="00980876">
      <w:pPr>
        <w:numPr>
          <w:ilvl w:val="1"/>
          <w:numId w:val="710"/>
        </w:numPr>
        <w:tabs>
          <w:tab w:val="clear" w:pos="3977"/>
          <w:tab w:val="right" w:pos="900"/>
          <w:tab w:val="num" w:pos="1425"/>
          <w:tab w:val="center" w:pos="4536"/>
          <w:tab w:val="right" w:pos="9071"/>
        </w:tabs>
        <w:spacing w:after="0" w:line="276" w:lineRule="auto"/>
        <w:ind w:left="1425"/>
        <w:rPr>
          <w:rFonts w:ascii="Times New Roman" w:eastAsia="Times New Roman" w:hAnsi="Times New Roman" w:cs="Times New Roman"/>
          <w:bCs/>
          <w:lang w:eastAsia="hu-HU"/>
        </w:rPr>
      </w:pPr>
      <w:r w:rsidRPr="006279A1">
        <w:rPr>
          <w:rFonts w:ascii="Times New Roman" w:eastAsia="Times New Roman" w:hAnsi="Times New Roman" w:cs="Times New Roman"/>
          <w:bCs/>
          <w:lang w:eastAsia="hu-HU"/>
        </w:rPr>
        <w:t>a tantárgy elméleti vagy gyakorlati jellegének mértéke: 50 % gyakorlat, 50 % elmélet</w:t>
      </w:r>
    </w:p>
    <w:p w:rsidR="006279A1" w:rsidRPr="006279A1" w:rsidRDefault="006279A1" w:rsidP="00980876">
      <w:pPr>
        <w:numPr>
          <w:ilvl w:val="0"/>
          <w:numId w:val="710"/>
        </w:numPr>
        <w:tabs>
          <w:tab w:val="clear" w:pos="720"/>
          <w:tab w:val="center" w:pos="4536"/>
          <w:tab w:val="right" w:pos="9071"/>
        </w:tabs>
        <w:spacing w:after="0" w:line="276" w:lineRule="auto"/>
        <w:ind w:left="426" w:hanging="142"/>
        <w:jc w:val="both"/>
        <w:rPr>
          <w:rFonts w:ascii="Times New Roman" w:eastAsia="Times New Roman" w:hAnsi="Times New Roman" w:cs="Times New Roman"/>
          <w:bCs/>
          <w:lang w:eastAsia="hu-HU"/>
        </w:rPr>
      </w:pPr>
      <w:r w:rsidRPr="006279A1">
        <w:rPr>
          <w:rFonts w:ascii="Times New Roman" w:eastAsia="Times New Roman" w:hAnsi="Times New Roman" w:cs="Times New Roman"/>
          <w:b/>
          <w:bCs/>
          <w:lang w:eastAsia="hu-HU"/>
        </w:rPr>
        <w:t xml:space="preserve">A szak(ok), szakirányok/specializációk megnevezése (ahol oktatják): </w:t>
      </w:r>
      <w:r w:rsidRPr="006279A1">
        <w:rPr>
          <w:rFonts w:ascii="Times New Roman" w:eastAsia="Times New Roman" w:hAnsi="Times New Roman" w:cs="Times New Roman"/>
          <w:bCs/>
          <w:lang w:eastAsia="hu-HU"/>
        </w:rPr>
        <w:t>Katonai logisztika (</w:t>
      </w:r>
      <w:r w:rsidR="00137B8A">
        <w:rPr>
          <w:rFonts w:ascii="Times New Roman" w:eastAsia="Times New Roman" w:hAnsi="Times New Roman" w:cs="Times New Roman"/>
          <w:bCs/>
          <w:lang w:eastAsia="hu-HU"/>
        </w:rPr>
        <w:t>BSc</w:t>
      </w:r>
      <w:r w:rsidRPr="006279A1">
        <w:rPr>
          <w:rFonts w:ascii="Times New Roman" w:eastAsia="Times New Roman" w:hAnsi="Times New Roman" w:cs="Times New Roman"/>
          <w:bCs/>
          <w:lang w:eastAsia="hu-HU"/>
        </w:rPr>
        <w:t>) alapképzési szak, haditechnika specializáció, fegyverzettechnikai modul</w:t>
      </w:r>
    </w:p>
    <w:p w:rsidR="006279A1" w:rsidRPr="006279A1" w:rsidRDefault="006279A1" w:rsidP="00980876">
      <w:pPr>
        <w:numPr>
          <w:ilvl w:val="0"/>
          <w:numId w:val="710"/>
        </w:numPr>
        <w:tabs>
          <w:tab w:val="clear" w:pos="720"/>
          <w:tab w:val="center" w:pos="4536"/>
          <w:tab w:val="right" w:pos="9071"/>
        </w:tabs>
        <w:spacing w:after="0" w:line="276" w:lineRule="auto"/>
        <w:ind w:left="426" w:hanging="142"/>
        <w:jc w:val="both"/>
        <w:rPr>
          <w:rFonts w:ascii="Times New Roman" w:eastAsia="Times New Roman" w:hAnsi="Times New Roman" w:cs="Times New Roman"/>
          <w:bCs/>
          <w:lang w:eastAsia="hu-HU"/>
        </w:rPr>
      </w:pPr>
      <w:r w:rsidRPr="006279A1">
        <w:rPr>
          <w:rFonts w:ascii="Times New Roman" w:eastAsia="Times New Roman" w:hAnsi="Times New Roman" w:cs="Times New Roman"/>
          <w:b/>
          <w:bCs/>
          <w:lang w:eastAsia="hu-HU"/>
        </w:rPr>
        <w:tab/>
        <w:t xml:space="preserve">Az oktatásért felelős oktatási szervezeti egység megnevezése: </w:t>
      </w:r>
      <w:r w:rsidRPr="006279A1">
        <w:rPr>
          <w:rFonts w:ascii="Times New Roman" w:eastAsia="Times New Roman" w:hAnsi="Times New Roman" w:cs="Times New Roman"/>
          <w:bCs/>
          <w:lang w:eastAsia="hu-HU"/>
        </w:rPr>
        <w:t>NKE,</w:t>
      </w:r>
      <w:r w:rsidRPr="006279A1">
        <w:rPr>
          <w:rFonts w:ascii="Times New Roman" w:eastAsia="Times New Roman" w:hAnsi="Times New Roman" w:cs="Times New Roman"/>
          <w:b/>
          <w:bCs/>
          <w:lang w:eastAsia="hu-HU"/>
        </w:rPr>
        <w:t xml:space="preserve"> </w:t>
      </w:r>
      <w:r w:rsidRPr="006279A1">
        <w:rPr>
          <w:rFonts w:ascii="Times New Roman" w:eastAsia="Times New Roman" w:hAnsi="Times New Roman" w:cs="Times New Roman"/>
          <w:bCs/>
          <w:lang w:eastAsia="hu-HU"/>
        </w:rPr>
        <w:t>Hadtudományi és Honvédtisztképző Kar, Haditechnikai Tanszék</w:t>
      </w:r>
    </w:p>
    <w:p w:rsidR="006279A1" w:rsidRPr="006279A1" w:rsidRDefault="006279A1" w:rsidP="00980876">
      <w:pPr>
        <w:numPr>
          <w:ilvl w:val="0"/>
          <w:numId w:val="710"/>
        </w:numPr>
        <w:tabs>
          <w:tab w:val="clear" w:pos="720"/>
          <w:tab w:val="center" w:pos="4536"/>
          <w:tab w:val="right" w:pos="9071"/>
        </w:tabs>
        <w:spacing w:after="0" w:line="276" w:lineRule="auto"/>
        <w:ind w:left="426" w:hanging="142"/>
        <w:jc w:val="both"/>
        <w:rPr>
          <w:rFonts w:ascii="Times New Roman" w:eastAsia="Times New Roman" w:hAnsi="Times New Roman" w:cs="Times New Roman"/>
          <w:bCs/>
          <w:lang w:eastAsia="hu-HU"/>
        </w:rPr>
      </w:pPr>
      <w:r w:rsidRPr="006279A1">
        <w:rPr>
          <w:rFonts w:ascii="Times New Roman" w:eastAsia="Times New Roman" w:hAnsi="Times New Roman" w:cs="Times New Roman"/>
          <w:b/>
          <w:bCs/>
          <w:lang w:eastAsia="hu-HU"/>
        </w:rPr>
        <w:t xml:space="preserve">  A tantárgyfelelős oktató neve, beosztása, tudományos fokozata: </w:t>
      </w:r>
      <w:r w:rsidRPr="006279A1">
        <w:rPr>
          <w:rFonts w:ascii="Times New Roman" w:eastAsia="Times New Roman" w:hAnsi="Times New Roman" w:cs="Times New Roman"/>
          <w:bCs/>
          <w:lang w:eastAsia="hu-HU"/>
        </w:rPr>
        <w:t>Dr. Vég Róbert László alezredes PhD, egyetemi docens</w:t>
      </w:r>
    </w:p>
    <w:p w:rsidR="006279A1" w:rsidRPr="006279A1" w:rsidRDefault="006279A1" w:rsidP="00980876">
      <w:pPr>
        <w:numPr>
          <w:ilvl w:val="0"/>
          <w:numId w:val="710"/>
        </w:numPr>
        <w:tabs>
          <w:tab w:val="clear" w:pos="720"/>
          <w:tab w:val="center" w:pos="4536"/>
          <w:tab w:val="right" w:pos="9071"/>
        </w:tabs>
        <w:spacing w:after="0" w:line="276" w:lineRule="auto"/>
        <w:ind w:left="426" w:hanging="142"/>
        <w:jc w:val="both"/>
        <w:rPr>
          <w:rFonts w:ascii="Times New Roman" w:eastAsia="Times New Roman" w:hAnsi="Times New Roman" w:cs="Times New Roman"/>
          <w:b/>
          <w:lang w:eastAsia="hu-HU"/>
        </w:rPr>
      </w:pPr>
      <w:r w:rsidRPr="006279A1">
        <w:rPr>
          <w:rFonts w:ascii="Times New Roman" w:eastAsia="Times New Roman" w:hAnsi="Times New Roman" w:cs="Times New Roman"/>
          <w:b/>
          <w:bCs/>
          <w:lang w:eastAsia="hu-HU"/>
        </w:rPr>
        <w:t xml:space="preserve">A tanórák száma </w:t>
      </w:r>
      <w:r w:rsidRPr="006279A1">
        <w:rPr>
          <w:rFonts w:ascii="Times New Roman" w:eastAsia="Times New Roman" w:hAnsi="Times New Roman" w:cs="Times New Roman"/>
          <w:b/>
          <w:lang w:eastAsia="hu-HU"/>
        </w:rPr>
        <w:t>(előadás + szeminárium + gyakorlat)</w:t>
      </w:r>
    </w:p>
    <w:p w:rsidR="006279A1" w:rsidRPr="006279A1" w:rsidRDefault="006279A1" w:rsidP="00980876">
      <w:pPr>
        <w:numPr>
          <w:ilvl w:val="1"/>
          <w:numId w:val="710"/>
        </w:numPr>
        <w:tabs>
          <w:tab w:val="clear" w:pos="3977"/>
        </w:tabs>
        <w:spacing w:after="0" w:line="276" w:lineRule="auto"/>
        <w:ind w:left="993" w:hanging="426"/>
        <w:jc w:val="both"/>
        <w:rPr>
          <w:rFonts w:ascii="Times New Roman" w:eastAsia="Times New Roman" w:hAnsi="Times New Roman" w:cs="Times New Roman"/>
          <w:bCs/>
          <w:lang w:eastAsia="hu-HU"/>
        </w:rPr>
      </w:pPr>
      <w:r w:rsidRPr="006279A1">
        <w:rPr>
          <w:rFonts w:ascii="Times New Roman" w:eastAsia="Times New Roman" w:hAnsi="Times New Roman" w:cs="Times New Roman"/>
          <w:bCs/>
          <w:lang w:eastAsia="hu-HU"/>
        </w:rPr>
        <w:t>össz óraszám/félév: 56</w:t>
      </w:r>
    </w:p>
    <w:p w:rsidR="006279A1" w:rsidRPr="006279A1" w:rsidRDefault="006279A1" w:rsidP="00980876">
      <w:pPr>
        <w:numPr>
          <w:ilvl w:val="2"/>
          <w:numId w:val="710"/>
        </w:numPr>
        <w:tabs>
          <w:tab w:val="clear" w:pos="1800"/>
          <w:tab w:val="right" w:pos="900"/>
          <w:tab w:val="num" w:pos="1724"/>
          <w:tab w:val="num" w:pos="1843"/>
        </w:tabs>
        <w:spacing w:after="0" w:line="276" w:lineRule="auto"/>
        <w:ind w:left="851" w:firstLine="0"/>
        <w:jc w:val="both"/>
        <w:rPr>
          <w:rFonts w:ascii="Times New Roman" w:eastAsia="Times New Roman" w:hAnsi="Times New Roman" w:cs="Times New Roman"/>
          <w:bCs/>
          <w:lang w:eastAsia="hu-HU"/>
        </w:rPr>
      </w:pPr>
      <w:r w:rsidRPr="006279A1">
        <w:rPr>
          <w:rFonts w:ascii="Times New Roman" w:eastAsia="Times New Roman" w:hAnsi="Times New Roman" w:cs="Times New Roman"/>
          <w:bCs/>
          <w:lang w:eastAsia="hu-HU"/>
        </w:rPr>
        <w:t>Nappali munkarend: 56 (28 EA+ 0 SZ + 28 GY)</w:t>
      </w:r>
    </w:p>
    <w:p w:rsidR="006279A1" w:rsidRPr="006279A1" w:rsidRDefault="006279A1" w:rsidP="00980876">
      <w:pPr>
        <w:numPr>
          <w:ilvl w:val="2"/>
          <w:numId w:val="710"/>
        </w:numPr>
        <w:tabs>
          <w:tab w:val="clear" w:pos="1800"/>
          <w:tab w:val="right" w:pos="900"/>
          <w:tab w:val="num" w:pos="1724"/>
          <w:tab w:val="num" w:pos="1843"/>
        </w:tabs>
        <w:spacing w:after="0" w:line="276" w:lineRule="auto"/>
        <w:ind w:left="851" w:firstLine="0"/>
        <w:jc w:val="both"/>
        <w:rPr>
          <w:rFonts w:ascii="Times New Roman" w:eastAsia="Times New Roman" w:hAnsi="Times New Roman" w:cs="Times New Roman"/>
          <w:bCs/>
          <w:lang w:eastAsia="hu-HU"/>
        </w:rPr>
      </w:pPr>
      <w:r w:rsidRPr="006279A1">
        <w:rPr>
          <w:rFonts w:ascii="Times New Roman" w:eastAsia="Times New Roman" w:hAnsi="Times New Roman" w:cs="Times New Roman"/>
          <w:bCs/>
          <w:lang w:eastAsia="hu-HU"/>
        </w:rPr>
        <w:t>Levelező munkarend: -</w:t>
      </w:r>
    </w:p>
    <w:p w:rsidR="006279A1" w:rsidRPr="006279A1" w:rsidRDefault="006279A1" w:rsidP="00980876">
      <w:pPr>
        <w:numPr>
          <w:ilvl w:val="1"/>
          <w:numId w:val="710"/>
        </w:numPr>
        <w:tabs>
          <w:tab w:val="clear" w:pos="3977"/>
        </w:tabs>
        <w:spacing w:after="0" w:line="276" w:lineRule="auto"/>
        <w:ind w:left="993" w:hanging="426"/>
        <w:jc w:val="both"/>
        <w:rPr>
          <w:rFonts w:ascii="Times New Roman" w:eastAsia="Times New Roman" w:hAnsi="Times New Roman" w:cs="Times New Roman"/>
          <w:bCs/>
          <w:lang w:eastAsia="hu-HU"/>
        </w:rPr>
      </w:pPr>
      <w:r w:rsidRPr="006279A1">
        <w:rPr>
          <w:rFonts w:ascii="Times New Roman" w:eastAsia="Times New Roman" w:hAnsi="Times New Roman" w:cs="Times New Roman"/>
          <w:bCs/>
          <w:lang w:eastAsia="hu-HU"/>
        </w:rPr>
        <w:t>heti óraszám nappali munkarend: 4 (2 + 2)</w:t>
      </w:r>
    </w:p>
    <w:p w:rsidR="006279A1" w:rsidRPr="006279A1" w:rsidRDefault="006279A1" w:rsidP="00980876">
      <w:pPr>
        <w:numPr>
          <w:ilvl w:val="1"/>
          <w:numId w:val="710"/>
        </w:numPr>
        <w:tabs>
          <w:tab w:val="clear" w:pos="3977"/>
        </w:tabs>
        <w:spacing w:after="0" w:line="276" w:lineRule="auto"/>
        <w:ind w:left="993" w:hanging="426"/>
        <w:jc w:val="both"/>
        <w:rPr>
          <w:rFonts w:ascii="Times New Roman" w:eastAsia="Times New Roman" w:hAnsi="Times New Roman" w:cs="Times New Roman"/>
          <w:bCs/>
          <w:lang w:eastAsia="hu-HU"/>
        </w:rPr>
      </w:pPr>
      <w:r w:rsidRPr="006279A1">
        <w:rPr>
          <w:rFonts w:ascii="Times New Roman" w:eastAsia="Times New Roman" w:hAnsi="Times New Roman" w:cs="Times New Roman"/>
          <w:bCs/>
          <w:lang w:eastAsia="hu-HU"/>
        </w:rPr>
        <w:t>Az ismeret átadásában alkalmazandó további sajátos módok, jellemzők: vegyes tanulási program (blended learning)</w:t>
      </w:r>
    </w:p>
    <w:p w:rsidR="006279A1" w:rsidRPr="006279A1" w:rsidRDefault="006279A1" w:rsidP="00980876">
      <w:pPr>
        <w:numPr>
          <w:ilvl w:val="0"/>
          <w:numId w:val="710"/>
        </w:numPr>
        <w:tabs>
          <w:tab w:val="clear" w:pos="720"/>
          <w:tab w:val="center" w:pos="4536"/>
          <w:tab w:val="right" w:pos="9071"/>
        </w:tabs>
        <w:spacing w:after="0" w:line="276" w:lineRule="auto"/>
        <w:ind w:left="426" w:hanging="142"/>
        <w:jc w:val="both"/>
        <w:rPr>
          <w:rFonts w:ascii="Times New Roman" w:eastAsia="Times New Roman" w:hAnsi="Times New Roman" w:cs="Times New Roman"/>
          <w:lang w:eastAsia="hu-HU"/>
        </w:rPr>
      </w:pPr>
      <w:r w:rsidRPr="006279A1">
        <w:rPr>
          <w:rFonts w:ascii="Times New Roman" w:eastAsia="Times New Roman" w:hAnsi="Times New Roman" w:cs="Times New Roman"/>
          <w:b/>
          <w:bCs/>
          <w:lang w:eastAsia="hu-HU"/>
        </w:rPr>
        <w:t>A tantárgy szakmai tartalma (magyarul):</w:t>
      </w:r>
      <w:r w:rsidRPr="006279A1">
        <w:rPr>
          <w:rFonts w:ascii="CG Times (W1)" w:eastAsia="Times New Roman" w:hAnsi="CG Times (W1)" w:cs="Times New Roman"/>
          <w:b/>
          <w:bCs/>
          <w:lang w:eastAsia="hu-HU"/>
        </w:rPr>
        <w:t xml:space="preserve"> </w:t>
      </w:r>
      <w:r w:rsidRPr="006279A1">
        <w:rPr>
          <w:rFonts w:ascii="Times New Roman" w:eastAsia="Times New Roman" w:hAnsi="Times New Roman" w:cs="Times New Roman"/>
          <w:lang w:eastAsia="hu-HU"/>
        </w:rPr>
        <w:t>A löveg fogalma és elvi felépítése. Az aktív, reaktív tüzérségi eszközök rendszertani osztályozása. A lövegek és aknavet</w:t>
      </w:r>
      <w:r w:rsidRPr="006279A1">
        <w:rPr>
          <w:rFonts w:ascii="Times New Roman" w:eastAsia="Times New Roman" w:hAnsi="Times New Roman" w:cs="Times New Roman" w:hint="eastAsia"/>
          <w:lang w:eastAsia="hu-HU"/>
        </w:rPr>
        <w:t>ő</w:t>
      </w:r>
      <w:r w:rsidRPr="006279A1">
        <w:rPr>
          <w:rFonts w:ascii="Times New Roman" w:eastAsia="Times New Roman" w:hAnsi="Times New Roman" w:cs="Times New Roman"/>
          <w:lang w:eastAsia="hu-HU"/>
        </w:rPr>
        <w:t>k szerkezeti egységeinek rendszertani osztályozása. A tüzérségi fegyverek tömbvázlat szint</w:t>
      </w:r>
      <w:r w:rsidRPr="006279A1">
        <w:rPr>
          <w:rFonts w:ascii="Times New Roman" w:eastAsia="Times New Roman" w:hAnsi="Times New Roman" w:cs="Times New Roman" w:hint="eastAsia"/>
          <w:lang w:eastAsia="hu-HU"/>
        </w:rPr>
        <w:t>ű</w:t>
      </w:r>
      <w:r w:rsidRPr="006279A1">
        <w:rPr>
          <w:rFonts w:ascii="Times New Roman" w:eastAsia="Times New Roman" w:hAnsi="Times New Roman" w:cs="Times New Roman"/>
          <w:lang w:eastAsia="hu-HU"/>
        </w:rPr>
        <w:t xml:space="preserve"> elvi felépítése és m</w:t>
      </w:r>
      <w:r w:rsidRPr="006279A1">
        <w:rPr>
          <w:rFonts w:ascii="Times New Roman" w:eastAsia="Times New Roman" w:hAnsi="Times New Roman" w:cs="Times New Roman" w:hint="eastAsia"/>
          <w:lang w:eastAsia="hu-HU"/>
        </w:rPr>
        <w:t>ű</w:t>
      </w:r>
      <w:r w:rsidRPr="006279A1">
        <w:rPr>
          <w:rFonts w:ascii="Times New Roman" w:eastAsia="Times New Roman" w:hAnsi="Times New Roman" w:cs="Times New Roman"/>
          <w:lang w:eastAsia="hu-HU"/>
        </w:rPr>
        <w:t>ködésük. Lövegcsövek és cs</w:t>
      </w:r>
      <w:r w:rsidRPr="006279A1">
        <w:rPr>
          <w:rFonts w:ascii="Times New Roman" w:eastAsia="Times New Roman" w:hAnsi="Times New Roman" w:cs="Times New Roman" w:hint="eastAsia"/>
          <w:lang w:eastAsia="hu-HU"/>
        </w:rPr>
        <w:t>ő</w:t>
      </w:r>
      <w:r w:rsidRPr="006279A1">
        <w:rPr>
          <w:rFonts w:ascii="Times New Roman" w:eastAsia="Times New Roman" w:hAnsi="Times New Roman" w:cs="Times New Roman"/>
          <w:lang w:eastAsia="hu-HU"/>
        </w:rPr>
        <w:t>szerkezetek, lövegzárak, hátrasiklást fékez</w:t>
      </w:r>
      <w:r w:rsidRPr="006279A1">
        <w:rPr>
          <w:rFonts w:ascii="Times New Roman" w:eastAsia="Times New Roman" w:hAnsi="Times New Roman" w:cs="Times New Roman" w:hint="eastAsia"/>
          <w:lang w:eastAsia="hu-HU"/>
        </w:rPr>
        <w:t>ő</w:t>
      </w:r>
      <w:r w:rsidRPr="006279A1">
        <w:rPr>
          <w:rFonts w:ascii="Times New Roman" w:eastAsia="Times New Roman" w:hAnsi="Times New Roman" w:cs="Times New Roman"/>
          <w:lang w:eastAsia="hu-HU"/>
        </w:rPr>
        <w:t xml:space="preserve"> berendezések, bölcs</w:t>
      </w:r>
      <w:r w:rsidRPr="006279A1">
        <w:rPr>
          <w:rFonts w:ascii="Times New Roman" w:eastAsia="Times New Roman" w:hAnsi="Times New Roman" w:cs="Times New Roman" w:hint="eastAsia"/>
          <w:lang w:eastAsia="hu-HU"/>
        </w:rPr>
        <w:t>ő</w:t>
      </w:r>
      <w:r w:rsidRPr="006279A1">
        <w:rPr>
          <w:rFonts w:ascii="Times New Roman" w:eastAsia="Times New Roman" w:hAnsi="Times New Roman" w:cs="Times New Roman"/>
          <w:lang w:eastAsia="hu-HU"/>
        </w:rPr>
        <w:t>szerkezetek, irányzógépek és szöghajtóm</w:t>
      </w:r>
      <w:r w:rsidRPr="006279A1">
        <w:rPr>
          <w:rFonts w:ascii="Times New Roman" w:eastAsia="Times New Roman" w:hAnsi="Times New Roman" w:cs="Times New Roman" w:hint="eastAsia"/>
          <w:lang w:eastAsia="hu-HU"/>
        </w:rPr>
        <w:t>ű</w:t>
      </w:r>
      <w:r w:rsidRPr="006279A1">
        <w:rPr>
          <w:rFonts w:ascii="Times New Roman" w:eastAsia="Times New Roman" w:hAnsi="Times New Roman" w:cs="Times New Roman"/>
          <w:lang w:eastAsia="hu-HU"/>
        </w:rPr>
        <w:t>vek, lövegtalp szerkezetek, tölt</w:t>
      </w:r>
      <w:r w:rsidRPr="006279A1">
        <w:rPr>
          <w:rFonts w:ascii="Times New Roman" w:eastAsia="Times New Roman" w:hAnsi="Times New Roman" w:cs="Times New Roman" w:hint="eastAsia"/>
          <w:lang w:eastAsia="hu-HU"/>
        </w:rPr>
        <w:t>ő</w:t>
      </w:r>
      <w:r w:rsidRPr="006279A1">
        <w:rPr>
          <w:rFonts w:ascii="Times New Roman" w:eastAsia="Times New Roman" w:hAnsi="Times New Roman" w:cs="Times New Roman"/>
          <w:lang w:eastAsia="hu-HU"/>
        </w:rPr>
        <w:t>gépek és automaták, irányszerkezetek kialakítása. Vontatott és önjáró lövegek szerkezeti jellemz</w:t>
      </w:r>
      <w:r w:rsidRPr="006279A1">
        <w:rPr>
          <w:rFonts w:ascii="Times New Roman" w:eastAsia="Times New Roman" w:hAnsi="Times New Roman" w:cs="Times New Roman" w:hint="eastAsia"/>
          <w:lang w:eastAsia="hu-HU"/>
        </w:rPr>
        <w:t>ő</w:t>
      </w:r>
      <w:r w:rsidRPr="006279A1">
        <w:rPr>
          <w:rFonts w:ascii="Times New Roman" w:eastAsia="Times New Roman" w:hAnsi="Times New Roman" w:cs="Times New Roman"/>
          <w:lang w:eastAsia="hu-HU"/>
        </w:rPr>
        <w:t>i, futóm</w:t>
      </w:r>
      <w:r w:rsidRPr="006279A1">
        <w:rPr>
          <w:rFonts w:ascii="Times New Roman" w:eastAsia="Times New Roman" w:hAnsi="Times New Roman" w:cs="Times New Roman" w:hint="eastAsia"/>
          <w:lang w:eastAsia="hu-HU"/>
        </w:rPr>
        <w:t>ű</w:t>
      </w:r>
      <w:r w:rsidRPr="006279A1">
        <w:rPr>
          <w:rFonts w:ascii="Times New Roman" w:eastAsia="Times New Roman" w:hAnsi="Times New Roman" w:cs="Times New Roman"/>
          <w:lang w:eastAsia="hu-HU"/>
        </w:rPr>
        <w:t>vek. A Magyar Honvédségnél rendszeresített lövegek rendeltetése, felépítése, m</w:t>
      </w:r>
      <w:r w:rsidRPr="006279A1">
        <w:rPr>
          <w:rFonts w:ascii="Times New Roman" w:eastAsia="Times New Roman" w:hAnsi="Times New Roman" w:cs="Times New Roman" w:hint="eastAsia"/>
          <w:lang w:eastAsia="hu-HU"/>
        </w:rPr>
        <w:t>ű</w:t>
      </w:r>
      <w:r w:rsidRPr="006279A1">
        <w:rPr>
          <w:rFonts w:ascii="Times New Roman" w:eastAsia="Times New Roman" w:hAnsi="Times New Roman" w:cs="Times New Roman"/>
          <w:lang w:eastAsia="hu-HU"/>
        </w:rPr>
        <w:t>ködése. Löveg stabilizátorok. Harckocsi lövegek, irányzógépek, irányzóm</w:t>
      </w:r>
      <w:r w:rsidRPr="006279A1">
        <w:rPr>
          <w:rFonts w:ascii="Times New Roman" w:eastAsia="Times New Roman" w:hAnsi="Times New Roman" w:cs="Times New Roman" w:hint="eastAsia"/>
          <w:lang w:eastAsia="hu-HU"/>
        </w:rPr>
        <w:t>ű</w:t>
      </w:r>
      <w:r w:rsidRPr="006279A1">
        <w:rPr>
          <w:rFonts w:ascii="Times New Roman" w:eastAsia="Times New Roman" w:hAnsi="Times New Roman" w:cs="Times New Roman"/>
          <w:lang w:eastAsia="hu-HU"/>
        </w:rPr>
        <w:t>szerek. Páncélozott szállító harcjárm</w:t>
      </w:r>
      <w:r w:rsidRPr="006279A1">
        <w:rPr>
          <w:rFonts w:ascii="Times New Roman" w:eastAsia="Times New Roman" w:hAnsi="Times New Roman" w:cs="Times New Roman" w:hint="eastAsia"/>
          <w:lang w:eastAsia="hu-HU"/>
        </w:rPr>
        <w:t>ű</w:t>
      </w:r>
      <w:r w:rsidRPr="006279A1">
        <w:rPr>
          <w:rFonts w:ascii="Times New Roman" w:eastAsia="Times New Roman" w:hAnsi="Times New Roman" w:cs="Times New Roman"/>
          <w:lang w:eastAsia="hu-HU"/>
        </w:rPr>
        <w:t>vek lövegei, irányzógépei, irányzóm</w:t>
      </w:r>
      <w:r w:rsidRPr="006279A1">
        <w:rPr>
          <w:rFonts w:ascii="Times New Roman" w:eastAsia="Times New Roman" w:hAnsi="Times New Roman" w:cs="Times New Roman" w:hint="eastAsia"/>
          <w:lang w:eastAsia="hu-HU"/>
        </w:rPr>
        <w:t>ű</w:t>
      </w:r>
      <w:r w:rsidRPr="006279A1">
        <w:rPr>
          <w:rFonts w:ascii="Times New Roman" w:eastAsia="Times New Roman" w:hAnsi="Times New Roman" w:cs="Times New Roman"/>
          <w:lang w:eastAsia="hu-HU"/>
        </w:rPr>
        <w:t>szerei.</w:t>
      </w:r>
    </w:p>
    <w:p w:rsidR="006279A1" w:rsidRPr="006279A1" w:rsidRDefault="006279A1" w:rsidP="001F4B47">
      <w:pPr>
        <w:tabs>
          <w:tab w:val="center" w:pos="4536"/>
          <w:tab w:val="right" w:pos="9071"/>
        </w:tabs>
        <w:spacing w:after="0" w:line="276" w:lineRule="auto"/>
        <w:ind w:left="425"/>
        <w:jc w:val="both"/>
        <w:rPr>
          <w:rFonts w:ascii="CG Times (W1)" w:eastAsia="Times New Roman" w:hAnsi="CG Times (W1)" w:cs="Times New Roman"/>
          <w:b/>
          <w:bCs/>
          <w:lang w:eastAsia="hu-HU"/>
        </w:rPr>
      </w:pPr>
      <w:r w:rsidRPr="006279A1">
        <w:rPr>
          <w:rFonts w:ascii="Times New Roman" w:eastAsia="Times New Roman" w:hAnsi="Times New Roman" w:cs="Times New Roman"/>
          <w:b/>
          <w:bCs/>
          <w:lang w:eastAsia="hu-HU"/>
        </w:rPr>
        <w:t>A tantárgy szakmai tartalma (angolul) (Course description):</w:t>
      </w:r>
      <w:r w:rsidRPr="006279A1">
        <w:rPr>
          <w:rFonts w:ascii="CG Times (W1)" w:eastAsia="Times New Roman" w:hAnsi="CG Times (W1)" w:cs="Times New Roman"/>
          <w:b/>
          <w:bCs/>
          <w:lang w:eastAsia="hu-HU"/>
        </w:rPr>
        <w:t xml:space="preserve"> </w:t>
      </w:r>
      <w:r w:rsidRPr="006279A1">
        <w:rPr>
          <w:rFonts w:ascii="CG Times (W1)" w:eastAsia="Times New Roman" w:hAnsi="CG Times (W1)" w:cs="Times New Roman"/>
          <w:lang w:eastAsia="hu-HU"/>
        </w:rPr>
        <w:t xml:space="preserve">Concept and conceptual structure of a gun. Systematic classification of active, reactive artillery devices. Taxonomy of structural </w:t>
      </w:r>
      <w:r w:rsidRPr="00A56A1B">
        <w:rPr>
          <w:rFonts w:ascii="Times New Roman" w:eastAsia="Times New Roman" w:hAnsi="Times New Roman" w:cs="Times New Roman"/>
          <w:lang w:eastAsia="hu-HU"/>
        </w:rPr>
        <w:t>units</w:t>
      </w:r>
      <w:r w:rsidRPr="006279A1">
        <w:rPr>
          <w:rFonts w:ascii="CG Times (W1)" w:eastAsia="Times New Roman" w:hAnsi="CG Times (W1)" w:cs="Times New Roman"/>
          <w:lang w:eastAsia="hu-HU"/>
        </w:rPr>
        <w:t xml:space="preserve"> for projectiles and projectiles. Arrangement and function of artillery weapons at block level. Design of air tubes and barrel structures, gate locks, slip retarders, cradles, pointers and angle drives, gunner structures, filling machines and automatics, directional structures. Structural characteristics of towed and self-propelled guns, landing gear. Purpose, structure and operation of the guns organized at the Hungarian Defense Forces. Gun stabilizers. Tank guns, guides, pointers. Guns, guides, pointers for armored vehicles.</w:t>
      </w:r>
    </w:p>
    <w:p w:rsidR="006279A1" w:rsidRPr="006279A1" w:rsidRDefault="006279A1" w:rsidP="00980876">
      <w:pPr>
        <w:numPr>
          <w:ilvl w:val="0"/>
          <w:numId w:val="710"/>
        </w:numPr>
        <w:tabs>
          <w:tab w:val="clear" w:pos="720"/>
          <w:tab w:val="center" w:pos="4536"/>
          <w:tab w:val="right" w:pos="9071"/>
        </w:tabs>
        <w:spacing w:after="0" w:line="276" w:lineRule="auto"/>
        <w:ind w:left="426" w:hanging="142"/>
        <w:jc w:val="both"/>
        <w:rPr>
          <w:rFonts w:ascii="CG Times (W1)" w:eastAsia="Times New Roman" w:hAnsi="CG Times (W1)" w:cs="Times New Roman"/>
          <w:b/>
          <w:bCs/>
          <w:lang w:eastAsia="hu-HU"/>
        </w:rPr>
      </w:pPr>
      <w:r w:rsidRPr="006279A1">
        <w:rPr>
          <w:rFonts w:ascii="CG Times (W1)" w:eastAsia="Times New Roman" w:hAnsi="CG Times (W1)" w:cs="Times New Roman"/>
          <w:b/>
          <w:bCs/>
          <w:lang w:eastAsia="hu-HU"/>
        </w:rPr>
        <w:t>Elérendő kompetenciák (magyarul)</w:t>
      </w:r>
    </w:p>
    <w:p w:rsidR="006279A1" w:rsidRPr="006279A1" w:rsidRDefault="006279A1" w:rsidP="001F4B47">
      <w:pPr>
        <w:autoSpaceDE w:val="0"/>
        <w:autoSpaceDN w:val="0"/>
        <w:adjustRightInd w:val="0"/>
        <w:spacing w:after="0" w:line="276" w:lineRule="auto"/>
        <w:ind w:left="646"/>
        <w:jc w:val="both"/>
        <w:rPr>
          <w:rFonts w:ascii="Times New Roman" w:eastAsia="Times New Roman" w:hAnsi="Times New Roman" w:cs="Times New Roman"/>
          <w:b/>
          <w:color w:val="000000"/>
          <w:lang w:eastAsia="hu-HU"/>
        </w:rPr>
      </w:pPr>
      <w:r w:rsidRPr="006279A1">
        <w:rPr>
          <w:rFonts w:ascii="Times New Roman" w:eastAsia="Times New Roman" w:hAnsi="Times New Roman" w:cs="Times New Roman"/>
          <w:b/>
          <w:color w:val="000000"/>
          <w:lang w:eastAsia="hu-HU"/>
        </w:rPr>
        <w:t>Tudása:</w:t>
      </w:r>
    </w:p>
    <w:p w:rsidR="006279A1" w:rsidRPr="006279A1" w:rsidRDefault="006279A1"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6279A1">
        <w:rPr>
          <w:rFonts w:ascii="Times New Roman" w:eastAsia="Times New Roman" w:hAnsi="Times New Roman" w:cs="Times New Roman"/>
          <w:color w:val="000000"/>
          <w:lang w:eastAsia="hu-HU"/>
        </w:rPr>
        <w:t>Megfelelő műszaki alapokkal rendelkezik, amelyek biztosítják az új ismeretek elsajátítását.</w:t>
      </w:r>
    </w:p>
    <w:p w:rsidR="006279A1" w:rsidRPr="006279A1" w:rsidRDefault="006279A1"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6279A1">
        <w:rPr>
          <w:rFonts w:ascii="Times New Roman" w:eastAsia="Times New Roman" w:hAnsi="Times New Roman" w:cs="Times New Roman"/>
          <w:color w:val="000000"/>
          <w:lang w:eastAsia="hu-HU"/>
        </w:rPr>
        <w:t>Ismeri a fegyverzettechnikai eszközök ellátáshoz és fenntartásához szükséges anyagok körét.</w:t>
      </w:r>
    </w:p>
    <w:p w:rsidR="006279A1" w:rsidRPr="006279A1" w:rsidRDefault="006279A1"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6279A1">
        <w:rPr>
          <w:rFonts w:ascii="Times New Roman" w:eastAsia="Times New Roman" w:hAnsi="Times New Roman" w:cs="Times New Roman"/>
          <w:color w:val="000000"/>
          <w:lang w:eastAsia="hu-HU"/>
        </w:rPr>
        <w:t>Ismeri a szakfeladatainak ellátásához szükséges munkavédelmi rendszabályokat.</w:t>
      </w:r>
    </w:p>
    <w:p w:rsidR="006279A1" w:rsidRPr="006279A1" w:rsidRDefault="006279A1"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6279A1">
        <w:rPr>
          <w:rFonts w:ascii="Times New Roman" w:eastAsia="Times New Roman" w:hAnsi="Times New Roman" w:cs="Times New Roman"/>
          <w:color w:val="000000"/>
          <w:lang w:eastAsia="hu-HU"/>
        </w:rPr>
        <w:t>Megfelelő mélységű és spektrumú fegyverzettechnikai típusismerettel rendelkezik.</w:t>
      </w:r>
    </w:p>
    <w:p w:rsidR="001F4B47" w:rsidRDefault="001F4B47">
      <w:pPr>
        <w:spacing w:after="200" w:line="276" w:lineRule="auto"/>
        <w:rPr>
          <w:rFonts w:ascii="Times New Roman" w:eastAsia="Times New Roman" w:hAnsi="Times New Roman" w:cs="Times New Roman"/>
          <w:b/>
          <w:color w:val="000000"/>
          <w:lang w:eastAsia="hu-HU"/>
        </w:rPr>
      </w:pPr>
      <w:r>
        <w:rPr>
          <w:rFonts w:ascii="Times New Roman" w:eastAsia="Times New Roman" w:hAnsi="Times New Roman" w:cs="Times New Roman"/>
          <w:b/>
          <w:color w:val="000000"/>
          <w:lang w:eastAsia="hu-HU"/>
        </w:rPr>
        <w:br w:type="page"/>
      </w:r>
    </w:p>
    <w:p w:rsidR="006279A1" w:rsidRPr="006279A1" w:rsidRDefault="006279A1" w:rsidP="001F4B47">
      <w:pPr>
        <w:autoSpaceDE w:val="0"/>
        <w:autoSpaceDN w:val="0"/>
        <w:adjustRightInd w:val="0"/>
        <w:spacing w:after="0" w:line="276" w:lineRule="auto"/>
        <w:ind w:left="646"/>
        <w:jc w:val="both"/>
        <w:rPr>
          <w:rFonts w:ascii="Times New Roman" w:eastAsia="Times New Roman" w:hAnsi="Times New Roman" w:cs="Times New Roman"/>
          <w:b/>
          <w:color w:val="000000"/>
          <w:lang w:eastAsia="hu-HU"/>
        </w:rPr>
      </w:pPr>
      <w:r w:rsidRPr="006279A1">
        <w:rPr>
          <w:rFonts w:ascii="Times New Roman" w:eastAsia="Times New Roman" w:hAnsi="Times New Roman" w:cs="Times New Roman"/>
          <w:b/>
          <w:color w:val="000000"/>
          <w:lang w:eastAsia="hu-HU"/>
        </w:rPr>
        <w:lastRenderedPageBreak/>
        <w:t>Képességei:</w:t>
      </w:r>
    </w:p>
    <w:p w:rsidR="006279A1" w:rsidRPr="006279A1" w:rsidRDefault="006279A1"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6279A1">
        <w:rPr>
          <w:rFonts w:ascii="Times New Roman" w:eastAsia="Times New Roman" w:hAnsi="Times New Roman" w:cs="Times New Roman"/>
          <w:color w:val="000000"/>
          <w:lang w:eastAsia="hu-HU"/>
        </w:rPr>
        <w:t>Képes a szakterületén rendszeresített és használt berendezések és technikai eszközök használatának megszervezésére és hatékony alkalmazására.</w:t>
      </w:r>
    </w:p>
    <w:p w:rsidR="006279A1" w:rsidRPr="006279A1" w:rsidRDefault="006279A1"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6279A1">
        <w:rPr>
          <w:rFonts w:ascii="Times New Roman" w:eastAsia="Times New Roman" w:hAnsi="Times New Roman" w:cs="Times New Roman"/>
          <w:color w:val="000000"/>
          <w:lang w:eastAsia="hu-HU"/>
        </w:rPr>
        <w:t>Képes a megtanultakat felhasználva a szakterületén felmerülő új műszaki információkat megérteni és megtanulni.</w:t>
      </w:r>
    </w:p>
    <w:p w:rsidR="006279A1" w:rsidRPr="00A56A1B" w:rsidRDefault="006279A1" w:rsidP="001F4B47">
      <w:pPr>
        <w:autoSpaceDE w:val="0"/>
        <w:autoSpaceDN w:val="0"/>
        <w:adjustRightInd w:val="0"/>
        <w:spacing w:after="0" w:line="276" w:lineRule="auto"/>
        <w:ind w:left="646"/>
        <w:jc w:val="both"/>
        <w:rPr>
          <w:rFonts w:ascii="Times New Roman" w:eastAsia="Times New Roman" w:hAnsi="Times New Roman" w:cs="Times New Roman"/>
          <w:b/>
          <w:color w:val="000000"/>
          <w:lang w:eastAsia="hu-HU"/>
        </w:rPr>
      </w:pPr>
      <w:r w:rsidRPr="00A56A1B">
        <w:rPr>
          <w:rFonts w:ascii="Times New Roman" w:eastAsia="Times New Roman" w:hAnsi="Times New Roman" w:cs="Times New Roman"/>
          <w:b/>
          <w:color w:val="000000"/>
          <w:lang w:eastAsia="hu-HU"/>
        </w:rPr>
        <w:t>Attitüdje:</w:t>
      </w:r>
    </w:p>
    <w:p w:rsidR="006279A1" w:rsidRPr="006279A1" w:rsidRDefault="006279A1"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6279A1">
        <w:rPr>
          <w:rFonts w:ascii="Times New Roman" w:eastAsia="Times New Roman" w:hAnsi="Times New Roman" w:cs="Times New Roman"/>
          <w:color w:val="000000"/>
          <w:lang w:eastAsia="hu-HU"/>
        </w:rPr>
        <w:t>Nyitott a fegyverzettechnikával kapcsolatos szakmai ismereteinek gyarapítása iránt, folyamatos önképzési igény jellemzi.</w:t>
      </w:r>
    </w:p>
    <w:p w:rsidR="006279A1" w:rsidRPr="006279A1" w:rsidRDefault="006279A1"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6279A1">
        <w:rPr>
          <w:rFonts w:ascii="Times New Roman" w:eastAsia="Times New Roman" w:hAnsi="Times New Roman" w:cs="Times New Roman"/>
          <w:color w:val="000000"/>
          <w:lang w:eastAsia="hu-HU"/>
        </w:rPr>
        <w:t xml:space="preserve">Nyitott szakterülete új eredményei felé, törekszik azok megismerésére. </w:t>
      </w:r>
    </w:p>
    <w:p w:rsidR="006279A1" w:rsidRPr="00A56A1B" w:rsidRDefault="006279A1" w:rsidP="001F4B47">
      <w:pPr>
        <w:autoSpaceDE w:val="0"/>
        <w:autoSpaceDN w:val="0"/>
        <w:adjustRightInd w:val="0"/>
        <w:spacing w:after="0" w:line="276" w:lineRule="auto"/>
        <w:ind w:left="646"/>
        <w:jc w:val="both"/>
        <w:rPr>
          <w:rFonts w:ascii="Times New Roman" w:eastAsia="Times New Roman" w:hAnsi="Times New Roman" w:cs="Times New Roman"/>
          <w:b/>
          <w:color w:val="000000"/>
          <w:lang w:eastAsia="hu-HU"/>
        </w:rPr>
      </w:pPr>
      <w:r w:rsidRPr="00A56A1B">
        <w:rPr>
          <w:rFonts w:ascii="Times New Roman" w:eastAsia="Times New Roman" w:hAnsi="Times New Roman" w:cs="Times New Roman"/>
          <w:b/>
          <w:color w:val="000000"/>
          <w:lang w:eastAsia="hu-HU"/>
        </w:rPr>
        <w:t>Autonómiája és felelőssége:</w:t>
      </w:r>
    </w:p>
    <w:p w:rsidR="006279A1" w:rsidRPr="006279A1" w:rsidRDefault="006279A1"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6279A1">
        <w:rPr>
          <w:rFonts w:ascii="Times New Roman" w:eastAsia="Times New Roman" w:hAnsi="Times New Roman" w:cs="Times New Roman"/>
          <w:color w:val="000000"/>
          <w:lang w:eastAsia="hu-HU"/>
        </w:rPr>
        <w:t>Képes szakfeladatait önállóan végezni, saját munkáját hatékonyan megszervezni és végrehajtani.</w:t>
      </w:r>
    </w:p>
    <w:p w:rsidR="006279A1" w:rsidRPr="006279A1" w:rsidRDefault="006279A1"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6279A1">
        <w:rPr>
          <w:rFonts w:ascii="Times New Roman" w:eastAsia="Times New Roman" w:hAnsi="Times New Roman" w:cs="Times New Roman"/>
          <w:color w:val="000000"/>
          <w:lang w:eastAsia="hu-HU"/>
        </w:rPr>
        <w:t>Együttműködés és felelősség jellemzi szakterületének szakembereivel szemben.</w:t>
      </w:r>
    </w:p>
    <w:p w:rsidR="006279A1" w:rsidRPr="006279A1" w:rsidRDefault="006279A1"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6279A1">
        <w:rPr>
          <w:rFonts w:ascii="Times New Roman" w:eastAsia="Times New Roman" w:hAnsi="Times New Roman" w:cs="Times New Roman"/>
          <w:color w:val="000000"/>
          <w:lang w:eastAsia="hu-HU"/>
        </w:rPr>
        <w:t>Szakterületén belül képes rendszer-szemléletűen gondolkodni.</w:t>
      </w:r>
    </w:p>
    <w:p w:rsidR="006279A1" w:rsidRPr="006279A1" w:rsidRDefault="006279A1" w:rsidP="001F4B47">
      <w:pPr>
        <w:autoSpaceDE w:val="0"/>
        <w:autoSpaceDN w:val="0"/>
        <w:adjustRightInd w:val="0"/>
        <w:spacing w:after="0" w:line="276" w:lineRule="auto"/>
        <w:ind w:left="644"/>
        <w:jc w:val="both"/>
        <w:rPr>
          <w:rFonts w:ascii="Times New Roman" w:eastAsia="Times New Roman" w:hAnsi="Times New Roman" w:cs="Times New Roman"/>
          <w:b/>
          <w:bCs/>
          <w:color w:val="000000"/>
          <w:lang w:eastAsia="hu-HU"/>
        </w:rPr>
      </w:pPr>
      <w:r w:rsidRPr="006279A1">
        <w:rPr>
          <w:rFonts w:ascii="Times New Roman" w:eastAsia="Times New Roman" w:hAnsi="Times New Roman" w:cs="Times New Roman"/>
          <w:b/>
          <w:bCs/>
          <w:color w:val="000000"/>
          <w:lang w:eastAsia="hu-HU"/>
        </w:rPr>
        <w:t>Elérendő kompetenciák (angolul):</w:t>
      </w:r>
    </w:p>
    <w:p w:rsidR="006279A1" w:rsidRPr="00A56A1B" w:rsidRDefault="006279A1" w:rsidP="001F4B47">
      <w:pPr>
        <w:autoSpaceDE w:val="0"/>
        <w:autoSpaceDN w:val="0"/>
        <w:adjustRightInd w:val="0"/>
        <w:spacing w:after="0" w:line="276" w:lineRule="auto"/>
        <w:ind w:left="646"/>
        <w:jc w:val="both"/>
        <w:rPr>
          <w:rFonts w:ascii="Times New Roman" w:eastAsia="Times New Roman" w:hAnsi="Times New Roman" w:cs="Times New Roman"/>
          <w:b/>
          <w:color w:val="000000"/>
          <w:lang w:eastAsia="hu-HU"/>
        </w:rPr>
      </w:pPr>
      <w:r w:rsidRPr="00A56A1B">
        <w:rPr>
          <w:rFonts w:ascii="Times New Roman" w:eastAsia="Times New Roman" w:hAnsi="Times New Roman" w:cs="Times New Roman"/>
          <w:b/>
          <w:color w:val="000000"/>
          <w:lang w:eastAsia="hu-HU"/>
        </w:rPr>
        <w:t>Knowledge:</w:t>
      </w:r>
    </w:p>
    <w:p w:rsidR="006279A1" w:rsidRPr="006279A1" w:rsidRDefault="006279A1"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6279A1">
        <w:rPr>
          <w:rFonts w:ascii="Times New Roman" w:eastAsia="Times New Roman" w:hAnsi="Times New Roman" w:cs="Times New Roman"/>
          <w:color w:val="000000"/>
          <w:lang w:eastAsia="hu-HU"/>
        </w:rPr>
        <w:t>Possesses adequate basic engineering knowledge which enables the acquirement of new knowledge.</w:t>
      </w:r>
    </w:p>
    <w:p w:rsidR="006279A1" w:rsidRPr="006279A1" w:rsidRDefault="006279A1"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6279A1">
        <w:rPr>
          <w:rFonts w:ascii="Times New Roman" w:eastAsia="Times New Roman" w:hAnsi="Times New Roman" w:cs="Times New Roman"/>
          <w:color w:val="000000"/>
          <w:lang w:eastAsia="hu-HU"/>
        </w:rPr>
        <w:t>Knows the range of materials required for the maintenance of the weapon.</w:t>
      </w:r>
    </w:p>
    <w:p w:rsidR="006279A1" w:rsidRPr="006279A1" w:rsidRDefault="006279A1"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6279A1">
        <w:rPr>
          <w:rFonts w:ascii="Times New Roman" w:eastAsia="Times New Roman" w:hAnsi="Times New Roman" w:cs="Times New Roman"/>
          <w:color w:val="000000"/>
          <w:lang w:eastAsia="hu-HU"/>
        </w:rPr>
        <w:t>Knows the work safety regulations required for fulfilling his/her professional tasks.</w:t>
      </w:r>
    </w:p>
    <w:p w:rsidR="006279A1" w:rsidRPr="006279A1" w:rsidRDefault="006279A1"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6279A1">
        <w:rPr>
          <w:rFonts w:ascii="Times New Roman" w:eastAsia="Times New Roman" w:hAnsi="Times New Roman" w:cs="Times New Roman"/>
          <w:color w:val="000000"/>
          <w:lang w:eastAsia="hu-HU"/>
        </w:rPr>
        <w:t>Possesses knowledge of adequate depth and spectrum regarding weapon types.</w:t>
      </w:r>
    </w:p>
    <w:p w:rsidR="006279A1" w:rsidRPr="00A56A1B" w:rsidRDefault="006279A1" w:rsidP="001F4B47">
      <w:pPr>
        <w:autoSpaceDE w:val="0"/>
        <w:autoSpaceDN w:val="0"/>
        <w:adjustRightInd w:val="0"/>
        <w:spacing w:after="0" w:line="276" w:lineRule="auto"/>
        <w:ind w:left="646"/>
        <w:jc w:val="both"/>
        <w:rPr>
          <w:rFonts w:ascii="Times New Roman" w:eastAsia="Times New Roman" w:hAnsi="Times New Roman" w:cs="Times New Roman"/>
          <w:b/>
          <w:color w:val="000000"/>
          <w:lang w:eastAsia="hu-HU"/>
        </w:rPr>
      </w:pPr>
      <w:r w:rsidRPr="00A56A1B">
        <w:rPr>
          <w:rFonts w:ascii="Times New Roman" w:eastAsia="Times New Roman" w:hAnsi="Times New Roman" w:cs="Times New Roman"/>
          <w:b/>
          <w:color w:val="000000"/>
          <w:lang w:eastAsia="hu-HU"/>
        </w:rPr>
        <w:t>Capabilities:</w:t>
      </w:r>
    </w:p>
    <w:p w:rsidR="006279A1" w:rsidRPr="006279A1" w:rsidRDefault="006279A1"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6279A1">
        <w:rPr>
          <w:rFonts w:ascii="Times New Roman" w:eastAsia="Times New Roman" w:hAnsi="Times New Roman" w:cs="Times New Roman"/>
          <w:color w:val="000000"/>
          <w:lang w:eastAsia="hu-HU"/>
        </w:rPr>
        <w:t>Is capable of organizing and efficiently utilizing the usage of the equipment and technical appliances applied in his/her respective specialty field.</w:t>
      </w:r>
    </w:p>
    <w:p w:rsidR="006279A1" w:rsidRPr="006279A1" w:rsidRDefault="006279A1"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6279A1">
        <w:rPr>
          <w:rFonts w:ascii="Times New Roman" w:eastAsia="Times New Roman" w:hAnsi="Times New Roman" w:cs="Times New Roman"/>
          <w:color w:val="000000"/>
          <w:lang w:eastAsia="hu-HU"/>
        </w:rPr>
        <w:t>Is capable of acqiring the understaning of new engineering information arising in his/her field of specialty using the already gained knowldge.</w:t>
      </w:r>
    </w:p>
    <w:p w:rsidR="006279A1" w:rsidRPr="00A56A1B" w:rsidRDefault="006279A1" w:rsidP="001F4B47">
      <w:pPr>
        <w:autoSpaceDE w:val="0"/>
        <w:autoSpaceDN w:val="0"/>
        <w:adjustRightInd w:val="0"/>
        <w:spacing w:after="0" w:line="276" w:lineRule="auto"/>
        <w:ind w:left="646"/>
        <w:jc w:val="both"/>
        <w:rPr>
          <w:rFonts w:ascii="Times New Roman" w:eastAsia="Times New Roman" w:hAnsi="Times New Roman" w:cs="Times New Roman"/>
          <w:b/>
          <w:color w:val="000000"/>
          <w:lang w:eastAsia="hu-HU"/>
        </w:rPr>
      </w:pPr>
      <w:r w:rsidRPr="00A56A1B">
        <w:rPr>
          <w:rFonts w:ascii="Times New Roman" w:eastAsia="Times New Roman" w:hAnsi="Times New Roman" w:cs="Times New Roman"/>
          <w:b/>
          <w:color w:val="000000"/>
          <w:lang w:eastAsia="hu-HU"/>
        </w:rPr>
        <w:t>Attitude:</w:t>
      </w:r>
    </w:p>
    <w:p w:rsidR="006279A1" w:rsidRPr="006279A1" w:rsidRDefault="006279A1"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6279A1">
        <w:rPr>
          <w:rFonts w:ascii="Times New Roman" w:eastAsia="Times New Roman" w:hAnsi="Times New Roman" w:cs="Times New Roman"/>
          <w:color w:val="000000"/>
          <w:lang w:eastAsia="hu-HU"/>
        </w:rPr>
        <w:t>He/she is open to widen his/her knowledge regarding weapons and has a constant need for self-education.</w:t>
      </w:r>
    </w:p>
    <w:p w:rsidR="006279A1" w:rsidRPr="006279A1" w:rsidRDefault="006279A1"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6279A1">
        <w:rPr>
          <w:rFonts w:ascii="Times New Roman" w:eastAsia="Times New Roman" w:hAnsi="Times New Roman" w:cs="Times New Roman"/>
          <w:color w:val="000000"/>
          <w:lang w:eastAsia="hu-HU"/>
        </w:rPr>
        <w:t>He/she is open towards the new accomplishments of military technology and aims to gain knowledge of these.</w:t>
      </w:r>
    </w:p>
    <w:p w:rsidR="006279A1" w:rsidRPr="001F4B47" w:rsidRDefault="006279A1" w:rsidP="001F4B47">
      <w:pPr>
        <w:autoSpaceDE w:val="0"/>
        <w:autoSpaceDN w:val="0"/>
        <w:adjustRightInd w:val="0"/>
        <w:spacing w:after="0" w:line="276" w:lineRule="auto"/>
        <w:ind w:left="646"/>
        <w:jc w:val="both"/>
        <w:rPr>
          <w:rFonts w:ascii="Times New Roman" w:eastAsia="Times New Roman" w:hAnsi="Times New Roman" w:cs="Times New Roman"/>
          <w:b/>
          <w:color w:val="000000"/>
          <w:lang w:eastAsia="hu-HU"/>
        </w:rPr>
      </w:pPr>
      <w:r w:rsidRPr="001F4B47">
        <w:rPr>
          <w:rFonts w:ascii="Times New Roman" w:eastAsia="Times New Roman" w:hAnsi="Times New Roman" w:cs="Times New Roman"/>
          <w:b/>
          <w:color w:val="000000"/>
          <w:lang w:eastAsia="hu-HU"/>
        </w:rPr>
        <w:t>Autonomy and responsibility</w:t>
      </w:r>
    </w:p>
    <w:p w:rsidR="006279A1" w:rsidRPr="006279A1" w:rsidRDefault="006279A1"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6279A1">
        <w:rPr>
          <w:rFonts w:ascii="Times New Roman" w:eastAsia="Times New Roman" w:hAnsi="Times New Roman" w:cs="Times New Roman"/>
          <w:color w:val="000000"/>
          <w:lang w:eastAsia="hu-HU"/>
        </w:rPr>
        <w:t>Is capable of independently fulfilling his/her professional tasks as well as effectively organizing and executing his/her own work.</w:t>
      </w:r>
    </w:p>
    <w:p w:rsidR="006279A1" w:rsidRPr="006279A1" w:rsidRDefault="006279A1"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6279A1">
        <w:rPr>
          <w:rFonts w:ascii="Times New Roman" w:eastAsia="Times New Roman" w:hAnsi="Times New Roman" w:cs="Times New Roman"/>
          <w:color w:val="000000"/>
          <w:lang w:eastAsia="hu-HU"/>
        </w:rPr>
        <w:t>He/she is cooperative and responsible towards the professionals of his/her field. Is capable of thinking in a system approach within his/her own field.</w:t>
      </w:r>
    </w:p>
    <w:p w:rsidR="006279A1" w:rsidRPr="006279A1" w:rsidRDefault="006279A1" w:rsidP="00980876">
      <w:pPr>
        <w:numPr>
          <w:ilvl w:val="0"/>
          <w:numId w:val="710"/>
        </w:numPr>
        <w:tabs>
          <w:tab w:val="clear" w:pos="720"/>
          <w:tab w:val="num" w:pos="644"/>
          <w:tab w:val="right" w:pos="900"/>
          <w:tab w:val="center" w:pos="4536"/>
          <w:tab w:val="right" w:pos="9071"/>
        </w:tabs>
        <w:spacing w:after="0" w:line="276" w:lineRule="auto"/>
        <w:ind w:left="644"/>
        <w:jc w:val="both"/>
        <w:rPr>
          <w:rFonts w:ascii="Times New Roman" w:eastAsia="Times New Roman" w:hAnsi="Times New Roman" w:cs="Times New Roman"/>
          <w:bCs/>
          <w:lang w:eastAsia="hu-HU"/>
        </w:rPr>
      </w:pPr>
      <w:r w:rsidRPr="006279A1">
        <w:rPr>
          <w:rFonts w:ascii="Times New Roman" w:eastAsia="Times New Roman" w:hAnsi="Times New Roman" w:cs="Times New Roman"/>
          <w:b/>
          <w:bCs/>
          <w:lang w:eastAsia="hu-HU"/>
        </w:rPr>
        <w:t xml:space="preserve">Előtanulmányi kötelezettségek:  - </w:t>
      </w:r>
    </w:p>
    <w:p w:rsidR="006279A1" w:rsidRPr="006279A1" w:rsidRDefault="006279A1" w:rsidP="00980876">
      <w:pPr>
        <w:numPr>
          <w:ilvl w:val="0"/>
          <w:numId w:val="710"/>
        </w:numPr>
        <w:tabs>
          <w:tab w:val="clear" w:pos="720"/>
          <w:tab w:val="num" w:pos="644"/>
        </w:tabs>
        <w:spacing w:after="0" w:line="276" w:lineRule="auto"/>
        <w:ind w:left="641" w:hanging="357"/>
        <w:jc w:val="both"/>
        <w:rPr>
          <w:rFonts w:ascii="Times New Roman" w:eastAsia="Times New Roman" w:hAnsi="Times New Roman" w:cs="Times New Roman"/>
          <w:b/>
          <w:lang w:eastAsia="hu-HU"/>
        </w:rPr>
      </w:pPr>
      <w:r w:rsidRPr="006279A1">
        <w:rPr>
          <w:rFonts w:ascii="Times New Roman" w:eastAsia="Times New Roman" w:hAnsi="Times New Roman" w:cs="Times New Roman"/>
          <w:b/>
          <w:lang w:eastAsia="hu-HU"/>
        </w:rPr>
        <w:t xml:space="preserve">A tantárgy tananyagának leírása: (tematika): </w:t>
      </w:r>
    </w:p>
    <w:p w:rsidR="006279A1" w:rsidRPr="006279A1" w:rsidRDefault="006279A1" w:rsidP="00980876">
      <w:pPr>
        <w:numPr>
          <w:ilvl w:val="1"/>
          <w:numId w:val="710"/>
        </w:numPr>
        <w:tabs>
          <w:tab w:val="clear" w:pos="3977"/>
          <w:tab w:val="num" w:pos="1425"/>
        </w:tabs>
        <w:spacing w:after="0" w:line="276" w:lineRule="auto"/>
        <w:ind w:left="1134" w:hanging="567"/>
        <w:jc w:val="both"/>
        <w:rPr>
          <w:rFonts w:ascii="Times New Roman" w:eastAsia="Times New Roman" w:hAnsi="Times New Roman" w:cs="Times New Roman"/>
          <w:bCs/>
          <w:lang w:eastAsia="hu-HU"/>
        </w:rPr>
      </w:pPr>
      <w:r w:rsidRPr="006279A1">
        <w:rPr>
          <w:rFonts w:ascii="Times New Roman" w:eastAsia="Times New Roman" w:hAnsi="Times New Roman" w:cs="Times New Roman"/>
          <w:lang w:eastAsia="hu-HU"/>
        </w:rPr>
        <w:t xml:space="preserve">Löveg fogalma és elvi felépítése. </w:t>
      </w:r>
      <w:r w:rsidRPr="006279A1">
        <w:rPr>
          <w:rFonts w:ascii="Times New Roman" w:eastAsia="Times New Roman" w:hAnsi="Times New Roman" w:cs="Times New Roman"/>
          <w:i/>
          <w:lang w:eastAsia="hu-HU"/>
        </w:rPr>
        <w:t>(Concept and structure of gun)</w:t>
      </w:r>
    </w:p>
    <w:p w:rsidR="006279A1" w:rsidRPr="006279A1" w:rsidRDefault="006279A1" w:rsidP="00980876">
      <w:pPr>
        <w:numPr>
          <w:ilvl w:val="1"/>
          <w:numId w:val="710"/>
        </w:numPr>
        <w:tabs>
          <w:tab w:val="clear" w:pos="3977"/>
          <w:tab w:val="num" w:pos="1425"/>
        </w:tabs>
        <w:spacing w:after="0" w:line="276" w:lineRule="auto"/>
        <w:ind w:left="1134" w:hanging="567"/>
        <w:jc w:val="both"/>
        <w:rPr>
          <w:rFonts w:ascii="Times New Roman" w:eastAsia="Times New Roman" w:hAnsi="Times New Roman" w:cs="Times New Roman"/>
          <w:bCs/>
          <w:lang w:eastAsia="hu-HU"/>
        </w:rPr>
      </w:pPr>
      <w:r w:rsidRPr="006279A1">
        <w:rPr>
          <w:rFonts w:ascii="Times New Roman" w:eastAsia="Times New Roman" w:hAnsi="Times New Roman" w:cs="Times New Roman"/>
          <w:lang w:eastAsia="hu-HU"/>
        </w:rPr>
        <w:t xml:space="preserve">Tüzérségi eszközök rendszertani osztályozása. </w:t>
      </w:r>
      <w:r w:rsidRPr="006279A1">
        <w:rPr>
          <w:rFonts w:ascii="Times New Roman" w:eastAsia="Times New Roman" w:hAnsi="Times New Roman" w:cs="Times New Roman"/>
          <w:i/>
          <w:lang w:eastAsia="hu-HU"/>
        </w:rPr>
        <w:t>(Taxonomy of Artillery Devices)</w:t>
      </w:r>
    </w:p>
    <w:p w:rsidR="006279A1" w:rsidRPr="006279A1" w:rsidRDefault="006279A1" w:rsidP="00980876">
      <w:pPr>
        <w:numPr>
          <w:ilvl w:val="1"/>
          <w:numId w:val="710"/>
        </w:numPr>
        <w:tabs>
          <w:tab w:val="clear" w:pos="3977"/>
          <w:tab w:val="num" w:pos="1425"/>
        </w:tabs>
        <w:spacing w:after="0" w:line="276" w:lineRule="auto"/>
        <w:ind w:left="1134" w:hanging="567"/>
        <w:jc w:val="both"/>
        <w:rPr>
          <w:rFonts w:ascii="Times New Roman" w:eastAsia="Times New Roman" w:hAnsi="Times New Roman" w:cs="Times New Roman"/>
          <w:bCs/>
          <w:lang w:eastAsia="hu-HU"/>
        </w:rPr>
      </w:pPr>
      <w:r w:rsidRPr="006279A1">
        <w:rPr>
          <w:rFonts w:ascii="Times New Roman" w:eastAsia="Times New Roman" w:hAnsi="Times New Roman" w:cs="Times New Roman"/>
          <w:lang w:eastAsia="hu-HU"/>
        </w:rPr>
        <w:t xml:space="preserve">A tüzérségi fegyverek tömbvázlat szintű elvi felépítése és működésük. </w:t>
      </w:r>
      <w:r w:rsidRPr="006279A1">
        <w:rPr>
          <w:rFonts w:ascii="Times New Roman" w:eastAsia="Times New Roman" w:hAnsi="Times New Roman" w:cs="Times New Roman"/>
          <w:i/>
          <w:lang w:eastAsia="hu-HU"/>
        </w:rPr>
        <w:t>(Arrangement and function of artillery weapons at block level.</w:t>
      </w:r>
      <w:r w:rsidRPr="006279A1">
        <w:rPr>
          <w:rFonts w:ascii="Times New Roman" w:eastAsia="Times New Roman" w:hAnsi="Times New Roman" w:cs="Times New Roman"/>
          <w:lang w:eastAsia="hu-HU"/>
        </w:rPr>
        <w:t>)</w:t>
      </w:r>
    </w:p>
    <w:p w:rsidR="006279A1" w:rsidRPr="006279A1" w:rsidRDefault="006279A1" w:rsidP="00980876">
      <w:pPr>
        <w:numPr>
          <w:ilvl w:val="1"/>
          <w:numId w:val="710"/>
        </w:numPr>
        <w:tabs>
          <w:tab w:val="clear" w:pos="3977"/>
          <w:tab w:val="num" w:pos="1425"/>
        </w:tabs>
        <w:spacing w:after="0" w:line="276" w:lineRule="auto"/>
        <w:ind w:left="1134" w:hanging="567"/>
        <w:jc w:val="both"/>
        <w:rPr>
          <w:rFonts w:ascii="Times New Roman" w:eastAsia="Times New Roman" w:hAnsi="Times New Roman" w:cs="Times New Roman"/>
          <w:bCs/>
          <w:lang w:eastAsia="hu-HU"/>
        </w:rPr>
      </w:pPr>
      <w:r w:rsidRPr="006279A1">
        <w:rPr>
          <w:rFonts w:ascii="Times New Roman" w:eastAsia="Times New Roman" w:hAnsi="Times New Roman" w:cs="Times New Roman"/>
          <w:lang w:eastAsia="hu-HU"/>
        </w:rPr>
        <w:t xml:space="preserve">A Magyar Honvédségnél rendszeresített lövegek szerkezeti felépítése. </w:t>
      </w:r>
      <w:r w:rsidRPr="006279A1">
        <w:rPr>
          <w:rFonts w:ascii="Times New Roman" w:eastAsia="Times New Roman" w:hAnsi="Times New Roman" w:cs="Times New Roman"/>
          <w:i/>
          <w:lang w:eastAsia="hu-HU"/>
        </w:rPr>
        <w:t>(Structure of the guns regularized at the Hungarian Defense Forces.)</w:t>
      </w:r>
    </w:p>
    <w:p w:rsidR="006279A1" w:rsidRPr="006279A1" w:rsidRDefault="006279A1" w:rsidP="00980876">
      <w:pPr>
        <w:numPr>
          <w:ilvl w:val="1"/>
          <w:numId w:val="710"/>
        </w:numPr>
        <w:tabs>
          <w:tab w:val="clear" w:pos="3977"/>
          <w:tab w:val="num" w:pos="1425"/>
        </w:tabs>
        <w:spacing w:after="0" w:line="276" w:lineRule="auto"/>
        <w:ind w:left="1134" w:hanging="567"/>
        <w:jc w:val="both"/>
        <w:rPr>
          <w:rFonts w:ascii="Times New Roman" w:eastAsia="Times New Roman" w:hAnsi="Times New Roman" w:cs="Times New Roman"/>
          <w:bCs/>
          <w:lang w:eastAsia="hu-HU"/>
        </w:rPr>
      </w:pPr>
      <w:r w:rsidRPr="006279A1">
        <w:rPr>
          <w:rFonts w:ascii="Times New Roman" w:eastAsia="Times New Roman" w:hAnsi="Times New Roman" w:cs="Times New Roman"/>
          <w:lang w:eastAsia="hu-HU"/>
        </w:rPr>
        <w:t xml:space="preserve">A szerkezeti elemek rendeltetése, működése. </w:t>
      </w:r>
      <w:r w:rsidRPr="006279A1">
        <w:rPr>
          <w:rFonts w:ascii="Times New Roman" w:eastAsia="Times New Roman" w:hAnsi="Times New Roman" w:cs="Times New Roman"/>
          <w:i/>
          <w:lang w:eastAsia="hu-HU"/>
        </w:rPr>
        <w:t>(Purpose and function of structural elements.)</w:t>
      </w:r>
    </w:p>
    <w:p w:rsidR="006279A1" w:rsidRPr="006279A1" w:rsidRDefault="006279A1" w:rsidP="00980876">
      <w:pPr>
        <w:numPr>
          <w:ilvl w:val="1"/>
          <w:numId w:val="710"/>
        </w:numPr>
        <w:tabs>
          <w:tab w:val="clear" w:pos="3977"/>
          <w:tab w:val="num" w:pos="1425"/>
        </w:tabs>
        <w:spacing w:after="0" w:line="276" w:lineRule="auto"/>
        <w:ind w:left="1134" w:hanging="567"/>
        <w:jc w:val="both"/>
        <w:rPr>
          <w:rFonts w:ascii="Times New Roman" w:eastAsia="Times New Roman" w:hAnsi="Times New Roman" w:cs="Times New Roman"/>
          <w:bCs/>
          <w:lang w:eastAsia="hu-HU"/>
        </w:rPr>
      </w:pPr>
      <w:r w:rsidRPr="006279A1">
        <w:rPr>
          <w:rFonts w:ascii="Times New Roman" w:eastAsia="Times New Roman" w:hAnsi="Times New Roman" w:cs="Times New Roman"/>
          <w:lang w:eastAsia="hu-HU"/>
        </w:rPr>
        <w:t xml:space="preserve">Szerkezeti elemek megvalósítási formái. </w:t>
      </w:r>
      <w:r w:rsidRPr="006279A1">
        <w:rPr>
          <w:rFonts w:ascii="Times New Roman" w:eastAsia="Times New Roman" w:hAnsi="Times New Roman" w:cs="Times New Roman"/>
          <w:i/>
          <w:lang w:eastAsia="hu-HU"/>
        </w:rPr>
        <w:t>(Embodiments of structural elements.)</w:t>
      </w:r>
    </w:p>
    <w:p w:rsidR="006279A1" w:rsidRPr="006279A1" w:rsidRDefault="006279A1" w:rsidP="00980876">
      <w:pPr>
        <w:numPr>
          <w:ilvl w:val="1"/>
          <w:numId w:val="710"/>
        </w:numPr>
        <w:tabs>
          <w:tab w:val="clear" w:pos="3977"/>
          <w:tab w:val="num" w:pos="1425"/>
        </w:tabs>
        <w:spacing w:after="0" w:line="276" w:lineRule="auto"/>
        <w:ind w:left="1134" w:hanging="567"/>
        <w:jc w:val="both"/>
        <w:rPr>
          <w:rFonts w:ascii="Times New Roman" w:eastAsia="Times New Roman" w:hAnsi="Times New Roman" w:cs="Times New Roman"/>
          <w:bCs/>
          <w:lang w:eastAsia="hu-HU"/>
        </w:rPr>
      </w:pPr>
      <w:r w:rsidRPr="006279A1">
        <w:rPr>
          <w:rFonts w:ascii="Times New Roman" w:eastAsia="Times New Roman" w:hAnsi="Times New Roman" w:cs="Times New Roman"/>
          <w:lang w:eastAsia="hu-HU"/>
        </w:rPr>
        <w:t>Löveg stabilizátorok, folyadékfékek, léghelyretolók</w:t>
      </w:r>
      <w:r w:rsidRPr="006279A1">
        <w:rPr>
          <w:rFonts w:ascii="Times New Roman" w:eastAsia="Times New Roman" w:hAnsi="Times New Roman" w:cs="Times New Roman"/>
          <w:i/>
          <w:lang w:eastAsia="hu-HU"/>
        </w:rPr>
        <w:t>. (Gun stabilizers, Liquid brakes, air vents.)</w:t>
      </w:r>
    </w:p>
    <w:p w:rsidR="006279A1" w:rsidRPr="006279A1" w:rsidRDefault="006279A1" w:rsidP="00980876">
      <w:pPr>
        <w:numPr>
          <w:ilvl w:val="1"/>
          <w:numId w:val="710"/>
        </w:numPr>
        <w:tabs>
          <w:tab w:val="clear" w:pos="3977"/>
          <w:tab w:val="num" w:pos="1425"/>
        </w:tabs>
        <w:spacing w:after="0" w:line="276" w:lineRule="auto"/>
        <w:ind w:left="1134" w:hanging="567"/>
        <w:jc w:val="both"/>
        <w:rPr>
          <w:rFonts w:ascii="Times New Roman" w:eastAsia="Times New Roman" w:hAnsi="Times New Roman" w:cs="Times New Roman"/>
          <w:bCs/>
          <w:lang w:eastAsia="hu-HU"/>
        </w:rPr>
      </w:pPr>
      <w:r w:rsidRPr="006279A1">
        <w:rPr>
          <w:rFonts w:ascii="Times New Roman" w:eastAsia="Times New Roman" w:hAnsi="Times New Roman" w:cs="Times New Roman"/>
          <w:lang w:eastAsia="hu-HU"/>
        </w:rPr>
        <w:t xml:space="preserve">Harckocsi lövegek, irányzógépek, irányzóműszerek. </w:t>
      </w:r>
      <w:r w:rsidRPr="006279A1">
        <w:rPr>
          <w:rFonts w:ascii="Times New Roman" w:eastAsia="Times New Roman" w:hAnsi="Times New Roman" w:cs="Times New Roman"/>
          <w:i/>
          <w:lang w:eastAsia="hu-HU"/>
        </w:rPr>
        <w:t>(Tank guns, guides, pointers)</w:t>
      </w:r>
    </w:p>
    <w:p w:rsidR="006279A1" w:rsidRPr="006279A1" w:rsidRDefault="006279A1" w:rsidP="00980876">
      <w:pPr>
        <w:numPr>
          <w:ilvl w:val="1"/>
          <w:numId w:val="710"/>
        </w:numPr>
        <w:tabs>
          <w:tab w:val="clear" w:pos="3977"/>
          <w:tab w:val="num" w:pos="1425"/>
        </w:tabs>
        <w:spacing w:after="0" w:line="276" w:lineRule="auto"/>
        <w:ind w:left="1134" w:hanging="567"/>
        <w:jc w:val="both"/>
        <w:rPr>
          <w:rFonts w:ascii="Times New Roman" w:eastAsia="Times New Roman" w:hAnsi="Times New Roman" w:cs="Times New Roman"/>
          <w:bCs/>
          <w:lang w:eastAsia="hu-HU"/>
        </w:rPr>
      </w:pPr>
      <w:r w:rsidRPr="006279A1">
        <w:rPr>
          <w:rFonts w:ascii="Times New Roman" w:eastAsia="Times New Roman" w:hAnsi="Times New Roman" w:cs="Times New Roman"/>
          <w:lang w:eastAsia="hu-HU"/>
        </w:rPr>
        <w:t xml:space="preserve">Páncélozott szállító harcjárművek lövegei. </w:t>
      </w:r>
      <w:r w:rsidRPr="006279A1">
        <w:rPr>
          <w:rFonts w:ascii="Times New Roman" w:eastAsia="Times New Roman" w:hAnsi="Times New Roman" w:cs="Times New Roman"/>
          <w:i/>
          <w:lang w:eastAsia="hu-HU"/>
        </w:rPr>
        <w:t>(Rifles for armored vehicles.)</w:t>
      </w:r>
    </w:p>
    <w:p w:rsidR="006279A1" w:rsidRPr="006279A1" w:rsidRDefault="006279A1" w:rsidP="00980876">
      <w:pPr>
        <w:numPr>
          <w:ilvl w:val="1"/>
          <w:numId w:val="710"/>
        </w:numPr>
        <w:tabs>
          <w:tab w:val="clear" w:pos="3977"/>
          <w:tab w:val="num" w:pos="1425"/>
        </w:tabs>
        <w:spacing w:after="0" w:line="276" w:lineRule="auto"/>
        <w:ind w:left="1134" w:hanging="567"/>
        <w:jc w:val="both"/>
        <w:rPr>
          <w:rFonts w:ascii="Times New Roman" w:eastAsia="Times New Roman" w:hAnsi="Times New Roman" w:cs="Times New Roman"/>
          <w:bCs/>
          <w:lang w:eastAsia="hu-HU"/>
        </w:rPr>
      </w:pPr>
      <w:r w:rsidRPr="006279A1">
        <w:rPr>
          <w:rFonts w:ascii="Times New Roman" w:eastAsia="Times New Roman" w:hAnsi="Times New Roman" w:cs="Times New Roman"/>
          <w:lang w:eastAsia="hu-HU"/>
        </w:rPr>
        <w:lastRenderedPageBreak/>
        <w:t xml:space="preserve">Páncélozott szállító harcjárművek irányzógépei. </w:t>
      </w:r>
      <w:r w:rsidRPr="006279A1">
        <w:rPr>
          <w:rFonts w:ascii="Times New Roman" w:eastAsia="Times New Roman" w:hAnsi="Times New Roman" w:cs="Times New Roman"/>
          <w:i/>
          <w:lang w:eastAsia="hu-HU"/>
        </w:rPr>
        <w:t>(Guided for armored vehicles.)</w:t>
      </w:r>
    </w:p>
    <w:p w:rsidR="006279A1" w:rsidRPr="006279A1" w:rsidRDefault="006279A1" w:rsidP="00980876">
      <w:pPr>
        <w:numPr>
          <w:ilvl w:val="1"/>
          <w:numId w:val="710"/>
        </w:numPr>
        <w:tabs>
          <w:tab w:val="clear" w:pos="3977"/>
          <w:tab w:val="num" w:pos="1425"/>
        </w:tabs>
        <w:spacing w:after="0" w:line="276" w:lineRule="auto"/>
        <w:ind w:left="1134" w:hanging="567"/>
        <w:jc w:val="both"/>
        <w:rPr>
          <w:rFonts w:ascii="Times New Roman" w:eastAsia="Times New Roman" w:hAnsi="Times New Roman" w:cs="Times New Roman"/>
          <w:bCs/>
          <w:lang w:eastAsia="hu-HU"/>
        </w:rPr>
      </w:pPr>
      <w:r w:rsidRPr="006279A1">
        <w:rPr>
          <w:rFonts w:ascii="Times New Roman" w:eastAsia="Times New Roman" w:hAnsi="Times New Roman" w:cs="Times New Roman"/>
          <w:lang w:eastAsia="hu-HU"/>
        </w:rPr>
        <w:t xml:space="preserve">Páncélozott szállító harcjárművek irányzóműszerei. </w:t>
      </w:r>
      <w:r w:rsidRPr="006279A1">
        <w:rPr>
          <w:rFonts w:ascii="Times New Roman" w:eastAsia="Times New Roman" w:hAnsi="Times New Roman" w:cs="Times New Roman"/>
          <w:i/>
          <w:lang w:eastAsia="hu-HU"/>
        </w:rPr>
        <w:t>(Guidance for armored vehicles)</w:t>
      </w:r>
    </w:p>
    <w:p w:rsidR="006279A1" w:rsidRPr="006279A1" w:rsidRDefault="006279A1" w:rsidP="00980876">
      <w:pPr>
        <w:numPr>
          <w:ilvl w:val="1"/>
          <w:numId w:val="710"/>
        </w:numPr>
        <w:tabs>
          <w:tab w:val="clear" w:pos="3977"/>
          <w:tab w:val="num" w:pos="1425"/>
        </w:tabs>
        <w:spacing w:after="0" w:line="276" w:lineRule="auto"/>
        <w:ind w:left="1134" w:hanging="567"/>
        <w:jc w:val="both"/>
        <w:rPr>
          <w:rFonts w:ascii="Times New Roman" w:eastAsia="Times New Roman" w:hAnsi="Times New Roman" w:cs="Times New Roman"/>
          <w:bCs/>
          <w:lang w:eastAsia="hu-HU"/>
        </w:rPr>
      </w:pPr>
      <w:r w:rsidRPr="006279A1">
        <w:rPr>
          <w:rFonts w:ascii="Times New Roman" w:eastAsia="Times New Roman" w:hAnsi="Times New Roman" w:cs="Times New Roman"/>
          <w:lang w:eastAsia="hu-HU"/>
        </w:rPr>
        <w:t xml:space="preserve">Csőszerelvények. </w:t>
      </w:r>
      <w:r w:rsidRPr="006279A1">
        <w:rPr>
          <w:rFonts w:ascii="Times New Roman" w:eastAsia="Times New Roman" w:hAnsi="Times New Roman" w:cs="Times New Roman"/>
          <w:i/>
          <w:lang w:eastAsia="hu-HU"/>
        </w:rPr>
        <w:t>(Barrel Fittings.)</w:t>
      </w:r>
    </w:p>
    <w:p w:rsidR="006279A1" w:rsidRPr="006279A1" w:rsidRDefault="006279A1" w:rsidP="00980876">
      <w:pPr>
        <w:numPr>
          <w:ilvl w:val="1"/>
          <w:numId w:val="710"/>
        </w:numPr>
        <w:tabs>
          <w:tab w:val="clear" w:pos="3977"/>
          <w:tab w:val="num" w:pos="1425"/>
        </w:tabs>
        <w:spacing w:after="0" w:line="276" w:lineRule="auto"/>
        <w:ind w:left="1134" w:hanging="567"/>
        <w:jc w:val="both"/>
        <w:rPr>
          <w:rFonts w:ascii="Times New Roman" w:eastAsia="Times New Roman" w:hAnsi="Times New Roman" w:cs="Times New Roman"/>
          <w:bCs/>
          <w:lang w:eastAsia="hu-HU"/>
        </w:rPr>
      </w:pPr>
      <w:r w:rsidRPr="006279A1">
        <w:rPr>
          <w:rFonts w:ascii="Times New Roman" w:eastAsia="Times New Roman" w:hAnsi="Times New Roman" w:cs="Times New Roman"/>
          <w:lang w:eastAsia="hu-HU"/>
        </w:rPr>
        <w:t>Önjáró lövegek általános felépítése</w:t>
      </w:r>
      <w:r w:rsidRPr="006279A1">
        <w:rPr>
          <w:rFonts w:ascii="Times New Roman" w:eastAsia="Times New Roman" w:hAnsi="Times New Roman" w:cs="Times New Roman"/>
          <w:i/>
          <w:lang w:eastAsia="hu-HU"/>
        </w:rPr>
        <w:t>. (General structure of self-propelled guns.)</w:t>
      </w:r>
    </w:p>
    <w:p w:rsidR="006279A1" w:rsidRPr="006279A1" w:rsidRDefault="006279A1" w:rsidP="00980876">
      <w:pPr>
        <w:numPr>
          <w:ilvl w:val="1"/>
          <w:numId w:val="710"/>
        </w:numPr>
        <w:tabs>
          <w:tab w:val="clear" w:pos="3977"/>
          <w:tab w:val="num" w:pos="1425"/>
        </w:tabs>
        <w:spacing w:after="0" w:line="276" w:lineRule="auto"/>
        <w:ind w:left="1134" w:hanging="567"/>
        <w:jc w:val="both"/>
        <w:rPr>
          <w:rFonts w:ascii="Times New Roman" w:eastAsia="Times New Roman" w:hAnsi="Times New Roman" w:cs="Times New Roman"/>
          <w:bCs/>
          <w:lang w:eastAsia="hu-HU"/>
        </w:rPr>
      </w:pPr>
      <w:r w:rsidRPr="006279A1">
        <w:rPr>
          <w:rFonts w:ascii="Times New Roman" w:eastAsia="Times New Roman" w:hAnsi="Times New Roman" w:cs="Times New Roman"/>
          <w:lang w:eastAsia="hu-HU"/>
        </w:rPr>
        <w:t xml:space="preserve">Töltőgépek. </w:t>
      </w:r>
      <w:r w:rsidRPr="006279A1">
        <w:rPr>
          <w:rFonts w:ascii="Times New Roman" w:eastAsia="Times New Roman" w:hAnsi="Times New Roman" w:cs="Times New Roman"/>
          <w:i/>
          <w:lang w:eastAsia="hu-HU"/>
        </w:rPr>
        <w:t>(Filling machines.)</w:t>
      </w:r>
    </w:p>
    <w:p w:rsidR="006279A1" w:rsidRPr="006279A1" w:rsidRDefault="006279A1" w:rsidP="00980876">
      <w:pPr>
        <w:numPr>
          <w:ilvl w:val="0"/>
          <w:numId w:val="710"/>
        </w:numPr>
        <w:tabs>
          <w:tab w:val="clear" w:pos="720"/>
          <w:tab w:val="right" w:pos="567"/>
          <w:tab w:val="num" w:pos="644"/>
          <w:tab w:val="center" w:pos="4536"/>
          <w:tab w:val="right" w:pos="9071"/>
        </w:tabs>
        <w:spacing w:after="0" w:line="276" w:lineRule="auto"/>
        <w:ind w:left="426" w:hanging="142"/>
        <w:jc w:val="both"/>
        <w:rPr>
          <w:rFonts w:ascii="Times New Roman" w:eastAsia="Times New Roman" w:hAnsi="Times New Roman" w:cs="Times New Roman"/>
          <w:bCs/>
          <w:lang w:eastAsia="hu-HU"/>
        </w:rPr>
      </w:pPr>
      <w:r w:rsidRPr="006279A1">
        <w:rPr>
          <w:rFonts w:ascii="Times New Roman" w:eastAsia="Times New Roman" w:hAnsi="Times New Roman" w:cs="Times New Roman"/>
          <w:b/>
          <w:bCs/>
          <w:lang w:eastAsia="hu-HU"/>
        </w:rPr>
        <w:t xml:space="preserve">A tantárgy meghirdetésének gyakorisága/a tantervben történő félévi elhelyezkedése: </w:t>
      </w:r>
      <w:r w:rsidRPr="006279A1">
        <w:rPr>
          <w:rFonts w:ascii="Times New Roman" w:eastAsia="Times New Roman" w:hAnsi="Times New Roman" w:cs="Times New Roman"/>
          <w:bCs/>
          <w:lang w:eastAsia="hu-HU"/>
        </w:rPr>
        <w:t>évente /7. félév</w:t>
      </w:r>
    </w:p>
    <w:p w:rsidR="006279A1" w:rsidRPr="006279A1" w:rsidRDefault="006279A1" w:rsidP="00980876">
      <w:pPr>
        <w:widowControl w:val="0"/>
        <w:numPr>
          <w:ilvl w:val="0"/>
          <w:numId w:val="710"/>
        </w:numPr>
        <w:tabs>
          <w:tab w:val="num" w:pos="360"/>
          <w:tab w:val="num" w:pos="644"/>
        </w:tabs>
        <w:spacing w:after="0" w:line="276" w:lineRule="auto"/>
        <w:ind w:left="425" w:hanging="142"/>
        <w:jc w:val="both"/>
        <w:rPr>
          <w:rFonts w:ascii="Times New Roman" w:eastAsia="Times New Roman" w:hAnsi="Times New Roman" w:cs="Times New Roman"/>
          <w:bCs/>
          <w:lang w:eastAsia="hu-HU"/>
        </w:rPr>
      </w:pPr>
      <w:r w:rsidRPr="006279A1">
        <w:rPr>
          <w:rFonts w:ascii="Times New Roman" w:eastAsia="Times New Roman" w:hAnsi="Times New Roman" w:cs="Times New Roman"/>
          <w:b/>
          <w:bCs/>
          <w:lang w:eastAsia="hu-HU"/>
        </w:rPr>
        <w:t>A tanórákon való részvétel követelményei, az elfogadható hiányzások mértéke, a távolmaradás pótlásának lehetősége:</w:t>
      </w:r>
      <w:r w:rsidRPr="006279A1">
        <w:rPr>
          <w:rFonts w:ascii="Times New Roman" w:eastAsia="Times New Roman" w:hAnsi="Times New Roman" w:cs="Times New Roman"/>
          <w:bCs/>
          <w:lang w:eastAsia="hu-HU"/>
        </w:rPr>
        <w:t xml:space="preserve"> </w:t>
      </w:r>
    </w:p>
    <w:p w:rsidR="006279A1" w:rsidRPr="006279A1" w:rsidRDefault="006279A1" w:rsidP="001F4B47">
      <w:pPr>
        <w:widowControl w:val="0"/>
        <w:spacing w:after="0" w:line="276" w:lineRule="auto"/>
        <w:ind w:left="425"/>
        <w:jc w:val="both"/>
        <w:rPr>
          <w:rFonts w:ascii="Times New Roman" w:eastAsia="Times New Roman" w:hAnsi="Times New Roman" w:cs="Times New Roman"/>
          <w:bCs/>
          <w:lang w:eastAsia="hu-HU"/>
        </w:rPr>
      </w:pPr>
      <w:r w:rsidRPr="006279A1">
        <w:rPr>
          <w:rFonts w:ascii="Times New Roman" w:eastAsia="Times New Roman" w:hAnsi="Times New Roman" w:cs="Times New Roman"/>
          <w:bCs/>
          <w:lang w:eastAsia="hu-HU"/>
        </w:rPr>
        <w:t>A hallgatónak a tanórák legalább 70 %-án jelen kell lennie, 30 %-ot meghaladó hiányzás esetén a félév teljesítése nem írható alá. A hallgató köteles az előadás és a gyakorlat anyagát beszerezni, abból önállóan felkészülni. A hiányzás pótolható az oktató által kijelölt témakörben beadott, legalább elégségesre értékelt házidolgozattal.</w:t>
      </w:r>
    </w:p>
    <w:p w:rsidR="006279A1" w:rsidRPr="006279A1" w:rsidRDefault="006279A1" w:rsidP="00980876">
      <w:pPr>
        <w:widowControl w:val="0"/>
        <w:numPr>
          <w:ilvl w:val="0"/>
          <w:numId w:val="710"/>
        </w:numPr>
        <w:tabs>
          <w:tab w:val="num" w:pos="360"/>
          <w:tab w:val="num" w:pos="644"/>
        </w:tabs>
        <w:spacing w:after="0" w:line="276" w:lineRule="auto"/>
        <w:ind w:left="426" w:hanging="142"/>
        <w:jc w:val="both"/>
        <w:rPr>
          <w:rFonts w:ascii="Times New Roman" w:eastAsia="Times New Roman" w:hAnsi="Times New Roman" w:cs="Times New Roman"/>
          <w:bCs/>
          <w:lang w:eastAsia="hu-HU"/>
        </w:rPr>
      </w:pPr>
      <w:r w:rsidRPr="006279A1">
        <w:rPr>
          <w:rFonts w:ascii="Times New Roman" w:eastAsia="Times New Roman" w:hAnsi="Times New Roman" w:cs="Times New Roman"/>
          <w:b/>
          <w:lang w:eastAsia="hu-HU"/>
        </w:rPr>
        <w:t>Félévközi feladatok, ismeretek ellenőrzésének rendje:</w:t>
      </w:r>
      <w:r w:rsidRPr="006279A1">
        <w:rPr>
          <w:rFonts w:ascii="Times New Roman" w:eastAsia="Times New Roman" w:hAnsi="Times New Roman" w:cs="Times New Roman"/>
          <w:bCs/>
          <w:lang w:eastAsia="hu-HU"/>
        </w:rPr>
        <w:t xml:space="preserve"> A félév során a hallgató kettő zárthelyi dolgozatot ír. Zárthelyi dolgozatok a 12.1-12.15 tantárgyrészekből.</w:t>
      </w:r>
      <w:r w:rsidRPr="006279A1">
        <w:rPr>
          <w:rFonts w:ascii="Times New Roman" w:eastAsia="Times New Roman" w:hAnsi="Times New Roman" w:cs="Times New Roman"/>
          <w:lang w:eastAsia="hu-HU"/>
        </w:rPr>
        <w:t xml:space="preserve"> </w:t>
      </w:r>
      <w:r w:rsidRPr="006279A1">
        <w:rPr>
          <w:rFonts w:ascii="Times New Roman" w:eastAsia="Times New Roman" w:hAnsi="Times New Roman" w:cs="Times New Roman"/>
          <w:bCs/>
          <w:lang w:eastAsia="hu-HU"/>
        </w:rPr>
        <w:t>A zárthelyi dolgozat témáit a kötelező irodalmak anyagából, illetve az előadásokon elhangzott ismeretanyagból kell összeállítani. A zárthelyi dolgozat értékelése ötfokozatú értékelés (a helyes válaszok aránya 0-60% elégtelen; 61-70% elégséges; 71-80% közepes; 81-90% jó; 91-100% jeles osztályzat). Eredménytelen zárthelyi dolgozat kétszer javítható</w:t>
      </w:r>
      <w:r w:rsidRPr="006279A1">
        <w:rPr>
          <w:rFonts w:ascii="Times New Roman" w:eastAsia="Times New Roman" w:hAnsi="Times New Roman" w:cs="Times New Roman"/>
          <w:b/>
          <w:bCs/>
          <w:lang w:eastAsia="hu-HU"/>
        </w:rPr>
        <w:t>.</w:t>
      </w:r>
      <w:r w:rsidRPr="006279A1">
        <w:rPr>
          <w:rFonts w:ascii="Times New Roman" w:eastAsia="Times New Roman" w:hAnsi="Times New Roman" w:cs="Times New Roman"/>
          <w:bCs/>
          <w:lang w:eastAsia="hu-HU"/>
        </w:rPr>
        <w:t xml:space="preserve"> A dolgozatban teszt és esszé jellegű kérdések egyaránt szerepelnek.</w:t>
      </w:r>
    </w:p>
    <w:p w:rsidR="006279A1" w:rsidRPr="006279A1" w:rsidRDefault="006279A1" w:rsidP="00980876">
      <w:pPr>
        <w:widowControl w:val="0"/>
        <w:numPr>
          <w:ilvl w:val="0"/>
          <w:numId w:val="710"/>
        </w:numPr>
        <w:tabs>
          <w:tab w:val="num" w:pos="644"/>
        </w:tabs>
        <w:spacing w:after="0" w:line="276" w:lineRule="auto"/>
        <w:ind w:left="426" w:hanging="142"/>
        <w:jc w:val="both"/>
        <w:rPr>
          <w:rFonts w:ascii="Times New Roman" w:eastAsia="Times New Roman" w:hAnsi="Times New Roman" w:cs="Times New Roman"/>
          <w:b/>
          <w:bCs/>
          <w:lang w:eastAsia="hu-HU"/>
        </w:rPr>
      </w:pPr>
      <w:r w:rsidRPr="006279A1">
        <w:rPr>
          <w:rFonts w:ascii="Times New Roman" w:eastAsia="Times New Roman" w:hAnsi="Times New Roman" w:cs="Times New Roman"/>
          <w:b/>
          <w:bCs/>
          <w:lang w:eastAsia="hu-HU"/>
        </w:rPr>
        <w:t xml:space="preserve">Az értékelés, az aláírás és a kreditek megszerzésének pontos feltételei: </w:t>
      </w:r>
    </w:p>
    <w:p w:rsidR="006279A1" w:rsidRPr="006279A1" w:rsidRDefault="006279A1" w:rsidP="00980876">
      <w:pPr>
        <w:widowControl w:val="0"/>
        <w:numPr>
          <w:ilvl w:val="1"/>
          <w:numId w:val="710"/>
        </w:numPr>
        <w:tabs>
          <w:tab w:val="clear" w:pos="3977"/>
          <w:tab w:val="left" w:pos="709"/>
          <w:tab w:val="left" w:pos="993"/>
          <w:tab w:val="num" w:pos="1425"/>
          <w:tab w:val="num" w:pos="2069"/>
        </w:tabs>
        <w:spacing w:after="0" w:line="276" w:lineRule="auto"/>
        <w:ind w:left="426" w:firstLine="0"/>
        <w:jc w:val="both"/>
        <w:rPr>
          <w:rFonts w:ascii="Times New Roman" w:eastAsia="Times New Roman" w:hAnsi="Times New Roman" w:cs="Times New Roman"/>
          <w:lang w:eastAsia="hu-HU"/>
        </w:rPr>
      </w:pPr>
      <w:r w:rsidRPr="006279A1">
        <w:rPr>
          <w:rFonts w:ascii="Times New Roman" w:eastAsia="Times New Roman" w:hAnsi="Times New Roman" w:cs="Times New Roman"/>
          <w:b/>
          <w:lang w:eastAsia="hu-HU"/>
        </w:rPr>
        <w:t>Az aláírás megszerzésének feltételei:</w:t>
      </w:r>
      <w:r w:rsidRPr="006279A1">
        <w:rPr>
          <w:rFonts w:ascii="Times New Roman" w:eastAsia="Times New Roman" w:hAnsi="Times New Roman" w:cs="Times New Roman"/>
          <w:lang w:eastAsia="hu-HU"/>
        </w:rPr>
        <w:t xml:space="preserve"> </w:t>
      </w:r>
      <w:r w:rsidRPr="006279A1">
        <w:rPr>
          <w:rFonts w:ascii="Times New Roman" w:eastAsia="Times New Roman" w:hAnsi="Times New Roman" w:cs="Times New Roman"/>
          <w:bCs/>
          <w:lang w:eastAsia="hu-HU"/>
        </w:rPr>
        <w:t>Az aláírás megszerzésének feltétele a 14. pontban meghatározott arányú részvétel a foglalkozásokon és a 15. pontban meghatározott félévközi feladatok legalább elégséges teljesítése.</w:t>
      </w:r>
    </w:p>
    <w:p w:rsidR="006279A1" w:rsidRPr="006279A1" w:rsidRDefault="006279A1" w:rsidP="00980876">
      <w:pPr>
        <w:widowControl w:val="0"/>
        <w:numPr>
          <w:ilvl w:val="1"/>
          <w:numId w:val="710"/>
        </w:numPr>
        <w:tabs>
          <w:tab w:val="clear" w:pos="3977"/>
          <w:tab w:val="left" w:pos="709"/>
          <w:tab w:val="left" w:pos="993"/>
          <w:tab w:val="num" w:pos="1425"/>
          <w:tab w:val="num" w:pos="2069"/>
        </w:tabs>
        <w:spacing w:after="0" w:line="276" w:lineRule="auto"/>
        <w:ind w:left="426" w:firstLine="0"/>
        <w:jc w:val="both"/>
        <w:rPr>
          <w:rFonts w:ascii="Times New Roman" w:eastAsia="Times New Roman" w:hAnsi="Times New Roman" w:cs="Times New Roman"/>
          <w:lang w:eastAsia="hu-HU"/>
        </w:rPr>
      </w:pPr>
      <w:r w:rsidRPr="006279A1">
        <w:rPr>
          <w:rFonts w:ascii="Times New Roman" w:eastAsia="Times New Roman" w:hAnsi="Times New Roman" w:cs="Times New Roman"/>
          <w:b/>
          <w:lang w:eastAsia="hu-HU"/>
        </w:rPr>
        <w:t>Az értékelés:</w:t>
      </w:r>
      <w:r w:rsidRPr="006279A1">
        <w:rPr>
          <w:rFonts w:ascii="Times New Roman" w:eastAsia="Times New Roman" w:hAnsi="Times New Roman" w:cs="Times New Roman"/>
          <w:lang w:eastAsia="hu-HU"/>
        </w:rPr>
        <w:t xml:space="preserve"> évközi értékelés, ötfokozatú értékelés.</w:t>
      </w:r>
      <w:r w:rsidRPr="006279A1">
        <w:rPr>
          <w:rFonts w:ascii="Times New Roman" w:eastAsia="Times New Roman" w:hAnsi="Times New Roman" w:cs="Times New Roman"/>
          <w:bCs/>
          <w:lang w:eastAsia="hu-HU"/>
        </w:rPr>
        <w:t xml:space="preserve"> Az évközi értékelést az elért eredmények kerekített matematikai átlaga képezi.</w:t>
      </w:r>
    </w:p>
    <w:p w:rsidR="006279A1" w:rsidRPr="006279A1" w:rsidRDefault="006279A1" w:rsidP="00980876">
      <w:pPr>
        <w:widowControl w:val="0"/>
        <w:numPr>
          <w:ilvl w:val="1"/>
          <w:numId w:val="710"/>
        </w:numPr>
        <w:tabs>
          <w:tab w:val="clear" w:pos="3977"/>
          <w:tab w:val="left" w:pos="709"/>
          <w:tab w:val="left" w:pos="993"/>
          <w:tab w:val="num" w:pos="1425"/>
          <w:tab w:val="num" w:pos="2069"/>
        </w:tabs>
        <w:spacing w:after="0" w:line="276" w:lineRule="auto"/>
        <w:ind w:left="426" w:firstLine="0"/>
        <w:jc w:val="both"/>
        <w:rPr>
          <w:rFonts w:ascii="Times New Roman" w:eastAsia="Times New Roman" w:hAnsi="Times New Roman" w:cs="Times New Roman"/>
          <w:lang w:eastAsia="hu-HU"/>
        </w:rPr>
      </w:pPr>
      <w:r w:rsidRPr="006279A1">
        <w:rPr>
          <w:rFonts w:ascii="Times New Roman" w:eastAsia="Times New Roman" w:hAnsi="Times New Roman" w:cs="Times New Roman"/>
          <w:b/>
          <w:lang w:eastAsia="hu-HU"/>
        </w:rPr>
        <w:t>A kreditek megszerzésének feltételei:</w:t>
      </w:r>
      <w:r w:rsidRPr="006279A1">
        <w:rPr>
          <w:rFonts w:ascii="Times New Roman" w:eastAsia="Times New Roman" w:hAnsi="Times New Roman" w:cs="Times New Roman"/>
          <w:lang w:eastAsia="hu-HU"/>
        </w:rPr>
        <w:t xml:space="preserve"> az aláírás megszerzése és legalább elégséges</w:t>
      </w:r>
      <w:r w:rsidRPr="006279A1">
        <w:rPr>
          <w:rFonts w:ascii="Times New Roman" w:eastAsia="Times New Roman" w:hAnsi="Times New Roman" w:cs="Times New Roman"/>
          <w:b/>
          <w:lang w:eastAsia="hu-HU"/>
        </w:rPr>
        <w:t xml:space="preserve"> </w:t>
      </w:r>
      <w:r w:rsidRPr="006279A1">
        <w:rPr>
          <w:rFonts w:ascii="Times New Roman" w:eastAsia="Times New Roman" w:hAnsi="Times New Roman" w:cs="Times New Roman"/>
          <w:lang w:eastAsia="hu-HU"/>
        </w:rPr>
        <w:t>évközi értékelés</w:t>
      </w:r>
      <w:r w:rsidRPr="006279A1">
        <w:rPr>
          <w:rFonts w:ascii="Times New Roman" w:eastAsia="Times New Roman" w:hAnsi="Times New Roman" w:cs="Times New Roman"/>
          <w:bCs/>
          <w:lang w:eastAsia="hu-HU"/>
        </w:rPr>
        <w:t>.</w:t>
      </w:r>
    </w:p>
    <w:p w:rsidR="006279A1" w:rsidRPr="006279A1" w:rsidRDefault="006279A1" w:rsidP="00980876">
      <w:pPr>
        <w:numPr>
          <w:ilvl w:val="0"/>
          <w:numId w:val="710"/>
        </w:numPr>
        <w:tabs>
          <w:tab w:val="clear" w:pos="720"/>
          <w:tab w:val="num" w:pos="426"/>
          <w:tab w:val="num" w:pos="644"/>
        </w:tabs>
        <w:spacing w:after="0" w:line="276" w:lineRule="auto"/>
        <w:ind w:left="426" w:hanging="142"/>
        <w:jc w:val="both"/>
        <w:rPr>
          <w:rFonts w:ascii="Times New Roman" w:eastAsia="Times New Roman" w:hAnsi="Times New Roman" w:cs="Times New Roman"/>
          <w:b/>
          <w:lang w:eastAsia="hu-HU"/>
        </w:rPr>
      </w:pPr>
      <w:r w:rsidRPr="006279A1">
        <w:rPr>
          <w:rFonts w:ascii="Times New Roman" w:eastAsia="Times New Roman" w:hAnsi="Times New Roman" w:cs="Times New Roman"/>
          <w:b/>
          <w:lang w:eastAsia="hu-HU"/>
        </w:rPr>
        <w:t>Irodalomjegyzék:</w:t>
      </w:r>
    </w:p>
    <w:p w:rsidR="006279A1" w:rsidRPr="006279A1" w:rsidRDefault="006279A1" w:rsidP="00980876">
      <w:pPr>
        <w:numPr>
          <w:ilvl w:val="1"/>
          <w:numId w:val="710"/>
        </w:numPr>
        <w:tabs>
          <w:tab w:val="clear" w:pos="3977"/>
          <w:tab w:val="left" w:pos="1134"/>
          <w:tab w:val="num" w:pos="1425"/>
        </w:tabs>
        <w:spacing w:before="100" w:beforeAutospacing="1" w:after="0" w:line="240" w:lineRule="auto"/>
        <w:ind w:left="567" w:firstLine="0"/>
        <w:jc w:val="both"/>
        <w:rPr>
          <w:rFonts w:ascii="Times New Roman" w:eastAsia="Times New Roman" w:hAnsi="Times New Roman" w:cs="Times New Roman"/>
          <w:b/>
          <w:lang w:eastAsia="hu-HU"/>
        </w:rPr>
      </w:pPr>
      <w:r w:rsidRPr="006279A1">
        <w:rPr>
          <w:rFonts w:ascii="Times New Roman" w:eastAsia="Times New Roman" w:hAnsi="Times New Roman" w:cs="Times New Roman"/>
          <w:b/>
          <w:lang w:eastAsia="hu-HU"/>
        </w:rPr>
        <w:t>Kötelező irodalom:</w:t>
      </w:r>
    </w:p>
    <w:p w:rsidR="006279A1" w:rsidRPr="006279A1" w:rsidRDefault="006279A1" w:rsidP="00980876">
      <w:pPr>
        <w:numPr>
          <w:ilvl w:val="0"/>
          <w:numId w:val="711"/>
        </w:numPr>
        <w:spacing w:after="100" w:afterAutospacing="1" w:line="240" w:lineRule="auto"/>
        <w:jc w:val="both"/>
        <w:rPr>
          <w:rFonts w:ascii="Times New Roman" w:eastAsia="Times New Roman" w:hAnsi="Times New Roman" w:cs="Times New Roman"/>
          <w:lang w:eastAsia="hu-HU"/>
        </w:rPr>
      </w:pPr>
      <w:r w:rsidRPr="006279A1">
        <w:rPr>
          <w:rFonts w:ascii="Times New Roman" w:eastAsia="Times New Roman" w:hAnsi="Times New Roman" w:cs="Times New Roman"/>
          <w:lang w:eastAsia="hu-HU"/>
        </w:rPr>
        <w:t>Tüfe/283 A 152 mm-es D-20 ágyútarack anyagismereti és kezelési utasítása. HM. kiadvány.</w:t>
      </w:r>
    </w:p>
    <w:p w:rsidR="006279A1" w:rsidRPr="006279A1" w:rsidRDefault="006279A1" w:rsidP="00980876">
      <w:pPr>
        <w:numPr>
          <w:ilvl w:val="0"/>
          <w:numId w:val="711"/>
        </w:numPr>
        <w:spacing w:before="120" w:beforeAutospacing="1" w:after="120" w:afterAutospacing="1" w:line="240" w:lineRule="auto"/>
        <w:jc w:val="both"/>
        <w:rPr>
          <w:rFonts w:ascii="Times New Roman" w:eastAsia="Times New Roman" w:hAnsi="Times New Roman" w:cs="Times New Roman"/>
          <w:lang w:eastAsia="hu-HU"/>
        </w:rPr>
      </w:pPr>
      <w:r w:rsidRPr="006279A1">
        <w:rPr>
          <w:rFonts w:ascii="Times New Roman" w:eastAsia="Times New Roman" w:hAnsi="Times New Roman" w:cs="Times New Roman"/>
          <w:lang w:eastAsia="hu-HU"/>
        </w:rPr>
        <w:t>Tüfe/307 A fegyverzeti anyagok korrózió elleni védelme és kenési szabályai I. kötet. HM. kiadvány.</w:t>
      </w:r>
    </w:p>
    <w:p w:rsidR="006279A1" w:rsidRPr="006279A1" w:rsidRDefault="006279A1" w:rsidP="00980876">
      <w:pPr>
        <w:numPr>
          <w:ilvl w:val="0"/>
          <w:numId w:val="711"/>
        </w:numPr>
        <w:spacing w:before="120" w:beforeAutospacing="1" w:after="120" w:afterAutospacing="1" w:line="240" w:lineRule="auto"/>
        <w:jc w:val="both"/>
        <w:rPr>
          <w:rFonts w:ascii="Times New Roman" w:eastAsia="Times New Roman" w:hAnsi="Times New Roman" w:cs="Times New Roman"/>
          <w:lang w:eastAsia="hu-HU"/>
        </w:rPr>
      </w:pPr>
      <w:r w:rsidRPr="006279A1">
        <w:rPr>
          <w:rFonts w:ascii="Times New Roman" w:eastAsia="Times New Roman" w:hAnsi="Times New Roman" w:cs="Times New Roman"/>
          <w:lang w:eastAsia="hu-HU"/>
        </w:rPr>
        <w:t>Tüfe/305 Fegyverzeti anyagok általános középjavítási utasítása. HM. kiadvány.</w:t>
      </w:r>
    </w:p>
    <w:p w:rsidR="006279A1" w:rsidRPr="006279A1" w:rsidRDefault="006279A1" w:rsidP="00980876">
      <w:pPr>
        <w:numPr>
          <w:ilvl w:val="0"/>
          <w:numId w:val="711"/>
        </w:numPr>
        <w:spacing w:before="120" w:beforeAutospacing="1" w:after="120" w:afterAutospacing="1" w:line="240" w:lineRule="auto"/>
        <w:jc w:val="both"/>
        <w:rPr>
          <w:rFonts w:ascii="Times New Roman" w:eastAsia="Times New Roman" w:hAnsi="Times New Roman" w:cs="Times New Roman"/>
          <w:lang w:eastAsia="hu-HU"/>
        </w:rPr>
      </w:pPr>
      <w:r w:rsidRPr="006279A1">
        <w:rPr>
          <w:rFonts w:ascii="Times New Roman" w:eastAsia="Times New Roman" w:hAnsi="Times New Roman" w:cs="Times New Roman"/>
          <w:lang w:eastAsia="hu-HU"/>
        </w:rPr>
        <w:t>Pcfe/221 Harckocsi lövegstabilizátor és irányzó berendezés. (A HM kiadványa, Budapest, 1974).</w:t>
      </w:r>
    </w:p>
    <w:p w:rsidR="006279A1" w:rsidRPr="006279A1" w:rsidRDefault="006279A1" w:rsidP="00980876">
      <w:pPr>
        <w:numPr>
          <w:ilvl w:val="0"/>
          <w:numId w:val="711"/>
        </w:numPr>
        <w:spacing w:after="0" w:line="240" w:lineRule="auto"/>
        <w:ind w:left="1066" w:hanging="357"/>
        <w:jc w:val="both"/>
        <w:rPr>
          <w:rFonts w:ascii="Times New Roman" w:eastAsia="Times New Roman" w:hAnsi="Times New Roman" w:cs="Times New Roman"/>
          <w:lang w:eastAsia="hu-HU"/>
        </w:rPr>
      </w:pPr>
      <w:r w:rsidRPr="006279A1">
        <w:rPr>
          <w:rFonts w:ascii="Times New Roman" w:eastAsia="Times New Roman" w:hAnsi="Times New Roman" w:cs="Times New Roman"/>
          <w:lang w:eastAsia="hu-HU"/>
        </w:rPr>
        <w:t>Dr. Farkas Tivadar: L</w:t>
      </w:r>
      <w:r w:rsidRPr="006279A1">
        <w:rPr>
          <w:rFonts w:ascii="Times New Roman" w:eastAsia="Times New Roman" w:hAnsi="Times New Roman" w:cs="Times New Roman" w:hint="eastAsia"/>
          <w:lang w:eastAsia="hu-HU"/>
        </w:rPr>
        <w:t>ő</w:t>
      </w:r>
      <w:r w:rsidRPr="006279A1">
        <w:rPr>
          <w:rFonts w:ascii="Times New Roman" w:eastAsia="Times New Roman" w:hAnsi="Times New Roman" w:cs="Times New Roman"/>
          <w:lang w:eastAsia="hu-HU"/>
        </w:rPr>
        <w:t>fegyverek rendszertana I-II. (ZMNE jegyzet, Budapest, 2000) ISBN: 9630035596</w:t>
      </w:r>
    </w:p>
    <w:p w:rsidR="006279A1" w:rsidRPr="006279A1" w:rsidRDefault="006279A1" w:rsidP="00980876">
      <w:pPr>
        <w:numPr>
          <w:ilvl w:val="1"/>
          <w:numId w:val="710"/>
        </w:numPr>
        <w:tabs>
          <w:tab w:val="clear" w:pos="3977"/>
          <w:tab w:val="left" w:pos="1134"/>
          <w:tab w:val="num" w:pos="1425"/>
        </w:tabs>
        <w:spacing w:after="0" w:line="240" w:lineRule="auto"/>
        <w:ind w:left="567" w:firstLine="0"/>
        <w:jc w:val="both"/>
        <w:rPr>
          <w:rFonts w:ascii="Times New Roman" w:eastAsia="Times New Roman" w:hAnsi="Times New Roman" w:cs="Times New Roman"/>
          <w:b/>
          <w:lang w:eastAsia="hu-HU"/>
        </w:rPr>
      </w:pPr>
      <w:r w:rsidRPr="006279A1">
        <w:rPr>
          <w:rFonts w:ascii="Times New Roman" w:eastAsia="Times New Roman" w:hAnsi="Times New Roman" w:cs="Times New Roman"/>
          <w:b/>
          <w:lang w:eastAsia="hu-HU"/>
        </w:rPr>
        <w:t>Ajánlott irodalom:</w:t>
      </w:r>
    </w:p>
    <w:p w:rsidR="006279A1" w:rsidRPr="006279A1" w:rsidRDefault="006279A1" w:rsidP="00980876">
      <w:pPr>
        <w:numPr>
          <w:ilvl w:val="0"/>
          <w:numId w:val="712"/>
        </w:numPr>
        <w:spacing w:after="100" w:afterAutospacing="1" w:line="240" w:lineRule="auto"/>
        <w:jc w:val="both"/>
        <w:rPr>
          <w:rFonts w:ascii="Times New Roman" w:eastAsia="Times New Roman" w:hAnsi="Times New Roman" w:cs="Times New Roman"/>
          <w:lang w:eastAsia="hu-HU"/>
        </w:rPr>
      </w:pPr>
      <w:r w:rsidRPr="006279A1">
        <w:rPr>
          <w:rFonts w:ascii="Times New Roman" w:eastAsia="Times New Roman" w:hAnsi="Times New Roman" w:cs="Times New Roman"/>
          <w:lang w:eastAsia="hu-HU"/>
        </w:rPr>
        <w:t xml:space="preserve">Tüfe/304 A </w:t>
      </w:r>
      <w:smartTag w:uri="urn:schemas-microsoft-com:office:smarttags" w:element="metricconverter">
        <w:smartTagPr>
          <w:attr w:name="ProductID" w:val="152 mm"/>
        </w:smartTagPr>
        <w:r w:rsidRPr="006279A1">
          <w:rPr>
            <w:rFonts w:ascii="Times New Roman" w:eastAsia="Times New Roman" w:hAnsi="Times New Roman" w:cs="Times New Roman"/>
            <w:lang w:eastAsia="hu-HU"/>
          </w:rPr>
          <w:t>152 mm</w:t>
        </w:r>
      </w:smartTag>
      <w:r w:rsidRPr="006279A1">
        <w:rPr>
          <w:rFonts w:ascii="Times New Roman" w:eastAsia="Times New Roman" w:hAnsi="Times New Roman" w:cs="Times New Roman"/>
          <w:lang w:eastAsia="hu-HU"/>
        </w:rPr>
        <w:t xml:space="preserve"> D-20 ágyútarack javítási utasítása, HM. kiadvány</w:t>
      </w:r>
    </w:p>
    <w:p w:rsidR="006279A1" w:rsidRPr="006279A1" w:rsidRDefault="006279A1" w:rsidP="00980876">
      <w:pPr>
        <w:numPr>
          <w:ilvl w:val="0"/>
          <w:numId w:val="712"/>
        </w:numPr>
        <w:spacing w:after="100" w:afterAutospacing="1" w:line="240" w:lineRule="auto"/>
        <w:jc w:val="both"/>
        <w:rPr>
          <w:rFonts w:ascii="Times New Roman" w:eastAsia="Times New Roman" w:hAnsi="Times New Roman" w:cs="Times New Roman"/>
          <w:lang w:eastAsia="hu-HU"/>
        </w:rPr>
      </w:pPr>
      <w:r w:rsidRPr="006279A1">
        <w:rPr>
          <w:rFonts w:ascii="Times New Roman" w:eastAsia="Times New Roman" w:hAnsi="Times New Roman" w:cs="Times New Roman"/>
          <w:lang w:eastAsia="hu-HU"/>
        </w:rPr>
        <w:t>237/431 nyt.számú, a Magyar Honvédség főbb haditechnikai eszközei című kiadvány (MH ÖHP, Székesfehérvár, 2011.)</w:t>
      </w:r>
    </w:p>
    <w:p w:rsidR="006279A1" w:rsidRPr="006279A1" w:rsidRDefault="006279A1" w:rsidP="00A56A1B">
      <w:pPr>
        <w:spacing w:before="120" w:after="120" w:line="240" w:lineRule="auto"/>
        <w:ind w:firstLine="708"/>
        <w:jc w:val="both"/>
        <w:rPr>
          <w:rFonts w:ascii="Times New Roman" w:eastAsia="Times New Roman" w:hAnsi="Times New Roman" w:cs="Times New Roman"/>
          <w:lang w:eastAsia="hu-HU"/>
        </w:rPr>
      </w:pPr>
      <w:r w:rsidRPr="006279A1">
        <w:rPr>
          <w:rFonts w:ascii="Times New Roman" w:eastAsia="Times New Roman" w:hAnsi="Times New Roman" w:cs="Times New Roman"/>
          <w:lang w:eastAsia="hu-HU"/>
        </w:rPr>
        <w:t>Budapest, 2020. február 15.</w:t>
      </w:r>
    </w:p>
    <w:p w:rsidR="006279A1" w:rsidRPr="006279A1" w:rsidRDefault="006279A1" w:rsidP="006279A1">
      <w:pPr>
        <w:spacing w:before="120" w:after="120" w:line="240" w:lineRule="auto"/>
        <w:jc w:val="both"/>
        <w:rPr>
          <w:rFonts w:ascii="Times New Roman" w:eastAsia="Times New Roman" w:hAnsi="Times New Roman" w:cs="Times New Roman"/>
          <w:lang w:eastAsia="hu-HU"/>
        </w:rPr>
      </w:pPr>
    </w:p>
    <w:p w:rsidR="006279A1" w:rsidRPr="00A56A1B" w:rsidRDefault="006279A1" w:rsidP="006279A1">
      <w:pPr>
        <w:widowControl w:val="0"/>
        <w:tabs>
          <w:tab w:val="center" w:pos="7371"/>
        </w:tabs>
        <w:spacing w:after="0" w:line="240" w:lineRule="auto"/>
        <w:rPr>
          <w:rFonts w:ascii="Times New Roman" w:eastAsia="Times New Roman" w:hAnsi="Times New Roman" w:cs="Times New Roman"/>
          <w:b/>
          <w:bCs/>
          <w:lang w:eastAsia="hu-HU"/>
        </w:rPr>
      </w:pPr>
      <w:r w:rsidRPr="00A56A1B">
        <w:rPr>
          <w:rFonts w:ascii="Times New Roman" w:eastAsia="Times New Roman" w:hAnsi="Times New Roman" w:cs="Times New Roman"/>
          <w:b/>
          <w:bCs/>
          <w:lang w:eastAsia="hu-HU"/>
        </w:rPr>
        <w:tab/>
        <w:t>Dr. Vég Róbert László PhD</w:t>
      </w:r>
    </w:p>
    <w:p w:rsidR="006279A1" w:rsidRPr="006279A1" w:rsidRDefault="006279A1" w:rsidP="006279A1">
      <w:pPr>
        <w:widowControl w:val="0"/>
        <w:tabs>
          <w:tab w:val="center" w:pos="7371"/>
        </w:tabs>
        <w:spacing w:after="0" w:line="240" w:lineRule="auto"/>
        <w:rPr>
          <w:rFonts w:ascii="Times New Roman" w:eastAsia="Times New Roman" w:hAnsi="Times New Roman" w:cs="Times New Roman"/>
          <w:bCs/>
          <w:lang w:eastAsia="hu-HU"/>
        </w:rPr>
      </w:pPr>
      <w:r w:rsidRPr="006279A1">
        <w:rPr>
          <w:rFonts w:ascii="Times New Roman" w:eastAsia="Times New Roman" w:hAnsi="Times New Roman" w:cs="Times New Roman"/>
          <w:bCs/>
          <w:lang w:eastAsia="hu-HU"/>
        </w:rPr>
        <w:tab/>
        <w:t>egyetemi docens</w:t>
      </w:r>
    </w:p>
    <w:p w:rsidR="00A56A1B" w:rsidRDefault="00A56A1B">
      <w:pPr>
        <w:spacing w:after="200" w:line="276" w:lineRule="auto"/>
      </w:pPr>
      <w:r>
        <w:br w:type="page"/>
      </w:r>
    </w:p>
    <w:tbl>
      <w:tblPr>
        <w:tblW w:w="9072" w:type="dxa"/>
        <w:tblInd w:w="113" w:type="dxa"/>
        <w:tblLook w:val="01E0" w:firstRow="1" w:lastRow="1" w:firstColumn="1" w:lastColumn="1" w:noHBand="0" w:noVBand="0"/>
      </w:tblPr>
      <w:tblGrid>
        <w:gridCol w:w="4855"/>
        <w:gridCol w:w="1620"/>
        <w:gridCol w:w="2597"/>
      </w:tblGrid>
      <w:tr w:rsidR="00335F04" w:rsidRPr="00335F04" w:rsidTr="007C0E71">
        <w:tc>
          <w:tcPr>
            <w:tcW w:w="4855" w:type="dxa"/>
            <w:tcBorders>
              <w:top w:val="nil"/>
              <w:left w:val="nil"/>
              <w:bottom w:val="single" w:sz="4" w:space="0" w:color="auto"/>
              <w:right w:val="nil"/>
            </w:tcBorders>
            <w:hideMark/>
          </w:tcPr>
          <w:p w:rsidR="00335F04" w:rsidRPr="00335F04" w:rsidRDefault="00335F04" w:rsidP="00335F04">
            <w:pPr>
              <w:spacing w:after="0" w:line="240" w:lineRule="auto"/>
              <w:jc w:val="center"/>
              <w:rPr>
                <w:rFonts w:ascii="Times New Roman" w:eastAsia="Times New Roman" w:hAnsi="Times New Roman" w:cs="Times New Roman"/>
                <w:b/>
                <w:smallCaps/>
                <w:lang w:eastAsia="hu-HU"/>
              </w:rPr>
            </w:pPr>
            <w:r w:rsidRPr="00335F04">
              <w:rPr>
                <w:rFonts w:ascii="Times New Roman" w:eastAsia="Times New Roman" w:hAnsi="Times New Roman" w:cs="Times New Roman"/>
                <w:b/>
                <w:smallCaps/>
                <w:lang w:eastAsia="hu-HU"/>
              </w:rPr>
              <w:lastRenderedPageBreak/>
              <w:t>Nemzeti Közszolgálati Egyetem</w:t>
            </w:r>
          </w:p>
        </w:tc>
        <w:tc>
          <w:tcPr>
            <w:tcW w:w="1620" w:type="dxa"/>
          </w:tcPr>
          <w:p w:rsidR="00335F04" w:rsidRPr="00335F04" w:rsidRDefault="00335F04" w:rsidP="00335F04">
            <w:pPr>
              <w:spacing w:after="0" w:line="240" w:lineRule="auto"/>
              <w:jc w:val="both"/>
              <w:rPr>
                <w:rFonts w:ascii="Times New Roman" w:eastAsia="Times New Roman" w:hAnsi="Times New Roman" w:cs="Times New Roman"/>
                <w:lang w:eastAsia="hu-HU"/>
              </w:rPr>
            </w:pPr>
          </w:p>
        </w:tc>
        <w:tc>
          <w:tcPr>
            <w:tcW w:w="2597" w:type="dxa"/>
          </w:tcPr>
          <w:p w:rsidR="00335F04" w:rsidRPr="00335F04" w:rsidRDefault="00335F04" w:rsidP="00335F04">
            <w:pPr>
              <w:spacing w:after="0" w:line="240" w:lineRule="auto"/>
              <w:jc w:val="right"/>
              <w:rPr>
                <w:rFonts w:ascii="Times New Roman" w:eastAsia="Times New Roman" w:hAnsi="Times New Roman" w:cs="Times New Roman"/>
                <w:lang w:eastAsia="hu-HU"/>
              </w:rPr>
            </w:pPr>
          </w:p>
        </w:tc>
      </w:tr>
      <w:tr w:rsidR="00335F04" w:rsidRPr="00335F04" w:rsidTr="007C0E71">
        <w:tc>
          <w:tcPr>
            <w:tcW w:w="4855" w:type="dxa"/>
            <w:tcBorders>
              <w:top w:val="single" w:sz="4" w:space="0" w:color="auto"/>
              <w:left w:val="nil"/>
              <w:bottom w:val="nil"/>
              <w:right w:val="nil"/>
            </w:tcBorders>
            <w:hideMark/>
          </w:tcPr>
          <w:p w:rsidR="00335F04" w:rsidRPr="00335F04" w:rsidRDefault="00335F04" w:rsidP="00335F04">
            <w:pPr>
              <w:spacing w:after="0" w:line="240" w:lineRule="auto"/>
              <w:jc w:val="center"/>
              <w:rPr>
                <w:rFonts w:ascii="Times New Roman" w:eastAsia="Times New Roman" w:hAnsi="Times New Roman" w:cs="Times New Roman"/>
                <w:b/>
                <w:lang w:eastAsia="hu-HU"/>
              </w:rPr>
            </w:pPr>
            <w:r w:rsidRPr="00335F04">
              <w:rPr>
                <w:rFonts w:ascii="Times New Roman" w:eastAsia="Times New Roman" w:hAnsi="Times New Roman" w:cs="Times New Roman"/>
                <w:b/>
                <w:lang w:eastAsia="hu-HU"/>
              </w:rPr>
              <w:t>Hadtudományi és Honvédtisztképző Kar</w:t>
            </w:r>
          </w:p>
        </w:tc>
        <w:tc>
          <w:tcPr>
            <w:tcW w:w="1620" w:type="dxa"/>
          </w:tcPr>
          <w:p w:rsidR="00335F04" w:rsidRPr="00335F04" w:rsidRDefault="00335F04" w:rsidP="00335F04">
            <w:pPr>
              <w:spacing w:after="0" w:line="240" w:lineRule="auto"/>
              <w:jc w:val="both"/>
              <w:rPr>
                <w:rFonts w:ascii="Times New Roman" w:eastAsia="Times New Roman" w:hAnsi="Times New Roman" w:cs="Times New Roman"/>
                <w:lang w:eastAsia="hu-HU"/>
              </w:rPr>
            </w:pPr>
          </w:p>
        </w:tc>
        <w:tc>
          <w:tcPr>
            <w:tcW w:w="2597" w:type="dxa"/>
          </w:tcPr>
          <w:p w:rsidR="00335F04" w:rsidRPr="00335F04" w:rsidRDefault="00335F04" w:rsidP="00335F04">
            <w:pPr>
              <w:spacing w:after="0" w:line="240" w:lineRule="auto"/>
              <w:jc w:val="both"/>
              <w:rPr>
                <w:rFonts w:ascii="Times New Roman" w:eastAsia="Times New Roman" w:hAnsi="Times New Roman" w:cs="Times New Roman"/>
                <w:lang w:eastAsia="hu-HU"/>
              </w:rPr>
            </w:pPr>
          </w:p>
        </w:tc>
      </w:tr>
    </w:tbl>
    <w:p w:rsidR="00335F04" w:rsidRPr="00335F04" w:rsidRDefault="00335F04" w:rsidP="00335F04">
      <w:pPr>
        <w:tabs>
          <w:tab w:val="right" w:pos="0"/>
          <w:tab w:val="center" w:pos="4819"/>
          <w:tab w:val="right" w:pos="9071"/>
        </w:tabs>
        <w:spacing w:after="0" w:line="240" w:lineRule="auto"/>
        <w:jc w:val="both"/>
        <w:rPr>
          <w:rFonts w:ascii="Times New Roman" w:eastAsia="Times New Roman" w:hAnsi="Times New Roman" w:cs="Times New Roman"/>
          <w:bCs/>
          <w:lang w:eastAsia="hu-HU"/>
        </w:rPr>
      </w:pPr>
    </w:p>
    <w:p w:rsidR="00335F04" w:rsidRPr="00335F04" w:rsidRDefault="00335F04" w:rsidP="00335F04">
      <w:pPr>
        <w:spacing w:before="120" w:after="120" w:line="240" w:lineRule="auto"/>
        <w:jc w:val="center"/>
        <w:rPr>
          <w:rFonts w:ascii="Times New Roman" w:eastAsia="Times New Roman" w:hAnsi="Times New Roman" w:cs="Times New Roman"/>
          <w:b/>
          <w:bCs/>
          <w:lang w:eastAsia="hu-HU"/>
        </w:rPr>
      </w:pPr>
      <w:r w:rsidRPr="00335F04">
        <w:rPr>
          <w:rFonts w:ascii="Times New Roman" w:eastAsia="Times New Roman" w:hAnsi="Times New Roman" w:cs="Times New Roman"/>
          <w:b/>
          <w:bCs/>
          <w:lang w:eastAsia="hu-HU"/>
        </w:rPr>
        <w:t>TANTÁRGYI PROGRAM</w:t>
      </w:r>
    </w:p>
    <w:p w:rsidR="00335F04" w:rsidRPr="00137B8A" w:rsidRDefault="00335F04" w:rsidP="00980876">
      <w:pPr>
        <w:numPr>
          <w:ilvl w:val="0"/>
          <w:numId w:val="708"/>
        </w:numPr>
        <w:tabs>
          <w:tab w:val="clear" w:pos="720"/>
          <w:tab w:val="center" w:pos="4536"/>
          <w:tab w:val="right" w:pos="9071"/>
        </w:tabs>
        <w:spacing w:before="120" w:after="120" w:line="240" w:lineRule="auto"/>
        <w:ind w:left="426" w:hanging="142"/>
        <w:jc w:val="both"/>
        <w:rPr>
          <w:rFonts w:ascii="Times New Roman" w:eastAsia="Times New Roman" w:hAnsi="Times New Roman" w:cs="Times New Roman"/>
          <w:b/>
          <w:bCs/>
          <w:lang w:eastAsia="hu-HU"/>
        </w:rPr>
      </w:pPr>
      <w:r w:rsidRPr="00137B8A">
        <w:rPr>
          <w:rFonts w:ascii="Times New Roman" w:eastAsia="Times New Roman" w:hAnsi="Times New Roman" w:cs="Times New Roman"/>
          <w:b/>
          <w:bCs/>
          <w:lang w:eastAsia="hu-HU"/>
        </w:rPr>
        <w:t xml:space="preserve">A tantárgy kódja: </w:t>
      </w:r>
      <w:r w:rsidRPr="00137B8A">
        <w:rPr>
          <w:rFonts w:ascii="Times New Roman" w:eastAsia="Times New Roman" w:hAnsi="Times New Roman" w:cs="Times New Roman"/>
          <w:bCs/>
          <w:lang w:eastAsia="hu-HU"/>
        </w:rPr>
        <w:t>HKHDTA26</w:t>
      </w:r>
    </w:p>
    <w:p w:rsidR="00335F04" w:rsidRPr="00137B8A" w:rsidRDefault="00335F04" w:rsidP="00980876">
      <w:pPr>
        <w:numPr>
          <w:ilvl w:val="0"/>
          <w:numId w:val="708"/>
        </w:numPr>
        <w:tabs>
          <w:tab w:val="clear" w:pos="720"/>
          <w:tab w:val="center" w:pos="4536"/>
          <w:tab w:val="right" w:pos="9071"/>
        </w:tabs>
        <w:spacing w:before="120" w:after="120" w:line="240" w:lineRule="auto"/>
        <w:ind w:left="426" w:hanging="142"/>
        <w:jc w:val="both"/>
        <w:rPr>
          <w:rFonts w:ascii="Times New Roman" w:eastAsia="Times New Roman" w:hAnsi="Times New Roman" w:cs="Times New Roman"/>
          <w:bCs/>
          <w:lang w:eastAsia="hu-HU"/>
        </w:rPr>
      </w:pPr>
      <w:r w:rsidRPr="00137B8A">
        <w:rPr>
          <w:rFonts w:ascii="Times New Roman" w:eastAsia="Times New Roman" w:hAnsi="Times New Roman" w:cs="Times New Roman"/>
          <w:b/>
          <w:bCs/>
          <w:lang w:eastAsia="hu-HU"/>
        </w:rPr>
        <w:t xml:space="preserve">A tantárgy megnevezése (magyarul): </w:t>
      </w:r>
      <w:r w:rsidRPr="00137B8A">
        <w:rPr>
          <w:rFonts w:ascii="Times New Roman" w:eastAsia="Times New Roman" w:hAnsi="Times New Roman" w:cs="Times New Roman"/>
          <w:lang w:eastAsia="hu-HU"/>
        </w:rPr>
        <w:t>Üzembentartás FV I.</w:t>
      </w:r>
    </w:p>
    <w:p w:rsidR="00335F04" w:rsidRPr="00335F04" w:rsidRDefault="00335F04" w:rsidP="00980876">
      <w:pPr>
        <w:numPr>
          <w:ilvl w:val="0"/>
          <w:numId w:val="708"/>
        </w:numPr>
        <w:tabs>
          <w:tab w:val="clear" w:pos="720"/>
          <w:tab w:val="center" w:pos="4536"/>
          <w:tab w:val="right" w:pos="9071"/>
        </w:tabs>
        <w:spacing w:before="120" w:after="120" w:line="240" w:lineRule="auto"/>
        <w:ind w:left="426" w:hanging="142"/>
        <w:jc w:val="both"/>
        <w:rPr>
          <w:rFonts w:ascii="Times New Roman" w:eastAsia="Times New Roman" w:hAnsi="Times New Roman" w:cs="Times New Roman"/>
          <w:bCs/>
          <w:lang w:eastAsia="hu-HU"/>
        </w:rPr>
      </w:pPr>
      <w:r w:rsidRPr="00335F04">
        <w:rPr>
          <w:rFonts w:ascii="Times New Roman" w:eastAsia="Times New Roman" w:hAnsi="Times New Roman" w:cs="Times New Roman"/>
          <w:b/>
          <w:bCs/>
          <w:lang w:eastAsia="hu-HU"/>
        </w:rPr>
        <w:t xml:space="preserve">A tantárgy megnevezése (angolul): </w:t>
      </w:r>
      <w:r w:rsidRPr="00335F04">
        <w:rPr>
          <w:rFonts w:ascii="Times New Roman" w:eastAsia="Times New Roman" w:hAnsi="Times New Roman" w:cs="Times New Roman"/>
          <w:bCs/>
          <w:lang w:eastAsia="hu-HU"/>
        </w:rPr>
        <w:t>Maintenance of Weapon Systems I.</w:t>
      </w:r>
    </w:p>
    <w:p w:rsidR="00335F04" w:rsidRPr="00335F04" w:rsidRDefault="00335F04" w:rsidP="00980876">
      <w:pPr>
        <w:numPr>
          <w:ilvl w:val="0"/>
          <w:numId w:val="708"/>
        </w:numPr>
        <w:tabs>
          <w:tab w:val="clear" w:pos="720"/>
          <w:tab w:val="center" w:pos="4536"/>
          <w:tab w:val="right" w:pos="9071"/>
        </w:tabs>
        <w:spacing w:before="120" w:after="120" w:line="240" w:lineRule="auto"/>
        <w:ind w:left="426" w:hanging="142"/>
        <w:jc w:val="both"/>
        <w:rPr>
          <w:rFonts w:ascii="Times New Roman" w:eastAsia="Times New Roman" w:hAnsi="Times New Roman" w:cs="Times New Roman"/>
          <w:bCs/>
          <w:lang w:eastAsia="hu-HU"/>
        </w:rPr>
      </w:pPr>
      <w:r w:rsidRPr="00335F04">
        <w:rPr>
          <w:rFonts w:ascii="Times New Roman" w:eastAsia="Times New Roman" w:hAnsi="Times New Roman" w:cs="Times New Roman"/>
          <w:b/>
          <w:bCs/>
          <w:lang w:eastAsia="hu-HU"/>
        </w:rPr>
        <w:t>Kreditérték és képzési karakter:</w:t>
      </w:r>
    </w:p>
    <w:p w:rsidR="00335F04" w:rsidRPr="00335F04" w:rsidRDefault="00335F04" w:rsidP="00980876">
      <w:pPr>
        <w:numPr>
          <w:ilvl w:val="1"/>
          <w:numId w:val="708"/>
        </w:numPr>
        <w:tabs>
          <w:tab w:val="clear" w:pos="3977"/>
          <w:tab w:val="right" w:pos="900"/>
          <w:tab w:val="num" w:pos="1425"/>
          <w:tab w:val="center" w:pos="4536"/>
          <w:tab w:val="right" w:pos="9071"/>
        </w:tabs>
        <w:spacing w:before="120" w:after="120" w:line="240" w:lineRule="auto"/>
        <w:ind w:left="1425"/>
        <w:rPr>
          <w:rFonts w:ascii="Times New Roman" w:eastAsia="Times New Roman" w:hAnsi="Times New Roman" w:cs="Times New Roman"/>
          <w:bCs/>
          <w:lang w:eastAsia="hu-HU"/>
        </w:rPr>
      </w:pPr>
      <w:r w:rsidRPr="00335F04">
        <w:rPr>
          <w:rFonts w:ascii="Times New Roman" w:eastAsia="Times New Roman" w:hAnsi="Times New Roman" w:cs="Times New Roman"/>
          <w:b/>
          <w:bCs/>
          <w:lang w:eastAsia="hu-HU"/>
        </w:rPr>
        <w:t xml:space="preserve"> </w:t>
      </w:r>
      <w:r w:rsidRPr="00335F04">
        <w:rPr>
          <w:rFonts w:ascii="Times New Roman" w:eastAsia="Times New Roman" w:hAnsi="Times New Roman" w:cs="Times New Roman"/>
          <w:bCs/>
          <w:lang w:eastAsia="hu-HU"/>
        </w:rPr>
        <w:t>5 kredit</w:t>
      </w:r>
    </w:p>
    <w:p w:rsidR="00335F04" w:rsidRPr="00335F04" w:rsidRDefault="00335F04" w:rsidP="00980876">
      <w:pPr>
        <w:numPr>
          <w:ilvl w:val="1"/>
          <w:numId w:val="708"/>
        </w:numPr>
        <w:tabs>
          <w:tab w:val="clear" w:pos="3977"/>
          <w:tab w:val="right" w:pos="900"/>
          <w:tab w:val="num" w:pos="1425"/>
          <w:tab w:val="center" w:pos="4536"/>
          <w:tab w:val="right" w:pos="9071"/>
        </w:tabs>
        <w:spacing w:before="120" w:after="120" w:line="240" w:lineRule="auto"/>
        <w:ind w:left="1425"/>
        <w:rPr>
          <w:rFonts w:ascii="Times New Roman" w:eastAsia="Times New Roman" w:hAnsi="Times New Roman" w:cs="Times New Roman"/>
          <w:bCs/>
          <w:lang w:eastAsia="hu-HU"/>
        </w:rPr>
      </w:pPr>
      <w:r w:rsidRPr="00335F04">
        <w:rPr>
          <w:rFonts w:ascii="Times New Roman" w:eastAsia="Times New Roman" w:hAnsi="Times New Roman" w:cs="Times New Roman"/>
          <w:bCs/>
          <w:lang w:eastAsia="hu-HU"/>
        </w:rPr>
        <w:t>a tantárgy elméleti vagy gyakorlati jellegének mértéke: 40 % gyakorlat, 60 % elmélet</w:t>
      </w:r>
    </w:p>
    <w:p w:rsidR="00335F04" w:rsidRPr="00335F04" w:rsidRDefault="00335F04" w:rsidP="00980876">
      <w:pPr>
        <w:numPr>
          <w:ilvl w:val="0"/>
          <w:numId w:val="708"/>
        </w:numPr>
        <w:tabs>
          <w:tab w:val="clear" w:pos="720"/>
          <w:tab w:val="center" w:pos="4536"/>
          <w:tab w:val="right" w:pos="9071"/>
        </w:tabs>
        <w:spacing w:before="120" w:after="120" w:line="240" w:lineRule="auto"/>
        <w:ind w:left="426" w:hanging="142"/>
        <w:jc w:val="both"/>
        <w:rPr>
          <w:rFonts w:ascii="Times New Roman" w:eastAsia="Times New Roman" w:hAnsi="Times New Roman" w:cs="Times New Roman"/>
          <w:bCs/>
          <w:lang w:eastAsia="hu-HU"/>
        </w:rPr>
      </w:pPr>
      <w:r w:rsidRPr="00335F04">
        <w:rPr>
          <w:rFonts w:ascii="Times New Roman" w:eastAsia="Times New Roman" w:hAnsi="Times New Roman" w:cs="Times New Roman"/>
          <w:b/>
          <w:bCs/>
          <w:lang w:eastAsia="hu-HU"/>
        </w:rPr>
        <w:t xml:space="preserve">A szak(ok), szakirányok/specializációk megnevezése (ahol oktatják): </w:t>
      </w:r>
      <w:r w:rsidRPr="00335F04">
        <w:rPr>
          <w:rFonts w:ascii="Times New Roman" w:eastAsia="Times New Roman" w:hAnsi="Times New Roman" w:cs="Times New Roman"/>
          <w:bCs/>
          <w:lang w:eastAsia="hu-HU"/>
        </w:rPr>
        <w:t>Katonai logisztika (</w:t>
      </w:r>
      <w:r w:rsidR="00137B8A">
        <w:rPr>
          <w:rFonts w:ascii="Times New Roman" w:eastAsia="Times New Roman" w:hAnsi="Times New Roman" w:cs="Times New Roman"/>
          <w:bCs/>
          <w:lang w:eastAsia="hu-HU"/>
        </w:rPr>
        <w:t>BSc</w:t>
      </w:r>
      <w:r w:rsidRPr="00335F04">
        <w:rPr>
          <w:rFonts w:ascii="Times New Roman" w:eastAsia="Times New Roman" w:hAnsi="Times New Roman" w:cs="Times New Roman"/>
          <w:bCs/>
          <w:lang w:eastAsia="hu-HU"/>
        </w:rPr>
        <w:t>) alapképzési szak, haditechnika specializáció, fegyverzettechnikai modul</w:t>
      </w:r>
    </w:p>
    <w:p w:rsidR="00335F04" w:rsidRPr="00335F04" w:rsidRDefault="00335F04" w:rsidP="00980876">
      <w:pPr>
        <w:numPr>
          <w:ilvl w:val="0"/>
          <w:numId w:val="708"/>
        </w:numPr>
        <w:tabs>
          <w:tab w:val="clear" w:pos="720"/>
          <w:tab w:val="center" w:pos="4536"/>
          <w:tab w:val="right" w:pos="9071"/>
        </w:tabs>
        <w:spacing w:before="120" w:after="120" w:line="240" w:lineRule="auto"/>
        <w:ind w:left="426" w:hanging="142"/>
        <w:jc w:val="both"/>
        <w:rPr>
          <w:rFonts w:ascii="Times New Roman" w:eastAsia="Times New Roman" w:hAnsi="Times New Roman" w:cs="Times New Roman"/>
          <w:bCs/>
          <w:lang w:eastAsia="hu-HU"/>
        </w:rPr>
      </w:pPr>
      <w:r w:rsidRPr="00335F04">
        <w:rPr>
          <w:rFonts w:ascii="Times New Roman" w:eastAsia="Times New Roman" w:hAnsi="Times New Roman" w:cs="Times New Roman"/>
          <w:b/>
          <w:bCs/>
          <w:lang w:eastAsia="hu-HU"/>
        </w:rPr>
        <w:tab/>
        <w:t xml:space="preserve">Az oktatásért felelős oktatási szervezeti egység megnevezése: </w:t>
      </w:r>
      <w:r w:rsidRPr="00335F04">
        <w:rPr>
          <w:rFonts w:ascii="Times New Roman" w:eastAsia="Times New Roman" w:hAnsi="Times New Roman" w:cs="Times New Roman"/>
          <w:bCs/>
          <w:lang w:eastAsia="hu-HU"/>
        </w:rPr>
        <w:t>NKE,</w:t>
      </w:r>
      <w:r w:rsidRPr="00335F04">
        <w:rPr>
          <w:rFonts w:ascii="Times New Roman" w:eastAsia="Times New Roman" w:hAnsi="Times New Roman" w:cs="Times New Roman"/>
          <w:b/>
          <w:bCs/>
          <w:lang w:eastAsia="hu-HU"/>
        </w:rPr>
        <w:t xml:space="preserve"> </w:t>
      </w:r>
      <w:r w:rsidRPr="00335F04">
        <w:rPr>
          <w:rFonts w:ascii="Times New Roman" w:eastAsia="Times New Roman" w:hAnsi="Times New Roman" w:cs="Times New Roman"/>
          <w:bCs/>
          <w:lang w:eastAsia="hu-HU"/>
        </w:rPr>
        <w:t>Hadtudományi és Honvédtisztképző Kar, Haditechnikai Tanszék</w:t>
      </w:r>
    </w:p>
    <w:p w:rsidR="00335F04" w:rsidRPr="00335F04" w:rsidRDefault="00335F04" w:rsidP="00980876">
      <w:pPr>
        <w:numPr>
          <w:ilvl w:val="0"/>
          <w:numId w:val="708"/>
        </w:numPr>
        <w:tabs>
          <w:tab w:val="clear" w:pos="720"/>
          <w:tab w:val="center" w:pos="4536"/>
          <w:tab w:val="right" w:pos="9071"/>
        </w:tabs>
        <w:spacing w:before="120" w:after="120" w:line="240" w:lineRule="auto"/>
        <w:ind w:left="426" w:hanging="142"/>
        <w:jc w:val="both"/>
        <w:rPr>
          <w:rFonts w:ascii="Times New Roman" w:eastAsia="Times New Roman" w:hAnsi="Times New Roman" w:cs="Times New Roman"/>
          <w:bCs/>
          <w:lang w:eastAsia="hu-HU"/>
        </w:rPr>
      </w:pPr>
      <w:r w:rsidRPr="00335F04">
        <w:rPr>
          <w:rFonts w:ascii="Times New Roman" w:eastAsia="Times New Roman" w:hAnsi="Times New Roman" w:cs="Times New Roman"/>
          <w:b/>
          <w:bCs/>
          <w:lang w:eastAsia="hu-HU"/>
        </w:rPr>
        <w:t xml:space="preserve">A tantárgyfelelős oktató neve, beosztása, tudományos fokozata: </w:t>
      </w:r>
      <w:r w:rsidRPr="00335F04">
        <w:rPr>
          <w:rFonts w:ascii="Times New Roman" w:eastAsia="Times New Roman" w:hAnsi="Times New Roman" w:cs="Times New Roman"/>
          <w:bCs/>
          <w:lang w:eastAsia="hu-HU"/>
        </w:rPr>
        <w:t>Dr. Gyarmati József PhD, egyetemi docens</w:t>
      </w:r>
    </w:p>
    <w:p w:rsidR="00335F04" w:rsidRPr="00335F04" w:rsidRDefault="00335F04" w:rsidP="00980876">
      <w:pPr>
        <w:numPr>
          <w:ilvl w:val="0"/>
          <w:numId w:val="708"/>
        </w:numPr>
        <w:tabs>
          <w:tab w:val="clear" w:pos="720"/>
          <w:tab w:val="center" w:pos="4536"/>
          <w:tab w:val="right" w:pos="9071"/>
        </w:tabs>
        <w:spacing w:before="120" w:after="120" w:line="240" w:lineRule="auto"/>
        <w:ind w:left="426" w:hanging="142"/>
        <w:jc w:val="both"/>
        <w:rPr>
          <w:rFonts w:ascii="Times New Roman" w:eastAsia="Times New Roman" w:hAnsi="Times New Roman" w:cs="Times New Roman"/>
          <w:b/>
          <w:lang w:eastAsia="hu-HU"/>
        </w:rPr>
      </w:pPr>
      <w:r w:rsidRPr="00335F04">
        <w:rPr>
          <w:rFonts w:ascii="Times New Roman" w:eastAsia="Times New Roman" w:hAnsi="Times New Roman" w:cs="Times New Roman"/>
          <w:b/>
          <w:bCs/>
          <w:lang w:eastAsia="hu-HU"/>
        </w:rPr>
        <w:t xml:space="preserve">A tanórák száma </w:t>
      </w:r>
      <w:r w:rsidRPr="00335F04">
        <w:rPr>
          <w:rFonts w:ascii="Times New Roman" w:eastAsia="Times New Roman" w:hAnsi="Times New Roman" w:cs="Times New Roman"/>
          <w:b/>
          <w:lang w:eastAsia="hu-HU"/>
        </w:rPr>
        <w:t>(előadás + szeminárium + gyakorlat)</w:t>
      </w:r>
    </w:p>
    <w:p w:rsidR="00335F04" w:rsidRPr="00335F04" w:rsidRDefault="00335F04" w:rsidP="00980876">
      <w:pPr>
        <w:numPr>
          <w:ilvl w:val="1"/>
          <w:numId w:val="708"/>
        </w:numPr>
        <w:tabs>
          <w:tab w:val="clear" w:pos="3977"/>
          <w:tab w:val="num" w:pos="1425"/>
        </w:tabs>
        <w:spacing w:before="120" w:after="120" w:line="240" w:lineRule="auto"/>
        <w:ind w:left="567" w:firstLine="0"/>
        <w:jc w:val="both"/>
        <w:rPr>
          <w:rFonts w:ascii="Times New Roman" w:eastAsia="Times New Roman" w:hAnsi="Times New Roman" w:cs="Times New Roman"/>
          <w:bCs/>
          <w:lang w:eastAsia="hu-HU"/>
        </w:rPr>
      </w:pPr>
      <w:r w:rsidRPr="00335F04">
        <w:rPr>
          <w:rFonts w:ascii="Times New Roman" w:eastAsia="Times New Roman" w:hAnsi="Times New Roman" w:cs="Times New Roman"/>
          <w:bCs/>
          <w:lang w:eastAsia="hu-HU"/>
        </w:rPr>
        <w:t>össz óraszám/félév: 70</w:t>
      </w:r>
    </w:p>
    <w:p w:rsidR="00335F04" w:rsidRPr="00335F04" w:rsidRDefault="00335F04" w:rsidP="00980876">
      <w:pPr>
        <w:numPr>
          <w:ilvl w:val="2"/>
          <w:numId w:val="708"/>
        </w:numPr>
        <w:tabs>
          <w:tab w:val="clear" w:pos="1800"/>
          <w:tab w:val="right" w:pos="900"/>
          <w:tab w:val="num" w:pos="1724"/>
          <w:tab w:val="num" w:pos="1843"/>
        </w:tabs>
        <w:spacing w:after="0" w:line="240" w:lineRule="auto"/>
        <w:ind w:left="851" w:firstLine="0"/>
        <w:jc w:val="both"/>
        <w:rPr>
          <w:rFonts w:ascii="Times New Roman" w:eastAsia="Times New Roman" w:hAnsi="Times New Roman" w:cs="Times New Roman"/>
          <w:bCs/>
          <w:lang w:eastAsia="hu-HU"/>
        </w:rPr>
      </w:pPr>
      <w:r w:rsidRPr="00335F04">
        <w:rPr>
          <w:rFonts w:ascii="Times New Roman" w:eastAsia="Times New Roman" w:hAnsi="Times New Roman" w:cs="Times New Roman"/>
          <w:bCs/>
          <w:lang w:eastAsia="hu-HU"/>
        </w:rPr>
        <w:t>Nappali munkarend: 70 (42 EA+ 0 SZ + 28 GY)</w:t>
      </w:r>
    </w:p>
    <w:p w:rsidR="00335F04" w:rsidRPr="00335F04" w:rsidRDefault="00335F04" w:rsidP="00980876">
      <w:pPr>
        <w:numPr>
          <w:ilvl w:val="2"/>
          <w:numId w:val="708"/>
        </w:numPr>
        <w:tabs>
          <w:tab w:val="clear" w:pos="1800"/>
          <w:tab w:val="right" w:pos="900"/>
          <w:tab w:val="num" w:pos="1724"/>
          <w:tab w:val="num" w:pos="1843"/>
        </w:tabs>
        <w:spacing w:after="0" w:line="240" w:lineRule="auto"/>
        <w:ind w:left="851" w:firstLine="0"/>
        <w:jc w:val="both"/>
        <w:rPr>
          <w:rFonts w:ascii="Times New Roman" w:eastAsia="Times New Roman" w:hAnsi="Times New Roman" w:cs="Times New Roman"/>
          <w:bCs/>
          <w:lang w:eastAsia="hu-HU"/>
        </w:rPr>
      </w:pPr>
      <w:r w:rsidRPr="00335F04">
        <w:rPr>
          <w:rFonts w:ascii="Times New Roman" w:eastAsia="Times New Roman" w:hAnsi="Times New Roman" w:cs="Times New Roman"/>
          <w:bCs/>
          <w:lang w:eastAsia="hu-HU"/>
        </w:rPr>
        <w:t>Levelező munkarend: -</w:t>
      </w:r>
    </w:p>
    <w:p w:rsidR="00335F04" w:rsidRPr="00335F04" w:rsidRDefault="00335F04" w:rsidP="00980876">
      <w:pPr>
        <w:numPr>
          <w:ilvl w:val="1"/>
          <w:numId w:val="708"/>
        </w:numPr>
        <w:tabs>
          <w:tab w:val="clear" w:pos="3977"/>
          <w:tab w:val="num" w:pos="1425"/>
        </w:tabs>
        <w:spacing w:before="120" w:after="120" w:line="240" w:lineRule="auto"/>
        <w:ind w:left="567" w:firstLine="0"/>
        <w:jc w:val="both"/>
        <w:rPr>
          <w:rFonts w:ascii="Times New Roman" w:eastAsia="Times New Roman" w:hAnsi="Times New Roman" w:cs="Times New Roman"/>
          <w:bCs/>
          <w:lang w:eastAsia="hu-HU"/>
        </w:rPr>
      </w:pPr>
      <w:r w:rsidRPr="00335F04">
        <w:rPr>
          <w:rFonts w:ascii="Times New Roman" w:eastAsia="Times New Roman" w:hAnsi="Times New Roman" w:cs="Times New Roman"/>
          <w:bCs/>
          <w:lang w:eastAsia="hu-HU"/>
        </w:rPr>
        <w:t>heti óraszám nappali munkarend: 5 (</w:t>
      </w:r>
      <w:r w:rsidR="00590C84">
        <w:rPr>
          <w:rFonts w:ascii="Times New Roman" w:eastAsia="Times New Roman" w:hAnsi="Times New Roman" w:cs="Times New Roman"/>
          <w:bCs/>
          <w:lang w:eastAsia="hu-HU"/>
        </w:rPr>
        <w:t>3</w:t>
      </w:r>
      <w:r w:rsidRPr="00335F04">
        <w:rPr>
          <w:rFonts w:ascii="Times New Roman" w:eastAsia="Times New Roman" w:hAnsi="Times New Roman" w:cs="Times New Roman"/>
          <w:bCs/>
          <w:lang w:eastAsia="hu-HU"/>
        </w:rPr>
        <w:t xml:space="preserve"> + </w:t>
      </w:r>
      <w:r w:rsidR="00590C84">
        <w:rPr>
          <w:rFonts w:ascii="Times New Roman" w:eastAsia="Times New Roman" w:hAnsi="Times New Roman" w:cs="Times New Roman"/>
          <w:bCs/>
          <w:lang w:eastAsia="hu-HU"/>
        </w:rPr>
        <w:t>2</w:t>
      </w:r>
      <w:r w:rsidRPr="00335F04">
        <w:rPr>
          <w:rFonts w:ascii="Times New Roman" w:eastAsia="Times New Roman" w:hAnsi="Times New Roman" w:cs="Times New Roman"/>
          <w:bCs/>
          <w:lang w:eastAsia="hu-HU"/>
        </w:rPr>
        <w:t>)</w:t>
      </w:r>
    </w:p>
    <w:p w:rsidR="00335F04" w:rsidRPr="00335F04" w:rsidRDefault="00335F04" w:rsidP="00980876">
      <w:pPr>
        <w:numPr>
          <w:ilvl w:val="1"/>
          <w:numId w:val="708"/>
        </w:numPr>
        <w:tabs>
          <w:tab w:val="clear" w:pos="3977"/>
          <w:tab w:val="num" w:pos="1425"/>
        </w:tabs>
        <w:spacing w:before="120" w:after="120" w:line="240" w:lineRule="auto"/>
        <w:ind w:left="567" w:firstLine="0"/>
        <w:jc w:val="both"/>
        <w:rPr>
          <w:rFonts w:ascii="Times New Roman" w:eastAsia="Times New Roman" w:hAnsi="Times New Roman" w:cs="Times New Roman"/>
          <w:bCs/>
          <w:lang w:eastAsia="hu-HU"/>
        </w:rPr>
      </w:pPr>
      <w:r w:rsidRPr="00335F04">
        <w:rPr>
          <w:rFonts w:ascii="Times New Roman" w:eastAsia="Times New Roman" w:hAnsi="Times New Roman" w:cs="Times New Roman"/>
          <w:bCs/>
          <w:lang w:eastAsia="hu-HU"/>
        </w:rPr>
        <w:t>Az ismeret átadásában alkalmazandó további sajátos módok, jellemzők: vegyes tanulási program (blended learning)</w:t>
      </w:r>
    </w:p>
    <w:p w:rsidR="00335F04" w:rsidRPr="00335F04" w:rsidRDefault="00335F04" w:rsidP="00980876">
      <w:pPr>
        <w:numPr>
          <w:ilvl w:val="0"/>
          <w:numId w:val="708"/>
        </w:numPr>
        <w:tabs>
          <w:tab w:val="clear" w:pos="720"/>
          <w:tab w:val="center" w:pos="4536"/>
          <w:tab w:val="right" w:pos="9071"/>
        </w:tabs>
        <w:spacing w:before="120" w:after="120" w:line="240" w:lineRule="auto"/>
        <w:ind w:left="426" w:hanging="142"/>
        <w:jc w:val="both"/>
        <w:rPr>
          <w:rFonts w:ascii="Times New Roman" w:eastAsia="Times New Roman" w:hAnsi="Times New Roman" w:cs="Times New Roman"/>
          <w:lang w:eastAsia="hu-HU"/>
        </w:rPr>
      </w:pPr>
      <w:r w:rsidRPr="00335F04">
        <w:rPr>
          <w:rFonts w:ascii="Times New Roman" w:eastAsia="Times New Roman" w:hAnsi="Times New Roman" w:cs="Times New Roman"/>
          <w:b/>
          <w:bCs/>
          <w:lang w:eastAsia="hu-HU"/>
        </w:rPr>
        <w:t xml:space="preserve">A tantárgy szakmai tartalma (magyarul): </w:t>
      </w:r>
      <w:r w:rsidRPr="00335F04">
        <w:rPr>
          <w:rFonts w:ascii="Times New Roman" w:eastAsia="Times New Roman" w:hAnsi="Times New Roman" w:cs="Times New Roman"/>
          <w:lang w:eastAsia="hu-HU"/>
        </w:rPr>
        <w:t>Meghibásodás elméleti alapismeretek. A meghibásodási tényező, a hibamentes működés valószínűsége, a meghibásodás valószínűsége, az élettartam görbe fogalma, egymás közötti kapcsolataik. Összetett berendezések eredő meghibásodási jellemzői. Az élettartam görbe szakaszai, az igénybevételek típusai a haditechnikai eszközök esetében. A hibakeresés elmélete. Hibakeresési gyakorlatok általánosított tömbvázlatokon. Felületvédelem. Mechanikai, optikai szerkezetek, elektromos szerelvények tisztításának szabályai. Kenési rendszerek, szabványos kenőanyagok. Lövészfegyvereknél leggyakrabban előforduló hibák, azok javítási technológiái. A MH-ben rendszeresített lövészfegyverek technikai kiszolgálásának rendszabályai, technikai kiszolgálások végrehajtása, dokumentálása. Lövészfegyvereknél alkalmazott felület és korrózióvédelmi eljárások és anyagok. Lövészfegyverek tárolásba helyezése. Lövészfegyverek átszerelése. Lövészfegyverek beszabályozása, hideg és meleg belövése. A lövegek technikai kiszolgálásának rendszere. A lövegek szerkezeti elemeinek meghibásodási lehetőségei. Hibafelderítés és hibajavítási módszerek és technológiák. A javítások és ellenőrzések okmányolása. A MH-ben rendszeresített tüzérségi eszközök technikai kiszolgálásának rendszabályai, technikai kiszolgálások végrehajtása, dokumentálása.</w:t>
      </w:r>
    </w:p>
    <w:p w:rsidR="00335F04" w:rsidRPr="00335F04" w:rsidRDefault="00335F04" w:rsidP="00A56A1B">
      <w:pPr>
        <w:tabs>
          <w:tab w:val="center" w:pos="4536"/>
          <w:tab w:val="right" w:pos="9071"/>
        </w:tabs>
        <w:spacing w:before="120" w:after="120" w:line="240" w:lineRule="auto"/>
        <w:ind w:left="426"/>
        <w:jc w:val="both"/>
        <w:rPr>
          <w:rFonts w:ascii="Times New Roman" w:eastAsia="Times New Roman" w:hAnsi="Times New Roman" w:cs="Times New Roman"/>
          <w:b/>
          <w:bCs/>
          <w:lang w:eastAsia="hu-HU"/>
        </w:rPr>
      </w:pPr>
      <w:r w:rsidRPr="00335F04">
        <w:rPr>
          <w:rFonts w:ascii="Times New Roman" w:eastAsia="Times New Roman" w:hAnsi="Times New Roman" w:cs="Times New Roman"/>
          <w:b/>
          <w:bCs/>
          <w:lang w:eastAsia="hu-HU"/>
        </w:rPr>
        <w:t xml:space="preserve">A tantárgy szakmai tartalma (angolul) (Course description): </w:t>
      </w:r>
      <w:r w:rsidRPr="00335F04">
        <w:rPr>
          <w:rFonts w:ascii="Times New Roman" w:eastAsia="Times New Roman" w:hAnsi="Times New Roman" w:cs="Times New Roman"/>
          <w:lang w:eastAsia="hu-HU"/>
        </w:rPr>
        <w:t xml:space="preserve">Basic theory of failure. The failure factor, the probability of a fault-free operation, the probability of a failure, the concept of the lifetime curve, and the relationships between them. Resulting failure characteristics of complex equipment. Life cycle curves, types of stresses for military equipment. Debugging theory. Debugging Practices on Generalized Block Sketches. Surface protection. Rules for cleaning mechanical, optical structures, electrical fittings. Lubrication systems, standard lubricants. The most common mistakes in firearms, their repair technologies. Rules of technical service of firearms regularized in the MH, execution and documentation of technical services. </w:t>
      </w:r>
      <w:r w:rsidRPr="00335F04">
        <w:rPr>
          <w:rFonts w:ascii="Times New Roman" w:eastAsia="Times New Roman" w:hAnsi="Times New Roman" w:cs="Times New Roman"/>
          <w:lang w:eastAsia="hu-HU"/>
        </w:rPr>
        <w:lastRenderedPageBreak/>
        <w:t>Surface and corrosion protection methods and materials used in firearms. Storage of firearms. Reloading of firearms. Gun control, hot and cold firing. The system of technical service of guns. Possibilities of malfunctioning of structural elements of guns. Error detection and error correction methods and technologies. Documentation of repairs and inspections. Rules of the technical service of artillery equipment provided in the HDF, execution and documentation of technical services.</w:t>
      </w:r>
    </w:p>
    <w:p w:rsidR="00335F04" w:rsidRPr="00335F04" w:rsidRDefault="00335F04" w:rsidP="00980876">
      <w:pPr>
        <w:numPr>
          <w:ilvl w:val="0"/>
          <w:numId w:val="708"/>
        </w:numPr>
        <w:tabs>
          <w:tab w:val="clear" w:pos="720"/>
          <w:tab w:val="center" w:pos="4536"/>
          <w:tab w:val="right" w:pos="9071"/>
        </w:tabs>
        <w:spacing w:before="120" w:after="120" w:line="240" w:lineRule="auto"/>
        <w:ind w:left="426" w:hanging="142"/>
        <w:jc w:val="both"/>
        <w:rPr>
          <w:rFonts w:ascii="Times New Roman" w:eastAsia="Times New Roman" w:hAnsi="Times New Roman" w:cs="Times New Roman"/>
          <w:b/>
          <w:bCs/>
          <w:lang w:eastAsia="hu-HU"/>
        </w:rPr>
      </w:pPr>
      <w:r w:rsidRPr="00335F04">
        <w:rPr>
          <w:rFonts w:ascii="Times New Roman" w:eastAsia="Times New Roman" w:hAnsi="Times New Roman" w:cs="Times New Roman"/>
          <w:b/>
          <w:bCs/>
          <w:lang w:eastAsia="hu-HU"/>
        </w:rPr>
        <w:t>Elérendő kompetenciák (magyarul)</w:t>
      </w:r>
    </w:p>
    <w:p w:rsidR="00335F04" w:rsidRPr="00335F04" w:rsidRDefault="00335F04" w:rsidP="00A56A1B">
      <w:pPr>
        <w:autoSpaceDE w:val="0"/>
        <w:autoSpaceDN w:val="0"/>
        <w:adjustRightInd w:val="0"/>
        <w:spacing w:before="120" w:after="0" w:line="240" w:lineRule="auto"/>
        <w:ind w:left="646"/>
        <w:jc w:val="both"/>
        <w:rPr>
          <w:rFonts w:ascii="Times New Roman" w:eastAsia="Times New Roman" w:hAnsi="Times New Roman" w:cs="Times New Roman"/>
          <w:b/>
          <w:color w:val="000000"/>
          <w:lang w:eastAsia="hu-HU"/>
        </w:rPr>
      </w:pPr>
      <w:r w:rsidRPr="00335F04">
        <w:rPr>
          <w:rFonts w:ascii="Times New Roman" w:eastAsia="Times New Roman" w:hAnsi="Times New Roman" w:cs="Times New Roman"/>
          <w:b/>
          <w:color w:val="000000"/>
          <w:lang w:eastAsia="hu-HU"/>
        </w:rPr>
        <w:t>Tudása:</w:t>
      </w:r>
    </w:p>
    <w:p w:rsidR="00335F04" w:rsidRPr="00335F04" w:rsidRDefault="00335F04"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335F04">
        <w:rPr>
          <w:rFonts w:ascii="Times New Roman" w:eastAsia="Times New Roman" w:hAnsi="Times New Roman" w:cs="Times New Roman"/>
          <w:color w:val="000000"/>
          <w:lang w:eastAsia="hu-HU"/>
        </w:rPr>
        <w:t>Megfelelő műszaki alapokkal rendelkezik, amelyek biztosítják az új ismeretek elsajátítását.</w:t>
      </w:r>
    </w:p>
    <w:p w:rsidR="00335F04" w:rsidRPr="00335F04" w:rsidRDefault="00335F04"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335F04">
        <w:rPr>
          <w:rFonts w:ascii="Times New Roman" w:eastAsia="Times New Roman" w:hAnsi="Times New Roman" w:cs="Times New Roman"/>
          <w:color w:val="000000"/>
          <w:lang w:eastAsia="hu-HU"/>
        </w:rPr>
        <w:t>Ismeri a fegyverzettechnikai eszközök ellátáshoz és fenntartásához szükséges anyagok körét.</w:t>
      </w:r>
    </w:p>
    <w:p w:rsidR="00335F04" w:rsidRPr="00335F04" w:rsidRDefault="00335F04"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335F04">
        <w:rPr>
          <w:rFonts w:ascii="Times New Roman" w:eastAsia="Times New Roman" w:hAnsi="Times New Roman" w:cs="Times New Roman"/>
          <w:color w:val="000000"/>
          <w:lang w:eastAsia="hu-HU"/>
        </w:rPr>
        <w:t>Ismeri a szakfeladatainak ellátásához szükséges munkavédelmi rendszabályokat.</w:t>
      </w:r>
    </w:p>
    <w:p w:rsidR="00335F04" w:rsidRPr="00335F04" w:rsidRDefault="00335F04"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335F04">
        <w:rPr>
          <w:rFonts w:ascii="Times New Roman" w:eastAsia="Times New Roman" w:hAnsi="Times New Roman" w:cs="Times New Roman"/>
          <w:color w:val="000000"/>
          <w:lang w:eastAsia="hu-HU"/>
        </w:rPr>
        <w:t>Megfelelő mélységű és spektrumú fegyverzettechnikai típusismerettel rendelkezik.</w:t>
      </w:r>
    </w:p>
    <w:p w:rsidR="00335F04" w:rsidRPr="00335F04" w:rsidRDefault="00335F04" w:rsidP="00A56A1B">
      <w:pPr>
        <w:autoSpaceDE w:val="0"/>
        <w:autoSpaceDN w:val="0"/>
        <w:adjustRightInd w:val="0"/>
        <w:spacing w:before="120" w:after="0" w:line="240" w:lineRule="auto"/>
        <w:ind w:left="646"/>
        <w:jc w:val="both"/>
        <w:rPr>
          <w:rFonts w:ascii="Times New Roman" w:eastAsia="Times New Roman" w:hAnsi="Times New Roman" w:cs="Times New Roman"/>
          <w:b/>
          <w:color w:val="000000"/>
          <w:lang w:eastAsia="hu-HU"/>
        </w:rPr>
      </w:pPr>
      <w:r w:rsidRPr="00335F04">
        <w:rPr>
          <w:rFonts w:ascii="Times New Roman" w:eastAsia="Times New Roman" w:hAnsi="Times New Roman" w:cs="Times New Roman"/>
          <w:b/>
          <w:color w:val="000000"/>
          <w:lang w:eastAsia="hu-HU"/>
        </w:rPr>
        <w:t>Képességei:</w:t>
      </w:r>
    </w:p>
    <w:p w:rsidR="00335F04" w:rsidRPr="00335F04" w:rsidRDefault="00335F04"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335F04">
        <w:rPr>
          <w:rFonts w:ascii="Times New Roman" w:eastAsia="Times New Roman" w:hAnsi="Times New Roman" w:cs="Times New Roman"/>
          <w:color w:val="000000"/>
          <w:lang w:eastAsia="hu-HU"/>
        </w:rPr>
        <w:t>Képes a szakterületén rendszeresített és használt berendezések és technikai eszközök használatának megszervezésére és hatékony alkalmazására.</w:t>
      </w:r>
    </w:p>
    <w:p w:rsidR="00335F04" w:rsidRPr="00335F04" w:rsidRDefault="00335F04"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335F04">
        <w:rPr>
          <w:rFonts w:ascii="Times New Roman" w:eastAsia="Times New Roman" w:hAnsi="Times New Roman" w:cs="Times New Roman"/>
          <w:color w:val="000000"/>
          <w:lang w:eastAsia="hu-HU"/>
        </w:rPr>
        <w:t>Képes a megtanultakat felhasználva a szakterületén felmerülő új műszaki információkat megérteni és megtanulni.</w:t>
      </w:r>
    </w:p>
    <w:p w:rsidR="00335F04" w:rsidRPr="00A56A1B" w:rsidRDefault="00335F04" w:rsidP="00A56A1B">
      <w:pPr>
        <w:autoSpaceDE w:val="0"/>
        <w:autoSpaceDN w:val="0"/>
        <w:adjustRightInd w:val="0"/>
        <w:spacing w:before="120" w:after="0" w:line="240" w:lineRule="auto"/>
        <w:ind w:left="646"/>
        <w:jc w:val="both"/>
        <w:rPr>
          <w:rFonts w:ascii="Times New Roman" w:eastAsia="Times New Roman" w:hAnsi="Times New Roman" w:cs="Times New Roman"/>
          <w:b/>
          <w:color w:val="000000"/>
          <w:lang w:eastAsia="hu-HU"/>
        </w:rPr>
      </w:pPr>
      <w:r w:rsidRPr="00A56A1B">
        <w:rPr>
          <w:rFonts w:ascii="Times New Roman" w:eastAsia="Times New Roman" w:hAnsi="Times New Roman" w:cs="Times New Roman"/>
          <w:b/>
          <w:color w:val="000000"/>
          <w:lang w:eastAsia="hu-HU"/>
        </w:rPr>
        <w:t>Attitüdje:</w:t>
      </w:r>
    </w:p>
    <w:p w:rsidR="00335F04" w:rsidRPr="00335F04" w:rsidRDefault="00335F04"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335F04">
        <w:rPr>
          <w:rFonts w:ascii="Times New Roman" w:eastAsia="Times New Roman" w:hAnsi="Times New Roman" w:cs="Times New Roman"/>
          <w:color w:val="000000"/>
          <w:lang w:eastAsia="hu-HU"/>
        </w:rPr>
        <w:t>Nyitott a fegyverzettechnikával kapcsolatos szakmai ismereteinek gyarapítása iránt, folyamatos önképzési igény jellemzi.</w:t>
      </w:r>
    </w:p>
    <w:p w:rsidR="00335F04" w:rsidRPr="00335F04" w:rsidRDefault="00335F04"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335F04">
        <w:rPr>
          <w:rFonts w:ascii="Times New Roman" w:eastAsia="Times New Roman" w:hAnsi="Times New Roman" w:cs="Times New Roman"/>
          <w:color w:val="000000"/>
          <w:lang w:eastAsia="hu-HU"/>
        </w:rPr>
        <w:t xml:space="preserve">Nyitott szakterülete új eredményei felé, törekszik azok megismerésére. </w:t>
      </w:r>
    </w:p>
    <w:p w:rsidR="00335F04" w:rsidRPr="00A56A1B" w:rsidRDefault="00335F04" w:rsidP="00A56A1B">
      <w:pPr>
        <w:autoSpaceDE w:val="0"/>
        <w:autoSpaceDN w:val="0"/>
        <w:adjustRightInd w:val="0"/>
        <w:spacing w:before="120" w:after="0" w:line="240" w:lineRule="auto"/>
        <w:ind w:left="646"/>
        <w:jc w:val="both"/>
        <w:rPr>
          <w:rFonts w:ascii="Times New Roman" w:eastAsia="Times New Roman" w:hAnsi="Times New Roman" w:cs="Times New Roman"/>
          <w:b/>
          <w:color w:val="000000"/>
          <w:lang w:eastAsia="hu-HU"/>
        </w:rPr>
      </w:pPr>
      <w:r w:rsidRPr="00A56A1B">
        <w:rPr>
          <w:rFonts w:ascii="Times New Roman" w:eastAsia="Times New Roman" w:hAnsi="Times New Roman" w:cs="Times New Roman"/>
          <w:b/>
          <w:color w:val="000000"/>
          <w:lang w:eastAsia="hu-HU"/>
        </w:rPr>
        <w:t>Autonómiája és felelőssége:</w:t>
      </w:r>
    </w:p>
    <w:p w:rsidR="00335F04" w:rsidRPr="00335F04" w:rsidRDefault="00335F04"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335F04">
        <w:rPr>
          <w:rFonts w:ascii="Times New Roman" w:eastAsia="Times New Roman" w:hAnsi="Times New Roman" w:cs="Times New Roman"/>
          <w:color w:val="000000"/>
          <w:lang w:eastAsia="hu-HU"/>
        </w:rPr>
        <w:t>Képes szakfeladatait önállóan végezni, saját munkáját hatékonyan megszervezni és végrehajtani.</w:t>
      </w:r>
    </w:p>
    <w:p w:rsidR="00335F04" w:rsidRPr="00335F04" w:rsidRDefault="00335F04"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335F04">
        <w:rPr>
          <w:rFonts w:ascii="Times New Roman" w:eastAsia="Times New Roman" w:hAnsi="Times New Roman" w:cs="Times New Roman"/>
          <w:color w:val="000000"/>
          <w:lang w:eastAsia="hu-HU"/>
        </w:rPr>
        <w:t>Együttműködés és felelősség jellemzi szakterületének szakembereivel szemben.</w:t>
      </w:r>
    </w:p>
    <w:p w:rsidR="00335F04" w:rsidRPr="00335F04" w:rsidRDefault="00335F04"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335F04">
        <w:rPr>
          <w:rFonts w:ascii="Times New Roman" w:eastAsia="Times New Roman" w:hAnsi="Times New Roman" w:cs="Times New Roman"/>
          <w:color w:val="000000"/>
          <w:lang w:eastAsia="hu-HU"/>
        </w:rPr>
        <w:t>Szakterületén belül képes rendszer-szemléletűen gondolkodni.</w:t>
      </w:r>
    </w:p>
    <w:p w:rsidR="00335F04" w:rsidRPr="00335F04" w:rsidRDefault="00335F04" w:rsidP="00335F04">
      <w:pPr>
        <w:autoSpaceDE w:val="0"/>
        <w:autoSpaceDN w:val="0"/>
        <w:adjustRightInd w:val="0"/>
        <w:spacing w:before="120" w:after="120" w:line="240" w:lineRule="auto"/>
        <w:ind w:left="644"/>
        <w:jc w:val="both"/>
        <w:rPr>
          <w:rFonts w:ascii="Times New Roman" w:eastAsia="Times New Roman" w:hAnsi="Times New Roman" w:cs="Times New Roman"/>
          <w:b/>
          <w:bCs/>
          <w:color w:val="000000"/>
          <w:lang w:eastAsia="hu-HU"/>
        </w:rPr>
      </w:pPr>
      <w:r w:rsidRPr="00335F04">
        <w:rPr>
          <w:rFonts w:ascii="Times New Roman" w:eastAsia="Times New Roman" w:hAnsi="Times New Roman" w:cs="Times New Roman"/>
          <w:b/>
          <w:bCs/>
          <w:color w:val="000000"/>
          <w:lang w:eastAsia="hu-HU"/>
        </w:rPr>
        <w:t>Elérendő kompetenciák (angolul):</w:t>
      </w:r>
    </w:p>
    <w:p w:rsidR="00335F04" w:rsidRPr="00A56A1B" w:rsidRDefault="00335F04" w:rsidP="00A56A1B">
      <w:pPr>
        <w:autoSpaceDE w:val="0"/>
        <w:autoSpaceDN w:val="0"/>
        <w:adjustRightInd w:val="0"/>
        <w:spacing w:before="120" w:after="0" w:line="240" w:lineRule="auto"/>
        <w:ind w:left="646"/>
        <w:jc w:val="both"/>
        <w:rPr>
          <w:rFonts w:ascii="Times New Roman" w:eastAsia="Times New Roman" w:hAnsi="Times New Roman" w:cs="Times New Roman"/>
          <w:b/>
          <w:color w:val="000000"/>
          <w:lang w:eastAsia="hu-HU"/>
        </w:rPr>
      </w:pPr>
      <w:r w:rsidRPr="00A56A1B">
        <w:rPr>
          <w:rFonts w:ascii="Times New Roman" w:eastAsia="Times New Roman" w:hAnsi="Times New Roman" w:cs="Times New Roman"/>
          <w:b/>
          <w:color w:val="000000"/>
          <w:lang w:eastAsia="hu-HU"/>
        </w:rPr>
        <w:t>Knowledge:</w:t>
      </w:r>
    </w:p>
    <w:p w:rsidR="00335F04" w:rsidRPr="00335F04" w:rsidRDefault="00335F04"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335F04">
        <w:rPr>
          <w:rFonts w:ascii="Times New Roman" w:eastAsia="Times New Roman" w:hAnsi="Times New Roman" w:cs="Times New Roman"/>
          <w:color w:val="000000"/>
          <w:lang w:eastAsia="hu-HU"/>
        </w:rPr>
        <w:t>Possesses adequate basic engineering knowledge which enables the acquirement of new knowledge.</w:t>
      </w:r>
    </w:p>
    <w:p w:rsidR="00335F04" w:rsidRPr="00335F04" w:rsidRDefault="00335F04"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335F04">
        <w:rPr>
          <w:rFonts w:ascii="Times New Roman" w:eastAsia="Times New Roman" w:hAnsi="Times New Roman" w:cs="Times New Roman"/>
          <w:color w:val="000000"/>
          <w:lang w:eastAsia="hu-HU"/>
        </w:rPr>
        <w:t>Knows the range of materials required for the maintenance of the weapon.</w:t>
      </w:r>
    </w:p>
    <w:p w:rsidR="00335F04" w:rsidRPr="00335F04" w:rsidRDefault="00335F04"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335F04">
        <w:rPr>
          <w:rFonts w:ascii="Times New Roman" w:eastAsia="Times New Roman" w:hAnsi="Times New Roman" w:cs="Times New Roman"/>
          <w:color w:val="000000"/>
          <w:lang w:eastAsia="hu-HU"/>
        </w:rPr>
        <w:t>Knows the work safety regulations required for fulfilling his/her professional tasks.</w:t>
      </w:r>
    </w:p>
    <w:p w:rsidR="00335F04" w:rsidRPr="00335F04" w:rsidRDefault="00335F04"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335F04">
        <w:rPr>
          <w:rFonts w:ascii="Times New Roman" w:eastAsia="Times New Roman" w:hAnsi="Times New Roman" w:cs="Times New Roman"/>
          <w:color w:val="000000"/>
          <w:lang w:eastAsia="hu-HU"/>
        </w:rPr>
        <w:t>Possesses knowledge of adequate depth and spectrum regarding weapon types.</w:t>
      </w:r>
    </w:p>
    <w:p w:rsidR="00335F04" w:rsidRPr="00A56A1B" w:rsidRDefault="00335F04" w:rsidP="00A56A1B">
      <w:pPr>
        <w:autoSpaceDE w:val="0"/>
        <w:autoSpaceDN w:val="0"/>
        <w:adjustRightInd w:val="0"/>
        <w:spacing w:before="120" w:after="0" w:line="240" w:lineRule="auto"/>
        <w:ind w:left="646"/>
        <w:jc w:val="both"/>
        <w:rPr>
          <w:rFonts w:ascii="Times New Roman" w:eastAsia="Times New Roman" w:hAnsi="Times New Roman" w:cs="Times New Roman"/>
          <w:b/>
          <w:color w:val="000000"/>
          <w:lang w:eastAsia="hu-HU"/>
        </w:rPr>
      </w:pPr>
      <w:r w:rsidRPr="00A56A1B">
        <w:rPr>
          <w:rFonts w:ascii="Times New Roman" w:eastAsia="Times New Roman" w:hAnsi="Times New Roman" w:cs="Times New Roman"/>
          <w:b/>
          <w:color w:val="000000"/>
          <w:lang w:eastAsia="hu-HU"/>
        </w:rPr>
        <w:t>Capabilities:</w:t>
      </w:r>
    </w:p>
    <w:p w:rsidR="00335F04" w:rsidRPr="00335F04" w:rsidRDefault="00335F04"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335F04">
        <w:rPr>
          <w:rFonts w:ascii="Times New Roman" w:eastAsia="Times New Roman" w:hAnsi="Times New Roman" w:cs="Times New Roman"/>
          <w:color w:val="000000"/>
          <w:lang w:eastAsia="hu-HU"/>
        </w:rPr>
        <w:t>Is capable of organizing and efficiently utilizing the usage of the equipment and technical appliances applied in his/her respective specialty field.</w:t>
      </w:r>
    </w:p>
    <w:p w:rsidR="00335F04" w:rsidRPr="00335F04" w:rsidRDefault="00335F04"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335F04">
        <w:rPr>
          <w:rFonts w:ascii="Times New Roman" w:eastAsia="Times New Roman" w:hAnsi="Times New Roman" w:cs="Times New Roman"/>
          <w:color w:val="000000"/>
          <w:lang w:eastAsia="hu-HU"/>
        </w:rPr>
        <w:t>Is capable of acqiring the understaning of new engineering information arising in his/her field of specialty using the already gained knowldge.</w:t>
      </w:r>
    </w:p>
    <w:p w:rsidR="00335F04" w:rsidRPr="00A56A1B" w:rsidRDefault="00335F04" w:rsidP="00A56A1B">
      <w:pPr>
        <w:autoSpaceDE w:val="0"/>
        <w:autoSpaceDN w:val="0"/>
        <w:adjustRightInd w:val="0"/>
        <w:spacing w:before="120" w:after="0" w:line="240" w:lineRule="auto"/>
        <w:ind w:left="646"/>
        <w:jc w:val="both"/>
        <w:rPr>
          <w:rFonts w:ascii="Times New Roman" w:eastAsia="Times New Roman" w:hAnsi="Times New Roman" w:cs="Times New Roman"/>
          <w:b/>
          <w:color w:val="000000"/>
          <w:lang w:eastAsia="hu-HU"/>
        </w:rPr>
      </w:pPr>
      <w:r w:rsidRPr="00A56A1B">
        <w:rPr>
          <w:rFonts w:ascii="Times New Roman" w:eastAsia="Times New Roman" w:hAnsi="Times New Roman" w:cs="Times New Roman"/>
          <w:b/>
          <w:color w:val="000000"/>
          <w:lang w:eastAsia="hu-HU"/>
        </w:rPr>
        <w:t>Attitude:</w:t>
      </w:r>
    </w:p>
    <w:p w:rsidR="00335F04" w:rsidRPr="00335F04" w:rsidRDefault="00335F04"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335F04">
        <w:rPr>
          <w:rFonts w:ascii="Times New Roman" w:eastAsia="Times New Roman" w:hAnsi="Times New Roman" w:cs="Times New Roman"/>
          <w:color w:val="000000"/>
          <w:lang w:eastAsia="hu-HU"/>
        </w:rPr>
        <w:t>He/she is open to widen his/her knowledge regarding weapons and has a constant need for self-education.</w:t>
      </w:r>
    </w:p>
    <w:p w:rsidR="00335F04" w:rsidRPr="00335F04" w:rsidRDefault="00335F04"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335F04">
        <w:rPr>
          <w:rFonts w:ascii="Times New Roman" w:eastAsia="Times New Roman" w:hAnsi="Times New Roman" w:cs="Times New Roman"/>
          <w:color w:val="000000"/>
          <w:lang w:eastAsia="hu-HU"/>
        </w:rPr>
        <w:t>He/she is open towards the new accomplishments of military technology and aims to gain knowledge of these.</w:t>
      </w:r>
    </w:p>
    <w:p w:rsidR="00335F04" w:rsidRPr="00A56A1B" w:rsidRDefault="00335F04" w:rsidP="00A56A1B">
      <w:pPr>
        <w:autoSpaceDE w:val="0"/>
        <w:autoSpaceDN w:val="0"/>
        <w:adjustRightInd w:val="0"/>
        <w:spacing w:before="120" w:after="0" w:line="240" w:lineRule="auto"/>
        <w:ind w:left="646"/>
        <w:jc w:val="both"/>
        <w:rPr>
          <w:rFonts w:ascii="Times New Roman" w:eastAsia="Times New Roman" w:hAnsi="Times New Roman" w:cs="Times New Roman"/>
          <w:b/>
          <w:color w:val="000000"/>
          <w:lang w:eastAsia="hu-HU"/>
        </w:rPr>
      </w:pPr>
      <w:r w:rsidRPr="00A56A1B">
        <w:rPr>
          <w:rFonts w:ascii="Times New Roman" w:eastAsia="Times New Roman" w:hAnsi="Times New Roman" w:cs="Times New Roman"/>
          <w:b/>
          <w:color w:val="000000"/>
          <w:lang w:eastAsia="hu-HU"/>
        </w:rPr>
        <w:t>Autonomy and responsibility</w:t>
      </w:r>
    </w:p>
    <w:p w:rsidR="00335F04" w:rsidRPr="00335F04" w:rsidRDefault="00335F04"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335F04">
        <w:rPr>
          <w:rFonts w:ascii="Times New Roman" w:eastAsia="Times New Roman" w:hAnsi="Times New Roman" w:cs="Times New Roman"/>
          <w:color w:val="000000"/>
          <w:lang w:eastAsia="hu-HU"/>
        </w:rPr>
        <w:t>Is capable of independently fulfilling his/her professional tasks as well as effectively organizing and executing his/her own work.</w:t>
      </w:r>
    </w:p>
    <w:p w:rsidR="00335F04" w:rsidRPr="00335F04" w:rsidRDefault="00335F04"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335F04">
        <w:rPr>
          <w:rFonts w:ascii="Times New Roman" w:eastAsia="Times New Roman" w:hAnsi="Times New Roman" w:cs="Times New Roman"/>
          <w:color w:val="000000"/>
          <w:lang w:eastAsia="hu-HU"/>
        </w:rPr>
        <w:t>He/she is cooperative and responsible towards the professionals of his/her field. Is capable of thinking in a system approach within his/her own field.</w:t>
      </w:r>
    </w:p>
    <w:p w:rsidR="00335F04" w:rsidRPr="00335F04" w:rsidRDefault="00335F04" w:rsidP="00980876">
      <w:pPr>
        <w:numPr>
          <w:ilvl w:val="0"/>
          <w:numId w:val="708"/>
        </w:numPr>
        <w:tabs>
          <w:tab w:val="clear" w:pos="720"/>
          <w:tab w:val="center" w:pos="4536"/>
          <w:tab w:val="right" w:pos="9071"/>
        </w:tabs>
        <w:spacing w:before="120" w:after="120" w:line="240" w:lineRule="auto"/>
        <w:ind w:left="426" w:hanging="142"/>
        <w:jc w:val="both"/>
        <w:rPr>
          <w:rFonts w:ascii="Times New Roman" w:eastAsia="Times New Roman" w:hAnsi="Times New Roman" w:cs="Times New Roman"/>
          <w:bCs/>
          <w:lang w:eastAsia="hu-HU"/>
        </w:rPr>
      </w:pPr>
      <w:r w:rsidRPr="00335F04">
        <w:rPr>
          <w:rFonts w:ascii="Times New Roman" w:eastAsia="Times New Roman" w:hAnsi="Times New Roman" w:cs="Times New Roman"/>
          <w:b/>
          <w:bCs/>
          <w:lang w:eastAsia="hu-HU"/>
        </w:rPr>
        <w:t xml:space="preserve">Előtanulmányi kötelezettségek:  - </w:t>
      </w:r>
    </w:p>
    <w:p w:rsidR="00335F04" w:rsidRPr="00335F04" w:rsidRDefault="00335F04" w:rsidP="00980876">
      <w:pPr>
        <w:numPr>
          <w:ilvl w:val="0"/>
          <w:numId w:val="708"/>
        </w:numPr>
        <w:tabs>
          <w:tab w:val="clear" w:pos="720"/>
          <w:tab w:val="center" w:pos="4536"/>
          <w:tab w:val="right" w:pos="9071"/>
        </w:tabs>
        <w:spacing w:before="120" w:after="120" w:line="240" w:lineRule="auto"/>
        <w:ind w:left="426" w:hanging="142"/>
        <w:jc w:val="both"/>
        <w:rPr>
          <w:rFonts w:ascii="Times New Roman" w:eastAsia="Times New Roman" w:hAnsi="Times New Roman" w:cs="Times New Roman"/>
          <w:b/>
          <w:lang w:eastAsia="hu-HU"/>
        </w:rPr>
      </w:pPr>
      <w:r w:rsidRPr="00335F04">
        <w:rPr>
          <w:rFonts w:ascii="Times New Roman" w:eastAsia="Times New Roman" w:hAnsi="Times New Roman" w:cs="Times New Roman"/>
          <w:b/>
          <w:lang w:eastAsia="hu-HU"/>
        </w:rPr>
        <w:lastRenderedPageBreak/>
        <w:t xml:space="preserve">A </w:t>
      </w:r>
      <w:r w:rsidRPr="00A56A1B">
        <w:rPr>
          <w:rFonts w:ascii="Times New Roman" w:eastAsia="Times New Roman" w:hAnsi="Times New Roman" w:cs="Times New Roman"/>
          <w:b/>
          <w:bCs/>
          <w:lang w:eastAsia="hu-HU"/>
        </w:rPr>
        <w:t>tantárgy</w:t>
      </w:r>
      <w:r w:rsidRPr="00335F04">
        <w:rPr>
          <w:rFonts w:ascii="Times New Roman" w:eastAsia="Times New Roman" w:hAnsi="Times New Roman" w:cs="Times New Roman"/>
          <w:b/>
          <w:lang w:eastAsia="hu-HU"/>
        </w:rPr>
        <w:t xml:space="preserve"> tananyagának leírása: (tematika): </w:t>
      </w:r>
    </w:p>
    <w:p w:rsidR="00335F04" w:rsidRPr="00335F04" w:rsidRDefault="00335F04" w:rsidP="00980876">
      <w:pPr>
        <w:numPr>
          <w:ilvl w:val="1"/>
          <w:numId w:val="708"/>
        </w:numPr>
        <w:tabs>
          <w:tab w:val="clear" w:pos="3977"/>
          <w:tab w:val="num" w:pos="1425"/>
        </w:tabs>
        <w:spacing w:before="120" w:after="120" w:line="240" w:lineRule="auto"/>
        <w:ind w:left="1134" w:hanging="574"/>
        <w:jc w:val="both"/>
        <w:rPr>
          <w:rFonts w:ascii="Times New Roman" w:eastAsia="Times New Roman" w:hAnsi="Times New Roman" w:cs="Times New Roman"/>
          <w:i/>
          <w:lang w:eastAsia="hu-HU"/>
        </w:rPr>
      </w:pPr>
      <w:r w:rsidRPr="00335F04">
        <w:rPr>
          <w:rFonts w:ascii="Times New Roman" w:eastAsia="Times New Roman" w:hAnsi="Times New Roman" w:cs="Times New Roman"/>
          <w:lang w:eastAsia="hu-HU"/>
        </w:rPr>
        <w:t xml:space="preserve">Meghibásodás elméleti alapismeretek. A meghibásodási tényező, a hibamentes működés valószínűsége, a meghibásodás valószínűsége, az élettartam görbe fogalma, egymás közötti kapcsolataik. </w:t>
      </w:r>
      <w:r w:rsidRPr="00335F04">
        <w:rPr>
          <w:rFonts w:ascii="Times New Roman" w:eastAsia="Times New Roman" w:hAnsi="Times New Roman" w:cs="Times New Roman"/>
          <w:i/>
          <w:lang w:eastAsia="hu-HU"/>
        </w:rPr>
        <w:t>(Basic theory of failure, The failure factor, the probability of a fault-free operation, the probability of a failure, the concept of the lifetime curve, and the relationships between them.)</w:t>
      </w:r>
    </w:p>
    <w:p w:rsidR="00335F04" w:rsidRPr="00335F04" w:rsidRDefault="00335F04" w:rsidP="00980876">
      <w:pPr>
        <w:numPr>
          <w:ilvl w:val="1"/>
          <w:numId w:val="708"/>
        </w:numPr>
        <w:tabs>
          <w:tab w:val="clear" w:pos="3977"/>
          <w:tab w:val="num" w:pos="1425"/>
        </w:tabs>
        <w:spacing w:before="120" w:after="120" w:line="240" w:lineRule="auto"/>
        <w:ind w:left="1134" w:hanging="574"/>
        <w:jc w:val="both"/>
        <w:rPr>
          <w:rFonts w:ascii="Times New Roman" w:eastAsia="Times New Roman" w:hAnsi="Times New Roman" w:cs="Times New Roman"/>
          <w:i/>
          <w:lang w:eastAsia="hu-HU"/>
        </w:rPr>
      </w:pPr>
      <w:r w:rsidRPr="00335F04">
        <w:rPr>
          <w:rFonts w:ascii="Times New Roman" w:eastAsia="Times New Roman" w:hAnsi="Times New Roman" w:cs="Times New Roman"/>
          <w:lang w:eastAsia="hu-HU"/>
        </w:rPr>
        <w:t xml:space="preserve">Összetett berendezések eredő meghibásodási jellemzői. </w:t>
      </w:r>
      <w:r w:rsidRPr="00335F04">
        <w:rPr>
          <w:rFonts w:ascii="Times New Roman" w:eastAsia="Times New Roman" w:hAnsi="Times New Roman" w:cs="Times New Roman"/>
          <w:i/>
          <w:lang w:eastAsia="hu-HU"/>
        </w:rPr>
        <w:t>(Resulting failure characteristics of complex equipment.)</w:t>
      </w:r>
    </w:p>
    <w:p w:rsidR="00335F04" w:rsidRPr="00335F04" w:rsidRDefault="00335F04" w:rsidP="00980876">
      <w:pPr>
        <w:numPr>
          <w:ilvl w:val="1"/>
          <w:numId w:val="708"/>
        </w:numPr>
        <w:tabs>
          <w:tab w:val="clear" w:pos="3977"/>
          <w:tab w:val="num" w:pos="1425"/>
        </w:tabs>
        <w:spacing w:before="120" w:after="120" w:line="240" w:lineRule="auto"/>
        <w:ind w:left="1134" w:hanging="574"/>
        <w:jc w:val="both"/>
        <w:rPr>
          <w:rFonts w:ascii="Times New Roman" w:eastAsia="Times New Roman" w:hAnsi="Times New Roman" w:cs="Times New Roman"/>
          <w:i/>
          <w:lang w:eastAsia="hu-HU"/>
        </w:rPr>
      </w:pPr>
      <w:r w:rsidRPr="00335F04">
        <w:rPr>
          <w:rFonts w:ascii="Times New Roman" w:eastAsia="Times New Roman" w:hAnsi="Times New Roman" w:cs="Times New Roman"/>
          <w:lang w:eastAsia="hu-HU"/>
        </w:rPr>
        <w:t xml:space="preserve">Az élettartam görbe szakaszai, az igénybevételek típusai a haditechnikai eszközök esetében. </w:t>
      </w:r>
      <w:r w:rsidRPr="00335F04">
        <w:rPr>
          <w:rFonts w:ascii="Times New Roman" w:eastAsia="Times New Roman" w:hAnsi="Times New Roman" w:cs="Times New Roman"/>
          <w:i/>
          <w:lang w:eastAsia="hu-HU"/>
        </w:rPr>
        <w:t>(Life cycle curves, types of stresses for military equipment.)</w:t>
      </w:r>
    </w:p>
    <w:p w:rsidR="00335F04" w:rsidRPr="00335F04" w:rsidRDefault="00335F04" w:rsidP="00980876">
      <w:pPr>
        <w:numPr>
          <w:ilvl w:val="1"/>
          <w:numId w:val="708"/>
        </w:numPr>
        <w:tabs>
          <w:tab w:val="clear" w:pos="3977"/>
          <w:tab w:val="num" w:pos="1425"/>
        </w:tabs>
        <w:spacing w:before="120" w:after="120" w:line="240" w:lineRule="auto"/>
        <w:ind w:left="1134" w:hanging="574"/>
        <w:jc w:val="both"/>
        <w:rPr>
          <w:rFonts w:ascii="Times New Roman" w:eastAsia="Times New Roman" w:hAnsi="Times New Roman" w:cs="Times New Roman"/>
          <w:i/>
          <w:lang w:eastAsia="hu-HU"/>
        </w:rPr>
      </w:pPr>
      <w:r w:rsidRPr="00335F04">
        <w:rPr>
          <w:rFonts w:ascii="Times New Roman" w:eastAsia="Times New Roman" w:hAnsi="Times New Roman" w:cs="Times New Roman"/>
          <w:lang w:eastAsia="hu-HU"/>
        </w:rPr>
        <w:t xml:space="preserve">A hibakeresés elmélete. Hibakeresési gyakorlatok általánosított tömbvázlatokon. </w:t>
      </w:r>
      <w:r w:rsidRPr="00335F04">
        <w:rPr>
          <w:rFonts w:ascii="Times New Roman" w:eastAsia="Times New Roman" w:hAnsi="Times New Roman" w:cs="Times New Roman"/>
          <w:i/>
          <w:lang w:eastAsia="hu-HU"/>
        </w:rPr>
        <w:t>(Debugging theory. Debugging Practices on Generalized Block Sketches.)</w:t>
      </w:r>
    </w:p>
    <w:p w:rsidR="00335F04" w:rsidRPr="00335F04" w:rsidRDefault="00335F04" w:rsidP="00980876">
      <w:pPr>
        <w:numPr>
          <w:ilvl w:val="1"/>
          <w:numId w:val="708"/>
        </w:numPr>
        <w:tabs>
          <w:tab w:val="clear" w:pos="3977"/>
          <w:tab w:val="num" w:pos="1425"/>
        </w:tabs>
        <w:spacing w:before="120" w:after="120" w:line="240" w:lineRule="auto"/>
        <w:ind w:left="1134" w:hanging="574"/>
        <w:jc w:val="both"/>
        <w:rPr>
          <w:rFonts w:ascii="Times New Roman" w:eastAsia="Times New Roman" w:hAnsi="Times New Roman" w:cs="Times New Roman"/>
          <w:lang w:eastAsia="hu-HU"/>
        </w:rPr>
      </w:pPr>
      <w:r w:rsidRPr="00335F04">
        <w:rPr>
          <w:rFonts w:ascii="Times New Roman" w:eastAsia="Times New Roman" w:hAnsi="Times New Roman" w:cs="Times New Roman"/>
          <w:lang w:eastAsia="hu-HU"/>
        </w:rPr>
        <w:t xml:space="preserve">Mechanikai, optikai szerkezetek, elektromos szerelvények tisztításának szabályai. </w:t>
      </w:r>
      <w:r w:rsidRPr="00335F04">
        <w:rPr>
          <w:rFonts w:ascii="Times New Roman" w:eastAsia="Times New Roman" w:hAnsi="Times New Roman" w:cs="Times New Roman"/>
          <w:i/>
          <w:lang w:eastAsia="hu-HU"/>
        </w:rPr>
        <w:t>(Rules for cleaning mechanical, optical structures, electrical fittings.)</w:t>
      </w:r>
    </w:p>
    <w:p w:rsidR="00335F04" w:rsidRPr="00335F04" w:rsidRDefault="00335F04" w:rsidP="00980876">
      <w:pPr>
        <w:numPr>
          <w:ilvl w:val="1"/>
          <w:numId w:val="708"/>
        </w:numPr>
        <w:tabs>
          <w:tab w:val="clear" w:pos="3977"/>
          <w:tab w:val="num" w:pos="1425"/>
        </w:tabs>
        <w:spacing w:before="120" w:after="120" w:line="240" w:lineRule="auto"/>
        <w:ind w:left="1134" w:hanging="574"/>
        <w:jc w:val="both"/>
        <w:rPr>
          <w:rFonts w:ascii="Times New Roman" w:eastAsia="Times New Roman" w:hAnsi="Times New Roman" w:cs="Times New Roman"/>
          <w:i/>
          <w:lang w:eastAsia="hu-HU"/>
        </w:rPr>
      </w:pPr>
      <w:r w:rsidRPr="00335F04">
        <w:rPr>
          <w:rFonts w:ascii="Times New Roman" w:eastAsia="Times New Roman" w:hAnsi="Times New Roman" w:cs="Times New Roman"/>
          <w:lang w:eastAsia="hu-HU"/>
        </w:rPr>
        <w:t xml:space="preserve">Kenési rendszerek, szabványos kenőanyagok. </w:t>
      </w:r>
      <w:r w:rsidRPr="00335F04">
        <w:rPr>
          <w:rFonts w:ascii="Times New Roman" w:eastAsia="Times New Roman" w:hAnsi="Times New Roman" w:cs="Times New Roman"/>
          <w:i/>
          <w:lang w:eastAsia="hu-HU"/>
        </w:rPr>
        <w:t>(Lubrication systems, standard lubricants.)</w:t>
      </w:r>
    </w:p>
    <w:p w:rsidR="00335F04" w:rsidRPr="00335F04" w:rsidRDefault="00335F04" w:rsidP="00980876">
      <w:pPr>
        <w:numPr>
          <w:ilvl w:val="1"/>
          <w:numId w:val="708"/>
        </w:numPr>
        <w:tabs>
          <w:tab w:val="clear" w:pos="3977"/>
          <w:tab w:val="num" w:pos="1425"/>
        </w:tabs>
        <w:spacing w:before="120" w:after="120" w:line="240" w:lineRule="auto"/>
        <w:ind w:left="1134" w:hanging="574"/>
        <w:jc w:val="both"/>
        <w:rPr>
          <w:rFonts w:ascii="Times New Roman" w:eastAsia="Times New Roman" w:hAnsi="Times New Roman" w:cs="Times New Roman"/>
          <w:i/>
          <w:lang w:eastAsia="hu-HU"/>
        </w:rPr>
      </w:pPr>
      <w:r w:rsidRPr="00335F04">
        <w:rPr>
          <w:rFonts w:ascii="Times New Roman" w:eastAsia="Times New Roman" w:hAnsi="Times New Roman" w:cs="Times New Roman"/>
          <w:lang w:eastAsia="hu-HU"/>
        </w:rPr>
        <w:t xml:space="preserve">Lövészfegyvereknél leggyakrabban előforduló hibák, azok javítási technológiái. </w:t>
      </w:r>
      <w:r w:rsidRPr="00335F04">
        <w:rPr>
          <w:rFonts w:ascii="Times New Roman" w:eastAsia="Times New Roman" w:hAnsi="Times New Roman" w:cs="Times New Roman"/>
          <w:i/>
          <w:lang w:eastAsia="hu-HU"/>
        </w:rPr>
        <w:t>(The most common mistakes in firearms and their repair technologies.)</w:t>
      </w:r>
    </w:p>
    <w:p w:rsidR="00335F04" w:rsidRPr="00335F04" w:rsidRDefault="00335F04" w:rsidP="00980876">
      <w:pPr>
        <w:numPr>
          <w:ilvl w:val="1"/>
          <w:numId w:val="708"/>
        </w:numPr>
        <w:tabs>
          <w:tab w:val="clear" w:pos="3977"/>
          <w:tab w:val="num" w:pos="1425"/>
        </w:tabs>
        <w:spacing w:before="120" w:after="120" w:line="240" w:lineRule="auto"/>
        <w:ind w:left="1134" w:hanging="574"/>
        <w:jc w:val="both"/>
        <w:rPr>
          <w:rFonts w:ascii="Times New Roman" w:eastAsia="Times New Roman" w:hAnsi="Times New Roman" w:cs="Times New Roman"/>
          <w:i/>
          <w:lang w:eastAsia="hu-HU"/>
        </w:rPr>
      </w:pPr>
      <w:r w:rsidRPr="00335F04">
        <w:rPr>
          <w:rFonts w:ascii="Times New Roman" w:eastAsia="Times New Roman" w:hAnsi="Times New Roman" w:cs="Times New Roman"/>
          <w:lang w:eastAsia="hu-HU"/>
        </w:rPr>
        <w:t>A MH-ben rendszeresített lövészfegyverek technikai kiszolgálásának rendszabályai, technikai kiszolgálások végrehajtása, dokumentálása</w:t>
      </w:r>
      <w:r w:rsidRPr="00335F04">
        <w:rPr>
          <w:rFonts w:ascii="Times New Roman" w:eastAsia="Times New Roman" w:hAnsi="Times New Roman" w:cs="Times New Roman"/>
          <w:i/>
          <w:lang w:eastAsia="hu-HU"/>
        </w:rPr>
        <w:t>.. (Rules of technical service of firearms regularized in the HDF, execution and documentation of technical services.)</w:t>
      </w:r>
    </w:p>
    <w:p w:rsidR="00335F04" w:rsidRPr="00335F04" w:rsidRDefault="00335F04" w:rsidP="00980876">
      <w:pPr>
        <w:numPr>
          <w:ilvl w:val="1"/>
          <w:numId w:val="708"/>
        </w:numPr>
        <w:tabs>
          <w:tab w:val="clear" w:pos="3977"/>
          <w:tab w:val="num" w:pos="1425"/>
        </w:tabs>
        <w:spacing w:before="120" w:after="120" w:line="240" w:lineRule="auto"/>
        <w:ind w:left="1134" w:hanging="574"/>
        <w:jc w:val="both"/>
        <w:rPr>
          <w:rFonts w:ascii="Times New Roman" w:eastAsia="Times New Roman" w:hAnsi="Times New Roman" w:cs="Times New Roman"/>
          <w:i/>
          <w:lang w:eastAsia="hu-HU"/>
        </w:rPr>
      </w:pPr>
      <w:r w:rsidRPr="00335F04">
        <w:rPr>
          <w:rFonts w:ascii="Times New Roman" w:eastAsia="Times New Roman" w:hAnsi="Times New Roman" w:cs="Times New Roman"/>
          <w:lang w:eastAsia="hu-HU"/>
        </w:rPr>
        <w:t xml:space="preserve">Felületvédelem. </w:t>
      </w:r>
      <w:r w:rsidRPr="00335F04">
        <w:rPr>
          <w:rFonts w:ascii="Times New Roman" w:eastAsia="Times New Roman" w:hAnsi="Times New Roman" w:cs="Times New Roman"/>
          <w:i/>
          <w:lang w:eastAsia="hu-HU"/>
        </w:rPr>
        <w:t>(Surface protection.)</w:t>
      </w:r>
    </w:p>
    <w:p w:rsidR="00335F04" w:rsidRPr="00335F04" w:rsidRDefault="00335F04" w:rsidP="00980876">
      <w:pPr>
        <w:numPr>
          <w:ilvl w:val="1"/>
          <w:numId w:val="708"/>
        </w:numPr>
        <w:tabs>
          <w:tab w:val="clear" w:pos="3977"/>
          <w:tab w:val="num" w:pos="1425"/>
        </w:tabs>
        <w:spacing w:before="120" w:after="120" w:line="240" w:lineRule="auto"/>
        <w:ind w:left="1134" w:hanging="574"/>
        <w:jc w:val="both"/>
        <w:rPr>
          <w:rFonts w:ascii="Times New Roman" w:eastAsia="Times New Roman" w:hAnsi="Times New Roman" w:cs="Times New Roman"/>
          <w:i/>
          <w:lang w:eastAsia="hu-HU"/>
        </w:rPr>
      </w:pPr>
      <w:r w:rsidRPr="00335F04">
        <w:rPr>
          <w:rFonts w:ascii="Times New Roman" w:eastAsia="Times New Roman" w:hAnsi="Times New Roman" w:cs="Times New Roman"/>
          <w:lang w:eastAsia="hu-HU"/>
        </w:rPr>
        <w:t>Lövészfegyvereknél alkalmazott felület és korrózióvédelmi eljárások és anyagok</w:t>
      </w:r>
      <w:r w:rsidRPr="00335F04">
        <w:rPr>
          <w:rFonts w:ascii="Times New Roman" w:eastAsia="Times New Roman" w:hAnsi="Times New Roman" w:cs="Times New Roman"/>
          <w:i/>
          <w:lang w:eastAsia="hu-HU"/>
        </w:rPr>
        <w:t>. (Surface and corrosion protection methods and materials used in firearms.)</w:t>
      </w:r>
    </w:p>
    <w:p w:rsidR="00335F04" w:rsidRPr="00335F04" w:rsidRDefault="00335F04" w:rsidP="00980876">
      <w:pPr>
        <w:numPr>
          <w:ilvl w:val="1"/>
          <w:numId w:val="708"/>
        </w:numPr>
        <w:tabs>
          <w:tab w:val="clear" w:pos="3977"/>
          <w:tab w:val="num" w:pos="1425"/>
        </w:tabs>
        <w:spacing w:before="120" w:after="120" w:line="240" w:lineRule="auto"/>
        <w:ind w:left="1134" w:hanging="574"/>
        <w:jc w:val="both"/>
        <w:rPr>
          <w:rFonts w:ascii="Times New Roman" w:eastAsia="Times New Roman" w:hAnsi="Times New Roman" w:cs="Times New Roman"/>
          <w:i/>
          <w:lang w:eastAsia="hu-HU"/>
        </w:rPr>
      </w:pPr>
      <w:r w:rsidRPr="00335F04">
        <w:rPr>
          <w:rFonts w:ascii="Times New Roman" w:eastAsia="Times New Roman" w:hAnsi="Times New Roman" w:cs="Times New Roman"/>
          <w:lang w:eastAsia="hu-HU"/>
        </w:rPr>
        <w:t xml:space="preserve">Lövészfegyverek tárolásba helyezése. </w:t>
      </w:r>
      <w:r w:rsidRPr="00335F04">
        <w:rPr>
          <w:rFonts w:ascii="Times New Roman" w:eastAsia="Times New Roman" w:hAnsi="Times New Roman" w:cs="Times New Roman"/>
          <w:i/>
          <w:lang w:eastAsia="hu-HU"/>
        </w:rPr>
        <w:t>(Storage of firearms.)</w:t>
      </w:r>
    </w:p>
    <w:p w:rsidR="00335F04" w:rsidRPr="00335F04" w:rsidRDefault="00335F04" w:rsidP="00980876">
      <w:pPr>
        <w:numPr>
          <w:ilvl w:val="1"/>
          <w:numId w:val="708"/>
        </w:numPr>
        <w:tabs>
          <w:tab w:val="clear" w:pos="3977"/>
          <w:tab w:val="num" w:pos="1425"/>
        </w:tabs>
        <w:spacing w:before="120" w:after="120" w:line="240" w:lineRule="auto"/>
        <w:ind w:left="1134" w:hanging="574"/>
        <w:jc w:val="both"/>
        <w:rPr>
          <w:rFonts w:ascii="Times New Roman" w:eastAsia="Times New Roman" w:hAnsi="Times New Roman" w:cs="Times New Roman"/>
          <w:i/>
          <w:lang w:eastAsia="hu-HU"/>
        </w:rPr>
      </w:pPr>
      <w:r w:rsidRPr="00335F04">
        <w:rPr>
          <w:rFonts w:ascii="Times New Roman" w:eastAsia="Times New Roman" w:hAnsi="Times New Roman" w:cs="Times New Roman"/>
          <w:lang w:eastAsia="hu-HU"/>
        </w:rPr>
        <w:t xml:space="preserve">Lövészfegyverek beszabályozása, hideg és meleg belövése. A lövegek technikai kiszolgálásának rendszere. </w:t>
      </w:r>
      <w:r w:rsidRPr="00335F04">
        <w:rPr>
          <w:rFonts w:ascii="Times New Roman" w:eastAsia="Times New Roman" w:hAnsi="Times New Roman" w:cs="Times New Roman"/>
          <w:i/>
          <w:lang w:eastAsia="hu-HU"/>
        </w:rPr>
        <w:t>(Gun control, hot and cold firing. The system of technical service of guns.)</w:t>
      </w:r>
    </w:p>
    <w:p w:rsidR="00335F04" w:rsidRPr="00335F04" w:rsidRDefault="00335F04" w:rsidP="00980876">
      <w:pPr>
        <w:numPr>
          <w:ilvl w:val="1"/>
          <w:numId w:val="708"/>
        </w:numPr>
        <w:tabs>
          <w:tab w:val="clear" w:pos="3977"/>
          <w:tab w:val="num" w:pos="1425"/>
        </w:tabs>
        <w:spacing w:before="120" w:after="120" w:line="240" w:lineRule="auto"/>
        <w:ind w:left="1134" w:hanging="574"/>
        <w:jc w:val="both"/>
        <w:rPr>
          <w:rFonts w:ascii="Times New Roman" w:eastAsia="Times New Roman" w:hAnsi="Times New Roman" w:cs="Times New Roman"/>
          <w:i/>
          <w:lang w:eastAsia="hu-HU"/>
        </w:rPr>
      </w:pPr>
      <w:r w:rsidRPr="00335F04">
        <w:rPr>
          <w:rFonts w:ascii="Times New Roman" w:eastAsia="Times New Roman" w:hAnsi="Times New Roman" w:cs="Times New Roman"/>
          <w:lang w:eastAsia="hu-HU"/>
        </w:rPr>
        <w:t xml:space="preserve">A lövegek szerkezeti elemeinek meghibásodási lehetőségei. Hibafelderítés és hibajavítási módszerek és technológiák. A javítások és ellenőrzések okmányolása. </w:t>
      </w:r>
      <w:r w:rsidRPr="00335F04">
        <w:rPr>
          <w:rFonts w:ascii="Times New Roman" w:eastAsia="Times New Roman" w:hAnsi="Times New Roman" w:cs="Times New Roman"/>
          <w:i/>
          <w:lang w:eastAsia="hu-HU"/>
        </w:rPr>
        <w:t>(Possibilities of malfunctioning of structural elements of guns. Error detection and error correction methods and technologies. Documentation of repairs and inspections.)</w:t>
      </w:r>
    </w:p>
    <w:p w:rsidR="00335F04" w:rsidRPr="00335F04" w:rsidRDefault="00335F04" w:rsidP="00980876">
      <w:pPr>
        <w:numPr>
          <w:ilvl w:val="1"/>
          <w:numId w:val="708"/>
        </w:numPr>
        <w:tabs>
          <w:tab w:val="clear" w:pos="3977"/>
          <w:tab w:val="num" w:pos="1425"/>
        </w:tabs>
        <w:spacing w:before="120" w:after="120" w:line="240" w:lineRule="auto"/>
        <w:ind w:left="1134" w:hanging="574"/>
        <w:jc w:val="both"/>
        <w:rPr>
          <w:rFonts w:ascii="Times New Roman" w:eastAsia="Times New Roman" w:hAnsi="Times New Roman" w:cs="Times New Roman"/>
          <w:bCs/>
          <w:i/>
          <w:lang w:eastAsia="hu-HU"/>
        </w:rPr>
      </w:pPr>
      <w:r w:rsidRPr="00335F04">
        <w:rPr>
          <w:rFonts w:ascii="Times New Roman" w:eastAsia="Times New Roman" w:hAnsi="Times New Roman" w:cs="Times New Roman"/>
          <w:lang w:eastAsia="hu-HU"/>
        </w:rPr>
        <w:t xml:space="preserve">A MH-ben rendszeresített tüzérségi eszközök technikai kiszolgálásának rendszabályai, technikai kiszolgálások végrehajtása, dokumentálása. </w:t>
      </w:r>
      <w:r w:rsidRPr="00335F04">
        <w:rPr>
          <w:rFonts w:ascii="Times New Roman" w:eastAsia="Times New Roman" w:hAnsi="Times New Roman" w:cs="Times New Roman"/>
          <w:i/>
          <w:lang w:eastAsia="hu-HU"/>
        </w:rPr>
        <w:t>(The rules of the technical service of artillery equipment in the HDF, the implementation and documentation of technical services.)</w:t>
      </w:r>
    </w:p>
    <w:p w:rsidR="00335F04" w:rsidRPr="00335F04" w:rsidRDefault="00335F04" w:rsidP="00980876">
      <w:pPr>
        <w:numPr>
          <w:ilvl w:val="0"/>
          <w:numId w:val="708"/>
        </w:numPr>
        <w:tabs>
          <w:tab w:val="clear" w:pos="720"/>
          <w:tab w:val="right" w:pos="567"/>
          <w:tab w:val="num" w:pos="644"/>
          <w:tab w:val="center" w:pos="4536"/>
          <w:tab w:val="right" w:pos="9071"/>
        </w:tabs>
        <w:spacing w:before="120" w:after="120" w:line="240" w:lineRule="auto"/>
        <w:ind w:left="426" w:hanging="142"/>
        <w:jc w:val="both"/>
        <w:rPr>
          <w:rFonts w:ascii="Times New Roman" w:eastAsia="Times New Roman" w:hAnsi="Times New Roman" w:cs="Times New Roman"/>
          <w:bCs/>
          <w:lang w:eastAsia="hu-HU"/>
        </w:rPr>
      </w:pPr>
      <w:r w:rsidRPr="00335F04">
        <w:rPr>
          <w:rFonts w:ascii="Times New Roman" w:eastAsia="Times New Roman" w:hAnsi="Times New Roman" w:cs="Times New Roman"/>
          <w:b/>
          <w:bCs/>
          <w:lang w:eastAsia="hu-HU"/>
        </w:rPr>
        <w:t xml:space="preserve">A tantárgy meghirdetésének gyakorisága/a tantervben történő félévi elhelyezkedése: </w:t>
      </w:r>
      <w:r w:rsidRPr="00335F04">
        <w:rPr>
          <w:rFonts w:ascii="Times New Roman" w:eastAsia="Times New Roman" w:hAnsi="Times New Roman" w:cs="Times New Roman"/>
          <w:bCs/>
          <w:lang w:eastAsia="hu-HU"/>
        </w:rPr>
        <w:t>évente /7. félév</w:t>
      </w:r>
    </w:p>
    <w:p w:rsidR="00335F04" w:rsidRPr="00335F04" w:rsidRDefault="00335F04" w:rsidP="00980876">
      <w:pPr>
        <w:numPr>
          <w:ilvl w:val="0"/>
          <w:numId w:val="708"/>
        </w:numPr>
        <w:tabs>
          <w:tab w:val="clear" w:pos="720"/>
          <w:tab w:val="right" w:pos="567"/>
          <w:tab w:val="num" w:pos="644"/>
          <w:tab w:val="center" w:pos="4536"/>
          <w:tab w:val="right" w:pos="9071"/>
        </w:tabs>
        <w:spacing w:before="120" w:after="120" w:line="240" w:lineRule="auto"/>
        <w:ind w:left="426" w:hanging="142"/>
        <w:jc w:val="both"/>
        <w:rPr>
          <w:rFonts w:ascii="Times New Roman" w:eastAsia="Times New Roman" w:hAnsi="Times New Roman" w:cs="Times New Roman"/>
          <w:b/>
          <w:lang w:eastAsia="hu-HU"/>
        </w:rPr>
      </w:pPr>
      <w:r w:rsidRPr="00335F04">
        <w:rPr>
          <w:rFonts w:ascii="Times New Roman" w:eastAsia="Times New Roman" w:hAnsi="Times New Roman" w:cs="Times New Roman"/>
          <w:b/>
          <w:bCs/>
          <w:lang w:eastAsia="hu-HU"/>
        </w:rPr>
        <w:t>A foglalkozásokon való részvétel követelményei, elfogadható hiányzások mértéke, távolmaradás pótlásának lehetősége:</w:t>
      </w:r>
    </w:p>
    <w:p w:rsidR="00335F04" w:rsidRPr="00335F04" w:rsidRDefault="00335F04" w:rsidP="00335F04">
      <w:pPr>
        <w:tabs>
          <w:tab w:val="right" w:pos="900"/>
          <w:tab w:val="center" w:pos="4536"/>
          <w:tab w:val="right" w:pos="9071"/>
        </w:tabs>
        <w:spacing w:before="120" w:after="120" w:line="240" w:lineRule="auto"/>
        <w:ind w:left="426"/>
        <w:jc w:val="both"/>
        <w:rPr>
          <w:rFonts w:ascii="Times New Roman" w:eastAsia="Times New Roman" w:hAnsi="Times New Roman" w:cs="Times New Roman"/>
          <w:bCs/>
          <w:lang w:eastAsia="hu-HU"/>
        </w:rPr>
      </w:pPr>
      <w:r w:rsidRPr="00335F04">
        <w:rPr>
          <w:rFonts w:ascii="Times New Roman" w:eastAsia="Times New Roman" w:hAnsi="Times New Roman" w:cs="Times New Roman"/>
          <w:bCs/>
          <w:lang w:eastAsia="hu-HU"/>
        </w:rPr>
        <w:t>A hallgatónak a tanórák legalább 70 %-án jelen kell lennie, 30 %-ot meghaladó hiányzás esetén a félév teljesítése nem írható alá. A hallgató köteles az előadás és a gyakorlat anyagát beszerezni, abból önállóan felkészülni. A hiányzás pótolható az oktató által kijelölt témakörben beadott, legalább elégségesre értékelt házidolgozattal.</w:t>
      </w:r>
    </w:p>
    <w:p w:rsidR="00335F04" w:rsidRPr="00335F04" w:rsidRDefault="00335F04" w:rsidP="00980876">
      <w:pPr>
        <w:numPr>
          <w:ilvl w:val="0"/>
          <w:numId w:val="708"/>
        </w:numPr>
        <w:tabs>
          <w:tab w:val="clear" w:pos="720"/>
          <w:tab w:val="num" w:pos="426"/>
          <w:tab w:val="num" w:pos="644"/>
        </w:tabs>
        <w:spacing w:before="120" w:after="120" w:line="240" w:lineRule="auto"/>
        <w:ind w:left="641" w:hanging="357"/>
        <w:rPr>
          <w:rFonts w:ascii="Times New Roman" w:eastAsia="Times New Roman" w:hAnsi="Times New Roman" w:cs="Times New Roman"/>
          <w:b/>
          <w:lang w:eastAsia="hu-HU"/>
        </w:rPr>
      </w:pPr>
      <w:r w:rsidRPr="00335F04">
        <w:rPr>
          <w:rFonts w:ascii="Times New Roman" w:eastAsia="Times New Roman" w:hAnsi="Times New Roman" w:cs="Times New Roman"/>
          <w:b/>
          <w:lang w:eastAsia="hu-HU"/>
        </w:rPr>
        <w:t xml:space="preserve">Félévközi feladatok, ismeretek ellenőrzésének rendje: </w:t>
      </w:r>
    </w:p>
    <w:p w:rsidR="00335F04" w:rsidRPr="00335F04" w:rsidRDefault="00335F04" w:rsidP="00335F04">
      <w:pPr>
        <w:tabs>
          <w:tab w:val="num" w:pos="426"/>
        </w:tabs>
        <w:spacing w:before="120" w:after="120" w:line="240" w:lineRule="auto"/>
        <w:ind w:left="426"/>
        <w:jc w:val="both"/>
        <w:rPr>
          <w:rFonts w:ascii="Times New Roman" w:eastAsia="Times New Roman" w:hAnsi="Times New Roman" w:cs="Times New Roman"/>
          <w:b/>
          <w:lang w:eastAsia="hu-HU"/>
        </w:rPr>
      </w:pPr>
      <w:r w:rsidRPr="00335F04">
        <w:rPr>
          <w:rFonts w:ascii="Times New Roman" w:eastAsia="Times New Roman" w:hAnsi="Times New Roman" w:cs="Times New Roman"/>
          <w:lang w:eastAsia="hu-HU"/>
        </w:rPr>
        <w:t xml:space="preserve">A félév során a hallgató kettő zárthelyi dolgozatot ír. Zárthelyi dolgozatok a 12.1-12.15 tantárgyrészekből. A zárthelyi dolgozat témáit a kötelező irodalmak anyagából, illetve az </w:t>
      </w:r>
      <w:r w:rsidRPr="00335F04">
        <w:rPr>
          <w:rFonts w:ascii="Times New Roman" w:eastAsia="Times New Roman" w:hAnsi="Times New Roman" w:cs="Times New Roman"/>
          <w:lang w:eastAsia="hu-HU"/>
        </w:rPr>
        <w:lastRenderedPageBreak/>
        <w:t>előadásokon elhangzott ismeretanyagból kell összeállítani. A zárthelyi dolgozat értékelése ötfokozatú értékelés (a helyes válaszok aránya 0-60% elégtelen; 61-70% elégséges; 71-80% közepes; 81-90% jó; 91-100% jeles osztályzat). Eredménytelen zárthelyi dolgozat kétszer javítható. A dolgozatban teszt és esszé jellegű kérdések egyaránt szerepelnek.</w:t>
      </w:r>
    </w:p>
    <w:p w:rsidR="00335F04" w:rsidRPr="00335F04" w:rsidRDefault="00335F04" w:rsidP="00980876">
      <w:pPr>
        <w:numPr>
          <w:ilvl w:val="0"/>
          <w:numId w:val="708"/>
        </w:numPr>
        <w:tabs>
          <w:tab w:val="clear" w:pos="720"/>
          <w:tab w:val="num" w:pos="426"/>
          <w:tab w:val="num" w:pos="644"/>
        </w:tabs>
        <w:spacing w:before="120" w:after="120" w:line="240" w:lineRule="auto"/>
        <w:ind w:left="426" w:hanging="142"/>
        <w:jc w:val="both"/>
        <w:rPr>
          <w:rFonts w:ascii="Times New Roman" w:eastAsia="Times New Roman" w:hAnsi="Times New Roman" w:cs="Times New Roman"/>
          <w:b/>
          <w:lang w:eastAsia="hu-HU"/>
        </w:rPr>
      </w:pPr>
      <w:r w:rsidRPr="00335F04">
        <w:rPr>
          <w:rFonts w:ascii="Times New Roman" w:eastAsia="Times New Roman" w:hAnsi="Times New Roman" w:cs="Times New Roman"/>
          <w:b/>
          <w:lang w:eastAsia="hu-HU"/>
        </w:rPr>
        <w:t xml:space="preserve">Az aláírás és a kreditek megszerzésének pontos feltételei </w:t>
      </w:r>
    </w:p>
    <w:p w:rsidR="00335F04" w:rsidRPr="00335F04" w:rsidRDefault="00335F04" w:rsidP="00980876">
      <w:pPr>
        <w:numPr>
          <w:ilvl w:val="1"/>
          <w:numId w:val="708"/>
        </w:numPr>
        <w:tabs>
          <w:tab w:val="clear" w:pos="3977"/>
          <w:tab w:val="num" w:pos="1425"/>
        </w:tabs>
        <w:spacing w:before="120" w:after="120" w:line="240" w:lineRule="auto"/>
        <w:ind w:left="567" w:firstLine="0"/>
        <w:jc w:val="both"/>
        <w:rPr>
          <w:rFonts w:ascii="Times New Roman" w:eastAsia="Times New Roman" w:hAnsi="Times New Roman" w:cs="Times New Roman"/>
          <w:lang w:eastAsia="hu-HU"/>
        </w:rPr>
      </w:pPr>
      <w:r w:rsidRPr="00335F04">
        <w:rPr>
          <w:rFonts w:ascii="Times New Roman" w:eastAsia="Times New Roman" w:hAnsi="Times New Roman" w:cs="Times New Roman"/>
          <w:b/>
          <w:lang w:eastAsia="hu-HU"/>
        </w:rPr>
        <w:t xml:space="preserve">Az aláírás megszerzésének feltételei: </w:t>
      </w:r>
      <w:r w:rsidRPr="00335F04">
        <w:rPr>
          <w:rFonts w:ascii="Times New Roman" w:eastAsia="Times New Roman" w:hAnsi="Times New Roman" w:cs="Times New Roman"/>
          <w:lang w:eastAsia="hu-HU"/>
        </w:rPr>
        <w:t>Az aláírás megszerzésének feltétele a 14. pontban meghatározott arányú részvétel a foglalkozásokon és a 15. pontban meghatározott félévközi feladatok legalább elégséges teljesítése.</w:t>
      </w:r>
    </w:p>
    <w:p w:rsidR="00335F04" w:rsidRPr="00335F04" w:rsidRDefault="00335F04" w:rsidP="00980876">
      <w:pPr>
        <w:numPr>
          <w:ilvl w:val="1"/>
          <w:numId w:val="708"/>
        </w:numPr>
        <w:tabs>
          <w:tab w:val="clear" w:pos="3977"/>
          <w:tab w:val="num" w:pos="1425"/>
        </w:tabs>
        <w:spacing w:before="120" w:after="120" w:line="240" w:lineRule="auto"/>
        <w:ind w:left="567" w:firstLine="0"/>
        <w:jc w:val="both"/>
        <w:rPr>
          <w:rFonts w:ascii="Times New Roman" w:eastAsia="Times New Roman" w:hAnsi="Times New Roman" w:cs="Times New Roman"/>
          <w:lang w:eastAsia="hu-HU"/>
        </w:rPr>
      </w:pPr>
      <w:r w:rsidRPr="00335F04">
        <w:rPr>
          <w:rFonts w:ascii="Times New Roman" w:eastAsia="Times New Roman" w:hAnsi="Times New Roman" w:cs="Times New Roman"/>
          <w:b/>
          <w:lang w:eastAsia="hu-HU"/>
        </w:rPr>
        <w:t>Az értékelés</w:t>
      </w:r>
      <w:r w:rsidRPr="00335F04">
        <w:rPr>
          <w:rFonts w:ascii="Times New Roman" w:eastAsia="Times New Roman" w:hAnsi="Times New Roman" w:cs="Times New Roman"/>
          <w:lang w:eastAsia="hu-HU"/>
        </w:rPr>
        <w:t>: szóbeli kollokvium, ötfokozatú értékelés. Vizsgakövetelmény a tematikában megadott tárgykörök, témák, illetve a kötelező és az ajánlott irodalom ismerete.</w:t>
      </w:r>
    </w:p>
    <w:p w:rsidR="00335F04" w:rsidRPr="00335F04" w:rsidRDefault="00335F04" w:rsidP="00980876">
      <w:pPr>
        <w:numPr>
          <w:ilvl w:val="1"/>
          <w:numId w:val="708"/>
        </w:numPr>
        <w:tabs>
          <w:tab w:val="clear" w:pos="3977"/>
          <w:tab w:val="num" w:pos="1425"/>
        </w:tabs>
        <w:spacing w:before="120" w:after="120" w:line="240" w:lineRule="auto"/>
        <w:ind w:left="567" w:firstLine="0"/>
        <w:jc w:val="both"/>
        <w:rPr>
          <w:rFonts w:ascii="Times New Roman" w:eastAsia="Times New Roman" w:hAnsi="Times New Roman" w:cs="Times New Roman"/>
          <w:lang w:eastAsia="hu-HU"/>
        </w:rPr>
      </w:pPr>
      <w:r w:rsidRPr="00335F04">
        <w:rPr>
          <w:rFonts w:ascii="Times New Roman" w:eastAsia="Times New Roman" w:hAnsi="Times New Roman" w:cs="Times New Roman"/>
          <w:b/>
          <w:lang w:eastAsia="hu-HU"/>
        </w:rPr>
        <w:t>A kreditek megszerzésének feltételei</w:t>
      </w:r>
      <w:r w:rsidRPr="00335F04">
        <w:rPr>
          <w:rFonts w:ascii="Times New Roman" w:eastAsia="Times New Roman" w:hAnsi="Times New Roman" w:cs="Times New Roman"/>
          <w:lang w:eastAsia="hu-HU"/>
        </w:rPr>
        <w:t>: az aláírás megszerzése és legalább elégséges szóbeli kollokvium jegy.</w:t>
      </w:r>
    </w:p>
    <w:p w:rsidR="00335F04" w:rsidRPr="00335F04" w:rsidRDefault="00335F04" w:rsidP="00980876">
      <w:pPr>
        <w:numPr>
          <w:ilvl w:val="0"/>
          <w:numId w:val="708"/>
        </w:numPr>
        <w:tabs>
          <w:tab w:val="clear" w:pos="720"/>
          <w:tab w:val="num" w:pos="426"/>
          <w:tab w:val="num" w:pos="644"/>
        </w:tabs>
        <w:spacing w:before="120" w:after="120" w:line="240" w:lineRule="auto"/>
        <w:ind w:left="426" w:hanging="142"/>
        <w:jc w:val="both"/>
        <w:rPr>
          <w:rFonts w:ascii="Times New Roman" w:eastAsia="Times New Roman" w:hAnsi="Times New Roman" w:cs="Times New Roman"/>
          <w:b/>
          <w:lang w:eastAsia="hu-HU"/>
        </w:rPr>
      </w:pPr>
      <w:r w:rsidRPr="00335F04">
        <w:rPr>
          <w:rFonts w:ascii="Times New Roman" w:eastAsia="Times New Roman" w:hAnsi="Times New Roman" w:cs="Times New Roman"/>
          <w:b/>
          <w:lang w:eastAsia="hu-HU"/>
        </w:rPr>
        <w:t>Irodalomjegyzék:</w:t>
      </w:r>
    </w:p>
    <w:p w:rsidR="00335F04" w:rsidRPr="00335F04" w:rsidRDefault="00335F04" w:rsidP="00980876">
      <w:pPr>
        <w:numPr>
          <w:ilvl w:val="1"/>
          <w:numId w:val="708"/>
        </w:numPr>
        <w:tabs>
          <w:tab w:val="clear" w:pos="3977"/>
          <w:tab w:val="left" w:pos="1134"/>
          <w:tab w:val="num" w:pos="1425"/>
        </w:tabs>
        <w:spacing w:before="120" w:after="120" w:line="240" w:lineRule="auto"/>
        <w:ind w:left="568" w:firstLine="0"/>
        <w:jc w:val="both"/>
        <w:rPr>
          <w:rFonts w:ascii="Times New Roman" w:eastAsia="Times New Roman" w:hAnsi="Times New Roman" w:cs="Times New Roman"/>
          <w:b/>
          <w:lang w:eastAsia="hu-HU"/>
        </w:rPr>
      </w:pPr>
      <w:r w:rsidRPr="00335F04">
        <w:rPr>
          <w:rFonts w:ascii="Times New Roman" w:eastAsia="Times New Roman" w:hAnsi="Times New Roman" w:cs="Times New Roman"/>
          <w:b/>
          <w:lang w:eastAsia="hu-HU"/>
        </w:rPr>
        <w:t>Kötelező irodalom:</w:t>
      </w:r>
    </w:p>
    <w:p w:rsidR="00335F04" w:rsidRPr="00335F04" w:rsidRDefault="00335F04" w:rsidP="00980876">
      <w:pPr>
        <w:numPr>
          <w:ilvl w:val="0"/>
          <w:numId w:val="713"/>
        </w:numPr>
        <w:spacing w:after="0" w:line="240" w:lineRule="auto"/>
        <w:jc w:val="both"/>
        <w:rPr>
          <w:rFonts w:ascii="Times New Roman" w:eastAsia="Times New Roman" w:hAnsi="Times New Roman" w:cs="Times New Roman"/>
          <w:lang w:eastAsia="hu-HU"/>
        </w:rPr>
      </w:pPr>
      <w:r w:rsidRPr="00335F04">
        <w:rPr>
          <w:rFonts w:ascii="Times New Roman" w:eastAsia="Times New Roman" w:hAnsi="Times New Roman" w:cs="Times New Roman"/>
          <w:lang w:eastAsia="hu-HU"/>
        </w:rPr>
        <w:t>Löfe/104 7,62 mm PKM és PKMSZ géppuska anyagismereti és kezelési utasítása. HM. kiadvány.</w:t>
      </w:r>
    </w:p>
    <w:p w:rsidR="00335F04" w:rsidRPr="00335F04" w:rsidRDefault="00335F04" w:rsidP="00980876">
      <w:pPr>
        <w:numPr>
          <w:ilvl w:val="0"/>
          <w:numId w:val="713"/>
        </w:numPr>
        <w:spacing w:after="0" w:line="240" w:lineRule="auto"/>
        <w:jc w:val="both"/>
        <w:rPr>
          <w:rFonts w:ascii="Times New Roman" w:eastAsia="Times New Roman" w:hAnsi="Times New Roman" w:cs="Times New Roman"/>
          <w:lang w:eastAsia="hu-HU"/>
        </w:rPr>
      </w:pPr>
      <w:r w:rsidRPr="00335F04">
        <w:rPr>
          <w:rFonts w:ascii="Times New Roman" w:eastAsia="Times New Roman" w:hAnsi="Times New Roman" w:cs="Times New Roman"/>
          <w:lang w:eastAsia="hu-HU"/>
        </w:rPr>
        <w:t>Löfe/33 RPG-7 kézi páncélelhárító gránátvető és a PG-7V lőszer szolgálati és lőutasítása. HM. kiadvány.</w:t>
      </w:r>
    </w:p>
    <w:p w:rsidR="00335F04" w:rsidRPr="00335F04" w:rsidRDefault="00335F04" w:rsidP="00980876">
      <w:pPr>
        <w:numPr>
          <w:ilvl w:val="0"/>
          <w:numId w:val="713"/>
        </w:numPr>
        <w:spacing w:after="0" w:line="240" w:lineRule="auto"/>
        <w:jc w:val="both"/>
        <w:rPr>
          <w:rFonts w:ascii="Times New Roman" w:eastAsia="Times New Roman" w:hAnsi="Times New Roman" w:cs="Times New Roman"/>
          <w:lang w:eastAsia="hu-HU"/>
        </w:rPr>
      </w:pPr>
      <w:r w:rsidRPr="00335F04">
        <w:rPr>
          <w:rFonts w:ascii="Times New Roman" w:eastAsia="Times New Roman" w:hAnsi="Times New Roman" w:cs="Times New Roman"/>
          <w:lang w:eastAsia="hu-HU"/>
        </w:rPr>
        <w:t>Löfe/109 A 7,62 mm Dragunov távcsöves puska anyagismereti és lőutasítása. HM. kiadvány.</w:t>
      </w:r>
    </w:p>
    <w:p w:rsidR="00335F04" w:rsidRPr="00335F04" w:rsidRDefault="00335F04" w:rsidP="00980876">
      <w:pPr>
        <w:numPr>
          <w:ilvl w:val="0"/>
          <w:numId w:val="713"/>
        </w:numPr>
        <w:spacing w:after="0" w:line="240" w:lineRule="auto"/>
        <w:jc w:val="both"/>
        <w:rPr>
          <w:rFonts w:ascii="Times New Roman" w:eastAsia="Times New Roman" w:hAnsi="Times New Roman" w:cs="Times New Roman"/>
          <w:lang w:eastAsia="hu-HU"/>
        </w:rPr>
      </w:pPr>
      <w:r w:rsidRPr="00335F04">
        <w:rPr>
          <w:rFonts w:ascii="Times New Roman" w:eastAsia="Times New Roman" w:hAnsi="Times New Roman" w:cs="Times New Roman"/>
          <w:lang w:eastAsia="hu-HU"/>
        </w:rPr>
        <w:t>Dr. Farkas Tivadar: Lőfegyverek rendszertana I-II. (ZMNE jegyzet, Budapest, 2000) ISBN: 9630035596</w:t>
      </w:r>
    </w:p>
    <w:p w:rsidR="00335F04" w:rsidRPr="00335F04" w:rsidRDefault="00335F04" w:rsidP="00980876">
      <w:pPr>
        <w:numPr>
          <w:ilvl w:val="0"/>
          <w:numId w:val="713"/>
        </w:numPr>
        <w:spacing w:after="0" w:line="240" w:lineRule="auto"/>
        <w:jc w:val="both"/>
        <w:rPr>
          <w:rFonts w:ascii="Times New Roman" w:eastAsia="Times New Roman" w:hAnsi="Times New Roman" w:cs="Times New Roman"/>
          <w:b/>
          <w:lang w:eastAsia="hu-HU"/>
        </w:rPr>
      </w:pPr>
      <w:r w:rsidRPr="00335F04">
        <w:rPr>
          <w:rFonts w:ascii="Times New Roman" w:eastAsia="Times New Roman" w:hAnsi="Times New Roman" w:cs="Times New Roman"/>
          <w:lang w:eastAsia="hu-HU"/>
        </w:rPr>
        <w:t>Gát István: Fegyver és lőszertechnikai kézikönyv (Ipari Minisztérium Iparszervezési főosztály, VASKUT MÜFIL Innovációs Iroda, Budapest, 1984, 84.408)</w:t>
      </w:r>
      <w:r w:rsidRPr="00335F04">
        <w:rPr>
          <w:rFonts w:ascii="Times New Roman" w:eastAsia="Times New Roman" w:hAnsi="Times New Roman" w:cs="Times New Roman"/>
          <w:b/>
          <w:lang w:eastAsia="hu-HU"/>
        </w:rPr>
        <w:t>.</w:t>
      </w:r>
    </w:p>
    <w:p w:rsidR="00335F04" w:rsidRPr="00335F04" w:rsidRDefault="00335F04" w:rsidP="00980876">
      <w:pPr>
        <w:numPr>
          <w:ilvl w:val="1"/>
          <w:numId w:val="708"/>
        </w:numPr>
        <w:tabs>
          <w:tab w:val="clear" w:pos="3977"/>
          <w:tab w:val="left" w:pos="1134"/>
          <w:tab w:val="num" w:pos="1425"/>
        </w:tabs>
        <w:spacing w:before="120" w:after="120" w:line="240" w:lineRule="auto"/>
        <w:ind w:left="568" w:firstLine="0"/>
        <w:jc w:val="both"/>
        <w:rPr>
          <w:rFonts w:ascii="Times New Roman" w:eastAsia="Times New Roman" w:hAnsi="Times New Roman" w:cs="Times New Roman"/>
          <w:b/>
          <w:lang w:eastAsia="hu-HU"/>
        </w:rPr>
      </w:pPr>
      <w:r w:rsidRPr="00335F04">
        <w:rPr>
          <w:rFonts w:ascii="Times New Roman" w:eastAsia="Times New Roman" w:hAnsi="Times New Roman" w:cs="Times New Roman"/>
          <w:b/>
          <w:lang w:eastAsia="hu-HU"/>
        </w:rPr>
        <w:t xml:space="preserve"> Ajánlott irodalom:</w:t>
      </w:r>
    </w:p>
    <w:p w:rsidR="00335F04" w:rsidRPr="00335F04" w:rsidRDefault="00335F04" w:rsidP="00980876">
      <w:pPr>
        <w:numPr>
          <w:ilvl w:val="0"/>
          <w:numId w:val="714"/>
        </w:numPr>
        <w:spacing w:after="0" w:line="240" w:lineRule="auto"/>
        <w:jc w:val="both"/>
        <w:rPr>
          <w:rFonts w:ascii="Times New Roman" w:eastAsia="Times New Roman" w:hAnsi="Times New Roman" w:cs="Times New Roman"/>
          <w:lang w:eastAsia="hu-HU"/>
        </w:rPr>
      </w:pPr>
      <w:r w:rsidRPr="00335F04">
        <w:rPr>
          <w:rFonts w:ascii="Times New Roman" w:eastAsia="Times New Roman" w:hAnsi="Times New Roman" w:cs="Times New Roman"/>
          <w:lang w:eastAsia="hu-HU"/>
        </w:rPr>
        <w:t>Löfe/7 9 mm-es  PA-63 pisztoly javítási utasítása. HM. kiadvány</w:t>
      </w:r>
    </w:p>
    <w:p w:rsidR="00335F04" w:rsidRPr="00335F04" w:rsidRDefault="00335F04" w:rsidP="00980876">
      <w:pPr>
        <w:numPr>
          <w:ilvl w:val="0"/>
          <w:numId w:val="714"/>
        </w:numPr>
        <w:spacing w:after="0" w:line="240" w:lineRule="auto"/>
        <w:jc w:val="both"/>
        <w:rPr>
          <w:rFonts w:ascii="Times New Roman" w:eastAsia="Times New Roman" w:hAnsi="Times New Roman" w:cs="Times New Roman"/>
          <w:lang w:eastAsia="hu-HU"/>
        </w:rPr>
      </w:pPr>
      <w:r w:rsidRPr="00335F04">
        <w:rPr>
          <w:rFonts w:ascii="Times New Roman" w:eastAsia="Times New Roman" w:hAnsi="Times New Roman" w:cs="Times New Roman"/>
          <w:lang w:eastAsia="hu-HU"/>
        </w:rPr>
        <w:t xml:space="preserve">Löfe/108 A </w:t>
      </w:r>
      <w:smartTag w:uri="urn:schemas-microsoft-com:office:smarttags" w:element="metricconverter">
        <w:smartTagPr>
          <w:attr w:name="ProductID" w:val="7,62 mm"/>
        </w:smartTagPr>
        <w:r w:rsidRPr="00335F04">
          <w:rPr>
            <w:rFonts w:ascii="Times New Roman" w:eastAsia="Times New Roman" w:hAnsi="Times New Roman" w:cs="Times New Roman"/>
            <w:lang w:eastAsia="hu-HU"/>
          </w:rPr>
          <w:t>7,62 mm</w:t>
        </w:r>
      </w:smartTag>
      <w:r w:rsidRPr="00335F04">
        <w:rPr>
          <w:rFonts w:ascii="Times New Roman" w:eastAsia="Times New Roman" w:hAnsi="Times New Roman" w:cs="Times New Roman"/>
          <w:lang w:eastAsia="hu-HU"/>
        </w:rPr>
        <w:t xml:space="preserve"> PKM, PKMSZ, PKT és PKB Kalasnyikov géppuskák javítási utasítása. HM. kiadvány</w:t>
      </w:r>
    </w:p>
    <w:p w:rsidR="00335F04" w:rsidRPr="00335F04" w:rsidRDefault="00335F04" w:rsidP="00980876">
      <w:pPr>
        <w:numPr>
          <w:ilvl w:val="0"/>
          <w:numId w:val="714"/>
        </w:numPr>
        <w:spacing w:after="0" w:line="240" w:lineRule="auto"/>
        <w:jc w:val="both"/>
        <w:rPr>
          <w:rFonts w:ascii="Times New Roman" w:eastAsia="Times New Roman" w:hAnsi="Times New Roman" w:cs="Times New Roman"/>
          <w:lang w:eastAsia="hu-HU"/>
        </w:rPr>
      </w:pPr>
      <w:r w:rsidRPr="00335F04">
        <w:rPr>
          <w:rFonts w:ascii="Times New Roman" w:eastAsia="Times New Roman" w:hAnsi="Times New Roman" w:cs="Times New Roman"/>
          <w:lang w:eastAsia="hu-HU"/>
        </w:rPr>
        <w:t xml:space="preserve">- </w:t>
      </w:r>
      <w:hyperlink r:id="rId14" w:tooltip="Find all the author's book" w:history="1">
        <w:r w:rsidRPr="00335F04">
          <w:rPr>
            <w:rFonts w:ascii="Times New Roman" w:eastAsia="Times New Roman" w:hAnsi="Times New Roman" w:cs="Times New Roman"/>
            <w:lang w:eastAsia="hu-HU"/>
          </w:rPr>
          <w:t>Donald E. Carlucci</w:t>
        </w:r>
      </w:hyperlink>
      <w:r w:rsidRPr="00335F04">
        <w:rPr>
          <w:rFonts w:ascii="Times New Roman" w:eastAsia="Times New Roman" w:hAnsi="Times New Roman" w:cs="Times New Roman"/>
          <w:lang w:eastAsia="hu-HU"/>
        </w:rPr>
        <w:t>, </w:t>
      </w:r>
      <w:hyperlink r:id="rId15" w:tooltip="Find all the author's book" w:history="1">
        <w:r w:rsidRPr="00335F04">
          <w:rPr>
            <w:rFonts w:ascii="Times New Roman" w:eastAsia="Times New Roman" w:hAnsi="Times New Roman" w:cs="Times New Roman"/>
            <w:lang w:eastAsia="hu-HU"/>
          </w:rPr>
          <w:t>Sidney S. Jacobson</w:t>
        </w:r>
      </w:hyperlink>
      <w:r w:rsidRPr="00335F04">
        <w:rPr>
          <w:rFonts w:ascii="Times New Roman" w:eastAsia="Times New Roman" w:hAnsi="Times New Roman" w:cs="Times New Roman"/>
          <w:lang w:eastAsia="hu-HU"/>
        </w:rPr>
        <w:t>, Ballistics: Theory and Design of Guns and Ammunition, CRC Press, 2018. ISBN 113805531X</w:t>
      </w:r>
    </w:p>
    <w:p w:rsidR="00335F04" w:rsidRPr="00335F04" w:rsidRDefault="00335F04" w:rsidP="00335F04">
      <w:pPr>
        <w:tabs>
          <w:tab w:val="right" w:pos="720"/>
          <w:tab w:val="center" w:pos="4819"/>
        </w:tabs>
        <w:spacing w:before="120" w:after="120" w:line="240" w:lineRule="auto"/>
        <w:ind w:left="646"/>
        <w:jc w:val="both"/>
        <w:rPr>
          <w:rFonts w:ascii="Times New Roman" w:eastAsia="Times New Roman" w:hAnsi="Times New Roman" w:cs="Times New Roman"/>
          <w:lang w:eastAsia="hu-HU"/>
        </w:rPr>
      </w:pPr>
    </w:p>
    <w:p w:rsidR="00335F04" w:rsidRPr="00335F04" w:rsidRDefault="00335F04" w:rsidP="00A56A1B">
      <w:pPr>
        <w:spacing w:before="120" w:after="120" w:line="240" w:lineRule="auto"/>
        <w:ind w:firstLine="708"/>
        <w:jc w:val="both"/>
        <w:rPr>
          <w:rFonts w:ascii="Times New Roman" w:eastAsia="Times New Roman" w:hAnsi="Times New Roman" w:cs="Times New Roman"/>
          <w:lang w:eastAsia="hu-HU"/>
        </w:rPr>
      </w:pPr>
      <w:r w:rsidRPr="00335F04">
        <w:rPr>
          <w:rFonts w:ascii="Times New Roman" w:eastAsia="Times New Roman" w:hAnsi="Times New Roman" w:cs="Times New Roman"/>
          <w:lang w:eastAsia="hu-HU"/>
        </w:rPr>
        <w:t>Budapest, 2020. február 15.</w:t>
      </w:r>
    </w:p>
    <w:p w:rsidR="00335F04" w:rsidRPr="00335F04" w:rsidRDefault="00335F04" w:rsidP="00335F04">
      <w:pPr>
        <w:spacing w:before="120" w:after="120" w:line="240" w:lineRule="auto"/>
        <w:jc w:val="both"/>
        <w:rPr>
          <w:rFonts w:ascii="Times New Roman" w:eastAsia="Times New Roman" w:hAnsi="Times New Roman" w:cs="Times New Roman"/>
          <w:lang w:eastAsia="hu-HU"/>
        </w:rPr>
      </w:pPr>
    </w:p>
    <w:p w:rsidR="00335F04" w:rsidRPr="00A56A1B" w:rsidRDefault="00335F04" w:rsidP="00335F04">
      <w:pPr>
        <w:tabs>
          <w:tab w:val="center" w:pos="7371"/>
        </w:tabs>
        <w:spacing w:after="0" w:line="240" w:lineRule="auto"/>
        <w:jc w:val="both"/>
        <w:rPr>
          <w:rFonts w:ascii="Times New Roman" w:eastAsia="Times New Roman" w:hAnsi="Times New Roman" w:cs="Times New Roman"/>
          <w:b/>
          <w:lang w:eastAsia="hu-HU"/>
        </w:rPr>
      </w:pPr>
      <w:r w:rsidRPr="00A56A1B">
        <w:rPr>
          <w:rFonts w:ascii="Times New Roman" w:eastAsia="Times New Roman" w:hAnsi="Times New Roman" w:cs="Times New Roman"/>
          <w:b/>
          <w:lang w:eastAsia="hu-HU"/>
        </w:rPr>
        <w:tab/>
        <w:t>Dr. Gyarmati József alezredes PhD</w:t>
      </w:r>
    </w:p>
    <w:p w:rsidR="00335F04" w:rsidRPr="00335F04" w:rsidRDefault="00335F04" w:rsidP="00335F04">
      <w:pPr>
        <w:tabs>
          <w:tab w:val="center" w:pos="7371"/>
        </w:tabs>
        <w:spacing w:after="0" w:line="240" w:lineRule="auto"/>
        <w:jc w:val="both"/>
        <w:rPr>
          <w:rFonts w:ascii="Times New Roman" w:eastAsia="Times New Roman" w:hAnsi="Times New Roman" w:cs="Times New Roman"/>
          <w:lang w:eastAsia="hu-HU"/>
        </w:rPr>
      </w:pPr>
      <w:r w:rsidRPr="00335F04">
        <w:rPr>
          <w:rFonts w:ascii="Times New Roman" w:eastAsia="Times New Roman" w:hAnsi="Times New Roman" w:cs="Times New Roman"/>
          <w:lang w:eastAsia="hu-HU"/>
        </w:rPr>
        <w:tab/>
        <w:t>egyetemi docens,</w:t>
      </w:r>
      <w:r w:rsidR="00FC1CD9">
        <w:rPr>
          <w:rFonts w:ascii="Times New Roman" w:eastAsia="Times New Roman" w:hAnsi="Times New Roman" w:cs="Times New Roman"/>
          <w:lang w:eastAsia="hu-HU"/>
        </w:rPr>
        <w:t xml:space="preserve"> sk.</w:t>
      </w:r>
    </w:p>
    <w:p w:rsidR="00AB7D64" w:rsidRDefault="00AB7D64">
      <w:pPr>
        <w:spacing w:after="200" w:line="276" w:lineRule="auto"/>
        <w:rPr>
          <w:rFonts w:ascii="Times New Roman" w:hAnsi="Times New Roman" w:cs="Times New Roman"/>
          <w:b/>
          <w:sz w:val="24"/>
        </w:rPr>
      </w:pPr>
      <w:r>
        <w:rPr>
          <w:rFonts w:ascii="Times New Roman" w:hAnsi="Times New Roman" w:cs="Times New Roman"/>
          <w:b/>
          <w:sz w:val="24"/>
        </w:rPr>
        <w:br w:type="page"/>
      </w:r>
    </w:p>
    <w:tbl>
      <w:tblPr>
        <w:tblW w:w="9072" w:type="dxa"/>
        <w:tblInd w:w="113" w:type="dxa"/>
        <w:tblLook w:val="01E0" w:firstRow="1" w:lastRow="1" w:firstColumn="1" w:lastColumn="1" w:noHBand="0" w:noVBand="0"/>
      </w:tblPr>
      <w:tblGrid>
        <w:gridCol w:w="4855"/>
        <w:gridCol w:w="1620"/>
        <w:gridCol w:w="2597"/>
      </w:tblGrid>
      <w:tr w:rsidR="00A56A1B" w:rsidRPr="00A56A1B" w:rsidTr="00A56A1B">
        <w:tc>
          <w:tcPr>
            <w:tcW w:w="4855" w:type="dxa"/>
            <w:tcBorders>
              <w:top w:val="nil"/>
              <w:left w:val="nil"/>
              <w:bottom w:val="single" w:sz="4" w:space="0" w:color="auto"/>
              <w:right w:val="nil"/>
            </w:tcBorders>
            <w:hideMark/>
          </w:tcPr>
          <w:p w:rsidR="00A56A1B" w:rsidRPr="00A56A1B" w:rsidRDefault="00A56A1B" w:rsidP="00A56A1B">
            <w:pPr>
              <w:spacing w:after="0" w:line="240" w:lineRule="auto"/>
              <w:jc w:val="center"/>
              <w:rPr>
                <w:rFonts w:ascii="Times New Roman" w:eastAsia="Times New Roman" w:hAnsi="Times New Roman" w:cs="Times New Roman"/>
                <w:b/>
                <w:smallCaps/>
                <w:lang w:eastAsia="hu-HU"/>
              </w:rPr>
            </w:pPr>
            <w:r w:rsidRPr="00A56A1B">
              <w:rPr>
                <w:rFonts w:ascii="Times New Roman" w:eastAsia="Times New Roman" w:hAnsi="Times New Roman" w:cs="Times New Roman"/>
                <w:b/>
                <w:smallCaps/>
                <w:lang w:eastAsia="hu-HU"/>
              </w:rPr>
              <w:lastRenderedPageBreak/>
              <w:t>Nemzeti Közszolgálati Egyetem</w:t>
            </w:r>
          </w:p>
        </w:tc>
        <w:tc>
          <w:tcPr>
            <w:tcW w:w="1620" w:type="dxa"/>
          </w:tcPr>
          <w:p w:rsidR="00A56A1B" w:rsidRPr="00A56A1B" w:rsidRDefault="00A56A1B" w:rsidP="00A56A1B">
            <w:pPr>
              <w:spacing w:after="0" w:line="240" w:lineRule="auto"/>
              <w:jc w:val="both"/>
              <w:rPr>
                <w:rFonts w:ascii="Times New Roman" w:eastAsia="Times New Roman" w:hAnsi="Times New Roman" w:cs="Times New Roman"/>
                <w:lang w:eastAsia="hu-HU"/>
              </w:rPr>
            </w:pPr>
          </w:p>
        </w:tc>
        <w:tc>
          <w:tcPr>
            <w:tcW w:w="2597" w:type="dxa"/>
          </w:tcPr>
          <w:p w:rsidR="00A56A1B" w:rsidRPr="00A56A1B" w:rsidRDefault="00A56A1B" w:rsidP="00A56A1B">
            <w:pPr>
              <w:spacing w:after="0" w:line="240" w:lineRule="auto"/>
              <w:jc w:val="right"/>
              <w:rPr>
                <w:rFonts w:ascii="Times New Roman" w:eastAsia="Times New Roman" w:hAnsi="Times New Roman" w:cs="Times New Roman"/>
                <w:lang w:eastAsia="hu-HU"/>
              </w:rPr>
            </w:pPr>
          </w:p>
        </w:tc>
      </w:tr>
      <w:tr w:rsidR="00A56A1B" w:rsidRPr="00A56A1B" w:rsidTr="00A56A1B">
        <w:tc>
          <w:tcPr>
            <w:tcW w:w="4855" w:type="dxa"/>
            <w:tcBorders>
              <w:top w:val="single" w:sz="4" w:space="0" w:color="auto"/>
              <w:left w:val="nil"/>
              <w:bottom w:val="nil"/>
              <w:right w:val="nil"/>
            </w:tcBorders>
            <w:hideMark/>
          </w:tcPr>
          <w:p w:rsidR="00A56A1B" w:rsidRPr="00A56A1B" w:rsidRDefault="00A56A1B" w:rsidP="00A56A1B">
            <w:pPr>
              <w:spacing w:after="0" w:line="240" w:lineRule="auto"/>
              <w:jc w:val="center"/>
              <w:rPr>
                <w:rFonts w:ascii="Times New Roman" w:eastAsia="Times New Roman" w:hAnsi="Times New Roman" w:cs="Times New Roman"/>
                <w:b/>
                <w:lang w:eastAsia="hu-HU"/>
              </w:rPr>
            </w:pPr>
            <w:r w:rsidRPr="00A56A1B">
              <w:rPr>
                <w:rFonts w:ascii="Times New Roman" w:eastAsia="Times New Roman" w:hAnsi="Times New Roman" w:cs="Times New Roman"/>
                <w:b/>
                <w:lang w:eastAsia="hu-HU"/>
              </w:rPr>
              <w:t>Hadtudományi és Honvédtisztképző Kar</w:t>
            </w:r>
          </w:p>
        </w:tc>
        <w:tc>
          <w:tcPr>
            <w:tcW w:w="1620" w:type="dxa"/>
          </w:tcPr>
          <w:p w:rsidR="00A56A1B" w:rsidRPr="00A56A1B" w:rsidRDefault="00A56A1B" w:rsidP="00A56A1B">
            <w:pPr>
              <w:spacing w:after="0" w:line="240" w:lineRule="auto"/>
              <w:jc w:val="both"/>
              <w:rPr>
                <w:rFonts w:ascii="Times New Roman" w:eastAsia="Times New Roman" w:hAnsi="Times New Roman" w:cs="Times New Roman"/>
                <w:lang w:eastAsia="hu-HU"/>
              </w:rPr>
            </w:pPr>
          </w:p>
        </w:tc>
        <w:tc>
          <w:tcPr>
            <w:tcW w:w="2597" w:type="dxa"/>
          </w:tcPr>
          <w:p w:rsidR="00A56A1B" w:rsidRPr="00A56A1B" w:rsidRDefault="00A56A1B" w:rsidP="00A56A1B">
            <w:pPr>
              <w:spacing w:after="0" w:line="240" w:lineRule="auto"/>
              <w:jc w:val="both"/>
              <w:rPr>
                <w:rFonts w:ascii="Times New Roman" w:eastAsia="Times New Roman" w:hAnsi="Times New Roman" w:cs="Times New Roman"/>
                <w:lang w:eastAsia="hu-HU"/>
              </w:rPr>
            </w:pPr>
          </w:p>
        </w:tc>
      </w:tr>
    </w:tbl>
    <w:p w:rsidR="00A56A1B" w:rsidRPr="00A56A1B" w:rsidRDefault="00A56A1B" w:rsidP="00A56A1B">
      <w:pPr>
        <w:tabs>
          <w:tab w:val="right" w:pos="0"/>
          <w:tab w:val="center" w:pos="4819"/>
          <w:tab w:val="right" w:pos="9071"/>
        </w:tabs>
        <w:spacing w:after="0" w:line="240" w:lineRule="auto"/>
        <w:jc w:val="both"/>
        <w:rPr>
          <w:rFonts w:ascii="Times New Roman" w:eastAsia="Times New Roman" w:hAnsi="Times New Roman" w:cs="Times New Roman"/>
          <w:bCs/>
          <w:lang w:eastAsia="hu-HU"/>
        </w:rPr>
      </w:pPr>
    </w:p>
    <w:p w:rsidR="00A56A1B" w:rsidRPr="00A56A1B" w:rsidRDefault="00A56A1B" w:rsidP="00A56A1B">
      <w:pPr>
        <w:spacing w:before="120" w:after="0" w:line="240" w:lineRule="auto"/>
        <w:jc w:val="center"/>
        <w:rPr>
          <w:rFonts w:ascii="Times New Roman" w:eastAsia="Times New Roman" w:hAnsi="Times New Roman" w:cs="Times New Roman"/>
          <w:b/>
          <w:bCs/>
          <w:lang w:eastAsia="hu-HU"/>
        </w:rPr>
      </w:pPr>
      <w:r w:rsidRPr="00A56A1B">
        <w:rPr>
          <w:rFonts w:ascii="Times New Roman" w:eastAsia="Times New Roman" w:hAnsi="Times New Roman" w:cs="Times New Roman"/>
          <w:b/>
          <w:bCs/>
          <w:lang w:eastAsia="hu-HU"/>
        </w:rPr>
        <w:t>TANTÁRGYI PROGRAM</w:t>
      </w:r>
    </w:p>
    <w:p w:rsidR="00A56A1B" w:rsidRPr="00A56A1B" w:rsidRDefault="00A56A1B" w:rsidP="00980876">
      <w:pPr>
        <w:numPr>
          <w:ilvl w:val="0"/>
          <w:numId w:val="715"/>
        </w:numPr>
        <w:tabs>
          <w:tab w:val="clear" w:pos="720"/>
          <w:tab w:val="center" w:pos="4536"/>
          <w:tab w:val="right" w:pos="9071"/>
        </w:tabs>
        <w:spacing w:before="120" w:after="120" w:line="240" w:lineRule="auto"/>
        <w:ind w:left="426" w:hanging="142"/>
        <w:jc w:val="both"/>
        <w:rPr>
          <w:rFonts w:ascii="Times New Roman" w:eastAsia="Times New Roman" w:hAnsi="Times New Roman" w:cs="Times New Roman"/>
          <w:b/>
          <w:bCs/>
          <w:lang w:eastAsia="hu-HU"/>
        </w:rPr>
      </w:pPr>
      <w:r w:rsidRPr="00A56A1B">
        <w:rPr>
          <w:rFonts w:ascii="Times New Roman" w:eastAsia="Times New Roman" w:hAnsi="Times New Roman" w:cs="Times New Roman"/>
          <w:b/>
          <w:bCs/>
          <w:lang w:eastAsia="hu-HU"/>
        </w:rPr>
        <w:t xml:space="preserve">A tantárgy kódja: </w:t>
      </w:r>
      <w:r w:rsidRPr="001F4B47">
        <w:rPr>
          <w:rFonts w:ascii="Times New Roman" w:eastAsia="Times New Roman" w:hAnsi="Times New Roman" w:cs="Times New Roman"/>
          <w:bCs/>
          <w:lang w:eastAsia="hu-HU"/>
        </w:rPr>
        <w:t>HKHDTA27</w:t>
      </w:r>
    </w:p>
    <w:p w:rsidR="00A56A1B" w:rsidRPr="00A56A1B" w:rsidRDefault="00A56A1B" w:rsidP="00980876">
      <w:pPr>
        <w:numPr>
          <w:ilvl w:val="0"/>
          <w:numId w:val="715"/>
        </w:numPr>
        <w:tabs>
          <w:tab w:val="clear" w:pos="720"/>
          <w:tab w:val="center" w:pos="4536"/>
          <w:tab w:val="right" w:pos="9071"/>
        </w:tabs>
        <w:spacing w:before="120" w:after="120" w:line="240" w:lineRule="auto"/>
        <w:ind w:left="426" w:hanging="142"/>
        <w:jc w:val="both"/>
        <w:rPr>
          <w:rFonts w:ascii="Times New Roman" w:eastAsia="Times New Roman" w:hAnsi="Times New Roman" w:cs="Times New Roman"/>
          <w:bCs/>
          <w:lang w:eastAsia="hu-HU"/>
        </w:rPr>
      </w:pPr>
      <w:r w:rsidRPr="00A56A1B">
        <w:rPr>
          <w:rFonts w:ascii="Times New Roman" w:eastAsia="Times New Roman" w:hAnsi="Times New Roman" w:cs="Times New Roman"/>
          <w:b/>
          <w:bCs/>
          <w:lang w:eastAsia="hu-HU"/>
        </w:rPr>
        <w:t xml:space="preserve">A tantárgy megnevezése (magyarul): </w:t>
      </w:r>
      <w:r w:rsidRPr="00A56A1B">
        <w:rPr>
          <w:rFonts w:ascii="Times New Roman" w:eastAsia="Times New Roman" w:hAnsi="Times New Roman" w:cs="Times New Roman"/>
          <w:lang w:eastAsia="hu-HU"/>
        </w:rPr>
        <w:t>Fegyverzettechnikai biztosítás</w:t>
      </w:r>
    </w:p>
    <w:p w:rsidR="00A56A1B" w:rsidRPr="00A56A1B" w:rsidRDefault="00A56A1B" w:rsidP="00980876">
      <w:pPr>
        <w:numPr>
          <w:ilvl w:val="0"/>
          <w:numId w:val="715"/>
        </w:numPr>
        <w:tabs>
          <w:tab w:val="clear" w:pos="720"/>
          <w:tab w:val="center" w:pos="4536"/>
          <w:tab w:val="right" w:pos="9071"/>
        </w:tabs>
        <w:spacing w:before="120" w:after="120" w:line="240" w:lineRule="auto"/>
        <w:ind w:left="426" w:hanging="142"/>
        <w:jc w:val="both"/>
        <w:rPr>
          <w:rFonts w:ascii="Times New Roman" w:eastAsia="Times New Roman" w:hAnsi="Times New Roman" w:cs="Times New Roman"/>
          <w:bCs/>
          <w:lang w:eastAsia="hu-HU"/>
        </w:rPr>
      </w:pPr>
      <w:r w:rsidRPr="00A56A1B">
        <w:rPr>
          <w:rFonts w:ascii="Times New Roman" w:eastAsia="Times New Roman" w:hAnsi="Times New Roman" w:cs="Times New Roman"/>
          <w:b/>
          <w:bCs/>
          <w:lang w:eastAsia="hu-HU"/>
        </w:rPr>
        <w:t xml:space="preserve">A tantárgy megnevezése (angolul): </w:t>
      </w:r>
      <w:r w:rsidRPr="00A56A1B">
        <w:rPr>
          <w:rFonts w:ascii="Times New Roman" w:eastAsia="Times New Roman" w:hAnsi="Times New Roman" w:cs="Times New Roman"/>
          <w:bCs/>
          <w:lang w:eastAsia="hu-HU"/>
        </w:rPr>
        <w:t>Armament support for military operations</w:t>
      </w:r>
    </w:p>
    <w:p w:rsidR="00A56A1B" w:rsidRPr="00A56A1B" w:rsidRDefault="00A56A1B" w:rsidP="00980876">
      <w:pPr>
        <w:numPr>
          <w:ilvl w:val="0"/>
          <w:numId w:val="715"/>
        </w:numPr>
        <w:tabs>
          <w:tab w:val="clear" w:pos="720"/>
          <w:tab w:val="center" w:pos="4536"/>
          <w:tab w:val="right" w:pos="9071"/>
        </w:tabs>
        <w:spacing w:before="120" w:after="120" w:line="240" w:lineRule="auto"/>
        <w:ind w:left="426" w:hanging="142"/>
        <w:jc w:val="both"/>
        <w:rPr>
          <w:rFonts w:ascii="Times New Roman" w:eastAsia="Times New Roman" w:hAnsi="Times New Roman" w:cs="Times New Roman"/>
          <w:bCs/>
          <w:lang w:eastAsia="hu-HU"/>
        </w:rPr>
      </w:pPr>
      <w:r w:rsidRPr="00A56A1B">
        <w:rPr>
          <w:rFonts w:ascii="Times New Roman" w:eastAsia="Times New Roman" w:hAnsi="Times New Roman" w:cs="Times New Roman"/>
          <w:b/>
          <w:bCs/>
          <w:lang w:eastAsia="hu-HU"/>
        </w:rPr>
        <w:t>Kreditérték és képzési karakter:</w:t>
      </w:r>
    </w:p>
    <w:p w:rsidR="00A56A1B" w:rsidRPr="00A56A1B" w:rsidRDefault="00A56A1B" w:rsidP="00980876">
      <w:pPr>
        <w:numPr>
          <w:ilvl w:val="1"/>
          <w:numId w:val="715"/>
        </w:numPr>
        <w:tabs>
          <w:tab w:val="clear" w:pos="3977"/>
          <w:tab w:val="right" w:pos="900"/>
          <w:tab w:val="num" w:pos="1425"/>
          <w:tab w:val="center" w:pos="4536"/>
          <w:tab w:val="right" w:pos="9071"/>
        </w:tabs>
        <w:spacing w:before="120" w:after="120" w:line="240" w:lineRule="auto"/>
        <w:ind w:left="1425"/>
        <w:rPr>
          <w:rFonts w:ascii="Times New Roman" w:eastAsia="Times New Roman" w:hAnsi="Times New Roman" w:cs="Times New Roman"/>
          <w:bCs/>
          <w:lang w:eastAsia="hu-HU"/>
        </w:rPr>
      </w:pPr>
      <w:r w:rsidRPr="00A56A1B">
        <w:rPr>
          <w:rFonts w:ascii="Times New Roman" w:eastAsia="Times New Roman" w:hAnsi="Times New Roman" w:cs="Times New Roman"/>
          <w:b/>
          <w:bCs/>
          <w:lang w:eastAsia="hu-HU"/>
        </w:rPr>
        <w:t xml:space="preserve"> </w:t>
      </w:r>
      <w:r w:rsidRPr="00A56A1B">
        <w:rPr>
          <w:rFonts w:ascii="Times New Roman" w:eastAsia="Times New Roman" w:hAnsi="Times New Roman" w:cs="Times New Roman"/>
          <w:bCs/>
          <w:lang w:eastAsia="hu-HU"/>
        </w:rPr>
        <w:t>4 kredit</w:t>
      </w:r>
    </w:p>
    <w:p w:rsidR="00A56A1B" w:rsidRPr="00A56A1B" w:rsidRDefault="00A56A1B" w:rsidP="00980876">
      <w:pPr>
        <w:numPr>
          <w:ilvl w:val="1"/>
          <w:numId w:val="715"/>
        </w:numPr>
        <w:tabs>
          <w:tab w:val="clear" w:pos="3977"/>
          <w:tab w:val="right" w:pos="900"/>
          <w:tab w:val="num" w:pos="1425"/>
          <w:tab w:val="center" w:pos="4536"/>
          <w:tab w:val="right" w:pos="9071"/>
        </w:tabs>
        <w:spacing w:before="120" w:after="120" w:line="240" w:lineRule="auto"/>
        <w:ind w:left="1425"/>
        <w:rPr>
          <w:rFonts w:ascii="Times New Roman" w:eastAsia="Times New Roman" w:hAnsi="Times New Roman" w:cs="Times New Roman"/>
          <w:bCs/>
          <w:lang w:eastAsia="hu-HU"/>
        </w:rPr>
      </w:pPr>
      <w:r w:rsidRPr="00A56A1B">
        <w:rPr>
          <w:rFonts w:ascii="Times New Roman" w:eastAsia="Times New Roman" w:hAnsi="Times New Roman" w:cs="Times New Roman"/>
          <w:bCs/>
          <w:lang w:eastAsia="hu-HU"/>
        </w:rPr>
        <w:t>a tantárgy elméleti vagy gyakorlati jellegének mértéke: 50 % gyakorlat, 50 % elmélet</w:t>
      </w:r>
    </w:p>
    <w:p w:rsidR="00A56A1B" w:rsidRPr="00A56A1B" w:rsidRDefault="00A56A1B" w:rsidP="00980876">
      <w:pPr>
        <w:numPr>
          <w:ilvl w:val="0"/>
          <w:numId w:val="715"/>
        </w:numPr>
        <w:tabs>
          <w:tab w:val="clear" w:pos="720"/>
          <w:tab w:val="center" w:pos="4536"/>
          <w:tab w:val="right" w:pos="9071"/>
        </w:tabs>
        <w:spacing w:before="120" w:after="120" w:line="240" w:lineRule="auto"/>
        <w:ind w:left="426" w:hanging="142"/>
        <w:jc w:val="both"/>
        <w:rPr>
          <w:rFonts w:ascii="Times New Roman" w:eastAsia="Times New Roman" w:hAnsi="Times New Roman" w:cs="Times New Roman"/>
          <w:bCs/>
          <w:lang w:eastAsia="hu-HU"/>
        </w:rPr>
      </w:pPr>
      <w:r w:rsidRPr="00A56A1B">
        <w:rPr>
          <w:rFonts w:ascii="Times New Roman" w:eastAsia="Times New Roman" w:hAnsi="Times New Roman" w:cs="Times New Roman"/>
          <w:b/>
          <w:bCs/>
          <w:lang w:eastAsia="hu-HU"/>
        </w:rPr>
        <w:t xml:space="preserve">A szak(ok), szakirányok/specializációk megnevezése (ahol oktatják): </w:t>
      </w:r>
      <w:r w:rsidRPr="00A56A1B">
        <w:rPr>
          <w:rFonts w:ascii="Times New Roman" w:eastAsia="Times New Roman" w:hAnsi="Times New Roman" w:cs="Times New Roman"/>
          <w:bCs/>
          <w:lang w:eastAsia="hu-HU"/>
        </w:rPr>
        <w:t>Katonai logisztika (</w:t>
      </w:r>
      <w:r w:rsidR="00137B8A">
        <w:rPr>
          <w:rFonts w:ascii="Times New Roman" w:eastAsia="Times New Roman" w:hAnsi="Times New Roman" w:cs="Times New Roman"/>
          <w:bCs/>
          <w:lang w:eastAsia="hu-HU"/>
        </w:rPr>
        <w:t>BSc</w:t>
      </w:r>
      <w:r w:rsidRPr="00A56A1B">
        <w:rPr>
          <w:rFonts w:ascii="Times New Roman" w:eastAsia="Times New Roman" w:hAnsi="Times New Roman" w:cs="Times New Roman"/>
          <w:bCs/>
          <w:lang w:eastAsia="hu-HU"/>
        </w:rPr>
        <w:t>) alapképzési szak, haditechnika specializáció, fegyverzettechnikai modul</w:t>
      </w:r>
    </w:p>
    <w:p w:rsidR="00A56A1B" w:rsidRPr="00A56A1B" w:rsidRDefault="00A56A1B" w:rsidP="00980876">
      <w:pPr>
        <w:numPr>
          <w:ilvl w:val="0"/>
          <w:numId w:val="715"/>
        </w:numPr>
        <w:tabs>
          <w:tab w:val="clear" w:pos="720"/>
          <w:tab w:val="center" w:pos="4536"/>
          <w:tab w:val="right" w:pos="9071"/>
        </w:tabs>
        <w:spacing w:before="120" w:after="120" w:line="240" w:lineRule="auto"/>
        <w:ind w:left="426" w:hanging="142"/>
        <w:jc w:val="both"/>
        <w:rPr>
          <w:rFonts w:ascii="Times New Roman" w:eastAsia="Times New Roman" w:hAnsi="Times New Roman" w:cs="Times New Roman"/>
          <w:bCs/>
          <w:lang w:eastAsia="hu-HU"/>
        </w:rPr>
      </w:pPr>
      <w:r w:rsidRPr="00A56A1B">
        <w:rPr>
          <w:rFonts w:ascii="Times New Roman" w:eastAsia="Times New Roman" w:hAnsi="Times New Roman" w:cs="Times New Roman"/>
          <w:b/>
          <w:bCs/>
          <w:lang w:eastAsia="hu-HU"/>
        </w:rPr>
        <w:tab/>
        <w:t xml:space="preserve">Az oktatásért felelős oktatási szervezeti egység megnevezése: </w:t>
      </w:r>
      <w:r w:rsidRPr="00A56A1B">
        <w:rPr>
          <w:rFonts w:ascii="Times New Roman" w:eastAsia="Times New Roman" w:hAnsi="Times New Roman" w:cs="Times New Roman"/>
          <w:bCs/>
          <w:lang w:eastAsia="hu-HU"/>
        </w:rPr>
        <w:t>NKE,</w:t>
      </w:r>
      <w:r w:rsidRPr="00A56A1B">
        <w:rPr>
          <w:rFonts w:ascii="Times New Roman" w:eastAsia="Times New Roman" w:hAnsi="Times New Roman" w:cs="Times New Roman"/>
          <w:b/>
          <w:bCs/>
          <w:lang w:eastAsia="hu-HU"/>
        </w:rPr>
        <w:t xml:space="preserve"> </w:t>
      </w:r>
      <w:r w:rsidRPr="00A56A1B">
        <w:rPr>
          <w:rFonts w:ascii="Times New Roman" w:eastAsia="Times New Roman" w:hAnsi="Times New Roman" w:cs="Times New Roman"/>
          <w:bCs/>
          <w:lang w:eastAsia="hu-HU"/>
        </w:rPr>
        <w:t>Hadtudományi és Honvédtisztképző Kar, Haditechnikai Tanszék</w:t>
      </w:r>
    </w:p>
    <w:p w:rsidR="00A56A1B" w:rsidRPr="00A56A1B" w:rsidRDefault="00A56A1B" w:rsidP="00980876">
      <w:pPr>
        <w:numPr>
          <w:ilvl w:val="0"/>
          <w:numId w:val="715"/>
        </w:numPr>
        <w:tabs>
          <w:tab w:val="clear" w:pos="720"/>
          <w:tab w:val="center" w:pos="4536"/>
          <w:tab w:val="right" w:pos="9071"/>
        </w:tabs>
        <w:spacing w:before="120" w:after="120" w:line="240" w:lineRule="auto"/>
        <w:ind w:left="426" w:hanging="142"/>
        <w:jc w:val="both"/>
        <w:rPr>
          <w:rFonts w:ascii="Times New Roman" w:eastAsia="Times New Roman" w:hAnsi="Times New Roman" w:cs="Times New Roman"/>
          <w:bCs/>
          <w:lang w:eastAsia="hu-HU"/>
        </w:rPr>
      </w:pPr>
      <w:r w:rsidRPr="00A56A1B">
        <w:rPr>
          <w:rFonts w:ascii="Times New Roman" w:eastAsia="Times New Roman" w:hAnsi="Times New Roman" w:cs="Times New Roman"/>
          <w:b/>
          <w:bCs/>
          <w:lang w:eastAsia="hu-HU"/>
        </w:rPr>
        <w:t xml:space="preserve">A tantárgyfelelős oktató neve, beosztása, tudományos fokozata: </w:t>
      </w:r>
      <w:r w:rsidRPr="00A56A1B">
        <w:rPr>
          <w:rFonts w:ascii="Times New Roman" w:eastAsia="Times New Roman" w:hAnsi="Times New Roman" w:cs="Times New Roman"/>
          <w:bCs/>
          <w:lang w:eastAsia="hu-HU"/>
        </w:rPr>
        <w:t>Dr. Vég Róbert László alezredes PhD, egyetemi docens</w:t>
      </w:r>
    </w:p>
    <w:p w:rsidR="00A56A1B" w:rsidRPr="00A56A1B" w:rsidRDefault="00A56A1B" w:rsidP="00980876">
      <w:pPr>
        <w:numPr>
          <w:ilvl w:val="0"/>
          <w:numId w:val="715"/>
        </w:numPr>
        <w:tabs>
          <w:tab w:val="clear" w:pos="720"/>
          <w:tab w:val="center" w:pos="4536"/>
          <w:tab w:val="right" w:pos="9071"/>
        </w:tabs>
        <w:spacing w:before="120" w:after="120" w:line="240" w:lineRule="auto"/>
        <w:ind w:left="426" w:hanging="142"/>
        <w:jc w:val="both"/>
        <w:rPr>
          <w:rFonts w:ascii="Times New Roman" w:eastAsia="Times New Roman" w:hAnsi="Times New Roman" w:cs="Times New Roman"/>
          <w:b/>
          <w:lang w:eastAsia="hu-HU"/>
        </w:rPr>
      </w:pPr>
      <w:r w:rsidRPr="00A56A1B">
        <w:rPr>
          <w:rFonts w:ascii="Times New Roman" w:eastAsia="Times New Roman" w:hAnsi="Times New Roman" w:cs="Times New Roman"/>
          <w:b/>
          <w:bCs/>
          <w:lang w:eastAsia="hu-HU"/>
        </w:rPr>
        <w:t xml:space="preserve">A tanórák száma </w:t>
      </w:r>
      <w:r w:rsidRPr="00A56A1B">
        <w:rPr>
          <w:rFonts w:ascii="Times New Roman" w:eastAsia="Times New Roman" w:hAnsi="Times New Roman" w:cs="Times New Roman"/>
          <w:b/>
          <w:lang w:eastAsia="hu-HU"/>
        </w:rPr>
        <w:t>(előadás + szeminárium + gyakorlat)</w:t>
      </w:r>
    </w:p>
    <w:p w:rsidR="00A56A1B" w:rsidRPr="00A56A1B" w:rsidRDefault="00A56A1B" w:rsidP="00980876">
      <w:pPr>
        <w:numPr>
          <w:ilvl w:val="1"/>
          <w:numId w:val="715"/>
        </w:numPr>
        <w:tabs>
          <w:tab w:val="clear" w:pos="3977"/>
          <w:tab w:val="num" w:pos="1425"/>
        </w:tabs>
        <w:spacing w:before="120" w:after="120" w:line="240" w:lineRule="auto"/>
        <w:ind w:left="567" w:firstLine="0"/>
        <w:jc w:val="both"/>
        <w:rPr>
          <w:rFonts w:ascii="Times New Roman" w:eastAsia="Times New Roman" w:hAnsi="Times New Roman" w:cs="Times New Roman"/>
          <w:bCs/>
          <w:lang w:eastAsia="hu-HU"/>
        </w:rPr>
      </w:pPr>
      <w:r w:rsidRPr="00A56A1B">
        <w:rPr>
          <w:rFonts w:ascii="Times New Roman" w:eastAsia="Times New Roman" w:hAnsi="Times New Roman" w:cs="Times New Roman"/>
          <w:bCs/>
          <w:lang w:eastAsia="hu-HU"/>
        </w:rPr>
        <w:t>össz óraszám/félév: 56</w:t>
      </w:r>
    </w:p>
    <w:p w:rsidR="00A56A1B" w:rsidRPr="00A56A1B" w:rsidRDefault="00A56A1B" w:rsidP="00980876">
      <w:pPr>
        <w:numPr>
          <w:ilvl w:val="2"/>
          <w:numId w:val="715"/>
        </w:numPr>
        <w:tabs>
          <w:tab w:val="clear" w:pos="1800"/>
          <w:tab w:val="right" w:pos="900"/>
          <w:tab w:val="num" w:pos="1724"/>
          <w:tab w:val="num" w:pos="1843"/>
        </w:tabs>
        <w:spacing w:after="0" w:line="240" w:lineRule="auto"/>
        <w:ind w:left="1418" w:hanging="567"/>
        <w:jc w:val="both"/>
        <w:rPr>
          <w:rFonts w:ascii="Times New Roman" w:eastAsia="Times New Roman" w:hAnsi="Times New Roman" w:cs="Times New Roman"/>
          <w:bCs/>
          <w:lang w:eastAsia="hu-HU"/>
        </w:rPr>
      </w:pPr>
      <w:r w:rsidRPr="00A56A1B">
        <w:rPr>
          <w:rFonts w:ascii="Times New Roman" w:eastAsia="Times New Roman" w:hAnsi="Times New Roman" w:cs="Times New Roman"/>
          <w:bCs/>
          <w:lang w:eastAsia="hu-HU"/>
        </w:rPr>
        <w:t>Nappali munkarend: 56 (28 EA+ 0 SZ + 28 GY)</w:t>
      </w:r>
    </w:p>
    <w:p w:rsidR="00A56A1B" w:rsidRPr="00A56A1B" w:rsidRDefault="00A56A1B" w:rsidP="00980876">
      <w:pPr>
        <w:numPr>
          <w:ilvl w:val="2"/>
          <w:numId w:val="715"/>
        </w:numPr>
        <w:tabs>
          <w:tab w:val="clear" w:pos="1800"/>
          <w:tab w:val="right" w:pos="900"/>
          <w:tab w:val="num" w:pos="1724"/>
          <w:tab w:val="num" w:pos="1843"/>
        </w:tabs>
        <w:spacing w:after="0" w:line="240" w:lineRule="auto"/>
        <w:ind w:left="1418" w:hanging="567"/>
        <w:jc w:val="both"/>
        <w:rPr>
          <w:rFonts w:ascii="Times New Roman" w:eastAsia="Times New Roman" w:hAnsi="Times New Roman" w:cs="Times New Roman"/>
          <w:bCs/>
          <w:lang w:eastAsia="hu-HU"/>
        </w:rPr>
      </w:pPr>
      <w:r w:rsidRPr="00A56A1B">
        <w:rPr>
          <w:rFonts w:ascii="Times New Roman" w:eastAsia="Times New Roman" w:hAnsi="Times New Roman" w:cs="Times New Roman"/>
          <w:bCs/>
          <w:lang w:eastAsia="hu-HU"/>
        </w:rPr>
        <w:t>Levelező munkarend: -</w:t>
      </w:r>
    </w:p>
    <w:p w:rsidR="00A56A1B" w:rsidRPr="00A56A1B" w:rsidRDefault="00A56A1B" w:rsidP="00980876">
      <w:pPr>
        <w:numPr>
          <w:ilvl w:val="1"/>
          <w:numId w:val="715"/>
        </w:numPr>
        <w:tabs>
          <w:tab w:val="clear" w:pos="3977"/>
          <w:tab w:val="num" w:pos="1425"/>
        </w:tabs>
        <w:spacing w:before="120" w:after="120" w:line="240" w:lineRule="auto"/>
        <w:ind w:left="567" w:firstLine="0"/>
        <w:jc w:val="both"/>
        <w:rPr>
          <w:rFonts w:ascii="Times New Roman" w:eastAsia="Times New Roman" w:hAnsi="Times New Roman" w:cs="Times New Roman"/>
          <w:bCs/>
          <w:lang w:eastAsia="hu-HU"/>
        </w:rPr>
      </w:pPr>
      <w:r w:rsidRPr="00A56A1B">
        <w:rPr>
          <w:rFonts w:ascii="Times New Roman" w:eastAsia="Times New Roman" w:hAnsi="Times New Roman" w:cs="Times New Roman"/>
          <w:bCs/>
          <w:lang w:eastAsia="hu-HU"/>
        </w:rPr>
        <w:t>heti óraszám nappali munkarend: 4 (2 + 2)</w:t>
      </w:r>
    </w:p>
    <w:p w:rsidR="00A56A1B" w:rsidRPr="00A56A1B" w:rsidRDefault="00A56A1B" w:rsidP="00980876">
      <w:pPr>
        <w:numPr>
          <w:ilvl w:val="1"/>
          <w:numId w:val="715"/>
        </w:numPr>
        <w:tabs>
          <w:tab w:val="clear" w:pos="3977"/>
          <w:tab w:val="num" w:pos="1425"/>
        </w:tabs>
        <w:spacing w:before="120" w:after="120" w:line="240" w:lineRule="auto"/>
        <w:ind w:left="567" w:firstLine="0"/>
        <w:jc w:val="both"/>
        <w:rPr>
          <w:rFonts w:ascii="Times New Roman" w:eastAsia="Times New Roman" w:hAnsi="Times New Roman" w:cs="Times New Roman"/>
          <w:bCs/>
          <w:lang w:eastAsia="hu-HU"/>
        </w:rPr>
      </w:pPr>
      <w:r w:rsidRPr="00A56A1B">
        <w:rPr>
          <w:rFonts w:ascii="Times New Roman" w:eastAsia="Times New Roman" w:hAnsi="Times New Roman" w:cs="Times New Roman"/>
          <w:bCs/>
          <w:lang w:eastAsia="hu-HU"/>
        </w:rPr>
        <w:t>Az ismeret átadásában alkalmazandó további sajátos módok, jellemzők: vegyes tanulási program (blended learning)</w:t>
      </w:r>
    </w:p>
    <w:p w:rsidR="00A56A1B" w:rsidRPr="00A56A1B" w:rsidRDefault="00A56A1B" w:rsidP="00980876">
      <w:pPr>
        <w:numPr>
          <w:ilvl w:val="0"/>
          <w:numId w:val="715"/>
        </w:numPr>
        <w:tabs>
          <w:tab w:val="clear" w:pos="720"/>
          <w:tab w:val="center" w:pos="4536"/>
          <w:tab w:val="right" w:pos="9071"/>
        </w:tabs>
        <w:spacing w:before="120" w:after="120" w:line="240" w:lineRule="auto"/>
        <w:ind w:left="426" w:hanging="142"/>
        <w:jc w:val="both"/>
        <w:rPr>
          <w:rFonts w:ascii="Times New Roman" w:eastAsia="Times New Roman" w:hAnsi="Times New Roman" w:cs="Times New Roman"/>
          <w:lang w:eastAsia="hu-HU"/>
        </w:rPr>
      </w:pPr>
      <w:r w:rsidRPr="00A56A1B">
        <w:rPr>
          <w:rFonts w:ascii="Times New Roman" w:eastAsia="Times New Roman" w:hAnsi="Times New Roman" w:cs="Times New Roman"/>
          <w:b/>
          <w:bCs/>
          <w:lang w:eastAsia="hu-HU"/>
        </w:rPr>
        <w:t>A tantárgy szakmai tartalma (magyarul):</w:t>
      </w:r>
      <w:r w:rsidRPr="00A56A1B">
        <w:rPr>
          <w:rFonts w:ascii="CG Times (W1)" w:eastAsia="Times New Roman" w:hAnsi="CG Times (W1)" w:cs="Times New Roman"/>
          <w:b/>
          <w:bCs/>
          <w:lang w:eastAsia="hu-HU"/>
        </w:rPr>
        <w:t xml:space="preserve"> </w:t>
      </w:r>
      <w:r w:rsidRPr="00A56A1B">
        <w:rPr>
          <w:rFonts w:ascii="Times New Roman" w:eastAsia="Times New Roman" w:hAnsi="Times New Roman" w:cs="Times New Roman"/>
          <w:lang w:eastAsia="hu-HU"/>
        </w:rPr>
        <w:t>Szakági vezet</w:t>
      </w:r>
      <w:r w:rsidRPr="00A56A1B">
        <w:rPr>
          <w:rFonts w:ascii="Times New Roman" w:eastAsia="Times New Roman" w:hAnsi="Times New Roman" w:cs="Times New Roman" w:hint="eastAsia"/>
          <w:lang w:eastAsia="hu-HU"/>
        </w:rPr>
        <w:t>ő</w:t>
      </w:r>
      <w:r w:rsidRPr="00A56A1B">
        <w:rPr>
          <w:rFonts w:ascii="Times New Roman" w:eastAsia="Times New Roman" w:hAnsi="Times New Roman" w:cs="Times New Roman"/>
          <w:lang w:eastAsia="hu-HU"/>
        </w:rPr>
        <w:t xml:space="preserve"> és végrehajtó szervezetek felépítése, jogállása, hatásköre és feladataik. Hadfelszerelések, hadianyagok, haditechnikai eszközök, felel</w:t>
      </w:r>
      <w:r w:rsidRPr="00A56A1B">
        <w:rPr>
          <w:rFonts w:ascii="Times New Roman" w:eastAsia="Times New Roman" w:hAnsi="Times New Roman" w:cs="Times New Roman" w:hint="eastAsia"/>
          <w:lang w:eastAsia="hu-HU"/>
        </w:rPr>
        <w:t>ő</w:t>
      </w:r>
      <w:r w:rsidRPr="00A56A1B">
        <w:rPr>
          <w:rFonts w:ascii="Times New Roman" w:eastAsia="Times New Roman" w:hAnsi="Times New Roman" w:cs="Times New Roman"/>
          <w:lang w:eastAsia="hu-HU"/>
        </w:rPr>
        <w:t>sségek. NATO és hazai ellátási osztályok. Ellátási, számvetési meghatározások. Szakági anyagi biztosítás alapjai. L</w:t>
      </w:r>
      <w:r w:rsidRPr="00A56A1B">
        <w:rPr>
          <w:rFonts w:ascii="Times New Roman" w:eastAsia="Times New Roman" w:hAnsi="Times New Roman" w:cs="Times New Roman" w:hint="eastAsia"/>
          <w:lang w:eastAsia="hu-HU"/>
        </w:rPr>
        <w:t>ő</w:t>
      </w:r>
      <w:r w:rsidRPr="00A56A1B">
        <w:rPr>
          <w:rFonts w:ascii="Times New Roman" w:eastAsia="Times New Roman" w:hAnsi="Times New Roman" w:cs="Times New Roman"/>
          <w:lang w:eastAsia="hu-HU"/>
        </w:rPr>
        <w:t>szercsoportok, készletek felosztása, tartalmuk, l</w:t>
      </w:r>
      <w:r w:rsidRPr="00A56A1B">
        <w:rPr>
          <w:rFonts w:ascii="Times New Roman" w:eastAsia="Times New Roman" w:hAnsi="Times New Roman" w:cs="Times New Roman" w:hint="eastAsia"/>
          <w:lang w:eastAsia="hu-HU"/>
        </w:rPr>
        <w:t>ő</w:t>
      </w:r>
      <w:r w:rsidRPr="00A56A1B">
        <w:rPr>
          <w:rFonts w:ascii="Times New Roman" w:eastAsia="Times New Roman" w:hAnsi="Times New Roman" w:cs="Times New Roman"/>
          <w:lang w:eastAsia="hu-HU"/>
        </w:rPr>
        <w:t>szerkészletek lépcs</w:t>
      </w:r>
      <w:r w:rsidRPr="00A56A1B">
        <w:rPr>
          <w:rFonts w:ascii="Times New Roman" w:eastAsia="Times New Roman" w:hAnsi="Times New Roman" w:cs="Times New Roman" w:hint="eastAsia"/>
          <w:lang w:eastAsia="hu-HU"/>
        </w:rPr>
        <w:t>ő</w:t>
      </w:r>
      <w:r w:rsidRPr="00A56A1B">
        <w:rPr>
          <w:rFonts w:ascii="Times New Roman" w:eastAsia="Times New Roman" w:hAnsi="Times New Roman" w:cs="Times New Roman"/>
          <w:lang w:eastAsia="hu-HU"/>
        </w:rPr>
        <w:t>zése. L</w:t>
      </w:r>
      <w:r w:rsidRPr="00A56A1B">
        <w:rPr>
          <w:rFonts w:ascii="Times New Roman" w:eastAsia="Times New Roman" w:hAnsi="Times New Roman" w:cs="Times New Roman" w:hint="eastAsia"/>
          <w:lang w:eastAsia="hu-HU"/>
        </w:rPr>
        <w:t>ő</w:t>
      </w:r>
      <w:r w:rsidRPr="00A56A1B">
        <w:rPr>
          <w:rFonts w:ascii="Times New Roman" w:eastAsia="Times New Roman" w:hAnsi="Times New Roman" w:cs="Times New Roman"/>
          <w:lang w:eastAsia="hu-HU"/>
        </w:rPr>
        <w:t>szerkészletek meghatározása. L</w:t>
      </w:r>
      <w:r w:rsidRPr="00A56A1B">
        <w:rPr>
          <w:rFonts w:ascii="Times New Roman" w:eastAsia="Times New Roman" w:hAnsi="Times New Roman" w:cs="Times New Roman" w:hint="eastAsia"/>
          <w:lang w:eastAsia="hu-HU"/>
        </w:rPr>
        <w:t>ő</w:t>
      </w:r>
      <w:r w:rsidRPr="00A56A1B">
        <w:rPr>
          <w:rFonts w:ascii="Times New Roman" w:eastAsia="Times New Roman" w:hAnsi="Times New Roman" w:cs="Times New Roman"/>
          <w:lang w:eastAsia="hu-HU"/>
        </w:rPr>
        <w:t>szerszükséglet, felhasználás, készletek, l</w:t>
      </w:r>
      <w:r w:rsidRPr="00A56A1B">
        <w:rPr>
          <w:rFonts w:ascii="Times New Roman" w:eastAsia="Times New Roman" w:hAnsi="Times New Roman" w:cs="Times New Roman" w:hint="eastAsia"/>
          <w:lang w:eastAsia="hu-HU"/>
        </w:rPr>
        <w:t>ő</w:t>
      </w:r>
      <w:r w:rsidRPr="00A56A1B">
        <w:rPr>
          <w:rFonts w:ascii="Times New Roman" w:eastAsia="Times New Roman" w:hAnsi="Times New Roman" w:cs="Times New Roman"/>
          <w:lang w:eastAsia="hu-HU"/>
        </w:rPr>
        <w:t>szerigény.  L</w:t>
      </w:r>
      <w:r w:rsidRPr="00A56A1B">
        <w:rPr>
          <w:rFonts w:ascii="Times New Roman" w:eastAsia="Times New Roman" w:hAnsi="Times New Roman" w:cs="Times New Roman" w:hint="eastAsia"/>
          <w:lang w:eastAsia="hu-HU"/>
        </w:rPr>
        <w:t>ő</w:t>
      </w:r>
      <w:r w:rsidRPr="00A56A1B">
        <w:rPr>
          <w:rFonts w:ascii="Times New Roman" w:eastAsia="Times New Roman" w:hAnsi="Times New Roman" w:cs="Times New Roman"/>
          <w:lang w:eastAsia="hu-HU"/>
        </w:rPr>
        <w:t>szerellátási források, ellátás rendje, módjai. L</w:t>
      </w:r>
      <w:r w:rsidRPr="00A56A1B">
        <w:rPr>
          <w:rFonts w:ascii="Times New Roman" w:eastAsia="Times New Roman" w:hAnsi="Times New Roman" w:cs="Times New Roman" w:hint="eastAsia"/>
          <w:lang w:eastAsia="hu-HU"/>
        </w:rPr>
        <w:t>ő</w:t>
      </w:r>
      <w:r w:rsidRPr="00A56A1B">
        <w:rPr>
          <w:rFonts w:ascii="Times New Roman" w:eastAsia="Times New Roman" w:hAnsi="Times New Roman" w:cs="Times New Roman"/>
          <w:lang w:eastAsia="hu-HU"/>
        </w:rPr>
        <w:t>szerellátó tagozatok, lehet</w:t>
      </w:r>
      <w:r w:rsidRPr="00A56A1B">
        <w:rPr>
          <w:rFonts w:ascii="Times New Roman" w:eastAsia="Times New Roman" w:hAnsi="Times New Roman" w:cs="Times New Roman" w:hint="eastAsia"/>
          <w:lang w:eastAsia="hu-HU"/>
        </w:rPr>
        <w:t>ő</w:t>
      </w:r>
      <w:r w:rsidRPr="00A56A1B">
        <w:rPr>
          <w:rFonts w:ascii="Times New Roman" w:eastAsia="Times New Roman" w:hAnsi="Times New Roman" w:cs="Times New Roman"/>
          <w:lang w:eastAsia="hu-HU"/>
        </w:rPr>
        <w:t xml:space="preserve">ségeik, anyagi biztosítási elemek és tevékenységük. Szakági technikai biztosítás alapjai. Haditechnikai eszközök csoportosítása, haditechnikai eszközök készletei. Technikai biztosítás feladatai, üzembentartás - üzemeltetés - fenntartás - helyreállítás. Haditechnikai eszközveszteségek, helyreállítás folyamatai, elvei. Technikai felderítés, vontatás (szállítás), javítás, eszközök visszatérítése. Technikai biztosítási elemek és tevékenységük. </w:t>
      </w:r>
    </w:p>
    <w:p w:rsidR="00A56A1B" w:rsidRPr="00A56A1B" w:rsidRDefault="00A56A1B" w:rsidP="003B548A">
      <w:pPr>
        <w:tabs>
          <w:tab w:val="center" w:pos="4536"/>
          <w:tab w:val="right" w:pos="9071"/>
        </w:tabs>
        <w:spacing w:before="120" w:after="120" w:line="240" w:lineRule="auto"/>
        <w:ind w:left="426"/>
        <w:jc w:val="both"/>
        <w:rPr>
          <w:rFonts w:ascii="CG Times (W1)" w:eastAsia="Times New Roman" w:hAnsi="CG Times (W1)" w:cs="Times New Roman"/>
          <w:b/>
          <w:bCs/>
          <w:lang w:eastAsia="hu-HU"/>
        </w:rPr>
      </w:pPr>
      <w:r w:rsidRPr="00A56A1B">
        <w:rPr>
          <w:rFonts w:ascii="Times New Roman" w:eastAsia="Times New Roman" w:hAnsi="Times New Roman" w:cs="Times New Roman"/>
          <w:b/>
          <w:bCs/>
          <w:lang w:eastAsia="hu-HU"/>
        </w:rPr>
        <w:t>A tantárgy szakmai tartalma (angolul) (Course description):</w:t>
      </w:r>
      <w:r w:rsidRPr="00A56A1B">
        <w:rPr>
          <w:rFonts w:ascii="CG Times (W1)" w:eastAsia="Times New Roman" w:hAnsi="CG Times (W1)" w:cs="Times New Roman"/>
          <w:b/>
          <w:bCs/>
          <w:lang w:eastAsia="hu-HU"/>
        </w:rPr>
        <w:t xml:space="preserve"> </w:t>
      </w:r>
      <w:r w:rsidRPr="00A56A1B">
        <w:rPr>
          <w:rFonts w:ascii="CG Times (W1)" w:eastAsia="Times New Roman" w:hAnsi="CG Times (W1)" w:cs="Times New Roman"/>
          <w:lang w:eastAsia="hu-HU"/>
        </w:rPr>
        <w:t>Structure, legal status, competencies and responsibilities of professional leadership and executive organizations. Military equipment, war material, military equipment, responsibilities. NATO and Domestic Supply Departments. Supply and accounting definitions. The basics of professional insurance. Division of ammunition groups, kits, their contents, staging of ammunition sets. Determination of ammunition sets. Ammunition requirements, uses, supplies, ammunition requirements. Sources of ammunition supply, order and methods of supply. Ammunition units, their facilities, material insurance elements and activities. Technical insurance fundamentals. Grouping of military equipment, sets of military equipment. Technical insurance tasks, maintenance - operation - maintenance - restoration. Losses of military equipment, processes and principles of reconstruction. Technical reconnaissance, towing (repairs), repair, return of equipment. Technical insurance elements and their activities..</w:t>
      </w:r>
    </w:p>
    <w:p w:rsidR="00A56A1B" w:rsidRPr="00A56A1B" w:rsidRDefault="00A56A1B" w:rsidP="00980876">
      <w:pPr>
        <w:numPr>
          <w:ilvl w:val="0"/>
          <w:numId w:val="715"/>
        </w:numPr>
        <w:tabs>
          <w:tab w:val="clear" w:pos="720"/>
          <w:tab w:val="center" w:pos="4536"/>
          <w:tab w:val="right" w:pos="9071"/>
        </w:tabs>
        <w:spacing w:before="120" w:after="120" w:line="240" w:lineRule="auto"/>
        <w:ind w:left="426" w:hanging="142"/>
        <w:jc w:val="both"/>
        <w:rPr>
          <w:rFonts w:ascii="CG Times (W1)" w:eastAsia="Times New Roman" w:hAnsi="CG Times (W1)" w:cs="Times New Roman"/>
          <w:b/>
          <w:bCs/>
          <w:lang w:eastAsia="hu-HU"/>
        </w:rPr>
      </w:pPr>
      <w:r w:rsidRPr="003B548A">
        <w:rPr>
          <w:rFonts w:ascii="Times New Roman" w:eastAsia="Times New Roman" w:hAnsi="Times New Roman" w:cs="Times New Roman"/>
          <w:b/>
          <w:bCs/>
          <w:lang w:eastAsia="hu-HU"/>
        </w:rPr>
        <w:lastRenderedPageBreak/>
        <w:t>Elérendő</w:t>
      </w:r>
      <w:r w:rsidRPr="00A56A1B">
        <w:rPr>
          <w:rFonts w:ascii="CG Times (W1)" w:eastAsia="Times New Roman" w:hAnsi="CG Times (W1)" w:cs="Times New Roman"/>
          <w:b/>
          <w:bCs/>
          <w:lang w:eastAsia="hu-HU"/>
        </w:rPr>
        <w:t xml:space="preserve"> kompetenciák (magyarul)</w:t>
      </w:r>
    </w:p>
    <w:p w:rsidR="00A56A1B" w:rsidRPr="00A56A1B" w:rsidRDefault="00A56A1B" w:rsidP="003B548A">
      <w:pPr>
        <w:autoSpaceDE w:val="0"/>
        <w:autoSpaceDN w:val="0"/>
        <w:adjustRightInd w:val="0"/>
        <w:spacing w:before="120" w:after="0" w:line="240" w:lineRule="auto"/>
        <w:ind w:left="646"/>
        <w:jc w:val="both"/>
        <w:rPr>
          <w:rFonts w:ascii="Times New Roman" w:eastAsia="Times New Roman" w:hAnsi="Times New Roman" w:cs="Times New Roman"/>
          <w:b/>
          <w:color w:val="000000"/>
          <w:lang w:eastAsia="hu-HU"/>
        </w:rPr>
      </w:pPr>
      <w:r w:rsidRPr="00A56A1B">
        <w:rPr>
          <w:rFonts w:ascii="Times New Roman" w:eastAsia="Times New Roman" w:hAnsi="Times New Roman" w:cs="Times New Roman"/>
          <w:b/>
          <w:color w:val="000000"/>
          <w:lang w:eastAsia="hu-HU"/>
        </w:rPr>
        <w:t>Tudása:</w:t>
      </w:r>
    </w:p>
    <w:p w:rsidR="00A56A1B" w:rsidRPr="00A56A1B" w:rsidRDefault="00A56A1B"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A56A1B">
        <w:rPr>
          <w:rFonts w:ascii="Times New Roman" w:eastAsia="Times New Roman" w:hAnsi="Times New Roman" w:cs="Times New Roman"/>
          <w:color w:val="000000"/>
          <w:lang w:eastAsia="hu-HU"/>
        </w:rPr>
        <w:t>Megfelelő műszaki alapokkal rendelkezik, amelyek biztosítják az új ismeretek elsajátítását.</w:t>
      </w:r>
    </w:p>
    <w:p w:rsidR="00A56A1B" w:rsidRPr="00A56A1B" w:rsidRDefault="00A56A1B"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A56A1B">
        <w:rPr>
          <w:rFonts w:ascii="Times New Roman" w:eastAsia="Times New Roman" w:hAnsi="Times New Roman" w:cs="Times New Roman"/>
          <w:color w:val="000000"/>
          <w:lang w:eastAsia="hu-HU"/>
        </w:rPr>
        <w:t>Ismeri a fegyverzettechnikai eszközök ellátáshoz és fenntartásához szükséges anyagok körét.</w:t>
      </w:r>
    </w:p>
    <w:p w:rsidR="00A56A1B" w:rsidRPr="00A56A1B" w:rsidRDefault="00A56A1B"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A56A1B">
        <w:rPr>
          <w:rFonts w:ascii="Times New Roman" w:eastAsia="Times New Roman" w:hAnsi="Times New Roman" w:cs="Times New Roman"/>
          <w:color w:val="000000"/>
          <w:lang w:eastAsia="hu-HU"/>
        </w:rPr>
        <w:t>Ismeri a szakfeladatainak ellátásához szükséges munkavédelmi rendszabályokat.</w:t>
      </w:r>
    </w:p>
    <w:p w:rsidR="00A56A1B" w:rsidRPr="00A56A1B" w:rsidRDefault="00A56A1B"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A56A1B">
        <w:rPr>
          <w:rFonts w:ascii="Times New Roman" w:eastAsia="Times New Roman" w:hAnsi="Times New Roman" w:cs="Times New Roman"/>
          <w:color w:val="000000"/>
          <w:lang w:eastAsia="hu-HU"/>
        </w:rPr>
        <w:t>Megfelelő mélységű és spektrumú fegyverzettechnikai típusismerettel rendelkezik.</w:t>
      </w:r>
    </w:p>
    <w:p w:rsidR="00A56A1B" w:rsidRPr="00A56A1B" w:rsidRDefault="00A56A1B" w:rsidP="003B548A">
      <w:pPr>
        <w:autoSpaceDE w:val="0"/>
        <w:autoSpaceDN w:val="0"/>
        <w:adjustRightInd w:val="0"/>
        <w:spacing w:before="120" w:after="0" w:line="240" w:lineRule="auto"/>
        <w:ind w:left="646"/>
        <w:jc w:val="both"/>
        <w:rPr>
          <w:rFonts w:ascii="Times New Roman" w:eastAsia="Times New Roman" w:hAnsi="Times New Roman" w:cs="Times New Roman"/>
          <w:b/>
          <w:color w:val="000000"/>
          <w:lang w:eastAsia="hu-HU"/>
        </w:rPr>
      </w:pPr>
      <w:r w:rsidRPr="00A56A1B">
        <w:rPr>
          <w:rFonts w:ascii="Times New Roman" w:eastAsia="Times New Roman" w:hAnsi="Times New Roman" w:cs="Times New Roman"/>
          <w:b/>
          <w:color w:val="000000"/>
          <w:lang w:eastAsia="hu-HU"/>
        </w:rPr>
        <w:t>Képességei:</w:t>
      </w:r>
    </w:p>
    <w:p w:rsidR="00A56A1B" w:rsidRPr="00A56A1B" w:rsidRDefault="00A56A1B"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A56A1B">
        <w:rPr>
          <w:rFonts w:ascii="Times New Roman" w:eastAsia="Times New Roman" w:hAnsi="Times New Roman" w:cs="Times New Roman"/>
          <w:color w:val="000000"/>
          <w:lang w:eastAsia="hu-HU"/>
        </w:rPr>
        <w:t>Képes a szakterületén rendszeresített és használt berendezések és technikai eszközök használatának megszervezésére és hatékony alkalmazására.</w:t>
      </w:r>
    </w:p>
    <w:p w:rsidR="00A56A1B" w:rsidRPr="00A56A1B" w:rsidRDefault="00A56A1B"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A56A1B">
        <w:rPr>
          <w:rFonts w:ascii="Times New Roman" w:eastAsia="Times New Roman" w:hAnsi="Times New Roman" w:cs="Times New Roman"/>
          <w:color w:val="000000"/>
          <w:lang w:eastAsia="hu-HU"/>
        </w:rPr>
        <w:t>Képes a megtanultakat felhasználva a szakterületén felmerülő új műszaki információkat megérteni és megtanulni.</w:t>
      </w:r>
    </w:p>
    <w:p w:rsidR="00A56A1B" w:rsidRPr="003B548A" w:rsidRDefault="00A56A1B" w:rsidP="003B548A">
      <w:pPr>
        <w:autoSpaceDE w:val="0"/>
        <w:autoSpaceDN w:val="0"/>
        <w:adjustRightInd w:val="0"/>
        <w:spacing w:before="120" w:after="0" w:line="240" w:lineRule="auto"/>
        <w:ind w:left="646"/>
        <w:jc w:val="both"/>
        <w:rPr>
          <w:rFonts w:ascii="Times New Roman" w:eastAsia="Times New Roman" w:hAnsi="Times New Roman" w:cs="Times New Roman"/>
          <w:b/>
          <w:color w:val="000000"/>
          <w:lang w:eastAsia="hu-HU"/>
        </w:rPr>
      </w:pPr>
      <w:r w:rsidRPr="003B548A">
        <w:rPr>
          <w:rFonts w:ascii="Times New Roman" w:eastAsia="Times New Roman" w:hAnsi="Times New Roman" w:cs="Times New Roman"/>
          <w:b/>
          <w:color w:val="000000"/>
          <w:lang w:eastAsia="hu-HU"/>
        </w:rPr>
        <w:t>Attitüdje:</w:t>
      </w:r>
    </w:p>
    <w:p w:rsidR="00A56A1B" w:rsidRPr="00A56A1B" w:rsidRDefault="00A56A1B"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A56A1B">
        <w:rPr>
          <w:rFonts w:ascii="Times New Roman" w:eastAsia="Times New Roman" w:hAnsi="Times New Roman" w:cs="Times New Roman"/>
          <w:color w:val="000000"/>
          <w:lang w:eastAsia="hu-HU"/>
        </w:rPr>
        <w:t>Nyitott a fegyverzettechnikával kapcsolatos szakmai ismereteinek gyarapítása iránt, folyamatos önképzési igény jellemzi.</w:t>
      </w:r>
    </w:p>
    <w:p w:rsidR="00A56A1B" w:rsidRPr="00A56A1B" w:rsidRDefault="00A56A1B"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A56A1B">
        <w:rPr>
          <w:rFonts w:ascii="Times New Roman" w:eastAsia="Times New Roman" w:hAnsi="Times New Roman" w:cs="Times New Roman"/>
          <w:color w:val="000000"/>
          <w:lang w:eastAsia="hu-HU"/>
        </w:rPr>
        <w:t xml:space="preserve">Nyitott szakterülete új eredményei felé, törekszik azok megismerésére. </w:t>
      </w:r>
    </w:p>
    <w:p w:rsidR="00A56A1B" w:rsidRPr="003B548A" w:rsidRDefault="00A56A1B" w:rsidP="003B548A">
      <w:pPr>
        <w:autoSpaceDE w:val="0"/>
        <w:autoSpaceDN w:val="0"/>
        <w:adjustRightInd w:val="0"/>
        <w:spacing w:before="120" w:after="0" w:line="240" w:lineRule="auto"/>
        <w:ind w:left="646"/>
        <w:jc w:val="both"/>
        <w:rPr>
          <w:rFonts w:ascii="Times New Roman" w:eastAsia="Times New Roman" w:hAnsi="Times New Roman" w:cs="Times New Roman"/>
          <w:b/>
          <w:color w:val="000000"/>
          <w:lang w:eastAsia="hu-HU"/>
        </w:rPr>
      </w:pPr>
      <w:r w:rsidRPr="003B548A">
        <w:rPr>
          <w:rFonts w:ascii="Times New Roman" w:eastAsia="Times New Roman" w:hAnsi="Times New Roman" w:cs="Times New Roman"/>
          <w:b/>
          <w:color w:val="000000"/>
          <w:lang w:eastAsia="hu-HU"/>
        </w:rPr>
        <w:t>Autonómiája és felelőssége:</w:t>
      </w:r>
    </w:p>
    <w:p w:rsidR="00A56A1B" w:rsidRPr="00A56A1B" w:rsidRDefault="00A56A1B"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A56A1B">
        <w:rPr>
          <w:rFonts w:ascii="Times New Roman" w:eastAsia="Times New Roman" w:hAnsi="Times New Roman" w:cs="Times New Roman"/>
          <w:color w:val="000000"/>
          <w:lang w:eastAsia="hu-HU"/>
        </w:rPr>
        <w:t>Képes szakfeladatait önállóan végezni, saját munkáját hatékonyan megszervezni és végrehajtani.</w:t>
      </w:r>
    </w:p>
    <w:p w:rsidR="00A56A1B" w:rsidRPr="00A56A1B" w:rsidRDefault="00A56A1B"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A56A1B">
        <w:rPr>
          <w:rFonts w:ascii="Times New Roman" w:eastAsia="Times New Roman" w:hAnsi="Times New Roman" w:cs="Times New Roman"/>
          <w:color w:val="000000"/>
          <w:lang w:eastAsia="hu-HU"/>
        </w:rPr>
        <w:t>Együttműködés és felelősség jellemzi szakterületének szakembereivel szemben.</w:t>
      </w:r>
    </w:p>
    <w:p w:rsidR="00A56A1B" w:rsidRPr="00A56A1B" w:rsidRDefault="00A56A1B"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A56A1B">
        <w:rPr>
          <w:rFonts w:ascii="Times New Roman" w:eastAsia="Times New Roman" w:hAnsi="Times New Roman" w:cs="Times New Roman"/>
          <w:color w:val="000000"/>
          <w:lang w:eastAsia="hu-HU"/>
        </w:rPr>
        <w:t>Szakterületén belül képes rendszer-szemléletűen gondolkodni.</w:t>
      </w:r>
    </w:p>
    <w:p w:rsidR="00A56A1B" w:rsidRPr="00A56A1B" w:rsidRDefault="00A56A1B" w:rsidP="00A56A1B">
      <w:pPr>
        <w:autoSpaceDE w:val="0"/>
        <w:autoSpaceDN w:val="0"/>
        <w:adjustRightInd w:val="0"/>
        <w:spacing w:before="120" w:after="120" w:line="240" w:lineRule="auto"/>
        <w:ind w:left="644"/>
        <w:jc w:val="both"/>
        <w:rPr>
          <w:rFonts w:ascii="Times New Roman" w:eastAsia="Times New Roman" w:hAnsi="Times New Roman" w:cs="Times New Roman"/>
          <w:b/>
          <w:bCs/>
          <w:color w:val="000000"/>
          <w:lang w:eastAsia="hu-HU"/>
        </w:rPr>
      </w:pPr>
      <w:r w:rsidRPr="00A56A1B">
        <w:rPr>
          <w:rFonts w:ascii="Times New Roman" w:eastAsia="Times New Roman" w:hAnsi="Times New Roman" w:cs="Times New Roman"/>
          <w:b/>
          <w:bCs/>
          <w:color w:val="000000"/>
          <w:lang w:eastAsia="hu-HU"/>
        </w:rPr>
        <w:t>Elérendő kompetenciák (angolul):</w:t>
      </w:r>
    </w:p>
    <w:p w:rsidR="00A56A1B" w:rsidRPr="003B548A" w:rsidRDefault="00A56A1B" w:rsidP="003B548A">
      <w:pPr>
        <w:autoSpaceDE w:val="0"/>
        <w:autoSpaceDN w:val="0"/>
        <w:adjustRightInd w:val="0"/>
        <w:spacing w:before="120" w:after="0" w:line="240" w:lineRule="auto"/>
        <w:ind w:left="646"/>
        <w:jc w:val="both"/>
        <w:rPr>
          <w:rFonts w:ascii="Times New Roman" w:eastAsia="Times New Roman" w:hAnsi="Times New Roman" w:cs="Times New Roman"/>
          <w:b/>
          <w:color w:val="000000"/>
          <w:lang w:eastAsia="hu-HU"/>
        </w:rPr>
      </w:pPr>
      <w:r w:rsidRPr="003B548A">
        <w:rPr>
          <w:rFonts w:ascii="Times New Roman" w:eastAsia="Times New Roman" w:hAnsi="Times New Roman" w:cs="Times New Roman"/>
          <w:b/>
          <w:color w:val="000000"/>
          <w:lang w:eastAsia="hu-HU"/>
        </w:rPr>
        <w:t>Knowledge:</w:t>
      </w:r>
    </w:p>
    <w:p w:rsidR="00A56A1B" w:rsidRPr="00A56A1B" w:rsidRDefault="00A56A1B"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A56A1B">
        <w:rPr>
          <w:rFonts w:ascii="Times New Roman" w:eastAsia="Times New Roman" w:hAnsi="Times New Roman" w:cs="Times New Roman"/>
          <w:color w:val="000000"/>
          <w:lang w:eastAsia="hu-HU"/>
        </w:rPr>
        <w:t>Possesses adequate basic engineering knowledge which enables the acquirement of new knowledge.</w:t>
      </w:r>
    </w:p>
    <w:p w:rsidR="00A56A1B" w:rsidRPr="00A56A1B" w:rsidRDefault="00A56A1B"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A56A1B">
        <w:rPr>
          <w:rFonts w:ascii="Times New Roman" w:eastAsia="Times New Roman" w:hAnsi="Times New Roman" w:cs="Times New Roman"/>
          <w:color w:val="000000"/>
          <w:lang w:eastAsia="hu-HU"/>
        </w:rPr>
        <w:t>Knows the range of materials required for the maintenance of the weapon.</w:t>
      </w:r>
    </w:p>
    <w:p w:rsidR="00A56A1B" w:rsidRPr="00A56A1B" w:rsidRDefault="00A56A1B"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A56A1B">
        <w:rPr>
          <w:rFonts w:ascii="Times New Roman" w:eastAsia="Times New Roman" w:hAnsi="Times New Roman" w:cs="Times New Roman"/>
          <w:color w:val="000000"/>
          <w:lang w:eastAsia="hu-HU"/>
        </w:rPr>
        <w:t>Knows the work safety regulations required for fulfilling his/her professional tasks.</w:t>
      </w:r>
    </w:p>
    <w:p w:rsidR="00A56A1B" w:rsidRPr="00A56A1B" w:rsidRDefault="00A56A1B"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A56A1B">
        <w:rPr>
          <w:rFonts w:ascii="Times New Roman" w:eastAsia="Times New Roman" w:hAnsi="Times New Roman" w:cs="Times New Roman"/>
          <w:color w:val="000000"/>
          <w:lang w:eastAsia="hu-HU"/>
        </w:rPr>
        <w:t>Possesses knowledge of adequate depth and spectrum regarding weapon types.</w:t>
      </w:r>
    </w:p>
    <w:p w:rsidR="00A56A1B" w:rsidRPr="003B548A" w:rsidRDefault="00A56A1B" w:rsidP="003B548A">
      <w:pPr>
        <w:autoSpaceDE w:val="0"/>
        <w:autoSpaceDN w:val="0"/>
        <w:adjustRightInd w:val="0"/>
        <w:spacing w:before="120" w:after="0" w:line="240" w:lineRule="auto"/>
        <w:ind w:left="646"/>
        <w:jc w:val="both"/>
        <w:rPr>
          <w:rFonts w:ascii="Times New Roman" w:eastAsia="Times New Roman" w:hAnsi="Times New Roman" w:cs="Times New Roman"/>
          <w:b/>
          <w:color w:val="000000"/>
          <w:lang w:eastAsia="hu-HU"/>
        </w:rPr>
      </w:pPr>
      <w:r w:rsidRPr="003B548A">
        <w:rPr>
          <w:rFonts w:ascii="Times New Roman" w:eastAsia="Times New Roman" w:hAnsi="Times New Roman" w:cs="Times New Roman"/>
          <w:b/>
          <w:color w:val="000000"/>
          <w:lang w:eastAsia="hu-HU"/>
        </w:rPr>
        <w:t>Capabilities:</w:t>
      </w:r>
    </w:p>
    <w:p w:rsidR="00A56A1B" w:rsidRPr="00A56A1B" w:rsidRDefault="00A56A1B"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A56A1B">
        <w:rPr>
          <w:rFonts w:ascii="Times New Roman" w:eastAsia="Times New Roman" w:hAnsi="Times New Roman" w:cs="Times New Roman"/>
          <w:color w:val="000000"/>
          <w:lang w:eastAsia="hu-HU"/>
        </w:rPr>
        <w:t>Is capable of organizing and efficiently utilizing the usage of the equipment and technical appliances applied in his/her respective specialty field.</w:t>
      </w:r>
    </w:p>
    <w:p w:rsidR="00A56A1B" w:rsidRPr="00A56A1B" w:rsidRDefault="00A56A1B"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A56A1B">
        <w:rPr>
          <w:rFonts w:ascii="Times New Roman" w:eastAsia="Times New Roman" w:hAnsi="Times New Roman" w:cs="Times New Roman"/>
          <w:color w:val="000000"/>
          <w:lang w:eastAsia="hu-HU"/>
        </w:rPr>
        <w:t>Is capable of acqiring the understaning of new engineering information arising in his/her field of specialty using the already gained knowldge.</w:t>
      </w:r>
    </w:p>
    <w:p w:rsidR="00A56A1B" w:rsidRPr="003B548A" w:rsidRDefault="00A56A1B" w:rsidP="003B548A">
      <w:pPr>
        <w:autoSpaceDE w:val="0"/>
        <w:autoSpaceDN w:val="0"/>
        <w:adjustRightInd w:val="0"/>
        <w:spacing w:before="120" w:after="0" w:line="240" w:lineRule="auto"/>
        <w:ind w:left="646"/>
        <w:jc w:val="both"/>
        <w:rPr>
          <w:rFonts w:ascii="Times New Roman" w:eastAsia="Times New Roman" w:hAnsi="Times New Roman" w:cs="Times New Roman"/>
          <w:b/>
          <w:color w:val="000000"/>
          <w:lang w:eastAsia="hu-HU"/>
        </w:rPr>
      </w:pPr>
      <w:r w:rsidRPr="003B548A">
        <w:rPr>
          <w:rFonts w:ascii="Times New Roman" w:eastAsia="Times New Roman" w:hAnsi="Times New Roman" w:cs="Times New Roman"/>
          <w:b/>
          <w:color w:val="000000"/>
          <w:lang w:eastAsia="hu-HU"/>
        </w:rPr>
        <w:t>Attitude:</w:t>
      </w:r>
    </w:p>
    <w:p w:rsidR="00A56A1B" w:rsidRPr="00A56A1B" w:rsidRDefault="00A56A1B"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A56A1B">
        <w:rPr>
          <w:rFonts w:ascii="Times New Roman" w:eastAsia="Times New Roman" w:hAnsi="Times New Roman" w:cs="Times New Roman"/>
          <w:color w:val="000000"/>
          <w:lang w:eastAsia="hu-HU"/>
        </w:rPr>
        <w:t>He/she is open to widen his/her knowledge regarding weapons and has a constant need for self-education.</w:t>
      </w:r>
    </w:p>
    <w:p w:rsidR="00A56A1B" w:rsidRPr="00A56A1B" w:rsidRDefault="00A56A1B"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A56A1B">
        <w:rPr>
          <w:rFonts w:ascii="Times New Roman" w:eastAsia="Times New Roman" w:hAnsi="Times New Roman" w:cs="Times New Roman"/>
          <w:color w:val="000000"/>
          <w:lang w:eastAsia="hu-HU"/>
        </w:rPr>
        <w:t>He/she is open towards the new accomplishments of military technology and aims to gain knowledge of these.</w:t>
      </w:r>
    </w:p>
    <w:p w:rsidR="00A56A1B" w:rsidRPr="003B548A" w:rsidRDefault="00A56A1B" w:rsidP="003B548A">
      <w:pPr>
        <w:autoSpaceDE w:val="0"/>
        <w:autoSpaceDN w:val="0"/>
        <w:adjustRightInd w:val="0"/>
        <w:spacing w:before="120" w:after="0" w:line="240" w:lineRule="auto"/>
        <w:ind w:left="646"/>
        <w:jc w:val="both"/>
        <w:rPr>
          <w:rFonts w:ascii="Times New Roman" w:eastAsia="Times New Roman" w:hAnsi="Times New Roman" w:cs="Times New Roman"/>
          <w:b/>
          <w:color w:val="000000"/>
          <w:lang w:eastAsia="hu-HU"/>
        </w:rPr>
      </w:pPr>
      <w:r w:rsidRPr="003B548A">
        <w:rPr>
          <w:rFonts w:ascii="Times New Roman" w:eastAsia="Times New Roman" w:hAnsi="Times New Roman" w:cs="Times New Roman"/>
          <w:b/>
          <w:color w:val="000000"/>
          <w:lang w:eastAsia="hu-HU"/>
        </w:rPr>
        <w:t>Autonomy and responsibility</w:t>
      </w:r>
    </w:p>
    <w:p w:rsidR="00A56A1B" w:rsidRPr="00A56A1B" w:rsidRDefault="00A56A1B"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A56A1B">
        <w:rPr>
          <w:rFonts w:ascii="Times New Roman" w:eastAsia="Times New Roman" w:hAnsi="Times New Roman" w:cs="Times New Roman"/>
          <w:color w:val="000000"/>
          <w:lang w:eastAsia="hu-HU"/>
        </w:rPr>
        <w:t>Is capable of independently fulfilling his/her professional tasks as well as effectively organizing and executing his/her own work.</w:t>
      </w:r>
    </w:p>
    <w:p w:rsidR="00A56A1B" w:rsidRPr="00A56A1B" w:rsidRDefault="00A56A1B"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A56A1B">
        <w:rPr>
          <w:rFonts w:ascii="Times New Roman" w:eastAsia="Times New Roman" w:hAnsi="Times New Roman" w:cs="Times New Roman"/>
          <w:color w:val="000000"/>
          <w:lang w:eastAsia="hu-HU"/>
        </w:rPr>
        <w:t>He/she is cooperative and responsible towards the professionals of his/her field. Is capable of thinking in a system approach within his/her own field.</w:t>
      </w:r>
    </w:p>
    <w:p w:rsidR="00A56A1B" w:rsidRPr="00A56A1B" w:rsidRDefault="00A56A1B" w:rsidP="00980876">
      <w:pPr>
        <w:numPr>
          <w:ilvl w:val="0"/>
          <w:numId w:val="715"/>
        </w:numPr>
        <w:tabs>
          <w:tab w:val="clear" w:pos="720"/>
          <w:tab w:val="center" w:pos="4536"/>
          <w:tab w:val="right" w:pos="9071"/>
        </w:tabs>
        <w:spacing w:before="120" w:after="120" w:line="240" w:lineRule="auto"/>
        <w:ind w:left="426" w:hanging="142"/>
        <w:jc w:val="both"/>
        <w:rPr>
          <w:rFonts w:ascii="Times New Roman" w:eastAsia="Times New Roman" w:hAnsi="Times New Roman" w:cs="Times New Roman"/>
          <w:bCs/>
          <w:lang w:eastAsia="hu-HU"/>
        </w:rPr>
      </w:pPr>
      <w:r w:rsidRPr="00A56A1B">
        <w:rPr>
          <w:rFonts w:ascii="Times New Roman" w:eastAsia="Times New Roman" w:hAnsi="Times New Roman" w:cs="Times New Roman"/>
          <w:b/>
          <w:bCs/>
          <w:lang w:eastAsia="hu-HU"/>
        </w:rPr>
        <w:t xml:space="preserve">Előtanulmányi kötelezettségek:  - </w:t>
      </w:r>
    </w:p>
    <w:p w:rsidR="00A56A1B" w:rsidRPr="00A56A1B" w:rsidRDefault="00A56A1B" w:rsidP="00980876">
      <w:pPr>
        <w:numPr>
          <w:ilvl w:val="0"/>
          <w:numId w:val="715"/>
        </w:numPr>
        <w:tabs>
          <w:tab w:val="clear" w:pos="720"/>
          <w:tab w:val="center" w:pos="4536"/>
          <w:tab w:val="right" w:pos="9071"/>
        </w:tabs>
        <w:spacing w:before="120" w:after="120" w:line="240" w:lineRule="auto"/>
        <w:ind w:left="426" w:hanging="142"/>
        <w:jc w:val="both"/>
        <w:rPr>
          <w:rFonts w:ascii="Times New Roman" w:eastAsia="Times New Roman" w:hAnsi="Times New Roman" w:cs="Times New Roman"/>
          <w:b/>
          <w:lang w:eastAsia="hu-HU"/>
        </w:rPr>
      </w:pPr>
      <w:r w:rsidRPr="00A56A1B">
        <w:rPr>
          <w:rFonts w:ascii="Times New Roman" w:eastAsia="Times New Roman" w:hAnsi="Times New Roman" w:cs="Times New Roman"/>
          <w:b/>
          <w:lang w:eastAsia="hu-HU"/>
        </w:rPr>
        <w:t xml:space="preserve">A </w:t>
      </w:r>
      <w:r w:rsidRPr="003B548A">
        <w:rPr>
          <w:rFonts w:ascii="Times New Roman" w:eastAsia="Times New Roman" w:hAnsi="Times New Roman" w:cs="Times New Roman"/>
          <w:b/>
          <w:bCs/>
          <w:lang w:eastAsia="hu-HU"/>
        </w:rPr>
        <w:t>tantárgy</w:t>
      </w:r>
      <w:r w:rsidRPr="00A56A1B">
        <w:rPr>
          <w:rFonts w:ascii="Times New Roman" w:eastAsia="Times New Roman" w:hAnsi="Times New Roman" w:cs="Times New Roman"/>
          <w:b/>
          <w:lang w:eastAsia="hu-HU"/>
        </w:rPr>
        <w:t xml:space="preserve"> tananyagának leírása: (tematika): </w:t>
      </w:r>
    </w:p>
    <w:p w:rsidR="00A56A1B" w:rsidRPr="00A56A1B" w:rsidRDefault="00A56A1B" w:rsidP="00980876">
      <w:pPr>
        <w:numPr>
          <w:ilvl w:val="1"/>
          <w:numId w:val="715"/>
        </w:numPr>
        <w:tabs>
          <w:tab w:val="clear" w:pos="3977"/>
          <w:tab w:val="num" w:pos="1425"/>
        </w:tabs>
        <w:spacing w:before="120" w:after="120" w:line="240" w:lineRule="auto"/>
        <w:ind w:left="1134" w:hanging="567"/>
        <w:jc w:val="both"/>
        <w:rPr>
          <w:rFonts w:ascii="Times New Roman" w:eastAsia="Times New Roman" w:hAnsi="Times New Roman" w:cs="Times New Roman"/>
          <w:bCs/>
          <w:i/>
          <w:lang w:eastAsia="hu-HU"/>
        </w:rPr>
      </w:pPr>
      <w:r w:rsidRPr="00A56A1B">
        <w:rPr>
          <w:rFonts w:ascii="Times New Roman" w:eastAsia="Times New Roman" w:hAnsi="Times New Roman" w:cs="Times New Roman"/>
          <w:lang w:eastAsia="hu-HU"/>
        </w:rPr>
        <w:t xml:space="preserve">Szakági vezető és végrehajtó szervezetek felépítése, jogállása, hatásköre és feladataik. </w:t>
      </w:r>
      <w:r w:rsidRPr="00A56A1B">
        <w:rPr>
          <w:rFonts w:ascii="Times New Roman" w:eastAsia="Times New Roman" w:hAnsi="Times New Roman" w:cs="Times New Roman"/>
          <w:i/>
          <w:lang w:eastAsia="hu-HU"/>
        </w:rPr>
        <w:t>(Structure, legal status, powers and responsibilities of professional leadership and executive organizations.)</w:t>
      </w:r>
    </w:p>
    <w:p w:rsidR="00A56A1B" w:rsidRPr="00A56A1B" w:rsidRDefault="00A56A1B" w:rsidP="00980876">
      <w:pPr>
        <w:numPr>
          <w:ilvl w:val="1"/>
          <w:numId w:val="715"/>
        </w:numPr>
        <w:tabs>
          <w:tab w:val="clear" w:pos="3977"/>
          <w:tab w:val="num" w:pos="1425"/>
        </w:tabs>
        <w:spacing w:before="120" w:after="120" w:line="240" w:lineRule="auto"/>
        <w:ind w:left="1134" w:hanging="567"/>
        <w:jc w:val="both"/>
        <w:rPr>
          <w:rFonts w:ascii="Times New Roman" w:eastAsia="Times New Roman" w:hAnsi="Times New Roman" w:cs="Times New Roman"/>
          <w:bCs/>
          <w:i/>
          <w:lang w:eastAsia="hu-HU"/>
        </w:rPr>
      </w:pPr>
      <w:r w:rsidRPr="00A56A1B">
        <w:rPr>
          <w:rFonts w:ascii="Times New Roman" w:eastAsia="Times New Roman" w:hAnsi="Times New Roman" w:cs="Times New Roman"/>
          <w:lang w:eastAsia="hu-HU"/>
        </w:rPr>
        <w:lastRenderedPageBreak/>
        <w:t xml:space="preserve">Hadfelszerelések, hadianyagok, haditechnikai eszközök, felelősségek. </w:t>
      </w:r>
      <w:r w:rsidRPr="00A56A1B">
        <w:rPr>
          <w:rFonts w:ascii="Times New Roman" w:eastAsia="Times New Roman" w:hAnsi="Times New Roman" w:cs="Times New Roman"/>
          <w:i/>
          <w:lang w:eastAsia="hu-HU"/>
        </w:rPr>
        <w:t>(Military equipment, war material, military equipment, responsibilities.)</w:t>
      </w:r>
    </w:p>
    <w:p w:rsidR="00A56A1B" w:rsidRPr="00A56A1B" w:rsidRDefault="00A56A1B" w:rsidP="00980876">
      <w:pPr>
        <w:numPr>
          <w:ilvl w:val="1"/>
          <w:numId w:val="715"/>
        </w:numPr>
        <w:tabs>
          <w:tab w:val="clear" w:pos="3977"/>
          <w:tab w:val="num" w:pos="1425"/>
        </w:tabs>
        <w:spacing w:before="120" w:after="120" w:line="240" w:lineRule="auto"/>
        <w:ind w:left="1134" w:hanging="567"/>
        <w:jc w:val="both"/>
        <w:rPr>
          <w:rFonts w:ascii="Times New Roman" w:eastAsia="Times New Roman" w:hAnsi="Times New Roman" w:cs="Times New Roman"/>
          <w:bCs/>
          <w:lang w:eastAsia="hu-HU"/>
        </w:rPr>
      </w:pPr>
      <w:r w:rsidRPr="00A56A1B">
        <w:rPr>
          <w:rFonts w:ascii="Times New Roman" w:eastAsia="Times New Roman" w:hAnsi="Times New Roman" w:cs="Times New Roman"/>
          <w:lang w:eastAsia="hu-HU"/>
        </w:rPr>
        <w:t xml:space="preserve">NATO és hazai ellátási osztályok. </w:t>
      </w:r>
      <w:r w:rsidRPr="00A56A1B">
        <w:rPr>
          <w:rFonts w:ascii="Times New Roman" w:eastAsia="Times New Roman" w:hAnsi="Times New Roman" w:cs="Times New Roman"/>
          <w:i/>
          <w:lang w:eastAsia="hu-HU"/>
        </w:rPr>
        <w:t>(NATO and Domestic Supply Departments.)</w:t>
      </w:r>
    </w:p>
    <w:p w:rsidR="00A56A1B" w:rsidRPr="00A56A1B" w:rsidRDefault="00A56A1B" w:rsidP="00980876">
      <w:pPr>
        <w:numPr>
          <w:ilvl w:val="1"/>
          <w:numId w:val="715"/>
        </w:numPr>
        <w:tabs>
          <w:tab w:val="clear" w:pos="3977"/>
          <w:tab w:val="num" w:pos="1425"/>
        </w:tabs>
        <w:spacing w:before="120" w:after="120" w:line="240" w:lineRule="auto"/>
        <w:ind w:left="1134" w:hanging="567"/>
        <w:jc w:val="both"/>
        <w:rPr>
          <w:rFonts w:ascii="Times New Roman" w:eastAsia="Times New Roman" w:hAnsi="Times New Roman" w:cs="Times New Roman"/>
          <w:bCs/>
          <w:i/>
          <w:lang w:eastAsia="hu-HU"/>
        </w:rPr>
      </w:pPr>
      <w:r w:rsidRPr="00A56A1B">
        <w:rPr>
          <w:rFonts w:ascii="Times New Roman" w:eastAsia="Times New Roman" w:hAnsi="Times New Roman" w:cs="Times New Roman"/>
          <w:lang w:eastAsia="hu-HU"/>
        </w:rPr>
        <w:t xml:space="preserve">Ellátási, számvetési meghatározások. </w:t>
      </w:r>
      <w:r w:rsidRPr="00A56A1B">
        <w:rPr>
          <w:rFonts w:ascii="Times New Roman" w:eastAsia="Times New Roman" w:hAnsi="Times New Roman" w:cs="Times New Roman"/>
          <w:i/>
          <w:lang w:eastAsia="hu-HU"/>
        </w:rPr>
        <w:t>(Supply and accounting definitions.)</w:t>
      </w:r>
    </w:p>
    <w:p w:rsidR="00A56A1B" w:rsidRPr="00A56A1B" w:rsidRDefault="00A56A1B" w:rsidP="00980876">
      <w:pPr>
        <w:numPr>
          <w:ilvl w:val="1"/>
          <w:numId w:val="715"/>
        </w:numPr>
        <w:tabs>
          <w:tab w:val="clear" w:pos="3977"/>
          <w:tab w:val="num" w:pos="1425"/>
        </w:tabs>
        <w:spacing w:before="120" w:after="120" w:line="240" w:lineRule="auto"/>
        <w:ind w:left="1134" w:hanging="567"/>
        <w:jc w:val="both"/>
        <w:rPr>
          <w:rFonts w:ascii="Times New Roman" w:eastAsia="Times New Roman" w:hAnsi="Times New Roman" w:cs="Times New Roman"/>
          <w:bCs/>
          <w:i/>
          <w:lang w:eastAsia="hu-HU"/>
        </w:rPr>
      </w:pPr>
      <w:r w:rsidRPr="00A56A1B">
        <w:rPr>
          <w:rFonts w:ascii="Times New Roman" w:eastAsia="Times New Roman" w:hAnsi="Times New Roman" w:cs="Times New Roman"/>
          <w:lang w:eastAsia="hu-HU"/>
        </w:rPr>
        <w:t xml:space="preserve">Szakági anyagi biztosítás alapjai. </w:t>
      </w:r>
      <w:r w:rsidRPr="00A56A1B">
        <w:rPr>
          <w:rFonts w:ascii="Times New Roman" w:eastAsia="Times New Roman" w:hAnsi="Times New Roman" w:cs="Times New Roman"/>
          <w:i/>
          <w:lang w:eastAsia="hu-HU"/>
        </w:rPr>
        <w:t>(The basics of professional insurance.)</w:t>
      </w:r>
    </w:p>
    <w:p w:rsidR="00A56A1B" w:rsidRPr="00A56A1B" w:rsidRDefault="00A56A1B" w:rsidP="00980876">
      <w:pPr>
        <w:numPr>
          <w:ilvl w:val="1"/>
          <w:numId w:val="715"/>
        </w:numPr>
        <w:tabs>
          <w:tab w:val="clear" w:pos="3977"/>
          <w:tab w:val="num" w:pos="1425"/>
        </w:tabs>
        <w:spacing w:before="120" w:after="120" w:line="240" w:lineRule="auto"/>
        <w:ind w:left="1134" w:hanging="567"/>
        <w:jc w:val="both"/>
        <w:rPr>
          <w:rFonts w:ascii="Times New Roman" w:eastAsia="Times New Roman" w:hAnsi="Times New Roman" w:cs="Times New Roman"/>
          <w:bCs/>
          <w:i/>
          <w:lang w:eastAsia="hu-HU"/>
        </w:rPr>
      </w:pPr>
      <w:r w:rsidRPr="00A56A1B">
        <w:rPr>
          <w:rFonts w:ascii="Times New Roman" w:eastAsia="Times New Roman" w:hAnsi="Times New Roman" w:cs="Times New Roman"/>
          <w:lang w:eastAsia="hu-HU"/>
        </w:rPr>
        <w:t>Lőszercsoportok, készletek felosztása, tartalmuk, lőszerkészletek lépcsőzése</w:t>
      </w:r>
      <w:r w:rsidRPr="00A56A1B">
        <w:rPr>
          <w:rFonts w:ascii="Times New Roman" w:eastAsia="Times New Roman" w:hAnsi="Times New Roman" w:cs="Times New Roman"/>
          <w:i/>
          <w:lang w:eastAsia="hu-HU"/>
        </w:rPr>
        <w:t>. (Dividing ammunition groups, sets, their contents, staging ammunition sets.)</w:t>
      </w:r>
    </w:p>
    <w:p w:rsidR="00A56A1B" w:rsidRPr="00A56A1B" w:rsidRDefault="00A56A1B" w:rsidP="00980876">
      <w:pPr>
        <w:numPr>
          <w:ilvl w:val="1"/>
          <w:numId w:val="715"/>
        </w:numPr>
        <w:tabs>
          <w:tab w:val="clear" w:pos="3977"/>
          <w:tab w:val="num" w:pos="1425"/>
        </w:tabs>
        <w:spacing w:before="120" w:after="120" w:line="240" w:lineRule="auto"/>
        <w:ind w:left="1134" w:hanging="567"/>
        <w:jc w:val="both"/>
        <w:rPr>
          <w:rFonts w:ascii="Times New Roman" w:eastAsia="Times New Roman" w:hAnsi="Times New Roman" w:cs="Times New Roman"/>
          <w:bCs/>
          <w:i/>
          <w:lang w:eastAsia="hu-HU"/>
        </w:rPr>
      </w:pPr>
      <w:r w:rsidRPr="00A56A1B">
        <w:rPr>
          <w:rFonts w:ascii="Times New Roman" w:eastAsia="Times New Roman" w:hAnsi="Times New Roman" w:cs="Times New Roman"/>
          <w:lang w:eastAsia="hu-HU"/>
        </w:rPr>
        <w:t xml:space="preserve">Lőszerkészletek meghatározása. </w:t>
      </w:r>
      <w:r w:rsidRPr="00A56A1B">
        <w:rPr>
          <w:rFonts w:ascii="Times New Roman" w:eastAsia="Times New Roman" w:hAnsi="Times New Roman" w:cs="Times New Roman"/>
          <w:i/>
          <w:lang w:eastAsia="hu-HU"/>
        </w:rPr>
        <w:t>(Determination of ammunition sets)</w:t>
      </w:r>
    </w:p>
    <w:p w:rsidR="00A56A1B" w:rsidRPr="00A56A1B" w:rsidRDefault="00A56A1B" w:rsidP="00980876">
      <w:pPr>
        <w:numPr>
          <w:ilvl w:val="1"/>
          <w:numId w:val="715"/>
        </w:numPr>
        <w:tabs>
          <w:tab w:val="clear" w:pos="3977"/>
          <w:tab w:val="num" w:pos="1425"/>
        </w:tabs>
        <w:spacing w:before="120" w:after="120" w:line="240" w:lineRule="auto"/>
        <w:ind w:left="1134" w:hanging="567"/>
        <w:jc w:val="both"/>
        <w:rPr>
          <w:rFonts w:ascii="Times New Roman" w:eastAsia="Times New Roman" w:hAnsi="Times New Roman" w:cs="Times New Roman"/>
          <w:bCs/>
          <w:i/>
          <w:lang w:eastAsia="hu-HU"/>
        </w:rPr>
      </w:pPr>
      <w:r w:rsidRPr="00A56A1B">
        <w:rPr>
          <w:rFonts w:ascii="Times New Roman" w:eastAsia="Times New Roman" w:hAnsi="Times New Roman" w:cs="Times New Roman"/>
          <w:lang w:eastAsia="hu-HU"/>
        </w:rPr>
        <w:t xml:space="preserve">Lőszerszükséglet, felhasználás, készletek, lőszerigény.  Lőszerellátási források, ellátás rendje, módjai. </w:t>
      </w:r>
      <w:r w:rsidRPr="00A56A1B">
        <w:rPr>
          <w:rFonts w:ascii="Times New Roman" w:eastAsia="Times New Roman" w:hAnsi="Times New Roman" w:cs="Times New Roman"/>
          <w:i/>
          <w:lang w:eastAsia="hu-HU"/>
        </w:rPr>
        <w:t>(Ammunition requirements, uses, supplies, ammunition requirements. Sources of ammunition supply, order and methods of supply.)</w:t>
      </w:r>
    </w:p>
    <w:p w:rsidR="00A56A1B" w:rsidRPr="00A56A1B" w:rsidRDefault="00A56A1B" w:rsidP="00980876">
      <w:pPr>
        <w:numPr>
          <w:ilvl w:val="1"/>
          <w:numId w:val="715"/>
        </w:numPr>
        <w:tabs>
          <w:tab w:val="clear" w:pos="3977"/>
          <w:tab w:val="num" w:pos="1425"/>
        </w:tabs>
        <w:spacing w:before="120" w:after="120" w:line="240" w:lineRule="auto"/>
        <w:ind w:left="1134" w:hanging="567"/>
        <w:jc w:val="both"/>
        <w:rPr>
          <w:rFonts w:ascii="Times New Roman" w:eastAsia="Times New Roman" w:hAnsi="Times New Roman" w:cs="Times New Roman"/>
          <w:bCs/>
          <w:i/>
          <w:lang w:eastAsia="hu-HU"/>
        </w:rPr>
      </w:pPr>
      <w:r w:rsidRPr="00A56A1B">
        <w:rPr>
          <w:rFonts w:ascii="Times New Roman" w:eastAsia="Times New Roman" w:hAnsi="Times New Roman" w:cs="Times New Roman"/>
          <w:lang w:eastAsia="hu-HU"/>
        </w:rPr>
        <w:t xml:space="preserve">Lőszerellátó tagozatok, lehetőségeik, anyagi biztosítási elemek és tevékenységük. </w:t>
      </w:r>
      <w:r w:rsidRPr="00A56A1B">
        <w:rPr>
          <w:rFonts w:ascii="Times New Roman" w:eastAsia="Times New Roman" w:hAnsi="Times New Roman" w:cs="Times New Roman"/>
          <w:i/>
          <w:lang w:eastAsia="hu-HU"/>
        </w:rPr>
        <w:t>(Ammunition units, their facilities, material insurance elements and activities.)</w:t>
      </w:r>
    </w:p>
    <w:p w:rsidR="00A56A1B" w:rsidRPr="00A56A1B" w:rsidRDefault="00A56A1B" w:rsidP="00980876">
      <w:pPr>
        <w:numPr>
          <w:ilvl w:val="1"/>
          <w:numId w:val="715"/>
        </w:numPr>
        <w:tabs>
          <w:tab w:val="clear" w:pos="3977"/>
          <w:tab w:val="num" w:pos="1425"/>
        </w:tabs>
        <w:spacing w:before="120" w:after="120" w:line="240" w:lineRule="auto"/>
        <w:ind w:left="1134" w:hanging="567"/>
        <w:jc w:val="both"/>
        <w:rPr>
          <w:rFonts w:ascii="Times New Roman" w:eastAsia="Times New Roman" w:hAnsi="Times New Roman" w:cs="Times New Roman"/>
          <w:bCs/>
          <w:i/>
          <w:lang w:eastAsia="hu-HU"/>
        </w:rPr>
      </w:pPr>
      <w:r w:rsidRPr="00A56A1B">
        <w:rPr>
          <w:rFonts w:ascii="Times New Roman" w:eastAsia="Times New Roman" w:hAnsi="Times New Roman" w:cs="Times New Roman"/>
          <w:lang w:eastAsia="hu-HU"/>
        </w:rPr>
        <w:t xml:space="preserve">Szakági technikai biztosítás alapjai. Haditechnikai eszközök csoportosítása, haditechnikai eszközök készletei. </w:t>
      </w:r>
      <w:r w:rsidRPr="00A56A1B">
        <w:rPr>
          <w:rFonts w:ascii="Times New Roman" w:eastAsia="Times New Roman" w:hAnsi="Times New Roman" w:cs="Times New Roman"/>
          <w:i/>
          <w:lang w:eastAsia="hu-HU"/>
        </w:rPr>
        <w:t>(Technical insurance fundamentals, Grouping of military equipment, sets of military equipment.)</w:t>
      </w:r>
    </w:p>
    <w:p w:rsidR="00A56A1B" w:rsidRPr="00A56A1B" w:rsidRDefault="00A56A1B" w:rsidP="00980876">
      <w:pPr>
        <w:numPr>
          <w:ilvl w:val="1"/>
          <w:numId w:val="715"/>
        </w:numPr>
        <w:tabs>
          <w:tab w:val="clear" w:pos="3977"/>
          <w:tab w:val="num" w:pos="1425"/>
        </w:tabs>
        <w:spacing w:before="120" w:after="120" w:line="240" w:lineRule="auto"/>
        <w:ind w:left="1134" w:hanging="567"/>
        <w:jc w:val="both"/>
        <w:rPr>
          <w:rFonts w:ascii="Times New Roman" w:eastAsia="Times New Roman" w:hAnsi="Times New Roman" w:cs="Times New Roman"/>
          <w:bCs/>
          <w:i/>
          <w:lang w:eastAsia="hu-HU"/>
        </w:rPr>
      </w:pPr>
      <w:r w:rsidRPr="00A56A1B">
        <w:rPr>
          <w:rFonts w:ascii="Times New Roman" w:eastAsia="Times New Roman" w:hAnsi="Times New Roman" w:cs="Times New Roman"/>
          <w:lang w:eastAsia="hu-HU"/>
        </w:rPr>
        <w:t>Technikai biztosítás fela</w:t>
      </w:r>
      <w:r w:rsidR="003073B7">
        <w:rPr>
          <w:rFonts w:ascii="Times New Roman" w:eastAsia="Times New Roman" w:hAnsi="Times New Roman" w:cs="Times New Roman"/>
          <w:lang w:eastAsia="hu-HU"/>
        </w:rPr>
        <w:t>datai, üzemben</w:t>
      </w:r>
      <w:r w:rsidRPr="00A56A1B">
        <w:rPr>
          <w:rFonts w:ascii="Times New Roman" w:eastAsia="Times New Roman" w:hAnsi="Times New Roman" w:cs="Times New Roman"/>
          <w:lang w:eastAsia="hu-HU"/>
        </w:rPr>
        <w:t xml:space="preserve">tartás – üzemeltetés – fenntartás – helyreállítás. </w:t>
      </w:r>
      <w:r w:rsidRPr="00A56A1B">
        <w:rPr>
          <w:rFonts w:ascii="Times New Roman" w:eastAsia="Times New Roman" w:hAnsi="Times New Roman" w:cs="Times New Roman"/>
          <w:i/>
          <w:lang w:eastAsia="hu-HU"/>
        </w:rPr>
        <w:t>(Technical insurance tasks, operation - operation - maintenance - restoration.)</w:t>
      </w:r>
    </w:p>
    <w:p w:rsidR="00A56A1B" w:rsidRPr="00A56A1B" w:rsidRDefault="00A56A1B" w:rsidP="00980876">
      <w:pPr>
        <w:numPr>
          <w:ilvl w:val="1"/>
          <w:numId w:val="715"/>
        </w:numPr>
        <w:tabs>
          <w:tab w:val="clear" w:pos="3977"/>
          <w:tab w:val="num" w:pos="1425"/>
        </w:tabs>
        <w:spacing w:before="120" w:after="120" w:line="240" w:lineRule="auto"/>
        <w:ind w:left="1134" w:hanging="567"/>
        <w:jc w:val="both"/>
        <w:rPr>
          <w:rFonts w:ascii="Times New Roman" w:eastAsia="Times New Roman" w:hAnsi="Times New Roman" w:cs="Times New Roman"/>
          <w:bCs/>
          <w:i/>
          <w:lang w:eastAsia="hu-HU"/>
        </w:rPr>
      </w:pPr>
      <w:r w:rsidRPr="00A56A1B">
        <w:rPr>
          <w:rFonts w:ascii="Times New Roman" w:eastAsia="Times New Roman" w:hAnsi="Times New Roman" w:cs="Times New Roman"/>
          <w:lang w:eastAsia="hu-HU"/>
        </w:rPr>
        <w:t xml:space="preserve">Haditechnikai eszközveszteségek, helyreállítás folyamatai, elvei. </w:t>
      </w:r>
      <w:r w:rsidRPr="00A56A1B">
        <w:rPr>
          <w:rFonts w:ascii="Times New Roman" w:eastAsia="Times New Roman" w:hAnsi="Times New Roman" w:cs="Times New Roman"/>
          <w:i/>
          <w:lang w:eastAsia="hu-HU"/>
        </w:rPr>
        <w:t>(Losses of military equipment, processes and principles of reconstruction.)</w:t>
      </w:r>
    </w:p>
    <w:p w:rsidR="00A56A1B" w:rsidRPr="00A56A1B" w:rsidRDefault="00A56A1B" w:rsidP="00980876">
      <w:pPr>
        <w:numPr>
          <w:ilvl w:val="1"/>
          <w:numId w:val="715"/>
        </w:numPr>
        <w:tabs>
          <w:tab w:val="clear" w:pos="3977"/>
          <w:tab w:val="num" w:pos="1425"/>
        </w:tabs>
        <w:spacing w:before="120" w:after="120" w:line="240" w:lineRule="auto"/>
        <w:ind w:left="1134" w:hanging="567"/>
        <w:jc w:val="both"/>
        <w:rPr>
          <w:rFonts w:ascii="Times New Roman" w:eastAsia="Times New Roman" w:hAnsi="Times New Roman" w:cs="Times New Roman"/>
          <w:bCs/>
          <w:i/>
          <w:lang w:eastAsia="hu-HU"/>
        </w:rPr>
      </w:pPr>
      <w:r w:rsidRPr="00A56A1B">
        <w:rPr>
          <w:rFonts w:ascii="Times New Roman" w:eastAsia="Times New Roman" w:hAnsi="Times New Roman" w:cs="Times New Roman"/>
          <w:lang w:eastAsia="hu-HU"/>
        </w:rPr>
        <w:t xml:space="preserve">Technikai felderítés, vontatás (szállítás), javítás, eszközök visszatérítése. </w:t>
      </w:r>
      <w:r w:rsidRPr="00A56A1B">
        <w:rPr>
          <w:rFonts w:ascii="Times New Roman" w:eastAsia="Times New Roman" w:hAnsi="Times New Roman" w:cs="Times New Roman"/>
          <w:i/>
          <w:lang w:eastAsia="hu-HU"/>
        </w:rPr>
        <w:t>(Technical reconnaissance, towing (transport), repair, return of equipment.)</w:t>
      </w:r>
    </w:p>
    <w:p w:rsidR="00A56A1B" w:rsidRPr="00A56A1B" w:rsidRDefault="00A56A1B" w:rsidP="00980876">
      <w:pPr>
        <w:numPr>
          <w:ilvl w:val="1"/>
          <w:numId w:val="715"/>
        </w:numPr>
        <w:tabs>
          <w:tab w:val="clear" w:pos="3977"/>
          <w:tab w:val="num" w:pos="1425"/>
        </w:tabs>
        <w:spacing w:before="120" w:after="120" w:line="240" w:lineRule="auto"/>
        <w:ind w:left="1134" w:hanging="567"/>
        <w:jc w:val="both"/>
        <w:rPr>
          <w:rFonts w:ascii="Times New Roman" w:eastAsia="Times New Roman" w:hAnsi="Times New Roman" w:cs="Times New Roman"/>
          <w:bCs/>
          <w:i/>
          <w:lang w:eastAsia="hu-HU"/>
        </w:rPr>
      </w:pPr>
      <w:r w:rsidRPr="00A56A1B">
        <w:rPr>
          <w:rFonts w:ascii="Times New Roman" w:eastAsia="Times New Roman" w:hAnsi="Times New Roman" w:cs="Times New Roman"/>
          <w:lang w:eastAsia="hu-HU"/>
        </w:rPr>
        <w:t xml:space="preserve">Technikai biztosítási elemek és tevékenységük. </w:t>
      </w:r>
      <w:r w:rsidRPr="00A56A1B">
        <w:rPr>
          <w:rFonts w:ascii="Times New Roman" w:eastAsia="Times New Roman" w:hAnsi="Times New Roman" w:cs="Times New Roman"/>
          <w:i/>
          <w:lang w:eastAsia="hu-HU"/>
        </w:rPr>
        <w:t>(Technical insurance elements and their activities.)</w:t>
      </w:r>
    </w:p>
    <w:p w:rsidR="00A56A1B" w:rsidRPr="00A56A1B" w:rsidRDefault="00A56A1B" w:rsidP="00980876">
      <w:pPr>
        <w:numPr>
          <w:ilvl w:val="0"/>
          <w:numId w:val="715"/>
        </w:numPr>
        <w:tabs>
          <w:tab w:val="clear" w:pos="720"/>
          <w:tab w:val="center" w:pos="4536"/>
          <w:tab w:val="right" w:pos="9071"/>
        </w:tabs>
        <w:spacing w:before="120" w:after="120" w:line="240" w:lineRule="auto"/>
        <w:ind w:left="426" w:hanging="142"/>
        <w:jc w:val="both"/>
        <w:rPr>
          <w:rFonts w:ascii="Times New Roman" w:eastAsia="Times New Roman" w:hAnsi="Times New Roman" w:cs="Times New Roman"/>
          <w:bCs/>
          <w:lang w:eastAsia="hu-HU"/>
        </w:rPr>
      </w:pPr>
      <w:r w:rsidRPr="00A56A1B">
        <w:rPr>
          <w:rFonts w:ascii="Times New Roman" w:eastAsia="Times New Roman" w:hAnsi="Times New Roman" w:cs="Times New Roman"/>
          <w:b/>
          <w:bCs/>
          <w:lang w:eastAsia="hu-HU"/>
        </w:rPr>
        <w:t xml:space="preserve">A tantárgy meghirdetésének gyakorisága/a tantervben történő félévi elhelyezkedése: </w:t>
      </w:r>
      <w:r w:rsidRPr="00A56A1B">
        <w:rPr>
          <w:rFonts w:ascii="Times New Roman" w:eastAsia="Times New Roman" w:hAnsi="Times New Roman" w:cs="Times New Roman"/>
          <w:bCs/>
          <w:lang w:eastAsia="hu-HU"/>
        </w:rPr>
        <w:t>évente /7. félév</w:t>
      </w:r>
    </w:p>
    <w:p w:rsidR="00A56A1B" w:rsidRPr="00A56A1B" w:rsidRDefault="00A56A1B" w:rsidP="00980876">
      <w:pPr>
        <w:numPr>
          <w:ilvl w:val="0"/>
          <w:numId w:val="715"/>
        </w:numPr>
        <w:tabs>
          <w:tab w:val="clear" w:pos="720"/>
          <w:tab w:val="right" w:pos="567"/>
          <w:tab w:val="center" w:pos="4536"/>
          <w:tab w:val="right" w:pos="9071"/>
        </w:tabs>
        <w:spacing w:before="120" w:after="120" w:line="240" w:lineRule="auto"/>
        <w:ind w:left="426" w:hanging="142"/>
        <w:jc w:val="both"/>
        <w:rPr>
          <w:rFonts w:ascii="Times New Roman" w:eastAsia="Times New Roman" w:hAnsi="Times New Roman" w:cs="Times New Roman"/>
          <w:b/>
          <w:lang w:eastAsia="hu-HU"/>
        </w:rPr>
      </w:pPr>
      <w:r w:rsidRPr="00A56A1B">
        <w:rPr>
          <w:rFonts w:ascii="Times New Roman" w:eastAsia="Times New Roman" w:hAnsi="Times New Roman" w:cs="Times New Roman"/>
          <w:b/>
          <w:bCs/>
          <w:lang w:eastAsia="hu-HU"/>
        </w:rPr>
        <w:t>A foglalkozásokon való részvétel követelményei, elfogadható hiányzások mértéke, távolmaradás pótlásának lehetősége:</w:t>
      </w:r>
    </w:p>
    <w:p w:rsidR="00A56A1B" w:rsidRPr="00A56A1B" w:rsidRDefault="00A56A1B" w:rsidP="00A56A1B">
      <w:pPr>
        <w:tabs>
          <w:tab w:val="right" w:pos="900"/>
          <w:tab w:val="center" w:pos="4536"/>
          <w:tab w:val="right" w:pos="9071"/>
        </w:tabs>
        <w:spacing w:before="120" w:after="120" w:line="240" w:lineRule="auto"/>
        <w:ind w:left="426"/>
        <w:jc w:val="both"/>
        <w:rPr>
          <w:rFonts w:ascii="Times New Roman" w:eastAsia="Times New Roman" w:hAnsi="Times New Roman" w:cs="Times New Roman"/>
          <w:bCs/>
          <w:lang w:eastAsia="hu-HU"/>
        </w:rPr>
      </w:pPr>
      <w:r w:rsidRPr="00A56A1B">
        <w:rPr>
          <w:rFonts w:ascii="Times New Roman" w:eastAsia="Times New Roman" w:hAnsi="Times New Roman" w:cs="Times New Roman"/>
          <w:bCs/>
          <w:lang w:eastAsia="hu-HU"/>
        </w:rPr>
        <w:t>A hallgatónak a tanórák legalább 70 %-án jelen kell lennie, 30 % -t meghaladó hiányzás esetén a félév teljesítése nem irható alá. A hallgató köteles az előadások és a gyakorlat anyagát beszerezni, abból önállóan felkészülni.</w:t>
      </w:r>
    </w:p>
    <w:p w:rsidR="00A56A1B" w:rsidRPr="00A56A1B" w:rsidRDefault="00A56A1B" w:rsidP="00980876">
      <w:pPr>
        <w:numPr>
          <w:ilvl w:val="0"/>
          <w:numId w:val="715"/>
        </w:numPr>
        <w:tabs>
          <w:tab w:val="clear" w:pos="720"/>
          <w:tab w:val="num" w:pos="426"/>
        </w:tabs>
        <w:spacing w:before="120" w:after="120" w:line="240" w:lineRule="auto"/>
        <w:ind w:left="641" w:hanging="357"/>
        <w:rPr>
          <w:rFonts w:ascii="Times New Roman" w:eastAsia="Times New Roman" w:hAnsi="Times New Roman" w:cs="Times New Roman"/>
          <w:b/>
          <w:lang w:eastAsia="hu-HU"/>
        </w:rPr>
      </w:pPr>
      <w:r w:rsidRPr="00A56A1B">
        <w:rPr>
          <w:rFonts w:ascii="Times New Roman" w:eastAsia="Times New Roman" w:hAnsi="Times New Roman" w:cs="Times New Roman"/>
          <w:b/>
          <w:lang w:eastAsia="hu-HU"/>
        </w:rPr>
        <w:t xml:space="preserve">Félévközi feladatok, ismeretek ellenőrzésének rendje: </w:t>
      </w:r>
    </w:p>
    <w:p w:rsidR="00A56A1B" w:rsidRPr="00A56A1B" w:rsidRDefault="00A56A1B" w:rsidP="00A56A1B">
      <w:pPr>
        <w:tabs>
          <w:tab w:val="num" w:pos="426"/>
        </w:tabs>
        <w:spacing w:before="120" w:after="120" w:line="240" w:lineRule="auto"/>
        <w:ind w:left="426"/>
        <w:jc w:val="both"/>
        <w:rPr>
          <w:rFonts w:ascii="Times New Roman" w:eastAsia="Times New Roman" w:hAnsi="Times New Roman" w:cs="Times New Roman"/>
          <w:b/>
          <w:lang w:eastAsia="hu-HU"/>
        </w:rPr>
      </w:pPr>
      <w:r w:rsidRPr="00A56A1B">
        <w:rPr>
          <w:rFonts w:ascii="Times New Roman" w:eastAsia="Times New Roman" w:hAnsi="Times New Roman" w:cs="Times New Roman"/>
          <w:lang w:eastAsia="hu-HU"/>
        </w:rPr>
        <w:t>A félév során a hallgató kett</w:t>
      </w:r>
      <w:r w:rsidRPr="00A56A1B">
        <w:rPr>
          <w:rFonts w:ascii="Times New Roman" w:eastAsia="Times New Roman" w:hAnsi="Times New Roman" w:cs="Times New Roman" w:hint="eastAsia"/>
          <w:lang w:eastAsia="hu-HU"/>
        </w:rPr>
        <w:t>ő</w:t>
      </w:r>
      <w:r w:rsidRPr="00A56A1B">
        <w:rPr>
          <w:rFonts w:ascii="Times New Roman" w:eastAsia="Times New Roman" w:hAnsi="Times New Roman" w:cs="Times New Roman"/>
          <w:lang w:eastAsia="hu-HU"/>
        </w:rPr>
        <w:t xml:space="preserve"> zárthelyi dolgozatot ír. Zárthelyi dolgozatok a 12.1-12.15 tantárgyrészekb</w:t>
      </w:r>
      <w:r w:rsidRPr="00A56A1B">
        <w:rPr>
          <w:rFonts w:ascii="Times New Roman" w:eastAsia="Times New Roman" w:hAnsi="Times New Roman" w:cs="Times New Roman" w:hint="eastAsia"/>
          <w:lang w:eastAsia="hu-HU"/>
        </w:rPr>
        <w:t>ő</w:t>
      </w:r>
      <w:r w:rsidRPr="00A56A1B">
        <w:rPr>
          <w:rFonts w:ascii="Times New Roman" w:eastAsia="Times New Roman" w:hAnsi="Times New Roman" w:cs="Times New Roman"/>
          <w:lang w:eastAsia="hu-HU"/>
        </w:rPr>
        <w:t>l. A zárthelyi dolgozat témáit a kötelez</w:t>
      </w:r>
      <w:r w:rsidRPr="00A56A1B">
        <w:rPr>
          <w:rFonts w:ascii="Times New Roman" w:eastAsia="Times New Roman" w:hAnsi="Times New Roman" w:cs="Times New Roman" w:hint="eastAsia"/>
          <w:lang w:eastAsia="hu-HU"/>
        </w:rPr>
        <w:t>ő</w:t>
      </w:r>
      <w:r w:rsidRPr="00A56A1B">
        <w:rPr>
          <w:rFonts w:ascii="Times New Roman" w:eastAsia="Times New Roman" w:hAnsi="Times New Roman" w:cs="Times New Roman"/>
          <w:lang w:eastAsia="hu-HU"/>
        </w:rPr>
        <w:t xml:space="preserve"> irodalmak anyagából, illetve az el</w:t>
      </w:r>
      <w:r w:rsidRPr="00A56A1B">
        <w:rPr>
          <w:rFonts w:ascii="Times New Roman" w:eastAsia="Times New Roman" w:hAnsi="Times New Roman" w:cs="Times New Roman" w:hint="eastAsia"/>
          <w:lang w:eastAsia="hu-HU"/>
        </w:rPr>
        <w:t>ő</w:t>
      </w:r>
      <w:r w:rsidRPr="00A56A1B">
        <w:rPr>
          <w:rFonts w:ascii="Times New Roman" w:eastAsia="Times New Roman" w:hAnsi="Times New Roman" w:cs="Times New Roman"/>
          <w:lang w:eastAsia="hu-HU"/>
        </w:rPr>
        <w:t>adásokon elhangzott ismeretanyagból kell összeállítani. A zárthelyi dolgozat értékelése ötfokozatú értékelés (a helyes válaszok aránya 0-60% elégtelen; 61-70% elégséges; 71-80% közepes; 81-90% jó; 91-100% jeles osztályzat). Eredménytelen zárthelyi dolgozat kétszer javítható. A dolgozatban teszt és esszé jelleg</w:t>
      </w:r>
      <w:r w:rsidRPr="00A56A1B">
        <w:rPr>
          <w:rFonts w:ascii="Times New Roman" w:eastAsia="Times New Roman" w:hAnsi="Times New Roman" w:cs="Times New Roman" w:hint="eastAsia"/>
          <w:lang w:eastAsia="hu-HU"/>
        </w:rPr>
        <w:t>ű</w:t>
      </w:r>
      <w:r w:rsidRPr="00A56A1B">
        <w:rPr>
          <w:rFonts w:ascii="Times New Roman" w:eastAsia="Times New Roman" w:hAnsi="Times New Roman" w:cs="Times New Roman"/>
          <w:lang w:eastAsia="hu-HU"/>
        </w:rPr>
        <w:t xml:space="preserve"> kérdések egyaránt szerepelnek.</w:t>
      </w:r>
    </w:p>
    <w:p w:rsidR="00A56A1B" w:rsidRPr="00A56A1B" w:rsidRDefault="00A56A1B" w:rsidP="00980876">
      <w:pPr>
        <w:numPr>
          <w:ilvl w:val="0"/>
          <w:numId w:val="715"/>
        </w:numPr>
        <w:tabs>
          <w:tab w:val="clear" w:pos="720"/>
          <w:tab w:val="num" w:pos="426"/>
        </w:tabs>
        <w:spacing w:before="120" w:after="120" w:line="240" w:lineRule="auto"/>
        <w:ind w:left="426" w:hanging="142"/>
        <w:jc w:val="both"/>
        <w:rPr>
          <w:rFonts w:ascii="Times New Roman" w:eastAsia="Times New Roman" w:hAnsi="Times New Roman" w:cs="Times New Roman"/>
          <w:b/>
          <w:lang w:eastAsia="hu-HU"/>
        </w:rPr>
      </w:pPr>
      <w:r w:rsidRPr="00A56A1B">
        <w:rPr>
          <w:rFonts w:ascii="Times New Roman" w:eastAsia="Times New Roman" w:hAnsi="Times New Roman" w:cs="Times New Roman"/>
          <w:b/>
          <w:lang w:eastAsia="hu-HU"/>
        </w:rPr>
        <w:t xml:space="preserve">Az aláírás és a kreditek megszerzésének pontos feltételei </w:t>
      </w:r>
    </w:p>
    <w:p w:rsidR="00A56A1B" w:rsidRPr="00A56A1B" w:rsidRDefault="00A56A1B" w:rsidP="00980876">
      <w:pPr>
        <w:numPr>
          <w:ilvl w:val="1"/>
          <w:numId w:val="715"/>
        </w:numPr>
        <w:tabs>
          <w:tab w:val="clear" w:pos="3977"/>
          <w:tab w:val="num" w:pos="1425"/>
        </w:tabs>
        <w:spacing w:before="120" w:after="120" w:line="240" w:lineRule="auto"/>
        <w:ind w:left="567" w:firstLine="0"/>
        <w:jc w:val="both"/>
        <w:rPr>
          <w:rFonts w:ascii="Times New Roman" w:eastAsia="Times New Roman" w:hAnsi="Times New Roman" w:cs="Times New Roman"/>
          <w:lang w:eastAsia="hu-HU"/>
        </w:rPr>
      </w:pPr>
      <w:r w:rsidRPr="00A56A1B">
        <w:rPr>
          <w:rFonts w:ascii="Times New Roman" w:eastAsia="Times New Roman" w:hAnsi="Times New Roman" w:cs="Times New Roman"/>
          <w:b/>
          <w:lang w:eastAsia="hu-HU"/>
        </w:rPr>
        <w:t xml:space="preserve">Az aláírás megszerzésének feltételei: </w:t>
      </w:r>
      <w:r w:rsidRPr="00A56A1B">
        <w:rPr>
          <w:rFonts w:ascii="Times New Roman" w:eastAsia="Times New Roman" w:hAnsi="Times New Roman" w:cs="Times New Roman"/>
          <w:lang w:eastAsia="hu-HU"/>
        </w:rPr>
        <w:t>Az aláírás megszerzésének feltétele a 14. pontban meghatározott arányú részvétel a foglalkozásokon és a 15. pontban meghatározott félévközi feladatok legalább elégséges teljesítése.</w:t>
      </w:r>
    </w:p>
    <w:p w:rsidR="00A56A1B" w:rsidRPr="00A56A1B" w:rsidRDefault="00A56A1B" w:rsidP="00980876">
      <w:pPr>
        <w:numPr>
          <w:ilvl w:val="1"/>
          <w:numId w:val="715"/>
        </w:numPr>
        <w:tabs>
          <w:tab w:val="clear" w:pos="3977"/>
          <w:tab w:val="num" w:pos="1425"/>
        </w:tabs>
        <w:spacing w:before="120" w:after="120" w:line="240" w:lineRule="auto"/>
        <w:ind w:left="567" w:firstLine="0"/>
        <w:jc w:val="both"/>
        <w:rPr>
          <w:rFonts w:ascii="Times New Roman" w:eastAsia="Times New Roman" w:hAnsi="Times New Roman" w:cs="Times New Roman"/>
          <w:lang w:eastAsia="hu-HU"/>
        </w:rPr>
      </w:pPr>
      <w:r w:rsidRPr="00A56A1B">
        <w:rPr>
          <w:rFonts w:ascii="Times New Roman" w:eastAsia="Times New Roman" w:hAnsi="Times New Roman" w:cs="Times New Roman"/>
          <w:b/>
          <w:lang w:eastAsia="hu-HU"/>
        </w:rPr>
        <w:t>Az értékelés</w:t>
      </w:r>
      <w:r w:rsidRPr="00A56A1B">
        <w:rPr>
          <w:rFonts w:ascii="Times New Roman" w:eastAsia="Times New Roman" w:hAnsi="Times New Roman" w:cs="Times New Roman"/>
          <w:lang w:eastAsia="hu-HU"/>
        </w:rPr>
        <w:t>: szóbeli kollokvium, ötfokozatú értékelés. Vizsgakövetelmény a tematikában megadott tárgykörök, témák, illetve a kötelez</w:t>
      </w:r>
      <w:r w:rsidRPr="00A56A1B">
        <w:rPr>
          <w:rFonts w:ascii="Times New Roman" w:eastAsia="Times New Roman" w:hAnsi="Times New Roman" w:cs="Times New Roman" w:hint="eastAsia"/>
          <w:lang w:eastAsia="hu-HU"/>
        </w:rPr>
        <w:t>ő</w:t>
      </w:r>
      <w:r w:rsidRPr="00A56A1B">
        <w:rPr>
          <w:rFonts w:ascii="Times New Roman" w:eastAsia="Times New Roman" w:hAnsi="Times New Roman" w:cs="Times New Roman"/>
          <w:lang w:eastAsia="hu-HU"/>
        </w:rPr>
        <w:t xml:space="preserve"> és az ajánlott irodalom ismerete.</w:t>
      </w:r>
    </w:p>
    <w:p w:rsidR="00A56A1B" w:rsidRPr="00A56A1B" w:rsidRDefault="00A56A1B" w:rsidP="00980876">
      <w:pPr>
        <w:numPr>
          <w:ilvl w:val="1"/>
          <w:numId w:val="715"/>
        </w:numPr>
        <w:tabs>
          <w:tab w:val="clear" w:pos="3977"/>
          <w:tab w:val="num" w:pos="1425"/>
        </w:tabs>
        <w:spacing w:before="120" w:after="120" w:line="240" w:lineRule="auto"/>
        <w:ind w:left="567" w:firstLine="0"/>
        <w:jc w:val="both"/>
        <w:rPr>
          <w:rFonts w:ascii="Times New Roman" w:eastAsia="Times New Roman" w:hAnsi="Times New Roman" w:cs="Times New Roman"/>
          <w:lang w:eastAsia="hu-HU"/>
        </w:rPr>
      </w:pPr>
      <w:r w:rsidRPr="00A56A1B">
        <w:rPr>
          <w:rFonts w:ascii="Times New Roman" w:eastAsia="Times New Roman" w:hAnsi="Times New Roman" w:cs="Times New Roman"/>
          <w:b/>
          <w:lang w:eastAsia="hu-HU"/>
        </w:rPr>
        <w:lastRenderedPageBreak/>
        <w:t>A kreditek megszerzésének feltételei</w:t>
      </w:r>
      <w:r w:rsidRPr="00A56A1B">
        <w:rPr>
          <w:rFonts w:ascii="Times New Roman" w:eastAsia="Times New Roman" w:hAnsi="Times New Roman" w:cs="Times New Roman"/>
          <w:lang w:eastAsia="hu-HU"/>
        </w:rPr>
        <w:t>: az aláírás megszerzése és legalább elégséges szóbeli kollokvium jegy.</w:t>
      </w:r>
    </w:p>
    <w:p w:rsidR="00A56A1B" w:rsidRPr="00A56A1B" w:rsidRDefault="00A56A1B" w:rsidP="00980876">
      <w:pPr>
        <w:numPr>
          <w:ilvl w:val="0"/>
          <w:numId w:val="715"/>
        </w:numPr>
        <w:tabs>
          <w:tab w:val="clear" w:pos="720"/>
          <w:tab w:val="num" w:pos="426"/>
        </w:tabs>
        <w:spacing w:before="120" w:after="120" w:line="240" w:lineRule="auto"/>
        <w:ind w:left="426" w:hanging="142"/>
        <w:jc w:val="both"/>
        <w:rPr>
          <w:rFonts w:ascii="Times New Roman" w:eastAsia="Times New Roman" w:hAnsi="Times New Roman" w:cs="Times New Roman"/>
          <w:b/>
          <w:lang w:eastAsia="hu-HU"/>
        </w:rPr>
      </w:pPr>
      <w:r w:rsidRPr="00A56A1B">
        <w:rPr>
          <w:rFonts w:ascii="Times New Roman" w:eastAsia="Times New Roman" w:hAnsi="Times New Roman" w:cs="Times New Roman"/>
          <w:b/>
          <w:lang w:eastAsia="hu-HU"/>
        </w:rPr>
        <w:t>Irodalomjegyzék (magyarul, angolul):</w:t>
      </w:r>
    </w:p>
    <w:p w:rsidR="00A56A1B" w:rsidRPr="00A56A1B" w:rsidRDefault="00A56A1B" w:rsidP="00980876">
      <w:pPr>
        <w:numPr>
          <w:ilvl w:val="1"/>
          <w:numId w:val="715"/>
        </w:numPr>
        <w:tabs>
          <w:tab w:val="clear" w:pos="3977"/>
          <w:tab w:val="left" w:pos="1134"/>
          <w:tab w:val="num" w:pos="1425"/>
        </w:tabs>
        <w:spacing w:before="120" w:after="120" w:line="240" w:lineRule="auto"/>
        <w:ind w:left="568" w:firstLine="0"/>
        <w:jc w:val="both"/>
        <w:rPr>
          <w:rFonts w:ascii="Times New Roman" w:eastAsia="Times New Roman" w:hAnsi="Times New Roman" w:cs="Times New Roman"/>
          <w:b/>
          <w:lang w:eastAsia="hu-HU"/>
        </w:rPr>
      </w:pPr>
      <w:r w:rsidRPr="00A56A1B">
        <w:rPr>
          <w:rFonts w:ascii="Times New Roman" w:eastAsia="Times New Roman" w:hAnsi="Times New Roman" w:cs="Times New Roman"/>
          <w:b/>
          <w:lang w:eastAsia="hu-HU"/>
        </w:rPr>
        <w:t>Kötelező irodalom:</w:t>
      </w:r>
    </w:p>
    <w:p w:rsidR="00A56A1B" w:rsidRPr="00A56A1B" w:rsidRDefault="00A56A1B" w:rsidP="00980876">
      <w:pPr>
        <w:numPr>
          <w:ilvl w:val="0"/>
          <w:numId w:val="716"/>
        </w:numPr>
        <w:spacing w:before="120" w:after="120" w:line="240" w:lineRule="auto"/>
        <w:ind w:left="851" w:hanging="284"/>
        <w:jc w:val="both"/>
        <w:rPr>
          <w:rFonts w:ascii="Times New Roman" w:eastAsia="Times New Roman" w:hAnsi="Times New Roman" w:cs="Times New Roman"/>
          <w:lang w:eastAsia="hu-HU"/>
        </w:rPr>
      </w:pPr>
      <w:r w:rsidRPr="00A56A1B">
        <w:rPr>
          <w:rFonts w:ascii="Times New Roman" w:eastAsia="Times New Roman" w:hAnsi="Times New Roman" w:cs="Times New Roman"/>
          <w:lang w:eastAsia="hu-HU"/>
        </w:rPr>
        <w:t>Htp/9 Haditechnikai Szakanyagellátási Szabályzat</w:t>
      </w:r>
    </w:p>
    <w:p w:rsidR="00A56A1B" w:rsidRPr="00A56A1B" w:rsidRDefault="00A56A1B" w:rsidP="00980876">
      <w:pPr>
        <w:numPr>
          <w:ilvl w:val="0"/>
          <w:numId w:val="716"/>
        </w:numPr>
        <w:spacing w:before="120" w:after="120" w:line="240" w:lineRule="auto"/>
        <w:ind w:left="851" w:hanging="284"/>
        <w:jc w:val="both"/>
        <w:rPr>
          <w:rFonts w:ascii="Times New Roman" w:eastAsia="Times New Roman" w:hAnsi="Times New Roman" w:cs="Times New Roman"/>
          <w:lang w:eastAsia="hu-HU"/>
        </w:rPr>
      </w:pPr>
      <w:r w:rsidRPr="00A56A1B">
        <w:rPr>
          <w:rFonts w:ascii="Times New Roman" w:eastAsia="Times New Roman" w:hAnsi="Times New Roman" w:cs="Times New Roman"/>
          <w:lang w:eastAsia="hu-HU"/>
        </w:rPr>
        <w:t>Tüfe/3 A fegyverzeti szolgálat szakutasítása (Állandó harckészültség id</w:t>
      </w:r>
      <w:r w:rsidRPr="00A56A1B">
        <w:rPr>
          <w:rFonts w:ascii="Times New Roman" w:eastAsia="Times New Roman" w:hAnsi="Times New Roman" w:cs="Times New Roman" w:hint="eastAsia"/>
          <w:lang w:eastAsia="hu-HU"/>
        </w:rPr>
        <w:t>ő</w:t>
      </w:r>
      <w:r w:rsidRPr="00A56A1B">
        <w:rPr>
          <w:rFonts w:ascii="Times New Roman" w:eastAsia="Times New Roman" w:hAnsi="Times New Roman" w:cs="Times New Roman"/>
          <w:lang w:eastAsia="hu-HU"/>
        </w:rPr>
        <w:t>szakára)</w:t>
      </w:r>
    </w:p>
    <w:p w:rsidR="00A56A1B" w:rsidRPr="00A56A1B" w:rsidRDefault="00A56A1B" w:rsidP="00980876">
      <w:pPr>
        <w:numPr>
          <w:ilvl w:val="0"/>
          <w:numId w:val="716"/>
        </w:numPr>
        <w:spacing w:before="120" w:after="120" w:line="240" w:lineRule="auto"/>
        <w:ind w:left="851" w:hanging="284"/>
        <w:jc w:val="both"/>
        <w:rPr>
          <w:rFonts w:ascii="Times New Roman" w:eastAsia="Times New Roman" w:hAnsi="Times New Roman" w:cs="Times New Roman"/>
          <w:lang w:eastAsia="hu-HU"/>
        </w:rPr>
      </w:pPr>
      <w:r w:rsidRPr="00A56A1B">
        <w:rPr>
          <w:rFonts w:ascii="Times New Roman" w:eastAsia="Times New Roman" w:hAnsi="Times New Roman" w:cs="Times New Roman"/>
          <w:lang w:eastAsia="hu-HU"/>
        </w:rPr>
        <w:t>Tüfe/309 Utasítás a fegyverzeti anyagok megóvására (tárolás, meg</w:t>
      </w:r>
      <w:r w:rsidRPr="00A56A1B">
        <w:rPr>
          <w:rFonts w:ascii="Times New Roman" w:eastAsia="Times New Roman" w:hAnsi="Times New Roman" w:cs="Times New Roman" w:hint="eastAsia"/>
          <w:lang w:eastAsia="hu-HU"/>
        </w:rPr>
        <w:t>ő</w:t>
      </w:r>
      <w:r w:rsidRPr="00A56A1B">
        <w:rPr>
          <w:rFonts w:ascii="Times New Roman" w:eastAsia="Times New Roman" w:hAnsi="Times New Roman" w:cs="Times New Roman"/>
          <w:lang w:eastAsia="hu-HU"/>
        </w:rPr>
        <w:t>rzés)</w:t>
      </w:r>
    </w:p>
    <w:p w:rsidR="00A56A1B" w:rsidRPr="00A56A1B" w:rsidRDefault="00A56A1B" w:rsidP="00980876">
      <w:pPr>
        <w:numPr>
          <w:ilvl w:val="0"/>
          <w:numId w:val="716"/>
        </w:numPr>
        <w:spacing w:before="120" w:after="120" w:line="240" w:lineRule="auto"/>
        <w:ind w:left="851" w:hanging="284"/>
        <w:jc w:val="both"/>
        <w:rPr>
          <w:rFonts w:ascii="Times New Roman" w:eastAsia="Times New Roman" w:hAnsi="Times New Roman" w:cs="Times New Roman"/>
          <w:lang w:eastAsia="hu-HU"/>
        </w:rPr>
      </w:pPr>
      <w:r w:rsidRPr="00A56A1B">
        <w:rPr>
          <w:rFonts w:ascii="Times New Roman" w:eastAsia="Times New Roman" w:hAnsi="Times New Roman" w:cs="Times New Roman"/>
          <w:lang w:eastAsia="hu-HU"/>
        </w:rPr>
        <w:t>Gát István: Fegyver és l</w:t>
      </w:r>
      <w:r w:rsidRPr="00A56A1B">
        <w:rPr>
          <w:rFonts w:ascii="Times New Roman" w:eastAsia="Times New Roman" w:hAnsi="Times New Roman" w:cs="Times New Roman" w:hint="eastAsia"/>
          <w:lang w:eastAsia="hu-HU"/>
        </w:rPr>
        <w:t>ő</w:t>
      </w:r>
      <w:r w:rsidRPr="00A56A1B">
        <w:rPr>
          <w:rFonts w:ascii="Times New Roman" w:eastAsia="Times New Roman" w:hAnsi="Times New Roman" w:cs="Times New Roman"/>
          <w:lang w:eastAsia="hu-HU"/>
        </w:rPr>
        <w:t>szertechnikai kézikönyv (Ipari Minisztérium Iparszervezési f</w:t>
      </w:r>
      <w:r w:rsidRPr="00A56A1B">
        <w:rPr>
          <w:rFonts w:ascii="Times New Roman" w:eastAsia="Times New Roman" w:hAnsi="Times New Roman" w:cs="Times New Roman" w:hint="eastAsia"/>
          <w:lang w:eastAsia="hu-HU"/>
        </w:rPr>
        <w:t>ő</w:t>
      </w:r>
      <w:r w:rsidRPr="00A56A1B">
        <w:rPr>
          <w:rFonts w:ascii="Times New Roman" w:eastAsia="Times New Roman" w:hAnsi="Times New Roman" w:cs="Times New Roman"/>
          <w:lang w:eastAsia="hu-HU"/>
        </w:rPr>
        <w:t>osztály, VASKUT MÜFIL Innovációs Iroda, Budapest, 1984, 84.408).</w:t>
      </w:r>
    </w:p>
    <w:p w:rsidR="00A56A1B" w:rsidRPr="00A56A1B" w:rsidRDefault="00A56A1B" w:rsidP="00980876">
      <w:pPr>
        <w:numPr>
          <w:ilvl w:val="0"/>
          <w:numId w:val="716"/>
        </w:numPr>
        <w:spacing w:before="120" w:after="120" w:line="240" w:lineRule="auto"/>
        <w:ind w:left="851" w:hanging="284"/>
        <w:jc w:val="both"/>
        <w:rPr>
          <w:rFonts w:ascii="Times New Roman" w:eastAsia="Times New Roman" w:hAnsi="Times New Roman" w:cs="Times New Roman"/>
          <w:lang w:eastAsia="hu-HU"/>
        </w:rPr>
      </w:pPr>
      <w:r w:rsidRPr="00A56A1B">
        <w:rPr>
          <w:rFonts w:ascii="Times New Roman" w:eastAsia="Times New Roman" w:hAnsi="Times New Roman" w:cs="Times New Roman"/>
          <w:lang w:eastAsia="hu-HU"/>
        </w:rPr>
        <w:t>Nyt. Sz: 94/669 Szakutasítás a Nemzeti Támogató Zászlóalj, és a Nemzeti Támogató Elemek felkészítéséhez és m</w:t>
      </w:r>
      <w:r w:rsidRPr="00A56A1B">
        <w:rPr>
          <w:rFonts w:ascii="Times New Roman" w:eastAsia="Times New Roman" w:hAnsi="Times New Roman" w:cs="Times New Roman" w:hint="eastAsia"/>
          <w:lang w:eastAsia="hu-HU"/>
        </w:rPr>
        <w:t>ű</w:t>
      </w:r>
      <w:r w:rsidRPr="00A56A1B">
        <w:rPr>
          <w:rFonts w:ascii="Times New Roman" w:eastAsia="Times New Roman" w:hAnsi="Times New Roman" w:cs="Times New Roman"/>
          <w:lang w:eastAsia="hu-HU"/>
        </w:rPr>
        <w:t>veleti területen történ</w:t>
      </w:r>
      <w:r w:rsidRPr="00A56A1B">
        <w:rPr>
          <w:rFonts w:ascii="Times New Roman" w:eastAsia="Times New Roman" w:hAnsi="Times New Roman" w:cs="Times New Roman" w:hint="eastAsia"/>
          <w:lang w:eastAsia="hu-HU"/>
        </w:rPr>
        <w:t>ő</w:t>
      </w:r>
      <w:r w:rsidRPr="00A56A1B">
        <w:rPr>
          <w:rFonts w:ascii="Times New Roman" w:eastAsia="Times New Roman" w:hAnsi="Times New Roman" w:cs="Times New Roman"/>
          <w:lang w:eastAsia="hu-HU"/>
        </w:rPr>
        <w:t xml:space="preserve"> alkalmazásához</w:t>
      </w:r>
    </w:p>
    <w:p w:rsidR="00A56A1B" w:rsidRPr="00A56A1B" w:rsidRDefault="00A56A1B" w:rsidP="00980876">
      <w:pPr>
        <w:numPr>
          <w:ilvl w:val="1"/>
          <w:numId w:val="715"/>
        </w:numPr>
        <w:tabs>
          <w:tab w:val="clear" w:pos="3977"/>
          <w:tab w:val="left" w:pos="1134"/>
          <w:tab w:val="num" w:pos="1425"/>
        </w:tabs>
        <w:spacing w:before="120" w:after="120" w:line="240" w:lineRule="auto"/>
        <w:ind w:left="568" w:firstLine="0"/>
        <w:jc w:val="both"/>
        <w:rPr>
          <w:rFonts w:ascii="Times New Roman" w:eastAsia="Times New Roman" w:hAnsi="Times New Roman" w:cs="Times New Roman"/>
          <w:b/>
          <w:lang w:eastAsia="hu-HU"/>
        </w:rPr>
      </w:pPr>
      <w:r w:rsidRPr="00A56A1B">
        <w:rPr>
          <w:rFonts w:ascii="Times New Roman" w:eastAsia="Times New Roman" w:hAnsi="Times New Roman" w:cs="Times New Roman"/>
          <w:b/>
          <w:lang w:eastAsia="hu-HU"/>
        </w:rPr>
        <w:t xml:space="preserve"> Ajánlott irodalom:</w:t>
      </w:r>
    </w:p>
    <w:p w:rsidR="00A56A1B" w:rsidRPr="00A56A1B" w:rsidRDefault="00A56A1B" w:rsidP="00980876">
      <w:pPr>
        <w:numPr>
          <w:ilvl w:val="0"/>
          <w:numId w:val="717"/>
        </w:numPr>
        <w:spacing w:before="120" w:after="120" w:line="240" w:lineRule="auto"/>
        <w:ind w:left="851" w:hanging="284"/>
        <w:jc w:val="both"/>
        <w:rPr>
          <w:rFonts w:ascii="Times New Roman" w:eastAsia="Times New Roman" w:hAnsi="Times New Roman" w:cs="Times New Roman"/>
          <w:lang w:eastAsia="hu-HU"/>
        </w:rPr>
      </w:pPr>
      <w:r w:rsidRPr="00A56A1B">
        <w:rPr>
          <w:rFonts w:ascii="Times New Roman" w:eastAsia="Times New Roman" w:hAnsi="Times New Roman" w:cs="Times New Roman"/>
          <w:lang w:eastAsia="hu-HU"/>
        </w:rPr>
        <w:t>Nyt. Sz: 94/2004 Magyar Honvédség eszközeinek, anyagainak lajstroma, 2004</w:t>
      </w:r>
    </w:p>
    <w:p w:rsidR="00A56A1B" w:rsidRPr="00A56A1B" w:rsidRDefault="00A56A1B" w:rsidP="00980876">
      <w:pPr>
        <w:numPr>
          <w:ilvl w:val="0"/>
          <w:numId w:val="717"/>
        </w:numPr>
        <w:spacing w:before="120" w:after="120" w:line="240" w:lineRule="auto"/>
        <w:ind w:left="851" w:hanging="284"/>
        <w:jc w:val="both"/>
        <w:rPr>
          <w:rFonts w:ascii="Times New Roman" w:eastAsia="Times New Roman" w:hAnsi="Times New Roman" w:cs="Times New Roman"/>
          <w:lang w:eastAsia="hu-HU"/>
        </w:rPr>
      </w:pPr>
      <w:r w:rsidRPr="00A56A1B">
        <w:rPr>
          <w:rFonts w:ascii="Times New Roman" w:eastAsia="Times New Roman" w:hAnsi="Times New Roman" w:cs="Times New Roman"/>
          <w:lang w:eastAsia="hu-HU"/>
        </w:rPr>
        <w:t>Nyt. Sz: 96/1987 Segédlet, a csapattagozatú javító szervek szaktevékenységének egységes elvek alapján történ</w:t>
      </w:r>
      <w:r w:rsidRPr="00A56A1B">
        <w:rPr>
          <w:rFonts w:ascii="Times New Roman" w:eastAsia="Times New Roman" w:hAnsi="Times New Roman" w:cs="Times New Roman" w:hint="eastAsia"/>
          <w:lang w:eastAsia="hu-HU"/>
        </w:rPr>
        <w:t>ő</w:t>
      </w:r>
      <w:r w:rsidRPr="00A56A1B">
        <w:rPr>
          <w:rFonts w:ascii="Times New Roman" w:eastAsia="Times New Roman" w:hAnsi="Times New Roman" w:cs="Times New Roman"/>
          <w:lang w:eastAsia="hu-HU"/>
        </w:rPr>
        <w:t xml:space="preserve"> tervezéséhez, elszámolásához és nyilvántartásához</w:t>
      </w:r>
    </w:p>
    <w:p w:rsidR="003B548A" w:rsidRDefault="003B548A" w:rsidP="003B548A">
      <w:pPr>
        <w:spacing w:before="120" w:after="120" w:line="240" w:lineRule="auto"/>
        <w:ind w:firstLine="567"/>
        <w:jc w:val="both"/>
        <w:rPr>
          <w:rFonts w:ascii="Times New Roman" w:eastAsia="Times New Roman" w:hAnsi="Times New Roman" w:cs="Times New Roman"/>
          <w:lang w:eastAsia="hu-HU"/>
        </w:rPr>
      </w:pPr>
    </w:p>
    <w:p w:rsidR="00A56A1B" w:rsidRPr="00A56A1B" w:rsidRDefault="00A56A1B" w:rsidP="003B548A">
      <w:pPr>
        <w:spacing w:before="120" w:after="120" w:line="240" w:lineRule="auto"/>
        <w:ind w:firstLine="567"/>
        <w:jc w:val="both"/>
        <w:rPr>
          <w:rFonts w:ascii="Times New Roman" w:eastAsia="Times New Roman" w:hAnsi="Times New Roman" w:cs="Times New Roman"/>
          <w:lang w:eastAsia="hu-HU"/>
        </w:rPr>
      </w:pPr>
      <w:r w:rsidRPr="00A56A1B">
        <w:rPr>
          <w:rFonts w:ascii="Times New Roman" w:eastAsia="Times New Roman" w:hAnsi="Times New Roman" w:cs="Times New Roman"/>
          <w:lang w:eastAsia="hu-HU"/>
        </w:rPr>
        <w:t>Budapest, 2020. február 15.</w:t>
      </w:r>
    </w:p>
    <w:p w:rsidR="00A56A1B" w:rsidRPr="00A56A1B" w:rsidRDefault="00A56A1B" w:rsidP="00A56A1B">
      <w:pPr>
        <w:spacing w:after="0" w:line="240" w:lineRule="auto"/>
        <w:jc w:val="both"/>
        <w:rPr>
          <w:rFonts w:ascii="Times New Roman" w:eastAsia="Times New Roman" w:hAnsi="Times New Roman" w:cs="Times New Roman"/>
          <w:lang w:eastAsia="hu-HU"/>
        </w:rPr>
      </w:pPr>
    </w:p>
    <w:p w:rsidR="00A56A1B" w:rsidRPr="003B548A" w:rsidRDefault="00A56A1B" w:rsidP="00A56A1B">
      <w:pPr>
        <w:tabs>
          <w:tab w:val="center" w:pos="7371"/>
        </w:tabs>
        <w:spacing w:after="0" w:line="240" w:lineRule="auto"/>
        <w:jc w:val="both"/>
        <w:rPr>
          <w:rFonts w:ascii="Times New Roman" w:eastAsia="Times New Roman" w:hAnsi="Times New Roman" w:cs="Times New Roman"/>
          <w:b/>
          <w:lang w:eastAsia="hu-HU"/>
        </w:rPr>
      </w:pPr>
      <w:r w:rsidRPr="003B548A">
        <w:rPr>
          <w:rFonts w:ascii="Times New Roman" w:eastAsia="Times New Roman" w:hAnsi="Times New Roman" w:cs="Times New Roman"/>
          <w:b/>
          <w:lang w:eastAsia="hu-HU"/>
        </w:rPr>
        <w:tab/>
      </w:r>
      <w:r w:rsidRPr="003B548A">
        <w:rPr>
          <w:rFonts w:ascii="Times New Roman" w:eastAsia="Times New Roman" w:hAnsi="Times New Roman" w:cs="Times New Roman"/>
          <w:b/>
          <w:bCs/>
          <w:lang w:eastAsia="hu-HU"/>
        </w:rPr>
        <w:t>Dr. Vég Róbert László alezredes PhD</w:t>
      </w:r>
    </w:p>
    <w:p w:rsidR="00A56A1B" w:rsidRPr="00A56A1B" w:rsidRDefault="00A56A1B" w:rsidP="00A56A1B">
      <w:pPr>
        <w:tabs>
          <w:tab w:val="center" w:pos="7371"/>
        </w:tabs>
        <w:spacing w:after="0" w:line="240" w:lineRule="auto"/>
        <w:jc w:val="both"/>
        <w:rPr>
          <w:rFonts w:ascii="Times New Roman" w:eastAsia="Times New Roman" w:hAnsi="Times New Roman" w:cs="Times New Roman"/>
          <w:lang w:eastAsia="hu-HU"/>
        </w:rPr>
      </w:pPr>
      <w:r w:rsidRPr="00A56A1B">
        <w:rPr>
          <w:rFonts w:ascii="Times New Roman" w:eastAsia="Times New Roman" w:hAnsi="Times New Roman" w:cs="Times New Roman"/>
          <w:lang w:eastAsia="hu-HU"/>
        </w:rPr>
        <w:tab/>
        <w:t>egyetemi docens,</w:t>
      </w:r>
    </w:p>
    <w:p w:rsidR="002A7491" w:rsidRDefault="002A7491">
      <w:pPr>
        <w:spacing w:after="200" w:line="276" w:lineRule="auto"/>
        <w:rPr>
          <w:rFonts w:ascii="Times New Roman" w:hAnsi="Times New Roman" w:cs="Times New Roman"/>
          <w:b/>
          <w:sz w:val="24"/>
        </w:rPr>
      </w:pPr>
    </w:p>
    <w:p w:rsidR="006F6E71" w:rsidRDefault="006F6E71">
      <w:pPr>
        <w:spacing w:after="200" w:line="276" w:lineRule="auto"/>
        <w:rPr>
          <w:rFonts w:ascii="Times New Roman" w:hAnsi="Times New Roman" w:cs="Times New Roman"/>
          <w:b/>
          <w:sz w:val="24"/>
        </w:rPr>
      </w:pPr>
      <w:r>
        <w:rPr>
          <w:rFonts w:ascii="Times New Roman" w:hAnsi="Times New Roman" w:cs="Times New Roman"/>
          <w:b/>
          <w:sz w:val="24"/>
        </w:rPr>
        <w:br w:type="page"/>
      </w:r>
    </w:p>
    <w:tbl>
      <w:tblPr>
        <w:tblW w:w="9072" w:type="dxa"/>
        <w:tblInd w:w="113" w:type="dxa"/>
        <w:tblLook w:val="01E0" w:firstRow="1" w:lastRow="1" w:firstColumn="1" w:lastColumn="1" w:noHBand="0" w:noVBand="0"/>
      </w:tblPr>
      <w:tblGrid>
        <w:gridCol w:w="4855"/>
        <w:gridCol w:w="1620"/>
        <w:gridCol w:w="2597"/>
      </w:tblGrid>
      <w:tr w:rsidR="006F6E71" w:rsidRPr="006F6E71" w:rsidTr="006F6E71">
        <w:tc>
          <w:tcPr>
            <w:tcW w:w="4855" w:type="dxa"/>
            <w:tcBorders>
              <w:top w:val="nil"/>
              <w:left w:val="nil"/>
              <w:bottom w:val="single" w:sz="4" w:space="0" w:color="auto"/>
              <w:right w:val="nil"/>
            </w:tcBorders>
            <w:hideMark/>
          </w:tcPr>
          <w:p w:rsidR="006F6E71" w:rsidRPr="006F6E71" w:rsidRDefault="006F6E71" w:rsidP="006F6E71">
            <w:pPr>
              <w:spacing w:after="0" w:line="240" w:lineRule="auto"/>
              <w:jc w:val="center"/>
              <w:rPr>
                <w:rFonts w:ascii="Times New Roman" w:eastAsia="Times New Roman" w:hAnsi="Times New Roman" w:cs="Times New Roman"/>
                <w:b/>
                <w:smallCaps/>
                <w:lang w:eastAsia="hu-HU"/>
              </w:rPr>
            </w:pPr>
            <w:r w:rsidRPr="006F6E71">
              <w:rPr>
                <w:rFonts w:ascii="Times New Roman" w:eastAsia="Times New Roman" w:hAnsi="Times New Roman" w:cs="Times New Roman"/>
                <w:b/>
                <w:smallCaps/>
                <w:lang w:eastAsia="hu-HU"/>
              </w:rPr>
              <w:lastRenderedPageBreak/>
              <w:t>Nemzeti Közszolgálati Egyetem</w:t>
            </w:r>
          </w:p>
        </w:tc>
        <w:tc>
          <w:tcPr>
            <w:tcW w:w="1620" w:type="dxa"/>
          </w:tcPr>
          <w:p w:rsidR="006F6E71" w:rsidRPr="006F6E71" w:rsidRDefault="006F6E71" w:rsidP="006F6E71">
            <w:pPr>
              <w:spacing w:after="0" w:line="240" w:lineRule="auto"/>
              <w:jc w:val="both"/>
              <w:rPr>
                <w:rFonts w:ascii="Times New Roman" w:eastAsia="Times New Roman" w:hAnsi="Times New Roman" w:cs="Times New Roman"/>
                <w:lang w:eastAsia="hu-HU"/>
              </w:rPr>
            </w:pPr>
          </w:p>
        </w:tc>
        <w:tc>
          <w:tcPr>
            <w:tcW w:w="2597" w:type="dxa"/>
          </w:tcPr>
          <w:p w:rsidR="006F6E71" w:rsidRPr="006F6E71" w:rsidRDefault="006F6E71" w:rsidP="006F6E71">
            <w:pPr>
              <w:spacing w:after="0" w:line="240" w:lineRule="auto"/>
              <w:jc w:val="right"/>
              <w:rPr>
                <w:rFonts w:ascii="Times New Roman" w:eastAsia="Times New Roman" w:hAnsi="Times New Roman" w:cs="Times New Roman"/>
                <w:lang w:eastAsia="hu-HU"/>
              </w:rPr>
            </w:pPr>
          </w:p>
        </w:tc>
      </w:tr>
      <w:tr w:rsidR="006F6E71" w:rsidRPr="006F6E71" w:rsidTr="006F6E71">
        <w:tc>
          <w:tcPr>
            <w:tcW w:w="4855" w:type="dxa"/>
            <w:tcBorders>
              <w:top w:val="single" w:sz="4" w:space="0" w:color="auto"/>
              <w:left w:val="nil"/>
              <w:bottom w:val="nil"/>
              <w:right w:val="nil"/>
            </w:tcBorders>
            <w:hideMark/>
          </w:tcPr>
          <w:p w:rsidR="006F6E71" w:rsidRPr="006F6E71" w:rsidRDefault="006F6E71" w:rsidP="006F6E71">
            <w:pPr>
              <w:spacing w:after="0" w:line="240" w:lineRule="auto"/>
              <w:jc w:val="center"/>
              <w:rPr>
                <w:rFonts w:ascii="Times New Roman" w:eastAsia="Times New Roman" w:hAnsi="Times New Roman" w:cs="Times New Roman"/>
                <w:b/>
                <w:lang w:eastAsia="hu-HU"/>
              </w:rPr>
            </w:pPr>
            <w:r w:rsidRPr="006F6E71">
              <w:rPr>
                <w:rFonts w:ascii="Times New Roman" w:eastAsia="Times New Roman" w:hAnsi="Times New Roman" w:cs="Times New Roman"/>
                <w:b/>
                <w:lang w:eastAsia="hu-HU"/>
              </w:rPr>
              <w:t>Hadtudományi és Honvédtisztképző Kar</w:t>
            </w:r>
          </w:p>
        </w:tc>
        <w:tc>
          <w:tcPr>
            <w:tcW w:w="1620" w:type="dxa"/>
          </w:tcPr>
          <w:p w:rsidR="006F6E71" w:rsidRPr="006F6E71" w:rsidRDefault="006F6E71" w:rsidP="006F6E71">
            <w:pPr>
              <w:spacing w:after="0" w:line="240" w:lineRule="auto"/>
              <w:jc w:val="both"/>
              <w:rPr>
                <w:rFonts w:ascii="Times New Roman" w:eastAsia="Times New Roman" w:hAnsi="Times New Roman" w:cs="Times New Roman"/>
                <w:lang w:eastAsia="hu-HU"/>
              </w:rPr>
            </w:pPr>
          </w:p>
        </w:tc>
        <w:tc>
          <w:tcPr>
            <w:tcW w:w="2597" w:type="dxa"/>
          </w:tcPr>
          <w:p w:rsidR="006F6E71" w:rsidRPr="006F6E71" w:rsidRDefault="006F6E71" w:rsidP="006F6E71">
            <w:pPr>
              <w:spacing w:after="0" w:line="240" w:lineRule="auto"/>
              <w:jc w:val="both"/>
              <w:rPr>
                <w:rFonts w:ascii="Times New Roman" w:eastAsia="Times New Roman" w:hAnsi="Times New Roman" w:cs="Times New Roman"/>
                <w:lang w:eastAsia="hu-HU"/>
              </w:rPr>
            </w:pPr>
          </w:p>
        </w:tc>
      </w:tr>
    </w:tbl>
    <w:p w:rsidR="006F6E71" w:rsidRPr="006F6E71" w:rsidRDefault="006F6E71" w:rsidP="006F6E71">
      <w:pPr>
        <w:tabs>
          <w:tab w:val="right" w:pos="0"/>
          <w:tab w:val="center" w:pos="4819"/>
          <w:tab w:val="right" w:pos="9071"/>
        </w:tabs>
        <w:spacing w:after="0" w:line="240" w:lineRule="auto"/>
        <w:jc w:val="both"/>
        <w:rPr>
          <w:rFonts w:ascii="Times New Roman" w:eastAsia="Times New Roman" w:hAnsi="Times New Roman" w:cs="Times New Roman"/>
          <w:bCs/>
          <w:lang w:eastAsia="hu-HU"/>
        </w:rPr>
      </w:pPr>
    </w:p>
    <w:p w:rsidR="006F6E71" w:rsidRPr="006F6E71" w:rsidRDefault="006F6E71" w:rsidP="006F6E71">
      <w:pPr>
        <w:spacing w:after="0" w:line="240" w:lineRule="auto"/>
        <w:jc w:val="center"/>
        <w:rPr>
          <w:rFonts w:ascii="Times New Roman" w:eastAsia="Times New Roman" w:hAnsi="Times New Roman" w:cs="Times New Roman"/>
          <w:b/>
          <w:bCs/>
          <w:lang w:eastAsia="hu-HU"/>
        </w:rPr>
      </w:pPr>
      <w:r w:rsidRPr="006F6E71">
        <w:rPr>
          <w:rFonts w:ascii="Times New Roman" w:eastAsia="Times New Roman" w:hAnsi="Times New Roman" w:cs="Times New Roman"/>
          <w:b/>
          <w:bCs/>
          <w:lang w:eastAsia="hu-HU"/>
        </w:rPr>
        <w:t>TANTÁRGYI PROGRAM</w:t>
      </w:r>
    </w:p>
    <w:p w:rsidR="006F6E71" w:rsidRPr="006F6E71" w:rsidRDefault="006F6E71" w:rsidP="006F6E71">
      <w:pPr>
        <w:spacing w:after="0" w:line="240" w:lineRule="auto"/>
        <w:jc w:val="center"/>
        <w:rPr>
          <w:rFonts w:ascii="Times New Roman" w:eastAsia="Times New Roman" w:hAnsi="Times New Roman" w:cs="Times New Roman"/>
          <w:b/>
          <w:bCs/>
          <w:lang w:eastAsia="hu-HU"/>
        </w:rPr>
      </w:pPr>
    </w:p>
    <w:p w:rsidR="006F6E71" w:rsidRPr="00137B8A" w:rsidRDefault="006F6E71" w:rsidP="00980876">
      <w:pPr>
        <w:numPr>
          <w:ilvl w:val="0"/>
          <w:numId w:val="718"/>
        </w:numPr>
        <w:tabs>
          <w:tab w:val="clear" w:pos="720"/>
          <w:tab w:val="center" w:pos="4536"/>
          <w:tab w:val="right" w:pos="9071"/>
        </w:tabs>
        <w:spacing w:before="120" w:after="0" w:line="240" w:lineRule="auto"/>
        <w:ind w:left="426" w:hanging="142"/>
        <w:jc w:val="both"/>
        <w:rPr>
          <w:rFonts w:ascii="Times New Roman" w:eastAsia="Times New Roman" w:hAnsi="Times New Roman" w:cs="Times New Roman"/>
          <w:b/>
          <w:bCs/>
          <w:lang w:eastAsia="hu-HU"/>
        </w:rPr>
      </w:pPr>
      <w:r w:rsidRPr="00137B8A">
        <w:rPr>
          <w:rFonts w:ascii="Times New Roman" w:eastAsia="Times New Roman" w:hAnsi="Times New Roman" w:cs="Times New Roman"/>
          <w:b/>
          <w:bCs/>
          <w:lang w:eastAsia="hu-HU"/>
        </w:rPr>
        <w:t xml:space="preserve">A tantárgy kódja: </w:t>
      </w:r>
      <w:r w:rsidRPr="00137B8A">
        <w:rPr>
          <w:rFonts w:ascii="Times New Roman" w:eastAsia="Times New Roman" w:hAnsi="Times New Roman" w:cs="Times New Roman"/>
          <w:bCs/>
          <w:lang w:eastAsia="hu-HU"/>
        </w:rPr>
        <w:t>HKHDTA28</w:t>
      </w:r>
    </w:p>
    <w:p w:rsidR="006F6E71" w:rsidRPr="00137B8A" w:rsidRDefault="006F6E71" w:rsidP="00980876">
      <w:pPr>
        <w:numPr>
          <w:ilvl w:val="0"/>
          <w:numId w:val="718"/>
        </w:numPr>
        <w:tabs>
          <w:tab w:val="clear" w:pos="720"/>
          <w:tab w:val="center" w:pos="4536"/>
          <w:tab w:val="right" w:pos="9071"/>
        </w:tabs>
        <w:spacing w:before="120" w:after="0" w:line="240" w:lineRule="auto"/>
        <w:ind w:left="426" w:hanging="142"/>
        <w:jc w:val="both"/>
        <w:rPr>
          <w:rFonts w:ascii="Times New Roman" w:eastAsia="Times New Roman" w:hAnsi="Times New Roman" w:cs="Times New Roman"/>
          <w:bCs/>
          <w:lang w:eastAsia="hu-HU"/>
        </w:rPr>
      </w:pPr>
      <w:r w:rsidRPr="00137B8A">
        <w:rPr>
          <w:rFonts w:ascii="Times New Roman" w:eastAsia="Times New Roman" w:hAnsi="Times New Roman" w:cs="Times New Roman"/>
          <w:b/>
          <w:bCs/>
          <w:lang w:eastAsia="hu-HU"/>
        </w:rPr>
        <w:t xml:space="preserve">A tantárgy megnevezése (magyarul): </w:t>
      </w:r>
      <w:r w:rsidRPr="00137B8A">
        <w:rPr>
          <w:rFonts w:ascii="Times New Roman" w:eastAsia="Times New Roman" w:hAnsi="Times New Roman" w:cs="Times New Roman"/>
          <w:lang w:eastAsia="hu-HU"/>
        </w:rPr>
        <w:t>Üzembentartás FV II.</w:t>
      </w:r>
    </w:p>
    <w:p w:rsidR="006F6E71" w:rsidRPr="00137B8A" w:rsidRDefault="006F6E71" w:rsidP="00980876">
      <w:pPr>
        <w:numPr>
          <w:ilvl w:val="0"/>
          <w:numId w:val="718"/>
        </w:numPr>
        <w:tabs>
          <w:tab w:val="clear" w:pos="720"/>
          <w:tab w:val="center" w:pos="4536"/>
          <w:tab w:val="right" w:pos="9071"/>
        </w:tabs>
        <w:spacing w:before="120" w:after="0" w:line="240" w:lineRule="auto"/>
        <w:ind w:left="426" w:hanging="142"/>
        <w:jc w:val="both"/>
        <w:rPr>
          <w:rFonts w:ascii="Times New Roman" w:eastAsia="Times New Roman" w:hAnsi="Times New Roman" w:cs="Times New Roman"/>
          <w:bCs/>
          <w:lang w:eastAsia="hu-HU"/>
        </w:rPr>
      </w:pPr>
      <w:r w:rsidRPr="00137B8A">
        <w:rPr>
          <w:rFonts w:ascii="Times New Roman" w:eastAsia="Times New Roman" w:hAnsi="Times New Roman" w:cs="Times New Roman"/>
          <w:b/>
          <w:bCs/>
          <w:lang w:eastAsia="hu-HU"/>
        </w:rPr>
        <w:t xml:space="preserve">A tantárgy megnevezése (angolul): </w:t>
      </w:r>
      <w:r w:rsidRPr="00137B8A">
        <w:rPr>
          <w:rFonts w:ascii="Times New Roman" w:eastAsia="Times New Roman" w:hAnsi="Times New Roman" w:cs="Times New Roman"/>
          <w:bCs/>
          <w:lang w:eastAsia="hu-HU"/>
        </w:rPr>
        <w:t>Maintenance of Weapon Systems II.</w:t>
      </w:r>
    </w:p>
    <w:p w:rsidR="006F6E71" w:rsidRPr="006F6E71" w:rsidRDefault="006F6E71" w:rsidP="00980876">
      <w:pPr>
        <w:numPr>
          <w:ilvl w:val="0"/>
          <w:numId w:val="718"/>
        </w:numPr>
        <w:tabs>
          <w:tab w:val="clear" w:pos="720"/>
          <w:tab w:val="center" w:pos="4536"/>
          <w:tab w:val="right" w:pos="9071"/>
        </w:tabs>
        <w:spacing w:before="120" w:after="0" w:line="240" w:lineRule="auto"/>
        <w:ind w:left="426" w:hanging="142"/>
        <w:rPr>
          <w:rFonts w:ascii="Times New Roman" w:eastAsia="Times New Roman" w:hAnsi="Times New Roman" w:cs="Times New Roman"/>
          <w:bCs/>
          <w:lang w:eastAsia="hu-HU"/>
        </w:rPr>
      </w:pPr>
      <w:r w:rsidRPr="006F6E71">
        <w:rPr>
          <w:rFonts w:ascii="Times New Roman" w:eastAsia="Times New Roman" w:hAnsi="Times New Roman" w:cs="Times New Roman"/>
          <w:b/>
          <w:bCs/>
          <w:lang w:eastAsia="hu-HU"/>
        </w:rPr>
        <w:t>Kreditérték és képzési karakter:</w:t>
      </w:r>
    </w:p>
    <w:p w:rsidR="006F6E71" w:rsidRPr="006F6E71" w:rsidRDefault="006F6E71" w:rsidP="00980876">
      <w:pPr>
        <w:numPr>
          <w:ilvl w:val="1"/>
          <w:numId w:val="718"/>
        </w:numPr>
        <w:tabs>
          <w:tab w:val="clear" w:pos="3977"/>
          <w:tab w:val="right" w:pos="900"/>
          <w:tab w:val="num" w:pos="1425"/>
          <w:tab w:val="center" w:pos="4536"/>
          <w:tab w:val="right" w:pos="9071"/>
        </w:tabs>
        <w:spacing w:before="120" w:after="0" w:line="240" w:lineRule="auto"/>
        <w:ind w:left="1425"/>
        <w:rPr>
          <w:rFonts w:ascii="Times New Roman" w:eastAsia="Times New Roman" w:hAnsi="Times New Roman" w:cs="Times New Roman"/>
          <w:bCs/>
          <w:lang w:eastAsia="hu-HU"/>
        </w:rPr>
      </w:pPr>
      <w:r w:rsidRPr="006F6E71">
        <w:rPr>
          <w:rFonts w:ascii="Times New Roman" w:eastAsia="Times New Roman" w:hAnsi="Times New Roman" w:cs="Times New Roman"/>
          <w:b/>
          <w:bCs/>
          <w:lang w:eastAsia="hu-HU"/>
        </w:rPr>
        <w:t xml:space="preserve"> </w:t>
      </w:r>
      <w:r w:rsidRPr="006F6E71">
        <w:rPr>
          <w:rFonts w:ascii="Times New Roman" w:eastAsia="Times New Roman" w:hAnsi="Times New Roman" w:cs="Times New Roman"/>
          <w:bCs/>
          <w:lang w:eastAsia="hu-HU"/>
        </w:rPr>
        <w:t>5 kredit</w:t>
      </w:r>
    </w:p>
    <w:p w:rsidR="006F6E71" w:rsidRPr="006F6E71" w:rsidRDefault="006F6E71" w:rsidP="00980876">
      <w:pPr>
        <w:numPr>
          <w:ilvl w:val="1"/>
          <w:numId w:val="718"/>
        </w:numPr>
        <w:tabs>
          <w:tab w:val="clear" w:pos="3977"/>
          <w:tab w:val="right" w:pos="900"/>
          <w:tab w:val="num" w:pos="1425"/>
          <w:tab w:val="center" w:pos="4536"/>
          <w:tab w:val="right" w:pos="9071"/>
        </w:tabs>
        <w:spacing w:before="120" w:after="0" w:line="240" w:lineRule="auto"/>
        <w:ind w:left="1425"/>
        <w:rPr>
          <w:rFonts w:ascii="Times New Roman" w:eastAsia="Times New Roman" w:hAnsi="Times New Roman" w:cs="Times New Roman"/>
          <w:bCs/>
          <w:lang w:eastAsia="hu-HU"/>
        </w:rPr>
      </w:pPr>
      <w:r w:rsidRPr="006F6E71">
        <w:rPr>
          <w:rFonts w:ascii="Times New Roman" w:eastAsia="Times New Roman" w:hAnsi="Times New Roman" w:cs="Times New Roman"/>
          <w:bCs/>
          <w:lang w:eastAsia="hu-HU"/>
        </w:rPr>
        <w:t>a tantárgy elméleti vagy gyakorlati jellegének mértéke: 50 % gyakorlat, 50 % elmélet</w:t>
      </w:r>
    </w:p>
    <w:p w:rsidR="006F6E71" w:rsidRPr="006F6E71" w:rsidRDefault="006F6E71" w:rsidP="00980876">
      <w:pPr>
        <w:numPr>
          <w:ilvl w:val="0"/>
          <w:numId w:val="718"/>
        </w:numPr>
        <w:tabs>
          <w:tab w:val="clear" w:pos="720"/>
          <w:tab w:val="center" w:pos="4536"/>
          <w:tab w:val="right" w:pos="9071"/>
        </w:tabs>
        <w:spacing w:before="120" w:after="0" w:line="240" w:lineRule="auto"/>
        <w:ind w:left="426" w:hanging="142"/>
        <w:rPr>
          <w:rFonts w:ascii="Times New Roman" w:eastAsia="Times New Roman" w:hAnsi="Times New Roman" w:cs="Times New Roman"/>
          <w:bCs/>
          <w:lang w:eastAsia="hu-HU"/>
        </w:rPr>
      </w:pPr>
      <w:r w:rsidRPr="006F6E71">
        <w:rPr>
          <w:rFonts w:ascii="Times New Roman" w:eastAsia="Times New Roman" w:hAnsi="Times New Roman" w:cs="Times New Roman"/>
          <w:b/>
          <w:bCs/>
          <w:lang w:eastAsia="hu-HU"/>
        </w:rPr>
        <w:t xml:space="preserve">A szak(ok), szakirányok/specializációk megnevezése (ahol oktatják): </w:t>
      </w:r>
      <w:r w:rsidRPr="006F6E71">
        <w:rPr>
          <w:rFonts w:ascii="Times New Roman" w:eastAsia="Times New Roman" w:hAnsi="Times New Roman" w:cs="Times New Roman"/>
          <w:bCs/>
          <w:lang w:eastAsia="hu-HU"/>
        </w:rPr>
        <w:t>Katonai logisztika (</w:t>
      </w:r>
      <w:r w:rsidR="00137B8A">
        <w:rPr>
          <w:rFonts w:ascii="Times New Roman" w:eastAsia="Times New Roman" w:hAnsi="Times New Roman" w:cs="Times New Roman"/>
          <w:bCs/>
          <w:lang w:eastAsia="hu-HU"/>
        </w:rPr>
        <w:t>BSc</w:t>
      </w:r>
      <w:r w:rsidRPr="006F6E71">
        <w:rPr>
          <w:rFonts w:ascii="Times New Roman" w:eastAsia="Times New Roman" w:hAnsi="Times New Roman" w:cs="Times New Roman"/>
          <w:bCs/>
          <w:lang w:eastAsia="hu-HU"/>
        </w:rPr>
        <w:t>) alapképzési szak, haditechnika specializáció, fegyverzettechnikai modul</w:t>
      </w:r>
    </w:p>
    <w:p w:rsidR="006F6E71" w:rsidRPr="006F6E71" w:rsidRDefault="006F6E71" w:rsidP="00980876">
      <w:pPr>
        <w:numPr>
          <w:ilvl w:val="0"/>
          <w:numId w:val="718"/>
        </w:numPr>
        <w:tabs>
          <w:tab w:val="clear" w:pos="720"/>
          <w:tab w:val="center" w:pos="4536"/>
          <w:tab w:val="right" w:pos="9071"/>
        </w:tabs>
        <w:spacing w:before="120" w:after="0" w:line="240" w:lineRule="auto"/>
        <w:ind w:left="426" w:hanging="142"/>
        <w:rPr>
          <w:rFonts w:ascii="Times New Roman" w:eastAsia="Times New Roman" w:hAnsi="Times New Roman" w:cs="Times New Roman"/>
          <w:bCs/>
          <w:lang w:eastAsia="hu-HU"/>
        </w:rPr>
      </w:pPr>
      <w:r w:rsidRPr="006F6E71">
        <w:rPr>
          <w:rFonts w:ascii="Times New Roman" w:eastAsia="Times New Roman" w:hAnsi="Times New Roman" w:cs="Times New Roman"/>
          <w:b/>
          <w:bCs/>
          <w:lang w:eastAsia="hu-HU"/>
        </w:rPr>
        <w:t xml:space="preserve">Az oktatásért felelős oktatási szervezeti egység megnevezése: </w:t>
      </w:r>
      <w:r w:rsidRPr="006F6E71">
        <w:rPr>
          <w:rFonts w:ascii="Times New Roman" w:eastAsia="Times New Roman" w:hAnsi="Times New Roman" w:cs="Times New Roman"/>
          <w:bCs/>
          <w:lang w:eastAsia="hu-HU"/>
        </w:rPr>
        <w:t>NKE,</w:t>
      </w:r>
      <w:r w:rsidRPr="006F6E71">
        <w:rPr>
          <w:rFonts w:ascii="Times New Roman" w:eastAsia="Times New Roman" w:hAnsi="Times New Roman" w:cs="Times New Roman"/>
          <w:b/>
          <w:bCs/>
          <w:lang w:eastAsia="hu-HU"/>
        </w:rPr>
        <w:t xml:space="preserve"> </w:t>
      </w:r>
      <w:r w:rsidRPr="006F6E71">
        <w:rPr>
          <w:rFonts w:ascii="Times New Roman" w:eastAsia="Times New Roman" w:hAnsi="Times New Roman" w:cs="Times New Roman"/>
          <w:bCs/>
          <w:lang w:eastAsia="hu-HU"/>
        </w:rPr>
        <w:t>Hadtudományi és Honvédtisztképző Kar, Haditechnikai Tanszék</w:t>
      </w:r>
    </w:p>
    <w:p w:rsidR="006F6E71" w:rsidRPr="006F6E71" w:rsidRDefault="006F6E71" w:rsidP="00980876">
      <w:pPr>
        <w:numPr>
          <w:ilvl w:val="0"/>
          <w:numId w:val="718"/>
        </w:numPr>
        <w:tabs>
          <w:tab w:val="clear" w:pos="720"/>
          <w:tab w:val="center" w:pos="4536"/>
          <w:tab w:val="right" w:pos="9071"/>
        </w:tabs>
        <w:spacing w:before="120" w:after="0" w:line="240" w:lineRule="auto"/>
        <w:ind w:left="426" w:hanging="142"/>
        <w:rPr>
          <w:rFonts w:ascii="Times New Roman" w:eastAsia="Times New Roman" w:hAnsi="Times New Roman" w:cs="Times New Roman"/>
          <w:bCs/>
          <w:lang w:eastAsia="hu-HU"/>
        </w:rPr>
      </w:pPr>
      <w:r w:rsidRPr="006F6E71">
        <w:rPr>
          <w:rFonts w:ascii="Times New Roman" w:eastAsia="Times New Roman" w:hAnsi="Times New Roman" w:cs="Times New Roman"/>
          <w:b/>
          <w:bCs/>
          <w:lang w:eastAsia="hu-HU"/>
        </w:rPr>
        <w:t xml:space="preserve">A tantárgyfelelős oktató neve, beosztása, tudományos fokozata: </w:t>
      </w:r>
      <w:r w:rsidRPr="006F6E71">
        <w:rPr>
          <w:rFonts w:ascii="Times New Roman" w:eastAsia="Times New Roman" w:hAnsi="Times New Roman" w:cs="Times New Roman"/>
          <w:bCs/>
          <w:lang w:eastAsia="hu-HU"/>
        </w:rPr>
        <w:t>Dr. Gyarmati József PhD, egyetemi docens</w:t>
      </w:r>
    </w:p>
    <w:p w:rsidR="006F6E71" w:rsidRPr="006F6E71" w:rsidRDefault="006F6E71" w:rsidP="00980876">
      <w:pPr>
        <w:numPr>
          <w:ilvl w:val="0"/>
          <w:numId w:val="718"/>
        </w:numPr>
        <w:tabs>
          <w:tab w:val="clear" w:pos="720"/>
          <w:tab w:val="center" w:pos="4536"/>
          <w:tab w:val="right" w:pos="9071"/>
        </w:tabs>
        <w:spacing w:before="120" w:after="0" w:line="240" w:lineRule="auto"/>
        <w:ind w:left="426" w:hanging="142"/>
        <w:rPr>
          <w:rFonts w:ascii="Times New Roman" w:eastAsia="Times New Roman" w:hAnsi="Times New Roman" w:cs="Times New Roman"/>
          <w:b/>
          <w:lang w:eastAsia="hu-HU"/>
        </w:rPr>
      </w:pPr>
      <w:r w:rsidRPr="006F6E71">
        <w:rPr>
          <w:rFonts w:ascii="Times New Roman" w:eastAsia="Times New Roman" w:hAnsi="Times New Roman" w:cs="Times New Roman"/>
          <w:b/>
          <w:bCs/>
          <w:lang w:eastAsia="hu-HU"/>
        </w:rPr>
        <w:t xml:space="preserve">A tanórák száma </w:t>
      </w:r>
      <w:r w:rsidRPr="006F6E71">
        <w:rPr>
          <w:rFonts w:ascii="Times New Roman" w:eastAsia="Times New Roman" w:hAnsi="Times New Roman" w:cs="Times New Roman"/>
          <w:b/>
          <w:lang w:eastAsia="hu-HU"/>
        </w:rPr>
        <w:t>(előadás + szeminárium + gyakorlat)</w:t>
      </w:r>
    </w:p>
    <w:p w:rsidR="006F6E71" w:rsidRPr="006F6E71" w:rsidRDefault="006F6E71" w:rsidP="00980876">
      <w:pPr>
        <w:numPr>
          <w:ilvl w:val="1"/>
          <w:numId w:val="718"/>
        </w:numPr>
        <w:tabs>
          <w:tab w:val="clear" w:pos="3977"/>
          <w:tab w:val="num" w:pos="1425"/>
        </w:tabs>
        <w:spacing w:before="120" w:after="0" w:line="240" w:lineRule="auto"/>
        <w:ind w:left="567" w:firstLine="0"/>
        <w:jc w:val="both"/>
        <w:rPr>
          <w:rFonts w:ascii="Times New Roman" w:eastAsia="Times New Roman" w:hAnsi="Times New Roman" w:cs="Times New Roman"/>
          <w:bCs/>
          <w:lang w:eastAsia="hu-HU"/>
        </w:rPr>
      </w:pPr>
      <w:r w:rsidRPr="006F6E71">
        <w:rPr>
          <w:rFonts w:ascii="Times New Roman" w:eastAsia="Times New Roman" w:hAnsi="Times New Roman" w:cs="Times New Roman"/>
          <w:bCs/>
          <w:lang w:eastAsia="hu-HU"/>
        </w:rPr>
        <w:t>össz óraszám/félév: 56</w:t>
      </w:r>
    </w:p>
    <w:p w:rsidR="006F6E71" w:rsidRPr="006F6E71" w:rsidRDefault="006F6E71" w:rsidP="00980876">
      <w:pPr>
        <w:numPr>
          <w:ilvl w:val="2"/>
          <w:numId w:val="718"/>
        </w:numPr>
        <w:tabs>
          <w:tab w:val="clear" w:pos="1800"/>
          <w:tab w:val="right" w:pos="900"/>
          <w:tab w:val="num" w:pos="1724"/>
          <w:tab w:val="num" w:pos="1843"/>
        </w:tabs>
        <w:spacing w:after="0" w:line="240" w:lineRule="auto"/>
        <w:ind w:left="851" w:firstLine="0"/>
        <w:jc w:val="both"/>
        <w:rPr>
          <w:rFonts w:ascii="Times New Roman" w:eastAsia="Times New Roman" w:hAnsi="Times New Roman" w:cs="Times New Roman"/>
          <w:bCs/>
          <w:lang w:eastAsia="hu-HU"/>
        </w:rPr>
      </w:pPr>
      <w:r w:rsidRPr="006F6E71">
        <w:rPr>
          <w:rFonts w:ascii="Times New Roman" w:eastAsia="Times New Roman" w:hAnsi="Times New Roman" w:cs="Times New Roman"/>
          <w:bCs/>
          <w:lang w:eastAsia="hu-HU"/>
        </w:rPr>
        <w:t>Nappali munkarend: 56 (28 EA+ 0 SZ + 28 GY)</w:t>
      </w:r>
    </w:p>
    <w:p w:rsidR="006F6E71" w:rsidRPr="006F6E71" w:rsidRDefault="006F6E71" w:rsidP="00980876">
      <w:pPr>
        <w:numPr>
          <w:ilvl w:val="2"/>
          <w:numId w:val="718"/>
        </w:numPr>
        <w:tabs>
          <w:tab w:val="clear" w:pos="1800"/>
          <w:tab w:val="right" w:pos="900"/>
          <w:tab w:val="num" w:pos="1724"/>
          <w:tab w:val="num" w:pos="1843"/>
        </w:tabs>
        <w:spacing w:after="0" w:line="240" w:lineRule="auto"/>
        <w:ind w:left="851" w:firstLine="0"/>
        <w:jc w:val="both"/>
        <w:rPr>
          <w:rFonts w:ascii="Times New Roman" w:eastAsia="Times New Roman" w:hAnsi="Times New Roman" w:cs="Times New Roman"/>
          <w:bCs/>
          <w:lang w:eastAsia="hu-HU"/>
        </w:rPr>
      </w:pPr>
      <w:r w:rsidRPr="006F6E71">
        <w:rPr>
          <w:rFonts w:ascii="Times New Roman" w:eastAsia="Times New Roman" w:hAnsi="Times New Roman" w:cs="Times New Roman"/>
          <w:bCs/>
          <w:lang w:eastAsia="hu-HU"/>
        </w:rPr>
        <w:t>Levelező munkarend: -</w:t>
      </w:r>
    </w:p>
    <w:p w:rsidR="006F6E71" w:rsidRPr="006F6E71" w:rsidRDefault="006F6E71" w:rsidP="00980876">
      <w:pPr>
        <w:numPr>
          <w:ilvl w:val="1"/>
          <w:numId w:val="718"/>
        </w:numPr>
        <w:tabs>
          <w:tab w:val="clear" w:pos="3977"/>
          <w:tab w:val="num" w:pos="1425"/>
        </w:tabs>
        <w:spacing w:before="120" w:after="120" w:line="240" w:lineRule="auto"/>
        <w:ind w:left="567" w:firstLine="0"/>
        <w:jc w:val="both"/>
        <w:rPr>
          <w:rFonts w:ascii="Times New Roman" w:eastAsia="Times New Roman" w:hAnsi="Times New Roman" w:cs="Times New Roman"/>
          <w:bCs/>
          <w:lang w:eastAsia="hu-HU"/>
        </w:rPr>
      </w:pPr>
      <w:r w:rsidRPr="006F6E71">
        <w:rPr>
          <w:rFonts w:ascii="Times New Roman" w:eastAsia="Times New Roman" w:hAnsi="Times New Roman" w:cs="Times New Roman"/>
          <w:bCs/>
          <w:lang w:eastAsia="hu-HU"/>
        </w:rPr>
        <w:t>heti óraszám nappali munkarend: 4 (2 + 2)</w:t>
      </w:r>
    </w:p>
    <w:p w:rsidR="006F6E71" w:rsidRPr="006F6E71" w:rsidRDefault="006F6E71" w:rsidP="00980876">
      <w:pPr>
        <w:numPr>
          <w:ilvl w:val="1"/>
          <w:numId w:val="718"/>
        </w:numPr>
        <w:tabs>
          <w:tab w:val="clear" w:pos="3977"/>
          <w:tab w:val="num" w:pos="1425"/>
        </w:tabs>
        <w:spacing w:before="120" w:after="120" w:line="240" w:lineRule="auto"/>
        <w:ind w:left="567" w:firstLine="0"/>
        <w:jc w:val="both"/>
        <w:rPr>
          <w:rFonts w:ascii="Times New Roman" w:eastAsia="Times New Roman" w:hAnsi="Times New Roman" w:cs="Times New Roman"/>
          <w:bCs/>
          <w:lang w:eastAsia="hu-HU"/>
        </w:rPr>
      </w:pPr>
      <w:r w:rsidRPr="006F6E71">
        <w:rPr>
          <w:rFonts w:ascii="Times New Roman" w:eastAsia="Times New Roman" w:hAnsi="Times New Roman" w:cs="Times New Roman"/>
          <w:bCs/>
          <w:lang w:eastAsia="hu-HU"/>
        </w:rPr>
        <w:t>Az ismeret átadásában alkalmazandó további sajátos módok, jellemzők: vegyes tanulási program (blended learning)</w:t>
      </w:r>
    </w:p>
    <w:p w:rsidR="006F6E71" w:rsidRPr="006F6E71" w:rsidRDefault="006F6E71" w:rsidP="00980876">
      <w:pPr>
        <w:numPr>
          <w:ilvl w:val="0"/>
          <w:numId w:val="718"/>
        </w:numPr>
        <w:tabs>
          <w:tab w:val="clear" w:pos="720"/>
          <w:tab w:val="center" w:pos="4536"/>
          <w:tab w:val="right" w:pos="9071"/>
        </w:tabs>
        <w:spacing w:before="120" w:after="0" w:line="240" w:lineRule="auto"/>
        <w:ind w:left="426" w:hanging="142"/>
        <w:jc w:val="both"/>
        <w:rPr>
          <w:rFonts w:ascii="Times New Roman" w:eastAsia="Times New Roman" w:hAnsi="Times New Roman" w:cs="Times New Roman"/>
          <w:lang w:eastAsia="hu-HU"/>
        </w:rPr>
      </w:pPr>
      <w:r w:rsidRPr="006F6E71">
        <w:rPr>
          <w:rFonts w:ascii="Times New Roman" w:eastAsia="Times New Roman" w:hAnsi="Times New Roman" w:cs="Times New Roman"/>
          <w:b/>
          <w:bCs/>
          <w:lang w:eastAsia="hu-HU"/>
        </w:rPr>
        <w:t xml:space="preserve">A tantárgy szakmai tartalma (magyarul): </w:t>
      </w:r>
      <w:r w:rsidRPr="006F6E71">
        <w:rPr>
          <w:rFonts w:ascii="Times New Roman" w:eastAsia="Times New Roman" w:hAnsi="Times New Roman" w:cs="Times New Roman"/>
          <w:lang w:eastAsia="hu-HU"/>
        </w:rPr>
        <w:t>Páncéltörő és légvédelmi rakétakomplexumok technikai kiszolgálásának rendszere. A technikai ki-szolgálás során alkalmazandó ellenőrző műszerek, eszközök, berendezések: Szabványos villamos műszerek ismerete (univerzális kézi műszerek, kis- és nagyértékű ellenállások mérésére szolgáló speciális ellenállásmérők, jelforrások és jelvizsgáló műszerek, impulzus- és frekvenciamérők, táp-egységek és akkumulátortöltők). Speciális ellenőrző műszerek, kaliberek és szerszámok. A páncél-törő és légvédelmi rakétakomplexumok időszakos műszaki ellenőrzésének tartalma, végrehajtásának módszere. Az indítóállványok technikai ellenőrzése, paramétereik beszabályozásának menete. Páncéltörő és légvédelmi rakétarendszerek hibabehatárolása során alkalmazható hibabehatárolási stratégiák és módszerek, javítási elvek. Rendszeresített eszközök technikai kiszolgálása.</w:t>
      </w:r>
    </w:p>
    <w:p w:rsidR="006F6E71" w:rsidRPr="006F6E71" w:rsidRDefault="006F6E71" w:rsidP="00590C84">
      <w:pPr>
        <w:tabs>
          <w:tab w:val="center" w:pos="4536"/>
          <w:tab w:val="right" w:pos="9071"/>
        </w:tabs>
        <w:spacing w:before="120" w:after="0" w:line="240" w:lineRule="auto"/>
        <w:ind w:left="426"/>
        <w:jc w:val="both"/>
        <w:rPr>
          <w:rFonts w:ascii="Times New Roman" w:eastAsia="Times New Roman" w:hAnsi="Times New Roman" w:cs="Times New Roman"/>
          <w:b/>
          <w:bCs/>
          <w:lang w:eastAsia="hu-HU"/>
        </w:rPr>
      </w:pPr>
      <w:r w:rsidRPr="006F6E71">
        <w:rPr>
          <w:rFonts w:ascii="Times New Roman" w:eastAsia="Times New Roman" w:hAnsi="Times New Roman" w:cs="Times New Roman"/>
          <w:b/>
          <w:bCs/>
          <w:lang w:eastAsia="hu-HU"/>
        </w:rPr>
        <w:t xml:space="preserve">A tantárgy szakmai tartalma (angolul) (Course description): </w:t>
      </w:r>
      <w:r w:rsidRPr="006F6E71">
        <w:rPr>
          <w:rFonts w:ascii="Times New Roman" w:eastAsia="Times New Roman" w:hAnsi="Times New Roman" w:cs="Times New Roman"/>
          <w:lang w:eastAsia="hu-HU"/>
        </w:rPr>
        <w:t>Technical service system for anti-tank and anti-aircraft missile complexes. Control instruments, devices and equipment to be used in technical service: Knowledge of standard electrical instruments (universal handheld instruments, special resistance meters for measuring low and high value resistors, signal sources and signal testers, pulse and frequency meters, power supplies and battery chargers). Special inspection instruments, gauges and tools. Content and method of periodic technical inspection of anti-tank and anti-aircraft missile complexes. Technical inspection of launchers, process of adjusting their parameters. Error detection strategies and methods for repair of anti-tank and anti-missile missile systems, principles of repair. Technical service of standardized devices.</w:t>
      </w:r>
    </w:p>
    <w:p w:rsidR="006F6E71" w:rsidRDefault="006F6E71">
      <w:pPr>
        <w:spacing w:after="200" w:line="276" w:lineRule="auto"/>
        <w:rPr>
          <w:rFonts w:ascii="Times New Roman" w:eastAsia="Times New Roman" w:hAnsi="Times New Roman" w:cs="Times New Roman"/>
          <w:b/>
          <w:bCs/>
          <w:lang w:eastAsia="hu-HU"/>
        </w:rPr>
      </w:pPr>
      <w:r>
        <w:rPr>
          <w:rFonts w:ascii="Times New Roman" w:eastAsia="Times New Roman" w:hAnsi="Times New Roman" w:cs="Times New Roman"/>
          <w:b/>
          <w:bCs/>
          <w:lang w:eastAsia="hu-HU"/>
        </w:rPr>
        <w:br w:type="page"/>
      </w:r>
    </w:p>
    <w:p w:rsidR="006F6E71" w:rsidRPr="006F6E71" w:rsidRDefault="006F6E71" w:rsidP="00980876">
      <w:pPr>
        <w:numPr>
          <w:ilvl w:val="0"/>
          <w:numId w:val="718"/>
        </w:numPr>
        <w:tabs>
          <w:tab w:val="clear" w:pos="720"/>
          <w:tab w:val="center" w:pos="4536"/>
          <w:tab w:val="right" w:pos="9071"/>
        </w:tabs>
        <w:spacing w:before="120" w:after="0" w:line="240" w:lineRule="auto"/>
        <w:ind w:left="426" w:hanging="142"/>
        <w:rPr>
          <w:rFonts w:ascii="Times New Roman" w:eastAsia="Times New Roman" w:hAnsi="Times New Roman" w:cs="Times New Roman"/>
          <w:b/>
          <w:bCs/>
          <w:lang w:eastAsia="hu-HU"/>
        </w:rPr>
      </w:pPr>
      <w:r w:rsidRPr="006F6E71">
        <w:rPr>
          <w:rFonts w:ascii="Times New Roman" w:eastAsia="Times New Roman" w:hAnsi="Times New Roman" w:cs="Times New Roman"/>
          <w:b/>
          <w:bCs/>
          <w:lang w:eastAsia="hu-HU"/>
        </w:rPr>
        <w:lastRenderedPageBreak/>
        <w:t>Elérendő kompetenciák (magyarul)</w:t>
      </w:r>
    </w:p>
    <w:p w:rsidR="006F6E71" w:rsidRPr="006F6E71" w:rsidRDefault="006F6E71" w:rsidP="006F6E71">
      <w:pPr>
        <w:autoSpaceDE w:val="0"/>
        <w:autoSpaceDN w:val="0"/>
        <w:adjustRightInd w:val="0"/>
        <w:spacing w:before="120" w:after="0" w:line="240" w:lineRule="auto"/>
        <w:ind w:left="646"/>
        <w:jc w:val="both"/>
        <w:rPr>
          <w:rFonts w:ascii="Times New Roman" w:eastAsia="Times New Roman" w:hAnsi="Times New Roman" w:cs="Times New Roman"/>
          <w:b/>
          <w:color w:val="000000"/>
          <w:lang w:eastAsia="hu-HU"/>
        </w:rPr>
      </w:pPr>
      <w:r w:rsidRPr="006F6E71">
        <w:rPr>
          <w:rFonts w:ascii="Times New Roman" w:eastAsia="Times New Roman" w:hAnsi="Times New Roman" w:cs="Times New Roman"/>
          <w:b/>
          <w:color w:val="000000"/>
          <w:lang w:eastAsia="hu-HU"/>
        </w:rPr>
        <w:t>Tudása:</w:t>
      </w:r>
    </w:p>
    <w:p w:rsidR="006F6E71" w:rsidRPr="006F6E71" w:rsidRDefault="006F6E71"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6F6E71">
        <w:rPr>
          <w:rFonts w:ascii="Times New Roman" w:eastAsia="Times New Roman" w:hAnsi="Times New Roman" w:cs="Times New Roman"/>
          <w:color w:val="000000"/>
          <w:lang w:eastAsia="hu-HU"/>
        </w:rPr>
        <w:t>Megfelelő műszaki alapokkal rendelkezik, amelyek biztosítják az új ismeretek elsajátítását.</w:t>
      </w:r>
    </w:p>
    <w:p w:rsidR="006F6E71" w:rsidRPr="006F6E71" w:rsidRDefault="006F6E71"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6F6E71">
        <w:rPr>
          <w:rFonts w:ascii="Times New Roman" w:eastAsia="Times New Roman" w:hAnsi="Times New Roman" w:cs="Times New Roman"/>
          <w:color w:val="000000"/>
          <w:lang w:eastAsia="hu-HU"/>
        </w:rPr>
        <w:t>Ismeri a fegyverzettechnikai eszközök ellátáshoz és fenntartásához szükséges anyagok körét.</w:t>
      </w:r>
    </w:p>
    <w:p w:rsidR="006F6E71" w:rsidRPr="006F6E71" w:rsidRDefault="006F6E71"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6F6E71">
        <w:rPr>
          <w:rFonts w:ascii="Times New Roman" w:eastAsia="Times New Roman" w:hAnsi="Times New Roman" w:cs="Times New Roman"/>
          <w:color w:val="000000"/>
          <w:lang w:eastAsia="hu-HU"/>
        </w:rPr>
        <w:t>Ismeri a szakfeladatainak ellátásához szükséges munkavédelmi rendszabályokat.</w:t>
      </w:r>
    </w:p>
    <w:p w:rsidR="006F6E71" w:rsidRPr="006F6E71" w:rsidRDefault="006F6E71"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6F6E71">
        <w:rPr>
          <w:rFonts w:ascii="Times New Roman" w:eastAsia="Times New Roman" w:hAnsi="Times New Roman" w:cs="Times New Roman"/>
          <w:color w:val="000000"/>
          <w:lang w:eastAsia="hu-HU"/>
        </w:rPr>
        <w:t>Megfelelő mélységű és spektrumú fegyverzettechnikai típusismerettel rendelkezik.</w:t>
      </w:r>
    </w:p>
    <w:p w:rsidR="006F6E71" w:rsidRPr="006F6E71" w:rsidRDefault="006F6E71" w:rsidP="006F6E71">
      <w:pPr>
        <w:autoSpaceDE w:val="0"/>
        <w:autoSpaceDN w:val="0"/>
        <w:adjustRightInd w:val="0"/>
        <w:spacing w:before="120" w:after="0" w:line="240" w:lineRule="auto"/>
        <w:ind w:left="646"/>
        <w:jc w:val="both"/>
        <w:rPr>
          <w:rFonts w:ascii="Times New Roman" w:eastAsia="Times New Roman" w:hAnsi="Times New Roman" w:cs="Times New Roman"/>
          <w:b/>
          <w:color w:val="000000"/>
          <w:lang w:eastAsia="hu-HU"/>
        </w:rPr>
      </w:pPr>
      <w:r w:rsidRPr="006F6E71">
        <w:rPr>
          <w:rFonts w:ascii="Times New Roman" w:eastAsia="Times New Roman" w:hAnsi="Times New Roman" w:cs="Times New Roman"/>
          <w:b/>
          <w:color w:val="000000"/>
          <w:lang w:eastAsia="hu-HU"/>
        </w:rPr>
        <w:t>Képességei:</w:t>
      </w:r>
    </w:p>
    <w:p w:rsidR="006F6E71" w:rsidRPr="006F6E71" w:rsidRDefault="006F6E71"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6F6E71">
        <w:rPr>
          <w:rFonts w:ascii="Times New Roman" w:eastAsia="Times New Roman" w:hAnsi="Times New Roman" w:cs="Times New Roman"/>
          <w:color w:val="000000"/>
          <w:lang w:eastAsia="hu-HU"/>
        </w:rPr>
        <w:t>Képes a szakterületén rendszeresített és használt berendezések és technikai eszközök használatának megszervezésére és hatékony alkalmazására.</w:t>
      </w:r>
    </w:p>
    <w:p w:rsidR="006F6E71" w:rsidRPr="006F6E71" w:rsidRDefault="006F6E71"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6F6E71">
        <w:rPr>
          <w:rFonts w:ascii="Times New Roman" w:eastAsia="Times New Roman" w:hAnsi="Times New Roman" w:cs="Times New Roman"/>
          <w:color w:val="000000"/>
          <w:lang w:eastAsia="hu-HU"/>
        </w:rPr>
        <w:t>Képes a megtanultakat felhasználva a szakterületén felmerülő új műszaki információkat megérteni és megtanulni.</w:t>
      </w:r>
    </w:p>
    <w:p w:rsidR="006F6E71" w:rsidRPr="006F6E71" w:rsidRDefault="006F6E71" w:rsidP="006F6E71">
      <w:pPr>
        <w:autoSpaceDE w:val="0"/>
        <w:autoSpaceDN w:val="0"/>
        <w:adjustRightInd w:val="0"/>
        <w:spacing w:before="120" w:after="0" w:line="240" w:lineRule="auto"/>
        <w:ind w:left="646"/>
        <w:jc w:val="both"/>
        <w:rPr>
          <w:rFonts w:ascii="Times New Roman" w:eastAsia="Times New Roman" w:hAnsi="Times New Roman" w:cs="Times New Roman"/>
          <w:b/>
          <w:color w:val="000000"/>
          <w:lang w:eastAsia="hu-HU"/>
        </w:rPr>
      </w:pPr>
      <w:r w:rsidRPr="006F6E71">
        <w:rPr>
          <w:rFonts w:ascii="Times New Roman" w:eastAsia="Times New Roman" w:hAnsi="Times New Roman" w:cs="Times New Roman"/>
          <w:b/>
          <w:color w:val="000000"/>
          <w:lang w:eastAsia="hu-HU"/>
        </w:rPr>
        <w:t>Attitüdje:</w:t>
      </w:r>
    </w:p>
    <w:p w:rsidR="006F6E71" w:rsidRPr="006F6E71" w:rsidRDefault="006F6E71"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6F6E71">
        <w:rPr>
          <w:rFonts w:ascii="Times New Roman" w:eastAsia="Times New Roman" w:hAnsi="Times New Roman" w:cs="Times New Roman"/>
          <w:color w:val="000000"/>
          <w:lang w:eastAsia="hu-HU"/>
        </w:rPr>
        <w:t>Nyitott a fegyverzettechnikával kapcsolatos szakmai ismereteinek gyarapítása iránt, folyamatos önképzési igény jellemzi.</w:t>
      </w:r>
    </w:p>
    <w:p w:rsidR="006F6E71" w:rsidRPr="006F6E71" w:rsidRDefault="006F6E71"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6F6E71">
        <w:rPr>
          <w:rFonts w:ascii="Times New Roman" w:eastAsia="Times New Roman" w:hAnsi="Times New Roman" w:cs="Times New Roman"/>
          <w:color w:val="000000"/>
          <w:lang w:eastAsia="hu-HU"/>
        </w:rPr>
        <w:t xml:space="preserve">Nyitott szakterülete új eredményei felé, törekszik azok megismerésére. </w:t>
      </w:r>
    </w:p>
    <w:p w:rsidR="006F6E71" w:rsidRPr="006F6E71" w:rsidRDefault="006F6E71" w:rsidP="006F6E71">
      <w:pPr>
        <w:autoSpaceDE w:val="0"/>
        <w:autoSpaceDN w:val="0"/>
        <w:adjustRightInd w:val="0"/>
        <w:spacing w:before="120" w:after="0" w:line="240" w:lineRule="auto"/>
        <w:ind w:left="646"/>
        <w:jc w:val="both"/>
        <w:rPr>
          <w:rFonts w:ascii="Times New Roman" w:eastAsia="Times New Roman" w:hAnsi="Times New Roman" w:cs="Times New Roman"/>
          <w:b/>
          <w:color w:val="000000"/>
          <w:lang w:eastAsia="hu-HU"/>
        </w:rPr>
      </w:pPr>
      <w:r w:rsidRPr="006F6E71">
        <w:rPr>
          <w:rFonts w:ascii="Times New Roman" w:eastAsia="Times New Roman" w:hAnsi="Times New Roman" w:cs="Times New Roman"/>
          <w:b/>
          <w:color w:val="000000"/>
          <w:lang w:eastAsia="hu-HU"/>
        </w:rPr>
        <w:t>Autonómiája és felelőssége:</w:t>
      </w:r>
    </w:p>
    <w:p w:rsidR="006F6E71" w:rsidRPr="006F6E71" w:rsidRDefault="006F6E71"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6F6E71">
        <w:rPr>
          <w:rFonts w:ascii="Times New Roman" w:eastAsia="Times New Roman" w:hAnsi="Times New Roman" w:cs="Times New Roman"/>
          <w:color w:val="000000"/>
          <w:lang w:eastAsia="hu-HU"/>
        </w:rPr>
        <w:t>Képes szakfeladatait önállóan végezni, saját munkáját hatékonyan megszervezni és végrehajtani.</w:t>
      </w:r>
    </w:p>
    <w:p w:rsidR="006F6E71" w:rsidRPr="006F6E71" w:rsidRDefault="006F6E71"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6F6E71">
        <w:rPr>
          <w:rFonts w:ascii="Times New Roman" w:eastAsia="Times New Roman" w:hAnsi="Times New Roman" w:cs="Times New Roman"/>
          <w:color w:val="000000"/>
          <w:lang w:eastAsia="hu-HU"/>
        </w:rPr>
        <w:t>Együttműködés és felelősség jellemzi szakterületének szakembereivel szemben.</w:t>
      </w:r>
    </w:p>
    <w:p w:rsidR="006F6E71" w:rsidRPr="006F6E71" w:rsidRDefault="006F6E71"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6F6E71">
        <w:rPr>
          <w:rFonts w:ascii="Times New Roman" w:eastAsia="Times New Roman" w:hAnsi="Times New Roman" w:cs="Times New Roman"/>
          <w:color w:val="000000"/>
          <w:lang w:eastAsia="hu-HU"/>
        </w:rPr>
        <w:t>Szakterületén belül képes rendszer-szemléletűen gondolkodni.</w:t>
      </w:r>
    </w:p>
    <w:p w:rsidR="006F6E71" w:rsidRPr="006F6E71" w:rsidRDefault="006F6E71" w:rsidP="006F6E71">
      <w:pPr>
        <w:autoSpaceDE w:val="0"/>
        <w:autoSpaceDN w:val="0"/>
        <w:adjustRightInd w:val="0"/>
        <w:spacing w:before="120" w:after="120" w:line="240" w:lineRule="auto"/>
        <w:ind w:left="646"/>
        <w:jc w:val="both"/>
        <w:rPr>
          <w:rFonts w:ascii="Times New Roman" w:eastAsia="Times New Roman" w:hAnsi="Times New Roman" w:cs="Times New Roman"/>
          <w:b/>
          <w:bCs/>
          <w:color w:val="000000"/>
          <w:lang w:eastAsia="hu-HU"/>
        </w:rPr>
      </w:pPr>
      <w:r w:rsidRPr="006F6E71">
        <w:rPr>
          <w:rFonts w:ascii="Times New Roman" w:eastAsia="Times New Roman" w:hAnsi="Times New Roman" w:cs="Times New Roman"/>
          <w:b/>
          <w:bCs/>
          <w:color w:val="000000"/>
          <w:lang w:eastAsia="hu-HU"/>
        </w:rPr>
        <w:t>Elérendő kompetenciák (angolul):</w:t>
      </w:r>
    </w:p>
    <w:p w:rsidR="006F6E71" w:rsidRPr="006F6E71" w:rsidRDefault="006F6E71" w:rsidP="006F6E71">
      <w:pPr>
        <w:tabs>
          <w:tab w:val="right" w:pos="900"/>
        </w:tabs>
        <w:spacing w:before="120" w:after="120" w:line="240" w:lineRule="auto"/>
        <w:ind w:left="646"/>
        <w:contextualSpacing/>
        <w:jc w:val="both"/>
        <w:rPr>
          <w:rFonts w:ascii="Times New Roman" w:eastAsia="Times New Roman" w:hAnsi="Times New Roman" w:cs="Times New Roman"/>
          <w:bCs/>
          <w:lang w:eastAsia="hu-HU"/>
        </w:rPr>
      </w:pPr>
      <w:r w:rsidRPr="006F6E71">
        <w:rPr>
          <w:rFonts w:ascii="Times New Roman" w:eastAsia="Times New Roman" w:hAnsi="Times New Roman" w:cs="Times New Roman"/>
          <w:b/>
          <w:bCs/>
          <w:lang w:eastAsia="hu-HU"/>
        </w:rPr>
        <w:t>Knowledge:</w:t>
      </w:r>
    </w:p>
    <w:p w:rsidR="006F6E71" w:rsidRPr="006F6E71" w:rsidRDefault="006F6E71"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6F6E71">
        <w:rPr>
          <w:rFonts w:ascii="Times New Roman" w:eastAsia="Times New Roman" w:hAnsi="Times New Roman" w:cs="Times New Roman"/>
          <w:color w:val="000000"/>
          <w:lang w:eastAsia="hu-HU"/>
        </w:rPr>
        <w:t>Possesses adequate basic engineering knowledge which enables the acquirement of new knowledge.</w:t>
      </w:r>
    </w:p>
    <w:p w:rsidR="006F6E71" w:rsidRPr="006F6E71" w:rsidRDefault="006F6E71"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6F6E71">
        <w:rPr>
          <w:rFonts w:ascii="Times New Roman" w:eastAsia="Times New Roman" w:hAnsi="Times New Roman" w:cs="Times New Roman"/>
          <w:color w:val="000000"/>
          <w:lang w:eastAsia="hu-HU"/>
        </w:rPr>
        <w:t>Knows the range of materials required for the maintenance of the weapon.</w:t>
      </w:r>
    </w:p>
    <w:p w:rsidR="006F6E71" w:rsidRPr="006F6E71" w:rsidRDefault="006F6E71"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6F6E71">
        <w:rPr>
          <w:rFonts w:ascii="Times New Roman" w:eastAsia="Times New Roman" w:hAnsi="Times New Roman" w:cs="Times New Roman"/>
          <w:color w:val="000000"/>
          <w:lang w:eastAsia="hu-HU"/>
        </w:rPr>
        <w:t>Knows the work safety regulations required for fulfilling his/her professional tasks.</w:t>
      </w:r>
    </w:p>
    <w:p w:rsidR="006F6E71" w:rsidRPr="006F6E71" w:rsidRDefault="006F6E71" w:rsidP="00980876">
      <w:pPr>
        <w:numPr>
          <w:ilvl w:val="0"/>
          <w:numId w:val="414"/>
        </w:numPr>
        <w:autoSpaceDE w:val="0"/>
        <w:autoSpaceDN w:val="0"/>
        <w:adjustRightInd w:val="0"/>
        <w:spacing w:after="120" w:line="240" w:lineRule="auto"/>
        <w:ind w:left="1003" w:hanging="357"/>
        <w:jc w:val="both"/>
        <w:rPr>
          <w:rFonts w:ascii="Times New Roman" w:eastAsia="Times New Roman" w:hAnsi="Times New Roman" w:cs="Times New Roman"/>
          <w:color w:val="000000"/>
          <w:lang w:eastAsia="hu-HU"/>
        </w:rPr>
      </w:pPr>
      <w:r w:rsidRPr="006F6E71">
        <w:rPr>
          <w:rFonts w:ascii="Times New Roman" w:eastAsia="Times New Roman" w:hAnsi="Times New Roman" w:cs="Times New Roman"/>
          <w:color w:val="000000"/>
          <w:lang w:eastAsia="hu-HU"/>
        </w:rPr>
        <w:t>Possesses knowledge of adequate depth and spectrum regarding weapon types.</w:t>
      </w:r>
    </w:p>
    <w:p w:rsidR="006F6E71" w:rsidRPr="006F6E71" w:rsidRDefault="006F6E71" w:rsidP="006F6E71">
      <w:pPr>
        <w:tabs>
          <w:tab w:val="right" w:pos="900"/>
        </w:tabs>
        <w:spacing w:before="120" w:after="120" w:line="240" w:lineRule="auto"/>
        <w:ind w:left="646"/>
        <w:contextualSpacing/>
        <w:jc w:val="both"/>
        <w:rPr>
          <w:rFonts w:ascii="Times New Roman" w:eastAsia="Times New Roman" w:hAnsi="Times New Roman" w:cs="Times New Roman"/>
          <w:b/>
          <w:bCs/>
          <w:lang w:eastAsia="hu-HU"/>
        </w:rPr>
      </w:pPr>
      <w:r w:rsidRPr="006F6E71">
        <w:rPr>
          <w:rFonts w:ascii="Times New Roman" w:eastAsia="Times New Roman" w:hAnsi="Times New Roman" w:cs="Times New Roman"/>
          <w:b/>
          <w:bCs/>
          <w:lang w:eastAsia="hu-HU"/>
        </w:rPr>
        <w:t>Capabilities:</w:t>
      </w:r>
    </w:p>
    <w:p w:rsidR="006F6E71" w:rsidRPr="006F6E71" w:rsidRDefault="006F6E71"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6F6E71">
        <w:rPr>
          <w:rFonts w:ascii="Times New Roman" w:eastAsia="Times New Roman" w:hAnsi="Times New Roman" w:cs="Times New Roman"/>
          <w:color w:val="000000"/>
          <w:lang w:eastAsia="hu-HU"/>
        </w:rPr>
        <w:t>Is capable of organizing and efficiently utilizing the usage of the equipment and technical appliances applied in his/her respective specialty field.</w:t>
      </w:r>
    </w:p>
    <w:p w:rsidR="006F6E71" w:rsidRPr="006F6E71" w:rsidRDefault="006F6E71" w:rsidP="00980876">
      <w:pPr>
        <w:numPr>
          <w:ilvl w:val="0"/>
          <w:numId w:val="414"/>
        </w:numPr>
        <w:autoSpaceDE w:val="0"/>
        <w:autoSpaceDN w:val="0"/>
        <w:adjustRightInd w:val="0"/>
        <w:spacing w:after="120" w:line="240" w:lineRule="auto"/>
        <w:ind w:left="1003" w:hanging="357"/>
        <w:jc w:val="both"/>
        <w:rPr>
          <w:rFonts w:ascii="Times New Roman" w:eastAsia="Times New Roman" w:hAnsi="Times New Roman" w:cs="Times New Roman"/>
          <w:color w:val="000000"/>
          <w:lang w:eastAsia="hu-HU"/>
        </w:rPr>
      </w:pPr>
      <w:r w:rsidRPr="006F6E71">
        <w:rPr>
          <w:rFonts w:ascii="Times New Roman" w:eastAsia="Times New Roman" w:hAnsi="Times New Roman" w:cs="Times New Roman"/>
          <w:color w:val="000000"/>
          <w:lang w:eastAsia="hu-HU"/>
        </w:rPr>
        <w:t>Is capable of acqiring the understaning of new engineering information arising in his/her field of specialty using the already gained knowldge.</w:t>
      </w:r>
    </w:p>
    <w:p w:rsidR="006F6E71" w:rsidRPr="006F6E71" w:rsidRDefault="006F6E71" w:rsidP="006F6E71">
      <w:pPr>
        <w:tabs>
          <w:tab w:val="right" w:pos="900"/>
        </w:tabs>
        <w:spacing w:before="120" w:after="120" w:line="240" w:lineRule="auto"/>
        <w:ind w:left="646"/>
        <w:contextualSpacing/>
        <w:jc w:val="both"/>
        <w:rPr>
          <w:rFonts w:ascii="Times New Roman" w:eastAsia="Times New Roman" w:hAnsi="Times New Roman" w:cs="Times New Roman"/>
          <w:b/>
          <w:bCs/>
          <w:lang w:eastAsia="hu-HU"/>
        </w:rPr>
      </w:pPr>
      <w:r w:rsidRPr="006F6E71">
        <w:rPr>
          <w:rFonts w:ascii="Times New Roman" w:eastAsia="Times New Roman" w:hAnsi="Times New Roman" w:cs="Times New Roman"/>
          <w:b/>
          <w:bCs/>
          <w:lang w:eastAsia="hu-HU"/>
        </w:rPr>
        <w:t>Attitude:</w:t>
      </w:r>
    </w:p>
    <w:p w:rsidR="006F6E71" w:rsidRPr="006F6E71" w:rsidRDefault="006F6E71"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6F6E71">
        <w:rPr>
          <w:rFonts w:ascii="Times New Roman" w:eastAsia="Times New Roman" w:hAnsi="Times New Roman" w:cs="Times New Roman"/>
          <w:color w:val="000000"/>
          <w:lang w:eastAsia="hu-HU"/>
        </w:rPr>
        <w:t>He/she is open to widen his/her knowledge regarding weapons and has a constant need for self-education.</w:t>
      </w:r>
    </w:p>
    <w:p w:rsidR="006F6E71" w:rsidRPr="006F6E71" w:rsidRDefault="006F6E71" w:rsidP="00980876">
      <w:pPr>
        <w:numPr>
          <w:ilvl w:val="0"/>
          <w:numId w:val="414"/>
        </w:numPr>
        <w:autoSpaceDE w:val="0"/>
        <w:autoSpaceDN w:val="0"/>
        <w:adjustRightInd w:val="0"/>
        <w:spacing w:after="120" w:line="240" w:lineRule="auto"/>
        <w:ind w:left="1003" w:hanging="357"/>
        <w:jc w:val="both"/>
        <w:rPr>
          <w:rFonts w:ascii="Times New Roman" w:eastAsia="Times New Roman" w:hAnsi="Times New Roman" w:cs="Times New Roman"/>
          <w:color w:val="000000"/>
          <w:lang w:eastAsia="hu-HU"/>
        </w:rPr>
      </w:pPr>
      <w:r w:rsidRPr="006F6E71">
        <w:rPr>
          <w:rFonts w:ascii="Times New Roman" w:eastAsia="Times New Roman" w:hAnsi="Times New Roman" w:cs="Times New Roman"/>
          <w:color w:val="000000"/>
          <w:lang w:eastAsia="hu-HU"/>
        </w:rPr>
        <w:t>He/she is open towards the new accomplishments of military technology and aims to gain knowledge of these.</w:t>
      </w:r>
    </w:p>
    <w:p w:rsidR="006F6E71" w:rsidRPr="006F6E71" w:rsidRDefault="006F6E71" w:rsidP="006F6E71">
      <w:pPr>
        <w:autoSpaceDE w:val="0"/>
        <w:autoSpaceDN w:val="0"/>
        <w:adjustRightInd w:val="0"/>
        <w:spacing w:before="120" w:after="0" w:line="240" w:lineRule="auto"/>
        <w:ind w:left="646"/>
        <w:jc w:val="both"/>
        <w:rPr>
          <w:rFonts w:ascii="Times New Roman" w:eastAsia="Times New Roman" w:hAnsi="Times New Roman" w:cs="Times New Roman"/>
          <w:bCs/>
          <w:lang w:eastAsia="hu-HU"/>
        </w:rPr>
      </w:pPr>
      <w:r w:rsidRPr="006F6E71">
        <w:rPr>
          <w:rFonts w:ascii="Times New Roman" w:eastAsia="Times New Roman" w:hAnsi="Times New Roman" w:cs="Times New Roman"/>
          <w:b/>
          <w:color w:val="000000"/>
          <w:lang w:eastAsia="hu-HU"/>
        </w:rPr>
        <w:t>Autonomy</w:t>
      </w:r>
      <w:r w:rsidRPr="006F6E71">
        <w:rPr>
          <w:rFonts w:ascii="Times New Roman" w:eastAsia="Times New Roman" w:hAnsi="Times New Roman" w:cs="Times New Roman"/>
          <w:b/>
          <w:bCs/>
          <w:lang w:eastAsia="hu-HU"/>
        </w:rPr>
        <w:t xml:space="preserve"> and responsibility</w:t>
      </w:r>
    </w:p>
    <w:p w:rsidR="006F6E71" w:rsidRPr="006F6E71" w:rsidRDefault="006F6E71"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6F6E71">
        <w:rPr>
          <w:rFonts w:ascii="Times New Roman" w:eastAsia="Times New Roman" w:hAnsi="Times New Roman" w:cs="Times New Roman"/>
          <w:color w:val="000000"/>
          <w:lang w:eastAsia="hu-HU"/>
        </w:rPr>
        <w:t>Is capable of independently fulfilling his/her professional tasks as well as effectively organizing and executing his/her own work.</w:t>
      </w:r>
    </w:p>
    <w:p w:rsidR="006F6E71" w:rsidRPr="006F6E71" w:rsidRDefault="006F6E71" w:rsidP="00980876">
      <w:pPr>
        <w:numPr>
          <w:ilvl w:val="0"/>
          <w:numId w:val="414"/>
        </w:numPr>
        <w:autoSpaceDE w:val="0"/>
        <w:autoSpaceDN w:val="0"/>
        <w:adjustRightInd w:val="0"/>
        <w:spacing w:after="120" w:line="240" w:lineRule="auto"/>
        <w:ind w:left="1003" w:hanging="357"/>
        <w:jc w:val="both"/>
        <w:rPr>
          <w:rFonts w:ascii="Times New Roman" w:eastAsia="Times New Roman" w:hAnsi="Times New Roman" w:cs="Times New Roman"/>
          <w:color w:val="000000"/>
          <w:lang w:eastAsia="hu-HU"/>
        </w:rPr>
      </w:pPr>
      <w:r w:rsidRPr="006F6E71">
        <w:rPr>
          <w:rFonts w:ascii="Times New Roman" w:eastAsia="Times New Roman" w:hAnsi="Times New Roman" w:cs="Times New Roman"/>
          <w:color w:val="000000"/>
          <w:lang w:eastAsia="hu-HU"/>
        </w:rPr>
        <w:t>He/she is cooperative and responsible towards the professionals of his/her field. Is capable of thinking in a system approach within his/her own field.</w:t>
      </w:r>
    </w:p>
    <w:p w:rsidR="006F6E71" w:rsidRPr="006F6E71" w:rsidRDefault="006F6E71" w:rsidP="00980876">
      <w:pPr>
        <w:numPr>
          <w:ilvl w:val="0"/>
          <w:numId w:val="718"/>
        </w:numPr>
        <w:tabs>
          <w:tab w:val="clear" w:pos="720"/>
          <w:tab w:val="num" w:pos="644"/>
          <w:tab w:val="right" w:pos="900"/>
          <w:tab w:val="center" w:pos="4536"/>
          <w:tab w:val="right" w:pos="9071"/>
        </w:tabs>
        <w:spacing w:before="120" w:after="0" w:line="240" w:lineRule="auto"/>
        <w:ind w:left="644"/>
        <w:jc w:val="both"/>
        <w:rPr>
          <w:rFonts w:ascii="Times New Roman" w:eastAsia="Times New Roman" w:hAnsi="Times New Roman" w:cs="Times New Roman"/>
          <w:bCs/>
          <w:lang w:eastAsia="hu-HU"/>
        </w:rPr>
      </w:pPr>
      <w:r w:rsidRPr="006F6E71">
        <w:rPr>
          <w:rFonts w:ascii="Times New Roman" w:eastAsia="Times New Roman" w:hAnsi="Times New Roman" w:cs="Times New Roman"/>
          <w:b/>
          <w:bCs/>
          <w:lang w:eastAsia="hu-HU"/>
        </w:rPr>
        <w:t xml:space="preserve">Előtanulmányi kötelezettségek:  - </w:t>
      </w:r>
    </w:p>
    <w:p w:rsidR="006F6E71" w:rsidRPr="006F6E71" w:rsidRDefault="006F6E71" w:rsidP="00980876">
      <w:pPr>
        <w:numPr>
          <w:ilvl w:val="0"/>
          <w:numId w:val="718"/>
        </w:numPr>
        <w:tabs>
          <w:tab w:val="clear" w:pos="720"/>
          <w:tab w:val="num" w:pos="644"/>
        </w:tabs>
        <w:spacing w:before="120" w:after="0" w:line="240" w:lineRule="auto"/>
        <w:ind w:left="641" w:hanging="357"/>
        <w:jc w:val="both"/>
        <w:rPr>
          <w:rFonts w:ascii="Times New Roman" w:eastAsia="Times New Roman" w:hAnsi="Times New Roman" w:cs="Times New Roman"/>
          <w:b/>
          <w:lang w:eastAsia="hu-HU"/>
        </w:rPr>
      </w:pPr>
      <w:r w:rsidRPr="006F6E71">
        <w:rPr>
          <w:rFonts w:ascii="Times New Roman" w:eastAsia="Times New Roman" w:hAnsi="Times New Roman" w:cs="Times New Roman"/>
          <w:b/>
          <w:lang w:eastAsia="hu-HU"/>
        </w:rPr>
        <w:t xml:space="preserve">A tantárgy tananyagának leírása: (tematika): </w:t>
      </w:r>
    </w:p>
    <w:p w:rsidR="006F6E71" w:rsidRPr="006F6E71" w:rsidRDefault="006F6E71" w:rsidP="00980876">
      <w:pPr>
        <w:numPr>
          <w:ilvl w:val="1"/>
          <w:numId w:val="718"/>
        </w:numPr>
        <w:tabs>
          <w:tab w:val="clear" w:pos="3977"/>
          <w:tab w:val="num" w:pos="1425"/>
        </w:tabs>
        <w:spacing w:before="60" w:after="0" w:line="240" w:lineRule="auto"/>
        <w:ind w:left="1134" w:hanging="567"/>
        <w:jc w:val="both"/>
        <w:rPr>
          <w:rFonts w:ascii="Times New Roman" w:eastAsia="Times New Roman" w:hAnsi="Times New Roman" w:cs="Times New Roman"/>
          <w:i/>
          <w:lang w:eastAsia="hu-HU"/>
        </w:rPr>
      </w:pPr>
      <w:r w:rsidRPr="006F6E71">
        <w:rPr>
          <w:rFonts w:ascii="Times New Roman" w:eastAsia="Times New Roman" w:hAnsi="Times New Roman" w:cs="Times New Roman"/>
          <w:lang w:eastAsia="hu-HU"/>
        </w:rPr>
        <w:t xml:space="preserve">Hátrasiklás nélküli eszközök kiszolgálása. </w:t>
      </w:r>
      <w:r w:rsidRPr="006F6E71">
        <w:rPr>
          <w:rFonts w:ascii="Times New Roman" w:eastAsia="Times New Roman" w:hAnsi="Times New Roman" w:cs="Times New Roman"/>
          <w:i/>
          <w:lang w:eastAsia="hu-HU"/>
        </w:rPr>
        <w:t>(Serving recolness weapon devices.)</w:t>
      </w:r>
    </w:p>
    <w:p w:rsidR="006F6E71" w:rsidRPr="006F6E71" w:rsidRDefault="006F6E71" w:rsidP="00980876">
      <w:pPr>
        <w:numPr>
          <w:ilvl w:val="1"/>
          <w:numId w:val="718"/>
        </w:numPr>
        <w:tabs>
          <w:tab w:val="clear" w:pos="3977"/>
          <w:tab w:val="num" w:pos="1425"/>
        </w:tabs>
        <w:spacing w:before="60" w:after="0" w:line="240" w:lineRule="auto"/>
        <w:ind w:left="1134" w:hanging="567"/>
        <w:jc w:val="both"/>
        <w:rPr>
          <w:rFonts w:ascii="Times New Roman" w:eastAsia="Times New Roman" w:hAnsi="Times New Roman" w:cs="Times New Roman"/>
          <w:i/>
          <w:lang w:eastAsia="hu-HU"/>
        </w:rPr>
      </w:pPr>
      <w:r w:rsidRPr="006F6E71">
        <w:rPr>
          <w:rFonts w:ascii="Times New Roman" w:eastAsia="Times New Roman" w:hAnsi="Times New Roman" w:cs="Times New Roman"/>
          <w:lang w:eastAsia="hu-HU"/>
        </w:rPr>
        <w:t>Páncéltörő és légvédelmi rakétakomplexumok technikai kiszolgálásának rendszere</w:t>
      </w:r>
      <w:r w:rsidRPr="006F6E71">
        <w:rPr>
          <w:rFonts w:ascii="Times New Roman" w:eastAsia="Times New Roman" w:hAnsi="Times New Roman" w:cs="Times New Roman"/>
          <w:i/>
          <w:lang w:eastAsia="hu-HU"/>
        </w:rPr>
        <w:t>. (Technical service system for anti-tank and anti-aircraft missile complexes.)</w:t>
      </w:r>
    </w:p>
    <w:p w:rsidR="006F6E71" w:rsidRPr="006F6E71" w:rsidRDefault="006F6E71" w:rsidP="00980876">
      <w:pPr>
        <w:numPr>
          <w:ilvl w:val="1"/>
          <w:numId w:val="718"/>
        </w:numPr>
        <w:tabs>
          <w:tab w:val="clear" w:pos="3977"/>
          <w:tab w:val="num" w:pos="1425"/>
        </w:tabs>
        <w:spacing w:before="60" w:after="0" w:line="240" w:lineRule="auto"/>
        <w:ind w:left="1134" w:hanging="567"/>
        <w:jc w:val="both"/>
        <w:rPr>
          <w:rFonts w:ascii="Times New Roman" w:eastAsia="Times New Roman" w:hAnsi="Times New Roman" w:cs="Times New Roman"/>
          <w:i/>
          <w:lang w:eastAsia="hu-HU"/>
        </w:rPr>
      </w:pPr>
      <w:r w:rsidRPr="006F6E71">
        <w:rPr>
          <w:rFonts w:ascii="Times New Roman" w:eastAsia="Times New Roman" w:hAnsi="Times New Roman" w:cs="Times New Roman"/>
          <w:lang w:eastAsia="hu-HU"/>
        </w:rPr>
        <w:lastRenderedPageBreak/>
        <w:t xml:space="preserve">A technikai kiszolgálás során alkalmazandó ellenőrző műszerek, eszközök, berendezések. </w:t>
      </w:r>
      <w:r w:rsidRPr="006F6E71">
        <w:rPr>
          <w:rFonts w:ascii="Times New Roman" w:eastAsia="Times New Roman" w:hAnsi="Times New Roman" w:cs="Times New Roman"/>
          <w:i/>
          <w:lang w:eastAsia="hu-HU"/>
        </w:rPr>
        <w:t>(Control instruments, instruments and apparatus to be used in technical service.)</w:t>
      </w:r>
    </w:p>
    <w:p w:rsidR="006F6E71" w:rsidRPr="006F6E71" w:rsidRDefault="006F6E71" w:rsidP="00980876">
      <w:pPr>
        <w:numPr>
          <w:ilvl w:val="1"/>
          <w:numId w:val="718"/>
        </w:numPr>
        <w:tabs>
          <w:tab w:val="clear" w:pos="3977"/>
          <w:tab w:val="num" w:pos="1425"/>
        </w:tabs>
        <w:spacing w:before="60" w:after="0" w:line="240" w:lineRule="auto"/>
        <w:ind w:left="1134" w:hanging="567"/>
        <w:jc w:val="both"/>
        <w:rPr>
          <w:rFonts w:ascii="Times New Roman" w:eastAsia="Times New Roman" w:hAnsi="Times New Roman" w:cs="Times New Roman"/>
          <w:i/>
          <w:lang w:eastAsia="hu-HU"/>
        </w:rPr>
      </w:pPr>
      <w:r w:rsidRPr="006F6E71">
        <w:rPr>
          <w:rFonts w:ascii="Times New Roman" w:eastAsia="Times New Roman" w:hAnsi="Times New Roman" w:cs="Times New Roman"/>
          <w:lang w:eastAsia="hu-HU"/>
        </w:rPr>
        <w:t xml:space="preserve">Szabványos villamos műszerek ismerete. </w:t>
      </w:r>
      <w:r w:rsidRPr="006F6E71">
        <w:rPr>
          <w:rFonts w:ascii="Times New Roman" w:eastAsia="Times New Roman" w:hAnsi="Times New Roman" w:cs="Times New Roman"/>
          <w:i/>
          <w:lang w:eastAsia="hu-HU"/>
        </w:rPr>
        <w:t>(Knowledge of standard electrical instruments.)</w:t>
      </w:r>
    </w:p>
    <w:p w:rsidR="006F6E71" w:rsidRPr="006F6E71" w:rsidRDefault="006F6E71" w:rsidP="00980876">
      <w:pPr>
        <w:numPr>
          <w:ilvl w:val="1"/>
          <w:numId w:val="718"/>
        </w:numPr>
        <w:tabs>
          <w:tab w:val="clear" w:pos="3977"/>
          <w:tab w:val="num" w:pos="1425"/>
        </w:tabs>
        <w:spacing w:before="60" w:after="0" w:line="240" w:lineRule="auto"/>
        <w:ind w:left="1134" w:hanging="567"/>
        <w:jc w:val="both"/>
        <w:rPr>
          <w:rFonts w:ascii="Times New Roman" w:eastAsia="Times New Roman" w:hAnsi="Times New Roman" w:cs="Times New Roman"/>
          <w:i/>
          <w:lang w:eastAsia="hu-HU"/>
        </w:rPr>
      </w:pPr>
      <w:r w:rsidRPr="006F6E71">
        <w:rPr>
          <w:rFonts w:ascii="Times New Roman" w:eastAsia="Times New Roman" w:hAnsi="Times New Roman" w:cs="Times New Roman"/>
          <w:lang w:eastAsia="hu-HU"/>
        </w:rPr>
        <w:t xml:space="preserve">Speciális ellenőrző műszerek, kaliberek és szerszámok. </w:t>
      </w:r>
      <w:r w:rsidRPr="006F6E71">
        <w:rPr>
          <w:rFonts w:ascii="Times New Roman" w:eastAsia="Times New Roman" w:hAnsi="Times New Roman" w:cs="Times New Roman"/>
          <w:i/>
          <w:lang w:eastAsia="hu-HU"/>
        </w:rPr>
        <w:t>(Special inspection instruments, gauges and tools.)</w:t>
      </w:r>
    </w:p>
    <w:p w:rsidR="006F6E71" w:rsidRPr="006F6E71" w:rsidRDefault="006F6E71" w:rsidP="00980876">
      <w:pPr>
        <w:numPr>
          <w:ilvl w:val="1"/>
          <w:numId w:val="718"/>
        </w:numPr>
        <w:tabs>
          <w:tab w:val="clear" w:pos="3977"/>
          <w:tab w:val="num" w:pos="1425"/>
        </w:tabs>
        <w:spacing w:before="60" w:after="0" w:line="240" w:lineRule="auto"/>
        <w:ind w:left="1134" w:hanging="567"/>
        <w:jc w:val="both"/>
        <w:rPr>
          <w:rFonts w:ascii="Times New Roman" w:eastAsia="Times New Roman" w:hAnsi="Times New Roman" w:cs="Times New Roman"/>
          <w:i/>
          <w:lang w:eastAsia="hu-HU"/>
        </w:rPr>
      </w:pPr>
      <w:r w:rsidRPr="006F6E71">
        <w:rPr>
          <w:rFonts w:ascii="Times New Roman" w:eastAsia="Times New Roman" w:hAnsi="Times New Roman" w:cs="Times New Roman"/>
          <w:lang w:eastAsia="hu-HU"/>
        </w:rPr>
        <w:t xml:space="preserve">A páncéltörő és légvédelmi rakétakomplexumok időszakos műszaki ellenőrzésének tartalma, végrehajtásának módszere. </w:t>
      </w:r>
      <w:r w:rsidRPr="006F6E71">
        <w:rPr>
          <w:rFonts w:ascii="Times New Roman" w:eastAsia="Times New Roman" w:hAnsi="Times New Roman" w:cs="Times New Roman"/>
          <w:i/>
          <w:lang w:eastAsia="hu-HU"/>
        </w:rPr>
        <w:t>(Content and method of periodic technical inspection of anti-tank and anti-aircraft missile complexes.)</w:t>
      </w:r>
    </w:p>
    <w:p w:rsidR="006F6E71" w:rsidRPr="006F6E71" w:rsidRDefault="006F6E71" w:rsidP="00980876">
      <w:pPr>
        <w:numPr>
          <w:ilvl w:val="1"/>
          <w:numId w:val="718"/>
        </w:numPr>
        <w:tabs>
          <w:tab w:val="clear" w:pos="3977"/>
          <w:tab w:val="num" w:pos="1425"/>
        </w:tabs>
        <w:spacing w:before="60" w:after="0" w:line="240" w:lineRule="auto"/>
        <w:ind w:left="1134" w:hanging="567"/>
        <w:jc w:val="both"/>
        <w:rPr>
          <w:rFonts w:ascii="Times New Roman" w:eastAsia="Times New Roman" w:hAnsi="Times New Roman" w:cs="Times New Roman"/>
          <w:i/>
          <w:lang w:eastAsia="hu-HU"/>
        </w:rPr>
      </w:pPr>
      <w:r w:rsidRPr="006F6E71">
        <w:rPr>
          <w:rFonts w:ascii="Times New Roman" w:eastAsia="Times New Roman" w:hAnsi="Times New Roman" w:cs="Times New Roman"/>
          <w:lang w:eastAsia="hu-HU"/>
        </w:rPr>
        <w:t xml:space="preserve">Az indítóállványok technikai ellenőrzése, paramétereik beszabályozásának menete. </w:t>
      </w:r>
      <w:r w:rsidRPr="006F6E71">
        <w:rPr>
          <w:rFonts w:ascii="Times New Roman" w:eastAsia="Times New Roman" w:hAnsi="Times New Roman" w:cs="Times New Roman"/>
          <w:i/>
          <w:lang w:eastAsia="hu-HU"/>
        </w:rPr>
        <w:t>(Technical inspection of launchers, process of adjusting their parameters.)</w:t>
      </w:r>
    </w:p>
    <w:p w:rsidR="006F6E71" w:rsidRPr="006F6E71" w:rsidRDefault="006F6E71" w:rsidP="00980876">
      <w:pPr>
        <w:numPr>
          <w:ilvl w:val="1"/>
          <w:numId w:val="718"/>
        </w:numPr>
        <w:tabs>
          <w:tab w:val="clear" w:pos="3977"/>
          <w:tab w:val="num" w:pos="1425"/>
        </w:tabs>
        <w:spacing w:before="60" w:after="0" w:line="240" w:lineRule="auto"/>
        <w:ind w:left="1134" w:hanging="567"/>
        <w:jc w:val="both"/>
        <w:rPr>
          <w:rFonts w:ascii="Times New Roman" w:eastAsia="Times New Roman" w:hAnsi="Times New Roman" w:cs="Times New Roman"/>
          <w:i/>
          <w:lang w:eastAsia="hu-HU"/>
        </w:rPr>
      </w:pPr>
      <w:r w:rsidRPr="006F6E71">
        <w:rPr>
          <w:rFonts w:ascii="Times New Roman" w:eastAsia="Times New Roman" w:hAnsi="Times New Roman" w:cs="Times New Roman"/>
          <w:lang w:eastAsia="hu-HU"/>
        </w:rPr>
        <w:t xml:space="preserve">Páncéltörő és légvédelmi rakétarendszerek hibabehatárolása során alkalmazható hibabehatárolási stratégiák és módszerek, javítási elvek. </w:t>
      </w:r>
      <w:r w:rsidRPr="006F6E71">
        <w:rPr>
          <w:rFonts w:ascii="Times New Roman" w:eastAsia="Times New Roman" w:hAnsi="Times New Roman" w:cs="Times New Roman"/>
          <w:i/>
          <w:lang w:eastAsia="hu-HU"/>
        </w:rPr>
        <w:t>(Error detection strategies and methods for repair of anti-tank and anti-missile missile systems, principles of repair.)</w:t>
      </w:r>
    </w:p>
    <w:p w:rsidR="006F6E71" w:rsidRPr="006F6E71" w:rsidRDefault="006F6E71" w:rsidP="00980876">
      <w:pPr>
        <w:numPr>
          <w:ilvl w:val="1"/>
          <w:numId w:val="718"/>
        </w:numPr>
        <w:tabs>
          <w:tab w:val="clear" w:pos="3977"/>
          <w:tab w:val="num" w:pos="1425"/>
        </w:tabs>
        <w:spacing w:before="60" w:after="0" w:line="240" w:lineRule="auto"/>
        <w:ind w:left="1134" w:hanging="567"/>
        <w:jc w:val="both"/>
        <w:rPr>
          <w:rFonts w:ascii="Times New Roman" w:eastAsia="Times New Roman" w:hAnsi="Times New Roman" w:cs="Times New Roman"/>
          <w:i/>
          <w:lang w:eastAsia="hu-HU"/>
        </w:rPr>
      </w:pPr>
      <w:r w:rsidRPr="006F6E71">
        <w:rPr>
          <w:rFonts w:ascii="Times New Roman" w:eastAsia="Times New Roman" w:hAnsi="Times New Roman" w:cs="Times New Roman"/>
          <w:lang w:eastAsia="hu-HU"/>
        </w:rPr>
        <w:t xml:space="preserve">Harcjárművek komplex kiszolgálása. </w:t>
      </w:r>
      <w:r w:rsidRPr="006F6E71">
        <w:rPr>
          <w:rFonts w:ascii="Times New Roman" w:eastAsia="Times New Roman" w:hAnsi="Times New Roman" w:cs="Times New Roman"/>
          <w:i/>
          <w:lang w:eastAsia="hu-HU"/>
        </w:rPr>
        <w:t>(Complex servicing of combat vehicles.)</w:t>
      </w:r>
    </w:p>
    <w:p w:rsidR="006F6E71" w:rsidRPr="006F6E71" w:rsidRDefault="006F6E71" w:rsidP="00980876">
      <w:pPr>
        <w:numPr>
          <w:ilvl w:val="1"/>
          <w:numId w:val="718"/>
        </w:numPr>
        <w:tabs>
          <w:tab w:val="clear" w:pos="3977"/>
          <w:tab w:val="num" w:pos="1425"/>
        </w:tabs>
        <w:spacing w:before="60" w:after="0" w:line="240" w:lineRule="auto"/>
        <w:ind w:left="1134" w:hanging="567"/>
        <w:jc w:val="both"/>
        <w:rPr>
          <w:rFonts w:ascii="Times New Roman" w:eastAsia="Times New Roman" w:hAnsi="Times New Roman" w:cs="Times New Roman"/>
          <w:i/>
          <w:lang w:eastAsia="hu-HU"/>
        </w:rPr>
      </w:pPr>
      <w:r w:rsidRPr="006F6E71">
        <w:rPr>
          <w:rFonts w:ascii="Times New Roman" w:eastAsia="Times New Roman" w:hAnsi="Times New Roman" w:cs="Times New Roman"/>
          <w:lang w:eastAsia="hu-HU"/>
        </w:rPr>
        <w:t xml:space="preserve">Önjáró tüzérségi eszközök kiszolgálása. </w:t>
      </w:r>
      <w:r w:rsidRPr="006F6E71">
        <w:rPr>
          <w:rFonts w:ascii="Times New Roman" w:eastAsia="Times New Roman" w:hAnsi="Times New Roman" w:cs="Times New Roman"/>
          <w:i/>
          <w:lang w:eastAsia="hu-HU"/>
        </w:rPr>
        <w:t>(Serving self-propelled artillery equipment.)</w:t>
      </w:r>
    </w:p>
    <w:p w:rsidR="006F6E71" w:rsidRPr="006F6E71" w:rsidRDefault="006F6E71" w:rsidP="00980876">
      <w:pPr>
        <w:numPr>
          <w:ilvl w:val="1"/>
          <w:numId w:val="718"/>
        </w:numPr>
        <w:tabs>
          <w:tab w:val="clear" w:pos="3977"/>
          <w:tab w:val="num" w:pos="1425"/>
        </w:tabs>
        <w:spacing w:before="60" w:after="0" w:line="240" w:lineRule="auto"/>
        <w:ind w:left="1134" w:hanging="567"/>
        <w:jc w:val="both"/>
        <w:rPr>
          <w:rFonts w:ascii="Times New Roman" w:eastAsia="Times New Roman" w:hAnsi="Times New Roman" w:cs="Times New Roman"/>
          <w:i/>
          <w:lang w:eastAsia="hu-HU"/>
        </w:rPr>
      </w:pPr>
      <w:r w:rsidRPr="006F6E71">
        <w:rPr>
          <w:rFonts w:ascii="Times New Roman" w:eastAsia="Times New Roman" w:hAnsi="Times New Roman" w:cs="Times New Roman"/>
          <w:lang w:eastAsia="hu-HU"/>
        </w:rPr>
        <w:t xml:space="preserve">Rendszeresített eszközök technikai kiszolgálása. </w:t>
      </w:r>
      <w:r w:rsidRPr="006F6E71">
        <w:rPr>
          <w:rFonts w:ascii="Times New Roman" w:eastAsia="Times New Roman" w:hAnsi="Times New Roman" w:cs="Times New Roman"/>
          <w:i/>
          <w:lang w:eastAsia="hu-HU"/>
        </w:rPr>
        <w:t>(Technical service of standardized devices.)</w:t>
      </w:r>
    </w:p>
    <w:p w:rsidR="006F6E71" w:rsidRPr="006F6E71" w:rsidRDefault="006F6E71" w:rsidP="00980876">
      <w:pPr>
        <w:numPr>
          <w:ilvl w:val="1"/>
          <w:numId w:val="718"/>
        </w:numPr>
        <w:tabs>
          <w:tab w:val="clear" w:pos="3977"/>
          <w:tab w:val="num" w:pos="1425"/>
        </w:tabs>
        <w:spacing w:before="60" w:after="0" w:line="240" w:lineRule="auto"/>
        <w:ind w:left="1134" w:hanging="567"/>
        <w:jc w:val="both"/>
        <w:rPr>
          <w:rFonts w:ascii="Times New Roman" w:eastAsia="Times New Roman" w:hAnsi="Times New Roman" w:cs="Times New Roman"/>
          <w:i/>
          <w:lang w:eastAsia="hu-HU"/>
        </w:rPr>
      </w:pPr>
      <w:r w:rsidRPr="006F6E71">
        <w:rPr>
          <w:rFonts w:ascii="Times New Roman" w:eastAsia="Times New Roman" w:hAnsi="Times New Roman" w:cs="Times New Roman"/>
          <w:lang w:eastAsia="hu-HU"/>
        </w:rPr>
        <w:t xml:space="preserve">Optikai eszközök és irányzó rendszerek kiszolgálása. </w:t>
      </w:r>
      <w:r w:rsidRPr="006F6E71">
        <w:rPr>
          <w:rFonts w:ascii="Times New Roman" w:eastAsia="Times New Roman" w:hAnsi="Times New Roman" w:cs="Times New Roman"/>
          <w:i/>
          <w:lang w:eastAsia="hu-HU"/>
        </w:rPr>
        <w:t>(Servicing of optical devices and guidance systems.)</w:t>
      </w:r>
    </w:p>
    <w:p w:rsidR="006F6E71" w:rsidRPr="006F6E71" w:rsidRDefault="006F6E71" w:rsidP="00980876">
      <w:pPr>
        <w:numPr>
          <w:ilvl w:val="1"/>
          <w:numId w:val="718"/>
        </w:numPr>
        <w:tabs>
          <w:tab w:val="clear" w:pos="3977"/>
          <w:tab w:val="num" w:pos="1425"/>
        </w:tabs>
        <w:spacing w:before="60" w:after="0" w:line="240" w:lineRule="auto"/>
        <w:ind w:left="1134" w:hanging="567"/>
        <w:jc w:val="both"/>
        <w:rPr>
          <w:rFonts w:ascii="Times New Roman" w:eastAsia="Times New Roman" w:hAnsi="Times New Roman" w:cs="Times New Roman"/>
          <w:lang w:eastAsia="hu-HU"/>
        </w:rPr>
      </w:pPr>
      <w:r w:rsidRPr="006F6E71">
        <w:rPr>
          <w:rFonts w:ascii="Times New Roman" w:eastAsia="Times New Roman" w:hAnsi="Times New Roman" w:cs="Times New Roman"/>
          <w:lang w:eastAsia="hu-HU"/>
        </w:rPr>
        <w:t xml:space="preserve">Navigációs eszközök kiszolgálása </w:t>
      </w:r>
      <w:r w:rsidRPr="006F6E71">
        <w:rPr>
          <w:rFonts w:ascii="Times New Roman" w:eastAsia="Times New Roman" w:hAnsi="Times New Roman" w:cs="Times New Roman"/>
          <w:i/>
          <w:lang w:eastAsia="hu-HU"/>
        </w:rPr>
        <w:t>(Servicing Navigation Devices.)</w:t>
      </w:r>
    </w:p>
    <w:p w:rsidR="006F6E71" w:rsidRPr="006F6E71" w:rsidRDefault="006F6E71" w:rsidP="00980876">
      <w:pPr>
        <w:numPr>
          <w:ilvl w:val="1"/>
          <w:numId w:val="718"/>
        </w:numPr>
        <w:tabs>
          <w:tab w:val="clear" w:pos="3977"/>
          <w:tab w:val="num" w:pos="1425"/>
        </w:tabs>
        <w:spacing w:before="60" w:after="0" w:line="240" w:lineRule="auto"/>
        <w:ind w:left="1134" w:hanging="567"/>
        <w:jc w:val="both"/>
        <w:rPr>
          <w:rFonts w:ascii="Times New Roman" w:eastAsia="Times New Roman" w:hAnsi="Times New Roman" w:cs="Times New Roman"/>
          <w:lang w:eastAsia="hu-HU"/>
        </w:rPr>
      </w:pPr>
      <w:r w:rsidRPr="006F6E71">
        <w:rPr>
          <w:rFonts w:ascii="Times New Roman" w:eastAsia="Times New Roman" w:hAnsi="Times New Roman" w:cs="Times New Roman"/>
          <w:lang w:eastAsia="hu-HU"/>
        </w:rPr>
        <w:t xml:space="preserve">Rakéták ellenőrzése, tárolása </w:t>
      </w:r>
      <w:r w:rsidRPr="006F6E71">
        <w:rPr>
          <w:rFonts w:ascii="Times New Roman" w:eastAsia="Times New Roman" w:hAnsi="Times New Roman" w:cs="Times New Roman"/>
          <w:i/>
          <w:lang w:eastAsia="hu-HU"/>
        </w:rPr>
        <w:t>(Missile checking and storage)</w:t>
      </w:r>
    </w:p>
    <w:p w:rsidR="006F6E71" w:rsidRPr="006F6E71" w:rsidRDefault="006F6E71" w:rsidP="00980876">
      <w:pPr>
        <w:numPr>
          <w:ilvl w:val="0"/>
          <w:numId w:val="718"/>
        </w:numPr>
        <w:tabs>
          <w:tab w:val="clear" w:pos="720"/>
          <w:tab w:val="num" w:pos="644"/>
          <w:tab w:val="center" w:pos="4536"/>
          <w:tab w:val="right" w:pos="9071"/>
        </w:tabs>
        <w:spacing w:before="120" w:after="0" w:line="240" w:lineRule="auto"/>
        <w:ind w:left="426" w:hanging="142"/>
        <w:jc w:val="both"/>
        <w:rPr>
          <w:rFonts w:ascii="Times New Roman" w:eastAsia="Times New Roman" w:hAnsi="Times New Roman" w:cs="Times New Roman"/>
          <w:bCs/>
          <w:lang w:eastAsia="hu-HU"/>
        </w:rPr>
      </w:pPr>
      <w:r w:rsidRPr="006F6E71">
        <w:rPr>
          <w:rFonts w:ascii="Times New Roman" w:eastAsia="Times New Roman" w:hAnsi="Times New Roman" w:cs="Times New Roman"/>
          <w:b/>
          <w:bCs/>
          <w:lang w:eastAsia="hu-HU"/>
        </w:rPr>
        <w:t xml:space="preserve">A tantárgy meghirdetésének gyakorisága/a tantervben történő félévi elhelyezkedése: </w:t>
      </w:r>
      <w:r w:rsidRPr="006F6E71">
        <w:rPr>
          <w:rFonts w:ascii="Times New Roman" w:eastAsia="Times New Roman" w:hAnsi="Times New Roman" w:cs="Times New Roman"/>
          <w:bCs/>
          <w:lang w:eastAsia="hu-HU"/>
        </w:rPr>
        <w:t>évente /8. félév</w:t>
      </w:r>
    </w:p>
    <w:p w:rsidR="006F6E71" w:rsidRPr="006F6E71" w:rsidRDefault="006F6E71" w:rsidP="00980876">
      <w:pPr>
        <w:widowControl w:val="0"/>
        <w:numPr>
          <w:ilvl w:val="0"/>
          <w:numId w:val="718"/>
        </w:numPr>
        <w:tabs>
          <w:tab w:val="num" w:pos="360"/>
          <w:tab w:val="num" w:pos="644"/>
        </w:tabs>
        <w:spacing w:before="120" w:after="120" w:line="240" w:lineRule="auto"/>
        <w:ind w:left="426" w:hanging="142"/>
        <w:jc w:val="both"/>
        <w:rPr>
          <w:rFonts w:ascii="Times New Roman" w:eastAsia="Times New Roman" w:hAnsi="Times New Roman" w:cs="Times New Roman"/>
          <w:bCs/>
          <w:lang w:eastAsia="hu-HU"/>
        </w:rPr>
      </w:pPr>
      <w:r w:rsidRPr="006F6E71">
        <w:rPr>
          <w:rFonts w:ascii="Times New Roman" w:eastAsia="Times New Roman" w:hAnsi="Times New Roman" w:cs="Times New Roman"/>
          <w:b/>
          <w:bCs/>
          <w:lang w:eastAsia="hu-HU"/>
        </w:rPr>
        <w:t>A tanórákon való részvétel követelményei, az elfogadható hiányzások mértéke, a távolmaradás pótlásának lehetősége:</w:t>
      </w:r>
      <w:r w:rsidRPr="006F6E71">
        <w:rPr>
          <w:rFonts w:ascii="Times New Roman" w:eastAsia="Times New Roman" w:hAnsi="Times New Roman" w:cs="Times New Roman"/>
          <w:bCs/>
          <w:lang w:eastAsia="hu-HU"/>
        </w:rPr>
        <w:t xml:space="preserve"> </w:t>
      </w:r>
    </w:p>
    <w:p w:rsidR="006F6E71" w:rsidRPr="006F6E71" w:rsidRDefault="006F6E71" w:rsidP="006F6E71">
      <w:pPr>
        <w:widowControl w:val="0"/>
        <w:spacing w:before="120" w:after="120" w:line="240" w:lineRule="auto"/>
        <w:ind w:left="426"/>
        <w:jc w:val="both"/>
        <w:rPr>
          <w:rFonts w:ascii="Times New Roman" w:eastAsia="Times New Roman" w:hAnsi="Times New Roman" w:cs="Times New Roman"/>
          <w:bCs/>
          <w:lang w:eastAsia="hu-HU"/>
        </w:rPr>
      </w:pPr>
      <w:r w:rsidRPr="006F6E71">
        <w:rPr>
          <w:rFonts w:ascii="Times New Roman" w:eastAsia="Times New Roman" w:hAnsi="Times New Roman" w:cs="Times New Roman"/>
          <w:bCs/>
          <w:lang w:eastAsia="hu-HU"/>
        </w:rPr>
        <w:t>A hallgatónak a tanórák legalább 70 %-án jelen kell lennie, 30 %-ot meghaladó hiányzás esetén a félév teljesítése nem írható alá. A hallgató köteles az előadás és a gyakorlat anyagát beszerezni, abból önállóan felkészülni. A hiányzás pótolható az oktató által kijelölt témakörben beadott, legalább elégségesre értékelt házidolgozattal.</w:t>
      </w:r>
    </w:p>
    <w:p w:rsidR="006F6E71" w:rsidRPr="006F6E71" w:rsidRDefault="006F6E71" w:rsidP="00980876">
      <w:pPr>
        <w:widowControl w:val="0"/>
        <w:numPr>
          <w:ilvl w:val="0"/>
          <w:numId w:val="718"/>
        </w:numPr>
        <w:tabs>
          <w:tab w:val="num" w:pos="360"/>
          <w:tab w:val="num" w:pos="644"/>
        </w:tabs>
        <w:spacing w:before="120" w:after="120" w:line="240" w:lineRule="auto"/>
        <w:ind w:left="426" w:hanging="142"/>
        <w:jc w:val="both"/>
        <w:rPr>
          <w:rFonts w:ascii="Times New Roman" w:eastAsia="Times New Roman" w:hAnsi="Times New Roman" w:cs="Times New Roman"/>
          <w:bCs/>
          <w:lang w:eastAsia="hu-HU"/>
        </w:rPr>
      </w:pPr>
      <w:r w:rsidRPr="006F6E71">
        <w:rPr>
          <w:rFonts w:ascii="Times New Roman" w:eastAsia="Times New Roman" w:hAnsi="Times New Roman" w:cs="Times New Roman"/>
          <w:b/>
          <w:lang w:eastAsia="hu-HU"/>
        </w:rPr>
        <w:t>Félévközi feladatok, ismeretek ellenőrzésének rendje:</w:t>
      </w:r>
      <w:r w:rsidRPr="006F6E71">
        <w:rPr>
          <w:rFonts w:ascii="Times New Roman" w:eastAsia="Times New Roman" w:hAnsi="Times New Roman" w:cs="Times New Roman"/>
          <w:bCs/>
          <w:lang w:eastAsia="hu-HU"/>
        </w:rPr>
        <w:t xml:space="preserve"> A félév során a hallgató kettő zárthelyi dolgozatot ír. Zárthelyi dolgozatok a 12.1-12.15 tantárgyrészekből.</w:t>
      </w:r>
      <w:r w:rsidRPr="006F6E71">
        <w:rPr>
          <w:rFonts w:ascii="Times New Roman" w:eastAsia="Times New Roman" w:hAnsi="Times New Roman" w:cs="Times New Roman"/>
          <w:lang w:eastAsia="hu-HU"/>
        </w:rPr>
        <w:t xml:space="preserve"> </w:t>
      </w:r>
      <w:r w:rsidRPr="006F6E71">
        <w:rPr>
          <w:rFonts w:ascii="Times New Roman" w:eastAsia="Times New Roman" w:hAnsi="Times New Roman" w:cs="Times New Roman"/>
          <w:bCs/>
          <w:lang w:eastAsia="hu-HU"/>
        </w:rPr>
        <w:t>A zárthelyi dolgozat témáit a kötelező irodalmak anyagából, illetve az előadásokon elhangzott ismeretanyagból kell összeállítani. A zárthelyi dolgozat értékelése ötfokozatú értékelés (a helyes válaszok aránya 0-60% elégtelen; 61-70% elégséges; 71-80% közepes; 81-90% jó; 91-100% jeles osztályzat). Eredménytelen zárthelyi dolgozat kétszer javítható</w:t>
      </w:r>
      <w:r w:rsidRPr="006F6E71">
        <w:rPr>
          <w:rFonts w:ascii="Times New Roman" w:eastAsia="Times New Roman" w:hAnsi="Times New Roman" w:cs="Times New Roman"/>
          <w:b/>
          <w:bCs/>
          <w:lang w:eastAsia="hu-HU"/>
        </w:rPr>
        <w:t>.</w:t>
      </w:r>
      <w:r w:rsidRPr="006F6E71">
        <w:rPr>
          <w:rFonts w:ascii="Times New Roman" w:eastAsia="Times New Roman" w:hAnsi="Times New Roman" w:cs="Times New Roman"/>
          <w:bCs/>
          <w:lang w:eastAsia="hu-HU"/>
        </w:rPr>
        <w:t xml:space="preserve"> A dolgozatban teszt és esszé jellegű kérdések egyaránt szerepelnek.</w:t>
      </w:r>
    </w:p>
    <w:p w:rsidR="006F6E71" w:rsidRPr="006F6E71" w:rsidRDefault="006F6E71" w:rsidP="00980876">
      <w:pPr>
        <w:widowControl w:val="0"/>
        <w:numPr>
          <w:ilvl w:val="0"/>
          <w:numId w:val="718"/>
        </w:numPr>
        <w:tabs>
          <w:tab w:val="num" w:pos="644"/>
        </w:tabs>
        <w:spacing w:before="120" w:after="120" w:line="240" w:lineRule="auto"/>
        <w:ind w:left="426" w:hanging="142"/>
        <w:jc w:val="both"/>
        <w:rPr>
          <w:rFonts w:ascii="Times New Roman" w:eastAsia="Times New Roman" w:hAnsi="Times New Roman" w:cs="Times New Roman"/>
          <w:b/>
          <w:bCs/>
          <w:lang w:eastAsia="hu-HU"/>
        </w:rPr>
      </w:pPr>
      <w:r w:rsidRPr="006F6E71">
        <w:rPr>
          <w:rFonts w:ascii="Times New Roman" w:eastAsia="Times New Roman" w:hAnsi="Times New Roman" w:cs="Times New Roman"/>
          <w:b/>
          <w:bCs/>
          <w:lang w:eastAsia="hu-HU"/>
        </w:rPr>
        <w:t xml:space="preserve">Az értékelés, az aláírás és a kreditek megszerzésének pontos feltételei: </w:t>
      </w:r>
    </w:p>
    <w:p w:rsidR="006F6E71" w:rsidRPr="006F6E71" w:rsidRDefault="006F6E71" w:rsidP="00980876">
      <w:pPr>
        <w:widowControl w:val="0"/>
        <w:numPr>
          <w:ilvl w:val="1"/>
          <w:numId w:val="718"/>
        </w:numPr>
        <w:tabs>
          <w:tab w:val="clear" w:pos="3977"/>
          <w:tab w:val="left" w:pos="709"/>
          <w:tab w:val="left" w:pos="993"/>
          <w:tab w:val="num" w:pos="1425"/>
          <w:tab w:val="num" w:pos="2069"/>
        </w:tabs>
        <w:spacing w:before="120" w:after="120" w:line="240" w:lineRule="auto"/>
        <w:ind w:left="426" w:firstLine="0"/>
        <w:jc w:val="both"/>
        <w:rPr>
          <w:rFonts w:ascii="Times New Roman" w:eastAsia="Times New Roman" w:hAnsi="Times New Roman" w:cs="Times New Roman"/>
          <w:lang w:eastAsia="hu-HU"/>
        </w:rPr>
      </w:pPr>
      <w:r w:rsidRPr="006F6E71">
        <w:rPr>
          <w:rFonts w:ascii="Times New Roman" w:eastAsia="Times New Roman" w:hAnsi="Times New Roman" w:cs="Times New Roman"/>
          <w:b/>
          <w:lang w:eastAsia="hu-HU"/>
        </w:rPr>
        <w:t>Az aláírás megszerzésének feltételei:</w:t>
      </w:r>
      <w:r w:rsidRPr="006F6E71">
        <w:rPr>
          <w:rFonts w:ascii="Times New Roman" w:eastAsia="Times New Roman" w:hAnsi="Times New Roman" w:cs="Times New Roman"/>
          <w:lang w:eastAsia="hu-HU"/>
        </w:rPr>
        <w:t xml:space="preserve"> </w:t>
      </w:r>
      <w:r w:rsidRPr="006F6E71">
        <w:rPr>
          <w:rFonts w:ascii="Times New Roman" w:eastAsia="Times New Roman" w:hAnsi="Times New Roman" w:cs="Times New Roman"/>
          <w:bCs/>
          <w:lang w:eastAsia="hu-HU"/>
        </w:rPr>
        <w:t>Az aláírás megszerzésének feltétele a 14. pontban meghatározott arányú részvétel a foglalkozásokon és a 15. pontban meghatározott félévközi feladatok legalább elégséges teljesítése.</w:t>
      </w:r>
    </w:p>
    <w:p w:rsidR="006F6E71" w:rsidRPr="006F6E71" w:rsidRDefault="006F6E71" w:rsidP="00980876">
      <w:pPr>
        <w:widowControl w:val="0"/>
        <w:numPr>
          <w:ilvl w:val="1"/>
          <w:numId w:val="718"/>
        </w:numPr>
        <w:tabs>
          <w:tab w:val="clear" w:pos="3977"/>
          <w:tab w:val="left" w:pos="709"/>
          <w:tab w:val="left" w:pos="993"/>
          <w:tab w:val="num" w:pos="1425"/>
          <w:tab w:val="num" w:pos="2069"/>
        </w:tabs>
        <w:spacing w:before="120" w:after="120" w:line="240" w:lineRule="auto"/>
        <w:ind w:left="426" w:firstLine="0"/>
        <w:jc w:val="both"/>
        <w:rPr>
          <w:rFonts w:ascii="Times New Roman" w:eastAsia="Times New Roman" w:hAnsi="Times New Roman" w:cs="Times New Roman"/>
          <w:lang w:eastAsia="hu-HU"/>
        </w:rPr>
      </w:pPr>
      <w:r w:rsidRPr="006F6E71">
        <w:rPr>
          <w:rFonts w:ascii="Times New Roman" w:eastAsia="Times New Roman" w:hAnsi="Times New Roman" w:cs="Times New Roman"/>
          <w:b/>
          <w:lang w:eastAsia="hu-HU"/>
        </w:rPr>
        <w:t>Az értékelés:</w:t>
      </w:r>
      <w:r w:rsidRPr="006F6E71">
        <w:rPr>
          <w:rFonts w:ascii="Times New Roman" w:eastAsia="Times New Roman" w:hAnsi="Times New Roman" w:cs="Times New Roman"/>
          <w:lang w:eastAsia="hu-HU"/>
        </w:rPr>
        <w:t xml:space="preserve"> évközi értékelés, ötfokozatú értékelés.</w:t>
      </w:r>
      <w:r w:rsidRPr="006F6E71">
        <w:rPr>
          <w:rFonts w:ascii="Times New Roman" w:eastAsia="Times New Roman" w:hAnsi="Times New Roman" w:cs="Times New Roman"/>
          <w:bCs/>
          <w:lang w:eastAsia="hu-HU"/>
        </w:rPr>
        <w:t xml:space="preserve"> Az évközi értékelést az elért eredmények kerekített matematikai átlaga képezi.</w:t>
      </w:r>
    </w:p>
    <w:p w:rsidR="006F6E71" w:rsidRPr="006F6E71" w:rsidRDefault="006F6E71" w:rsidP="00980876">
      <w:pPr>
        <w:widowControl w:val="0"/>
        <w:numPr>
          <w:ilvl w:val="1"/>
          <w:numId w:val="718"/>
        </w:numPr>
        <w:tabs>
          <w:tab w:val="clear" w:pos="3977"/>
          <w:tab w:val="left" w:pos="709"/>
          <w:tab w:val="left" w:pos="993"/>
          <w:tab w:val="num" w:pos="1425"/>
          <w:tab w:val="num" w:pos="2069"/>
        </w:tabs>
        <w:spacing w:before="120" w:after="120" w:line="240" w:lineRule="auto"/>
        <w:ind w:left="426" w:firstLine="0"/>
        <w:jc w:val="both"/>
        <w:rPr>
          <w:rFonts w:ascii="Times New Roman" w:eastAsia="Times New Roman" w:hAnsi="Times New Roman" w:cs="Times New Roman"/>
          <w:lang w:eastAsia="hu-HU"/>
        </w:rPr>
      </w:pPr>
      <w:r w:rsidRPr="006F6E71">
        <w:rPr>
          <w:rFonts w:ascii="Times New Roman" w:eastAsia="Times New Roman" w:hAnsi="Times New Roman" w:cs="Times New Roman"/>
          <w:b/>
          <w:lang w:eastAsia="hu-HU"/>
        </w:rPr>
        <w:t>A kreditek megszerzésének feltételei:</w:t>
      </w:r>
      <w:r w:rsidRPr="006F6E71">
        <w:rPr>
          <w:rFonts w:ascii="Times New Roman" w:eastAsia="Times New Roman" w:hAnsi="Times New Roman" w:cs="Times New Roman"/>
          <w:lang w:eastAsia="hu-HU"/>
        </w:rPr>
        <w:t xml:space="preserve"> az aláírás megszerzése és legalább elégséges</w:t>
      </w:r>
      <w:r w:rsidRPr="006F6E71">
        <w:rPr>
          <w:rFonts w:ascii="Times New Roman" w:eastAsia="Times New Roman" w:hAnsi="Times New Roman" w:cs="Times New Roman"/>
          <w:b/>
          <w:lang w:eastAsia="hu-HU"/>
        </w:rPr>
        <w:t xml:space="preserve"> </w:t>
      </w:r>
      <w:r w:rsidRPr="006F6E71">
        <w:rPr>
          <w:rFonts w:ascii="Times New Roman" w:eastAsia="Times New Roman" w:hAnsi="Times New Roman" w:cs="Times New Roman"/>
          <w:lang w:eastAsia="hu-HU"/>
        </w:rPr>
        <w:t>évközi értékelés</w:t>
      </w:r>
      <w:r w:rsidRPr="006F6E71">
        <w:rPr>
          <w:rFonts w:ascii="Times New Roman" w:eastAsia="Times New Roman" w:hAnsi="Times New Roman" w:cs="Times New Roman"/>
          <w:bCs/>
          <w:lang w:eastAsia="hu-HU"/>
        </w:rPr>
        <w:t>.</w:t>
      </w:r>
    </w:p>
    <w:p w:rsidR="006F6E71" w:rsidRPr="006F6E71" w:rsidRDefault="006F6E71" w:rsidP="00980876">
      <w:pPr>
        <w:numPr>
          <w:ilvl w:val="0"/>
          <w:numId w:val="718"/>
        </w:numPr>
        <w:tabs>
          <w:tab w:val="clear" w:pos="720"/>
          <w:tab w:val="num" w:pos="426"/>
          <w:tab w:val="num" w:pos="644"/>
        </w:tabs>
        <w:spacing w:before="120" w:after="0" w:line="240" w:lineRule="auto"/>
        <w:ind w:left="426" w:hanging="142"/>
        <w:jc w:val="both"/>
        <w:rPr>
          <w:rFonts w:ascii="Times New Roman" w:eastAsia="Times New Roman" w:hAnsi="Times New Roman" w:cs="Times New Roman"/>
          <w:b/>
          <w:lang w:eastAsia="hu-HU"/>
        </w:rPr>
      </w:pPr>
      <w:r w:rsidRPr="006F6E71">
        <w:rPr>
          <w:rFonts w:ascii="Times New Roman" w:eastAsia="Times New Roman" w:hAnsi="Times New Roman" w:cs="Times New Roman"/>
          <w:b/>
          <w:lang w:eastAsia="hu-HU"/>
        </w:rPr>
        <w:t>Irodalomjegyzék (magyarul, angolul):</w:t>
      </w:r>
    </w:p>
    <w:p w:rsidR="006F6E71" w:rsidRPr="006F6E71" w:rsidRDefault="006F6E71" w:rsidP="00980876">
      <w:pPr>
        <w:numPr>
          <w:ilvl w:val="1"/>
          <w:numId w:val="718"/>
        </w:numPr>
        <w:tabs>
          <w:tab w:val="clear" w:pos="3977"/>
          <w:tab w:val="left" w:pos="1134"/>
          <w:tab w:val="num" w:pos="1425"/>
        </w:tabs>
        <w:spacing w:before="120" w:after="0" w:line="240" w:lineRule="auto"/>
        <w:ind w:left="568" w:firstLine="0"/>
        <w:jc w:val="both"/>
        <w:rPr>
          <w:rFonts w:ascii="Times New Roman" w:eastAsia="Times New Roman" w:hAnsi="Times New Roman" w:cs="Times New Roman"/>
          <w:b/>
          <w:lang w:eastAsia="hu-HU"/>
        </w:rPr>
      </w:pPr>
      <w:r w:rsidRPr="006F6E71">
        <w:rPr>
          <w:rFonts w:ascii="Times New Roman" w:eastAsia="Times New Roman" w:hAnsi="Times New Roman" w:cs="Times New Roman"/>
          <w:b/>
          <w:lang w:eastAsia="hu-HU"/>
        </w:rPr>
        <w:t>Kötelező irodalom:</w:t>
      </w:r>
    </w:p>
    <w:p w:rsidR="006F6E71" w:rsidRPr="006F6E71" w:rsidRDefault="006F6E71" w:rsidP="00980876">
      <w:pPr>
        <w:numPr>
          <w:ilvl w:val="0"/>
          <w:numId w:val="719"/>
        </w:numPr>
        <w:spacing w:after="0" w:line="240" w:lineRule="auto"/>
        <w:ind w:left="1134" w:hanging="425"/>
        <w:jc w:val="both"/>
        <w:rPr>
          <w:rFonts w:ascii="Times New Roman" w:eastAsia="Times New Roman" w:hAnsi="Times New Roman" w:cs="Times New Roman"/>
          <w:lang w:eastAsia="hu-HU"/>
        </w:rPr>
      </w:pPr>
      <w:r w:rsidRPr="006F6E71">
        <w:rPr>
          <w:rFonts w:ascii="Times New Roman" w:eastAsia="Times New Roman" w:hAnsi="Times New Roman" w:cs="Times New Roman"/>
          <w:lang w:eastAsia="hu-HU"/>
        </w:rPr>
        <w:t xml:space="preserve">84 mm RCL Carl-Gustaf M4, Karbantartó egység működési leírása (1603 - 301398798) </w:t>
      </w:r>
    </w:p>
    <w:p w:rsidR="006F6E71" w:rsidRPr="006F6E71" w:rsidRDefault="006F6E71" w:rsidP="00980876">
      <w:pPr>
        <w:numPr>
          <w:ilvl w:val="0"/>
          <w:numId w:val="719"/>
        </w:numPr>
        <w:spacing w:after="0" w:line="240" w:lineRule="auto"/>
        <w:ind w:left="1134" w:hanging="425"/>
        <w:jc w:val="both"/>
        <w:rPr>
          <w:rFonts w:ascii="Times New Roman" w:eastAsia="Times New Roman" w:hAnsi="Times New Roman" w:cs="Times New Roman"/>
          <w:lang w:eastAsia="hu-HU"/>
        </w:rPr>
      </w:pPr>
      <w:r w:rsidRPr="006F6E71">
        <w:rPr>
          <w:rFonts w:ascii="Times New Roman" w:eastAsia="Times New Roman" w:hAnsi="Times New Roman" w:cs="Times New Roman"/>
          <w:lang w:eastAsia="hu-HU"/>
        </w:rPr>
        <w:t>84 mm RCL Carl-Gustaf M4, Karbantartási szabályzata (1603 - 301398797)</w:t>
      </w:r>
    </w:p>
    <w:p w:rsidR="006F6E71" w:rsidRPr="006F6E71" w:rsidRDefault="006F6E71" w:rsidP="00980876">
      <w:pPr>
        <w:numPr>
          <w:ilvl w:val="0"/>
          <w:numId w:val="719"/>
        </w:numPr>
        <w:spacing w:after="0" w:line="240" w:lineRule="auto"/>
        <w:ind w:left="1134" w:hanging="425"/>
        <w:jc w:val="both"/>
        <w:rPr>
          <w:rFonts w:ascii="Times New Roman" w:eastAsia="Times New Roman" w:hAnsi="Times New Roman" w:cs="Times New Roman"/>
          <w:lang w:eastAsia="hu-HU"/>
        </w:rPr>
      </w:pPr>
      <w:r w:rsidRPr="006F6E71">
        <w:rPr>
          <w:rFonts w:ascii="Times New Roman" w:eastAsia="Times New Roman" w:hAnsi="Times New Roman" w:cs="Times New Roman"/>
          <w:lang w:eastAsia="hu-HU"/>
        </w:rPr>
        <w:lastRenderedPageBreak/>
        <w:t>84 mm RCL Carl-Gustaf M4, Kezelési leírása (1603 - 301398799)</w:t>
      </w:r>
    </w:p>
    <w:p w:rsidR="006F6E71" w:rsidRPr="006F6E71" w:rsidRDefault="006F6E71" w:rsidP="00980876">
      <w:pPr>
        <w:numPr>
          <w:ilvl w:val="0"/>
          <w:numId w:val="719"/>
        </w:numPr>
        <w:spacing w:after="0" w:line="240" w:lineRule="auto"/>
        <w:ind w:left="1134" w:hanging="425"/>
        <w:jc w:val="both"/>
        <w:rPr>
          <w:rFonts w:ascii="Times New Roman" w:eastAsia="Times New Roman" w:hAnsi="Times New Roman" w:cs="Times New Roman"/>
          <w:lang w:eastAsia="hu-HU"/>
        </w:rPr>
      </w:pPr>
      <w:r w:rsidRPr="006F6E71">
        <w:rPr>
          <w:rFonts w:ascii="Times New Roman" w:eastAsia="Times New Roman" w:hAnsi="Times New Roman" w:cs="Times New Roman"/>
          <w:lang w:eastAsia="hu-HU"/>
        </w:rPr>
        <w:t>Ált/82 Szakutasítás a szakaszosan üzemelő és a tárolt fegyverzeti és technikai eszközök HM kiadvány</w:t>
      </w:r>
    </w:p>
    <w:p w:rsidR="006F6E71" w:rsidRPr="006F6E71" w:rsidRDefault="006F6E71" w:rsidP="00980876">
      <w:pPr>
        <w:numPr>
          <w:ilvl w:val="0"/>
          <w:numId w:val="719"/>
        </w:numPr>
        <w:spacing w:after="0" w:line="240" w:lineRule="auto"/>
        <w:ind w:left="1134" w:hanging="425"/>
        <w:jc w:val="both"/>
        <w:rPr>
          <w:rFonts w:ascii="Times New Roman" w:eastAsia="Times New Roman" w:hAnsi="Times New Roman" w:cs="Times New Roman"/>
          <w:lang w:eastAsia="hu-HU"/>
        </w:rPr>
      </w:pPr>
      <w:r w:rsidRPr="006F6E71">
        <w:rPr>
          <w:rFonts w:ascii="Times New Roman" w:eastAsia="Times New Roman" w:hAnsi="Times New Roman" w:cs="Times New Roman"/>
          <w:lang w:eastAsia="hu-HU"/>
        </w:rPr>
        <w:t>Löfe/116 9P135 2 TESZ végrehajtási szakutasítás. HM kiadvány</w:t>
      </w:r>
    </w:p>
    <w:p w:rsidR="006F6E71" w:rsidRPr="006F6E71" w:rsidRDefault="006F6E71" w:rsidP="00980876">
      <w:pPr>
        <w:numPr>
          <w:ilvl w:val="1"/>
          <w:numId w:val="718"/>
        </w:numPr>
        <w:tabs>
          <w:tab w:val="clear" w:pos="3977"/>
          <w:tab w:val="left" w:pos="1134"/>
          <w:tab w:val="num" w:pos="1425"/>
        </w:tabs>
        <w:spacing w:before="120" w:after="0" w:line="240" w:lineRule="auto"/>
        <w:ind w:left="568" w:firstLine="0"/>
        <w:jc w:val="both"/>
        <w:rPr>
          <w:rFonts w:ascii="Times New Roman" w:eastAsia="Times New Roman" w:hAnsi="Times New Roman" w:cs="Times New Roman"/>
          <w:b/>
          <w:lang w:eastAsia="hu-HU"/>
        </w:rPr>
      </w:pPr>
      <w:r w:rsidRPr="006F6E71">
        <w:rPr>
          <w:rFonts w:ascii="Times New Roman" w:eastAsia="Times New Roman" w:hAnsi="Times New Roman" w:cs="Times New Roman"/>
          <w:b/>
          <w:lang w:eastAsia="hu-HU"/>
        </w:rPr>
        <w:t xml:space="preserve"> Ajánlott irodalom:</w:t>
      </w:r>
    </w:p>
    <w:p w:rsidR="006F6E71" w:rsidRPr="006F6E71" w:rsidRDefault="006F6E71" w:rsidP="00980876">
      <w:pPr>
        <w:numPr>
          <w:ilvl w:val="0"/>
          <w:numId w:val="720"/>
        </w:numPr>
        <w:spacing w:after="0" w:line="240" w:lineRule="auto"/>
        <w:ind w:left="1134" w:hanging="425"/>
        <w:jc w:val="both"/>
        <w:rPr>
          <w:rFonts w:ascii="Times New Roman" w:eastAsia="Times New Roman" w:hAnsi="Times New Roman" w:cs="Times New Roman"/>
          <w:lang w:eastAsia="hu-HU"/>
        </w:rPr>
      </w:pPr>
      <w:r w:rsidRPr="006F6E71">
        <w:rPr>
          <w:rFonts w:ascii="Times New Roman" w:eastAsia="Times New Roman" w:hAnsi="Times New Roman" w:cs="Times New Roman"/>
          <w:lang w:eastAsia="hu-HU"/>
        </w:rPr>
        <w:t>Tüfe/173 9P148 Indítóállvány műszaki leírása. HM kiadvány.</w:t>
      </w:r>
    </w:p>
    <w:p w:rsidR="006F6E71" w:rsidRPr="006F6E71" w:rsidRDefault="006F6E71" w:rsidP="00980876">
      <w:pPr>
        <w:numPr>
          <w:ilvl w:val="0"/>
          <w:numId w:val="720"/>
        </w:numPr>
        <w:spacing w:after="0" w:line="240" w:lineRule="auto"/>
        <w:ind w:left="1134" w:hanging="425"/>
        <w:jc w:val="both"/>
        <w:rPr>
          <w:rFonts w:ascii="Times New Roman" w:eastAsia="Times New Roman" w:hAnsi="Times New Roman" w:cs="Times New Roman"/>
          <w:lang w:eastAsia="hu-HU"/>
        </w:rPr>
      </w:pPr>
      <w:r w:rsidRPr="006F6E71">
        <w:rPr>
          <w:rFonts w:ascii="Times New Roman" w:eastAsia="Times New Roman" w:hAnsi="Times New Roman" w:cs="Times New Roman"/>
          <w:lang w:eastAsia="hu-HU"/>
        </w:rPr>
        <w:t>Tüfe/412 9P148 Indítóállvány üzemeltetési utasítása. HM kiadvány</w:t>
      </w:r>
    </w:p>
    <w:p w:rsidR="006F6E71" w:rsidRPr="006F6E71" w:rsidRDefault="006F6E71" w:rsidP="00980876">
      <w:pPr>
        <w:numPr>
          <w:ilvl w:val="0"/>
          <w:numId w:val="720"/>
        </w:numPr>
        <w:spacing w:after="0" w:line="240" w:lineRule="auto"/>
        <w:ind w:left="1134" w:hanging="425"/>
        <w:jc w:val="both"/>
        <w:rPr>
          <w:rFonts w:ascii="Times New Roman" w:eastAsia="Times New Roman" w:hAnsi="Times New Roman" w:cs="Times New Roman"/>
          <w:lang w:eastAsia="hu-HU"/>
        </w:rPr>
      </w:pPr>
      <w:r w:rsidRPr="006F6E71">
        <w:rPr>
          <w:rFonts w:ascii="Times New Roman" w:eastAsia="Times New Roman" w:hAnsi="Times New Roman" w:cs="Times New Roman"/>
          <w:lang w:eastAsia="hu-HU"/>
        </w:rPr>
        <w:t>Tüfe/174 9P148 Indítóállvány műszaki leírása. Ábraalbum. HM kiadvány</w:t>
      </w:r>
    </w:p>
    <w:p w:rsidR="006F6E71" w:rsidRPr="006F6E71" w:rsidRDefault="006F6E71" w:rsidP="006F6E71">
      <w:pPr>
        <w:tabs>
          <w:tab w:val="right" w:pos="720"/>
          <w:tab w:val="center" w:pos="4819"/>
        </w:tabs>
        <w:spacing w:before="120" w:after="120" w:line="240" w:lineRule="auto"/>
        <w:ind w:left="646"/>
        <w:jc w:val="both"/>
        <w:rPr>
          <w:rFonts w:ascii="Times New Roman" w:eastAsia="Times New Roman" w:hAnsi="Times New Roman" w:cs="Times New Roman"/>
          <w:lang w:eastAsia="hu-HU"/>
        </w:rPr>
      </w:pPr>
    </w:p>
    <w:p w:rsidR="006F6E71" w:rsidRPr="006F6E71" w:rsidRDefault="006F6E71" w:rsidP="00371276">
      <w:pPr>
        <w:spacing w:before="120" w:after="0" w:line="240" w:lineRule="auto"/>
        <w:ind w:firstLine="708"/>
        <w:jc w:val="both"/>
        <w:rPr>
          <w:rFonts w:ascii="Times New Roman" w:eastAsia="Times New Roman" w:hAnsi="Times New Roman" w:cs="Times New Roman"/>
          <w:lang w:eastAsia="hu-HU"/>
        </w:rPr>
      </w:pPr>
      <w:r w:rsidRPr="006F6E71">
        <w:rPr>
          <w:rFonts w:ascii="Times New Roman" w:eastAsia="Times New Roman" w:hAnsi="Times New Roman" w:cs="Times New Roman"/>
          <w:lang w:eastAsia="hu-HU"/>
        </w:rPr>
        <w:t>Budapest, 2020. február 15.</w:t>
      </w:r>
    </w:p>
    <w:p w:rsidR="006F6E71" w:rsidRPr="006F6E71" w:rsidRDefault="006F6E71" w:rsidP="006F6E71">
      <w:pPr>
        <w:spacing w:before="120" w:after="0" w:line="240" w:lineRule="auto"/>
        <w:jc w:val="both"/>
        <w:rPr>
          <w:rFonts w:ascii="Times New Roman" w:eastAsia="Times New Roman" w:hAnsi="Times New Roman" w:cs="Times New Roman"/>
          <w:lang w:eastAsia="hu-HU"/>
        </w:rPr>
      </w:pPr>
    </w:p>
    <w:p w:rsidR="006F6E71" w:rsidRPr="00371276" w:rsidRDefault="006F6E71" w:rsidP="006F6E71">
      <w:pPr>
        <w:tabs>
          <w:tab w:val="center" w:pos="7371"/>
        </w:tabs>
        <w:spacing w:after="0" w:line="240" w:lineRule="auto"/>
        <w:jc w:val="both"/>
        <w:rPr>
          <w:rFonts w:ascii="Times New Roman" w:eastAsia="Times New Roman" w:hAnsi="Times New Roman" w:cs="Times New Roman"/>
          <w:b/>
          <w:lang w:eastAsia="hu-HU"/>
        </w:rPr>
      </w:pPr>
      <w:r w:rsidRPr="00371276">
        <w:rPr>
          <w:rFonts w:ascii="Times New Roman" w:eastAsia="Times New Roman" w:hAnsi="Times New Roman" w:cs="Times New Roman"/>
          <w:b/>
          <w:lang w:eastAsia="hu-HU"/>
        </w:rPr>
        <w:tab/>
        <w:t>Dr. Gyarmati József alezredes PhD</w:t>
      </w:r>
    </w:p>
    <w:p w:rsidR="006F6E71" w:rsidRPr="006F6E71" w:rsidRDefault="006F6E71" w:rsidP="006F6E71">
      <w:pPr>
        <w:tabs>
          <w:tab w:val="center" w:pos="7371"/>
        </w:tabs>
        <w:spacing w:after="0" w:line="240" w:lineRule="auto"/>
        <w:jc w:val="both"/>
        <w:rPr>
          <w:rFonts w:ascii="Times New Roman" w:eastAsia="Times New Roman" w:hAnsi="Times New Roman" w:cs="Times New Roman"/>
          <w:lang w:eastAsia="hu-HU"/>
        </w:rPr>
      </w:pPr>
      <w:r w:rsidRPr="006F6E71">
        <w:rPr>
          <w:rFonts w:ascii="Times New Roman" w:eastAsia="Times New Roman" w:hAnsi="Times New Roman" w:cs="Times New Roman"/>
          <w:lang w:eastAsia="hu-HU"/>
        </w:rPr>
        <w:tab/>
        <w:t>egyetemi docens,</w:t>
      </w:r>
      <w:r w:rsidR="00FC1CD9">
        <w:rPr>
          <w:rFonts w:ascii="Times New Roman" w:eastAsia="Times New Roman" w:hAnsi="Times New Roman" w:cs="Times New Roman"/>
          <w:lang w:eastAsia="hu-HU"/>
        </w:rPr>
        <w:t xml:space="preserve"> sk.</w:t>
      </w:r>
    </w:p>
    <w:p w:rsidR="006F6E71" w:rsidRDefault="006F6E71">
      <w:pPr>
        <w:spacing w:after="200" w:line="276" w:lineRule="auto"/>
        <w:rPr>
          <w:rFonts w:ascii="Times New Roman" w:hAnsi="Times New Roman" w:cs="Times New Roman"/>
          <w:b/>
          <w:sz w:val="24"/>
        </w:rPr>
      </w:pPr>
      <w:r>
        <w:rPr>
          <w:rFonts w:ascii="Times New Roman" w:hAnsi="Times New Roman" w:cs="Times New Roman"/>
          <w:b/>
          <w:sz w:val="24"/>
        </w:rPr>
        <w:br w:type="page"/>
      </w:r>
    </w:p>
    <w:tbl>
      <w:tblPr>
        <w:tblW w:w="9072" w:type="dxa"/>
        <w:tblInd w:w="113" w:type="dxa"/>
        <w:tblLook w:val="01E0" w:firstRow="1" w:lastRow="1" w:firstColumn="1" w:lastColumn="1" w:noHBand="0" w:noVBand="0"/>
      </w:tblPr>
      <w:tblGrid>
        <w:gridCol w:w="4855"/>
        <w:gridCol w:w="1620"/>
        <w:gridCol w:w="2597"/>
      </w:tblGrid>
      <w:tr w:rsidR="00371276" w:rsidRPr="00371276" w:rsidTr="003D1876">
        <w:tc>
          <w:tcPr>
            <w:tcW w:w="4855" w:type="dxa"/>
            <w:tcBorders>
              <w:top w:val="nil"/>
              <w:left w:val="nil"/>
              <w:bottom w:val="single" w:sz="4" w:space="0" w:color="auto"/>
              <w:right w:val="nil"/>
            </w:tcBorders>
            <w:hideMark/>
          </w:tcPr>
          <w:p w:rsidR="00371276" w:rsidRPr="00371276" w:rsidRDefault="00371276" w:rsidP="00371276">
            <w:pPr>
              <w:spacing w:after="0" w:line="240" w:lineRule="auto"/>
              <w:jc w:val="center"/>
              <w:rPr>
                <w:rFonts w:ascii="Times New Roman" w:eastAsia="Times New Roman" w:hAnsi="Times New Roman" w:cs="Times New Roman"/>
                <w:b/>
                <w:smallCaps/>
                <w:lang w:eastAsia="hu-HU"/>
              </w:rPr>
            </w:pPr>
            <w:r w:rsidRPr="00371276">
              <w:rPr>
                <w:rFonts w:ascii="Times New Roman" w:eastAsia="Times New Roman" w:hAnsi="Times New Roman" w:cs="Times New Roman"/>
                <w:b/>
                <w:smallCaps/>
                <w:lang w:eastAsia="hu-HU"/>
              </w:rPr>
              <w:lastRenderedPageBreak/>
              <w:t>Nemzeti Közszolgálati Egyetem</w:t>
            </w:r>
          </w:p>
        </w:tc>
        <w:tc>
          <w:tcPr>
            <w:tcW w:w="1620" w:type="dxa"/>
          </w:tcPr>
          <w:p w:rsidR="00371276" w:rsidRPr="00371276" w:rsidRDefault="00371276" w:rsidP="00371276">
            <w:pPr>
              <w:spacing w:after="0" w:line="240" w:lineRule="auto"/>
              <w:jc w:val="both"/>
              <w:rPr>
                <w:rFonts w:ascii="Times New Roman" w:eastAsia="Times New Roman" w:hAnsi="Times New Roman" w:cs="Times New Roman"/>
                <w:lang w:eastAsia="hu-HU"/>
              </w:rPr>
            </w:pPr>
          </w:p>
        </w:tc>
        <w:tc>
          <w:tcPr>
            <w:tcW w:w="2597" w:type="dxa"/>
          </w:tcPr>
          <w:p w:rsidR="00371276" w:rsidRPr="00371276" w:rsidRDefault="00371276" w:rsidP="00371276">
            <w:pPr>
              <w:spacing w:after="0" w:line="240" w:lineRule="auto"/>
              <w:jc w:val="right"/>
              <w:rPr>
                <w:rFonts w:ascii="Times New Roman" w:eastAsia="Times New Roman" w:hAnsi="Times New Roman" w:cs="Times New Roman"/>
                <w:lang w:eastAsia="hu-HU"/>
              </w:rPr>
            </w:pPr>
          </w:p>
        </w:tc>
      </w:tr>
      <w:tr w:rsidR="00371276" w:rsidRPr="00371276" w:rsidTr="003D1876">
        <w:tc>
          <w:tcPr>
            <w:tcW w:w="4855" w:type="dxa"/>
            <w:tcBorders>
              <w:top w:val="single" w:sz="4" w:space="0" w:color="auto"/>
              <w:left w:val="nil"/>
              <w:bottom w:val="nil"/>
              <w:right w:val="nil"/>
            </w:tcBorders>
            <w:hideMark/>
          </w:tcPr>
          <w:p w:rsidR="00371276" w:rsidRPr="00371276" w:rsidRDefault="00371276" w:rsidP="00371276">
            <w:pPr>
              <w:spacing w:after="0" w:line="240" w:lineRule="auto"/>
              <w:jc w:val="center"/>
              <w:rPr>
                <w:rFonts w:ascii="Times New Roman" w:eastAsia="Times New Roman" w:hAnsi="Times New Roman" w:cs="Times New Roman"/>
                <w:b/>
                <w:lang w:eastAsia="hu-HU"/>
              </w:rPr>
            </w:pPr>
            <w:r w:rsidRPr="00371276">
              <w:rPr>
                <w:rFonts w:ascii="Times New Roman" w:eastAsia="Times New Roman" w:hAnsi="Times New Roman" w:cs="Times New Roman"/>
                <w:b/>
                <w:lang w:eastAsia="hu-HU"/>
              </w:rPr>
              <w:t>Hadtudományi és Honvédtisztképző Kar</w:t>
            </w:r>
          </w:p>
        </w:tc>
        <w:tc>
          <w:tcPr>
            <w:tcW w:w="1620" w:type="dxa"/>
          </w:tcPr>
          <w:p w:rsidR="00371276" w:rsidRPr="00371276" w:rsidRDefault="00371276" w:rsidP="00371276">
            <w:pPr>
              <w:spacing w:after="0" w:line="240" w:lineRule="auto"/>
              <w:jc w:val="both"/>
              <w:rPr>
                <w:rFonts w:ascii="Times New Roman" w:eastAsia="Times New Roman" w:hAnsi="Times New Roman" w:cs="Times New Roman"/>
                <w:lang w:eastAsia="hu-HU"/>
              </w:rPr>
            </w:pPr>
          </w:p>
        </w:tc>
        <w:tc>
          <w:tcPr>
            <w:tcW w:w="2597" w:type="dxa"/>
          </w:tcPr>
          <w:p w:rsidR="00371276" w:rsidRPr="00371276" w:rsidRDefault="00371276" w:rsidP="00371276">
            <w:pPr>
              <w:spacing w:after="0" w:line="240" w:lineRule="auto"/>
              <w:jc w:val="both"/>
              <w:rPr>
                <w:rFonts w:ascii="Times New Roman" w:eastAsia="Times New Roman" w:hAnsi="Times New Roman" w:cs="Times New Roman"/>
                <w:lang w:eastAsia="hu-HU"/>
              </w:rPr>
            </w:pPr>
          </w:p>
        </w:tc>
      </w:tr>
    </w:tbl>
    <w:p w:rsidR="00371276" w:rsidRPr="00371276" w:rsidRDefault="00371276" w:rsidP="00371276">
      <w:pPr>
        <w:tabs>
          <w:tab w:val="right" w:pos="0"/>
          <w:tab w:val="center" w:pos="4819"/>
          <w:tab w:val="right" w:pos="9071"/>
        </w:tabs>
        <w:spacing w:after="0" w:line="240" w:lineRule="auto"/>
        <w:jc w:val="both"/>
        <w:rPr>
          <w:rFonts w:ascii="Times New Roman" w:eastAsia="Times New Roman" w:hAnsi="Times New Roman" w:cs="Times New Roman"/>
          <w:bCs/>
          <w:lang w:val="en-GB" w:eastAsia="hu-HU"/>
        </w:rPr>
      </w:pPr>
    </w:p>
    <w:p w:rsidR="00371276" w:rsidRPr="00371276" w:rsidRDefault="00371276" w:rsidP="00371276">
      <w:pPr>
        <w:spacing w:after="0" w:line="240" w:lineRule="auto"/>
        <w:jc w:val="center"/>
        <w:rPr>
          <w:rFonts w:ascii="Times New Roman" w:eastAsia="Times New Roman" w:hAnsi="Times New Roman" w:cs="Times New Roman"/>
          <w:b/>
          <w:bCs/>
          <w:lang w:eastAsia="hu-HU"/>
        </w:rPr>
      </w:pPr>
      <w:r w:rsidRPr="00371276">
        <w:rPr>
          <w:rFonts w:ascii="Times New Roman" w:eastAsia="Times New Roman" w:hAnsi="Times New Roman" w:cs="Times New Roman"/>
          <w:b/>
          <w:bCs/>
          <w:lang w:eastAsia="hu-HU"/>
        </w:rPr>
        <w:t>TANTÁRGYI PROGRAM</w:t>
      </w:r>
    </w:p>
    <w:p w:rsidR="00371276" w:rsidRPr="00371276" w:rsidRDefault="00371276" w:rsidP="00980876">
      <w:pPr>
        <w:numPr>
          <w:ilvl w:val="0"/>
          <w:numId w:val="723"/>
        </w:numPr>
        <w:tabs>
          <w:tab w:val="clear" w:pos="720"/>
          <w:tab w:val="right" w:pos="900"/>
          <w:tab w:val="center" w:pos="4536"/>
          <w:tab w:val="right" w:pos="9071"/>
        </w:tabs>
        <w:spacing w:before="120" w:after="0" w:line="240" w:lineRule="auto"/>
        <w:ind w:left="426" w:hanging="142"/>
        <w:jc w:val="both"/>
        <w:rPr>
          <w:rFonts w:ascii="Times New Roman" w:eastAsia="Times New Roman" w:hAnsi="Times New Roman" w:cs="Times New Roman"/>
          <w:b/>
          <w:bCs/>
          <w:lang w:eastAsia="hu-HU"/>
        </w:rPr>
      </w:pPr>
      <w:r w:rsidRPr="00371276">
        <w:rPr>
          <w:rFonts w:ascii="Times New Roman" w:eastAsia="Times New Roman" w:hAnsi="Times New Roman" w:cs="Times New Roman"/>
          <w:b/>
          <w:bCs/>
          <w:lang w:eastAsia="hu-HU"/>
        </w:rPr>
        <w:t xml:space="preserve">A tantárgy kódja: </w:t>
      </w:r>
      <w:r w:rsidRPr="00371276">
        <w:rPr>
          <w:rFonts w:ascii="Times New Roman" w:eastAsia="Times New Roman" w:hAnsi="Times New Roman" w:cs="Times New Roman"/>
          <w:bCs/>
          <w:lang w:eastAsia="hu-HU"/>
        </w:rPr>
        <w:t>HKHDTA29</w:t>
      </w:r>
    </w:p>
    <w:p w:rsidR="00371276" w:rsidRPr="00371276" w:rsidRDefault="00371276" w:rsidP="00980876">
      <w:pPr>
        <w:numPr>
          <w:ilvl w:val="0"/>
          <w:numId w:val="723"/>
        </w:numPr>
        <w:tabs>
          <w:tab w:val="clear" w:pos="720"/>
          <w:tab w:val="right" w:pos="900"/>
          <w:tab w:val="center" w:pos="4536"/>
          <w:tab w:val="right" w:pos="9071"/>
        </w:tabs>
        <w:spacing w:before="120" w:after="0" w:line="240" w:lineRule="auto"/>
        <w:ind w:left="426" w:hanging="142"/>
        <w:jc w:val="both"/>
        <w:rPr>
          <w:rFonts w:ascii="Times New Roman" w:eastAsia="Times New Roman" w:hAnsi="Times New Roman" w:cs="Times New Roman"/>
          <w:bCs/>
          <w:lang w:eastAsia="hu-HU"/>
        </w:rPr>
      </w:pPr>
      <w:r w:rsidRPr="00371276">
        <w:rPr>
          <w:rFonts w:ascii="Times New Roman" w:eastAsia="Times New Roman" w:hAnsi="Times New Roman" w:cs="Times New Roman"/>
          <w:b/>
          <w:bCs/>
          <w:lang w:eastAsia="hu-HU"/>
        </w:rPr>
        <w:t xml:space="preserve">A tantárgy megnevezése (magyarul): </w:t>
      </w:r>
      <w:r w:rsidRPr="00371276">
        <w:rPr>
          <w:rFonts w:ascii="Times New Roman" w:eastAsia="Times New Roman" w:hAnsi="Times New Roman" w:cs="Times New Roman"/>
          <w:lang w:val="en-GB" w:eastAsia="hu-HU"/>
        </w:rPr>
        <w:t>HSN és rakétatechnikai eszközök anyagismerete</w:t>
      </w:r>
    </w:p>
    <w:p w:rsidR="00371276" w:rsidRPr="00371276" w:rsidRDefault="00371276" w:rsidP="00980876">
      <w:pPr>
        <w:numPr>
          <w:ilvl w:val="0"/>
          <w:numId w:val="723"/>
        </w:numPr>
        <w:tabs>
          <w:tab w:val="clear" w:pos="720"/>
          <w:tab w:val="right" w:pos="900"/>
          <w:tab w:val="center" w:pos="4536"/>
          <w:tab w:val="right" w:pos="9071"/>
        </w:tabs>
        <w:spacing w:before="120" w:after="0" w:line="240" w:lineRule="auto"/>
        <w:ind w:left="426" w:hanging="142"/>
        <w:jc w:val="both"/>
        <w:rPr>
          <w:rFonts w:ascii="Times New Roman" w:eastAsia="Times New Roman" w:hAnsi="Times New Roman" w:cs="Times New Roman"/>
          <w:bCs/>
          <w:lang w:eastAsia="hu-HU"/>
        </w:rPr>
      </w:pPr>
      <w:r w:rsidRPr="00371276">
        <w:rPr>
          <w:rFonts w:ascii="Times New Roman" w:eastAsia="Times New Roman" w:hAnsi="Times New Roman" w:cs="Times New Roman"/>
          <w:b/>
          <w:bCs/>
          <w:lang w:eastAsia="hu-HU"/>
        </w:rPr>
        <w:t xml:space="preserve">A tantárgy megnevezése (angolul): </w:t>
      </w:r>
      <w:r w:rsidRPr="00371276">
        <w:rPr>
          <w:rFonts w:ascii="Times New Roman" w:eastAsia="Times New Roman" w:hAnsi="Times New Roman" w:cs="Times New Roman"/>
          <w:bCs/>
          <w:lang w:eastAsia="hu-HU"/>
        </w:rPr>
        <w:t>Material knowledge of recoilless rifle and rocket technical devices</w:t>
      </w:r>
    </w:p>
    <w:p w:rsidR="00371276" w:rsidRPr="00371276" w:rsidRDefault="00371276" w:rsidP="00980876">
      <w:pPr>
        <w:numPr>
          <w:ilvl w:val="0"/>
          <w:numId w:val="723"/>
        </w:numPr>
        <w:tabs>
          <w:tab w:val="clear" w:pos="720"/>
          <w:tab w:val="right" w:pos="900"/>
          <w:tab w:val="center" w:pos="4536"/>
          <w:tab w:val="right" w:pos="9071"/>
        </w:tabs>
        <w:spacing w:before="120" w:after="0" w:line="240" w:lineRule="auto"/>
        <w:ind w:left="426" w:hanging="142"/>
        <w:jc w:val="both"/>
        <w:rPr>
          <w:rFonts w:ascii="Times New Roman" w:eastAsia="Times New Roman" w:hAnsi="Times New Roman" w:cs="Times New Roman"/>
          <w:bCs/>
          <w:lang w:eastAsia="hu-HU"/>
        </w:rPr>
      </w:pPr>
      <w:r w:rsidRPr="00371276">
        <w:rPr>
          <w:rFonts w:ascii="Times New Roman" w:eastAsia="Times New Roman" w:hAnsi="Times New Roman" w:cs="Times New Roman"/>
          <w:b/>
          <w:bCs/>
          <w:lang w:eastAsia="hu-HU"/>
        </w:rPr>
        <w:t>Kreditérték: 5</w:t>
      </w:r>
    </w:p>
    <w:p w:rsidR="00371276" w:rsidRPr="00371276" w:rsidRDefault="00371276" w:rsidP="00980876">
      <w:pPr>
        <w:numPr>
          <w:ilvl w:val="0"/>
          <w:numId w:val="723"/>
        </w:numPr>
        <w:tabs>
          <w:tab w:val="clear" w:pos="720"/>
          <w:tab w:val="right" w:pos="900"/>
          <w:tab w:val="center" w:pos="4536"/>
          <w:tab w:val="right" w:pos="9071"/>
        </w:tabs>
        <w:spacing w:before="120" w:after="0" w:line="240" w:lineRule="auto"/>
        <w:ind w:left="426" w:hanging="142"/>
        <w:jc w:val="both"/>
        <w:rPr>
          <w:rFonts w:ascii="Times New Roman" w:eastAsia="Times New Roman" w:hAnsi="Times New Roman" w:cs="Times New Roman"/>
          <w:bCs/>
          <w:lang w:eastAsia="hu-HU"/>
        </w:rPr>
      </w:pPr>
      <w:r w:rsidRPr="00371276">
        <w:rPr>
          <w:rFonts w:ascii="Times New Roman" w:eastAsia="Times New Roman" w:hAnsi="Times New Roman" w:cs="Times New Roman"/>
          <w:b/>
          <w:bCs/>
          <w:lang w:eastAsia="hu-HU"/>
        </w:rPr>
        <w:t xml:space="preserve">A szak(ok), szakirányok/specializációk megnevezése (ahol oktatják): </w:t>
      </w:r>
      <w:r w:rsidRPr="00371276">
        <w:rPr>
          <w:rFonts w:ascii="Times New Roman" w:eastAsia="Times New Roman" w:hAnsi="Times New Roman" w:cs="Times New Roman"/>
          <w:bCs/>
          <w:lang w:eastAsia="hu-HU"/>
        </w:rPr>
        <w:t>Katonai logisztika (</w:t>
      </w:r>
      <w:r w:rsidR="00137B8A">
        <w:rPr>
          <w:rFonts w:ascii="Times New Roman" w:eastAsia="Times New Roman" w:hAnsi="Times New Roman" w:cs="Times New Roman"/>
          <w:bCs/>
          <w:lang w:eastAsia="hu-HU"/>
        </w:rPr>
        <w:t>BSc</w:t>
      </w:r>
      <w:r w:rsidRPr="00371276">
        <w:rPr>
          <w:rFonts w:ascii="Times New Roman" w:eastAsia="Times New Roman" w:hAnsi="Times New Roman" w:cs="Times New Roman"/>
          <w:bCs/>
          <w:lang w:eastAsia="hu-HU"/>
        </w:rPr>
        <w:t>) alapképzési szak, haditechnika specializáció, fegyverzettechnikai modul</w:t>
      </w:r>
    </w:p>
    <w:p w:rsidR="00371276" w:rsidRPr="00371276" w:rsidRDefault="00371276" w:rsidP="00980876">
      <w:pPr>
        <w:numPr>
          <w:ilvl w:val="0"/>
          <w:numId w:val="723"/>
        </w:numPr>
        <w:tabs>
          <w:tab w:val="clear" w:pos="720"/>
          <w:tab w:val="right" w:pos="900"/>
          <w:tab w:val="center" w:pos="4536"/>
          <w:tab w:val="right" w:pos="9071"/>
        </w:tabs>
        <w:spacing w:before="120" w:after="0" w:line="240" w:lineRule="auto"/>
        <w:ind w:left="426" w:hanging="142"/>
        <w:jc w:val="both"/>
        <w:rPr>
          <w:rFonts w:ascii="Times New Roman" w:eastAsia="Times New Roman" w:hAnsi="Times New Roman" w:cs="Times New Roman"/>
          <w:bCs/>
          <w:lang w:eastAsia="hu-HU"/>
        </w:rPr>
      </w:pPr>
      <w:r w:rsidRPr="00371276">
        <w:rPr>
          <w:rFonts w:ascii="Times New Roman" w:eastAsia="Times New Roman" w:hAnsi="Times New Roman" w:cs="Times New Roman"/>
          <w:b/>
          <w:bCs/>
          <w:lang w:eastAsia="hu-HU"/>
        </w:rPr>
        <w:tab/>
        <w:t xml:space="preserve">Az oktatásért felelős oktatási szervezeti egység megnevezése: </w:t>
      </w:r>
      <w:r w:rsidRPr="00371276">
        <w:rPr>
          <w:rFonts w:ascii="Times New Roman" w:eastAsia="Times New Roman" w:hAnsi="Times New Roman" w:cs="Times New Roman"/>
          <w:bCs/>
          <w:lang w:eastAsia="hu-HU"/>
        </w:rPr>
        <w:t>NKE,</w:t>
      </w:r>
      <w:r w:rsidRPr="00371276">
        <w:rPr>
          <w:rFonts w:ascii="Times New Roman" w:eastAsia="Times New Roman" w:hAnsi="Times New Roman" w:cs="Times New Roman"/>
          <w:b/>
          <w:bCs/>
          <w:lang w:eastAsia="hu-HU"/>
        </w:rPr>
        <w:t xml:space="preserve"> </w:t>
      </w:r>
      <w:r w:rsidRPr="00371276">
        <w:rPr>
          <w:rFonts w:ascii="Times New Roman" w:eastAsia="Times New Roman" w:hAnsi="Times New Roman" w:cs="Times New Roman"/>
          <w:bCs/>
          <w:lang w:eastAsia="hu-HU"/>
        </w:rPr>
        <w:t>Hadtudományi és Honvédtisztképző Kar, Haditechnikai Tanszék</w:t>
      </w:r>
    </w:p>
    <w:p w:rsidR="00371276" w:rsidRPr="00371276" w:rsidRDefault="00371276" w:rsidP="00980876">
      <w:pPr>
        <w:numPr>
          <w:ilvl w:val="0"/>
          <w:numId w:val="723"/>
        </w:numPr>
        <w:tabs>
          <w:tab w:val="clear" w:pos="720"/>
          <w:tab w:val="right" w:pos="900"/>
          <w:tab w:val="center" w:pos="4536"/>
          <w:tab w:val="right" w:pos="9071"/>
        </w:tabs>
        <w:spacing w:before="120" w:after="0" w:line="240" w:lineRule="auto"/>
        <w:ind w:left="426" w:hanging="142"/>
        <w:jc w:val="both"/>
        <w:rPr>
          <w:rFonts w:ascii="Times New Roman" w:eastAsia="Times New Roman" w:hAnsi="Times New Roman" w:cs="Times New Roman"/>
          <w:bCs/>
          <w:lang w:eastAsia="hu-HU"/>
        </w:rPr>
      </w:pPr>
      <w:r w:rsidRPr="00371276">
        <w:rPr>
          <w:rFonts w:ascii="Times New Roman" w:eastAsia="Times New Roman" w:hAnsi="Times New Roman" w:cs="Times New Roman"/>
          <w:b/>
          <w:bCs/>
          <w:lang w:eastAsia="hu-HU"/>
        </w:rPr>
        <w:t xml:space="preserve">A tantárgyfelelős oktató neve, beosztása, tudományos fokozata: </w:t>
      </w:r>
      <w:r w:rsidRPr="00371276">
        <w:rPr>
          <w:rFonts w:ascii="Times New Roman" w:eastAsia="Times New Roman" w:hAnsi="Times New Roman" w:cs="Times New Roman"/>
          <w:bCs/>
          <w:lang w:eastAsia="hu-HU"/>
        </w:rPr>
        <w:t>Gyarmati József egyetemi docens</w:t>
      </w:r>
    </w:p>
    <w:p w:rsidR="00371276" w:rsidRPr="00371276" w:rsidRDefault="00371276" w:rsidP="00980876">
      <w:pPr>
        <w:numPr>
          <w:ilvl w:val="0"/>
          <w:numId w:val="723"/>
        </w:numPr>
        <w:tabs>
          <w:tab w:val="clear" w:pos="720"/>
          <w:tab w:val="right" w:pos="900"/>
          <w:tab w:val="center" w:pos="4536"/>
          <w:tab w:val="right" w:pos="9071"/>
        </w:tabs>
        <w:spacing w:before="120" w:after="0" w:line="240" w:lineRule="auto"/>
        <w:ind w:left="426" w:hanging="142"/>
        <w:jc w:val="both"/>
        <w:rPr>
          <w:rFonts w:ascii="Times New Roman" w:eastAsia="Times New Roman" w:hAnsi="Times New Roman" w:cs="Times New Roman"/>
          <w:b/>
          <w:lang w:eastAsia="hu-HU"/>
        </w:rPr>
      </w:pPr>
      <w:r w:rsidRPr="00371276">
        <w:rPr>
          <w:rFonts w:ascii="Times New Roman" w:eastAsia="Times New Roman" w:hAnsi="Times New Roman" w:cs="Times New Roman"/>
          <w:b/>
          <w:bCs/>
          <w:lang w:eastAsia="hu-HU"/>
        </w:rPr>
        <w:t xml:space="preserve">A tanórák száma </w:t>
      </w:r>
      <w:r w:rsidRPr="00371276">
        <w:rPr>
          <w:rFonts w:ascii="Times New Roman" w:eastAsia="Times New Roman" w:hAnsi="Times New Roman" w:cs="Times New Roman"/>
          <w:b/>
          <w:lang w:eastAsia="hu-HU"/>
        </w:rPr>
        <w:t>(előadás + szeminárium + gyakorlat)</w:t>
      </w:r>
    </w:p>
    <w:p w:rsidR="00371276" w:rsidRPr="00371276" w:rsidRDefault="00371276" w:rsidP="00980876">
      <w:pPr>
        <w:numPr>
          <w:ilvl w:val="1"/>
          <w:numId w:val="723"/>
        </w:numPr>
        <w:tabs>
          <w:tab w:val="clear" w:pos="3977"/>
          <w:tab w:val="num" w:pos="1000"/>
        </w:tabs>
        <w:spacing w:before="120" w:after="0" w:line="240" w:lineRule="auto"/>
        <w:ind w:left="567" w:firstLine="0"/>
        <w:jc w:val="both"/>
        <w:rPr>
          <w:rFonts w:ascii="Times New Roman" w:eastAsia="Times New Roman" w:hAnsi="Times New Roman" w:cs="Times New Roman"/>
          <w:bCs/>
          <w:lang w:eastAsia="hu-HU"/>
        </w:rPr>
      </w:pPr>
      <w:r w:rsidRPr="00371276">
        <w:rPr>
          <w:rFonts w:ascii="Times New Roman" w:eastAsia="Times New Roman" w:hAnsi="Times New Roman" w:cs="Times New Roman"/>
          <w:bCs/>
          <w:lang w:eastAsia="hu-HU"/>
        </w:rPr>
        <w:t>össz óraszám/félév: 56</w:t>
      </w:r>
    </w:p>
    <w:p w:rsidR="00371276" w:rsidRPr="00371276" w:rsidRDefault="00371276" w:rsidP="00980876">
      <w:pPr>
        <w:numPr>
          <w:ilvl w:val="2"/>
          <w:numId w:val="723"/>
        </w:numPr>
        <w:tabs>
          <w:tab w:val="clear" w:pos="1800"/>
          <w:tab w:val="right" w:pos="900"/>
          <w:tab w:val="num" w:pos="1724"/>
          <w:tab w:val="num" w:pos="1843"/>
        </w:tabs>
        <w:spacing w:after="0" w:line="240" w:lineRule="auto"/>
        <w:ind w:left="851" w:firstLine="0"/>
        <w:jc w:val="both"/>
        <w:rPr>
          <w:rFonts w:ascii="Times New Roman" w:eastAsia="Times New Roman" w:hAnsi="Times New Roman" w:cs="Times New Roman"/>
          <w:bCs/>
          <w:lang w:eastAsia="hu-HU"/>
        </w:rPr>
      </w:pPr>
      <w:r w:rsidRPr="00371276">
        <w:rPr>
          <w:rFonts w:ascii="Times New Roman" w:eastAsia="Times New Roman" w:hAnsi="Times New Roman" w:cs="Times New Roman"/>
          <w:bCs/>
          <w:lang w:eastAsia="hu-HU"/>
        </w:rPr>
        <w:t>Nappali munkarend: 56 (28 EA+ - SZ + 28 GY)</w:t>
      </w:r>
    </w:p>
    <w:p w:rsidR="00371276" w:rsidRPr="00371276" w:rsidRDefault="00371276" w:rsidP="00980876">
      <w:pPr>
        <w:numPr>
          <w:ilvl w:val="2"/>
          <w:numId w:val="723"/>
        </w:numPr>
        <w:tabs>
          <w:tab w:val="clear" w:pos="1800"/>
          <w:tab w:val="right" w:pos="900"/>
          <w:tab w:val="num" w:pos="1724"/>
          <w:tab w:val="num" w:pos="1843"/>
        </w:tabs>
        <w:spacing w:after="0" w:line="240" w:lineRule="auto"/>
        <w:ind w:left="851" w:firstLine="0"/>
        <w:jc w:val="both"/>
        <w:rPr>
          <w:rFonts w:ascii="Times New Roman" w:eastAsia="Times New Roman" w:hAnsi="Times New Roman" w:cs="Times New Roman"/>
          <w:bCs/>
          <w:lang w:eastAsia="hu-HU"/>
        </w:rPr>
      </w:pPr>
      <w:r w:rsidRPr="00371276">
        <w:rPr>
          <w:rFonts w:ascii="Times New Roman" w:eastAsia="Times New Roman" w:hAnsi="Times New Roman" w:cs="Times New Roman"/>
          <w:bCs/>
          <w:lang w:eastAsia="hu-HU"/>
        </w:rPr>
        <w:t>Levelező munkarend: -</w:t>
      </w:r>
    </w:p>
    <w:p w:rsidR="00371276" w:rsidRPr="00371276" w:rsidRDefault="00371276" w:rsidP="00980876">
      <w:pPr>
        <w:numPr>
          <w:ilvl w:val="1"/>
          <w:numId w:val="723"/>
        </w:numPr>
        <w:tabs>
          <w:tab w:val="clear" w:pos="3977"/>
          <w:tab w:val="num" w:pos="1000"/>
        </w:tabs>
        <w:spacing w:before="120" w:after="0" w:line="240" w:lineRule="auto"/>
        <w:ind w:left="567" w:firstLine="0"/>
        <w:jc w:val="both"/>
        <w:rPr>
          <w:rFonts w:ascii="Times New Roman" w:eastAsia="Times New Roman" w:hAnsi="Times New Roman" w:cs="Times New Roman"/>
          <w:bCs/>
          <w:lang w:eastAsia="hu-HU"/>
        </w:rPr>
      </w:pPr>
      <w:r w:rsidRPr="00371276">
        <w:rPr>
          <w:rFonts w:ascii="Times New Roman" w:eastAsia="Times New Roman" w:hAnsi="Times New Roman" w:cs="Times New Roman"/>
          <w:bCs/>
          <w:lang w:eastAsia="hu-HU"/>
        </w:rPr>
        <w:t>heti óraszám nappali munkarend: 4</w:t>
      </w:r>
    </w:p>
    <w:p w:rsidR="00371276" w:rsidRPr="00371276" w:rsidRDefault="00371276" w:rsidP="00980876">
      <w:pPr>
        <w:numPr>
          <w:ilvl w:val="1"/>
          <w:numId w:val="723"/>
        </w:numPr>
        <w:tabs>
          <w:tab w:val="clear" w:pos="3977"/>
          <w:tab w:val="num" w:pos="1000"/>
        </w:tabs>
        <w:spacing w:before="120" w:after="120" w:line="240" w:lineRule="auto"/>
        <w:ind w:left="567" w:firstLine="0"/>
        <w:jc w:val="both"/>
        <w:rPr>
          <w:rFonts w:ascii="Times New Roman" w:eastAsia="Times New Roman" w:hAnsi="Times New Roman" w:cs="Times New Roman"/>
          <w:bCs/>
          <w:lang w:eastAsia="hu-HU"/>
        </w:rPr>
      </w:pPr>
      <w:r w:rsidRPr="00371276">
        <w:rPr>
          <w:rFonts w:ascii="Times New Roman" w:eastAsia="Times New Roman" w:hAnsi="Times New Roman" w:cs="Times New Roman"/>
          <w:bCs/>
          <w:lang w:eastAsia="hu-HU"/>
        </w:rPr>
        <w:t>Az ismeret átadásában alkalmazandó további sajátos módok, jellemzők: vegyes tanulási program (blended learning)</w:t>
      </w:r>
    </w:p>
    <w:p w:rsidR="00371276" w:rsidRPr="00371276" w:rsidRDefault="00371276" w:rsidP="00980876">
      <w:pPr>
        <w:numPr>
          <w:ilvl w:val="0"/>
          <w:numId w:val="723"/>
        </w:numPr>
        <w:tabs>
          <w:tab w:val="clear" w:pos="720"/>
          <w:tab w:val="right" w:pos="900"/>
          <w:tab w:val="center" w:pos="4536"/>
          <w:tab w:val="right" w:pos="9071"/>
        </w:tabs>
        <w:spacing w:before="120" w:after="0" w:line="240" w:lineRule="auto"/>
        <w:ind w:left="426" w:hanging="142"/>
        <w:jc w:val="both"/>
        <w:rPr>
          <w:rFonts w:ascii="Times New Roman" w:eastAsia="Times New Roman" w:hAnsi="Times New Roman" w:cs="Times New Roman"/>
          <w:lang w:val="en-GB" w:eastAsia="hu-HU"/>
        </w:rPr>
      </w:pPr>
      <w:r w:rsidRPr="00371276">
        <w:rPr>
          <w:rFonts w:ascii="Times New Roman" w:eastAsia="Times New Roman" w:hAnsi="Times New Roman" w:cs="Times New Roman"/>
          <w:b/>
          <w:bCs/>
          <w:lang w:eastAsia="hu-HU"/>
        </w:rPr>
        <w:t xml:space="preserve">A tantárgy szakmai tartalma (magyarul): </w:t>
      </w:r>
      <w:r w:rsidRPr="00371276">
        <w:rPr>
          <w:rFonts w:ascii="Times New Roman" w:eastAsia="Times New Roman" w:hAnsi="Times New Roman" w:cs="Times New Roman"/>
          <w:lang w:val="en-GB" w:eastAsia="hu-HU"/>
        </w:rPr>
        <w:t xml:space="preserve">A hátrasiklás nélküli rendszerek működésének elvi alapjai. A páncéltörő rakéták irányító rendszerei működésének elvi alapjai (kézi-, félautomatikus és automatikus irányítási üzemmódok jellemzői). A rakétatechnika elméleti alapjai. A reális közegben mozgó testek fizikája. Az irányított páncéltörő rakéták főbb paraméterei, alapvető szerkezeti egységei, azok jellemzői. A harci részek kialakítása, működésének hatásmechanizmusa. Rakétahajtóművek szerkezeti kialakítása, működése. Hajtómű diagramok jellemzői. Kormányszervek szerkezeti kialakítása. A fedélzeti berendezések. A rakétákkal szemben támasztott alapvető követelmények, a rendszeresített irányítható páncéltörő rakéták összehasonlító elemzése. </w:t>
      </w:r>
    </w:p>
    <w:p w:rsidR="00371276" w:rsidRPr="00371276" w:rsidRDefault="00371276" w:rsidP="00371276">
      <w:pPr>
        <w:tabs>
          <w:tab w:val="right" w:pos="900"/>
          <w:tab w:val="center" w:pos="4536"/>
          <w:tab w:val="right" w:pos="9071"/>
        </w:tabs>
        <w:spacing w:before="120" w:after="0" w:line="240" w:lineRule="auto"/>
        <w:ind w:left="426"/>
        <w:jc w:val="both"/>
        <w:rPr>
          <w:rFonts w:ascii="Times New Roman" w:eastAsia="Times New Roman" w:hAnsi="Times New Roman" w:cs="Times New Roman"/>
          <w:color w:val="000000"/>
          <w:lang w:eastAsia="hu-HU"/>
        </w:rPr>
      </w:pPr>
      <w:r w:rsidRPr="00371276">
        <w:rPr>
          <w:rFonts w:ascii="Times New Roman" w:eastAsia="Times New Roman" w:hAnsi="Times New Roman" w:cs="Times New Roman"/>
          <w:color w:val="000000"/>
          <w:lang w:eastAsia="hu-HU"/>
        </w:rPr>
        <w:t xml:space="preserve">Irányítható páncéltörő rakéták hordozható és önjáró indító állványainak alapvető szerkezeti </w:t>
      </w:r>
      <w:r w:rsidRPr="00371276">
        <w:rPr>
          <w:rFonts w:ascii="Times New Roman" w:eastAsia="Times New Roman" w:hAnsi="Times New Roman" w:cs="Times New Roman"/>
          <w:lang w:val="en-GB" w:eastAsia="hu-HU"/>
        </w:rPr>
        <w:t>egységei</w:t>
      </w:r>
      <w:r w:rsidRPr="00371276">
        <w:rPr>
          <w:rFonts w:ascii="Times New Roman" w:eastAsia="Times New Roman" w:hAnsi="Times New Roman" w:cs="Times New Roman"/>
          <w:color w:val="000000"/>
          <w:lang w:eastAsia="hu-HU"/>
        </w:rPr>
        <w:t xml:space="preserve">, azok jellemzői. Emelő-forgató berendezések mechanikus szerelvényei és vezérlő automatikája. Az irányító rendszerek. Az indító állványok irányító rendszerei főbb szerkezeti egységéinek rendeltetése és elhelyezése az indító állványokon. A jellegzetes komponensek szerkezeti kialakítása és működési elve. Az indító állványok alapvető üzemmódjainak ismerete. </w:t>
      </w:r>
    </w:p>
    <w:p w:rsidR="00371276" w:rsidRPr="00371276" w:rsidRDefault="00371276" w:rsidP="00371276">
      <w:pPr>
        <w:tabs>
          <w:tab w:val="right" w:pos="900"/>
          <w:tab w:val="center" w:pos="4536"/>
          <w:tab w:val="right" w:pos="9071"/>
        </w:tabs>
        <w:spacing w:before="120" w:after="0" w:line="240" w:lineRule="auto"/>
        <w:ind w:left="426"/>
        <w:jc w:val="both"/>
        <w:rPr>
          <w:rFonts w:ascii="Times New Roman" w:eastAsia="Times New Roman" w:hAnsi="Times New Roman" w:cs="Times New Roman"/>
          <w:lang w:val="en-GB" w:eastAsia="hu-HU"/>
        </w:rPr>
      </w:pPr>
      <w:r w:rsidRPr="00371276">
        <w:rPr>
          <w:rFonts w:ascii="Times New Roman" w:eastAsia="Times New Roman" w:hAnsi="Times New Roman" w:cs="Times New Roman"/>
          <w:b/>
          <w:bCs/>
          <w:lang w:eastAsia="hu-HU"/>
        </w:rPr>
        <w:t xml:space="preserve">A tantárgy szakmai tartalma (angolul) </w:t>
      </w:r>
      <w:r w:rsidRPr="00371276">
        <w:rPr>
          <w:rFonts w:ascii="Times New Roman" w:eastAsia="Times New Roman" w:hAnsi="Times New Roman" w:cs="Times New Roman"/>
          <w:b/>
          <w:bCs/>
          <w:lang w:val="en-GB" w:eastAsia="hu-HU"/>
        </w:rPr>
        <w:t>(Course description)</w:t>
      </w:r>
      <w:r w:rsidRPr="00371276">
        <w:rPr>
          <w:rFonts w:ascii="Times New Roman" w:eastAsia="Times New Roman" w:hAnsi="Times New Roman" w:cs="Times New Roman"/>
          <w:b/>
          <w:bCs/>
          <w:lang w:eastAsia="hu-HU"/>
        </w:rPr>
        <w:t xml:space="preserve">: </w:t>
      </w:r>
      <w:r w:rsidRPr="00371276">
        <w:rPr>
          <w:rFonts w:ascii="Times New Roman" w:eastAsia="Times New Roman" w:hAnsi="Times New Roman" w:cs="Times New Roman"/>
          <w:lang w:eastAsia="hu-HU"/>
        </w:rPr>
        <w:t xml:space="preserve">Principles of operation of non-slip systems. </w:t>
      </w:r>
      <w:r w:rsidRPr="00371276">
        <w:rPr>
          <w:rFonts w:ascii="Times New Roman" w:eastAsia="Times New Roman" w:hAnsi="Times New Roman" w:cs="Times New Roman"/>
          <w:lang w:val="en-GB" w:eastAsia="hu-HU"/>
        </w:rPr>
        <w:t>Principles of operation of anti-tank missile guidance systems (characteristics of manual, semi-automatic and automatic command modes). Theoretical basics of rocket technology. Physics of bodies moving in a realistic environment.</w:t>
      </w:r>
    </w:p>
    <w:p w:rsidR="00371276" w:rsidRPr="00371276" w:rsidRDefault="00371276" w:rsidP="00371276">
      <w:pPr>
        <w:tabs>
          <w:tab w:val="right" w:pos="900"/>
          <w:tab w:val="center" w:pos="4536"/>
          <w:tab w:val="right" w:pos="9071"/>
        </w:tabs>
        <w:spacing w:before="120" w:after="0" w:line="240" w:lineRule="auto"/>
        <w:ind w:left="426"/>
        <w:jc w:val="both"/>
        <w:rPr>
          <w:rFonts w:ascii="Times New Roman" w:eastAsia="Times New Roman" w:hAnsi="Times New Roman" w:cs="Times New Roman"/>
          <w:lang w:eastAsia="hu-HU"/>
        </w:rPr>
      </w:pPr>
      <w:r w:rsidRPr="00371276">
        <w:rPr>
          <w:rFonts w:ascii="Times New Roman" w:eastAsia="Times New Roman" w:hAnsi="Times New Roman" w:cs="Times New Roman"/>
          <w:lang w:eastAsia="hu-HU"/>
        </w:rPr>
        <w:t xml:space="preserve">Main parameters, basic structural units, characteristics of guided anti-tank missiles. The formation of the </w:t>
      </w:r>
      <w:r w:rsidRPr="00371276">
        <w:rPr>
          <w:rFonts w:ascii="Times New Roman" w:eastAsia="Times New Roman" w:hAnsi="Times New Roman" w:cs="Times New Roman"/>
          <w:lang w:val="en-GB" w:eastAsia="hu-HU"/>
        </w:rPr>
        <w:t>combat</w:t>
      </w:r>
      <w:r w:rsidRPr="00371276">
        <w:rPr>
          <w:rFonts w:ascii="Times New Roman" w:eastAsia="Times New Roman" w:hAnsi="Times New Roman" w:cs="Times New Roman"/>
          <w:lang w:eastAsia="hu-HU"/>
        </w:rPr>
        <w:t xml:space="preserve"> parts, the mechanism of its operation. Structural design and operation of rocket engines. Features of gear diagrams. Structure of steering organs. On - board equipment. Basic Requirements for Missiles, Comparative Analysis of Systematic Guided Anti-Armor Missiles.</w:t>
      </w:r>
    </w:p>
    <w:p w:rsidR="00371276" w:rsidRPr="00371276" w:rsidRDefault="00371276" w:rsidP="00371276">
      <w:pPr>
        <w:tabs>
          <w:tab w:val="right" w:pos="900"/>
          <w:tab w:val="center" w:pos="4536"/>
          <w:tab w:val="right" w:pos="9071"/>
        </w:tabs>
        <w:spacing w:before="120" w:after="0" w:line="240" w:lineRule="auto"/>
        <w:ind w:left="426"/>
        <w:jc w:val="both"/>
        <w:rPr>
          <w:rFonts w:ascii="Times New Roman" w:eastAsia="Times New Roman" w:hAnsi="Times New Roman" w:cs="Times New Roman"/>
          <w:lang w:eastAsia="hu-HU"/>
        </w:rPr>
      </w:pPr>
      <w:r w:rsidRPr="00371276">
        <w:rPr>
          <w:rFonts w:ascii="Times New Roman" w:eastAsia="Times New Roman" w:hAnsi="Times New Roman" w:cs="Times New Roman"/>
          <w:lang w:eastAsia="hu-HU"/>
        </w:rPr>
        <w:t xml:space="preserve">Basic structural units and characteristics of portable and self-propelled launchers for guided anti-missile missiles. Mechanical assemblies and control automation for lifting-rotating equipment. </w:t>
      </w:r>
      <w:r w:rsidRPr="00371276">
        <w:rPr>
          <w:rFonts w:ascii="Times New Roman" w:eastAsia="Times New Roman" w:hAnsi="Times New Roman" w:cs="Times New Roman"/>
          <w:lang w:eastAsia="hu-HU"/>
        </w:rPr>
        <w:lastRenderedPageBreak/>
        <w:t>The control systems. Purpose and placement of major structural units of launcher control systems on launchers. Design and function of the characteristic components. Knowledge of the basic modes of launchers.</w:t>
      </w:r>
    </w:p>
    <w:p w:rsidR="00371276" w:rsidRPr="00371276" w:rsidRDefault="00371276" w:rsidP="00980876">
      <w:pPr>
        <w:numPr>
          <w:ilvl w:val="0"/>
          <w:numId w:val="723"/>
        </w:numPr>
        <w:tabs>
          <w:tab w:val="clear" w:pos="720"/>
          <w:tab w:val="right" w:pos="900"/>
          <w:tab w:val="center" w:pos="4536"/>
          <w:tab w:val="right" w:pos="9071"/>
        </w:tabs>
        <w:spacing w:before="120" w:after="0" w:line="240" w:lineRule="auto"/>
        <w:ind w:left="426" w:hanging="142"/>
        <w:jc w:val="both"/>
        <w:rPr>
          <w:rFonts w:ascii="Times New Roman" w:eastAsia="Times New Roman" w:hAnsi="Times New Roman" w:cs="Times New Roman"/>
          <w:b/>
          <w:color w:val="000000"/>
          <w:lang w:eastAsia="hu-HU"/>
        </w:rPr>
      </w:pPr>
      <w:r w:rsidRPr="00371276">
        <w:rPr>
          <w:rFonts w:ascii="Times New Roman" w:eastAsia="Times New Roman" w:hAnsi="Times New Roman" w:cs="Times New Roman"/>
          <w:b/>
          <w:bCs/>
          <w:lang w:eastAsia="hu-HU"/>
        </w:rPr>
        <w:t>Elérendő</w:t>
      </w:r>
      <w:r w:rsidRPr="00371276">
        <w:rPr>
          <w:rFonts w:ascii="Times New Roman" w:eastAsia="Times New Roman" w:hAnsi="Times New Roman" w:cs="Times New Roman"/>
          <w:b/>
          <w:color w:val="000000"/>
          <w:lang w:eastAsia="hu-HU"/>
        </w:rPr>
        <w:t xml:space="preserve"> kompetenciák (magyarul)</w:t>
      </w:r>
    </w:p>
    <w:p w:rsidR="00371276" w:rsidRPr="00371276" w:rsidRDefault="00371276" w:rsidP="00371276">
      <w:pPr>
        <w:autoSpaceDE w:val="0"/>
        <w:autoSpaceDN w:val="0"/>
        <w:adjustRightInd w:val="0"/>
        <w:spacing w:before="120" w:after="0" w:line="240" w:lineRule="auto"/>
        <w:ind w:left="646"/>
        <w:jc w:val="both"/>
        <w:rPr>
          <w:rFonts w:ascii="Times New Roman" w:eastAsia="Times New Roman" w:hAnsi="Times New Roman" w:cs="Times New Roman"/>
          <w:b/>
          <w:color w:val="000000"/>
          <w:lang w:eastAsia="hu-HU"/>
        </w:rPr>
      </w:pPr>
      <w:r w:rsidRPr="00371276">
        <w:rPr>
          <w:rFonts w:ascii="Times New Roman" w:eastAsia="Times New Roman" w:hAnsi="Times New Roman" w:cs="Times New Roman"/>
          <w:b/>
          <w:color w:val="000000"/>
          <w:lang w:eastAsia="hu-HU"/>
        </w:rPr>
        <w:t>Tudása:</w:t>
      </w:r>
    </w:p>
    <w:p w:rsidR="00371276" w:rsidRPr="00371276" w:rsidRDefault="00371276" w:rsidP="00980876">
      <w:pPr>
        <w:numPr>
          <w:ilvl w:val="0"/>
          <w:numId w:val="721"/>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371276">
        <w:rPr>
          <w:rFonts w:ascii="Times New Roman" w:eastAsia="Times New Roman" w:hAnsi="Times New Roman" w:cs="Times New Roman"/>
          <w:color w:val="000000"/>
          <w:lang w:eastAsia="hu-HU"/>
        </w:rPr>
        <w:t>Megfelelő műszaki alapokkal rendelkezik, amelyek biztosítják az új ismeretek elsajátítását.</w:t>
      </w:r>
    </w:p>
    <w:p w:rsidR="00371276" w:rsidRPr="00371276" w:rsidRDefault="00371276" w:rsidP="00980876">
      <w:pPr>
        <w:numPr>
          <w:ilvl w:val="0"/>
          <w:numId w:val="721"/>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371276">
        <w:rPr>
          <w:rFonts w:ascii="Times New Roman" w:eastAsia="Times New Roman" w:hAnsi="Times New Roman" w:cs="Times New Roman"/>
          <w:color w:val="000000"/>
          <w:lang w:eastAsia="hu-HU"/>
        </w:rPr>
        <w:t>Ismeri a fegyverzettechnikai eszközök ellátáshoz és fenntartásához szükséges anyagok körét.</w:t>
      </w:r>
    </w:p>
    <w:p w:rsidR="00371276" w:rsidRPr="00371276" w:rsidRDefault="00371276" w:rsidP="00980876">
      <w:pPr>
        <w:numPr>
          <w:ilvl w:val="0"/>
          <w:numId w:val="721"/>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371276">
        <w:rPr>
          <w:rFonts w:ascii="Times New Roman" w:eastAsia="Times New Roman" w:hAnsi="Times New Roman" w:cs="Times New Roman"/>
          <w:color w:val="000000"/>
          <w:lang w:eastAsia="hu-HU"/>
        </w:rPr>
        <w:t>Ismeri a szakfeladatainak ellátásához szükséges munkavédelmi rendszabályokat.</w:t>
      </w:r>
    </w:p>
    <w:p w:rsidR="00371276" w:rsidRPr="00371276" w:rsidRDefault="00371276" w:rsidP="00980876">
      <w:pPr>
        <w:numPr>
          <w:ilvl w:val="0"/>
          <w:numId w:val="721"/>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371276">
        <w:rPr>
          <w:rFonts w:ascii="Times New Roman" w:eastAsia="Times New Roman" w:hAnsi="Times New Roman" w:cs="Times New Roman"/>
          <w:color w:val="000000"/>
          <w:lang w:eastAsia="hu-HU"/>
        </w:rPr>
        <w:t>Megfelelő mélységű és spektrumú fegyverzettechnikai típusismerettel rendelkezik.</w:t>
      </w:r>
    </w:p>
    <w:p w:rsidR="00371276" w:rsidRPr="00371276" w:rsidRDefault="00371276" w:rsidP="00371276">
      <w:pPr>
        <w:autoSpaceDE w:val="0"/>
        <w:autoSpaceDN w:val="0"/>
        <w:adjustRightInd w:val="0"/>
        <w:spacing w:before="120" w:after="0" w:line="240" w:lineRule="auto"/>
        <w:ind w:left="646"/>
        <w:jc w:val="both"/>
        <w:rPr>
          <w:rFonts w:ascii="Times New Roman" w:eastAsia="Times New Roman" w:hAnsi="Times New Roman" w:cs="Times New Roman"/>
          <w:b/>
          <w:color w:val="000000"/>
          <w:lang w:eastAsia="hu-HU"/>
        </w:rPr>
      </w:pPr>
      <w:r w:rsidRPr="00371276">
        <w:rPr>
          <w:rFonts w:ascii="Times New Roman" w:eastAsia="Times New Roman" w:hAnsi="Times New Roman" w:cs="Times New Roman"/>
          <w:b/>
          <w:color w:val="000000"/>
          <w:lang w:eastAsia="hu-HU"/>
        </w:rPr>
        <w:t>Képességei:</w:t>
      </w:r>
    </w:p>
    <w:p w:rsidR="00371276" w:rsidRPr="00371276" w:rsidRDefault="00371276" w:rsidP="00980876">
      <w:pPr>
        <w:numPr>
          <w:ilvl w:val="0"/>
          <w:numId w:val="721"/>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371276">
        <w:rPr>
          <w:rFonts w:ascii="Times New Roman" w:eastAsia="Times New Roman" w:hAnsi="Times New Roman" w:cs="Times New Roman"/>
          <w:color w:val="000000"/>
          <w:lang w:eastAsia="hu-HU"/>
        </w:rPr>
        <w:t>Képes a szakterületén rendszeresített és használt berendezések és technikai eszközök használatának megszervezésére és hatékony alkalmazására.</w:t>
      </w:r>
    </w:p>
    <w:p w:rsidR="00371276" w:rsidRPr="00371276" w:rsidRDefault="00371276" w:rsidP="00980876">
      <w:pPr>
        <w:numPr>
          <w:ilvl w:val="0"/>
          <w:numId w:val="721"/>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371276">
        <w:rPr>
          <w:rFonts w:ascii="Times New Roman" w:eastAsia="Times New Roman" w:hAnsi="Times New Roman" w:cs="Times New Roman"/>
          <w:color w:val="000000"/>
          <w:lang w:eastAsia="hu-HU"/>
        </w:rPr>
        <w:t>Képes a megtanultakat felhasználva a szakterületén felmerülő új műszaki információkat megérteni és megtanulni.</w:t>
      </w:r>
    </w:p>
    <w:p w:rsidR="00371276" w:rsidRPr="00371276" w:rsidRDefault="00371276" w:rsidP="00371276">
      <w:pPr>
        <w:autoSpaceDE w:val="0"/>
        <w:autoSpaceDN w:val="0"/>
        <w:adjustRightInd w:val="0"/>
        <w:spacing w:before="120" w:after="0" w:line="240" w:lineRule="auto"/>
        <w:ind w:left="646"/>
        <w:jc w:val="both"/>
        <w:rPr>
          <w:rFonts w:ascii="Times New Roman" w:eastAsia="Times New Roman" w:hAnsi="Times New Roman" w:cs="Times New Roman"/>
          <w:b/>
          <w:color w:val="000000"/>
          <w:lang w:eastAsia="hu-HU"/>
        </w:rPr>
      </w:pPr>
      <w:r w:rsidRPr="00371276">
        <w:rPr>
          <w:rFonts w:ascii="Times New Roman" w:eastAsia="Times New Roman" w:hAnsi="Times New Roman" w:cs="Times New Roman"/>
          <w:b/>
          <w:color w:val="000000"/>
          <w:lang w:eastAsia="hu-HU"/>
        </w:rPr>
        <w:t>Attitüdje:</w:t>
      </w:r>
    </w:p>
    <w:p w:rsidR="00371276" w:rsidRPr="00371276" w:rsidRDefault="00371276" w:rsidP="00980876">
      <w:pPr>
        <w:numPr>
          <w:ilvl w:val="0"/>
          <w:numId w:val="721"/>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371276">
        <w:rPr>
          <w:rFonts w:ascii="Times New Roman" w:eastAsia="Times New Roman" w:hAnsi="Times New Roman" w:cs="Times New Roman"/>
          <w:color w:val="000000"/>
          <w:lang w:eastAsia="hu-HU"/>
        </w:rPr>
        <w:t>Nyitott a fegyverzettechnikával kapcsolatos szakmai ismereteinek gyarapítása iránt, folyamatos önképzési igény jellemzi.</w:t>
      </w:r>
    </w:p>
    <w:p w:rsidR="00371276" w:rsidRPr="00371276" w:rsidRDefault="00371276" w:rsidP="00980876">
      <w:pPr>
        <w:numPr>
          <w:ilvl w:val="0"/>
          <w:numId w:val="721"/>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371276">
        <w:rPr>
          <w:rFonts w:ascii="Times New Roman" w:eastAsia="Times New Roman" w:hAnsi="Times New Roman" w:cs="Times New Roman"/>
          <w:color w:val="000000"/>
          <w:lang w:eastAsia="hu-HU"/>
        </w:rPr>
        <w:t xml:space="preserve">Nyitott szakterülete új eredményei felé, törekszik azok megismerésére. </w:t>
      </w:r>
    </w:p>
    <w:p w:rsidR="00371276" w:rsidRPr="00371276" w:rsidRDefault="00371276" w:rsidP="00371276">
      <w:pPr>
        <w:autoSpaceDE w:val="0"/>
        <w:autoSpaceDN w:val="0"/>
        <w:adjustRightInd w:val="0"/>
        <w:spacing w:before="120" w:after="0" w:line="240" w:lineRule="auto"/>
        <w:ind w:left="646"/>
        <w:jc w:val="both"/>
        <w:rPr>
          <w:rFonts w:ascii="Times New Roman" w:eastAsia="Times New Roman" w:hAnsi="Times New Roman" w:cs="Times New Roman"/>
          <w:b/>
          <w:color w:val="000000"/>
          <w:lang w:eastAsia="hu-HU"/>
        </w:rPr>
      </w:pPr>
      <w:r w:rsidRPr="00371276">
        <w:rPr>
          <w:rFonts w:ascii="Times New Roman" w:eastAsia="Times New Roman" w:hAnsi="Times New Roman" w:cs="Times New Roman"/>
          <w:b/>
          <w:color w:val="000000"/>
          <w:lang w:eastAsia="hu-HU"/>
        </w:rPr>
        <w:t>Autonómiája és felelőssége:</w:t>
      </w:r>
    </w:p>
    <w:p w:rsidR="00371276" w:rsidRPr="00371276" w:rsidRDefault="00371276" w:rsidP="00980876">
      <w:pPr>
        <w:numPr>
          <w:ilvl w:val="0"/>
          <w:numId w:val="721"/>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371276">
        <w:rPr>
          <w:rFonts w:ascii="Times New Roman" w:eastAsia="Times New Roman" w:hAnsi="Times New Roman" w:cs="Times New Roman"/>
          <w:color w:val="000000"/>
          <w:lang w:eastAsia="hu-HU"/>
        </w:rPr>
        <w:t>Képes szakfeladatait önállóan végezni, saját munkáját hatékonyan megszervezni és végrehajtani.</w:t>
      </w:r>
    </w:p>
    <w:p w:rsidR="00371276" w:rsidRPr="00371276" w:rsidRDefault="00371276" w:rsidP="00980876">
      <w:pPr>
        <w:numPr>
          <w:ilvl w:val="0"/>
          <w:numId w:val="721"/>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371276">
        <w:rPr>
          <w:rFonts w:ascii="Times New Roman" w:eastAsia="Times New Roman" w:hAnsi="Times New Roman" w:cs="Times New Roman"/>
          <w:color w:val="000000"/>
          <w:lang w:eastAsia="hu-HU"/>
        </w:rPr>
        <w:t>Együttműködés és felelősség jellemzi szakterületének szakembereivel szemben.</w:t>
      </w:r>
    </w:p>
    <w:p w:rsidR="00371276" w:rsidRPr="00371276" w:rsidRDefault="00371276" w:rsidP="00980876">
      <w:pPr>
        <w:numPr>
          <w:ilvl w:val="0"/>
          <w:numId w:val="721"/>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371276">
        <w:rPr>
          <w:rFonts w:ascii="Times New Roman" w:eastAsia="Times New Roman" w:hAnsi="Times New Roman" w:cs="Times New Roman"/>
          <w:color w:val="000000"/>
          <w:lang w:eastAsia="hu-HU"/>
        </w:rPr>
        <w:t>Szakterületén belül képes rendszer-szemléletűen gondolkodni.</w:t>
      </w:r>
    </w:p>
    <w:p w:rsidR="00371276" w:rsidRPr="00371276" w:rsidRDefault="00371276" w:rsidP="00371276">
      <w:pPr>
        <w:autoSpaceDE w:val="0"/>
        <w:autoSpaceDN w:val="0"/>
        <w:adjustRightInd w:val="0"/>
        <w:spacing w:before="120" w:after="0" w:line="240" w:lineRule="auto"/>
        <w:ind w:left="646"/>
        <w:jc w:val="both"/>
        <w:rPr>
          <w:rFonts w:ascii="Times New Roman" w:eastAsia="Times New Roman" w:hAnsi="Times New Roman" w:cs="Times New Roman"/>
          <w:b/>
          <w:color w:val="000000"/>
          <w:lang w:eastAsia="hu-HU"/>
        </w:rPr>
      </w:pPr>
      <w:r w:rsidRPr="00371276">
        <w:rPr>
          <w:rFonts w:ascii="Times New Roman" w:eastAsia="Times New Roman" w:hAnsi="Times New Roman" w:cs="Times New Roman"/>
          <w:b/>
          <w:color w:val="000000"/>
          <w:lang w:eastAsia="hu-HU"/>
        </w:rPr>
        <w:t>Elérendő kompetenciák (angolul):</w:t>
      </w:r>
    </w:p>
    <w:p w:rsidR="00371276" w:rsidRPr="00371276" w:rsidRDefault="00371276" w:rsidP="00371276">
      <w:pPr>
        <w:autoSpaceDE w:val="0"/>
        <w:autoSpaceDN w:val="0"/>
        <w:adjustRightInd w:val="0"/>
        <w:spacing w:before="120" w:after="0" w:line="240" w:lineRule="auto"/>
        <w:ind w:left="646"/>
        <w:jc w:val="both"/>
        <w:rPr>
          <w:rFonts w:ascii="Times New Roman" w:eastAsia="Times New Roman" w:hAnsi="Times New Roman" w:cs="Times New Roman"/>
          <w:b/>
          <w:color w:val="000000"/>
          <w:lang w:eastAsia="hu-HU"/>
        </w:rPr>
      </w:pPr>
      <w:r w:rsidRPr="00371276">
        <w:rPr>
          <w:rFonts w:ascii="Times New Roman" w:eastAsia="Times New Roman" w:hAnsi="Times New Roman" w:cs="Times New Roman"/>
          <w:b/>
          <w:color w:val="000000"/>
          <w:lang w:eastAsia="hu-HU"/>
        </w:rPr>
        <w:t xml:space="preserve">Knowledge: </w:t>
      </w:r>
    </w:p>
    <w:p w:rsidR="00371276" w:rsidRPr="00371276" w:rsidRDefault="00371276" w:rsidP="00980876">
      <w:pPr>
        <w:numPr>
          <w:ilvl w:val="0"/>
          <w:numId w:val="721"/>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371276">
        <w:rPr>
          <w:rFonts w:ascii="Times New Roman" w:eastAsia="Times New Roman" w:hAnsi="Times New Roman" w:cs="Times New Roman"/>
          <w:color w:val="000000"/>
          <w:lang w:eastAsia="hu-HU"/>
        </w:rPr>
        <w:t>Possesses adequate basic engineering knowledge which enables the acquirement of new knowledge.</w:t>
      </w:r>
    </w:p>
    <w:p w:rsidR="00371276" w:rsidRPr="00371276" w:rsidRDefault="00371276" w:rsidP="00980876">
      <w:pPr>
        <w:numPr>
          <w:ilvl w:val="0"/>
          <w:numId w:val="721"/>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371276">
        <w:rPr>
          <w:rFonts w:ascii="Times New Roman" w:eastAsia="Times New Roman" w:hAnsi="Times New Roman" w:cs="Times New Roman"/>
          <w:color w:val="000000"/>
          <w:lang w:eastAsia="hu-HU"/>
        </w:rPr>
        <w:t>Knows the range of materials required for the maintenance of the wepon.</w:t>
      </w:r>
    </w:p>
    <w:p w:rsidR="00371276" w:rsidRPr="00371276" w:rsidRDefault="00371276" w:rsidP="00980876">
      <w:pPr>
        <w:numPr>
          <w:ilvl w:val="0"/>
          <w:numId w:val="721"/>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371276">
        <w:rPr>
          <w:rFonts w:ascii="Times New Roman" w:eastAsia="Times New Roman" w:hAnsi="Times New Roman" w:cs="Times New Roman"/>
          <w:color w:val="000000"/>
          <w:lang w:eastAsia="hu-HU"/>
        </w:rPr>
        <w:t>Knows the work safety regulations required for fulfilling his/her professional tasks.</w:t>
      </w:r>
    </w:p>
    <w:p w:rsidR="00371276" w:rsidRPr="00371276" w:rsidRDefault="00371276" w:rsidP="00980876">
      <w:pPr>
        <w:numPr>
          <w:ilvl w:val="0"/>
          <w:numId w:val="721"/>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371276">
        <w:rPr>
          <w:rFonts w:ascii="Times New Roman" w:eastAsia="Times New Roman" w:hAnsi="Times New Roman" w:cs="Times New Roman"/>
          <w:color w:val="000000"/>
          <w:lang w:eastAsia="hu-HU"/>
        </w:rPr>
        <w:t>Possesses knowledge of adequate depth and spectrum regarding weapon types.</w:t>
      </w:r>
    </w:p>
    <w:p w:rsidR="00371276" w:rsidRPr="00371276" w:rsidRDefault="00371276" w:rsidP="00371276">
      <w:pPr>
        <w:autoSpaceDE w:val="0"/>
        <w:autoSpaceDN w:val="0"/>
        <w:adjustRightInd w:val="0"/>
        <w:spacing w:before="120" w:after="0" w:line="240" w:lineRule="auto"/>
        <w:ind w:left="646"/>
        <w:jc w:val="both"/>
        <w:rPr>
          <w:rFonts w:ascii="Times New Roman" w:eastAsia="Times New Roman" w:hAnsi="Times New Roman" w:cs="Times New Roman"/>
          <w:b/>
          <w:color w:val="000000"/>
          <w:lang w:eastAsia="hu-HU"/>
        </w:rPr>
      </w:pPr>
      <w:r w:rsidRPr="00371276">
        <w:rPr>
          <w:rFonts w:ascii="Times New Roman" w:eastAsia="Times New Roman" w:hAnsi="Times New Roman" w:cs="Times New Roman"/>
          <w:b/>
          <w:color w:val="000000"/>
          <w:lang w:eastAsia="hu-HU"/>
        </w:rPr>
        <w:t>Capabilities:</w:t>
      </w:r>
    </w:p>
    <w:p w:rsidR="00371276" w:rsidRPr="00371276" w:rsidRDefault="00371276" w:rsidP="00980876">
      <w:pPr>
        <w:numPr>
          <w:ilvl w:val="0"/>
          <w:numId w:val="721"/>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371276">
        <w:rPr>
          <w:rFonts w:ascii="Times New Roman" w:eastAsia="Times New Roman" w:hAnsi="Times New Roman" w:cs="Times New Roman"/>
          <w:color w:val="000000"/>
          <w:lang w:eastAsia="hu-HU"/>
        </w:rPr>
        <w:t>Is capable of organizing and efficiently utilizing the usage of the equipment and technical appliances applied in his/her respective specialty field.</w:t>
      </w:r>
    </w:p>
    <w:p w:rsidR="00371276" w:rsidRPr="00371276" w:rsidRDefault="00371276" w:rsidP="00980876">
      <w:pPr>
        <w:numPr>
          <w:ilvl w:val="0"/>
          <w:numId w:val="721"/>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371276">
        <w:rPr>
          <w:rFonts w:ascii="Times New Roman" w:eastAsia="Times New Roman" w:hAnsi="Times New Roman" w:cs="Times New Roman"/>
          <w:color w:val="000000"/>
          <w:lang w:eastAsia="hu-HU"/>
        </w:rPr>
        <w:t>Is capable of acqiring the understaning of new engineering information arising in his/her field of specialty using the already gained knowldge</w:t>
      </w:r>
    </w:p>
    <w:p w:rsidR="00371276" w:rsidRPr="00371276" w:rsidRDefault="00371276" w:rsidP="00371276">
      <w:pPr>
        <w:autoSpaceDE w:val="0"/>
        <w:autoSpaceDN w:val="0"/>
        <w:adjustRightInd w:val="0"/>
        <w:spacing w:before="120" w:after="0" w:line="240" w:lineRule="auto"/>
        <w:ind w:left="646"/>
        <w:jc w:val="both"/>
        <w:rPr>
          <w:rFonts w:ascii="Times New Roman" w:eastAsia="Times New Roman" w:hAnsi="Times New Roman" w:cs="Times New Roman"/>
          <w:b/>
          <w:color w:val="000000"/>
          <w:lang w:eastAsia="hu-HU"/>
        </w:rPr>
      </w:pPr>
      <w:r w:rsidRPr="00371276">
        <w:rPr>
          <w:rFonts w:ascii="Times New Roman" w:eastAsia="Times New Roman" w:hAnsi="Times New Roman" w:cs="Times New Roman"/>
          <w:b/>
          <w:color w:val="000000"/>
          <w:lang w:eastAsia="hu-HU"/>
        </w:rPr>
        <w:t>Attitude:</w:t>
      </w:r>
    </w:p>
    <w:p w:rsidR="00371276" w:rsidRPr="00371276" w:rsidRDefault="00371276" w:rsidP="00980876">
      <w:pPr>
        <w:numPr>
          <w:ilvl w:val="0"/>
          <w:numId w:val="721"/>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371276">
        <w:rPr>
          <w:rFonts w:ascii="Times New Roman" w:eastAsia="Times New Roman" w:hAnsi="Times New Roman" w:cs="Times New Roman"/>
          <w:color w:val="000000"/>
          <w:lang w:eastAsia="hu-HU"/>
        </w:rPr>
        <w:t>He/she is open to widen his/her knowledge regarding weapon and has a constant need for self-education.</w:t>
      </w:r>
    </w:p>
    <w:p w:rsidR="00371276" w:rsidRPr="00371276" w:rsidRDefault="00371276" w:rsidP="00980876">
      <w:pPr>
        <w:numPr>
          <w:ilvl w:val="0"/>
          <w:numId w:val="721"/>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371276">
        <w:rPr>
          <w:rFonts w:ascii="Times New Roman" w:eastAsia="Times New Roman" w:hAnsi="Times New Roman" w:cs="Times New Roman"/>
          <w:color w:val="000000"/>
          <w:lang w:eastAsia="hu-HU"/>
        </w:rPr>
        <w:t>He/she is open towards the new accomplishments of military technology and aims to gain knowledge of these.</w:t>
      </w:r>
    </w:p>
    <w:p w:rsidR="00371276" w:rsidRPr="00371276" w:rsidRDefault="00371276" w:rsidP="00371276">
      <w:pPr>
        <w:autoSpaceDE w:val="0"/>
        <w:autoSpaceDN w:val="0"/>
        <w:adjustRightInd w:val="0"/>
        <w:spacing w:before="120" w:after="0" w:line="240" w:lineRule="auto"/>
        <w:ind w:left="646"/>
        <w:jc w:val="both"/>
        <w:rPr>
          <w:rFonts w:ascii="Times New Roman" w:eastAsia="Times New Roman" w:hAnsi="Times New Roman" w:cs="Times New Roman"/>
          <w:b/>
          <w:color w:val="000000"/>
          <w:lang w:eastAsia="hu-HU"/>
        </w:rPr>
      </w:pPr>
      <w:r w:rsidRPr="00371276">
        <w:rPr>
          <w:rFonts w:ascii="Times New Roman" w:eastAsia="Times New Roman" w:hAnsi="Times New Roman" w:cs="Times New Roman"/>
          <w:b/>
          <w:color w:val="000000"/>
          <w:lang w:eastAsia="hu-HU"/>
        </w:rPr>
        <w:t>Autonomy and responsibility</w:t>
      </w:r>
    </w:p>
    <w:p w:rsidR="00371276" w:rsidRPr="00371276" w:rsidRDefault="00371276" w:rsidP="00980876">
      <w:pPr>
        <w:numPr>
          <w:ilvl w:val="0"/>
          <w:numId w:val="721"/>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371276">
        <w:rPr>
          <w:rFonts w:ascii="Times New Roman" w:eastAsia="Times New Roman" w:hAnsi="Times New Roman" w:cs="Times New Roman"/>
          <w:color w:val="000000"/>
          <w:lang w:eastAsia="hu-HU"/>
        </w:rPr>
        <w:t>Is capable of independently fulfilling his/her professional tasks as well as effectively organizing and executing his/her own work.</w:t>
      </w:r>
    </w:p>
    <w:p w:rsidR="00371276" w:rsidRPr="00371276" w:rsidRDefault="00371276" w:rsidP="00980876">
      <w:pPr>
        <w:numPr>
          <w:ilvl w:val="0"/>
          <w:numId w:val="721"/>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371276">
        <w:rPr>
          <w:rFonts w:ascii="Times New Roman" w:eastAsia="Times New Roman" w:hAnsi="Times New Roman" w:cs="Times New Roman"/>
          <w:color w:val="000000"/>
          <w:lang w:eastAsia="hu-HU"/>
        </w:rPr>
        <w:t>He/she is cooperative and responsible towards the professionals of his/her field.</w:t>
      </w:r>
    </w:p>
    <w:p w:rsidR="00371276" w:rsidRPr="00371276" w:rsidRDefault="00371276" w:rsidP="00980876">
      <w:pPr>
        <w:numPr>
          <w:ilvl w:val="0"/>
          <w:numId w:val="721"/>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371276">
        <w:rPr>
          <w:rFonts w:ascii="Times New Roman" w:eastAsia="Times New Roman" w:hAnsi="Times New Roman" w:cs="Times New Roman"/>
          <w:color w:val="000000"/>
          <w:lang w:eastAsia="hu-HU"/>
        </w:rPr>
        <w:t>Is capable of thinking in a system approach within his/her own field.</w:t>
      </w:r>
    </w:p>
    <w:p w:rsidR="00371276" w:rsidRPr="00371276" w:rsidRDefault="00371276" w:rsidP="00980876">
      <w:pPr>
        <w:numPr>
          <w:ilvl w:val="0"/>
          <w:numId w:val="723"/>
        </w:numPr>
        <w:tabs>
          <w:tab w:val="clear" w:pos="720"/>
          <w:tab w:val="right" w:pos="900"/>
          <w:tab w:val="center" w:pos="4536"/>
          <w:tab w:val="right" w:pos="9071"/>
        </w:tabs>
        <w:spacing w:before="120" w:after="0" w:line="240" w:lineRule="auto"/>
        <w:ind w:left="426" w:hanging="142"/>
        <w:jc w:val="both"/>
        <w:rPr>
          <w:rFonts w:ascii="Times New Roman" w:eastAsia="Times New Roman" w:hAnsi="Times New Roman" w:cs="Times New Roman"/>
          <w:bCs/>
          <w:lang w:eastAsia="hu-HU"/>
        </w:rPr>
      </w:pPr>
      <w:r w:rsidRPr="00371276">
        <w:rPr>
          <w:rFonts w:ascii="Times New Roman" w:eastAsia="Times New Roman" w:hAnsi="Times New Roman" w:cs="Times New Roman"/>
          <w:b/>
          <w:bCs/>
          <w:lang w:eastAsia="hu-HU"/>
        </w:rPr>
        <w:t xml:space="preserve">Előtanulmányi kötelezettségek:  - </w:t>
      </w:r>
    </w:p>
    <w:p w:rsidR="001F4B47" w:rsidRDefault="001F4B47">
      <w:pPr>
        <w:spacing w:after="200" w:line="276" w:lineRule="auto"/>
        <w:rPr>
          <w:rFonts w:ascii="Times New Roman" w:eastAsia="Times New Roman" w:hAnsi="Times New Roman" w:cs="Times New Roman"/>
          <w:b/>
          <w:lang w:eastAsia="hu-HU"/>
        </w:rPr>
      </w:pPr>
      <w:r>
        <w:rPr>
          <w:rFonts w:ascii="Times New Roman" w:eastAsia="Times New Roman" w:hAnsi="Times New Roman" w:cs="Times New Roman"/>
          <w:b/>
          <w:lang w:eastAsia="hu-HU"/>
        </w:rPr>
        <w:br w:type="page"/>
      </w:r>
    </w:p>
    <w:p w:rsidR="00371276" w:rsidRPr="00371276" w:rsidRDefault="00371276" w:rsidP="00980876">
      <w:pPr>
        <w:numPr>
          <w:ilvl w:val="0"/>
          <w:numId w:val="723"/>
        </w:numPr>
        <w:tabs>
          <w:tab w:val="clear" w:pos="720"/>
          <w:tab w:val="right" w:pos="900"/>
          <w:tab w:val="center" w:pos="4536"/>
          <w:tab w:val="right" w:pos="9071"/>
        </w:tabs>
        <w:spacing w:before="120" w:after="0" w:line="240" w:lineRule="auto"/>
        <w:ind w:left="426" w:hanging="142"/>
        <w:jc w:val="both"/>
        <w:rPr>
          <w:rFonts w:ascii="Times New Roman" w:eastAsia="Times New Roman" w:hAnsi="Times New Roman" w:cs="Times New Roman"/>
          <w:b/>
          <w:lang w:eastAsia="hu-HU"/>
        </w:rPr>
      </w:pPr>
      <w:r w:rsidRPr="00371276">
        <w:rPr>
          <w:rFonts w:ascii="Times New Roman" w:eastAsia="Times New Roman" w:hAnsi="Times New Roman" w:cs="Times New Roman"/>
          <w:b/>
          <w:lang w:eastAsia="hu-HU"/>
        </w:rPr>
        <w:lastRenderedPageBreak/>
        <w:t xml:space="preserve">A </w:t>
      </w:r>
      <w:r w:rsidRPr="00371276">
        <w:rPr>
          <w:rFonts w:ascii="Times New Roman" w:eastAsia="Times New Roman" w:hAnsi="Times New Roman" w:cs="Times New Roman"/>
          <w:b/>
          <w:bCs/>
          <w:lang w:eastAsia="hu-HU"/>
        </w:rPr>
        <w:t>tantárgy</w:t>
      </w:r>
      <w:r w:rsidRPr="00371276">
        <w:rPr>
          <w:rFonts w:ascii="Times New Roman" w:eastAsia="Times New Roman" w:hAnsi="Times New Roman" w:cs="Times New Roman"/>
          <w:b/>
          <w:lang w:eastAsia="hu-HU"/>
        </w:rPr>
        <w:t xml:space="preserve"> tananyagának leírása: (tematika): </w:t>
      </w:r>
    </w:p>
    <w:p w:rsidR="00371276" w:rsidRPr="00371276" w:rsidRDefault="00371276" w:rsidP="00980876">
      <w:pPr>
        <w:numPr>
          <w:ilvl w:val="1"/>
          <w:numId w:val="723"/>
        </w:numPr>
        <w:tabs>
          <w:tab w:val="clear" w:pos="3977"/>
        </w:tabs>
        <w:spacing w:before="120" w:after="0" w:line="240" w:lineRule="auto"/>
        <w:ind w:left="1134" w:hanging="566"/>
        <w:jc w:val="both"/>
        <w:rPr>
          <w:rFonts w:ascii="Times New Roman" w:eastAsia="Times New Roman" w:hAnsi="Times New Roman" w:cs="Times New Roman"/>
          <w:b/>
          <w:i/>
          <w:lang w:eastAsia="hu-HU"/>
        </w:rPr>
      </w:pPr>
      <w:r w:rsidRPr="00371276">
        <w:rPr>
          <w:rFonts w:ascii="Times New Roman" w:eastAsia="Times New Roman" w:hAnsi="Times New Roman" w:cs="Times New Roman"/>
          <w:lang w:eastAsia="hu-HU"/>
        </w:rPr>
        <w:t xml:space="preserve">A rakétatechnika elméleti alapjai. Reális közegben mozgó testek fizikája. </w:t>
      </w:r>
      <w:r w:rsidRPr="00371276">
        <w:rPr>
          <w:rFonts w:ascii="Times New Roman" w:eastAsia="Times New Roman" w:hAnsi="Times New Roman" w:cs="Times New Roman"/>
          <w:i/>
          <w:lang w:eastAsia="hu-HU"/>
        </w:rPr>
        <w:t>(Theoretical basics of rocket technology. Physics of bodies moving in realistic environments.)</w:t>
      </w:r>
    </w:p>
    <w:p w:rsidR="00371276" w:rsidRPr="00371276" w:rsidRDefault="00371276" w:rsidP="00980876">
      <w:pPr>
        <w:numPr>
          <w:ilvl w:val="1"/>
          <w:numId w:val="723"/>
        </w:numPr>
        <w:tabs>
          <w:tab w:val="clear" w:pos="3977"/>
        </w:tabs>
        <w:spacing w:before="120" w:after="0" w:line="240" w:lineRule="auto"/>
        <w:ind w:left="1134" w:hanging="566"/>
        <w:jc w:val="both"/>
        <w:rPr>
          <w:rFonts w:ascii="Times New Roman" w:eastAsia="Times New Roman" w:hAnsi="Times New Roman" w:cs="Times New Roman"/>
          <w:i/>
          <w:lang w:eastAsia="hu-HU"/>
        </w:rPr>
      </w:pPr>
      <w:r w:rsidRPr="00371276">
        <w:rPr>
          <w:rFonts w:ascii="Times New Roman" w:eastAsia="Times New Roman" w:hAnsi="Times New Roman" w:cs="Times New Roman"/>
          <w:lang w:eastAsia="hu-HU"/>
        </w:rPr>
        <w:t xml:space="preserve">Rakétairányítási (rávezetési módok). Az irányított páncéltörő rakéták főbb paraméterei, alapvető szerkezeti egységei, azok jellemzői. </w:t>
      </w:r>
      <w:r w:rsidRPr="00371276">
        <w:rPr>
          <w:rFonts w:ascii="Times New Roman" w:eastAsia="Times New Roman" w:hAnsi="Times New Roman" w:cs="Times New Roman"/>
          <w:i/>
          <w:lang w:eastAsia="hu-HU"/>
        </w:rPr>
        <w:t>(Rocket control (lead modes). Main parameters, basic structural units, characteristics of guided anti-tank missiles.)</w:t>
      </w:r>
    </w:p>
    <w:p w:rsidR="00371276" w:rsidRPr="00371276" w:rsidRDefault="00371276" w:rsidP="00980876">
      <w:pPr>
        <w:numPr>
          <w:ilvl w:val="1"/>
          <w:numId w:val="723"/>
        </w:numPr>
        <w:tabs>
          <w:tab w:val="clear" w:pos="3977"/>
        </w:tabs>
        <w:spacing w:before="120" w:after="0" w:line="240" w:lineRule="auto"/>
        <w:ind w:left="1134" w:hanging="566"/>
        <w:jc w:val="both"/>
        <w:rPr>
          <w:rFonts w:ascii="Times New Roman" w:eastAsia="Times New Roman" w:hAnsi="Times New Roman" w:cs="Times New Roman"/>
          <w:i/>
          <w:lang w:eastAsia="hu-HU"/>
        </w:rPr>
      </w:pPr>
      <w:r w:rsidRPr="00371276">
        <w:rPr>
          <w:rFonts w:ascii="Times New Roman" w:eastAsia="Times New Roman" w:hAnsi="Times New Roman" w:cs="Times New Roman"/>
          <w:lang w:eastAsia="hu-HU"/>
        </w:rPr>
        <w:t>A rakéták kormányzásának módszerei, a kormányszervek szerkezeti kialakítása, működése</w:t>
      </w:r>
      <w:r w:rsidRPr="00371276">
        <w:rPr>
          <w:rFonts w:ascii="Times New Roman" w:eastAsia="Times New Roman" w:hAnsi="Times New Roman" w:cs="Times New Roman"/>
          <w:i/>
          <w:lang w:eastAsia="hu-HU"/>
        </w:rPr>
        <w:t>. (Methods of rocket steering, structural design and operation of steering organs.)</w:t>
      </w:r>
    </w:p>
    <w:p w:rsidR="00371276" w:rsidRPr="00371276" w:rsidRDefault="00371276" w:rsidP="00980876">
      <w:pPr>
        <w:numPr>
          <w:ilvl w:val="1"/>
          <w:numId w:val="723"/>
        </w:numPr>
        <w:tabs>
          <w:tab w:val="clear" w:pos="3977"/>
        </w:tabs>
        <w:spacing w:before="120" w:after="0" w:line="240" w:lineRule="auto"/>
        <w:ind w:left="1134" w:hanging="566"/>
        <w:jc w:val="both"/>
        <w:rPr>
          <w:rFonts w:ascii="Times New Roman" w:eastAsia="Times New Roman" w:hAnsi="Times New Roman" w:cs="Times New Roman"/>
          <w:i/>
          <w:lang w:eastAsia="hu-HU"/>
        </w:rPr>
      </w:pPr>
      <w:r w:rsidRPr="00371276">
        <w:rPr>
          <w:rFonts w:ascii="Times New Roman" w:eastAsia="Times New Roman" w:hAnsi="Times New Roman" w:cs="Times New Roman"/>
          <w:lang w:eastAsia="hu-HU"/>
        </w:rPr>
        <w:t xml:space="preserve">A harci részek kialakítása, működésének hatásmechanizmusa, szerkezeti kialakítása. </w:t>
      </w:r>
      <w:r w:rsidRPr="00371276">
        <w:rPr>
          <w:rFonts w:ascii="Times New Roman" w:eastAsia="Times New Roman" w:hAnsi="Times New Roman" w:cs="Times New Roman"/>
          <w:i/>
          <w:lang w:eastAsia="hu-HU"/>
        </w:rPr>
        <w:t>(The formation of the combat parts, the mechanism of its operation, the structural design.)</w:t>
      </w:r>
    </w:p>
    <w:p w:rsidR="00371276" w:rsidRPr="00371276" w:rsidRDefault="00371276" w:rsidP="00980876">
      <w:pPr>
        <w:numPr>
          <w:ilvl w:val="1"/>
          <w:numId w:val="723"/>
        </w:numPr>
        <w:tabs>
          <w:tab w:val="clear" w:pos="3977"/>
        </w:tabs>
        <w:spacing w:before="120" w:after="0" w:line="240" w:lineRule="auto"/>
        <w:ind w:left="1134" w:hanging="566"/>
        <w:jc w:val="both"/>
        <w:rPr>
          <w:rFonts w:ascii="Times New Roman" w:eastAsia="Times New Roman" w:hAnsi="Times New Roman" w:cs="Times New Roman"/>
          <w:i/>
          <w:lang w:eastAsia="hu-HU"/>
        </w:rPr>
      </w:pPr>
      <w:r w:rsidRPr="00371276">
        <w:rPr>
          <w:rFonts w:ascii="Times New Roman" w:eastAsia="Times New Roman" w:hAnsi="Times New Roman" w:cs="Times New Roman"/>
          <w:lang w:eastAsia="hu-HU"/>
        </w:rPr>
        <w:t xml:space="preserve">Rakétahajtóművek feladata, szerkezeti kialakítása, működése. Fedélzeti irányító berendezések szerkezeti felépítése, működése. </w:t>
      </w:r>
      <w:r w:rsidRPr="00371276">
        <w:rPr>
          <w:rFonts w:ascii="Times New Roman" w:eastAsia="Times New Roman" w:hAnsi="Times New Roman" w:cs="Times New Roman"/>
          <w:i/>
          <w:lang w:eastAsia="hu-HU"/>
        </w:rPr>
        <w:t>(The task, structural design and operation of rocket engines. Construction and operation of on-board control equipment.)</w:t>
      </w:r>
    </w:p>
    <w:p w:rsidR="00371276" w:rsidRPr="00371276" w:rsidRDefault="00371276" w:rsidP="00980876">
      <w:pPr>
        <w:numPr>
          <w:ilvl w:val="1"/>
          <w:numId w:val="723"/>
        </w:numPr>
        <w:tabs>
          <w:tab w:val="clear" w:pos="3977"/>
        </w:tabs>
        <w:spacing w:before="120" w:after="0" w:line="240" w:lineRule="auto"/>
        <w:ind w:left="1134" w:hanging="566"/>
        <w:jc w:val="both"/>
        <w:rPr>
          <w:rFonts w:ascii="Times New Roman" w:eastAsia="Times New Roman" w:hAnsi="Times New Roman" w:cs="Times New Roman"/>
          <w:i/>
          <w:lang w:eastAsia="hu-HU"/>
        </w:rPr>
      </w:pPr>
      <w:r w:rsidRPr="00371276">
        <w:rPr>
          <w:rFonts w:ascii="Times New Roman" w:eastAsia="Times New Roman" w:hAnsi="Times New Roman" w:cs="Times New Roman"/>
          <w:lang w:eastAsia="hu-HU"/>
        </w:rPr>
        <w:t xml:space="preserve">Hordozható indítóállványok szerkezeti kialakítása, működése különböző üzemmódokban. </w:t>
      </w:r>
      <w:r w:rsidRPr="00371276">
        <w:rPr>
          <w:rFonts w:ascii="Times New Roman" w:eastAsia="Times New Roman" w:hAnsi="Times New Roman" w:cs="Times New Roman"/>
          <w:i/>
          <w:lang w:eastAsia="hu-HU"/>
        </w:rPr>
        <w:t>(Design and operation of portable launchers in various modes.)</w:t>
      </w:r>
    </w:p>
    <w:p w:rsidR="00371276" w:rsidRPr="00371276" w:rsidRDefault="00371276" w:rsidP="00980876">
      <w:pPr>
        <w:numPr>
          <w:ilvl w:val="1"/>
          <w:numId w:val="723"/>
        </w:numPr>
        <w:tabs>
          <w:tab w:val="clear" w:pos="3977"/>
        </w:tabs>
        <w:spacing w:before="120" w:after="0" w:line="240" w:lineRule="auto"/>
        <w:ind w:left="1134" w:hanging="566"/>
        <w:jc w:val="both"/>
        <w:rPr>
          <w:rFonts w:ascii="Times New Roman" w:eastAsia="Times New Roman" w:hAnsi="Times New Roman" w:cs="Times New Roman"/>
          <w:i/>
          <w:lang w:eastAsia="hu-HU"/>
        </w:rPr>
      </w:pPr>
      <w:r w:rsidRPr="00371276">
        <w:rPr>
          <w:rFonts w:ascii="Times New Roman" w:eastAsia="Times New Roman" w:hAnsi="Times New Roman" w:cs="Times New Roman"/>
          <w:lang w:eastAsia="hu-HU"/>
        </w:rPr>
        <w:t xml:space="preserve">A páncéltörő rakéták irányító rendszerei működésének elvi alapjai (kézi- félautomatikus és automatikus irányítási üzemmódok jellemzői). </w:t>
      </w:r>
      <w:r w:rsidRPr="00371276">
        <w:rPr>
          <w:rFonts w:ascii="Times New Roman" w:eastAsia="Times New Roman" w:hAnsi="Times New Roman" w:cs="Times New Roman"/>
          <w:i/>
          <w:lang w:eastAsia="hu-HU"/>
        </w:rPr>
        <w:t>(Principles of operation of anti-tank missile guidance systems (characteristics of manual and automatic guidance modes).)</w:t>
      </w:r>
    </w:p>
    <w:p w:rsidR="00371276" w:rsidRPr="00371276" w:rsidRDefault="00371276" w:rsidP="00980876">
      <w:pPr>
        <w:numPr>
          <w:ilvl w:val="1"/>
          <w:numId w:val="723"/>
        </w:numPr>
        <w:tabs>
          <w:tab w:val="clear" w:pos="3977"/>
        </w:tabs>
        <w:spacing w:before="120" w:after="0" w:line="240" w:lineRule="auto"/>
        <w:ind w:left="1134" w:hanging="566"/>
        <w:jc w:val="both"/>
        <w:rPr>
          <w:rFonts w:ascii="Times New Roman" w:eastAsia="Times New Roman" w:hAnsi="Times New Roman" w:cs="Times New Roman"/>
          <w:i/>
          <w:lang w:eastAsia="hu-HU"/>
        </w:rPr>
      </w:pPr>
      <w:r w:rsidRPr="00371276">
        <w:rPr>
          <w:rFonts w:ascii="Times New Roman" w:eastAsia="Times New Roman" w:hAnsi="Times New Roman" w:cs="Times New Roman"/>
          <w:lang w:eastAsia="hu-HU"/>
        </w:rPr>
        <w:t>A földi irányítóberendezés rendeltetése, felépítése, működése</w:t>
      </w:r>
      <w:r w:rsidRPr="00371276">
        <w:rPr>
          <w:rFonts w:ascii="Times New Roman" w:eastAsia="Times New Roman" w:hAnsi="Times New Roman" w:cs="Times New Roman"/>
          <w:i/>
          <w:lang w:eastAsia="hu-HU"/>
        </w:rPr>
        <w:t>. (Purpose, construction and operation of ground control equipment.)</w:t>
      </w:r>
    </w:p>
    <w:p w:rsidR="00371276" w:rsidRPr="00371276" w:rsidRDefault="00371276" w:rsidP="00980876">
      <w:pPr>
        <w:numPr>
          <w:ilvl w:val="1"/>
          <w:numId w:val="723"/>
        </w:numPr>
        <w:tabs>
          <w:tab w:val="clear" w:pos="3977"/>
        </w:tabs>
        <w:spacing w:before="120" w:after="0" w:line="240" w:lineRule="auto"/>
        <w:ind w:left="1134" w:hanging="566"/>
        <w:jc w:val="both"/>
        <w:rPr>
          <w:rFonts w:ascii="Times New Roman" w:eastAsia="Times New Roman" w:hAnsi="Times New Roman" w:cs="Times New Roman"/>
          <w:i/>
          <w:lang w:eastAsia="hu-HU"/>
        </w:rPr>
      </w:pPr>
      <w:r w:rsidRPr="00371276">
        <w:rPr>
          <w:rFonts w:ascii="Times New Roman" w:eastAsia="Times New Roman" w:hAnsi="Times New Roman" w:cs="Times New Roman"/>
          <w:lang w:eastAsia="hu-HU"/>
        </w:rPr>
        <w:t xml:space="preserve">A hordozható indítóállványok infrapelengátorai. Az infrapelengátorok rendeltetése, összetétele, működési elve, működése tömbvázlat alapján különböző üzemmódokban. Az irányzóműszerek szerkezeti kialakítása. </w:t>
      </w:r>
      <w:r w:rsidRPr="00371276">
        <w:rPr>
          <w:rFonts w:ascii="Times New Roman" w:eastAsia="Times New Roman" w:hAnsi="Times New Roman" w:cs="Times New Roman"/>
          <w:i/>
          <w:lang w:eastAsia="hu-HU"/>
        </w:rPr>
        <w:t>(Infrared Portable Launchers. Purpose, composition, operation principle and operation of infrared fans in different modes according to the block diagram. Structural design of pointing devices.)</w:t>
      </w:r>
    </w:p>
    <w:p w:rsidR="00371276" w:rsidRPr="00371276" w:rsidRDefault="00371276" w:rsidP="00980876">
      <w:pPr>
        <w:numPr>
          <w:ilvl w:val="1"/>
          <w:numId w:val="723"/>
        </w:numPr>
        <w:tabs>
          <w:tab w:val="clear" w:pos="3977"/>
        </w:tabs>
        <w:spacing w:before="120" w:after="0" w:line="240" w:lineRule="auto"/>
        <w:ind w:left="1134" w:hanging="566"/>
        <w:jc w:val="both"/>
        <w:rPr>
          <w:rFonts w:ascii="Times New Roman" w:eastAsia="Times New Roman" w:hAnsi="Times New Roman" w:cs="Times New Roman"/>
          <w:i/>
          <w:lang w:eastAsia="hu-HU"/>
        </w:rPr>
      </w:pPr>
      <w:r w:rsidRPr="00371276">
        <w:rPr>
          <w:rFonts w:ascii="Times New Roman" w:eastAsia="Times New Roman" w:hAnsi="Times New Roman" w:cs="Times New Roman"/>
          <w:lang w:eastAsia="hu-HU"/>
        </w:rPr>
        <w:t xml:space="preserve">A műszeregység rendeltetése, összetétele, szerkezeti kialakítása, működése különböző üzemmódokban tömbvázlat alapján. </w:t>
      </w:r>
      <w:r w:rsidRPr="00371276">
        <w:rPr>
          <w:rFonts w:ascii="Times New Roman" w:eastAsia="Times New Roman" w:hAnsi="Times New Roman" w:cs="Times New Roman"/>
          <w:i/>
          <w:lang w:eastAsia="hu-HU"/>
        </w:rPr>
        <w:t>(Purpose, composition, construction, operation of the instrument unit in various modes based on a block diagram.)</w:t>
      </w:r>
    </w:p>
    <w:p w:rsidR="00371276" w:rsidRPr="00371276" w:rsidRDefault="00371276" w:rsidP="00980876">
      <w:pPr>
        <w:numPr>
          <w:ilvl w:val="1"/>
          <w:numId w:val="723"/>
        </w:numPr>
        <w:tabs>
          <w:tab w:val="clear" w:pos="3977"/>
        </w:tabs>
        <w:spacing w:before="120" w:after="0" w:line="240" w:lineRule="auto"/>
        <w:ind w:left="1134" w:hanging="566"/>
        <w:jc w:val="both"/>
        <w:rPr>
          <w:rFonts w:ascii="Times New Roman" w:eastAsia="Times New Roman" w:hAnsi="Times New Roman" w:cs="Times New Roman"/>
          <w:i/>
          <w:lang w:eastAsia="hu-HU"/>
        </w:rPr>
      </w:pPr>
      <w:r w:rsidRPr="00371276">
        <w:rPr>
          <w:rFonts w:ascii="Times New Roman" w:eastAsia="Times New Roman" w:hAnsi="Times New Roman" w:cs="Times New Roman"/>
          <w:lang w:eastAsia="hu-HU"/>
        </w:rPr>
        <w:t xml:space="preserve">A hordozható indítóállványok üzemeltetése különböző üzemmódokban. 9P148 indítóállvány rendeltetése, összetétele, főbb jellemzői, szerkezeti kialakítása, üzemmódjai. </w:t>
      </w:r>
      <w:r w:rsidRPr="00371276">
        <w:rPr>
          <w:rFonts w:ascii="Times New Roman" w:eastAsia="Times New Roman" w:hAnsi="Times New Roman" w:cs="Times New Roman"/>
          <w:i/>
          <w:lang w:eastAsia="hu-HU"/>
        </w:rPr>
        <w:t>(Operation of portable launchers in various modes. Purpose, composition, main characteristics, construction, modes of operation of 9P148 launcher.)</w:t>
      </w:r>
    </w:p>
    <w:p w:rsidR="00371276" w:rsidRPr="00371276" w:rsidRDefault="00371276" w:rsidP="00980876">
      <w:pPr>
        <w:numPr>
          <w:ilvl w:val="1"/>
          <w:numId w:val="723"/>
        </w:numPr>
        <w:tabs>
          <w:tab w:val="clear" w:pos="3977"/>
        </w:tabs>
        <w:spacing w:before="120" w:after="0" w:line="240" w:lineRule="auto"/>
        <w:ind w:left="1134" w:hanging="566"/>
        <w:jc w:val="both"/>
        <w:rPr>
          <w:rFonts w:ascii="Times New Roman" w:eastAsia="Times New Roman" w:hAnsi="Times New Roman" w:cs="Times New Roman"/>
          <w:i/>
          <w:lang w:eastAsia="hu-HU"/>
        </w:rPr>
      </w:pPr>
      <w:r w:rsidRPr="00371276">
        <w:rPr>
          <w:rFonts w:ascii="Times New Roman" w:eastAsia="Times New Roman" w:hAnsi="Times New Roman" w:cs="Times New Roman"/>
          <w:lang w:eastAsia="hu-HU"/>
        </w:rPr>
        <w:t xml:space="preserve">Emelő-forgató berendezések mechanikus szerelvényei és vezérlő automatikája. A parancsnoki torony, sínköteg feladata, elvi és szerkezeti felépítése, működése különböző üzemmódokban. </w:t>
      </w:r>
      <w:r w:rsidRPr="00371276">
        <w:rPr>
          <w:rFonts w:ascii="Times New Roman" w:eastAsia="Times New Roman" w:hAnsi="Times New Roman" w:cs="Times New Roman"/>
          <w:i/>
          <w:lang w:eastAsia="hu-HU"/>
        </w:rPr>
        <w:t>(Mechanical assemblies and control automation for lifting-rotating equipment. The role of the command tower, the track stack, its conceptual and structural design and operation in various modes.)</w:t>
      </w:r>
    </w:p>
    <w:p w:rsidR="00371276" w:rsidRPr="00371276" w:rsidRDefault="00371276" w:rsidP="00980876">
      <w:pPr>
        <w:numPr>
          <w:ilvl w:val="1"/>
          <w:numId w:val="723"/>
        </w:numPr>
        <w:tabs>
          <w:tab w:val="clear" w:pos="3977"/>
        </w:tabs>
        <w:spacing w:before="120" w:after="0" w:line="240" w:lineRule="auto"/>
        <w:ind w:left="1134" w:hanging="566"/>
        <w:jc w:val="both"/>
        <w:rPr>
          <w:rFonts w:ascii="Times New Roman" w:eastAsia="Times New Roman" w:hAnsi="Times New Roman" w:cs="Times New Roman"/>
          <w:i/>
          <w:lang w:eastAsia="hu-HU"/>
        </w:rPr>
      </w:pPr>
      <w:r w:rsidRPr="00371276">
        <w:rPr>
          <w:rFonts w:ascii="Times New Roman" w:eastAsia="Times New Roman" w:hAnsi="Times New Roman" w:cs="Times New Roman"/>
          <w:lang w:eastAsia="hu-HU"/>
        </w:rPr>
        <w:t xml:space="preserve">Az irányító rendszerek. Az indító állványok irányító rendszerei főbb szerkezeti egységéinek rendeltetése és elhelyezése az indító állványokon. Az irányító rendszerek. Az elektromos irányítórendszer rendeltetése, összetétele, működése különböző üzemmódokban. </w:t>
      </w:r>
      <w:r w:rsidRPr="00371276">
        <w:rPr>
          <w:rFonts w:ascii="Times New Roman" w:eastAsia="Times New Roman" w:hAnsi="Times New Roman" w:cs="Times New Roman"/>
          <w:i/>
          <w:lang w:eastAsia="hu-HU"/>
        </w:rPr>
        <w:t>(The control systems. Purpose and placement of major structural units of launcher control systems on launchers. The control systems. Purpose, composition and operation of the electric control system in various modes.)</w:t>
      </w:r>
    </w:p>
    <w:p w:rsidR="00371276" w:rsidRPr="00371276" w:rsidRDefault="00371276" w:rsidP="00980876">
      <w:pPr>
        <w:numPr>
          <w:ilvl w:val="1"/>
          <w:numId w:val="723"/>
        </w:numPr>
        <w:tabs>
          <w:tab w:val="clear" w:pos="3977"/>
        </w:tabs>
        <w:spacing w:before="120" w:after="0" w:line="240" w:lineRule="auto"/>
        <w:ind w:left="1134" w:hanging="566"/>
        <w:jc w:val="both"/>
        <w:rPr>
          <w:rFonts w:ascii="Times New Roman" w:eastAsia="Times New Roman" w:hAnsi="Times New Roman" w:cs="Times New Roman"/>
          <w:i/>
          <w:lang w:eastAsia="hu-HU"/>
        </w:rPr>
      </w:pPr>
      <w:r w:rsidRPr="00371276">
        <w:rPr>
          <w:rFonts w:ascii="Times New Roman" w:eastAsia="Times New Roman" w:hAnsi="Times New Roman" w:cs="Times New Roman"/>
          <w:lang w:eastAsia="hu-HU"/>
        </w:rPr>
        <w:t xml:space="preserve">Az indítóállvány reteszeléseinek feladata, szerkezeti kialakítása, működése. Táprendszer, kisegítő berendezések. Összetétel, a szerkezeti elemek elhelyezése az indítóállványon. Az indítóállvány részeinek összműködése különböző üzemmódokban. </w:t>
      </w:r>
      <w:r w:rsidRPr="00371276">
        <w:rPr>
          <w:rFonts w:ascii="Times New Roman" w:eastAsia="Times New Roman" w:hAnsi="Times New Roman" w:cs="Times New Roman"/>
          <w:i/>
          <w:lang w:eastAsia="hu-HU"/>
        </w:rPr>
        <w:t xml:space="preserve">(The task of the starter interlocks, its construction and operation. Power system, auxiliary equipment. </w:t>
      </w:r>
      <w:r w:rsidRPr="00371276">
        <w:rPr>
          <w:rFonts w:ascii="Times New Roman" w:eastAsia="Times New Roman" w:hAnsi="Times New Roman" w:cs="Times New Roman"/>
          <w:i/>
          <w:lang w:eastAsia="hu-HU"/>
        </w:rPr>
        <w:lastRenderedPageBreak/>
        <w:t>Composition, placement of structural members on launcher. Interoperability of startup parts in different modes.)</w:t>
      </w:r>
    </w:p>
    <w:p w:rsidR="00371276" w:rsidRPr="00371276" w:rsidRDefault="00371276" w:rsidP="00980876">
      <w:pPr>
        <w:numPr>
          <w:ilvl w:val="0"/>
          <w:numId w:val="723"/>
        </w:numPr>
        <w:tabs>
          <w:tab w:val="clear" w:pos="720"/>
          <w:tab w:val="right" w:pos="567"/>
          <w:tab w:val="num" w:pos="644"/>
          <w:tab w:val="center" w:pos="4536"/>
          <w:tab w:val="right" w:pos="9071"/>
        </w:tabs>
        <w:spacing w:before="120" w:after="0" w:line="240" w:lineRule="auto"/>
        <w:ind w:left="426" w:hanging="142"/>
        <w:jc w:val="both"/>
        <w:rPr>
          <w:rFonts w:ascii="Times New Roman" w:eastAsia="Times New Roman" w:hAnsi="Times New Roman" w:cs="Times New Roman"/>
          <w:bCs/>
          <w:lang w:eastAsia="hu-HU"/>
        </w:rPr>
      </w:pPr>
      <w:r w:rsidRPr="00371276">
        <w:rPr>
          <w:rFonts w:ascii="Times New Roman" w:eastAsia="Times New Roman" w:hAnsi="Times New Roman" w:cs="Times New Roman"/>
          <w:b/>
          <w:bCs/>
          <w:lang w:eastAsia="hu-HU"/>
        </w:rPr>
        <w:t xml:space="preserve">A tantárgy meghirdetésének gyakorisága/a tantervben történő félévi elhelyezkedése: </w:t>
      </w:r>
      <w:r w:rsidRPr="00371276">
        <w:rPr>
          <w:rFonts w:ascii="Times New Roman" w:eastAsia="Times New Roman" w:hAnsi="Times New Roman" w:cs="Times New Roman"/>
          <w:bCs/>
          <w:lang w:eastAsia="hu-HU"/>
        </w:rPr>
        <w:t>évente /8. félév</w:t>
      </w:r>
    </w:p>
    <w:p w:rsidR="00371276" w:rsidRPr="00371276" w:rsidRDefault="00371276" w:rsidP="00980876">
      <w:pPr>
        <w:widowControl w:val="0"/>
        <w:numPr>
          <w:ilvl w:val="0"/>
          <w:numId w:val="723"/>
        </w:numPr>
        <w:tabs>
          <w:tab w:val="num" w:pos="360"/>
          <w:tab w:val="num" w:pos="644"/>
        </w:tabs>
        <w:spacing w:before="120" w:after="120" w:line="240" w:lineRule="auto"/>
        <w:ind w:left="426" w:hanging="142"/>
        <w:jc w:val="both"/>
        <w:rPr>
          <w:rFonts w:ascii="Times New Roman" w:eastAsia="Times New Roman" w:hAnsi="Times New Roman" w:cs="Times New Roman"/>
          <w:bCs/>
          <w:lang w:eastAsia="hu-HU"/>
        </w:rPr>
      </w:pPr>
      <w:r w:rsidRPr="00371276">
        <w:rPr>
          <w:rFonts w:ascii="Times New Roman" w:eastAsia="Times New Roman" w:hAnsi="Times New Roman" w:cs="Times New Roman"/>
          <w:b/>
          <w:bCs/>
          <w:lang w:eastAsia="hu-HU"/>
        </w:rPr>
        <w:t>A tanórákon való részvétel követelményei, az elfogadható hiányzások mértéke, a távolmaradás pótlásának lehetősége:</w:t>
      </w:r>
      <w:r w:rsidRPr="00371276">
        <w:rPr>
          <w:rFonts w:ascii="Times New Roman" w:eastAsia="Times New Roman" w:hAnsi="Times New Roman" w:cs="Times New Roman"/>
          <w:bCs/>
          <w:lang w:eastAsia="hu-HU"/>
        </w:rPr>
        <w:t xml:space="preserve"> </w:t>
      </w:r>
    </w:p>
    <w:p w:rsidR="00371276" w:rsidRPr="00371276" w:rsidRDefault="00371276" w:rsidP="00371276">
      <w:pPr>
        <w:widowControl w:val="0"/>
        <w:spacing w:before="120" w:after="120" w:line="240" w:lineRule="auto"/>
        <w:ind w:left="426"/>
        <w:jc w:val="both"/>
        <w:rPr>
          <w:rFonts w:ascii="Times New Roman" w:eastAsia="Times New Roman" w:hAnsi="Times New Roman" w:cs="Times New Roman"/>
          <w:bCs/>
          <w:lang w:eastAsia="hu-HU"/>
        </w:rPr>
      </w:pPr>
      <w:r w:rsidRPr="00371276">
        <w:rPr>
          <w:rFonts w:ascii="Times New Roman" w:eastAsia="Times New Roman" w:hAnsi="Times New Roman" w:cs="Times New Roman"/>
          <w:bCs/>
          <w:lang w:eastAsia="hu-HU"/>
        </w:rPr>
        <w:t>A hallgatónak a tanórák legalább 70 %-án jelen kell lennie, 30 %-ot meghaladó hiányzás esetén a félév teljesítése nem írható alá. A hallgató köteles az előadás és a gyakorlat anyagát beszerezni, abból önállóan felkészülni. A hiányzás pótolható az oktató által kijelölt témakörben beadott, legalább elégségesre értékelt házidolgozattal.</w:t>
      </w:r>
    </w:p>
    <w:p w:rsidR="00371276" w:rsidRPr="00371276" w:rsidRDefault="00371276" w:rsidP="00980876">
      <w:pPr>
        <w:widowControl w:val="0"/>
        <w:numPr>
          <w:ilvl w:val="0"/>
          <w:numId w:val="723"/>
        </w:numPr>
        <w:tabs>
          <w:tab w:val="num" w:pos="360"/>
          <w:tab w:val="num" w:pos="644"/>
        </w:tabs>
        <w:spacing w:before="120" w:after="120" w:line="240" w:lineRule="auto"/>
        <w:ind w:left="426" w:hanging="142"/>
        <w:jc w:val="both"/>
        <w:rPr>
          <w:rFonts w:ascii="Times New Roman" w:eastAsia="Times New Roman" w:hAnsi="Times New Roman" w:cs="Times New Roman"/>
          <w:bCs/>
          <w:lang w:eastAsia="hu-HU"/>
        </w:rPr>
      </w:pPr>
      <w:r w:rsidRPr="00371276">
        <w:rPr>
          <w:rFonts w:ascii="Times New Roman" w:eastAsia="Times New Roman" w:hAnsi="Times New Roman" w:cs="Times New Roman"/>
          <w:b/>
          <w:lang w:eastAsia="hu-HU"/>
        </w:rPr>
        <w:t>Félévközi feladatok, ismeretek ellenőrzésének rendje:</w:t>
      </w:r>
      <w:r w:rsidRPr="00371276">
        <w:rPr>
          <w:rFonts w:ascii="Times New Roman" w:eastAsia="Times New Roman" w:hAnsi="Times New Roman" w:cs="Times New Roman"/>
          <w:bCs/>
          <w:lang w:eastAsia="hu-HU"/>
        </w:rPr>
        <w:t xml:space="preserve"> A félév során a hallgató kettő zárthelyi dolgozatot ír. Zárthelyi dolgozatok a 12.1-12.15 tantárgyrészekből.</w:t>
      </w:r>
      <w:r w:rsidRPr="00371276">
        <w:rPr>
          <w:rFonts w:ascii="Times New Roman" w:eastAsia="Times New Roman" w:hAnsi="Times New Roman" w:cs="Times New Roman"/>
          <w:lang w:eastAsia="hu-HU"/>
        </w:rPr>
        <w:t xml:space="preserve"> </w:t>
      </w:r>
      <w:r w:rsidRPr="00371276">
        <w:rPr>
          <w:rFonts w:ascii="Times New Roman" w:eastAsia="Times New Roman" w:hAnsi="Times New Roman" w:cs="Times New Roman"/>
          <w:bCs/>
          <w:lang w:eastAsia="hu-HU"/>
        </w:rPr>
        <w:t>A zárthelyi dolgozat témáit a kötelező irodalmak anyagából, illetve az előadásokon elhangzott ismeretanyagból kell összeállítani. A zárthelyi dolgozat értékelése ötfokozatú értékelés (a helyes válaszok aránya 0-60% elégtelen; 61-70% elégséges; 71-80% közepes; 81-90% jó; 91-100% jeles osztályzat). Eredménytelen zárthelyi dolgozat kétszer javítható</w:t>
      </w:r>
      <w:r w:rsidRPr="00371276">
        <w:rPr>
          <w:rFonts w:ascii="Times New Roman" w:eastAsia="Times New Roman" w:hAnsi="Times New Roman" w:cs="Times New Roman"/>
          <w:b/>
          <w:bCs/>
          <w:lang w:eastAsia="hu-HU"/>
        </w:rPr>
        <w:t>.</w:t>
      </w:r>
      <w:r w:rsidRPr="00371276">
        <w:rPr>
          <w:rFonts w:ascii="Times New Roman" w:eastAsia="Times New Roman" w:hAnsi="Times New Roman" w:cs="Times New Roman"/>
          <w:bCs/>
          <w:lang w:eastAsia="hu-HU"/>
        </w:rPr>
        <w:t xml:space="preserve"> A dolgozatban teszt és esszé jellegű kérdések egyaránt szerepelnek.</w:t>
      </w:r>
    </w:p>
    <w:p w:rsidR="00371276" w:rsidRPr="00371276" w:rsidRDefault="00371276" w:rsidP="00980876">
      <w:pPr>
        <w:widowControl w:val="0"/>
        <w:numPr>
          <w:ilvl w:val="0"/>
          <w:numId w:val="723"/>
        </w:numPr>
        <w:tabs>
          <w:tab w:val="num" w:pos="644"/>
        </w:tabs>
        <w:spacing w:before="120" w:after="120" w:line="240" w:lineRule="auto"/>
        <w:ind w:left="426" w:hanging="142"/>
        <w:jc w:val="both"/>
        <w:rPr>
          <w:rFonts w:ascii="Times New Roman" w:eastAsia="Times New Roman" w:hAnsi="Times New Roman" w:cs="Times New Roman"/>
          <w:b/>
          <w:bCs/>
          <w:lang w:eastAsia="hu-HU"/>
        </w:rPr>
      </w:pPr>
      <w:r w:rsidRPr="00371276">
        <w:rPr>
          <w:rFonts w:ascii="Times New Roman" w:eastAsia="Times New Roman" w:hAnsi="Times New Roman" w:cs="Times New Roman"/>
          <w:b/>
          <w:bCs/>
          <w:lang w:eastAsia="hu-HU"/>
        </w:rPr>
        <w:t xml:space="preserve">Az értékelés, az aláírás és a kreditek megszerzésének pontos feltételei: </w:t>
      </w:r>
    </w:p>
    <w:p w:rsidR="00371276" w:rsidRPr="00371276" w:rsidRDefault="00371276" w:rsidP="00980876">
      <w:pPr>
        <w:widowControl w:val="0"/>
        <w:numPr>
          <w:ilvl w:val="1"/>
          <w:numId w:val="723"/>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lang w:eastAsia="hu-HU"/>
        </w:rPr>
      </w:pPr>
      <w:r w:rsidRPr="00371276">
        <w:rPr>
          <w:rFonts w:ascii="Times New Roman" w:eastAsia="Times New Roman" w:hAnsi="Times New Roman" w:cs="Times New Roman"/>
          <w:b/>
          <w:lang w:eastAsia="hu-HU"/>
        </w:rPr>
        <w:t>Az aláírás megszerzésének feltételei:</w:t>
      </w:r>
      <w:r w:rsidRPr="00371276">
        <w:rPr>
          <w:rFonts w:ascii="Times New Roman" w:eastAsia="Times New Roman" w:hAnsi="Times New Roman" w:cs="Times New Roman"/>
          <w:lang w:eastAsia="hu-HU"/>
        </w:rPr>
        <w:t xml:space="preserve"> </w:t>
      </w:r>
      <w:r w:rsidRPr="00371276">
        <w:rPr>
          <w:rFonts w:ascii="Times New Roman" w:eastAsia="Times New Roman" w:hAnsi="Times New Roman" w:cs="Times New Roman"/>
          <w:bCs/>
          <w:lang w:eastAsia="hu-HU"/>
        </w:rPr>
        <w:t>Az aláírás megszerzésének feltétele a 14. pontban meghatározott arányú részvétel a foglalkozásokon és a 15. pontban meghatározott félévközi feladatok legalább elégséges teljesítése.</w:t>
      </w:r>
    </w:p>
    <w:p w:rsidR="00371276" w:rsidRPr="00371276" w:rsidRDefault="00371276" w:rsidP="00980876">
      <w:pPr>
        <w:widowControl w:val="0"/>
        <w:numPr>
          <w:ilvl w:val="1"/>
          <w:numId w:val="723"/>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lang w:eastAsia="hu-HU"/>
        </w:rPr>
      </w:pPr>
      <w:r w:rsidRPr="00371276">
        <w:rPr>
          <w:rFonts w:ascii="Times New Roman" w:eastAsia="Times New Roman" w:hAnsi="Times New Roman" w:cs="Times New Roman"/>
          <w:b/>
          <w:lang w:eastAsia="hu-HU"/>
        </w:rPr>
        <w:t>Az értékelés:</w:t>
      </w:r>
      <w:r w:rsidRPr="00371276">
        <w:rPr>
          <w:rFonts w:ascii="Times New Roman" w:eastAsia="Times New Roman" w:hAnsi="Times New Roman" w:cs="Times New Roman"/>
          <w:lang w:eastAsia="hu-HU"/>
        </w:rPr>
        <w:t xml:space="preserve"> évközi értékelés, ötfokozatú értékelés.</w:t>
      </w:r>
      <w:r w:rsidRPr="00371276">
        <w:rPr>
          <w:rFonts w:ascii="Times New Roman" w:eastAsia="Times New Roman" w:hAnsi="Times New Roman" w:cs="Times New Roman"/>
          <w:bCs/>
          <w:lang w:eastAsia="hu-HU"/>
        </w:rPr>
        <w:t xml:space="preserve"> Az évközi értékelést az elért eredmények kerekített matematikai átlaga képezi.</w:t>
      </w:r>
    </w:p>
    <w:p w:rsidR="00371276" w:rsidRPr="00371276" w:rsidRDefault="00371276" w:rsidP="00980876">
      <w:pPr>
        <w:widowControl w:val="0"/>
        <w:numPr>
          <w:ilvl w:val="1"/>
          <w:numId w:val="723"/>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lang w:eastAsia="hu-HU"/>
        </w:rPr>
      </w:pPr>
      <w:r w:rsidRPr="00371276">
        <w:rPr>
          <w:rFonts w:ascii="Times New Roman" w:eastAsia="Times New Roman" w:hAnsi="Times New Roman" w:cs="Times New Roman"/>
          <w:b/>
          <w:lang w:eastAsia="hu-HU"/>
        </w:rPr>
        <w:t>A kreditek megszerzésének feltételei:</w:t>
      </w:r>
      <w:r w:rsidRPr="00371276">
        <w:rPr>
          <w:rFonts w:ascii="Times New Roman" w:eastAsia="Times New Roman" w:hAnsi="Times New Roman" w:cs="Times New Roman"/>
          <w:lang w:eastAsia="hu-HU"/>
        </w:rPr>
        <w:t xml:space="preserve"> az aláírás megszerzése és legalább elégséges</w:t>
      </w:r>
      <w:r w:rsidRPr="00371276">
        <w:rPr>
          <w:rFonts w:ascii="Times New Roman" w:eastAsia="Times New Roman" w:hAnsi="Times New Roman" w:cs="Times New Roman"/>
          <w:b/>
          <w:lang w:eastAsia="hu-HU"/>
        </w:rPr>
        <w:t xml:space="preserve"> </w:t>
      </w:r>
      <w:r w:rsidRPr="00371276">
        <w:rPr>
          <w:rFonts w:ascii="Times New Roman" w:eastAsia="Times New Roman" w:hAnsi="Times New Roman" w:cs="Times New Roman"/>
          <w:lang w:eastAsia="hu-HU"/>
        </w:rPr>
        <w:t>évközi értékelés</w:t>
      </w:r>
      <w:r w:rsidRPr="00371276">
        <w:rPr>
          <w:rFonts w:ascii="Times New Roman" w:eastAsia="Times New Roman" w:hAnsi="Times New Roman" w:cs="Times New Roman"/>
          <w:bCs/>
          <w:lang w:eastAsia="hu-HU"/>
        </w:rPr>
        <w:t>.</w:t>
      </w:r>
    </w:p>
    <w:p w:rsidR="00371276" w:rsidRPr="00371276" w:rsidRDefault="00371276" w:rsidP="00980876">
      <w:pPr>
        <w:numPr>
          <w:ilvl w:val="0"/>
          <w:numId w:val="723"/>
        </w:numPr>
        <w:tabs>
          <w:tab w:val="clear" w:pos="720"/>
          <w:tab w:val="num" w:pos="426"/>
          <w:tab w:val="num" w:pos="644"/>
        </w:tabs>
        <w:spacing w:before="120" w:after="0" w:line="240" w:lineRule="auto"/>
        <w:ind w:left="426" w:hanging="142"/>
        <w:jc w:val="both"/>
        <w:rPr>
          <w:rFonts w:ascii="Times New Roman" w:eastAsia="Times New Roman" w:hAnsi="Times New Roman" w:cs="Times New Roman"/>
          <w:b/>
          <w:lang w:eastAsia="hu-HU"/>
        </w:rPr>
      </w:pPr>
      <w:r w:rsidRPr="00371276">
        <w:rPr>
          <w:rFonts w:ascii="Times New Roman" w:eastAsia="Times New Roman" w:hAnsi="Times New Roman" w:cs="Times New Roman"/>
          <w:b/>
          <w:lang w:eastAsia="hu-HU"/>
        </w:rPr>
        <w:t>Irodalomjegyzék (magyarul, angolul):</w:t>
      </w:r>
    </w:p>
    <w:p w:rsidR="00371276" w:rsidRPr="00371276" w:rsidRDefault="00371276" w:rsidP="00980876">
      <w:pPr>
        <w:numPr>
          <w:ilvl w:val="1"/>
          <w:numId w:val="723"/>
        </w:numPr>
        <w:tabs>
          <w:tab w:val="clear" w:pos="3977"/>
          <w:tab w:val="num" w:pos="1000"/>
          <w:tab w:val="left" w:pos="1134"/>
        </w:tabs>
        <w:spacing w:before="120" w:after="0" w:line="240" w:lineRule="auto"/>
        <w:ind w:left="568" w:firstLine="0"/>
        <w:jc w:val="both"/>
        <w:rPr>
          <w:rFonts w:ascii="Times New Roman" w:eastAsia="Times New Roman" w:hAnsi="Times New Roman" w:cs="Times New Roman"/>
          <w:b/>
          <w:lang w:eastAsia="hu-HU"/>
        </w:rPr>
      </w:pPr>
      <w:r w:rsidRPr="00371276">
        <w:rPr>
          <w:rFonts w:ascii="Times New Roman" w:eastAsia="Times New Roman" w:hAnsi="Times New Roman" w:cs="Times New Roman"/>
          <w:b/>
          <w:lang w:eastAsia="hu-HU"/>
        </w:rPr>
        <w:t xml:space="preserve">Kötelező irodalom: </w:t>
      </w:r>
    </w:p>
    <w:p w:rsidR="00371276" w:rsidRPr="00371276" w:rsidRDefault="00371276" w:rsidP="00980876">
      <w:pPr>
        <w:numPr>
          <w:ilvl w:val="0"/>
          <w:numId w:val="722"/>
        </w:numPr>
        <w:spacing w:before="120" w:after="0" w:line="240" w:lineRule="auto"/>
        <w:ind w:left="1134" w:hanging="283"/>
        <w:contextualSpacing/>
        <w:jc w:val="both"/>
        <w:rPr>
          <w:rFonts w:ascii="Times New Roman" w:eastAsia="Times New Roman" w:hAnsi="Times New Roman" w:cs="Times New Roman"/>
          <w:lang w:eastAsia="hu-HU"/>
        </w:rPr>
      </w:pPr>
      <w:r w:rsidRPr="00371276">
        <w:rPr>
          <w:rFonts w:ascii="Times New Roman" w:eastAsia="Times New Roman" w:hAnsi="Times New Roman" w:cs="Times New Roman"/>
          <w:lang w:eastAsia="hu-HU"/>
        </w:rPr>
        <w:t>Tüfe/172 A 9M113 páncéltörő rakéta műszaki leírása és üzemeltetési szakutasítása. HM kiadvány. 1986</w:t>
      </w:r>
    </w:p>
    <w:p w:rsidR="00371276" w:rsidRPr="00371276" w:rsidRDefault="00371276" w:rsidP="00980876">
      <w:pPr>
        <w:numPr>
          <w:ilvl w:val="0"/>
          <w:numId w:val="722"/>
        </w:numPr>
        <w:spacing w:before="120" w:after="0" w:line="240" w:lineRule="auto"/>
        <w:ind w:left="1134" w:hanging="283"/>
        <w:contextualSpacing/>
        <w:jc w:val="both"/>
        <w:rPr>
          <w:rFonts w:ascii="Times New Roman" w:eastAsia="Times New Roman" w:hAnsi="Times New Roman" w:cs="Times New Roman"/>
          <w:lang w:eastAsia="hu-HU"/>
        </w:rPr>
      </w:pPr>
      <w:r w:rsidRPr="00371276">
        <w:rPr>
          <w:rFonts w:ascii="Times New Roman" w:eastAsia="Times New Roman" w:hAnsi="Times New Roman" w:cs="Times New Roman"/>
          <w:lang w:eastAsia="hu-HU"/>
        </w:rPr>
        <w:t>Löfe/112 A 9K111 Hordozható páncéltörő rakétarendszer üzemeltetési utasítása. HM kiadvány,1980</w:t>
      </w:r>
    </w:p>
    <w:p w:rsidR="00371276" w:rsidRPr="00371276" w:rsidRDefault="00371276" w:rsidP="00980876">
      <w:pPr>
        <w:numPr>
          <w:ilvl w:val="0"/>
          <w:numId w:val="722"/>
        </w:numPr>
        <w:spacing w:before="120" w:after="0" w:line="240" w:lineRule="auto"/>
        <w:ind w:left="1134" w:hanging="283"/>
        <w:contextualSpacing/>
        <w:jc w:val="both"/>
        <w:rPr>
          <w:rFonts w:ascii="Times New Roman" w:eastAsia="Times New Roman" w:hAnsi="Times New Roman" w:cs="Times New Roman"/>
          <w:lang w:eastAsia="hu-HU"/>
        </w:rPr>
      </w:pPr>
      <w:r w:rsidRPr="00371276">
        <w:rPr>
          <w:rFonts w:ascii="Times New Roman" w:eastAsia="Times New Roman" w:hAnsi="Times New Roman" w:cs="Times New Roman"/>
          <w:lang w:eastAsia="hu-HU"/>
        </w:rPr>
        <w:t>Löfe/62 A 9P135M indítóállvány műszaki leírása. HM kiadvány,1983.</w:t>
      </w:r>
    </w:p>
    <w:p w:rsidR="00371276" w:rsidRPr="00371276" w:rsidRDefault="00371276" w:rsidP="00980876">
      <w:pPr>
        <w:numPr>
          <w:ilvl w:val="0"/>
          <w:numId w:val="722"/>
        </w:numPr>
        <w:spacing w:before="120" w:after="0" w:line="240" w:lineRule="auto"/>
        <w:ind w:left="1134" w:hanging="283"/>
        <w:contextualSpacing/>
        <w:jc w:val="both"/>
        <w:rPr>
          <w:rFonts w:ascii="Times New Roman" w:eastAsia="Times New Roman" w:hAnsi="Times New Roman" w:cs="Times New Roman"/>
          <w:lang w:eastAsia="hu-HU"/>
        </w:rPr>
      </w:pPr>
      <w:r w:rsidRPr="00371276">
        <w:rPr>
          <w:rFonts w:ascii="Times New Roman" w:eastAsia="Times New Roman" w:hAnsi="Times New Roman" w:cs="Times New Roman"/>
          <w:lang w:eastAsia="hu-HU"/>
        </w:rPr>
        <w:t>Tüfe/173 A 9P148 Indítóállvány műszaki leírása. HM kiadvány,1986.</w:t>
      </w:r>
    </w:p>
    <w:p w:rsidR="00371276" w:rsidRPr="00371276" w:rsidRDefault="00371276" w:rsidP="00980876">
      <w:pPr>
        <w:numPr>
          <w:ilvl w:val="0"/>
          <w:numId w:val="722"/>
        </w:numPr>
        <w:spacing w:before="120" w:after="0" w:line="240" w:lineRule="auto"/>
        <w:ind w:left="1134" w:hanging="283"/>
        <w:contextualSpacing/>
        <w:jc w:val="both"/>
        <w:rPr>
          <w:rFonts w:ascii="Times New Roman" w:eastAsia="Times New Roman" w:hAnsi="Times New Roman" w:cs="Times New Roman"/>
          <w:lang w:eastAsia="hu-HU"/>
        </w:rPr>
      </w:pPr>
      <w:r w:rsidRPr="00371276">
        <w:rPr>
          <w:rFonts w:ascii="Times New Roman" w:eastAsia="Times New Roman" w:hAnsi="Times New Roman" w:cs="Times New Roman"/>
          <w:lang w:eastAsia="hu-HU"/>
        </w:rPr>
        <w:t xml:space="preserve">Tüfe/174 A 9P148 Indítóállvány műszaki leírása. Ábraalbum. HM kiadvány,1987. </w:t>
      </w:r>
    </w:p>
    <w:p w:rsidR="00371276" w:rsidRPr="00371276" w:rsidRDefault="00371276" w:rsidP="00980876">
      <w:pPr>
        <w:numPr>
          <w:ilvl w:val="1"/>
          <w:numId w:val="723"/>
        </w:numPr>
        <w:tabs>
          <w:tab w:val="clear" w:pos="3977"/>
          <w:tab w:val="num" w:pos="1000"/>
          <w:tab w:val="left" w:pos="1134"/>
        </w:tabs>
        <w:spacing w:before="120" w:after="0" w:line="240" w:lineRule="auto"/>
        <w:ind w:left="567" w:firstLine="0"/>
        <w:jc w:val="both"/>
        <w:rPr>
          <w:rFonts w:ascii="Times New Roman" w:eastAsia="Times New Roman" w:hAnsi="Times New Roman" w:cs="Times New Roman"/>
          <w:b/>
          <w:lang w:eastAsia="hu-HU"/>
        </w:rPr>
      </w:pPr>
      <w:r w:rsidRPr="00371276">
        <w:rPr>
          <w:rFonts w:ascii="Times New Roman" w:eastAsia="Times New Roman" w:hAnsi="Times New Roman" w:cs="Times New Roman"/>
          <w:b/>
          <w:lang w:eastAsia="hu-HU"/>
        </w:rPr>
        <w:t>. Ajánlott irodalom:</w:t>
      </w:r>
    </w:p>
    <w:p w:rsidR="00371276" w:rsidRPr="00371276" w:rsidRDefault="00371276" w:rsidP="00980876">
      <w:pPr>
        <w:numPr>
          <w:ilvl w:val="0"/>
          <w:numId w:val="724"/>
        </w:numPr>
        <w:spacing w:before="120" w:after="0" w:line="240" w:lineRule="auto"/>
        <w:ind w:left="1134" w:hanging="283"/>
        <w:contextualSpacing/>
        <w:jc w:val="both"/>
        <w:rPr>
          <w:rFonts w:ascii="Times New Roman" w:eastAsia="Times New Roman" w:hAnsi="Times New Roman" w:cs="Times New Roman"/>
          <w:lang w:eastAsia="hu-HU"/>
        </w:rPr>
      </w:pPr>
      <w:r w:rsidRPr="00371276">
        <w:rPr>
          <w:rFonts w:ascii="Times New Roman" w:eastAsia="Times New Roman" w:hAnsi="Times New Roman" w:cs="Times New Roman"/>
          <w:lang w:eastAsia="hu-HU"/>
        </w:rPr>
        <w:t xml:space="preserve">Tüfe/412 A 9P148 Indítóállvány üzemeltetési utasítása. HM kiadvány,1986. </w:t>
      </w:r>
    </w:p>
    <w:p w:rsidR="00371276" w:rsidRPr="00371276" w:rsidRDefault="00371276" w:rsidP="00980876">
      <w:pPr>
        <w:numPr>
          <w:ilvl w:val="0"/>
          <w:numId w:val="724"/>
        </w:numPr>
        <w:spacing w:before="120" w:after="0" w:line="240" w:lineRule="auto"/>
        <w:ind w:left="1134" w:hanging="283"/>
        <w:contextualSpacing/>
        <w:jc w:val="both"/>
        <w:rPr>
          <w:rFonts w:ascii="Times New Roman" w:eastAsia="Times New Roman" w:hAnsi="Times New Roman" w:cs="Times New Roman"/>
          <w:lang w:eastAsia="hu-HU"/>
        </w:rPr>
      </w:pPr>
      <w:r w:rsidRPr="00371276">
        <w:rPr>
          <w:rFonts w:ascii="Times New Roman" w:eastAsia="Times New Roman" w:hAnsi="Times New Roman" w:cs="Times New Roman"/>
          <w:lang w:eastAsia="hu-HU"/>
        </w:rPr>
        <w:t>Rtfe/6</w:t>
      </w:r>
      <w:r w:rsidRPr="00371276">
        <w:rPr>
          <w:rFonts w:ascii="Times New Roman" w:eastAsia="Times New Roman" w:hAnsi="Times New Roman" w:cs="Times New Roman"/>
          <w:lang w:eastAsia="hu-HU"/>
        </w:rPr>
        <w:tab/>
        <w:t>A 9P151 indítóállvány műszaki leírása HM kiadvány,1999.</w:t>
      </w:r>
    </w:p>
    <w:p w:rsidR="00371276" w:rsidRPr="00371276" w:rsidRDefault="00371276" w:rsidP="00980876">
      <w:pPr>
        <w:numPr>
          <w:ilvl w:val="0"/>
          <w:numId w:val="724"/>
        </w:numPr>
        <w:spacing w:before="120" w:after="0" w:line="240" w:lineRule="auto"/>
        <w:ind w:left="1134" w:hanging="283"/>
        <w:contextualSpacing/>
        <w:jc w:val="both"/>
        <w:rPr>
          <w:rFonts w:ascii="Times New Roman" w:eastAsia="Times New Roman" w:hAnsi="Times New Roman" w:cs="Times New Roman"/>
          <w:lang w:eastAsia="hu-HU"/>
        </w:rPr>
      </w:pPr>
      <w:r w:rsidRPr="00371276">
        <w:rPr>
          <w:rFonts w:ascii="Times New Roman" w:eastAsia="Times New Roman" w:hAnsi="Times New Roman" w:cs="Times New Roman"/>
          <w:lang w:eastAsia="hu-HU"/>
        </w:rPr>
        <w:t>9K115-2 páncéltörő rakéta komplexum műszaki leírása /Nyersfordítás/</w:t>
      </w:r>
    </w:p>
    <w:p w:rsidR="00371276" w:rsidRPr="00371276" w:rsidRDefault="00371276" w:rsidP="00371276">
      <w:pPr>
        <w:spacing w:before="120" w:after="0" w:line="240" w:lineRule="auto"/>
        <w:jc w:val="both"/>
        <w:rPr>
          <w:rFonts w:ascii="Times New Roman" w:eastAsia="Times New Roman" w:hAnsi="Times New Roman" w:cs="Times New Roman"/>
          <w:lang w:val="en-GB" w:eastAsia="hu-HU"/>
        </w:rPr>
      </w:pPr>
    </w:p>
    <w:p w:rsidR="00371276" w:rsidRPr="00371276" w:rsidRDefault="00371276" w:rsidP="003D1876">
      <w:pPr>
        <w:spacing w:before="120" w:after="0" w:line="240" w:lineRule="auto"/>
        <w:ind w:firstLine="708"/>
        <w:jc w:val="both"/>
        <w:rPr>
          <w:rFonts w:ascii="Times New Roman" w:eastAsia="Times New Roman" w:hAnsi="Times New Roman" w:cs="Times New Roman"/>
          <w:lang w:val="en-GB" w:eastAsia="hu-HU"/>
        </w:rPr>
      </w:pPr>
      <w:r w:rsidRPr="00371276">
        <w:rPr>
          <w:rFonts w:ascii="Times New Roman" w:eastAsia="Times New Roman" w:hAnsi="Times New Roman" w:cs="Times New Roman"/>
          <w:lang w:val="en-GB" w:eastAsia="hu-HU"/>
        </w:rPr>
        <w:t>Budapest, 2020. február 15.</w:t>
      </w:r>
    </w:p>
    <w:p w:rsidR="00371276" w:rsidRPr="00371276" w:rsidRDefault="00371276" w:rsidP="00371276">
      <w:pPr>
        <w:spacing w:before="120" w:after="0" w:line="240" w:lineRule="auto"/>
        <w:jc w:val="both"/>
        <w:rPr>
          <w:rFonts w:ascii="Times New Roman" w:eastAsia="Times New Roman" w:hAnsi="Times New Roman" w:cs="Times New Roman"/>
          <w:lang w:val="en-GB" w:eastAsia="hu-HU"/>
        </w:rPr>
      </w:pPr>
    </w:p>
    <w:p w:rsidR="00371276" w:rsidRPr="00371276" w:rsidRDefault="00371276" w:rsidP="00371276">
      <w:pPr>
        <w:tabs>
          <w:tab w:val="center" w:pos="7371"/>
        </w:tabs>
        <w:spacing w:after="0" w:line="240" w:lineRule="auto"/>
        <w:jc w:val="both"/>
        <w:rPr>
          <w:rFonts w:ascii="Times New Roman" w:eastAsia="Times New Roman" w:hAnsi="Times New Roman" w:cs="Times New Roman"/>
          <w:b/>
          <w:lang w:val="en-GB" w:eastAsia="hu-HU"/>
        </w:rPr>
      </w:pPr>
      <w:r w:rsidRPr="00371276">
        <w:rPr>
          <w:rFonts w:ascii="Times New Roman" w:eastAsia="Times New Roman" w:hAnsi="Times New Roman" w:cs="Times New Roman"/>
          <w:b/>
          <w:lang w:val="en-GB" w:eastAsia="hu-HU"/>
        </w:rPr>
        <w:tab/>
        <w:t>Dr. Gyarmati József alezredes PhD</w:t>
      </w:r>
    </w:p>
    <w:p w:rsidR="00371276" w:rsidRPr="00371276" w:rsidRDefault="00371276" w:rsidP="00371276">
      <w:pPr>
        <w:tabs>
          <w:tab w:val="center" w:pos="7371"/>
        </w:tabs>
        <w:spacing w:after="0" w:line="240" w:lineRule="auto"/>
        <w:jc w:val="both"/>
        <w:rPr>
          <w:rFonts w:ascii="Times New Roman" w:eastAsia="Times New Roman" w:hAnsi="Times New Roman" w:cs="Times New Roman"/>
          <w:lang w:val="en-GB" w:eastAsia="hu-HU"/>
        </w:rPr>
      </w:pPr>
      <w:r w:rsidRPr="00371276">
        <w:rPr>
          <w:rFonts w:ascii="Times New Roman" w:eastAsia="Times New Roman" w:hAnsi="Times New Roman" w:cs="Times New Roman"/>
          <w:lang w:val="en-GB" w:eastAsia="hu-HU"/>
        </w:rPr>
        <w:tab/>
        <w:t>egyetemi docens,</w:t>
      </w:r>
      <w:r w:rsidR="00FC1CD9">
        <w:rPr>
          <w:rFonts w:ascii="Times New Roman" w:eastAsia="Times New Roman" w:hAnsi="Times New Roman" w:cs="Times New Roman"/>
          <w:lang w:val="en-GB" w:eastAsia="hu-HU"/>
        </w:rPr>
        <w:t xml:space="preserve"> sk.</w:t>
      </w:r>
    </w:p>
    <w:p w:rsidR="003D1876" w:rsidRDefault="003D1876">
      <w:pPr>
        <w:spacing w:after="200" w:line="276" w:lineRule="auto"/>
        <w:rPr>
          <w:rFonts w:ascii="Times New Roman" w:hAnsi="Times New Roman" w:cs="Times New Roman"/>
          <w:b/>
          <w:sz w:val="24"/>
        </w:rPr>
      </w:pPr>
      <w:r>
        <w:rPr>
          <w:rFonts w:ascii="Times New Roman" w:hAnsi="Times New Roman" w:cs="Times New Roman"/>
          <w:b/>
          <w:sz w:val="24"/>
        </w:rPr>
        <w:br w:type="page"/>
      </w:r>
    </w:p>
    <w:tbl>
      <w:tblPr>
        <w:tblW w:w="9072" w:type="dxa"/>
        <w:tblInd w:w="113" w:type="dxa"/>
        <w:tblLook w:val="01E0" w:firstRow="1" w:lastRow="1" w:firstColumn="1" w:lastColumn="1" w:noHBand="0" w:noVBand="0"/>
      </w:tblPr>
      <w:tblGrid>
        <w:gridCol w:w="4855"/>
        <w:gridCol w:w="1620"/>
        <w:gridCol w:w="2597"/>
      </w:tblGrid>
      <w:tr w:rsidR="003D1876" w:rsidRPr="003D1876" w:rsidTr="003D1876">
        <w:tc>
          <w:tcPr>
            <w:tcW w:w="4855" w:type="dxa"/>
            <w:tcBorders>
              <w:top w:val="nil"/>
              <w:left w:val="nil"/>
              <w:bottom w:val="single" w:sz="4" w:space="0" w:color="auto"/>
              <w:right w:val="nil"/>
            </w:tcBorders>
            <w:hideMark/>
          </w:tcPr>
          <w:p w:rsidR="003D1876" w:rsidRPr="003D1876" w:rsidRDefault="003D1876" w:rsidP="003D1876">
            <w:pPr>
              <w:spacing w:after="0" w:line="240" w:lineRule="auto"/>
              <w:jc w:val="center"/>
              <w:rPr>
                <w:rFonts w:ascii="Times New Roman" w:eastAsia="Times New Roman" w:hAnsi="Times New Roman" w:cs="Times New Roman"/>
                <w:b/>
                <w:smallCaps/>
                <w:lang w:eastAsia="hu-HU"/>
              </w:rPr>
            </w:pPr>
            <w:r w:rsidRPr="003D1876">
              <w:rPr>
                <w:rFonts w:ascii="Times New Roman" w:eastAsia="Times New Roman" w:hAnsi="Times New Roman" w:cs="Times New Roman"/>
                <w:b/>
                <w:smallCaps/>
                <w:lang w:eastAsia="hu-HU"/>
              </w:rPr>
              <w:lastRenderedPageBreak/>
              <w:t>Nemzeti Közszolgálati Egyetem</w:t>
            </w:r>
          </w:p>
        </w:tc>
        <w:tc>
          <w:tcPr>
            <w:tcW w:w="1620" w:type="dxa"/>
          </w:tcPr>
          <w:p w:rsidR="003D1876" w:rsidRPr="003D1876" w:rsidRDefault="003D1876" w:rsidP="003D1876">
            <w:pPr>
              <w:spacing w:after="0" w:line="240" w:lineRule="auto"/>
              <w:jc w:val="both"/>
              <w:rPr>
                <w:rFonts w:ascii="Times New Roman" w:eastAsia="Times New Roman" w:hAnsi="Times New Roman" w:cs="Times New Roman"/>
                <w:lang w:eastAsia="hu-HU"/>
              </w:rPr>
            </w:pPr>
          </w:p>
        </w:tc>
        <w:tc>
          <w:tcPr>
            <w:tcW w:w="2597" w:type="dxa"/>
          </w:tcPr>
          <w:p w:rsidR="003D1876" w:rsidRPr="003D1876" w:rsidRDefault="003D1876" w:rsidP="003D1876">
            <w:pPr>
              <w:spacing w:after="0" w:line="240" w:lineRule="auto"/>
              <w:jc w:val="right"/>
              <w:rPr>
                <w:rFonts w:ascii="Times New Roman" w:eastAsia="Times New Roman" w:hAnsi="Times New Roman" w:cs="Times New Roman"/>
                <w:lang w:eastAsia="hu-HU"/>
              </w:rPr>
            </w:pPr>
          </w:p>
        </w:tc>
      </w:tr>
      <w:tr w:rsidR="003D1876" w:rsidRPr="003D1876" w:rsidTr="003D1876">
        <w:tc>
          <w:tcPr>
            <w:tcW w:w="4855" w:type="dxa"/>
            <w:tcBorders>
              <w:top w:val="single" w:sz="4" w:space="0" w:color="auto"/>
              <w:left w:val="nil"/>
              <w:bottom w:val="nil"/>
              <w:right w:val="nil"/>
            </w:tcBorders>
            <w:hideMark/>
          </w:tcPr>
          <w:p w:rsidR="003D1876" w:rsidRPr="003D1876" w:rsidRDefault="003D1876" w:rsidP="003D1876">
            <w:pPr>
              <w:spacing w:after="0" w:line="240" w:lineRule="auto"/>
              <w:jc w:val="center"/>
              <w:rPr>
                <w:rFonts w:ascii="Times New Roman" w:eastAsia="Times New Roman" w:hAnsi="Times New Roman" w:cs="Times New Roman"/>
                <w:b/>
                <w:lang w:eastAsia="hu-HU"/>
              </w:rPr>
            </w:pPr>
            <w:r w:rsidRPr="003D1876">
              <w:rPr>
                <w:rFonts w:ascii="Times New Roman" w:eastAsia="Times New Roman" w:hAnsi="Times New Roman" w:cs="Times New Roman"/>
                <w:b/>
                <w:lang w:eastAsia="hu-HU"/>
              </w:rPr>
              <w:t>Hadtudományi és Honvédtisztképző Kar</w:t>
            </w:r>
          </w:p>
        </w:tc>
        <w:tc>
          <w:tcPr>
            <w:tcW w:w="1620" w:type="dxa"/>
          </w:tcPr>
          <w:p w:rsidR="003D1876" w:rsidRPr="003D1876" w:rsidRDefault="003D1876" w:rsidP="003D1876">
            <w:pPr>
              <w:spacing w:after="0" w:line="240" w:lineRule="auto"/>
              <w:jc w:val="both"/>
              <w:rPr>
                <w:rFonts w:ascii="Times New Roman" w:eastAsia="Times New Roman" w:hAnsi="Times New Roman" w:cs="Times New Roman"/>
                <w:lang w:eastAsia="hu-HU"/>
              </w:rPr>
            </w:pPr>
          </w:p>
        </w:tc>
        <w:tc>
          <w:tcPr>
            <w:tcW w:w="2597" w:type="dxa"/>
          </w:tcPr>
          <w:p w:rsidR="003D1876" w:rsidRPr="003D1876" w:rsidRDefault="003D1876" w:rsidP="003D1876">
            <w:pPr>
              <w:spacing w:after="0" w:line="240" w:lineRule="auto"/>
              <w:jc w:val="both"/>
              <w:rPr>
                <w:rFonts w:ascii="Times New Roman" w:eastAsia="Times New Roman" w:hAnsi="Times New Roman" w:cs="Times New Roman"/>
                <w:lang w:eastAsia="hu-HU"/>
              </w:rPr>
            </w:pPr>
          </w:p>
        </w:tc>
      </w:tr>
    </w:tbl>
    <w:p w:rsidR="003D1876" w:rsidRPr="003D1876" w:rsidRDefault="003D1876" w:rsidP="003D1876">
      <w:pPr>
        <w:tabs>
          <w:tab w:val="right" w:pos="0"/>
          <w:tab w:val="center" w:pos="4819"/>
          <w:tab w:val="right" w:pos="9071"/>
        </w:tabs>
        <w:spacing w:after="0" w:line="240" w:lineRule="auto"/>
        <w:jc w:val="both"/>
        <w:rPr>
          <w:rFonts w:ascii="Times New Roman" w:eastAsia="Times New Roman" w:hAnsi="Times New Roman" w:cs="Times New Roman"/>
          <w:bCs/>
          <w:lang w:eastAsia="hu-HU"/>
        </w:rPr>
      </w:pPr>
    </w:p>
    <w:p w:rsidR="003D1876" w:rsidRPr="003D1876" w:rsidRDefault="003D1876" w:rsidP="003D1876">
      <w:pPr>
        <w:spacing w:after="0" w:line="240" w:lineRule="auto"/>
        <w:jc w:val="center"/>
        <w:rPr>
          <w:rFonts w:ascii="Times New Roman" w:eastAsia="Times New Roman" w:hAnsi="Times New Roman" w:cs="Times New Roman"/>
          <w:b/>
          <w:bCs/>
          <w:lang w:eastAsia="hu-HU"/>
        </w:rPr>
      </w:pPr>
      <w:r w:rsidRPr="003D1876">
        <w:rPr>
          <w:rFonts w:ascii="Times New Roman" w:eastAsia="Times New Roman" w:hAnsi="Times New Roman" w:cs="Times New Roman"/>
          <w:b/>
          <w:bCs/>
          <w:lang w:eastAsia="hu-HU"/>
        </w:rPr>
        <w:t>TANTÁRGYI PROGRAM</w:t>
      </w:r>
    </w:p>
    <w:p w:rsidR="003D1876" w:rsidRPr="003D1876" w:rsidRDefault="003D1876" w:rsidP="003D1876">
      <w:pPr>
        <w:spacing w:after="0" w:line="240" w:lineRule="auto"/>
        <w:jc w:val="center"/>
        <w:rPr>
          <w:rFonts w:ascii="Times New Roman" w:eastAsia="Times New Roman" w:hAnsi="Times New Roman" w:cs="Times New Roman"/>
          <w:b/>
          <w:bCs/>
          <w:lang w:eastAsia="hu-HU"/>
        </w:rPr>
      </w:pPr>
    </w:p>
    <w:p w:rsidR="003D1876" w:rsidRPr="003D1876" w:rsidRDefault="003D1876" w:rsidP="00980876">
      <w:pPr>
        <w:numPr>
          <w:ilvl w:val="0"/>
          <w:numId w:val="726"/>
        </w:numPr>
        <w:tabs>
          <w:tab w:val="clear" w:pos="720"/>
          <w:tab w:val="center" w:pos="4536"/>
          <w:tab w:val="right" w:pos="9071"/>
        </w:tabs>
        <w:spacing w:before="120" w:after="0" w:line="240" w:lineRule="auto"/>
        <w:ind w:left="426" w:hanging="142"/>
        <w:jc w:val="both"/>
        <w:rPr>
          <w:rFonts w:ascii="Times New Roman" w:eastAsia="Times New Roman" w:hAnsi="Times New Roman" w:cs="Times New Roman"/>
          <w:b/>
          <w:bCs/>
          <w:lang w:eastAsia="hu-HU"/>
        </w:rPr>
      </w:pPr>
      <w:r w:rsidRPr="003D1876">
        <w:rPr>
          <w:rFonts w:ascii="Times New Roman" w:eastAsia="Times New Roman" w:hAnsi="Times New Roman" w:cs="Times New Roman"/>
          <w:b/>
          <w:bCs/>
          <w:lang w:eastAsia="hu-HU"/>
        </w:rPr>
        <w:t xml:space="preserve">A tantárgy kódja: </w:t>
      </w:r>
      <w:r w:rsidRPr="003D1876">
        <w:rPr>
          <w:rFonts w:ascii="Times New Roman" w:eastAsia="Times New Roman" w:hAnsi="Times New Roman" w:cs="Times New Roman"/>
          <w:bCs/>
          <w:lang w:eastAsia="hu-HU"/>
        </w:rPr>
        <w:t>HKHDTA30</w:t>
      </w:r>
    </w:p>
    <w:p w:rsidR="003D1876" w:rsidRPr="003D1876" w:rsidRDefault="003D1876" w:rsidP="00980876">
      <w:pPr>
        <w:numPr>
          <w:ilvl w:val="0"/>
          <w:numId w:val="726"/>
        </w:numPr>
        <w:tabs>
          <w:tab w:val="clear" w:pos="720"/>
          <w:tab w:val="center" w:pos="4536"/>
          <w:tab w:val="right" w:pos="9071"/>
        </w:tabs>
        <w:spacing w:before="120" w:after="0" w:line="240" w:lineRule="auto"/>
        <w:ind w:left="426" w:hanging="142"/>
        <w:jc w:val="both"/>
        <w:rPr>
          <w:rFonts w:ascii="Times New Roman" w:eastAsia="Times New Roman" w:hAnsi="Times New Roman" w:cs="Times New Roman"/>
          <w:bCs/>
          <w:lang w:eastAsia="hu-HU"/>
        </w:rPr>
      </w:pPr>
      <w:r w:rsidRPr="003D1876">
        <w:rPr>
          <w:rFonts w:ascii="Times New Roman" w:eastAsia="Times New Roman" w:hAnsi="Times New Roman" w:cs="Times New Roman"/>
          <w:b/>
          <w:bCs/>
          <w:lang w:eastAsia="hu-HU"/>
        </w:rPr>
        <w:t xml:space="preserve">A tantárgy megnevezése (magyarul): </w:t>
      </w:r>
      <w:r w:rsidRPr="003D1876">
        <w:rPr>
          <w:rFonts w:ascii="Times New Roman" w:eastAsia="Times New Roman" w:hAnsi="Times New Roman" w:cs="Times New Roman"/>
          <w:lang w:eastAsia="hu-HU"/>
        </w:rPr>
        <w:t>Szakmai szabályismeret FV</w:t>
      </w:r>
    </w:p>
    <w:p w:rsidR="003D1876" w:rsidRPr="003D1876" w:rsidRDefault="003D1876" w:rsidP="00980876">
      <w:pPr>
        <w:numPr>
          <w:ilvl w:val="0"/>
          <w:numId w:val="726"/>
        </w:numPr>
        <w:tabs>
          <w:tab w:val="clear" w:pos="720"/>
          <w:tab w:val="center" w:pos="4536"/>
          <w:tab w:val="right" w:pos="9071"/>
        </w:tabs>
        <w:spacing w:before="120" w:after="0" w:line="240" w:lineRule="auto"/>
        <w:ind w:left="426" w:hanging="142"/>
        <w:jc w:val="both"/>
        <w:rPr>
          <w:rFonts w:ascii="Times New Roman" w:eastAsia="Times New Roman" w:hAnsi="Times New Roman" w:cs="Times New Roman"/>
          <w:bCs/>
          <w:lang w:eastAsia="hu-HU"/>
        </w:rPr>
      </w:pPr>
      <w:r w:rsidRPr="003D1876">
        <w:rPr>
          <w:rFonts w:ascii="Times New Roman" w:eastAsia="Times New Roman" w:hAnsi="Times New Roman" w:cs="Times New Roman"/>
          <w:b/>
          <w:bCs/>
          <w:lang w:eastAsia="hu-HU"/>
        </w:rPr>
        <w:t xml:space="preserve">A tantárgy megnevezése (angolul): </w:t>
      </w:r>
      <w:r w:rsidRPr="003D1876">
        <w:rPr>
          <w:rFonts w:ascii="Times New Roman" w:eastAsia="Times New Roman" w:hAnsi="Times New Roman" w:cs="Times New Roman"/>
          <w:bCs/>
          <w:lang w:eastAsia="hu-HU"/>
        </w:rPr>
        <w:t>Professional rule knowledge FV</w:t>
      </w:r>
    </w:p>
    <w:p w:rsidR="003D1876" w:rsidRPr="003D1876" w:rsidRDefault="003D1876" w:rsidP="00980876">
      <w:pPr>
        <w:numPr>
          <w:ilvl w:val="0"/>
          <w:numId w:val="726"/>
        </w:numPr>
        <w:tabs>
          <w:tab w:val="clear" w:pos="720"/>
          <w:tab w:val="center" w:pos="4536"/>
          <w:tab w:val="right" w:pos="9071"/>
        </w:tabs>
        <w:spacing w:before="120" w:after="0" w:line="240" w:lineRule="auto"/>
        <w:ind w:left="426" w:hanging="142"/>
        <w:jc w:val="both"/>
        <w:rPr>
          <w:rFonts w:ascii="Times New Roman" w:eastAsia="Times New Roman" w:hAnsi="Times New Roman" w:cs="Times New Roman"/>
          <w:bCs/>
          <w:lang w:eastAsia="hu-HU"/>
        </w:rPr>
      </w:pPr>
      <w:r w:rsidRPr="003D1876">
        <w:rPr>
          <w:rFonts w:ascii="Times New Roman" w:eastAsia="Times New Roman" w:hAnsi="Times New Roman" w:cs="Times New Roman"/>
          <w:b/>
          <w:bCs/>
          <w:lang w:eastAsia="hu-HU"/>
        </w:rPr>
        <w:t>Kreditérték és képzési karakter:</w:t>
      </w:r>
    </w:p>
    <w:p w:rsidR="003D1876" w:rsidRPr="003D1876" w:rsidRDefault="003D1876" w:rsidP="00980876">
      <w:pPr>
        <w:numPr>
          <w:ilvl w:val="1"/>
          <w:numId w:val="726"/>
        </w:numPr>
        <w:tabs>
          <w:tab w:val="clear" w:pos="3977"/>
          <w:tab w:val="right" w:pos="900"/>
          <w:tab w:val="num" w:pos="1425"/>
          <w:tab w:val="center" w:pos="4536"/>
          <w:tab w:val="right" w:pos="9071"/>
        </w:tabs>
        <w:spacing w:before="120" w:after="0" w:line="240" w:lineRule="auto"/>
        <w:ind w:left="1425"/>
        <w:rPr>
          <w:rFonts w:ascii="Times New Roman" w:eastAsia="Times New Roman" w:hAnsi="Times New Roman" w:cs="Times New Roman"/>
          <w:bCs/>
          <w:lang w:eastAsia="hu-HU"/>
        </w:rPr>
      </w:pPr>
      <w:r w:rsidRPr="003D1876">
        <w:rPr>
          <w:rFonts w:ascii="Times New Roman" w:eastAsia="Times New Roman" w:hAnsi="Times New Roman" w:cs="Times New Roman"/>
          <w:b/>
          <w:bCs/>
          <w:lang w:eastAsia="hu-HU"/>
        </w:rPr>
        <w:t xml:space="preserve"> </w:t>
      </w:r>
      <w:r w:rsidRPr="003D1876">
        <w:rPr>
          <w:rFonts w:ascii="Times New Roman" w:eastAsia="Times New Roman" w:hAnsi="Times New Roman" w:cs="Times New Roman"/>
          <w:bCs/>
          <w:lang w:eastAsia="hu-HU"/>
        </w:rPr>
        <w:t>4 kredit</w:t>
      </w:r>
    </w:p>
    <w:p w:rsidR="003D1876" w:rsidRPr="003D1876" w:rsidRDefault="003D1876" w:rsidP="00980876">
      <w:pPr>
        <w:numPr>
          <w:ilvl w:val="1"/>
          <w:numId w:val="726"/>
        </w:numPr>
        <w:tabs>
          <w:tab w:val="clear" w:pos="3977"/>
          <w:tab w:val="right" w:pos="900"/>
          <w:tab w:val="num" w:pos="1425"/>
          <w:tab w:val="center" w:pos="4536"/>
          <w:tab w:val="right" w:pos="9071"/>
        </w:tabs>
        <w:spacing w:before="120" w:after="0" w:line="240" w:lineRule="auto"/>
        <w:ind w:left="1425"/>
        <w:rPr>
          <w:rFonts w:ascii="Times New Roman" w:eastAsia="Times New Roman" w:hAnsi="Times New Roman" w:cs="Times New Roman"/>
          <w:bCs/>
          <w:lang w:eastAsia="hu-HU"/>
        </w:rPr>
      </w:pPr>
      <w:r w:rsidRPr="003D1876">
        <w:rPr>
          <w:rFonts w:ascii="Times New Roman" w:eastAsia="Times New Roman" w:hAnsi="Times New Roman" w:cs="Times New Roman"/>
          <w:bCs/>
          <w:lang w:eastAsia="hu-HU"/>
        </w:rPr>
        <w:t>a tantárgy elméleti vagy gyakorlati jellegének mértéke: 50 % gyakorlat, 50 % elmélet</w:t>
      </w:r>
    </w:p>
    <w:p w:rsidR="003D1876" w:rsidRPr="003D1876" w:rsidRDefault="003D1876" w:rsidP="00980876">
      <w:pPr>
        <w:numPr>
          <w:ilvl w:val="0"/>
          <w:numId w:val="726"/>
        </w:numPr>
        <w:tabs>
          <w:tab w:val="clear" w:pos="720"/>
          <w:tab w:val="center" w:pos="4536"/>
          <w:tab w:val="right" w:pos="9071"/>
        </w:tabs>
        <w:spacing w:before="120" w:after="0" w:line="240" w:lineRule="auto"/>
        <w:ind w:left="426" w:hanging="142"/>
        <w:jc w:val="both"/>
        <w:rPr>
          <w:rFonts w:ascii="Times New Roman" w:eastAsia="Times New Roman" w:hAnsi="Times New Roman" w:cs="Times New Roman"/>
          <w:bCs/>
          <w:lang w:eastAsia="hu-HU"/>
        </w:rPr>
      </w:pPr>
      <w:r w:rsidRPr="003D1876">
        <w:rPr>
          <w:rFonts w:ascii="Times New Roman" w:eastAsia="Times New Roman" w:hAnsi="Times New Roman" w:cs="Times New Roman"/>
          <w:b/>
          <w:bCs/>
          <w:lang w:eastAsia="hu-HU"/>
        </w:rPr>
        <w:t xml:space="preserve">A szak(ok), szakirányok/specializációk megnevezése (ahol oktatják): </w:t>
      </w:r>
      <w:r w:rsidRPr="003D1876">
        <w:rPr>
          <w:rFonts w:ascii="Times New Roman" w:eastAsia="Times New Roman" w:hAnsi="Times New Roman" w:cs="Times New Roman"/>
          <w:bCs/>
          <w:lang w:eastAsia="hu-HU"/>
        </w:rPr>
        <w:t>Katonai logisztika (</w:t>
      </w:r>
      <w:r w:rsidR="00137B8A">
        <w:rPr>
          <w:rFonts w:ascii="Times New Roman" w:eastAsia="Times New Roman" w:hAnsi="Times New Roman" w:cs="Times New Roman"/>
          <w:bCs/>
          <w:lang w:eastAsia="hu-HU"/>
        </w:rPr>
        <w:t>BSc</w:t>
      </w:r>
      <w:r w:rsidRPr="003D1876">
        <w:rPr>
          <w:rFonts w:ascii="Times New Roman" w:eastAsia="Times New Roman" w:hAnsi="Times New Roman" w:cs="Times New Roman"/>
          <w:bCs/>
          <w:lang w:eastAsia="hu-HU"/>
        </w:rPr>
        <w:t>) alapképzési szak, haditechnika specializáció, fegyverzettechnikai modul</w:t>
      </w:r>
    </w:p>
    <w:p w:rsidR="003D1876" w:rsidRPr="003D1876" w:rsidRDefault="003D1876" w:rsidP="00980876">
      <w:pPr>
        <w:numPr>
          <w:ilvl w:val="0"/>
          <w:numId w:val="726"/>
        </w:numPr>
        <w:tabs>
          <w:tab w:val="clear" w:pos="720"/>
          <w:tab w:val="center" w:pos="4536"/>
          <w:tab w:val="right" w:pos="9071"/>
        </w:tabs>
        <w:spacing w:before="120" w:after="0" w:line="240" w:lineRule="auto"/>
        <w:ind w:left="426" w:hanging="142"/>
        <w:jc w:val="both"/>
        <w:rPr>
          <w:rFonts w:ascii="Times New Roman" w:eastAsia="Times New Roman" w:hAnsi="Times New Roman" w:cs="Times New Roman"/>
          <w:bCs/>
          <w:lang w:eastAsia="hu-HU"/>
        </w:rPr>
      </w:pPr>
      <w:r w:rsidRPr="003D1876">
        <w:rPr>
          <w:rFonts w:ascii="Times New Roman" w:eastAsia="Times New Roman" w:hAnsi="Times New Roman" w:cs="Times New Roman"/>
          <w:b/>
          <w:bCs/>
          <w:lang w:eastAsia="hu-HU"/>
        </w:rPr>
        <w:tab/>
        <w:t xml:space="preserve">Az oktatásért felelős oktatási szervezeti egység megnevezése: </w:t>
      </w:r>
      <w:r w:rsidRPr="003D1876">
        <w:rPr>
          <w:rFonts w:ascii="Times New Roman" w:eastAsia="Times New Roman" w:hAnsi="Times New Roman" w:cs="Times New Roman"/>
          <w:bCs/>
          <w:lang w:eastAsia="hu-HU"/>
        </w:rPr>
        <w:t>NKE,</w:t>
      </w:r>
      <w:r w:rsidRPr="003D1876">
        <w:rPr>
          <w:rFonts w:ascii="Times New Roman" w:eastAsia="Times New Roman" w:hAnsi="Times New Roman" w:cs="Times New Roman"/>
          <w:b/>
          <w:bCs/>
          <w:lang w:eastAsia="hu-HU"/>
        </w:rPr>
        <w:t xml:space="preserve"> </w:t>
      </w:r>
      <w:r w:rsidRPr="003D1876">
        <w:rPr>
          <w:rFonts w:ascii="Times New Roman" w:eastAsia="Times New Roman" w:hAnsi="Times New Roman" w:cs="Times New Roman"/>
          <w:bCs/>
          <w:lang w:eastAsia="hu-HU"/>
        </w:rPr>
        <w:t>Hadtudományi és Honvédtisztképző Kar, Haditechnikai Tanszék</w:t>
      </w:r>
    </w:p>
    <w:p w:rsidR="003D1876" w:rsidRPr="003D1876" w:rsidRDefault="003D1876" w:rsidP="00980876">
      <w:pPr>
        <w:numPr>
          <w:ilvl w:val="0"/>
          <w:numId w:val="726"/>
        </w:numPr>
        <w:tabs>
          <w:tab w:val="clear" w:pos="720"/>
          <w:tab w:val="center" w:pos="4536"/>
          <w:tab w:val="right" w:pos="9071"/>
        </w:tabs>
        <w:spacing w:before="120" w:after="0" w:line="240" w:lineRule="auto"/>
        <w:ind w:left="426" w:hanging="142"/>
        <w:jc w:val="both"/>
        <w:rPr>
          <w:rFonts w:ascii="Times New Roman" w:eastAsia="Times New Roman" w:hAnsi="Times New Roman" w:cs="Times New Roman"/>
          <w:bCs/>
          <w:lang w:eastAsia="hu-HU"/>
        </w:rPr>
      </w:pPr>
      <w:r w:rsidRPr="003D1876">
        <w:rPr>
          <w:rFonts w:ascii="Times New Roman" w:eastAsia="Times New Roman" w:hAnsi="Times New Roman" w:cs="Times New Roman"/>
          <w:b/>
          <w:bCs/>
          <w:lang w:eastAsia="hu-HU"/>
        </w:rPr>
        <w:t xml:space="preserve"> A tantárgyfelelős oktató neve, beosztása, tudományos fokozata: </w:t>
      </w:r>
      <w:r w:rsidRPr="003D1876">
        <w:rPr>
          <w:rFonts w:ascii="Times New Roman" w:eastAsia="Times New Roman" w:hAnsi="Times New Roman" w:cs="Times New Roman"/>
          <w:bCs/>
          <w:lang w:eastAsia="hu-HU"/>
        </w:rPr>
        <w:t>Dr. Vég Róbert László alezredes PhD, egyetemi docens</w:t>
      </w:r>
    </w:p>
    <w:p w:rsidR="003D1876" w:rsidRPr="003D1876" w:rsidRDefault="003D1876" w:rsidP="00980876">
      <w:pPr>
        <w:numPr>
          <w:ilvl w:val="0"/>
          <w:numId w:val="726"/>
        </w:numPr>
        <w:tabs>
          <w:tab w:val="clear" w:pos="720"/>
          <w:tab w:val="center" w:pos="4536"/>
          <w:tab w:val="right" w:pos="9071"/>
        </w:tabs>
        <w:spacing w:before="120" w:after="0" w:line="240" w:lineRule="auto"/>
        <w:ind w:left="426" w:hanging="142"/>
        <w:jc w:val="both"/>
        <w:rPr>
          <w:rFonts w:ascii="Times New Roman" w:eastAsia="Times New Roman" w:hAnsi="Times New Roman" w:cs="Times New Roman"/>
          <w:b/>
          <w:lang w:eastAsia="hu-HU"/>
        </w:rPr>
      </w:pPr>
      <w:r w:rsidRPr="003D1876">
        <w:rPr>
          <w:rFonts w:ascii="Times New Roman" w:eastAsia="Times New Roman" w:hAnsi="Times New Roman" w:cs="Times New Roman"/>
          <w:b/>
          <w:bCs/>
          <w:lang w:eastAsia="hu-HU"/>
        </w:rPr>
        <w:t xml:space="preserve">A tanórák száma </w:t>
      </w:r>
      <w:r w:rsidRPr="003D1876">
        <w:rPr>
          <w:rFonts w:ascii="Times New Roman" w:eastAsia="Times New Roman" w:hAnsi="Times New Roman" w:cs="Times New Roman"/>
          <w:b/>
          <w:lang w:eastAsia="hu-HU"/>
        </w:rPr>
        <w:t>(előadás + szeminárium + gyakorlat)</w:t>
      </w:r>
    </w:p>
    <w:p w:rsidR="003D1876" w:rsidRPr="003D1876" w:rsidRDefault="003D1876" w:rsidP="00980876">
      <w:pPr>
        <w:numPr>
          <w:ilvl w:val="1"/>
          <w:numId w:val="726"/>
        </w:numPr>
        <w:tabs>
          <w:tab w:val="clear" w:pos="3977"/>
          <w:tab w:val="num" w:pos="1425"/>
        </w:tabs>
        <w:spacing w:before="120" w:after="0" w:line="240" w:lineRule="auto"/>
        <w:ind w:left="567" w:firstLine="0"/>
        <w:jc w:val="both"/>
        <w:rPr>
          <w:rFonts w:ascii="Times New Roman" w:eastAsia="Times New Roman" w:hAnsi="Times New Roman" w:cs="Times New Roman"/>
          <w:bCs/>
          <w:lang w:eastAsia="hu-HU"/>
        </w:rPr>
      </w:pPr>
      <w:r w:rsidRPr="003D1876">
        <w:rPr>
          <w:rFonts w:ascii="Times New Roman" w:eastAsia="Times New Roman" w:hAnsi="Times New Roman" w:cs="Times New Roman"/>
          <w:bCs/>
          <w:lang w:eastAsia="hu-HU"/>
        </w:rPr>
        <w:t>össz óraszám/félév: 28</w:t>
      </w:r>
    </w:p>
    <w:p w:rsidR="003D1876" w:rsidRPr="003D1876" w:rsidRDefault="003D1876" w:rsidP="00980876">
      <w:pPr>
        <w:numPr>
          <w:ilvl w:val="2"/>
          <w:numId w:val="726"/>
        </w:numPr>
        <w:tabs>
          <w:tab w:val="clear" w:pos="1800"/>
          <w:tab w:val="right" w:pos="900"/>
          <w:tab w:val="num" w:pos="1724"/>
          <w:tab w:val="num" w:pos="1843"/>
        </w:tabs>
        <w:spacing w:after="0" w:line="240" w:lineRule="auto"/>
        <w:ind w:left="851" w:firstLine="0"/>
        <w:jc w:val="both"/>
        <w:rPr>
          <w:rFonts w:ascii="Times New Roman" w:eastAsia="Times New Roman" w:hAnsi="Times New Roman" w:cs="Times New Roman"/>
          <w:bCs/>
          <w:lang w:eastAsia="hu-HU"/>
        </w:rPr>
      </w:pPr>
      <w:r w:rsidRPr="003D1876">
        <w:rPr>
          <w:rFonts w:ascii="Times New Roman" w:eastAsia="Times New Roman" w:hAnsi="Times New Roman" w:cs="Times New Roman"/>
          <w:bCs/>
          <w:lang w:eastAsia="hu-HU"/>
        </w:rPr>
        <w:t>Nappali munkarend: 28 (14 EA+ 0 SZ + 14 GY)</w:t>
      </w:r>
    </w:p>
    <w:p w:rsidR="003D1876" w:rsidRPr="003D1876" w:rsidRDefault="003D1876" w:rsidP="00980876">
      <w:pPr>
        <w:numPr>
          <w:ilvl w:val="2"/>
          <w:numId w:val="726"/>
        </w:numPr>
        <w:tabs>
          <w:tab w:val="clear" w:pos="1800"/>
          <w:tab w:val="right" w:pos="900"/>
          <w:tab w:val="num" w:pos="1724"/>
          <w:tab w:val="num" w:pos="1843"/>
        </w:tabs>
        <w:spacing w:after="0" w:line="240" w:lineRule="auto"/>
        <w:ind w:left="851" w:firstLine="0"/>
        <w:jc w:val="both"/>
        <w:rPr>
          <w:rFonts w:ascii="Times New Roman" w:eastAsia="Times New Roman" w:hAnsi="Times New Roman" w:cs="Times New Roman"/>
          <w:bCs/>
          <w:lang w:eastAsia="hu-HU"/>
        </w:rPr>
      </w:pPr>
      <w:r w:rsidRPr="003D1876">
        <w:rPr>
          <w:rFonts w:ascii="Times New Roman" w:eastAsia="Times New Roman" w:hAnsi="Times New Roman" w:cs="Times New Roman"/>
          <w:bCs/>
          <w:lang w:eastAsia="hu-HU"/>
        </w:rPr>
        <w:t>Levelező munkarend: -</w:t>
      </w:r>
    </w:p>
    <w:p w:rsidR="003D1876" w:rsidRPr="003D1876" w:rsidRDefault="003D1876" w:rsidP="00980876">
      <w:pPr>
        <w:numPr>
          <w:ilvl w:val="1"/>
          <w:numId w:val="726"/>
        </w:numPr>
        <w:tabs>
          <w:tab w:val="clear" w:pos="3977"/>
          <w:tab w:val="num" w:pos="1425"/>
        </w:tabs>
        <w:spacing w:before="120" w:after="120" w:line="240" w:lineRule="auto"/>
        <w:ind w:left="567" w:firstLine="0"/>
        <w:jc w:val="both"/>
        <w:rPr>
          <w:rFonts w:ascii="Times New Roman" w:eastAsia="Times New Roman" w:hAnsi="Times New Roman" w:cs="Times New Roman"/>
          <w:bCs/>
          <w:lang w:eastAsia="hu-HU"/>
        </w:rPr>
      </w:pPr>
      <w:r w:rsidRPr="003D1876">
        <w:rPr>
          <w:rFonts w:ascii="Times New Roman" w:eastAsia="Times New Roman" w:hAnsi="Times New Roman" w:cs="Times New Roman"/>
          <w:bCs/>
          <w:lang w:eastAsia="hu-HU"/>
        </w:rPr>
        <w:t>heti óraszám nappali munkarend: 2 (1 + 1)</w:t>
      </w:r>
    </w:p>
    <w:p w:rsidR="003D1876" w:rsidRPr="003D1876" w:rsidRDefault="003D1876" w:rsidP="00980876">
      <w:pPr>
        <w:numPr>
          <w:ilvl w:val="1"/>
          <w:numId w:val="726"/>
        </w:numPr>
        <w:tabs>
          <w:tab w:val="clear" w:pos="3977"/>
          <w:tab w:val="num" w:pos="1425"/>
        </w:tabs>
        <w:spacing w:before="120" w:after="120" w:line="240" w:lineRule="auto"/>
        <w:ind w:left="567" w:firstLine="0"/>
        <w:jc w:val="both"/>
        <w:rPr>
          <w:rFonts w:ascii="Times New Roman" w:eastAsia="Times New Roman" w:hAnsi="Times New Roman" w:cs="Times New Roman"/>
          <w:bCs/>
          <w:lang w:eastAsia="hu-HU"/>
        </w:rPr>
      </w:pPr>
      <w:r w:rsidRPr="003D1876">
        <w:rPr>
          <w:rFonts w:ascii="Times New Roman" w:eastAsia="Times New Roman" w:hAnsi="Times New Roman" w:cs="Times New Roman"/>
          <w:bCs/>
          <w:lang w:eastAsia="hu-HU"/>
        </w:rPr>
        <w:t>Az ismeret átadásában alkalmazandó további sajátos módok, jellemzők: vegyes tanulási program (blended learning)</w:t>
      </w:r>
    </w:p>
    <w:p w:rsidR="003D1876" w:rsidRPr="003D1876" w:rsidRDefault="003D1876" w:rsidP="00980876">
      <w:pPr>
        <w:numPr>
          <w:ilvl w:val="0"/>
          <w:numId w:val="726"/>
        </w:numPr>
        <w:tabs>
          <w:tab w:val="clear" w:pos="720"/>
          <w:tab w:val="center" w:pos="4536"/>
          <w:tab w:val="right" w:pos="9071"/>
        </w:tabs>
        <w:spacing w:before="120" w:after="0" w:line="240" w:lineRule="auto"/>
        <w:ind w:left="426" w:hanging="142"/>
        <w:jc w:val="both"/>
        <w:rPr>
          <w:rFonts w:ascii="Times New Roman" w:eastAsia="Times New Roman" w:hAnsi="Times New Roman" w:cs="Times New Roman"/>
          <w:lang w:eastAsia="hu-HU"/>
        </w:rPr>
      </w:pPr>
      <w:r w:rsidRPr="003D1876">
        <w:rPr>
          <w:rFonts w:ascii="Times New Roman" w:eastAsia="Times New Roman" w:hAnsi="Times New Roman" w:cs="Times New Roman"/>
          <w:b/>
          <w:bCs/>
          <w:lang w:eastAsia="hu-HU"/>
        </w:rPr>
        <w:t>A tantárgy szakmai tartalma (magyarul):</w:t>
      </w:r>
      <w:r w:rsidRPr="003D1876">
        <w:rPr>
          <w:rFonts w:ascii="CG Times (W1)" w:eastAsia="Times New Roman" w:hAnsi="CG Times (W1)" w:cs="Times New Roman"/>
          <w:b/>
          <w:bCs/>
          <w:lang w:eastAsia="hu-HU"/>
        </w:rPr>
        <w:t xml:space="preserve"> </w:t>
      </w:r>
      <w:r w:rsidRPr="003D1876">
        <w:rPr>
          <w:rFonts w:ascii="Times New Roman" w:eastAsia="Times New Roman" w:hAnsi="Times New Roman" w:cs="Times New Roman"/>
          <w:lang w:eastAsia="hu-HU"/>
        </w:rPr>
        <w:t>Fegyverzettechnikai szakág okmányai, elkészítésük, vezetésük. A haditechnikai eszközök és anyagok csoportosítása, azok rendszerben tartásának, használatának, tárolásának rendje. Állománytábla, MAK kód összetétele. A fegyverzettechnikai eszközök és anyagok technikai kiszolgálásával, javításával kapcsolatos feladatok tervezése, szervezése, végrehajtása és okmányolása. Javító alegységek szakmai munkájának megtervezése, megszervezése. A fenntartási anyaggal történ</w:t>
      </w:r>
      <w:r w:rsidRPr="003D1876">
        <w:rPr>
          <w:rFonts w:ascii="Times New Roman" w:eastAsia="Times New Roman" w:hAnsi="Times New Roman" w:cs="Times New Roman" w:hint="eastAsia"/>
          <w:lang w:eastAsia="hu-HU"/>
        </w:rPr>
        <w:t>ő</w:t>
      </w:r>
      <w:r w:rsidRPr="003D1876">
        <w:rPr>
          <w:rFonts w:ascii="Times New Roman" w:eastAsia="Times New Roman" w:hAnsi="Times New Roman" w:cs="Times New Roman"/>
          <w:lang w:eastAsia="hu-HU"/>
        </w:rPr>
        <w:t xml:space="preserve"> ellátás feladatainak megtervezése, megszervezése és annak végrehajtásával kapcsolatos feladatok végrehajtása. Szakági ellátó alegységek szakmai munkájának megtervezése, megszervezése. A fegyverzettechnikai eszközök, anyagok selejtezésének rendje, okmányai, káreljárások lefolytatásának rendje. Kiképzési l</w:t>
      </w:r>
      <w:r w:rsidRPr="003D1876">
        <w:rPr>
          <w:rFonts w:ascii="Times New Roman" w:eastAsia="Times New Roman" w:hAnsi="Times New Roman" w:cs="Times New Roman" w:hint="eastAsia"/>
          <w:lang w:eastAsia="hu-HU"/>
        </w:rPr>
        <w:t>ő</w:t>
      </w:r>
      <w:r w:rsidRPr="003D1876">
        <w:rPr>
          <w:rFonts w:ascii="Times New Roman" w:eastAsia="Times New Roman" w:hAnsi="Times New Roman" w:cs="Times New Roman"/>
          <w:lang w:eastAsia="hu-HU"/>
        </w:rPr>
        <w:t xml:space="preserve">szerellátás általános rendje, az igénylések, elszámolások okmányai. </w:t>
      </w:r>
    </w:p>
    <w:p w:rsidR="003D1876" w:rsidRPr="003D1876" w:rsidRDefault="003D1876" w:rsidP="0039611F">
      <w:pPr>
        <w:tabs>
          <w:tab w:val="center" w:pos="4536"/>
          <w:tab w:val="right" w:pos="9071"/>
        </w:tabs>
        <w:spacing w:before="120" w:after="0" w:line="240" w:lineRule="auto"/>
        <w:ind w:left="426"/>
        <w:jc w:val="both"/>
        <w:rPr>
          <w:rFonts w:ascii="CG Times (W1)" w:eastAsia="Times New Roman" w:hAnsi="CG Times (W1)" w:cs="Times New Roman"/>
          <w:b/>
          <w:bCs/>
          <w:lang w:eastAsia="hu-HU"/>
        </w:rPr>
      </w:pPr>
      <w:r w:rsidRPr="003D1876">
        <w:rPr>
          <w:rFonts w:ascii="Times New Roman" w:eastAsia="Times New Roman" w:hAnsi="Times New Roman" w:cs="Times New Roman"/>
          <w:b/>
          <w:bCs/>
          <w:lang w:eastAsia="hu-HU"/>
        </w:rPr>
        <w:t>A tantárgy szakmai tartalma (angolul) (Course description):</w:t>
      </w:r>
      <w:r w:rsidRPr="003D1876">
        <w:rPr>
          <w:rFonts w:ascii="CG Times (W1)" w:eastAsia="Times New Roman" w:hAnsi="CG Times (W1)" w:cs="Times New Roman"/>
          <w:b/>
          <w:bCs/>
          <w:lang w:eastAsia="hu-HU"/>
        </w:rPr>
        <w:t xml:space="preserve"> </w:t>
      </w:r>
      <w:r w:rsidRPr="003D1876">
        <w:rPr>
          <w:rFonts w:ascii="CG Times (W1)" w:eastAsia="Times New Roman" w:hAnsi="CG Times (W1)" w:cs="Times New Roman"/>
          <w:lang w:eastAsia="hu-HU"/>
        </w:rPr>
        <w:t xml:space="preserve">Documents in the field of weapon </w:t>
      </w:r>
      <w:r w:rsidRPr="0039611F">
        <w:rPr>
          <w:rFonts w:ascii="Times New Roman" w:eastAsia="Times New Roman" w:hAnsi="Times New Roman" w:cs="Times New Roman"/>
          <w:lang w:eastAsia="hu-HU"/>
        </w:rPr>
        <w:t>technology</w:t>
      </w:r>
      <w:r w:rsidRPr="003D1876">
        <w:rPr>
          <w:rFonts w:ascii="CG Times (W1)" w:eastAsia="Times New Roman" w:hAnsi="CG Times (W1)" w:cs="Times New Roman"/>
          <w:lang w:eastAsia="hu-HU"/>
        </w:rPr>
        <w:t>, their preparation and management. Grouping of military equipment and materials, order of their keeping, use and storage. File table, MAK code composition. Planning, organization, execution and documentation of tasks related to the technical servicing and repair of weapons technology equipment and materials. Planning and organization of professional work of repair subunits. Planning, organizing, and carrying out tasks related to the maintenance of maintenance material. Planning and organizing the professional work of sub-units. Procedures for the disposal of weapons equipment and materials, documents, procedures for conducting claims. General order of training ammunition supply, documents of applications and settlements.</w:t>
      </w:r>
    </w:p>
    <w:p w:rsidR="003D1876" w:rsidRPr="003D1876" w:rsidRDefault="003D1876" w:rsidP="00980876">
      <w:pPr>
        <w:numPr>
          <w:ilvl w:val="0"/>
          <w:numId w:val="726"/>
        </w:numPr>
        <w:tabs>
          <w:tab w:val="clear" w:pos="720"/>
          <w:tab w:val="center" w:pos="4536"/>
          <w:tab w:val="right" w:pos="9071"/>
        </w:tabs>
        <w:spacing w:before="120" w:after="0" w:line="240" w:lineRule="auto"/>
        <w:ind w:left="426" w:hanging="142"/>
        <w:jc w:val="both"/>
        <w:rPr>
          <w:rFonts w:ascii="CG Times (W1)" w:eastAsia="Times New Roman" w:hAnsi="CG Times (W1)" w:cs="Times New Roman"/>
          <w:b/>
          <w:bCs/>
          <w:lang w:eastAsia="hu-HU"/>
        </w:rPr>
      </w:pPr>
      <w:r w:rsidRPr="0039611F">
        <w:rPr>
          <w:rFonts w:ascii="Times New Roman" w:eastAsia="Times New Roman" w:hAnsi="Times New Roman" w:cs="Times New Roman"/>
          <w:b/>
          <w:bCs/>
          <w:lang w:eastAsia="hu-HU"/>
        </w:rPr>
        <w:t>Elérendő</w:t>
      </w:r>
      <w:r w:rsidRPr="003D1876">
        <w:rPr>
          <w:rFonts w:ascii="CG Times (W1)" w:eastAsia="Times New Roman" w:hAnsi="CG Times (W1)" w:cs="Times New Roman"/>
          <w:b/>
          <w:bCs/>
          <w:lang w:eastAsia="hu-HU"/>
        </w:rPr>
        <w:t xml:space="preserve"> kompetenciák (magyarul)</w:t>
      </w:r>
    </w:p>
    <w:p w:rsidR="003D1876" w:rsidRPr="0039611F" w:rsidRDefault="003D1876" w:rsidP="0039611F">
      <w:pPr>
        <w:autoSpaceDE w:val="0"/>
        <w:autoSpaceDN w:val="0"/>
        <w:adjustRightInd w:val="0"/>
        <w:spacing w:before="120" w:after="0" w:line="240" w:lineRule="auto"/>
        <w:ind w:left="646"/>
        <w:jc w:val="both"/>
        <w:rPr>
          <w:rFonts w:ascii="Times New Roman" w:eastAsia="Times New Roman" w:hAnsi="Times New Roman" w:cs="Times New Roman"/>
          <w:b/>
          <w:bCs/>
          <w:color w:val="000000"/>
          <w:lang w:eastAsia="hu-HU"/>
        </w:rPr>
      </w:pPr>
      <w:r w:rsidRPr="0039611F">
        <w:rPr>
          <w:rFonts w:ascii="Times New Roman" w:eastAsia="Times New Roman" w:hAnsi="Times New Roman" w:cs="Times New Roman"/>
          <w:b/>
          <w:bCs/>
          <w:color w:val="000000"/>
          <w:lang w:eastAsia="hu-HU"/>
        </w:rPr>
        <w:t>Tudása:</w:t>
      </w:r>
    </w:p>
    <w:p w:rsidR="003D1876" w:rsidRPr="003D1876" w:rsidRDefault="003D1876"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3D1876">
        <w:rPr>
          <w:rFonts w:ascii="Times New Roman" w:eastAsia="Times New Roman" w:hAnsi="Times New Roman" w:cs="Times New Roman"/>
          <w:color w:val="000000"/>
          <w:lang w:eastAsia="hu-HU"/>
        </w:rPr>
        <w:t>Megfelelő műszaki alapokkal rendelkezik, amelyek biztosítják az új ismeretek elsajátítását.</w:t>
      </w:r>
    </w:p>
    <w:p w:rsidR="003D1876" w:rsidRPr="003D1876" w:rsidRDefault="003D1876"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3D1876">
        <w:rPr>
          <w:rFonts w:ascii="Times New Roman" w:eastAsia="Times New Roman" w:hAnsi="Times New Roman" w:cs="Times New Roman"/>
          <w:color w:val="000000"/>
          <w:lang w:eastAsia="hu-HU"/>
        </w:rPr>
        <w:lastRenderedPageBreak/>
        <w:t>Ismeri a fegyverzettechnikai eszközök ellátáshoz és fenntartásához szükséges anyagok körét.</w:t>
      </w:r>
    </w:p>
    <w:p w:rsidR="003D1876" w:rsidRPr="003D1876" w:rsidRDefault="003D1876"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3D1876">
        <w:rPr>
          <w:rFonts w:ascii="Times New Roman" w:eastAsia="Times New Roman" w:hAnsi="Times New Roman" w:cs="Times New Roman"/>
          <w:color w:val="000000"/>
          <w:lang w:eastAsia="hu-HU"/>
        </w:rPr>
        <w:t>Ismeri a szakfeladatainak ellátásához szükséges munkavédelmi rendszabályokat.</w:t>
      </w:r>
    </w:p>
    <w:p w:rsidR="003D1876" w:rsidRPr="003D1876" w:rsidRDefault="003D1876"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3D1876">
        <w:rPr>
          <w:rFonts w:ascii="Times New Roman" w:eastAsia="Times New Roman" w:hAnsi="Times New Roman" w:cs="Times New Roman"/>
          <w:color w:val="000000"/>
          <w:lang w:eastAsia="hu-HU"/>
        </w:rPr>
        <w:t>Megfelelő mélységű és spektrumú fegyverzettechnikai típusismerettel rendelkezik.</w:t>
      </w:r>
    </w:p>
    <w:p w:rsidR="003D1876" w:rsidRPr="0039611F" w:rsidRDefault="003D1876" w:rsidP="0039611F">
      <w:pPr>
        <w:autoSpaceDE w:val="0"/>
        <w:autoSpaceDN w:val="0"/>
        <w:adjustRightInd w:val="0"/>
        <w:spacing w:before="120" w:after="0" w:line="240" w:lineRule="auto"/>
        <w:ind w:left="646"/>
        <w:jc w:val="both"/>
        <w:rPr>
          <w:rFonts w:ascii="Times New Roman" w:eastAsia="Times New Roman" w:hAnsi="Times New Roman" w:cs="Times New Roman"/>
          <w:b/>
          <w:bCs/>
          <w:color w:val="000000"/>
          <w:lang w:eastAsia="hu-HU"/>
        </w:rPr>
      </w:pPr>
      <w:r w:rsidRPr="0039611F">
        <w:rPr>
          <w:rFonts w:ascii="Times New Roman" w:eastAsia="Times New Roman" w:hAnsi="Times New Roman" w:cs="Times New Roman"/>
          <w:b/>
          <w:bCs/>
          <w:color w:val="000000"/>
          <w:lang w:eastAsia="hu-HU"/>
        </w:rPr>
        <w:t>Képességei:</w:t>
      </w:r>
    </w:p>
    <w:p w:rsidR="003D1876" w:rsidRPr="003D1876" w:rsidRDefault="003D1876"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3D1876">
        <w:rPr>
          <w:rFonts w:ascii="Times New Roman" w:eastAsia="Times New Roman" w:hAnsi="Times New Roman" w:cs="Times New Roman"/>
          <w:color w:val="000000"/>
          <w:lang w:eastAsia="hu-HU"/>
        </w:rPr>
        <w:t>Képes a szakterületén rendszeresített és használt berendezések és technikai eszközök használatának megszervezésére és hatékony alkalmazására.</w:t>
      </w:r>
    </w:p>
    <w:p w:rsidR="003D1876" w:rsidRPr="003D1876" w:rsidRDefault="003D1876"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3D1876">
        <w:rPr>
          <w:rFonts w:ascii="Times New Roman" w:eastAsia="Times New Roman" w:hAnsi="Times New Roman" w:cs="Times New Roman"/>
          <w:color w:val="000000"/>
          <w:lang w:eastAsia="hu-HU"/>
        </w:rPr>
        <w:t>Képes a megtanultakat felhasználva a szakterületén felmerülő új műszaki információkat megérteni és megtanulni.</w:t>
      </w:r>
    </w:p>
    <w:p w:rsidR="003D1876" w:rsidRPr="003D1876" w:rsidRDefault="003D1876" w:rsidP="0039611F">
      <w:pPr>
        <w:autoSpaceDE w:val="0"/>
        <w:autoSpaceDN w:val="0"/>
        <w:adjustRightInd w:val="0"/>
        <w:spacing w:before="120" w:after="0" w:line="240" w:lineRule="auto"/>
        <w:ind w:left="646"/>
        <w:jc w:val="both"/>
        <w:rPr>
          <w:rFonts w:ascii="Times New Roman" w:eastAsia="Times New Roman" w:hAnsi="Times New Roman" w:cs="Times New Roman"/>
          <w:b/>
          <w:bCs/>
          <w:color w:val="000000"/>
          <w:lang w:eastAsia="hu-HU"/>
        </w:rPr>
      </w:pPr>
      <w:r w:rsidRPr="003D1876">
        <w:rPr>
          <w:rFonts w:ascii="Times New Roman" w:eastAsia="Times New Roman" w:hAnsi="Times New Roman" w:cs="Times New Roman"/>
          <w:b/>
          <w:bCs/>
          <w:color w:val="000000"/>
          <w:lang w:eastAsia="hu-HU"/>
        </w:rPr>
        <w:t>Attitüdje:</w:t>
      </w:r>
    </w:p>
    <w:p w:rsidR="003D1876" w:rsidRPr="003D1876" w:rsidRDefault="003D1876"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3D1876">
        <w:rPr>
          <w:rFonts w:ascii="Times New Roman" w:eastAsia="Times New Roman" w:hAnsi="Times New Roman" w:cs="Times New Roman"/>
          <w:color w:val="000000"/>
          <w:lang w:eastAsia="hu-HU"/>
        </w:rPr>
        <w:t>Nyitott a fegyverzettechnikával kapcsolatos szakmai ismereteinek gyarapítása iránt, folyamatos önképzési igény jellemzi.</w:t>
      </w:r>
    </w:p>
    <w:p w:rsidR="003D1876" w:rsidRPr="003D1876" w:rsidRDefault="003D1876"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3D1876">
        <w:rPr>
          <w:rFonts w:ascii="Times New Roman" w:eastAsia="Times New Roman" w:hAnsi="Times New Roman" w:cs="Times New Roman"/>
          <w:color w:val="000000"/>
          <w:lang w:eastAsia="hu-HU"/>
        </w:rPr>
        <w:t xml:space="preserve">Nyitott szakterülete új eredményei felé, törekszik azok megismerésére. </w:t>
      </w:r>
    </w:p>
    <w:p w:rsidR="003D1876" w:rsidRPr="003D1876" w:rsidRDefault="003D1876" w:rsidP="0039611F">
      <w:pPr>
        <w:autoSpaceDE w:val="0"/>
        <w:autoSpaceDN w:val="0"/>
        <w:adjustRightInd w:val="0"/>
        <w:spacing w:before="120" w:after="0" w:line="240" w:lineRule="auto"/>
        <w:ind w:left="646"/>
        <w:jc w:val="both"/>
        <w:rPr>
          <w:rFonts w:ascii="Times New Roman" w:eastAsia="Times New Roman" w:hAnsi="Times New Roman" w:cs="Times New Roman"/>
          <w:b/>
          <w:bCs/>
          <w:color w:val="000000"/>
          <w:lang w:eastAsia="hu-HU"/>
        </w:rPr>
      </w:pPr>
      <w:r w:rsidRPr="003D1876">
        <w:rPr>
          <w:rFonts w:ascii="Times New Roman" w:eastAsia="Times New Roman" w:hAnsi="Times New Roman" w:cs="Times New Roman"/>
          <w:b/>
          <w:bCs/>
          <w:color w:val="000000"/>
          <w:lang w:eastAsia="hu-HU"/>
        </w:rPr>
        <w:t>Autonómiája és felelőssége:</w:t>
      </w:r>
    </w:p>
    <w:p w:rsidR="003D1876" w:rsidRPr="003D1876" w:rsidRDefault="003D1876"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3D1876">
        <w:rPr>
          <w:rFonts w:ascii="Times New Roman" w:eastAsia="Times New Roman" w:hAnsi="Times New Roman" w:cs="Times New Roman"/>
          <w:color w:val="000000"/>
          <w:lang w:eastAsia="hu-HU"/>
        </w:rPr>
        <w:t>Képes szakfeladatait önállóan végezni, saját munkáját hatékonyan megszervezni és végrehajtani.</w:t>
      </w:r>
    </w:p>
    <w:p w:rsidR="003D1876" w:rsidRPr="003D1876" w:rsidRDefault="003D1876"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3D1876">
        <w:rPr>
          <w:rFonts w:ascii="Times New Roman" w:eastAsia="Times New Roman" w:hAnsi="Times New Roman" w:cs="Times New Roman"/>
          <w:color w:val="000000"/>
          <w:lang w:eastAsia="hu-HU"/>
        </w:rPr>
        <w:t>Együttműködés és felelősség jellemzi szakterületének szakembereivel szemben.</w:t>
      </w:r>
    </w:p>
    <w:p w:rsidR="003D1876" w:rsidRPr="003D1876" w:rsidRDefault="003D1876"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3D1876">
        <w:rPr>
          <w:rFonts w:ascii="Times New Roman" w:eastAsia="Times New Roman" w:hAnsi="Times New Roman" w:cs="Times New Roman"/>
          <w:color w:val="000000"/>
          <w:lang w:eastAsia="hu-HU"/>
        </w:rPr>
        <w:t>Szakterületén belül képes rendszer-szemléletűen gondolkodni.</w:t>
      </w:r>
    </w:p>
    <w:p w:rsidR="003D1876" w:rsidRPr="003D1876" w:rsidRDefault="003D1876" w:rsidP="003D1876">
      <w:pPr>
        <w:autoSpaceDE w:val="0"/>
        <w:autoSpaceDN w:val="0"/>
        <w:adjustRightInd w:val="0"/>
        <w:spacing w:before="240" w:after="0" w:line="240" w:lineRule="auto"/>
        <w:ind w:left="644"/>
        <w:jc w:val="both"/>
        <w:rPr>
          <w:rFonts w:ascii="Times New Roman" w:eastAsia="Times New Roman" w:hAnsi="Times New Roman" w:cs="Times New Roman"/>
          <w:b/>
          <w:bCs/>
          <w:color w:val="000000"/>
          <w:lang w:eastAsia="hu-HU"/>
        </w:rPr>
      </w:pPr>
      <w:r w:rsidRPr="003D1876">
        <w:rPr>
          <w:rFonts w:ascii="Times New Roman" w:eastAsia="Times New Roman" w:hAnsi="Times New Roman" w:cs="Times New Roman"/>
          <w:b/>
          <w:bCs/>
          <w:color w:val="000000"/>
          <w:lang w:eastAsia="hu-HU"/>
        </w:rPr>
        <w:t>Elérendő kompetenciák (angolul):</w:t>
      </w:r>
    </w:p>
    <w:p w:rsidR="003D1876" w:rsidRPr="0039611F" w:rsidRDefault="003D1876" w:rsidP="0039611F">
      <w:pPr>
        <w:autoSpaceDE w:val="0"/>
        <w:autoSpaceDN w:val="0"/>
        <w:adjustRightInd w:val="0"/>
        <w:spacing w:before="120" w:after="0" w:line="240" w:lineRule="auto"/>
        <w:ind w:left="646"/>
        <w:jc w:val="both"/>
        <w:rPr>
          <w:rFonts w:ascii="Times New Roman" w:eastAsia="Times New Roman" w:hAnsi="Times New Roman" w:cs="Times New Roman"/>
          <w:b/>
          <w:bCs/>
          <w:color w:val="000000"/>
          <w:lang w:eastAsia="hu-HU"/>
        </w:rPr>
      </w:pPr>
      <w:r w:rsidRPr="0039611F">
        <w:rPr>
          <w:rFonts w:ascii="Times New Roman" w:eastAsia="Times New Roman" w:hAnsi="Times New Roman" w:cs="Times New Roman"/>
          <w:b/>
          <w:bCs/>
          <w:color w:val="000000"/>
          <w:lang w:eastAsia="hu-HU"/>
        </w:rPr>
        <w:t>Knowledge:</w:t>
      </w:r>
    </w:p>
    <w:p w:rsidR="003D1876" w:rsidRPr="003D1876" w:rsidRDefault="003D1876"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3D1876">
        <w:rPr>
          <w:rFonts w:ascii="Times New Roman" w:eastAsia="Times New Roman" w:hAnsi="Times New Roman" w:cs="Times New Roman"/>
          <w:color w:val="000000"/>
          <w:lang w:eastAsia="hu-HU"/>
        </w:rPr>
        <w:t>Possesses adequate basic engineering knowledge which enables the acquirement of new knowledge.</w:t>
      </w:r>
    </w:p>
    <w:p w:rsidR="003D1876" w:rsidRPr="003D1876" w:rsidRDefault="003D1876"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3D1876">
        <w:rPr>
          <w:rFonts w:ascii="Times New Roman" w:eastAsia="Times New Roman" w:hAnsi="Times New Roman" w:cs="Times New Roman"/>
          <w:color w:val="000000"/>
          <w:lang w:eastAsia="hu-HU"/>
        </w:rPr>
        <w:t>Knows the range of materials required for the maintenance of the weapon.</w:t>
      </w:r>
    </w:p>
    <w:p w:rsidR="003D1876" w:rsidRPr="003D1876" w:rsidRDefault="003D1876"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3D1876">
        <w:rPr>
          <w:rFonts w:ascii="Times New Roman" w:eastAsia="Times New Roman" w:hAnsi="Times New Roman" w:cs="Times New Roman"/>
          <w:color w:val="000000"/>
          <w:lang w:eastAsia="hu-HU"/>
        </w:rPr>
        <w:t>Knows the work safety regulations required for fulfilling his/her professional tasks.</w:t>
      </w:r>
    </w:p>
    <w:p w:rsidR="003D1876" w:rsidRPr="003D1876" w:rsidRDefault="003D1876"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3D1876">
        <w:rPr>
          <w:rFonts w:ascii="Times New Roman" w:eastAsia="Times New Roman" w:hAnsi="Times New Roman" w:cs="Times New Roman"/>
          <w:color w:val="000000"/>
          <w:lang w:eastAsia="hu-HU"/>
        </w:rPr>
        <w:t>Possesses knowledge of adequate depth and spectrum regarding weapon types.</w:t>
      </w:r>
    </w:p>
    <w:p w:rsidR="003D1876" w:rsidRPr="0039611F" w:rsidRDefault="003D1876" w:rsidP="0039611F">
      <w:pPr>
        <w:autoSpaceDE w:val="0"/>
        <w:autoSpaceDN w:val="0"/>
        <w:adjustRightInd w:val="0"/>
        <w:spacing w:before="120" w:after="0" w:line="240" w:lineRule="auto"/>
        <w:ind w:left="646"/>
        <w:jc w:val="both"/>
        <w:rPr>
          <w:rFonts w:ascii="Times New Roman" w:eastAsia="Times New Roman" w:hAnsi="Times New Roman" w:cs="Times New Roman"/>
          <w:b/>
          <w:bCs/>
          <w:color w:val="000000"/>
          <w:lang w:eastAsia="hu-HU"/>
        </w:rPr>
      </w:pPr>
      <w:r w:rsidRPr="0039611F">
        <w:rPr>
          <w:rFonts w:ascii="Times New Roman" w:eastAsia="Times New Roman" w:hAnsi="Times New Roman" w:cs="Times New Roman"/>
          <w:b/>
          <w:bCs/>
          <w:color w:val="000000"/>
          <w:lang w:eastAsia="hu-HU"/>
        </w:rPr>
        <w:t>Capabilities:</w:t>
      </w:r>
    </w:p>
    <w:p w:rsidR="003D1876" w:rsidRPr="003D1876" w:rsidRDefault="003D1876"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3D1876">
        <w:rPr>
          <w:rFonts w:ascii="Times New Roman" w:eastAsia="Times New Roman" w:hAnsi="Times New Roman" w:cs="Times New Roman"/>
          <w:color w:val="000000"/>
          <w:lang w:eastAsia="hu-HU"/>
        </w:rPr>
        <w:t>Is capable of organizing and efficiently utilizing the usage of the equipment and technical appliances applied in his/her respective specialty field.</w:t>
      </w:r>
    </w:p>
    <w:p w:rsidR="003D1876" w:rsidRPr="003D1876" w:rsidRDefault="003D1876"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3D1876">
        <w:rPr>
          <w:rFonts w:ascii="Times New Roman" w:eastAsia="Times New Roman" w:hAnsi="Times New Roman" w:cs="Times New Roman"/>
          <w:color w:val="000000"/>
          <w:lang w:eastAsia="hu-HU"/>
        </w:rPr>
        <w:t>Is capable of acqiring the understaning of new engineering information arising in his/her field of specialty using the already gained knowldge.</w:t>
      </w:r>
    </w:p>
    <w:p w:rsidR="003D1876" w:rsidRPr="0039611F" w:rsidRDefault="003D1876" w:rsidP="0039611F">
      <w:pPr>
        <w:autoSpaceDE w:val="0"/>
        <w:autoSpaceDN w:val="0"/>
        <w:adjustRightInd w:val="0"/>
        <w:spacing w:before="120" w:after="0" w:line="240" w:lineRule="auto"/>
        <w:ind w:left="646"/>
        <w:jc w:val="both"/>
        <w:rPr>
          <w:rFonts w:ascii="Times New Roman" w:eastAsia="Times New Roman" w:hAnsi="Times New Roman" w:cs="Times New Roman"/>
          <w:b/>
          <w:bCs/>
          <w:color w:val="000000"/>
          <w:lang w:eastAsia="hu-HU"/>
        </w:rPr>
      </w:pPr>
      <w:r w:rsidRPr="0039611F">
        <w:rPr>
          <w:rFonts w:ascii="Times New Roman" w:eastAsia="Times New Roman" w:hAnsi="Times New Roman" w:cs="Times New Roman"/>
          <w:b/>
          <w:bCs/>
          <w:color w:val="000000"/>
          <w:lang w:eastAsia="hu-HU"/>
        </w:rPr>
        <w:t>Attitude:</w:t>
      </w:r>
    </w:p>
    <w:p w:rsidR="003D1876" w:rsidRPr="003D1876" w:rsidRDefault="003D1876"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3D1876">
        <w:rPr>
          <w:rFonts w:ascii="Times New Roman" w:eastAsia="Times New Roman" w:hAnsi="Times New Roman" w:cs="Times New Roman"/>
          <w:color w:val="000000"/>
          <w:lang w:eastAsia="hu-HU"/>
        </w:rPr>
        <w:t>He/she is open to widen his/her knowledge regarding weapons and has a constant need for self-education.</w:t>
      </w:r>
    </w:p>
    <w:p w:rsidR="003D1876" w:rsidRPr="003D1876" w:rsidRDefault="003D1876"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3D1876">
        <w:rPr>
          <w:rFonts w:ascii="Times New Roman" w:eastAsia="Times New Roman" w:hAnsi="Times New Roman" w:cs="Times New Roman"/>
          <w:color w:val="000000"/>
          <w:lang w:eastAsia="hu-HU"/>
        </w:rPr>
        <w:t>He/she is open towards the new accomplishments of military technology and aims to gain knowledge of these.</w:t>
      </w:r>
    </w:p>
    <w:p w:rsidR="003D1876" w:rsidRPr="0039611F" w:rsidRDefault="003D1876" w:rsidP="0039611F">
      <w:pPr>
        <w:autoSpaceDE w:val="0"/>
        <w:autoSpaceDN w:val="0"/>
        <w:adjustRightInd w:val="0"/>
        <w:spacing w:before="120" w:after="0" w:line="240" w:lineRule="auto"/>
        <w:ind w:left="646"/>
        <w:jc w:val="both"/>
        <w:rPr>
          <w:rFonts w:ascii="Times New Roman" w:eastAsia="Times New Roman" w:hAnsi="Times New Roman" w:cs="Times New Roman"/>
          <w:b/>
          <w:bCs/>
          <w:color w:val="000000"/>
          <w:lang w:eastAsia="hu-HU"/>
        </w:rPr>
      </w:pPr>
      <w:r w:rsidRPr="0039611F">
        <w:rPr>
          <w:rFonts w:ascii="Times New Roman" w:eastAsia="Times New Roman" w:hAnsi="Times New Roman" w:cs="Times New Roman"/>
          <w:b/>
          <w:bCs/>
          <w:color w:val="000000"/>
          <w:lang w:eastAsia="hu-HU"/>
        </w:rPr>
        <w:t>Autonomy and responsibility</w:t>
      </w:r>
    </w:p>
    <w:p w:rsidR="003D1876" w:rsidRPr="003D1876" w:rsidRDefault="003D1876"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3D1876">
        <w:rPr>
          <w:rFonts w:ascii="Times New Roman" w:eastAsia="Times New Roman" w:hAnsi="Times New Roman" w:cs="Times New Roman"/>
          <w:color w:val="000000"/>
          <w:lang w:eastAsia="hu-HU"/>
        </w:rPr>
        <w:t>Is capable of independently fulfilling his/her professional tasks as well as effectively organizing and executing his/her own work.</w:t>
      </w:r>
    </w:p>
    <w:p w:rsidR="003D1876" w:rsidRPr="003D1876" w:rsidRDefault="003D1876"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3D1876">
        <w:rPr>
          <w:rFonts w:ascii="Times New Roman" w:eastAsia="Times New Roman" w:hAnsi="Times New Roman" w:cs="Times New Roman"/>
          <w:color w:val="000000"/>
          <w:lang w:eastAsia="hu-HU"/>
        </w:rPr>
        <w:t>He/she is cooperative and responsible towards the professionals of his/her field. Is capable of thinking in a system approach within his/her own field.</w:t>
      </w:r>
    </w:p>
    <w:p w:rsidR="003D1876" w:rsidRPr="003D1876" w:rsidRDefault="003D1876" w:rsidP="00980876">
      <w:pPr>
        <w:numPr>
          <w:ilvl w:val="0"/>
          <w:numId w:val="726"/>
        </w:numPr>
        <w:tabs>
          <w:tab w:val="clear" w:pos="720"/>
          <w:tab w:val="center" w:pos="4536"/>
          <w:tab w:val="right" w:pos="9071"/>
        </w:tabs>
        <w:spacing w:before="120" w:after="0" w:line="240" w:lineRule="auto"/>
        <w:ind w:left="426" w:hanging="142"/>
        <w:jc w:val="both"/>
        <w:rPr>
          <w:rFonts w:ascii="Times New Roman" w:eastAsia="Times New Roman" w:hAnsi="Times New Roman" w:cs="Times New Roman"/>
          <w:bCs/>
          <w:lang w:eastAsia="hu-HU"/>
        </w:rPr>
      </w:pPr>
      <w:r w:rsidRPr="003D1876">
        <w:rPr>
          <w:rFonts w:ascii="Times New Roman" w:eastAsia="Times New Roman" w:hAnsi="Times New Roman" w:cs="Times New Roman"/>
          <w:b/>
          <w:bCs/>
          <w:lang w:eastAsia="hu-HU"/>
        </w:rPr>
        <w:t xml:space="preserve">Előtanulmányi kötelezettségek:  - </w:t>
      </w:r>
    </w:p>
    <w:p w:rsidR="003D1876" w:rsidRPr="003D1876" w:rsidRDefault="003D1876" w:rsidP="00980876">
      <w:pPr>
        <w:numPr>
          <w:ilvl w:val="0"/>
          <w:numId w:val="726"/>
        </w:numPr>
        <w:tabs>
          <w:tab w:val="clear" w:pos="720"/>
          <w:tab w:val="center" w:pos="4536"/>
          <w:tab w:val="right" w:pos="9071"/>
        </w:tabs>
        <w:spacing w:before="120" w:after="0" w:line="240" w:lineRule="auto"/>
        <w:ind w:left="426" w:hanging="142"/>
        <w:jc w:val="both"/>
        <w:rPr>
          <w:rFonts w:ascii="Times New Roman" w:eastAsia="Times New Roman" w:hAnsi="Times New Roman" w:cs="Times New Roman"/>
          <w:b/>
          <w:lang w:eastAsia="hu-HU"/>
        </w:rPr>
      </w:pPr>
      <w:r w:rsidRPr="003D1876">
        <w:rPr>
          <w:rFonts w:ascii="Times New Roman" w:eastAsia="Times New Roman" w:hAnsi="Times New Roman" w:cs="Times New Roman"/>
          <w:b/>
          <w:lang w:eastAsia="hu-HU"/>
        </w:rPr>
        <w:t xml:space="preserve">A </w:t>
      </w:r>
      <w:r w:rsidRPr="0039611F">
        <w:rPr>
          <w:rFonts w:ascii="Times New Roman" w:eastAsia="Times New Roman" w:hAnsi="Times New Roman" w:cs="Times New Roman"/>
          <w:b/>
          <w:bCs/>
          <w:lang w:eastAsia="hu-HU"/>
        </w:rPr>
        <w:t>tantárgy</w:t>
      </w:r>
      <w:r w:rsidRPr="003D1876">
        <w:rPr>
          <w:rFonts w:ascii="Times New Roman" w:eastAsia="Times New Roman" w:hAnsi="Times New Roman" w:cs="Times New Roman"/>
          <w:b/>
          <w:lang w:eastAsia="hu-HU"/>
        </w:rPr>
        <w:t xml:space="preserve"> tananyagának leírása: (tematika): </w:t>
      </w:r>
    </w:p>
    <w:p w:rsidR="003D1876" w:rsidRPr="003D1876" w:rsidRDefault="003D1876" w:rsidP="00980876">
      <w:pPr>
        <w:numPr>
          <w:ilvl w:val="1"/>
          <w:numId w:val="726"/>
        </w:numPr>
        <w:tabs>
          <w:tab w:val="clear" w:pos="3977"/>
          <w:tab w:val="num" w:pos="1425"/>
        </w:tabs>
        <w:spacing w:before="60" w:after="0" w:line="240" w:lineRule="auto"/>
        <w:ind w:left="851" w:hanging="567"/>
        <w:jc w:val="both"/>
        <w:rPr>
          <w:rFonts w:ascii="Times New Roman" w:eastAsia="Times New Roman" w:hAnsi="Times New Roman" w:cs="Times New Roman"/>
          <w:bCs/>
          <w:i/>
          <w:lang w:eastAsia="hu-HU"/>
        </w:rPr>
      </w:pPr>
      <w:r w:rsidRPr="003D1876">
        <w:rPr>
          <w:rFonts w:ascii="Times New Roman" w:eastAsia="Times New Roman" w:hAnsi="Times New Roman" w:cs="Times New Roman"/>
          <w:lang w:eastAsia="hu-HU"/>
        </w:rPr>
        <w:t xml:space="preserve">Fegyverzettechnikai szakág okmányai, elkészítésük, vezetésük. </w:t>
      </w:r>
      <w:r w:rsidRPr="003D1876">
        <w:rPr>
          <w:rFonts w:ascii="Times New Roman" w:eastAsia="Times New Roman" w:hAnsi="Times New Roman" w:cs="Times New Roman"/>
          <w:i/>
          <w:lang w:eastAsia="hu-HU"/>
        </w:rPr>
        <w:t>(Documents in the field of weapon technology, their preparation and management.)</w:t>
      </w:r>
    </w:p>
    <w:p w:rsidR="003D1876" w:rsidRPr="003D1876" w:rsidRDefault="003D1876" w:rsidP="00980876">
      <w:pPr>
        <w:numPr>
          <w:ilvl w:val="1"/>
          <w:numId w:val="726"/>
        </w:numPr>
        <w:tabs>
          <w:tab w:val="clear" w:pos="3977"/>
          <w:tab w:val="num" w:pos="1425"/>
        </w:tabs>
        <w:spacing w:before="60" w:after="0" w:line="240" w:lineRule="auto"/>
        <w:ind w:left="851" w:hanging="567"/>
        <w:jc w:val="both"/>
        <w:rPr>
          <w:rFonts w:ascii="Times New Roman" w:eastAsia="Times New Roman" w:hAnsi="Times New Roman" w:cs="Times New Roman"/>
          <w:bCs/>
          <w:i/>
          <w:lang w:eastAsia="hu-HU"/>
        </w:rPr>
      </w:pPr>
      <w:r w:rsidRPr="003D1876">
        <w:rPr>
          <w:rFonts w:ascii="Times New Roman" w:eastAsia="Times New Roman" w:hAnsi="Times New Roman" w:cs="Times New Roman"/>
          <w:lang w:eastAsia="hu-HU"/>
        </w:rPr>
        <w:t>A haditechnikai eszközök és anyagok csoportosítása, azok rendszerben tartásának, használatának, tárolásának rendje</w:t>
      </w:r>
      <w:r w:rsidRPr="003D1876">
        <w:rPr>
          <w:rFonts w:ascii="Times New Roman" w:eastAsia="Times New Roman" w:hAnsi="Times New Roman" w:cs="Times New Roman"/>
          <w:i/>
          <w:lang w:eastAsia="hu-HU"/>
        </w:rPr>
        <w:t>. (Grouping of military equipment and materials, order of their keeping, use and storage.)</w:t>
      </w:r>
    </w:p>
    <w:p w:rsidR="003D1876" w:rsidRPr="003D1876" w:rsidRDefault="003D1876" w:rsidP="00980876">
      <w:pPr>
        <w:numPr>
          <w:ilvl w:val="1"/>
          <w:numId w:val="726"/>
        </w:numPr>
        <w:tabs>
          <w:tab w:val="clear" w:pos="3977"/>
          <w:tab w:val="num" w:pos="1425"/>
        </w:tabs>
        <w:spacing w:before="60" w:after="0" w:line="240" w:lineRule="auto"/>
        <w:ind w:left="851" w:hanging="567"/>
        <w:jc w:val="both"/>
        <w:rPr>
          <w:rFonts w:ascii="Times New Roman" w:eastAsia="Times New Roman" w:hAnsi="Times New Roman" w:cs="Times New Roman"/>
          <w:bCs/>
          <w:i/>
          <w:lang w:eastAsia="hu-HU"/>
        </w:rPr>
      </w:pPr>
      <w:r w:rsidRPr="003D1876">
        <w:rPr>
          <w:rFonts w:ascii="Times New Roman" w:eastAsia="Times New Roman" w:hAnsi="Times New Roman" w:cs="Times New Roman"/>
          <w:lang w:eastAsia="hu-HU"/>
        </w:rPr>
        <w:t xml:space="preserve">Állománytábla, MAK kód összetétele. </w:t>
      </w:r>
      <w:r w:rsidRPr="003D1876">
        <w:rPr>
          <w:rFonts w:ascii="Times New Roman" w:eastAsia="Times New Roman" w:hAnsi="Times New Roman" w:cs="Times New Roman"/>
          <w:i/>
          <w:lang w:eastAsia="hu-HU"/>
        </w:rPr>
        <w:t>(File table, MAK code composition.)</w:t>
      </w:r>
    </w:p>
    <w:p w:rsidR="003D1876" w:rsidRPr="003D1876" w:rsidRDefault="003D1876" w:rsidP="00980876">
      <w:pPr>
        <w:numPr>
          <w:ilvl w:val="1"/>
          <w:numId w:val="726"/>
        </w:numPr>
        <w:tabs>
          <w:tab w:val="clear" w:pos="3977"/>
          <w:tab w:val="num" w:pos="1425"/>
        </w:tabs>
        <w:spacing w:before="60" w:after="0" w:line="240" w:lineRule="auto"/>
        <w:ind w:left="851" w:hanging="567"/>
        <w:jc w:val="both"/>
        <w:rPr>
          <w:rFonts w:ascii="Times New Roman" w:eastAsia="Times New Roman" w:hAnsi="Times New Roman" w:cs="Times New Roman"/>
          <w:bCs/>
          <w:i/>
          <w:lang w:eastAsia="hu-HU"/>
        </w:rPr>
      </w:pPr>
      <w:r w:rsidRPr="003D1876">
        <w:rPr>
          <w:rFonts w:ascii="Times New Roman" w:eastAsia="Times New Roman" w:hAnsi="Times New Roman" w:cs="Times New Roman"/>
          <w:lang w:eastAsia="hu-HU"/>
        </w:rPr>
        <w:lastRenderedPageBreak/>
        <w:t xml:space="preserve">A fegyverzettechnikai eszközök és anyagok technikai kiszolgálásával, javításával kapcsolatos feladatok tervezése, szervezése, végrehajtása és okmányolása. </w:t>
      </w:r>
      <w:r w:rsidRPr="003D1876">
        <w:rPr>
          <w:rFonts w:ascii="Times New Roman" w:eastAsia="Times New Roman" w:hAnsi="Times New Roman" w:cs="Times New Roman"/>
          <w:i/>
          <w:lang w:eastAsia="hu-HU"/>
        </w:rPr>
        <w:t>(Planning, organization, execution and documentation of tasks related to the technical servicing and repair of weapons technology equipment and materials.)</w:t>
      </w:r>
    </w:p>
    <w:p w:rsidR="003D1876" w:rsidRPr="003D1876" w:rsidRDefault="003D1876" w:rsidP="00980876">
      <w:pPr>
        <w:numPr>
          <w:ilvl w:val="1"/>
          <w:numId w:val="726"/>
        </w:numPr>
        <w:tabs>
          <w:tab w:val="clear" w:pos="3977"/>
          <w:tab w:val="num" w:pos="1425"/>
        </w:tabs>
        <w:spacing w:before="60" w:after="0" w:line="240" w:lineRule="auto"/>
        <w:ind w:left="851" w:hanging="567"/>
        <w:jc w:val="both"/>
        <w:rPr>
          <w:rFonts w:ascii="Times New Roman" w:eastAsia="Times New Roman" w:hAnsi="Times New Roman" w:cs="Times New Roman"/>
          <w:bCs/>
          <w:i/>
          <w:lang w:eastAsia="hu-HU"/>
        </w:rPr>
      </w:pPr>
      <w:r w:rsidRPr="003D1876">
        <w:rPr>
          <w:rFonts w:ascii="Times New Roman" w:eastAsia="Times New Roman" w:hAnsi="Times New Roman" w:cs="Times New Roman"/>
          <w:lang w:eastAsia="hu-HU"/>
        </w:rPr>
        <w:t xml:space="preserve">A fenntartási anyaggal történő ellátás feladatainak megtervezése, megszervezése és annak végrehajtásával kapcsolatos feladatok végrehajtása. </w:t>
      </w:r>
      <w:r w:rsidRPr="003D1876">
        <w:rPr>
          <w:rFonts w:ascii="Times New Roman" w:eastAsia="Times New Roman" w:hAnsi="Times New Roman" w:cs="Times New Roman"/>
          <w:i/>
          <w:lang w:eastAsia="hu-HU"/>
        </w:rPr>
        <w:t>(Planning, organizing, and carrying out tasks related to the maintenance of maintenance material.)</w:t>
      </w:r>
    </w:p>
    <w:p w:rsidR="003D1876" w:rsidRPr="003D1876" w:rsidRDefault="003D1876" w:rsidP="00980876">
      <w:pPr>
        <w:numPr>
          <w:ilvl w:val="1"/>
          <w:numId w:val="726"/>
        </w:numPr>
        <w:tabs>
          <w:tab w:val="clear" w:pos="3977"/>
          <w:tab w:val="num" w:pos="1425"/>
        </w:tabs>
        <w:spacing w:before="60" w:after="0" w:line="240" w:lineRule="auto"/>
        <w:ind w:left="851" w:hanging="567"/>
        <w:jc w:val="both"/>
        <w:rPr>
          <w:rFonts w:ascii="Times New Roman" w:eastAsia="Times New Roman" w:hAnsi="Times New Roman" w:cs="Times New Roman"/>
          <w:bCs/>
          <w:i/>
          <w:lang w:eastAsia="hu-HU"/>
        </w:rPr>
      </w:pPr>
      <w:r w:rsidRPr="003D1876">
        <w:rPr>
          <w:rFonts w:ascii="Times New Roman" w:eastAsia="Times New Roman" w:hAnsi="Times New Roman" w:cs="Times New Roman"/>
          <w:lang w:eastAsia="hu-HU"/>
        </w:rPr>
        <w:t xml:space="preserve">Szakági ellátó alegységek szakmai munkájának megtervezése, megszervezése. </w:t>
      </w:r>
      <w:r w:rsidRPr="003D1876">
        <w:rPr>
          <w:rFonts w:ascii="Times New Roman" w:eastAsia="Times New Roman" w:hAnsi="Times New Roman" w:cs="Times New Roman"/>
          <w:i/>
          <w:lang w:eastAsia="hu-HU"/>
        </w:rPr>
        <w:t>(Planning and organizing the professional work of sub-units.)</w:t>
      </w:r>
    </w:p>
    <w:p w:rsidR="003D1876" w:rsidRPr="003D1876" w:rsidRDefault="003D1876" w:rsidP="00980876">
      <w:pPr>
        <w:numPr>
          <w:ilvl w:val="1"/>
          <w:numId w:val="726"/>
        </w:numPr>
        <w:tabs>
          <w:tab w:val="clear" w:pos="3977"/>
          <w:tab w:val="num" w:pos="1425"/>
        </w:tabs>
        <w:spacing w:before="60" w:after="0" w:line="240" w:lineRule="auto"/>
        <w:ind w:left="851" w:hanging="567"/>
        <w:jc w:val="both"/>
        <w:rPr>
          <w:rFonts w:ascii="Times New Roman" w:eastAsia="Times New Roman" w:hAnsi="Times New Roman" w:cs="Times New Roman"/>
          <w:bCs/>
          <w:i/>
          <w:lang w:eastAsia="hu-HU"/>
        </w:rPr>
      </w:pPr>
      <w:r w:rsidRPr="003D1876">
        <w:rPr>
          <w:rFonts w:ascii="Times New Roman" w:eastAsia="Times New Roman" w:hAnsi="Times New Roman" w:cs="Times New Roman"/>
          <w:lang w:eastAsia="hu-HU"/>
        </w:rPr>
        <w:t xml:space="preserve">A fegyverzettechnikai eszközök, anyagok selejtezésének rendje, okmányai, káreljárások lefolytatásának rendje. </w:t>
      </w:r>
      <w:r w:rsidRPr="003D1876">
        <w:rPr>
          <w:rFonts w:ascii="Times New Roman" w:eastAsia="Times New Roman" w:hAnsi="Times New Roman" w:cs="Times New Roman"/>
          <w:i/>
          <w:lang w:eastAsia="hu-HU"/>
        </w:rPr>
        <w:t>(Procedures for the disposal of weapons equipment and materials, documents, procedures for conducting claims.)</w:t>
      </w:r>
    </w:p>
    <w:p w:rsidR="003D1876" w:rsidRPr="003D1876" w:rsidRDefault="003D1876" w:rsidP="00980876">
      <w:pPr>
        <w:numPr>
          <w:ilvl w:val="1"/>
          <w:numId w:val="726"/>
        </w:numPr>
        <w:tabs>
          <w:tab w:val="clear" w:pos="3977"/>
          <w:tab w:val="num" w:pos="1425"/>
        </w:tabs>
        <w:spacing w:before="60" w:after="0" w:line="240" w:lineRule="auto"/>
        <w:ind w:left="851" w:hanging="567"/>
        <w:jc w:val="both"/>
        <w:rPr>
          <w:rFonts w:ascii="Times New Roman" w:eastAsia="Times New Roman" w:hAnsi="Times New Roman" w:cs="Times New Roman"/>
          <w:bCs/>
          <w:i/>
          <w:lang w:eastAsia="hu-HU"/>
        </w:rPr>
      </w:pPr>
      <w:r w:rsidRPr="003D1876">
        <w:rPr>
          <w:rFonts w:ascii="Times New Roman" w:eastAsia="Times New Roman" w:hAnsi="Times New Roman" w:cs="Times New Roman"/>
          <w:lang w:eastAsia="hu-HU"/>
        </w:rPr>
        <w:t xml:space="preserve">Kiképzési lőszerellátás általános rendje, az igénylések, elszámolások okmányai. </w:t>
      </w:r>
      <w:r w:rsidRPr="003D1876">
        <w:rPr>
          <w:rFonts w:ascii="Times New Roman" w:eastAsia="Times New Roman" w:hAnsi="Times New Roman" w:cs="Times New Roman"/>
          <w:i/>
          <w:lang w:eastAsia="hu-HU"/>
        </w:rPr>
        <w:t>(General order of training ammunition supply, documents of applications and settlements.)</w:t>
      </w:r>
    </w:p>
    <w:p w:rsidR="003D1876" w:rsidRPr="003D1876" w:rsidRDefault="003D1876" w:rsidP="00980876">
      <w:pPr>
        <w:numPr>
          <w:ilvl w:val="1"/>
          <w:numId w:val="726"/>
        </w:numPr>
        <w:tabs>
          <w:tab w:val="clear" w:pos="3977"/>
          <w:tab w:val="num" w:pos="1425"/>
        </w:tabs>
        <w:spacing w:before="60" w:after="0" w:line="240" w:lineRule="auto"/>
        <w:ind w:left="851" w:hanging="567"/>
        <w:jc w:val="both"/>
        <w:rPr>
          <w:rFonts w:ascii="Times New Roman" w:eastAsia="Times New Roman" w:hAnsi="Times New Roman" w:cs="Times New Roman"/>
          <w:bCs/>
          <w:i/>
          <w:lang w:eastAsia="hu-HU"/>
        </w:rPr>
      </w:pPr>
      <w:r w:rsidRPr="003D1876">
        <w:rPr>
          <w:rFonts w:ascii="Times New Roman" w:eastAsia="Times New Roman" w:hAnsi="Times New Roman" w:cs="Times New Roman"/>
          <w:bCs/>
          <w:lang w:eastAsia="hu-HU"/>
        </w:rPr>
        <w:t xml:space="preserve">Fegyverzeti anyagok beszerzésének a szabályai </w:t>
      </w:r>
      <w:r w:rsidRPr="003D1876">
        <w:rPr>
          <w:rFonts w:ascii="Times New Roman" w:eastAsia="Times New Roman" w:hAnsi="Times New Roman" w:cs="Times New Roman"/>
          <w:bCs/>
          <w:i/>
          <w:lang w:eastAsia="hu-HU"/>
        </w:rPr>
        <w:t>(Rules for the acquisition of armaments)</w:t>
      </w:r>
    </w:p>
    <w:p w:rsidR="003D1876" w:rsidRPr="003D1876" w:rsidRDefault="003D1876" w:rsidP="00980876">
      <w:pPr>
        <w:numPr>
          <w:ilvl w:val="1"/>
          <w:numId w:val="726"/>
        </w:numPr>
        <w:tabs>
          <w:tab w:val="clear" w:pos="3977"/>
          <w:tab w:val="num" w:pos="1425"/>
        </w:tabs>
        <w:spacing w:before="60" w:after="0" w:line="240" w:lineRule="auto"/>
        <w:ind w:left="851" w:hanging="567"/>
        <w:jc w:val="both"/>
        <w:rPr>
          <w:rFonts w:ascii="Times New Roman" w:eastAsia="Times New Roman" w:hAnsi="Times New Roman" w:cs="Times New Roman"/>
          <w:bCs/>
          <w:i/>
          <w:lang w:eastAsia="hu-HU"/>
        </w:rPr>
      </w:pPr>
      <w:r w:rsidRPr="003D1876">
        <w:rPr>
          <w:rFonts w:ascii="Times New Roman" w:eastAsia="Times New Roman" w:hAnsi="Times New Roman" w:cs="Times New Roman"/>
          <w:bCs/>
          <w:lang w:eastAsia="hu-HU"/>
        </w:rPr>
        <w:t xml:space="preserve">Fegyverzeti szakanyagok selejtezésének a szabályai. </w:t>
      </w:r>
      <w:r w:rsidRPr="003D1876">
        <w:rPr>
          <w:rFonts w:ascii="Times New Roman" w:eastAsia="Times New Roman" w:hAnsi="Times New Roman" w:cs="Times New Roman"/>
          <w:bCs/>
          <w:i/>
          <w:lang w:eastAsia="hu-HU"/>
        </w:rPr>
        <w:t>(Rules on Disposal of Arms Specialty Materials)</w:t>
      </w:r>
    </w:p>
    <w:p w:rsidR="003D1876" w:rsidRPr="003D1876" w:rsidRDefault="003D1876" w:rsidP="00980876">
      <w:pPr>
        <w:numPr>
          <w:ilvl w:val="1"/>
          <w:numId w:val="726"/>
        </w:numPr>
        <w:tabs>
          <w:tab w:val="clear" w:pos="3977"/>
          <w:tab w:val="num" w:pos="1425"/>
        </w:tabs>
        <w:spacing w:before="60" w:after="0" w:line="240" w:lineRule="auto"/>
        <w:ind w:left="851" w:hanging="567"/>
        <w:jc w:val="both"/>
        <w:rPr>
          <w:rFonts w:ascii="Times New Roman" w:eastAsia="Times New Roman" w:hAnsi="Times New Roman" w:cs="Times New Roman"/>
          <w:bCs/>
          <w:i/>
          <w:lang w:eastAsia="hu-HU"/>
        </w:rPr>
      </w:pPr>
      <w:r w:rsidRPr="003D1876">
        <w:rPr>
          <w:rFonts w:ascii="Times New Roman" w:eastAsia="Times New Roman" w:hAnsi="Times New Roman" w:cs="Times New Roman"/>
          <w:bCs/>
          <w:lang w:eastAsia="hu-HU"/>
        </w:rPr>
        <w:t xml:space="preserve">Káreljárások lefolytatásának a rendje </w:t>
      </w:r>
      <w:r w:rsidRPr="003D1876">
        <w:rPr>
          <w:rFonts w:ascii="Times New Roman" w:eastAsia="Times New Roman" w:hAnsi="Times New Roman" w:cs="Times New Roman"/>
          <w:bCs/>
          <w:i/>
          <w:lang w:eastAsia="hu-HU"/>
        </w:rPr>
        <w:t>(Order of conducting claims)</w:t>
      </w:r>
    </w:p>
    <w:p w:rsidR="003D1876" w:rsidRPr="003D1876" w:rsidRDefault="003D1876" w:rsidP="00980876">
      <w:pPr>
        <w:numPr>
          <w:ilvl w:val="1"/>
          <w:numId w:val="726"/>
        </w:numPr>
        <w:tabs>
          <w:tab w:val="clear" w:pos="3977"/>
          <w:tab w:val="num" w:pos="1425"/>
        </w:tabs>
        <w:spacing w:before="60" w:after="0" w:line="240" w:lineRule="auto"/>
        <w:ind w:left="851" w:hanging="567"/>
        <w:jc w:val="both"/>
        <w:rPr>
          <w:rFonts w:ascii="Times New Roman" w:eastAsia="Times New Roman" w:hAnsi="Times New Roman" w:cs="Times New Roman"/>
          <w:bCs/>
          <w:i/>
          <w:lang w:eastAsia="hu-HU"/>
        </w:rPr>
      </w:pPr>
      <w:r w:rsidRPr="003D1876">
        <w:rPr>
          <w:rFonts w:ascii="Times New Roman" w:eastAsia="Times New Roman" w:hAnsi="Times New Roman" w:cs="Times New Roman"/>
          <w:bCs/>
          <w:lang w:eastAsia="hu-HU"/>
        </w:rPr>
        <w:t xml:space="preserve">Fegyverzeti anyagok leltározásának szabályai </w:t>
      </w:r>
      <w:r w:rsidRPr="003D1876">
        <w:rPr>
          <w:rFonts w:ascii="Times New Roman" w:eastAsia="Times New Roman" w:hAnsi="Times New Roman" w:cs="Times New Roman"/>
          <w:bCs/>
          <w:i/>
          <w:lang w:eastAsia="hu-HU"/>
        </w:rPr>
        <w:t>(Rules on stockpiling of armaments)</w:t>
      </w:r>
    </w:p>
    <w:p w:rsidR="003D1876" w:rsidRPr="003D1876" w:rsidRDefault="003D1876" w:rsidP="00980876">
      <w:pPr>
        <w:numPr>
          <w:ilvl w:val="1"/>
          <w:numId w:val="726"/>
        </w:numPr>
        <w:tabs>
          <w:tab w:val="clear" w:pos="3977"/>
          <w:tab w:val="num" w:pos="1425"/>
        </w:tabs>
        <w:spacing w:before="60" w:after="0" w:line="240" w:lineRule="auto"/>
        <w:ind w:left="851" w:hanging="567"/>
        <w:jc w:val="both"/>
        <w:rPr>
          <w:rFonts w:ascii="Times New Roman" w:eastAsia="Times New Roman" w:hAnsi="Times New Roman" w:cs="Times New Roman"/>
          <w:bCs/>
          <w:i/>
          <w:lang w:eastAsia="hu-HU"/>
        </w:rPr>
      </w:pPr>
      <w:r w:rsidRPr="003D1876">
        <w:rPr>
          <w:rFonts w:ascii="Times New Roman" w:eastAsia="Times New Roman" w:hAnsi="Times New Roman" w:cs="Times New Roman"/>
          <w:bCs/>
          <w:lang w:eastAsia="hu-HU"/>
        </w:rPr>
        <w:t xml:space="preserve">Utaltsági rendszer felépítése </w:t>
      </w:r>
      <w:r w:rsidRPr="003D1876">
        <w:rPr>
          <w:rFonts w:ascii="Times New Roman" w:eastAsia="Times New Roman" w:hAnsi="Times New Roman" w:cs="Times New Roman"/>
          <w:bCs/>
          <w:i/>
          <w:lang w:eastAsia="hu-HU"/>
        </w:rPr>
        <w:t>(Structure of the dependency system)</w:t>
      </w:r>
    </w:p>
    <w:p w:rsidR="003D1876" w:rsidRPr="003D1876" w:rsidRDefault="003D1876" w:rsidP="00980876">
      <w:pPr>
        <w:numPr>
          <w:ilvl w:val="1"/>
          <w:numId w:val="726"/>
        </w:numPr>
        <w:tabs>
          <w:tab w:val="clear" w:pos="3977"/>
          <w:tab w:val="num" w:pos="1425"/>
        </w:tabs>
        <w:spacing w:before="60" w:after="0" w:line="240" w:lineRule="auto"/>
        <w:ind w:left="851" w:hanging="567"/>
        <w:jc w:val="both"/>
        <w:rPr>
          <w:rFonts w:ascii="Times New Roman" w:eastAsia="Times New Roman" w:hAnsi="Times New Roman" w:cs="Times New Roman"/>
          <w:bCs/>
          <w:i/>
          <w:lang w:eastAsia="hu-HU"/>
        </w:rPr>
      </w:pPr>
      <w:r w:rsidRPr="003D1876">
        <w:rPr>
          <w:rFonts w:ascii="Times New Roman" w:eastAsia="Times New Roman" w:hAnsi="Times New Roman" w:cs="Times New Roman"/>
          <w:bCs/>
          <w:lang w:eastAsia="hu-HU"/>
        </w:rPr>
        <w:t xml:space="preserve">Fegyverzeti ellenőrzések rendszere </w:t>
      </w:r>
      <w:r w:rsidRPr="003D1876">
        <w:rPr>
          <w:rFonts w:ascii="Times New Roman" w:eastAsia="Times New Roman" w:hAnsi="Times New Roman" w:cs="Times New Roman"/>
          <w:bCs/>
          <w:i/>
          <w:lang w:eastAsia="hu-HU"/>
        </w:rPr>
        <w:t>(Arms control system)</w:t>
      </w:r>
    </w:p>
    <w:p w:rsidR="003D1876" w:rsidRPr="003D1876" w:rsidRDefault="003D1876" w:rsidP="00980876">
      <w:pPr>
        <w:numPr>
          <w:ilvl w:val="0"/>
          <w:numId w:val="726"/>
        </w:numPr>
        <w:tabs>
          <w:tab w:val="clear" w:pos="720"/>
          <w:tab w:val="center" w:pos="4536"/>
          <w:tab w:val="right" w:pos="9071"/>
        </w:tabs>
        <w:spacing w:before="120" w:after="0" w:line="240" w:lineRule="auto"/>
        <w:ind w:left="426" w:hanging="142"/>
        <w:jc w:val="both"/>
        <w:rPr>
          <w:rFonts w:ascii="Times New Roman" w:eastAsia="Times New Roman" w:hAnsi="Times New Roman" w:cs="Times New Roman"/>
          <w:bCs/>
          <w:lang w:eastAsia="hu-HU"/>
        </w:rPr>
      </w:pPr>
      <w:r w:rsidRPr="003D1876">
        <w:rPr>
          <w:rFonts w:ascii="Times New Roman" w:eastAsia="Times New Roman" w:hAnsi="Times New Roman" w:cs="Times New Roman"/>
          <w:b/>
          <w:bCs/>
          <w:lang w:eastAsia="hu-HU"/>
        </w:rPr>
        <w:t xml:space="preserve">A tantárgy meghirdetésének gyakorisága/a tantervben történő félévi elhelyezkedése: </w:t>
      </w:r>
      <w:r w:rsidRPr="003D1876">
        <w:rPr>
          <w:rFonts w:ascii="Times New Roman" w:eastAsia="Times New Roman" w:hAnsi="Times New Roman" w:cs="Times New Roman"/>
          <w:bCs/>
          <w:lang w:eastAsia="hu-HU"/>
        </w:rPr>
        <w:t>évente /8. félév</w:t>
      </w:r>
    </w:p>
    <w:p w:rsidR="003D1876" w:rsidRPr="003D1876" w:rsidRDefault="003D1876" w:rsidP="00980876">
      <w:pPr>
        <w:numPr>
          <w:ilvl w:val="0"/>
          <w:numId w:val="726"/>
        </w:numPr>
        <w:tabs>
          <w:tab w:val="clear" w:pos="720"/>
          <w:tab w:val="right" w:pos="567"/>
          <w:tab w:val="num" w:pos="644"/>
          <w:tab w:val="center" w:pos="4536"/>
          <w:tab w:val="right" w:pos="9071"/>
        </w:tabs>
        <w:spacing w:before="120" w:after="0" w:line="240" w:lineRule="auto"/>
        <w:ind w:left="426" w:hanging="142"/>
        <w:jc w:val="both"/>
        <w:rPr>
          <w:rFonts w:ascii="Times New Roman" w:eastAsia="Times New Roman" w:hAnsi="Times New Roman" w:cs="Times New Roman"/>
          <w:b/>
          <w:lang w:eastAsia="hu-HU"/>
        </w:rPr>
      </w:pPr>
      <w:r w:rsidRPr="003D1876">
        <w:rPr>
          <w:rFonts w:ascii="Times New Roman" w:eastAsia="Times New Roman" w:hAnsi="Times New Roman" w:cs="Times New Roman"/>
          <w:b/>
          <w:bCs/>
          <w:lang w:eastAsia="hu-HU"/>
        </w:rPr>
        <w:t>A foglalkozásokon való részvétel követelményei, elfogadható hiányzások mértéke, távolmaradás pótlásának lehetősége:</w:t>
      </w:r>
    </w:p>
    <w:p w:rsidR="003D1876" w:rsidRPr="003D1876" w:rsidRDefault="003D1876" w:rsidP="003D1876">
      <w:pPr>
        <w:tabs>
          <w:tab w:val="right" w:pos="900"/>
          <w:tab w:val="center" w:pos="4536"/>
          <w:tab w:val="right" w:pos="9071"/>
        </w:tabs>
        <w:spacing w:before="120" w:after="0" w:line="240" w:lineRule="auto"/>
        <w:ind w:left="426"/>
        <w:jc w:val="both"/>
        <w:rPr>
          <w:rFonts w:ascii="Times New Roman" w:eastAsia="Times New Roman" w:hAnsi="Times New Roman" w:cs="Times New Roman"/>
          <w:bCs/>
          <w:lang w:eastAsia="hu-HU"/>
        </w:rPr>
      </w:pPr>
      <w:r w:rsidRPr="003D1876">
        <w:rPr>
          <w:rFonts w:ascii="Times New Roman" w:eastAsia="Times New Roman" w:hAnsi="Times New Roman" w:cs="Times New Roman"/>
          <w:bCs/>
          <w:lang w:eastAsia="hu-HU"/>
        </w:rPr>
        <w:t>A hallgatónak a tanórák legalább 70 %-án jelen kell lennie, 30 % -t meghaladó hiányzás esetén a félév teljesítése nem irható alá. A hallgató köteles az előadások és a gyakorlat anyagát beszerezni, abból önállóan felkészülni.</w:t>
      </w:r>
    </w:p>
    <w:p w:rsidR="003D1876" w:rsidRPr="003D1876" w:rsidRDefault="003D1876" w:rsidP="00980876">
      <w:pPr>
        <w:numPr>
          <w:ilvl w:val="0"/>
          <w:numId w:val="726"/>
        </w:numPr>
        <w:tabs>
          <w:tab w:val="clear" w:pos="720"/>
          <w:tab w:val="num" w:pos="426"/>
          <w:tab w:val="num" w:pos="644"/>
        </w:tabs>
        <w:spacing w:before="120" w:after="0" w:line="240" w:lineRule="auto"/>
        <w:ind w:left="641" w:hanging="357"/>
        <w:rPr>
          <w:rFonts w:ascii="Times New Roman" w:eastAsia="Times New Roman" w:hAnsi="Times New Roman" w:cs="Times New Roman"/>
          <w:b/>
          <w:lang w:eastAsia="hu-HU"/>
        </w:rPr>
      </w:pPr>
      <w:r w:rsidRPr="003D1876">
        <w:rPr>
          <w:rFonts w:ascii="Times New Roman" w:eastAsia="Times New Roman" w:hAnsi="Times New Roman" w:cs="Times New Roman"/>
          <w:b/>
          <w:lang w:eastAsia="hu-HU"/>
        </w:rPr>
        <w:t xml:space="preserve">Félévközi feladatok, ismeretek ellenőrzésének rendje: </w:t>
      </w:r>
    </w:p>
    <w:p w:rsidR="003D1876" w:rsidRPr="003D1876" w:rsidRDefault="003D1876" w:rsidP="003D1876">
      <w:pPr>
        <w:tabs>
          <w:tab w:val="num" w:pos="426"/>
        </w:tabs>
        <w:spacing w:before="120" w:after="0" w:line="240" w:lineRule="auto"/>
        <w:ind w:left="426"/>
        <w:jc w:val="both"/>
        <w:rPr>
          <w:rFonts w:ascii="Times New Roman" w:eastAsia="Times New Roman" w:hAnsi="Times New Roman" w:cs="Times New Roman"/>
          <w:b/>
          <w:lang w:eastAsia="hu-HU"/>
        </w:rPr>
      </w:pPr>
      <w:r w:rsidRPr="003D1876">
        <w:rPr>
          <w:rFonts w:ascii="Times New Roman" w:eastAsia="Times New Roman" w:hAnsi="Times New Roman" w:cs="Times New Roman"/>
          <w:lang w:eastAsia="hu-HU"/>
        </w:rPr>
        <w:t>A félév során a hallgató kett</w:t>
      </w:r>
      <w:r w:rsidRPr="003D1876">
        <w:rPr>
          <w:rFonts w:ascii="Times New Roman" w:eastAsia="Times New Roman" w:hAnsi="Times New Roman" w:cs="Times New Roman" w:hint="eastAsia"/>
          <w:lang w:eastAsia="hu-HU"/>
        </w:rPr>
        <w:t>ő</w:t>
      </w:r>
      <w:r w:rsidRPr="003D1876">
        <w:rPr>
          <w:rFonts w:ascii="Times New Roman" w:eastAsia="Times New Roman" w:hAnsi="Times New Roman" w:cs="Times New Roman"/>
          <w:lang w:eastAsia="hu-HU"/>
        </w:rPr>
        <w:t xml:space="preserve"> zárthelyi dolgozatot ír. Zárthelyi dolgozatok a 12.1-12.15 tantárgyrészekb</w:t>
      </w:r>
      <w:r w:rsidRPr="003D1876">
        <w:rPr>
          <w:rFonts w:ascii="Times New Roman" w:eastAsia="Times New Roman" w:hAnsi="Times New Roman" w:cs="Times New Roman" w:hint="eastAsia"/>
          <w:lang w:eastAsia="hu-HU"/>
        </w:rPr>
        <w:t>ő</w:t>
      </w:r>
      <w:r w:rsidRPr="003D1876">
        <w:rPr>
          <w:rFonts w:ascii="Times New Roman" w:eastAsia="Times New Roman" w:hAnsi="Times New Roman" w:cs="Times New Roman"/>
          <w:lang w:eastAsia="hu-HU"/>
        </w:rPr>
        <w:t>l. A zárthelyi dolgozat témáit a kötelez</w:t>
      </w:r>
      <w:r w:rsidRPr="003D1876">
        <w:rPr>
          <w:rFonts w:ascii="Times New Roman" w:eastAsia="Times New Roman" w:hAnsi="Times New Roman" w:cs="Times New Roman" w:hint="eastAsia"/>
          <w:lang w:eastAsia="hu-HU"/>
        </w:rPr>
        <w:t>ő</w:t>
      </w:r>
      <w:r w:rsidRPr="003D1876">
        <w:rPr>
          <w:rFonts w:ascii="Times New Roman" w:eastAsia="Times New Roman" w:hAnsi="Times New Roman" w:cs="Times New Roman"/>
          <w:lang w:eastAsia="hu-HU"/>
        </w:rPr>
        <w:t xml:space="preserve"> irodalmak anyagából, illetve az el</w:t>
      </w:r>
      <w:r w:rsidRPr="003D1876">
        <w:rPr>
          <w:rFonts w:ascii="Times New Roman" w:eastAsia="Times New Roman" w:hAnsi="Times New Roman" w:cs="Times New Roman" w:hint="eastAsia"/>
          <w:lang w:eastAsia="hu-HU"/>
        </w:rPr>
        <w:t>ő</w:t>
      </w:r>
      <w:r w:rsidRPr="003D1876">
        <w:rPr>
          <w:rFonts w:ascii="Times New Roman" w:eastAsia="Times New Roman" w:hAnsi="Times New Roman" w:cs="Times New Roman"/>
          <w:lang w:eastAsia="hu-HU"/>
        </w:rPr>
        <w:t>adásokon elhangzott ismeretanyagból kell összeállítani. A zárthelyi dolgozat értékelése ötfokozatú értékelés (a helyes válaszok aránya 0-60% elégtelen; 61-70% elégséges; 71-80% közepes; 81-90% jó; 91-100% jeles osztályzat). Eredménytelen zárthelyi dolgozat kétszer javítható. A dolgozatban teszt és esszé jelleg</w:t>
      </w:r>
      <w:r w:rsidRPr="003D1876">
        <w:rPr>
          <w:rFonts w:ascii="Times New Roman" w:eastAsia="Times New Roman" w:hAnsi="Times New Roman" w:cs="Times New Roman" w:hint="eastAsia"/>
          <w:lang w:eastAsia="hu-HU"/>
        </w:rPr>
        <w:t>ű</w:t>
      </w:r>
      <w:r w:rsidRPr="003D1876">
        <w:rPr>
          <w:rFonts w:ascii="Times New Roman" w:eastAsia="Times New Roman" w:hAnsi="Times New Roman" w:cs="Times New Roman"/>
          <w:lang w:eastAsia="hu-HU"/>
        </w:rPr>
        <w:t xml:space="preserve"> kérdések egyaránt szerepelnek.</w:t>
      </w:r>
    </w:p>
    <w:p w:rsidR="003D1876" w:rsidRPr="003D1876" w:rsidRDefault="003D1876" w:rsidP="00980876">
      <w:pPr>
        <w:numPr>
          <w:ilvl w:val="0"/>
          <w:numId w:val="726"/>
        </w:numPr>
        <w:tabs>
          <w:tab w:val="clear" w:pos="720"/>
          <w:tab w:val="num" w:pos="426"/>
          <w:tab w:val="num" w:pos="644"/>
        </w:tabs>
        <w:spacing w:before="120" w:after="0" w:line="240" w:lineRule="auto"/>
        <w:ind w:left="426" w:hanging="142"/>
        <w:jc w:val="both"/>
        <w:rPr>
          <w:rFonts w:ascii="Times New Roman" w:eastAsia="Times New Roman" w:hAnsi="Times New Roman" w:cs="Times New Roman"/>
          <w:b/>
          <w:lang w:eastAsia="hu-HU"/>
        </w:rPr>
      </w:pPr>
      <w:r w:rsidRPr="003D1876">
        <w:rPr>
          <w:rFonts w:ascii="Times New Roman" w:eastAsia="Times New Roman" w:hAnsi="Times New Roman" w:cs="Times New Roman"/>
          <w:b/>
          <w:lang w:eastAsia="hu-HU"/>
        </w:rPr>
        <w:t xml:space="preserve">Az aláírás és a kreditek megszerzésének pontos feltételei </w:t>
      </w:r>
    </w:p>
    <w:p w:rsidR="003D1876" w:rsidRPr="003D1876" w:rsidRDefault="003D1876" w:rsidP="00980876">
      <w:pPr>
        <w:numPr>
          <w:ilvl w:val="1"/>
          <w:numId w:val="726"/>
        </w:numPr>
        <w:tabs>
          <w:tab w:val="clear" w:pos="3977"/>
          <w:tab w:val="num" w:pos="1425"/>
        </w:tabs>
        <w:spacing w:before="120" w:after="0" w:line="240" w:lineRule="auto"/>
        <w:ind w:left="1134" w:hanging="567"/>
        <w:jc w:val="both"/>
        <w:rPr>
          <w:rFonts w:ascii="Times New Roman" w:eastAsia="Times New Roman" w:hAnsi="Times New Roman" w:cs="Times New Roman"/>
          <w:lang w:eastAsia="hu-HU"/>
        </w:rPr>
      </w:pPr>
      <w:r w:rsidRPr="003D1876">
        <w:rPr>
          <w:rFonts w:ascii="Times New Roman" w:eastAsia="Times New Roman" w:hAnsi="Times New Roman" w:cs="Times New Roman"/>
          <w:b/>
          <w:lang w:eastAsia="hu-HU"/>
        </w:rPr>
        <w:t xml:space="preserve">Az aláírás megszerzésének feltételei: </w:t>
      </w:r>
      <w:r w:rsidRPr="003D1876">
        <w:rPr>
          <w:rFonts w:ascii="Times New Roman" w:eastAsia="Times New Roman" w:hAnsi="Times New Roman" w:cs="Times New Roman"/>
          <w:lang w:eastAsia="hu-HU"/>
        </w:rPr>
        <w:t>Az aláírás megszerzésének feltétele a 14. pontban meghatározott arányú részvétel a foglalkozásokon és a 15. pontban meghatározott félévközi feladatok legalább elégséges teljesítése.</w:t>
      </w:r>
    </w:p>
    <w:p w:rsidR="003D1876" w:rsidRPr="003D1876" w:rsidRDefault="003D1876" w:rsidP="00980876">
      <w:pPr>
        <w:numPr>
          <w:ilvl w:val="1"/>
          <w:numId w:val="726"/>
        </w:numPr>
        <w:tabs>
          <w:tab w:val="clear" w:pos="3977"/>
          <w:tab w:val="num" w:pos="1425"/>
        </w:tabs>
        <w:spacing w:before="120" w:after="0" w:line="240" w:lineRule="auto"/>
        <w:ind w:left="1134" w:hanging="567"/>
        <w:jc w:val="both"/>
        <w:rPr>
          <w:rFonts w:ascii="Times New Roman" w:eastAsia="Times New Roman" w:hAnsi="Times New Roman" w:cs="Times New Roman"/>
          <w:lang w:eastAsia="hu-HU"/>
        </w:rPr>
      </w:pPr>
      <w:r w:rsidRPr="003D1876">
        <w:rPr>
          <w:rFonts w:ascii="Times New Roman" w:eastAsia="Times New Roman" w:hAnsi="Times New Roman" w:cs="Times New Roman"/>
          <w:b/>
          <w:lang w:eastAsia="hu-HU"/>
        </w:rPr>
        <w:t>Az értékelés</w:t>
      </w:r>
      <w:r w:rsidRPr="003D1876">
        <w:rPr>
          <w:rFonts w:ascii="Times New Roman" w:eastAsia="Times New Roman" w:hAnsi="Times New Roman" w:cs="Times New Roman"/>
          <w:lang w:eastAsia="hu-HU"/>
        </w:rPr>
        <w:t>: szóbeli kollokvium, ötfokozatú értékelés. Vizsgakövetelmény a tematikában megadott tárgykörök, témák, illetve a kötelez</w:t>
      </w:r>
      <w:r w:rsidRPr="003D1876">
        <w:rPr>
          <w:rFonts w:ascii="Times New Roman" w:eastAsia="Times New Roman" w:hAnsi="Times New Roman" w:cs="Times New Roman" w:hint="eastAsia"/>
          <w:lang w:eastAsia="hu-HU"/>
        </w:rPr>
        <w:t>ő</w:t>
      </w:r>
      <w:r w:rsidRPr="003D1876">
        <w:rPr>
          <w:rFonts w:ascii="Times New Roman" w:eastAsia="Times New Roman" w:hAnsi="Times New Roman" w:cs="Times New Roman"/>
          <w:lang w:eastAsia="hu-HU"/>
        </w:rPr>
        <w:t xml:space="preserve"> és az ajánlott irodalom ismerete.</w:t>
      </w:r>
    </w:p>
    <w:p w:rsidR="003D1876" w:rsidRPr="003D1876" w:rsidRDefault="003D1876" w:rsidP="00980876">
      <w:pPr>
        <w:numPr>
          <w:ilvl w:val="1"/>
          <w:numId w:val="726"/>
        </w:numPr>
        <w:tabs>
          <w:tab w:val="clear" w:pos="3977"/>
          <w:tab w:val="num" w:pos="1425"/>
        </w:tabs>
        <w:spacing w:before="120" w:after="0" w:line="240" w:lineRule="auto"/>
        <w:ind w:left="1134" w:hanging="567"/>
        <w:jc w:val="both"/>
        <w:rPr>
          <w:rFonts w:ascii="Times New Roman" w:eastAsia="Times New Roman" w:hAnsi="Times New Roman" w:cs="Times New Roman"/>
          <w:lang w:eastAsia="hu-HU"/>
        </w:rPr>
      </w:pPr>
      <w:r w:rsidRPr="003D1876">
        <w:rPr>
          <w:rFonts w:ascii="Times New Roman" w:eastAsia="Times New Roman" w:hAnsi="Times New Roman" w:cs="Times New Roman"/>
          <w:b/>
          <w:lang w:eastAsia="hu-HU"/>
        </w:rPr>
        <w:t>A kreditek megszerzésének feltételei</w:t>
      </w:r>
      <w:r w:rsidRPr="003D1876">
        <w:rPr>
          <w:rFonts w:ascii="Times New Roman" w:eastAsia="Times New Roman" w:hAnsi="Times New Roman" w:cs="Times New Roman"/>
          <w:lang w:eastAsia="hu-HU"/>
        </w:rPr>
        <w:t>: az aláírás megszerzése és legalább elégséges szóbeli kollokvium jegy.</w:t>
      </w:r>
    </w:p>
    <w:p w:rsidR="003D1876" w:rsidRPr="003D1876" w:rsidRDefault="003D1876" w:rsidP="00980876">
      <w:pPr>
        <w:numPr>
          <w:ilvl w:val="0"/>
          <w:numId w:val="726"/>
        </w:numPr>
        <w:tabs>
          <w:tab w:val="clear" w:pos="720"/>
          <w:tab w:val="num" w:pos="426"/>
          <w:tab w:val="num" w:pos="644"/>
        </w:tabs>
        <w:spacing w:before="120" w:after="0" w:line="240" w:lineRule="auto"/>
        <w:ind w:left="426" w:hanging="142"/>
        <w:jc w:val="both"/>
        <w:rPr>
          <w:rFonts w:ascii="Times New Roman" w:eastAsia="Times New Roman" w:hAnsi="Times New Roman" w:cs="Times New Roman"/>
          <w:b/>
          <w:lang w:eastAsia="hu-HU"/>
        </w:rPr>
      </w:pPr>
      <w:r w:rsidRPr="003D1876">
        <w:rPr>
          <w:rFonts w:ascii="Times New Roman" w:eastAsia="Times New Roman" w:hAnsi="Times New Roman" w:cs="Times New Roman"/>
          <w:b/>
          <w:lang w:eastAsia="hu-HU"/>
        </w:rPr>
        <w:t>Irodalomjegyzék (magyarul, angolul):</w:t>
      </w:r>
    </w:p>
    <w:p w:rsidR="003D1876" w:rsidRPr="003D1876" w:rsidRDefault="003D1876" w:rsidP="00980876">
      <w:pPr>
        <w:numPr>
          <w:ilvl w:val="1"/>
          <w:numId w:val="726"/>
        </w:numPr>
        <w:tabs>
          <w:tab w:val="clear" w:pos="3977"/>
          <w:tab w:val="left" w:pos="1134"/>
          <w:tab w:val="num" w:pos="1425"/>
        </w:tabs>
        <w:spacing w:before="120" w:after="0" w:line="240" w:lineRule="auto"/>
        <w:ind w:left="568" w:firstLine="0"/>
        <w:jc w:val="both"/>
        <w:rPr>
          <w:rFonts w:ascii="Times New Roman" w:eastAsia="Times New Roman" w:hAnsi="Times New Roman" w:cs="Times New Roman"/>
          <w:b/>
          <w:lang w:eastAsia="hu-HU"/>
        </w:rPr>
      </w:pPr>
      <w:r w:rsidRPr="003D1876">
        <w:rPr>
          <w:rFonts w:ascii="Times New Roman" w:eastAsia="Times New Roman" w:hAnsi="Times New Roman" w:cs="Times New Roman"/>
          <w:b/>
          <w:lang w:eastAsia="hu-HU"/>
        </w:rPr>
        <w:t>Kötelező irodalom:</w:t>
      </w:r>
    </w:p>
    <w:p w:rsidR="003D1876" w:rsidRPr="003D1876" w:rsidRDefault="003D1876" w:rsidP="00980876">
      <w:pPr>
        <w:numPr>
          <w:ilvl w:val="0"/>
          <w:numId w:val="727"/>
        </w:numPr>
        <w:spacing w:before="120" w:after="0" w:line="240" w:lineRule="auto"/>
        <w:jc w:val="both"/>
        <w:rPr>
          <w:rFonts w:ascii="Times New Roman" w:eastAsia="Times New Roman" w:hAnsi="Times New Roman" w:cs="Times New Roman"/>
          <w:lang w:eastAsia="hu-HU"/>
        </w:rPr>
      </w:pPr>
      <w:r w:rsidRPr="003D1876">
        <w:rPr>
          <w:rFonts w:ascii="Times New Roman" w:eastAsia="Times New Roman" w:hAnsi="Times New Roman" w:cs="Times New Roman"/>
          <w:lang w:eastAsia="hu-HU"/>
        </w:rPr>
        <w:t>Htp/9 Haditechnikai Szakanyagellátási Szabályzat</w:t>
      </w:r>
    </w:p>
    <w:p w:rsidR="003D1876" w:rsidRPr="003D1876" w:rsidRDefault="003D1876" w:rsidP="00980876">
      <w:pPr>
        <w:numPr>
          <w:ilvl w:val="0"/>
          <w:numId w:val="727"/>
        </w:numPr>
        <w:spacing w:before="120" w:after="0" w:line="240" w:lineRule="auto"/>
        <w:jc w:val="both"/>
        <w:rPr>
          <w:rFonts w:ascii="Times New Roman" w:eastAsia="Times New Roman" w:hAnsi="Times New Roman" w:cs="Times New Roman"/>
          <w:lang w:eastAsia="hu-HU"/>
        </w:rPr>
      </w:pPr>
      <w:r w:rsidRPr="003D1876">
        <w:rPr>
          <w:rFonts w:ascii="Times New Roman" w:eastAsia="Times New Roman" w:hAnsi="Times New Roman" w:cs="Times New Roman"/>
          <w:lang w:eastAsia="hu-HU"/>
        </w:rPr>
        <w:lastRenderedPageBreak/>
        <w:t>Tüfe/3 A fegyverzeti szolgálat szakutasítása (Állandó harckészültség id</w:t>
      </w:r>
      <w:r w:rsidRPr="003D1876">
        <w:rPr>
          <w:rFonts w:ascii="Times New Roman" w:eastAsia="Times New Roman" w:hAnsi="Times New Roman" w:cs="Times New Roman" w:hint="eastAsia"/>
          <w:lang w:eastAsia="hu-HU"/>
        </w:rPr>
        <w:t>ő</w:t>
      </w:r>
      <w:r w:rsidRPr="003D1876">
        <w:rPr>
          <w:rFonts w:ascii="Times New Roman" w:eastAsia="Times New Roman" w:hAnsi="Times New Roman" w:cs="Times New Roman"/>
          <w:lang w:eastAsia="hu-HU"/>
        </w:rPr>
        <w:t>szakára)</w:t>
      </w:r>
    </w:p>
    <w:p w:rsidR="003D1876" w:rsidRPr="003D1876" w:rsidRDefault="003D1876" w:rsidP="00980876">
      <w:pPr>
        <w:numPr>
          <w:ilvl w:val="0"/>
          <w:numId w:val="727"/>
        </w:numPr>
        <w:spacing w:before="120" w:after="0" w:line="240" w:lineRule="auto"/>
        <w:jc w:val="both"/>
        <w:rPr>
          <w:rFonts w:ascii="Times New Roman" w:eastAsia="Times New Roman" w:hAnsi="Times New Roman" w:cs="Times New Roman"/>
          <w:lang w:eastAsia="hu-HU"/>
        </w:rPr>
      </w:pPr>
      <w:r w:rsidRPr="003D1876">
        <w:rPr>
          <w:rFonts w:ascii="Times New Roman" w:eastAsia="Times New Roman" w:hAnsi="Times New Roman" w:cs="Times New Roman"/>
          <w:lang w:eastAsia="hu-HU"/>
        </w:rPr>
        <w:t>Tüfe/309 Utasítás a fegyverzeti anyagok megóvására (tárolás, meg</w:t>
      </w:r>
      <w:r w:rsidRPr="003D1876">
        <w:rPr>
          <w:rFonts w:ascii="Times New Roman" w:eastAsia="Times New Roman" w:hAnsi="Times New Roman" w:cs="Times New Roman" w:hint="eastAsia"/>
          <w:lang w:eastAsia="hu-HU"/>
        </w:rPr>
        <w:t>ő</w:t>
      </w:r>
      <w:r w:rsidRPr="003D1876">
        <w:rPr>
          <w:rFonts w:ascii="Times New Roman" w:eastAsia="Times New Roman" w:hAnsi="Times New Roman" w:cs="Times New Roman"/>
          <w:lang w:eastAsia="hu-HU"/>
        </w:rPr>
        <w:t>rzés)</w:t>
      </w:r>
    </w:p>
    <w:p w:rsidR="003D1876" w:rsidRPr="003D1876" w:rsidRDefault="003D1876" w:rsidP="00980876">
      <w:pPr>
        <w:numPr>
          <w:ilvl w:val="0"/>
          <w:numId w:val="727"/>
        </w:numPr>
        <w:spacing w:before="120" w:after="0" w:line="240" w:lineRule="auto"/>
        <w:jc w:val="both"/>
        <w:rPr>
          <w:rFonts w:ascii="Times New Roman" w:eastAsia="Times New Roman" w:hAnsi="Times New Roman" w:cs="Times New Roman"/>
          <w:lang w:eastAsia="hu-HU"/>
        </w:rPr>
      </w:pPr>
      <w:r w:rsidRPr="003D1876">
        <w:rPr>
          <w:rFonts w:ascii="Times New Roman" w:eastAsia="Times New Roman" w:hAnsi="Times New Roman" w:cs="Times New Roman"/>
          <w:lang w:eastAsia="hu-HU"/>
        </w:rPr>
        <w:t>Nyt. Sz: 94/669 Szakutasítás a Nemzeti Támogató Zászlóalj, és a Nemzeti Támogató Elemek felkészítéséhez és m</w:t>
      </w:r>
      <w:r w:rsidRPr="003D1876">
        <w:rPr>
          <w:rFonts w:ascii="Times New Roman" w:eastAsia="Times New Roman" w:hAnsi="Times New Roman" w:cs="Times New Roman" w:hint="eastAsia"/>
          <w:lang w:eastAsia="hu-HU"/>
        </w:rPr>
        <w:t>ű</w:t>
      </w:r>
      <w:r w:rsidRPr="003D1876">
        <w:rPr>
          <w:rFonts w:ascii="Times New Roman" w:eastAsia="Times New Roman" w:hAnsi="Times New Roman" w:cs="Times New Roman"/>
          <w:lang w:eastAsia="hu-HU"/>
        </w:rPr>
        <w:t>veleti területen történ</w:t>
      </w:r>
      <w:r w:rsidRPr="003D1876">
        <w:rPr>
          <w:rFonts w:ascii="Times New Roman" w:eastAsia="Times New Roman" w:hAnsi="Times New Roman" w:cs="Times New Roman" w:hint="eastAsia"/>
          <w:lang w:eastAsia="hu-HU"/>
        </w:rPr>
        <w:t>ő</w:t>
      </w:r>
      <w:r w:rsidRPr="003D1876">
        <w:rPr>
          <w:rFonts w:ascii="Times New Roman" w:eastAsia="Times New Roman" w:hAnsi="Times New Roman" w:cs="Times New Roman"/>
          <w:lang w:eastAsia="hu-HU"/>
        </w:rPr>
        <w:t xml:space="preserve"> alkalmazásához</w:t>
      </w:r>
    </w:p>
    <w:p w:rsidR="003D1876" w:rsidRPr="003D1876" w:rsidRDefault="003D1876" w:rsidP="00980876">
      <w:pPr>
        <w:numPr>
          <w:ilvl w:val="1"/>
          <w:numId w:val="726"/>
        </w:numPr>
        <w:tabs>
          <w:tab w:val="clear" w:pos="3977"/>
          <w:tab w:val="left" w:pos="1134"/>
          <w:tab w:val="num" w:pos="1425"/>
        </w:tabs>
        <w:spacing w:before="120" w:after="0" w:line="240" w:lineRule="auto"/>
        <w:ind w:left="568" w:firstLine="0"/>
        <w:jc w:val="both"/>
        <w:rPr>
          <w:rFonts w:ascii="Times New Roman" w:eastAsia="Times New Roman" w:hAnsi="Times New Roman" w:cs="Times New Roman"/>
          <w:b/>
          <w:lang w:eastAsia="hu-HU"/>
        </w:rPr>
      </w:pPr>
      <w:r w:rsidRPr="003D1876">
        <w:rPr>
          <w:rFonts w:ascii="Times New Roman" w:eastAsia="Times New Roman" w:hAnsi="Times New Roman" w:cs="Times New Roman"/>
          <w:b/>
          <w:lang w:eastAsia="hu-HU"/>
        </w:rPr>
        <w:t xml:space="preserve"> Ajánlott irodalom:</w:t>
      </w:r>
    </w:p>
    <w:p w:rsidR="003D1876" w:rsidRPr="003D1876" w:rsidRDefault="003D1876" w:rsidP="00980876">
      <w:pPr>
        <w:numPr>
          <w:ilvl w:val="0"/>
          <w:numId w:val="725"/>
        </w:numPr>
        <w:spacing w:before="120" w:after="0" w:line="240" w:lineRule="auto"/>
        <w:ind w:left="1134" w:hanging="425"/>
        <w:jc w:val="both"/>
        <w:rPr>
          <w:rFonts w:ascii="Times New Roman" w:eastAsia="Times New Roman" w:hAnsi="Times New Roman" w:cs="Times New Roman"/>
          <w:lang w:eastAsia="hu-HU"/>
        </w:rPr>
      </w:pPr>
      <w:r w:rsidRPr="003D1876">
        <w:rPr>
          <w:rFonts w:ascii="Times New Roman" w:eastAsia="Times New Roman" w:hAnsi="Times New Roman" w:cs="Times New Roman"/>
          <w:lang w:eastAsia="hu-HU"/>
        </w:rPr>
        <w:t>Nyt. Sz: 94/2004 Magyar Honvédség eszközeinek, anyagainak lajstroma, 2004</w:t>
      </w:r>
    </w:p>
    <w:p w:rsidR="003D1876" w:rsidRPr="003D1876" w:rsidRDefault="003D1876" w:rsidP="00980876">
      <w:pPr>
        <w:numPr>
          <w:ilvl w:val="0"/>
          <w:numId w:val="725"/>
        </w:numPr>
        <w:spacing w:before="120" w:after="0" w:line="240" w:lineRule="auto"/>
        <w:ind w:left="1134" w:hanging="425"/>
        <w:jc w:val="both"/>
        <w:rPr>
          <w:rFonts w:ascii="Times New Roman" w:eastAsia="Times New Roman" w:hAnsi="Times New Roman" w:cs="Times New Roman"/>
          <w:lang w:eastAsia="hu-HU"/>
        </w:rPr>
      </w:pPr>
      <w:r w:rsidRPr="003D1876">
        <w:rPr>
          <w:rFonts w:ascii="Times New Roman" w:eastAsia="Times New Roman" w:hAnsi="Times New Roman" w:cs="Times New Roman"/>
          <w:lang w:eastAsia="hu-HU"/>
        </w:rPr>
        <w:t>Nyt. Sz: 96/1987 Segédlet, a csapattagozatú javító szervek szaktevékenységének egységes elvek alapján történ</w:t>
      </w:r>
      <w:r w:rsidRPr="003D1876">
        <w:rPr>
          <w:rFonts w:ascii="Times New Roman" w:eastAsia="Times New Roman" w:hAnsi="Times New Roman" w:cs="Times New Roman" w:hint="eastAsia"/>
          <w:lang w:eastAsia="hu-HU"/>
        </w:rPr>
        <w:t>ő</w:t>
      </w:r>
      <w:r w:rsidRPr="003D1876">
        <w:rPr>
          <w:rFonts w:ascii="Times New Roman" w:eastAsia="Times New Roman" w:hAnsi="Times New Roman" w:cs="Times New Roman"/>
          <w:lang w:eastAsia="hu-HU"/>
        </w:rPr>
        <w:t xml:space="preserve"> tervezéséhez, elszámolásához és nyilvántartásához</w:t>
      </w:r>
    </w:p>
    <w:p w:rsidR="003D1876" w:rsidRPr="003D1876" w:rsidRDefault="003D1876" w:rsidP="003D1876">
      <w:pPr>
        <w:spacing w:before="120" w:after="0" w:line="240" w:lineRule="auto"/>
        <w:jc w:val="both"/>
        <w:rPr>
          <w:rFonts w:ascii="Times New Roman" w:eastAsia="Times New Roman" w:hAnsi="Times New Roman" w:cs="Times New Roman"/>
          <w:lang w:eastAsia="hu-HU"/>
        </w:rPr>
      </w:pPr>
    </w:p>
    <w:p w:rsidR="003D1876" w:rsidRPr="003D1876" w:rsidRDefault="003D1876" w:rsidP="0039611F">
      <w:pPr>
        <w:spacing w:before="120" w:after="0" w:line="240" w:lineRule="auto"/>
        <w:ind w:firstLine="708"/>
        <w:jc w:val="both"/>
        <w:rPr>
          <w:rFonts w:ascii="Times New Roman" w:eastAsia="Times New Roman" w:hAnsi="Times New Roman" w:cs="Times New Roman"/>
          <w:lang w:eastAsia="hu-HU"/>
        </w:rPr>
      </w:pPr>
      <w:r w:rsidRPr="003D1876">
        <w:rPr>
          <w:rFonts w:ascii="Times New Roman" w:eastAsia="Times New Roman" w:hAnsi="Times New Roman" w:cs="Times New Roman"/>
          <w:lang w:eastAsia="hu-HU"/>
        </w:rPr>
        <w:t>Budapest, 2020. február 15.</w:t>
      </w:r>
    </w:p>
    <w:p w:rsidR="003D1876" w:rsidRPr="003D1876" w:rsidRDefault="003D1876" w:rsidP="003D1876">
      <w:pPr>
        <w:spacing w:after="0" w:line="240" w:lineRule="auto"/>
        <w:jc w:val="both"/>
        <w:rPr>
          <w:rFonts w:ascii="Times New Roman" w:eastAsia="Times New Roman" w:hAnsi="Times New Roman" w:cs="Times New Roman"/>
          <w:lang w:eastAsia="hu-HU"/>
        </w:rPr>
      </w:pPr>
    </w:p>
    <w:p w:rsidR="003D1876" w:rsidRPr="0039611F" w:rsidRDefault="003D1876" w:rsidP="003D1876">
      <w:pPr>
        <w:tabs>
          <w:tab w:val="center" w:pos="7371"/>
        </w:tabs>
        <w:spacing w:after="0" w:line="240" w:lineRule="auto"/>
        <w:jc w:val="both"/>
        <w:rPr>
          <w:rFonts w:ascii="Times New Roman" w:eastAsia="Times New Roman" w:hAnsi="Times New Roman" w:cs="Times New Roman"/>
          <w:b/>
          <w:lang w:eastAsia="hu-HU"/>
        </w:rPr>
      </w:pPr>
      <w:r w:rsidRPr="0039611F">
        <w:rPr>
          <w:rFonts w:ascii="Times New Roman" w:eastAsia="Times New Roman" w:hAnsi="Times New Roman" w:cs="Times New Roman"/>
          <w:b/>
          <w:lang w:eastAsia="hu-HU"/>
        </w:rPr>
        <w:tab/>
        <w:t>Dr. Vég Róbert László alezredes PhD</w:t>
      </w:r>
    </w:p>
    <w:p w:rsidR="003D1876" w:rsidRPr="003D1876" w:rsidRDefault="003D1876" w:rsidP="003D1876">
      <w:pPr>
        <w:tabs>
          <w:tab w:val="center" w:pos="7371"/>
        </w:tabs>
        <w:spacing w:after="0" w:line="240" w:lineRule="auto"/>
        <w:jc w:val="both"/>
        <w:rPr>
          <w:rFonts w:ascii="Times New Roman" w:eastAsia="Times New Roman" w:hAnsi="Times New Roman" w:cs="Times New Roman"/>
          <w:lang w:eastAsia="hu-HU"/>
        </w:rPr>
      </w:pPr>
      <w:r w:rsidRPr="003D1876">
        <w:rPr>
          <w:rFonts w:ascii="Times New Roman" w:eastAsia="Times New Roman" w:hAnsi="Times New Roman" w:cs="Times New Roman"/>
          <w:lang w:eastAsia="hu-HU"/>
        </w:rPr>
        <w:tab/>
        <w:t>egyetemi docens,</w:t>
      </w:r>
    </w:p>
    <w:p w:rsidR="00AB7D64" w:rsidRDefault="00AB7D64">
      <w:pPr>
        <w:spacing w:after="200" w:line="276" w:lineRule="auto"/>
        <w:rPr>
          <w:rFonts w:ascii="Times New Roman" w:hAnsi="Times New Roman" w:cs="Times New Roman"/>
          <w:b/>
          <w:sz w:val="24"/>
        </w:rPr>
      </w:pPr>
      <w:r>
        <w:rPr>
          <w:rFonts w:ascii="Times New Roman" w:hAnsi="Times New Roman" w:cs="Times New Roman"/>
          <w:b/>
          <w:sz w:val="24"/>
        </w:rPr>
        <w:br w:type="page"/>
      </w:r>
    </w:p>
    <w:p w:rsidR="00AB7D64" w:rsidRDefault="00AB7D64" w:rsidP="00AB7D64">
      <w:pPr>
        <w:spacing w:before="1920" w:after="200" w:line="276" w:lineRule="auto"/>
        <w:jc w:val="center"/>
        <w:rPr>
          <w:rFonts w:ascii="Times New Roman" w:hAnsi="Times New Roman" w:cs="Times New Roman"/>
          <w:b/>
          <w:sz w:val="24"/>
        </w:rPr>
      </w:pPr>
    </w:p>
    <w:p w:rsidR="00E81C30" w:rsidRPr="004354D2" w:rsidRDefault="007F6328" w:rsidP="004354D2">
      <w:pPr>
        <w:pStyle w:val="Cmsor1"/>
        <w:spacing w:before="2040"/>
        <w:jc w:val="center"/>
        <w:rPr>
          <w:rFonts w:eastAsia="Calibri"/>
          <w:i w:val="0"/>
          <w:szCs w:val="22"/>
          <w:u w:val="none"/>
        </w:rPr>
      </w:pPr>
      <w:bookmarkStart w:id="68" w:name="_Toc37240852"/>
      <w:r w:rsidRPr="004354D2">
        <w:rPr>
          <w:rFonts w:eastAsia="Calibri"/>
          <w:i w:val="0"/>
          <w:szCs w:val="22"/>
          <w:u w:val="none"/>
        </w:rPr>
        <w:t xml:space="preserve">d) </w:t>
      </w:r>
      <w:r w:rsidR="00E81C30" w:rsidRPr="004354D2">
        <w:rPr>
          <w:rFonts w:eastAsia="Calibri"/>
          <w:i w:val="0"/>
          <w:szCs w:val="22"/>
          <w:u w:val="none"/>
        </w:rPr>
        <w:t>Katonai pénzügyi specializáció</w:t>
      </w:r>
      <w:bookmarkEnd w:id="68"/>
    </w:p>
    <w:p w:rsidR="007F6328" w:rsidRDefault="007F6328">
      <w:r>
        <w:br w:type="page"/>
      </w:r>
    </w:p>
    <w:tbl>
      <w:tblPr>
        <w:tblW w:w="9072" w:type="dxa"/>
        <w:tblInd w:w="113" w:type="dxa"/>
        <w:tblLook w:val="01E0" w:firstRow="1" w:lastRow="1" w:firstColumn="1" w:lastColumn="1" w:noHBand="0" w:noVBand="0"/>
      </w:tblPr>
      <w:tblGrid>
        <w:gridCol w:w="4855"/>
        <w:gridCol w:w="1620"/>
        <w:gridCol w:w="2597"/>
      </w:tblGrid>
      <w:tr w:rsidR="00C70E5D" w:rsidTr="00C70E5D">
        <w:tc>
          <w:tcPr>
            <w:tcW w:w="4855" w:type="dxa"/>
            <w:tcBorders>
              <w:top w:val="nil"/>
              <w:left w:val="nil"/>
              <w:bottom w:val="single" w:sz="4" w:space="0" w:color="auto"/>
              <w:right w:val="nil"/>
            </w:tcBorders>
            <w:hideMark/>
          </w:tcPr>
          <w:p w:rsidR="00C70E5D" w:rsidRDefault="00C70E5D" w:rsidP="00C70E5D">
            <w:pPr>
              <w:spacing w:after="0" w:line="240" w:lineRule="auto"/>
              <w:jc w:val="center"/>
              <w:rPr>
                <w:rFonts w:ascii="Times New Roman" w:eastAsia="Times New Roman" w:hAnsi="Times New Roman" w:cs="Times New Roman"/>
                <w:b/>
                <w:smallCaps/>
                <w:lang w:eastAsia="hu-HU"/>
              </w:rPr>
            </w:pPr>
            <w:r>
              <w:rPr>
                <w:rFonts w:ascii="Times New Roman" w:eastAsia="Times New Roman" w:hAnsi="Times New Roman" w:cs="Times New Roman"/>
                <w:b/>
                <w:smallCaps/>
                <w:lang w:eastAsia="hu-HU"/>
              </w:rPr>
              <w:lastRenderedPageBreak/>
              <w:t>Nemzeti Közszolgálati Egyetem</w:t>
            </w:r>
          </w:p>
        </w:tc>
        <w:tc>
          <w:tcPr>
            <w:tcW w:w="1620" w:type="dxa"/>
          </w:tcPr>
          <w:p w:rsidR="00C70E5D" w:rsidRDefault="00C70E5D" w:rsidP="00C70E5D">
            <w:pPr>
              <w:spacing w:after="0" w:line="240" w:lineRule="auto"/>
              <w:jc w:val="both"/>
              <w:rPr>
                <w:rFonts w:ascii="Times New Roman" w:eastAsia="Times New Roman" w:hAnsi="Times New Roman" w:cs="Times New Roman"/>
                <w:lang w:eastAsia="hu-HU"/>
              </w:rPr>
            </w:pPr>
          </w:p>
        </w:tc>
        <w:tc>
          <w:tcPr>
            <w:tcW w:w="2597" w:type="dxa"/>
          </w:tcPr>
          <w:p w:rsidR="00C70E5D" w:rsidRDefault="00C70E5D" w:rsidP="00C70E5D">
            <w:pPr>
              <w:spacing w:after="0" w:line="240" w:lineRule="auto"/>
              <w:jc w:val="right"/>
              <w:rPr>
                <w:rFonts w:ascii="Times New Roman" w:eastAsia="Times New Roman" w:hAnsi="Times New Roman" w:cs="Times New Roman"/>
                <w:lang w:eastAsia="hu-HU"/>
              </w:rPr>
            </w:pPr>
          </w:p>
        </w:tc>
      </w:tr>
      <w:tr w:rsidR="00C70E5D" w:rsidTr="00C70E5D">
        <w:tc>
          <w:tcPr>
            <w:tcW w:w="4855" w:type="dxa"/>
            <w:tcBorders>
              <w:top w:val="single" w:sz="4" w:space="0" w:color="auto"/>
              <w:left w:val="nil"/>
              <w:bottom w:val="nil"/>
              <w:right w:val="nil"/>
            </w:tcBorders>
            <w:hideMark/>
          </w:tcPr>
          <w:p w:rsidR="00C70E5D" w:rsidRDefault="00C70E5D" w:rsidP="00C70E5D">
            <w:pPr>
              <w:spacing w:after="0" w:line="240" w:lineRule="auto"/>
              <w:jc w:val="center"/>
              <w:rPr>
                <w:rFonts w:ascii="Times New Roman" w:eastAsia="Times New Roman" w:hAnsi="Times New Roman" w:cs="Times New Roman"/>
                <w:b/>
                <w:lang w:eastAsia="hu-HU"/>
              </w:rPr>
            </w:pPr>
            <w:r>
              <w:rPr>
                <w:rFonts w:ascii="Times New Roman" w:eastAsia="Times New Roman" w:hAnsi="Times New Roman" w:cs="Times New Roman"/>
                <w:b/>
                <w:lang w:eastAsia="hu-HU"/>
              </w:rPr>
              <w:t>Hadtudományi és Honvédtisztképző Kar</w:t>
            </w:r>
          </w:p>
        </w:tc>
        <w:tc>
          <w:tcPr>
            <w:tcW w:w="1620" w:type="dxa"/>
          </w:tcPr>
          <w:p w:rsidR="00C70E5D" w:rsidRDefault="00C70E5D" w:rsidP="00C70E5D">
            <w:pPr>
              <w:spacing w:after="0" w:line="240" w:lineRule="auto"/>
              <w:jc w:val="both"/>
              <w:rPr>
                <w:rFonts w:ascii="Times New Roman" w:eastAsia="Times New Roman" w:hAnsi="Times New Roman" w:cs="Times New Roman"/>
                <w:lang w:eastAsia="hu-HU"/>
              </w:rPr>
            </w:pPr>
          </w:p>
        </w:tc>
        <w:tc>
          <w:tcPr>
            <w:tcW w:w="2597" w:type="dxa"/>
          </w:tcPr>
          <w:p w:rsidR="00C70E5D" w:rsidRDefault="00C70E5D" w:rsidP="00C70E5D">
            <w:pPr>
              <w:spacing w:after="0" w:line="240" w:lineRule="auto"/>
              <w:jc w:val="both"/>
              <w:rPr>
                <w:rFonts w:ascii="Times New Roman" w:eastAsia="Times New Roman" w:hAnsi="Times New Roman" w:cs="Times New Roman"/>
                <w:lang w:eastAsia="hu-HU"/>
              </w:rPr>
            </w:pPr>
          </w:p>
        </w:tc>
      </w:tr>
    </w:tbl>
    <w:p w:rsidR="00C70E5D" w:rsidRDefault="00C70E5D" w:rsidP="00C70E5D">
      <w:pPr>
        <w:widowControl w:val="0"/>
        <w:spacing w:before="120" w:after="120" w:line="240" w:lineRule="auto"/>
        <w:ind w:left="426" w:hanging="142"/>
        <w:jc w:val="center"/>
        <w:rPr>
          <w:rFonts w:ascii="Times New Roman" w:eastAsia="Times New Roman" w:hAnsi="Times New Roman" w:cs="Times New Roman"/>
          <w:b/>
          <w:bCs/>
        </w:rPr>
      </w:pPr>
    </w:p>
    <w:p w:rsidR="00C70E5D" w:rsidRDefault="00C70E5D" w:rsidP="00C70E5D">
      <w:pPr>
        <w:widowControl w:val="0"/>
        <w:spacing w:before="120" w:after="120" w:line="240" w:lineRule="auto"/>
        <w:ind w:left="426" w:hanging="142"/>
        <w:jc w:val="center"/>
        <w:rPr>
          <w:rFonts w:ascii="Times New Roman" w:eastAsia="Times New Roman" w:hAnsi="Times New Roman" w:cs="Times New Roman"/>
          <w:b/>
          <w:bCs/>
        </w:rPr>
      </w:pPr>
      <w:r>
        <w:rPr>
          <w:rFonts w:ascii="Times New Roman" w:eastAsia="Times New Roman" w:hAnsi="Times New Roman" w:cs="Times New Roman"/>
          <w:b/>
          <w:bCs/>
        </w:rPr>
        <w:t>TANTÁRGYI PROGRAM</w:t>
      </w:r>
    </w:p>
    <w:p w:rsidR="00C70E5D" w:rsidRDefault="00C70E5D" w:rsidP="00980876">
      <w:pPr>
        <w:widowControl w:val="0"/>
        <w:numPr>
          <w:ilvl w:val="0"/>
          <w:numId w:val="335"/>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 tantárgy kódja: </w:t>
      </w:r>
      <w:r>
        <w:rPr>
          <w:rFonts w:ascii="Times New Roman" w:hAnsi="Times New Roman" w:cs="Times New Roman"/>
          <w:bCs/>
        </w:rPr>
        <w:t>HKHPKA500</w:t>
      </w:r>
    </w:p>
    <w:p w:rsidR="00C70E5D" w:rsidRDefault="00C70E5D" w:rsidP="00980876">
      <w:pPr>
        <w:widowControl w:val="0"/>
        <w:numPr>
          <w:ilvl w:val="0"/>
          <w:numId w:val="335"/>
        </w:numPr>
        <w:spacing w:before="120" w:after="120" w:line="240" w:lineRule="auto"/>
        <w:ind w:left="426" w:hanging="142"/>
        <w:jc w:val="both"/>
        <w:rPr>
          <w:rFonts w:ascii="Times New Roman" w:eastAsia="Times New Roman" w:hAnsi="Times New Roman" w:cs="Times New Roman"/>
          <w:b/>
          <w:bCs/>
          <w:lang w:val="en-GB"/>
        </w:rPr>
      </w:pPr>
      <w:r>
        <w:rPr>
          <w:rFonts w:ascii="Times New Roman" w:eastAsia="Times New Roman" w:hAnsi="Times New Roman" w:cs="Times New Roman"/>
          <w:b/>
          <w:bCs/>
        </w:rPr>
        <w:t>A tantárgy megnevezése (magyarul):</w:t>
      </w:r>
      <w:r>
        <w:rPr>
          <w:rFonts w:ascii="Times New Roman" w:eastAsia="Times New Roman" w:hAnsi="Times New Roman" w:cs="Times New Roman"/>
          <w:bCs/>
        </w:rPr>
        <w:t xml:space="preserve"> </w:t>
      </w:r>
      <w:r>
        <w:rPr>
          <w:rFonts w:ascii="Times New Roman" w:hAnsi="Times New Roman" w:cs="Times New Roman"/>
          <w:bCs/>
        </w:rPr>
        <w:t>Számvitel I. (Alapok)</w:t>
      </w:r>
    </w:p>
    <w:p w:rsidR="00C70E5D" w:rsidRDefault="00C70E5D" w:rsidP="00980876">
      <w:pPr>
        <w:widowControl w:val="0"/>
        <w:numPr>
          <w:ilvl w:val="0"/>
          <w:numId w:val="335"/>
        </w:numPr>
        <w:spacing w:before="120" w:after="120" w:line="240" w:lineRule="auto"/>
        <w:ind w:left="426" w:hanging="142"/>
        <w:jc w:val="both"/>
        <w:rPr>
          <w:rFonts w:ascii="Times New Roman" w:eastAsia="Times New Roman" w:hAnsi="Times New Roman" w:cs="Times New Roman"/>
          <w:b/>
          <w:bCs/>
          <w:lang w:val="en-GB"/>
        </w:rPr>
      </w:pPr>
      <w:r>
        <w:rPr>
          <w:rFonts w:ascii="Times New Roman" w:eastAsia="Times New Roman" w:hAnsi="Times New Roman" w:cs="Times New Roman"/>
          <w:b/>
          <w:bCs/>
        </w:rPr>
        <w:t xml:space="preserve">A tantárgy megnevezése (angolul): </w:t>
      </w:r>
      <w:r>
        <w:rPr>
          <w:rFonts w:ascii="Times New Roman" w:eastAsia="Times New Roman" w:hAnsi="Times New Roman" w:cs="Times New Roman"/>
        </w:rPr>
        <w:t>Accounting I. (Basics)</w:t>
      </w:r>
    </w:p>
    <w:p w:rsidR="00C70E5D" w:rsidRDefault="00C70E5D" w:rsidP="00980876">
      <w:pPr>
        <w:widowControl w:val="0"/>
        <w:numPr>
          <w:ilvl w:val="0"/>
          <w:numId w:val="335"/>
        </w:numPr>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Kreditérték és képzési karakter: </w:t>
      </w:r>
    </w:p>
    <w:p w:rsidR="00C70E5D" w:rsidRDefault="00C70E5D" w:rsidP="00980876">
      <w:pPr>
        <w:pStyle w:val="Listaszerbekezds"/>
        <w:widowControl w:val="0"/>
        <w:numPr>
          <w:ilvl w:val="1"/>
          <w:numId w:val="335"/>
        </w:numPr>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3 kredit</w:t>
      </w:r>
    </w:p>
    <w:p w:rsidR="00C70E5D" w:rsidRDefault="00C70E5D" w:rsidP="00980876">
      <w:pPr>
        <w:pStyle w:val="Listaszerbekezds"/>
        <w:widowControl w:val="0"/>
        <w:numPr>
          <w:ilvl w:val="1"/>
          <w:numId w:val="335"/>
        </w:numPr>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a tantárgy elméleti vagy gyakorlati jellegének mértéke: 67</w:t>
      </w:r>
      <w:r>
        <w:rPr>
          <w:rFonts w:ascii="Times New Roman" w:eastAsia="Times New Roman" w:hAnsi="Times New Roman" w:cs="Times New Roman"/>
          <w:b/>
          <w:bCs/>
        </w:rPr>
        <w:t xml:space="preserve"> </w:t>
      </w:r>
      <w:r>
        <w:rPr>
          <w:rFonts w:ascii="Times New Roman" w:eastAsia="Times New Roman" w:hAnsi="Times New Roman" w:cs="Times New Roman"/>
          <w:bCs/>
        </w:rPr>
        <w:t>% gyakorlat, 33 % elmélet</w:t>
      </w:r>
    </w:p>
    <w:p w:rsidR="00C70E5D" w:rsidRDefault="00C70E5D" w:rsidP="00980876">
      <w:pPr>
        <w:widowControl w:val="0"/>
        <w:numPr>
          <w:ilvl w:val="0"/>
          <w:numId w:val="335"/>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szak(ok), szakirányok/specializációk megnevezése (ahol oktatják):</w:t>
      </w:r>
      <w:r>
        <w:rPr>
          <w:rFonts w:ascii="Times New Roman" w:eastAsia="Times New Roman" w:hAnsi="Times New Roman" w:cs="Times New Roman"/>
          <w:bCs/>
        </w:rPr>
        <w:t xml:space="preserve"> </w:t>
      </w:r>
      <w:r>
        <w:rPr>
          <w:rFonts w:ascii="Times New Roman" w:hAnsi="Times New Roman" w:cs="Times New Roman"/>
          <w:bCs/>
        </w:rPr>
        <w:t>Katonai logisztika alapképzési szak, hadtáp specializáció, katonai pénzügyi specializáció</w:t>
      </w:r>
    </w:p>
    <w:p w:rsidR="00C70E5D" w:rsidRDefault="00C70E5D" w:rsidP="00980876">
      <w:pPr>
        <w:widowControl w:val="0"/>
        <w:numPr>
          <w:ilvl w:val="0"/>
          <w:numId w:val="335"/>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Az oktatásért felelős oktatási szervezeti egység megnevezése: </w:t>
      </w:r>
      <w:r>
        <w:rPr>
          <w:rFonts w:ascii="Times New Roman" w:hAnsi="Times New Roman" w:cs="Times New Roman"/>
          <w:bCs/>
        </w:rPr>
        <w:t>NKE HHK Hadtáp, Pénzügyi és Katonai Közlekedési Tanszék</w:t>
      </w:r>
    </w:p>
    <w:p w:rsidR="00C70E5D" w:rsidRDefault="00C70E5D" w:rsidP="00980876">
      <w:pPr>
        <w:widowControl w:val="0"/>
        <w:numPr>
          <w:ilvl w:val="0"/>
          <w:numId w:val="335"/>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tantárgyfelelős oktató neve, beosztása, tudományos fokozata:</w:t>
      </w:r>
      <w:r>
        <w:rPr>
          <w:rFonts w:ascii="Times New Roman" w:eastAsia="Times New Roman" w:hAnsi="Times New Roman" w:cs="Times New Roman"/>
          <w:bCs/>
        </w:rPr>
        <w:t xml:space="preserve"> </w:t>
      </w:r>
      <w:r>
        <w:rPr>
          <w:rFonts w:ascii="Times New Roman" w:hAnsi="Times New Roman" w:cs="Times New Roman"/>
          <w:bCs/>
        </w:rPr>
        <w:t>Dr. Pap Andrea, egyetemi docens, (PhD)</w:t>
      </w:r>
    </w:p>
    <w:p w:rsidR="00C70E5D" w:rsidRDefault="00C70E5D" w:rsidP="00980876">
      <w:pPr>
        <w:widowControl w:val="0"/>
        <w:numPr>
          <w:ilvl w:val="0"/>
          <w:numId w:val="335"/>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tanórák száma és típusa</w:t>
      </w:r>
    </w:p>
    <w:p w:rsidR="00C70E5D" w:rsidRDefault="00C70E5D" w:rsidP="00980876">
      <w:pPr>
        <w:widowControl w:val="0"/>
        <w:numPr>
          <w:ilvl w:val="1"/>
          <w:numId w:val="335"/>
        </w:numPr>
        <w:tabs>
          <w:tab w:val="num" w:pos="2069"/>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össz óraszám/félév: 42</w:t>
      </w:r>
    </w:p>
    <w:p w:rsidR="00C70E5D" w:rsidRDefault="00C70E5D" w:rsidP="00980876">
      <w:pPr>
        <w:widowControl w:val="0"/>
        <w:numPr>
          <w:ilvl w:val="2"/>
          <w:numId w:val="335"/>
        </w:numPr>
        <w:tabs>
          <w:tab w:val="num" w:pos="1134"/>
        </w:tabs>
        <w:spacing w:before="120" w:after="120" w:line="240" w:lineRule="auto"/>
        <w:ind w:left="993" w:hanging="425"/>
        <w:jc w:val="both"/>
        <w:rPr>
          <w:rFonts w:ascii="Times New Roman" w:eastAsia="Times New Roman" w:hAnsi="Times New Roman" w:cs="Times New Roman"/>
          <w:bCs/>
        </w:rPr>
      </w:pPr>
      <w:r>
        <w:rPr>
          <w:rFonts w:ascii="Times New Roman" w:eastAsia="Times New Roman" w:hAnsi="Times New Roman" w:cs="Times New Roman"/>
          <w:bCs/>
        </w:rPr>
        <w:t>nappali munkarend: (14 EA + 0 SZ + 28 GY)</w:t>
      </w:r>
    </w:p>
    <w:p w:rsidR="00C70E5D" w:rsidRDefault="00C70E5D" w:rsidP="00980876">
      <w:pPr>
        <w:widowControl w:val="0"/>
        <w:numPr>
          <w:ilvl w:val="2"/>
          <w:numId w:val="335"/>
        </w:numPr>
        <w:tabs>
          <w:tab w:val="num" w:pos="1134"/>
        </w:tabs>
        <w:spacing w:before="120" w:after="120" w:line="240" w:lineRule="auto"/>
        <w:ind w:left="993" w:hanging="425"/>
        <w:jc w:val="both"/>
        <w:rPr>
          <w:rFonts w:ascii="Times New Roman" w:eastAsia="Times New Roman" w:hAnsi="Times New Roman" w:cs="Times New Roman"/>
          <w:bCs/>
        </w:rPr>
      </w:pPr>
      <w:r>
        <w:rPr>
          <w:rFonts w:ascii="Times New Roman" w:eastAsia="Times New Roman" w:hAnsi="Times New Roman" w:cs="Times New Roman"/>
          <w:bCs/>
        </w:rPr>
        <w:t>levelező munkarend: -</w:t>
      </w:r>
    </w:p>
    <w:p w:rsidR="00C70E5D" w:rsidRDefault="00C70E5D" w:rsidP="00980876">
      <w:pPr>
        <w:widowControl w:val="0"/>
        <w:numPr>
          <w:ilvl w:val="1"/>
          <w:numId w:val="335"/>
        </w:numPr>
        <w:tabs>
          <w:tab w:val="num" w:pos="2069"/>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heti óraszám - nappali munkarend: 3</w:t>
      </w:r>
    </w:p>
    <w:p w:rsidR="00C70E5D" w:rsidRDefault="00C70E5D" w:rsidP="00980876">
      <w:pPr>
        <w:widowControl w:val="0"/>
        <w:numPr>
          <w:ilvl w:val="1"/>
          <w:numId w:val="335"/>
        </w:numPr>
        <w:tabs>
          <w:tab w:val="num" w:pos="2069"/>
        </w:tabs>
        <w:spacing w:before="120" w:after="120" w:line="240" w:lineRule="auto"/>
        <w:ind w:left="851" w:hanging="425"/>
        <w:jc w:val="both"/>
        <w:rPr>
          <w:rFonts w:ascii="Times New Roman" w:eastAsia="Times New Roman" w:hAnsi="Times New Roman" w:cs="Times New Roman"/>
          <w:bCs/>
        </w:rPr>
      </w:pPr>
      <w:r>
        <w:rPr>
          <w:rFonts w:ascii="Times New Roman" w:hAnsi="Times New Roman" w:cs="Times New Roman"/>
        </w:rPr>
        <w:t>Az ismeret átadásában alkalmazandó további sajátos módok, jellemzők:</w:t>
      </w:r>
      <w:r>
        <w:rPr>
          <w:rFonts w:ascii="Times New Roman" w:hAnsi="Times New Roman" w:cs="Times New Roman"/>
          <w:i/>
        </w:rPr>
        <w:t xml:space="preserve"> Az ismeretek feldolgozása vegyes tanulási program (blended learning) alapján történik.</w:t>
      </w:r>
    </w:p>
    <w:p w:rsidR="00C70E5D" w:rsidRDefault="00C70E5D" w:rsidP="00980876">
      <w:pPr>
        <w:widowControl w:val="0"/>
        <w:numPr>
          <w:ilvl w:val="0"/>
          <w:numId w:val="335"/>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tantárgy szakmai tartalma (magyarul):</w:t>
      </w:r>
      <w:r>
        <w:rPr>
          <w:rFonts w:ascii="Times New Roman" w:eastAsia="Times New Roman" w:hAnsi="Times New Roman" w:cs="Times New Roman"/>
          <w:bCs/>
        </w:rPr>
        <w:t xml:space="preserve"> Megismertetni a honvéd tisztjelöltekkel a számviteli elszámolás módszereit.</w:t>
      </w:r>
    </w:p>
    <w:p w:rsidR="00C70E5D" w:rsidRDefault="00C70E5D" w:rsidP="00C70E5D">
      <w:pPr>
        <w:widowControl w:val="0"/>
        <w:spacing w:before="120" w:after="120" w:line="240" w:lineRule="auto"/>
        <w:ind w:left="426"/>
        <w:jc w:val="both"/>
        <w:rPr>
          <w:rFonts w:ascii="Times New Roman" w:eastAsia="Times New Roman" w:hAnsi="Times New Roman" w:cs="Times New Roman"/>
          <w:bCs/>
          <w:lang w:val="en-GB"/>
        </w:rPr>
      </w:pPr>
      <w:r>
        <w:rPr>
          <w:rFonts w:ascii="Times New Roman" w:eastAsia="Times New Roman" w:hAnsi="Times New Roman" w:cs="Times New Roman"/>
          <w:b/>
          <w:bCs/>
        </w:rPr>
        <w:t>A tantárgy szakmai tartalma (angolul) (</w:t>
      </w:r>
      <w:r>
        <w:rPr>
          <w:rFonts w:ascii="Times New Roman" w:eastAsia="Times New Roman" w:hAnsi="Times New Roman" w:cs="Times New Roman"/>
          <w:b/>
          <w:bCs/>
          <w:lang w:val="en-US"/>
        </w:rPr>
        <w:t>Course description</w:t>
      </w:r>
      <w:r>
        <w:rPr>
          <w:rFonts w:ascii="Times New Roman" w:eastAsia="Times New Roman" w:hAnsi="Times New Roman" w:cs="Times New Roman"/>
          <w:b/>
          <w:bCs/>
        </w:rPr>
        <w:t xml:space="preserve">): </w:t>
      </w:r>
      <w:r>
        <w:rPr>
          <w:rFonts w:ascii="Times New Roman" w:eastAsia="Times New Roman" w:hAnsi="Times New Roman" w:cs="Times New Roman"/>
        </w:rPr>
        <w:t>Military officer cadets are familiarized with the methods of accounting.</w:t>
      </w:r>
    </w:p>
    <w:p w:rsidR="00C70E5D" w:rsidRDefault="00C70E5D" w:rsidP="00980876">
      <w:pPr>
        <w:pStyle w:val="Listaszerbekezds"/>
        <w:widowControl w:val="0"/>
        <w:numPr>
          <w:ilvl w:val="0"/>
          <w:numId w:val="335"/>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Elérendő kompetenciák (magyarul):</w:t>
      </w:r>
      <w:r>
        <w:rPr>
          <w:rFonts w:ascii="Times New Roman" w:eastAsia="Times New Roman" w:hAnsi="Times New Roman" w:cs="Times New Roman"/>
          <w:bCs/>
        </w:rPr>
        <w:t xml:space="preserve"> </w:t>
      </w:r>
    </w:p>
    <w:p w:rsidR="00C70E5D" w:rsidRDefault="00C70E5D" w:rsidP="00C70E5D">
      <w:pPr>
        <w:widowControl w:val="0"/>
        <w:spacing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Tudása:</w:t>
      </w:r>
    </w:p>
    <w:p w:rsidR="00C70E5D" w:rsidRDefault="00C70E5D" w:rsidP="00C70E5D">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Ismeri a gazdaság és a piacok működésének alapjait, törvényszerűségeit.</w:t>
      </w:r>
    </w:p>
    <w:p w:rsidR="00C70E5D" w:rsidRDefault="00C70E5D" w:rsidP="00C70E5D">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Ismeri a magyar számvitel rendszerét, alapelveit.</w:t>
      </w:r>
    </w:p>
    <w:p w:rsidR="00C70E5D" w:rsidRDefault="00C70E5D" w:rsidP="00C70E5D">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Mélyrehatóan ismeri a gazdasági események könyvelésének és a könyvviteli elszámolásoknak a rendszerét.</w:t>
      </w:r>
    </w:p>
    <w:p w:rsidR="00C70E5D" w:rsidRDefault="00C70E5D" w:rsidP="00C70E5D">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Képességei:</w:t>
      </w:r>
    </w:p>
    <w:p w:rsidR="00C70E5D" w:rsidRDefault="00C70E5D" w:rsidP="00C70E5D">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Képes összeállítani a beszámoló részét képező mérleget és eredménykimutatást, valamint lekönyvelni az alapvető és az összetett gazdasági eseményeket.</w:t>
      </w:r>
    </w:p>
    <w:p w:rsidR="00C70E5D" w:rsidRDefault="00C70E5D" w:rsidP="00C70E5D">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Képes valós és megbízható képet alkotni a gazdálkodó szervezetek vagyonáról, pénzügyi helyzetéről, gazdálkodásának szabályszerűségéről.</w:t>
      </w:r>
    </w:p>
    <w:p w:rsidR="00C70E5D" w:rsidRDefault="00C70E5D" w:rsidP="00C70E5D">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Attitűdje:</w:t>
      </w:r>
      <w:r>
        <w:rPr>
          <w:rFonts w:ascii="Times New Roman" w:eastAsia="Times New Roman" w:hAnsi="Times New Roman" w:cs="Times New Roman"/>
          <w:bCs/>
        </w:rPr>
        <w:t xml:space="preserve"> </w:t>
      </w:r>
    </w:p>
    <w:p w:rsidR="00C70E5D" w:rsidRDefault="00C70E5D" w:rsidP="00C70E5D">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Nyitott szakterülete új eredményei, innovációi iránt, törekszik azok megismerésére, megértésére és alkalmazására, elkötelezett önmaga folyamatos képzésére.</w:t>
      </w:r>
    </w:p>
    <w:p w:rsidR="00C70E5D" w:rsidRDefault="00C70E5D" w:rsidP="00C70E5D">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A minőségi szakmai munkavégzés iránt elkötelezett, azt a pontosságra való törekvés jellemzi.</w:t>
      </w:r>
    </w:p>
    <w:p w:rsidR="00C70E5D" w:rsidRDefault="00C70E5D" w:rsidP="00C70E5D">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Felismeri a rendszerszintű tevékenységben rejlő értékeket, törekszik a logisztikai tevékenységek közötti kapcsolatok értelmezésére.</w:t>
      </w:r>
    </w:p>
    <w:p w:rsidR="00C70E5D" w:rsidRDefault="00C70E5D" w:rsidP="00C70E5D">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lastRenderedPageBreak/>
        <w:t>Autonómiája és felelőssége:</w:t>
      </w:r>
    </w:p>
    <w:p w:rsidR="00C70E5D" w:rsidRDefault="00C70E5D" w:rsidP="00C70E5D">
      <w:pPr>
        <w:widowControl w:val="0"/>
        <w:spacing w:before="120" w:after="120" w:line="240" w:lineRule="auto"/>
        <w:ind w:left="993" w:hanging="360"/>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Felelősséget vállal számvetéseinek pontosságáért.</w:t>
      </w:r>
    </w:p>
    <w:p w:rsidR="00C70E5D" w:rsidRDefault="00C70E5D" w:rsidP="00C70E5D">
      <w:pPr>
        <w:widowControl w:val="0"/>
        <w:spacing w:before="120" w:after="0" w:line="240" w:lineRule="auto"/>
        <w:ind w:left="425"/>
        <w:jc w:val="both"/>
        <w:rPr>
          <w:rFonts w:ascii="Times New Roman" w:eastAsia="Times New Roman" w:hAnsi="Times New Roman" w:cs="Times New Roman"/>
          <w:b/>
          <w:bCs/>
          <w:lang w:val="en-US"/>
        </w:rPr>
      </w:pPr>
      <w:r>
        <w:rPr>
          <w:rFonts w:ascii="Times New Roman" w:eastAsia="Times New Roman" w:hAnsi="Times New Roman" w:cs="Times New Roman"/>
          <w:b/>
          <w:bCs/>
        </w:rPr>
        <w:t>Elérendő kompetenciák (angolul) (</w:t>
      </w:r>
      <w:r>
        <w:rPr>
          <w:rFonts w:ascii="Times New Roman" w:eastAsia="Times New Roman" w:hAnsi="Times New Roman" w:cs="Times New Roman"/>
          <w:b/>
          <w:bCs/>
          <w:lang w:val="en-US"/>
        </w:rPr>
        <w:t xml:space="preserve">Competences – English): </w:t>
      </w:r>
    </w:p>
    <w:p w:rsidR="00C70E5D" w:rsidRDefault="00C70E5D" w:rsidP="00C70E5D">
      <w:pPr>
        <w:widowControl w:val="0"/>
        <w:spacing w:before="120" w:after="0" w:line="240" w:lineRule="auto"/>
        <w:ind w:left="425"/>
        <w:jc w:val="both"/>
        <w:rPr>
          <w:rFonts w:ascii="Times New Roman" w:eastAsia="Times New Roman" w:hAnsi="Times New Roman" w:cs="Times New Roman"/>
          <w:lang w:val="en-GB"/>
        </w:rPr>
      </w:pPr>
      <w:r>
        <w:rPr>
          <w:rFonts w:ascii="Times New Roman" w:eastAsia="Times New Roman" w:hAnsi="Times New Roman" w:cs="Times New Roman"/>
          <w:b/>
          <w:lang w:val="en-GB"/>
        </w:rPr>
        <w:t>Knowledge</w:t>
      </w:r>
      <w:r>
        <w:rPr>
          <w:rFonts w:ascii="Times New Roman" w:eastAsia="Times New Roman" w:hAnsi="Times New Roman" w:cs="Times New Roman"/>
          <w:lang w:val="en-GB"/>
        </w:rPr>
        <w:t xml:space="preserve">: </w:t>
      </w:r>
    </w:p>
    <w:p w:rsidR="00C70E5D" w:rsidRDefault="00C70E5D" w:rsidP="00C70E5D">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The student knows the basics of the operation of the economy and markets.</w:t>
      </w:r>
    </w:p>
    <w:p w:rsidR="00C70E5D" w:rsidRDefault="00C70E5D" w:rsidP="00C70E5D">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Knows the system and principles of accounting in Hungary.</w:t>
      </w:r>
    </w:p>
    <w:p w:rsidR="00C70E5D" w:rsidRDefault="00C70E5D" w:rsidP="00C70E5D">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He / She has an in-depth knowledge of the system of accounting for economic events.</w:t>
      </w:r>
    </w:p>
    <w:p w:rsidR="00C70E5D" w:rsidRDefault="00C70E5D" w:rsidP="00C70E5D">
      <w:pPr>
        <w:widowControl w:val="0"/>
        <w:spacing w:before="120" w:after="0" w:line="240" w:lineRule="auto"/>
        <w:ind w:left="425"/>
        <w:jc w:val="both"/>
        <w:rPr>
          <w:rFonts w:ascii="Times New Roman" w:eastAsia="Times New Roman" w:hAnsi="Times New Roman" w:cs="Times New Roman"/>
          <w:lang w:val="en-GB"/>
        </w:rPr>
      </w:pPr>
      <w:r>
        <w:rPr>
          <w:rFonts w:ascii="Times New Roman" w:eastAsia="Times New Roman" w:hAnsi="Times New Roman" w:cs="Times New Roman"/>
          <w:b/>
          <w:lang w:val="en-GB"/>
        </w:rPr>
        <w:t>Capabilities</w:t>
      </w:r>
      <w:r>
        <w:rPr>
          <w:rFonts w:ascii="Times New Roman" w:eastAsia="Times New Roman" w:hAnsi="Times New Roman" w:cs="Times New Roman"/>
          <w:lang w:val="en-GB"/>
        </w:rPr>
        <w:t xml:space="preserve">: </w:t>
      </w:r>
    </w:p>
    <w:p w:rsidR="00C70E5D" w:rsidRDefault="00C70E5D" w:rsidP="00C70E5D">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He / She is able to prepare the balance sheet and profit and loss account that is part of the financial statements, and to record major and complex economic events.</w:t>
      </w:r>
    </w:p>
    <w:p w:rsidR="00C70E5D" w:rsidRDefault="00C70E5D" w:rsidP="00C70E5D">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He / She is able to give a real and reliable picture of the assets, financial position and regularity of the business organizations.</w:t>
      </w:r>
    </w:p>
    <w:p w:rsidR="00C70E5D" w:rsidRDefault="00C70E5D" w:rsidP="00C70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425"/>
        <w:jc w:val="both"/>
        <w:rPr>
          <w:rFonts w:ascii="Times New Roman" w:eastAsia="Times New Roman" w:hAnsi="Times New Roman" w:cs="Times New Roman"/>
          <w:lang w:val="en-GB"/>
        </w:rPr>
      </w:pPr>
      <w:r>
        <w:rPr>
          <w:rFonts w:ascii="Times New Roman" w:eastAsia="Times New Roman" w:hAnsi="Times New Roman" w:cs="Times New Roman"/>
          <w:b/>
          <w:lang w:val="en-GB"/>
        </w:rPr>
        <w:t>Attitude:</w:t>
      </w:r>
      <w:r>
        <w:rPr>
          <w:rFonts w:ascii="Times New Roman" w:eastAsia="Times New Roman" w:hAnsi="Times New Roman" w:cs="Times New Roman"/>
          <w:lang w:val="en-GB"/>
        </w:rPr>
        <w:t xml:space="preserve"> </w:t>
      </w:r>
    </w:p>
    <w:p w:rsidR="00C70E5D" w:rsidRDefault="00C70E5D" w:rsidP="00C70E5D">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In his/her specialization he/she is open to new achievements and innovations, strives to know, understand and apply them, and committed to continous self-education.</w:t>
      </w:r>
    </w:p>
    <w:p w:rsidR="00C70E5D" w:rsidRDefault="00C70E5D" w:rsidP="00C70E5D">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His/Her professional work is characterized by high accuracy and quality.</w:t>
      </w:r>
    </w:p>
    <w:p w:rsidR="00C70E5D" w:rsidRDefault="00C70E5D" w:rsidP="00C70E5D">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He/She recognizes the value of systemic activities and seeks to understand the relationships among logistics procedures.</w:t>
      </w:r>
    </w:p>
    <w:p w:rsidR="00C70E5D" w:rsidRDefault="00C70E5D" w:rsidP="00C70E5D">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lang w:val="en-GB"/>
        </w:rPr>
        <w:t xml:space="preserve">Autonomy and responsibility: </w:t>
      </w:r>
    </w:p>
    <w:p w:rsidR="00C70E5D" w:rsidRDefault="00C70E5D" w:rsidP="00C70E5D">
      <w:pPr>
        <w:widowControl w:val="0"/>
        <w:spacing w:before="120" w:after="120" w:line="240" w:lineRule="auto"/>
        <w:ind w:left="993" w:hanging="360"/>
        <w:contextualSpacing/>
        <w:jc w:val="both"/>
        <w:rPr>
          <w:rFonts w:ascii="Times New Roman" w:eastAsia="Times New Roman" w:hAnsi="Times New Roman" w:cs="Times New Roman"/>
          <w:bCs/>
          <w:lang w:val="en-US"/>
        </w:rPr>
      </w:pPr>
      <w:r>
        <w:rPr>
          <w:rFonts w:ascii="Times New Roman" w:eastAsia="Times New Roman" w:hAnsi="Times New Roman" w:cs="Times New Roman"/>
          <w:bCs/>
          <w:lang w:val="en-US"/>
        </w:rPr>
        <w:t>-</w:t>
      </w:r>
      <w:r>
        <w:rPr>
          <w:rFonts w:ascii="Times New Roman" w:eastAsia="Times New Roman" w:hAnsi="Times New Roman" w:cs="Times New Roman"/>
          <w:bCs/>
          <w:lang w:val="en-US"/>
        </w:rPr>
        <w:tab/>
        <w:t>He / She takes responsibility for the accuracy of his/her calculations.</w:t>
      </w:r>
    </w:p>
    <w:p w:rsidR="00C70E5D" w:rsidRDefault="00C70E5D" w:rsidP="00980876">
      <w:pPr>
        <w:widowControl w:val="0"/>
        <w:numPr>
          <w:ilvl w:val="0"/>
          <w:numId w:val="335"/>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Előtanulmányi követelmények:</w:t>
      </w:r>
      <w:r>
        <w:rPr>
          <w:rFonts w:ascii="Times New Roman" w:eastAsia="Times New Roman" w:hAnsi="Times New Roman" w:cs="Times New Roman"/>
          <w:bCs/>
        </w:rPr>
        <w:t xml:space="preserve"> –</w:t>
      </w:r>
    </w:p>
    <w:p w:rsidR="00C70E5D" w:rsidRDefault="00C70E5D" w:rsidP="00980876">
      <w:pPr>
        <w:widowControl w:val="0"/>
        <w:numPr>
          <w:ilvl w:val="0"/>
          <w:numId w:val="335"/>
        </w:numPr>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A tantárgy tananyagának leírása, tematika. Description of the subject, curriculum (magyarul, angolul - English):</w:t>
      </w:r>
    </w:p>
    <w:p w:rsidR="00C70E5D" w:rsidRDefault="00C70E5D" w:rsidP="00980876">
      <w:pPr>
        <w:widowControl w:val="0"/>
        <w:numPr>
          <w:ilvl w:val="1"/>
          <w:numId w:val="335"/>
        </w:numPr>
        <w:tabs>
          <w:tab w:val="left" w:pos="709"/>
          <w:tab w:val="left" w:pos="993"/>
        </w:tabs>
        <w:spacing w:after="0" w:line="276" w:lineRule="auto"/>
        <w:ind w:left="992"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 számvitel alapfogalmai. A gazdálkodás, valamint a vállalkozás tartalma. A vállalkozási tevékenység sajátosságai. </w:t>
      </w:r>
      <w:r>
        <w:rPr>
          <w:rFonts w:ascii="Times New Roman" w:eastAsia="Times New Roman" w:hAnsi="Times New Roman" w:cs="Times New Roman"/>
          <w:i/>
          <w:kern w:val="2"/>
        </w:rPr>
        <w:t>(Basic concepts of accounting. Content of management and buisness. Characteristics of entrepreneurial activity.)</w:t>
      </w:r>
    </w:p>
    <w:p w:rsidR="00C70E5D" w:rsidRDefault="00C70E5D" w:rsidP="00980876">
      <w:pPr>
        <w:widowControl w:val="0"/>
        <w:numPr>
          <w:ilvl w:val="1"/>
          <w:numId w:val="335"/>
        </w:numPr>
        <w:tabs>
          <w:tab w:val="left" w:pos="709"/>
          <w:tab w:val="left" w:pos="993"/>
        </w:tabs>
        <w:spacing w:after="0" w:line="276" w:lineRule="auto"/>
        <w:ind w:left="992"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 számvitel területei. </w:t>
      </w:r>
      <w:r>
        <w:rPr>
          <w:rFonts w:ascii="Times New Roman" w:eastAsia="Times New Roman" w:hAnsi="Times New Roman" w:cs="Times New Roman"/>
          <w:i/>
          <w:kern w:val="2"/>
        </w:rPr>
        <w:t>(Fields of accounting.)</w:t>
      </w:r>
    </w:p>
    <w:p w:rsidR="00C70E5D" w:rsidRDefault="00C70E5D" w:rsidP="00980876">
      <w:pPr>
        <w:widowControl w:val="0"/>
        <w:numPr>
          <w:ilvl w:val="1"/>
          <w:numId w:val="335"/>
        </w:numPr>
        <w:tabs>
          <w:tab w:val="left" w:pos="709"/>
          <w:tab w:val="left" w:pos="993"/>
        </w:tabs>
        <w:spacing w:after="0" w:line="276" w:lineRule="auto"/>
        <w:ind w:left="992"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 vállalkozások beszámolási és könyvvezetési kötelezettsége. A beszámoló részei. A mérleg fogalma, fajtái és jellemzői. </w:t>
      </w:r>
      <w:r>
        <w:rPr>
          <w:rFonts w:ascii="Times New Roman" w:eastAsia="Times New Roman" w:hAnsi="Times New Roman" w:cs="Times New Roman"/>
          <w:i/>
          <w:kern w:val="2"/>
        </w:rPr>
        <w:t>(Obligations of buisnesses regarding reporting and accounting. Parts of the annual report. Concept, types and characteristics of the balance sheet.)</w:t>
      </w:r>
    </w:p>
    <w:p w:rsidR="00C70E5D" w:rsidRDefault="00C70E5D" w:rsidP="00980876">
      <w:pPr>
        <w:widowControl w:val="0"/>
        <w:numPr>
          <w:ilvl w:val="1"/>
          <w:numId w:val="335"/>
        </w:numPr>
        <w:tabs>
          <w:tab w:val="left" w:pos="709"/>
          <w:tab w:val="left" w:pos="993"/>
        </w:tabs>
        <w:spacing w:after="0" w:line="276" w:lineRule="auto"/>
        <w:ind w:left="992"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Az egyes mérlegfőcsoportok, mérlegcsoportok tartalma.  A mérlegfőcsoportok részletes tartalma, mérlegösszeállítás. </w:t>
      </w:r>
      <w:r>
        <w:rPr>
          <w:rFonts w:ascii="Times New Roman" w:eastAsia="Times New Roman" w:hAnsi="Times New Roman" w:cs="Times New Roman"/>
          <w:i/>
          <w:kern w:val="2"/>
        </w:rPr>
        <w:t>(Contents of the main balance groups and balance groups. Detailed contents of balance groups, compilation of the balance sheet.)</w:t>
      </w:r>
    </w:p>
    <w:p w:rsidR="00C70E5D" w:rsidRDefault="00C70E5D" w:rsidP="00980876">
      <w:pPr>
        <w:widowControl w:val="0"/>
        <w:numPr>
          <w:ilvl w:val="1"/>
          <w:numId w:val="335"/>
        </w:numPr>
        <w:tabs>
          <w:tab w:val="left" w:pos="709"/>
          <w:tab w:val="left" w:pos="993"/>
        </w:tabs>
        <w:spacing w:after="0" w:line="276" w:lineRule="auto"/>
        <w:ind w:left="992"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1. ZH. A gazdasági események fogalma, csoportosítása. </w:t>
      </w:r>
      <w:r>
        <w:rPr>
          <w:rFonts w:ascii="Times New Roman" w:eastAsia="Times New Roman" w:hAnsi="Times New Roman" w:cs="Times New Roman"/>
          <w:i/>
          <w:kern w:val="2"/>
        </w:rPr>
        <w:t>(Written test. The concept and grouping of economic events.)</w:t>
      </w:r>
    </w:p>
    <w:p w:rsidR="00C70E5D" w:rsidRDefault="00C70E5D" w:rsidP="00980876">
      <w:pPr>
        <w:widowControl w:val="0"/>
        <w:numPr>
          <w:ilvl w:val="1"/>
          <w:numId w:val="335"/>
        </w:numPr>
        <w:tabs>
          <w:tab w:val="left" w:pos="709"/>
          <w:tab w:val="left" w:pos="993"/>
        </w:tabs>
        <w:spacing w:after="0" w:line="276" w:lineRule="auto"/>
        <w:ind w:left="992"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Az alapvető és összetett gazdasági események típusai. A főkönyvi számlával kapcsolatos fogalmak. </w:t>
      </w:r>
      <w:r>
        <w:rPr>
          <w:rFonts w:ascii="Times New Roman" w:eastAsia="Times New Roman" w:hAnsi="Times New Roman" w:cs="Times New Roman"/>
          <w:i/>
          <w:kern w:val="2"/>
        </w:rPr>
        <w:t>(Types of basic and complex economic events. General ledger account concepts.</w:t>
      </w:r>
      <w:r>
        <w:rPr>
          <w:rFonts w:ascii="Times New Roman" w:eastAsia="Times New Roman" w:hAnsi="Times New Roman" w:cs="Times New Roman"/>
          <w:kern w:val="2"/>
        </w:rPr>
        <w:t>)</w:t>
      </w:r>
    </w:p>
    <w:p w:rsidR="00C70E5D" w:rsidRDefault="00C70E5D" w:rsidP="00980876">
      <w:pPr>
        <w:widowControl w:val="0"/>
        <w:numPr>
          <w:ilvl w:val="1"/>
          <w:numId w:val="335"/>
        </w:numPr>
        <w:tabs>
          <w:tab w:val="left" w:pos="709"/>
          <w:tab w:val="left" w:pos="993"/>
        </w:tabs>
        <w:spacing w:after="0" w:line="276" w:lineRule="auto"/>
        <w:ind w:left="992"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Az egyes számlatípusok jellemzői. Könyvelés főkönyvi számlákon I-II. </w:t>
      </w:r>
      <w:r>
        <w:rPr>
          <w:rFonts w:ascii="Times New Roman" w:eastAsia="Times New Roman" w:hAnsi="Times New Roman" w:cs="Times New Roman"/>
          <w:i/>
          <w:kern w:val="2"/>
        </w:rPr>
        <w:t>(Features of each account type. Accounting in general ledger accounts.)</w:t>
      </w:r>
    </w:p>
    <w:p w:rsidR="00C70E5D" w:rsidRDefault="00C70E5D" w:rsidP="00980876">
      <w:pPr>
        <w:widowControl w:val="0"/>
        <w:numPr>
          <w:ilvl w:val="1"/>
          <w:numId w:val="335"/>
        </w:numPr>
        <w:tabs>
          <w:tab w:val="left" w:pos="709"/>
          <w:tab w:val="left" w:pos="993"/>
        </w:tabs>
        <w:spacing w:after="0" w:line="276" w:lineRule="auto"/>
        <w:ind w:left="992"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2. ZH. Az eredménykimutatás tartalma és fajtái.  Az eredménykategóriák részletes tartalma. </w:t>
      </w:r>
      <w:r>
        <w:rPr>
          <w:rFonts w:ascii="Times New Roman" w:eastAsia="Times New Roman" w:hAnsi="Times New Roman" w:cs="Times New Roman"/>
          <w:i/>
          <w:kern w:val="2"/>
        </w:rPr>
        <w:t>(Written test. Content and types of profit and loss account. The detailed content of the result categories.)</w:t>
      </w:r>
    </w:p>
    <w:p w:rsidR="00C70E5D" w:rsidRDefault="00C70E5D" w:rsidP="00980876">
      <w:pPr>
        <w:widowControl w:val="0"/>
        <w:numPr>
          <w:ilvl w:val="1"/>
          <w:numId w:val="335"/>
        </w:numPr>
        <w:tabs>
          <w:tab w:val="left" w:pos="709"/>
          <w:tab w:val="left" w:pos="993"/>
        </w:tabs>
        <w:spacing w:after="0" w:line="276" w:lineRule="auto"/>
        <w:ind w:left="992"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 Az eredménykimutatás összeállítása. </w:t>
      </w:r>
      <w:r>
        <w:rPr>
          <w:rFonts w:ascii="Times New Roman" w:eastAsia="Times New Roman" w:hAnsi="Times New Roman" w:cs="Times New Roman"/>
          <w:i/>
          <w:kern w:val="2"/>
        </w:rPr>
        <w:t>(Compilation of the profit and loss account.)</w:t>
      </w:r>
    </w:p>
    <w:p w:rsidR="00C70E5D" w:rsidRDefault="00C70E5D" w:rsidP="00980876">
      <w:pPr>
        <w:widowControl w:val="0"/>
        <w:numPr>
          <w:ilvl w:val="1"/>
          <w:numId w:val="335"/>
        </w:numPr>
        <w:tabs>
          <w:tab w:val="left" w:pos="709"/>
          <w:tab w:val="left" w:pos="993"/>
        </w:tabs>
        <w:spacing w:after="0" w:line="276" w:lineRule="auto"/>
        <w:ind w:left="992"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 Az eszközök és források értékelésének legfontosabb szabályai. Gyakorlás. </w:t>
      </w:r>
      <w:r>
        <w:rPr>
          <w:rFonts w:ascii="Times New Roman" w:eastAsia="Times New Roman" w:hAnsi="Times New Roman" w:cs="Times New Roman"/>
          <w:i/>
          <w:kern w:val="2"/>
        </w:rPr>
        <w:t>(The most important rules for valuing assets and liabilities. Practice.)</w:t>
      </w:r>
    </w:p>
    <w:p w:rsidR="00C70E5D" w:rsidRDefault="00C70E5D" w:rsidP="00980876">
      <w:pPr>
        <w:widowControl w:val="0"/>
        <w:numPr>
          <w:ilvl w:val="0"/>
          <w:numId w:val="335"/>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 tantárgy meghirdetésének gyakorisága/a tantervben történő félévi elhelyezkedése: </w:t>
      </w:r>
      <w:r>
        <w:rPr>
          <w:rFonts w:ascii="Times New Roman" w:eastAsia="Times New Roman" w:hAnsi="Times New Roman" w:cs="Times New Roman"/>
          <w:bCs/>
        </w:rPr>
        <w:t>Minden őszi szemeszterben / 5. félév</w:t>
      </w:r>
    </w:p>
    <w:p w:rsidR="00C70E5D" w:rsidRDefault="00C70E5D" w:rsidP="00980876">
      <w:pPr>
        <w:widowControl w:val="0"/>
        <w:numPr>
          <w:ilvl w:val="0"/>
          <w:numId w:val="335"/>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lastRenderedPageBreak/>
        <w:t>A tanórákon való részvétel követelményei, az elfogadható hiányzások mértéke, a távolmaradás pótlásának lehetősége:</w:t>
      </w:r>
      <w:r>
        <w:rPr>
          <w:rFonts w:ascii="Times New Roman" w:eastAsia="Times New Roman" w:hAnsi="Times New Roman" w:cs="Times New Roman"/>
          <w:bCs/>
        </w:rPr>
        <w:t xml:space="preserve"> A tanórákon való részvétel kötelező.</w:t>
      </w:r>
      <w:r>
        <w:rPr>
          <w:rFonts w:ascii="Times New Roman" w:eastAsia="Times New Roman" w:hAnsi="Times New Roman" w:cs="Times New Roman"/>
          <w:b/>
          <w:bCs/>
        </w:rPr>
        <w:t xml:space="preserve"> </w:t>
      </w:r>
      <w:r>
        <w:rPr>
          <w:rFonts w:ascii="Times New Roman" w:eastAsia="Times New Roman" w:hAnsi="Times New Roman" w:cs="Times New Roman"/>
          <w:bCs/>
        </w:rPr>
        <w:t>A félév elfogadásának feltétele a tanórák minimum 80%-án való részvétel. A hallgatónak a kimaradt tananyagot önképzés keretén belül kell elsajátítani. A kimaradt tananyag jobb megértése érdekében az oktató konzultációs lehetőséget biztosíthat.</w:t>
      </w:r>
    </w:p>
    <w:p w:rsidR="00C70E5D" w:rsidRDefault="00C70E5D" w:rsidP="00980876">
      <w:pPr>
        <w:widowControl w:val="0"/>
        <w:numPr>
          <w:ilvl w:val="0"/>
          <w:numId w:val="335"/>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rPr>
        <w:t xml:space="preserve">Félévközi feladatok, ismeretek ellenőrzésének rendje: </w:t>
      </w:r>
      <w:r>
        <w:rPr>
          <w:rFonts w:ascii="Times New Roman" w:eastAsia="Times New Roman" w:hAnsi="Times New Roman" w:cs="Times New Roman"/>
        </w:rPr>
        <w:t>A honvéd tisztjelöltek részére a félév elején kiadásra kerül a házi feladat, amelynek beadási határideje az oktató által a félév elején meghatározott időpont, de legkésőbb a szorgalmi időszak utolsó hete.</w:t>
      </w:r>
    </w:p>
    <w:p w:rsidR="00C70E5D" w:rsidRDefault="00C70E5D" w:rsidP="00980876">
      <w:pPr>
        <w:widowControl w:val="0"/>
        <w:numPr>
          <w:ilvl w:val="0"/>
          <w:numId w:val="335"/>
        </w:numPr>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Az értékelés, az aláírás és a kreditek megszerzésének pontos feltételei: </w:t>
      </w:r>
    </w:p>
    <w:p w:rsidR="00C70E5D" w:rsidRDefault="00C70E5D" w:rsidP="00980876">
      <w:pPr>
        <w:widowControl w:val="0"/>
        <w:numPr>
          <w:ilvl w:val="1"/>
          <w:numId w:val="335"/>
        </w:numPr>
        <w:tabs>
          <w:tab w:val="left" w:pos="709"/>
          <w:tab w:val="left" w:pos="993"/>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Az aláírás megszerzésének feltételei:</w:t>
      </w:r>
    </w:p>
    <w:p w:rsidR="00C70E5D" w:rsidRDefault="00C70E5D" w:rsidP="00C70E5D">
      <w:pPr>
        <w:widowControl w:val="0"/>
        <w:tabs>
          <w:tab w:val="left" w:pos="993"/>
        </w:tabs>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Az aláírás feltétele a tanórákon történő – 14. pontban meghatározott – részvétel, valamint a zárthelyi dolgozatok sikeres megírása (elfogadáshoz dolgozatonként legalább az 51 % elérése), továbbá a házi feladat határidőre történő beadása.</w:t>
      </w:r>
    </w:p>
    <w:p w:rsidR="00C70E5D" w:rsidRDefault="00C70E5D" w:rsidP="00980876">
      <w:pPr>
        <w:widowControl w:val="0"/>
        <w:numPr>
          <w:ilvl w:val="1"/>
          <w:numId w:val="335"/>
        </w:numPr>
        <w:tabs>
          <w:tab w:val="left" w:pos="709"/>
          <w:tab w:val="left" w:pos="993"/>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Az értékelés:</w:t>
      </w:r>
    </w:p>
    <w:p w:rsidR="00C70E5D" w:rsidRDefault="00C70E5D" w:rsidP="00C70E5D">
      <w:pPr>
        <w:widowControl w:val="0"/>
        <w:tabs>
          <w:tab w:val="left" w:pos="993"/>
        </w:tabs>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A tantárgy vizsgával zárul, amely írásbeli kollokvium. A kollokviumi jegy megállapítása az írásbeli vizsgadolgozat összpontszáma alapján történik, az elégséges szint 51 %.</w:t>
      </w:r>
    </w:p>
    <w:p w:rsidR="00C70E5D" w:rsidRDefault="00C70E5D" w:rsidP="00980876">
      <w:pPr>
        <w:widowControl w:val="0"/>
        <w:numPr>
          <w:ilvl w:val="1"/>
          <w:numId w:val="335"/>
        </w:numPr>
        <w:tabs>
          <w:tab w:val="left" w:pos="709"/>
          <w:tab w:val="left" w:pos="993"/>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 kreditek megszerzésének feltételei:</w:t>
      </w:r>
      <w:r>
        <w:rPr>
          <w:rFonts w:ascii="Times New Roman" w:eastAsia="Times New Roman" w:hAnsi="Times New Roman" w:cs="Times New Roman"/>
        </w:rPr>
        <w:t xml:space="preserve"> </w:t>
      </w:r>
    </w:p>
    <w:p w:rsidR="00C70E5D" w:rsidRDefault="00C70E5D" w:rsidP="00C70E5D">
      <w:pPr>
        <w:widowControl w:val="0"/>
        <w:tabs>
          <w:tab w:val="left" w:pos="993"/>
        </w:tabs>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A kreditek megszerzésének feltétele az aláírás megszerzése és a legalább elégséges kollokviumi jegy.</w:t>
      </w:r>
    </w:p>
    <w:p w:rsidR="00C70E5D" w:rsidRDefault="00C70E5D" w:rsidP="00980876">
      <w:pPr>
        <w:widowControl w:val="0"/>
        <w:numPr>
          <w:ilvl w:val="0"/>
          <w:numId w:val="335"/>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Irodalomjegyzék:</w:t>
      </w:r>
    </w:p>
    <w:p w:rsidR="00C70E5D" w:rsidRDefault="00C70E5D" w:rsidP="00980876">
      <w:pPr>
        <w:widowControl w:val="0"/>
        <w:numPr>
          <w:ilvl w:val="1"/>
          <w:numId w:val="335"/>
        </w:numPr>
        <w:tabs>
          <w:tab w:val="left" w:pos="567"/>
          <w:tab w:val="left" w:pos="851"/>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Kötelező irodalom:</w:t>
      </w:r>
    </w:p>
    <w:p w:rsidR="00C70E5D" w:rsidRDefault="00C70E5D" w:rsidP="00980876">
      <w:pPr>
        <w:widowControl w:val="0"/>
        <w:numPr>
          <w:ilvl w:val="0"/>
          <w:numId w:val="336"/>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Dr. Sztanó Imre: A számvitel alapjai (Perfekt Zrt. 2019., ISBN </w:t>
      </w:r>
      <w:r>
        <w:rPr>
          <w:rFonts w:ascii="Times New Roman" w:eastAsia="Times New Roman" w:hAnsi="Times New Roman" w:cs="Times New Roman"/>
          <w:bCs/>
        </w:rPr>
        <w:t>9789633948651</w:t>
      </w:r>
      <w:r>
        <w:rPr>
          <w:rFonts w:ascii="Times New Roman" w:eastAsia="Times New Roman" w:hAnsi="Times New Roman" w:cs="Times New Roman"/>
        </w:rPr>
        <w:t>)</w:t>
      </w:r>
    </w:p>
    <w:p w:rsidR="00C70E5D" w:rsidRDefault="00C70E5D" w:rsidP="00980876">
      <w:pPr>
        <w:widowControl w:val="0"/>
        <w:numPr>
          <w:ilvl w:val="0"/>
          <w:numId w:val="336"/>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2000. évi C törvény a számvitelről</w:t>
      </w:r>
    </w:p>
    <w:p w:rsidR="00C70E5D" w:rsidRDefault="00C70E5D" w:rsidP="00980876">
      <w:pPr>
        <w:widowControl w:val="0"/>
        <w:numPr>
          <w:ilvl w:val="0"/>
          <w:numId w:val="336"/>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Dr. Siklósi Ágnes – Dr. Simon Szilvia – Dr. Veress Attila: Bevezetés a számvitelbe Számvitel alapjai példatár (Perfekt 2015.)</w:t>
      </w:r>
    </w:p>
    <w:p w:rsidR="00C70E5D" w:rsidRDefault="00C70E5D" w:rsidP="00980876">
      <w:pPr>
        <w:widowControl w:val="0"/>
        <w:numPr>
          <w:ilvl w:val="0"/>
          <w:numId w:val="336"/>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Pap Andrea: A számvitel alapjai gyakorlófeladatok (elektronikus jegyzet) (Dialóg Campus Kiadó 2018., ISBN 9786155889479)</w:t>
      </w:r>
    </w:p>
    <w:p w:rsidR="00C70E5D" w:rsidRDefault="00C70E5D" w:rsidP="00980876">
      <w:pPr>
        <w:widowControl w:val="0"/>
        <w:numPr>
          <w:ilvl w:val="1"/>
          <w:numId w:val="335"/>
        </w:numPr>
        <w:tabs>
          <w:tab w:val="num" w:pos="2069"/>
        </w:tabs>
        <w:spacing w:before="120" w:after="120" w:line="240" w:lineRule="auto"/>
        <w:ind w:left="993" w:hanging="709"/>
        <w:jc w:val="both"/>
        <w:rPr>
          <w:rFonts w:ascii="Times New Roman" w:eastAsia="Times New Roman" w:hAnsi="Times New Roman" w:cs="Times New Roman"/>
          <w:b/>
          <w:bCs/>
        </w:rPr>
      </w:pPr>
      <w:r>
        <w:rPr>
          <w:rFonts w:ascii="Times New Roman" w:eastAsia="Times New Roman" w:hAnsi="Times New Roman" w:cs="Times New Roman"/>
          <w:b/>
          <w:bCs/>
        </w:rPr>
        <w:t>Ajánlott irodalom:</w:t>
      </w:r>
    </w:p>
    <w:p w:rsidR="00C70E5D" w:rsidRDefault="00C70E5D" w:rsidP="00980876">
      <w:pPr>
        <w:widowControl w:val="0"/>
        <w:numPr>
          <w:ilvl w:val="0"/>
          <w:numId w:val="337"/>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Kardos Péter – Dr. Szakács Imre – Tóth Mihály: A számvitel nagy kézikönyve 2019. (Wolters Kluwer (Complex) Kiadó 2019., ISBN 9789632957821)</w:t>
      </w:r>
    </w:p>
    <w:p w:rsidR="00C70E5D" w:rsidRDefault="00C70E5D" w:rsidP="00C70E5D">
      <w:pPr>
        <w:widowControl w:val="0"/>
        <w:spacing w:before="120" w:after="120" w:line="240" w:lineRule="auto"/>
        <w:jc w:val="both"/>
        <w:rPr>
          <w:rFonts w:ascii="Times New Roman" w:eastAsia="Times New Roman" w:hAnsi="Times New Roman" w:cs="Times New Roman"/>
          <w:bCs/>
        </w:rPr>
      </w:pPr>
    </w:p>
    <w:p w:rsidR="00C70E5D" w:rsidRDefault="00C70E5D" w:rsidP="00C70E5D">
      <w:pPr>
        <w:widowControl w:val="0"/>
        <w:spacing w:before="120" w:after="120" w:line="240" w:lineRule="auto"/>
        <w:jc w:val="both"/>
        <w:rPr>
          <w:rFonts w:ascii="Times New Roman" w:eastAsia="Times New Roman" w:hAnsi="Times New Roman" w:cs="Times New Roman"/>
          <w:bCs/>
        </w:rPr>
      </w:pPr>
      <w:r>
        <w:rPr>
          <w:rFonts w:ascii="Times New Roman" w:eastAsia="Times New Roman" w:hAnsi="Times New Roman" w:cs="Times New Roman"/>
          <w:bCs/>
        </w:rPr>
        <w:t>Budapest, 2020. január 18.</w:t>
      </w:r>
    </w:p>
    <w:p w:rsidR="00C70E5D" w:rsidRDefault="00C70E5D" w:rsidP="00C70E5D">
      <w:pPr>
        <w:widowControl w:val="0"/>
        <w:spacing w:before="120" w:after="120" w:line="240" w:lineRule="auto"/>
        <w:jc w:val="both"/>
        <w:rPr>
          <w:rFonts w:ascii="Times New Roman" w:eastAsia="Times New Roman" w:hAnsi="Times New Roman" w:cs="Times New Roman"/>
          <w:bCs/>
        </w:rPr>
      </w:pPr>
    </w:p>
    <w:p w:rsidR="00C70E5D" w:rsidRDefault="00C70E5D" w:rsidP="00C70E5D">
      <w:pPr>
        <w:widowControl w:val="0"/>
        <w:spacing w:after="0" w:line="240" w:lineRule="auto"/>
        <w:ind w:left="4248" w:firstLine="708"/>
        <w:jc w:val="center"/>
        <w:rPr>
          <w:rFonts w:ascii="Times New Roman" w:hAnsi="Times New Roman" w:cs="Times New Roman"/>
          <w:b/>
          <w:bCs/>
        </w:rPr>
      </w:pPr>
      <w:r>
        <w:rPr>
          <w:rFonts w:ascii="Times New Roman" w:hAnsi="Times New Roman" w:cs="Times New Roman"/>
          <w:b/>
          <w:bCs/>
        </w:rPr>
        <w:t xml:space="preserve">        Dr. Pap Andrea (PhD)</w:t>
      </w:r>
    </w:p>
    <w:p w:rsidR="00C70E5D" w:rsidRDefault="00C70E5D" w:rsidP="00C70E5D">
      <w:pPr>
        <w:widowControl w:val="0"/>
        <w:spacing w:after="0" w:line="240" w:lineRule="auto"/>
        <w:ind w:left="5664"/>
        <w:jc w:val="both"/>
        <w:rPr>
          <w:rFonts w:ascii="Times New Roman" w:eastAsia="Times New Roman" w:hAnsi="Times New Roman" w:cs="Times New Roman"/>
          <w:bCs/>
        </w:rPr>
      </w:pPr>
      <w:r>
        <w:rPr>
          <w:rFonts w:ascii="Times New Roman" w:hAnsi="Times New Roman" w:cs="Times New Roman"/>
          <w:bCs/>
        </w:rPr>
        <w:t>tanszékvezető, egyetemi docens s.k.</w:t>
      </w:r>
    </w:p>
    <w:p w:rsidR="00C70E5D" w:rsidRDefault="00C70E5D" w:rsidP="00C70E5D">
      <w:pPr>
        <w:rPr>
          <w:rFonts w:ascii="Times New Roman" w:hAnsi="Times New Roman" w:cs="Times New Roman"/>
        </w:rPr>
      </w:pPr>
    </w:p>
    <w:p w:rsidR="00C70E5D" w:rsidRDefault="00C70E5D" w:rsidP="00C70E5D">
      <w:pPr>
        <w:spacing w:after="200" w:line="276" w:lineRule="auto"/>
        <w:rPr>
          <w:rFonts w:ascii="Times New Roman" w:hAnsi="Times New Roman" w:cs="Times New Roman"/>
          <w:sz w:val="24"/>
        </w:rPr>
      </w:pPr>
    </w:p>
    <w:p w:rsidR="00C70E5D" w:rsidRDefault="00C70E5D" w:rsidP="00C70E5D">
      <w:pPr>
        <w:spacing w:after="200" w:line="276" w:lineRule="auto"/>
        <w:rPr>
          <w:rFonts w:ascii="Times New Roman" w:hAnsi="Times New Roman" w:cs="Times New Roman"/>
          <w:sz w:val="24"/>
        </w:rPr>
      </w:pPr>
      <w:r>
        <w:rPr>
          <w:rFonts w:ascii="Times New Roman" w:hAnsi="Times New Roman" w:cs="Times New Roman"/>
          <w:sz w:val="24"/>
        </w:rPr>
        <w:br w:type="page"/>
      </w:r>
    </w:p>
    <w:tbl>
      <w:tblPr>
        <w:tblW w:w="9072" w:type="dxa"/>
        <w:tblInd w:w="113" w:type="dxa"/>
        <w:tblLook w:val="01E0" w:firstRow="1" w:lastRow="1" w:firstColumn="1" w:lastColumn="1" w:noHBand="0" w:noVBand="0"/>
      </w:tblPr>
      <w:tblGrid>
        <w:gridCol w:w="4855"/>
        <w:gridCol w:w="1620"/>
        <w:gridCol w:w="2597"/>
      </w:tblGrid>
      <w:tr w:rsidR="00C70E5D" w:rsidTr="00C70E5D">
        <w:tc>
          <w:tcPr>
            <w:tcW w:w="4855" w:type="dxa"/>
            <w:tcBorders>
              <w:top w:val="nil"/>
              <w:left w:val="nil"/>
              <w:bottom w:val="single" w:sz="4" w:space="0" w:color="auto"/>
              <w:right w:val="nil"/>
            </w:tcBorders>
            <w:hideMark/>
          </w:tcPr>
          <w:p w:rsidR="00C70E5D" w:rsidRDefault="00C70E5D" w:rsidP="00C70E5D">
            <w:pPr>
              <w:spacing w:after="0" w:line="240" w:lineRule="auto"/>
              <w:jc w:val="center"/>
              <w:rPr>
                <w:rFonts w:ascii="Times New Roman" w:eastAsia="Times New Roman" w:hAnsi="Times New Roman" w:cs="Times New Roman"/>
                <w:b/>
                <w:smallCaps/>
                <w:lang w:eastAsia="hu-HU"/>
              </w:rPr>
            </w:pPr>
            <w:r>
              <w:rPr>
                <w:rFonts w:ascii="Times New Roman" w:eastAsia="Times New Roman" w:hAnsi="Times New Roman" w:cs="Times New Roman"/>
                <w:b/>
                <w:smallCaps/>
                <w:lang w:eastAsia="hu-HU"/>
              </w:rPr>
              <w:lastRenderedPageBreak/>
              <w:t>Nemzeti Közszolgálati Egyetem</w:t>
            </w:r>
          </w:p>
        </w:tc>
        <w:tc>
          <w:tcPr>
            <w:tcW w:w="1620" w:type="dxa"/>
          </w:tcPr>
          <w:p w:rsidR="00C70E5D" w:rsidRDefault="00C70E5D" w:rsidP="00C70E5D">
            <w:pPr>
              <w:spacing w:after="0" w:line="240" w:lineRule="auto"/>
              <w:jc w:val="both"/>
              <w:rPr>
                <w:rFonts w:ascii="Times New Roman" w:eastAsia="Times New Roman" w:hAnsi="Times New Roman" w:cs="Times New Roman"/>
                <w:lang w:eastAsia="hu-HU"/>
              </w:rPr>
            </w:pPr>
          </w:p>
        </w:tc>
        <w:tc>
          <w:tcPr>
            <w:tcW w:w="2597" w:type="dxa"/>
          </w:tcPr>
          <w:p w:rsidR="00C70E5D" w:rsidRDefault="00C70E5D" w:rsidP="00C70E5D">
            <w:pPr>
              <w:spacing w:after="0" w:line="240" w:lineRule="auto"/>
              <w:jc w:val="right"/>
              <w:rPr>
                <w:rFonts w:ascii="Times New Roman" w:eastAsia="Times New Roman" w:hAnsi="Times New Roman" w:cs="Times New Roman"/>
                <w:lang w:eastAsia="hu-HU"/>
              </w:rPr>
            </w:pPr>
          </w:p>
        </w:tc>
      </w:tr>
      <w:tr w:rsidR="00C70E5D" w:rsidTr="00C70E5D">
        <w:tc>
          <w:tcPr>
            <w:tcW w:w="4855" w:type="dxa"/>
            <w:tcBorders>
              <w:top w:val="single" w:sz="4" w:space="0" w:color="auto"/>
              <w:left w:val="nil"/>
              <w:bottom w:val="nil"/>
              <w:right w:val="nil"/>
            </w:tcBorders>
            <w:hideMark/>
          </w:tcPr>
          <w:p w:rsidR="00C70E5D" w:rsidRDefault="00C70E5D" w:rsidP="00C70E5D">
            <w:pPr>
              <w:pStyle w:val="Szvegtrzs"/>
              <w:spacing w:line="256" w:lineRule="auto"/>
              <w:jc w:val="center"/>
              <w:rPr>
                <w:b/>
                <w:lang w:eastAsia="en-US"/>
              </w:rPr>
            </w:pPr>
            <w:r>
              <w:rPr>
                <w:b/>
                <w:lang w:eastAsia="en-US"/>
              </w:rPr>
              <w:t>Hadtudományi és Honvédtisztképző Kar</w:t>
            </w:r>
          </w:p>
        </w:tc>
        <w:tc>
          <w:tcPr>
            <w:tcW w:w="1620" w:type="dxa"/>
          </w:tcPr>
          <w:p w:rsidR="00C70E5D" w:rsidRDefault="00C70E5D" w:rsidP="00C70E5D">
            <w:pPr>
              <w:pStyle w:val="Szvegtrzs"/>
              <w:spacing w:line="256" w:lineRule="auto"/>
              <w:rPr>
                <w:lang w:eastAsia="en-US"/>
              </w:rPr>
            </w:pPr>
          </w:p>
        </w:tc>
        <w:tc>
          <w:tcPr>
            <w:tcW w:w="2597" w:type="dxa"/>
          </w:tcPr>
          <w:p w:rsidR="00C70E5D" w:rsidRDefault="00C70E5D" w:rsidP="00C70E5D">
            <w:pPr>
              <w:pStyle w:val="Szvegtrzs"/>
              <w:spacing w:line="256" w:lineRule="auto"/>
              <w:rPr>
                <w:lang w:eastAsia="en-US"/>
              </w:rPr>
            </w:pPr>
          </w:p>
        </w:tc>
      </w:tr>
    </w:tbl>
    <w:p w:rsidR="00C70E5D" w:rsidRDefault="00C70E5D" w:rsidP="00C70E5D">
      <w:pPr>
        <w:widowControl w:val="0"/>
        <w:spacing w:before="120" w:after="120" w:line="240" w:lineRule="auto"/>
        <w:ind w:left="426" w:hanging="142"/>
        <w:jc w:val="center"/>
        <w:rPr>
          <w:rFonts w:ascii="Times New Roman" w:eastAsia="Times New Roman" w:hAnsi="Times New Roman" w:cs="Times New Roman"/>
          <w:b/>
          <w:bCs/>
        </w:rPr>
      </w:pPr>
    </w:p>
    <w:p w:rsidR="00C70E5D" w:rsidRDefault="00C70E5D" w:rsidP="00C70E5D">
      <w:pPr>
        <w:widowControl w:val="0"/>
        <w:spacing w:before="120" w:after="120" w:line="240" w:lineRule="auto"/>
        <w:ind w:left="426" w:hanging="142"/>
        <w:jc w:val="center"/>
        <w:rPr>
          <w:rFonts w:ascii="Times New Roman" w:eastAsia="Times New Roman" w:hAnsi="Times New Roman" w:cs="Times New Roman"/>
          <w:b/>
          <w:bCs/>
        </w:rPr>
      </w:pPr>
      <w:r>
        <w:rPr>
          <w:rFonts w:ascii="Times New Roman" w:eastAsia="Times New Roman" w:hAnsi="Times New Roman" w:cs="Times New Roman"/>
          <w:b/>
          <w:bCs/>
        </w:rPr>
        <w:t>TANTÁRGYI PROGRAM</w:t>
      </w:r>
    </w:p>
    <w:p w:rsidR="00C70E5D" w:rsidRDefault="00C70E5D" w:rsidP="00980876">
      <w:pPr>
        <w:widowControl w:val="0"/>
        <w:numPr>
          <w:ilvl w:val="0"/>
          <w:numId w:val="338"/>
        </w:numPr>
        <w:tabs>
          <w:tab w:val="num" w:pos="643"/>
        </w:tabs>
        <w:spacing w:before="120" w:after="120" w:line="240" w:lineRule="auto"/>
        <w:ind w:left="643"/>
        <w:jc w:val="both"/>
        <w:rPr>
          <w:rFonts w:ascii="Times New Roman" w:eastAsia="Times New Roman" w:hAnsi="Times New Roman" w:cs="Times New Roman"/>
          <w:bCs/>
        </w:rPr>
      </w:pPr>
      <w:r>
        <w:rPr>
          <w:rFonts w:ascii="Times New Roman" w:eastAsia="Times New Roman" w:hAnsi="Times New Roman" w:cs="Times New Roman"/>
          <w:b/>
          <w:bCs/>
        </w:rPr>
        <w:t xml:space="preserve">A tantárgy kódja: </w:t>
      </w:r>
      <w:r>
        <w:rPr>
          <w:rFonts w:ascii="Times New Roman" w:eastAsia="Times New Roman" w:hAnsi="Times New Roman" w:cs="Times New Roman"/>
          <w:bCs/>
        </w:rPr>
        <w:t>HKHPKA501</w:t>
      </w:r>
    </w:p>
    <w:p w:rsidR="00C70E5D" w:rsidRDefault="00C70E5D" w:rsidP="00980876">
      <w:pPr>
        <w:widowControl w:val="0"/>
        <w:numPr>
          <w:ilvl w:val="0"/>
          <w:numId w:val="338"/>
        </w:numPr>
        <w:tabs>
          <w:tab w:val="num" w:pos="643"/>
        </w:tabs>
        <w:spacing w:before="120" w:after="120" w:line="240" w:lineRule="auto"/>
        <w:ind w:left="643"/>
        <w:jc w:val="both"/>
        <w:rPr>
          <w:rFonts w:ascii="Times New Roman" w:eastAsia="Times New Roman" w:hAnsi="Times New Roman" w:cs="Times New Roman"/>
          <w:b/>
          <w:bCs/>
          <w:lang w:val="en-GB"/>
        </w:rPr>
      </w:pPr>
      <w:r>
        <w:rPr>
          <w:rFonts w:ascii="Times New Roman" w:eastAsia="Times New Roman" w:hAnsi="Times New Roman" w:cs="Times New Roman"/>
          <w:b/>
          <w:bCs/>
        </w:rPr>
        <w:t>A tantárgy megnevezése (magyarul):</w:t>
      </w:r>
      <w:r>
        <w:rPr>
          <w:bCs/>
        </w:rPr>
        <w:t xml:space="preserve"> </w:t>
      </w:r>
      <w:r>
        <w:rPr>
          <w:rFonts w:ascii="Times New Roman" w:eastAsia="Times New Roman" w:hAnsi="Times New Roman" w:cs="Times New Roman"/>
          <w:bCs/>
        </w:rPr>
        <w:t>Pénzügyek I. (Alapok)</w:t>
      </w:r>
    </w:p>
    <w:p w:rsidR="00C70E5D" w:rsidRDefault="00C70E5D" w:rsidP="00980876">
      <w:pPr>
        <w:widowControl w:val="0"/>
        <w:numPr>
          <w:ilvl w:val="0"/>
          <w:numId w:val="338"/>
        </w:numPr>
        <w:tabs>
          <w:tab w:val="num" w:pos="643"/>
        </w:tabs>
        <w:spacing w:before="120" w:after="120" w:line="240" w:lineRule="auto"/>
        <w:ind w:left="643"/>
        <w:jc w:val="both"/>
        <w:rPr>
          <w:rFonts w:ascii="Times New Roman" w:eastAsia="Times New Roman" w:hAnsi="Times New Roman" w:cs="Times New Roman"/>
          <w:b/>
          <w:bCs/>
          <w:lang w:val="en-GB"/>
        </w:rPr>
      </w:pPr>
      <w:r>
        <w:rPr>
          <w:rFonts w:ascii="Times New Roman" w:eastAsia="Times New Roman" w:hAnsi="Times New Roman" w:cs="Times New Roman"/>
          <w:b/>
          <w:bCs/>
        </w:rPr>
        <w:t>A tantárgy megnevezése (angolul):</w:t>
      </w:r>
      <w:r>
        <w:rPr>
          <w:bCs/>
        </w:rPr>
        <w:t xml:space="preserve"> </w:t>
      </w:r>
      <w:r>
        <w:rPr>
          <w:rFonts w:ascii="Times New Roman" w:eastAsia="Times New Roman" w:hAnsi="Times New Roman" w:cs="Times New Roman"/>
          <w:bCs/>
        </w:rPr>
        <w:t>Basics of Finance</w:t>
      </w:r>
    </w:p>
    <w:p w:rsidR="00C70E5D" w:rsidRDefault="00C70E5D" w:rsidP="00980876">
      <w:pPr>
        <w:widowControl w:val="0"/>
        <w:numPr>
          <w:ilvl w:val="0"/>
          <w:numId w:val="338"/>
        </w:numPr>
        <w:spacing w:before="120" w:after="120" w:line="240" w:lineRule="auto"/>
        <w:ind w:left="567" w:hanging="283"/>
        <w:jc w:val="both"/>
        <w:rPr>
          <w:rFonts w:ascii="Times New Roman" w:eastAsia="Times New Roman" w:hAnsi="Times New Roman" w:cs="Times New Roman"/>
          <w:b/>
          <w:bCs/>
        </w:rPr>
      </w:pPr>
      <w:r>
        <w:rPr>
          <w:rFonts w:ascii="Times New Roman" w:eastAsia="Times New Roman" w:hAnsi="Times New Roman" w:cs="Times New Roman"/>
          <w:b/>
          <w:bCs/>
        </w:rPr>
        <w:t xml:space="preserve">Kreditérték és képzési karakter: </w:t>
      </w:r>
    </w:p>
    <w:p w:rsidR="00C70E5D" w:rsidRDefault="00C70E5D" w:rsidP="00980876">
      <w:pPr>
        <w:pStyle w:val="Listaszerbekezds"/>
        <w:widowControl w:val="0"/>
        <w:numPr>
          <w:ilvl w:val="1"/>
          <w:numId w:val="338"/>
        </w:numPr>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3 kredit</w:t>
      </w:r>
    </w:p>
    <w:p w:rsidR="00C70E5D" w:rsidRDefault="00C70E5D" w:rsidP="00980876">
      <w:pPr>
        <w:pStyle w:val="Listaszerbekezds"/>
        <w:widowControl w:val="0"/>
        <w:numPr>
          <w:ilvl w:val="1"/>
          <w:numId w:val="338"/>
        </w:numPr>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a tantárgy elméleti vagy gyakorlati jellegének mértéke: 33</w:t>
      </w:r>
      <w:r>
        <w:rPr>
          <w:rFonts w:ascii="Times New Roman" w:eastAsia="Times New Roman" w:hAnsi="Times New Roman" w:cs="Times New Roman"/>
          <w:b/>
          <w:bCs/>
        </w:rPr>
        <w:t xml:space="preserve"> </w:t>
      </w:r>
      <w:r>
        <w:rPr>
          <w:rFonts w:ascii="Times New Roman" w:eastAsia="Times New Roman" w:hAnsi="Times New Roman" w:cs="Times New Roman"/>
          <w:bCs/>
        </w:rPr>
        <w:t>% gyakorlat, 67 % elmélet</w:t>
      </w:r>
    </w:p>
    <w:p w:rsidR="00C70E5D" w:rsidRDefault="00C70E5D" w:rsidP="00980876">
      <w:pPr>
        <w:widowControl w:val="0"/>
        <w:numPr>
          <w:ilvl w:val="0"/>
          <w:numId w:val="338"/>
        </w:numPr>
        <w:spacing w:before="120" w:after="120" w:line="240" w:lineRule="auto"/>
        <w:ind w:left="643"/>
        <w:jc w:val="both"/>
        <w:rPr>
          <w:rFonts w:ascii="Times New Roman" w:eastAsia="Times New Roman" w:hAnsi="Times New Roman" w:cs="Times New Roman"/>
          <w:bCs/>
        </w:rPr>
      </w:pPr>
      <w:r>
        <w:rPr>
          <w:rFonts w:ascii="Times New Roman" w:eastAsia="Times New Roman" w:hAnsi="Times New Roman" w:cs="Times New Roman"/>
          <w:b/>
          <w:bCs/>
        </w:rPr>
        <w:t>A szak(ok), szakirányok/specializációk megnevezése (ahol oktatják):</w:t>
      </w:r>
      <w:r>
        <w:rPr>
          <w:rFonts w:ascii="Times New Roman" w:eastAsia="Times New Roman" w:hAnsi="Times New Roman" w:cs="Times New Roman"/>
          <w:bCs/>
        </w:rPr>
        <w:t xml:space="preserve"> Katonai logisztika alapképzési szak, Hadtáp specializáció, Katonai pénzügyi specializáció</w:t>
      </w:r>
    </w:p>
    <w:p w:rsidR="00C70E5D" w:rsidRDefault="00C70E5D" w:rsidP="00980876">
      <w:pPr>
        <w:widowControl w:val="0"/>
        <w:numPr>
          <w:ilvl w:val="0"/>
          <w:numId w:val="338"/>
        </w:numPr>
        <w:tabs>
          <w:tab w:val="num" w:pos="643"/>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Az oktatásért felelős oktatási szervezeti egység megnevezése:</w:t>
      </w:r>
      <w:r>
        <w:rPr>
          <w:bCs/>
        </w:rPr>
        <w:t xml:space="preserve"> </w:t>
      </w:r>
      <w:r>
        <w:rPr>
          <w:rFonts w:ascii="Times New Roman" w:eastAsia="Times New Roman" w:hAnsi="Times New Roman" w:cs="Times New Roman"/>
          <w:bCs/>
        </w:rPr>
        <w:t xml:space="preserve">NKE Hadtudományi és Honvédtisztképző Kar, Hadtáp, Pénzügyi és Katonai Közlekedési Tanszék </w:t>
      </w:r>
    </w:p>
    <w:p w:rsidR="00C70E5D" w:rsidRDefault="00C70E5D" w:rsidP="00980876">
      <w:pPr>
        <w:widowControl w:val="0"/>
        <w:numPr>
          <w:ilvl w:val="0"/>
          <w:numId w:val="338"/>
        </w:numPr>
        <w:tabs>
          <w:tab w:val="num" w:pos="643"/>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tantárgyfelelős oktató neve, beosztása, tudományos fokozata:</w:t>
      </w:r>
      <w:r>
        <w:rPr>
          <w:rFonts w:ascii="Times New Roman" w:eastAsia="Times New Roman" w:hAnsi="Times New Roman" w:cs="Times New Roman"/>
          <w:bCs/>
        </w:rPr>
        <w:t xml:space="preserve"> Dr. Nyikos Györgyi, egyetemi docens, PhD</w:t>
      </w:r>
    </w:p>
    <w:p w:rsidR="00C70E5D" w:rsidRDefault="00C70E5D" w:rsidP="00980876">
      <w:pPr>
        <w:widowControl w:val="0"/>
        <w:numPr>
          <w:ilvl w:val="0"/>
          <w:numId w:val="338"/>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tanórák száma és típusa</w:t>
      </w:r>
    </w:p>
    <w:p w:rsidR="00C70E5D" w:rsidRDefault="00C70E5D" w:rsidP="00980876">
      <w:pPr>
        <w:widowControl w:val="0"/>
        <w:numPr>
          <w:ilvl w:val="1"/>
          <w:numId w:val="338"/>
        </w:numPr>
        <w:tabs>
          <w:tab w:val="num" w:pos="2069"/>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össz óraszám/félév:</w:t>
      </w:r>
    </w:p>
    <w:p w:rsidR="00C70E5D" w:rsidRDefault="00C70E5D" w:rsidP="00980876">
      <w:pPr>
        <w:pStyle w:val="Listaszerbekezds"/>
        <w:widowControl w:val="0"/>
        <w:numPr>
          <w:ilvl w:val="2"/>
          <w:numId w:val="339"/>
        </w:numPr>
        <w:spacing w:before="120" w:after="120" w:line="240" w:lineRule="auto"/>
        <w:ind w:left="1418" w:hanging="709"/>
        <w:jc w:val="both"/>
        <w:rPr>
          <w:rFonts w:ascii="Times New Roman" w:eastAsia="Times New Roman" w:hAnsi="Times New Roman" w:cs="Times New Roman"/>
          <w:bCs/>
        </w:rPr>
      </w:pPr>
      <w:r>
        <w:rPr>
          <w:rFonts w:ascii="Times New Roman" w:eastAsia="Times New Roman" w:hAnsi="Times New Roman" w:cs="Times New Roman"/>
          <w:bCs/>
        </w:rPr>
        <w:t>nappali munkarend: 42 (28 EA + 0 SZ + 14 GY)</w:t>
      </w:r>
    </w:p>
    <w:p w:rsidR="00C70E5D" w:rsidRDefault="00C70E5D" w:rsidP="00980876">
      <w:pPr>
        <w:pStyle w:val="Listaszerbekezds"/>
        <w:widowControl w:val="0"/>
        <w:numPr>
          <w:ilvl w:val="2"/>
          <w:numId w:val="339"/>
        </w:numPr>
        <w:spacing w:before="120" w:after="120" w:line="240" w:lineRule="auto"/>
        <w:ind w:left="1418" w:hanging="709"/>
        <w:jc w:val="both"/>
        <w:rPr>
          <w:rFonts w:ascii="Times New Roman" w:eastAsia="Times New Roman" w:hAnsi="Times New Roman" w:cs="Times New Roman"/>
          <w:bCs/>
        </w:rPr>
      </w:pPr>
      <w:r>
        <w:rPr>
          <w:rFonts w:ascii="Times New Roman" w:eastAsia="Times New Roman" w:hAnsi="Times New Roman" w:cs="Times New Roman"/>
          <w:bCs/>
        </w:rPr>
        <w:t>levelező munkarend: - (- EA + - SZ + - GY)</w:t>
      </w:r>
    </w:p>
    <w:p w:rsidR="00C70E5D" w:rsidRDefault="00C70E5D" w:rsidP="00980876">
      <w:pPr>
        <w:widowControl w:val="0"/>
        <w:numPr>
          <w:ilvl w:val="1"/>
          <w:numId w:val="338"/>
        </w:numPr>
        <w:tabs>
          <w:tab w:val="num" w:pos="2069"/>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heti óraszám - nappali munkarend: 3</w:t>
      </w:r>
    </w:p>
    <w:p w:rsidR="00C70E5D" w:rsidRDefault="00C70E5D" w:rsidP="00980876">
      <w:pPr>
        <w:widowControl w:val="0"/>
        <w:numPr>
          <w:ilvl w:val="1"/>
          <w:numId w:val="338"/>
        </w:numPr>
        <w:tabs>
          <w:tab w:val="num" w:pos="2069"/>
        </w:tabs>
        <w:spacing w:before="120" w:after="120" w:line="240" w:lineRule="auto"/>
        <w:ind w:left="851" w:hanging="425"/>
        <w:jc w:val="both"/>
        <w:rPr>
          <w:rFonts w:ascii="Times New Roman" w:eastAsia="Times New Roman" w:hAnsi="Times New Roman" w:cs="Times New Roman"/>
          <w:bCs/>
        </w:rPr>
      </w:pPr>
      <w:r>
        <w:rPr>
          <w:rFonts w:ascii="Times New Roman" w:hAnsi="Times New Roman" w:cs="Times New Roman"/>
        </w:rPr>
        <w:t>Az ismeret átadásában alkalmazandó további sajátos módok, jellemzők: -</w:t>
      </w:r>
    </w:p>
    <w:p w:rsidR="00C70E5D" w:rsidRDefault="00C70E5D" w:rsidP="00980876">
      <w:pPr>
        <w:widowControl w:val="0"/>
        <w:numPr>
          <w:ilvl w:val="0"/>
          <w:numId w:val="338"/>
        </w:numPr>
        <w:spacing w:before="120" w:after="120" w:line="240" w:lineRule="auto"/>
        <w:ind w:left="643"/>
        <w:jc w:val="both"/>
        <w:rPr>
          <w:rFonts w:ascii="Times New Roman" w:eastAsia="Times New Roman" w:hAnsi="Times New Roman" w:cs="Times New Roman"/>
          <w:bCs/>
        </w:rPr>
      </w:pPr>
      <w:r>
        <w:rPr>
          <w:rFonts w:ascii="Times New Roman" w:eastAsia="Times New Roman" w:hAnsi="Times New Roman" w:cs="Times New Roman"/>
          <w:b/>
          <w:bCs/>
        </w:rPr>
        <w:t>A tantárgy szakmai tartalma (magyarul):</w:t>
      </w:r>
      <w:r>
        <w:rPr>
          <w:bCs/>
        </w:rPr>
        <w:t xml:space="preserve"> </w:t>
      </w:r>
      <w:r>
        <w:rPr>
          <w:rFonts w:ascii="Times New Roman" w:eastAsia="Times New Roman" w:hAnsi="Times New Roman" w:cs="Times New Roman"/>
          <w:bCs/>
        </w:rPr>
        <w:t>A pénz kialakulása, a modern pénz funkciói. A pénzügyi politika és a pénzügyi rendszer, pénzügyi piacok és intézményei. Bankrendszer, Banki műveletek. Nemzetközi pénzügyi ismeretek: devizarendszerek, nemzetközi pénzügyi rendszer és intézményei. Az Európai Unió monetáris rendszere. Értékpapírok, értékpapír piaci műveletek..</w:t>
      </w:r>
    </w:p>
    <w:p w:rsidR="00C70E5D" w:rsidRDefault="00C70E5D" w:rsidP="00C70E5D">
      <w:pPr>
        <w:widowControl w:val="0"/>
        <w:spacing w:before="120" w:after="120" w:line="240" w:lineRule="auto"/>
        <w:ind w:left="643"/>
        <w:jc w:val="both"/>
        <w:rPr>
          <w:rFonts w:ascii="Times New Roman" w:eastAsia="Times New Roman" w:hAnsi="Times New Roman" w:cs="Times New Roman"/>
          <w:bCs/>
          <w:lang w:val="en-GB"/>
        </w:rPr>
      </w:pPr>
      <w:r>
        <w:rPr>
          <w:rFonts w:ascii="Times New Roman" w:eastAsia="Times New Roman" w:hAnsi="Times New Roman" w:cs="Times New Roman"/>
          <w:b/>
          <w:bCs/>
        </w:rPr>
        <w:t>A tantárgy szakmai tartalma (angolul) (</w:t>
      </w:r>
      <w:r>
        <w:rPr>
          <w:rFonts w:ascii="Times New Roman" w:eastAsia="Times New Roman" w:hAnsi="Times New Roman" w:cs="Times New Roman"/>
          <w:b/>
          <w:bCs/>
          <w:lang w:val="en-US"/>
        </w:rPr>
        <w:t>Course description</w:t>
      </w:r>
      <w:r>
        <w:rPr>
          <w:rFonts w:ascii="Times New Roman" w:eastAsia="Times New Roman" w:hAnsi="Times New Roman" w:cs="Times New Roman"/>
          <w:b/>
          <w:bCs/>
        </w:rPr>
        <w:t xml:space="preserve">): </w:t>
      </w:r>
      <w:r>
        <w:rPr>
          <w:rFonts w:ascii="Times New Roman" w:eastAsia="Times New Roman" w:hAnsi="Times New Roman" w:cs="Times New Roman"/>
          <w:bCs/>
        </w:rPr>
        <w:t>The formation of money, the functions of modern money. Financial policy and the financial system, financial markets and institutions. Banking systems, banking. International financial knowledge: foreign exchange systems, international financial system and institutions. The monetary system of the European Union. Stocks, Stock market operations.</w:t>
      </w:r>
    </w:p>
    <w:p w:rsidR="00C70E5D" w:rsidRDefault="00C70E5D" w:rsidP="00980876">
      <w:pPr>
        <w:pStyle w:val="Listaszerbekezds"/>
        <w:widowControl w:val="0"/>
        <w:numPr>
          <w:ilvl w:val="0"/>
          <w:numId w:val="338"/>
        </w:numPr>
        <w:tabs>
          <w:tab w:val="num" w:pos="643"/>
        </w:tabs>
        <w:spacing w:before="120" w:after="120" w:line="240" w:lineRule="auto"/>
        <w:ind w:left="643"/>
        <w:jc w:val="both"/>
        <w:rPr>
          <w:rFonts w:ascii="Times New Roman" w:eastAsia="Times New Roman" w:hAnsi="Times New Roman" w:cs="Times New Roman"/>
          <w:bCs/>
        </w:rPr>
      </w:pPr>
      <w:r>
        <w:rPr>
          <w:rFonts w:ascii="Times New Roman" w:eastAsia="Times New Roman" w:hAnsi="Times New Roman" w:cs="Times New Roman"/>
          <w:b/>
          <w:bCs/>
        </w:rPr>
        <w:t xml:space="preserve">Elérendő kompetenciák (magyarul): </w:t>
      </w:r>
    </w:p>
    <w:p w:rsidR="00C70E5D" w:rsidRDefault="00C70E5D" w:rsidP="00C70E5D">
      <w:pPr>
        <w:widowControl w:val="0"/>
        <w:spacing w:before="120" w:after="120" w:line="240" w:lineRule="auto"/>
        <w:ind w:left="426"/>
        <w:jc w:val="both"/>
        <w:rPr>
          <w:rFonts w:ascii="Times New Roman" w:eastAsia="Times New Roman" w:hAnsi="Times New Roman" w:cs="Times New Roman"/>
          <w:bCs/>
        </w:rPr>
      </w:pPr>
      <w:r>
        <w:rPr>
          <w:rFonts w:ascii="Times New Roman" w:eastAsia="Times New Roman" w:hAnsi="Times New Roman" w:cs="Times New Roman"/>
          <w:b/>
          <w:bCs/>
        </w:rPr>
        <w:t>Tudása:</w:t>
      </w:r>
      <w:r>
        <w:rPr>
          <w:rFonts w:ascii="Times New Roman" w:eastAsia="Times New Roman" w:hAnsi="Times New Roman" w:cs="Times New Roman"/>
          <w:bCs/>
        </w:rPr>
        <w:t xml:space="preserve"> </w:t>
      </w:r>
    </w:p>
    <w:p w:rsidR="00C70E5D" w:rsidRDefault="00C70E5D" w:rsidP="00980876">
      <w:pPr>
        <w:pStyle w:val="Listaszerbekezds"/>
        <w:widowControl w:val="0"/>
        <w:numPr>
          <w:ilvl w:val="0"/>
          <w:numId w:val="175"/>
        </w:numPr>
        <w:spacing w:before="120" w:after="120" w:line="240" w:lineRule="auto"/>
        <w:ind w:hanging="219"/>
        <w:jc w:val="both"/>
        <w:rPr>
          <w:rFonts w:ascii="Times New Roman" w:eastAsia="Times New Roman" w:hAnsi="Times New Roman" w:cs="Times New Roman"/>
          <w:bCs/>
        </w:rPr>
      </w:pPr>
      <w:r>
        <w:rPr>
          <w:rFonts w:ascii="Times New Roman" w:eastAsia="Times New Roman" w:hAnsi="Times New Roman" w:cs="Times New Roman"/>
          <w:bCs/>
        </w:rPr>
        <w:t>Ismeri a gazdaság és a piacok működésének alapjait, a nemzetgazdaság és a honvédelem kapcsolatrendszerét, a hadiipar működésének törvényszerűségeit.</w:t>
      </w:r>
    </w:p>
    <w:p w:rsidR="00C70E5D" w:rsidRDefault="00C70E5D" w:rsidP="00C70E5D">
      <w:pPr>
        <w:widowControl w:val="0"/>
        <w:spacing w:before="120" w:after="120" w:line="240" w:lineRule="auto"/>
        <w:ind w:left="426"/>
        <w:jc w:val="both"/>
        <w:rPr>
          <w:rFonts w:ascii="Times New Roman" w:eastAsia="Times New Roman" w:hAnsi="Times New Roman" w:cs="Times New Roman"/>
          <w:bCs/>
        </w:rPr>
      </w:pPr>
      <w:r>
        <w:rPr>
          <w:rFonts w:ascii="Times New Roman" w:eastAsia="Times New Roman" w:hAnsi="Times New Roman" w:cs="Times New Roman"/>
          <w:b/>
          <w:bCs/>
        </w:rPr>
        <w:t>Képességei:</w:t>
      </w:r>
      <w:r>
        <w:rPr>
          <w:rFonts w:ascii="Times New Roman" w:eastAsia="Times New Roman" w:hAnsi="Times New Roman" w:cs="Times New Roman"/>
          <w:bCs/>
        </w:rPr>
        <w:t xml:space="preserve"> </w:t>
      </w:r>
    </w:p>
    <w:p w:rsidR="00C70E5D" w:rsidRDefault="00C70E5D" w:rsidP="00980876">
      <w:pPr>
        <w:pStyle w:val="Listaszerbekezds"/>
        <w:widowControl w:val="0"/>
        <w:numPr>
          <w:ilvl w:val="0"/>
          <w:numId w:val="175"/>
        </w:numPr>
        <w:spacing w:before="120" w:after="120" w:line="240" w:lineRule="auto"/>
        <w:ind w:hanging="219"/>
        <w:jc w:val="both"/>
        <w:rPr>
          <w:rFonts w:ascii="Times New Roman" w:eastAsia="Times New Roman" w:hAnsi="Times New Roman" w:cs="Times New Roman"/>
          <w:bCs/>
        </w:rPr>
      </w:pPr>
      <w:r>
        <w:rPr>
          <w:rFonts w:ascii="Times New Roman" w:eastAsia="Times New Roman" w:hAnsi="Times New Roman" w:cs="Times New Roman"/>
          <w:bCs/>
        </w:rPr>
        <w:t>Képes szakterületén újító és innovatív ötletek megfogalmazására.</w:t>
      </w:r>
    </w:p>
    <w:p w:rsidR="00C70E5D" w:rsidRDefault="00C70E5D" w:rsidP="00C70E5D">
      <w:pPr>
        <w:widowControl w:val="0"/>
        <w:spacing w:before="120" w:after="120" w:line="240" w:lineRule="auto"/>
        <w:ind w:left="426"/>
        <w:jc w:val="both"/>
        <w:rPr>
          <w:rFonts w:ascii="Times New Roman" w:eastAsia="Times New Roman" w:hAnsi="Times New Roman" w:cs="Times New Roman"/>
          <w:bCs/>
        </w:rPr>
      </w:pPr>
      <w:r>
        <w:rPr>
          <w:rFonts w:ascii="Times New Roman" w:eastAsia="Times New Roman" w:hAnsi="Times New Roman" w:cs="Times New Roman"/>
          <w:b/>
          <w:bCs/>
        </w:rPr>
        <w:t>Attitűdje:</w:t>
      </w:r>
      <w:r>
        <w:rPr>
          <w:rFonts w:ascii="Times New Roman" w:eastAsia="Times New Roman" w:hAnsi="Times New Roman" w:cs="Times New Roman"/>
          <w:bCs/>
        </w:rPr>
        <w:t xml:space="preserve"> </w:t>
      </w:r>
    </w:p>
    <w:p w:rsidR="00C70E5D" w:rsidRDefault="00C70E5D" w:rsidP="00980876">
      <w:pPr>
        <w:pStyle w:val="Listaszerbekezds"/>
        <w:widowControl w:val="0"/>
        <w:numPr>
          <w:ilvl w:val="0"/>
          <w:numId w:val="175"/>
        </w:numPr>
        <w:spacing w:before="120" w:after="120" w:line="240" w:lineRule="auto"/>
        <w:ind w:hanging="219"/>
        <w:jc w:val="both"/>
        <w:rPr>
          <w:rFonts w:ascii="Times New Roman" w:eastAsia="Times New Roman" w:hAnsi="Times New Roman" w:cs="Times New Roman"/>
          <w:bCs/>
        </w:rPr>
      </w:pPr>
      <w:r>
        <w:rPr>
          <w:rFonts w:ascii="Times New Roman" w:eastAsia="Times New Roman" w:hAnsi="Times New Roman" w:cs="Times New Roman"/>
          <w:bCs/>
        </w:rPr>
        <w:t>Nyitott szakterülete új eredményei, innovációi iránt, törekszik azok megismerésére, megértésére és alkalmazására, elkötelezett önmaga folyamatos képzésére.</w:t>
      </w:r>
    </w:p>
    <w:p w:rsidR="00D35253" w:rsidRDefault="00D35253" w:rsidP="00C70E5D">
      <w:pPr>
        <w:widowControl w:val="0"/>
        <w:spacing w:before="120" w:after="120" w:line="240" w:lineRule="auto"/>
        <w:ind w:left="426"/>
        <w:jc w:val="both"/>
        <w:rPr>
          <w:rFonts w:ascii="Times New Roman" w:eastAsia="Times New Roman" w:hAnsi="Times New Roman" w:cs="Times New Roman"/>
          <w:b/>
          <w:bCs/>
        </w:rPr>
      </w:pPr>
    </w:p>
    <w:p w:rsidR="00C70E5D" w:rsidRDefault="00C70E5D" w:rsidP="00C70E5D">
      <w:pPr>
        <w:widowControl w:val="0"/>
        <w:spacing w:before="120" w:after="120" w:line="240" w:lineRule="auto"/>
        <w:ind w:left="426"/>
        <w:jc w:val="both"/>
        <w:rPr>
          <w:rFonts w:ascii="Times New Roman" w:eastAsia="Times New Roman" w:hAnsi="Times New Roman" w:cs="Times New Roman"/>
          <w:bCs/>
        </w:rPr>
      </w:pPr>
      <w:r>
        <w:rPr>
          <w:rFonts w:ascii="Times New Roman" w:eastAsia="Times New Roman" w:hAnsi="Times New Roman" w:cs="Times New Roman"/>
          <w:b/>
          <w:bCs/>
        </w:rPr>
        <w:lastRenderedPageBreak/>
        <w:t>Autonómiája és felelőssége:</w:t>
      </w:r>
      <w:r>
        <w:rPr>
          <w:rFonts w:ascii="Times New Roman" w:eastAsia="Times New Roman" w:hAnsi="Times New Roman" w:cs="Times New Roman"/>
          <w:bCs/>
        </w:rPr>
        <w:t xml:space="preserve"> </w:t>
      </w:r>
    </w:p>
    <w:p w:rsidR="00C70E5D" w:rsidRDefault="00C70E5D" w:rsidP="00980876">
      <w:pPr>
        <w:pStyle w:val="Listaszerbekezds"/>
        <w:widowControl w:val="0"/>
        <w:numPr>
          <w:ilvl w:val="0"/>
          <w:numId w:val="175"/>
        </w:numPr>
        <w:spacing w:before="120" w:after="120" w:line="240" w:lineRule="auto"/>
        <w:ind w:hanging="219"/>
        <w:jc w:val="both"/>
        <w:rPr>
          <w:rFonts w:ascii="Times New Roman" w:eastAsia="Times New Roman" w:hAnsi="Times New Roman" w:cs="Times New Roman"/>
          <w:bCs/>
        </w:rPr>
      </w:pPr>
      <w:r>
        <w:rPr>
          <w:rFonts w:ascii="Times New Roman" w:eastAsia="Times New Roman" w:hAnsi="Times New Roman" w:cs="Times New Roman"/>
          <w:bCs/>
        </w:rPr>
        <w:t>Tisztában van döntéseinek, tevékenységének a műszaki eszközökre, illetve a gazdálkodási fegyelemre gyakorolt hatásaival, következményeivel.</w:t>
      </w:r>
    </w:p>
    <w:p w:rsidR="00C70E5D" w:rsidRDefault="00C70E5D" w:rsidP="00C70E5D">
      <w:pPr>
        <w:widowControl w:val="0"/>
        <w:spacing w:before="120" w:after="120" w:line="240" w:lineRule="auto"/>
        <w:ind w:left="426"/>
        <w:jc w:val="both"/>
        <w:rPr>
          <w:rFonts w:ascii="Times New Roman" w:eastAsia="Times New Roman" w:hAnsi="Times New Roman" w:cs="Times New Roman"/>
          <w:b/>
          <w:bCs/>
          <w:lang w:val="en-US"/>
        </w:rPr>
      </w:pPr>
      <w:r>
        <w:rPr>
          <w:rFonts w:ascii="Times New Roman" w:eastAsia="Times New Roman" w:hAnsi="Times New Roman" w:cs="Times New Roman"/>
          <w:b/>
          <w:bCs/>
        </w:rPr>
        <w:t>Elérendő kompetenciák (angolul) (</w:t>
      </w:r>
      <w:r>
        <w:rPr>
          <w:rFonts w:ascii="Times New Roman" w:eastAsia="Times New Roman" w:hAnsi="Times New Roman" w:cs="Times New Roman"/>
          <w:b/>
          <w:bCs/>
          <w:lang w:val="en-US"/>
        </w:rPr>
        <w:t xml:space="preserve">Competences – English): </w:t>
      </w:r>
    </w:p>
    <w:p w:rsidR="00C70E5D" w:rsidRDefault="00C70E5D" w:rsidP="00C70E5D">
      <w:pPr>
        <w:widowControl w:val="0"/>
        <w:spacing w:before="120" w:after="120" w:line="240" w:lineRule="auto"/>
        <w:ind w:left="426"/>
        <w:jc w:val="both"/>
        <w:rPr>
          <w:rFonts w:ascii="Times New Roman" w:eastAsia="Times New Roman" w:hAnsi="Times New Roman" w:cs="Times New Roman"/>
          <w:b/>
          <w:lang w:val="en-GB"/>
        </w:rPr>
      </w:pPr>
      <w:r>
        <w:rPr>
          <w:rFonts w:ascii="Times New Roman" w:eastAsia="Times New Roman" w:hAnsi="Times New Roman" w:cs="Times New Roman"/>
          <w:b/>
          <w:lang w:val="en-GB"/>
        </w:rPr>
        <w:t xml:space="preserve">Knowledge: </w:t>
      </w:r>
    </w:p>
    <w:p w:rsidR="00C70E5D" w:rsidRDefault="00C70E5D" w:rsidP="00980876">
      <w:pPr>
        <w:pStyle w:val="Listaszerbekezds"/>
        <w:widowControl w:val="0"/>
        <w:numPr>
          <w:ilvl w:val="0"/>
          <w:numId w:val="175"/>
        </w:numPr>
        <w:spacing w:before="120" w:after="120" w:line="240" w:lineRule="auto"/>
        <w:ind w:hanging="219"/>
        <w:jc w:val="both"/>
        <w:rPr>
          <w:rFonts w:ascii="Times New Roman" w:eastAsia="Times New Roman" w:hAnsi="Times New Roman" w:cs="Times New Roman"/>
          <w:lang w:val="en-GB"/>
        </w:rPr>
      </w:pPr>
      <w:r>
        <w:rPr>
          <w:rFonts w:ascii="Times New Roman" w:eastAsia="Times New Roman" w:hAnsi="Times New Roman" w:cs="Times New Roman"/>
          <w:lang w:val="en-GB"/>
        </w:rPr>
        <w:t>The student knows the basics of the operation of the economy and the markets, the system of relations between the national economy and the defense sector, the regularities of the operation of the military industry.</w:t>
      </w:r>
    </w:p>
    <w:p w:rsidR="00C70E5D" w:rsidRDefault="00C70E5D" w:rsidP="00C70E5D">
      <w:pPr>
        <w:widowControl w:val="0"/>
        <w:spacing w:before="120" w:after="120" w:line="240" w:lineRule="auto"/>
        <w:ind w:left="426"/>
        <w:jc w:val="both"/>
        <w:rPr>
          <w:rFonts w:ascii="Times New Roman" w:eastAsia="Times New Roman" w:hAnsi="Times New Roman" w:cs="Times New Roman"/>
          <w:b/>
          <w:lang w:val="en-GB"/>
        </w:rPr>
      </w:pPr>
      <w:r>
        <w:rPr>
          <w:rFonts w:ascii="Times New Roman" w:eastAsia="Times New Roman" w:hAnsi="Times New Roman" w:cs="Times New Roman"/>
          <w:b/>
          <w:lang w:val="en-GB"/>
        </w:rPr>
        <w:t xml:space="preserve">Capabilities: </w:t>
      </w:r>
    </w:p>
    <w:p w:rsidR="00C70E5D" w:rsidRDefault="00C70E5D" w:rsidP="00980876">
      <w:pPr>
        <w:pStyle w:val="Listaszerbekezds"/>
        <w:widowControl w:val="0"/>
        <w:numPr>
          <w:ilvl w:val="0"/>
          <w:numId w:val="175"/>
        </w:numPr>
        <w:spacing w:before="120" w:after="120" w:line="240" w:lineRule="auto"/>
        <w:ind w:hanging="219"/>
        <w:jc w:val="both"/>
        <w:rPr>
          <w:rFonts w:ascii="Times New Roman" w:eastAsia="Times New Roman" w:hAnsi="Times New Roman" w:cs="Times New Roman"/>
          <w:b/>
          <w:lang w:val="en-GB"/>
        </w:rPr>
      </w:pPr>
      <w:r>
        <w:rPr>
          <w:rFonts w:ascii="Times New Roman" w:eastAsia="Times New Roman" w:hAnsi="Times New Roman" w:cs="Times New Roman"/>
          <w:lang w:val="en-GB"/>
        </w:rPr>
        <w:t>He / she is able to formulate new and innovative ideas in his or her field</w:t>
      </w:r>
      <w:r>
        <w:rPr>
          <w:rFonts w:ascii="Times New Roman" w:eastAsia="Times New Roman" w:hAnsi="Times New Roman" w:cs="Times New Roman"/>
          <w:b/>
          <w:lang w:val="en-GB"/>
        </w:rPr>
        <w:t>.</w:t>
      </w:r>
    </w:p>
    <w:p w:rsidR="00C70E5D" w:rsidRDefault="00C70E5D" w:rsidP="00C70E5D">
      <w:pPr>
        <w:widowControl w:val="0"/>
        <w:spacing w:before="120" w:after="120" w:line="240" w:lineRule="auto"/>
        <w:ind w:left="426"/>
        <w:jc w:val="both"/>
        <w:rPr>
          <w:rFonts w:ascii="Times New Roman" w:eastAsia="Times New Roman" w:hAnsi="Times New Roman" w:cs="Times New Roman"/>
          <w:b/>
          <w:lang w:val="en-GB"/>
        </w:rPr>
      </w:pPr>
      <w:r>
        <w:rPr>
          <w:rFonts w:ascii="Times New Roman" w:eastAsia="Times New Roman" w:hAnsi="Times New Roman" w:cs="Times New Roman"/>
          <w:b/>
          <w:lang w:val="en-GB"/>
        </w:rPr>
        <w:t xml:space="preserve">Attitude: </w:t>
      </w:r>
    </w:p>
    <w:p w:rsidR="00C70E5D" w:rsidRDefault="00C70E5D" w:rsidP="00980876">
      <w:pPr>
        <w:pStyle w:val="Listaszerbekezds"/>
        <w:widowControl w:val="0"/>
        <w:numPr>
          <w:ilvl w:val="0"/>
          <w:numId w:val="175"/>
        </w:numPr>
        <w:spacing w:before="120" w:after="120" w:line="240" w:lineRule="auto"/>
        <w:ind w:hanging="219"/>
        <w:jc w:val="both"/>
        <w:rPr>
          <w:rFonts w:ascii="Times New Roman" w:eastAsia="Times New Roman" w:hAnsi="Times New Roman" w:cs="Times New Roman"/>
          <w:b/>
          <w:lang w:val="en-GB"/>
        </w:rPr>
      </w:pPr>
      <w:r>
        <w:rPr>
          <w:rFonts w:ascii="Times New Roman" w:eastAsia="Times New Roman" w:hAnsi="Times New Roman" w:cs="Times New Roman"/>
          <w:lang w:val="en-GB"/>
        </w:rPr>
        <w:t>He/she is open to new achievements and innovations in his/her field of knowledge, seeks to know, understand and apply them, and is committed to a continuous training of himself.</w:t>
      </w:r>
    </w:p>
    <w:p w:rsidR="00C70E5D" w:rsidRDefault="00C70E5D" w:rsidP="00C70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pPr>
      <w:r>
        <w:rPr>
          <w:rFonts w:ascii="Times New Roman" w:eastAsia="Times New Roman" w:hAnsi="Times New Roman" w:cs="Times New Roman"/>
          <w:lang w:val="en-GB"/>
        </w:rPr>
        <w:t>.</w:t>
      </w:r>
      <w:r>
        <w:rPr>
          <w:rFonts w:ascii="Times New Roman" w:eastAsia="Times New Roman" w:hAnsi="Times New Roman" w:cs="Times New Roman"/>
          <w:b/>
          <w:lang w:val="en-GB"/>
        </w:rPr>
        <w:t>Autonomy and responsibility:</w:t>
      </w:r>
      <w:r>
        <w:rPr>
          <w:lang w:val="en-GB"/>
        </w:rPr>
        <w:t xml:space="preserve"> </w:t>
      </w:r>
    </w:p>
    <w:p w:rsidR="00C70E5D" w:rsidRDefault="00C70E5D" w:rsidP="00980876">
      <w:pPr>
        <w:pStyle w:val="Listaszerbekezds"/>
        <w:numPr>
          <w:ilvl w:val="0"/>
          <w:numId w:val="17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19"/>
        <w:jc w:val="both"/>
        <w:rPr>
          <w:rFonts w:ascii="Times New Roman" w:eastAsia="Times New Roman" w:hAnsi="Times New Roman" w:cs="Times New Roman"/>
          <w:lang w:val="en-GB"/>
        </w:rPr>
      </w:pPr>
      <w:r>
        <w:rPr>
          <w:rFonts w:ascii="Times New Roman" w:eastAsia="Times New Roman" w:hAnsi="Times New Roman" w:cs="Times New Roman"/>
          <w:lang w:val="en-GB"/>
        </w:rPr>
        <w:t>He / she is aware of the impact of his / her decisions and activities on technical devices and financial discipline.</w:t>
      </w:r>
    </w:p>
    <w:p w:rsidR="00C70E5D" w:rsidRDefault="00C70E5D" w:rsidP="00980876">
      <w:pPr>
        <w:widowControl w:val="0"/>
        <w:numPr>
          <w:ilvl w:val="0"/>
          <w:numId w:val="338"/>
        </w:numPr>
        <w:spacing w:before="120" w:after="120" w:line="240" w:lineRule="auto"/>
        <w:ind w:left="643"/>
        <w:jc w:val="both"/>
        <w:rPr>
          <w:rFonts w:ascii="Times New Roman" w:eastAsia="Times New Roman" w:hAnsi="Times New Roman" w:cs="Times New Roman"/>
          <w:bCs/>
        </w:rPr>
      </w:pPr>
      <w:r>
        <w:rPr>
          <w:rFonts w:ascii="Times New Roman" w:eastAsia="Times New Roman" w:hAnsi="Times New Roman" w:cs="Times New Roman"/>
          <w:b/>
          <w:bCs/>
        </w:rPr>
        <w:t xml:space="preserve">Előtanulmányi követelmények: </w:t>
      </w:r>
      <w:r>
        <w:rPr>
          <w:rFonts w:ascii="Times New Roman" w:eastAsia="Times New Roman" w:hAnsi="Times New Roman" w:cs="Times New Roman"/>
          <w:bCs/>
        </w:rPr>
        <w:t>Közgazdaságtan II. (HKHPKA101)</w:t>
      </w:r>
    </w:p>
    <w:p w:rsidR="00C70E5D" w:rsidRDefault="00C70E5D" w:rsidP="00980876">
      <w:pPr>
        <w:widowControl w:val="0"/>
        <w:numPr>
          <w:ilvl w:val="0"/>
          <w:numId w:val="338"/>
        </w:numPr>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A tantárgy tananyagának leírása, tematika. Description of the subject, curriculum (magyarul, angolul - English):</w:t>
      </w:r>
    </w:p>
    <w:p w:rsidR="00C70E5D" w:rsidRDefault="00C70E5D" w:rsidP="00980876">
      <w:pPr>
        <w:widowControl w:val="0"/>
        <w:numPr>
          <w:ilvl w:val="1"/>
          <w:numId w:val="338"/>
        </w:numPr>
        <w:tabs>
          <w:tab w:val="left" w:pos="709"/>
          <w:tab w:val="left" w:pos="993"/>
        </w:tabs>
        <w:spacing w:before="120" w:after="120" w:line="240" w:lineRule="auto"/>
        <w:ind w:left="993" w:hanging="567"/>
        <w:jc w:val="both"/>
        <w:rPr>
          <w:rFonts w:ascii="Times New Roman" w:eastAsia="Times New Roman" w:hAnsi="Times New Roman" w:cs="Times New Roman"/>
          <w:i/>
          <w:kern w:val="2"/>
        </w:rPr>
      </w:pPr>
      <w:r>
        <w:rPr>
          <w:rFonts w:ascii="Times New Roman" w:eastAsia="Times New Roman" w:hAnsi="Times New Roman" w:cs="Times New Roman"/>
          <w:b/>
        </w:rPr>
        <w:t xml:space="preserve"> </w:t>
      </w:r>
      <w:r>
        <w:rPr>
          <w:rFonts w:ascii="Times New Roman" w:eastAsia="Times New Roman" w:hAnsi="Times New Roman" w:cs="Times New Roman"/>
          <w:kern w:val="2"/>
        </w:rPr>
        <w:t xml:space="preserve">A pénz kialakulásának folyamata, a pénz funkciói. A pénzhelyettesek megjelenése. A modern pénz lényege, teremtésének módjai, pénzmultiplikátor. </w:t>
      </w:r>
      <w:r>
        <w:rPr>
          <w:rFonts w:ascii="Times New Roman" w:eastAsia="Times New Roman" w:hAnsi="Times New Roman" w:cs="Times New Roman"/>
          <w:i/>
          <w:kern w:val="2"/>
        </w:rPr>
        <w:t>(The process of money formation, the functions of money. Appearance of cash deputies. The essence of modern money, ways to create it, money multiplier.)</w:t>
      </w:r>
    </w:p>
    <w:p w:rsidR="00C70E5D" w:rsidRDefault="00C70E5D" w:rsidP="00980876">
      <w:pPr>
        <w:widowControl w:val="0"/>
        <w:numPr>
          <w:ilvl w:val="1"/>
          <w:numId w:val="338"/>
        </w:numPr>
        <w:tabs>
          <w:tab w:val="left" w:pos="709"/>
          <w:tab w:val="left" w:pos="993"/>
        </w:tabs>
        <w:spacing w:before="120" w:after="120" w:line="240" w:lineRule="auto"/>
        <w:ind w:left="993" w:hanging="567"/>
        <w:jc w:val="both"/>
        <w:rPr>
          <w:rFonts w:ascii="Times New Roman" w:eastAsia="Times New Roman" w:hAnsi="Times New Roman" w:cs="Times New Roman"/>
          <w:i/>
          <w:kern w:val="2"/>
        </w:rPr>
      </w:pPr>
      <w:r>
        <w:rPr>
          <w:rFonts w:ascii="Times New Roman" w:eastAsia="Times New Roman" w:hAnsi="Times New Roman" w:cs="Times New Roman"/>
          <w:kern w:val="2"/>
        </w:rPr>
        <w:t xml:space="preserve">A pénzügyi politika és a pénzügyi rendszer. Monetáris, fiskális és devizapolitika. Az infláció jellemzői és hatásai. Pénzügyi piacok, pénzügyi közvetítő intézmények Bankrendszerek, banki műveletek, nemzetközi bankári tevékenység. </w:t>
      </w:r>
      <w:r>
        <w:rPr>
          <w:rFonts w:ascii="Times New Roman" w:eastAsia="Times New Roman" w:hAnsi="Times New Roman" w:cs="Times New Roman"/>
          <w:i/>
          <w:kern w:val="2"/>
        </w:rPr>
        <w:t>(Financial policy and the financial system. Monetary, fiscal and foreign exchange policies. Characteristics and effects of inflation. Financial markets, financial intermediaries Banking systems, banking, international banking.)</w:t>
      </w:r>
    </w:p>
    <w:p w:rsidR="00C70E5D" w:rsidRDefault="00C70E5D" w:rsidP="00980876">
      <w:pPr>
        <w:widowControl w:val="0"/>
        <w:numPr>
          <w:ilvl w:val="1"/>
          <w:numId w:val="338"/>
        </w:numPr>
        <w:tabs>
          <w:tab w:val="left" w:pos="709"/>
          <w:tab w:val="left" w:pos="993"/>
        </w:tabs>
        <w:spacing w:before="120" w:after="120" w:line="240" w:lineRule="auto"/>
        <w:ind w:left="993" w:hanging="567"/>
        <w:jc w:val="both"/>
        <w:rPr>
          <w:rFonts w:ascii="Times New Roman" w:eastAsia="Times New Roman" w:hAnsi="Times New Roman" w:cs="Times New Roman"/>
          <w:i/>
          <w:kern w:val="2"/>
        </w:rPr>
      </w:pPr>
      <w:r>
        <w:rPr>
          <w:rFonts w:ascii="Times New Roman" w:eastAsia="Times New Roman" w:hAnsi="Times New Roman" w:cs="Times New Roman"/>
          <w:kern w:val="2"/>
        </w:rPr>
        <w:t xml:space="preserve">Értékpapírok, értékpapír piaci műveletek: az értékpapírok típusai, a tőzsde működése, azonnali és határidős ügyletek, befektetések értékelése. </w:t>
      </w:r>
      <w:r>
        <w:rPr>
          <w:rFonts w:ascii="Times New Roman" w:eastAsia="Times New Roman" w:hAnsi="Times New Roman" w:cs="Times New Roman"/>
          <w:i/>
          <w:kern w:val="2"/>
        </w:rPr>
        <w:t>(Stock exchange operation, spot and futures transactions, investment valuation)</w:t>
      </w:r>
    </w:p>
    <w:p w:rsidR="00C70E5D" w:rsidRDefault="00C70E5D" w:rsidP="00980876">
      <w:pPr>
        <w:widowControl w:val="0"/>
        <w:numPr>
          <w:ilvl w:val="1"/>
          <w:numId w:val="338"/>
        </w:numPr>
        <w:tabs>
          <w:tab w:val="left" w:pos="709"/>
          <w:tab w:val="left" w:pos="993"/>
        </w:tabs>
        <w:spacing w:before="120" w:after="120" w:line="240" w:lineRule="auto"/>
        <w:ind w:left="993" w:hanging="567"/>
        <w:jc w:val="both"/>
        <w:rPr>
          <w:rFonts w:ascii="Times New Roman" w:eastAsia="Times New Roman" w:hAnsi="Times New Roman" w:cs="Times New Roman"/>
          <w:i/>
          <w:kern w:val="2"/>
        </w:rPr>
      </w:pPr>
      <w:r>
        <w:rPr>
          <w:rFonts w:ascii="Times New Roman" w:eastAsia="Times New Roman" w:hAnsi="Times New Roman" w:cs="Times New Roman"/>
          <w:kern w:val="2"/>
        </w:rPr>
        <w:t xml:space="preserve">Nemzetközi pénzügyi kapcsolatok: konvertibilitás, devizaárfolyam, paritás, árfolyam elméletek, , devizaügyletek, devizarendszerek, nemzetközi pénzügyi rendszer és intézményei, az Európai Unió monetáris rendszere, uniós konvergencia. </w:t>
      </w:r>
      <w:r>
        <w:rPr>
          <w:rFonts w:ascii="Times New Roman" w:eastAsia="Times New Roman" w:hAnsi="Times New Roman" w:cs="Times New Roman"/>
          <w:i/>
          <w:kern w:val="2"/>
        </w:rPr>
        <w:t>(International financial relations: convertibility, exchange rate, parity, exchange rate theories,, foreign exchange transactions, foreign exchange systems, international financial system and institutions, European Union monetary system, EU convergence)</w:t>
      </w:r>
    </w:p>
    <w:p w:rsidR="00C70E5D" w:rsidRDefault="00C70E5D" w:rsidP="00980876">
      <w:pPr>
        <w:pStyle w:val="Listaszerbekezds"/>
        <w:widowControl w:val="0"/>
        <w:numPr>
          <w:ilvl w:val="0"/>
          <w:numId w:val="338"/>
        </w:numPr>
        <w:tabs>
          <w:tab w:val="left" w:pos="993"/>
        </w:tabs>
        <w:spacing w:before="120" w:after="120" w:line="240" w:lineRule="auto"/>
        <w:ind w:left="643"/>
        <w:jc w:val="both"/>
        <w:rPr>
          <w:rFonts w:ascii="Times New Roman" w:eastAsia="Times New Roman" w:hAnsi="Times New Roman" w:cs="Times New Roman"/>
          <w:bCs/>
        </w:rPr>
      </w:pPr>
      <w:r>
        <w:rPr>
          <w:rFonts w:ascii="Times New Roman" w:eastAsia="Times New Roman" w:hAnsi="Times New Roman" w:cs="Times New Roman"/>
          <w:b/>
          <w:bCs/>
        </w:rPr>
        <w:t xml:space="preserve">A tantárgy meghirdetésének gyakorisága/a tantervben történő félévi elhelyezkedése: </w:t>
      </w:r>
      <w:r>
        <w:rPr>
          <w:rFonts w:ascii="Times New Roman" w:eastAsia="Times New Roman" w:hAnsi="Times New Roman" w:cs="Times New Roman"/>
          <w:bCs/>
        </w:rPr>
        <w:t>a tanév 1. (őszi) félévében.</w:t>
      </w:r>
    </w:p>
    <w:p w:rsidR="00C70E5D" w:rsidRDefault="00C70E5D" w:rsidP="00980876">
      <w:pPr>
        <w:widowControl w:val="0"/>
        <w:numPr>
          <w:ilvl w:val="0"/>
          <w:numId w:val="338"/>
        </w:numPr>
        <w:spacing w:before="120" w:after="120" w:line="240" w:lineRule="auto"/>
        <w:ind w:left="643"/>
        <w:jc w:val="both"/>
        <w:rPr>
          <w:rFonts w:ascii="Times New Roman" w:eastAsia="Times New Roman" w:hAnsi="Times New Roman" w:cs="Times New Roman"/>
          <w:bCs/>
        </w:rPr>
      </w:pPr>
      <w:r>
        <w:rPr>
          <w:rFonts w:ascii="Times New Roman" w:eastAsia="Times New Roman" w:hAnsi="Times New Roman" w:cs="Times New Roman"/>
          <w:b/>
          <w:bCs/>
        </w:rPr>
        <w:t>A tanórákon való részvétel követelményei, az elfogadható hiányzások mértéke, a távolmaradás pótlásának lehetősége:</w:t>
      </w:r>
      <w:r>
        <w:rPr>
          <w:rFonts w:ascii="Times New Roman" w:eastAsia="Times New Roman" w:hAnsi="Times New Roman" w:cs="Times New Roman"/>
          <w:bCs/>
        </w:rPr>
        <w:t xml:space="preserve"> a tanórákon való jelenlét kötelező, az elfogadható és igazolt hiányzások száma maximum a tanórák 30%-áig terjedhet, az ismeretek pótlásáról a hallgató gondoskodik. A hiányzások elfogadható mértékének túllépése az aláírás megtagadását vonja maga után.</w:t>
      </w:r>
    </w:p>
    <w:p w:rsidR="00C70E5D" w:rsidRDefault="00C70E5D" w:rsidP="00980876">
      <w:pPr>
        <w:widowControl w:val="0"/>
        <w:numPr>
          <w:ilvl w:val="0"/>
          <w:numId w:val="338"/>
        </w:numPr>
        <w:spacing w:before="120" w:after="120" w:line="240" w:lineRule="auto"/>
        <w:jc w:val="both"/>
        <w:rPr>
          <w:rFonts w:ascii="Times New Roman" w:eastAsia="Times New Roman" w:hAnsi="Times New Roman" w:cs="Times New Roman"/>
        </w:rPr>
      </w:pPr>
      <w:r>
        <w:rPr>
          <w:rFonts w:ascii="Times New Roman" w:eastAsia="Times New Roman" w:hAnsi="Times New Roman" w:cs="Times New Roman"/>
          <w:b/>
        </w:rPr>
        <w:t>Félévközi feladatok, ismeretek ellenőrzésének rendje:</w:t>
      </w:r>
      <w:r>
        <w:rPr>
          <w:rFonts w:ascii="Times New Roman" w:eastAsia="Times New Roman" w:hAnsi="Times New Roman" w:cs="Times New Roman"/>
        </w:rPr>
        <w:t xml:space="preserve"> A hallgató a félév során egy az </w:t>
      </w:r>
      <w:r>
        <w:rPr>
          <w:rFonts w:ascii="Times New Roman" w:eastAsia="Times New Roman" w:hAnsi="Times New Roman" w:cs="Times New Roman"/>
        </w:rPr>
        <w:lastRenderedPageBreak/>
        <w:t xml:space="preserve">oktató által meghatározott téma önálló feldolgozását követően, abból előadást tart. A hallgató a félév egy zárthelyi dolgozatot ír. A zárthelyi dolgozatok értékelése ötfokozatú skála alapján történik (50 %-tól elégséges, 65 %-tól közepes, 75-tól % jó, 85 %-tól jeles). </w:t>
      </w:r>
    </w:p>
    <w:p w:rsidR="00C70E5D" w:rsidRDefault="00C70E5D" w:rsidP="00C70E5D">
      <w:pPr>
        <w:widowControl w:val="0"/>
        <w:spacing w:before="120" w:after="120" w:line="240" w:lineRule="auto"/>
        <w:ind w:left="720"/>
        <w:jc w:val="both"/>
        <w:rPr>
          <w:rFonts w:ascii="Times New Roman" w:eastAsia="Times New Roman" w:hAnsi="Times New Roman" w:cs="Times New Roman"/>
          <w:bCs/>
        </w:rPr>
      </w:pPr>
      <w:r>
        <w:rPr>
          <w:rFonts w:ascii="Times New Roman" w:eastAsia="Times New Roman" w:hAnsi="Times New Roman" w:cs="Times New Roman"/>
        </w:rPr>
        <w:t>A zárthelyi dolgozat egyszer pótolható, illetve sikertelensége esetén javítható.</w:t>
      </w:r>
    </w:p>
    <w:p w:rsidR="00C70E5D" w:rsidRDefault="00C70E5D" w:rsidP="00980876">
      <w:pPr>
        <w:widowControl w:val="0"/>
        <w:numPr>
          <w:ilvl w:val="0"/>
          <w:numId w:val="338"/>
        </w:numPr>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Az értékelés, az aláírás és a kreditek megszerzésének pontos feltételei: </w:t>
      </w:r>
    </w:p>
    <w:p w:rsidR="00C70E5D" w:rsidRDefault="00C70E5D" w:rsidP="00980876">
      <w:pPr>
        <w:widowControl w:val="0"/>
        <w:numPr>
          <w:ilvl w:val="1"/>
          <w:numId w:val="338"/>
        </w:numPr>
        <w:tabs>
          <w:tab w:val="left" w:pos="709"/>
          <w:tab w:val="left" w:pos="993"/>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Az aláírás megszerzésének feltételei:</w:t>
      </w:r>
      <w:r>
        <w:rPr>
          <w:rFonts w:ascii="Times New Roman" w:eastAsia="Times New Roman" w:hAnsi="Times New Roman" w:cs="Times New Roman"/>
        </w:rPr>
        <w:t xml:space="preserve"> Az aláírás megszerzésének feltétele a 14. pontban meghatározott arányú részvétel a foglalkozásokon és a 15. pontban meghatározott félévközi feladatok legalább elégséges teljesítése.</w:t>
      </w:r>
    </w:p>
    <w:p w:rsidR="00C70E5D" w:rsidRDefault="00C70E5D" w:rsidP="00980876">
      <w:pPr>
        <w:widowControl w:val="0"/>
        <w:numPr>
          <w:ilvl w:val="1"/>
          <w:numId w:val="338"/>
        </w:numPr>
        <w:tabs>
          <w:tab w:val="left" w:pos="709"/>
          <w:tab w:val="left" w:pos="993"/>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Az értékelés:</w:t>
      </w:r>
      <w:r>
        <w:rPr>
          <w:rFonts w:ascii="Times New Roman" w:eastAsia="Times New Roman" w:hAnsi="Times New Roman" w:cs="Times New Roman"/>
        </w:rPr>
        <w:t xml:space="preserve"> Kollokvium– írásbeli vizsga. A Tanszék beszámoló felkészülési kérdéseket ad ki. A vizsga tartalmát az előadáson elhangzottak és az alább felsorolt kötelező és ajánlott irodalmak anyagai képezik. A vizsgadolgozat értékelése: 0-50% - elégtelen, 51-70% - elégséges, 71-80% - közepe, 81-90% - jó, 91-100% - jeles</w:t>
      </w:r>
    </w:p>
    <w:p w:rsidR="00C70E5D" w:rsidRDefault="00C70E5D" w:rsidP="00980876">
      <w:pPr>
        <w:widowControl w:val="0"/>
        <w:numPr>
          <w:ilvl w:val="1"/>
          <w:numId w:val="338"/>
        </w:numPr>
        <w:tabs>
          <w:tab w:val="left" w:pos="709"/>
          <w:tab w:val="left" w:pos="993"/>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 kreditek megszerzésének feltételei:</w:t>
      </w:r>
      <w:r>
        <w:rPr>
          <w:rFonts w:ascii="Times New Roman" w:eastAsia="Times New Roman" w:hAnsi="Times New Roman" w:cs="Times New Roman"/>
        </w:rPr>
        <w:t xml:space="preserve"> </w:t>
      </w:r>
    </w:p>
    <w:p w:rsidR="00C70E5D" w:rsidRDefault="00C70E5D" w:rsidP="00C70E5D">
      <w:pPr>
        <w:widowControl w:val="0"/>
        <w:tabs>
          <w:tab w:val="left" w:pos="993"/>
        </w:tabs>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A kreditek megszerzésének feltétele az aláírás megszerzése és legalább elégséges kollokviumi jegy.</w:t>
      </w:r>
    </w:p>
    <w:p w:rsidR="00C70E5D" w:rsidRDefault="00C70E5D" w:rsidP="00980876">
      <w:pPr>
        <w:widowControl w:val="0"/>
        <w:numPr>
          <w:ilvl w:val="0"/>
          <w:numId w:val="338"/>
        </w:numPr>
        <w:tabs>
          <w:tab w:val="num" w:pos="643"/>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Irodalomjegyzék:</w:t>
      </w:r>
    </w:p>
    <w:p w:rsidR="00C70E5D" w:rsidRDefault="00C70E5D" w:rsidP="00980876">
      <w:pPr>
        <w:widowControl w:val="0"/>
        <w:numPr>
          <w:ilvl w:val="1"/>
          <w:numId w:val="338"/>
        </w:numPr>
        <w:tabs>
          <w:tab w:val="num" w:pos="715"/>
          <w:tab w:val="num" w:pos="2069"/>
        </w:tabs>
        <w:spacing w:before="120" w:after="120" w:line="240" w:lineRule="auto"/>
        <w:ind w:left="993" w:hanging="709"/>
        <w:jc w:val="both"/>
        <w:rPr>
          <w:rFonts w:ascii="Times New Roman" w:eastAsia="Times New Roman" w:hAnsi="Times New Roman" w:cs="Times New Roman"/>
          <w:b/>
          <w:bCs/>
        </w:rPr>
      </w:pPr>
      <w:r>
        <w:rPr>
          <w:rFonts w:ascii="Times New Roman" w:eastAsia="Times New Roman" w:hAnsi="Times New Roman" w:cs="Times New Roman"/>
          <w:b/>
          <w:bCs/>
        </w:rPr>
        <w:t>Kötelező irodalom:</w:t>
      </w:r>
    </w:p>
    <w:p w:rsidR="00300393" w:rsidRDefault="00300393" w:rsidP="00980876">
      <w:pPr>
        <w:pStyle w:val="Listaszerbekezds"/>
        <w:widowControl w:val="0"/>
        <w:numPr>
          <w:ilvl w:val="2"/>
          <w:numId w:val="340"/>
        </w:numPr>
        <w:tabs>
          <w:tab w:val="left" w:pos="993"/>
        </w:tabs>
        <w:spacing w:before="120" w:after="120" w:line="240" w:lineRule="auto"/>
        <w:jc w:val="both"/>
        <w:rPr>
          <w:rFonts w:ascii="Times New Roman" w:eastAsia="Times New Roman" w:hAnsi="Times New Roman" w:cs="Times New Roman"/>
        </w:rPr>
      </w:pPr>
      <w:r>
        <w:rPr>
          <w:rFonts w:ascii="Times New Roman" w:eastAsia="Times New Roman" w:hAnsi="Times New Roman" w:cs="Times New Roman"/>
        </w:rPr>
        <w:t xml:space="preserve">Dr. Madár Péter (szerk): Pénzügyek alapjai (UNIÓ Lap- és Könyvkiadó, 2007) </w:t>
      </w:r>
    </w:p>
    <w:p w:rsidR="00C70E5D" w:rsidRDefault="00C70E5D" w:rsidP="00980876">
      <w:pPr>
        <w:pStyle w:val="Listaszerbekezds"/>
        <w:widowControl w:val="0"/>
        <w:numPr>
          <w:ilvl w:val="2"/>
          <w:numId w:val="340"/>
        </w:numPr>
        <w:tabs>
          <w:tab w:val="left" w:pos="993"/>
        </w:tabs>
        <w:spacing w:before="120" w:after="120" w:line="240" w:lineRule="auto"/>
        <w:jc w:val="both"/>
        <w:rPr>
          <w:rFonts w:ascii="Times New Roman" w:eastAsia="Times New Roman" w:hAnsi="Times New Roman" w:cs="Times New Roman"/>
        </w:rPr>
      </w:pPr>
      <w:r>
        <w:rPr>
          <w:rFonts w:ascii="Times New Roman" w:eastAsia="Times New Roman" w:hAnsi="Times New Roman" w:cs="Times New Roman"/>
        </w:rPr>
        <w:t>Magyar Gábor: Pénzügyi navigátor (szerzői kiadás, ISBN: 9632168410)</w:t>
      </w:r>
    </w:p>
    <w:p w:rsidR="00C70E5D" w:rsidRDefault="00C70E5D" w:rsidP="00980876">
      <w:pPr>
        <w:widowControl w:val="0"/>
        <w:numPr>
          <w:ilvl w:val="1"/>
          <w:numId w:val="338"/>
        </w:numPr>
        <w:tabs>
          <w:tab w:val="num" w:pos="715"/>
          <w:tab w:val="num" w:pos="2069"/>
        </w:tabs>
        <w:spacing w:before="120" w:after="120" w:line="240" w:lineRule="auto"/>
        <w:ind w:left="993" w:hanging="709"/>
        <w:jc w:val="both"/>
        <w:rPr>
          <w:rFonts w:ascii="Times New Roman" w:eastAsia="Times New Roman" w:hAnsi="Times New Roman" w:cs="Times New Roman"/>
          <w:b/>
          <w:bCs/>
        </w:rPr>
      </w:pPr>
      <w:r>
        <w:rPr>
          <w:rFonts w:ascii="Times New Roman" w:eastAsia="Times New Roman" w:hAnsi="Times New Roman" w:cs="Times New Roman"/>
          <w:b/>
          <w:bCs/>
        </w:rPr>
        <w:t>Ajánlott irodalom:</w:t>
      </w:r>
    </w:p>
    <w:p w:rsidR="00C70E5D" w:rsidRPr="0043570D" w:rsidRDefault="00C70E5D" w:rsidP="00C70E5D">
      <w:pPr>
        <w:widowControl w:val="0"/>
        <w:tabs>
          <w:tab w:val="left" w:pos="993"/>
        </w:tabs>
        <w:spacing w:before="120" w:after="120" w:line="240" w:lineRule="auto"/>
        <w:ind w:left="993"/>
        <w:jc w:val="both"/>
        <w:rPr>
          <w:rFonts w:ascii="Times New Roman" w:eastAsia="Times New Roman" w:hAnsi="Times New Roman" w:cs="Times New Roman"/>
        </w:rPr>
      </w:pPr>
      <w:r>
        <w:rPr>
          <w:rFonts w:ascii="Times New Roman" w:eastAsia="Times New Roman" w:hAnsi="Times New Roman" w:cs="Times New Roman"/>
        </w:rPr>
        <w:t>-</w:t>
      </w:r>
    </w:p>
    <w:p w:rsidR="00C70E5D" w:rsidRDefault="00C70E5D" w:rsidP="00C70E5D">
      <w:pPr>
        <w:widowControl w:val="0"/>
        <w:spacing w:before="120" w:after="120" w:line="240" w:lineRule="auto"/>
        <w:jc w:val="both"/>
        <w:rPr>
          <w:rFonts w:ascii="Times New Roman" w:eastAsia="Times New Roman" w:hAnsi="Times New Roman" w:cs="Times New Roman"/>
          <w:bCs/>
        </w:rPr>
      </w:pPr>
      <w:r>
        <w:rPr>
          <w:rFonts w:ascii="Times New Roman" w:eastAsia="Times New Roman" w:hAnsi="Times New Roman" w:cs="Times New Roman"/>
          <w:bCs/>
        </w:rPr>
        <w:t>Budapest, 2020.02.20.</w:t>
      </w:r>
    </w:p>
    <w:p w:rsidR="00C70E5D" w:rsidRDefault="00C70E5D" w:rsidP="00C70E5D">
      <w:pPr>
        <w:widowControl w:val="0"/>
        <w:spacing w:before="120" w:after="120" w:line="240" w:lineRule="auto"/>
        <w:jc w:val="both"/>
        <w:rPr>
          <w:rFonts w:ascii="Times New Roman" w:eastAsia="Times New Roman" w:hAnsi="Times New Roman" w:cs="Times New Roman"/>
          <w:bCs/>
        </w:rPr>
      </w:pPr>
    </w:p>
    <w:p w:rsidR="00C70E5D" w:rsidRPr="0043570D" w:rsidRDefault="00C70E5D" w:rsidP="00C70E5D">
      <w:pPr>
        <w:widowControl w:val="0"/>
        <w:spacing w:after="0" w:line="240" w:lineRule="auto"/>
        <w:ind w:left="5664" w:firstLine="708"/>
        <w:jc w:val="center"/>
        <w:rPr>
          <w:rFonts w:ascii="Times New Roman" w:eastAsia="Times New Roman" w:hAnsi="Times New Roman" w:cs="Times New Roman"/>
          <w:b/>
          <w:bCs/>
        </w:rPr>
      </w:pPr>
      <w:r w:rsidRPr="0043570D">
        <w:rPr>
          <w:rFonts w:ascii="Times New Roman" w:eastAsia="Times New Roman" w:hAnsi="Times New Roman" w:cs="Times New Roman"/>
          <w:b/>
          <w:bCs/>
        </w:rPr>
        <w:t>Dr. Nyikos Györgyi</w:t>
      </w:r>
    </w:p>
    <w:p w:rsidR="00C70E5D" w:rsidRDefault="00C70E5D" w:rsidP="00C70E5D">
      <w:pPr>
        <w:widowControl w:val="0"/>
        <w:spacing w:after="0" w:line="240" w:lineRule="auto"/>
        <w:ind w:left="5664" w:firstLine="708"/>
        <w:jc w:val="center"/>
        <w:rPr>
          <w:rFonts w:ascii="Times New Roman" w:eastAsia="Times New Roman" w:hAnsi="Times New Roman" w:cs="Times New Roman"/>
          <w:bCs/>
        </w:rPr>
      </w:pPr>
      <w:r>
        <w:rPr>
          <w:rFonts w:ascii="Times New Roman" w:eastAsia="Times New Roman" w:hAnsi="Times New Roman" w:cs="Times New Roman"/>
          <w:bCs/>
        </w:rPr>
        <w:t>egyetemi docens sk.</w:t>
      </w:r>
    </w:p>
    <w:p w:rsidR="00C70E5D" w:rsidRDefault="00C70E5D" w:rsidP="00C70E5D">
      <w:pPr>
        <w:widowControl w:val="0"/>
        <w:spacing w:before="120" w:after="120" w:line="240" w:lineRule="auto"/>
        <w:jc w:val="right"/>
        <w:rPr>
          <w:rFonts w:ascii="Times New Roman" w:eastAsia="Times New Roman" w:hAnsi="Times New Roman" w:cs="Times New Roman"/>
          <w:bCs/>
        </w:rPr>
      </w:pPr>
    </w:p>
    <w:p w:rsidR="00C70E5D" w:rsidRDefault="00C70E5D" w:rsidP="00C70E5D">
      <w:pPr>
        <w:spacing w:after="200" w:line="276" w:lineRule="auto"/>
        <w:rPr>
          <w:rFonts w:ascii="Times New Roman" w:hAnsi="Times New Roman" w:cs="Times New Roman"/>
          <w:sz w:val="24"/>
        </w:rPr>
      </w:pPr>
    </w:p>
    <w:p w:rsidR="00C70E5D" w:rsidRDefault="00C70E5D" w:rsidP="00C70E5D">
      <w:pPr>
        <w:spacing w:after="200" w:line="276" w:lineRule="auto"/>
        <w:rPr>
          <w:rFonts w:ascii="Times New Roman" w:hAnsi="Times New Roman" w:cs="Times New Roman"/>
          <w:sz w:val="24"/>
        </w:rPr>
      </w:pPr>
      <w:r>
        <w:rPr>
          <w:rFonts w:ascii="Times New Roman" w:hAnsi="Times New Roman" w:cs="Times New Roman"/>
          <w:sz w:val="24"/>
        </w:rPr>
        <w:br w:type="page"/>
      </w:r>
    </w:p>
    <w:tbl>
      <w:tblPr>
        <w:tblW w:w="9072" w:type="dxa"/>
        <w:tblInd w:w="113" w:type="dxa"/>
        <w:tblLook w:val="01E0" w:firstRow="1" w:lastRow="1" w:firstColumn="1" w:lastColumn="1" w:noHBand="0" w:noVBand="0"/>
      </w:tblPr>
      <w:tblGrid>
        <w:gridCol w:w="4855"/>
        <w:gridCol w:w="1620"/>
        <w:gridCol w:w="2597"/>
      </w:tblGrid>
      <w:tr w:rsidR="00C70E5D" w:rsidTr="00C70E5D">
        <w:tc>
          <w:tcPr>
            <w:tcW w:w="4855" w:type="dxa"/>
            <w:tcBorders>
              <w:top w:val="nil"/>
              <w:left w:val="nil"/>
              <w:bottom w:val="single" w:sz="4" w:space="0" w:color="auto"/>
              <w:right w:val="nil"/>
            </w:tcBorders>
            <w:hideMark/>
          </w:tcPr>
          <w:p w:rsidR="00C70E5D" w:rsidRDefault="00C70E5D" w:rsidP="00C70E5D">
            <w:pPr>
              <w:spacing w:after="0" w:line="240" w:lineRule="auto"/>
              <w:jc w:val="center"/>
              <w:rPr>
                <w:rFonts w:ascii="Times New Roman" w:eastAsia="Times New Roman" w:hAnsi="Times New Roman" w:cs="Times New Roman"/>
                <w:b/>
                <w:smallCaps/>
                <w:lang w:eastAsia="hu-HU"/>
              </w:rPr>
            </w:pPr>
            <w:r>
              <w:rPr>
                <w:rFonts w:ascii="Times New Roman" w:eastAsia="Times New Roman" w:hAnsi="Times New Roman" w:cs="Times New Roman"/>
                <w:b/>
                <w:smallCaps/>
                <w:lang w:eastAsia="hu-HU"/>
              </w:rPr>
              <w:lastRenderedPageBreak/>
              <w:t>Nemzeti Közszolgálati Egyetem</w:t>
            </w:r>
          </w:p>
        </w:tc>
        <w:tc>
          <w:tcPr>
            <w:tcW w:w="1620" w:type="dxa"/>
          </w:tcPr>
          <w:p w:rsidR="00C70E5D" w:rsidRDefault="00C70E5D" w:rsidP="00C70E5D">
            <w:pPr>
              <w:spacing w:after="0" w:line="240" w:lineRule="auto"/>
              <w:jc w:val="both"/>
              <w:rPr>
                <w:rFonts w:ascii="Times New Roman" w:eastAsia="Times New Roman" w:hAnsi="Times New Roman" w:cs="Times New Roman"/>
                <w:lang w:eastAsia="hu-HU"/>
              </w:rPr>
            </w:pPr>
          </w:p>
        </w:tc>
        <w:tc>
          <w:tcPr>
            <w:tcW w:w="2597" w:type="dxa"/>
          </w:tcPr>
          <w:p w:rsidR="00C70E5D" w:rsidRDefault="00C70E5D" w:rsidP="00C70E5D">
            <w:pPr>
              <w:spacing w:after="0" w:line="240" w:lineRule="auto"/>
              <w:jc w:val="right"/>
              <w:rPr>
                <w:rFonts w:ascii="Times New Roman" w:eastAsia="Times New Roman" w:hAnsi="Times New Roman" w:cs="Times New Roman"/>
                <w:lang w:eastAsia="hu-HU"/>
              </w:rPr>
            </w:pPr>
          </w:p>
        </w:tc>
      </w:tr>
      <w:tr w:rsidR="00C70E5D" w:rsidTr="00C70E5D">
        <w:tc>
          <w:tcPr>
            <w:tcW w:w="4855" w:type="dxa"/>
            <w:tcBorders>
              <w:top w:val="single" w:sz="4" w:space="0" w:color="auto"/>
              <w:left w:val="nil"/>
              <w:bottom w:val="nil"/>
              <w:right w:val="nil"/>
            </w:tcBorders>
            <w:hideMark/>
          </w:tcPr>
          <w:p w:rsidR="00C70E5D" w:rsidRDefault="00C70E5D" w:rsidP="00C70E5D">
            <w:pPr>
              <w:spacing w:after="0" w:line="240" w:lineRule="auto"/>
              <w:jc w:val="center"/>
              <w:rPr>
                <w:rFonts w:ascii="Times New Roman" w:eastAsia="Times New Roman" w:hAnsi="Times New Roman" w:cs="Times New Roman"/>
                <w:b/>
                <w:lang w:eastAsia="hu-HU"/>
              </w:rPr>
            </w:pPr>
            <w:r>
              <w:rPr>
                <w:rFonts w:ascii="Times New Roman" w:eastAsia="Times New Roman" w:hAnsi="Times New Roman" w:cs="Times New Roman"/>
                <w:b/>
                <w:lang w:eastAsia="hu-HU"/>
              </w:rPr>
              <w:t>Hadtudományi és Honvédtisztképző Kar</w:t>
            </w:r>
          </w:p>
        </w:tc>
        <w:tc>
          <w:tcPr>
            <w:tcW w:w="1620" w:type="dxa"/>
          </w:tcPr>
          <w:p w:rsidR="00C70E5D" w:rsidRDefault="00C70E5D" w:rsidP="00C70E5D">
            <w:pPr>
              <w:spacing w:after="0" w:line="240" w:lineRule="auto"/>
              <w:jc w:val="both"/>
              <w:rPr>
                <w:rFonts w:ascii="Times New Roman" w:eastAsia="Times New Roman" w:hAnsi="Times New Roman" w:cs="Times New Roman"/>
                <w:lang w:eastAsia="hu-HU"/>
              </w:rPr>
            </w:pPr>
          </w:p>
        </w:tc>
        <w:tc>
          <w:tcPr>
            <w:tcW w:w="2597" w:type="dxa"/>
          </w:tcPr>
          <w:p w:rsidR="00C70E5D" w:rsidRDefault="00C70E5D" w:rsidP="00C70E5D">
            <w:pPr>
              <w:spacing w:after="0" w:line="240" w:lineRule="auto"/>
              <w:jc w:val="both"/>
              <w:rPr>
                <w:rFonts w:ascii="Times New Roman" w:eastAsia="Times New Roman" w:hAnsi="Times New Roman" w:cs="Times New Roman"/>
                <w:lang w:eastAsia="hu-HU"/>
              </w:rPr>
            </w:pPr>
          </w:p>
        </w:tc>
      </w:tr>
    </w:tbl>
    <w:p w:rsidR="00C70E5D" w:rsidRDefault="00C70E5D" w:rsidP="00C70E5D">
      <w:pPr>
        <w:widowControl w:val="0"/>
        <w:spacing w:before="120" w:after="120" w:line="240" w:lineRule="auto"/>
        <w:ind w:left="426" w:hanging="142"/>
        <w:jc w:val="center"/>
        <w:rPr>
          <w:rFonts w:ascii="Times New Roman" w:eastAsia="Times New Roman" w:hAnsi="Times New Roman" w:cs="Times New Roman"/>
          <w:b/>
          <w:bCs/>
        </w:rPr>
      </w:pPr>
    </w:p>
    <w:p w:rsidR="00C70E5D" w:rsidRDefault="00C70E5D" w:rsidP="00C70E5D">
      <w:pPr>
        <w:widowControl w:val="0"/>
        <w:spacing w:before="120" w:after="120" w:line="240" w:lineRule="auto"/>
        <w:ind w:left="426" w:hanging="142"/>
        <w:jc w:val="center"/>
        <w:rPr>
          <w:rFonts w:ascii="Times New Roman" w:eastAsia="Times New Roman" w:hAnsi="Times New Roman" w:cs="Times New Roman"/>
          <w:b/>
          <w:bCs/>
        </w:rPr>
      </w:pPr>
      <w:r>
        <w:rPr>
          <w:rFonts w:ascii="Times New Roman" w:eastAsia="Times New Roman" w:hAnsi="Times New Roman" w:cs="Times New Roman"/>
          <w:b/>
          <w:bCs/>
        </w:rPr>
        <w:t>TANTÁRGYI PROGRAM</w:t>
      </w:r>
    </w:p>
    <w:p w:rsidR="00C70E5D" w:rsidRDefault="00C70E5D" w:rsidP="00980876">
      <w:pPr>
        <w:widowControl w:val="0"/>
        <w:numPr>
          <w:ilvl w:val="0"/>
          <w:numId w:val="341"/>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 tantárgy kódja: </w:t>
      </w:r>
      <w:r>
        <w:rPr>
          <w:rFonts w:ascii="Times New Roman" w:hAnsi="Times New Roman" w:cs="Times New Roman"/>
          <w:bCs/>
        </w:rPr>
        <w:t>HKHPKA104</w:t>
      </w:r>
    </w:p>
    <w:p w:rsidR="00C70E5D" w:rsidRDefault="00C70E5D" w:rsidP="00980876">
      <w:pPr>
        <w:widowControl w:val="0"/>
        <w:numPr>
          <w:ilvl w:val="0"/>
          <w:numId w:val="341"/>
        </w:numPr>
        <w:spacing w:before="120" w:after="120" w:line="240" w:lineRule="auto"/>
        <w:ind w:left="426" w:hanging="142"/>
        <w:jc w:val="both"/>
        <w:rPr>
          <w:rFonts w:ascii="Times New Roman" w:eastAsia="Times New Roman" w:hAnsi="Times New Roman" w:cs="Times New Roman"/>
          <w:b/>
          <w:bCs/>
          <w:lang w:val="en-GB"/>
        </w:rPr>
      </w:pPr>
      <w:r>
        <w:rPr>
          <w:rFonts w:ascii="Times New Roman" w:eastAsia="Times New Roman" w:hAnsi="Times New Roman" w:cs="Times New Roman"/>
          <w:b/>
          <w:bCs/>
        </w:rPr>
        <w:t>A tantárgy megnevezése (magyarul):</w:t>
      </w:r>
      <w:r>
        <w:rPr>
          <w:rFonts w:ascii="Times New Roman" w:eastAsia="Times New Roman" w:hAnsi="Times New Roman" w:cs="Times New Roman"/>
          <w:bCs/>
        </w:rPr>
        <w:t xml:space="preserve"> </w:t>
      </w:r>
      <w:r>
        <w:rPr>
          <w:rFonts w:ascii="Times New Roman" w:hAnsi="Times New Roman" w:cs="Times New Roman"/>
          <w:bCs/>
        </w:rPr>
        <w:t>Gazdálkodás és menedzsment</w:t>
      </w:r>
    </w:p>
    <w:p w:rsidR="00C70E5D" w:rsidRDefault="00C70E5D" w:rsidP="00980876">
      <w:pPr>
        <w:widowControl w:val="0"/>
        <w:numPr>
          <w:ilvl w:val="0"/>
          <w:numId w:val="341"/>
        </w:numPr>
        <w:spacing w:before="120" w:after="120" w:line="240" w:lineRule="auto"/>
        <w:ind w:left="426" w:hanging="142"/>
        <w:jc w:val="both"/>
        <w:rPr>
          <w:rFonts w:ascii="Times New Roman" w:eastAsia="Times New Roman" w:hAnsi="Times New Roman" w:cs="Times New Roman"/>
          <w:b/>
          <w:bCs/>
          <w:lang w:val="en-GB"/>
        </w:rPr>
      </w:pPr>
      <w:r>
        <w:rPr>
          <w:rFonts w:ascii="Times New Roman" w:eastAsia="Times New Roman" w:hAnsi="Times New Roman" w:cs="Times New Roman"/>
          <w:b/>
          <w:bCs/>
        </w:rPr>
        <w:t xml:space="preserve">A tantárgy megnevezése (angolul): </w:t>
      </w:r>
      <w:r>
        <w:rPr>
          <w:rFonts w:ascii="Times New Roman" w:hAnsi="Times New Roman" w:cs="Times New Roman"/>
          <w:bCs/>
        </w:rPr>
        <w:t>Business Economics and Management</w:t>
      </w:r>
    </w:p>
    <w:p w:rsidR="00C70E5D" w:rsidRDefault="00C70E5D" w:rsidP="00980876">
      <w:pPr>
        <w:widowControl w:val="0"/>
        <w:numPr>
          <w:ilvl w:val="0"/>
          <w:numId w:val="341"/>
        </w:numPr>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Kreditérték és képzési karakter: </w:t>
      </w:r>
    </w:p>
    <w:p w:rsidR="00C70E5D" w:rsidRDefault="00C70E5D" w:rsidP="00980876">
      <w:pPr>
        <w:pStyle w:val="Listaszerbekezds"/>
        <w:widowControl w:val="0"/>
        <w:numPr>
          <w:ilvl w:val="1"/>
          <w:numId w:val="341"/>
        </w:numPr>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3 kredit</w:t>
      </w:r>
    </w:p>
    <w:p w:rsidR="00C70E5D" w:rsidRDefault="00C70E5D" w:rsidP="00980876">
      <w:pPr>
        <w:pStyle w:val="Listaszerbekezds"/>
        <w:widowControl w:val="0"/>
        <w:numPr>
          <w:ilvl w:val="1"/>
          <w:numId w:val="341"/>
        </w:numPr>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a tantárgy elméleti vagy gyakorlati jellegének mértéke: 34</w:t>
      </w:r>
      <w:r>
        <w:rPr>
          <w:rFonts w:ascii="Times New Roman" w:eastAsia="Times New Roman" w:hAnsi="Times New Roman" w:cs="Times New Roman"/>
          <w:b/>
          <w:bCs/>
        </w:rPr>
        <w:t xml:space="preserve"> </w:t>
      </w:r>
      <w:r>
        <w:rPr>
          <w:rFonts w:ascii="Times New Roman" w:eastAsia="Times New Roman" w:hAnsi="Times New Roman" w:cs="Times New Roman"/>
          <w:bCs/>
        </w:rPr>
        <w:t>% gyakorlat, 66 % elmélet</w:t>
      </w:r>
    </w:p>
    <w:p w:rsidR="00C70E5D" w:rsidRDefault="00C70E5D" w:rsidP="00980876">
      <w:pPr>
        <w:widowControl w:val="0"/>
        <w:numPr>
          <w:ilvl w:val="0"/>
          <w:numId w:val="341"/>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szak(ok), szakirányok/specializációk megnevezése (ahol oktatják):</w:t>
      </w:r>
      <w:r>
        <w:rPr>
          <w:rFonts w:ascii="Times New Roman" w:eastAsia="Times New Roman" w:hAnsi="Times New Roman" w:cs="Times New Roman"/>
          <w:bCs/>
        </w:rPr>
        <w:t xml:space="preserve"> </w:t>
      </w:r>
      <w:r>
        <w:rPr>
          <w:rFonts w:ascii="Times New Roman" w:hAnsi="Times New Roman" w:cs="Times New Roman"/>
          <w:bCs/>
        </w:rPr>
        <w:t>Katonai logisztika alapképzési (</w:t>
      </w:r>
      <w:r w:rsidR="00137B8A">
        <w:rPr>
          <w:rFonts w:ascii="Times New Roman" w:hAnsi="Times New Roman" w:cs="Times New Roman"/>
          <w:bCs/>
        </w:rPr>
        <w:t>BSc</w:t>
      </w:r>
      <w:r>
        <w:rPr>
          <w:rFonts w:ascii="Times New Roman" w:hAnsi="Times New Roman" w:cs="Times New Roman"/>
          <w:bCs/>
        </w:rPr>
        <w:t>) szak, Hadtáp specializáció, Katonai pénzügyi specializáció</w:t>
      </w:r>
    </w:p>
    <w:p w:rsidR="00C70E5D" w:rsidRDefault="00C70E5D" w:rsidP="00980876">
      <w:pPr>
        <w:widowControl w:val="0"/>
        <w:numPr>
          <w:ilvl w:val="0"/>
          <w:numId w:val="341"/>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Az oktatásért felelős oktatási szervezeti egység megnevezése: </w:t>
      </w:r>
      <w:r>
        <w:rPr>
          <w:rFonts w:ascii="Times New Roman" w:hAnsi="Times New Roman" w:cs="Times New Roman"/>
          <w:bCs/>
        </w:rPr>
        <w:t>NKE HHK Hadtáp, Pénzügyi és Katonai Közlekedési Tanszék</w:t>
      </w:r>
    </w:p>
    <w:p w:rsidR="00C70E5D" w:rsidRDefault="00C70E5D" w:rsidP="00980876">
      <w:pPr>
        <w:widowControl w:val="0"/>
        <w:numPr>
          <w:ilvl w:val="0"/>
          <w:numId w:val="341"/>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tantárgyfelelős oktató neve, beosztása, tudományos fokozata:</w:t>
      </w:r>
      <w:r>
        <w:rPr>
          <w:rFonts w:ascii="Times New Roman" w:eastAsia="Times New Roman" w:hAnsi="Times New Roman" w:cs="Times New Roman"/>
          <w:bCs/>
        </w:rPr>
        <w:t xml:space="preserve"> </w:t>
      </w:r>
      <w:r>
        <w:rPr>
          <w:rFonts w:ascii="Times New Roman" w:hAnsi="Times New Roman" w:cs="Times New Roman"/>
          <w:bCs/>
        </w:rPr>
        <w:t>Dr. Fülöp Katalin egyetemi docens (PhD)</w:t>
      </w:r>
    </w:p>
    <w:p w:rsidR="00C70E5D" w:rsidRDefault="00C70E5D" w:rsidP="00980876">
      <w:pPr>
        <w:widowControl w:val="0"/>
        <w:numPr>
          <w:ilvl w:val="0"/>
          <w:numId w:val="341"/>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tanórák száma és típusa</w:t>
      </w:r>
    </w:p>
    <w:p w:rsidR="00C70E5D" w:rsidRDefault="00C70E5D" w:rsidP="00980876">
      <w:pPr>
        <w:widowControl w:val="0"/>
        <w:numPr>
          <w:ilvl w:val="1"/>
          <w:numId w:val="341"/>
        </w:numPr>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össz óraszám/félév:</w:t>
      </w:r>
    </w:p>
    <w:p w:rsidR="00C70E5D" w:rsidRDefault="00C70E5D" w:rsidP="00980876">
      <w:pPr>
        <w:widowControl w:val="0"/>
        <w:numPr>
          <w:ilvl w:val="2"/>
          <w:numId w:val="341"/>
        </w:numPr>
        <w:spacing w:before="120" w:after="120" w:line="240" w:lineRule="auto"/>
        <w:ind w:left="993" w:hanging="425"/>
        <w:jc w:val="both"/>
        <w:rPr>
          <w:rFonts w:ascii="Times New Roman" w:eastAsia="Times New Roman" w:hAnsi="Times New Roman" w:cs="Times New Roman"/>
          <w:bCs/>
        </w:rPr>
      </w:pPr>
      <w:r>
        <w:rPr>
          <w:rFonts w:ascii="Times New Roman" w:eastAsia="Times New Roman" w:hAnsi="Times New Roman" w:cs="Times New Roman"/>
          <w:bCs/>
        </w:rPr>
        <w:t>nappali munkarend: 42 (28 EA + 2 SZ + 12 GY)</w:t>
      </w:r>
    </w:p>
    <w:p w:rsidR="00C70E5D" w:rsidRDefault="00C70E5D" w:rsidP="00980876">
      <w:pPr>
        <w:widowControl w:val="0"/>
        <w:numPr>
          <w:ilvl w:val="2"/>
          <w:numId w:val="341"/>
        </w:numPr>
        <w:spacing w:before="120" w:after="120" w:line="240" w:lineRule="auto"/>
        <w:ind w:left="993" w:hanging="425"/>
        <w:jc w:val="both"/>
        <w:rPr>
          <w:rFonts w:ascii="Times New Roman" w:eastAsia="Times New Roman" w:hAnsi="Times New Roman" w:cs="Times New Roman"/>
          <w:bCs/>
        </w:rPr>
      </w:pPr>
      <w:r>
        <w:rPr>
          <w:rFonts w:ascii="Times New Roman" w:eastAsia="Times New Roman" w:hAnsi="Times New Roman" w:cs="Times New Roman"/>
          <w:bCs/>
        </w:rPr>
        <w:t>levelező munkarend: -</w:t>
      </w:r>
    </w:p>
    <w:p w:rsidR="00C70E5D" w:rsidRDefault="00C70E5D" w:rsidP="00980876">
      <w:pPr>
        <w:widowControl w:val="0"/>
        <w:numPr>
          <w:ilvl w:val="1"/>
          <w:numId w:val="341"/>
        </w:numPr>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heti óraszám - nappali munkarend: 3</w:t>
      </w:r>
    </w:p>
    <w:p w:rsidR="00C70E5D" w:rsidRDefault="00C70E5D" w:rsidP="00980876">
      <w:pPr>
        <w:widowControl w:val="0"/>
        <w:numPr>
          <w:ilvl w:val="1"/>
          <w:numId w:val="341"/>
        </w:numPr>
        <w:spacing w:before="120" w:after="120" w:line="240" w:lineRule="auto"/>
        <w:ind w:left="851" w:hanging="425"/>
        <w:jc w:val="both"/>
        <w:rPr>
          <w:rFonts w:ascii="Times New Roman" w:eastAsia="Times New Roman" w:hAnsi="Times New Roman" w:cs="Times New Roman"/>
          <w:bCs/>
        </w:rPr>
      </w:pPr>
      <w:r>
        <w:rPr>
          <w:rFonts w:ascii="Times New Roman" w:hAnsi="Times New Roman" w:cs="Times New Roman"/>
        </w:rPr>
        <w:t>Az ismeret átadásában alkalmazandó további sajátos módok, jellemzők:</w:t>
      </w:r>
      <w:r>
        <w:rPr>
          <w:rFonts w:ascii="Times New Roman" w:hAnsi="Times New Roman" w:cs="Times New Roman"/>
          <w:i/>
        </w:rPr>
        <w:t xml:space="preserve"> –</w:t>
      </w:r>
    </w:p>
    <w:p w:rsidR="00C70E5D" w:rsidRDefault="00C70E5D" w:rsidP="00980876">
      <w:pPr>
        <w:widowControl w:val="0"/>
        <w:numPr>
          <w:ilvl w:val="0"/>
          <w:numId w:val="341"/>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tantárgy szakmai tartalma (magyarul):</w:t>
      </w:r>
      <w:r>
        <w:rPr>
          <w:rFonts w:ascii="Times New Roman" w:eastAsia="Times New Roman" w:hAnsi="Times New Roman" w:cs="Times New Roman"/>
          <w:bCs/>
        </w:rPr>
        <w:t xml:space="preserve"> </w:t>
      </w:r>
      <w:r>
        <w:rPr>
          <w:rFonts w:ascii="Times New Roman" w:hAnsi="Times New Roman" w:cs="Times New Roman"/>
          <w:bCs/>
        </w:rPr>
        <w:t>Vállalatok létrehozásának célja, a vállalati működés és gazdálkodás alapvető törvényszerűségei, a vállalati működés funkcionális területei.</w:t>
      </w:r>
    </w:p>
    <w:p w:rsidR="00C70E5D" w:rsidRDefault="00C70E5D" w:rsidP="00C70E5D">
      <w:pPr>
        <w:widowControl w:val="0"/>
        <w:spacing w:before="120" w:after="120" w:line="240" w:lineRule="auto"/>
        <w:ind w:left="426"/>
        <w:jc w:val="both"/>
        <w:rPr>
          <w:rFonts w:ascii="Times New Roman" w:eastAsia="Times New Roman" w:hAnsi="Times New Roman" w:cs="Times New Roman"/>
          <w:bCs/>
          <w:lang w:val="en-US"/>
        </w:rPr>
      </w:pPr>
      <w:r>
        <w:rPr>
          <w:rFonts w:ascii="Times New Roman" w:eastAsia="Times New Roman" w:hAnsi="Times New Roman" w:cs="Times New Roman"/>
          <w:b/>
          <w:bCs/>
        </w:rPr>
        <w:t>A tantárgy szakmai tartalma (angolul) (</w:t>
      </w:r>
      <w:r>
        <w:rPr>
          <w:rFonts w:ascii="Times New Roman" w:eastAsia="Times New Roman" w:hAnsi="Times New Roman" w:cs="Times New Roman"/>
          <w:b/>
          <w:bCs/>
          <w:lang w:val="en-US"/>
        </w:rPr>
        <w:t xml:space="preserve">Course description): </w:t>
      </w:r>
      <w:r>
        <w:rPr>
          <w:rFonts w:ascii="Times New Roman" w:eastAsia="Times New Roman" w:hAnsi="Times New Roman" w:cs="Times New Roman"/>
          <w:bCs/>
          <w:lang w:val="en-US" w:eastAsia="hu-HU"/>
        </w:rPr>
        <w:t>Goals and benefits of business entities, fundamental principles of business managing, functional branches of daily operation</w:t>
      </w:r>
      <w:r>
        <w:rPr>
          <w:rFonts w:ascii="Times New Roman" w:hAnsi="Times New Roman" w:cs="Times New Roman"/>
          <w:bCs/>
          <w:lang w:val="en-US"/>
        </w:rPr>
        <w:t xml:space="preserve">. </w:t>
      </w:r>
    </w:p>
    <w:p w:rsidR="00C70E5D" w:rsidRDefault="00C70E5D" w:rsidP="00980876">
      <w:pPr>
        <w:pStyle w:val="Listaszerbekezds"/>
        <w:widowControl w:val="0"/>
        <w:numPr>
          <w:ilvl w:val="0"/>
          <w:numId w:val="341"/>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Elérendő kompetenciák (magyarul):</w:t>
      </w:r>
      <w:r>
        <w:rPr>
          <w:rFonts w:ascii="Times New Roman" w:eastAsia="Times New Roman" w:hAnsi="Times New Roman" w:cs="Times New Roman"/>
          <w:bCs/>
        </w:rPr>
        <w:t xml:space="preserve"> </w:t>
      </w:r>
    </w:p>
    <w:p w:rsidR="00C70E5D" w:rsidRDefault="00C70E5D" w:rsidP="00C70E5D">
      <w:pPr>
        <w:widowControl w:val="0"/>
        <w:spacing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Tudása:</w:t>
      </w:r>
    </w:p>
    <w:p w:rsidR="00C70E5D" w:rsidRDefault="00C70E5D" w:rsidP="00980876">
      <w:pPr>
        <w:pStyle w:val="Listaszerbekezds"/>
        <w:widowControl w:val="0"/>
        <w:numPr>
          <w:ilvl w:val="0"/>
          <w:numId w:val="178"/>
        </w:numPr>
        <w:spacing w:after="0" w:line="240" w:lineRule="auto"/>
        <w:jc w:val="both"/>
        <w:rPr>
          <w:rFonts w:ascii="Times New Roman" w:eastAsia="Times New Roman" w:hAnsi="Times New Roman" w:cs="Times New Roman"/>
          <w:bCs/>
        </w:rPr>
      </w:pPr>
      <w:r>
        <w:rPr>
          <w:rFonts w:ascii="Times New Roman" w:hAnsi="Times New Roman" w:cs="Times New Roman"/>
        </w:rPr>
        <w:t>Ismeri a gazdaság és a piacok működésének alapjait</w:t>
      </w:r>
      <w:r>
        <w:rPr>
          <w:rFonts w:ascii="Times New Roman" w:eastAsia="Times New Roman" w:hAnsi="Times New Roman" w:cs="Times New Roman"/>
          <w:bCs/>
        </w:rPr>
        <w:t>.</w:t>
      </w:r>
    </w:p>
    <w:p w:rsidR="00C70E5D" w:rsidRDefault="00C70E5D" w:rsidP="00980876">
      <w:pPr>
        <w:pStyle w:val="Listaszerbekezds"/>
        <w:widowControl w:val="0"/>
        <w:numPr>
          <w:ilvl w:val="0"/>
          <w:numId w:val="178"/>
        </w:numPr>
        <w:spacing w:after="0" w:line="240" w:lineRule="auto"/>
        <w:jc w:val="both"/>
        <w:rPr>
          <w:rFonts w:ascii="Times New Roman" w:hAnsi="Times New Roman" w:cs="Times New Roman"/>
        </w:rPr>
      </w:pPr>
      <w:r>
        <w:rPr>
          <w:rFonts w:ascii="Times New Roman" w:hAnsi="Times New Roman" w:cs="Times New Roman"/>
        </w:rPr>
        <w:t>Rendelkezik alapvető vezetői ismeretekkel, tisztában van a vezetői kompetenciákkal és a beosztottak eredményes irányításához szükséges alapvető ismeretekkel, valamint a beosztottakat motiváló képességekkel.</w:t>
      </w:r>
    </w:p>
    <w:p w:rsidR="00C70E5D" w:rsidRDefault="00C70E5D" w:rsidP="00980876">
      <w:pPr>
        <w:pStyle w:val="Listaszerbekezds"/>
        <w:widowControl w:val="0"/>
        <w:numPr>
          <w:ilvl w:val="0"/>
          <w:numId w:val="178"/>
        </w:numPr>
        <w:spacing w:after="0" w:line="240" w:lineRule="auto"/>
        <w:jc w:val="both"/>
        <w:rPr>
          <w:rFonts w:ascii="Times New Roman" w:hAnsi="Times New Roman" w:cs="Times New Roman"/>
        </w:rPr>
      </w:pPr>
      <w:r>
        <w:rPr>
          <w:rFonts w:ascii="Times New Roman" w:hAnsi="Times New Roman" w:cs="Times New Roman"/>
        </w:rPr>
        <w:t>Mélyrehatóan ismeri a katonai logisztikai gazdálkodás feladatait, valamint annak eszköz- és információs rendszerét.</w:t>
      </w:r>
    </w:p>
    <w:p w:rsidR="00C70E5D" w:rsidRDefault="00C70E5D" w:rsidP="00C70E5D">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Képességei:</w:t>
      </w:r>
      <w:r>
        <w:rPr>
          <w:rFonts w:ascii="Times New Roman" w:eastAsia="Times New Roman" w:hAnsi="Times New Roman" w:cs="Times New Roman"/>
          <w:bCs/>
        </w:rPr>
        <w:t xml:space="preserve"> </w:t>
      </w:r>
    </w:p>
    <w:p w:rsidR="00C70E5D" w:rsidRDefault="00C70E5D" w:rsidP="00980876">
      <w:pPr>
        <w:pStyle w:val="Listaszerbekezds"/>
        <w:numPr>
          <w:ilvl w:val="0"/>
          <w:numId w:val="179"/>
        </w:numPr>
        <w:tabs>
          <w:tab w:val="left" w:pos="1134"/>
        </w:tabs>
        <w:autoSpaceDE w:val="0"/>
        <w:autoSpaceDN w:val="0"/>
        <w:adjustRightInd w:val="0"/>
        <w:spacing w:after="0" w:line="240" w:lineRule="auto"/>
        <w:ind w:left="1134" w:hanging="425"/>
        <w:jc w:val="both"/>
        <w:rPr>
          <w:rFonts w:ascii="Times New Roman" w:hAnsi="Times New Roman" w:cs="Times New Roman"/>
        </w:rPr>
      </w:pPr>
      <w:r>
        <w:rPr>
          <w:rFonts w:ascii="Times New Roman" w:hAnsi="Times New Roman" w:cs="Times New Roman"/>
        </w:rPr>
        <w:t>Képes valós és megbízható képet alkotni a gazdálkodó szervezetek vagyonáról, pénzügyi helyzetéről, gazdálkodásának szabályszerűségéről.</w:t>
      </w:r>
    </w:p>
    <w:p w:rsidR="00C70E5D" w:rsidRDefault="00C70E5D" w:rsidP="00980876">
      <w:pPr>
        <w:pStyle w:val="Listaszerbekezds"/>
        <w:widowControl w:val="0"/>
        <w:numPr>
          <w:ilvl w:val="0"/>
          <w:numId w:val="179"/>
        </w:numPr>
        <w:tabs>
          <w:tab w:val="left" w:pos="1134"/>
        </w:tabs>
        <w:spacing w:after="0" w:line="240" w:lineRule="auto"/>
        <w:ind w:left="1134" w:hanging="425"/>
        <w:jc w:val="both"/>
        <w:rPr>
          <w:rFonts w:ascii="Times New Roman" w:hAnsi="Times New Roman" w:cs="Times New Roman"/>
        </w:rPr>
      </w:pPr>
      <w:r>
        <w:rPr>
          <w:rFonts w:ascii="Times New Roman" w:hAnsi="Times New Roman" w:cs="Times New Roman"/>
        </w:rPr>
        <w:t>Képes pontos és precíz logisztikai, illetve gazdálkodási számvetéseket készíteni.</w:t>
      </w:r>
    </w:p>
    <w:p w:rsidR="00C70E5D" w:rsidRDefault="00C70E5D" w:rsidP="00980876">
      <w:pPr>
        <w:pStyle w:val="Listaszerbekezds"/>
        <w:numPr>
          <w:ilvl w:val="0"/>
          <w:numId w:val="179"/>
        </w:numPr>
        <w:tabs>
          <w:tab w:val="left" w:pos="1134"/>
        </w:tabs>
        <w:autoSpaceDE w:val="0"/>
        <w:autoSpaceDN w:val="0"/>
        <w:adjustRightInd w:val="0"/>
        <w:spacing w:after="0" w:line="240" w:lineRule="auto"/>
        <w:ind w:left="1134" w:hanging="425"/>
        <w:jc w:val="both"/>
        <w:rPr>
          <w:rFonts w:ascii="Times New Roman" w:hAnsi="Times New Roman" w:cs="Times New Roman"/>
        </w:rPr>
      </w:pPr>
      <w:r>
        <w:rPr>
          <w:rFonts w:ascii="Times New Roman" w:hAnsi="Times New Roman" w:cs="Times New Roman"/>
        </w:rPr>
        <w:t>Képes gazdálkodási feladatok alapszintű tervezésére, szervezésére, irányítására és az ebből adódó tevékenységek gazdasági elemzésinek végrehajtására.</w:t>
      </w:r>
    </w:p>
    <w:p w:rsidR="00C70E5D" w:rsidRDefault="00C70E5D" w:rsidP="00980876">
      <w:pPr>
        <w:pStyle w:val="Listaszerbekezds"/>
        <w:widowControl w:val="0"/>
        <w:numPr>
          <w:ilvl w:val="0"/>
          <w:numId w:val="179"/>
        </w:numPr>
        <w:tabs>
          <w:tab w:val="left" w:pos="1134"/>
        </w:tabs>
        <w:spacing w:after="0" w:line="240" w:lineRule="auto"/>
        <w:ind w:left="1134" w:hanging="425"/>
        <w:jc w:val="both"/>
        <w:rPr>
          <w:rFonts w:ascii="Times New Roman" w:hAnsi="Times New Roman" w:cs="Times New Roman"/>
        </w:rPr>
      </w:pPr>
      <w:r>
        <w:rPr>
          <w:rFonts w:ascii="Times New Roman" w:hAnsi="Times New Roman" w:cs="Times New Roman"/>
        </w:rPr>
        <w:t>Képes szakterületén újító és innovatív ötletek megfogalmazására.</w:t>
      </w:r>
    </w:p>
    <w:p w:rsidR="00C70E5D" w:rsidRDefault="00C70E5D" w:rsidP="00C70E5D">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Attitűdje:</w:t>
      </w:r>
      <w:r>
        <w:rPr>
          <w:rFonts w:ascii="Times New Roman" w:eastAsia="Times New Roman" w:hAnsi="Times New Roman" w:cs="Times New Roman"/>
          <w:bCs/>
        </w:rPr>
        <w:t xml:space="preserve"> </w:t>
      </w:r>
    </w:p>
    <w:p w:rsidR="00C70E5D" w:rsidRDefault="00C70E5D" w:rsidP="00980876">
      <w:pPr>
        <w:pStyle w:val="Listaszerbekezds"/>
        <w:numPr>
          <w:ilvl w:val="0"/>
          <w:numId w:val="180"/>
        </w:num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A minőségi szakmai munkavégzés iránt elkötelezett, azt a pontosságra való törekvés jellemzi.</w:t>
      </w:r>
    </w:p>
    <w:p w:rsidR="00C70E5D" w:rsidRDefault="00C70E5D" w:rsidP="00980876">
      <w:pPr>
        <w:pStyle w:val="Listaszerbekezds"/>
        <w:numPr>
          <w:ilvl w:val="0"/>
          <w:numId w:val="180"/>
        </w:num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lastRenderedPageBreak/>
        <w:t>Felismeri a rendszerszintű tevékenységben rejlő értékeket, törekszik a logisztikai tevékenységek közötti kapcsolatok értelmezésére.</w:t>
      </w:r>
    </w:p>
    <w:p w:rsidR="00C70E5D" w:rsidRDefault="00C70E5D" w:rsidP="00980876">
      <w:pPr>
        <w:pStyle w:val="Listaszerbekezds"/>
        <w:numPr>
          <w:ilvl w:val="0"/>
          <w:numId w:val="180"/>
        </w:num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Tevékenységét a hatékonyság központú szemlélet jellemzi.</w:t>
      </w:r>
    </w:p>
    <w:p w:rsidR="00C70E5D" w:rsidRDefault="00C70E5D" w:rsidP="00C70E5D">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Autonómiája és felelőssége:</w:t>
      </w:r>
    </w:p>
    <w:p w:rsidR="00C70E5D" w:rsidRDefault="00C70E5D" w:rsidP="00980876">
      <w:pPr>
        <w:pStyle w:val="Listaszerbekezds"/>
        <w:widowControl w:val="0"/>
        <w:numPr>
          <w:ilvl w:val="0"/>
          <w:numId w:val="181"/>
        </w:numPr>
        <w:spacing w:after="0" w:line="240" w:lineRule="auto"/>
        <w:jc w:val="both"/>
        <w:rPr>
          <w:rFonts w:ascii="Times New Roman" w:hAnsi="Times New Roman" w:cs="Times New Roman"/>
        </w:rPr>
      </w:pPr>
      <w:r>
        <w:rPr>
          <w:rFonts w:ascii="Times New Roman" w:hAnsi="Times New Roman" w:cs="Times New Roman"/>
        </w:rPr>
        <w:t>Felelősséget vállal számvetéseinek pontosságáért.</w:t>
      </w:r>
    </w:p>
    <w:p w:rsidR="00C70E5D" w:rsidRDefault="00C70E5D" w:rsidP="00C70E5D">
      <w:pPr>
        <w:widowControl w:val="0"/>
        <w:spacing w:before="120" w:after="0" w:line="240" w:lineRule="auto"/>
        <w:ind w:left="425"/>
        <w:jc w:val="both"/>
        <w:rPr>
          <w:rFonts w:ascii="Times New Roman" w:eastAsia="Times New Roman" w:hAnsi="Times New Roman" w:cs="Times New Roman"/>
          <w:b/>
          <w:bCs/>
          <w:lang w:val="en-US"/>
        </w:rPr>
      </w:pPr>
      <w:r>
        <w:rPr>
          <w:rFonts w:ascii="Times New Roman" w:eastAsia="Times New Roman" w:hAnsi="Times New Roman" w:cs="Times New Roman"/>
          <w:b/>
          <w:bCs/>
        </w:rPr>
        <w:t>Elérendő kompetenciák (angolul) (</w:t>
      </w:r>
      <w:r>
        <w:rPr>
          <w:rFonts w:ascii="Times New Roman" w:eastAsia="Times New Roman" w:hAnsi="Times New Roman" w:cs="Times New Roman"/>
          <w:b/>
          <w:bCs/>
          <w:lang w:val="en-US"/>
        </w:rPr>
        <w:t xml:space="preserve">Competences – English): </w:t>
      </w:r>
    </w:p>
    <w:p w:rsidR="00C70E5D" w:rsidRDefault="00C70E5D" w:rsidP="00C70E5D">
      <w:pPr>
        <w:widowControl w:val="0"/>
        <w:spacing w:before="120" w:after="0" w:line="240" w:lineRule="auto"/>
        <w:ind w:left="425"/>
        <w:jc w:val="both"/>
        <w:rPr>
          <w:rFonts w:ascii="Times New Roman" w:eastAsia="Times New Roman" w:hAnsi="Times New Roman" w:cs="Times New Roman"/>
          <w:lang w:val="en-GB"/>
        </w:rPr>
      </w:pPr>
      <w:r>
        <w:rPr>
          <w:rFonts w:ascii="Times New Roman" w:eastAsia="Times New Roman" w:hAnsi="Times New Roman" w:cs="Times New Roman"/>
          <w:b/>
          <w:lang w:val="en-GB"/>
        </w:rPr>
        <w:t>Knowledge</w:t>
      </w:r>
      <w:r>
        <w:rPr>
          <w:rFonts w:ascii="Times New Roman" w:eastAsia="Times New Roman" w:hAnsi="Times New Roman" w:cs="Times New Roman"/>
          <w:lang w:val="en-GB"/>
        </w:rPr>
        <w:t xml:space="preserve">: </w:t>
      </w:r>
    </w:p>
    <w:p w:rsidR="00C70E5D" w:rsidRDefault="00C70E5D" w:rsidP="00980876">
      <w:pPr>
        <w:pStyle w:val="Listaszerbekezds"/>
        <w:widowControl w:val="0"/>
        <w:numPr>
          <w:ilvl w:val="0"/>
          <w:numId w:val="181"/>
        </w:numPr>
        <w:spacing w:after="0" w:line="24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To be familiar with market mechanism and the principles of economics.</w:t>
      </w:r>
    </w:p>
    <w:p w:rsidR="00C70E5D" w:rsidRDefault="00C70E5D" w:rsidP="00980876">
      <w:pPr>
        <w:pStyle w:val="Listaszerbekezds"/>
        <w:widowControl w:val="0"/>
        <w:numPr>
          <w:ilvl w:val="0"/>
          <w:numId w:val="181"/>
        </w:numPr>
        <w:spacing w:after="0" w:line="24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To have basic leadership competence, and to be able to motivate his/her subordinates.</w:t>
      </w:r>
    </w:p>
    <w:p w:rsidR="00C70E5D" w:rsidRDefault="00C70E5D" w:rsidP="00980876">
      <w:pPr>
        <w:pStyle w:val="Listaszerbekezds"/>
        <w:widowControl w:val="0"/>
        <w:numPr>
          <w:ilvl w:val="0"/>
          <w:numId w:val="181"/>
        </w:numPr>
        <w:spacing w:after="0" w:line="24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To be deeply familiar with the tasks of military management and the used methods and information systems.</w:t>
      </w:r>
    </w:p>
    <w:p w:rsidR="00C70E5D" w:rsidRDefault="00C70E5D" w:rsidP="00C70E5D">
      <w:pPr>
        <w:widowControl w:val="0"/>
        <w:spacing w:before="120" w:after="0" w:line="240" w:lineRule="auto"/>
        <w:ind w:left="425"/>
        <w:jc w:val="both"/>
        <w:rPr>
          <w:rFonts w:ascii="Times New Roman" w:eastAsia="Times New Roman" w:hAnsi="Times New Roman" w:cs="Times New Roman"/>
          <w:lang w:val="en-GB"/>
        </w:rPr>
      </w:pPr>
      <w:r>
        <w:rPr>
          <w:rFonts w:ascii="Times New Roman" w:eastAsia="Times New Roman" w:hAnsi="Times New Roman" w:cs="Times New Roman"/>
          <w:b/>
          <w:lang w:val="en-GB"/>
        </w:rPr>
        <w:t>Capabilities</w:t>
      </w:r>
      <w:r>
        <w:rPr>
          <w:rFonts w:ascii="Times New Roman" w:eastAsia="Times New Roman" w:hAnsi="Times New Roman" w:cs="Times New Roman"/>
          <w:lang w:val="en-GB"/>
        </w:rPr>
        <w:t xml:space="preserve">: </w:t>
      </w:r>
    </w:p>
    <w:p w:rsidR="00C70E5D" w:rsidRDefault="00C70E5D" w:rsidP="00980876">
      <w:pPr>
        <w:pStyle w:val="Listaszerbekezds"/>
        <w:widowControl w:val="0"/>
        <w:numPr>
          <w:ilvl w:val="0"/>
          <w:numId w:val="182"/>
        </w:numPr>
        <w:spacing w:after="0" w:line="24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 xml:space="preserve">To be able to create a complete and reliable picture of the financial situation of government and non-government entities. </w:t>
      </w:r>
    </w:p>
    <w:p w:rsidR="00C70E5D" w:rsidRDefault="00C70E5D" w:rsidP="00980876">
      <w:pPr>
        <w:pStyle w:val="Listaszerbekezds"/>
        <w:widowControl w:val="0"/>
        <w:numPr>
          <w:ilvl w:val="0"/>
          <w:numId w:val="182"/>
        </w:numPr>
        <w:spacing w:after="0" w:line="24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To have ability to make accurate logistical and economic calculations.</w:t>
      </w:r>
    </w:p>
    <w:p w:rsidR="00C70E5D" w:rsidRDefault="00C70E5D" w:rsidP="00980876">
      <w:pPr>
        <w:pStyle w:val="Listaszerbekezds"/>
        <w:widowControl w:val="0"/>
        <w:numPr>
          <w:ilvl w:val="0"/>
          <w:numId w:val="182"/>
        </w:numPr>
        <w:spacing w:after="0" w:line="24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To be able to plan, organise, control and evaluate management and financial tasks.</w:t>
      </w:r>
    </w:p>
    <w:p w:rsidR="00C70E5D" w:rsidRDefault="00C70E5D" w:rsidP="00980876">
      <w:pPr>
        <w:pStyle w:val="Listaszerbekezds"/>
        <w:widowControl w:val="0"/>
        <w:numPr>
          <w:ilvl w:val="0"/>
          <w:numId w:val="182"/>
        </w:numPr>
        <w:spacing w:after="0" w:line="24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To have ability to create new, innovative ideas in his/her professional field.</w:t>
      </w:r>
    </w:p>
    <w:p w:rsidR="00C70E5D" w:rsidRDefault="00C70E5D" w:rsidP="00C70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425"/>
        <w:jc w:val="both"/>
        <w:rPr>
          <w:rFonts w:ascii="Times New Roman" w:eastAsia="Times New Roman" w:hAnsi="Times New Roman" w:cs="Times New Roman"/>
          <w:lang w:val="en-GB"/>
        </w:rPr>
      </w:pPr>
      <w:r>
        <w:rPr>
          <w:rFonts w:ascii="Times New Roman" w:eastAsia="Times New Roman" w:hAnsi="Times New Roman" w:cs="Times New Roman"/>
          <w:b/>
          <w:lang w:val="en-GB"/>
        </w:rPr>
        <w:t>Attitude:</w:t>
      </w:r>
      <w:r>
        <w:rPr>
          <w:rFonts w:ascii="Times New Roman" w:eastAsia="Times New Roman" w:hAnsi="Times New Roman" w:cs="Times New Roman"/>
          <w:lang w:val="en-GB"/>
        </w:rPr>
        <w:t xml:space="preserve"> </w:t>
      </w:r>
    </w:p>
    <w:p w:rsidR="00C70E5D" w:rsidRDefault="00C70E5D" w:rsidP="00980876">
      <w:pPr>
        <w:pStyle w:val="Listaszerbekezds"/>
        <w:numPr>
          <w:ilvl w:val="0"/>
          <w:numId w:val="183"/>
        </w:numPr>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To be committed to high standard work and accuracy.</w:t>
      </w:r>
    </w:p>
    <w:p w:rsidR="00C70E5D" w:rsidRDefault="00C70E5D" w:rsidP="00980876">
      <w:pPr>
        <w:pStyle w:val="Listaszerbekezds"/>
        <w:numPr>
          <w:ilvl w:val="0"/>
          <w:numId w:val="183"/>
        </w:numPr>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To be able to recognize the advantages and opportunities offered by well-structured activities and to be seeking to understand the logical connections among logistic activities.</w:t>
      </w:r>
    </w:p>
    <w:p w:rsidR="00C70E5D" w:rsidRDefault="00C70E5D" w:rsidP="00980876">
      <w:pPr>
        <w:pStyle w:val="Listaszerbekezds"/>
        <w:numPr>
          <w:ilvl w:val="0"/>
          <w:numId w:val="183"/>
        </w:numPr>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 xml:space="preserve">To be characterized by efficiency-based attitude.    </w:t>
      </w:r>
    </w:p>
    <w:p w:rsidR="00C70E5D" w:rsidRDefault="00C70E5D" w:rsidP="00C70E5D">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lang w:val="en-GB"/>
        </w:rPr>
        <w:t xml:space="preserve">Autonomy and responsibility: </w:t>
      </w:r>
    </w:p>
    <w:p w:rsidR="00C70E5D" w:rsidRDefault="00C70E5D" w:rsidP="00980876">
      <w:pPr>
        <w:pStyle w:val="Listaszerbekezds"/>
        <w:widowControl w:val="0"/>
        <w:numPr>
          <w:ilvl w:val="0"/>
          <w:numId w:val="184"/>
        </w:numPr>
        <w:spacing w:after="0" w:line="240" w:lineRule="auto"/>
        <w:jc w:val="both"/>
        <w:rPr>
          <w:rFonts w:ascii="Times New Roman" w:eastAsia="Times New Roman" w:hAnsi="Times New Roman" w:cs="Times New Roman"/>
          <w:bCs/>
          <w:lang w:val="en-US"/>
        </w:rPr>
      </w:pPr>
      <w:r>
        <w:rPr>
          <w:rFonts w:ascii="Times New Roman" w:eastAsia="Times New Roman" w:hAnsi="Times New Roman" w:cs="Times New Roman"/>
          <w:bCs/>
          <w:lang w:val="en-US"/>
        </w:rPr>
        <w:t xml:space="preserve">Take responsibility for the accuracy of the calculations.  </w:t>
      </w:r>
    </w:p>
    <w:p w:rsidR="00C70E5D" w:rsidRDefault="00C70E5D" w:rsidP="00980876">
      <w:pPr>
        <w:widowControl w:val="0"/>
        <w:numPr>
          <w:ilvl w:val="0"/>
          <w:numId w:val="341"/>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Előtanulmányi követelmények: </w:t>
      </w:r>
      <w:r w:rsidR="00A424FC" w:rsidRPr="00A424FC">
        <w:rPr>
          <w:rFonts w:ascii="Times New Roman" w:eastAsia="Times New Roman" w:hAnsi="Times New Roman" w:cs="Times New Roman"/>
          <w:bCs/>
        </w:rPr>
        <w:t>HKHPKA100 Közgazdaságtan I.</w:t>
      </w:r>
    </w:p>
    <w:p w:rsidR="00C70E5D" w:rsidRDefault="00C70E5D" w:rsidP="00980876">
      <w:pPr>
        <w:widowControl w:val="0"/>
        <w:numPr>
          <w:ilvl w:val="0"/>
          <w:numId w:val="341"/>
        </w:numPr>
        <w:spacing w:before="120" w:after="120" w:line="240" w:lineRule="auto"/>
        <w:ind w:left="426" w:hanging="142"/>
        <w:jc w:val="both"/>
        <w:rPr>
          <w:rFonts w:ascii="Times New Roman" w:eastAsia="Times New Roman" w:hAnsi="Times New Roman" w:cs="Times New Roman"/>
          <w:b/>
          <w:bCs/>
          <w:lang w:val="en-US"/>
        </w:rPr>
      </w:pPr>
      <w:r>
        <w:rPr>
          <w:rFonts w:ascii="Times New Roman" w:eastAsia="Times New Roman" w:hAnsi="Times New Roman" w:cs="Times New Roman"/>
          <w:b/>
          <w:bCs/>
          <w:lang w:val="en-US"/>
        </w:rPr>
        <w:t>A tantárgy tananyagának leírása, tematika. Description of the subject, curriculum (magyarul, angolul - English):</w:t>
      </w:r>
    </w:p>
    <w:p w:rsidR="00C70E5D" w:rsidRDefault="00C70E5D" w:rsidP="00980876">
      <w:pPr>
        <w:widowControl w:val="0"/>
        <w:numPr>
          <w:ilvl w:val="1"/>
          <w:numId w:val="341"/>
        </w:numPr>
        <w:tabs>
          <w:tab w:val="clear" w:pos="3977"/>
        </w:tabs>
        <w:spacing w:before="120" w:after="120" w:line="240" w:lineRule="auto"/>
        <w:ind w:left="993" w:hanging="567"/>
        <w:jc w:val="both"/>
        <w:rPr>
          <w:rFonts w:ascii="Times New Roman" w:eastAsia="Times New Roman" w:hAnsi="Times New Roman" w:cs="Times New Roman"/>
          <w:i/>
          <w:lang w:val="en-US"/>
        </w:rPr>
      </w:pPr>
      <w:r>
        <w:rPr>
          <w:rFonts w:ascii="Times New Roman" w:hAnsi="Times New Roman" w:cs="Times New Roman"/>
          <w:bCs/>
          <w:lang w:val="en-US"/>
        </w:rPr>
        <w:t>Vállalat létrehozásának célja, vállalat környezete. Vállalati típusok, vállalat érintettjei.</w:t>
      </w:r>
      <w:r>
        <w:rPr>
          <w:rFonts w:ascii="Times New Roman" w:eastAsia="Times New Roman" w:hAnsi="Times New Roman" w:cs="Times New Roman"/>
          <w:lang w:val="en-US"/>
        </w:rPr>
        <w:t xml:space="preserve"> </w:t>
      </w:r>
      <w:r>
        <w:rPr>
          <w:rFonts w:ascii="Times New Roman" w:eastAsia="Times New Roman" w:hAnsi="Times New Roman" w:cs="Times New Roman"/>
          <w:i/>
          <w:lang w:val="en-US"/>
        </w:rPr>
        <w:t>(</w:t>
      </w:r>
      <w:r>
        <w:rPr>
          <w:rFonts w:ascii="Times New Roman" w:hAnsi="Times New Roman" w:cs="Times New Roman"/>
          <w:bCs/>
          <w:i/>
          <w:lang w:val="en-US"/>
        </w:rPr>
        <w:t>Goals and benefits of business entities</w:t>
      </w:r>
      <w:r>
        <w:rPr>
          <w:rFonts w:ascii="Times New Roman" w:eastAsia="Times New Roman" w:hAnsi="Times New Roman" w:cs="Times New Roman"/>
          <w:i/>
          <w:lang w:val="en-US"/>
        </w:rPr>
        <w:t>. Micro and macro environment. Stakeholders.)</w:t>
      </w:r>
    </w:p>
    <w:p w:rsidR="00C70E5D" w:rsidRDefault="00C70E5D" w:rsidP="00980876">
      <w:pPr>
        <w:widowControl w:val="0"/>
        <w:numPr>
          <w:ilvl w:val="1"/>
          <w:numId w:val="341"/>
        </w:numPr>
        <w:tabs>
          <w:tab w:val="clear" w:pos="3977"/>
        </w:tabs>
        <w:spacing w:before="120" w:after="120" w:line="240" w:lineRule="auto"/>
        <w:ind w:left="993" w:hanging="567"/>
        <w:jc w:val="both"/>
        <w:rPr>
          <w:rFonts w:ascii="Times New Roman" w:eastAsia="Times New Roman" w:hAnsi="Times New Roman" w:cs="Times New Roman"/>
          <w:lang w:val="en-US"/>
        </w:rPr>
      </w:pPr>
      <w:r>
        <w:rPr>
          <w:rFonts w:ascii="Times New Roman" w:eastAsia="Times New Roman" w:hAnsi="Times New Roman" w:cs="Times New Roman"/>
          <w:bCs/>
          <w:lang w:val="en-US"/>
        </w:rPr>
        <w:t xml:space="preserve">Vállalat piacra lépése, vállalat piaci helyzete. </w:t>
      </w:r>
      <w:r>
        <w:rPr>
          <w:rFonts w:ascii="Times New Roman" w:eastAsia="Times New Roman" w:hAnsi="Times New Roman" w:cs="Times New Roman"/>
          <w:bCs/>
          <w:i/>
          <w:lang w:val="en-US"/>
        </w:rPr>
        <w:t>(Market entry. Market analysis.)</w:t>
      </w:r>
    </w:p>
    <w:p w:rsidR="00C70E5D" w:rsidRDefault="00C70E5D" w:rsidP="00980876">
      <w:pPr>
        <w:widowControl w:val="0"/>
        <w:numPr>
          <w:ilvl w:val="1"/>
          <w:numId w:val="341"/>
        </w:numPr>
        <w:tabs>
          <w:tab w:val="clear" w:pos="3977"/>
        </w:tabs>
        <w:spacing w:before="120" w:after="120" w:line="240" w:lineRule="auto"/>
        <w:ind w:left="993" w:hanging="567"/>
        <w:jc w:val="both"/>
        <w:rPr>
          <w:rFonts w:ascii="Times New Roman" w:eastAsia="Times New Roman" w:hAnsi="Times New Roman" w:cs="Times New Roman"/>
          <w:lang w:val="en-US"/>
        </w:rPr>
      </w:pPr>
      <w:r>
        <w:rPr>
          <w:rFonts w:ascii="Times New Roman" w:hAnsi="Times New Roman" w:cs="Times New Roman"/>
          <w:bCs/>
          <w:lang w:val="en-US"/>
        </w:rPr>
        <w:t>Vállalati stratégia kialakításának szempontjai. Vezetői döntéshozatal, stratégia-menedzsment.</w:t>
      </w:r>
      <w:r>
        <w:rPr>
          <w:rFonts w:ascii="Times New Roman" w:hAnsi="Times New Roman" w:cs="Times New Roman"/>
          <w:lang w:val="en-US"/>
        </w:rPr>
        <w:t xml:space="preserve"> </w:t>
      </w:r>
      <w:r>
        <w:rPr>
          <w:rFonts w:ascii="Times New Roman" w:eastAsia="Times New Roman" w:hAnsi="Times New Roman" w:cs="Times New Roman"/>
          <w:i/>
          <w:lang w:val="en-US"/>
        </w:rPr>
        <w:t>(Business strategy. Strategy management</w:t>
      </w:r>
      <w:r>
        <w:rPr>
          <w:rFonts w:ascii="Times New Roman" w:eastAsia="Times New Roman" w:hAnsi="Times New Roman" w:cs="Times New Roman"/>
          <w:bCs/>
          <w:i/>
          <w:lang w:val="en-US"/>
        </w:rPr>
        <w:t>.</w:t>
      </w:r>
      <w:r>
        <w:rPr>
          <w:rFonts w:ascii="Times New Roman" w:eastAsia="Times New Roman" w:hAnsi="Times New Roman" w:cs="Times New Roman"/>
          <w:i/>
          <w:lang w:val="en-US"/>
        </w:rPr>
        <w:t>)</w:t>
      </w:r>
    </w:p>
    <w:p w:rsidR="00C70E5D" w:rsidRDefault="00C70E5D" w:rsidP="00980876">
      <w:pPr>
        <w:widowControl w:val="0"/>
        <w:numPr>
          <w:ilvl w:val="1"/>
          <w:numId w:val="341"/>
        </w:numPr>
        <w:tabs>
          <w:tab w:val="clear" w:pos="3977"/>
        </w:tabs>
        <w:spacing w:before="120" w:after="120" w:line="240" w:lineRule="auto"/>
        <w:ind w:left="993" w:hanging="567"/>
        <w:jc w:val="both"/>
        <w:rPr>
          <w:rFonts w:ascii="Times New Roman" w:eastAsia="Times New Roman" w:hAnsi="Times New Roman" w:cs="Times New Roman"/>
          <w:lang w:val="en-US"/>
        </w:rPr>
      </w:pPr>
      <w:r>
        <w:rPr>
          <w:rFonts w:ascii="Times New Roman" w:hAnsi="Times New Roman" w:cs="Times New Roman"/>
          <w:bCs/>
          <w:lang w:val="en-US"/>
        </w:rPr>
        <w:t>Üzleti tervezés.</w:t>
      </w:r>
      <w:r>
        <w:rPr>
          <w:rFonts w:ascii="Times New Roman" w:eastAsia="Times New Roman" w:hAnsi="Times New Roman" w:cs="Times New Roman"/>
          <w:lang w:val="en-US"/>
        </w:rPr>
        <w:t xml:space="preserve"> </w:t>
      </w:r>
      <w:r>
        <w:rPr>
          <w:rFonts w:ascii="Times New Roman" w:eastAsia="Times New Roman" w:hAnsi="Times New Roman" w:cs="Times New Roman"/>
          <w:i/>
          <w:lang w:val="en-US"/>
        </w:rPr>
        <w:t>(Business planning</w:t>
      </w:r>
      <w:r>
        <w:rPr>
          <w:rFonts w:ascii="Times New Roman" w:eastAsia="Times New Roman" w:hAnsi="Times New Roman" w:cs="Times New Roman"/>
          <w:bCs/>
          <w:i/>
          <w:lang w:val="en-US"/>
        </w:rPr>
        <w:t>.</w:t>
      </w:r>
      <w:r>
        <w:rPr>
          <w:rFonts w:ascii="Times New Roman" w:eastAsia="Times New Roman" w:hAnsi="Times New Roman" w:cs="Times New Roman"/>
          <w:i/>
          <w:lang w:val="en-US"/>
        </w:rPr>
        <w:t>)</w:t>
      </w:r>
    </w:p>
    <w:p w:rsidR="00C70E5D" w:rsidRDefault="00C70E5D" w:rsidP="00980876">
      <w:pPr>
        <w:widowControl w:val="0"/>
        <w:numPr>
          <w:ilvl w:val="1"/>
          <w:numId w:val="341"/>
        </w:numPr>
        <w:tabs>
          <w:tab w:val="clear" w:pos="3977"/>
        </w:tabs>
        <w:spacing w:before="120" w:after="120" w:line="240" w:lineRule="auto"/>
        <w:ind w:left="993" w:hanging="567"/>
        <w:jc w:val="both"/>
        <w:rPr>
          <w:rFonts w:ascii="Times New Roman" w:eastAsia="Times New Roman" w:hAnsi="Times New Roman" w:cs="Times New Roman"/>
          <w:lang w:val="en-US"/>
        </w:rPr>
      </w:pPr>
      <w:r>
        <w:rPr>
          <w:rFonts w:ascii="Times New Roman" w:eastAsia="Times New Roman" w:hAnsi="Times New Roman" w:cs="Times New Roman"/>
          <w:bCs/>
          <w:lang w:val="en-US"/>
        </w:rPr>
        <w:t>Kontrolling</w:t>
      </w:r>
      <w:r>
        <w:rPr>
          <w:rFonts w:ascii="Times New Roman" w:eastAsia="Times New Roman" w:hAnsi="Times New Roman" w:cs="Times New Roman"/>
          <w:lang w:val="en-US"/>
        </w:rPr>
        <w:t xml:space="preserve">. </w:t>
      </w:r>
      <w:r>
        <w:rPr>
          <w:rFonts w:ascii="Times New Roman" w:eastAsia="Times New Roman" w:hAnsi="Times New Roman" w:cs="Times New Roman"/>
          <w:i/>
          <w:lang w:val="en-US"/>
        </w:rPr>
        <w:t>(Controlling.)</w:t>
      </w:r>
      <w:r>
        <w:rPr>
          <w:rFonts w:ascii="Times New Roman" w:eastAsia="Times New Roman" w:hAnsi="Times New Roman" w:cs="Times New Roman"/>
          <w:lang w:val="en-US"/>
        </w:rPr>
        <w:t xml:space="preserve"> </w:t>
      </w:r>
    </w:p>
    <w:p w:rsidR="00C70E5D" w:rsidRDefault="00C70E5D" w:rsidP="00980876">
      <w:pPr>
        <w:widowControl w:val="0"/>
        <w:numPr>
          <w:ilvl w:val="1"/>
          <w:numId w:val="341"/>
        </w:numPr>
        <w:tabs>
          <w:tab w:val="clear" w:pos="3977"/>
        </w:tabs>
        <w:spacing w:before="120" w:after="120" w:line="240" w:lineRule="auto"/>
        <w:ind w:left="993" w:hanging="567"/>
        <w:jc w:val="both"/>
        <w:rPr>
          <w:rFonts w:ascii="Times New Roman" w:eastAsia="Times New Roman" w:hAnsi="Times New Roman" w:cs="Times New Roman"/>
          <w:i/>
          <w:lang w:val="en-US"/>
        </w:rPr>
      </w:pPr>
      <w:r>
        <w:rPr>
          <w:rFonts w:ascii="Times New Roman" w:eastAsia="Times New Roman" w:hAnsi="Times New Roman" w:cs="Times New Roman"/>
          <w:bCs/>
          <w:lang w:val="en-US"/>
        </w:rPr>
        <w:t xml:space="preserve">Vállalati információs rendszerek, döntéstámogató rendszerek. </w:t>
      </w:r>
      <w:r>
        <w:rPr>
          <w:rFonts w:ascii="Times New Roman" w:eastAsia="Times New Roman" w:hAnsi="Times New Roman" w:cs="Times New Roman"/>
          <w:bCs/>
          <w:i/>
          <w:lang w:val="en-US"/>
        </w:rPr>
        <w:t>(Information flow. Decision support system.)</w:t>
      </w:r>
    </w:p>
    <w:p w:rsidR="00C70E5D" w:rsidRDefault="00C70E5D" w:rsidP="00980876">
      <w:pPr>
        <w:widowControl w:val="0"/>
        <w:numPr>
          <w:ilvl w:val="1"/>
          <w:numId w:val="341"/>
        </w:numPr>
        <w:tabs>
          <w:tab w:val="clear" w:pos="3977"/>
        </w:tabs>
        <w:spacing w:before="120" w:after="120" w:line="240" w:lineRule="auto"/>
        <w:ind w:left="993" w:hanging="567"/>
        <w:jc w:val="both"/>
        <w:rPr>
          <w:rFonts w:ascii="Times New Roman" w:eastAsia="Times New Roman" w:hAnsi="Times New Roman" w:cs="Times New Roman"/>
          <w:lang w:val="en-US"/>
        </w:rPr>
      </w:pPr>
      <w:r>
        <w:rPr>
          <w:rFonts w:ascii="Times New Roman" w:eastAsia="Times New Roman" w:hAnsi="Times New Roman" w:cs="Times New Roman"/>
          <w:bCs/>
          <w:lang w:val="en-US"/>
        </w:rPr>
        <w:t xml:space="preserve">Kutatás-fejlesztés, innováció. </w:t>
      </w:r>
      <w:r>
        <w:rPr>
          <w:rFonts w:ascii="Times New Roman" w:eastAsia="Times New Roman" w:hAnsi="Times New Roman" w:cs="Times New Roman"/>
          <w:bCs/>
          <w:i/>
          <w:lang w:val="en-US"/>
        </w:rPr>
        <w:t>(Research and development, innovation.)</w:t>
      </w:r>
    </w:p>
    <w:p w:rsidR="00C70E5D" w:rsidRDefault="00C70E5D" w:rsidP="00980876">
      <w:pPr>
        <w:widowControl w:val="0"/>
        <w:numPr>
          <w:ilvl w:val="1"/>
          <w:numId w:val="341"/>
        </w:numPr>
        <w:tabs>
          <w:tab w:val="clear" w:pos="3977"/>
        </w:tabs>
        <w:spacing w:before="120" w:after="120" w:line="240" w:lineRule="auto"/>
        <w:ind w:left="993" w:hanging="567"/>
        <w:jc w:val="both"/>
        <w:rPr>
          <w:rFonts w:ascii="Times New Roman" w:eastAsia="Times New Roman" w:hAnsi="Times New Roman" w:cs="Times New Roman"/>
          <w:lang w:val="en-US"/>
        </w:rPr>
      </w:pPr>
      <w:r>
        <w:rPr>
          <w:rFonts w:ascii="Times New Roman" w:eastAsia="Times New Roman" w:hAnsi="Times New Roman" w:cs="Times New Roman"/>
          <w:bCs/>
          <w:lang w:val="en-US" w:eastAsia="hu-HU"/>
        </w:rPr>
        <w:t xml:space="preserve">Projektmenedzsment, folyamatmenedzsment. </w:t>
      </w:r>
      <w:r>
        <w:rPr>
          <w:rFonts w:ascii="Times New Roman" w:eastAsia="Times New Roman" w:hAnsi="Times New Roman" w:cs="Times New Roman"/>
          <w:bCs/>
          <w:i/>
          <w:lang w:val="en-US" w:eastAsia="hu-HU"/>
        </w:rPr>
        <w:t>(Project management)</w:t>
      </w:r>
    </w:p>
    <w:p w:rsidR="00C70E5D" w:rsidRDefault="00C70E5D" w:rsidP="00980876">
      <w:pPr>
        <w:widowControl w:val="0"/>
        <w:numPr>
          <w:ilvl w:val="1"/>
          <w:numId w:val="341"/>
        </w:numPr>
        <w:tabs>
          <w:tab w:val="clear" w:pos="3977"/>
        </w:tabs>
        <w:spacing w:before="120" w:after="120" w:line="240" w:lineRule="auto"/>
        <w:ind w:left="993" w:hanging="567"/>
        <w:jc w:val="both"/>
        <w:rPr>
          <w:rFonts w:ascii="Times New Roman" w:eastAsia="Times New Roman" w:hAnsi="Times New Roman" w:cs="Times New Roman"/>
          <w:i/>
          <w:lang w:val="en-US"/>
        </w:rPr>
      </w:pPr>
      <w:r>
        <w:rPr>
          <w:rFonts w:ascii="Times New Roman" w:eastAsia="Times New Roman" w:hAnsi="Times New Roman" w:cs="Times New Roman"/>
          <w:bCs/>
          <w:lang w:val="en-US"/>
        </w:rPr>
        <w:t xml:space="preserve">Tárgyi eszköz-, anyag-, készlet- és forgóeszköz-gazdálkodás. </w:t>
      </w:r>
      <w:r>
        <w:rPr>
          <w:rFonts w:ascii="Times New Roman" w:eastAsia="Times New Roman" w:hAnsi="Times New Roman" w:cs="Times New Roman"/>
          <w:bCs/>
          <w:i/>
          <w:lang w:val="en-US" w:eastAsia="hu-HU"/>
        </w:rPr>
        <w:t>(Material resource management)</w:t>
      </w:r>
    </w:p>
    <w:p w:rsidR="00C70E5D" w:rsidRDefault="00C70E5D" w:rsidP="00980876">
      <w:pPr>
        <w:widowControl w:val="0"/>
        <w:numPr>
          <w:ilvl w:val="1"/>
          <w:numId w:val="341"/>
        </w:numPr>
        <w:tabs>
          <w:tab w:val="clear" w:pos="3977"/>
        </w:tabs>
        <w:spacing w:before="120" w:after="120" w:line="240" w:lineRule="auto"/>
        <w:ind w:left="993" w:hanging="567"/>
        <w:jc w:val="both"/>
        <w:rPr>
          <w:rFonts w:ascii="Times New Roman" w:eastAsia="Times New Roman" w:hAnsi="Times New Roman" w:cs="Times New Roman"/>
          <w:lang w:val="en-US"/>
        </w:rPr>
      </w:pPr>
      <w:r>
        <w:rPr>
          <w:rFonts w:ascii="Times New Roman" w:eastAsia="Times New Roman" w:hAnsi="Times New Roman" w:cs="Times New Roman"/>
          <w:bCs/>
          <w:lang w:val="en-US"/>
        </w:rPr>
        <w:t xml:space="preserve"> Humán-erőforrás gazdálkodás. </w:t>
      </w:r>
      <w:r>
        <w:rPr>
          <w:rFonts w:ascii="Times New Roman" w:eastAsia="Times New Roman" w:hAnsi="Times New Roman" w:cs="Times New Roman"/>
          <w:bCs/>
          <w:i/>
          <w:lang w:val="en-US"/>
        </w:rPr>
        <w:t>(Human resource management.)</w:t>
      </w:r>
    </w:p>
    <w:p w:rsidR="00C70E5D" w:rsidRDefault="00C70E5D" w:rsidP="00980876">
      <w:pPr>
        <w:widowControl w:val="0"/>
        <w:numPr>
          <w:ilvl w:val="1"/>
          <w:numId w:val="341"/>
        </w:numPr>
        <w:tabs>
          <w:tab w:val="clear" w:pos="3977"/>
        </w:tabs>
        <w:spacing w:before="120" w:after="120" w:line="240" w:lineRule="auto"/>
        <w:ind w:left="993" w:hanging="567"/>
        <w:jc w:val="both"/>
        <w:rPr>
          <w:rFonts w:ascii="Times New Roman" w:eastAsia="Times New Roman" w:hAnsi="Times New Roman" w:cs="Times New Roman"/>
          <w:lang w:val="en-US"/>
        </w:rPr>
      </w:pPr>
      <w:r>
        <w:rPr>
          <w:rFonts w:ascii="Times New Roman" w:eastAsia="Times New Roman" w:hAnsi="Times New Roman" w:cs="Times New Roman"/>
          <w:lang w:val="en-US"/>
        </w:rPr>
        <w:t xml:space="preserve"> </w:t>
      </w:r>
      <w:r>
        <w:rPr>
          <w:rFonts w:ascii="Times New Roman" w:eastAsia="Times New Roman" w:hAnsi="Times New Roman" w:cs="Times New Roman"/>
          <w:bCs/>
          <w:lang w:val="en-US"/>
        </w:rPr>
        <w:t>Marketing. (</w:t>
      </w:r>
      <w:r>
        <w:rPr>
          <w:rFonts w:ascii="Times New Roman" w:eastAsia="Times New Roman" w:hAnsi="Times New Roman" w:cs="Times New Roman"/>
          <w:bCs/>
          <w:i/>
          <w:lang w:val="en-US"/>
        </w:rPr>
        <w:t>Marketing.)</w:t>
      </w:r>
    </w:p>
    <w:p w:rsidR="00C70E5D" w:rsidRDefault="00C70E5D" w:rsidP="00980876">
      <w:pPr>
        <w:widowControl w:val="0"/>
        <w:numPr>
          <w:ilvl w:val="1"/>
          <w:numId w:val="341"/>
        </w:numPr>
        <w:tabs>
          <w:tab w:val="clear" w:pos="3977"/>
        </w:tabs>
        <w:spacing w:before="120" w:after="120" w:line="240" w:lineRule="auto"/>
        <w:ind w:left="993" w:hanging="567"/>
        <w:jc w:val="both"/>
        <w:rPr>
          <w:rFonts w:ascii="Times New Roman" w:eastAsia="Times New Roman" w:hAnsi="Times New Roman" w:cs="Times New Roman"/>
          <w:lang w:val="en-US"/>
        </w:rPr>
      </w:pPr>
      <w:r>
        <w:rPr>
          <w:rFonts w:ascii="Times New Roman" w:eastAsia="Times New Roman" w:hAnsi="Times New Roman" w:cs="Times New Roman"/>
          <w:lang w:val="en-US"/>
        </w:rPr>
        <w:t xml:space="preserve"> </w:t>
      </w:r>
      <w:r>
        <w:rPr>
          <w:rFonts w:ascii="Times New Roman" w:eastAsia="Times New Roman" w:hAnsi="Times New Roman" w:cs="Times New Roman"/>
          <w:bCs/>
          <w:lang w:val="en-US"/>
        </w:rPr>
        <w:t>Projektmunkák bemutatása</w:t>
      </w:r>
      <w:r>
        <w:rPr>
          <w:rFonts w:ascii="Times New Roman" w:eastAsia="Times New Roman" w:hAnsi="Times New Roman" w:cs="Times New Roman"/>
          <w:bCs/>
          <w:i/>
          <w:lang w:val="en-US"/>
        </w:rPr>
        <w:t>. (Presentations of the project tasks.)</w:t>
      </w:r>
    </w:p>
    <w:p w:rsidR="00C70E5D" w:rsidRDefault="00C70E5D" w:rsidP="00980876">
      <w:pPr>
        <w:widowControl w:val="0"/>
        <w:numPr>
          <w:ilvl w:val="0"/>
          <w:numId w:val="341"/>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lastRenderedPageBreak/>
        <w:t xml:space="preserve">A tantárgy meghirdetésének gyakorisága/a tantervben történő félévi elhelyezkedése: </w:t>
      </w:r>
      <w:r>
        <w:rPr>
          <w:rFonts w:ascii="Times New Roman" w:eastAsia="Times New Roman" w:hAnsi="Times New Roman" w:cs="Times New Roman"/>
          <w:bCs/>
        </w:rPr>
        <w:t>Minden őszi szemeszterben/5. félév</w:t>
      </w:r>
    </w:p>
    <w:p w:rsidR="00C70E5D" w:rsidRDefault="00C70E5D" w:rsidP="00980876">
      <w:pPr>
        <w:widowControl w:val="0"/>
        <w:numPr>
          <w:ilvl w:val="0"/>
          <w:numId w:val="341"/>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tanórákon való részvétel követelményei, az elfogadható hiányzások mértéke, a távolmaradás pótlásának lehetősége:</w:t>
      </w:r>
      <w:r>
        <w:rPr>
          <w:rFonts w:ascii="Times New Roman" w:eastAsia="Times New Roman" w:hAnsi="Times New Roman" w:cs="Times New Roman"/>
          <w:bCs/>
        </w:rPr>
        <w:t xml:space="preserve"> A tanórákon való részvétel kötelező.</w:t>
      </w:r>
      <w:r>
        <w:rPr>
          <w:rFonts w:ascii="Times New Roman" w:eastAsia="Times New Roman" w:hAnsi="Times New Roman" w:cs="Times New Roman"/>
          <w:b/>
          <w:bCs/>
        </w:rPr>
        <w:t xml:space="preserve"> </w:t>
      </w:r>
      <w:r>
        <w:rPr>
          <w:rFonts w:ascii="Times New Roman" w:eastAsia="Times New Roman" w:hAnsi="Times New Roman" w:cs="Times New Roman"/>
          <w:bCs/>
        </w:rPr>
        <w:t>A félév elfogadásának feltétele a tanórák minimum 70%-án való részvétel. Ennél magasabb mértékű távolmaradás pótlása az oktató engedélyével történhet.</w:t>
      </w:r>
    </w:p>
    <w:p w:rsidR="00C70E5D" w:rsidRDefault="00C70E5D" w:rsidP="00980876">
      <w:pPr>
        <w:widowControl w:val="0"/>
        <w:numPr>
          <w:ilvl w:val="0"/>
          <w:numId w:val="341"/>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rPr>
        <w:t xml:space="preserve">Félévközi feladatok, ismeretek ellenőrzésének rendje: </w:t>
      </w:r>
      <w:r>
        <w:rPr>
          <w:rFonts w:ascii="Times New Roman" w:hAnsi="Times New Roman"/>
        </w:rPr>
        <w:t>A félév során két csoportos feladatot kapnak a hallgatók. Ezen feladatok értékelése a szorgalmi időszak utolsó óráján történik, ahol a csoportoknak prezentálni kell projektmunkájuk eredményét</w:t>
      </w:r>
      <w:r>
        <w:rPr>
          <w:rFonts w:ascii="Times New Roman" w:eastAsia="Times New Roman" w:hAnsi="Times New Roman" w:cs="Times New Roman"/>
        </w:rPr>
        <w:t>. A félév során két darab zárthelyi dolgozat megírására is sor kerül.</w:t>
      </w:r>
    </w:p>
    <w:p w:rsidR="00C70E5D" w:rsidRDefault="00C70E5D" w:rsidP="00980876">
      <w:pPr>
        <w:widowControl w:val="0"/>
        <w:numPr>
          <w:ilvl w:val="0"/>
          <w:numId w:val="341"/>
        </w:numPr>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Az értékelés, az aláírás és a kreditek megszerzésének pontos feltételei: </w:t>
      </w:r>
    </w:p>
    <w:p w:rsidR="00C70E5D" w:rsidRDefault="00C70E5D" w:rsidP="00980876">
      <w:pPr>
        <w:widowControl w:val="0"/>
        <w:numPr>
          <w:ilvl w:val="1"/>
          <w:numId w:val="341"/>
        </w:numPr>
        <w:tabs>
          <w:tab w:val="left" w:pos="709"/>
          <w:tab w:val="left" w:pos="993"/>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Az aláírás megszerzésének feltételei:</w:t>
      </w:r>
    </w:p>
    <w:p w:rsidR="00C70E5D" w:rsidRDefault="00C70E5D" w:rsidP="00C70E5D">
      <w:pPr>
        <w:widowControl w:val="0"/>
        <w:tabs>
          <w:tab w:val="left" w:pos="993"/>
        </w:tabs>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Az aláírás feltétele a tanórákon történő – 14. pontban meghatározott – részvétel, a csoportfeladatok megfelelő szintű megoldása, valamint a zárthelyi dolgozatok elégséges szintű megírása.</w:t>
      </w:r>
    </w:p>
    <w:p w:rsidR="00C70E5D" w:rsidRDefault="00C70E5D" w:rsidP="00980876">
      <w:pPr>
        <w:widowControl w:val="0"/>
        <w:numPr>
          <w:ilvl w:val="1"/>
          <w:numId w:val="341"/>
        </w:numPr>
        <w:tabs>
          <w:tab w:val="left" w:pos="709"/>
          <w:tab w:val="left" w:pos="993"/>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Az értékelés:</w:t>
      </w:r>
    </w:p>
    <w:p w:rsidR="00C70E5D" w:rsidRDefault="00C70E5D" w:rsidP="00C70E5D">
      <w:pPr>
        <w:widowControl w:val="0"/>
        <w:tabs>
          <w:tab w:val="left" w:pos="993"/>
        </w:tabs>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A csoportfeladatokat prezentálásuk után közvetlenül a kurzus oktatói közösen értékelik. A prezentációk között rangsort állítanak fel, és a rangsor alapján pontokat kapnak a csoportok, amely pontok hozzáadódónak a két zárthelyi dolgozat eredményéhez.</w:t>
      </w:r>
    </w:p>
    <w:p w:rsidR="00C70E5D" w:rsidRDefault="00C70E5D" w:rsidP="00980876">
      <w:pPr>
        <w:widowControl w:val="0"/>
        <w:numPr>
          <w:ilvl w:val="1"/>
          <w:numId w:val="341"/>
        </w:numPr>
        <w:tabs>
          <w:tab w:val="left" w:pos="709"/>
          <w:tab w:val="left" w:pos="993"/>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 kreditek megszerzésének feltételei:</w:t>
      </w:r>
      <w:r>
        <w:rPr>
          <w:rFonts w:ascii="Times New Roman" w:eastAsia="Times New Roman" w:hAnsi="Times New Roman" w:cs="Times New Roman"/>
        </w:rPr>
        <w:t xml:space="preserve"> </w:t>
      </w:r>
    </w:p>
    <w:p w:rsidR="00C70E5D" w:rsidRDefault="00C70E5D" w:rsidP="00C70E5D">
      <w:pPr>
        <w:widowControl w:val="0"/>
        <w:tabs>
          <w:tab w:val="left" w:pos="993"/>
        </w:tabs>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A kreditek megszerzése az ötfokozatú értékeléssel történik a 16.2-es pontban leírt értékelés alapján.</w:t>
      </w:r>
    </w:p>
    <w:p w:rsidR="00C70E5D" w:rsidRDefault="00C70E5D" w:rsidP="00980876">
      <w:pPr>
        <w:widowControl w:val="0"/>
        <w:numPr>
          <w:ilvl w:val="0"/>
          <w:numId w:val="341"/>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Irodalomjegyzék:</w:t>
      </w:r>
    </w:p>
    <w:p w:rsidR="00C70E5D" w:rsidRDefault="00C70E5D" w:rsidP="00980876">
      <w:pPr>
        <w:widowControl w:val="0"/>
        <w:numPr>
          <w:ilvl w:val="1"/>
          <w:numId w:val="341"/>
        </w:numPr>
        <w:tabs>
          <w:tab w:val="left" w:pos="567"/>
          <w:tab w:val="left" w:pos="851"/>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Kötelező irodalom:</w:t>
      </w:r>
    </w:p>
    <w:p w:rsidR="00C70E5D" w:rsidRDefault="00C70E5D" w:rsidP="00980876">
      <w:pPr>
        <w:widowControl w:val="0"/>
        <w:numPr>
          <w:ilvl w:val="0"/>
          <w:numId w:val="342"/>
        </w:numPr>
        <w:spacing w:after="0" w:line="240" w:lineRule="auto"/>
        <w:jc w:val="both"/>
        <w:rPr>
          <w:rFonts w:ascii="Times New Roman" w:eastAsia="Times New Roman" w:hAnsi="Times New Roman" w:cs="Times New Roman"/>
        </w:rPr>
      </w:pPr>
      <w:r>
        <w:rPr>
          <w:rFonts w:ascii="Times New Roman" w:hAnsi="Times New Roman" w:cs="Times New Roman"/>
          <w:bCs/>
        </w:rPr>
        <w:t xml:space="preserve">Chikán Attila: Vállalatgazdaságtan Aula Kiadó Kft., 2008. ISBN: 9789639698604 </w:t>
      </w:r>
    </w:p>
    <w:p w:rsidR="00C70E5D" w:rsidRDefault="00C70E5D" w:rsidP="00980876">
      <w:pPr>
        <w:widowControl w:val="0"/>
        <w:numPr>
          <w:ilvl w:val="0"/>
          <w:numId w:val="342"/>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Roóz József - Heidrich Balázs: Vállalati gazdaságtan és menedzsment alapjai Digitális Tankönyvtár, 2013.</w:t>
      </w:r>
    </w:p>
    <w:p w:rsidR="00300393" w:rsidRDefault="00300393" w:rsidP="00980876">
      <w:pPr>
        <w:pStyle w:val="Listaszerbekezds"/>
        <w:widowControl w:val="0"/>
        <w:numPr>
          <w:ilvl w:val="0"/>
          <w:numId w:val="342"/>
        </w:num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Tóth Béla: Humán erőforrás menedzselése Digitális Tankönyvtár, 2011.</w:t>
      </w:r>
    </w:p>
    <w:p w:rsidR="00C70E5D" w:rsidRDefault="00C70E5D" w:rsidP="00980876">
      <w:pPr>
        <w:widowControl w:val="0"/>
        <w:numPr>
          <w:ilvl w:val="1"/>
          <w:numId w:val="341"/>
        </w:numPr>
        <w:spacing w:before="120" w:after="120" w:line="240" w:lineRule="auto"/>
        <w:ind w:left="993" w:hanging="709"/>
        <w:jc w:val="both"/>
        <w:rPr>
          <w:rFonts w:ascii="Times New Roman" w:eastAsia="Times New Roman" w:hAnsi="Times New Roman" w:cs="Times New Roman"/>
          <w:b/>
          <w:bCs/>
        </w:rPr>
      </w:pPr>
      <w:r>
        <w:rPr>
          <w:rFonts w:ascii="Times New Roman" w:eastAsia="Times New Roman" w:hAnsi="Times New Roman" w:cs="Times New Roman"/>
          <w:b/>
          <w:bCs/>
        </w:rPr>
        <w:t>Ajánlott irodalom:</w:t>
      </w:r>
    </w:p>
    <w:p w:rsidR="00C70E5D" w:rsidRDefault="00C70E5D" w:rsidP="00980876">
      <w:pPr>
        <w:pStyle w:val="Listaszerbekezds"/>
        <w:widowControl w:val="0"/>
        <w:numPr>
          <w:ilvl w:val="0"/>
          <w:numId w:val="343"/>
        </w:numPr>
        <w:spacing w:after="0" w:line="240" w:lineRule="auto"/>
        <w:jc w:val="both"/>
        <w:rPr>
          <w:rFonts w:ascii="Times New Roman" w:eastAsia="Times New Roman" w:hAnsi="Times New Roman" w:cs="Times New Roman"/>
          <w:bCs/>
        </w:rPr>
      </w:pPr>
      <w:r>
        <w:rPr>
          <w:rFonts w:ascii="Times New Roman" w:hAnsi="Times New Roman" w:cs="Times New Roman"/>
          <w:bCs/>
        </w:rPr>
        <w:t>Philip Kotler: Marketing-menedzsment Akadémia Kiadó 2006. ISBN 9630583489</w:t>
      </w:r>
    </w:p>
    <w:p w:rsidR="00C70E5D" w:rsidRDefault="00C70E5D" w:rsidP="00980876">
      <w:pPr>
        <w:pStyle w:val="Listaszerbekezds"/>
        <w:widowControl w:val="0"/>
        <w:numPr>
          <w:ilvl w:val="0"/>
          <w:numId w:val="343"/>
        </w:num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Fülöp Gyula: Stratégiai menedzsment - Elmélet és gyakorlat Perfekt Zrt. 2008. ISBN: 9789633947487</w:t>
      </w:r>
    </w:p>
    <w:p w:rsidR="00C70E5D" w:rsidRDefault="00C70E5D" w:rsidP="00980876">
      <w:pPr>
        <w:pStyle w:val="Listaszerbekezds"/>
        <w:widowControl w:val="0"/>
        <w:numPr>
          <w:ilvl w:val="0"/>
          <w:numId w:val="343"/>
        </w:num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Szőrös Krisztina - Kresalek Péter: Üzleti tervezés Digitális Tankönyvtár, 2013.</w:t>
      </w:r>
    </w:p>
    <w:p w:rsidR="00C70E5D" w:rsidRDefault="00C70E5D" w:rsidP="00980876">
      <w:pPr>
        <w:pStyle w:val="Listaszerbekezds"/>
        <w:widowControl w:val="0"/>
        <w:numPr>
          <w:ilvl w:val="0"/>
          <w:numId w:val="343"/>
        </w:num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Kovács Imre: Integrált vállalatirányítási rendszerek Digitális Tankönyvtár, 2011.</w:t>
      </w:r>
    </w:p>
    <w:p w:rsidR="00C70E5D" w:rsidRDefault="00C70E5D" w:rsidP="00980876">
      <w:pPr>
        <w:pStyle w:val="Listaszerbekezds"/>
        <w:widowControl w:val="0"/>
        <w:numPr>
          <w:ilvl w:val="0"/>
          <w:numId w:val="343"/>
        </w:num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Szakály Dezső: Innovációmenedzsment Digitális Tankönyvtár, 2013.</w:t>
      </w:r>
    </w:p>
    <w:p w:rsidR="00C70E5D" w:rsidRDefault="00C70E5D" w:rsidP="00C70E5D">
      <w:pPr>
        <w:widowControl w:val="0"/>
        <w:spacing w:before="120" w:after="120" w:line="240" w:lineRule="auto"/>
        <w:jc w:val="both"/>
        <w:rPr>
          <w:rFonts w:ascii="Times New Roman" w:eastAsia="Times New Roman" w:hAnsi="Times New Roman" w:cs="Times New Roman"/>
          <w:bCs/>
        </w:rPr>
      </w:pPr>
    </w:p>
    <w:p w:rsidR="00C70E5D" w:rsidRDefault="00C70E5D" w:rsidP="00C70E5D">
      <w:pPr>
        <w:widowControl w:val="0"/>
        <w:spacing w:before="120" w:after="120" w:line="240" w:lineRule="auto"/>
        <w:jc w:val="both"/>
        <w:rPr>
          <w:rFonts w:ascii="Times New Roman" w:eastAsia="Times New Roman" w:hAnsi="Times New Roman" w:cs="Times New Roman"/>
          <w:bCs/>
        </w:rPr>
      </w:pPr>
      <w:r>
        <w:rPr>
          <w:rFonts w:ascii="Times New Roman" w:eastAsia="Times New Roman" w:hAnsi="Times New Roman" w:cs="Times New Roman"/>
          <w:bCs/>
        </w:rPr>
        <w:t>Budapest, 2020. január 22.</w:t>
      </w:r>
    </w:p>
    <w:p w:rsidR="00C70E5D" w:rsidRDefault="00C70E5D" w:rsidP="00C70E5D">
      <w:pPr>
        <w:widowControl w:val="0"/>
        <w:spacing w:before="120" w:after="120" w:line="240" w:lineRule="auto"/>
        <w:jc w:val="both"/>
        <w:rPr>
          <w:rFonts w:ascii="Times New Roman" w:eastAsia="Times New Roman" w:hAnsi="Times New Roman" w:cs="Times New Roman"/>
          <w:bCs/>
        </w:rPr>
      </w:pPr>
    </w:p>
    <w:p w:rsidR="00C70E5D" w:rsidRPr="00CD29C1" w:rsidRDefault="00C70E5D" w:rsidP="00C70E5D">
      <w:pPr>
        <w:widowControl w:val="0"/>
        <w:spacing w:after="0" w:line="240" w:lineRule="auto"/>
        <w:jc w:val="center"/>
        <w:rPr>
          <w:rFonts w:ascii="Times New Roman" w:hAnsi="Times New Roman" w:cs="Times New Roman"/>
          <w:b/>
          <w:bCs/>
        </w:rPr>
      </w:pPr>
      <w:r w:rsidRPr="00CD29C1">
        <w:rPr>
          <w:rFonts w:ascii="Times New Roman" w:hAnsi="Times New Roman" w:cs="Times New Roman"/>
          <w:b/>
          <w:bCs/>
        </w:rPr>
        <w:t xml:space="preserve">                                                                                                              Dr. Fülöp Katalin</w:t>
      </w:r>
    </w:p>
    <w:p w:rsidR="00C70E5D" w:rsidRDefault="00C70E5D" w:rsidP="00C70E5D">
      <w:pPr>
        <w:widowControl w:val="0"/>
        <w:spacing w:after="0" w:line="240" w:lineRule="auto"/>
        <w:jc w:val="center"/>
        <w:rPr>
          <w:rFonts w:ascii="Times New Roman" w:eastAsia="Times New Roman" w:hAnsi="Times New Roman" w:cs="Times New Roman"/>
          <w:bCs/>
        </w:rPr>
      </w:pPr>
      <w:r>
        <w:rPr>
          <w:rFonts w:ascii="Times New Roman" w:hAnsi="Times New Roman" w:cs="Times New Roman"/>
          <w:bCs/>
        </w:rPr>
        <w:t xml:space="preserve">                                                                                                              egyetemi docens</w:t>
      </w:r>
    </w:p>
    <w:p w:rsidR="00C70E5D" w:rsidRDefault="00C70E5D" w:rsidP="00C70E5D">
      <w:pPr>
        <w:rPr>
          <w:rFonts w:ascii="Times New Roman" w:hAnsi="Times New Roman" w:cs="Times New Roman"/>
        </w:rPr>
      </w:pPr>
    </w:p>
    <w:p w:rsidR="00C70E5D" w:rsidRDefault="00C70E5D" w:rsidP="00C70E5D">
      <w:pPr>
        <w:spacing w:after="200" w:line="276" w:lineRule="auto"/>
        <w:rPr>
          <w:rFonts w:ascii="Times New Roman" w:hAnsi="Times New Roman" w:cs="Times New Roman"/>
          <w:sz w:val="24"/>
        </w:rPr>
      </w:pPr>
    </w:p>
    <w:p w:rsidR="00C70E5D" w:rsidRDefault="00C70E5D" w:rsidP="00C70E5D">
      <w:pPr>
        <w:spacing w:after="200" w:line="276" w:lineRule="auto"/>
        <w:rPr>
          <w:rFonts w:ascii="Times New Roman" w:hAnsi="Times New Roman" w:cs="Times New Roman"/>
          <w:sz w:val="24"/>
        </w:rPr>
      </w:pPr>
      <w:r>
        <w:rPr>
          <w:rFonts w:ascii="Times New Roman" w:hAnsi="Times New Roman" w:cs="Times New Roman"/>
          <w:sz w:val="24"/>
        </w:rPr>
        <w:br w:type="page"/>
      </w:r>
    </w:p>
    <w:tbl>
      <w:tblPr>
        <w:tblW w:w="9072" w:type="dxa"/>
        <w:tblInd w:w="113" w:type="dxa"/>
        <w:tblLook w:val="01E0" w:firstRow="1" w:lastRow="1" w:firstColumn="1" w:lastColumn="1" w:noHBand="0" w:noVBand="0"/>
      </w:tblPr>
      <w:tblGrid>
        <w:gridCol w:w="4855"/>
        <w:gridCol w:w="1620"/>
        <w:gridCol w:w="2597"/>
      </w:tblGrid>
      <w:tr w:rsidR="00C70E5D" w:rsidTr="00C70E5D">
        <w:tc>
          <w:tcPr>
            <w:tcW w:w="4855" w:type="dxa"/>
            <w:tcBorders>
              <w:top w:val="nil"/>
              <w:left w:val="nil"/>
              <w:bottom w:val="single" w:sz="4" w:space="0" w:color="auto"/>
              <w:right w:val="nil"/>
            </w:tcBorders>
            <w:hideMark/>
          </w:tcPr>
          <w:p w:rsidR="00C70E5D" w:rsidRDefault="00C70E5D" w:rsidP="00C70E5D">
            <w:pPr>
              <w:spacing w:after="0" w:line="240" w:lineRule="auto"/>
              <w:jc w:val="center"/>
              <w:rPr>
                <w:rFonts w:ascii="Times New Roman" w:eastAsia="Times New Roman" w:hAnsi="Times New Roman" w:cs="Times New Roman"/>
                <w:b/>
                <w:smallCaps/>
                <w:lang w:eastAsia="hu-HU"/>
              </w:rPr>
            </w:pPr>
            <w:r>
              <w:rPr>
                <w:rFonts w:ascii="Times New Roman" w:eastAsia="Times New Roman" w:hAnsi="Times New Roman" w:cs="Times New Roman"/>
                <w:b/>
                <w:smallCaps/>
                <w:lang w:eastAsia="hu-HU"/>
              </w:rPr>
              <w:lastRenderedPageBreak/>
              <w:t>Nemzeti Közszolgálati Egyetem</w:t>
            </w:r>
          </w:p>
        </w:tc>
        <w:tc>
          <w:tcPr>
            <w:tcW w:w="1620" w:type="dxa"/>
          </w:tcPr>
          <w:p w:rsidR="00C70E5D" w:rsidRDefault="00C70E5D" w:rsidP="00C70E5D">
            <w:pPr>
              <w:spacing w:after="0" w:line="240" w:lineRule="auto"/>
              <w:jc w:val="both"/>
              <w:rPr>
                <w:rFonts w:ascii="Times New Roman" w:eastAsia="Times New Roman" w:hAnsi="Times New Roman" w:cs="Times New Roman"/>
                <w:lang w:eastAsia="hu-HU"/>
              </w:rPr>
            </w:pPr>
          </w:p>
        </w:tc>
        <w:tc>
          <w:tcPr>
            <w:tcW w:w="2597" w:type="dxa"/>
          </w:tcPr>
          <w:p w:rsidR="00C70E5D" w:rsidRDefault="00C70E5D" w:rsidP="00C70E5D">
            <w:pPr>
              <w:spacing w:after="0" w:line="240" w:lineRule="auto"/>
              <w:jc w:val="right"/>
              <w:rPr>
                <w:rFonts w:ascii="Times New Roman" w:eastAsia="Times New Roman" w:hAnsi="Times New Roman" w:cs="Times New Roman"/>
                <w:lang w:eastAsia="hu-HU"/>
              </w:rPr>
            </w:pPr>
          </w:p>
        </w:tc>
      </w:tr>
      <w:tr w:rsidR="00C70E5D" w:rsidTr="00C70E5D">
        <w:tc>
          <w:tcPr>
            <w:tcW w:w="4855" w:type="dxa"/>
            <w:tcBorders>
              <w:top w:val="single" w:sz="4" w:space="0" w:color="auto"/>
              <w:left w:val="nil"/>
              <w:bottom w:val="nil"/>
              <w:right w:val="nil"/>
            </w:tcBorders>
            <w:hideMark/>
          </w:tcPr>
          <w:p w:rsidR="00C70E5D" w:rsidRDefault="00C70E5D" w:rsidP="00C70E5D">
            <w:pPr>
              <w:pStyle w:val="Szvegtrzs"/>
              <w:spacing w:line="256" w:lineRule="auto"/>
              <w:jc w:val="center"/>
              <w:rPr>
                <w:b/>
                <w:lang w:eastAsia="en-US"/>
              </w:rPr>
            </w:pPr>
            <w:r>
              <w:rPr>
                <w:b/>
                <w:lang w:eastAsia="en-US"/>
              </w:rPr>
              <w:t>Hadtudományi és Honvédtisztképző Kar</w:t>
            </w:r>
          </w:p>
        </w:tc>
        <w:tc>
          <w:tcPr>
            <w:tcW w:w="1620" w:type="dxa"/>
          </w:tcPr>
          <w:p w:rsidR="00C70E5D" w:rsidRDefault="00C70E5D" w:rsidP="00C70E5D">
            <w:pPr>
              <w:pStyle w:val="Szvegtrzs"/>
              <w:spacing w:line="256" w:lineRule="auto"/>
              <w:rPr>
                <w:lang w:eastAsia="en-US"/>
              </w:rPr>
            </w:pPr>
          </w:p>
        </w:tc>
        <w:tc>
          <w:tcPr>
            <w:tcW w:w="2597" w:type="dxa"/>
          </w:tcPr>
          <w:p w:rsidR="00C70E5D" w:rsidRDefault="00C70E5D" w:rsidP="00C70E5D">
            <w:pPr>
              <w:pStyle w:val="Szvegtrzs"/>
              <w:spacing w:line="256" w:lineRule="auto"/>
              <w:rPr>
                <w:lang w:eastAsia="en-US"/>
              </w:rPr>
            </w:pPr>
          </w:p>
        </w:tc>
      </w:tr>
    </w:tbl>
    <w:p w:rsidR="00C70E5D" w:rsidRDefault="00C70E5D" w:rsidP="00C70E5D">
      <w:pPr>
        <w:widowControl w:val="0"/>
        <w:spacing w:before="120" w:after="120" w:line="240" w:lineRule="auto"/>
        <w:ind w:left="426" w:hanging="142"/>
        <w:jc w:val="center"/>
        <w:rPr>
          <w:rFonts w:ascii="Times New Roman" w:eastAsia="Times New Roman" w:hAnsi="Times New Roman" w:cs="Times New Roman"/>
          <w:b/>
          <w:bCs/>
        </w:rPr>
      </w:pPr>
    </w:p>
    <w:p w:rsidR="00C70E5D" w:rsidRDefault="00C70E5D" w:rsidP="00C70E5D">
      <w:pPr>
        <w:widowControl w:val="0"/>
        <w:spacing w:before="120" w:after="120" w:line="240" w:lineRule="auto"/>
        <w:ind w:left="426" w:hanging="142"/>
        <w:jc w:val="center"/>
        <w:rPr>
          <w:rFonts w:ascii="Times New Roman" w:eastAsia="Times New Roman" w:hAnsi="Times New Roman" w:cs="Times New Roman"/>
          <w:b/>
          <w:bCs/>
        </w:rPr>
      </w:pPr>
      <w:r>
        <w:rPr>
          <w:rFonts w:ascii="Times New Roman" w:eastAsia="Times New Roman" w:hAnsi="Times New Roman" w:cs="Times New Roman"/>
          <w:b/>
          <w:bCs/>
        </w:rPr>
        <w:t>TANTÁRGYI PROGRAM</w:t>
      </w:r>
    </w:p>
    <w:p w:rsidR="00C70E5D" w:rsidRDefault="00C70E5D" w:rsidP="00980876">
      <w:pPr>
        <w:widowControl w:val="0"/>
        <w:numPr>
          <w:ilvl w:val="0"/>
          <w:numId w:val="344"/>
        </w:numPr>
        <w:spacing w:before="120" w:after="120" w:line="240" w:lineRule="auto"/>
        <w:ind w:left="501"/>
        <w:jc w:val="both"/>
        <w:rPr>
          <w:rFonts w:ascii="Times New Roman" w:eastAsia="Times New Roman" w:hAnsi="Times New Roman" w:cs="Times New Roman"/>
          <w:bCs/>
        </w:rPr>
      </w:pPr>
      <w:r>
        <w:rPr>
          <w:rFonts w:ascii="Times New Roman" w:eastAsia="Times New Roman" w:hAnsi="Times New Roman" w:cs="Times New Roman"/>
          <w:b/>
          <w:bCs/>
        </w:rPr>
        <w:t xml:space="preserve">A tantárgy kódja: </w:t>
      </w:r>
      <w:r>
        <w:rPr>
          <w:rFonts w:ascii="Times New Roman" w:eastAsia="Times New Roman" w:hAnsi="Times New Roman" w:cs="Times New Roman"/>
          <w:bCs/>
        </w:rPr>
        <w:t>HKHPKA503</w:t>
      </w:r>
    </w:p>
    <w:p w:rsidR="00C70E5D" w:rsidRDefault="00C70E5D" w:rsidP="00980876">
      <w:pPr>
        <w:widowControl w:val="0"/>
        <w:numPr>
          <w:ilvl w:val="0"/>
          <w:numId w:val="344"/>
        </w:numPr>
        <w:spacing w:before="120" w:after="120" w:line="240" w:lineRule="auto"/>
        <w:ind w:left="501"/>
        <w:jc w:val="both"/>
        <w:rPr>
          <w:rFonts w:ascii="Times New Roman" w:eastAsia="Times New Roman" w:hAnsi="Times New Roman" w:cs="Times New Roman"/>
          <w:b/>
          <w:bCs/>
          <w:lang w:val="en-GB"/>
        </w:rPr>
      </w:pPr>
      <w:r>
        <w:rPr>
          <w:rFonts w:ascii="Times New Roman" w:eastAsia="Times New Roman" w:hAnsi="Times New Roman" w:cs="Times New Roman"/>
          <w:b/>
          <w:bCs/>
        </w:rPr>
        <w:t>A tantárgy megnevezése (magyarul):</w:t>
      </w:r>
      <w:r>
        <w:rPr>
          <w:bCs/>
        </w:rPr>
        <w:t xml:space="preserve"> </w:t>
      </w:r>
      <w:r>
        <w:rPr>
          <w:rFonts w:ascii="Times New Roman" w:eastAsia="Times New Roman" w:hAnsi="Times New Roman" w:cs="Times New Roman"/>
          <w:bCs/>
        </w:rPr>
        <w:t>Államháztartási és katonai pénzügyi ismeretek I.</w:t>
      </w:r>
    </w:p>
    <w:p w:rsidR="00C70E5D" w:rsidRDefault="00C70E5D" w:rsidP="00980876">
      <w:pPr>
        <w:widowControl w:val="0"/>
        <w:numPr>
          <w:ilvl w:val="0"/>
          <w:numId w:val="344"/>
        </w:numPr>
        <w:spacing w:before="120" w:after="120" w:line="240" w:lineRule="auto"/>
        <w:ind w:left="501"/>
        <w:jc w:val="both"/>
        <w:rPr>
          <w:rFonts w:ascii="Times New Roman" w:eastAsia="Times New Roman" w:hAnsi="Times New Roman" w:cs="Times New Roman"/>
          <w:b/>
          <w:bCs/>
          <w:lang w:val="en-GB"/>
        </w:rPr>
      </w:pPr>
      <w:r>
        <w:rPr>
          <w:rFonts w:ascii="Times New Roman" w:eastAsia="Times New Roman" w:hAnsi="Times New Roman" w:cs="Times New Roman"/>
          <w:b/>
          <w:bCs/>
        </w:rPr>
        <w:t>A tantárgy megnevezése (angolul):</w:t>
      </w:r>
      <w:r>
        <w:rPr>
          <w:bCs/>
        </w:rPr>
        <w:t xml:space="preserve"> </w:t>
      </w:r>
      <w:r>
        <w:rPr>
          <w:rFonts w:ascii="Times New Roman" w:eastAsia="Times New Roman" w:hAnsi="Times New Roman" w:cs="Times New Roman"/>
          <w:bCs/>
        </w:rPr>
        <w:t>Public Finance and Military Budget I.</w:t>
      </w:r>
    </w:p>
    <w:p w:rsidR="00C70E5D" w:rsidRDefault="00C70E5D" w:rsidP="00980876">
      <w:pPr>
        <w:widowControl w:val="0"/>
        <w:numPr>
          <w:ilvl w:val="0"/>
          <w:numId w:val="344"/>
        </w:numPr>
        <w:spacing w:before="120" w:after="120" w:line="240" w:lineRule="auto"/>
        <w:ind w:left="501"/>
        <w:jc w:val="both"/>
        <w:rPr>
          <w:rFonts w:ascii="Times New Roman" w:eastAsia="Times New Roman" w:hAnsi="Times New Roman" w:cs="Times New Roman"/>
          <w:b/>
          <w:bCs/>
          <w:lang w:val="en-GB"/>
        </w:rPr>
      </w:pPr>
      <w:r>
        <w:rPr>
          <w:rFonts w:ascii="Times New Roman" w:eastAsia="Times New Roman" w:hAnsi="Times New Roman" w:cs="Times New Roman"/>
          <w:b/>
          <w:bCs/>
        </w:rPr>
        <w:t xml:space="preserve">Kreditérték és képzési karakter: </w:t>
      </w:r>
    </w:p>
    <w:p w:rsidR="00C70E5D" w:rsidRDefault="00C70E5D" w:rsidP="00980876">
      <w:pPr>
        <w:pStyle w:val="Listaszerbekezds"/>
        <w:widowControl w:val="0"/>
        <w:numPr>
          <w:ilvl w:val="1"/>
          <w:numId w:val="344"/>
        </w:numPr>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2 kredit</w:t>
      </w:r>
    </w:p>
    <w:p w:rsidR="00C70E5D" w:rsidRDefault="00C70E5D" w:rsidP="00980876">
      <w:pPr>
        <w:pStyle w:val="Listaszerbekezds"/>
        <w:widowControl w:val="0"/>
        <w:numPr>
          <w:ilvl w:val="1"/>
          <w:numId w:val="344"/>
        </w:numPr>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a tantárgy elméleti vagy gyakorlati jellegének mértéke: 50</w:t>
      </w:r>
      <w:r>
        <w:rPr>
          <w:rFonts w:ascii="Times New Roman" w:eastAsia="Times New Roman" w:hAnsi="Times New Roman" w:cs="Times New Roman"/>
          <w:b/>
          <w:bCs/>
        </w:rPr>
        <w:t xml:space="preserve"> </w:t>
      </w:r>
      <w:r>
        <w:rPr>
          <w:rFonts w:ascii="Times New Roman" w:eastAsia="Times New Roman" w:hAnsi="Times New Roman" w:cs="Times New Roman"/>
          <w:bCs/>
        </w:rPr>
        <w:t>% gyakorlat, 50 % elmélet</w:t>
      </w:r>
    </w:p>
    <w:p w:rsidR="00C70E5D" w:rsidRDefault="00C70E5D" w:rsidP="00980876">
      <w:pPr>
        <w:widowControl w:val="0"/>
        <w:numPr>
          <w:ilvl w:val="0"/>
          <w:numId w:val="344"/>
        </w:numPr>
        <w:spacing w:before="120" w:after="120" w:line="240" w:lineRule="auto"/>
        <w:ind w:left="501"/>
        <w:jc w:val="both"/>
        <w:rPr>
          <w:rFonts w:ascii="Times New Roman" w:eastAsia="Times New Roman" w:hAnsi="Times New Roman" w:cs="Times New Roman"/>
          <w:bCs/>
        </w:rPr>
      </w:pPr>
      <w:r>
        <w:rPr>
          <w:rFonts w:ascii="Times New Roman" w:eastAsia="Times New Roman" w:hAnsi="Times New Roman" w:cs="Times New Roman"/>
          <w:b/>
          <w:bCs/>
        </w:rPr>
        <w:t>A szak(ok), szakirányok/specializációk megnevezése (ahol oktatják):</w:t>
      </w:r>
      <w:r>
        <w:rPr>
          <w:rFonts w:ascii="Times New Roman" w:eastAsia="Times New Roman" w:hAnsi="Times New Roman" w:cs="Times New Roman"/>
          <w:bCs/>
        </w:rPr>
        <w:t xml:space="preserve"> Katonai logisztika alapképzési szak, Hadtáp specializáció, Katonai pénzügyi specializáció</w:t>
      </w:r>
    </w:p>
    <w:p w:rsidR="00C70E5D" w:rsidRDefault="00C70E5D" w:rsidP="00980876">
      <w:pPr>
        <w:widowControl w:val="0"/>
        <w:numPr>
          <w:ilvl w:val="0"/>
          <w:numId w:val="344"/>
        </w:numPr>
        <w:tabs>
          <w:tab w:val="num" w:pos="567"/>
        </w:tabs>
        <w:spacing w:before="120" w:after="120" w:line="240" w:lineRule="auto"/>
        <w:ind w:left="426" w:hanging="284"/>
        <w:jc w:val="both"/>
        <w:rPr>
          <w:rFonts w:ascii="Times New Roman" w:eastAsia="Times New Roman" w:hAnsi="Times New Roman" w:cs="Times New Roman"/>
          <w:bCs/>
        </w:rPr>
      </w:pPr>
      <w:r>
        <w:rPr>
          <w:rFonts w:ascii="Times New Roman" w:eastAsia="Times New Roman" w:hAnsi="Times New Roman" w:cs="Times New Roman"/>
          <w:b/>
          <w:bCs/>
        </w:rPr>
        <w:t>Az oktatásért felelős oktatási szervezeti egység megnevezése:</w:t>
      </w:r>
      <w:r>
        <w:rPr>
          <w:bCs/>
        </w:rPr>
        <w:t xml:space="preserve"> </w:t>
      </w:r>
      <w:r>
        <w:rPr>
          <w:rFonts w:ascii="Times New Roman" w:eastAsia="Times New Roman" w:hAnsi="Times New Roman" w:cs="Times New Roman"/>
          <w:bCs/>
        </w:rPr>
        <w:t xml:space="preserve">NKE Hadtudományi és Honvédtisztképző Kar, Hadtáp, Pénzügyi és Katonai Közlekedési Tanszék </w:t>
      </w:r>
    </w:p>
    <w:p w:rsidR="00C70E5D" w:rsidRDefault="00C70E5D" w:rsidP="00980876">
      <w:pPr>
        <w:widowControl w:val="0"/>
        <w:numPr>
          <w:ilvl w:val="0"/>
          <w:numId w:val="344"/>
        </w:numPr>
        <w:tabs>
          <w:tab w:val="num" w:pos="567"/>
        </w:tabs>
        <w:spacing w:before="120" w:after="120" w:line="240" w:lineRule="auto"/>
        <w:ind w:left="426" w:hanging="284"/>
        <w:jc w:val="both"/>
        <w:rPr>
          <w:rFonts w:ascii="Times New Roman" w:eastAsia="Times New Roman" w:hAnsi="Times New Roman" w:cs="Times New Roman"/>
          <w:bCs/>
        </w:rPr>
      </w:pPr>
      <w:r>
        <w:rPr>
          <w:rFonts w:ascii="Times New Roman" w:eastAsia="Times New Roman" w:hAnsi="Times New Roman" w:cs="Times New Roman"/>
          <w:b/>
          <w:bCs/>
        </w:rPr>
        <w:t>A tantárgyfelelős oktató neve, beosztása, tudományos fokozata:</w:t>
      </w:r>
      <w:r>
        <w:rPr>
          <w:rFonts w:ascii="Times New Roman" w:eastAsia="Times New Roman" w:hAnsi="Times New Roman" w:cs="Times New Roman"/>
          <w:bCs/>
        </w:rPr>
        <w:t xml:space="preserve"> Dr. Taksás Balázs (PhD), egyetemi docens</w:t>
      </w:r>
    </w:p>
    <w:p w:rsidR="00C70E5D" w:rsidRDefault="00C70E5D" w:rsidP="00980876">
      <w:pPr>
        <w:widowControl w:val="0"/>
        <w:numPr>
          <w:ilvl w:val="0"/>
          <w:numId w:val="344"/>
        </w:numPr>
        <w:spacing w:before="120" w:after="120" w:line="240" w:lineRule="auto"/>
        <w:ind w:left="426" w:hanging="284"/>
        <w:jc w:val="both"/>
        <w:rPr>
          <w:rFonts w:ascii="Times New Roman" w:eastAsia="Times New Roman" w:hAnsi="Times New Roman" w:cs="Times New Roman"/>
          <w:bCs/>
        </w:rPr>
      </w:pPr>
      <w:r>
        <w:rPr>
          <w:rFonts w:ascii="Times New Roman" w:eastAsia="Times New Roman" w:hAnsi="Times New Roman" w:cs="Times New Roman"/>
          <w:b/>
          <w:bCs/>
        </w:rPr>
        <w:t>A tanórák száma és típusa</w:t>
      </w:r>
    </w:p>
    <w:p w:rsidR="00C70E5D" w:rsidRDefault="00C70E5D" w:rsidP="00980876">
      <w:pPr>
        <w:widowControl w:val="0"/>
        <w:numPr>
          <w:ilvl w:val="1"/>
          <w:numId w:val="344"/>
        </w:numPr>
        <w:tabs>
          <w:tab w:val="num" w:pos="780"/>
          <w:tab w:val="num" w:pos="2069"/>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össz óraszám/félév:</w:t>
      </w:r>
    </w:p>
    <w:p w:rsidR="00C70E5D" w:rsidRDefault="00C70E5D" w:rsidP="00C70E5D">
      <w:pPr>
        <w:widowControl w:val="0"/>
        <w:tabs>
          <w:tab w:val="num" w:pos="1134"/>
          <w:tab w:val="num" w:pos="1581"/>
        </w:tabs>
        <w:spacing w:before="120" w:after="120" w:line="240" w:lineRule="auto"/>
        <w:ind w:left="426" w:firstLine="283"/>
        <w:jc w:val="both"/>
        <w:rPr>
          <w:rFonts w:ascii="Times New Roman" w:eastAsia="Times New Roman" w:hAnsi="Times New Roman" w:cs="Times New Roman"/>
          <w:bCs/>
        </w:rPr>
      </w:pPr>
      <w:r>
        <w:rPr>
          <w:rFonts w:ascii="Times New Roman" w:eastAsia="Times New Roman" w:hAnsi="Times New Roman" w:cs="Times New Roman"/>
          <w:bCs/>
        </w:rPr>
        <w:t>8.1.1.</w:t>
      </w:r>
      <w:r>
        <w:rPr>
          <w:rFonts w:ascii="Times New Roman" w:eastAsia="Times New Roman" w:hAnsi="Times New Roman" w:cs="Times New Roman"/>
          <w:bCs/>
        </w:rPr>
        <w:tab/>
        <w:t>nappali munkarend: 28 (14 EA + 0 SZ + 14 GY)</w:t>
      </w:r>
    </w:p>
    <w:p w:rsidR="00C70E5D" w:rsidRDefault="00C70E5D" w:rsidP="00C70E5D">
      <w:pPr>
        <w:widowControl w:val="0"/>
        <w:tabs>
          <w:tab w:val="num" w:pos="1134"/>
          <w:tab w:val="num" w:pos="1581"/>
        </w:tabs>
        <w:spacing w:before="120" w:after="120" w:line="240" w:lineRule="auto"/>
        <w:ind w:left="426" w:firstLine="283"/>
        <w:jc w:val="both"/>
        <w:rPr>
          <w:rFonts w:ascii="Times New Roman" w:eastAsia="Times New Roman" w:hAnsi="Times New Roman" w:cs="Times New Roman"/>
          <w:bCs/>
        </w:rPr>
      </w:pPr>
      <w:r>
        <w:rPr>
          <w:rFonts w:ascii="Times New Roman" w:eastAsia="Times New Roman" w:hAnsi="Times New Roman" w:cs="Times New Roman"/>
          <w:bCs/>
        </w:rPr>
        <w:t>8.1.2.</w:t>
      </w:r>
      <w:r>
        <w:rPr>
          <w:rFonts w:ascii="Times New Roman" w:eastAsia="Times New Roman" w:hAnsi="Times New Roman" w:cs="Times New Roman"/>
          <w:bCs/>
        </w:rPr>
        <w:tab/>
        <w:t>levelező munkarend: - (- EA + - SZ + - GY)</w:t>
      </w:r>
    </w:p>
    <w:p w:rsidR="00C70E5D" w:rsidRDefault="00C70E5D" w:rsidP="00980876">
      <w:pPr>
        <w:widowControl w:val="0"/>
        <w:numPr>
          <w:ilvl w:val="1"/>
          <w:numId w:val="344"/>
        </w:numPr>
        <w:tabs>
          <w:tab w:val="num" w:pos="780"/>
          <w:tab w:val="num" w:pos="2069"/>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heti óraszám - nappali munkarend: 2</w:t>
      </w:r>
    </w:p>
    <w:p w:rsidR="00C70E5D" w:rsidRDefault="00C70E5D" w:rsidP="00980876">
      <w:pPr>
        <w:widowControl w:val="0"/>
        <w:numPr>
          <w:ilvl w:val="1"/>
          <w:numId w:val="344"/>
        </w:numPr>
        <w:tabs>
          <w:tab w:val="num" w:pos="780"/>
          <w:tab w:val="num" w:pos="2069"/>
        </w:tabs>
        <w:spacing w:before="120" w:after="120" w:line="240" w:lineRule="auto"/>
        <w:ind w:left="851" w:hanging="425"/>
        <w:jc w:val="both"/>
        <w:rPr>
          <w:rFonts w:ascii="Times New Roman" w:eastAsia="Times New Roman" w:hAnsi="Times New Roman" w:cs="Times New Roman"/>
          <w:bCs/>
        </w:rPr>
      </w:pPr>
      <w:r>
        <w:rPr>
          <w:rFonts w:ascii="Times New Roman" w:hAnsi="Times New Roman" w:cs="Times New Roman"/>
        </w:rPr>
        <w:t xml:space="preserve">Az ismeret átadásában alkalmazandó további sajátos módok, jellemzők: - </w:t>
      </w:r>
    </w:p>
    <w:p w:rsidR="00C70E5D" w:rsidRDefault="00C70E5D" w:rsidP="00980876">
      <w:pPr>
        <w:widowControl w:val="0"/>
        <w:numPr>
          <w:ilvl w:val="0"/>
          <w:numId w:val="344"/>
        </w:numPr>
        <w:spacing w:before="120" w:after="120" w:line="240" w:lineRule="auto"/>
        <w:ind w:left="426" w:hanging="284"/>
        <w:jc w:val="both"/>
        <w:rPr>
          <w:rFonts w:ascii="Times New Roman" w:eastAsia="Times New Roman" w:hAnsi="Times New Roman" w:cs="Times New Roman"/>
          <w:bCs/>
        </w:rPr>
      </w:pPr>
      <w:r>
        <w:rPr>
          <w:rFonts w:ascii="Times New Roman" w:eastAsia="Times New Roman" w:hAnsi="Times New Roman" w:cs="Times New Roman"/>
          <w:b/>
          <w:bCs/>
        </w:rPr>
        <w:t>A tantárgy szakmai tartalma (magyarul):</w:t>
      </w:r>
      <w:r>
        <w:rPr>
          <w:bCs/>
        </w:rPr>
        <w:t xml:space="preserve"> </w:t>
      </w:r>
      <w:r>
        <w:rPr>
          <w:rFonts w:ascii="Times New Roman" w:eastAsia="Times New Roman" w:hAnsi="Times New Roman" w:cs="Times New Roman"/>
          <w:bCs/>
        </w:rPr>
        <w:t>Az államháztartás alapfogalmai, rendszere, szerkezete. A költségvetési szervek működésének, gazdálkodásának rendje. A katonai gazdálkodás alapfogalmai, a HM fejezet költségvetési gazdálkodása, annak sajátosságai, részterületei, vertikális és horizontális folyamatai</w:t>
      </w:r>
    </w:p>
    <w:p w:rsidR="00C70E5D" w:rsidRDefault="00C70E5D" w:rsidP="00C70E5D">
      <w:pPr>
        <w:widowControl w:val="0"/>
        <w:spacing w:before="120" w:after="120" w:line="240" w:lineRule="auto"/>
        <w:ind w:left="426"/>
        <w:jc w:val="both"/>
        <w:rPr>
          <w:rFonts w:ascii="Times New Roman" w:eastAsia="Times New Roman" w:hAnsi="Times New Roman" w:cs="Times New Roman"/>
          <w:bCs/>
          <w:lang w:val="en-GB"/>
        </w:rPr>
      </w:pPr>
      <w:r>
        <w:rPr>
          <w:rFonts w:ascii="Times New Roman" w:eastAsia="Times New Roman" w:hAnsi="Times New Roman" w:cs="Times New Roman"/>
          <w:b/>
          <w:bCs/>
        </w:rPr>
        <w:t>A tantárgy szakmai tartalma (angolul) (</w:t>
      </w:r>
      <w:r>
        <w:rPr>
          <w:rFonts w:ascii="Times New Roman" w:eastAsia="Times New Roman" w:hAnsi="Times New Roman" w:cs="Times New Roman"/>
          <w:b/>
          <w:bCs/>
          <w:lang w:val="en-US"/>
        </w:rPr>
        <w:t>Course description</w:t>
      </w:r>
      <w:r>
        <w:rPr>
          <w:rFonts w:ascii="Times New Roman" w:eastAsia="Times New Roman" w:hAnsi="Times New Roman" w:cs="Times New Roman"/>
          <w:b/>
          <w:bCs/>
        </w:rPr>
        <w:t xml:space="preserve">): </w:t>
      </w:r>
      <w:r>
        <w:rPr>
          <w:rFonts w:ascii="Times New Roman" w:eastAsia="Times New Roman" w:hAnsi="Times New Roman" w:cs="Times New Roman"/>
          <w:bCs/>
        </w:rPr>
        <w:t>Basic concepts, system and structure of public finance. The order of operation and management of budgetary entities. Basic concepts of military management, budget management of the MoD chapter, its peculiarities, sub-areas, vertical and horizontal processes</w:t>
      </w:r>
    </w:p>
    <w:p w:rsidR="00C70E5D" w:rsidRDefault="00C70E5D" w:rsidP="00980876">
      <w:pPr>
        <w:pStyle w:val="Listaszerbekezds"/>
        <w:widowControl w:val="0"/>
        <w:numPr>
          <w:ilvl w:val="0"/>
          <w:numId w:val="344"/>
        </w:numPr>
        <w:spacing w:before="120" w:after="120" w:line="240" w:lineRule="auto"/>
        <w:ind w:left="501" w:hanging="359"/>
        <w:jc w:val="both"/>
        <w:rPr>
          <w:rFonts w:ascii="Times New Roman" w:eastAsia="Times New Roman" w:hAnsi="Times New Roman" w:cs="Times New Roman"/>
          <w:bCs/>
        </w:rPr>
      </w:pPr>
      <w:r>
        <w:rPr>
          <w:rFonts w:ascii="Times New Roman" w:eastAsia="Times New Roman" w:hAnsi="Times New Roman" w:cs="Times New Roman"/>
          <w:b/>
          <w:bCs/>
        </w:rPr>
        <w:t xml:space="preserve">Elérendő kompetenciák (magyarul): </w:t>
      </w:r>
    </w:p>
    <w:p w:rsidR="00C70E5D" w:rsidRDefault="00C70E5D" w:rsidP="00C70E5D">
      <w:pPr>
        <w:widowControl w:val="0"/>
        <w:spacing w:before="120" w:after="120" w:line="240" w:lineRule="auto"/>
        <w:ind w:left="426"/>
        <w:jc w:val="both"/>
        <w:rPr>
          <w:rFonts w:ascii="Times New Roman" w:eastAsia="Times New Roman" w:hAnsi="Times New Roman" w:cs="Times New Roman"/>
          <w:bCs/>
        </w:rPr>
      </w:pPr>
      <w:r>
        <w:rPr>
          <w:rFonts w:ascii="Times New Roman" w:eastAsia="Times New Roman" w:hAnsi="Times New Roman" w:cs="Times New Roman"/>
          <w:b/>
          <w:bCs/>
        </w:rPr>
        <w:t>Tudása:</w:t>
      </w:r>
      <w:r>
        <w:rPr>
          <w:rFonts w:ascii="Times New Roman" w:eastAsia="Times New Roman" w:hAnsi="Times New Roman" w:cs="Times New Roman"/>
          <w:bCs/>
        </w:rPr>
        <w:t xml:space="preserve"> </w:t>
      </w:r>
    </w:p>
    <w:p w:rsidR="00C70E5D" w:rsidRDefault="00C70E5D" w:rsidP="00980876">
      <w:pPr>
        <w:pStyle w:val="Listaszerbekezds"/>
        <w:widowControl w:val="0"/>
        <w:numPr>
          <w:ilvl w:val="0"/>
          <w:numId w:val="187"/>
        </w:numPr>
        <w:spacing w:before="120" w:after="120" w:line="240" w:lineRule="auto"/>
        <w:ind w:hanging="219"/>
        <w:jc w:val="both"/>
        <w:rPr>
          <w:rFonts w:ascii="Times New Roman" w:eastAsia="Times New Roman" w:hAnsi="Times New Roman" w:cs="Times New Roman"/>
          <w:bCs/>
        </w:rPr>
      </w:pPr>
      <w:r>
        <w:rPr>
          <w:rFonts w:ascii="Times New Roman" w:eastAsia="Times New Roman" w:hAnsi="Times New Roman" w:cs="Times New Roman"/>
          <w:bCs/>
        </w:rPr>
        <w:t>Ismeri a gazdaság és a piacok működésének alapjait, a nemzetgazdaság és a honvédelem kapcsolatrendszerét, a hadiipar működésének törvényszerűségeit.</w:t>
      </w:r>
    </w:p>
    <w:p w:rsidR="00C70E5D" w:rsidRDefault="00C70E5D" w:rsidP="00C70E5D">
      <w:pPr>
        <w:widowControl w:val="0"/>
        <w:spacing w:before="120" w:after="120" w:line="240" w:lineRule="auto"/>
        <w:ind w:left="426"/>
        <w:jc w:val="both"/>
        <w:rPr>
          <w:rFonts w:ascii="Times New Roman" w:eastAsia="Times New Roman" w:hAnsi="Times New Roman" w:cs="Times New Roman"/>
          <w:bCs/>
        </w:rPr>
      </w:pPr>
      <w:r>
        <w:rPr>
          <w:rFonts w:ascii="Times New Roman" w:eastAsia="Times New Roman" w:hAnsi="Times New Roman" w:cs="Times New Roman"/>
          <w:b/>
          <w:bCs/>
        </w:rPr>
        <w:t>Képességei:</w:t>
      </w:r>
      <w:r>
        <w:rPr>
          <w:rFonts w:ascii="Times New Roman" w:eastAsia="Times New Roman" w:hAnsi="Times New Roman" w:cs="Times New Roman"/>
          <w:bCs/>
        </w:rPr>
        <w:t xml:space="preserve"> </w:t>
      </w:r>
    </w:p>
    <w:p w:rsidR="00C70E5D" w:rsidRDefault="00C70E5D" w:rsidP="00980876">
      <w:pPr>
        <w:pStyle w:val="Listaszerbekezds"/>
        <w:widowControl w:val="0"/>
        <w:numPr>
          <w:ilvl w:val="0"/>
          <w:numId w:val="188"/>
        </w:numPr>
        <w:spacing w:before="120" w:after="120" w:line="240" w:lineRule="auto"/>
        <w:ind w:hanging="219"/>
        <w:jc w:val="both"/>
        <w:rPr>
          <w:rFonts w:ascii="Times New Roman" w:eastAsia="Times New Roman" w:hAnsi="Times New Roman" w:cs="Times New Roman"/>
          <w:bCs/>
        </w:rPr>
      </w:pPr>
      <w:r>
        <w:rPr>
          <w:rFonts w:ascii="Times New Roman" w:eastAsia="Times New Roman" w:hAnsi="Times New Roman" w:cs="Times New Roman"/>
          <w:bCs/>
          <w:kern w:val="2"/>
        </w:rPr>
        <w:t xml:space="preserve">Képes a logisztikai folyamatok és a Magyar Honvédség logisztikai rendszere közötti </w:t>
      </w:r>
      <w:r>
        <w:rPr>
          <w:rFonts w:ascii="Times New Roman" w:eastAsia="Times New Roman" w:hAnsi="Times New Roman" w:cs="Times New Roman"/>
          <w:bCs/>
        </w:rPr>
        <w:t>kapcsolatok, illetve összefüggések értelmezésére és azok beosztottak felé történő átadására.</w:t>
      </w:r>
    </w:p>
    <w:p w:rsidR="00C70E5D" w:rsidRDefault="00C70E5D" w:rsidP="00C70E5D">
      <w:pPr>
        <w:widowControl w:val="0"/>
        <w:spacing w:before="120" w:after="120" w:line="240" w:lineRule="auto"/>
        <w:ind w:left="426"/>
        <w:jc w:val="both"/>
        <w:rPr>
          <w:rFonts w:ascii="Times New Roman" w:eastAsia="Times New Roman" w:hAnsi="Times New Roman" w:cs="Times New Roman"/>
          <w:b/>
          <w:bCs/>
        </w:rPr>
      </w:pPr>
      <w:r>
        <w:rPr>
          <w:rFonts w:ascii="Times New Roman" w:eastAsia="Times New Roman" w:hAnsi="Times New Roman" w:cs="Times New Roman"/>
          <w:b/>
          <w:bCs/>
        </w:rPr>
        <w:t>Attitűdje:</w:t>
      </w:r>
    </w:p>
    <w:p w:rsidR="00C70E5D" w:rsidRDefault="00C70E5D" w:rsidP="00980876">
      <w:pPr>
        <w:pStyle w:val="Listaszerbekezds"/>
        <w:widowControl w:val="0"/>
        <w:numPr>
          <w:ilvl w:val="0"/>
          <w:numId w:val="189"/>
        </w:numPr>
        <w:spacing w:before="120" w:after="120" w:line="240" w:lineRule="auto"/>
        <w:ind w:hanging="219"/>
        <w:jc w:val="both"/>
        <w:rPr>
          <w:rFonts w:ascii="Times New Roman" w:eastAsia="Times New Roman" w:hAnsi="Times New Roman" w:cs="Times New Roman"/>
          <w:bCs/>
          <w:kern w:val="2"/>
        </w:rPr>
      </w:pPr>
      <w:r>
        <w:rPr>
          <w:rFonts w:ascii="Times New Roman" w:eastAsia="Times New Roman" w:hAnsi="Times New Roman" w:cs="Times New Roman"/>
          <w:bCs/>
          <w:kern w:val="2"/>
        </w:rPr>
        <w:t>Felismeri a rendszerszintű tevékenységben rejlő értékeket, törekszik a logisztikai tevékenységek közötti kapcsolatok értelmezésére.</w:t>
      </w:r>
    </w:p>
    <w:p w:rsidR="00C70E5D" w:rsidRDefault="00C70E5D" w:rsidP="00C70E5D">
      <w:pPr>
        <w:widowControl w:val="0"/>
        <w:spacing w:before="120" w:after="120" w:line="240" w:lineRule="auto"/>
        <w:ind w:left="426"/>
        <w:jc w:val="both"/>
        <w:rPr>
          <w:rFonts w:ascii="Times New Roman" w:eastAsia="Times New Roman" w:hAnsi="Times New Roman" w:cs="Times New Roman"/>
          <w:bCs/>
        </w:rPr>
      </w:pPr>
      <w:r>
        <w:rPr>
          <w:rFonts w:ascii="Times New Roman" w:eastAsia="Times New Roman" w:hAnsi="Times New Roman" w:cs="Times New Roman"/>
          <w:b/>
          <w:bCs/>
        </w:rPr>
        <w:t>Autonómiája és felelőssége:</w:t>
      </w:r>
      <w:r>
        <w:rPr>
          <w:rFonts w:ascii="Times New Roman" w:eastAsia="Times New Roman" w:hAnsi="Times New Roman" w:cs="Times New Roman"/>
          <w:bCs/>
        </w:rPr>
        <w:t xml:space="preserve"> </w:t>
      </w:r>
    </w:p>
    <w:p w:rsidR="00C70E5D" w:rsidRDefault="00C70E5D" w:rsidP="00980876">
      <w:pPr>
        <w:pStyle w:val="Listaszerbekezds"/>
        <w:widowControl w:val="0"/>
        <w:numPr>
          <w:ilvl w:val="0"/>
          <w:numId w:val="189"/>
        </w:numPr>
        <w:spacing w:before="120" w:after="120" w:line="240" w:lineRule="auto"/>
        <w:ind w:hanging="219"/>
        <w:jc w:val="both"/>
        <w:rPr>
          <w:rFonts w:ascii="Times New Roman" w:eastAsia="Times New Roman" w:hAnsi="Times New Roman" w:cs="Times New Roman"/>
          <w:bCs/>
        </w:rPr>
      </w:pPr>
      <w:r>
        <w:rPr>
          <w:rFonts w:ascii="Times New Roman" w:eastAsia="Times New Roman" w:hAnsi="Times New Roman" w:cs="Times New Roman"/>
          <w:bCs/>
          <w:kern w:val="2"/>
        </w:rPr>
        <w:t xml:space="preserve">Az alegység, illetve egység szintű katonai logisztikai, valamint katonai gazdálkodási </w:t>
      </w:r>
      <w:r>
        <w:rPr>
          <w:rFonts w:ascii="Times New Roman" w:eastAsia="Times New Roman" w:hAnsi="Times New Roman" w:cs="Times New Roman"/>
          <w:bCs/>
          <w:kern w:val="2"/>
        </w:rPr>
        <w:lastRenderedPageBreak/>
        <w:t>folyamatokban képes önállóan döntéseket hozni, azokat felelősséggel, a jogszabályi keretek figyelembevételével végrehajtani</w:t>
      </w:r>
      <w:r>
        <w:rPr>
          <w:rFonts w:ascii="Times New Roman" w:eastAsia="Times New Roman" w:hAnsi="Times New Roman" w:cs="Times New Roman"/>
          <w:bCs/>
        </w:rPr>
        <w:t>.</w:t>
      </w:r>
    </w:p>
    <w:p w:rsidR="00C70E5D" w:rsidRDefault="00C70E5D" w:rsidP="00C70E5D">
      <w:pPr>
        <w:widowControl w:val="0"/>
        <w:spacing w:before="120" w:after="120" w:line="240" w:lineRule="auto"/>
        <w:ind w:left="426"/>
        <w:jc w:val="both"/>
        <w:rPr>
          <w:rFonts w:ascii="Times New Roman" w:eastAsia="Times New Roman" w:hAnsi="Times New Roman" w:cs="Times New Roman"/>
          <w:b/>
          <w:bCs/>
          <w:lang w:val="en-US"/>
        </w:rPr>
      </w:pPr>
      <w:r>
        <w:rPr>
          <w:rFonts w:ascii="Times New Roman" w:eastAsia="Times New Roman" w:hAnsi="Times New Roman" w:cs="Times New Roman"/>
          <w:b/>
          <w:bCs/>
        </w:rPr>
        <w:t>Elérendő kompetenciák (angolul) (</w:t>
      </w:r>
      <w:r>
        <w:rPr>
          <w:rFonts w:ascii="Times New Roman" w:eastAsia="Times New Roman" w:hAnsi="Times New Roman" w:cs="Times New Roman"/>
          <w:b/>
          <w:bCs/>
          <w:lang w:val="en-US"/>
        </w:rPr>
        <w:t xml:space="preserve">Competences – English): </w:t>
      </w:r>
    </w:p>
    <w:p w:rsidR="00C70E5D" w:rsidRDefault="00C70E5D" w:rsidP="00C70E5D">
      <w:pPr>
        <w:widowControl w:val="0"/>
        <w:spacing w:before="120" w:after="120" w:line="240" w:lineRule="auto"/>
        <w:ind w:left="426"/>
        <w:jc w:val="both"/>
      </w:pPr>
      <w:r>
        <w:rPr>
          <w:rFonts w:ascii="Times New Roman" w:eastAsia="Times New Roman" w:hAnsi="Times New Roman" w:cs="Times New Roman"/>
          <w:b/>
          <w:lang w:val="en-GB"/>
        </w:rPr>
        <w:t>Knowledge</w:t>
      </w:r>
      <w:r>
        <w:rPr>
          <w:rFonts w:ascii="Times New Roman" w:eastAsia="Times New Roman" w:hAnsi="Times New Roman" w:cs="Times New Roman"/>
          <w:lang w:val="en-GB"/>
        </w:rPr>
        <w:t>:</w:t>
      </w:r>
      <w:r>
        <w:rPr>
          <w:lang w:val="en-GB"/>
        </w:rPr>
        <w:t xml:space="preserve"> </w:t>
      </w:r>
    </w:p>
    <w:p w:rsidR="00C70E5D" w:rsidRDefault="00C70E5D" w:rsidP="00980876">
      <w:pPr>
        <w:pStyle w:val="Listaszerbekezds"/>
        <w:widowControl w:val="0"/>
        <w:numPr>
          <w:ilvl w:val="0"/>
          <w:numId w:val="189"/>
        </w:numPr>
        <w:spacing w:before="120" w:after="120" w:line="240" w:lineRule="auto"/>
        <w:ind w:hanging="219"/>
        <w:jc w:val="both"/>
        <w:rPr>
          <w:rFonts w:ascii="Times New Roman" w:eastAsia="Times New Roman" w:hAnsi="Times New Roman" w:cs="Times New Roman"/>
          <w:lang w:val="en-GB"/>
        </w:rPr>
      </w:pPr>
      <w:r>
        <w:rPr>
          <w:rFonts w:ascii="Times New Roman" w:eastAsia="Times New Roman" w:hAnsi="Times New Roman" w:cs="Times New Roman"/>
          <w:lang w:val="en-GB"/>
        </w:rPr>
        <w:t>The student knows the basics of the operation of the economy and the markets, the system of relations between the national economy and the defense sector, the regularities of the operation of the military industry.</w:t>
      </w:r>
    </w:p>
    <w:p w:rsidR="00C70E5D" w:rsidRDefault="00C70E5D" w:rsidP="00C70E5D">
      <w:pPr>
        <w:widowControl w:val="0"/>
        <w:spacing w:before="120" w:after="120" w:line="240" w:lineRule="auto"/>
        <w:ind w:left="426"/>
        <w:jc w:val="both"/>
        <w:rPr>
          <w:rFonts w:ascii="Times New Roman" w:eastAsia="Times New Roman" w:hAnsi="Times New Roman" w:cs="Times New Roman"/>
          <w:b/>
          <w:lang w:val="en-GB"/>
        </w:rPr>
      </w:pPr>
      <w:r>
        <w:rPr>
          <w:rFonts w:ascii="Times New Roman" w:eastAsia="Times New Roman" w:hAnsi="Times New Roman" w:cs="Times New Roman"/>
          <w:b/>
          <w:lang w:val="en-GB"/>
        </w:rPr>
        <w:t xml:space="preserve">Capabilities: </w:t>
      </w:r>
    </w:p>
    <w:p w:rsidR="00C70E5D" w:rsidRDefault="00C70E5D" w:rsidP="00980876">
      <w:pPr>
        <w:pStyle w:val="Listaszerbekezds"/>
        <w:widowControl w:val="0"/>
        <w:numPr>
          <w:ilvl w:val="0"/>
          <w:numId w:val="189"/>
        </w:numPr>
        <w:spacing w:before="120" w:after="120" w:line="240" w:lineRule="auto"/>
        <w:ind w:hanging="219"/>
        <w:jc w:val="both"/>
        <w:rPr>
          <w:rFonts w:ascii="Times New Roman" w:eastAsia="Times New Roman" w:hAnsi="Times New Roman" w:cs="Times New Roman"/>
          <w:b/>
          <w:lang w:val="en-GB"/>
        </w:rPr>
      </w:pPr>
      <w:r>
        <w:rPr>
          <w:rFonts w:ascii="Times New Roman" w:eastAsia="Times New Roman" w:hAnsi="Times New Roman" w:cs="Times New Roman"/>
          <w:lang w:val="en-GB"/>
        </w:rPr>
        <w:t>He / she is able to interpret the relationships between the logistics processes and the logistics system of the Hungarian Defense Forces and to pass them on to subordinates.</w:t>
      </w:r>
    </w:p>
    <w:p w:rsidR="00C70E5D" w:rsidRDefault="00C70E5D" w:rsidP="00C70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lang w:val="en-GB"/>
        </w:rPr>
      </w:pPr>
      <w:r>
        <w:rPr>
          <w:rFonts w:ascii="Times New Roman" w:eastAsia="Times New Roman" w:hAnsi="Times New Roman" w:cs="Times New Roman"/>
          <w:b/>
          <w:lang w:val="en-GB"/>
        </w:rPr>
        <w:t>Attitude:</w:t>
      </w:r>
      <w:r>
        <w:rPr>
          <w:rFonts w:ascii="Times New Roman" w:eastAsia="Times New Roman" w:hAnsi="Times New Roman" w:cs="Times New Roman"/>
          <w:lang w:val="en-GB"/>
        </w:rPr>
        <w:t xml:space="preserve"> </w:t>
      </w:r>
    </w:p>
    <w:p w:rsidR="00C70E5D" w:rsidRDefault="00C70E5D" w:rsidP="00980876">
      <w:pPr>
        <w:pStyle w:val="Listaszerbekezds"/>
        <w:widowControl w:val="0"/>
        <w:numPr>
          <w:ilvl w:val="0"/>
          <w:numId w:val="189"/>
        </w:numPr>
        <w:spacing w:before="120" w:after="120" w:line="240" w:lineRule="auto"/>
        <w:ind w:hanging="219"/>
        <w:jc w:val="both"/>
        <w:rPr>
          <w:rFonts w:ascii="Times New Roman" w:eastAsia="Times New Roman" w:hAnsi="Times New Roman" w:cs="Times New Roman"/>
          <w:lang w:val="en-GB"/>
        </w:rPr>
      </w:pPr>
      <w:r>
        <w:rPr>
          <w:rFonts w:ascii="Times New Roman" w:eastAsia="Times New Roman" w:hAnsi="Times New Roman" w:cs="Times New Roman"/>
          <w:lang w:val="en-GB"/>
        </w:rPr>
        <w:t>Recognizes the intrinsic value of systemic activities, seeks to understand the relationships between logistics activities.</w:t>
      </w:r>
    </w:p>
    <w:p w:rsidR="00C70E5D" w:rsidRDefault="00C70E5D" w:rsidP="00C70E5D">
      <w:pPr>
        <w:widowControl w:val="0"/>
        <w:spacing w:before="120" w:after="120" w:line="240" w:lineRule="auto"/>
        <w:ind w:left="426"/>
        <w:jc w:val="both"/>
        <w:rPr>
          <w:rFonts w:ascii="Times New Roman" w:eastAsia="Times New Roman" w:hAnsi="Times New Roman" w:cs="Times New Roman"/>
          <w:b/>
          <w:lang w:val="en-GB"/>
        </w:rPr>
      </w:pPr>
      <w:r>
        <w:rPr>
          <w:rFonts w:ascii="Times New Roman" w:eastAsia="Times New Roman" w:hAnsi="Times New Roman" w:cs="Times New Roman"/>
          <w:b/>
          <w:lang w:val="en-GB"/>
        </w:rPr>
        <w:t>Autonomy and responsibility:</w:t>
      </w:r>
    </w:p>
    <w:p w:rsidR="00C70E5D" w:rsidRDefault="00C70E5D" w:rsidP="00980876">
      <w:pPr>
        <w:pStyle w:val="Listaszerbekezds"/>
        <w:widowControl w:val="0"/>
        <w:numPr>
          <w:ilvl w:val="0"/>
          <w:numId w:val="189"/>
        </w:numPr>
        <w:spacing w:before="120" w:after="120" w:line="240" w:lineRule="auto"/>
        <w:ind w:hanging="219"/>
        <w:jc w:val="both"/>
        <w:rPr>
          <w:rFonts w:ascii="Times New Roman" w:eastAsia="Times New Roman" w:hAnsi="Times New Roman" w:cs="Times New Roman"/>
          <w:lang w:val="en-GB"/>
        </w:rPr>
      </w:pPr>
      <w:r>
        <w:rPr>
          <w:lang w:val="en-GB"/>
        </w:rPr>
        <w:t xml:space="preserve"> </w:t>
      </w:r>
      <w:r>
        <w:rPr>
          <w:rFonts w:ascii="Times New Roman" w:eastAsia="Times New Roman" w:hAnsi="Times New Roman" w:cs="Times New Roman"/>
          <w:lang w:val="en-GB"/>
        </w:rPr>
        <w:t>He / she is able to make decisions in sub-unit and unit-level military logistics and military management processes, with responsibility and within the legal framework</w:t>
      </w:r>
    </w:p>
    <w:p w:rsidR="00C70E5D" w:rsidRDefault="00C70E5D" w:rsidP="00C70E5D">
      <w:pPr>
        <w:pStyle w:val="Listaszerbekezds"/>
        <w:widowControl w:val="0"/>
        <w:spacing w:before="120" w:after="120" w:line="240" w:lineRule="auto"/>
        <w:ind w:left="786"/>
        <w:jc w:val="both"/>
        <w:rPr>
          <w:rFonts w:ascii="Times New Roman" w:eastAsia="Times New Roman" w:hAnsi="Times New Roman" w:cs="Times New Roman"/>
          <w:lang w:val="en-GB"/>
        </w:rPr>
      </w:pPr>
    </w:p>
    <w:p w:rsidR="00C70E5D" w:rsidRDefault="00C70E5D" w:rsidP="00980876">
      <w:pPr>
        <w:pStyle w:val="Listaszerbekezds"/>
        <w:widowControl w:val="0"/>
        <w:numPr>
          <w:ilvl w:val="0"/>
          <w:numId w:val="344"/>
        </w:numPr>
        <w:spacing w:before="120" w:after="120" w:line="240" w:lineRule="auto"/>
        <w:ind w:left="501"/>
        <w:jc w:val="both"/>
        <w:rPr>
          <w:rFonts w:ascii="Times New Roman" w:eastAsia="Times New Roman" w:hAnsi="Times New Roman" w:cs="Times New Roman"/>
          <w:lang w:val="en-GB"/>
        </w:rPr>
      </w:pPr>
      <w:r>
        <w:rPr>
          <w:rFonts w:ascii="Times New Roman" w:eastAsia="Times New Roman" w:hAnsi="Times New Roman" w:cs="Times New Roman"/>
          <w:b/>
          <w:lang w:val="en-GB"/>
        </w:rPr>
        <w:t>Előtanulmányi követelmények</w:t>
      </w:r>
      <w:r>
        <w:rPr>
          <w:rFonts w:ascii="Times New Roman" w:eastAsia="Times New Roman" w:hAnsi="Times New Roman" w:cs="Times New Roman"/>
          <w:b/>
          <w:bCs/>
        </w:rPr>
        <w:t xml:space="preserve">: </w:t>
      </w:r>
      <w:r>
        <w:rPr>
          <w:rFonts w:ascii="Times New Roman" w:eastAsia="Times New Roman" w:hAnsi="Times New Roman" w:cs="Times New Roman"/>
          <w:bCs/>
        </w:rPr>
        <w:t>Pénzügyek I. (Alapok) HKHPKA501</w:t>
      </w:r>
    </w:p>
    <w:p w:rsidR="00C70E5D" w:rsidRDefault="00C70E5D" w:rsidP="00C70E5D">
      <w:pPr>
        <w:pStyle w:val="Listaszerbekezds"/>
        <w:widowControl w:val="0"/>
        <w:spacing w:before="120" w:after="120" w:line="240" w:lineRule="auto"/>
        <w:ind w:left="501"/>
        <w:jc w:val="both"/>
        <w:rPr>
          <w:rFonts w:ascii="Times New Roman" w:eastAsia="Times New Roman" w:hAnsi="Times New Roman" w:cs="Times New Roman"/>
          <w:lang w:val="en-GB"/>
        </w:rPr>
      </w:pPr>
    </w:p>
    <w:p w:rsidR="00C70E5D" w:rsidRDefault="00C70E5D" w:rsidP="00980876">
      <w:pPr>
        <w:pStyle w:val="Listaszerbekezds"/>
        <w:widowControl w:val="0"/>
        <w:numPr>
          <w:ilvl w:val="0"/>
          <w:numId w:val="344"/>
        </w:numPr>
        <w:spacing w:before="120" w:after="120" w:line="240" w:lineRule="auto"/>
        <w:ind w:left="501"/>
        <w:jc w:val="both"/>
        <w:rPr>
          <w:rFonts w:ascii="Times New Roman" w:eastAsia="Times New Roman" w:hAnsi="Times New Roman" w:cs="Times New Roman"/>
          <w:lang w:val="en-GB"/>
        </w:rPr>
      </w:pPr>
      <w:r>
        <w:rPr>
          <w:rFonts w:ascii="Times New Roman" w:eastAsia="Times New Roman" w:hAnsi="Times New Roman" w:cs="Times New Roman"/>
          <w:b/>
          <w:bCs/>
        </w:rPr>
        <w:t>A tantárgy tananyagának leírása, tematika. Description of the subject, curriculum (magyarul, angolul - English):</w:t>
      </w:r>
    </w:p>
    <w:p w:rsidR="00C70E5D" w:rsidRDefault="00C70E5D" w:rsidP="00980876">
      <w:pPr>
        <w:widowControl w:val="0"/>
        <w:numPr>
          <w:ilvl w:val="1"/>
          <w:numId w:val="344"/>
        </w:numPr>
        <w:tabs>
          <w:tab w:val="left" w:pos="709"/>
          <w:tab w:val="left" w:pos="993"/>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Az államháztartás alapfogalmai, alapelvei, rendszere, szerkezete. A központi és az önkormányzati alrendszer feladatai, gazdálkodásuk és finanszírozásuk rendje. </w:t>
      </w:r>
      <w:r>
        <w:rPr>
          <w:rFonts w:ascii="Times New Roman" w:eastAsia="Times New Roman" w:hAnsi="Times New Roman" w:cs="Times New Roman"/>
          <w:i/>
          <w:kern w:val="2"/>
        </w:rPr>
        <w:t>(Basic concepts, principles, system, structure of public finance. Tasks of the central and local government subsystems, the order of their management and financing.)</w:t>
      </w:r>
    </w:p>
    <w:p w:rsidR="00C70E5D" w:rsidRDefault="00C70E5D" w:rsidP="00980876">
      <w:pPr>
        <w:widowControl w:val="0"/>
        <w:numPr>
          <w:ilvl w:val="1"/>
          <w:numId w:val="344"/>
        </w:numPr>
        <w:tabs>
          <w:tab w:val="left" w:pos="709"/>
          <w:tab w:val="left" w:pos="993"/>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Az állami költségvetés bevételei és kiadásai, egyenlege; a költségvetési hiány az államadósság fogalma és kezelése; a költségvetés tervezésének, végrehajtásának folyamata, hatáskörök. </w:t>
      </w:r>
      <w:r>
        <w:rPr>
          <w:rFonts w:ascii="Times New Roman" w:eastAsia="Times New Roman" w:hAnsi="Times New Roman" w:cs="Times New Roman"/>
          <w:i/>
          <w:kern w:val="2"/>
        </w:rPr>
        <w:t>(State budget revenue and expenditure, balance; budget deficit; the concept and management of public debt; budget planning and implementation process, powers)</w:t>
      </w:r>
    </w:p>
    <w:p w:rsidR="00C70E5D" w:rsidRDefault="00C70E5D" w:rsidP="00980876">
      <w:pPr>
        <w:widowControl w:val="0"/>
        <w:numPr>
          <w:ilvl w:val="1"/>
          <w:numId w:val="344"/>
        </w:numPr>
        <w:tabs>
          <w:tab w:val="left" w:pos="709"/>
          <w:tab w:val="left" w:pos="993"/>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Az államháztartás működésének finanszírozása: a Magyar Államkincstár feladatai, számlavezetés, előirányzat felhasználási keretek biztosítása, ellenőrzése. </w:t>
      </w:r>
      <w:r>
        <w:rPr>
          <w:rFonts w:ascii="Times New Roman" w:eastAsia="Times New Roman" w:hAnsi="Times New Roman" w:cs="Times New Roman"/>
          <w:i/>
          <w:kern w:val="2"/>
        </w:rPr>
        <w:t>(Financing the operation of public finances: tasks of the Hungarian State Treasury, keeping accounts, ensuring and controlling the use of appropriations.)</w:t>
      </w:r>
    </w:p>
    <w:p w:rsidR="00C70E5D" w:rsidRDefault="00C70E5D" w:rsidP="00980876">
      <w:pPr>
        <w:widowControl w:val="0"/>
        <w:numPr>
          <w:ilvl w:val="1"/>
          <w:numId w:val="344"/>
        </w:numPr>
        <w:tabs>
          <w:tab w:val="left" w:pos="709"/>
          <w:tab w:val="left" w:pos="993"/>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A költségvetési előirányzatokkal való gazdálkodás (tervezés, felhasználás, beszámolás) szabályai, feladatai</w:t>
      </w:r>
      <w:r>
        <w:rPr>
          <w:rFonts w:ascii="Times New Roman" w:eastAsia="Times New Roman" w:hAnsi="Times New Roman" w:cs="Times New Roman"/>
          <w:i/>
          <w:kern w:val="2"/>
        </w:rPr>
        <w:t>. (Rules and tasks of management of budget appropriations (planning, utilization, reporting))</w:t>
      </w:r>
    </w:p>
    <w:p w:rsidR="00C70E5D" w:rsidRDefault="00C70E5D" w:rsidP="00980876">
      <w:pPr>
        <w:widowControl w:val="0"/>
        <w:numPr>
          <w:ilvl w:val="1"/>
          <w:numId w:val="344"/>
        </w:numPr>
        <w:tabs>
          <w:tab w:val="left" w:pos="709"/>
          <w:tab w:val="left" w:pos="993"/>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 költségvetési szervek fogalma, és feladatai, típusai, alapításuk, megszüntetésük. A költségvetési szervek vezetőinek, gazdasági szervezetének feladatai, és felelőssége. </w:t>
      </w:r>
      <w:r>
        <w:rPr>
          <w:rFonts w:ascii="Times New Roman" w:eastAsia="Times New Roman" w:hAnsi="Times New Roman" w:cs="Times New Roman"/>
          <w:i/>
          <w:kern w:val="2"/>
        </w:rPr>
        <w:t>(The concept of budgetary organs, their tasks, types, their establishment and dissolution. Duties and responsibilities of the heads of budgetary institutions, their economic organization.)</w:t>
      </w:r>
    </w:p>
    <w:p w:rsidR="00C70E5D" w:rsidRDefault="00C70E5D" w:rsidP="00980876">
      <w:pPr>
        <w:widowControl w:val="0"/>
        <w:numPr>
          <w:ilvl w:val="1"/>
          <w:numId w:val="344"/>
        </w:numPr>
        <w:tabs>
          <w:tab w:val="left" w:pos="709"/>
          <w:tab w:val="left" w:pos="993"/>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 katonai gazdálkodás alapfogalmai, a védelmi kiadások helye az államháztartás rendszerében. </w:t>
      </w:r>
      <w:r>
        <w:rPr>
          <w:rFonts w:ascii="Times New Roman" w:eastAsia="Times New Roman" w:hAnsi="Times New Roman" w:cs="Times New Roman"/>
          <w:i/>
          <w:kern w:val="2"/>
        </w:rPr>
        <w:t>(Basic concepts of military management, place of defense expenditures in the system of public finances.)</w:t>
      </w:r>
    </w:p>
    <w:p w:rsidR="00C70E5D" w:rsidRDefault="00C70E5D" w:rsidP="00980876">
      <w:pPr>
        <w:widowControl w:val="0"/>
        <w:numPr>
          <w:ilvl w:val="1"/>
          <w:numId w:val="344"/>
        </w:numPr>
        <w:tabs>
          <w:tab w:val="left" w:pos="709"/>
          <w:tab w:val="left" w:pos="993"/>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 HM fejezet költségvetési gazdálkodása, annak sajátosságai. </w:t>
      </w:r>
      <w:r>
        <w:rPr>
          <w:rFonts w:ascii="Times New Roman" w:eastAsia="Times New Roman" w:hAnsi="Times New Roman" w:cs="Times New Roman"/>
          <w:i/>
          <w:kern w:val="2"/>
        </w:rPr>
        <w:t>(Budgetary management of the MoD chapter, its peculiarities.)</w:t>
      </w:r>
    </w:p>
    <w:p w:rsidR="00C70E5D" w:rsidRDefault="00C70E5D" w:rsidP="00980876">
      <w:pPr>
        <w:widowControl w:val="0"/>
        <w:numPr>
          <w:ilvl w:val="1"/>
          <w:numId w:val="344"/>
        </w:numPr>
        <w:tabs>
          <w:tab w:val="left" w:pos="709"/>
          <w:tab w:val="left" w:pos="993"/>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 Magyar Honvédség gazdálkodásának szervezete, tagozódása, központi és intézményi gazdálkodás. </w:t>
      </w:r>
      <w:r>
        <w:rPr>
          <w:rFonts w:ascii="Times New Roman" w:eastAsia="Times New Roman" w:hAnsi="Times New Roman" w:cs="Times New Roman"/>
          <w:i/>
          <w:kern w:val="2"/>
        </w:rPr>
        <w:t xml:space="preserve">(Organization, division, central and institutional management of the </w:t>
      </w:r>
      <w:r>
        <w:rPr>
          <w:rFonts w:ascii="Times New Roman" w:eastAsia="Times New Roman" w:hAnsi="Times New Roman" w:cs="Times New Roman"/>
          <w:i/>
          <w:kern w:val="2"/>
        </w:rPr>
        <w:lastRenderedPageBreak/>
        <w:t>Hungarian Defense Forces)</w:t>
      </w:r>
    </w:p>
    <w:p w:rsidR="00C70E5D" w:rsidRDefault="00C70E5D" w:rsidP="00980876">
      <w:pPr>
        <w:pStyle w:val="Listaszerbekezds"/>
        <w:widowControl w:val="0"/>
        <w:numPr>
          <w:ilvl w:val="0"/>
          <w:numId w:val="344"/>
        </w:numPr>
        <w:tabs>
          <w:tab w:val="left" w:pos="993"/>
        </w:tabs>
        <w:spacing w:before="120" w:after="120" w:line="240" w:lineRule="auto"/>
        <w:ind w:left="501"/>
        <w:jc w:val="both"/>
        <w:rPr>
          <w:rFonts w:ascii="Times New Roman" w:eastAsia="Times New Roman" w:hAnsi="Times New Roman" w:cs="Times New Roman"/>
          <w:bCs/>
        </w:rPr>
      </w:pPr>
      <w:r>
        <w:rPr>
          <w:rFonts w:ascii="Times New Roman" w:eastAsia="Times New Roman" w:hAnsi="Times New Roman" w:cs="Times New Roman"/>
          <w:b/>
          <w:bCs/>
        </w:rPr>
        <w:t xml:space="preserve">A tantárgy meghirdetésének gyakorisága/a tantervben történő félévi elhelyezkedése: </w:t>
      </w:r>
      <w:r>
        <w:rPr>
          <w:rFonts w:ascii="Times New Roman" w:eastAsia="Times New Roman" w:hAnsi="Times New Roman" w:cs="Times New Roman"/>
          <w:bCs/>
        </w:rPr>
        <w:t>a tanév 1. (őszi) félévében.</w:t>
      </w:r>
    </w:p>
    <w:p w:rsidR="00C70E5D" w:rsidRDefault="00C70E5D" w:rsidP="00980876">
      <w:pPr>
        <w:widowControl w:val="0"/>
        <w:numPr>
          <w:ilvl w:val="0"/>
          <w:numId w:val="344"/>
        </w:numPr>
        <w:spacing w:before="120" w:after="120" w:line="240" w:lineRule="auto"/>
        <w:ind w:left="501"/>
        <w:jc w:val="both"/>
        <w:rPr>
          <w:rFonts w:ascii="Times New Roman" w:eastAsia="Times New Roman" w:hAnsi="Times New Roman" w:cs="Times New Roman"/>
          <w:bCs/>
        </w:rPr>
      </w:pPr>
      <w:r>
        <w:rPr>
          <w:rFonts w:ascii="Times New Roman" w:eastAsia="Times New Roman" w:hAnsi="Times New Roman" w:cs="Times New Roman"/>
          <w:b/>
          <w:bCs/>
        </w:rPr>
        <w:t>A tanórákon való részvétel követelményei, az elfogadható hiányzások mértéke, a távolmaradás pótlásának lehetősége:</w:t>
      </w:r>
      <w:r>
        <w:rPr>
          <w:rFonts w:ascii="Times New Roman" w:eastAsia="Times New Roman" w:hAnsi="Times New Roman" w:cs="Times New Roman"/>
          <w:bCs/>
        </w:rPr>
        <w:t xml:space="preserve"> a tanórákon való jelenlét kötelező, az elfogadható és igazolt hiányzások száma maximum a tanórák 30%-áig terjedhet, az ismeretek pótlásáról a hallgató gondoskodik. A hiányzások elfogadható mértékének túllépése az aláírás megtagadását vonja maga után.</w:t>
      </w:r>
    </w:p>
    <w:p w:rsidR="00C70E5D" w:rsidRDefault="00C70E5D" w:rsidP="00980876">
      <w:pPr>
        <w:widowControl w:val="0"/>
        <w:numPr>
          <w:ilvl w:val="0"/>
          <w:numId w:val="344"/>
        </w:numPr>
        <w:spacing w:before="120" w:after="120" w:line="240" w:lineRule="auto"/>
        <w:ind w:left="501"/>
        <w:jc w:val="both"/>
        <w:rPr>
          <w:rFonts w:ascii="Times New Roman" w:eastAsia="Times New Roman" w:hAnsi="Times New Roman" w:cs="Times New Roman"/>
          <w:bCs/>
        </w:rPr>
      </w:pPr>
      <w:r>
        <w:rPr>
          <w:rFonts w:ascii="Times New Roman" w:eastAsia="Times New Roman" w:hAnsi="Times New Roman" w:cs="Times New Roman"/>
          <w:b/>
        </w:rPr>
        <w:t>Félévközi feladatok, ismeretek ellenőrzésének rendje:</w:t>
      </w:r>
      <w:r>
        <w:rPr>
          <w:rFonts w:ascii="Times New Roman" w:eastAsia="Times New Roman" w:hAnsi="Times New Roman" w:cs="Times New Roman"/>
        </w:rPr>
        <w:t xml:space="preserve"> A hallgató a félév során egy zárthelyi dolgozatot ír. A zárthelyi dolgozatok értékelése ötfokozatú skála alapján történik (50 %-tól elégséges, 65 %-tól közepes, 75-tól % jó, 85 %-tól jeles). A zárthelyi dolgozat egyszer pótolható, illetve sikertelensége esetén javítható.</w:t>
      </w:r>
    </w:p>
    <w:p w:rsidR="00C70E5D" w:rsidRDefault="00C70E5D" w:rsidP="00980876">
      <w:pPr>
        <w:widowControl w:val="0"/>
        <w:numPr>
          <w:ilvl w:val="0"/>
          <w:numId w:val="344"/>
        </w:numPr>
        <w:spacing w:before="120" w:after="120" w:line="240" w:lineRule="auto"/>
        <w:ind w:left="426" w:hanging="284"/>
        <w:jc w:val="both"/>
        <w:rPr>
          <w:rFonts w:ascii="Times New Roman" w:eastAsia="Times New Roman" w:hAnsi="Times New Roman" w:cs="Times New Roman"/>
          <w:b/>
          <w:bCs/>
        </w:rPr>
      </w:pPr>
      <w:r>
        <w:rPr>
          <w:rFonts w:ascii="Times New Roman" w:eastAsia="Times New Roman" w:hAnsi="Times New Roman" w:cs="Times New Roman"/>
          <w:b/>
          <w:bCs/>
        </w:rPr>
        <w:t xml:space="preserve">Az értékelés, az aláírás és a kreditek megszerzésének pontos feltételei: </w:t>
      </w:r>
    </w:p>
    <w:p w:rsidR="00C70E5D" w:rsidRDefault="00C70E5D" w:rsidP="00980876">
      <w:pPr>
        <w:widowControl w:val="0"/>
        <w:numPr>
          <w:ilvl w:val="1"/>
          <w:numId w:val="344"/>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Az aláírás megszerzésének feltételei:</w:t>
      </w:r>
      <w:r>
        <w:rPr>
          <w:rFonts w:ascii="Times New Roman" w:eastAsia="Times New Roman" w:hAnsi="Times New Roman" w:cs="Times New Roman"/>
        </w:rPr>
        <w:t xml:space="preserve"> Az aláírás megszerzésének feltétele a 14. pontban meghatározott arányú részvétel a foglalkozásokon és a 15. pontban meghatározott félévközi feladatok legalább elégséges teljesítése.</w:t>
      </w:r>
    </w:p>
    <w:p w:rsidR="00C70E5D" w:rsidRDefault="00C70E5D" w:rsidP="00980876">
      <w:pPr>
        <w:widowControl w:val="0"/>
        <w:numPr>
          <w:ilvl w:val="1"/>
          <w:numId w:val="344"/>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Az értékelés:</w:t>
      </w:r>
      <w:r>
        <w:rPr>
          <w:rFonts w:ascii="Times New Roman" w:eastAsia="Times New Roman" w:hAnsi="Times New Roman" w:cs="Times New Roman"/>
        </w:rPr>
        <w:t xml:space="preserve"> Kollokvium– szóbeli vizsga. A Tanszék beszámoló felkészülési kérdéseket ad ki. A vizsga tartalmát az előadáson elhangzottak és az alább felsorolt kötelező és ajánlott irodalmak anyagai képezik.</w:t>
      </w:r>
    </w:p>
    <w:p w:rsidR="00C70E5D" w:rsidRDefault="00C70E5D" w:rsidP="00980876">
      <w:pPr>
        <w:widowControl w:val="0"/>
        <w:numPr>
          <w:ilvl w:val="1"/>
          <w:numId w:val="344"/>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 kreditek megszerzésének feltételei:</w:t>
      </w:r>
      <w:r>
        <w:rPr>
          <w:rFonts w:ascii="Times New Roman" w:eastAsia="Times New Roman" w:hAnsi="Times New Roman" w:cs="Times New Roman"/>
        </w:rPr>
        <w:t xml:space="preserve"> A kreditek megszerzésének feltétele az aláírás megszerzése és legalább elégséges kollokviumi jegy.</w:t>
      </w:r>
    </w:p>
    <w:p w:rsidR="00C70E5D" w:rsidRDefault="00C70E5D" w:rsidP="00980876">
      <w:pPr>
        <w:widowControl w:val="0"/>
        <w:numPr>
          <w:ilvl w:val="0"/>
          <w:numId w:val="344"/>
        </w:numPr>
        <w:tabs>
          <w:tab w:val="num" w:pos="501"/>
        </w:tabs>
        <w:spacing w:before="120" w:after="120" w:line="240" w:lineRule="auto"/>
        <w:ind w:left="426" w:hanging="284"/>
        <w:jc w:val="both"/>
        <w:rPr>
          <w:rFonts w:ascii="Times New Roman" w:eastAsia="Times New Roman" w:hAnsi="Times New Roman" w:cs="Times New Roman"/>
          <w:bCs/>
        </w:rPr>
      </w:pPr>
      <w:r>
        <w:rPr>
          <w:rFonts w:ascii="Times New Roman" w:eastAsia="Times New Roman" w:hAnsi="Times New Roman" w:cs="Times New Roman"/>
          <w:b/>
          <w:bCs/>
        </w:rPr>
        <w:t>Irodalomjegyzék:</w:t>
      </w:r>
    </w:p>
    <w:p w:rsidR="00C70E5D" w:rsidRDefault="00C70E5D" w:rsidP="00980876">
      <w:pPr>
        <w:widowControl w:val="0"/>
        <w:numPr>
          <w:ilvl w:val="1"/>
          <w:numId w:val="344"/>
        </w:numPr>
        <w:tabs>
          <w:tab w:val="num" w:pos="780"/>
          <w:tab w:val="num" w:pos="2069"/>
        </w:tabs>
        <w:spacing w:before="120" w:after="120" w:line="240" w:lineRule="auto"/>
        <w:ind w:left="993" w:hanging="709"/>
        <w:jc w:val="both"/>
        <w:rPr>
          <w:rFonts w:ascii="Times New Roman" w:eastAsia="Times New Roman" w:hAnsi="Times New Roman" w:cs="Times New Roman"/>
          <w:b/>
          <w:bCs/>
        </w:rPr>
      </w:pPr>
      <w:r>
        <w:rPr>
          <w:rFonts w:ascii="Times New Roman" w:eastAsia="Times New Roman" w:hAnsi="Times New Roman" w:cs="Times New Roman"/>
          <w:b/>
          <w:bCs/>
        </w:rPr>
        <w:t>Kötelező irodalom:</w:t>
      </w:r>
    </w:p>
    <w:p w:rsidR="00C70E5D" w:rsidRDefault="00C70E5D" w:rsidP="00980876">
      <w:pPr>
        <w:pStyle w:val="Listaszerbekezds"/>
        <w:widowControl w:val="0"/>
        <w:numPr>
          <w:ilvl w:val="2"/>
          <w:numId w:val="345"/>
        </w:numPr>
        <w:tabs>
          <w:tab w:val="left" w:pos="993"/>
        </w:tabs>
        <w:spacing w:before="120" w:after="120" w:line="240" w:lineRule="auto"/>
        <w:jc w:val="both"/>
        <w:rPr>
          <w:rFonts w:ascii="Times New Roman" w:eastAsia="Times New Roman" w:hAnsi="Times New Roman" w:cs="Times New Roman"/>
        </w:rPr>
      </w:pPr>
      <w:r>
        <w:rPr>
          <w:rFonts w:ascii="Times New Roman" w:eastAsia="Times New Roman" w:hAnsi="Times New Roman" w:cs="Times New Roman"/>
        </w:rPr>
        <w:t>Koháriné dr. Papp Edit: Államháztartási ismeretek (PR-312/11, Perfekt K.)</w:t>
      </w:r>
    </w:p>
    <w:p w:rsidR="00A30EA9" w:rsidRPr="00A30EA9" w:rsidRDefault="00A30EA9" w:rsidP="00980876">
      <w:pPr>
        <w:pStyle w:val="Listaszerbekezds"/>
        <w:widowControl w:val="0"/>
        <w:numPr>
          <w:ilvl w:val="2"/>
          <w:numId w:val="345"/>
        </w:numPr>
        <w:tabs>
          <w:tab w:val="left" w:pos="993"/>
        </w:tabs>
        <w:spacing w:before="120" w:after="120" w:line="240" w:lineRule="auto"/>
        <w:jc w:val="both"/>
        <w:rPr>
          <w:rFonts w:ascii="Times New Roman" w:eastAsia="Times New Roman" w:hAnsi="Times New Roman" w:cs="Times New Roman"/>
          <w:highlight w:val="yellow"/>
        </w:rPr>
      </w:pPr>
      <w:r w:rsidRPr="00A30EA9">
        <w:rPr>
          <w:rFonts w:ascii="Times New Roman" w:eastAsia="Times New Roman" w:hAnsi="Times New Roman" w:cs="Times New Roman"/>
          <w:highlight w:val="yellow"/>
        </w:rPr>
        <w:t>Kolozsi Pál Péter: Közpénzügyek és államháztartás (Dialóg Campus Kiadó, Budapest 2017) p.104, ISBN 978-615-5764-12-7 (elektronikus)</w:t>
      </w:r>
    </w:p>
    <w:p w:rsidR="00C70E5D" w:rsidRDefault="00C70E5D" w:rsidP="00980876">
      <w:pPr>
        <w:pStyle w:val="Listaszerbekezds"/>
        <w:widowControl w:val="0"/>
        <w:numPr>
          <w:ilvl w:val="2"/>
          <w:numId w:val="345"/>
        </w:numPr>
        <w:tabs>
          <w:tab w:val="left" w:pos="993"/>
        </w:tabs>
        <w:spacing w:before="120" w:after="120" w:line="240" w:lineRule="auto"/>
        <w:jc w:val="both"/>
        <w:rPr>
          <w:rFonts w:ascii="Times New Roman" w:eastAsia="Times New Roman" w:hAnsi="Times New Roman" w:cs="Times New Roman"/>
        </w:rPr>
      </w:pPr>
      <w:r>
        <w:rPr>
          <w:rFonts w:ascii="Times New Roman" w:eastAsia="Times New Roman" w:hAnsi="Times New Roman" w:cs="Times New Roman"/>
        </w:rPr>
        <w:t>346/2009. (XII.30) Korm. rendelet a honvédelmi szervezetek működésének az államháztartás működési rendjétől eltérő szabályairól</w:t>
      </w:r>
    </w:p>
    <w:p w:rsidR="00A55B23" w:rsidRPr="00A55B23" w:rsidRDefault="00A55B23" w:rsidP="00980876">
      <w:pPr>
        <w:pStyle w:val="Listaszerbekezds"/>
        <w:widowControl w:val="0"/>
        <w:numPr>
          <w:ilvl w:val="2"/>
          <w:numId w:val="345"/>
        </w:numPr>
        <w:tabs>
          <w:tab w:val="left" w:pos="993"/>
        </w:tabs>
        <w:spacing w:before="120" w:after="120" w:line="240" w:lineRule="auto"/>
        <w:jc w:val="both"/>
        <w:rPr>
          <w:rFonts w:ascii="Times New Roman" w:eastAsia="Times New Roman" w:hAnsi="Times New Roman" w:cs="Times New Roman"/>
          <w:highlight w:val="yellow"/>
        </w:rPr>
      </w:pPr>
      <w:r w:rsidRPr="00A55B23">
        <w:rPr>
          <w:rFonts w:ascii="Times New Roman" w:eastAsia="Times New Roman" w:hAnsi="Times New Roman" w:cs="Times New Roman"/>
          <w:highlight w:val="yellow"/>
        </w:rPr>
        <w:t>Hatályos szakterületi MH szabályzók</w:t>
      </w:r>
    </w:p>
    <w:p w:rsidR="00C70E5D" w:rsidRDefault="00C70E5D" w:rsidP="00980876">
      <w:pPr>
        <w:widowControl w:val="0"/>
        <w:numPr>
          <w:ilvl w:val="1"/>
          <w:numId w:val="344"/>
        </w:numPr>
        <w:tabs>
          <w:tab w:val="num" w:pos="780"/>
          <w:tab w:val="num" w:pos="2069"/>
        </w:tabs>
        <w:spacing w:before="120" w:after="120" w:line="240" w:lineRule="auto"/>
        <w:ind w:left="993" w:hanging="709"/>
        <w:jc w:val="both"/>
        <w:rPr>
          <w:rFonts w:ascii="Times New Roman" w:eastAsia="Times New Roman" w:hAnsi="Times New Roman" w:cs="Times New Roman"/>
          <w:b/>
          <w:bCs/>
        </w:rPr>
      </w:pPr>
      <w:r>
        <w:rPr>
          <w:rFonts w:ascii="Times New Roman" w:eastAsia="Times New Roman" w:hAnsi="Times New Roman" w:cs="Times New Roman"/>
          <w:b/>
          <w:bCs/>
        </w:rPr>
        <w:t>Ajánlott irodalom:</w:t>
      </w:r>
    </w:p>
    <w:p w:rsidR="00C70E5D" w:rsidRPr="00276952" w:rsidRDefault="00C70E5D" w:rsidP="00980876">
      <w:pPr>
        <w:pStyle w:val="Listaszerbekezds"/>
        <w:widowControl w:val="0"/>
        <w:numPr>
          <w:ilvl w:val="2"/>
          <w:numId w:val="346"/>
        </w:numPr>
        <w:tabs>
          <w:tab w:val="left" w:pos="993"/>
        </w:tabs>
        <w:spacing w:before="120" w:after="120" w:line="240" w:lineRule="auto"/>
        <w:jc w:val="both"/>
        <w:rPr>
          <w:rFonts w:ascii="Times New Roman" w:eastAsia="Times New Roman" w:hAnsi="Times New Roman" w:cs="Times New Roman"/>
        </w:rPr>
      </w:pPr>
      <w:r w:rsidRPr="00276952">
        <w:rPr>
          <w:rFonts w:ascii="Times New Roman" w:eastAsia="Times New Roman" w:hAnsi="Times New Roman" w:cs="Times New Roman"/>
        </w:rPr>
        <w:t>A szükséges mértékben a tananyag elsajátítását segítő más jogszabályok, szakutasítások, intézkedések.</w:t>
      </w:r>
    </w:p>
    <w:p w:rsidR="00C70E5D" w:rsidRDefault="00C70E5D" w:rsidP="00C70E5D">
      <w:pPr>
        <w:pStyle w:val="Listaszerbekezds"/>
        <w:widowControl w:val="0"/>
        <w:tabs>
          <w:tab w:val="left" w:pos="993"/>
        </w:tabs>
        <w:spacing w:before="120" w:after="120" w:line="240" w:lineRule="auto"/>
        <w:ind w:left="1584"/>
        <w:jc w:val="both"/>
        <w:rPr>
          <w:rFonts w:ascii="Times New Roman" w:eastAsia="Times New Roman" w:hAnsi="Times New Roman" w:cs="Times New Roman"/>
        </w:rPr>
      </w:pPr>
    </w:p>
    <w:p w:rsidR="00C70E5D" w:rsidRDefault="00C70E5D" w:rsidP="00C70E5D">
      <w:pPr>
        <w:widowControl w:val="0"/>
        <w:spacing w:before="120" w:after="120" w:line="240" w:lineRule="auto"/>
        <w:jc w:val="both"/>
        <w:rPr>
          <w:rFonts w:ascii="Times New Roman" w:eastAsia="Times New Roman" w:hAnsi="Times New Roman" w:cs="Times New Roman"/>
          <w:bCs/>
        </w:rPr>
      </w:pPr>
      <w:r>
        <w:rPr>
          <w:rFonts w:ascii="Times New Roman" w:eastAsia="Times New Roman" w:hAnsi="Times New Roman" w:cs="Times New Roman"/>
          <w:bCs/>
        </w:rPr>
        <w:t>Budapest, 2020.02.20.</w:t>
      </w:r>
    </w:p>
    <w:p w:rsidR="00C70E5D" w:rsidRDefault="00C70E5D" w:rsidP="00C70E5D">
      <w:pPr>
        <w:widowControl w:val="0"/>
        <w:spacing w:before="120" w:after="120" w:line="240" w:lineRule="auto"/>
        <w:jc w:val="both"/>
        <w:rPr>
          <w:rFonts w:ascii="Times New Roman" w:eastAsia="Times New Roman" w:hAnsi="Times New Roman" w:cs="Times New Roman"/>
          <w:bCs/>
        </w:rPr>
      </w:pPr>
    </w:p>
    <w:p w:rsidR="00C70E5D" w:rsidRPr="00276952" w:rsidRDefault="00C70E5D" w:rsidP="00C70E5D">
      <w:pPr>
        <w:widowControl w:val="0"/>
        <w:spacing w:after="0" w:line="240" w:lineRule="auto"/>
        <w:ind w:left="5664" w:firstLine="708"/>
        <w:jc w:val="center"/>
        <w:rPr>
          <w:rFonts w:ascii="Times New Roman" w:eastAsia="Times New Roman" w:hAnsi="Times New Roman" w:cs="Times New Roman"/>
          <w:b/>
          <w:bCs/>
        </w:rPr>
      </w:pPr>
      <w:r w:rsidRPr="00276952">
        <w:rPr>
          <w:rFonts w:ascii="Times New Roman" w:eastAsia="Times New Roman" w:hAnsi="Times New Roman" w:cs="Times New Roman"/>
          <w:b/>
          <w:bCs/>
        </w:rPr>
        <w:t>Dr. Taksás Balázs (PhD)</w:t>
      </w:r>
    </w:p>
    <w:p w:rsidR="00C70E5D" w:rsidRDefault="00C70E5D" w:rsidP="00C70E5D">
      <w:pPr>
        <w:widowControl w:val="0"/>
        <w:spacing w:after="0" w:line="240" w:lineRule="auto"/>
        <w:ind w:left="5664" w:firstLine="708"/>
        <w:jc w:val="center"/>
        <w:rPr>
          <w:rFonts w:ascii="Times New Roman" w:eastAsia="Times New Roman" w:hAnsi="Times New Roman" w:cs="Times New Roman"/>
          <w:bCs/>
        </w:rPr>
      </w:pPr>
      <w:r>
        <w:rPr>
          <w:rFonts w:ascii="Times New Roman" w:eastAsia="Times New Roman" w:hAnsi="Times New Roman" w:cs="Times New Roman"/>
          <w:bCs/>
        </w:rPr>
        <w:t>egyetemi docens s.k.</w:t>
      </w:r>
    </w:p>
    <w:p w:rsidR="00C70E5D" w:rsidRDefault="00C70E5D" w:rsidP="00C70E5D">
      <w:pPr>
        <w:spacing w:after="200" w:line="276" w:lineRule="auto"/>
        <w:rPr>
          <w:rFonts w:ascii="Times New Roman" w:hAnsi="Times New Roman" w:cs="Times New Roman"/>
          <w:sz w:val="24"/>
        </w:rPr>
      </w:pPr>
    </w:p>
    <w:p w:rsidR="00145684" w:rsidRDefault="00145684">
      <w:pPr>
        <w:spacing w:after="200" w:line="276" w:lineRule="auto"/>
        <w:rPr>
          <w:rFonts w:ascii="Times New Roman" w:hAnsi="Times New Roman" w:cs="Times New Roman"/>
          <w:b/>
          <w:color w:val="FF0000"/>
          <w:sz w:val="24"/>
        </w:rPr>
      </w:pPr>
      <w:r>
        <w:rPr>
          <w:rFonts w:ascii="Times New Roman" w:hAnsi="Times New Roman" w:cs="Times New Roman"/>
          <w:b/>
          <w:color w:val="FF0000"/>
          <w:sz w:val="24"/>
        </w:rPr>
        <w:br w:type="page"/>
      </w:r>
    </w:p>
    <w:tbl>
      <w:tblPr>
        <w:tblW w:w="9072" w:type="dxa"/>
        <w:tblInd w:w="113" w:type="dxa"/>
        <w:tblLook w:val="01E0" w:firstRow="1" w:lastRow="1" w:firstColumn="1" w:lastColumn="1" w:noHBand="0" w:noVBand="0"/>
      </w:tblPr>
      <w:tblGrid>
        <w:gridCol w:w="4855"/>
        <w:gridCol w:w="1620"/>
        <w:gridCol w:w="2597"/>
      </w:tblGrid>
      <w:tr w:rsidR="00145684" w:rsidRPr="006A233B" w:rsidTr="00892EBF">
        <w:tc>
          <w:tcPr>
            <w:tcW w:w="4855" w:type="dxa"/>
            <w:tcBorders>
              <w:bottom w:val="single" w:sz="4" w:space="0" w:color="auto"/>
            </w:tcBorders>
          </w:tcPr>
          <w:p w:rsidR="00145684" w:rsidRPr="006A233B" w:rsidRDefault="00145684" w:rsidP="00892EBF">
            <w:pPr>
              <w:spacing w:after="0" w:line="240" w:lineRule="auto"/>
              <w:jc w:val="center"/>
              <w:rPr>
                <w:rFonts w:ascii="Times New Roman" w:eastAsia="Times New Roman" w:hAnsi="Times New Roman" w:cs="Times New Roman"/>
                <w:b/>
                <w:smallCaps/>
                <w:lang w:eastAsia="hu-HU"/>
              </w:rPr>
            </w:pPr>
            <w:r w:rsidRPr="006A233B">
              <w:rPr>
                <w:rFonts w:ascii="Times New Roman" w:eastAsia="Times New Roman" w:hAnsi="Times New Roman" w:cs="Times New Roman"/>
                <w:b/>
                <w:smallCaps/>
                <w:lang w:eastAsia="hu-HU"/>
              </w:rPr>
              <w:lastRenderedPageBreak/>
              <w:t>Nemzeti Közszolgálati Egyetem</w:t>
            </w:r>
          </w:p>
        </w:tc>
        <w:tc>
          <w:tcPr>
            <w:tcW w:w="1620" w:type="dxa"/>
          </w:tcPr>
          <w:p w:rsidR="00145684" w:rsidRPr="006A233B" w:rsidRDefault="00145684" w:rsidP="00892EBF">
            <w:pPr>
              <w:spacing w:after="0" w:line="240" w:lineRule="auto"/>
              <w:jc w:val="both"/>
              <w:rPr>
                <w:rFonts w:ascii="Times New Roman" w:eastAsia="Times New Roman" w:hAnsi="Times New Roman" w:cs="Times New Roman"/>
                <w:lang w:eastAsia="hu-HU"/>
              </w:rPr>
            </w:pPr>
          </w:p>
        </w:tc>
        <w:tc>
          <w:tcPr>
            <w:tcW w:w="2597" w:type="dxa"/>
          </w:tcPr>
          <w:p w:rsidR="00145684" w:rsidRPr="006A233B" w:rsidRDefault="00145684" w:rsidP="00892EBF">
            <w:pPr>
              <w:spacing w:after="0" w:line="240" w:lineRule="auto"/>
              <w:jc w:val="right"/>
              <w:rPr>
                <w:rFonts w:ascii="Times New Roman" w:eastAsia="Times New Roman" w:hAnsi="Times New Roman" w:cs="Times New Roman"/>
                <w:lang w:eastAsia="hu-HU"/>
              </w:rPr>
            </w:pPr>
          </w:p>
        </w:tc>
      </w:tr>
      <w:tr w:rsidR="00145684" w:rsidRPr="006A233B" w:rsidTr="00892EBF">
        <w:tc>
          <w:tcPr>
            <w:tcW w:w="4855" w:type="dxa"/>
            <w:tcBorders>
              <w:top w:val="single" w:sz="4" w:space="0" w:color="auto"/>
            </w:tcBorders>
          </w:tcPr>
          <w:p w:rsidR="00145684" w:rsidRPr="006A233B" w:rsidRDefault="00145684" w:rsidP="00892EBF">
            <w:pPr>
              <w:spacing w:after="0" w:line="240" w:lineRule="auto"/>
              <w:jc w:val="center"/>
              <w:rPr>
                <w:rFonts w:ascii="Times New Roman" w:eastAsia="Times New Roman" w:hAnsi="Times New Roman" w:cs="Times New Roman"/>
                <w:b/>
                <w:lang w:eastAsia="hu-HU"/>
              </w:rPr>
            </w:pPr>
            <w:r w:rsidRPr="006A233B">
              <w:rPr>
                <w:rFonts w:ascii="Times New Roman" w:eastAsia="Times New Roman" w:hAnsi="Times New Roman" w:cs="Times New Roman"/>
                <w:b/>
                <w:lang w:eastAsia="hu-HU"/>
              </w:rPr>
              <w:t>Hadtudományi és Honvédtisztképző Kar</w:t>
            </w:r>
          </w:p>
        </w:tc>
        <w:tc>
          <w:tcPr>
            <w:tcW w:w="1620" w:type="dxa"/>
          </w:tcPr>
          <w:p w:rsidR="00145684" w:rsidRPr="006A233B" w:rsidRDefault="00145684" w:rsidP="00892EBF">
            <w:pPr>
              <w:spacing w:after="0" w:line="240" w:lineRule="auto"/>
              <w:jc w:val="both"/>
              <w:rPr>
                <w:rFonts w:ascii="Times New Roman" w:eastAsia="Times New Roman" w:hAnsi="Times New Roman" w:cs="Times New Roman"/>
                <w:lang w:eastAsia="hu-HU"/>
              </w:rPr>
            </w:pPr>
          </w:p>
        </w:tc>
        <w:tc>
          <w:tcPr>
            <w:tcW w:w="2597" w:type="dxa"/>
          </w:tcPr>
          <w:p w:rsidR="00145684" w:rsidRPr="006A233B" w:rsidRDefault="00145684" w:rsidP="00892EBF">
            <w:pPr>
              <w:spacing w:after="0" w:line="240" w:lineRule="auto"/>
              <w:jc w:val="both"/>
              <w:rPr>
                <w:rFonts w:ascii="Times New Roman" w:eastAsia="Times New Roman" w:hAnsi="Times New Roman" w:cs="Times New Roman"/>
                <w:lang w:eastAsia="hu-HU"/>
              </w:rPr>
            </w:pPr>
          </w:p>
        </w:tc>
      </w:tr>
    </w:tbl>
    <w:p w:rsidR="00145684" w:rsidRPr="006A233B" w:rsidRDefault="00145684" w:rsidP="00145684">
      <w:pPr>
        <w:widowControl w:val="0"/>
        <w:spacing w:before="120" w:after="120" w:line="240" w:lineRule="auto"/>
        <w:ind w:left="426" w:hanging="142"/>
        <w:jc w:val="center"/>
        <w:rPr>
          <w:rFonts w:ascii="Times New Roman" w:eastAsia="Times New Roman" w:hAnsi="Times New Roman" w:cs="Times New Roman"/>
          <w:b/>
          <w:bCs/>
        </w:rPr>
      </w:pPr>
    </w:p>
    <w:p w:rsidR="00145684" w:rsidRPr="006A233B" w:rsidRDefault="00145684" w:rsidP="00145684">
      <w:pPr>
        <w:widowControl w:val="0"/>
        <w:spacing w:before="120" w:after="120" w:line="240" w:lineRule="auto"/>
        <w:ind w:left="426" w:hanging="142"/>
        <w:jc w:val="center"/>
        <w:rPr>
          <w:rFonts w:ascii="Times New Roman" w:eastAsia="Times New Roman" w:hAnsi="Times New Roman" w:cs="Times New Roman"/>
          <w:b/>
          <w:bCs/>
        </w:rPr>
      </w:pPr>
      <w:r w:rsidRPr="006A233B">
        <w:rPr>
          <w:rFonts w:ascii="Times New Roman" w:eastAsia="Times New Roman" w:hAnsi="Times New Roman" w:cs="Times New Roman"/>
          <w:b/>
          <w:bCs/>
        </w:rPr>
        <w:t>TANTÁRGYI PROGRAM</w:t>
      </w:r>
    </w:p>
    <w:p w:rsidR="00145684" w:rsidRPr="00F20098" w:rsidRDefault="00145684" w:rsidP="00980876">
      <w:pPr>
        <w:widowControl w:val="0"/>
        <w:numPr>
          <w:ilvl w:val="0"/>
          <w:numId w:val="349"/>
        </w:numPr>
        <w:spacing w:before="120" w:after="120" w:line="240" w:lineRule="auto"/>
        <w:ind w:left="426" w:hanging="142"/>
        <w:jc w:val="both"/>
        <w:rPr>
          <w:rFonts w:ascii="Times New Roman" w:eastAsia="Times New Roman" w:hAnsi="Times New Roman" w:cs="Times New Roman"/>
          <w:b/>
          <w:bCs/>
          <w:lang w:val="en-GB"/>
        </w:rPr>
      </w:pPr>
      <w:r w:rsidRPr="00F20098">
        <w:rPr>
          <w:rFonts w:ascii="Times New Roman" w:eastAsia="Times New Roman" w:hAnsi="Times New Roman" w:cs="Times New Roman"/>
          <w:b/>
          <w:bCs/>
        </w:rPr>
        <w:t xml:space="preserve">A tantárgy kódja: </w:t>
      </w:r>
      <w:r w:rsidRPr="00F20098">
        <w:rPr>
          <w:rFonts w:ascii="Times New Roman" w:eastAsia="Times New Roman" w:hAnsi="Times New Roman" w:cs="Times New Roman"/>
          <w:bCs/>
        </w:rPr>
        <w:t>HKHPKA510</w:t>
      </w:r>
    </w:p>
    <w:p w:rsidR="00145684" w:rsidRPr="00F20098" w:rsidRDefault="00145684" w:rsidP="00980876">
      <w:pPr>
        <w:widowControl w:val="0"/>
        <w:numPr>
          <w:ilvl w:val="0"/>
          <w:numId w:val="349"/>
        </w:numPr>
        <w:spacing w:before="120" w:after="120" w:line="240" w:lineRule="auto"/>
        <w:ind w:left="426" w:hanging="142"/>
        <w:jc w:val="both"/>
        <w:rPr>
          <w:rFonts w:ascii="Times New Roman" w:eastAsia="Times New Roman" w:hAnsi="Times New Roman" w:cs="Times New Roman"/>
          <w:b/>
          <w:bCs/>
          <w:lang w:val="en-GB"/>
        </w:rPr>
      </w:pPr>
      <w:r w:rsidRPr="00F20098">
        <w:rPr>
          <w:rFonts w:ascii="Times New Roman" w:eastAsia="Times New Roman" w:hAnsi="Times New Roman" w:cs="Times New Roman"/>
          <w:b/>
          <w:bCs/>
        </w:rPr>
        <w:t>A tantárgy megnevezése (magyarul):</w:t>
      </w:r>
      <w:r w:rsidRPr="00F20098">
        <w:rPr>
          <w:rFonts w:ascii="Times New Roman" w:eastAsia="Times New Roman" w:hAnsi="Times New Roman" w:cs="Times New Roman"/>
          <w:bCs/>
        </w:rPr>
        <w:t xml:space="preserve"> </w:t>
      </w:r>
      <w:r w:rsidRPr="00F20098">
        <w:rPr>
          <w:rFonts w:ascii="Times New Roman" w:hAnsi="Times New Roman" w:cs="Times New Roman"/>
          <w:bCs/>
        </w:rPr>
        <w:t>Katonai illetmények és járandóságok</w:t>
      </w:r>
    </w:p>
    <w:p w:rsidR="00145684" w:rsidRPr="007A0AC1" w:rsidRDefault="00145684" w:rsidP="00980876">
      <w:pPr>
        <w:widowControl w:val="0"/>
        <w:numPr>
          <w:ilvl w:val="0"/>
          <w:numId w:val="349"/>
        </w:numPr>
        <w:tabs>
          <w:tab w:val="num" w:pos="567"/>
        </w:tabs>
        <w:spacing w:before="120" w:after="120" w:line="240" w:lineRule="auto"/>
        <w:ind w:left="426" w:hanging="142"/>
        <w:jc w:val="both"/>
        <w:rPr>
          <w:rFonts w:ascii="Times New Roman" w:eastAsia="Times New Roman" w:hAnsi="Times New Roman" w:cs="Times New Roman"/>
          <w:bCs/>
          <w:lang w:val="en-GB"/>
        </w:rPr>
      </w:pPr>
      <w:r w:rsidRPr="006A233B">
        <w:rPr>
          <w:rFonts w:ascii="Times New Roman" w:eastAsia="Times New Roman" w:hAnsi="Times New Roman" w:cs="Times New Roman"/>
          <w:b/>
          <w:bCs/>
        </w:rPr>
        <w:t xml:space="preserve">A tantárgy megnevezése (angolul): </w:t>
      </w:r>
      <w:r w:rsidRPr="00A5302C">
        <w:rPr>
          <w:rFonts w:ascii="Times New Roman" w:eastAsia="Times New Roman" w:hAnsi="Times New Roman" w:cs="Times New Roman"/>
          <w:bCs/>
        </w:rPr>
        <w:t>Military payments and allowances</w:t>
      </w:r>
    </w:p>
    <w:p w:rsidR="00145684" w:rsidRPr="006A233B" w:rsidRDefault="00145684" w:rsidP="00980876">
      <w:pPr>
        <w:widowControl w:val="0"/>
        <w:numPr>
          <w:ilvl w:val="0"/>
          <w:numId w:val="349"/>
        </w:numPr>
        <w:tabs>
          <w:tab w:val="num" w:pos="567"/>
        </w:tabs>
        <w:spacing w:before="120" w:after="120" w:line="240" w:lineRule="auto"/>
        <w:ind w:left="426" w:hanging="142"/>
        <w:jc w:val="both"/>
        <w:rPr>
          <w:rFonts w:ascii="Times New Roman" w:eastAsia="Times New Roman" w:hAnsi="Times New Roman" w:cs="Times New Roman"/>
          <w:b/>
          <w:bCs/>
        </w:rPr>
      </w:pPr>
      <w:r w:rsidRPr="006A233B">
        <w:rPr>
          <w:rFonts w:ascii="Times New Roman" w:eastAsia="Times New Roman" w:hAnsi="Times New Roman" w:cs="Times New Roman"/>
          <w:b/>
          <w:bCs/>
        </w:rPr>
        <w:t xml:space="preserve">Kreditérték és képzési karakter: </w:t>
      </w:r>
    </w:p>
    <w:p w:rsidR="00145684" w:rsidRPr="006A233B" w:rsidRDefault="00145684" w:rsidP="00980876">
      <w:pPr>
        <w:pStyle w:val="Listaszerbekezds"/>
        <w:widowControl w:val="0"/>
        <w:numPr>
          <w:ilvl w:val="1"/>
          <w:numId w:val="349"/>
        </w:numPr>
        <w:tabs>
          <w:tab w:val="clear" w:pos="3977"/>
          <w:tab w:val="num" w:pos="1566"/>
        </w:tabs>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2</w:t>
      </w:r>
      <w:r w:rsidRPr="006A233B">
        <w:rPr>
          <w:rFonts w:ascii="Times New Roman" w:eastAsia="Times New Roman" w:hAnsi="Times New Roman" w:cs="Times New Roman"/>
          <w:bCs/>
        </w:rPr>
        <w:t xml:space="preserve"> kredit</w:t>
      </w:r>
    </w:p>
    <w:p w:rsidR="00145684" w:rsidRPr="006A233B" w:rsidRDefault="00145684" w:rsidP="00980876">
      <w:pPr>
        <w:pStyle w:val="Listaszerbekezds"/>
        <w:widowControl w:val="0"/>
        <w:numPr>
          <w:ilvl w:val="1"/>
          <w:numId w:val="349"/>
        </w:numPr>
        <w:tabs>
          <w:tab w:val="clear" w:pos="3977"/>
          <w:tab w:val="num" w:pos="1566"/>
        </w:tabs>
        <w:spacing w:before="120" w:after="120" w:line="240" w:lineRule="auto"/>
        <w:ind w:left="993" w:hanging="426"/>
        <w:jc w:val="both"/>
        <w:rPr>
          <w:rFonts w:ascii="Times New Roman" w:eastAsia="Times New Roman" w:hAnsi="Times New Roman" w:cs="Times New Roman"/>
          <w:b/>
          <w:bCs/>
        </w:rPr>
      </w:pPr>
      <w:r w:rsidRPr="006A233B">
        <w:rPr>
          <w:rFonts w:ascii="Times New Roman" w:eastAsia="Times New Roman" w:hAnsi="Times New Roman" w:cs="Times New Roman"/>
          <w:bCs/>
        </w:rPr>
        <w:t xml:space="preserve">a tantárgy elméleti vagy gyakorlati jellegének mértéke: </w:t>
      </w:r>
      <w:r>
        <w:rPr>
          <w:rFonts w:ascii="Times New Roman" w:eastAsia="Times New Roman" w:hAnsi="Times New Roman" w:cs="Times New Roman"/>
          <w:bCs/>
        </w:rPr>
        <w:t>50</w:t>
      </w:r>
      <w:r w:rsidRPr="006A233B">
        <w:rPr>
          <w:rFonts w:ascii="Times New Roman" w:eastAsia="Times New Roman" w:hAnsi="Times New Roman" w:cs="Times New Roman"/>
          <w:b/>
          <w:bCs/>
        </w:rPr>
        <w:t xml:space="preserve"> </w:t>
      </w:r>
      <w:r w:rsidRPr="006A233B">
        <w:rPr>
          <w:rFonts w:ascii="Times New Roman" w:eastAsia="Times New Roman" w:hAnsi="Times New Roman" w:cs="Times New Roman"/>
          <w:bCs/>
        </w:rPr>
        <w:t xml:space="preserve">% gyakorlat, </w:t>
      </w:r>
      <w:r>
        <w:rPr>
          <w:rFonts w:ascii="Times New Roman" w:eastAsia="Times New Roman" w:hAnsi="Times New Roman" w:cs="Times New Roman"/>
          <w:bCs/>
        </w:rPr>
        <w:t>50</w:t>
      </w:r>
      <w:r w:rsidRPr="006A233B">
        <w:rPr>
          <w:rFonts w:ascii="Times New Roman" w:eastAsia="Times New Roman" w:hAnsi="Times New Roman" w:cs="Times New Roman"/>
          <w:bCs/>
        </w:rPr>
        <w:t xml:space="preserve"> % elmélet</w:t>
      </w:r>
    </w:p>
    <w:p w:rsidR="00145684" w:rsidRPr="006A233B" w:rsidRDefault="00145684" w:rsidP="00980876">
      <w:pPr>
        <w:widowControl w:val="0"/>
        <w:numPr>
          <w:ilvl w:val="0"/>
          <w:numId w:val="349"/>
        </w:numPr>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bCs/>
        </w:rPr>
        <w:t>A szak(ok), szakirányok/specializációk megnevezése (ahol oktatják):</w:t>
      </w:r>
      <w:r w:rsidRPr="006A233B">
        <w:rPr>
          <w:rFonts w:ascii="Times New Roman" w:eastAsia="Times New Roman" w:hAnsi="Times New Roman" w:cs="Times New Roman"/>
          <w:bCs/>
        </w:rPr>
        <w:t xml:space="preserve"> </w:t>
      </w:r>
      <w:r>
        <w:rPr>
          <w:rFonts w:ascii="Times New Roman" w:hAnsi="Times New Roman" w:cs="Times New Roman"/>
          <w:bCs/>
        </w:rPr>
        <w:t xml:space="preserve">NKE HHK katonai alapképzési szak, </w:t>
      </w:r>
      <w:r>
        <w:rPr>
          <w:rFonts w:ascii="Times New Roman" w:eastAsia="Times New Roman" w:hAnsi="Times New Roman" w:cs="Times New Roman"/>
          <w:bCs/>
        </w:rPr>
        <w:t>Katonai pénzügyi specializáció</w:t>
      </w:r>
    </w:p>
    <w:p w:rsidR="00145684" w:rsidRPr="006A233B" w:rsidRDefault="00145684" w:rsidP="00980876">
      <w:pPr>
        <w:widowControl w:val="0"/>
        <w:numPr>
          <w:ilvl w:val="0"/>
          <w:numId w:val="349"/>
        </w:numPr>
        <w:tabs>
          <w:tab w:val="num" w:pos="567"/>
        </w:tabs>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bCs/>
        </w:rPr>
        <w:t xml:space="preserve">Az oktatásért felelős oktatási szervezeti egység megnevezése: </w:t>
      </w:r>
      <w:r w:rsidRPr="006A233B">
        <w:rPr>
          <w:rFonts w:ascii="Times New Roman" w:hAnsi="Times New Roman" w:cs="Times New Roman"/>
          <w:bCs/>
        </w:rPr>
        <w:t>NKE HHK Had</w:t>
      </w:r>
      <w:r>
        <w:rPr>
          <w:rFonts w:ascii="Times New Roman" w:hAnsi="Times New Roman" w:cs="Times New Roman"/>
          <w:bCs/>
        </w:rPr>
        <w:t>táp, Pénzügyi és Katonai Közlekedési Tanszék</w:t>
      </w:r>
    </w:p>
    <w:p w:rsidR="00145684" w:rsidRPr="006A233B" w:rsidRDefault="00145684" w:rsidP="00980876">
      <w:pPr>
        <w:widowControl w:val="0"/>
        <w:numPr>
          <w:ilvl w:val="0"/>
          <w:numId w:val="349"/>
        </w:numPr>
        <w:tabs>
          <w:tab w:val="num" w:pos="567"/>
        </w:tabs>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bCs/>
        </w:rPr>
        <w:t>A tantárgyfelelős oktató neve, beosztása, tudományos fokozata:</w:t>
      </w:r>
      <w:r w:rsidRPr="006A233B">
        <w:rPr>
          <w:rFonts w:ascii="Times New Roman" w:eastAsia="Times New Roman" w:hAnsi="Times New Roman" w:cs="Times New Roman"/>
          <w:bCs/>
        </w:rPr>
        <w:t xml:space="preserve"> </w:t>
      </w:r>
      <w:r>
        <w:rPr>
          <w:rFonts w:ascii="Times New Roman" w:hAnsi="Times New Roman" w:cs="Times New Roman"/>
          <w:bCs/>
        </w:rPr>
        <w:t xml:space="preserve">Dr. Balla Tibor, </w:t>
      </w:r>
      <w:r w:rsidRPr="00F20098">
        <w:rPr>
          <w:rFonts w:ascii="Times New Roman" w:hAnsi="Times New Roman" w:cs="Times New Roman"/>
          <w:bCs/>
        </w:rPr>
        <w:t>PhD</w:t>
      </w:r>
    </w:p>
    <w:p w:rsidR="00145684" w:rsidRPr="006A233B" w:rsidRDefault="00145684" w:rsidP="00980876">
      <w:pPr>
        <w:widowControl w:val="0"/>
        <w:numPr>
          <w:ilvl w:val="0"/>
          <w:numId w:val="349"/>
        </w:numPr>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bCs/>
        </w:rPr>
        <w:t>A tanórák száma és típusa</w:t>
      </w:r>
    </w:p>
    <w:p w:rsidR="00145684" w:rsidRPr="006A233B" w:rsidRDefault="00145684" w:rsidP="00980876">
      <w:pPr>
        <w:widowControl w:val="0"/>
        <w:numPr>
          <w:ilvl w:val="1"/>
          <w:numId w:val="349"/>
        </w:numPr>
        <w:tabs>
          <w:tab w:val="clear" w:pos="3977"/>
          <w:tab w:val="num" w:pos="709"/>
          <w:tab w:val="num" w:pos="1566"/>
          <w:tab w:val="num" w:pos="2069"/>
        </w:tabs>
        <w:spacing w:before="120" w:after="120" w:line="240" w:lineRule="auto"/>
        <w:ind w:left="851" w:hanging="425"/>
        <w:jc w:val="both"/>
        <w:rPr>
          <w:rFonts w:ascii="Times New Roman" w:eastAsia="Times New Roman" w:hAnsi="Times New Roman" w:cs="Times New Roman"/>
          <w:bCs/>
        </w:rPr>
      </w:pPr>
      <w:r w:rsidRPr="006A233B">
        <w:rPr>
          <w:rFonts w:ascii="Times New Roman" w:eastAsia="Times New Roman" w:hAnsi="Times New Roman" w:cs="Times New Roman"/>
          <w:bCs/>
        </w:rPr>
        <w:t>össz óraszám/félév:</w:t>
      </w:r>
      <w:r>
        <w:rPr>
          <w:rFonts w:ascii="Times New Roman" w:eastAsia="Times New Roman" w:hAnsi="Times New Roman" w:cs="Times New Roman"/>
          <w:bCs/>
        </w:rPr>
        <w:t xml:space="preserve"> 28</w:t>
      </w:r>
    </w:p>
    <w:p w:rsidR="00145684" w:rsidRDefault="00145684" w:rsidP="00980876">
      <w:pPr>
        <w:pStyle w:val="Listaszerbekezds"/>
        <w:widowControl w:val="0"/>
        <w:numPr>
          <w:ilvl w:val="2"/>
          <w:numId w:val="347"/>
        </w:numPr>
        <w:tabs>
          <w:tab w:val="num" w:pos="1418"/>
        </w:tabs>
        <w:spacing w:before="120" w:after="120" w:line="240" w:lineRule="auto"/>
        <w:ind w:left="1701" w:hanging="1144"/>
        <w:jc w:val="both"/>
        <w:rPr>
          <w:rFonts w:ascii="Times New Roman" w:eastAsia="Times New Roman" w:hAnsi="Times New Roman" w:cs="Times New Roman"/>
          <w:bCs/>
        </w:rPr>
      </w:pPr>
      <w:r w:rsidRPr="009917B1">
        <w:rPr>
          <w:rFonts w:ascii="Times New Roman" w:eastAsia="Times New Roman" w:hAnsi="Times New Roman" w:cs="Times New Roman"/>
          <w:bCs/>
        </w:rPr>
        <w:t>nappali munkarend: (14 EA + 0 SZ + 14 GY)</w:t>
      </w:r>
    </w:p>
    <w:p w:rsidR="00145684" w:rsidRPr="009917B1" w:rsidRDefault="00145684" w:rsidP="00980876">
      <w:pPr>
        <w:pStyle w:val="Listaszerbekezds"/>
        <w:widowControl w:val="0"/>
        <w:numPr>
          <w:ilvl w:val="2"/>
          <w:numId w:val="347"/>
        </w:numPr>
        <w:tabs>
          <w:tab w:val="num" w:pos="1418"/>
        </w:tabs>
        <w:spacing w:before="120" w:after="120" w:line="240" w:lineRule="auto"/>
        <w:ind w:left="1701" w:hanging="1144"/>
        <w:jc w:val="both"/>
        <w:rPr>
          <w:rFonts w:ascii="Times New Roman" w:eastAsia="Times New Roman" w:hAnsi="Times New Roman" w:cs="Times New Roman"/>
          <w:bCs/>
        </w:rPr>
      </w:pPr>
      <w:r w:rsidRPr="009917B1">
        <w:rPr>
          <w:rFonts w:ascii="Times New Roman" w:eastAsia="Times New Roman" w:hAnsi="Times New Roman" w:cs="Times New Roman"/>
          <w:bCs/>
        </w:rPr>
        <w:t>levelező munkarend: -</w:t>
      </w:r>
    </w:p>
    <w:p w:rsidR="00145684" w:rsidRDefault="00145684" w:rsidP="00980876">
      <w:pPr>
        <w:widowControl w:val="0"/>
        <w:numPr>
          <w:ilvl w:val="1"/>
          <w:numId w:val="349"/>
        </w:numPr>
        <w:tabs>
          <w:tab w:val="clear" w:pos="3977"/>
          <w:tab w:val="num" w:pos="709"/>
          <w:tab w:val="num" w:pos="1566"/>
          <w:tab w:val="num" w:pos="2069"/>
        </w:tabs>
        <w:spacing w:before="120" w:after="120" w:line="240" w:lineRule="auto"/>
        <w:ind w:left="851" w:hanging="425"/>
        <w:jc w:val="both"/>
        <w:rPr>
          <w:rFonts w:ascii="Times New Roman" w:eastAsia="Times New Roman" w:hAnsi="Times New Roman" w:cs="Times New Roman"/>
          <w:bCs/>
        </w:rPr>
      </w:pPr>
      <w:r w:rsidRPr="006A233B">
        <w:rPr>
          <w:rFonts w:ascii="Times New Roman" w:eastAsia="Times New Roman" w:hAnsi="Times New Roman" w:cs="Times New Roman"/>
          <w:bCs/>
        </w:rPr>
        <w:t xml:space="preserve">heti óraszám - nappali munkarend: </w:t>
      </w:r>
      <w:r>
        <w:rPr>
          <w:rFonts w:ascii="Times New Roman" w:eastAsia="Times New Roman" w:hAnsi="Times New Roman" w:cs="Times New Roman"/>
          <w:bCs/>
        </w:rPr>
        <w:t>2</w:t>
      </w:r>
    </w:p>
    <w:p w:rsidR="00145684" w:rsidRPr="006A233B" w:rsidRDefault="00145684" w:rsidP="00980876">
      <w:pPr>
        <w:widowControl w:val="0"/>
        <w:numPr>
          <w:ilvl w:val="1"/>
          <w:numId w:val="349"/>
        </w:numPr>
        <w:tabs>
          <w:tab w:val="clear" w:pos="3977"/>
          <w:tab w:val="num" w:pos="709"/>
          <w:tab w:val="num" w:pos="1566"/>
          <w:tab w:val="num" w:pos="2069"/>
        </w:tabs>
        <w:spacing w:before="120" w:after="120" w:line="240" w:lineRule="auto"/>
        <w:ind w:left="851" w:hanging="425"/>
        <w:jc w:val="both"/>
        <w:rPr>
          <w:rFonts w:ascii="Times New Roman" w:eastAsia="Times New Roman" w:hAnsi="Times New Roman" w:cs="Times New Roman"/>
          <w:bCs/>
        </w:rPr>
      </w:pPr>
      <w:r w:rsidRPr="00A16045">
        <w:rPr>
          <w:rFonts w:ascii="Times New Roman" w:hAnsi="Times New Roman" w:cs="Times New Roman"/>
        </w:rPr>
        <w:t>Az ismeret átadásában alkalmazandó további sajátos módok, jellemzők</w:t>
      </w:r>
      <w:r>
        <w:rPr>
          <w:rFonts w:ascii="Times New Roman" w:hAnsi="Times New Roman" w:cs="Times New Roman"/>
        </w:rPr>
        <w:t xml:space="preserve">: - </w:t>
      </w:r>
    </w:p>
    <w:p w:rsidR="00145684" w:rsidRPr="006A233B" w:rsidRDefault="00145684" w:rsidP="00980876">
      <w:pPr>
        <w:widowControl w:val="0"/>
        <w:numPr>
          <w:ilvl w:val="0"/>
          <w:numId w:val="349"/>
        </w:numPr>
        <w:spacing w:before="120" w:after="120" w:line="240" w:lineRule="auto"/>
        <w:jc w:val="both"/>
        <w:rPr>
          <w:rFonts w:ascii="Times New Roman" w:eastAsia="Times New Roman" w:hAnsi="Times New Roman" w:cs="Times New Roman"/>
          <w:bCs/>
        </w:rPr>
      </w:pPr>
      <w:r w:rsidRPr="006A233B">
        <w:rPr>
          <w:rFonts w:ascii="Times New Roman" w:eastAsia="Times New Roman" w:hAnsi="Times New Roman" w:cs="Times New Roman"/>
          <w:b/>
          <w:bCs/>
        </w:rPr>
        <w:t>A tantárgy szakmai tartalma (magyarul):</w:t>
      </w:r>
      <w:r w:rsidRPr="006A233B">
        <w:rPr>
          <w:rFonts w:ascii="Times New Roman" w:eastAsia="Times New Roman" w:hAnsi="Times New Roman" w:cs="Times New Roman"/>
          <w:bCs/>
        </w:rPr>
        <w:t xml:space="preserve"> </w:t>
      </w:r>
      <w:r w:rsidRPr="00A5302C">
        <w:rPr>
          <w:rFonts w:ascii="Times New Roman" w:eastAsia="Times New Roman" w:hAnsi="Times New Roman" w:cs="Times New Roman"/>
          <w:bCs/>
        </w:rPr>
        <w:t>A hivatásos és szerződéses katonák illetményrendszere. Az illetményszabályok alkalmazása a szolgálati jogviszony keretei között. Az önkéntes tartalékos katonák illetménye.</w:t>
      </w:r>
    </w:p>
    <w:p w:rsidR="00145684" w:rsidRPr="00F20098" w:rsidRDefault="00145684" w:rsidP="00145684">
      <w:pPr>
        <w:widowControl w:val="0"/>
        <w:spacing w:before="120" w:after="120" w:line="240" w:lineRule="auto"/>
        <w:ind w:left="720"/>
        <w:jc w:val="both"/>
        <w:rPr>
          <w:rFonts w:ascii="Times New Roman" w:eastAsia="Times New Roman" w:hAnsi="Times New Roman" w:cs="Times New Roman"/>
          <w:b/>
          <w:bCs/>
        </w:rPr>
      </w:pPr>
      <w:r w:rsidRPr="006A233B">
        <w:rPr>
          <w:rFonts w:ascii="Times New Roman" w:eastAsia="Times New Roman" w:hAnsi="Times New Roman" w:cs="Times New Roman"/>
          <w:b/>
          <w:bCs/>
        </w:rPr>
        <w:t>A tantárgy szakmai tartalma (angolul) (</w:t>
      </w:r>
      <w:r w:rsidRPr="00F20098">
        <w:rPr>
          <w:rFonts w:ascii="Times New Roman" w:eastAsia="Times New Roman" w:hAnsi="Times New Roman" w:cs="Times New Roman"/>
          <w:b/>
          <w:bCs/>
        </w:rPr>
        <w:t>Course description</w:t>
      </w:r>
      <w:r w:rsidRPr="006A233B">
        <w:rPr>
          <w:rFonts w:ascii="Times New Roman" w:eastAsia="Times New Roman" w:hAnsi="Times New Roman" w:cs="Times New Roman"/>
          <w:b/>
          <w:bCs/>
        </w:rPr>
        <w:t xml:space="preserve">): </w:t>
      </w:r>
      <w:r w:rsidRPr="00F20098">
        <w:rPr>
          <w:rFonts w:ascii="Times New Roman" w:eastAsia="Times New Roman" w:hAnsi="Times New Roman" w:cs="Times New Roman"/>
          <w:bCs/>
        </w:rPr>
        <w:t>Payment system of contracted and professional soldiers. Reguations regarding the military service. Salary of the reserved soldiers.</w:t>
      </w:r>
    </w:p>
    <w:p w:rsidR="00145684" w:rsidRPr="006A233B" w:rsidRDefault="00145684" w:rsidP="00980876">
      <w:pPr>
        <w:pStyle w:val="Listaszerbekezds"/>
        <w:widowControl w:val="0"/>
        <w:numPr>
          <w:ilvl w:val="0"/>
          <w:numId w:val="349"/>
        </w:numPr>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bCs/>
        </w:rPr>
        <w:t>Elérendő kompetenciák (magyarul):</w:t>
      </w:r>
      <w:r w:rsidRPr="006A233B">
        <w:rPr>
          <w:rFonts w:ascii="Times New Roman" w:eastAsia="Times New Roman" w:hAnsi="Times New Roman" w:cs="Times New Roman"/>
          <w:bCs/>
        </w:rPr>
        <w:t xml:space="preserve"> </w:t>
      </w:r>
    </w:p>
    <w:p w:rsidR="00145684" w:rsidRDefault="00145684" w:rsidP="00145684">
      <w:pPr>
        <w:widowControl w:val="0"/>
        <w:spacing w:after="0" w:line="240" w:lineRule="auto"/>
        <w:ind w:left="425"/>
        <w:jc w:val="both"/>
        <w:rPr>
          <w:rFonts w:ascii="Times New Roman" w:eastAsia="Times New Roman" w:hAnsi="Times New Roman" w:cs="Times New Roman"/>
          <w:bCs/>
        </w:rPr>
      </w:pPr>
      <w:r w:rsidRPr="00DC607B">
        <w:rPr>
          <w:rFonts w:ascii="Times New Roman" w:eastAsia="Times New Roman" w:hAnsi="Times New Roman" w:cs="Times New Roman"/>
          <w:b/>
          <w:bCs/>
        </w:rPr>
        <w:t>Tudása:</w:t>
      </w:r>
    </w:p>
    <w:p w:rsidR="00145684" w:rsidRPr="00F201DA" w:rsidRDefault="00145684" w:rsidP="00980876">
      <w:pPr>
        <w:pStyle w:val="Listaszerbekezds"/>
        <w:widowControl w:val="0"/>
        <w:numPr>
          <w:ilvl w:val="0"/>
          <w:numId w:val="348"/>
        </w:numPr>
        <w:spacing w:before="120" w:after="120" w:line="240" w:lineRule="auto"/>
        <w:ind w:left="786" w:hanging="219"/>
        <w:jc w:val="both"/>
        <w:rPr>
          <w:rFonts w:ascii="Times New Roman" w:eastAsia="Times New Roman" w:hAnsi="Times New Roman" w:cs="Times New Roman"/>
          <w:lang w:val="en-GB"/>
        </w:rPr>
      </w:pPr>
      <w:r w:rsidRPr="00F201DA">
        <w:rPr>
          <w:rFonts w:ascii="Times New Roman" w:eastAsia="Times New Roman" w:hAnsi="Times New Roman" w:cs="Times New Roman"/>
          <w:lang w:val="en-GB"/>
        </w:rPr>
        <w:t>Ismeri a Honvédelmi Minisztérium illetményrendszerét, a személyi állomány pénzügyi juttatásaival kapcsolatos feladatokat, a kormánytisztviselők, közalkalmazottak és a munkavállalók speciális foglalkoztatási szabályait és az illetménygazdálkodás sajátosságait.</w:t>
      </w:r>
    </w:p>
    <w:p w:rsidR="00145684" w:rsidRPr="00DC607B" w:rsidRDefault="00145684" w:rsidP="00145684">
      <w:pPr>
        <w:widowControl w:val="0"/>
        <w:spacing w:before="120" w:after="0" w:line="240" w:lineRule="auto"/>
        <w:ind w:left="425"/>
        <w:jc w:val="both"/>
        <w:rPr>
          <w:rFonts w:ascii="Times New Roman" w:eastAsia="Times New Roman" w:hAnsi="Times New Roman" w:cs="Times New Roman"/>
          <w:bCs/>
        </w:rPr>
      </w:pPr>
      <w:r w:rsidRPr="00DC607B">
        <w:rPr>
          <w:rFonts w:ascii="Times New Roman" w:eastAsia="Times New Roman" w:hAnsi="Times New Roman" w:cs="Times New Roman"/>
          <w:b/>
          <w:bCs/>
        </w:rPr>
        <w:t>Képességei:</w:t>
      </w:r>
      <w:r w:rsidRPr="00DC607B">
        <w:rPr>
          <w:rFonts w:ascii="Times New Roman" w:eastAsia="Times New Roman" w:hAnsi="Times New Roman" w:cs="Times New Roman"/>
          <w:bCs/>
        </w:rPr>
        <w:t xml:space="preserve"> </w:t>
      </w:r>
    </w:p>
    <w:p w:rsidR="00145684" w:rsidRPr="00F201DA" w:rsidRDefault="00145684" w:rsidP="00980876">
      <w:pPr>
        <w:pStyle w:val="Listaszerbekezds"/>
        <w:widowControl w:val="0"/>
        <w:numPr>
          <w:ilvl w:val="0"/>
          <w:numId w:val="348"/>
        </w:numPr>
        <w:spacing w:before="120" w:after="120" w:line="240" w:lineRule="auto"/>
        <w:ind w:left="786" w:hanging="219"/>
        <w:jc w:val="both"/>
        <w:rPr>
          <w:rFonts w:ascii="Times New Roman" w:eastAsia="Times New Roman" w:hAnsi="Times New Roman" w:cs="Times New Roman"/>
          <w:lang w:val="en-GB"/>
        </w:rPr>
      </w:pPr>
      <w:r w:rsidRPr="00F201DA">
        <w:rPr>
          <w:rFonts w:ascii="Times New Roman" w:eastAsia="Times New Roman" w:hAnsi="Times New Roman" w:cs="Times New Roman"/>
          <w:lang w:val="en-GB"/>
        </w:rPr>
        <w:t>Képes a gazdálkodás támogató és pénzügyi ellátó referatúra bérszámfejtéssel kapcsolatos feladatainak elvégzésére.</w:t>
      </w:r>
    </w:p>
    <w:p w:rsidR="00145684" w:rsidRPr="00DC607B" w:rsidRDefault="00145684" w:rsidP="00145684">
      <w:pPr>
        <w:widowControl w:val="0"/>
        <w:spacing w:before="120" w:after="0" w:line="240" w:lineRule="auto"/>
        <w:ind w:left="425"/>
        <w:jc w:val="both"/>
        <w:rPr>
          <w:rFonts w:ascii="Times New Roman" w:eastAsia="Times New Roman" w:hAnsi="Times New Roman" w:cs="Times New Roman"/>
          <w:bCs/>
        </w:rPr>
      </w:pPr>
      <w:r w:rsidRPr="00DC607B">
        <w:rPr>
          <w:rFonts w:ascii="Times New Roman" w:eastAsia="Times New Roman" w:hAnsi="Times New Roman" w:cs="Times New Roman"/>
          <w:b/>
          <w:bCs/>
        </w:rPr>
        <w:t>Attitűdje:</w:t>
      </w:r>
      <w:r w:rsidRPr="00DC607B">
        <w:rPr>
          <w:rFonts w:ascii="Times New Roman" w:eastAsia="Times New Roman" w:hAnsi="Times New Roman" w:cs="Times New Roman"/>
          <w:bCs/>
        </w:rPr>
        <w:t xml:space="preserve"> </w:t>
      </w:r>
    </w:p>
    <w:p w:rsidR="00145684" w:rsidRPr="00F201DA" w:rsidRDefault="00145684" w:rsidP="00980876">
      <w:pPr>
        <w:pStyle w:val="Listaszerbekezds"/>
        <w:widowControl w:val="0"/>
        <w:numPr>
          <w:ilvl w:val="0"/>
          <w:numId w:val="348"/>
        </w:numPr>
        <w:spacing w:before="120" w:after="120" w:line="240" w:lineRule="auto"/>
        <w:ind w:left="786" w:hanging="219"/>
        <w:jc w:val="both"/>
        <w:rPr>
          <w:rFonts w:ascii="Times New Roman" w:eastAsia="Times New Roman" w:hAnsi="Times New Roman" w:cs="Times New Roman"/>
          <w:lang w:val="en-GB"/>
        </w:rPr>
      </w:pPr>
      <w:r w:rsidRPr="00F201DA">
        <w:rPr>
          <w:rFonts w:ascii="Times New Roman" w:eastAsia="Times New Roman" w:hAnsi="Times New Roman" w:cs="Times New Roman"/>
          <w:lang w:val="en-GB"/>
        </w:rPr>
        <w:t>Különös figyelmet fordít a pénzügyi területnél elvárt jogszerű, szabálykövető, pontos munkavégzésre.</w:t>
      </w:r>
    </w:p>
    <w:p w:rsidR="00145684" w:rsidRPr="006A233B" w:rsidRDefault="00145684" w:rsidP="00145684">
      <w:pPr>
        <w:widowControl w:val="0"/>
        <w:spacing w:before="120" w:after="0" w:line="240" w:lineRule="auto"/>
        <w:ind w:left="425"/>
        <w:jc w:val="both"/>
        <w:rPr>
          <w:rFonts w:ascii="Times New Roman" w:eastAsia="Times New Roman" w:hAnsi="Times New Roman" w:cs="Times New Roman"/>
          <w:bCs/>
        </w:rPr>
      </w:pPr>
      <w:r w:rsidRPr="006A233B">
        <w:rPr>
          <w:rFonts w:ascii="Times New Roman" w:eastAsia="Times New Roman" w:hAnsi="Times New Roman" w:cs="Times New Roman"/>
          <w:b/>
          <w:bCs/>
        </w:rPr>
        <w:t>Autonómiája és felelőssége:</w:t>
      </w:r>
    </w:p>
    <w:p w:rsidR="00145684" w:rsidRPr="00F201DA" w:rsidRDefault="00145684" w:rsidP="00980876">
      <w:pPr>
        <w:pStyle w:val="Listaszerbekezds"/>
        <w:widowControl w:val="0"/>
        <w:numPr>
          <w:ilvl w:val="0"/>
          <w:numId w:val="348"/>
        </w:numPr>
        <w:spacing w:before="120" w:after="120" w:line="240" w:lineRule="auto"/>
        <w:ind w:left="786" w:hanging="219"/>
        <w:jc w:val="both"/>
        <w:rPr>
          <w:rFonts w:ascii="Times New Roman" w:eastAsia="Times New Roman" w:hAnsi="Times New Roman" w:cs="Times New Roman"/>
          <w:lang w:val="en-GB"/>
        </w:rPr>
      </w:pPr>
      <w:r w:rsidRPr="00F201DA">
        <w:rPr>
          <w:rFonts w:ascii="Times New Roman" w:eastAsia="Times New Roman" w:hAnsi="Times New Roman" w:cs="Times New Roman"/>
          <w:lang w:val="en-GB"/>
        </w:rPr>
        <w:t>A gazdálkodási folyamatok végrehajtása során önállóan döntéseket hoz, azokat felelősséggel, a jogszabályi keretek figyelembevételével végrehajtja.</w:t>
      </w:r>
    </w:p>
    <w:p w:rsidR="00145684" w:rsidRPr="00F201DA" w:rsidRDefault="00145684" w:rsidP="00980876">
      <w:pPr>
        <w:pStyle w:val="Listaszerbekezds"/>
        <w:widowControl w:val="0"/>
        <w:numPr>
          <w:ilvl w:val="0"/>
          <w:numId w:val="348"/>
        </w:numPr>
        <w:spacing w:before="120" w:after="120" w:line="240" w:lineRule="auto"/>
        <w:ind w:left="786" w:hanging="219"/>
        <w:jc w:val="both"/>
        <w:rPr>
          <w:rFonts w:ascii="Times New Roman" w:eastAsia="Times New Roman" w:hAnsi="Times New Roman" w:cs="Times New Roman"/>
          <w:lang w:val="en-GB"/>
        </w:rPr>
      </w:pPr>
      <w:r w:rsidRPr="00F201DA">
        <w:rPr>
          <w:rFonts w:ascii="Times New Roman" w:eastAsia="Times New Roman" w:hAnsi="Times New Roman" w:cs="Times New Roman"/>
          <w:lang w:val="en-GB"/>
        </w:rPr>
        <w:t>Felelősséget vállal számvetéseinek pontosságáért.</w:t>
      </w:r>
    </w:p>
    <w:p w:rsidR="00145684" w:rsidRPr="00F201DA" w:rsidRDefault="00145684" w:rsidP="00980876">
      <w:pPr>
        <w:pStyle w:val="Listaszerbekezds"/>
        <w:widowControl w:val="0"/>
        <w:numPr>
          <w:ilvl w:val="0"/>
          <w:numId w:val="348"/>
        </w:numPr>
        <w:spacing w:before="120" w:after="120" w:line="240" w:lineRule="auto"/>
        <w:ind w:left="786" w:hanging="219"/>
        <w:jc w:val="both"/>
        <w:rPr>
          <w:rFonts w:ascii="Times New Roman" w:eastAsia="Times New Roman" w:hAnsi="Times New Roman" w:cs="Times New Roman"/>
          <w:lang w:val="en-GB"/>
        </w:rPr>
      </w:pPr>
      <w:r w:rsidRPr="00F201DA">
        <w:rPr>
          <w:rFonts w:ascii="Times New Roman" w:eastAsia="Times New Roman" w:hAnsi="Times New Roman" w:cs="Times New Roman"/>
          <w:lang w:val="en-GB"/>
        </w:rPr>
        <w:lastRenderedPageBreak/>
        <w:t>Tisztában van döntéseinek, tevékenységének a műszaki eszközökre, illetve a gazdálkodási fegyelemre gyakorolt hatásaival, következményeivel.</w:t>
      </w:r>
    </w:p>
    <w:p w:rsidR="00145684" w:rsidRPr="00F05659" w:rsidRDefault="00145684" w:rsidP="00145684">
      <w:pPr>
        <w:widowControl w:val="0"/>
        <w:spacing w:before="120" w:after="0" w:line="240" w:lineRule="auto"/>
        <w:ind w:left="425"/>
        <w:jc w:val="both"/>
        <w:rPr>
          <w:rFonts w:ascii="Times New Roman" w:eastAsia="Times New Roman" w:hAnsi="Times New Roman" w:cs="Times New Roman"/>
          <w:b/>
          <w:bCs/>
          <w:lang w:val="en-US"/>
        </w:rPr>
      </w:pPr>
      <w:r w:rsidRPr="006A233B">
        <w:rPr>
          <w:rFonts w:ascii="Times New Roman" w:eastAsia="Times New Roman" w:hAnsi="Times New Roman" w:cs="Times New Roman"/>
          <w:b/>
          <w:bCs/>
        </w:rPr>
        <w:t>Elérendő kompetenciák (angolul) (</w:t>
      </w:r>
      <w:r w:rsidRPr="006A233B">
        <w:rPr>
          <w:rFonts w:ascii="Times New Roman" w:eastAsia="Times New Roman" w:hAnsi="Times New Roman" w:cs="Times New Roman"/>
          <w:b/>
          <w:bCs/>
          <w:lang w:val="en-US"/>
        </w:rPr>
        <w:t xml:space="preserve">Competences – English): </w:t>
      </w:r>
    </w:p>
    <w:p w:rsidR="00145684" w:rsidRDefault="00145684" w:rsidP="00145684">
      <w:pPr>
        <w:widowControl w:val="0"/>
        <w:spacing w:before="120" w:after="0" w:line="240" w:lineRule="auto"/>
        <w:ind w:left="425"/>
        <w:jc w:val="both"/>
        <w:rPr>
          <w:rFonts w:ascii="Times New Roman" w:eastAsia="Times New Roman" w:hAnsi="Times New Roman" w:cs="Times New Roman"/>
          <w:lang w:val="en-GB"/>
        </w:rPr>
      </w:pPr>
      <w:r w:rsidRPr="006A233B">
        <w:rPr>
          <w:rFonts w:ascii="Times New Roman" w:eastAsia="Times New Roman" w:hAnsi="Times New Roman" w:cs="Times New Roman"/>
          <w:b/>
          <w:lang w:val="en-GB"/>
        </w:rPr>
        <w:t>Knowledge</w:t>
      </w:r>
      <w:r w:rsidRPr="006A233B">
        <w:rPr>
          <w:rFonts w:ascii="Times New Roman" w:eastAsia="Times New Roman" w:hAnsi="Times New Roman" w:cs="Times New Roman"/>
          <w:lang w:val="en-GB"/>
        </w:rPr>
        <w:t xml:space="preserve">: </w:t>
      </w:r>
    </w:p>
    <w:p w:rsidR="00145684" w:rsidRPr="009917B1" w:rsidRDefault="00145684" w:rsidP="00980876">
      <w:pPr>
        <w:pStyle w:val="Listaszerbekezds"/>
        <w:widowControl w:val="0"/>
        <w:numPr>
          <w:ilvl w:val="0"/>
          <w:numId w:val="348"/>
        </w:numPr>
        <w:spacing w:before="120" w:after="120" w:line="240" w:lineRule="auto"/>
        <w:ind w:left="786" w:hanging="219"/>
        <w:jc w:val="both"/>
        <w:rPr>
          <w:rFonts w:ascii="Times New Roman" w:eastAsia="Times New Roman" w:hAnsi="Times New Roman" w:cs="Times New Roman"/>
          <w:lang w:val="en-GB"/>
        </w:rPr>
      </w:pPr>
      <w:r w:rsidRPr="009917B1">
        <w:rPr>
          <w:rFonts w:ascii="Times New Roman" w:eastAsia="Times New Roman" w:hAnsi="Times New Roman" w:cs="Times New Roman"/>
          <w:lang w:val="en-GB"/>
        </w:rPr>
        <w:t>The student are familiar with the salary system of the Ministry of Defence, the tasks related to the financial allowances of the personnel, the special employment rules of the government officials, the civil servants and the employees and the special features of the salary management.</w:t>
      </w:r>
    </w:p>
    <w:p w:rsidR="00145684" w:rsidRDefault="00145684" w:rsidP="00145684">
      <w:pPr>
        <w:widowControl w:val="0"/>
        <w:spacing w:before="120" w:after="0" w:line="240" w:lineRule="auto"/>
        <w:ind w:left="425"/>
        <w:jc w:val="both"/>
        <w:rPr>
          <w:rFonts w:ascii="Times New Roman" w:eastAsia="Times New Roman" w:hAnsi="Times New Roman" w:cs="Times New Roman"/>
          <w:lang w:val="en-GB"/>
        </w:rPr>
      </w:pPr>
      <w:r w:rsidRPr="006A233B">
        <w:rPr>
          <w:rFonts w:ascii="Times New Roman" w:eastAsia="Times New Roman" w:hAnsi="Times New Roman" w:cs="Times New Roman"/>
          <w:b/>
          <w:lang w:val="en-GB"/>
        </w:rPr>
        <w:t>Capabilities</w:t>
      </w:r>
      <w:r w:rsidRPr="006A233B">
        <w:rPr>
          <w:rFonts w:ascii="Times New Roman" w:eastAsia="Times New Roman" w:hAnsi="Times New Roman" w:cs="Times New Roman"/>
          <w:lang w:val="en-GB"/>
        </w:rPr>
        <w:t xml:space="preserve">: </w:t>
      </w:r>
    </w:p>
    <w:p w:rsidR="00145684" w:rsidRPr="009917B1" w:rsidRDefault="00145684" w:rsidP="00980876">
      <w:pPr>
        <w:pStyle w:val="Listaszerbekezds"/>
        <w:widowControl w:val="0"/>
        <w:numPr>
          <w:ilvl w:val="0"/>
          <w:numId w:val="348"/>
        </w:numPr>
        <w:spacing w:before="120" w:after="120" w:line="240" w:lineRule="auto"/>
        <w:ind w:left="786" w:hanging="219"/>
        <w:jc w:val="both"/>
        <w:rPr>
          <w:rFonts w:ascii="Times New Roman" w:eastAsia="Times New Roman" w:hAnsi="Times New Roman" w:cs="Times New Roman"/>
          <w:lang w:val="en-GB"/>
        </w:rPr>
      </w:pPr>
      <w:r w:rsidRPr="009917B1">
        <w:rPr>
          <w:rFonts w:ascii="Times New Roman" w:eastAsia="Times New Roman" w:hAnsi="Times New Roman" w:cs="Times New Roman"/>
          <w:lang w:val="en-GB"/>
        </w:rPr>
        <w:t xml:space="preserve">He/She is able to </w:t>
      </w:r>
      <w:r w:rsidRPr="00F201DA">
        <w:rPr>
          <w:rFonts w:ascii="Times New Roman" w:eastAsia="Times New Roman" w:hAnsi="Times New Roman" w:cs="Times New Roman"/>
          <w:lang w:val="en-GB"/>
        </w:rPr>
        <w:t>perform payroll accounting and financial reporting tasks.</w:t>
      </w:r>
    </w:p>
    <w:p w:rsidR="00145684" w:rsidRDefault="00145684" w:rsidP="001456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425"/>
        <w:jc w:val="both"/>
        <w:rPr>
          <w:rFonts w:ascii="Times New Roman" w:eastAsia="Times New Roman" w:hAnsi="Times New Roman" w:cs="Times New Roman"/>
          <w:lang w:val="en-GB"/>
        </w:rPr>
      </w:pPr>
      <w:r w:rsidRPr="006A233B">
        <w:rPr>
          <w:rFonts w:ascii="Times New Roman" w:eastAsia="Times New Roman" w:hAnsi="Times New Roman" w:cs="Times New Roman"/>
          <w:b/>
          <w:lang w:val="en-GB"/>
        </w:rPr>
        <w:t>Attitude:</w:t>
      </w:r>
      <w:r w:rsidRPr="006A233B">
        <w:rPr>
          <w:rFonts w:ascii="Times New Roman" w:eastAsia="Times New Roman" w:hAnsi="Times New Roman" w:cs="Times New Roman"/>
          <w:lang w:val="en-GB"/>
        </w:rPr>
        <w:t xml:space="preserve"> </w:t>
      </w:r>
    </w:p>
    <w:p w:rsidR="00145684" w:rsidRPr="009917B1" w:rsidRDefault="00145684" w:rsidP="00980876">
      <w:pPr>
        <w:pStyle w:val="Listaszerbekezds"/>
        <w:widowControl w:val="0"/>
        <w:numPr>
          <w:ilvl w:val="0"/>
          <w:numId w:val="348"/>
        </w:numPr>
        <w:spacing w:before="120" w:after="120" w:line="240" w:lineRule="auto"/>
        <w:ind w:left="786" w:hanging="219"/>
        <w:jc w:val="both"/>
        <w:rPr>
          <w:rFonts w:ascii="Times New Roman" w:eastAsia="Times New Roman" w:hAnsi="Times New Roman" w:cs="Times New Roman"/>
          <w:lang w:val="en-GB"/>
        </w:rPr>
      </w:pPr>
      <w:r w:rsidRPr="009917B1">
        <w:rPr>
          <w:rFonts w:ascii="Times New Roman" w:eastAsia="Times New Roman" w:hAnsi="Times New Roman" w:cs="Times New Roman"/>
          <w:lang w:val="en-GB"/>
        </w:rPr>
        <w:t>He/she pays particular attention to the legal, regulatory, and accurate work required in the financial field.</w:t>
      </w:r>
    </w:p>
    <w:p w:rsidR="00145684" w:rsidRDefault="00145684" w:rsidP="00145684">
      <w:pPr>
        <w:widowControl w:val="0"/>
        <w:spacing w:before="120" w:after="0" w:line="240" w:lineRule="auto"/>
        <w:ind w:left="425"/>
        <w:jc w:val="both"/>
        <w:rPr>
          <w:rFonts w:ascii="Times New Roman" w:eastAsia="Times New Roman" w:hAnsi="Times New Roman" w:cs="Times New Roman"/>
          <w:bCs/>
        </w:rPr>
      </w:pPr>
      <w:r w:rsidRPr="006A233B">
        <w:rPr>
          <w:rFonts w:ascii="Times New Roman" w:eastAsia="Times New Roman" w:hAnsi="Times New Roman" w:cs="Times New Roman"/>
          <w:b/>
          <w:lang w:val="en-GB"/>
        </w:rPr>
        <w:t xml:space="preserve">Autonomy and responsibility: </w:t>
      </w:r>
    </w:p>
    <w:p w:rsidR="00145684" w:rsidRPr="00F201DA" w:rsidRDefault="00145684" w:rsidP="00980876">
      <w:pPr>
        <w:pStyle w:val="Listaszerbekezds"/>
        <w:widowControl w:val="0"/>
        <w:numPr>
          <w:ilvl w:val="0"/>
          <w:numId w:val="348"/>
        </w:numPr>
        <w:spacing w:before="120" w:after="120" w:line="240" w:lineRule="auto"/>
        <w:ind w:left="786" w:hanging="219"/>
        <w:jc w:val="both"/>
        <w:rPr>
          <w:rFonts w:ascii="Times New Roman" w:eastAsia="Times New Roman" w:hAnsi="Times New Roman" w:cs="Times New Roman"/>
          <w:lang w:val="en-GB"/>
        </w:rPr>
      </w:pPr>
      <w:r w:rsidRPr="00F201DA">
        <w:rPr>
          <w:rFonts w:ascii="Times New Roman" w:eastAsia="Times New Roman" w:hAnsi="Times New Roman" w:cs="Times New Roman"/>
          <w:lang w:val="en-GB"/>
        </w:rPr>
        <w:t>He / she makes independent decisions on management issues within the scope of his / her financial management portfolio.</w:t>
      </w:r>
    </w:p>
    <w:p w:rsidR="00145684" w:rsidRPr="00F201DA" w:rsidRDefault="00145684" w:rsidP="00980876">
      <w:pPr>
        <w:pStyle w:val="Listaszerbekezds"/>
        <w:widowControl w:val="0"/>
        <w:numPr>
          <w:ilvl w:val="0"/>
          <w:numId w:val="348"/>
        </w:numPr>
        <w:spacing w:before="120" w:after="120" w:line="240" w:lineRule="auto"/>
        <w:ind w:left="786" w:hanging="219"/>
        <w:jc w:val="both"/>
        <w:rPr>
          <w:rFonts w:ascii="Times New Roman" w:eastAsia="Times New Roman" w:hAnsi="Times New Roman" w:cs="Times New Roman"/>
          <w:lang w:val="en-GB"/>
        </w:rPr>
      </w:pPr>
      <w:r w:rsidRPr="00F201DA">
        <w:rPr>
          <w:rFonts w:ascii="Times New Roman" w:eastAsia="Times New Roman" w:hAnsi="Times New Roman" w:cs="Times New Roman"/>
          <w:lang w:val="en-GB"/>
        </w:rPr>
        <w:t>He / She takes responsibility for the accuracy of his/her calculations.</w:t>
      </w:r>
    </w:p>
    <w:p w:rsidR="00145684" w:rsidRPr="00F201DA" w:rsidRDefault="00145684" w:rsidP="00980876">
      <w:pPr>
        <w:pStyle w:val="Listaszerbekezds"/>
        <w:widowControl w:val="0"/>
        <w:numPr>
          <w:ilvl w:val="0"/>
          <w:numId w:val="348"/>
        </w:numPr>
        <w:spacing w:before="120" w:after="120" w:line="240" w:lineRule="auto"/>
        <w:ind w:left="786" w:hanging="219"/>
        <w:jc w:val="both"/>
        <w:rPr>
          <w:rFonts w:ascii="Times New Roman" w:eastAsia="Times New Roman" w:hAnsi="Times New Roman" w:cs="Times New Roman"/>
          <w:lang w:val="en-GB"/>
        </w:rPr>
      </w:pPr>
      <w:r w:rsidRPr="00F201DA">
        <w:rPr>
          <w:rFonts w:ascii="Times New Roman" w:eastAsia="Times New Roman" w:hAnsi="Times New Roman" w:cs="Times New Roman"/>
          <w:lang w:val="en-GB"/>
        </w:rPr>
        <w:t>He/She is fully aware of the effects of his/her decision for the technical equipment and budgetary discipline</w:t>
      </w:r>
    </w:p>
    <w:p w:rsidR="00145684" w:rsidRPr="00B35ABF" w:rsidRDefault="00145684" w:rsidP="00980876">
      <w:pPr>
        <w:widowControl w:val="0"/>
        <w:numPr>
          <w:ilvl w:val="0"/>
          <w:numId w:val="349"/>
        </w:numPr>
        <w:tabs>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Előtanulmányi követelmények:-</w:t>
      </w:r>
    </w:p>
    <w:p w:rsidR="00145684" w:rsidRPr="00DD391C" w:rsidRDefault="00145684" w:rsidP="00980876">
      <w:pPr>
        <w:widowControl w:val="0"/>
        <w:numPr>
          <w:ilvl w:val="0"/>
          <w:numId w:val="349"/>
        </w:numPr>
        <w:spacing w:before="120" w:after="120" w:line="240" w:lineRule="auto"/>
        <w:ind w:hanging="142"/>
        <w:jc w:val="both"/>
        <w:rPr>
          <w:color w:val="000000"/>
          <w:lang w:eastAsia="x-none"/>
        </w:rPr>
      </w:pPr>
      <w:r w:rsidRPr="00DD391C">
        <w:rPr>
          <w:rFonts w:ascii="Times New Roman" w:eastAsia="Times New Roman" w:hAnsi="Times New Roman" w:cs="Times New Roman"/>
          <w:b/>
          <w:bCs/>
        </w:rPr>
        <w:t>A tantárgy tananyagának leírása, tematika. Description of the subject, curriculum (magyarul, angolul - English):</w:t>
      </w:r>
    </w:p>
    <w:p w:rsidR="00145684" w:rsidRPr="00F201DA" w:rsidRDefault="00145684" w:rsidP="00980876">
      <w:pPr>
        <w:widowControl w:val="0"/>
        <w:numPr>
          <w:ilvl w:val="1"/>
          <w:numId w:val="349"/>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F201DA">
        <w:rPr>
          <w:rFonts w:ascii="Times New Roman" w:eastAsia="Times New Roman" w:hAnsi="Times New Roman" w:cs="Times New Roman"/>
          <w:kern w:val="2"/>
        </w:rPr>
        <w:t>A hivatásos katonák illetményrendszere</w:t>
      </w:r>
      <w:r w:rsidRPr="00F201DA">
        <w:rPr>
          <w:rFonts w:ascii="Times New Roman" w:eastAsia="Times New Roman" w:hAnsi="Times New Roman" w:cs="Times New Roman"/>
          <w:i/>
          <w:kern w:val="2"/>
        </w:rPr>
        <w:t>.(Payment system of professional soldiers</w:t>
      </w:r>
      <w:r w:rsidRPr="00F201DA">
        <w:rPr>
          <w:rFonts w:ascii="Times New Roman" w:eastAsia="Times New Roman" w:hAnsi="Times New Roman" w:cs="Times New Roman"/>
          <w:kern w:val="2"/>
        </w:rPr>
        <w:t>)</w:t>
      </w:r>
    </w:p>
    <w:p w:rsidR="00145684" w:rsidRPr="00F201DA" w:rsidRDefault="00145684" w:rsidP="00980876">
      <w:pPr>
        <w:widowControl w:val="0"/>
        <w:numPr>
          <w:ilvl w:val="1"/>
          <w:numId w:val="349"/>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F201DA">
        <w:rPr>
          <w:rFonts w:ascii="Times New Roman" w:eastAsia="Times New Roman" w:hAnsi="Times New Roman" w:cs="Times New Roman"/>
          <w:kern w:val="2"/>
        </w:rPr>
        <w:t xml:space="preserve">A szerződéses katonák illetményrendszere </w:t>
      </w:r>
      <w:r w:rsidRPr="00F201DA">
        <w:rPr>
          <w:rFonts w:ascii="Times New Roman" w:eastAsia="Times New Roman" w:hAnsi="Times New Roman" w:cs="Times New Roman"/>
          <w:i/>
          <w:kern w:val="2"/>
        </w:rPr>
        <w:t>(Payment system of contracted soldiers)</w:t>
      </w:r>
    </w:p>
    <w:p w:rsidR="00145684" w:rsidRPr="00F201DA" w:rsidRDefault="00145684" w:rsidP="00980876">
      <w:pPr>
        <w:widowControl w:val="0"/>
        <w:numPr>
          <w:ilvl w:val="1"/>
          <w:numId w:val="349"/>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F201DA">
        <w:rPr>
          <w:rFonts w:ascii="Times New Roman" w:eastAsia="Times New Roman" w:hAnsi="Times New Roman" w:cs="Times New Roman"/>
          <w:kern w:val="2"/>
        </w:rPr>
        <w:t xml:space="preserve">Az előmeneteli rendszer és a szolgálati idő rendszerének kapcsolata az illetményrendszerrel. </w:t>
      </w:r>
      <w:r w:rsidRPr="00F201DA">
        <w:rPr>
          <w:rFonts w:ascii="Times New Roman" w:eastAsia="Times New Roman" w:hAnsi="Times New Roman" w:cs="Times New Roman"/>
          <w:i/>
          <w:kern w:val="2"/>
        </w:rPr>
        <w:t>(Relationship between the promotion system and the seniority system with the remuneration system)</w:t>
      </w:r>
    </w:p>
    <w:p w:rsidR="00145684" w:rsidRPr="00F201DA" w:rsidRDefault="00145684" w:rsidP="00980876">
      <w:pPr>
        <w:widowControl w:val="0"/>
        <w:numPr>
          <w:ilvl w:val="1"/>
          <w:numId w:val="349"/>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F201DA">
        <w:rPr>
          <w:rFonts w:ascii="Times New Roman" w:eastAsia="Times New Roman" w:hAnsi="Times New Roman" w:cs="Times New Roman"/>
          <w:kern w:val="2"/>
        </w:rPr>
        <w:t xml:space="preserve">Az egyes illetményelemek részletes bemutatása. </w:t>
      </w:r>
      <w:r w:rsidRPr="00F201DA">
        <w:rPr>
          <w:rFonts w:ascii="Times New Roman" w:eastAsia="Times New Roman" w:hAnsi="Times New Roman" w:cs="Times New Roman"/>
          <w:i/>
          <w:kern w:val="2"/>
        </w:rPr>
        <w:t>(Detailed description of each salary item)</w:t>
      </w:r>
    </w:p>
    <w:p w:rsidR="00145684" w:rsidRPr="00F201DA" w:rsidRDefault="00145684" w:rsidP="00980876">
      <w:pPr>
        <w:widowControl w:val="0"/>
        <w:numPr>
          <w:ilvl w:val="1"/>
          <w:numId w:val="349"/>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F201DA">
        <w:rPr>
          <w:rFonts w:ascii="Times New Roman" w:eastAsia="Times New Roman" w:hAnsi="Times New Roman" w:cs="Times New Roman"/>
          <w:kern w:val="2"/>
        </w:rPr>
        <w:t xml:space="preserve">Az illetményjellegű juttatások részletes bemutatása. </w:t>
      </w:r>
      <w:r w:rsidRPr="00F201DA">
        <w:rPr>
          <w:rFonts w:ascii="Times New Roman" w:eastAsia="Times New Roman" w:hAnsi="Times New Roman" w:cs="Times New Roman"/>
          <w:i/>
          <w:kern w:val="2"/>
        </w:rPr>
        <w:t>(Detailed description of other benefits)</w:t>
      </w:r>
    </w:p>
    <w:p w:rsidR="00145684" w:rsidRPr="006A233B" w:rsidRDefault="00145684" w:rsidP="00980876">
      <w:pPr>
        <w:widowControl w:val="0"/>
        <w:numPr>
          <w:ilvl w:val="0"/>
          <w:numId w:val="349"/>
        </w:numPr>
        <w:tabs>
          <w:tab w:val="num" w:pos="360"/>
        </w:tabs>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bCs/>
        </w:rPr>
        <w:t xml:space="preserve">A tantárgy meghirdetésének gyakorisága/a tantervben történő félévi elhelyezkedése: </w:t>
      </w:r>
      <w:r w:rsidRPr="006331D3">
        <w:rPr>
          <w:rFonts w:ascii="Times New Roman" w:eastAsia="Times New Roman" w:hAnsi="Times New Roman" w:cs="Times New Roman"/>
          <w:bCs/>
        </w:rPr>
        <w:t>a tanév 1. (őszi) félévében.</w:t>
      </w:r>
    </w:p>
    <w:p w:rsidR="00145684" w:rsidRDefault="00145684" w:rsidP="00980876">
      <w:pPr>
        <w:widowControl w:val="0"/>
        <w:numPr>
          <w:ilvl w:val="0"/>
          <w:numId w:val="349"/>
        </w:numPr>
        <w:tabs>
          <w:tab w:val="clear" w:pos="720"/>
          <w:tab w:val="num" w:pos="643"/>
        </w:tabs>
        <w:spacing w:before="120" w:after="120" w:line="240" w:lineRule="auto"/>
        <w:ind w:left="643"/>
        <w:jc w:val="both"/>
        <w:rPr>
          <w:rFonts w:ascii="Times New Roman" w:eastAsia="Times New Roman" w:hAnsi="Times New Roman" w:cs="Times New Roman"/>
          <w:bCs/>
        </w:rPr>
      </w:pPr>
      <w:r w:rsidRPr="00BC6E7B">
        <w:rPr>
          <w:rFonts w:ascii="Times New Roman" w:eastAsia="Times New Roman" w:hAnsi="Times New Roman" w:cs="Times New Roman"/>
          <w:b/>
          <w:bCs/>
        </w:rPr>
        <w:t>A tanórákon való részvétel követelményei, az elfogadható hiányzások mértéke, a távolmaradás pótlásának lehetősége:</w:t>
      </w:r>
      <w:r>
        <w:rPr>
          <w:rFonts w:ascii="Times New Roman" w:eastAsia="Times New Roman" w:hAnsi="Times New Roman" w:cs="Times New Roman"/>
          <w:bCs/>
        </w:rPr>
        <w:t xml:space="preserve"> </w:t>
      </w:r>
      <w:r w:rsidRPr="00D0042F">
        <w:rPr>
          <w:rFonts w:ascii="Times New Roman" w:eastAsia="Times New Roman" w:hAnsi="Times New Roman" w:cs="Times New Roman"/>
          <w:bCs/>
        </w:rPr>
        <w:t>a tanórákon való jelenlét kötelező, az elfogadható és igazolt hiányzások száma maximum a tanórák 30%-áig terjedhet, az ismeretek pótlásáról a hallgató gondoskodik.</w:t>
      </w:r>
      <w:r>
        <w:rPr>
          <w:rFonts w:ascii="Times New Roman" w:eastAsia="Times New Roman" w:hAnsi="Times New Roman" w:cs="Times New Roman"/>
          <w:bCs/>
        </w:rPr>
        <w:t xml:space="preserve"> A hiányzások elfogadható mértékének túllépése az aláírás megtagadását vonja maga után.</w:t>
      </w:r>
    </w:p>
    <w:p w:rsidR="00145684" w:rsidRPr="006331D3" w:rsidRDefault="00145684" w:rsidP="00980876">
      <w:pPr>
        <w:widowControl w:val="0"/>
        <w:numPr>
          <w:ilvl w:val="0"/>
          <w:numId w:val="349"/>
        </w:numPr>
        <w:tabs>
          <w:tab w:val="clear" w:pos="720"/>
          <w:tab w:val="num" w:pos="643"/>
        </w:tabs>
        <w:spacing w:before="120" w:after="120" w:line="240" w:lineRule="auto"/>
        <w:jc w:val="both"/>
        <w:rPr>
          <w:rFonts w:ascii="Times New Roman" w:eastAsia="Times New Roman" w:hAnsi="Times New Roman" w:cs="Times New Roman"/>
        </w:rPr>
      </w:pPr>
      <w:r w:rsidRPr="006331D3">
        <w:rPr>
          <w:rFonts w:ascii="Times New Roman" w:eastAsia="Times New Roman" w:hAnsi="Times New Roman" w:cs="Times New Roman"/>
          <w:b/>
        </w:rPr>
        <w:t>Félévközi feladatok, ismeretek ellenőrzésének rendje:</w:t>
      </w:r>
      <w:r w:rsidRPr="006331D3">
        <w:rPr>
          <w:rFonts w:ascii="Times New Roman" w:eastAsia="Times New Roman" w:hAnsi="Times New Roman" w:cs="Times New Roman"/>
        </w:rPr>
        <w:t xml:space="preserve"> </w:t>
      </w:r>
      <w:r>
        <w:rPr>
          <w:rFonts w:ascii="Times New Roman" w:eastAsia="Times New Roman" w:hAnsi="Times New Roman" w:cs="Times New Roman"/>
        </w:rPr>
        <w:t xml:space="preserve">A hallgató a félév során egy az oktató által meghatározott téma önálló feldolgozását követően, abból előadást tart. </w:t>
      </w:r>
      <w:r w:rsidRPr="006331D3">
        <w:rPr>
          <w:rFonts w:ascii="Times New Roman" w:eastAsia="Times New Roman" w:hAnsi="Times New Roman" w:cs="Times New Roman"/>
        </w:rPr>
        <w:t xml:space="preserve">A hallgató a félév egy zárthelyi dolgozatot ír. A zárthelyi dolgozatok értékelése ötfokozatú skála alapján történik (50 %-tól elégséges, 65 %-tól közepes, 75-tól % jó, 85 %-tól jeles). </w:t>
      </w:r>
    </w:p>
    <w:p w:rsidR="00145684" w:rsidRPr="000D191A" w:rsidRDefault="00145684" w:rsidP="00145684">
      <w:pPr>
        <w:widowControl w:val="0"/>
        <w:spacing w:before="120" w:after="120" w:line="240" w:lineRule="auto"/>
        <w:ind w:left="720"/>
        <w:jc w:val="both"/>
        <w:rPr>
          <w:rFonts w:ascii="Times New Roman" w:eastAsia="Times New Roman" w:hAnsi="Times New Roman" w:cs="Times New Roman"/>
          <w:bCs/>
        </w:rPr>
      </w:pPr>
      <w:r>
        <w:rPr>
          <w:rFonts w:ascii="Times New Roman" w:eastAsia="Times New Roman" w:hAnsi="Times New Roman" w:cs="Times New Roman"/>
        </w:rPr>
        <w:t>A zárthelyi dolgozat egyszer pótolható, illetve sikertelensége esetén javítható.</w:t>
      </w:r>
    </w:p>
    <w:p w:rsidR="00145684" w:rsidRDefault="00145684" w:rsidP="00980876">
      <w:pPr>
        <w:widowControl w:val="0"/>
        <w:numPr>
          <w:ilvl w:val="0"/>
          <w:numId w:val="349"/>
        </w:numPr>
        <w:tabs>
          <w:tab w:val="clear" w:pos="720"/>
          <w:tab w:val="num" w:pos="643"/>
        </w:tabs>
        <w:spacing w:before="120" w:after="120" w:line="240" w:lineRule="auto"/>
        <w:ind w:left="426" w:hanging="142"/>
        <w:jc w:val="both"/>
        <w:rPr>
          <w:rFonts w:ascii="Times New Roman" w:eastAsia="Times New Roman" w:hAnsi="Times New Roman" w:cs="Times New Roman"/>
          <w:b/>
          <w:bCs/>
        </w:rPr>
      </w:pPr>
      <w:r w:rsidRPr="00BC6E7B">
        <w:rPr>
          <w:rFonts w:ascii="Times New Roman" w:eastAsia="Times New Roman" w:hAnsi="Times New Roman" w:cs="Times New Roman"/>
          <w:b/>
          <w:bCs/>
        </w:rPr>
        <w:t xml:space="preserve">Az értékelés, az aláírás és a kreditek megszerzésének pontos feltételei: </w:t>
      </w:r>
    </w:p>
    <w:p w:rsidR="00145684" w:rsidRPr="000D191A" w:rsidRDefault="00145684" w:rsidP="00980876">
      <w:pPr>
        <w:widowControl w:val="0"/>
        <w:numPr>
          <w:ilvl w:val="1"/>
          <w:numId w:val="349"/>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0D191A">
        <w:rPr>
          <w:rFonts w:ascii="Times New Roman" w:eastAsia="Times New Roman" w:hAnsi="Times New Roman" w:cs="Times New Roman"/>
          <w:b/>
        </w:rPr>
        <w:t>Az aláírás megszerzésének feltételei:</w:t>
      </w:r>
      <w:r w:rsidRPr="000D191A">
        <w:rPr>
          <w:rFonts w:ascii="Times New Roman" w:eastAsia="Times New Roman" w:hAnsi="Times New Roman" w:cs="Times New Roman"/>
        </w:rPr>
        <w:t xml:space="preserve"> Az aláírás megszerzésének feltétele a 14. pontban meghatározott arányú részvétel a foglalkozásokon és a 15. pontban meghatározott félévközi </w:t>
      </w:r>
      <w:r w:rsidRPr="000D191A">
        <w:rPr>
          <w:rFonts w:ascii="Times New Roman" w:eastAsia="Times New Roman" w:hAnsi="Times New Roman" w:cs="Times New Roman"/>
        </w:rPr>
        <w:lastRenderedPageBreak/>
        <w:t>feladatok legalább elégséges teljesítése</w:t>
      </w:r>
      <w:r>
        <w:rPr>
          <w:rFonts w:ascii="Times New Roman" w:eastAsia="Times New Roman" w:hAnsi="Times New Roman" w:cs="Times New Roman"/>
        </w:rPr>
        <w:t>.</w:t>
      </w:r>
    </w:p>
    <w:p w:rsidR="00145684" w:rsidRDefault="00145684" w:rsidP="00980876">
      <w:pPr>
        <w:widowControl w:val="0"/>
        <w:numPr>
          <w:ilvl w:val="1"/>
          <w:numId w:val="349"/>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BC6E7B">
        <w:rPr>
          <w:rFonts w:ascii="Times New Roman" w:eastAsia="Times New Roman" w:hAnsi="Times New Roman" w:cs="Times New Roman"/>
          <w:b/>
        </w:rPr>
        <w:t>Az értékelés:</w:t>
      </w:r>
      <w:r w:rsidRPr="00BC6E7B">
        <w:rPr>
          <w:rFonts w:ascii="Times New Roman" w:eastAsia="Times New Roman" w:hAnsi="Times New Roman" w:cs="Times New Roman"/>
        </w:rPr>
        <w:t xml:space="preserve"> </w:t>
      </w:r>
      <w:r>
        <w:rPr>
          <w:rFonts w:ascii="Times New Roman" w:eastAsia="Times New Roman" w:hAnsi="Times New Roman" w:cs="Times New Roman"/>
        </w:rPr>
        <w:t>Félévközi jegy</w:t>
      </w:r>
    </w:p>
    <w:p w:rsidR="00145684" w:rsidRPr="0099634B" w:rsidRDefault="00145684" w:rsidP="00980876">
      <w:pPr>
        <w:widowControl w:val="0"/>
        <w:numPr>
          <w:ilvl w:val="1"/>
          <w:numId w:val="349"/>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99634B">
        <w:rPr>
          <w:rFonts w:ascii="Times New Roman" w:eastAsia="Times New Roman" w:hAnsi="Times New Roman" w:cs="Times New Roman"/>
          <w:b/>
        </w:rPr>
        <w:t>A kreditek megszerzésének feltételei:</w:t>
      </w:r>
      <w:r w:rsidRPr="0099634B">
        <w:rPr>
          <w:rFonts w:ascii="Times New Roman" w:eastAsia="Times New Roman" w:hAnsi="Times New Roman" w:cs="Times New Roman"/>
        </w:rPr>
        <w:t xml:space="preserve"> A kreditek megszerzésének feltétele az aláírás megszerzése és legalább elégséges félévközi jegy.</w:t>
      </w:r>
    </w:p>
    <w:p w:rsidR="00145684" w:rsidRPr="006A233B" w:rsidRDefault="00145684" w:rsidP="00980876">
      <w:pPr>
        <w:widowControl w:val="0"/>
        <w:numPr>
          <w:ilvl w:val="0"/>
          <w:numId w:val="349"/>
        </w:numPr>
        <w:tabs>
          <w:tab w:val="num" w:pos="360"/>
        </w:tabs>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bCs/>
        </w:rPr>
        <w:t>Irodalomjegyzék:</w:t>
      </w:r>
    </w:p>
    <w:p w:rsidR="00145684" w:rsidRDefault="00145684" w:rsidP="00980876">
      <w:pPr>
        <w:widowControl w:val="0"/>
        <w:numPr>
          <w:ilvl w:val="1"/>
          <w:numId w:val="349"/>
        </w:numPr>
        <w:tabs>
          <w:tab w:val="clear" w:pos="3977"/>
          <w:tab w:val="left" w:pos="567"/>
          <w:tab w:val="left" w:pos="851"/>
          <w:tab w:val="num" w:pos="1566"/>
          <w:tab w:val="num" w:pos="2069"/>
        </w:tabs>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bCs/>
        </w:rPr>
        <w:t>Kötelező irodalom:</w:t>
      </w:r>
      <w:r>
        <w:rPr>
          <w:rFonts w:ascii="Times New Roman" w:eastAsia="Times New Roman" w:hAnsi="Times New Roman" w:cs="Times New Roman"/>
          <w:b/>
          <w:bCs/>
        </w:rPr>
        <w:t xml:space="preserve"> </w:t>
      </w:r>
      <w:r>
        <w:rPr>
          <w:rFonts w:ascii="Times New Roman" w:eastAsia="Times New Roman" w:hAnsi="Times New Roman" w:cs="Times New Roman"/>
        </w:rPr>
        <w:t>A t</w:t>
      </w:r>
      <w:r w:rsidRPr="0099634B">
        <w:rPr>
          <w:rFonts w:ascii="Times New Roman" w:eastAsia="Times New Roman" w:hAnsi="Times New Roman" w:cs="Times New Roman"/>
        </w:rPr>
        <w:t>antárgy speciális katonai-szakmai tartalma miatt csak jogszabályi irodalom áll rendelkezésre</w:t>
      </w:r>
      <w:r>
        <w:rPr>
          <w:rFonts w:ascii="Times New Roman" w:eastAsia="Times New Roman" w:hAnsi="Times New Roman" w:cs="Times New Roman"/>
          <w:bCs/>
          <w:caps/>
        </w:rPr>
        <w:t>.</w:t>
      </w:r>
    </w:p>
    <w:p w:rsidR="00145684" w:rsidRPr="006A233B" w:rsidRDefault="00145684" w:rsidP="00980876">
      <w:pPr>
        <w:widowControl w:val="0"/>
        <w:numPr>
          <w:ilvl w:val="0"/>
          <w:numId w:val="350"/>
        </w:numPr>
        <w:tabs>
          <w:tab w:val="clear" w:pos="720"/>
          <w:tab w:val="left" w:pos="567"/>
        </w:tabs>
        <w:spacing w:before="120" w:after="120" w:line="240" w:lineRule="auto"/>
        <w:ind w:left="1134"/>
        <w:jc w:val="both"/>
        <w:rPr>
          <w:rFonts w:ascii="Times New Roman" w:eastAsia="Times New Roman" w:hAnsi="Times New Roman" w:cs="Times New Roman"/>
          <w:bCs/>
        </w:rPr>
      </w:pPr>
      <w:r w:rsidRPr="00DD391C">
        <w:rPr>
          <w:rFonts w:ascii="Times New Roman" w:eastAsia="Times New Roman" w:hAnsi="Times New Roman" w:cs="Times New Roman"/>
        </w:rPr>
        <w:t>7/2015. (VI. 22.) HM rendelet a honvédek illetményéről és illetményjellegű juttatásairól</w:t>
      </w:r>
    </w:p>
    <w:p w:rsidR="00145684" w:rsidRPr="00DD391C" w:rsidRDefault="00145684" w:rsidP="00980876">
      <w:pPr>
        <w:widowControl w:val="0"/>
        <w:numPr>
          <w:ilvl w:val="0"/>
          <w:numId w:val="350"/>
        </w:numPr>
        <w:tabs>
          <w:tab w:val="clear" w:pos="720"/>
          <w:tab w:val="left" w:pos="567"/>
        </w:tabs>
        <w:spacing w:before="120" w:after="120" w:line="240" w:lineRule="auto"/>
        <w:ind w:left="1134"/>
        <w:jc w:val="both"/>
        <w:rPr>
          <w:rFonts w:ascii="Times New Roman" w:eastAsia="Times New Roman" w:hAnsi="Times New Roman" w:cs="Times New Roman"/>
          <w:bCs/>
        </w:rPr>
      </w:pPr>
      <w:r w:rsidRPr="00DD391C">
        <w:rPr>
          <w:rFonts w:ascii="Times New Roman" w:eastAsia="Times New Roman" w:hAnsi="Times New Roman" w:cs="Times New Roman"/>
        </w:rPr>
        <w:t>Az illetményekkel és illetményen kívüli juttatásokkal kapcsolatos egyes eljárási szabályokról szóló 15/2015. (IV. 30.) HM utasítás.</w:t>
      </w:r>
    </w:p>
    <w:p w:rsidR="00145684" w:rsidRPr="006A233B" w:rsidRDefault="00145684" w:rsidP="00980876">
      <w:pPr>
        <w:widowControl w:val="0"/>
        <w:numPr>
          <w:ilvl w:val="1"/>
          <w:numId w:val="349"/>
        </w:numPr>
        <w:tabs>
          <w:tab w:val="clear" w:pos="3977"/>
          <w:tab w:val="num" w:pos="567"/>
          <w:tab w:val="num" w:pos="1566"/>
          <w:tab w:val="num" w:pos="2069"/>
        </w:tabs>
        <w:spacing w:before="120" w:after="120" w:line="240" w:lineRule="auto"/>
        <w:ind w:left="993" w:hanging="709"/>
        <w:jc w:val="both"/>
        <w:rPr>
          <w:rFonts w:ascii="Times New Roman" w:eastAsia="Times New Roman" w:hAnsi="Times New Roman" w:cs="Times New Roman"/>
          <w:b/>
          <w:bCs/>
        </w:rPr>
      </w:pPr>
      <w:r w:rsidRPr="006A233B">
        <w:rPr>
          <w:rFonts w:ascii="Times New Roman" w:eastAsia="Times New Roman" w:hAnsi="Times New Roman" w:cs="Times New Roman"/>
          <w:b/>
          <w:bCs/>
        </w:rPr>
        <w:t>Ajánlott irodalom:</w:t>
      </w:r>
    </w:p>
    <w:p w:rsidR="00145684" w:rsidRDefault="00145684" w:rsidP="00145684">
      <w:pPr>
        <w:widowControl w:val="0"/>
        <w:spacing w:before="120" w:after="120" w:line="240" w:lineRule="auto"/>
        <w:ind w:left="993"/>
        <w:jc w:val="both"/>
        <w:rPr>
          <w:rFonts w:ascii="Times New Roman" w:eastAsia="Times New Roman" w:hAnsi="Times New Roman" w:cs="Times New Roman"/>
          <w:bCs/>
        </w:rPr>
      </w:pPr>
      <w:r>
        <w:rPr>
          <w:rFonts w:ascii="Times New Roman" w:eastAsia="Times New Roman" w:hAnsi="Times New Roman" w:cs="Times New Roman"/>
          <w:bCs/>
        </w:rPr>
        <w:t>-</w:t>
      </w:r>
    </w:p>
    <w:p w:rsidR="00145684" w:rsidRPr="006A233B" w:rsidRDefault="00145684" w:rsidP="00145684">
      <w:pPr>
        <w:widowControl w:val="0"/>
        <w:spacing w:before="120" w:after="120" w:line="240" w:lineRule="auto"/>
        <w:ind w:firstLine="360"/>
        <w:jc w:val="both"/>
        <w:rPr>
          <w:rFonts w:ascii="Times New Roman" w:eastAsia="Times New Roman" w:hAnsi="Times New Roman" w:cs="Times New Roman"/>
          <w:bCs/>
        </w:rPr>
      </w:pPr>
      <w:r w:rsidRPr="006A233B">
        <w:rPr>
          <w:rFonts w:ascii="Times New Roman" w:eastAsia="Times New Roman" w:hAnsi="Times New Roman" w:cs="Times New Roman"/>
          <w:bCs/>
        </w:rPr>
        <w:t>Budapest, 20</w:t>
      </w:r>
      <w:r>
        <w:rPr>
          <w:rFonts w:ascii="Times New Roman" w:eastAsia="Times New Roman" w:hAnsi="Times New Roman" w:cs="Times New Roman"/>
          <w:bCs/>
        </w:rPr>
        <w:t>20</w:t>
      </w:r>
      <w:r w:rsidRPr="006A233B">
        <w:rPr>
          <w:rFonts w:ascii="Times New Roman" w:eastAsia="Times New Roman" w:hAnsi="Times New Roman" w:cs="Times New Roman"/>
          <w:bCs/>
        </w:rPr>
        <w:t>.</w:t>
      </w:r>
      <w:r>
        <w:rPr>
          <w:rFonts w:ascii="Times New Roman" w:eastAsia="Times New Roman" w:hAnsi="Times New Roman" w:cs="Times New Roman"/>
          <w:bCs/>
        </w:rPr>
        <w:t>02.20.</w:t>
      </w:r>
    </w:p>
    <w:p w:rsidR="00145684" w:rsidRPr="006A233B" w:rsidRDefault="00145684" w:rsidP="00145684">
      <w:pPr>
        <w:widowControl w:val="0"/>
        <w:spacing w:before="120" w:after="120" w:line="240" w:lineRule="auto"/>
        <w:jc w:val="both"/>
        <w:rPr>
          <w:rFonts w:ascii="Times New Roman" w:eastAsia="Times New Roman" w:hAnsi="Times New Roman" w:cs="Times New Roman"/>
          <w:bCs/>
        </w:rPr>
      </w:pPr>
    </w:p>
    <w:p w:rsidR="00145684" w:rsidRPr="00A1227C" w:rsidRDefault="00145684" w:rsidP="00145684">
      <w:pPr>
        <w:widowControl w:val="0"/>
        <w:spacing w:after="0" w:line="240" w:lineRule="auto"/>
        <w:ind w:left="6379"/>
        <w:jc w:val="center"/>
        <w:rPr>
          <w:rFonts w:ascii="Times New Roman" w:hAnsi="Times New Roman" w:cs="Times New Roman"/>
          <w:b/>
          <w:bCs/>
        </w:rPr>
      </w:pPr>
      <w:r w:rsidRPr="00A1227C">
        <w:rPr>
          <w:rFonts w:ascii="Times New Roman" w:hAnsi="Times New Roman" w:cs="Times New Roman"/>
          <w:b/>
          <w:bCs/>
        </w:rPr>
        <w:t xml:space="preserve">Dr. </w:t>
      </w:r>
      <w:r>
        <w:rPr>
          <w:rFonts w:ascii="Times New Roman" w:hAnsi="Times New Roman" w:cs="Times New Roman"/>
          <w:b/>
          <w:bCs/>
        </w:rPr>
        <w:t>Balla Tibor s.k.</w:t>
      </w:r>
    </w:p>
    <w:p w:rsidR="00145684" w:rsidRDefault="00145684">
      <w:pPr>
        <w:spacing w:after="200" w:line="276" w:lineRule="auto"/>
        <w:rPr>
          <w:rFonts w:ascii="Times New Roman" w:hAnsi="Times New Roman" w:cs="Times New Roman"/>
          <w:b/>
          <w:color w:val="FF0000"/>
          <w:sz w:val="24"/>
        </w:rPr>
      </w:pPr>
    </w:p>
    <w:p w:rsidR="00145684" w:rsidRDefault="00145684">
      <w:pPr>
        <w:spacing w:after="200" w:line="276" w:lineRule="auto"/>
        <w:rPr>
          <w:rFonts w:ascii="Times New Roman" w:hAnsi="Times New Roman" w:cs="Times New Roman"/>
          <w:b/>
          <w:color w:val="FF0000"/>
          <w:sz w:val="24"/>
        </w:rPr>
      </w:pPr>
      <w:r>
        <w:rPr>
          <w:rFonts w:ascii="Times New Roman" w:hAnsi="Times New Roman" w:cs="Times New Roman"/>
          <w:b/>
          <w:color w:val="FF0000"/>
          <w:sz w:val="24"/>
        </w:rPr>
        <w:br w:type="page"/>
      </w:r>
    </w:p>
    <w:tbl>
      <w:tblPr>
        <w:tblW w:w="9072" w:type="dxa"/>
        <w:tblInd w:w="113" w:type="dxa"/>
        <w:tblLook w:val="01E0" w:firstRow="1" w:lastRow="1" w:firstColumn="1" w:lastColumn="1" w:noHBand="0" w:noVBand="0"/>
      </w:tblPr>
      <w:tblGrid>
        <w:gridCol w:w="4855"/>
        <w:gridCol w:w="1620"/>
        <w:gridCol w:w="2597"/>
      </w:tblGrid>
      <w:tr w:rsidR="00145684" w:rsidRPr="00BC6E7B" w:rsidTr="00892EBF">
        <w:tc>
          <w:tcPr>
            <w:tcW w:w="4855" w:type="dxa"/>
            <w:tcBorders>
              <w:bottom w:val="single" w:sz="4" w:space="0" w:color="auto"/>
            </w:tcBorders>
          </w:tcPr>
          <w:p w:rsidR="00145684" w:rsidRPr="00BC6E7B" w:rsidRDefault="00145684" w:rsidP="00892EBF">
            <w:pPr>
              <w:spacing w:after="0" w:line="240" w:lineRule="auto"/>
              <w:jc w:val="center"/>
              <w:rPr>
                <w:rFonts w:ascii="Times New Roman" w:eastAsia="Times New Roman" w:hAnsi="Times New Roman" w:cs="Times New Roman"/>
                <w:b/>
                <w:smallCaps/>
                <w:lang w:eastAsia="hu-HU"/>
              </w:rPr>
            </w:pPr>
            <w:r w:rsidRPr="00BC6E7B">
              <w:rPr>
                <w:rFonts w:ascii="Times New Roman" w:eastAsia="Times New Roman" w:hAnsi="Times New Roman" w:cs="Times New Roman"/>
                <w:b/>
                <w:smallCaps/>
                <w:lang w:eastAsia="hu-HU"/>
              </w:rPr>
              <w:lastRenderedPageBreak/>
              <w:t>Nemzeti Közszolgálati Egyetem</w:t>
            </w:r>
          </w:p>
        </w:tc>
        <w:tc>
          <w:tcPr>
            <w:tcW w:w="1620" w:type="dxa"/>
          </w:tcPr>
          <w:p w:rsidR="00145684" w:rsidRPr="00BC6E7B" w:rsidRDefault="00145684" w:rsidP="00892EBF">
            <w:pPr>
              <w:spacing w:after="0" w:line="240" w:lineRule="auto"/>
              <w:jc w:val="both"/>
              <w:rPr>
                <w:rFonts w:ascii="Times New Roman" w:eastAsia="Times New Roman" w:hAnsi="Times New Roman" w:cs="Times New Roman"/>
                <w:lang w:eastAsia="hu-HU"/>
              </w:rPr>
            </w:pPr>
          </w:p>
        </w:tc>
        <w:tc>
          <w:tcPr>
            <w:tcW w:w="2597" w:type="dxa"/>
          </w:tcPr>
          <w:p w:rsidR="00145684" w:rsidRPr="00BC6E7B" w:rsidRDefault="00145684" w:rsidP="00892EBF">
            <w:pPr>
              <w:spacing w:after="0" w:line="240" w:lineRule="auto"/>
              <w:jc w:val="right"/>
              <w:rPr>
                <w:rFonts w:ascii="Times New Roman" w:eastAsia="Times New Roman" w:hAnsi="Times New Roman" w:cs="Times New Roman"/>
                <w:lang w:eastAsia="hu-HU"/>
              </w:rPr>
            </w:pPr>
          </w:p>
        </w:tc>
      </w:tr>
      <w:tr w:rsidR="00145684" w:rsidTr="00892EBF">
        <w:tc>
          <w:tcPr>
            <w:tcW w:w="4855" w:type="dxa"/>
            <w:tcBorders>
              <w:top w:val="single" w:sz="4" w:space="0" w:color="auto"/>
              <w:left w:val="nil"/>
              <w:bottom w:val="nil"/>
              <w:right w:val="nil"/>
            </w:tcBorders>
            <w:hideMark/>
          </w:tcPr>
          <w:p w:rsidR="00145684" w:rsidRPr="00F644B4" w:rsidRDefault="00145684" w:rsidP="00892EBF">
            <w:pPr>
              <w:pStyle w:val="Szvegtrzs"/>
              <w:jc w:val="center"/>
              <w:rPr>
                <w:b/>
              </w:rPr>
            </w:pPr>
            <w:r>
              <w:rPr>
                <w:b/>
              </w:rPr>
              <w:t>Hadtudományi és Honvédtisztképző</w:t>
            </w:r>
            <w:r w:rsidRPr="00F644B4">
              <w:rPr>
                <w:b/>
              </w:rPr>
              <w:t xml:space="preserve"> Kar</w:t>
            </w:r>
          </w:p>
        </w:tc>
        <w:tc>
          <w:tcPr>
            <w:tcW w:w="1620" w:type="dxa"/>
          </w:tcPr>
          <w:p w:rsidR="00145684" w:rsidRDefault="00145684" w:rsidP="00892EBF">
            <w:pPr>
              <w:pStyle w:val="Szvegtrzs"/>
            </w:pPr>
          </w:p>
        </w:tc>
        <w:tc>
          <w:tcPr>
            <w:tcW w:w="2597" w:type="dxa"/>
          </w:tcPr>
          <w:p w:rsidR="00145684" w:rsidRDefault="00145684" w:rsidP="00892EBF">
            <w:pPr>
              <w:pStyle w:val="Szvegtrzs"/>
            </w:pPr>
          </w:p>
        </w:tc>
      </w:tr>
    </w:tbl>
    <w:p w:rsidR="00145684" w:rsidRDefault="00145684" w:rsidP="00145684">
      <w:pPr>
        <w:widowControl w:val="0"/>
        <w:spacing w:before="120" w:after="120" w:line="240" w:lineRule="auto"/>
        <w:ind w:left="426" w:hanging="142"/>
        <w:jc w:val="center"/>
        <w:rPr>
          <w:rFonts w:ascii="Times New Roman" w:eastAsia="Times New Roman" w:hAnsi="Times New Roman" w:cs="Times New Roman"/>
          <w:b/>
          <w:bCs/>
        </w:rPr>
      </w:pPr>
    </w:p>
    <w:p w:rsidR="00145684" w:rsidRPr="00BC6E7B" w:rsidRDefault="00145684" w:rsidP="00145684">
      <w:pPr>
        <w:widowControl w:val="0"/>
        <w:spacing w:before="120" w:after="120" w:line="240" w:lineRule="auto"/>
        <w:ind w:left="426" w:hanging="142"/>
        <w:jc w:val="center"/>
        <w:rPr>
          <w:rFonts w:ascii="Times New Roman" w:eastAsia="Times New Roman" w:hAnsi="Times New Roman" w:cs="Times New Roman"/>
          <w:b/>
          <w:bCs/>
        </w:rPr>
      </w:pPr>
      <w:r w:rsidRPr="00BC6E7B">
        <w:rPr>
          <w:rFonts w:ascii="Times New Roman" w:eastAsia="Times New Roman" w:hAnsi="Times New Roman" w:cs="Times New Roman"/>
          <w:b/>
          <w:bCs/>
        </w:rPr>
        <w:t>TANTÁRGYI PROGRAM</w:t>
      </w:r>
    </w:p>
    <w:p w:rsidR="00145684" w:rsidRPr="001B33F6" w:rsidRDefault="00145684" w:rsidP="00980876">
      <w:pPr>
        <w:widowControl w:val="0"/>
        <w:numPr>
          <w:ilvl w:val="0"/>
          <w:numId w:val="353"/>
        </w:numPr>
        <w:tabs>
          <w:tab w:val="clear" w:pos="720"/>
          <w:tab w:val="num" w:pos="643"/>
        </w:tabs>
        <w:spacing w:before="120" w:after="120" w:line="240" w:lineRule="auto"/>
        <w:ind w:left="643"/>
        <w:jc w:val="both"/>
        <w:rPr>
          <w:rFonts w:ascii="Times New Roman" w:eastAsia="Times New Roman" w:hAnsi="Times New Roman" w:cs="Times New Roman"/>
          <w:b/>
          <w:bCs/>
          <w:lang w:val="en-GB"/>
        </w:rPr>
      </w:pPr>
      <w:r w:rsidRPr="001B33F6">
        <w:rPr>
          <w:rFonts w:ascii="Times New Roman" w:eastAsia="Times New Roman" w:hAnsi="Times New Roman" w:cs="Times New Roman"/>
          <w:b/>
          <w:bCs/>
        </w:rPr>
        <w:t xml:space="preserve">A tantárgy kódja: </w:t>
      </w:r>
      <w:r w:rsidRPr="001B33F6">
        <w:rPr>
          <w:rFonts w:ascii="Times New Roman" w:eastAsia="Times New Roman" w:hAnsi="Times New Roman" w:cs="Times New Roman"/>
          <w:bCs/>
        </w:rPr>
        <w:t>HKHPKA505</w:t>
      </w:r>
    </w:p>
    <w:p w:rsidR="00145684" w:rsidRPr="001B33F6" w:rsidRDefault="00145684" w:rsidP="00980876">
      <w:pPr>
        <w:widowControl w:val="0"/>
        <w:numPr>
          <w:ilvl w:val="0"/>
          <w:numId w:val="353"/>
        </w:numPr>
        <w:tabs>
          <w:tab w:val="clear" w:pos="720"/>
          <w:tab w:val="num" w:pos="643"/>
        </w:tabs>
        <w:spacing w:before="120" w:after="120" w:line="240" w:lineRule="auto"/>
        <w:ind w:left="643"/>
        <w:jc w:val="both"/>
        <w:rPr>
          <w:rFonts w:ascii="Times New Roman" w:eastAsia="Times New Roman" w:hAnsi="Times New Roman" w:cs="Times New Roman"/>
          <w:b/>
          <w:bCs/>
          <w:lang w:val="en-GB"/>
        </w:rPr>
      </w:pPr>
      <w:r w:rsidRPr="001B33F6">
        <w:rPr>
          <w:rFonts w:ascii="Times New Roman" w:eastAsia="Times New Roman" w:hAnsi="Times New Roman" w:cs="Times New Roman"/>
          <w:b/>
          <w:bCs/>
        </w:rPr>
        <w:t>A tantárgy megnevezése (magyarul):</w:t>
      </w:r>
      <w:r w:rsidRPr="001B33F6">
        <w:rPr>
          <w:bCs/>
        </w:rPr>
        <w:t xml:space="preserve"> </w:t>
      </w:r>
      <w:r w:rsidRPr="001B33F6">
        <w:rPr>
          <w:rFonts w:ascii="Times New Roman" w:hAnsi="Times New Roman" w:cs="Times New Roman"/>
          <w:bCs/>
          <w:sz w:val="24"/>
          <w:szCs w:val="24"/>
          <w:lang w:eastAsia="x-none"/>
        </w:rPr>
        <w:t>Katonai pénzügyi ellátás I.</w:t>
      </w:r>
    </w:p>
    <w:p w:rsidR="00145684" w:rsidRPr="00A6100B" w:rsidRDefault="00145684" w:rsidP="00980876">
      <w:pPr>
        <w:widowControl w:val="0"/>
        <w:numPr>
          <w:ilvl w:val="0"/>
          <w:numId w:val="353"/>
        </w:numPr>
        <w:tabs>
          <w:tab w:val="clear" w:pos="720"/>
          <w:tab w:val="num" w:pos="643"/>
        </w:tabs>
        <w:spacing w:before="120" w:after="120" w:line="240" w:lineRule="auto"/>
        <w:ind w:left="643"/>
        <w:jc w:val="both"/>
        <w:rPr>
          <w:rFonts w:ascii="Times New Roman" w:eastAsia="Times New Roman" w:hAnsi="Times New Roman" w:cs="Times New Roman"/>
          <w:b/>
          <w:bCs/>
          <w:lang w:val="en-GB"/>
        </w:rPr>
      </w:pPr>
      <w:r w:rsidRPr="00A6100B">
        <w:rPr>
          <w:rFonts w:ascii="Times New Roman" w:eastAsia="Times New Roman" w:hAnsi="Times New Roman" w:cs="Times New Roman"/>
          <w:b/>
          <w:bCs/>
        </w:rPr>
        <w:t>A tantárgy megnevezése (angolul):</w:t>
      </w:r>
      <w:r w:rsidRPr="00A6100B">
        <w:rPr>
          <w:bCs/>
        </w:rPr>
        <w:t xml:space="preserve"> </w:t>
      </w:r>
      <w:r>
        <w:rPr>
          <w:rFonts w:ascii="Times New Roman" w:eastAsia="Times New Roman" w:hAnsi="Times New Roman" w:cs="Times New Roman"/>
          <w:bCs/>
        </w:rPr>
        <w:t>Military Financial Supply I.</w:t>
      </w:r>
    </w:p>
    <w:p w:rsidR="00145684" w:rsidRPr="001B33F6" w:rsidRDefault="00145684" w:rsidP="00980876">
      <w:pPr>
        <w:widowControl w:val="0"/>
        <w:numPr>
          <w:ilvl w:val="0"/>
          <w:numId w:val="353"/>
        </w:numPr>
        <w:tabs>
          <w:tab w:val="clear" w:pos="720"/>
          <w:tab w:val="num" w:pos="567"/>
          <w:tab w:val="num" w:pos="643"/>
        </w:tabs>
        <w:spacing w:before="120" w:after="120" w:line="240" w:lineRule="auto"/>
        <w:ind w:left="426" w:hanging="142"/>
        <w:jc w:val="both"/>
        <w:rPr>
          <w:rFonts w:ascii="Times New Roman" w:eastAsia="Times New Roman" w:hAnsi="Times New Roman" w:cs="Times New Roman"/>
          <w:b/>
          <w:bCs/>
        </w:rPr>
      </w:pPr>
      <w:r w:rsidRPr="001B33F6">
        <w:rPr>
          <w:rFonts w:ascii="Times New Roman" w:eastAsia="Times New Roman" w:hAnsi="Times New Roman" w:cs="Times New Roman"/>
          <w:b/>
          <w:bCs/>
        </w:rPr>
        <w:t xml:space="preserve">Kreditérték és képzési karakter: </w:t>
      </w:r>
    </w:p>
    <w:p w:rsidR="00145684" w:rsidRPr="001B33F6" w:rsidRDefault="00145684" w:rsidP="00980876">
      <w:pPr>
        <w:pStyle w:val="Listaszerbekezds"/>
        <w:widowControl w:val="0"/>
        <w:numPr>
          <w:ilvl w:val="1"/>
          <w:numId w:val="353"/>
        </w:numPr>
        <w:tabs>
          <w:tab w:val="clear" w:pos="3977"/>
          <w:tab w:val="num" w:pos="999"/>
        </w:tabs>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5</w:t>
      </w:r>
      <w:r w:rsidRPr="001B33F6">
        <w:rPr>
          <w:rFonts w:ascii="Times New Roman" w:eastAsia="Times New Roman" w:hAnsi="Times New Roman" w:cs="Times New Roman"/>
          <w:bCs/>
        </w:rPr>
        <w:t xml:space="preserve"> kredit</w:t>
      </w:r>
    </w:p>
    <w:p w:rsidR="00145684" w:rsidRPr="001B33F6" w:rsidRDefault="00145684" w:rsidP="00980876">
      <w:pPr>
        <w:pStyle w:val="Listaszerbekezds"/>
        <w:widowControl w:val="0"/>
        <w:numPr>
          <w:ilvl w:val="1"/>
          <w:numId w:val="353"/>
        </w:numPr>
        <w:tabs>
          <w:tab w:val="clear" w:pos="3977"/>
          <w:tab w:val="num" w:pos="999"/>
        </w:tabs>
        <w:spacing w:before="120" w:after="120" w:line="240" w:lineRule="auto"/>
        <w:ind w:left="993" w:hanging="426"/>
        <w:jc w:val="both"/>
        <w:rPr>
          <w:rFonts w:ascii="Times New Roman" w:eastAsia="Times New Roman" w:hAnsi="Times New Roman" w:cs="Times New Roman"/>
          <w:b/>
          <w:bCs/>
        </w:rPr>
      </w:pPr>
      <w:r w:rsidRPr="001B33F6">
        <w:rPr>
          <w:rFonts w:ascii="Times New Roman" w:eastAsia="Times New Roman" w:hAnsi="Times New Roman" w:cs="Times New Roman"/>
          <w:bCs/>
        </w:rPr>
        <w:t xml:space="preserve">a tantárgy elméleti vagy gyakorlati jellegének mértéke: </w:t>
      </w:r>
      <w:r>
        <w:rPr>
          <w:rFonts w:ascii="Times New Roman" w:eastAsia="Times New Roman" w:hAnsi="Times New Roman" w:cs="Times New Roman"/>
          <w:bCs/>
        </w:rPr>
        <w:t>50</w:t>
      </w:r>
      <w:r w:rsidRPr="001B33F6">
        <w:rPr>
          <w:rFonts w:ascii="Times New Roman" w:eastAsia="Times New Roman" w:hAnsi="Times New Roman" w:cs="Times New Roman"/>
          <w:b/>
          <w:bCs/>
        </w:rPr>
        <w:t xml:space="preserve"> </w:t>
      </w:r>
      <w:r w:rsidRPr="001B33F6">
        <w:rPr>
          <w:rFonts w:ascii="Times New Roman" w:eastAsia="Times New Roman" w:hAnsi="Times New Roman" w:cs="Times New Roman"/>
          <w:bCs/>
        </w:rPr>
        <w:t>% gyakorlat, 5</w:t>
      </w:r>
      <w:r>
        <w:rPr>
          <w:rFonts w:ascii="Times New Roman" w:eastAsia="Times New Roman" w:hAnsi="Times New Roman" w:cs="Times New Roman"/>
          <w:bCs/>
        </w:rPr>
        <w:t>0</w:t>
      </w:r>
      <w:r w:rsidRPr="001B33F6">
        <w:rPr>
          <w:rFonts w:ascii="Times New Roman" w:eastAsia="Times New Roman" w:hAnsi="Times New Roman" w:cs="Times New Roman"/>
          <w:bCs/>
        </w:rPr>
        <w:t xml:space="preserve"> % elmélet</w:t>
      </w:r>
    </w:p>
    <w:p w:rsidR="00145684" w:rsidRPr="00BC6E7B" w:rsidRDefault="00145684" w:rsidP="00980876">
      <w:pPr>
        <w:widowControl w:val="0"/>
        <w:numPr>
          <w:ilvl w:val="0"/>
          <w:numId w:val="353"/>
        </w:numPr>
        <w:tabs>
          <w:tab w:val="clear" w:pos="720"/>
          <w:tab w:val="num" w:pos="643"/>
        </w:tabs>
        <w:spacing w:before="120" w:after="120" w:line="240" w:lineRule="auto"/>
        <w:ind w:left="643"/>
        <w:jc w:val="both"/>
        <w:rPr>
          <w:rFonts w:ascii="Times New Roman" w:eastAsia="Times New Roman" w:hAnsi="Times New Roman" w:cs="Times New Roman"/>
          <w:bCs/>
        </w:rPr>
      </w:pPr>
      <w:r w:rsidRPr="00BC6E7B">
        <w:rPr>
          <w:rFonts w:ascii="Times New Roman" w:eastAsia="Times New Roman" w:hAnsi="Times New Roman" w:cs="Times New Roman"/>
          <w:b/>
          <w:bCs/>
        </w:rPr>
        <w:t xml:space="preserve">A szak(ok), </w:t>
      </w:r>
      <w:r w:rsidRPr="001B33F6">
        <w:rPr>
          <w:rFonts w:ascii="Times New Roman" w:eastAsia="Times New Roman" w:hAnsi="Times New Roman" w:cs="Times New Roman"/>
          <w:b/>
          <w:bCs/>
        </w:rPr>
        <w:t>szakirányok/specializációk</w:t>
      </w:r>
      <w:r w:rsidRPr="00BC6E7B">
        <w:rPr>
          <w:rFonts w:ascii="Times New Roman" w:eastAsia="Times New Roman" w:hAnsi="Times New Roman" w:cs="Times New Roman"/>
          <w:b/>
          <w:bCs/>
        </w:rPr>
        <w:t xml:space="preserve"> megnevezése (ahol oktatják):</w:t>
      </w:r>
      <w:r w:rsidRPr="00BC6E7B">
        <w:rPr>
          <w:rFonts w:ascii="Times New Roman" w:eastAsia="Times New Roman" w:hAnsi="Times New Roman" w:cs="Times New Roman"/>
          <w:bCs/>
        </w:rPr>
        <w:t xml:space="preserve"> </w:t>
      </w:r>
      <w:r w:rsidRPr="00B50509">
        <w:rPr>
          <w:rFonts w:ascii="Times New Roman" w:eastAsia="Times New Roman" w:hAnsi="Times New Roman" w:cs="Times New Roman"/>
          <w:bCs/>
        </w:rPr>
        <w:t xml:space="preserve">Katonai logisztika alapképzési szak, </w:t>
      </w:r>
      <w:r>
        <w:rPr>
          <w:rFonts w:ascii="Times New Roman" w:eastAsia="Times New Roman" w:hAnsi="Times New Roman" w:cs="Times New Roman"/>
          <w:bCs/>
        </w:rPr>
        <w:t>Katonai pénzügyi specializáció</w:t>
      </w:r>
    </w:p>
    <w:p w:rsidR="00145684" w:rsidRDefault="00145684" w:rsidP="00980876">
      <w:pPr>
        <w:widowControl w:val="0"/>
        <w:numPr>
          <w:ilvl w:val="0"/>
          <w:numId w:val="353"/>
        </w:numPr>
        <w:tabs>
          <w:tab w:val="clear" w:pos="720"/>
          <w:tab w:val="num" w:pos="567"/>
          <w:tab w:val="num" w:pos="643"/>
        </w:tabs>
        <w:spacing w:before="120" w:after="120" w:line="240" w:lineRule="auto"/>
        <w:ind w:left="426" w:hanging="142"/>
        <w:jc w:val="both"/>
        <w:rPr>
          <w:rFonts w:ascii="Times New Roman" w:eastAsia="Times New Roman" w:hAnsi="Times New Roman" w:cs="Times New Roman"/>
          <w:bCs/>
        </w:rPr>
      </w:pPr>
      <w:r w:rsidRPr="00BC6E7B">
        <w:rPr>
          <w:rFonts w:ascii="Times New Roman" w:eastAsia="Times New Roman" w:hAnsi="Times New Roman" w:cs="Times New Roman"/>
          <w:b/>
          <w:bCs/>
        </w:rPr>
        <w:t>Az oktatásért felelős oktatási</w:t>
      </w:r>
      <w:r>
        <w:rPr>
          <w:rFonts w:ascii="Times New Roman" w:eastAsia="Times New Roman" w:hAnsi="Times New Roman" w:cs="Times New Roman"/>
          <w:b/>
          <w:bCs/>
        </w:rPr>
        <w:t xml:space="preserve"> szervezeti egység megnevezése:</w:t>
      </w:r>
      <w:r w:rsidRPr="0078259C">
        <w:rPr>
          <w:bCs/>
        </w:rPr>
        <w:t xml:space="preserve"> </w:t>
      </w:r>
      <w:r w:rsidRPr="00A6100B">
        <w:rPr>
          <w:rFonts w:ascii="Times New Roman" w:eastAsia="Times New Roman" w:hAnsi="Times New Roman" w:cs="Times New Roman"/>
          <w:bCs/>
        </w:rPr>
        <w:t>NKE Hadtudományi és Honvédtisztképző Kar, Hadtáp</w:t>
      </w:r>
      <w:r>
        <w:rPr>
          <w:rFonts w:ascii="Times New Roman" w:eastAsia="Times New Roman" w:hAnsi="Times New Roman" w:cs="Times New Roman"/>
          <w:bCs/>
        </w:rPr>
        <w:t>, Pénzügyi</w:t>
      </w:r>
      <w:r w:rsidRPr="00A6100B">
        <w:rPr>
          <w:rFonts w:ascii="Times New Roman" w:eastAsia="Times New Roman" w:hAnsi="Times New Roman" w:cs="Times New Roman"/>
          <w:bCs/>
        </w:rPr>
        <w:t xml:space="preserve"> és Katonai Közlekedési Tanszék </w:t>
      </w:r>
    </w:p>
    <w:p w:rsidR="00145684" w:rsidRPr="001B33F6" w:rsidRDefault="00145684" w:rsidP="00980876">
      <w:pPr>
        <w:widowControl w:val="0"/>
        <w:numPr>
          <w:ilvl w:val="0"/>
          <w:numId w:val="353"/>
        </w:numPr>
        <w:tabs>
          <w:tab w:val="clear" w:pos="720"/>
          <w:tab w:val="num" w:pos="567"/>
          <w:tab w:val="num" w:pos="643"/>
        </w:tabs>
        <w:spacing w:before="120" w:after="120" w:line="240" w:lineRule="auto"/>
        <w:ind w:left="426" w:hanging="142"/>
        <w:jc w:val="both"/>
        <w:rPr>
          <w:rFonts w:ascii="Times New Roman" w:eastAsia="Times New Roman" w:hAnsi="Times New Roman" w:cs="Times New Roman"/>
          <w:bCs/>
        </w:rPr>
      </w:pPr>
      <w:r w:rsidRPr="001B33F6">
        <w:rPr>
          <w:rFonts w:ascii="Times New Roman" w:eastAsia="Times New Roman" w:hAnsi="Times New Roman" w:cs="Times New Roman"/>
          <w:b/>
          <w:bCs/>
        </w:rPr>
        <w:t>A tantárgyfelelős oktató neve, beosztása, tudományos fokozata:</w:t>
      </w:r>
      <w:r w:rsidRPr="001B33F6">
        <w:rPr>
          <w:rFonts w:ascii="Times New Roman" w:eastAsia="Times New Roman" w:hAnsi="Times New Roman" w:cs="Times New Roman"/>
          <w:bCs/>
        </w:rPr>
        <w:t xml:space="preserve"> Dr. </w:t>
      </w:r>
      <w:r>
        <w:rPr>
          <w:rFonts w:ascii="Times New Roman" w:eastAsia="Times New Roman" w:hAnsi="Times New Roman" w:cs="Times New Roman"/>
          <w:bCs/>
        </w:rPr>
        <w:t>Balla Tibor</w:t>
      </w:r>
      <w:r w:rsidRPr="001B33F6">
        <w:rPr>
          <w:rFonts w:ascii="Times New Roman" w:eastAsia="Times New Roman" w:hAnsi="Times New Roman" w:cs="Times New Roman"/>
          <w:bCs/>
        </w:rPr>
        <w:t>, PhD</w:t>
      </w:r>
    </w:p>
    <w:p w:rsidR="00145684" w:rsidRPr="00BC6E7B" w:rsidRDefault="00145684" w:rsidP="00980876">
      <w:pPr>
        <w:widowControl w:val="0"/>
        <w:numPr>
          <w:ilvl w:val="0"/>
          <w:numId w:val="353"/>
        </w:numPr>
        <w:tabs>
          <w:tab w:val="clear" w:pos="720"/>
          <w:tab w:val="num" w:pos="643"/>
        </w:tabs>
        <w:spacing w:before="120" w:after="120" w:line="240" w:lineRule="auto"/>
        <w:ind w:left="426" w:hanging="142"/>
        <w:jc w:val="both"/>
        <w:rPr>
          <w:rFonts w:ascii="Times New Roman" w:eastAsia="Times New Roman" w:hAnsi="Times New Roman" w:cs="Times New Roman"/>
          <w:bCs/>
        </w:rPr>
      </w:pPr>
      <w:r w:rsidRPr="00BC6E7B">
        <w:rPr>
          <w:rFonts w:ascii="Times New Roman" w:eastAsia="Times New Roman" w:hAnsi="Times New Roman" w:cs="Times New Roman"/>
          <w:b/>
          <w:bCs/>
        </w:rPr>
        <w:t>A tanórák száma és típusa</w:t>
      </w:r>
    </w:p>
    <w:p w:rsidR="00145684" w:rsidRPr="00BC6E7B" w:rsidRDefault="00145684" w:rsidP="00980876">
      <w:pPr>
        <w:widowControl w:val="0"/>
        <w:numPr>
          <w:ilvl w:val="1"/>
          <w:numId w:val="353"/>
        </w:numPr>
        <w:tabs>
          <w:tab w:val="clear" w:pos="3977"/>
          <w:tab w:val="num" w:pos="709"/>
          <w:tab w:val="num" w:pos="999"/>
          <w:tab w:val="num" w:pos="2069"/>
        </w:tabs>
        <w:spacing w:before="120" w:after="120" w:line="240" w:lineRule="auto"/>
        <w:ind w:left="851" w:hanging="425"/>
        <w:jc w:val="both"/>
        <w:rPr>
          <w:rFonts w:ascii="Times New Roman" w:eastAsia="Times New Roman" w:hAnsi="Times New Roman" w:cs="Times New Roman"/>
          <w:bCs/>
        </w:rPr>
      </w:pPr>
      <w:r w:rsidRPr="00BC6E7B">
        <w:rPr>
          <w:rFonts w:ascii="Times New Roman" w:eastAsia="Times New Roman" w:hAnsi="Times New Roman" w:cs="Times New Roman"/>
          <w:bCs/>
        </w:rPr>
        <w:t>össz óraszám/félév:</w:t>
      </w:r>
    </w:p>
    <w:p w:rsidR="00145684" w:rsidRDefault="00145684" w:rsidP="00980876">
      <w:pPr>
        <w:pStyle w:val="Listaszerbekezds"/>
        <w:widowControl w:val="0"/>
        <w:numPr>
          <w:ilvl w:val="2"/>
          <w:numId w:val="351"/>
        </w:numPr>
        <w:tabs>
          <w:tab w:val="num" w:pos="1800"/>
        </w:tabs>
        <w:spacing w:before="120" w:after="120" w:line="240" w:lineRule="auto"/>
        <w:ind w:left="1276"/>
        <w:jc w:val="both"/>
        <w:rPr>
          <w:rFonts w:ascii="Times New Roman" w:eastAsia="Times New Roman" w:hAnsi="Times New Roman" w:cs="Times New Roman"/>
          <w:bCs/>
        </w:rPr>
      </w:pPr>
      <w:r w:rsidRPr="000F0019">
        <w:rPr>
          <w:rFonts w:ascii="Times New Roman" w:eastAsia="Times New Roman" w:hAnsi="Times New Roman" w:cs="Times New Roman"/>
          <w:bCs/>
        </w:rPr>
        <w:t>nappali munkarend: 56 (28 EA + 0 SZ + 28 GY)</w:t>
      </w:r>
    </w:p>
    <w:p w:rsidR="00145684" w:rsidRPr="000F0019" w:rsidRDefault="00145684" w:rsidP="00980876">
      <w:pPr>
        <w:pStyle w:val="Listaszerbekezds"/>
        <w:widowControl w:val="0"/>
        <w:numPr>
          <w:ilvl w:val="2"/>
          <w:numId w:val="351"/>
        </w:numPr>
        <w:tabs>
          <w:tab w:val="num" w:pos="1800"/>
        </w:tabs>
        <w:spacing w:before="120" w:after="120" w:line="240" w:lineRule="auto"/>
        <w:ind w:left="1276"/>
        <w:jc w:val="both"/>
        <w:rPr>
          <w:rFonts w:ascii="Times New Roman" w:eastAsia="Times New Roman" w:hAnsi="Times New Roman" w:cs="Times New Roman"/>
          <w:bCs/>
        </w:rPr>
      </w:pPr>
      <w:r w:rsidRPr="000F0019">
        <w:rPr>
          <w:rFonts w:ascii="Times New Roman" w:eastAsia="Times New Roman" w:hAnsi="Times New Roman" w:cs="Times New Roman"/>
          <w:bCs/>
        </w:rPr>
        <w:t>levelező munkarend: - (- EA + - SZ + - GY)</w:t>
      </w:r>
    </w:p>
    <w:p w:rsidR="00145684" w:rsidRDefault="00145684" w:rsidP="00980876">
      <w:pPr>
        <w:widowControl w:val="0"/>
        <w:numPr>
          <w:ilvl w:val="1"/>
          <w:numId w:val="353"/>
        </w:numPr>
        <w:tabs>
          <w:tab w:val="clear" w:pos="3977"/>
          <w:tab w:val="num" w:pos="709"/>
          <w:tab w:val="num" w:pos="999"/>
          <w:tab w:val="num" w:pos="2069"/>
        </w:tabs>
        <w:spacing w:before="120" w:after="120" w:line="240" w:lineRule="auto"/>
        <w:ind w:left="851" w:hanging="425"/>
        <w:jc w:val="both"/>
        <w:rPr>
          <w:rFonts w:ascii="Times New Roman" w:eastAsia="Times New Roman" w:hAnsi="Times New Roman" w:cs="Times New Roman"/>
          <w:bCs/>
        </w:rPr>
      </w:pPr>
      <w:r w:rsidRPr="00BC6E7B">
        <w:rPr>
          <w:rFonts w:ascii="Times New Roman" w:eastAsia="Times New Roman" w:hAnsi="Times New Roman" w:cs="Times New Roman"/>
          <w:bCs/>
        </w:rPr>
        <w:t xml:space="preserve">heti óraszám - nappali munkarend: </w:t>
      </w:r>
      <w:r>
        <w:rPr>
          <w:rFonts w:ascii="Times New Roman" w:eastAsia="Times New Roman" w:hAnsi="Times New Roman" w:cs="Times New Roman"/>
          <w:bCs/>
        </w:rPr>
        <w:t>4</w:t>
      </w:r>
    </w:p>
    <w:p w:rsidR="00145684" w:rsidRDefault="00145684" w:rsidP="00980876">
      <w:pPr>
        <w:widowControl w:val="0"/>
        <w:numPr>
          <w:ilvl w:val="1"/>
          <w:numId w:val="353"/>
        </w:numPr>
        <w:tabs>
          <w:tab w:val="clear" w:pos="3977"/>
          <w:tab w:val="num" w:pos="709"/>
          <w:tab w:val="num" w:pos="999"/>
          <w:tab w:val="num" w:pos="2069"/>
        </w:tabs>
        <w:spacing w:before="120" w:after="120" w:line="240" w:lineRule="auto"/>
        <w:ind w:left="851" w:hanging="425"/>
        <w:jc w:val="both"/>
        <w:rPr>
          <w:rFonts w:ascii="Times New Roman" w:eastAsia="Times New Roman" w:hAnsi="Times New Roman" w:cs="Times New Roman"/>
          <w:bCs/>
        </w:rPr>
      </w:pPr>
      <w:r w:rsidRPr="00A16045">
        <w:rPr>
          <w:rFonts w:ascii="Times New Roman" w:hAnsi="Times New Roman" w:cs="Times New Roman"/>
        </w:rPr>
        <w:t>Az ismeret átadásában alkalmazandó további sajátos módok, jellemzők</w:t>
      </w:r>
      <w:r>
        <w:rPr>
          <w:rFonts w:ascii="Times New Roman" w:hAnsi="Times New Roman" w:cs="Times New Roman"/>
        </w:rPr>
        <w:t xml:space="preserve">: - </w:t>
      </w:r>
    </w:p>
    <w:p w:rsidR="00145684" w:rsidRPr="001B33F6" w:rsidRDefault="00145684" w:rsidP="00980876">
      <w:pPr>
        <w:widowControl w:val="0"/>
        <w:numPr>
          <w:ilvl w:val="0"/>
          <w:numId w:val="353"/>
        </w:numPr>
        <w:tabs>
          <w:tab w:val="clear" w:pos="720"/>
          <w:tab w:val="num" w:pos="643"/>
        </w:tabs>
        <w:spacing w:before="120" w:after="120" w:line="240" w:lineRule="auto"/>
        <w:ind w:left="426"/>
        <w:jc w:val="both"/>
        <w:rPr>
          <w:rFonts w:ascii="Times New Roman" w:eastAsia="Times New Roman" w:hAnsi="Times New Roman" w:cs="Times New Roman"/>
          <w:bCs/>
          <w:lang w:val="en-GB"/>
        </w:rPr>
      </w:pPr>
      <w:r w:rsidRPr="001B33F6">
        <w:rPr>
          <w:rFonts w:ascii="Times New Roman" w:eastAsia="Times New Roman" w:hAnsi="Times New Roman" w:cs="Times New Roman"/>
          <w:b/>
          <w:bCs/>
        </w:rPr>
        <w:t>A tantárgy szakmai tartalma (magyarul):</w:t>
      </w:r>
      <w:r w:rsidRPr="001B33F6">
        <w:rPr>
          <w:bCs/>
        </w:rPr>
        <w:t xml:space="preserve"> </w:t>
      </w:r>
      <w:r w:rsidRPr="001B33F6">
        <w:rPr>
          <w:rFonts w:ascii="Times New Roman" w:eastAsia="Times New Roman" w:hAnsi="Times New Roman" w:cs="Times New Roman"/>
          <w:bCs/>
        </w:rPr>
        <w:t>Pénzforgalom a katonai szervezeteknél. A katonai szervezetek bankszámlái, számlavezetés a Magyar Államkincstárnál. A pénzügyi utalások rendje. Vásárlások és szolgáltatások kiegyenlítése. Kötelezettségvállalási, ellenjegyzési, utalványozási, érvényesítési feladatok. Az MH pénzügyi és számviteli biztosításának rendszere. A pénzforgalom okmányolása. Pénztárszolgálat megszervezése, működése, pénztárellenőrzés. A készpénzforgalom szabályozottsága</w:t>
      </w:r>
    </w:p>
    <w:p w:rsidR="00145684" w:rsidRPr="001B33F6" w:rsidRDefault="00145684" w:rsidP="00145684">
      <w:pPr>
        <w:widowControl w:val="0"/>
        <w:spacing w:before="120" w:after="120" w:line="240" w:lineRule="auto"/>
        <w:ind w:left="426"/>
        <w:jc w:val="both"/>
        <w:rPr>
          <w:rFonts w:ascii="Times New Roman" w:eastAsia="Times New Roman" w:hAnsi="Times New Roman" w:cs="Times New Roman"/>
          <w:bCs/>
          <w:lang w:val="en-GB"/>
        </w:rPr>
      </w:pPr>
      <w:r w:rsidRPr="001B33F6">
        <w:rPr>
          <w:rFonts w:ascii="Times New Roman" w:eastAsia="Times New Roman" w:hAnsi="Times New Roman" w:cs="Times New Roman"/>
          <w:b/>
          <w:bCs/>
        </w:rPr>
        <w:t>A tantárgy szakmai tartalma (angolul) (</w:t>
      </w:r>
      <w:r w:rsidRPr="001B33F6">
        <w:rPr>
          <w:rFonts w:ascii="Times New Roman" w:eastAsia="Times New Roman" w:hAnsi="Times New Roman" w:cs="Times New Roman"/>
          <w:b/>
          <w:bCs/>
          <w:lang w:val="en-US"/>
        </w:rPr>
        <w:t>Course description</w:t>
      </w:r>
      <w:r w:rsidRPr="001B33F6">
        <w:rPr>
          <w:rFonts w:ascii="Times New Roman" w:eastAsia="Times New Roman" w:hAnsi="Times New Roman" w:cs="Times New Roman"/>
          <w:b/>
          <w:bCs/>
        </w:rPr>
        <w:t xml:space="preserve">): </w:t>
      </w:r>
      <w:r w:rsidRPr="001B33F6">
        <w:rPr>
          <w:rFonts w:ascii="Times New Roman" w:eastAsia="Times New Roman" w:hAnsi="Times New Roman" w:cs="Times New Roman"/>
          <w:bCs/>
        </w:rPr>
        <w:t>The cash flow (money circulation) in military organizations. The bank accounts of military organizations and account management at the Hungarian State Treasury. The order of financial transfers. The clearing procedure of purchases and services. Commitment, countersigning (corroboration), assignment, validation tasks. The financial and accounting system of the HDF. The documentation of cash flow (money circulation). The organization, operation and control of cash register service. The regulation of cash flow (money circulation).</w:t>
      </w:r>
    </w:p>
    <w:p w:rsidR="00145684" w:rsidRPr="00740A68" w:rsidRDefault="00145684" w:rsidP="00980876">
      <w:pPr>
        <w:pStyle w:val="Listaszerbekezds"/>
        <w:widowControl w:val="0"/>
        <w:numPr>
          <w:ilvl w:val="0"/>
          <w:numId w:val="353"/>
        </w:numPr>
        <w:tabs>
          <w:tab w:val="clear" w:pos="720"/>
          <w:tab w:val="num" w:pos="643"/>
        </w:tabs>
        <w:spacing w:before="120" w:after="120" w:line="240" w:lineRule="auto"/>
        <w:ind w:left="643"/>
        <w:jc w:val="both"/>
        <w:rPr>
          <w:rFonts w:ascii="Times New Roman" w:eastAsia="Times New Roman" w:hAnsi="Times New Roman" w:cs="Times New Roman"/>
          <w:bCs/>
        </w:rPr>
      </w:pPr>
      <w:r w:rsidRPr="00740A68">
        <w:rPr>
          <w:rFonts w:ascii="Times New Roman" w:eastAsia="Times New Roman" w:hAnsi="Times New Roman" w:cs="Times New Roman"/>
          <w:b/>
          <w:bCs/>
        </w:rPr>
        <w:t xml:space="preserve">Elérendő kompetenciák (magyarul): </w:t>
      </w:r>
    </w:p>
    <w:p w:rsidR="00145684" w:rsidRDefault="00145684" w:rsidP="00145684">
      <w:pPr>
        <w:widowControl w:val="0"/>
        <w:spacing w:before="120" w:after="120" w:line="240" w:lineRule="auto"/>
        <w:ind w:left="426"/>
        <w:jc w:val="both"/>
        <w:rPr>
          <w:rFonts w:ascii="Times New Roman" w:eastAsia="Times New Roman" w:hAnsi="Times New Roman" w:cs="Times New Roman"/>
          <w:bCs/>
        </w:rPr>
      </w:pPr>
      <w:r w:rsidRPr="00BC6E7B">
        <w:rPr>
          <w:rFonts w:ascii="Times New Roman" w:eastAsia="Times New Roman" w:hAnsi="Times New Roman" w:cs="Times New Roman"/>
          <w:b/>
          <w:bCs/>
        </w:rPr>
        <w:t>Tudása:</w:t>
      </w:r>
      <w:r>
        <w:rPr>
          <w:rFonts w:ascii="Times New Roman" w:eastAsia="Times New Roman" w:hAnsi="Times New Roman" w:cs="Times New Roman"/>
          <w:bCs/>
        </w:rPr>
        <w:t xml:space="preserve"> </w:t>
      </w:r>
    </w:p>
    <w:p w:rsidR="00145684" w:rsidRPr="000F0019" w:rsidRDefault="00145684" w:rsidP="00980876">
      <w:pPr>
        <w:pStyle w:val="Listaszerbekezds"/>
        <w:widowControl w:val="0"/>
        <w:numPr>
          <w:ilvl w:val="0"/>
          <w:numId w:val="352"/>
        </w:numPr>
        <w:spacing w:before="120" w:after="120" w:line="240" w:lineRule="auto"/>
        <w:ind w:hanging="219"/>
        <w:jc w:val="both"/>
        <w:rPr>
          <w:rFonts w:ascii="Times New Roman" w:eastAsia="Times New Roman" w:hAnsi="Times New Roman" w:cs="Times New Roman"/>
          <w:bCs/>
        </w:rPr>
      </w:pPr>
      <w:r w:rsidRPr="000F0019">
        <w:rPr>
          <w:rFonts w:ascii="Times New Roman" w:eastAsia="Times New Roman" w:hAnsi="Times New Roman" w:cs="Times New Roman"/>
          <w:bCs/>
        </w:rPr>
        <w:t>Ismeri a Honvédelmi Minisztérium és a Magyar Honvédség pénzügyi szakterületének működését, felépítését.</w:t>
      </w:r>
    </w:p>
    <w:p w:rsidR="00145684" w:rsidRDefault="00145684" w:rsidP="00145684">
      <w:pPr>
        <w:widowControl w:val="0"/>
        <w:spacing w:before="120" w:after="120" w:line="240" w:lineRule="auto"/>
        <w:ind w:left="426"/>
        <w:jc w:val="both"/>
        <w:rPr>
          <w:rFonts w:ascii="Times New Roman" w:eastAsia="Times New Roman" w:hAnsi="Times New Roman" w:cs="Times New Roman"/>
          <w:bCs/>
        </w:rPr>
      </w:pPr>
      <w:r w:rsidRPr="00BC6E7B">
        <w:rPr>
          <w:rFonts w:ascii="Times New Roman" w:eastAsia="Times New Roman" w:hAnsi="Times New Roman" w:cs="Times New Roman"/>
          <w:b/>
          <w:bCs/>
        </w:rPr>
        <w:t>Képességei:</w:t>
      </w:r>
      <w:r>
        <w:rPr>
          <w:rFonts w:ascii="Times New Roman" w:eastAsia="Times New Roman" w:hAnsi="Times New Roman" w:cs="Times New Roman"/>
          <w:bCs/>
        </w:rPr>
        <w:t xml:space="preserve"> </w:t>
      </w:r>
    </w:p>
    <w:p w:rsidR="00145684" w:rsidRPr="000F0019" w:rsidRDefault="00145684" w:rsidP="00980876">
      <w:pPr>
        <w:pStyle w:val="Listaszerbekezds"/>
        <w:widowControl w:val="0"/>
        <w:numPr>
          <w:ilvl w:val="0"/>
          <w:numId w:val="352"/>
        </w:numPr>
        <w:spacing w:before="120" w:after="120" w:line="240" w:lineRule="auto"/>
        <w:ind w:hanging="219"/>
        <w:jc w:val="both"/>
        <w:rPr>
          <w:rFonts w:ascii="Times New Roman" w:eastAsia="Times New Roman" w:hAnsi="Times New Roman" w:cs="Times New Roman"/>
          <w:bCs/>
        </w:rPr>
      </w:pPr>
      <w:r w:rsidRPr="000F0019">
        <w:rPr>
          <w:rFonts w:ascii="Times New Roman" w:eastAsia="Times New Roman" w:hAnsi="Times New Roman" w:cs="Times New Roman"/>
          <w:bCs/>
        </w:rPr>
        <w:t xml:space="preserve">Képes a gazdálkodás támogató és pénzügyi ellátó referatúra működésének koordinálására, a pénzügyi iratok szabályszerű kezelésére, a pénzügyi és számviteli beosztások szabályszerű átadás-átvételére. </w:t>
      </w:r>
    </w:p>
    <w:p w:rsidR="00145684" w:rsidRDefault="00145684" w:rsidP="00145684">
      <w:pPr>
        <w:widowControl w:val="0"/>
        <w:spacing w:before="120" w:after="120" w:line="240" w:lineRule="auto"/>
        <w:ind w:left="426"/>
        <w:jc w:val="both"/>
        <w:rPr>
          <w:rFonts w:ascii="Times New Roman" w:eastAsia="Times New Roman" w:hAnsi="Times New Roman" w:cs="Times New Roman"/>
          <w:b/>
          <w:bCs/>
        </w:rPr>
      </w:pPr>
    </w:p>
    <w:p w:rsidR="00145684" w:rsidRDefault="00145684" w:rsidP="00145684">
      <w:pPr>
        <w:widowControl w:val="0"/>
        <w:spacing w:before="120" w:after="120" w:line="240" w:lineRule="auto"/>
        <w:ind w:left="426"/>
        <w:jc w:val="both"/>
        <w:rPr>
          <w:rFonts w:ascii="Times New Roman" w:eastAsia="Times New Roman" w:hAnsi="Times New Roman" w:cs="Times New Roman"/>
          <w:bCs/>
        </w:rPr>
      </w:pPr>
      <w:r w:rsidRPr="00BC6E7B">
        <w:rPr>
          <w:rFonts w:ascii="Times New Roman" w:eastAsia="Times New Roman" w:hAnsi="Times New Roman" w:cs="Times New Roman"/>
          <w:b/>
          <w:bCs/>
        </w:rPr>
        <w:lastRenderedPageBreak/>
        <w:t>Attitűdje:</w:t>
      </w:r>
      <w:r w:rsidRPr="00BC6E7B">
        <w:rPr>
          <w:rFonts w:ascii="Times New Roman" w:eastAsia="Times New Roman" w:hAnsi="Times New Roman" w:cs="Times New Roman"/>
          <w:bCs/>
        </w:rPr>
        <w:t xml:space="preserve"> </w:t>
      </w:r>
    </w:p>
    <w:p w:rsidR="00145684" w:rsidRPr="000F0019" w:rsidRDefault="00145684" w:rsidP="00980876">
      <w:pPr>
        <w:pStyle w:val="Listaszerbekezds"/>
        <w:widowControl w:val="0"/>
        <w:numPr>
          <w:ilvl w:val="0"/>
          <w:numId w:val="352"/>
        </w:numPr>
        <w:spacing w:before="120" w:after="120" w:line="240" w:lineRule="auto"/>
        <w:ind w:hanging="219"/>
        <w:jc w:val="both"/>
        <w:rPr>
          <w:rFonts w:ascii="Times New Roman" w:eastAsia="Times New Roman" w:hAnsi="Times New Roman" w:cs="Times New Roman"/>
          <w:bCs/>
        </w:rPr>
      </w:pPr>
      <w:r w:rsidRPr="000F0019">
        <w:rPr>
          <w:rFonts w:ascii="Times New Roman" w:eastAsia="Times New Roman" w:hAnsi="Times New Roman" w:cs="Times New Roman"/>
          <w:bCs/>
        </w:rPr>
        <w:t>Különös figyelmet fordít a pénzügyi területnél elvárt jogszerű, szabálykövető, pontos munkavégzésre.</w:t>
      </w:r>
    </w:p>
    <w:p w:rsidR="00145684" w:rsidRDefault="00145684" w:rsidP="00145684">
      <w:pPr>
        <w:widowControl w:val="0"/>
        <w:spacing w:before="120" w:after="120" w:line="240" w:lineRule="auto"/>
        <w:ind w:left="426"/>
        <w:jc w:val="both"/>
        <w:rPr>
          <w:rFonts w:ascii="Times New Roman" w:eastAsia="Times New Roman" w:hAnsi="Times New Roman" w:cs="Times New Roman"/>
          <w:bCs/>
        </w:rPr>
      </w:pPr>
      <w:r w:rsidRPr="00BC6E7B">
        <w:rPr>
          <w:rFonts w:ascii="Times New Roman" w:eastAsia="Times New Roman" w:hAnsi="Times New Roman" w:cs="Times New Roman"/>
          <w:b/>
          <w:bCs/>
        </w:rPr>
        <w:t>Autonómiája és felelőssége:</w:t>
      </w:r>
      <w:r w:rsidRPr="00BC6E7B">
        <w:rPr>
          <w:rFonts w:ascii="Times New Roman" w:eastAsia="Times New Roman" w:hAnsi="Times New Roman" w:cs="Times New Roman"/>
          <w:bCs/>
        </w:rPr>
        <w:t xml:space="preserve"> </w:t>
      </w:r>
    </w:p>
    <w:p w:rsidR="00145684" w:rsidRPr="000F0019" w:rsidRDefault="00145684" w:rsidP="00980876">
      <w:pPr>
        <w:pStyle w:val="Listaszerbekezds"/>
        <w:widowControl w:val="0"/>
        <w:numPr>
          <w:ilvl w:val="0"/>
          <w:numId w:val="352"/>
        </w:numPr>
        <w:spacing w:before="120" w:after="120" w:line="240" w:lineRule="auto"/>
        <w:ind w:hanging="219"/>
        <w:jc w:val="both"/>
        <w:rPr>
          <w:rFonts w:ascii="Times New Roman" w:eastAsia="Times New Roman" w:hAnsi="Times New Roman" w:cs="Times New Roman"/>
          <w:bCs/>
        </w:rPr>
      </w:pPr>
      <w:r w:rsidRPr="000F0019">
        <w:rPr>
          <w:rFonts w:ascii="Times New Roman" w:eastAsia="Times New Roman" w:hAnsi="Times New Roman" w:cs="Times New Roman"/>
          <w:bCs/>
        </w:rPr>
        <w:t>Felelősséget vállal az általa készített dokumentumok szakmai, jogszabályoknak való maradéktalan megfelelőségéért.</w:t>
      </w:r>
    </w:p>
    <w:p w:rsidR="00145684" w:rsidRPr="00BC6E7B" w:rsidRDefault="00145684" w:rsidP="00145684">
      <w:pPr>
        <w:widowControl w:val="0"/>
        <w:spacing w:before="120" w:after="120" w:line="240" w:lineRule="auto"/>
        <w:ind w:left="426"/>
        <w:jc w:val="both"/>
        <w:rPr>
          <w:rFonts w:ascii="Times New Roman" w:eastAsia="Times New Roman" w:hAnsi="Times New Roman" w:cs="Times New Roman"/>
          <w:b/>
          <w:bCs/>
          <w:lang w:val="en-US"/>
        </w:rPr>
      </w:pPr>
      <w:r w:rsidRPr="00BC6E7B">
        <w:rPr>
          <w:rFonts w:ascii="Times New Roman" w:eastAsia="Times New Roman" w:hAnsi="Times New Roman" w:cs="Times New Roman"/>
          <w:b/>
          <w:bCs/>
        </w:rPr>
        <w:t>Elérendő kompetenciák (angolul) (</w:t>
      </w:r>
      <w:r w:rsidRPr="00BC6E7B">
        <w:rPr>
          <w:rFonts w:ascii="Times New Roman" w:eastAsia="Times New Roman" w:hAnsi="Times New Roman" w:cs="Times New Roman"/>
          <w:b/>
          <w:bCs/>
          <w:lang w:val="en-US"/>
        </w:rPr>
        <w:t xml:space="preserve">Competences – English): </w:t>
      </w:r>
    </w:p>
    <w:p w:rsidR="00145684" w:rsidRDefault="00145684" w:rsidP="00145684">
      <w:pPr>
        <w:widowControl w:val="0"/>
        <w:spacing w:before="120" w:after="120" w:line="240" w:lineRule="auto"/>
        <w:ind w:left="426"/>
        <w:jc w:val="both"/>
        <w:rPr>
          <w:rFonts w:ascii="Times New Roman" w:eastAsia="Times New Roman" w:hAnsi="Times New Roman" w:cs="Times New Roman"/>
          <w:b/>
          <w:lang w:val="en-GB"/>
        </w:rPr>
      </w:pPr>
      <w:r w:rsidRPr="00BC6E7B">
        <w:rPr>
          <w:rFonts w:ascii="Times New Roman" w:eastAsia="Times New Roman" w:hAnsi="Times New Roman" w:cs="Times New Roman"/>
          <w:b/>
          <w:lang w:val="en-GB"/>
        </w:rPr>
        <w:t>Knowledge</w:t>
      </w:r>
      <w:r w:rsidRPr="002A0767">
        <w:rPr>
          <w:rFonts w:ascii="Times New Roman" w:eastAsia="Times New Roman" w:hAnsi="Times New Roman" w:cs="Times New Roman"/>
          <w:b/>
          <w:lang w:val="en-GB"/>
        </w:rPr>
        <w:t xml:space="preserve">: </w:t>
      </w:r>
    </w:p>
    <w:p w:rsidR="00145684" w:rsidRPr="000F0019" w:rsidRDefault="00145684" w:rsidP="00980876">
      <w:pPr>
        <w:pStyle w:val="Listaszerbekezds"/>
        <w:widowControl w:val="0"/>
        <w:numPr>
          <w:ilvl w:val="0"/>
          <w:numId w:val="352"/>
        </w:numPr>
        <w:spacing w:before="120" w:after="120" w:line="240" w:lineRule="auto"/>
        <w:ind w:hanging="219"/>
        <w:jc w:val="both"/>
        <w:rPr>
          <w:rFonts w:ascii="Times New Roman" w:eastAsia="Times New Roman" w:hAnsi="Times New Roman" w:cs="Times New Roman"/>
          <w:lang w:val="en-GB"/>
        </w:rPr>
      </w:pPr>
      <w:r w:rsidRPr="000F0019">
        <w:rPr>
          <w:rFonts w:ascii="Times New Roman" w:eastAsia="Times New Roman" w:hAnsi="Times New Roman" w:cs="Times New Roman"/>
          <w:lang w:val="en-GB"/>
        </w:rPr>
        <w:t>The student knows the operation and structure of the financial field the Ministry of Defence and the Hungarian Defence Forces.</w:t>
      </w:r>
    </w:p>
    <w:p w:rsidR="00145684" w:rsidRDefault="00145684" w:rsidP="00145684">
      <w:pPr>
        <w:widowControl w:val="0"/>
        <w:spacing w:before="120" w:after="120" w:line="240" w:lineRule="auto"/>
        <w:ind w:left="426"/>
        <w:jc w:val="both"/>
        <w:rPr>
          <w:rFonts w:ascii="Times New Roman" w:eastAsia="Times New Roman" w:hAnsi="Times New Roman" w:cs="Times New Roman"/>
          <w:b/>
          <w:lang w:val="en-GB"/>
        </w:rPr>
      </w:pPr>
      <w:r w:rsidRPr="00BC6E7B">
        <w:rPr>
          <w:rFonts w:ascii="Times New Roman" w:eastAsia="Times New Roman" w:hAnsi="Times New Roman" w:cs="Times New Roman"/>
          <w:b/>
          <w:lang w:val="en-GB"/>
        </w:rPr>
        <w:t>Capabilities</w:t>
      </w:r>
      <w:r w:rsidRPr="006331D3">
        <w:rPr>
          <w:rFonts w:ascii="Times New Roman" w:eastAsia="Times New Roman" w:hAnsi="Times New Roman" w:cs="Times New Roman"/>
          <w:b/>
          <w:lang w:val="en-GB"/>
        </w:rPr>
        <w:t xml:space="preserve">: </w:t>
      </w:r>
    </w:p>
    <w:p w:rsidR="00145684" w:rsidRPr="000F0019" w:rsidRDefault="00145684" w:rsidP="00980876">
      <w:pPr>
        <w:pStyle w:val="Listaszerbekezds"/>
        <w:widowControl w:val="0"/>
        <w:numPr>
          <w:ilvl w:val="0"/>
          <w:numId w:val="352"/>
        </w:numPr>
        <w:spacing w:before="120" w:after="120" w:line="240" w:lineRule="auto"/>
        <w:ind w:hanging="219"/>
        <w:jc w:val="both"/>
        <w:rPr>
          <w:rFonts w:ascii="Times New Roman" w:eastAsia="Times New Roman" w:hAnsi="Times New Roman" w:cs="Times New Roman"/>
          <w:lang w:val="en-GB"/>
        </w:rPr>
      </w:pPr>
      <w:r w:rsidRPr="000F0019">
        <w:rPr>
          <w:rFonts w:ascii="Times New Roman" w:eastAsia="Times New Roman" w:hAnsi="Times New Roman" w:cs="Times New Roman"/>
          <w:lang w:val="en-GB"/>
        </w:rPr>
        <w:t>Able to co-ordinate the operation of financial support and financial reporting, to manage financial records properly, and to carry out the HOTO of financial and accounting positions.</w:t>
      </w:r>
    </w:p>
    <w:p w:rsidR="00145684" w:rsidRDefault="00145684" w:rsidP="00145684">
      <w:pPr>
        <w:widowControl w:val="0"/>
        <w:spacing w:before="120" w:after="120" w:line="240" w:lineRule="auto"/>
        <w:ind w:left="426"/>
        <w:jc w:val="both"/>
        <w:rPr>
          <w:rFonts w:ascii="Times New Roman" w:eastAsia="Times New Roman" w:hAnsi="Times New Roman" w:cs="Times New Roman"/>
          <w:b/>
          <w:lang w:val="en-GB"/>
        </w:rPr>
      </w:pPr>
      <w:r w:rsidRPr="00BC6E7B">
        <w:rPr>
          <w:rFonts w:ascii="Times New Roman" w:eastAsia="Times New Roman" w:hAnsi="Times New Roman" w:cs="Times New Roman"/>
          <w:b/>
          <w:lang w:val="en-GB"/>
        </w:rPr>
        <w:t>Attitude:</w:t>
      </w:r>
      <w:r w:rsidRPr="002A0767">
        <w:rPr>
          <w:rFonts w:ascii="Times New Roman" w:eastAsia="Times New Roman" w:hAnsi="Times New Roman" w:cs="Times New Roman"/>
          <w:b/>
          <w:lang w:val="en-GB"/>
        </w:rPr>
        <w:t xml:space="preserve"> </w:t>
      </w:r>
    </w:p>
    <w:p w:rsidR="00145684" w:rsidRPr="000F0019" w:rsidRDefault="00145684" w:rsidP="00980876">
      <w:pPr>
        <w:pStyle w:val="Listaszerbekezds"/>
        <w:widowControl w:val="0"/>
        <w:numPr>
          <w:ilvl w:val="0"/>
          <w:numId w:val="352"/>
        </w:numPr>
        <w:spacing w:before="120" w:after="120" w:line="240" w:lineRule="auto"/>
        <w:ind w:hanging="219"/>
        <w:jc w:val="both"/>
        <w:rPr>
          <w:rFonts w:ascii="Times New Roman" w:eastAsia="Times New Roman" w:hAnsi="Times New Roman" w:cs="Times New Roman"/>
          <w:b/>
          <w:lang w:val="en-GB"/>
        </w:rPr>
      </w:pPr>
      <w:r w:rsidRPr="000F0019">
        <w:rPr>
          <w:rFonts w:ascii="Times New Roman" w:eastAsia="Times New Roman" w:hAnsi="Times New Roman" w:cs="Times New Roman"/>
          <w:lang w:val="en-GB"/>
        </w:rPr>
        <w:t>He/she pays particular attention to the legal, regulatory, and accurate work required in the financial field.</w:t>
      </w:r>
    </w:p>
    <w:p w:rsidR="00145684" w:rsidRDefault="00145684" w:rsidP="001456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pPr>
      <w:r w:rsidRPr="00BC6E7B">
        <w:rPr>
          <w:rFonts w:ascii="Times New Roman" w:eastAsia="Times New Roman" w:hAnsi="Times New Roman" w:cs="Times New Roman"/>
          <w:b/>
          <w:lang w:val="en-GB"/>
        </w:rPr>
        <w:t>Autonomy and responsibility:</w:t>
      </w:r>
      <w:r w:rsidRPr="00F37D21">
        <w:t xml:space="preserve"> </w:t>
      </w:r>
    </w:p>
    <w:p w:rsidR="00145684" w:rsidRPr="000F0019" w:rsidRDefault="00145684" w:rsidP="00980876">
      <w:pPr>
        <w:pStyle w:val="Listaszerbekezds"/>
        <w:numPr>
          <w:ilvl w:val="0"/>
          <w:numId w:val="3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19"/>
        <w:jc w:val="both"/>
        <w:rPr>
          <w:rFonts w:ascii="Times New Roman" w:eastAsia="Times New Roman" w:hAnsi="Times New Roman" w:cs="Times New Roman"/>
          <w:lang w:val="en-GB"/>
        </w:rPr>
      </w:pPr>
      <w:r w:rsidRPr="000F0019">
        <w:rPr>
          <w:rFonts w:ascii="Times New Roman" w:eastAsia="Times New Roman" w:hAnsi="Times New Roman" w:cs="Times New Roman"/>
          <w:lang w:val="en-GB"/>
        </w:rPr>
        <w:t>He / she assumes full responsibility for the professional and legal compliance of his/her documents.</w:t>
      </w:r>
    </w:p>
    <w:p w:rsidR="00145684" w:rsidRPr="00BC6E7B" w:rsidRDefault="00145684" w:rsidP="00980876">
      <w:pPr>
        <w:widowControl w:val="0"/>
        <w:numPr>
          <w:ilvl w:val="0"/>
          <w:numId w:val="353"/>
        </w:numPr>
        <w:tabs>
          <w:tab w:val="clear" w:pos="720"/>
          <w:tab w:val="num" w:pos="643"/>
        </w:tabs>
        <w:spacing w:before="120" w:after="120" w:line="240" w:lineRule="auto"/>
        <w:ind w:left="643"/>
        <w:jc w:val="both"/>
        <w:rPr>
          <w:rFonts w:ascii="Times New Roman" w:eastAsia="Times New Roman" w:hAnsi="Times New Roman" w:cs="Times New Roman"/>
          <w:bCs/>
        </w:rPr>
      </w:pPr>
      <w:r w:rsidRPr="00BC6E7B">
        <w:rPr>
          <w:rFonts w:ascii="Times New Roman" w:eastAsia="Times New Roman" w:hAnsi="Times New Roman" w:cs="Times New Roman"/>
          <w:b/>
          <w:bCs/>
        </w:rPr>
        <w:t xml:space="preserve">Előtanulmányi követelmények: </w:t>
      </w:r>
      <w:r>
        <w:rPr>
          <w:rFonts w:ascii="Times New Roman" w:eastAsia="Times New Roman" w:hAnsi="Times New Roman" w:cs="Times New Roman"/>
          <w:b/>
          <w:bCs/>
        </w:rPr>
        <w:t>-</w:t>
      </w:r>
    </w:p>
    <w:p w:rsidR="00145684" w:rsidRPr="00BC6E7B" w:rsidRDefault="00145684" w:rsidP="00980876">
      <w:pPr>
        <w:widowControl w:val="0"/>
        <w:numPr>
          <w:ilvl w:val="0"/>
          <w:numId w:val="353"/>
        </w:numPr>
        <w:tabs>
          <w:tab w:val="clear" w:pos="720"/>
          <w:tab w:val="num" w:pos="643"/>
        </w:tabs>
        <w:spacing w:before="120" w:after="120" w:line="240" w:lineRule="auto"/>
        <w:ind w:left="426" w:hanging="142"/>
        <w:jc w:val="both"/>
        <w:rPr>
          <w:rFonts w:ascii="Times New Roman" w:eastAsia="Times New Roman" w:hAnsi="Times New Roman" w:cs="Times New Roman"/>
          <w:b/>
          <w:bCs/>
        </w:rPr>
      </w:pPr>
      <w:r w:rsidRPr="00BC6E7B">
        <w:rPr>
          <w:rFonts w:ascii="Times New Roman" w:eastAsia="Times New Roman" w:hAnsi="Times New Roman" w:cs="Times New Roman"/>
          <w:b/>
          <w:bCs/>
        </w:rPr>
        <w:t>A tantárgy tananyagának leírása, tematika. Description of the subject, curriculum (magyarul, angolul - English):</w:t>
      </w:r>
    </w:p>
    <w:p w:rsidR="00145684" w:rsidRPr="00151E5D" w:rsidRDefault="00145684" w:rsidP="00980876">
      <w:pPr>
        <w:widowControl w:val="0"/>
        <w:numPr>
          <w:ilvl w:val="1"/>
          <w:numId w:val="353"/>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151E5D">
        <w:rPr>
          <w:rFonts w:ascii="Times New Roman" w:eastAsia="Times New Roman" w:hAnsi="Times New Roman" w:cs="Times New Roman"/>
          <w:kern w:val="2"/>
        </w:rPr>
        <w:t>Kincstári és egyéb számlák a honvédelmi szervezeteknél. Lehetséges fizetési módozatok. (</w:t>
      </w:r>
      <w:r w:rsidRPr="00151E5D">
        <w:rPr>
          <w:rFonts w:ascii="Times New Roman" w:eastAsia="Times New Roman" w:hAnsi="Times New Roman" w:cs="Times New Roman"/>
          <w:i/>
          <w:kern w:val="2"/>
        </w:rPr>
        <w:t>The cash flow (money circulation) and the bank accounts in military organizations.)</w:t>
      </w:r>
    </w:p>
    <w:p w:rsidR="00145684" w:rsidRPr="00151E5D" w:rsidRDefault="00145684" w:rsidP="00980876">
      <w:pPr>
        <w:widowControl w:val="0"/>
        <w:numPr>
          <w:ilvl w:val="1"/>
          <w:numId w:val="353"/>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151E5D">
        <w:rPr>
          <w:rFonts w:ascii="Times New Roman" w:eastAsia="Times New Roman" w:hAnsi="Times New Roman" w:cs="Times New Roman"/>
          <w:kern w:val="2"/>
        </w:rPr>
        <w:t>Az előirányzat-felhasználási keretszámla használatának okmányolása, bizonylatai. (</w:t>
      </w:r>
      <w:r w:rsidRPr="00151E5D">
        <w:rPr>
          <w:rFonts w:eastAsia="Times New Roman"/>
          <w:i/>
          <w:kern w:val="2"/>
        </w:rPr>
        <w:t>The b</w:t>
      </w:r>
      <w:r w:rsidRPr="00151E5D">
        <w:rPr>
          <w:rFonts w:ascii="Times New Roman" w:eastAsia="Times New Roman" w:hAnsi="Times New Roman" w:cs="Times New Roman"/>
          <w:i/>
          <w:kern w:val="2"/>
        </w:rPr>
        <w:t>ank accounts and account management at the Hungarian State Treasury</w:t>
      </w:r>
      <w:r w:rsidRPr="00151E5D">
        <w:rPr>
          <w:rFonts w:ascii="Times New Roman" w:eastAsia="Times New Roman" w:hAnsi="Times New Roman" w:cs="Times New Roman"/>
          <w:kern w:val="2"/>
        </w:rPr>
        <w:t>.)</w:t>
      </w:r>
    </w:p>
    <w:p w:rsidR="00145684" w:rsidRPr="00151E5D" w:rsidRDefault="00145684" w:rsidP="00980876">
      <w:pPr>
        <w:widowControl w:val="0"/>
        <w:numPr>
          <w:ilvl w:val="1"/>
          <w:numId w:val="353"/>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151E5D">
        <w:rPr>
          <w:rFonts w:ascii="Times New Roman" w:eastAsia="Times New Roman" w:hAnsi="Times New Roman" w:cs="Times New Roman"/>
          <w:kern w:val="2"/>
        </w:rPr>
        <w:t xml:space="preserve">Kötelezettségvállalási, ellenjegyzési, utalványozási, érvényesítési feladatok. </w:t>
      </w:r>
      <w:r w:rsidRPr="00151E5D">
        <w:rPr>
          <w:rFonts w:ascii="Times New Roman" w:eastAsia="Times New Roman" w:hAnsi="Times New Roman" w:cs="Times New Roman"/>
          <w:i/>
          <w:kern w:val="2"/>
        </w:rPr>
        <w:t>(Commitment, countersigning (corroboration), assignment, validation tasks.)</w:t>
      </w:r>
    </w:p>
    <w:p w:rsidR="00145684" w:rsidRPr="00151E5D" w:rsidRDefault="00145684" w:rsidP="00980876">
      <w:pPr>
        <w:widowControl w:val="0"/>
        <w:numPr>
          <w:ilvl w:val="1"/>
          <w:numId w:val="353"/>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151E5D">
        <w:rPr>
          <w:rFonts w:ascii="Times New Roman" w:eastAsia="Times New Roman" w:hAnsi="Times New Roman" w:cs="Times New Roman"/>
          <w:kern w:val="2"/>
        </w:rPr>
        <w:t xml:space="preserve">A pénztárszolgálat megszervezése, biztonsági követelmények, a pénztáros feladatai. </w:t>
      </w:r>
      <w:r w:rsidRPr="00151E5D">
        <w:rPr>
          <w:rFonts w:ascii="Times New Roman" w:eastAsia="Times New Roman" w:hAnsi="Times New Roman" w:cs="Times New Roman"/>
          <w:i/>
          <w:kern w:val="2"/>
        </w:rPr>
        <w:t>(</w:t>
      </w:r>
      <w:r w:rsidRPr="00151E5D">
        <w:rPr>
          <w:rFonts w:eastAsia="Times New Roman"/>
          <w:i/>
          <w:kern w:val="2"/>
        </w:rPr>
        <w:t xml:space="preserve">The </w:t>
      </w:r>
      <w:r w:rsidRPr="00151E5D">
        <w:rPr>
          <w:rFonts w:ascii="Times New Roman" w:eastAsia="Times New Roman" w:hAnsi="Times New Roman" w:cs="Times New Roman"/>
          <w:i/>
          <w:kern w:val="2"/>
        </w:rPr>
        <w:t>organization and operation of cash register service. The task of cashier.)</w:t>
      </w:r>
    </w:p>
    <w:p w:rsidR="00145684" w:rsidRPr="00151E5D" w:rsidRDefault="00145684" w:rsidP="00980876">
      <w:pPr>
        <w:widowControl w:val="0"/>
        <w:numPr>
          <w:ilvl w:val="1"/>
          <w:numId w:val="353"/>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151E5D">
        <w:rPr>
          <w:rFonts w:ascii="Times New Roman" w:eastAsia="Times New Roman" w:hAnsi="Times New Roman" w:cs="Times New Roman"/>
          <w:kern w:val="2"/>
        </w:rPr>
        <w:t xml:space="preserve">A pénztári ki és befizetés szabályai, okmányai, bizonylatai. Bankjegyismeretek. </w:t>
      </w:r>
      <w:r w:rsidRPr="00151E5D">
        <w:rPr>
          <w:rFonts w:ascii="Times New Roman" w:eastAsia="Times New Roman" w:hAnsi="Times New Roman" w:cs="Times New Roman"/>
          <w:i/>
          <w:kern w:val="2"/>
        </w:rPr>
        <w:t>(The documentation of cash flow (money circulation). Check of banknotes.)</w:t>
      </w:r>
    </w:p>
    <w:p w:rsidR="00145684" w:rsidRPr="00151E5D" w:rsidRDefault="00145684" w:rsidP="00980876">
      <w:pPr>
        <w:widowControl w:val="0"/>
        <w:numPr>
          <w:ilvl w:val="1"/>
          <w:numId w:val="353"/>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151E5D">
        <w:rPr>
          <w:rFonts w:ascii="Times New Roman" w:eastAsia="Times New Roman" w:hAnsi="Times New Roman" w:cs="Times New Roman"/>
          <w:kern w:val="2"/>
        </w:rPr>
        <w:t xml:space="preserve">A pénztárellenőrzés. </w:t>
      </w:r>
      <w:r w:rsidRPr="00151E5D">
        <w:rPr>
          <w:rFonts w:ascii="Times New Roman" w:eastAsia="Times New Roman" w:hAnsi="Times New Roman" w:cs="Times New Roman"/>
          <w:i/>
          <w:kern w:val="2"/>
        </w:rPr>
        <w:t>(The control of cash register service.)</w:t>
      </w:r>
    </w:p>
    <w:p w:rsidR="00145684" w:rsidRPr="00151E5D" w:rsidRDefault="00145684" w:rsidP="00980876">
      <w:pPr>
        <w:widowControl w:val="0"/>
        <w:numPr>
          <w:ilvl w:val="1"/>
          <w:numId w:val="353"/>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151E5D">
        <w:rPr>
          <w:rFonts w:ascii="Times New Roman" w:eastAsia="Times New Roman" w:hAnsi="Times New Roman" w:cs="Times New Roman"/>
          <w:kern w:val="2"/>
        </w:rPr>
        <w:t xml:space="preserve">A kincstári kártya nyilvántartási rendje. Pénzforgalom a kincstári kártya és a pénztár között, a készpénzfelvétel szabályai. </w:t>
      </w:r>
      <w:r w:rsidRPr="00151E5D">
        <w:rPr>
          <w:rFonts w:ascii="Times New Roman" w:eastAsia="Times New Roman" w:hAnsi="Times New Roman" w:cs="Times New Roman"/>
          <w:i/>
          <w:kern w:val="2"/>
        </w:rPr>
        <w:t>(The regulation of cash flow (money circulation), rules of cash withdrawal and treasury’s card.)</w:t>
      </w:r>
    </w:p>
    <w:p w:rsidR="00145684" w:rsidRPr="00151E5D" w:rsidRDefault="00145684" w:rsidP="00980876">
      <w:pPr>
        <w:widowControl w:val="0"/>
        <w:numPr>
          <w:ilvl w:val="1"/>
          <w:numId w:val="353"/>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151E5D">
        <w:rPr>
          <w:rFonts w:ascii="Times New Roman" w:eastAsia="Times New Roman" w:hAnsi="Times New Roman" w:cs="Times New Roman"/>
          <w:kern w:val="2"/>
        </w:rPr>
        <w:t xml:space="preserve">A félév során oktatott tananyag tartalmának áttekintése. </w:t>
      </w:r>
      <w:r w:rsidRPr="00151E5D">
        <w:rPr>
          <w:rFonts w:ascii="Times New Roman" w:eastAsia="Times New Roman" w:hAnsi="Times New Roman" w:cs="Times New Roman"/>
          <w:i/>
          <w:kern w:val="2"/>
        </w:rPr>
        <w:t>(Overview the course’s subject.)</w:t>
      </w:r>
    </w:p>
    <w:p w:rsidR="00145684" w:rsidRPr="00241D0D" w:rsidRDefault="00145684" w:rsidP="00145684">
      <w:pPr>
        <w:pStyle w:val="Listaszerbekezds"/>
        <w:tabs>
          <w:tab w:val="right" w:pos="900"/>
          <w:tab w:val="num" w:pos="1276"/>
        </w:tabs>
        <w:spacing w:before="60" w:after="0" w:line="240" w:lineRule="auto"/>
        <w:ind w:left="999"/>
        <w:jc w:val="both"/>
        <w:rPr>
          <w:rFonts w:ascii="Times New Roman" w:eastAsia="Times New Roman" w:hAnsi="Times New Roman" w:cs="Times New Roman"/>
          <w:lang w:val="en-GB"/>
        </w:rPr>
      </w:pPr>
    </w:p>
    <w:p w:rsidR="00145684" w:rsidRPr="006331D3" w:rsidRDefault="00145684" w:rsidP="00980876">
      <w:pPr>
        <w:pStyle w:val="Listaszerbekezds"/>
        <w:widowControl w:val="0"/>
        <w:numPr>
          <w:ilvl w:val="0"/>
          <w:numId w:val="353"/>
        </w:numPr>
        <w:tabs>
          <w:tab w:val="clear" w:pos="720"/>
          <w:tab w:val="num" w:pos="643"/>
          <w:tab w:val="left" w:pos="709"/>
          <w:tab w:val="left" w:pos="993"/>
        </w:tabs>
        <w:spacing w:before="120" w:after="120" w:line="240" w:lineRule="auto"/>
        <w:ind w:left="643"/>
        <w:jc w:val="both"/>
        <w:rPr>
          <w:rFonts w:ascii="Times New Roman" w:eastAsia="Times New Roman" w:hAnsi="Times New Roman" w:cs="Times New Roman"/>
          <w:bCs/>
        </w:rPr>
      </w:pPr>
      <w:r w:rsidRPr="006331D3">
        <w:rPr>
          <w:rFonts w:ascii="Times New Roman" w:eastAsia="Times New Roman" w:hAnsi="Times New Roman" w:cs="Times New Roman"/>
          <w:b/>
          <w:bCs/>
        </w:rPr>
        <w:t xml:space="preserve">A tantárgy meghirdetésének gyakorisága/a tantervben történő félévi elhelyezkedése: </w:t>
      </w:r>
      <w:r w:rsidRPr="006331D3">
        <w:rPr>
          <w:rFonts w:ascii="Times New Roman" w:eastAsia="Times New Roman" w:hAnsi="Times New Roman" w:cs="Times New Roman"/>
          <w:bCs/>
        </w:rPr>
        <w:t xml:space="preserve">a tanév </w:t>
      </w:r>
      <w:r w:rsidR="004B5E24" w:rsidRPr="004B5E24">
        <w:rPr>
          <w:rFonts w:ascii="Times New Roman" w:eastAsia="Times New Roman" w:hAnsi="Times New Roman" w:cs="Times New Roman"/>
          <w:bCs/>
          <w:highlight w:val="yellow"/>
        </w:rPr>
        <w:t>5</w:t>
      </w:r>
      <w:r w:rsidRPr="004B5E24">
        <w:rPr>
          <w:rFonts w:ascii="Times New Roman" w:eastAsia="Times New Roman" w:hAnsi="Times New Roman" w:cs="Times New Roman"/>
          <w:bCs/>
          <w:highlight w:val="yellow"/>
        </w:rPr>
        <w:t>. (őszi) félévében</w:t>
      </w:r>
      <w:r w:rsidRPr="006331D3">
        <w:rPr>
          <w:rFonts w:ascii="Times New Roman" w:eastAsia="Times New Roman" w:hAnsi="Times New Roman" w:cs="Times New Roman"/>
          <w:bCs/>
        </w:rPr>
        <w:t>.</w:t>
      </w:r>
    </w:p>
    <w:p w:rsidR="00145684" w:rsidRDefault="00145684" w:rsidP="00980876">
      <w:pPr>
        <w:widowControl w:val="0"/>
        <w:numPr>
          <w:ilvl w:val="0"/>
          <w:numId w:val="353"/>
        </w:numPr>
        <w:tabs>
          <w:tab w:val="clear" w:pos="720"/>
          <w:tab w:val="num" w:pos="643"/>
        </w:tabs>
        <w:spacing w:before="120" w:after="120" w:line="240" w:lineRule="auto"/>
        <w:ind w:left="643"/>
        <w:jc w:val="both"/>
        <w:rPr>
          <w:rFonts w:ascii="Times New Roman" w:eastAsia="Times New Roman" w:hAnsi="Times New Roman" w:cs="Times New Roman"/>
          <w:bCs/>
        </w:rPr>
      </w:pPr>
      <w:r w:rsidRPr="00BC6E7B">
        <w:rPr>
          <w:rFonts w:ascii="Times New Roman" w:eastAsia="Times New Roman" w:hAnsi="Times New Roman" w:cs="Times New Roman"/>
          <w:b/>
          <w:bCs/>
        </w:rPr>
        <w:t>A tanórákon való részvétel követelményei, az elfogadható hiányzások mértéke, a távolmaradás pótlásának lehetősége:</w:t>
      </w:r>
      <w:r>
        <w:rPr>
          <w:rFonts w:ascii="Times New Roman" w:eastAsia="Times New Roman" w:hAnsi="Times New Roman" w:cs="Times New Roman"/>
          <w:bCs/>
        </w:rPr>
        <w:t xml:space="preserve"> </w:t>
      </w:r>
      <w:r w:rsidRPr="00D0042F">
        <w:rPr>
          <w:rFonts w:ascii="Times New Roman" w:eastAsia="Times New Roman" w:hAnsi="Times New Roman" w:cs="Times New Roman"/>
          <w:bCs/>
        </w:rPr>
        <w:t xml:space="preserve">a tanórákon való jelenlét kötelező, az elfogadható és igazolt hiányzások száma maximum a tanórák </w:t>
      </w:r>
      <w:r>
        <w:rPr>
          <w:rFonts w:ascii="Times New Roman" w:eastAsia="Times New Roman" w:hAnsi="Times New Roman" w:cs="Times New Roman"/>
          <w:bCs/>
        </w:rPr>
        <w:t>20</w:t>
      </w:r>
      <w:r w:rsidRPr="00D0042F">
        <w:rPr>
          <w:rFonts w:ascii="Times New Roman" w:eastAsia="Times New Roman" w:hAnsi="Times New Roman" w:cs="Times New Roman"/>
          <w:bCs/>
        </w:rPr>
        <w:t>%-áig terjedhet, az ismeretek pótlásáról a hallgató gondoskodik.</w:t>
      </w:r>
      <w:r>
        <w:rPr>
          <w:rFonts w:ascii="Times New Roman" w:eastAsia="Times New Roman" w:hAnsi="Times New Roman" w:cs="Times New Roman"/>
          <w:bCs/>
        </w:rPr>
        <w:t xml:space="preserve"> A hiányzások elfogadható mértékének túllépése az aláírás megtagadását </w:t>
      </w:r>
      <w:r>
        <w:rPr>
          <w:rFonts w:ascii="Times New Roman" w:eastAsia="Times New Roman" w:hAnsi="Times New Roman" w:cs="Times New Roman"/>
          <w:bCs/>
        </w:rPr>
        <w:lastRenderedPageBreak/>
        <w:t>vonja maga után.</w:t>
      </w:r>
    </w:p>
    <w:p w:rsidR="00145684" w:rsidRPr="006331D3" w:rsidRDefault="00145684" w:rsidP="00980876">
      <w:pPr>
        <w:widowControl w:val="0"/>
        <w:numPr>
          <w:ilvl w:val="0"/>
          <w:numId w:val="353"/>
        </w:numPr>
        <w:tabs>
          <w:tab w:val="clear" w:pos="720"/>
          <w:tab w:val="num" w:pos="643"/>
        </w:tabs>
        <w:spacing w:before="120" w:after="120" w:line="240" w:lineRule="auto"/>
        <w:jc w:val="both"/>
        <w:rPr>
          <w:rFonts w:ascii="Times New Roman" w:eastAsia="Times New Roman" w:hAnsi="Times New Roman" w:cs="Times New Roman"/>
        </w:rPr>
      </w:pPr>
      <w:r w:rsidRPr="006331D3">
        <w:rPr>
          <w:rFonts w:ascii="Times New Roman" w:eastAsia="Times New Roman" w:hAnsi="Times New Roman" w:cs="Times New Roman"/>
          <w:b/>
        </w:rPr>
        <w:t>Félévközi feladatok, ismeretek ellenőrzésének rendje:</w:t>
      </w:r>
      <w:r w:rsidRPr="006331D3">
        <w:rPr>
          <w:rFonts w:ascii="Times New Roman" w:eastAsia="Times New Roman" w:hAnsi="Times New Roman" w:cs="Times New Roman"/>
        </w:rPr>
        <w:t xml:space="preserve"> </w:t>
      </w:r>
      <w:r>
        <w:rPr>
          <w:rFonts w:ascii="Times New Roman" w:eastAsia="Times New Roman" w:hAnsi="Times New Roman" w:cs="Times New Roman"/>
        </w:rPr>
        <w:t>A hallgató a félév végén írásbeli vizsgát tesz. A vizsga</w:t>
      </w:r>
      <w:r w:rsidRPr="006331D3">
        <w:rPr>
          <w:rFonts w:ascii="Times New Roman" w:eastAsia="Times New Roman" w:hAnsi="Times New Roman" w:cs="Times New Roman"/>
        </w:rPr>
        <w:t xml:space="preserve">dolgozatok értékelése ötfokozatú skála alapján történik (50 %-tól elégséges, 65 %-tól közepes, 75-tól % jó, 85 %-tól jeles). </w:t>
      </w:r>
    </w:p>
    <w:p w:rsidR="00145684" w:rsidRDefault="00145684" w:rsidP="00980876">
      <w:pPr>
        <w:widowControl w:val="0"/>
        <w:numPr>
          <w:ilvl w:val="0"/>
          <w:numId w:val="353"/>
        </w:numPr>
        <w:tabs>
          <w:tab w:val="clear" w:pos="720"/>
          <w:tab w:val="num" w:pos="643"/>
        </w:tabs>
        <w:spacing w:before="120" w:after="120" w:line="240" w:lineRule="auto"/>
        <w:ind w:left="426" w:hanging="142"/>
        <w:jc w:val="both"/>
        <w:rPr>
          <w:rFonts w:ascii="Times New Roman" w:eastAsia="Times New Roman" w:hAnsi="Times New Roman" w:cs="Times New Roman"/>
          <w:b/>
          <w:bCs/>
        </w:rPr>
      </w:pPr>
      <w:r w:rsidRPr="00BC6E7B">
        <w:rPr>
          <w:rFonts w:ascii="Times New Roman" w:eastAsia="Times New Roman" w:hAnsi="Times New Roman" w:cs="Times New Roman"/>
          <w:b/>
          <w:bCs/>
        </w:rPr>
        <w:t xml:space="preserve">Az értékelés, az aláírás és a kreditek megszerzésének pontos feltételei: </w:t>
      </w:r>
    </w:p>
    <w:p w:rsidR="00145684" w:rsidRPr="000D191A" w:rsidRDefault="00145684" w:rsidP="00980876">
      <w:pPr>
        <w:widowControl w:val="0"/>
        <w:numPr>
          <w:ilvl w:val="1"/>
          <w:numId w:val="353"/>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0D191A">
        <w:rPr>
          <w:rFonts w:ascii="Times New Roman" w:eastAsia="Times New Roman" w:hAnsi="Times New Roman" w:cs="Times New Roman"/>
          <w:b/>
        </w:rPr>
        <w:t>Az aláírás megszerzésének feltételei:</w:t>
      </w:r>
      <w:r w:rsidRPr="000D191A">
        <w:rPr>
          <w:rFonts w:ascii="Times New Roman" w:eastAsia="Times New Roman" w:hAnsi="Times New Roman" w:cs="Times New Roman"/>
        </w:rPr>
        <w:t xml:space="preserve"> Az aláírás megszerzésének feltétele a 14. pontban meghatározott ará</w:t>
      </w:r>
      <w:r>
        <w:rPr>
          <w:rFonts w:ascii="Times New Roman" w:eastAsia="Times New Roman" w:hAnsi="Times New Roman" w:cs="Times New Roman"/>
        </w:rPr>
        <w:t>nyú részvétel a foglalkozásokon.</w:t>
      </w:r>
    </w:p>
    <w:p w:rsidR="00145684" w:rsidRPr="00EF6F4E" w:rsidRDefault="00145684" w:rsidP="00980876">
      <w:pPr>
        <w:widowControl w:val="0"/>
        <w:numPr>
          <w:ilvl w:val="1"/>
          <w:numId w:val="353"/>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BC6E7B">
        <w:rPr>
          <w:rFonts w:ascii="Times New Roman" w:eastAsia="Times New Roman" w:hAnsi="Times New Roman" w:cs="Times New Roman"/>
          <w:b/>
        </w:rPr>
        <w:t>Az értékelés:</w:t>
      </w:r>
      <w:r w:rsidRPr="00BC6E7B">
        <w:rPr>
          <w:rFonts w:ascii="Times New Roman" w:eastAsia="Times New Roman" w:hAnsi="Times New Roman" w:cs="Times New Roman"/>
        </w:rPr>
        <w:t xml:space="preserve"> </w:t>
      </w:r>
      <w:r>
        <w:rPr>
          <w:rFonts w:ascii="Times New Roman" w:eastAsia="Times New Roman" w:hAnsi="Times New Roman" w:cs="Times New Roman"/>
        </w:rPr>
        <w:t>Kollokvium</w:t>
      </w:r>
      <w:r w:rsidRPr="00EF6F4E">
        <w:rPr>
          <w:rFonts w:ascii="Times New Roman" w:eastAsia="Times New Roman" w:hAnsi="Times New Roman" w:cs="Times New Roman"/>
        </w:rPr>
        <w:t>– írásbeli vizsga. A Tanszék beszámoló felkészülési kérdéseket ad ki. A vizsga tartalmát az előadáson elhangzottak és az alább felsorolt kötelező és ajánlott irodalmak anyagai képezik. A vizsgadolgozat értékelése: 0-50% - elégtelen, 51-70% - elégséges, 71-80% - közepe, 81-90% - jó, 91-100% - jeles.</w:t>
      </w:r>
    </w:p>
    <w:p w:rsidR="00145684" w:rsidRDefault="00145684" w:rsidP="00980876">
      <w:pPr>
        <w:widowControl w:val="0"/>
        <w:numPr>
          <w:ilvl w:val="1"/>
          <w:numId w:val="353"/>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BC6E7B">
        <w:rPr>
          <w:rFonts w:ascii="Times New Roman" w:eastAsia="Times New Roman" w:hAnsi="Times New Roman" w:cs="Times New Roman"/>
          <w:b/>
        </w:rPr>
        <w:t>A kreditek megszerzésének feltételei:</w:t>
      </w:r>
      <w:r w:rsidRPr="00BC6E7B">
        <w:rPr>
          <w:rFonts w:ascii="Times New Roman" w:eastAsia="Times New Roman" w:hAnsi="Times New Roman" w:cs="Times New Roman"/>
        </w:rPr>
        <w:t xml:space="preserve"> </w:t>
      </w:r>
    </w:p>
    <w:p w:rsidR="00145684" w:rsidRDefault="00145684" w:rsidP="00145684">
      <w:pPr>
        <w:widowControl w:val="0"/>
        <w:tabs>
          <w:tab w:val="left" w:pos="993"/>
        </w:tabs>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A kreditek megszerzésének feltétele az aláírás megszerzése és a kollokvium legalább elégséges teljesítése.</w:t>
      </w:r>
    </w:p>
    <w:p w:rsidR="00145684" w:rsidRPr="0035461C" w:rsidRDefault="00145684" w:rsidP="00980876">
      <w:pPr>
        <w:widowControl w:val="0"/>
        <w:numPr>
          <w:ilvl w:val="0"/>
          <w:numId w:val="353"/>
        </w:numPr>
        <w:tabs>
          <w:tab w:val="clear" w:pos="720"/>
          <w:tab w:val="num" w:pos="360"/>
          <w:tab w:val="num" w:pos="643"/>
        </w:tabs>
        <w:spacing w:before="120" w:after="120" w:line="240" w:lineRule="auto"/>
        <w:ind w:left="426" w:hanging="142"/>
        <w:jc w:val="both"/>
        <w:rPr>
          <w:rFonts w:ascii="Times New Roman" w:eastAsia="Times New Roman" w:hAnsi="Times New Roman" w:cs="Times New Roman"/>
          <w:bCs/>
        </w:rPr>
      </w:pPr>
      <w:r w:rsidRPr="00BC6E7B">
        <w:rPr>
          <w:rFonts w:ascii="Times New Roman" w:eastAsia="Times New Roman" w:hAnsi="Times New Roman" w:cs="Times New Roman"/>
          <w:b/>
          <w:bCs/>
        </w:rPr>
        <w:t>Irodalomjegyzék:</w:t>
      </w:r>
    </w:p>
    <w:p w:rsidR="00145684" w:rsidRDefault="00145684" w:rsidP="00980876">
      <w:pPr>
        <w:widowControl w:val="0"/>
        <w:numPr>
          <w:ilvl w:val="1"/>
          <w:numId w:val="353"/>
        </w:numPr>
        <w:tabs>
          <w:tab w:val="clear" w:pos="3977"/>
          <w:tab w:val="num" w:pos="567"/>
          <w:tab w:val="num" w:pos="999"/>
          <w:tab w:val="num" w:pos="2069"/>
        </w:tabs>
        <w:spacing w:before="120" w:after="120" w:line="240" w:lineRule="auto"/>
        <w:ind w:left="993" w:hanging="709"/>
        <w:jc w:val="both"/>
        <w:rPr>
          <w:rFonts w:ascii="Times New Roman" w:eastAsia="Times New Roman" w:hAnsi="Times New Roman" w:cs="Times New Roman"/>
          <w:b/>
          <w:bCs/>
        </w:rPr>
      </w:pPr>
      <w:r w:rsidRPr="0035461C">
        <w:rPr>
          <w:rFonts w:ascii="Times New Roman" w:eastAsia="Times New Roman" w:hAnsi="Times New Roman" w:cs="Times New Roman"/>
          <w:b/>
          <w:bCs/>
        </w:rPr>
        <w:t>Kötelező irodalom:</w:t>
      </w:r>
      <w:r>
        <w:rPr>
          <w:rFonts w:ascii="Times New Roman" w:eastAsia="Times New Roman" w:hAnsi="Times New Roman" w:cs="Times New Roman"/>
          <w:b/>
          <w:bCs/>
        </w:rPr>
        <w:t xml:space="preserve"> </w:t>
      </w:r>
      <w:r>
        <w:rPr>
          <w:rFonts w:ascii="Times New Roman" w:eastAsia="Times New Roman" w:hAnsi="Times New Roman" w:cs="Times New Roman"/>
        </w:rPr>
        <w:t>A t</w:t>
      </w:r>
      <w:r w:rsidRPr="0099634B">
        <w:rPr>
          <w:rFonts w:ascii="Times New Roman" w:eastAsia="Times New Roman" w:hAnsi="Times New Roman" w:cs="Times New Roman"/>
        </w:rPr>
        <w:t>antárgy speciális katonai-szakmai tartalma miatt csak jogszabályi irodalom áll rendelkezésre</w:t>
      </w:r>
      <w:r>
        <w:rPr>
          <w:rFonts w:ascii="Times New Roman" w:eastAsia="Times New Roman" w:hAnsi="Times New Roman" w:cs="Times New Roman"/>
          <w:bCs/>
          <w:caps/>
        </w:rPr>
        <w:t>.</w:t>
      </w:r>
    </w:p>
    <w:p w:rsidR="00145684" w:rsidRDefault="00145684" w:rsidP="00980876">
      <w:pPr>
        <w:widowControl w:val="0"/>
        <w:numPr>
          <w:ilvl w:val="2"/>
          <w:numId w:val="354"/>
        </w:numPr>
        <w:spacing w:before="120" w:after="120" w:line="240" w:lineRule="auto"/>
        <w:jc w:val="both"/>
        <w:rPr>
          <w:rFonts w:ascii="Times New Roman" w:eastAsia="Times New Roman" w:hAnsi="Times New Roman" w:cs="Times New Roman"/>
        </w:rPr>
      </w:pPr>
      <w:r w:rsidRPr="00A359DB">
        <w:rPr>
          <w:rFonts w:ascii="Times New Roman" w:eastAsia="Times New Roman" w:hAnsi="Times New Roman" w:cs="Times New Roman"/>
        </w:rPr>
        <w:t>A honvédelmi szervezetek számláiról és a pénzkezelési szabályokról szóló 60/2012. (VIII. 31.) HM utasítás</w:t>
      </w:r>
      <w:r w:rsidRPr="004F750A">
        <w:rPr>
          <w:rFonts w:ascii="Times New Roman" w:eastAsia="Times New Roman" w:hAnsi="Times New Roman" w:cs="Times New Roman"/>
        </w:rPr>
        <w:t xml:space="preserve"> </w:t>
      </w:r>
    </w:p>
    <w:p w:rsidR="00145684" w:rsidRDefault="00145684" w:rsidP="00980876">
      <w:pPr>
        <w:widowControl w:val="0"/>
        <w:numPr>
          <w:ilvl w:val="2"/>
          <w:numId w:val="354"/>
        </w:numPr>
        <w:spacing w:before="120" w:after="120" w:line="240" w:lineRule="auto"/>
        <w:jc w:val="both"/>
        <w:rPr>
          <w:rFonts w:ascii="Times New Roman" w:eastAsia="Times New Roman" w:hAnsi="Times New Roman" w:cs="Times New Roman"/>
        </w:rPr>
      </w:pPr>
      <w:r w:rsidRPr="00A359DB">
        <w:rPr>
          <w:rFonts w:ascii="Times New Roman" w:eastAsia="Times New Roman" w:hAnsi="Times New Roman" w:cs="Times New Roman"/>
        </w:rPr>
        <w:t>A HM fejezet egységes számviteli politikájáról és számlarendjéről szóló 9/2017. HM VGHÁT szakutasítás 1. melléklet 7. függelék – Pénzkezelési Szabályzat</w:t>
      </w:r>
    </w:p>
    <w:p w:rsidR="00145684" w:rsidRPr="00A359DB" w:rsidRDefault="00145684" w:rsidP="00980876">
      <w:pPr>
        <w:widowControl w:val="0"/>
        <w:numPr>
          <w:ilvl w:val="2"/>
          <w:numId w:val="354"/>
        </w:numPr>
        <w:spacing w:before="120" w:after="120" w:line="240" w:lineRule="auto"/>
        <w:jc w:val="both"/>
        <w:rPr>
          <w:rFonts w:ascii="Times New Roman" w:eastAsia="Times New Roman" w:hAnsi="Times New Roman" w:cs="Times New Roman"/>
        </w:rPr>
      </w:pPr>
      <w:r w:rsidRPr="00A359DB">
        <w:rPr>
          <w:rFonts w:ascii="Times New Roman" w:eastAsia="Times New Roman" w:hAnsi="Times New Roman" w:cs="Times New Roman"/>
        </w:rPr>
        <w:t>A pénzügyi és számviteli szakellenőrzés rendjéről szóló 10/2017. HM VGHÁT szakutasítás</w:t>
      </w:r>
    </w:p>
    <w:p w:rsidR="00145684" w:rsidRPr="00C83EBE" w:rsidRDefault="00145684" w:rsidP="00980876">
      <w:pPr>
        <w:widowControl w:val="0"/>
        <w:numPr>
          <w:ilvl w:val="1"/>
          <w:numId w:val="353"/>
        </w:numPr>
        <w:tabs>
          <w:tab w:val="clear" w:pos="3977"/>
          <w:tab w:val="num" w:pos="567"/>
          <w:tab w:val="num" w:pos="999"/>
          <w:tab w:val="num" w:pos="2069"/>
        </w:tabs>
        <w:spacing w:before="120" w:after="120" w:line="240" w:lineRule="auto"/>
        <w:ind w:left="993" w:hanging="709"/>
        <w:jc w:val="both"/>
        <w:rPr>
          <w:rFonts w:ascii="Times New Roman" w:eastAsia="Times New Roman" w:hAnsi="Times New Roman" w:cs="Times New Roman"/>
          <w:b/>
          <w:bCs/>
        </w:rPr>
      </w:pPr>
      <w:r w:rsidRPr="00BC6E7B">
        <w:rPr>
          <w:rFonts w:ascii="Times New Roman" w:eastAsia="Times New Roman" w:hAnsi="Times New Roman" w:cs="Times New Roman"/>
          <w:b/>
          <w:bCs/>
        </w:rPr>
        <w:t>Ajánlott irodalom:</w:t>
      </w:r>
      <w:r>
        <w:rPr>
          <w:rFonts w:ascii="Times New Roman" w:eastAsia="Times New Roman" w:hAnsi="Times New Roman" w:cs="Times New Roman"/>
          <w:b/>
          <w:bCs/>
        </w:rPr>
        <w:t xml:space="preserve"> -</w:t>
      </w:r>
    </w:p>
    <w:p w:rsidR="00145684" w:rsidRPr="0035461C" w:rsidRDefault="00145684" w:rsidP="00145684">
      <w:pPr>
        <w:pStyle w:val="Listaszerbekezds"/>
        <w:widowControl w:val="0"/>
        <w:tabs>
          <w:tab w:val="left" w:pos="993"/>
        </w:tabs>
        <w:spacing w:before="120" w:after="120" w:line="240" w:lineRule="auto"/>
        <w:ind w:left="1584"/>
        <w:jc w:val="both"/>
        <w:rPr>
          <w:rFonts w:ascii="Times New Roman" w:eastAsia="Times New Roman" w:hAnsi="Times New Roman" w:cs="Times New Roman"/>
        </w:rPr>
      </w:pPr>
    </w:p>
    <w:p w:rsidR="00145684" w:rsidRPr="00BC6E7B" w:rsidRDefault="00145684" w:rsidP="00145684">
      <w:pPr>
        <w:widowControl w:val="0"/>
        <w:spacing w:before="120" w:after="120" w:line="240" w:lineRule="auto"/>
        <w:jc w:val="both"/>
        <w:rPr>
          <w:rFonts w:ascii="Times New Roman" w:eastAsia="Times New Roman" w:hAnsi="Times New Roman" w:cs="Times New Roman"/>
          <w:bCs/>
        </w:rPr>
      </w:pPr>
      <w:r w:rsidRPr="0035461C">
        <w:rPr>
          <w:rFonts w:ascii="Times New Roman" w:eastAsia="Times New Roman" w:hAnsi="Times New Roman" w:cs="Times New Roman"/>
          <w:bCs/>
        </w:rPr>
        <w:t>Budapest, 20</w:t>
      </w:r>
      <w:r>
        <w:rPr>
          <w:rFonts w:ascii="Times New Roman" w:eastAsia="Times New Roman" w:hAnsi="Times New Roman" w:cs="Times New Roman"/>
          <w:bCs/>
        </w:rPr>
        <w:t>20</w:t>
      </w:r>
      <w:r w:rsidRPr="0035461C">
        <w:rPr>
          <w:rFonts w:ascii="Times New Roman" w:eastAsia="Times New Roman" w:hAnsi="Times New Roman" w:cs="Times New Roman"/>
          <w:bCs/>
        </w:rPr>
        <w:t>.</w:t>
      </w:r>
      <w:r>
        <w:rPr>
          <w:rFonts w:ascii="Times New Roman" w:eastAsia="Times New Roman" w:hAnsi="Times New Roman" w:cs="Times New Roman"/>
          <w:bCs/>
        </w:rPr>
        <w:t>02</w:t>
      </w:r>
      <w:r w:rsidRPr="0035461C">
        <w:rPr>
          <w:rFonts w:ascii="Times New Roman" w:eastAsia="Times New Roman" w:hAnsi="Times New Roman" w:cs="Times New Roman"/>
          <w:bCs/>
        </w:rPr>
        <w:t>.</w:t>
      </w:r>
      <w:r>
        <w:rPr>
          <w:rFonts w:ascii="Times New Roman" w:eastAsia="Times New Roman" w:hAnsi="Times New Roman" w:cs="Times New Roman"/>
          <w:bCs/>
        </w:rPr>
        <w:t>20.</w:t>
      </w:r>
    </w:p>
    <w:p w:rsidR="00145684" w:rsidRPr="00BC6E7B" w:rsidRDefault="00145684" w:rsidP="00145684">
      <w:pPr>
        <w:widowControl w:val="0"/>
        <w:spacing w:before="120" w:after="120" w:line="240" w:lineRule="auto"/>
        <w:jc w:val="both"/>
        <w:rPr>
          <w:rFonts w:ascii="Times New Roman" w:eastAsia="Times New Roman" w:hAnsi="Times New Roman" w:cs="Times New Roman"/>
          <w:bCs/>
        </w:rPr>
      </w:pPr>
    </w:p>
    <w:p w:rsidR="00145684" w:rsidRPr="00145684" w:rsidRDefault="00145684" w:rsidP="00145684">
      <w:pPr>
        <w:widowControl w:val="0"/>
        <w:spacing w:after="0" w:line="240" w:lineRule="auto"/>
        <w:ind w:left="5664" w:firstLine="708"/>
        <w:jc w:val="center"/>
        <w:rPr>
          <w:rFonts w:ascii="Times New Roman" w:eastAsia="Times New Roman" w:hAnsi="Times New Roman" w:cs="Times New Roman"/>
          <w:b/>
          <w:bCs/>
        </w:rPr>
      </w:pPr>
      <w:r w:rsidRPr="00145684">
        <w:rPr>
          <w:rFonts w:ascii="Times New Roman" w:eastAsia="Times New Roman" w:hAnsi="Times New Roman" w:cs="Times New Roman"/>
          <w:b/>
          <w:bCs/>
        </w:rPr>
        <w:t>Dr. Balla Tibor sk.</w:t>
      </w:r>
    </w:p>
    <w:p w:rsidR="00145684" w:rsidRDefault="00145684">
      <w:pPr>
        <w:spacing w:after="200" w:line="276" w:lineRule="auto"/>
        <w:rPr>
          <w:rFonts w:ascii="Times New Roman" w:hAnsi="Times New Roman" w:cs="Times New Roman"/>
          <w:b/>
          <w:color w:val="FF0000"/>
          <w:sz w:val="24"/>
        </w:rPr>
      </w:pPr>
    </w:p>
    <w:p w:rsidR="00D50C2E" w:rsidRDefault="00D50C2E">
      <w:pPr>
        <w:spacing w:after="200" w:line="276" w:lineRule="auto"/>
        <w:rPr>
          <w:rFonts w:ascii="Times New Roman" w:hAnsi="Times New Roman" w:cs="Times New Roman"/>
          <w:b/>
          <w:color w:val="FF0000"/>
          <w:sz w:val="24"/>
        </w:rPr>
      </w:pPr>
      <w:r>
        <w:rPr>
          <w:rFonts w:ascii="Times New Roman" w:hAnsi="Times New Roman" w:cs="Times New Roman"/>
          <w:b/>
          <w:color w:val="FF0000"/>
          <w:sz w:val="24"/>
        </w:rPr>
        <w:br w:type="page"/>
      </w:r>
    </w:p>
    <w:tbl>
      <w:tblPr>
        <w:tblW w:w="9072" w:type="dxa"/>
        <w:tblInd w:w="113" w:type="dxa"/>
        <w:tblLook w:val="01E0" w:firstRow="1" w:lastRow="1" w:firstColumn="1" w:lastColumn="1" w:noHBand="0" w:noVBand="0"/>
      </w:tblPr>
      <w:tblGrid>
        <w:gridCol w:w="4855"/>
        <w:gridCol w:w="1620"/>
        <w:gridCol w:w="2597"/>
      </w:tblGrid>
      <w:tr w:rsidR="00D50C2E" w:rsidRPr="006A233B" w:rsidTr="00892EBF">
        <w:tc>
          <w:tcPr>
            <w:tcW w:w="4855" w:type="dxa"/>
            <w:tcBorders>
              <w:bottom w:val="single" w:sz="4" w:space="0" w:color="auto"/>
            </w:tcBorders>
          </w:tcPr>
          <w:p w:rsidR="00D50C2E" w:rsidRPr="006A233B" w:rsidRDefault="00D50C2E" w:rsidP="00892EBF">
            <w:pPr>
              <w:spacing w:after="0" w:line="240" w:lineRule="auto"/>
              <w:jc w:val="center"/>
              <w:rPr>
                <w:rFonts w:ascii="Times New Roman" w:eastAsia="Times New Roman" w:hAnsi="Times New Roman" w:cs="Times New Roman"/>
                <w:b/>
                <w:smallCaps/>
                <w:lang w:eastAsia="hu-HU"/>
              </w:rPr>
            </w:pPr>
            <w:r w:rsidRPr="006A233B">
              <w:rPr>
                <w:rFonts w:ascii="Times New Roman" w:eastAsia="Times New Roman" w:hAnsi="Times New Roman" w:cs="Times New Roman"/>
                <w:b/>
                <w:smallCaps/>
                <w:lang w:eastAsia="hu-HU"/>
              </w:rPr>
              <w:lastRenderedPageBreak/>
              <w:t>Nemzeti Közszolgálati Egyetem</w:t>
            </w:r>
          </w:p>
        </w:tc>
        <w:tc>
          <w:tcPr>
            <w:tcW w:w="1620" w:type="dxa"/>
          </w:tcPr>
          <w:p w:rsidR="00D50C2E" w:rsidRPr="006A233B" w:rsidRDefault="00D50C2E" w:rsidP="00892EBF">
            <w:pPr>
              <w:spacing w:after="0" w:line="240" w:lineRule="auto"/>
              <w:jc w:val="both"/>
              <w:rPr>
                <w:rFonts w:ascii="Times New Roman" w:eastAsia="Times New Roman" w:hAnsi="Times New Roman" w:cs="Times New Roman"/>
                <w:lang w:eastAsia="hu-HU"/>
              </w:rPr>
            </w:pPr>
          </w:p>
        </w:tc>
        <w:tc>
          <w:tcPr>
            <w:tcW w:w="2597" w:type="dxa"/>
          </w:tcPr>
          <w:p w:rsidR="00D50C2E" w:rsidRPr="006A233B" w:rsidRDefault="00D50C2E" w:rsidP="00892EBF">
            <w:pPr>
              <w:spacing w:after="0" w:line="240" w:lineRule="auto"/>
              <w:jc w:val="right"/>
              <w:rPr>
                <w:rFonts w:ascii="Times New Roman" w:eastAsia="Times New Roman" w:hAnsi="Times New Roman" w:cs="Times New Roman"/>
                <w:lang w:eastAsia="hu-HU"/>
              </w:rPr>
            </w:pPr>
          </w:p>
        </w:tc>
      </w:tr>
      <w:tr w:rsidR="00D50C2E" w:rsidRPr="006A233B" w:rsidTr="00892EBF">
        <w:tc>
          <w:tcPr>
            <w:tcW w:w="4855" w:type="dxa"/>
            <w:tcBorders>
              <w:top w:val="single" w:sz="4" w:space="0" w:color="auto"/>
            </w:tcBorders>
          </w:tcPr>
          <w:p w:rsidR="00D50C2E" w:rsidRPr="006A233B" w:rsidRDefault="00D50C2E" w:rsidP="00892EBF">
            <w:pPr>
              <w:spacing w:after="0" w:line="240" w:lineRule="auto"/>
              <w:jc w:val="center"/>
              <w:rPr>
                <w:rFonts w:ascii="Times New Roman" w:eastAsia="Times New Roman" w:hAnsi="Times New Roman" w:cs="Times New Roman"/>
                <w:b/>
                <w:lang w:eastAsia="hu-HU"/>
              </w:rPr>
            </w:pPr>
            <w:r w:rsidRPr="006A233B">
              <w:rPr>
                <w:rFonts w:ascii="Times New Roman" w:eastAsia="Times New Roman" w:hAnsi="Times New Roman" w:cs="Times New Roman"/>
                <w:b/>
                <w:lang w:eastAsia="hu-HU"/>
              </w:rPr>
              <w:t>Hadtudományi és Honvédtisztképző Kar</w:t>
            </w:r>
          </w:p>
        </w:tc>
        <w:tc>
          <w:tcPr>
            <w:tcW w:w="1620" w:type="dxa"/>
          </w:tcPr>
          <w:p w:rsidR="00D50C2E" w:rsidRPr="006A233B" w:rsidRDefault="00D50C2E" w:rsidP="00892EBF">
            <w:pPr>
              <w:spacing w:after="0" w:line="240" w:lineRule="auto"/>
              <w:jc w:val="both"/>
              <w:rPr>
                <w:rFonts w:ascii="Times New Roman" w:eastAsia="Times New Roman" w:hAnsi="Times New Roman" w:cs="Times New Roman"/>
                <w:lang w:eastAsia="hu-HU"/>
              </w:rPr>
            </w:pPr>
          </w:p>
        </w:tc>
        <w:tc>
          <w:tcPr>
            <w:tcW w:w="2597" w:type="dxa"/>
          </w:tcPr>
          <w:p w:rsidR="00D50C2E" w:rsidRPr="006A233B" w:rsidRDefault="00D50C2E" w:rsidP="00892EBF">
            <w:pPr>
              <w:spacing w:after="0" w:line="240" w:lineRule="auto"/>
              <w:jc w:val="both"/>
              <w:rPr>
                <w:rFonts w:ascii="Times New Roman" w:eastAsia="Times New Roman" w:hAnsi="Times New Roman" w:cs="Times New Roman"/>
                <w:lang w:eastAsia="hu-HU"/>
              </w:rPr>
            </w:pPr>
          </w:p>
        </w:tc>
      </w:tr>
    </w:tbl>
    <w:p w:rsidR="00D50C2E" w:rsidRPr="006A233B" w:rsidRDefault="00D50C2E" w:rsidP="00D50C2E">
      <w:pPr>
        <w:widowControl w:val="0"/>
        <w:spacing w:before="120" w:after="120" w:line="240" w:lineRule="auto"/>
        <w:ind w:left="426" w:hanging="142"/>
        <w:jc w:val="center"/>
        <w:rPr>
          <w:rFonts w:ascii="Times New Roman" w:eastAsia="Times New Roman" w:hAnsi="Times New Roman" w:cs="Times New Roman"/>
          <w:b/>
          <w:bCs/>
        </w:rPr>
      </w:pPr>
    </w:p>
    <w:p w:rsidR="00D50C2E" w:rsidRPr="006A233B" w:rsidRDefault="00D50C2E" w:rsidP="00D50C2E">
      <w:pPr>
        <w:widowControl w:val="0"/>
        <w:spacing w:before="120" w:after="120" w:line="240" w:lineRule="auto"/>
        <w:ind w:left="426" w:hanging="142"/>
        <w:jc w:val="center"/>
        <w:rPr>
          <w:rFonts w:ascii="Times New Roman" w:eastAsia="Times New Roman" w:hAnsi="Times New Roman" w:cs="Times New Roman"/>
          <w:b/>
          <w:bCs/>
        </w:rPr>
      </w:pPr>
      <w:r w:rsidRPr="006A233B">
        <w:rPr>
          <w:rFonts w:ascii="Times New Roman" w:eastAsia="Times New Roman" w:hAnsi="Times New Roman" w:cs="Times New Roman"/>
          <w:b/>
          <w:bCs/>
        </w:rPr>
        <w:t>TANTÁRGYI PROGRAM</w:t>
      </w:r>
    </w:p>
    <w:p w:rsidR="00D50C2E" w:rsidRPr="006A233B" w:rsidRDefault="00D50C2E" w:rsidP="00980876">
      <w:pPr>
        <w:widowControl w:val="0"/>
        <w:numPr>
          <w:ilvl w:val="0"/>
          <w:numId w:val="362"/>
        </w:numPr>
        <w:tabs>
          <w:tab w:val="clear" w:pos="720"/>
          <w:tab w:val="num" w:pos="426"/>
        </w:tabs>
        <w:spacing w:before="120" w:after="120" w:line="240" w:lineRule="auto"/>
        <w:ind w:left="641" w:hanging="357"/>
        <w:jc w:val="both"/>
        <w:rPr>
          <w:rFonts w:ascii="Times New Roman" w:eastAsia="Times New Roman" w:hAnsi="Times New Roman" w:cs="Times New Roman"/>
          <w:bCs/>
        </w:rPr>
      </w:pPr>
      <w:r w:rsidRPr="006A233B">
        <w:rPr>
          <w:rFonts w:ascii="Times New Roman" w:eastAsia="Times New Roman" w:hAnsi="Times New Roman" w:cs="Times New Roman"/>
          <w:b/>
          <w:bCs/>
        </w:rPr>
        <w:t xml:space="preserve">A tantárgy kódja: </w:t>
      </w:r>
      <w:r>
        <w:rPr>
          <w:rFonts w:ascii="Times New Roman" w:hAnsi="Times New Roman" w:cs="Times New Roman"/>
          <w:bCs/>
        </w:rPr>
        <w:t>HKHPKA512</w:t>
      </w:r>
    </w:p>
    <w:p w:rsidR="00D50C2E" w:rsidRPr="006A233B" w:rsidRDefault="00D50C2E" w:rsidP="00980876">
      <w:pPr>
        <w:widowControl w:val="0"/>
        <w:numPr>
          <w:ilvl w:val="0"/>
          <w:numId w:val="362"/>
        </w:numPr>
        <w:tabs>
          <w:tab w:val="clear" w:pos="720"/>
          <w:tab w:val="num" w:pos="426"/>
        </w:tabs>
        <w:spacing w:before="120" w:after="120" w:line="240" w:lineRule="auto"/>
        <w:ind w:left="641" w:hanging="357"/>
        <w:jc w:val="both"/>
        <w:rPr>
          <w:rFonts w:ascii="Times New Roman" w:eastAsia="Times New Roman" w:hAnsi="Times New Roman" w:cs="Times New Roman"/>
          <w:b/>
          <w:bCs/>
          <w:lang w:val="en-GB"/>
        </w:rPr>
      </w:pPr>
      <w:r w:rsidRPr="006A233B">
        <w:rPr>
          <w:rFonts w:ascii="Times New Roman" w:eastAsia="Times New Roman" w:hAnsi="Times New Roman" w:cs="Times New Roman"/>
          <w:b/>
          <w:bCs/>
        </w:rPr>
        <w:t>A tantárgy megnevezése (magyarul):</w:t>
      </w:r>
      <w:r w:rsidRPr="006A233B">
        <w:rPr>
          <w:rFonts w:ascii="Times New Roman" w:eastAsia="Times New Roman" w:hAnsi="Times New Roman" w:cs="Times New Roman"/>
          <w:bCs/>
        </w:rPr>
        <w:t xml:space="preserve"> </w:t>
      </w:r>
      <w:r>
        <w:rPr>
          <w:rFonts w:ascii="Times New Roman" w:hAnsi="Times New Roman" w:cs="Times New Roman"/>
          <w:bCs/>
        </w:rPr>
        <w:t>Adózás.</w:t>
      </w:r>
    </w:p>
    <w:p w:rsidR="00D50C2E" w:rsidRPr="006A233B" w:rsidRDefault="00D50C2E" w:rsidP="00980876">
      <w:pPr>
        <w:widowControl w:val="0"/>
        <w:numPr>
          <w:ilvl w:val="0"/>
          <w:numId w:val="362"/>
        </w:numPr>
        <w:tabs>
          <w:tab w:val="num" w:pos="567"/>
        </w:tabs>
        <w:spacing w:before="120" w:after="120" w:line="240" w:lineRule="auto"/>
        <w:ind w:left="426" w:hanging="142"/>
        <w:jc w:val="both"/>
        <w:rPr>
          <w:rFonts w:ascii="Times New Roman" w:eastAsia="Times New Roman" w:hAnsi="Times New Roman" w:cs="Times New Roman"/>
          <w:b/>
          <w:bCs/>
          <w:lang w:val="en-GB"/>
        </w:rPr>
      </w:pPr>
      <w:r w:rsidRPr="006A233B">
        <w:rPr>
          <w:rFonts w:ascii="Times New Roman" w:eastAsia="Times New Roman" w:hAnsi="Times New Roman" w:cs="Times New Roman"/>
          <w:b/>
          <w:bCs/>
        </w:rPr>
        <w:t xml:space="preserve">A tantárgy megnevezése (angolul): </w:t>
      </w:r>
      <w:r>
        <w:rPr>
          <w:rFonts w:ascii="Times New Roman" w:hAnsi="Times New Roman" w:cs="Times New Roman"/>
          <w:bCs/>
        </w:rPr>
        <w:t>Taxation</w:t>
      </w:r>
    </w:p>
    <w:p w:rsidR="00D50C2E" w:rsidRPr="006A233B" w:rsidRDefault="00D50C2E" w:rsidP="00980876">
      <w:pPr>
        <w:widowControl w:val="0"/>
        <w:numPr>
          <w:ilvl w:val="0"/>
          <w:numId w:val="362"/>
        </w:numPr>
        <w:tabs>
          <w:tab w:val="num" w:pos="567"/>
        </w:tabs>
        <w:spacing w:before="120" w:after="120" w:line="240" w:lineRule="auto"/>
        <w:ind w:left="426" w:hanging="142"/>
        <w:jc w:val="both"/>
        <w:rPr>
          <w:rFonts w:ascii="Times New Roman" w:eastAsia="Times New Roman" w:hAnsi="Times New Roman" w:cs="Times New Roman"/>
          <w:b/>
          <w:bCs/>
        </w:rPr>
      </w:pPr>
      <w:r w:rsidRPr="006A233B">
        <w:rPr>
          <w:rFonts w:ascii="Times New Roman" w:eastAsia="Times New Roman" w:hAnsi="Times New Roman" w:cs="Times New Roman"/>
          <w:b/>
          <w:bCs/>
        </w:rPr>
        <w:t xml:space="preserve">Kreditérték és képzési karakter: </w:t>
      </w:r>
    </w:p>
    <w:p w:rsidR="00D50C2E" w:rsidRPr="006A233B" w:rsidRDefault="00D50C2E" w:rsidP="00980876">
      <w:pPr>
        <w:pStyle w:val="Listaszerbekezds"/>
        <w:widowControl w:val="0"/>
        <w:numPr>
          <w:ilvl w:val="1"/>
          <w:numId w:val="362"/>
        </w:numPr>
        <w:tabs>
          <w:tab w:val="clear" w:pos="3977"/>
        </w:tabs>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3</w:t>
      </w:r>
      <w:r w:rsidRPr="006A233B">
        <w:rPr>
          <w:rFonts w:ascii="Times New Roman" w:eastAsia="Times New Roman" w:hAnsi="Times New Roman" w:cs="Times New Roman"/>
          <w:bCs/>
        </w:rPr>
        <w:t xml:space="preserve"> kredit</w:t>
      </w:r>
    </w:p>
    <w:p w:rsidR="00D50C2E" w:rsidRPr="006A233B" w:rsidRDefault="00D50C2E" w:rsidP="00980876">
      <w:pPr>
        <w:pStyle w:val="Listaszerbekezds"/>
        <w:widowControl w:val="0"/>
        <w:numPr>
          <w:ilvl w:val="1"/>
          <w:numId w:val="362"/>
        </w:numPr>
        <w:tabs>
          <w:tab w:val="clear" w:pos="3977"/>
        </w:tabs>
        <w:spacing w:before="120" w:after="120" w:line="240" w:lineRule="auto"/>
        <w:ind w:left="993" w:hanging="426"/>
        <w:jc w:val="both"/>
        <w:rPr>
          <w:rFonts w:ascii="Times New Roman" w:eastAsia="Times New Roman" w:hAnsi="Times New Roman" w:cs="Times New Roman"/>
          <w:b/>
          <w:bCs/>
        </w:rPr>
      </w:pPr>
      <w:r w:rsidRPr="006A233B">
        <w:rPr>
          <w:rFonts w:ascii="Times New Roman" w:eastAsia="Times New Roman" w:hAnsi="Times New Roman" w:cs="Times New Roman"/>
          <w:bCs/>
        </w:rPr>
        <w:t xml:space="preserve">a tantárgy elméleti vagy gyakorlati jellegének mértéke: </w:t>
      </w:r>
      <w:r>
        <w:rPr>
          <w:rFonts w:ascii="Times New Roman" w:eastAsia="Times New Roman" w:hAnsi="Times New Roman" w:cs="Times New Roman"/>
          <w:bCs/>
        </w:rPr>
        <w:t>67</w:t>
      </w:r>
      <w:r w:rsidRPr="006A233B">
        <w:rPr>
          <w:rFonts w:ascii="Times New Roman" w:eastAsia="Times New Roman" w:hAnsi="Times New Roman" w:cs="Times New Roman"/>
          <w:b/>
          <w:bCs/>
        </w:rPr>
        <w:t xml:space="preserve"> </w:t>
      </w:r>
      <w:r w:rsidRPr="006A233B">
        <w:rPr>
          <w:rFonts w:ascii="Times New Roman" w:eastAsia="Times New Roman" w:hAnsi="Times New Roman" w:cs="Times New Roman"/>
          <w:bCs/>
        </w:rPr>
        <w:t xml:space="preserve">% gyakorlat, </w:t>
      </w:r>
      <w:r>
        <w:rPr>
          <w:rFonts w:ascii="Times New Roman" w:eastAsia="Times New Roman" w:hAnsi="Times New Roman" w:cs="Times New Roman"/>
          <w:bCs/>
        </w:rPr>
        <w:t>33</w:t>
      </w:r>
      <w:r w:rsidRPr="006A233B">
        <w:rPr>
          <w:rFonts w:ascii="Times New Roman" w:eastAsia="Times New Roman" w:hAnsi="Times New Roman" w:cs="Times New Roman"/>
          <w:bCs/>
        </w:rPr>
        <w:t xml:space="preserve"> % elmélet</w:t>
      </w:r>
    </w:p>
    <w:p w:rsidR="00D50C2E" w:rsidRPr="006A233B" w:rsidRDefault="00D50C2E" w:rsidP="00980876">
      <w:pPr>
        <w:widowControl w:val="0"/>
        <w:numPr>
          <w:ilvl w:val="0"/>
          <w:numId w:val="362"/>
        </w:numPr>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bCs/>
        </w:rPr>
        <w:t>A szak(ok), szakirányok/specializációk megnevezése (ahol oktatják):</w:t>
      </w:r>
      <w:r w:rsidRPr="006A233B">
        <w:rPr>
          <w:rFonts w:ascii="Times New Roman" w:eastAsia="Times New Roman" w:hAnsi="Times New Roman" w:cs="Times New Roman"/>
          <w:bCs/>
        </w:rPr>
        <w:t xml:space="preserve"> </w:t>
      </w:r>
      <w:r>
        <w:rPr>
          <w:rFonts w:ascii="Times New Roman" w:hAnsi="Times New Roman" w:cs="Times New Roman"/>
          <w:bCs/>
        </w:rPr>
        <w:t>Katonai logisztika alapképzési szak, Katonai pénzügyi specializáció</w:t>
      </w:r>
    </w:p>
    <w:p w:rsidR="00D50C2E" w:rsidRPr="006A233B" w:rsidRDefault="00D50C2E" w:rsidP="00980876">
      <w:pPr>
        <w:widowControl w:val="0"/>
        <w:numPr>
          <w:ilvl w:val="0"/>
          <w:numId w:val="362"/>
        </w:numPr>
        <w:tabs>
          <w:tab w:val="num" w:pos="567"/>
        </w:tabs>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bCs/>
        </w:rPr>
        <w:t xml:space="preserve">Az oktatásért felelős oktatási szervezeti egység megnevezése: </w:t>
      </w:r>
      <w:r w:rsidRPr="006A233B">
        <w:rPr>
          <w:rFonts w:ascii="Times New Roman" w:hAnsi="Times New Roman" w:cs="Times New Roman"/>
          <w:bCs/>
        </w:rPr>
        <w:t>NKE HHK Had</w:t>
      </w:r>
      <w:r>
        <w:rPr>
          <w:rFonts w:ascii="Times New Roman" w:hAnsi="Times New Roman" w:cs="Times New Roman"/>
          <w:bCs/>
        </w:rPr>
        <w:t>táp, Pénzügyi és Katonai Közlekedési Tanszék</w:t>
      </w:r>
    </w:p>
    <w:p w:rsidR="00D50C2E" w:rsidRPr="006A233B" w:rsidRDefault="00D50C2E" w:rsidP="00980876">
      <w:pPr>
        <w:widowControl w:val="0"/>
        <w:numPr>
          <w:ilvl w:val="0"/>
          <w:numId w:val="362"/>
        </w:numPr>
        <w:tabs>
          <w:tab w:val="num" w:pos="567"/>
        </w:tabs>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bCs/>
        </w:rPr>
        <w:t>A tantárgyfelelős oktató neve, beosztása, tudományos fokozata:</w:t>
      </w:r>
      <w:r w:rsidRPr="006A233B">
        <w:rPr>
          <w:rFonts w:ascii="Times New Roman" w:eastAsia="Times New Roman" w:hAnsi="Times New Roman" w:cs="Times New Roman"/>
          <w:bCs/>
        </w:rPr>
        <w:t xml:space="preserve"> </w:t>
      </w:r>
      <w:r>
        <w:rPr>
          <w:rFonts w:ascii="Times New Roman" w:eastAsia="Times New Roman" w:hAnsi="Times New Roman" w:cs="Times New Roman"/>
          <w:bCs/>
        </w:rPr>
        <w:t>Dr. Gregóczky Etelka, egyetemi docens, (PhD)</w:t>
      </w:r>
    </w:p>
    <w:p w:rsidR="00D50C2E" w:rsidRPr="006A233B" w:rsidRDefault="00D50C2E" w:rsidP="00980876">
      <w:pPr>
        <w:widowControl w:val="0"/>
        <w:numPr>
          <w:ilvl w:val="0"/>
          <w:numId w:val="362"/>
        </w:numPr>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bCs/>
        </w:rPr>
        <w:t>A tanórák száma és típusa</w:t>
      </w:r>
    </w:p>
    <w:p w:rsidR="00D50C2E" w:rsidRPr="006A233B" w:rsidRDefault="00D50C2E" w:rsidP="00980876">
      <w:pPr>
        <w:widowControl w:val="0"/>
        <w:numPr>
          <w:ilvl w:val="1"/>
          <w:numId w:val="362"/>
        </w:numPr>
        <w:tabs>
          <w:tab w:val="clear" w:pos="3977"/>
          <w:tab w:val="num" w:pos="709"/>
          <w:tab w:val="num" w:pos="2069"/>
        </w:tabs>
        <w:spacing w:before="120" w:after="120" w:line="240" w:lineRule="auto"/>
        <w:ind w:left="851" w:hanging="425"/>
        <w:jc w:val="both"/>
        <w:rPr>
          <w:rFonts w:ascii="Times New Roman" w:eastAsia="Times New Roman" w:hAnsi="Times New Roman" w:cs="Times New Roman"/>
          <w:bCs/>
        </w:rPr>
      </w:pPr>
      <w:r w:rsidRPr="006A233B">
        <w:rPr>
          <w:rFonts w:ascii="Times New Roman" w:eastAsia="Times New Roman" w:hAnsi="Times New Roman" w:cs="Times New Roman"/>
          <w:bCs/>
        </w:rPr>
        <w:t>össz óraszám/félév:</w:t>
      </w:r>
    </w:p>
    <w:p w:rsidR="00D50C2E" w:rsidRPr="006A233B" w:rsidRDefault="00D50C2E" w:rsidP="00980876">
      <w:pPr>
        <w:widowControl w:val="0"/>
        <w:numPr>
          <w:ilvl w:val="2"/>
          <w:numId w:val="362"/>
        </w:numPr>
        <w:tabs>
          <w:tab w:val="num" w:pos="709"/>
          <w:tab w:val="num" w:pos="1134"/>
        </w:tabs>
        <w:spacing w:before="120" w:after="120" w:line="240" w:lineRule="auto"/>
        <w:ind w:left="993" w:hanging="425"/>
        <w:jc w:val="both"/>
        <w:rPr>
          <w:rFonts w:ascii="Times New Roman" w:eastAsia="Times New Roman" w:hAnsi="Times New Roman" w:cs="Times New Roman"/>
          <w:bCs/>
        </w:rPr>
      </w:pPr>
      <w:r w:rsidRPr="006A233B">
        <w:rPr>
          <w:rFonts w:ascii="Times New Roman" w:eastAsia="Times New Roman" w:hAnsi="Times New Roman" w:cs="Times New Roman"/>
          <w:bCs/>
        </w:rPr>
        <w:t xml:space="preserve">nappali munkarend: </w:t>
      </w:r>
      <w:r>
        <w:rPr>
          <w:rFonts w:ascii="Times New Roman" w:eastAsia="Times New Roman" w:hAnsi="Times New Roman" w:cs="Times New Roman"/>
          <w:bCs/>
        </w:rPr>
        <w:t>42</w:t>
      </w:r>
      <w:r w:rsidRPr="006A233B">
        <w:rPr>
          <w:rFonts w:ascii="Times New Roman" w:eastAsia="Times New Roman" w:hAnsi="Times New Roman" w:cs="Times New Roman"/>
          <w:bCs/>
        </w:rPr>
        <w:t xml:space="preserve"> (</w:t>
      </w:r>
      <w:r>
        <w:rPr>
          <w:rFonts w:ascii="Times New Roman" w:eastAsia="Times New Roman" w:hAnsi="Times New Roman" w:cs="Times New Roman"/>
          <w:bCs/>
        </w:rPr>
        <w:t>14</w:t>
      </w:r>
      <w:r w:rsidRPr="006A233B">
        <w:rPr>
          <w:rFonts w:ascii="Times New Roman" w:eastAsia="Times New Roman" w:hAnsi="Times New Roman" w:cs="Times New Roman"/>
          <w:bCs/>
        </w:rPr>
        <w:t xml:space="preserve"> EA + 0 SZ + </w:t>
      </w:r>
      <w:r>
        <w:rPr>
          <w:rFonts w:ascii="Times New Roman" w:eastAsia="Times New Roman" w:hAnsi="Times New Roman" w:cs="Times New Roman"/>
          <w:bCs/>
        </w:rPr>
        <w:t>28</w:t>
      </w:r>
      <w:r w:rsidRPr="006A233B">
        <w:rPr>
          <w:rFonts w:ascii="Times New Roman" w:eastAsia="Times New Roman" w:hAnsi="Times New Roman" w:cs="Times New Roman"/>
          <w:bCs/>
        </w:rPr>
        <w:t xml:space="preserve"> GY)</w:t>
      </w:r>
    </w:p>
    <w:p w:rsidR="00D50C2E" w:rsidRPr="006A233B" w:rsidRDefault="00D50C2E" w:rsidP="00980876">
      <w:pPr>
        <w:widowControl w:val="0"/>
        <w:numPr>
          <w:ilvl w:val="2"/>
          <w:numId w:val="362"/>
        </w:numPr>
        <w:tabs>
          <w:tab w:val="num" w:pos="709"/>
          <w:tab w:val="num" w:pos="1134"/>
        </w:tabs>
        <w:spacing w:before="120" w:after="120" w:line="240" w:lineRule="auto"/>
        <w:ind w:left="993" w:hanging="425"/>
        <w:jc w:val="both"/>
        <w:rPr>
          <w:rFonts w:ascii="Times New Roman" w:eastAsia="Times New Roman" w:hAnsi="Times New Roman" w:cs="Times New Roman"/>
          <w:bCs/>
        </w:rPr>
      </w:pPr>
      <w:r w:rsidRPr="006A233B">
        <w:rPr>
          <w:rFonts w:ascii="Times New Roman" w:eastAsia="Times New Roman" w:hAnsi="Times New Roman" w:cs="Times New Roman"/>
          <w:bCs/>
        </w:rPr>
        <w:t xml:space="preserve">levelező munkarend: </w:t>
      </w:r>
      <w:r>
        <w:rPr>
          <w:rFonts w:ascii="Times New Roman" w:eastAsia="Times New Roman" w:hAnsi="Times New Roman" w:cs="Times New Roman"/>
          <w:bCs/>
        </w:rPr>
        <w:t>-</w:t>
      </w:r>
    </w:p>
    <w:p w:rsidR="00D50C2E" w:rsidRPr="006A233B" w:rsidRDefault="00D50C2E" w:rsidP="00980876">
      <w:pPr>
        <w:widowControl w:val="0"/>
        <w:numPr>
          <w:ilvl w:val="1"/>
          <w:numId w:val="362"/>
        </w:numPr>
        <w:tabs>
          <w:tab w:val="clear" w:pos="3977"/>
          <w:tab w:val="num" w:pos="709"/>
          <w:tab w:val="num" w:pos="2069"/>
        </w:tabs>
        <w:spacing w:before="120" w:after="120" w:line="240" w:lineRule="auto"/>
        <w:ind w:left="851" w:hanging="425"/>
        <w:jc w:val="both"/>
        <w:rPr>
          <w:rFonts w:ascii="Times New Roman" w:eastAsia="Times New Roman" w:hAnsi="Times New Roman" w:cs="Times New Roman"/>
          <w:bCs/>
        </w:rPr>
      </w:pPr>
      <w:r w:rsidRPr="006A233B">
        <w:rPr>
          <w:rFonts w:ascii="Times New Roman" w:eastAsia="Times New Roman" w:hAnsi="Times New Roman" w:cs="Times New Roman"/>
          <w:bCs/>
        </w:rPr>
        <w:t xml:space="preserve">heti óraszám - nappali munkarend: </w:t>
      </w:r>
      <w:r>
        <w:rPr>
          <w:rFonts w:ascii="Times New Roman" w:eastAsia="Times New Roman" w:hAnsi="Times New Roman" w:cs="Times New Roman"/>
          <w:bCs/>
        </w:rPr>
        <w:t>2</w:t>
      </w:r>
    </w:p>
    <w:p w:rsidR="00D50C2E" w:rsidRPr="006A233B" w:rsidRDefault="00D50C2E" w:rsidP="00980876">
      <w:pPr>
        <w:widowControl w:val="0"/>
        <w:numPr>
          <w:ilvl w:val="1"/>
          <w:numId w:val="362"/>
        </w:numPr>
        <w:tabs>
          <w:tab w:val="clear" w:pos="3977"/>
          <w:tab w:val="num" w:pos="709"/>
          <w:tab w:val="num" w:pos="2069"/>
        </w:tabs>
        <w:spacing w:before="120" w:after="120" w:line="240" w:lineRule="auto"/>
        <w:ind w:left="851" w:hanging="425"/>
        <w:jc w:val="both"/>
        <w:rPr>
          <w:rFonts w:ascii="Times New Roman" w:eastAsia="Times New Roman" w:hAnsi="Times New Roman" w:cs="Times New Roman"/>
          <w:bCs/>
        </w:rPr>
      </w:pPr>
      <w:r w:rsidRPr="006A233B">
        <w:rPr>
          <w:rFonts w:ascii="Times New Roman" w:hAnsi="Times New Roman" w:cs="Times New Roman"/>
        </w:rPr>
        <w:t>Az ismeret átadásában alkalmazandó további sajátos módok, jellemzők:</w:t>
      </w:r>
      <w:r w:rsidRPr="006A233B">
        <w:rPr>
          <w:rFonts w:ascii="Times New Roman" w:hAnsi="Times New Roman" w:cs="Times New Roman"/>
          <w:i/>
        </w:rPr>
        <w:t xml:space="preserve"> –</w:t>
      </w:r>
    </w:p>
    <w:p w:rsidR="00D50C2E" w:rsidRPr="006A233B" w:rsidRDefault="00D50C2E" w:rsidP="00980876">
      <w:pPr>
        <w:widowControl w:val="0"/>
        <w:numPr>
          <w:ilvl w:val="0"/>
          <w:numId w:val="362"/>
        </w:numPr>
        <w:tabs>
          <w:tab w:val="clear" w:pos="720"/>
        </w:tabs>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bCs/>
        </w:rPr>
        <w:t>A tantárgy szakmai tartalma (magyarul):</w:t>
      </w:r>
      <w:r w:rsidRPr="006A233B">
        <w:rPr>
          <w:rFonts w:ascii="Times New Roman" w:eastAsia="Times New Roman" w:hAnsi="Times New Roman" w:cs="Times New Roman"/>
          <w:bCs/>
        </w:rPr>
        <w:t xml:space="preserve"> </w:t>
      </w:r>
      <w:r w:rsidRPr="00E15171">
        <w:rPr>
          <w:rFonts w:ascii="Times New Roman" w:hAnsi="Times New Roman" w:cs="Times New Roman"/>
          <w:bCs/>
        </w:rPr>
        <w:t>A tantárgy a</w:t>
      </w:r>
      <w:r>
        <w:rPr>
          <w:rFonts w:ascii="Times New Roman" w:hAnsi="Times New Roman" w:cs="Times New Roman"/>
          <w:bCs/>
        </w:rPr>
        <w:t xml:space="preserve"> hazai adórendszerrel, a hazai adójogszabályok helyes értelmezésével foglalkozik.</w:t>
      </w:r>
    </w:p>
    <w:p w:rsidR="00D50C2E" w:rsidRPr="00E90621" w:rsidRDefault="00D50C2E" w:rsidP="00D50C2E">
      <w:pPr>
        <w:widowControl w:val="0"/>
        <w:spacing w:before="120" w:after="120" w:line="240" w:lineRule="auto"/>
        <w:ind w:left="426"/>
        <w:jc w:val="both"/>
        <w:rPr>
          <w:rFonts w:ascii="Times New Roman" w:hAnsi="Times New Roman" w:cs="Times New Roman"/>
          <w:bCs/>
          <w:lang w:val="en-US"/>
        </w:rPr>
      </w:pPr>
      <w:r w:rsidRPr="006A233B">
        <w:rPr>
          <w:rFonts w:ascii="Times New Roman" w:eastAsia="Times New Roman" w:hAnsi="Times New Roman" w:cs="Times New Roman"/>
          <w:b/>
          <w:bCs/>
        </w:rPr>
        <w:t>A tantárgy szakmai tartalma (angolul) (</w:t>
      </w:r>
      <w:r w:rsidRPr="006A233B">
        <w:rPr>
          <w:rFonts w:ascii="Times New Roman" w:eastAsia="Times New Roman" w:hAnsi="Times New Roman" w:cs="Times New Roman"/>
          <w:b/>
          <w:bCs/>
          <w:lang w:val="en-US"/>
        </w:rPr>
        <w:t>Course description</w:t>
      </w:r>
      <w:r w:rsidRPr="006A233B">
        <w:rPr>
          <w:rFonts w:ascii="Times New Roman" w:eastAsia="Times New Roman" w:hAnsi="Times New Roman" w:cs="Times New Roman"/>
          <w:b/>
          <w:bCs/>
        </w:rPr>
        <w:t xml:space="preserve">): </w:t>
      </w:r>
      <w:r w:rsidRPr="00E15171">
        <w:rPr>
          <w:rFonts w:ascii="Times New Roman" w:hAnsi="Times New Roman" w:cs="Times New Roman"/>
          <w:bCs/>
          <w:lang w:val="en-US"/>
        </w:rPr>
        <w:t>This subject deals with</w:t>
      </w:r>
      <w:r>
        <w:rPr>
          <w:rFonts w:ascii="Times New Roman" w:hAnsi="Times New Roman" w:cs="Times New Roman"/>
          <w:bCs/>
          <w:lang w:val="en-US"/>
        </w:rPr>
        <w:t xml:space="preserve"> national</w:t>
      </w:r>
      <w:r w:rsidRPr="00E15171">
        <w:rPr>
          <w:rFonts w:ascii="Times New Roman" w:hAnsi="Times New Roman" w:cs="Times New Roman"/>
          <w:bCs/>
          <w:lang w:val="en-US"/>
        </w:rPr>
        <w:t xml:space="preserve"> </w:t>
      </w:r>
      <w:r>
        <w:rPr>
          <w:rFonts w:ascii="Times New Roman" w:hAnsi="Times New Roman" w:cs="Times New Roman"/>
          <w:bCs/>
          <w:lang w:val="en-US"/>
        </w:rPr>
        <w:t>tax system and the correct interpretation of tax legislations.</w:t>
      </w:r>
    </w:p>
    <w:p w:rsidR="00D50C2E" w:rsidRPr="00E90621" w:rsidRDefault="00D50C2E" w:rsidP="00980876">
      <w:pPr>
        <w:pStyle w:val="Listaszerbekezds"/>
        <w:widowControl w:val="0"/>
        <w:numPr>
          <w:ilvl w:val="0"/>
          <w:numId w:val="362"/>
        </w:numPr>
        <w:tabs>
          <w:tab w:val="clear" w:pos="720"/>
          <w:tab w:val="num" w:pos="426"/>
        </w:tabs>
        <w:spacing w:before="120" w:after="120" w:line="240" w:lineRule="auto"/>
        <w:jc w:val="both"/>
        <w:rPr>
          <w:rFonts w:ascii="Times New Roman" w:hAnsi="Times New Roman" w:cs="Times New Roman"/>
          <w:bCs/>
          <w:lang w:val="en-US"/>
        </w:rPr>
      </w:pPr>
      <w:r w:rsidRPr="00E90621">
        <w:rPr>
          <w:rFonts w:ascii="Times New Roman" w:eastAsia="Times New Roman" w:hAnsi="Times New Roman" w:cs="Times New Roman"/>
          <w:b/>
          <w:bCs/>
        </w:rPr>
        <w:t>Elérendő kompetenciák (magyarul):</w:t>
      </w:r>
      <w:r w:rsidRPr="00E90621">
        <w:rPr>
          <w:rFonts w:ascii="Times New Roman" w:eastAsia="Times New Roman" w:hAnsi="Times New Roman" w:cs="Times New Roman"/>
          <w:bCs/>
        </w:rPr>
        <w:t xml:space="preserve"> </w:t>
      </w:r>
    </w:p>
    <w:p w:rsidR="00D50C2E" w:rsidRPr="00DC607B" w:rsidRDefault="00D50C2E" w:rsidP="00D50C2E">
      <w:pPr>
        <w:widowControl w:val="0"/>
        <w:spacing w:before="120" w:after="0" w:line="240" w:lineRule="auto"/>
        <w:ind w:left="425"/>
        <w:jc w:val="both"/>
        <w:rPr>
          <w:rFonts w:ascii="Times New Roman" w:eastAsia="Times New Roman" w:hAnsi="Times New Roman" w:cs="Times New Roman"/>
          <w:bCs/>
        </w:rPr>
      </w:pPr>
      <w:r w:rsidRPr="00DC607B">
        <w:rPr>
          <w:rFonts w:ascii="Times New Roman" w:eastAsia="Times New Roman" w:hAnsi="Times New Roman" w:cs="Times New Roman"/>
          <w:b/>
          <w:bCs/>
        </w:rPr>
        <w:t>Tudása:</w:t>
      </w:r>
    </w:p>
    <w:p w:rsidR="00D50C2E" w:rsidRDefault="00D50C2E" w:rsidP="00980876">
      <w:pPr>
        <w:pStyle w:val="Listaszerbekezds"/>
        <w:widowControl w:val="0"/>
        <w:numPr>
          <w:ilvl w:val="0"/>
          <w:numId w:val="355"/>
        </w:numPr>
        <w:spacing w:after="0" w:line="240" w:lineRule="auto"/>
        <w:ind w:left="992" w:hanging="357"/>
        <w:jc w:val="both"/>
        <w:rPr>
          <w:rFonts w:ascii="Times New Roman" w:hAnsi="Times New Roman" w:cs="Times New Roman"/>
        </w:rPr>
      </w:pPr>
      <w:r w:rsidRPr="00587989">
        <w:rPr>
          <w:rFonts w:ascii="Times New Roman" w:hAnsi="Times New Roman" w:cs="Times New Roman"/>
        </w:rPr>
        <w:t>Ismeri a gazdaság és a piacok működésének alapjait.</w:t>
      </w:r>
    </w:p>
    <w:p w:rsidR="00D50C2E" w:rsidRPr="00587989" w:rsidRDefault="00D50C2E" w:rsidP="00980876">
      <w:pPr>
        <w:pStyle w:val="Listaszerbekezds"/>
        <w:widowControl w:val="0"/>
        <w:numPr>
          <w:ilvl w:val="0"/>
          <w:numId w:val="355"/>
        </w:numPr>
        <w:spacing w:after="0" w:line="240" w:lineRule="auto"/>
        <w:ind w:left="992" w:hanging="357"/>
        <w:jc w:val="both"/>
        <w:rPr>
          <w:rFonts w:ascii="Times New Roman" w:hAnsi="Times New Roman" w:cs="Times New Roman"/>
        </w:rPr>
      </w:pPr>
      <w:r w:rsidRPr="00587989">
        <w:rPr>
          <w:rFonts w:ascii="Times New Roman" w:hAnsi="Times New Roman" w:cs="Times New Roman"/>
        </w:rPr>
        <w:t>Ismeri az adózás rendszerének alapjait.</w:t>
      </w:r>
    </w:p>
    <w:p w:rsidR="00D50C2E" w:rsidRPr="00DC607B" w:rsidRDefault="00D50C2E" w:rsidP="00D50C2E">
      <w:pPr>
        <w:widowControl w:val="0"/>
        <w:spacing w:before="120" w:after="0" w:line="240" w:lineRule="auto"/>
        <w:ind w:left="425"/>
        <w:jc w:val="both"/>
        <w:rPr>
          <w:rFonts w:ascii="Times New Roman" w:eastAsia="Times New Roman" w:hAnsi="Times New Roman" w:cs="Times New Roman"/>
          <w:bCs/>
        </w:rPr>
      </w:pPr>
      <w:r w:rsidRPr="00DC607B">
        <w:rPr>
          <w:rFonts w:ascii="Times New Roman" w:eastAsia="Times New Roman" w:hAnsi="Times New Roman" w:cs="Times New Roman"/>
          <w:b/>
          <w:bCs/>
        </w:rPr>
        <w:t>Képességei:</w:t>
      </w:r>
      <w:r w:rsidRPr="00DC607B">
        <w:rPr>
          <w:rFonts w:ascii="Times New Roman" w:eastAsia="Times New Roman" w:hAnsi="Times New Roman" w:cs="Times New Roman"/>
          <w:bCs/>
        </w:rPr>
        <w:t xml:space="preserve"> </w:t>
      </w:r>
    </w:p>
    <w:p w:rsidR="00D50C2E" w:rsidRDefault="00D50C2E" w:rsidP="00980876">
      <w:pPr>
        <w:pStyle w:val="Listaszerbekezds"/>
        <w:widowControl w:val="0"/>
        <w:numPr>
          <w:ilvl w:val="0"/>
          <w:numId w:val="356"/>
        </w:numPr>
        <w:spacing w:after="0" w:line="240" w:lineRule="auto"/>
        <w:ind w:left="992" w:hanging="357"/>
        <w:jc w:val="both"/>
        <w:rPr>
          <w:rFonts w:ascii="Times New Roman" w:hAnsi="Times New Roman" w:cs="Times New Roman"/>
        </w:rPr>
      </w:pPr>
      <w:r w:rsidRPr="00587989">
        <w:rPr>
          <w:rFonts w:ascii="Times New Roman" w:hAnsi="Times New Roman" w:cs="Times New Roman"/>
        </w:rPr>
        <w:t>Képes pontos és precíz logisztikai, illetve gazdálkodási számvetéseket készíteni.</w:t>
      </w:r>
    </w:p>
    <w:p w:rsidR="00D50C2E" w:rsidRDefault="00D50C2E" w:rsidP="00980876">
      <w:pPr>
        <w:pStyle w:val="Listaszerbekezds"/>
        <w:widowControl w:val="0"/>
        <w:numPr>
          <w:ilvl w:val="0"/>
          <w:numId w:val="356"/>
        </w:numPr>
        <w:spacing w:after="0" w:line="240" w:lineRule="auto"/>
        <w:ind w:left="992" w:hanging="357"/>
        <w:jc w:val="both"/>
        <w:rPr>
          <w:rFonts w:ascii="Times New Roman" w:hAnsi="Times New Roman" w:cs="Times New Roman"/>
        </w:rPr>
      </w:pPr>
      <w:r w:rsidRPr="00587989">
        <w:rPr>
          <w:rFonts w:ascii="Times New Roman" w:hAnsi="Times New Roman" w:cs="Times New Roman"/>
        </w:rPr>
        <w:t>Képes gazdálkodási feladatok alapszintű tervezésére, szervezésére, irányítására és az ebből adódó tevékenységek gazdasági elemzésinek végrehajtására.</w:t>
      </w:r>
    </w:p>
    <w:p w:rsidR="00D50C2E" w:rsidRPr="00587989" w:rsidRDefault="00D50C2E" w:rsidP="00980876">
      <w:pPr>
        <w:pStyle w:val="Listaszerbekezds"/>
        <w:widowControl w:val="0"/>
        <w:numPr>
          <w:ilvl w:val="0"/>
          <w:numId w:val="356"/>
        </w:numPr>
        <w:spacing w:after="0" w:line="240" w:lineRule="auto"/>
        <w:ind w:left="992" w:hanging="357"/>
        <w:jc w:val="both"/>
        <w:rPr>
          <w:rFonts w:ascii="Times New Roman" w:hAnsi="Times New Roman" w:cs="Times New Roman"/>
        </w:rPr>
      </w:pPr>
      <w:r w:rsidRPr="00587989">
        <w:rPr>
          <w:rFonts w:ascii="Times New Roman" w:hAnsi="Times New Roman" w:cs="Times New Roman"/>
        </w:rPr>
        <w:t>Képes egység szintű közbeszerzéseket lefolytatni.</w:t>
      </w:r>
    </w:p>
    <w:p w:rsidR="00D50C2E" w:rsidRPr="00DC607B" w:rsidRDefault="00D50C2E" w:rsidP="00D50C2E">
      <w:pPr>
        <w:widowControl w:val="0"/>
        <w:spacing w:before="120" w:after="0" w:line="240" w:lineRule="auto"/>
        <w:ind w:left="425"/>
        <w:jc w:val="both"/>
        <w:rPr>
          <w:rFonts w:ascii="Times New Roman" w:eastAsia="Times New Roman" w:hAnsi="Times New Roman" w:cs="Times New Roman"/>
          <w:bCs/>
        </w:rPr>
      </w:pPr>
      <w:r w:rsidRPr="00DC607B">
        <w:rPr>
          <w:rFonts w:ascii="Times New Roman" w:eastAsia="Times New Roman" w:hAnsi="Times New Roman" w:cs="Times New Roman"/>
          <w:b/>
          <w:bCs/>
        </w:rPr>
        <w:t>Attitűdje:</w:t>
      </w:r>
      <w:r w:rsidRPr="00DC607B">
        <w:rPr>
          <w:rFonts w:ascii="Times New Roman" w:eastAsia="Times New Roman" w:hAnsi="Times New Roman" w:cs="Times New Roman"/>
          <w:bCs/>
        </w:rPr>
        <w:t xml:space="preserve"> </w:t>
      </w:r>
    </w:p>
    <w:p w:rsidR="00D50C2E" w:rsidRDefault="00D50C2E" w:rsidP="00980876">
      <w:pPr>
        <w:pStyle w:val="Listaszerbekezds"/>
        <w:numPr>
          <w:ilvl w:val="0"/>
          <w:numId w:val="357"/>
        </w:numPr>
        <w:autoSpaceDE w:val="0"/>
        <w:autoSpaceDN w:val="0"/>
        <w:adjustRightInd w:val="0"/>
        <w:spacing w:after="0" w:line="240" w:lineRule="auto"/>
        <w:ind w:left="992" w:hanging="357"/>
        <w:jc w:val="both"/>
        <w:rPr>
          <w:rFonts w:ascii="Times New Roman" w:hAnsi="Times New Roman" w:cs="Times New Roman"/>
        </w:rPr>
      </w:pPr>
      <w:r w:rsidRPr="00587989">
        <w:rPr>
          <w:rFonts w:ascii="Times New Roman" w:hAnsi="Times New Roman" w:cs="Times New Roman"/>
        </w:rPr>
        <w:t>A minőségi szakmai munkavégzés iránt elkötelezett, azt a pontosságra való törekvés jellemzi.</w:t>
      </w:r>
    </w:p>
    <w:p w:rsidR="00D50C2E" w:rsidRDefault="00D50C2E" w:rsidP="00980876">
      <w:pPr>
        <w:pStyle w:val="Listaszerbekezds"/>
        <w:numPr>
          <w:ilvl w:val="0"/>
          <w:numId w:val="357"/>
        </w:numPr>
        <w:autoSpaceDE w:val="0"/>
        <w:autoSpaceDN w:val="0"/>
        <w:adjustRightInd w:val="0"/>
        <w:spacing w:after="0" w:line="240" w:lineRule="auto"/>
        <w:ind w:left="992" w:hanging="357"/>
        <w:jc w:val="both"/>
        <w:rPr>
          <w:rFonts w:ascii="Times New Roman" w:hAnsi="Times New Roman" w:cs="Times New Roman"/>
        </w:rPr>
      </w:pPr>
      <w:r w:rsidRPr="00587989">
        <w:rPr>
          <w:rFonts w:ascii="Times New Roman" w:hAnsi="Times New Roman" w:cs="Times New Roman"/>
        </w:rPr>
        <w:t>Felismeri a rendszerszintű tevékenységben rejlő értékeket, törekszik a logisztikai tevékenységek közötti kapcsolatok értelmezésére.</w:t>
      </w:r>
    </w:p>
    <w:p w:rsidR="00D50C2E" w:rsidRPr="00587989" w:rsidRDefault="00D50C2E" w:rsidP="00980876">
      <w:pPr>
        <w:pStyle w:val="Listaszerbekezds"/>
        <w:numPr>
          <w:ilvl w:val="0"/>
          <w:numId w:val="357"/>
        </w:numPr>
        <w:autoSpaceDE w:val="0"/>
        <w:autoSpaceDN w:val="0"/>
        <w:adjustRightInd w:val="0"/>
        <w:spacing w:after="0" w:line="240" w:lineRule="auto"/>
        <w:ind w:left="992" w:hanging="357"/>
        <w:jc w:val="both"/>
        <w:rPr>
          <w:rFonts w:ascii="Times New Roman" w:hAnsi="Times New Roman" w:cs="Times New Roman"/>
        </w:rPr>
      </w:pPr>
      <w:r w:rsidRPr="00587989">
        <w:rPr>
          <w:rFonts w:ascii="Times New Roman" w:hAnsi="Times New Roman" w:cs="Times New Roman"/>
        </w:rPr>
        <w:t>Tevékenységét a hatékonyság központú szemlélet jellemzi.</w:t>
      </w:r>
    </w:p>
    <w:p w:rsidR="00D50C2E" w:rsidRPr="006A233B" w:rsidRDefault="00D50C2E" w:rsidP="00D50C2E">
      <w:pPr>
        <w:widowControl w:val="0"/>
        <w:spacing w:before="120" w:after="0" w:line="240" w:lineRule="auto"/>
        <w:ind w:left="425"/>
        <w:jc w:val="both"/>
        <w:rPr>
          <w:rFonts w:ascii="Times New Roman" w:eastAsia="Times New Roman" w:hAnsi="Times New Roman" w:cs="Times New Roman"/>
          <w:bCs/>
        </w:rPr>
      </w:pPr>
      <w:r w:rsidRPr="006A233B">
        <w:rPr>
          <w:rFonts w:ascii="Times New Roman" w:eastAsia="Times New Roman" w:hAnsi="Times New Roman" w:cs="Times New Roman"/>
          <w:b/>
          <w:bCs/>
        </w:rPr>
        <w:t>Autonómiája és felelőssége:</w:t>
      </w:r>
    </w:p>
    <w:p w:rsidR="00D50C2E" w:rsidRDefault="00D50C2E" w:rsidP="00980876">
      <w:pPr>
        <w:pStyle w:val="Listaszerbekezds"/>
        <w:widowControl w:val="0"/>
        <w:numPr>
          <w:ilvl w:val="0"/>
          <w:numId w:val="358"/>
        </w:numPr>
        <w:spacing w:after="0" w:line="240" w:lineRule="auto"/>
        <w:ind w:left="992" w:hanging="357"/>
        <w:jc w:val="both"/>
        <w:rPr>
          <w:rFonts w:ascii="Times New Roman" w:hAnsi="Times New Roman" w:cs="Times New Roman"/>
        </w:rPr>
      </w:pPr>
      <w:r w:rsidRPr="00587989">
        <w:rPr>
          <w:rFonts w:ascii="Times New Roman" w:hAnsi="Times New Roman" w:cs="Times New Roman"/>
        </w:rPr>
        <w:t>Felelősséget vállal számvetéseinek pontosságáért.</w:t>
      </w:r>
    </w:p>
    <w:p w:rsidR="00D50C2E" w:rsidRPr="00587989" w:rsidRDefault="00D50C2E" w:rsidP="00980876">
      <w:pPr>
        <w:pStyle w:val="Listaszerbekezds"/>
        <w:widowControl w:val="0"/>
        <w:numPr>
          <w:ilvl w:val="0"/>
          <w:numId w:val="358"/>
        </w:numPr>
        <w:spacing w:after="0" w:line="240" w:lineRule="auto"/>
        <w:ind w:left="992" w:hanging="357"/>
        <w:jc w:val="both"/>
        <w:rPr>
          <w:rFonts w:ascii="Times New Roman" w:hAnsi="Times New Roman" w:cs="Times New Roman"/>
        </w:rPr>
      </w:pPr>
      <w:r w:rsidRPr="00587989">
        <w:rPr>
          <w:rFonts w:ascii="Times New Roman" w:hAnsi="Times New Roman" w:cs="Times New Roman"/>
        </w:rPr>
        <w:t xml:space="preserve">Felelősséget vállal az általa készített dokumentumok szakmai, jogszabályoknak való </w:t>
      </w:r>
      <w:r w:rsidRPr="00587989">
        <w:rPr>
          <w:rFonts w:ascii="Times New Roman" w:hAnsi="Times New Roman" w:cs="Times New Roman"/>
        </w:rPr>
        <w:lastRenderedPageBreak/>
        <w:t>maradéktalan megfelelőségért.</w:t>
      </w:r>
    </w:p>
    <w:p w:rsidR="00D50C2E" w:rsidRPr="004A67AB" w:rsidRDefault="00D50C2E" w:rsidP="00D50C2E">
      <w:pPr>
        <w:widowControl w:val="0"/>
        <w:spacing w:before="120" w:after="0" w:line="240" w:lineRule="auto"/>
        <w:ind w:left="425"/>
        <w:jc w:val="both"/>
        <w:rPr>
          <w:rFonts w:ascii="Times New Roman" w:eastAsia="Times New Roman" w:hAnsi="Times New Roman" w:cs="Times New Roman"/>
          <w:b/>
          <w:bCs/>
          <w:lang w:val="en-US"/>
        </w:rPr>
      </w:pPr>
      <w:r w:rsidRPr="006A233B">
        <w:rPr>
          <w:rFonts w:ascii="Times New Roman" w:eastAsia="Times New Roman" w:hAnsi="Times New Roman" w:cs="Times New Roman"/>
          <w:b/>
          <w:bCs/>
        </w:rPr>
        <w:t>Elérendő kompetenciák (angolul) (</w:t>
      </w:r>
      <w:r w:rsidRPr="006A233B">
        <w:rPr>
          <w:rFonts w:ascii="Times New Roman" w:eastAsia="Times New Roman" w:hAnsi="Times New Roman" w:cs="Times New Roman"/>
          <w:b/>
          <w:bCs/>
          <w:lang w:val="en-US"/>
        </w:rPr>
        <w:t xml:space="preserve">Competences – English): </w:t>
      </w:r>
    </w:p>
    <w:p w:rsidR="00D50C2E" w:rsidRDefault="00D50C2E" w:rsidP="00D50C2E">
      <w:pPr>
        <w:widowControl w:val="0"/>
        <w:spacing w:before="120" w:after="0" w:line="240" w:lineRule="auto"/>
        <w:ind w:left="425"/>
        <w:jc w:val="both"/>
        <w:rPr>
          <w:rFonts w:ascii="Times New Roman" w:eastAsia="Times New Roman" w:hAnsi="Times New Roman" w:cs="Times New Roman"/>
          <w:lang w:val="en-GB"/>
        </w:rPr>
      </w:pPr>
      <w:r w:rsidRPr="006A233B">
        <w:rPr>
          <w:rFonts w:ascii="Times New Roman" w:eastAsia="Times New Roman" w:hAnsi="Times New Roman" w:cs="Times New Roman"/>
          <w:b/>
          <w:lang w:val="en-GB"/>
        </w:rPr>
        <w:t>Knowledge</w:t>
      </w:r>
      <w:r w:rsidRPr="006A233B">
        <w:rPr>
          <w:rFonts w:ascii="Times New Roman" w:eastAsia="Times New Roman" w:hAnsi="Times New Roman" w:cs="Times New Roman"/>
          <w:lang w:val="en-GB"/>
        </w:rPr>
        <w:t xml:space="preserve">: </w:t>
      </w:r>
    </w:p>
    <w:p w:rsidR="00D50C2E" w:rsidRPr="00587989" w:rsidRDefault="00D50C2E" w:rsidP="00980876">
      <w:pPr>
        <w:pStyle w:val="Listaszerbekezds"/>
        <w:widowControl w:val="0"/>
        <w:numPr>
          <w:ilvl w:val="0"/>
          <w:numId w:val="359"/>
        </w:numPr>
        <w:spacing w:after="0" w:line="240" w:lineRule="auto"/>
        <w:ind w:left="992" w:hanging="357"/>
        <w:jc w:val="both"/>
        <w:rPr>
          <w:rFonts w:ascii="Times New Roman" w:eastAsia="Times New Roman" w:hAnsi="Times New Roman" w:cs="Times New Roman"/>
          <w:lang w:val="en-GB"/>
        </w:rPr>
      </w:pPr>
      <w:r w:rsidRPr="00587989">
        <w:rPr>
          <w:rFonts w:ascii="Times New Roman" w:eastAsia="Times New Roman" w:hAnsi="Times New Roman" w:cs="Times New Roman"/>
          <w:lang w:val="en-GB"/>
        </w:rPr>
        <w:t>To be able to familiar with market mechanisms and the fundamentals of economics.</w:t>
      </w:r>
    </w:p>
    <w:p w:rsidR="00D50C2E" w:rsidRPr="004A67AB" w:rsidRDefault="00D50C2E" w:rsidP="00D50C2E">
      <w:pPr>
        <w:widowControl w:val="0"/>
        <w:spacing w:after="0" w:line="240" w:lineRule="auto"/>
        <w:ind w:left="425"/>
        <w:jc w:val="both"/>
        <w:rPr>
          <w:rFonts w:ascii="Times New Roman" w:eastAsia="Times New Roman" w:hAnsi="Times New Roman" w:cs="Times New Roman"/>
          <w:lang w:val="en-GB"/>
        </w:rPr>
      </w:pPr>
      <w:r>
        <w:rPr>
          <w:rFonts w:ascii="Times New Roman" w:eastAsia="Times New Roman" w:hAnsi="Times New Roman" w:cs="Times New Roman"/>
          <w:lang w:val="en-GB"/>
        </w:rPr>
        <w:t>To be able to familiar with the fundamentals of system of taxation.</w:t>
      </w:r>
    </w:p>
    <w:p w:rsidR="00D50C2E" w:rsidRDefault="00D50C2E" w:rsidP="00D50C2E">
      <w:pPr>
        <w:widowControl w:val="0"/>
        <w:spacing w:before="120" w:after="0" w:line="240" w:lineRule="auto"/>
        <w:ind w:left="425"/>
        <w:jc w:val="both"/>
        <w:rPr>
          <w:rFonts w:ascii="Times New Roman" w:eastAsia="Times New Roman" w:hAnsi="Times New Roman" w:cs="Times New Roman"/>
          <w:lang w:val="en-GB"/>
        </w:rPr>
      </w:pPr>
      <w:r w:rsidRPr="006A233B">
        <w:rPr>
          <w:rFonts w:ascii="Times New Roman" w:eastAsia="Times New Roman" w:hAnsi="Times New Roman" w:cs="Times New Roman"/>
          <w:b/>
          <w:lang w:val="en-GB"/>
        </w:rPr>
        <w:t>Capabilities</w:t>
      </w:r>
      <w:r w:rsidRPr="006A233B">
        <w:rPr>
          <w:rFonts w:ascii="Times New Roman" w:eastAsia="Times New Roman" w:hAnsi="Times New Roman" w:cs="Times New Roman"/>
          <w:lang w:val="en-GB"/>
        </w:rPr>
        <w:t xml:space="preserve">: </w:t>
      </w:r>
    </w:p>
    <w:p w:rsidR="00D50C2E" w:rsidRDefault="00D50C2E" w:rsidP="00980876">
      <w:pPr>
        <w:pStyle w:val="Listaszerbekezds"/>
        <w:widowControl w:val="0"/>
        <w:numPr>
          <w:ilvl w:val="0"/>
          <w:numId w:val="359"/>
        </w:numPr>
        <w:spacing w:after="0" w:line="240" w:lineRule="auto"/>
        <w:ind w:left="992" w:hanging="357"/>
        <w:jc w:val="both"/>
        <w:rPr>
          <w:rFonts w:ascii="Times New Roman" w:eastAsia="Times New Roman" w:hAnsi="Times New Roman" w:cs="Times New Roman"/>
          <w:lang w:val="en-GB"/>
        </w:rPr>
      </w:pPr>
      <w:r w:rsidRPr="00587989">
        <w:rPr>
          <w:rFonts w:ascii="Times New Roman" w:eastAsia="Times New Roman" w:hAnsi="Times New Roman" w:cs="Times New Roman"/>
          <w:lang w:val="en-GB"/>
        </w:rPr>
        <w:t>To have ability to make accurate logistical and economic calculations.</w:t>
      </w:r>
    </w:p>
    <w:p w:rsidR="00D50C2E" w:rsidRDefault="00D50C2E" w:rsidP="00980876">
      <w:pPr>
        <w:pStyle w:val="Listaszerbekezds"/>
        <w:widowControl w:val="0"/>
        <w:numPr>
          <w:ilvl w:val="0"/>
          <w:numId w:val="359"/>
        </w:numPr>
        <w:spacing w:after="0" w:line="240" w:lineRule="auto"/>
        <w:ind w:left="992" w:hanging="357"/>
        <w:jc w:val="both"/>
        <w:rPr>
          <w:rFonts w:ascii="Times New Roman" w:eastAsia="Times New Roman" w:hAnsi="Times New Roman" w:cs="Times New Roman"/>
          <w:lang w:val="en-GB"/>
        </w:rPr>
      </w:pPr>
      <w:r w:rsidRPr="00587989">
        <w:rPr>
          <w:rFonts w:ascii="Times New Roman" w:eastAsia="Times New Roman" w:hAnsi="Times New Roman" w:cs="Times New Roman"/>
          <w:lang w:val="en-GB"/>
        </w:rPr>
        <w:t xml:space="preserve">To be able to plan, organise, control and evaluate management and financial tasks. </w:t>
      </w:r>
    </w:p>
    <w:p w:rsidR="00D50C2E" w:rsidRPr="00587989" w:rsidRDefault="00D50C2E" w:rsidP="00980876">
      <w:pPr>
        <w:pStyle w:val="Listaszerbekezds"/>
        <w:widowControl w:val="0"/>
        <w:numPr>
          <w:ilvl w:val="0"/>
          <w:numId w:val="359"/>
        </w:numPr>
        <w:spacing w:after="0" w:line="240" w:lineRule="auto"/>
        <w:ind w:left="992" w:hanging="357"/>
        <w:jc w:val="both"/>
        <w:rPr>
          <w:rFonts w:ascii="Times New Roman" w:eastAsia="Times New Roman" w:hAnsi="Times New Roman" w:cs="Times New Roman"/>
          <w:lang w:val="en-GB"/>
        </w:rPr>
      </w:pPr>
      <w:r w:rsidRPr="00587989">
        <w:rPr>
          <w:rFonts w:ascii="Times New Roman" w:eastAsia="Times New Roman" w:hAnsi="Times New Roman" w:cs="Times New Roman"/>
          <w:lang w:val="en-GB"/>
        </w:rPr>
        <w:t>To be able to execute public procurements on unit level.</w:t>
      </w:r>
    </w:p>
    <w:p w:rsidR="00D50C2E" w:rsidRDefault="00D50C2E" w:rsidP="00D50C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425"/>
        <w:jc w:val="both"/>
        <w:rPr>
          <w:rFonts w:ascii="Times New Roman" w:eastAsia="Times New Roman" w:hAnsi="Times New Roman" w:cs="Times New Roman"/>
          <w:lang w:val="en-GB"/>
        </w:rPr>
      </w:pPr>
      <w:r w:rsidRPr="006A233B">
        <w:rPr>
          <w:rFonts w:ascii="Times New Roman" w:eastAsia="Times New Roman" w:hAnsi="Times New Roman" w:cs="Times New Roman"/>
          <w:b/>
          <w:lang w:val="en-GB"/>
        </w:rPr>
        <w:t>Attitude:</w:t>
      </w:r>
      <w:r w:rsidRPr="006A233B">
        <w:rPr>
          <w:rFonts w:ascii="Times New Roman" w:eastAsia="Times New Roman" w:hAnsi="Times New Roman" w:cs="Times New Roman"/>
          <w:lang w:val="en-GB"/>
        </w:rPr>
        <w:t xml:space="preserve"> </w:t>
      </w:r>
    </w:p>
    <w:p w:rsidR="00D50C2E" w:rsidRDefault="00D50C2E" w:rsidP="00980876">
      <w:pPr>
        <w:pStyle w:val="Listaszerbekezds"/>
        <w:numPr>
          <w:ilvl w:val="0"/>
          <w:numId w:val="3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2" w:hanging="357"/>
        <w:jc w:val="both"/>
        <w:rPr>
          <w:rFonts w:ascii="Times New Roman" w:eastAsia="Times New Roman" w:hAnsi="Times New Roman" w:cs="Times New Roman"/>
          <w:lang w:val="en-GB"/>
        </w:rPr>
      </w:pPr>
      <w:r w:rsidRPr="00587989">
        <w:rPr>
          <w:rFonts w:ascii="Times New Roman" w:eastAsia="Times New Roman" w:hAnsi="Times New Roman" w:cs="Times New Roman"/>
          <w:lang w:val="en-GB"/>
        </w:rPr>
        <w:t>To be committed to high standard work and accuracy.</w:t>
      </w:r>
    </w:p>
    <w:p w:rsidR="00D50C2E" w:rsidRDefault="00D50C2E" w:rsidP="00980876">
      <w:pPr>
        <w:pStyle w:val="Listaszerbekezds"/>
        <w:numPr>
          <w:ilvl w:val="0"/>
          <w:numId w:val="3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2" w:hanging="357"/>
        <w:jc w:val="both"/>
        <w:rPr>
          <w:rFonts w:ascii="Times New Roman" w:eastAsia="Times New Roman" w:hAnsi="Times New Roman" w:cs="Times New Roman"/>
          <w:lang w:val="en-GB"/>
        </w:rPr>
      </w:pPr>
      <w:r w:rsidRPr="00587989">
        <w:rPr>
          <w:rFonts w:ascii="Times New Roman" w:eastAsia="Times New Roman" w:hAnsi="Times New Roman" w:cs="Times New Roman"/>
          <w:lang w:val="en-GB"/>
        </w:rPr>
        <w:t>To be able to recognize the advantages and opportunities offered by well-structured activities and to be seeking to understand the logical connections among logistic activities.</w:t>
      </w:r>
    </w:p>
    <w:p w:rsidR="00D50C2E" w:rsidRPr="00587989" w:rsidRDefault="00D50C2E" w:rsidP="00980876">
      <w:pPr>
        <w:pStyle w:val="Listaszerbekezds"/>
        <w:numPr>
          <w:ilvl w:val="0"/>
          <w:numId w:val="3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2" w:hanging="357"/>
        <w:jc w:val="both"/>
        <w:rPr>
          <w:rFonts w:ascii="Times New Roman" w:eastAsia="Times New Roman" w:hAnsi="Times New Roman" w:cs="Times New Roman"/>
          <w:lang w:val="en-GB"/>
        </w:rPr>
      </w:pPr>
      <w:r w:rsidRPr="00587989">
        <w:rPr>
          <w:rFonts w:ascii="Times New Roman" w:eastAsia="Times New Roman" w:hAnsi="Times New Roman" w:cs="Times New Roman"/>
          <w:lang w:val="en-GB"/>
        </w:rPr>
        <w:t xml:space="preserve">To be characterized by efficiency-based attitude. </w:t>
      </w:r>
    </w:p>
    <w:p w:rsidR="00D50C2E" w:rsidRDefault="00D50C2E" w:rsidP="00D50C2E">
      <w:pPr>
        <w:widowControl w:val="0"/>
        <w:spacing w:before="120" w:after="0" w:line="240" w:lineRule="auto"/>
        <w:ind w:left="425"/>
        <w:jc w:val="both"/>
        <w:rPr>
          <w:rFonts w:ascii="Times New Roman" w:eastAsia="Times New Roman" w:hAnsi="Times New Roman" w:cs="Times New Roman"/>
          <w:bCs/>
        </w:rPr>
      </w:pPr>
      <w:r w:rsidRPr="006A233B">
        <w:rPr>
          <w:rFonts w:ascii="Times New Roman" w:eastAsia="Times New Roman" w:hAnsi="Times New Roman" w:cs="Times New Roman"/>
          <w:b/>
          <w:lang w:val="en-GB"/>
        </w:rPr>
        <w:t xml:space="preserve">Autonomy and responsibility: </w:t>
      </w:r>
    </w:p>
    <w:p w:rsidR="00D50C2E" w:rsidRDefault="00D50C2E" w:rsidP="00980876">
      <w:pPr>
        <w:pStyle w:val="Listaszerbekezds"/>
        <w:widowControl w:val="0"/>
        <w:numPr>
          <w:ilvl w:val="0"/>
          <w:numId w:val="361"/>
        </w:numPr>
        <w:spacing w:after="0" w:line="240" w:lineRule="auto"/>
        <w:ind w:left="992" w:hanging="357"/>
        <w:jc w:val="both"/>
        <w:rPr>
          <w:rFonts w:ascii="Times New Roman" w:eastAsia="Times New Roman" w:hAnsi="Times New Roman" w:cs="Times New Roman"/>
          <w:bCs/>
          <w:lang w:val="en-US"/>
        </w:rPr>
      </w:pPr>
      <w:r w:rsidRPr="00587989">
        <w:rPr>
          <w:rFonts w:ascii="Times New Roman" w:eastAsia="Times New Roman" w:hAnsi="Times New Roman" w:cs="Times New Roman"/>
          <w:bCs/>
          <w:lang w:val="en-US"/>
        </w:rPr>
        <w:t>Take responsibility for the accuracy of the calculations.</w:t>
      </w:r>
    </w:p>
    <w:p w:rsidR="00D50C2E" w:rsidRPr="00587989" w:rsidRDefault="00D50C2E" w:rsidP="00980876">
      <w:pPr>
        <w:pStyle w:val="Listaszerbekezds"/>
        <w:widowControl w:val="0"/>
        <w:numPr>
          <w:ilvl w:val="0"/>
          <w:numId w:val="361"/>
        </w:numPr>
        <w:spacing w:after="0" w:line="240" w:lineRule="auto"/>
        <w:ind w:left="992" w:hanging="357"/>
        <w:jc w:val="both"/>
        <w:rPr>
          <w:rFonts w:ascii="Times New Roman" w:eastAsia="Times New Roman" w:hAnsi="Times New Roman" w:cs="Times New Roman"/>
          <w:bCs/>
          <w:lang w:val="en-US"/>
        </w:rPr>
      </w:pPr>
      <w:r w:rsidRPr="00587989">
        <w:rPr>
          <w:rFonts w:ascii="Times New Roman" w:eastAsia="Times New Roman" w:hAnsi="Times New Roman" w:cs="Times New Roman"/>
          <w:bCs/>
          <w:lang w:val="en-US"/>
        </w:rPr>
        <w:t>Take responsibility for documents which comply with legislations and professional requirements.</w:t>
      </w:r>
    </w:p>
    <w:p w:rsidR="00D50C2E" w:rsidRPr="00300393" w:rsidRDefault="00D50C2E" w:rsidP="00980876">
      <w:pPr>
        <w:widowControl w:val="0"/>
        <w:numPr>
          <w:ilvl w:val="0"/>
          <w:numId w:val="362"/>
        </w:numPr>
        <w:tabs>
          <w:tab w:val="num" w:pos="567"/>
        </w:tabs>
        <w:spacing w:before="120" w:after="120" w:line="240" w:lineRule="auto"/>
        <w:ind w:left="425" w:hanging="142"/>
        <w:jc w:val="both"/>
        <w:rPr>
          <w:rFonts w:ascii="Times New Roman" w:eastAsia="Times New Roman" w:hAnsi="Times New Roman" w:cs="Times New Roman"/>
          <w:bCs/>
        </w:rPr>
      </w:pPr>
      <w:r w:rsidRPr="00300393">
        <w:rPr>
          <w:rFonts w:ascii="Times New Roman" w:eastAsia="Times New Roman" w:hAnsi="Times New Roman" w:cs="Times New Roman"/>
          <w:b/>
          <w:bCs/>
        </w:rPr>
        <w:t>Előtanulmányi követelmények:</w:t>
      </w:r>
      <w:r w:rsidR="00300393" w:rsidRPr="00300393">
        <w:rPr>
          <w:rFonts w:ascii="Times New Roman" w:eastAsia="Times New Roman" w:hAnsi="Times New Roman" w:cs="Times New Roman"/>
          <w:b/>
          <w:bCs/>
        </w:rPr>
        <w:t xml:space="preserve"> </w:t>
      </w:r>
      <w:r w:rsidRPr="00300393">
        <w:rPr>
          <w:rFonts w:ascii="Times New Roman" w:eastAsia="Times New Roman" w:hAnsi="Times New Roman" w:cs="Times New Roman"/>
          <w:bCs/>
        </w:rPr>
        <w:t xml:space="preserve"> Pénzügyek I. (Alapok)</w:t>
      </w:r>
      <w:r w:rsidRPr="00300393">
        <w:rPr>
          <w:rFonts w:ascii="Times New Roman" w:eastAsia="Times New Roman" w:hAnsi="Times New Roman" w:cs="Times New Roman"/>
          <w:bCs/>
          <w:lang w:val="x-none"/>
        </w:rPr>
        <w:t xml:space="preserve"> </w:t>
      </w:r>
      <w:r w:rsidRPr="00300393">
        <w:rPr>
          <w:rFonts w:ascii="Times New Roman" w:eastAsia="Times New Roman" w:hAnsi="Times New Roman" w:cs="Times New Roman"/>
          <w:bCs/>
        </w:rPr>
        <w:t>(</w:t>
      </w:r>
      <w:r w:rsidRPr="00300393">
        <w:rPr>
          <w:rFonts w:ascii="Times New Roman" w:eastAsia="Times New Roman" w:hAnsi="Times New Roman" w:cs="Times New Roman"/>
          <w:bCs/>
          <w:lang w:val="x-none"/>
        </w:rPr>
        <w:t>H</w:t>
      </w:r>
      <w:r w:rsidRPr="00300393">
        <w:rPr>
          <w:rFonts w:ascii="Times New Roman" w:eastAsia="Times New Roman" w:hAnsi="Times New Roman" w:cs="Times New Roman"/>
          <w:bCs/>
        </w:rPr>
        <w:t>KHPKA501)</w:t>
      </w:r>
    </w:p>
    <w:p w:rsidR="00D50C2E" w:rsidRPr="00913CF0" w:rsidRDefault="00D50C2E" w:rsidP="00980876">
      <w:pPr>
        <w:widowControl w:val="0"/>
        <w:numPr>
          <w:ilvl w:val="0"/>
          <w:numId w:val="362"/>
        </w:numPr>
        <w:spacing w:before="120" w:after="120" w:line="240" w:lineRule="auto"/>
        <w:ind w:left="426" w:hanging="142"/>
        <w:jc w:val="both"/>
        <w:rPr>
          <w:rFonts w:ascii="Times New Roman" w:eastAsia="Times New Roman" w:hAnsi="Times New Roman" w:cs="Times New Roman"/>
          <w:b/>
          <w:bCs/>
        </w:rPr>
      </w:pPr>
      <w:r w:rsidRPr="006A233B">
        <w:rPr>
          <w:rFonts w:ascii="Times New Roman" w:eastAsia="Times New Roman" w:hAnsi="Times New Roman" w:cs="Times New Roman"/>
          <w:b/>
          <w:bCs/>
        </w:rPr>
        <w:t>A tantárgy tananyagának leírása, tematika. Description of the subject, curriculum (magyarul, angolul - English):</w:t>
      </w:r>
    </w:p>
    <w:p w:rsidR="00D50C2E" w:rsidRPr="00587989" w:rsidRDefault="00D50C2E" w:rsidP="00980876">
      <w:pPr>
        <w:widowControl w:val="0"/>
        <w:numPr>
          <w:ilvl w:val="1"/>
          <w:numId w:val="362"/>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i/>
          <w:lang w:val="en-US"/>
        </w:rPr>
      </w:pPr>
      <w:r w:rsidRPr="00913CF0">
        <w:rPr>
          <w:rFonts w:ascii="Times New Roman" w:hAnsi="Times New Roman"/>
          <w:bCs/>
        </w:rPr>
        <w:t>Forgalmi típusú adók</w:t>
      </w:r>
      <w:r>
        <w:rPr>
          <w:rFonts w:ascii="Times New Roman" w:hAnsi="Times New Roman"/>
          <w:bCs/>
          <w:lang w:val="en-US"/>
        </w:rPr>
        <w:t>:</w:t>
      </w:r>
      <w:r w:rsidRPr="00913CF0">
        <w:rPr>
          <w:rFonts w:ascii="Times New Roman" w:hAnsi="Times New Roman"/>
          <w:bCs/>
        </w:rPr>
        <w:t xml:space="preserve"> Általános forgalmi adó</w:t>
      </w:r>
      <w:r>
        <w:rPr>
          <w:rFonts w:ascii="Times New Roman" w:hAnsi="Times New Roman"/>
          <w:bCs/>
          <w:lang w:val="en-US"/>
        </w:rPr>
        <w:t>.</w:t>
      </w:r>
      <w:r w:rsidRPr="00913CF0">
        <w:rPr>
          <w:rFonts w:ascii="Times New Roman" w:hAnsi="Times New Roman"/>
          <w:bCs/>
        </w:rPr>
        <w:t xml:space="preserve"> Jövedéki adó</w:t>
      </w:r>
      <w:r>
        <w:rPr>
          <w:rFonts w:ascii="Times New Roman" w:hAnsi="Times New Roman"/>
          <w:bCs/>
          <w:lang w:val="en-US"/>
        </w:rPr>
        <w:t>.</w:t>
      </w:r>
      <w:r>
        <w:rPr>
          <w:rFonts w:ascii="Times New Roman" w:hAnsi="Times New Roman"/>
          <w:lang w:val="en-US"/>
        </w:rPr>
        <w:t xml:space="preserve"> </w:t>
      </w:r>
      <w:r w:rsidRPr="00587989">
        <w:rPr>
          <w:rFonts w:ascii="Times New Roman" w:eastAsia="Times New Roman" w:hAnsi="Times New Roman" w:cs="Times New Roman"/>
          <w:i/>
          <w:lang w:val="en-US"/>
        </w:rPr>
        <w:t>(Sales Tax: Value added taxes. Excise duty.)</w:t>
      </w:r>
    </w:p>
    <w:p w:rsidR="00D50C2E" w:rsidRPr="00913CF0" w:rsidRDefault="00D50C2E" w:rsidP="00980876">
      <w:pPr>
        <w:widowControl w:val="0"/>
        <w:numPr>
          <w:ilvl w:val="1"/>
          <w:numId w:val="362"/>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Pr>
          <w:rFonts w:ascii="Times New Roman" w:hAnsi="Times New Roman" w:cs="Times New Roman"/>
          <w:bCs/>
        </w:rPr>
        <w:t xml:space="preserve">Jövedelem típusú adók: Személyi jövedelem adó. Társasági adó. </w:t>
      </w:r>
      <w:r w:rsidRPr="00587989">
        <w:rPr>
          <w:rFonts w:ascii="Times New Roman" w:eastAsia="Times New Roman" w:hAnsi="Times New Roman" w:cs="Times New Roman"/>
          <w:i/>
          <w:lang w:val="en-US"/>
        </w:rPr>
        <w:t>(Income taxes</w:t>
      </w:r>
      <w:r w:rsidRPr="00587989">
        <w:rPr>
          <w:rFonts w:ascii="Times New Roman" w:eastAsia="Times New Roman" w:hAnsi="Times New Roman" w:cs="Times New Roman"/>
          <w:bCs/>
          <w:i/>
          <w:lang w:val="en-US"/>
        </w:rPr>
        <w:t>: Personal income tax. Corporate tax.</w:t>
      </w:r>
      <w:r w:rsidRPr="00587989">
        <w:rPr>
          <w:rFonts w:ascii="Times New Roman" w:eastAsia="Times New Roman" w:hAnsi="Times New Roman" w:cs="Times New Roman"/>
          <w:i/>
          <w:lang w:val="en-US"/>
        </w:rPr>
        <w:t>)</w:t>
      </w:r>
    </w:p>
    <w:p w:rsidR="00D50C2E" w:rsidRPr="00587989" w:rsidRDefault="00D50C2E" w:rsidP="00980876">
      <w:pPr>
        <w:widowControl w:val="0"/>
        <w:numPr>
          <w:ilvl w:val="1"/>
          <w:numId w:val="362"/>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i/>
        </w:rPr>
      </w:pPr>
      <w:r w:rsidRPr="00913CF0">
        <w:rPr>
          <w:rFonts w:ascii="Times New Roman" w:eastAsia="Times New Roman" w:hAnsi="Times New Roman" w:cs="Times New Roman"/>
        </w:rPr>
        <w:t>Vagyoni típusú adók</w:t>
      </w:r>
      <w:r>
        <w:rPr>
          <w:rFonts w:ascii="Times New Roman" w:eastAsia="Times New Roman" w:hAnsi="Times New Roman" w:cs="Times New Roman"/>
          <w:lang w:val="en-US"/>
        </w:rPr>
        <w:t>:</w:t>
      </w:r>
      <w:r w:rsidRPr="00913CF0">
        <w:rPr>
          <w:rFonts w:ascii="Times New Roman" w:eastAsia="Times New Roman" w:hAnsi="Times New Roman" w:cs="Times New Roman"/>
        </w:rPr>
        <w:t xml:space="preserve"> Helyi adók</w:t>
      </w:r>
      <w:r>
        <w:rPr>
          <w:rFonts w:ascii="Times New Roman" w:eastAsia="Times New Roman" w:hAnsi="Times New Roman" w:cs="Times New Roman"/>
          <w:lang w:val="en-US"/>
        </w:rPr>
        <w:t xml:space="preserve">. </w:t>
      </w:r>
      <w:r w:rsidRPr="00587989">
        <w:rPr>
          <w:rFonts w:ascii="Times New Roman" w:eastAsia="Times New Roman" w:hAnsi="Times New Roman" w:cs="Times New Roman"/>
          <w:i/>
          <w:lang w:val="en-US"/>
        </w:rPr>
        <w:t>(Regular taxes on wealth: Local taxes)</w:t>
      </w:r>
    </w:p>
    <w:p w:rsidR="00D50C2E" w:rsidRPr="00587989" w:rsidRDefault="00D50C2E" w:rsidP="00980876">
      <w:pPr>
        <w:widowControl w:val="0"/>
        <w:numPr>
          <w:ilvl w:val="1"/>
          <w:numId w:val="362"/>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i/>
          <w:lang w:val="en-US"/>
        </w:rPr>
      </w:pPr>
      <w:r w:rsidRPr="00913CF0">
        <w:rPr>
          <w:rFonts w:ascii="Times New Roman" w:eastAsia="Times New Roman" w:hAnsi="Times New Roman" w:cs="Times New Roman"/>
        </w:rPr>
        <w:t>Egyéb adók</w:t>
      </w:r>
      <w:r>
        <w:rPr>
          <w:rFonts w:ascii="Times New Roman" w:eastAsia="Times New Roman" w:hAnsi="Times New Roman" w:cs="Times New Roman"/>
          <w:lang w:val="en-US"/>
        </w:rPr>
        <w:t>:</w:t>
      </w:r>
      <w:r w:rsidRPr="00913CF0">
        <w:rPr>
          <w:rFonts w:ascii="Times New Roman" w:eastAsia="Times New Roman" w:hAnsi="Times New Roman" w:cs="Times New Roman"/>
        </w:rPr>
        <w:t xml:space="preserve"> Illetékek</w:t>
      </w:r>
      <w:r>
        <w:rPr>
          <w:rFonts w:ascii="Times New Roman" w:eastAsia="Times New Roman" w:hAnsi="Times New Roman" w:cs="Times New Roman"/>
          <w:lang w:val="en-US"/>
        </w:rPr>
        <w:t>.</w:t>
      </w:r>
      <w:r w:rsidRPr="00913CF0">
        <w:rPr>
          <w:rFonts w:ascii="Times New Roman" w:eastAsia="Times New Roman" w:hAnsi="Times New Roman" w:cs="Times New Roman"/>
        </w:rPr>
        <w:t xml:space="preserve"> Vámok</w:t>
      </w:r>
      <w:r>
        <w:rPr>
          <w:rFonts w:ascii="Times New Roman" w:eastAsia="Times New Roman" w:hAnsi="Times New Roman" w:cs="Times New Roman"/>
          <w:lang w:val="en-US"/>
        </w:rPr>
        <w:t>. A</w:t>
      </w:r>
      <w:r w:rsidRPr="00913CF0">
        <w:rPr>
          <w:rFonts w:ascii="Times New Roman" w:eastAsia="Times New Roman" w:hAnsi="Times New Roman" w:cs="Times New Roman"/>
        </w:rPr>
        <w:t xml:space="preserve"> vámrendszer működése</w:t>
      </w:r>
      <w:r>
        <w:rPr>
          <w:rFonts w:ascii="Times New Roman" w:eastAsia="Times New Roman" w:hAnsi="Times New Roman" w:cs="Times New Roman"/>
          <w:lang w:val="en-US"/>
        </w:rPr>
        <w:t xml:space="preserve">. </w:t>
      </w:r>
      <w:r w:rsidRPr="00587989">
        <w:rPr>
          <w:rFonts w:ascii="Times New Roman" w:eastAsia="Times New Roman" w:hAnsi="Times New Roman" w:cs="Times New Roman"/>
          <w:i/>
          <w:lang w:val="en-US"/>
        </w:rPr>
        <w:t>(Other taxes: Charges. Duties. Working of the duty system.)</w:t>
      </w:r>
    </w:p>
    <w:p w:rsidR="00D50C2E" w:rsidRPr="006A233B" w:rsidRDefault="00D50C2E" w:rsidP="00980876">
      <w:pPr>
        <w:widowControl w:val="0"/>
        <w:numPr>
          <w:ilvl w:val="0"/>
          <w:numId w:val="362"/>
        </w:numPr>
        <w:tabs>
          <w:tab w:val="num" w:pos="360"/>
        </w:tabs>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bCs/>
        </w:rPr>
        <w:t xml:space="preserve">A tantárgy meghirdetésének gyakorisága/a tantervben történő félévi elhelyezkedése: </w:t>
      </w:r>
      <w:r>
        <w:rPr>
          <w:rFonts w:ascii="Times New Roman" w:eastAsia="Times New Roman" w:hAnsi="Times New Roman" w:cs="Times New Roman"/>
          <w:bCs/>
        </w:rPr>
        <w:t>Minden őszi szemeszterben / 7. félév</w:t>
      </w:r>
    </w:p>
    <w:p w:rsidR="00D50C2E" w:rsidRPr="00CE64DC" w:rsidRDefault="00D50C2E" w:rsidP="00980876">
      <w:pPr>
        <w:widowControl w:val="0"/>
        <w:numPr>
          <w:ilvl w:val="0"/>
          <w:numId w:val="362"/>
        </w:numPr>
        <w:tabs>
          <w:tab w:val="num" w:pos="360"/>
        </w:tabs>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bCs/>
        </w:rPr>
        <w:t>A tanórákon való részvétel követelményei, az elfogadható hiányzások mértéke, a távolmaradás pótlásának lehetősége:</w:t>
      </w:r>
      <w:r>
        <w:rPr>
          <w:rFonts w:ascii="Times New Roman" w:eastAsia="Times New Roman" w:hAnsi="Times New Roman" w:cs="Times New Roman"/>
          <w:bCs/>
        </w:rPr>
        <w:t xml:space="preserve"> </w:t>
      </w:r>
      <w:r w:rsidRPr="00CE64DC">
        <w:rPr>
          <w:rFonts w:ascii="Times New Roman" w:eastAsia="Times New Roman" w:hAnsi="Times New Roman" w:cs="Times New Roman"/>
          <w:bCs/>
        </w:rPr>
        <w:t>A tanórákon való részvétel kötelező.</w:t>
      </w:r>
      <w:r w:rsidRPr="00CE64DC">
        <w:rPr>
          <w:rFonts w:ascii="Times New Roman" w:eastAsia="Times New Roman" w:hAnsi="Times New Roman" w:cs="Times New Roman"/>
          <w:b/>
          <w:bCs/>
        </w:rPr>
        <w:t xml:space="preserve"> </w:t>
      </w:r>
      <w:r w:rsidRPr="00CE64DC">
        <w:rPr>
          <w:rFonts w:ascii="Times New Roman" w:eastAsia="Times New Roman" w:hAnsi="Times New Roman" w:cs="Times New Roman"/>
          <w:bCs/>
        </w:rPr>
        <w:t>A félév elfogadásána</w:t>
      </w:r>
      <w:r>
        <w:rPr>
          <w:rFonts w:ascii="Times New Roman" w:eastAsia="Times New Roman" w:hAnsi="Times New Roman" w:cs="Times New Roman"/>
          <w:bCs/>
        </w:rPr>
        <w:t>k feltétele a tanórák minimum 70</w:t>
      </w:r>
      <w:r w:rsidRPr="00CE64DC">
        <w:rPr>
          <w:rFonts w:ascii="Times New Roman" w:eastAsia="Times New Roman" w:hAnsi="Times New Roman" w:cs="Times New Roman"/>
          <w:bCs/>
        </w:rPr>
        <w:t>%-án való részvétel. Ennél magasabb mértékű távolmaradás pótlása az oktató engedélyével történhet.</w:t>
      </w:r>
    </w:p>
    <w:p w:rsidR="00D50C2E" w:rsidRPr="00B763D5" w:rsidRDefault="00D50C2E" w:rsidP="00980876">
      <w:pPr>
        <w:widowControl w:val="0"/>
        <w:numPr>
          <w:ilvl w:val="0"/>
          <w:numId w:val="362"/>
        </w:numPr>
        <w:tabs>
          <w:tab w:val="num" w:pos="360"/>
        </w:tabs>
        <w:spacing w:before="120" w:after="120" w:line="240" w:lineRule="auto"/>
        <w:ind w:left="426" w:hanging="142"/>
        <w:jc w:val="both"/>
        <w:rPr>
          <w:rFonts w:ascii="Times New Roman" w:hAnsi="Times New Roman"/>
        </w:rPr>
      </w:pPr>
      <w:r w:rsidRPr="006A233B">
        <w:rPr>
          <w:rFonts w:ascii="Times New Roman" w:eastAsia="Times New Roman" w:hAnsi="Times New Roman" w:cs="Times New Roman"/>
          <w:b/>
        </w:rPr>
        <w:t xml:space="preserve">Félévközi feladatok, ismeretek ellenőrzésének rendje: </w:t>
      </w:r>
      <w:r w:rsidRPr="00B763D5">
        <w:rPr>
          <w:rFonts w:ascii="Times New Roman" w:hAnsi="Times New Roman"/>
          <w:lang w:val="x-none"/>
        </w:rPr>
        <w:t>A</w:t>
      </w:r>
      <w:r w:rsidRPr="00913CF0">
        <w:rPr>
          <w:rFonts w:ascii="Times New Roman" w:hAnsi="Times New Roman"/>
        </w:rPr>
        <w:t xml:space="preserve"> félév során egy zárthelyi dolgozatot kel</w:t>
      </w:r>
      <w:r w:rsidRPr="00B763D5">
        <w:rPr>
          <w:rFonts w:ascii="Times New Roman" w:hAnsi="Times New Roman"/>
          <w:lang w:val="x-none"/>
        </w:rPr>
        <w:t>l</w:t>
      </w:r>
      <w:r w:rsidRPr="00913CF0">
        <w:rPr>
          <w:rFonts w:ascii="Times New Roman" w:hAnsi="Times New Roman"/>
        </w:rPr>
        <w:t xml:space="preserve"> megírni</w:t>
      </w:r>
      <w:r w:rsidRPr="00B763D5">
        <w:rPr>
          <w:rFonts w:ascii="Times New Roman" w:hAnsi="Times New Roman"/>
          <w:lang w:val="x-none"/>
        </w:rPr>
        <w:t xml:space="preserve">. </w:t>
      </w:r>
      <w:r w:rsidRPr="00B763D5">
        <w:rPr>
          <w:rFonts w:ascii="Times New Roman" w:hAnsi="Times New Roman"/>
        </w:rPr>
        <w:t>A zárthelyi dolgozat ötfokozatú skálán értékelendő, 50%+1 pont elégséges, 60% közepes, 75% jó, 90% jeles.</w:t>
      </w:r>
      <w:r w:rsidRPr="00913CF0">
        <w:rPr>
          <w:rFonts w:ascii="Times New Roman" w:hAnsi="Times New Roman"/>
        </w:rPr>
        <w:t xml:space="preserve"> Az elégtelen osztályzatra értékelt dolgozatot</w:t>
      </w:r>
      <w:r w:rsidRPr="00B763D5">
        <w:rPr>
          <w:rFonts w:ascii="Times New Roman" w:hAnsi="Times New Roman"/>
          <w:lang w:val="x-none"/>
        </w:rPr>
        <w:t xml:space="preserve"> a</w:t>
      </w:r>
      <w:r w:rsidRPr="00913CF0">
        <w:rPr>
          <w:rFonts w:ascii="Times New Roman" w:hAnsi="Times New Roman"/>
        </w:rPr>
        <w:t xml:space="preserve"> szorgalmi és</w:t>
      </w:r>
      <w:r w:rsidRPr="00B763D5">
        <w:rPr>
          <w:rFonts w:ascii="Times New Roman" w:hAnsi="Times New Roman"/>
          <w:lang w:val="x-none"/>
        </w:rPr>
        <w:t xml:space="preserve"> a</w:t>
      </w:r>
      <w:r w:rsidRPr="00913CF0">
        <w:rPr>
          <w:rFonts w:ascii="Times New Roman" w:hAnsi="Times New Roman"/>
        </w:rPr>
        <w:t xml:space="preserve"> vizsgaidőszakban</w:t>
      </w:r>
      <w:r w:rsidRPr="00B763D5">
        <w:rPr>
          <w:rFonts w:ascii="Times New Roman" w:hAnsi="Times New Roman"/>
          <w:lang w:val="x-none"/>
        </w:rPr>
        <w:t xml:space="preserve"> is</w:t>
      </w:r>
      <w:r w:rsidRPr="00913CF0">
        <w:rPr>
          <w:rFonts w:ascii="Times New Roman" w:hAnsi="Times New Roman"/>
        </w:rPr>
        <w:t xml:space="preserve"> egy-egy alkalommal lehet pótolni</w:t>
      </w:r>
      <w:r w:rsidRPr="00B763D5">
        <w:rPr>
          <w:rFonts w:ascii="Times New Roman" w:hAnsi="Times New Roman"/>
          <w:lang w:val="x-none"/>
        </w:rPr>
        <w:t>.</w:t>
      </w:r>
      <w:r w:rsidRPr="00B763D5">
        <w:rPr>
          <w:rFonts w:ascii="Times New Roman" w:hAnsi="Times New Roman"/>
        </w:rPr>
        <w:t xml:space="preserve"> </w:t>
      </w:r>
    </w:p>
    <w:p w:rsidR="00D50C2E" w:rsidRPr="004A67AB" w:rsidRDefault="00D50C2E" w:rsidP="00980876">
      <w:pPr>
        <w:widowControl w:val="0"/>
        <w:numPr>
          <w:ilvl w:val="0"/>
          <w:numId w:val="362"/>
        </w:numPr>
        <w:spacing w:before="120" w:after="120" w:line="240" w:lineRule="auto"/>
        <w:ind w:left="426" w:hanging="142"/>
        <w:jc w:val="both"/>
        <w:rPr>
          <w:rFonts w:ascii="Times New Roman" w:eastAsia="Times New Roman" w:hAnsi="Times New Roman" w:cs="Times New Roman"/>
          <w:b/>
          <w:bCs/>
        </w:rPr>
      </w:pPr>
      <w:r w:rsidRPr="00B37153">
        <w:rPr>
          <w:rFonts w:ascii="Times New Roman" w:eastAsia="Times New Roman" w:hAnsi="Times New Roman" w:cs="Times New Roman"/>
          <w:b/>
          <w:bCs/>
        </w:rPr>
        <w:t xml:space="preserve">Az értékelés, az aláírás és a kreditek megszerzésének pontos feltételei: </w:t>
      </w:r>
    </w:p>
    <w:p w:rsidR="00D50C2E" w:rsidRPr="006A233B" w:rsidRDefault="00D50C2E" w:rsidP="00980876">
      <w:pPr>
        <w:widowControl w:val="0"/>
        <w:numPr>
          <w:ilvl w:val="1"/>
          <w:numId w:val="362"/>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6A233B">
        <w:rPr>
          <w:rFonts w:ascii="Times New Roman" w:eastAsia="Times New Roman" w:hAnsi="Times New Roman" w:cs="Times New Roman"/>
          <w:b/>
        </w:rPr>
        <w:t>Az aláírás megszerzésének feltételei:</w:t>
      </w:r>
    </w:p>
    <w:p w:rsidR="00D50C2E" w:rsidRDefault="00D50C2E" w:rsidP="00D50C2E">
      <w:pPr>
        <w:widowControl w:val="0"/>
        <w:tabs>
          <w:tab w:val="left" w:pos="993"/>
        </w:tabs>
        <w:spacing w:before="120" w:after="120" w:line="240" w:lineRule="auto"/>
        <w:ind w:left="426"/>
        <w:jc w:val="both"/>
        <w:rPr>
          <w:rFonts w:ascii="Times New Roman" w:eastAsia="Times New Roman" w:hAnsi="Times New Roman" w:cs="Times New Roman"/>
        </w:rPr>
      </w:pPr>
      <w:r w:rsidRPr="007E215C">
        <w:rPr>
          <w:rFonts w:ascii="Times New Roman" w:eastAsia="Times New Roman" w:hAnsi="Times New Roman" w:cs="Times New Roman"/>
        </w:rPr>
        <w:t>Az aláírás feltétele a tanórákon történő – 1</w:t>
      </w:r>
      <w:r>
        <w:rPr>
          <w:rFonts w:ascii="Times New Roman" w:eastAsia="Times New Roman" w:hAnsi="Times New Roman" w:cs="Times New Roman"/>
        </w:rPr>
        <w:t>4</w:t>
      </w:r>
      <w:r w:rsidRPr="007E215C">
        <w:rPr>
          <w:rFonts w:ascii="Times New Roman" w:eastAsia="Times New Roman" w:hAnsi="Times New Roman" w:cs="Times New Roman"/>
        </w:rPr>
        <w:t xml:space="preserve">. pontban meghatározott – részvétel, </w:t>
      </w:r>
      <w:r>
        <w:rPr>
          <w:rFonts w:ascii="Times New Roman" w:eastAsia="Times New Roman" w:hAnsi="Times New Roman" w:cs="Times New Roman"/>
        </w:rPr>
        <w:t>valamint a zárthelyi dolgozat sikeres (50%+1 pont) megírása.</w:t>
      </w:r>
    </w:p>
    <w:p w:rsidR="00D50C2E" w:rsidRPr="006A233B" w:rsidRDefault="00D50C2E" w:rsidP="00980876">
      <w:pPr>
        <w:widowControl w:val="0"/>
        <w:numPr>
          <w:ilvl w:val="1"/>
          <w:numId w:val="362"/>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6A233B">
        <w:rPr>
          <w:rFonts w:ascii="Times New Roman" w:eastAsia="Times New Roman" w:hAnsi="Times New Roman" w:cs="Times New Roman"/>
          <w:b/>
        </w:rPr>
        <w:t>Az értékelés:</w:t>
      </w:r>
    </w:p>
    <w:p w:rsidR="00D50C2E" w:rsidRDefault="00D50C2E" w:rsidP="00D50C2E">
      <w:pPr>
        <w:widowControl w:val="0"/>
        <w:tabs>
          <w:tab w:val="left" w:pos="993"/>
        </w:tabs>
        <w:spacing w:before="120" w:after="120" w:line="240" w:lineRule="auto"/>
        <w:ind w:left="426"/>
        <w:jc w:val="both"/>
        <w:rPr>
          <w:rFonts w:ascii="Times New Roman" w:eastAsia="Times New Roman" w:hAnsi="Times New Roman" w:cs="Times New Roman"/>
          <w:lang w:val="x-none"/>
        </w:rPr>
      </w:pPr>
      <w:r w:rsidRPr="00FD404B">
        <w:rPr>
          <w:rFonts w:ascii="Times New Roman" w:eastAsia="Times New Roman" w:hAnsi="Times New Roman" w:cs="Times New Roman"/>
          <w:lang w:val="x-none"/>
        </w:rPr>
        <w:t>A</w:t>
      </w:r>
      <w:r w:rsidRPr="00913CF0">
        <w:rPr>
          <w:rFonts w:ascii="Times New Roman" w:eastAsia="Times New Roman" w:hAnsi="Times New Roman" w:cs="Times New Roman"/>
        </w:rPr>
        <w:t xml:space="preserve"> félév végén</w:t>
      </w:r>
      <w:r w:rsidRPr="00FD404B">
        <w:rPr>
          <w:rFonts w:ascii="Times New Roman" w:eastAsia="Times New Roman" w:hAnsi="Times New Roman" w:cs="Times New Roman"/>
          <w:lang w:val="x-none"/>
        </w:rPr>
        <w:t xml:space="preserve"> a</w:t>
      </w:r>
      <w:r w:rsidRPr="00913CF0">
        <w:rPr>
          <w:rFonts w:ascii="Times New Roman" w:eastAsia="Times New Roman" w:hAnsi="Times New Roman" w:cs="Times New Roman"/>
        </w:rPr>
        <w:t xml:space="preserve"> kollokvium írásbeli</w:t>
      </w:r>
      <w:r w:rsidRPr="00FD404B">
        <w:rPr>
          <w:rFonts w:ascii="Times New Roman" w:eastAsia="Times New Roman" w:hAnsi="Times New Roman" w:cs="Times New Roman"/>
          <w:lang w:val="x-none"/>
        </w:rPr>
        <w:t>,</w:t>
      </w:r>
      <w:r w:rsidRPr="00913CF0">
        <w:rPr>
          <w:rFonts w:ascii="Times New Roman" w:eastAsia="Times New Roman" w:hAnsi="Times New Roman" w:cs="Times New Roman"/>
        </w:rPr>
        <w:t xml:space="preserve"> amelynek eredményébe</w:t>
      </w:r>
      <w:r w:rsidRPr="00FD404B">
        <w:rPr>
          <w:rFonts w:ascii="Times New Roman" w:eastAsia="Times New Roman" w:hAnsi="Times New Roman" w:cs="Times New Roman"/>
          <w:lang w:val="x-none"/>
        </w:rPr>
        <w:t xml:space="preserve"> a</w:t>
      </w:r>
      <w:r w:rsidRPr="00913CF0">
        <w:rPr>
          <w:rFonts w:ascii="Times New Roman" w:eastAsia="Times New Roman" w:hAnsi="Times New Roman" w:cs="Times New Roman"/>
        </w:rPr>
        <w:t xml:space="preserve"> félévközi munka beszámítható</w:t>
      </w:r>
      <w:r w:rsidRPr="00FD404B">
        <w:rPr>
          <w:rFonts w:ascii="Times New Roman" w:eastAsia="Times New Roman" w:hAnsi="Times New Roman" w:cs="Times New Roman"/>
          <w:lang w:val="x-none"/>
        </w:rPr>
        <w:t xml:space="preserve">. </w:t>
      </w:r>
      <w:r w:rsidRPr="00FD404B">
        <w:rPr>
          <w:rFonts w:ascii="Times New Roman" w:eastAsia="Times New Roman" w:hAnsi="Times New Roman" w:cs="Times New Roman"/>
        </w:rPr>
        <w:t>A kollokviumra a hallgatók csak felkészülési témaköröket kapnak kézhez, melyek felö</w:t>
      </w:r>
      <w:r>
        <w:rPr>
          <w:rFonts w:ascii="Times New Roman" w:eastAsia="Times New Roman" w:hAnsi="Times New Roman" w:cs="Times New Roman"/>
        </w:rPr>
        <w:t>lelik a félév teljes tananyagát.</w:t>
      </w:r>
      <w:r w:rsidRPr="00FD404B">
        <w:rPr>
          <w:rFonts w:ascii="Times New Roman" w:eastAsia="Times New Roman" w:hAnsi="Times New Roman" w:cs="Times New Roman"/>
        </w:rPr>
        <w:t xml:space="preserve"> </w:t>
      </w:r>
      <w:r w:rsidRPr="00FD404B">
        <w:rPr>
          <w:rFonts w:ascii="Times New Roman" w:eastAsia="Times New Roman" w:hAnsi="Times New Roman" w:cs="Times New Roman"/>
          <w:lang w:val="x-none"/>
        </w:rPr>
        <w:t xml:space="preserve">A </w:t>
      </w:r>
      <w:r w:rsidRPr="00FD404B">
        <w:rPr>
          <w:rFonts w:ascii="Times New Roman" w:eastAsia="Times New Roman" w:hAnsi="Times New Roman" w:cs="Times New Roman"/>
        </w:rPr>
        <w:t>vizsgadolgozat értékelése</w:t>
      </w:r>
      <w:r w:rsidRPr="00913CF0">
        <w:rPr>
          <w:rFonts w:ascii="Times New Roman" w:eastAsia="Times New Roman" w:hAnsi="Times New Roman" w:cs="Times New Roman"/>
        </w:rPr>
        <w:t xml:space="preserve"> ötfokozatú skálán</w:t>
      </w:r>
      <w:r w:rsidRPr="00FD404B">
        <w:rPr>
          <w:rFonts w:ascii="Times New Roman" w:eastAsia="Times New Roman" w:hAnsi="Times New Roman" w:cs="Times New Roman"/>
          <w:lang w:val="x-none"/>
        </w:rPr>
        <w:t xml:space="preserve"> </w:t>
      </w:r>
      <w:r w:rsidRPr="00FD404B">
        <w:rPr>
          <w:rFonts w:ascii="Times New Roman" w:eastAsia="Times New Roman" w:hAnsi="Times New Roman" w:cs="Times New Roman"/>
        </w:rPr>
        <w:t>történik</w:t>
      </w:r>
      <w:r w:rsidRPr="00FD404B">
        <w:rPr>
          <w:rFonts w:ascii="Times New Roman" w:eastAsia="Times New Roman" w:hAnsi="Times New Roman" w:cs="Times New Roman"/>
          <w:lang w:val="x-none"/>
        </w:rPr>
        <w:t>.</w:t>
      </w:r>
    </w:p>
    <w:p w:rsidR="00D50C2E" w:rsidRPr="006A233B" w:rsidRDefault="00D50C2E" w:rsidP="00980876">
      <w:pPr>
        <w:widowControl w:val="0"/>
        <w:numPr>
          <w:ilvl w:val="1"/>
          <w:numId w:val="362"/>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6A233B">
        <w:rPr>
          <w:rFonts w:ascii="Times New Roman" w:eastAsia="Times New Roman" w:hAnsi="Times New Roman" w:cs="Times New Roman"/>
          <w:b/>
        </w:rPr>
        <w:lastRenderedPageBreak/>
        <w:t>A kreditek megszerzésének feltételei:</w:t>
      </w:r>
      <w:r w:rsidRPr="006A233B">
        <w:rPr>
          <w:rFonts w:ascii="Times New Roman" w:eastAsia="Times New Roman" w:hAnsi="Times New Roman" w:cs="Times New Roman"/>
        </w:rPr>
        <w:t xml:space="preserve"> </w:t>
      </w:r>
    </w:p>
    <w:p w:rsidR="00D50C2E" w:rsidRPr="00FD404B" w:rsidRDefault="00D50C2E" w:rsidP="00D50C2E">
      <w:pPr>
        <w:widowControl w:val="0"/>
        <w:tabs>
          <w:tab w:val="left" w:pos="993"/>
        </w:tabs>
        <w:spacing w:before="120" w:after="120" w:line="240" w:lineRule="auto"/>
        <w:ind w:left="426"/>
        <w:jc w:val="both"/>
        <w:rPr>
          <w:rFonts w:ascii="Times New Roman" w:eastAsia="Times New Roman" w:hAnsi="Times New Roman" w:cs="Times New Roman"/>
          <w:lang w:eastAsia="x-none"/>
        </w:rPr>
      </w:pPr>
      <w:r w:rsidRPr="00FD404B">
        <w:rPr>
          <w:rFonts w:ascii="Times New Roman" w:eastAsia="Times New Roman" w:hAnsi="Times New Roman" w:cs="Times New Roman"/>
          <w:lang w:eastAsia="x-none"/>
        </w:rPr>
        <w:t>A kreditek megszerzésének feltétele</w:t>
      </w:r>
      <w:r>
        <w:rPr>
          <w:rFonts w:ascii="Times New Roman" w:eastAsia="Times New Roman" w:hAnsi="Times New Roman" w:cs="Times New Roman"/>
          <w:lang w:eastAsia="x-none"/>
        </w:rPr>
        <w:t>i</w:t>
      </w:r>
      <w:r w:rsidRPr="00FD404B">
        <w:rPr>
          <w:rFonts w:ascii="Times New Roman" w:eastAsia="Times New Roman" w:hAnsi="Times New Roman" w:cs="Times New Roman"/>
          <w:lang w:eastAsia="x-none"/>
        </w:rPr>
        <w:t xml:space="preserve"> az aláírás megszerzése és legalább elégséges vizsgajegy.</w:t>
      </w:r>
    </w:p>
    <w:p w:rsidR="00D50C2E" w:rsidRPr="006A233B" w:rsidRDefault="00D50C2E" w:rsidP="00980876">
      <w:pPr>
        <w:widowControl w:val="0"/>
        <w:numPr>
          <w:ilvl w:val="0"/>
          <w:numId w:val="362"/>
        </w:numPr>
        <w:tabs>
          <w:tab w:val="num" w:pos="360"/>
        </w:tabs>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bCs/>
        </w:rPr>
        <w:t>Irodalomjegyzék:</w:t>
      </w:r>
    </w:p>
    <w:p w:rsidR="00D50C2E" w:rsidRPr="006A233B" w:rsidRDefault="00D50C2E" w:rsidP="00980876">
      <w:pPr>
        <w:widowControl w:val="0"/>
        <w:numPr>
          <w:ilvl w:val="1"/>
          <w:numId w:val="362"/>
        </w:numPr>
        <w:tabs>
          <w:tab w:val="clear" w:pos="3977"/>
          <w:tab w:val="left" w:pos="567"/>
          <w:tab w:val="left" w:pos="851"/>
          <w:tab w:val="num" w:pos="2069"/>
        </w:tabs>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bCs/>
        </w:rPr>
        <w:t>Kötelező irodalom:</w:t>
      </w:r>
    </w:p>
    <w:p w:rsidR="00D50C2E" w:rsidRPr="00300393" w:rsidRDefault="00D50C2E" w:rsidP="00980876">
      <w:pPr>
        <w:pStyle w:val="Listaszerbekezds"/>
        <w:widowControl w:val="0"/>
        <w:numPr>
          <w:ilvl w:val="0"/>
          <w:numId w:val="363"/>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Dr. Herich György: Adótan, Penta Unio Oktatási Centrum, Pécs 2019 ISBN: </w:t>
      </w:r>
      <w:r w:rsidRPr="000254D3">
        <w:rPr>
          <w:rFonts w:ascii="Times New Roman" w:eastAsia="Times New Roman" w:hAnsi="Times New Roman" w:cs="Times New Roman"/>
        </w:rPr>
        <w:t>9786155249693</w:t>
      </w:r>
    </w:p>
    <w:p w:rsidR="00D50C2E" w:rsidRPr="009609AF" w:rsidRDefault="00D50C2E" w:rsidP="00980876">
      <w:pPr>
        <w:pStyle w:val="Listaszerbekezds"/>
        <w:widowControl w:val="0"/>
        <w:numPr>
          <w:ilvl w:val="0"/>
          <w:numId w:val="363"/>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Sándorné Új Éva: Adózási ismeretek alkalmazása, Penta Unio Oktatási Centrum, Pécs, 2016 ISBN: </w:t>
      </w:r>
      <w:r w:rsidRPr="000254D3">
        <w:rPr>
          <w:rFonts w:ascii="Times New Roman" w:eastAsia="Times New Roman" w:hAnsi="Times New Roman" w:cs="Times New Roman"/>
        </w:rPr>
        <w:t>9786155249013</w:t>
      </w:r>
    </w:p>
    <w:p w:rsidR="00D50C2E" w:rsidRPr="00E90621" w:rsidRDefault="00D50C2E" w:rsidP="00980876">
      <w:pPr>
        <w:pStyle w:val="Listaszerbekezds"/>
        <w:widowControl w:val="0"/>
        <w:numPr>
          <w:ilvl w:val="0"/>
          <w:numId w:val="363"/>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Juhászné Koppány Márta: Adózási alapismeretek, Műszaki, Budapest, 2016 ISBN: </w:t>
      </w:r>
      <w:r w:rsidRPr="000254D3">
        <w:rPr>
          <w:rFonts w:ascii="Times New Roman" w:eastAsia="Times New Roman" w:hAnsi="Times New Roman" w:cs="Times New Roman"/>
        </w:rPr>
        <w:t>9789631665871</w:t>
      </w:r>
    </w:p>
    <w:p w:rsidR="00D50C2E" w:rsidRPr="006A233B" w:rsidRDefault="00D50C2E" w:rsidP="00980876">
      <w:pPr>
        <w:widowControl w:val="0"/>
        <w:numPr>
          <w:ilvl w:val="1"/>
          <w:numId w:val="362"/>
        </w:numPr>
        <w:tabs>
          <w:tab w:val="clear" w:pos="3977"/>
          <w:tab w:val="num" w:pos="567"/>
          <w:tab w:val="num" w:pos="2069"/>
        </w:tabs>
        <w:spacing w:before="120" w:after="120" w:line="240" w:lineRule="auto"/>
        <w:ind w:left="851" w:hanging="567"/>
        <w:jc w:val="both"/>
        <w:rPr>
          <w:rFonts w:ascii="Times New Roman" w:eastAsia="Times New Roman" w:hAnsi="Times New Roman" w:cs="Times New Roman"/>
          <w:b/>
          <w:bCs/>
        </w:rPr>
      </w:pPr>
      <w:r w:rsidRPr="006A233B">
        <w:rPr>
          <w:rFonts w:ascii="Times New Roman" w:eastAsia="Times New Roman" w:hAnsi="Times New Roman" w:cs="Times New Roman"/>
          <w:b/>
          <w:bCs/>
        </w:rPr>
        <w:t>Ajánlott irodalom:</w:t>
      </w:r>
    </w:p>
    <w:p w:rsidR="00D50C2E" w:rsidRPr="00076EFF" w:rsidRDefault="00D50C2E" w:rsidP="00980876">
      <w:pPr>
        <w:pStyle w:val="Listaszerbekezds"/>
        <w:widowControl w:val="0"/>
        <w:numPr>
          <w:ilvl w:val="0"/>
          <w:numId w:val="793"/>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Barna É. - Fellegi M. - Galántainé Zs. - Kovácsné Á.: Adózási feladatgyűjtemény, Saldo Kiadó, Budapest, 2019 ISBN: </w:t>
      </w:r>
      <w:r w:rsidRPr="008C399D">
        <w:rPr>
          <w:rFonts w:ascii="Times New Roman" w:eastAsia="Times New Roman" w:hAnsi="Times New Roman" w:cs="Times New Roman"/>
        </w:rPr>
        <w:t>9789636385774</w:t>
      </w:r>
    </w:p>
    <w:p w:rsidR="00D50C2E" w:rsidRPr="001E3A42" w:rsidRDefault="00D50C2E" w:rsidP="00980876">
      <w:pPr>
        <w:pStyle w:val="Listaszerbekezds"/>
        <w:numPr>
          <w:ilvl w:val="0"/>
          <w:numId w:val="793"/>
        </w:numPr>
        <w:rPr>
          <w:rFonts w:ascii="Times New Roman" w:eastAsia="Times New Roman" w:hAnsi="Times New Roman" w:cs="Times New Roman"/>
          <w:bCs/>
        </w:rPr>
      </w:pPr>
      <w:r w:rsidRPr="001E3A42">
        <w:rPr>
          <w:rFonts w:ascii="Times New Roman" w:eastAsia="Times New Roman" w:hAnsi="Times New Roman" w:cs="Times New Roman"/>
          <w:bCs/>
        </w:rPr>
        <w:t xml:space="preserve">Dr. Herich György: </w:t>
      </w:r>
      <w:r>
        <w:rPr>
          <w:rFonts w:ascii="Times New Roman" w:eastAsia="Times New Roman" w:hAnsi="Times New Roman" w:cs="Times New Roman"/>
          <w:bCs/>
        </w:rPr>
        <w:t>Adó 2019 Teszt és példatár</w:t>
      </w:r>
      <w:r w:rsidRPr="001E3A42">
        <w:rPr>
          <w:rFonts w:ascii="Times New Roman" w:eastAsia="Times New Roman" w:hAnsi="Times New Roman" w:cs="Times New Roman"/>
          <w:bCs/>
        </w:rPr>
        <w:t>,</w:t>
      </w:r>
      <w:r>
        <w:rPr>
          <w:rFonts w:ascii="Times New Roman" w:eastAsia="Times New Roman" w:hAnsi="Times New Roman" w:cs="Times New Roman"/>
          <w:bCs/>
        </w:rPr>
        <w:t xml:space="preserve"> Saldo Kiadó, Budapest,</w:t>
      </w:r>
      <w:r w:rsidRPr="001E3A42">
        <w:rPr>
          <w:rFonts w:ascii="Times New Roman" w:eastAsia="Times New Roman" w:hAnsi="Times New Roman" w:cs="Times New Roman"/>
          <w:bCs/>
        </w:rPr>
        <w:t xml:space="preserve"> 2019 ISBN: 9786155249709</w:t>
      </w:r>
    </w:p>
    <w:p w:rsidR="00D50C2E" w:rsidRDefault="00D50C2E" w:rsidP="00D50C2E">
      <w:pPr>
        <w:widowControl w:val="0"/>
        <w:spacing w:before="120" w:after="120" w:line="240" w:lineRule="auto"/>
        <w:jc w:val="both"/>
        <w:rPr>
          <w:rFonts w:ascii="Times New Roman" w:eastAsia="Times New Roman" w:hAnsi="Times New Roman" w:cs="Times New Roman"/>
          <w:bCs/>
        </w:rPr>
      </w:pPr>
    </w:p>
    <w:p w:rsidR="00D50C2E" w:rsidRPr="006A233B" w:rsidRDefault="00D50C2E" w:rsidP="00D50C2E">
      <w:pPr>
        <w:widowControl w:val="0"/>
        <w:spacing w:before="120" w:after="120" w:line="240" w:lineRule="auto"/>
        <w:jc w:val="both"/>
        <w:rPr>
          <w:rFonts w:ascii="Times New Roman" w:eastAsia="Times New Roman" w:hAnsi="Times New Roman" w:cs="Times New Roman"/>
          <w:bCs/>
        </w:rPr>
      </w:pPr>
      <w:r w:rsidRPr="006A233B">
        <w:rPr>
          <w:rFonts w:ascii="Times New Roman" w:eastAsia="Times New Roman" w:hAnsi="Times New Roman" w:cs="Times New Roman"/>
          <w:bCs/>
        </w:rPr>
        <w:t>Budapest,</w:t>
      </w:r>
      <w:r>
        <w:rPr>
          <w:rFonts w:ascii="Times New Roman" w:eastAsia="Times New Roman" w:hAnsi="Times New Roman" w:cs="Times New Roman"/>
          <w:bCs/>
        </w:rPr>
        <w:t xml:space="preserve"> 2020</w:t>
      </w:r>
      <w:r w:rsidRPr="006A233B">
        <w:rPr>
          <w:rFonts w:ascii="Times New Roman" w:eastAsia="Times New Roman" w:hAnsi="Times New Roman" w:cs="Times New Roman"/>
          <w:bCs/>
        </w:rPr>
        <w:t xml:space="preserve">. </w:t>
      </w:r>
      <w:r>
        <w:rPr>
          <w:rFonts w:ascii="Times New Roman" w:eastAsia="Times New Roman" w:hAnsi="Times New Roman" w:cs="Times New Roman"/>
          <w:bCs/>
        </w:rPr>
        <w:t>február</w:t>
      </w:r>
      <w:r w:rsidRPr="006A233B">
        <w:rPr>
          <w:rFonts w:ascii="Times New Roman" w:eastAsia="Times New Roman" w:hAnsi="Times New Roman" w:cs="Times New Roman"/>
          <w:bCs/>
        </w:rPr>
        <w:t xml:space="preserve"> </w:t>
      </w:r>
      <w:r>
        <w:rPr>
          <w:rFonts w:ascii="Times New Roman" w:eastAsia="Times New Roman" w:hAnsi="Times New Roman" w:cs="Times New Roman"/>
          <w:bCs/>
        </w:rPr>
        <w:t>20</w:t>
      </w:r>
      <w:r w:rsidRPr="006A233B">
        <w:rPr>
          <w:rFonts w:ascii="Times New Roman" w:eastAsia="Times New Roman" w:hAnsi="Times New Roman" w:cs="Times New Roman"/>
          <w:bCs/>
        </w:rPr>
        <w:t>.</w:t>
      </w:r>
    </w:p>
    <w:p w:rsidR="00D50C2E" w:rsidRPr="00D50C2E" w:rsidRDefault="00D50C2E" w:rsidP="00D50C2E">
      <w:pPr>
        <w:widowControl w:val="0"/>
        <w:spacing w:after="0" w:line="240" w:lineRule="auto"/>
        <w:ind w:left="5664" w:firstLine="708"/>
        <w:jc w:val="center"/>
        <w:rPr>
          <w:rFonts w:ascii="Times New Roman" w:hAnsi="Times New Roman" w:cs="Times New Roman"/>
          <w:b/>
          <w:bCs/>
        </w:rPr>
      </w:pPr>
      <w:r w:rsidRPr="00D50C2E">
        <w:rPr>
          <w:rFonts w:ascii="Times New Roman" w:eastAsia="Times New Roman" w:hAnsi="Times New Roman" w:cs="Times New Roman"/>
          <w:b/>
          <w:bCs/>
        </w:rPr>
        <w:t>Dr. Gregóczky Etelka (PhD)</w:t>
      </w:r>
    </w:p>
    <w:p w:rsidR="00D50C2E" w:rsidRDefault="00D50C2E" w:rsidP="00D50C2E">
      <w:pPr>
        <w:widowControl w:val="0"/>
        <w:spacing w:after="0" w:line="240" w:lineRule="auto"/>
        <w:jc w:val="center"/>
        <w:rPr>
          <w:rFonts w:ascii="Times New Roman" w:hAnsi="Times New Roman" w:cs="Times New Roman"/>
          <w:bCs/>
        </w:rPr>
      </w:pP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egyetemi docens</w:t>
      </w:r>
    </w:p>
    <w:p w:rsidR="00D50C2E" w:rsidRDefault="00D50C2E">
      <w:pPr>
        <w:spacing w:after="200" w:line="276" w:lineRule="auto"/>
        <w:rPr>
          <w:rFonts w:ascii="Times New Roman" w:hAnsi="Times New Roman" w:cs="Times New Roman"/>
          <w:b/>
          <w:color w:val="FF0000"/>
          <w:sz w:val="24"/>
        </w:rPr>
      </w:pPr>
    </w:p>
    <w:p w:rsidR="00892EBF" w:rsidRDefault="00892EBF">
      <w:pPr>
        <w:spacing w:after="200" w:line="276" w:lineRule="auto"/>
        <w:rPr>
          <w:rFonts w:ascii="Times New Roman" w:hAnsi="Times New Roman" w:cs="Times New Roman"/>
          <w:b/>
          <w:color w:val="FF0000"/>
          <w:sz w:val="24"/>
        </w:rPr>
      </w:pPr>
      <w:r>
        <w:rPr>
          <w:rFonts w:ascii="Times New Roman" w:hAnsi="Times New Roman" w:cs="Times New Roman"/>
          <w:b/>
          <w:color w:val="FF0000"/>
          <w:sz w:val="24"/>
        </w:rPr>
        <w:br w:type="page"/>
      </w:r>
    </w:p>
    <w:tbl>
      <w:tblPr>
        <w:tblW w:w="9072" w:type="dxa"/>
        <w:tblInd w:w="113" w:type="dxa"/>
        <w:tblLook w:val="01E0" w:firstRow="1" w:lastRow="1" w:firstColumn="1" w:lastColumn="1" w:noHBand="0" w:noVBand="0"/>
      </w:tblPr>
      <w:tblGrid>
        <w:gridCol w:w="4855"/>
        <w:gridCol w:w="1620"/>
        <w:gridCol w:w="2597"/>
      </w:tblGrid>
      <w:tr w:rsidR="00892EBF" w:rsidTr="00892EBF">
        <w:tc>
          <w:tcPr>
            <w:tcW w:w="4855" w:type="dxa"/>
            <w:tcBorders>
              <w:top w:val="nil"/>
              <w:left w:val="nil"/>
              <w:bottom w:val="single" w:sz="4" w:space="0" w:color="auto"/>
              <w:right w:val="nil"/>
            </w:tcBorders>
            <w:hideMark/>
          </w:tcPr>
          <w:p w:rsidR="00892EBF" w:rsidRDefault="00892EBF" w:rsidP="00892EBF">
            <w:pPr>
              <w:spacing w:after="0" w:line="240" w:lineRule="auto"/>
              <w:jc w:val="center"/>
              <w:rPr>
                <w:rFonts w:ascii="Times New Roman" w:eastAsia="Times New Roman" w:hAnsi="Times New Roman" w:cs="Times New Roman"/>
                <w:b/>
                <w:smallCaps/>
                <w:lang w:eastAsia="hu-HU"/>
              </w:rPr>
            </w:pPr>
            <w:r>
              <w:rPr>
                <w:rFonts w:ascii="Times New Roman" w:eastAsia="Times New Roman" w:hAnsi="Times New Roman" w:cs="Times New Roman"/>
                <w:b/>
                <w:smallCaps/>
                <w:lang w:eastAsia="hu-HU"/>
              </w:rPr>
              <w:lastRenderedPageBreak/>
              <w:t>Nemzeti Közszolgálati Egyetem</w:t>
            </w:r>
          </w:p>
        </w:tc>
        <w:tc>
          <w:tcPr>
            <w:tcW w:w="1620" w:type="dxa"/>
          </w:tcPr>
          <w:p w:rsidR="00892EBF" w:rsidRDefault="00892EBF" w:rsidP="00892EBF">
            <w:pPr>
              <w:spacing w:after="0" w:line="240" w:lineRule="auto"/>
              <w:jc w:val="both"/>
              <w:rPr>
                <w:rFonts w:ascii="Times New Roman" w:eastAsia="Times New Roman" w:hAnsi="Times New Roman" w:cs="Times New Roman"/>
                <w:lang w:eastAsia="hu-HU"/>
              </w:rPr>
            </w:pPr>
          </w:p>
        </w:tc>
        <w:tc>
          <w:tcPr>
            <w:tcW w:w="2597" w:type="dxa"/>
          </w:tcPr>
          <w:p w:rsidR="00892EBF" w:rsidRDefault="00892EBF" w:rsidP="00892EBF">
            <w:pPr>
              <w:spacing w:after="0" w:line="240" w:lineRule="auto"/>
              <w:jc w:val="right"/>
              <w:rPr>
                <w:rFonts w:ascii="Times New Roman" w:eastAsia="Times New Roman" w:hAnsi="Times New Roman" w:cs="Times New Roman"/>
                <w:lang w:eastAsia="hu-HU"/>
              </w:rPr>
            </w:pPr>
          </w:p>
        </w:tc>
      </w:tr>
      <w:tr w:rsidR="00892EBF" w:rsidTr="00892EBF">
        <w:tc>
          <w:tcPr>
            <w:tcW w:w="4855" w:type="dxa"/>
            <w:tcBorders>
              <w:top w:val="single" w:sz="4" w:space="0" w:color="auto"/>
              <w:left w:val="nil"/>
              <w:bottom w:val="nil"/>
              <w:right w:val="nil"/>
            </w:tcBorders>
            <w:hideMark/>
          </w:tcPr>
          <w:p w:rsidR="00892EBF" w:rsidRDefault="00892EBF" w:rsidP="00892EBF">
            <w:pPr>
              <w:spacing w:after="0" w:line="240" w:lineRule="auto"/>
              <w:jc w:val="center"/>
              <w:rPr>
                <w:rFonts w:ascii="Times New Roman" w:eastAsia="Times New Roman" w:hAnsi="Times New Roman" w:cs="Times New Roman"/>
                <w:b/>
                <w:lang w:eastAsia="hu-HU"/>
              </w:rPr>
            </w:pPr>
            <w:r>
              <w:rPr>
                <w:rFonts w:ascii="Times New Roman" w:eastAsia="Times New Roman" w:hAnsi="Times New Roman" w:cs="Times New Roman"/>
                <w:b/>
                <w:lang w:eastAsia="hu-HU"/>
              </w:rPr>
              <w:t>Hadtudományi és Honvédtisztképző Kar</w:t>
            </w:r>
          </w:p>
        </w:tc>
        <w:tc>
          <w:tcPr>
            <w:tcW w:w="1620" w:type="dxa"/>
          </w:tcPr>
          <w:p w:rsidR="00892EBF" w:rsidRDefault="00892EBF" w:rsidP="00892EBF">
            <w:pPr>
              <w:spacing w:after="0" w:line="240" w:lineRule="auto"/>
              <w:jc w:val="both"/>
              <w:rPr>
                <w:rFonts w:ascii="Times New Roman" w:eastAsia="Times New Roman" w:hAnsi="Times New Roman" w:cs="Times New Roman"/>
                <w:lang w:eastAsia="hu-HU"/>
              </w:rPr>
            </w:pPr>
          </w:p>
        </w:tc>
        <w:tc>
          <w:tcPr>
            <w:tcW w:w="2597" w:type="dxa"/>
          </w:tcPr>
          <w:p w:rsidR="00892EBF" w:rsidRDefault="00892EBF" w:rsidP="00892EBF">
            <w:pPr>
              <w:spacing w:after="0" w:line="240" w:lineRule="auto"/>
              <w:jc w:val="both"/>
              <w:rPr>
                <w:rFonts w:ascii="Times New Roman" w:eastAsia="Times New Roman" w:hAnsi="Times New Roman" w:cs="Times New Roman"/>
                <w:lang w:eastAsia="hu-HU"/>
              </w:rPr>
            </w:pPr>
          </w:p>
        </w:tc>
      </w:tr>
    </w:tbl>
    <w:p w:rsidR="00892EBF" w:rsidRDefault="00892EBF" w:rsidP="00892EBF">
      <w:pPr>
        <w:widowControl w:val="0"/>
        <w:spacing w:before="120" w:after="120" w:line="240" w:lineRule="auto"/>
        <w:ind w:left="426" w:hanging="142"/>
        <w:jc w:val="center"/>
        <w:rPr>
          <w:rFonts w:ascii="Times New Roman" w:eastAsia="Times New Roman" w:hAnsi="Times New Roman" w:cs="Times New Roman"/>
          <w:b/>
          <w:bCs/>
        </w:rPr>
      </w:pPr>
    </w:p>
    <w:p w:rsidR="00892EBF" w:rsidRDefault="00892EBF" w:rsidP="00892EBF">
      <w:pPr>
        <w:widowControl w:val="0"/>
        <w:spacing w:before="120" w:after="120" w:line="240" w:lineRule="auto"/>
        <w:ind w:left="426" w:hanging="142"/>
        <w:jc w:val="center"/>
        <w:rPr>
          <w:rFonts w:ascii="Times New Roman" w:eastAsia="Times New Roman" w:hAnsi="Times New Roman" w:cs="Times New Roman"/>
          <w:b/>
          <w:bCs/>
        </w:rPr>
      </w:pPr>
      <w:r>
        <w:rPr>
          <w:rFonts w:ascii="Times New Roman" w:eastAsia="Times New Roman" w:hAnsi="Times New Roman" w:cs="Times New Roman"/>
          <w:b/>
          <w:bCs/>
        </w:rPr>
        <w:t>TANTÁRGYI PROGRAM</w:t>
      </w:r>
    </w:p>
    <w:p w:rsidR="00892EBF" w:rsidRDefault="00892EBF" w:rsidP="00980876">
      <w:pPr>
        <w:widowControl w:val="0"/>
        <w:numPr>
          <w:ilvl w:val="0"/>
          <w:numId w:val="364"/>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 tantárgy kódja: </w:t>
      </w:r>
      <w:r>
        <w:rPr>
          <w:rFonts w:ascii="Times New Roman" w:hAnsi="Times New Roman" w:cs="Times New Roman"/>
          <w:bCs/>
        </w:rPr>
        <w:t>HKHPKA502</w:t>
      </w:r>
    </w:p>
    <w:p w:rsidR="00892EBF" w:rsidRDefault="00892EBF" w:rsidP="00980876">
      <w:pPr>
        <w:widowControl w:val="0"/>
        <w:numPr>
          <w:ilvl w:val="0"/>
          <w:numId w:val="364"/>
        </w:numPr>
        <w:spacing w:before="120" w:after="120" w:line="240" w:lineRule="auto"/>
        <w:ind w:left="426" w:hanging="142"/>
        <w:jc w:val="both"/>
        <w:rPr>
          <w:rFonts w:ascii="Times New Roman" w:eastAsia="Times New Roman" w:hAnsi="Times New Roman" w:cs="Times New Roman"/>
          <w:b/>
          <w:bCs/>
          <w:lang w:val="en-GB"/>
        </w:rPr>
      </w:pPr>
      <w:r>
        <w:rPr>
          <w:rFonts w:ascii="Times New Roman" w:eastAsia="Times New Roman" w:hAnsi="Times New Roman" w:cs="Times New Roman"/>
          <w:b/>
          <w:bCs/>
        </w:rPr>
        <w:t>A tantárgy megnevezése (magyarul):</w:t>
      </w:r>
      <w:r>
        <w:rPr>
          <w:rFonts w:ascii="Times New Roman" w:eastAsia="Times New Roman" w:hAnsi="Times New Roman" w:cs="Times New Roman"/>
          <w:bCs/>
        </w:rPr>
        <w:t xml:space="preserve"> </w:t>
      </w:r>
      <w:r>
        <w:rPr>
          <w:rFonts w:ascii="Times New Roman" w:hAnsi="Times New Roman" w:cs="Times New Roman"/>
          <w:bCs/>
        </w:rPr>
        <w:t>Pénzügyi gazdasági elemzés</w:t>
      </w:r>
    </w:p>
    <w:p w:rsidR="00892EBF" w:rsidRDefault="00892EBF" w:rsidP="00980876">
      <w:pPr>
        <w:widowControl w:val="0"/>
        <w:numPr>
          <w:ilvl w:val="0"/>
          <w:numId w:val="364"/>
        </w:numPr>
        <w:spacing w:before="120" w:after="120" w:line="240" w:lineRule="auto"/>
        <w:ind w:left="426" w:hanging="142"/>
        <w:jc w:val="both"/>
        <w:rPr>
          <w:rFonts w:ascii="Times New Roman" w:eastAsia="Times New Roman" w:hAnsi="Times New Roman" w:cs="Times New Roman"/>
          <w:b/>
          <w:bCs/>
          <w:lang w:val="en-GB"/>
        </w:rPr>
      </w:pPr>
      <w:r>
        <w:rPr>
          <w:rFonts w:ascii="Times New Roman" w:eastAsia="Times New Roman" w:hAnsi="Times New Roman" w:cs="Times New Roman"/>
          <w:b/>
          <w:bCs/>
        </w:rPr>
        <w:t xml:space="preserve">A tantárgy megnevezése (angolul): </w:t>
      </w:r>
      <w:r>
        <w:rPr>
          <w:rFonts w:ascii="Times New Roman" w:eastAsia="Times New Roman" w:hAnsi="Times New Roman" w:cs="Times New Roman"/>
        </w:rPr>
        <w:t>Financial and Economic Analysis</w:t>
      </w:r>
    </w:p>
    <w:p w:rsidR="00892EBF" w:rsidRDefault="00892EBF" w:rsidP="00980876">
      <w:pPr>
        <w:widowControl w:val="0"/>
        <w:numPr>
          <w:ilvl w:val="0"/>
          <w:numId w:val="364"/>
        </w:numPr>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Kreditérték és képzési karakter: </w:t>
      </w:r>
    </w:p>
    <w:p w:rsidR="00892EBF" w:rsidRDefault="00892EBF" w:rsidP="00980876">
      <w:pPr>
        <w:pStyle w:val="Listaszerbekezds"/>
        <w:widowControl w:val="0"/>
        <w:numPr>
          <w:ilvl w:val="1"/>
          <w:numId w:val="364"/>
        </w:numPr>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4 kredit</w:t>
      </w:r>
    </w:p>
    <w:p w:rsidR="00892EBF" w:rsidRDefault="00892EBF" w:rsidP="00980876">
      <w:pPr>
        <w:pStyle w:val="Listaszerbekezds"/>
        <w:widowControl w:val="0"/>
        <w:numPr>
          <w:ilvl w:val="1"/>
          <w:numId w:val="364"/>
        </w:numPr>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a tantárgy elméleti vagy gyakorlati jellegének mértéke: 67</w:t>
      </w:r>
      <w:r>
        <w:rPr>
          <w:rFonts w:ascii="Times New Roman" w:eastAsia="Times New Roman" w:hAnsi="Times New Roman" w:cs="Times New Roman"/>
          <w:b/>
          <w:bCs/>
        </w:rPr>
        <w:t xml:space="preserve"> </w:t>
      </w:r>
      <w:r>
        <w:rPr>
          <w:rFonts w:ascii="Times New Roman" w:eastAsia="Times New Roman" w:hAnsi="Times New Roman" w:cs="Times New Roman"/>
          <w:bCs/>
        </w:rPr>
        <w:t>% gyakorlat, 33 % elmélet</w:t>
      </w:r>
    </w:p>
    <w:p w:rsidR="00892EBF" w:rsidRDefault="00892EBF" w:rsidP="00980876">
      <w:pPr>
        <w:widowControl w:val="0"/>
        <w:numPr>
          <w:ilvl w:val="0"/>
          <w:numId w:val="364"/>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szak(ok), szakirányok/specializációk megnevezése (ahol oktatják):</w:t>
      </w:r>
      <w:r>
        <w:rPr>
          <w:rFonts w:ascii="Times New Roman" w:eastAsia="Times New Roman" w:hAnsi="Times New Roman" w:cs="Times New Roman"/>
          <w:bCs/>
        </w:rPr>
        <w:t xml:space="preserve"> </w:t>
      </w:r>
      <w:r>
        <w:rPr>
          <w:rFonts w:ascii="Times New Roman" w:hAnsi="Times New Roman" w:cs="Times New Roman"/>
          <w:bCs/>
        </w:rPr>
        <w:t>Katonai logisztika alapképzési szak, hadtáp specializáció, katonai pénzügyi specializáció</w:t>
      </w:r>
    </w:p>
    <w:p w:rsidR="00892EBF" w:rsidRDefault="00892EBF" w:rsidP="00980876">
      <w:pPr>
        <w:widowControl w:val="0"/>
        <w:numPr>
          <w:ilvl w:val="0"/>
          <w:numId w:val="364"/>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Az oktatásért felelős oktatási szervezeti egység megnevezése: </w:t>
      </w:r>
      <w:r>
        <w:rPr>
          <w:rFonts w:ascii="Times New Roman" w:hAnsi="Times New Roman" w:cs="Times New Roman"/>
          <w:bCs/>
        </w:rPr>
        <w:t>NKE HHK Hadtáp, Pénzügyi és Katonai Közlekedési Tanszék</w:t>
      </w:r>
    </w:p>
    <w:p w:rsidR="00892EBF" w:rsidRDefault="00892EBF" w:rsidP="00980876">
      <w:pPr>
        <w:widowControl w:val="0"/>
        <w:numPr>
          <w:ilvl w:val="0"/>
          <w:numId w:val="364"/>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tantárgyfelelős oktató neve, beosztása, tudományos fokozata:</w:t>
      </w:r>
      <w:r>
        <w:rPr>
          <w:rFonts w:ascii="Times New Roman" w:eastAsia="Times New Roman" w:hAnsi="Times New Roman" w:cs="Times New Roman"/>
          <w:bCs/>
        </w:rPr>
        <w:t xml:space="preserve"> </w:t>
      </w:r>
      <w:r>
        <w:rPr>
          <w:rFonts w:ascii="Times New Roman" w:hAnsi="Times New Roman" w:cs="Times New Roman"/>
          <w:bCs/>
        </w:rPr>
        <w:t>Dr. Nyikos Györgyi, egyetemi docens, (PhD)</w:t>
      </w:r>
    </w:p>
    <w:p w:rsidR="00892EBF" w:rsidRDefault="00892EBF" w:rsidP="00980876">
      <w:pPr>
        <w:widowControl w:val="0"/>
        <w:numPr>
          <w:ilvl w:val="0"/>
          <w:numId w:val="364"/>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tanórák száma és típusa</w:t>
      </w:r>
    </w:p>
    <w:p w:rsidR="00892EBF" w:rsidRDefault="00892EBF" w:rsidP="00980876">
      <w:pPr>
        <w:widowControl w:val="0"/>
        <w:numPr>
          <w:ilvl w:val="1"/>
          <w:numId w:val="364"/>
        </w:numPr>
        <w:tabs>
          <w:tab w:val="num" w:pos="2069"/>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össz óraszám/félév: 42</w:t>
      </w:r>
    </w:p>
    <w:p w:rsidR="00892EBF" w:rsidRDefault="00892EBF" w:rsidP="00980876">
      <w:pPr>
        <w:widowControl w:val="0"/>
        <w:numPr>
          <w:ilvl w:val="2"/>
          <w:numId w:val="364"/>
        </w:numPr>
        <w:tabs>
          <w:tab w:val="num" w:pos="1134"/>
        </w:tabs>
        <w:spacing w:before="120" w:after="120" w:line="240" w:lineRule="auto"/>
        <w:ind w:left="993" w:hanging="425"/>
        <w:jc w:val="both"/>
        <w:rPr>
          <w:rFonts w:ascii="Times New Roman" w:eastAsia="Times New Roman" w:hAnsi="Times New Roman" w:cs="Times New Roman"/>
          <w:bCs/>
        </w:rPr>
      </w:pPr>
      <w:r>
        <w:rPr>
          <w:rFonts w:ascii="Times New Roman" w:eastAsia="Times New Roman" w:hAnsi="Times New Roman" w:cs="Times New Roman"/>
          <w:bCs/>
        </w:rPr>
        <w:t>nappali munkarend: (14 EA + 0 SZ + 28 GY)</w:t>
      </w:r>
    </w:p>
    <w:p w:rsidR="00892EBF" w:rsidRDefault="00892EBF" w:rsidP="00980876">
      <w:pPr>
        <w:widowControl w:val="0"/>
        <w:numPr>
          <w:ilvl w:val="2"/>
          <w:numId w:val="364"/>
        </w:numPr>
        <w:tabs>
          <w:tab w:val="num" w:pos="1134"/>
        </w:tabs>
        <w:spacing w:before="120" w:after="120" w:line="240" w:lineRule="auto"/>
        <w:ind w:left="993" w:hanging="425"/>
        <w:jc w:val="both"/>
        <w:rPr>
          <w:rFonts w:ascii="Times New Roman" w:eastAsia="Times New Roman" w:hAnsi="Times New Roman" w:cs="Times New Roman"/>
          <w:bCs/>
        </w:rPr>
      </w:pPr>
      <w:r>
        <w:rPr>
          <w:rFonts w:ascii="Times New Roman" w:eastAsia="Times New Roman" w:hAnsi="Times New Roman" w:cs="Times New Roman"/>
          <w:bCs/>
        </w:rPr>
        <w:t>levelező munkarend: -</w:t>
      </w:r>
    </w:p>
    <w:p w:rsidR="00892EBF" w:rsidRDefault="00892EBF" w:rsidP="00980876">
      <w:pPr>
        <w:widowControl w:val="0"/>
        <w:numPr>
          <w:ilvl w:val="1"/>
          <w:numId w:val="364"/>
        </w:numPr>
        <w:tabs>
          <w:tab w:val="num" w:pos="2069"/>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heti óraszám - nappali munkarend: 3</w:t>
      </w:r>
    </w:p>
    <w:p w:rsidR="00892EBF" w:rsidRDefault="00892EBF" w:rsidP="00980876">
      <w:pPr>
        <w:widowControl w:val="0"/>
        <w:numPr>
          <w:ilvl w:val="1"/>
          <w:numId w:val="364"/>
        </w:numPr>
        <w:tabs>
          <w:tab w:val="num" w:pos="2069"/>
        </w:tabs>
        <w:spacing w:before="120" w:after="120" w:line="240" w:lineRule="auto"/>
        <w:ind w:left="851" w:hanging="425"/>
        <w:jc w:val="both"/>
        <w:rPr>
          <w:rFonts w:ascii="Times New Roman" w:eastAsia="Times New Roman" w:hAnsi="Times New Roman" w:cs="Times New Roman"/>
          <w:bCs/>
        </w:rPr>
      </w:pPr>
      <w:r>
        <w:rPr>
          <w:rFonts w:ascii="Times New Roman" w:hAnsi="Times New Roman" w:cs="Times New Roman"/>
        </w:rPr>
        <w:t>Az ismeret átadásában alkalmazandó további sajátos módok, jellemzők:</w:t>
      </w:r>
      <w:r>
        <w:rPr>
          <w:rFonts w:ascii="Times New Roman" w:hAnsi="Times New Roman" w:cs="Times New Roman"/>
          <w:i/>
        </w:rPr>
        <w:t xml:space="preserve"> Az ismeretek feldolgozása vegyes tanulási program (blended learning) alapján történik.</w:t>
      </w:r>
    </w:p>
    <w:p w:rsidR="00892EBF" w:rsidRDefault="00892EBF" w:rsidP="00980876">
      <w:pPr>
        <w:widowControl w:val="0"/>
        <w:numPr>
          <w:ilvl w:val="0"/>
          <w:numId w:val="364"/>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tantárgy szakmai tartalma (magyarul):</w:t>
      </w:r>
      <w:r>
        <w:rPr>
          <w:rFonts w:ascii="Times New Roman" w:eastAsia="Times New Roman" w:hAnsi="Times New Roman" w:cs="Times New Roman"/>
          <w:bCs/>
        </w:rPr>
        <w:t xml:space="preserve"> Megismertetni a honvéd tisztjelöltekkel a gazdasági elemzés lényegét, módszereit.</w:t>
      </w:r>
    </w:p>
    <w:p w:rsidR="00892EBF" w:rsidRDefault="00892EBF" w:rsidP="00892EBF">
      <w:pPr>
        <w:widowControl w:val="0"/>
        <w:spacing w:before="120" w:after="120" w:line="240" w:lineRule="auto"/>
        <w:ind w:left="426"/>
        <w:jc w:val="both"/>
        <w:rPr>
          <w:rFonts w:ascii="Times New Roman" w:eastAsia="Times New Roman" w:hAnsi="Times New Roman" w:cs="Times New Roman"/>
          <w:bCs/>
          <w:lang w:val="en-GB"/>
        </w:rPr>
      </w:pPr>
      <w:r>
        <w:rPr>
          <w:rFonts w:ascii="Times New Roman" w:eastAsia="Times New Roman" w:hAnsi="Times New Roman" w:cs="Times New Roman"/>
          <w:b/>
          <w:bCs/>
        </w:rPr>
        <w:t>A tantárgy szakmai tartalma (angolul) (</w:t>
      </w:r>
      <w:r>
        <w:rPr>
          <w:rFonts w:ascii="Times New Roman" w:eastAsia="Times New Roman" w:hAnsi="Times New Roman" w:cs="Times New Roman"/>
          <w:b/>
          <w:bCs/>
          <w:lang w:val="en-US"/>
        </w:rPr>
        <w:t>Course description</w:t>
      </w:r>
      <w:r>
        <w:rPr>
          <w:rFonts w:ascii="Times New Roman" w:eastAsia="Times New Roman" w:hAnsi="Times New Roman" w:cs="Times New Roman"/>
          <w:b/>
          <w:bCs/>
        </w:rPr>
        <w:t xml:space="preserve">): </w:t>
      </w:r>
      <w:r>
        <w:rPr>
          <w:rFonts w:ascii="Times New Roman" w:eastAsia="Times New Roman" w:hAnsi="Times New Roman" w:cs="Times New Roman"/>
          <w:lang w:val="en-US"/>
        </w:rPr>
        <w:t>The goal of this subject is to make the cadets understand the goals, methods and tools of economic analysis.</w:t>
      </w:r>
    </w:p>
    <w:p w:rsidR="00892EBF" w:rsidRDefault="00892EBF" w:rsidP="00980876">
      <w:pPr>
        <w:pStyle w:val="Listaszerbekezds"/>
        <w:widowControl w:val="0"/>
        <w:numPr>
          <w:ilvl w:val="0"/>
          <w:numId w:val="364"/>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Elérendő kompetenciák (magyarul):</w:t>
      </w:r>
      <w:r>
        <w:rPr>
          <w:rFonts w:ascii="Times New Roman" w:eastAsia="Times New Roman" w:hAnsi="Times New Roman" w:cs="Times New Roman"/>
          <w:bCs/>
        </w:rPr>
        <w:t xml:space="preserve"> </w:t>
      </w:r>
    </w:p>
    <w:p w:rsidR="00892EBF" w:rsidRDefault="00892EBF" w:rsidP="00892EBF">
      <w:pPr>
        <w:widowControl w:val="0"/>
        <w:spacing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Tudása:</w:t>
      </w:r>
    </w:p>
    <w:p w:rsidR="00892EBF" w:rsidRDefault="00892EBF" w:rsidP="00892EBF">
      <w:pPr>
        <w:widowControl w:val="0"/>
        <w:spacing w:before="120" w:after="120" w:line="240" w:lineRule="auto"/>
        <w:ind w:left="993" w:hanging="360"/>
        <w:contextualSpacing/>
        <w:jc w:val="both"/>
        <w:rPr>
          <w:rFonts w:ascii="Times New Roman" w:eastAsia="Times New Roman" w:hAnsi="Times New Roman" w:cs="Times New Roman"/>
          <w:bCs/>
        </w:rPr>
      </w:pPr>
      <w:r>
        <w:rPr>
          <w:rFonts w:ascii="Times New Roman" w:eastAsia="Times New Roman" w:hAnsi="Times New Roman" w:cs="Times New Roman"/>
          <w:bCs/>
        </w:rPr>
        <w:t>-</w:t>
      </w:r>
      <w:r>
        <w:rPr>
          <w:rFonts w:ascii="Times New Roman" w:eastAsia="Times New Roman" w:hAnsi="Times New Roman" w:cs="Times New Roman"/>
          <w:bCs/>
        </w:rPr>
        <w:tab/>
        <w:t>Ismeri a gazdaság és a piacok működésének alapjait, törvényszerűségeit.</w:t>
      </w:r>
    </w:p>
    <w:p w:rsidR="00892EBF" w:rsidRDefault="00892EBF" w:rsidP="00892EBF">
      <w:pPr>
        <w:widowControl w:val="0"/>
        <w:spacing w:before="120" w:after="120" w:line="240" w:lineRule="auto"/>
        <w:ind w:left="993" w:hanging="360"/>
        <w:contextualSpacing/>
        <w:jc w:val="both"/>
        <w:rPr>
          <w:rFonts w:ascii="Times New Roman" w:eastAsia="Times New Roman" w:hAnsi="Times New Roman" w:cs="Times New Roman"/>
          <w:bCs/>
        </w:rPr>
      </w:pPr>
      <w:r>
        <w:rPr>
          <w:rFonts w:ascii="Times New Roman" w:eastAsia="Times New Roman" w:hAnsi="Times New Roman" w:cs="Times New Roman"/>
          <w:bCs/>
        </w:rPr>
        <w:t>-</w:t>
      </w:r>
      <w:r>
        <w:rPr>
          <w:rFonts w:ascii="Times New Roman" w:eastAsia="Times New Roman" w:hAnsi="Times New Roman" w:cs="Times New Roman"/>
          <w:bCs/>
        </w:rPr>
        <w:tab/>
        <w:t>Ismeri a gazdasági elemzés szerepét a gazdaságban és a közszolgálat különböző területein.</w:t>
      </w:r>
    </w:p>
    <w:p w:rsidR="00892EBF" w:rsidRDefault="00892EBF" w:rsidP="00892EBF">
      <w:pPr>
        <w:widowControl w:val="0"/>
        <w:spacing w:before="120" w:after="120" w:line="240" w:lineRule="auto"/>
        <w:ind w:left="993" w:hanging="360"/>
        <w:contextualSpacing/>
        <w:jc w:val="both"/>
        <w:rPr>
          <w:rFonts w:ascii="Times New Roman" w:eastAsia="Times New Roman" w:hAnsi="Times New Roman" w:cs="Times New Roman"/>
          <w:bCs/>
        </w:rPr>
      </w:pPr>
      <w:r>
        <w:rPr>
          <w:rFonts w:ascii="Times New Roman" w:eastAsia="Times New Roman" w:hAnsi="Times New Roman" w:cs="Times New Roman"/>
          <w:bCs/>
        </w:rPr>
        <w:t>-</w:t>
      </w:r>
      <w:r>
        <w:rPr>
          <w:rFonts w:ascii="Times New Roman" w:eastAsia="Times New Roman" w:hAnsi="Times New Roman" w:cs="Times New Roman"/>
          <w:bCs/>
        </w:rPr>
        <w:tab/>
        <w:t>Mélyrehatóan ismeri a pénzügyi-gazdasági elemzés alapvető módszereit, alkalmazási területeit az operatív döntés-előkészítésben, továbbá az éves beszámoló elemzésének módszereit.</w:t>
      </w:r>
    </w:p>
    <w:p w:rsidR="00892EBF" w:rsidRDefault="00892EBF" w:rsidP="00892EBF">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Képességei:</w:t>
      </w:r>
    </w:p>
    <w:p w:rsidR="00892EBF" w:rsidRDefault="00892EBF" w:rsidP="00892EBF">
      <w:pPr>
        <w:widowControl w:val="0"/>
        <w:spacing w:before="120" w:after="120" w:line="240" w:lineRule="auto"/>
        <w:ind w:left="993" w:hanging="360"/>
        <w:contextualSpacing/>
        <w:jc w:val="both"/>
        <w:rPr>
          <w:rFonts w:ascii="Times New Roman" w:eastAsia="Times New Roman" w:hAnsi="Times New Roman" w:cs="Times New Roman"/>
          <w:bCs/>
        </w:rPr>
      </w:pPr>
      <w:r>
        <w:rPr>
          <w:rFonts w:ascii="Times New Roman" w:eastAsia="Times New Roman" w:hAnsi="Times New Roman" w:cs="Times New Roman"/>
          <w:bCs/>
        </w:rPr>
        <w:t>-</w:t>
      </w:r>
      <w:r>
        <w:rPr>
          <w:rFonts w:ascii="Times New Roman" w:eastAsia="Times New Roman" w:hAnsi="Times New Roman" w:cs="Times New Roman"/>
          <w:bCs/>
        </w:rPr>
        <w:tab/>
        <w:t>Képes valós és megbízható képet alkotni a gazdálkodó szervezetek vagyonáról, pénzügyi helyzetéről, gazdálkodásának szabályszerűségéről.</w:t>
      </w:r>
    </w:p>
    <w:p w:rsidR="00892EBF" w:rsidRDefault="00892EBF" w:rsidP="00892EBF">
      <w:pPr>
        <w:widowControl w:val="0"/>
        <w:spacing w:before="120" w:after="120" w:line="240" w:lineRule="auto"/>
        <w:ind w:left="993" w:hanging="360"/>
        <w:contextualSpacing/>
        <w:jc w:val="both"/>
        <w:rPr>
          <w:rFonts w:ascii="Times New Roman" w:eastAsia="Times New Roman" w:hAnsi="Times New Roman" w:cs="Times New Roman"/>
          <w:bCs/>
        </w:rPr>
      </w:pPr>
      <w:r>
        <w:rPr>
          <w:rFonts w:ascii="Times New Roman" w:eastAsia="Times New Roman" w:hAnsi="Times New Roman" w:cs="Times New Roman"/>
          <w:bCs/>
        </w:rPr>
        <w:t>-</w:t>
      </w:r>
      <w:r>
        <w:rPr>
          <w:rFonts w:ascii="Times New Roman" w:eastAsia="Times New Roman" w:hAnsi="Times New Roman" w:cs="Times New Roman"/>
          <w:bCs/>
        </w:rPr>
        <w:tab/>
        <w:t>Képes pontos és precíz logisztikai, illetve gazdálkodási számvetéseket készíteni.</w:t>
      </w:r>
    </w:p>
    <w:p w:rsidR="00892EBF" w:rsidRDefault="00892EBF" w:rsidP="00892EBF">
      <w:pPr>
        <w:widowControl w:val="0"/>
        <w:spacing w:before="120" w:after="120" w:line="240" w:lineRule="auto"/>
        <w:ind w:left="993" w:hanging="360"/>
        <w:contextualSpacing/>
        <w:jc w:val="both"/>
        <w:rPr>
          <w:rFonts w:ascii="Times New Roman" w:eastAsia="Times New Roman" w:hAnsi="Times New Roman" w:cs="Times New Roman"/>
          <w:bCs/>
        </w:rPr>
      </w:pPr>
      <w:r>
        <w:rPr>
          <w:rFonts w:ascii="Times New Roman" w:eastAsia="Times New Roman" w:hAnsi="Times New Roman" w:cs="Times New Roman"/>
          <w:bCs/>
        </w:rPr>
        <w:t>-</w:t>
      </w:r>
      <w:r>
        <w:rPr>
          <w:rFonts w:ascii="Times New Roman" w:eastAsia="Times New Roman" w:hAnsi="Times New Roman" w:cs="Times New Roman"/>
          <w:bCs/>
        </w:rPr>
        <w:tab/>
        <w:t>Képes gazdálkodási feladatok alapszintű tervezésére, szervezésére, irányítására és az ebből adódó tevékenységek gazdasági elemzésinek végrehajtására.</w:t>
      </w:r>
    </w:p>
    <w:p w:rsidR="00892EBF" w:rsidRDefault="00892EBF" w:rsidP="00892EBF">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Attitűdje:</w:t>
      </w:r>
      <w:r>
        <w:rPr>
          <w:rFonts w:ascii="Times New Roman" w:eastAsia="Times New Roman" w:hAnsi="Times New Roman" w:cs="Times New Roman"/>
          <w:bCs/>
        </w:rPr>
        <w:t xml:space="preserve"> </w:t>
      </w:r>
    </w:p>
    <w:p w:rsidR="00892EBF" w:rsidRDefault="00892EBF" w:rsidP="00892EBF">
      <w:pPr>
        <w:widowControl w:val="0"/>
        <w:spacing w:before="120" w:after="120" w:line="240" w:lineRule="auto"/>
        <w:ind w:left="993" w:hanging="360"/>
        <w:contextualSpacing/>
        <w:jc w:val="both"/>
        <w:rPr>
          <w:rFonts w:ascii="Times New Roman" w:eastAsia="Times New Roman" w:hAnsi="Times New Roman" w:cs="Times New Roman"/>
          <w:bCs/>
        </w:rPr>
      </w:pPr>
      <w:r>
        <w:rPr>
          <w:rFonts w:ascii="Times New Roman" w:eastAsia="Times New Roman" w:hAnsi="Times New Roman" w:cs="Times New Roman"/>
          <w:bCs/>
        </w:rPr>
        <w:t>-</w:t>
      </w:r>
      <w:r>
        <w:rPr>
          <w:rFonts w:ascii="Times New Roman" w:eastAsia="Times New Roman" w:hAnsi="Times New Roman" w:cs="Times New Roman"/>
          <w:bCs/>
        </w:rPr>
        <w:tab/>
        <w:t>Nyitott szakterülete új eredményei, innovációi iránt, törekszik azok megismerésére, megértésére és alkalmazására, elkötelezett önmaga folyamatos képzésére.</w:t>
      </w:r>
    </w:p>
    <w:p w:rsidR="00892EBF" w:rsidRDefault="00892EBF" w:rsidP="00892EBF">
      <w:pPr>
        <w:widowControl w:val="0"/>
        <w:spacing w:before="120" w:after="120" w:line="240" w:lineRule="auto"/>
        <w:ind w:left="993" w:hanging="360"/>
        <w:contextualSpacing/>
        <w:jc w:val="both"/>
        <w:rPr>
          <w:rFonts w:ascii="Times New Roman" w:eastAsia="Times New Roman" w:hAnsi="Times New Roman" w:cs="Times New Roman"/>
          <w:bCs/>
        </w:rPr>
      </w:pPr>
      <w:r>
        <w:rPr>
          <w:rFonts w:ascii="Times New Roman" w:eastAsia="Times New Roman" w:hAnsi="Times New Roman" w:cs="Times New Roman"/>
          <w:bCs/>
        </w:rPr>
        <w:t>-</w:t>
      </w:r>
      <w:r>
        <w:rPr>
          <w:rFonts w:ascii="Times New Roman" w:eastAsia="Times New Roman" w:hAnsi="Times New Roman" w:cs="Times New Roman"/>
          <w:bCs/>
        </w:rPr>
        <w:tab/>
        <w:t>A minőségi szakmai munkavégzés iránt elkötelezett, azt a pontosságra való törekvés jellemzi.</w:t>
      </w:r>
    </w:p>
    <w:p w:rsidR="00892EBF" w:rsidRDefault="00892EBF" w:rsidP="00892EBF">
      <w:pPr>
        <w:widowControl w:val="0"/>
        <w:spacing w:before="120" w:after="120" w:line="240" w:lineRule="auto"/>
        <w:ind w:left="993" w:hanging="360"/>
        <w:contextualSpacing/>
        <w:jc w:val="both"/>
        <w:rPr>
          <w:rFonts w:ascii="Times New Roman" w:eastAsia="Times New Roman" w:hAnsi="Times New Roman" w:cs="Times New Roman"/>
          <w:bCs/>
        </w:rPr>
      </w:pPr>
      <w:r>
        <w:rPr>
          <w:rFonts w:ascii="Times New Roman" w:eastAsia="Times New Roman" w:hAnsi="Times New Roman" w:cs="Times New Roman"/>
          <w:bCs/>
        </w:rPr>
        <w:lastRenderedPageBreak/>
        <w:t>-</w:t>
      </w:r>
      <w:r>
        <w:rPr>
          <w:rFonts w:ascii="Times New Roman" w:eastAsia="Times New Roman" w:hAnsi="Times New Roman" w:cs="Times New Roman"/>
          <w:bCs/>
        </w:rPr>
        <w:tab/>
        <w:t>Felismeri a rendszerszintű tevékenységben rejlő értékeket, törekszik a logisztikai tevékenységek közötti kapcsolatok értelmezésére.</w:t>
      </w:r>
    </w:p>
    <w:p w:rsidR="00892EBF" w:rsidRDefault="00892EBF" w:rsidP="00892EBF">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Autonómiája és felelőssége:</w:t>
      </w:r>
    </w:p>
    <w:p w:rsidR="00892EBF" w:rsidRDefault="00892EBF" w:rsidP="00892EBF">
      <w:pPr>
        <w:widowControl w:val="0"/>
        <w:spacing w:before="120" w:after="120" w:line="240" w:lineRule="auto"/>
        <w:ind w:left="993" w:hanging="360"/>
        <w:contextualSpacing/>
        <w:jc w:val="both"/>
        <w:rPr>
          <w:rFonts w:ascii="Times New Roman" w:eastAsia="Times New Roman" w:hAnsi="Times New Roman" w:cs="Times New Roman"/>
          <w:bCs/>
        </w:rPr>
      </w:pPr>
      <w:r>
        <w:rPr>
          <w:rFonts w:ascii="Times New Roman" w:eastAsia="Times New Roman" w:hAnsi="Times New Roman" w:cs="Times New Roman"/>
          <w:bCs/>
        </w:rPr>
        <w:t>-</w:t>
      </w:r>
      <w:r>
        <w:rPr>
          <w:rFonts w:ascii="Times New Roman" w:eastAsia="Times New Roman" w:hAnsi="Times New Roman" w:cs="Times New Roman"/>
          <w:bCs/>
        </w:rPr>
        <w:tab/>
        <w:t>Felelősséget vállal számvetéseinek pontosságáért.</w:t>
      </w:r>
    </w:p>
    <w:p w:rsidR="00892EBF" w:rsidRDefault="00892EBF" w:rsidP="00892EBF">
      <w:pPr>
        <w:widowControl w:val="0"/>
        <w:spacing w:before="120" w:after="0" w:line="240" w:lineRule="auto"/>
        <w:ind w:left="425"/>
        <w:jc w:val="both"/>
        <w:rPr>
          <w:rFonts w:ascii="Times New Roman" w:eastAsia="Times New Roman" w:hAnsi="Times New Roman" w:cs="Times New Roman"/>
          <w:b/>
          <w:bCs/>
          <w:lang w:val="en-US"/>
        </w:rPr>
      </w:pPr>
      <w:r>
        <w:rPr>
          <w:rFonts w:ascii="Times New Roman" w:eastAsia="Times New Roman" w:hAnsi="Times New Roman" w:cs="Times New Roman"/>
          <w:b/>
          <w:bCs/>
        </w:rPr>
        <w:t>Elérendő kompetenciák (angolul) (</w:t>
      </w:r>
      <w:r>
        <w:rPr>
          <w:rFonts w:ascii="Times New Roman" w:eastAsia="Times New Roman" w:hAnsi="Times New Roman" w:cs="Times New Roman"/>
          <w:b/>
          <w:bCs/>
          <w:lang w:val="en-US"/>
        </w:rPr>
        <w:t xml:space="preserve">Competences – English): </w:t>
      </w:r>
    </w:p>
    <w:p w:rsidR="00892EBF" w:rsidRDefault="00892EBF" w:rsidP="00892EBF">
      <w:pPr>
        <w:widowControl w:val="0"/>
        <w:spacing w:before="120" w:after="0" w:line="240" w:lineRule="auto"/>
        <w:ind w:left="425"/>
        <w:jc w:val="both"/>
        <w:rPr>
          <w:rFonts w:ascii="Times New Roman" w:eastAsia="Times New Roman" w:hAnsi="Times New Roman" w:cs="Times New Roman"/>
          <w:lang w:val="en-GB"/>
        </w:rPr>
      </w:pPr>
      <w:r>
        <w:rPr>
          <w:rFonts w:ascii="Times New Roman" w:eastAsia="Times New Roman" w:hAnsi="Times New Roman" w:cs="Times New Roman"/>
          <w:b/>
          <w:lang w:val="en-GB"/>
        </w:rPr>
        <w:t>Knowledge</w:t>
      </w:r>
      <w:r>
        <w:rPr>
          <w:rFonts w:ascii="Times New Roman" w:eastAsia="Times New Roman" w:hAnsi="Times New Roman" w:cs="Times New Roman"/>
          <w:lang w:val="en-GB"/>
        </w:rPr>
        <w:t xml:space="preserve">: </w:t>
      </w:r>
    </w:p>
    <w:p w:rsidR="00892EBF" w:rsidRDefault="00892EBF" w:rsidP="00892EBF">
      <w:pPr>
        <w:widowControl w:val="0"/>
        <w:spacing w:before="120" w:after="120" w:line="240" w:lineRule="auto"/>
        <w:ind w:left="993" w:hanging="360"/>
        <w:contextualSpacing/>
        <w:jc w:val="both"/>
        <w:rPr>
          <w:rFonts w:ascii="Times New Roman" w:eastAsia="Times New Roman" w:hAnsi="Times New Roman" w:cs="Times New Roman"/>
          <w:bCs/>
        </w:rPr>
      </w:pPr>
      <w:r>
        <w:rPr>
          <w:rFonts w:ascii="Times New Roman" w:eastAsia="Times New Roman" w:hAnsi="Times New Roman" w:cs="Times New Roman"/>
          <w:bCs/>
        </w:rPr>
        <w:t>-</w:t>
      </w:r>
      <w:r>
        <w:rPr>
          <w:rFonts w:ascii="Times New Roman" w:eastAsia="Times New Roman" w:hAnsi="Times New Roman" w:cs="Times New Roman"/>
          <w:bCs/>
        </w:rPr>
        <w:tab/>
        <w:t>Knows the basics of the operation of the economy and the markets.</w:t>
      </w:r>
    </w:p>
    <w:p w:rsidR="00892EBF" w:rsidRDefault="00892EBF" w:rsidP="00892EBF">
      <w:pPr>
        <w:widowControl w:val="0"/>
        <w:spacing w:before="120" w:after="120" w:line="240" w:lineRule="auto"/>
        <w:ind w:left="993" w:hanging="360"/>
        <w:contextualSpacing/>
        <w:jc w:val="both"/>
        <w:rPr>
          <w:rFonts w:ascii="Times New Roman" w:eastAsia="Times New Roman" w:hAnsi="Times New Roman" w:cs="Times New Roman"/>
          <w:bCs/>
        </w:rPr>
      </w:pPr>
      <w:r>
        <w:rPr>
          <w:rFonts w:ascii="Times New Roman" w:eastAsia="Times New Roman" w:hAnsi="Times New Roman" w:cs="Times New Roman"/>
          <w:bCs/>
        </w:rPr>
        <w:t>-</w:t>
      </w:r>
      <w:r>
        <w:rPr>
          <w:rFonts w:ascii="Times New Roman" w:eastAsia="Times New Roman" w:hAnsi="Times New Roman" w:cs="Times New Roman"/>
          <w:bCs/>
        </w:rPr>
        <w:tab/>
        <w:t>Knows the role of economic analysis in the economy and in various areas of public service.</w:t>
      </w:r>
    </w:p>
    <w:p w:rsidR="00892EBF" w:rsidRDefault="00892EBF" w:rsidP="00892EBF">
      <w:pPr>
        <w:widowControl w:val="0"/>
        <w:spacing w:before="120" w:after="120" w:line="240" w:lineRule="auto"/>
        <w:ind w:left="993" w:hanging="360"/>
        <w:contextualSpacing/>
        <w:jc w:val="both"/>
        <w:rPr>
          <w:rFonts w:ascii="Times New Roman" w:eastAsia="Times New Roman" w:hAnsi="Times New Roman" w:cs="Times New Roman"/>
          <w:bCs/>
        </w:rPr>
      </w:pPr>
      <w:r>
        <w:rPr>
          <w:rFonts w:ascii="Times New Roman" w:eastAsia="Times New Roman" w:hAnsi="Times New Roman" w:cs="Times New Roman"/>
          <w:bCs/>
        </w:rPr>
        <w:t>-</w:t>
      </w:r>
      <w:r>
        <w:rPr>
          <w:rFonts w:ascii="Times New Roman" w:eastAsia="Times New Roman" w:hAnsi="Times New Roman" w:cs="Times New Roman"/>
          <w:bCs/>
        </w:rPr>
        <w:tab/>
        <w:t>Has thorough knowledge of the basic techniques of financial-economic analysis, its areas of application in operational decision-making and the methods of analysing annual reports.</w:t>
      </w:r>
    </w:p>
    <w:p w:rsidR="00892EBF" w:rsidRDefault="00892EBF" w:rsidP="00892EBF">
      <w:pPr>
        <w:widowControl w:val="0"/>
        <w:spacing w:before="120" w:after="0" w:line="240" w:lineRule="auto"/>
        <w:ind w:left="425"/>
        <w:jc w:val="both"/>
        <w:rPr>
          <w:rFonts w:ascii="Times New Roman" w:eastAsia="Times New Roman" w:hAnsi="Times New Roman" w:cs="Times New Roman"/>
          <w:lang w:val="en-GB"/>
        </w:rPr>
      </w:pPr>
      <w:r>
        <w:rPr>
          <w:rFonts w:ascii="Times New Roman" w:eastAsia="Times New Roman" w:hAnsi="Times New Roman" w:cs="Times New Roman"/>
          <w:b/>
          <w:lang w:val="en-GB"/>
        </w:rPr>
        <w:t>Capabilities</w:t>
      </w:r>
      <w:r>
        <w:rPr>
          <w:rFonts w:ascii="Times New Roman" w:eastAsia="Times New Roman" w:hAnsi="Times New Roman" w:cs="Times New Roman"/>
          <w:lang w:val="en-GB"/>
        </w:rPr>
        <w:t xml:space="preserve">: </w:t>
      </w:r>
    </w:p>
    <w:p w:rsidR="00892EBF" w:rsidRDefault="00892EBF" w:rsidP="00892EBF">
      <w:pPr>
        <w:widowControl w:val="0"/>
        <w:spacing w:before="120" w:after="120" w:line="240" w:lineRule="auto"/>
        <w:ind w:left="993" w:hanging="360"/>
        <w:contextualSpacing/>
        <w:jc w:val="both"/>
        <w:rPr>
          <w:rFonts w:ascii="Times New Roman" w:eastAsia="Times New Roman" w:hAnsi="Times New Roman" w:cs="Times New Roman"/>
          <w:bCs/>
        </w:rPr>
      </w:pPr>
      <w:r>
        <w:rPr>
          <w:rFonts w:ascii="Times New Roman" w:eastAsia="Times New Roman" w:hAnsi="Times New Roman" w:cs="Times New Roman"/>
          <w:bCs/>
        </w:rPr>
        <w:t>-</w:t>
      </w:r>
      <w:r>
        <w:rPr>
          <w:rFonts w:ascii="Times New Roman" w:eastAsia="Times New Roman" w:hAnsi="Times New Roman" w:cs="Times New Roman"/>
          <w:bCs/>
        </w:rPr>
        <w:tab/>
        <w:t>He/She is able to give a real and reliable picture of the assets, financial position and regularity of the business organizations.</w:t>
      </w:r>
    </w:p>
    <w:p w:rsidR="00892EBF" w:rsidRDefault="00892EBF" w:rsidP="00892EBF">
      <w:pPr>
        <w:widowControl w:val="0"/>
        <w:spacing w:before="120" w:after="120" w:line="240" w:lineRule="auto"/>
        <w:ind w:left="993" w:hanging="360"/>
        <w:contextualSpacing/>
        <w:jc w:val="both"/>
        <w:rPr>
          <w:rFonts w:ascii="Times New Roman" w:eastAsia="Times New Roman" w:hAnsi="Times New Roman" w:cs="Times New Roman"/>
          <w:bCs/>
        </w:rPr>
      </w:pPr>
      <w:r>
        <w:rPr>
          <w:rFonts w:ascii="Times New Roman" w:eastAsia="Times New Roman" w:hAnsi="Times New Roman" w:cs="Times New Roman"/>
          <w:bCs/>
        </w:rPr>
        <w:t>-</w:t>
      </w:r>
      <w:r>
        <w:rPr>
          <w:rFonts w:ascii="Times New Roman" w:eastAsia="Times New Roman" w:hAnsi="Times New Roman" w:cs="Times New Roman"/>
          <w:bCs/>
        </w:rPr>
        <w:tab/>
        <w:t>Capable of making accurate and precise logistic and economic calculations.</w:t>
      </w:r>
    </w:p>
    <w:p w:rsidR="00892EBF" w:rsidRDefault="00892EBF" w:rsidP="00892EBF">
      <w:pPr>
        <w:widowControl w:val="0"/>
        <w:spacing w:before="120" w:after="120" w:line="240" w:lineRule="auto"/>
        <w:ind w:left="993" w:hanging="360"/>
        <w:contextualSpacing/>
        <w:jc w:val="both"/>
        <w:rPr>
          <w:rFonts w:ascii="Times New Roman" w:eastAsia="Times New Roman" w:hAnsi="Times New Roman" w:cs="Times New Roman"/>
          <w:bCs/>
        </w:rPr>
      </w:pPr>
      <w:r>
        <w:rPr>
          <w:rFonts w:ascii="Times New Roman" w:eastAsia="Times New Roman" w:hAnsi="Times New Roman" w:cs="Times New Roman"/>
          <w:bCs/>
        </w:rPr>
        <w:t>-</w:t>
      </w:r>
      <w:r>
        <w:rPr>
          <w:rFonts w:ascii="Times New Roman" w:eastAsia="Times New Roman" w:hAnsi="Times New Roman" w:cs="Times New Roman"/>
          <w:bCs/>
        </w:rPr>
        <w:tab/>
        <w:t>Able to plan, organize, manage, and perform economic analysis of basic business tasks.</w:t>
      </w:r>
    </w:p>
    <w:p w:rsidR="00892EBF" w:rsidRDefault="00892EBF" w:rsidP="00892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425"/>
        <w:jc w:val="both"/>
        <w:rPr>
          <w:rFonts w:ascii="Times New Roman" w:eastAsia="Times New Roman" w:hAnsi="Times New Roman" w:cs="Times New Roman"/>
          <w:lang w:val="en-GB"/>
        </w:rPr>
      </w:pPr>
      <w:r>
        <w:rPr>
          <w:rFonts w:ascii="Times New Roman" w:eastAsia="Times New Roman" w:hAnsi="Times New Roman" w:cs="Times New Roman"/>
          <w:b/>
          <w:lang w:val="en-GB"/>
        </w:rPr>
        <w:t>Attitude:</w:t>
      </w:r>
      <w:r>
        <w:rPr>
          <w:rFonts w:ascii="Times New Roman" w:eastAsia="Times New Roman" w:hAnsi="Times New Roman" w:cs="Times New Roman"/>
          <w:lang w:val="en-GB"/>
        </w:rPr>
        <w:t xml:space="preserve"> </w:t>
      </w:r>
    </w:p>
    <w:p w:rsidR="00892EBF" w:rsidRDefault="00892EBF" w:rsidP="00892EBF">
      <w:pPr>
        <w:widowControl w:val="0"/>
        <w:spacing w:before="120" w:after="120" w:line="240" w:lineRule="auto"/>
        <w:ind w:left="993" w:hanging="360"/>
        <w:contextualSpacing/>
        <w:jc w:val="both"/>
        <w:rPr>
          <w:rFonts w:ascii="Times New Roman" w:eastAsia="Times New Roman" w:hAnsi="Times New Roman" w:cs="Times New Roman"/>
          <w:bCs/>
        </w:rPr>
      </w:pPr>
      <w:r>
        <w:rPr>
          <w:rFonts w:ascii="Times New Roman" w:eastAsia="Times New Roman" w:hAnsi="Times New Roman" w:cs="Times New Roman"/>
          <w:bCs/>
        </w:rPr>
        <w:t>-</w:t>
      </w:r>
      <w:r>
        <w:rPr>
          <w:rFonts w:ascii="Times New Roman" w:eastAsia="Times New Roman" w:hAnsi="Times New Roman" w:cs="Times New Roman"/>
          <w:bCs/>
        </w:rPr>
        <w:tab/>
        <w:t>In his/her specialization he/she is open to new achievements and innovations, strives to know, understand and apply them, and committed to continous self-education.</w:t>
      </w:r>
    </w:p>
    <w:p w:rsidR="00892EBF" w:rsidRDefault="00892EBF" w:rsidP="00892EBF">
      <w:pPr>
        <w:widowControl w:val="0"/>
        <w:spacing w:before="120" w:after="120" w:line="240" w:lineRule="auto"/>
        <w:ind w:left="993" w:hanging="360"/>
        <w:contextualSpacing/>
        <w:jc w:val="both"/>
        <w:rPr>
          <w:rFonts w:ascii="Times New Roman" w:eastAsia="Times New Roman" w:hAnsi="Times New Roman" w:cs="Times New Roman"/>
          <w:bCs/>
        </w:rPr>
      </w:pPr>
      <w:r>
        <w:rPr>
          <w:rFonts w:ascii="Times New Roman" w:eastAsia="Times New Roman" w:hAnsi="Times New Roman" w:cs="Times New Roman"/>
          <w:bCs/>
        </w:rPr>
        <w:t>-</w:t>
      </w:r>
      <w:r>
        <w:rPr>
          <w:rFonts w:ascii="Times New Roman" w:eastAsia="Times New Roman" w:hAnsi="Times New Roman" w:cs="Times New Roman"/>
          <w:bCs/>
        </w:rPr>
        <w:tab/>
        <w:t>His/Her professional work is characterized by high accuracy and quality.</w:t>
      </w:r>
    </w:p>
    <w:p w:rsidR="00892EBF" w:rsidRDefault="00892EBF" w:rsidP="00892EBF">
      <w:pPr>
        <w:widowControl w:val="0"/>
        <w:spacing w:before="120" w:after="120" w:line="240" w:lineRule="auto"/>
        <w:ind w:left="993" w:hanging="360"/>
        <w:contextualSpacing/>
        <w:jc w:val="both"/>
        <w:rPr>
          <w:rFonts w:ascii="Times New Roman" w:eastAsia="Times New Roman" w:hAnsi="Times New Roman" w:cs="Times New Roman"/>
          <w:bCs/>
        </w:rPr>
      </w:pPr>
      <w:r>
        <w:rPr>
          <w:rFonts w:ascii="Times New Roman" w:eastAsia="Times New Roman" w:hAnsi="Times New Roman" w:cs="Times New Roman"/>
          <w:bCs/>
        </w:rPr>
        <w:t>-</w:t>
      </w:r>
      <w:r>
        <w:rPr>
          <w:rFonts w:ascii="Times New Roman" w:eastAsia="Times New Roman" w:hAnsi="Times New Roman" w:cs="Times New Roman"/>
          <w:bCs/>
        </w:rPr>
        <w:tab/>
        <w:t>He/She recognizes the value of systemic activities and seeks to understand the relationships among logistics procedures.</w:t>
      </w:r>
    </w:p>
    <w:p w:rsidR="00892EBF" w:rsidRDefault="00892EBF" w:rsidP="00892EBF">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lang w:val="en-GB"/>
        </w:rPr>
        <w:t xml:space="preserve">Autonomy and responsibility: </w:t>
      </w:r>
    </w:p>
    <w:p w:rsidR="00892EBF" w:rsidRDefault="00892EBF" w:rsidP="00892EBF">
      <w:pPr>
        <w:widowControl w:val="0"/>
        <w:spacing w:before="120" w:after="120" w:line="240" w:lineRule="auto"/>
        <w:ind w:left="993" w:hanging="360"/>
        <w:contextualSpacing/>
        <w:jc w:val="both"/>
        <w:rPr>
          <w:rFonts w:ascii="Times New Roman" w:eastAsia="Times New Roman" w:hAnsi="Times New Roman" w:cs="Times New Roman"/>
          <w:bCs/>
          <w:lang w:val="en-US"/>
        </w:rPr>
      </w:pPr>
      <w:r>
        <w:rPr>
          <w:rFonts w:ascii="Times New Roman" w:eastAsia="Times New Roman" w:hAnsi="Times New Roman" w:cs="Times New Roman"/>
          <w:bCs/>
          <w:lang w:val="en-US"/>
        </w:rPr>
        <w:t>-</w:t>
      </w:r>
      <w:r>
        <w:rPr>
          <w:rFonts w:ascii="Times New Roman" w:eastAsia="Times New Roman" w:hAnsi="Times New Roman" w:cs="Times New Roman"/>
          <w:bCs/>
          <w:lang w:val="en-US"/>
        </w:rPr>
        <w:tab/>
        <w:t>He / She takes responsibility for the accuracy of his/her calculations.</w:t>
      </w:r>
    </w:p>
    <w:p w:rsidR="00892EBF" w:rsidRDefault="00892EBF" w:rsidP="00980876">
      <w:pPr>
        <w:widowControl w:val="0"/>
        <w:numPr>
          <w:ilvl w:val="0"/>
          <w:numId w:val="364"/>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Előtanulmányi követelmények:</w:t>
      </w:r>
    </w:p>
    <w:p w:rsidR="00892EBF" w:rsidRPr="004829FA" w:rsidRDefault="00892EBF" w:rsidP="00980876">
      <w:pPr>
        <w:pStyle w:val="Listaszerbekezds"/>
        <w:widowControl w:val="0"/>
        <w:numPr>
          <w:ilvl w:val="1"/>
          <w:numId w:val="199"/>
        </w:numPr>
        <w:spacing w:before="120" w:after="120" w:line="240" w:lineRule="auto"/>
        <w:jc w:val="both"/>
        <w:rPr>
          <w:rFonts w:ascii="Times New Roman" w:eastAsia="Times New Roman" w:hAnsi="Times New Roman" w:cs="Times New Roman"/>
          <w:bCs/>
        </w:rPr>
      </w:pPr>
      <w:r w:rsidRPr="004829FA">
        <w:rPr>
          <w:rFonts w:ascii="Times New Roman" w:eastAsia="Times New Roman" w:hAnsi="Times New Roman" w:cs="Times New Roman"/>
        </w:rPr>
        <w:t>Statisztika (HKHPKA102)</w:t>
      </w:r>
    </w:p>
    <w:p w:rsidR="00892EBF" w:rsidRPr="004829FA" w:rsidRDefault="00892EBF" w:rsidP="00980876">
      <w:pPr>
        <w:pStyle w:val="Listaszerbekezds"/>
        <w:widowControl w:val="0"/>
        <w:numPr>
          <w:ilvl w:val="1"/>
          <w:numId w:val="199"/>
        </w:numPr>
        <w:spacing w:before="120" w:after="120" w:line="240" w:lineRule="auto"/>
        <w:jc w:val="both"/>
        <w:rPr>
          <w:rFonts w:ascii="Times New Roman" w:eastAsia="Times New Roman" w:hAnsi="Times New Roman" w:cs="Times New Roman"/>
          <w:bCs/>
        </w:rPr>
      </w:pPr>
      <w:r w:rsidRPr="004829FA">
        <w:rPr>
          <w:rFonts w:ascii="Times New Roman" w:eastAsia="Times New Roman" w:hAnsi="Times New Roman" w:cs="Times New Roman"/>
        </w:rPr>
        <w:t>Számvitel I. (Alapok) (HKHPKA500)</w:t>
      </w:r>
    </w:p>
    <w:p w:rsidR="00892EBF" w:rsidRDefault="00892EBF" w:rsidP="00980876">
      <w:pPr>
        <w:widowControl w:val="0"/>
        <w:numPr>
          <w:ilvl w:val="0"/>
          <w:numId w:val="364"/>
        </w:numPr>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A tantárgy tananyagának leírása, tematika. Description of the subject, curriculum (magyarul, angolul - English):</w:t>
      </w:r>
    </w:p>
    <w:p w:rsidR="00892EBF" w:rsidRDefault="00892EBF" w:rsidP="00980876">
      <w:pPr>
        <w:widowControl w:val="0"/>
        <w:numPr>
          <w:ilvl w:val="1"/>
          <w:numId w:val="364"/>
        </w:numPr>
        <w:tabs>
          <w:tab w:val="left" w:pos="709"/>
          <w:tab w:val="left" w:pos="993"/>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A gazdasági elemzés célja, feladata, helye a nemzetgazdaságban</w:t>
      </w:r>
      <w:r>
        <w:rPr>
          <w:rFonts w:ascii="Times New Roman" w:eastAsia="Times New Roman" w:hAnsi="Times New Roman" w:cs="Times New Roman"/>
          <w:i/>
          <w:kern w:val="2"/>
        </w:rPr>
        <w:t>. (The aim, task and place of economic analysis in the national economy.)</w:t>
      </w:r>
    </w:p>
    <w:p w:rsidR="00892EBF" w:rsidRDefault="00892EBF" w:rsidP="00980876">
      <w:pPr>
        <w:widowControl w:val="0"/>
        <w:numPr>
          <w:ilvl w:val="1"/>
          <w:numId w:val="364"/>
        </w:numPr>
        <w:tabs>
          <w:tab w:val="left" w:pos="709"/>
          <w:tab w:val="left" w:pos="993"/>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Összehasonlítások az elemzésben: az összehasonlíthatóság biztosítása a torzító tényezők kiszűrésével: árkorrekció, egyenérték-számítás stb. </w:t>
      </w:r>
      <w:r>
        <w:rPr>
          <w:rFonts w:ascii="Times New Roman" w:eastAsia="Times New Roman" w:hAnsi="Times New Roman" w:cs="Times New Roman"/>
          <w:i/>
          <w:kern w:val="2"/>
        </w:rPr>
        <w:t>(Comparisons in analysis: ensuring comparability by eliminating bias: price adjustment, equivalence calculation, etc.)</w:t>
      </w:r>
    </w:p>
    <w:p w:rsidR="00892EBF" w:rsidRDefault="00892EBF" w:rsidP="00980876">
      <w:pPr>
        <w:widowControl w:val="0"/>
        <w:numPr>
          <w:ilvl w:val="1"/>
          <w:numId w:val="364"/>
        </w:numPr>
        <w:tabs>
          <w:tab w:val="left" w:pos="709"/>
          <w:tab w:val="left" w:pos="993"/>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Az operatív döntéstámogatás elemzési módszerei (gazdasági kalkulációk alkalmazása a döntés-előkészítés folyamán): költségkalkulációk, önköltségszámítás, műszaki fejlesztéshez kapcsolódó kalkulációk, optimális termékösszetétel meghatározása. </w:t>
      </w:r>
      <w:r>
        <w:rPr>
          <w:rFonts w:ascii="Times New Roman" w:eastAsia="Times New Roman" w:hAnsi="Times New Roman" w:cs="Times New Roman"/>
          <w:i/>
          <w:kern w:val="2"/>
        </w:rPr>
        <w:t>(Methods of analysis of operational decision support (application of economic calculations during decision preparation): cost calculations, self-cost calculations, calculations related to technical development, determination of the optimal product composition.)</w:t>
      </w:r>
    </w:p>
    <w:p w:rsidR="00892EBF" w:rsidRDefault="00892EBF" w:rsidP="00980876">
      <w:pPr>
        <w:widowControl w:val="0"/>
        <w:numPr>
          <w:ilvl w:val="1"/>
          <w:numId w:val="364"/>
        </w:numPr>
        <w:tabs>
          <w:tab w:val="left" w:pos="709"/>
          <w:tab w:val="left" w:pos="993"/>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1. ZH. megírása. </w:t>
      </w:r>
      <w:r>
        <w:rPr>
          <w:rFonts w:ascii="Times New Roman" w:eastAsia="Times New Roman" w:hAnsi="Times New Roman" w:cs="Times New Roman"/>
          <w:i/>
          <w:kern w:val="2"/>
        </w:rPr>
        <w:t>(Written test)</w:t>
      </w:r>
    </w:p>
    <w:p w:rsidR="00892EBF" w:rsidRDefault="00892EBF" w:rsidP="00980876">
      <w:pPr>
        <w:widowControl w:val="0"/>
        <w:numPr>
          <w:ilvl w:val="1"/>
          <w:numId w:val="364"/>
        </w:numPr>
        <w:tabs>
          <w:tab w:val="left" w:pos="709"/>
          <w:tab w:val="left" w:pos="993"/>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Erőforrás-elemzési módszerek: a termelési eszközök és készletek elemzése, a munkaerő- és bérgazdálkodás elemzése. </w:t>
      </w:r>
      <w:r>
        <w:rPr>
          <w:rFonts w:ascii="Times New Roman" w:eastAsia="Times New Roman" w:hAnsi="Times New Roman" w:cs="Times New Roman"/>
          <w:i/>
          <w:kern w:val="2"/>
        </w:rPr>
        <w:t>(Resource analysis methods: analysis of production assets and inventories, analysis of labor and wage management.)</w:t>
      </w:r>
    </w:p>
    <w:p w:rsidR="00892EBF" w:rsidRDefault="00892EBF" w:rsidP="00980876">
      <w:pPr>
        <w:widowControl w:val="0"/>
        <w:numPr>
          <w:ilvl w:val="1"/>
          <w:numId w:val="364"/>
        </w:numPr>
        <w:tabs>
          <w:tab w:val="left" w:pos="709"/>
          <w:tab w:val="left" w:pos="993"/>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 termelés és értékesítés alakulásának elemzése. </w:t>
      </w:r>
      <w:r>
        <w:rPr>
          <w:rFonts w:ascii="Times New Roman" w:eastAsia="Times New Roman" w:hAnsi="Times New Roman" w:cs="Times New Roman"/>
          <w:i/>
          <w:kern w:val="2"/>
        </w:rPr>
        <w:t>(Analysis of production and sales trends.)</w:t>
      </w:r>
    </w:p>
    <w:p w:rsidR="00892EBF" w:rsidRDefault="00892EBF" w:rsidP="00980876">
      <w:pPr>
        <w:widowControl w:val="0"/>
        <w:numPr>
          <w:ilvl w:val="1"/>
          <w:numId w:val="364"/>
        </w:numPr>
        <w:tabs>
          <w:tab w:val="left" w:pos="709"/>
          <w:tab w:val="left" w:pos="993"/>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Az éves beszámoló elemzésének szerepe a gazdálkodásban. </w:t>
      </w:r>
      <w:r>
        <w:rPr>
          <w:rFonts w:ascii="Times New Roman" w:eastAsia="Times New Roman" w:hAnsi="Times New Roman" w:cs="Times New Roman"/>
          <w:i/>
          <w:kern w:val="2"/>
        </w:rPr>
        <w:t>(The role of annual report analysis in management.)</w:t>
      </w:r>
    </w:p>
    <w:p w:rsidR="00892EBF" w:rsidRDefault="00892EBF" w:rsidP="00980876">
      <w:pPr>
        <w:widowControl w:val="0"/>
        <w:numPr>
          <w:ilvl w:val="1"/>
          <w:numId w:val="364"/>
        </w:numPr>
        <w:tabs>
          <w:tab w:val="left" w:pos="709"/>
          <w:tab w:val="left" w:pos="993"/>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 vagyoni helyzet elemzésének módszerei: a fontosabb vagyonelemek fogalma, összetétele, tőkeszerkezeti mutatók. </w:t>
      </w:r>
      <w:r>
        <w:rPr>
          <w:rFonts w:ascii="Times New Roman" w:eastAsia="Times New Roman" w:hAnsi="Times New Roman" w:cs="Times New Roman"/>
          <w:i/>
          <w:kern w:val="2"/>
        </w:rPr>
        <w:t>(Methods of analyzing the financial situation: the concept, composition of capital assets, capital structure indicators.)</w:t>
      </w:r>
    </w:p>
    <w:p w:rsidR="00892EBF" w:rsidRDefault="00892EBF" w:rsidP="00980876">
      <w:pPr>
        <w:widowControl w:val="0"/>
        <w:numPr>
          <w:ilvl w:val="1"/>
          <w:numId w:val="364"/>
        </w:numPr>
        <w:tabs>
          <w:tab w:val="left" w:pos="709"/>
          <w:tab w:val="left" w:pos="993"/>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lastRenderedPageBreak/>
        <w:t xml:space="preserve">A pénzügyi helyzet elemzésének módszerei: likviditási mérleg, pénzügyi mutatók, az adósságállomány vizsgálata, cash flow-elemzés. </w:t>
      </w:r>
      <w:r>
        <w:rPr>
          <w:rFonts w:ascii="Times New Roman" w:eastAsia="Times New Roman" w:hAnsi="Times New Roman" w:cs="Times New Roman"/>
          <w:i/>
          <w:kern w:val="2"/>
        </w:rPr>
        <w:t>(Methods for analyzing financial position: liquidity balance sheet, financial ratios, debt analysis, cash flow analysis.)</w:t>
      </w:r>
    </w:p>
    <w:p w:rsidR="00892EBF" w:rsidRDefault="00892EBF" w:rsidP="00980876">
      <w:pPr>
        <w:widowControl w:val="0"/>
        <w:numPr>
          <w:ilvl w:val="1"/>
          <w:numId w:val="364"/>
        </w:numPr>
        <w:tabs>
          <w:tab w:val="left" w:pos="709"/>
          <w:tab w:val="left" w:pos="993"/>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 A vállalati teljesítmény mérésének módszerei: a hatékonyság vizsgálata, a jövedelmezőség vizsgálata, a mutatószámok közötti összefüggések. </w:t>
      </w:r>
      <w:r>
        <w:rPr>
          <w:rFonts w:ascii="Times New Roman" w:eastAsia="Times New Roman" w:hAnsi="Times New Roman" w:cs="Times New Roman"/>
          <w:i/>
          <w:kern w:val="2"/>
        </w:rPr>
        <w:t>(Methods of measuring corporate performance: efficiency analysis, profitability analysis, relationships between indicators.)</w:t>
      </w:r>
    </w:p>
    <w:p w:rsidR="00892EBF" w:rsidRDefault="00892EBF" w:rsidP="00980876">
      <w:pPr>
        <w:widowControl w:val="0"/>
        <w:numPr>
          <w:ilvl w:val="1"/>
          <w:numId w:val="364"/>
        </w:numPr>
        <w:tabs>
          <w:tab w:val="left" w:pos="709"/>
          <w:tab w:val="left" w:pos="993"/>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 Gyakorlás. 2. ZH. megírása. </w:t>
      </w:r>
      <w:r>
        <w:rPr>
          <w:rFonts w:ascii="Times New Roman" w:eastAsia="Times New Roman" w:hAnsi="Times New Roman" w:cs="Times New Roman"/>
          <w:i/>
          <w:kern w:val="2"/>
        </w:rPr>
        <w:t>(Practice, written test.)</w:t>
      </w:r>
    </w:p>
    <w:p w:rsidR="00892EBF" w:rsidRDefault="00892EBF" w:rsidP="00980876">
      <w:pPr>
        <w:widowControl w:val="0"/>
        <w:numPr>
          <w:ilvl w:val="0"/>
          <w:numId w:val="364"/>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 tantárgy meghirdetésének gyakorisága/a tantervben történő félévi elhelyezkedése: </w:t>
      </w:r>
      <w:r>
        <w:rPr>
          <w:rFonts w:ascii="Times New Roman" w:eastAsia="Times New Roman" w:hAnsi="Times New Roman" w:cs="Times New Roman"/>
          <w:bCs/>
        </w:rPr>
        <w:t>Minden tavaszi szemeszterben / 6. félév</w:t>
      </w:r>
    </w:p>
    <w:p w:rsidR="00892EBF" w:rsidRDefault="00892EBF" w:rsidP="00980876">
      <w:pPr>
        <w:widowControl w:val="0"/>
        <w:numPr>
          <w:ilvl w:val="0"/>
          <w:numId w:val="364"/>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tanórákon való részvétel követelményei, az elfogadható hiányzások mértéke, a távolmaradás pótlásának lehetősége:</w:t>
      </w:r>
      <w:r>
        <w:rPr>
          <w:rFonts w:ascii="Times New Roman" w:eastAsia="Times New Roman" w:hAnsi="Times New Roman" w:cs="Times New Roman"/>
          <w:bCs/>
        </w:rPr>
        <w:t xml:space="preserve"> A tanórákon való részvétel kötelező.</w:t>
      </w:r>
      <w:r>
        <w:rPr>
          <w:rFonts w:ascii="Times New Roman" w:eastAsia="Times New Roman" w:hAnsi="Times New Roman" w:cs="Times New Roman"/>
          <w:b/>
          <w:bCs/>
        </w:rPr>
        <w:t xml:space="preserve"> </w:t>
      </w:r>
      <w:r>
        <w:rPr>
          <w:rFonts w:ascii="Times New Roman" w:eastAsia="Times New Roman" w:hAnsi="Times New Roman" w:cs="Times New Roman"/>
          <w:bCs/>
        </w:rPr>
        <w:t>A félév elfogadásának feltétele a tanórák minimum 80%-án való részvétel. Ennél magasabb mértékű távolmaradás pótlása az oktató engedélyével történhet. A hallgatónak a kimaradt tananyagot önképzés keretén belül kell elsajátítani. A kimaradt tananyag jobb megértése érdekében az oktató konzultációs lehetőséget biztosíthat.</w:t>
      </w:r>
    </w:p>
    <w:p w:rsidR="00892EBF" w:rsidRDefault="00892EBF" w:rsidP="00980876">
      <w:pPr>
        <w:widowControl w:val="0"/>
        <w:numPr>
          <w:ilvl w:val="0"/>
          <w:numId w:val="364"/>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rPr>
        <w:t xml:space="preserve">Félévközi feladatok, ismeretek ellenőrzésének rendje: </w:t>
      </w:r>
      <w:r>
        <w:rPr>
          <w:rFonts w:ascii="Times New Roman" w:eastAsia="Times New Roman" w:hAnsi="Times New Roman" w:cs="Times New Roman"/>
        </w:rPr>
        <w:t>A honvéd tisztjelöltek a félév elején a kiadott listából választanak egy vállalkozást, amelyet a félév során tanult módszerekkel leelemeznek. Az elemzés beadásának határideje az oktató által a félév elején meghatározott időpont, de legkésőbb a szorgalmi időszak utolsó hete.</w:t>
      </w:r>
    </w:p>
    <w:p w:rsidR="00892EBF" w:rsidRDefault="00892EBF" w:rsidP="00980876">
      <w:pPr>
        <w:widowControl w:val="0"/>
        <w:numPr>
          <w:ilvl w:val="0"/>
          <w:numId w:val="364"/>
        </w:numPr>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Az értékelés, az aláírás és a kreditek megszerzésének pontos feltételei: </w:t>
      </w:r>
    </w:p>
    <w:p w:rsidR="00892EBF" w:rsidRPr="004829FA" w:rsidRDefault="00892EBF" w:rsidP="00980876">
      <w:pPr>
        <w:widowControl w:val="0"/>
        <w:numPr>
          <w:ilvl w:val="1"/>
          <w:numId w:val="364"/>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4829FA">
        <w:rPr>
          <w:rFonts w:ascii="Times New Roman" w:eastAsia="Times New Roman" w:hAnsi="Times New Roman" w:cs="Times New Roman"/>
          <w:b/>
        </w:rPr>
        <w:t xml:space="preserve">Az aláírás megszerzésének feltételei: </w:t>
      </w:r>
      <w:r w:rsidRPr="004829FA">
        <w:rPr>
          <w:rFonts w:ascii="Times New Roman" w:eastAsia="Times New Roman" w:hAnsi="Times New Roman" w:cs="Times New Roman"/>
        </w:rPr>
        <w:t>Az aláírás feltétele a tanórákon történő – 14. pontban meghatározott – részvétel, valamint a zárthelyi dolgozatok sikeres megírása, továbbá a házidolgozat határidőre történő beadása.</w:t>
      </w:r>
    </w:p>
    <w:p w:rsidR="00892EBF" w:rsidRPr="004829FA" w:rsidRDefault="00892EBF" w:rsidP="00980876">
      <w:pPr>
        <w:widowControl w:val="0"/>
        <w:numPr>
          <w:ilvl w:val="1"/>
          <w:numId w:val="364"/>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4829FA">
        <w:rPr>
          <w:rFonts w:ascii="Times New Roman" w:eastAsia="Times New Roman" w:hAnsi="Times New Roman" w:cs="Times New Roman"/>
          <w:b/>
        </w:rPr>
        <w:t xml:space="preserve">Az értékelés: </w:t>
      </w:r>
      <w:r w:rsidRPr="004829FA">
        <w:rPr>
          <w:rFonts w:ascii="Times New Roman" w:eastAsia="Times New Roman" w:hAnsi="Times New Roman" w:cs="Times New Roman"/>
        </w:rPr>
        <w:t>Az ötfokozatú évközi jegy a zárthelyi dolgozatok egyszerű számtani átlaga alapján kerül kialakításra, amelyek esetében az elégséges jegy elérése, dolgozatonként az 51%. A dolgozat eredményébe beleszámít a házidolgozat elkészítésének minősége. A zárthelyi dolgozatok pótlására a szorgalmi időszakban egyszer van lehetőség.</w:t>
      </w:r>
    </w:p>
    <w:p w:rsidR="00892EBF" w:rsidRPr="004829FA" w:rsidRDefault="00892EBF" w:rsidP="00980876">
      <w:pPr>
        <w:widowControl w:val="0"/>
        <w:numPr>
          <w:ilvl w:val="1"/>
          <w:numId w:val="364"/>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4829FA">
        <w:rPr>
          <w:rFonts w:ascii="Times New Roman" w:eastAsia="Times New Roman" w:hAnsi="Times New Roman" w:cs="Times New Roman"/>
          <w:b/>
        </w:rPr>
        <w:t>A kreditek megszerzésének feltételei:</w:t>
      </w:r>
      <w:r w:rsidRPr="004829FA">
        <w:rPr>
          <w:rFonts w:ascii="Times New Roman" w:eastAsia="Times New Roman" w:hAnsi="Times New Roman" w:cs="Times New Roman"/>
        </w:rPr>
        <w:t xml:space="preserve"> A kreditek megszerzésének feltétele az aláírás megszerzése és a legalább elégséges évközi jegy.</w:t>
      </w:r>
    </w:p>
    <w:p w:rsidR="00892EBF" w:rsidRDefault="00892EBF" w:rsidP="00980876">
      <w:pPr>
        <w:widowControl w:val="0"/>
        <w:numPr>
          <w:ilvl w:val="0"/>
          <w:numId w:val="364"/>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Irodalomjegyzék:</w:t>
      </w:r>
    </w:p>
    <w:p w:rsidR="00892EBF" w:rsidRDefault="00892EBF" w:rsidP="00980876">
      <w:pPr>
        <w:widowControl w:val="0"/>
        <w:numPr>
          <w:ilvl w:val="1"/>
          <w:numId w:val="364"/>
        </w:numPr>
        <w:tabs>
          <w:tab w:val="left" w:pos="567"/>
          <w:tab w:val="left" w:pos="851"/>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Kötelező irodalom:</w:t>
      </w:r>
    </w:p>
    <w:p w:rsidR="00892EBF" w:rsidRDefault="00892EBF" w:rsidP="00980876">
      <w:pPr>
        <w:widowControl w:val="0"/>
        <w:numPr>
          <w:ilvl w:val="0"/>
          <w:numId w:val="365"/>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Nagy Anikó: Pénzügyi-gazdasági elemzés (elektronikus tansegédlet, NKE Budapest, 2012.)</w:t>
      </w:r>
    </w:p>
    <w:p w:rsidR="00892EBF" w:rsidRDefault="00892EBF" w:rsidP="00980876">
      <w:pPr>
        <w:widowControl w:val="0"/>
        <w:numPr>
          <w:ilvl w:val="0"/>
          <w:numId w:val="365"/>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Nagy Anikó: Képletgyűjtemény (elektronikus tansegédlet, NKE 2012.)</w:t>
      </w:r>
    </w:p>
    <w:p w:rsidR="00892EBF" w:rsidRDefault="00892EBF" w:rsidP="00980876">
      <w:pPr>
        <w:widowControl w:val="0"/>
        <w:numPr>
          <w:ilvl w:val="1"/>
          <w:numId w:val="364"/>
        </w:numPr>
        <w:tabs>
          <w:tab w:val="left" w:pos="567"/>
          <w:tab w:val="left" w:pos="851"/>
        </w:tabs>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Ajánlott irodalom:</w:t>
      </w:r>
    </w:p>
    <w:p w:rsidR="00892EBF" w:rsidRDefault="00892EBF" w:rsidP="00980876">
      <w:pPr>
        <w:widowControl w:val="0"/>
        <w:numPr>
          <w:ilvl w:val="0"/>
          <w:numId w:val="366"/>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Dr. Körmendi Lajos – Kresalek Péter: A vállalkozások elemzésének módszertani alapjai (Perfekt Budapest, 2006. ISBN: 9789633946602)</w:t>
      </w:r>
    </w:p>
    <w:p w:rsidR="00892EBF" w:rsidRDefault="00892EBF" w:rsidP="00980876">
      <w:pPr>
        <w:widowControl w:val="0"/>
        <w:numPr>
          <w:ilvl w:val="0"/>
          <w:numId w:val="366"/>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Dr. Birher Ilona – Blumné Bán Erika – Kresalek Péter – Dr. Pucsek József – Sándor Lászlóné Dr. – Dr. Sztanó Imre – Takácsné Lengyel Andrea: Példatár a vállalkozások tevékenységének gazdasági elemzéséhez (Perfekt Kiadó, 2010. ISBN: 9789633946589)</w:t>
      </w:r>
    </w:p>
    <w:p w:rsidR="00892EBF" w:rsidRDefault="00892EBF" w:rsidP="00980876">
      <w:pPr>
        <w:widowControl w:val="0"/>
        <w:numPr>
          <w:ilvl w:val="0"/>
          <w:numId w:val="366"/>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Dr. Bíró Tibor – Kresalek Péter – Dr. Pucsek József – Dr. Sztanó Imre: Vállalkozások tevékenységének komplex elemzése (Perfekt Kiadó, 2016. ISBN: 9789633948514)</w:t>
      </w:r>
    </w:p>
    <w:p w:rsidR="00892EBF" w:rsidRDefault="00892EBF" w:rsidP="00892EBF">
      <w:pPr>
        <w:widowControl w:val="0"/>
        <w:spacing w:before="120" w:after="120" w:line="240" w:lineRule="auto"/>
        <w:jc w:val="both"/>
        <w:rPr>
          <w:rFonts w:ascii="Times New Roman" w:eastAsia="Times New Roman" w:hAnsi="Times New Roman" w:cs="Times New Roman"/>
          <w:bCs/>
        </w:rPr>
      </w:pPr>
    </w:p>
    <w:p w:rsidR="00892EBF" w:rsidRDefault="00892EBF" w:rsidP="00892EBF">
      <w:pPr>
        <w:widowControl w:val="0"/>
        <w:spacing w:before="120" w:after="120" w:line="240" w:lineRule="auto"/>
        <w:jc w:val="both"/>
        <w:rPr>
          <w:rFonts w:ascii="Times New Roman" w:eastAsia="Times New Roman" w:hAnsi="Times New Roman" w:cs="Times New Roman"/>
          <w:bCs/>
        </w:rPr>
      </w:pPr>
      <w:r>
        <w:rPr>
          <w:rFonts w:ascii="Times New Roman" w:eastAsia="Times New Roman" w:hAnsi="Times New Roman" w:cs="Times New Roman"/>
          <w:bCs/>
        </w:rPr>
        <w:t>Budapest, 2019. december 18.</w:t>
      </w:r>
    </w:p>
    <w:p w:rsidR="00892EBF" w:rsidRDefault="00892EBF" w:rsidP="00892EBF">
      <w:pPr>
        <w:widowControl w:val="0"/>
        <w:spacing w:after="0" w:line="240" w:lineRule="auto"/>
        <w:jc w:val="right"/>
        <w:rPr>
          <w:rFonts w:ascii="Times New Roman" w:hAnsi="Times New Roman" w:cs="Times New Roman"/>
          <w:b/>
          <w:bCs/>
        </w:rPr>
      </w:pPr>
      <w:r>
        <w:rPr>
          <w:rFonts w:ascii="Times New Roman" w:hAnsi="Times New Roman" w:cs="Times New Roman"/>
          <w:b/>
          <w:bCs/>
        </w:rPr>
        <w:t>Dr. Nyikos Györgyi (PhD)</w:t>
      </w:r>
    </w:p>
    <w:p w:rsidR="00892EBF" w:rsidRDefault="00892EBF" w:rsidP="00892EBF">
      <w:pPr>
        <w:widowControl w:val="0"/>
        <w:spacing w:after="0" w:line="240" w:lineRule="auto"/>
        <w:ind w:left="6372"/>
        <w:jc w:val="both"/>
        <w:rPr>
          <w:rFonts w:ascii="Times New Roman" w:eastAsia="Times New Roman" w:hAnsi="Times New Roman" w:cs="Times New Roman"/>
          <w:bCs/>
        </w:rPr>
      </w:pPr>
      <w:r>
        <w:rPr>
          <w:rFonts w:ascii="Times New Roman" w:hAnsi="Times New Roman" w:cs="Times New Roman"/>
          <w:bCs/>
        </w:rPr>
        <w:t xml:space="preserve">      egyetemi docens s.k.</w:t>
      </w:r>
    </w:p>
    <w:p w:rsidR="00300393" w:rsidRDefault="00300393">
      <w:r>
        <w:br w:type="page"/>
      </w:r>
    </w:p>
    <w:tbl>
      <w:tblPr>
        <w:tblW w:w="9072" w:type="dxa"/>
        <w:tblInd w:w="113" w:type="dxa"/>
        <w:tblLook w:val="01E0" w:firstRow="1" w:lastRow="1" w:firstColumn="1" w:lastColumn="1" w:noHBand="0" w:noVBand="0"/>
      </w:tblPr>
      <w:tblGrid>
        <w:gridCol w:w="4855"/>
        <w:gridCol w:w="1620"/>
        <w:gridCol w:w="2597"/>
      </w:tblGrid>
      <w:tr w:rsidR="00892EBF" w:rsidTr="00892EBF">
        <w:tc>
          <w:tcPr>
            <w:tcW w:w="4855" w:type="dxa"/>
            <w:tcBorders>
              <w:top w:val="nil"/>
              <w:left w:val="nil"/>
              <w:bottom w:val="single" w:sz="4" w:space="0" w:color="auto"/>
              <w:right w:val="nil"/>
            </w:tcBorders>
            <w:hideMark/>
          </w:tcPr>
          <w:p w:rsidR="00892EBF" w:rsidRDefault="00892EBF" w:rsidP="00892EBF">
            <w:pPr>
              <w:spacing w:after="0" w:line="240" w:lineRule="auto"/>
              <w:jc w:val="center"/>
              <w:rPr>
                <w:rFonts w:ascii="Times New Roman" w:eastAsia="Times New Roman" w:hAnsi="Times New Roman" w:cs="Times New Roman"/>
                <w:b/>
                <w:smallCaps/>
                <w:lang w:eastAsia="hu-HU"/>
              </w:rPr>
            </w:pPr>
            <w:r>
              <w:rPr>
                <w:rFonts w:ascii="Times New Roman" w:eastAsia="Times New Roman" w:hAnsi="Times New Roman" w:cs="Times New Roman"/>
                <w:b/>
                <w:smallCaps/>
                <w:lang w:eastAsia="hu-HU"/>
              </w:rPr>
              <w:lastRenderedPageBreak/>
              <w:t>Nemzeti Közszolgálati Egyetem</w:t>
            </w:r>
          </w:p>
        </w:tc>
        <w:tc>
          <w:tcPr>
            <w:tcW w:w="1620" w:type="dxa"/>
          </w:tcPr>
          <w:p w:rsidR="00892EBF" w:rsidRDefault="00892EBF" w:rsidP="00892EBF">
            <w:pPr>
              <w:spacing w:after="0" w:line="240" w:lineRule="auto"/>
              <w:jc w:val="both"/>
              <w:rPr>
                <w:rFonts w:ascii="Times New Roman" w:eastAsia="Times New Roman" w:hAnsi="Times New Roman" w:cs="Times New Roman"/>
                <w:lang w:eastAsia="hu-HU"/>
              </w:rPr>
            </w:pPr>
          </w:p>
        </w:tc>
        <w:tc>
          <w:tcPr>
            <w:tcW w:w="2597" w:type="dxa"/>
          </w:tcPr>
          <w:p w:rsidR="00892EBF" w:rsidRDefault="00892EBF" w:rsidP="00892EBF">
            <w:pPr>
              <w:spacing w:after="0" w:line="240" w:lineRule="auto"/>
              <w:jc w:val="right"/>
              <w:rPr>
                <w:rFonts w:ascii="Times New Roman" w:eastAsia="Times New Roman" w:hAnsi="Times New Roman" w:cs="Times New Roman"/>
                <w:lang w:eastAsia="hu-HU"/>
              </w:rPr>
            </w:pPr>
          </w:p>
        </w:tc>
      </w:tr>
      <w:tr w:rsidR="00892EBF" w:rsidTr="00892EBF">
        <w:tc>
          <w:tcPr>
            <w:tcW w:w="4855" w:type="dxa"/>
            <w:tcBorders>
              <w:top w:val="single" w:sz="4" w:space="0" w:color="auto"/>
              <w:left w:val="nil"/>
              <w:bottom w:val="nil"/>
              <w:right w:val="nil"/>
            </w:tcBorders>
            <w:hideMark/>
          </w:tcPr>
          <w:p w:rsidR="00892EBF" w:rsidRDefault="00892EBF" w:rsidP="00892EBF">
            <w:pPr>
              <w:spacing w:after="0" w:line="240" w:lineRule="auto"/>
              <w:jc w:val="center"/>
              <w:rPr>
                <w:rFonts w:ascii="Times New Roman" w:eastAsia="Times New Roman" w:hAnsi="Times New Roman" w:cs="Times New Roman"/>
                <w:b/>
                <w:lang w:eastAsia="hu-HU"/>
              </w:rPr>
            </w:pPr>
            <w:r>
              <w:rPr>
                <w:rFonts w:ascii="Times New Roman" w:eastAsia="Times New Roman" w:hAnsi="Times New Roman" w:cs="Times New Roman"/>
                <w:b/>
                <w:lang w:eastAsia="hu-HU"/>
              </w:rPr>
              <w:t>Hadtudományi és Honvédtisztképző Kar</w:t>
            </w:r>
          </w:p>
        </w:tc>
        <w:tc>
          <w:tcPr>
            <w:tcW w:w="1620" w:type="dxa"/>
          </w:tcPr>
          <w:p w:rsidR="00892EBF" w:rsidRDefault="00892EBF" w:rsidP="00892EBF">
            <w:pPr>
              <w:spacing w:after="0" w:line="240" w:lineRule="auto"/>
              <w:jc w:val="both"/>
              <w:rPr>
                <w:rFonts w:ascii="Times New Roman" w:eastAsia="Times New Roman" w:hAnsi="Times New Roman" w:cs="Times New Roman"/>
                <w:lang w:eastAsia="hu-HU"/>
              </w:rPr>
            </w:pPr>
          </w:p>
        </w:tc>
        <w:tc>
          <w:tcPr>
            <w:tcW w:w="2597" w:type="dxa"/>
          </w:tcPr>
          <w:p w:rsidR="00892EBF" w:rsidRDefault="00892EBF" w:rsidP="00892EBF">
            <w:pPr>
              <w:spacing w:after="0" w:line="240" w:lineRule="auto"/>
              <w:jc w:val="both"/>
              <w:rPr>
                <w:rFonts w:ascii="Times New Roman" w:eastAsia="Times New Roman" w:hAnsi="Times New Roman" w:cs="Times New Roman"/>
                <w:lang w:eastAsia="hu-HU"/>
              </w:rPr>
            </w:pPr>
          </w:p>
        </w:tc>
      </w:tr>
    </w:tbl>
    <w:p w:rsidR="00892EBF" w:rsidRDefault="00892EBF" w:rsidP="00892EBF">
      <w:pPr>
        <w:widowControl w:val="0"/>
        <w:spacing w:before="120" w:after="120" w:line="240" w:lineRule="auto"/>
        <w:ind w:left="426" w:hanging="142"/>
        <w:jc w:val="center"/>
        <w:rPr>
          <w:rFonts w:ascii="Times New Roman" w:eastAsia="Times New Roman" w:hAnsi="Times New Roman" w:cs="Times New Roman"/>
          <w:b/>
          <w:bCs/>
        </w:rPr>
      </w:pPr>
    </w:p>
    <w:p w:rsidR="00892EBF" w:rsidRDefault="00892EBF" w:rsidP="00892EBF">
      <w:pPr>
        <w:widowControl w:val="0"/>
        <w:spacing w:before="120" w:after="120" w:line="240" w:lineRule="auto"/>
        <w:ind w:left="426" w:hanging="142"/>
        <w:jc w:val="center"/>
        <w:rPr>
          <w:rFonts w:ascii="Times New Roman" w:eastAsia="Times New Roman" w:hAnsi="Times New Roman" w:cs="Times New Roman"/>
          <w:b/>
          <w:bCs/>
        </w:rPr>
      </w:pPr>
      <w:r>
        <w:rPr>
          <w:rFonts w:ascii="Times New Roman" w:eastAsia="Times New Roman" w:hAnsi="Times New Roman" w:cs="Times New Roman"/>
          <w:b/>
          <w:bCs/>
        </w:rPr>
        <w:t>TANTÁRGYI PROGRAM</w:t>
      </w:r>
    </w:p>
    <w:p w:rsidR="00892EBF" w:rsidRDefault="00892EBF" w:rsidP="00980876">
      <w:pPr>
        <w:widowControl w:val="0"/>
        <w:numPr>
          <w:ilvl w:val="0"/>
          <w:numId w:val="367"/>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 tantárgy kódja: </w:t>
      </w:r>
      <w:r>
        <w:rPr>
          <w:rFonts w:ascii="Times New Roman" w:hAnsi="Times New Roman" w:cs="Times New Roman"/>
          <w:bCs/>
        </w:rPr>
        <w:t>HKHPKA106</w:t>
      </w:r>
    </w:p>
    <w:p w:rsidR="00892EBF" w:rsidRDefault="00892EBF" w:rsidP="00980876">
      <w:pPr>
        <w:widowControl w:val="0"/>
        <w:numPr>
          <w:ilvl w:val="0"/>
          <w:numId w:val="367"/>
        </w:numPr>
        <w:spacing w:before="120" w:after="120" w:line="240" w:lineRule="auto"/>
        <w:ind w:left="426" w:hanging="142"/>
        <w:jc w:val="both"/>
        <w:rPr>
          <w:rFonts w:ascii="Times New Roman" w:eastAsia="Times New Roman" w:hAnsi="Times New Roman" w:cs="Times New Roman"/>
          <w:b/>
          <w:bCs/>
          <w:lang w:val="en-GB"/>
        </w:rPr>
      </w:pPr>
      <w:r>
        <w:rPr>
          <w:rFonts w:ascii="Times New Roman" w:eastAsia="Times New Roman" w:hAnsi="Times New Roman" w:cs="Times New Roman"/>
          <w:b/>
          <w:bCs/>
        </w:rPr>
        <w:t>A tantárgy megnevezése (magyarul):</w:t>
      </w:r>
      <w:r>
        <w:rPr>
          <w:rFonts w:ascii="Times New Roman" w:eastAsia="Times New Roman" w:hAnsi="Times New Roman" w:cs="Times New Roman"/>
          <w:bCs/>
        </w:rPr>
        <w:t xml:space="preserve"> </w:t>
      </w:r>
      <w:r>
        <w:rPr>
          <w:rFonts w:ascii="Times New Roman" w:hAnsi="Times New Roman" w:cs="Times New Roman"/>
          <w:bCs/>
        </w:rPr>
        <w:t>Katonai ellátás- és szolgáltatásmenedzsment</w:t>
      </w:r>
    </w:p>
    <w:p w:rsidR="00892EBF" w:rsidRDefault="00892EBF" w:rsidP="00980876">
      <w:pPr>
        <w:widowControl w:val="0"/>
        <w:numPr>
          <w:ilvl w:val="0"/>
          <w:numId w:val="367"/>
        </w:numPr>
        <w:spacing w:before="120" w:after="120" w:line="240" w:lineRule="auto"/>
        <w:ind w:left="426" w:hanging="142"/>
        <w:jc w:val="both"/>
        <w:rPr>
          <w:rFonts w:ascii="Times New Roman" w:eastAsia="Times New Roman" w:hAnsi="Times New Roman" w:cs="Times New Roman"/>
          <w:b/>
          <w:bCs/>
          <w:lang w:val="en-GB"/>
        </w:rPr>
      </w:pPr>
      <w:r>
        <w:rPr>
          <w:rFonts w:ascii="Times New Roman" w:eastAsia="Times New Roman" w:hAnsi="Times New Roman" w:cs="Times New Roman"/>
          <w:b/>
          <w:bCs/>
        </w:rPr>
        <w:t xml:space="preserve">A tantárgy megnevezése (angolul): </w:t>
      </w:r>
      <w:r>
        <w:rPr>
          <w:rFonts w:ascii="Times New Roman" w:hAnsi="Times New Roman" w:cs="Times New Roman"/>
          <w:bCs/>
        </w:rPr>
        <w:t>Military Supply and Service Management</w:t>
      </w:r>
    </w:p>
    <w:p w:rsidR="00892EBF" w:rsidRDefault="00892EBF" w:rsidP="00980876">
      <w:pPr>
        <w:widowControl w:val="0"/>
        <w:numPr>
          <w:ilvl w:val="0"/>
          <w:numId w:val="367"/>
        </w:numPr>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Kreditérték és képzési karakter: </w:t>
      </w:r>
    </w:p>
    <w:p w:rsidR="00892EBF" w:rsidRDefault="00892EBF" w:rsidP="00980876">
      <w:pPr>
        <w:pStyle w:val="Listaszerbekezds"/>
        <w:widowControl w:val="0"/>
        <w:numPr>
          <w:ilvl w:val="1"/>
          <w:numId w:val="367"/>
        </w:numPr>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2 kredit</w:t>
      </w:r>
    </w:p>
    <w:p w:rsidR="00892EBF" w:rsidRDefault="00892EBF" w:rsidP="00980876">
      <w:pPr>
        <w:pStyle w:val="Listaszerbekezds"/>
        <w:widowControl w:val="0"/>
        <w:numPr>
          <w:ilvl w:val="1"/>
          <w:numId w:val="367"/>
        </w:numPr>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a tantárgy elméleti vagy gyakorlati jellegének mértéke: 0</w:t>
      </w:r>
      <w:r>
        <w:rPr>
          <w:rFonts w:ascii="Times New Roman" w:eastAsia="Times New Roman" w:hAnsi="Times New Roman" w:cs="Times New Roman"/>
          <w:b/>
          <w:bCs/>
        </w:rPr>
        <w:t xml:space="preserve"> </w:t>
      </w:r>
      <w:r>
        <w:rPr>
          <w:rFonts w:ascii="Times New Roman" w:eastAsia="Times New Roman" w:hAnsi="Times New Roman" w:cs="Times New Roman"/>
          <w:bCs/>
        </w:rPr>
        <w:t>% gyakorlat, 100 % elmélet</w:t>
      </w:r>
    </w:p>
    <w:p w:rsidR="00892EBF" w:rsidRDefault="00892EBF" w:rsidP="00980876">
      <w:pPr>
        <w:widowControl w:val="0"/>
        <w:numPr>
          <w:ilvl w:val="0"/>
          <w:numId w:val="367"/>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szak(ok), szakirányok/specializációk megnevezése (ahol oktatják):</w:t>
      </w:r>
      <w:r>
        <w:rPr>
          <w:rFonts w:ascii="Times New Roman" w:eastAsia="Times New Roman" w:hAnsi="Times New Roman" w:cs="Times New Roman"/>
          <w:bCs/>
        </w:rPr>
        <w:t xml:space="preserve"> </w:t>
      </w:r>
      <w:r>
        <w:rPr>
          <w:rFonts w:ascii="Times New Roman" w:hAnsi="Times New Roman" w:cs="Times New Roman"/>
          <w:bCs/>
        </w:rPr>
        <w:t>Katonai logisztika alapképzési (</w:t>
      </w:r>
      <w:r w:rsidR="00137B8A">
        <w:rPr>
          <w:rFonts w:ascii="Times New Roman" w:hAnsi="Times New Roman" w:cs="Times New Roman"/>
          <w:bCs/>
        </w:rPr>
        <w:t>BSc</w:t>
      </w:r>
      <w:r>
        <w:rPr>
          <w:rFonts w:ascii="Times New Roman" w:hAnsi="Times New Roman" w:cs="Times New Roman"/>
          <w:bCs/>
        </w:rPr>
        <w:t>) szak, Hadtáp specializáció, Katonai pénzügyi specializáció</w:t>
      </w:r>
    </w:p>
    <w:p w:rsidR="00892EBF" w:rsidRDefault="00892EBF" w:rsidP="00980876">
      <w:pPr>
        <w:widowControl w:val="0"/>
        <w:numPr>
          <w:ilvl w:val="0"/>
          <w:numId w:val="367"/>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Az oktatásért felelős oktatási szervezeti egység megnevezése: </w:t>
      </w:r>
      <w:r>
        <w:rPr>
          <w:rFonts w:ascii="Times New Roman" w:hAnsi="Times New Roman" w:cs="Times New Roman"/>
          <w:bCs/>
        </w:rPr>
        <w:t>NKE HHK Hadtáp, Pénzügyi és Katonai Közlekedési Tanszék</w:t>
      </w:r>
    </w:p>
    <w:p w:rsidR="00892EBF" w:rsidRDefault="00892EBF" w:rsidP="00980876">
      <w:pPr>
        <w:widowControl w:val="0"/>
        <w:numPr>
          <w:ilvl w:val="0"/>
          <w:numId w:val="367"/>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tantárgyfelelős oktató neve, beosztása, tudományos fokozata:</w:t>
      </w:r>
      <w:r>
        <w:rPr>
          <w:rFonts w:ascii="Times New Roman" w:eastAsia="Times New Roman" w:hAnsi="Times New Roman" w:cs="Times New Roman"/>
          <w:bCs/>
        </w:rPr>
        <w:t xml:space="preserve"> </w:t>
      </w:r>
      <w:r>
        <w:rPr>
          <w:rFonts w:ascii="Times New Roman" w:hAnsi="Times New Roman" w:cs="Times New Roman"/>
          <w:bCs/>
        </w:rPr>
        <w:t>Dr. Taksás Balázs százados egyetemi docens, PhD</w:t>
      </w:r>
    </w:p>
    <w:p w:rsidR="00892EBF" w:rsidRDefault="00892EBF" w:rsidP="00980876">
      <w:pPr>
        <w:widowControl w:val="0"/>
        <w:numPr>
          <w:ilvl w:val="0"/>
          <w:numId w:val="367"/>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tanórák száma és típusa</w:t>
      </w:r>
    </w:p>
    <w:p w:rsidR="00892EBF" w:rsidRDefault="00892EBF" w:rsidP="00980876">
      <w:pPr>
        <w:widowControl w:val="0"/>
        <w:numPr>
          <w:ilvl w:val="1"/>
          <w:numId w:val="367"/>
        </w:numPr>
        <w:tabs>
          <w:tab w:val="num" w:pos="2069"/>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össz óraszám/félév:</w:t>
      </w:r>
      <w:r w:rsidR="00B51013" w:rsidRPr="00B51013">
        <w:rPr>
          <w:rFonts w:ascii="Times New Roman" w:eastAsia="Times New Roman" w:hAnsi="Times New Roman" w:cs="Times New Roman"/>
          <w:bCs/>
        </w:rPr>
        <w:t xml:space="preserve"> </w:t>
      </w:r>
      <w:r w:rsidR="00B51013">
        <w:rPr>
          <w:rFonts w:ascii="Times New Roman" w:eastAsia="Times New Roman" w:hAnsi="Times New Roman" w:cs="Times New Roman"/>
          <w:bCs/>
        </w:rPr>
        <w:t>28</w:t>
      </w:r>
    </w:p>
    <w:p w:rsidR="00892EBF" w:rsidRDefault="00892EBF" w:rsidP="00980876">
      <w:pPr>
        <w:widowControl w:val="0"/>
        <w:numPr>
          <w:ilvl w:val="2"/>
          <w:numId w:val="367"/>
        </w:numPr>
        <w:tabs>
          <w:tab w:val="num" w:pos="1134"/>
        </w:tabs>
        <w:spacing w:before="120" w:after="120" w:line="240" w:lineRule="auto"/>
        <w:ind w:left="993" w:hanging="425"/>
        <w:jc w:val="both"/>
        <w:rPr>
          <w:rFonts w:ascii="Times New Roman" w:eastAsia="Times New Roman" w:hAnsi="Times New Roman" w:cs="Times New Roman"/>
          <w:bCs/>
        </w:rPr>
      </w:pPr>
      <w:r>
        <w:rPr>
          <w:rFonts w:ascii="Times New Roman" w:eastAsia="Times New Roman" w:hAnsi="Times New Roman" w:cs="Times New Roman"/>
          <w:bCs/>
        </w:rPr>
        <w:t xml:space="preserve">nappali munkarend: </w:t>
      </w:r>
      <w:r w:rsidR="00B51013">
        <w:rPr>
          <w:rFonts w:ascii="Times New Roman" w:eastAsia="Times New Roman" w:hAnsi="Times New Roman" w:cs="Times New Roman"/>
          <w:bCs/>
        </w:rPr>
        <w:t>(28 EA + 0</w:t>
      </w:r>
      <w:r>
        <w:rPr>
          <w:rFonts w:ascii="Times New Roman" w:eastAsia="Times New Roman" w:hAnsi="Times New Roman" w:cs="Times New Roman"/>
          <w:bCs/>
        </w:rPr>
        <w:t xml:space="preserve"> SZ + 0 GY)</w:t>
      </w:r>
    </w:p>
    <w:p w:rsidR="00892EBF" w:rsidRDefault="00892EBF" w:rsidP="00980876">
      <w:pPr>
        <w:widowControl w:val="0"/>
        <w:numPr>
          <w:ilvl w:val="2"/>
          <w:numId w:val="367"/>
        </w:numPr>
        <w:tabs>
          <w:tab w:val="num" w:pos="1134"/>
        </w:tabs>
        <w:spacing w:before="120" w:after="120" w:line="240" w:lineRule="auto"/>
        <w:ind w:left="993" w:hanging="425"/>
        <w:jc w:val="both"/>
        <w:rPr>
          <w:rFonts w:ascii="Times New Roman" w:eastAsia="Times New Roman" w:hAnsi="Times New Roman" w:cs="Times New Roman"/>
          <w:bCs/>
        </w:rPr>
      </w:pPr>
      <w:r>
        <w:rPr>
          <w:rFonts w:ascii="Times New Roman" w:eastAsia="Times New Roman" w:hAnsi="Times New Roman" w:cs="Times New Roman"/>
          <w:bCs/>
        </w:rPr>
        <w:t>levelező munkarend: -</w:t>
      </w:r>
    </w:p>
    <w:p w:rsidR="00892EBF" w:rsidRDefault="00892EBF" w:rsidP="00980876">
      <w:pPr>
        <w:widowControl w:val="0"/>
        <w:numPr>
          <w:ilvl w:val="1"/>
          <w:numId w:val="367"/>
        </w:numPr>
        <w:tabs>
          <w:tab w:val="num" w:pos="2069"/>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heti óraszám - nappali munkarend: 2</w:t>
      </w:r>
    </w:p>
    <w:p w:rsidR="00892EBF" w:rsidRPr="000D6805" w:rsidRDefault="00892EBF" w:rsidP="00980876">
      <w:pPr>
        <w:widowControl w:val="0"/>
        <w:numPr>
          <w:ilvl w:val="1"/>
          <w:numId w:val="367"/>
        </w:numPr>
        <w:tabs>
          <w:tab w:val="num" w:pos="2069"/>
        </w:tabs>
        <w:spacing w:before="120" w:after="120" w:line="240" w:lineRule="auto"/>
        <w:ind w:left="851" w:hanging="425"/>
        <w:jc w:val="both"/>
        <w:rPr>
          <w:rFonts w:ascii="Times New Roman" w:eastAsia="Times New Roman" w:hAnsi="Times New Roman" w:cs="Times New Roman"/>
          <w:bCs/>
          <w:i/>
        </w:rPr>
      </w:pPr>
      <w:r>
        <w:rPr>
          <w:rFonts w:ascii="Times New Roman" w:hAnsi="Times New Roman" w:cs="Times New Roman"/>
        </w:rPr>
        <w:t>Az ismeret átadásában alkalmazandó további sajátos módok, jellemzők:</w:t>
      </w:r>
      <w:r>
        <w:rPr>
          <w:rFonts w:ascii="Times New Roman" w:hAnsi="Times New Roman" w:cs="Times New Roman"/>
          <w:i/>
        </w:rPr>
        <w:t xml:space="preserve"> </w:t>
      </w:r>
      <w:r w:rsidRPr="000D6805">
        <w:rPr>
          <w:rFonts w:ascii="Times New Roman" w:hAnsi="Times New Roman" w:cs="Times New Roman"/>
          <w:i/>
        </w:rPr>
        <w:t>A hallgatóknak a tanult elméleti ismereteiket többször is gyakorlati vitán kell bizonyítaniuk, ahol is egy adott téma kapcsán a számukra az oktató által kiválasztott álláspontot kell képviselniük.</w:t>
      </w:r>
    </w:p>
    <w:p w:rsidR="00892EBF" w:rsidRDefault="00892EBF" w:rsidP="00980876">
      <w:pPr>
        <w:widowControl w:val="0"/>
        <w:numPr>
          <w:ilvl w:val="0"/>
          <w:numId w:val="367"/>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tantárgy szakmai tartalma (magyarul):</w:t>
      </w:r>
      <w:r>
        <w:rPr>
          <w:rFonts w:ascii="Times New Roman" w:eastAsia="Times New Roman" w:hAnsi="Times New Roman" w:cs="Times New Roman"/>
          <w:bCs/>
        </w:rPr>
        <w:t xml:space="preserve"> </w:t>
      </w:r>
      <w:r>
        <w:rPr>
          <w:rFonts w:ascii="Times New Roman" w:hAnsi="Times New Roman" w:cs="Times New Roman"/>
          <w:bCs/>
        </w:rPr>
        <w:t>A tantárgy a katonai ellátás működésének szabályszerűségeivel foglalkozik. Bemutatja a civil és katonai ellátási lánc különbségeit, a belső és a külső ellátás előnyeit és hátrányait, a katonai ellátási lánc békeidőszaki, különleges jogrendi és műveleti működését.</w:t>
      </w:r>
    </w:p>
    <w:p w:rsidR="00892EBF" w:rsidRDefault="00892EBF" w:rsidP="00892EBF">
      <w:pPr>
        <w:widowControl w:val="0"/>
        <w:spacing w:before="120" w:after="120" w:line="240" w:lineRule="auto"/>
        <w:ind w:left="426"/>
        <w:jc w:val="both"/>
        <w:rPr>
          <w:rFonts w:ascii="Times New Roman" w:eastAsia="Times New Roman" w:hAnsi="Times New Roman" w:cs="Times New Roman"/>
          <w:bCs/>
          <w:lang w:val="en-US"/>
        </w:rPr>
      </w:pPr>
      <w:r>
        <w:rPr>
          <w:rFonts w:ascii="Times New Roman" w:eastAsia="Times New Roman" w:hAnsi="Times New Roman" w:cs="Times New Roman"/>
          <w:b/>
          <w:bCs/>
        </w:rPr>
        <w:t>A tantárgy szakmai tartalma (angolul) (</w:t>
      </w:r>
      <w:r>
        <w:rPr>
          <w:rFonts w:ascii="Times New Roman" w:eastAsia="Times New Roman" w:hAnsi="Times New Roman" w:cs="Times New Roman"/>
          <w:b/>
          <w:bCs/>
          <w:lang w:val="en-US"/>
        </w:rPr>
        <w:t>Course description</w:t>
      </w:r>
      <w:r>
        <w:rPr>
          <w:rFonts w:ascii="Times New Roman" w:eastAsia="Times New Roman" w:hAnsi="Times New Roman" w:cs="Times New Roman"/>
          <w:b/>
          <w:bCs/>
        </w:rPr>
        <w:t xml:space="preserve">): </w:t>
      </w:r>
      <w:r>
        <w:rPr>
          <w:rFonts w:ascii="Times New Roman" w:hAnsi="Times New Roman" w:cs="Times New Roman"/>
          <w:bCs/>
          <w:lang w:val="en-US"/>
        </w:rPr>
        <w:t xml:space="preserve">The subject deals with the fundamental function of the military supply chain. It presents the differences between civilian and military supply chains, the advantages and disadvantages of military outsourcing and the functioning of military supply chain in peace time, in special legislation time and in multinational operations. </w:t>
      </w:r>
    </w:p>
    <w:p w:rsidR="00892EBF" w:rsidRDefault="00892EBF" w:rsidP="00980876">
      <w:pPr>
        <w:pStyle w:val="Listaszerbekezds"/>
        <w:widowControl w:val="0"/>
        <w:numPr>
          <w:ilvl w:val="0"/>
          <w:numId w:val="367"/>
        </w:numPr>
        <w:spacing w:before="120" w:after="120" w:line="240" w:lineRule="auto"/>
        <w:ind w:left="499" w:hanging="142"/>
        <w:jc w:val="both"/>
        <w:rPr>
          <w:rFonts w:ascii="Times New Roman" w:eastAsia="Times New Roman" w:hAnsi="Times New Roman" w:cs="Times New Roman"/>
          <w:bCs/>
        </w:rPr>
      </w:pPr>
      <w:r>
        <w:rPr>
          <w:rFonts w:ascii="Times New Roman" w:eastAsia="Times New Roman" w:hAnsi="Times New Roman" w:cs="Times New Roman"/>
          <w:b/>
          <w:bCs/>
        </w:rPr>
        <w:t>Elérendő kompetenciák (magyarul):</w:t>
      </w:r>
      <w:r>
        <w:rPr>
          <w:rFonts w:ascii="Times New Roman" w:eastAsia="Times New Roman" w:hAnsi="Times New Roman" w:cs="Times New Roman"/>
          <w:bCs/>
        </w:rPr>
        <w:t xml:space="preserve"> </w:t>
      </w:r>
    </w:p>
    <w:p w:rsidR="00892EBF" w:rsidRDefault="00892EBF" w:rsidP="00892EBF">
      <w:pPr>
        <w:widowControl w:val="0"/>
        <w:spacing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Tudása:</w:t>
      </w:r>
    </w:p>
    <w:p w:rsidR="00892EBF" w:rsidRDefault="00892EBF" w:rsidP="00980876">
      <w:pPr>
        <w:pStyle w:val="Listaszerbekezds"/>
        <w:widowControl w:val="0"/>
        <w:numPr>
          <w:ilvl w:val="0"/>
          <w:numId w:val="368"/>
        </w:numPr>
        <w:spacing w:after="0" w:line="240" w:lineRule="auto"/>
        <w:jc w:val="both"/>
        <w:rPr>
          <w:rFonts w:ascii="Times New Roman" w:hAnsi="Times New Roman" w:cs="Times New Roman"/>
        </w:rPr>
      </w:pPr>
      <w:r>
        <w:rPr>
          <w:rFonts w:ascii="Times New Roman" w:hAnsi="Times New Roman" w:cs="Times New Roman"/>
        </w:rPr>
        <w:t>Ismeri a gazdaság és a piacok működésének alapjait, a nemzetgazdaság és a honvédelem kapcsolatrendszerét, a hadiipar működésének törvényszerűségeit.</w:t>
      </w:r>
    </w:p>
    <w:p w:rsidR="00892EBF" w:rsidRDefault="00892EBF" w:rsidP="00980876">
      <w:pPr>
        <w:pStyle w:val="Listaszerbekezds"/>
        <w:widowControl w:val="0"/>
        <w:numPr>
          <w:ilvl w:val="0"/>
          <w:numId w:val="368"/>
        </w:numPr>
        <w:spacing w:after="0" w:line="240" w:lineRule="auto"/>
        <w:jc w:val="both"/>
        <w:rPr>
          <w:rFonts w:ascii="Times New Roman" w:hAnsi="Times New Roman" w:cs="Times New Roman"/>
        </w:rPr>
      </w:pPr>
      <w:r>
        <w:rPr>
          <w:rFonts w:ascii="Times New Roman" w:hAnsi="Times New Roman" w:cs="Times New Roman"/>
        </w:rPr>
        <w:t>Ismeri a hadtáp szakanyagok csoportosítását, azok előállítását, nemzetgazdaságból történő beszerzéseinek lehetőségeit.</w:t>
      </w:r>
    </w:p>
    <w:p w:rsidR="00892EBF" w:rsidRDefault="00892EBF" w:rsidP="00892EBF">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Képességei:</w:t>
      </w:r>
      <w:r>
        <w:rPr>
          <w:rFonts w:ascii="Times New Roman" w:eastAsia="Times New Roman" w:hAnsi="Times New Roman" w:cs="Times New Roman"/>
          <w:bCs/>
        </w:rPr>
        <w:t xml:space="preserve"> </w:t>
      </w:r>
    </w:p>
    <w:p w:rsidR="00892EBF" w:rsidRDefault="00892EBF" w:rsidP="00980876">
      <w:pPr>
        <w:pStyle w:val="Listaszerbekezds"/>
        <w:widowControl w:val="0"/>
        <w:numPr>
          <w:ilvl w:val="0"/>
          <w:numId w:val="368"/>
        </w:numPr>
        <w:spacing w:after="0" w:line="240" w:lineRule="auto"/>
        <w:jc w:val="both"/>
        <w:rPr>
          <w:rFonts w:ascii="Times New Roman" w:hAnsi="Times New Roman" w:cs="Times New Roman"/>
        </w:rPr>
      </w:pPr>
      <w:r>
        <w:rPr>
          <w:rFonts w:ascii="Times New Roman" w:hAnsi="Times New Roman" w:cs="Times New Roman"/>
        </w:rPr>
        <w:t>Képes a logisztikai folyamatok és a Magyar Honvédség logisztikai rendszere közötti kapcsolatok, illetve összefüggések értelmezésére.</w:t>
      </w:r>
    </w:p>
    <w:p w:rsidR="00892EBF" w:rsidRDefault="00892EBF" w:rsidP="00980876">
      <w:pPr>
        <w:pStyle w:val="Listaszerbekezds"/>
        <w:widowControl w:val="0"/>
        <w:numPr>
          <w:ilvl w:val="0"/>
          <w:numId w:val="368"/>
        </w:numPr>
        <w:spacing w:after="0" w:line="240" w:lineRule="auto"/>
        <w:jc w:val="both"/>
        <w:rPr>
          <w:rFonts w:ascii="Times New Roman" w:hAnsi="Times New Roman" w:cs="Times New Roman"/>
        </w:rPr>
      </w:pPr>
      <w:r>
        <w:rPr>
          <w:rFonts w:ascii="Times New Roman" w:hAnsi="Times New Roman" w:cs="Times New Roman"/>
        </w:rPr>
        <w:t>Képes szakterületén újító és innovatív ötletek megfogalmazására.</w:t>
      </w:r>
    </w:p>
    <w:p w:rsidR="00892EBF" w:rsidRDefault="00892EBF" w:rsidP="00980876">
      <w:pPr>
        <w:pStyle w:val="Listaszerbekezds"/>
        <w:widowControl w:val="0"/>
        <w:numPr>
          <w:ilvl w:val="0"/>
          <w:numId w:val="368"/>
        </w:numPr>
        <w:spacing w:after="0" w:line="240" w:lineRule="auto"/>
        <w:jc w:val="both"/>
        <w:rPr>
          <w:rFonts w:ascii="Times New Roman" w:hAnsi="Times New Roman" w:cs="Times New Roman"/>
        </w:rPr>
      </w:pPr>
      <w:r>
        <w:rPr>
          <w:rFonts w:ascii="Times New Roman" w:hAnsi="Times New Roman" w:cs="Times New Roman"/>
        </w:rPr>
        <w:t xml:space="preserve">Képes alegység szintű ellátási feladatok végrehajtására, vezetésére békében, különleges jogrendi időszakban, többnemzeti és nemzetközi környezetben végrehajtandó </w:t>
      </w:r>
      <w:r>
        <w:rPr>
          <w:rFonts w:ascii="Times New Roman" w:hAnsi="Times New Roman" w:cs="Times New Roman"/>
        </w:rPr>
        <w:lastRenderedPageBreak/>
        <w:t>béketámogató műveletekben.</w:t>
      </w:r>
    </w:p>
    <w:p w:rsidR="00892EBF" w:rsidRDefault="00892EBF" w:rsidP="00892EBF">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Attitűdje:</w:t>
      </w:r>
      <w:r>
        <w:rPr>
          <w:rFonts w:ascii="Times New Roman" w:eastAsia="Times New Roman" w:hAnsi="Times New Roman" w:cs="Times New Roman"/>
          <w:bCs/>
        </w:rPr>
        <w:t xml:space="preserve"> </w:t>
      </w:r>
    </w:p>
    <w:p w:rsidR="00892EBF" w:rsidRDefault="00892EBF" w:rsidP="00980876">
      <w:pPr>
        <w:pStyle w:val="Listaszerbekezds"/>
        <w:widowControl w:val="0"/>
        <w:numPr>
          <w:ilvl w:val="0"/>
          <w:numId w:val="368"/>
        </w:numPr>
        <w:spacing w:after="0" w:line="240" w:lineRule="auto"/>
        <w:jc w:val="both"/>
        <w:rPr>
          <w:rFonts w:ascii="Times New Roman" w:hAnsi="Times New Roman" w:cs="Times New Roman"/>
        </w:rPr>
      </w:pPr>
      <w:r>
        <w:rPr>
          <w:rFonts w:ascii="Times New Roman" w:hAnsi="Times New Roman" w:cs="Times New Roman"/>
        </w:rPr>
        <w:t>Felismeri a rendszerszintű tevékenységben rejlő értékeket, törekszik a logisztikai tevékenységek közötti kapcsolatok értelmezésére.</w:t>
      </w:r>
    </w:p>
    <w:p w:rsidR="00892EBF" w:rsidRDefault="00892EBF" w:rsidP="00980876">
      <w:pPr>
        <w:pStyle w:val="Listaszerbekezds"/>
        <w:widowControl w:val="0"/>
        <w:numPr>
          <w:ilvl w:val="0"/>
          <w:numId w:val="368"/>
        </w:numPr>
        <w:spacing w:after="0" w:line="240" w:lineRule="auto"/>
        <w:jc w:val="both"/>
        <w:rPr>
          <w:rFonts w:ascii="Times New Roman" w:hAnsi="Times New Roman" w:cs="Times New Roman"/>
        </w:rPr>
      </w:pPr>
      <w:r>
        <w:rPr>
          <w:rFonts w:ascii="Times New Roman" w:hAnsi="Times New Roman" w:cs="Times New Roman"/>
        </w:rPr>
        <w:t>Tevékenységét a hatékonyság központú szemlélet jellemzi.</w:t>
      </w:r>
    </w:p>
    <w:p w:rsidR="00892EBF" w:rsidRDefault="00892EBF" w:rsidP="00892EBF">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Autonómiája és felelőssége:</w:t>
      </w:r>
    </w:p>
    <w:p w:rsidR="00892EBF" w:rsidRDefault="00892EBF" w:rsidP="00980876">
      <w:pPr>
        <w:pStyle w:val="Listaszerbekezds"/>
        <w:widowControl w:val="0"/>
        <w:numPr>
          <w:ilvl w:val="0"/>
          <w:numId w:val="368"/>
        </w:numPr>
        <w:spacing w:after="0" w:line="240" w:lineRule="auto"/>
        <w:jc w:val="both"/>
        <w:rPr>
          <w:rFonts w:ascii="Times New Roman" w:hAnsi="Times New Roman" w:cs="Times New Roman"/>
        </w:rPr>
      </w:pPr>
      <w:r>
        <w:rPr>
          <w:rFonts w:ascii="Times New Roman" w:hAnsi="Times New Roman" w:cs="Times New Roman"/>
        </w:rPr>
        <w:t>Szakmai feladatainak elvégzése során felelősségteljesen együttműködik más szakterület képzett szakembereivel is.</w:t>
      </w:r>
    </w:p>
    <w:p w:rsidR="00892EBF" w:rsidRDefault="00892EBF" w:rsidP="00980876">
      <w:pPr>
        <w:pStyle w:val="Listaszerbekezds"/>
        <w:widowControl w:val="0"/>
        <w:numPr>
          <w:ilvl w:val="0"/>
          <w:numId w:val="368"/>
        </w:numPr>
        <w:spacing w:after="0" w:line="240" w:lineRule="auto"/>
        <w:jc w:val="both"/>
        <w:rPr>
          <w:rFonts w:ascii="Times New Roman" w:hAnsi="Times New Roman" w:cs="Times New Roman"/>
        </w:rPr>
      </w:pPr>
      <w:r>
        <w:rPr>
          <w:rFonts w:ascii="Times New Roman" w:hAnsi="Times New Roman" w:cs="Times New Roman"/>
        </w:rPr>
        <w:t>Szakterületén belül képes rendszer-szemléletűen gondolkodni.</w:t>
      </w:r>
    </w:p>
    <w:p w:rsidR="00892EBF" w:rsidRDefault="00892EBF" w:rsidP="00892EBF">
      <w:pPr>
        <w:widowControl w:val="0"/>
        <w:spacing w:before="120" w:after="0" w:line="240" w:lineRule="auto"/>
        <w:ind w:left="425"/>
        <w:jc w:val="both"/>
        <w:rPr>
          <w:rFonts w:ascii="Times New Roman" w:eastAsia="Times New Roman" w:hAnsi="Times New Roman" w:cs="Times New Roman"/>
          <w:b/>
          <w:bCs/>
          <w:lang w:val="en-US"/>
        </w:rPr>
      </w:pPr>
      <w:r>
        <w:rPr>
          <w:rFonts w:ascii="Times New Roman" w:eastAsia="Times New Roman" w:hAnsi="Times New Roman" w:cs="Times New Roman"/>
          <w:b/>
          <w:bCs/>
        </w:rPr>
        <w:t>Elérendő kompetenciák (angolul) (</w:t>
      </w:r>
      <w:r>
        <w:rPr>
          <w:rFonts w:ascii="Times New Roman" w:eastAsia="Times New Roman" w:hAnsi="Times New Roman" w:cs="Times New Roman"/>
          <w:b/>
          <w:bCs/>
          <w:lang w:val="en-US"/>
        </w:rPr>
        <w:t xml:space="preserve">Competences – English): </w:t>
      </w:r>
    </w:p>
    <w:p w:rsidR="00892EBF" w:rsidRDefault="00892EBF" w:rsidP="00892EBF">
      <w:pPr>
        <w:widowControl w:val="0"/>
        <w:spacing w:before="120" w:after="0" w:line="240" w:lineRule="auto"/>
        <w:ind w:left="425"/>
        <w:jc w:val="both"/>
        <w:rPr>
          <w:rFonts w:ascii="Times New Roman" w:eastAsia="Times New Roman" w:hAnsi="Times New Roman" w:cs="Times New Roman"/>
          <w:lang w:val="en-GB"/>
        </w:rPr>
      </w:pPr>
      <w:r>
        <w:rPr>
          <w:rFonts w:ascii="Times New Roman" w:eastAsia="Times New Roman" w:hAnsi="Times New Roman" w:cs="Times New Roman"/>
          <w:b/>
          <w:lang w:val="en-GB"/>
        </w:rPr>
        <w:t>Knowledge</w:t>
      </w:r>
      <w:r>
        <w:rPr>
          <w:rFonts w:ascii="Times New Roman" w:eastAsia="Times New Roman" w:hAnsi="Times New Roman" w:cs="Times New Roman"/>
          <w:lang w:val="en-GB"/>
        </w:rPr>
        <w:t xml:space="preserve">: </w:t>
      </w:r>
    </w:p>
    <w:p w:rsidR="00892EBF" w:rsidRPr="000D6805" w:rsidRDefault="00892EBF" w:rsidP="00980876">
      <w:pPr>
        <w:pStyle w:val="Listaszerbekezds"/>
        <w:widowControl w:val="0"/>
        <w:numPr>
          <w:ilvl w:val="0"/>
          <w:numId w:val="368"/>
        </w:numPr>
        <w:spacing w:after="0" w:line="240" w:lineRule="auto"/>
        <w:jc w:val="both"/>
        <w:rPr>
          <w:rFonts w:ascii="Times New Roman" w:hAnsi="Times New Roman" w:cs="Times New Roman"/>
        </w:rPr>
      </w:pPr>
      <w:r>
        <w:rPr>
          <w:rFonts w:ascii="Times New Roman" w:eastAsia="Times New Roman" w:hAnsi="Times New Roman" w:cs="Times New Roman"/>
          <w:lang w:val="en-GB"/>
        </w:rPr>
        <w:t xml:space="preserve">To be </w:t>
      </w:r>
      <w:r w:rsidRPr="000D6805">
        <w:rPr>
          <w:rFonts w:ascii="Times New Roman" w:hAnsi="Times New Roman" w:cs="Times New Roman"/>
        </w:rPr>
        <w:t xml:space="preserve">able to familiar with market mechanisms, the principles of economics, the relation between national economy and defense and the functioning of defense industry. </w:t>
      </w:r>
    </w:p>
    <w:p w:rsidR="00892EBF" w:rsidRDefault="00892EBF" w:rsidP="00980876">
      <w:pPr>
        <w:pStyle w:val="Listaszerbekezds"/>
        <w:widowControl w:val="0"/>
        <w:numPr>
          <w:ilvl w:val="0"/>
          <w:numId w:val="368"/>
        </w:numPr>
        <w:spacing w:after="0" w:line="240" w:lineRule="auto"/>
        <w:jc w:val="both"/>
        <w:rPr>
          <w:rFonts w:ascii="Times New Roman" w:eastAsia="Times New Roman" w:hAnsi="Times New Roman" w:cs="Times New Roman"/>
          <w:lang w:val="en-GB"/>
        </w:rPr>
      </w:pPr>
      <w:r w:rsidRPr="000D6805">
        <w:rPr>
          <w:rFonts w:ascii="Times New Roman" w:hAnsi="Times New Roman" w:cs="Times New Roman"/>
        </w:rPr>
        <w:t>To be able to familiar with the types of supply materials, their productions processes and possible</w:t>
      </w:r>
      <w:r>
        <w:rPr>
          <w:rFonts w:ascii="Times New Roman" w:eastAsia="Times New Roman" w:hAnsi="Times New Roman" w:cs="Times New Roman"/>
          <w:lang w:val="en-GB"/>
        </w:rPr>
        <w:t xml:space="preserve"> procurement sources.</w:t>
      </w:r>
    </w:p>
    <w:p w:rsidR="00892EBF" w:rsidRDefault="00892EBF" w:rsidP="00892EBF">
      <w:pPr>
        <w:widowControl w:val="0"/>
        <w:spacing w:before="120" w:after="0" w:line="240" w:lineRule="auto"/>
        <w:ind w:left="425"/>
        <w:jc w:val="both"/>
        <w:rPr>
          <w:rFonts w:ascii="Times New Roman" w:eastAsia="Times New Roman" w:hAnsi="Times New Roman" w:cs="Times New Roman"/>
          <w:lang w:val="en-GB"/>
        </w:rPr>
      </w:pPr>
      <w:r>
        <w:rPr>
          <w:rFonts w:ascii="Times New Roman" w:eastAsia="Times New Roman" w:hAnsi="Times New Roman" w:cs="Times New Roman"/>
          <w:b/>
          <w:lang w:val="en-GB"/>
        </w:rPr>
        <w:t>Capabilities</w:t>
      </w:r>
      <w:r>
        <w:rPr>
          <w:rFonts w:ascii="Times New Roman" w:eastAsia="Times New Roman" w:hAnsi="Times New Roman" w:cs="Times New Roman"/>
          <w:lang w:val="en-GB"/>
        </w:rPr>
        <w:t xml:space="preserve">: </w:t>
      </w:r>
    </w:p>
    <w:p w:rsidR="00892EBF" w:rsidRPr="000D6805" w:rsidRDefault="00892EBF" w:rsidP="00980876">
      <w:pPr>
        <w:pStyle w:val="Listaszerbekezds"/>
        <w:widowControl w:val="0"/>
        <w:numPr>
          <w:ilvl w:val="0"/>
          <w:numId w:val="368"/>
        </w:numPr>
        <w:spacing w:after="0" w:line="240" w:lineRule="auto"/>
        <w:jc w:val="both"/>
        <w:rPr>
          <w:rFonts w:ascii="Times New Roman" w:hAnsi="Times New Roman" w:cs="Times New Roman"/>
        </w:rPr>
      </w:pPr>
      <w:r>
        <w:rPr>
          <w:rFonts w:ascii="Times New Roman" w:eastAsia="Times New Roman" w:hAnsi="Times New Roman" w:cs="Times New Roman"/>
          <w:lang w:val="en-GB"/>
        </w:rPr>
        <w:t xml:space="preserve">To be able </w:t>
      </w:r>
      <w:r w:rsidRPr="000D6805">
        <w:rPr>
          <w:rFonts w:ascii="Times New Roman" w:hAnsi="Times New Roman" w:cs="Times New Roman"/>
        </w:rPr>
        <w:t xml:space="preserve">to understand the connections in logistic field between the national economy and the HDF. </w:t>
      </w:r>
    </w:p>
    <w:p w:rsidR="00892EBF" w:rsidRPr="000D6805" w:rsidRDefault="00892EBF" w:rsidP="00980876">
      <w:pPr>
        <w:pStyle w:val="Listaszerbekezds"/>
        <w:widowControl w:val="0"/>
        <w:numPr>
          <w:ilvl w:val="0"/>
          <w:numId w:val="368"/>
        </w:numPr>
        <w:spacing w:after="0" w:line="240" w:lineRule="auto"/>
        <w:jc w:val="both"/>
        <w:rPr>
          <w:rFonts w:ascii="Times New Roman" w:hAnsi="Times New Roman" w:cs="Times New Roman"/>
        </w:rPr>
      </w:pPr>
      <w:r w:rsidRPr="000D6805">
        <w:rPr>
          <w:rFonts w:ascii="Times New Roman" w:hAnsi="Times New Roman" w:cs="Times New Roman"/>
        </w:rPr>
        <w:t>To have ability to create new, innovative ideas in his/her professional field.</w:t>
      </w:r>
    </w:p>
    <w:p w:rsidR="00892EBF" w:rsidRDefault="00892EBF" w:rsidP="00980876">
      <w:pPr>
        <w:pStyle w:val="Listaszerbekezds"/>
        <w:widowControl w:val="0"/>
        <w:numPr>
          <w:ilvl w:val="0"/>
          <w:numId w:val="368"/>
        </w:numPr>
        <w:spacing w:after="0" w:line="240" w:lineRule="auto"/>
        <w:jc w:val="both"/>
        <w:rPr>
          <w:rFonts w:ascii="Times New Roman" w:eastAsia="Times New Roman" w:hAnsi="Times New Roman" w:cs="Times New Roman"/>
          <w:lang w:val="en-GB"/>
        </w:rPr>
      </w:pPr>
      <w:r w:rsidRPr="000D6805">
        <w:rPr>
          <w:rFonts w:ascii="Times New Roman" w:hAnsi="Times New Roman" w:cs="Times New Roman"/>
        </w:rPr>
        <w:t>To have ability to lead and execute sub-unit level supply tasks both in peace and crisis time even in multinational</w:t>
      </w:r>
      <w:r>
        <w:rPr>
          <w:rFonts w:ascii="Times New Roman" w:eastAsia="Times New Roman" w:hAnsi="Times New Roman" w:cs="Times New Roman"/>
          <w:lang w:val="en-GB"/>
        </w:rPr>
        <w:t xml:space="preserve"> peace support operations.</w:t>
      </w:r>
    </w:p>
    <w:p w:rsidR="00892EBF" w:rsidRDefault="00892EBF" w:rsidP="00892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425"/>
        <w:jc w:val="both"/>
        <w:rPr>
          <w:rFonts w:ascii="Times New Roman" w:eastAsia="Times New Roman" w:hAnsi="Times New Roman" w:cs="Times New Roman"/>
          <w:lang w:val="en-GB"/>
        </w:rPr>
      </w:pPr>
      <w:r>
        <w:rPr>
          <w:rFonts w:ascii="Times New Roman" w:eastAsia="Times New Roman" w:hAnsi="Times New Roman" w:cs="Times New Roman"/>
          <w:b/>
          <w:lang w:val="en-GB"/>
        </w:rPr>
        <w:t>Attitude:</w:t>
      </w:r>
      <w:r>
        <w:rPr>
          <w:rFonts w:ascii="Times New Roman" w:eastAsia="Times New Roman" w:hAnsi="Times New Roman" w:cs="Times New Roman"/>
          <w:lang w:val="en-GB"/>
        </w:rPr>
        <w:t xml:space="preserve"> </w:t>
      </w:r>
    </w:p>
    <w:p w:rsidR="00892EBF" w:rsidRPr="000D6805" w:rsidRDefault="00892EBF" w:rsidP="00980876">
      <w:pPr>
        <w:pStyle w:val="Listaszerbekezds"/>
        <w:widowControl w:val="0"/>
        <w:numPr>
          <w:ilvl w:val="0"/>
          <w:numId w:val="368"/>
        </w:numPr>
        <w:spacing w:after="0" w:line="240" w:lineRule="auto"/>
        <w:jc w:val="both"/>
        <w:rPr>
          <w:rFonts w:ascii="Times New Roman" w:hAnsi="Times New Roman" w:cs="Times New Roman"/>
        </w:rPr>
      </w:pPr>
      <w:r>
        <w:rPr>
          <w:rFonts w:ascii="Times New Roman" w:eastAsia="Times New Roman" w:hAnsi="Times New Roman" w:cs="Times New Roman"/>
          <w:lang w:val="en-GB"/>
        </w:rPr>
        <w:t xml:space="preserve">To </w:t>
      </w:r>
      <w:r w:rsidRPr="000D6805">
        <w:rPr>
          <w:rFonts w:ascii="Times New Roman" w:hAnsi="Times New Roman" w:cs="Times New Roman"/>
        </w:rPr>
        <w:t>be able to recognize the advantages and opportunities offered by well-structured activities and to be seeking to understand the logical connections among logistic activities.</w:t>
      </w:r>
    </w:p>
    <w:p w:rsidR="00892EBF" w:rsidRDefault="00892EBF" w:rsidP="00980876">
      <w:pPr>
        <w:pStyle w:val="Listaszerbekezds"/>
        <w:widowControl w:val="0"/>
        <w:numPr>
          <w:ilvl w:val="0"/>
          <w:numId w:val="368"/>
        </w:numPr>
        <w:spacing w:after="0" w:line="240" w:lineRule="auto"/>
        <w:jc w:val="both"/>
        <w:rPr>
          <w:rFonts w:ascii="Times New Roman" w:eastAsia="Times New Roman" w:hAnsi="Times New Roman" w:cs="Times New Roman"/>
          <w:lang w:val="en-GB"/>
        </w:rPr>
      </w:pPr>
      <w:r w:rsidRPr="000D6805">
        <w:rPr>
          <w:rFonts w:ascii="Times New Roman" w:hAnsi="Times New Roman" w:cs="Times New Roman"/>
        </w:rPr>
        <w:t>To be characterized</w:t>
      </w:r>
      <w:r>
        <w:rPr>
          <w:rFonts w:ascii="Times New Roman" w:eastAsia="Times New Roman" w:hAnsi="Times New Roman" w:cs="Times New Roman"/>
          <w:lang w:val="en-GB"/>
        </w:rPr>
        <w:t xml:space="preserve"> by efficiency-based attitude.    </w:t>
      </w:r>
    </w:p>
    <w:p w:rsidR="00892EBF" w:rsidRDefault="00892EBF" w:rsidP="00892EBF">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lang w:val="en-GB"/>
        </w:rPr>
        <w:t xml:space="preserve">Autonomy and responsibility: </w:t>
      </w:r>
    </w:p>
    <w:p w:rsidR="00892EBF" w:rsidRPr="000D6805" w:rsidRDefault="00892EBF" w:rsidP="00980876">
      <w:pPr>
        <w:pStyle w:val="Listaszerbekezds"/>
        <w:widowControl w:val="0"/>
        <w:numPr>
          <w:ilvl w:val="0"/>
          <w:numId w:val="368"/>
        </w:numPr>
        <w:spacing w:after="0" w:line="240" w:lineRule="auto"/>
        <w:jc w:val="both"/>
        <w:rPr>
          <w:rFonts w:ascii="Times New Roman" w:hAnsi="Times New Roman" w:cs="Times New Roman"/>
        </w:rPr>
      </w:pPr>
      <w:r>
        <w:rPr>
          <w:rFonts w:ascii="Times New Roman" w:eastAsia="Times New Roman" w:hAnsi="Times New Roman" w:cs="Times New Roman"/>
          <w:bCs/>
          <w:lang w:val="en-US"/>
        </w:rPr>
        <w:t xml:space="preserve">To have </w:t>
      </w:r>
      <w:r w:rsidRPr="000D6805">
        <w:rPr>
          <w:rFonts w:ascii="Times New Roman" w:hAnsi="Times New Roman" w:cs="Times New Roman"/>
        </w:rPr>
        <w:t>intention to cooperate and coordinate with other professions in the daily tasks.</w:t>
      </w:r>
    </w:p>
    <w:p w:rsidR="00892EBF" w:rsidRDefault="00892EBF" w:rsidP="00980876">
      <w:pPr>
        <w:pStyle w:val="Listaszerbekezds"/>
        <w:widowControl w:val="0"/>
        <w:numPr>
          <w:ilvl w:val="0"/>
          <w:numId w:val="368"/>
        </w:numPr>
        <w:spacing w:after="0" w:line="240" w:lineRule="auto"/>
        <w:jc w:val="both"/>
        <w:rPr>
          <w:rFonts w:ascii="Times New Roman" w:eastAsia="Times New Roman" w:hAnsi="Times New Roman" w:cs="Times New Roman"/>
          <w:bCs/>
          <w:lang w:val="en-US"/>
        </w:rPr>
      </w:pPr>
      <w:r w:rsidRPr="000D6805">
        <w:rPr>
          <w:rFonts w:ascii="Times New Roman" w:hAnsi="Times New Roman" w:cs="Times New Roman"/>
        </w:rPr>
        <w:t>To possess</w:t>
      </w:r>
      <w:r>
        <w:rPr>
          <w:rFonts w:ascii="Times New Roman" w:eastAsia="Times New Roman" w:hAnsi="Times New Roman" w:cs="Times New Roman"/>
          <w:bCs/>
          <w:lang w:val="en-US"/>
        </w:rPr>
        <w:t xml:space="preserve"> system-based approach towards professional tasks and challenges. </w:t>
      </w:r>
    </w:p>
    <w:p w:rsidR="00892EBF" w:rsidRDefault="00892EBF" w:rsidP="00980876">
      <w:pPr>
        <w:widowControl w:val="0"/>
        <w:numPr>
          <w:ilvl w:val="0"/>
          <w:numId w:val="367"/>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Előtanulmányi követelmények: </w:t>
      </w:r>
      <w:r>
        <w:rPr>
          <w:rFonts w:ascii="Times New Roman" w:eastAsia="Times New Roman" w:hAnsi="Times New Roman" w:cs="Times New Roman"/>
          <w:bCs/>
        </w:rPr>
        <w:t>HKHPKA13 Logisztikai támogatás alapjai</w:t>
      </w:r>
    </w:p>
    <w:p w:rsidR="00892EBF" w:rsidRDefault="00892EBF" w:rsidP="00980876">
      <w:pPr>
        <w:widowControl w:val="0"/>
        <w:numPr>
          <w:ilvl w:val="0"/>
          <w:numId w:val="367"/>
        </w:numPr>
        <w:spacing w:before="120" w:after="120" w:line="240" w:lineRule="auto"/>
        <w:ind w:left="426" w:hanging="142"/>
        <w:jc w:val="both"/>
        <w:rPr>
          <w:rFonts w:ascii="Times New Roman" w:eastAsia="Times New Roman" w:hAnsi="Times New Roman" w:cs="Times New Roman"/>
          <w:b/>
          <w:bCs/>
          <w:lang w:val="en-US"/>
        </w:rPr>
      </w:pPr>
      <w:r>
        <w:rPr>
          <w:rFonts w:ascii="Times New Roman" w:eastAsia="Times New Roman" w:hAnsi="Times New Roman" w:cs="Times New Roman"/>
          <w:b/>
          <w:bCs/>
          <w:lang w:val="en-US"/>
        </w:rPr>
        <w:t>A tantárgy tananyagának leírása, tematika. Description of the subject, curriculum (magyarul, angolul - English):</w:t>
      </w:r>
    </w:p>
    <w:p w:rsidR="00892EBF" w:rsidRDefault="00892EBF" w:rsidP="001E64EC">
      <w:pPr>
        <w:widowControl w:val="0"/>
        <w:numPr>
          <w:ilvl w:val="1"/>
          <w:numId w:val="367"/>
        </w:numPr>
        <w:tabs>
          <w:tab w:val="left" w:pos="709"/>
          <w:tab w:val="left" w:pos="993"/>
        </w:tabs>
        <w:spacing w:before="120" w:after="120" w:line="240" w:lineRule="auto"/>
        <w:ind w:left="993" w:hanging="567"/>
        <w:jc w:val="both"/>
        <w:rPr>
          <w:rFonts w:ascii="Times New Roman" w:eastAsia="Times New Roman" w:hAnsi="Times New Roman" w:cs="Times New Roman"/>
          <w:lang w:val="en-US"/>
        </w:rPr>
      </w:pPr>
      <w:r>
        <w:rPr>
          <w:rFonts w:ascii="Times New Roman" w:hAnsi="Times New Roman"/>
          <w:bCs/>
          <w:lang w:val="en-US"/>
        </w:rPr>
        <w:t>A Magyar Honvédség szervezeti struktúrája, alárendeltségi, utaltsági viszonyok, ellátási felelősségek</w:t>
      </w:r>
      <w:r>
        <w:rPr>
          <w:rFonts w:ascii="Times New Roman" w:hAnsi="Times New Roman"/>
          <w:lang w:val="en-US"/>
        </w:rPr>
        <w:t>.</w:t>
      </w:r>
      <w:r>
        <w:rPr>
          <w:rFonts w:ascii="Times New Roman" w:eastAsia="Times New Roman" w:hAnsi="Times New Roman" w:cs="Times New Roman"/>
          <w:lang w:val="en-US"/>
        </w:rPr>
        <w:t xml:space="preserve"> </w:t>
      </w:r>
      <w:r>
        <w:rPr>
          <w:rFonts w:ascii="Times New Roman" w:eastAsia="Times New Roman" w:hAnsi="Times New Roman" w:cs="Times New Roman"/>
          <w:i/>
          <w:lang w:val="en-US"/>
        </w:rPr>
        <w:t>(Command and control structure of the HDF.)</w:t>
      </w:r>
    </w:p>
    <w:p w:rsidR="00892EBF" w:rsidRDefault="00892EBF" w:rsidP="001E64EC">
      <w:pPr>
        <w:widowControl w:val="0"/>
        <w:numPr>
          <w:ilvl w:val="1"/>
          <w:numId w:val="367"/>
        </w:numPr>
        <w:tabs>
          <w:tab w:val="left" w:pos="709"/>
          <w:tab w:val="left" w:pos="993"/>
        </w:tabs>
        <w:spacing w:before="120" w:after="120" w:line="240" w:lineRule="auto"/>
        <w:ind w:left="993" w:hanging="567"/>
        <w:jc w:val="both"/>
        <w:rPr>
          <w:rFonts w:ascii="Times New Roman" w:eastAsia="Times New Roman" w:hAnsi="Times New Roman" w:cs="Times New Roman"/>
          <w:lang w:val="en-US"/>
        </w:rPr>
      </w:pPr>
      <w:r>
        <w:rPr>
          <w:rFonts w:ascii="Times New Roman" w:hAnsi="Times New Roman" w:cs="Times New Roman"/>
          <w:bCs/>
          <w:lang w:val="en-US"/>
        </w:rPr>
        <w:t>Folyamatszervezés alapjai.</w:t>
      </w:r>
      <w:r>
        <w:rPr>
          <w:rFonts w:ascii="Times New Roman" w:hAnsi="Times New Roman" w:cs="Times New Roman"/>
          <w:lang w:val="en-US"/>
        </w:rPr>
        <w:t xml:space="preserve"> </w:t>
      </w:r>
      <w:r>
        <w:rPr>
          <w:rFonts w:ascii="Times New Roman" w:eastAsia="Times New Roman" w:hAnsi="Times New Roman" w:cs="Times New Roman"/>
          <w:i/>
          <w:lang w:val="en-US"/>
        </w:rPr>
        <w:t>(</w:t>
      </w:r>
      <w:r>
        <w:rPr>
          <w:rFonts w:ascii="Times New Roman" w:eastAsia="Times New Roman" w:hAnsi="Times New Roman" w:cs="Times New Roman"/>
          <w:bCs/>
          <w:i/>
          <w:lang w:val="en-US"/>
        </w:rPr>
        <w:t>Basics of process management.</w:t>
      </w:r>
      <w:r>
        <w:rPr>
          <w:rFonts w:ascii="Times New Roman" w:eastAsia="Times New Roman" w:hAnsi="Times New Roman" w:cs="Times New Roman"/>
          <w:i/>
          <w:lang w:val="en-US"/>
        </w:rPr>
        <w:t>)</w:t>
      </w:r>
    </w:p>
    <w:p w:rsidR="00892EBF" w:rsidRDefault="00892EBF" w:rsidP="001E64EC">
      <w:pPr>
        <w:widowControl w:val="0"/>
        <w:numPr>
          <w:ilvl w:val="1"/>
          <w:numId w:val="367"/>
        </w:numPr>
        <w:tabs>
          <w:tab w:val="left" w:pos="709"/>
          <w:tab w:val="left" w:pos="993"/>
        </w:tabs>
        <w:spacing w:before="120" w:after="120" w:line="240" w:lineRule="auto"/>
        <w:ind w:left="993" w:hanging="567"/>
        <w:jc w:val="both"/>
        <w:rPr>
          <w:rFonts w:ascii="Times New Roman" w:eastAsia="Times New Roman" w:hAnsi="Times New Roman" w:cs="Times New Roman"/>
          <w:i/>
          <w:lang w:val="en-US"/>
        </w:rPr>
      </w:pPr>
      <w:r>
        <w:rPr>
          <w:rFonts w:ascii="Times New Roman" w:hAnsi="Times New Roman" w:cs="Times New Roman"/>
          <w:lang w:val="en-US"/>
        </w:rPr>
        <w:t xml:space="preserve">Folyamatszervezési szoftverek. </w:t>
      </w:r>
      <w:r>
        <w:rPr>
          <w:rFonts w:ascii="Times New Roman" w:eastAsia="Times New Roman" w:hAnsi="Times New Roman" w:cs="Times New Roman"/>
          <w:lang w:val="en-US"/>
        </w:rPr>
        <w:t xml:space="preserve"> </w:t>
      </w:r>
      <w:r>
        <w:rPr>
          <w:rFonts w:ascii="Times New Roman" w:eastAsia="Times New Roman" w:hAnsi="Times New Roman" w:cs="Times New Roman"/>
          <w:i/>
          <w:lang w:val="en-US"/>
        </w:rPr>
        <w:t>(Process management softwares</w:t>
      </w:r>
      <w:r>
        <w:rPr>
          <w:rFonts w:ascii="Times New Roman" w:eastAsia="Times New Roman" w:hAnsi="Times New Roman" w:cs="Times New Roman"/>
          <w:bCs/>
          <w:i/>
          <w:lang w:val="en-US"/>
        </w:rPr>
        <w:t>.</w:t>
      </w:r>
      <w:r>
        <w:rPr>
          <w:rFonts w:ascii="Times New Roman" w:eastAsia="Times New Roman" w:hAnsi="Times New Roman" w:cs="Times New Roman"/>
          <w:i/>
          <w:lang w:val="en-US"/>
        </w:rPr>
        <w:t>)</w:t>
      </w:r>
    </w:p>
    <w:p w:rsidR="00892EBF" w:rsidRDefault="00892EBF" w:rsidP="001E64EC">
      <w:pPr>
        <w:widowControl w:val="0"/>
        <w:numPr>
          <w:ilvl w:val="1"/>
          <w:numId w:val="367"/>
        </w:numPr>
        <w:tabs>
          <w:tab w:val="left" w:pos="709"/>
          <w:tab w:val="left" w:pos="993"/>
        </w:tabs>
        <w:spacing w:before="120" w:after="120" w:line="240" w:lineRule="auto"/>
        <w:ind w:left="993" w:hanging="567"/>
        <w:jc w:val="both"/>
        <w:rPr>
          <w:rFonts w:ascii="Times New Roman" w:eastAsia="Times New Roman" w:hAnsi="Times New Roman" w:cs="Times New Roman"/>
          <w:i/>
          <w:lang w:val="en-US"/>
        </w:rPr>
      </w:pPr>
      <w:r>
        <w:rPr>
          <w:rFonts w:ascii="Times New Roman" w:eastAsia="Times New Roman" w:hAnsi="Times New Roman" w:cs="Times New Roman"/>
          <w:lang w:val="en-US"/>
        </w:rPr>
        <w:t xml:space="preserve">Értékláncok és ellátási láncok. Transznacionalizáció. </w:t>
      </w:r>
      <w:r>
        <w:rPr>
          <w:rFonts w:ascii="Times New Roman" w:eastAsia="Times New Roman" w:hAnsi="Times New Roman" w:cs="Times New Roman"/>
          <w:i/>
          <w:lang w:val="en-US"/>
        </w:rPr>
        <w:t>(Transnationalized supply and vale chains.)</w:t>
      </w:r>
    </w:p>
    <w:p w:rsidR="00892EBF" w:rsidRDefault="00892EBF" w:rsidP="001E64EC">
      <w:pPr>
        <w:widowControl w:val="0"/>
        <w:numPr>
          <w:ilvl w:val="1"/>
          <w:numId w:val="367"/>
        </w:numPr>
        <w:tabs>
          <w:tab w:val="left" w:pos="709"/>
          <w:tab w:val="left" w:pos="993"/>
        </w:tabs>
        <w:spacing w:before="120" w:after="120" w:line="240" w:lineRule="auto"/>
        <w:ind w:left="993" w:hanging="567"/>
        <w:jc w:val="both"/>
        <w:rPr>
          <w:rFonts w:ascii="Times New Roman" w:eastAsia="Times New Roman" w:hAnsi="Times New Roman" w:cs="Times New Roman"/>
          <w:i/>
          <w:lang w:val="en-US"/>
        </w:rPr>
      </w:pPr>
      <w:r>
        <w:rPr>
          <w:rFonts w:ascii="Times New Roman" w:eastAsia="Times New Roman" w:hAnsi="Times New Roman" w:cs="Times New Roman"/>
          <w:lang w:val="en-US"/>
        </w:rPr>
        <w:t xml:space="preserve">Szolgáltatás típusok, szolgáltatás-menedzsment. </w:t>
      </w:r>
      <w:r>
        <w:rPr>
          <w:rFonts w:ascii="Times New Roman" w:eastAsia="Times New Roman" w:hAnsi="Times New Roman" w:cs="Times New Roman"/>
          <w:i/>
          <w:lang w:val="en-US"/>
        </w:rPr>
        <w:t>(Service types and service management.)</w:t>
      </w:r>
    </w:p>
    <w:p w:rsidR="00892EBF" w:rsidRDefault="00892EBF" w:rsidP="001E64EC">
      <w:pPr>
        <w:widowControl w:val="0"/>
        <w:numPr>
          <w:ilvl w:val="1"/>
          <w:numId w:val="367"/>
        </w:numPr>
        <w:tabs>
          <w:tab w:val="left" w:pos="709"/>
          <w:tab w:val="left" w:pos="993"/>
        </w:tabs>
        <w:spacing w:before="120" w:after="120" w:line="240" w:lineRule="auto"/>
        <w:ind w:left="993" w:hanging="567"/>
        <w:jc w:val="both"/>
        <w:rPr>
          <w:rFonts w:ascii="Times New Roman" w:eastAsia="Times New Roman" w:hAnsi="Times New Roman" w:cs="Times New Roman"/>
          <w:i/>
          <w:lang w:val="en-US"/>
        </w:rPr>
      </w:pPr>
      <w:r>
        <w:rPr>
          <w:rFonts w:ascii="Times New Roman" w:eastAsia="Times New Roman" w:hAnsi="Times New Roman" w:cs="Times New Roman"/>
          <w:lang w:val="en-US"/>
        </w:rPr>
        <w:t>Civil és katonai ellátási lánc eltérő prioritásai</w:t>
      </w:r>
      <w:r>
        <w:rPr>
          <w:rFonts w:ascii="Times New Roman" w:eastAsia="Times New Roman" w:hAnsi="Times New Roman" w:cs="Times New Roman"/>
          <w:i/>
          <w:lang w:val="en-US"/>
        </w:rPr>
        <w:t>. (Differences between civilian and military supply chains.)</w:t>
      </w:r>
    </w:p>
    <w:p w:rsidR="00892EBF" w:rsidRDefault="00892EBF" w:rsidP="001E64EC">
      <w:pPr>
        <w:widowControl w:val="0"/>
        <w:numPr>
          <w:ilvl w:val="1"/>
          <w:numId w:val="367"/>
        </w:numPr>
        <w:tabs>
          <w:tab w:val="left" w:pos="709"/>
          <w:tab w:val="left" w:pos="993"/>
        </w:tabs>
        <w:spacing w:before="120" w:after="120" w:line="240" w:lineRule="auto"/>
        <w:ind w:left="993" w:hanging="567"/>
        <w:jc w:val="both"/>
        <w:rPr>
          <w:rFonts w:ascii="Times New Roman" w:eastAsia="Times New Roman" w:hAnsi="Times New Roman" w:cs="Times New Roman"/>
          <w:i/>
          <w:lang w:val="en-US"/>
        </w:rPr>
      </w:pPr>
      <w:r>
        <w:rPr>
          <w:rFonts w:ascii="Times New Roman" w:eastAsia="Times New Roman" w:hAnsi="Times New Roman" w:cs="Times New Roman"/>
          <w:lang w:val="en-US"/>
        </w:rPr>
        <w:t xml:space="preserve">NATO ellátási lánc alapelvek. Szakágak és feladatköreik az MH-ban. </w:t>
      </w:r>
      <w:r>
        <w:rPr>
          <w:rFonts w:ascii="Times New Roman" w:eastAsia="Times New Roman" w:hAnsi="Times New Roman" w:cs="Times New Roman"/>
          <w:i/>
          <w:lang w:val="en-US"/>
        </w:rPr>
        <w:t>(Basic rules in NATO logistics.)</w:t>
      </w:r>
    </w:p>
    <w:p w:rsidR="00892EBF" w:rsidRDefault="00892EBF" w:rsidP="001E64EC">
      <w:pPr>
        <w:widowControl w:val="0"/>
        <w:numPr>
          <w:ilvl w:val="1"/>
          <w:numId w:val="367"/>
        </w:numPr>
        <w:tabs>
          <w:tab w:val="left" w:pos="709"/>
          <w:tab w:val="left" w:pos="993"/>
        </w:tabs>
        <w:spacing w:before="120" w:after="120" w:line="240" w:lineRule="auto"/>
        <w:ind w:left="993" w:hanging="567"/>
        <w:jc w:val="both"/>
        <w:rPr>
          <w:rFonts w:ascii="Times New Roman" w:eastAsia="Times New Roman" w:hAnsi="Times New Roman" w:cs="Times New Roman"/>
          <w:i/>
          <w:lang w:val="en-US"/>
        </w:rPr>
      </w:pPr>
      <w:r>
        <w:rPr>
          <w:rFonts w:ascii="Times New Roman" w:eastAsia="Times New Roman" w:hAnsi="Times New Roman" w:cs="Times New Roman"/>
          <w:lang w:val="en-US"/>
        </w:rPr>
        <w:t xml:space="preserve">Békeellátás, nemzetközi műveleti ellátás, különleges jogrendi ellátás láncai. </w:t>
      </w:r>
      <w:r>
        <w:rPr>
          <w:rFonts w:ascii="Times New Roman" w:eastAsia="Times New Roman" w:hAnsi="Times New Roman" w:cs="Times New Roman"/>
          <w:i/>
          <w:lang w:val="en-US"/>
        </w:rPr>
        <w:t xml:space="preserve">(Military supply chains in peacetime, crisis time and in </w:t>
      </w:r>
      <w:r>
        <w:rPr>
          <w:rFonts w:ascii="Times New Roman" w:eastAsia="Times New Roman" w:hAnsi="Times New Roman" w:cs="Times New Roman"/>
          <w:i/>
        </w:rPr>
        <w:t xml:space="preserve">multinational </w:t>
      </w:r>
      <w:r>
        <w:rPr>
          <w:rFonts w:ascii="Times New Roman" w:eastAsia="Times New Roman" w:hAnsi="Times New Roman" w:cs="Times New Roman"/>
          <w:i/>
          <w:lang w:val="en-US"/>
        </w:rPr>
        <w:t>operations.)</w:t>
      </w:r>
    </w:p>
    <w:p w:rsidR="00892EBF" w:rsidRDefault="00892EBF" w:rsidP="001E64EC">
      <w:pPr>
        <w:widowControl w:val="0"/>
        <w:numPr>
          <w:ilvl w:val="1"/>
          <w:numId w:val="367"/>
        </w:numPr>
        <w:tabs>
          <w:tab w:val="left" w:pos="709"/>
          <w:tab w:val="left" w:pos="993"/>
        </w:tabs>
        <w:spacing w:before="120" w:after="120" w:line="240" w:lineRule="auto"/>
        <w:ind w:left="993" w:hanging="567"/>
        <w:jc w:val="both"/>
        <w:rPr>
          <w:rFonts w:ascii="Times New Roman" w:eastAsia="Times New Roman" w:hAnsi="Times New Roman" w:cs="Times New Roman"/>
          <w:i/>
          <w:lang w:val="en-US"/>
        </w:rPr>
      </w:pPr>
      <w:r>
        <w:rPr>
          <w:rFonts w:ascii="Times New Roman" w:eastAsia="Times New Roman" w:hAnsi="Times New Roman" w:cs="Times New Roman"/>
          <w:lang w:val="en-US"/>
        </w:rPr>
        <w:t xml:space="preserve"> Belső ellátás kontra külső (szerződéses) ellátás. Előnyök – hátrányok. </w:t>
      </w:r>
      <w:r>
        <w:rPr>
          <w:rFonts w:ascii="Times New Roman" w:eastAsia="Times New Roman" w:hAnsi="Times New Roman" w:cs="Times New Roman"/>
          <w:i/>
          <w:lang w:val="en-US"/>
        </w:rPr>
        <w:t xml:space="preserve">(Insourcing or </w:t>
      </w:r>
      <w:r>
        <w:rPr>
          <w:rFonts w:ascii="Times New Roman" w:eastAsia="Times New Roman" w:hAnsi="Times New Roman" w:cs="Times New Roman"/>
          <w:i/>
          <w:lang w:val="en-US"/>
        </w:rPr>
        <w:lastRenderedPageBreak/>
        <w:t>outsourcing. Advantages and backwards.)</w:t>
      </w:r>
    </w:p>
    <w:p w:rsidR="00892EBF" w:rsidRDefault="00892EBF" w:rsidP="001E64EC">
      <w:pPr>
        <w:widowControl w:val="0"/>
        <w:numPr>
          <w:ilvl w:val="1"/>
          <w:numId w:val="367"/>
        </w:numPr>
        <w:tabs>
          <w:tab w:val="left" w:pos="709"/>
          <w:tab w:val="left" w:pos="993"/>
        </w:tabs>
        <w:spacing w:before="120" w:after="120" w:line="240" w:lineRule="auto"/>
        <w:ind w:left="993" w:hanging="567"/>
        <w:jc w:val="both"/>
        <w:rPr>
          <w:rFonts w:ascii="Times New Roman" w:eastAsia="Times New Roman" w:hAnsi="Times New Roman" w:cs="Times New Roman"/>
          <w:i/>
          <w:lang w:val="en-US"/>
        </w:rPr>
      </w:pPr>
      <w:r>
        <w:rPr>
          <w:rFonts w:ascii="Times New Roman" w:eastAsia="Times New Roman" w:hAnsi="Times New Roman" w:cs="Times New Roman"/>
          <w:lang w:val="en-US"/>
        </w:rPr>
        <w:t xml:space="preserve"> Szerződéses ellátás – kontraktor logisztika. Outsourcing megoldások. </w:t>
      </w:r>
      <w:r>
        <w:rPr>
          <w:rFonts w:ascii="Times New Roman" w:eastAsia="Times New Roman" w:hAnsi="Times New Roman" w:cs="Times New Roman"/>
          <w:i/>
          <w:lang w:val="en-US"/>
        </w:rPr>
        <w:t>(Contractor logistics, outsourcing solutions.)</w:t>
      </w:r>
    </w:p>
    <w:p w:rsidR="00892EBF" w:rsidRDefault="00892EBF" w:rsidP="00980876">
      <w:pPr>
        <w:widowControl w:val="0"/>
        <w:numPr>
          <w:ilvl w:val="0"/>
          <w:numId w:val="367"/>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 tantárgy meghirdetésének gyakorisága/a tantervben történő félévi elhelyezkedése: </w:t>
      </w:r>
      <w:r>
        <w:rPr>
          <w:rFonts w:ascii="Times New Roman" w:eastAsia="Times New Roman" w:hAnsi="Times New Roman" w:cs="Times New Roman"/>
          <w:bCs/>
        </w:rPr>
        <w:t>Minden tavaszi szemeszterben / 6. félév</w:t>
      </w:r>
    </w:p>
    <w:p w:rsidR="00892EBF" w:rsidRDefault="00892EBF" w:rsidP="00980876">
      <w:pPr>
        <w:widowControl w:val="0"/>
        <w:numPr>
          <w:ilvl w:val="0"/>
          <w:numId w:val="367"/>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tanórákon való részvétel követelményei, az elfogadható hiányzások mértéke, a távolmaradás pótlásának lehetősége:</w:t>
      </w:r>
      <w:r>
        <w:rPr>
          <w:rFonts w:ascii="Times New Roman" w:eastAsia="Times New Roman" w:hAnsi="Times New Roman" w:cs="Times New Roman"/>
          <w:bCs/>
        </w:rPr>
        <w:t xml:space="preserve"> A tanórákon való részvétel kötelező.</w:t>
      </w:r>
      <w:r>
        <w:rPr>
          <w:rFonts w:ascii="Times New Roman" w:eastAsia="Times New Roman" w:hAnsi="Times New Roman" w:cs="Times New Roman"/>
          <w:b/>
          <w:bCs/>
        </w:rPr>
        <w:t xml:space="preserve"> </w:t>
      </w:r>
      <w:r>
        <w:rPr>
          <w:rFonts w:ascii="Times New Roman" w:eastAsia="Times New Roman" w:hAnsi="Times New Roman" w:cs="Times New Roman"/>
          <w:bCs/>
        </w:rPr>
        <w:t xml:space="preserve">A félév elfogadásának feltétele a tanórák minimum 70%-án való részvétel. Ennél magasabb mértékű távolmaradás pótlása az oktató engedélyével történhet. </w:t>
      </w:r>
    </w:p>
    <w:p w:rsidR="00892EBF" w:rsidRDefault="00892EBF" w:rsidP="00980876">
      <w:pPr>
        <w:widowControl w:val="0"/>
        <w:numPr>
          <w:ilvl w:val="0"/>
          <w:numId w:val="367"/>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rPr>
        <w:t xml:space="preserve">Félévközi feladatok, ismeretek ellenőrzésének rendje: </w:t>
      </w:r>
      <w:r>
        <w:rPr>
          <w:rFonts w:ascii="Times New Roman" w:hAnsi="Times New Roman"/>
        </w:rPr>
        <w:t>A honvéd tisztjelöltek minden tárgykör feldolgozása után egyéni vagy csoportos házi feladatot kapnak, melynek ellenőrzése a következő tárgykör feldolgozása a szorgalmi időszak vége előtt megtörténik. A szemináriumra vitatémák kerülnek kiosztásra, a honvéd tisztjelölteknek a különböző szerepekre kell felkészülniük.</w:t>
      </w:r>
    </w:p>
    <w:p w:rsidR="00892EBF" w:rsidRDefault="00892EBF" w:rsidP="00980876">
      <w:pPr>
        <w:widowControl w:val="0"/>
        <w:numPr>
          <w:ilvl w:val="0"/>
          <w:numId w:val="367"/>
        </w:numPr>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Az értékelés, az aláírás és a kreditek megszerzésének pontos feltételei: </w:t>
      </w:r>
    </w:p>
    <w:p w:rsidR="00892EBF" w:rsidRDefault="00892EBF" w:rsidP="00980876">
      <w:pPr>
        <w:widowControl w:val="0"/>
        <w:numPr>
          <w:ilvl w:val="1"/>
          <w:numId w:val="367"/>
        </w:numPr>
        <w:tabs>
          <w:tab w:val="left" w:pos="709"/>
          <w:tab w:val="left" w:pos="993"/>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Az aláírás megszerzésének feltételei:</w:t>
      </w:r>
    </w:p>
    <w:p w:rsidR="00892EBF" w:rsidRDefault="00892EBF" w:rsidP="00892EBF">
      <w:pPr>
        <w:widowControl w:val="0"/>
        <w:tabs>
          <w:tab w:val="left" w:pos="993"/>
        </w:tabs>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Az aláírás feltétele a tanórákon – 14. pontban meghatározott – részvétel, a félévközi feladatok megfelelő minőségű prezentálása, valamint a szemináriumi foglalkozáson történő részvétel.</w:t>
      </w:r>
    </w:p>
    <w:p w:rsidR="00892EBF" w:rsidRDefault="00892EBF" w:rsidP="00980876">
      <w:pPr>
        <w:widowControl w:val="0"/>
        <w:numPr>
          <w:ilvl w:val="1"/>
          <w:numId w:val="367"/>
        </w:numPr>
        <w:tabs>
          <w:tab w:val="left" w:pos="709"/>
          <w:tab w:val="left" w:pos="993"/>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Az értékelés:</w:t>
      </w:r>
    </w:p>
    <w:p w:rsidR="00892EBF" w:rsidRDefault="00892EBF" w:rsidP="00892EBF">
      <w:pPr>
        <w:widowControl w:val="0"/>
        <w:tabs>
          <w:tab w:val="left" w:pos="993"/>
        </w:tabs>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Az évközi feladataikra a honvéd tisztjelöltek pontot kapnak, amely összeadódik az írásbeli vizsgán szerzett pontszámmal.</w:t>
      </w:r>
    </w:p>
    <w:p w:rsidR="00892EBF" w:rsidRDefault="00892EBF" w:rsidP="00980876">
      <w:pPr>
        <w:widowControl w:val="0"/>
        <w:numPr>
          <w:ilvl w:val="1"/>
          <w:numId w:val="367"/>
        </w:numPr>
        <w:tabs>
          <w:tab w:val="left" w:pos="709"/>
          <w:tab w:val="left" w:pos="993"/>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 kreditek megszerzésének feltételei:</w:t>
      </w:r>
      <w:r>
        <w:rPr>
          <w:rFonts w:ascii="Times New Roman" w:eastAsia="Times New Roman" w:hAnsi="Times New Roman" w:cs="Times New Roman"/>
        </w:rPr>
        <w:t xml:space="preserve"> </w:t>
      </w:r>
    </w:p>
    <w:p w:rsidR="00892EBF" w:rsidRDefault="00892EBF" w:rsidP="00892EBF">
      <w:pPr>
        <w:widowControl w:val="0"/>
        <w:tabs>
          <w:tab w:val="left" w:pos="993"/>
        </w:tabs>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A kreditek megszerzése ötfokozatú értékeléssel záródó írásbeli vizsgán történik.</w:t>
      </w:r>
    </w:p>
    <w:p w:rsidR="00892EBF" w:rsidRDefault="00892EBF" w:rsidP="00980876">
      <w:pPr>
        <w:widowControl w:val="0"/>
        <w:numPr>
          <w:ilvl w:val="0"/>
          <w:numId w:val="367"/>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Irodalomjegyzék:</w:t>
      </w:r>
    </w:p>
    <w:p w:rsidR="00892EBF" w:rsidRDefault="00892EBF" w:rsidP="00980876">
      <w:pPr>
        <w:widowControl w:val="0"/>
        <w:numPr>
          <w:ilvl w:val="1"/>
          <w:numId w:val="367"/>
        </w:numPr>
        <w:tabs>
          <w:tab w:val="left" w:pos="567"/>
          <w:tab w:val="left" w:pos="851"/>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Kötelező irodalom:</w:t>
      </w:r>
    </w:p>
    <w:p w:rsidR="00892EBF" w:rsidRPr="00061759" w:rsidRDefault="00892EBF" w:rsidP="00980876">
      <w:pPr>
        <w:pStyle w:val="Listaszerbekezds"/>
        <w:widowControl w:val="0"/>
        <w:numPr>
          <w:ilvl w:val="0"/>
          <w:numId w:val="369"/>
        </w:numPr>
        <w:spacing w:after="0" w:line="240" w:lineRule="auto"/>
        <w:jc w:val="both"/>
        <w:rPr>
          <w:rFonts w:ascii="Times New Roman" w:hAnsi="Times New Roman" w:cs="Times New Roman"/>
          <w:bCs/>
        </w:rPr>
      </w:pPr>
      <w:r w:rsidRPr="00061759">
        <w:rPr>
          <w:rFonts w:ascii="Times New Roman" w:hAnsi="Times New Roman" w:cs="Times New Roman"/>
          <w:bCs/>
        </w:rPr>
        <w:t>Henczi Lajos – Murvai László: Projekttervezés és projektmenedzsment Saldo, 2012 ISBN: 9789636383992</w:t>
      </w:r>
    </w:p>
    <w:p w:rsidR="00892EBF" w:rsidRPr="00061759" w:rsidRDefault="00892EBF" w:rsidP="00980876">
      <w:pPr>
        <w:pStyle w:val="Listaszerbekezds"/>
        <w:widowControl w:val="0"/>
        <w:numPr>
          <w:ilvl w:val="0"/>
          <w:numId w:val="369"/>
        </w:numPr>
        <w:spacing w:after="0" w:line="240" w:lineRule="auto"/>
        <w:jc w:val="both"/>
        <w:rPr>
          <w:rFonts w:ascii="Times New Roman" w:hAnsi="Times New Roman" w:cs="Times New Roman"/>
          <w:bCs/>
        </w:rPr>
      </w:pPr>
      <w:r w:rsidRPr="00061759">
        <w:rPr>
          <w:rFonts w:ascii="Times New Roman" w:hAnsi="Times New Roman" w:cs="Times New Roman"/>
          <w:bCs/>
        </w:rPr>
        <w:t>Heidrich Balázs: Szolgáltatásmenedzsment Human Telex Consulting, Budapest, 2006. ISBN 963-229-812-8</w:t>
      </w:r>
    </w:p>
    <w:p w:rsidR="00892EBF" w:rsidRPr="00061759" w:rsidRDefault="00892EBF" w:rsidP="00980876">
      <w:pPr>
        <w:pStyle w:val="Listaszerbekezds"/>
        <w:widowControl w:val="0"/>
        <w:numPr>
          <w:ilvl w:val="0"/>
          <w:numId w:val="369"/>
        </w:numPr>
        <w:spacing w:after="0" w:line="240" w:lineRule="auto"/>
        <w:jc w:val="both"/>
        <w:rPr>
          <w:rFonts w:ascii="Times New Roman" w:hAnsi="Times New Roman" w:cs="Times New Roman"/>
          <w:bCs/>
        </w:rPr>
      </w:pPr>
      <w:r w:rsidRPr="00061759">
        <w:rPr>
          <w:rFonts w:ascii="Times New Roman" w:hAnsi="Times New Roman" w:cs="Times New Roman"/>
          <w:bCs/>
        </w:rPr>
        <w:t>KPMG tanácsadó Kft.: Logisztikai outsourcing Magyarországon Budapest, 2009</w:t>
      </w:r>
    </w:p>
    <w:p w:rsidR="00061759" w:rsidRPr="009773A4" w:rsidRDefault="00061759" w:rsidP="00980876">
      <w:pPr>
        <w:widowControl w:val="0"/>
        <w:numPr>
          <w:ilvl w:val="0"/>
          <w:numId w:val="369"/>
        </w:numPr>
        <w:spacing w:after="0" w:line="240" w:lineRule="auto"/>
        <w:jc w:val="both"/>
        <w:rPr>
          <w:rFonts w:ascii="Times New Roman" w:eastAsia="Times New Roman" w:hAnsi="Times New Roman" w:cs="Times New Roman"/>
          <w:bCs/>
        </w:rPr>
      </w:pPr>
      <w:r w:rsidRPr="009773A4">
        <w:rPr>
          <w:rFonts w:ascii="Times New Roman" w:hAnsi="Times New Roman" w:cs="Times New Roman"/>
          <w:bCs/>
        </w:rPr>
        <w:t xml:space="preserve">NATO </w:t>
      </w:r>
      <w:r>
        <w:rPr>
          <w:rFonts w:ascii="Times New Roman" w:hAnsi="Times New Roman" w:cs="Times New Roman"/>
          <w:bCs/>
        </w:rPr>
        <w:t>Logisztikai Kézikönyv</w:t>
      </w:r>
    </w:p>
    <w:p w:rsidR="00892EBF" w:rsidRDefault="00892EBF" w:rsidP="00980876">
      <w:pPr>
        <w:widowControl w:val="0"/>
        <w:numPr>
          <w:ilvl w:val="1"/>
          <w:numId w:val="367"/>
        </w:numPr>
        <w:tabs>
          <w:tab w:val="num" w:pos="2069"/>
        </w:tabs>
        <w:spacing w:before="120" w:after="120" w:line="240" w:lineRule="auto"/>
        <w:ind w:left="993" w:hanging="709"/>
        <w:jc w:val="both"/>
        <w:rPr>
          <w:rFonts w:ascii="Times New Roman" w:eastAsia="Times New Roman" w:hAnsi="Times New Roman" w:cs="Times New Roman"/>
          <w:b/>
          <w:bCs/>
        </w:rPr>
      </w:pPr>
      <w:r>
        <w:rPr>
          <w:rFonts w:ascii="Times New Roman" w:eastAsia="Times New Roman" w:hAnsi="Times New Roman" w:cs="Times New Roman"/>
          <w:b/>
          <w:bCs/>
        </w:rPr>
        <w:t xml:space="preserve"> Ajánlott irodalom:</w:t>
      </w:r>
    </w:p>
    <w:p w:rsidR="00892EBF" w:rsidRDefault="00892EBF" w:rsidP="00980876">
      <w:pPr>
        <w:pStyle w:val="Listaszerbekezds"/>
        <w:widowControl w:val="0"/>
        <w:numPr>
          <w:ilvl w:val="0"/>
          <w:numId w:val="370"/>
        </w:numPr>
        <w:spacing w:after="0" w:line="240" w:lineRule="auto"/>
        <w:jc w:val="both"/>
        <w:rPr>
          <w:rFonts w:ascii="Times New Roman" w:eastAsia="Times New Roman" w:hAnsi="Times New Roman" w:cs="Times New Roman"/>
          <w:bCs/>
        </w:rPr>
      </w:pPr>
      <w:r>
        <w:rPr>
          <w:rFonts w:ascii="Times New Roman" w:hAnsi="Times New Roman" w:cs="Times New Roman"/>
          <w:bCs/>
        </w:rPr>
        <w:t>Hoffman István: Önkormányzati közszolgáltatások szervezése és igazgatása – Az elmélet és a gyakorlat tükrében ELTE Eötvös Kiadó, 2009 ISBN: 9789632840888</w:t>
      </w:r>
    </w:p>
    <w:p w:rsidR="00892EBF" w:rsidRPr="00A55B23" w:rsidRDefault="00892EBF" w:rsidP="00980876">
      <w:pPr>
        <w:pStyle w:val="Listaszerbekezds"/>
        <w:widowControl w:val="0"/>
        <w:numPr>
          <w:ilvl w:val="0"/>
          <w:numId w:val="370"/>
        </w:numPr>
        <w:spacing w:after="0" w:line="240" w:lineRule="auto"/>
        <w:jc w:val="both"/>
        <w:rPr>
          <w:rFonts w:ascii="Times New Roman" w:eastAsia="Times New Roman" w:hAnsi="Times New Roman" w:cs="Times New Roman"/>
          <w:bCs/>
        </w:rPr>
      </w:pPr>
      <w:r>
        <w:rPr>
          <w:rFonts w:ascii="Times New Roman" w:hAnsi="Times New Roman" w:cs="Times New Roman"/>
        </w:rPr>
        <w:t>Ballé, Michael – Ballé, Freddy: A tisztelet ereje – regény a lean szemléletű vezetésről Lean Enterprise Institute, 2015. ISBN: 9789631223576.</w:t>
      </w:r>
    </w:p>
    <w:p w:rsidR="00A55B23" w:rsidRPr="00A55B23" w:rsidRDefault="00A55B23" w:rsidP="00980876">
      <w:pPr>
        <w:pStyle w:val="Listaszerbekezds"/>
        <w:widowControl w:val="0"/>
        <w:numPr>
          <w:ilvl w:val="0"/>
          <w:numId w:val="370"/>
        </w:numPr>
        <w:spacing w:after="0" w:line="240" w:lineRule="auto"/>
        <w:jc w:val="both"/>
        <w:rPr>
          <w:rFonts w:ascii="Times New Roman" w:hAnsi="Times New Roman" w:cs="Times New Roman"/>
          <w:bCs/>
          <w:highlight w:val="yellow"/>
        </w:rPr>
      </w:pPr>
      <w:r w:rsidRPr="00A55B23">
        <w:rPr>
          <w:rFonts w:ascii="Times New Roman" w:hAnsi="Times New Roman" w:cs="Times New Roman"/>
          <w:bCs/>
          <w:highlight w:val="yellow"/>
        </w:rPr>
        <w:t>Gansler, J. S.: Democracy's Arsenal: Creating a Twenty-First-Century Defense Industry The MIT Press, 2011 ISBN: 9780262072991</w:t>
      </w:r>
    </w:p>
    <w:p w:rsidR="00A55B23" w:rsidRPr="00061759" w:rsidRDefault="00A55B23" w:rsidP="00061759">
      <w:pPr>
        <w:widowControl w:val="0"/>
        <w:spacing w:after="0" w:line="240" w:lineRule="auto"/>
        <w:jc w:val="both"/>
        <w:rPr>
          <w:rFonts w:ascii="Times New Roman" w:eastAsia="Times New Roman" w:hAnsi="Times New Roman" w:cs="Times New Roman"/>
          <w:bCs/>
        </w:rPr>
      </w:pPr>
    </w:p>
    <w:p w:rsidR="00892EBF" w:rsidRDefault="00892EBF" w:rsidP="00892EBF">
      <w:pPr>
        <w:widowControl w:val="0"/>
        <w:spacing w:before="120" w:after="120" w:line="240" w:lineRule="auto"/>
        <w:jc w:val="both"/>
        <w:rPr>
          <w:rFonts w:ascii="Times New Roman" w:eastAsia="Times New Roman" w:hAnsi="Times New Roman" w:cs="Times New Roman"/>
          <w:bCs/>
        </w:rPr>
      </w:pPr>
      <w:r>
        <w:rPr>
          <w:rFonts w:ascii="Times New Roman" w:eastAsia="Times New Roman" w:hAnsi="Times New Roman" w:cs="Times New Roman"/>
          <w:bCs/>
        </w:rPr>
        <w:t>Budapest, 2020. január 22.</w:t>
      </w:r>
    </w:p>
    <w:p w:rsidR="00892EBF" w:rsidRDefault="00892EBF" w:rsidP="00892EBF">
      <w:pPr>
        <w:widowControl w:val="0"/>
        <w:spacing w:before="120" w:after="120" w:line="240" w:lineRule="auto"/>
        <w:jc w:val="both"/>
        <w:rPr>
          <w:rFonts w:ascii="Times New Roman" w:eastAsia="Times New Roman" w:hAnsi="Times New Roman" w:cs="Times New Roman"/>
          <w:bCs/>
        </w:rPr>
      </w:pPr>
    </w:p>
    <w:p w:rsidR="00892EBF" w:rsidRPr="000414B9" w:rsidRDefault="00892EBF" w:rsidP="00892EBF">
      <w:pPr>
        <w:widowControl w:val="0"/>
        <w:spacing w:after="0" w:line="240" w:lineRule="auto"/>
        <w:jc w:val="right"/>
        <w:rPr>
          <w:rFonts w:ascii="Times New Roman" w:hAnsi="Times New Roman" w:cs="Times New Roman"/>
          <w:b/>
          <w:bCs/>
        </w:rPr>
      </w:pPr>
      <w:r w:rsidRPr="000414B9">
        <w:rPr>
          <w:rFonts w:ascii="Times New Roman" w:hAnsi="Times New Roman" w:cs="Times New Roman"/>
          <w:b/>
          <w:bCs/>
        </w:rPr>
        <w:t>Dr. Taksás Balázs százados PhD</w:t>
      </w:r>
    </w:p>
    <w:p w:rsidR="00892EBF" w:rsidRDefault="00892EBF" w:rsidP="00892EBF">
      <w:pPr>
        <w:widowControl w:val="0"/>
        <w:spacing w:after="0" w:line="240" w:lineRule="auto"/>
        <w:jc w:val="center"/>
        <w:rPr>
          <w:rFonts w:ascii="Times New Roman" w:eastAsia="Times New Roman" w:hAnsi="Times New Roman" w:cs="Times New Roman"/>
          <w:bCs/>
        </w:rPr>
      </w:pPr>
      <w:r>
        <w:rPr>
          <w:rFonts w:ascii="Times New Roman" w:hAnsi="Times New Roman" w:cs="Times New Roman"/>
          <w:bCs/>
        </w:rPr>
        <w:t xml:space="preserve">                                                                                                                egyetemi docens</w:t>
      </w:r>
    </w:p>
    <w:p w:rsidR="00892EBF" w:rsidRDefault="00892EBF">
      <w:pPr>
        <w:spacing w:after="200" w:line="276" w:lineRule="auto"/>
        <w:rPr>
          <w:rFonts w:ascii="Times New Roman" w:hAnsi="Times New Roman" w:cs="Times New Roman"/>
          <w:b/>
          <w:color w:val="FF0000"/>
          <w:sz w:val="24"/>
        </w:rPr>
      </w:pPr>
    </w:p>
    <w:p w:rsidR="001E1853" w:rsidRDefault="001E1853">
      <w:r>
        <w:br w:type="page"/>
      </w:r>
    </w:p>
    <w:tbl>
      <w:tblPr>
        <w:tblW w:w="9072" w:type="dxa"/>
        <w:tblInd w:w="113" w:type="dxa"/>
        <w:tblLook w:val="01E0" w:firstRow="1" w:lastRow="1" w:firstColumn="1" w:lastColumn="1" w:noHBand="0" w:noVBand="0"/>
      </w:tblPr>
      <w:tblGrid>
        <w:gridCol w:w="4855"/>
        <w:gridCol w:w="1620"/>
        <w:gridCol w:w="2597"/>
      </w:tblGrid>
      <w:tr w:rsidR="000D6805" w:rsidTr="00647B98">
        <w:tc>
          <w:tcPr>
            <w:tcW w:w="4855" w:type="dxa"/>
            <w:tcBorders>
              <w:top w:val="nil"/>
              <w:left w:val="nil"/>
              <w:bottom w:val="single" w:sz="4" w:space="0" w:color="auto"/>
              <w:right w:val="nil"/>
            </w:tcBorders>
            <w:hideMark/>
          </w:tcPr>
          <w:p w:rsidR="000D6805" w:rsidRDefault="000D6805" w:rsidP="00647B98">
            <w:pPr>
              <w:spacing w:after="0" w:line="240" w:lineRule="auto"/>
              <w:jc w:val="center"/>
              <w:rPr>
                <w:rFonts w:ascii="Times New Roman" w:eastAsia="Times New Roman" w:hAnsi="Times New Roman" w:cs="Times New Roman"/>
                <w:b/>
                <w:smallCaps/>
                <w:lang w:eastAsia="hu-HU"/>
              </w:rPr>
            </w:pPr>
            <w:r>
              <w:rPr>
                <w:rFonts w:ascii="Times New Roman" w:eastAsia="Times New Roman" w:hAnsi="Times New Roman" w:cs="Times New Roman"/>
                <w:b/>
                <w:smallCaps/>
                <w:lang w:eastAsia="hu-HU"/>
              </w:rPr>
              <w:lastRenderedPageBreak/>
              <w:t>Nemzeti Közszolgálati Egyetem</w:t>
            </w:r>
          </w:p>
        </w:tc>
        <w:tc>
          <w:tcPr>
            <w:tcW w:w="1620" w:type="dxa"/>
          </w:tcPr>
          <w:p w:rsidR="000D6805" w:rsidRDefault="000D6805" w:rsidP="00647B98">
            <w:pPr>
              <w:spacing w:after="0" w:line="240" w:lineRule="auto"/>
              <w:jc w:val="both"/>
              <w:rPr>
                <w:rFonts w:ascii="Times New Roman" w:eastAsia="Times New Roman" w:hAnsi="Times New Roman" w:cs="Times New Roman"/>
                <w:lang w:eastAsia="hu-HU"/>
              </w:rPr>
            </w:pPr>
          </w:p>
        </w:tc>
        <w:tc>
          <w:tcPr>
            <w:tcW w:w="2597" w:type="dxa"/>
          </w:tcPr>
          <w:p w:rsidR="000D6805" w:rsidRDefault="000D6805" w:rsidP="00647B98">
            <w:pPr>
              <w:spacing w:after="0" w:line="240" w:lineRule="auto"/>
              <w:jc w:val="right"/>
              <w:rPr>
                <w:rFonts w:ascii="Times New Roman" w:eastAsia="Times New Roman" w:hAnsi="Times New Roman" w:cs="Times New Roman"/>
                <w:lang w:eastAsia="hu-HU"/>
              </w:rPr>
            </w:pPr>
          </w:p>
        </w:tc>
      </w:tr>
      <w:tr w:rsidR="000D6805" w:rsidTr="00647B98">
        <w:tc>
          <w:tcPr>
            <w:tcW w:w="4855" w:type="dxa"/>
            <w:tcBorders>
              <w:top w:val="single" w:sz="4" w:space="0" w:color="auto"/>
              <w:left w:val="nil"/>
              <w:bottom w:val="nil"/>
              <w:right w:val="nil"/>
            </w:tcBorders>
            <w:hideMark/>
          </w:tcPr>
          <w:p w:rsidR="000D6805" w:rsidRDefault="000D6805" w:rsidP="00647B98">
            <w:pPr>
              <w:pStyle w:val="Szvegtrzs"/>
              <w:spacing w:line="256" w:lineRule="auto"/>
              <w:jc w:val="center"/>
              <w:rPr>
                <w:b/>
                <w:lang w:eastAsia="en-US"/>
              </w:rPr>
            </w:pPr>
            <w:r>
              <w:rPr>
                <w:b/>
                <w:lang w:eastAsia="en-US"/>
              </w:rPr>
              <w:t>Hadtudományi és Honvédtisztképző Kar</w:t>
            </w:r>
          </w:p>
        </w:tc>
        <w:tc>
          <w:tcPr>
            <w:tcW w:w="1620" w:type="dxa"/>
          </w:tcPr>
          <w:p w:rsidR="000D6805" w:rsidRDefault="000D6805" w:rsidP="00647B98">
            <w:pPr>
              <w:pStyle w:val="Szvegtrzs"/>
              <w:spacing w:line="256" w:lineRule="auto"/>
              <w:rPr>
                <w:lang w:eastAsia="en-US"/>
              </w:rPr>
            </w:pPr>
          </w:p>
        </w:tc>
        <w:tc>
          <w:tcPr>
            <w:tcW w:w="2597" w:type="dxa"/>
          </w:tcPr>
          <w:p w:rsidR="000D6805" w:rsidRDefault="000D6805" w:rsidP="00647B98">
            <w:pPr>
              <w:pStyle w:val="Szvegtrzs"/>
              <w:spacing w:line="256" w:lineRule="auto"/>
              <w:rPr>
                <w:lang w:eastAsia="en-US"/>
              </w:rPr>
            </w:pPr>
          </w:p>
        </w:tc>
      </w:tr>
    </w:tbl>
    <w:p w:rsidR="000D6805" w:rsidRDefault="000D6805" w:rsidP="000D6805">
      <w:pPr>
        <w:widowControl w:val="0"/>
        <w:spacing w:before="120" w:after="120" w:line="240" w:lineRule="auto"/>
        <w:ind w:left="426" w:hanging="142"/>
        <w:jc w:val="center"/>
        <w:rPr>
          <w:rFonts w:ascii="Times New Roman" w:eastAsia="Times New Roman" w:hAnsi="Times New Roman" w:cs="Times New Roman"/>
          <w:b/>
          <w:bCs/>
        </w:rPr>
      </w:pPr>
    </w:p>
    <w:p w:rsidR="000D6805" w:rsidRDefault="000D6805" w:rsidP="000D6805">
      <w:pPr>
        <w:widowControl w:val="0"/>
        <w:spacing w:before="120" w:after="120" w:line="240" w:lineRule="auto"/>
        <w:ind w:left="426" w:hanging="142"/>
        <w:jc w:val="center"/>
        <w:rPr>
          <w:rFonts w:ascii="Times New Roman" w:eastAsia="Times New Roman" w:hAnsi="Times New Roman" w:cs="Times New Roman"/>
          <w:b/>
          <w:bCs/>
        </w:rPr>
      </w:pPr>
      <w:r>
        <w:rPr>
          <w:rFonts w:ascii="Times New Roman" w:eastAsia="Times New Roman" w:hAnsi="Times New Roman" w:cs="Times New Roman"/>
          <w:b/>
          <w:bCs/>
        </w:rPr>
        <w:t>TANTÁRGYI PROGRAM</w:t>
      </w:r>
    </w:p>
    <w:p w:rsidR="000D6805" w:rsidRDefault="000D6805" w:rsidP="00980876">
      <w:pPr>
        <w:widowControl w:val="0"/>
        <w:numPr>
          <w:ilvl w:val="0"/>
          <w:numId w:val="371"/>
        </w:numPr>
        <w:spacing w:before="120" w:after="120" w:line="240" w:lineRule="auto"/>
        <w:ind w:left="643"/>
        <w:jc w:val="both"/>
        <w:rPr>
          <w:rFonts w:ascii="Times New Roman" w:eastAsia="Times New Roman" w:hAnsi="Times New Roman" w:cs="Times New Roman"/>
          <w:bCs/>
        </w:rPr>
      </w:pPr>
      <w:r>
        <w:rPr>
          <w:rFonts w:ascii="Times New Roman" w:eastAsia="Times New Roman" w:hAnsi="Times New Roman" w:cs="Times New Roman"/>
          <w:b/>
          <w:bCs/>
        </w:rPr>
        <w:t xml:space="preserve">A tantárgy kódja: </w:t>
      </w:r>
      <w:r>
        <w:rPr>
          <w:rFonts w:ascii="Times New Roman" w:eastAsia="Times New Roman" w:hAnsi="Times New Roman" w:cs="Times New Roman"/>
          <w:bCs/>
        </w:rPr>
        <w:t>HKHPKA508</w:t>
      </w:r>
    </w:p>
    <w:p w:rsidR="000D6805" w:rsidRDefault="000D6805" w:rsidP="00980876">
      <w:pPr>
        <w:widowControl w:val="0"/>
        <w:numPr>
          <w:ilvl w:val="0"/>
          <w:numId w:val="371"/>
        </w:numPr>
        <w:spacing w:before="120" w:after="120" w:line="240" w:lineRule="auto"/>
        <w:ind w:left="643"/>
        <w:jc w:val="both"/>
        <w:rPr>
          <w:rFonts w:ascii="Times New Roman" w:eastAsia="Times New Roman" w:hAnsi="Times New Roman" w:cs="Times New Roman"/>
          <w:b/>
          <w:bCs/>
          <w:lang w:val="en-GB"/>
        </w:rPr>
      </w:pPr>
      <w:r>
        <w:rPr>
          <w:rFonts w:ascii="Times New Roman" w:eastAsia="Times New Roman" w:hAnsi="Times New Roman" w:cs="Times New Roman"/>
          <w:b/>
          <w:bCs/>
        </w:rPr>
        <w:t>A tantárgy megnevezése (magyarul):</w:t>
      </w:r>
      <w:r>
        <w:rPr>
          <w:bCs/>
        </w:rPr>
        <w:t xml:space="preserve"> </w:t>
      </w:r>
      <w:r>
        <w:rPr>
          <w:rFonts w:ascii="Times New Roman" w:eastAsia="Times New Roman" w:hAnsi="Times New Roman" w:cs="Times New Roman"/>
          <w:bCs/>
        </w:rPr>
        <w:t>Számvitel II. (Költségvetési számvitel I.)</w:t>
      </w:r>
    </w:p>
    <w:p w:rsidR="000D6805" w:rsidRDefault="000D6805" w:rsidP="00980876">
      <w:pPr>
        <w:widowControl w:val="0"/>
        <w:numPr>
          <w:ilvl w:val="0"/>
          <w:numId w:val="371"/>
        </w:numPr>
        <w:spacing w:before="120" w:after="120" w:line="240" w:lineRule="auto"/>
        <w:ind w:left="643"/>
        <w:jc w:val="both"/>
        <w:rPr>
          <w:rFonts w:ascii="Times New Roman" w:eastAsia="Times New Roman" w:hAnsi="Times New Roman" w:cs="Times New Roman"/>
          <w:b/>
          <w:bCs/>
          <w:lang w:val="en-GB"/>
        </w:rPr>
      </w:pPr>
      <w:r>
        <w:rPr>
          <w:rFonts w:ascii="Times New Roman" w:eastAsia="Times New Roman" w:hAnsi="Times New Roman" w:cs="Times New Roman"/>
          <w:b/>
          <w:bCs/>
        </w:rPr>
        <w:t>A tantárgy megnevezése (angolul):</w:t>
      </w:r>
      <w:r>
        <w:rPr>
          <w:bCs/>
        </w:rPr>
        <w:t xml:space="preserve"> </w:t>
      </w:r>
      <w:r>
        <w:rPr>
          <w:rFonts w:ascii="Times New Roman" w:eastAsia="Times New Roman" w:hAnsi="Times New Roman" w:cs="Times New Roman"/>
          <w:bCs/>
        </w:rPr>
        <w:t>Accounting II.</w:t>
      </w:r>
      <w:r>
        <w:rPr>
          <w:bCs/>
        </w:rPr>
        <w:t xml:space="preserve"> (</w:t>
      </w:r>
      <w:r>
        <w:rPr>
          <w:rFonts w:ascii="Times New Roman" w:eastAsia="Times New Roman" w:hAnsi="Times New Roman" w:cs="Times New Roman"/>
          <w:bCs/>
        </w:rPr>
        <w:t>Public Service Accounting I.)</w:t>
      </w:r>
    </w:p>
    <w:p w:rsidR="000D6805" w:rsidRDefault="000D6805" w:rsidP="00980876">
      <w:pPr>
        <w:widowControl w:val="0"/>
        <w:numPr>
          <w:ilvl w:val="0"/>
          <w:numId w:val="371"/>
        </w:numPr>
        <w:spacing w:before="120" w:after="120" w:line="240" w:lineRule="auto"/>
        <w:ind w:left="567" w:hanging="283"/>
        <w:jc w:val="both"/>
        <w:rPr>
          <w:rFonts w:ascii="Times New Roman" w:eastAsia="Times New Roman" w:hAnsi="Times New Roman" w:cs="Times New Roman"/>
          <w:b/>
          <w:bCs/>
        </w:rPr>
      </w:pPr>
      <w:r>
        <w:rPr>
          <w:rFonts w:ascii="Times New Roman" w:eastAsia="Times New Roman" w:hAnsi="Times New Roman" w:cs="Times New Roman"/>
          <w:b/>
          <w:bCs/>
        </w:rPr>
        <w:t xml:space="preserve">Kreditérték és képzési karakter: </w:t>
      </w:r>
    </w:p>
    <w:p w:rsidR="000D6805" w:rsidRDefault="000D6805" w:rsidP="00980876">
      <w:pPr>
        <w:pStyle w:val="Listaszerbekezds"/>
        <w:widowControl w:val="0"/>
        <w:numPr>
          <w:ilvl w:val="1"/>
          <w:numId w:val="371"/>
        </w:numPr>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5 kredit</w:t>
      </w:r>
    </w:p>
    <w:p w:rsidR="000D6805" w:rsidRDefault="000D6805" w:rsidP="00980876">
      <w:pPr>
        <w:pStyle w:val="Listaszerbekezds"/>
        <w:widowControl w:val="0"/>
        <w:numPr>
          <w:ilvl w:val="1"/>
          <w:numId w:val="371"/>
        </w:numPr>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 xml:space="preserve">a tantárgy elméleti vagy gyakorlati jellegének mértéke: </w:t>
      </w:r>
      <w:r w:rsidR="004C4557">
        <w:rPr>
          <w:rFonts w:ascii="Times New Roman" w:eastAsia="Times New Roman" w:hAnsi="Times New Roman" w:cs="Times New Roman"/>
          <w:bCs/>
        </w:rPr>
        <w:t>60</w:t>
      </w:r>
      <w:r w:rsidR="004C4557" w:rsidRPr="00740A68">
        <w:rPr>
          <w:rFonts w:ascii="Times New Roman" w:eastAsia="Times New Roman" w:hAnsi="Times New Roman" w:cs="Times New Roman"/>
          <w:b/>
          <w:bCs/>
        </w:rPr>
        <w:t xml:space="preserve"> </w:t>
      </w:r>
      <w:r w:rsidR="004C4557">
        <w:rPr>
          <w:rFonts w:ascii="Times New Roman" w:eastAsia="Times New Roman" w:hAnsi="Times New Roman" w:cs="Times New Roman"/>
          <w:bCs/>
        </w:rPr>
        <w:t>% gyakorlat, 40 % elmélet</w:t>
      </w:r>
    </w:p>
    <w:p w:rsidR="000D6805" w:rsidRDefault="000D6805" w:rsidP="00980876">
      <w:pPr>
        <w:widowControl w:val="0"/>
        <w:numPr>
          <w:ilvl w:val="0"/>
          <w:numId w:val="371"/>
        </w:numPr>
        <w:spacing w:before="120" w:after="120" w:line="240" w:lineRule="auto"/>
        <w:ind w:left="643"/>
        <w:jc w:val="both"/>
        <w:rPr>
          <w:rFonts w:ascii="Times New Roman" w:eastAsia="Times New Roman" w:hAnsi="Times New Roman" w:cs="Times New Roman"/>
          <w:bCs/>
        </w:rPr>
      </w:pPr>
      <w:r>
        <w:rPr>
          <w:rFonts w:ascii="Times New Roman" w:eastAsia="Times New Roman" w:hAnsi="Times New Roman" w:cs="Times New Roman"/>
          <w:b/>
          <w:bCs/>
        </w:rPr>
        <w:t>A szak(ok), szakirányok/specializációk megnevezése (ahol oktatják):</w:t>
      </w:r>
      <w:r>
        <w:rPr>
          <w:rFonts w:ascii="Times New Roman" w:eastAsia="Times New Roman" w:hAnsi="Times New Roman" w:cs="Times New Roman"/>
          <w:bCs/>
        </w:rPr>
        <w:t xml:space="preserve"> Katonai logisztika alapképzési szak, Katonai pénzügyi specializáció</w:t>
      </w:r>
    </w:p>
    <w:p w:rsidR="000D6805" w:rsidRDefault="000D6805" w:rsidP="00980876">
      <w:pPr>
        <w:widowControl w:val="0"/>
        <w:numPr>
          <w:ilvl w:val="0"/>
          <w:numId w:val="371"/>
        </w:numPr>
        <w:spacing w:before="120" w:after="120" w:line="240" w:lineRule="auto"/>
        <w:ind w:left="643"/>
        <w:jc w:val="both"/>
        <w:rPr>
          <w:rFonts w:ascii="Times New Roman" w:eastAsia="Times New Roman" w:hAnsi="Times New Roman" w:cs="Times New Roman"/>
          <w:bCs/>
        </w:rPr>
      </w:pPr>
      <w:r>
        <w:rPr>
          <w:rFonts w:ascii="Times New Roman" w:eastAsia="Times New Roman" w:hAnsi="Times New Roman" w:cs="Times New Roman"/>
          <w:b/>
          <w:bCs/>
        </w:rPr>
        <w:t>Az oktatásért felelős oktatási szervezeti egység megnevezése:</w:t>
      </w:r>
      <w:r>
        <w:rPr>
          <w:bCs/>
        </w:rPr>
        <w:t xml:space="preserve"> </w:t>
      </w:r>
      <w:r>
        <w:rPr>
          <w:rFonts w:ascii="Times New Roman" w:eastAsia="Times New Roman" w:hAnsi="Times New Roman" w:cs="Times New Roman"/>
          <w:bCs/>
        </w:rPr>
        <w:t xml:space="preserve">NKE Hadtudományi és Honvédtisztképző Kar, Hadtáp, Pénzügyi és Katonai Közlekedési Tanszék </w:t>
      </w:r>
    </w:p>
    <w:p w:rsidR="000D6805" w:rsidRDefault="000D6805" w:rsidP="00980876">
      <w:pPr>
        <w:widowControl w:val="0"/>
        <w:numPr>
          <w:ilvl w:val="0"/>
          <w:numId w:val="371"/>
        </w:numPr>
        <w:spacing w:before="120" w:after="120" w:line="240" w:lineRule="auto"/>
        <w:ind w:left="643"/>
        <w:jc w:val="both"/>
        <w:rPr>
          <w:rFonts w:ascii="Times New Roman" w:eastAsia="Times New Roman" w:hAnsi="Times New Roman" w:cs="Times New Roman"/>
          <w:bCs/>
        </w:rPr>
      </w:pPr>
      <w:r>
        <w:rPr>
          <w:rFonts w:ascii="Times New Roman" w:eastAsia="Times New Roman" w:hAnsi="Times New Roman" w:cs="Times New Roman"/>
          <w:b/>
          <w:bCs/>
        </w:rPr>
        <w:t>A tantárgyfelelős oktató neve, beosztása, tudományos fokozata:</w:t>
      </w:r>
      <w:r>
        <w:rPr>
          <w:rFonts w:ascii="Times New Roman" w:eastAsia="Times New Roman" w:hAnsi="Times New Roman" w:cs="Times New Roman"/>
          <w:bCs/>
        </w:rPr>
        <w:t xml:space="preserve"> Dr. Hutkai Zsuzsanna, adjunktus, PhD</w:t>
      </w:r>
    </w:p>
    <w:p w:rsidR="000D6805" w:rsidRDefault="000D6805" w:rsidP="00980876">
      <w:pPr>
        <w:widowControl w:val="0"/>
        <w:numPr>
          <w:ilvl w:val="0"/>
          <w:numId w:val="371"/>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tanórák száma és típusa</w:t>
      </w:r>
    </w:p>
    <w:p w:rsidR="000D6805" w:rsidRDefault="000D6805" w:rsidP="00980876">
      <w:pPr>
        <w:widowControl w:val="0"/>
        <w:numPr>
          <w:ilvl w:val="1"/>
          <w:numId w:val="371"/>
        </w:numPr>
        <w:tabs>
          <w:tab w:val="num" w:pos="709"/>
          <w:tab w:val="num" w:pos="2069"/>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össz óraszám/félév:</w:t>
      </w:r>
      <w:r w:rsidR="004C4557" w:rsidRPr="004C4557">
        <w:rPr>
          <w:rFonts w:ascii="Times New Roman" w:eastAsia="Times New Roman" w:hAnsi="Times New Roman" w:cs="Times New Roman"/>
          <w:bCs/>
        </w:rPr>
        <w:t xml:space="preserve"> </w:t>
      </w:r>
      <w:r w:rsidR="004C4557" w:rsidRPr="00211ADE">
        <w:rPr>
          <w:rFonts w:ascii="Times New Roman" w:eastAsia="Times New Roman" w:hAnsi="Times New Roman" w:cs="Times New Roman"/>
          <w:bCs/>
        </w:rPr>
        <w:t>70</w:t>
      </w:r>
    </w:p>
    <w:p w:rsidR="004C4557" w:rsidRDefault="004C4557" w:rsidP="004C4557">
      <w:pPr>
        <w:pStyle w:val="Listaszerbekezds"/>
        <w:widowControl w:val="0"/>
        <w:numPr>
          <w:ilvl w:val="2"/>
          <w:numId w:val="372"/>
        </w:numPr>
        <w:tabs>
          <w:tab w:val="num" w:pos="1800"/>
        </w:tabs>
        <w:spacing w:before="120" w:after="120" w:line="240" w:lineRule="auto"/>
        <w:ind w:left="1418"/>
        <w:jc w:val="both"/>
        <w:rPr>
          <w:rFonts w:ascii="Times New Roman" w:eastAsia="Times New Roman" w:hAnsi="Times New Roman" w:cs="Times New Roman"/>
          <w:bCs/>
        </w:rPr>
      </w:pPr>
      <w:r w:rsidRPr="00211ADE">
        <w:rPr>
          <w:rFonts w:ascii="Times New Roman" w:eastAsia="Times New Roman" w:hAnsi="Times New Roman" w:cs="Times New Roman"/>
          <w:bCs/>
        </w:rPr>
        <w:t>nappali munkarend: (28 EA + 0 SZ + 42 GY)</w:t>
      </w:r>
    </w:p>
    <w:p w:rsidR="000D6805" w:rsidRDefault="000D6805" w:rsidP="00980876">
      <w:pPr>
        <w:pStyle w:val="Listaszerbekezds"/>
        <w:widowControl w:val="0"/>
        <w:numPr>
          <w:ilvl w:val="2"/>
          <w:numId w:val="372"/>
        </w:numPr>
        <w:spacing w:before="120" w:after="120" w:line="240" w:lineRule="auto"/>
        <w:ind w:left="1418"/>
        <w:jc w:val="both"/>
        <w:rPr>
          <w:rFonts w:ascii="Times New Roman" w:eastAsia="Times New Roman" w:hAnsi="Times New Roman" w:cs="Times New Roman"/>
          <w:bCs/>
        </w:rPr>
      </w:pPr>
      <w:r>
        <w:rPr>
          <w:rFonts w:ascii="Times New Roman" w:eastAsia="Times New Roman" w:hAnsi="Times New Roman" w:cs="Times New Roman"/>
          <w:bCs/>
        </w:rPr>
        <w:t>levelező munkarend: - (- EA + - SZ + - GY)</w:t>
      </w:r>
    </w:p>
    <w:p w:rsidR="000D6805" w:rsidRDefault="000D6805" w:rsidP="00980876">
      <w:pPr>
        <w:widowControl w:val="0"/>
        <w:numPr>
          <w:ilvl w:val="1"/>
          <w:numId w:val="371"/>
        </w:numPr>
        <w:tabs>
          <w:tab w:val="num" w:pos="709"/>
          <w:tab w:val="num" w:pos="2069"/>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het</w:t>
      </w:r>
      <w:r w:rsidR="004C4557">
        <w:rPr>
          <w:rFonts w:ascii="Times New Roman" w:eastAsia="Times New Roman" w:hAnsi="Times New Roman" w:cs="Times New Roman"/>
          <w:bCs/>
        </w:rPr>
        <w:t>i óraszám - nappali munkarend: 5</w:t>
      </w:r>
    </w:p>
    <w:p w:rsidR="000D6805" w:rsidRDefault="000D6805" w:rsidP="00980876">
      <w:pPr>
        <w:widowControl w:val="0"/>
        <w:numPr>
          <w:ilvl w:val="1"/>
          <w:numId w:val="371"/>
        </w:numPr>
        <w:tabs>
          <w:tab w:val="num" w:pos="709"/>
          <w:tab w:val="num" w:pos="2069"/>
        </w:tabs>
        <w:spacing w:before="120" w:after="120" w:line="240" w:lineRule="auto"/>
        <w:ind w:left="851" w:hanging="425"/>
        <w:jc w:val="both"/>
        <w:rPr>
          <w:rFonts w:ascii="Times New Roman" w:eastAsia="Times New Roman" w:hAnsi="Times New Roman" w:cs="Times New Roman"/>
          <w:bCs/>
        </w:rPr>
      </w:pPr>
      <w:r>
        <w:rPr>
          <w:rFonts w:ascii="Times New Roman" w:hAnsi="Times New Roman" w:cs="Times New Roman"/>
        </w:rPr>
        <w:t>Az ismeret átadásában alkalmazandó további sajátos módok, jellemzők: -</w:t>
      </w:r>
    </w:p>
    <w:p w:rsidR="000D6805" w:rsidRDefault="000D6805" w:rsidP="00980876">
      <w:pPr>
        <w:widowControl w:val="0"/>
        <w:numPr>
          <w:ilvl w:val="0"/>
          <w:numId w:val="371"/>
        </w:numPr>
        <w:spacing w:before="120" w:after="120" w:line="240" w:lineRule="auto"/>
        <w:ind w:left="643"/>
        <w:jc w:val="both"/>
        <w:rPr>
          <w:rFonts w:ascii="Times New Roman" w:eastAsia="Times New Roman" w:hAnsi="Times New Roman" w:cs="Times New Roman"/>
          <w:bCs/>
        </w:rPr>
      </w:pPr>
      <w:r>
        <w:rPr>
          <w:rFonts w:ascii="Times New Roman" w:eastAsia="Times New Roman" w:hAnsi="Times New Roman" w:cs="Times New Roman"/>
          <w:b/>
          <w:bCs/>
        </w:rPr>
        <w:t>A tantárgy szakmai tartalma (magyarul):</w:t>
      </w:r>
      <w:r>
        <w:rPr>
          <w:bCs/>
        </w:rPr>
        <w:t xml:space="preserve"> </w:t>
      </w:r>
      <w:r>
        <w:rPr>
          <w:rFonts w:ascii="Times New Roman" w:eastAsia="Times New Roman" w:hAnsi="Times New Roman" w:cs="Times New Roman"/>
          <w:bCs/>
        </w:rPr>
        <w:t>A HM tárca számvitele. A költségvetési és pénzügyi számvitel sajátosságainak bemutatása, főkönyvi nyilvántartásban való megjelenése. Az MH beszámolási kötelezettségének bemutatása.</w:t>
      </w:r>
    </w:p>
    <w:p w:rsidR="000D6805" w:rsidRDefault="000D6805" w:rsidP="000D6805">
      <w:pPr>
        <w:widowControl w:val="0"/>
        <w:spacing w:before="120" w:after="120" w:line="240" w:lineRule="auto"/>
        <w:ind w:left="709"/>
        <w:jc w:val="both"/>
        <w:rPr>
          <w:rFonts w:ascii="Times New Roman" w:eastAsia="Times New Roman" w:hAnsi="Times New Roman" w:cs="Times New Roman"/>
          <w:bCs/>
          <w:lang w:val="en-GB"/>
        </w:rPr>
      </w:pPr>
      <w:r>
        <w:rPr>
          <w:rFonts w:ascii="Times New Roman" w:eastAsia="Times New Roman" w:hAnsi="Times New Roman" w:cs="Times New Roman"/>
          <w:b/>
          <w:bCs/>
        </w:rPr>
        <w:t>A tantárgy szakmai tartalma (angolul) (</w:t>
      </w:r>
      <w:r>
        <w:rPr>
          <w:rFonts w:ascii="Times New Roman" w:eastAsia="Times New Roman" w:hAnsi="Times New Roman" w:cs="Times New Roman"/>
          <w:b/>
          <w:bCs/>
          <w:lang w:val="en-US"/>
        </w:rPr>
        <w:t>Course description</w:t>
      </w:r>
      <w:r>
        <w:rPr>
          <w:rFonts w:ascii="Times New Roman" w:eastAsia="Times New Roman" w:hAnsi="Times New Roman" w:cs="Times New Roman"/>
          <w:b/>
          <w:bCs/>
        </w:rPr>
        <w:t xml:space="preserve">): </w:t>
      </w:r>
      <w:r>
        <w:rPr>
          <w:rFonts w:ascii="Times New Roman" w:eastAsia="Times New Roman" w:hAnsi="Times New Roman" w:cs="Times New Roman"/>
          <w:bCs/>
          <w:lang w:val="en-GB"/>
        </w:rPr>
        <w:t>Accounting in the MoD. Presentation of the features of budgetary and financial accounting, its appearance in the general ledger register. MoD's reporting obligations</w:t>
      </w:r>
      <w:r>
        <w:rPr>
          <w:rFonts w:ascii="Times New Roman" w:eastAsia="Times New Roman" w:hAnsi="Times New Roman" w:cs="Times New Roman"/>
          <w:bCs/>
        </w:rPr>
        <w:t>.</w:t>
      </w:r>
    </w:p>
    <w:p w:rsidR="000D6805" w:rsidRDefault="000D6805" w:rsidP="00980876">
      <w:pPr>
        <w:pStyle w:val="Listaszerbekezds"/>
        <w:widowControl w:val="0"/>
        <w:numPr>
          <w:ilvl w:val="0"/>
          <w:numId w:val="371"/>
        </w:numPr>
        <w:tabs>
          <w:tab w:val="num" w:pos="643"/>
        </w:tabs>
        <w:spacing w:before="120" w:after="120" w:line="240" w:lineRule="auto"/>
        <w:ind w:left="643"/>
        <w:jc w:val="both"/>
        <w:rPr>
          <w:rFonts w:ascii="Times New Roman" w:eastAsia="Times New Roman" w:hAnsi="Times New Roman" w:cs="Times New Roman"/>
          <w:bCs/>
        </w:rPr>
      </w:pPr>
      <w:r>
        <w:rPr>
          <w:rFonts w:ascii="Times New Roman" w:eastAsia="Times New Roman" w:hAnsi="Times New Roman" w:cs="Times New Roman"/>
          <w:b/>
          <w:bCs/>
        </w:rPr>
        <w:t xml:space="preserve">Elérendő kompetenciák (magyarul): </w:t>
      </w:r>
    </w:p>
    <w:p w:rsidR="000D6805" w:rsidRDefault="000D6805" w:rsidP="000D6805">
      <w:pPr>
        <w:widowControl w:val="0"/>
        <w:spacing w:before="120" w:after="120" w:line="240" w:lineRule="auto"/>
        <w:ind w:left="426"/>
        <w:jc w:val="both"/>
        <w:rPr>
          <w:rFonts w:ascii="Times New Roman" w:eastAsia="Times New Roman" w:hAnsi="Times New Roman" w:cs="Times New Roman"/>
          <w:bCs/>
        </w:rPr>
      </w:pPr>
      <w:r>
        <w:rPr>
          <w:rFonts w:ascii="Times New Roman" w:eastAsia="Times New Roman" w:hAnsi="Times New Roman" w:cs="Times New Roman"/>
          <w:b/>
          <w:bCs/>
        </w:rPr>
        <w:t>Tudása:</w:t>
      </w:r>
      <w:r>
        <w:rPr>
          <w:rFonts w:ascii="Times New Roman" w:eastAsia="Times New Roman" w:hAnsi="Times New Roman" w:cs="Times New Roman"/>
          <w:bCs/>
        </w:rPr>
        <w:t xml:space="preserve"> </w:t>
      </w:r>
    </w:p>
    <w:p w:rsidR="000D6805" w:rsidRDefault="000D6805" w:rsidP="00980876">
      <w:pPr>
        <w:pStyle w:val="Listaszerbekezds"/>
        <w:widowControl w:val="0"/>
        <w:numPr>
          <w:ilvl w:val="0"/>
          <w:numId w:val="211"/>
        </w:numPr>
        <w:spacing w:before="120" w:after="120" w:line="240" w:lineRule="auto"/>
        <w:ind w:hanging="219"/>
        <w:jc w:val="both"/>
        <w:rPr>
          <w:rFonts w:ascii="Times New Roman" w:eastAsia="Times New Roman" w:hAnsi="Times New Roman" w:cs="Times New Roman"/>
          <w:bCs/>
        </w:rPr>
      </w:pPr>
      <w:r>
        <w:rPr>
          <w:rFonts w:ascii="Times New Roman" w:eastAsia="Times New Roman" w:hAnsi="Times New Roman" w:cs="Times New Roman"/>
          <w:bCs/>
        </w:rPr>
        <w:t>Ismeri a Honvédelmi Minisztérium számviteli rendszerét, gazdálkodásának szabályait. Ismeri a költségvetési szervek zárszámadására, beszámolására vonatkozó szabályokat.</w:t>
      </w:r>
    </w:p>
    <w:p w:rsidR="000D6805" w:rsidRDefault="000D6805" w:rsidP="000D6805">
      <w:pPr>
        <w:widowControl w:val="0"/>
        <w:spacing w:before="120" w:after="120" w:line="240" w:lineRule="auto"/>
        <w:ind w:left="426"/>
        <w:jc w:val="both"/>
        <w:rPr>
          <w:rFonts w:ascii="Times New Roman" w:eastAsia="Times New Roman" w:hAnsi="Times New Roman" w:cs="Times New Roman"/>
          <w:bCs/>
        </w:rPr>
      </w:pPr>
      <w:r>
        <w:rPr>
          <w:rFonts w:ascii="Times New Roman" w:eastAsia="Times New Roman" w:hAnsi="Times New Roman" w:cs="Times New Roman"/>
          <w:b/>
          <w:bCs/>
        </w:rPr>
        <w:t>Képességei:</w:t>
      </w:r>
      <w:r>
        <w:rPr>
          <w:rFonts w:ascii="Times New Roman" w:eastAsia="Times New Roman" w:hAnsi="Times New Roman" w:cs="Times New Roman"/>
          <w:bCs/>
        </w:rPr>
        <w:t xml:space="preserve"> </w:t>
      </w:r>
    </w:p>
    <w:p w:rsidR="000D6805" w:rsidRDefault="000D6805" w:rsidP="00980876">
      <w:pPr>
        <w:pStyle w:val="Listaszerbekezds"/>
        <w:widowControl w:val="0"/>
        <w:numPr>
          <w:ilvl w:val="0"/>
          <w:numId w:val="211"/>
        </w:numPr>
        <w:spacing w:before="120" w:after="120" w:line="240" w:lineRule="auto"/>
        <w:ind w:hanging="219"/>
        <w:jc w:val="both"/>
        <w:rPr>
          <w:rFonts w:ascii="Times New Roman" w:eastAsia="Times New Roman" w:hAnsi="Times New Roman" w:cs="Times New Roman"/>
          <w:bCs/>
        </w:rPr>
      </w:pPr>
      <w:r>
        <w:rPr>
          <w:rFonts w:ascii="Times New Roman" w:eastAsia="Times New Roman" w:hAnsi="Times New Roman" w:cs="Times New Roman"/>
          <w:bCs/>
        </w:rPr>
        <w:t>Más szakterületekkel együttműködve részt vesz a gazdálkodó szervezetek költségvetésének tervezésében, a gazdálkodás végrehajtásával és a beszámolással kapcsolatos feladatokban..</w:t>
      </w:r>
    </w:p>
    <w:p w:rsidR="000D6805" w:rsidRDefault="000D6805" w:rsidP="000D6805">
      <w:pPr>
        <w:widowControl w:val="0"/>
        <w:spacing w:before="120" w:after="120" w:line="240" w:lineRule="auto"/>
        <w:ind w:left="426"/>
        <w:jc w:val="both"/>
        <w:rPr>
          <w:rFonts w:ascii="Times New Roman" w:eastAsia="Times New Roman" w:hAnsi="Times New Roman" w:cs="Times New Roman"/>
          <w:bCs/>
        </w:rPr>
      </w:pPr>
      <w:r>
        <w:rPr>
          <w:rFonts w:ascii="Times New Roman" w:eastAsia="Times New Roman" w:hAnsi="Times New Roman" w:cs="Times New Roman"/>
          <w:b/>
          <w:bCs/>
        </w:rPr>
        <w:t>Attitűdje:</w:t>
      </w:r>
      <w:r>
        <w:rPr>
          <w:rFonts w:ascii="Times New Roman" w:eastAsia="Times New Roman" w:hAnsi="Times New Roman" w:cs="Times New Roman"/>
          <w:bCs/>
        </w:rPr>
        <w:t xml:space="preserve"> </w:t>
      </w:r>
    </w:p>
    <w:p w:rsidR="000D6805" w:rsidRDefault="000D6805" w:rsidP="00980876">
      <w:pPr>
        <w:pStyle w:val="Listaszerbekezds"/>
        <w:widowControl w:val="0"/>
        <w:numPr>
          <w:ilvl w:val="0"/>
          <w:numId w:val="211"/>
        </w:numPr>
        <w:spacing w:before="120" w:after="120" w:line="240" w:lineRule="auto"/>
        <w:ind w:hanging="219"/>
        <w:jc w:val="both"/>
        <w:rPr>
          <w:rFonts w:ascii="Times New Roman" w:eastAsia="Times New Roman" w:hAnsi="Times New Roman" w:cs="Times New Roman"/>
          <w:bCs/>
        </w:rPr>
      </w:pPr>
      <w:r>
        <w:rPr>
          <w:rFonts w:ascii="Times New Roman" w:eastAsia="Times New Roman" w:hAnsi="Times New Roman" w:cs="Times New Roman"/>
          <w:bCs/>
        </w:rPr>
        <w:t>Különös figyelmet fordít a pénzügyi területnél elvárt jogszerű, szabálykövető, pontos munkavégzésre.</w:t>
      </w:r>
    </w:p>
    <w:p w:rsidR="000D6805" w:rsidRDefault="000D6805" w:rsidP="000D6805">
      <w:pPr>
        <w:widowControl w:val="0"/>
        <w:spacing w:before="120" w:after="120" w:line="240" w:lineRule="auto"/>
        <w:ind w:left="426"/>
        <w:jc w:val="both"/>
        <w:rPr>
          <w:rFonts w:ascii="Times New Roman" w:eastAsia="Times New Roman" w:hAnsi="Times New Roman" w:cs="Times New Roman"/>
          <w:bCs/>
        </w:rPr>
      </w:pPr>
      <w:r>
        <w:rPr>
          <w:rFonts w:ascii="Times New Roman" w:eastAsia="Times New Roman" w:hAnsi="Times New Roman" w:cs="Times New Roman"/>
          <w:b/>
          <w:bCs/>
        </w:rPr>
        <w:t>Autonómiája és felelőssége:</w:t>
      </w:r>
      <w:r>
        <w:rPr>
          <w:rFonts w:ascii="Times New Roman" w:eastAsia="Times New Roman" w:hAnsi="Times New Roman" w:cs="Times New Roman"/>
          <w:bCs/>
        </w:rPr>
        <w:t xml:space="preserve"> </w:t>
      </w:r>
    </w:p>
    <w:p w:rsidR="000D6805" w:rsidRDefault="000D6805" w:rsidP="00980876">
      <w:pPr>
        <w:pStyle w:val="Listaszerbekezds"/>
        <w:widowControl w:val="0"/>
        <w:numPr>
          <w:ilvl w:val="0"/>
          <w:numId w:val="211"/>
        </w:numPr>
        <w:spacing w:before="120" w:after="120" w:line="240" w:lineRule="auto"/>
        <w:ind w:hanging="219"/>
        <w:jc w:val="both"/>
        <w:rPr>
          <w:rFonts w:ascii="Times New Roman" w:eastAsia="Times New Roman" w:hAnsi="Times New Roman" w:cs="Times New Roman"/>
          <w:bCs/>
        </w:rPr>
      </w:pPr>
      <w:r>
        <w:rPr>
          <w:rFonts w:ascii="Times New Roman" w:eastAsia="Times New Roman" w:hAnsi="Times New Roman" w:cs="Times New Roman"/>
          <w:bCs/>
        </w:rPr>
        <w:t>A gazdálkodás támogató és pénzügyi ellátó referatúra feladatkörébe tartozó gazdálkodási kérdésekben önállóan döntéseket hoz.</w:t>
      </w:r>
    </w:p>
    <w:p w:rsidR="000D6805" w:rsidRDefault="000D6805" w:rsidP="000D6805">
      <w:pPr>
        <w:widowControl w:val="0"/>
        <w:spacing w:before="120" w:after="120" w:line="240" w:lineRule="auto"/>
        <w:ind w:left="426"/>
        <w:jc w:val="both"/>
        <w:rPr>
          <w:rFonts w:ascii="Times New Roman" w:eastAsia="Times New Roman" w:hAnsi="Times New Roman" w:cs="Times New Roman"/>
          <w:bCs/>
        </w:rPr>
      </w:pPr>
    </w:p>
    <w:p w:rsidR="000D6805" w:rsidRDefault="000D6805" w:rsidP="000D6805">
      <w:pPr>
        <w:widowControl w:val="0"/>
        <w:spacing w:before="120" w:after="120" w:line="240" w:lineRule="auto"/>
        <w:ind w:left="426"/>
        <w:jc w:val="both"/>
        <w:rPr>
          <w:rFonts w:ascii="Times New Roman" w:eastAsia="Times New Roman" w:hAnsi="Times New Roman" w:cs="Times New Roman"/>
          <w:b/>
          <w:bCs/>
          <w:lang w:val="en-US"/>
        </w:rPr>
      </w:pPr>
      <w:r>
        <w:rPr>
          <w:rFonts w:ascii="Times New Roman" w:eastAsia="Times New Roman" w:hAnsi="Times New Roman" w:cs="Times New Roman"/>
          <w:b/>
          <w:bCs/>
        </w:rPr>
        <w:lastRenderedPageBreak/>
        <w:t>Elérendő kompetenciák (angolul) (</w:t>
      </w:r>
      <w:r>
        <w:rPr>
          <w:rFonts w:ascii="Times New Roman" w:eastAsia="Times New Roman" w:hAnsi="Times New Roman" w:cs="Times New Roman"/>
          <w:b/>
          <w:bCs/>
          <w:lang w:val="en-US"/>
        </w:rPr>
        <w:t xml:space="preserve">Competences – English): </w:t>
      </w:r>
    </w:p>
    <w:p w:rsidR="000D6805" w:rsidRDefault="000D6805" w:rsidP="000D6805">
      <w:pPr>
        <w:widowControl w:val="0"/>
        <w:spacing w:before="120" w:after="120"/>
        <w:ind w:left="426"/>
        <w:jc w:val="both"/>
        <w:rPr>
          <w:rFonts w:ascii="Times New Roman" w:eastAsia="Times New Roman" w:hAnsi="Times New Roman" w:cs="Times New Roman"/>
          <w:b/>
          <w:lang w:val="en-GB"/>
        </w:rPr>
      </w:pPr>
      <w:r>
        <w:rPr>
          <w:rFonts w:ascii="Times New Roman" w:eastAsia="Times New Roman" w:hAnsi="Times New Roman" w:cs="Times New Roman"/>
          <w:b/>
          <w:lang w:val="en-GB"/>
        </w:rPr>
        <w:t xml:space="preserve">Knowledge: </w:t>
      </w:r>
    </w:p>
    <w:p w:rsidR="000D6805" w:rsidRDefault="000D6805" w:rsidP="00980876">
      <w:pPr>
        <w:pStyle w:val="Listaszerbekezds"/>
        <w:widowControl w:val="0"/>
        <w:numPr>
          <w:ilvl w:val="0"/>
          <w:numId w:val="211"/>
        </w:numPr>
        <w:spacing w:before="120" w:after="120" w:line="256" w:lineRule="auto"/>
        <w:ind w:hanging="219"/>
        <w:jc w:val="both"/>
        <w:rPr>
          <w:rFonts w:ascii="Times New Roman" w:eastAsia="Times New Roman" w:hAnsi="Times New Roman" w:cs="Times New Roman"/>
        </w:rPr>
      </w:pPr>
      <w:r>
        <w:rPr>
          <w:rFonts w:ascii="Times New Roman" w:eastAsia="Times New Roman" w:hAnsi="Times New Roman" w:cs="Times New Roman"/>
          <w:lang w:val="en"/>
        </w:rPr>
        <w:t>He/She knows the accounting system of the Ministry of Defense and the rules of its management. He/She knows the rules concerning the accounting and reporting of the budgetary bodies.</w:t>
      </w:r>
    </w:p>
    <w:p w:rsidR="000D6805" w:rsidRDefault="000D6805" w:rsidP="000D6805">
      <w:pPr>
        <w:widowControl w:val="0"/>
        <w:spacing w:before="120" w:after="120" w:line="240" w:lineRule="auto"/>
        <w:ind w:left="426"/>
        <w:jc w:val="both"/>
        <w:rPr>
          <w:rFonts w:ascii="Times New Roman" w:eastAsia="Times New Roman" w:hAnsi="Times New Roman" w:cs="Times New Roman"/>
          <w:b/>
          <w:lang w:val="en-GB"/>
        </w:rPr>
      </w:pPr>
      <w:r>
        <w:rPr>
          <w:rFonts w:ascii="Times New Roman" w:eastAsia="Times New Roman" w:hAnsi="Times New Roman" w:cs="Times New Roman"/>
          <w:b/>
          <w:lang w:val="en-GB"/>
        </w:rPr>
        <w:t xml:space="preserve">Capabilities: </w:t>
      </w:r>
    </w:p>
    <w:p w:rsidR="000D6805" w:rsidRDefault="000D6805" w:rsidP="00980876">
      <w:pPr>
        <w:pStyle w:val="Listaszerbekezds"/>
        <w:widowControl w:val="0"/>
        <w:numPr>
          <w:ilvl w:val="0"/>
          <w:numId w:val="211"/>
        </w:numPr>
        <w:spacing w:before="120" w:after="120" w:line="240" w:lineRule="auto"/>
        <w:ind w:hanging="219"/>
        <w:jc w:val="both"/>
        <w:rPr>
          <w:rFonts w:ascii="Times New Roman" w:eastAsia="Times New Roman" w:hAnsi="Times New Roman" w:cs="Times New Roman"/>
          <w:lang w:val="en-GB"/>
        </w:rPr>
      </w:pPr>
      <w:r>
        <w:rPr>
          <w:rFonts w:ascii="Times New Roman" w:eastAsia="Times New Roman" w:hAnsi="Times New Roman" w:cs="Times New Roman"/>
          <w:lang w:val="en-GB"/>
        </w:rPr>
        <w:t>Collaborates with other areas of expertise in planning, implementing, and reporting on the military organizations' budgets.</w:t>
      </w:r>
    </w:p>
    <w:p w:rsidR="000D6805" w:rsidRDefault="000D6805" w:rsidP="000D6805">
      <w:pPr>
        <w:widowControl w:val="0"/>
        <w:spacing w:before="120" w:after="120" w:line="240" w:lineRule="auto"/>
        <w:ind w:left="426"/>
        <w:jc w:val="both"/>
        <w:rPr>
          <w:rFonts w:ascii="Times New Roman" w:eastAsia="Times New Roman" w:hAnsi="Times New Roman" w:cs="Times New Roman"/>
          <w:b/>
          <w:lang w:val="en-GB"/>
        </w:rPr>
      </w:pPr>
      <w:r>
        <w:rPr>
          <w:rFonts w:ascii="Times New Roman" w:eastAsia="Times New Roman" w:hAnsi="Times New Roman" w:cs="Times New Roman"/>
          <w:b/>
          <w:lang w:val="en-GB"/>
        </w:rPr>
        <w:t xml:space="preserve">Attitude: </w:t>
      </w:r>
    </w:p>
    <w:p w:rsidR="000D6805" w:rsidRDefault="000D6805" w:rsidP="00980876">
      <w:pPr>
        <w:pStyle w:val="Listaszerbekezds"/>
        <w:widowControl w:val="0"/>
        <w:numPr>
          <w:ilvl w:val="0"/>
          <w:numId w:val="211"/>
        </w:numPr>
        <w:spacing w:before="120" w:after="120" w:line="240" w:lineRule="auto"/>
        <w:ind w:hanging="219"/>
        <w:jc w:val="both"/>
        <w:rPr>
          <w:rFonts w:ascii="Times New Roman" w:eastAsia="Times New Roman" w:hAnsi="Times New Roman" w:cs="Times New Roman"/>
          <w:b/>
          <w:lang w:val="en-GB"/>
        </w:rPr>
      </w:pPr>
      <w:r>
        <w:rPr>
          <w:rFonts w:ascii="Times New Roman" w:eastAsia="Times New Roman" w:hAnsi="Times New Roman" w:cs="Times New Roman"/>
          <w:lang w:val="en-GB"/>
        </w:rPr>
        <w:t>He/she pays particular attention to the legal, regulatory, and accurate work required in the financial field.</w:t>
      </w:r>
    </w:p>
    <w:p w:rsidR="000D6805" w:rsidRDefault="000D6805" w:rsidP="000D68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pPr>
      <w:r>
        <w:rPr>
          <w:rFonts w:ascii="Times New Roman" w:eastAsia="Times New Roman" w:hAnsi="Times New Roman" w:cs="Times New Roman"/>
          <w:b/>
          <w:lang w:val="en-GB"/>
        </w:rPr>
        <w:t>Autonomy and responsibility:</w:t>
      </w:r>
      <w:r>
        <w:rPr>
          <w:lang w:val="en-GB"/>
        </w:rPr>
        <w:t xml:space="preserve"> </w:t>
      </w:r>
    </w:p>
    <w:p w:rsidR="000D6805" w:rsidRDefault="000D6805" w:rsidP="00980876">
      <w:pPr>
        <w:pStyle w:val="Listaszerbekezds"/>
        <w:numPr>
          <w:ilvl w:val="0"/>
          <w:numId w:val="2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19"/>
        <w:jc w:val="both"/>
        <w:rPr>
          <w:rFonts w:ascii="Times New Roman" w:eastAsia="Times New Roman" w:hAnsi="Times New Roman" w:cs="Times New Roman"/>
          <w:lang w:val="en-GB"/>
        </w:rPr>
      </w:pPr>
      <w:r>
        <w:rPr>
          <w:rFonts w:ascii="Times New Roman" w:eastAsia="Times New Roman" w:hAnsi="Times New Roman" w:cs="Times New Roman"/>
          <w:lang w:val="en-GB"/>
        </w:rPr>
        <w:t>He / she makes independent decisions on management issues within the scope of his / her financial management portfolio.</w:t>
      </w:r>
    </w:p>
    <w:p w:rsidR="000D6805" w:rsidRDefault="000D6805" w:rsidP="00980876">
      <w:pPr>
        <w:widowControl w:val="0"/>
        <w:numPr>
          <w:ilvl w:val="0"/>
          <w:numId w:val="371"/>
        </w:numPr>
        <w:spacing w:before="120" w:after="120" w:line="240" w:lineRule="auto"/>
        <w:ind w:left="643"/>
        <w:jc w:val="both"/>
        <w:rPr>
          <w:rFonts w:ascii="Times New Roman" w:eastAsia="Times New Roman" w:hAnsi="Times New Roman" w:cs="Times New Roman"/>
          <w:bCs/>
        </w:rPr>
      </w:pPr>
      <w:r>
        <w:rPr>
          <w:rFonts w:ascii="Times New Roman" w:eastAsia="Times New Roman" w:hAnsi="Times New Roman" w:cs="Times New Roman"/>
          <w:b/>
          <w:bCs/>
        </w:rPr>
        <w:t xml:space="preserve">Előtanulmányi követelmények: </w:t>
      </w:r>
      <w:r>
        <w:rPr>
          <w:rFonts w:ascii="Times New Roman" w:eastAsia="Times New Roman" w:hAnsi="Times New Roman" w:cs="Times New Roman"/>
          <w:bCs/>
        </w:rPr>
        <w:t>Számvitel I. (Alapok) HKHPKA500</w:t>
      </w:r>
    </w:p>
    <w:p w:rsidR="000D6805" w:rsidRDefault="000D6805" w:rsidP="00980876">
      <w:pPr>
        <w:widowControl w:val="0"/>
        <w:numPr>
          <w:ilvl w:val="0"/>
          <w:numId w:val="371"/>
        </w:numPr>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A tantárgy tananyagának leírása, tematika. Description of the subject, curriculum (magyarul, angolul - English):</w:t>
      </w:r>
    </w:p>
    <w:p w:rsidR="000D6805" w:rsidRDefault="000D6805" w:rsidP="00980876">
      <w:pPr>
        <w:widowControl w:val="0"/>
        <w:numPr>
          <w:ilvl w:val="1"/>
          <w:numId w:val="371"/>
        </w:numPr>
        <w:tabs>
          <w:tab w:val="left" w:pos="709"/>
          <w:tab w:val="left" w:pos="993"/>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Az államháztartás számviteléről szóló kormányrendelet és a számviteli alapelvek áttekintése. </w:t>
      </w:r>
      <w:r>
        <w:rPr>
          <w:rFonts w:ascii="Times New Roman" w:eastAsia="Times New Roman" w:hAnsi="Times New Roman" w:cs="Times New Roman"/>
          <w:i/>
          <w:kern w:val="2"/>
        </w:rPr>
        <w:t>(Government Decree on Public Accounting and Review of accounting principles)</w:t>
      </w:r>
    </w:p>
    <w:p w:rsidR="000D6805" w:rsidRDefault="000D6805" w:rsidP="00980876">
      <w:pPr>
        <w:widowControl w:val="0"/>
        <w:numPr>
          <w:ilvl w:val="1"/>
          <w:numId w:val="371"/>
        </w:numPr>
        <w:tabs>
          <w:tab w:val="left" w:pos="709"/>
          <w:tab w:val="left" w:pos="993"/>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Az államháztartás számviteléről szóló kormányrendelet és a számviteli alapelvek alkalmazása a honvédelmi szervek számvitelében. </w:t>
      </w:r>
      <w:r>
        <w:rPr>
          <w:rFonts w:ascii="Times New Roman" w:eastAsia="Times New Roman" w:hAnsi="Times New Roman" w:cs="Times New Roman"/>
          <w:i/>
          <w:kern w:val="2"/>
        </w:rPr>
        <w:t>(Government Decree on Public Accounting and application of accounting principles in the accounting of defense organizations.)</w:t>
      </w:r>
    </w:p>
    <w:p w:rsidR="000D6805" w:rsidRDefault="000D6805" w:rsidP="00980876">
      <w:pPr>
        <w:widowControl w:val="0"/>
        <w:numPr>
          <w:ilvl w:val="1"/>
          <w:numId w:val="371"/>
        </w:numPr>
        <w:tabs>
          <w:tab w:val="left" w:pos="709"/>
          <w:tab w:val="left" w:pos="993"/>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 költségvetési és pénzügyi számvitel sajátosságainak elméleti és gyakorlati bemutatása. </w:t>
      </w:r>
      <w:r>
        <w:rPr>
          <w:rFonts w:ascii="Times New Roman" w:eastAsia="Times New Roman" w:hAnsi="Times New Roman" w:cs="Times New Roman"/>
          <w:i/>
          <w:kern w:val="2"/>
        </w:rPr>
        <w:t>(Public accounting and accountig in theory and in practice.)</w:t>
      </w:r>
    </w:p>
    <w:p w:rsidR="000D6805" w:rsidRDefault="000D6805" w:rsidP="00980876">
      <w:pPr>
        <w:widowControl w:val="0"/>
        <w:numPr>
          <w:ilvl w:val="1"/>
          <w:numId w:val="371"/>
        </w:numPr>
        <w:tabs>
          <w:tab w:val="left" w:pos="709"/>
          <w:tab w:val="left" w:pos="993"/>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 nemzeti vagyonba tartozó befektetett eszközök jellemzői, számviteli elszámolásuk. Az eszközök bekerülési értéke, az értékcsökkenés, értékvesztés elszámolásának szabályai, a mérlegérték meghatározása. </w:t>
      </w:r>
      <w:r>
        <w:rPr>
          <w:rFonts w:ascii="Times New Roman" w:eastAsia="Times New Roman" w:hAnsi="Times New Roman" w:cs="Times New Roman"/>
          <w:i/>
          <w:kern w:val="2"/>
        </w:rPr>
        <w:t>(Characteristics of the national assets and their accounting. Cost of assets, rules for accounting for depreciation and impairment, determination of book value.)</w:t>
      </w:r>
    </w:p>
    <w:p w:rsidR="000D6805" w:rsidRDefault="000D6805" w:rsidP="00980876">
      <w:pPr>
        <w:widowControl w:val="0"/>
        <w:numPr>
          <w:ilvl w:val="1"/>
          <w:numId w:val="371"/>
        </w:numPr>
        <w:tabs>
          <w:tab w:val="left" w:pos="709"/>
          <w:tab w:val="left" w:pos="993"/>
        </w:tabs>
        <w:spacing w:before="120" w:after="120" w:line="240" w:lineRule="auto"/>
        <w:ind w:left="993" w:hanging="567"/>
        <w:jc w:val="both"/>
        <w:rPr>
          <w:rFonts w:ascii="Times New Roman" w:eastAsia="Times New Roman" w:hAnsi="Times New Roman" w:cs="Times New Roman"/>
          <w:i/>
          <w:kern w:val="2"/>
        </w:rPr>
      </w:pPr>
      <w:r>
        <w:rPr>
          <w:rFonts w:ascii="Times New Roman" w:eastAsia="Times New Roman" w:hAnsi="Times New Roman" w:cs="Times New Roman"/>
          <w:kern w:val="2"/>
        </w:rPr>
        <w:t xml:space="preserve">A nemzeti vagyonba tartozó forgóeszközök jellemzői, számviteli elszámolásuk. Az eszközök bekerülési értéke, az értékvesztés elszámolásának szabályai, a mérlegérték meghatározása. </w:t>
      </w:r>
      <w:r>
        <w:rPr>
          <w:rFonts w:ascii="Times New Roman" w:eastAsia="Times New Roman" w:hAnsi="Times New Roman" w:cs="Times New Roman"/>
          <w:i/>
          <w:kern w:val="2"/>
        </w:rPr>
        <w:t>(Characteristics of current assets belonging to national assets, their accounting. The cost of assets, the rules for accounting for impairment, the determination of book values.)</w:t>
      </w:r>
    </w:p>
    <w:p w:rsidR="000D6805" w:rsidRDefault="000D6805" w:rsidP="00980876">
      <w:pPr>
        <w:widowControl w:val="0"/>
        <w:numPr>
          <w:ilvl w:val="1"/>
          <w:numId w:val="371"/>
        </w:numPr>
        <w:tabs>
          <w:tab w:val="left" w:pos="709"/>
          <w:tab w:val="left" w:pos="993"/>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 nemzeti vagyonba tartozó egyéb eszközök és források jellemzői, számviteli elszámolásuk. Az eszközök, források bekerülési értéke, az értékvesztés elszámolásának szabályai, a mérlegérték meghatározása. </w:t>
      </w:r>
      <w:r>
        <w:rPr>
          <w:rFonts w:ascii="Times New Roman" w:eastAsia="Times New Roman" w:hAnsi="Times New Roman" w:cs="Times New Roman"/>
          <w:i/>
          <w:kern w:val="2"/>
        </w:rPr>
        <w:t>(Characteristics of current assets belonging to national assets, their accounting. The cost of assets, the rules for accounting for impairment, the determination of book values.)</w:t>
      </w:r>
    </w:p>
    <w:p w:rsidR="000D6805" w:rsidRDefault="000D6805" w:rsidP="00980876">
      <w:pPr>
        <w:widowControl w:val="0"/>
        <w:numPr>
          <w:ilvl w:val="1"/>
          <w:numId w:val="371"/>
        </w:numPr>
        <w:tabs>
          <w:tab w:val="left" w:pos="709"/>
          <w:tab w:val="left" w:pos="993"/>
        </w:tabs>
        <w:spacing w:before="120" w:after="120" w:line="240" w:lineRule="auto"/>
        <w:ind w:left="993" w:hanging="567"/>
        <w:jc w:val="both"/>
        <w:rPr>
          <w:rFonts w:ascii="Times New Roman" w:hAnsi="Times New Roman"/>
          <w:color w:val="000000"/>
          <w:lang w:eastAsia="x-none"/>
        </w:rPr>
      </w:pPr>
      <w:r>
        <w:rPr>
          <w:rFonts w:ascii="Times New Roman" w:eastAsia="Times New Roman" w:hAnsi="Times New Roman" w:cs="Times New Roman"/>
          <w:kern w:val="2"/>
        </w:rPr>
        <w:t xml:space="preserve">Az előirányzat gazdálkodás, a követelések, kötelezettségvállalások elszámolásának szabályai. </w:t>
      </w:r>
      <w:r>
        <w:rPr>
          <w:rFonts w:ascii="Times New Roman" w:eastAsia="Times New Roman" w:hAnsi="Times New Roman" w:cs="Times New Roman"/>
          <w:i/>
          <w:kern w:val="2"/>
        </w:rPr>
        <w:t>(Appropriations management, rules for the settlement of receivables and commitments.)</w:t>
      </w:r>
    </w:p>
    <w:p w:rsidR="000D6805" w:rsidRDefault="000D6805" w:rsidP="00980876">
      <w:pPr>
        <w:pStyle w:val="Listaszerbekezds"/>
        <w:widowControl w:val="0"/>
        <w:numPr>
          <w:ilvl w:val="0"/>
          <w:numId w:val="371"/>
        </w:numPr>
        <w:tabs>
          <w:tab w:val="left" w:pos="993"/>
        </w:tabs>
        <w:spacing w:before="120" w:after="120" w:line="240" w:lineRule="auto"/>
        <w:ind w:left="643"/>
        <w:jc w:val="both"/>
        <w:rPr>
          <w:rFonts w:ascii="Times New Roman" w:eastAsia="Times New Roman" w:hAnsi="Times New Roman" w:cs="Times New Roman"/>
          <w:bCs/>
        </w:rPr>
      </w:pPr>
      <w:r>
        <w:rPr>
          <w:rFonts w:ascii="Times New Roman" w:eastAsia="Times New Roman" w:hAnsi="Times New Roman" w:cs="Times New Roman"/>
          <w:b/>
          <w:bCs/>
        </w:rPr>
        <w:t xml:space="preserve">A tantárgy meghirdetésének gyakorisága/a tantervben történő félévi elhelyezkedése: </w:t>
      </w:r>
      <w:r>
        <w:rPr>
          <w:rFonts w:ascii="Times New Roman" w:eastAsia="Times New Roman" w:hAnsi="Times New Roman" w:cs="Times New Roman"/>
          <w:bCs/>
        </w:rPr>
        <w:t>a tanév 2. (tavaszi) félévében.</w:t>
      </w:r>
    </w:p>
    <w:p w:rsidR="000D6805" w:rsidRDefault="000D6805" w:rsidP="00980876">
      <w:pPr>
        <w:widowControl w:val="0"/>
        <w:numPr>
          <w:ilvl w:val="0"/>
          <w:numId w:val="371"/>
        </w:numPr>
        <w:spacing w:before="120" w:after="120" w:line="240" w:lineRule="auto"/>
        <w:ind w:left="643"/>
        <w:jc w:val="both"/>
        <w:rPr>
          <w:rFonts w:ascii="Times New Roman" w:eastAsia="Times New Roman" w:hAnsi="Times New Roman" w:cs="Times New Roman"/>
          <w:bCs/>
        </w:rPr>
      </w:pPr>
      <w:r>
        <w:rPr>
          <w:rFonts w:ascii="Times New Roman" w:eastAsia="Times New Roman" w:hAnsi="Times New Roman" w:cs="Times New Roman"/>
          <w:b/>
          <w:bCs/>
        </w:rPr>
        <w:lastRenderedPageBreak/>
        <w:t>A tanórákon való részvétel követelményei, az elfogadható hiányzások mértéke, a távolmaradás pótlásának lehetősége:</w:t>
      </w:r>
      <w:r>
        <w:rPr>
          <w:rFonts w:ascii="Times New Roman" w:eastAsia="Times New Roman" w:hAnsi="Times New Roman" w:cs="Times New Roman"/>
          <w:bCs/>
        </w:rPr>
        <w:t xml:space="preserve"> a tanórákon való jelenlét kötelező, az elfogadható és igazolt hiányzások száma maximum a tanórák 20%-áig terjedhet, az ismeretek pótlásáról a hallgató gondoskodik. A hiányzások elfogadható mértékének túllépése az aláírás megtagadását vonja maga után.</w:t>
      </w:r>
    </w:p>
    <w:p w:rsidR="000D6805" w:rsidRDefault="000D6805" w:rsidP="00980876">
      <w:pPr>
        <w:widowControl w:val="0"/>
        <w:numPr>
          <w:ilvl w:val="0"/>
          <w:numId w:val="371"/>
        </w:numPr>
        <w:spacing w:before="120" w:after="120" w:line="240" w:lineRule="auto"/>
        <w:jc w:val="both"/>
        <w:rPr>
          <w:rFonts w:ascii="Times New Roman" w:eastAsia="Times New Roman" w:hAnsi="Times New Roman" w:cs="Times New Roman"/>
        </w:rPr>
      </w:pPr>
      <w:r>
        <w:rPr>
          <w:rFonts w:ascii="Times New Roman" w:eastAsia="Times New Roman" w:hAnsi="Times New Roman" w:cs="Times New Roman"/>
          <w:b/>
        </w:rPr>
        <w:t>Félévközi feladatok, ismeretek ellenőrzésének rendje:</w:t>
      </w:r>
      <w:r>
        <w:rPr>
          <w:rFonts w:ascii="Times New Roman" w:eastAsia="Times New Roman" w:hAnsi="Times New Roman" w:cs="Times New Roman"/>
        </w:rPr>
        <w:t xml:space="preserve"> A hallgató a félév során egy az oktató által meghatározott téma önálló feldolgozását követően, abból előadást tart. A hallgató a félév három zárthelyi dolgozatot ír. A zárthelyi dolgozatok értékelése ötfokozatú skála alapján történik (50 %-tól elégséges, 65 %-tól közepes, 75-tól % jó, 85 %-tól jeles). </w:t>
      </w:r>
    </w:p>
    <w:p w:rsidR="000D6805" w:rsidRDefault="000D6805" w:rsidP="000D6805">
      <w:pPr>
        <w:widowControl w:val="0"/>
        <w:spacing w:before="120" w:after="120" w:line="240" w:lineRule="auto"/>
        <w:ind w:left="720"/>
        <w:jc w:val="both"/>
        <w:rPr>
          <w:rFonts w:ascii="Times New Roman" w:eastAsia="Times New Roman" w:hAnsi="Times New Roman" w:cs="Times New Roman"/>
          <w:bCs/>
        </w:rPr>
      </w:pPr>
      <w:r>
        <w:rPr>
          <w:rFonts w:ascii="Times New Roman" w:eastAsia="Times New Roman" w:hAnsi="Times New Roman" w:cs="Times New Roman"/>
        </w:rPr>
        <w:t>A zárthelyi dolgozat egyszer pótolható, illetve sikertelensége esetén javítható.</w:t>
      </w:r>
    </w:p>
    <w:p w:rsidR="000D6805" w:rsidRDefault="000D6805" w:rsidP="00980876">
      <w:pPr>
        <w:widowControl w:val="0"/>
        <w:numPr>
          <w:ilvl w:val="0"/>
          <w:numId w:val="371"/>
        </w:numPr>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Az értékelés, az aláírás és a kreditek megszerzésének pontos feltételei: </w:t>
      </w:r>
    </w:p>
    <w:p w:rsidR="000D6805" w:rsidRDefault="000D6805" w:rsidP="00980876">
      <w:pPr>
        <w:widowControl w:val="0"/>
        <w:numPr>
          <w:ilvl w:val="1"/>
          <w:numId w:val="371"/>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Az aláírás megszerzésének feltételei:</w:t>
      </w:r>
      <w:r>
        <w:rPr>
          <w:rFonts w:ascii="Times New Roman" w:eastAsia="Times New Roman" w:hAnsi="Times New Roman" w:cs="Times New Roman"/>
        </w:rPr>
        <w:t xml:space="preserve"> Az aláírás megszerzésének feltétele a 14. pontban meghatározott arányú részvétel a foglalkozásokon és a 15. pontban meghatározott félévközi feladatok legalább elégséges teljesítése.</w:t>
      </w:r>
    </w:p>
    <w:p w:rsidR="000D6805" w:rsidRDefault="000D6805" w:rsidP="00980876">
      <w:pPr>
        <w:widowControl w:val="0"/>
        <w:numPr>
          <w:ilvl w:val="1"/>
          <w:numId w:val="371"/>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Az értékelés:</w:t>
      </w:r>
      <w:r>
        <w:rPr>
          <w:rFonts w:ascii="Times New Roman" w:eastAsia="Times New Roman" w:hAnsi="Times New Roman" w:cs="Times New Roman"/>
        </w:rPr>
        <w:t xml:space="preserve"> Félévközi jegy a 15 pontban felsorolt számonkérések értékelésének szzámtani átlaga alapján.</w:t>
      </w:r>
    </w:p>
    <w:p w:rsidR="000D6805" w:rsidRDefault="000D6805" w:rsidP="00980876">
      <w:pPr>
        <w:widowControl w:val="0"/>
        <w:numPr>
          <w:ilvl w:val="1"/>
          <w:numId w:val="371"/>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A kreditek megszerzésének feltételei:</w:t>
      </w:r>
      <w:r>
        <w:rPr>
          <w:rFonts w:ascii="Times New Roman" w:eastAsia="Times New Roman" w:hAnsi="Times New Roman" w:cs="Times New Roman"/>
        </w:rPr>
        <w:t xml:space="preserve"> </w:t>
      </w:r>
    </w:p>
    <w:p w:rsidR="000D6805" w:rsidRDefault="000D6805" w:rsidP="000D6805">
      <w:pPr>
        <w:widowControl w:val="0"/>
        <w:tabs>
          <w:tab w:val="left" w:pos="993"/>
        </w:tabs>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A kreditek megszerzésének feltétele az aláírás megszerzése és a zárthelyi dolgozatok legalább elégséges teljesítése, a félévközi jegy eredménye a zárthelyi dolgozatok egyszerű számtani átlaga.</w:t>
      </w:r>
    </w:p>
    <w:p w:rsidR="000D6805" w:rsidRDefault="000D6805" w:rsidP="00980876">
      <w:pPr>
        <w:widowControl w:val="0"/>
        <w:numPr>
          <w:ilvl w:val="0"/>
          <w:numId w:val="371"/>
        </w:numPr>
        <w:tabs>
          <w:tab w:val="num" w:pos="643"/>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Irodalomjegyzék:</w:t>
      </w:r>
    </w:p>
    <w:p w:rsidR="000D6805" w:rsidRDefault="000D6805" w:rsidP="00980876">
      <w:pPr>
        <w:widowControl w:val="0"/>
        <w:numPr>
          <w:ilvl w:val="1"/>
          <w:numId w:val="371"/>
        </w:numPr>
        <w:tabs>
          <w:tab w:val="num" w:pos="567"/>
          <w:tab w:val="num" w:pos="2069"/>
        </w:tabs>
        <w:spacing w:before="120" w:after="120" w:line="240" w:lineRule="auto"/>
        <w:ind w:left="993" w:hanging="709"/>
        <w:jc w:val="both"/>
        <w:rPr>
          <w:rFonts w:ascii="Times New Roman" w:eastAsia="Times New Roman" w:hAnsi="Times New Roman" w:cs="Times New Roman"/>
          <w:b/>
          <w:bCs/>
        </w:rPr>
      </w:pPr>
      <w:r>
        <w:rPr>
          <w:rFonts w:ascii="Times New Roman" w:eastAsia="Times New Roman" w:hAnsi="Times New Roman" w:cs="Times New Roman"/>
          <w:b/>
          <w:bCs/>
        </w:rPr>
        <w:t>Kötelező irodalom:</w:t>
      </w:r>
    </w:p>
    <w:p w:rsidR="000D6805" w:rsidRDefault="000D6805" w:rsidP="00980876">
      <w:pPr>
        <w:widowControl w:val="0"/>
        <w:numPr>
          <w:ilvl w:val="2"/>
          <w:numId w:val="371"/>
        </w:numPr>
        <w:spacing w:before="120" w:after="12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Lilliné Fecz Ildikó: Államháztartási számvitel a gyakorlatban 2015, Saldo Kiadó 2015. </w:t>
      </w:r>
    </w:p>
    <w:p w:rsidR="000D6805" w:rsidRDefault="000D6805" w:rsidP="00980876">
      <w:pPr>
        <w:widowControl w:val="0"/>
        <w:numPr>
          <w:ilvl w:val="2"/>
          <w:numId w:val="371"/>
        </w:numPr>
        <w:spacing w:before="120" w:after="120" w:line="240" w:lineRule="auto"/>
        <w:jc w:val="both"/>
        <w:rPr>
          <w:rFonts w:ascii="Times New Roman" w:eastAsia="Times New Roman" w:hAnsi="Times New Roman" w:cs="Times New Roman"/>
          <w:bCs/>
        </w:rPr>
      </w:pPr>
      <w:r>
        <w:rPr>
          <w:rFonts w:ascii="Times New Roman" w:eastAsia="Times New Roman" w:hAnsi="Times New Roman" w:cs="Times New Roman"/>
          <w:bCs/>
        </w:rPr>
        <w:t>Lilliné Fecz Ildikó: Államháztartási szervezetek számlatükre 2015, Saldo Kiadó 2015.</w:t>
      </w:r>
    </w:p>
    <w:p w:rsidR="000D6805" w:rsidRPr="00953CA0" w:rsidRDefault="004B2B12" w:rsidP="00980876">
      <w:pPr>
        <w:widowControl w:val="0"/>
        <w:numPr>
          <w:ilvl w:val="1"/>
          <w:numId w:val="371"/>
        </w:numPr>
        <w:tabs>
          <w:tab w:val="num" w:pos="567"/>
          <w:tab w:val="num" w:pos="643"/>
          <w:tab w:val="num" w:pos="2069"/>
        </w:tabs>
        <w:spacing w:before="120" w:after="120" w:line="240" w:lineRule="auto"/>
        <w:ind w:left="993" w:hanging="709"/>
        <w:jc w:val="both"/>
        <w:rPr>
          <w:rFonts w:ascii="Times New Roman" w:eastAsia="Times New Roman" w:hAnsi="Times New Roman" w:cs="Times New Roman"/>
          <w:b/>
          <w:bCs/>
        </w:rPr>
      </w:pPr>
      <w:r>
        <w:rPr>
          <w:rFonts w:ascii="Times New Roman" w:eastAsia="Times New Roman" w:hAnsi="Times New Roman" w:cs="Times New Roman"/>
          <w:b/>
          <w:bCs/>
        </w:rPr>
        <w:t xml:space="preserve">Ajánlott irodalom: </w:t>
      </w:r>
    </w:p>
    <w:p w:rsidR="004B2B12" w:rsidRPr="004B2B12" w:rsidRDefault="004B2B12" w:rsidP="00980876">
      <w:pPr>
        <w:widowControl w:val="0"/>
        <w:numPr>
          <w:ilvl w:val="2"/>
          <w:numId w:val="371"/>
        </w:numPr>
        <w:spacing w:after="0" w:line="240" w:lineRule="auto"/>
        <w:jc w:val="both"/>
        <w:rPr>
          <w:rFonts w:ascii="Times New Roman" w:eastAsia="Times New Roman" w:hAnsi="Times New Roman" w:cs="Times New Roman"/>
        </w:rPr>
      </w:pPr>
      <w:r w:rsidRPr="004B2B12">
        <w:rPr>
          <w:rFonts w:ascii="Times New Roman" w:eastAsia="Times New Roman" w:hAnsi="Times New Roman" w:cs="Times New Roman"/>
        </w:rPr>
        <w:t>Csepreginé Gallasz Andrea–Török Tamás Pál: Számviteli alapismeretek. Dialóg Campus, Budapest , 2019 p.174, ISBN 978-963-531-099-9 (PDF)</w:t>
      </w:r>
    </w:p>
    <w:p w:rsidR="00953CA0" w:rsidRDefault="00953CA0" w:rsidP="00953CA0">
      <w:pPr>
        <w:widowControl w:val="0"/>
        <w:spacing w:before="120" w:after="120" w:line="240" w:lineRule="auto"/>
        <w:ind w:firstLine="284"/>
        <w:jc w:val="both"/>
        <w:rPr>
          <w:rFonts w:ascii="Times New Roman" w:eastAsia="Times New Roman" w:hAnsi="Times New Roman" w:cs="Times New Roman"/>
          <w:bCs/>
        </w:rPr>
      </w:pPr>
    </w:p>
    <w:p w:rsidR="000D6805" w:rsidRDefault="000D6805" w:rsidP="00953CA0">
      <w:pPr>
        <w:widowControl w:val="0"/>
        <w:spacing w:before="120" w:after="120" w:line="240" w:lineRule="auto"/>
        <w:ind w:firstLine="284"/>
        <w:jc w:val="both"/>
        <w:rPr>
          <w:rFonts w:ascii="Times New Roman" w:eastAsia="Times New Roman" w:hAnsi="Times New Roman" w:cs="Times New Roman"/>
          <w:bCs/>
        </w:rPr>
      </w:pPr>
      <w:r>
        <w:rPr>
          <w:rFonts w:ascii="Times New Roman" w:eastAsia="Times New Roman" w:hAnsi="Times New Roman" w:cs="Times New Roman"/>
          <w:bCs/>
        </w:rPr>
        <w:t>Budapest, 2020.02.20.</w:t>
      </w:r>
    </w:p>
    <w:p w:rsidR="000D6805" w:rsidRPr="008C366F" w:rsidRDefault="000D6805" w:rsidP="000D6805">
      <w:pPr>
        <w:widowControl w:val="0"/>
        <w:spacing w:before="120" w:after="120" w:line="240" w:lineRule="auto"/>
        <w:jc w:val="right"/>
        <w:rPr>
          <w:rFonts w:ascii="Times New Roman" w:eastAsia="Times New Roman" w:hAnsi="Times New Roman" w:cs="Times New Roman"/>
          <w:b/>
          <w:bCs/>
        </w:rPr>
      </w:pPr>
      <w:r w:rsidRPr="008C366F">
        <w:rPr>
          <w:rFonts w:ascii="Times New Roman" w:eastAsia="Times New Roman" w:hAnsi="Times New Roman" w:cs="Times New Roman"/>
          <w:b/>
          <w:bCs/>
        </w:rPr>
        <w:t>Dr. Hutkai Zsuzsanna (PhD)</w:t>
      </w:r>
    </w:p>
    <w:p w:rsidR="000D6805" w:rsidRDefault="000D6805" w:rsidP="000D6805">
      <w:pPr>
        <w:widowControl w:val="0"/>
        <w:spacing w:before="120" w:after="120" w:line="240" w:lineRule="auto"/>
        <w:jc w:val="right"/>
        <w:rPr>
          <w:rFonts w:ascii="Times New Roman" w:eastAsia="Times New Roman" w:hAnsi="Times New Roman" w:cs="Times New Roman"/>
          <w:bCs/>
        </w:rPr>
      </w:pPr>
      <w:r>
        <w:rPr>
          <w:rFonts w:ascii="Times New Roman" w:eastAsia="Times New Roman" w:hAnsi="Times New Roman" w:cs="Times New Roman"/>
          <w:bCs/>
        </w:rPr>
        <w:t>egyetemi adjunktus s.k.</w:t>
      </w:r>
    </w:p>
    <w:p w:rsidR="000D6805" w:rsidRDefault="000D6805">
      <w:pPr>
        <w:spacing w:after="200" w:line="276" w:lineRule="auto"/>
        <w:rPr>
          <w:rFonts w:ascii="Times New Roman" w:hAnsi="Times New Roman" w:cs="Times New Roman"/>
          <w:b/>
          <w:color w:val="FF0000"/>
          <w:sz w:val="24"/>
        </w:rPr>
      </w:pPr>
      <w:r>
        <w:rPr>
          <w:rFonts w:ascii="Times New Roman" w:hAnsi="Times New Roman" w:cs="Times New Roman"/>
          <w:b/>
          <w:color w:val="FF0000"/>
          <w:sz w:val="24"/>
        </w:rPr>
        <w:br w:type="page"/>
      </w:r>
    </w:p>
    <w:tbl>
      <w:tblPr>
        <w:tblW w:w="9072" w:type="dxa"/>
        <w:tblInd w:w="113" w:type="dxa"/>
        <w:tblLook w:val="01E0" w:firstRow="1" w:lastRow="1" w:firstColumn="1" w:lastColumn="1" w:noHBand="0" w:noVBand="0"/>
      </w:tblPr>
      <w:tblGrid>
        <w:gridCol w:w="4855"/>
        <w:gridCol w:w="1620"/>
        <w:gridCol w:w="2597"/>
      </w:tblGrid>
      <w:tr w:rsidR="000D6805" w:rsidRPr="00BC6E7B" w:rsidTr="00647B98">
        <w:tc>
          <w:tcPr>
            <w:tcW w:w="4855" w:type="dxa"/>
            <w:tcBorders>
              <w:bottom w:val="single" w:sz="4" w:space="0" w:color="auto"/>
            </w:tcBorders>
          </w:tcPr>
          <w:p w:rsidR="000D6805" w:rsidRPr="00BC6E7B" w:rsidRDefault="000D6805" w:rsidP="00647B98">
            <w:pPr>
              <w:spacing w:after="0" w:line="240" w:lineRule="auto"/>
              <w:jc w:val="center"/>
              <w:rPr>
                <w:rFonts w:ascii="Times New Roman" w:eastAsia="Times New Roman" w:hAnsi="Times New Roman" w:cs="Times New Roman"/>
                <w:b/>
                <w:smallCaps/>
                <w:lang w:eastAsia="hu-HU"/>
              </w:rPr>
            </w:pPr>
            <w:r w:rsidRPr="00BC6E7B">
              <w:rPr>
                <w:rFonts w:ascii="Times New Roman" w:eastAsia="Times New Roman" w:hAnsi="Times New Roman" w:cs="Times New Roman"/>
                <w:b/>
                <w:smallCaps/>
                <w:lang w:eastAsia="hu-HU"/>
              </w:rPr>
              <w:lastRenderedPageBreak/>
              <w:t>Nemzeti Közszolgálati Egyetem</w:t>
            </w:r>
          </w:p>
        </w:tc>
        <w:tc>
          <w:tcPr>
            <w:tcW w:w="1620" w:type="dxa"/>
          </w:tcPr>
          <w:p w:rsidR="000D6805" w:rsidRPr="00BC6E7B" w:rsidRDefault="000D6805" w:rsidP="00647B98">
            <w:pPr>
              <w:spacing w:after="0" w:line="240" w:lineRule="auto"/>
              <w:jc w:val="both"/>
              <w:rPr>
                <w:rFonts w:ascii="Times New Roman" w:eastAsia="Times New Roman" w:hAnsi="Times New Roman" w:cs="Times New Roman"/>
                <w:lang w:eastAsia="hu-HU"/>
              </w:rPr>
            </w:pPr>
          </w:p>
        </w:tc>
        <w:tc>
          <w:tcPr>
            <w:tcW w:w="2597" w:type="dxa"/>
          </w:tcPr>
          <w:p w:rsidR="000D6805" w:rsidRPr="00BC6E7B" w:rsidRDefault="000D6805" w:rsidP="00647B98">
            <w:pPr>
              <w:spacing w:after="0" w:line="240" w:lineRule="auto"/>
              <w:jc w:val="right"/>
              <w:rPr>
                <w:rFonts w:ascii="Times New Roman" w:eastAsia="Times New Roman" w:hAnsi="Times New Roman" w:cs="Times New Roman"/>
                <w:lang w:eastAsia="hu-HU"/>
              </w:rPr>
            </w:pPr>
          </w:p>
        </w:tc>
      </w:tr>
      <w:tr w:rsidR="000D6805" w:rsidTr="00647B98">
        <w:tc>
          <w:tcPr>
            <w:tcW w:w="4855" w:type="dxa"/>
            <w:tcBorders>
              <w:top w:val="single" w:sz="4" w:space="0" w:color="auto"/>
              <w:left w:val="nil"/>
              <w:bottom w:val="nil"/>
              <w:right w:val="nil"/>
            </w:tcBorders>
            <w:hideMark/>
          </w:tcPr>
          <w:p w:rsidR="000D6805" w:rsidRPr="00F644B4" w:rsidRDefault="000D6805" w:rsidP="00647B98">
            <w:pPr>
              <w:pStyle w:val="Szvegtrzs"/>
              <w:jc w:val="center"/>
              <w:rPr>
                <w:b/>
              </w:rPr>
            </w:pPr>
            <w:r>
              <w:rPr>
                <w:b/>
              </w:rPr>
              <w:t>Hadtudományi és Honvédtisztképző</w:t>
            </w:r>
            <w:r w:rsidRPr="00F644B4">
              <w:rPr>
                <w:b/>
              </w:rPr>
              <w:t xml:space="preserve"> Kar</w:t>
            </w:r>
          </w:p>
        </w:tc>
        <w:tc>
          <w:tcPr>
            <w:tcW w:w="1620" w:type="dxa"/>
          </w:tcPr>
          <w:p w:rsidR="000D6805" w:rsidRDefault="000D6805" w:rsidP="00647B98">
            <w:pPr>
              <w:pStyle w:val="Szvegtrzs"/>
            </w:pPr>
          </w:p>
        </w:tc>
        <w:tc>
          <w:tcPr>
            <w:tcW w:w="2597" w:type="dxa"/>
          </w:tcPr>
          <w:p w:rsidR="000D6805" w:rsidRDefault="000D6805" w:rsidP="00647B98">
            <w:pPr>
              <w:pStyle w:val="Szvegtrzs"/>
            </w:pPr>
          </w:p>
        </w:tc>
      </w:tr>
    </w:tbl>
    <w:p w:rsidR="000D6805" w:rsidRDefault="000D6805" w:rsidP="000D6805">
      <w:pPr>
        <w:widowControl w:val="0"/>
        <w:spacing w:before="120" w:after="120" w:line="240" w:lineRule="auto"/>
        <w:ind w:left="426" w:hanging="142"/>
        <w:jc w:val="center"/>
        <w:rPr>
          <w:rFonts w:ascii="Times New Roman" w:eastAsia="Times New Roman" w:hAnsi="Times New Roman" w:cs="Times New Roman"/>
          <w:b/>
          <w:bCs/>
        </w:rPr>
      </w:pPr>
    </w:p>
    <w:p w:rsidR="000D6805" w:rsidRPr="00BC6E7B" w:rsidRDefault="000D6805" w:rsidP="000D6805">
      <w:pPr>
        <w:widowControl w:val="0"/>
        <w:spacing w:before="120" w:after="120" w:line="240" w:lineRule="auto"/>
        <w:ind w:left="426" w:hanging="142"/>
        <w:jc w:val="center"/>
        <w:rPr>
          <w:rFonts w:ascii="Times New Roman" w:eastAsia="Times New Roman" w:hAnsi="Times New Roman" w:cs="Times New Roman"/>
          <w:b/>
          <w:bCs/>
        </w:rPr>
      </w:pPr>
      <w:r w:rsidRPr="00BC6E7B">
        <w:rPr>
          <w:rFonts w:ascii="Times New Roman" w:eastAsia="Times New Roman" w:hAnsi="Times New Roman" w:cs="Times New Roman"/>
          <w:b/>
          <w:bCs/>
        </w:rPr>
        <w:t>TANTÁRGYI PROGRAM</w:t>
      </w:r>
    </w:p>
    <w:p w:rsidR="000D6805" w:rsidRPr="00BC6E7B" w:rsidRDefault="000D6805" w:rsidP="00980876">
      <w:pPr>
        <w:widowControl w:val="0"/>
        <w:numPr>
          <w:ilvl w:val="0"/>
          <w:numId w:val="375"/>
        </w:numPr>
        <w:tabs>
          <w:tab w:val="num" w:pos="567"/>
        </w:tabs>
        <w:spacing w:before="120" w:after="120" w:line="240" w:lineRule="auto"/>
        <w:ind w:left="426" w:hanging="142"/>
        <w:jc w:val="both"/>
        <w:rPr>
          <w:rFonts w:ascii="Times New Roman" w:eastAsia="Times New Roman" w:hAnsi="Times New Roman" w:cs="Times New Roman"/>
          <w:bCs/>
        </w:rPr>
      </w:pPr>
      <w:r w:rsidRPr="00BC6E7B">
        <w:rPr>
          <w:rFonts w:ascii="Times New Roman" w:eastAsia="Times New Roman" w:hAnsi="Times New Roman" w:cs="Times New Roman"/>
          <w:b/>
          <w:bCs/>
        </w:rPr>
        <w:t>A tantárgy kódja:</w:t>
      </w:r>
      <w:r>
        <w:rPr>
          <w:rFonts w:ascii="Times New Roman" w:eastAsia="Times New Roman" w:hAnsi="Times New Roman" w:cs="Times New Roman"/>
          <w:b/>
          <w:bCs/>
        </w:rPr>
        <w:t xml:space="preserve"> </w:t>
      </w:r>
      <w:r w:rsidRPr="00232AAF">
        <w:rPr>
          <w:rFonts w:ascii="Times New Roman" w:eastAsia="Times New Roman" w:hAnsi="Times New Roman" w:cs="Times New Roman"/>
          <w:bCs/>
        </w:rPr>
        <w:t>HKHPKA511</w:t>
      </w:r>
    </w:p>
    <w:p w:rsidR="000D6805" w:rsidRPr="00A6100B" w:rsidRDefault="000D6805" w:rsidP="00980876">
      <w:pPr>
        <w:widowControl w:val="0"/>
        <w:numPr>
          <w:ilvl w:val="0"/>
          <w:numId w:val="375"/>
        </w:numPr>
        <w:tabs>
          <w:tab w:val="num" w:pos="567"/>
        </w:tabs>
        <w:spacing w:before="120" w:after="120" w:line="240" w:lineRule="auto"/>
        <w:ind w:left="426" w:hanging="142"/>
        <w:jc w:val="both"/>
        <w:rPr>
          <w:rFonts w:ascii="Times New Roman" w:eastAsia="Times New Roman" w:hAnsi="Times New Roman" w:cs="Times New Roman"/>
          <w:b/>
          <w:bCs/>
          <w:lang w:val="en-GB"/>
        </w:rPr>
      </w:pPr>
      <w:r w:rsidRPr="00A6100B">
        <w:rPr>
          <w:rFonts w:ascii="Times New Roman" w:eastAsia="Times New Roman" w:hAnsi="Times New Roman" w:cs="Times New Roman"/>
          <w:b/>
          <w:bCs/>
        </w:rPr>
        <w:t>A tantárgy megnevezése (magyarul):</w:t>
      </w:r>
      <w:r w:rsidRPr="00A6100B">
        <w:rPr>
          <w:bCs/>
        </w:rPr>
        <w:t xml:space="preserve"> </w:t>
      </w:r>
      <w:r w:rsidRPr="002E6AA8">
        <w:rPr>
          <w:rFonts w:ascii="Times New Roman" w:eastAsia="Times New Roman" w:hAnsi="Times New Roman" w:cs="Times New Roman"/>
          <w:bCs/>
        </w:rPr>
        <w:t>Pénzügyi-gazdasági ellenőrzés alapjai</w:t>
      </w:r>
    </w:p>
    <w:p w:rsidR="000D6805" w:rsidRPr="00A6100B" w:rsidRDefault="000D6805" w:rsidP="00980876">
      <w:pPr>
        <w:widowControl w:val="0"/>
        <w:numPr>
          <w:ilvl w:val="0"/>
          <w:numId w:val="375"/>
        </w:numPr>
        <w:tabs>
          <w:tab w:val="num" w:pos="567"/>
        </w:tabs>
        <w:spacing w:before="120" w:after="120" w:line="240" w:lineRule="auto"/>
        <w:ind w:left="426" w:hanging="142"/>
        <w:jc w:val="both"/>
        <w:rPr>
          <w:rFonts w:ascii="Times New Roman" w:eastAsia="Times New Roman" w:hAnsi="Times New Roman" w:cs="Times New Roman"/>
          <w:b/>
          <w:bCs/>
          <w:lang w:val="en-GB"/>
        </w:rPr>
      </w:pPr>
      <w:r w:rsidRPr="00A6100B">
        <w:rPr>
          <w:rFonts w:ascii="Times New Roman" w:eastAsia="Times New Roman" w:hAnsi="Times New Roman" w:cs="Times New Roman"/>
          <w:b/>
          <w:bCs/>
        </w:rPr>
        <w:t>A tantárgy megnevezése (angolul):</w:t>
      </w:r>
      <w:r w:rsidRPr="00A6100B">
        <w:rPr>
          <w:bCs/>
        </w:rPr>
        <w:t xml:space="preserve"> </w:t>
      </w:r>
      <w:r w:rsidRPr="002E6AA8">
        <w:rPr>
          <w:rFonts w:ascii="Times New Roman" w:eastAsia="Times New Roman" w:hAnsi="Times New Roman" w:cs="Times New Roman"/>
          <w:bCs/>
        </w:rPr>
        <w:t>Basics of financial control</w:t>
      </w:r>
    </w:p>
    <w:p w:rsidR="000D6805" w:rsidRDefault="000D6805" w:rsidP="00980876">
      <w:pPr>
        <w:widowControl w:val="0"/>
        <w:numPr>
          <w:ilvl w:val="0"/>
          <w:numId w:val="375"/>
        </w:numPr>
        <w:tabs>
          <w:tab w:val="num" w:pos="567"/>
        </w:tabs>
        <w:spacing w:before="120" w:after="120" w:line="240" w:lineRule="auto"/>
        <w:ind w:left="426" w:hanging="142"/>
        <w:jc w:val="both"/>
        <w:rPr>
          <w:rFonts w:ascii="Times New Roman" w:eastAsia="Times New Roman" w:hAnsi="Times New Roman" w:cs="Times New Roman"/>
          <w:b/>
          <w:bCs/>
        </w:rPr>
      </w:pPr>
      <w:r w:rsidRPr="00BC6E7B">
        <w:rPr>
          <w:rFonts w:ascii="Times New Roman" w:eastAsia="Times New Roman" w:hAnsi="Times New Roman" w:cs="Times New Roman"/>
          <w:b/>
          <w:bCs/>
        </w:rPr>
        <w:t>Kreditérték</w:t>
      </w:r>
      <w:r>
        <w:rPr>
          <w:rFonts w:ascii="Times New Roman" w:eastAsia="Times New Roman" w:hAnsi="Times New Roman" w:cs="Times New Roman"/>
          <w:b/>
          <w:bCs/>
        </w:rPr>
        <w:t xml:space="preserve"> és képzési karakter</w:t>
      </w:r>
      <w:r w:rsidRPr="00BC6E7B">
        <w:rPr>
          <w:rFonts w:ascii="Times New Roman" w:eastAsia="Times New Roman" w:hAnsi="Times New Roman" w:cs="Times New Roman"/>
          <w:b/>
          <w:bCs/>
        </w:rPr>
        <w:t xml:space="preserve">: </w:t>
      </w:r>
    </w:p>
    <w:p w:rsidR="000D6805" w:rsidRPr="00740A68" w:rsidRDefault="000D6805" w:rsidP="00980876">
      <w:pPr>
        <w:pStyle w:val="Listaszerbekezds"/>
        <w:widowControl w:val="0"/>
        <w:numPr>
          <w:ilvl w:val="1"/>
          <w:numId w:val="375"/>
        </w:numPr>
        <w:tabs>
          <w:tab w:val="clear" w:pos="3977"/>
          <w:tab w:val="num" w:pos="999"/>
        </w:tabs>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2</w:t>
      </w:r>
      <w:r w:rsidRPr="00740A68">
        <w:rPr>
          <w:rFonts w:ascii="Times New Roman" w:eastAsia="Times New Roman" w:hAnsi="Times New Roman" w:cs="Times New Roman"/>
          <w:bCs/>
        </w:rPr>
        <w:t xml:space="preserve"> kredit</w:t>
      </w:r>
    </w:p>
    <w:p w:rsidR="000D6805" w:rsidRPr="00740A68" w:rsidRDefault="000D6805" w:rsidP="00980876">
      <w:pPr>
        <w:pStyle w:val="Listaszerbekezds"/>
        <w:widowControl w:val="0"/>
        <w:numPr>
          <w:ilvl w:val="1"/>
          <w:numId w:val="375"/>
        </w:numPr>
        <w:tabs>
          <w:tab w:val="clear" w:pos="3977"/>
          <w:tab w:val="num" w:pos="999"/>
        </w:tabs>
        <w:spacing w:before="120" w:after="120" w:line="240" w:lineRule="auto"/>
        <w:ind w:left="993" w:hanging="426"/>
        <w:jc w:val="both"/>
        <w:rPr>
          <w:rFonts w:ascii="Times New Roman" w:eastAsia="Times New Roman" w:hAnsi="Times New Roman" w:cs="Times New Roman"/>
          <w:b/>
          <w:bCs/>
        </w:rPr>
      </w:pPr>
      <w:r w:rsidRPr="00F37D21">
        <w:rPr>
          <w:rFonts w:ascii="Times New Roman" w:eastAsia="Times New Roman" w:hAnsi="Times New Roman" w:cs="Times New Roman"/>
          <w:bCs/>
        </w:rPr>
        <w:t>a tantárgy elméleti vagy gyakorlati jellegének mértéke</w:t>
      </w:r>
      <w:r w:rsidRPr="00740A68">
        <w:rPr>
          <w:rFonts w:ascii="Times New Roman" w:eastAsia="Times New Roman" w:hAnsi="Times New Roman" w:cs="Times New Roman"/>
          <w:bCs/>
        </w:rPr>
        <w:t xml:space="preserve">: </w:t>
      </w:r>
      <w:r>
        <w:rPr>
          <w:rFonts w:ascii="Times New Roman" w:eastAsia="Times New Roman" w:hAnsi="Times New Roman" w:cs="Times New Roman"/>
          <w:bCs/>
        </w:rPr>
        <w:t>0</w:t>
      </w:r>
      <w:r w:rsidRPr="00740A68">
        <w:rPr>
          <w:rFonts w:ascii="Times New Roman" w:eastAsia="Times New Roman" w:hAnsi="Times New Roman" w:cs="Times New Roman"/>
          <w:b/>
          <w:bCs/>
        </w:rPr>
        <w:t xml:space="preserve"> </w:t>
      </w:r>
      <w:r>
        <w:rPr>
          <w:rFonts w:ascii="Times New Roman" w:eastAsia="Times New Roman" w:hAnsi="Times New Roman" w:cs="Times New Roman"/>
          <w:bCs/>
        </w:rPr>
        <w:t>% gyakorlat, 100 % elmélet</w:t>
      </w:r>
    </w:p>
    <w:p w:rsidR="000D6805" w:rsidRPr="00BC6E7B" w:rsidRDefault="000D6805" w:rsidP="00980876">
      <w:pPr>
        <w:widowControl w:val="0"/>
        <w:numPr>
          <w:ilvl w:val="0"/>
          <w:numId w:val="375"/>
        </w:numPr>
        <w:tabs>
          <w:tab w:val="num" w:pos="567"/>
        </w:tabs>
        <w:spacing w:before="120" w:after="120" w:line="240" w:lineRule="auto"/>
        <w:ind w:left="426" w:hanging="142"/>
        <w:jc w:val="both"/>
        <w:rPr>
          <w:rFonts w:ascii="Times New Roman" w:eastAsia="Times New Roman" w:hAnsi="Times New Roman" w:cs="Times New Roman"/>
          <w:bCs/>
        </w:rPr>
      </w:pPr>
      <w:r w:rsidRPr="00BC6E7B">
        <w:rPr>
          <w:rFonts w:ascii="Times New Roman" w:eastAsia="Times New Roman" w:hAnsi="Times New Roman" w:cs="Times New Roman"/>
          <w:b/>
          <w:bCs/>
        </w:rPr>
        <w:t xml:space="preserve">A szak(ok), </w:t>
      </w:r>
      <w:r w:rsidRPr="00232AAF">
        <w:rPr>
          <w:rFonts w:ascii="Times New Roman" w:eastAsia="Times New Roman" w:hAnsi="Times New Roman" w:cs="Times New Roman"/>
          <w:b/>
          <w:bCs/>
        </w:rPr>
        <w:t>szakirányok/specializációk</w:t>
      </w:r>
      <w:r w:rsidRPr="00BC6E7B">
        <w:rPr>
          <w:rFonts w:ascii="Times New Roman" w:eastAsia="Times New Roman" w:hAnsi="Times New Roman" w:cs="Times New Roman"/>
          <w:b/>
          <w:bCs/>
        </w:rPr>
        <w:t xml:space="preserve"> megnevezése (ahol oktatják):</w:t>
      </w:r>
      <w:r w:rsidRPr="00BC6E7B">
        <w:rPr>
          <w:rFonts w:ascii="Times New Roman" w:eastAsia="Times New Roman" w:hAnsi="Times New Roman" w:cs="Times New Roman"/>
          <w:bCs/>
        </w:rPr>
        <w:t xml:space="preserve"> </w:t>
      </w:r>
      <w:r w:rsidRPr="00B50509">
        <w:rPr>
          <w:rFonts w:ascii="Times New Roman" w:eastAsia="Times New Roman" w:hAnsi="Times New Roman" w:cs="Times New Roman"/>
          <w:bCs/>
        </w:rPr>
        <w:t xml:space="preserve">Katonai logisztika alapképzési szak, </w:t>
      </w:r>
      <w:r>
        <w:rPr>
          <w:rFonts w:ascii="Times New Roman" w:eastAsia="Times New Roman" w:hAnsi="Times New Roman" w:cs="Times New Roman"/>
          <w:bCs/>
        </w:rPr>
        <w:t>Katonai pénzügyi specializáció</w:t>
      </w:r>
    </w:p>
    <w:p w:rsidR="000D6805" w:rsidRDefault="000D6805" w:rsidP="00980876">
      <w:pPr>
        <w:widowControl w:val="0"/>
        <w:numPr>
          <w:ilvl w:val="0"/>
          <w:numId w:val="375"/>
        </w:numPr>
        <w:tabs>
          <w:tab w:val="num" w:pos="567"/>
        </w:tabs>
        <w:spacing w:before="120" w:after="120" w:line="240" w:lineRule="auto"/>
        <w:ind w:left="426" w:hanging="142"/>
        <w:jc w:val="both"/>
        <w:rPr>
          <w:rFonts w:ascii="Times New Roman" w:eastAsia="Times New Roman" w:hAnsi="Times New Roman" w:cs="Times New Roman"/>
          <w:bCs/>
        </w:rPr>
      </w:pPr>
      <w:r w:rsidRPr="00BC6E7B">
        <w:rPr>
          <w:rFonts w:ascii="Times New Roman" w:eastAsia="Times New Roman" w:hAnsi="Times New Roman" w:cs="Times New Roman"/>
          <w:b/>
          <w:bCs/>
        </w:rPr>
        <w:t>Az oktatásért felelős oktatási</w:t>
      </w:r>
      <w:r>
        <w:rPr>
          <w:rFonts w:ascii="Times New Roman" w:eastAsia="Times New Roman" w:hAnsi="Times New Roman" w:cs="Times New Roman"/>
          <w:b/>
          <w:bCs/>
        </w:rPr>
        <w:t xml:space="preserve"> szervezeti egység megnevezése:</w:t>
      </w:r>
      <w:r w:rsidRPr="0078259C">
        <w:rPr>
          <w:bCs/>
        </w:rPr>
        <w:t xml:space="preserve"> </w:t>
      </w:r>
      <w:r w:rsidRPr="00A6100B">
        <w:rPr>
          <w:rFonts w:ascii="Times New Roman" w:eastAsia="Times New Roman" w:hAnsi="Times New Roman" w:cs="Times New Roman"/>
          <w:bCs/>
        </w:rPr>
        <w:t>NKE Hadtudományi és Honvédtisztképző Kar, Hadtáp</w:t>
      </w:r>
      <w:r>
        <w:rPr>
          <w:rFonts w:ascii="Times New Roman" w:eastAsia="Times New Roman" w:hAnsi="Times New Roman" w:cs="Times New Roman"/>
          <w:bCs/>
        </w:rPr>
        <w:t>, Pénzügyi</w:t>
      </w:r>
      <w:r w:rsidRPr="00A6100B">
        <w:rPr>
          <w:rFonts w:ascii="Times New Roman" w:eastAsia="Times New Roman" w:hAnsi="Times New Roman" w:cs="Times New Roman"/>
          <w:bCs/>
        </w:rPr>
        <w:t xml:space="preserve"> és Katonai Közlekedési Tanszék </w:t>
      </w:r>
    </w:p>
    <w:p w:rsidR="000D6805" w:rsidRPr="00232AAF" w:rsidRDefault="000D6805" w:rsidP="00980876">
      <w:pPr>
        <w:widowControl w:val="0"/>
        <w:numPr>
          <w:ilvl w:val="0"/>
          <w:numId w:val="375"/>
        </w:numPr>
        <w:tabs>
          <w:tab w:val="num" w:pos="567"/>
        </w:tabs>
        <w:spacing w:before="120" w:after="120" w:line="240" w:lineRule="auto"/>
        <w:ind w:left="426" w:hanging="142"/>
        <w:jc w:val="both"/>
        <w:rPr>
          <w:rFonts w:ascii="Times New Roman" w:eastAsia="Times New Roman" w:hAnsi="Times New Roman" w:cs="Times New Roman"/>
          <w:bCs/>
        </w:rPr>
      </w:pPr>
      <w:r w:rsidRPr="00232AAF">
        <w:rPr>
          <w:rFonts w:ascii="Times New Roman" w:eastAsia="Times New Roman" w:hAnsi="Times New Roman" w:cs="Times New Roman"/>
          <w:b/>
          <w:bCs/>
        </w:rPr>
        <w:t>A tantárgyfelelős oktató neve, beosztása, tudományos fokozata:</w:t>
      </w:r>
      <w:r w:rsidRPr="00232AAF">
        <w:rPr>
          <w:rFonts w:ascii="Times New Roman" w:eastAsia="Times New Roman" w:hAnsi="Times New Roman" w:cs="Times New Roman"/>
          <w:bCs/>
        </w:rPr>
        <w:t xml:space="preserve"> Dr. </w:t>
      </w:r>
      <w:r>
        <w:rPr>
          <w:rFonts w:ascii="Times New Roman" w:eastAsia="Times New Roman" w:hAnsi="Times New Roman" w:cs="Times New Roman"/>
          <w:bCs/>
        </w:rPr>
        <w:t>Szabó Ildikó</w:t>
      </w:r>
      <w:r w:rsidRPr="00232AAF">
        <w:rPr>
          <w:rFonts w:ascii="Times New Roman" w:eastAsia="Times New Roman" w:hAnsi="Times New Roman" w:cs="Times New Roman"/>
          <w:bCs/>
        </w:rPr>
        <w:t xml:space="preserve">, </w:t>
      </w:r>
      <w:r w:rsidRPr="00A066F1">
        <w:rPr>
          <w:rFonts w:ascii="Times New Roman" w:eastAsia="Times New Roman" w:hAnsi="Times New Roman" w:cs="Times New Roman"/>
          <w:bCs/>
        </w:rPr>
        <w:t>egyetemi tanársegéd</w:t>
      </w:r>
      <w:r>
        <w:rPr>
          <w:rFonts w:ascii="Times New Roman" w:eastAsia="Times New Roman" w:hAnsi="Times New Roman" w:cs="Times New Roman"/>
          <w:bCs/>
        </w:rPr>
        <w:t>, PhD</w:t>
      </w:r>
    </w:p>
    <w:p w:rsidR="000D6805" w:rsidRPr="00BC6E7B" w:rsidRDefault="000D6805" w:rsidP="00980876">
      <w:pPr>
        <w:widowControl w:val="0"/>
        <w:numPr>
          <w:ilvl w:val="0"/>
          <w:numId w:val="375"/>
        </w:numPr>
        <w:spacing w:before="120" w:after="120" w:line="240" w:lineRule="auto"/>
        <w:ind w:left="426" w:hanging="142"/>
        <w:jc w:val="both"/>
        <w:rPr>
          <w:rFonts w:ascii="Times New Roman" w:eastAsia="Times New Roman" w:hAnsi="Times New Roman" w:cs="Times New Roman"/>
          <w:bCs/>
        </w:rPr>
      </w:pPr>
      <w:r w:rsidRPr="00BC6E7B">
        <w:rPr>
          <w:rFonts w:ascii="Times New Roman" w:eastAsia="Times New Roman" w:hAnsi="Times New Roman" w:cs="Times New Roman"/>
          <w:b/>
          <w:bCs/>
        </w:rPr>
        <w:t>A tanórák száma és típusa</w:t>
      </w:r>
    </w:p>
    <w:p w:rsidR="000D6805" w:rsidRPr="00BC6E7B" w:rsidRDefault="000D6805" w:rsidP="00980876">
      <w:pPr>
        <w:widowControl w:val="0"/>
        <w:numPr>
          <w:ilvl w:val="1"/>
          <w:numId w:val="375"/>
        </w:numPr>
        <w:tabs>
          <w:tab w:val="clear" w:pos="3977"/>
          <w:tab w:val="num" w:pos="709"/>
          <w:tab w:val="num" w:pos="999"/>
          <w:tab w:val="num" w:pos="2069"/>
        </w:tabs>
        <w:spacing w:before="120" w:after="120" w:line="240" w:lineRule="auto"/>
        <w:ind w:left="851" w:hanging="425"/>
        <w:jc w:val="both"/>
        <w:rPr>
          <w:rFonts w:ascii="Times New Roman" w:eastAsia="Times New Roman" w:hAnsi="Times New Roman" w:cs="Times New Roman"/>
          <w:bCs/>
        </w:rPr>
      </w:pPr>
      <w:r w:rsidRPr="00BC6E7B">
        <w:rPr>
          <w:rFonts w:ascii="Times New Roman" w:eastAsia="Times New Roman" w:hAnsi="Times New Roman" w:cs="Times New Roman"/>
          <w:bCs/>
        </w:rPr>
        <w:t>össz óraszám/félév:</w:t>
      </w:r>
    </w:p>
    <w:p w:rsidR="000D6805" w:rsidRDefault="000D6805" w:rsidP="00980876">
      <w:pPr>
        <w:pStyle w:val="Listaszerbekezds"/>
        <w:widowControl w:val="0"/>
        <w:numPr>
          <w:ilvl w:val="2"/>
          <w:numId w:val="373"/>
        </w:numPr>
        <w:tabs>
          <w:tab w:val="num" w:pos="1800"/>
        </w:tabs>
        <w:spacing w:before="120" w:after="120" w:line="240" w:lineRule="auto"/>
        <w:ind w:left="1276"/>
        <w:jc w:val="both"/>
        <w:rPr>
          <w:rFonts w:ascii="Times New Roman" w:eastAsia="Times New Roman" w:hAnsi="Times New Roman" w:cs="Times New Roman"/>
          <w:bCs/>
        </w:rPr>
      </w:pPr>
      <w:r w:rsidRPr="00E11222">
        <w:rPr>
          <w:rFonts w:ascii="Times New Roman" w:eastAsia="Times New Roman" w:hAnsi="Times New Roman" w:cs="Times New Roman"/>
          <w:bCs/>
        </w:rPr>
        <w:t>nappali munkarend: 28 (28 EA + 0 SZ + 0 GY)</w:t>
      </w:r>
    </w:p>
    <w:p w:rsidR="000D6805" w:rsidRPr="00E11222" w:rsidRDefault="000D6805" w:rsidP="00980876">
      <w:pPr>
        <w:pStyle w:val="Listaszerbekezds"/>
        <w:widowControl w:val="0"/>
        <w:numPr>
          <w:ilvl w:val="2"/>
          <w:numId w:val="373"/>
        </w:numPr>
        <w:tabs>
          <w:tab w:val="num" w:pos="1800"/>
        </w:tabs>
        <w:spacing w:before="120" w:after="120" w:line="240" w:lineRule="auto"/>
        <w:ind w:left="1276"/>
        <w:jc w:val="both"/>
        <w:rPr>
          <w:rFonts w:ascii="Times New Roman" w:eastAsia="Times New Roman" w:hAnsi="Times New Roman" w:cs="Times New Roman"/>
          <w:bCs/>
        </w:rPr>
      </w:pPr>
      <w:r w:rsidRPr="00E11222">
        <w:rPr>
          <w:rFonts w:ascii="Times New Roman" w:eastAsia="Times New Roman" w:hAnsi="Times New Roman" w:cs="Times New Roman"/>
          <w:bCs/>
        </w:rPr>
        <w:t>levelező munkarend: - (- EA + - SZ + - GY)</w:t>
      </w:r>
    </w:p>
    <w:p w:rsidR="000D6805" w:rsidRDefault="000D6805" w:rsidP="00980876">
      <w:pPr>
        <w:widowControl w:val="0"/>
        <w:numPr>
          <w:ilvl w:val="1"/>
          <w:numId w:val="375"/>
        </w:numPr>
        <w:tabs>
          <w:tab w:val="clear" w:pos="3977"/>
          <w:tab w:val="num" w:pos="709"/>
          <w:tab w:val="num" w:pos="999"/>
          <w:tab w:val="num" w:pos="2069"/>
        </w:tabs>
        <w:spacing w:before="120" w:after="120" w:line="240" w:lineRule="auto"/>
        <w:ind w:left="851" w:hanging="425"/>
        <w:jc w:val="both"/>
        <w:rPr>
          <w:rFonts w:ascii="Times New Roman" w:eastAsia="Times New Roman" w:hAnsi="Times New Roman" w:cs="Times New Roman"/>
          <w:bCs/>
        </w:rPr>
      </w:pPr>
      <w:r w:rsidRPr="00BC6E7B">
        <w:rPr>
          <w:rFonts w:ascii="Times New Roman" w:eastAsia="Times New Roman" w:hAnsi="Times New Roman" w:cs="Times New Roman"/>
          <w:bCs/>
        </w:rPr>
        <w:t xml:space="preserve">heti óraszám - nappali munkarend: </w:t>
      </w:r>
      <w:r>
        <w:rPr>
          <w:rFonts w:ascii="Times New Roman" w:eastAsia="Times New Roman" w:hAnsi="Times New Roman" w:cs="Times New Roman"/>
          <w:bCs/>
        </w:rPr>
        <w:t>2</w:t>
      </w:r>
    </w:p>
    <w:p w:rsidR="000D6805" w:rsidRDefault="000D6805" w:rsidP="00980876">
      <w:pPr>
        <w:widowControl w:val="0"/>
        <w:numPr>
          <w:ilvl w:val="1"/>
          <w:numId w:val="375"/>
        </w:numPr>
        <w:tabs>
          <w:tab w:val="clear" w:pos="3977"/>
          <w:tab w:val="num" w:pos="709"/>
          <w:tab w:val="num" w:pos="999"/>
          <w:tab w:val="num" w:pos="2069"/>
        </w:tabs>
        <w:spacing w:before="120" w:after="120" w:line="240" w:lineRule="auto"/>
        <w:ind w:left="851" w:hanging="425"/>
        <w:jc w:val="both"/>
        <w:rPr>
          <w:rFonts w:ascii="Times New Roman" w:eastAsia="Times New Roman" w:hAnsi="Times New Roman" w:cs="Times New Roman"/>
          <w:bCs/>
        </w:rPr>
      </w:pPr>
      <w:r w:rsidRPr="00A16045">
        <w:rPr>
          <w:rFonts w:ascii="Times New Roman" w:hAnsi="Times New Roman" w:cs="Times New Roman"/>
        </w:rPr>
        <w:t>Az ismeret átadásában alkalmazandó további sajátos módok, jellemzők</w:t>
      </w:r>
      <w:r>
        <w:rPr>
          <w:rFonts w:ascii="Times New Roman" w:hAnsi="Times New Roman" w:cs="Times New Roman"/>
        </w:rPr>
        <w:t>: -</w:t>
      </w:r>
    </w:p>
    <w:p w:rsidR="000D6805" w:rsidRPr="00BC6E7B" w:rsidRDefault="000D6805" w:rsidP="00980876">
      <w:pPr>
        <w:widowControl w:val="0"/>
        <w:numPr>
          <w:ilvl w:val="0"/>
          <w:numId w:val="375"/>
        </w:numPr>
        <w:spacing w:before="120" w:after="120" w:line="240" w:lineRule="auto"/>
        <w:jc w:val="both"/>
        <w:rPr>
          <w:rFonts w:ascii="Times New Roman" w:eastAsia="Times New Roman" w:hAnsi="Times New Roman" w:cs="Times New Roman"/>
          <w:bCs/>
        </w:rPr>
      </w:pPr>
      <w:r w:rsidRPr="00BC6E7B">
        <w:rPr>
          <w:rFonts w:ascii="Times New Roman" w:eastAsia="Times New Roman" w:hAnsi="Times New Roman" w:cs="Times New Roman"/>
          <w:b/>
          <w:bCs/>
        </w:rPr>
        <w:t>A tantárgy szakmai tartalma (magyarul):</w:t>
      </w:r>
      <w:r w:rsidRPr="00A6100B">
        <w:rPr>
          <w:bCs/>
        </w:rPr>
        <w:t xml:space="preserve"> </w:t>
      </w:r>
      <w:r w:rsidRPr="002E6AA8">
        <w:rPr>
          <w:rFonts w:ascii="Times New Roman" w:eastAsia="Times New Roman" w:hAnsi="Times New Roman" w:cs="Times New Roman"/>
          <w:bCs/>
        </w:rPr>
        <w:t>Az ellenőrzés rendszere és módszertana.</w:t>
      </w:r>
    </w:p>
    <w:p w:rsidR="000D6805" w:rsidRDefault="000D6805" w:rsidP="000D6805">
      <w:pPr>
        <w:widowControl w:val="0"/>
        <w:spacing w:before="120" w:after="120" w:line="240" w:lineRule="auto"/>
        <w:ind w:left="851" w:hanging="142"/>
        <w:jc w:val="both"/>
        <w:rPr>
          <w:rFonts w:ascii="Times New Roman" w:eastAsia="Times New Roman" w:hAnsi="Times New Roman" w:cs="Times New Roman"/>
          <w:bCs/>
        </w:rPr>
      </w:pPr>
      <w:r w:rsidRPr="00BC6E7B">
        <w:rPr>
          <w:rFonts w:ascii="Times New Roman" w:eastAsia="Times New Roman" w:hAnsi="Times New Roman" w:cs="Times New Roman"/>
          <w:b/>
          <w:bCs/>
        </w:rPr>
        <w:t>A tantárgy szakmai tartalma (angolul) (</w:t>
      </w:r>
      <w:r w:rsidRPr="00BC6E7B">
        <w:rPr>
          <w:rFonts w:ascii="Times New Roman" w:eastAsia="Times New Roman" w:hAnsi="Times New Roman" w:cs="Times New Roman"/>
          <w:b/>
          <w:bCs/>
          <w:lang w:val="en-US"/>
        </w:rPr>
        <w:t>Course description</w:t>
      </w:r>
      <w:r w:rsidRPr="00BC6E7B">
        <w:rPr>
          <w:rFonts w:ascii="Times New Roman" w:eastAsia="Times New Roman" w:hAnsi="Times New Roman" w:cs="Times New Roman"/>
          <w:b/>
          <w:bCs/>
        </w:rPr>
        <w:t xml:space="preserve">): </w:t>
      </w:r>
      <w:r w:rsidRPr="002E6AA8">
        <w:rPr>
          <w:rFonts w:ascii="Times New Roman" w:eastAsia="Times New Roman" w:hAnsi="Times New Roman" w:cs="Times New Roman"/>
          <w:bCs/>
        </w:rPr>
        <w:t>Control system and methodology</w:t>
      </w:r>
    </w:p>
    <w:p w:rsidR="000D6805" w:rsidRPr="002E6AA8" w:rsidRDefault="000D6805" w:rsidP="00980876">
      <w:pPr>
        <w:pStyle w:val="Listaszerbekezds"/>
        <w:widowControl w:val="0"/>
        <w:numPr>
          <w:ilvl w:val="0"/>
          <w:numId w:val="375"/>
        </w:numPr>
        <w:tabs>
          <w:tab w:val="clear" w:pos="720"/>
          <w:tab w:val="num" w:pos="426"/>
        </w:tabs>
        <w:spacing w:before="120" w:after="120" w:line="240" w:lineRule="auto"/>
        <w:jc w:val="both"/>
        <w:rPr>
          <w:rFonts w:ascii="Times New Roman" w:eastAsia="Times New Roman" w:hAnsi="Times New Roman" w:cs="Times New Roman"/>
          <w:b/>
          <w:bCs/>
        </w:rPr>
      </w:pPr>
      <w:r w:rsidRPr="002E6AA8">
        <w:rPr>
          <w:rFonts w:ascii="Times New Roman" w:eastAsia="Times New Roman" w:hAnsi="Times New Roman" w:cs="Times New Roman"/>
          <w:b/>
          <w:bCs/>
        </w:rPr>
        <w:t xml:space="preserve">Elérendő kompetenciák (magyarul): </w:t>
      </w:r>
    </w:p>
    <w:p w:rsidR="000D6805" w:rsidRDefault="000D6805" w:rsidP="000D6805">
      <w:pPr>
        <w:widowControl w:val="0"/>
        <w:spacing w:before="120" w:after="120" w:line="240" w:lineRule="auto"/>
        <w:ind w:left="426"/>
        <w:jc w:val="both"/>
        <w:rPr>
          <w:rFonts w:ascii="Times New Roman" w:eastAsia="Times New Roman" w:hAnsi="Times New Roman" w:cs="Times New Roman"/>
          <w:bCs/>
        </w:rPr>
      </w:pPr>
      <w:r w:rsidRPr="00BC6E7B">
        <w:rPr>
          <w:rFonts w:ascii="Times New Roman" w:eastAsia="Times New Roman" w:hAnsi="Times New Roman" w:cs="Times New Roman"/>
          <w:b/>
          <w:bCs/>
        </w:rPr>
        <w:t>Tudása:</w:t>
      </w:r>
      <w:r>
        <w:rPr>
          <w:rFonts w:ascii="Times New Roman" w:eastAsia="Times New Roman" w:hAnsi="Times New Roman" w:cs="Times New Roman"/>
          <w:bCs/>
        </w:rPr>
        <w:t xml:space="preserve"> </w:t>
      </w:r>
    </w:p>
    <w:p w:rsidR="000D6805" w:rsidRPr="00E11222" w:rsidRDefault="000D6805" w:rsidP="00980876">
      <w:pPr>
        <w:pStyle w:val="Listaszerbekezds"/>
        <w:widowControl w:val="0"/>
        <w:numPr>
          <w:ilvl w:val="0"/>
          <w:numId w:val="374"/>
        </w:numPr>
        <w:spacing w:before="120" w:after="120" w:line="240" w:lineRule="auto"/>
        <w:ind w:hanging="219"/>
        <w:jc w:val="both"/>
        <w:rPr>
          <w:rFonts w:ascii="Times New Roman" w:eastAsia="Times New Roman" w:hAnsi="Times New Roman" w:cs="Times New Roman"/>
          <w:bCs/>
        </w:rPr>
      </w:pPr>
      <w:r w:rsidRPr="00E11222">
        <w:rPr>
          <w:rFonts w:ascii="Times New Roman" w:eastAsia="Times New Roman" w:hAnsi="Times New Roman" w:cs="Times New Roman"/>
          <w:bCs/>
        </w:rPr>
        <w:t>Ismeri a Honvédelmi Minisztérium fejezet pénzügyi-számviteli szakellenőrzésének szervezetét, a szakellenőrzés feladatait és módszereit.</w:t>
      </w:r>
    </w:p>
    <w:p w:rsidR="000D6805" w:rsidRDefault="000D6805" w:rsidP="000D6805">
      <w:pPr>
        <w:widowControl w:val="0"/>
        <w:spacing w:before="120" w:after="120" w:line="240" w:lineRule="auto"/>
        <w:ind w:left="426"/>
        <w:jc w:val="both"/>
        <w:rPr>
          <w:rFonts w:ascii="Times New Roman" w:eastAsia="Times New Roman" w:hAnsi="Times New Roman" w:cs="Times New Roman"/>
          <w:bCs/>
        </w:rPr>
      </w:pPr>
      <w:r w:rsidRPr="00BC6E7B">
        <w:rPr>
          <w:rFonts w:ascii="Times New Roman" w:eastAsia="Times New Roman" w:hAnsi="Times New Roman" w:cs="Times New Roman"/>
          <w:b/>
          <w:bCs/>
        </w:rPr>
        <w:t>Képességei:</w:t>
      </w:r>
      <w:r>
        <w:rPr>
          <w:rFonts w:ascii="Times New Roman" w:eastAsia="Times New Roman" w:hAnsi="Times New Roman" w:cs="Times New Roman"/>
          <w:bCs/>
        </w:rPr>
        <w:t xml:space="preserve"> </w:t>
      </w:r>
    </w:p>
    <w:p w:rsidR="000D6805" w:rsidRPr="00E11222" w:rsidRDefault="000D6805" w:rsidP="00980876">
      <w:pPr>
        <w:pStyle w:val="Listaszerbekezds"/>
        <w:widowControl w:val="0"/>
        <w:numPr>
          <w:ilvl w:val="0"/>
          <w:numId w:val="374"/>
        </w:numPr>
        <w:spacing w:before="120" w:after="120" w:line="240" w:lineRule="auto"/>
        <w:ind w:hanging="219"/>
        <w:jc w:val="both"/>
        <w:rPr>
          <w:rFonts w:ascii="Times New Roman" w:eastAsia="Times New Roman" w:hAnsi="Times New Roman" w:cs="Times New Roman"/>
          <w:bCs/>
        </w:rPr>
      </w:pPr>
      <w:r w:rsidRPr="00E11222">
        <w:rPr>
          <w:rFonts w:ascii="Times New Roman" w:eastAsia="Times New Roman" w:hAnsi="Times New Roman" w:cs="Times New Roman"/>
          <w:bCs/>
        </w:rPr>
        <w:t>Képes a gazdálkodás támogató és pénzügyi ellátó referatúra ellenőrzési feladatainak végrehajtására.</w:t>
      </w:r>
    </w:p>
    <w:p w:rsidR="000D6805" w:rsidRDefault="000D6805" w:rsidP="000D6805">
      <w:pPr>
        <w:widowControl w:val="0"/>
        <w:spacing w:before="120" w:after="120" w:line="240" w:lineRule="auto"/>
        <w:ind w:left="426"/>
        <w:jc w:val="both"/>
        <w:rPr>
          <w:rFonts w:ascii="Times New Roman" w:eastAsia="Times New Roman" w:hAnsi="Times New Roman" w:cs="Times New Roman"/>
          <w:bCs/>
        </w:rPr>
      </w:pPr>
      <w:r w:rsidRPr="00BC6E7B">
        <w:rPr>
          <w:rFonts w:ascii="Times New Roman" w:eastAsia="Times New Roman" w:hAnsi="Times New Roman" w:cs="Times New Roman"/>
          <w:b/>
          <w:bCs/>
        </w:rPr>
        <w:t>Attitűdje:</w:t>
      </w:r>
      <w:r w:rsidRPr="00BC6E7B">
        <w:rPr>
          <w:rFonts w:ascii="Times New Roman" w:eastAsia="Times New Roman" w:hAnsi="Times New Roman" w:cs="Times New Roman"/>
          <w:bCs/>
        </w:rPr>
        <w:t xml:space="preserve"> </w:t>
      </w:r>
    </w:p>
    <w:p w:rsidR="000D6805" w:rsidRPr="00E11222" w:rsidRDefault="000D6805" w:rsidP="00980876">
      <w:pPr>
        <w:pStyle w:val="Listaszerbekezds"/>
        <w:widowControl w:val="0"/>
        <w:numPr>
          <w:ilvl w:val="0"/>
          <w:numId w:val="374"/>
        </w:numPr>
        <w:spacing w:before="120" w:after="120" w:line="240" w:lineRule="auto"/>
        <w:ind w:hanging="219"/>
        <w:jc w:val="both"/>
        <w:rPr>
          <w:rFonts w:ascii="Times New Roman" w:eastAsia="Times New Roman" w:hAnsi="Times New Roman" w:cs="Times New Roman"/>
          <w:bCs/>
        </w:rPr>
      </w:pPr>
      <w:r w:rsidRPr="00E11222">
        <w:rPr>
          <w:rFonts w:ascii="Times New Roman" w:eastAsia="Times New Roman" w:hAnsi="Times New Roman" w:cs="Times New Roman"/>
          <w:bCs/>
        </w:rPr>
        <w:t>Különös figyelmet fordít a pénzügyi területnél elvárt jogszerű, szabálykövető, pontos munkavégzésre.</w:t>
      </w:r>
    </w:p>
    <w:p w:rsidR="000D6805" w:rsidRDefault="000D6805" w:rsidP="000D6805">
      <w:pPr>
        <w:widowControl w:val="0"/>
        <w:spacing w:before="120" w:after="120" w:line="240" w:lineRule="auto"/>
        <w:ind w:left="426"/>
        <w:jc w:val="both"/>
        <w:rPr>
          <w:rFonts w:ascii="Times New Roman" w:eastAsia="Times New Roman" w:hAnsi="Times New Roman" w:cs="Times New Roman"/>
          <w:bCs/>
        </w:rPr>
      </w:pPr>
      <w:r w:rsidRPr="00BC6E7B">
        <w:rPr>
          <w:rFonts w:ascii="Times New Roman" w:eastAsia="Times New Roman" w:hAnsi="Times New Roman" w:cs="Times New Roman"/>
          <w:b/>
          <w:bCs/>
        </w:rPr>
        <w:t>Autonómiája és felelőssége:</w:t>
      </w:r>
      <w:r w:rsidRPr="00BC6E7B">
        <w:rPr>
          <w:rFonts w:ascii="Times New Roman" w:eastAsia="Times New Roman" w:hAnsi="Times New Roman" w:cs="Times New Roman"/>
          <w:bCs/>
        </w:rPr>
        <w:t xml:space="preserve"> </w:t>
      </w:r>
    </w:p>
    <w:p w:rsidR="000D6805" w:rsidRPr="00E11222" w:rsidRDefault="000D6805" w:rsidP="00980876">
      <w:pPr>
        <w:pStyle w:val="Listaszerbekezds"/>
        <w:widowControl w:val="0"/>
        <w:numPr>
          <w:ilvl w:val="0"/>
          <w:numId w:val="374"/>
        </w:numPr>
        <w:spacing w:before="120" w:after="120" w:line="240" w:lineRule="auto"/>
        <w:ind w:hanging="219"/>
        <w:jc w:val="both"/>
        <w:rPr>
          <w:rFonts w:ascii="Times New Roman" w:eastAsia="Times New Roman" w:hAnsi="Times New Roman" w:cs="Times New Roman"/>
          <w:bCs/>
        </w:rPr>
      </w:pPr>
      <w:r w:rsidRPr="00E11222">
        <w:rPr>
          <w:rFonts w:ascii="Times New Roman" w:eastAsia="Times New Roman" w:hAnsi="Times New Roman" w:cs="Times New Roman"/>
          <w:bCs/>
        </w:rPr>
        <w:t>Felelősséget vállal beosztottjai szakmai tevékenységéért, valamint a rábízott anyagokért és eszközökért.</w:t>
      </w:r>
    </w:p>
    <w:p w:rsidR="000D6805" w:rsidRDefault="000D6805" w:rsidP="000D6805">
      <w:pPr>
        <w:widowControl w:val="0"/>
        <w:spacing w:before="120" w:after="120" w:line="240" w:lineRule="auto"/>
        <w:ind w:left="426"/>
        <w:jc w:val="both"/>
        <w:rPr>
          <w:rFonts w:ascii="Times New Roman" w:eastAsia="Times New Roman" w:hAnsi="Times New Roman" w:cs="Times New Roman"/>
          <w:b/>
          <w:bCs/>
          <w:lang w:val="en-US"/>
        </w:rPr>
      </w:pPr>
      <w:r w:rsidRPr="00BC6E7B">
        <w:rPr>
          <w:rFonts w:ascii="Times New Roman" w:eastAsia="Times New Roman" w:hAnsi="Times New Roman" w:cs="Times New Roman"/>
          <w:b/>
          <w:bCs/>
        </w:rPr>
        <w:t>Elérendő kompetenciák (angolul) (</w:t>
      </w:r>
      <w:r w:rsidRPr="00BC6E7B">
        <w:rPr>
          <w:rFonts w:ascii="Times New Roman" w:eastAsia="Times New Roman" w:hAnsi="Times New Roman" w:cs="Times New Roman"/>
          <w:b/>
          <w:bCs/>
          <w:lang w:val="en-US"/>
        </w:rPr>
        <w:t xml:space="preserve">Competences – English): </w:t>
      </w:r>
    </w:p>
    <w:p w:rsidR="000D6805" w:rsidRDefault="000D6805" w:rsidP="000D6805">
      <w:pPr>
        <w:widowControl w:val="0"/>
        <w:spacing w:before="120" w:after="120" w:line="240" w:lineRule="auto"/>
        <w:ind w:left="426"/>
        <w:jc w:val="both"/>
      </w:pPr>
      <w:r w:rsidRPr="00BC6E7B">
        <w:rPr>
          <w:rFonts w:ascii="Times New Roman" w:eastAsia="Times New Roman" w:hAnsi="Times New Roman" w:cs="Times New Roman"/>
          <w:b/>
          <w:lang w:val="en-GB"/>
        </w:rPr>
        <w:t>Knowledge</w:t>
      </w:r>
      <w:r w:rsidRPr="00BC6E7B">
        <w:rPr>
          <w:rFonts w:ascii="Times New Roman" w:eastAsia="Times New Roman" w:hAnsi="Times New Roman" w:cs="Times New Roman"/>
          <w:lang w:val="en-GB"/>
        </w:rPr>
        <w:t>:</w:t>
      </w:r>
      <w:r w:rsidRPr="00F37D21">
        <w:t xml:space="preserve"> </w:t>
      </w:r>
    </w:p>
    <w:p w:rsidR="000D6805" w:rsidRPr="00E11222" w:rsidRDefault="000D6805" w:rsidP="00980876">
      <w:pPr>
        <w:pStyle w:val="Listaszerbekezds"/>
        <w:widowControl w:val="0"/>
        <w:numPr>
          <w:ilvl w:val="0"/>
          <w:numId w:val="374"/>
        </w:numPr>
        <w:spacing w:before="120" w:after="120" w:line="240" w:lineRule="auto"/>
        <w:ind w:hanging="219"/>
        <w:jc w:val="both"/>
        <w:rPr>
          <w:rFonts w:ascii="Times New Roman" w:eastAsia="Times New Roman" w:hAnsi="Times New Roman" w:cs="Times New Roman"/>
          <w:lang w:val="en-GB"/>
        </w:rPr>
      </w:pPr>
      <w:r w:rsidRPr="00E11222">
        <w:rPr>
          <w:rFonts w:ascii="Times New Roman" w:eastAsia="Times New Roman" w:hAnsi="Times New Roman" w:cs="Times New Roman"/>
          <w:lang w:val="en-GB"/>
        </w:rPr>
        <w:t xml:space="preserve">The student knows the organization of the financial-accounting specialist audit of the </w:t>
      </w:r>
      <w:r w:rsidRPr="00E11222">
        <w:rPr>
          <w:rFonts w:ascii="Times New Roman" w:eastAsia="Times New Roman" w:hAnsi="Times New Roman" w:cs="Times New Roman"/>
          <w:lang w:val="en-GB"/>
        </w:rPr>
        <w:lastRenderedPageBreak/>
        <w:t>Ministry of Defense, the tasks and methods of the professional audit.</w:t>
      </w:r>
    </w:p>
    <w:p w:rsidR="000D6805" w:rsidRDefault="000D6805" w:rsidP="000D6805">
      <w:pPr>
        <w:widowControl w:val="0"/>
        <w:spacing w:before="120" w:after="120" w:line="240" w:lineRule="auto"/>
        <w:ind w:left="426"/>
        <w:jc w:val="both"/>
        <w:rPr>
          <w:rFonts w:ascii="Times New Roman" w:eastAsia="Times New Roman" w:hAnsi="Times New Roman" w:cs="Times New Roman"/>
          <w:b/>
          <w:lang w:val="en-GB"/>
        </w:rPr>
      </w:pPr>
      <w:r w:rsidRPr="00BC6E7B">
        <w:rPr>
          <w:rFonts w:ascii="Times New Roman" w:eastAsia="Times New Roman" w:hAnsi="Times New Roman" w:cs="Times New Roman"/>
          <w:b/>
          <w:lang w:val="en-GB"/>
        </w:rPr>
        <w:t>Capabilities</w:t>
      </w:r>
      <w:r w:rsidRPr="006331D3">
        <w:rPr>
          <w:rFonts w:ascii="Times New Roman" w:eastAsia="Times New Roman" w:hAnsi="Times New Roman" w:cs="Times New Roman"/>
          <w:b/>
          <w:lang w:val="en-GB"/>
        </w:rPr>
        <w:t xml:space="preserve">: </w:t>
      </w:r>
    </w:p>
    <w:p w:rsidR="000D6805" w:rsidRPr="00E11222" w:rsidRDefault="000D6805" w:rsidP="00980876">
      <w:pPr>
        <w:pStyle w:val="Listaszerbekezds"/>
        <w:widowControl w:val="0"/>
        <w:numPr>
          <w:ilvl w:val="0"/>
          <w:numId w:val="374"/>
        </w:numPr>
        <w:spacing w:before="120" w:after="120" w:line="240" w:lineRule="auto"/>
        <w:ind w:hanging="219"/>
        <w:jc w:val="both"/>
        <w:rPr>
          <w:rFonts w:ascii="Times New Roman" w:eastAsia="Times New Roman" w:hAnsi="Times New Roman" w:cs="Times New Roman"/>
          <w:lang w:val="en-GB"/>
        </w:rPr>
      </w:pPr>
      <w:r w:rsidRPr="00E11222">
        <w:rPr>
          <w:rFonts w:ascii="Times New Roman" w:eastAsia="Times New Roman" w:hAnsi="Times New Roman" w:cs="Times New Roman"/>
          <w:lang w:val="en-GB"/>
        </w:rPr>
        <w:t>He / she is able to carry out the control tasks of the financial support body.</w:t>
      </w:r>
    </w:p>
    <w:p w:rsidR="000D6805" w:rsidRDefault="000D6805" w:rsidP="000D6805">
      <w:pPr>
        <w:widowControl w:val="0"/>
        <w:spacing w:before="120" w:after="120" w:line="240" w:lineRule="auto"/>
        <w:ind w:left="426"/>
        <w:jc w:val="both"/>
        <w:rPr>
          <w:rFonts w:ascii="Times New Roman" w:eastAsia="Times New Roman" w:hAnsi="Times New Roman" w:cs="Times New Roman"/>
          <w:b/>
          <w:lang w:val="en-GB"/>
        </w:rPr>
      </w:pPr>
      <w:r w:rsidRPr="00BC6E7B">
        <w:rPr>
          <w:rFonts w:ascii="Times New Roman" w:eastAsia="Times New Roman" w:hAnsi="Times New Roman" w:cs="Times New Roman"/>
          <w:b/>
          <w:lang w:val="en-GB"/>
        </w:rPr>
        <w:t>Attitude:</w:t>
      </w:r>
      <w:r>
        <w:rPr>
          <w:rFonts w:ascii="Times New Roman" w:eastAsia="Times New Roman" w:hAnsi="Times New Roman" w:cs="Times New Roman"/>
          <w:b/>
          <w:lang w:val="en-GB"/>
        </w:rPr>
        <w:t xml:space="preserve"> </w:t>
      </w:r>
    </w:p>
    <w:p w:rsidR="000D6805" w:rsidRPr="00E11222" w:rsidRDefault="000D6805" w:rsidP="00980876">
      <w:pPr>
        <w:pStyle w:val="Listaszerbekezds"/>
        <w:widowControl w:val="0"/>
        <w:numPr>
          <w:ilvl w:val="0"/>
          <w:numId w:val="374"/>
        </w:numPr>
        <w:spacing w:before="120" w:after="120" w:line="240" w:lineRule="auto"/>
        <w:ind w:hanging="219"/>
        <w:jc w:val="both"/>
        <w:rPr>
          <w:rFonts w:ascii="Times New Roman" w:eastAsia="Times New Roman" w:hAnsi="Times New Roman" w:cs="Times New Roman"/>
          <w:lang w:val="en-GB"/>
        </w:rPr>
      </w:pPr>
      <w:r w:rsidRPr="00E11222">
        <w:rPr>
          <w:rFonts w:ascii="Times New Roman" w:eastAsia="Times New Roman" w:hAnsi="Times New Roman" w:cs="Times New Roman"/>
          <w:lang w:val="en-GB"/>
        </w:rPr>
        <w:t>He/she pays particular attention to the legal, regulatory, and accurate work required of the financial field.</w:t>
      </w:r>
    </w:p>
    <w:p w:rsidR="000D6805" w:rsidRDefault="000D6805" w:rsidP="000D6805">
      <w:pPr>
        <w:widowControl w:val="0"/>
        <w:spacing w:before="120" w:after="120" w:line="240" w:lineRule="auto"/>
        <w:ind w:left="426"/>
        <w:jc w:val="both"/>
      </w:pPr>
      <w:r w:rsidRPr="00BC6E7B">
        <w:rPr>
          <w:rFonts w:ascii="Times New Roman" w:eastAsia="Times New Roman" w:hAnsi="Times New Roman" w:cs="Times New Roman"/>
          <w:b/>
          <w:lang w:val="en-GB"/>
        </w:rPr>
        <w:t>Autonomy and responsibility:</w:t>
      </w:r>
      <w:r w:rsidRPr="00F37D21">
        <w:t xml:space="preserve"> </w:t>
      </w:r>
    </w:p>
    <w:p w:rsidR="000D6805" w:rsidRPr="00E11222" w:rsidRDefault="000D6805" w:rsidP="00980876">
      <w:pPr>
        <w:pStyle w:val="Listaszerbekezds"/>
        <w:widowControl w:val="0"/>
        <w:numPr>
          <w:ilvl w:val="0"/>
          <w:numId w:val="374"/>
        </w:numPr>
        <w:spacing w:before="120" w:after="120" w:line="240" w:lineRule="auto"/>
        <w:ind w:hanging="219"/>
        <w:jc w:val="both"/>
        <w:rPr>
          <w:rFonts w:ascii="Times New Roman" w:eastAsia="Times New Roman" w:hAnsi="Times New Roman" w:cs="Times New Roman"/>
          <w:lang w:val="en-GB"/>
        </w:rPr>
      </w:pPr>
      <w:r w:rsidRPr="00E11222">
        <w:rPr>
          <w:rFonts w:ascii="Times New Roman" w:eastAsia="Times New Roman" w:hAnsi="Times New Roman" w:cs="Times New Roman"/>
          <w:lang w:val="en-GB"/>
        </w:rPr>
        <w:t>He / she is responsible for the professional activities of its subordinates and for the materials and equipment entrusted to him/her.</w:t>
      </w:r>
    </w:p>
    <w:p w:rsidR="000D6805" w:rsidRPr="00BC6E7B" w:rsidRDefault="000D6805" w:rsidP="00980876">
      <w:pPr>
        <w:widowControl w:val="0"/>
        <w:numPr>
          <w:ilvl w:val="0"/>
          <w:numId w:val="375"/>
        </w:numPr>
        <w:spacing w:before="120" w:after="120" w:line="240" w:lineRule="auto"/>
        <w:ind w:left="426" w:hanging="142"/>
        <w:jc w:val="both"/>
        <w:rPr>
          <w:rFonts w:ascii="Times New Roman" w:eastAsia="Times New Roman" w:hAnsi="Times New Roman" w:cs="Times New Roman"/>
          <w:bCs/>
        </w:rPr>
      </w:pPr>
      <w:r w:rsidRPr="00BC6E7B">
        <w:rPr>
          <w:rFonts w:ascii="Times New Roman" w:eastAsia="Times New Roman" w:hAnsi="Times New Roman" w:cs="Times New Roman"/>
          <w:b/>
          <w:bCs/>
        </w:rPr>
        <w:t xml:space="preserve">Előtanulmányi követelmények: </w:t>
      </w:r>
      <w:r>
        <w:rPr>
          <w:rFonts w:ascii="Times New Roman" w:eastAsia="Times New Roman" w:hAnsi="Times New Roman" w:cs="Times New Roman"/>
          <w:bCs/>
        </w:rPr>
        <w:t>-</w:t>
      </w:r>
    </w:p>
    <w:p w:rsidR="000D6805" w:rsidRPr="00854328" w:rsidRDefault="000D6805" w:rsidP="00980876">
      <w:pPr>
        <w:widowControl w:val="0"/>
        <w:numPr>
          <w:ilvl w:val="0"/>
          <w:numId w:val="375"/>
        </w:numPr>
        <w:spacing w:before="120" w:after="120" w:line="240" w:lineRule="auto"/>
        <w:ind w:left="426" w:hanging="142"/>
        <w:jc w:val="both"/>
        <w:rPr>
          <w:rFonts w:ascii="Times New Roman" w:eastAsia="Times New Roman" w:hAnsi="Times New Roman" w:cs="Times New Roman"/>
          <w:bCs/>
        </w:rPr>
      </w:pPr>
      <w:r w:rsidRPr="00BC6E7B">
        <w:rPr>
          <w:rFonts w:ascii="Times New Roman" w:eastAsia="Times New Roman" w:hAnsi="Times New Roman" w:cs="Times New Roman"/>
          <w:b/>
          <w:bCs/>
        </w:rPr>
        <w:t xml:space="preserve">A </w:t>
      </w:r>
      <w:r w:rsidRPr="00854328">
        <w:rPr>
          <w:rFonts w:ascii="Times New Roman" w:eastAsia="Times New Roman" w:hAnsi="Times New Roman" w:cs="Times New Roman"/>
          <w:b/>
          <w:bCs/>
        </w:rPr>
        <w:t>tantárgy tananyagának leírása, tematika. Description of the subject, curriculum (magyarul, angolul - English):</w:t>
      </w:r>
    </w:p>
    <w:p w:rsidR="000D6805" w:rsidRPr="00DA226D" w:rsidRDefault="000D6805" w:rsidP="00980876">
      <w:pPr>
        <w:widowControl w:val="0"/>
        <w:numPr>
          <w:ilvl w:val="1"/>
          <w:numId w:val="375"/>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DA226D">
        <w:rPr>
          <w:rFonts w:ascii="Times New Roman" w:eastAsia="Times New Roman" w:hAnsi="Times New Roman" w:cs="Times New Roman"/>
          <w:kern w:val="2"/>
        </w:rPr>
        <w:t xml:space="preserve">Az ellenőrzés fogalma, célja, tárgya. A magyarországi ellenőrzés rendszere, szervezete, feladatai. Népképviseleti, államigazgatási, hatósági, államháztartási, tulajdonosi ellenőrzés. A belső ellenőrzés rendszere, elemei. </w:t>
      </w:r>
      <w:r w:rsidRPr="00DA226D">
        <w:rPr>
          <w:rFonts w:ascii="Times New Roman" w:eastAsia="Times New Roman" w:hAnsi="Times New Roman" w:cs="Times New Roman"/>
          <w:i/>
          <w:kern w:val="2"/>
        </w:rPr>
        <w:t>(The concept, purpose and object of control. The system, organization and tasks of the Hungarian audit. People's Representation, State Administration, Authority, Public Finance, Ownership Control. System and elements of internal control.)</w:t>
      </w:r>
    </w:p>
    <w:p w:rsidR="000D6805" w:rsidRPr="00DA226D" w:rsidRDefault="000D6805" w:rsidP="00980876">
      <w:pPr>
        <w:widowControl w:val="0"/>
        <w:numPr>
          <w:ilvl w:val="1"/>
          <w:numId w:val="375"/>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DA226D">
        <w:rPr>
          <w:rFonts w:ascii="Times New Roman" w:eastAsia="Times New Roman" w:hAnsi="Times New Roman" w:cs="Times New Roman"/>
          <w:kern w:val="2"/>
        </w:rPr>
        <w:t xml:space="preserve">Az ellenőrzés általános módszerei. Az ellenőrzések fajtái, típusai időpontjuk, részletességük és terjedelmük szerint. Az ellenőrzés előkészítése, a vizsgálati program tartalmi, formai követelményei. Az ellenőrök és az ellenőrzöttek jogai és kötelezettségei. A megállapítások írásba foglalása, bizonylatolás. Realizálási tevékenység, utóvizsgálat. </w:t>
      </w:r>
      <w:r w:rsidRPr="00DA226D">
        <w:rPr>
          <w:rFonts w:ascii="Times New Roman" w:eastAsia="Times New Roman" w:hAnsi="Times New Roman" w:cs="Times New Roman"/>
          <w:i/>
          <w:kern w:val="2"/>
        </w:rPr>
        <w:t>(General control methods. Types inspections by date, level of detail and scope. Preparation of the control, content and formal requirements of the control program. Rights and obligations of inspectors and auditors. Written statements, statements. Realization activities, follow-up)</w:t>
      </w:r>
    </w:p>
    <w:p w:rsidR="000D6805" w:rsidRPr="006331D3" w:rsidRDefault="000D6805" w:rsidP="00980876">
      <w:pPr>
        <w:widowControl w:val="0"/>
        <w:numPr>
          <w:ilvl w:val="0"/>
          <w:numId w:val="375"/>
        </w:numPr>
        <w:spacing w:before="120" w:after="120" w:line="240" w:lineRule="auto"/>
        <w:ind w:left="426" w:hanging="142"/>
        <w:jc w:val="both"/>
        <w:rPr>
          <w:rFonts w:ascii="Times New Roman" w:eastAsia="Times New Roman" w:hAnsi="Times New Roman" w:cs="Times New Roman"/>
          <w:bCs/>
        </w:rPr>
      </w:pPr>
      <w:r w:rsidRPr="006331D3">
        <w:rPr>
          <w:rFonts w:ascii="Times New Roman" w:eastAsia="Times New Roman" w:hAnsi="Times New Roman" w:cs="Times New Roman"/>
          <w:b/>
          <w:bCs/>
        </w:rPr>
        <w:t xml:space="preserve">A tantárgy meghirdetésének gyakorisága/a tantervben történő félévi elhelyezkedése: </w:t>
      </w:r>
      <w:r w:rsidRPr="006331D3">
        <w:rPr>
          <w:rFonts w:ascii="Times New Roman" w:eastAsia="Times New Roman" w:hAnsi="Times New Roman" w:cs="Times New Roman"/>
          <w:bCs/>
        </w:rPr>
        <w:t xml:space="preserve">a tanév </w:t>
      </w:r>
      <w:r>
        <w:rPr>
          <w:rFonts w:ascii="Times New Roman" w:eastAsia="Times New Roman" w:hAnsi="Times New Roman" w:cs="Times New Roman"/>
          <w:bCs/>
        </w:rPr>
        <w:t>2</w:t>
      </w:r>
      <w:r w:rsidRPr="006331D3">
        <w:rPr>
          <w:rFonts w:ascii="Times New Roman" w:eastAsia="Times New Roman" w:hAnsi="Times New Roman" w:cs="Times New Roman"/>
          <w:bCs/>
        </w:rPr>
        <w:t>. (</w:t>
      </w:r>
      <w:r>
        <w:rPr>
          <w:rFonts w:ascii="Times New Roman" w:eastAsia="Times New Roman" w:hAnsi="Times New Roman" w:cs="Times New Roman"/>
          <w:bCs/>
        </w:rPr>
        <w:t>tavaszi</w:t>
      </w:r>
      <w:r w:rsidRPr="006331D3">
        <w:rPr>
          <w:rFonts w:ascii="Times New Roman" w:eastAsia="Times New Roman" w:hAnsi="Times New Roman" w:cs="Times New Roman"/>
          <w:bCs/>
        </w:rPr>
        <w:t>) félévében.</w:t>
      </w:r>
    </w:p>
    <w:p w:rsidR="000D6805" w:rsidRDefault="000D6805" w:rsidP="00980876">
      <w:pPr>
        <w:widowControl w:val="0"/>
        <w:numPr>
          <w:ilvl w:val="0"/>
          <w:numId w:val="375"/>
        </w:numPr>
        <w:spacing w:before="120" w:after="120" w:line="240" w:lineRule="auto"/>
        <w:ind w:left="426" w:hanging="142"/>
        <w:jc w:val="both"/>
        <w:rPr>
          <w:rFonts w:ascii="Times New Roman" w:eastAsia="Times New Roman" w:hAnsi="Times New Roman" w:cs="Times New Roman"/>
          <w:bCs/>
        </w:rPr>
      </w:pPr>
      <w:r w:rsidRPr="00BC6E7B">
        <w:rPr>
          <w:rFonts w:ascii="Times New Roman" w:eastAsia="Times New Roman" w:hAnsi="Times New Roman" w:cs="Times New Roman"/>
          <w:b/>
          <w:bCs/>
        </w:rPr>
        <w:t>A tanórákon való részvétel követelményei, az elfogadható hiányzások mértéke, a távolmaradás pótlásának lehetősége:</w:t>
      </w:r>
      <w:r>
        <w:rPr>
          <w:rFonts w:ascii="Times New Roman" w:eastAsia="Times New Roman" w:hAnsi="Times New Roman" w:cs="Times New Roman"/>
          <w:bCs/>
        </w:rPr>
        <w:t xml:space="preserve"> </w:t>
      </w:r>
      <w:r w:rsidRPr="00D0042F">
        <w:rPr>
          <w:rFonts w:ascii="Times New Roman" w:eastAsia="Times New Roman" w:hAnsi="Times New Roman" w:cs="Times New Roman"/>
          <w:bCs/>
        </w:rPr>
        <w:t>a tanórákon való jelenlét kötelező, az elfogadható és igazolt hiányzások száma maximum a tanórák 30%-áig terjedhet, az ismeretek pótlásáról a hallgató gondoskodik.</w:t>
      </w:r>
      <w:r>
        <w:rPr>
          <w:rFonts w:ascii="Times New Roman" w:eastAsia="Times New Roman" w:hAnsi="Times New Roman" w:cs="Times New Roman"/>
          <w:bCs/>
        </w:rPr>
        <w:t xml:space="preserve"> A hiányzások elfogadható mértékének túllépése az aláírás megtagadását vonja maga után.</w:t>
      </w:r>
    </w:p>
    <w:p w:rsidR="000D6805" w:rsidRPr="006331D3" w:rsidRDefault="000D6805" w:rsidP="00980876">
      <w:pPr>
        <w:widowControl w:val="0"/>
        <w:numPr>
          <w:ilvl w:val="0"/>
          <w:numId w:val="375"/>
        </w:numPr>
        <w:spacing w:before="120" w:after="120" w:line="240" w:lineRule="auto"/>
        <w:ind w:left="426" w:hanging="142"/>
        <w:jc w:val="both"/>
        <w:rPr>
          <w:rFonts w:ascii="Times New Roman" w:eastAsia="Times New Roman" w:hAnsi="Times New Roman" w:cs="Times New Roman"/>
        </w:rPr>
      </w:pPr>
      <w:r w:rsidRPr="000D6805">
        <w:rPr>
          <w:rFonts w:ascii="Times New Roman" w:eastAsia="Times New Roman" w:hAnsi="Times New Roman" w:cs="Times New Roman"/>
          <w:b/>
          <w:bCs/>
        </w:rPr>
        <w:t>Félévközi</w:t>
      </w:r>
      <w:r w:rsidRPr="006331D3">
        <w:rPr>
          <w:rFonts w:ascii="Times New Roman" w:eastAsia="Times New Roman" w:hAnsi="Times New Roman" w:cs="Times New Roman"/>
          <w:b/>
        </w:rPr>
        <w:t xml:space="preserve"> feladatok, ismeretek ellenőrzésének rendje:</w:t>
      </w:r>
      <w:r w:rsidRPr="006331D3">
        <w:rPr>
          <w:rFonts w:ascii="Times New Roman" w:eastAsia="Times New Roman" w:hAnsi="Times New Roman" w:cs="Times New Roman"/>
        </w:rPr>
        <w:t xml:space="preserve"> A hallgató a félév egy zárthelyi dolgozatot ír. A zárthelyi dolgozatok értékelése ötfokozatú skála alapján történik (50 %-tól elégséges, 65 %-tól közepes, 75-tól % jó, 85 %-tól jeles). </w:t>
      </w:r>
    </w:p>
    <w:p w:rsidR="000D6805" w:rsidRPr="000D191A" w:rsidRDefault="000D6805" w:rsidP="000D6805">
      <w:pPr>
        <w:widowControl w:val="0"/>
        <w:spacing w:before="120" w:after="120" w:line="240" w:lineRule="auto"/>
        <w:ind w:left="720"/>
        <w:jc w:val="both"/>
        <w:rPr>
          <w:rFonts w:ascii="Times New Roman" w:eastAsia="Times New Roman" w:hAnsi="Times New Roman" w:cs="Times New Roman"/>
          <w:bCs/>
        </w:rPr>
      </w:pPr>
      <w:r>
        <w:rPr>
          <w:rFonts w:ascii="Times New Roman" w:eastAsia="Times New Roman" w:hAnsi="Times New Roman" w:cs="Times New Roman"/>
        </w:rPr>
        <w:t>A zárthelyi dolgozat egyszer pótolható, illetve sikertelensége esetén javítható.</w:t>
      </w:r>
    </w:p>
    <w:p w:rsidR="000D6805" w:rsidRDefault="000D6805" w:rsidP="00980876">
      <w:pPr>
        <w:widowControl w:val="0"/>
        <w:numPr>
          <w:ilvl w:val="0"/>
          <w:numId w:val="375"/>
        </w:numPr>
        <w:spacing w:before="120" w:after="120" w:line="240" w:lineRule="auto"/>
        <w:ind w:left="426" w:hanging="142"/>
        <w:jc w:val="both"/>
        <w:rPr>
          <w:rFonts w:ascii="Times New Roman" w:eastAsia="Times New Roman" w:hAnsi="Times New Roman" w:cs="Times New Roman"/>
          <w:b/>
          <w:bCs/>
        </w:rPr>
      </w:pPr>
      <w:r w:rsidRPr="00BC6E7B">
        <w:rPr>
          <w:rFonts w:ascii="Times New Roman" w:eastAsia="Times New Roman" w:hAnsi="Times New Roman" w:cs="Times New Roman"/>
          <w:b/>
          <w:bCs/>
        </w:rPr>
        <w:t xml:space="preserve">Az értékelés, az aláírás és a kreditek megszerzésének pontos feltételei: </w:t>
      </w:r>
    </w:p>
    <w:p w:rsidR="000D6805" w:rsidRPr="000D191A" w:rsidRDefault="000D6805" w:rsidP="00980876">
      <w:pPr>
        <w:widowControl w:val="0"/>
        <w:numPr>
          <w:ilvl w:val="1"/>
          <w:numId w:val="375"/>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0D191A">
        <w:rPr>
          <w:rFonts w:ascii="Times New Roman" w:eastAsia="Times New Roman" w:hAnsi="Times New Roman" w:cs="Times New Roman"/>
          <w:b/>
        </w:rPr>
        <w:t>Az aláírás megszerzésének feltételei:</w:t>
      </w:r>
      <w:r w:rsidRPr="000D191A">
        <w:rPr>
          <w:rFonts w:ascii="Times New Roman" w:eastAsia="Times New Roman" w:hAnsi="Times New Roman" w:cs="Times New Roman"/>
        </w:rPr>
        <w:t xml:space="preserve"> Az aláírás megszerzésének feltétele a 14. pontban meghatározott arányú részvétel a foglalkozásokon és a 15. pontban meghatározott félévközi feladatok legalább elégséges teljesítése</w:t>
      </w:r>
      <w:r>
        <w:rPr>
          <w:rFonts w:ascii="Times New Roman" w:eastAsia="Times New Roman" w:hAnsi="Times New Roman" w:cs="Times New Roman"/>
        </w:rPr>
        <w:t>.</w:t>
      </w:r>
    </w:p>
    <w:p w:rsidR="000D6805" w:rsidRDefault="000D6805" w:rsidP="00980876">
      <w:pPr>
        <w:widowControl w:val="0"/>
        <w:numPr>
          <w:ilvl w:val="1"/>
          <w:numId w:val="375"/>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BC6E7B">
        <w:rPr>
          <w:rFonts w:ascii="Times New Roman" w:eastAsia="Times New Roman" w:hAnsi="Times New Roman" w:cs="Times New Roman"/>
          <w:b/>
        </w:rPr>
        <w:t>Az értékelés:</w:t>
      </w:r>
      <w:r w:rsidRPr="00BC6E7B">
        <w:rPr>
          <w:rFonts w:ascii="Times New Roman" w:eastAsia="Times New Roman" w:hAnsi="Times New Roman" w:cs="Times New Roman"/>
        </w:rPr>
        <w:t xml:space="preserve"> </w:t>
      </w:r>
      <w:r>
        <w:rPr>
          <w:rFonts w:ascii="Times New Roman" w:eastAsia="Times New Roman" w:hAnsi="Times New Roman" w:cs="Times New Roman"/>
        </w:rPr>
        <w:t>Kollokvium– írásbeli vizsga. A Tanszék beszámoló felkészülési kérdéseket ad ki. A vizsga tartalmát az előadáson elhangzottak és az alább felsorolt kötelező és ajánlott irodalmak anyagai képezik. A vizsgadolgozat értékelése: 0-50% - elégtelen, 51-70% - elégséges, 71-80% - közepe, 81-90% - jó, 91-100% - jeles</w:t>
      </w:r>
    </w:p>
    <w:p w:rsidR="000D6805" w:rsidRDefault="000D6805" w:rsidP="000D6805">
      <w:pPr>
        <w:widowControl w:val="0"/>
        <w:tabs>
          <w:tab w:val="left" w:pos="709"/>
          <w:tab w:val="left" w:pos="993"/>
        </w:tabs>
        <w:spacing w:before="120" w:after="120" w:line="240" w:lineRule="auto"/>
        <w:ind w:left="426"/>
        <w:jc w:val="both"/>
        <w:rPr>
          <w:rFonts w:ascii="Times New Roman" w:eastAsia="Times New Roman" w:hAnsi="Times New Roman" w:cs="Times New Roman"/>
        </w:rPr>
      </w:pPr>
    </w:p>
    <w:p w:rsidR="000D6805" w:rsidRDefault="000D6805" w:rsidP="00980876">
      <w:pPr>
        <w:widowControl w:val="0"/>
        <w:numPr>
          <w:ilvl w:val="1"/>
          <w:numId w:val="375"/>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BC6E7B">
        <w:rPr>
          <w:rFonts w:ascii="Times New Roman" w:eastAsia="Times New Roman" w:hAnsi="Times New Roman" w:cs="Times New Roman"/>
          <w:b/>
        </w:rPr>
        <w:lastRenderedPageBreak/>
        <w:t>A kreditek megszerzésének feltételei:</w:t>
      </w:r>
      <w:r w:rsidRPr="00BC6E7B">
        <w:rPr>
          <w:rFonts w:ascii="Times New Roman" w:eastAsia="Times New Roman" w:hAnsi="Times New Roman" w:cs="Times New Roman"/>
        </w:rPr>
        <w:t xml:space="preserve"> </w:t>
      </w:r>
    </w:p>
    <w:p w:rsidR="000D6805" w:rsidRPr="00BC6E7B" w:rsidRDefault="000D6805" w:rsidP="000D6805">
      <w:pPr>
        <w:widowControl w:val="0"/>
        <w:tabs>
          <w:tab w:val="left" w:pos="993"/>
        </w:tabs>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A kreditek megszerzésének feltétele az aláírás megszerzése és legalább elégséges kollokviumi jegy.</w:t>
      </w:r>
    </w:p>
    <w:p w:rsidR="000D6805" w:rsidRPr="0035461C" w:rsidRDefault="000D6805" w:rsidP="00980876">
      <w:pPr>
        <w:widowControl w:val="0"/>
        <w:numPr>
          <w:ilvl w:val="0"/>
          <w:numId w:val="375"/>
        </w:numPr>
        <w:tabs>
          <w:tab w:val="num" w:pos="360"/>
        </w:tabs>
        <w:spacing w:before="120" w:after="120" w:line="240" w:lineRule="auto"/>
        <w:ind w:left="426" w:hanging="142"/>
        <w:jc w:val="both"/>
        <w:rPr>
          <w:rFonts w:ascii="Times New Roman" w:eastAsia="Times New Roman" w:hAnsi="Times New Roman" w:cs="Times New Roman"/>
          <w:bCs/>
        </w:rPr>
      </w:pPr>
      <w:r w:rsidRPr="00BC6E7B">
        <w:rPr>
          <w:rFonts w:ascii="Times New Roman" w:eastAsia="Times New Roman" w:hAnsi="Times New Roman" w:cs="Times New Roman"/>
          <w:b/>
          <w:bCs/>
        </w:rPr>
        <w:t>Irodalomjegyzék:</w:t>
      </w:r>
    </w:p>
    <w:p w:rsidR="000D6805" w:rsidRDefault="000D6805" w:rsidP="00980876">
      <w:pPr>
        <w:widowControl w:val="0"/>
        <w:numPr>
          <w:ilvl w:val="1"/>
          <w:numId w:val="375"/>
        </w:numPr>
        <w:tabs>
          <w:tab w:val="clear" w:pos="3977"/>
          <w:tab w:val="num" w:pos="567"/>
          <w:tab w:val="num" w:pos="999"/>
          <w:tab w:val="num" w:pos="2069"/>
        </w:tabs>
        <w:spacing w:before="120" w:after="120" w:line="240" w:lineRule="auto"/>
        <w:ind w:left="993" w:hanging="709"/>
        <w:jc w:val="both"/>
        <w:rPr>
          <w:rFonts w:ascii="Times New Roman" w:eastAsia="Times New Roman" w:hAnsi="Times New Roman" w:cs="Times New Roman"/>
          <w:b/>
          <w:bCs/>
        </w:rPr>
      </w:pPr>
      <w:r w:rsidRPr="0035461C">
        <w:rPr>
          <w:rFonts w:ascii="Times New Roman" w:eastAsia="Times New Roman" w:hAnsi="Times New Roman" w:cs="Times New Roman"/>
          <w:b/>
          <w:bCs/>
        </w:rPr>
        <w:t>Kötelező irodalom:</w:t>
      </w:r>
    </w:p>
    <w:p w:rsidR="000D6805" w:rsidRDefault="000D6805" w:rsidP="00980876">
      <w:pPr>
        <w:widowControl w:val="0"/>
        <w:numPr>
          <w:ilvl w:val="2"/>
          <w:numId w:val="376"/>
        </w:numPr>
        <w:spacing w:before="120" w:after="120" w:line="240" w:lineRule="auto"/>
        <w:jc w:val="both"/>
        <w:rPr>
          <w:rFonts w:ascii="Times New Roman" w:eastAsia="Times New Roman" w:hAnsi="Times New Roman" w:cs="Times New Roman"/>
          <w:b/>
          <w:bCs/>
        </w:rPr>
      </w:pPr>
      <w:r w:rsidRPr="00854328">
        <w:rPr>
          <w:rFonts w:ascii="Times New Roman" w:eastAsia="Times New Roman" w:hAnsi="Times New Roman" w:cs="Times New Roman"/>
        </w:rPr>
        <w:t>Blumné Bán Erika - Vörös László: Az ellenőrzés rendszere és általános módszertana Saldo Kiadó 2010. ISBN: 9789636383442</w:t>
      </w:r>
    </w:p>
    <w:p w:rsidR="000D6805" w:rsidRDefault="000D6805" w:rsidP="00980876">
      <w:pPr>
        <w:widowControl w:val="0"/>
        <w:numPr>
          <w:ilvl w:val="2"/>
          <w:numId w:val="376"/>
        </w:numPr>
        <w:spacing w:before="120" w:after="120" w:line="240" w:lineRule="auto"/>
        <w:jc w:val="both"/>
        <w:rPr>
          <w:rFonts w:ascii="Times New Roman" w:eastAsia="Times New Roman" w:hAnsi="Times New Roman" w:cs="Times New Roman"/>
          <w:b/>
          <w:bCs/>
        </w:rPr>
      </w:pPr>
      <w:r w:rsidRPr="00854328">
        <w:rPr>
          <w:rFonts w:ascii="Times New Roman" w:eastAsia="Times New Roman" w:hAnsi="Times New Roman" w:cs="Times New Roman"/>
        </w:rPr>
        <w:t>Kresalek Péter – Merétey-Vida Zsolt: Ellenőrzési alapismeretek Perfekt Zrt., 2008. ISBN: 9789633947371</w:t>
      </w:r>
    </w:p>
    <w:p w:rsidR="000D6805" w:rsidRPr="00854328" w:rsidRDefault="000D6805" w:rsidP="00980876">
      <w:pPr>
        <w:widowControl w:val="0"/>
        <w:numPr>
          <w:ilvl w:val="1"/>
          <w:numId w:val="375"/>
        </w:numPr>
        <w:tabs>
          <w:tab w:val="clear" w:pos="3977"/>
          <w:tab w:val="num" w:pos="567"/>
          <w:tab w:val="num" w:pos="999"/>
          <w:tab w:val="num" w:pos="2069"/>
        </w:tabs>
        <w:spacing w:before="120" w:after="120" w:line="240" w:lineRule="auto"/>
        <w:ind w:left="993" w:hanging="709"/>
        <w:jc w:val="both"/>
        <w:rPr>
          <w:rFonts w:ascii="Times New Roman" w:eastAsia="Times New Roman" w:hAnsi="Times New Roman" w:cs="Times New Roman"/>
          <w:b/>
          <w:bCs/>
        </w:rPr>
      </w:pPr>
      <w:r w:rsidRPr="00854328">
        <w:rPr>
          <w:rFonts w:ascii="Times New Roman" w:eastAsia="Times New Roman" w:hAnsi="Times New Roman" w:cs="Times New Roman"/>
          <w:b/>
          <w:bCs/>
        </w:rPr>
        <w:t>Ajánlott irodalom:</w:t>
      </w:r>
      <w:r>
        <w:rPr>
          <w:rFonts w:ascii="Times New Roman" w:eastAsia="Times New Roman" w:hAnsi="Times New Roman" w:cs="Times New Roman"/>
          <w:b/>
          <w:bCs/>
        </w:rPr>
        <w:t xml:space="preserve">  -</w:t>
      </w:r>
    </w:p>
    <w:p w:rsidR="000D6805" w:rsidRDefault="000D6805" w:rsidP="000D6805">
      <w:pPr>
        <w:widowControl w:val="0"/>
        <w:spacing w:before="120" w:after="120" w:line="240" w:lineRule="auto"/>
        <w:jc w:val="both"/>
        <w:rPr>
          <w:rFonts w:ascii="Times New Roman" w:eastAsia="Times New Roman" w:hAnsi="Times New Roman" w:cs="Times New Roman"/>
          <w:bCs/>
        </w:rPr>
      </w:pPr>
    </w:p>
    <w:p w:rsidR="000D6805" w:rsidRPr="00BC6E7B" w:rsidRDefault="000D6805" w:rsidP="000D6805">
      <w:pPr>
        <w:widowControl w:val="0"/>
        <w:spacing w:before="120" w:after="120" w:line="240" w:lineRule="auto"/>
        <w:jc w:val="both"/>
        <w:rPr>
          <w:rFonts w:ascii="Times New Roman" w:eastAsia="Times New Roman" w:hAnsi="Times New Roman" w:cs="Times New Roman"/>
          <w:bCs/>
        </w:rPr>
      </w:pPr>
      <w:r w:rsidRPr="0035461C">
        <w:rPr>
          <w:rFonts w:ascii="Times New Roman" w:eastAsia="Times New Roman" w:hAnsi="Times New Roman" w:cs="Times New Roman"/>
          <w:bCs/>
        </w:rPr>
        <w:t>Budapest, 20</w:t>
      </w:r>
      <w:r>
        <w:rPr>
          <w:rFonts w:ascii="Times New Roman" w:eastAsia="Times New Roman" w:hAnsi="Times New Roman" w:cs="Times New Roman"/>
          <w:bCs/>
        </w:rPr>
        <w:t>20</w:t>
      </w:r>
      <w:r w:rsidRPr="0035461C">
        <w:rPr>
          <w:rFonts w:ascii="Times New Roman" w:eastAsia="Times New Roman" w:hAnsi="Times New Roman" w:cs="Times New Roman"/>
          <w:bCs/>
        </w:rPr>
        <w:t>.</w:t>
      </w:r>
      <w:r>
        <w:rPr>
          <w:rFonts w:ascii="Times New Roman" w:eastAsia="Times New Roman" w:hAnsi="Times New Roman" w:cs="Times New Roman"/>
          <w:bCs/>
        </w:rPr>
        <w:t>02</w:t>
      </w:r>
      <w:r w:rsidRPr="0035461C">
        <w:rPr>
          <w:rFonts w:ascii="Times New Roman" w:eastAsia="Times New Roman" w:hAnsi="Times New Roman" w:cs="Times New Roman"/>
          <w:bCs/>
        </w:rPr>
        <w:t>.2</w:t>
      </w:r>
      <w:r>
        <w:rPr>
          <w:rFonts w:ascii="Times New Roman" w:eastAsia="Times New Roman" w:hAnsi="Times New Roman" w:cs="Times New Roman"/>
          <w:bCs/>
        </w:rPr>
        <w:t>0.</w:t>
      </w:r>
    </w:p>
    <w:p w:rsidR="000D6805" w:rsidRPr="000D6805" w:rsidRDefault="000D6805" w:rsidP="000D6805">
      <w:pPr>
        <w:widowControl w:val="0"/>
        <w:spacing w:after="0" w:line="240" w:lineRule="auto"/>
        <w:ind w:left="5664" w:firstLine="708"/>
        <w:jc w:val="center"/>
        <w:rPr>
          <w:rFonts w:ascii="Times New Roman" w:eastAsia="Times New Roman" w:hAnsi="Times New Roman" w:cs="Times New Roman"/>
          <w:b/>
          <w:bCs/>
        </w:rPr>
      </w:pPr>
      <w:r w:rsidRPr="000D6805">
        <w:rPr>
          <w:rFonts w:ascii="Times New Roman" w:eastAsia="Times New Roman" w:hAnsi="Times New Roman" w:cs="Times New Roman"/>
          <w:b/>
          <w:bCs/>
        </w:rPr>
        <w:t>Dr. Szabó Ildikó (PhD)</w:t>
      </w:r>
    </w:p>
    <w:p w:rsidR="000D6805" w:rsidRDefault="000D6805" w:rsidP="000D6805">
      <w:pPr>
        <w:widowControl w:val="0"/>
        <w:spacing w:after="0" w:line="240" w:lineRule="auto"/>
        <w:ind w:left="5664" w:firstLine="708"/>
        <w:jc w:val="center"/>
        <w:rPr>
          <w:rFonts w:ascii="Times New Roman" w:eastAsia="Times New Roman" w:hAnsi="Times New Roman" w:cs="Times New Roman"/>
          <w:bCs/>
        </w:rPr>
      </w:pPr>
      <w:r>
        <w:rPr>
          <w:rFonts w:ascii="Times New Roman" w:eastAsia="Times New Roman" w:hAnsi="Times New Roman" w:cs="Times New Roman"/>
          <w:bCs/>
        </w:rPr>
        <w:t>egyetemi tanársegéd sk.</w:t>
      </w:r>
    </w:p>
    <w:p w:rsidR="000D6805" w:rsidRDefault="000D6805">
      <w:pPr>
        <w:spacing w:after="200" w:line="276" w:lineRule="auto"/>
        <w:rPr>
          <w:rFonts w:ascii="Times New Roman" w:hAnsi="Times New Roman" w:cs="Times New Roman"/>
          <w:b/>
          <w:color w:val="FF0000"/>
          <w:sz w:val="24"/>
        </w:rPr>
      </w:pPr>
    </w:p>
    <w:p w:rsidR="000D6805" w:rsidRDefault="000D6805">
      <w:pPr>
        <w:spacing w:after="200" w:line="276" w:lineRule="auto"/>
        <w:rPr>
          <w:rFonts w:ascii="Times New Roman" w:hAnsi="Times New Roman" w:cs="Times New Roman"/>
          <w:b/>
          <w:color w:val="FF0000"/>
          <w:sz w:val="24"/>
        </w:rPr>
      </w:pPr>
      <w:r>
        <w:rPr>
          <w:rFonts w:ascii="Times New Roman" w:hAnsi="Times New Roman" w:cs="Times New Roman"/>
          <w:b/>
          <w:color w:val="FF0000"/>
          <w:sz w:val="24"/>
        </w:rPr>
        <w:br w:type="page"/>
      </w:r>
    </w:p>
    <w:tbl>
      <w:tblPr>
        <w:tblW w:w="9072" w:type="dxa"/>
        <w:tblInd w:w="113" w:type="dxa"/>
        <w:tblLook w:val="01E0" w:firstRow="1" w:lastRow="1" w:firstColumn="1" w:lastColumn="1" w:noHBand="0" w:noVBand="0"/>
      </w:tblPr>
      <w:tblGrid>
        <w:gridCol w:w="4855"/>
        <w:gridCol w:w="1620"/>
        <w:gridCol w:w="2597"/>
      </w:tblGrid>
      <w:tr w:rsidR="00647B98" w:rsidRPr="00BC6E7B" w:rsidTr="00647B98">
        <w:tc>
          <w:tcPr>
            <w:tcW w:w="4855" w:type="dxa"/>
            <w:tcBorders>
              <w:bottom w:val="single" w:sz="4" w:space="0" w:color="auto"/>
            </w:tcBorders>
          </w:tcPr>
          <w:p w:rsidR="00647B98" w:rsidRPr="00BC6E7B" w:rsidRDefault="00647B98" w:rsidP="00647B98">
            <w:pPr>
              <w:spacing w:after="0" w:line="240" w:lineRule="auto"/>
              <w:jc w:val="center"/>
              <w:rPr>
                <w:rFonts w:ascii="Times New Roman" w:eastAsia="Times New Roman" w:hAnsi="Times New Roman" w:cs="Times New Roman"/>
                <w:b/>
                <w:smallCaps/>
                <w:lang w:eastAsia="hu-HU"/>
              </w:rPr>
            </w:pPr>
            <w:r w:rsidRPr="00BC6E7B">
              <w:rPr>
                <w:rFonts w:ascii="Times New Roman" w:eastAsia="Times New Roman" w:hAnsi="Times New Roman" w:cs="Times New Roman"/>
                <w:b/>
                <w:smallCaps/>
                <w:lang w:eastAsia="hu-HU"/>
              </w:rPr>
              <w:lastRenderedPageBreak/>
              <w:t>Nemzeti Közszolgálati Egyetem</w:t>
            </w:r>
          </w:p>
        </w:tc>
        <w:tc>
          <w:tcPr>
            <w:tcW w:w="1620" w:type="dxa"/>
          </w:tcPr>
          <w:p w:rsidR="00647B98" w:rsidRPr="00BC6E7B" w:rsidRDefault="00647B98" w:rsidP="00647B98">
            <w:pPr>
              <w:spacing w:after="0" w:line="240" w:lineRule="auto"/>
              <w:jc w:val="both"/>
              <w:rPr>
                <w:rFonts w:ascii="Times New Roman" w:eastAsia="Times New Roman" w:hAnsi="Times New Roman" w:cs="Times New Roman"/>
                <w:lang w:eastAsia="hu-HU"/>
              </w:rPr>
            </w:pPr>
          </w:p>
        </w:tc>
        <w:tc>
          <w:tcPr>
            <w:tcW w:w="2597" w:type="dxa"/>
          </w:tcPr>
          <w:p w:rsidR="00647B98" w:rsidRPr="00BC6E7B" w:rsidRDefault="00647B98" w:rsidP="00647B98">
            <w:pPr>
              <w:spacing w:after="0" w:line="240" w:lineRule="auto"/>
              <w:jc w:val="right"/>
              <w:rPr>
                <w:rFonts w:ascii="Times New Roman" w:eastAsia="Times New Roman" w:hAnsi="Times New Roman" w:cs="Times New Roman"/>
                <w:lang w:eastAsia="hu-HU"/>
              </w:rPr>
            </w:pPr>
          </w:p>
        </w:tc>
      </w:tr>
      <w:tr w:rsidR="00647B98" w:rsidTr="00647B98">
        <w:tc>
          <w:tcPr>
            <w:tcW w:w="4855" w:type="dxa"/>
            <w:tcBorders>
              <w:top w:val="single" w:sz="4" w:space="0" w:color="auto"/>
              <w:left w:val="nil"/>
              <w:bottom w:val="nil"/>
              <w:right w:val="nil"/>
            </w:tcBorders>
            <w:hideMark/>
          </w:tcPr>
          <w:p w:rsidR="00647B98" w:rsidRPr="00F644B4" w:rsidRDefault="00647B98" w:rsidP="00647B98">
            <w:pPr>
              <w:pStyle w:val="Szvegtrzs"/>
              <w:jc w:val="center"/>
              <w:rPr>
                <w:b/>
              </w:rPr>
            </w:pPr>
            <w:r>
              <w:rPr>
                <w:b/>
              </w:rPr>
              <w:t>Hadtudományi és Honvédtisztképző</w:t>
            </w:r>
            <w:r w:rsidRPr="00F644B4">
              <w:rPr>
                <w:b/>
              </w:rPr>
              <w:t xml:space="preserve"> Kar</w:t>
            </w:r>
          </w:p>
        </w:tc>
        <w:tc>
          <w:tcPr>
            <w:tcW w:w="1620" w:type="dxa"/>
          </w:tcPr>
          <w:p w:rsidR="00647B98" w:rsidRDefault="00647B98" w:rsidP="00647B98">
            <w:pPr>
              <w:pStyle w:val="Szvegtrzs"/>
            </w:pPr>
          </w:p>
        </w:tc>
        <w:tc>
          <w:tcPr>
            <w:tcW w:w="2597" w:type="dxa"/>
          </w:tcPr>
          <w:p w:rsidR="00647B98" w:rsidRDefault="00647B98" w:rsidP="00647B98">
            <w:pPr>
              <w:pStyle w:val="Szvegtrzs"/>
            </w:pPr>
          </w:p>
        </w:tc>
      </w:tr>
    </w:tbl>
    <w:p w:rsidR="00647B98" w:rsidRDefault="00647B98" w:rsidP="00647B98">
      <w:pPr>
        <w:widowControl w:val="0"/>
        <w:spacing w:before="120" w:after="120" w:line="240" w:lineRule="auto"/>
        <w:ind w:left="426" w:hanging="142"/>
        <w:jc w:val="center"/>
        <w:rPr>
          <w:rFonts w:ascii="Times New Roman" w:eastAsia="Times New Roman" w:hAnsi="Times New Roman" w:cs="Times New Roman"/>
          <w:b/>
          <w:bCs/>
        </w:rPr>
      </w:pPr>
    </w:p>
    <w:p w:rsidR="00647B98" w:rsidRPr="00BC6E7B" w:rsidRDefault="00647B98" w:rsidP="00647B98">
      <w:pPr>
        <w:widowControl w:val="0"/>
        <w:spacing w:before="120" w:after="120" w:line="240" w:lineRule="auto"/>
        <w:ind w:left="426" w:hanging="142"/>
        <w:jc w:val="center"/>
        <w:rPr>
          <w:rFonts w:ascii="Times New Roman" w:eastAsia="Times New Roman" w:hAnsi="Times New Roman" w:cs="Times New Roman"/>
          <w:b/>
          <w:bCs/>
        </w:rPr>
      </w:pPr>
      <w:r w:rsidRPr="00BC6E7B">
        <w:rPr>
          <w:rFonts w:ascii="Times New Roman" w:eastAsia="Times New Roman" w:hAnsi="Times New Roman" w:cs="Times New Roman"/>
          <w:b/>
          <w:bCs/>
        </w:rPr>
        <w:t>TANTÁRGYI PROGRAM</w:t>
      </w:r>
    </w:p>
    <w:p w:rsidR="00647B98" w:rsidRPr="00BC6E7B" w:rsidRDefault="00647B98" w:rsidP="00980876">
      <w:pPr>
        <w:widowControl w:val="0"/>
        <w:numPr>
          <w:ilvl w:val="0"/>
          <w:numId w:val="379"/>
        </w:numPr>
        <w:spacing w:before="120" w:after="120" w:line="240" w:lineRule="auto"/>
        <w:jc w:val="both"/>
        <w:rPr>
          <w:rFonts w:ascii="Times New Roman" w:eastAsia="Times New Roman" w:hAnsi="Times New Roman" w:cs="Times New Roman"/>
          <w:bCs/>
        </w:rPr>
      </w:pPr>
      <w:r w:rsidRPr="00BC6E7B">
        <w:rPr>
          <w:rFonts w:ascii="Times New Roman" w:eastAsia="Times New Roman" w:hAnsi="Times New Roman" w:cs="Times New Roman"/>
          <w:b/>
          <w:bCs/>
        </w:rPr>
        <w:t>A tantárgy kódja:</w:t>
      </w:r>
      <w:r>
        <w:rPr>
          <w:rFonts w:ascii="Times New Roman" w:eastAsia="Times New Roman" w:hAnsi="Times New Roman" w:cs="Times New Roman"/>
          <w:b/>
          <w:bCs/>
        </w:rPr>
        <w:t xml:space="preserve"> </w:t>
      </w:r>
      <w:r w:rsidRPr="000B17E8">
        <w:rPr>
          <w:rFonts w:ascii="Times New Roman" w:eastAsia="Times New Roman" w:hAnsi="Times New Roman" w:cs="Times New Roman"/>
          <w:bCs/>
        </w:rPr>
        <w:t>HKHPKA513</w:t>
      </w:r>
    </w:p>
    <w:p w:rsidR="00647B98" w:rsidRPr="00A6100B" w:rsidRDefault="00647B98" w:rsidP="00980876">
      <w:pPr>
        <w:widowControl w:val="0"/>
        <w:numPr>
          <w:ilvl w:val="0"/>
          <w:numId w:val="379"/>
        </w:numPr>
        <w:spacing w:before="120" w:after="120" w:line="240" w:lineRule="auto"/>
        <w:jc w:val="both"/>
        <w:rPr>
          <w:rFonts w:ascii="Times New Roman" w:eastAsia="Times New Roman" w:hAnsi="Times New Roman" w:cs="Times New Roman"/>
          <w:b/>
          <w:bCs/>
          <w:lang w:val="en-GB"/>
        </w:rPr>
      </w:pPr>
      <w:r w:rsidRPr="00A6100B">
        <w:rPr>
          <w:rFonts w:ascii="Times New Roman" w:eastAsia="Times New Roman" w:hAnsi="Times New Roman" w:cs="Times New Roman"/>
          <w:b/>
          <w:bCs/>
        </w:rPr>
        <w:t>A tantárgy megnevezése (magyarul):</w:t>
      </w:r>
      <w:r w:rsidRPr="00A6100B">
        <w:rPr>
          <w:bCs/>
        </w:rPr>
        <w:t xml:space="preserve"> </w:t>
      </w:r>
      <w:r w:rsidRPr="002157D8">
        <w:rPr>
          <w:rFonts w:ascii="Times New Roman" w:eastAsia="Times New Roman" w:hAnsi="Times New Roman" w:cs="Times New Roman"/>
          <w:bCs/>
          <w:lang w:val="x-none"/>
        </w:rPr>
        <w:t>Társadalombiztosítás</w:t>
      </w:r>
    </w:p>
    <w:p w:rsidR="00647B98" w:rsidRPr="00A6100B" w:rsidRDefault="00647B98" w:rsidP="00980876">
      <w:pPr>
        <w:widowControl w:val="0"/>
        <w:numPr>
          <w:ilvl w:val="0"/>
          <w:numId w:val="379"/>
        </w:numPr>
        <w:spacing w:before="120" w:after="120" w:line="240" w:lineRule="auto"/>
        <w:jc w:val="both"/>
        <w:rPr>
          <w:rFonts w:ascii="Times New Roman" w:eastAsia="Times New Roman" w:hAnsi="Times New Roman" w:cs="Times New Roman"/>
          <w:b/>
          <w:bCs/>
          <w:lang w:val="en-GB"/>
        </w:rPr>
      </w:pPr>
      <w:r w:rsidRPr="00A6100B">
        <w:rPr>
          <w:rFonts w:ascii="Times New Roman" w:eastAsia="Times New Roman" w:hAnsi="Times New Roman" w:cs="Times New Roman"/>
          <w:b/>
          <w:bCs/>
        </w:rPr>
        <w:t>A tantárgy megnevezése (angolul):</w:t>
      </w:r>
      <w:r w:rsidRPr="00A6100B">
        <w:rPr>
          <w:bCs/>
        </w:rPr>
        <w:t xml:space="preserve"> </w:t>
      </w:r>
      <w:r w:rsidRPr="002157D8">
        <w:rPr>
          <w:rFonts w:ascii="Times New Roman" w:eastAsia="Times New Roman" w:hAnsi="Times New Roman" w:cs="Times New Roman"/>
          <w:bCs/>
          <w:lang w:val="x-none"/>
        </w:rPr>
        <w:t>Social security</w:t>
      </w:r>
    </w:p>
    <w:p w:rsidR="00647B98" w:rsidRDefault="00647B98" w:rsidP="00980876">
      <w:pPr>
        <w:widowControl w:val="0"/>
        <w:numPr>
          <w:ilvl w:val="0"/>
          <w:numId w:val="379"/>
        </w:numPr>
        <w:spacing w:before="120" w:after="120" w:line="240" w:lineRule="auto"/>
        <w:jc w:val="both"/>
        <w:rPr>
          <w:rFonts w:ascii="Times New Roman" w:eastAsia="Times New Roman" w:hAnsi="Times New Roman" w:cs="Times New Roman"/>
          <w:b/>
          <w:bCs/>
        </w:rPr>
      </w:pPr>
      <w:r w:rsidRPr="00BC6E7B">
        <w:rPr>
          <w:rFonts w:ascii="Times New Roman" w:eastAsia="Times New Roman" w:hAnsi="Times New Roman" w:cs="Times New Roman"/>
          <w:b/>
          <w:bCs/>
        </w:rPr>
        <w:t>Kreditérték</w:t>
      </w:r>
      <w:r>
        <w:rPr>
          <w:rFonts w:ascii="Times New Roman" w:eastAsia="Times New Roman" w:hAnsi="Times New Roman" w:cs="Times New Roman"/>
          <w:b/>
          <w:bCs/>
        </w:rPr>
        <w:t xml:space="preserve"> és képzési karakter</w:t>
      </w:r>
      <w:r w:rsidRPr="00BC6E7B">
        <w:rPr>
          <w:rFonts w:ascii="Times New Roman" w:eastAsia="Times New Roman" w:hAnsi="Times New Roman" w:cs="Times New Roman"/>
          <w:b/>
          <w:bCs/>
        </w:rPr>
        <w:t xml:space="preserve">: </w:t>
      </w:r>
    </w:p>
    <w:p w:rsidR="00647B98" w:rsidRPr="00740A68" w:rsidRDefault="00647B98" w:rsidP="00980876">
      <w:pPr>
        <w:pStyle w:val="Listaszerbekezds"/>
        <w:widowControl w:val="0"/>
        <w:numPr>
          <w:ilvl w:val="1"/>
          <w:numId w:val="379"/>
        </w:numPr>
        <w:tabs>
          <w:tab w:val="clear" w:pos="3977"/>
          <w:tab w:val="num" w:pos="1134"/>
        </w:tabs>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2</w:t>
      </w:r>
      <w:r w:rsidRPr="00740A68">
        <w:rPr>
          <w:rFonts w:ascii="Times New Roman" w:eastAsia="Times New Roman" w:hAnsi="Times New Roman" w:cs="Times New Roman"/>
          <w:bCs/>
        </w:rPr>
        <w:t xml:space="preserve"> kredit</w:t>
      </w:r>
    </w:p>
    <w:p w:rsidR="00647B98" w:rsidRPr="00740A68" w:rsidRDefault="00647B98" w:rsidP="00980876">
      <w:pPr>
        <w:pStyle w:val="Listaszerbekezds"/>
        <w:widowControl w:val="0"/>
        <w:numPr>
          <w:ilvl w:val="1"/>
          <w:numId w:val="379"/>
        </w:numPr>
        <w:tabs>
          <w:tab w:val="clear" w:pos="3977"/>
          <w:tab w:val="num" w:pos="999"/>
        </w:tabs>
        <w:spacing w:before="120" w:after="120" w:line="240" w:lineRule="auto"/>
        <w:ind w:left="993" w:hanging="426"/>
        <w:jc w:val="both"/>
        <w:rPr>
          <w:rFonts w:ascii="Times New Roman" w:eastAsia="Times New Roman" w:hAnsi="Times New Roman" w:cs="Times New Roman"/>
          <w:b/>
          <w:bCs/>
        </w:rPr>
      </w:pPr>
      <w:r w:rsidRPr="00F37D21">
        <w:rPr>
          <w:rFonts w:ascii="Times New Roman" w:eastAsia="Times New Roman" w:hAnsi="Times New Roman" w:cs="Times New Roman"/>
          <w:bCs/>
        </w:rPr>
        <w:t>a tantárgy elméleti vagy gyakorlati jellegének mértéke</w:t>
      </w:r>
      <w:r w:rsidRPr="00740A68">
        <w:rPr>
          <w:rFonts w:ascii="Times New Roman" w:eastAsia="Times New Roman" w:hAnsi="Times New Roman" w:cs="Times New Roman"/>
          <w:bCs/>
        </w:rPr>
        <w:t xml:space="preserve">: </w:t>
      </w:r>
      <w:r>
        <w:rPr>
          <w:rFonts w:ascii="Times New Roman" w:eastAsia="Times New Roman" w:hAnsi="Times New Roman" w:cs="Times New Roman"/>
          <w:bCs/>
        </w:rPr>
        <w:t>50</w:t>
      </w:r>
      <w:r w:rsidRPr="00740A68">
        <w:rPr>
          <w:rFonts w:ascii="Times New Roman" w:eastAsia="Times New Roman" w:hAnsi="Times New Roman" w:cs="Times New Roman"/>
          <w:b/>
          <w:bCs/>
        </w:rPr>
        <w:t xml:space="preserve"> </w:t>
      </w:r>
      <w:r>
        <w:rPr>
          <w:rFonts w:ascii="Times New Roman" w:eastAsia="Times New Roman" w:hAnsi="Times New Roman" w:cs="Times New Roman"/>
          <w:bCs/>
        </w:rPr>
        <w:t>% gyakorlat, 50 % elmélet</w:t>
      </w:r>
    </w:p>
    <w:p w:rsidR="00647B98" w:rsidRPr="00BC6E7B" w:rsidRDefault="00647B98" w:rsidP="00980876">
      <w:pPr>
        <w:widowControl w:val="0"/>
        <w:numPr>
          <w:ilvl w:val="0"/>
          <w:numId w:val="379"/>
        </w:numPr>
        <w:spacing w:before="120" w:after="120" w:line="240" w:lineRule="auto"/>
        <w:jc w:val="both"/>
        <w:rPr>
          <w:rFonts w:ascii="Times New Roman" w:eastAsia="Times New Roman" w:hAnsi="Times New Roman" w:cs="Times New Roman"/>
          <w:bCs/>
        </w:rPr>
      </w:pPr>
      <w:r w:rsidRPr="00BC6E7B">
        <w:rPr>
          <w:rFonts w:ascii="Times New Roman" w:eastAsia="Times New Roman" w:hAnsi="Times New Roman" w:cs="Times New Roman"/>
          <w:b/>
          <w:bCs/>
        </w:rPr>
        <w:t xml:space="preserve">A szak(ok), </w:t>
      </w:r>
      <w:r w:rsidRPr="000B17E8">
        <w:rPr>
          <w:rFonts w:ascii="Times New Roman" w:eastAsia="Times New Roman" w:hAnsi="Times New Roman" w:cs="Times New Roman"/>
          <w:b/>
          <w:bCs/>
        </w:rPr>
        <w:t>szakirányok/specializációk</w:t>
      </w:r>
      <w:r w:rsidRPr="00BC6E7B">
        <w:rPr>
          <w:rFonts w:ascii="Times New Roman" w:eastAsia="Times New Roman" w:hAnsi="Times New Roman" w:cs="Times New Roman"/>
          <w:b/>
          <w:bCs/>
        </w:rPr>
        <w:t xml:space="preserve"> megnevezése (ahol oktatják):</w:t>
      </w:r>
      <w:r w:rsidRPr="00BC6E7B">
        <w:rPr>
          <w:rFonts w:ascii="Times New Roman" w:eastAsia="Times New Roman" w:hAnsi="Times New Roman" w:cs="Times New Roman"/>
          <w:bCs/>
        </w:rPr>
        <w:t xml:space="preserve"> </w:t>
      </w:r>
      <w:r w:rsidRPr="00B50509">
        <w:rPr>
          <w:rFonts w:ascii="Times New Roman" w:eastAsia="Times New Roman" w:hAnsi="Times New Roman" w:cs="Times New Roman"/>
          <w:bCs/>
        </w:rPr>
        <w:t>Katonai logisztika alapképzési szak, Hadtáp specializáció</w:t>
      </w:r>
      <w:r>
        <w:rPr>
          <w:rFonts w:ascii="Times New Roman" w:eastAsia="Times New Roman" w:hAnsi="Times New Roman" w:cs="Times New Roman"/>
          <w:bCs/>
        </w:rPr>
        <w:t>, Katonai pénzügyi specializáció</w:t>
      </w:r>
    </w:p>
    <w:p w:rsidR="00647B98" w:rsidRDefault="00647B98" w:rsidP="00980876">
      <w:pPr>
        <w:widowControl w:val="0"/>
        <w:numPr>
          <w:ilvl w:val="0"/>
          <w:numId w:val="379"/>
        </w:numPr>
        <w:spacing w:before="120" w:after="120" w:line="240" w:lineRule="auto"/>
        <w:jc w:val="both"/>
        <w:rPr>
          <w:rFonts w:ascii="Times New Roman" w:eastAsia="Times New Roman" w:hAnsi="Times New Roman" w:cs="Times New Roman"/>
          <w:bCs/>
        </w:rPr>
      </w:pPr>
      <w:r w:rsidRPr="00BC6E7B">
        <w:rPr>
          <w:rFonts w:ascii="Times New Roman" w:eastAsia="Times New Roman" w:hAnsi="Times New Roman" w:cs="Times New Roman"/>
          <w:b/>
          <w:bCs/>
        </w:rPr>
        <w:t>Az oktatásért felelős oktatási</w:t>
      </w:r>
      <w:r>
        <w:rPr>
          <w:rFonts w:ascii="Times New Roman" w:eastAsia="Times New Roman" w:hAnsi="Times New Roman" w:cs="Times New Roman"/>
          <w:b/>
          <w:bCs/>
        </w:rPr>
        <w:t xml:space="preserve"> szervezeti egység megnevezése:</w:t>
      </w:r>
      <w:r w:rsidRPr="0078259C">
        <w:rPr>
          <w:bCs/>
        </w:rPr>
        <w:t xml:space="preserve"> </w:t>
      </w:r>
      <w:r w:rsidRPr="00A6100B">
        <w:rPr>
          <w:rFonts w:ascii="Times New Roman" w:eastAsia="Times New Roman" w:hAnsi="Times New Roman" w:cs="Times New Roman"/>
          <w:bCs/>
        </w:rPr>
        <w:t>NKE Hadtudományi és Honvédtisztképző Kar, Hadtáp</w:t>
      </w:r>
      <w:r>
        <w:rPr>
          <w:rFonts w:ascii="Times New Roman" w:eastAsia="Times New Roman" w:hAnsi="Times New Roman" w:cs="Times New Roman"/>
          <w:bCs/>
        </w:rPr>
        <w:t>, Pénzügyi</w:t>
      </w:r>
      <w:r w:rsidRPr="00A6100B">
        <w:rPr>
          <w:rFonts w:ascii="Times New Roman" w:eastAsia="Times New Roman" w:hAnsi="Times New Roman" w:cs="Times New Roman"/>
          <w:bCs/>
        </w:rPr>
        <w:t xml:space="preserve"> és Katonai Közlekedési Tanszék </w:t>
      </w:r>
    </w:p>
    <w:p w:rsidR="00647B98" w:rsidRPr="000B17E8" w:rsidRDefault="00647B98" w:rsidP="00980876">
      <w:pPr>
        <w:widowControl w:val="0"/>
        <w:numPr>
          <w:ilvl w:val="0"/>
          <w:numId w:val="379"/>
        </w:numPr>
        <w:spacing w:before="120" w:after="120" w:line="240" w:lineRule="auto"/>
        <w:jc w:val="both"/>
        <w:rPr>
          <w:rFonts w:ascii="Times New Roman" w:eastAsia="Times New Roman" w:hAnsi="Times New Roman" w:cs="Times New Roman"/>
          <w:bCs/>
        </w:rPr>
      </w:pPr>
      <w:r w:rsidRPr="000B17E8">
        <w:rPr>
          <w:rFonts w:ascii="Times New Roman" w:eastAsia="Times New Roman" w:hAnsi="Times New Roman" w:cs="Times New Roman"/>
          <w:b/>
          <w:bCs/>
        </w:rPr>
        <w:t>A tantárgyfelelős oktató neve, beosztása, tudományos fokozata:</w:t>
      </w:r>
      <w:r w:rsidRPr="000B17E8">
        <w:rPr>
          <w:rFonts w:ascii="Times New Roman" w:eastAsia="Times New Roman" w:hAnsi="Times New Roman" w:cs="Times New Roman"/>
          <w:bCs/>
        </w:rPr>
        <w:t xml:space="preserve"> </w:t>
      </w:r>
      <w:r w:rsidRPr="00181780">
        <w:rPr>
          <w:rFonts w:ascii="Times New Roman" w:eastAsia="Times New Roman" w:hAnsi="Times New Roman" w:cs="Times New Roman"/>
          <w:bCs/>
        </w:rPr>
        <w:t>Dr. Hutkai Zsuzsanna, adjunktus</w:t>
      </w:r>
      <w:r>
        <w:rPr>
          <w:rFonts w:ascii="Times New Roman" w:eastAsia="Times New Roman" w:hAnsi="Times New Roman" w:cs="Times New Roman"/>
          <w:bCs/>
        </w:rPr>
        <w:t>, PhD</w:t>
      </w:r>
    </w:p>
    <w:p w:rsidR="00647B98" w:rsidRPr="00BC6E7B" w:rsidRDefault="00647B98" w:rsidP="00980876">
      <w:pPr>
        <w:widowControl w:val="0"/>
        <w:numPr>
          <w:ilvl w:val="0"/>
          <w:numId w:val="379"/>
        </w:numPr>
        <w:spacing w:before="120" w:after="120" w:line="240" w:lineRule="auto"/>
        <w:jc w:val="both"/>
        <w:rPr>
          <w:rFonts w:ascii="Times New Roman" w:eastAsia="Times New Roman" w:hAnsi="Times New Roman" w:cs="Times New Roman"/>
          <w:bCs/>
        </w:rPr>
      </w:pPr>
      <w:r w:rsidRPr="00BC6E7B">
        <w:rPr>
          <w:rFonts w:ascii="Times New Roman" w:eastAsia="Times New Roman" w:hAnsi="Times New Roman" w:cs="Times New Roman"/>
          <w:b/>
          <w:bCs/>
        </w:rPr>
        <w:t>A tanórák száma és típusa</w:t>
      </w:r>
    </w:p>
    <w:p w:rsidR="00647B98" w:rsidRPr="00BC6E7B" w:rsidRDefault="00647B98" w:rsidP="00980876">
      <w:pPr>
        <w:widowControl w:val="0"/>
        <w:numPr>
          <w:ilvl w:val="1"/>
          <w:numId w:val="379"/>
        </w:numPr>
        <w:tabs>
          <w:tab w:val="clear" w:pos="3977"/>
          <w:tab w:val="num" w:pos="709"/>
          <w:tab w:val="num" w:pos="999"/>
          <w:tab w:val="num" w:pos="2069"/>
        </w:tabs>
        <w:spacing w:before="120" w:after="120" w:line="240" w:lineRule="auto"/>
        <w:ind w:left="851" w:hanging="425"/>
        <w:jc w:val="both"/>
        <w:rPr>
          <w:rFonts w:ascii="Times New Roman" w:eastAsia="Times New Roman" w:hAnsi="Times New Roman" w:cs="Times New Roman"/>
          <w:bCs/>
        </w:rPr>
      </w:pPr>
      <w:r w:rsidRPr="00BC6E7B">
        <w:rPr>
          <w:rFonts w:ascii="Times New Roman" w:eastAsia="Times New Roman" w:hAnsi="Times New Roman" w:cs="Times New Roman"/>
          <w:bCs/>
        </w:rPr>
        <w:t>össz óraszám/félév:</w:t>
      </w:r>
    </w:p>
    <w:p w:rsidR="00647B98" w:rsidRDefault="00647B98" w:rsidP="00980876">
      <w:pPr>
        <w:pStyle w:val="Listaszerbekezds"/>
        <w:widowControl w:val="0"/>
        <w:numPr>
          <w:ilvl w:val="2"/>
          <w:numId w:val="377"/>
        </w:numPr>
        <w:tabs>
          <w:tab w:val="num" w:pos="1134"/>
          <w:tab w:val="num" w:pos="1800"/>
        </w:tabs>
        <w:spacing w:before="120" w:after="120" w:line="240" w:lineRule="auto"/>
        <w:jc w:val="both"/>
        <w:rPr>
          <w:rFonts w:ascii="Times New Roman" w:eastAsia="Times New Roman" w:hAnsi="Times New Roman" w:cs="Times New Roman"/>
          <w:bCs/>
        </w:rPr>
      </w:pPr>
      <w:r w:rsidRPr="00FD603C">
        <w:rPr>
          <w:rFonts w:ascii="Times New Roman" w:eastAsia="Times New Roman" w:hAnsi="Times New Roman" w:cs="Times New Roman"/>
          <w:bCs/>
        </w:rPr>
        <w:t>nappali munkarend: 28 (14 EA + 0 SZ + 14 GY)</w:t>
      </w:r>
    </w:p>
    <w:p w:rsidR="00647B98" w:rsidRPr="00FD603C" w:rsidRDefault="00647B98" w:rsidP="00980876">
      <w:pPr>
        <w:pStyle w:val="Listaszerbekezds"/>
        <w:widowControl w:val="0"/>
        <w:numPr>
          <w:ilvl w:val="2"/>
          <w:numId w:val="377"/>
        </w:numPr>
        <w:tabs>
          <w:tab w:val="num" w:pos="1134"/>
          <w:tab w:val="num" w:pos="1800"/>
        </w:tabs>
        <w:spacing w:before="120" w:after="120" w:line="240" w:lineRule="auto"/>
        <w:jc w:val="both"/>
        <w:rPr>
          <w:rFonts w:ascii="Times New Roman" w:eastAsia="Times New Roman" w:hAnsi="Times New Roman" w:cs="Times New Roman"/>
          <w:bCs/>
        </w:rPr>
      </w:pPr>
      <w:r w:rsidRPr="00FD603C">
        <w:rPr>
          <w:rFonts w:ascii="Times New Roman" w:eastAsia="Times New Roman" w:hAnsi="Times New Roman" w:cs="Times New Roman"/>
          <w:bCs/>
        </w:rPr>
        <w:t>levelező munkarend: - (- EA + - SZ + - GY)</w:t>
      </w:r>
    </w:p>
    <w:p w:rsidR="00647B98" w:rsidRDefault="00647B98" w:rsidP="00980876">
      <w:pPr>
        <w:widowControl w:val="0"/>
        <w:numPr>
          <w:ilvl w:val="1"/>
          <w:numId w:val="379"/>
        </w:numPr>
        <w:tabs>
          <w:tab w:val="clear" w:pos="3977"/>
          <w:tab w:val="num" w:pos="709"/>
          <w:tab w:val="num" w:pos="999"/>
          <w:tab w:val="num" w:pos="2069"/>
        </w:tabs>
        <w:spacing w:before="120" w:after="120" w:line="240" w:lineRule="auto"/>
        <w:ind w:left="851" w:hanging="425"/>
        <w:jc w:val="both"/>
        <w:rPr>
          <w:rFonts w:ascii="Times New Roman" w:eastAsia="Times New Roman" w:hAnsi="Times New Roman" w:cs="Times New Roman"/>
          <w:bCs/>
        </w:rPr>
      </w:pPr>
      <w:r w:rsidRPr="00BC6E7B">
        <w:rPr>
          <w:rFonts w:ascii="Times New Roman" w:eastAsia="Times New Roman" w:hAnsi="Times New Roman" w:cs="Times New Roman"/>
          <w:bCs/>
        </w:rPr>
        <w:t xml:space="preserve">heti óraszám - nappali munkarend: </w:t>
      </w:r>
      <w:r>
        <w:rPr>
          <w:rFonts w:ascii="Times New Roman" w:eastAsia="Times New Roman" w:hAnsi="Times New Roman" w:cs="Times New Roman"/>
          <w:bCs/>
        </w:rPr>
        <w:t>2</w:t>
      </w:r>
    </w:p>
    <w:p w:rsidR="00647B98" w:rsidRDefault="00647B98" w:rsidP="00980876">
      <w:pPr>
        <w:widowControl w:val="0"/>
        <w:numPr>
          <w:ilvl w:val="1"/>
          <w:numId w:val="379"/>
        </w:numPr>
        <w:tabs>
          <w:tab w:val="clear" w:pos="3977"/>
          <w:tab w:val="num" w:pos="709"/>
          <w:tab w:val="num" w:pos="999"/>
          <w:tab w:val="num" w:pos="2069"/>
        </w:tabs>
        <w:spacing w:before="120" w:after="120" w:line="240" w:lineRule="auto"/>
        <w:ind w:left="851" w:hanging="425"/>
        <w:jc w:val="both"/>
        <w:rPr>
          <w:rFonts w:ascii="Times New Roman" w:eastAsia="Times New Roman" w:hAnsi="Times New Roman" w:cs="Times New Roman"/>
          <w:bCs/>
        </w:rPr>
      </w:pPr>
      <w:r w:rsidRPr="00A16045">
        <w:rPr>
          <w:rFonts w:ascii="Times New Roman" w:hAnsi="Times New Roman" w:cs="Times New Roman"/>
        </w:rPr>
        <w:t>Az ismeret átadásában alkalmazandó további sajátos módok, jellemzők</w:t>
      </w:r>
      <w:r>
        <w:rPr>
          <w:rFonts w:ascii="Times New Roman" w:hAnsi="Times New Roman" w:cs="Times New Roman"/>
        </w:rPr>
        <w:t>: -</w:t>
      </w:r>
    </w:p>
    <w:p w:rsidR="00647B98" w:rsidRPr="00BC6E7B" w:rsidRDefault="00647B98" w:rsidP="00980876">
      <w:pPr>
        <w:widowControl w:val="0"/>
        <w:numPr>
          <w:ilvl w:val="0"/>
          <w:numId w:val="379"/>
        </w:numPr>
        <w:spacing w:before="120" w:after="120" w:line="240" w:lineRule="auto"/>
        <w:jc w:val="both"/>
        <w:rPr>
          <w:rFonts w:ascii="Times New Roman" w:eastAsia="Times New Roman" w:hAnsi="Times New Roman" w:cs="Times New Roman"/>
          <w:bCs/>
        </w:rPr>
      </w:pPr>
      <w:r w:rsidRPr="00BC6E7B">
        <w:rPr>
          <w:rFonts w:ascii="Times New Roman" w:eastAsia="Times New Roman" w:hAnsi="Times New Roman" w:cs="Times New Roman"/>
          <w:b/>
          <w:bCs/>
        </w:rPr>
        <w:t>A tantárgy szakmai tartalma (magyarul):</w:t>
      </w:r>
      <w:r w:rsidRPr="00A6100B">
        <w:rPr>
          <w:bCs/>
        </w:rPr>
        <w:t xml:space="preserve"> </w:t>
      </w:r>
      <w:r w:rsidRPr="00B50509">
        <w:rPr>
          <w:rFonts w:ascii="Times New Roman" w:eastAsia="Times New Roman" w:hAnsi="Times New Roman" w:cs="Times New Roman"/>
          <w:bCs/>
        </w:rPr>
        <w:t xml:space="preserve">A </w:t>
      </w:r>
      <w:r>
        <w:rPr>
          <w:rFonts w:ascii="Times New Roman" w:eastAsia="Times New Roman" w:hAnsi="Times New Roman" w:cs="Times New Roman"/>
          <w:bCs/>
        </w:rPr>
        <w:t>társadalombiztosítás</w:t>
      </w:r>
      <w:r w:rsidRPr="00B50509">
        <w:rPr>
          <w:rFonts w:ascii="Times New Roman" w:eastAsia="Times New Roman" w:hAnsi="Times New Roman" w:cs="Times New Roman"/>
          <w:bCs/>
        </w:rPr>
        <w:t xml:space="preserve"> alapfogalmai, rendszere, szerkezete. A </w:t>
      </w:r>
      <w:r>
        <w:rPr>
          <w:rFonts w:ascii="Times New Roman" w:eastAsia="Times New Roman" w:hAnsi="Times New Roman" w:cs="Times New Roman"/>
          <w:bCs/>
        </w:rPr>
        <w:t>társadalombiztosítási</w:t>
      </w:r>
      <w:r w:rsidRPr="00B50509">
        <w:rPr>
          <w:rFonts w:ascii="Times New Roman" w:eastAsia="Times New Roman" w:hAnsi="Times New Roman" w:cs="Times New Roman"/>
          <w:bCs/>
        </w:rPr>
        <w:t xml:space="preserve"> szervek működés</w:t>
      </w:r>
      <w:r>
        <w:rPr>
          <w:rFonts w:ascii="Times New Roman" w:eastAsia="Times New Roman" w:hAnsi="Times New Roman" w:cs="Times New Roman"/>
          <w:bCs/>
        </w:rPr>
        <w:t>e.</w:t>
      </w:r>
      <w:r w:rsidRPr="00B50509">
        <w:rPr>
          <w:rFonts w:ascii="Times New Roman" w:eastAsia="Times New Roman" w:hAnsi="Times New Roman" w:cs="Times New Roman"/>
          <w:bCs/>
        </w:rPr>
        <w:t xml:space="preserve"> A </w:t>
      </w:r>
      <w:r>
        <w:rPr>
          <w:rFonts w:ascii="Times New Roman" w:eastAsia="Times New Roman" w:hAnsi="Times New Roman" w:cs="Times New Roman"/>
          <w:bCs/>
        </w:rPr>
        <w:t>társadalombiztosítás pénzügyi fedezete, finanszírozása. Egyes társadalombiztosítási ellátások.</w:t>
      </w:r>
    </w:p>
    <w:p w:rsidR="00647B98" w:rsidRPr="001423A2" w:rsidRDefault="00647B98" w:rsidP="00647B98">
      <w:pPr>
        <w:widowControl w:val="0"/>
        <w:spacing w:before="120" w:after="120"/>
        <w:ind w:left="708"/>
        <w:jc w:val="both"/>
        <w:rPr>
          <w:rFonts w:ascii="Times New Roman" w:eastAsia="Times New Roman" w:hAnsi="Times New Roman" w:cs="Times New Roman"/>
          <w:bCs/>
        </w:rPr>
      </w:pPr>
      <w:r w:rsidRPr="00BC6E7B">
        <w:rPr>
          <w:rFonts w:ascii="Times New Roman" w:eastAsia="Times New Roman" w:hAnsi="Times New Roman" w:cs="Times New Roman"/>
          <w:b/>
          <w:bCs/>
        </w:rPr>
        <w:t>A tantárgy szakmai tartalma (angolul) (</w:t>
      </w:r>
      <w:r w:rsidRPr="00BC6E7B">
        <w:rPr>
          <w:rFonts w:ascii="Times New Roman" w:eastAsia="Times New Roman" w:hAnsi="Times New Roman" w:cs="Times New Roman"/>
          <w:b/>
          <w:bCs/>
          <w:lang w:val="en-US"/>
        </w:rPr>
        <w:t>Course description</w:t>
      </w:r>
      <w:r w:rsidRPr="00BC6E7B">
        <w:rPr>
          <w:rFonts w:ascii="Times New Roman" w:eastAsia="Times New Roman" w:hAnsi="Times New Roman" w:cs="Times New Roman"/>
          <w:b/>
          <w:bCs/>
        </w:rPr>
        <w:t xml:space="preserve">): </w:t>
      </w:r>
      <w:r w:rsidRPr="001423A2">
        <w:rPr>
          <w:rFonts w:ascii="Times New Roman" w:eastAsia="Times New Roman" w:hAnsi="Times New Roman" w:cs="Times New Roman"/>
          <w:bCs/>
          <w:lang w:val="en"/>
        </w:rPr>
        <w:t>Basic concepts, system and structure of social insurance. Operation of social security institutions. Financial coverage and financing of social insurance. Certain social security benefits</w:t>
      </w:r>
      <w:r>
        <w:rPr>
          <w:rFonts w:ascii="Times New Roman" w:eastAsia="Times New Roman" w:hAnsi="Times New Roman" w:cs="Times New Roman"/>
          <w:bCs/>
          <w:lang w:val="en"/>
        </w:rPr>
        <w:t>.</w:t>
      </w:r>
    </w:p>
    <w:p w:rsidR="00647B98" w:rsidRPr="00740A68" w:rsidRDefault="00647B98" w:rsidP="00980876">
      <w:pPr>
        <w:widowControl w:val="0"/>
        <w:numPr>
          <w:ilvl w:val="0"/>
          <w:numId w:val="379"/>
        </w:numPr>
        <w:spacing w:before="120" w:after="120" w:line="240" w:lineRule="auto"/>
        <w:jc w:val="both"/>
        <w:rPr>
          <w:rFonts w:ascii="Times New Roman" w:eastAsia="Times New Roman" w:hAnsi="Times New Roman" w:cs="Times New Roman"/>
          <w:bCs/>
        </w:rPr>
      </w:pPr>
      <w:r w:rsidRPr="00740A68">
        <w:rPr>
          <w:rFonts w:ascii="Times New Roman" w:eastAsia="Times New Roman" w:hAnsi="Times New Roman" w:cs="Times New Roman"/>
          <w:b/>
          <w:bCs/>
        </w:rPr>
        <w:t xml:space="preserve">Elérendő kompetenciák (magyarul): </w:t>
      </w:r>
    </w:p>
    <w:p w:rsidR="00647B98" w:rsidRDefault="00647B98" w:rsidP="00647B98">
      <w:pPr>
        <w:widowControl w:val="0"/>
        <w:spacing w:before="120" w:after="120" w:line="240" w:lineRule="auto"/>
        <w:ind w:left="426"/>
        <w:jc w:val="both"/>
        <w:rPr>
          <w:rFonts w:ascii="Times New Roman" w:eastAsia="Times New Roman" w:hAnsi="Times New Roman" w:cs="Times New Roman"/>
          <w:bCs/>
        </w:rPr>
      </w:pPr>
      <w:r w:rsidRPr="00BC6E7B">
        <w:rPr>
          <w:rFonts w:ascii="Times New Roman" w:eastAsia="Times New Roman" w:hAnsi="Times New Roman" w:cs="Times New Roman"/>
          <w:b/>
          <w:bCs/>
        </w:rPr>
        <w:t>Tudása:</w:t>
      </w:r>
      <w:r>
        <w:rPr>
          <w:rFonts w:ascii="Times New Roman" w:eastAsia="Times New Roman" w:hAnsi="Times New Roman" w:cs="Times New Roman"/>
          <w:bCs/>
        </w:rPr>
        <w:t xml:space="preserve"> </w:t>
      </w:r>
    </w:p>
    <w:p w:rsidR="00647B98" w:rsidRPr="00FD603C" w:rsidRDefault="00647B98" w:rsidP="00980876">
      <w:pPr>
        <w:pStyle w:val="Listaszerbekezds"/>
        <w:widowControl w:val="0"/>
        <w:numPr>
          <w:ilvl w:val="0"/>
          <w:numId w:val="378"/>
        </w:numPr>
        <w:spacing w:before="120" w:after="120" w:line="240" w:lineRule="auto"/>
        <w:ind w:hanging="219"/>
        <w:jc w:val="both"/>
        <w:rPr>
          <w:rFonts w:ascii="Times New Roman" w:eastAsia="Times New Roman" w:hAnsi="Times New Roman" w:cs="Times New Roman"/>
          <w:bCs/>
        </w:rPr>
      </w:pPr>
      <w:r w:rsidRPr="00FD603C">
        <w:rPr>
          <w:rFonts w:ascii="Times New Roman" w:eastAsia="Times New Roman" w:hAnsi="Times New Roman" w:cs="Times New Roman"/>
          <w:bCs/>
        </w:rPr>
        <w:t>Ismeri a gazdaság és a piacok működésének alapjait, a nemzetgazdaság és a honvédelem kapcsolatrendszerét, a hadiipar működésének törvényszerűségeit.</w:t>
      </w:r>
    </w:p>
    <w:p w:rsidR="00647B98" w:rsidRDefault="00647B98" w:rsidP="00647B98">
      <w:pPr>
        <w:widowControl w:val="0"/>
        <w:spacing w:before="120" w:after="120" w:line="240" w:lineRule="auto"/>
        <w:ind w:left="426"/>
        <w:jc w:val="both"/>
        <w:rPr>
          <w:rFonts w:ascii="Times New Roman" w:eastAsia="Times New Roman" w:hAnsi="Times New Roman" w:cs="Times New Roman"/>
          <w:bCs/>
        </w:rPr>
      </w:pPr>
      <w:r w:rsidRPr="00BC6E7B">
        <w:rPr>
          <w:rFonts w:ascii="Times New Roman" w:eastAsia="Times New Roman" w:hAnsi="Times New Roman" w:cs="Times New Roman"/>
          <w:b/>
          <w:bCs/>
        </w:rPr>
        <w:t>Képességei:</w:t>
      </w:r>
      <w:r>
        <w:rPr>
          <w:rFonts w:ascii="Times New Roman" w:eastAsia="Times New Roman" w:hAnsi="Times New Roman" w:cs="Times New Roman"/>
          <w:bCs/>
        </w:rPr>
        <w:t xml:space="preserve"> </w:t>
      </w:r>
    </w:p>
    <w:p w:rsidR="00647B98" w:rsidRPr="00FD603C" w:rsidRDefault="00647B98" w:rsidP="00980876">
      <w:pPr>
        <w:pStyle w:val="Listaszerbekezds"/>
        <w:widowControl w:val="0"/>
        <w:numPr>
          <w:ilvl w:val="0"/>
          <w:numId w:val="378"/>
        </w:numPr>
        <w:spacing w:before="120" w:after="120" w:line="240" w:lineRule="auto"/>
        <w:ind w:hanging="219"/>
        <w:jc w:val="both"/>
        <w:rPr>
          <w:rFonts w:ascii="Times New Roman" w:eastAsia="Times New Roman" w:hAnsi="Times New Roman" w:cs="Times New Roman"/>
          <w:bCs/>
        </w:rPr>
      </w:pPr>
      <w:r w:rsidRPr="00FD603C">
        <w:rPr>
          <w:rFonts w:ascii="Times New Roman" w:eastAsia="Times New Roman" w:hAnsi="Times New Roman" w:cs="Times New Roman"/>
          <w:bCs/>
        </w:rPr>
        <w:t>Képes a munkaköréhez és feladataihoz kapcsolódó jogszabályi háttér értelmezésére és gyakorlati alkalmazására.</w:t>
      </w:r>
    </w:p>
    <w:p w:rsidR="00647B98" w:rsidRDefault="00647B98" w:rsidP="00647B98">
      <w:pPr>
        <w:widowControl w:val="0"/>
        <w:spacing w:before="120" w:after="120" w:line="240" w:lineRule="auto"/>
        <w:ind w:left="426"/>
        <w:jc w:val="both"/>
        <w:rPr>
          <w:rFonts w:ascii="Times New Roman" w:eastAsia="Times New Roman" w:hAnsi="Times New Roman" w:cs="Times New Roman"/>
          <w:bCs/>
        </w:rPr>
      </w:pPr>
      <w:r w:rsidRPr="00BC6E7B">
        <w:rPr>
          <w:rFonts w:ascii="Times New Roman" w:eastAsia="Times New Roman" w:hAnsi="Times New Roman" w:cs="Times New Roman"/>
          <w:b/>
          <w:bCs/>
        </w:rPr>
        <w:t>Attitűdje:</w:t>
      </w:r>
      <w:r w:rsidRPr="00BC6E7B">
        <w:rPr>
          <w:rFonts w:ascii="Times New Roman" w:eastAsia="Times New Roman" w:hAnsi="Times New Roman" w:cs="Times New Roman"/>
          <w:bCs/>
        </w:rPr>
        <w:t xml:space="preserve"> </w:t>
      </w:r>
    </w:p>
    <w:p w:rsidR="00647B98" w:rsidRDefault="00647B98" w:rsidP="00980876">
      <w:pPr>
        <w:pStyle w:val="Listaszerbekezds"/>
        <w:widowControl w:val="0"/>
        <w:numPr>
          <w:ilvl w:val="0"/>
          <w:numId w:val="378"/>
        </w:numPr>
        <w:spacing w:before="120" w:after="120" w:line="240" w:lineRule="auto"/>
        <w:ind w:hanging="219"/>
        <w:jc w:val="both"/>
        <w:rPr>
          <w:rFonts w:ascii="Times New Roman" w:eastAsia="Times New Roman" w:hAnsi="Times New Roman" w:cs="Times New Roman"/>
          <w:bCs/>
        </w:rPr>
      </w:pPr>
      <w:r w:rsidRPr="00FD603C">
        <w:rPr>
          <w:rFonts w:ascii="Times New Roman" w:eastAsia="Times New Roman" w:hAnsi="Times New Roman" w:cs="Times New Roman"/>
          <w:bCs/>
        </w:rPr>
        <w:t>Nyitott szakterülete új eredményei, innovációi iránt, törekszik azok megismerésére, megértésére és alkalmazására, elkötelezett önmaga folyamatos képzésére. Feladatai ellátása során együttműködési készség jellemzi, törekszik a beosztottak bevonására a döntési folyamatokba.</w:t>
      </w:r>
    </w:p>
    <w:p w:rsidR="00647B98" w:rsidRPr="00FD603C" w:rsidRDefault="00647B98" w:rsidP="00980876">
      <w:pPr>
        <w:pStyle w:val="Listaszerbekezds"/>
        <w:widowControl w:val="0"/>
        <w:numPr>
          <w:ilvl w:val="0"/>
          <w:numId w:val="378"/>
        </w:numPr>
        <w:spacing w:before="120" w:after="120" w:line="240" w:lineRule="auto"/>
        <w:ind w:hanging="219"/>
        <w:jc w:val="both"/>
        <w:rPr>
          <w:rFonts w:ascii="Times New Roman" w:eastAsia="Times New Roman" w:hAnsi="Times New Roman" w:cs="Times New Roman"/>
          <w:bCs/>
        </w:rPr>
      </w:pPr>
      <w:r w:rsidRPr="00FD603C">
        <w:rPr>
          <w:rFonts w:ascii="Times New Roman" w:eastAsia="Times New Roman" w:hAnsi="Times New Roman" w:cs="Times New Roman"/>
          <w:bCs/>
        </w:rPr>
        <w:t xml:space="preserve"> Feladatellátása során törekszik a megfelelő önkontroll, tolerancia, empátia, az előítéletektől mentes gondolkodás és viselkedés tanúsítására. Munkájában és emberi kapcsolataiban megbízhatóság jellemzi.</w:t>
      </w:r>
    </w:p>
    <w:p w:rsidR="00647B98" w:rsidRDefault="00647B98" w:rsidP="00647B98">
      <w:pPr>
        <w:widowControl w:val="0"/>
        <w:spacing w:before="120" w:after="120" w:line="240" w:lineRule="auto"/>
        <w:ind w:left="426"/>
        <w:jc w:val="both"/>
        <w:rPr>
          <w:rFonts w:ascii="Times New Roman" w:eastAsia="Times New Roman" w:hAnsi="Times New Roman" w:cs="Times New Roman"/>
          <w:bCs/>
        </w:rPr>
      </w:pPr>
      <w:r w:rsidRPr="00BC6E7B">
        <w:rPr>
          <w:rFonts w:ascii="Times New Roman" w:eastAsia="Times New Roman" w:hAnsi="Times New Roman" w:cs="Times New Roman"/>
          <w:b/>
          <w:bCs/>
        </w:rPr>
        <w:lastRenderedPageBreak/>
        <w:t>Autonómiája és felelőssége:</w:t>
      </w:r>
      <w:r w:rsidRPr="00BC6E7B">
        <w:rPr>
          <w:rFonts w:ascii="Times New Roman" w:eastAsia="Times New Roman" w:hAnsi="Times New Roman" w:cs="Times New Roman"/>
          <w:bCs/>
        </w:rPr>
        <w:t xml:space="preserve"> </w:t>
      </w:r>
    </w:p>
    <w:p w:rsidR="00647B98" w:rsidRPr="00FD603C" w:rsidRDefault="00647B98" w:rsidP="00980876">
      <w:pPr>
        <w:pStyle w:val="Listaszerbekezds"/>
        <w:widowControl w:val="0"/>
        <w:numPr>
          <w:ilvl w:val="0"/>
          <w:numId w:val="378"/>
        </w:numPr>
        <w:spacing w:before="120" w:after="120" w:line="240" w:lineRule="auto"/>
        <w:ind w:hanging="219"/>
        <w:jc w:val="both"/>
        <w:rPr>
          <w:rFonts w:ascii="Times New Roman" w:eastAsia="Times New Roman" w:hAnsi="Times New Roman" w:cs="Times New Roman"/>
          <w:bCs/>
        </w:rPr>
      </w:pPr>
      <w:r w:rsidRPr="00FD603C">
        <w:rPr>
          <w:rFonts w:ascii="Times New Roman" w:eastAsia="Times New Roman" w:hAnsi="Times New Roman" w:cs="Times New Roman"/>
          <w:bCs/>
        </w:rPr>
        <w:t>Az alegység, illetve egység szintű katonai logisztikai, valamint katonai gazdálkodási folyamatokban képes önállóan döntéseket hozni, azokat felelősséggel, a jogszabályi keretek figyelembevételével végrehajtani.</w:t>
      </w:r>
    </w:p>
    <w:p w:rsidR="00647B98" w:rsidRPr="00BC6E7B" w:rsidRDefault="00647B98" w:rsidP="00647B98">
      <w:pPr>
        <w:widowControl w:val="0"/>
        <w:spacing w:before="120" w:after="120" w:line="240" w:lineRule="auto"/>
        <w:ind w:left="426"/>
        <w:jc w:val="both"/>
        <w:rPr>
          <w:rFonts w:ascii="Times New Roman" w:eastAsia="Times New Roman" w:hAnsi="Times New Roman" w:cs="Times New Roman"/>
          <w:b/>
          <w:bCs/>
          <w:lang w:val="en-US"/>
        </w:rPr>
      </w:pPr>
      <w:r w:rsidRPr="00BC6E7B">
        <w:rPr>
          <w:rFonts w:ascii="Times New Roman" w:eastAsia="Times New Roman" w:hAnsi="Times New Roman" w:cs="Times New Roman"/>
          <w:b/>
          <w:bCs/>
        </w:rPr>
        <w:t>Elérendő kompetenciák (angolul) (</w:t>
      </w:r>
      <w:r w:rsidRPr="00BC6E7B">
        <w:rPr>
          <w:rFonts w:ascii="Times New Roman" w:eastAsia="Times New Roman" w:hAnsi="Times New Roman" w:cs="Times New Roman"/>
          <w:b/>
          <w:bCs/>
          <w:lang w:val="en-US"/>
        </w:rPr>
        <w:t xml:space="preserve">Competences – English): </w:t>
      </w:r>
    </w:p>
    <w:p w:rsidR="00647B98" w:rsidRDefault="00647B98" w:rsidP="00647B98">
      <w:pPr>
        <w:widowControl w:val="0"/>
        <w:spacing w:before="120" w:after="120" w:line="240" w:lineRule="auto"/>
        <w:ind w:left="426"/>
        <w:jc w:val="both"/>
      </w:pPr>
      <w:r w:rsidRPr="00BC6E7B">
        <w:rPr>
          <w:rFonts w:ascii="Times New Roman" w:eastAsia="Times New Roman" w:hAnsi="Times New Roman" w:cs="Times New Roman"/>
          <w:b/>
          <w:lang w:val="en-GB"/>
        </w:rPr>
        <w:t>Knowledge</w:t>
      </w:r>
      <w:r w:rsidRPr="00BC6E7B">
        <w:rPr>
          <w:rFonts w:ascii="Times New Roman" w:eastAsia="Times New Roman" w:hAnsi="Times New Roman" w:cs="Times New Roman"/>
          <w:lang w:val="en-GB"/>
        </w:rPr>
        <w:t>:</w:t>
      </w:r>
      <w:r w:rsidRPr="00F37D21">
        <w:t xml:space="preserve"> </w:t>
      </w:r>
    </w:p>
    <w:p w:rsidR="00647B98" w:rsidRPr="00FD603C" w:rsidRDefault="00647B98" w:rsidP="00980876">
      <w:pPr>
        <w:pStyle w:val="Listaszerbekezds"/>
        <w:widowControl w:val="0"/>
        <w:numPr>
          <w:ilvl w:val="0"/>
          <w:numId w:val="378"/>
        </w:numPr>
        <w:spacing w:before="120" w:after="120" w:line="240" w:lineRule="auto"/>
        <w:ind w:hanging="219"/>
        <w:jc w:val="both"/>
        <w:rPr>
          <w:rFonts w:ascii="Times New Roman" w:eastAsia="Times New Roman" w:hAnsi="Times New Roman" w:cs="Times New Roman"/>
          <w:lang w:val="en-GB"/>
        </w:rPr>
      </w:pPr>
      <w:r w:rsidRPr="00FD603C">
        <w:rPr>
          <w:rFonts w:ascii="Times New Roman" w:eastAsia="Times New Roman" w:hAnsi="Times New Roman" w:cs="Times New Roman"/>
          <w:lang w:val="en-GB"/>
        </w:rPr>
        <w:t>The student knows the basics of the operation of the economy and the markets, the system of relations between the national economy and the defense sector, the regularities of the operation of the military industry.</w:t>
      </w:r>
    </w:p>
    <w:p w:rsidR="00647B98" w:rsidRDefault="00647B98" w:rsidP="00647B98">
      <w:pPr>
        <w:widowControl w:val="0"/>
        <w:spacing w:before="120" w:after="120" w:line="240" w:lineRule="auto"/>
        <w:ind w:left="426"/>
        <w:jc w:val="both"/>
        <w:rPr>
          <w:rFonts w:ascii="Times New Roman" w:eastAsia="Times New Roman" w:hAnsi="Times New Roman" w:cs="Times New Roman"/>
          <w:b/>
          <w:lang w:val="en-GB"/>
        </w:rPr>
      </w:pPr>
      <w:r w:rsidRPr="00BC6E7B">
        <w:rPr>
          <w:rFonts w:ascii="Times New Roman" w:eastAsia="Times New Roman" w:hAnsi="Times New Roman" w:cs="Times New Roman"/>
          <w:b/>
          <w:lang w:val="en-GB"/>
        </w:rPr>
        <w:t>Capabilities</w:t>
      </w:r>
      <w:r w:rsidRPr="006331D3">
        <w:rPr>
          <w:rFonts w:ascii="Times New Roman" w:eastAsia="Times New Roman" w:hAnsi="Times New Roman" w:cs="Times New Roman"/>
          <w:b/>
          <w:lang w:val="en-GB"/>
        </w:rPr>
        <w:t xml:space="preserve">: </w:t>
      </w:r>
    </w:p>
    <w:p w:rsidR="00647B98" w:rsidRPr="00FD603C" w:rsidRDefault="00647B98" w:rsidP="00980876">
      <w:pPr>
        <w:pStyle w:val="Listaszerbekezds"/>
        <w:widowControl w:val="0"/>
        <w:numPr>
          <w:ilvl w:val="0"/>
          <w:numId w:val="378"/>
        </w:numPr>
        <w:spacing w:before="120" w:after="120" w:line="240" w:lineRule="auto"/>
        <w:ind w:hanging="219"/>
        <w:jc w:val="both"/>
        <w:rPr>
          <w:rFonts w:ascii="Times New Roman" w:eastAsia="Times New Roman" w:hAnsi="Times New Roman" w:cs="Times New Roman"/>
          <w:b/>
          <w:lang w:val="en-GB"/>
        </w:rPr>
      </w:pPr>
      <w:r w:rsidRPr="00FD603C">
        <w:rPr>
          <w:rFonts w:ascii="Times New Roman" w:eastAsia="Times New Roman" w:hAnsi="Times New Roman" w:cs="Times New Roman"/>
          <w:lang w:val="en-GB"/>
        </w:rPr>
        <w:t>He / she is able to interpret and apply in practice the legal background related to his / her job and duties.</w:t>
      </w:r>
    </w:p>
    <w:p w:rsidR="00647B98" w:rsidRDefault="00647B98" w:rsidP="00647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lang w:val="en-GB"/>
        </w:rPr>
      </w:pPr>
      <w:r w:rsidRPr="00BC6E7B">
        <w:rPr>
          <w:rFonts w:ascii="Times New Roman" w:eastAsia="Times New Roman" w:hAnsi="Times New Roman" w:cs="Times New Roman"/>
          <w:b/>
          <w:lang w:val="en-GB"/>
        </w:rPr>
        <w:t>Attitude:</w:t>
      </w:r>
      <w:r w:rsidRPr="00BC6E7B">
        <w:rPr>
          <w:rFonts w:ascii="Times New Roman" w:eastAsia="Times New Roman" w:hAnsi="Times New Roman" w:cs="Times New Roman"/>
          <w:lang w:val="en-GB"/>
        </w:rPr>
        <w:t xml:space="preserve"> </w:t>
      </w:r>
    </w:p>
    <w:p w:rsidR="00647B98" w:rsidRPr="00FD603C" w:rsidRDefault="00647B98" w:rsidP="00980876">
      <w:pPr>
        <w:pStyle w:val="Listaszerbekezds"/>
        <w:numPr>
          <w:ilvl w:val="0"/>
          <w:numId w:val="37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19"/>
        <w:jc w:val="both"/>
        <w:rPr>
          <w:rFonts w:ascii="Times New Roman" w:eastAsia="Times New Roman" w:hAnsi="Times New Roman" w:cs="Times New Roman"/>
          <w:lang w:val="en-GB"/>
        </w:rPr>
      </w:pPr>
      <w:r w:rsidRPr="00FD603C">
        <w:rPr>
          <w:rFonts w:ascii="Times New Roman" w:eastAsia="Times New Roman" w:hAnsi="Times New Roman" w:cs="Times New Roman"/>
        </w:rPr>
        <w:t xml:space="preserve">In his/her specialization he/she is open to new achievements and innovations, strives to know, understand and apply them, and committed to continous self-education. Performing his duties he is characterized by a willingness to cooperate with his/her subordinates, and strives to involve them in decision-making processes. </w:t>
      </w:r>
    </w:p>
    <w:p w:rsidR="00647B98" w:rsidRPr="00FD603C" w:rsidRDefault="00647B98" w:rsidP="00980876">
      <w:pPr>
        <w:pStyle w:val="Listaszerbekezds"/>
        <w:numPr>
          <w:ilvl w:val="0"/>
          <w:numId w:val="37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19"/>
        <w:jc w:val="both"/>
        <w:rPr>
          <w:rFonts w:ascii="Times New Roman" w:eastAsia="Times New Roman" w:hAnsi="Times New Roman" w:cs="Times New Roman"/>
          <w:lang w:val="en-GB"/>
        </w:rPr>
      </w:pPr>
      <w:r w:rsidRPr="00FD603C">
        <w:rPr>
          <w:rFonts w:ascii="Times New Roman" w:eastAsia="Times New Roman" w:hAnsi="Times New Roman" w:cs="Times New Roman"/>
        </w:rPr>
        <w:t>In the course of his duties he tries to demonstrate proper self-control, tolerance, empathy, non-biased way of thinking and behavior. His/her work and human relationships are characterized by reliability.</w:t>
      </w:r>
    </w:p>
    <w:p w:rsidR="00647B98" w:rsidRDefault="00647B98" w:rsidP="00647B98">
      <w:pPr>
        <w:widowControl w:val="0"/>
        <w:spacing w:before="120" w:after="120" w:line="240" w:lineRule="auto"/>
        <w:ind w:left="426"/>
        <w:jc w:val="both"/>
        <w:rPr>
          <w:rFonts w:ascii="Times New Roman" w:eastAsia="Times New Roman" w:hAnsi="Times New Roman" w:cs="Times New Roman"/>
          <w:b/>
          <w:lang w:val="en-GB"/>
        </w:rPr>
      </w:pPr>
      <w:r w:rsidRPr="00BC6E7B">
        <w:rPr>
          <w:rFonts w:ascii="Times New Roman" w:eastAsia="Times New Roman" w:hAnsi="Times New Roman" w:cs="Times New Roman"/>
          <w:b/>
          <w:lang w:val="en-GB"/>
        </w:rPr>
        <w:t>Autonomy and responsibility:</w:t>
      </w:r>
    </w:p>
    <w:p w:rsidR="00647B98" w:rsidRPr="00FD603C" w:rsidRDefault="00647B98" w:rsidP="00980876">
      <w:pPr>
        <w:pStyle w:val="Listaszerbekezds"/>
        <w:widowControl w:val="0"/>
        <w:numPr>
          <w:ilvl w:val="0"/>
          <w:numId w:val="378"/>
        </w:numPr>
        <w:spacing w:before="120" w:after="120" w:line="240" w:lineRule="auto"/>
        <w:ind w:hanging="219"/>
        <w:jc w:val="both"/>
        <w:rPr>
          <w:rFonts w:ascii="Times New Roman" w:eastAsia="Times New Roman" w:hAnsi="Times New Roman" w:cs="Times New Roman"/>
          <w:lang w:val="en-GB"/>
        </w:rPr>
      </w:pPr>
      <w:r w:rsidRPr="00F37D21">
        <w:t xml:space="preserve"> </w:t>
      </w:r>
      <w:r w:rsidRPr="00FD603C">
        <w:rPr>
          <w:rFonts w:ascii="Times New Roman" w:eastAsia="Times New Roman" w:hAnsi="Times New Roman" w:cs="Times New Roman"/>
          <w:lang w:val="en-GB"/>
        </w:rPr>
        <w:t>He / she is able to make decisions in sub-unit and unit-level military logistics and military management processes, with responsibility and within the legal framework</w:t>
      </w:r>
    </w:p>
    <w:p w:rsidR="00647B98" w:rsidRPr="00BC6E7B" w:rsidRDefault="00647B98" w:rsidP="00980876">
      <w:pPr>
        <w:widowControl w:val="0"/>
        <w:numPr>
          <w:ilvl w:val="0"/>
          <w:numId w:val="379"/>
        </w:numPr>
        <w:spacing w:before="120" w:after="120" w:line="240" w:lineRule="auto"/>
        <w:jc w:val="both"/>
        <w:rPr>
          <w:rFonts w:ascii="Times New Roman" w:eastAsia="Times New Roman" w:hAnsi="Times New Roman" w:cs="Times New Roman"/>
          <w:bCs/>
        </w:rPr>
      </w:pPr>
      <w:r w:rsidRPr="00BC6E7B">
        <w:rPr>
          <w:rFonts w:ascii="Times New Roman" w:eastAsia="Times New Roman" w:hAnsi="Times New Roman" w:cs="Times New Roman"/>
          <w:b/>
          <w:bCs/>
        </w:rPr>
        <w:t xml:space="preserve">Előtanulmányi követelmények: </w:t>
      </w:r>
      <w:r>
        <w:rPr>
          <w:rFonts w:ascii="Times New Roman" w:eastAsia="Times New Roman" w:hAnsi="Times New Roman" w:cs="Times New Roman"/>
          <w:bCs/>
        </w:rPr>
        <w:t>-</w:t>
      </w:r>
    </w:p>
    <w:p w:rsidR="00647B98" w:rsidRPr="00BC6E7B" w:rsidRDefault="00647B98" w:rsidP="00980876">
      <w:pPr>
        <w:widowControl w:val="0"/>
        <w:numPr>
          <w:ilvl w:val="0"/>
          <w:numId w:val="379"/>
        </w:numPr>
        <w:spacing w:before="120" w:after="120" w:line="240" w:lineRule="auto"/>
        <w:jc w:val="both"/>
        <w:rPr>
          <w:rFonts w:ascii="Times New Roman" w:eastAsia="Times New Roman" w:hAnsi="Times New Roman" w:cs="Times New Roman"/>
          <w:b/>
          <w:bCs/>
        </w:rPr>
      </w:pPr>
      <w:r w:rsidRPr="00BC6E7B">
        <w:rPr>
          <w:rFonts w:ascii="Times New Roman" w:eastAsia="Times New Roman" w:hAnsi="Times New Roman" w:cs="Times New Roman"/>
          <w:b/>
          <w:bCs/>
        </w:rPr>
        <w:t>A tantárgy tananyagának leírása, tematika. Description of the subject, curriculum (magyarul, angolul - English):</w:t>
      </w:r>
    </w:p>
    <w:p w:rsidR="00647B98" w:rsidRPr="001F6C89" w:rsidRDefault="00647B98" w:rsidP="00980876">
      <w:pPr>
        <w:widowControl w:val="0"/>
        <w:numPr>
          <w:ilvl w:val="1"/>
          <w:numId w:val="379"/>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1F6C89">
        <w:rPr>
          <w:rFonts w:ascii="Times New Roman" w:eastAsia="Times New Roman" w:hAnsi="Times New Roman" w:cs="Times New Roman"/>
          <w:kern w:val="2"/>
        </w:rPr>
        <w:t>A társadalombiztosítás hazai történetének áttekintése. (</w:t>
      </w:r>
      <w:r w:rsidRPr="001F6C89">
        <w:rPr>
          <w:rFonts w:ascii="Times New Roman" w:eastAsia="Times New Roman" w:hAnsi="Times New Roman" w:cs="Times New Roman"/>
          <w:i/>
          <w:kern w:val="2"/>
        </w:rPr>
        <w:t>Overview of the history of social security in Hungary</w:t>
      </w:r>
      <w:r w:rsidRPr="001F6C89">
        <w:rPr>
          <w:rFonts w:ascii="Times New Roman" w:eastAsia="Times New Roman" w:hAnsi="Times New Roman" w:cs="Times New Roman"/>
          <w:kern w:val="2"/>
        </w:rPr>
        <w:t>)</w:t>
      </w:r>
    </w:p>
    <w:p w:rsidR="00647B98" w:rsidRPr="001F6C89" w:rsidRDefault="00647B98" w:rsidP="00980876">
      <w:pPr>
        <w:widowControl w:val="0"/>
        <w:numPr>
          <w:ilvl w:val="1"/>
          <w:numId w:val="379"/>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1F6C89">
        <w:rPr>
          <w:rFonts w:ascii="Times New Roman" w:eastAsia="Times New Roman" w:hAnsi="Times New Roman" w:cs="Times New Roman"/>
          <w:kern w:val="2"/>
        </w:rPr>
        <w:t>A TB jogviszony alanyai, ellátások, biztosítottak. (</w:t>
      </w:r>
      <w:r w:rsidRPr="001F6C89">
        <w:rPr>
          <w:rFonts w:ascii="Times New Roman" w:eastAsia="Times New Roman" w:hAnsi="Times New Roman" w:cs="Times New Roman"/>
          <w:i/>
          <w:kern w:val="2"/>
        </w:rPr>
        <w:t>Subjects of Social Security, benefits</w:t>
      </w:r>
      <w:r w:rsidRPr="001F6C89">
        <w:rPr>
          <w:rFonts w:ascii="Times New Roman" w:eastAsia="Times New Roman" w:hAnsi="Times New Roman" w:cs="Times New Roman"/>
          <w:kern w:val="2"/>
        </w:rPr>
        <w:t>)</w:t>
      </w:r>
    </w:p>
    <w:p w:rsidR="00647B98" w:rsidRPr="001F6C89" w:rsidRDefault="00647B98" w:rsidP="00980876">
      <w:pPr>
        <w:widowControl w:val="0"/>
        <w:numPr>
          <w:ilvl w:val="1"/>
          <w:numId w:val="379"/>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1F6C89">
        <w:rPr>
          <w:rFonts w:ascii="Times New Roman" w:eastAsia="Times New Roman" w:hAnsi="Times New Roman" w:cs="Times New Roman"/>
          <w:kern w:val="2"/>
        </w:rPr>
        <w:t xml:space="preserve">A TB ellátások fedezete – a járulékfizetés rendje. </w:t>
      </w:r>
      <w:r w:rsidRPr="001F6C89">
        <w:rPr>
          <w:rFonts w:ascii="Times New Roman" w:eastAsia="Times New Roman" w:hAnsi="Times New Roman" w:cs="Times New Roman"/>
          <w:i/>
          <w:kern w:val="2"/>
        </w:rPr>
        <w:t>(Cover for Social Security benefits - Contribution rules)</w:t>
      </w:r>
    </w:p>
    <w:p w:rsidR="00647B98" w:rsidRPr="001F6C89" w:rsidRDefault="00647B98" w:rsidP="00980876">
      <w:pPr>
        <w:widowControl w:val="0"/>
        <w:numPr>
          <w:ilvl w:val="1"/>
          <w:numId w:val="379"/>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1F6C89">
        <w:rPr>
          <w:rFonts w:ascii="Times New Roman" w:eastAsia="Times New Roman" w:hAnsi="Times New Roman" w:cs="Times New Roman"/>
          <w:kern w:val="2"/>
        </w:rPr>
        <w:t xml:space="preserve">Egészségügyi hozzájárulás. Egészségbiztosítási ellátások az EU-ban és az EU-n kívül. </w:t>
      </w:r>
      <w:r w:rsidRPr="001F6C89">
        <w:rPr>
          <w:rFonts w:ascii="Times New Roman" w:eastAsia="Times New Roman" w:hAnsi="Times New Roman" w:cs="Times New Roman"/>
          <w:i/>
          <w:kern w:val="2"/>
        </w:rPr>
        <w:t>(Healthcare contribution. Health insurance benefits inside and outside the EU.)</w:t>
      </w:r>
    </w:p>
    <w:p w:rsidR="00647B98" w:rsidRPr="001F6C89" w:rsidRDefault="00647B98" w:rsidP="00980876">
      <w:pPr>
        <w:widowControl w:val="0"/>
        <w:numPr>
          <w:ilvl w:val="1"/>
          <w:numId w:val="379"/>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1F6C89">
        <w:rPr>
          <w:rFonts w:ascii="Times New Roman" w:eastAsia="Times New Roman" w:hAnsi="Times New Roman" w:cs="Times New Roman"/>
          <w:kern w:val="2"/>
        </w:rPr>
        <w:t xml:space="preserve">Táppénzszámítás szabályai. Gyermekápolási táppénz, baleseti táppénz. </w:t>
      </w:r>
      <w:r w:rsidRPr="001F6C89">
        <w:rPr>
          <w:rFonts w:ascii="Times New Roman" w:eastAsia="Times New Roman" w:hAnsi="Times New Roman" w:cs="Times New Roman"/>
          <w:i/>
          <w:kern w:val="2"/>
        </w:rPr>
        <w:t>(Rules for calculating certain Social Security benefits. Childcare allowance)</w:t>
      </w:r>
    </w:p>
    <w:p w:rsidR="00647B98" w:rsidRPr="001F6C89" w:rsidRDefault="00647B98" w:rsidP="00980876">
      <w:pPr>
        <w:widowControl w:val="0"/>
        <w:numPr>
          <w:ilvl w:val="1"/>
          <w:numId w:val="379"/>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1F6C89">
        <w:rPr>
          <w:rFonts w:ascii="Times New Roman" w:eastAsia="Times New Roman" w:hAnsi="Times New Roman" w:cs="Times New Roman"/>
          <w:kern w:val="2"/>
        </w:rPr>
        <w:t>Csecsemőgondozási díj. Gyermekgondozási díj</w:t>
      </w:r>
      <w:r w:rsidRPr="001F6C89">
        <w:rPr>
          <w:rFonts w:ascii="Times New Roman" w:eastAsia="Times New Roman" w:hAnsi="Times New Roman" w:cs="Times New Roman"/>
          <w:i/>
          <w:kern w:val="2"/>
        </w:rPr>
        <w:t>. (Baby care fee. Childcare fee.)</w:t>
      </w:r>
    </w:p>
    <w:p w:rsidR="00647B98" w:rsidRPr="001F6C89" w:rsidRDefault="00647B98" w:rsidP="00980876">
      <w:pPr>
        <w:widowControl w:val="0"/>
        <w:numPr>
          <w:ilvl w:val="1"/>
          <w:numId w:val="379"/>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1F6C89">
        <w:rPr>
          <w:rFonts w:ascii="Times New Roman" w:eastAsia="Times New Roman" w:hAnsi="Times New Roman" w:cs="Times New Roman"/>
          <w:kern w:val="2"/>
        </w:rPr>
        <w:t xml:space="preserve">A családtámogatás rendszere. </w:t>
      </w:r>
      <w:r w:rsidRPr="001F6C89">
        <w:rPr>
          <w:rFonts w:ascii="Times New Roman" w:eastAsia="Times New Roman" w:hAnsi="Times New Roman" w:cs="Times New Roman"/>
          <w:i/>
          <w:kern w:val="2"/>
        </w:rPr>
        <w:t>(Family support system.)</w:t>
      </w:r>
    </w:p>
    <w:p w:rsidR="00647B98" w:rsidRPr="001F6C89" w:rsidRDefault="00647B98" w:rsidP="00980876">
      <w:pPr>
        <w:widowControl w:val="0"/>
        <w:numPr>
          <w:ilvl w:val="1"/>
          <w:numId w:val="379"/>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1F6C89">
        <w:rPr>
          <w:rFonts w:ascii="Times New Roman" w:eastAsia="Times New Roman" w:hAnsi="Times New Roman" w:cs="Times New Roman"/>
          <w:kern w:val="2"/>
        </w:rPr>
        <w:t xml:space="preserve">A TB kifizetőhelyek illetékessége és feladatai. </w:t>
      </w:r>
      <w:r w:rsidRPr="001F6C89">
        <w:rPr>
          <w:rFonts w:ascii="Times New Roman" w:eastAsia="Times New Roman" w:hAnsi="Times New Roman" w:cs="Times New Roman"/>
          <w:i/>
          <w:kern w:val="2"/>
        </w:rPr>
        <w:t>(Competence and duties of Social Security paying agencies.)</w:t>
      </w:r>
    </w:p>
    <w:p w:rsidR="00647B98" w:rsidRPr="000B17E8" w:rsidRDefault="00647B98" w:rsidP="00980876">
      <w:pPr>
        <w:widowControl w:val="0"/>
        <w:numPr>
          <w:ilvl w:val="1"/>
          <w:numId w:val="379"/>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bCs/>
        </w:rPr>
      </w:pPr>
      <w:r w:rsidRPr="001F6C89">
        <w:rPr>
          <w:rFonts w:ascii="Times New Roman" w:eastAsia="Times New Roman" w:hAnsi="Times New Roman" w:cs="Times New Roman"/>
          <w:kern w:val="2"/>
        </w:rPr>
        <w:t xml:space="preserve">Nyugdíjbiztosítási ellátások. </w:t>
      </w:r>
      <w:r w:rsidRPr="001F6C89">
        <w:rPr>
          <w:rFonts w:ascii="Times New Roman" w:eastAsia="Times New Roman" w:hAnsi="Times New Roman" w:cs="Times New Roman"/>
          <w:i/>
          <w:kern w:val="2"/>
        </w:rPr>
        <w:t>(Pension insurance benefits.</w:t>
      </w:r>
      <w:r w:rsidRPr="001F6C89">
        <w:rPr>
          <w:rFonts w:ascii="Times New Roman" w:eastAsia="Times New Roman" w:hAnsi="Times New Roman" w:cs="Times New Roman"/>
          <w:bCs/>
          <w:i/>
          <w:lang w:val="en"/>
        </w:rPr>
        <w:t>)</w:t>
      </w:r>
    </w:p>
    <w:p w:rsidR="00647B98" w:rsidRPr="006331D3" w:rsidRDefault="00647B98" w:rsidP="00980876">
      <w:pPr>
        <w:pStyle w:val="Listaszerbekezds"/>
        <w:widowControl w:val="0"/>
        <w:numPr>
          <w:ilvl w:val="0"/>
          <w:numId w:val="379"/>
        </w:numPr>
        <w:tabs>
          <w:tab w:val="clear" w:pos="720"/>
          <w:tab w:val="left" w:pos="709"/>
          <w:tab w:val="left" w:pos="993"/>
        </w:tabs>
        <w:spacing w:before="120" w:after="120" w:line="240" w:lineRule="auto"/>
        <w:jc w:val="both"/>
        <w:rPr>
          <w:rFonts w:ascii="Times New Roman" w:eastAsia="Times New Roman" w:hAnsi="Times New Roman" w:cs="Times New Roman"/>
          <w:bCs/>
        </w:rPr>
      </w:pPr>
      <w:r w:rsidRPr="006331D3">
        <w:rPr>
          <w:rFonts w:ascii="Times New Roman" w:eastAsia="Times New Roman" w:hAnsi="Times New Roman" w:cs="Times New Roman"/>
          <w:b/>
          <w:bCs/>
        </w:rPr>
        <w:t xml:space="preserve">A tantárgy meghirdetésének gyakorisága/a tantervben történő félévi elhelyezkedése: </w:t>
      </w:r>
      <w:r w:rsidRPr="006331D3">
        <w:rPr>
          <w:rFonts w:ascii="Times New Roman" w:eastAsia="Times New Roman" w:hAnsi="Times New Roman" w:cs="Times New Roman"/>
          <w:bCs/>
        </w:rPr>
        <w:t xml:space="preserve">a tanév </w:t>
      </w:r>
      <w:r w:rsidR="00C75F36">
        <w:rPr>
          <w:rFonts w:ascii="Times New Roman" w:eastAsia="Times New Roman" w:hAnsi="Times New Roman" w:cs="Times New Roman"/>
          <w:bCs/>
          <w:highlight w:val="yellow"/>
        </w:rPr>
        <w:t>6</w:t>
      </w:r>
      <w:r w:rsidRPr="00C75F36">
        <w:rPr>
          <w:rFonts w:ascii="Times New Roman" w:eastAsia="Times New Roman" w:hAnsi="Times New Roman" w:cs="Times New Roman"/>
          <w:bCs/>
          <w:highlight w:val="yellow"/>
        </w:rPr>
        <w:t>. (</w:t>
      </w:r>
      <w:r w:rsidR="00C75F36" w:rsidRPr="00C75F36">
        <w:rPr>
          <w:rFonts w:ascii="Times New Roman" w:eastAsia="Times New Roman" w:hAnsi="Times New Roman" w:cs="Times New Roman"/>
          <w:bCs/>
          <w:highlight w:val="yellow"/>
        </w:rPr>
        <w:t>tavaszi</w:t>
      </w:r>
      <w:r w:rsidRPr="00C75F36">
        <w:rPr>
          <w:rFonts w:ascii="Times New Roman" w:eastAsia="Times New Roman" w:hAnsi="Times New Roman" w:cs="Times New Roman"/>
          <w:bCs/>
          <w:highlight w:val="yellow"/>
        </w:rPr>
        <w:t>) félévében.</w:t>
      </w:r>
    </w:p>
    <w:p w:rsidR="00647B98" w:rsidRDefault="00647B98" w:rsidP="00980876">
      <w:pPr>
        <w:widowControl w:val="0"/>
        <w:numPr>
          <w:ilvl w:val="0"/>
          <w:numId w:val="379"/>
        </w:numPr>
        <w:spacing w:before="120" w:after="120" w:line="240" w:lineRule="auto"/>
        <w:jc w:val="both"/>
        <w:rPr>
          <w:rFonts w:ascii="Times New Roman" w:eastAsia="Times New Roman" w:hAnsi="Times New Roman" w:cs="Times New Roman"/>
          <w:bCs/>
        </w:rPr>
      </w:pPr>
      <w:r w:rsidRPr="00BC6E7B">
        <w:rPr>
          <w:rFonts w:ascii="Times New Roman" w:eastAsia="Times New Roman" w:hAnsi="Times New Roman" w:cs="Times New Roman"/>
          <w:b/>
          <w:bCs/>
        </w:rPr>
        <w:t>A tanórákon való részvétel követelményei, az elfogadható hiányzások mértéke, a távolmaradás pótlásának lehetősége:</w:t>
      </w:r>
      <w:r>
        <w:rPr>
          <w:rFonts w:ascii="Times New Roman" w:eastAsia="Times New Roman" w:hAnsi="Times New Roman" w:cs="Times New Roman"/>
          <w:bCs/>
        </w:rPr>
        <w:t xml:space="preserve"> </w:t>
      </w:r>
      <w:r w:rsidRPr="00D0042F">
        <w:rPr>
          <w:rFonts w:ascii="Times New Roman" w:eastAsia="Times New Roman" w:hAnsi="Times New Roman" w:cs="Times New Roman"/>
          <w:bCs/>
        </w:rPr>
        <w:t xml:space="preserve">a tanórákon való jelenlét kötelező, az elfogadható és </w:t>
      </w:r>
      <w:r w:rsidRPr="00D0042F">
        <w:rPr>
          <w:rFonts w:ascii="Times New Roman" w:eastAsia="Times New Roman" w:hAnsi="Times New Roman" w:cs="Times New Roman"/>
          <w:bCs/>
        </w:rPr>
        <w:lastRenderedPageBreak/>
        <w:t>igazolt hiányzások száma maximum a tanórák 30%-áig terjedhet, az ismeretek pótlásáról a hallgató gondoskodik.</w:t>
      </w:r>
      <w:r>
        <w:rPr>
          <w:rFonts w:ascii="Times New Roman" w:eastAsia="Times New Roman" w:hAnsi="Times New Roman" w:cs="Times New Roman"/>
          <w:bCs/>
        </w:rPr>
        <w:t xml:space="preserve"> A hiányzások elfogadható mértékének túllépése az aláírás megtagadását vonja maga után.</w:t>
      </w:r>
    </w:p>
    <w:p w:rsidR="00647B98" w:rsidRPr="006331D3" w:rsidRDefault="00647B98" w:rsidP="00980876">
      <w:pPr>
        <w:widowControl w:val="0"/>
        <w:numPr>
          <w:ilvl w:val="0"/>
          <w:numId w:val="379"/>
        </w:numPr>
        <w:spacing w:before="120" w:after="120" w:line="240" w:lineRule="auto"/>
        <w:jc w:val="both"/>
        <w:rPr>
          <w:rFonts w:ascii="Times New Roman" w:eastAsia="Times New Roman" w:hAnsi="Times New Roman" w:cs="Times New Roman"/>
        </w:rPr>
      </w:pPr>
      <w:r w:rsidRPr="006331D3">
        <w:rPr>
          <w:rFonts w:ascii="Times New Roman" w:eastAsia="Times New Roman" w:hAnsi="Times New Roman" w:cs="Times New Roman"/>
          <w:b/>
        </w:rPr>
        <w:t>Félévközi feladatok, ismeretek ellenőrzésének rendje:</w:t>
      </w:r>
      <w:r w:rsidRPr="006331D3">
        <w:rPr>
          <w:rFonts w:ascii="Times New Roman" w:eastAsia="Times New Roman" w:hAnsi="Times New Roman" w:cs="Times New Roman"/>
        </w:rPr>
        <w:t xml:space="preserve"> A hallgató a félév egy zárthelyi dolgozatot ír. A zárthelyi dolgozatok értékelése ötfokozatú skála alapján történik (50 %-tól elégséges, 65 %-tól közepes, 75-tól % jó, 85 %-tól jeles). </w:t>
      </w:r>
    </w:p>
    <w:p w:rsidR="00647B98" w:rsidRPr="000D191A" w:rsidRDefault="00647B98" w:rsidP="00647B98">
      <w:pPr>
        <w:widowControl w:val="0"/>
        <w:spacing w:before="120" w:after="120" w:line="240" w:lineRule="auto"/>
        <w:ind w:left="720"/>
        <w:jc w:val="both"/>
        <w:rPr>
          <w:rFonts w:ascii="Times New Roman" w:eastAsia="Times New Roman" w:hAnsi="Times New Roman" w:cs="Times New Roman"/>
          <w:bCs/>
        </w:rPr>
      </w:pPr>
      <w:r>
        <w:rPr>
          <w:rFonts w:ascii="Times New Roman" w:eastAsia="Times New Roman" w:hAnsi="Times New Roman" w:cs="Times New Roman"/>
        </w:rPr>
        <w:t>A zárthelyi dolgozat egyszer pótolható, illetve sikertelensége esetén javítható.</w:t>
      </w:r>
    </w:p>
    <w:p w:rsidR="00647B98" w:rsidRDefault="00647B98" w:rsidP="00980876">
      <w:pPr>
        <w:widowControl w:val="0"/>
        <w:numPr>
          <w:ilvl w:val="0"/>
          <w:numId w:val="379"/>
        </w:numPr>
        <w:spacing w:before="120" w:after="120" w:line="240" w:lineRule="auto"/>
        <w:jc w:val="both"/>
        <w:rPr>
          <w:rFonts w:ascii="Times New Roman" w:eastAsia="Times New Roman" w:hAnsi="Times New Roman" w:cs="Times New Roman"/>
          <w:b/>
          <w:bCs/>
        </w:rPr>
      </w:pPr>
      <w:r w:rsidRPr="00BC6E7B">
        <w:rPr>
          <w:rFonts w:ascii="Times New Roman" w:eastAsia="Times New Roman" w:hAnsi="Times New Roman" w:cs="Times New Roman"/>
          <w:b/>
          <w:bCs/>
        </w:rPr>
        <w:t xml:space="preserve">Az </w:t>
      </w:r>
      <w:r w:rsidRPr="00647B98">
        <w:rPr>
          <w:rFonts w:ascii="Times New Roman" w:eastAsia="Times New Roman" w:hAnsi="Times New Roman" w:cs="Times New Roman"/>
          <w:b/>
        </w:rPr>
        <w:t>értékelés</w:t>
      </w:r>
      <w:r w:rsidRPr="00BC6E7B">
        <w:rPr>
          <w:rFonts w:ascii="Times New Roman" w:eastAsia="Times New Roman" w:hAnsi="Times New Roman" w:cs="Times New Roman"/>
          <w:b/>
          <w:bCs/>
        </w:rPr>
        <w:t xml:space="preserve">, az aláírás és a kreditek megszerzésének pontos feltételei: </w:t>
      </w:r>
    </w:p>
    <w:p w:rsidR="00647B98" w:rsidRPr="000D191A" w:rsidRDefault="00647B98" w:rsidP="00980876">
      <w:pPr>
        <w:widowControl w:val="0"/>
        <w:numPr>
          <w:ilvl w:val="1"/>
          <w:numId w:val="379"/>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0D191A">
        <w:rPr>
          <w:rFonts w:ascii="Times New Roman" w:eastAsia="Times New Roman" w:hAnsi="Times New Roman" w:cs="Times New Roman"/>
          <w:b/>
        </w:rPr>
        <w:t>Az aláírás megszerzésének feltételei:</w:t>
      </w:r>
      <w:r w:rsidRPr="000D191A">
        <w:rPr>
          <w:rFonts w:ascii="Times New Roman" w:eastAsia="Times New Roman" w:hAnsi="Times New Roman" w:cs="Times New Roman"/>
        </w:rPr>
        <w:t xml:space="preserve"> Az aláírás megszerzésének feltétele a 14. pontban meghatározott arányú részvétel a foglalkozásokon és a 15. pontban meghatározott félévközi feladatok legalább elégséges teljesítése</w:t>
      </w:r>
      <w:r>
        <w:rPr>
          <w:rFonts w:ascii="Times New Roman" w:eastAsia="Times New Roman" w:hAnsi="Times New Roman" w:cs="Times New Roman"/>
        </w:rPr>
        <w:t>.</w:t>
      </w:r>
    </w:p>
    <w:p w:rsidR="00647B98" w:rsidRDefault="00647B98" w:rsidP="00980876">
      <w:pPr>
        <w:widowControl w:val="0"/>
        <w:numPr>
          <w:ilvl w:val="1"/>
          <w:numId w:val="379"/>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BC6E7B">
        <w:rPr>
          <w:rFonts w:ascii="Times New Roman" w:eastAsia="Times New Roman" w:hAnsi="Times New Roman" w:cs="Times New Roman"/>
          <w:b/>
        </w:rPr>
        <w:t>Az értékelés:</w:t>
      </w:r>
      <w:r w:rsidRPr="00BC6E7B">
        <w:rPr>
          <w:rFonts w:ascii="Times New Roman" w:eastAsia="Times New Roman" w:hAnsi="Times New Roman" w:cs="Times New Roman"/>
        </w:rPr>
        <w:t xml:space="preserve"> </w:t>
      </w:r>
      <w:r>
        <w:rPr>
          <w:rFonts w:ascii="Times New Roman" w:eastAsia="Times New Roman" w:hAnsi="Times New Roman" w:cs="Times New Roman"/>
        </w:rPr>
        <w:t>Kollokvium– írásbeli vizsga. A Tanszék beszámoló felkészülési kérdéseket ad ki. A vizsga tartalmát az előadáson elhangzottak és az alább felsorolt kötelező és ajánlott irodalmak anyagai képezik. A vizsgadolgozat értékelése: 0-50% - elégtelen, 51-70% - elégséges, 71-80% - közepe, 81-90% - jó, 91-100% - jeles</w:t>
      </w:r>
    </w:p>
    <w:p w:rsidR="00647B98" w:rsidRDefault="00647B98" w:rsidP="00980876">
      <w:pPr>
        <w:widowControl w:val="0"/>
        <w:numPr>
          <w:ilvl w:val="1"/>
          <w:numId w:val="379"/>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BC6E7B">
        <w:rPr>
          <w:rFonts w:ascii="Times New Roman" w:eastAsia="Times New Roman" w:hAnsi="Times New Roman" w:cs="Times New Roman"/>
          <w:b/>
        </w:rPr>
        <w:t>A kreditek megszerzésének feltételei:</w:t>
      </w:r>
      <w:r w:rsidRPr="00BC6E7B">
        <w:rPr>
          <w:rFonts w:ascii="Times New Roman" w:eastAsia="Times New Roman" w:hAnsi="Times New Roman" w:cs="Times New Roman"/>
        </w:rPr>
        <w:t xml:space="preserve"> </w:t>
      </w:r>
    </w:p>
    <w:p w:rsidR="00647B98" w:rsidRPr="00BC6E7B" w:rsidRDefault="00647B98" w:rsidP="00647B98">
      <w:pPr>
        <w:widowControl w:val="0"/>
        <w:tabs>
          <w:tab w:val="left" w:pos="993"/>
        </w:tabs>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A kreditek megszerzésének feltétele az aláírás megszerzése és legalább elégséges kollokviumi jegy.</w:t>
      </w:r>
    </w:p>
    <w:p w:rsidR="00647B98" w:rsidRPr="0035461C" w:rsidRDefault="00647B98" w:rsidP="00980876">
      <w:pPr>
        <w:widowControl w:val="0"/>
        <w:numPr>
          <w:ilvl w:val="0"/>
          <w:numId w:val="379"/>
        </w:numPr>
        <w:spacing w:before="120" w:after="120" w:line="240" w:lineRule="auto"/>
        <w:jc w:val="both"/>
        <w:rPr>
          <w:rFonts w:ascii="Times New Roman" w:eastAsia="Times New Roman" w:hAnsi="Times New Roman" w:cs="Times New Roman"/>
          <w:bCs/>
        </w:rPr>
      </w:pPr>
      <w:r w:rsidRPr="00647B98">
        <w:rPr>
          <w:rFonts w:ascii="Times New Roman" w:eastAsia="Times New Roman" w:hAnsi="Times New Roman" w:cs="Times New Roman"/>
          <w:b/>
        </w:rPr>
        <w:t>Irodalomjegyzék</w:t>
      </w:r>
      <w:r w:rsidRPr="00BC6E7B">
        <w:rPr>
          <w:rFonts w:ascii="Times New Roman" w:eastAsia="Times New Roman" w:hAnsi="Times New Roman" w:cs="Times New Roman"/>
          <w:b/>
          <w:bCs/>
        </w:rPr>
        <w:t>:</w:t>
      </w:r>
    </w:p>
    <w:p w:rsidR="00647B98" w:rsidRPr="0035461C" w:rsidRDefault="00647B98" w:rsidP="00980876">
      <w:pPr>
        <w:widowControl w:val="0"/>
        <w:numPr>
          <w:ilvl w:val="1"/>
          <w:numId w:val="379"/>
        </w:numPr>
        <w:tabs>
          <w:tab w:val="clear" w:pos="3977"/>
          <w:tab w:val="num" w:pos="567"/>
          <w:tab w:val="num" w:pos="999"/>
          <w:tab w:val="num" w:pos="2069"/>
        </w:tabs>
        <w:spacing w:before="120" w:after="120" w:line="240" w:lineRule="auto"/>
        <w:ind w:left="993" w:hanging="709"/>
        <w:jc w:val="both"/>
        <w:rPr>
          <w:rFonts w:ascii="Times New Roman" w:eastAsia="Times New Roman" w:hAnsi="Times New Roman" w:cs="Times New Roman"/>
          <w:b/>
          <w:bCs/>
        </w:rPr>
      </w:pPr>
      <w:r w:rsidRPr="0035461C">
        <w:rPr>
          <w:rFonts w:ascii="Times New Roman" w:eastAsia="Times New Roman" w:hAnsi="Times New Roman" w:cs="Times New Roman"/>
          <w:b/>
          <w:bCs/>
        </w:rPr>
        <w:t>Kötelező irodalom:</w:t>
      </w:r>
    </w:p>
    <w:p w:rsidR="00647B98" w:rsidRPr="00887B39" w:rsidRDefault="00647B98" w:rsidP="00980876">
      <w:pPr>
        <w:widowControl w:val="0"/>
        <w:numPr>
          <w:ilvl w:val="2"/>
          <w:numId w:val="380"/>
        </w:numPr>
        <w:spacing w:before="120" w:after="120" w:line="240" w:lineRule="auto"/>
        <w:jc w:val="both"/>
        <w:rPr>
          <w:rFonts w:ascii="Times New Roman" w:eastAsia="Times New Roman" w:hAnsi="Times New Roman" w:cs="Times New Roman"/>
        </w:rPr>
      </w:pPr>
      <w:r w:rsidRPr="000B17E8">
        <w:rPr>
          <w:rFonts w:ascii="Times New Roman" w:eastAsia="Times New Roman" w:hAnsi="Times New Roman" w:cs="Times New Roman"/>
        </w:rPr>
        <w:t>Farkasné Gondos Krisztina, Dr. Futó Gábor</w:t>
      </w:r>
      <w:r>
        <w:rPr>
          <w:rFonts w:ascii="Times New Roman" w:eastAsia="Times New Roman" w:hAnsi="Times New Roman" w:cs="Times New Roman"/>
        </w:rPr>
        <w:t xml:space="preserve">: Társadalombiztosítás 2019, Saldo 2019, ISBN: </w:t>
      </w:r>
      <w:r w:rsidRPr="000B17E8">
        <w:rPr>
          <w:rFonts w:ascii="Times New Roman" w:eastAsia="Times New Roman" w:hAnsi="Times New Roman" w:cs="Times New Roman"/>
        </w:rPr>
        <w:t>9786155085673</w:t>
      </w:r>
    </w:p>
    <w:p w:rsidR="00647B98" w:rsidRDefault="00647B98" w:rsidP="00980876">
      <w:pPr>
        <w:widowControl w:val="0"/>
        <w:numPr>
          <w:ilvl w:val="1"/>
          <w:numId w:val="379"/>
        </w:numPr>
        <w:tabs>
          <w:tab w:val="clear" w:pos="3977"/>
          <w:tab w:val="num" w:pos="567"/>
          <w:tab w:val="num" w:pos="999"/>
          <w:tab w:val="num" w:pos="2069"/>
        </w:tabs>
        <w:spacing w:before="120" w:after="120" w:line="240" w:lineRule="auto"/>
        <w:ind w:left="993" w:hanging="709"/>
        <w:jc w:val="both"/>
        <w:rPr>
          <w:rFonts w:ascii="Times New Roman" w:eastAsia="Times New Roman" w:hAnsi="Times New Roman" w:cs="Times New Roman"/>
          <w:b/>
          <w:bCs/>
        </w:rPr>
      </w:pPr>
      <w:r w:rsidRPr="00BC6E7B">
        <w:rPr>
          <w:rFonts w:ascii="Times New Roman" w:eastAsia="Times New Roman" w:hAnsi="Times New Roman" w:cs="Times New Roman"/>
          <w:b/>
          <w:bCs/>
        </w:rPr>
        <w:t>Ajánlott irodalom:</w:t>
      </w:r>
      <w:r w:rsidR="0001479E">
        <w:rPr>
          <w:rFonts w:ascii="Times New Roman" w:eastAsia="Times New Roman" w:hAnsi="Times New Roman" w:cs="Times New Roman"/>
          <w:b/>
          <w:bCs/>
        </w:rPr>
        <w:t xml:space="preserve"> -</w:t>
      </w:r>
    </w:p>
    <w:p w:rsidR="00300393" w:rsidRPr="00887B39" w:rsidRDefault="00300393" w:rsidP="00980876">
      <w:pPr>
        <w:widowControl w:val="0"/>
        <w:numPr>
          <w:ilvl w:val="2"/>
          <w:numId w:val="794"/>
        </w:numPr>
        <w:spacing w:before="120" w:after="120" w:line="240" w:lineRule="auto"/>
        <w:jc w:val="both"/>
        <w:rPr>
          <w:rFonts w:ascii="Times New Roman" w:eastAsia="Times New Roman" w:hAnsi="Times New Roman" w:cs="Times New Roman"/>
          <w:b/>
          <w:bCs/>
        </w:rPr>
      </w:pPr>
      <w:r w:rsidRPr="00887B39">
        <w:rPr>
          <w:rFonts w:ascii="Times New Roman" w:eastAsia="Times New Roman" w:hAnsi="Times New Roman" w:cs="Times New Roman"/>
        </w:rPr>
        <w:t>Heti Világgazdaság éves társadalombiztosítási különszáma</w:t>
      </w:r>
    </w:p>
    <w:p w:rsidR="00647B98" w:rsidRDefault="00647B98" w:rsidP="00647B98">
      <w:pPr>
        <w:widowControl w:val="0"/>
        <w:tabs>
          <w:tab w:val="num" w:pos="2069"/>
        </w:tabs>
        <w:spacing w:before="120" w:after="120" w:line="240" w:lineRule="auto"/>
        <w:ind w:left="999"/>
        <w:jc w:val="both"/>
        <w:rPr>
          <w:rFonts w:ascii="Times New Roman" w:eastAsia="Times New Roman" w:hAnsi="Times New Roman" w:cs="Times New Roman"/>
          <w:b/>
          <w:bCs/>
        </w:rPr>
      </w:pPr>
    </w:p>
    <w:p w:rsidR="00647B98" w:rsidRPr="00BC6E7B" w:rsidRDefault="00647B98" w:rsidP="00647B98">
      <w:pPr>
        <w:widowControl w:val="0"/>
        <w:spacing w:before="120" w:after="120" w:line="240" w:lineRule="auto"/>
        <w:jc w:val="both"/>
        <w:rPr>
          <w:rFonts w:ascii="Times New Roman" w:eastAsia="Times New Roman" w:hAnsi="Times New Roman" w:cs="Times New Roman"/>
          <w:bCs/>
        </w:rPr>
      </w:pPr>
      <w:r w:rsidRPr="0035461C">
        <w:rPr>
          <w:rFonts w:ascii="Times New Roman" w:eastAsia="Times New Roman" w:hAnsi="Times New Roman" w:cs="Times New Roman"/>
          <w:bCs/>
        </w:rPr>
        <w:t>Budapest, 20</w:t>
      </w:r>
      <w:r>
        <w:rPr>
          <w:rFonts w:ascii="Times New Roman" w:eastAsia="Times New Roman" w:hAnsi="Times New Roman" w:cs="Times New Roman"/>
          <w:bCs/>
        </w:rPr>
        <w:t>20</w:t>
      </w:r>
      <w:r w:rsidRPr="0035461C">
        <w:rPr>
          <w:rFonts w:ascii="Times New Roman" w:eastAsia="Times New Roman" w:hAnsi="Times New Roman" w:cs="Times New Roman"/>
          <w:bCs/>
        </w:rPr>
        <w:t>.</w:t>
      </w:r>
      <w:r>
        <w:rPr>
          <w:rFonts w:ascii="Times New Roman" w:eastAsia="Times New Roman" w:hAnsi="Times New Roman" w:cs="Times New Roman"/>
          <w:bCs/>
        </w:rPr>
        <w:t>02</w:t>
      </w:r>
      <w:r w:rsidRPr="0035461C">
        <w:rPr>
          <w:rFonts w:ascii="Times New Roman" w:eastAsia="Times New Roman" w:hAnsi="Times New Roman" w:cs="Times New Roman"/>
          <w:bCs/>
        </w:rPr>
        <w:t>.2</w:t>
      </w:r>
      <w:r>
        <w:rPr>
          <w:rFonts w:ascii="Times New Roman" w:eastAsia="Times New Roman" w:hAnsi="Times New Roman" w:cs="Times New Roman"/>
          <w:bCs/>
        </w:rPr>
        <w:t>0.</w:t>
      </w:r>
    </w:p>
    <w:p w:rsidR="00647B98" w:rsidRPr="00BC6E7B" w:rsidRDefault="00647B98" w:rsidP="00647B98">
      <w:pPr>
        <w:widowControl w:val="0"/>
        <w:spacing w:before="120" w:after="120" w:line="240" w:lineRule="auto"/>
        <w:jc w:val="both"/>
        <w:rPr>
          <w:rFonts w:ascii="Times New Roman" w:eastAsia="Times New Roman" w:hAnsi="Times New Roman" w:cs="Times New Roman"/>
          <w:bCs/>
        </w:rPr>
      </w:pPr>
    </w:p>
    <w:p w:rsidR="00647B98" w:rsidRPr="0001479E" w:rsidRDefault="00647B98" w:rsidP="0001479E">
      <w:pPr>
        <w:widowControl w:val="0"/>
        <w:spacing w:after="0" w:line="240" w:lineRule="auto"/>
        <w:ind w:left="5664" w:firstLine="290"/>
        <w:jc w:val="center"/>
        <w:rPr>
          <w:rFonts w:ascii="Times New Roman" w:eastAsia="Times New Roman" w:hAnsi="Times New Roman" w:cs="Times New Roman"/>
          <w:b/>
          <w:bCs/>
        </w:rPr>
      </w:pPr>
      <w:r w:rsidRPr="0001479E">
        <w:rPr>
          <w:rFonts w:ascii="Times New Roman" w:eastAsia="Times New Roman" w:hAnsi="Times New Roman" w:cs="Times New Roman"/>
          <w:b/>
          <w:bCs/>
        </w:rPr>
        <w:t>Dr. Hutkai Zsuzsanna (PhD)</w:t>
      </w:r>
    </w:p>
    <w:p w:rsidR="00647B98" w:rsidRDefault="00647B98" w:rsidP="00647B98">
      <w:pPr>
        <w:widowControl w:val="0"/>
        <w:spacing w:after="0" w:line="240" w:lineRule="auto"/>
        <w:ind w:left="5664" w:firstLine="708"/>
        <w:jc w:val="center"/>
        <w:rPr>
          <w:rFonts w:ascii="Times New Roman" w:eastAsia="Times New Roman" w:hAnsi="Times New Roman" w:cs="Times New Roman"/>
          <w:bCs/>
        </w:rPr>
      </w:pPr>
      <w:r>
        <w:rPr>
          <w:rFonts w:ascii="Times New Roman" w:eastAsia="Times New Roman" w:hAnsi="Times New Roman" w:cs="Times New Roman"/>
          <w:bCs/>
        </w:rPr>
        <w:t>adjunktus sk.</w:t>
      </w:r>
    </w:p>
    <w:p w:rsidR="00C8331B" w:rsidRDefault="00C8331B">
      <w:pPr>
        <w:spacing w:after="200" w:line="276" w:lineRule="auto"/>
        <w:rPr>
          <w:rFonts w:ascii="Times New Roman" w:hAnsi="Times New Roman" w:cs="Times New Roman"/>
          <w:b/>
          <w:color w:val="FF0000"/>
          <w:sz w:val="24"/>
        </w:rPr>
      </w:pPr>
      <w:r>
        <w:rPr>
          <w:rFonts w:ascii="Times New Roman" w:hAnsi="Times New Roman" w:cs="Times New Roman"/>
          <w:b/>
          <w:color w:val="FF0000"/>
          <w:sz w:val="24"/>
        </w:rPr>
        <w:br w:type="page"/>
      </w:r>
    </w:p>
    <w:tbl>
      <w:tblPr>
        <w:tblW w:w="9072" w:type="dxa"/>
        <w:tblInd w:w="113" w:type="dxa"/>
        <w:tblLook w:val="01E0" w:firstRow="1" w:lastRow="1" w:firstColumn="1" w:lastColumn="1" w:noHBand="0" w:noVBand="0"/>
      </w:tblPr>
      <w:tblGrid>
        <w:gridCol w:w="4855"/>
        <w:gridCol w:w="1620"/>
        <w:gridCol w:w="2597"/>
      </w:tblGrid>
      <w:tr w:rsidR="00C8331B" w:rsidRPr="00BC6E7B" w:rsidTr="00ED3CE1">
        <w:tc>
          <w:tcPr>
            <w:tcW w:w="4855" w:type="dxa"/>
            <w:tcBorders>
              <w:bottom w:val="single" w:sz="4" w:space="0" w:color="auto"/>
            </w:tcBorders>
          </w:tcPr>
          <w:p w:rsidR="00C8331B" w:rsidRPr="00BC6E7B" w:rsidRDefault="00C8331B" w:rsidP="00ED3CE1">
            <w:pPr>
              <w:spacing w:after="0" w:line="240" w:lineRule="auto"/>
              <w:jc w:val="center"/>
              <w:rPr>
                <w:rFonts w:ascii="Times New Roman" w:eastAsia="Times New Roman" w:hAnsi="Times New Roman" w:cs="Times New Roman"/>
                <w:b/>
                <w:smallCaps/>
                <w:lang w:eastAsia="hu-HU"/>
              </w:rPr>
            </w:pPr>
            <w:r w:rsidRPr="00BC6E7B">
              <w:rPr>
                <w:rFonts w:ascii="Times New Roman" w:eastAsia="Times New Roman" w:hAnsi="Times New Roman" w:cs="Times New Roman"/>
                <w:b/>
                <w:smallCaps/>
                <w:lang w:eastAsia="hu-HU"/>
              </w:rPr>
              <w:lastRenderedPageBreak/>
              <w:t>Nemzeti Közszolgálati Egyetem</w:t>
            </w:r>
          </w:p>
        </w:tc>
        <w:tc>
          <w:tcPr>
            <w:tcW w:w="1620" w:type="dxa"/>
          </w:tcPr>
          <w:p w:rsidR="00C8331B" w:rsidRPr="00BC6E7B" w:rsidRDefault="00C8331B" w:rsidP="00ED3CE1">
            <w:pPr>
              <w:spacing w:after="0" w:line="240" w:lineRule="auto"/>
              <w:jc w:val="both"/>
              <w:rPr>
                <w:rFonts w:ascii="Times New Roman" w:eastAsia="Times New Roman" w:hAnsi="Times New Roman" w:cs="Times New Roman"/>
                <w:lang w:eastAsia="hu-HU"/>
              </w:rPr>
            </w:pPr>
          </w:p>
        </w:tc>
        <w:tc>
          <w:tcPr>
            <w:tcW w:w="2597" w:type="dxa"/>
          </w:tcPr>
          <w:p w:rsidR="00C8331B" w:rsidRPr="00BC6E7B" w:rsidRDefault="00C8331B" w:rsidP="00ED3CE1">
            <w:pPr>
              <w:spacing w:after="0" w:line="240" w:lineRule="auto"/>
              <w:jc w:val="right"/>
              <w:rPr>
                <w:rFonts w:ascii="Times New Roman" w:eastAsia="Times New Roman" w:hAnsi="Times New Roman" w:cs="Times New Roman"/>
                <w:lang w:eastAsia="hu-HU"/>
              </w:rPr>
            </w:pPr>
          </w:p>
        </w:tc>
      </w:tr>
      <w:tr w:rsidR="00C8331B" w:rsidTr="00ED3CE1">
        <w:tc>
          <w:tcPr>
            <w:tcW w:w="4855" w:type="dxa"/>
            <w:tcBorders>
              <w:top w:val="single" w:sz="4" w:space="0" w:color="auto"/>
              <w:left w:val="nil"/>
              <w:bottom w:val="nil"/>
              <w:right w:val="nil"/>
            </w:tcBorders>
            <w:hideMark/>
          </w:tcPr>
          <w:p w:rsidR="00C8331B" w:rsidRPr="00F644B4" w:rsidRDefault="00C8331B" w:rsidP="00ED3CE1">
            <w:pPr>
              <w:pStyle w:val="Szvegtrzs"/>
              <w:jc w:val="center"/>
              <w:rPr>
                <w:b/>
              </w:rPr>
            </w:pPr>
            <w:r>
              <w:rPr>
                <w:b/>
              </w:rPr>
              <w:t>Hadtudományi és Honvédtisztképző</w:t>
            </w:r>
            <w:r w:rsidRPr="00F644B4">
              <w:rPr>
                <w:b/>
              </w:rPr>
              <w:t xml:space="preserve"> Kar</w:t>
            </w:r>
          </w:p>
        </w:tc>
        <w:tc>
          <w:tcPr>
            <w:tcW w:w="1620" w:type="dxa"/>
          </w:tcPr>
          <w:p w:rsidR="00C8331B" w:rsidRDefault="00C8331B" w:rsidP="00ED3CE1">
            <w:pPr>
              <w:pStyle w:val="Szvegtrzs"/>
            </w:pPr>
          </w:p>
        </w:tc>
        <w:tc>
          <w:tcPr>
            <w:tcW w:w="2597" w:type="dxa"/>
          </w:tcPr>
          <w:p w:rsidR="00C8331B" w:rsidRDefault="00C8331B" w:rsidP="00ED3CE1">
            <w:pPr>
              <w:pStyle w:val="Szvegtrzs"/>
            </w:pPr>
          </w:p>
        </w:tc>
      </w:tr>
    </w:tbl>
    <w:p w:rsidR="00C8331B" w:rsidRDefault="00C8331B" w:rsidP="00C8331B">
      <w:pPr>
        <w:widowControl w:val="0"/>
        <w:spacing w:before="120" w:after="120" w:line="240" w:lineRule="auto"/>
        <w:ind w:left="426" w:hanging="142"/>
        <w:jc w:val="center"/>
        <w:rPr>
          <w:rFonts w:ascii="Times New Roman" w:eastAsia="Times New Roman" w:hAnsi="Times New Roman" w:cs="Times New Roman"/>
          <w:b/>
          <w:bCs/>
        </w:rPr>
      </w:pPr>
    </w:p>
    <w:p w:rsidR="00C8331B" w:rsidRPr="00BC6E7B" w:rsidRDefault="00C8331B" w:rsidP="00C8331B">
      <w:pPr>
        <w:widowControl w:val="0"/>
        <w:spacing w:before="120" w:after="120" w:line="240" w:lineRule="auto"/>
        <w:ind w:left="426" w:hanging="142"/>
        <w:jc w:val="center"/>
        <w:rPr>
          <w:rFonts w:ascii="Times New Roman" w:eastAsia="Times New Roman" w:hAnsi="Times New Roman" w:cs="Times New Roman"/>
          <w:b/>
          <w:bCs/>
        </w:rPr>
      </w:pPr>
      <w:r w:rsidRPr="00BC6E7B">
        <w:rPr>
          <w:rFonts w:ascii="Times New Roman" w:eastAsia="Times New Roman" w:hAnsi="Times New Roman" w:cs="Times New Roman"/>
          <w:b/>
          <w:bCs/>
        </w:rPr>
        <w:t>TANTÁRGYI PROGRAM</w:t>
      </w:r>
    </w:p>
    <w:p w:rsidR="00C8331B" w:rsidRPr="00BC6E7B" w:rsidRDefault="00C8331B" w:rsidP="00980876">
      <w:pPr>
        <w:widowControl w:val="0"/>
        <w:numPr>
          <w:ilvl w:val="0"/>
          <w:numId w:val="383"/>
        </w:numPr>
        <w:tabs>
          <w:tab w:val="clear" w:pos="720"/>
          <w:tab w:val="num" w:pos="643"/>
        </w:tabs>
        <w:spacing w:before="120" w:after="120" w:line="240" w:lineRule="auto"/>
        <w:ind w:left="643"/>
        <w:jc w:val="both"/>
        <w:rPr>
          <w:rFonts w:ascii="Times New Roman" w:eastAsia="Times New Roman" w:hAnsi="Times New Roman" w:cs="Times New Roman"/>
          <w:bCs/>
        </w:rPr>
      </w:pPr>
      <w:r w:rsidRPr="00BC6E7B">
        <w:rPr>
          <w:rFonts w:ascii="Times New Roman" w:eastAsia="Times New Roman" w:hAnsi="Times New Roman" w:cs="Times New Roman"/>
          <w:b/>
          <w:bCs/>
        </w:rPr>
        <w:t>A tantárgy kódja:</w:t>
      </w:r>
      <w:r>
        <w:rPr>
          <w:rFonts w:ascii="Times New Roman" w:eastAsia="Times New Roman" w:hAnsi="Times New Roman" w:cs="Times New Roman"/>
          <w:b/>
          <w:bCs/>
        </w:rPr>
        <w:t xml:space="preserve"> </w:t>
      </w:r>
      <w:r w:rsidRPr="006E31BF">
        <w:rPr>
          <w:rFonts w:ascii="Times New Roman" w:eastAsia="Times New Roman" w:hAnsi="Times New Roman" w:cs="Times New Roman"/>
          <w:bCs/>
        </w:rPr>
        <w:t>HKHPKA504</w:t>
      </w:r>
    </w:p>
    <w:p w:rsidR="00C8331B" w:rsidRPr="00A6100B" w:rsidRDefault="00C8331B" w:rsidP="00980876">
      <w:pPr>
        <w:widowControl w:val="0"/>
        <w:numPr>
          <w:ilvl w:val="0"/>
          <w:numId w:val="383"/>
        </w:numPr>
        <w:tabs>
          <w:tab w:val="clear" w:pos="720"/>
          <w:tab w:val="num" w:pos="643"/>
        </w:tabs>
        <w:spacing w:before="120" w:after="120" w:line="240" w:lineRule="auto"/>
        <w:ind w:left="643"/>
        <w:jc w:val="both"/>
        <w:rPr>
          <w:rFonts w:ascii="Times New Roman" w:eastAsia="Times New Roman" w:hAnsi="Times New Roman" w:cs="Times New Roman"/>
          <w:b/>
          <w:bCs/>
          <w:lang w:val="en-GB"/>
        </w:rPr>
      </w:pPr>
      <w:r w:rsidRPr="00A6100B">
        <w:rPr>
          <w:rFonts w:ascii="Times New Roman" w:eastAsia="Times New Roman" w:hAnsi="Times New Roman" w:cs="Times New Roman"/>
          <w:b/>
          <w:bCs/>
        </w:rPr>
        <w:t>A tantárgy megnevezése (magyarul):</w:t>
      </w:r>
      <w:r w:rsidRPr="00A6100B">
        <w:rPr>
          <w:bCs/>
        </w:rPr>
        <w:t xml:space="preserve"> </w:t>
      </w:r>
      <w:r w:rsidRPr="00945117">
        <w:rPr>
          <w:rFonts w:ascii="Times New Roman" w:eastAsia="Times New Roman" w:hAnsi="Times New Roman" w:cs="Times New Roman"/>
          <w:bCs/>
        </w:rPr>
        <w:t>Államháztartási és katonai pénzügyi ismeretek II.</w:t>
      </w:r>
    </w:p>
    <w:p w:rsidR="00C8331B" w:rsidRPr="00A6100B" w:rsidRDefault="00C8331B" w:rsidP="00980876">
      <w:pPr>
        <w:widowControl w:val="0"/>
        <w:numPr>
          <w:ilvl w:val="0"/>
          <w:numId w:val="383"/>
        </w:numPr>
        <w:tabs>
          <w:tab w:val="clear" w:pos="720"/>
          <w:tab w:val="num" w:pos="643"/>
        </w:tabs>
        <w:spacing w:before="120" w:after="120" w:line="240" w:lineRule="auto"/>
        <w:ind w:left="643"/>
        <w:jc w:val="both"/>
        <w:rPr>
          <w:rFonts w:ascii="Times New Roman" w:eastAsia="Times New Roman" w:hAnsi="Times New Roman" w:cs="Times New Roman"/>
          <w:b/>
          <w:bCs/>
          <w:lang w:val="en-GB"/>
        </w:rPr>
      </w:pPr>
      <w:r w:rsidRPr="00A6100B">
        <w:rPr>
          <w:rFonts w:ascii="Times New Roman" w:eastAsia="Times New Roman" w:hAnsi="Times New Roman" w:cs="Times New Roman"/>
          <w:b/>
          <w:bCs/>
        </w:rPr>
        <w:t>A tantárgy megnevezése (angolul):</w:t>
      </w:r>
      <w:r w:rsidRPr="00A6100B">
        <w:rPr>
          <w:bCs/>
        </w:rPr>
        <w:t xml:space="preserve"> </w:t>
      </w:r>
      <w:r w:rsidRPr="00945117">
        <w:rPr>
          <w:rFonts w:ascii="Times New Roman" w:eastAsia="Times New Roman" w:hAnsi="Times New Roman" w:cs="Times New Roman"/>
          <w:bCs/>
        </w:rPr>
        <w:t>Public Finances and Military Budgeting II.</w:t>
      </w:r>
    </w:p>
    <w:p w:rsidR="00C8331B" w:rsidRDefault="00C8331B" w:rsidP="00980876">
      <w:pPr>
        <w:widowControl w:val="0"/>
        <w:numPr>
          <w:ilvl w:val="0"/>
          <w:numId w:val="383"/>
        </w:numPr>
        <w:tabs>
          <w:tab w:val="clear" w:pos="720"/>
          <w:tab w:val="num" w:pos="567"/>
          <w:tab w:val="num" w:pos="643"/>
        </w:tabs>
        <w:spacing w:before="120" w:after="120" w:line="240" w:lineRule="auto"/>
        <w:ind w:left="426" w:hanging="142"/>
        <w:jc w:val="both"/>
        <w:rPr>
          <w:rFonts w:ascii="Times New Roman" w:eastAsia="Times New Roman" w:hAnsi="Times New Roman" w:cs="Times New Roman"/>
          <w:b/>
          <w:bCs/>
        </w:rPr>
      </w:pPr>
      <w:r w:rsidRPr="00BC6E7B">
        <w:rPr>
          <w:rFonts w:ascii="Times New Roman" w:eastAsia="Times New Roman" w:hAnsi="Times New Roman" w:cs="Times New Roman"/>
          <w:b/>
          <w:bCs/>
        </w:rPr>
        <w:t>Kreditérték</w:t>
      </w:r>
      <w:r>
        <w:rPr>
          <w:rFonts w:ascii="Times New Roman" w:eastAsia="Times New Roman" w:hAnsi="Times New Roman" w:cs="Times New Roman"/>
          <w:b/>
          <w:bCs/>
        </w:rPr>
        <w:t xml:space="preserve"> és képzési karakter</w:t>
      </w:r>
      <w:r w:rsidRPr="00BC6E7B">
        <w:rPr>
          <w:rFonts w:ascii="Times New Roman" w:eastAsia="Times New Roman" w:hAnsi="Times New Roman" w:cs="Times New Roman"/>
          <w:b/>
          <w:bCs/>
        </w:rPr>
        <w:t xml:space="preserve">: </w:t>
      </w:r>
    </w:p>
    <w:p w:rsidR="00C8331B" w:rsidRPr="00740A68" w:rsidRDefault="00C8331B" w:rsidP="00980876">
      <w:pPr>
        <w:pStyle w:val="Listaszerbekezds"/>
        <w:widowControl w:val="0"/>
        <w:numPr>
          <w:ilvl w:val="1"/>
          <w:numId w:val="383"/>
        </w:numPr>
        <w:tabs>
          <w:tab w:val="clear" w:pos="3977"/>
          <w:tab w:val="num" w:pos="999"/>
        </w:tabs>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4</w:t>
      </w:r>
      <w:r w:rsidRPr="00740A68">
        <w:rPr>
          <w:rFonts w:ascii="Times New Roman" w:eastAsia="Times New Roman" w:hAnsi="Times New Roman" w:cs="Times New Roman"/>
          <w:bCs/>
        </w:rPr>
        <w:t xml:space="preserve"> kredit</w:t>
      </w:r>
    </w:p>
    <w:p w:rsidR="00C8331B" w:rsidRPr="00740A68" w:rsidRDefault="00C8331B" w:rsidP="00980876">
      <w:pPr>
        <w:pStyle w:val="Listaszerbekezds"/>
        <w:widowControl w:val="0"/>
        <w:numPr>
          <w:ilvl w:val="1"/>
          <w:numId w:val="383"/>
        </w:numPr>
        <w:tabs>
          <w:tab w:val="clear" w:pos="3977"/>
          <w:tab w:val="num" w:pos="999"/>
        </w:tabs>
        <w:spacing w:before="120" w:after="120" w:line="240" w:lineRule="auto"/>
        <w:ind w:left="993" w:hanging="426"/>
        <w:jc w:val="both"/>
        <w:rPr>
          <w:rFonts w:ascii="Times New Roman" w:eastAsia="Times New Roman" w:hAnsi="Times New Roman" w:cs="Times New Roman"/>
          <w:b/>
          <w:bCs/>
        </w:rPr>
      </w:pPr>
      <w:r w:rsidRPr="00F37D21">
        <w:rPr>
          <w:rFonts w:ascii="Times New Roman" w:eastAsia="Times New Roman" w:hAnsi="Times New Roman" w:cs="Times New Roman"/>
          <w:bCs/>
        </w:rPr>
        <w:t>a tantárgy elméleti vagy gyakorlati jellegének mértéke</w:t>
      </w:r>
      <w:r w:rsidRPr="00740A68">
        <w:rPr>
          <w:rFonts w:ascii="Times New Roman" w:eastAsia="Times New Roman" w:hAnsi="Times New Roman" w:cs="Times New Roman"/>
          <w:bCs/>
        </w:rPr>
        <w:t xml:space="preserve">: </w:t>
      </w:r>
      <w:r>
        <w:rPr>
          <w:rFonts w:ascii="Times New Roman" w:eastAsia="Times New Roman" w:hAnsi="Times New Roman" w:cs="Times New Roman"/>
          <w:bCs/>
        </w:rPr>
        <w:t>50</w:t>
      </w:r>
      <w:r w:rsidRPr="00740A68">
        <w:rPr>
          <w:rFonts w:ascii="Times New Roman" w:eastAsia="Times New Roman" w:hAnsi="Times New Roman" w:cs="Times New Roman"/>
          <w:b/>
          <w:bCs/>
        </w:rPr>
        <w:t xml:space="preserve"> </w:t>
      </w:r>
      <w:r>
        <w:rPr>
          <w:rFonts w:ascii="Times New Roman" w:eastAsia="Times New Roman" w:hAnsi="Times New Roman" w:cs="Times New Roman"/>
          <w:bCs/>
        </w:rPr>
        <w:t>% gyakorlat, 50 % elmélet</w:t>
      </w:r>
    </w:p>
    <w:p w:rsidR="00C8331B" w:rsidRDefault="00C8331B" w:rsidP="00980876">
      <w:pPr>
        <w:widowControl w:val="0"/>
        <w:numPr>
          <w:ilvl w:val="0"/>
          <w:numId w:val="383"/>
        </w:numPr>
        <w:tabs>
          <w:tab w:val="clear" w:pos="720"/>
          <w:tab w:val="num" w:pos="643"/>
        </w:tabs>
        <w:spacing w:before="120" w:after="120" w:line="240" w:lineRule="auto"/>
        <w:ind w:left="643"/>
        <w:jc w:val="both"/>
        <w:rPr>
          <w:rFonts w:ascii="Times New Roman" w:eastAsia="Times New Roman" w:hAnsi="Times New Roman" w:cs="Times New Roman"/>
          <w:bCs/>
        </w:rPr>
      </w:pPr>
      <w:r w:rsidRPr="00BC6E7B">
        <w:rPr>
          <w:rFonts w:ascii="Times New Roman" w:eastAsia="Times New Roman" w:hAnsi="Times New Roman" w:cs="Times New Roman"/>
          <w:b/>
          <w:bCs/>
        </w:rPr>
        <w:t>A szak(ok</w:t>
      </w:r>
      <w:r w:rsidRPr="00C027CF">
        <w:rPr>
          <w:rFonts w:ascii="Times New Roman" w:eastAsia="Times New Roman" w:hAnsi="Times New Roman" w:cs="Times New Roman"/>
          <w:b/>
          <w:bCs/>
        </w:rPr>
        <w:t>), szakirányok/specializációk</w:t>
      </w:r>
      <w:r w:rsidRPr="00BC6E7B">
        <w:rPr>
          <w:rFonts w:ascii="Times New Roman" w:eastAsia="Times New Roman" w:hAnsi="Times New Roman" w:cs="Times New Roman"/>
          <w:b/>
          <w:bCs/>
        </w:rPr>
        <w:t xml:space="preserve"> megnevezése (ahol oktatják):</w:t>
      </w:r>
      <w:r w:rsidRPr="00BC6E7B">
        <w:rPr>
          <w:rFonts w:ascii="Times New Roman" w:eastAsia="Times New Roman" w:hAnsi="Times New Roman" w:cs="Times New Roman"/>
          <w:bCs/>
        </w:rPr>
        <w:t xml:space="preserve"> </w:t>
      </w:r>
      <w:r w:rsidRPr="00B50509">
        <w:rPr>
          <w:rFonts w:ascii="Times New Roman" w:eastAsia="Times New Roman" w:hAnsi="Times New Roman" w:cs="Times New Roman"/>
          <w:bCs/>
        </w:rPr>
        <w:t xml:space="preserve">Katonai logisztika alapképzési szak, </w:t>
      </w:r>
      <w:r>
        <w:rPr>
          <w:rFonts w:ascii="Times New Roman" w:eastAsia="Times New Roman" w:hAnsi="Times New Roman" w:cs="Times New Roman"/>
          <w:bCs/>
        </w:rPr>
        <w:t>Katonai pénzügyi specializáció</w:t>
      </w:r>
    </w:p>
    <w:p w:rsidR="00C8331B" w:rsidRDefault="00C8331B" w:rsidP="00980876">
      <w:pPr>
        <w:widowControl w:val="0"/>
        <w:numPr>
          <w:ilvl w:val="0"/>
          <w:numId w:val="383"/>
        </w:numPr>
        <w:tabs>
          <w:tab w:val="clear" w:pos="720"/>
          <w:tab w:val="num" w:pos="643"/>
        </w:tabs>
        <w:spacing w:before="120" w:after="120" w:line="240" w:lineRule="auto"/>
        <w:ind w:left="643"/>
        <w:jc w:val="both"/>
        <w:rPr>
          <w:rFonts w:ascii="Times New Roman" w:eastAsia="Times New Roman" w:hAnsi="Times New Roman" w:cs="Times New Roman"/>
          <w:bCs/>
        </w:rPr>
      </w:pPr>
      <w:r w:rsidRPr="006E31BF">
        <w:rPr>
          <w:rFonts w:ascii="Times New Roman" w:eastAsia="Times New Roman" w:hAnsi="Times New Roman" w:cs="Times New Roman"/>
          <w:b/>
          <w:bCs/>
        </w:rPr>
        <w:t>Az oktatásért felelős oktatási szervezeti egység megnevezése:</w:t>
      </w:r>
      <w:r w:rsidRPr="006E31BF">
        <w:rPr>
          <w:bCs/>
        </w:rPr>
        <w:t xml:space="preserve"> </w:t>
      </w:r>
      <w:r w:rsidRPr="006E31BF">
        <w:rPr>
          <w:rFonts w:ascii="Times New Roman" w:eastAsia="Times New Roman" w:hAnsi="Times New Roman" w:cs="Times New Roman"/>
          <w:bCs/>
        </w:rPr>
        <w:t xml:space="preserve">NKE Hadtudományi és Honvédtisztképző Kar, Hadtáp, Pénzügyi és Katonai Közlekedési Tanszék </w:t>
      </w:r>
    </w:p>
    <w:p w:rsidR="00C8331B" w:rsidRDefault="00C8331B" w:rsidP="00980876">
      <w:pPr>
        <w:widowControl w:val="0"/>
        <w:numPr>
          <w:ilvl w:val="0"/>
          <w:numId w:val="383"/>
        </w:numPr>
        <w:tabs>
          <w:tab w:val="clear" w:pos="720"/>
          <w:tab w:val="num" w:pos="643"/>
        </w:tabs>
        <w:spacing w:before="120" w:after="120" w:line="240" w:lineRule="auto"/>
        <w:ind w:left="643"/>
        <w:jc w:val="both"/>
        <w:rPr>
          <w:rFonts w:ascii="Times New Roman" w:eastAsia="Times New Roman" w:hAnsi="Times New Roman" w:cs="Times New Roman"/>
          <w:bCs/>
        </w:rPr>
      </w:pPr>
      <w:r w:rsidRPr="006E31BF">
        <w:rPr>
          <w:rFonts w:ascii="Times New Roman" w:eastAsia="Times New Roman" w:hAnsi="Times New Roman" w:cs="Times New Roman"/>
          <w:b/>
          <w:bCs/>
        </w:rPr>
        <w:t>A tantárgyfelelős oktató neve, beosztása, tudományos fokozata:</w:t>
      </w:r>
      <w:r w:rsidRPr="006E31BF">
        <w:rPr>
          <w:rFonts w:ascii="Times New Roman" w:eastAsia="Times New Roman" w:hAnsi="Times New Roman" w:cs="Times New Roman"/>
          <w:bCs/>
        </w:rPr>
        <w:t xml:space="preserve"> </w:t>
      </w:r>
      <w:r w:rsidRPr="002A393D">
        <w:rPr>
          <w:rFonts w:ascii="Times New Roman" w:eastAsia="Times New Roman" w:hAnsi="Times New Roman" w:cs="Times New Roman"/>
          <w:bCs/>
        </w:rPr>
        <w:t>Dr. Taksás Balázs</w:t>
      </w:r>
      <w:r>
        <w:rPr>
          <w:rFonts w:ascii="Times New Roman" w:eastAsia="Times New Roman" w:hAnsi="Times New Roman" w:cs="Times New Roman"/>
          <w:bCs/>
        </w:rPr>
        <w:t xml:space="preserve"> (PhD)</w:t>
      </w:r>
      <w:r w:rsidRPr="002A393D">
        <w:rPr>
          <w:rFonts w:ascii="Times New Roman" w:eastAsia="Times New Roman" w:hAnsi="Times New Roman" w:cs="Times New Roman"/>
          <w:bCs/>
        </w:rPr>
        <w:t>,</w:t>
      </w:r>
      <w:r>
        <w:rPr>
          <w:rFonts w:ascii="Times New Roman" w:eastAsia="Times New Roman" w:hAnsi="Times New Roman" w:cs="Times New Roman"/>
          <w:bCs/>
        </w:rPr>
        <w:t xml:space="preserve"> egyetemi docens</w:t>
      </w:r>
    </w:p>
    <w:p w:rsidR="00C8331B" w:rsidRPr="006E31BF" w:rsidRDefault="00C8331B" w:rsidP="00980876">
      <w:pPr>
        <w:widowControl w:val="0"/>
        <w:numPr>
          <w:ilvl w:val="0"/>
          <w:numId w:val="383"/>
        </w:numPr>
        <w:tabs>
          <w:tab w:val="clear" w:pos="720"/>
          <w:tab w:val="num" w:pos="643"/>
        </w:tabs>
        <w:spacing w:before="120" w:after="120" w:line="240" w:lineRule="auto"/>
        <w:ind w:left="643"/>
        <w:jc w:val="both"/>
        <w:rPr>
          <w:rFonts w:ascii="Times New Roman" w:eastAsia="Times New Roman" w:hAnsi="Times New Roman" w:cs="Times New Roman"/>
          <w:bCs/>
        </w:rPr>
      </w:pPr>
      <w:r w:rsidRPr="006E31BF">
        <w:rPr>
          <w:rFonts w:ascii="Times New Roman" w:eastAsia="Times New Roman" w:hAnsi="Times New Roman" w:cs="Times New Roman"/>
          <w:b/>
          <w:bCs/>
        </w:rPr>
        <w:t>A tanórák száma és típusa</w:t>
      </w:r>
    </w:p>
    <w:p w:rsidR="00C8331B" w:rsidRDefault="00C8331B" w:rsidP="00980876">
      <w:pPr>
        <w:widowControl w:val="0"/>
        <w:numPr>
          <w:ilvl w:val="1"/>
          <w:numId w:val="383"/>
        </w:numPr>
        <w:tabs>
          <w:tab w:val="clear" w:pos="3977"/>
          <w:tab w:val="num" w:pos="709"/>
          <w:tab w:val="num" w:pos="999"/>
          <w:tab w:val="num" w:pos="2069"/>
        </w:tabs>
        <w:spacing w:before="120" w:after="120" w:line="240" w:lineRule="auto"/>
        <w:ind w:left="851" w:hanging="425"/>
        <w:jc w:val="both"/>
        <w:rPr>
          <w:rFonts w:ascii="Times New Roman" w:eastAsia="Times New Roman" w:hAnsi="Times New Roman" w:cs="Times New Roman"/>
          <w:bCs/>
        </w:rPr>
      </w:pPr>
      <w:r w:rsidRPr="00BC6E7B">
        <w:rPr>
          <w:rFonts w:ascii="Times New Roman" w:eastAsia="Times New Roman" w:hAnsi="Times New Roman" w:cs="Times New Roman"/>
          <w:bCs/>
        </w:rPr>
        <w:t>össz óraszám/félév:</w:t>
      </w:r>
    </w:p>
    <w:p w:rsidR="00C8331B" w:rsidRDefault="00C8331B" w:rsidP="00980876">
      <w:pPr>
        <w:widowControl w:val="0"/>
        <w:numPr>
          <w:ilvl w:val="2"/>
          <w:numId w:val="381"/>
        </w:numPr>
        <w:tabs>
          <w:tab w:val="num" w:pos="1134"/>
          <w:tab w:val="num" w:pos="1581"/>
        </w:tabs>
        <w:spacing w:before="120" w:after="120" w:line="240" w:lineRule="auto"/>
        <w:ind w:left="709" w:firstLine="0"/>
        <w:jc w:val="both"/>
        <w:rPr>
          <w:rFonts w:ascii="Times New Roman" w:eastAsia="Times New Roman" w:hAnsi="Times New Roman" w:cs="Times New Roman"/>
          <w:bCs/>
        </w:rPr>
      </w:pPr>
      <w:r w:rsidRPr="00872E9A">
        <w:rPr>
          <w:rFonts w:ascii="Times New Roman" w:eastAsia="Times New Roman" w:hAnsi="Times New Roman" w:cs="Times New Roman"/>
          <w:bCs/>
        </w:rPr>
        <w:t>nappali munkarend: 56 (28 EA + 0 SZ + 28 GY)</w:t>
      </w:r>
    </w:p>
    <w:p w:rsidR="00C8331B" w:rsidRPr="00872E9A" w:rsidRDefault="00C8331B" w:rsidP="00980876">
      <w:pPr>
        <w:widowControl w:val="0"/>
        <w:numPr>
          <w:ilvl w:val="2"/>
          <w:numId w:val="381"/>
        </w:numPr>
        <w:tabs>
          <w:tab w:val="num" w:pos="1134"/>
          <w:tab w:val="num" w:pos="1581"/>
        </w:tabs>
        <w:spacing w:before="120" w:after="120" w:line="240" w:lineRule="auto"/>
        <w:ind w:left="709" w:firstLine="0"/>
        <w:jc w:val="both"/>
        <w:rPr>
          <w:rFonts w:ascii="Times New Roman" w:eastAsia="Times New Roman" w:hAnsi="Times New Roman" w:cs="Times New Roman"/>
          <w:bCs/>
        </w:rPr>
      </w:pPr>
      <w:r w:rsidRPr="00872E9A">
        <w:rPr>
          <w:rFonts w:ascii="Times New Roman" w:eastAsia="Times New Roman" w:hAnsi="Times New Roman" w:cs="Times New Roman"/>
          <w:bCs/>
        </w:rPr>
        <w:t>levelező munkarend: - (- EA + - SZ + - GY)</w:t>
      </w:r>
    </w:p>
    <w:p w:rsidR="00C8331B" w:rsidRDefault="00C8331B" w:rsidP="00980876">
      <w:pPr>
        <w:widowControl w:val="0"/>
        <w:numPr>
          <w:ilvl w:val="1"/>
          <w:numId w:val="383"/>
        </w:numPr>
        <w:tabs>
          <w:tab w:val="clear" w:pos="3977"/>
          <w:tab w:val="num" w:pos="709"/>
          <w:tab w:val="num" w:pos="999"/>
          <w:tab w:val="num" w:pos="2069"/>
        </w:tabs>
        <w:spacing w:before="120" w:after="120" w:line="240" w:lineRule="auto"/>
        <w:ind w:left="851" w:hanging="425"/>
        <w:jc w:val="both"/>
        <w:rPr>
          <w:rFonts w:ascii="Times New Roman" w:eastAsia="Times New Roman" w:hAnsi="Times New Roman" w:cs="Times New Roman"/>
          <w:bCs/>
        </w:rPr>
      </w:pPr>
      <w:r w:rsidRPr="00BC6E7B">
        <w:rPr>
          <w:rFonts w:ascii="Times New Roman" w:eastAsia="Times New Roman" w:hAnsi="Times New Roman" w:cs="Times New Roman"/>
          <w:bCs/>
        </w:rPr>
        <w:t xml:space="preserve">heti óraszám - nappali munkarend: </w:t>
      </w:r>
      <w:r>
        <w:rPr>
          <w:rFonts w:ascii="Times New Roman" w:eastAsia="Times New Roman" w:hAnsi="Times New Roman" w:cs="Times New Roman"/>
          <w:bCs/>
        </w:rPr>
        <w:t>4</w:t>
      </w:r>
    </w:p>
    <w:p w:rsidR="00C8331B" w:rsidRDefault="00C8331B" w:rsidP="00980876">
      <w:pPr>
        <w:widowControl w:val="0"/>
        <w:numPr>
          <w:ilvl w:val="1"/>
          <w:numId w:val="383"/>
        </w:numPr>
        <w:tabs>
          <w:tab w:val="clear" w:pos="3977"/>
          <w:tab w:val="num" w:pos="709"/>
          <w:tab w:val="num" w:pos="999"/>
          <w:tab w:val="num" w:pos="2069"/>
        </w:tabs>
        <w:spacing w:before="120" w:after="120" w:line="240" w:lineRule="auto"/>
        <w:ind w:left="851" w:hanging="425"/>
        <w:jc w:val="both"/>
        <w:rPr>
          <w:rFonts w:ascii="Times New Roman" w:eastAsia="Times New Roman" w:hAnsi="Times New Roman" w:cs="Times New Roman"/>
          <w:bCs/>
        </w:rPr>
      </w:pPr>
      <w:r w:rsidRPr="00A16045">
        <w:rPr>
          <w:rFonts w:ascii="Times New Roman" w:hAnsi="Times New Roman" w:cs="Times New Roman"/>
        </w:rPr>
        <w:t>Az ismeret átadásában alkalmazandó további sajátos módok, jellemzők</w:t>
      </w:r>
      <w:r>
        <w:rPr>
          <w:rFonts w:ascii="Times New Roman" w:hAnsi="Times New Roman" w:cs="Times New Roman"/>
        </w:rPr>
        <w:t xml:space="preserve">: - </w:t>
      </w:r>
    </w:p>
    <w:p w:rsidR="00C8331B" w:rsidRPr="00BC6E7B" w:rsidRDefault="00C8331B" w:rsidP="00980876">
      <w:pPr>
        <w:widowControl w:val="0"/>
        <w:numPr>
          <w:ilvl w:val="0"/>
          <w:numId w:val="383"/>
        </w:numPr>
        <w:tabs>
          <w:tab w:val="clear" w:pos="720"/>
          <w:tab w:val="num" w:pos="643"/>
        </w:tabs>
        <w:spacing w:before="120" w:after="120" w:line="240" w:lineRule="auto"/>
        <w:ind w:left="643"/>
        <w:jc w:val="both"/>
        <w:rPr>
          <w:rFonts w:ascii="Times New Roman" w:eastAsia="Times New Roman" w:hAnsi="Times New Roman" w:cs="Times New Roman"/>
          <w:bCs/>
        </w:rPr>
      </w:pPr>
      <w:r w:rsidRPr="00BC6E7B">
        <w:rPr>
          <w:rFonts w:ascii="Times New Roman" w:eastAsia="Times New Roman" w:hAnsi="Times New Roman" w:cs="Times New Roman"/>
          <w:b/>
          <w:bCs/>
        </w:rPr>
        <w:t>A tantárgy szakmai tartalma (magyarul):</w:t>
      </w:r>
      <w:r w:rsidRPr="00A6100B">
        <w:rPr>
          <w:bCs/>
        </w:rPr>
        <w:t xml:space="preserve"> </w:t>
      </w:r>
      <w:r w:rsidRPr="00945117">
        <w:rPr>
          <w:rFonts w:ascii="Times New Roman" w:eastAsia="Times New Roman" w:hAnsi="Times New Roman" w:cs="Times New Roman"/>
          <w:bCs/>
        </w:rPr>
        <w:t>A HM tárca költségvetési gazdálkodásának elvei, sajátosságai, fejlődése. Az MH gazdálkodásának felépítése, tagozódása: a központi és intézményi költségvetési gazdálkodás. Az anyagi-pénzügyi tervezés alapjai, a fejezet költségvetésének összeállítása. Költségvetési szervek zárszámadása, a beszámoltatás folyamata. A katonai szervezetek költségvetési gazdálkodása, annak vertikális és horizontális folyamatai, gyakorlata.</w:t>
      </w:r>
    </w:p>
    <w:p w:rsidR="00C8331B" w:rsidRPr="00BC6E7B" w:rsidRDefault="00C8331B" w:rsidP="00C8331B">
      <w:pPr>
        <w:widowControl w:val="0"/>
        <w:spacing w:before="120" w:after="120" w:line="240" w:lineRule="auto"/>
        <w:ind w:left="643"/>
        <w:jc w:val="both"/>
        <w:rPr>
          <w:rFonts w:ascii="Times New Roman" w:eastAsia="Times New Roman" w:hAnsi="Times New Roman" w:cs="Times New Roman"/>
          <w:bCs/>
          <w:lang w:val="en-GB"/>
        </w:rPr>
      </w:pPr>
      <w:r w:rsidRPr="00BC6E7B">
        <w:rPr>
          <w:rFonts w:ascii="Times New Roman" w:eastAsia="Times New Roman" w:hAnsi="Times New Roman" w:cs="Times New Roman"/>
          <w:b/>
          <w:bCs/>
        </w:rPr>
        <w:t>A tantárgy szakmai tartalma (angolul) (</w:t>
      </w:r>
      <w:r w:rsidRPr="00BC6E7B">
        <w:rPr>
          <w:rFonts w:ascii="Times New Roman" w:eastAsia="Times New Roman" w:hAnsi="Times New Roman" w:cs="Times New Roman"/>
          <w:b/>
          <w:bCs/>
          <w:lang w:val="en-US"/>
        </w:rPr>
        <w:t>Course description</w:t>
      </w:r>
      <w:r w:rsidRPr="00BC6E7B">
        <w:rPr>
          <w:rFonts w:ascii="Times New Roman" w:eastAsia="Times New Roman" w:hAnsi="Times New Roman" w:cs="Times New Roman"/>
          <w:b/>
          <w:bCs/>
        </w:rPr>
        <w:t xml:space="preserve">): </w:t>
      </w:r>
      <w:r w:rsidRPr="00945117">
        <w:rPr>
          <w:rFonts w:ascii="Times New Roman" w:eastAsia="Times New Roman" w:hAnsi="Times New Roman" w:cs="Times New Roman"/>
          <w:bCs/>
        </w:rPr>
        <w:t>The principles, specialties and progress of the economic management of the MoD. The structure and articulation of the financial management of the HDF: the central and institutional budget management. The basics of fundamentals and financial planning for compiling the budget. The finalization of accounts of budgetary bodies and the progress of reporting process. The budgetary management of military organizations with its vertical, horizontal processes and practices.</w:t>
      </w:r>
    </w:p>
    <w:p w:rsidR="00C8331B" w:rsidRPr="00740A68" w:rsidRDefault="00C8331B" w:rsidP="00980876">
      <w:pPr>
        <w:pStyle w:val="Listaszerbekezds"/>
        <w:widowControl w:val="0"/>
        <w:numPr>
          <w:ilvl w:val="0"/>
          <w:numId w:val="383"/>
        </w:numPr>
        <w:tabs>
          <w:tab w:val="clear" w:pos="720"/>
          <w:tab w:val="num" w:pos="643"/>
        </w:tabs>
        <w:spacing w:before="120" w:after="120" w:line="240" w:lineRule="auto"/>
        <w:ind w:left="643"/>
        <w:jc w:val="both"/>
        <w:rPr>
          <w:rFonts w:ascii="Times New Roman" w:eastAsia="Times New Roman" w:hAnsi="Times New Roman" w:cs="Times New Roman"/>
          <w:bCs/>
        </w:rPr>
      </w:pPr>
      <w:r w:rsidRPr="00740A68">
        <w:rPr>
          <w:rFonts w:ascii="Times New Roman" w:eastAsia="Times New Roman" w:hAnsi="Times New Roman" w:cs="Times New Roman"/>
          <w:b/>
          <w:bCs/>
        </w:rPr>
        <w:t xml:space="preserve">Elérendő kompetenciák (magyarul): </w:t>
      </w:r>
    </w:p>
    <w:p w:rsidR="00C8331B" w:rsidRDefault="00C8331B" w:rsidP="00C8331B">
      <w:pPr>
        <w:widowControl w:val="0"/>
        <w:spacing w:before="120" w:after="120" w:line="240" w:lineRule="auto"/>
        <w:ind w:left="426"/>
        <w:jc w:val="both"/>
        <w:rPr>
          <w:rFonts w:ascii="Times New Roman" w:eastAsia="Times New Roman" w:hAnsi="Times New Roman" w:cs="Times New Roman"/>
          <w:bCs/>
        </w:rPr>
      </w:pPr>
      <w:r w:rsidRPr="00BC6E7B">
        <w:rPr>
          <w:rFonts w:ascii="Times New Roman" w:eastAsia="Times New Roman" w:hAnsi="Times New Roman" w:cs="Times New Roman"/>
          <w:b/>
          <w:bCs/>
        </w:rPr>
        <w:t>Tudása:</w:t>
      </w:r>
      <w:r>
        <w:rPr>
          <w:rFonts w:ascii="Times New Roman" w:eastAsia="Times New Roman" w:hAnsi="Times New Roman" w:cs="Times New Roman"/>
          <w:bCs/>
        </w:rPr>
        <w:t xml:space="preserve"> </w:t>
      </w:r>
    </w:p>
    <w:p w:rsidR="00C8331B" w:rsidRPr="00872E9A" w:rsidRDefault="00C8331B" w:rsidP="00980876">
      <w:pPr>
        <w:pStyle w:val="Listaszerbekezds"/>
        <w:widowControl w:val="0"/>
        <w:numPr>
          <w:ilvl w:val="0"/>
          <w:numId w:val="382"/>
        </w:numPr>
        <w:spacing w:before="120" w:after="120" w:line="240" w:lineRule="auto"/>
        <w:ind w:hanging="219"/>
        <w:jc w:val="both"/>
        <w:rPr>
          <w:rFonts w:ascii="Times New Roman" w:eastAsia="Times New Roman" w:hAnsi="Times New Roman" w:cs="Times New Roman"/>
          <w:bCs/>
        </w:rPr>
      </w:pPr>
      <w:r w:rsidRPr="00872E9A">
        <w:rPr>
          <w:rFonts w:ascii="Times New Roman" w:eastAsia="Times New Roman" w:hAnsi="Times New Roman" w:cs="Times New Roman"/>
          <w:bCs/>
        </w:rPr>
        <w:t>Ismeri a Honvédelmi Minisztérium és a Magyar Honvédség pénzügyi szakterületének működését, felépítését.</w:t>
      </w:r>
    </w:p>
    <w:p w:rsidR="00C8331B" w:rsidRDefault="00C8331B" w:rsidP="00C8331B">
      <w:pPr>
        <w:widowControl w:val="0"/>
        <w:spacing w:before="120" w:after="120" w:line="240" w:lineRule="auto"/>
        <w:ind w:left="426"/>
        <w:jc w:val="both"/>
        <w:rPr>
          <w:rFonts w:ascii="Times New Roman" w:eastAsia="Times New Roman" w:hAnsi="Times New Roman" w:cs="Times New Roman"/>
          <w:bCs/>
        </w:rPr>
      </w:pPr>
      <w:r w:rsidRPr="00BC6E7B">
        <w:rPr>
          <w:rFonts w:ascii="Times New Roman" w:eastAsia="Times New Roman" w:hAnsi="Times New Roman" w:cs="Times New Roman"/>
          <w:b/>
          <w:bCs/>
        </w:rPr>
        <w:t>Képességei:</w:t>
      </w:r>
      <w:r>
        <w:rPr>
          <w:rFonts w:ascii="Times New Roman" w:eastAsia="Times New Roman" w:hAnsi="Times New Roman" w:cs="Times New Roman"/>
          <w:bCs/>
        </w:rPr>
        <w:t xml:space="preserve"> </w:t>
      </w:r>
    </w:p>
    <w:p w:rsidR="00C8331B" w:rsidRPr="00872E9A" w:rsidRDefault="00C8331B" w:rsidP="00980876">
      <w:pPr>
        <w:pStyle w:val="Listaszerbekezds"/>
        <w:widowControl w:val="0"/>
        <w:numPr>
          <w:ilvl w:val="0"/>
          <w:numId w:val="382"/>
        </w:numPr>
        <w:spacing w:before="120" w:after="120" w:line="240" w:lineRule="auto"/>
        <w:ind w:hanging="219"/>
        <w:jc w:val="both"/>
        <w:rPr>
          <w:rFonts w:ascii="Times New Roman" w:eastAsia="Times New Roman" w:hAnsi="Times New Roman" w:cs="Times New Roman"/>
          <w:bCs/>
        </w:rPr>
      </w:pPr>
      <w:r w:rsidRPr="00872E9A">
        <w:rPr>
          <w:rFonts w:ascii="Times New Roman" w:eastAsia="Times New Roman" w:hAnsi="Times New Roman" w:cs="Times New Roman"/>
          <w:bCs/>
        </w:rPr>
        <w:t>Más szakterületekkel együttműködve részt vesz a gazdálkodó szervezetek költségvetésének tervezésében, a gazdálkodás végrehajtásával és a beszámolással kapcsolatos feladatokban..</w:t>
      </w:r>
    </w:p>
    <w:p w:rsidR="00C8331B" w:rsidRDefault="00C8331B" w:rsidP="00C8331B">
      <w:pPr>
        <w:widowControl w:val="0"/>
        <w:spacing w:before="120" w:after="120" w:line="240" w:lineRule="auto"/>
        <w:ind w:left="426"/>
        <w:jc w:val="both"/>
        <w:rPr>
          <w:rFonts w:ascii="Times New Roman" w:eastAsia="Times New Roman" w:hAnsi="Times New Roman" w:cs="Times New Roman"/>
          <w:bCs/>
        </w:rPr>
      </w:pPr>
      <w:r w:rsidRPr="00BC6E7B">
        <w:rPr>
          <w:rFonts w:ascii="Times New Roman" w:eastAsia="Times New Roman" w:hAnsi="Times New Roman" w:cs="Times New Roman"/>
          <w:b/>
          <w:bCs/>
        </w:rPr>
        <w:t>Attitűdje:</w:t>
      </w:r>
      <w:r w:rsidRPr="00BC6E7B">
        <w:rPr>
          <w:rFonts w:ascii="Times New Roman" w:eastAsia="Times New Roman" w:hAnsi="Times New Roman" w:cs="Times New Roman"/>
          <w:bCs/>
        </w:rPr>
        <w:t xml:space="preserve"> </w:t>
      </w:r>
    </w:p>
    <w:p w:rsidR="00C8331B" w:rsidRPr="00872E9A" w:rsidRDefault="00C8331B" w:rsidP="00980876">
      <w:pPr>
        <w:pStyle w:val="Listaszerbekezds"/>
        <w:widowControl w:val="0"/>
        <w:numPr>
          <w:ilvl w:val="0"/>
          <w:numId w:val="382"/>
        </w:numPr>
        <w:spacing w:before="120" w:after="120" w:line="240" w:lineRule="auto"/>
        <w:ind w:hanging="219"/>
        <w:jc w:val="both"/>
        <w:rPr>
          <w:rFonts w:ascii="Times New Roman" w:eastAsia="Times New Roman" w:hAnsi="Times New Roman" w:cs="Times New Roman"/>
          <w:bCs/>
        </w:rPr>
      </w:pPr>
      <w:r w:rsidRPr="00872E9A">
        <w:rPr>
          <w:rFonts w:ascii="Times New Roman" w:eastAsia="Times New Roman" w:hAnsi="Times New Roman" w:cs="Times New Roman"/>
          <w:bCs/>
        </w:rPr>
        <w:t xml:space="preserve">Különös figyelmet fordít a pénzügyi területnél elvárt jogszerű, szabálykövető, pontos </w:t>
      </w:r>
      <w:r w:rsidRPr="00872E9A">
        <w:rPr>
          <w:rFonts w:ascii="Times New Roman" w:eastAsia="Times New Roman" w:hAnsi="Times New Roman" w:cs="Times New Roman"/>
          <w:bCs/>
        </w:rPr>
        <w:lastRenderedPageBreak/>
        <w:t>munkavégzésre.</w:t>
      </w:r>
    </w:p>
    <w:p w:rsidR="00C8331B" w:rsidRDefault="00C8331B" w:rsidP="00C8331B">
      <w:pPr>
        <w:widowControl w:val="0"/>
        <w:spacing w:before="120" w:after="120" w:line="240" w:lineRule="auto"/>
        <w:ind w:left="426"/>
        <w:jc w:val="both"/>
        <w:rPr>
          <w:rFonts w:ascii="Times New Roman" w:eastAsia="Times New Roman" w:hAnsi="Times New Roman" w:cs="Times New Roman"/>
          <w:bCs/>
        </w:rPr>
      </w:pPr>
      <w:r w:rsidRPr="00BC6E7B">
        <w:rPr>
          <w:rFonts w:ascii="Times New Roman" w:eastAsia="Times New Roman" w:hAnsi="Times New Roman" w:cs="Times New Roman"/>
          <w:b/>
          <w:bCs/>
        </w:rPr>
        <w:t>Autonómiája és felelőssége:</w:t>
      </w:r>
      <w:r w:rsidRPr="00BC6E7B">
        <w:rPr>
          <w:rFonts w:ascii="Times New Roman" w:eastAsia="Times New Roman" w:hAnsi="Times New Roman" w:cs="Times New Roman"/>
          <w:bCs/>
        </w:rPr>
        <w:t xml:space="preserve"> </w:t>
      </w:r>
    </w:p>
    <w:p w:rsidR="00C8331B" w:rsidRPr="00872E9A" w:rsidRDefault="00C8331B" w:rsidP="00980876">
      <w:pPr>
        <w:pStyle w:val="Listaszerbekezds"/>
        <w:widowControl w:val="0"/>
        <w:numPr>
          <w:ilvl w:val="0"/>
          <w:numId w:val="382"/>
        </w:numPr>
        <w:spacing w:before="120" w:after="120" w:line="240" w:lineRule="auto"/>
        <w:ind w:hanging="219"/>
        <w:jc w:val="both"/>
        <w:rPr>
          <w:rFonts w:ascii="Times New Roman" w:eastAsia="Times New Roman" w:hAnsi="Times New Roman" w:cs="Times New Roman"/>
          <w:bCs/>
        </w:rPr>
      </w:pPr>
      <w:r w:rsidRPr="00872E9A">
        <w:rPr>
          <w:rFonts w:ascii="Times New Roman" w:eastAsia="Times New Roman" w:hAnsi="Times New Roman" w:cs="Times New Roman"/>
          <w:bCs/>
        </w:rPr>
        <w:t>Felelősséget vállal az általa készített dokumentumok szakmai, jogszabályoknak való maradéktalan megfelelőségéért.</w:t>
      </w:r>
    </w:p>
    <w:p w:rsidR="00C8331B" w:rsidRPr="00BC6E7B" w:rsidRDefault="00C8331B" w:rsidP="00C8331B">
      <w:pPr>
        <w:widowControl w:val="0"/>
        <w:spacing w:before="120" w:after="120" w:line="240" w:lineRule="auto"/>
        <w:ind w:left="426"/>
        <w:jc w:val="both"/>
        <w:rPr>
          <w:rFonts w:ascii="Times New Roman" w:eastAsia="Times New Roman" w:hAnsi="Times New Roman" w:cs="Times New Roman"/>
          <w:b/>
          <w:bCs/>
          <w:lang w:val="en-US"/>
        </w:rPr>
      </w:pPr>
      <w:r w:rsidRPr="00BC6E7B">
        <w:rPr>
          <w:rFonts w:ascii="Times New Roman" w:eastAsia="Times New Roman" w:hAnsi="Times New Roman" w:cs="Times New Roman"/>
          <w:b/>
          <w:bCs/>
        </w:rPr>
        <w:t>Elérendő kompetenciák (angolul) (</w:t>
      </w:r>
      <w:r w:rsidRPr="00BC6E7B">
        <w:rPr>
          <w:rFonts w:ascii="Times New Roman" w:eastAsia="Times New Roman" w:hAnsi="Times New Roman" w:cs="Times New Roman"/>
          <w:b/>
          <w:bCs/>
          <w:lang w:val="en-US"/>
        </w:rPr>
        <w:t xml:space="preserve">Competences – English): </w:t>
      </w:r>
    </w:p>
    <w:p w:rsidR="00C8331B" w:rsidRDefault="00C8331B" w:rsidP="00C8331B">
      <w:pPr>
        <w:widowControl w:val="0"/>
        <w:spacing w:before="120" w:after="120" w:line="240" w:lineRule="auto"/>
        <w:ind w:left="426"/>
        <w:jc w:val="both"/>
        <w:rPr>
          <w:rFonts w:ascii="Times New Roman" w:eastAsia="Times New Roman" w:hAnsi="Times New Roman" w:cs="Times New Roman"/>
          <w:b/>
          <w:lang w:val="en-GB"/>
        </w:rPr>
      </w:pPr>
      <w:r w:rsidRPr="00BC6E7B">
        <w:rPr>
          <w:rFonts w:ascii="Times New Roman" w:eastAsia="Times New Roman" w:hAnsi="Times New Roman" w:cs="Times New Roman"/>
          <w:b/>
          <w:lang w:val="en-GB"/>
        </w:rPr>
        <w:t>Knowledge</w:t>
      </w:r>
      <w:r w:rsidRPr="002A0767">
        <w:rPr>
          <w:rFonts w:ascii="Times New Roman" w:eastAsia="Times New Roman" w:hAnsi="Times New Roman" w:cs="Times New Roman"/>
          <w:b/>
          <w:lang w:val="en-GB"/>
        </w:rPr>
        <w:t xml:space="preserve">: </w:t>
      </w:r>
    </w:p>
    <w:p w:rsidR="00C8331B" w:rsidRPr="00872E9A" w:rsidRDefault="00C8331B" w:rsidP="00980876">
      <w:pPr>
        <w:pStyle w:val="Listaszerbekezds"/>
        <w:widowControl w:val="0"/>
        <w:numPr>
          <w:ilvl w:val="0"/>
          <w:numId w:val="382"/>
        </w:numPr>
        <w:spacing w:before="120" w:after="120" w:line="240" w:lineRule="auto"/>
        <w:ind w:hanging="219"/>
        <w:jc w:val="both"/>
        <w:rPr>
          <w:rFonts w:ascii="Times New Roman" w:eastAsia="Times New Roman" w:hAnsi="Times New Roman" w:cs="Times New Roman"/>
          <w:lang w:val="en-GB"/>
        </w:rPr>
      </w:pPr>
      <w:r w:rsidRPr="00111237">
        <w:rPr>
          <w:rFonts w:ascii="Times New Roman" w:eastAsia="Times New Roman" w:hAnsi="Times New Roman" w:cs="Times New Roman"/>
          <w:bCs/>
        </w:rPr>
        <w:t>The student knows knows the operation and structure of the financial field the Ministry of Defence and the Hungarian Defence Forces</w:t>
      </w:r>
      <w:r w:rsidRPr="00872E9A">
        <w:rPr>
          <w:rFonts w:ascii="Times New Roman" w:eastAsia="Times New Roman" w:hAnsi="Times New Roman" w:cs="Times New Roman"/>
          <w:lang w:val="en-GB"/>
        </w:rPr>
        <w:t>.</w:t>
      </w:r>
    </w:p>
    <w:p w:rsidR="00C8331B" w:rsidRDefault="00C8331B" w:rsidP="00C8331B">
      <w:pPr>
        <w:widowControl w:val="0"/>
        <w:spacing w:before="120" w:after="120" w:line="240" w:lineRule="auto"/>
        <w:ind w:left="426"/>
        <w:jc w:val="both"/>
        <w:rPr>
          <w:rFonts w:ascii="Times New Roman" w:eastAsia="Times New Roman" w:hAnsi="Times New Roman" w:cs="Times New Roman"/>
          <w:b/>
          <w:lang w:val="en-GB"/>
        </w:rPr>
      </w:pPr>
      <w:r w:rsidRPr="00BC6E7B">
        <w:rPr>
          <w:rFonts w:ascii="Times New Roman" w:eastAsia="Times New Roman" w:hAnsi="Times New Roman" w:cs="Times New Roman"/>
          <w:b/>
          <w:lang w:val="en-GB"/>
        </w:rPr>
        <w:t>Capabilities</w:t>
      </w:r>
      <w:r w:rsidRPr="006331D3">
        <w:rPr>
          <w:rFonts w:ascii="Times New Roman" w:eastAsia="Times New Roman" w:hAnsi="Times New Roman" w:cs="Times New Roman"/>
          <w:b/>
          <w:lang w:val="en-GB"/>
        </w:rPr>
        <w:t xml:space="preserve">: </w:t>
      </w:r>
    </w:p>
    <w:p w:rsidR="00C8331B" w:rsidRPr="00872E9A" w:rsidRDefault="00C8331B" w:rsidP="00980876">
      <w:pPr>
        <w:pStyle w:val="Listaszerbekezds"/>
        <w:widowControl w:val="0"/>
        <w:numPr>
          <w:ilvl w:val="0"/>
          <w:numId w:val="382"/>
        </w:numPr>
        <w:spacing w:before="120" w:after="120" w:line="240" w:lineRule="auto"/>
        <w:ind w:hanging="219"/>
        <w:jc w:val="both"/>
        <w:rPr>
          <w:rFonts w:ascii="Times New Roman" w:eastAsia="Times New Roman" w:hAnsi="Times New Roman" w:cs="Times New Roman"/>
          <w:lang w:val="en-GB"/>
        </w:rPr>
      </w:pPr>
      <w:r w:rsidRPr="00872E9A">
        <w:rPr>
          <w:rFonts w:ascii="Times New Roman" w:eastAsia="Times New Roman" w:hAnsi="Times New Roman" w:cs="Times New Roman"/>
          <w:lang w:val="en-GB"/>
        </w:rPr>
        <w:t>Collaborates with other areas of expertise in planning, implementing, and reporting on the military organizations' budgets.</w:t>
      </w:r>
    </w:p>
    <w:p w:rsidR="00C8331B" w:rsidRDefault="00C8331B" w:rsidP="00C8331B">
      <w:pPr>
        <w:widowControl w:val="0"/>
        <w:spacing w:before="120" w:after="120" w:line="240" w:lineRule="auto"/>
        <w:ind w:left="426"/>
        <w:jc w:val="both"/>
        <w:rPr>
          <w:rFonts w:ascii="Times New Roman" w:eastAsia="Times New Roman" w:hAnsi="Times New Roman" w:cs="Times New Roman"/>
          <w:b/>
          <w:lang w:val="en-GB"/>
        </w:rPr>
      </w:pPr>
      <w:r w:rsidRPr="00BC6E7B">
        <w:rPr>
          <w:rFonts w:ascii="Times New Roman" w:eastAsia="Times New Roman" w:hAnsi="Times New Roman" w:cs="Times New Roman"/>
          <w:b/>
          <w:lang w:val="en-GB"/>
        </w:rPr>
        <w:t>Attitude:</w:t>
      </w:r>
      <w:r w:rsidRPr="002A0767">
        <w:rPr>
          <w:rFonts w:ascii="Times New Roman" w:eastAsia="Times New Roman" w:hAnsi="Times New Roman" w:cs="Times New Roman"/>
          <w:b/>
          <w:lang w:val="en-GB"/>
        </w:rPr>
        <w:t xml:space="preserve"> </w:t>
      </w:r>
    </w:p>
    <w:p w:rsidR="00C8331B" w:rsidRPr="00872E9A" w:rsidRDefault="00C8331B" w:rsidP="00980876">
      <w:pPr>
        <w:pStyle w:val="Listaszerbekezds"/>
        <w:widowControl w:val="0"/>
        <w:numPr>
          <w:ilvl w:val="0"/>
          <w:numId w:val="382"/>
        </w:numPr>
        <w:spacing w:before="120" w:after="120" w:line="240" w:lineRule="auto"/>
        <w:ind w:hanging="219"/>
        <w:jc w:val="both"/>
        <w:rPr>
          <w:rFonts w:ascii="Times New Roman" w:eastAsia="Times New Roman" w:hAnsi="Times New Roman" w:cs="Times New Roman"/>
          <w:b/>
          <w:lang w:val="en-GB"/>
        </w:rPr>
      </w:pPr>
      <w:r w:rsidRPr="00872E9A">
        <w:rPr>
          <w:rFonts w:ascii="Times New Roman" w:eastAsia="Times New Roman" w:hAnsi="Times New Roman" w:cs="Times New Roman"/>
          <w:lang w:val="en-GB"/>
        </w:rPr>
        <w:t>He/she pays particular attention to the legal, regulatory, and accurate work required in the financial field.</w:t>
      </w:r>
    </w:p>
    <w:p w:rsidR="00C8331B" w:rsidRDefault="00C8331B" w:rsidP="00C833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b/>
          <w:lang w:val="en-GB"/>
        </w:rPr>
      </w:pPr>
      <w:r w:rsidRPr="00BC6E7B">
        <w:rPr>
          <w:rFonts w:ascii="Times New Roman" w:eastAsia="Times New Roman" w:hAnsi="Times New Roman" w:cs="Times New Roman"/>
          <w:b/>
          <w:lang w:val="en-GB"/>
        </w:rPr>
        <w:t>Autonomy and responsibility:</w:t>
      </w:r>
    </w:p>
    <w:p w:rsidR="00C8331B" w:rsidRPr="00872E9A" w:rsidRDefault="00C8331B" w:rsidP="00980876">
      <w:pPr>
        <w:pStyle w:val="Listaszerbekezds"/>
        <w:numPr>
          <w:ilvl w:val="0"/>
          <w:numId w:val="38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19"/>
        <w:jc w:val="both"/>
        <w:rPr>
          <w:rFonts w:ascii="Times New Roman" w:eastAsia="Times New Roman" w:hAnsi="Times New Roman" w:cs="Times New Roman"/>
          <w:lang w:val="en-GB"/>
        </w:rPr>
      </w:pPr>
      <w:r w:rsidRPr="00F37D21">
        <w:t xml:space="preserve"> </w:t>
      </w:r>
      <w:r w:rsidRPr="00872E9A">
        <w:rPr>
          <w:rFonts w:ascii="Times New Roman" w:eastAsia="Times New Roman" w:hAnsi="Times New Roman" w:cs="Times New Roman"/>
          <w:lang w:val="en-GB"/>
        </w:rPr>
        <w:t>He / she assumes full responsibility for the professional and legal compliance of his/her documents.</w:t>
      </w:r>
    </w:p>
    <w:p w:rsidR="00C8331B" w:rsidRPr="00BC6E7B" w:rsidRDefault="00C8331B" w:rsidP="00980876">
      <w:pPr>
        <w:widowControl w:val="0"/>
        <w:numPr>
          <w:ilvl w:val="0"/>
          <w:numId w:val="383"/>
        </w:numPr>
        <w:tabs>
          <w:tab w:val="clear" w:pos="720"/>
          <w:tab w:val="num" w:pos="643"/>
        </w:tabs>
        <w:spacing w:before="120" w:after="120" w:line="240" w:lineRule="auto"/>
        <w:ind w:left="643"/>
        <w:jc w:val="both"/>
        <w:rPr>
          <w:rFonts w:ascii="Times New Roman" w:eastAsia="Times New Roman" w:hAnsi="Times New Roman" w:cs="Times New Roman"/>
          <w:bCs/>
        </w:rPr>
      </w:pPr>
      <w:r w:rsidRPr="00BC6E7B">
        <w:rPr>
          <w:rFonts w:ascii="Times New Roman" w:eastAsia="Times New Roman" w:hAnsi="Times New Roman" w:cs="Times New Roman"/>
          <w:b/>
          <w:bCs/>
        </w:rPr>
        <w:t xml:space="preserve">Előtanulmányi követelmények: </w:t>
      </w:r>
      <w:r w:rsidRPr="006B4EDF">
        <w:rPr>
          <w:rFonts w:ascii="Times New Roman" w:eastAsia="Times New Roman" w:hAnsi="Times New Roman" w:cs="Times New Roman"/>
          <w:bCs/>
        </w:rPr>
        <w:t>Államháztartási és katonai pénzügyi alapismeretek I. (</w:t>
      </w:r>
      <w:r w:rsidRPr="006E31BF">
        <w:rPr>
          <w:rFonts w:ascii="Times New Roman" w:eastAsia="Times New Roman" w:hAnsi="Times New Roman" w:cs="Times New Roman"/>
          <w:bCs/>
        </w:rPr>
        <w:t>HKHPKA503</w:t>
      </w:r>
      <w:r w:rsidRPr="006B4EDF">
        <w:rPr>
          <w:rFonts w:ascii="Times New Roman" w:eastAsia="Times New Roman" w:hAnsi="Times New Roman" w:cs="Times New Roman"/>
          <w:bCs/>
        </w:rPr>
        <w:t>)</w:t>
      </w:r>
    </w:p>
    <w:p w:rsidR="00C8331B" w:rsidRPr="00BC6E7B" w:rsidRDefault="00C8331B" w:rsidP="00980876">
      <w:pPr>
        <w:widowControl w:val="0"/>
        <w:numPr>
          <w:ilvl w:val="0"/>
          <w:numId w:val="383"/>
        </w:numPr>
        <w:tabs>
          <w:tab w:val="clear" w:pos="720"/>
        </w:tabs>
        <w:spacing w:before="120" w:after="120" w:line="240" w:lineRule="auto"/>
        <w:ind w:left="567" w:hanging="283"/>
        <w:jc w:val="both"/>
        <w:rPr>
          <w:rFonts w:ascii="Times New Roman" w:eastAsia="Times New Roman" w:hAnsi="Times New Roman" w:cs="Times New Roman"/>
          <w:b/>
          <w:bCs/>
        </w:rPr>
      </w:pPr>
      <w:r w:rsidRPr="00BC6E7B">
        <w:rPr>
          <w:rFonts w:ascii="Times New Roman" w:eastAsia="Times New Roman" w:hAnsi="Times New Roman" w:cs="Times New Roman"/>
          <w:b/>
          <w:bCs/>
        </w:rPr>
        <w:t>A tantárgy tananyagának leírása, tematika. Description of the subject, curriculum (magyarul, angolul - English):</w:t>
      </w:r>
    </w:p>
    <w:p w:rsidR="00C8331B" w:rsidRPr="00A63E06" w:rsidRDefault="00C8331B" w:rsidP="00980876">
      <w:pPr>
        <w:pStyle w:val="Listaszerbekezds"/>
        <w:numPr>
          <w:ilvl w:val="1"/>
          <w:numId w:val="383"/>
        </w:numPr>
        <w:tabs>
          <w:tab w:val="clear" w:pos="3977"/>
          <w:tab w:val="num" w:pos="1276"/>
        </w:tabs>
        <w:spacing w:before="120" w:after="120" w:line="240" w:lineRule="auto"/>
        <w:ind w:left="1134" w:hanging="590"/>
        <w:contextualSpacing w:val="0"/>
        <w:jc w:val="both"/>
        <w:rPr>
          <w:rFonts w:ascii="Times New Roman" w:eastAsia="Times New Roman" w:hAnsi="Times New Roman" w:cs="Times New Roman"/>
          <w:kern w:val="2"/>
        </w:rPr>
      </w:pPr>
      <w:r w:rsidRPr="00BE6A36">
        <w:rPr>
          <w:rFonts w:ascii="Times New Roman" w:eastAsia="Times New Roman" w:hAnsi="Times New Roman" w:cs="Times New Roman"/>
          <w:b/>
        </w:rPr>
        <w:t xml:space="preserve"> </w:t>
      </w:r>
      <w:r w:rsidRPr="00A63E06">
        <w:rPr>
          <w:rFonts w:ascii="Times New Roman" w:eastAsia="Times New Roman" w:hAnsi="Times New Roman" w:cs="Times New Roman"/>
          <w:kern w:val="2"/>
        </w:rPr>
        <w:t>A HM tárca sajátos, központosított költségvetési gazdálkodása. (</w:t>
      </w:r>
      <w:r w:rsidRPr="00A63E06">
        <w:rPr>
          <w:rFonts w:ascii="Times New Roman" w:eastAsia="Times New Roman" w:hAnsi="Times New Roman" w:cs="Times New Roman"/>
          <w:i/>
          <w:kern w:val="2"/>
        </w:rPr>
        <w:t>Centralized budgetary management of the MoD</w:t>
      </w:r>
      <w:r w:rsidRPr="00A63E06">
        <w:rPr>
          <w:rFonts w:ascii="Times New Roman" w:eastAsia="Times New Roman" w:hAnsi="Times New Roman" w:cs="Times New Roman"/>
          <w:kern w:val="2"/>
        </w:rPr>
        <w:t>)</w:t>
      </w:r>
    </w:p>
    <w:p w:rsidR="00C8331B" w:rsidRPr="00A63E06" w:rsidRDefault="00C8331B" w:rsidP="00980876">
      <w:pPr>
        <w:pStyle w:val="Listaszerbekezds"/>
        <w:numPr>
          <w:ilvl w:val="1"/>
          <w:numId w:val="383"/>
        </w:numPr>
        <w:tabs>
          <w:tab w:val="clear" w:pos="3977"/>
          <w:tab w:val="num" w:pos="1276"/>
        </w:tabs>
        <w:spacing w:before="120" w:after="120" w:line="240" w:lineRule="auto"/>
        <w:ind w:left="1134" w:hanging="590"/>
        <w:contextualSpacing w:val="0"/>
        <w:jc w:val="both"/>
        <w:rPr>
          <w:rFonts w:ascii="Times New Roman" w:eastAsia="Times New Roman" w:hAnsi="Times New Roman" w:cs="Times New Roman"/>
          <w:kern w:val="2"/>
        </w:rPr>
      </w:pPr>
      <w:r w:rsidRPr="00A63E06">
        <w:rPr>
          <w:rFonts w:ascii="Times New Roman" w:eastAsia="Times New Roman" w:hAnsi="Times New Roman" w:cs="Times New Roman"/>
          <w:kern w:val="2"/>
        </w:rPr>
        <w:t>A HM költségvetési fejezet nagybani költségvetésének összeállítása. (</w:t>
      </w:r>
      <w:r w:rsidRPr="00A63E06">
        <w:rPr>
          <w:rFonts w:ascii="Times New Roman" w:eastAsia="Times New Roman" w:hAnsi="Times New Roman" w:cs="Times New Roman"/>
          <w:i/>
          <w:kern w:val="2"/>
        </w:rPr>
        <w:t>Planning of the budget of the MoD’s Chapter</w:t>
      </w:r>
      <w:r w:rsidRPr="00A63E06">
        <w:rPr>
          <w:rFonts w:ascii="Times New Roman" w:eastAsia="Times New Roman" w:hAnsi="Times New Roman" w:cs="Times New Roman"/>
          <w:kern w:val="2"/>
        </w:rPr>
        <w:t>)</w:t>
      </w:r>
    </w:p>
    <w:p w:rsidR="00C8331B" w:rsidRPr="00A63E06" w:rsidRDefault="00C8331B" w:rsidP="00980876">
      <w:pPr>
        <w:pStyle w:val="Listaszerbekezds"/>
        <w:numPr>
          <w:ilvl w:val="1"/>
          <w:numId w:val="383"/>
        </w:numPr>
        <w:tabs>
          <w:tab w:val="clear" w:pos="3977"/>
          <w:tab w:val="num" w:pos="1276"/>
        </w:tabs>
        <w:spacing w:before="120" w:after="120" w:line="240" w:lineRule="auto"/>
        <w:ind w:left="1134" w:hanging="590"/>
        <w:contextualSpacing w:val="0"/>
        <w:jc w:val="both"/>
        <w:rPr>
          <w:rFonts w:ascii="Times New Roman" w:eastAsia="Times New Roman" w:hAnsi="Times New Roman" w:cs="Times New Roman"/>
          <w:kern w:val="2"/>
        </w:rPr>
      </w:pPr>
      <w:r w:rsidRPr="00A63E06">
        <w:rPr>
          <w:rFonts w:ascii="Times New Roman" w:eastAsia="Times New Roman" w:hAnsi="Times New Roman" w:cs="Times New Roman"/>
          <w:kern w:val="2"/>
        </w:rPr>
        <w:t>A költségvetési törvény elfogadásától az intézményi költségvetés kiadásáig. (</w:t>
      </w:r>
      <w:r w:rsidRPr="00A63E06">
        <w:rPr>
          <w:rFonts w:ascii="Times New Roman" w:eastAsia="Times New Roman" w:hAnsi="Times New Roman" w:cs="Times New Roman"/>
          <w:i/>
          <w:kern w:val="2"/>
        </w:rPr>
        <w:t>From the Budgetary Act to the individual entities budgets)</w:t>
      </w:r>
    </w:p>
    <w:p w:rsidR="00C8331B" w:rsidRPr="00A63E06" w:rsidRDefault="00C8331B" w:rsidP="00980876">
      <w:pPr>
        <w:pStyle w:val="Listaszerbekezds"/>
        <w:numPr>
          <w:ilvl w:val="1"/>
          <w:numId w:val="383"/>
        </w:numPr>
        <w:tabs>
          <w:tab w:val="clear" w:pos="3977"/>
          <w:tab w:val="num" w:pos="1276"/>
        </w:tabs>
        <w:spacing w:before="120" w:after="120" w:line="240" w:lineRule="auto"/>
        <w:ind w:left="1134" w:hanging="590"/>
        <w:contextualSpacing w:val="0"/>
        <w:jc w:val="both"/>
        <w:rPr>
          <w:rFonts w:ascii="Times New Roman" w:eastAsia="Times New Roman" w:hAnsi="Times New Roman" w:cs="Times New Roman"/>
          <w:kern w:val="2"/>
        </w:rPr>
      </w:pPr>
      <w:r w:rsidRPr="00A63E06">
        <w:rPr>
          <w:rFonts w:ascii="Times New Roman" w:eastAsia="Times New Roman" w:hAnsi="Times New Roman" w:cs="Times New Roman"/>
          <w:kern w:val="2"/>
        </w:rPr>
        <w:t xml:space="preserve">HM személyi juttatások és létszámgazdálkodás. </w:t>
      </w:r>
      <w:r w:rsidRPr="00A63E06">
        <w:rPr>
          <w:rFonts w:ascii="Times New Roman" w:eastAsia="Times New Roman" w:hAnsi="Times New Roman" w:cs="Times New Roman"/>
          <w:i/>
          <w:kern w:val="2"/>
        </w:rPr>
        <w:t>(Personal expenditures and staff management in the MoD)</w:t>
      </w:r>
    </w:p>
    <w:p w:rsidR="00C8331B" w:rsidRPr="00A63E06" w:rsidRDefault="00C8331B" w:rsidP="00980876">
      <w:pPr>
        <w:pStyle w:val="Listaszerbekezds"/>
        <w:numPr>
          <w:ilvl w:val="1"/>
          <w:numId w:val="383"/>
        </w:numPr>
        <w:tabs>
          <w:tab w:val="clear" w:pos="3977"/>
          <w:tab w:val="num" w:pos="1276"/>
        </w:tabs>
        <w:spacing w:before="120" w:after="120" w:line="240" w:lineRule="auto"/>
        <w:ind w:left="1134" w:hanging="590"/>
        <w:contextualSpacing w:val="0"/>
        <w:jc w:val="both"/>
        <w:rPr>
          <w:rFonts w:ascii="Times New Roman" w:eastAsia="Times New Roman" w:hAnsi="Times New Roman" w:cs="Times New Roman"/>
          <w:kern w:val="2"/>
        </w:rPr>
      </w:pPr>
      <w:r w:rsidRPr="00A63E06">
        <w:rPr>
          <w:rFonts w:ascii="Times New Roman" w:eastAsia="Times New Roman" w:hAnsi="Times New Roman" w:cs="Times New Roman"/>
          <w:kern w:val="2"/>
        </w:rPr>
        <w:t xml:space="preserve">Költségvetési előirányzatok felhasználása, átcsoportosítása, többletbevételek kezelése, maradvány. </w:t>
      </w:r>
      <w:r w:rsidRPr="00A63E06">
        <w:rPr>
          <w:rFonts w:ascii="Times New Roman" w:eastAsia="Times New Roman" w:hAnsi="Times New Roman" w:cs="Times New Roman"/>
          <w:i/>
          <w:kern w:val="2"/>
        </w:rPr>
        <w:t>(Using budgetary funds, reallocation of funds)</w:t>
      </w:r>
    </w:p>
    <w:p w:rsidR="00C8331B" w:rsidRPr="00A63E06" w:rsidRDefault="00C8331B" w:rsidP="00980876">
      <w:pPr>
        <w:pStyle w:val="Listaszerbekezds"/>
        <w:numPr>
          <w:ilvl w:val="1"/>
          <w:numId w:val="383"/>
        </w:numPr>
        <w:tabs>
          <w:tab w:val="clear" w:pos="3977"/>
          <w:tab w:val="num" w:pos="1276"/>
        </w:tabs>
        <w:spacing w:before="120" w:after="120" w:line="240" w:lineRule="auto"/>
        <w:ind w:left="1134" w:hanging="590"/>
        <w:contextualSpacing w:val="0"/>
        <w:jc w:val="both"/>
        <w:rPr>
          <w:rFonts w:ascii="Times New Roman" w:eastAsia="Times New Roman" w:hAnsi="Times New Roman" w:cs="Times New Roman"/>
          <w:kern w:val="2"/>
        </w:rPr>
      </w:pPr>
      <w:r w:rsidRPr="00A63E06">
        <w:rPr>
          <w:rFonts w:ascii="Times New Roman" w:eastAsia="Times New Roman" w:hAnsi="Times New Roman" w:cs="Times New Roman"/>
          <w:kern w:val="2"/>
        </w:rPr>
        <w:t xml:space="preserve">Beszerzési eljárásokhoz kapcsolódó ellenjegyzések folyamata. </w:t>
      </w:r>
      <w:r w:rsidRPr="00A63E06">
        <w:rPr>
          <w:rFonts w:ascii="Times New Roman" w:eastAsia="Times New Roman" w:hAnsi="Times New Roman" w:cs="Times New Roman"/>
          <w:i/>
          <w:kern w:val="2"/>
        </w:rPr>
        <w:t>(Countersigning of procurement documents)</w:t>
      </w:r>
    </w:p>
    <w:p w:rsidR="00C8331B" w:rsidRPr="00A63E06" w:rsidRDefault="00C8331B" w:rsidP="00980876">
      <w:pPr>
        <w:pStyle w:val="Listaszerbekezds"/>
        <w:numPr>
          <w:ilvl w:val="1"/>
          <w:numId w:val="383"/>
        </w:numPr>
        <w:tabs>
          <w:tab w:val="clear" w:pos="3977"/>
          <w:tab w:val="num" w:pos="1276"/>
        </w:tabs>
        <w:spacing w:before="120" w:after="120" w:line="240" w:lineRule="auto"/>
        <w:ind w:left="1134" w:hanging="590"/>
        <w:contextualSpacing w:val="0"/>
        <w:jc w:val="both"/>
        <w:rPr>
          <w:rFonts w:ascii="Times New Roman" w:eastAsia="Times New Roman" w:hAnsi="Times New Roman" w:cs="Times New Roman"/>
          <w:kern w:val="2"/>
        </w:rPr>
      </w:pPr>
      <w:r w:rsidRPr="00A63E06">
        <w:rPr>
          <w:rFonts w:ascii="Times New Roman" w:eastAsia="Times New Roman" w:hAnsi="Times New Roman" w:cs="Times New Roman"/>
          <w:kern w:val="2"/>
        </w:rPr>
        <w:t xml:space="preserve">Beszámolással kapcsolatos feladatok. </w:t>
      </w:r>
      <w:r w:rsidRPr="00A63E06">
        <w:rPr>
          <w:rFonts w:ascii="Times New Roman" w:eastAsia="Times New Roman" w:hAnsi="Times New Roman" w:cs="Times New Roman"/>
          <w:i/>
          <w:kern w:val="2"/>
        </w:rPr>
        <w:t>(Tasks regarding financial reporting)</w:t>
      </w:r>
    </w:p>
    <w:p w:rsidR="00C8331B" w:rsidRPr="00A63E06" w:rsidRDefault="00C8331B" w:rsidP="00980876">
      <w:pPr>
        <w:pStyle w:val="Listaszerbekezds"/>
        <w:numPr>
          <w:ilvl w:val="1"/>
          <w:numId w:val="383"/>
        </w:numPr>
        <w:tabs>
          <w:tab w:val="clear" w:pos="3977"/>
          <w:tab w:val="num" w:pos="1276"/>
        </w:tabs>
        <w:spacing w:before="120" w:after="120" w:line="240" w:lineRule="auto"/>
        <w:ind w:left="1134" w:hanging="590"/>
        <w:contextualSpacing w:val="0"/>
        <w:jc w:val="both"/>
        <w:rPr>
          <w:rFonts w:ascii="Times New Roman" w:eastAsia="Times New Roman" w:hAnsi="Times New Roman" w:cs="Times New Roman"/>
          <w:kern w:val="2"/>
        </w:rPr>
      </w:pPr>
      <w:r w:rsidRPr="00A63E06">
        <w:rPr>
          <w:rFonts w:ascii="Times New Roman" w:eastAsia="Times New Roman" w:hAnsi="Times New Roman" w:cs="Times New Roman"/>
          <w:kern w:val="2"/>
        </w:rPr>
        <w:t xml:space="preserve">A szöveges beszámoló összeállításával kapcsolatos feladatok. </w:t>
      </w:r>
      <w:r w:rsidRPr="00A63E06">
        <w:rPr>
          <w:rFonts w:ascii="Times New Roman" w:eastAsia="Times New Roman" w:hAnsi="Times New Roman" w:cs="Times New Roman"/>
          <w:i/>
          <w:kern w:val="2"/>
        </w:rPr>
        <w:t>(Tasks regarding textual accounts.)</w:t>
      </w:r>
    </w:p>
    <w:p w:rsidR="00C8331B" w:rsidRPr="00A63E06" w:rsidRDefault="00C8331B" w:rsidP="00980876">
      <w:pPr>
        <w:pStyle w:val="Listaszerbekezds"/>
        <w:numPr>
          <w:ilvl w:val="1"/>
          <w:numId w:val="383"/>
        </w:numPr>
        <w:tabs>
          <w:tab w:val="clear" w:pos="3977"/>
          <w:tab w:val="num" w:pos="1276"/>
        </w:tabs>
        <w:spacing w:before="120" w:after="120" w:line="240" w:lineRule="auto"/>
        <w:ind w:left="1134" w:hanging="590"/>
        <w:contextualSpacing w:val="0"/>
        <w:jc w:val="both"/>
        <w:rPr>
          <w:rFonts w:ascii="Times New Roman" w:eastAsia="Times New Roman" w:hAnsi="Times New Roman" w:cs="Times New Roman"/>
          <w:kern w:val="2"/>
        </w:rPr>
      </w:pPr>
      <w:r w:rsidRPr="00A63E06">
        <w:rPr>
          <w:rFonts w:ascii="Times New Roman" w:eastAsia="Times New Roman" w:hAnsi="Times New Roman" w:cs="Times New Roman"/>
          <w:kern w:val="2"/>
        </w:rPr>
        <w:t xml:space="preserve">Az éves költségvetési beszámoló, a mérlegjelentések, gyorsjelentések, időközi költségvetési jelentés elkészítésének nagybani folyamata, a jóváhagyás rendje. </w:t>
      </w:r>
      <w:r w:rsidRPr="00A63E06">
        <w:rPr>
          <w:rFonts w:ascii="Times New Roman" w:eastAsia="Times New Roman" w:hAnsi="Times New Roman" w:cs="Times New Roman"/>
          <w:i/>
          <w:kern w:val="2"/>
        </w:rPr>
        <w:t>(Annual reports, balance reports, fast reports, periodical reports)</w:t>
      </w:r>
    </w:p>
    <w:p w:rsidR="00C8331B" w:rsidRPr="006331D3" w:rsidRDefault="00C8331B" w:rsidP="00980876">
      <w:pPr>
        <w:pStyle w:val="Listaszerbekezds"/>
        <w:widowControl w:val="0"/>
        <w:numPr>
          <w:ilvl w:val="0"/>
          <w:numId w:val="383"/>
        </w:numPr>
        <w:tabs>
          <w:tab w:val="clear" w:pos="720"/>
          <w:tab w:val="num" w:pos="643"/>
          <w:tab w:val="left" w:pos="709"/>
          <w:tab w:val="left" w:pos="993"/>
        </w:tabs>
        <w:spacing w:before="120" w:after="120" w:line="240" w:lineRule="auto"/>
        <w:ind w:left="643"/>
        <w:jc w:val="both"/>
        <w:rPr>
          <w:rFonts w:ascii="Times New Roman" w:eastAsia="Times New Roman" w:hAnsi="Times New Roman" w:cs="Times New Roman"/>
          <w:bCs/>
        </w:rPr>
      </w:pPr>
      <w:r w:rsidRPr="006331D3">
        <w:rPr>
          <w:rFonts w:ascii="Times New Roman" w:eastAsia="Times New Roman" w:hAnsi="Times New Roman" w:cs="Times New Roman"/>
          <w:b/>
          <w:bCs/>
        </w:rPr>
        <w:t xml:space="preserve">A tantárgy meghirdetésének gyakorisága/a tantervben történő félévi elhelyezkedése: </w:t>
      </w:r>
      <w:r w:rsidRPr="006331D3">
        <w:rPr>
          <w:rFonts w:ascii="Times New Roman" w:eastAsia="Times New Roman" w:hAnsi="Times New Roman" w:cs="Times New Roman"/>
          <w:bCs/>
        </w:rPr>
        <w:t xml:space="preserve">a tanév </w:t>
      </w:r>
      <w:r w:rsidR="00C75F36" w:rsidRPr="00C75F36">
        <w:rPr>
          <w:rFonts w:ascii="Times New Roman" w:eastAsia="Times New Roman" w:hAnsi="Times New Roman" w:cs="Times New Roman"/>
          <w:bCs/>
          <w:highlight w:val="yellow"/>
        </w:rPr>
        <w:t>7</w:t>
      </w:r>
      <w:r w:rsidRPr="00C75F36">
        <w:rPr>
          <w:rFonts w:ascii="Times New Roman" w:eastAsia="Times New Roman" w:hAnsi="Times New Roman" w:cs="Times New Roman"/>
          <w:bCs/>
          <w:highlight w:val="yellow"/>
        </w:rPr>
        <w:t>. (</w:t>
      </w:r>
      <w:r w:rsidR="00C75F36" w:rsidRPr="00C75F36">
        <w:rPr>
          <w:rFonts w:ascii="Times New Roman" w:eastAsia="Times New Roman" w:hAnsi="Times New Roman" w:cs="Times New Roman"/>
          <w:bCs/>
          <w:highlight w:val="yellow"/>
        </w:rPr>
        <w:t>őszi</w:t>
      </w:r>
      <w:r w:rsidRPr="00C75F36">
        <w:rPr>
          <w:rFonts w:ascii="Times New Roman" w:eastAsia="Times New Roman" w:hAnsi="Times New Roman" w:cs="Times New Roman"/>
          <w:bCs/>
          <w:highlight w:val="yellow"/>
        </w:rPr>
        <w:t>) félévében.</w:t>
      </w:r>
    </w:p>
    <w:p w:rsidR="00C8331B" w:rsidRDefault="00C8331B" w:rsidP="00980876">
      <w:pPr>
        <w:widowControl w:val="0"/>
        <w:numPr>
          <w:ilvl w:val="0"/>
          <w:numId w:val="383"/>
        </w:numPr>
        <w:tabs>
          <w:tab w:val="clear" w:pos="720"/>
          <w:tab w:val="num" w:pos="643"/>
        </w:tabs>
        <w:spacing w:before="120" w:after="120" w:line="240" w:lineRule="auto"/>
        <w:ind w:left="643"/>
        <w:jc w:val="both"/>
        <w:rPr>
          <w:rFonts w:ascii="Times New Roman" w:eastAsia="Times New Roman" w:hAnsi="Times New Roman" w:cs="Times New Roman"/>
          <w:bCs/>
        </w:rPr>
      </w:pPr>
      <w:r w:rsidRPr="00BC6E7B">
        <w:rPr>
          <w:rFonts w:ascii="Times New Roman" w:eastAsia="Times New Roman" w:hAnsi="Times New Roman" w:cs="Times New Roman"/>
          <w:b/>
          <w:bCs/>
        </w:rPr>
        <w:t>A tanórákon való részvétel követelményei, az elfogadható hiányzások mértéke, a távolmaradás pótlásának lehetősége:</w:t>
      </w:r>
      <w:r>
        <w:rPr>
          <w:rFonts w:ascii="Times New Roman" w:eastAsia="Times New Roman" w:hAnsi="Times New Roman" w:cs="Times New Roman"/>
          <w:bCs/>
        </w:rPr>
        <w:t xml:space="preserve"> </w:t>
      </w:r>
      <w:r w:rsidRPr="00D0042F">
        <w:rPr>
          <w:rFonts w:ascii="Times New Roman" w:eastAsia="Times New Roman" w:hAnsi="Times New Roman" w:cs="Times New Roman"/>
          <w:bCs/>
        </w:rPr>
        <w:t xml:space="preserve">a tanórákon való jelenlét kötelező, az elfogadható és igazolt hiányzások száma maximum a tanórák </w:t>
      </w:r>
      <w:r>
        <w:rPr>
          <w:rFonts w:ascii="Times New Roman" w:eastAsia="Times New Roman" w:hAnsi="Times New Roman" w:cs="Times New Roman"/>
          <w:bCs/>
        </w:rPr>
        <w:t>20</w:t>
      </w:r>
      <w:r w:rsidRPr="00D0042F">
        <w:rPr>
          <w:rFonts w:ascii="Times New Roman" w:eastAsia="Times New Roman" w:hAnsi="Times New Roman" w:cs="Times New Roman"/>
          <w:bCs/>
        </w:rPr>
        <w:t xml:space="preserve">%-áig terjedhet, az ismeretek pótlásáról a </w:t>
      </w:r>
      <w:r w:rsidRPr="00D0042F">
        <w:rPr>
          <w:rFonts w:ascii="Times New Roman" w:eastAsia="Times New Roman" w:hAnsi="Times New Roman" w:cs="Times New Roman"/>
          <w:bCs/>
        </w:rPr>
        <w:lastRenderedPageBreak/>
        <w:t>hallgató gondoskodik.</w:t>
      </w:r>
      <w:r>
        <w:rPr>
          <w:rFonts w:ascii="Times New Roman" w:eastAsia="Times New Roman" w:hAnsi="Times New Roman" w:cs="Times New Roman"/>
          <w:bCs/>
        </w:rPr>
        <w:t xml:space="preserve"> A hiányzások elfogadható mértékének túllépése az aláírás megtagadását vonja maga után.</w:t>
      </w:r>
    </w:p>
    <w:p w:rsidR="00C8331B" w:rsidRPr="006331D3" w:rsidRDefault="00C8331B" w:rsidP="00980876">
      <w:pPr>
        <w:widowControl w:val="0"/>
        <w:numPr>
          <w:ilvl w:val="0"/>
          <w:numId w:val="383"/>
        </w:numPr>
        <w:tabs>
          <w:tab w:val="clear" w:pos="720"/>
          <w:tab w:val="num" w:pos="643"/>
        </w:tabs>
        <w:spacing w:before="120" w:after="120" w:line="240" w:lineRule="auto"/>
        <w:jc w:val="both"/>
        <w:rPr>
          <w:rFonts w:ascii="Times New Roman" w:eastAsia="Times New Roman" w:hAnsi="Times New Roman" w:cs="Times New Roman"/>
        </w:rPr>
      </w:pPr>
      <w:r w:rsidRPr="006331D3">
        <w:rPr>
          <w:rFonts w:ascii="Times New Roman" w:eastAsia="Times New Roman" w:hAnsi="Times New Roman" w:cs="Times New Roman"/>
          <w:b/>
        </w:rPr>
        <w:t>Félévközi feladatok, ismeretek ellenőrzésének rendje:</w:t>
      </w:r>
      <w:r w:rsidRPr="006331D3">
        <w:rPr>
          <w:rFonts w:ascii="Times New Roman" w:eastAsia="Times New Roman" w:hAnsi="Times New Roman" w:cs="Times New Roman"/>
        </w:rPr>
        <w:t xml:space="preserve"> </w:t>
      </w:r>
      <w:r>
        <w:rPr>
          <w:rFonts w:ascii="Times New Roman" w:eastAsia="Times New Roman" w:hAnsi="Times New Roman" w:cs="Times New Roman"/>
        </w:rPr>
        <w:t xml:space="preserve">A hallgató a félév során egy az oktató által meghatározott téma önálló feldolgozását követően, abból előadást tart. </w:t>
      </w:r>
      <w:r w:rsidRPr="006331D3">
        <w:rPr>
          <w:rFonts w:ascii="Times New Roman" w:eastAsia="Times New Roman" w:hAnsi="Times New Roman" w:cs="Times New Roman"/>
        </w:rPr>
        <w:t xml:space="preserve">A hallgató a félév </w:t>
      </w:r>
      <w:r>
        <w:rPr>
          <w:rFonts w:ascii="Times New Roman" w:eastAsia="Times New Roman" w:hAnsi="Times New Roman" w:cs="Times New Roman"/>
        </w:rPr>
        <w:t>során három</w:t>
      </w:r>
      <w:r w:rsidRPr="006331D3">
        <w:rPr>
          <w:rFonts w:ascii="Times New Roman" w:eastAsia="Times New Roman" w:hAnsi="Times New Roman" w:cs="Times New Roman"/>
        </w:rPr>
        <w:t xml:space="preserve"> zárthelyi dolgozatot ír. A zárthelyi dolgozatok értékelése ötfokozatú skála alapján történik (50 %-tól elégséges, 65 %-tól közepes, 75-tól % jó, 85 %-tól jeles). </w:t>
      </w:r>
    </w:p>
    <w:p w:rsidR="00C8331B" w:rsidRPr="000D191A" w:rsidRDefault="00C8331B" w:rsidP="00C8331B">
      <w:pPr>
        <w:widowControl w:val="0"/>
        <w:spacing w:before="120" w:after="120" w:line="240" w:lineRule="auto"/>
        <w:ind w:left="720"/>
        <w:jc w:val="both"/>
        <w:rPr>
          <w:rFonts w:ascii="Times New Roman" w:eastAsia="Times New Roman" w:hAnsi="Times New Roman" w:cs="Times New Roman"/>
          <w:bCs/>
        </w:rPr>
      </w:pPr>
      <w:r>
        <w:rPr>
          <w:rFonts w:ascii="Times New Roman" w:eastAsia="Times New Roman" w:hAnsi="Times New Roman" w:cs="Times New Roman"/>
        </w:rPr>
        <w:t>A zárthelyi dolgozat egyszer pótolható, illetve sikertelensége esetén javítható.</w:t>
      </w:r>
    </w:p>
    <w:p w:rsidR="00C8331B" w:rsidRDefault="00C8331B" w:rsidP="00980876">
      <w:pPr>
        <w:widowControl w:val="0"/>
        <w:numPr>
          <w:ilvl w:val="0"/>
          <w:numId w:val="383"/>
        </w:numPr>
        <w:tabs>
          <w:tab w:val="clear" w:pos="720"/>
          <w:tab w:val="num" w:pos="851"/>
        </w:tabs>
        <w:spacing w:before="120" w:after="120" w:line="240" w:lineRule="auto"/>
        <w:ind w:left="709" w:hanging="283"/>
        <w:jc w:val="both"/>
        <w:rPr>
          <w:rFonts w:ascii="Times New Roman" w:eastAsia="Times New Roman" w:hAnsi="Times New Roman" w:cs="Times New Roman"/>
          <w:b/>
          <w:bCs/>
        </w:rPr>
      </w:pPr>
      <w:r w:rsidRPr="00BC6E7B">
        <w:rPr>
          <w:rFonts w:ascii="Times New Roman" w:eastAsia="Times New Roman" w:hAnsi="Times New Roman" w:cs="Times New Roman"/>
          <w:b/>
          <w:bCs/>
        </w:rPr>
        <w:t xml:space="preserve">Az értékelés, az aláírás és a kreditek megszerzésének pontos feltételei: </w:t>
      </w:r>
    </w:p>
    <w:p w:rsidR="00C8331B" w:rsidRPr="000D191A" w:rsidRDefault="00C8331B" w:rsidP="00980876">
      <w:pPr>
        <w:widowControl w:val="0"/>
        <w:numPr>
          <w:ilvl w:val="1"/>
          <w:numId w:val="383"/>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0D191A">
        <w:rPr>
          <w:rFonts w:ascii="Times New Roman" w:eastAsia="Times New Roman" w:hAnsi="Times New Roman" w:cs="Times New Roman"/>
          <w:b/>
        </w:rPr>
        <w:t>Az aláírás megszerzésének feltételei:</w:t>
      </w:r>
      <w:r w:rsidRPr="000D191A">
        <w:rPr>
          <w:rFonts w:ascii="Times New Roman" w:eastAsia="Times New Roman" w:hAnsi="Times New Roman" w:cs="Times New Roman"/>
        </w:rPr>
        <w:t xml:space="preserve"> Az aláírás megszerzésének feltétele a 14. pontban meghatározott arányú részvétel a foglalkozásokon és a 15. pontban meghatározott félévközi feladatok legalább elégséges teljesítése</w:t>
      </w:r>
      <w:r>
        <w:rPr>
          <w:rFonts w:ascii="Times New Roman" w:eastAsia="Times New Roman" w:hAnsi="Times New Roman" w:cs="Times New Roman"/>
        </w:rPr>
        <w:t>.</w:t>
      </w:r>
    </w:p>
    <w:p w:rsidR="00C8331B" w:rsidRPr="00AF46D5" w:rsidRDefault="00C8331B" w:rsidP="00980876">
      <w:pPr>
        <w:widowControl w:val="0"/>
        <w:numPr>
          <w:ilvl w:val="1"/>
          <w:numId w:val="383"/>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BC6E7B">
        <w:rPr>
          <w:rFonts w:ascii="Times New Roman" w:eastAsia="Times New Roman" w:hAnsi="Times New Roman" w:cs="Times New Roman"/>
          <w:b/>
        </w:rPr>
        <w:t>Az értékelés:</w:t>
      </w:r>
      <w:r w:rsidRPr="00BC6E7B">
        <w:rPr>
          <w:rFonts w:ascii="Times New Roman" w:eastAsia="Times New Roman" w:hAnsi="Times New Roman" w:cs="Times New Roman"/>
        </w:rPr>
        <w:t xml:space="preserve"> </w:t>
      </w:r>
      <w:r>
        <w:rPr>
          <w:rFonts w:ascii="Times New Roman" w:eastAsia="Times New Roman" w:hAnsi="Times New Roman" w:cs="Times New Roman"/>
        </w:rPr>
        <w:t>Kollokvium</w:t>
      </w:r>
      <w:r w:rsidRPr="00AF46D5">
        <w:rPr>
          <w:rFonts w:ascii="Times New Roman" w:eastAsia="Times New Roman" w:hAnsi="Times New Roman" w:cs="Times New Roman"/>
        </w:rPr>
        <w:t xml:space="preserve"> </w:t>
      </w:r>
      <w:r>
        <w:rPr>
          <w:rFonts w:ascii="Times New Roman" w:eastAsia="Times New Roman" w:hAnsi="Times New Roman" w:cs="Times New Roman"/>
        </w:rPr>
        <w:t xml:space="preserve">- </w:t>
      </w:r>
      <w:r w:rsidRPr="00AF46D5">
        <w:rPr>
          <w:rFonts w:ascii="Times New Roman" w:eastAsia="Times New Roman" w:hAnsi="Times New Roman" w:cs="Times New Roman"/>
        </w:rPr>
        <w:t>írásbeli vizsga. A Tanszék beszámoló felkészülési kérdéseket ad ki. A vizsga tartalmát az előadáson elhangzottak és az alább felsorolt kötelező és ajánlott irodalmak anyagai képezik. A vizsgadolgozat értékelése: 0-50% - elégtelen, 51-70% - elégséges, 71-80% - közepe, 81-90% - jó, 91-100% - jeles.</w:t>
      </w:r>
    </w:p>
    <w:p w:rsidR="00C8331B" w:rsidRDefault="00C8331B" w:rsidP="00980876">
      <w:pPr>
        <w:widowControl w:val="0"/>
        <w:numPr>
          <w:ilvl w:val="1"/>
          <w:numId w:val="383"/>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BC6E7B">
        <w:rPr>
          <w:rFonts w:ascii="Times New Roman" w:eastAsia="Times New Roman" w:hAnsi="Times New Roman" w:cs="Times New Roman"/>
          <w:b/>
        </w:rPr>
        <w:t>A kreditek megszerzésének feltételei:</w:t>
      </w:r>
      <w:r w:rsidRPr="00BC6E7B">
        <w:rPr>
          <w:rFonts w:ascii="Times New Roman" w:eastAsia="Times New Roman" w:hAnsi="Times New Roman" w:cs="Times New Roman"/>
        </w:rPr>
        <w:t xml:space="preserve"> </w:t>
      </w:r>
    </w:p>
    <w:p w:rsidR="00C8331B" w:rsidRDefault="00C8331B" w:rsidP="00C8331B">
      <w:pPr>
        <w:widowControl w:val="0"/>
        <w:tabs>
          <w:tab w:val="left" w:pos="993"/>
        </w:tabs>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A kreditek megszerzésének feltétele az aláírás megszerzése és a kollokvium legalább elégséges teljesítése.</w:t>
      </w:r>
    </w:p>
    <w:p w:rsidR="00C8331B" w:rsidRPr="0035461C" w:rsidRDefault="00C8331B" w:rsidP="00980876">
      <w:pPr>
        <w:widowControl w:val="0"/>
        <w:numPr>
          <w:ilvl w:val="0"/>
          <w:numId w:val="383"/>
        </w:numPr>
        <w:tabs>
          <w:tab w:val="num" w:pos="643"/>
        </w:tabs>
        <w:spacing w:before="120" w:after="120" w:line="240" w:lineRule="auto"/>
        <w:ind w:left="426" w:firstLine="141"/>
        <w:jc w:val="both"/>
        <w:rPr>
          <w:rFonts w:ascii="Times New Roman" w:eastAsia="Times New Roman" w:hAnsi="Times New Roman" w:cs="Times New Roman"/>
          <w:bCs/>
        </w:rPr>
      </w:pPr>
      <w:r w:rsidRPr="00BC6E7B">
        <w:rPr>
          <w:rFonts w:ascii="Times New Roman" w:eastAsia="Times New Roman" w:hAnsi="Times New Roman" w:cs="Times New Roman"/>
          <w:b/>
          <w:bCs/>
        </w:rPr>
        <w:t>Irodalomjegyzék:</w:t>
      </w:r>
    </w:p>
    <w:p w:rsidR="00C8331B" w:rsidRPr="0035461C" w:rsidRDefault="00C8331B" w:rsidP="00980876">
      <w:pPr>
        <w:widowControl w:val="0"/>
        <w:numPr>
          <w:ilvl w:val="1"/>
          <w:numId w:val="383"/>
        </w:numPr>
        <w:tabs>
          <w:tab w:val="clear" w:pos="3977"/>
          <w:tab w:val="num" w:pos="567"/>
          <w:tab w:val="num" w:pos="999"/>
          <w:tab w:val="num" w:pos="2069"/>
        </w:tabs>
        <w:spacing w:before="120" w:after="120" w:line="240" w:lineRule="auto"/>
        <w:ind w:left="993" w:hanging="709"/>
        <w:jc w:val="both"/>
        <w:rPr>
          <w:rFonts w:ascii="Times New Roman" w:eastAsia="Times New Roman" w:hAnsi="Times New Roman" w:cs="Times New Roman"/>
          <w:b/>
          <w:bCs/>
        </w:rPr>
      </w:pPr>
      <w:r w:rsidRPr="0035461C">
        <w:rPr>
          <w:rFonts w:ascii="Times New Roman" w:eastAsia="Times New Roman" w:hAnsi="Times New Roman" w:cs="Times New Roman"/>
          <w:b/>
          <w:bCs/>
        </w:rPr>
        <w:t>Kötelező irodalom:</w:t>
      </w:r>
      <w:r>
        <w:rPr>
          <w:rFonts w:ascii="Times New Roman" w:eastAsia="Times New Roman" w:hAnsi="Times New Roman" w:cs="Times New Roman"/>
          <w:b/>
          <w:bCs/>
        </w:rPr>
        <w:t xml:space="preserve"> </w:t>
      </w:r>
      <w:r w:rsidRPr="00792575">
        <w:rPr>
          <w:rFonts w:ascii="Times New Roman" w:eastAsia="Times New Roman" w:hAnsi="Times New Roman" w:cs="Times New Roman"/>
          <w:bCs/>
        </w:rPr>
        <w:t>A tantárgy speciális katonai-szakmai jellege miatt csak jogszabályi irodalom áll rendelkezésre.</w:t>
      </w:r>
    </w:p>
    <w:p w:rsidR="00C8331B" w:rsidRPr="00C83EBE" w:rsidRDefault="00C8331B" w:rsidP="00980876">
      <w:pPr>
        <w:pStyle w:val="Listaszerbekezds"/>
        <w:widowControl w:val="0"/>
        <w:numPr>
          <w:ilvl w:val="2"/>
          <w:numId w:val="777"/>
        </w:numPr>
        <w:tabs>
          <w:tab w:val="left" w:pos="993"/>
        </w:tabs>
        <w:spacing w:before="120" w:after="120" w:line="240" w:lineRule="auto"/>
        <w:ind w:left="1418" w:hanging="338"/>
        <w:jc w:val="both"/>
        <w:rPr>
          <w:rFonts w:ascii="Times New Roman" w:eastAsia="Times New Roman" w:hAnsi="Times New Roman" w:cs="Times New Roman"/>
        </w:rPr>
      </w:pPr>
      <w:r w:rsidRPr="0088667A">
        <w:rPr>
          <w:rFonts w:ascii="Times New Roman" w:eastAsia="Times New Roman" w:hAnsi="Times New Roman" w:cs="Times New Roman"/>
        </w:rPr>
        <w:t>7/2019. (I. 31.)</w:t>
      </w:r>
      <w:r>
        <w:rPr>
          <w:rFonts w:ascii="Times New Roman" w:eastAsia="Times New Roman" w:hAnsi="Times New Roman" w:cs="Times New Roman"/>
        </w:rPr>
        <w:t xml:space="preserve"> </w:t>
      </w:r>
      <w:r w:rsidRPr="00C83EBE">
        <w:rPr>
          <w:rFonts w:ascii="Times New Roman" w:eastAsia="Times New Roman" w:hAnsi="Times New Roman" w:cs="Times New Roman"/>
        </w:rPr>
        <w:t>HM utasítás a honvédelmi szervezetek saját hatáskörű előirányzat-átcsoportosításának rendjéről</w:t>
      </w:r>
    </w:p>
    <w:p w:rsidR="00C8331B" w:rsidRPr="00C83EBE" w:rsidRDefault="00C8331B" w:rsidP="00980876">
      <w:pPr>
        <w:pStyle w:val="Listaszerbekezds"/>
        <w:widowControl w:val="0"/>
        <w:numPr>
          <w:ilvl w:val="2"/>
          <w:numId w:val="777"/>
        </w:numPr>
        <w:tabs>
          <w:tab w:val="left" w:pos="993"/>
        </w:tabs>
        <w:spacing w:before="120" w:after="120" w:line="240" w:lineRule="auto"/>
        <w:ind w:left="1418" w:hanging="338"/>
        <w:jc w:val="both"/>
        <w:rPr>
          <w:rFonts w:ascii="Times New Roman" w:eastAsia="Times New Roman" w:hAnsi="Times New Roman" w:cs="Times New Roman"/>
        </w:rPr>
      </w:pPr>
      <w:r w:rsidRPr="00C83EBE">
        <w:rPr>
          <w:rFonts w:ascii="Times New Roman" w:eastAsia="Times New Roman" w:hAnsi="Times New Roman" w:cs="Times New Roman"/>
        </w:rPr>
        <w:t>A tárgyévi intézményi és központi költségvetési javaslatok elkészítésének és jóváhagyásának rendjéről szóló körlevél</w:t>
      </w:r>
    </w:p>
    <w:p w:rsidR="00C8331B" w:rsidRDefault="00C8331B" w:rsidP="00980876">
      <w:pPr>
        <w:pStyle w:val="Listaszerbekezds"/>
        <w:widowControl w:val="0"/>
        <w:numPr>
          <w:ilvl w:val="2"/>
          <w:numId w:val="777"/>
        </w:numPr>
        <w:tabs>
          <w:tab w:val="left" w:pos="993"/>
        </w:tabs>
        <w:spacing w:before="120" w:after="120" w:line="240" w:lineRule="auto"/>
        <w:ind w:left="1418" w:hanging="338"/>
        <w:jc w:val="both"/>
        <w:rPr>
          <w:rFonts w:ascii="Times New Roman" w:eastAsia="Times New Roman" w:hAnsi="Times New Roman" w:cs="Times New Roman"/>
        </w:rPr>
      </w:pPr>
      <w:r w:rsidRPr="00C83EBE">
        <w:rPr>
          <w:rFonts w:ascii="Times New Roman" w:eastAsia="Times New Roman" w:hAnsi="Times New Roman" w:cs="Times New Roman"/>
        </w:rPr>
        <w:t>Az éves költségvetési beszámoló elkészítésének rendjéről szóló HM VGHÁT szakutasítás</w:t>
      </w:r>
    </w:p>
    <w:p w:rsidR="00C8331B" w:rsidRPr="00C83EBE" w:rsidRDefault="00C8331B" w:rsidP="00980876">
      <w:pPr>
        <w:widowControl w:val="0"/>
        <w:numPr>
          <w:ilvl w:val="1"/>
          <w:numId w:val="383"/>
        </w:numPr>
        <w:tabs>
          <w:tab w:val="clear" w:pos="3977"/>
          <w:tab w:val="num" w:pos="567"/>
          <w:tab w:val="num" w:pos="999"/>
          <w:tab w:val="num" w:pos="2069"/>
        </w:tabs>
        <w:spacing w:before="120" w:after="120" w:line="240" w:lineRule="auto"/>
        <w:ind w:left="993" w:hanging="709"/>
        <w:jc w:val="both"/>
        <w:rPr>
          <w:rFonts w:ascii="Times New Roman" w:eastAsia="Times New Roman" w:hAnsi="Times New Roman" w:cs="Times New Roman"/>
          <w:b/>
          <w:bCs/>
        </w:rPr>
      </w:pPr>
      <w:r w:rsidRPr="00BC6E7B">
        <w:rPr>
          <w:rFonts w:ascii="Times New Roman" w:eastAsia="Times New Roman" w:hAnsi="Times New Roman" w:cs="Times New Roman"/>
          <w:b/>
          <w:bCs/>
        </w:rPr>
        <w:t>Ajánlott irodalom:</w:t>
      </w:r>
      <w:r w:rsidR="004B2B12">
        <w:rPr>
          <w:rFonts w:ascii="Times New Roman" w:eastAsia="Times New Roman" w:hAnsi="Times New Roman" w:cs="Times New Roman"/>
          <w:b/>
          <w:bCs/>
        </w:rPr>
        <w:t xml:space="preserve"> </w:t>
      </w:r>
    </w:p>
    <w:p w:rsidR="004B2B12" w:rsidRPr="00C83EBE" w:rsidRDefault="004B2B12" w:rsidP="00980876">
      <w:pPr>
        <w:pStyle w:val="Listaszerbekezds"/>
        <w:widowControl w:val="0"/>
        <w:numPr>
          <w:ilvl w:val="2"/>
          <w:numId w:val="795"/>
        </w:numPr>
        <w:tabs>
          <w:tab w:val="left" w:pos="993"/>
        </w:tabs>
        <w:spacing w:before="120" w:after="120" w:line="240" w:lineRule="auto"/>
        <w:ind w:left="1418" w:hanging="362"/>
        <w:jc w:val="both"/>
        <w:rPr>
          <w:rFonts w:ascii="Times New Roman" w:eastAsia="Times New Roman" w:hAnsi="Times New Roman" w:cs="Times New Roman"/>
        </w:rPr>
      </w:pPr>
      <w:r w:rsidRPr="004B2B12">
        <w:rPr>
          <w:rFonts w:ascii="Times New Roman" w:eastAsia="Times New Roman" w:hAnsi="Times New Roman" w:cs="Times New Roman"/>
        </w:rPr>
        <w:t>Fülöp Katalin</w:t>
      </w:r>
      <w:r>
        <w:rPr>
          <w:rFonts w:ascii="Times New Roman" w:eastAsia="Times New Roman" w:hAnsi="Times New Roman" w:cs="Times New Roman"/>
        </w:rPr>
        <w:t xml:space="preserve">-Hutkai </w:t>
      </w:r>
      <w:r w:rsidRPr="004B2B12">
        <w:rPr>
          <w:rFonts w:ascii="Times New Roman" w:eastAsia="Times New Roman" w:hAnsi="Times New Roman" w:cs="Times New Roman"/>
        </w:rPr>
        <w:t>Zsanna</w:t>
      </w:r>
      <w:r>
        <w:rPr>
          <w:rFonts w:ascii="Times New Roman" w:eastAsia="Times New Roman" w:hAnsi="Times New Roman" w:cs="Times New Roman"/>
        </w:rPr>
        <w:t xml:space="preserve">: </w:t>
      </w:r>
      <w:r w:rsidRPr="004B2B12">
        <w:rPr>
          <w:rFonts w:ascii="Times New Roman" w:eastAsia="Times New Roman" w:hAnsi="Times New Roman" w:cs="Times New Roman"/>
        </w:rPr>
        <w:t>Államh</w:t>
      </w:r>
      <w:r>
        <w:rPr>
          <w:rFonts w:ascii="Times New Roman" w:eastAsia="Times New Roman" w:hAnsi="Times New Roman" w:cs="Times New Roman"/>
        </w:rPr>
        <w:t>á</w:t>
      </w:r>
      <w:r w:rsidRPr="004B2B12">
        <w:rPr>
          <w:rFonts w:ascii="Times New Roman" w:eastAsia="Times New Roman" w:hAnsi="Times New Roman" w:cs="Times New Roman"/>
        </w:rPr>
        <w:t>ztart</w:t>
      </w:r>
      <w:r>
        <w:rPr>
          <w:rFonts w:ascii="Times New Roman" w:eastAsia="Times New Roman" w:hAnsi="Times New Roman" w:cs="Times New Roman"/>
        </w:rPr>
        <w:t>á</w:t>
      </w:r>
      <w:r w:rsidRPr="004B2B12">
        <w:rPr>
          <w:rFonts w:ascii="Times New Roman" w:eastAsia="Times New Roman" w:hAnsi="Times New Roman" w:cs="Times New Roman"/>
        </w:rPr>
        <w:t>si, közpénzügyi és gazd</w:t>
      </w:r>
      <w:r>
        <w:rPr>
          <w:rFonts w:ascii="Times New Roman" w:eastAsia="Times New Roman" w:hAnsi="Times New Roman" w:cs="Times New Roman"/>
        </w:rPr>
        <w:t>á</w:t>
      </w:r>
      <w:r w:rsidRPr="004B2B12">
        <w:rPr>
          <w:rFonts w:ascii="Times New Roman" w:eastAsia="Times New Roman" w:hAnsi="Times New Roman" w:cs="Times New Roman"/>
        </w:rPr>
        <w:t>lkod</w:t>
      </w:r>
      <w:r>
        <w:rPr>
          <w:rFonts w:ascii="Times New Roman" w:eastAsia="Times New Roman" w:hAnsi="Times New Roman" w:cs="Times New Roman"/>
        </w:rPr>
        <w:t>á</w:t>
      </w:r>
      <w:r w:rsidRPr="004B2B12">
        <w:rPr>
          <w:rFonts w:ascii="Times New Roman" w:eastAsia="Times New Roman" w:hAnsi="Times New Roman" w:cs="Times New Roman"/>
        </w:rPr>
        <w:t>si ismeretek</w:t>
      </w:r>
      <w:r>
        <w:rPr>
          <w:rFonts w:ascii="Times New Roman" w:eastAsia="Times New Roman" w:hAnsi="Times New Roman" w:cs="Times New Roman"/>
        </w:rPr>
        <w:t>. NKE Vezető- és Továbbképző Intézet 2016. p.71 (elektornikus jegyzet)</w:t>
      </w:r>
    </w:p>
    <w:p w:rsidR="00C8331B" w:rsidRPr="0035461C" w:rsidRDefault="00C8331B" w:rsidP="00C8331B">
      <w:pPr>
        <w:pStyle w:val="Listaszerbekezds"/>
        <w:widowControl w:val="0"/>
        <w:tabs>
          <w:tab w:val="left" w:pos="993"/>
        </w:tabs>
        <w:spacing w:before="120" w:after="120" w:line="240" w:lineRule="auto"/>
        <w:ind w:left="1584"/>
        <w:jc w:val="both"/>
        <w:rPr>
          <w:rFonts w:ascii="Times New Roman" w:eastAsia="Times New Roman" w:hAnsi="Times New Roman" w:cs="Times New Roman"/>
        </w:rPr>
      </w:pPr>
    </w:p>
    <w:p w:rsidR="00C8331B" w:rsidRPr="00BC6E7B" w:rsidRDefault="00C8331B" w:rsidP="00C8331B">
      <w:pPr>
        <w:widowControl w:val="0"/>
        <w:spacing w:before="120" w:after="120" w:line="240" w:lineRule="auto"/>
        <w:jc w:val="both"/>
        <w:rPr>
          <w:rFonts w:ascii="Times New Roman" w:eastAsia="Times New Roman" w:hAnsi="Times New Roman" w:cs="Times New Roman"/>
          <w:bCs/>
        </w:rPr>
      </w:pPr>
      <w:r w:rsidRPr="0035461C">
        <w:rPr>
          <w:rFonts w:ascii="Times New Roman" w:eastAsia="Times New Roman" w:hAnsi="Times New Roman" w:cs="Times New Roman"/>
          <w:bCs/>
        </w:rPr>
        <w:t>Budapest, 20</w:t>
      </w:r>
      <w:r>
        <w:rPr>
          <w:rFonts w:ascii="Times New Roman" w:eastAsia="Times New Roman" w:hAnsi="Times New Roman" w:cs="Times New Roman"/>
          <w:bCs/>
        </w:rPr>
        <w:t>20</w:t>
      </w:r>
      <w:r w:rsidRPr="0035461C">
        <w:rPr>
          <w:rFonts w:ascii="Times New Roman" w:eastAsia="Times New Roman" w:hAnsi="Times New Roman" w:cs="Times New Roman"/>
          <w:bCs/>
        </w:rPr>
        <w:t>.</w:t>
      </w:r>
      <w:r>
        <w:rPr>
          <w:rFonts w:ascii="Times New Roman" w:eastAsia="Times New Roman" w:hAnsi="Times New Roman" w:cs="Times New Roman"/>
          <w:bCs/>
        </w:rPr>
        <w:t>02</w:t>
      </w:r>
      <w:r w:rsidRPr="0035461C">
        <w:rPr>
          <w:rFonts w:ascii="Times New Roman" w:eastAsia="Times New Roman" w:hAnsi="Times New Roman" w:cs="Times New Roman"/>
          <w:bCs/>
        </w:rPr>
        <w:t>.2</w:t>
      </w:r>
      <w:r>
        <w:rPr>
          <w:rFonts w:ascii="Times New Roman" w:eastAsia="Times New Roman" w:hAnsi="Times New Roman" w:cs="Times New Roman"/>
          <w:bCs/>
        </w:rPr>
        <w:t>0.</w:t>
      </w:r>
    </w:p>
    <w:p w:rsidR="00C8331B" w:rsidRPr="00953CA0" w:rsidRDefault="00C8331B" w:rsidP="00C8331B">
      <w:pPr>
        <w:widowControl w:val="0"/>
        <w:spacing w:after="0" w:line="240" w:lineRule="auto"/>
        <w:ind w:left="5664" w:firstLine="708"/>
        <w:jc w:val="center"/>
        <w:rPr>
          <w:rFonts w:ascii="Times New Roman" w:eastAsia="Times New Roman" w:hAnsi="Times New Roman" w:cs="Times New Roman"/>
          <w:b/>
          <w:bCs/>
        </w:rPr>
      </w:pPr>
      <w:r w:rsidRPr="00953CA0">
        <w:rPr>
          <w:rFonts w:ascii="Times New Roman" w:eastAsia="Times New Roman" w:hAnsi="Times New Roman" w:cs="Times New Roman"/>
          <w:b/>
          <w:bCs/>
        </w:rPr>
        <w:t>Dr. Taksás Balázs (PhD)</w:t>
      </w:r>
    </w:p>
    <w:p w:rsidR="00C8331B" w:rsidRDefault="00C8331B" w:rsidP="00C8331B">
      <w:pPr>
        <w:widowControl w:val="0"/>
        <w:spacing w:after="0" w:line="240" w:lineRule="auto"/>
        <w:ind w:left="5664" w:firstLine="708"/>
        <w:jc w:val="center"/>
        <w:rPr>
          <w:rFonts w:ascii="Times New Roman" w:eastAsia="Times New Roman" w:hAnsi="Times New Roman" w:cs="Times New Roman"/>
          <w:bCs/>
        </w:rPr>
      </w:pPr>
      <w:r>
        <w:rPr>
          <w:rFonts w:ascii="Times New Roman" w:eastAsia="Times New Roman" w:hAnsi="Times New Roman" w:cs="Times New Roman"/>
          <w:bCs/>
        </w:rPr>
        <w:t>egyetemi docens s.k.</w:t>
      </w:r>
    </w:p>
    <w:p w:rsidR="00C8331B" w:rsidRDefault="00C8331B">
      <w:pPr>
        <w:spacing w:after="200" w:line="276" w:lineRule="auto"/>
        <w:rPr>
          <w:rFonts w:ascii="Times New Roman" w:hAnsi="Times New Roman" w:cs="Times New Roman"/>
          <w:b/>
          <w:color w:val="FF0000"/>
          <w:sz w:val="24"/>
        </w:rPr>
      </w:pPr>
    </w:p>
    <w:p w:rsidR="00D50526" w:rsidRDefault="00D50526">
      <w:pPr>
        <w:spacing w:after="200" w:line="276" w:lineRule="auto"/>
        <w:rPr>
          <w:rFonts w:ascii="Times New Roman" w:hAnsi="Times New Roman" w:cs="Times New Roman"/>
          <w:b/>
          <w:color w:val="FF0000"/>
          <w:sz w:val="24"/>
        </w:rPr>
      </w:pPr>
      <w:r>
        <w:rPr>
          <w:rFonts w:ascii="Times New Roman" w:hAnsi="Times New Roman" w:cs="Times New Roman"/>
          <w:b/>
          <w:color w:val="FF0000"/>
          <w:sz w:val="24"/>
        </w:rPr>
        <w:br w:type="page"/>
      </w:r>
    </w:p>
    <w:tbl>
      <w:tblPr>
        <w:tblW w:w="9072" w:type="dxa"/>
        <w:tblInd w:w="113" w:type="dxa"/>
        <w:tblLook w:val="01E0" w:firstRow="1" w:lastRow="1" w:firstColumn="1" w:lastColumn="1" w:noHBand="0" w:noVBand="0"/>
      </w:tblPr>
      <w:tblGrid>
        <w:gridCol w:w="4855"/>
        <w:gridCol w:w="1620"/>
        <w:gridCol w:w="2597"/>
      </w:tblGrid>
      <w:tr w:rsidR="00D50526" w:rsidRPr="00BC6E7B" w:rsidTr="00ED3CE1">
        <w:tc>
          <w:tcPr>
            <w:tcW w:w="4855" w:type="dxa"/>
            <w:tcBorders>
              <w:bottom w:val="single" w:sz="4" w:space="0" w:color="auto"/>
            </w:tcBorders>
          </w:tcPr>
          <w:p w:rsidR="00D50526" w:rsidRPr="00BC6E7B" w:rsidRDefault="00D50526" w:rsidP="00ED3CE1">
            <w:pPr>
              <w:spacing w:after="0" w:line="240" w:lineRule="auto"/>
              <w:jc w:val="center"/>
              <w:rPr>
                <w:rFonts w:ascii="Times New Roman" w:eastAsia="Times New Roman" w:hAnsi="Times New Roman" w:cs="Times New Roman"/>
                <w:b/>
                <w:smallCaps/>
                <w:lang w:eastAsia="hu-HU"/>
              </w:rPr>
            </w:pPr>
            <w:r w:rsidRPr="00BC6E7B">
              <w:rPr>
                <w:rFonts w:ascii="Times New Roman" w:eastAsia="Times New Roman" w:hAnsi="Times New Roman" w:cs="Times New Roman"/>
                <w:b/>
                <w:smallCaps/>
                <w:lang w:eastAsia="hu-HU"/>
              </w:rPr>
              <w:lastRenderedPageBreak/>
              <w:t>Nemzeti Közszolgálati Egyetem</w:t>
            </w:r>
          </w:p>
        </w:tc>
        <w:tc>
          <w:tcPr>
            <w:tcW w:w="1620" w:type="dxa"/>
          </w:tcPr>
          <w:p w:rsidR="00D50526" w:rsidRPr="00BC6E7B" w:rsidRDefault="00D50526" w:rsidP="00ED3CE1">
            <w:pPr>
              <w:spacing w:after="0" w:line="240" w:lineRule="auto"/>
              <w:jc w:val="both"/>
              <w:rPr>
                <w:rFonts w:ascii="Times New Roman" w:eastAsia="Times New Roman" w:hAnsi="Times New Roman" w:cs="Times New Roman"/>
                <w:lang w:eastAsia="hu-HU"/>
              </w:rPr>
            </w:pPr>
          </w:p>
        </w:tc>
        <w:tc>
          <w:tcPr>
            <w:tcW w:w="2597" w:type="dxa"/>
          </w:tcPr>
          <w:p w:rsidR="00D50526" w:rsidRPr="00BC6E7B" w:rsidRDefault="00D50526" w:rsidP="00ED3CE1">
            <w:pPr>
              <w:spacing w:after="0" w:line="240" w:lineRule="auto"/>
              <w:jc w:val="right"/>
              <w:rPr>
                <w:rFonts w:ascii="Times New Roman" w:eastAsia="Times New Roman" w:hAnsi="Times New Roman" w:cs="Times New Roman"/>
                <w:lang w:eastAsia="hu-HU"/>
              </w:rPr>
            </w:pPr>
          </w:p>
        </w:tc>
      </w:tr>
      <w:tr w:rsidR="00D50526" w:rsidTr="00ED3CE1">
        <w:tc>
          <w:tcPr>
            <w:tcW w:w="4855" w:type="dxa"/>
            <w:tcBorders>
              <w:top w:val="single" w:sz="4" w:space="0" w:color="auto"/>
              <w:left w:val="nil"/>
              <w:bottom w:val="nil"/>
              <w:right w:val="nil"/>
            </w:tcBorders>
            <w:hideMark/>
          </w:tcPr>
          <w:p w:rsidR="00D50526" w:rsidRPr="00F644B4" w:rsidRDefault="00D50526" w:rsidP="00ED3CE1">
            <w:pPr>
              <w:pStyle w:val="Szvegtrzs"/>
              <w:jc w:val="center"/>
              <w:rPr>
                <w:b/>
              </w:rPr>
            </w:pPr>
            <w:r>
              <w:rPr>
                <w:b/>
              </w:rPr>
              <w:t>Hadtudományi és Honvédtisztképző</w:t>
            </w:r>
            <w:r w:rsidRPr="00F644B4">
              <w:rPr>
                <w:b/>
              </w:rPr>
              <w:t xml:space="preserve"> Kar</w:t>
            </w:r>
          </w:p>
        </w:tc>
        <w:tc>
          <w:tcPr>
            <w:tcW w:w="1620" w:type="dxa"/>
          </w:tcPr>
          <w:p w:rsidR="00D50526" w:rsidRDefault="00D50526" w:rsidP="00ED3CE1">
            <w:pPr>
              <w:pStyle w:val="Szvegtrzs"/>
            </w:pPr>
          </w:p>
        </w:tc>
        <w:tc>
          <w:tcPr>
            <w:tcW w:w="2597" w:type="dxa"/>
          </w:tcPr>
          <w:p w:rsidR="00D50526" w:rsidRDefault="00D50526" w:rsidP="00ED3CE1">
            <w:pPr>
              <w:pStyle w:val="Szvegtrzs"/>
            </w:pPr>
          </w:p>
        </w:tc>
      </w:tr>
    </w:tbl>
    <w:p w:rsidR="00D50526" w:rsidRDefault="00D50526" w:rsidP="00D50526">
      <w:pPr>
        <w:widowControl w:val="0"/>
        <w:spacing w:before="120" w:after="120" w:line="240" w:lineRule="auto"/>
        <w:ind w:left="426" w:hanging="142"/>
        <w:jc w:val="center"/>
        <w:rPr>
          <w:rFonts w:ascii="Times New Roman" w:eastAsia="Times New Roman" w:hAnsi="Times New Roman" w:cs="Times New Roman"/>
          <w:b/>
          <w:bCs/>
        </w:rPr>
      </w:pPr>
    </w:p>
    <w:p w:rsidR="00D50526" w:rsidRPr="00BC6E7B" w:rsidRDefault="00D50526" w:rsidP="00D50526">
      <w:pPr>
        <w:widowControl w:val="0"/>
        <w:spacing w:before="120" w:after="120" w:line="240" w:lineRule="auto"/>
        <w:ind w:left="426" w:hanging="142"/>
        <w:jc w:val="center"/>
        <w:rPr>
          <w:rFonts w:ascii="Times New Roman" w:eastAsia="Times New Roman" w:hAnsi="Times New Roman" w:cs="Times New Roman"/>
          <w:b/>
          <w:bCs/>
        </w:rPr>
      </w:pPr>
      <w:r w:rsidRPr="00BC6E7B">
        <w:rPr>
          <w:rFonts w:ascii="Times New Roman" w:eastAsia="Times New Roman" w:hAnsi="Times New Roman" w:cs="Times New Roman"/>
          <w:b/>
          <w:bCs/>
        </w:rPr>
        <w:t>TANTÁRGYI PROGRAM</w:t>
      </w:r>
    </w:p>
    <w:p w:rsidR="00D50526" w:rsidRPr="00BC6E7B" w:rsidRDefault="00D50526" w:rsidP="00980876">
      <w:pPr>
        <w:widowControl w:val="0"/>
        <w:numPr>
          <w:ilvl w:val="0"/>
          <w:numId w:val="386"/>
        </w:numPr>
        <w:tabs>
          <w:tab w:val="clear" w:pos="720"/>
          <w:tab w:val="num" w:pos="643"/>
        </w:tabs>
        <w:spacing w:before="120" w:after="120" w:line="240" w:lineRule="auto"/>
        <w:ind w:left="643"/>
        <w:jc w:val="both"/>
        <w:rPr>
          <w:rFonts w:ascii="Times New Roman" w:eastAsia="Times New Roman" w:hAnsi="Times New Roman" w:cs="Times New Roman"/>
          <w:bCs/>
        </w:rPr>
      </w:pPr>
      <w:r w:rsidRPr="00BC6E7B">
        <w:rPr>
          <w:rFonts w:ascii="Times New Roman" w:eastAsia="Times New Roman" w:hAnsi="Times New Roman" w:cs="Times New Roman"/>
          <w:b/>
          <w:bCs/>
        </w:rPr>
        <w:t>A tantárgy kódja:</w:t>
      </w:r>
      <w:r>
        <w:rPr>
          <w:rFonts w:ascii="Times New Roman" w:eastAsia="Times New Roman" w:hAnsi="Times New Roman" w:cs="Times New Roman"/>
          <w:b/>
          <w:bCs/>
        </w:rPr>
        <w:t xml:space="preserve"> </w:t>
      </w:r>
      <w:r w:rsidRPr="00C049A5">
        <w:rPr>
          <w:rFonts w:ascii="Times New Roman" w:eastAsia="Times New Roman" w:hAnsi="Times New Roman" w:cs="Times New Roman"/>
          <w:bCs/>
        </w:rPr>
        <w:t>HKHPKA506</w:t>
      </w:r>
    </w:p>
    <w:p w:rsidR="00D50526" w:rsidRPr="00A6100B" w:rsidRDefault="00D50526" w:rsidP="00980876">
      <w:pPr>
        <w:widowControl w:val="0"/>
        <w:numPr>
          <w:ilvl w:val="0"/>
          <w:numId w:val="386"/>
        </w:numPr>
        <w:tabs>
          <w:tab w:val="clear" w:pos="720"/>
          <w:tab w:val="num" w:pos="643"/>
        </w:tabs>
        <w:spacing w:before="120" w:after="120" w:line="240" w:lineRule="auto"/>
        <w:ind w:left="643"/>
        <w:jc w:val="both"/>
        <w:rPr>
          <w:rFonts w:ascii="Times New Roman" w:eastAsia="Times New Roman" w:hAnsi="Times New Roman" w:cs="Times New Roman"/>
          <w:b/>
          <w:bCs/>
          <w:lang w:val="en-GB"/>
        </w:rPr>
      </w:pPr>
      <w:r w:rsidRPr="00A6100B">
        <w:rPr>
          <w:rFonts w:ascii="Times New Roman" w:eastAsia="Times New Roman" w:hAnsi="Times New Roman" w:cs="Times New Roman"/>
          <w:b/>
          <w:bCs/>
        </w:rPr>
        <w:t>A tantárgy megnevezése (magyarul):</w:t>
      </w:r>
      <w:r w:rsidRPr="00A6100B">
        <w:rPr>
          <w:bCs/>
        </w:rPr>
        <w:t xml:space="preserve"> </w:t>
      </w:r>
      <w:r w:rsidRPr="00646799">
        <w:rPr>
          <w:rFonts w:ascii="Times New Roman" w:hAnsi="Times New Roman" w:cs="Times New Roman"/>
          <w:bCs/>
          <w:sz w:val="24"/>
          <w:szCs w:val="24"/>
          <w:lang w:eastAsia="x-none"/>
        </w:rPr>
        <w:t>Katonai pénzügyi ellátás I</w:t>
      </w:r>
      <w:r>
        <w:rPr>
          <w:rFonts w:ascii="Times New Roman" w:hAnsi="Times New Roman" w:cs="Times New Roman"/>
          <w:bCs/>
          <w:sz w:val="24"/>
          <w:szCs w:val="24"/>
          <w:lang w:eastAsia="x-none"/>
        </w:rPr>
        <w:t>I</w:t>
      </w:r>
      <w:r w:rsidRPr="00646799">
        <w:rPr>
          <w:rFonts w:ascii="Times New Roman" w:hAnsi="Times New Roman" w:cs="Times New Roman"/>
          <w:bCs/>
          <w:sz w:val="24"/>
          <w:szCs w:val="24"/>
          <w:lang w:eastAsia="x-none"/>
        </w:rPr>
        <w:t>.</w:t>
      </w:r>
    </w:p>
    <w:p w:rsidR="00D50526" w:rsidRPr="00A6100B" w:rsidRDefault="00D50526" w:rsidP="00980876">
      <w:pPr>
        <w:widowControl w:val="0"/>
        <w:numPr>
          <w:ilvl w:val="0"/>
          <w:numId w:val="386"/>
        </w:numPr>
        <w:tabs>
          <w:tab w:val="clear" w:pos="720"/>
          <w:tab w:val="num" w:pos="643"/>
        </w:tabs>
        <w:spacing w:before="120" w:after="120" w:line="240" w:lineRule="auto"/>
        <w:ind w:left="643"/>
        <w:jc w:val="both"/>
        <w:rPr>
          <w:rFonts w:ascii="Times New Roman" w:eastAsia="Times New Roman" w:hAnsi="Times New Roman" w:cs="Times New Roman"/>
          <w:b/>
          <w:bCs/>
          <w:lang w:val="en-GB"/>
        </w:rPr>
      </w:pPr>
      <w:r w:rsidRPr="00A6100B">
        <w:rPr>
          <w:rFonts w:ascii="Times New Roman" w:eastAsia="Times New Roman" w:hAnsi="Times New Roman" w:cs="Times New Roman"/>
          <w:b/>
          <w:bCs/>
        </w:rPr>
        <w:t>A tantárgy megnevezése (angolul):</w:t>
      </w:r>
      <w:r w:rsidRPr="00A6100B">
        <w:rPr>
          <w:bCs/>
        </w:rPr>
        <w:t xml:space="preserve"> </w:t>
      </w:r>
      <w:r>
        <w:rPr>
          <w:rFonts w:ascii="Times New Roman" w:eastAsia="Times New Roman" w:hAnsi="Times New Roman" w:cs="Times New Roman"/>
          <w:bCs/>
        </w:rPr>
        <w:t>Military Financial Supply II.</w:t>
      </w:r>
    </w:p>
    <w:p w:rsidR="00D50526" w:rsidRPr="00C049A5" w:rsidRDefault="00D50526" w:rsidP="00980876">
      <w:pPr>
        <w:widowControl w:val="0"/>
        <w:numPr>
          <w:ilvl w:val="0"/>
          <w:numId w:val="386"/>
        </w:numPr>
        <w:tabs>
          <w:tab w:val="clear" w:pos="720"/>
          <w:tab w:val="num" w:pos="567"/>
          <w:tab w:val="num" w:pos="643"/>
        </w:tabs>
        <w:spacing w:before="120" w:after="120" w:line="240" w:lineRule="auto"/>
        <w:ind w:left="426" w:hanging="142"/>
        <w:jc w:val="both"/>
        <w:rPr>
          <w:rFonts w:ascii="Times New Roman" w:eastAsia="Times New Roman" w:hAnsi="Times New Roman" w:cs="Times New Roman"/>
          <w:b/>
          <w:bCs/>
        </w:rPr>
      </w:pPr>
      <w:r w:rsidRPr="00C049A5">
        <w:rPr>
          <w:rFonts w:ascii="Times New Roman" w:eastAsia="Times New Roman" w:hAnsi="Times New Roman" w:cs="Times New Roman"/>
          <w:b/>
          <w:bCs/>
        </w:rPr>
        <w:t xml:space="preserve">Kreditérték és képzési karakter: </w:t>
      </w:r>
    </w:p>
    <w:p w:rsidR="00D50526" w:rsidRPr="00C049A5" w:rsidRDefault="00D50526" w:rsidP="00980876">
      <w:pPr>
        <w:pStyle w:val="Listaszerbekezds"/>
        <w:widowControl w:val="0"/>
        <w:numPr>
          <w:ilvl w:val="1"/>
          <w:numId w:val="386"/>
        </w:numPr>
        <w:tabs>
          <w:tab w:val="clear" w:pos="3977"/>
          <w:tab w:val="num" w:pos="999"/>
        </w:tabs>
        <w:spacing w:before="120" w:after="120" w:line="240" w:lineRule="auto"/>
        <w:ind w:left="993" w:hanging="426"/>
        <w:jc w:val="both"/>
        <w:rPr>
          <w:rFonts w:ascii="Times New Roman" w:eastAsia="Times New Roman" w:hAnsi="Times New Roman" w:cs="Times New Roman"/>
          <w:b/>
          <w:bCs/>
        </w:rPr>
      </w:pPr>
      <w:r w:rsidRPr="00C049A5">
        <w:rPr>
          <w:rFonts w:ascii="Times New Roman" w:eastAsia="Times New Roman" w:hAnsi="Times New Roman" w:cs="Times New Roman"/>
          <w:bCs/>
        </w:rPr>
        <w:t>4 kredit</w:t>
      </w:r>
    </w:p>
    <w:p w:rsidR="00D50526" w:rsidRPr="00C049A5" w:rsidRDefault="00D50526" w:rsidP="00980876">
      <w:pPr>
        <w:pStyle w:val="Listaszerbekezds"/>
        <w:widowControl w:val="0"/>
        <w:numPr>
          <w:ilvl w:val="1"/>
          <w:numId w:val="386"/>
        </w:numPr>
        <w:tabs>
          <w:tab w:val="clear" w:pos="3977"/>
          <w:tab w:val="num" w:pos="999"/>
        </w:tabs>
        <w:spacing w:before="120" w:after="120" w:line="240" w:lineRule="auto"/>
        <w:ind w:left="993" w:hanging="426"/>
        <w:jc w:val="both"/>
        <w:rPr>
          <w:rFonts w:ascii="Times New Roman" w:eastAsia="Times New Roman" w:hAnsi="Times New Roman" w:cs="Times New Roman"/>
          <w:b/>
          <w:bCs/>
        </w:rPr>
      </w:pPr>
      <w:r w:rsidRPr="00C049A5">
        <w:rPr>
          <w:rFonts w:ascii="Times New Roman" w:eastAsia="Times New Roman" w:hAnsi="Times New Roman" w:cs="Times New Roman"/>
          <w:bCs/>
        </w:rPr>
        <w:t xml:space="preserve">a tantárgy elméleti vagy gyakorlati jellegének mértéke: </w:t>
      </w:r>
      <w:r>
        <w:rPr>
          <w:rFonts w:ascii="Times New Roman" w:eastAsia="Times New Roman" w:hAnsi="Times New Roman" w:cs="Times New Roman"/>
          <w:bCs/>
        </w:rPr>
        <w:t>50</w:t>
      </w:r>
      <w:r w:rsidRPr="00C049A5">
        <w:rPr>
          <w:rFonts w:ascii="Times New Roman" w:eastAsia="Times New Roman" w:hAnsi="Times New Roman" w:cs="Times New Roman"/>
          <w:b/>
          <w:bCs/>
        </w:rPr>
        <w:t xml:space="preserve"> </w:t>
      </w:r>
      <w:r w:rsidRPr="00C049A5">
        <w:rPr>
          <w:rFonts w:ascii="Times New Roman" w:eastAsia="Times New Roman" w:hAnsi="Times New Roman" w:cs="Times New Roman"/>
          <w:bCs/>
        </w:rPr>
        <w:t>% gyakorlat, 5</w:t>
      </w:r>
      <w:r>
        <w:rPr>
          <w:rFonts w:ascii="Times New Roman" w:eastAsia="Times New Roman" w:hAnsi="Times New Roman" w:cs="Times New Roman"/>
          <w:bCs/>
        </w:rPr>
        <w:t>0</w:t>
      </w:r>
      <w:r w:rsidRPr="00C049A5">
        <w:rPr>
          <w:rFonts w:ascii="Times New Roman" w:eastAsia="Times New Roman" w:hAnsi="Times New Roman" w:cs="Times New Roman"/>
          <w:bCs/>
        </w:rPr>
        <w:t xml:space="preserve"> % elmélet</w:t>
      </w:r>
    </w:p>
    <w:p w:rsidR="00D50526" w:rsidRPr="00BC6E7B" w:rsidRDefault="00D50526" w:rsidP="00980876">
      <w:pPr>
        <w:widowControl w:val="0"/>
        <w:numPr>
          <w:ilvl w:val="0"/>
          <w:numId w:val="386"/>
        </w:numPr>
        <w:tabs>
          <w:tab w:val="clear" w:pos="720"/>
          <w:tab w:val="num" w:pos="643"/>
        </w:tabs>
        <w:spacing w:before="120" w:after="120" w:line="240" w:lineRule="auto"/>
        <w:ind w:left="643"/>
        <w:jc w:val="both"/>
        <w:rPr>
          <w:rFonts w:ascii="Times New Roman" w:eastAsia="Times New Roman" w:hAnsi="Times New Roman" w:cs="Times New Roman"/>
          <w:bCs/>
        </w:rPr>
      </w:pPr>
      <w:r w:rsidRPr="00BC6E7B">
        <w:rPr>
          <w:rFonts w:ascii="Times New Roman" w:eastAsia="Times New Roman" w:hAnsi="Times New Roman" w:cs="Times New Roman"/>
          <w:b/>
          <w:bCs/>
        </w:rPr>
        <w:t xml:space="preserve">A szak(ok), </w:t>
      </w:r>
      <w:r w:rsidRPr="00C049A5">
        <w:rPr>
          <w:rFonts w:ascii="Times New Roman" w:eastAsia="Times New Roman" w:hAnsi="Times New Roman" w:cs="Times New Roman"/>
          <w:b/>
          <w:bCs/>
        </w:rPr>
        <w:t>szakirányok/specializációk</w:t>
      </w:r>
      <w:r w:rsidRPr="00BC6E7B">
        <w:rPr>
          <w:rFonts w:ascii="Times New Roman" w:eastAsia="Times New Roman" w:hAnsi="Times New Roman" w:cs="Times New Roman"/>
          <w:b/>
          <w:bCs/>
        </w:rPr>
        <w:t xml:space="preserve"> megnevezése (ahol oktatják):</w:t>
      </w:r>
      <w:r w:rsidRPr="00BC6E7B">
        <w:rPr>
          <w:rFonts w:ascii="Times New Roman" w:eastAsia="Times New Roman" w:hAnsi="Times New Roman" w:cs="Times New Roman"/>
          <w:bCs/>
        </w:rPr>
        <w:t xml:space="preserve"> </w:t>
      </w:r>
      <w:r w:rsidRPr="00B50509">
        <w:rPr>
          <w:rFonts w:ascii="Times New Roman" w:eastAsia="Times New Roman" w:hAnsi="Times New Roman" w:cs="Times New Roman"/>
          <w:bCs/>
        </w:rPr>
        <w:t xml:space="preserve">Katonai logisztika alapképzési szak, </w:t>
      </w:r>
      <w:r>
        <w:rPr>
          <w:rFonts w:ascii="Times New Roman" w:eastAsia="Times New Roman" w:hAnsi="Times New Roman" w:cs="Times New Roman"/>
          <w:bCs/>
        </w:rPr>
        <w:t>Katonai pénzügyi specializáció</w:t>
      </w:r>
    </w:p>
    <w:p w:rsidR="00D50526" w:rsidRDefault="00D50526" w:rsidP="00980876">
      <w:pPr>
        <w:widowControl w:val="0"/>
        <w:numPr>
          <w:ilvl w:val="0"/>
          <w:numId w:val="386"/>
        </w:numPr>
        <w:tabs>
          <w:tab w:val="clear" w:pos="720"/>
          <w:tab w:val="num" w:pos="567"/>
          <w:tab w:val="num" w:pos="643"/>
        </w:tabs>
        <w:spacing w:before="120" w:after="120" w:line="240" w:lineRule="auto"/>
        <w:ind w:left="426" w:hanging="142"/>
        <w:jc w:val="both"/>
        <w:rPr>
          <w:rFonts w:ascii="Times New Roman" w:eastAsia="Times New Roman" w:hAnsi="Times New Roman" w:cs="Times New Roman"/>
          <w:bCs/>
        </w:rPr>
      </w:pPr>
      <w:r w:rsidRPr="00BC6E7B">
        <w:rPr>
          <w:rFonts w:ascii="Times New Roman" w:eastAsia="Times New Roman" w:hAnsi="Times New Roman" w:cs="Times New Roman"/>
          <w:b/>
          <w:bCs/>
        </w:rPr>
        <w:t>Az oktatásért felelős oktatási</w:t>
      </w:r>
      <w:r>
        <w:rPr>
          <w:rFonts w:ascii="Times New Roman" w:eastAsia="Times New Roman" w:hAnsi="Times New Roman" w:cs="Times New Roman"/>
          <w:b/>
          <w:bCs/>
        </w:rPr>
        <w:t xml:space="preserve"> szervezeti egység megnevezése:</w:t>
      </w:r>
      <w:r w:rsidRPr="0078259C">
        <w:rPr>
          <w:bCs/>
        </w:rPr>
        <w:t xml:space="preserve"> </w:t>
      </w:r>
      <w:r w:rsidRPr="00A6100B">
        <w:rPr>
          <w:rFonts w:ascii="Times New Roman" w:eastAsia="Times New Roman" w:hAnsi="Times New Roman" w:cs="Times New Roman"/>
          <w:bCs/>
        </w:rPr>
        <w:t>NKE Hadtudományi és Honvédtisztképző Kar, Hadtáp</w:t>
      </w:r>
      <w:r>
        <w:rPr>
          <w:rFonts w:ascii="Times New Roman" w:eastAsia="Times New Roman" w:hAnsi="Times New Roman" w:cs="Times New Roman"/>
          <w:bCs/>
        </w:rPr>
        <w:t>, Pénzügyi</w:t>
      </w:r>
      <w:r w:rsidRPr="00A6100B">
        <w:rPr>
          <w:rFonts w:ascii="Times New Roman" w:eastAsia="Times New Roman" w:hAnsi="Times New Roman" w:cs="Times New Roman"/>
          <w:bCs/>
        </w:rPr>
        <w:t xml:space="preserve"> és Katonai Közlekedési Tanszék </w:t>
      </w:r>
    </w:p>
    <w:p w:rsidR="00D50526" w:rsidRPr="00C049A5" w:rsidRDefault="00D50526" w:rsidP="00980876">
      <w:pPr>
        <w:widowControl w:val="0"/>
        <w:numPr>
          <w:ilvl w:val="0"/>
          <w:numId w:val="386"/>
        </w:numPr>
        <w:tabs>
          <w:tab w:val="clear" w:pos="720"/>
          <w:tab w:val="num" w:pos="567"/>
          <w:tab w:val="num" w:pos="643"/>
        </w:tabs>
        <w:spacing w:before="120" w:after="120" w:line="240" w:lineRule="auto"/>
        <w:ind w:left="426" w:hanging="142"/>
        <w:jc w:val="both"/>
        <w:rPr>
          <w:rFonts w:ascii="Times New Roman" w:eastAsia="Times New Roman" w:hAnsi="Times New Roman" w:cs="Times New Roman"/>
          <w:bCs/>
        </w:rPr>
      </w:pPr>
      <w:r w:rsidRPr="00C049A5">
        <w:rPr>
          <w:rFonts w:ascii="Times New Roman" w:eastAsia="Times New Roman" w:hAnsi="Times New Roman" w:cs="Times New Roman"/>
          <w:b/>
          <w:bCs/>
        </w:rPr>
        <w:t>A tantárgyfelelős oktató neve, beosztása, tudományos fokozata:</w:t>
      </w:r>
      <w:r w:rsidRPr="00C049A5">
        <w:rPr>
          <w:rFonts w:ascii="Times New Roman" w:eastAsia="Times New Roman" w:hAnsi="Times New Roman" w:cs="Times New Roman"/>
          <w:bCs/>
        </w:rPr>
        <w:t xml:space="preserve"> Dr. Balla Tibor, PhD</w:t>
      </w:r>
    </w:p>
    <w:p w:rsidR="00D50526" w:rsidRPr="00BC6E7B" w:rsidRDefault="00D50526" w:rsidP="00980876">
      <w:pPr>
        <w:widowControl w:val="0"/>
        <w:numPr>
          <w:ilvl w:val="0"/>
          <w:numId w:val="386"/>
        </w:numPr>
        <w:tabs>
          <w:tab w:val="clear" w:pos="720"/>
          <w:tab w:val="num" w:pos="643"/>
        </w:tabs>
        <w:spacing w:before="120" w:after="120" w:line="240" w:lineRule="auto"/>
        <w:ind w:left="426" w:hanging="142"/>
        <w:jc w:val="both"/>
        <w:rPr>
          <w:rFonts w:ascii="Times New Roman" w:eastAsia="Times New Roman" w:hAnsi="Times New Roman" w:cs="Times New Roman"/>
          <w:bCs/>
        </w:rPr>
      </w:pPr>
      <w:r w:rsidRPr="00BC6E7B">
        <w:rPr>
          <w:rFonts w:ascii="Times New Roman" w:eastAsia="Times New Roman" w:hAnsi="Times New Roman" w:cs="Times New Roman"/>
          <w:b/>
          <w:bCs/>
        </w:rPr>
        <w:t>A tanórák száma és típusa</w:t>
      </w:r>
    </w:p>
    <w:p w:rsidR="00D50526" w:rsidRPr="00BC6E7B" w:rsidRDefault="00D50526" w:rsidP="00980876">
      <w:pPr>
        <w:widowControl w:val="0"/>
        <w:numPr>
          <w:ilvl w:val="1"/>
          <w:numId w:val="386"/>
        </w:numPr>
        <w:tabs>
          <w:tab w:val="clear" w:pos="3977"/>
          <w:tab w:val="num" w:pos="709"/>
          <w:tab w:val="num" w:pos="999"/>
          <w:tab w:val="num" w:pos="2069"/>
        </w:tabs>
        <w:spacing w:before="120" w:after="120" w:line="240" w:lineRule="auto"/>
        <w:ind w:left="851" w:hanging="425"/>
        <w:jc w:val="both"/>
        <w:rPr>
          <w:rFonts w:ascii="Times New Roman" w:eastAsia="Times New Roman" w:hAnsi="Times New Roman" w:cs="Times New Roman"/>
          <w:bCs/>
        </w:rPr>
      </w:pPr>
      <w:r w:rsidRPr="00BC6E7B">
        <w:rPr>
          <w:rFonts w:ascii="Times New Roman" w:eastAsia="Times New Roman" w:hAnsi="Times New Roman" w:cs="Times New Roman"/>
          <w:bCs/>
        </w:rPr>
        <w:t>össz óraszám/félév:</w:t>
      </w:r>
    </w:p>
    <w:p w:rsidR="00D50526" w:rsidRDefault="00D50526" w:rsidP="00980876">
      <w:pPr>
        <w:pStyle w:val="Listaszerbekezds"/>
        <w:widowControl w:val="0"/>
        <w:numPr>
          <w:ilvl w:val="2"/>
          <w:numId w:val="384"/>
        </w:numPr>
        <w:tabs>
          <w:tab w:val="num" w:pos="1800"/>
        </w:tabs>
        <w:spacing w:before="120" w:after="120" w:line="240" w:lineRule="auto"/>
        <w:ind w:left="1418"/>
        <w:jc w:val="both"/>
        <w:rPr>
          <w:rFonts w:ascii="Times New Roman" w:eastAsia="Times New Roman" w:hAnsi="Times New Roman" w:cs="Times New Roman"/>
          <w:bCs/>
        </w:rPr>
      </w:pPr>
      <w:r w:rsidRPr="00CD7CE0">
        <w:rPr>
          <w:rFonts w:ascii="Times New Roman" w:eastAsia="Times New Roman" w:hAnsi="Times New Roman" w:cs="Times New Roman"/>
          <w:bCs/>
        </w:rPr>
        <w:t>nappali munkarend: 56 (28 EA + 0 SZ + 28 GY)</w:t>
      </w:r>
    </w:p>
    <w:p w:rsidR="00D50526" w:rsidRPr="00CD7CE0" w:rsidRDefault="00D50526" w:rsidP="00980876">
      <w:pPr>
        <w:pStyle w:val="Listaszerbekezds"/>
        <w:widowControl w:val="0"/>
        <w:numPr>
          <w:ilvl w:val="2"/>
          <w:numId w:val="384"/>
        </w:numPr>
        <w:tabs>
          <w:tab w:val="num" w:pos="1800"/>
        </w:tabs>
        <w:spacing w:before="120" w:after="120" w:line="240" w:lineRule="auto"/>
        <w:ind w:left="1418"/>
        <w:jc w:val="both"/>
        <w:rPr>
          <w:rFonts w:ascii="Times New Roman" w:eastAsia="Times New Roman" w:hAnsi="Times New Roman" w:cs="Times New Roman"/>
          <w:bCs/>
        </w:rPr>
      </w:pPr>
      <w:r w:rsidRPr="00CD7CE0">
        <w:rPr>
          <w:rFonts w:ascii="Times New Roman" w:eastAsia="Times New Roman" w:hAnsi="Times New Roman" w:cs="Times New Roman"/>
          <w:bCs/>
        </w:rPr>
        <w:t>levelező munkarend: - (- EA + - SZ + - GY)</w:t>
      </w:r>
    </w:p>
    <w:p w:rsidR="00D50526" w:rsidRDefault="00D50526" w:rsidP="00980876">
      <w:pPr>
        <w:widowControl w:val="0"/>
        <w:numPr>
          <w:ilvl w:val="1"/>
          <w:numId w:val="386"/>
        </w:numPr>
        <w:tabs>
          <w:tab w:val="clear" w:pos="3977"/>
          <w:tab w:val="num" w:pos="709"/>
          <w:tab w:val="num" w:pos="999"/>
          <w:tab w:val="num" w:pos="2069"/>
        </w:tabs>
        <w:spacing w:before="120" w:after="120" w:line="240" w:lineRule="auto"/>
        <w:ind w:left="851" w:hanging="425"/>
        <w:jc w:val="both"/>
        <w:rPr>
          <w:rFonts w:ascii="Times New Roman" w:eastAsia="Times New Roman" w:hAnsi="Times New Roman" w:cs="Times New Roman"/>
          <w:bCs/>
        </w:rPr>
      </w:pPr>
      <w:r w:rsidRPr="00BC6E7B">
        <w:rPr>
          <w:rFonts w:ascii="Times New Roman" w:eastAsia="Times New Roman" w:hAnsi="Times New Roman" w:cs="Times New Roman"/>
          <w:bCs/>
        </w:rPr>
        <w:t xml:space="preserve">heti óraszám - nappali munkarend: </w:t>
      </w:r>
      <w:r>
        <w:rPr>
          <w:rFonts w:ascii="Times New Roman" w:eastAsia="Times New Roman" w:hAnsi="Times New Roman" w:cs="Times New Roman"/>
          <w:bCs/>
        </w:rPr>
        <w:t>4</w:t>
      </w:r>
    </w:p>
    <w:p w:rsidR="00D50526" w:rsidRPr="006A233B" w:rsidRDefault="00D50526" w:rsidP="00980876">
      <w:pPr>
        <w:widowControl w:val="0"/>
        <w:numPr>
          <w:ilvl w:val="1"/>
          <w:numId w:val="386"/>
        </w:numPr>
        <w:tabs>
          <w:tab w:val="clear" w:pos="3977"/>
          <w:tab w:val="num" w:pos="709"/>
          <w:tab w:val="num" w:pos="1566"/>
          <w:tab w:val="num" w:pos="2069"/>
        </w:tabs>
        <w:spacing w:before="120" w:after="120" w:line="240" w:lineRule="auto"/>
        <w:ind w:left="851" w:hanging="425"/>
        <w:jc w:val="both"/>
        <w:rPr>
          <w:rFonts w:ascii="Times New Roman" w:eastAsia="Times New Roman" w:hAnsi="Times New Roman" w:cs="Times New Roman"/>
          <w:bCs/>
        </w:rPr>
      </w:pPr>
      <w:r w:rsidRPr="00A16045">
        <w:rPr>
          <w:rFonts w:ascii="Times New Roman" w:hAnsi="Times New Roman" w:cs="Times New Roman"/>
        </w:rPr>
        <w:t>Az ismeret átadásában alkalmazandó további sajátos módok, jellemzők</w:t>
      </w:r>
      <w:r>
        <w:rPr>
          <w:rFonts w:ascii="Times New Roman" w:hAnsi="Times New Roman" w:cs="Times New Roman"/>
        </w:rPr>
        <w:t xml:space="preserve">: - </w:t>
      </w:r>
    </w:p>
    <w:p w:rsidR="00D50526" w:rsidRPr="000E2C70" w:rsidRDefault="00D50526" w:rsidP="00980876">
      <w:pPr>
        <w:widowControl w:val="0"/>
        <w:numPr>
          <w:ilvl w:val="0"/>
          <w:numId w:val="386"/>
        </w:numPr>
        <w:tabs>
          <w:tab w:val="clear" w:pos="720"/>
          <w:tab w:val="num" w:pos="643"/>
        </w:tabs>
        <w:spacing w:before="120" w:after="120" w:line="240" w:lineRule="auto"/>
        <w:ind w:left="426"/>
        <w:jc w:val="both"/>
        <w:rPr>
          <w:rFonts w:ascii="Times New Roman" w:eastAsia="Times New Roman" w:hAnsi="Times New Roman" w:cs="Times New Roman"/>
          <w:bCs/>
          <w:lang w:val="en-GB"/>
        </w:rPr>
      </w:pPr>
      <w:r w:rsidRPr="000E2C70">
        <w:rPr>
          <w:rFonts w:ascii="Times New Roman" w:eastAsia="Times New Roman" w:hAnsi="Times New Roman" w:cs="Times New Roman"/>
          <w:b/>
          <w:bCs/>
        </w:rPr>
        <w:t>A tantárgy szakmai tartalma (magyarul):</w:t>
      </w:r>
      <w:r w:rsidRPr="000E2C70">
        <w:rPr>
          <w:bCs/>
        </w:rPr>
        <w:t xml:space="preserve"> </w:t>
      </w:r>
      <w:r w:rsidRPr="000E2C70">
        <w:rPr>
          <w:rFonts w:ascii="Times New Roman" w:eastAsia="Times New Roman" w:hAnsi="Times New Roman" w:cs="Times New Roman"/>
          <w:bCs/>
        </w:rPr>
        <w:t xml:space="preserve">A költségtérítések, és szociális juttatások köre: Az MH jutalmazási rendszere. Az illetményből történő levonások fajtái és szabályai. A munkaszervezés módszertana. A Magyar Honvédség illetmény-számfejtési rendszere. Az anyagi felelősség szabályai. </w:t>
      </w:r>
    </w:p>
    <w:p w:rsidR="00D50526" w:rsidRPr="000E2C70" w:rsidRDefault="00D50526" w:rsidP="00D50526">
      <w:pPr>
        <w:widowControl w:val="0"/>
        <w:spacing w:before="120" w:after="120" w:line="240" w:lineRule="auto"/>
        <w:ind w:left="426"/>
        <w:jc w:val="both"/>
        <w:rPr>
          <w:rFonts w:ascii="Times New Roman" w:eastAsia="Times New Roman" w:hAnsi="Times New Roman" w:cs="Times New Roman"/>
          <w:bCs/>
          <w:lang w:val="en-GB"/>
        </w:rPr>
      </w:pPr>
      <w:r w:rsidRPr="000E2C70">
        <w:rPr>
          <w:rFonts w:ascii="Times New Roman" w:eastAsia="Times New Roman" w:hAnsi="Times New Roman" w:cs="Times New Roman"/>
          <w:b/>
          <w:bCs/>
        </w:rPr>
        <w:t>A tantárgy szakmai tartalma (angolul) (</w:t>
      </w:r>
      <w:r w:rsidRPr="000E2C70">
        <w:rPr>
          <w:rFonts w:ascii="Times New Roman" w:eastAsia="Times New Roman" w:hAnsi="Times New Roman" w:cs="Times New Roman"/>
          <w:b/>
          <w:bCs/>
          <w:lang w:val="en-US"/>
        </w:rPr>
        <w:t>Course description</w:t>
      </w:r>
      <w:r w:rsidRPr="000E2C70">
        <w:rPr>
          <w:rFonts w:ascii="Times New Roman" w:eastAsia="Times New Roman" w:hAnsi="Times New Roman" w:cs="Times New Roman"/>
          <w:b/>
          <w:bCs/>
        </w:rPr>
        <w:t xml:space="preserve">): </w:t>
      </w:r>
      <w:r w:rsidRPr="000E2C70">
        <w:rPr>
          <w:rFonts w:ascii="Times New Roman" w:eastAsia="Times New Roman" w:hAnsi="Times New Roman" w:cs="Times New Roman"/>
          <w:bCs/>
        </w:rPr>
        <w:t>The circles of expenses and financial allowances/bonuses. The reward system in the HDF. The types and rules of wage deductions from salaries. Work organization at financial and accounting services. The salary calculation system of the HDF.</w:t>
      </w:r>
    </w:p>
    <w:p w:rsidR="00D50526" w:rsidRPr="00740A68" w:rsidRDefault="00D50526" w:rsidP="00980876">
      <w:pPr>
        <w:pStyle w:val="Listaszerbekezds"/>
        <w:widowControl w:val="0"/>
        <w:numPr>
          <w:ilvl w:val="0"/>
          <w:numId w:val="386"/>
        </w:numPr>
        <w:tabs>
          <w:tab w:val="clear" w:pos="720"/>
          <w:tab w:val="num" w:pos="426"/>
        </w:tabs>
        <w:spacing w:before="120" w:after="120" w:line="240" w:lineRule="auto"/>
        <w:ind w:left="643"/>
        <w:jc w:val="both"/>
        <w:rPr>
          <w:rFonts w:ascii="Times New Roman" w:eastAsia="Times New Roman" w:hAnsi="Times New Roman" w:cs="Times New Roman"/>
          <w:bCs/>
        </w:rPr>
      </w:pPr>
      <w:r w:rsidRPr="00740A68">
        <w:rPr>
          <w:rFonts w:ascii="Times New Roman" w:eastAsia="Times New Roman" w:hAnsi="Times New Roman" w:cs="Times New Roman"/>
          <w:b/>
          <w:bCs/>
        </w:rPr>
        <w:t xml:space="preserve">Elérendő kompetenciák (magyarul): </w:t>
      </w:r>
    </w:p>
    <w:p w:rsidR="00D50526" w:rsidRDefault="00D50526" w:rsidP="00D50526">
      <w:pPr>
        <w:widowControl w:val="0"/>
        <w:spacing w:before="120" w:after="120" w:line="240" w:lineRule="auto"/>
        <w:ind w:left="426"/>
        <w:jc w:val="both"/>
        <w:rPr>
          <w:rFonts w:ascii="Times New Roman" w:eastAsia="Times New Roman" w:hAnsi="Times New Roman" w:cs="Times New Roman"/>
          <w:bCs/>
        </w:rPr>
      </w:pPr>
      <w:r w:rsidRPr="00BC6E7B">
        <w:rPr>
          <w:rFonts w:ascii="Times New Roman" w:eastAsia="Times New Roman" w:hAnsi="Times New Roman" w:cs="Times New Roman"/>
          <w:b/>
          <w:bCs/>
        </w:rPr>
        <w:t>Tudása:</w:t>
      </w:r>
      <w:r>
        <w:rPr>
          <w:rFonts w:ascii="Times New Roman" w:eastAsia="Times New Roman" w:hAnsi="Times New Roman" w:cs="Times New Roman"/>
          <w:bCs/>
        </w:rPr>
        <w:t xml:space="preserve"> </w:t>
      </w:r>
    </w:p>
    <w:p w:rsidR="00D50526" w:rsidRPr="00CD7CE0" w:rsidRDefault="00D50526" w:rsidP="00980876">
      <w:pPr>
        <w:pStyle w:val="Listaszerbekezds"/>
        <w:widowControl w:val="0"/>
        <w:numPr>
          <w:ilvl w:val="0"/>
          <w:numId w:val="385"/>
        </w:numPr>
        <w:spacing w:before="120" w:after="120" w:line="240" w:lineRule="auto"/>
        <w:ind w:hanging="219"/>
        <w:jc w:val="both"/>
        <w:rPr>
          <w:rFonts w:ascii="Times New Roman" w:eastAsia="Times New Roman" w:hAnsi="Times New Roman" w:cs="Times New Roman"/>
          <w:bCs/>
        </w:rPr>
      </w:pPr>
      <w:r w:rsidRPr="00CD7CE0">
        <w:rPr>
          <w:rFonts w:ascii="Times New Roman" w:eastAsia="Times New Roman" w:hAnsi="Times New Roman" w:cs="Times New Roman"/>
          <w:bCs/>
        </w:rPr>
        <w:t>Ismeri a Honvédelmi Minisztérium illetményrendszerét, a személyi állomány pénzügyi juttatásaival kapcsolatos feladatokat, a kormánytisztviselők, közalkalmazottak és a munkavállalók speciális foglalkoztatási szabályait és az illetménygazdálkodás sajátosságait.</w:t>
      </w:r>
    </w:p>
    <w:p w:rsidR="00D50526" w:rsidRDefault="00D50526" w:rsidP="00D50526">
      <w:pPr>
        <w:widowControl w:val="0"/>
        <w:spacing w:before="120" w:after="120" w:line="240" w:lineRule="auto"/>
        <w:ind w:left="426"/>
        <w:jc w:val="both"/>
        <w:rPr>
          <w:rFonts w:ascii="Times New Roman" w:eastAsia="Times New Roman" w:hAnsi="Times New Roman" w:cs="Times New Roman"/>
          <w:bCs/>
        </w:rPr>
      </w:pPr>
      <w:r w:rsidRPr="00BC6E7B">
        <w:rPr>
          <w:rFonts w:ascii="Times New Roman" w:eastAsia="Times New Roman" w:hAnsi="Times New Roman" w:cs="Times New Roman"/>
          <w:b/>
          <w:bCs/>
        </w:rPr>
        <w:t>Képességei:</w:t>
      </w:r>
      <w:r>
        <w:rPr>
          <w:rFonts w:ascii="Times New Roman" w:eastAsia="Times New Roman" w:hAnsi="Times New Roman" w:cs="Times New Roman"/>
          <w:bCs/>
        </w:rPr>
        <w:t xml:space="preserve"> </w:t>
      </w:r>
    </w:p>
    <w:p w:rsidR="00D50526" w:rsidRPr="00CD7CE0" w:rsidRDefault="00D50526" w:rsidP="00980876">
      <w:pPr>
        <w:pStyle w:val="Listaszerbekezds"/>
        <w:widowControl w:val="0"/>
        <w:numPr>
          <w:ilvl w:val="0"/>
          <w:numId w:val="385"/>
        </w:numPr>
        <w:spacing w:before="120" w:after="120" w:line="240" w:lineRule="auto"/>
        <w:ind w:hanging="219"/>
        <w:jc w:val="both"/>
        <w:rPr>
          <w:rFonts w:ascii="Times New Roman" w:eastAsia="Times New Roman" w:hAnsi="Times New Roman" w:cs="Times New Roman"/>
          <w:bCs/>
        </w:rPr>
      </w:pPr>
      <w:r w:rsidRPr="00CD7CE0">
        <w:rPr>
          <w:rFonts w:ascii="Times New Roman" w:eastAsia="Times New Roman" w:hAnsi="Times New Roman" w:cs="Times New Roman"/>
          <w:bCs/>
        </w:rPr>
        <w:t xml:space="preserve">Képes a gazdálkodás támogató és pénzügyi ellátó referatúra működésének koordinálására, a pénzügyi iratok szabályszerű kezelésére, a pénzügyi és számviteli beosztások szabályszerű átadás-átvételére. </w:t>
      </w:r>
    </w:p>
    <w:p w:rsidR="00D50526" w:rsidRDefault="00D50526" w:rsidP="00D50526">
      <w:pPr>
        <w:widowControl w:val="0"/>
        <w:spacing w:before="120" w:after="120" w:line="240" w:lineRule="auto"/>
        <w:ind w:left="426"/>
        <w:jc w:val="both"/>
        <w:rPr>
          <w:rFonts w:ascii="Times New Roman" w:eastAsia="Times New Roman" w:hAnsi="Times New Roman" w:cs="Times New Roman"/>
          <w:bCs/>
        </w:rPr>
      </w:pPr>
      <w:r w:rsidRPr="00BC6E7B">
        <w:rPr>
          <w:rFonts w:ascii="Times New Roman" w:eastAsia="Times New Roman" w:hAnsi="Times New Roman" w:cs="Times New Roman"/>
          <w:b/>
          <w:bCs/>
        </w:rPr>
        <w:t>Attitűdje:</w:t>
      </w:r>
      <w:r w:rsidRPr="00BC6E7B">
        <w:rPr>
          <w:rFonts w:ascii="Times New Roman" w:eastAsia="Times New Roman" w:hAnsi="Times New Roman" w:cs="Times New Roman"/>
          <w:bCs/>
        </w:rPr>
        <w:t xml:space="preserve"> </w:t>
      </w:r>
    </w:p>
    <w:p w:rsidR="00D50526" w:rsidRPr="00CD7CE0" w:rsidRDefault="00D50526" w:rsidP="00980876">
      <w:pPr>
        <w:pStyle w:val="Listaszerbekezds"/>
        <w:widowControl w:val="0"/>
        <w:numPr>
          <w:ilvl w:val="0"/>
          <w:numId w:val="385"/>
        </w:numPr>
        <w:spacing w:before="120" w:after="120" w:line="240" w:lineRule="auto"/>
        <w:ind w:hanging="219"/>
        <w:jc w:val="both"/>
        <w:rPr>
          <w:rFonts w:ascii="Times New Roman" w:eastAsia="Times New Roman" w:hAnsi="Times New Roman" w:cs="Times New Roman"/>
          <w:bCs/>
        </w:rPr>
      </w:pPr>
      <w:r w:rsidRPr="00CD7CE0">
        <w:rPr>
          <w:rFonts w:ascii="Times New Roman" w:eastAsia="Times New Roman" w:hAnsi="Times New Roman" w:cs="Times New Roman"/>
          <w:bCs/>
        </w:rPr>
        <w:t>Különös figyelmet fordít a pénzügyi területnél elvárt jogszerű, szabálykövető, pontos munkavégzésre.</w:t>
      </w:r>
    </w:p>
    <w:p w:rsidR="005D6876" w:rsidRDefault="005D6876">
      <w:pPr>
        <w:spacing w:after="200" w:line="276" w:lineRule="auto"/>
        <w:rPr>
          <w:rFonts w:ascii="Times New Roman" w:eastAsia="Times New Roman" w:hAnsi="Times New Roman" w:cs="Times New Roman"/>
          <w:b/>
          <w:bCs/>
        </w:rPr>
      </w:pPr>
      <w:r>
        <w:rPr>
          <w:rFonts w:ascii="Times New Roman" w:eastAsia="Times New Roman" w:hAnsi="Times New Roman" w:cs="Times New Roman"/>
          <w:b/>
          <w:bCs/>
        </w:rPr>
        <w:br w:type="page"/>
      </w:r>
    </w:p>
    <w:p w:rsidR="00D50526" w:rsidRDefault="00D50526" w:rsidP="00D50526">
      <w:pPr>
        <w:widowControl w:val="0"/>
        <w:spacing w:before="120" w:after="120" w:line="240" w:lineRule="auto"/>
        <w:ind w:left="426"/>
        <w:jc w:val="both"/>
        <w:rPr>
          <w:rFonts w:ascii="Times New Roman" w:eastAsia="Times New Roman" w:hAnsi="Times New Roman" w:cs="Times New Roman"/>
          <w:bCs/>
        </w:rPr>
      </w:pPr>
      <w:r w:rsidRPr="00BC6E7B">
        <w:rPr>
          <w:rFonts w:ascii="Times New Roman" w:eastAsia="Times New Roman" w:hAnsi="Times New Roman" w:cs="Times New Roman"/>
          <w:b/>
          <w:bCs/>
        </w:rPr>
        <w:lastRenderedPageBreak/>
        <w:t>Autonómiája és felelőssége:</w:t>
      </w:r>
      <w:r w:rsidRPr="00BC6E7B">
        <w:rPr>
          <w:rFonts w:ascii="Times New Roman" w:eastAsia="Times New Roman" w:hAnsi="Times New Roman" w:cs="Times New Roman"/>
          <w:bCs/>
        </w:rPr>
        <w:t xml:space="preserve"> </w:t>
      </w:r>
    </w:p>
    <w:p w:rsidR="00D50526" w:rsidRPr="00CD7CE0" w:rsidRDefault="00D50526" w:rsidP="00980876">
      <w:pPr>
        <w:pStyle w:val="Listaszerbekezds"/>
        <w:widowControl w:val="0"/>
        <w:numPr>
          <w:ilvl w:val="0"/>
          <w:numId w:val="385"/>
        </w:numPr>
        <w:spacing w:before="120" w:after="120" w:line="240" w:lineRule="auto"/>
        <w:ind w:hanging="219"/>
        <w:jc w:val="both"/>
        <w:rPr>
          <w:rFonts w:ascii="Times New Roman" w:eastAsia="Times New Roman" w:hAnsi="Times New Roman" w:cs="Times New Roman"/>
          <w:bCs/>
        </w:rPr>
      </w:pPr>
      <w:r w:rsidRPr="00CD7CE0">
        <w:rPr>
          <w:rFonts w:ascii="Times New Roman" w:eastAsia="Times New Roman" w:hAnsi="Times New Roman" w:cs="Times New Roman"/>
          <w:bCs/>
        </w:rPr>
        <w:t>Felelősséget vállal az általa készített dokumentumok szakmai, jogszabályoknak való maradéktalan megfelelőségéért.</w:t>
      </w:r>
    </w:p>
    <w:p w:rsidR="00D50526" w:rsidRPr="00BC6E7B" w:rsidRDefault="00D50526" w:rsidP="00D50526">
      <w:pPr>
        <w:widowControl w:val="0"/>
        <w:spacing w:before="120" w:after="120" w:line="240" w:lineRule="auto"/>
        <w:ind w:left="426"/>
        <w:jc w:val="both"/>
        <w:rPr>
          <w:rFonts w:ascii="Times New Roman" w:eastAsia="Times New Roman" w:hAnsi="Times New Roman" w:cs="Times New Roman"/>
          <w:b/>
          <w:bCs/>
          <w:lang w:val="en-US"/>
        </w:rPr>
      </w:pPr>
      <w:r w:rsidRPr="00BC6E7B">
        <w:rPr>
          <w:rFonts w:ascii="Times New Roman" w:eastAsia="Times New Roman" w:hAnsi="Times New Roman" w:cs="Times New Roman"/>
          <w:b/>
          <w:bCs/>
        </w:rPr>
        <w:t>Elérendő kompetenciák (angolul) (</w:t>
      </w:r>
      <w:r w:rsidRPr="00BC6E7B">
        <w:rPr>
          <w:rFonts w:ascii="Times New Roman" w:eastAsia="Times New Roman" w:hAnsi="Times New Roman" w:cs="Times New Roman"/>
          <w:b/>
          <w:bCs/>
          <w:lang w:val="en-US"/>
        </w:rPr>
        <w:t xml:space="preserve">Competences – English): </w:t>
      </w:r>
    </w:p>
    <w:p w:rsidR="00D50526" w:rsidRDefault="00D50526" w:rsidP="00D50526">
      <w:pPr>
        <w:widowControl w:val="0"/>
        <w:spacing w:before="120" w:after="120" w:line="240" w:lineRule="auto"/>
        <w:ind w:left="426"/>
        <w:jc w:val="both"/>
        <w:rPr>
          <w:rFonts w:ascii="Times New Roman" w:eastAsia="Times New Roman" w:hAnsi="Times New Roman" w:cs="Times New Roman"/>
          <w:b/>
          <w:lang w:val="en-GB"/>
        </w:rPr>
      </w:pPr>
      <w:r w:rsidRPr="00BC6E7B">
        <w:rPr>
          <w:rFonts w:ascii="Times New Roman" w:eastAsia="Times New Roman" w:hAnsi="Times New Roman" w:cs="Times New Roman"/>
          <w:b/>
          <w:lang w:val="en-GB"/>
        </w:rPr>
        <w:t>Knowledge</w:t>
      </w:r>
      <w:r w:rsidRPr="002A0767">
        <w:rPr>
          <w:rFonts w:ascii="Times New Roman" w:eastAsia="Times New Roman" w:hAnsi="Times New Roman" w:cs="Times New Roman"/>
          <w:b/>
          <w:lang w:val="en-GB"/>
        </w:rPr>
        <w:t xml:space="preserve">: </w:t>
      </w:r>
    </w:p>
    <w:p w:rsidR="00D50526" w:rsidRPr="00CD7CE0" w:rsidRDefault="00D50526" w:rsidP="00980876">
      <w:pPr>
        <w:pStyle w:val="Listaszerbekezds"/>
        <w:widowControl w:val="0"/>
        <w:numPr>
          <w:ilvl w:val="0"/>
          <w:numId w:val="385"/>
        </w:numPr>
        <w:spacing w:before="120" w:after="120" w:line="240" w:lineRule="auto"/>
        <w:ind w:hanging="219"/>
        <w:jc w:val="both"/>
        <w:rPr>
          <w:rFonts w:ascii="Times New Roman" w:eastAsia="Times New Roman" w:hAnsi="Times New Roman" w:cs="Times New Roman"/>
          <w:lang w:val="en-GB"/>
        </w:rPr>
      </w:pPr>
      <w:r w:rsidRPr="00CD7CE0">
        <w:rPr>
          <w:rFonts w:ascii="Times New Roman" w:eastAsia="Times New Roman" w:hAnsi="Times New Roman" w:cs="Times New Roman"/>
          <w:lang w:val="en-GB"/>
        </w:rPr>
        <w:t>The student are familiar with the salary system of the Ministry of Defence, the tasks related to the financial allowances of the personnel, the special employment rules of the government officials, the civil servants and the employees and the special features of the salary management.</w:t>
      </w:r>
    </w:p>
    <w:p w:rsidR="00D50526" w:rsidRDefault="00D50526" w:rsidP="00D50526">
      <w:pPr>
        <w:widowControl w:val="0"/>
        <w:spacing w:before="120" w:after="120" w:line="240" w:lineRule="auto"/>
        <w:ind w:left="426"/>
        <w:jc w:val="both"/>
        <w:rPr>
          <w:rFonts w:ascii="Times New Roman" w:eastAsia="Times New Roman" w:hAnsi="Times New Roman" w:cs="Times New Roman"/>
          <w:b/>
          <w:lang w:val="en-GB"/>
        </w:rPr>
      </w:pPr>
      <w:r w:rsidRPr="00BC6E7B">
        <w:rPr>
          <w:rFonts w:ascii="Times New Roman" w:eastAsia="Times New Roman" w:hAnsi="Times New Roman" w:cs="Times New Roman"/>
          <w:b/>
          <w:lang w:val="en-GB"/>
        </w:rPr>
        <w:t>Capabilities</w:t>
      </w:r>
      <w:r w:rsidRPr="006331D3">
        <w:rPr>
          <w:rFonts w:ascii="Times New Roman" w:eastAsia="Times New Roman" w:hAnsi="Times New Roman" w:cs="Times New Roman"/>
          <w:b/>
          <w:lang w:val="en-GB"/>
        </w:rPr>
        <w:t xml:space="preserve">: </w:t>
      </w:r>
    </w:p>
    <w:p w:rsidR="00D50526" w:rsidRPr="00CD7CE0" w:rsidRDefault="00D50526" w:rsidP="00980876">
      <w:pPr>
        <w:pStyle w:val="Listaszerbekezds"/>
        <w:widowControl w:val="0"/>
        <w:numPr>
          <w:ilvl w:val="0"/>
          <w:numId w:val="385"/>
        </w:numPr>
        <w:spacing w:before="120" w:after="120" w:line="240" w:lineRule="auto"/>
        <w:ind w:hanging="219"/>
        <w:jc w:val="both"/>
        <w:rPr>
          <w:rFonts w:ascii="Times New Roman" w:eastAsia="Times New Roman" w:hAnsi="Times New Roman" w:cs="Times New Roman"/>
          <w:lang w:val="en-GB"/>
        </w:rPr>
      </w:pPr>
      <w:r w:rsidRPr="00CD7CE0">
        <w:rPr>
          <w:rFonts w:ascii="Times New Roman" w:eastAsia="Times New Roman" w:hAnsi="Times New Roman" w:cs="Times New Roman"/>
          <w:lang w:val="en-GB"/>
        </w:rPr>
        <w:t>Able to co-ordinate the operation of financial support and financial reporting, to manage financial records properly, and to carry out the HOTO of financial and accounting positions.</w:t>
      </w:r>
    </w:p>
    <w:p w:rsidR="00D50526" w:rsidRDefault="00D50526" w:rsidP="00D50526">
      <w:pPr>
        <w:widowControl w:val="0"/>
        <w:spacing w:before="120" w:after="120" w:line="240" w:lineRule="auto"/>
        <w:ind w:left="426"/>
        <w:jc w:val="both"/>
        <w:rPr>
          <w:rFonts w:ascii="Times New Roman" w:eastAsia="Times New Roman" w:hAnsi="Times New Roman" w:cs="Times New Roman"/>
          <w:b/>
          <w:lang w:val="en-GB"/>
        </w:rPr>
      </w:pPr>
      <w:r w:rsidRPr="00BC6E7B">
        <w:rPr>
          <w:rFonts w:ascii="Times New Roman" w:eastAsia="Times New Roman" w:hAnsi="Times New Roman" w:cs="Times New Roman"/>
          <w:b/>
          <w:lang w:val="en-GB"/>
        </w:rPr>
        <w:t>Attitude:</w:t>
      </w:r>
      <w:r w:rsidRPr="002A0767">
        <w:rPr>
          <w:rFonts w:ascii="Times New Roman" w:eastAsia="Times New Roman" w:hAnsi="Times New Roman" w:cs="Times New Roman"/>
          <w:b/>
          <w:lang w:val="en-GB"/>
        </w:rPr>
        <w:t xml:space="preserve"> </w:t>
      </w:r>
    </w:p>
    <w:p w:rsidR="00D50526" w:rsidRPr="00CD7CE0" w:rsidRDefault="00D50526" w:rsidP="00980876">
      <w:pPr>
        <w:pStyle w:val="Listaszerbekezds"/>
        <w:widowControl w:val="0"/>
        <w:numPr>
          <w:ilvl w:val="0"/>
          <w:numId w:val="385"/>
        </w:numPr>
        <w:spacing w:before="120" w:after="120" w:line="240" w:lineRule="auto"/>
        <w:ind w:hanging="219"/>
        <w:jc w:val="both"/>
        <w:rPr>
          <w:rFonts w:ascii="Times New Roman" w:eastAsia="Times New Roman" w:hAnsi="Times New Roman" w:cs="Times New Roman"/>
          <w:b/>
          <w:lang w:val="en-GB"/>
        </w:rPr>
      </w:pPr>
      <w:r w:rsidRPr="00CD7CE0">
        <w:rPr>
          <w:rFonts w:ascii="Times New Roman" w:eastAsia="Times New Roman" w:hAnsi="Times New Roman" w:cs="Times New Roman"/>
          <w:lang w:val="en-GB"/>
        </w:rPr>
        <w:t>He/she pays particular attention to the legal, regulatory, and accurate work required in the financial field.</w:t>
      </w:r>
    </w:p>
    <w:p w:rsidR="00D50526" w:rsidRDefault="00D50526" w:rsidP="00D505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pPr>
      <w:r w:rsidRPr="00BC6E7B">
        <w:rPr>
          <w:rFonts w:ascii="Times New Roman" w:eastAsia="Times New Roman" w:hAnsi="Times New Roman" w:cs="Times New Roman"/>
          <w:b/>
          <w:lang w:val="en-GB"/>
        </w:rPr>
        <w:t>Autonomy and responsibility:</w:t>
      </w:r>
      <w:r w:rsidRPr="00F37D21">
        <w:t xml:space="preserve"> </w:t>
      </w:r>
    </w:p>
    <w:p w:rsidR="00D50526" w:rsidRPr="00CD7CE0" w:rsidRDefault="00D50526" w:rsidP="00980876">
      <w:pPr>
        <w:pStyle w:val="Listaszerbekezds"/>
        <w:numPr>
          <w:ilvl w:val="0"/>
          <w:numId w:val="38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19"/>
        <w:jc w:val="both"/>
        <w:rPr>
          <w:rFonts w:ascii="Times New Roman" w:eastAsia="Times New Roman" w:hAnsi="Times New Roman" w:cs="Times New Roman"/>
          <w:lang w:val="en-GB"/>
        </w:rPr>
      </w:pPr>
      <w:r w:rsidRPr="00CD7CE0">
        <w:rPr>
          <w:rFonts w:ascii="Times New Roman" w:eastAsia="Times New Roman" w:hAnsi="Times New Roman" w:cs="Times New Roman"/>
          <w:lang w:val="en-GB"/>
        </w:rPr>
        <w:t>He / she assumes full responsibility for the professional and legal compliance of his/her documents.</w:t>
      </w:r>
    </w:p>
    <w:p w:rsidR="00D50526" w:rsidRPr="00BC6E7B" w:rsidRDefault="00D50526" w:rsidP="00980876">
      <w:pPr>
        <w:widowControl w:val="0"/>
        <w:numPr>
          <w:ilvl w:val="0"/>
          <w:numId w:val="386"/>
        </w:numPr>
        <w:tabs>
          <w:tab w:val="clear" w:pos="720"/>
          <w:tab w:val="num" w:pos="643"/>
        </w:tabs>
        <w:spacing w:before="120" w:after="120" w:line="240" w:lineRule="auto"/>
        <w:ind w:left="643"/>
        <w:jc w:val="both"/>
        <w:rPr>
          <w:rFonts w:ascii="Times New Roman" w:eastAsia="Times New Roman" w:hAnsi="Times New Roman" w:cs="Times New Roman"/>
          <w:bCs/>
        </w:rPr>
      </w:pPr>
      <w:r w:rsidRPr="00BC6E7B">
        <w:rPr>
          <w:rFonts w:ascii="Times New Roman" w:eastAsia="Times New Roman" w:hAnsi="Times New Roman" w:cs="Times New Roman"/>
          <w:b/>
          <w:bCs/>
        </w:rPr>
        <w:t xml:space="preserve">Előtanulmányi követelmények: </w:t>
      </w:r>
      <w:r w:rsidRPr="00E11537">
        <w:rPr>
          <w:rFonts w:ascii="Times New Roman" w:eastAsia="Times New Roman" w:hAnsi="Times New Roman" w:cs="Times New Roman"/>
          <w:bCs/>
        </w:rPr>
        <w:t>Katonai pénzügyi ellátás I.</w:t>
      </w:r>
      <w:r>
        <w:rPr>
          <w:rFonts w:ascii="Times New Roman" w:eastAsia="Times New Roman" w:hAnsi="Times New Roman" w:cs="Times New Roman"/>
          <w:bCs/>
        </w:rPr>
        <w:t xml:space="preserve"> (</w:t>
      </w:r>
      <w:r w:rsidRPr="00E11537">
        <w:rPr>
          <w:rFonts w:ascii="Times New Roman" w:eastAsia="Times New Roman" w:hAnsi="Times New Roman" w:cs="Times New Roman"/>
          <w:bCs/>
        </w:rPr>
        <w:t>HKHPKA505</w:t>
      </w:r>
      <w:r>
        <w:rPr>
          <w:rFonts w:ascii="Times New Roman" w:eastAsia="Times New Roman" w:hAnsi="Times New Roman" w:cs="Times New Roman"/>
          <w:bCs/>
        </w:rPr>
        <w:t>)</w:t>
      </w:r>
    </w:p>
    <w:p w:rsidR="00D50526" w:rsidRPr="00BC6E7B" w:rsidRDefault="00D50526" w:rsidP="00980876">
      <w:pPr>
        <w:widowControl w:val="0"/>
        <w:numPr>
          <w:ilvl w:val="0"/>
          <w:numId w:val="386"/>
        </w:numPr>
        <w:tabs>
          <w:tab w:val="clear" w:pos="720"/>
          <w:tab w:val="num" w:pos="643"/>
        </w:tabs>
        <w:spacing w:before="120" w:after="120" w:line="240" w:lineRule="auto"/>
        <w:ind w:left="426" w:hanging="142"/>
        <w:jc w:val="both"/>
        <w:rPr>
          <w:rFonts w:ascii="Times New Roman" w:eastAsia="Times New Roman" w:hAnsi="Times New Roman" w:cs="Times New Roman"/>
          <w:b/>
          <w:bCs/>
        </w:rPr>
      </w:pPr>
      <w:r w:rsidRPr="00BC6E7B">
        <w:rPr>
          <w:rFonts w:ascii="Times New Roman" w:eastAsia="Times New Roman" w:hAnsi="Times New Roman" w:cs="Times New Roman"/>
          <w:b/>
          <w:bCs/>
        </w:rPr>
        <w:t>A tantárgy tananyagának leírása, tematika. Description of the subject, curriculum (magyarul, angolul - English):</w:t>
      </w:r>
    </w:p>
    <w:p w:rsidR="00D50526" w:rsidRPr="00FC167B" w:rsidRDefault="00D50526" w:rsidP="00980876">
      <w:pPr>
        <w:widowControl w:val="0"/>
        <w:numPr>
          <w:ilvl w:val="1"/>
          <w:numId w:val="386"/>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FC167B">
        <w:rPr>
          <w:rFonts w:ascii="Times New Roman" w:eastAsia="Times New Roman" w:hAnsi="Times New Roman" w:cs="Times New Roman"/>
          <w:kern w:val="2"/>
        </w:rPr>
        <w:t xml:space="preserve">A költségtérítések, és szociális juttatások köre: a belföldi szolgálati kiküldetési költségek; utazási költségek; napidíj; a hivatásos és szerződéses állomány részére áthelyezés esetén biztosított költségtérítések; vezényeltek költségtérítési; munkába járással kapcsolatos költségtérítések; egyéb utazási kedvezmények. Segélyezés, illetményelőleg, reprezentáció az MH-ban. </w:t>
      </w:r>
      <w:r w:rsidRPr="00FC167B">
        <w:rPr>
          <w:rFonts w:ascii="Times New Roman" w:eastAsia="Times New Roman" w:hAnsi="Times New Roman" w:cs="Times New Roman"/>
          <w:i/>
          <w:kern w:val="2"/>
        </w:rPr>
        <w:t>(The circles of expenses and financial allowances/bonuses: service and other post travel costs; food supply service and other mission expenses; travel costs; food supply; the relocation costs of professional and contracted soldiers; the costs of seperation and reassignment; the travel’s fees to the workplace; other travel’s discounts. Aid, pay in advance and representation in the HDF.)</w:t>
      </w:r>
    </w:p>
    <w:p w:rsidR="00D50526" w:rsidRPr="00FC167B" w:rsidRDefault="00D50526" w:rsidP="00980876">
      <w:pPr>
        <w:widowControl w:val="0"/>
        <w:numPr>
          <w:ilvl w:val="1"/>
          <w:numId w:val="386"/>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FC167B">
        <w:rPr>
          <w:rFonts w:ascii="Times New Roman" w:eastAsia="Times New Roman" w:hAnsi="Times New Roman" w:cs="Times New Roman"/>
          <w:kern w:val="2"/>
        </w:rPr>
        <w:t xml:space="preserve">Az MH jutalmazási rendszere. A jubileumi jutalom. Egyéb jutalmak és anyagi elismerési formák. A szerződéses állomány, a szerződés-hosszabbítási díja, illetve visszailleszkedési támogatása. </w:t>
      </w:r>
      <w:r w:rsidRPr="00FC167B">
        <w:rPr>
          <w:rFonts w:ascii="Times New Roman" w:eastAsia="Times New Roman" w:hAnsi="Times New Roman" w:cs="Times New Roman"/>
          <w:i/>
          <w:kern w:val="2"/>
        </w:rPr>
        <w:t>(The reward system in the HDF. The jubilee reward. Any other rewards and material recognition forms. The contract extension fee and the reintegration allowance.)</w:t>
      </w:r>
      <w:r w:rsidRPr="00FC167B">
        <w:rPr>
          <w:rFonts w:ascii="Times New Roman" w:eastAsia="Times New Roman" w:hAnsi="Times New Roman" w:cs="Times New Roman"/>
          <w:kern w:val="2"/>
        </w:rPr>
        <w:t xml:space="preserve"> </w:t>
      </w:r>
    </w:p>
    <w:p w:rsidR="00D50526" w:rsidRPr="00FC167B" w:rsidRDefault="00D50526" w:rsidP="00980876">
      <w:pPr>
        <w:widowControl w:val="0"/>
        <w:numPr>
          <w:ilvl w:val="1"/>
          <w:numId w:val="386"/>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FC167B">
        <w:rPr>
          <w:rFonts w:ascii="Times New Roman" w:eastAsia="Times New Roman" w:hAnsi="Times New Roman" w:cs="Times New Roman"/>
          <w:kern w:val="2"/>
        </w:rPr>
        <w:t xml:space="preserve">Az illetményből történő levonások fajtái és szabályai (az egészségbiztosítási és nyugdíjjárulék, a munkavállalói járulék, a magánszemélyek jövedelemadója, egyéb levonások), valamint a munkáltatót terhelő kifizetések (SZOCHO, szakképzési hozzájárulás,). A levonások foganatosítása. </w:t>
      </w:r>
      <w:r w:rsidRPr="00FC167B">
        <w:rPr>
          <w:rFonts w:ascii="Times New Roman" w:eastAsia="Times New Roman" w:hAnsi="Times New Roman" w:cs="Times New Roman"/>
          <w:i/>
          <w:kern w:val="2"/>
        </w:rPr>
        <w:t>(The types and rules of wage deductions from salaries (health insurance and pension contributions, employee contributions, personal income tax, other deductions). Payments to the employer (different taxes). Making enforcement deductions.)</w:t>
      </w:r>
    </w:p>
    <w:p w:rsidR="00D50526" w:rsidRPr="00FC167B" w:rsidRDefault="00D50526" w:rsidP="00980876">
      <w:pPr>
        <w:widowControl w:val="0"/>
        <w:numPr>
          <w:ilvl w:val="1"/>
          <w:numId w:val="386"/>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FC167B">
        <w:rPr>
          <w:rFonts w:ascii="Times New Roman" w:eastAsia="Times New Roman" w:hAnsi="Times New Roman" w:cs="Times New Roman"/>
          <w:kern w:val="2"/>
        </w:rPr>
        <w:t xml:space="preserve">A munkaszervezés módszertana. Munkaszervezés a pénzügyi és számviteli szolgálatnál. Belső munkafolyamatok megszervezése. A munkaköri leírás rendeltetése és tartalma. A pénzügyi referatúra munkájának megtervezése, a munkatervek összeállítása, a feladatok elosztása. Kapcsolattartás a parancsnokkal és az egyes szolgálati ágak vezetőivel, az egyes pénzügyi és számviteli feladatok kapcsolata a katonai szervezet egyéb munkaterületeivel. A pénzügyi belső ellenőrzés megszervezése. A pénzügyi iratok kezelése. A pénzügyi és számviteli beosztások átadás-átvételének szabályai. </w:t>
      </w:r>
      <w:r w:rsidRPr="00FC167B">
        <w:rPr>
          <w:rFonts w:ascii="Times New Roman" w:eastAsia="Times New Roman" w:hAnsi="Times New Roman" w:cs="Times New Roman"/>
          <w:i/>
          <w:kern w:val="2"/>
        </w:rPr>
        <w:t xml:space="preserve">(The organization of work’s </w:t>
      </w:r>
      <w:r w:rsidRPr="00FC167B">
        <w:rPr>
          <w:rFonts w:ascii="Times New Roman" w:eastAsia="Times New Roman" w:hAnsi="Times New Roman" w:cs="Times New Roman"/>
          <w:i/>
          <w:kern w:val="2"/>
        </w:rPr>
        <w:lastRenderedPageBreak/>
        <w:t>methodology. Work organization at financial and accounting services. The organizing of internal work. The purposes and contents of a job description. The planning of work of financial report, compiling the work plans and allocating of (the) tasks. Keeping in touch with the commander and the leaders of each branch of service. The relationship between individual financial and accounting tasks with the other working areas of the military organization. The organization of financial internal control. The handling of financial documents. The rules for the transfer and receipt of financial and accounting positions.)</w:t>
      </w:r>
    </w:p>
    <w:p w:rsidR="00D50526" w:rsidRPr="00C049A5" w:rsidRDefault="00D50526" w:rsidP="00980876">
      <w:pPr>
        <w:widowControl w:val="0"/>
        <w:numPr>
          <w:ilvl w:val="1"/>
          <w:numId w:val="386"/>
        </w:numPr>
        <w:tabs>
          <w:tab w:val="clear" w:pos="3977"/>
          <w:tab w:val="left" w:pos="709"/>
          <w:tab w:val="left" w:pos="993"/>
          <w:tab w:val="num" w:pos="2069"/>
        </w:tabs>
        <w:spacing w:before="120" w:after="120" w:line="240" w:lineRule="auto"/>
        <w:ind w:left="993" w:hanging="567"/>
        <w:jc w:val="both"/>
        <w:rPr>
          <w:rStyle w:val="shorttext"/>
          <w:rFonts w:ascii="Times New Roman" w:eastAsia="Times New Roman" w:hAnsi="Times New Roman" w:cs="Times New Roman"/>
          <w:bCs/>
          <w:sz w:val="24"/>
          <w:szCs w:val="24"/>
        </w:rPr>
      </w:pPr>
      <w:r w:rsidRPr="00FC167B">
        <w:rPr>
          <w:rFonts w:ascii="Times New Roman" w:eastAsia="Times New Roman" w:hAnsi="Times New Roman" w:cs="Times New Roman"/>
          <w:kern w:val="2"/>
        </w:rPr>
        <w:t xml:space="preserve">A Magyar Honvédség illetmény-számfejtési rendszere. Az illetmények számfejtésének szabályai, rendszere, feladatai. </w:t>
      </w:r>
      <w:r w:rsidRPr="00FC167B">
        <w:rPr>
          <w:rFonts w:ascii="Times New Roman" w:eastAsia="Times New Roman" w:hAnsi="Times New Roman" w:cs="Times New Roman"/>
          <w:i/>
          <w:kern w:val="2"/>
        </w:rPr>
        <w:t>(The salary calculation system of the HDF. The rules, system and duties of the calculation of salaries.)</w:t>
      </w:r>
    </w:p>
    <w:p w:rsidR="00D50526" w:rsidRPr="006331D3" w:rsidRDefault="00D50526" w:rsidP="00980876">
      <w:pPr>
        <w:pStyle w:val="Listaszerbekezds"/>
        <w:widowControl w:val="0"/>
        <w:numPr>
          <w:ilvl w:val="0"/>
          <w:numId w:val="386"/>
        </w:numPr>
        <w:tabs>
          <w:tab w:val="clear" w:pos="720"/>
          <w:tab w:val="num" w:pos="643"/>
          <w:tab w:val="left" w:pos="709"/>
          <w:tab w:val="left" w:pos="993"/>
        </w:tabs>
        <w:spacing w:before="120" w:after="120" w:line="240" w:lineRule="auto"/>
        <w:ind w:left="643"/>
        <w:jc w:val="both"/>
        <w:rPr>
          <w:rFonts w:ascii="Times New Roman" w:eastAsia="Times New Roman" w:hAnsi="Times New Roman" w:cs="Times New Roman"/>
          <w:bCs/>
        </w:rPr>
      </w:pPr>
      <w:r w:rsidRPr="006331D3">
        <w:rPr>
          <w:rFonts w:ascii="Times New Roman" w:eastAsia="Times New Roman" w:hAnsi="Times New Roman" w:cs="Times New Roman"/>
          <w:b/>
          <w:bCs/>
        </w:rPr>
        <w:t xml:space="preserve">A tantárgy meghirdetésének gyakorisága/a tantervben történő félévi elhelyezkedése: </w:t>
      </w:r>
      <w:r w:rsidRPr="006331D3">
        <w:rPr>
          <w:rFonts w:ascii="Times New Roman" w:eastAsia="Times New Roman" w:hAnsi="Times New Roman" w:cs="Times New Roman"/>
          <w:bCs/>
        </w:rPr>
        <w:t xml:space="preserve">a tanév </w:t>
      </w:r>
      <w:r w:rsidR="00C75F36" w:rsidRPr="00C75F36">
        <w:rPr>
          <w:rFonts w:ascii="Times New Roman" w:eastAsia="Times New Roman" w:hAnsi="Times New Roman" w:cs="Times New Roman"/>
          <w:bCs/>
          <w:highlight w:val="yellow"/>
        </w:rPr>
        <w:t>7</w:t>
      </w:r>
      <w:r w:rsidRPr="006331D3">
        <w:rPr>
          <w:rFonts w:ascii="Times New Roman" w:eastAsia="Times New Roman" w:hAnsi="Times New Roman" w:cs="Times New Roman"/>
          <w:bCs/>
        </w:rPr>
        <w:t>. (</w:t>
      </w:r>
      <w:r>
        <w:rPr>
          <w:rFonts w:ascii="Times New Roman" w:eastAsia="Times New Roman" w:hAnsi="Times New Roman" w:cs="Times New Roman"/>
          <w:bCs/>
        </w:rPr>
        <w:t>őszi</w:t>
      </w:r>
      <w:r w:rsidRPr="006331D3">
        <w:rPr>
          <w:rFonts w:ascii="Times New Roman" w:eastAsia="Times New Roman" w:hAnsi="Times New Roman" w:cs="Times New Roman"/>
          <w:bCs/>
        </w:rPr>
        <w:t>) félévében.</w:t>
      </w:r>
    </w:p>
    <w:p w:rsidR="00D50526" w:rsidRDefault="00D50526" w:rsidP="00980876">
      <w:pPr>
        <w:widowControl w:val="0"/>
        <w:numPr>
          <w:ilvl w:val="0"/>
          <w:numId w:val="386"/>
        </w:numPr>
        <w:tabs>
          <w:tab w:val="clear" w:pos="720"/>
          <w:tab w:val="num" w:pos="643"/>
        </w:tabs>
        <w:spacing w:before="120" w:after="120" w:line="240" w:lineRule="auto"/>
        <w:ind w:left="643"/>
        <w:jc w:val="both"/>
        <w:rPr>
          <w:rFonts w:ascii="Times New Roman" w:eastAsia="Times New Roman" w:hAnsi="Times New Roman" w:cs="Times New Roman"/>
          <w:bCs/>
        </w:rPr>
      </w:pPr>
      <w:r w:rsidRPr="00BC6E7B">
        <w:rPr>
          <w:rFonts w:ascii="Times New Roman" w:eastAsia="Times New Roman" w:hAnsi="Times New Roman" w:cs="Times New Roman"/>
          <w:b/>
          <w:bCs/>
        </w:rPr>
        <w:t>A tanórákon való részvétel követelményei, az elfogadható hiányzások mértéke, a távolmaradás pótlásának lehetősége:</w:t>
      </w:r>
      <w:r>
        <w:rPr>
          <w:rFonts w:ascii="Times New Roman" w:eastAsia="Times New Roman" w:hAnsi="Times New Roman" w:cs="Times New Roman"/>
          <w:bCs/>
        </w:rPr>
        <w:t xml:space="preserve"> </w:t>
      </w:r>
      <w:r w:rsidRPr="00D0042F">
        <w:rPr>
          <w:rFonts w:ascii="Times New Roman" w:eastAsia="Times New Roman" w:hAnsi="Times New Roman" w:cs="Times New Roman"/>
          <w:bCs/>
        </w:rPr>
        <w:t xml:space="preserve">a tanórákon való jelenlét kötelező, az elfogadható és igazolt hiányzások száma maximum a tanórák </w:t>
      </w:r>
      <w:r>
        <w:rPr>
          <w:rFonts w:ascii="Times New Roman" w:eastAsia="Times New Roman" w:hAnsi="Times New Roman" w:cs="Times New Roman"/>
          <w:bCs/>
        </w:rPr>
        <w:t>20</w:t>
      </w:r>
      <w:r w:rsidRPr="00D0042F">
        <w:rPr>
          <w:rFonts w:ascii="Times New Roman" w:eastAsia="Times New Roman" w:hAnsi="Times New Roman" w:cs="Times New Roman"/>
          <w:bCs/>
        </w:rPr>
        <w:t>%-áig terjedhet, az ismeretek pótlásáról a hallgató gondoskodik.</w:t>
      </w:r>
      <w:r>
        <w:rPr>
          <w:rFonts w:ascii="Times New Roman" w:eastAsia="Times New Roman" w:hAnsi="Times New Roman" w:cs="Times New Roman"/>
          <w:bCs/>
        </w:rPr>
        <w:t xml:space="preserve"> A hiányzások elfogadható mértékének túllépése az aláírás megtagadását vonja maga után.</w:t>
      </w:r>
    </w:p>
    <w:p w:rsidR="00D50526" w:rsidRPr="006331D3" w:rsidRDefault="00D50526" w:rsidP="00980876">
      <w:pPr>
        <w:widowControl w:val="0"/>
        <w:numPr>
          <w:ilvl w:val="0"/>
          <w:numId w:val="386"/>
        </w:numPr>
        <w:tabs>
          <w:tab w:val="clear" w:pos="720"/>
          <w:tab w:val="num" w:pos="643"/>
        </w:tabs>
        <w:spacing w:before="120" w:after="120" w:line="240" w:lineRule="auto"/>
        <w:jc w:val="both"/>
        <w:rPr>
          <w:rFonts w:ascii="Times New Roman" w:eastAsia="Times New Roman" w:hAnsi="Times New Roman" w:cs="Times New Roman"/>
        </w:rPr>
      </w:pPr>
      <w:r w:rsidRPr="006331D3">
        <w:rPr>
          <w:rFonts w:ascii="Times New Roman" w:eastAsia="Times New Roman" w:hAnsi="Times New Roman" w:cs="Times New Roman"/>
          <w:b/>
        </w:rPr>
        <w:t>Félévközi feladatok, ismeretek ellenőrzésének rendje:</w:t>
      </w:r>
      <w:r w:rsidRPr="006331D3">
        <w:rPr>
          <w:rFonts w:ascii="Times New Roman" w:eastAsia="Times New Roman" w:hAnsi="Times New Roman" w:cs="Times New Roman"/>
        </w:rPr>
        <w:t xml:space="preserve"> </w:t>
      </w:r>
      <w:r>
        <w:rPr>
          <w:rFonts w:ascii="Times New Roman" w:eastAsia="Times New Roman" w:hAnsi="Times New Roman" w:cs="Times New Roman"/>
        </w:rPr>
        <w:t xml:space="preserve">A hallgató a félév során 3 zárthelyi dolgozatotír. A zárthelyi </w:t>
      </w:r>
      <w:r w:rsidRPr="006331D3">
        <w:rPr>
          <w:rFonts w:ascii="Times New Roman" w:eastAsia="Times New Roman" w:hAnsi="Times New Roman" w:cs="Times New Roman"/>
        </w:rPr>
        <w:t xml:space="preserve">dolgozatok értékelése ötfokozatú skála alapján történik (50 %-tól elégséges, 65 %-tól közepes, 75-tól % jó, 85 %-tól jeles). </w:t>
      </w:r>
    </w:p>
    <w:p w:rsidR="00D50526" w:rsidRDefault="00D50526" w:rsidP="00980876">
      <w:pPr>
        <w:widowControl w:val="0"/>
        <w:numPr>
          <w:ilvl w:val="0"/>
          <w:numId w:val="386"/>
        </w:numPr>
        <w:tabs>
          <w:tab w:val="clear" w:pos="720"/>
          <w:tab w:val="num" w:pos="643"/>
        </w:tabs>
        <w:spacing w:before="120" w:after="120" w:line="240" w:lineRule="auto"/>
        <w:ind w:left="426" w:hanging="142"/>
        <w:jc w:val="both"/>
        <w:rPr>
          <w:rFonts w:ascii="Times New Roman" w:eastAsia="Times New Roman" w:hAnsi="Times New Roman" w:cs="Times New Roman"/>
          <w:b/>
          <w:bCs/>
        </w:rPr>
      </w:pPr>
      <w:r w:rsidRPr="00BC6E7B">
        <w:rPr>
          <w:rFonts w:ascii="Times New Roman" w:eastAsia="Times New Roman" w:hAnsi="Times New Roman" w:cs="Times New Roman"/>
          <w:b/>
          <w:bCs/>
        </w:rPr>
        <w:t xml:space="preserve">Az értékelés, az aláírás és a kreditek megszerzésének pontos feltételei: </w:t>
      </w:r>
    </w:p>
    <w:p w:rsidR="00D50526" w:rsidRPr="000D191A" w:rsidRDefault="00D50526" w:rsidP="00980876">
      <w:pPr>
        <w:widowControl w:val="0"/>
        <w:numPr>
          <w:ilvl w:val="1"/>
          <w:numId w:val="386"/>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0D191A">
        <w:rPr>
          <w:rFonts w:ascii="Times New Roman" w:eastAsia="Times New Roman" w:hAnsi="Times New Roman" w:cs="Times New Roman"/>
          <w:b/>
        </w:rPr>
        <w:t>Az aláírás megszerzésének feltételei:</w:t>
      </w:r>
      <w:r w:rsidRPr="000D191A">
        <w:rPr>
          <w:rFonts w:ascii="Times New Roman" w:eastAsia="Times New Roman" w:hAnsi="Times New Roman" w:cs="Times New Roman"/>
        </w:rPr>
        <w:t xml:space="preserve"> Az aláírás megszerzésének feltétele a 14. pontban meghatározott ará</w:t>
      </w:r>
      <w:r>
        <w:rPr>
          <w:rFonts w:ascii="Times New Roman" w:eastAsia="Times New Roman" w:hAnsi="Times New Roman" w:cs="Times New Roman"/>
        </w:rPr>
        <w:t>nyú részvétel a foglalkozásokon. És a zárthelyi dolgozatok legalább elégséges eredményű teljesítése.</w:t>
      </w:r>
    </w:p>
    <w:p w:rsidR="00D50526" w:rsidRDefault="00D50526" w:rsidP="00980876">
      <w:pPr>
        <w:widowControl w:val="0"/>
        <w:numPr>
          <w:ilvl w:val="1"/>
          <w:numId w:val="386"/>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BC6E7B">
        <w:rPr>
          <w:rFonts w:ascii="Times New Roman" w:eastAsia="Times New Roman" w:hAnsi="Times New Roman" w:cs="Times New Roman"/>
          <w:b/>
        </w:rPr>
        <w:t>Az értékelés:</w:t>
      </w:r>
      <w:r w:rsidRPr="00BC6E7B">
        <w:rPr>
          <w:rFonts w:ascii="Times New Roman" w:eastAsia="Times New Roman" w:hAnsi="Times New Roman" w:cs="Times New Roman"/>
        </w:rPr>
        <w:t xml:space="preserve"> </w:t>
      </w:r>
      <w:r>
        <w:rPr>
          <w:rFonts w:ascii="Times New Roman" w:eastAsia="Times New Roman" w:hAnsi="Times New Roman" w:cs="Times New Roman"/>
        </w:rPr>
        <w:t>Kollokvium</w:t>
      </w:r>
      <w:r w:rsidRPr="00EF6F4E">
        <w:rPr>
          <w:rFonts w:ascii="Times New Roman" w:eastAsia="Times New Roman" w:hAnsi="Times New Roman" w:cs="Times New Roman"/>
        </w:rPr>
        <w:t>– írásbeli vizsga. A Tanszék beszámoló felkészülési kérdéseket ad ki. A vizsga tartalmát az előadáson elhangzottak és az alább felsorolt kötelező és ajánlott irodalmak anyagai képezik. A vizsgadolgozat értékelése: 0-50% - elégtelen, 51-70% - elégséges, 71-80% - közepe, 81-90% - jó, 91-100% - jeles</w:t>
      </w:r>
      <w:r>
        <w:rPr>
          <w:rFonts w:ascii="Times New Roman" w:eastAsia="Times New Roman" w:hAnsi="Times New Roman" w:cs="Times New Roman"/>
        </w:rPr>
        <w:t>.</w:t>
      </w:r>
    </w:p>
    <w:p w:rsidR="00D50526" w:rsidRDefault="00D50526" w:rsidP="00980876">
      <w:pPr>
        <w:widowControl w:val="0"/>
        <w:numPr>
          <w:ilvl w:val="1"/>
          <w:numId w:val="386"/>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BC6E7B">
        <w:rPr>
          <w:rFonts w:ascii="Times New Roman" w:eastAsia="Times New Roman" w:hAnsi="Times New Roman" w:cs="Times New Roman"/>
          <w:b/>
        </w:rPr>
        <w:t>A kreditek megszerzésének feltételei:</w:t>
      </w:r>
      <w:r w:rsidRPr="00BC6E7B">
        <w:rPr>
          <w:rFonts w:ascii="Times New Roman" w:eastAsia="Times New Roman" w:hAnsi="Times New Roman" w:cs="Times New Roman"/>
        </w:rPr>
        <w:t xml:space="preserve"> </w:t>
      </w:r>
    </w:p>
    <w:p w:rsidR="00D50526" w:rsidRPr="00BC6E7B" w:rsidRDefault="00D50526" w:rsidP="00D50526">
      <w:pPr>
        <w:widowControl w:val="0"/>
        <w:tabs>
          <w:tab w:val="left" w:pos="993"/>
        </w:tabs>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A kreditek megszerzésének feltétele az aláírás megszerzése és a kollokvium legalább elégséges teljesítése.</w:t>
      </w:r>
    </w:p>
    <w:p w:rsidR="00D50526" w:rsidRPr="0035461C" w:rsidRDefault="00D50526" w:rsidP="00980876">
      <w:pPr>
        <w:widowControl w:val="0"/>
        <w:numPr>
          <w:ilvl w:val="0"/>
          <w:numId w:val="386"/>
        </w:numPr>
        <w:tabs>
          <w:tab w:val="clear" w:pos="720"/>
          <w:tab w:val="num" w:pos="360"/>
          <w:tab w:val="num" w:pos="643"/>
        </w:tabs>
        <w:spacing w:before="120" w:after="120" w:line="240" w:lineRule="auto"/>
        <w:ind w:left="426" w:hanging="142"/>
        <w:jc w:val="both"/>
        <w:rPr>
          <w:rFonts w:ascii="Times New Roman" w:eastAsia="Times New Roman" w:hAnsi="Times New Roman" w:cs="Times New Roman"/>
          <w:bCs/>
        </w:rPr>
      </w:pPr>
      <w:r w:rsidRPr="00BC6E7B">
        <w:rPr>
          <w:rFonts w:ascii="Times New Roman" w:eastAsia="Times New Roman" w:hAnsi="Times New Roman" w:cs="Times New Roman"/>
          <w:b/>
          <w:bCs/>
        </w:rPr>
        <w:t>Irodalomjegyzék:</w:t>
      </w:r>
    </w:p>
    <w:p w:rsidR="00D50526" w:rsidRDefault="00D50526" w:rsidP="00980876">
      <w:pPr>
        <w:widowControl w:val="0"/>
        <w:numPr>
          <w:ilvl w:val="1"/>
          <w:numId w:val="386"/>
        </w:numPr>
        <w:tabs>
          <w:tab w:val="clear" w:pos="3977"/>
          <w:tab w:val="num" w:pos="567"/>
          <w:tab w:val="num" w:pos="999"/>
          <w:tab w:val="num" w:pos="2069"/>
        </w:tabs>
        <w:spacing w:before="120" w:after="120" w:line="240" w:lineRule="auto"/>
        <w:ind w:left="993" w:hanging="709"/>
        <w:jc w:val="both"/>
        <w:rPr>
          <w:rFonts w:ascii="Times New Roman" w:eastAsia="Times New Roman" w:hAnsi="Times New Roman" w:cs="Times New Roman"/>
          <w:b/>
          <w:bCs/>
        </w:rPr>
      </w:pPr>
      <w:r w:rsidRPr="0035461C">
        <w:rPr>
          <w:rFonts w:ascii="Times New Roman" w:eastAsia="Times New Roman" w:hAnsi="Times New Roman" w:cs="Times New Roman"/>
          <w:b/>
          <w:bCs/>
        </w:rPr>
        <w:t>Kötelező irodalom:</w:t>
      </w:r>
      <w:r w:rsidRPr="00AA29C2">
        <w:rPr>
          <w:rFonts w:ascii="Times New Roman" w:eastAsia="Times New Roman" w:hAnsi="Times New Roman" w:cs="Times New Roman"/>
        </w:rPr>
        <w:t xml:space="preserve"> </w:t>
      </w:r>
      <w:r>
        <w:rPr>
          <w:rFonts w:ascii="Times New Roman" w:eastAsia="Times New Roman" w:hAnsi="Times New Roman" w:cs="Times New Roman"/>
        </w:rPr>
        <w:t>A t</w:t>
      </w:r>
      <w:r w:rsidRPr="0099634B">
        <w:rPr>
          <w:rFonts w:ascii="Times New Roman" w:eastAsia="Times New Roman" w:hAnsi="Times New Roman" w:cs="Times New Roman"/>
        </w:rPr>
        <w:t>antárgy speciális katonai-szakmai tartalma miatt csak jogszabályi irodalom áll rendelkezésre</w:t>
      </w:r>
      <w:r>
        <w:rPr>
          <w:rFonts w:ascii="Times New Roman" w:eastAsia="Times New Roman" w:hAnsi="Times New Roman" w:cs="Times New Roman"/>
          <w:bCs/>
          <w:caps/>
        </w:rPr>
        <w:t>.</w:t>
      </w:r>
    </w:p>
    <w:p w:rsidR="00D50526" w:rsidRPr="005A6083" w:rsidRDefault="00D50526" w:rsidP="00980876">
      <w:pPr>
        <w:widowControl w:val="0"/>
        <w:numPr>
          <w:ilvl w:val="2"/>
          <w:numId w:val="387"/>
        </w:numPr>
        <w:spacing w:before="120" w:after="120" w:line="240" w:lineRule="auto"/>
        <w:jc w:val="both"/>
        <w:rPr>
          <w:rFonts w:ascii="Times New Roman" w:eastAsia="Times New Roman" w:hAnsi="Times New Roman" w:cs="Times New Roman"/>
        </w:rPr>
      </w:pPr>
      <w:r w:rsidRPr="005A6083">
        <w:rPr>
          <w:rFonts w:ascii="Times New Roman" w:eastAsia="Times New Roman" w:hAnsi="Times New Roman" w:cs="Times New Roman"/>
        </w:rPr>
        <w:t>A honvédek jogállásáról szóló 2012. évi CCV. törvény</w:t>
      </w:r>
    </w:p>
    <w:p w:rsidR="00D50526" w:rsidRPr="005A6083" w:rsidRDefault="00D50526" w:rsidP="00980876">
      <w:pPr>
        <w:widowControl w:val="0"/>
        <w:numPr>
          <w:ilvl w:val="2"/>
          <w:numId w:val="387"/>
        </w:numPr>
        <w:spacing w:before="120" w:after="120" w:line="240" w:lineRule="auto"/>
        <w:jc w:val="both"/>
        <w:rPr>
          <w:rFonts w:ascii="Times New Roman" w:eastAsia="Times New Roman" w:hAnsi="Times New Roman" w:cs="Times New Roman"/>
        </w:rPr>
      </w:pPr>
      <w:r w:rsidRPr="005A6083">
        <w:rPr>
          <w:rFonts w:ascii="Times New Roman" w:eastAsia="Times New Roman" w:hAnsi="Times New Roman" w:cs="Times New Roman"/>
        </w:rPr>
        <w:t>A kormányzati igazgatásról szóló 2018. évi CXXV. törvény</w:t>
      </w:r>
    </w:p>
    <w:p w:rsidR="00D50526" w:rsidRPr="005A6083" w:rsidRDefault="00D50526" w:rsidP="00980876">
      <w:pPr>
        <w:widowControl w:val="0"/>
        <w:numPr>
          <w:ilvl w:val="2"/>
          <w:numId w:val="387"/>
        </w:numPr>
        <w:spacing w:before="120" w:after="120" w:line="240" w:lineRule="auto"/>
        <w:jc w:val="both"/>
        <w:rPr>
          <w:rFonts w:ascii="Times New Roman" w:eastAsia="Times New Roman" w:hAnsi="Times New Roman" w:cs="Times New Roman"/>
        </w:rPr>
      </w:pPr>
      <w:r w:rsidRPr="005A6083">
        <w:rPr>
          <w:rFonts w:ascii="Times New Roman" w:eastAsia="Times New Roman" w:hAnsi="Times New Roman" w:cs="Times New Roman"/>
        </w:rPr>
        <w:t>Az egyes pénzbeli, természetbeni és szociális juttatásokról szóló 12/2013. (VIII. 15.) HM rendelet</w:t>
      </w:r>
    </w:p>
    <w:p w:rsidR="00D50526" w:rsidRPr="00C83EBE" w:rsidRDefault="00D50526" w:rsidP="00980876">
      <w:pPr>
        <w:widowControl w:val="0"/>
        <w:numPr>
          <w:ilvl w:val="1"/>
          <w:numId w:val="386"/>
        </w:numPr>
        <w:tabs>
          <w:tab w:val="clear" w:pos="3977"/>
          <w:tab w:val="num" w:pos="567"/>
          <w:tab w:val="num" w:pos="999"/>
          <w:tab w:val="num" w:pos="2069"/>
        </w:tabs>
        <w:spacing w:before="120" w:after="120" w:line="240" w:lineRule="auto"/>
        <w:ind w:left="993" w:hanging="709"/>
        <w:jc w:val="both"/>
        <w:rPr>
          <w:rFonts w:ascii="Times New Roman" w:eastAsia="Times New Roman" w:hAnsi="Times New Roman" w:cs="Times New Roman"/>
          <w:b/>
          <w:bCs/>
        </w:rPr>
      </w:pPr>
      <w:r w:rsidRPr="00BC6E7B">
        <w:rPr>
          <w:rFonts w:ascii="Times New Roman" w:eastAsia="Times New Roman" w:hAnsi="Times New Roman" w:cs="Times New Roman"/>
          <w:b/>
          <w:bCs/>
        </w:rPr>
        <w:t>Ajánlott irodalom:</w:t>
      </w:r>
      <w:r>
        <w:rPr>
          <w:rFonts w:ascii="Times New Roman" w:eastAsia="Times New Roman" w:hAnsi="Times New Roman" w:cs="Times New Roman"/>
          <w:b/>
          <w:bCs/>
        </w:rPr>
        <w:t xml:space="preserve"> -</w:t>
      </w:r>
    </w:p>
    <w:p w:rsidR="00D50526" w:rsidRPr="0035461C" w:rsidRDefault="00D50526" w:rsidP="00D50526">
      <w:pPr>
        <w:pStyle w:val="Listaszerbekezds"/>
        <w:widowControl w:val="0"/>
        <w:tabs>
          <w:tab w:val="left" w:pos="993"/>
        </w:tabs>
        <w:spacing w:before="120" w:after="120" w:line="240" w:lineRule="auto"/>
        <w:ind w:left="1584"/>
        <w:jc w:val="both"/>
        <w:rPr>
          <w:rFonts w:ascii="Times New Roman" w:eastAsia="Times New Roman" w:hAnsi="Times New Roman" w:cs="Times New Roman"/>
        </w:rPr>
      </w:pPr>
    </w:p>
    <w:p w:rsidR="00D50526" w:rsidRPr="00BC6E7B" w:rsidRDefault="00D50526" w:rsidP="00D50526">
      <w:pPr>
        <w:widowControl w:val="0"/>
        <w:spacing w:before="120" w:after="120" w:line="240" w:lineRule="auto"/>
        <w:jc w:val="both"/>
        <w:rPr>
          <w:rFonts w:ascii="Times New Roman" w:eastAsia="Times New Roman" w:hAnsi="Times New Roman" w:cs="Times New Roman"/>
          <w:bCs/>
        </w:rPr>
      </w:pPr>
      <w:r w:rsidRPr="0035461C">
        <w:rPr>
          <w:rFonts w:ascii="Times New Roman" w:eastAsia="Times New Roman" w:hAnsi="Times New Roman" w:cs="Times New Roman"/>
          <w:bCs/>
        </w:rPr>
        <w:t>Budapest, 20</w:t>
      </w:r>
      <w:r>
        <w:rPr>
          <w:rFonts w:ascii="Times New Roman" w:eastAsia="Times New Roman" w:hAnsi="Times New Roman" w:cs="Times New Roman"/>
          <w:bCs/>
        </w:rPr>
        <w:t>20</w:t>
      </w:r>
      <w:r w:rsidRPr="0035461C">
        <w:rPr>
          <w:rFonts w:ascii="Times New Roman" w:eastAsia="Times New Roman" w:hAnsi="Times New Roman" w:cs="Times New Roman"/>
          <w:bCs/>
        </w:rPr>
        <w:t>.</w:t>
      </w:r>
      <w:r>
        <w:rPr>
          <w:rFonts w:ascii="Times New Roman" w:eastAsia="Times New Roman" w:hAnsi="Times New Roman" w:cs="Times New Roman"/>
          <w:bCs/>
        </w:rPr>
        <w:t>02</w:t>
      </w:r>
      <w:r w:rsidRPr="0035461C">
        <w:rPr>
          <w:rFonts w:ascii="Times New Roman" w:eastAsia="Times New Roman" w:hAnsi="Times New Roman" w:cs="Times New Roman"/>
          <w:bCs/>
        </w:rPr>
        <w:t>.2</w:t>
      </w:r>
      <w:r>
        <w:rPr>
          <w:rFonts w:ascii="Times New Roman" w:eastAsia="Times New Roman" w:hAnsi="Times New Roman" w:cs="Times New Roman"/>
          <w:bCs/>
        </w:rPr>
        <w:t>0.</w:t>
      </w:r>
    </w:p>
    <w:p w:rsidR="00D50526" w:rsidRPr="00D50526" w:rsidRDefault="00D50526" w:rsidP="00D50526">
      <w:pPr>
        <w:widowControl w:val="0"/>
        <w:spacing w:after="0" w:line="240" w:lineRule="auto"/>
        <w:ind w:left="5664" w:firstLine="708"/>
        <w:jc w:val="center"/>
        <w:rPr>
          <w:rFonts w:ascii="Times New Roman" w:eastAsia="Times New Roman" w:hAnsi="Times New Roman" w:cs="Times New Roman"/>
          <w:b/>
          <w:bCs/>
        </w:rPr>
      </w:pPr>
      <w:r w:rsidRPr="00D50526">
        <w:rPr>
          <w:rFonts w:ascii="Times New Roman" w:eastAsia="Times New Roman" w:hAnsi="Times New Roman" w:cs="Times New Roman"/>
          <w:b/>
          <w:bCs/>
        </w:rPr>
        <w:t>Dr. Balla Tibor sk.</w:t>
      </w:r>
    </w:p>
    <w:p w:rsidR="00D50526" w:rsidRDefault="00D50526">
      <w:pPr>
        <w:spacing w:after="200" w:line="276" w:lineRule="auto"/>
        <w:rPr>
          <w:rFonts w:ascii="Times New Roman" w:hAnsi="Times New Roman" w:cs="Times New Roman"/>
          <w:b/>
          <w:color w:val="FF0000"/>
          <w:sz w:val="24"/>
        </w:rPr>
      </w:pPr>
    </w:p>
    <w:p w:rsidR="00D50526" w:rsidRDefault="00D50526">
      <w:pPr>
        <w:spacing w:after="200" w:line="276" w:lineRule="auto"/>
        <w:rPr>
          <w:rFonts w:ascii="Times New Roman" w:hAnsi="Times New Roman" w:cs="Times New Roman"/>
          <w:b/>
          <w:color w:val="FF0000"/>
          <w:sz w:val="24"/>
        </w:rPr>
      </w:pPr>
      <w:r>
        <w:rPr>
          <w:rFonts w:ascii="Times New Roman" w:hAnsi="Times New Roman" w:cs="Times New Roman"/>
          <w:b/>
          <w:color w:val="FF0000"/>
          <w:sz w:val="24"/>
        </w:rPr>
        <w:br w:type="page"/>
      </w:r>
    </w:p>
    <w:tbl>
      <w:tblPr>
        <w:tblW w:w="9072" w:type="dxa"/>
        <w:tblInd w:w="113" w:type="dxa"/>
        <w:tblLook w:val="01E0" w:firstRow="1" w:lastRow="1" w:firstColumn="1" w:lastColumn="1" w:noHBand="0" w:noVBand="0"/>
      </w:tblPr>
      <w:tblGrid>
        <w:gridCol w:w="4855"/>
        <w:gridCol w:w="1620"/>
        <w:gridCol w:w="2597"/>
      </w:tblGrid>
      <w:tr w:rsidR="00D50526" w:rsidRPr="00BC6E7B" w:rsidTr="00ED3CE1">
        <w:tc>
          <w:tcPr>
            <w:tcW w:w="4855" w:type="dxa"/>
            <w:tcBorders>
              <w:bottom w:val="single" w:sz="4" w:space="0" w:color="auto"/>
            </w:tcBorders>
          </w:tcPr>
          <w:p w:rsidR="00D50526" w:rsidRPr="00BC6E7B" w:rsidRDefault="00D50526" w:rsidP="00ED3CE1">
            <w:pPr>
              <w:spacing w:after="0" w:line="240" w:lineRule="auto"/>
              <w:jc w:val="center"/>
              <w:rPr>
                <w:rFonts w:ascii="Times New Roman" w:eastAsia="Times New Roman" w:hAnsi="Times New Roman" w:cs="Times New Roman"/>
                <w:b/>
                <w:smallCaps/>
                <w:lang w:eastAsia="hu-HU"/>
              </w:rPr>
            </w:pPr>
            <w:r w:rsidRPr="00BC6E7B">
              <w:rPr>
                <w:rFonts w:ascii="Times New Roman" w:eastAsia="Times New Roman" w:hAnsi="Times New Roman" w:cs="Times New Roman"/>
                <w:b/>
                <w:smallCaps/>
                <w:lang w:eastAsia="hu-HU"/>
              </w:rPr>
              <w:lastRenderedPageBreak/>
              <w:t>Nemzeti Közszolgálati Egyetem</w:t>
            </w:r>
          </w:p>
        </w:tc>
        <w:tc>
          <w:tcPr>
            <w:tcW w:w="1620" w:type="dxa"/>
          </w:tcPr>
          <w:p w:rsidR="00D50526" w:rsidRPr="00BC6E7B" w:rsidRDefault="00D50526" w:rsidP="00ED3CE1">
            <w:pPr>
              <w:spacing w:after="0" w:line="240" w:lineRule="auto"/>
              <w:jc w:val="both"/>
              <w:rPr>
                <w:rFonts w:ascii="Times New Roman" w:eastAsia="Times New Roman" w:hAnsi="Times New Roman" w:cs="Times New Roman"/>
                <w:lang w:eastAsia="hu-HU"/>
              </w:rPr>
            </w:pPr>
          </w:p>
        </w:tc>
        <w:tc>
          <w:tcPr>
            <w:tcW w:w="2597" w:type="dxa"/>
          </w:tcPr>
          <w:p w:rsidR="00D50526" w:rsidRPr="00BC6E7B" w:rsidRDefault="00D50526" w:rsidP="00ED3CE1">
            <w:pPr>
              <w:spacing w:after="0" w:line="240" w:lineRule="auto"/>
              <w:jc w:val="right"/>
              <w:rPr>
                <w:rFonts w:ascii="Times New Roman" w:eastAsia="Times New Roman" w:hAnsi="Times New Roman" w:cs="Times New Roman"/>
                <w:lang w:eastAsia="hu-HU"/>
              </w:rPr>
            </w:pPr>
          </w:p>
        </w:tc>
      </w:tr>
      <w:tr w:rsidR="00D50526" w:rsidTr="00ED3CE1">
        <w:tc>
          <w:tcPr>
            <w:tcW w:w="4855" w:type="dxa"/>
            <w:tcBorders>
              <w:top w:val="single" w:sz="4" w:space="0" w:color="auto"/>
              <w:left w:val="nil"/>
              <w:bottom w:val="nil"/>
              <w:right w:val="nil"/>
            </w:tcBorders>
            <w:hideMark/>
          </w:tcPr>
          <w:p w:rsidR="00D50526" w:rsidRPr="00F644B4" w:rsidRDefault="00D50526" w:rsidP="00ED3CE1">
            <w:pPr>
              <w:pStyle w:val="Szvegtrzs"/>
              <w:jc w:val="center"/>
              <w:rPr>
                <w:b/>
              </w:rPr>
            </w:pPr>
            <w:r>
              <w:rPr>
                <w:b/>
              </w:rPr>
              <w:t>Hadtudományi és Honvédtisztképző</w:t>
            </w:r>
            <w:r w:rsidRPr="00F644B4">
              <w:rPr>
                <w:b/>
              </w:rPr>
              <w:t xml:space="preserve"> Kar</w:t>
            </w:r>
          </w:p>
        </w:tc>
        <w:tc>
          <w:tcPr>
            <w:tcW w:w="1620" w:type="dxa"/>
          </w:tcPr>
          <w:p w:rsidR="00D50526" w:rsidRDefault="00D50526" w:rsidP="00ED3CE1">
            <w:pPr>
              <w:pStyle w:val="Szvegtrzs"/>
            </w:pPr>
          </w:p>
        </w:tc>
        <w:tc>
          <w:tcPr>
            <w:tcW w:w="2597" w:type="dxa"/>
          </w:tcPr>
          <w:p w:rsidR="00D50526" w:rsidRDefault="00D50526" w:rsidP="00ED3CE1">
            <w:pPr>
              <w:pStyle w:val="Szvegtrzs"/>
            </w:pPr>
          </w:p>
        </w:tc>
      </w:tr>
    </w:tbl>
    <w:p w:rsidR="00D50526" w:rsidRDefault="00D50526" w:rsidP="00D50526">
      <w:pPr>
        <w:widowControl w:val="0"/>
        <w:spacing w:before="120" w:after="120" w:line="240" w:lineRule="auto"/>
        <w:ind w:left="426" w:hanging="142"/>
        <w:jc w:val="center"/>
        <w:rPr>
          <w:rFonts w:ascii="Times New Roman" w:eastAsia="Times New Roman" w:hAnsi="Times New Roman" w:cs="Times New Roman"/>
          <w:b/>
          <w:bCs/>
        </w:rPr>
      </w:pPr>
    </w:p>
    <w:p w:rsidR="00D50526" w:rsidRPr="00BC6E7B" w:rsidRDefault="00D50526" w:rsidP="00D50526">
      <w:pPr>
        <w:widowControl w:val="0"/>
        <w:spacing w:before="120" w:after="120" w:line="240" w:lineRule="auto"/>
        <w:ind w:left="426" w:hanging="142"/>
        <w:jc w:val="center"/>
        <w:rPr>
          <w:rFonts w:ascii="Times New Roman" w:eastAsia="Times New Roman" w:hAnsi="Times New Roman" w:cs="Times New Roman"/>
          <w:b/>
          <w:bCs/>
        </w:rPr>
      </w:pPr>
      <w:r w:rsidRPr="00BC6E7B">
        <w:rPr>
          <w:rFonts w:ascii="Times New Roman" w:eastAsia="Times New Roman" w:hAnsi="Times New Roman" w:cs="Times New Roman"/>
          <w:b/>
          <w:bCs/>
        </w:rPr>
        <w:t>TANTÁRGYI PROGRAM</w:t>
      </w:r>
    </w:p>
    <w:p w:rsidR="00D50526" w:rsidRPr="00BC6E7B" w:rsidRDefault="00D50526" w:rsidP="00980876">
      <w:pPr>
        <w:widowControl w:val="0"/>
        <w:numPr>
          <w:ilvl w:val="0"/>
          <w:numId w:val="390"/>
        </w:numPr>
        <w:tabs>
          <w:tab w:val="clear" w:pos="720"/>
          <w:tab w:val="num" w:pos="643"/>
        </w:tabs>
        <w:spacing w:before="120" w:after="120" w:line="240" w:lineRule="auto"/>
        <w:ind w:left="643"/>
        <w:jc w:val="both"/>
        <w:rPr>
          <w:rFonts w:ascii="Times New Roman" w:eastAsia="Times New Roman" w:hAnsi="Times New Roman" w:cs="Times New Roman"/>
          <w:bCs/>
        </w:rPr>
      </w:pPr>
      <w:r w:rsidRPr="00BC6E7B">
        <w:rPr>
          <w:rFonts w:ascii="Times New Roman" w:eastAsia="Times New Roman" w:hAnsi="Times New Roman" w:cs="Times New Roman"/>
          <w:b/>
          <w:bCs/>
        </w:rPr>
        <w:t>A tantárgy kódja:</w:t>
      </w:r>
      <w:r>
        <w:rPr>
          <w:rFonts w:ascii="Times New Roman" w:eastAsia="Times New Roman" w:hAnsi="Times New Roman" w:cs="Times New Roman"/>
          <w:b/>
          <w:bCs/>
        </w:rPr>
        <w:t xml:space="preserve"> </w:t>
      </w:r>
      <w:r w:rsidRPr="00A50D80">
        <w:rPr>
          <w:rFonts w:ascii="Times New Roman" w:eastAsia="Times New Roman" w:hAnsi="Times New Roman" w:cs="Times New Roman"/>
          <w:bCs/>
        </w:rPr>
        <w:t>HKHPKA509</w:t>
      </w:r>
    </w:p>
    <w:p w:rsidR="00D50526" w:rsidRPr="00A6100B" w:rsidRDefault="00D50526" w:rsidP="00980876">
      <w:pPr>
        <w:widowControl w:val="0"/>
        <w:numPr>
          <w:ilvl w:val="0"/>
          <w:numId w:val="390"/>
        </w:numPr>
        <w:tabs>
          <w:tab w:val="clear" w:pos="720"/>
          <w:tab w:val="num" w:pos="643"/>
        </w:tabs>
        <w:spacing w:before="120" w:after="120" w:line="240" w:lineRule="auto"/>
        <w:ind w:left="643"/>
        <w:jc w:val="both"/>
        <w:rPr>
          <w:rFonts w:ascii="Times New Roman" w:eastAsia="Times New Roman" w:hAnsi="Times New Roman" w:cs="Times New Roman"/>
          <w:b/>
          <w:bCs/>
          <w:lang w:val="en-GB"/>
        </w:rPr>
      </w:pPr>
      <w:r w:rsidRPr="00A6100B">
        <w:rPr>
          <w:rFonts w:ascii="Times New Roman" w:eastAsia="Times New Roman" w:hAnsi="Times New Roman" w:cs="Times New Roman"/>
          <w:b/>
          <w:bCs/>
        </w:rPr>
        <w:t>A tantárgy megnevezése (magyarul):</w:t>
      </w:r>
      <w:r w:rsidRPr="00A6100B">
        <w:rPr>
          <w:bCs/>
        </w:rPr>
        <w:t xml:space="preserve"> </w:t>
      </w:r>
      <w:r w:rsidRPr="00A50D80">
        <w:rPr>
          <w:rFonts w:ascii="Times New Roman" w:eastAsia="Times New Roman" w:hAnsi="Times New Roman" w:cs="Times New Roman"/>
          <w:bCs/>
        </w:rPr>
        <w:t>Számvitel III. (Költségvetési számvitel II.)</w:t>
      </w:r>
      <w:r>
        <w:rPr>
          <w:rFonts w:ascii="Times New Roman" w:eastAsia="Times New Roman" w:hAnsi="Times New Roman" w:cs="Times New Roman"/>
          <w:bCs/>
        </w:rPr>
        <w:t>.</w:t>
      </w:r>
    </w:p>
    <w:p w:rsidR="00D50526" w:rsidRPr="00A6100B" w:rsidRDefault="00D50526" w:rsidP="00980876">
      <w:pPr>
        <w:widowControl w:val="0"/>
        <w:numPr>
          <w:ilvl w:val="0"/>
          <w:numId w:val="390"/>
        </w:numPr>
        <w:tabs>
          <w:tab w:val="clear" w:pos="720"/>
          <w:tab w:val="num" w:pos="643"/>
        </w:tabs>
        <w:spacing w:before="120" w:after="120" w:line="240" w:lineRule="auto"/>
        <w:ind w:left="643"/>
        <w:jc w:val="both"/>
        <w:rPr>
          <w:rFonts w:ascii="Times New Roman" w:eastAsia="Times New Roman" w:hAnsi="Times New Roman" w:cs="Times New Roman"/>
          <w:b/>
          <w:bCs/>
          <w:lang w:val="en-GB"/>
        </w:rPr>
      </w:pPr>
      <w:r w:rsidRPr="00A6100B">
        <w:rPr>
          <w:rFonts w:ascii="Times New Roman" w:eastAsia="Times New Roman" w:hAnsi="Times New Roman" w:cs="Times New Roman"/>
          <w:b/>
          <w:bCs/>
        </w:rPr>
        <w:t>A tantárgy megnevezése (angolul):</w:t>
      </w:r>
      <w:r w:rsidRPr="00A6100B">
        <w:rPr>
          <w:bCs/>
        </w:rPr>
        <w:t xml:space="preserve"> </w:t>
      </w:r>
      <w:r w:rsidRPr="00A50D80">
        <w:rPr>
          <w:rFonts w:ascii="Times New Roman" w:eastAsia="Times New Roman" w:hAnsi="Times New Roman" w:cs="Times New Roman"/>
          <w:bCs/>
        </w:rPr>
        <w:t>Accounting III.</w:t>
      </w:r>
      <w:r>
        <w:rPr>
          <w:bCs/>
        </w:rPr>
        <w:t xml:space="preserve"> (</w:t>
      </w:r>
      <w:r w:rsidRPr="00BB2647">
        <w:rPr>
          <w:rFonts w:ascii="Times New Roman" w:eastAsia="Times New Roman" w:hAnsi="Times New Roman" w:cs="Times New Roman"/>
          <w:bCs/>
        </w:rPr>
        <w:t>Public Service Accounting</w:t>
      </w:r>
      <w:r>
        <w:rPr>
          <w:rFonts w:ascii="Times New Roman" w:eastAsia="Times New Roman" w:hAnsi="Times New Roman" w:cs="Times New Roman"/>
          <w:bCs/>
        </w:rPr>
        <w:t xml:space="preserve"> II.)</w:t>
      </w:r>
    </w:p>
    <w:p w:rsidR="00D50526" w:rsidRDefault="00D50526" w:rsidP="00980876">
      <w:pPr>
        <w:widowControl w:val="0"/>
        <w:numPr>
          <w:ilvl w:val="0"/>
          <w:numId w:val="390"/>
        </w:numPr>
        <w:tabs>
          <w:tab w:val="clear" w:pos="720"/>
          <w:tab w:val="num" w:pos="567"/>
          <w:tab w:val="num" w:pos="643"/>
        </w:tabs>
        <w:spacing w:before="120" w:after="120" w:line="240" w:lineRule="auto"/>
        <w:ind w:left="426" w:hanging="142"/>
        <w:jc w:val="both"/>
        <w:rPr>
          <w:rFonts w:ascii="Times New Roman" w:eastAsia="Times New Roman" w:hAnsi="Times New Roman" w:cs="Times New Roman"/>
          <w:b/>
          <w:bCs/>
        </w:rPr>
      </w:pPr>
      <w:r w:rsidRPr="00BC6E7B">
        <w:rPr>
          <w:rFonts w:ascii="Times New Roman" w:eastAsia="Times New Roman" w:hAnsi="Times New Roman" w:cs="Times New Roman"/>
          <w:b/>
          <w:bCs/>
        </w:rPr>
        <w:t>Kreditérték</w:t>
      </w:r>
      <w:r>
        <w:rPr>
          <w:rFonts w:ascii="Times New Roman" w:eastAsia="Times New Roman" w:hAnsi="Times New Roman" w:cs="Times New Roman"/>
          <w:b/>
          <w:bCs/>
        </w:rPr>
        <w:t xml:space="preserve"> és képzési karakter</w:t>
      </w:r>
      <w:r w:rsidRPr="00BC6E7B">
        <w:rPr>
          <w:rFonts w:ascii="Times New Roman" w:eastAsia="Times New Roman" w:hAnsi="Times New Roman" w:cs="Times New Roman"/>
          <w:b/>
          <w:bCs/>
        </w:rPr>
        <w:t xml:space="preserve">: </w:t>
      </w:r>
    </w:p>
    <w:p w:rsidR="00D50526" w:rsidRPr="00740A68" w:rsidRDefault="00D50526" w:rsidP="00980876">
      <w:pPr>
        <w:pStyle w:val="Listaszerbekezds"/>
        <w:widowControl w:val="0"/>
        <w:numPr>
          <w:ilvl w:val="1"/>
          <w:numId w:val="390"/>
        </w:numPr>
        <w:tabs>
          <w:tab w:val="clear" w:pos="3977"/>
          <w:tab w:val="num" w:pos="432"/>
        </w:tabs>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4</w:t>
      </w:r>
      <w:r w:rsidRPr="00740A68">
        <w:rPr>
          <w:rFonts w:ascii="Times New Roman" w:eastAsia="Times New Roman" w:hAnsi="Times New Roman" w:cs="Times New Roman"/>
          <w:bCs/>
        </w:rPr>
        <w:t xml:space="preserve"> kredit</w:t>
      </w:r>
    </w:p>
    <w:p w:rsidR="00D50526" w:rsidRPr="00740A68" w:rsidRDefault="00D50526" w:rsidP="00980876">
      <w:pPr>
        <w:pStyle w:val="Listaszerbekezds"/>
        <w:widowControl w:val="0"/>
        <w:numPr>
          <w:ilvl w:val="1"/>
          <w:numId w:val="390"/>
        </w:numPr>
        <w:tabs>
          <w:tab w:val="clear" w:pos="3977"/>
          <w:tab w:val="num" w:pos="432"/>
        </w:tabs>
        <w:spacing w:before="120" w:after="120" w:line="240" w:lineRule="auto"/>
        <w:ind w:left="993" w:hanging="426"/>
        <w:jc w:val="both"/>
        <w:rPr>
          <w:rFonts w:ascii="Times New Roman" w:eastAsia="Times New Roman" w:hAnsi="Times New Roman" w:cs="Times New Roman"/>
          <w:b/>
          <w:bCs/>
        </w:rPr>
      </w:pPr>
      <w:r w:rsidRPr="00F37D21">
        <w:rPr>
          <w:rFonts w:ascii="Times New Roman" w:eastAsia="Times New Roman" w:hAnsi="Times New Roman" w:cs="Times New Roman"/>
          <w:bCs/>
        </w:rPr>
        <w:t>a tantárgy elméleti vagy gyakorlati jellegének mértéke</w:t>
      </w:r>
      <w:r w:rsidRPr="00740A68">
        <w:rPr>
          <w:rFonts w:ascii="Times New Roman" w:eastAsia="Times New Roman" w:hAnsi="Times New Roman" w:cs="Times New Roman"/>
          <w:bCs/>
        </w:rPr>
        <w:t xml:space="preserve">: </w:t>
      </w:r>
      <w:r>
        <w:rPr>
          <w:rFonts w:ascii="Times New Roman" w:eastAsia="Times New Roman" w:hAnsi="Times New Roman" w:cs="Times New Roman"/>
          <w:bCs/>
        </w:rPr>
        <w:t>50</w:t>
      </w:r>
      <w:r w:rsidRPr="00740A68">
        <w:rPr>
          <w:rFonts w:ascii="Times New Roman" w:eastAsia="Times New Roman" w:hAnsi="Times New Roman" w:cs="Times New Roman"/>
          <w:b/>
          <w:bCs/>
        </w:rPr>
        <w:t xml:space="preserve"> </w:t>
      </w:r>
      <w:r>
        <w:rPr>
          <w:rFonts w:ascii="Times New Roman" w:eastAsia="Times New Roman" w:hAnsi="Times New Roman" w:cs="Times New Roman"/>
          <w:bCs/>
        </w:rPr>
        <w:t>% gyakorlat, 50 % elmélet</w:t>
      </w:r>
    </w:p>
    <w:p w:rsidR="00D50526" w:rsidRPr="00A50D80" w:rsidRDefault="00D50526" w:rsidP="00980876">
      <w:pPr>
        <w:widowControl w:val="0"/>
        <w:numPr>
          <w:ilvl w:val="0"/>
          <w:numId w:val="390"/>
        </w:numPr>
        <w:tabs>
          <w:tab w:val="clear" w:pos="720"/>
          <w:tab w:val="num" w:pos="643"/>
        </w:tabs>
        <w:spacing w:before="120" w:after="120" w:line="240" w:lineRule="auto"/>
        <w:ind w:left="643"/>
        <w:jc w:val="both"/>
        <w:rPr>
          <w:rFonts w:ascii="Times New Roman" w:eastAsia="Times New Roman" w:hAnsi="Times New Roman" w:cs="Times New Roman"/>
          <w:bCs/>
        </w:rPr>
      </w:pPr>
      <w:r w:rsidRPr="00BC6E7B">
        <w:rPr>
          <w:rFonts w:ascii="Times New Roman" w:eastAsia="Times New Roman" w:hAnsi="Times New Roman" w:cs="Times New Roman"/>
          <w:b/>
          <w:bCs/>
        </w:rPr>
        <w:t>A szak(ok</w:t>
      </w:r>
      <w:r w:rsidRPr="00C027CF">
        <w:rPr>
          <w:rFonts w:ascii="Times New Roman" w:eastAsia="Times New Roman" w:hAnsi="Times New Roman" w:cs="Times New Roman"/>
          <w:b/>
          <w:bCs/>
        </w:rPr>
        <w:t>), szakirányok/specializációk</w:t>
      </w:r>
      <w:r w:rsidRPr="00BC6E7B">
        <w:rPr>
          <w:rFonts w:ascii="Times New Roman" w:eastAsia="Times New Roman" w:hAnsi="Times New Roman" w:cs="Times New Roman"/>
          <w:b/>
          <w:bCs/>
        </w:rPr>
        <w:t xml:space="preserve"> megnevezése (ahol oktatják):</w:t>
      </w:r>
      <w:r w:rsidRPr="00BC6E7B">
        <w:rPr>
          <w:rFonts w:ascii="Times New Roman" w:eastAsia="Times New Roman" w:hAnsi="Times New Roman" w:cs="Times New Roman"/>
          <w:bCs/>
        </w:rPr>
        <w:t xml:space="preserve"> </w:t>
      </w:r>
      <w:r w:rsidRPr="00B50509">
        <w:rPr>
          <w:rFonts w:ascii="Times New Roman" w:eastAsia="Times New Roman" w:hAnsi="Times New Roman" w:cs="Times New Roman"/>
          <w:bCs/>
        </w:rPr>
        <w:t xml:space="preserve">Katonai logisztika alapképzési szak, </w:t>
      </w:r>
      <w:r>
        <w:rPr>
          <w:rFonts w:ascii="Times New Roman" w:eastAsia="Times New Roman" w:hAnsi="Times New Roman" w:cs="Times New Roman"/>
          <w:bCs/>
        </w:rPr>
        <w:t>Katonai pénzügyi specializáció</w:t>
      </w:r>
    </w:p>
    <w:p w:rsidR="00D50526" w:rsidRDefault="00D50526" w:rsidP="00980876">
      <w:pPr>
        <w:widowControl w:val="0"/>
        <w:numPr>
          <w:ilvl w:val="0"/>
          <w:numId w:val="390"/>
        </w:numPr>
        <w:tabs>
          <w:tab w:val="clear" w:pos="720"/>
          <w:tab w:val="num" w:pos="643"/>
        </w:tabs>
        <w:spacing w:before="120" w:after="120" w:line="240" w:lineRule="auto"/>
        <w:ind w:left="643"/>
        <w:jc w:val="both"/>
        <w:rPr>
          <w:rFonts w:ascii="Times New Roman" w:eastAsia="Times New Roman" w:hAnsi="Times New Roman" w:cs="Times New Roman"/>
          <w:bCs/>
        </w:rPr>
      </w:pPr>
      <w:r w:rsidRPr="00A50D80">
        <w:rPr>
          <w:rFonts w:ascii="Times New Roman" w:eastAsia="Times New Roman" w:hAnsi="Times New Roman" w:cs="Times New Roman"/>
          <w:b/>
          <w:bCs/>
        </w:rPr>
        <w:t>Az oktatásért felelős oktatási szervezeti egység megnevezése:</w:t>
      </w:r>
      <w:r w:rsidRPr="00A50D80">
        <w:rPr>
          <w:bCs/>
        </w:rPr>
        <w:t xml:space="preserve"> </w:t>
      </w:r>
      <w:r w:rsidRPr="00A50D80">
        <w:rPr>
          <w:rFonts w:ascii="Times New Roman" w:eastAsia="Times New Roman" w:hAnsi="Times New Roman" w:cs="Times New Roman"/>
          <w:bCs/>
        </w:rPr>
        <w:t xml:space="preserve">NKE Hadtudományi és Honvédtisztképző Kar, Hadtáp, Pénzügyi és Katonai Közlekedési Tanszék </w:t>
      </w:r>
    </w:p>
    <w:p w:rsidR="00D50526" w:rsidRPr="00A50D80" w:rsidRDefault="00D50526" w:rsidP="00980876">
      <w:pPr>
        <w:widowControl w:val="0"/>
        <w:numPr>
          <w:ilvl w:val="0"/>
          <w:numId w:val="390"/>
        </w:numPr>
        <w:tabs>
          <w:tab w:val="clear" w:pos="720"/>
          <w:tab w:val="num" w:pos="643"/>
        </w:tabs>
        <w:spacing w:before="120" w:after="120" w:line="240" w:lineRule="auto"/>
        <w:ind w:left="643"/>
        <w:jc w:val="both"/>
        <w:rPr>
          <w:rFonts w:ascii="Times New Roman" w:eastAsia="Times New Roman" w:hAnsi="Times New Roman" w:cs="Times New Roman"/>
          <w:bCs/>
        </w:rPr>
      </w:pPr>
      <w:r w:rsidRPr="00A50D80">
        <w:rPr>
          <w:rFonts w:ascii="Times New Roman" w:eastAsia="Times New Roman" w:hAnsi="Times New Roman" w:cs="Times New Roman"/>
          <w:b/>
          <w:bCs/>
        </w:rPr>
        <w:t>A tantárgyfelelős oktató neve, beosztása, tudományos fokozata:</w:t>
      </w:r>
      <w:r w:rsidRPr="00A50D80">
        <w:rPr>
          <w:rFonts w:ascii="Times New Roman" w:eastAsia="Times New Roman" w:hAnsi="Times New Roman" w:cs="Times New Roman"/>
          <w:bCs/>
        </w:rPr>
        <w:t xml:space="preserve"> </w:t>
      </w:r>
      <w:r w:rsidRPr="00181780">
        <w:rPr>
          <w:rFonts w:ascii="Times New Roman" w:eastAsia="Times New Roman" w:hAnsi="Times New Roman" w:cs="Times New Roman"/>
          <w:bCs/>
        </w:rPr>
        <w:t>Dr. Hutkai Zsuzsanna, adjunktus</w:t>
      </w:r>
      <w:r>
        <w:rPr>
          <w:rFonts w:ascii="Times New Roman" w:eastAsia="Times New Roman" w:hAnsi="Times New Roman" w:cs="Times New Roman"/>
          <w:bCs/>
        </w:rPr>
        <w:t>, PhD</w:t>
      </w:r>
    </w:p>
    <w:p w:rsidR="00D50526" w:rsidRPr="00BC6E7B" w:rsidRDefault="00D50526" w:rsidP="00980876">
      <w:pPr>
        <w:widowControl w:val="0"/>
        <w:numPr>
          <w:ilvl w:val="0"/>
          <w:numId w:val="390"/>
        </w:numPr>
        <w:tabs>
          <w:tab w:val="clear" w:pos="720"/>
          <w:tab w:val="num" w:pos="643"/>
        </w:tabs>
        <w:spacing w:before="120" w:after="120" w:line="240" w:lineRule="auto"/>
        <w:ind w:left="426" w:hanging="142"/>
        <w:jc w:val="both"/>
        <w:rPr>
          <w:rFonts w:ascii="Times New Roman" w:eastAsia="Times New Roman" w:hAnsi="Times New Roman" w:cs="Times New Roman"/>
          <w:bCs/>
        </w:rPr>
      </w:pPr>
      <w:r w:rsidRPr="00BC6E7B">
        <w:rPr>
          <w:rFonts w:ascii="Times New Roman" w:eastAsia="Times New Roman" w:hAnsi="Times New Roman" w:cs="Times New Roman"/>
          <w:b/>
          <w:bCs/>
        </w:rPr>
        <w:t>A tanórák száma és típusa</w:t>
      </w:r>
    </w:p>
    <w:p w:rsidR="00D50526" w:rsidRPr="00BC6E7B" w:rsidRDefault="00D50526" w:rsidP="00980876">
      <w:pPr>
        <w:widowControl w:val="0"/>
        <w:numPr>
          <w:ilvl w:val="1"/>
          <w:numId w:val="390"/>
        </w:numPr>
        <w:tabs>
          <w:tab w:val="clear" w:pos="3977"/>
          <w:tab w:val="num" w:pos="432"/>
          <w:tab w:val="num" w:pos="709"/>
          <w:tab w:val="num" w:pos="2069"/>
        </w:tabs>
        <w:spacing w:before="120" w:after="120" w:line="240" w:lineRule="auto"/>
        <w:ind w:left="851" w:hanging="425"/>
        <w:jc w:val="both"/>
        <w:rPr>
          <w:rFonts w:ascii="Times New Roman" w:eastAsia="Times New Roman" w:hAnsi="Times New Roman" w:cs="Times New Roman"/>
          <w:bCs/>
        </w:rPr>
      </w:pPr>
      <w:r w:rsidRPr="00BC6E7B">
        <w:rPr>
          <w:rFonts w:ascii="Times New Roman" w:eastAsia="Times New Roman" w:hAnsi="Times New Roman" w:cs="Times New Roman"/>
          <w:bCs/>
        </w:rPr>
        <w:t>össz óraszám/félév:</w:t>
      </w:r>
    </w:p>
    <w:p w:rsidR="00D50526" w:rsidRDefault="00D50526" w:rsidP="00980876">
      <w:pPr>
        <w:pStyle w:val="Listaszerbekezds"/>
        <w:widowControl w:val="0"/>
        <w:numPr>
          <w:ilvl w:val="2"/>
          <w:numId w:val="388"/>
        </w:numPr>
        <w:tabs>
          <w:tab w:val="num" w:pos="1800"/>
        </w:tabs>
        <w:spacing w:before="120" w:after="120" w:line="240" w:lineRule="auto"/>
        <w:ind w:left="1418"/>
        <w:jc w:val="both"/>
        <w:rPr>
          <w:rFonts w:ascii="Times New Roman" w:eastAsia="Times New Roman" w:hAnsi="Times New Roman" w:cs="Times New Roman"/>
          <w:bCs/>
        </w:rPr>
      </w:pPr>
      <w:r w:rsidRPr="00FF4B9D">
        <w:rPr>
          <w:rFonts w:ascii="Times New Roman" w:eastAsia="Times New Roman" w:hAnsi="Times New Roman" w:cs="Times New Roman"/>
          <w:bCs/>
        </w:rPr>
        <w:t>nappali munkarend: 56 (28 EA + 0 SZ + 28 GY)</w:t>
      </w:r>
    </w:p>
    <w:p w:rsidR="00D50526" w:rsidRPr="00FF4B9D" w:rsidRDefault="00D50526" w:rsidP="00980876">
      <w:pPr>
        <w:pStyle w:val="Listaszerbekezds"/>
        <w:widowControl w:val="0"/>
        <w:numPr>
          <w:ilvl w:val="2"/>
          <w:numId w:val="388"/>
        </w:numPr>
        <w:tabs>
          <w:tab w:val="num" w:pos="1800"/>
        </w:tabs>
        <w:spacing w:before="120" w:after="120" w:line="240" w:lineRule="auto"/>
        <w:ind w:left="1418"/>
        <w:jc w:val="both"/>
        <w:rPr>
          <w:rFonts w:ascii="Times New Roman" w:eastAsia="Times New Roman" w:hAnsi="Times New Roman" w:cs="Times New Roman"/>
          <w:bCs/>
        </w:rPr>
      </w:pPr>
      <w:r w:rsidRPr="00FF4B9D">
        <w:rPr>
          <w:rFonts w:ascii="Times New Roman" w:eastAsia="Times New Roman" w:hAnsi="Times New Roman" w:cs="Times New Roman"/>
          <w:bCs/>
        </w:rPr>
        <w:t>levelező munkarend: - (- EA + - SZ + - GY)</w:t>
      </w:r>
    </w:p>
    <w:p w:rsidR="00D50526" w:rsidRDefault="00D50526" w:rsidP="00980876">
      <w:pPr>
        <w:widowControl w:val="0"/>
        <w:numPr>
          <w:ilvl w:val="1"/>
          <w:numId w:val="390"/>
        </w:numPr>
        <w:tabs>
          <w:tab w:val="clear" w:pos="3977"/>
          <w:tab w:val="num" w:pos="432"/>
          <w:tab w:val="num" w:pos="709"/>
          <w:tab w:val="num" w:pos="2069"/>
        </w:tabs>
        <w:spacing w:before="120" w:after="120" w:line="240" w:lineRule="auto"/>
        <w:ind w:left="851" w:hanging="425"/>
        <w:jc w:val="both"/>
        <w:rPr>
          <w:rFonts w:ascii="Times New Roman" w:eastAsia="Times New Roman" w:hAnsi="Times New Roman" w:cs="Times New Roman"/>
          <w:bCs/>
        </w:rPr>
      </w:pPr>
      <w:r w:rsidRPr="00BC6E7B">
        <w:rPr>
          <w:rFonts w:ascii="Times New Roman" w:eastAsia="Times New Roman" w:hAnsi="Times New Roman" w:cs="Times New Roman"/>
          <w:bCs/>
        </w:rPr>
        <w:t xml:space="preserve">heti óraszám - nappali munkarend: </w:t>
      </w:r>
      <w:r>
        <w:rPr>
          <w:rFonts w:ascii="Times New Roman" w:eastAsia="Times New Roman" w:hAnsi="Times New Roman" w:cs="Times New Roman"/>
          <w:bCs/>
        </w:rPr>
        <w:t>3</w:t>
      </w:r>
    </w:p>
    <w:p w:rsidR="00D50526" w:rsidRDefault="00D50526" w:rsidP="00980876">
      <w:pPr>
        <w:widowControl w:val="0"/>
        <w:numPr>
          <w:ilvl w:val="1"/>
          <w:numId w:val="390"/>
        </w:numPr>
        <w:tabs>
          <w:tab w:val="clear" w:pos="3977"/>
          <w:tab w:val="num" w:pos="432"/>
          <w:tab w:val="num" w:pos="709"/>
          <w:tab w:val="num" w:pos="2069"/>
        </w:tabs>
        <w:spacing w:before="120" w:after="120" w:line="240" w:lineRule="auto"/>
        <w:ind w:left="851" w:hanging="425"/>
        <w:jc w:val="both"/>
        <w:rPr>
          <w:rFonts w:ascii="Times New Roman" w:eastAsia="Times New Roman" w:hAnsi="Times New Roman" w:cs="Times New Roman"/>
          <w:bCs/>
        </w:rPr>
      </w:pPr>
      <w:r w:rsidRPr="00A16045">
        <w:rPr>
          <w:rFonts w:ascii="Times New Roman" w:hAnsi="Times New Roman" w:cs="Times New Roman"/>
        </w:rPr>
        <w:t>Az ismeret átadásában alkalmazandó további sajátos módok, jellemzők</w:t>
      </w:r>
      <w:r>
        <w:rPr>
          <w:rFonts w:ascii="Times New Roman" w:hAnsi="Times New Roman" w:cs="Times New Roman"/>
        </w:rPr>
        <w:t>: -</w:t>
      </w:r>
    </w:p>
    <w:p w:rsidR="00D50526" w:rsidRPr="00BC6E7B" w:rsidRDefault="00D50526" w:rsidP="00980876">
      <w:pPr>
        <w:widowControl w:val="0"/>
        <w:numPr>
          <w:ilvl w:val="0"/>
          <w:numId w:val="390"/>
        </w:numPr>
        <w:tabs>
          <w:tab w:val="clear" w:pos="720"/>
          <w:tab w:val="num" w:pos="643"/>
        </w:tabs>
        <w:spacing w:before="120" w:after="120" w:line="240" w:lineRule="auto"/>
        <w:ind w:left="643"/>
        <w:jc w:val="both"/>
        <w:rPr>
          <w:rFonts w:ascii="Times New Roman" w:eastAsia="Times New Roman" w:hAnsi="Times New Roman" w:cs="Times New Roman"/>
          <w:bCs/>
        </w:rPr>
      </w:pPr>
      <w:r w:rsidRPr="00BC6E7B">
        <w:rPr>
          <w:rFonts w:ascii="Times New Roman" w:eastAsia="Times New Roman" w:hAnsi="Times New Roman" w:cs="Times New Roman"/>
          <w:b/>
          <w:bCs/>
        </w:rPr>
        <w:t>A tantárgy szakmai tartalma (magyarul):</w:t>
      </w:r>
      <w:r w:rsidRPr="00A6100B">
        <w:rPr>
          <w:bCs/>
        </w:rPr>
        <w:t xml:space="preserve"> </w:t>
      </w:r>
      <w:r w:rsidRPr="00AE7F3B">
        <w:rPr>
          <w:rFonts w:ascii="Times New Roman" w:eastAsia="Times New Roman" w:hAnsi="Times New Roman" w:cs="Times New Roman"/>
          <w:bCs/>
        </w:rPr>
        <w:t>A HM tárca számviteli politikája. Az MH beszámolási kötelezettségének bemutatása. A maradvány jóváhagyás, felhasználás speciális rendszere az MH-ban.</w:t>
      </w:r>
    </w:p>
    <w:p w:rsidR="00D50526" w:rsidRPr="00AE7F3B" w:rsidRDefault="00D50526" w:rsidP="00D50526">
      <w:pPr>
        <w:widowControl w:val="0"/>
        <w:spacing w:before="120" w:after="120"/>
        <w:ind w:left="709"/>
        <w:jc w:val="both"/>
        <w:rPr>
          <w:rFonts w:ascii="Times New Roman" w:eastAsia="Times New Roman" w:hAnsi="Times New Roman" w:cs="Times New Roman"/>
          <w:bCs/>
        </w:rPr>
      </w:pPr>
      <w:r w:rsidRPr="00BC6E7B">
        <w:rPr>
          <w:rFonts w:ascii="Times New Roman" w:eastAsia="Times New Roman" w:hAnsi="Times New Roman" w:cs="Times New Roman"/>
          <w:b/>
          <w:bCs/>
        </w:rPr>
        <w:t>A tantárgy szakmai tartalma (angolul) (</w:t>
      </w:r>
      <w:r w:rsidRPr="00BC6E7B">
        <w:rPr>
          <w:rFonts w:ascii="Times New Roman" w:eastAsia="Times New Roman" w:hAnsi="Times New Roman" w:cs="Times New Roman"/>
          <w:b/>
          <w:bCs/>
          <w:lang w:val="en-US"/>
        </w:rPr>
        <w:t>Course description</w:t>
      </w:r>
      <w:r w:rsidRPr="00BC6E7B">
        <w:rPr>
          <w:rFonts w:ascii="Times New Roman" w:eastAsia="Times New Roman" w:hAnsi="Times New Roman" w:cs="Times New Roman"/>
          <w:b/>
          <w:bCs/>
        </w:rPr>
        <w:t xml:space="preserve">): </w:t>
      </w:r>
      <w:r w:rsidRPr="00AE7F3B">
        <w:rPr>
          <w:rFonts w:ascii="Times New Roman" w:eastAsia="Times New Roman" w:hAnsi="Times New Roman" w:cs="Times New Roman"/>
          <w:bCs/>
          <w:lang w:val="en"/>
        </w:rPr>
        <w:t xml:space="preserve">Accounting policy of the Ministry of </w:t>
      </w:r>
      <w:r>
        <w:rPr>
          <w:rFonts w:ascii="Times New Roman" w:eastAsia="Times New Roman" w:hAnsi="Times New Roman" w:cs="Times New Roman"/>
          <w:bCs/>
          <w:lang w:val="en"/>
        </w:rPr>
        <w:t>Defence</w:t>
      </w:r>
      <w:r w:rsidRPr="00AE7F3B">
        <w:rPr>
          <w:rFonts w:ascii="Times New Roman" w:eastAsia="Times New Roman" w:hAnsi="Times New Roman" w:cs="Times New Roman"/>
          <w:bCs/>
          <w:lang w:val="en"/>
        </w:rPr>
        <w:t xml:space="preserve">. Presentation of </w:t>
      </w:r>
      <w:r>
        <w:rPr>
          <w:rFonts w:ascii="Times New Roman" w:eastAsia="Times New Roman" w:hAnsi="Times New Roman" w:cs="Times New Roman"/>
          <w:bCs/>
          <w:lang w:val="en"/>
        </w:rPr>
        <w:t>MoD</w:t>
      </w:r>
      <w:r w:rsidRPr="00AE7F3B">
        <w:rPr>
          <w:rFonts w:ascii="Times New Roman" w:eastAsia="Times New Roman" w:hAnsi="Times New Roman" w:cs="Times New Roman"/>
          <w:bCs/>
          <w:lang w:val="en"/>
        </w:rPr>
        <w:t>s reporting obligation. Special system of residual approval, use</w:t>
      </w:r>
      <w:r>
        <w:rPr>
          <w:rFonts w:ascii="Times New Roman" w:eastAsia="Times New Roman" w:hAnsi="Times New Roman" w:cs="Times New Roman"/>
          <w:bCs/>
          <w:lang w:val="en"/>
        </w:rPr>
        <w:t>d</w:t>
      </w:r>
      <w:r w:rsidRPr="00AE7F3B">
        <w:rPr>
          <w:rFonts w:ascii="Times New Roman" w:eastAsia="Times New Roman" w:hAnsi="Times New Roman" w:cs="Times New Roman"/>
          <w:bCs/>
          <w:lang w:val="en"/>
        </w:rPr>
        <w:t xml:space="preserve"> in </w:t>
      </w:r>
      <w:r>
        <w:rPr>
          <w:rFonts w:ascii="Times New Roman" w:eastAsia="Times New Roman" w:hAnsi="Times New Roman" w:cs="Times New Roman"/>
          <w:bCs/>
          <w:lang w:val="en"/>
        </w:rPr>
        <w:t>MoD</w:t>
      </w:r>
      <w:r w:rsidRPr="00AE7F3B">
        <w:rPr>
          <w:rFonts w:ascii="Times New Roman" w:eastAsia="Times New Roman" w:hAnsi="Times New Roman" w:cs="Times New Roman"/>
          <w:bCs/>
          <w:lang w:val="en"/>
        </w:rPr>
        <w:t>.</w:t>
      </w:r>
    </w:p>
    <w:p w:rsidR="00D50526" w:rsidRPr="00740A68" w:rsidRDefault="00D50526" w:rsidP="00980876">
      <w:pPr>
        <w:pStyle w:val="Listaszerbekezds"/>
        <w:widowControl w:val="0"/>
        <w:numPr>
          <w:ilvl w:val="0"/>
          <w:numId w:val="390"/>
        </w:numPr>
        <w:tabs>
          <w:tab w:val="clear" w:pos="720"/>
          <w:tab w:val="num" w:pos="426"/>
        </w:tabs>
        <w:spacing w:before="120" w:after="120" w:line="240" w:lineRule="auto"/>
        <w:ind w:left="643"/>
        <w:jc w:val="both"/>
        <w:rPr>
          <w:rFonts w:ascii="Times New Roman" w:eastAsia="Times New Roman" w:hAnsi="Times New Roman" w:cs="Times New Roman"/>
          <w:bCs/>
        </w:rPr>
      </w:pPr>
      <w:r w:rsidRPr="00740A68">
        <w:rPr>
          <w:rFonts w:ascii="Times New Roman" w:eastAsia="Times New Roman" w:hAnsi="Times New Roman" w:cs="Times New Roman"/>
          <w:b/>
          <w:bCs/>
        </w:rPr>
        <w:t xml:space="preserve">Elérendő kompetenciák (magyarul): </w:t>
      </w:r>
    </w:p>
    <w:p w:rsidR="00D50526" w:rsidRDefault="00D50526" w:rsidP="00D50526">
      <w:pPr>
        <w:widowControl w:val="0"/>
        <w:spacing w:before="120" w:after="120" w:line="240" w:lineRule="auto"/>
        <w:ind w:left="426"/>
        <w:jc w:val="both"/>
        <w:rPr>
          <w:rFonts w:ascii="Times New Roman" w:eastAsia="Times New Roman" w:hAnsi="Times New Roman" w:cs="Times New Roman"/>
          <w:bCs/>
        </w:rPr>
      </w:pPr>
      <w:r w:rsidRPr="00BC6E7B">
        <w:rPr>
          <w:rFonts w:ascii="Times New Roman" w:eastAsia="Times New Roman" w:hAnsi="Times New Roman" w:cs="Times New Roman"/>
          <w:b/>
          <w:bCs/>
        </w:rPr>
        <w:t>Tudása:</w:t>
      </w:r>
      <w:r>
        <w:rPr>
          <w:rFonts w:ascii="Times New Roman" w:eastAsia="Times New Roman" w:hAnsi="Times New Roman" w:cs="Times New Roman"/>
          <w:bCs/>
        </w:rPr>
        <w:t xml:space="preserve"> </w:t>
      </w:r>
    </w:p>
    <w:p w:rsidR="00D50526" w:rsidRPr="00FF4B9D" w:rsidRDefault="00D50526" w:rsidP="00980876">
      <w:pPr>
        <w:pStyle w:val="Listaszerbekezds"/>
        <w:widowControl w:val="0"/>
        <w:numPr>
          <w:ilvl w:val="0"/>
          <w:numId w:val="389"/>
        </w:numPr>
        <w:spacing w:before="120" w:after="120" w:line="240" w:lineRule="auto"/>
        <w:ind w:hanging="219"/>
        <w:jc w:val="both"/>
        <w:rPr>
          <w:rFonts w:ascii="Times New Roman" w:eastAsia="Times New Roman" w:hAnsi="Times New Roman" w:cs="Times New Roman"/>
          <w:bCs/>
        </w:rPr>
      </w:pPr>
      <w:r w:rsidRPr="00FF4B9D">
        <w:rPr>
          <w:rFonts w:ascii="Times New Roman" w:eastAsia="Times New Roman" w:hAnsi="Times New Roman" w:cs="Times New Roman"/>
          <w:bCs/>
        </w:rPr>
        <w:t>Ismeri a Honvédelmi Minisztérium számviteli rendszerét, gazdálkodásának szabályait. Ismeri a költségvetési szervek zárszámadására, beszámolására vonatkozó szabályokat.</w:t>
      </w:r>
    </w:p>
    <w:p w:rsidR="00D50526" w:rsidRDefault="00D50526" w:rsidP="00D50526">
      <w:pPr>
        <w:widowControl w:val="0"/>
        <w:spacing w:before="120" w:after="120" w:line="240" w:lineRule="auto"/>
        <w:ind w:left="426"/>
        <w:jc w:val="both"/>
        <w:rPr>
          <w:rFonts w:ascii="Times New Roman" w:eastAsia="Times New Roman" w:hAnsi="Times New Roman" w:cs="Times New Roman"/>
          <w:bCs/>
        </w:rPr>
      </w:pPr>
      <w:r w:rsidRPr="00BC6E7B">
        <w:rPr>
          <w:rFonts w:ascii="Times New Roman" w:eastAsia="Times New Roman" w:hAnsi="Times New Roman" w:cs="Times New Roman"/>
          <w:b/>
          <w:bCs/>
        </w:rPr>
        <w:t>Képességei:</w:t>
      </w:r>
      <w:r>
        <w:rPr>
          <w:rFonts w:ascii="Times New Roman" w:eastAsia="Times New Roman" w:hAnsi="Times New Roman" w:cs="Times New Roman"/>
          <w:bCs/>
        </w:rPr>
        <w:t xml:space="preserve"> </w:t>
      </w:r>
    </w:p>
    <w:p w:rsidR="00D50526" w:rsidRPr="00FF4B9D" w:rsidRDefault="00D50526" w:rsidP="00980876">
      <w:pPr>
        <w:pStyle w:val="Listaszerbekezds"/>
        <w:widowControl w:val="0"/>
        <w:numPr>
          <w:ilvl w:val="0"/>
          <w:numId w:val="389"/>
        </w:numPr>
        <w:spacing w:before="120" w:after="120" w:line="240" w:lineRule="auto"/>
        <w:ind w:hanging="219"/>
        <w:jc w:val="both"/>
        <w:rPr>
          <w:rFonts w:ascii="Times New Roman" w:eastAsia="Times New Roman" w:hAnsi="Times New Roman" w:cs="Times New Roman"/>
          <w:bCs/>
        </w:rPr>
      </w:pPr>
      <w:r w:rsidRPr="00FF4B9D">
        <w:rPr>
          <w:rFonts w:ascii="Times New Roman" w:eastAsia="Times New Roman" w:hAnsi="Times New Roman" w:cs="Times New Roman"/>
          <w:bCs/>
        </w:rPr>
        <w:t>Más szakterületekkel együttműködve részt vesz a gazdálkodó szervezetek költségvetésének tervezésében, a gazdálkodás végrehajtásával és a beszámolással kapcsolatos feladatokban..</w:t>
      </w:r>
    </w:p>
    <w:p w:rsidR="00D50526" w:rsidRDefault="00D50526" w:rsidP="00D50526">
      <w:pPr>
        <w:widowControl w:val="0"/>
        <w:spacing w:before="120" w:after="120" w:line="240" w:lineRule="auto"/>
        <w:ind w:left="426"/>
        <w:jc w:val="both"/>
        <w:rPr>
          <w:rFonts w:ascii="Times New Roman" w:eastAsia="Times New Roman" w:hAnsi="Times New Roman" w:cs="Times New Roman"/>
          <w:bCs/>
        </w:rPr>
      </w:pPr>
      <w:r w:rsidRPr="00BC6E7B">
        <w:rPr>
          <w:rFonts w:ascii="Times New Roman" w:eastAsia="Times New Roman" w:hAnsi="Times New Roman" w:cs="Times New Roman"/>
          <w:b/>
          <w:bCs/>
        </w:rPr>
        <w:t>Attitűdje:</w:t>
      </w:r>
      <w:r w:rsidRPr="00BC6E7B">
        <w:rPr>
          <w:rFonts w:ascii="Times New Roman" w:eastAsia="Times New Roman" w:hAnsi="Times New Roman" w:cs="Times New Roman"/>
          <w:bCs/>
        </w:rPr>
        <w:t xml:space="preserve"> </w:t>
      </w:r>
    </w:p>
    <w:p w:rsidR="00D50526" w:rsidRPr="00FF4B9D" w:rsidRDefault="00D50526" w:rsidP="00980876">
      <w:pPr>
        <w:pStyle w:val="Listaszerbekezds"/>
        <w:widowControl w:val="0"/>
        <w:numPr>
          <w:ilvl w:val="0"/>
          <w:numId w:val="389"/>
        </w:numPr>
        <w:spacing w:before="120" w:after="120" w:line="240" w:lineRule="auto"/>
        <w:ind w:hanging="219"/>
        <w:jc w:val="both"/>
        <w:rPr>
          <w:rFonts w:ascii="Times New Roman" w:eastAsia="Times New Roman" w:hAnsi="Times New Roman" w:cs="Times New Roman"/>
          <w:bCs/>
        </w:rPr>
      </w:pPr>
      <w:r w:rsidRPr="00FF4B9D">
        <w:rPr>
          <w:rFonts w:ascii="Times New Roman" w:eastAsia="Times New Roman" w:hAnsi="Times New Roman" w:cs="Times New Roman"/>
          <w:bCs/>
        </w:rPr>
        <w:t>Különös figyelmet fordít a pénzügyi területnél elvárt jogszerű, szabálykövető, pontos munkavégzésre.</w:t>
      </w:r>
    </w:p>
    <w:p w:rsidR="00D50526" w:rsidRDefault="00D50526" w:rsidP="00D50526">
      <w:pPr>
        <w:widowControl w:val="0"/>
        <w:spacing w:before="120" w:after="120" w:line="240" w:lineRule="auto"/>
        <w:ind w:left="426"/>
        <w:jc w:val="both"/>
        <w:rPr>
          <w:rFonts w:ascii="Times New Roman" w:eastAsia="Times New Roman" w:hAnsi="Times New Roman" w:cs="Times New Roman"/>
          <w:bCs/>
        </w:rPr>
      </w:pPr>
      <w:r w:rsidRPr="00BC6E7B">
        <w:rPr>
          <w:rFonts w:ascii="Times New Roman" w:eastAsia="Times New Roman" w:hAnsi="Times New Roman" w:cs="Times New Roman"/>
          <w:b/>
          <w:bCs/>
        </w:rPr>
        <w:t>Autonómiája és felelőssége:</w:t>
      </w:r>
      <w:r w:rsidRPr="00BC6E7B">
        <w:rPr>
          <w:rFonts w:ascii="Times New Roman" w:eastAsia="Times New Roman" w:hAnsi="Times New Roman" w:cs="Times New Roman"/>
          <w:bCs/>
        </w:rPr>
        <w:t xml:space="preserve"> </w:t>
      </w:r>
    </w:p>
    <w:p w:rsidR="00D50526" w:rsidRPr="00FF4B9D" w:rsidRDefault="00D50526" w:rsidP="00980876">
      <w:pPr>
        <w:pStyle w:val="Listaszerbekezds"/>
        <w:widowControl w:val="0"/>
        <w:numPr>
          <w:ilvl w:val="0"/>
          <w:numId w:val="389"/>
        </w:numPr>
        <w:spacing w:before="120" w:after="120" w:line="240" w:lineRule="auto"/>
        <w:ind w:hanging="219"/>
        <w:jc w:val="both"/>
        <w:rPr>
          <w:rFonts w:ascii="Times New Roman" w:eastAsia="Times New Roman" w:hAnsi="Times New Roman" w:cs="Times New Roman"/>
          <w:bCs/>
        </w:rPr>
      </w:pPr>
      <w:r w:rsidRPr="00FF4B9D">
        <w:rPr>
          <w:rFonts w:ascii="Times New Roman" w:eastAsia="Times New Roman" w:hAnsi="Times New Roman" w:cs="Times New Roman"/>
          <w:bCs/>
        </w:rPr>
        <w:t>A gazdálkodás támogató és pénzügyi ellátó referatúra feladatkörébe tartozó gazdálkodási kérdésekben önállóan döntéseket hoz.</w:t>
      </w:r>
    </w:p>
    <w:p w:rsidR="00D50526" w:rsidRDefault="00D50526" w:rsidP="00D50526">
      <w:pPr>
        <w:widowControl w:val="0"/>
        <w:spacing w:before="120" w:after="120" w:line="240" w:lineRule="auto"/>
        <w:ind w:left="426"/>
        <w:jc w:val="both"/>
        <w:rPr>
          <w:rFonts w:ascii="Times New Roman" w:eastAsia="Times New Roman" w:hAnsi="Times New Roman" w:cs="Times New Roman"/>
          <w:b/>
          <w:bCs/>
        </w:rPr>
      </w:pPr>
    </w:p>
    <w:p w:rsidR="00D50526" w:rsidRPr="00BC6E7B" w:rsidRDefault="00D50526" w:rsidP="00D50526">
      <w:pPr>
        <w:widowControl w:val="0"/>
        <w:spacing w:before="120" w:after="120" w:line="240" w:lineRule="auto"/>
        <w:ind w:left="426"/>
        <w:jc w:val="both"/>
        <w:rPr>
          <w:rFonts w:ascii="Times New Roman" w:eastAsia="Times New Roman" w:hAnsi="Times New Roman" w:cs="Times New Roman"/>
          <w:b/>
          <w:bCs/>
          <w:lang w:val="en-US"/>
        </w:rPr>
      </w:pPr>
      <w:r w:rsidRPr="00BC6E7B">
        <w:rPr>
          <w:rFonts w:ascii="Times New Roman" w:eastAsia="Times New Roman" w:hAnsi="Times New Roman" w:cs="Times New Roman"/>
          <w:b/>
          <w:bCs/>
        </w:rPr>
        <w:lastRenderedPageBreak/>
        <w:t>Elérendő kompetenciák (angolul) (</w:t>
      </w:r>
      <w:r w:rsidRPr="00BC6E7B">
        <w:rPr>
          <w:rFonts w:ascii="Times New Roman" w:eastAsia="Times New Roman" w:hAnsi="Times New Roman" w:cs="Times New Roman"/>
          <w:b/>
          <w:bCs/>
          <w:lang w:val="en-US"/>
        </w:rPr>
        <w:t xml:space="preserve">Competences – English): </w:t>
      </w:r>
    </w:p>
    <w:p w:rsidR="00D50526" w:rsidRDefault="00D50526" w:rsidP="00D50526">
      <w:pPr>
        <w:widowControl w:val="0"/>
        <w:spacing w:before="120" w:after="120"/>
        <w:ind w:left="426"/>
        <w:jc w:val="both"/>
        <w:rPr>
          <w:rFonts w:ascii="Times New Roman" w:eastAsia="Times New Roman" w:hAnsi="Times New Roman" w:cs="Times New Roman"/>
          <w:b/>
          <w:lang w:val="en-GB"/>
        </w:rPr>
      </w:pPr>
      <w:r w:rsidRPr="00BC6E7B">
        <w:rPr>
          <w:rFonts w:ascii="Times New Roman" w:eastAsia="Times New Roman" w:hAnsi="Times New Roman" w:cs="Times New Roman"/>
          <w:b/>
          <w:lang w:val="en-GB"/>
        </w:rPr>
        <w:t>Knowledge</w:t>
      </w:r>
      <w:r w:rsidRPr="002A0767">
        <w:rPr>
          <w:rFonts w:ascii="Times New Roman" w:eastAsia="Times New Roman" w:hAnsi="Times New Roman" w:cs="Times New Roman"/>
          <w:b/>
          <w:lang w:val="en-GB"/>
        </w:rPr>
        <w:t xml:space="preserve">: </w:t>
      </w:r>
    </w:p>
    <w:p w:rsidR="00D50526" w:rsidRPr="00FF4B9D" w:rsidRDefault="00D50526" w:rsidP="00980876">
      <w:pPr>
        <w:pStyle w:val="Listaszerbekezds"/>
        <w:widowControl w:val="0"/>
        <w:numPr>
          <w:ilvl w:val="0"/>
          <w:numId w:val="389"/>
        </w:numPr>
        <w:spacing w:before="120" w:after="120"/>
        <w:ind w:hanging="219"/>
        <w:jc w:val="both"/>
        <w:rPr>
          <w:rFonts w:ascii="Times New Roman" w:eastAsia="Times New Roman" w:hAnsi="Times New Roman" w:cs="Times New Roman"/>
        </w:rPr>
      </w:pPr>
      <w:r w:rsidRPr="00FF4B9D">
        <w:rPr>
          <w:rFonts w:ascii="Times New Roman" w:eastAsia="Times New Roman" w:hAnsi="Times New Roman" w:cs="Times New Roman"/>
          <w:lang w:val="en"/>
        </w:rPr>
        <w:t>He/She knows the accounting system of the Ministry of Defense and the rules of its management. He/She knows the rules concerning the accounting and reporting of the budgetary bodies.</w:t>
      </w:r>
    </w:p>
    <w:p w:rsidR="00D50526" w:rsidRDefault="00D50526" w:rsidP="00D50526">
      <w:pPr>
        <w:widowControl w:val="0"/>
        <w:spacing w:before="120" w:after="120" w:line="240" w:lineRule="auto"/>
        <w:ind w:left="426"/>
        <w:jc w:val="both"/>
        <w:rPr>
          <w:rFonts w:ascii="Times New Roman" w:eastAsia="Times New Roman" w:hAnsi="Times New Roman" w:cs="Times New Roman"/>
          <w:b/>
          <w:lang w:val="en-GB"/>
        </w:rPr>
      </w:pPr>
      <w:r w:rsidRPr="00BC6E7B">
        <w:rPr>
          <w:rFonts w:ascii="Times New Roman" w:eastAsia="Times New Roman" w:hAnsi="Times New Roman" w:cs="Times New Roman"/>
          <w:b/>
          <w:lang w:val="en-GB"/>
        </w:rPr>
        <w:t>Capabilities</w:t>
      </w:r>
      <w:r w:rsidRPr="006331D3">
        <w:rPr>
          <w:rFonts w:ascii="Times New Roman" w:eastAsia="Times New Roman" w:hAnsi="Times New Roman" w:cs="Times New Roman"/>
          <w:b/>
          <w:lang w:val="en-GB"/>
        </w:rPr>
        <w:t xml:space="preserve">: </w:t>
      </w:r>
    </w:p>
    <w:p w:rsidR="00D50526" w:rsidRPr="00FF4B9D" w:rsidRDefault="00D50526" w:rsidP="00980876">
      <w:pPr>
        <w:pStyle w:val="Listaszerbekezds"/>
        <w:widowControl w:val="0"/>
        <w:numPr>
          <w:ilvl w:val="0"/>
          <w:numId w:val="389"/>
        </w:numPr>
        <w:spacing w:before="120" w:after="120" w:line="240" w:lineRule="auto"/>
        <w:ind w:hanging="219"/>
        <w:jc w:val="both"/>
        <w:rPr>
          <w:rFonts w:ascii="Times New Roman" w:eastAsia="Times New Roman" w:hAnsi="Times New Roman" w:cs="Times New Roman"/>
          <w:lang w:val="en-GB"/>
        </w:rPr>
      </w:pPr>
      <w:r w:rsidRPr="00FF4B9D">
        <w:rPr>
          <w:rFonts w:ascii="Times New Roman" w:eastAsia="Times New Roman" w:hAnsi="Times New Roman" w:cs="Times New Roman"/>
          <w:lang w:val="en-GB"/>
        </w:rPr>
        <w:t>Collaborates with other areas of expertise in planning, implementing, and reporting on the military organizations' budgets.</w:t>
      </w:r>
    </w:p>
    <w:p w:rsidR="00D50526" w:rsidRDefault="00D50526" w:rsidP="00D50526">
      <w:pPr>
        <w:widowControl w:val="0"/>
        <w:spacing w:before="120" w:after="120" w:line="240" w:lineRule="auto"/>
        <w:ind w:left="426"/>
        <w:jc w:val="both"/>
        <w:rPr>
          <w:rFonts w:ascii="Times New Roman" w:eastAsia="Times New Roman" w:hAnsi="Times New Roman" w:cs="Times New Roman"/>
          <w:b/>
          <w:lang w:val="en-GB"/>
        </w:rPr>
      </w:pPr>
      <w:r w:rsidRPr="00BC6E7B">
        <w:rPr>
          <w:rFonts w:ascii="Times New Roman" w:eastAsia="Times New Roman" w:hAnsi="Times New Roman" w:cs="Times New Roman"/>
          <w:b/>
          <w:lang w:val="en-GB"/>
        </w:rPr>
        <w:t>Attitude:</w:t>
      </w:r>
      <w:r w:rsidRPr="002A0767">
        <w:rPr>
          <w:rFonts w:ascii="Times New Roman" w:eastAsia="Times New Roman" w:hAnsi="Times New Roman" w:cs="Times New Roman"/>
          <w:b/>
          <w:lang w:val="en-GB"/>
        </w:rPr>
        <w:t xml:space="preserve"> </w:t>
      </w:r>
    </w:p>
    <w:p w:rsidR="00D50526" w:rsidRPr="00FF4B9D" w:rsidRDefault="00D50526" w:rsidP="00980876">
      <w:pPr>
        <w:pStyle w:val="Listaszerbekezds"/>
        <w:widowControl w:val="0"/>
        <w:numPr>
          <w:ilvl w:val="0"/>
          <w:numId w:val="389"/>
        </w:numPr>
        <w:spacing w:before="120" w:after="120" w:line="240" w:lineRule="auto"/>
        <w:ind w:hanging="219"/>
        <w:jc w:val="both"/>
        <w:rPr>
          <w:rFonts w:ascii="Times New Roman" w:eastAsia="Times New Roman" w:hAnsi="Times New Roman" w:cs="Times New Roman"/>
          <w:b/>
          <w:lang w:val="en-GB"/>
        </w:rPr>
      </w:pPr>
      <w:r w:rsidRPr="00FF4B9D">
        <w:rPr>
          <w:rFonts w:ascii="Times New Roman" w:eastAsia="Times New Roman" w:hAnsi="Times New Roman" w:cs="Times New Roman"/>
          <w:lang w:val="en-GB"/>
        </w:rPr>
        <w:t>He/she pays particular attention to the legal, regulatory, and accurate work required in the financial field.</w:t>
      </w:r>
    </w:p>
    <w:p w:rsidR="00D50526" w:rsidRDefault="00D50526" w:rsidP="00D505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pPr>
      <w:r w:rsidRPr="00BC6E7B">
        <w:rPr>
          <w:rFonts w:ascii="Times New Roman" w:eastAsia="Times New Roman" w:hAnsi="Times New Roman" w:cs="Times New Roman"/>
          <w:b/>
          <w:lang w:val="en-GB"/>
        </w:rPr>
        <w:t>Autonomy and responsibility:</w:t>
      </w:r>
      <w:r w:rsidRPr="00F37D21">
        <w:t xml:space="preserve"> </w:t>
      </w:r>
    </w:p>
    <w:p w:rsidR="00D50526" w:rsidRPr="00FF4B9D" w:rsidRDefault="00D50526" w:rsidP="00980876">
      <w:pPr>
        <w:pStyle w:val="Listaszerbekezds"/>
        <w:numPr>
          <w:ilvl w:val="0"/>
          <w:numId w:val="3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19"/>
        <w:jc w:val="both"/>
        <w:rPr>
          <w:rFonts w:ascii="Times New Roman" w:eastAsia="Times New Roman" w:hAnsi="Times New Roman" w:cs="Times New Roman"/>
          <w:lang w:val="en-GB"/>
        </w:rPr>
      </w:pPr>
      <w:r w:rsidRPr="00FF4B9D">
        <w:rPr>
          <w:rFonts w:ascii="Times New Roman" w:eastAsia="Times New Roman" w:hAnsi="Times New Roman" w:cs="Times New Roman"/>
          <w:lang w:val="en-GB"/>
        </w:rPr>
        <w:t>He / she makes independent decisions on management issues within the scope of his / her financial management portfolio.</w:t>
      </w:r>
    </w:p>
    <w:p w:rsidR="00D50526" w:rsidRPr="00BC6E7B" w:rsidRDefault="00D50526" w:rsidP="00980876">
      <w:pPr>
        <w:widowControl w:val="0"/>
        <w:numPr>
          <w:ilvl w:val="0"/>
          <w:numId w:val="390"/>
        </w:numPr>
        <w:tabs>
          <w:tab w:val="clear" w:pos="720"/>
          <w:tab w:val="num" w:pos="643"/>
        </w:tabs>
        <w:spacing w:before="120" w:after="120" w:line="240" w:lineRule="auto"/>
        <w:ind w:left="643"/>
        <w:jc w:val="both"/>
        <w:rPr>
          <w:rFonts w:ascii="Times New Roman" w:eastAsia="Times New Roman" w:hAnsi="Times New Roman" w:cs="Times New Roman"/>
          <w:bCs/>
        </w:rPr>
      </w:pPr>
      <w:r w:rsidRPr="00BC6E7B">
        <w:rPr>
          <w:rFonts w:ascii="Times New Roman" w:eastAsia="Times New Roman" w:hAnsi="Times New Roman" w:cs="Times New Roman"/>
          <w:b/>
          <w:bCs/>
        </w:rPr>
        <w:t xml:space="preserve">Előtanulmányi követelmények: </w:t>
      </w:r>
      <w:r w:rsidRPr="008A6517">
        <w:rPr>
          <w:rFonts w:ascii="Times New Roman" w:eastAsia="Times New Roman" w:hAnsi="Times New Roman" w:cs="Times New Roman"/>
          <w:bCs/>
        </w:rPr>
        <w:t>Számvitel II. (Költségvetési számvitel I.) (HKHPKA508)</w:t>
      </w:r>
    </w:p>
    <w:p w:rsidR="00D50526" w:rsidRPr="00BC6E7B" w:rsidRDefault="00D50526" w:rsidP="00980876">
      <w:pPr>
        <w:widowControl w:val="0"/>
        <w:numPr>
          <w:ilvl w:val="0"/>
          <w:numId w:val="390"/>
        </w:numPr>
        <w:tabs>
          <w:tab w:val="clear" w:pos="720"/>
          <w:tab w:val="num" w:pos="643"/>
        </w:tabs>
        <w:spacing w:before="120" w:after="120" w:line="240" w:lineRule="auto"/>
        <w:ind w:left="426" w:hanging="142"/>
        <w:jc w:val="both"/>
        <w:rPr>
          <w:rFonts w:ascii="Times New Roman" w:eastAsia="Times New Roman" w:hAnsi="Times New Roman" w:cs="Times New Roman"/>
          <w:b/>
          <w:bCs/>
        </w:rPr>
      </w:pPr>
      <w:r w:rsidRPr="00BC6E7B">
        <w:rPr>
          <w:rFonts w:ascii="Times New Roman" w:eastAsia="Times New Roman" w:hAnsi="Times New Roman" w:cs="Times New Roman"/>
          <w:b/>
          <w:bCs/>
        </w:rPr>
        <w:t>A tantárgy tananyagának leírása, tematika. Description of the subject, curriculum (magyarul, angolul - English):</w:t>
      </w:r>
    </w:p>
    <w:p w:rsidR="00D50526" w:rsidRPr="00F95E59" w:rsidRDefault="00D50526" w:rsidP="00980876">
      <w:pPr>
        <w:widowControl w:val="0"/>
        <w:numPr>
          <w:ilvl w:val="1"/>
          <w:numId w:val="390"/>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F95E59">
        <w:rPr>
          <w:rFonts w:ascii="Times New Roman" w:eastAsia="Times New Roman" w:hAnsi="Times New Roman" w:cs="Times New Roman"/>
          <w:kern w:val="2"/>
        </w:rPr>
        <w:t xml:space="preserve">A HM tárca számviteli politikájának (Leltározási és leltárkészítési szabályzat, Értékelési szabályzat, Selejtezési szabályzat, Bizonylati rend szabályzat, Kormányzati funkció szabályzat, Önköltség-számítási szabályzat, Pénzkezelési szabályzat) és számlarendjének ismertetése. </w:t>
      </w:r>
      <w:r w:rsidRPr="00F95E59">
        <w:rPr>
          <w:rFonts w:ascii="Times New Roman" w:eastAsia="Times New Roman" w:hAnsi="Times New Roman" w:cs="Times New Roman"/>
          <w:i/>
          <w:kern w:val="2"/>
        </w:rPr>
        <w:t>(A description of the accounting policy of the Ministry of Defence (Inventory and Inventory Policy, Valuation Policy, Disposal Policy, Document Order Policy, Government Functions Policy, Costing Policy, Cash Management Policy)</w:t>
      </w:r>
      <w:r w:rsidRPr="00F95E59">
        <w:rPr>
          <w:rFonts w:ascii="Times New Roman" w:eastAsia="Times New Roman" w:hAnsi="Times New Roman" w:cs="Times New Roman"/>
          <w:kern w:val="2"/>
        </w:rPr>
        <w:t xml:space="preserve"> </w:t>
      </w:r>
    </w:p>
    <w:p w:rsidR="00D50526" w:rsidRPr="00F95E59" w:rsidRDefault="00D50526" w:rsidP="00980876">
      <w:pPr>
        <w:widowControl w:val="0"/>
        <w:numPr>
          <w:ilvl w:val="1"/>
          <w:numId w:val="390"/>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F95E59">
        <w:rPr>
          <w:rFonts w:ascii="Times New Roman" w:eastAsia="Times New Roman" w:hAnsi="Times New Roman" w:cs="Times New Roman"/>
          <w:kern w:val="2"/>
        </w:rPr>
        <w:t>Az önköltségi szabályzat alkalmazása a gyakorlatban</w:t>
      </w:r>
      <w:r w:rsidRPr="00F95E59">
        <w:rPr>
          <w:rFonts w:ascii="Times New Roman" w:eastAsia="Times New Roman" w:hAnsi="Times New Roman" w:cs="Times New Roman"/>
          <w:i/>
          <w:kern w:val="2"/>
        </w:rPr>
        <w:t>.(Practical application of Costing Policy)</w:t>
      </w:r>
    </w:p>
    <w:p w:rsidR="00D50526" w:rsidRPr="00F95E59" w:rsidRDefault="00D50526" w:rsidP="00980876">
      <w:pPr>
        <w:widowControl w:val="0"/>
        <w:numPr>
          <w:ilvl w:val="1"/>
          <w:numId w:val="390"/>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i/>
          <w:kern w:val="2"/>
        </w:rPr>
      </w:pPr>
      <w:r w:rsidRPr="00F95E59">
        <w:rPr>
          <w:rFonts w:ascii="Times New Roman" w:eastAsia="Times New Roman" w:hAnsi="Times New Roman" w:cs="Times New Roman"/>
          <w:kern w:val="2"/>
        </w:rPr>
        <w:t xml:space="preserve">Személyi juttatásokkal, járulékokkal, áfával kapcsolatos számviteli elszámolások. </w:t>
      </w:r>
      <w:r w:rsidRPr="00F95E59">
        <w:rPr>
          <w:rFonts w:ascii="Times New Roman" w:eastAsia="Times New Roman" w:hAnsi="Times New Roman" w:cs="Times New Roman"/>
          <w:i/>
          <w:kern w:val="2"/>
        </w:rPr>
        <w:t>(Accounting for personal allowances, contributions, VAT)</w:t>
      </w:r>
    </w:p>
    <w:p w:rsidR="00D50526" w:rsidRPr="00F95E59" w:rsidRDefault="00D50526" w:rsidP="00980876">
      <w:pPr>
        <w:widowControl w:val="0"/>
        <w:numPr>
          <w:ilvl w:val="1"/>
          <w:numId w:val="390"/>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F95E59">
        <w:rPr>
          <w:rFonts w:ascii="Times New Roman" w:eastAsia="Times New Roman" w:hAnsi="Times New Roman" w:cs="Times New Roman"/>
          <w:kern w:val="2"/>
        </w:rPr>
        <w:t xml:space="preserve">Főkönyvi zárás-nyitás számviteli elszámolása. </w:t>
      </w:r>
      <w:r w:rsidRPr="00F95E59">
        <w:rPr>
          <w:rFonts w:ascii="Times New Roman" w:eastAsia="Times New Roman" w:hAnsi="Times New Roman" w:cs="Times New Roman"/>
          <w:i/>
          <w:kern w:val="2"/>
        </w:rPr>
        <w:t>(Accounting settlement of general ledger closing)</w:t>
      </w:r>
    </w:p>
    <w:p w:rsidR="00D50526" w:rsidRPr="00F95E59" w:rsidRDefault="00D50526" w:rsidP="00980876">
      <w:pPr>
        <w:widowControl w:val="0"/>
        <w:numPr>
          <w:ilvl w:val="1"/>
          <w:numId w:val="390"/>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F95E59">
        <w:rPr>
          <w:rFonts w:ascii="Times New Roman" w:eastAsia="Times New Roman" w:hAnsi="Times New Roman" w:cs="Times New Roman"/>
          <w:kern w:val="2"/>
        </w:rPr>
        <w:t xml:space="preserve">Az eredménykimutatás, és a maradvány kimutatás felépítése, egyes tételeinek tartalma. </w:t>
      </w:r>
      <w:r w:rsidRPr="00F95E59">
        <w:rPr>
          <w:rFonts w:ascii="Times New Roman" w:eastAsia="Times New Roman" w:hAnsi="Times New Roman" w:cs="Times New Roman"/>
          <w:i/>
          <w:kern w:val="2"/>
        </w:rPr>
        <w:t>(Structure of the profit and loss account and the balance sheet, contents of certain items.)</w:t>
      </w:r>
    </w:p>
    <w:p w:rsidR="00D50526" w:rsidRPr="00F95E59" w:rsidRDefault="00D50526" w:rsidP="00980876">
      <w:pPr>
        <w:widowControl w:val="0"/>
        <w:numPr>
          <w:ilvl w:val="1"/>
          <w:numId w:val="390"/>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F95E59">
        <w:rPr>
          <w:rFonts w:ascii="Times New Roman" w:eastAsia="Times New Roman" w:hAnsi="Times New Roman" w:cs="Times New Roman"/>
          <w:kern w:val="2"/>
        </w:rPr>
        <w:t xml:space="preserve">A maradvány jóváhagyás, felhasználás speciális rendszerének bemutatása. </w:t>
      </w:r>
      <w:r w:rsidRPr="00F95E59">
        <w:rPr>
          <w:rFonts w:ascii="Times New Roman" w:eastAsia="Times New Roman" w:hAnsi="Times New Roman" w:cs="Times New Roman"/>
          <w:i/>
          <w:kern w:val="2"/>
        </w:rPr>
        <w:t>(Presentation of the special system of residual approval and usage.)</w:t>
      </w:r>
    </w:p>
    <w:p w:rsidR="00D50526" w:rsidRPr="005604DE" w:rsidRDefault="00D50526" w:rsidP="00980876">
      <w:pPr>
        <w:widowControl w:val="0"/>
        <w:numPr>
          <w:ilvl w:val="1"/>
          <w:numId w:val="390"/>
        </w:numPr>
        <w:tabs>
          <w:tab w:val="clear" w:pos="3977"/>
          <w:tab w:val="left" w:pos="709"/>
          <w:tab w:val="left" w:pos="993"/>
          <w:tab w:val="num" w:pos="2069"/>
        </w:tabs>
        <w:spacing w:before="120" w:after="120" w:line="240" w:lineRule="auto"/>
        <w:ind w:left="993" w:hanging="567"/>
        <w:jc w:val="both"/>
        <w:rPr>
          <w:rFonts w:ascii="Times New Roman" w:hAnsi="Times New Roman"/>
          <w:b/>
          <w:color w:val="000000"/>
          <w:lang w:eastAsia="x-none"/>
        </w:rPr>
      </w:pPr>
      <w:r w:rsidRPr="00F95E59">
        <w:rPr>
          <w:rFonts w:ascii="Times New Roman" w:eastAsia="Times New Roman" w:hAnsi="Times New Roman" w:cs="Times New Roman"/>
          <w:kern w:val="2"/>
        </w:rPr>
        <w:t>Beszámolási kötelezettségre vonatkozó szabályok ismertetése. A költségvetési, illetve pénzügyi számvitel és a beszámoló kapcsolata. A beszámoló készítésével kapcsolatos sajátos feladatmegosztás, felelősségi szintek a honvédelmi szervezeteknél</w:t>
      </w:r>
      <w:r w:rsidRPr="00F95E59">
        <w:rPr>
          <w:rFonts w:ascii="Times New Roman" w:eastAsia="Times New Roman" w:hAnsi="Times New Roman" w:cs="Times New Roman"/>
          <w:i/>
          <w:kern w:val="2"/>
        </w:rPr>
        <w:t>. (Description of reporting requirements. Relationship between budgetary and financial accounting and reporting. Specific tasks related to the preparation of the annual report, levels of responsibility in the defense organizations.)</w:t>
      </w:r>
    </w:p>
    <w:p w:rsidR="00D50526" w:rsidRPr="006331D3" w:rsidRDefault="00D50526" w:rsidP="00980876">
      <w:pPr>
        <w:pStyle w:val="Listaszerbekezds"/>
        <w:widowControl w:val="0"/>
        <w:numPr>
          <w:ilvl w:val="0"/>
          <w:numId w:val="390"/>
        </w:numPr>
        <w:tabs>
          <w:tab w:val="clear" w:pos="720"/>
          <w:tab w:val="num" w:pos="643"/>
          <w:tab w:val="left" w:pos="709"/>
          <w:tab w:val="left" w:pos="993"/>
        </w:tabs>
        <w:spacing w:before="120" w:after="120" w:line="240" w:lineRule="auto"/>
        <w:ind w:left="643"/>
        <w:jc w:val="both"/>
        <w:rPr>
          <w:rFonts w:ascii="Times New Roman" w:eastAsia="Times New Roman" w:hAnsi="Times New Roman" w:cs="Times New Roman"/>
          <w:bCs/>
        </w:rPr>
      </w:pPr>
      <w:r w:rsidRPr="006331D3">
        <w:rPr>
          <w:rFonts w:ascii="Times New Roman" w:eastAsia="Times New Roman" w:hAnsi="Times New Roman" w:cs="Times New Roman"/>
          <w:b/>
          <w:bCs/>
        </w:rPr>
        <w:t xml:space="preserve">A tantárgy meghirdetésének gyakorisága/a tantervben történő félévi elhelyezkedése: </w:t>
      </w:r>
      <w:r w:rsidRPr="006331D3">
        <w:rPr>
          <w:rFonts w:ascii="Times New Roman" w:eastAsia="Times New Roman" w:hAnsi="Times New Roman" w:cs="Times New Roman"/>
          <w:bCs/>
        </w:rPr>
        <w:t xml:space="preserve">a tanév </w:t>
      </w:r>
      <w:r>
        <w:rPr>
          <w:rFonts w:ascii="Times New Roman" w:eastAsia="Times New Roman" w:hAnsi="Times New Roman" w:cs="Times New Roman"/>
          <w:bCs/>
        </w:rPr>
        <w:t>2</w:t>
      </w:r>
      <w:r w:rsidRPr="006331D3">
        <w:rPr>
          <w:rFonts w:ascii="Times New Roman" w:eastAsia="Times New Roman" w:hAnsi="Times New Roman" w:cs="Times New Roman"/>
          <w:bCs/>
        </w:rPr>
        <w:t>. (</w:t>
      </w:r>
      <w:r>
        <w:rPr>
          <w:rFonts w:ascii="Times New Roman" w:eastAsia="Times New Roman" w:hAnsi="Times New Roman" w:cs="Times New Roman"/>
          <w:bCs/>
        </w:rPr>
        <w:t>tavaszi</w:t>
      </w:r>
      <w:r w:rsidRPr="006331D3">
        <w:rPr>
          <w:rFonts w:ascii="Times New Roman" w:eastAsia="Times New Roman" w:hAnsi="Times New Roman" w:cs="Times New Roman"/>
          <w:bCs/>
        </w:rPr>
        <w:t>) félévében.</w:t>
      </w:r>
    </w:p>
    <w:p w:rsidR="00D50526" w:rsidRDefault="00D50526" w:rsidP="00980876">
      <w:pPr>
        <w:widowControl w:val="0"/>
        <w:numPr>
          <w:ilvl w:val="0"/>
          <w:numId w:val="390"/>
        </w:numPr>
        <w:tabs>
          <w:tab w:val="clear" w:pos="720"/>
          <w:tab w:val="num" w:pos="643"/>
        </w:tabs>
        <w:spacing w:before="120" w:after="120" w:line="240" w:lineRule="auto"/>
        <w:ind w:left="643"/>
        <w:jc w:val="both"/>
        <w:rPr>
          <w:rFonts w:ascii="Times New Roman" w:eastAsia="Times New Roman" w:hAnsi="Times New Roman" w:cs="Times New Roman"/>
          <w:bCs/>
        </w:rPr>
      </w:pPr>
      <w:r w:rsidRPr="00BC6E7B">
        <w:rPr>
          <w:rFonts w:ascii="Times New Roman" w:eastAsia="Times New Roman" w:hAnsi="Times New Roman" w:cs="Times New Roman"/>
          <w:b/>
          <w:bCs/>
        </w:rPr>
        <w:t>A tanórákon való részvétel követelményei, az elfogadható hiányzások mértéke, a távolmaradás pótlásának lehetősége:</w:t>
      </w:r>
      <w:r>
        <w:rPr>
          <w:rFonts w:ascii="Times New Roman" w:eastAsia="Times New Roman" w:hAnsi="Times New Roman" w:cs="Times New Roman"/>
          <w:bCs/>
        </w:rPr>
        <w:t xml:space="preserve"> </w:t>
      </w:r>
      <w:r w:rsidRPr="00D0042F">
        <w:rPr>
          <w:rFonts w:ascii="Times New Roman" w:eastAsia="Times New Roman" w:hAnsi="Times New Roman" w:cs="Times New Roman"/>
          <w:bCs/>
        </w:rPr>
        <w:t xml:space="preserve">a tanórákon való jelenlét kötelező, az elfogadható és igazolt hiányzások száma maximum a tanórák </w:t>
      </w:r>
      <w:r>
        <w:rPr>
          <w:rFonts w:ascii="Times New Roman" w:eastAsia="Times New Roman" w:hAnsi="Times New Roman" w:cs="Times New Roman"/>
          <w:bCs/>
        </w:rPr>
        <w:t>20</w:t>
      </w:r>
      <w:r w:rsidRPr="00D0042F">
        <w:rPr>
          <w:rFonts w:ascii="Times New Roman" w:eastAsia="Times New Roman" w:hAnsi="Times New Roman" w:cs="Times New Roman"/>
          <w:bCs/>
        </w:rPr>
        <w:t>%-áig terjedhet, az ismeretek pótlásáról a hallgató gondoskodik.</w:t>
      </w:r>
      <w:r>
        <w:rPr>
          <w:rFonts w:ascii="Times New Roman" w:eastAsia="Times New Roman" w:hAnsi="Times New Roman" w:cs="Times New Roman"/>
          <w:bCs/>
        </w:rPr>
        <w:t xml:space="preserve"> A hiányzások elfogadható mértékének túllépése az aláírás megtagadását vonja maga után.</w:t>
      </w:r>
    </w:p>
    <w:p w:rsidR="00D50526" w:rsidRPr="006331D3" w:rsidRDefault="00D50526" w:rsidP="00980876">
      <w:pPr>
        <w:widowControl w:val="0"/>
        <w:numPr>
          <w:ilvl w:val="0"/>
          <w:numId w:val="390"/>
        </w:numPr>
        <w:tabs>
          <w:tab w:val="clear" w:pos="720"/>
          <w:tab w:val="num" w:pos="643"/>
        </w:tabs>
        <w:spacing w:before="120" w:after="120" w:line="240" w:lineRule="auto"/>
        <w:jc w:val="both"/>
        <w:rPr>
          <w:rFonts w:ascii="Times New Roman" w:eastAsia="Times New Roman" w:hAnsi="Times New Roman" w:cs="Times New Roman"/>
        </w:rPr>
      </w:pPr>
      <w:r w:rsidRPr="006331D3">
        <w:rPr>
          <w:rFonts w:ascii="Times New Roman" w:eastAsia="Times New Roman" w:hAnsi="Times New Roman" w:cs="Times New Roman"/>
          <w:b/>
        </w:rPr>
        <w:lastRenderedPageBreak/>
        <w:t>Félévközi feladatok, ismeretek ellenőrzésének rendje:</w:t>
      </w:r>
      <w:r w:rsidRPr="006331D3">
        <w:rPr>
          <w:rFonts w:ascii="Times New Roman" w:eastAsia="Times New Roman" w:hAnsi="Times New Roman" w:cs="Times New Roman"/>
        </w:rPr>
        <w:t xml:space="preserve"> </w:t>
      </w:r>
      <w:r>
        <w:rPr>
          <w:rFonts w:ascii="Times New Roman" w:eastAsia="Times New Roman" w:hAnsi="Times New Roman" w:cs="Times New Roman"/>
        </w:rPr>
        <w:t xml:space="preserve">A hallgató a félév során egy az oktató által meghatározott téma önálló feldolgozását követően, abból előadást tart. </w:t>
      </w:r>
      <w:r w:rsidRPr="006331D3">
        <w:rPr>
          <w:rFonts w:ascii="Times New Roman" w:eastAsia="Times New Roman" w:hAnsi="Times New Roman" w:cs="Times New Roman"/>
        </w:rPr>
        <w:t xml:space="preserve">A hallgató a félév </w:t>
      </w:r>
      <w:r>
        <w:rPr>
          <w:rFonts w:ascii="Times New Roman" w:eastAsia="Times New Roman" w:hAnsi="Times New Roman" w:cs="Times New Roman"/>
        </w:rPr>
        <w:t>három</w:t>
      </w:r>
      <w:r w:rsidRPr="006331D3">
        <w:rPr>
          <w:rFonts w:ascii="Times New Roman" w:eastAsia="Times New Roman" w:hAnsi="Times New Roman" w:cs="Times New Roman"/>
        </w:rPr>
        <w:t xml:space="preserve"> zárthelyi dolgozatot ír. A zárthelyi dolgozatok értékelése ötfokozatú skála alapján történik (50 %-tól elégséges, 65 %-tól közepes, 75-tól % jó, 85 %-tól jeles). </w:t>
      </w:r>
    </w:p>
    <w:p w:rsidR="00D50526" w:rsidRPr="000D191A" w:rsidRDefault="00D50526" w:rsidP="00D50526">
      <w:pPr>
        <w:widowControl w:val="0"/>
        <w:spacing w:before="120" w:after="120" w:line="240" w:lineRule="auto"/>
        <w:ind w:left="720"/>
        <w:jc w:val="both"/>
        <w:rPr>
          <w:rFonts w:ascii="Times New Roman" w:eastAsia="Times New Roman" w:hAnsi="Times New Roman" w:cs="Times New Roman"/>
          <w:bCs/>
        </w:rPr>
      </w:pPr>
      <w:r>
        <w:rPr>
          <w:rFonts w:ascii="Times New Roman" w:eastAsia="Times New Roman" w:hAnsi="Times New Roman" w:cs="Times New Roman"/>
        </w:rPr>
        <w:t>A zárthelyi dolgozat egyszer pótolható, illetve sikertelensége esetén javítható.</w:t>
      </w:r>
    </w:p>
    <w:p w:rsidR="00D50526" w:rsidRDefault="00D50526" w:rsidP="00980876">
      <w:pPr>
        <w:widowControl w:val="0"/>
        <w:numPr>
          <w:ilvl w:val="0"/>
          <w:numId w:val="390"/>
        </w:numPr>
        <w:tabs>
          <w:tab w:val="clear" w:pos="720"/>
          <w:tab w:val="num" w:pos="643"/>
        </w:tabs>
        <w:spacing w:before="120" w:after="120" w:line="240" w:lineRule="auto"/>
        <w:ind w:left="426" w:hanging="142"/>
        <w:jc w:val="both"/>
        <w:rPr>
          <w:rFonts w:ascii="Times New Roman" w:eastAsia="Times New Roman" w:hAnsi="Times New Roman" w:cs="Times New Roman"/>
          <w:b/>
          <w:bCs/>
        </w:rPr>
      </w:pPr>
      <w:r w:rsidRPr="00BC6E7B">
        <w:rPr>
          <w:rFonts w:ascii="Times New Roman" w:eastAsia="Times New Roman" w:hAnsi="Times New Roman" w:cs="Times New Roman"/>
          <w:b/>
          <w:bCs/>
        </w:rPr>
        <w:t xml:space="preserve">Az értékelés, az aláírás és a kreditek megszerzésének pontos feltételei: </w:t>
      </w:r>
    </w:p>
    <w:p w:rsidR="00D50526" w:rsidRPr="000D191A" w:rsidRDefault="00D50526" w:rsidP="00980876">
      <w:pPr>
        <w:widowControl w:val="0"/>
        <w:numPr>
          <w:ilvl w:val="1"/>
          <w:numId w:val="390"/>
        </w:numPr>
        <w:tabs>
          <w:tab w:val="clear" w:pos="3977"/>
          <w:tab w:val="num" w:pos="432"/>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0D191A">
        <w:rPr>
          <w:rFonts w:ascii="Times New Roman" w:eastAsia="Times New Roman" w:hAnsi="Times New Roman" w:cs="Times New Roman"/>
          <w:b/>
        </w:rPr>
        <w:t>Az aláírás megszerzésének feltételei:</w:t>
      </w:r>
      <w:r w:rsidRPr="000D191A">
        <w:rPr>
          <w:rFonts w:ascii="Times New Roman" w:eastAsia="Times New Roman" w:hAnsi="Times New Roman" w:cs="Times New Roman"/>
        </w:rPr>
        <w:t xml:space="preserve"> Az aláírás megszerzésének feltétele a 14. pontban meghatározott arányú részvétel a foglalkozásokon és a 15. pontban meghatározott félévközi feladatok legalább elégséges teljesítése</w:t>
      </w:r>
      <w:r>
        <w:rPr>
          <w:rFonts w:ascii="Times New Roman" w:eastAsia="Times New Roman" w:hAnsi="Times New Roman" w:cs="Times New Roman"/>
        </w:rPr>
        <w:t>.</w:t>
      </w:r>
    </w:p>
    <w:p w:rsidR="00D50526" w:rsidRDefault="00D50526" w:rsidP="00980876">
      <w:pPr>
        <w:widowControl w:val="0"/>
        <w:numPr>
          <w:ilvl w:val="1"/>
          <w:numId w:val="390"/>
        </w:numPr>
        <w:tabs>
          <w:tab w:val="clear" w:pos="3977"/>
          <w:tab w:val="num" w:pos="432"/>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BC6E7B">
        <w:rPr>
          <w:rFonts w:ascii="Times New Roman" w:eastAsia="Times New Roman" w:hAnsi="Times New Roman" w:cs="Times New Roman"/>
          <w:b/>
        </w:rPr>
        <w:t>Az értékelés:</w:t>
      </w:r>
      <w:r w:rsidRPr="00BC6E7B">
        <w:rPr>
          <w:rFonts w:ascii="Times New Roman" w:eastAsia="Times New Roman" w:hAnsi="Times New Roman" w:cs="Times New Roman"/>
        </w:rPr>
        <w:t xml:space="preserve"> </w:t>
      </w:r>
      <w:r>
        <w:rPr>
          <w:rFonts w:ascii="Times New Roman" w:eastAsia="Times New Roman" w:hAnsi="Times New Roman" w:cs="Times New Roman"/>
        </w:rPr>
        <w:t>Félévközi jegy</w:t>
      </w:r>
    </w:p>
    <w:p w:rsidR="00D50526" w:rsidRDefault="00D50526" w:rsidP="00980876">
      <w:pPr>
        <w:widowControl w:val="0"/>
        <w:numPr>
          <w:ilvl w:val="1"/>
          <w:numId w:val="390"/>
        </w:numPr>
        <w:tabs>
          <w:tab w:val="clear" w:pos="3977"/>
          <w:tab w:val="num" w:pos="432"/>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BC6E7B">
        <w:rPr>
          <w:rFonts w:ascii="Times New Roman" w:eastAsia="Times New Roman" w:hAnsi="Times New Roman" w:cs="Times New Roman"/>
          <w:b/>
        </w:rPr>
        <w:t>A kreditek megszerzésének feltételei:</w:t>
      </w:r>
      <w:r w:rsidRPr="00BC6E7B">
        <w:rPr>
          <w:rFonts w:ascii="Times New Roman" w:eastAsia="Times New Roman" w:hAnsi="Times New Roman" w:cs="Times New Roman"/>
        </w:rPr>
        <w:t xml:space="preserve"> </w:t>
      </w:r>
    </w:p>
    <w:p w:rsidR="00D50526" w:rsidRDefault="00D50526" w:rsidP="00D50526">
      <w:pPr>
        <w:widowControl w:val="0"/>
        <w:tabs>
          <w:tab w:val="left" w:pos="993"/>
        </w:tabs>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A kreditek megszerzésének feltétele az aláírás megszerzése és a zárthelyi dolgozatok legalább elégséges teljesítése, a félévközi jegy eredménye a zárthelyi dolgozatok egyszerű számtani átlaga.</w:t>
      </w:r>
    </w:p>
    <w:p w:rsidR="00D50526" w:rsidRPr="0035461C" w:rsidRDefault="00D50526" w:rsidP="00980876">
      <w:pPr>
        <w:widowControl w:val="0"/>
        <w:numPr>
          <w:ilvl w:val="0"/>
          <w:numId w:val="390"/>
        </w:numPr>
        <w:tabs>
          <w:tab w:val="clear" w:pos="720"/>
          <w:tab w:val="num" w:pos="360"/>
          <w:tab w:val="num" w:pos="643"/>
        </w:tabs>
        <w:spacing w:before="120" w:after="120" w:line="240" w:lineRule="auto"/>
        <w:ind w:left="426" w:hanging="142"/>
        <w:jc w:val="both"/>
        <w:rPr>
          <w:rFonts w:ascii="Times New Roman" w:eastAsia="Times New Roman" w:hAnsi="Times New Roman" w:cs="Times New Roman"/>
          <w:bCs/>
        </w:rPr>
      </w:pPr>
      <w:r w:rsidRPr="00BC6E7B">
        <w:rPr>
          <w:rFonts w:ascii="Times New Roman" w:eastAsia="Times New Roman" w:hAnsi="Times New Roman" w:cs="Times New Roman"/>
          <w:b/>
          <w:bCs/>
        </w:rPr>
        <w:t>Irodalomjegyzék:</w:t>
      </w:r>
    </w:p>
    <w:p w:rsidR="00D50526" w:rsidRPr="0035461C" w:rsidRDefault="00D50526" w:rsidP="00980876">
      <w:pPr>
        <w:widowControl w:val="0"/>
        <w:numPr>
          <w:ilvl w:val="1"/>
          <w:numId w:val="390"/>
        </w:numPr>
        <w:tabs>
          <w:tab w:val="clear" w:pos="3977"/>
          <w:tab w:val="num" w:pos="432"/>
          <w:tab w:val="num" w:pos="567"/>
          <w:tab w:val="num" w:pos="2069"/>
        </w:tabs>
        <w:spacing w:before="120" w:after="120" w:line="240" w:lineRule="auto"/>
        <w:ind w:left="993" w:hanging="709"/>
        <w:jc w:val="both"/>
        <w:rPr>
          <w:rFonts w:ascii="Times New Roman" w:eastAsia="Times New Roman" w:hAnsi="Times New Roman" w:cs="Times New Roman"/>
          <w:b/>
          <w:bCs/>
        </w:rPr>
      </w:pPr>
      <w:r w:rsidRPr="0035461C">
        <w:rPr>
          <w:rFonts w:ascii="Times New Roman" w:eastAsia="Times New Roman" w:hAnsi="Times New Roman" w:cs="Times New Roman"/>
          <w:b/>
          <w:bCs/>
        </w:rPr>
        <w:t>Kötelező irodalom:</w:t>
      </w:r>
      <w:r w:rsidRPr="00A50D80">
        <w:rPr>
          <w:rFonts w:ascii="Times New Roman" w:eastAsia="Times New Roman" w:hAnsi="Times New Roman" w:cs="Times New Roman"/>
        </w:rPr>
        <w:t xml:space="preserve"> </w:t>
      </w:r>
      <w:r>
        <w:rPr>
          <w:rFonts w:ascii="Times New Roman" w:eastAsia="Times New Roman" w:hAnsi="Times New Roman" w:cs="Times New Roman"/>
        </w:rPr>
        <w:t>A t</w:t>
      </w:r>
      <w:r w:rsidRPr="0099634B">
        <w:rPr>
          <w:rFonts w:ascii="Times New Roman" w:eastAsia="Times New Roman" w:hAnsi="Times New Roman" w:cs="Times New Roman"/>
        </w:rPr>
        <w:t>antárgy speciális katonai-szakmai tartalma miatt csak jogszabályi irodalom áll rendelkezésre</w:t>
      </w:r>
    </w:p>
    <w:p w:rsidR="004B2B12" w:rsidRPr="004B2B12" w:rsidRDefault="004B2B12" w:rsidP="00980876">
      <w:pPr>
        <w:widowControl w:val="0"/>
        <w:numPr>
          <w:ilvl w:val="2"/>
          <w:numId w:val="391"/>
        </w:numPr>
        <w:spacing w:after="0" w:line="240" w:lineRule="auto"/>
        <w:ind w:left="1134" w:hanging="363"/>
        <w:jc w:val="both"/>
        <w:rPr>
          <w:rFonts w:ascii="Times New Roman" w:eastAsia="Times New Roman" w:hAnsi="Times New Roman" w:cs="Times New Roman"/>
          <w:highlight w:val="yellow"/>
        </w:rPr>
      </w:pPr>
      <w:r w:rsidRPr="004B2B12">
        <w:rPr>
          <w:rFonts w:ascii="Times New Roman" w:eastAsia="Times New Roman" w:hAnsi="Times New Roman" w:cs="Times New Roman"/>
          <w:highlight w:val="yellow"/>
        </w:rPr>
        <w:t>Csepreginé Gallasz Andrea–Török Tamás Pál: Számviteli alapismeretek. Dialóg Campus, Budapest , 2019 p.174, ISBN 978-963-531-099-9 (PDF)</w:t>
      </w:r>
    </w:p>
    <w:p w:rsidR="00D50526" w:rsidRPr="00014E49" w:rsidRDefault="00D50526" w:rsidP="00980876">
      <w:pPr>
        <w:widowControl w:val="0"/>
        <w:numPr>
          <w:ilvl w:val="2"/>
          <w:numId w:val="391"/>
        </w:numPr>
        <w:spacing w:after="0" w:line="240" w:lineRule="auto"/>
        <w:ind w:left="1134" w:hanging="363"/>
        <w:jc w:val="both"/>
        <w:rPr>
          <w:rFonts w:ascii="Times New Roman" w:eastAsia="Times New Roman" w:hAnsi="Times New Roman" w:cs="Times New Roman"/>
        </w:rPr>
      </w:pPr>
      <w:r w:rsidRPr="00014E49">
        <w:rPr>
          <w:rFonts w:ascii="Times New Roman" w:eastAsia="Times New Roman" w:hAnsi="Times New Roman" w:cs="Times New Roman"/>
        </w:rPr>
        <w:t xml:space="preserve">Az államháztartás számviteléről szóló 4/2013. (I. 11.) Korm. rendelet </w:t>
      </w:r>
    </w:p>
    <w:p w:rsidR="00D50526" w:rsidRPr="00014E49" w:rsidRDefault="00D50526" w:rsidP="00980876">
      <w:pPr>
        <w:widowControl w:val="0"/>
        <w:numPr>
          <w:ilvl w:val="2"/>
          <w:numId w:val="391"/>
        </w:numPr>
        <w:spacing w:after="0" w:line="240" w:lineRule="auto"/>
        <w:ind w:left="1134" w:hanging="363"/>
        <w:jc w:val="both"/>
        <w:rPr>
          <w:rFonts w:ascii="Times New Roman" w:eastAsia="Times New Roman" w:hAnsi="Times New Roman" w:cs="Times New Roman"/>
        </w:rPr>
      </w:pPr>
      <w:r w:rsidRPr="00014E49">
        <w:rPr>
          <w:rFonts w:ascii="Times New Roman" w:eastAsia="Times New Roman" w:hAnsi="Times New Roman" w:cs="Times New Roman"/>
        </w:rPr>
        <w:t>A HM fejezet egységes számviteli politikájáról és számlarendjéről szóló 9/2017. (HK 5) HM VGHÁT szakutasítás</w:t>
      </w:r>
    </w:p>
    <w:p w:rsidR="00D50526" w:rsidRDefault="00D50526" w:rsidP="00980876">
      <w:pPr>
        <w:widowControl w:val="0"/>
        <w:numPr>
          <w:ilvl w:val="2"/>
          <w:numId w:val="391"/>
        </w:numPr>
        <w:spacing w:after="0" w:line="240" w:lineRule="auto"/>
        <w:ind w:left="1134" w:hanging="363"/>
        <w:jc w:val="both"/>
        <w:rPr>
          <w:rFonts w:ascii="Times New Roman" w:eastAsia="Times New Roman" w:hAnsi="Times New Roman" w:cs="Times New Roman"/>
        </w:rPr>
      </w:pPr>
      <w:r w:rsidRPr="00014E49">
        <w:rPr>
          <w:rFonts w:ascii="Times New Roman" w:eastAsia="Times New Roman" w:hAnsi="Times New Roman" w:cs="Times New Roman"/>
        </w:rPr>
        <w:t>Az államháztartásban felmerülő egyes gyakoribb gazdasági események kötelező elszámolási módjáról szóló 38/2013. (IX. 19.) NGM rendelet</w:t>
      </w:r>
    </w:p>
    <w:p w:rsidR="00D50526" w:rsidRDefault="00D50526" w:rsidP="00980876">
      <w:pPr>
        <w:widowControl w:val="0"/>
        <w:numPr>
          <w:ilvl w:val="1"/>
          <w:numId w:val="390"/>
        </w:numPr>
        <w:tabs>
          <w:tab w:val="clear" w:pos="3977"/>
          <w:tab w:val="num" w:pos="432"/>
          <w:tab w:val="num" w:pos="567"/>
          <w:tab w:val="num" w:pos="2069"/>
        </w:tabs>
        <w:spacing w:before="120" w:after="120" w:line="240" w:lineRule="auto"/>
        <w:ind w:left="993" w:hanging="709"/>
        <w:jc w:val="both"/>
        <w:rPr>
          <w:rFonts w:ascii="Times New Roman" w:eastAsia="Times New Roman" w:hAnsi="Times New Roman" w:cs="Times New Roman"/>
          <w:b/>
          <w:bCs/>
        </w:rPr>
      </w:pPr>
      <w:r w:rsidRPr="00BC6E7B">
        <w:rPr>
          <w:rFonts w:ascii="Times New Roman" w:eastAsia="Times New Roman" w:hAnsi="Times New Roman" w:cs="Times New Roman"/>
          <w:b/>
          <w:bCs/>
        </w:rPr>
        <w:t>Ajánlott irodalom:</w:t>
      </w:r>
      <w:r>
        <w:rPr>
          <w:rFonts w:ascii="Times New Roman" w:eastAsia="Times New Roman" w:hAnsi="Times New Roman" w:cs="Times New Roman"/>
          <w:b/>
          <w:bCs/>
        </w:rPr>
        <w:t xml:space="preserve"> </w:t>
      </w:r>
    </w:p>
    <w:p w:rsidR="00D50526" w:rsidRPr="00014E49" w:rsidRDefault="00D50526" w:rsidP="00980876">
      <w:pPr>
        <w:widowControl w:val="0"/>
        <w:numPr>
          <w:ilvl w:val="2"/>
          <w:numId w:val="392"/>
        </w:numPr>
        <w:spacing w:after="0" w:line="240" w:lineRule="auto"/>
        <w:ind w:left="1134" w:hanging="363"/>
        <w:jc w:val="both"/>
        <w:rPr>
          <w:rFonts w:ascii="Times New Roman" w:eastAsia="Times New Roman" w:hAnsi="Times New Roman" w:cs="Times New Roman"/>
          <w:bCs/>
        </w:rPr>
      </w:pPr>
      <w:r w:rsidRPr="00014E49">
        <w:rPr>
          <w:rFonts w:ascii="Times New Roman" w:eastAsia="Times New Roman" w:hAnsi="Times New Roman" w:cs="Times New Roman"/>
          <w:bCs/>
        </w:rPr>
        <w:t xml:space="preserve">Lilliné Fecz Ildikó: Államháztartási számvitel a gyakorlatban 2015 I. Saldo Kiadó 2015. </w:t>
      </w:r>
    </w:p>
    <w:p w:rsidR="00D50526" w:rsidRPr="00014E49" w:rsidRDefault="00D50526" w:rsidP="00980876">
      <w:pPr>
        <w:widowControl w:val="0"/>
        <w:numPr>
          <w:ilvl w:val="2"/>
          <w:numId w:val="392"/>
        </w:numPr>
        <w:spacing w:after="0" w:line="240" w:lineRule="auto"/>
        <w:ind w:left="1134" w:hanging="363"/>
        <w:jc w:val="both"/>
        <w:rPr>
          <w:rFonts w:ascii="Times New Roman" w:eastAsia="Times New Roman" w:hAnsi="Times New Roman" w:cs="Times New Roman"/>
          <w:bCs/>
        </w:rPr>
      </w:pPr>
      <w:r w:rsidRPr="00014E49">
        <w:rPr>
          <w:rFonts w:ascii="Times New Roman" w:eastAsia="Times New Roman" w:hAnsi="Times New Roman" w:cs="Times New Roman"/>
          <w:bCs/>
        </w:rPr>
        <w:t>Lilliné Fecz Ildikó: Államháztartási szervezetek számlatükre 2015 Saldo Kiadó 2015.</w:t>
      </w:r>
    </w:p>
    <w:p w:rsidR="00A30EA9" w:rsidRDefault="00A30EA9" w:rsidP="00D50526">
      <w:pPr>
        <w:widowControl w:val="0"/>
        <w:spacing w:before="120" w:after="120" w:line="240" w:lineRule="auto"/>
        <w:jc w:val="both"/>
        <w:rPr>
          <w:rFonts w:ascii="Times New Roman" w:eastAsia="Times New Roman" w:hAnsi="Times New Roman" w:cs="Times New Roman"/>
          <w:bCs/>
        </w:rPr>
      </w:pPr>
    </w:p>
    <w:p w:rsidR="00D50526" w:rsidRPr="00BC6E7B" w:rsidRDefault="00D50526" w:rsidP="00A30EA9">
      <w:pPr>
        <w:widowControl w:val="0"/>
        <w:spacing w:before="120" w:after="120" w:line="240" w:lineRule="auto"/>
        <w:ind w:firstLine="708"/>
        <w:jc w:val="both"/>
        <w:rPr>
          <w:rFonts w:ascii="Times New Roman" w:eastAsia="Times New Roman" w:hAnsi="Times New Roman" w:cs="Times New Roman"/>
          <w:bCs/>
        </w:rPr>
      </w:pPr>
      <w:r w:rsidRPr="0035461C">
        <w:rPr>
          <w:rFonts w:ascii="Times New Roman" w:eastAsia="Times New Roman" w:hAnsi="Times New Roman" w:cs="Times New Roman"/>
          <w:bCs/>
        </w:rPr>
        <w:t>Budapest, 20</w:t>
      </w:r>
      <w:r>
        <w:rPr>
          <w:rFonts w:ascii="Times New Roman" w:eastAsia="Times New Roman" w:hAnsi="Times New Roman" w:cs="Times New Roman"/>
          <w:bCs/>
        </w:rPr>
        <w:t>20</w:t>
      </w:r>
      <w:r w:rsidRPr="0035461C">
        <w:rPr>
          <w:rFonts w:ascii="Times New Roman" w:eastAsia="Times New Roman" w:hAnsi="Times New Roman" w:cs="Times New Roman"/>
          <w:bCs/>
        </w:rPr>
        <w:t>.</w:t>
      </w:r>
      <w:r>
        <w:rPr>
          <w:rFonts w:ascii="Times New Roman" w:eastAsia="Times New Roman" w:hAnsi="Times New Roman" w:cs="Times New Roman"/>
          <w:bCs/>
        </w:rPr>
        <w:t>02</w:t>
      </w:r>
      <w:r w:rsidRPr="0035461C">
        <w:rPr>
          <w:rFonts w:ascii="Times New Roman" w:eastAsia="Times New Roman" w:hAnsi="Times New Roman" w:cs="Times New Roman"/>
          <w:bCs/>
        </w:rPr>
        <w:t>.</w:t>
      </w:r>
      <w:r>
        <w:rPr>
          <w:rFonts w:ascii="Times New Roman" w:eastAsia="Times New Roman" w:hAnsi="Times New Roman" w:cs="Times New Roman"/>
          <w:bCs/>
        </w:rPr>
        <w:t>20.</w:t>
      </w:r>
    </w:p>
    <w:p w:rsidR="00D50526" w:rsidRPr="00D50526" w:rsidRDefault="00D50526" w:rsidP="00D50526">
      <w:pPr>
        <w:widowControl w:val="0"/>
        <w:spacing w:before="120" w:after="120" w:line="240" w:lineRule="auto"/>
        <w:jc w:val="right"/>
        <w:rPr>
          <w:rFonts w:ascii="Times New Roman" w:eastAsia="Times New Roman" w:hAnsi="Times New Roman" w:cs="Times New Roman"/>
          <w:b/>
          <w:bCs/>
        </w:rPr>
      </w:pPr>
      <w:r w:rsidRPr="00D50526">
        <w:rPr>
          <w:rFonts w:ascii="Times New Roman" w:eastAsia="Times New Roman" w:hAnsi="Times New Roman" w:cs="Times New Roman"/>
          <w:b/>
          <w:bCs/>
        </w:rPr>
        <w:t>Dr. Hutkai Zsuzsanna (PhD)</w:t>
      </w:r>
    </w:p>
    <w:p w:rsidR="00D50526" w:rsidRPr="00BC6E7B" w:rsidRDefault="00D50526" w:rsidP="00D50526">
      <w:pPr>
        <w:widowControl w:val="0"/>
        <w:spacing w:before="120" w:after="120" w:line="240" w:lineRule="auto"/>
        <w:jc w:val="right"/>
        <w:rPr>
          <w:rFonts w:ascii="Times New Roman" w:eastAsia="Times New Roman" w:hAnsi="Times New Roman" w:cs="Times New Roman"/>
          <w:bCs/>
        </w:rPr>
      </w:pPr>
      <w:r>
        <w:rPr>
          <w:rFonts w:ascii="Times New Roman" w:eastAsia="Times New Roman" w:hAnsi="Times New Roman" w:cs="Times New Roman"/>
          <w:bCs/>
        </w:rPr>
        <w:t>adjunktus s.k.</w:t>
      </w:r>
    </w:p>
    <w:p w:rsidR="00ED3CE1" w:rsidRDefault="00ED3CE1">
      <w:pPr>
        <w:spacing w:after="200" w:line="276" w:lineRule="auto"/>
        <w:rPr>
          <w:rFonts w:ascii="Times New Roman" w:hAnsi="Times New Roman" w:cs="Times New Roman"/>
          <w:b/>
          <w:color w:val="FF0000"/>
          <w:sz w:val="24"/>
        </w:rPr>
      </w:pPr>
      <w:r>
        <w:rPr>
          <w:rFonts w:ascii="Times New Roman" w:hAnsi="Times New Roman" w:cs="Times New Roman"/>
          <w:b/>
          <w:color w:val="FF0000"/>
          <w:sz w:val="24"/>
        </w:rPr>
        <w:br w:type="page"/>
      </w:r>
    </w:p>
    <w:tbl>
      <w:tblPr>
        <w:tblW w:w="9072" w:type="dxa"/>
        <w:tblInd w:w="113" w:type="dxa"/>
        <w:tblLook w:val="01E0" w:firstRow="1" w:lastRow="1" w:firstColumn="1" w:lastColumn="1" w:noHBand="0" w:noVBand="0"/>
      </w:tblPr>
      <w:tblGrid>
        <w:gridCol w:w="4855"/>
        <w:gridCol w:w="1620"/>
        <w:gridCol w:w="2597"/>
      </w:tblGrid>
      <w:tr w:rsidR="00ED3CE1" w:rsidRPr="00ED3CE1" w:rsidTr="00ED3CE1">
        <w:tc>
          <w:tcPr>
            <w:tcW w:w="4855" w:type="dxa"/>
            <w:tcBorders>
              <w:bottom w:val="single" w:sz="4" w:space="0" w:color="auto"/>
            </w:tcBorders>
          </w:tcPr>
          <w:p w:rsidR="00ED3CE1" w:rsidRPr="00ED3CE1" w:rsidRDefault="00ED3CE1" w:rsidP="00ED3CE1">
            <w:pPr>
              <w:spacing w:after="0" w:line="240" w:lineRule="auto"/>
              <w:jc w:val="center"/>
              <w:rPr>
                <w:rFonts w:ascii="Times New Roman" w:eastAsia="Times New Roman" w:hAnsi="Times New Roman" w:cs="Times New Roman"/>
                <w:b/>
                <w:smallCaps/>
                <w:sz w:val="24"/>
                <w:szCs w:val="24"/>
                <w:lang w:eastAsia="hu-HU"/>
              </w:rPr>
            </w:pPr>
            <w:r w:rsidRPr="00ED3CE1">
              <w:rPr>
                <w:rFonts w:ascii="Times New Roman" w:eastAsia="Times New Roman" w:hAnsi="Times New Roman" w:cs="Times New Roman"/>
                <w:b/>
                <w:smallCaps/>
                <w:sz w:val="24"/>
                <w:szCs w:val="24"/>
                <w:lang w:eastAsia="hu-HU"/>
              </w:rPr>
              <w:lastRenderedPageBreak/>
              <w:t>Nemzeti Közszolgálati Egyetem</w:t>
            </w:r>
          </w:p>
        </w:tc>
        <w:tc>
          <w:tcPr>
            <w:tcW w:w="1620" w:type="dxa"/>
          </w:tcPr>
          <w:p w:rsidR="00ED3CE1" w:rsidRPr="00ED3CE1" w:rsidRDefault="00ED3CE1" w:rsidP="00ED3CE1">
            <w:pPr>
              <w:spacing w:after="0" w:line="240" w:lineRule="auto"/>
              <w:jc w:val="both"/>
              <w:rPr>
                <w:rFonts w:ascii="Times New Roman" w:eastAsia="Times New Roman" w:hAnsi="Times New Roman" w:cs="Times New Roman"/>
                <w:sz w:val="24"/>
                <w:szCs w:val="24"/>
                <w:lang w:eastAsia="hu-HU"/>
              </w:rPr>
            </w:pPr>
          </w:p>
        </w:tc>
        <w:tc>
          <w:tcPr>
            <w:tcW w:w="2597" w:type="dxa"/>
          </w:tcPr>
          <w:p w:rsidR="00ED3CE1" w:rsidRPr="00ED3CE1" w:rsidRDefault="00ED3CE1" w:rsidP="00ED3CE1">
            <w:pPr>
              <w:spacing w:after="0" w:line="240" w:lineRule="auto"/>
              <w:jc w:val="right"/>
              <w:rPr>
                <w:rFonts w:ascii="Times New Roman" w:eastAsia="Times New Roman" w:hAnsi="Times New Roman" w:cs="Times New Roman"/>
                <w:sz w:val="24"/>
                <w:szCs w:val="24"/>
                <w:lang w:eastAsia="hu-HU"/>
              </w:rPr>
            </w:pPr>
          </w:p>
        </w:tc>
      </w:tr>
      <w:tr w:rsidR="00ED3CE1" w:rsidRPr="00ED3CE1" w:rsidTr="00ED3CE1">
        <w:trPr>
          <w:trHeight w:val="159"/>
        </w:trPr>
        <w:tc>
          <w:tcPr>
            <w:tcW w:w="4855" w:type="dxa"/>
            <w:tcBorders>
              <w:top w:val="single" w:sz="4" w:space="0" w:color="auto"/>
            </w:tcBorders>
          </w:tcPr>
          <w:p w:rsidR="00ED3CE1" w:rsidRPr="00ED3CE1" w:rsidRDefault="00ED3CE1" w:rsidP="00ED3CE1">
            <w:pPr>
              <w:spacing w:after="0" w:line="240" w:lineRule="auto"/>
              <w:jc w:val="center"/>
              <w:rPr>
                <w:rFonts w:ascii="Times New Roman" w:eastAsia="Times New Roman" w:hAnsi="Times New Roman" w:cs="Times New Roman"/>
                <w:b/>
                <w:sz w:val="24"/>
                <w:szCs w:val="24"/>
                <w:lang w:eastAsia="hu-HU"/>
              </w:rPr>
            </w:pPr>
            <w:r w:rsidRPr="00ED3CE1">
              <w:rPr>
                <w:rFonts w:ascii="Times New Roman" w:eastAsia="Times New Roman" w:hAnsi="Times New Roman" w:cs="Times New Roman"/>
                <w:b/>
                <w:sz w:val="24"/>
                <w:szCs w:val="24"/>
                <w:lang w:eastAsia="hu-HU"/>
              </w:rPr>
              <w:t>Hadtudományi és Honvédtisztképző Kar</w:t>
            </w:r>
          </w:p>
        </w:tc>
        <w:tc>
          <w:tcPr>
            <w:tcW w:w="1620" w:type="dxa"/>
          </w:tcPr>
          <w:p w:rsidR="00ED3CE1" w:rsidRPr="00ED3CE1" w:rsidRDefault="00ED3CE1" w:rsidP="00ED3CE1">
            <w:pPr>
              <w:spacing w:after="0" w:line="240" w:lineRule="auto"/>
              <w:jc w:val="both"/>
              <w:rPr>
                <w:rFonts w:ascii="Times New Roman" w:eastAsia="Times New Roman" w:hAnsi="Times New Roman" w:cs="Times New Roman"/>
                <w:sz w:val="24"/>
                <w:szCs w:val="24"/>
                <w:lang w:eastAsia="hu-HU"/>
              </w:rPr>
            </w:pPr>
          </w:p>
        </w:tc>
        <w:tc>
          <w:tcPr>
            <w:tcW w:w="2597" w:type="dxa"/>
          </w:tcPr>
          <w:p w:rsidR="00ED3CE1" w:rsidRPr="00ED3CE1" w:rsidRDefault="00ED3CE1" w:rsidP="00ED3CE1">
            <w:pPr>
              <w:spacing w:after="0" w:line="240" w:lineRule="auto"/>
              <w:jc w:val="both"/>
              <w:rPr>
                <w:rFonts w:ascii="Times New Roman" w:eastAsia="Times New Roman" w:hAnsi="Times New Roman" w:cs="Times New Roman"/>
                <w:sz w:val="24"/>
                <w:szCs w:val="24"/>
                <w:lang w:eastAsia="hu-HU"/>
              </w:rPr>
            </w:pPr>
          </w:p>
        </w:tc>
      </w:tr>
    </w:tbl>
    <w:p w:rsidR="00ED3CE1" w:rsidRPr="00ED3CE1" w:rsidRDefault="00ED3CE1" w:rsidP="00ED3CE1">
      <w:pPr>
        <w:widowControl w:val="0"/>
        <w:spacing w:before="120" w:after="120" w:line="240" w:lineRule="auto"/>
        <w:ind w:left="426" w:hanging="142"/>
        <w:jc w:val="center"/>
        <w:rPr>
          <w:rFonts w:ascii="Times New Roman" w:eastAsia="Times New Roman" w:hAnsi="Times New Roman" w:cs="Times New Roman"/>
          <w:b/>
          <w:bCs/>
          <w:sz w:val="24"/>
          <w:szCs w:val="24"/>
        </w:rPr>
      </w:pPr>
    </w:p>
    <w:p w:rsidR="00ED3CE1" w:rsidRPr="00ED3CE1" w:rsidRDefault="00ED3CE1" w:rsidP="00ED3CE1">
      <w:pPr>
        <w:widowControl w:val="0"/>
        <w:spacing w:before="120" w:after="120" w:line="240" w:lineRule="auto"/>
        <w:ind w:left="426" w:hanging="142"/>
        <w:jc w:val="center"/>
        <w:rPr>
          <w:rFonts w:ascii="Times New Roman" w:eastAsia="Times New Roman" w:hAnsi="Times New Roman" w:cs="Times New Roman"/>
          <w:b/>
          <w:bCs/>
          <w:sz w:val="24"/>
          <w:szCs w:val="24"/>
        </w:rPr>
      </w:pPr>
      <w:r w:rsidRPr="00ED3CE1">
        <w:rPr>
          <w:rFonts w:ascii="Times New Roman" w:eastAsia="Times New Roman" w:hAnsi="Times New Roman" w:cs="Times New Roman"/>
          <w:b/>
          <w:bCs/>
          <w:sz w:val="24"/>
          <w:szCs w:val="24"/>
        </w:rPr>
        <w:t>TANTÁRGYI PROGRAM</w:t>
      </w:r>
    </w:p>
    <w:p w:rsidR="00ED3CE1" w:rsidRPr="00ED3CE1" w:rsidRDefault="00ED3CE1" w:rsidP="00980876">
      <w:pPr>
        <w:widowControl w:val="0"/>
        <w:numPr>
          <w:ilvl w:val="0"/>
          <w:numId w:val="394"/>
        </w:numPr>
        <w:tabs>
          <w:tab w:val="num" w:pos="567"/>
        </w:tabs>
        <w:spacing w:before="120" w:after="120" w:line="240" w:lineRule="auto"/>
        <w:ind w:left="426" w:hanging="142"/>
        <w:contextualSpacing/>
        <w:jc w:val="both"/>
        <w:rPr>
          <w:rFonts w:ascii="Times New Roman" w:eastAsia="Times New Roman" w:hAnsi="Times New Roman" w:cs="Times New Roman"/>
          <w:b/>
          <w:bCs/>
          <w:lang w:val="en-GB"/>
        </w:rPr>
      </w:pPr>
      <w:r w:rsidRPr="00ED3CE1">
        <w:rPr>
          <w:rFonts w:ascii="Times New Roman" w:eastAsia="Times New Roman" w:hAnsi="Times New Roman" w:cs="Times New Roman"/>
          <w:b/>
          <w:bCs/>
        </w:rPr>
        <w:t>A tantárgy kódja:</w:t>
      </w:r>
      <w:r w:rsidRPr="00ED3CE1">
        <w:rPr>
          <w:rFonts w:ascii="Calibri" w:eastAsia="Calibri" w:hAnsi="Calibri" w:cs="Times New Roman"/>
        </w:rPr>
        <w:t xml:space="preserve"> </w:t>
      </w:r>
      <w:r w:rsidRPr="00ED3CE1">
        <w:rPr>
          <w:rFonts w:ascii="Times New Roman" w:eastAsia="Times New Roman" w:hAnsi="Times New Roman" w:cs="Times New Roman"/>
          <w:bCs/>
        </w:rPr>
        <w:t xml:space="preserve">HKHPKA514 </w:t>
      </w:r>
    </w:p>
    <w:p w:rsidR="00ED3CE1" w:rsidRPr="00ED3CE1" w:rsidRDefault="00ED3CE1" w:rsidP="00980876">
      <w:pPr>
        <w:widowControl w:val="0"/>
        <w:numPr>
          <w:ilvl w:val="0"/>
          <w:numId w:val="394"/>
        </w:numPr>
        <w:tabs>
          <w:tab w:val="num" w:pos="567"/>
        </w:tabs>
        <w:spacing w:before="120" w:after="120" w:line="240" w:lineRule="auto"/>
        <w:ind w:left="426" w:hanging="142"/>
        <w:contextualSpacing/>
        <w:jc w:val="both"/>
        <w:rPr>
          <w:rFonts w:ascii="Times New Roman" w:eastAsia="Times New Roman" w:hAnsi="Times New Roman" w:cs="Times New Roman"/>
          <w:b/>
          <w:bCs/>
          <w:lang w:val="en-GB"/>
        </w:rPr>
      </w:pPr>
      <w:r w:rsidRPr="00ED3CE1">
        <w:rPr>
          <w:rFonts w:ascii="Times New Roman" w:eastAsia="Times New Roman" w:hAnsi="Times New Roman" w:cs="Times New Roman"/>
          <w:b/>
          <w:bCs/>
        </w:rPr>
        <w:t>A tantárgy megnevezése (magyarul):</w:t>
      </w:r>
      <w:r w:rsidR="00391BD4">
        <w:rPr>
          <w:rFonts w:ascii="Times New Roman" w:eastAsia="Times New Roman" w:hAnsi="Times New Roman" w:cs="Times New Roman"/>
          <w:bCs/>
        </w:rPr>
        <w:t xml:space="preserve"> Költségvetési elemzés-</w:t>
      </w:r>
      <w:r w:rsidRPr="00ED3CE1">
        <w:rPr>
          <w:rFonts w:ascii="Times New Roman" w:eastAsia="Times New Roman" w:hAnsi="Times New Roman" w:cs="Times New Roman"/>
          <w:bCs/>
        </w:rPr>
        <w:t>ellenőrzés</w:t>
      </w:r>
    </w:p>
    <w:p w:rsidR="00ED3CE1" w:rsidRPr="00ED3CE1" w:rsidRDefault="00ED3CE1" w:rsidP="00980876">
      <w:pPr>
        <w:widowControl w:val="0"/>
        <w:numPr>
          <w:ilvl w:val="0"/>
          <w:numId w:val="394"/>
        </w:numPr>
        <w:tabs>
          <w:tab w:val="num" w:pos="567"/>
        </w:tabs>
        <w:spacing w:before="120" w:after="120" w:line="240" w:lineRule="auto"/>
        <w:ind w:left="426" w:hanging="142"/>
        <w:jc w:val="both"/>
        <w:rPr>
          <w:rFonts w:ascii="Times New Roman" w:eastAsia="Times New Roman" w:hAnsi="Times New Roman" w:cs="Times New Roman"/>
          <w:b/>
          <w:bCs/>
          <w:lang w:val="en-GB"/>
        </w:rPr>
      </w:pPr>
      <w:r w:rsidRPr="00ED3CE1">
        <w:rPr>
          <w:rFonts w:ascii="Times New Roman" w:eastAsia="Times New Roman" w:hAnsi="Times New Roman" w:cs="Times New Roman"/>
          <w:b/>
          <w:bCs/>
        </w:rPr>
        <w:t xml:space="preserve">A tantárgy megnevezése (angolul): </w:t>
      </w:r>
      <w:r w:rsidRPr="00ED3CE1">
        <w:rPr>
          <w:rFonts w:ascii="Times New Roman" w:eastAsia="Times New Roman" w:hAnsi="Times New Roman" w:cs="Times New Roman"/>
          <w:bCs/>
        </w:rPr>
        <w:t>Budgetary analysis, control</w:t>
      </w:r>
    </w:p>
    <w:p w:rsidR="00ED3CE1" w:rsidRPr="00ED3CE1" w:rsidRDefault="00ED3CE1" w:rsidP="00980876">
      <w:pPr>
        <w:widowControl w:val="0"/>
        <w:numPr>
          <w:ilvl w:val="0"/>
          <w:numId w:val="394"/>
        </w:numPr>
        <w:tabs>
          <w:tab w:val="num" w:pos="567"/>
        </w:tabs>
        <w:spacing w:before="120" w:after="120" w:line="240" w:lineRule="auto"/>
        <w:ind w:left="426" w:hanging="142"/>
        <w:jc w:val="both"/>
        <w:rPr>
          <w:rFonts w:ascii="Times New Roman" w:eastAsia="Times New Roman" w:hAnsi="Times New Roman" w:cs="Times New Roman"/>
          <w:b/>
          <w:bCs/>
        </w:rPr>
      </w:pPr>
      <w:r w:rsidRPr="00ED3CE1">
        <w:rPr>
          <w:rFonts w:ascii="Times New Roman" w:eastAsia="Times New Roman" w:hAnsi="Times New Roman" w:cs="Times New Roman"/>
          <w:b/>
          <w:bCs/>
        </w:rPr>
        <w:t xml:space="preserve">Kreditérték és képzési karakter: </w:t>
      </w:r>
    </w:p>
    <w:p w:rsidR="00ED3CE1" w:rsidRPr="00ED3CE1" w:rsidRDefault="00ED3CE1" w:rsidP="00980876">
      <w:pPr>
        <w:widowControl w:val="0"/>
        <w:numPr>
          <w:ilvl w:val="1"/>
          <w:numId w:val="394"/>
        </w:numPr>
        <w:spacing w:before="120" w:after="120" w:line="240" w:lineRule="auto"/>
        <w:ind w:left="993" w:hanging="426"/>
        <w:contextualSpacing/>
        <w:jc w:val="both"/>
        <w:rPr>
          <w:rFonts w:ascii="Times New Roman" w:eastAsia="Times New Roman" w:hAnsi="Times New Roman" w:cs="Times New Roman"/>
          <w:b/>
          <w:bCs/>
        </w:rPr>
      </w:pPr>
      <w:r w:rsidRPr="00ED3CE1">
        <w:rPr>
          <w:rFonts w:ascii="Times New Roman" w:eastAsia="Times New Roman" w:hAnsi="Times New Roman" w:cs="Times New Roman"/>
          <w:bCs/>
        </w:rPr>
        <w:t>3 kredit</w:t>
      </w:r>
    </w:p>
    <w:p w:rsidR="00ED3CE1" w:rsidRPr="00ED3CE1" w:rsidRDefault="00ED3CE1" w:rsidP="00980876">
      <w:pPr>
        <w:widowControl w:val="0"/>
        <w:numPr>
          <w:ilvl w:val="1"/>
          <w:numId w:val="394"/>
        </w:numPr>
        <w:spacing w:before="120" w:after="120" w:line="240" w:lineRule="auto"/>
        <w:ind w:left="993" w:hanging="426"/>
        <w:contextualSpacing/>
        <w:jc w:val="both"/>
        <w:rPr>
          <w:rFonts w:ascii="Times New Roman" w:eastAsia="Times New Roman" w:hAnsi="Times New Roman" w:cs="Times New Roman"/>
          <w:b/>
          <w:bCs/>
        </w:rPr>
      </w:pPr>
      <w:r w:rsidRPr="00ED3CE1">
        <w:rPr>
          <w:rFonts w:ascii="Times New Roman" w:eastAsia="Times New Roman" w:hAnsi="Times New Roman" w:cs="Times New Roman"/>
          <w:bCs/>
        </w:rPr>
        <w:t>a tantárgy elméleti vagy gyakorlati jellegének mértéke: 33</w:t>
      </w:r>
      <w:r w:rsidRPr="00ED3CE1">
        <w:rPr>
          <w:rFonts w:ascii="Times New Roman" w:eastAsia="Times New Roman" w:hAnsi="Times New Roman" w:cs="Times New Roman"/>
          <w:b/>
          <w:bCs/>
        </w:rPr>
        <w:t xml:space="preserve"> </w:t>
      </w:r>
      <w:r w:rsidRPr="00ED3CE1">
        <w:rPr>
          <w:rFonts w:ascii="Times New Roman" w:eastAsia="Times New Roman" w:hAnsi="Times New Roman" w:cs="Times New Roman"/>
          <w:bCs/>
        </w:rPr>
        <w:t>% gyakorlat, 67 % elmélet</w:t>
      </w:r>
    </w:p>
    <w:p w:rsidR="00ED3CE1" w:rsidRPr="00ED3CE1" w:rsidRDefault="00ED3CE1" w:rsidP="00980876">
      <w:pPr>
        <w:widowControl w:val="0"/>
        <w:numPr>
          <w:ilvl w:val="0"/>
          <w:numId w:val="394"/>
        </w:numPr>
        <w:spacing w:before="120" w:after="120" w:line="240" w:lineRule="auto"/>
        <w:ind w:left="426" w:hanging="142"/>
        <w:jc w:val="both"/>
        <w:rPr>
          <w:rFonts w:ascii="Times New Roman" w:eastAsia="Times New Roman" w:hAnsi="Times New Roman" w:cs="Times New Roman"/>
          <w:bCs/>
        </w:rPr>
      </w:pPr>
      <w:r w:rsidRPr="00ED3CE1">
        <w:rPr>
          <w:rFonts w:ascii="Times New Roman" w:eastAsia="Times New Roman" w:hAnsi="Times New Roman" w:cs="Times New Roman"/>
          <w:b/>
          <w:bCs/>
        </w:rPr>
        <w:t>A szak(ok), szakirányok/specializációk megnevezése (ahol oktatják):</w:t>
      </w:r>
      <w:r w:rsidRPr="00ED3CE1">
        <w:rPr>
          <w:rFonts w:ascii="Times New Roman" w:eastAsia="Times New Roman" w:hAnsi="Times New Roman" w:cs="Times New Roman"/>
          <w:bCs/>
        </w:rPr>
        <w:t xml:space="preserve"> Katonai logisztika alapképzési szak, Katonai pénzügyi specializáció</w:t>
      </w:r>
    </w:p>
    <w:p w:rsidR="00ED3CE1" w:rsidRPr="00ED3CE1" w:rsidRDefault="00ED3CE1" w:rsidP="00980876">
      <w:pPr>
        <w:widowControl w:val="0"/>
        <w:numPr>
          <w:ilvl w:val="0"/>
          <w:numId w:val="394"/>
        </w:numPr>
        <w:tabs>
          <w:tab w:val="num" w:pos="567"/>
        </w:tabs>
        <w:spacing w:before="120" w:after="120" w:line="240" w:lineRule="auto"/>
        <w:ind w:left="426" w:hanging="142"/>
        <w:jc w:val="both"/>
        <w:rPr>
          <w:rFonts w:ascii="Times New Roman" w:eastAsia="Times New Roman" w:hAnsi="Times New Roman" w:cs="Times New Roman"/>
          <w:bCs/>
        </w:rPr>
      </w:pPr>
      <w:r w:rsidRPr="00ED3CE1">
        <w:rPr>
          <w:rFonts w:ascii="Times New Roman" w:eastAsia="Times New Roman" w:hAnsi="Times New Roman" w:cs="Times New Roman"/>
          <w:b/>
          <w:bCs/>
        </w:rPr>
        <w:t xml:space="preserve">Az oktatásért felelős oktatási szervezeti egység megnevezése: </w:t>
      </w:r>
      <w:r w:rsidRPr="00ED3CE1">
        <w:rPr>
          <w:rFonts w:ascii="Times New Roman" w:eastAsia="Times New Roman" w:hAnsi="Times New Roman" w:cs="Times New Roman"/>
          <w:bCs/>
        </w:rPr>
        <w:t>NKE Hadtudományi és Honvédtisztképző Kar, Hadtáp, Pénzügyi és Katonai Közlekedési Tanszék</w:t>
      </w:r>
    </w:p>
    <w:p w:rsidR="00ED3CE1" w:rsidRPr="00ED3CE1" w:rsidRDefault="00ED3CE1" w:rsidP="00980876">
      <w:pPr>
        <w:widowControl w:val="0"/>
        <w:numPr>
          <w:ilvl w:val="0"/>
          <w:numId w:val="394"/>
        </w:numPr>
        <w:tabs>
          <w:tab w:val="num" w:pos="567"/>
        </w:tabs>
        <w:spacing w:before="120" w:after="120" w:line="240" w:lineRule="auto"/>
        <w:ind w:left="426" w:hanging="142"/>
        <w:jc w:val="both"/>
        <w:rPr>
          <w:rFonts w:ascii="Times New Roman" w:eastAsia="Times New Roman" w:hAnsi="Times New Roman" w:cs="Times New Roman"/>
          <w:bCs/>
        </w:rPr>
      </w:pPr>
      <w:r w:rsidRPr="00ED3CE1">
        <w:rPr>
          <w:rFonts w:ascii="Times New Roman" w:eastAsia="Times New Roman" w:hAnsi="Times New Roman" w:cs="Times New Roman"/>
          <w:b/>
          <w:bCs/>
        </w:rPr>
        <w:t xml:space="preserve">A tantárgyfelelős oktató neve, beosztása, tudományos fokozata: </w:t>
      </w:r>
      <w:r w:rsidRPr="00ED3CE1">
        <w:rPr>
          <w:rFonts w:ascii="Times New Roman" w:eastAsia="Times New Roman" w:hAnsi="Times New Roman" w:cs="Times New Roman"/>
          <w:bCs/>
        </w:rPr>
        <w:t>Dr. Szabó Ildikó (PhD), egyetemi tanársegéd</w:t>
      </w:r>
    </w:p>
    <w:p w:rsidR="00ED3CE1" w:rsidRPr="00ED3CE1" w:rsidRDefault="00ED3CE1" w:rsidP="00980876">
      <w:pPr>
        <w:widowControl w:val="0"/>
        <w:numPr>
          <w:ilvl w:val="0"/>
          <w:numId w:val="394"/>
        </w:numPr>
        <w:spacing w:before="120" w:after="120" w:line="240" w:lineRule="auto"/>
        <w:ind w:left="426" w:hanging="142"/>
        <w:jc w:val="both"/>
        <w:rPr>
          <w:rFonts w:ascii="Times New Roman" w:eastAsia="Times New Roman" w:hAnsi="Times New Roman" w:cs="Times New Roman"/>
          <w:bCs/>
        </w:rPr>
      </w:pPr>
      <w:r w:rsidRPr="00ED3CE1">
        <w:rPr>
          <w:rFonts w:ascii="Times New Roman" w:eastAsia="Times New Roman" w:hAnsi="Times New Roman" w:cs="Times New Roman"/>
          <w:b/>
          <w:bCs/>
        </w:rPr>
        <w:t>A tanórák száma és típusa</w:t>
      </w:r>
    </w:p>
    <w:p w:rsidR="00ED3CE1" w:rsidRPr="00ED3CE1" w:rsidRDefault="00ED3CE1" w:rsidP="00980876">
      <w:pPr>
        <w:widowControl w:val="0"/>
        <w:numPr>
          <w:ilvl w:val="1"/>
          <w:numId w:val="394"/>
        </w:numPr>
        <w:tabs>
          <w:tab w:val="num" w:pos="709"/>
          <w:tab w:val="num" w:pos="2069"/>
        </w:tabs>
        <w:spacing w:before="120" w:after="120" w:line="240" w:lineRule="auto"/>
        <w:ind w:left="851" w:hanging="425"/>
        <w:jc w:val="both"/>
        <w:rPr>
          <w:rFonts w:ascii="Times New Roman" w:eastAsia="Times New Roman" w:hAnsi="Times New Roman" w:cs="Times New Roman"/>
          <w:bCs/>
        </w:rPr>
      </w:pPr>
      <w:r w:rsidRPr="00ED3CE1">
        <w:rPr>
          <w:rFonts w:ascii="Times New Roman" w:eastAsia="Times New Roman" w:hAnsi="Times New Roman" w:cs="Times New Roman"/>
          <w:bCs/>
        </w:rPr>
        <w:t>össz óraszám/félév:</w:t>
      </w:r>
    </w:p>
    <w:p w:rsidR="00ED3CE1" w:rsidRPr="00ED3CE1" w:rsidRDefault="00ED3CE1" w:rsidP="00980876">
      <w:pPr>
        <w:widowControl w:val="0"/>
        <w:numPr>
          <w:ilvl w:val="2"/>
          <w:numId w:val="394"/>
        </w:numPr>
        <w:tabs>
          <w:tab w:val="num" w:pos="709"/>
          <w:tab w:val="num" w:pos="1134"/>
        </w:tabs>
        <w:spacing w:before="120" w:after="120" w:line="240" w:lineRule="auto"/>
        <w:ind w:left="993" w:hanging="425"/>
        <w:jc w:val="both"/>
        <w:rPr>
          <w:rFonts w:ascii="Times New Roman" w:eastAsia="Times New Roman" w:hAnsi="Times New Roman" w:cs="Times New Roman"/>
          <w:bCs/>
        </w:rPr>
      </w:pPr>
      <w:r w:rsidRPr="00ED3CE1">
        <w:rPr>
          <w:rFonts w:ascii="Times New Roman" w:eastAsia="Times New Roman" w:hAnsi="Times New Roman" w:cs="Times New Roman"/>
          <w:bCs/>
        </w:rPr>
        <w:t>nappali munkarend: 42 (28 EA + 0 SZ + 14 GY)</w:t>
      </w:r>
    </w:p>
    <w:p w:rsidR="00ED3CE1" w:rsidRPr="00ED3CE1" w:rsidRDefault="00ED3CE1" w:rsidP="00980876">
      <w:pPr>
        <w:widowControl w:val="0"/>
        <w:numPr>
          <w:ilvl w:val="2"/>
          <w:numId w:val="394"/>
        </w:numPr>
        <w:tabs>
          <w:tab w:val="num" w:pos="709"/>
          <w:tab w:val="num" w:pos="1134"/>
        </w:tabs>
        <w:spacing w:before="120" w:after="120" w:line="240" w:lineRule="auto"/>
        <w:ind w:left="993" w:hanging="425"/>
        <w:jc w:val="both"/>
        <w:rPr>
          <w:rFonts w:ascii="Times New Roman" w:eastAsia="Times New Roman" w:hAnsi="Times New Roman" w:cs="Times New Roman"/>
          <w:bCs/>
        </w:rPr>
      </w:pPr>
      <w:r w:rsidRPr="00ED3CE1">
        <w:rPr>
          <w:rFonts w:ascii="Times New Roman" w:eastAsia="Times New Roman" w:hAnsi="Times New Roman" w:cs="Times New Roman"/>
          <w:bCs/>
        </w:rPr>
        <w:t>levelező munkarend: … (… EA + … SZ + … GY)</w:t>
      </w:r>
    </w:p>
    <w:p w:rsidR="00ED3CE1" w:rsidRPr="00ED3CE1" w:rsidRDefault="00ED3CE1" w:rsidP="00980876">
      <w:pPr>
        <w:widowControl w:val="0"/>
        <w:numPr>
          <w:ilvl w:val="1"/>
          <w:numId w:val="394"/>
        </w:numPr>
        <w:tabs>
          <w:tab w:val="num" w:pos="709"/>
          <w:tab w:val="num" w:pos="2069"/>
        </w:tabs>
        <w:spacing w:before="120" w:after="120" w:line="240" w:lineRule="auto"/>
        <w:ind w:left="851" w:hanging="425"/>
        <w:jc w:val="both"/>
        <w:rPr>
          <w:rFonts w:ascii="Times New Roman" w:eastAsia="Times New Roman" w:hAnsi="Times New Roman" w:cs="Times New Roman"/>
          <w:bCs/>
        </w:rPr>
      </w:pPr>
      <w:r w:rsidRPr="00ED3CE1">
        <w:rPr>
          <w:rFonts w:ascii="Times New Roman" w:eastAsia="Times New Roman" w:hAnsi="Times New Roman" w:cs="Times New Roman"/>
          <w:bCs/>
        </w:rPr>
        <w:t>heti óraszám - nappali munkarend: 3</w:t>
      </w:r>
    </w:p>
    <w:p w:rsidR="00ED3CE1" w:rsidRPr="00ED3CE1" w:rsidRDefault="00ED3CE1" w:rsidP="00980876">
      <w:pPr>
        <w:widowControl w:val="0"/>
        <w:numPr>
          <w:ilvl w:val="1"/>
          <w:numId w:val="394"/>
        </w:numPr>
        <w:tabs>
          <w:tab w:val="num" w:pos="709"/>
          <w:tab w:val="num" w:pos="2069"/>
        </w:tabs>
        <w:spacing w:before="120" w:after="120" w:line="240" w:lineRule="auto"/>
        <w:ind w:left="851" w:hanging="425"/>
        <w:jc w:val="both"/>
        <w:rPr>
          <w:rFonts w:ascii="Times New Roman" w:eastAsia="Times New Roman" w:hAnsi="Times New Roman" w:cs="Times New Roman"/>
          <w:bCs/>
        </w:rPr>
      </w:pPr>
      <w:r w:rsidRPr="00ED3CE1">
        <w:rPr>
          <w:rFonts w:ascii="Times New Roman" w:eastAsia="Calibri" w:hAnsi="Times New Roman" w:cs="Times New Roman"/>
        </w:rPr>
        <w:t>Az ismeret átadásában alkalmazandó további sajátos módok, jellemzők: -</w:t>
      </w:r>
    </w:p>
    <w:p w:rsidR="00ED3CE1" w:rsidRPr="00ED3CE1" w:rsidRDefault="00ED3CE1" w:rsidP="00980876">
      <w:pPr>
        <w:widowControl w:val="0"/>
        <w:numPr>
          <w:ilvl w:val="0"/>
          <w:numId w:val="394"/>
        </w:numPr>
        <w:spacing w:before="120" w:after="120" w:line="240" w:lineRule="auto"/>
        <w:ind w:left="426" w:hanging="142"/>
        <w:jc w:val="both"/>
        <w:rPr>
          <w:rFonts w:ascii="Times New Roman" w:eastAsia="Times New Roman" w:hAnsi="Times New Roman" w:cs="Times New Roman"/>
          <w:bCs/>
        </w:rPr>
      </w:pPr>
      <w:r w:rsidRPr="00ED3CE1">
        <w:rPr>
          <w:rFonts w:ascii="Times New Roman" w:eastAsia="Times New Roman" w:hAnsi="Times New Roman" w:cs="Times New Roman"/>
          <w:b/>
          <w:bCs/>
        </w:rPr>
        <w:t>A tantárgy szakmai tartalma (magyarul):</w:t>
      </w:r>
      <w:r w:rsidRPr="00ED3CE1">
        <w:rPr>
          <w:rFonts w:ascii="Times New Roman" w:eastAsia="Times New Roman" w:hAnsi="Times New Roman" w:cs="Times New Roman"/>
          <w:bCs/>
        </w:rPr>
        <w:t xml:space="preserve"> </w:t>
      </w:r>
      <w:r w:rsidRPr="00ED3CE1">
        <w:rPr>
          <w:rFonts w:ascii="Times New Roman" w:eastAsia="Calibri" w:hAnsi="Times New Roman" w:cs="Times New Roman"/>
          <w:lang w:eastAsia="x-none"/>
        </w:rPr>
        <w:t>Az államháztartás és a HM fejezet kontroll rendszerének, a jogszabályi és szervezeti hierarchiája felépítésének továbbá a gazdasági elemzések rendszerének és mutatóinak bemutatása.</w:t>
      </w:r>
    </w:p>
    <w:p w:rsidR="00ED3CE1" w:rsidRPr="00ED3CE1" w:rsidRDefault="00ED3CE1" w:rsidP="00ED3CE1">
      <w:pPr>
        <w:widowControl w:val="0"/>
        <w:spacing w:before="120" w:after="120" w:line="240" w:lineRule="auto"/>
        <w:ind w:left="426"/>
        <w:jc w:val="both"/>
        <w:rPr>
          <w:rFonts w:ascii="Times New Roman" w:eastAsia="Times New Roman" w:hAnsi="Times New Roman" w:cs="Times New Roman"/>
          <w:bCs/>
          <w:lang w:val="en-GB"/>
        </w:rPr>
      </w:pPr>
      <w:r w:rsidRPr="00ED3CE1">
        <w:rPr>
          <w:rFonts w:ascii="Times New Roman" w:eastAsia="Times New Roman" w:hAnsi="Times New Roman" w:cs="Times New Roman"/>
          <w:b/>
          <w:bCs/>
        </w:rPr>
        <w:t>A tantárgy szakmai tartalma (angolul) (</w:t>
      </w:r>
      <w:r w:rsidRPr="00ED3CE1">
        <w:rPr>
          <w:rFonts w:ascii="Times New Roman" w:eastAsia="Times New Roman" w:hAnsi="Times New Roman" w:cs="Times New Roman"/>
          <w:b/>
          <w:bCs/>
          <w:lang w:val="en-US"/>
        </w:rPr>
        <w:t>Course description</w:t>
      </w:r>
      <w:r w:rsidRPr="00ED3CE1">
        <w:rPr>
          <w:rFonts w:ascii="Times New Roman" w:eastAsia="Times New Roman" w:hAnsi="Times New Roman" w:cs="Times New Roman"/>
          <w:b/>
          <w:bCs/>
        </w:rPr>
        <w:t xml:space="preserve">): </w:t>
      </w:r>
      <w:r w:rsidRPr="00ED3CE1">
        <w:rPr>
          <w:rFonts w:ascii="Times New Roman" w:eastAsia="Calibri" w:hAnsi="Times New Roman" w:cs="Times New Roman"/>
          <w:lang w:val="en-US"/>
        </w:rPr>
        <w:t>The structure of state finance and control of system. The organizational hierarchy of the general government and the presentation of system in economic analyzes and indicators.</w:t>
      </w:r>
      <w:r w:rsidRPr="00ED3CE1">
        <w:rPr>
          <w:rFonts w:ascii="Times New Roman" w:eastAsia="Times New Roman" w:hAnsi="Times New Roman" w:cs="Times New Roman"/>
          <w:bCs/>
          <w:lang w:val="en-GB"/>
        </w:rPr>
        <w:t xml:space="preserve"> </w:t>
      </w:r>
    </w:p>
    <w:p w:rsidR="00ED3CE1" w:rsidRPr="00ED3CE1" w:rsidRDefault="00ED3CE1" w:rsidP="00980876">
      <w:pPr>
        <w:widowControl w:val="0"/>
        <w:numPr>
          <w:ilvl w:val="0"/>
          <w:numId w:val="394"/>
        </w:numPr>
        <w:tabs>
          <w:tab w:val="num" w:pos="426"/>
        </w:tabs>
        <w:spacing w:before="120" w:after="120" w:line="240" w:lineRule="auto"/>
        <w:contextualSpacing/>
        <w:jc w:val="both"/>
        <w:rPr>
          <w:rFonts w:ascii="Times New Roman" w:eastAsia="Times New Roman" w:hAnsi="Times New Roman" w:cs="Times New Roman"/>
          <w:bCs/>
        </w:rPr>
      </w:pPr>
      <w:r w:rsidRPr="00ED3CE1">
        <w:rPr>
          <w:rFonts w:ascii="Times New Roman" w:eastAsia="Times New Roman" w:hAnsi="Times New Roman" w:cs="Times New Roman"/>
          <w:b/>
          <w:bCs/>
        </w:rPr>
        <w:t xml:space="preserve">Elérendő kompetenciák (magyarul): </w:t>
      </w:r>
    </w:p>
    <w:p w:rsidR="00ED3CE1" w:rsidRPr="00ED3CE1" w:rsidRDefault="00ED3CE1" w:rsidP="00ED3CE1">
      <w:pPr>
        <w:widowControl w:val="0"/>
        <w:spacing w:before="120" w:after="120" w:line="240" w:lineRule="auto"/>
        <w:ind w:left="426"/>
        <w:jc w:val="both"/>
        <w:rPr>
          <w:rFonts w:ascii="Times New Roman" w:eastAsia="Times New Roman" w:hAnsi="Times New Roman" w:cs="Times New Roman"/>
          <w:bCs/>
        </w:rPr>
      </w:pPr>
      <w:r w:rsidRPr="00ED3CE1">
        <w:rPr>
          <w:rFonts w:ascii="Times New Roman" w:eastAsia="Times New Roman" w:hAnsi="Times New Roman" w:cs="Times New Roman"/>
          <w:b/>
          <w:bCs/>
        </w:rPr>
        <w:t>Tudása:</w:t>
      </w:r>
      <w:r w:rsidRPr="00ED3CE1">
        <w:rPr>
          <w:rFonts w:ascii="Times New Roman" w:eastAsia="Times New Roman" w:hAnsi="Times New Roman" w:cs="Times New Roman"/>
          <w:bCs/>
        </w:rPr>
        <w:t xml:space="preserve"> </w:t>
      </w:r>
    </w:p>
    <w:p w:rsidR="00ED3CE1" w:rsidRPr="00ED3CE1" w:rsidRDefault="00ED3CE1" w:rsidP="00980876">
      <w:pPr>
        <w:widowControl w:val="0"/>
        <w:numPr>
          <w:ilvl w:val="0"/>
          <w:numId w:val="393"/>
        </w:numPr>
        <w:spacing w:before="120" w:after="120" w:line="240" w:lineRule="auto"/>
        <w:ind w:hanging="219"/>
        <w:contextualSpacing/>
        <w:jc w:val="both"/>
        <w:rPr>
          <w:rFonts w:ascii="Times New Roman" w:eastAsia="Times New Roman" w:hAnsi="Times New Roman" w:cs="Times New Roman"/>
          <w:bCs/>
        </w:rPr>
      </w:pPr>
      <w:r w:rsidRPr="00ED3CE1">
        <w:rPr>
          <w:rFonts w:ascii="Times New Roman" w:eastAsia="Calibri" w:hAnsi="Times New Roman" w:cs="Times New Roman"/>
        </w:rPr>
        <w:t>Ismeri a szakfeladatához kapcsolódó jogszabályokat, közjogi szervezetszabályozó eszközöket.</w:t>
      </w:r>
    </w:p>
    <w:p w:rsidR="00ED3CE1" w:rsidRPr="00ED3CE1" w:rsidRDefault="00ED3CE1" w:rsidP="00ED3CE1">
      <w:pPr>
        <w:widowControl w:val="0"/>
        <w:spacing w:before="120" w:after="120" w:line="240" w:lineRule="auto"/>
        <w:ind w:left="426"/>
        <w:jc w:val="both"/>
        <w:rPr>
          <w:rFonts w:ascii="Times New Roman" w:eastAsia="Times New Roman" w:hAnsi="Times New Roman" w:cs="Times New Roman"/>
          <w:bCs/>
        </w:rPr>
      </w:pPr>
      <w:r w:rsidRPr="00ED3CE1">
        <w:rPr>
          <w:rFonts w:ascii="Times New Roman" w:eastAsia="Times New Roman" w:hAnsi="Times New Roman" w:cs="Times New Roman"/>
          <w:b/>
          <w:bCs/>
        </w:rPr>
        <w:t>Képességei:</w:t>
      </w:r>
      <w:r w:rsidRPr="00ED3CE1">
        <w:rPr>
          <w:rFonts w:ascii="Times New Roman" w:eastAsia="Times New Roman" w:hAnsi="Times New Roman" w:cs="Times New Roman"/>
          <w:bCs/>
        </w:rPr>
        <w:t xml:space="preserve"> </w:t>
      </w:r>
    </w:p>
    <w:p w:rsidR="00ED3CE1" w:rsidRPr="00ED3CE1" w:rsidRDefault="00ED3CE1" w:rsidP="00980876">
      <w:pPr>
        <w:widowControl w:val="0"/>
        <w:numPr>
          <w:ilvl w:val="0"/>
          <w:numId w:val="393"/>
        </w:numPr>
        <w:spacing w:before="120" w:after="120" w:line="240" w:lineRule="auto"/>
        <w:ind w:hanging="219"/>
        <w:contextualSpacing/>
        <w:jc w:val="both"/>
        <w:rPr>
          <w:rFonts w:ascii="Times New Roman" w:eastAsia="Times New Roman" w:hAnsi="Times New Roman" w:cs="Times New Roman"/>
          <w:bCs/>
        </w:rPr>
      </w:pPr>
      <w:r w:rsidRPr="00ED3CE1">
        <w:rPr>
          <w:rFonts w:ascii="Times New Roman" w:eastAsia="Calibri" w:hAnsi="Times New Roman" w:cs="Times New Roman"/>
        </w:rPr>
        <w:t>Képes valós és megbízható képet alkotni a gazdálkodó szervezetek vagyonáról, pénzügyi helyzetéről, gazdálkodásának szabályszerűségéről.</w:t>
      </w:r>
      <w:r w:rsidRPr="00ED3CE1">
        <w:rPr>
          <w:rFonts w:ascii="Times New Roman" w:eastAsia="Times New Roman" w:hAnsi="Times New Roman" w:cs="Times New Roman"/>
          <w:bCs/>
        </w:rPr>
        <w:t xml:space="preserve"> </w:t>
      </w:r>
    </w:p>
    <w:p w:rsidR="00ED3CE1" w:rsidRPr="00ED3CE1" w:rsidRDefault="00ED3CE1" w:rsidP="00ED3CE1">
      <w:pPr>
        <w:autoSpaceDE w:val="0"/>
        <w:autoSpaceDN w:val="0"/>
        <w:adjustRightInd w:val="0"/>
        <w:spacing w:after="0" w:line="240" w:lineRule="auto"/>
        <w:ind w:left="426"/>
        <w:jc w:val="both"/>
        <w:rPr>
          <w:rFonts w:ascii="Times New Roman" w:eastAsia="Times New Roman" w:hAnsi="Times New Roman" w:cs="Times New Roman"/>
          <w:bCs/>
        </w:rPr>
      </w:pPr>
      <w:r w:rsidRPr="00ED3CE1">
        <w:rPr>
          <w:rFonts w:ascii="Times New Roman" w:eastAsia="Times New Roman" w:hAnsi="Times New Roman" w:cs="Times New Roman"/>
          <w:b/>
          <w:bCs/>
        </w:rPr>
        <w:t>Attitűdje:</w:t>
      </w:r>
      <w:r w:rsidRPr="00ED3CE1">
        <w:rPr>
          <w:rFonts w:ascii="Times New Roman" w:eastAsia="Times New Roman" w:hAnsi="Times New Roman" w:cs="Times New Roman"/>
          <w:bCs/>
        </w:rPr>
        <w:t xml:space="preserve"> </w:t>
      </w:r>
    </w:p>
    <w:p w:rsidR="00ED3CE1" w:rsidRPr="00ED3CE1" w:rsidRDefault="00ED3CE1" w:rsidP="00ED3CE1">
      <w:pPr>
        <w:autoSpaceDE w:val="0"/>
        <w:autoSpaceDN w:val="0"/>
        <w:adjustRightInd w:val="0"/>
        <w:spacing w:after="0" w:line="240" w:lineRule="auto"/>
        <w:ind w:left="709" w:hanging="142"/>
        <w:jc w:val="both"/>
        <w:rPr>
          <w:rFonts w:ascii="Times New Roman" w:eastAsia="Calibri" w:hAnsi="Times New Roman" w:cs="Times New Roman"/>
        </w:rPr>
      </w:pPr>
      <w:r w:rsidRPr="00ED3CE1">
        <w:rPr>
          <w:rFonts w:ascii="Times New Roman" w:eastAsia="Times New Roman" w:hAnsi="Times New Roman" w:cs="Times New Roman"/>
          <w:bCs/>
        </w:rPr>
        <w:t>-</w:t>
      </w:r>
      <w:r w:rsidRPr="00ED3CE1">
        <w:rPr>
          <w:rFonts w:ascii="Times New Roman" w:eastAsia="Times New Roman" w:hAnsi="Times New Roman" w:cs="Times New Roman"/>
          <w:bCs/>
        </w:rPr>
        <w:tab/>
      </w:r>
      <w:r w:rsidRPr="00ED3CE1">
        <w:rPr>
          <w:rFonts w:ascii="Times New Roman" w:eastAsia="Calibri" w:hAnsi="Times New Roman" w:cs="Times New Roman"/>
        </w:rPr>
        <w:t>A pénzügyi területen elvárt minőségi munkavégzés érdekében problémaérzékeny, proaktív magatartást tanúsít, csoportos feladatvégzés esetén konstruktív, együttműködő, kezdeményező.</w:t>
      </w:r>
    </w:p>
    <w:p w:rsidR="00ED3CE1" w:rsidRPr="00ED3CE1" w:rsidRDefault="00ED3CE1" w:rsidP="00ED3CE1">
      <w:pPr>
        <w:widowControl w:val="0"/>
        <w:spacing w:before="120" w:after="120" w:line="240" w:lineRule="auto"/>
        <w:ind w:left="426"/>
        <w:jc w:val="both"/>
        <w:rPr>
          <w:rFonts w:ascii="Times New Roman" w:eastAsia="Times New Roman" w:hAnsi="Times New Roman" w:cs="Times New Roman"/>
          <w:bCs/>
        </w:rPr>
      </w:pPr>
      <w:r w:rsidRPr="00ED3CE1">
        <w:rPr>
          <w:rFonts w:ascii="Times New Roman" w:eastAsia="Times New Roman" w:hAnsi="Times New Roman" w:cs="Times New Roman"/>
          <w:b/>
          <w:bCs/>
        </w:rPr>
        <w:t>Autonómiája és felelőssége:</w:t>
      </w:r>
      <w:r w:rsidRPr="00ED3CE1">
        <w:rPr>
          <w:rFonts w:ascii="Times New Roman" w:eastAsia="Times New Roman" w:hAnsi="Times New Roman" w:cs="Times New Roman"/>
          <w:bCs/>
        </w:rPr>
        <w:t xml:space="preserve"> </w:t>
      </w:r>
    </w:p>
    <w:p w:rsidR="00ED3CE1" w:rsidRPr="00ED3CE1" w:rsidRDefault="00ED3CE1" w:rsidP="00980876">
      <w:pPr>
        <w:widowControl w:val="0"/>
        <w:numPr>
          <w:ilvl w:val="0"/>
          <w:numId w:val="393"/>
        </w:numPr>
        <w:spacing w:before="120" w:after="120" w:line="240" w:lineRule="auto"/>
        <w:ind w:hanging="219"/>
        <w:contextualSpacing/>
        <w:jc w:val="both"/>
        <w:rPr>
          <w:rFonts w:ascii="Times New Roman" w:eastAsia="Times New Roman" w:hAnsi="Times New Roman" w:cs="Times New Roman"/>
          <w:bCs/>
        </w:rPr>
      </w:pPr>
      <w:r w:rsidRPr="00ED3CE1">
        <w:rPr>
          <w:rFonts w:ascii="Times New Roman" w:eastAsia="Calibri" w:hAnsi="Times New Roman" w:cs="Times New Roman"/>
        </w:rPr>
        <w:t>Felelősséget vállal beosztottjai szakmai tevékenységéért, valamint a rábízott anyagokért és eszközökért.</w:t>
      </w:r>
    </w:p>
    <w:p w:rsidR="005D6876" w:rsidRDefault="005D6876">
      <w:pPr>
        <w:spacing w:after="200" w:line="276" w:lineRule="auto"/>
        <w:rPr>
          <w:rFonts w:ascii="Times New Roman" w:eastAsia="Times New Roman" w:hAnsi="Times New Roman" w:cs="Times New Roman"/>
          <w:b/>
          <w:bCs/>
        </w:rPr>
      </w:pPr>
      <w:r>
        <w:rPr>
          <w:rFonts w:ascii="Times New Roman" w:eastAsia="Times New Roman" w:hAnsi="Times New Roman" w:cs="Times New Roman"/>
          <w:b/>
          <w:bCs/>
        </w:rPr>
        <w:br w:type="page"/>
      </w:r>
    </w:p>
    <w:p w:rsidR="00ED3CE1" w:rsidRPr="00ED3CE1" w:rsidRDefault="00ED3CE1" w:rsidP="00ED3CE1">
      <w:pPr>
        <w:widowControl w:val="0"/>
        <w:spacing w:before="120" w:after="120" w:line="240" w:lineRule="auto"/>
        <w:ind w:left="426"/>
        <w:jc w:val="both"/>
        <w:rPr>
          <w:rFonts w:ascii="Times New Roman" w:eastAsia="Times New Roman" w:hAnsi="Times New Roman" w:cs="Times New Roman"/>
          <w:b/>
          <w:bCs/>
          <w:lang w:val="en-US"/>
        </w:rPr>
      </w:pPr>
      <w:r w:rsidRPr="00ED3CE1">
        <w:rPr>
          <w:rFonts w:ascii="Times New Roman" w:eastAsia="Times New Roman" w:hAnsi="Times New Roman" w:cs="Times New Roman"/>
          <w:b/>
          <w:bCs/>
        </w:rPr>
        <w:lastRenderedPageBreak/>
        <w:t>Elérendő kompetenciák (angolul) (</w:t>
      </w:r>
      <w:r w:rsidRPr="00ED3CE1">
        <w:rPr>
          <w:rFonts w:ascii="Times New Roman" w:eastAsia="Times New Roman" w:hAnsi="Times New Roman" w:cs="Times New Roman"/>
          <w:b/>
          <w:bCs/>
          <w:lang w:val="en-US"/>
        </w:rPr>
        <w:t xml:space="preserve">Competences – English): </w:t>
      </w:r>
    </w:p>
    <w:p w:rsidR="00ED3CE1" w:rsidRPr="00ED3CE1" w:rsidRDefault="00ED3CE1" w:rsidP="00ED3CE1">
      <w:pPr>
        <w:widowControl w:val="0"/>
        <w:spacing w:before="120" w:after="120" w:line="240" w:lineRule="auto"/>
        <w:ind w:left="426"/>
        <w:jc w:val="both"/>
        <w:rPr>
          <w:rFonts w:ascii="Times New Roman" w:eastAsia="Times New Roman" w:hAnsi="Times New Roman" w:cs="Times New Roman"/>
          <w:lang w:val="en-GB"/>
        </w:rPr>
      </w:pPr>
      <w:r w:rsidRPr="00ED3CE1">
        <w:rPr>
          <w:rFonts w:ascii="Times New Roman" w:eastAsia="Times New Roman" w:hAnsi="Times New Roman" w:cs="Times New Roman"/>
          <w:b/>
          <w:lang w:val="en-GB"/>
        </w:rPr>
        <w:t>Knowledge</w:t>
      </w:r>
      <w:r w:rsidRPr="00ED3CE1">
        <w:rPr>
          <w:rFonts w:ascii="Times New Roman" w:eastAsia="Times New Roman" w:hAnsi="Times New Roman" w:cs="Times New Roman"/>
          <w:lang w:val="en-GB"/>
        </w:rPr>
        <w:t xml:space="preserve">: </w:t>
      </w:r>
    </w:p>
    <w:p w:rsidR="00ED3CE1" w:rsidRPr="00ED3CE1" w:rsidRDefault="00ED3CE1" w:rsidP="00980876">
      <w:pPr>
        <w:widowControl w:val="0"/>
        <w:numPr>
          <w:ilvl w:val="0"/>
          <w:numId w:val="393"/>
        </w:numPr>
        <w:spacing w:before="120" w:after="120" w:line="240" w:lineRule="auto"/>
        <w:ind w:hanging="219"/>
        <w:contextualSpacing/>
        <w:jc w:val="both"/>
        <w:rPr>
          <w:rFonts w:ascii="Times New Roman" w:eastAsia="Times New Roman" w:hAnsi="Times New Roman" w:cs="Times New Roman"/>
          <w:lang w:val="en-GB"/>
        </w:rPr>
      </w:pPr>
      <w:r w:rsidRPr="00ED3CE1">
        <w:rPr>
          <w:rFonts w:ascii="Times New Roman" w:eastAsia="Times New Roman" w:hAnsi="Times New Roman" w:cs="Times New Roman"/>
          <w:bCs/>
        </w:rPr>
        <w:t>He / she knows the laws related to his / her professional task and the tools of public organization regulation.</w:t>
      </w:r>
    </w:p>
    <w:p w:rsidR="00ED3CE1" w:rsidRPr="00ED3CE1" w:rsidRDefault="00ED3CE1" w:rsidP="00ED3CE1">
      <w:pPr>
        <w:widowControl w:val="0"/>
        <w:spacing w:before="120" w:after="120" w:line="240" w:lineRule="auto"/>
        <w:ind w:left="426"/>
        <w:jc w:val="both"/>
        <w:rPr>
          <w:rFonts w:ascii="Times New Roman" w:eastAsia="Times New Roman" w:hAnsi="Times New Roman" w:cs="Times New Roman"/>
          <w:lang w:val="en-GB"/>
        </w:rPr>
      </w:pPr>
      <w:r w:rsidRPr="00ED3CE1">
        <w:rPr>
          <w:rFonts w:ascii="Times New Roman" w:eastAsia="Times New Roman" w:hAnsi="Times New Roman" w:cs="Times New Roman"/>
          <w:b/>
          <w:lang w:val="en-GB"/>
        </w:rPr>
        <w:t>Capabilities</w:t>
      </w:r>
      <w:r w:rsidRPr="00ED3CE1">
        <w:rPr>
          <w:rFonts w:ascii="Times New Roman" w:eastAsia="Times New Roman" w:hAnsi="Times New Roman" w:cs="Times New Roman"/>
          <w:lang w:val="en-GB"/>
        </w:rPr>
        <w:t>:</w:t>
      </w:r>
    </w:p>
    <w:p w:rsidR="00ED3CE1" w:rsidRPr="00ED3CE1" w:rsidRDefault="00ED3CE1" w:rsidP="00980876">
      <w:pPr>
        <w:widowControl w:val="0"/>
        <w:numPr>
          <w:ilvl w:val="0"/>
          <w:numId w:val="393"/>
        </w:numPr>
        <w:spacing w:before="120" w:after="120" w:line="240" w:lineRule="auto"/>
        <w:ind w:hanging="219"/>
        <w:contextualSpacing/>
        <w:jc w:val="both"/>
        <w:rPr>
          <w:rFonts w:ascii="Times New Roman" w:eastAsia="Times New Roman" w:hAnsi="Times New Roman" w:cs="Times New Roman"/>
          <w:lang w:val="en-GB"/>
        </w:rPr>
      </w:pPr>
      <w:r w:rsidRPr="00ED3CE1">
        <w:rPr>
          <w:rFonts w:ascii="Times New Roman" w:eastAsia="Times New Roman" w:hAnsi="Times New Roman" w:cs="Times New Roman"/>
          <w:lang w:val="en-GB"/>
        </w:rPr>
        <w:t>He/She is able to give a real and reliable picture of the assets, financial position and regularity of the business organizations.</w:t>
      </w:r>
    </w:p>
    <w:p w:rsidR="00ED3CE1" w:rsidRPr="00ED3CE1" w:rsidRDefault="00ED3CE1" w:rsidP="00ED3C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lang w:val="en-GB"/>
        </w:rPr>
      </w:pPr>
      <w:r w:rsidRPr="00ED3CE1">
        <w:rPr>
          <w:rFonts w:ascii="Times New Roman" w:eastAsia="Times New Roman" w:hAnsi="Times New Roman" w:cs="Times New Roman"/>
          <w:b/>
          <w:lang w:val="en-GB"/>
        </w:rPr>
        <w:t>Attitude:</w:t>
      </w:r>
      <w:r w:rsidRPr="00ED3CE1">
        <w:rPr>
          <w:rFonts w:ascii="Times New Roman" w:eastAsia="Times New Roman" w:hAnsi="Times New Roman" w:cs="Times New Roman"/>
          <w:lang w:val="en-GB"/>
        </w:rPr>
        <w:t xml:space="preserve"> </w:t>
      </w:r>
    </w:p>
    <w:p w:rsidR="00ED3CE1" w:rsidRPr="00ED3CE1" w:rsidRDefault="00ED3CE1" w:rsidP="00980876">
      <w:pPr>
        <w:numPr>
          <w:ilvl w:val="0"/>
          <w:numId w:val="3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19"/>
        <w:contextualSpacing/>
        <w:jc w:val="both"/>
        <w:rPr>
          <w:rFonts w:ascii="Times New Roman" w:eastAsia="Times New Roman" w:hAnsi="Times New Roman" w:cs="Times New Roman"/>
          <w:lang w:val="en-GB"/>
        </w:rPr>
      </w:pPr>
      <w:r w:rsidRPr="00ED3CE1">
        <w:rPr>
          <w:rFonts w:ascii="Times New Roman" w:eastAsia="Times New Roman" w:hAnsi="Times New Roman" w:cs="Times New Roman"/>
          <w:lang w:val="en-GB"/>
        </w:rPr>
        <w:t>In order to achieve the expected quality work in the financial field, he / she exhibits problem-sensitive, proactive behavior, and is constructive, cooperative and proactive in case of group tasks.</w:t>
      </w:r>
    </w:p>
    <w:p w:rsidR="00ED3CE1" w:rsidRPr="00ED3CE1" w:rsidRDefault="00ED3CE1" w:rsidP="00ED3CE1">
      <w:pPr>
        <w:widowControl w:val="0"/>
        <w:spacing w:before="120" w:after="120" w:line="240" w:lineRule="auto"/>
        <w:ind w:left="426"/>
        <w:jc w:val="both"/>
        <w:rPr>
          <w:rFonts w:ascii="Times New Roman" w:eastAsia="Times New Roman" w:hAnsi="Times New Roman" w:cs="Times New Roman"/>
          <w:b/>
          <w:lang w:val="en-GB"/>
        </w:rPr>
      </w:pPr>
      <w:r w:rsidRPr="00ED3CE1">
        <w:rPr>
          <w:rFonts w:ascii="Times New Roman" w:eastAsia="Times New Roman" w:hAnsi="Times New Roman" w:cs="Times New Roman"/>
          <w:b/>
          <w:lang w:val="en-GB"/>
        </w:rPr>
        <w:t xml:space="preserve">Autonomy and responsibility: </w:t>
      </w:r>
    </w:p>
    <w:p w:rsidR="00ED3CE1" w:rsidRPr="00ED3CE1" w:rsidRDefault="00ED3CE1" w:rsidP="00980876">
      <w:pPr>
        <w:widowControl w:val="0"/>
        <w:numPr>
          <w:ilvl w:val="0"/>
          <w:numId w:val="393"/>
        </w:numPr>
        <w:spacing w:before="120" w:after="120" w:line="240" w:lineRule="auto"/>
        <w:ind w:hanging="219"/>
        <w:contextualSpacing/>
        <w:jc w:val="both"/>
        <w:rPr>
          <w:rFonts w:ascii="Times New Roman" w:eastAsia="Times New Roman" w:hAnsi="Times New Roman" w:cs="Times New Roman"/>
          <w:lang w:val="en-GB"/>
        </w:rPr>
      </w:pPr>
      <w:r w:rsidRPr="00ED3CE1">
        <w:rPr>
          <w:rFonts w:ascii="Times New Roman" w:eastAsia="Times New Roman" w:hAnsi="Times New Roman" w:cs="Times New Roman"/>
          <w:lang w:val="en-GB"/>
        </w:rPr>
        <w:t>He/She takes</w:t>
      </w:r>
      <w:r w:rsidRPr="00ED3CE1">
        <w:rPr>
          <w:rFonts w:ascii="Times New Roman" w:eastAsia="Times New Roman" w:hAnsi="Times New Roman" w:cs="Times New Roman"/>
          <w:b/>
          <w:lang w:val="en-GB"/>
        </w:rPr>
        <w:t xml:space="preserve"> </w:t>
      </w:r>
      <w:r w:rsidRPr="00ED3CE1">
        <w:rPr>
          <w:rFonts w:ascii="Times New Roman" w:eastAsia="Times New Roman" w:hAnsi="Times New Roman" w:cs="Times New Roman"/>
          <w:lang w:val="en-GB"/>
        </w:rPr>
        <w:t>responsibility for the professional activities of his/her subordinates and for the materials and equipment entrusted to him/her.</w:t>
      </w:r>
    </w:p>
    <w:p w:rsidR="00ED3CE1" w:rsidRPr="00ED3CE1" w:rsidRDefault="00ED3CE1" w:rsidP="00980876">
      <w:pPr>
        <w:widowControl w:val="0"/>
        <w:numPr>
          <w:ilvl w:val="0"/>
          <w:numId w:val="394"/>
        </w:numPr>
        <w:spacing w:before="120" w:after="120" w:line="240" w:lineRule="auto"/>
        <w:ind w:hanging="436"/>
        <w:jc w:val="both"/>
        <w:rPr>
          <w:rFonts w:ascii="Times New Roman" w:eastAsia="Times New Roman" w:hAnsi="Times New Roman" w:cs="Times New Roman"/>
          <w:bCs/>
        </w:rPr>
      </w:pPr>
      <w:r w:rsidRPr="00ED3CE1">
        <w:rPr>
          <w:rFonts w:ascii="Times New Roman" w:eastAsia="Times New Roman" w:hAnsi="Times New Roman" w:cs="Times New Roman"/>
          <w:b/>
          <w:bCs/>
        </w:rPr>
        <w:t xml:space="preserve">Előtanulmányi követelmények: </w:t>
      </w:r>
      <w:r w:rsidRPr="00ED3CE1">
        <w:rPr>
          <w:rFonts w:ascii="Times New Roman" w:eastAsia="Times New Roman" w:hAnsi="Times New Roman" w:cs="Times New Roman"/>
          <w:bCs/>
        </w:rPr>
        <w:t>Pénzügyi-gazdasági ellenőrzés alapjai (HKHPKA511)</w:t>
      </w:r>
    </w:p>
    <w:p w:rsidR="00ED3CE1" w:rsidRPr="00ED3CE1" w:rsidRDefault="00ED3CE1" w:rsidP="00980876">
      <w:pPr>
        <w:widowControl w:val="0"/>
        <w:numPr>
          <w:ilvl w:val="0"/>
          <w:numId w:val="394"/>
        </w:numPr>
        <w:spacing w:before="120" w:after="120" w:line="240" w:lineRule="auto"/>
        <w:ind w:left="426" w:hanging="142"/>
        <w:jc w:val="both"/>
        <w:rPr>
          <w:rFonts w:ascii="Times New Roman" w:eastAsia="Times New Roman" w:hAnsi="Times New Roman" w:cs="Times New Roman"/>
          <w:b/>
          <w:bCs/>
        </w:rPr>
      </w:pPr>
      <w:r w:rsidRPr="00ED3CE1">
        <w:rPr>
          <w:rFonts w:ascii="Times New Roman" w:eastAsia="Times New Roman" w:hAnsi="Times New Roman" w:cs="Times New Roman"/>
          <w:b/>
          <w:bCs/>
        </w:rPr>
        <w:t>A tantárgy tananyagának leírása, tematika. Description of the subject, curriculum (magyarul, angolul - English):</w:t>
      </w:r>
    </w:p>
    <w:p w:rsidR="00ED3CE1" w:rsidRPr="00ED3CE1" w:rsidRDefault="00ED3CE1" w:rsidP="00980876">
      <w:pPr>
        <w:widowControl w:val="0"/>
        <w:numPr>
          <w:ilvl w:val="1"/>
          <w:numId w:val="394"/>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ED3CE1">
        <w:rPr>
          <w:rFonts w:ascii="Times New Roman" w:eastAsia="Times New Roman" w:hAnsi="Times New Roman" w:cs="Times New Roman"/>
          <w:kern w:val="2"/>
        </w:rPr>
        <w:t xml:space="preserve">Államháztartás ellenőrzési rendszere [külső (törvényhozói) ellenőrzése, kormányzati szintű ellenőrzés, szervezeti szintű kontrollok (államháztartás belső kontroll rendszere)]. </w:t>
      </w:r>
      <w:r w:rsidRPr="00ED3CE1">
        <w:rPr>
          <w:rFonts w:ascii="Times New Roman" w:eastAsia="Times New Roman" w:hAnsi="Times New Roman" w:cs="Times New Roman"/>
          <w:i/>
          <w:kern w:val="2"/>
        </w:rPr>
        <w:t>(The structure of state control system (legislative control, goverment control, structure of internal control of public finances).</w:t>
      </w:r>
    </w:p>
    <w:p w:rsidR="00ED3CE1" w:rsidRPr="00ED3CE1" w:rsidRDefault="00ED3CE1" w:rsidP="00980876">
      <w:pPr>
        <w:widowControl w:val="0"/>
        <w:numPr>
          <w:ilvl w:val="1"/>
          <w:numId w:val="394"/>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ED3CE1">
        <w:rPr>
          <w:rFonts w:ascii="Times New Roman" w:eastAsia="Times New Roman" w:hAnsi="Times New Roman" w:cs="Times New Roman"/>
          <w:kern w:val="2"/>
        </w:rPr>
        <w:t xml:space="preserve">A nemzetközi belső ellenőrzési alapelvek, Magyarország belső ellenőrzési elvei, belső ellenőrzési standardok (normák). </w:t>
      </w:r>
      <w:r w:rsidRPr="00ED3CE1">
        <w:rPr>
          <w:rFonts w:ascii="Times New Roman" w:eastAsia="Times New Roman" w:hAnsi="Times New Roman" w:cs="Times New Roman"/>
          <w:i/>
          <w:kern w:val="2"/>
        </w:rPr>
        <w:t>(International internal control principles, hungarian internal control principles.)</w:t>
      </w:r>
    </w:p>
    <w:p w:rsidR="00ED3CE1" w:rsidRPr="00ED3CE1" w:rsidRDefault="00ED3CE1" w:rsidP="00980876">
      <w:pPr>
        <w:widowControl w:val="0"/>
        <w:numPr>
          <w:ilvl w:val="1"/>
          <w:numId w:val="394"/>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ED3CE1">
        <w:rPr>
          <w:rFonts w:ascii="Times New Roman" w:eastAsia="Times New Roman" w:hAnsi="Times New Roman" w:cs="Times New Roman"/>
          <w:kern w:val="2"/>
        </w:rPr>
        <w:t xml:space="preserve">A költségvetési szervek államháztartási belső ellenőrzésének megszervezése. </w:t>
      </w:r>
      <w:r w:rsidRPr="00ED3CE1">
        <w:rPr>
          <w:rFonts w:ascii="Times New Roman" w:eastAsia="Times New Roman" w:hAnsi="Times New Roman" w:cs="Times New Roman"/>
          <w:i/>
          <w:kern w:val="2"/>
        </w:rPr>
        <w:t>(Organizing of internal auditing of budgetary organization.)</w:t>
      </w:r>
    </w:p>
    <w:p w:rsidR="00ED3CE1" w:rsidRPr="00ED3CE1" w:rsidRDefault="00ED3CE1" w:rsidP="00980876">
      <w:pPr>
        <w:widowControl w:val="0"/>
        <w:numPr>
          <w:ilvl w:val="1"/>
          <w:numId w:val="394"/>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ED3CE1">
        <w:rPr>
          <w:rFonts w:ascii="Times New Roman" w:eastAsia="Times New Roman" w:hAnsi="Times New Roman" w:cs="Times New Roman"/>
          <w:kern w:val="2"/>
        </w:rPr>
        <w:t xml:space="preserve">A költségvetési szervek államháztartási belső ellenőrzésének munkaszakaszai (tervezés, ellenőrzés előkészítése, ellenőrzés végrehajtása és írásba foglalása). </w:t>
      </w:r>
      <w:r w:rsidRPr="00ED3CE1">
        <w:rPr>
          <w:rFonts w:ascii="Times New Roman" w:eastAsia="Times New Roman" w:hAnsi="Times New Roman" w:cs="Times New Roman"/>
          <w:i/>
          <w:kern w:val="2"/>
        </w:rPr>
        <w:t>(Phases of internal control of budgetary organization (planning, preparaion, implementation,and making reports))</w:t>
      </w:r>
      <w:r w:rsidRPr="00ED3CE1">
        <w:rPr>
          <w:rFonts w:ascii="Times New Roman" w:eastAsia="Times New Roman" w:hAnsi="Times New Roman" w:cs="Times New Roman"/>
          <w:kern w:val="2"/>
        </w:rPr>
        <w:t>.</w:t>
      </w:r>
    </w:p>
    <w:p w:rsidR="00ED3CE1" w:rsidRPr="00ED3CE1" w:rsidRDefault="00ED3CE1" w:rsidP="00980876">
      <w:pPr>
        <w:widowControl w:val="0"/>
        <w:numPr>
          <w:ilvl w:val="1"/>
          <w:numId w:val="394"/>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ED3CE1">
        <w:rPr>
          <w:rFonts w:ascii="Times New Roman" w:eastAsia="Times New Roman" w:hAnsi="Times New Roman" w:cs="Times New Roman"/>
          <w:kern w:val="2"/>
        </w:rPr>
        <w:t xml:space="preserve">Az ellenőrzöttek és az ellenőrök jogai, kötelességei és felelőssége. </w:t>
      </w:r>
      <w:r w:rsidRPr="00ED3CE1">
        <w:rPr>
          <w:rFonts w:ascii="Times New Roman" w:eastAsia="Times New Roman" w:hAnsi="Times New Roman" w:cs="Times New Roman"/>
          <w:i/>
          <w:kern w:val="2"/>
        </w:rPr>
        <w:t>(Rights, obligations and responsibilities of inspectors and controlled.)</w:t>
      </w:r>
    </w:p>
    <w:p w:rsidR="00ED3CE1" w:rsidRPr="00ED3CE1" w:rsidRDefault="00ED3CE1" w:rsidP="00980876">
      <w:pPr>
        <w:widowControl w:val="0"/>
        <w:numPr>
          <w:ilvl w:val="1"/>
          <w:numId w:val="394"/>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ED3CE1">
        <w:rPr>
          <w:rFonts w:ascii="Times New Roman" w:eastAsia="Times New Roman" w:hAnsi="Times New Roman" w:cs="Times New Roman"/>
          <w:kern w:val="2"/>
        </w:rPr>
        <w:t>Az államháztartás egyes szervezeti elemeinek ellenőrzési, illetve kontroll tevékenysége (részletesen: ÁSZ, MÁK, KEHI</w:t>
      </w:r>
      <w:r w:rsidRPr="00ED3CE1">
        <w:rPr>
          <w:rFonts w:ascii="Times New Roman" w:eastAsia="Times New Roman" w:hAnsi="Times New Roman" w:cs="Times New Roman"/>
          <w:i/>
          <w:kern w:val="2"/>
        </w:rPr>
        <w:t>). (Control activity of the organization elements of state finance and control system.)</w:t>
      </w:r>
    </w:p>
    <w:p w:rsidR="00ED3CE1" w:rsidRPr="00ED3CE1" w:rsidRDefault="00ED3CE1" w:rsidP="00980876">
      <w:pPr>
        <w:widowControl w:val="0"/>
        <w:numPr>
          <w:ilvl w:val="1"/>
          <w:numId w:val="394"/>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ED3CE1">
        <w:rPr>
          <w:rFonts w:ascii="Times New Roman" w:eastAsia="Times New Roman" w:hAnsi="Times New Roman" w:cs="Times New Roman"/>
          <w:kern w:val="2"/>
        </w:rPr>
        <w:t xml:space="preserve">A gazdasági elemzések célja, korlátai, fajtái és módszertana. </w:t>
      </w:r>
      <w:r w:rsidRPr="00ED3CE1">
        <w:rPr>
          <w:rFonts w:ascii="Times New Roman" w:eastAsia="Times New Roman" w:hAnsi="Times New Roman" w:cs="Times New Roman"/>
          <w:i/>
          <w:kern w:val="2"/>
        </w:rPr>
        <w:t>(Purpose, limits, types and methodology of economic analysis)</w:t>
      </w:r>
    </w:p>
    <w:p w:rsidR="00ED3CE1" w:rsidRPr="00ED3CE1" w:rsidRDefault="00ED3CE1" w:rsidP="00980876">
      <w:pPr>
        <w:widowControl w:val="0"/>
        <w:numPr>
          <w:ilvl w:val="1"/>
          <w:numId w:val="394"/>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ED3CE1">
        <w:rPr>
          <w:rFonts w:ascii="Times New Roman" w:eastAsia="Times New Roman" w:hAnsi="Times New Roman" w:cs="Times New Roman"/>
          <w:kern w:val="2"/>
        </w:rPr>
        <w:t xml:space="preserve">A HM fejezet költségvetési gazdálkodásával kapcsolatos költségvetési elemzések követelményei, lehetőségei, módszerei. Vagyoni helyzet, pénzügyi helyzet, eredményesség elemzése. </w:t>
      </w:r>
      <w:r w:rsidRPr="00ED3CE1">
        <w:rPr>
          <w:rFonts w:ascii="Times New Roman" w:eastAsia="Times New Roman" w:hAnsi="Times New Roman" w:cs="Times New Roman"/>
          <w:i/>
          <w:kern w:val="2"/>
        </w:rPr>
        <w:t>(Requirements, opportunities and methods of budget analysis related to the budget management of Chapter DoD. Analysis of financial position, profitability)</w:t>
      </w:r>
    </w:p>
    <w:p w:rsidR="00ED3CE1" w:rsidRPr="00ED3CE1" w:rsidRDefault="00ED3CE1" w:rsidP="00980876">
      <w:pPr>
        <w:widowControl w:val="0"/>
        <w:numPr>
          <w:ilvl w:val="0"/>
          <w:numId w:val="394"/>
        </w:numPr>
        <w:tabs>
          <w:tab w:val="num" w:pos="360"/>
        </w:tabs>
        <w:spacing w:before="120" w:after="120" w:line="240" w:lineRule="auto"/>
        <w:ind w:left="426" w:hanging="142"/>
        <w:jc w:val="both"/>
        <w:rPr>
          <w:rFonts w:ascii="Times New Roman" w:eastAsia="Times New Roman" w:hAnsi="Times New Roman" w:cs="Times New Roman"/>
          <w:bCs/>
        </w:rPr>
      </w:pPr>
      <w:r w:rsidRPr="00ED3CE1">
        <w:rPr>
          <w:rFonts w:ascii="Times New Roman" w:eastAsia="Times New Roman" w:hAnsi="Times New Roman" w:cs="Times New Roman"/>
          <w:b/>
          <w:bCs/>
        </w:rPr>
        <w:t xml:space="preserve">A tantárgy meghirdetésének gyakorisága/a tantervben történő félévi elhelyezkedése: </w:t>
      </w:r>
      <w:r w:rsidRPr="00ED3CE1">
        <w:rPr>
          <w:rFonts w:ascii="Times New Roman" w:eastAsia="Times New Roman" w:hAnsi="Times New Roman" w:cs="Times New Roman"/>
          <w:bCs/>
        </w:rPr>
        <w:t>a tanév 1. (őszi) félévében.</w:t>
      </w:r>
    </w:p>
    <w:p w:rsidR="00ED3CE1" w:rsidRPr="00ED3CE1" w:rsidRDefault="00ED3CE1" w:rsidP="00980876">
      <w:pPr>
        <w:widowControl w:val="0"/>
        <w:numPr>
          <w:ilvl w:val="0"/>
          <w:numId w:val="394"/>
        </w:numPr>
        <w:tabs>
          <w:tab w:val="num" w:pos="360"/>
        </w:tabs>
        <w:spacing w:before="120" w:after="120" w:line="240" w:lineRule="auto"/>
        <w:ind w:left="426" w:hanging="142"/>
        <w:jc w:val="both"/>
        <w:rPr>
          <w:rFonts w:ascii="Times New Roman" w:eastAsia="Times New Roman" w:hAnsi="Times New Roman" w:cs="Times New Roman"/>
          <w:bCs/>
        </w:rPr>
      </w:pPr>
      <w:r w:rsidRPr="00ED3CE1">
        <w:rPr>
          <w:rFonts w:ascii="Times New Roman" w:eastAsia="Times New Roman" w:hAnsi="Times New Roman" w:cs="Times New Roman"/>
          <w:b/>
          <w:bCs/>
        </w:rPr>
        <w:t>A tanórákon való részvétel követelményei, az elfogadható hiányzások mértéke, a távolmaradás pótlásának lehetősége:</w:t>
      </w:r>
      <w:r w:rsidRPr="00ED3CE1">
        <w:rPr>
          <w:rFonts w:ascii="Times New Roman" w:eastAsia="Times New Roman" w:hAnsi="Times New Roman" w:cs="Times New Roman"/>
          <w:bCs/>
        </w:rPr>
        <w:t xml:space="preserve"> a tanórákon való jelenlét kötelező, az elfogadható és igazolt hiányzások száma maximum a tanórák 20%-áig terjedhet, az ismeretek pótlásáról a hallgató gondoskodik. A hiányzások elfogadható mértékének túllépése az aláírás megtagadását </w:t>
      </w:r>
      <w:r w:rsidRPr="00ED3CE1">
        <w:rPr>
          <w:rFonts w:ascii="Times New Roman" w:eastAsia="Times New Roman" w:hAnsi="Times New Roman" w:cs="Times New Roman"/>
          <w:bCs/>
        </w:rPr>
        <w:lastRenderedPageBreak/>
        <w:t>vonja maga után.</w:t>
      </w:r>
    </w:p>
    <w:p w:rsidR="00ED3CE1" w:rsidRPr="00ED3CE1" w:rsidRDefault="00ED3CE1" w:rsidP="00980876">
      <w:pPr>
        <w:widowControl w:val="0"/>
        <w:numPr>
          <w:ilvl w:val="0"/>
          <w:numId w:val="394"/>
        </w:numPr>
        <w:tabs>
          <w:tab w:val="num" w:pos="360"/>
        </w:tabs>
        <w:spacing w:before="120" w:after="120" w:line="240" w:lineRule="auto"/>
        <w:ind w:left="426" w:hanging="142"/>
        <w:jc w:val="both"/>
        <w:rPr>
          <w:rFonts w:ascii="Times New Roman" w:eastAsia="Calibri" w:hAnsi="Times New Roman" w:cs="Times New Roman"/>
          <w:bCs/>
          <w:color w:val="000000"/>
          <w:lang w:eastAsia="x-none"/>
        </w:rPr>
      </w:pPr>
      <w:r w:rsidRPr="00ED3CE1">
        <w:rPr>
          <w:rFonts w:ascii="Times New Roman" w:eastAsia="Times New Roman" w:hAnsi="Times New Roman" w:cs="Times New Roman"/>
          <w:b/>
        </w:rPr>
        <w:t>Félévközi feladatok, ismeretek ellenőrzésének rendje:</w:t>
      </w:r>
      <w:r w:rsidRPr="00ED3CE1">
        <w:rPr>
          <w:rFonts w:ascii="Times New Roman" w:eastAsia="Times New Roman" w:hAnsi="Times New Roman" w:cs="Times New Roman"/>
          <w:bCs/>
        </w:rPr>
        <w:t xml:space="preserve"> </w:t>
      </w:r>
      <w:r w:rsidRPr="00ED3CE1">
        <w:rPr>
          <w:rFonts w:ascii="Times New Roman" w:eastAsia="Times New Roman" w:hAnsi="Times New Roman" w:cs="Times New Roman"/>
        </w:rPr>
        <w:t>A hallgató a félév során 2 zárthelyi dolgozatotír. A zárthelyi dolgozatok értékelése ötfokozatú skála alapján történik (50 %-tól elégséges, 65 %-tól közepes, 75-tól % jó, 85 %-tól jeles).</w:t>
      </w:r>
      <w:r w:rsidRPr="00ED3CE1">
        <w:rPr>
          <w:rFonts w:ascii="Times New Roman" w:eastAsia="Calibri" w:hAnsi="Times New Roman" w:cs="Times New Roman"/>
          <w:bCs/>
          <w:color w:val="000000"/>
          <w:lang w:eastAsia="x-none"/>
        </w:rPr>
        <w:t xml:space="preserve">. </w:t>
      </w:r>
    </w:p>
    <w:p w:rsidR="00ED3CE1" w:rsidRPr="00ED3CE1" w:rsidRDefault="00ED3CE1" w:rsidP="00980876">
      <w:pPr>
        <w:widowControl w:val="0"/>
        <w:numPr>
          <w:ilvl w:val="0"/>
          <w:numId w:val="394"/>
        </w:numPr>
        <w:spacing w:before="120" w:after="120" w:line="240" w:lineRule="auto"/>
        <w:ind w:left="426" w:hanging="142"/>
        <w:jc w:val="both"/>
        <w:rPr>
          <w:rFonts w:ascii="Times New Roman" w:eastAsia="Times New Roman" w:hAnsi="Times New Roman" w:cs="Times New Roman"/>
          <w:b/>
          <w:bCs/>
        </w:rPr>
      </w:pPr>
      <w:r w:rsidRPr="00ED3CE1">
        <w:rPr>
          <w:rFonts w:ascii="Times New Roman" w:eastAsia="Times New Roman" w:hAnsi="Times New Roman" w:cs="Times New Roman"/>
          <w:b/>
          <w:bCs/>
        </w:rPr>
        <w:t xml:space="preserve">Az értékelés, az aláírás és a kreditek megszerzésének pontos feltételei: </w:t>
      </w:r>
    </w:p>
    <w:p w:rsidR="00ED3CE1" w:rsidRPr="00ED3CE1" w:rsidRDefault="00ED3CE1" w:rsidP="00980876">
      <w:pPr>
        <w:widowControl w:val="0"/>
        <w:numPr>
          <w:ilvl w:val="1"/>
          <w:numId w:val="394"/>
        </w:numPr>
        <w:tabs>
          <w:tab w:val="left" w:pos="709"/>
          <w:tab w:val="left" w:pos="993"/>
          <w:tab w:val="num" w:pos="2069"/>
        </w:tabs>
        <w:spacing w:before="120" w:after="120" w:line="240" w:lineRule="auto"/>
        <w:ind w:left="426" w:firstLine="0"/>
        <w:jc w:val="both"/>
        <w:rPr>
          <w:rFonts w:ascii="Times New Roman" w:eastAsia="Calibri" w:hAnsi="Times New Roman" w:cs="Times New Roman"/>
          <w:bCs/>
          <w:color w:val="000000"/>
          <w:lang w:eastAsia="x-none"/>
        </w:rPr>
      </w:pPr>
      <w:r w:rsidRPr="00ED3CE1">
        <w:rPr>
          <w:rFonts w:ascii="Times New Roman" w:eastAsia="Times New Roman" w:hAnsi="Times New Roman" w:cs="Times New Roman"/>
          <w:b/>
        </w:rPr>
        <w:t>Az aláírás megszerzésének feltételei:</w:t>
      </w:r>
      <w:r w:rsidRPr="00ED3CE1">
        <w:rPr>
          <w:rFonts w:ascii="Times New Roman" w:eastAsia="Times New Roman" w:hAnsi="Times New Roman" w:cs="Times New Roman"/>
        </w:rPr>
        <w:t xml:space="preserve"> Az aláírás megszerzésének feltétele a 14. pontban meghatározott arányú részvétel a foglalkozásokon. És a zárthelyi dolgozatok legalább elégséges eredményű teljesítése.</w:t>
      </w:r>
      <w:r w:rsidRPr="00ED3CE1">
        <w:rPr>
          <w:rFonts w:ascii="Times New Roman" w:eastAsia="Calibri" w:hAnsi="Times New Roman" w:cs="Times New Roman"/>
          <w:bCs/>
          <w:color w:val="000000"/>
          <w:lang w:eastAsia="x-none"/>
        </w:rPr>
        <w:t>.</w:t>
      </w:r>
    </w:p>
    <w:p w:rsidR="00ED3CE1" w:rsidRPr="00ED3CE1" w:rsidRDefault="00ED3CE1" w:rsidP="00980876">
      <w:pPr>
        <w:widowControl w:val="0"/>
        <w:numPr>
          <w:ilvl w:val="1"/>
          <w:numId w:val="394"/>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ED3CE1">
        <w:rPr>
          <w:rFonts w:ascii="Times New Roman" w:eastAsia="Times New Roman" w:hAnsi="Times New Roman" w:cs="Times New Roman"/>
          <w:b/>
        </w:rPr>
        <w:t>Az értékelés:</w:t>
      </w:r>
      <w:r w:rsidRPr="00ED3CE1">
        <w:rPr>
          <w:rFonts w:ascii="Times New Roman" w:eastAsia="Times New Roman" w:hAnsi="Times New Roman" w:cs="Times New Roman"/>
        </w:rPr>
        <w:t xml:space="preserve"> Kollokvium - ötfokozatú értékelés, írásbeli vizsga (</w:t>
      </w:r>
      <w:r w:rsidRPr="00ED3CE1">
        <w:rPr>
          <w:rFonts w:ascii="Times New Roman" w:eastAsia="Times New Roman" w:hAnsi="Times New Roman" w:cs="Times New Roman"/>
          <w:bCs/>
        </w:rPr>
        <w:t>60 %-tól elégséges, 70 %-tól közepes, 80-tól % jó, 90 %-tól jeles)</w:t>
      </w:r>
      <w:r w:rsidRPr="00ED3CE1">
        <w:rPr>
          <w:rFonts w:ascii="Times New Roman" w:eastAsia="Times New Roman" w:hAnsi="Times New Roman" w:cs="Times New Roman"/>
        </w:rPr>
        <w:t>. A tanszék az írásbeli vizsgához tételsort bocsát ki.</w:t>
      </w:r>
    </w:p>
    <w:p w:rsidR="00ED3CE1" w:rsidRPr="00ED3CE1" w:rsidRDefault="00ED3CE1" w:rsidP="00980876">
      <w:pPr>
        <w:widowControl w:val="0"/>
        <w:numPr>
          <w:ilvl w:val="1"/>
          <w:numId w:val="394"/>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ED3CE1">
        <w:rPr>
          <w:rFonts w:ascii="Times New Roman" w:eastAsia="Times New Roman" w:hAnsi="Times New Roman" w:cs="Times New Roman"/>
          <w:b/>
        </w:rPr>
        <w:t>A kreditek megszerzésének feltételei:</w:t>
      </w:r>
      <w:r w:rsidRPr="00ED3CE1">
        <w:rPr>
          <w:rFonts w:ascii="Times New Roman" w:eastAsia="Times New Roman" w:hAnsi="Times New Roman" w:cs="Times New Roman"/>
        </w:rPr>
        <w:t xml:space="preserve"> A kreditek megszerzésének feltétele az aláírás megszerzése és a legalább elégséges kollokvium.</w:t>
      </w:r>
    </w:p>
    <w:p w:rsidR="00ED3CE1" w:rsidRPr="00ED3CE1" w:rsidRDefault="00ED3CE1" w:rsidP="00980876">
      <w:pPr>
        <w:widowControl w:val="0"/>
        <w:numPr>
          <w:ilvl w:val="0"/>
          <w:numId w:val="394"/>
        </w:numPr>
        <w:tabs>
          <w:tab w:val="num" w:pos="360"/>
        </w:tabs>
        <w:spacing w:before="120" w:after="120" w:line="240" w:lineRule="auto"/>
        <w:ind w:left="426" w:hanging="142"/>
        <w:jc w:val="both"/>
        <w:rPr>
          <w:rFonts w:ascii="Times New Roman" w:eastAsia="Times New Roman" w:hAnsi="Times New Roman" w:cs="Times New Roman"/>
          <w:bCs/>
        </w:rPr>
      </w:pPr>
      <w:r w:rsidRPr="00ED3CE1">
        <w:rPr>
          <w:rFonts w:ascii="Times New Roman" w:eastAsia="Times New Roman" w:hAnsi="Times New Roman" w:cs="Times New Roman"/>
          <w:b/>
          <w:bCs/>
        </w:rPr>
        <w:t>Irodalomjegyzék:</w:t>
      </w:r>
    </w:p>
    <w:p w:rsidR="00ED3CE1" w:rsidRPr="00ED3CE1" w:rsidRDefault="00ED3CE1" w:rsidP="00980876">
      <w:pPr>
        <w:widowControl w:val="0"/>
        <w:numPr>
          <w:ilvl w:val="1"/>
          <w:numId w:val="394"/>
        </w:numPr>
        <w:tabs>
          <w:tab w:val="left" w:pos="567"/>
          <w:tab w:val="left" w:pos="851"/>
          <w:tab w:val="num" w:pos="2069"/>
        </w:tabs>
        <w:spacing w:before="120" w:after="120" w:line="240" w:lineRule="auto"/>
        <w:ind w:left="426" w:hanging="142"/>
        <w:jc w:val="both"/>
        <w:rPr>
          <w:rFonts w:ascii="Times New Roman" w:eastAsia="Times New Roman" w:hAnsi="Times New Roman" w:cs="Times New Roman"/>
          <w:bCs/>
        </w:rPr>
      </w:pPr>
      <w:r w:rsidRPr="00ED3CE1">
        <w:rPr>
          <w:rFonts w:ascii="Times New Roman" w:eastAsia="Times New Roman" w:hAnsi="Times New Roman" w:cs="Times New Roman"/>
          <w:b/>
          <w:bCs/>
        </w:rPr>
        <w:t>Kötelező irodalom:</w:t>
      </w:r>
    </w:p>
    <w:p w:rsidR="00A76F74" w:rsidRPr="00ED3CE1" w:rsidRDefault="00A76F74" w:rsidP="00980876">
      <w:pPr>
        <w:widowControl w:val="0"/>
        <w:numPr>
          <w:ilvl w:val="0"/>
          <w:numId w:val="778"/>
        </w:numPr>
        <w:spacing w:after="0" w:line="240" w:lineRule="auto"/>
        <w:ind w:left="1068"/>
        <w:jc w:val="both"/>
        <w:rPr>
          <w:rFonts w:ascii="Times New Roman" w:eastAsia="Times New Roman" w:hAnsi="Times New Roman" w:cs="Times New Roman"/>
        </w:rPr>
      </w:pPr>
      <w:r w:rsidRPr="00ED3CE1">
        <w:rPr>
          <w:rFonts w:ascii="Times New Roman" w:eastAsia="Times New Roman" w:hAnsi="Times New Roman" w:cs="Times New Roman"/>
        </w:rPr>
        <w:t>Nyikos Györgyi-Szabó Ildikó: Államháztartási ellenőrzési ismeretek (Nemzeti Közszolgálati Egyetem, 2018.)</w:t>
      </w:r>
    </w:p>
    <w:p w:rsidR="00ED3CE1" w:rsidRPr="00ED3CE1" w:rsidRDefault="00ED3CE1" w:rsidP="00980876">
      <w:pPr>
        <w:widowControl w:val="0"/>
        <w:numPr>
          <w:ilvl w:val="0"/>
          <w:numId w:val="778"/>
        </w:numPr>
        <w:spacing w:after="0" w:line="240" w:lineRule="auto"/>
        <w:ind w:left="1068"/>
        <w:jc w:val="both"/>
        <w:rPr>
          <w:rFonts w:ascii="Times New Roman" w:eastAsia="Times New Roman" w:hAnsi="Times New Roman" w:cs="Times New Roman"/>
        </w:rPr>
      </w:pPr>
      <w:r w:rsidRPr="00ED3CE1">
        <w:rPr>
          <w:rFonts w:ascii="Times New Roman" w:eastAsia="Times New Roman" w:hAnsi="Times New Roman" w:cs="Times New Roman"/>
        </w:rPr>
        <w:t>Koháriné dr. Papp Edit: Államháztartási ismeretek (PR-312/11, Perfekt K.)</w:t>
      </w:r>
    </w:p>
    <w:p w:rsidR="00ED3CE1" w:rsidRPr="00ED3CE1" w:rsidRDefault="00ED3CE1" w:rsidP="00980876">
      <w:pPr>
        <w:widowControl w:val="0"/>
        <w:numPr>
          <w:ilvl w:val="0"/>
          <w:numId w:val="778"/>
        </w:numPr>
        <w:spacing w:after="0" w:line="240" w:lineRule="auto"/>
        <w:ind w:left="1068"/>
        <w:jc w:val="both"/>
        <w:rPr>
          <w:rFonts w:ascii="Times New Roman" w:eastAsia="Times New Roman" w:hAnsi="Times New Roman" w:cs="Times New Roman"/>
        </w:rPr>
      </w:pPr>
      <w:r w:rsidRPr="00ED3CE1">
        <w:rPr>
          <w:rFonts w:ascii="Times New Roman" w:eastAsia="Times New Roman" w:hAnsi="Times New Roman" w:cs="Times New Roman"/>
        </w:rPr>
        <w:t xml:space="preserve">Kolozsi Pál Péter: Közpénzügyek és államháztartás (Dialóg Campus Kiadó, </w:t>
      </w:r>
      <w:r w:rsidR="00A30EA9">
        <w:rPr>
          <w:rFonts w:ascii="Times New Roman" w:eastAsia="Times New Roman" w:hAnsi="Times New Roman" w:cs="Times New Roman"/>
        </w:rPr>
        <w:t xml:space="preserve">Budapest </w:t>
      </w:r>
      <w:r w:rsidRPr="00ED3CE1">
        <w:rPr>
          <w:rFonts w:ascii="Times New Roman" w:eastAsia="Times New Roman" w:hAnsi="Times New Roman" w:cs="Times New Roman"/>
        </w:rPr>
        <w:t>2017)</w:t>
      </w:r>
      <w:r w:rsidR="00A30EA9">
        <w:rPr>
          <w:rFonts w:ascii="Times New Roman" w:eastAsia="Times New Roman" w:hAnsi="Times New Roman" w:cs="Times New Roman"/>
        </w:rPr>
        <w:t xml:space="preserve"> p.104, </w:t>
      </w:r>
      <w:r w:rsidR="00A30EA9" w:rsidRPr="00A30EA9">
        <w:rPr>
          <w:rFonts w:ascii="Times New Roman" w:eastAsia="Times New Roman" w:hAnsi="Times New Roman" w:cs="Times New Roman"/>
        </w:rPr>
        <w:t>ISBN 978-615-5764-12-7 (elektronikus)</w:t>
      </w:r>
    </w:p>
    <w:p w:rsidR="00ED3CE1" w:rsidRPr="00ED3CE1" w:rsidRDefault="00ED3CE1" w:rsidP="00980876">
      <w:pPr>
        <w:widowControl w:val="0"/>
        <w:numPr>
          <w:ilvl w:val="1"/>
          <w:numId w:val="394"/>
        </w:numPr>
        <w:tabs>
          <w:tab w:val="num" w:pos="567"/>
          <w:tab w:val="num" w:pos="2069"/>
        </w:tabs>
        <w:spacing w:before="120" w:after="120" w:line="240" w:lineRule="auto"/>
        <w:ind w:left="993" w:hanging="709"/>
        <w:jc w:val="both"/>
        <w:rPr>
          <w:rFonts w:ascii="Times New Roman" w:eastAsia="Times New Roman" w:hAnsi="Times New Roman" w:cs="Times New Roman"/>
          <w:b/>
          <w:bCs/>
          <w:sz w:val="24"/>
          <w:szCs w:val="24"/>
        </w:rPr>
      </w:pPr>
      <w:r w:rsidRPr="00ED3CE1">
        <w:rPr>
          <w:rFonts w:ascii="Times New Roman" w:eastAsia="Times New Roman" w:hAnsi="Times New Roman" w:cs="Times New Roman"/>
          <w:b/>
          <w:bCs/>
        </w:rPr>
        <w:t>Ajánlott irodalom</w:t>
      </w:r>
      <w:r w:rsidRPr="00ED3CE1">
        <w:rPr>
          <w:rFonts w:ascii="Times New Roman" w:eastAsia="Times New Roman" w:hAnsi="Times New Roman" w:cs="Times New Roman"/>
          <w:b/>
          <w:bCs/>
          <w:sz w:val="24"/>
          <w:szCs w:val="24"/>
        </w:rPr>
        <w:t>:</w:t>
      </w:r>
      <w:r w:rsidR="005D6876">
        <w:rPr>
          <w:rFonts w:ascii="Times New Roman" w:eastAsia="Times New Roman" w:hAnsi="Times New Roman" w:cs="Times New Roman"/>
          <w:b/>
          <w:bCs/>
          <w:sz w:val="24"/>
          <w:szCs w:val="24"/>
        </w:rPr>
        <w:t xml:space="preserve"> -</w:t>
      </w:r>
    </w:p>
    <w:p w:rsidR="005D6876" w:rsidRDefault="005D6876" w:rsidP="005D6876">
      <w:pPr>
        <w:widowControl w:val="0"/>
        <w:spacing w:before="120" w:after="120" w:line="240" w:lineRule="auto"/>
        <w:ind w:firstLine="284"/>
        <w:jc w:val="both"/>
        <w:rPr>
          <w:rFonts w:ascii="Times New Roman" w:eastAsia="Times New Roman" w:hAnsi="Times New Roman" w:cs="Times New Roman"/>
          <w:bCs/>
          <w:sz w:val="24"/>
          <w:szCs w:val="24"/>
        </w:rPr>
      </w:pPr>
    </w:p>
    <w:p w:rsidR="00ED3CE1" w:rsidRPr="00A30EA9" w:rsidRDefault="00ED3CE1" w:rsidP="005D6876">
      <w:pPr>
        <w:widowControl w:val="0"/>
        <w:spacing w:before="120" w:after="120" w:line="240" w:lineRule="auto"/>
        <w:ind w:firstLine="284"/>
        <w:jc w:val="both"/>
        <w:rPr>
          <w:rFonts w:ascii="Times New Roman" w:eastAsia="Times New Roman" w:hAnsi="Times New Roman" w:cs="Times New Roman"/>
          <w:bCs/>
        </w:rPr>
      </w:pPr>
      <w:r w:rsidRPr="00A30EA9">
        <w:rPr>
          <w:rFonts w:ascii="Times New Roman" w:eastAsia="Times New Roman" w:hAnsi="Times New Roman" w:cs="Times New Roman"/>
          <w:bCs/>
        </w:rPr>
        <w:t>Budapest, 2020.02.20.</w:t>
      </w:r>
    </w:p>
    <w:p w:rsidR="00ED3CE1" w:rsidRPr="00A30EA9" w:rsidRDefault="00ED3CE1" w:rsidP="00ED3CE1">
      <w:pPr>
        <w:widowControl w:val="0"/>
        <w:spacing w:before="120" w:after="120" w:line="240" w:lineRule="auto"/>
        <w:jc w:val="both"/>
        <w:rPr>
          <w:rFonts w:ascii="Times New Roman" w:eastAsia="Times New Roman" w:hAnsi="Times New Roman" w:cs="Times New Roman"/>
          <w:bCs/>
        </w:rPr>
      </w:pPr>
    </w:p>
    <w:p w:rsidR="00ED3CE1" w:rsidRPr="00A30EA9" w:rsidRDefault="00ED3CE1" w:rsidP="00ED3CE1">
      <w:pPr>
        <w:widowControl w:val="0"/>
        <w:spacing w:after="0" w:line="240" w:lineRule="auto"/>
        <w:jc w:val="right"/>
        <w:rPr>
          <w:rFonts w:ascii="Times New Roman" w:eastAsia="Times New Roman" w:hAnsi="Times New Roman" w:cs="Times New Roman"/>
          <w:b/>
          <w:bCs/>
        </w:rPr>
      </w:pPr>
      <w:r w:rsidRPr="00A30EA9">
        <w:rPr>
          <w:rFonts w:ascii="Times New Roman" w:eastAsia="Times New Roman" w:hAnsi="Times New Roman" w:cs="Times New Roman"/>
          <w:b/>
          <w:bCs/>
        </w:rPr>
        <w:t>Dr. Szabó Ildikó (PhD)</w:t>
      </w:r>
    </w:p>
    <w:p w:rsidR="00ED3CE1" w:rsidRPr="00A30EA9" w:rsidRDefault="00ED3CE1" w:rsidP="00ED3CE1">
      <w:pPr>
        <w:widowControl w:val="0"/>
        <w:spacing w:after="0" w:line="240" w:lineRule="auto"/>
        <w:jc w:val="right"/>
        <w:rPr>
          <w:rFonts w:ascii="Times New Roman" w:eastAsia="Times New Roman" w:hAnsi="Times New Roman" w:cs="Times New Roman"/>
          <w:bCs/>
        </w:rPr>
      </w:pPr>
      <w:r w:rsidRPr="00A30EA9">
        <w:rPr>
          <w:rFonts w:ascii="Times New Roman" w:eastAsia="Times New Roman" w:hAnsi="Times New Roman" w:cs="Times New Roman"/>
          <w:bCs/>
        </w:rPr>
        <w:t>egyetemi tanársegéd s.k.</w:t>
      </w:r>
    </w:p>
    <w:p w:rsidR="00116031" w:rsidRDefault="00116031">
      <w:pPr>
        <w:spacing w:after="200" w:line="276" w:lineRule="auto"/>
        <w:rPr>
          <w:rFonts w:ascii="Times New Roman" w:hAnsi="Times New Roman" w:cs="Times New Roman"/>
          <w:b/>
          <w:color w:val="FF0000"/>
          <w:sz w:val="24"/>
        </w:rPr>
      </w:pPr>
      <w:r>
        <w:rPr>
          <w:rFonts w:ascii="Times New Roman" w:hAnsi="Times New Roman" w:cs="Times New Roman"/>
          <w:b/>
          <w:color w:val="FF0000"/>
          <w:sz w:val="24"/>
        </w:rPr>
        <w:br w:type="page"/>
      </w:r>
    </w:p>
    <w:tbl>
      <w:tblPr>
        <w:tblW w:w="9072" w:type="dxa"/>
        <w:tblInd w:w="113" w:type="dxa"/>
        <w:tblLook w:val="01E0" w:firstRow="1" w:lastRow="1" w:firstColumn="1" w:lastColumn="1" w:noHBand="0" w:noVBand="0"/>
      </w:tblPr>
      <w:tblGrid>
        <w:gridCol w:w="4855"/>
        <w:gridCol w:w="1620"/>
        <w:gridCol w:w="2597"/>
      </w:tblGrid>
      <w:tr w:rsidR="00081882" w:rsidRPr="00BC6E7B" w:rsidTr="00B6175C">
        <w:tc>
          <w:tcPr>
            <w:tcW w:w="4855" w:type="dxa"/>
            <w:tcBorders>
              <w:bottom w:val="single" w:sz="4" w:space="0" w:color="auto"/>
            </w:tcBorders>
          </w:tcPr>
          <w:p w:rsidR="00081882" w:rsidRPr="00BC6E7B" w:rsidRDefault="00081882" w:rsidP="00B6175C">
            <w:pPr>
              <w:spacing w:after="0" w:line="240" w:lineRule="auto"/>
              <w:jc w:val="center"/>
              <w:rPr>
                <w:rFonts w:ascii="Times New Roman" w:eastAsia="Times New Roman" w:hAnsi="Times New Roman" w:cs="Times New Roman"/>
                <w:b/>
                <w:smallCaps/>
                <w:lang w:eastAsia="hu-HU"/>
              </w:rPr>
            </w:pPr>
            <w:r w:rsidRPr="00BC6E7B">
              <w:rPr>
                <w:rFonts w:ascii="Times New Roman" w:eastAsia="Times New Roman" w:hAnsi="Times New Roman" w:cs="Times New Roman"/>
                <w:b/>
                <w:smallCaps/>
                <w:lang w:eastAsia="hu-HU"/>
              </w:rPr>
              <w:lastRenderedPageBreak/>
              <w:t>Nemzeti Közszolgálati Egyetem</w:t>
            </w:r>
          </w:p>
        </w:tc>
        <w:tc>
          <w:tcPr>
            <w:tcW w:w="1620" w:type="dxa"/>
          </w:tcPr>
          <w:p w:rsidR="00081882" w:rsidRPr="00BC6E7B" w:rsidRDefault="00081882" w:rsidP="00B6175C">
            <w:pPr>
              <w:spacing w:after="0" w:line="240" w:lineRule="auto"/>
              <w:jc w:val="both"/>
              <w:rPr>
                <w:rFonts w:ascii="Times New Roman" w:eastAsia="Times New Roman" w:hAnsi="Times New Roman" w:cs="Times New Roman"/>
                <w:lang w:eastAsia="hu-HU"/>
              </w:rPr>
            </w:pPr>
          </w:p>
        </w:tc>
        <w:tc>
          <w:tcPr>
            <w:tcW w:w="2597" w:type="dxa"/>
          </w:tcPr>
          <w:p w:rsidR="00081882" w:rsidRPr="00BC6E7B" w:rsidRDefault="00081882" w:rsidP="00B6175C">
            <w:pPr>
              <w:spacing w:after="0" w:line="240" w:lineRule="auto"/>
              <w:jc w:val="right"/>
              <w:rPr>
                <w:rFonts w:ascii="Times New Roman" w:eastAsia="Times New Roman" w:hAnsi="Times New Roman" w:cs="Times New Roman"/>
                <w:lang w:eastAsia="hu-HU"/>
              </w:rPr>
            </w:pPr>
          </w:p>
        </w:tc>
      </w:tr>
      <w:tr w:rsidR="00081882" w:rsidTr="00B6175C">
        <w:tc>
          <w:tcPr>
            <w:tcW w:w="4855" w:type="dxa"/>
            <w:tcBorders>
              <w:top w:val="single" w:sz="4" w:space="0" w:color="auto"/>
              <w:left w:val="nil"/>
              <w:bottom w:val="nil"/>
              <w:right w:val="nil"/>
            </w:tcBorders>
            <w:hideMark/>
          </w:tcPr>
          <w:p w:rsidR="00081882" w:rsidRPr="00F644B4" w:rsidRDefault="00081882" w:rsidP="00B6175C">
            <w:pPr>
              <w:pStyle w:val="Szvegtrzs"/>
              <w:jc w:val="center"/>
              <w:rPr>
                <w:b/>
              </w:rPr>
            </w:pPr>
            <w:r>
              <w:rPr>
                <w:b/>
              </w:rPr>
              <w:t>Hadtudományi és Honvédtisztképző</w:t>
            </w:r>
            <w:r w:rsidRPr="00F644B4">
              <w:rPr>
                <w:b/>
              </w:rPr>
              <w:t xml:space="preserve"> Kar</w:t>
            </w:r>
          </w:p>
        </w:tc>
        <w:tc>
          <w:tcPr>
            <w:tcW w:w="1620" w:type="dxa"/>
          </w:tcPr>
          <w:p w:rsidR="00081882" w:rsidRDefault="00081882" w:rsidP="00B6175C">
            <w:pPr>
              <w:pStyle w:val="Szvegtrzs"/>
            </w:pPr>
          </w:p>
        </w:tc>
        <w:tc>
          <w:tcPr>
            <w:tcW w:w="2597" w:type="dxa"/>
          </w:tcPr>
          <w:p w:rsidR="00081882" w:rsidRDefault="00081882" w:rsidP="00B6175C">
            <w:pPr>
              <w:pStyle w:val="Szvegtrzs"/>
            </w:pPr>
          </w:p>
        </w:tc>
      </w:tr>
    </w:tbl>
    <w:p w:rsidR="00081882" w:rsidRDefault="00081882" w:rsidP="00081882">
      <w:pPr>
        <w:widowControl w:val="0"/>
        <w:spacing w:before="120" w:after="120" w:line="240" w:lineRule="auto"/>
        <w:ind w:left="426" w:hanging="142"/>
        <w:jc w:val="center"/>
        <w:rPr>
          <w:rFonts w:ascii="Times New Roman" w:eastAsia="Times New Roman" w:hAnsi="Times New Roman" w:cs="Times New Roman"/>
          <w:b/>
          <w:bCs/>
        </w:rPr>
      </w:pPr>
    </w:p>
    <w:p w:rsidR="00081882" w:rsidRPr="00BC6E7B" w:rsidRDefault="00081882" w:rsidP="00081882">
      <w:pPr>
        <w:widowControl w:val="0"/>
        <w:spacing w:before="120" w:after="120" w:line="240" w:lineRule="auto"/>
        <w:ind w:left="426" w:hanging="142"/>
        <w:jc w:val="center"/>
        <w:rPr>
          <w:rFonts w:ascii="Times New Roman" w:eastAsia="Times New Roman" w:hAnsi="Times New Roman" w:cs="Times New Roman"/>
          <w:b/>
          <w:bCs/>
        </w:rPr>
      </w:pPr>
      <w:r w:rsidRPr="00BC6E7B">
        <w:rPr>
          <w:rFonts w:ascii="Times New Roman" w:eastAsia="Times New Roman" w:hAnsi="Times New Roman" w:cs="Times New Roman"/>
          <w:b/>
          <w:bCs/>
        </w:rPr>
        <w:t>TANTÁRGYI PROGRAM</w:t>
      </w:r>
    </w:p>
    <w:p w:rsidR="00081882" w:rsidRPr="00BC6E7B" w:rsidRDefault="00081882" w:rsidP="00980876">
      <w:pPr>
        <w:widowControl w:val="0"/>
        <w:numPr>
          <w:ilvl w:val="0"/>
          <w:numId w:val="407"/>
        </w:numPr>
        <w:tabs>
          <w:tab w:val="clear" w:pos="720"/>
        </w:tabs>
        <w:spacing w:before="120" w:after="120" w:line="240" w:lineRule="auto"/>
        <w:ind w:left="501" w:hanging="217"/>
        <w:jc w:val="both"/>
        <w:rPr>
          <w:rFonts w:ascii="Times New Roman" w:eastAsia="Times New Roman" w:hAnsi="Times New Roman" w:cs="Times New Roman"/>
          <w:bCs/>
        </w:rPr>
      </w:pPr>
      <w:r w:rsidRPr="00BC6E7B">
        <w:rPr>
          <w:rFonts w:ascii="Times New Roman" w:eastAsia="Times New Roman" w:hAnsi="Times New Roman" w:cs="Times New Roman"/>
          <w:b/>
          <w:bCs/>
        </w:rPr>
        <w:t>A tantárgy kódja:</w:t>
      </w:r>
      <w:r>
        <w:rPr>
          <w:rFonts w:ascii="Times New Roman" w:eastAsia="Times New Roman" w:hAnsi="Times New Roman" w:cs="Times New Roman"/>
          <w:b/>
          <w:bCs/>
        </w:rPr>
        <w:t xml:space="preserve"> </w:t>
      </w:r>
      <w:r w:rsidRPr="00147847">
        <w:rPr>
          <w:rFonts w:ascii="Times New Roman" w:eastAsia="Times New Roman" w:hAnsi="Times New Roman" w:cs="Times New Roman"/>
          <w:bCs/>
        </w:rPr>
        <w:t>HKHPKA515</w:t>
      </w:r>
    </w:p>
    <w:p w:rsidR="00081882" w:rsidRPr="00A6100B" w:rsidRDefault="00081882" w:rsidP="00980876">
      <w:pPr>
        <w:widowControl w:val="0"/>
        <w:numPr>
          <w:ilvl w:val="0"/>
          <w:numId w:val="407"/>
        </w:numPr>
        <w:tabs>
          <w:tab w:val="clear" w:pos="720"/>
        </w:tabs>
        <w:spacing w:before="120" w:after="120" w:line="240" w:lineRule="auto"/>
        <w:ind w:left="501" w:hanging="217"/>
        <w:jc w:val="both"/>
        <w:rPr>
          <w:rFonts w:ascii="Times New Roman" w:eastAsia="Times New Roman" w:hAnsi="Times New Roman" w:cs="Times New Roman"/>
          <w:b/>
          <w:bCs/>
          <w:lang w:val="en-GB"/>
        </w:rPr>
      </w:pPr>
      <w:r w:rsidRPr="00A6100B">
        <w:rPr>
          <w:rFonts w:ascii="Times New Roman" w:eastAsia="Times New Roman" w:hAnsi="Times New Roman" w:cs="Times New Roman"/>
          <w:b/>
          <w:bCs/>
        </w:rPr>
        <w:t>A tantárgy megnevezése (magyarul):</w:t>
      </w:r>
      <w:r w:rsidRPr="00A6100B">
        <w:rPr>
          <w:bCs/>
        </w:rPr>
        <w:t xml:space="preserve"> </w:t>
      </w:r>
      <w:r w:rsidRPr="00147847">
        <w:rPr>
          <w:rFonts w:ascii="Times New Roman" w:eastAsia="Times New Roman" w:hAnsi="Times New Roman" w:cs="Times New Roman"/>
          <w:bCs/>
        </w:rPr>
        <w:t>Az MH készenléti fokozatainak pénzügyi biztosítása</w:t>
      </w:r>
    </w:p>
    <w:p w:rsidR="00081882" w:rsidRDefault="00081882" w:rsidP="00980876">
      <w:pPr>
        <w:widowControl w:val="0"/>
        <w:numPr>
          <w:ilvl w:val="0"/>
          <w:numId w:val="407"/>
        </w:numPr>
        <w:tabs>
          <w:tab w:val="clear" w:pos="720"/>
        </w:tabs>
        <w:spacing w:before="120" w:after="120" w:line="240" w:lineRule="auto"/>
        <w:ind w:left="501" w:hanging="217"/>
        <w:jc w:val="both"/>
        <w:rPr>
          <w:rFonts w:ascii="Times New Roman" w:eastAsia="Times New Roman" w:hAnsi="Times New Roman" w:cs="Times New Roman"/>
          <w:b/>
          <w:bCs/>
          <w:lang w:val="en-GB"/>
        </w:rPr>
      </w:pPr>
      <w:r w:rsidRPr="00A6100B">
        <w:rPr>
          <w:rFonts w:ascii="Times New Roman" w:eastAsia="Times New Roman" w:hAnsi="Times New Roman" w:cs="Times New Roman"/>
          <w:b/>
          <w:bCs/>
        </w:rPr>
        <w:t>A tantárgy megnevezése (angolul):</w:t>
      </w:r>
      <w:r w:rsidRPr="00A6100B">
        <w:rPr>
          <w:bCs/>
        </w:rPr>
        <w:t xml:space="preserve"> </w:t>
      </w:r>
      <w:r>
        <w:rPr>
          <w:rFonts w:ascii="Times New Roman" w:eastAsia="Times New Roman" w:hAnsi="Times New Roman" w:cs="Times New Roman"/>
          <w:bCs/>
        </w:rPr>
        <w:t>Financial support of the Hungarian Defence Forces’</w:t>
      </w:r>
      <w:r w:rsidRPr="00147847">
        <w:rPr>
          <w:rFonts w:ascii="Times New Roman" w:eastAsia="Times New Roman" w:hAnsi="Times New Roman" w:cs="Times New Roman"/>
          <w:bCs/>
        </w:rPr>
        <w:t xml:space="preserve"> </w:t>
      </w:r>
      <w:r>
        <w:rPr>
          <w:rFonts w:ascii="Times New Roman" w:eastAsia="Times New Roman" w:hAnsi="Times New Roman" w:cs="Times New Roman"/>
          <w:bCs/>
        </w:rPr>
        <w:t>readiness states</w:t>
      </w:r>
    </w:p>
    <w:p w:rsidR="00081882" w:rsidRPr="002A393D" w:rsidRDefault="00081882" w:rsidP="00980876">
      <w:pPr>
        <w:widowControl w:val="0"/>
        <w:numPr>
          <w:ilvl w:val="0"/>
          <w:numId w:val="407"/>
        </w:numPr>
        <w:tabs>
          <w:tab w:val="clear" w:pos="720"/>
        </w:tabs>
        <w:spacing w:before="120" w:after="120" w:line="240" w:lineRule="auto"/>
        <w:ind w:left="501" w:hanging="217"/>
        <w:jc w:val="both"/>
        <w:rPr>
          <w:rFonts w:ascii="Times New Roman" w:eastAsia="Times New Roman" w:hAnsi="Times New Roman" w:cs="Times New Roman"/>
          <w:b/>
          <w:bCs/>
          <w:lang w:val="en-GB"/>
        </w:rPr>
      </w:pPr>
      <w:r w:rsidRPr="002A393D">
        <w:rPr>
          <w:rFonts w:ascii="Times New Roman" w:eastAsia="Times New Roman" w:hAnsi="Times New Roman" w:cs="Times New Roman"/>
          <w:b/>
          <w:bCs/>
        </w:rPr>
        <w:t xml:space="preserve">Kreditérték és képzési karakter: </w:t>
      </w:r>
    </w:p>
    <w:p w:rsidR="00081882" w:rsidRPr="00740A68" w:rsidRDefault="00081882" w:rsidP="00980876">
      <w:pPr>
        <w:pStyle w:val="Listaszerbekezds"/>
        <w:widowControl w:val="0"/>
        <w:numPr>
          <w:ilvl w:val="1"/>
          <w:numId w:val="407"/>
        </w:numPr>
        <w:tabs>
          <w:tab w:val="clear" w:pos="3977"/>
          <w:tab w:val="num" w:pos="780"/>
        </w:tabs>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2</w:t>
      </w:r>
      <w:r w:rsidRPr="00740A68">
        <w:rPr>
          <w:rFonts w:ascii="Times New Roman" w:eastAsia="Times New Roman" w:hAnsi="Times New Roman" w:cs="Times New Roman"/>
          <w:bCs/>
        </w:rPr>
        <w:t xml:space="preserve"> kredit</w:t>
      </w:r>
    </w:p>
    <w:p w:rsidR="00081882" w:rsidRPr="00740A68" w:rsidRDefault="00081882" w:rsidP="00980876">
      <w:pPr>
        <w:pStyle w:val="Listaszerbekezds"/>
        <w:widowControl w:val="0"/>
        <w:numPr>
          <w:ilvl w:val="1"/>
          <w:numId w:val="407"/>
        </w:numPr>
        <w:tabs>
          <w:tab w:val="clear" w:pos="3977"/>
          <w:tab w:val="num" w:pos="780"/>
        </w:tabs>
        <w:spacing w:before="120" w:after="120" w:line="240" w:lineRule="auto"/>
        <w:ind w:left="993" w:hanging="426"/>
        <w:jc w:val="both"/>
        <w:rPr>
          <w:rFonts w:ascii="Times New Roman" w:eastAsia="Times New Roman" w:hAnsi="Times New Roman" w:cs="Times New Roman"/>
          <w:b/>
          <w:bCs/>
        </w:rPr>
      </w:pPr>
      <w:r w:rsidRPr="00F37D21">
        <w:rPr>
          <w:rFonts w:ascii="Times New Roman" w:eastAsia="Times New Roman" w:hAnsi="Times New Roman" w:cs="Times New Roman"/>
          <w:bCs/>
        </w:rPr>
        <w:t>a tantárgy elméleti vagy gyakorlati jellegének mértéke</w:t>
      </w:r>
      <w:r w:rsidRPr="00740A68">
        <w:rPr>
          <w:rFonts w:ascii="Times New Roman" w:eastAsia="Times New Roman" w:hAnsi="Times New Roman" w:cs="Times New Roman"/>
          <w:bCs/>
        </w:rPr>
        <w:t xml:space="preserve">: </w:t>
      </w:r>
      <w:r>
        <w:rPr>
          <w:rFonts w:ascii="Times New Roman" w:eastAsia="Times New Roman" w:hAnsi="Times New Roman" w:cs="Times New Roman"/>
          <w:bCs/>
        </w:rPr>
        <w:t>0</w:t>
      </w:r>
      <w:r w:rsidRPr="00740A68">
        <w:rPr>
          <w:rFonts w:ascii="Times New Roman" w:eastAsia="Times New Roman" w:hAnsi="Times New Roman" w:cs="Times New Roman"/>
          <w:b/>
          <w:bCs/>
        </w:rPr>
        <w:t xml:space="preserve"> </w:t>
      </w:r>
      <w:r>
        <w:rPr>
          <w:rFonts w:ascii="Times New Roman" w:eastAsia="Times New Roman" w:hAnsi="Times New Roman" w:cs="Times New Roman"/>
          <w:bCs/>
        </w:rPr>
        <w:t>% gyakorlat, 100 % elmélet</w:t>
      </w:r>
    </w:p>
    <w:p w:rsidR="00081882" w:rsidRPr="00BC6E7B" w:rsidRDefault="00081882" w:rsidP="00980876">
      <w:pPr>
        <w:widowControl w:val="0"/>
        <w:numPr>
          <w:ilvl w:val="0"/>
          <w:numId w:val="407"/>
        </w:numPr>
        <w:tabs>
          <w:tab w:val="clear" w:pos="720"/>
        </w:tabs>
        <w:spacing w:before="120" w:after="120" w:line="240" w:lineRule="auto"/>
        <w:ind w:left="501" w:hanging="217"/>
        <w:jc w:val="both"/>
        <w:rPr>
          <w:rFonts w:ascii="Times New Roman" w:eastAsia="Times New Roman" w:hAnsi="Times New Roman" w:cs="Times New Roman"/>
          <w:bCs/>
        </w:rPr>
      </w:pPr>
      <w:r w:rsidRPr="00BC6E7B">
        <w:rPr>
          <w:rFonts w:ascii="Times New Roman" w:eastAsia="Times New Roman" w:hAnsi="Times New Roman" w:cs="Times New Roman"/>
          <w:b/>
          <w:bCs/>
        </w:rPr>
        <w:t xml:space="preserve">A szak(ok), </w:t>
      </w:r>
      <w:r w:rsidRPr="002A393D">
        <w:rPr>
          <w:rFonts w:ascii="Times New Roman" w:eastAsia="Times New Roman" w:hAnsi="Times New Roman" w:cs="Times New Roman"/>
          <w:b/>
          <w:bCs/>
        </w:rPr>
        <w:t>szakirányok/specializációk</w:t>
      </w:r>
      <w:r w:rsidRPr="00BC6E7B">
        <w:rPr>
          <w:rFonts w:ascii="Times New Roman" w:eastAsia="Times New Roman" w:hAnsi="Times New Roman" w:cs="Times New Roman"/>
          <w:b/>
          <w:bCs/>
        </w:rPr>
        <w:t xml:space="preserve"> megnevezése (ahol oktatják):</w:t>
      </w:r>
      <w:r w:rsidRPr="00BC6E7B">
        <w:rPr>
          <w:rFonts w:ascii="Times New Roman" w:eastAsia="Times New Roman" w:hAnsi="Times New Roman" w:cs="Times New Roman"/>
          <w:bCs/>
        </w:rPr>
        <w:t xml:space="preserve"> </w:t>
      </w:r>
      <w:r w:rsidRPr="00B50509">
        <w:rPr>
          <w:rFonts w:ascii="Times New Roman" w:eastAsia="Times New Roman" w:hAnsi="Times New Roman" w:cs="Times New Roman"/>
          <w:bCs/>
        </w:rPr>
        <w:t>Katonai logisztika alapképzési szak, Hadtáp specializáció</w:t>
      </w:r>
      <w:r>
        <w:rPr>
          <w:rFonts w:ascii="Times New Roman" w:eastAsia="Times New Roman" w:hAnsi="Times New Roman" w:cs="Times New Roman"/>
          <w:bCs/>
        </w:rPr>
        <w:t>, Katonai pénzügyi specializáció</w:t>
      </w:r>
    </w:p>
    <w:p w:rsidR="00081882" w:rsidRDefault="00081882" w:rsidP="00980876">
      <w:pPr>
        <w:widowControl w:val="0"/>
        <w:numPr>
          <w:ilvl w:val="0"/>
          <w:numId w:val="407"/>
        </w:numPr>
        <w:tabs>
          <w:tab w:val="clear" w:pos="720"/>
        </w:tabs>
        <w:spacing w:before="120" w:after="120" w:line="240" w:lineRule="auto"/>
        <w:ind w:left="501" w:hanging="217"/>
        <w:jc w:val="both"/>
        <w:rPr>
          <w:rFonts w:ascii="Times New Roman" w:eastAsia="Times New Roman" w:hAnsi="Times New Roman" w:cs="Times New Roman"/>
          <w:bCs/>
        </w:rPr>
      </w:pPr>
      <w:r w:rsidRPr="00BC6E7B">
        <w:rPr>
          <w:rFonts w:ascii="Times New Roman" w:eastAsia="Times New Roman" w:hAnsi="Times New Roman" w:cs="Times New Roman"/>
          <w:b/>
          <w:bCs/>
        </w:rPr>
        <w:t>Az oktatásért felelős oktatási</w:t>
      </w:r>
      <w:r>
        <w:rPr>
          <w:rFonts w:ascii="Times New Roman" w:eastAsia="Times New Roman" w:hAnsi="Times New Roman" w:cs="Times New Roman"/>
          <w:b/>
          <w:bCs/>
        </w:rPr>
        <w:t xml:space="preserve"> szervezeti egység megnevezése:</w:t>
      </w:r>
      <w:r w:rsidRPr="0078259C">
        <w:rPr>
          <w:bCs/>
        </w:rPr>
        <w:t xml:space="preserve"> </w:t>
      </w:r>
      <w:r w:rsidRPr="00A6100B">
        <w:rPr>
          <w:rFonts w:ascii="Times New Roman" w:eastAsia="Times New Roman" w:hAnsi="Times New Roman" w:cs="Times New Roman"/>
          <w:bCs/>
        </w:rPr>
        <w:t>NKE Hadtudományi és Honvédtisztképző Kar, Hadtáp</w:t>
      </w:r>
      <w:r>
        <w:rPr>
          <w:rFonts w:ascii="Times New Roman" w:eastAsia="Times New Roman" w:hAnsi="Times New Roman" w:cs="Times New Roman"/>
          <w:bCs/>
        </w:rPr>
        <w:t>, Pénzügyi</w:t>
      </w:r>
      <w:r w:rsidRPr="00A6100B">
        <w:rPr>
          <w:rFonts w:ascii="Times New Roman" w:eastAsia="Times New Roman" w:hAnsi="Times New Roman" w:cs="Times New Roman"/>
          <w:bCs/>
        </w:rPr>
        <w:t xml:space="preserve"> és Katonai Közlekedési Tanszék </w:t>
      </w:r>
    </w:p>
    <w:p w:rsidR="00081882" w:rsidRPr="002A393D" w:rsidRDefault="00081882" w:rsidP="00980876">
      <w:pPr>
        <w:widowControl w:val="0"/>
        <w:numPr>
          <w:ilvl w:val="0"/>
          <w:numId w:val="407"/>
        </w:numPr>
        <w:tabs>
          <w:tab w:val="clear" w:pos="720"/>
        </w:tabs>
        <w:spacing w:before="120" w:after="120" w:line="240" w:lineRule="auto"/>
        <w:ind w:left="501" w:hanging="217"/>
        <w:jc w:val="both"/>
        <w:rPr>
          <w:rFonts w:ascii="Times New Roman" w:eastAsia="Times New Roman" w:hAnsi="Times New Roman" w:cs="Times New Roman"/>
          <w:bCs/>
        </w:rPr>
      </w:pPr>
      <w:r w:rsidRPr="002A393D">
        <w:rPr>
          <w:rFonts w:ascii="Times New Roman" w:eastAsia="Times New Roman" w:hAnsi="Times New Roman" w:cs="Times New Roman"/>
          <w:b/>
          <w:bCs/>
        </w:rPr>
        <w:t>A tantárgyfelelős oktató neve, beosztása, tudományos fokozata:</w:t>
      </w:r>
      <w:r w:rsidRPr="002A393D">
        <w:rPr>
          <w:rFonts w:ascii="Times New Roman" w:eastAsia="Times New Roman" w:hAnsi="Times New Roman" w:cs="Times New Roman"/>
          <w:bCs/>
        </w:rPr>
        <w:t xml:space="preserve"> Dr. </w:t>
      </w:r>
      <w:r>
        <w:rPr>
          <w:rFonts w:ascii="Times New Roman" w:eastAsia="Times New Roman" w:hAnsi="Times New Roman" w:cs="Times New Roman"/>
          <w:bCs/>
        </w:rPr>
        <w:t>Pohl Árpád (PhD)</w:t>
      </w:r>
      <w:r w:rsidRPr="002A393D">
        <w:rPr>
          <w:rFonts w:ascii="Times New Roman" w:eastAsia="Times New Roman" w:hAnsi="Times New Roman" w:cs="Times New Roman"/>
          <w:bCs/>
        </w:rPr>
        <w:t>,</w:t>
      </w:r>
      <w:r>
        <w:rPr>
          <w:rFonts w:ascii="Times New Roman" w:eastAsia="Times New Roman" w:hAnsi="Times New Roman" w:cs="Times New Roman"/>
          <w:bCs/>
        </w:rPr>
        <w:t xml:space="preserve"> egyetemi docens</w:t>
      </w:r>
    </w:p>
    <w:p w:rsidR="00081882" w:rsidRPr="00BC6E7B" w:rsidRDefault="00081882" w:rsidP="00980876">
      <w:pPr>
        <w:widowControl w:val="0"/>
        <w:numPr>
          <w:ilvl w:val="0"/>
          <w:numId w:val="407"/>
        </w:numPr>
        <w:tabs>
          <w:tab w:val="clear" w:pos="720"/>
        </w:tabs>
        <w:spacing w:before="120" w:after="120" w:line="240" w:lineRule="auto"/>
        <w:ind w:left="501" w:hanging="217"/>
        <w:jc w:val="both"/>
        <w:rPr>
          <w:rFonts w:ascii="Times New Roman" w:eastAsia="Times New Roman" w:hAnsi="Times New Roman" w:cs="Times New Roman"/>
          <w:bCs/>
        </w:rPr>
      </w:pPr>
      <w:r w:rsidRPr="00BC6E7B">
        <w:rPr>
          <w:rFonts w:ascii="Times New Roman" w:eastAsia="Times New Roman" w:hAnsi="Times New Roman" w:cs="Times New Roman"/>
          <w:b/>
          <w:bCs/>
        </w:rPr>
        <w:t>A tanórák száma és típusa</w:t>
      </w:r>
    </w:p>
    <w:p w:rsidR="00081882" w:rsidRPr="00BC6E7B" w:rsidRDefault="00081882" w:rsidP="00980876">
      <w:pPr>
        <w:widowControl w:val="0"/>
        <w:numPr>
          <w:ilvl w:val="1"/>
          <w:numId w:val="407"/>
        </w:numPr>
        <w:tabs>
          <w:tab w:val="clear" w:pos="3977"/>
          <w:tab w:val="num" w:pos="709"/>
          <w:tab w:val="num" w:pos="780"/>
          <w:tab w:val="num" w:pos="2069"/>
        </w:tabs>
        <w:spacing w:before="120" w:after="120" w:line="240" w:lineRule="auto"/>
        <w:ind w:left="851" w:hanging="425"/>
        <w:jc w:val="both"/>
        <w:rPr>
          <w:rFonts w:ascii="Times New Roman" w:eastAsia="Times New Roman" w:hAnsi="Times New Roman" w:cs="Times New Roman"/>
          <w:bCs/>
        </w:rPr>
      </w:pPr>
      <w:r w:rsidRPr="00BC6E7B">
        <w:rPr>
          <w:rFonts w:ascii="Times New Roman" w:eastAsia="Times New Roman" w:hAnsi="Times New Roman" w:cs="Times New Roman"/>
          <w:bCs/>
        </w:rPr>
        <w:t>össz óraszám/félév:</w:t>
      </w:r>
    </w:p>
    <w:p w:rsidR="00081882" w:rsidRDefault="00081882" w:rsidP="00081882">
      <w:pPr>
        <w:widowControl w:val="0"/>
        <w:tabs>
          <w:tab w:val="num" w:pos="1134"/>
          <w:tab w:val="num" w:pos="1581"/>
        </w:tabs>
        <w:spacing w:before="120" w:after="120" w:line="240" w:lineRule="auto"/>
        <w:ind w:left="567"/>
        <w:jc w:val="both"/>
        <w:rPr>
          <w:rFonts w:ascii="Times New Roman" w:eastAsia="Times New Roman" w:hAnsi="Times New Roman" w:cs="Times New Roman"/>
          <w:bCs/>
        </w:rPr>
      </w:pPr>
      <w:r>
        <w:rPr>
          <w:rFonts w:ascii="Times New Roman" w:eastAsia="Times New Roman" w:hAnsi="Times New Roman" w:cs="Times New Roman"/>
          <w:bCs/>
        </w:rPr>
        <w:t>8.1.1.</w:t>
      </w:r>
      <w:r>
        <w:rPr>
          <w:rFonts w:ascii="Times New Roman" w:eastAsia="Times New Roman" w:hAnsi="Times New Roman" w:cs="Times New Roman"/>
          <w:bCs/>
        </w:rPr>
        <w:tab/>
      </w:r>
      <w:r w:rsidRPr="00BC6E7B">
        <w:rPr>
          <w:rFonts w:ascii="Times New Roman" w:eastAsia="Times New Roman" w:hAnsi="Times New Roman" w:cs="Times New Roman"/>
          <w:bCs/>
        </w:rPr>
        <w:t xml:space="preserve">nappali munkarend: </w:t>
      </w:r>
      <w:r>
        <w:rPr>
          <w:rFonts w:ascii="Times New Roman" w:eastAsia="Times New Roman" w:hAnsi="Times New Roman" w:cs="Times New Roman"/>
          <w:bCs/>
        </w:rPr>
        <w:t>28</w:t>
      </w:r>
      <w:r w:rsidRPr="00BC6E7B">
        <w:rPr>
          <w:rFonts w:ascii="Times New Roman" w:eastAsia="Times New Roman" w:hAnsi="Times New Roman" w:cs="Times New Roman"/>
          <w:bCs/>
        </w:rPr>
        <w:t xml:space="preserve"> (</w:t>
      </w:r>
      <w:r>
        <w:rPr>
          <w:rFonts w:ascii="Times New Roman" w:eastAsia="Times New Roman" w:hAnsi="Times New Roman" w:cs="Times New Roman"/>
          <w:bCs/>
        </w:rPr>
        <w:t xml:space="preserve">28 </w:t>
      </w:r>
      <w:r w:rsidRPr="00BC6E7B">
        <w:rPr>
          <w:rFonts w:ascii="Times New Roman" w:eastAsia="Times New Roman" w:hAnsi="Times New Roman" w:cs="Times New Roman"/>
          <w:bCs/>
        </w:rPr>
        <w:t xml:space="preserve">EA + </w:t>
      </w:r>
      <w:r>
        <w:rPr>
          <w:rFonts w:ascii="Times New Roman" w:eastAsia="Times New Roman" w:hAnsi="Times New Roman" w:cs="Times New Roman"/>
          <w:bCs/>
        </w:rPr>
        <w:t xml:space="preserve">0 </w:t>
      </w:r>
      <w:r w:rsidRPr="00BC6E7B">
        <w:rPr>
          <w:rFonts w:ascii="Times New Roman" w:eastAsia="Times New Roman" w:hAnsi="Times New Roman" w:cs="Times New Roman"/>
          <w:bCs/>
        </w:rPr>
        <w:t xml:space="preserve">SZ + </w:t>
      </w:r>
      <w:r>
        <w:rPr>
          <w:rFonts w:ascii="Times New Roman" w:eastAsia="Times New Roman" w:hAnsi="Times New Roman" w:cs="Times New Roman"/>
          <w:bCs/>
        </w:rPr>
        <w:t xml:space="preserve">0 </w:t>
      </w:r>
      <w:r w:rsidRPr="00BC6E7B">
        <w:rPr>
          <w:rFonts w:ascii="Times New Roman" w:eastAsia="Times New Roman" w:hAnsi="Times New Roman" w:cs="Times New Roman"/>
          <w:bCs/>
        </w:rPr>
        <w:t>GY)</w:t>
      </w:r>
    </w:p>
    <w:p w:rsidR="00081882" w:rsidRPr="00BC6E7B" w:rsidRDefault="00081882" w:rsidP="00081882">
      <w:pPr>
        <w:widowControl w:val="0"/>
        <w:tabs>
          <w:tab w:val="num" w:pos="1134"/>
          <w:tab w:val="num" w:pos="1581"/>
        </w:tabs>
        <w:spacing w:before="120" w:after="120" w:line="240" w:lineRule="auto"/>
        <w:ind w:left="567"/>
        <w:jc w:val="both"/>
        <w:rPr>
          <w:rFonts w:ascii="Times New Roman" w:eastAsia="Times New Roman" w:hAnsi="Times New Roman" w:cs="Times New Roman"/>
          <w:bCs/>
        </w:rPr>
      </w:pPr>
      <w:r>
        <w:rPr>
          <w:rFonts w:ascii="Times New Roman" w:eastAsia="Times New Roman" w:hAnsi="Times New Roman" w:cs="Times New Roman"/>
          <w:bCs/>
        </w:rPr>
        <w:t>8.1.2.</w:t>
      </w:r>
      <w:r>
        <w:rPr>
          <w:rFonts w:ascii="Times New Roman" w:eastAsia="Times New Roman" w:hAnsi="Times New Roman" w:cs="Times New Roman"/>
          <w:bCs/>
        </w:rPr>
        <w:tab/>
      </w:r>
      <w:r w:rsidRPr="00BC6E7B">
        <w:rPr>
          <w:rFonts w:ascii="Times New Roman" w:eastAsia="Times New Roman" w:hAnsi="Times New Roman" w:cs="Times New Roman"/>
          <w:bCs/>
        </w:rPr>
        <w:t xml:space="preserve">levelező munkarend: </w:t>
      </w:r>
      <w:r>
        <w:rPr>
          <w:rFonts w:ascii="Times New Roman" w:eastAsia="Times New Roman" w:hAnsi="Times New Roman" w:cs="Times New Roman"/>
          <w:bCs/>
        </w:rPr>
        <w:t>-</w:t>
      </w:r>
      <w:r w:rsidRPr="00BC6E7B">
        <w:rPr>
          <w:rFonts w:ascii="Times New Roman" w:eastAsia="Times New Roman" w:hAnsi="Times New Roman" w:cs="Times New Roman"/>
          <w:bCs/>
        </w:rPr>
        <w:t xml:space="preserve"> (</w:t>
      </w:r>
      <w:r>
        <w:rPr>
          <w:rFonts w:ascii="Times New Roman" w:eastAsia="Times New Roman" w:hAnsi="Times New Roman" w:cs="Times New Roman"/>
          <w:bCs/>
        </w:rPr>
        <w:t xml:space="preserve">- </w:t>
      </w:r>
      <w:r w:rsidRPr="00BC6E7B">
        <w:rPr>
          <w:rFonts w:ascii="Times New Roman" w:eastAsia="Times New Roman" w:hAnsi="Times New Roman" w:cs="Times New Roman"/>
          <w:bCs/>
        </w:rPr>
        <w:t xml:space="preserve">EA + </w:t>
      </w:r>
      <w:r>
        <w:rPr>
          <w:rFonts w:ascii="Times New Roman" w:eastAsia="Times New Roman" w:hAnsi="Times New Roman" w:cs="Times New Roman"/>
          <w:bCs/>
        </w:rPr>
        <w:t xml:space="preserve">- </w:t>
      </w:r>
      <w:r w:rsidRPr="00BC6E7B">
        <w:rPr>
          <w:rFonts w:ascii="Times New Roman" w:eastAsia="Times New Roman" w:hAnsi="Times New Roman" w:cs="Times New Roman"/>
          <w:bCs/>
        </w:rPr>
        <w:t xml:space="preserve">SZ + </w:t>
      </w:r>
      <w:r>
        <w:rPr>
          <w:rFonts w:ascii="Times New Roman" w:eastAsia="Times New Roman" w:hAnsi="Times New Roman" w:cs="Times New Roman"/>
          <w:bCs/>
        </w:rPr>
        <w:t xml:space="preserve">- </w:t>
      </w:r>
      <w:r w:rsidRPr="00BC6E7B">
        <w:rPr>
          <w:rFonts w:ascii="Times New Roman" w:eastAsia="Times New Roman" w:hAnsi="Times New Roman" w:cs="Times New Roman"/>
          <w:bCs/>
        </w:rPr>
        <w:t>GY)</w:t>
      </w:r>
    </w:p>
    <w:p w:rsidR="00081882" w:rsidRDefault="00081882" w:rsidP="00980876">
      <w:pPr>
        <w:widowControl w:val="0"/>
        <w:numPr>
          <w:ilvl w:val="1"/>
          <w:numId w:val="407"/>
        </w:numPr>
        <w:tabs>
          <w:tab w:val="clear" w:pos="3977"/>
          <w:tab w:val="num" w:pos="709"/>
          <w:tab w:val="num" w:pos="780"/>
          <w:tab w:val="num" w:pos="2069"/>
        </w:tabs>
        <w:spacing w:before="120" w:after="120" w:line="240" w:lineRule="auto"/>
        <w:ind w:left="851" w:hanging="425"/>
        <w:jc w:val="both"/>
        <w:rPr>
          <w:rFonts w:ascii="Times New Roman" w:eastAsia="Times New Roman" w:hAnsi="Times New Roman" w:cs="Times New Roman"/>
          <w:bCs/>
        </w:rPr>
      </w:pPr>
      <w:r w:rsidRPr="00BC6E7B">
        <w:rPr>
          <w:rFonts w:ascii="Times New Roman" w:eastAsia="Times New Roman" w:hAnsi="Times New Roman" w:cs="Times New Roman"/>
          <w:bCs/>
        </w:rPr>
        <w:t xml:space="preserve">heti óraszám - nappali munkarend: </w:t>
      </w:r>
      <w:r>
        <w:rPr>
          <w:rFonts w:ascii="Times New Roman" w:eastAsia="Times New Roman" w:hAnsi="Times New Roman" w:cs="Times New Roman"/>
          <w:bCs/>
        </w:rPr>
        <w:t>2</w:t>
      </w:r>
    </w:p>
    <w:p w:rsidR="00081882" w:rsidRDefault="00081882" w:rsidP="00980876">
      <w:pPr>
        <w:widowControl w:val="0"/>
        <w:numPr>
          <w:ilvl w:val="1"/>
          <w:numId w:val="407"/>
        </w:numPr>
        <w:tabs>
          <w:tab w:val="clear" w:pos="3977"/>
          <w:tab w:val="num" w:pos="709"/>
          <w:tab w:val="num" w:pos="780"/>
          <w:tab w:val="num" w:pos="2069"/>
        </w:tabs>
        <w:spacing w:before="120" w:after="120" w:line="240" w:lineRule="auto"/>
        <w:ind w:left="851" w:hanging="425"/>
        <w:jc w:val="both"/>
        <w:rPr>
          <w:rFonts w:ascii="Times New Roman" w:eastAsia="Times New Roman" w:hAnsi="Times New Roman" w:cs="Times New Roman"/>
          <w:bCs/>
        </w:rPr>
      </w:pPr>
      <w:r w:rsidRPr="00A16045">
        <w:rPr>
          <w:rFonts w:ascii="Times New Roman" w:hAnsi="Times New Roman" w:cs="Times New Roman"/>
        </w:rPr>
        <w:t>Az ismeret átadásában alkalmazandó további sajátos módok, jellemzők:</w:t>
      </w:r>
      <w:r>
        <w:rPr>
          <w:rFonts w:ascii="Times New Roman" w:hAnsi="Times New Roman" w:cs="Times New Roman"/>
        </w:rPr>
        <w:t xml:space="preserve"> - </w:t>
      </w:r>
    </w:p>
    <w:p w:rsidR="00081882" w:rsidRPr="00BC6E7B" w:rsidRDefault="00081882" w:rsidP="00980876">
      <w:pPr>
        <w:widowControl w:val="0"/>
        <w:numPr>
          <w:ilvl w:val="0"/>
          <w:numId w:val="407"/>
        </w:numPr>
        <w:tabs>
          <w:tab w:val="clear" w:pos="720"/>
        </w:tabs>
        <w:spacing w:before="120" w:after="120" w:line="240" w:lineRule="auto"/>
        <w:ind w:left="501" w:hanging="217"/>
        <w:jc w:val="both"/>
        <w:rPr>
          <w:rFonts w:ascii="Times New Roman" w:eastAsia="Times New Roman" w:hAnsi="Times New Roman" w:cs="Times New Roman"/>
          <w:bCs/>
        </w:rPr>
      </w:pPr>
      <w:r w:rsidRPr="00BC6E7B">
        <w:rPr>
          <w:rFonts w:ascii="Times New Roman" w:eastAsia="Times New Roman" w:hAnsi="Times New Roman" w:cs="Times New Roman"/>
          <w:b/>
          <w:bCs/>
        </w:rPr>
        <w:t>A tantárgy szakmai tartalma (magyarul):</w:t>
      </w:r>
      <w:r w:rsidRPr="00A6100B">
        <w:rPr>
          <w:bCs/>
        </w:rPr>
        <w:t xml:space="preserve"> </w:t>
      </w:r>
      <w:r w:rsidRPr="00147847">
        <w:rPr>
          <w:rFonts w:ascii="Times New Roman" w:eastAsia="Times New Roman" w:hAnsi="Times New Roman" w:cs="Times New Roman"/>
          <w:bCs/>
        </w:rPr>
        <w:t>Megismertetni a honvéd tisztjelöltekkel a Magyar Honvédség készenléte fokozása és fenntartása rendszerét, továbbá a készenlét fokozása és fenntartása pénzügyi és számviteli biztosítása során végrehajtandó - ide értve a békeidőszakban (alaphelyzet) elvégzendő - feladatokat is.</w:t>
      </w:r>
    </w:p>
    <w:p w:rsidR="00081882" w:rsidRPr="00BC6E7B" w:rsidRDefault="00081882" w:rsidP="00081882">
      <w:pPr>
        <w:widowControl w:val="0"/>
        <w:spacing w:before="120" w:after="120" w:line="240" w:lineRule="auto"/>
        <w:ind w:left="426"/>
        <w:jc w:val="both"/>
        <w:rPr>
          <w:rFonts w:ascii="Times New Roman" w:eastAsia="Times New Roman" w:hAnsi="Times New Roman" w:cs="Times New Roman"/>
          <w:bCs/>
          <w:lang w:val="en-GB"/>
        </w:rPr>
      </w:pPr>
      <w:r w:rsidRPr="00BC6E7B">
        <w:rPr>
          <w:rFonts w:ascii="Times New Roman" w:eastAsia="Times New Roman" w:hAnsi="Times New Roman" w:cs="Times New Roman"/>
          <w:b/>
          <w:bCs/>
        </w:rPr>
        <w:t>A tantárgy szakmai tartalma (angolul) (</w:t>
      </w:r>
      <w:r w:rsidRPr="00BC6E7B">
        <w:rPr>
          <w:rFonts w:ascii="Times New Roman" w:eastAsia="Times New Roman" w:hAnsi="Times New Roman" w:cs="Times New Roman"/>
          <w:b/>
          <w:bCs/>
          <w:lang w:val="en-US"/>
        </w:rPr>
        <w:t>Course description</w:t>
      </w:r>
      <w:r w:rsidRPr="00BC6E7B">
        <w:rPr>
          <w:rFonts w:ascii="Times New Roman" w:eastAsia="Times New Roman" w:hAnsi="Times New Roman" w:cs="Times New Roman"/>
          <w:b/>
          <w:bCs/>
        </w:rPr>
        <w:t xml:space="preserve">): </w:t>
      </w:r>
      <w:r w:rsidRPr="00147847">
        <w:rPr>
          <w:rFonts w:ascii="Times New Roman" w:eastAsia="Times New Roman" w:hAnsi="Times New Roman" w:cs="Times New Roman"/>
          <w:bCs/>
        </w:rPr>
        <w:t>To familiarize the cadets with the tasks of HDF’s enhancement and maintaining the preparedness. The tasks to be carried out during the financial and accounting assurance during the peacetime (basic).</w:t>
      </w:r>
    </w:p>
    <w:p w:rsidR="00081882" w:rsidRPr="00740A68" w:rsidRDefault="00081882" w:rsidP="00980876">
      <w:pPr>
        <w:widowControl w:val="0"/>
        <w:numPr>
          <w:ilvl w:val="0"/>
          <w:numId w:val="407"/>
        </w:numPr>
        <w:tabs>
          <w:tab w:val="clear" w:pos="720"/>
        </w:tabs>
        <w:spacing w:before="120" w:after="120" w:line="240" w:lineRule="auto"/>
        <w:ind w:left="501" w:hanging="217"/>
        <w:jc w:val="both"/>
        <w:rPr>
          <w:rFonts w:ascii="Times New Roman" w:eastAsia="Times New Roman" w:hAnsi="Times New Roman" w:cs="Times New Roman"/>
          <w:bCs/>
        </w:rPr>
      </w:pPr>
      <w:r w:rsidRPr="00740A68">
        <w:rPr>
          <w:rFonts w:ascii="Times New Roman" w:eastAsia="Times New Roman" w:hAnsi="Times New Roman" w:cs="Times New Roman"/>
          <w:b/>
          <w:bCs/>
        </w:rPr>
        <w:t xml:space="preserve">Elérendő kompetenciák (magyarul): </w:t>
      </w:r>
    </w:p>
    <w:p w:rsidR="00081882" w:rsidRDefault="00081882" w:rsidP="00081882">
      <w:pPr>
        <w:widowControl w:val="0"/>
        <w:spacing w:before="120" w:after="120" w:line="240" w:lineRule="auto"/>
        <w:ind w:left="426"/>
        <w:jc w:val="both"/>
        <w:rPr>
          <w:rFonts w:ascii="Times New Roman" w:eastAsia="Times New Roman" w:hAnsi="Times New Roman" w:cs="Times New Roman"/>
          <w:bCs/>
        </w:rPr>
      </w:pPr>
      <w:r w:rsidRPr="00BC6E7B">
        <w:rPr>
          <w:rFonts w:ascii="Times New Roman" w:eastAsia="Times New Roman" w:hAnsi="Times New Roman" w:cs="Times New Roman"/>
          <w:b/>
          <w:bCs/>
        </w:rPr>
        <w:t>Tudása:</w:t>
      </w:r>
      <w:r>
        <w:rPr>
          <w:rFonts w:ascii="Times New Roman" w:eastAsia="Times New Roman" w:hAnsi="Times New Roman" w:cs="Times New Roman"/>
          <w:bCs/>
        </w:rPr>
        <w:t xml:space="preserve"> </w:t>
      </w:r>
    </w:p>
    <w:p w:rsidR="00081882" w:rsidRDefault="00081882" w:rsidP="00980876">
      <w:pPr>
        <w:pStyle w:val="Listaszerbekezds"/>
        <w:widowControl w:val="0"/>
        <w:numPr>
          <w:ilvl w:val="0"/>
          <w:numId w:val="187"/>
        </w:numPr>
        <w:spacing w:before="120" w:after="120" w:line="240" w:lineRule="auto"/>
        <w:ind w:hanging="219"/>
        <w:jc w:val="both"/>
        <w:rPr>
          <w:rFonts w:ascii="Times New Roman" w:eastAsia="Times New Roman" w:hAnsi="Times New Roman" w:cs="Times New Roman"/>
          <w:bCs/>
        </w:rPr>
      </w:pPr>
      <w:r w:rsidRPr="00442584">
        <w:rPr>
          <w:rFonts w:ascii="Times New Roman" w:eastAsia="Times New Roman" w:hAnsi="Times New Roman" w:cs="Times New Roman"/>
          <w:bCs/>
        </w:rPr>
        <w:t>Ismeri a gazdaság és a piacok működésének alapjait, a nemzetgazdaság és a honvédelem kapcsolatrendszerét, a hadiipar működésének törvényszerűségeit.</w:t>
      </w:r>
    </w:p>
    <w:p w:rsidR="00081882" w:rsidRPr="00442584" w:rsidRDefault="00081882" w:rsidP="00980876">
      <w:pPr>
        <w:pStyle w:val="Listaszerbekezds"/>
        <w:widowControl w:val="0"/>
        <w:numPr>
          <w:ilvl w:val="0"/>
          <w:numId w:val="187"/>
        </w:numPr>
        <w:spacing w:before="120" w:after="120" w:line="240" w:lineRule="auto"/>
        <w:ind w:hanging="219"/>
        <w:jc w:val="both"/>
        <w:rPr>
          <w:rFonts w:ascii="Times New Roman" w:eastAsia="Times New Roman" w:hAnsi="Times New Roman" w:cs="Times New Roman"/>
          <w:bCs/>
        </w:rPr>
      </w:pPr>
      <w:r w:rsidRPr="00147847">
        <w:rPr>
          <w:rFonts w:ascii="Times New Roman" w:eastAsia="Times New Roman" w:hAnsi="Times New Roman" w:cs="Times New Roman"/>
          <w:bCs/>
        </w:rPr>
        <w:t>Ismeri a Honvédelmi Minisztérium és a Magyar Honvédség pénzügyi szakterületének működését, felépítését.</w:t>
      </w:r>
    </w:p>
    <w:p w:rsidR="00081882" w:rsidRDefault="00081882" w:rsidP="00081882">
      <w:pPr>
        <w:widowControl w:val="0"/>
        <w:spacing w:before="120" w:after="120" w:line="240" w:lineRule="auto"/>
        <w:ind w:left="426"/>
        <w:jc w:val="both"/>
        <w:rPr>
          <w:rFonts w:ascii="Times New Roman" w:eastAsia="Times New Roman" w:hAnsi="Times New Roman" w:cs="Times New Roman"/>
          <w:bCs/>
        </w:rPr>
      </w:pPr>
      <w:r w:rsidRPr="00BC6E7B">
        <w:rPr>
          <w:rFonts w:ascii="Times New Roman" w:eastAsia="Times New Roman" w:hAnsi="Times New Roman" w:cs="Times New Roman"/>
          <w:b/>
          <w:bCs/>
        </w:rPr>
        <w:t>Képességei:</w:t>
      </w:r>
      <w:r>
        <w:rPr>
          <w:rFonts w:ascii="Times New Roman" w:eastAsia="Times New Roman" w:hAnsi="Times New Roman" w:cs="Times New Roman"/>
          <w:bCs/>
        </w:rPr>
        <w:t xml:space="preserve"> </w:t>
      </w:r>
    </w:p>
    <w:p w:rsidR="00081882" w:rsidRDefault="00081882" w:rsidP="00980876">
      <w:pPr>
        <w:pStyle w:val="Listaszerbekezds"/>
        <w:widowControl w:val="0"/>
        <w:numPr>
          <w:ilvl w:val="0"/>
          <w:numId w:val="187"/>
        </w:numPr>
        <w:spacing w:before="120" w:after="120" w:line="240" w:lineRule="auto"/>
        <w:ind w:hanging="219"/>
        <w:jc w:val="both"/>
        <w:rPr>
          <w:rFonts w:ascii="Times New Roman" w:eastAsia="Times New Roman" w:hAnsi="Times New Roman" w:cs="Times New Roman"/>
          <w:bCs/>
        </w:rPr>
      </w:pPr>
      <w:r w:rsidRPr="00442584">
        <w:rPr>
          <w:rFonts w:ascii="Times New Roman" w:eastAsia="Times New Roman" w:hAnsi="Times New Roman" w:cs="Times New Roman"/>
          <w:bCs/>
          <w:kern w:val="2"/>
        </w:rPr>
        <w:t>Képe</w:t>
      </w:r>
      <w:r w:rsidRPr="00081882">
        <w:rPr>
          <w:rFonts w:ascii="Times New Roman" w:eastAsia="Times New Roman" w:hAnsi="Times New Roman" w:cs="Times New Roman"/>
          <w:bCs/>
        </w:rPr>
        <w:t xml:space="preserve">s a logisztikai folyamatok és a Magyar Honvédség logisztikai rendszere közötti </w:t>
      </w:r>
      <w:r w:rsidRPr="00DC464C">
        <w:rPr>
          <w:rFonts w:ascii="Times New Roman" w:eastAsia="Times New Roman" w:hAnsi="Times New Roman" w:cs="Times New Roman"/>
          <w:bCs/>
        </w:rPr>
        <w:t>kapcsolatok, illetve összefüggések értelmezésére és azok beosztottak felé történő átadására.</w:t>
      </w:r>
    </w:p>
    <w:p w:rsidR="00081882" w:rsidRPr="00DC464C" w:rsidRDefault="00081882" w:rsidP="00980876">
      <w:pPr>
        <w:pStyle w:val="Listaszerbekezds"/>
        <w:widowControl w:val="0"/>
        <w:numPr>
          <w:ilvl w:val="0"/>
          <w:numId w:val="187"/>
        </w:numPr>
        <w:spacing w:before="120" w:after="120" w:line="240" w:lineRule="auto"/>
        <w:ind w:hanging="219"/>
        <w:jc w:val="both"/>
        <w:rPr>
          <w:rFonts w:ascii="Times New Roman" w:eastAsia="Times New Roman" w:hAnsi="Times New Roman" w:cs="Times New Roman"/>
          <w:bCs/>
        </w:rPr>
      </w:pPr>
      <w:r w:rsidRPr="00147847">
        <w:rPr>
          <w:rFonts w:ascii="Times New Roman" w:eastAsia="Times New Roman" w:hAnsi="Times New Roman" w:cs="Times New Roman"/>
          <w:bCs/>
        </w:rPr>
        <w:t>Képes a gazdálkodás támogató és pénzügyi ellátó referatúra működésének koordinálására, a pénzügyi iratok szabályszerű kezelésére, a pénzügyi és számviteli beosztások szabályszerű átadás-átvételére.</w:t>
      </w:r>
    </w:p>
    <w:p w:rsidR="00081882" w:rsidRDefault="00081882" w:rsidP="00081882">
      <w:pPr>
        <w:widowControl w:val="0"/>
        <w:spacing w:before="120" w:after="120" w:line="240" w:lineRule="auto"/>
        <w:ind w:left="426"/>
        <w:jc w:val="both"/>
        <w:rPr>
          <w:rFonts w:ascii="Times New Roman" w:eastAsia="Times New Roman" w:hAnsi="Times New Roman" w:cs="Times New Roman"/>
          <w:b/>
          <w:bCs/>
        </w:rPr>
      </w:pPr>
    </w:p>
    <w:p w:rsidR="00081882" w:rsidRDefault="00081882" w:rsidP="00081882">
      <w:pPr>
        <w:widowControl w:val="0"/>
        <w:spacing w:before="120" w:after="120" w:line="240" w:lineRule="auto"/>
        <w:ind w:left="426"/>
        <w:jc w:val="both"/>
        <w:rPr>
          <w:rFonts w:ascii="Times New Roman" w:eastAsia="Times New Roman" w:hAnsi="Times New Roman" w:cs="Times New Roman"/>
          <w:b/>
          <w:bCs/>
        </w:rPr>
      </w:pPr>
      <w:r w:rsidRPr="00BC6E7B">
        <w:rPr>
          <w:rFonts w:ascii="Times New Roman" w:eastAsia="Times New Roman" w:hAnsi="Times New Roman" w:cs="Times New Roman"/>
          <w:b/>
          <w:bCs/>
        </w:rPr>
        <w:lastRenderedPageBreak/>
        <w:t>Attitűdje:</w:t>
      </w:r>
    </w:p>
    <w:p w:rsidR="00081882" w:rsidRPr="00081882" w:rsidRDefault="00081882" w:rsidP="00980876">
      <w:pPr>
        <w:pStyle w:val="Listaszerbekezds"/>
        <w:widowControl w:val="0"/>
        <w:numPr>
          <w:ilvl w:val="0"/>
          <w:numId w:val="187"/>
        </w:numPr>
        <w:spacing w:before="120" w:after="120" w:line="240" w:lineRule="auto"/>
        <w:ind w:hanging="219"/>
        <w:jc w:val="both"/>
        <w:rPr>
          <w:rFonts w:ascii="Times New Roman" w:eastAsia="Times New Roman" w:hAnsi="Times New Roman" w:cs="Times New Roman"/>
          <w:bCs/>
        </w:rPr>
      </w:pPr>
      <w:r w:rsidRPr="00442584">
        <w:rPr>
          <w:rFonts w:ascii="Times New Roman" w:eastAsia="Times New Roman" w:hAnsi="Times New Roman" w:cs="Times New Roman"/>
          <w:bCs/>
          <w:kern w:val="2"/>
        </w:rPr>
        <w:t>Felis</w:t>
      </w:r>
      <w:r w:rsidRPr="00081882">
        <w:rPr>
          <w:rFonts w:ascii="Times New Roman" w:eastAsia="Times New Roman" w:hAnsi="Times New Roman" w:cs="Times New Roman"/>
          <w:bCs/>
        </w:rPr>
        <w:t>meri a rendszerszintű tevékenységben rejlő értékeket, törekszik a logisztikai tevékenységek közötti kapcsolatok értelmezésére.</w:t>
      </w:r>
    </w:p>
    <w:p w:rsidR="00081882" w:rsidRPr="00442584" w:rsidRDefault="00081882" w:rsidP="00980876">
      <w:pPr>
        <w:pStyle w:val="Listaszerbekezds"/>
        <w:widowControl w:val="0"/>
        <w:numPr>
          <w:ilvl w:val="0"/>
          <w:numId w:val="187"/>
        </w:numPr>
        <w:spacing w:before="120" w:after="120" w:line="240" w:lineRule="auto"/>
        <w:ind w:hanging="219"/>
        <w:jc w:val="both"/>
        <w:rPr>
          <w:rFonts w:ascii="Times New Roman" w:eastAsia="Times New Roman" w:hAnsi="Times New Roman" w:cs="Times New Roman"/>
          <w:bCs/>
          <w:kern w:val="2"/>
        </w:rPr>
      </w:pPr>
      <w:r w:rsidRPr="00081882">
        <w:rPr>
          <w:rFonts w:ascii="Times New Roman" w:eastAsia="Times New Roman" w:hAnsi="Times New Roman" w:cs="Times New Roman"/>
          <w:bCs/>
        </w:rPr>
        <w:t xml:space="preserve">Különös </w:t>
      </w:r>
      <w:r w:rsidRPr="00147847">
        <w:rPr>
          <w:rFonts w:ascii="Times New Roman" w:eastAsia="Times New Roman" w:hAnsi="Times New Roman" w:cs="Times New Roman"/>
          <w:bCs/>
          <w:kern w:val="2"/>
        </w:rPr>
        <w:t>figyelmet fordít a pénzügyi területnél elvárt jogszerű, szabálykövető, pontos munkavégzésre.</w:t>
      </w:r>
    </w:p>
    <w:p w:rsidR="00081882" w:rsidRDefault="00081882" w:rsidP="00081882">
      <w:pPr>
        <w:widowControl w:val="0"/>
        <w:spacing w:before="120" w:after="120" w:line="240" w:lineRule="auto"/>
        <w:ind w:left="426"/>
        <w:jc w:val="both"/>
        <w:rPr>
          <w:rFonts w:ascii="Times New Roman" w:eastAsia="Times New Roman" w:hAnsi="Times New Roman" w:cs="Times New Roman"/>
          <w:bCs/>
        </w:rPr>
      </w:pPr>
      <w:r w:rsidRPr="00BC6E7B">
        <w:rPr>
          <w:rFonts w:ascii="Times New Roman" w:eastAsia="Times New Roman" w:hAnsi="Times New Roman" w:cs="Times New Roman"/>
          <w:b/>
          <w:bCs/>
        </w:rPr>
        <w:t>Autonómiája és felelőssége:</w:t>
      </w:r>
      <w:r w:rsidRPr="00BC6E7B">
        <w:rPr>
          <w:rFonts w:ascii="Times New Roman" w:eastAsia="Times New Roman" w:hAnsi="Times New Roman" w:cs="Times New Roman"/>
          <w:bCs/>
        </w:rPr>
        <w:t xml:space="preserve"> </w:t>
      </w:r>
    </w:p>
    <w:p w:rsidR="00081882" w:rsidRDefault="00081882" w:rsidP="00980876">
      <w:pPr>
        <w:pStyle w:val="Listaszerbekezds"/>
        <w:widowControl w:val="0"/>
        <w:numPr>
          <w:ilvl w:val="0"/>
          <w:numId w:val="187"/>
        </w:numPr>
        <w:spacing w:before="120" w:after="120" w:line="240" w:lineRule="auto"/>
        <w:ind w:hanging="219"/>
        <w:jc w:val="both"/>
        <w:rPr>
          <w:rFonts w:ascii="Times New Roman" w:eastAsia="Times New Roman" w:hAnsi="Times New Roman" w:cs="Times New Roman"/>
          <w:bCs/>
        </w:rPr>
      </w:pPr>
      <w:r w:rsidRPr="00442584">
        <w:rPr>
          <w:rFonts w:ascii="Times New Roman" w:eastAsia="Times New Roman" w:hAnsi="Times New Roman" w:cs="Times New Roman"/>
          <w:bCs/>
          <w:kern w:val="2"/>
        </w:rPr>
        <w:t xml:space="preserve">Az alegység, illetve egység szintű katonai logisztikai, valamint katonai gazdálkodási </w:t>
      </w:r>
      <w:r w:rsidRPr="00081882">
        <w:rPr>
          <w:rFonts w:ascii="Times New Roman" w:eastAsia="Times New Roman" w:hAnsi="Times New Roman" w:cs="Times New Roman"/>
          <w:bCs/>
        </w:rPr>
        <w:t>folyamatokban képes önállóan döntéseket hozni, azokat felelősséggel, a jogszabályi keretek figyelembevételével végrehajtani</w:t>
      </w:r>
      <w:r w:rsidRPr="00442584">
        <w:rPr>
          <w:rFonts w:ascii="Times New Roman" w:eastAsia="Times New Roman" w:hAnsi="Times New Roman" w:cs="Times New Roman"/>
          <w:bCs/>
        </w:rPr>
        <w:t>.</w:t>
      </w:r>
    </w:p>
    <w:p w:rsidR="00081882" w:rsidRPr="00442584" w:rsidRDefault="00081882" w:rsidP="00980876">
      <w:pPr>
        <w:pStyle w:val="Listaszerbekezds"/>
        <w:widowControl w:val="0"/>
        <w:numPr>
          <w:ilvl w:val="0"/>
          <w:numId w:val="187"/>
        </w:numPr>
        <w:spacing w:before="120" w:after="120" w:line="240" w:lineRule="auto"/>
        <w:ind w:hanging="219"/>
        <w:jc w:val="both"/>
        <w:rPr>
          <w:rFonts w:ascii="Times New Roman" w:eastAsia="Times New Roman" w:hAnsi="Times New Roman" w:cs="Times New Roman"/>
          <w:bCs/>
        </w:rPr>
      </w:pPr>
      <w:r w:rsidRPr="00147847">
        <w:rPr>
          <w:rFonts w:ascii="Times New Roman" w:eastAsia="Times New Roman" w:hAnsi="Times New Roman" w:cs="Times New Roman"/>
          <w:bCs/>
        </w:rPr>
        <w:t>Felelősséget vállal az általa készített dokumentumok szakmai, jogszabályoknak való maradéktalan megfelelőségéért.</w:t>
      </w:r>
    </w:p>
    <w:p w:rsidR="00081882" w:rsidRPr="00BC6E7B" w:rsidRDefault="00081882" w:rsidP="00081882">
      <w:pPr>
        <w:widowControl w:val="0"/>
        <w:spacing w:before="120" w:after="120" w:line="240" w:lineRule="auto"/>
        <w:ind w:left="426"/>
        <w:jc w:val="both"/>
        <w:rPr>
          <w:rFonts w:ascii="Times New Roman" w:eastAsia="Times New Roman" w:hAnsi="Times New Roman" w:cs="Times New Roman"/>
          <w:b/>
          <w:bCs/>
          <w:lang w:val="en-US"/>
        </w:rPr>
      </w:pPr>
      <w:r w:rsidRPr="00BC6E7B">
        <w:rPr>
          <w:rFonts w:ascii="Times New Roman" w:eastAsia="Times New Roman" w:hAnsi="Times New Roman" w:cs="Times New Roman"/>
          <w:b/>
          <w:bCs/>
        </w:rPr>
        <w:t>Elérendő kompetenciák (angolul) (</w:t>
      </w:r>
      <w:r w:rsidRPr="00BC6E7B">
        <w:rPr>
          <w:rFonts w:ascii="Times New Roman" w:eastAsia="Times New Roman" w:hAnsi="Times New Roman" w:cs="Times New Roman"/>
          <w:b/>
          <w:bCs/>
          <w:lang w:val="en-US"/>
        </w:rPr>
        <w:t xml:space="preserve">Competences – English): </w:t>
      </w:r>
    </w:p>
    <w:p w:rsidR="00081882" w:rsidRDefault="00081882" w:rsidP="00081882">
      <w:pPr>
        <w:widowControl w:val="0"/>
        <w:spacing w:before="120" w:after="120" w:line="240" w:lineRule="auto"/>
        <w:ind w:left="426"/>
        <w:jc w:val="both"/>
      </w:pPr>
      <w:r w:rsidRPr="00BC6E7B">
        <w:rPr>
          <w:rFonts w:ascii="Times New Roman" w:eastAsia="Times New Roman" w:hAnsi="Times New Roman" w:cs="Times New Roman"/>
          <w:b/>
          <w:lang w:val="en-GB"/>
        </w:rPr>
        <w:t>Knowledge</w:t>
      </w:r>
      <w:r w:rsidRPr="00BC6E7B">
        <w:rPr>
          <w:rFonts w:ascii="Times New Roman" w:eastAsia="Times New Roman" w:hAnsi="Times New Roman" w:cs="Times New Roman"/>
          <w:lang w:val="en-GB"/>
        </w:rPr>
        <w:t>:</w:t>
      </w:r>
      <w:r w:rsidRPr="00F37D21">
        <w:t xml:space="preserve"> </w:t>
      </w:r>
    </w:p>
    <w:p w:rsidR="00081882" w:rsidRDefault="00081882" w:rsidP="00980876">
      <w:pPr>
        <w:pStyle w:val="Listaszerbekezds"/>
        <w:widowControl w:val="0"/>
        <w:numPr>
          <w:ilvl w:val="0"/>
          <w:numId w:val="189"/>
        </w:numPr>
        <w:spacing w:before="120" w:after="120" w:line="240" w:lineRule="auto"/>
        <w:ind w:hanging="219"/>
        <w:jc w:val="both"/>
        <w:rPr>
          <w:rFonts w:ascii="Times New Roman" w:eastAsia="Times New Roman" w:hAnsi="Times New Roman" w:cs="Times New Roman"/>
          <w:lang w:val="en-GB"/>
        </w:rPr>
      </w:pPr>
      <w:r w:rsidRPr="00442584">
        <w:rPr>
          <w:rFonts w:ascii="Times New Roman" w:eastAsia="Times New Roman" w:hAnsi="Times New Roman" w:cs="Times New Roman"/>
          <w:lang w:val="en-GB"/>
        </w:rPr>
        <w:t>The student knows the basics of the operation of the economy and the markets, the system of relations between the national economy and the defense sector, the regularities of the operation of the military industry.</w:t>
      </w:r>
    </w:p>
    <w:p w:rsidR="00081882" w:rsidRPr="00442584" w:rsidRDefault="00081882" w:rsidP="00980876">
      <w:pPr>
        <w:pStyle w:val="Listaszerbekezds"/>
        <w:widowControl w:val="0"/>
        <w:numPr>
          <w:ilvl w:val="0"/>
          <w:numId w:val="189"/>
        </w:numPr>
        <w:spacing w:before="120" w:after="120" w:line="240" w:lineRule="auto"/>
        <w:ind w:hanging="219"/>
        <w:jc w:val="both"/>
        <w:rPr>
          <w:rFonts w:ascii="Times New Roman" w:eastAsia="Times New Roman" w:hAnsi="Times New Roman" w:cs="Times New Roman"/>
          <w:lang w:val="en-GB"/>
        </w:rPr>
      </w:pPr>
      <w:r w:rsidRPr="000F0019">
        <w:rPr>
          <w:rFonts w:ascii="Times New Roman" w:eastAsia="Times New Roman" w:hAnsi="Times New Roman" w:cs="Times New Roman"/>
          <w:lang w:val="en-GB"/>
        </w:rPr>
        <w:t>The student knows the operation and structure of the financial field the Ministry of Defence and the Hungarian Defence Forces.</w:t>
      </w:r>
    </w:p>
    <w:p w:rsidR="00081882" w:rsidRDefault="00081882" w:rsidP="00081882">
      <w:pPr>
        <w:widowControl w:val="0"/>
        <w:spacing w:before="120" w:after="120" w:line="240" w:lineRule="auto"/>
        <w:ind w:left="426"/>
        <w:jc w:val="both"/>
        <w:rPr>
          <w:rFonts w:ascii="Times New Roman" w:eastAsia="Times New Roman" w:hAnsi="Times New Roman" w:cs="Times New Roman"/>
          <w:b/>
          <w:lang w:val="en-GB"/>
        </w:rPr>
      </w:pPr>
      <w:r w:rsidRPr="00BC6E7B">
        <w:rPr>
          <w:rFonts w:ascii="Times New Roman" w:eastAsia="Times New Roman" w:hAnsi="Times New Roman" w:cs="Times New Roman"/>
          <w:b/>
          <w:lang w:val="en-GB"/>
        </w:rPr>
        <w:t>Capabilities</w:t>
      </w:r>
      <w:r w:rsidRPr="006331D3">
        <w:rPr>
          <w:rFonts w:ascii="Times New Roman" w:eastAsia="Times New Roman" w:hAnsi="Times New Roman" w:cs="Times New Roman"/>
          <w:b/>
          <w:lang w:val="en-GB"/>
        </w:rPr>
        <w:t xml:space="preserve">: </w:t>
      </w:r>
    </w:p>
    <w:p w:rsidR="00081882" w:rsidRPr="00147847" w:rsidRDefault="00081882" w:rsidP="00980876">
      <w:pPr>
        <w:pStyle w:val="Listaszerbekezds"/>
        <w:widowControl w:val="0"/>
        <w:numPr>
          <w:ilvl w:val="0"/>
          <w:numId w:val="189"/>
        </w:numPr>
        <w:spacing w:before="120" w:after="120" w:line="240" w:lineRule="auto"/>
        <w:ind w:hanging="219"/>
        <w:jc w:val="both"/>
        <w:rPr>
          <w:rFonts w:ascii="Times New Roman" w:eastAsia="Times New Roman" w:hAnsi="Times New Roman" w:cs="Times New Roman"/>
          <w:b/>
          <w:lang w:val="en-GB"/>
        </w:rPr>
      </w:pPr>
      <w:r w:rsidRPr="00442584">
        <w:rPr>
          <w:rFonts w:ascii="Times New Roman" w:eastAsia="Times New Roman" w:hAnsi="Times New Roman" w:cs="Times New Roman"/>
          <w:lang w:val="en-GB"/>
        </w:rPr>
        <w:t>He / she is able to interpret the relationships between the logistics processes and the logistics system of the Hungarian Defense Forces and to pass them on to subordinates.</w:t>
      </w:r>
    </w:p>
    <w:p w:rsidR="00081882" w:rsidRPr="00442584" w:rsidRDefault="00081882" w:rsidP="00980876">
      <w:pPr>
        <w:pStyle w:val="Listaszerbekezds"/>
        <w:widowControl w:val="0"/>
        <w:numPr>
          <w:ilvl w:val="0"/>
          <w:numId w:val="189"/>
        </w:numPr>
        <w:spacing w:before="120" w:after="120" w:line="240" w:lineRule="auto"/>
        <w:ind w:hanging="219"/>
        <w:jc w:val="both"/>
        <w:rPr>
          <w:rFonts w:ascii="Times New Roman" w:eastAsia="Times New Roman" w:hAnsi="Times New Roman" w:cs="Times New Roman"/>
          <w:b/>
          <w:lang w:val="en-GB"/>
        </w:rPr>
      </w:pPr>
      <w:r w:rsidRPr="000F0019">
        <w:rPr>
          <w:rFonts w:ascii="Times New Roman" w:eastAsia="Times New Roman" w:hAnsi="Times New Roman" w:cs="Times New Roman"/>
          <w:lang w:val="en-GB"/>
        </w:rPr>
        <w:t>Able to co-ordinate the operation of financial support and financial reporting, to manage financial records properly, and to carry out the HOTO of financial and accounting positions.</w:t>
      </w:r>
    </w:p>
    <w:p w:rsidR="00081882" w:rsidRDefault="00081882" w:rsidP="000818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lang w:val="en-GB"/>
        </w:rPr>
      </w:pPr>
      <w:r w:rsidRPr="00BC6E7B">
        <w:rPr>
          <w:rFonts w:ascii="Times New Roman" w:eastAsia="Times New Roman" w:hAnsi="Times New Roman" w:cs="Times New Roman"/>
          <w:b/>
          <w:lang w:val="en-GB"/>
        </w:rPr>
        <w:t>Attitude:</w:t>
      </w:r>
      <w:r w:rsidRPr="00BC6E7B">
        <w:rPr>
          <w:rFonts w:ascii="Times New Roman" w:eastAsia="Times New Roman" w:hAnsi="Times New Roman" w:cs="Times New Roman"/>
          <w:lang w:val="en-GB"/>
        </w:rPr>
        <w:t xml:space="preserve"> </w:t>
      </w:r>
    </w:p>
    <w:p w:rsidR="00081882" w:rsidRDefault="00081882" w:rsidP="00980876">
      <w:pPr>
        <w:pStyle w:val="Listaszerbekezds"/>
        <w:widowControl w:val="0"/>
        <w:numPr>
          <w:ilvl w:val="0"/>
          <w:numId w:val="189"/>
        </w:numPr>
        <w:spacing w:before="120" w:after="120" w:line="240" w:lineRule="auto"/>
        <w:ind w:hanging="219"/>
        <w:jc w:val="both"/>
        <w:rPr>
          <w:rFonts w:ascii="Times New Roman" w:eastAsia="Times New Roman" w:hAnsi="Times New Roman" w:cs="Times New Roman"/>
          <w:lang w:val="en-GB"/>
        </w:rPr>
      </w:pPr>
      <w:r w:rsidRPr="00442584">
        <w:rPr>
          <w:rFonts w:ascii="Times New Roman" w:eastAsia="Times New Roman" w:hAnsi="Times New Roman" w:cs="Times New Roman"/>
          <w:lang w:val="en-GB"/>
        </w:rPr>
        <w:t>Recognizes the intrinsic value of systemic activities, seeks to understand the relationshi</w:t>
      </w:r>
      <w:r>
        <w:rPr>
          <w:rFonts w:ascii="Times New Roman" w:eastAsia="Times New Roman" w:hAnsi="Times New Roman" w:cs="Times New Roman"/>
          <w:lang w:val="en-GB"/>
        </w:rPr>
        <w:t>ps between logistics activities</w:t>
      </w:r>
      <w:r w:rsidRPr="00442584">
        <w:rPr>
          <w:rFonts w:ascii="Times New Roman" w:eastAsia="Times New Roman" w:hAnsi="Times New Roman" w:cs="Times New Roman"/>
          <w:lang w:val="en-GB"/>
        </w:rPr>
        <w:t>.</w:t>
      </w:r>
    </w:p>
    <w:p w:rsidR="00081882" w:rsidRPr="00442584" w:rsidRDefault="00081882" w:rsidP="00980876">
      <w:pPr>
        <w:pStyle w:val="Listaszerbekezds"/>
        <w:widowControl w:val="0"/>
        <w:numPr>
          <w:ilvl w:val="0"/>
          <w:numId w:val="189"/>
        </w:numPr>
        <w:spacing w:before="120" w:after="120" w:line="240" w:lineRule="auto"/>
        <w:ind w:hanging="219"/>
        <w:jc w:val="both"/>
        <w:rPr>
          <w:rFonts w:ascii="Times New Roman" w:eastAsia="Times New Roman" w:hAnsi="Times New Roman" w:cs="Times New Roman"/>
          <w:lang w:val="en-GB"/>
        </w:rPr>
      </w:pPr>
      <w:r w:rsidRPr="000F0019">
        <w:rPr>
          <w:rFonts w:ascii="Times New Roman" w:eastAsia="Times New Roman" w:hAnsi="Times New Roman" w:cs="Times New Roman"/>
          <w:lang w:val="en-GB"/>
        </w:rPr>
        <w:t>He/she pays particular attention to the legal, regulatory, and accurate work required in the financial field.</w:t>
      </w:r>
    </w:p>
    <w:p w:rsidR="00081882" w:rsidRDefault="00081882" w:rsidP="00081882">
      <w:pPr>
        <w:widowControl w:val="0"/>
        <w:spacing w:before="120" w:after="120" w:line="240" w:lineRule="auto"/>
        <w:ind w:left="426"/>
        <w:jc w:val="both"/>
        <w:rPr>
          <w:rFonts w:ascii="Times New Roman" w:eastAsia="Times New Roman" w:hAnsi="Times New Roman" w:cs="Times New Roman"/>
          <w:b/>
          <w:lang w:val="en-GB"/>
        </w:rPr>
      </w:pPr>
      <w:r w:rsidRPr="00BC6E7B">
        <w:rPr>
          <w:rFonts w:ascii="Times New Roman" w:eastAsia="Times New Roman" w:hAnsi="Times New Roman" w:cs="Times New Roman"/>
          <w:b/>
          <w:lang w:val="en-GB"/>
        </w:rPr>
        <w:t>Autonomy and responsibility:</w:t>
      </w:r>
    </w:p>
    <w:p w:rsidR="00081882" w:rsidRDefault="00081882" w:rsidP="00980876">
      <w:pPr>
        <w:pStyle w:val="Listaszerbekezds"/>
        <w:widowControl w:val="0"/>
        <w:numPr>
          <w:ilvl w:val="0"/>
          <w:numId w:val="189"/>
        </w:numPr>
        <w:spacing w:before="120" w:after="120" w:line="240" w:lineRule="auto"/>
        <w:ind w:hanging="219"/>
        <w:jc w:val="both"/>
        <w:rPr>
          <w:rFonts w:ascii="Times New Roman" w:eastAsia="Times New Roman" w:hAnsi="Times New Roman" w:cs="Times New Roman"/>
          <w:lang w:val="en-GB"/>
        </w:rPr>
      </w:pPr>
      <w:r w:rsidRPr="00F37D21">
        <w:t xml:space="preserve"> </w:t>
      </w:r>
      <w:r w:rsidRPr="00442584">
        <w:rPr>
          <w:rFonts w:ascii="Times New Roman" w:eastAsia="Times New Roman" w:hAnsi="Times New Roman" w:cs="Times New Roman"/>
          <w:lang w:val="en-GB"/>
        </w:rPr>
        <w:t>He / she is able to make decisions in sub-unit and unit-level military logistics and military management processes, with responsibility and within the legal framework</w:t>
      </w:r>
    </w:p>
    <w:p w:rsidR="00081882" w:rsidRDefault="00081882" w:rsidP="00980876">
      <w:pPr>
        <w:pStyle w:val="Listaszerbekezds"/>
        <w:widowControl w:val="0"/>
        <w:numPr>
          <w:ilvl w:val="0"/>
          <w:numId w:val="189"/>
        </w:numPr>
        <w:spacing w:before="120" w:after="120" w:line="240" w:lineRule="auto"/>
        <w:ind w:hanging="219"/>
        <w:jc w:val="both"/>
        <w:rPr>
          <w:rFonts w:ascii="Times New Roman" w:eastAsia="Times New Roman" w:hAnsi="Times New Roman" w:cs="Times New Roman"/>
          <w:lang w:val="en-GB"/>
        </w:rPr>
      </w:pPr>
      <w:r w:rsidRPr="000F0019">
        <w:rPr>
          <w:rFonts w:ascii="Times New Roman" w:eastAsia="Times New Roman" w:hAnsi="Times New Roman" w:cs="Times New Roman"/>
          <w:lang w:val="en-GB"/>
        </w:rPr>
        <w:t>He / she assumes full responsibility for the professional and legal compliance of his/her documents.</w:t>
      </w:r>
    </w:p>
    <w:p w:rsidR="00081882" w:rsidRPr="008B63C1" w:rsidRDefault="00081882" w:rsidP="00980876">
      <w:pPr>
        <w:widowControl w:val="0"/>
        <w:numPr>
          <w:ilvl w:val="0"/>
          <w:numId w:val="407"/>
        </w:numPr>
        <w:tabs>
          <w:tab w:val="clear" w:pos="720"/>
        </w:tabs>
        <w:spacing w:before="120" w:after="120" w:line="240" w:lineRule="auto"/>
        <w:ind w:left="501" w:hanging="217"/>
        <w:jc w:val="both"/>
        <w:rPr>
          <w:rFonts w:ascii="Times New Roman" w:eastAsia="Times New Roman" w:hAnsi="Times New Roman" w:cs="Times New Roman"/>
          <w:lang w:val="en-GB"/>
        </w:rPr>
      </w:pPr>
      <w:r w:rsidRPr="00A30EA9">
        <w:rPr>
          <w:rFonts w:ascii="Times New Roman" w:eastAsia="Times New Roman" w:hAnsi="Times New Roman" w:cs="Times New Roman"/>
          <w:b/>
          <w:bCs/>
        </w:rPr>
        <w:t>Előtanulmányi</w:t>
      </w:r>
      <w:r w:rsidRPr="00DC464C">
        <w:rPr>
          <w:rFonts w:ascii="Times New Roman" w:eastAsia="Times New Roman" w:hAnsi="Times New Roman" w:cs="Times New Roman"/>
          <w:b/>
          <w:lang w:val="en-GB"/>
        </w:rPr>
        <w:t xml:space="preserve"> követelmények</w:t>
      </w:r>
      <w:r w:rsidRPr="008E624A">
        <w:rPr>
          <w:rFonts w:ascii="Times New Roman" w:eastAsia="Times New Roman" w:hAnsi="Times New Roman" w:cs="Times New Roman"/>
          <w:b/>
          <w:bCs/>
        </w:rPr>
        <w:t xml:space="preserve">: </w:t>
      </w:r>
      <w:r>
        <w:rPr>
          <w:rFonts w:ascii="Times New Roman" w:eastAsia="Times New Roman" w:hAnsi="Times New Roman" w:cs="Times New Roman"/>
          <w:bCs/>
        </w:rPr>
        <w:t>nincs</w:t>
      </w:r>
    </w:p>
    <w:p w:rsidR="00081882" w:rsidRPr="008E624A" w:rsidRDefault="00081882" w:rsidP="00980876">
      <w:pPr>
        <w:widowControl w:val="0"/>
        <w:numPr>
          <w:ilvl w:val="0"/>
          <w:numId w:val="407"/>
        </w:numPr>
        <w:tabs>
          <w:tab w:val="clear" w:pos="720"/>
        </w:tabs>
        <w:spacing w:before="120" w:after="120" w:line="240" w:lineRule="auto"/>
        <w:ind w:left="501" w:hanging="217"/>
        <w:jc w:val="both"/>
        <w:rPr>
          <w:rFonts w:ascii="Times New Roman" w:eastAsia="Times New Roman" w:hAnsi="Times New Roman" w:cs="Times New Roman"/>
          <w:lang w:val="en-GB"/>
        </w:rPr>
      </w:pPr>
      <w:r w:rsidRPr="008E624A">
        <w:rPr>
          <w:rFonts w:ascii="Times New Roman" w:eastAsia="Times New Roman" w:hAnsi="Times New Roman" w:cs="Times New Roman"/>
          <w:b/>
          <w:bCs/>
        </w:rPr>
        <w:t>A tantárgy tananyagának leírása, tematika. Description of the subject, curriculum (magyarul, angolul - English):</w:t>
      </w:r>
    </w:p>
    <w:p w:rsidR="00081882" w:rsidRPr="00DC464C" w:rsidRDefault="00081882" w:rsidP="00980876">
      <w:pPr>
        <w:widowControl w:val="0"/>
        <w:numPr>
          <w:ilvl w:val="1"/>
          <w:numId w:val="407"/>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FB167E">
        <w:rPr>
          <w:rFonts w:ascii="Times New Roman" w:eastAsia="Times New Roman" w:hAnsi="Times New Roman" w:cs="Times New Roman"/>
          <w:kern w:val="2"/>
        </w:rPr>
        <w:t>A Magyar Honvédség készenléte fenntartásának és fokozásának rendjéről szóló jogszabályok és jogi szervezetszabályozó eszközök rendszere, azok hierarchiája.</w:t>
      </w:r>
      <w:r w:rsidRPr="00DC464C">
        <w:rPr>
          <w:rFonts w:ascii="Times New Roman" w:eastAsia="Times New Roman" w:hAnsi="Times New Roman" w:cs="Times New Roman"/>
          <w:kern w:val="2"/>
        </w:rPr>
        <w:t xml:space="preserve"> </w:t>
      </w:r>
      <w:r w:rsidRPr="00FB167E">
        <w:rPr>
          <w:rFonts w:ascii="Times New Roman" w:eastAsia="Times New Roman" w:hAnsi="Times New Roman" w:cs="Times New Roman"/>
          <w:i/>
          <w:kern w:val="2"/>
        </w:rPr>
        <w:t>(The system of legal acts and legal organization regulating the order of maintaining and increasing the readiness of the Hungarian Defense Forces, their hierarchy.)</w:t>
      </w:r>
    </w:p>
    <w:p w:rsidR="00081882" w:rsidRPr="00FB167E" w:rsidRDefault="00081882" w:rsidP="00980876">
      <w:pPr>
        <w:widowControl w:val="0"/>
        <w:numPr>
          <w:ilvl w:val="1"/>
          <w:numId w:val="407"/>
        </w:numPr>
        <w:tabs>
          <w:tab w:val="clear" w:pos="3977"/>
          <w:tab w:val="left" w:pos="709"/>
          <w:tab w:val="left" w:pos="993"/>
          <w:tab w:val="num" w:pos="2069"/>
        </w:tabs>
        <w:spacing w:before="120" w:after="120"/>
        <w:ind w:left="993" w:hanging="567"/>
        <w:jc w:val="both"/>
        <w:rPr>
          <w:rFonts w:ascii="Times New Roman" w:eastAsia="Times New Roman" w:hAnsi="Times New Roman" w:cs="Times New Roman"/>
          <w:kern w:val="2"/>
        </w:rPr>
      </w:pPr>
      <w:r w:rsidRPr="00FB167E">
        <w:rPr>
          <w:rFonts w:ascii="Times New Roman" w:eastAsia="Times New Roman" w:hAnsi="Times New Roman" w:cs="Times New Roman"/>
          <w:kern w:val="2"/>
        </w:rPr>
        <w:t>A Honvédelmi szervezetek készenléte fenntartása és fokozása pénzügyi és számviteli biztosításának általános szabályai és alapfogalmai</w:t>
      </w:r>
      <w:r w:rsidRPr="00DC464C">
        <w:rPr>
          <w:rFonts w:ascii="Times New Roman" w:eastAsia="Times New Roman" w:hAnsi="Times New Roman" w:cs="Times New Roman"/>
          <w:kern w:val="2"/>
        </w:rPr>
        <w:t xml:space="preserve">. </w:t>
      </w:r>
      <w:r w:rsidRPr="00FB167E">
        <w:rPr>
          <w:rFonts w:ascii="Times New Roman" w:eastAsia="Times New Roman" w:hAnsi="Times New Roman" w:cs="Times New Roman"/>
          <w:i/>
          <w:kern w:val="2"/>
        </w:rPr>
        <w:t>(</w:t>
      </w:r>
      <w:r w:rsidRPr="00FB167E">
        <w:rPr>
          <w:rFonts w:ascii="Times New Roman" w:eastAsia="Times New Roman" w:hAnsi="Times New Roman" w:cs="Times New Roman"/>
          <w:i/>
          <w:kern w:val="2"/>
          <w:lang w:val="en"/>
        </w:rPr>
        <w:t>General rules and basic concepts for maintaining and increasing defense organizations readiness.)</w:t>
      </w:r>
    </w:p>
    <w:p w:rsidR="00081882" w:rsidRPr="00DC464C" w:rsidRDefault="00081882" w:rsidP="00980876">
      <w:pPr>
        <w:widowControl w:val="0"/>
        <w:numPr>
          <w:ilvl w:val="1"/>
          <w:numId w:val="407"/>
        </w:numPr>
        <w:tabs>
          <w:tab w:val="clear" w:pos="3977"/>
          <w:tab w:val="left" w:pos="709"/>
          <w:tab w:val="left" w:pos="993"/>
          <w:tab w:val="num" w:pos="2069"/>
        </w:tabs>
        <w:spacing w:before="120" w:after="120"/>
        <w:ind w:left="993" w:hanging="567"/>
        <w:jc w:val="both"/>
        <w:rPr>
          <w:rFonts w:ascii="Times New Roman" w:eastAsia="Times New Roman" w:hAnsi="Times New Roman" w:cs="Times New Roman"/>
          <w:kern w:val="2"/>
        </w:rPr>
      </w:pPr>
      <w:r w:rsidRPr="00FB167E">
        <w:rPr>
          <w:rFonts w:ascii="Times New Roman" w:eastAsia="Times New Roman" w:hAnsi="Times New Roman" w:cs="Times New Roman"/>
          <w:kern w:val="2"/>
        </w:rPr>
        <w:t>A pénzügyi szervezet működőképességének megteremtése, fenntartása</w:t>
      </w:r>
      <w:r w:rsidRPr="00DC464C">
        <w:rPr>
          <w:rFonts w:ascii="Times New Roman" w:eastAsia="Times New Roman" w:hAnsi="Times New Roman" w:cs="Times New Roman"/>
          <w:kern w:val="2"/>
        </w:rPr>
        <w:t xml:space="preserve">. </w:t>
      </w:r>
      <w:r w:rsidRPr="00FB167E">
        <w:rPr>
          <w:rFonts w:ascii="Times New Roman" w:eastAsia="Times New Roman" w:hAnsi="Times New Roman" w:cs="Times New Roman"/>
          <w:kern w:val="2"/>
        </w:rPr>
        <w:t>(</w:t>
      </w:r>
      <w:r w:rsidRPr="00FB167E">
        <w:rPr>
          <w:rFonts w:ascii="Times New Roman" w:eastAsia="Times New Roman" w:hAnsi="Times New Roman" w:cs="Times New Roman"/>
          <w:i/>
          <w:kern w:val="2"/>
        </w:rPr>
        <w:t>Formation and maintenance of the viability of the financial organization.)</w:t>
      </w:r>
    </w:p>
    <w:p w:rsidR="00081882" w:rsidRDefault="00081882" w:rsidP="00980876">
      <w:pPr>
        <w:widowControl w:val="0"/>
        <w:numPr>
          <w:ilvl w:val="1"/>
          <w:numId w:val="407"/>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1. ZH megírása </w:t>
      </w:r>
      <w:r w:rsidRPr="00FB167E">
        <w:rPr>
          <w:rFonts w:ascii="Times New Roman" w:eastAsia="Times New Roman" w:hAnsi="Times New Roman" w:cs="Times New Roman"/>
          <w:i/>
          <w:kern w:val="2"/>
        </w:rPr>
        <w:t>(Written test)</w:t>
      </w:r>
    </w:p>
    <w:p w:rsidR="00081882" w:rsidRDefault="00081882" w:rsidP="00980876">
      <w:pPr>
        <w:widowControl w:val="0"/>
        <w:numPr>
          <w:ilvl w:val="1"/>
          <w:numId w:val="407"/>
        </w:numPr>
        <w:tabs>
          <w:tab w:val="clear" w:pos="3977"/>
          <w:tab w:val="num" w:pos="780"/>
          <w:tab w:val="left" w:pos="993"/>
        </w:tabs>
        <w:spacing w:before="120" w:after="120"/>
        <w:ind w:left="780" w:hanging="354"/>
        <w:jc w:val="both"/>
        <w:rPr>
          <w:rFonts w:ascii="Times New Roman" w:eastAsia="Times New Roman" w:hAnsi="Times New Roman" w:cs="Times New Roman"/>
          <w:kern w:val="2"/>
        </w:rPr>
      </w:pPr>
      <w:r w:rsidRPr="00FB167E">
        <w:rPr>
          <w:rFonts w:ascii="Times New Roman" w:eastAsia="Times New Roman" w:hAnsi="Times New Roman" w:cs="Times New Roman"/>
          <w:kern w:val="2"/>
        </w:rPr>
        <w:lastRenderedPageBreak/>
        <w:t>Költségvetési gazdálkodás és pénzellátás</w:t>
      </w:r>
      <w:r w:rsidRPr="00DC464C">
        <w:rPr>
          <w:rFonts w:ascii="Times New Roman" w:eastAsia="Times New Roman" w:hAnsi="Times New Roman" w:cs="Times New Roman"/>
          <w:kern w:val="2"/>
        </w:rPr>
        <w:t xml:space="preserve">. </w:t>
      </w:r>
      <w:r w:rsidRPr="00FB167E">
        <w:rPr>
          <w:rFonts w:ascii="Times New Roman" w:eastAsia="Times New Roman" w:hAnsi="Times New Roman" w:cs="Times New Roman"/>
          <w:kern w:val="2"/>
        </w:rPr>
        <w:t>(</w:t>
      </w:r>
      <w:r w:rsidRPr="00FB167E">
        <w:rPr>
          <w:rFonts w:ascii="Times New Roman" w:eastAsia="Times New Roman" w:hAnsi="Times New Roman" w:cs="Times New Roman"/>
          <w:i/>
          <w:kern w:val="2"/>
        </w:rPr>
        <w:t>Budgetary management and money supply.)</w:t>
      </w:r>
    </w:p>
    <w:p w:rsidR="00081882" w:rsidRPr="00FB167E" w:rsidRDefault="00081882" w:rsidP="00980876">
      <w:pPr>
        <w:widowControl w:val="0"/>
        <w:numPr>
          <w:ilvl w:val="1"/>
          <w:numId w:val="407"/>
        </w:numPr>
        <w:tabs>
          <w:tab w:val="clear" w:pos="3977"/>
          <w:tab w:val="left" w:pos="709"/>
          <w:tab w:val="left" w:pos="993"/>
          <w:tab w:val="num" w:pos="2069"/>
        </w:tabs>
        <w:spacing w:before="120" w:after="120"/>
        <w:ind w:left="993" w:hanging="567"/>
        <w:jc w:val="both"/>
        <w:rPr>
          <w:rFonts w:ascii="Times New Roman" w:eastAsia="Times New Roman" w:hAnsi="Times New Roman" w:cs="Times New Roman"/>
          <w:kern w:val="2"/>
        </w:rPr>
      </w:pPr>
      <w:r w:rsidRPr="00FB167E">
        <w:rPr>
          <w:rFonts w:ascii="Times New Roman" w:eastAsia="Times New Roman" w:hAnsi="Times New Roman" w:cs="Times New Roman"/>
          <w:kern w:val="2"/>
        </w:rPr>
        <w:t xml:space="preserve">Az illetmények visszahagyása, számfejtése, folyósítása, a családtagok ellátása, valamint a megtakarítások, letétek kezelése. </w:t>
      </w:r>
      <w:r w:rsidRPr="00FB167E">
        <w:rPr>
          <w:rFonts w:ascii="Times New Roman" w:eastAsia="Times New Roman" w:hAnsi="Times New Roman" w:cs="Times New Roman"/>
          <w:i/>
          <w:kern w:val="2"/>
        </w:rPr>
        <w:t>(Reserves of salaries, accounting, disbursement, care for family members and management of savings and deposits.)</w:t>
      </w:r>
    </w:p>
    <w:p w:rsidR="00081882" w:rsidRPr="0096420F" w:rsidRDefault="00081882" w:rsidP="00980876">
      <w:pPr>
        <w:widowControl w:val="0"/>
        <w:numPr>
          <w:ilvl w:val="1"/>
          <w:numId w:val="407"/>
        </w:numPr>
        <w:tabs>
          <w:tab w:val="clear" w:pos="3977"/>
          <w:tab w:val="left" w:pos="709"/>
          <w:tab w:val="num" w:pos="780"/>
          <w:tab w:val="left" w:pos="993"/>
        </w:tabs>
        <w:spacing w:before="120" w:after="120" w:line="240" w:lineRule="auto"/>
        <w:ind w:left="780" w:hanging="354"/>
        <w:jc w:val="both"/>
        <w:rPr>
          <w:rFonts w:ascii="Times New Roman" w:eastAsia="Times New Roman" w:hAnsi="Times New Roman" w:cs="Times New Roman"/>
          <w:kern w:val="2"/>
        </w:rPr>
      </w:pPr>
      <w:r w:rsidRPr="00FB167E">
        <w:rPr>
          <w:rFonts w:ascii="Times New Roman" w:eastAsia="Times New Roman" w:hAnsi="Times New Roman" w:cs="Times New Roman"/>
          <w:kern w:val="2"/>
        </w:rPr>
        <w:t>Egyéb pénzügyi feladatok</w:t>
      </w:r>
      <w:r w:rsidRPr="00DC464C">
        <w:rPr>
          <w:rFonts w:ascii="Times New Roman" w:eastAsia="Times New Roman" w:hAnsi="Times New Roman" w:cs="Times New Roman"/>
          <w:kern w:val="2"/>
        </w:rPr>
        <w:t xml:space="preserve"> </w:t>
      </w:r>
      <w:r w:rsidRPr="0096420F">
        <w:rPr>
          <w:rFonts w:ascii="Times New Roman" w:eastAsia="Times New Roman" w:hAnsi="Times New Roman" w:cs="Times New Roman"/>
          <w:i/>
          <w:kern w:val="2"/>
        </w:rPr>
        <w:t>(Other financial tasks.)</w:t>
      </w:r>
    </w:p>
    <w:p w:rsidR="00081882" w:rsidRPr="0096420F" w:rsidRDefault="00081882" w:rsidP="00980876">
      <w:pPr>
        <w:widowControl w:val="0"/>
        <w:numPr>
          <w:ilvl w:val="1"/>
          <w:numId w:val="407"/>
        </w:numPr>
        <w:tabs>
          <w:tab w:val="clear" w:pos="3977"/>
          <w:tab w:val="left" w:pos="709"/>
          <w:tab w:val="num" w:pos="780"/>
          <w:tab w:val="left" w:pos="993"/>
        </w:tabs>
        <w:spacing w:before="120" w:after="120" w:line="240" w:lineRule="auto"/>
        <w:ind w:left="780" w:hanging="354"/>
        <w:jc w:val="both"/>
        <w:rPr>
          <w:rFonts w:ascii="Times New Roman" w:eastAsia="Times New Roman" w:hAnsi="Times New Roman" w:cs="Times New Roman"/>
          <w:kern w:val="2"/>
        </w:rPr>
      </w:pPr>
      <w:r w:rsidRPr="0096420F">
        <w:rPr>
          <w:rFonts w:ascii="Times New Roman" w:eastAsia="Times New Roman" w:hAnsi="Times New Roman" w:cs="Times New Roman"/>
          <w:kern w:val="2"/>
        </w:rPr>
        <w:t>A békeidőszakban végrehajtandó feladatok</w:t>
      </w:r>
      <w:r>
        <w:rPr>
          <w:rFonts w:ascii="Times New Roman" w:eastAsia="Times New Roman" w:hAnsi="Times New Roman" w:cs="Times New Roman"/>
          <w:kern w:val="2"/>
        </w:rPr>
        <w:t xml:space="preserve">. </w:t>
      </w:r>
      <w:r w:rsidRPr="0096420F">
        <w:rPr>
          <w:rFonts w:ascii="Times New Roman" w:eastAsia="Times New Roman" w:hAnsi="Times New Roman" w:cs="Times New Roman"/>
          <w:i/>
          <w:kern w:val="2"/>
        </w:rPr>
        <w:t>(Peacetime tasks.)</w:t>
      </w:r>
    </w:p>
    <w:p w:rsidR="00081882" w:rsidRPr="0096420F" w:rsidRDefault="00081882" w:rsidP="00980876">
      <w:pPr>
        <w:widowControl w:val="0"/>
        <w:numPr>
          <w:ilvl w:val="1"/>
          <w:numId w:val="407"/>
        </w:numPr>
        <w:tabs>
          <w:tab w:val="clear" w:pos="3977"/>
          <w:tab w:val="left" w:pos="709"/>
          <w:tab w:val="num" w:pos="780"/>
          <w:tab w:val="left" w:pos="993"/>
        </w:tabs>
        <w:spacing w:before="120" w:after="120" w:line="240" w:lineRule="auto"/>
        <w:ind w:left="780" w:hanging="354"/>
        <w:jc w:val="both"/>
        <w:rPr>
          <w:rFonts w:ascii="Times New Roman" w:eastAsia="Times New Roman" w:hAnsi="Times New Roman" w:cs="Times New Roman"/>
          <w:kern w:val="2"/>
        </w:rPr>
      </w:pPr>
      <w:r>
        <w:rPr>
          <w:rFonts w:ascii="Times New Roman" w:eastAsia="Times New Roman" w:hAnsi="Times New Roman" w:cs="Times New Roman"/>
          <w:kern w:val="2"/>
        </w:rPr>
        <w:t xml:space="preserve">2. ZH megírása </w:t>
      </w:r>
      <w:r w:rsidRPr="0096420F">
        <w:rPr>
          <w:rFonts w:ascii="Times New Roman" w:eastAsia="Times New Roman" w:hAnsi="Times New Roman" w:cs="Times New Roman"/>
          <w:i/>
          <w:kern w:val="2"/>
        </w:rPr>
        <w:t>(Written test.)</w:t>
      </w:r>
    </w:p>
    <w:p w:rsidR="00081882" w:rsidRPr="00DC464C" w:rsidRDefault="00081882" w:rsidP="00980876">
      <w:pPr>
        <w:widowControl w:val="0"/>
        <w:numPr>
          <w:ilvl w:val="1"/>
          <w:numId w:val="407"/>
        </w:numPr>
        <w:tabs>
          <w:tab w:val="clear" w:pos="3977"/>
          <w:tab w:val="left" w:pos="709"/>
          <w:tab w:val="num" w:pos="780"/>
          <w:tab w:val="left" w:pos="993"/>
        </w:tabs>
        <w:spacing w:before="120" w:after="120" w:line="240" w:lineRule="auto"/>
        <w:ind w:left="780" w:hanging="354"/>
        <w:jc w:val="both"/>
        <w:rPr>
          <w:rFonts w:ascii="Times New Roman" w:eastAsia="Times New Roman" w:hAnsi="Times New Roman" w:cs="Times New Roman"/>
          <w:kern w:val="2"/>
        </w:rPr>
      </w:pPr>
      <w:r w:rsidRPr="0096420F">
        <w:rPr>
          <w:rFonts w:ascii="Times New Roman" w:eastAsia="Times New Roman" w:hAnsi="Times New Roman" w:cs="Times New Roman"/>
          <w:kern w:val="2"/>
        </w:rPr>
        <w:t>Ellenőrzési feladatok</w:t>
      </w:r>
      <w:r>
        <w:rPr>
          <w:rFonts w:ascii="Times New Roman" w:eastAsia="Times New Roman" w:hAnsi="Times New Roman" w:cs="Times New Roman"/>
          <w:kern w:val="2"/>
        </w:rPr>
        <w:t xml:space="preserve"> (</w:t>
      </w:r>
      <w:r>
        <w:rPr>
          <w:rFonts w:ascii="Times New Roman" w:eastAsia="Times New Roman" w:hAnsi="Times New Roman" w:cs="Times New Roman"/>
          <w:i/>
          <w:kern w:val="2"/>
        </w:rPr>
        <w:t>Tasks regarding controll)</w:t>
      </w:r>
    </w:p>
    <w:p w:rsidR="00081882" w:rsidRPr="0096420F" w:rsidRDefault="00081882" w:rsidP="00980876">
      <w:pPr>
        <w:widowControl w:val="0"/>
        <w:numPr>
          <w:ilvl w:val="1"/>
          <w:numId w:val="407"/>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96420F">
        <w:rPr>
          <w:rFonts w:ascii="Times New Roman" w:eastAsia="Times New Roman" w:hAnsi="Times New Roman" w:cs="Times New Roman"/>
          <w:kern w:val="2"/>
        </w:rPr>
        <w:t xml:space="preserve"> A készenlét fokozása érdekében végrehajtandó feladatok a kezdeti műveleti készenlét időszakában. </w:t>
      </w:r>
      <w:r w:rsidRPr="0096420F">
        <w:rPr>
          <w:rFonts w:ascii="Times New Roman" w:eastAsia="Times New Roman" w:hAnsi="Times New Roman" w:cs="Times New Roman"/>
          <w:i/>
          <w:kern w:val="2"/>
        </w:rPr>
        <w:t>(Tasks to be performed to enhance standby during the initial operational standby period.)</w:t>
      </w:r>
    </w:p>
    <w:p w:rsidR="00081882" w:rsidRPr="0096420F" w:rsidRDefault="00081882" w:rsidP="00980876">
      <w:pPr>
        <w:widowControl w:val="0"/>
        <w:numPr>
          <w:ilvl w:val="1"/>
          <w:numId w:val="407"/>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96420F">
        <w:rPr>
          <w:rFonts w:ascii="Times New Roman" w:eastAsia="Times New Roman" w:hAnsi="Times New Roman" w:cs="Times New Roman"/>
          <w:kern w:val="2"/>
        </w:rPr>
        <w:t xml:space="preserve">A készenlét fokozása érdekében a teljes műveleti készenlét időszakában végrehajtandó feladatok. </w:t>
      </w:r>
      <w:r w:rsidRPr="0096420F">
        <w:rPr>
          <w:rFonts w:ascii="Times New Roman" w:eastAsia="Times New Roman" w:hAnsi="Times New Roman" w:cs="Times New Roman"/>
          <w:i/>
          <w:kern w:val="2"/>
        </w:rPr>
        <w:t>(Tasks to be performed throughout the operational readiness period to enhance readiness.)</w:t>
      </w:r>
    </w:p>
    <w:p w:rsidR="00081882" w:rsidRPr="0096420F" w:rsidRDefault="00081882" w:rsidP="00980876">
      <w:pPr>
        <w:widowControl w:val="0"/>
        <w:numPr>
          <w:ilvl w:val="1"/>
          <w:numId w:val="407"/>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3. ZH megírása </w:t>
      </w:r>
      <w:r w:rsidRPr="0096420F">
        <w:rPr>
          <w:rFonts w:ascii="Times New Roman" w:eastAsia="Times New Roman" w:hAnsi="Times New Roman" w:cs="Times New Roman"/>
          <w:i/>
          <w:kern w:val="2"/>
        </w:rPr>
        <w:t>(Written test.)</w:t>
      </w:r>
    </w:p>
    <w:p w:rsidR="00081882" w:rsidRPr="00DC464C" w:rsidRDefault="00081882" w:rsidP="00980876">
      <w:pPr>
        <w:widowControl w:val="0"/>
        <w:numPr>
          <w:ilvl w:val="1"/>
          <w:numId w:val="407"/>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96420F">
        <w:rPr>
          <w:rFonts w:ascii="Times New Roman" w:eastAsia="Times New Roman" w:hAnsi="Times New Roman" w:cs="Times New Roman"/>
          <w:kern w:val="2"/>
        </w:rPr>
        <w:t>Összefoglalás, komplex feladatok megoldása</w:t>
      </w:r>
      <w:r>
        <w:rPr>
          <w:rFonts w:ascii="Times New Roman" w:eastAsia="Times New Roman" w:hAnsi="Times New Roman" w:cs="Times New Roman"/>
          <w:kern w:val="2"/>
        </w:rPr>
        <w:t xml:space="preserve"> </w:t>
      </w:r>
      <w:r w:rsidRPr="0096420F">
        <w:rPr>
          <w:rFonts w:ascii="Times New Roman" w:eastAsia="Times New Roman" w:hAnsi="Times New Roman" w:cs="Times New Roman"/>
          <w:i/>
          <w:kern w:val="2"/>
        </w:rPr>
        <w:t>(Summary, solving a complex problem.)</w:t>
      </w:r>
    </w:p>
    <w:p w:rsidR="00081882" w:rsidRPr="006331D3" w:rsidRDefault="00081882" w:rsidP="00980876">
      <w:pPr>
        <w:widowControl w:val="0"/>
        <w:numPr>
          <w:ilvl w:val="0"/>
          <w:numId w:val="407"/>
        </w:numPr>
        <w:tabs>
          <w:tab w:val="clear" w:pos="720"/>
        </w:tabs>
        <w:spacing w:before="120" w:after="120" w:line="240" w:lineRule="auto"/>
        <w:ind w:left="501" w:hanging="217"/>
        <w:jc w:val="both"/>
        <w:rPr>
          <w:rFonts w:ascii="Times New Roman" w:eastAsia="Times New Roman" w:hAnsi="Times New Roman" w:cs="Times New Roman"/>
          <w:bCs/>
        </w:rPr>
      </w:pPr>
      <w:r w:rsidRPr="006331D3">
        <w:rPr>
          <w:rFonts w:ascii="Times New Roman" w:eastAsia="Times New Roman" w:hAnsi="Times New Roman" w:cs="Times New Roman"/>
          <w:b/>
          <w:bCs/>
        </w:rPr>
        <w:t xml:space="preserve">A tantárgy meghirdetésének gyakorisága/a tantervben történő félévi elhelyezkedése: </w:t>
      </w:r>
      <w:r w:rsidRPr="006331D3">
        <w:rPr>
          <w:rFonts w:ascii="Times New Roman" w:eastAsia="Times New Roman" w:hAnsi="Times New Roman" w:cs="Times New Roman"/>
          <w:bCs/>
        </w:rPr>
        <w:t>a tanév 1. (őszi) félévében.</w:t>
      </w:r>
    </w:p>
    <w:p w:rsidR="00081882" w:rsidRDefault="00081882" w:rsidP="00980876">
      <w:pPr>
        <w:widowControl w:val="0"/>
        <w:numPr>
          <w:ilvl w:val="0"/>
          <w:numId w:val="407"/>
        </w:numPr>
        <w:tabs>
          <w:tab w:val="clear" w:pos="720"/>
        </w:tabs>
        <w:spacing w:before="120" w:after="120" w:line="240" w:lineRule="auto"/>
        <w:ind w:left="501" w:hanging="217"/>
        <w:jc w:val="both"/>
        <w:rPr>
          <w:rFonts w:ascii="Times New Roman" w:eastAsia="Times New Roman" w:hAnsi="Times New Roman" w:cs="Times New Roman"/>
          <w:bCs/>
        </w:rPr>
      </w:pPr>
      <w:r w:rsidRPr="00BC6E7B">
        <w:rPr>
          <w:rFonts w:ascii="Times New Roman" w:eastAsia="Times New Roman" w:hAnsi="Times New Roman" w:cs="Times New Roman"/>
          <w:b/>
          <w:bCs/>
        </w:rPr>
        <w:t>A tanórákon való részvétel követelményei, az elfogadható hiányzások mértéke, a távolmaradás pótlásának lehetősége:</w:t>
      </w:r>
      <w:r>
        <w:rPr>
          <w:rFonts w:ascii="Times New Roman" w:eastAsia="Times New Roman" w:hAnsi="Times New Roman" w:cs="Times New Roman"/>
          <w:bCs/>
        </w:rPr>
        <w:t xml:space="preserve"> </w:t>
      </w:r>
      <w:r w:rsidRPr="00D0042F">
        <w:rPr>
          <w:rFonts w:ascii="Times New Roman" w:eastAsia="Times New Roman" w:hAnsi="Times New Roman" w:cs="Times New Roman"/>
          <w:bCs/>
        </w:rPr>
        <w:t xml:space="preserve">a tanórákon való jelenlét kötelező, az elfogadható és igazolt hiányzások száma maximum a tanórák </w:t>
      </w:r>
      <w:r>
        <w:rPr>
          <w:rFonts w:ascii="Times New Roman" w:eastAsia="Times New Roman" w:hAnsi="Times New Roman" w:cs="Times New Roman"/>
          <w:bCs/>
        </w:rPr>
        <w:t>2</w:t>
      </w:r>
      <w:r w:rsidRPr="00D0042F">
        <w:rPr>
          <w:rFonts w:ascii="Times New Roman" w:eastAsia="Times New Roman" w:hAnsi="Times New Roman" w:cs="Times New Roman"/>
          <w:bCs/>
        </w:rPr>
        <w:t>0%-áig terjedhet, az ismeretek pótlásáról a hallgató gondoskodik.</w:t>
      </w:r>
      <w:r>
        <w:rPr>
          <w:rFonts w:ascii="Times New Roman" w:eastAsia="Times New Roman" w:hAnsi="Times New Roman" w:cs="Times New Roman"/>
          <w:bCs/>
        </w:rPr>
        <w:t xml:space="preserve"> A hiányzások elfogadható mértékének túllépése az aláírás megtagadását vonja maga után.</w:t>
      </w:r>
    </w:p>
    <w:p w:rsidR="00081882" w:rsidRPr="000A0F8B" w:rsidRDefault="00081882" w:rsidP="00980876">
      <w:pPr>
        <w:widowControl w:val="0"/>
        <w:numPr>
          <w:ilvl w:val="0"/>
          <w:numId w:val="407"/>
        </w:numPr>
        <w:tabs>
          <w:tab w:val="clear" w:pos="720"/>
        </w:tabs>
        <w:spacing w:before="120" w:after="120" w:line="240" w:lineRule="auto"/>
        <w:ind w:left="501" w:hanging="217"/>
        <w:jc w:val="both"/>
        <w:rPr>
          <w:rFonts w:ascii="Times New Roman" w:eastAsia="Times New Roman" w:hAnsi="Times New Roman" w:cs="Times New Roman"/>
          <w:bCs/>
        </w:rPr>
      </w:pPr>
      <w:r w:rsidRPr="00A30EA9">
        <w:rPr>
          <w:rFonts w:ascii="Times New Roman" w:eastAsia="Times New Roman" w:hAnsi="Times New Roman" w:cs="Times New Roman"/>
          <w:b/>
          <w:bCs/>
        </w:rPr>
        <w:t>Félévközi</w:t>
      </w:r>
      <w:r w:rsidRPr="000A0F8B">
        <w:rPr>
          <w:rFonts w:ascii="Times New Roman" w:eastAsia="Times New Roman" w:hAnsi="Times New Roman" w:cs="Times New Roman"/>
          <w:b/>
        </w:rPr>
        <w:t xml:space="preserve"> feladatok, ismeretek ellenőrzésének rendje:</w:t>
      </w:r>
      <w:r w:rsidRPr="000A0F8B">
        <w:rPr>
          <w:rFonts w:ascii="Times New Roman" w:eastAsia="Times New Roman" w:hAnsi="Times New Roman" w:cs="Times New Roman"/>
        </w:rPr>
        <w:t xml:space="preserve"> A hallgató a félév során </w:t>
      </w:r>
      <w:r>
        <w:rPr>
          <w:rFonts w:ascii="Times New Roman" w:eastAsia="Times New Roman" w:hAnsi="Times New Roman" w:cs="Times New Roman"/>
        </w:rPr>
        <w:t>három</w:t>
      </w:r>
      <w:r w:rsidRPr="000A0F8B">
        <w:rPr>
          <w:rFonts w:ascii="Times New Roman" w:eastAsia="Times New Roman" w:hAnsi="Times New Roman" w:cs="Times New Roman"/>
        </w:rPr>
        <w:t xml:space="preserve"> zárthelyi dolgozatot ír. A zárthelyi dolgozatok értékelése ötfokozatú skála alapján történik (50 %-tól elégséges, 65 %-tól közepes, 75-tól % jó, 85 %-tól jeles). A zárthelyi dolgozat</w:t>
      </w:r>
      <w:r>
        <w:rPr>
          <w:rFonts w:ascii="Times New Roman" w:eastAsia="Times New Roman" w:hAnsi="Times New Roman" w:cs="Times New Roman"/>
        </w:rPr>
        <w:t>ok</w:t>
      </w:r>
      <w:r w:rsidRPr="000A0F8B">
        <w:rPr>
          <w:rFonts w:ascii="Times New Roman" w:eastAsia="Times New Roman" w:hAnsi="Times New Roman" w:cs="Times New Roman"/>
        </w:rPr>
        <w:t xml:space="preserve"> egyszer pótolható</w:t>
      </w:r>
      <w:r>
        <w:rPr>
          <w:rFonts w:ascii="Times New Roman" w:eastAsia="Times New Roman" w:hAnsi="Times New Roman" w:cs="Times New Roman"/>
        </w:rPr>
        <w:t>k</w:t>
      </w:r>
      <w:r w:rsidRPr="000A0F8B">
        <w:rPr>
          <w:rFonts w:ascii="Times New Roman" w:eastAsia="Times New Roman" w:hAnsi="Times New Roman" w:cs="Times New Roman"/>
        </w:rPr>
        <w:t>, illetve sikertelensége esetén javítható</w:t>
      </w:r>
      <w:r>
        <w:rPr>
          <w:rFonts w:ascii="Times New Roman" w:eastAsia="Times New Roman" w:hAnsi="Times New Roman" w:cs="Times New Roman"/>
        </w:rPr>
        <w:t>k</w:t>
      </w:r>
      <w:r w:rsidRPr="000A0F8B">
        <w:rPr>
          <w:rFonts w:ascii="Times New Roman" w:eastAsia="Times New Roman" w:hAnsi="Times New Roman" w:cs="Times New Roman"/>
        </w:rPr>
        <w:t>.</w:t>
      </w:r>
    </w:p>
    <w:p w:rsidR="00081882" w:rsidRDefault="00081882" w:rsidP="00980876">
      <w:pPr>
        <w:widowControl w:val="0"/>
        <w:numPr>
          <w:ilvl w:val="0"/>
          <w:numId w:val="407"/>
        </w:numPr>
        <w:tabs>
          <w:tab w:val="clear" w:pos="720"/>
        </w:tabs>
        <w:spacing w:before="120" w:after="120" w:line="240" w:lineRule="auto"/>
        <w:ind w:left="501" w:hanging="217"/>
        <w:jc w:val="both"/>
        <w:rPr>
          <w:rFonts w:ascii="Times New Roman" w:eastAsia="Times New Roman" w:hAnsi="Times New Roman" w:cs="Times New Roman"/>
          <w:b/>
          <w:bCs/>
        </w:rPr>
      </w:pPr>
      <w:r w:rsidRPr="00BC6E7B">
        <w:rPr>
          <w:rFonts w:ascii="Times New Roman" w:eastAsia="Times New Roman" w:hAnsi="Times New Roman" w:cs="Times New Roman"/>
          <w:b/>
          <w:bCs/>
        </w:rPr>
        <w:t xml:space="preserve">Az értékelés, az aláírás és a kreditek megszerzésének pontos feltételei: </w:t>
      </w:r>
    </w:p>
    <w:p w:rsidR="00081882" w:rsidRDefault="00081882" w:rsidP="00980876">
      <w:pPr>
        <w:widowControl w:val="0"/>
        <w:numPr>
          <w:ilvl w:val="1"/>
          <w:numId w:val="407"/>
        </w:numPr>
        <w:tabs>
          <w:tab w:val="clear" w:pos="3977"/>
          <w:tab w:val="left" w:pos="709"/>
          <w:tab w:val="num" w:pos="780"/>
          <w:tab w:val="left" w:pos="993"/>
          <w:tab w:val="num" w:pos="2069"/>
        </w:tabs>
        <w:spacing w:before="120" w:after="120" w:line="240" w:lineRule="auto"/>
        <w:ind w:left="426" w:firstLine="0"/>
        <w:jc w:val="both"/>
        <w:rPr>
          <w:rFonts w:ascii="Times New Roman" w:eastAsia="Times New Roman" w:hAnsi="Times New Roman" w:cs="Times New Roman"/>
        </w:rPr>
      </w:pPr>
      <w:r w:rsidRPr="000D191A">
        <w:rPr>
          <w:rFonts w:ascii="Times New Roman" w:eastAsia="Times New Roman" w:hAnsi="Times New Roman" w:cs="Times New Roman"/>
          <w:b/>
        </w:rPr>
        <w:t>Az aláírás megszerzésének feltételei:</w:t>
      </w:r>
      <w:r w:rsidRPr="000D191A">
        <w:rPr>
          <w:rFonts w:ascii="Times New Roman" w:eastAsia="Times New Roman" w:hAnsi="Times New Roman" w:cs="Times New Roman"/>
        </w:rPr>
        <w:t xml:space="preserve"> Az aláírás megszerzésének feltétele a 14. pontban meghatározott arányú részvétel a foglalkozásokon és a 15. pontban meghatározott félévközi feladatok legalább elégséges teljesítése</w:t>
      </w:r>
      <w:r>
        <w:rPr>
          <w:rFonts w:ascii="Times New Roman" w:eastAsia="Times New Roman" w:hAnsi="Times New Roman" w:cs="Times New Roman"/>
        </w:rPr>
        <w:t>.</w:t>
      </w:r>
    </w:p>
    <w:p w:rsidR="00081882" w:rsidRPr="0096420F" w:rsidRDefault="00081882" w:rsidP="00980876">
      <w:pPr>
        <w:widowControl w:val="0"/>
        <w:numPr>
          <w:ilvl w:val="1"/>
          <w:numId w:val="407"/>
        </w:numPr>
        <w:tabs>
          <w:tab w:val="clear" w:pos="3977"/>
          <w:tab w:val="left" w:pos="709"/>
          <w:tab w:val="num" w:pos="780"/>
          <w:tab w:val="left" w:pos="993"/>
          <w:tab w:val="num" w:pos="2069"/>
        </w:tabs>
        <w:spacing w:before="120" w:after="120" w:line="240" w:lineRule="auto"/>
        <w:ind w:left="426" w:firstLine="0"/>
        <w:jc w:val="both"/>
        <w:rPr>
          <w:rFonts w:ascii="Times New Roman" w:eastAsia="Times New Roman" w:hAnsi="Times New Roman" w:cs="Times New Roman"/>
        </w:rPr>
      </w:pPr>
      <w:r w:rsidRPr="0096420F">
        <w:rPr>
          <w:rFonts w:ascii="Times New Roman" w:eastAsia="Times New Roman" w:hAnsi="Times New Roman" w:cs="Times New Roman"/>
          <w:b/>
        </w:rPr>
        <w:t xml:space="preserve">Az értékelés: </w:t>
      </w:r>
      <w:r w:rsidRPr="0096420F">
        <w:rPr>
          <w:rFonts w:ascii="Times New Roman" w:eastAsia="Times New Roman" w:hAnsi="Times New Roman" w:cs="Times New Roman"/>
        </w:rPr>
        <w:t>Évközi jegy. Az évközi jegy megállapítása a dolgozatok jegyeinek egyszerű számtani átlaga alapján történik.</w:t>
      </w:r>
    </w:p>
    <w:p w:rsidR="00081882" w:rsidRPr="000A0F8B" w:rsidRDefault="00081882" w:rsidP="00980876">
      <w:pPr>
        <w:widowControl w:val="0"/>
        <w:numPr>
          <w:ilvl w:val="1"/>
          <w:numId w:val="407"/>
        </w:numPr>
        <w:tabs>
          <w:tab w:val="clear" w:pos="3977"/>
          <w:tab w:val="left" w:pos="709"/>
          <w:tab w:val="num" w:pos="780"/>
          <w:tab w:val="left" w:pos="993"/>
          <w:tab w:val="num" w:pos="2069"/>
        </w:tabs>
        <w:spacing w:before="120" w:after="120" w:line="240" w:lineRule="auto"/>
        <w:ind w:left="426" w:firstLine="0"/>
        <w:jc w:val="both"/>
        <w:rPr>
          <w:rFonts w:ascii="Times New Roman" w:eastAsia="Times New Roman" w:hAnsi="Times New Roman" w:cs="Times New Roman"/>
        </w:rPr>
      </w:pPr>
      <w:r w:rsidRPr="000A0F8B">
        <w:rPr>
          <w:rFonts w:ascii="Times New Roman" w:eastAsia="Times New Roman" w:hAnsi="Times New Roman" w:cs="Times New Roman"/>
          <w:b/>
        </w:rPr>
        <w:t>A kreditek megszerzésének feltételei:</w:t>
      </w:r>
      <w:r w:rsidRPr="000A0F8B">
        <w:rPr>
          <w:rFonts w:ascii="Times New Roman" w:eastAsia="Times New Roman" w:hAnsi="Times New Roman" w:cs="Times New Roman"/>
        </w:rPr>
        <w:t xml:space="preserve"> A kreditek megszerzésének feltétele az aláírás megszerzése és legalább elégséges </w:t>
      </w:r>
      <w:r>
        <w:rPr>
          <w:rFonts w:ascii="Times New Roman" w:eastAsia="Times New Roman" w:hAnsi="Times New Roman" w:cs="Times New Roman"/>
        </w:rPr>
        <w:t>évközi</w:t>
      </w:r>
      <w:r w:rsidRPr="000A0F8B">
        <w:rPr>
          <w:rFonts w:ascii="Times New Roman" w:eastAsia="Times New Roman" w:hAnsi="Times New Roman" w:cs="Times New Roman"/>
        </w:rPr>
        <w:t xml:space="preserve"> jegy.</w:t>
      </w:r>
    </w:p>
    <w:p w:rsidR="00081882" w:rsidRPr="0035461C" w:rsidRDefault="00081882" w:rsidP="00980876">
      <w:pPr>
        <w:widowControl w:val="0"/>
        <w:numPr>
          <w:ilvl w:val="0"/>
          <w:numId w:val="407"/>
        </w:numPr>
        <w:tabs>
          <w:tab w:val="clear" w:pos="720"/>
        </w:tabs>
        <w:spacing w:before="120" w:after="120" w:line="240" w:lineRule="auto"/>
        <w:ind w:left="501" w:hanging="217"/>
        <w:jc w:val="both"/>
        <w:rPr>
          <w:rFonts w:ascii="Times New Roman" w:eastAsia="Times New Roman" w:hAnsi="Times New Roman" w:cs="Times New Roman"/>
          <w:bCs/>
        </w:rPr>
      </w:pPr>
      <w:r w:rsidRPr="00BC6E7B">
        <w:rPr>
          <w:rFonts w:ascii="Times New Roman" w:eastAsia="Times New Roman" w:hAnsi="Times New Roman" w:cs="Times New Roman"/>
          <w:b/>
          <w:bCs/>
        </w:rPr>
        <w:t>Irodalomjegyzék:</w:t>
      </w:r>
    </w:p>
    <w:p w:rsidR="00081882" w:rsidRPr="0035461C" w:rsidRDefault="00081882" w:rsidP="00980876">
      <w:pPr>
        <w:widowControl w:val="0"/>
        <w:numPr>
          <w:ilvl w:val="1"/>
          <w:numId w:val="407"/>
        </w:numPr>
        <w:tabs>
          <w:tab w:val="clear" w:pos="3977"/>
          <w:tab w:val="num" w:pos="567"/>
          <w:tab w:val="num" w:pos="780"/>
          <w:tab w:val="num" w:pos="2069"/>
        </w:tabs>
        <w:spacing w:before="120" w:after="120" w:line="240" w:lineRule="auto"/>
        <w:ind w:left="993" w:hanging="709"/>
        <w:jc w:val="both"/>
        <w:rPr>
          <w:rFonts w:ascii="Times New Roman" w:eastAsia="Times New Roman" w:hAnsi="Times New Roman" w:cs="Times New Roman"/>
          <w:b/>
          <w:bCs/>
        </w:rPr>
      </w:pPr>
      <w:r w:rsidRPr="0035461C">
        <w:rPr>
          <w:rFonts w:ascii="Times New Roman" w:eastAsia="Times New Roman" w:hAnsi="Times New Roman" w:cs="Times New Roman"/>
          <w:b/>
          <w:bCs/>
        </w:rPr>
        <w:t>Kötelező irodalom:</w:t>
      </w:r>
      <w:r>
        <w:rPr>
          <w:rFonts w:ascii="Times New Roman" w:eastAsia="Times New Roman" w:hAnsi="Times New Roman" w:cs="Times New Roman"/>
          <w:b/>
          <w:bCs/>
        </w:rPr>
        <w:t xml:space="preserve"> </w:t>
      </w:r>
      <w:r>
        <w:rPr>
          <w:rFonts w:ascii="Times New Roman" w:eastAsia="Times New Roman" w:hAnsi="Times New Roman" w:cs="Times New Roman"/>
          <w:bCs/>
        </w:rPr>
        <w:t>A tantárgy speciális szakmai tartalma miatt csak jogszabályi irodalom áll rendelkezésre.</w:t>
      </w:r>
    </w:p>
    <w:p w:rsidR="00081882" w:rsidRDefault="00081882" w:rsidP="00980876">
      <w:pPr>
        <w:pStyle w:val="Listaszerbekezds"/>
        <w:widowControl w:val="0"/>
        <w:numPr>
          <w:ilvl w:val="2"/>
          <w:numId w:val="408"/>
        </w:numPr>
        <w:tabs>
          <w:tab w:val="left" w:pos="993"/>
        </w:tabs>
        <w:spacing w:before="120" w:after="120" w:line="240" w:lineRule="auto"/>
        <w:ind w:left="993"/>
        <w:jc w:val="both"/>
        <w:rPr>
          <w:rFonts w:ascii="Times New Roman" w:eastAsia="Times New Roman" w:hAnsi="Times New Roman" w:cs="Times New Roman"/>
        </w:rPr>
      </w:pPr>
      <w:r w:rsidRPr="004E62B1">
        <w:rPr>
          <w:rFonts w:ascii="Times New Roman" w:eastAsia="Times New Roman" w:hAnsi="Times New Roman" w:cs="Times New Roman"/>
        </w:rPr>
        <w:t>A honvédelemről és a Magyar Honvédségről, valamint a különleges jogrendben bevezethető intézkedésekről szóló 2011. évi CXIII. törvény</w:t>
      </w:r>
    </w:p>
    <w:p w:rsidR="00081882" w:rsidRPr="004E62B1" w:rsidRDefault="00081882" w:rsidP="00980876">
      <w:pPr>
        <w:pStyle w:val="Listaszerbekezds"/>
        <w:numPr>
          <w:ilvl w:val="2"/>
          <w:numId w:val="408"/>
        </w:numPr>
        <w:ind w:left="993"/>
        <w:rPr>
          <w:rFonts w:ascii="Times New Roman" w:eastAsia="Times New Roman" w:hAnsi="Times New Roman" w:cs="Times New Roman"/>
        </w:rPr>
      </w:pPr>
      <w:r w:rsidRPr="004E62B1">
        <w:rPr>
          <w:rFonts w:ascii="Times New Roman" w:eastAsia="Times New Roman" w:hAnsi="Times New Roman" w:cs="Times New Roman"/>
        </w:rPr>
        <w:t>A Magyar Honvédség készenléte fenntartásának és fokozásának rendjéről szóló 30/2012. (V. 8.) HM utasítás</w:t>
      </w:r>
    </w:p>
    <w:p w:rsidR="00081882" w:rsidRPr="0035461C" w:rsidRDefault="00081882" w:rsidP="00980876">
      <w:pPr>
        <w:pStyle w:val="Listaszerbekezds"/>
        <w:widowControl w:val="0"/>
        <w:numPr>
          <w:ilvl w:val="2"/>
          <w:numId w:val="408"/>
        </w:numPr>
        <w:tabs>
          <w:tab w:val="left" w:pos="993"/>
        </w:tabs>
        <w:spacing w:before="120" w:after="120" w:line="240" w:lineRule="auto"/>
        <w:ind w:left="993"/>
        <w:jc w:val="both"/>
        <w:rPr>
          <w:rFonts w:ascii="Times New Roman" w:eastAsia="Times New Roman" w:hAnsi="Times New Roman" w:cs="Times New Roman"/>
        </w:rPr>
      </w:pPr>
      <w:r w:rsidRPr="004E62B1">
        <w:rPr>
          <w:rFonts w:ascii="Times New Roman" w:eastAsia="Times New Roman" w:hAnsi="Times New Roman" w:cs="Times New Roman"/>
        </w:rPr>
        <w:t xml:space="preserve">A Magyar Honvédség készenléte fenntartásának és fokozásának követelményeiről szóló M/1/2012. (HK 8.) HM KÁT–HVKF együttes intézkedés </w:t>
      </w:r>
    </w:p>
    <w:p w:rsidR="00081882" w:rsidRPr="0035461C" w:rsidRDefault="00081882" w:rsidP="00980876">
      <w:pPr>
        <w:pStyle w:val="Listaszerbekezds"/>
        <w:widowControl w:val="0"/>
        <w:numPr>
          <w:ilvl w:val="2"/>
          <w:numId w:val="408"/>
        </w:numPr>
        <w:tabs>
          <w:tab w:val="left" w:pos="993"/>
        </w:tabs>
        <w:spacing w:before="120" w:after="120" w:line="240" w:lineRule="auto"/>
        <w:ind w:left="993"/>
        <w:jc w:val="both"/>
        <w:rPr>
          <w:rFonts w:ascii="Times New Roman" w:eastAsia="Times New Roman" w:hAnsi="Times New Roman" w:cs="Times New Roman"/>
        </w:rPr>
      </w:pPr>
      <w:r w:rsidRPr="004E62B1">
        <w:rPr>
          <w:rFonts w:ascii="Times New Roman" w:eastAsia="Times New Roman" w:hAnsi="Times New Roman" w:cs="Times New Roman"/>
        </w:rPr>
        <w:t xml:space="preserve">A Magyar Honvédség szervezetei készenléte fenntartásának és fokozásának pénzügyi és </w:t>
      </w:r>
      <w:r w:rsidRPr="004E62B1">
        <w:rPr>
          <w:rFonts w:ascii="Times New Roman" w:eastAsia="Times New Roman" w:hAnsi="Times New Roman" w:cs="Times New Roman"/>
        </w:rPr>
        <w:lastRenderedPageBreak/>
        <w:t xml:space="preserve">számviteli biztosításáról szóló M/3/2012. (HK 9.) HM KÁT–HVKF együttes intézkedés </w:t>
      </w:r>
      <w:r w:rsidRPr="0035461C">
        <w:rPr>
          <w:rFonts w:ascii="Times New Roman" w:eastAsia="Times New Roman" w:hAnsi="Times New Roman" w:cs="Times New Roman"/>
        </w:rPr>
        <w:t>l</w:t>
      </w:r>
    </w:p>
    <w:p w:rsidR="00081882" w:rsidRDefault="00081882" w:rsidP="00980876">
      <w:pPr>
        <w:widowControl w:val="0"/>
        <w:numPr>
          <w:ilvl w:val="1"/>
          <w:numId w:val="407"/>
        </w:numPr>
        <w:tabs>
          <w:tab w:val="clear" w:pos="3977"/>
          <w:tab w:val="num" w:pos="567"/>
          <w:tab w:val="num" w:pos="780"/>
          <w:tab w:val="num" w:pos="2069"/>
        </w:tabs>
        <w:spacing w:before="120" w:after="120" w:line="240" w:lineRule="auto"/>
        <w:ind w:left="993" w:hanging="709"/>
        <w:jc w:val="both"/>
        <w:rPr>
          <w:rFonts w:ascii="Times New Roman" w:eastAsia="Times New Roman" w:hAnsi="Times New Roman" w:cs="Times New Roman"/>
          <w:b/>
          <w:bCs/>
        </w:rPr>
      </w:pPr>
      <w:r w:rsidRPr="00BC6E7B">
        <w:rPr>
          <w:rFonts w:ascii="Times New Roman" w:eastAsia="Times New Roman" w:hAnsi="Times New Roman" w:cs="Times New Roman"/>
          <w:b/>
          <w:bCs/>
        </w:rPr>
        <w:t>Ajánlott irodalom:</w:t>
      </w:r>
    </w:p>
    <w:p w:rsidR="00081882" w:rsidRDefault="00081882" w:rsidP="00980876">
      <w:pPr>
        <w:pStyle w:val="Listaszerbekezds"/>
        <w:widowControl w:val="0"/>
        <w:numPr>
          <w:ilvl w:val="2"/>
          <w:numId w:val="407"/>
        </w:numPr>
        <w:tabs>
          <w:tab w:val="clear" w:pos="1800"/>
          <w:tab w:val="num" w:pos="1581"/>
        </w:tabs>
        <w:spacing w:before="120" w:after="120" w:line="240" w:lineRule="auto"/>
        <w:ind w:left="993"/>
        <w:jc w:val="both"/>
        <w:rPr>
          <w:rFonts w:ascii="Times New Roman" w:eastAsia="Times New Roman" w:hAnsi="Times New Roman" w:cs="Times New Roman"/>
        </w:rPr>
      </w:pPr>
      <w:r w:rsidRPr="0035461C">
        <w:rPr>
          <w:rFonts w:ascii="Times New Roman" w:eastAsia="Times New Roman" w:hAnsi="Times New Roman" w:cs="Times New Roman"/>
        </w:rPr>
        <w:t>A szükséges mértékben a tananyag elsajátítását segítő más jogszabályok, szakutasítások, intézkedések.</w:t>
      </w:r>
    </w:p>
    <w:p w:rsidR="00081882" w:rsidRPr="0035461C" w:rsidRDefault="00081882" w:rsidP="00081882">
      <w:pPr>
        <w:pStyle w:val="Listaszerbekezds"/>
        <w:widowControl w:val="0"/>
        <w:tabs>
          <w:tab w:val="left" w:pos="993"/>
        </w:tabs>
        <w:spacing w:before="120" w:after="120" w:line="240" w:lineRule="auto"/>
        <w:ind w:left="1584"/>
        <w:jc w:val="both"/>
        <w:rPr>
          <w:rFonts w:ascii="Times New Roman" w:eastAsia="Times New Roman" w:hAnsi="Times New Roman" w:cs="Times New Roman"/>
        </w:rPr>
      </w:pPr>
    </w:p>
    <w:p w:rsidR="00081882" w:rsidRPr="00BC6E7B" w:rsidRDefault="00081882" w:rsidP="00081882">
      <w:pPr>
        <w:widowControl w:val="0"/>
        <w:spacing w:before="120" w:after="120" w:line="240" w:lineRule="auto"/>
        <w:jc w:val="both"/>
        <w:rPr>
          <w:rFonts w:ascii="Times New Roman" w:eastAsia="Times New Roman" w:hAnsi="Times New Roman" w:cs="Times New Roman"/>
          <w:bCs/>
        </w:rPr>
      </w:pPr>
      <w:r w:rsidRPr="0035461C">
        <w:rPr>
          <w:rFonts w:ascii="Times New Roman" w:eastAsia="Times New Roman" w:hAnsi="Times New Roman" w:cs="Times New Roman"/>
          <w:bCs/>
        </w:rPr>
        <w:t>Budapest, 20</w:t>
      </w:r>
      <w:r>
        <w:rPr>
          <w:rFonts w:ascii="Times New Roman" w:eastAsia="Times New Roman" w:hAnsi="Times New Roman" w:cs="Times New Roman"/>
          <w:bCs/>
        </w:rPr>
        <w:t>20</w:t>
      </w:r>
      <w:r w:rsidRPr="0035461C">
        <w:rPr>
          <w:rFonts w:ascii="Times New Roman" w:eastAsia="Times New Roman" w:hAnsi="Times New Roman" w:cs="Times New Roman"/>
          <w:bCs/>
        </w:rPr>
        <w:t>.</w:t>
      </w:r>
      <w:r>
        <w:rPr>
          <w:rFonts w:ascii="Times New Roman" w:eastAsia="Times New Roman" w:hAnsi="Times New Roman" w:cs="Times New Roman"/>
          <w:bCs/>
        </w:rPr>
        <w:t>02</w:t>
      </w:r>
      <w:r w:rsidRPr="0035461C">
        <w:rPr>
          <w:rFonts w:ascii="Times New Roman" w:eastAsia="Times New Roman" w:hAnsi="Times New Roman" w:cs="Times New Roman"/>
          <w:bCs/>
        </w:rPr>
        <w:t>.2</w:t>
      </w:r>
      <w:r>
        <w:rPr>
          <w:rFonts w:ascii="Times New Roman" w:eastAsia="Times New Roman" w:hAnsi="Times New Roman" w:cs="Times New Roman"/>
          <w:bCs/>
        </w:rPr>
        <w:t>0.</w:t>
      </w:r>
    </w:p>
    <w:p w:rsidR="00081882" w:rsidRPr="00BC6E7B" w:rsidRDefault="00081882" w:rsidP="00081882">
      <w:pPr>
        <w:widowControl w:val="0"/>
        <w:spacing w:before="120" w:after="120" w:line="240" w:lineRule="auto"/>
        <w:jc w:val="both"/>
        <w:rPr>
          <w:rFonts w:ascii="Times New Roman" w:eastAsia="Times New Roman" w:hAnsi="Times New Roman" w:cs="Times New Roman"/>
          <w:bCs/>
        </w:rPr>
      </w:pPr>
    </w:p>
    <w:p w:rsidR="00081882" w:rsidRPr="00081882" w:rsidRDefault="00081882" w:rsidP="00081882">
      <w:pPr>
        <w:widowControl w:val="0"/>
        <w:spacing w:after="0" w:line="240" w:lineRule="auto"/>
        <w:ind w:left="5664" w:firstLine="708"/>
        <w:jc w:val="center"/>
        <w:rPr>
          <w:rFonts w:ascii="Times New Roman" w:eastAsia="Times New Roman" w:hAnsi="Times New Roman" w:cs="Times New Roman"/>
          <w:b/>
          <w:bCs/>
        </w:rPr>
      </w:pPr>
      <w:r w:rsidRPr="00081882">
        <w:rPr>
          <w:rFonts w:ascii="Times New Roman" w:eastAsia="Times New Roman" w:hAnsi="Times New Roman" w:cs="Times New Roman"/>
          <w:b/>
          <w:bCs/>
        </w:rPr>
        <w:t>Dr. Pohl Árpád (PhD)</w:t>
      </w:r>
    </w:p>
    <w:p w:rsidR="00081882" w:rsidRDefault="00081882" w:rsidP="00081882">
      <w:pPr>
        <w:widowControl w:val="0"/>
        <w:spacing w:after="0" w:line="240" w:lineRule="auto"/>
        <w:ind w:left="5664" w:firstLine="708"/>
        <w:jc w:val="center"/>
        <w:rPr>
          <w:rFonts w:ascii="Times New Roman" w:eastAsia="Times New Roman" w:hAnsi="Times New Roman" w:cs="Times New Roman"/>
          <w:bCs/>
        </w:rPr>
      </w:pPr>
      <w:r>
        <w:rPr>
          <w:rFonts w:ascii="Times New Roman" w:eastAsia="Times New Roman" w:hAnsi="Times New Roman" w:cs="Times New Roman"/>
          <w:bCs/>
        </w:rPr>
        <w:t>egyetemi docens s.k.</w:t>
      </w:r>
    </w:p>
    <w:p w:rsidR="00E81C30" w:rsidRDefault="00E81C30">
      <w:pPr>
        <w:spacing w:after="200" w:line="276" w:lineRule="auto"/>
        <w:rPr>
          <w:rFonts w:ascii="Times New Roman" w:hAnsi="Times New Roman" w:cs="Times New Roman"/>
          <w:b/>
          <w:color w:val="FF0000"/>
          <w:sz w:val="24"/>
        </w:rPr>
      </w:pPr>
      <w:r>
        <w:rPr>
          <w:rFonts w:ascii="Times New Roman" w:hAnsi="Times New Roman" w:cs="Times New Roman"/>
          <w:b/>
          <w:color w:val="FF0000"/>
          <w:sz w:val="24"/>
        </w:rPr>
        <w:br w:type="page"/>
      </w:r>
    </w:p>
    <w:tbl>
      <w:tblPr>
        <w:tblW w:w="9072" w:type="dxa"/>
        <w:tblInd w:w="113" w:type="dxa"/>
        <w:tblLook w:val="01E0" w:firstRow="1" w:lastRow="1" w:firstColumn="1" w:lastColumn="1" w:noHBand="0" w:noVBand="0"/>
      </w:tblPr>
      <w:tblGrid>
        <w:gridCol w:w="4855"/>
        <w:gridCol w:w="1620"/>
        <w:gridCol w:w="2597"/>
      </w:tblGrid>
      <w:tr w:rsidR="003F363A" w:rsidRPr="003F363A" w:rsidTr="00F2027B">
        <w:tc>
          <w:tcPr>
            <w:tcW w:w="4855" w:type="dxa"/>
            <w:tcBorders>
              <w:bottom w:val="single" w:sz="4" w:space="0" w:color="auto"/>
            </w:tcBorders>
          </w:tcPr>
          <w:p w:rsidR="003F363A" w:rsidRPr="003F363A" w:rsidRDefault="003F363A" w:rsidP="003F363A">
            <w:pPr>
              <w:spacing w:after="0" w:line="240" w:lineRule="auto"/>
              <w:jc w:val="center"/>
              <w:rPr>
                <w:rFonts w:ascii="Times New Roman" w:eastAsia="Times New Roman" w:hAnsi="Times New Roman" w:cs="Times New Roman"/>
                <w:b/>
                <w:smallCaps/>
                <w:lang w:eastAsia="hu-HU"/>
              </w:rPr>
            </w:pPr>
            <w:r w:rsidRPr="003F363A">
              <w:rPr>
                <w:rFonts w:ascii="Times New Roman" w:eastAsia="Times New Roman" w:hAnsi="Times New Roman" w:cs="Times New Roman"/>
                <w:b/>
                <w:smallCaps/>
                <w:lang w:eastAsia="hu-HU"/>
              </w:rPr>
              <w:lastRenderedPageBreak/>
              <w:t>Nemzeti Közszolgálati Egyetem</w:t>
            </w:r>
          </w:p>
        </w:tc>
        <w:tc>
          <w:tcPr>
            <w:tcW w:w="1620" w:type="dxa"/>
          </w:tcPr>
          <w:p w:rsidR="003F363A" w:rsidRPr="003F363A" w:rsidRDefault="003F363A" w:rsidP="003F363A">
            <w:pPr>
              <w:spacing w:after="0" w:line="240" w:lineRule="auto"/>
              <w:jc w:val="both"/>
              <w:rPr>
                <w:rFonts w:ascii="Times New Roman" w:eastAsia="Times New Roman" w:hAnsi="Times New Roman" w:cs="Times New Roman"/>
                <w:lang w:eastAsia="hu-HU"/>
              </w:rPr>
            </w:pPr>
          </w:p>
        </w:tc>
        <w:tc>
          <w:tcPr>
            <w:tcW w:w="2597" w:type="dxa"/>
          </w:tcPr>
          <w:p w:rsidR="003F363A" w:rsidRPr="003F363A" w:rsidRDefault="003F363A" w:rsidP="003F363A">
            <w:pPr>
              <w:spacing w:after="0" w:line="240" w:lineRule="auto"/>
              <w:jc w:val="right"/>
              <w:rPr>
                <w:rFonts w:ascii="Times New Roman" w:eastAsia="Times New Roman" w:hAnsi="Times New Roman" w:cs="Times New Roman"/>
                <w:lang w:eastAsia="hu-HU"/>
              </w:rPr>
            </w:pPr>
          </w:p>
        </w:tc>
      </w:tr>
      <w:tr w:rsidR="003F363A" w:rsidRPr="003F363A" w:rsidTr="00F2027B">
        <w:tc>
          <w:tcPr>
            <w:tcW w:w="4855" w:type="dxa"/>
            <w:tcBorders>
              <w:top w:val="single" w:sz="4" w:space="0" w:color="auto"/>
              <w:left w:val="nil"/>
              <w:bottom w:val="nil"/>
              <w:right w:val="nil"/>
            </w:tcBorders>
            <w:hideMark/>
          </w:tcPr>
          <w:p w:rsidR="003F363A" w:rsidRPr="003F363A" w:rsidRDefault="003F363A" w:rsidP="003F363A">
            <w:pPr>
              <w:autoSpaceDE w:val="0"/>
              <w:autoSpaceDN w:val="0"/>
              <w:adjustRightInd w:val="0"/>
              <w:spacing w:after="0" w:line="240" w:lineRule="auto"/>
              <w:jc w:val="center"/>
              <w:rPr>
                <w:rFonts w:ascii="Times New Roman" w:eastAsia="Times New Roman" w:hAnsi="Times New Roman" w:cs="Times New Roman"/>
                <w:b/>
                <w:sz w:val="24"/>
                <w:szCs w:val="24"/>
                <w:lang w:eastAsia="hu-HU"/>
              </w:rPr>
            </w:pPr>
            <w:r w:rsidRPr="003F363A">
              <w:rPr>
                <w:rFonts w:ascii="Times New Roman" w:eastAsia="Times New Roman" w:hAnsi="Times New Roman" w:cs="Times New Roman"/>
                <w:b/>
                <w:sz w:val="24"/>
                <w:szCs w:val="24"/>
                <w:lang w:eastAsia="hu-HU"/>
              </w:rPr>
              <w:t>Hadtudományi és Honvédtisztképző Kar</w:t>
            </w:r>
          </w:p>
        </w:tc>
        <w:tc>
          <w:tcPr>
            <w:tcW w:w="1620" w:type="dxa"/>
          </w:tcPr>
          <w:p w:rsidR="003F363A" w:rsidRPr="003F363A" w:rsidRDefault="003F363A" w:rsidP="003F363A">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2597" w:type="dxa"/>
          </w:tcPr>
          <w:p w:rsidR="003F363A" w:rsidRPr="003F363A" w:rsidRDefault="003F363A" w:rsidP="003F363A">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r>
    </w:tbl>
    <w:p w:rsidR="003F363A" w:rsidRPr="003F363A" w:rsidRDefault="003F363A" w:rsidP="003F363A">
      <w:pPr>
        <w:widowControl w:val="0"/>
        <w:spacing w:before="120" w:after="120" w:line="240" w:lineRule="auto"/>
        <w:ind w:left="426" w:hanging="142"/>
        <w:jc w:val="center"/>
        <w:rPr>
          <w:rFonts w:ascii="Times New Roman" w:eastAsia="Times New Roman" w:hAnsi="Times New Roman" w:cs="Times New Roman"/>
          <w:b/>
          <w:bCs/>
        </w:rPr>
      </w:pPr>
    </w:p>
    <w:p w:rsidR="003F363A" w:rsidRPr="003F363A" w:rsidRDefault="003F363A" w:rsidP="003F363A">
      <w:pPr>
        <w:widowControl w:val="0"/>
        <w:spacing w:before="120" w:after="120" w:line="240" w:lineRule="auto"/>
        <w:ind w:left="426" w:hanging="142"/>
        <w:jc w:val="center"/>
        <w:rPr>
          <w:rFonts w:ascii="Times New Roman" w:eastAsia="Times New Roman" w:hAnsi="Times New Roman" w:cs="Times New Roman"/>
          <w:b/>
          <w:bCs/>
        </w:rPr>
      </w:pPr>
      <w:r w:rsidRPr="003F363A">
        <w:rPr>
          <w:rFonts w:ascii="Times New Roman" w:eastAsia="Times New Roman" w:hAnsi="Times New Roman" w:cs="Times New Roman"/>
          <w:b/>
          <w:bCs/>
        </w:rPr>
        <w:t>TANTÁRGYI PROGRAM</w:t>
      </w:r>
    </w:p>
    <w:p w:rsidR="003F363A" w:rsidRPr="003F363A" w:rsidRDefault="003F363A" w:rsidP="00980876">
      <w:pPr>
        <w:widowControl w:val="0"/>
        <w:numPr>
          <w:ilvl w:val="0"/>
          <w:numId w:val="397"/>
        </w:numPr>
        <w:tabs>
          <w:tab w:val="clear" w:pos="720"/>
          <w:tab w:val="num" w:pos="643"/>
        </w:tabs>
        <w:spacing w:before="120" w:after="120" w:line="240" w:lineRule="auto"/>
        <w:ind w:left="643"/>
        <w:jc w:val="both"/>
        <w:rPr>
          <w:rFonts w:ascii="Times New Roman" w:eastAsia="Times New Roman" w:hAnsi="Times New Roman" w:cs="Times New Roman"/>
          <w:bCs/>
        </w:rPr>
      </w:pPr>
      <w:r w:rsidRPr="003F363A">
        <w:rPr>
          <w:rFonts w:ascii="Times New Roman" w:eastAsia="Times New Roman" w:hAnsi="Times New Roman" w:cs="Times New Roman"/>
          <w:b/>
          <w:bCs/>
        </w:rPr>
        <w:t xml:space="preserve">A tantárgy kódja: </w:t>
      </w:r>
      <w:r w:rsidRPr="003F363A">
        <w:rPr>
          <w:rFonts w:ascii="Times New Roman" w:eastAsia="Times New Roman" w:hAnsi="Times New Roman" w:cs="Times New Roman"/>
          <w:bCs/>
        </w:rPr>
        <w:t>HKHPKA516</w:t>
      </w:r>
    </w:p>
    <w:p w:rsidR="003F363A" w:rsidRPr="003F363A" w:rsidRDefault="003F363A" w:rsidP="00980876">
      <w:pPr>
        <w:widowControl w:val="0"/>
        <w:numPr>
          <w:ilvl w:val="0"/>
          <w:numId w:val="397"/>
        </w:numPr>
        <w:tabs>
          <w:tab w:val="clear" w:pos="720"/>
          <w:tab w:val="num" w:pos="643"/>
        </w:tabs>
        <w:spacing w:before="120" w:after="120" w:line="240" w:lineRule="auto"/>
        <w:ind w:left="643"/>
        <w:jc w:val="both"/>
        <w:rPr>
          <w:rFonts w:ascii="Times New Roman" w:eastAsia="Times New Roman" w:hAnsi="Times New Roman" w:cs="Times New Roman"/>
          <w:b/>
          <w:bCs/>
          <w:lang w:val="en-GB"/>
        </w:rPr>
      </w:pPr>
      <w:r w:rsidRPr="003F363A">
        <w:rPr>
          <w:rFonts w:ascii="Times New Roman" w:eastAsia="Times New Roman" w:hAnsi="Times New Roman" w:cs="Times New Roman"/>
          <w:b/>
          <w:bCs/>
        </w:rPr>
        <w:t>A tantárgy megnevezése (magyarul):</w:t>
      </w:r>
      <w:r w:rsidRPr="003F363A">
        <w:rPr>
          <w:rFonts w:ascii="Calibri" w:eastAsia="Calibri" w:hAnsi="Calibri" w:cs="Times New Roman"/>
          <w:bCs/>
        </w:rPr>
        <w:t xml:space="preserve"> </w:t>
      </w:r>
      <w:r w:rsidRPr="003F363A">
        <w:rPr>
          <w:rFonts w:ascii="Times New Roman" w:eastAsia="Times New Roman" w:hAnsi="Times New Roman" w:cs="Times New Roman"/>
          <w:bCs/>
        </w:rPr>
        <w:t>Szakellenőrzés</w:t>
      </w:r>
    </w:p>
    <w:p w:rsidR="003F363A" w:rsidRPr="003F363A" w:rsidRDefault="003F363A" w:rsidP="00980876">
      <w:pPr>
        <w:widowControl w:val="0"/>
        <w:numPr>
          <w:ilvl w:val="0"/>
          <w:numId w:val="397"/>
        </w:numPr>
        <w:tabs>
          <w:tab w:val="clear" w:pos="720"/>
          <w:tab w:val="num" w:pos="643"/>
        </w:tabs>
        <w:spacing w:before="120" w:after="120" w:line="240" w:lineRule="auto"/>
        <w:ind w:left="643"/>
        <w:jc w:val="both"/>
        <w:rPr>
          <w:rFonts w:ascii="Times New Roman" w:eastAsia="Times New Roman" w:hAnsi="Times New Roman" w:cs="Times New Roman"/>
          <w:b/>
          <w:bCs/>
          <w:lang w:val="en-GB"/>
        </w:rPr>
      </w:pPr>
      <w:r w:rsidRPr="003F363A">
        <w:rPr>
          <w:rFonts w:ascii="Times New Roman" w:eastAsia="Times New Roman" w:hAnsi="Times New Roman" w:cs="Times New Roman"/>
          <w:b/>
          <w:bCs/>
        </w:rPr>
        <w:t>A tantárgy megnevezése (angolul):</w:t>
      </w:r>
      <w:r w:rsidRPr="003F363A">
        <w:rPr>
          <w:rFonts w:ascii="Calibri" w:eastAsia="Calibri" w:hAnsi="Calibri" w:cs="Times New Roman"/>
          <w:bCs/>
        </w:rPr>
        <w:t xml:space="preserve"> </w:t>
      </w:r>
      <w:r w:rsidRPr="003F363A">
        <w:rPr>
          <w:rFonts w:ascii="Times New Roman" w:eastAsia="Times New Roman" w:hAnsi="Times New Roman" w:cs="Times New Roman"/>
          <w:bCs/>
        </w:rPr>
        <w:t>Financial Control</w:t>
      </w:r>
    </w:p>
    <w:p w:rsidR="003F363A" w:rsidRPr="003F363A" w:rsidRDefault="003F363A" w:rsidP="00980876">
      <w:pPr>
        <w:widowControl w:val="0"/>
        <w:numPr>
          <w:ilvl w:val="0"/>
          <w:numId w:val="397"/>
        </w:numPr>
        <w:tabs>
          <w:tab w:val="clear" w:pos="720"/>
          <w:tab w:val="num" w:pos="643"/>
          <w:tab w:val="num" w:pos="1134"/>
        </w:tabs>
        <w:spacing w:before="120" w:after="120" w:line="240" w:lineRule="auto"/>
        <w:ind w:left="567" w:hanging="283"/>
        <w:jc w:val="both"/>
        <w:rPr>
          <w:rFonts w:ascii="Times New Roman" w:eastAsia="Times New Roman" w:hAnsi="Times New Roman" w:cs="Times New Roman"/>
          <w:b/>
          <w:bCs/>
        </w:rPr>
      </w:pPr>
      <w:r w:rsidRPr="003F363A">
        <w:rPr>
          <w:rFonts w:ascii="Times New Roman" w:eastAsia="Times New Roman" w:hAnsi="Times New Roman" w:cs="Times New Roman"/>
          <w:b/>
          <w:bCs/>
        </w:rPr>
        <w:t xml:space="preserve">Kreditérték és képzési karakter: </w:t>
      </w:r>
    </w:p>
    <w:p w:rsidR="003F363A" w:rsidRPr="006C1106" w:rsidRDefault="006C1106" w:rsidP="00980876">
      <w:pPr>
        <w:widowControl w:val="0"/>
        <w:numPr>
          <w:ilvl w:val="1"/>
          <w:numId w:val="397"/>
        </w:numPr>
        <w:tabs>
          <w:tab w:val="clear" w:pos="3977"/>
          <w:tab w:val="num" w:pos="999"/>
        </w:tabs>
        <w:spacing w:before="120" w:after="120" w:line="240" w:lineRule="auto"/>
        <w:ind w:left="993" w:hanging="426"/>
        <w:contextualSpacing/>
        <w:jc w:val="both"/>
        <w:rPr>
          <w:rFonts w:ascii="Times New Roman" w:eastAsia="Times New Roman" w:hAnsi="Times New Roman" w:cs="Times New Roman"/>
          <w:b/>
          <w:bCs/>
          <w:highlight w:val="yellow"/>
        </w:rPr>
      </w:pPr>
      <w:r w:rsidRPr="006C1106">
        <w:rPr>
          <w:rFonts w:ascii="Times New Roman" w:eastAsia="Times New Roman" w:hAnsi="Times New Roman" w:cs="Times New Roman"/>
          <w:bCs/>
          <w:highlight w:val="yellow"/>
        </w:rPr>
        <w:t>2</w:t>
      </w:r>
      <w:r w:rsidR="003F363A" w:rsidRPr="006C1106">
        <w:rPr>
          <w:rFonts w:ascii="Times New Roman" w:eastAsia="Times New Roman" w:hAnsi="Times New Roman" w:cs="Times New Roman"/>
          <w:bCs/>
          <w:highlight w:val="yellow"/>
        </w:rPr>
        <w:t xml:space="preserve"> kredit</w:t>
      </w:r>
    </w:p>
    <w:p w:rsidR="003F363A" w:rsidRPr="00081882" w:rsidRDefault="003F363A" w:rsidP="00980876">
      <w:pPr>
        <w:widowControl w:val="0"/>
        <w:numPr>
          <w:ilvl w:val="1"/>
          <w:numId w:val="397"/>
        </w:numPr>
        <w:tabs>
          <w:tab w:val="clear" w:pos="3977"/>
          <w:tab w:val="num" w:pos="999"/>
        </w:tabs>
        <w:spacing w:before="120" w:after="120" w:line="240" w:lineRule="auto"/>
        <w:ind w:left="993" w:hanging="426"/>
        <w:contextualSpacing/>
        <w:jc w:val="both"/>
        <w:rPr>
          <w:rFonts w:ascii="Times New Roman" w:eastAsia="Times New Roman" w:hAnsi="Times New Roman" w:cs="Times New Roman"/>
          <w:b/>
          <w:bCs/>
        </w:rPr>
      </w:pPr>
      <w:r w:rsidRPr="003F363A">
        <w:rPr>
          <w:rFonts w:ascii="Times New Roman" w:eastAsia="Times New Roman" w:hAnsi="Times New Roman" w:cs="Times New Roman"/>
          <w:bCs/>
        </w:rPr>
        <w:t>a tantárgy elméleti vagy gyakorlati jellegének mértéke: 0</w:t>
      </w:r>
      <w:r w:rsidRPr="003F363A">
        <w:rPr>
          <w:rFonts w:ascii="Times New Roman" w:eastAsia="Times New Roman" w:hAnsi="Times New Roman" w:cs="Times New Roman"/>
          <w:b/>
          <w:bCs/>
        </w:rPr>
        <w:t xml:space="preserve"> </w:t>
      </w:r>
      <w:r w:rsidRPr="003F363A">
        <w:rPr>
          <w:rFonts w:ascii="Times New Roman" w:eastAsia="Times New Roman" w:hAnsi="Times New Roman" w:cs="Times New Roman"/>
          <w:bCs/>
        </w:rPr>
        <w:t>% gyakorlat, 100 % elmélet</w:t>
      </w:r>
    </w:p>
    <w:p w:rsidR="00081882" w:rsidRPr="00081882" w:rsidRDefault="00081882" w:rsidP="00081882">
      <w:pPr>
        <w:widowControl w:val="0"/>
        <w:spacing w:before="120" w:after="120" w:line="240" w:lineRule="auto"/>
        <w:ind w:left="993"/>
        <w:contextualSpacing/>
        <w:jc w:val="both"/>
        <w:rPr>
          <w:rFonts w:ascii="Times New Roman" w:eastAsia="Times New Roman" w:hAnsi="Times New Roman" w:cs="Times New Roman"/>
          <w:b/>
          <w:bCs/>
          <w:sz w:val="8"/>
        </w:rPr>
      </w:pPr>
    </w:p>
    <w:p w:rsidR="003F363A" w:rsidRPr="003F363A" w:rsidRDefault="003F363A" w:rsidP="00980876">
      <w:pPr>
        <w:widowControl w:val="0"/>
        <w:numPr>
          <w:ilvl w:val="0"/>
          <w:numId w:val="397"/>
        </w:numPr>
        <w:tabs>
          <w:tab w:val="clear" w:pos="720"/>
          <w:tab w:val="num" w:pos="643"/>
        </w:tabs>
        <w:spacing w:before="120" w:after="120" w:line="240" w:lineRule="auto"/>
        <w:ind w:left="643"/>
        <w:jc w:val="both"/>
        <w:rPr>
          <w:rFonts w:ascii="Times New Roman" w:eastAsia="Times New Roman" w:hAnsi="Times New Roman" w:cs="Times New Roman"/>
          <w:bCs/>
        </w:rPr>
      </w:pPr>
      <w:r w:rsidRPr="003F363A">
        <w:rPr>
          <w:rFonts w:ascii="Times New Roman" w:eastAsia="Times New Roman" w:hAnsi="Times New Roman" w:cs="Times New Roman"/>
          <w:b/>
          <w:bCs/>
        </w:rPr>
        <w:t>A szak(ok), szakirányok/specializációk megnevezése (ahol oktatják):</w:t>
      </w:r>
      <w:r w:rsidRPr="003F363A">
        <w:rPr>
          <w:rFonts w:ascii="Times New Roman" w:eastAsia="Times New Roman" w:hAnsi="Times New Roman" w:cs="Times New Roman"/>
          <w:bCs/>
        </w:rPr>
        <w:t xml:space="preserve"> Katonai logisztika alapképzési szak, Katonai pénzügyi specializáció</w:t>
      </w:r>
    </w:p>
    <w:p w:rsidR="003F363A" w:rsidRPr="003F363A" w:rsidRDefault="003F363A" w:rsidP="00980876">
      <w:pPr>
        <w:widowControl w:val="0"/>
        <w:numPr>
          <w:ilvl w:val="0"/>
          <w:numId w:val="397"/>
        </w:numPr>
        <w:tabs>
          <w:tab w:val="clear" w:pos="720"/>
          <w:tab w:val="num" w:pos="643"/>
        </w:tabs>
        <w:spacing w:before="120" w:after="120" w:line="240" w:lineRule="auto"/>
        <w:ind w:left="643"/>
        <w:jc w:val="both"/>
        <w:rPr>
          <w:rFonts w:ascii="Times New Roman" w:eastAsia="Times New Roman" w:hAnsi="Times New Roman" w:cs="Times New Roman"/>
          <w:bCs/>
        </w:rPr>
      </w:pPr>
      <w:r w:rsidRPr="003F363A">
        <w:rPr>
          <w:rFonts w:ascii="Times New Roman" w:eastAsia="Times New Roman" w:hAnsi="Times New Roman" w:cs="Times New Roman"/>
          <w:b/>
          <w:bCs/>
        </w:rPr>
        <w:t>Az oktatásért felelős oktatási szervezeti egység megnevezése:</w:t>
      </w:r>
      <w:r w:rsidRPr="003F363A">
        <w:rPr>
          <w:rFonts w:ascii="Calibri" w:eastAsia="Calibri" w:hAnsi="Calibri" w:cs="Times New Roman"/>
          <w:bCs/>
        </w:rPr>
        <w:t xml:space="preserve"> </w:t>
      </w:r>
      <w:r w:rsidRPr="003F363A">
        <w:rPr>
          <w:rFonts w:ascii="Times New Roman" w:eastAsia="Times New Roman" w:hAnsi="Times New Roman" w:cs="Times New Roman"/>
          <w:bCs/>
        </w:rPr>
        <w:t xml:space="preserve">NKE Hadtudományi és Honvédtisztképző Kar, Hadtáp, Pénzügyi és Katonai Közlekedési Tanszék </w:t>
      </w:r>
    </w:p>
    <w:p w:rsidR="003F363A" w:rsidRPr="003F363A" w:rsidRDefault="003F363A" w:rsidP="00980876">
      <w:pPr>
        <w:widowControl w:val="0"/>
        <w:numPr>
          <w:ilvl w:val="0"/>
          <w:numId w:val="397"/>
        </w:numPr>
        <w:tabs>
          <w:tab w:val="clear" w:pos="720"/>
          <w:tab w:val="num" w:pos="643"/>
        </w:tabs>
        <w:spacing w:before="120" w:after="120" w:line="240" w:lineRule="auto"/>
        <w:ind w:left="643"/>
        <w:jc w:val="both"/>
        <w:rPr>
          <w:rFonts w:ascii="Times New Roman" w:eastAsia="Times New Roman" w:hAnsi="Times New Roman" w:cs="Times New Roman"/>
          <w:bCs/>
        </w:rPr>
      </w:pPr>
      <w:r w:rsidRPr="003F363A">
        <w:rPr>
          <w:rFonts w:ascii="Times New Roman" w:eastAsia="Times New Roman" w:hAnsi="Times New Roman" w:cs="Times New Roman"/>
          <w:b/>
          <w:bCs/>
        </w:rPr>
        <w:t>A tantárgyfelelős oktató neve, beosztása, tudományos fokozata:</w:t>
      </w:r>
      <w:r w:rsidRPr="003F363A">
        <w:rPr>
          <w:rFonts w:ascii="Times New Roman" w:eastAsia="Times New Roman" w:hAnsi="Times New Roman" w:cs="Times New Roman"/>
          <w:bCs/>
        </w:rPr>
        <w:t xml:space="preserve"> Dr. Pap Andrea, egyetemi docens, PhD</w:t>
      </w:r>
    </w:p>
    <w:p w:rsidR="003F363A" w:rsidRPr="003F363A" w:rsidRDefault="003F363A" w:rsidP="00980876">
      <w:pPr>
        <w:widowControl w:val="0"/>
        <w:numPr>
          <w:ilvl w:val="0"/>
          <w:numId w:val="397"/>
        </w:numPr>
        <w:tabs>
          <w:tab w:val="clear" w:pos="720"/>
          <w:tab w:val="num" w:pos="643"/>
        </w:tabs>
        <w:spacing w:before="120" w:after="120" w:line="240" w:lineRule="auto"/>
        <w:ind w:left="426" w:hanging="142"/>
        <w:jc w:val="both"/>
        <w:rPr>
          <w:rFonts w:ascii="Times New Roman" w:eastAsia="Times New Roman" w:hAnsi="Times New Roman" w:cs="Times New Roman"/>
          <w:bCs/>
        </w:rPr>
      </w:pPr>
      <w:r w:rsidRPr="003F363A">
        <w:rPr>
          <w:rFonts w:ascii="Times New Roman" w:eastAsia="Times New Roman" w:hAnsi="Times New Roman" w:cs="Times New Roman"/>
          <w:b/>
          <w:bCs/>
        </w:rPr>
        <w:t>A tanórák száma és típusa</w:t>
      </w:r>
    </w:p>
    <w:p w:rsidR="003F363A" w:rsidRPr="003F363A" w:rsidRDefault="003F363A" w:rsidP="00980876">
      <w:pPr>
        <w:widowControl w:val="0"/>
        <w:numPr>
          <w:ilvl w:val="1"/>
          <w:numId w:val="397"/>
        </w:numPr>
        <w:tabs>
          <w:tab w:val="clear" w:pos="3977"/>
          <w:tab w:val="num" w:pos="709"/>
          <w:tab w:val="num" w:pos="999"/>
          <w:tab w:val="num" w:pos="2069"/>
        </w:tabs>
        <w:spacing w:before="120" w:after="0" w:line="240" w:lineRule="auto"/>
        <w:ind w:left="850" w:hanging="425"/>
        <w:jc w:val="both"/>
        <w:rPr>
          <w:rFonts w:ascii="Times New Roman" w:eastAsia="Times New Roman" w:hAnsi="Times New Roman" w:cs="Times New Roman"/>
          <w:bCs/>
        </w:rPr>
      </w:pPr>
      <w:r w:rsidRPr="003F363A">
        <w:rPr>
          <w:rFonts w:ascii="Times New Roman" w:eastAsia="Times New Roman" w:hAnsi="Times New Roman" w:cs="Times New Roman"/>
          <w:bCs/>
        </w:rPr>
        <w:t>össz óraszám/félév:</w:t>
      </w:r>
    </w:p>
    <w:p w:rsidR="003F363A" w:rsidRPr="003F363A" w:rsidRDefault="003F363A" w:rsidP="00980876">
      <w:pPr>
        <w:widowControl w:val="0"/>
        <w:numPr>
          <w:ilvl w:val="2"/>
          <w:numId w:val="395"/>
        </w:numPr>
        <w:tabs>
          <w:tab w:val="num" w:pos="1800"/>
        </w:tabs>
        <w:spacing w:before="120" w:after="120" w:line="240" w:lineRule="auto"/>
        <w:ind w:left="1418"/>
        <w:contextualSpacing/>
        <w:jc w:val="both"/>
        <w:rPr>
          <w:rFonts w:ascii="Times New Roman" w:eastAsia="Times New Roman" w:hAnsi="Times New Roman" w:cs="Times New Roman"/>
          <w:bCs/>
        </w:rPr>
      </w:pPr>
      <w:r w:rsidRPr="003F363A">
        <w:rPr>
          <w:rFonts w:ascii="Times New Roman" w:eastAsia="Times New Roman" w:hAnsi="Times New Roman" w:cs="Times New Roman"/>
          <w:bCs/>
        </w:rPr>
        <w:t>nappali munkarend: 28 (28 EA + 0 SZ + 0 GY)</w:t>
      </w:r>
    </w:p>
    <w:p w:rsidR="003F363A" w:rsidRDefault="003F363A" w:rsidP="00980876">
      <w:pPr>
        <w:widowControl w:val="0"/>
        <w:numPr>
          <w:ilvl w:val="2"/>
          <w:numId w:val="395"/>
        </w:numPr>
        <w:tabs>
          <w:tab w:val="num" w:pos="1800"/>
        </w:tabs>
        <w:spacing w:before="120" w:after="240" w:line="240" w:lineRule="auto"/>
        <w:ind w:left="1417"/>
        <w:contextualSpacing/>
        <w:jc w:val="both"/>
        <w:rPr>
          <w:rFonts w:ascii="Times New Roman" w:eastAsia="Times New Roman" w:hAnsi="Times New Roman" w:cs="Times New Roman"/>
          <w:bCs/>
        </w:rPr>
      </w:pPr>
      <w:r w:rsidRPr="003F363A">
        <w:rPr>
          <w:rFonts w:ascii="Times New Roman" w:eastAsia="Times New Roman" w:hAnsi="Times New Roman" w:cs="Times New Roman"/>
          <w:bCs/>
        </w:rPr>
        <w:t>levelező munkarend: - (- EA + - SZ + - GY)</w:t>
      </w:r>
    </w:p>
    <w:p w:rsidR="00081882" w:rsidRPr="00081882" w:rsidRDefault="00081882" w:rsidP="00081882">
      <w:pPr>
        <w:widowControl w:val="0"/>
        <w:spacing w:before="120" w:after="240" w:line="240" w:lineRule="auto"/>
        <w:ind w:left="1417"/>
        <w:contextualSpacing/>
        <w:jc w:val="both"/>
        <w:rPr>
          <w:rFonts w:ascii="Times New Roman" w:eastAsia="Times New Roman" w:hAnsi="Times New Roman" w:cs="Times New Roman"/>
          <w:bCs/>
          <w:sz w:val="6"/>
        </w:rPr>
      </w:pPr>
    </w:p>
    <w:p w:rsidR="003F363A" w:rsidRPr="003F363A" w:rsidRDefault="003F363A" w:rsidP="00980876">
      <w:pPr>
        <w:widowControl w:val="0"/>
        <w:numPr>
          <w:ilvl w:val="1"/>
          <w:numId w:val="397"/>
        </w:numPr>
        <w:tabs>
          <w:tab w:val="clear" w:pos="3977"/>
          <w:tab w:val="num" w:pos="709"/>
          <w:tab w:val="num" w:pos="999"/>
          <w:tab w:val="num" w:pos="2069"/>
        </w:tabs>
        <w:spacing w:before="240" w:after="120" w:line="240" w:lineRule="auto"/>
        <w:ind w:left="850" w:hanging="425"/>
        <w:jc w:val="both"/>
        <w:rPr>
          <w:rFonts w:ascii="Times New Roman" w:eastAsia="Times New Roman" w:hAnsi="Times New Roman" w:cs="Times New Roman"/>
          <w:bCs/>
        </w:rPr>
      </w:pPr>
      <w:r w:rsidRPr="003F363A">
        <w:rPr>
          <w:rFonts w:ascii="Times New Roman" w:eastAsia="Times New Roman" w:hAnsi="Times New Roman" w:cs="Times New Roman"/>
          <w:bCs/>
        </w:rPr>
        <w:t>heti óraszám - nappali munkarend: 2</w:t>
      </w:r>
    </w:p>
    <w:p w:rsidR="003F363A" w:rsidRPr="003F363A" w:rsidRDefault="003F363A" w:rsidP="00980876">
      <w:pPr>
        <w:widowControl w:val="0"/>
        <w:numPr>
          <w:ilvl w:val="1"/>
          <w:numId w:val="397"/>
        </w:numPr>
        <w:tabs>
          <w:tab w:val="clear" w:pos="3977"/>
          <w:tab w:val="num" w:pos="709"/>
          <w:tab w:val="num" w:pos="999"/>
          <w:tab w:val="num" w:pos="2069"/>
        </w:tabs>
        <w:spacing w:before="120" w:after="120" w:line="240" w:lineRule="auto"/>
        <w:ind w:left="851" w:hanging="425"/>
        <w:jc w:val="both"/>
        <w:rPr>
          <w:rFonts w:ascii="Times New Roman" w:eastAsia="Times New Roman" w:hAnsi="Times New Roman" w:cs="Times New Roman"/>
          <w:bCs/>
        </w:rPr>
      </w:pPr>
      <w:r w:rsidRPr="003F363A">
        <w:rPr>
          <w:rFonts w:ascii="Times New Roman" w:eastAsia="Calibri" w:hAnsi="Times New Roman" w:cs="Times New Roman"/>
        </w:rPr>
        <w:t>Az ismeret átadásában alkalmazandó további sajátos módok, jellemzők: -</w:t>
      </w:r>
    </w:p>
    <w:p w:rsidR="003F363A" w:rsidRPr="003F363A" w:rsidRDefault="003F363A" w:rsidP="00980876">
      <w:pPr>
        <w:widowControl w:val="0"/>
        <w:numPr>
          <w:ilvl w:val="0"/>
          <w:numId w:val="397"/>
        </w:numPr>
        <w:tabs>
          <w:tab w:val="clear" w:pos="720"/>
          <w:tab w:val="num" w:pos="643"/>
        </w:tabs>
        <w:spacing w:before="120" w:after="120" w:line="240" w:lineRule="auto"/>
        <w:ind w:left="643"/>
        <w:jc w:val="both"/>
        <w:rPr>
          <w:rFonts w:ascii="Times New Roman" w:eastAsia="Times New Roman" w:hAnsi="Times New Roman" w:cs="Times New Roman"/>
          <w:bCs/>
        </w:rPr>
      </w:pPr>
      <w:r w:rsidRPr="003F363A">
        <w:rPr>
          <w:rFonts w:ascii="Times New Roman" w:eastAsia="Times New Roman" w:hAnsi="Times New Roman" w:cs="Times New Roman"/>
          <w:b/>
          <w:bCs/>
        </w:rPr>
        <w:t>A tantárgy szakmai tartalma (magyarul):</w:t>
      </w:r>
      <w:r w:rsidRPr="003F363A">
        <w:rPr>
          <w:rFonts w:ascii="Calibri" w:eastAsia="Calibri" w:hAnsi="Calibri" w:cs="Times New Roman"/>
          <w:bCs/>
        </w:rPr>
        <w:t xml:space="preserve"> </w:t>
      </w:r>
      <w:r w:rsidRPr="003F363A">
        <w:rPr>
          <w:rFonts w:ascii="Times New Roman" w:eastAsia="Times New Roman" w:hAnsi="Times New Roman" w:cs="Times New Roman"/>
          <w:bCs/>
        </w:rPr>
        <w:t>A HM fejezet pénzügyi és számviteli szakellenőrzésének rendszere. A pénzügyi és számviteli szakellenőrzés általános és specifikus területei, feladatai, módszerei. Az ellenőrzés végrehajtásának szakaszai: tervezés; programkészítés; vizsgálat (annak tartalmi, módszertani követelményei); az ellenőrzés megállapításainak írásba foglalása, jegyzőkönyv, jelentés készítése; intézkedési javaslat kidolgozása; realizálás. Beszámoló, értékelés készítése az ellenőrző tevékenységről. Kötelező feladatok, eljárási szabályok pénzügyi visszaélések megállapítása esetén.</w:t>
      </w:r>
    </w:p>
    <w:p w:rsidR="003F363A" w:rsidRPr="003F363A" w:rsidRDefault="003F363A" w:rsidP="003F363A">
      <w:pPr>
        <w:widowControl w:val="0"/>
        <w:spacing w:before="120" w:after="120" w:line="240" w:lineRule="auto"/>
        <w:ind w:left="643"/>
        <w:jc w:val="both"/>
        <w:rPr>
          <w:rFonts w:ascii="Times New Roman" w:eastAsia="Times New Roman" w:hAnsi="Times New Roman" w:cs="Times New Roman"/>
          <w:bCs/>
          <w:lang w:val="en-GB"/>
        </w:rPr>
      </w:pPr>
      <w:r w:rsidRPr="003F363A">
        <w:rPr>
          <w:rFonts w:ascii="Times New Roman" w:eastAsia="Times New Roman" w:hAnsi="Times New Roman" w:cs="Times New Roman"/>
          <w:b/>
          <w:bCs/>
        </w:rPr>
        <w:t>A tantárgy szakmai tartalma (angolul) (</w:t>
      </w:r>
      <w:r w:rsidRPr="003F363A">
        <w:rPr>
          <w:rFonts w:ascii="Times New Roman" w:eastAsia="Times New Roman" w:hAnsi="Times New Roman" w:cs="Times New Roman"/>
          <w:b/>
          <w:bCs/>
          <w:lang w:val="en-US"/>
        </w:rPr>
        <w:t>Course description</w:t>
      </w:r>
      <w:r w:rsidRPr="003F363A">
        <w:rPr>
          <w:rFonts w:ascii="Times New Roman" w:eastAsia="Times New Roman" w:hAnsi="Times New Roman" w:cs="Times New Roman"/>
          <w:b/>
          <w:bCs/>
        </w:rPr>
        <w:t xml:space="preserve">): </w:t>
      </w:r>
      <w:r w:rsidRPr="003F363A">
        <w:rPr>
          <w:rFonts w:ascii="Times New Roman" w:eastAsia="Times New Roman" w:hAnsi="Times New Roman" w:cs="Times New Roman"/>
          <w:bCs/>
        </w:rPr>
        <w:t>The financial and accounting system of the MoD. The general and specific areas, tasks of methods of financial audit. The stages of control: planning, programming, methodological requirements of planning and testing. The proposal for action of the control, report making. The development and realization of proposal for action. The reporting and evaluation of control activity. The obligatory (compulsory) tasks and procedural rules in case of financial misuse.</w:t>
      </w:r>
    </w:p>
    <w:p w:rsidR="003F363A" w:rsidRPr="003F363A" w:rsidRDefault="003F363A" w:rsidP="00980876">
      <w:pPr>
        <w:widowControl w:val="0"/>
        <w:numPr>
          <w:ilvl w:val="0"/>
          <w:numId w:val="397"/>
        </w:numPr>
        <w:tabs>
          <w:tab w:val="clear" w:pos="720"/>
          <w:tab w:val="num" w:pos="426"/>
          <w:tab w:val="num" w:pos="643"/>
        </w:tabs>
        <w:spacing w:before="120" w:after="120" w:line="240" w:lineRule="auto"/>
        <w:ind w:left="643"/>
        <w:contextualSpacing/>
        <w:jc w:val="both"/>
        <w:rPr>
          <w:rFonts w:ascii="Times New Roman" w:eastAsia="Times New Roman" w:hAnsi="Times New Roman" w:cs="Times New Roman"/>
          <w:bCs/>
        </w:rPr>
      </w:pPr>
      <w:r w:rsidRPr="003F363A">
        <w:rPr>
          <w:rFonts w:ascii="Times New Roman" w:eastAsia="Times New Roman" w:hAnsi="Times New Roman" w:cs="Times New Roman"/>
          <w:b/>
          <w:bCs/>
        </w:rPr>
        <w:t xml:space="preserve">Elérendő kompetenciák (magyarul): </w:t>
      </w:r>
    </w:p>
    <w:p w:rsidR="003F363A" w:rsidRPr="003F363A" w:rsidRDefault="003F363A" w:rsidP="00081882">
      <w:pPr>
        <w:widowControl w:val="0"/>
        <w:spacing w:before="120" w:after="0" w:line="240" w:lineRule="auto"/>
        <w:ind w:left="425"/>
        <w:jc w:val="both"/>
        <w:rPr>
          <w:rFonts w:ascii="Times New Roman" w:eastAsia="Calibri" w:hAnsi="Times New Roman" w:cs="Times New Roman"/>
          <w:sz w:val="24"/>
          <w:szCs w:val="24"/>
        </w:rPr>
      </w:pPr>
      <w:r w:rsidRPr="003F363A">
        <w:rPr>
          <w:rFonts w:ascii="Times New Roman" w:eastAsia="Times New Roman" w:hAnsi="Times New Roman" w:cs="Times New Roman"/>
          <w:b/>
          <w:bCs/>
        </w:rPr>
        <w:t>Tudása:</w:t>
      </w:r>
      <w:r w:rsidRPr="003F363A">
        <w:rPr>
          <w:rFonts w:ascii="Times New Roman" w:eastAsia="Calibri" w:hAnsi="Times New Roman" w:cs="Times New Roman"/>
          <w:sz w:val="24"/>
          <w:szCs w:val="24"/>
        </w:rPr>
        <w:t xml:space="preserve"> </w:t>
      </w:r>
    </w:p>
    <w:p w:rsidR="003F363A" w:rsidRPr="003F363A" w:rsidRDefault="003F363A" w:rsidP="00980876">
      <w:pPr>
        <w:widowControl w:val="0"/>
        <w:numPr>
          <w:ilvl w:val="0"/>
          <w:numId w:val="396"/>
        </w:numPr>
        <w:spacing w:before="120" w:after="120" w:line="240" w:lineRule="auto"/>
        <w:ind w:hanging="219"/>
        <w:contextualSpacing/>
        <w:jc w:val="both"/>
        <w:rPr>
          <w:rFonts w:ascii="Times New Roman" w:eastAsia="Times New Roman" w:hAnsi="Times New Roman" w:cs="Times New Roman"/>
          <w:bCs/>
        </w:rPr>
      </w:pPr>
      <w:r w:rsidRPr="003F363A">
        <w:rPr>
          <w:rFonts w:ascii="Times New Roman" w:eastAsia="Times New Roman" w:hAnsi="Times New Roman" w:cs="Times New Roman"/>
          <w:bCs/>
        </w:rPr>
        <w:t xml:space="preserve">Ismeri a Honvédelmi Minisztérium fejezet pénzügyi-számviteli szakellenőrzésének szervezetét, a szakellenőrzés feladatait és módszereit. </w:t>
      </w:r>
    </w:p>
    <w:p w:rsidR="003F363A" w:rsidRPr="00081882" w:rsidRDefault="003F363A" w:rsidP="00081882">
      <w:pPr>
        <w:widowControl w:val="0"/>
        <w:spacing w:before="120" w:after="0" w:line="240" w:lineRule="auto"/>
        <w:ind w:left="425"/>
        <w:jc w:val="both"/>
        <w:rPr>
          <w:rFonts w:ascii="Times New Roman" w:eastAsia="Times New Roman" w:hAnsi="Times New Roman" w:cs="Times New Roman"/>
          <w:b/>
          <w:bCs/>
        </w:rPr>
      </w:pPr>
      <w:r w:rsidRPr="003F363A">
        <w:rPr>
          <w:rFonts w:ascii="Times New Roman" w:eastAsia="Times New Roman" w:hAnsi="Times New Roman" w:cs="Times New Roman"/>
          <w:b/>
          <w:bCs/>
        </w:rPr>
        <w:t>Képességei:</w:t>
      </w:r>
      <w:r w:rsidRPr="00081882">
        <w:rPr>
          <w:rFonts w:ascii="Times New Roman" w:eastAsia="Times New Roman" w:hAnsi="Times New Roman" w:cs="Times New Roman"/>
          <w:b/>
          <w:bCs/>
        </w:rPr>
        <w:t xml:space="preserve"> </w:t>
      </w:r>
    </w:p>
    <w:p w:rsidR="003F363A" w:rsidRPr="003F363A" w:rsidRDefault="003F363A" w:rsidP="00980876">
      <w:pPr>
        <w:widowControl w:val="0"/>
        <w:numPr>
          <w:ilvl w:val="0"/>
          <w:numId w:val="396"/>
        </w:numPr>
        <w:spacing w:before="120" w:after="120" w:line="240" w:lineRule="auto"/>
        <w:ind w:hanging="219"/>
        <w:contextualSpacing/>
        <w:jc w:val="both"/>
        <w:rPr>
          <w:rFonts w:ascii="Times New Roman" w:eastAsia="Times New Roman" w:hAnsi="Times New Roman" w:cs="Times New Roman"/>
          <w:bCs/>
        </w:rPr>
      </w:pPr>
      <w:r w:rsidRPr="00081882">
        <w:rPr>
          <w:rFonts w:ascii="Times New Roman" w:eastAsia="Times New Roman" w:hAnsi="Times New Roman" w:cs="Times New Roman"/>
          <w:bCs/>
        </w:rPr>
        <w:t>Képes a gazdálkodás támogató és pénzügyi ellátó referatúra ellenőrzési feladatainak végrehajtására.</w:t>
      </w:r>
    </w:p>
    <w:p w:rsidR="003F363A" w:rsidRPr="00081882" w:rsidRDefault="003F363A" w:rsidP="00081882">
      <w:pPr>
        <w:widowControl w:val="0"/>
        <w:spacing w:before="120" w:after="0" w:line="240" w:lineRule="auto"/>
        <w:ind w:left="425"/>
        <w:jc w:val="both"/>
        <w:rPr>
          <w:rFonts w:ascii="Times New Roman" w:eastAsia="Times New Roman" w:hAnsi="Times New Roman" w:cs="Times New Roman"/>
          <w:b/>
          <w:bCs/>
        </w:rPr>
      </w:pPr>
      <w:r w:rsidRPr="003F363A">
        <w:rPr>
          <w:rFonts w:ascii="Times New Roman" w:eastAsia="Times New Roman" w:hAnsi="Times New Roman" w:cs="Times New Roman"/>
          <w:b/>
          <w:bCs/>
        </w:rPr>
        <w:t>Attitűdje:</w:t>
      </w:r>
      <w:r w:rsidRPr="00081882">
        <w:rPr>
          <w:rFonts w:ascii="Times New Roman" w:eastAsia="Times New Roman" w:hAnsi="Times New Roman" w:cs="Times New Roman"/>
          <w:b/>
          <w:bCs/>
        </w:rPr>
        <w:t xml:space="preserve"> </w:t>
      </w:r>
    </w:p>
    <w:p w:rsidR="003F363A" w:rsidRPr="003F363A" w:rsidRDefault="003F363A" w:rsidP="00980876">
      <w:pPr>
        <w:widowControl w:val="0"/>
        <w:numPr>
          <w:ilvl w:val="0"/>
          <w:numId w:val="396"/>
        </w:numPr>
        <w:spacing w:before="120" w:after="120" w:line="240" w:lineRule="auto"/>
        <w:ind w:hanging="219"/>
        <w:contextualSpacing/>
        <w:jc w:val="both"/>
        <w:rPr>
          <w:rFonts w:ascii="Times New Roman" w:eastAsia="Times New Roman" w:hAnsi="Times New Roman" w:cs="Times New Roman"/>
          <w:bCs/>
        </w:rPr>
      </w:pPr>
      <w:r w:rsidRPr="003F363A">
        <w:rPr>
          <w:rFonts w:ascii="Times New Roman" w:eastAsia="Times New Roman" w:hAnsi="Times New Roman" w:cs="Times New Roman"/>
          <w:bCs/>
        </w:rPr>
        <w:t>Különös figyelmet fordít a pénzügyi területnél elvárt jogszerű, szabálykövető, pontos munkavégzésre.</w:t>
      </w:r>
    </w:p>
    <w:p w:rsidR="00081882" w:rsidRDefault="00081882" w:rsidP="003F363A">
      <w:pPr>
        <w:widowControl w:val="0"/>
        <w:spacing w:before="120" w:after="120" w:line="240" w:lineRule="auto"/>
        <w:ind w:left="426"/>
        <w:jc w:val="both"/>
        <w:rPr>
          <w:rFonts w:ascii="Times New Roman" w:eastAsia="Times New Roman" w:hAnsi="Times New Roman" w:cs="Times New Roman"/>
          <w:b/>
          <w:bCs/>
        </w:rPr>
      </w:pPr>
    </w:p>
    <w:p w:rsidR="003F363A" w:rsidRPr="003F363A" w:rsidRDefault="003F363A" w:rsidP="003F363A">
      <w:pPr>
        <w:widowControl w:val="0"/>
        <w:spacing w:before="120" w:after="120" w:line="240" w:lineRule="auto"/>
        <w:ind w:left="426"/>
        <w:jc w:val="both"/>
        <w:rPr>
          <w:rFonts w:ascii="Times New Roman" w:eastAsia="Times New Roman" w:hAnsi="Times New Roman" w:cs="Times New Roman"/>
          <w:bCs/>
        </w:rPr>
      </w:pPr>
      <w:r w:rsidRPr="003F363A">
        <w:rPr>
          <w:rFonts w:ascii="Times New Roman" w:eastAsia="Times New Roman" w:hAnsi="Times New Roman" w:cs="Times New Roman"/>
          <w:b/>
          <w:bCs/>
        </w:rPr>
        <w:lastRenderedPageBreak/>
        <w:t>Autonómiája és felelőssége:</w:t>
      </w:r>
      <w:r w:rsidRPr="003F363A">
        <w:rPr>
          <w:rFonts w:ascii="Times New Roman" w:eastAsia="Times New Roman" w:hAnsi="Times New Roman" w:cs="Times New Roman"/>
          <w:bCs/>
        </w:rPr>
        <w:t xml:space="preserve"> </w:t>
      </w:r>
    </w:p>
    <w:p w:rsidR="003F363A" w:rsidRPr="003F363A" w:rsidRDefault="003F363A" w:rsidP="00980876">
      <w:pPr>
        <w:widowControl w:val="0"/>
        <w:numPr>
          <w:ilvl w:val="0"/>
          <w:numId w:val="396"/>
        </w:numPr>
        <w:spacing w:before="120" w:after="120" w:line="240" w:lineRule="auto"/>
        <w:ind w:hanging="219"/>
        <w:contextualSpacing/>
        <w:jc w:val="both"/>
        <w:rPr>
          <w:rFonts w:ascii="Times New Roman" w:eastAsia="Times New Roman" w:hAnsi="Times New Roman" w:cs="Times New Roman"/>
          <w:bCs/>
        </w:rPr>
      </w:pPr>
      <w:r w:rsidRPr="003F363A">
        <w:rPr>
          <w:rFonts w:ascii="Times New Roman" w:eastAsia="Times New Roman" w:hAnsi="Times New Roman" w:cs="Times New Roman"/>
          <w:bCs/>
        </w:rPr>
        <w:t>Felelősséget vállal az általa készített dokumentumok szakmai, jogszabályoknak való maradéktalan megfelelőségéért.</w:t>
      </w:r>
    </w:p>
    <w:p w:rsidR="003F363A" w:rsidRPr="003F363A" w:rsidRDefault="003F363A" w:rsidP="003F363A">
      <w:pPr>
        <w:widowControl w:val="0"/>
        <w:spacing w:before="120" w:after="120" w:line="240" w:lineRule="auto"/>
        <w:ind w:left="426"/>
        <w:jc w:val="both"/>
        <w:rPr>
          <w:rFonts w:ascii="Times New Roman" w:eastAsia="Times New Roman" w:hAnsi="Times New Roman" w:cs="Times New Roman"/>
          <w:b/>
          <w:bCs/>
          <w:lang w:val="en-US"/>
        </w:rPr>
      </w:pPr>
      <w:r w:rsidRPr="003F363A">
        <w:rPr>
          <w:rFonts w:ascii="Times New Roman" w:eastAsia="Times New Roman" w:hAnsi="Times New Roman" w:cs="Times New Roman"/>
          <w:b/>
          <w:bCs/>
        </w:rPr>
        <w:t>Elérendő kompetenciák (angolul) (</w:t>
      </w:r>
      <w:r w:rsidRPr="003F363A">
        <w:rPr>
          <w:rFonts w:ascii="Times New Roman" w:eastAsia="Times New Roman" w:hAnsi="Times New Roman" w:cs="Times New Roman"/>
          <w:b/>
          <w:bCs/>
          <w:lang w:val="en-US"/>
        </w:rPr>
        <w:t xml:space="preserve">Competences – English): </w:t>
      </w:r>
    </w:p>
    <w:p w:rsidR="003F363A" w:rsidRPr="003F363A" w:rsidRDefault="003F363A" w:rsidP="003F363A">
      <w:pPr>
        <w:widowControl w:val="0"/>
        <w:spacing w:before="120" w:after="120"/>
        <w:ind w:left="426"/>
        <w:jc w:val="both"/>
        <w:rPr>
          <w:rFonts w:ascii="Times New Roman" w:eastAsia="Times New Roman" w:hAnsi="Times New Roman" w:cs="Times New Roman"/>
          <w:lang w:val="en"/>
        </w:rPr>
      </w:pPr>
      <w:r w:rsidRPr="003F363A">
        <w:rPr>
          <w:rFonts w:ascii="Times New Roman" w:eastAsia="Times New Roman" w:hAnsi="Times New Roman" w:cs="Times New Roman"/>
          <w:b/>
          <w:lang w:val="en-GB"/>
        </w:rPr>
        <w:t>Knowledge:</w:t>
      </w:r>
      <w:r w:rsidRPr="003F363A">
        <w:rPr>
          <w:rFonts w:ascii="Times New Roman" w:eastAsia="Times New Roman" w:hAnsi="Times New Roman" w:cs="Times New Roman"/>
          <w:lang w:val="en"/>
        </w:rPr>
        <w:t xml:space="preserve"> </w:t>
      </w:r>
    </w:p>
    <w:p w:rsidR="003F363A" w:rsidRPr="003F363A" w:rsidRDefault="003F363A" w:rsidP="00980876">
      <w:pPr>
        <w:widowControl w:val="0"/>
        <w:numPr>
          <w:ilvl w:val="0"/>
          <w:numId w:val="396"/>
        </w:numPr>
        <w:spacing w:before="120" w:after="120"/>
        <w:ind w:hanging="219"/>
        <w:contextualSpacing/>
        <w:jc w:val="both"/>
        <w:rPr>
          <w:rFonts w:ascii="Times New Roman" w:eastAsia="Times New Roman" w:hAnsi="Times New Roman" w:cs="Times New Roman"/>
        </w:rPr>
      </w:pPr>
      <w:r w:rsidRPr="003F363A">
        <w:rPr>
          <w:rFonts w:ascii="Times New Roman" w:eastAsia="Times New Roman" w:hAnsi="Times New Roman" w:cs="Times New Roman"/>
          <w:lang w:val="en"/>
        </w:rPr>
        <w:t>He/She is familiar with the organization of the special audit of the financial-accounting department of the Ministry of Defense, the tasks and methods of the special audit.</w:t>
      </w:r>
    </w:p>
    <w:p w:rsidR="003F363A" w:rsidRPr="003F363A" w:rsidRDefault="003F363A" w:rsidP="003F363A">
      <w:pPr>
        <w:widowControl w:val="0"/>
        <w:spacing w:before="120" w:after="120" w:line="240" w:lineRule="auto"/>
        <w:ind w:left="426"/>
        <w:jc w:val="both"/>
        <w:rPr>
          <w:rFonts w:ascii="Times New Roman" w:eastAsia="Times New Roman" w:hAnsi="Times New Roman" w:cs="Times New Roman"/>
          <w:b/>
          <w:lang w:val="en-GB"/>
        </w:rPr>
      </w:pPr>
      <w:r w:rsidRPr="003F363A">
        <w:rPr>
          <w:rFonts w:ascii="Times New Roman" w:eastAsia="Times New Roman" w:hAnsi="Times New Roman" w:cs="Times New Roman"/>
          <w:b/>
          <w:lang w:val="en-GB"/>
        </w:rPr>
        <w:t xml:space="preserve">Capabilities: </w:t>
      </w:r>
    </w:p>
    <w:p w:rsidR="003F363A" w:rsidRPr="003F363A" w:rsidRDefault="003F363A" w:rsidP="00980876">
      <w:pPr>
        <w:widowControl w:val="0"/>
        <w:numPr>
          <w:ilvl w:val="0"/>
          <w:numId w:val="396"/>
        </w:numPr>
        <w:spacing w:before="120" w:after="120" w:line="240" w:lineRule="auto"/>
        <w:ind w:hanging="219"/>
        <w:contextualSpacing/>
        <w:jc w:val="both"/>
        <w:rPr>
          <w:rFonts w:ascii="Times New Roman" w:eastAsia="Times New Roman" w:hAnsi="Times New Roman" w:cs="Times New Roman"/>
          <w:lang w:val="en-GB"/>
        </w:rPr>
      </w:pPr>
      <w:r w:rsidRPr="003F363A">
        <w:rPr>
          <w:rFonts w:ascii="Times New Roman" w:eastAsia="Times New Roman" w:hAnsi="Times New Roman" w:cs="Times New Roman"/>
          <w:lang w:val="en"/>
        </w:rPr>
        <w:t>He/</w:t>
      </w:r>
      <w:r w:rsidR="00081882">
        <w:rPr>
          <w:rFonts w:ascii="Times New Roman" w:eastAsia="Times New Roman" w:hAnsi="Times New Roman" w:cs="Times New Roman"/>
          <w:lang w:val="en"/>
        </w:rPr>
        <w:t>S</w:t>
      </w:r>
      <w:r w:rsidRPr="003F363A">
        <w:rPr>
          <w:rFonts w:ascii="Times New Roman" w:eastAsia="Times New Roman" w:hAnsi="Times New Roman" w:cs="Times New Roman"/>
          <w:lang w:val="en"/>
        </w:rPr>
        <w:t>he is able to perform the control functions of the financial support and financial reporting.</w:t>
      </w:r>
    </w:p>
    <w:p w:rsidR="003F363A" w:rsidRPr="003F363A" w:rsidRDefault="003F363A" w:rsidP="003F363A">
      <w:pPr>
        <w:widowControl w:val="0"/>
        <w:spacing w:before="120" w:after="120" w:line="240" w:lineRule="auto"/>
        <w:ind w:left="426"/>
        <w:jc w:val="both"/>
        <w:rPr>
          <w:rFonts w:ascii="Times New Roman" w:eastAsia="Times New Roman" w:hAnsi="Times New Roman" w:cs="Times New Roman"/>
          <w:b/>
          <w:lang w:val="en-GB"/>
        </w:rPr>
      </w:pPr>
      <w:r w:rsidRPr="003F363A">
        <w:rPr>
          <w:rFonts w:ascii="Times New Roman" w:eastAsia="Times New Roman" w:hAnsi="Times New Roman" w:cs="Times New Roman"/>
          <w:b/>
          <w:lang w:val="en-GB"/>
        </w:rPr>
        <w:t xml:space="preserve">Attitude: </w:t>
      </w:r>
    </w:p>
    <w:p w:rsidR="003F363A" w:rsidRPr="003F363A" w:rsidRDefault="00081882" w:rsidP="00980876">
      <w:pPr>
        <w:widowControl w:val="0"/>
        <w:numPr>
          <w:ilvl w:val="0"/>
          <w:numId w:val="396"/>
        </w:numPr>
        <w:spacing w:before="120" w:after="120" w:line="240" w:lineRule="auto"/>
        <w:ind w:hanging="219"/>
        <w:contextualSpacing/>
        <w:jc w:val="both"/>
        <w:rPr>
          <w:rFonts w:ascii="Times New Roman" w:eastAsia="Times New Roman" w:hAnsi="Times New Roman" w:cs="Times New Roman"/>
          <w:b/>
          <w:lang w:val="en-GB"/>
        </w:rPr>
      </w:pPr>
      <w:r>
        <w:rPr>
          <w:rFonts w:ascii="Times New Roman" w:eastAsia="Times New Roman" w:hAnsi="Times New Roman" w:cs="Times New Roman"/>
          <w:lang w:val="en-GB"/>
        </w:rPr>
        <w:t>He/S</w:t>
      </w:r>
      <w:r w:rsidR="003F363A" w:rsidRPr="003F363A">
        <w:rPr>
          <w:rFonts w:ascii="Times New Roman" w:eastAsia="Times New Roman" w:hAnsi="Times New Roman" w:cs="Times New Roman"/>
          <w:lang w:val="en-GB"/>
        </w:rPr>
        <w:t>he pays particular attention to the legal, regulatory, and accurate work required in the financial field.</w:t>
      </w:r>
    </w:p>
    <w:p w:rsidR="003F363A" w:rsidRPr="003F363A" w:rsidRDefault="003F363A" w:rsidP="003F3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b/>
          <w:lang w:val="en-GB"/>
        </w:rPr>
      </w:pPr>
      <w:r w:rsidRPr="003F363A">
        <w:rPr>
          <w:rFonts w:ascii="Times New Roman" w:eastAsia="Times New Roman" w:hAnsi="Times New Roman" w:cs="Times New Roman"/>
          <w:b/>
          <w:lang w:val="en-GB"/>
        </w:rPr>
        <w:t>Autonomy and responsibility:</w:t>
      </w:r>
    </w:p>
    <w:p w:rsidR="003F363A" w:rsidRPr="003F363A" w:rsidRDefault="003F363A" w:rsidP="00980876">
      <w:pPr>
        <w:numPr>
          <w:ilvl w:val="0"/>
          <w:numId w:val="39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19"/>
        <w:contextualSpacing/>
        <w:jc w:val="both"/>
        <w:rPr>
          <w:rFonts w:ascii="Times New Roman" w:eastAsia="Times New Roman" w:hAnsi="Times New Roman" w:cs="Times New Roman"/>
          <w:lang w:val="en-GB"/>
        </w:rPr>
      </w:pPr>
      <w:r w:rsidRPr="003F363A">
        <w:rPr>
          <w:rFonts w:ascii="Calibri" w:eastAsia="Calibri" w:hAnsi="Calibri" w:cs="Times New Roman"/>
        </w:rPr>
        <w:t xml:space="preserve"> </w:t>
      </w:r>
      <w:r w:rsidR="00081882">
        <w:rPr>
          <w:rFonts w:ascii="Times New Roman" w:eastAsia="Times New Roman" w:hAnsi="Times New Roman" w:cs="Times New Roman"/>
          <w:lang w:val="en-GB"/>
        </w:rPr>
        <w:t>He/S</w:t>
      </w:r>
      <w:r w:rsidRPr="003F363A">
        <w:rPr>
          <w:rFonts w:ascii="Times New Roman" w:eastAsia="Times New Roman" w:hAnsi="Times New Roman" w:cs="Times New Roman"/>
          <w:lang w:val="en-GB"/>
        </w:rPr>
        <w:t>he assumes full responsibility for the professional and legal compliance of his/her documents.</w:t>
      </w:r>
    </w:p>
    <w:p w:rsidR="003F363A" w:rsidRPr="003F363A" w:rsidRDefault="003F363A" w:rsidP="00980876">
      <w:pPr>
        <w:widowControl w:val="0"/>
        <w:numPr>
          <w:ilvl w:val="0"/>
          <w:numId w:val="397"/>
        </w:numPr>
        <w:tabs>
          <w:tab w:val="clear" w:pos="720"/>
          <w:tab w:val="num" w:pos="643"/>
        </w:tabs>
        <w:spacing w:before="120" w:after="120" w:line="240" w:lineRule="auto"/>
        <w:ind w:left="643"/>
        <w:jc w:val="both"/>
        <w:rPr>
          <w:rFonts w:ascii="Times New Roman" w:eastAsia="Times New Roman" w:hAnsi="Times New Roman" w:cs="Times New Roman"/>
          <w:bCs/>
        </w:rPr>
      </w:pPr>
      <w:r w:rsidRPr="003F363A">
        <w:rPr>
          <w:rFonts w:ascii="Times New Roman" w:eastAsia="Times New Roman" w:hAnsi="Times New Roman" w:cs="Times New Roman"/>
          <w:b/>
          <w:bCs/>
        </w:rPr>
        <w:t xml:space="preserve">Előtanulmányi követelmények: </w:t>
      </w:r>
      <w:r w:rsidRPr="003F363A">
        <w:rPr>
          <w:rFonts w:ascii="Times New Roman" w:eastAsia="Times New Roman" w:hAnsi="Times New Roman" w:cs="Times New Roman"/>
          <w:bCs/>
        </w:rPr>
        <w:t>Költségvetési elemzés-ellenőrzés. (HKHPKA514)</w:t>
      </w:r>
    </w:p>
    <w:p w:rsidR="003F363A" w:rsidRPr="003F363A" w:rsidRDefault="003F363A" w:rsidP="00980876">
      <w:pPr>
        <w:widowControl w:val="0"/>
        <w:numPr>
          <w:ilvl w:val="0"/>
          <w:numId w:val="397"/>
        </w:numPr>
        <w:tabs>
          <w:tab w:val="clear" w:pos="720"/>
          <w:tab w:val="num" w:pos="643"/>
        </w:tabs>
        <w:spacing w:before="120" w:after="120" w:line="240" w:lineRule="auto"/>
        <w:ind w:left="426" w:hanging="142"/>
        <w:jc w:val="both"/>
        <w:rPr>
          <w:rFonts w:ascii="Times New Roman" w:eastAsia="Times New Roman" w:hAnsi="Times New Roman" w:cs="Times New Roman"/>
          <w:b/>
          <w:bCs/>
        </w:rPr>
      </w:pPr>
      <w:r w:rsidRPr="003F363A">
        <w:rPr>
          <w:rFonts w:ascii="Times New Roman" w:eastAsia="Times New Roman" w:hAnsi="Times New Roman" w:cs="Times New Roman"/>
          <w:b/>
          <w:bCs/>
        </w:rPr>
        <w:t>A tantárgy tananyagának leírása, tematika. Description of the subject, curriculum (magyarul, angolul - English):</w:t>
      </w:r>
    </w:p>
    <w:p w:rsidR="003F363A" w:rsidRPr="003F363A" w:rsidRDefault="003F363A" w:rsidP="00980876">
      <w:pPr>
        <w:widowControl w:val="0"/>
        <w:numPr>
          <w:ilvl w:val="1"/>
          <w:numId w:val="397"/>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3F363A">
        <w:rPr>
          <w:rFonts w:ascii="Times New Roman" w:eastAsia="Times New Roman" w:hAnsi="Times New Roman" w:cs="Times New Roman"/>
          <w:b/>
        </w:rPr>
        <w:t xml:space="preserve"> </w:t>
      </w:r>
      <w:r w:rsidRPr="003F363A">
        <w:rPr>
          <w:rFonts w:ascii="Times New Roman" w:eastAsia="Times New Roman" w:hAnsi="Times New Roman" w:cs="Times New Roman"/>
          <w:kern w:val="2"/>
        </w:rPr>
        <w:t xml:space="preserve">A HM fejezet pénzügyi és számviteli szakellenőrzési rendszere. </w:t>
      </w:r>
      <w:r w:rsidRPr="003F363A">
        <w:rPr>
          <w:rFonts w:ascii="Times New Roman" w:eastAsia="Times New Roman" w:hAnsi="Times New Roman" w:cs="Times New Roman"/>
          <w:i/>
          <w:kern w:val="2"/>
        </w:rPr>
        <w:t>(The financial and accounting system of the MoD.)</w:t>
      </w:r>
    </w:p>
    <w:p w:rsidR="003F363A" w:rsidRPr="003F363A" w:rsidRDefault="003F363A" w:rsidP="00980876">
      <w:pPr>
        <w:widowControl w:val="0"/>
        <w:numPr>
          <w:ilvl w:val="1"/>
          <w:numId w:val="397"/>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3F363A">
        <w:rPr>
          <w:rFonts w:ascii="Times New Roman" w:eastAsia="Times New Roman" w:hAnsi="Times New Roman" w:cs="Times New Roman"/>
          <w:kern w:val="2"/>
        </w:rPr>
        <w:t xml:space="preserve">A pénzügyi és számviteli szakellenőrzés általános és specifikus területei, feladatai, módszerei. </w:t>
      </w:r>
      <w:r w:rsidRPr="003F363A">
        <w:rPr>
          <w:rFonts w:ascii="Times New Roman" w:eastAsia="Times New Roman" w:hAnsi="Times New Roman" w:cs="Times New Roman"/>
          <w:i/>
          <w:kern w:val="2"/>
        </w:rPr>
        <w:t>(The general and specific areas, tasks of methods of financial audit.)</w:t>
      </w:r>
    </w:p>
    <w:p w:rsidR="003F363A" w:rsidRPr="003F363A" w:rsidRDefault="003F363A" w:rsidP="00980876">
      <w:pPr>
        <w:widowControl w:val="0"/>
        <w:numPr>
          <w:ilvl w:val="1"/>
          <w:numId w:val="397"/>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3F363A">
        <w:rPr>
          <w:rFonts w:ascii="Times New Roman" w:eastAsia="Times New Roman" w:hAnsi="Times New Roman" w:cs="Times New Roman"/>
          <w:kern w:val="2"/>
        </w:rPr>
        <w:t xml:space="preserve">Az ellenőrzés végrehajtásának szakaszai: tervezés; programkészítés; vizsgálat (annak tartalmi, módszertani követelményei); az ellenőrzés megállapításainak írásba foglalása, jegyzőkönyv, jelentés készítése; intézkedési javaslat kidolgozása; realizálás. </w:t>
      </w:r>
      <w:r w:rsidRPr="003F363A">
        <w:rPr>
          <w:rFonts w:ascii="Times New Roman" w:eastAsia="Times New Roman" w:hAnsi="Times New Roman" w:cs="Times New Roman"/>
          <w:i/>
          <w:kern w:val="2"/>
        </w:rPr>
        <w:t>(The stages of control: planning, programming, methodological requirements of planning and testing. The proposal for action of the control, report making. The development and realization of proposal for action.)</w:t>
      </w:r>
    </w:p>
    <w:p w:rsidR="003F363A" w:rsidRPr="003F363A" w:rsidRDefault="003F363A" w:rsidP="00980876">
      <w:pPr>
        <w:widowControl w:val="0"/>
        <w:numPr>
          <w:ilvl w:val="1"/>
          <w:numId w:val="397"/>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3F363A">
        <w:rPr>
          <w:rFonts w:ascii="Times New Roman" w:eastAsia="Times New Roman" w:hAnsi="Times New Roman" w:cs="Times New Roman"/>
          <w:kern w:val="2"/>
        </w:rPr>
        <w:t xml:space="preserve">Beszámoló, értékelés készítése az ellenőrző tevékenységről. Kötelező feladatok, eljárási szabályok pénzügyi visszaélések megállapítása esetén. </w:t>
      </w:r>
      <w:r w:rsidRPr="003F363A">
        <w:rPr>
          <w:rFonts w:ascii="Times New Roman" w:eastAsia="Times New Roman" w:hAnsi="Times New Roman" w:cs="Times New Roman"/>
          <w:i/>
          <w:kern w:val="2"/>
        </w:rPr>
        <w:t>(The reporting and evaluation of control activity. The compulsory tasks and procedural rules in case of financial misuse.)</w:t>
      </w:r>
    </w:p>
    <w:p w:rsidR="003F363A" w:rsidRPr="003F363A" w:rsidRDefault="003F363A" w:rsidP="00980876">
      <w:pPr>
        <w:widowControl w:val="0"/>
        <w:numPr>
          <w:ilvl w:val="0"/>
          <w:numId w:val="397"/>
        </w:numPr>
        <w:tabs>
          <w:tab w:val="clear" w:pos="720"/>
          <w:tab w:val="num" w:pos="643"/>
          <w:tab w:val="left" w:pos="709"/>
          <w:tab w:val="left" w:pos="993"/>
        </w:tabs>
        <w:spacing w:before="120" w:after="120" w:line="240" w:lineRule="auto"/>
        <w:ind w:left="643"/>
        <w:contextualSpacing/>
        <w:jc w:val="both"/>
        <w:rPr>
          <w:rFonts w:ascii="Times New Roman" w:eastAsia="Times New Roman" w:hAnsi="Times New Roman" w:cs="Times New Roman"/>
          <w:bCs/>
        </w:rPr>
      </w:pPr>
      <w:r w:rsidRPr="003F363A">
        <w:rPr>
          <w:rFonts w:ascii="Times New Roman" w:eastAsia="Times New Roman" w:hAnsi="Times New Roman" w:cs="Times New Roman"/>
          <w:b/>
          <w:bCs/>
        </w:rPr>
        <w:t xml:space="preserve">A tantárgy meghirdetésének gyakorisága/a tantervben történő félévi elhelyezkedése: </w:t>
      </w:r>
      <w:r w:rsidRPr="003F363A">
        <w:rPr>
          <w:rFonts w:ascii="Times New Roman" w:eastAsia="Times New Roman" w:hAnsi="Times New Roman" w:cs="Times New Roman"/>
          <w:bCs/>
        </w:rPr>
        <w:t>a tanév 2. (tavaszi) félévében.</w:t>
      </w:r>
    </w:p>
    <w:p w:rsidR="003F363A" w:rsidRPr="003F363A" w:rsidRDefault="003F363A" w:rsidP="00980876">
      <w:pPr>
        <w:widowControl w:val="0"/>
        <w:numPr>
          <w:ilvl w:val="0"/>
          <w:numId w:val="397"/>
        </w:numPr>
        <w:tabs>
          <w:tab w:val="clear" w:pos="720"/>
          <w:tab w:val="num" w:pos="643"/>
        </w:tabs>
        <w:spacing w:before="120" w:after="120" w:line="240" w:lineRule="auto"/>
        <w:ind w:left="643"/>
        <w:jc w:val="both"/>
        <w:rPr>
          <w:rFonts w:ascii="Times New Roman" w:eastAsia="Times New Roman" w:hAnsi="Times New Roman" w:cs="Times New Roman"/>
          <w:bCs/>
        </w:rPr>
      </w:pPr>
      <w:r w:rsidRPr="003F363A">
        <w:rPr>
          <w:rFonts w:ascii="Times New Roman" w:eastAsia="Times New Roman" w:hAnsi="Times New Roman" w:cs="Times New Roman"/>
          <w:b/>
          <w:bCs/>
        </w:rPr>
        <w:t>A tanórákon való részvétel követelményei, az elfogadható hiányzások mértéke, a távolmaradás pótlásának lehetősége:</w:t>
      </w:r>
      <w:r w:rsidRPr="003F363A">
        <w:rPr>
          <w:rFonts w:ascii="Times New Roman" w:eastAsia="Times New Roman" w:hAnsi="Times New Roman" w:cs="Times New Roman"/>
          <w:bCs/>
        </w:rPr>
        <w:t xml:space="preserve"> a tanórákon való jelenlét kötelező, az elfogadható és igazolt hiányzások száma maximum a tanórák 20%-áig terjedhet, az ismeretek pótlásáról a hallgató gondoskodik. A hiányzások elfogadható mértékének túllépése az aláírás megtagadását vonja maga után.</w:t>
      </w:r>
    </w:p>
    <w:p w:rsidR="003F363A" w:rsidRPr="003F363A" w:rsidRDefault="003F363A" w:rsidP="00980876">
      <w:pPr>
        <w:widowControl w:val="0"/>
        <w:numPr>
          <w:ilvl w:val="0"/>
          <w:numId w:val="397"/>
        </w:numPr>
        <w:tabs>
          <w:tab w:val="clear" w:pos="720"/>
          <w:tab w:val="num" w:pos="643"/>
        </w:tabs>
        <w:spacing w:before="120" w:after="120" w:line="240" w:lineRule="auto"/>
        <w:jc w:val="both"/>
        <w:rPr>
          <w:rFonts w:ascii="Times New Roman" w:eastAsia="Times New Roman" w:hAnsi="Times New Roman" w:cs="Times New Roman"/>
        </w:rPr>
      </w:pPr>
      <w:r w:rsidRPr="003F363A">
        <w:rPr>
          <w:rFonts w:ascii="Times New Roman" w:eastAsia="Times New Roman" w:hAnsi="Times New Roman" w:cs="Times New Roman"/>
          <w:b/>
        </w:rPr>
        <w:t>Félévközi feladatok, ismeretek ellenőrzésének rendje:</w:t>
      </w:r>
      <w:r w:rsidRPr="003F363A">
        <w:rPr>
          <w:rFonts w:ascii="Times New Roman" w:eastAsia="Times New Roman" w:hAnsi="Times New Roman" w:cs="Times New Roman"/>
        </w:rPr>
        <w:t xml:space="preserve"> A hallgató a félév során egy az oktató által meghatározott téma önálló feldolgozását követően, abból előadást tart. A hallgató a félév három zárthelyi dolgozatot ír. A zárthelyi dolgozatok értékelése ötfokozatú skála alapján történik (50 %-tól elégséges, 65 %-tól közepes, 75-tól % jó, 85 %-tól jeles). </w:t>
      </w:r>
    </w:p>
    <w:p w:rsidR="003F363A" w:rsidRPr="003F363A" w:rsidRDefault="003F363A" w:rsidP="003F363A">
      <w:pPr>
        <w:widowControl w:val="0"/>
        <w:spacing w:before="120" w:after="120" w:line="240" w:lineRule="auto"/>
        <w:ind w:left="720"/>
        <w:jc w:val="both"/>
        <w:rPr>
          <w:rFonts w:ascii="Times New Roman" w:eastAsia="Times New Roman" w:hAnsi="Times New Roman" w:cs="Times New Roman"/>
          <w:bCs/>
        </w:rPr>
      </w:pPr>
      <w:r w:rsidRPr="003F363A">
        <w:rPr>
          <w:rFonts w:ascii="Times New Roman" w:eastAsia="Times New Roman" w:hAnsi="Times New Roman" w:cs="Times New Roman"/>
        </w:rPr>
        <w:t>A zárthelyi dolgozat egyszer pótolható, illetve sikertelensége esetén javítható.</w:t>
      </w:r>
    </w:p>
    <w:p w:rsidR="003F363A" w:rsidRPr="003F363A" w:rsidRDefault="003F363A" w:rsidP="00980876">
      <w:pPr>
        <w:widowControl w:val="0"/>
        <w:numPr>
          <w:ilvl w:val="0"/>
          <w:numId w:val="397"/>
        </w:numPr>
        <w:tabs>
          <w:tab w:val="clear" w:pos="720"/>
          <w:tab w:val="num" w:pos="643"/>
        </w:tabs>
        <w:spacing w:before="120" w:after="120" w:line="240" w:lineRule="auto"/>
        <w:ind w:left="426" w:hanging="142"/>
        <w:jc w:val="both"/>
        <w:rPr>
          <w:rFonts w:ascii="Times New Roman" w:eastAsia="Times New Roman" w:hAnsi="Times New Roman" w:cs="Times New Roman"/>
          <w:b/>
          <w:bCs/>
        </w:rPr>
      </w:pPr>
      <w:r w:rsidRPr="003F363A">
        <w:rPr>
          <w:rFonts w:ascii="Times New Roman" w:eastAsia="Times New Roman" w:hAnsi="Times New Roman" w:cs="Times New Roman"/>
          <w:b/>
          <w:bCs/>
        </w:rPr>
        <w:t xml:space="preserve">Az értékelés, az aláírás és a kreditek megszerzésének pontos feltételei: </w:t>
      </w:r>
    </w:p>
    <w:p w:rsidR="003F363A" w:rsidRPr="003F363A" w:rsidRDefault="003F363A" w:rsidP="00980876">
      <w:pPr>
        <w:widowControl w:val="0"/>
        <w:numPr>
          <w:ilvl w:val="1"/>
          <w:numId w:val="397"/>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3F363A">
        <w:rPr>
          <w:rFonts w:ascii="Times New Roman" w:eastAsia="Times New Roman" w:hAnsi="Times New Roman" w:cs="Times New Roman"/>
          <w:b/>
        </w:rPr>
        <w:t>Az aláírás megszerzésének feltételei:</w:t>
      </w:r>
      <w:r w:rsidRPr="003F363A">
        <w:rPr>
          <w:rFonts w:ascii="Times New Roman" w:eastAsia="Times New Roman" w:hAnsi="Times New Roman" w:cs="Times New Roman"/>
        </w:rPr>
        <w:t xml:space="preserve"> Az aláírás megszerzésének feltétele a 14. pontban meghatározott arányú részvétel a foglalkozásokon és a 15. pontban meghatározott félévközi </w:t>
      </w:r>
      <w:r w:rsidRPr="003F363A">
        <w:rPr>
          <w:rFonts w:ascii="Times New Roman" w:eastAsia="Times New Roman" w:hAnsi="Times New Roman" w:cs="Times New Roman"/>
        </w:rPr>
        <w:lastRenderedPageBreak/>
        <w:t>feladatok legalább elégséges teljesítése.</w:t>
      </w:r>
    </w:p>
    <w:p w:rsidR="003F363A" w:rsidRPr="003F363A" w:rsidRDefault="003F363A" w:rsidP="00980876">
      <w:pPr>
        <w:widowControl w:val="0"/>
        <w:numPr>
          <w:ilvl w:val="1"/>
          <w:numId w:val="397"/>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3F363A">
        <w:rPr>
          <w:rFonts w:ascii="Times New Roman" w:eastAsia="Times New Roman" w:hAnsi="Times New Roman" w:cs="Times New Roman"/>
          <w:b/>
        </w:rPr>
        <w:t>Az értékelés:</w:t>
      </w:r>
      <w:r w:rsidRPr="003F363A">
        <w:rPr>
          <w:rFonts w:ascii="Times New Roman" w:eastAsia="Times New Roman" w:hAnsi="Times New Roman" w:cs="Times New Roman"/>
        </w:rPr>
        <w:t xml:space="preserve"> Félévközi jegy</w:t>
      </w:r>
    </w:p>
    <w:p w:rsidR="003F363A" w:rsidRPr="003F363A" w:rsidRDefault="003F363A" w:rsidP="00980876">
      <w:pPr>
        <w:widowControl w:val="0"/>
        <w:numPr>
          <w:ilvl w:val="1"/>
          <w:numId w:val="397"/>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3F363A">
        <w:rPr>
          <w:rFonts w:ascii="Times New Roman" w:eastAsia="Times New Roman" w:hAnsi="Times New Roman" w:cs="Times New Roman"/>
          <w:b/>
        </w:rPr>
        <w:t>A kreditek megszerzésének feltételei:</w:t>
      </w:r>
      <w:r w:rsidRPr="003F363A">
        <w:rPr>
          <w:rFonts w:ascii="Times New Roman" w:eastAsia="Times New Roman" w:hAnsi="Times New Roman" w:cs="Times New Roman"/>
        </w:rPr>
        <w:t xml:space="preserve"> A kreditek megszerzésének feltétele az aláírás megszerzése és a zárthelyi dolgozatok legalább elégséges teljesítése, a félévközi jegy eredménye a zárthelyi dolgozatok egyszerű számtani átlaga.</w:t>
      </w:r>
    </w:p>
    <w:p w:rsidR="003F363A" w:rsidRPr="003F363A" w:rsidRDefault="003F363A" w:rsidP="00980876">
      <w:pPr>
        <w:widowControl w:val="0"/>
        <w:numPr>
          <w:ilvl w:val="0"/>
          <w:numId w:val="397"/>
        </w:numPr>
        <w:tabs>
          <w:tab w:val="clear" w:pos="720"/>
          <w:tab w:val="num" w:pos="360"/>
          <w:tab w:val="num" w:pos="643"/>
        </w:tabs>
        <w:spacing w:before="120" w:after="120" w:line="240" w:lineRule="auto"/>
        <w:ind w:left="426" w:hanging="142"/>
        <w:jc w:val="both"/>
        <w:rPr>
          <w:rFonts w:ascii="Times New Roman" w:eastAsia="Times New Roman" w:hAnsi="Times New Roman" w:cs="Times New Roman"/>
          <w:bCs/>
        </w:rPr>
      </w:pPr>
      <w:r w:rsidRPr="003F363A">
        <w:rPr>
          <w:rFonts w:ascii="Times New Roman" w:eastAsia="Times New Roman" w:hAnsi="Times New Roman" w:cs="Times New Roman"/>
          <w:b/>
          <w:bCs/>
        </w:rPr>
        <w:t>Irodalomjegyzék:</w:t>
      </w:r>
    </w:p>
    <w:p w:rsidR="003F363A" w:rsidRPr="003F363A" w:rsidRDefault="003F363A" w:rsidP="00980876">
      <w:pPr>
        <w:widowControl w:val="0"/>
        <w:numPr>
          <w:ilvl w:val="1"/>
          <w:numId w:val="397"/>
        </w:numPr>
        <w:tabs>
          <w:tab w:val="clear" w:pos="3977"/>
          <w:tab w:val="num" w:pos="567"/>
          <w:tab w:val="num" w:pos="999"/>
          <w:tab w:val="num" w:pos="2069"/>
        </w:tabs>
        <w:spacing w:before="120" w:after="120" w:line="240" w:lineRule="auto"/>
        <w:ind w:left="993" w:hanging="709"/>
        <w:jc w:val="both"/>
        <w:rPr>
          <w:rFonts w:ascii="Times New Roman" w:eastAsia="Times New Roman" w:hAnsi="Times New Roman" w:cs="Times New Roman"/>
          <w:b/>
          <w:bCs/>
        </w:rPr>
      </w:pPr>
      <w:r w:rsidRPr="003F363A">
        <w:rPr>
          <w:rFonts w:ascii="Times New Roman" w:eastAsia="Times New Roman" w:hAnsi="Times New Roman" w:cs="Times New Roman"/>
          <w:b/>
          <w:bCs/>
        </w:rPr>
        <w:t xml:space="preserve">Kötelező irodalom: </w:t>
      </w:r>
      <w:r w:rsidRPr="003F363A">
        <w:rPr>
          <w:rFonts w:ascii="Times New Roman" w:eastAsia="Times New Roman" w:hAnsi="Times New Roman" w:cs="Times New Roman"/>
        </w:rPr>
        <w:t>A tantárgy speciális katonai-szakmai tartalma miatt csak jogszabályi irodalom áll rendelkezésre</w:t>
      </w:r>
    </w:p>
    <w:p w:rsidR="003F363A" w:rsidRPr="003F363A" w:rsidRDefault="003F363A" w:rsidP="00980876">
      <w:pPr>
        <w:numPr>
          <w:ilvl w:val="2"/>
          <w:numId w:val="398"/>
        </w:numPr>
        <w:ind w:left="1134" w:hanging="362"/>
        <w:contextualSpacing/>
        <w:rPr>
          <w:rFonts w:ascii="Times New Roman" w:eastAsia="Times New Roman" w:hAnsi="Times New Roman" w:cs="Times New Roman"/>
          <w:bCs/>
        </w:rPr>
      </w:pPr>
      <w:r w:rsidRPr="003F363A">
        <w:rPr>
          <w:rFonts w:ascii="Times New Roman" w:eastAsia="Times New Roman" w:hAnsi="Times New Roman" w:cs="Times New Roman"/>
          <w:bCs/>
        </w:rPr>
        <w:t>A honvédelmi szervezetek operatív belső kontrolljai rendszerének kialakításáról, működtetéséről és fejlesztéséről szóló 43/2017. (VIII. 17.) HM utasítás</w:t>
      </w:r>
    </w:p>
    <w:p w:rsidR="003F363A" w:rsidRPr="003F363A" w:rsidRDefault="003F363A" w:rsidP="00980876">
      <w:pPr>
        <w:numPr>
          <w:ilvl w:val="2"/>
          <w:numId w:val="398"/>
        </w:numPr>
        <w:ind w:left="1134" w:hanging="362"/>
        <w:contextualSpacing/>
        <w:rPr>
          <w:rFonts w:ascii="Times New Roman" w:eastAsia="Times New Roman" w:hAnsi="Times New Roman" w:cs="Times New Roman"/>
          <w:bCs/>
        </w:rPr>
      </w:pPr>
      <w:r w:rsidRPr="003F363A">
        <w:rPr>
          <w:rFonts w:ascii="Times New Roman" w:eastAsia="Times New Roman" w:hAnsi="Times New Roman" w:cs="Times New Roman"/>
          <w:bCs/>
        </w:rPr>
        <w:t>A Honvédelmi Minisztérium fejezet államháztartási belső ellenőrzési rendjének szabályairól szóló 33/2014. (IV. 30.) HM utasítás</w:t>
      </w:r>
    </w:p>
    <w:p w:rsidR="003F363A" w:rsidRPr="003F363A" w:rsidRDefault="003F363A" w:rsidP="00980876">
      <w:pPr>
        <w:numPr>
          <w:ilvl w:val="2"/>
          <w:numId w:val="398"/>
        </w:numPr>
        <w:ind w:left="1134" w:hanging="362"/>
        <w:contextualSpacing/>
        <w:rPr>
          <w:rFonts w:ascii="Times New Roman" w:eastAsia="Times New Roman" w:hAnsi="Times New Roman" w:cs="Times New Roman"/>
          <w:bCs/>
        </w:rPr>
      </w:pPr>
      <w:r w:rsidRPr="003F363A">
        <w:rPr>
          <w:rFonts w:ascii="Times New Roman" w:eastAsia="Times New Roman" w:hAnsi="Times New Roman" w:cs="Times New Roman"/>
          <w:bCs/>
        </w:rPr>
        <w:t>A Honvédelmi Szervezetek Operatív Belső Kontrollrendszer Kézikönyve kiadásáról szóló 21/2017. (HK 12.) HM KÁT szakutasítás</w:t>
      </w:r>
    </w:p>
    <w:p w:rsidR="003F363A" w:rsidRPr="003F363A" w:rsidRDefault="003F363A" w:rsidP="00980876">
      <w:pPr>
        <w:numPr>
          <w:ilvl w:val="2"/>
          <w:numId w:val="398"/>
        </w:numPr>
        <w:ind w:left="1134" w:hanging="362"/>
        <w:contextualSpacing/>
        <w:rPr>
          <w:rFonts w:ascii="Times New Roman" w:eastAsia="Times New Roman" w:hAnsi="Times New Roman" w:cs="Times New Roman"/>
          <w:bCs/>
        </w:rPr>
      </w:pPr>
      <w:r w:rsidRPr="003F363A">
        <w:rPr>
          <w:rFonts w:ascii="Times New Roman" w:eastAsia="Times New Roman" w:hAnsi="Times New Roman" w:cs="Times New Roman"/>
          <w:bCs/>
        </w:rPr>
        <w:t xml:space="preserve">A pénzügyi és számviteli szakellenőrzés rendjéről szóló 10/2017. (HK 5.) HM VGHÁT szakutasítás </w:t>
      </w:r>
    </w:p>
    <w:p w:rsidR="003F363A" w:rsidRPr="003F363A" w:rsidRDefault="003F363A" w:rsidP="00980876">
      <w:pPr>
        <w:widowControl w:val="0"/>
        <w:numPr>
          <w:ilvl w:val="1"/>
          <w:numId w:val="397"/>
        </w:numPr>
        <w:tabs>
          <w:tab w:val="clear" w:pos="3977"/>
          <w:tab w:val="num" w:pos="567"/>
          <w:tab w:val="num" w:pos="999"/>
          <w:tab w:val="num" w:pos="2069"/>
        </w:tabs>
        <w:spacing w:before="120" w:after="120" w:line="240" w:lineRule="auto"/>
        <w:ind w:left="993" w:hanging="709"/>
        <w:jc w:val="both"/>
        <w:rPr>
          <w:rFonts w:ascii="Times New Roman" w:eastAsia="Times New Roman" w:hAnsi="Times New Roman" w:cs="Times New Roman"/>
          <w:b/>
          <w:bCs/>
        </w:rPr>
      </w:pPr>
      <w:r w:rsidRPr="003F363A">
        <w:rPr>
          <w:rFonts w:ascii="Times New Roman" w:eastAsia="Times New Roman" w:hAnsi="Times New Roman" w:cs="Times New Roman"/>
          <w:b/>
          <w:bCs/>
        </w:rPr>
        <w:t xml:space="preserve">Ajánlott irodalom: </w:t>
      </w:r>
    </w:p>
    <w:p w:rsidR="003F363A" w:rsidRPr="003F363A" w:rsidRDefault="003F363A" w:rsidP="00980876">
      <w:pPr>
        <w:numPr>
          <w:ilvl w:val="2"/>
          <w:numId w:val="796"/>
        </w:numPr>
        <w:ind w:left="1134" w:hanging="362"/>
        <w:contextualSpacing/>
        <w:rPr>
          <w:rFonts w:ascii="Times New Roman" w:eastAsia="Times New Roman" w:hAnsi="Times New Roman" w:cs="Times New Roman"/>
          <w:bCs/>
        </w:rPr>
      </w:pPr>
      <w:r w:rsidRPr="003F363A">
        <w:rPr>
          <w:rFonts w:ascii="Times New Roman" w:eastAsia="Times New Roman" w:hAnsi="Times New Roman" w:cs="Times New Roman"/>
          <w:bCs/>
        </w:rPr>
        <w:t>Nagy Orsolya – Németh Edit: Államháztartási szakellenőrzés Perfekt Zrt, 2009. ISBN: 978 963 394 771 5</w:t>
      </w:r>
    </w:p>
    <w:p w:rsidR="003F363A" w:rsidRPr="003F363A" w:rsidRDefault="003F363A" w:rsidP="003F363A">
      <w:pPr>
        <w:widowControl w:val="0"/>
        <w:tabs>
          <w:tab w:val="left" w:pos="993"/>
        </w:tabs>
        <w:spacing w:before="120" w:after="120" w:line="240" w:lineRule="auto"/>
        <w:ind w:left="1584"/>
        <w:contextualSpacing/>
        <w:jc w:val="both"/>
        <w:rPr>
          <w:rFonts w:ascii="Times New Roman" w:eastAsia="Times New Roman" w:hAnsi="Times New Roman" w:cs="Times New Roman"/>
        </w:rPr>
      </w:pPr>
    </w:p>
    <w:p w:rsidR="003F363A" w:rsidRPr="003F363A" w:rsidRDefault="003F363A" w:rsidP="003F363A">
      <w:pPr>
        <w:widowControl w:val="0"/>
        <w:spacing w:before="120" w:after="120" w:line="240" w:lineRule="auto"/>
        <w:jc w:val="both"/>
        <w:rPr>
          <w:rFonts w:ascii="Times New Roman" w:eastAsia="Times New Roman" w:hAnsi="Times New Roman" w:cs="Times New Roman"/>
          <w:bCs/>
        </w:rPr>
      </w:pPr>
      <w:r w:rsidRPr="003F363A">
        <w:rPr>
          <w:rFonts w:ascii="Times New Roman" w:eastAsia="Times New Roman" w:hAnsi="Times New Roman" w:cs="Times New Roman"/>
          <w:bCs/>
        </w:rPr>
        <w:t>Budapest, 2020.02.20.</w:t>
      </w:r>
    </w:p>
    <w:p w:rsidR="003F363A" w:rsidRPr="003F363A" w:rsidRDefault="003F363A" w:rsidP="003F363A">
      <w:pPr>
        <w:widowControl w:val="0"/>
        <w:spacing w:before="120" w:after="120" w:line="240" w:lineRule="auto"/>
        <w:jc w:val="both"/>
        <w:rPr>
          <w:rFonts w:ascii="Times New Roman" w:eastAsia="Times New Roman" w:hAnsi="Times New Roman" w:cs="Times New Roman"/>
          <w:bCs/>
        </w:rPr>
      </w:pPr>
    </w:p>
    <w:p w:rsidR="003F363A" w:rsidRPr="003F363A" w:rsidRDefault="003F363A" w:rsidP="003F363A">
      <w:pPr>
        <w:widowControl w:val="0"/>
        <w:spacing w:after="0" w:line="240" w:lineRule="auto"/>
        <w:ind w:left="5664" w:firstLine="708"/>
        <w:jc w:val="center"/>
        <w:rPr>
          <w:rFonts w:ascii="Times New Roman" w:eastAsia="Times New Roman" w:hAnsi="Times New Roman" w:cs="Times New Roman"/>
          <w:b/>
          <w:bCs/>
        </w:rPr>
      </w:pPr>
      <w:r w:rsidRPr="003F363A">
        <w:rPr>
          <w:rFonts w:ascii="Times New Roman" w:eastAsia="Times New Roman" w:hAnsi="Times New Roman" w:cs="Times New Roman"/>
          <w:b/>
          <w:bCs/>
        </w:rPr>
        <w:t>Dr. Pap Andrea (PhD)</w:t>
      </w:r>
    </w:p>
    <w:p w:rsidR="003F363A" w:rsidRPr="003F363A" w:rsidRDefault="003F363A" w:rsidP="003F363A">
      <w:pPr>
        <w:widowControl w:val="0"/>
        <w:spacing w:after="0" w:line="240" w:lineRule="auto"/>
        <w:ind w:left="5664" w:firstLine="708"/>
        <w:jc w:val="center"/>
        <w:rPr>
          <w:rFonts w:ascii="Times New Roman" w:eastAsia="Times New Roman" w:hAnsi="Times New Roman" w:cs="Times New Roman"/>
          <w:bCs/>
        </w:rPr>
      </w:pPr>
      <w:r w:rsidRPr="003F363A">
        <w:rPr>
          <w:rFonts w:ascii="Times New Roman" w:eastAsia="Times New Roman" w:hAnsi="Times New Roman" w:cs="Times New Roman"/>
          <w:bCs/>
        </w:rPr>
        <w:t>egyetemi docens sk.</w:t>
      </w:r>
    </w:p>
    <w:p w:rsidR="00D21A34" w:rsidRDefault="00D21A34">
      <w:pPr>
        <w:spacing w:after="200" w:line="276" w:lineRule="auto"/>
        <w:rPr>
          <w:rFonts w:ascii="Times New Roman" w:hAnsi="Times New Roman" w:cs="Times New Roman"/>
          <w:sz w:val="24"/>
        </w:rPr>
      </w:pPr>
      <w:r>
        <w:rPr>
          <w:rFonts w:ascii="Times New Roman" w:hAnsi="Times New Roman" w:cs="Times New Roman"/>
          <w:sz w:val="24"/>
        </w:rPr>
        <w:br w:type="page"/>
      </w:r>
    </w:p>
    <w:tbl>
      <w:tblPr>
        <w:tblW w:w="9072" w:type="dxa"/>
        <w:tblInd w:w="113" w:type="dxa"/>
        <w:tblLook w:val="01E0" w:firstRow="1" w:lastRow="1" w:firstColumn="1" w:lastColumn="1" w:noHBand="0" w:noVBand="0"/>
      </w:tblPr>
      <w:tblGrid>
        <w:gridCol w:w="4855"/>
        <w:gridCol w:w="1620"/>
        <w:gridCol w:w="2597"/>
      </w:tblGrid>
      <w:tr w:rsidR="00D21A34" w:rsidRPr="00BC6E7B" w:rsidTr="00F2027B">
        <w:tc>
          <w:tcPr>
            <w:tcW w:w="4855" w:type="dxa"/>
            <w:tcBorders>
              <w:bottom w:val="single" w:sz="4" w:space="0" w:color="auto"/>
            </w:tcBorders>
          </w:tcPr>
          <w:p w:rsidR="00D21A34" w:rsidRPr="00BC6E7B" w:rsidRDefault="00D21A34" w:rsidP="00F2027B">
            <w:pPr>
              <w:spacing w:after="0" w:line="240" w:lineRule="auto"/>
              <w:jc w:val="center"/>
              <w:rPr>
                <w:rFonts w:ascii="Times New Roman" w:eastAsia="Times New Roman" w:hAnsi="Times New Roman" w:cs="Times New Roman"/>
                <w:b/>
                <w:smallCaps/>
                <w:lang w:eastAsia="hu-HU"/>
              </w:rPr>
            </w:pPr>
            <w:r w:rsidRPr="00BC6E7B">
              <w:rPr>
                <w:rFonts w:ascii="Times New Roman" w:eastAsia="Times New Roman" w:hAnsi="Times New Roman" w:cs="Times New Roman"/>
                <w:b/>
                <w:smallCaps/>
                <w:lang w:eastAsia="hu-HU"/>
              </w:rPr>
              <w:lastRenderedPageBreak/>
              <w:t>Nemzeti Közszolgálati Egyetem</w:t>
            </w:r>
          </w:p>
        </w:tc>
        <w:tc>
          <w:tcPr>
            <w:tcW w:w="1620" w:type="dxa"/>
          </w:tcPr>
          <w:p w:rsidR="00D21A34" w:rsidRPr="00BC6E7B" w:rsidRDefault="00D21A34" w:rsidP="00F2027B">
            <w:pPr>
              <w:spacing w:after="0" w:line="240" w:lineRule="auto"/>
              <w:jc w:val="both"/>
              <w:rPr>
                <w:rFonts w:ascii="Times New Roman" w:eastAsia="Times New Roman" w:hAnsi="Times New Roman" w:cs="Times New Roman"/>
                <w:lang w:eastAsia="hu-HU"/>
              </w:rPr>
            </w:pPr>
          </w:p>
        </w:tc>
        <w:tc>
          <w:tcPr>
            <w:tcW w:w="2597" w:type="dxa"/>
          </w:tcPr>
          <w:p w:rsidR="00D21A34" w:rsidRPr="00BC6E7B" w:rsidRDefault="00D21A34" w:rsidP="00F2027B">
            <w:pPr>
              <w:spacing w:after="0" w:line="240" w:lineRule="auto"/>
              <w:jc w:val="right"/>
              <w:rPr>
                <w:rFonts w:ascii="Times New Roman" w:eastAsia="Times New Roman" w:hAnsi="Times New Roman" w:cs="Times New Roman"/>
                <w:lang w:eastAsia="hu-HU"/>
              </w:rPr>
            </w:pPr>
          </w:p>
        </w:tc>
      </w:tr>
      <w:tr w:rsidR="00D21A34" w:rsidTr="00F2027B">
        <w:tc>
          <w:tcPr>
            <w:tcW w:w="4855" w:type="dxa"/>
            <w:tcBorders>
              <w:top w:val="single" w:sz="4" w:space="0" w:color="auto"/>
              <w:left w:val="nil"/>
              <w:bottom w:val="nil"/>
              <w:right w:val="nil"/>
            </w:tcBorders>
            <w:hideMark/>
          </w:tcPr>
          <w:p w:rsidR="00D21A34" w:rsidRPr="00F644B4" w:rsidRDefault="00D21A34" w:rsidP="00F2027B">
            <w:pPr>
              <w:pStyle w:val="Szvegtrzs"/>
              <w:jc w:val="center"/>
              <w:rPr>
                <w:b/>
              </w:rPr>
            </w:pPr>
            <w:r>
              <w:rPr>
                <w:b/>
              </w:rPr>
              <w:t>Hadtudományi és Honvédtisztképző</w:t>
            </w:r>
            <w:r w:rsidRPr="00F644B4">
              <w:rPr>
                <w:b/>
              </w:rPr>
              <w:t xml:space="preserve"> Kar</w:t>
            </w:r>
          </w:p>
        </w:tc>
        <w:tc>
          <w:tcPr>
            <w:tcW w:w="1620" w:type="dxa"/>
          </w:tcPr>
          <w:p w:rsidR="00D21A34" w:rsidRDefault="00D21A34" w:rsidP="00F2027B">
            <w:pPr>
              <w:pStyle w:val="Szvegtrzs"/>
            </w:pPr>
          </w:p>
        </w:tc>
        <w:tc>
          <w:tcPr>
            <w:tcW w:w="2597" w:type="dxa"/>
          </w:tcPr>
          <w:p w:rsidR="00D21A34" w:rsidRDefault="00D21A34" w:rsidP="00F2027B">
            <w:pPr>
              <w:pStyle w:val="Szvegtrzs"/>
            </w:pPr>
          </w:p>
        </w:tc>
      </w:tr>
    </w:tbl>
    <w:p w:rsidR="00D21A34" w:rsidRDefault="00D21A34" w:rsidP="00D21A34">
      <w:pPr>
        <w:widowControl w:val="0"/>
        <w:spacing w:before="120" w:after="120" w:line="240" w:lineRule="auto"/>
        <w:ind w:left="426" w:hanging="142"/>
        <w:jc w:val="center"/>
        <w:rPr>
          <w:rFonts w:ascii="Times New Roman" w:eastAsia="Times New Roman" w:hAnsi="Times New Roman" w:cs="Times New Roman"/>
          <w:b/>
          <w:bCs/>
        </w:rPr>
      </w:pPr>
    </w:p>
    <w:p w:rsidR="00D21A34" w:rsidRPr="00BC6E7B" w:rsidRDefault="00D21A34" w:rsidP="00D21A34">
      <w:pPr>
        <w:widowControl w:val="0"/>
        <w:spacing w:before="120" w:after="120" w:line="240" w:lineRule="auto"/>
        <w:ind w:left="426" w:hanging="142"/>
        <w:jc w:val="center"/>
        <w:rPr>
          <w:rFonts w:ascii="Times New Roman" w:eastAsia="Times New Roman" w:hAnsi="Times New Roman" w:cs="Times New Roman"/>
          <w:b/>
          <w:bCs/>
        </w:rPr>
      </w:pPr>
      <w:r w:rsidRPr="00BC6E7B">
        <w:rPr>
          <w:rFonts w:ascii="Times New Roman" w:eastAsia="Times New Roman" w:hAnsi="Times New Roman" w:cs="Times New Roman"/>
          <w:b/>
          <w:bCs/>
        </w:rPr>
        <w:t>TANTÁRGYI PROGRAM</w:t>
      </w:r>
    </w:p>
    <w:p w:rsidR="00D21A34" w:rsidRPr="00BC6E7B" w:rsidRDefault="00D21A34" w:rsidP="00980876">
      <w:pPr>
        <w:widowControl w:val="0"/>
        <w:numPr>
          <w:ilvl w:val="0"/>
          <w:numId w:val="401"/>
        </w:numPr>
        <w:tabs>
          <w:tab w:val="clear" w:pos="720"/>
          <w:tab w:val="num" w:pos="643"/>
        </w:tabs>
        <w:spacing w:before="120" w:after="120" w:line="240" w:lineRule="auto"/>
        <w:ind w:left="643"/>
        <w:jc w:val="both"/>
        <w:rPr>
          <w:rFonts w:ascii="Times New Roman" w:eastAsia="Times New Roman" w:hAnsi="Times New Roman" w:cs="Times New Roman"/>
          <w:bCs/>
        </w:rPr>
      </w:pPr>
      <w:r w:rsidRPr="00BC6E7B">
        <w:rPr>
          <w:rFonts w:ascii="Times New Roman" w:eastAsia="Times New Roman" w:hAnsi="Times New Roman" w:cs="Times New Roman"/>
          <w:b/>
          <w:bCs/>
        </w:rPr>
        <w:t>A tantárgy kódja:</w:t>
      </w:r>
      <w:r>
        <w:rPr>
          <w:rFonts w:ascii="Times New Roman" w:eastAsia="Times New Roman" w:hAnsi="Times New Roman" w:cs="Times New Roman"/>
          <w:b/>
          <w:bCs/>
        </w:rPr>
        <w:t xml:space="preserve"> </w:t>
      </w:r>
      <w:r w:rsidRPr="009479D0">
        <w:rPr>
          <w:rFonts w:ascii="Times New Roman" w:eastAsia="Times New Roman" w:hAnsi="Times New Roman" w:cs="Times New Roman"/>
          <w:bCs/>
        </w:rPr>
        <w:t>HKHPKA517</w:t>
      </w:r>
    </w:p>
    <w:p w:rsidR="00D21A34" w:rsidRPr="00A6100B" w:rsidRDefault="00D21A34" w:rsidP="00980876">
      <w:pPr>
        <w:widowControl w:val="0"/>
        <w:numPr>
          <w:ilvl w:val="0"/>
          <w:numId w:val="401"/>
        </w:numPr>
        <w:tabs>
          <w:tab w:val="clear" w:pos="720"/>
          <w:tab w:val="num" w:pos="643"/>
        </w:tabs>
        <w:spacing w:before="120" w:after="120" w:line="240" w:lineRule="auto"/>
        <w:ind w:left="643"/>
        <w:jc w:val="both"/>
        <w:rPr>
          <w:rFonts w:ascii="Times New Roman" w:eastAsia="Times New Roman" w:hAnsi="Times New Roman" w:cs="Times New Roman"/>
          <w:b/>
          <w:bCs/>
          <w:lang w:val="en-GB"/>
        </w:rPr>
      </w:pPr>
      <w:r w:rsidRPr="00A6100B">
        <w:rPr>
          <w:rFonts w:ascii="Times New Roman" w:eastAsia="Times New Roman" w:hAnsi="Times New Roman" w:cs="Times New Roman"/>
          <w:b/>
          <w:bCs/>
        </w:rPr>
        <w:t>A tantárgy megnevezése (magyarul):</w:t>
      </w:r>
      <w:r w:rsidRPr="00A6100B">
        <w:rPr>
          <w:bCs/>
        </w:rPr>
        <w:t xml:space="preserve"> </w:t>
      </w:r>
      <w:r w:rsidRPr="00F933DA">
        <w:rPr>
          <w:rFonts w:ascii="Times New Roman" w:eastAsia="Times New Roman" w:hAnsi="Times New Roman" w:cs="Times New Roman"/>
          <w:bCs/>
        </w:rPr>
        <w:t>Katonai pénzügyi informatika</w:t>
      </w:r>
    </w:p>
    <w:p w:rsidR="00D21A34" w:rsidRPr="00A6100B" w:rsidRDefault="00D21A34" w:rsidP="00980876">
      <w:pPr>
        <w:widowControl w:val="0"/>
        <w:numPr>
          <w:ilvl w:val="0"/>
          <w:numId w:val="401"/>
        </w:numPr>
        <w:tabs>
          <w:tab w:val="clear" w:pos="720"/>
          <w:tab w:val="num" w:pos="643"/>
        </w:tabs>
        <w:spacing w:before="120" w:after="120" w:line="240" w:lineRule="auto"/>
        <w:ind w:left="643"/>
        <w:jc w:val="both"/>
        <w:rPr>
          <w:rFonts w:ascii="Times New Roman" w:eastAsia="Times New Roman" w:hAnsi="Times New Roman" w:cs="Times New Roman"/>
          <w:b/>
          <w:bCs/>
          <w:lang w:val="en-GB"/>
        </w:rPr>
      </w:pPr>
      <w:r w:rsidRPr="00A6100B">
        <w:rPr>
          <w:rFonts w:ascii="Times New Roman" w:eastAsia="Times New Roman" w:hAnsi="Times New Roman" w:cs="Times New Roman"/>
          <w:b/>
          <w:bCs/>
        </w:rPr>
        <w:t>A tantárgy megnevezése (angolul):</w:t>
      </w:r>
      <w:r w:rsidRPr="00A6100B">
        <w:rPr>
          <w:bCs/>
        </w:rPr>
        <w:t xml:space="preserve"> </w:t>
      </w:r>
      <w:r w:rsidRPr="00F933DA">
        <w:rPr>
          <w:rFonts w:ascii="Times New Roman" w:eastAsia="Times New Roman" w:hAnsi="Times New Roman" w:cs="Times New Roman"/>
          <w:bCs/>
        </w:rPr>
        <w:t>Military Financial Informatics</w:t>
      </w:r>
    </w:p>
    <w:p w:rsidR="00D21A34" w:rsidRDefault="00D21A34" w:rsidP="00980876">
      <w:pPr>
        <w:widowControl w:val="0"/>
        <w:numPr>
          <w:ilvl w:val="0"/>
          <w:numId w:val="401"/>
        </w:numPr>
        <w:tabs>
          <w:tab w:val="clear" w:pos="720"/>
          <w:tab w:val="num" w:pos="567"/>
          <w:tab w:val="num" w:pos="643"/>
        </w:tabs>
        <w:spacing w:before="120" w:after="120" w:line="240" w:lineRule="auto"/>
        <w:ind w:left="426" w:hanging="142"/>
        <w:jc w:val="both"/>
        <w:rPr>
          <w:rFonts w:ascii="Times New Roman" w:eastAsia="Times New Roman" w:hAnsi="Times New Roman" w:cs="Times New Roman"/>
          <w:b/>
          <w:bCs/>
        </w:rPr>
      </w:pPr>
      <w:r w:rsidRPr="00BC6E7B">
        <w:rPr>
          <w:rFonts w:ascii="Times New Roman" w:eastAsia="Times New Roman" w:hAnsi="Times New Roman" w:cs="Times New Roman"/>
          <w:b/>
          <w:bCs/>
        </w:rPr>
        <w:t>Kreditérték</w:t>
      </w:r>
      <w:r>
        <w:rPr>
          <w:rFonts w:ascii="Times New Roman" w:eastAsia="Times New Roman" w:hAnsi="Times New Roman" w:cs="Times New Roman"/>
          <w:b/>
          <w:bCs/>
        </w:rPr>
        <w:t xml:space="preserve"> és képzési karakter</w:t>
      </w:r>
      <w:r w:rsidRPr="00BC6E7B">
        <w:rPr>
          <w:rFonts w:ascii="Times New Roman" w:eastAsia="Times New Roman" w:hAnsi="Times New Roman" w:cs="Times New Roman"/>
          <w:b/>
          <w:bCs/>
        </w:rPr>
        <w:t xml:space="preserve">: </w:t>
      </w:r>
    </w:p>
    <w:p w:rsidR="00D21A34" w:rsidRPr="00740A68" w:rsidRDefault="00D21A34" w:rsidP="00980876">
      <w:pPr>
        <w:pStyle w:val="Listaszerbekezds"/>
        <w:widowControl w:val="0"/>
        <w:numPr>
          <w:ilvl w:val="1"/>
          <w:numId w:val="401"/>
        </w:numPr>
        <w:tabs>
          <w:tab w:val="clear" w:pos="3977"/>
          <w:tab w:val="num" w:pos="999"/>
        </w:tabs>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5</w:t>
      </w:r>
      <w:r w:rsidRPr="00740A68">
        <w:rPr>
          <w:rFonts w:ascii="Times New Roman" w:eastAsia="Times New Roman" w:hAnsi="Times New Roman" w:cs="Times New Roman"/>
          <w:bCs/>
        </w:rPr>
        <w:t xml:space="preserve"> kredit</w:t>
      </w:r>
    </w:p>
    <w:p w:rsidR="00D21A34" w:rsidRPr="00740A68" w:rsidRDefault="00D21A34" w:rsidP="00980876">
      <w:pPr>
        <w:pStyle w:val="Listaszerbekezds"/>
        <w:widowControl w:val="0"/>
        <w:numPr>
          <w:ilvl w:val="1"/>
          <w:numId w:val="401"/>
        </w:numPr>
        <w:tabs>
          <w:tab w:val="clear" w:pos="3977"/>
          <w:tab w:val="num" w:pos="999"/>
        </w:tabs>
        <w:spacing w:before="120" w:after="120" w:line="240" w:lineRule="auto"/>
        <w:ind w:left="993" w:hanging="426"/>
        <w:jc w:val="both"/>
        <w:rPr>
          <w:rFonts w:ascii="Times New Roman" w:eastAsia="Times New Roman" w:hAnsi="Times New Roman" w:cs="Times New Roman"/>
          <w:b/>
          <w:bCs/>
        </w:rPr>
      </w:pPr>
      <w:r w:rsidRPr="00F37D21">
        <w:rPr>
          <w:rFonts w:ascii="Times New Roman" w:eastAsia="Times New Roman" w:hAnsi="Times New Roman" w:cs="Times New Roman"/>
          <w:bCs/>
        </w:rPr>
        <w:t>a tantárgy elméleti vagy gyakorlati jellegének mértéke</w:t>
      </w:r>
      <w:r w:rsidRPr="00740A68">
        <w:rPr>
          <w:rFonts w:ascii="Times New Roman" w:eastAsia="Times New Roman" w:hAnsi="Times New Roman" w:cs="Times New Roman"/>
          <w:bCs/>
        </w:rPr>
        <w:t xml:space="preserve">: </w:t>
      </w:r>
      <w:r>
        <w:rPr>
          <w:rFonts w:ascii="Times New Roman" w:eastAsia="Times New Roman" w:hAnsi="Times New Roman" w:cs="Times New Roman"/>
          <w:bCs/>
        </w:rPr>
        <w:t>100</w:t>
      </w:r>
      <w:r w:rsidRPr="00740A68">
        <w:rPr>
          <w:rFonts w:ascii="Times New Roman" w:eastAsia="Times New Roman" w:hAnsi="Times New Roman" w:cs="Times New Roman"/>
          <w:b/>
          <w:bCs/>
        </w:rPr>
        <w:t xml:space="preserve"> </w:t>
      </w:r>
      <w:r>
        <w:rPr>
          <w:rFonts w:ascii="Times New Roman" w:eastAsia="Times New Roman" w:hAnsi="Times New Roman" w:cs="Times New Roman"/>
          <w:bCs/>
        </w:rPr>
        <w:t>% gyakorlat, 0 % elmélet</w:t>
      </w:r>
    </w:p>
    <w:p w:rsidR="00D21A34" w:rsidRPr="00BC6E7B" w:rsidRDefault="00D21A34" w:rsidP="00980876">
      <w:pPr>
        <w:widowControl w:val="0"/>
        <w:numPr>
          <w:ilvl w:val="0"/>
          <w:numId w:val="401"/>
        </w:numPr>
        <w:tabs>
          <w:tab w:val="clear" w:pos="720"/>
          <w:tab w:val="num" w:pos="643"/>
        </w:tabs>
        <w:spacing w:before="120" w:after="120" w:line="240" w:lineRule="auto"/>
        <w:ind w:left="643"/>
        <w:jc w:val="both"/>
        <w:rPr>
          <w:rFonts w:ascii="Times New Roman" w:eastAsia="Times New Roman" w:hAnsi="Times New Roman" w:cs="Times New Roman"/>
          <w:bCs/>
        </w:rPr>
      </w:pPr>
      <w:r w:rsidRPr="00BC6E7B">
        <w:rPr>
          <w:rFonts w:ascii="Times New Roman" w:eastAsia="Times New Roman" w:hAnsi="Times New Roman" w:cs="Times New Roman"/>
          <w:b/>
          <w:bCs/>
        </w:rPr>
        <w:t xml:space="preserve">A szak(ok), </w:t>
      </w:r>
      <w:r w:rsidRPr="009479D0">
        <w:rPr>
          <w:rFonts w:ascii="Times New Roman" w:eastAsia="Times New Roman" w:hAnsi="Times New Roman" w:cs="Times New Roman"/>
          <w:b/>
          <w:bCs/>
        </w:rPr>
        <w:t>szakirányok/specializációk</w:t>
      </w:r>
      <w:r w:rsidRPr="00BC6E7B">
        <w:rPr>
          <w:rFonts w:ascii="Times New Roman" w:eastAsia="Times New Roman" w:hAnsi="Times New Roman" w:cs="Times New Roman"/>
          <w:b/>
          <w:bCs/>
        </w:rPr>
        <w:t xml:space="preserve"> megnevezése (ahol oktatják):</w:t>
      </w:r>
      <w:r w:rsidRPr="00BC6E7B">
        <w:rPr>
          <w:rFonts w:ascii="Times New Roman" w:eastAsia="Times New Roman" w:hAnsi="Times New Roman" w:cs="Times New Roman"/>
          <w:bCs/>
        </w:rPr>
        <w:t xml:space="preserve"> </w:t>
      </w:r>
      <w:r w:rsidRPr="00B50509">
        <w:rPr>
          <w:rFonts w:ascii="Times New Roman" w:eastAsia="Times New Roman" w:hAnsi="Times New Roman" w:cs="Times New Roman"/>
          <w:bCs/>
        </w:rPr>
        <w:t xml:space="preserve">Katonai logisztika alapképzési szak, </w:t>
      </w:r>
      <w:r>
        <w:rPr>
          <w:rFonts w:ascii="Times New Roman" w:eastAsia="Times New Roman" w:hAnsi="Times New Roman" w:cs="Times New Roman"/>
          <w:bCs/>
        </w:rPr>
        <w:t>Katonai pénzügyi specializáció</w:t>
      </w:r>
    </w:p>
    <w:p w:rsidR="00D21A34" w:rsidRDefault="00D21A34" w:rsidP="00980876">
      <w:pPr>
        <w:widowControl w:val="0"/>
        <w:numPr>
          <w:ilvl w:val="0"/>
          <w:numId w:val="401"/>
        </w:numPr>
        <w:tabs>
          <w:tab w:val="clear" w:pos="720"/>
          <w:tab w:val="num" w:pos="567"/>
          <w:tab w:val="num" w:pos="643"/>
        </w:tabs>
        <w:spacing w:before="120" w:after="120" w:line="240" w:lineRule="auto"/>
        <w:ind w:left="426" w:hanging="142"/>
        <w:jc w:val="both"/>
        <w:rPr>
          <w:rFonts w:ascii="Times New Roman" w:eastAsia="Times New Roman" w:hAnsi="Times New Roman" w:cs="Times New Roman"/>
          <w:bCs/>
        </w:rPr>
      </w:pPr>
      <w:r w:rsidRPr="00BC6E7B">
        <w:rPr>
          <w:rFonts w:ascii="Times New Roman" w:eastAsia="Times New Roman" w:hAnsi="Times New Roman" w:cs="Times New Roman"/>
          <w:b/>
          <w:bCs/>
        </w:rPr>
        <w:t>Az oktatásért felelős oktatási</w:t>
      </w:r>
      <w:r>
        <w:rPr>
          <w:rFonts w:ascii="Times New Roman" w:eastAsia="Times New Roman" w:hAnsi="Times New Roman" w:cs="Times New Roman"/>
          <w:b/>
          <w:bCs/>
        </w:rPr>
        <w:t xml:space="preserve"> szervezeti egység megnevezése:</w:t>
      </w:r>
      <w:r w:rsidRPr="0078259C">
        <w:rPr>
          <w:bCs/>
        </w:rPr>
        <w:t xml:space="preserve"> </w:t>
      </w:r>
      <w:r w:rsidRPr="00A6100B">
        <w:rPr>
          <w:rFonts w:ascii="Times New Roman" w:eastAsia="Times New Roman" w:hAnsi="Times New Roman" w:cs="Times New Roman"/>
          <w:bCs/>
        </w:rPr>
        <w:t>NKE Hadtudományi és Honvédtisztképző Kar, Hadtáp</w:t>
      </w:r>
      <w:r>
        <w:rPr>
          <w:rFonts w:ascii="Times New Roman" w:eastAsia="Times New Roman" w:hAnsi="Times New Roman" w:cs="Times New Roman"/>
          <w:bCs/>
        </w:rPr>
        <w:t>, Pénzügyi</w:t>
      </w:r>
      <w:r w:rsidRPr="00A6100B">
        <w:rPr>
          <w:rFonts w:ascii="Times New Roman" w:eastAsia="Times New Roman" w:hAnsi="Times New Roman" w:cs="Times New Roman"/>
          <w:bCs/>
        </w:rPr>
        <w:t xml:space="preserve"> és Katonai Közlekedési Tanszék </w:t>
      </w:r>
    </w:p>
    <w:p w:rsidR="00D21A34" w:rsidRPr="009479D0" w:rsidRDefault="00D21A34" w:rsidP="00980876">
      <w:pPr>
        <w:widowControl w:val="0"/>
        <w:numPr>
          <w:ilvl w:val="0"/>
          <w:numId w:val="401"/>
        </w:numPr>
        <w:tabs>
          <w:tab w:val="clear" w:pos="720"/>
          <w:tab w:val="num" w:pos="567"/>
          <w:tab w:val="num" w:pos="643"/>
        </w:tabs>
        <w:spacing w:before="120" w:after="120" w:line="240" w:lineRule="auto"/>
        <w:ind w:left="426" w:hanging="142"/>
        <w:jc w:val="both"/>
        <w:rPr>
          <w:rFonts w:ascii="Times New Roman" w:eastAsia="Times New Roman" w:hAnsi="Times New Roman" w:cs="Times New Roman"/>
          <w:bCs/>
        </w:rPr>
      </w:pPr>
      <w:r w:rsidRPr="009479D0">
        <w:rPr>
          <w:rFonts w:ascii="Times New Roman" w:eastAsia="Times New Roman" w:hAnsi="Times New Roman" w:cs="Times New Roman"/>
          <w:b/>
          <w:bCs/>
        </w:rPr>
        <w:t>A tantárgyfelelős oktató neve, beosztása, tudományos fokozata:</w:t>
      </w:r>
      <w:r w:rsidRPr="009479D0">
        <w:rPr>
          <w:rFonts w:ascii="Times New Roman" w:eastAsia="Times New Roman" w:hAnsi="Times New Roman" w:cs="Times New Roman"/>
          <w:bCs/>
        </w:rPr>
        <w:t xml:space="preserve"> Dr. Venekei József</w:t>
      </w:r>
      <w:r>
        <w:rPr>
          <w:rFonts w:ascii="Times New Roman" w:eastAsia="Times New Roman" w:hAnsi="Times New Roman" w:cs="Times New Roman"/>
          <w:bCs/>
        </w:rPr>
        <w:t xml:space="preserve"> (PhD), egyetemi docens</w:t>
      </w:r>
    </w:p>
    <w:p w:rsidR="00D21A34" w:rsidRPr="00BC6E7B" w:rsidRDefault="00D21A34" w:rsidP="00980876">
      <w:pPr>
        <w:widowControl w:val="0"/>
        <w:numPr>
          <w:ilvl w:val="0"/>
          <w:numId w:val="401"/>
        </w:numPr>
        <w:tabs>
          <w:tab w:val="clear" w:pos="720"/>
          <w:tab w:val="num" w:pos="643"/>
        </w:tabs>
        <w:spacing w:before="120" w:after="120" w:line="240" w:lineRule="auto"/>
        <w:ind w:left="426" w:hanging="142"/>
        <w:jc w:val="both"/>
        <w:rPr>
          <w:rFonts w:ascii="Times New Roman" w:eastAsia="Times New Roman" w:hAnsi="Times New Roman" w:cs="Times New Roman"/>
          <w:bCs/>
        </w:rPr>
      </w:pPr>
      <w:r w:rsidRPr="00BC6E7B">
        <w:rPr>
          <w:rFonts w:ascii="Times New Roman" w:eastAsia="Times New Roman" w:hAnsi="Times New Roman" w:cs="Times New Roman"/>
          <w:b/>
          <w:bCs/>
        </w:rPr>
        <w:t>A tanórák száma és típusa</w:t>
      </w:r>
    </w:p>
    <w:p w:rsidR="00D21A34" w:rsidRPr="00BC6E7B" w:rsidRDefault="00D21A34" w:rsidP="00980876">
      <w:pPr>
        <w:widowControl w:val="0"/>
        <w:numPr>
          <w:ilvl w:val="1"/>
          <w:numId w:val="401"/>
        </w:numPr>
        <w:tabs>
          <w:tab w:val="clear" w:pos="3977"/>
          <w:tab w:val="num" w:pos="709"/>
          <w:tab w:val="num" w:pos="999"/>
          <w:tab w:val="num" w:pos="2069"/>
        </w:tabs>
        <w:spacing w:before="120" w:after="120" w:line="240" w:lineRule="auto"/>
        <w:ind w:left="851" w:hanging="425"/>
        <w:jc w:val="both"/>
        <w:rPr>
          <w:rFonts w:ascii="Times New Roman" w:eastAsia="Times New Roman" w:hAnsi="Times New Roman" w:cs="Times New Roman"/>
          <w:bCs/>
        </w:rPr>
      </w:pPr>
      <w:r w:rsidRPr="00BC6E7B">
        <w:rPr>
          <w:rFonts w:ascii="Times New Roman" w:eastAsia="Times New Roman" w:hAnsi="Times New Roman" w:cs="Times New Roman"/>
          <w:bCs/>
        </w:rPr>
        <w:t>össz óraszám/félév:</w:t>
      </w:r>
    </w:p>
    <w:p w:rsidR="00D21A34" w:rsidRDefault="00D21A34" w:rsidP="00980876">
      <w:pPr>
        <w:pStyle w:val="Listaszerbekezds"/>
        <w:widowControl w:val="0"/>
        <w:numPr>
          <w:ilvl w:val="2"/>
          <w:numId w:val="399"/>
        </w:numPr>
        <w:tabs>
          <w:tab w:val="num" w:pos="1800"/>
        </w:tabs>
        <w:spacing w:before="120" w:after="120" w:line="240" w:lineRule="auto"/>
        <w:ind w:left="1418"/>
        <w:jc w:val="both"/>
        <w:rPr>
          <w:rFonts w:ascii="Times New Roman" w:eastAsia="Times New Roman" w:hAnsi="Times New Roman" w:cs="Times New Roman"/>
          <w:bCs/>
        </w:rPr>
      </w:pPr>
      <w:r w:rsidRPr="00E42497">
        <w:rPr>
          <w:rFonts w:ascii="Times New Roman" w:eastAsia="Times New Roman" w:hAnsi="Times New Roman" w:cs="Times New Roman"/>
          <w:bCs/>
        </w:rPr>
        <w:t>nappali munkarend: 56 (0 EA + 0 SZ + 56 GY)</w:t>
      </w:r>
    </w:p>
    <w:p w:rsidR="00D21A34" w:rsidRPr="00E42497" w:rsidRDefault="00D21A34" w:rsidP="00980876">
      <w:pPr>
        <w:pStyle w:val="Listaszerbekezds"/>
        <w:widowControl w:val="0"/>
        <w:numPr>
          <w:ilvl w:val="2"/>
          <w:numId w:val="399"/>
        </w:numPr>
        <w:tabs>
          <w:tab w:val="num" w:pos="1800"/>
        </w:tabs>
        <w:spacing w:before="120" w:after="120" w:line="240" w:lineRule="auto"/>
        <w:ind w:left="1418"/>
        <w:jc w:val="both"/>
        <w:rPr>
          <w:rFonts w:ascii="Times New Roman" w:eastAsia="Times New Roman" w:hAnsi="Times New Roman" w:cs="Times New Roman"/>
          <w:bCs/>
        </w:rPr>
      </w:pPr>
      <w:r w:rsidRPr="00E42497">
        <w:rPr>
          <w:rFonts w:ascii="Times New Roman" w:eastAsia="Times New Roman" w:hAnsi="Times New Roman" w:cs="Times New Roman"/>
          <w:bCs/>
        </w:rPr>
        <w:t>levelező munkarend: - (- EA + - SZ + - GY)</w:t>
      </w:r>
    </w:p>
    <w:p w:rsidR="00D21A34" w:rsidRDefault="00D21A34" w:rsidP="00980876">
      <w:pPr>
        <w:widowControl w:val="0"/>
        <w:numPr>
          <w:ilvl w:val="1"/>
          <w:numId w:val="401"/>
        </w:numPr>
        <w:tabs>
          <w:tab w:val="clear" w:pos="3977"/>
          <w:tab w:val="num" w:pos="709"/>
          <w:tab w:val="num" w:pos="999"/>
          <w:tab w:val="num" w:pos="2069"/>
        </w:tabs>
        <w:spacing w:before="120" w:after="120" w:line="240" w:lineRule="auto"/>
        <w:ind w:left="851" w:hanging="425"/>
        <w:jc w:val="both"/>
        <w:rPr>
          <w:rFonts w:ascii="Times New Roman" w:eastAsia="Times New Roman" w:hAnsi="Times New Roman" w:cs="Times New Roman"/>
          <w:bCs/>
        </w:rPr>
      </w:pPr>
      <w:r w:rsidRPr="00BC6E7B">
        <w:rPr>
          <w:rFonts w:ascii="Times New Roman" w:eastAsia="Times New Roman" w:hAnsi="Times New Roman" w:cs="Times New Roman"/>
          <w:bCs/>
        </w:rPr>
        <w:t xml:space="preserve">heti óraszám - nappali munkarend: </w:t>
      </w:r>
      <w:r>
        <w:rPr>
          <w:rFonts w:ascii="Times New Roman" w:eastAsia="Times New Roman" w:hAnsi="Times New Roman" w:cs="Times New Roman"/>
          <w:bCs/>
        </w:rPr>
        <w:t>4</w:t>
      </w:r>
    </w:p>
    <w:p w:rsidR="00D21A34" w:rsidRDefault="00D21A34" w:rsidP="00980876">
      <w:pPr>
        <w:widowControl w:val="0"/>
        <w:numPr>
          <w:ilvl w:val="0"/>
          <w:numId w:val="401"/>
        </w:numPr>
        <w:tabs>
          <w:tab w:val="clear" w:pos="720"/>
          <w:tab w:val="num" w:pos="643"/>
        </w:tabs>
        <w:spacing w:before="120" w:after="120" w:line="240" w:lineRule="auto"/>
        <w:ind w:left="643"/>
        <w:jc w:val="both"/>
        <w:rPr>
          <w:rFonts w:ascii="Times New Roman" w:eastAsia="Times New Roman" w:hAnsi="Times New Roman" w:cs="Times New Roman"/>
          <w:bCs/>
        </w:rPr>
      </w:pPr>
      <w:r w:rsidRPr="00BC6E7B">
        <w:rPr>
          <w:rFonts w:ascii="Times New Roman" w:eastAsia="Times New Roman" w:hAnsi="Times New Roman" w:cs="Times New Roman"/>
          <w:b/>
          <w:bCs/>
        </w:rPr>
        <w:t>A tantárgy szakmai tartalma (magyarul):</w:t>
      </w:r>
      <w:r w:rsidRPr="00A6100B">
        <w:rPr>
          <w:bCs/>
        </w:rPr>
        <w:t xml:space="preserve"> </w:t>
      </w:r>
      <w:r w:rsidRPr="00F933DA">
        <w:rPr>
          <w:rFonts w:ascii="Times New Roman" w:eastAsia="Times New Roman" w:hAnsi="Times New Roman" w:cs="Times New Roman"/>
          <w:bCs/>
        </w:rPr>
        <w:t>A HM KGIR felépítése, működésének modellje. A katonai szervezetek feladatai az információrendszer működtetésével összefüggésben. Az egyes alrendszerek felépítése, feladatai, működési modelljei. Az adatszolgáltatás, üzemeltetés rendszere. A gazdálkodás támogató és pénzügyi ellátó referatúrák feladatai az információrendszer működtetésével kapcsolatban. Az Ügyfélszolgálati Rendszer (a továbbiakban: ÜSZR) működtetése és alkalmazása.</w:t>
      </w:r>
    </w:p>
    <w:p w:rsidR="00D21A34" w:rsidRPr="009479D0" w:rsidRDefault="00D21A34" w:rsidP="00D21A34">
      <w:pPr>
        <w:widowControl w:val="0"/>
        <w:spacing w:before="120" w:after="120" w:line="240" w:lineRule="auto"/>
        <w:ind w:left="643"/>
        <w:jc w:val="both"/>
        <w:rPr>
          <w:rFonts w:ascii="Times New Roman" w:eastAsia="Times New Roman" w:hAnsi="Times New Roman" w:cs="Times New Roman"/>
          <w:bCs/>
        </w:rPr>
      </w:pPr>
      <w:r w:rsidRPr="009479D0">
        <w:rPr>
          <w:rFonts w:ascii="Times New Roman" w:eastAsia="Times New Roman" w:hAnsi="Times New Roman" w:cs="Times New Roman"/>
          <w:b/>
          <w:bCs/>
        </w:rPr>
        <w:t>A tantárgy szakmai tartalma (angolul) (</w:t>
      </w:r>
      <w:r w:rsidRPr="009479D0">
        <w:rPr>
          <w:rFonts w:ascii="Times New Roman" w:eastAsia="Times New Roman" w:hAnsi="Times New Roman" w:cs="Times New Roman"/>
          <w:b/>
          <w:bCs/>
          <w:lang w:val="en-US"/>
        </w:rPr>
        <w:t>Course description</w:t>
      </w:r>
      <w:r w:rsidRPr="009479D0">
        <w:rPr>
          <w:rFonts w:ascii="Times New Roman" w:eastAsia="Times New Roman" w:hAnsi="Times New Roman" w:cs="Times New Roman"/>
          <w:b/>
          <w:bCs/>
        </w:rPr>
        <w:t xml:space="preserve">): </w:t>
      </w:r>
      <w:r w:rsidRPr="009479D0">
        <w:rPr>
          <w:rFonts w:ascii="Times New Roman" w:eastAsia="Times New Roman" w:hAnsi="Times New Roman" w:cs="Times New Roman"/>
          <w:bCs/>
        </w:rPr>
        <w:t>The structure of MoD Budget Economic Information System and its operation. The tasks of military organizations in connection with the operation of the information system. The structure, tasks and operation models of each subsystem. The system of data supply and operation. The tasks of financial support and financial services which are related to the operation of the information system. The operation and use of Customer’s Service System.</w:t>
      </w:r>
    </w:p>
    <w:p w:rsidR="00D21A34" w:rsidRPr="00740A68" w:rsidRDefault="00D21A34" w:rsidP="00980876">
      <w:pPr>
        <w:pStyle w:val="Listaszerbekezds"/>
        <w:widowControl w:val="0"/>
        <w:numPr>
          <w:ilvl w:val="0"/>
          <w:numId w:val="401"/>
        </w:numPr>
        <w:tabs>
          <w:tab w:val="clear" w:pos="720"/>
          <w:tab w:val="num" w:pos="426"/>
        </w:tabs>
        <w:spacing w:before="120" w:after="120" w:line="240" w:lineRule="auto"/>
        <w:ind w:left="643"/>
        <w:jc w:val="both"/>
        <w:rPr>
          <w:rFonts w:ascii="Times New Roman" w:eastAsia="Times New Roman" w:hAnsi="Times New Roman" w:cs="Times New Roman"/>
          <w:bCs/>
        </w:rPr>
      </w:pPr>
      <w:r w:rsidRPr="00740A68">
        <w:rPr>
          <w:rFonts w:ascii="Times New Roman" w:eastAsia="Times New Roman" w:hAnsi="Times New Roman" w:cs="Times New Roman"/>
          <w:b/>
          <w:bCs/>
        </w:rPr>
        <w:t xml:space="preserve">Elérendő kompetenciák (magyarul): </w:t>
      </w:r>
    </w:p>
    <w:p w:rsidR="00D21A34" w:rsidRDefault="00D21A34" w:rsidP="00D21A34">
      <w:pPr>
        <w:widowControl w:val="0"/>
        <w:spacing w:before="120" w:after="120" w:line="240" w:lineRule="auto"/>
        <w:ind w:left="426"/>
        <w:jc w:val="both"/>
        <w:rPr>
          <w:rFonts w:ascii="Times New Roman" w:eastAsia="Times New Roman" w:hAnsi="Times New Roman" w:cs="Times New Roman"/>
          <w:b/>
          <w:bCs/>
        </w:rPr>
      </w:pPr>
      <w:r w:rsidRPr="00BC6E7B">
        <w:rPr>
          <w:rFonts w:ascii="Times New Roman" w:eastAsia="Times New Roman" w:hAnsi="Times New Roman" w:cs="Times New Roman"/>
          <w:b/>
          <w:bCs/>
        </w:rPr>
        <w:t>Tudása:</w:t>
      </w:r>
    </w:p>
    <w:p w:rsidR="00D21A34" w:rsidRPr="00E42497" w:rsidRDefault="00D21A34" w:rsidP="00980876">
      <w:pPr>
        <w:pStyle w:val="Listaszerbekezds"/>
        <w:widowControl w:val="0"/>
        <w:numPr>
          <w:ilvl w:val="0"/>
          <w:numId w:val="400"/>
        </w:numPr>
        <w:spacing w:before="120" w:after="120" w:line="240" w:lineRule="auto"/>
        <w:ind w:hanging="219"/>
        <w:jc w:val="both"/>
        <w:rPr>
          <w:rFonts w:ascii="Times New Roman" w:eastAsia="Times New Roman" w:hAnsi="Times New Roman" w:cs="Times New Roman"/>
          <w:bCs/>
        </w:rPr>
      </w:pPr>
      <w:r w:rsidRPr="00E42497">
        <w:rPr>
          <w:rFonts w:ascii="Times New Roman" w:eastAsia="Times New Roman" w:hAnsi="Times New Roman" w:cs="Times New Roman"/>
          <w:bCs/>
        </w:rPr>
        <w:t>Ismeri a pénzügyi és számviteli nyilvántartó rendszer működését.</w:t>
      </w:r>
    </w:p>
    <w:p w:rsidR="00D21A34" w:rsidRDefault="00D21A34" w:rsidP="00D21A34">
      <w:pPr>
        <w:widowControl w:val="0"/>
        <w:spacing w:before="120" w:after="120" w:line="240" w:lineRule="auto"/>
        <w:ind w:left="426"/>
        <w:jc w:val="both"/>
        <w:rPr>
          <w:rFonts w:ascii="Times New Roman" w:eastAsia="Times New Roman" w:hAnsi="Times New Roman" w:cs="Times New Roman"/>
          <w:bCs/>
        </w:rPr>
      </w:pPr>
      <w:r w:rsidRPr="00BC6E7B">
        <w:rPr>
          <w:rFonts w:ascii="Times New Roman" w:eastAsia="Times New Roman" w:hAnsi="Times New Roman" w:cs="Times New Roman"/>
          <w:b/>
          <w:bCs/>
        </w:rPr>
        <w:t>Képességei:</w:t>
      </w:r>
      <w:r>
        <w:rPr>
          <w:rFonts w:ascii="Times New Roman" w:eastAsia="Times New Roman" w:hAnsi="Times New Roman" w:cs="Times New Roman"/>
          <w:bCs/>
        </w:rPr>
        <w:t xml:space="preserve"> </w:t>
      </w:r>
    </w:p>
    <w:p w:rsidR="00D21A34" w:rsidRPr="00E42497" w:rsidRDefault="00D21A34" w:rsidP="00980876">
      <w:pPr>
        <w:pStyle w:val="Listaszerbekezds"/>
        <w:widowControl w:val="0"/>
        <w:numPr>
          <w:ilvl w:val="0"/>
          <w:numId w:val="400"/>
        </w:numPr>
        <w:spacing w:before="120" w:after="120" w:line="240" w:lineRule="auto"/>
        <w:ind w:hanging="219"/>
        <w:jc w:val="both"/>
        <w:rPr>
          <w:rFonts w:ascii="Times New Roman" w:eastAsia="Times New Roman" w:hAnsi="Times New Roman" w:cs="Times New Roman"/>
          <w:bCs/>
        </w:rPr>
      </w:pPr>
      <w:r w:rsidRPr="00E42497">
        <w:rPr>
          <w:rFonts w:ascii="Times New Roman" w:eastAsia="Times New Roman" w:hAnsi="Times New Roman" w:cs="Times New Roman"/>
          <w:bCs/>
        </w:rPr>
        <w:t>Képes a pénzügyi és számviteli nyilvántartó rendszer szakszerű kezelésére.</w:t>
      </w:r>
    </w:p>
    <w:p w:rsidR="00D21A34" w:rsidRDefault="00D21A34" w:rsidP="00D21A34">
      <w:pPr>
        <w:widowControl w:val="0"/>
        <w:spacing w:before="120" w:after="120" w:line="240" w:lineRule="auto"/>
        <w:ind w:left="426"/>
        <w:jc w:val="both"/>
        <w:rPr>
          <w:rFonts w:ascii="Times New Roman" w:eastAsia="Times New Roman" w:hAnsi="Times New Roman" w:cs="Times New Roman"/>
          <w:bCs/>
        </w:rPr>
      </w:pPr>
      <w:r w:rsidRPr="00BC6E7B">
        <w:rPr>
          <w:rFonts w:ascii="Times New Roman" w:eastAsia="Times New Roman" w:hAnsi="Times New Roman" w:cs="Times New Roman"/>
          <w:b/>
          <w:bCs/>
        </w:rPr>
        <w:t>Attitűdje:</w:t>
      </w:r>
      <w:r w:rsidRPr="00BC6E7B">
        <w:rPr>
          <w:rFonts w:ascii="Times New Roman" w:eastAsia="Times New Roman" w:hAnsi="Times New Roman" w:cs="Times New Roman"/>
          <w:bCs/>
        </w:rPr>
        <w:t xml:space="preserve"> </w:t>
      </w:r>
    </w:p>
    <w:p w:rsidR="00D21A34" w:rsidRPr="00E42497" w:rsidRDefault="00D21A34" w:rsidP="00980876">
      <w:pPr>
        <w:pStyle w:val="Listaszerbekezds"/>
        <w:widowControl w:val="0"/>
        <w:numPr>
          <w:ilvl w:val="0"/>
          <w:numId w:val="400"/>
        </w:numPr>
        <w:spacing w:before="120" w:after="120" w:line="240" w:lineRule="auto"/>
        <w:ind w:hanging="219"/>
        <w:jc w:val="both"/>
        <w:rPr>
          <w:rFonts w:ascii="Times New Roman" w:eastAsia="Times New Roman" w:hAnsi="Times New Roman" w:cs="Times New Roman"/>
          <w:bCs/>
        </w:rPr>
      </w:pPr>
      <w:r w:rsidRPr="00E42497">
        <w:rPr>
          <w:rFonts w:ascii="Times New Roman" w:eastAsia="Times New Roman" w:hAnsi="Times New Roman" w:cs="Times New Roman"/>
          <w:bCs/>
        </w:rPr>
        <w:t>Nyitott a pénzügyeket és számvitelt érintő jelenségek, problémák iránt, elkötelezett a megoldásukat illetően.</w:t>
      </w:r>
    </w:p>
    <w:p w:rsidR="00D21A34" w:rsidRDefault="00D21A34" w:rsidP="00D21A34">
      <w:pPr>
        <w:widowControl w:val="0"/>
        <w:spacing w:before="120" w:after="120" w:line="240" w:lineRule="auto"/>
        <w:ind w:left="426"/>
        <w:jc w:val="both"/>
        <w:rPr>
          <w:rFonts w:ascii="Times New Roman" w:eastAsia="Times New Roman" w:hAnsi="Times New Roman" w:cs="Times New Roman"/>
          <w:bCs/>
        </w:rPr>
      </w:pPr>
      <w:r w:rsidRPr="00BC6E7B">
        <w:rPr>
          <w:rFonts w:ascii="Times New Roman" w:eastAsia="Times New Roman" w:hAnsi="Times New Roman" w:cs="Times New Roman"/>
          <w:b/>
          <w:bCs/>
        </w:rPr>
        <w:t>Autonómiája és felelőssége:</w:t>
      </w:r>
      <w:r w:rsidRPr="00BC6E7B">
        <w:rPr>
          <w:rFonts w:ascii="Times New Roman" w:eastAsia="Times New Roman" w:hAnsi="Times New Roman" w:cs="Times New Roman"/>
          <w:bCs/>
        </w:rPr>
        <w:t xml:space="preserve"> </w:t>
      </w:r>
    </w:p>
    <w:p w:rsidR="00D21A34" w:rsidRPr="00E42497" w:rsidRDefault="00D21A34" w:rsidP="00980876">
      <w:pPr>
        <w:pStyle w:val="Listaszerbekezds"/>
        <w:widowControl w:val="0"/>
        <w:numPr>
          <w:ilvl w:val="0"/>
          <w:numId w:val="400"/>
        </w:numPr>
        <w:spacing w:before="120" w:after="120" w:line="240" w:lineRule="auto"/>
        <w:ind w:hanging="219"/>
        <w:jc w:val="both"/>
        <w:rPr>
          <w:rFonts w:ascii="Times New Roman" w:eastAsia="Times New Roman" w:hAnsi="Times New Roman" w:cs="Times New Roman"/>
          <w:bCs/>
        </w:rPr>
      </w:pPr>
      <w:r w:rsidRPr="00E42497">
        <w:rPr>
          <w:rFonts w:ascii="Times New Roman" w:eastAsia="Times New Roman" w:hAnsi="Times New Roman" w:cs="Times New Roman"/>
          <w:bCs/>
        </w:rPr>
        <w:t xml:space="preserve">A gazdálkodás támogató és pénzügyi ellátó referatúra feladatkörébe tartozó gazdálkodási </w:t>
      </w:r>
      <w:r w:rsidRPr="00E42497">
        <w:rPr>
          <w:rFonts w:ascii="Times New Roman" w:eastAsia="Times New Roman" w:hAnsi="Times New Roman" w:cs="Times New Roman"/>
          <w:bCs/>
        </w:rPr>
        <w:lastRenderedPageBreak/>
        <w:t>kérdésekben önállóan döntéseket hoz.</w:t>
      </w:r>
    </w:p>
    <w:p w:rsidR="00D21A34" w:rsidRPr="00BC6E7B" w:rsidRDefault="00D21A34" w:rsidP="00D21A34">
      <w:pPr>
        <w:widowControl w:val="0"/>
        <w:spacing w:before="120" w:after="120" w:line="240" w:lineRule="auto"/>
        <w:ind w:left="426"/>
        <w:jc w:val="both"/>
        <w:rPr>
          <w:rFonts w:ascii="Times New Roman" w:eastAsia="Times New Roman" w:hAnsi="Times New Roman" w:cs="Times New Roman"/>
          <w:b/>
          <w:bCs/>
          <w:lang w:val="en-US"/>
        </w:rPr>
      </w:pPr>
      <w:r w:rsidRPr="00BC6E7B">
        <w:rPr>
          <w:rFonts w:ascii="Times New Roman" w:eastAsia="Times New Roman" w:hAnsi="Times New Roman" w:cs="Times New Roman"/>
          <w:b/>
          <w:bCs/>
        </w:rPr>
        <w:t>Elérendő kompetenciák (angolul) (</w:t>
      </w:r>
      <w:r w:rsidRPr="00BC6E7B">
        <w:rPr>
          <w:rFonts w:ascii="Times New Roman" w:eastAsia="Times New Roman" w:hAnsi="Times New Roman" w:cs="Times New Roman"/>
          <w:b/>
          <w:bCs/>
          <w:lang w:val="en-US"/>
        </w:rPr>
        <w:t xml:space="preserve">Competences – English): </w:t>
      </w:r>
    </w:p>
    <w:p w:rsidR="00D21A34" w:rsidRDefault="00D21A34" w:rsidP="00D21A34">
      <w:pPr>
        <w:widowControl w:val="0"/>
        <w:spacing w:before="120" w:after="120" w:line="240" w:lineRule="auto"/>
        <w:ind w:left="426"/>
        <w:jc w:val="both"/>
        <w:rPr>
          <w:rFonts w:ascii="Times New Roman" w:eastAsia="Times New Roman" w:hAnsi="Times New Roman" w:cs="Times New Roman"/>
          <w:b/>
          <w:lang w:val="en-GB"/>
        </w:rPr>
      </w:pPr>
      <w:r w:rsidRPr="00BC6E7B">
        <w:rPr>
          <w:rFonts w:ascii="Times New Roman" w:eastAsia="Times New Roman" w:hAnsi="Times New Roman" w:cs="Times New Roman"/>
          <w:b/>
          <w:lang w:val="en-GB"/>
        </w:rPr>
        <w:t>Knowledge</w:t>
      </w:r>
      <w:r w:rsidRPr="002A0767">
        <w:rPr>
          <w:rFonts w:ascii="Times New Roman" w:eastAsia="Times New Roman" w:hAnsi="Times New Roman" w:cs="Times New Roman"/>
          <w:b/>
          <w:lang w:val="en-GB"/>
        </w:rPr>
        <w:t xml:space="preserve">: </w:t>
      </w:r>
    </w:p>
    <w:p w:rsidR="00D21A34" w:rsidRPr="00E42497" w:rsidRDefault="00D21A34" w:rsidP="00980876">
      <w:pPr>
        <w:pStyle w:val="Listaszerbekezds"/>
        <w:widowControl w:val="0"/>
        <w:numPr>
          <w:ilvl w:val="0"/>
          <w:numId w:val="400"/>
        </w:numPr>
        <w:spacing w:before="120" w:after="120" w:line="240" w:lineRule="auto"/>
        <w:ind w:hanging="219"/>
        <w:jc w:val="both"/>
        <w:rPr>
          <w:rFonts w:ascii="Times New Roman" w:eastAsia="Times New Roman" w:hAnsi="Times New Roman" w:cs="Times New Roman"/>
          <w:lang w:val="en-GB"/>
        </w:rPr>
      </w:pPr>
      <w:r w:rsidRPr="00E42497">
        <w:rPr>
          <w:rFonts w:ascii="Times New Roman" w:eastAsia="Times New Roman" w:hAnsi="Times New Roman" w:cs="Times New Roman"/>
          <w:lang w:val="en-GB"/>
        </w:rPr>
        <w:t>The student knows the operation of the financial and accounting system.</w:t>
      </w:r>
    </w:p>
    <w:p w:rsidR="00D21A34" w:rsidRDefault="00D21A34" w:rsidP="00D21A34">
      <w:pPr>
        <w:widowControl w:val="0"/>
        <w:spacing w:before="120" w:after="120" w:line="240" w:lineRule="auto"/>
        <w:ind w:left="426"/>
        <w:jc w:val="both"/>
        <w:rPr>
          <w:rFonts w:ascii="Times New Roman" w:eastAsia="Times New Roman" w:hAnsi="Times New Roman" w:cs="Times New Roman"/>
          <w:b/>
          <w:lang w:val="en-GB"/>
        </w:rPr>
      </w:pPr>
      <w:r w:rsidRPr="00BC6E7B">
        <w:rPr>
          <w:rFonts w:ascii="Times New Roman" w:eastAsia="Times New Roman" w:hAnsi="Times New Roman" w:cs="Times New Roman"/>
          <w:b/>
          <w:lang w:val="en-GB"/>
        </w:rPr>
        <w:t>Capabilities</w:t>
      </w:r>
      <w:r w:rsidRPr="006331D3">
        <w:rPr>
          <w:rFonts w:ascii="Times New Roman" w:eastAsia="Times New Roman" w:hAnsi="Times New Roman" w:cs="Times New Roman"/>
          <w:b/>
          <w:lang w:val="en-GB"/>
        </w:rPr>
        <w:t xml:space="preserve">: </w:t>
      </w:r>
    </w:p>
    <w:p w:rsidR="00D21A34" w:rsidRPr="00E42497" w:rsidRDefault="00D21A34" w:rsidP="00980876">
      <w:pPr>
        <w:pStyle w:val="Listaszerbekezds"/>
        <w:widowControl w:val="0"/>
        <w:numPr>
          <w:ilvl w:val="0"/>
          <w:numId w:val="400"/>
        </w:numPr>
        <w:spacing w:before="120" w:after="120" w:line="240" w:lineRule="auto"/>
        <w:ind w:hanging="219"/>
        <w:jc w:val="both"/>
        <w:rPr>
          <w:rFonts w:ascii="Times New Roman" w:eastAsia="Times New Roman" w:hAnsi="Times New Roman" w:cs="Times New Roman"/>
          <w:lang w:val="en-GB"/>
        </w:rPr>
      </w:pPr>
      <w:r w:rsidRPr="00E42497">
        <w:rPr>
          <w:rFonts w:ascii="Times New Roman" w:eastAsia="Times New Roman" w:hAnsi="Times New Roman" w:cs="Times New Roman"/>
          <w:lang w:val="en-GB"/>
        </w:rPr>
        <w:t>He/She is able to operate the financial and accounting system professionally and efficiently.</w:t>
      </w:r>
    </w:p>
    <w:p w:rsidR="00D21A34" w:rsidRDefault="00D21A34" w:rsidP="00D21A34">
      <w:pPr>
        <w:widowControl w:val="0"/>
        <w:spacing w:before="120" w:after="120" w:line="240" w:lineRule="auto"/>
        <w:ind w:left="426"/>
        <w:jc w:val="both"/>
        <w:rPr>
          <w:rFonts w:ascii="Times New Roman" w:eastAsia="Times New Roman" w:hAnsi="Times New Roman" w:cs="Times New Roman"/>
          <w:b/>
          <w:lang w:val="en-GB"/>
        </w:rPr>
      </w:pPr>
      <w:r w:rsidRPr="00BC6E7B">
        <w:rPr>
          <w:rFonts w:ascii="Times New Roman" w:eastAsia="Times New Roman" w:hAnsi="Times New Roman" w:cs="Times New Roman"/>
          <w:b/>
          <w:lang w:val="en-GB"/>
        </w:rPr>
        <w:t>Attitude:</w:t>
      </w:r>
      <w:r w:rsidRPr="002A0767">
        <w:rPr>
          <w:rFonts w:ascii="Times New Roman" w:eastAsia="Times New Roman" w:hAnsi="Times New Roman" w:cs="Times New Roman"/>
          <w:b/>
          <w:lang w:val="en-GB"/>
        </w:rPr>
        <w:t xml:space="preserve"> </w:t>
      </w:r>
    </w:p>
    <w:p w:rsidR="00D21A34" w:rsidRPr="00E42497" w:rsidRDefault="00D21A34" w:rsidP="00980876">
      <w:pPr>
        <w:pStyle w:val="Listaszerbekezds"/>
        <w:widowControl w:val="0"/>
        <w:numPr>
          <w:ilvl w:val="0"/>
          <w:numId w:val="400"/>
        </w:numPr>
        <w:spacing w:before="120" w:after="120" w:line="240" w:lineRule="auto"/>
        <w:ind w:hanging="219"/>
        <w:jc w:val="both"/>
        <w:rPr>
          <w:rFonts w:ascii="Times New Roman" w:eastAsia="Times New Roman" w:hAnsi="Times New Roman" w:cs="Times New Roman"/>
          <w:lang w:val="en-GB"/>
        </w:rPr>
      </w:pPr>
      <w:r w:rsidRPr="00E42497">
        <w:rPr>
          <w:rFonts w:ascii="Times New Roman" w:eastAsia="Times New Roman" w:hAnsi="Times New Roman" w:cs="Times New Roman"/>
          <w:lang w:val="en-GB"/>
        </w:rPr>
        <w:t>He/she is open to financial and accounting developement and problems and is committed to solving them.</w:t>
      </w:r>
    </w:p>
    <w:p w:rsidR="00D21A34" w:rsidRDefault="00D21A34" w:rsidP="00D21A34">
      <w:pPr>
        <w:widowControl w:val="0"/>
        <w:spacing w:before="120" w:after="120" w:line="240" w:lineRule="auto"/>
        <w:ind w:left="426"/>
        <w:jc w:val="both"/>
      </w:pPr>
      <w:r w:rsidRPr="00BC6E7B">
        <w:rPr>
          <w:rFonts w:ascii="Times New Roman" w:eastAsia="Times New Roman" w:hAnsi="Times New Roman" w:cs="Times New Roman"/>
          <w:b/>
          <w:lang w:val="en-GB"/>
        </w:rPr>
        <w:t>Autonomy and responsibility:</w:t>
      </w:r>
      <w:r w:rsidRPr="00F37D21">
        <w:t xml:space="preserve"> </w:t>
      </w:r>
    </w:p>
    <w:p w:rsidR="00D21A34" w:rsidRPr="00E42497" w:rsidRDefault="00D21A34" w:rsidP="00980876">
      <w:pPr>
        <w:pStyle w:val="Listaszerbekezds"/>
        <w:widowControl w:val="0"/>
        <w:numPr>
          <w:ilvl w:val="0"/>
          <w:numId w:val="400"/>
        </w:numPr>
        <w:spacing w:before="120" w:after="120" w:line="240" w:lineRule="auto"/>
        <w:ind w:hanging="219"/>
        <w:jc w:val="both"/>
        <w:rPr>
          <w:rFonts w:ascii="Times New Roman" w:eastAsia="Times New Roman" w:hAnsi="Times New Roman" w:cs="Times New Roman"/>
          <w:lang w:val="en-GB"/>
        </w:rPr>
      </w:pPr>
      <w:r w:rsidRPr="00E42497">
        <w:rPr>
          <w:rFonts w:ascii="Times New Roman" w:eastAsia="Times New Roman" w:hAnsi="Times New Roman" w:cs="Times New Roman"/>
          <w:lang w:val="en-GB"/>
        </w:rPr>
        <w:t>He / she makes independent decisions on management issues within the scope of his / her financial management portfolio.</w:t>
      </w:r>
    </w:p>
    <w:p w:rsidR="00D21A34" w:rsidRPr="00BC6E7B" w:rsidRDefault="00D21A34" w:rsidP="00980876">
      <w:pPr>
        <w:widowControl w:val="0"/>
        <w:numPr>
          <w:ilvl w:val="0"/>
          <w:numId w:val="401"/>
        </w:numPr>
        <w:tabs>
          <w:tab w:val="clear" w:pos="720"/>
          <w:tab w:val="num" w:pos="643"/>
        </w:tabs>
        <w:spacing w:before="120" w:after="120" w:line="240" w:lineRule="auto"/>
        <w:ind w:left="643"/>
        <w:jc w:val="both"/>
        <w:rPr>
          <w:rFonts w:ascii="Times New Roman" w:eastAsia="Times New Roman" w:hAnsi="Times New Roman" w:cs="Times New Roman"/>
          <w:bCs/>
        </w:rPr>
      </w:pPr>
      <w:r w:rsidRPr="00BC6E7B">
        <w:rPr>
          <w:rFonts w:ascii="Times New Roman" w:eastAsia="Times New Roman" w:hAnsi="Times New Roman" w:cs="Times New Roman"/>
          <w:b/>
          <w:bCs/>
        </w:rPr>
        <w:t xml:space="preserve">Előtanulmányi követelmények: </w:t>
      </w:r>
      <w:r>
        <w:rPr>
          <w:rFonts w:ascii="Times New Roman" w:eastAsia="Times New Roman" w:hAnsi="Times New Roman" w:cs="Times New Roman"/>
          <w:bCs/>
        </w:rPr>
        <w:t>-</w:t>
      </w:r>
    </w:p>
    <w:p w:rsidR="00D21A34" w:rsidRPr="00BC6E7B" w:rsidRDefault="00D21A34" w:rsidP="00980876">
      <w:pPr>
        <w:widowControl w:val="0"/>
        <w:numPr>
          <w:ilvl w:val="0"/>
          <w:numId w:val="401"/>
        </w:numPr>
        <w:tabs>
          <w:tab w:val="clear" w:pos="720"/>
          <w:tab w:val="num" w:pos="643"/>
        </w:tabs>
        <w:spacing w:before="120" w:after="120" w:line="240" w:lineRule="auto"/>
        <w:ind w:left="426" w:hanging="142"/>
        <w:jc w:val="both"/>
        <w:rPr>
          <w:rFonts w:ascii="Times New Roman" w:eastAsia="Times New Roman" w:hAnsi="Times New Roman" w:cs="Times New Roman"/>
          <w:b/>
          <w:bCs/>
        </w:rPr>
      </w:pPr>
      <w:r w:rsidRPr="00BC6E7B">
        <w:rPr>
          <w:rFonts w:ascii="Times New Roman" w:eastAsia="Times New Roman" w:hAnsi="Times New Roman" w:cs="Times New Roman"/>
          <w:b/>
          <w:bCs/>
        </w:rPr>
        <w:t>A tantárgy tananyagának leírása, tematika. Description of the subject, curriculum (magyarul, angolul - English):</w:t>
      </w:r>
    </w:p>
    <w:p w:rsidR="00D21A34" w:rsidRPr="00C05AC1" w:rsidRDefault="00D21A34" w:rsidP="00980876">
      <w:pPr>
        <w:widowControl w:val="0"/>
        <w:numPr>
          <w:ilvl w:val="1"/>
          <w:numId w:val="401"/>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C05AC1">
        <w:rPr>
          <w:rFonts w:ascii="Times New Roman" w:eastAsia="Times New Roman" w:hAnsi="Times New Roman" w:cs="Times New Roman"/>
          <w:kern w:val="2"/>
        </w:rPr>
        <w:t xml:space="preserve">A modern informatika története és áttekintése a vállalati szférában. A számítástechnika fejlődése. Integrált vállalatirányítási rendszerek. </w:t>
      </w:r>
      <w:r w:rsidRPr="00C05AC1">
        <w:rPr>
          <w:rFonts w:ascii="Times New Roman" w:eastAsia="Times New Roman" w:hAnsi="Times New Roman" w:cs="Times New Roman"/>
          <w:i/>
          <w:kern w:val="2"/>
        </w:rPr>
        <w:t>(History and overview of modern informatics in the corporate sphere. Advances in computing. Integrated enterprise management systems)</w:t>
      </w:r>
    </w:p>
    <w:p w:rsidR="00D21A34" w:rsidRPr="00C05AC1" w:rsidRDefault="00D21A34" w:rsidP="00980876">
      <w:pPr>
        <w:widowControl w:val="0"/>
        <w:numPr>
          <w:ilvl w:val="1"/>
          <w:numId w:val="401"/>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i/>
          <w:kern w:val="2"/>
        </w:rPr>
      </w:pPr>
      <w:r w:rsidRPr="00C05AC1">
        <w:rPr>
          <w:rFonts w:ascii="Times New Roman" w:eastAsia="Times New Roman" w:hAnsi="Times New Roman" w:cs="Times New Roman"/>
          <w:kern w:val="2"/>
        </w:rPr>
        <w:t xml:space="preserve"> A gyári SAP alkalmazás jogosultsági rendszere. </w:t>
      </w:r>
      <w:r w:rsidRPr="00C05AC1">
        <w:rPr>
          <w:rFonts w:ascii="Times New Roman" w:eastAsia="Times New Roman" w:hAnsi="Times New Roman" w:cs="Times New Roman"/>
          <w:i/>
          <w:kern w:val="2"/>
        </w:rPr>
        <w:t>(Authorization system for the standard SAP application)</w:t>
      </w:r>
    </w:p>
    <w:p w:rsidR="00D21A34" w:rsidRPr="00C05AC1" w:rsidRDefault="00D21A34" w:rsidP="00980876">
      <w:pPr>
        <w:widowControl w:val="0"/>
        <w:numPr>
          <w:ilvl w:val="1"/>
          <w:numId w:val="401"/>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C05AC1">
        <w:rPr>
          <w:rFonts w:ascii="Times New Roman" w:eastAsia="Times New Roman" w:hAnsi="Times New Roman" w:cs="Times New Roman"/>
          <w:kern w:val="2"/>
        </w:rPr>
        <w:t xml:space="preserve"> A HM KGIR keretében üzemeltetett jogosultsági rendszer.Service Desk (SD) rendszer. </w:t>
      </w:r>
      <w:r w:rsidRPr="00C05AC1">
        <w:rPr>
          <w:rFonts w:ascii="Times New Roman" w:eastAsia="Times New Roman" w:hAnsi="Times New Roman" w:cs="Times New Roman"/>
          <w:i/>
          <w:kern w:val="2"/>
        </w:rPr>
        <w:t>(Authorization system operated under the HM KGIR. Service Desk (SD) system)</w:t>
      </w:r>
    </w:p>
    <w:p w:rsidR="00D21A34" w:rsidRPr="00C05AC1" w:rsidRDefault="00D21A34" w:rsidP="00980876">
      <w:pPr>
        <w:widowControl w:val="0"/>
        <w:numPr>
          <w:ilvl w:val="1"/>
          <w:numId w:val="401"/>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C05AC1">
        <w:rPr>
          <w:rFonts w:ascii="Times New Roman" w:eastAsia="Times New Roman" w:hAnsi="Times New Roman" w:cs="Times New Roman"/>
          <w:kern w:val="2"/>
        </w:rPr>
        <w:t xml:space="preserve"> Az adminisztrációs munka gyakorlata. Hibaelhárítás, karbantartás, felülvizsgálatok, riportálás, téves hibabejelentések. </w:t>
      </w:r>
      <w:r w:rsidRPr="00C05AC1">
        <w:rPr>
          <w:rFonts w:ascii="Times New Roman" w:eastAsia="Times New Roman" w:hAnsi="Times New Roman" w:cs="Times New Roman"/>
          <w:i/>
          <w:kern w:val="2"/>
        </w:rPr>
        <w:t>(Practice of administrative work. Troubleshooting, maintenance, reviews, reporting, bug reports.)</w:t>
      </w:r>
    </w:p>
    <w:p w:rsidR="00D21A34" w:rsidRPr="00C05AC1" w:rsidRDefault="00D21A34" w:rsidP="00980876">
      <w:pPr>
        <w:widowControl w:val="0"/>
        <w:numPr>
          <w:ilvl w:val="1"/>
          <w:numId w:val="401"/>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C05AC1">
        <w:rPr>
          <w:rFonts w:ascii="Times New Roman" w:eastAsia="Times New Roman" w:hAnsi="Times New Roman" w:cs="Times New Roman"/>
          <w:kern w:val="2"/>
        </w:rPr>
        <w:t xml:space="preserve">A HM KGIR személyi pénzbeli járandóságok alrendszer és a pénzügyi számviteli alrendszer. Ismertetésre kerül a BÉR és PÜ alrendszer felépítése, funkciói, jogosultsági rendszere. </w:t>
      </w:r>
      <w:r w:rsidRPr="00C05AC1">
        <w:rPr>
          <w:rFonts w:ascii="Times New Roman" w:eastAsia="Times New Roman" w:hAnsi="Times New Roman" w:cs="Times New Roman"/>
          <w:i/>
          <w:kern w:val="2"/>
        </w:rPr>
        <w:t>(The structure, functions and entitlement system of the „BÉR” subsystem and „PÜ” subsystem)</w:t>
      </w:r>
    </w:p>
    <w:p w:rsidR="00D21A34" w:rsidRPr="00C05AC1" w:rsidRDefault="00D21A34" w:rsidP="00980876">
      <w:pPr>
        <w:widowControl w:val="0"/>
        <w:numPr>
          <w:ilvl w:val="1"/>
          <w:numId w:val="401"/>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C05AC1">
        <w:rPr>
          <w:rFonts w:ascii="Times New Roman" w:eastAsia="Times New Roman" w:hAnsi="Times New Roman" w:cs="Times New Roman"/>
          <w:kern w:val="2"/>
        </w:rPr>
        <w:t>Pénzügyi referens menü ismertetése</w:t>
      </w:r>
      <w:r w:rsidRPr="00C05AC1">
        <w:rPr>
          <w:rFonts w:ascii="Times New Roman" w:eastAsia="Times New Roman" w:hAnsi="Times New Roman" w:cs="Times New Roman"/>
          <w:i/>
          <w:kern w:val="2"/>
        </w:rPr>
        <w:t>. (Description of the financial rapporteur menu)</w:t>
      </w:r>
    </w:p>
    <w:p w:rsidR="00D21A34" w:rsidRPr="00C05AC1" w:rsidRDefault="00D21A34" w:rsidP="00980876">
      <w:pPr>
        <w:widowControl w:val="0"/>
        <w:numPr>
          <w:ilvl w:val="1"/>
          <w:numId w:val="401"/>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C05AC1">
        <w:rPr>
          <w:rFonts w:ascii="Times New Roman" w:eastAsia="Times New Roman" w:hAnsi="Times New Roman" w:cs="Times New Roman"/>
          <w:kern w:val="2"/>
        </w:rPr>
        <w:t>Számfejtések</w:t>
      </w:r>
      <w:r w:rsidRPr="00C05AC1">
        <w:rPr>
          <w:rFonts w:ascii="Times New Roman" w:eastAsia="Times New Roman" w:hAnsi="Times New Roman" w:cs="Times New Roman"/>
          <w:i/>
          <w:kern w:val="2"/>
        </w:rPr>
        <w:t>. (Payroll)</w:t>
      </w:r>
    </w:p>
    <w:p w:rsidR="00D21A34" w:rsidRPr="00C05AC1" w:rsidRDefault="00D21A34" w:rsidP="00980876">
      <w:pPr>
        <w:widowControl w:val="0"/>
        <w:numPr>
          <w:ilvl w:val="1"/>
          <w:numId w:val="401"/>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C05AC1">
        <w:rPr>
          <w:rFonts w:ascii="Times New Roman" w:eastAsia="Times New Roman" w:hAnsi="Times New Roman" w:cs="Times New Roman"/>
          <w:kern w:val="2"/>
        </w:rPr>
        <w:t xml:space="preserve">Listák, lekérdezések. </w:t>
      </w:r>
      <w:r w:rsidRPr="00C05AC1">
        <w:rPr>
          <w:rFonts w:ascii="Times New Roman" w:eastAsia="Times New Roman" w:hAnsi="Times New Roman" w:cs="Times New Roman"/>
          <w:i/>
          <w:kern w:val="2"/>
        </w:rPr>
        <w:t>(Lists, queries)</w:t>
      </w:r>
    </w:p>
    <w:p w:rsidR="00D21A34" w:rsidRPr="00C05AC1" w:rsidRDefault="00D21A34" w:rsidP="00980876">
      <w:pPr>
        <w:widowControl w:val="0"/>
        <w:numPr>
          <w:ilvl w:val="1"/>
          <w:numId w:val="401"/>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C05AC1">
        <w:rPr>
          <w:rFonts w:ascii="Times New Roman" w:eastAsia="Times New Roman" w:hAnsi="Times New Roman" w:cs="Times New Roman"/>
          <w:kern w:val="2"/>
        </w:rPr>
        <w:t>Az ÜSZR</w:t>
      </w:r>
      <w:r w:rsidRPr="00C05AC1">
        <w:rPr>
          <w:rFonts w:ascii="Times New Roman" w:eastAsia="Times New Roman" w:hAnsi="Times New Roman" w:cs="Times New Roman"/>
          <w:i/>
          <w:kern w:val="2"/>
        </w:rPr>
        <w:t>. (Customer Service System)</w:t>
      </w:r>
    </w:p>
    <w:p w:rsidR="00D21A34" w:rsidRPr="00C05AC1" w:rsidRDefault="00D21A34" w:rsidP="00980876">
      <w:pPr>
        <w:widowControl w:val="0"/>
        <w:numPr>
          <w:ilvl w:val="1"/>
          <w:numId w:val="401"/>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C05AC1">
        <w:rPr>
          <w:rFonts w:ascii="Times New Roman" w:eastAsia="Times New Roman" w:hAnsi="Times New Roman" w:cs="Times New Roman"/>
          <w:kern w:val="2"/>
        </w:rPr>
        <w:t>Pénzügyi gyakorlati oktatás</w:t>
      </w:r>
      <w:r w:rsidRPr="00C05AC1">
        <w:rPr>
          <w:rFonts w:ascii="Times New Roman" w:eastAsia="Times New Roman" w:hAnsi="Times New Roman" w:cs="Times New Roman"/>
          <w:i/>
          <w:kern w:val="2"/>
        </w:rPr>
        <w:t>. (Practical tasks)</w:t>
      </w:r>
    </w:p>
    <w:p w:rsidR="00D21A34" w:rsidRPr="006331D3" w:rsidRDefault="00D21A34" w:rsidP="00980876">
      <w:pPr>
        <w:pStyle w:val="Listaszerbekezds"/>
        <w:widowControl w:val="0"/>
        <w:numPr>
          <w:ilvl w:val="0"/>
          <w:numId w:val="401"/>
        </w:numPr>
        <w:tabs>
          <w:tab w:val="clear" w:pos="720"/>
          <w:tab w:val="num" w:pos="643"/>
          <w:tab w:val="left" w:pos="709"/>
          <w:tab w:val="left" w:pos="993"/>
        </w:tabs>
        <w:spacing w:before="120" w:after="120" w:line="240" w:lineRule="auto"/>
        <w:ind w:left="643"/>
        <w:jc w:val="both"/>
        <w:rPr>
          <w:rFonts w:ascii="Times New Roman" w:eastAsia="Times New Roman" w:hAnsi="Times New Roman" w:cs="Times New Roman"/>
          <w:bCs/>
        </w:rPr>
      </w:pPr>
      <w:r w:rsidRPr="006331D3">
        <w:rPr>
          <w:rFonts w:ascii="Times New Roman" w:eastAsia="Times New Roman" w:hAnsi="Times New Roman" w:cs="Times New Roman"/>
          <w:b/>
          <w:bCs/>
        </w:rPr>
        <w:t xml:space="preserve">A tantárgy meghirdetésének gyakorisága/a tantervben történő félévi elhelyezkedése: </w:t>
      </w:r>
      <w:r w:rsidRPr="006331D3">
        <w:rPr>
          <w:rFonts w:ascii="Times New Roman" w:eastAsia="Times New Roman" w:hAnsi="Times New Roman" w:cs="Times New Roman"/>
          <w:bCs/>
        </w:rPr>
        <w:t xml:space="preserve">a tanév </w:t>
      </w:r>
      <w:r>
        <w:rPr>
          <w:rFonts w:ascii="Times New Roman" w:eastAsia="Times New Roman" w:hAnsi="Times New Roman" w:cs="Times New Roman"/>
          <w:bCs/>
        </w:rPr>
        <w:t>2</w:t>
      </w:r>
      <w:r w:rsidRPr="006331D3">
        <w:rPr>
          <w:rFonts w:ascii="Times New Roman" w:eastAsia="Times New Roman" w:hAnsi="Times New Roman" w:cs="Times New Roman"/>
          <w:bCs/>
        </w:rPr>
        <w:t>. (</w:t>
      </w:r>
      <w:r>
        <w:rPr>
          <w:rFonts w:ascii="Times New Roman" w:eastAsia="Times New Roman" w:hAnsi="Times New Roman" w:cs="Times New Roman"/>
          <w:bCs/>
        </w:rPr>
        <w:t>tavaszi</w:t>
      </w:r>
      <w:r w:rsidRPr="006331D3">
        <w:rPr>
          <w:rFonts w:ascii="Times New Roman" w:eastAsia="Times New Roman" w:hAnsi="Times New Roman" w:cs="Times New Roman"/>
          <w:bCs/>
        </w:rPr>
        <w:t>) félévében.</w:t>
      </w:r>
    </w:p>
    <w:p w:rsidR="00D21A34" w:rsidRDefault="00D21A34" w:rsidP="00980876">
      <w:pPr>
        <w:widowControl w:val="0"/>
        <w:numPr>
          <w:ilvl w:val="0"/>
          <w:numId w:val="401"/>
        </w:numPr>
        <w:tabs>
          <w:tab w:val="clear" w:pos="720"/>
          <w:tab w:val="num" w:pos="643"/>
        </w:tabs>
        <w:spacing w:before="120" w:after="120" w:line="240" w:lineRule="auto"/>
        <w:ind w:left="643"/>
        <w:jc w:val="both"/>
        <w:rPr>
          <w:rFonts w:ascii="Times New Roman" w:eastAsia="Times New Roman" w:hAnsi="Times New Roman" w:cs="Times New Roman"/>
          <w:bCs/>
        </w:rPr>
      </w:pPr>
      <w:r w:rsidRPr="00BC6E7B">
        <w:rPr>
          <w:rFonts w:ascii="Times New Roman" w:eastAsia="Times New Roman" w:hAnsi="Times New Roman" w:cs="Times New Roman"/>
          <w:b/>
          <w:bCs/>
        </w:rPr>
        <w:t>A tanórákon való részvétel követelményei, az elfogadható hiányzások mértéke, a távolmaradás pótlásának lehetősége:</w:t>
      </w:r>
      <w:r>
        <w:rPr>
          <w:rFonts w:ascii="Times New Roman" w:eastAsia="Times New Roman" w:hAnsi="Times New Roman" w:cs="Times New Roman"/>
          <w:bCs/>
        </w:rPr>
        <w:t xml:space="preserve"> </w:t>
      </w:r>
      <w:r w:rsidRPr="00D0042F">
        <w:rPr>
          <w:rFonts w:ascii="Times New Roman" w:eastAsia="Times New Roman" w:hAnsi="Times New Roman" w:cs="Times New Roman"/>
          <w:bCs/>
        </w:rPr>
        <w:t xml:space="preserve">a tanórákon való jelenlét kötelező, az elfogadható és igazolt hiányzások száma maximum a tanórák </w:t>
      </w:r>
      <w:r>
        <w:rPr>
          <w:rFonts w:ascii="Times New Roman" w:eastAsia="Times New Roman" w:hAnsi="Times New Roman" w:cs="Times New Roman"/>
          <w:bCs/>
        </w:rPr>
        <w:t>20</w:t>
      </w:r>
      <w:r w:rsidRPr="00D0042F">
        <w:rPr>
          <w:rFonts w:ascii="Times New Roman" w:eastAsia="Times New Roman" w:hAnsi="Times New Roman" w:cs="Times New Roman"/>
          <w:bCs/>
        </w:rPr>
        <w:t>%-áig terjedhet, az ismeretek pótlásáról a hallgató gondoskodik.</w:t>
      </w:r>
      <w:r>
        <w:rPr>
          <w:rFonts w:ascii="Times New Roman" w:eastAsia="Times New Roman" w:hAnsi="Times New Roman" w:cs="Times New Roman"/>
          <w:bCs/>
        </w:rPr>
        <w:t xml:space="preserve"> A hiányzások elfogadható mértékének túllépése az aláírás megtagadását vonja maga után.</w:t>
      </w:r>
    </w:p>
    <w:p w:rsidR="00D21A34" w:rsidRPr="006331D3" w:rsidRDefault="00D21A34" w:rsidP="00980876">
      <w:pPr>
        <w:widowControl w:val="0"/>
        <w:numPr>
          <w:ilvl w:val="0"/>
          <w:numId w:val="401"/>
        </w:numPr>
        <w:tabs>
          <w:tab w:val="clear" w:pos="720"/>
          <w:tab w:val="num" w:pos="643"/>
        </w:tabs>
        <w:spacing w:before="120" w:after="120" w:line="240" w:lineRule="auto"/>
        <w:jc w:val="both"/>
        <w:rPr>
          <w:rFonts w:ascii="Times New Roman" w:eastAsia="Times New Roman" w:hAnsi="Times New Roman" w:cs="Times New Roman"/>
        </w:rPr>
      </w:pPr>
      <w:r w:rsidRPr="006331D3">
        <w:rPr>
          <w:rFonts w:ascii="Times New Roman" w:eastAsia="Times New Roman" w:hAnsi="Times New Roman" w:cs="Times New Roman"/>
          <w:b/>
        </w:rPr>
        <w:t>Félévközi feladatok, ismeretek ellenőrzésének rendje:</w:t>
      </w:r>
      <w:r w:rsidRPr="006331D3">
        <w:rPr>
          <w:rFonts w:ascii="Times New Roman" w:eastAsia="Times New Roman" w:hAnsi="Times New Roman" w:cs="Times New Roman"/>
        </w:rPr>
        <w:t xml:space="preserve"> </w:t>
      </w:r>
      <w:r>
        <w:rPr>
          <w:rFonts w:ascii="Times New Roman" w:eastAsia="Times New Roman" w:hAnsi="Times New Roman" w:cs="Times New Roman"/>
        </w:rPr>
        <w:t xml:space="preserve">A hallgató a félév során egy az oktató </w:t>
      </w:r>
      <w:r>
        <w:rPr>
          <w:rFonts w:ascii="Times New Roman" w:eastAsia="Times New Roman" w:hAnsi="Times New Roman" w:cs="Times New Roman"/>
        </w:rPr>
        <w:lastRenderedPageBreak/>
        <w:t xml:space="preserve">által meghatározott téma önálló feldolgozását követően, abból előadást tart. </w:t>
      </w:r>
      <w:r w:rsidRPr="006331D3">
        <w:rPr>
          <w:rFonts w:ascii="Times New Roman" w:eastAsia="Times New Roman" w:hAnsi="Times New Roman" w:cs="Times New Roman"/>
        </w:rPr>
        <w:t xml:space="preserve">A hallgató a félév </w:t>
      </w:r>
      <w:r>
        <w:rPr>
          <w:rFonts w:ascii="Times New Roman" w:eastAsia="Times New Roman" w:hAnsi="Times New Roman" w:cs="Times New Roman"/>
        </w:rPr>
        <w:t>három</w:t>
      </w:r>
      <w:r w:rsidRPr="006331D3">
        <w:rPr>
          <w:rFonts w:ascii="Times New Roman" w:eastAsia="Times New Roman" w:hAnsi="Times New Roman" w:cs="Times New Roman"/>
        </w:rPr>
        <w:t xml:space="preserve"> zárthelyi dolgozatot ír. A zárthelyi dolgozatok értékelése ötfokozatú skála alapján történik (50 %-tól elégséges, 65 %-tól közepes, 75-tól % jó, 85 %-tól jeles). </w:t>
      </w:r>
    </w:p>
    <w:p w:rsidR="00D21A34" w:rsidRPr="000D191A" w:rsidRDefault="00D21A34" w:rsidP="00D21A34">
      <w:pPr>
        <w:widowControl w:val="0"/>
        <w:spacing w:before="120" w:after="120" w:line="240" w:lineRule="auto"/>
        <w:ind w:left="720"/>
        <w:jc w:val="both"/>
        <w:rPr>
          <w:rFonts w:ascii="Times New Roman" w:eastAsia="Times New Roman" w:hAnsi="Times New Roman" w:cs="Times New Roman"/>
          <w:bCs/>
        </w:rPr>
      </w:pPr>
      <w:r>
        <w:rPr>
          <w:rFonts w:ascii="Times New Roman" w:eastAsia="Times New Roman" w:hAnsi="Times New Roman" w:cs="Times New Roman"/>
        </w:rPr>
        <w:t>A zárthelyi dolgozat egyszer pótolható, illetve sikertelensége esetén javítható.</w:t>
      </w:r>
    </w:p>
    <w:p w:rsidR="00D21A34" w:rsidRDefault="00D21A34" w:rsidP="00980876">
      <w:pPr>
        <w:widowControl w:val="0"/>
        <w:numPr>
          <w:ilvl w:val="0"/>
          <w:numId w:val="401"/>
        </w:numPr>
        <w:tabs>
          <w:tab w:val="clear" w:pos="720"/>
          <w:tab w:val="num" w:pos="643"/>
        </w:tabs>
        <w:spacing w:before="120" w:after="120" w:line="240" w:lineRule="auto"/>
        <w:ind w:left="426" w:hanging="142"/>
        <w:jc w:val="both"/>
        <w:rPr>
          <w:rFonts w:ascii="Times New Roman" w:eastAsia="Times New Roman" w:hAnsi="Times New Roman" w:cs="Times New Roman"/>
          <w:b/>
          <w:bCs/>
        </w:rPr>
      </w:pPr>
      <w:r w:rsidRPr="00BC6E7B">
        <w:rPr>
          <w:rFonts w:ascii="Times New Roman" w:eastAsia="Times New Roman" w:hAnsi="Times New Roman" w:cs="Times New Roman"/>
          <w:b/>
          <w:bCs/>
        </w:rPr>
        <w:t xml:space="preserve">Az értékelés, az aláírás és a kreditek megszerzésének pontos feltételei: </w:t>
      </w:r>
    </w:p>
    <w:p w:rsidR="00D21A34" w:rsidRPr="000D191A" w:rsidRDefault="00D21A34" w:rsidP="00980876">
      <w:pPr>
        <w:widowControl w:val="0"/>
        <w:numPr>
          <w:ilvl w:val="1"/>
          <w:numId w:val="401"/>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0D191A">
        <w:rPr>
          <w:rFonts w:ascii="Times New Roman" w:eastAsia="Times New Roman" w:hAnsi="Times New Roman" w:cs="Times New Roman"/>
          <w:b/>
        </w:rPr>
        <w:t>Az aláírás megszerzésének feltételei:</w:t>
      </w:r>
      <w:r w:rsidRPr="000D191A">
        <w:rPr>
          <w:rFonts w:ascii="Times New Roman" w:eastAsia="Times New Roman" w:hAnsi="Times New Roman" w:cs="Times New Roman"/>
        </w:rPr>
        <w:t xml:space="preserve"> Az aláírás megszerzésének feltétele a 14. pontban meghatározott arányú részvétel a foglalkozásokon és a 15. pontban meghatározott félévközi feladatok legalább elégséges teljesítése</w:t>
      </w:r>
      <w:r>
        <w:rPr>
          <w:rFonts w:ascii="Times New Roman" w:eastAsia="Times New Roman" w:hAnsi="Times New Roman" w:cs="Times New Roman"/>
        </w:rPr>
        <w:t>.</w:t>
      </w:r>
    </w:p>
    <w:p w:rsidR="00D21A34" w:rsidRDefault="00D21A34" w:rsidP="00980876">
      <w:pPr>
        <w:widowControl w:val="0"/>
        <w:numPr>
          <w:ilvl w:val="1"/>
          <w:numId w:val="401"/>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BC6E7B">
        <w:rPr>
          <w:rFonts w:ascii="Times New Roman" w:eastAsia="Times New Roman" w:hAnsi="Times New Roman" w:cs="Times New Roman"/>
          <w:b/>
        </w:rPr>
        <w:t>Az értékelés:</w:t>
      </w:r>
      <w:r w:rsidRPr="00BC6E7B">
        <w:rPr>
          <w:rFonts w:ascii="Times New Roman" w:eastAsia="Times New Roman" w:hAnsi="Times New Roman" w:cs="Times New Roman"/>
        </w:rPr>
        <w:t xml:space="preserve"> </w:t>
      </w:r>
      <w:r>
        <w:rPr>
          <w:rFonts w:ascii="Times New Roman" w:eastAsia="Times New Roman" w:hAnsi="Times New Roman" w:cs="Times New Roman"/>
        </w:rPr>
        <w:t>Gyakorlati jegy</w:t>
      </w:r>
    </w:p>
    <w:p w:rsidR="00D21A34" w:rsidRDefault="00D21A34" w:rsidP="00980876">
      <w:pPr>
        <w:widowControl w:val="0"/>
        <w:numPr>
          <w:ilvl w:val="1"/>
          <w:numId w:val="401"/>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BC6E7B">
        <w:rPr>
          <w:rFonts w:ascii="Times New Roman" w:eastAsia="Times New Roman" w:hAnsi="Times New Roman" w:cs="Times New Roman"/>
          <w:b/>
        </w:rPr>
        <w:t>A kreditek megszerzésének feltételei:</w:t>
      </w:r>
      <w:r w:rsidRPr="00BC6E7B">
        <w:rPr>
          <w:rFonts w:ascii="Times New Roman" w:eastAsia="Times New Roman" w:hAnsi="Times New Roman" w:cs="Times New Roman"/>
        </w:rPr>
        <w:t xml:space="preserve"> </w:t>
      </w:r>
    </w:p>
    <w:p w:rsidR="00D21A34" w:rsidRDefault="00D21A34" w:rsidP="00D21A34">
      <w:pPr>
        <w:widowControl w:val="0"/>
        <w:tabs>
          <w:tab w:val="left" w:pos="993"/>
        </w:tabs>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A kreditek megszerzésének feltétele az aláírás megszerzése és a zárthelyi dolgozatok legalább elégséges teljesítése, a gyakorlati jegy eredménye a zárthelyi dolgozatok egyszerű számtani átlaga.</w:t>
      </w:r>
    </w:p>
    <w:p w:rsidR="00D21A34" w:rsidRPr="0035461C" w:rsidRDefault="00D21A34" w:rsidP="00980876">
      <w:pPr>
        <w:widowControl w:val="0"/>
        <w:numPr>
          <w:ilvl w:val="0"/>
          <w:numId w:val="401"/>
        </w:numPr>
        <w:tabs>
          <w:tab w:val="clear" w:pos="720"/>
          <w:tab w:val="num" w:pos="360"/>
          <w:tab w:val="num" w:pos="643"/>
        </w:tabs>
        <w:spacing w:before="120" w:after="120" w:line="240" w:lineRule="auto"/>
        <w:ind w:left="426" w:hanging="142"/>
        <w:jc w:val="both"/>
        <w:rPr>
          <w:rFonts w:ascii="Times New Roman" w:eastAsia="Times New Roman" w:hAnsi="Times New Roman" w:cs="Times New Roman"/>
          <w:bCs/>
        </w:rPr>
      </w:pPr>
      <w:r w:rsidRPr="00BC6E7B">
        <w:rPr>
          <w:rFonts w:ascii="Times New Roman" w:eastAsia="Times New Roman" w:hAnsi="Times New Roman" w:cs="Times New Roman"/>
          <w:b/>
          <w:bCs/>
        </w:rPr>
        <w:t>Irodalomjegyzék:</w:t>
      </w:r>
    </w:p>
    <w:p w:rsidR="00D21A34" w:rsidRPr="0035461C" w:rsidRDefault="00D21A34" w:rsidP="00980876">
      <w:pPr>
        <w:widowControl w:val="0"/>
        <w:numPr>
          <w:ilvl w:val="1"/>
          <w:numId w:val="401"/>
        </w:numPr>
        <w:tabs>
          <w:tab w:val="clear" w:pos="3977"/>
          <w:tab w:val="num" w:pos="567"/>
          <w:tab w:val="num" w:pos="999"/>
          <w:tab w:val="num" w:pos="2069"/>
        </w:tabs>
        <w:spacing w:before="120" w:after="120" w:line="240" w:lineRule="auto"/>
        <w:ind w:left="993" w:hanging="709"/>
        <w:jc w:val="both"/>
        <w:rPr>
          <w:rFonts w:ascii="Times New Roman" w:eastAsia="Times New Roman" w:hAnsi="Times New Roman" w:cs="Times New Roman"/>
          <w:b/>
          <w:bCs/>
        </w:rPr>
      </w:pPr>
      <w:r w:rsidRPr="0035461C">
        <w:rPr>
          <w:rFonts w:ascii="Times New Roman" w:eastAsia="Times New Roman" w:hAnsi="Times New Roman" w:cs="Times New Roman"/>
          <w:b/>
          <w:bCs/>
        </w:rPr>
        <w:t>Kötelező irodalom:</w:t>
      </w:r>
    </w:p>
    <w:p w:rsidR="00340E08" w:rsidRPr="00E25ED9" w:rsidRDefault="00340E08" w:rsidP="00980876">
      <w:pPr>
        <w:pStyle w:val="Listaszerbekezds"/>
        <w:widowControl w:val="0"/>
        <w:numPr>
          <w:ilvl w:val="0"/>
          <w:numId w:val="804"/>
        </w:numPr>
        <w:tabs>
          <w:tab w:val="left" w:pos="993"/>
        </w:tabs>
        <w:spacing w:before="120" w:after="120" w:line="240" w:lineRule="auto"/>
        <w:jc w:val="both"/>
        <w:rPr>
          <w:rFonts w:ascii="Times New Roman" w:eastAsia="Times New Roman" w:hAnsi="Times New Roman" w:cs="Times New Roman"/>
          <w:highlight w:val="yellow"/>
        </w:rPr>
      </w:pPr>
      <w:r w:rsidRPr="00E25ED9">
        <w:rPr>
          <w:rFonts w:ascii="Times New Roman" w:eastAsia="Times New Roman" w:hAnsi="Times New Roman" w:cs="Times New Roman"/>
          <w:highlight w:val="yellow"/>
        </w:rPr>
        <w:t>Hernández, Keogh, Martinez: SAP R/3 kézikönyv - Könnyen is lehet! Panem Kft., 2007 ISBN 9789635454693</w:t>
      </w:r>
    </w:p>
    <w:p w:rsidR="00340E08" w:rsidRPr="00E25ED9" w:rsidRDefault="00340E08" w:rsidP="00980876">
      <w:pPr>
        <w:pStyle w:val="Listaszerbekezds"/>
        <w:widowControl w:val="0"/>
        <w:numPr>
          <w:ilvl w:val="0"/>
          <w:numId w:val="804"/>
        </w:numPr>
        <w:tabs>
          <w:tab w:val="left" w:pos="993"/>
        </w:tabs>
        <w:spacing w:before="120" w:after="120" w:line="240" w:lineRule="auto"/>
        <w:jc w:val="both"/>
        <w:rPr>
          <w:rFonts w:ascii="Times New Roman" w:eastAsia="Times New Roman" w:hAnsi="Times New Roman" w:cs="Times New Roman"/>
          <w:highlight w:val="yellow"/>
        </w:rPr>
      </w:pPr>
      <w:r>
        <w:rPr>
          <w:rFonts w:ascii="Times New Roman" w:eastAsia="Times New Roman" w:hAnsi="Times New Roman" w:cs="Times New Roman"/>
          <w:highlight w:val="yellow"/>
        </w:rPr>
        <w:t>HM VGH SAP KGIR belső kiadványok</w:t>
      </w:r>
    </w:p>
    <w:p w:rsidR="00D21A34" w:rsidRPr="00C83EBE" w:rsidRDefault="00D21A34" w:rsidP="00980876">
      <w:pPr>
        <w:widowControl w:val="0"/>
        <w:numPr>
          <w:ilvl w:val="1"/>
          <w:numId w:val="401"/>
        </w:numPr>
        <w:tabs>
          <w:tab w:val="clear" w:pos="3977"/>
          <w:tab w:val="num" w:pos="567"/>
          <w:tab w:val="num" w:pos="999"/>
          <w:tab w:val="num" w:pos="2069"/>
        </w:tabs>
        <w:spacing w:before="120" w:after="120" w:line="240" w:lineRule="auto"/>
        <w:ind w:left="993" w:hanging="709"/>
        <w:jc w:val="both"/>
        <w:rPr>
          <w:rFonts w:ascii="Times New Roman" w:eastAsia="Times New Roman" w:hAnsi="Times New Roman" w:cs="Times New Roman"/>
          <w:b/>
          <w:bCs/>
        </w:rPr>
      </w:pPr>
      <w:r w:rsidRPr="00BC6E7B">
        <w:rPr>
          <w:rFonts w:ascii="Times New Roman" w:eastAsia="Times New Roman" w:hAnsi="Times New Roman" w:cs="Times New Roman"/>
          <w:b/>
          <w:bCs/>
        </w:rPr>
        <w:t>Ajánlott irodalom:</w:t>
      </w:r>
      <w:r>
        <w:rPr>
          <w:rFonts w:ascii="Times New Roman" w:eastAsia="Times New Roman" w:hAnsi="Times New Roman" w:cs="Times New Roman"/>
          <w:b/>
          <w:bCs/>
        </w:rPr>
        <w:t xml:space="preserve"> -</w:t>
      </w:r>
    </w:p>
    <w:p w:rsidR="00D21A34" w:rsidRPr="0035461C" w:rsidRDefault="00D21A34" w:rsidP="00D21A34">
      <w:pPr>
        <w:pStyle w:val="Listaszerbekezds"/>
        <w:widowControl w:val="0"/>
        <w:tabs>
          <w:tab w:val="left" w:pos="993"/>
        </w:tabs>
        <w:spacing w:before="120" w:after="120" w:line="240" w:lineRule="auto"/>
        <w:ind w:left="1584"/>
        <w:jc w:val="both"/>
        <w:rPr>
          <w:rFonts w:ascii="Times New Roman" w:eastAsia="Times New Roman" w:hAnsi="Times New Roman" w:cs="Times New Roman"/>
        </w:rPr>
      </w:pPr>
    </w:p>
    <w:p w:rsidR="00D21A34" w:rsidRPr="00BC6E7B" w:rsidRDefault="00D21A34" w:rsidP="00D21A34">
      <w:pPr>
        <w:widowControl w:val="0"/>
        <w:spacing w:before="120" w:after="120" w:line="240" w:lineRule="auto"/>
        <w:jc w:val="both"/>
        <w:rPr>
          <w:rFonts w:ascii="Times New Roman" w:eastAsia="Times New Roman" w:hAnsi="Times New Roman" w:cs="Times New Roman"/>
          <w:bCs/>
        </w:rPr>
      </w:pPr>
      <w:r w:rsidRPr="0035461C">
        <w:rPr>
          <w:rFonts w:ascii="Times New Roman" w:eastAsia="Times New Roman" w:hAnsi="Times New Roman" w:cs="Times New Roman"/>
          <w:bCs/>
        </w:rPr>
        <w:t>Budapest, 20</w:t>
      </w:r>
      <w:r>
        <w:rPr>
          <w:rFonts w:ascii="Times New Roman" w:eastAsia="Times New Roman" w:hAnsi="Times New Roman" w:cs="Times New Roman"/>
          <w:bCs/>
        </w:rPr>
        <w:t>20</w:t>
      </w:r>
      <w:r w:rsidRPr="0035461C">
        <w:rPr>
          <w:rFonts w:ascii="Times New Roman" w:eastAsia="Times New Roman" w:hAnsi="Times New Roman" w:cs="Times New Roman"/>
          <w:bCs/>
        </w:rPr>
        <w:t>.</w:t>
      </w:r>
      <w:r>
        <w:rPr>
          <w:rFonts w:ascii="Times New Roman" w:eastAsia="Times New Roman" w:hAnsi="Times New Roman" w:cs="Times New Roman"/>
          <w:bCs/>
        </w:rPr>
        <w:t>02</w:t>
      </w:r>
      <w:r w:rsidRPr="0035461C">
        <w:rPr>
          <w:rFonts w:ascii="Times New Roman" w:eastAsia="Times New Roman" w:hAnsi="Times New Roman" w:cs="Times New Roman"/>
          <w:bCs/>
        </w:rPr>
        <w:t>.2</w:t>
      </w:r>
      <w:r>
        <w:rPr>
          <w:rFonts w:ascii="Times New Roman" w:eastAsia="Times New Roman" w:hAnsi="Times New Roman" w:cs="Times New Roman"/>
          <w:bCs/>
        </w:rPr>
        <w:t>0.</w:t>
      </w:r>
    </w:p>
    <w:p w:rsidR="00D21A34" w:rsidRPr="00BC6E7B" w:rsidRDefault="00D21A34" w:rsidP="00D21A34">
      <w:pPr>
        <w:widowControl w:val="0"/>
        <w:spacing w:before="120" w:after="120" w:line="240" w:lineRule="auto"/>
        <w:jc w:val="both"/>
        <w:rPr>
          <w:rFonts w:ascii="Times New Roman" w:eastAsia="Times New Roman" w:hAnsi="Times New Roman" w:cs="Times New Roman"/>
          <w:bCs/>
        </w:rPr>
      </w:pPr>
    </w:p>
    <w:p w:rsidR="00D21A34" w:rsidRPr="00D21A34" w:rsidRDefault="00D21A34" w:rsidP="00D21A34">
      <w:pPr>
        <w:widowControl w:val="0"/>
        <w:spacing w:after="0" w:line="240" w:lineRule="auto"/>
        <w:ind w:left="5664" w:firstLine="708"/>
        <w:jc w:val="center"/>
        <w:rPr>
          <w:rFonts w:ascii="Times New Roman" w:eastAsia="Times New Roman" w:hAnsi="Times New Roman" w:cs="Times New Roman"/>
          <w:b/>
          <w:bCs/>
        </w:rPr>
      </w:pPr>
      <w:r w:rsidRPr="00D21A34">
        <w:rPr>
          <w:rFonts w:ascii="Times New Roman" w:eastAsia="Times New Roman" w:hAnsi="Times New Roman" w:cs="Times New Roman"/>
          <w:b/>
          <w:bCs/>
        </w:rPr>
        <w:t>Dr. Venekei József (PhD)</w:t>
      </w:r>
    </w:p>
    <w:p w:rsidR="00D21A34" w:rsidRDefault="00D21A34" w:rsidP="00D21A34">
      <w:pPr>
        <w:widowControl w:val="0"/>
        <w:spacing w:after="0" w:line="240" w:lineRule="auto"/>
        <w:ind w:left="5664" w:firstLine="708"/>
        <w:jc w:val="center"/>
        <w:rPr>
          <w:rFonts w:ascii="Times New Roman" w:eastAsia="Times New Roman" w:hAnsi="Times New Roman" w:cs="Times New Roman"/>
          <w:bCs/>
        </w:rPr>
      </w:pPr>
      <w:r>
        <w:rPr>
          <w:rFonts w:ascii="Times New Roman" w:eastAsia="Times New Roman" w:hAnsi="Times New Roman" w:cs="Times New Roman"/>
          <w:bCs/>
        </w:rPr>
        <w:t>egyetemi docens sk.</w:t>
      </w:r>
    </w:p>
    <w:p w:rsidR="00F2027B" w:rsidRDefault="00F2027B">
      <w:pPr>
        <w:spacing w:after="200" w:line="276" w:lineRule="auto"/>
        <w:rPr>
          <w:rFonts w:ascii="Times New Roman" w:hAnsi="Times New Roman" w:cs="Times New Roman"/>
          <w:sz w:val="24"/>
        </w:rPr>
      </w:pPr>
      <w:r>
        <w:rPr>
          <w:rFonts w:ascii="Times New Roman" w:hAnsi="Times New Roman" w:cs="Times New Roman"/>
          <w:sz w:val="24"/>
        </w:rPr>
        <w:br w:type="page"/>
      </w:r>
    </w:p>
    <w:tbl>
      <w:tblPr>
        <w:tblW w:w="9072" w:type="dxa"/>
        <w:tblInd w:w="113" w:type="dxa"/>
        <w:tblLook w:val="01E0" w:firstRow="1" w:lastRow="1" w:firstColumn="1" w:lastColumn="1" w:noHBand="0" w:noVBand="0"/>
      </w:tblPr>
      <w:tblGrid>
        <w:gridCol w:w="4855"/>
        <w:gridCol w:w="1620"/>
        <w:gridCol w:w="2597"/>
      </w:tblGrid>
      <w:tr w:rsidR="00F2027B" w:rsidRPr="00BC6E7B" w:rsidTr="00F2027B">
        <w:tc>
          <w:tcPr>
            <w:tcW w:w="4855" w:type="dxa"/>
            <w:tcBorders>
              <w:bottom w:val="single" w:sz="4" w:space="0" w:color="auto"/>
            </w:tcBorders>
          </w:tcPr>
          <w:p w:rsidR="00F2027B" w:rsidRPr="00BC6E7B" w:rsidRDefault="00F2027B" w:rsidP="00F2027B">
            <w:pPr>
              <w:spacing w:after="0" w:line="240" w:lineRule="auto"/>
              <w:jc w:val="center"/>
              <w:rPr>
                <w:rFonts w:ascii="Times New Roman" w:eastAsia="Times New Roman" w:hAnsi="Times New Roman" w:cs="Times New Roman"/>
                <w:b/>
                <w:smallCaps/>
                <w:lang w:eastAsia="hu-HU"/>
              </w:rPr>
            </w:pPr>
            <w:r w:rsidRPr="00BC6E7B">
              <w:rPr>
                <w:rFonts w:ascii="Times New Roman" w:eastAsia="Times New Roman" w:hAnsi="Times New Roman" w:cs="Times New Roman"/>
                <w:b/>
                <w:smallCaps/>
                <w:lang w:eastAsia="hu-HU"/>
              </w:rPr>
              <w:lastRenderedPageBreak/>
              <w:t>Nemzeti Közszolgálati Egyetem</w:t>
            </w:r>
          </w:p>
        </w:tc>
        <w:tc>
          <w:tcPr>
            <w:tcW w:w="1620" w:type="dxa"/>
          </w:tcPr>
          <w:p w:rsidR="00F2027B" w:rsidRPr="00BC6E7B" w:rsidRDefault="00F2027B" w:rsidP="00F2027B">
            <w:pPr>
              <w:spacing w:after="0" w:line="240" w:lineRule="auto"/>
              <w:jc w:val="both"/>
              <w:rPr>
                <w:rFonts w:ascii="Times New Roman" w:eastAsia="Times New Roman" w:hAnsi="Times New Roman" w:cs="Times New Roman"/>
                <w:lang w:eastAsia="hu-HU"/>
              </w:rPr>
            </w:pPr>
          </w:p>
        </w:tc>
        <w:tc>
          <w:tcPr>
            <w:tcW w:w="2597" w:type="dxa"/>
          </w:tcPr>
          <w:p w:rsidR="00F2027B" w:rsidRPr="00BC6E7B" w:rsidRDefault="00F2027B" w:rsidP="00F2027B">
            <w:pPr>
              <w:spacing w:after="0" w:line="240" w:lineRule="auto"/>
              <w:jc w:val="right"/>
              <w:rPr>
                <w:rFonts w:ascii="Times New Roman" w:eastAsia="Times New Roman" w:hAnsi="Times New Roman" w:cs="Times New Roman"/>
                <w:lang w:eastAsia="hu-HU"/>
              </w:rPr>
            </w:pPr>
          </w:p>
        </w:tc>
      </w:tr>
      <w:tr w:rsidR="00F2027B" w:rsidTr="00F2027B">
        <w:tc>
          <w:tcPr>
            <w:tcW w:w="4855" w:type="dxa"/>
            <w:tcBorders>
              <w:top w:val="single" w:sz="4" w:space="0" w:color="auto"/>
              <w:left w:val="nil"/>
              <w:bottom w:val="nil"/>
              <w:right w:val="nil"/>
            </w:tcBorders>
            <w:hideMark/>
          </w:tcPr>
          <w:p w:rsidR="00F2027B" w:rsidRPr="00F644B4" w:rsidRDefault="00F2027B" w:rsidP="00F2027B">
            <w:pPr>
              <w:pStyle w:val="Szvegtrzs"/>
              <w:jc w:val="center"/>
              <w:rPr>
                <w:b/>
              </w:rPr>
            </w:pPr>
            <w:r>
              <w:rPr>
                <w:b/>
              </w:rPr>
              <w:t>Hadtudományi és Honvédtisztképző</w:t>
            </w:r>
            <w:r w:rsidRPr="00F644B4">
              <w:rPr>
                <w:b/>
              </w:rPr>
              <w:t xml:space="preserve"> Kar</w:t>
            </w:r>
          </w:p>
        </w:tc>
        <w:tc>
          <w:tcPr>
            <w:tcW w:w="1620" w:type="dxa"/>
          </w:tcPr>
          <w:p w:rsidR="00F2027B" w:rsidRDefault="00F2027B" w:rsidP="00F2027B">
            <w:pPr>
              <w:pStyle w:val="Szvegtrzs"/>
            </w:pPr>
          </w:p>
        </w:tc>
        <w:tc>
          <w:tcPr>
            <w:tcW w:w="2597" w:type="dxa"/>
          </w:tcPr>
          <w:p w:rsidR="00F2027B" w:rsidRDefault="00F2027B" w:rsidP="00F2027B">
            <w:pPr>
              <w:pStyle w:val="Szvegtrzs"/>
            </w:pPr>
          </w:p>
        </w:tc>
      </w:tr>
    </w:tbl>
    <w:p w:rsidR="00F2027B" w:rsidRDefault="00F2027B" w:rsidP="00F2027B">
      <w:pPr>
        <w:widowControl w:val="0"/>
        <w:spacing w:before="120" w:after="120" w:line="240" w:lineRule="auto"/>
        <w:ind w:left="426" w:hanging="142"/>
        <w:jc w:val="center"/>
        <w:rPr>
          <w:rFonts w:ascii="Times New Roman" w:eastAsia="Times New Roman" w:hAnsi="Times New Roman" w:cs="Times New Roman"/>
          <w:b/>
          <w:bCs/>
        </w:rPr>
      </w:pPr>
    </w:p>
    <w:p w:rsidR="00F2027B" w:rsidRPr="00BC6E7B" w:rsidRDefault="00F2027B" w:rsidP="00F2027B">
      <w:pPr>
        <w:widowControl w:val="0"/>
        <w:spacing w:before="120" w:after="120" w:line="240" w:lineRule="auto"/>
        <w:ind w:left="426" w:hanging="142"/>
        <w:jc w:val="center"/>
        <w:rPr>
          <w:rFonts w:ascii="Times New Roman" w:eastAsia="Times New Roman" w:hAnsi="Times New Roman" w:cs="Times New Roman"/>
          <w:b/>
          <w:bCs/>
        </w:rPr>
      </w:pPr>
      <w:r w:rsidRPr="00BC6E7B">
        <w:rPr>
          <w:rFonts w:ascii="Times New Roman" w:eastAsia="Times New Roman" w:hAnsi="Times New Roman" w:cs="Times New Roman"/>
          <w:b/>
          <w:bCs/>
        </w:rPr>
        <w:t>TANTÁRGYI PROGRAM</w:t>
      </w:r>
    </w:p>
    <w:p w:rsidR="00F2027B" w:rsidRPr="00BC6E7B" w:rsidRDefault="00F2027B" w:rsidP="00980876">
      <w:pPr>
        <w:widowControl w:val="0"/>
        <w:numPr>
          <w:ilvl w:val="0"/>
          <w:numId w:val="404"/>
        </w:numPr>
        <w:tabs>
          <w:tab w:val="clear" w:pos="720"/>
          <w:tab w:val="num" w:pos="643"/>
        </w:tabs>
        <w:spacing w:before="120" w:after="120" w:line="240" w:lineRule="auto"/>
        <w:ind w:left="643"/>
        <w:jc w:val="both"/>
        <w:rPr>
          <w:rFonts w:ascii="Times New Roman" w:eastAsia="Times New Roman" w:hAnsi="Times New Roman" w:cs="Times New Roman"/>
          <w:bCs/>
        </w:rPr>
      </w:pPr>
      <w:r w:rsidRPr="00BC6E7B">
        <w:rPr>
          <w:rFonts w:ascii="Times New Roman" w:eastAsia="Times New Roman" w:hAnsi="Times New Roman" w:cs="Times New Roman"/>
          <w:b/>
          <w:bCs/>
        </w:rPr>
        <w:t>A tantárgy kódja:</w:t>
      </w:r>
      <w:r>
        <w:rPr>
          <w:rFonts w:ascii="Times New Roman" w:eastAsia="Times New Roman" w:hAnsi="Times New Roman" w:cs="Times New Roman"/>
          <w:b/>
          <w:bCs/>
        </w:rPr>
        <w:t xml:space="preserve"> </w:t>
      </w:r>
      <w:r w:rsidRPr="007E08E9">
        <w:rPr>
          <w:rFonts w:ascii="Times New Roman" w:eastAsia="Times New Roman" w:hAnsi="Times New Roman" w:cs="Times New Roman"/>
          <w:bCs/>
        </w:rPr>
        <w:t>HKHPKA518</w:t>
      </w:r>
    </w:p>
    <w:p w:rsidR="00F2027B" w:rsidRPr="00A6100B" w:rsidRDefault="00F2027B" w:rsidP="00980876">
      <w:pPr>
        <w:widowControl w:val="0"/>
        <w:numPr>
          <w:ilvl w:val="0"/>
          <w:numId w:val="404"/>
        </w:numPr>
        <w:tabs>
          <w:tab w:val="clear" w:pos="720"/>
          <w:tab w:val="num" w:pos="643"/>
        </w:tabs>
        <w:spacing w:before="120" w:after="120" w:line="240" w:lineRule="auto"/>
        <w:ind w:left="643"/>
        <w:jc w:val="both"/>
        <w:rPr>
          <w:rFonts w:ascii="Times New Roman" w:eastAsia="Times New Roman" w:hAnsi="Times New Roman" w:cs="Times New Roman"/>
          <w:b/>
          <w:bCs/>
          <w:lang w:val="en-GB"/>
        </w:rPr>
      </w:pPr>
      <w:r w:rsidRPr="00A6100B">
        <w:rPr>
          <w:rFonts w:ascii="Times New Roman" w:eastAsia="Times New Roman" w:hAnsi="Times New Roman" w:cs="Times New Roman"/>
          <w:b/>
          <w:bCs/>
        </w:rPr>
        <w:t>A tantárgy megnevezése (magyarul):</w:t>
      </w:r>
      <w:r w:rsidRPr="00A6100B">
        <w:rPr>
          <w:bCs/>
        </w:rPr>
        <w:t xml:space="preserve"> </w:t>
      </w:r>
      <w:r w:rsidRPr="0024350B">
        <w:rPr>
          <w:rFonts w:ascii="Times New Roman" w:eastAsia="Times New Roman" w:hAnsi="Times New Roman" w:cs="Times New Roman"/>
          <w:bCs/>
        </w:rPr>
        <w:t>Nemzetközi feladatok pénzügyi biztosítása</w:t>
      </w:r>
    </w:p>
    <w:p w:rsidR="00F2027B" w:rsidRPr="00A6100B" w:rsidRDefault="00F2027B" w:rsidP="00980876">
      <w:pPr>
        <w:widowControl w:val="0"/>
        <w:numPr>
          <w:ilvl w:val="0"/>
          <w:numId w:val="404"/>
        </w:numPr>
        <w:tabs>
          <w:tab w:val="clear" w:pos="720"/>
          <w:tab w:val="num" w:pos="643"/>
        </w:tabs>
        <w:spacing w:before="120" w:after="120" w:line="240" w:lineRule="auto"/>
        <w:ind w:left="643"/>
        <w:jc w:val="both"/>
        <w:rPr>
          <w:rFonts w:ascii="Times New Roman" w:eastAsia="Times New Roman" w:hAnsi="Times New Roman" w:cs="Times New Roman"/>
          <w:b/>
          <w:bCs/>
          <w:lang w:val="en-GB"/>
        </w:rPr>
      </w:pPr>
      <w:r w:rsidRPr="00A6100B">
        <w:rPr>
          <w:rFonts w:ascii="Times New Roman" w:eastAsia="Times New Roman" w:hAnsi="Times New Roman" w:cs="Times New Roman"/>
          <w:b/>
          <w:bCs/>
        </w:rPr>
        <w:t>A tantárgy megnevezése (angolul):</w:t>
      </w:r>
      <w:r w:rsidRPr="00A6100B">
        <w:rPr>
          <w:bCs/>
        </w:rPr>
        <w:t xml:space="preserve"> </w:t>
      </w:r>
      <w:r w:rsidRPr="00E3281F">
        <w:rPr>
          <w:rFonts w:ascii="Times New Roman" w:eastAsia="Times New Roman" w:hAnsi="Times New Roman" w:cs="Times New Roman"/>
          <w:bCs/>
        </w:rPr>
        <w:t>Financial Supply of International Military Exercises</w:t>
      </w:r>
    </w:p>
    <w:p w:rsidR="00F2027B" w:rsidRDefault="00F2027B" w:rsidP="00980876">
      <w:pPr>
        <w:widowControl w:val="0"/>
        <w:numPr>
          <w:ilvl w:val="0"/>
          <w:numId w:val="404"/>
        </w:numPr>
        <w:tabs>
          <w:tab w:val="clear" w:pos="720"/>
          <w:tab w:val="num" w:pos="567"/>
          <w:tab w:val="num" w:pos="643"/>
        </w:tabs>
        <w:spacing w:before="120" w:after="120" w:line="240" w:lineRule="auto"/>
        <w:ind w:left="426" w:hanging="142"/>
        <w:jc w:val="both"/>
        <w:rPr>
          <w:rFonts w:ascii="Times New Roman" w:eastAsia="Times New Roman" w:hAnsi="Times New Roman" w:cs="Times New Roman"/>
          <w:b/>
          <w:bCs/>
        </w:rPr>
      </w:pPr>
      <w:r w:rsidRPr="00BC6E7B">
        <w:rPr>
          <w:rFonts w:ascii="Times New Roman" w:eastAsia="Times New Roman" w:hAnsi="Times New Roman" w:cs="Times New Roman"/>
          <w:b/>
          <w:bCs/>
        </w:rPr>
        <w:t>Kreditérték</w:t>
      </w:r>
      <w:r>
        <w:rPr>
          <w:rFonts w:ascii="Times New Roman" w:eastAsia="Times New Roman" w:hAnsi="Times New Roman" w:cs="Times New Roman"/>
          <w:b/>
          <w:bCs/>
        </w:rPr>
        <w:t xml:space="preserve"> és képzési karakter</w:t>
      </w:r>
      <w:r w:rsidRPr="00BC6E7B">
        <w:rPr>
          <w:rFonts w:ascii="Times New Roman" w:eastAsia="Times New Roman" w:hAnsi="Times New Roman" w:cs="Times New Roman"/>
          <w:b/>
          <w:bCs/>
        </w:rPr>
        <w:t xml:space="preserve">: </w:t>
      </w:r>
    </w:p>
    <w:p w:rsidR="00F2027B" w:rsidRPr="00740A68" w:rsidRDefault="00F2027B" w:rsidP="00980876">
      <w:pPr>
        <w:pStyle w:val="Listaszerbekezds"/>
        <w:widowControl w:val="0"/>
        <w:numPr>
          <w:ilvl w:val="1"/>
          <w:numId w:val="404"/>
        </w:numPr>
        <w:tabs>
          <w:tab w:val="clear" w:pos="3977"/>
          <w:tab w:val="num" w:pos="999"/>
        </w:tabs>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4</w:t>
      </w:r>
      <w:r w:rsidRPr="00740A68">
        <w:rPr>
          <w:rFonts w:ascii="Times New Roman" w:eastAsia="Times New Roman" w:hAnsi="Times New Roman" w:cs="Times New Roman"/>
          <w:bCs/>
        </w:rPr>
        <w:t xml:space="preserve"> kredit</w:t>
      </w:r>
    </w:p>
    <w:p w:rsidR="00F2027B" w:rsidRPr="00740A68" w:rsidRDefault="00F2027B" w:rsidP="00980876">
      <w:pPr>
        <w:pStyle w:val="Listaszerbekezds"/>
        <w:widowControl w:val="0"/>
        <w:numPr>
          <w:ilvl w:val="1"/>
          <w:numId w:val="404"/>
        </w:numPr>
        <w:tabs>
          <w:tab w:val="clear" w:pos="3977"/>
          <w:tab w:val="num" w:pos="999"/>
        </w:tabs>
        <w:spacing w:before="120" w:after="120" w:line="240" w:lineRule="auto"/>
        <w:ind w:left="993" w:hanging="426"/>
        <w:jc w:val="both"/>
        <w:rPr>
          <w:rFonts w:ascii="Times New Roman" w:eastAsia="Times New Roman" w:hAnsi="Times New Roman" w:cs="Times New Roman"/>
          <w:b/>
          <w:bCs/>
        </w:rPr>
      </w:pPr>
      <w:r w:rsidRPr="00F37D21">
        <w:rPr>
          <w:rFonts w:ascii="Times New Roman" w:eastAsia="Times New Roman" w:hAnsi="Times New Roman" w:cs="Times New Roman"/>
          <w:bCs/>
        </w:rPr>
        <w:t>a tantárgy elméleti vagy gyakorlati jellegének mértéke</w:t>
      </w:r>
      <w:r w:rsidRPr="006C1106">
        <w:rPr>
          <w:rFonts w:ascii="Times New Roman" w:eastAsia="Times New Roman" w:hAnsi="Times New Roman" w:cs="Times New Roman"/>
          <w:bCs/>
          <w:highlight w:val="yellow"/>
        </w:rPr>
        <w:t xml:space="preserve">: </w:t>
      </w:r>
      <w:r w:rsidR="006C1106" w:rsidRPr="006C1106">
        <w:rPr>
          <w:rFonts w:ascii="Times New Roman" w:eastAsia="Times New Roman" w:hAnsi="Times New Roman" w:cs="Times New Roman"/>
          <w:bCs/>
          <w:highlight w:val="yellow"/>
        </w:rPr>
        <w:t>67</w:t>
      </w:r>
      <w:r w:rsidRPr="006C1106">
        <w:rPr>
          <w:rFonts w:ascii="Times New Roman" w:eastAsia="Times New Roman" w:hAnsi="Times New Roman" w:cs="Times New Roman"/>
          <w:b/>
          <w:bCs/>
          <w:highlight w:val="yellow"/>
        </w:rPr>
        <w:t xml:space="preserve"> </w:t>
      </w:r>
      <w:r w:rsidRPr="006C1106">
        <w:rPr>
          <w:rFonts w:ascii="Times New Roman" w:eastAsia="Times New Roman" w:hAnsi="Times New Roman" w:cs="Times New Roman"/>
          <w:bCs/>
          <w:highlight w:val="yellow"/>
        </w:rPr>
        <w:t xml:space="preserve">% gyakorlat, </w:t>
      </w:r>
      <w:r w:rsidR="006C1106" w:rsidRPr="006C1106">
        <w:rPr>
          <w:rFonts w:ascii="Times New Roman" w:eastAsia="Times New Roman" w:hAnsi="Times New Roman" w:cs="Times New Roman"/>
          <w:bCs/>
          <w:highlight w:val="yellow"/>
        </w:rPr>
        <w:t>33</w:t>
      </w:r>
      <w:r w:rsidRPr="006C1106">
        <w:rPr>
          <w:rFonts w:ascii="Times New Roman" w:eastAsia="Times New Roman" w:hAnsi="Times New Roman" w:cs="Times New Roman"/>
          <w:bCs/>
          <w:highlight w:val="yellow"/>
        </w:rPr>
        <w:t xml:space="preserve"> % elmélet</w:t>
      </w:r>
    </w:p>
    <w:p w:rsidR="00F2027B" w:rsidRDefault="00F2027B" w:rsidP="00980876">
      <w:pPr>
        <w:widowControl w:val="0"/>
        <w:numPr>
          <w:ilvl w:val="0"/>
          <w:numId w:val="404"/>
        </w:numPr>
        <w:tabs>
          <w:tab w:val="clear" w:pos="720"/>
          <w:tab w:val="num" w:pos="643"/>
        </w:tabs>
        <w:spacing w:before="120" w:after="120" w:line="240" w:lineRule="auto"/>
        <w:ind w:left="643"/>
        <w:jc w:val="both"/>
        <w:rPr>
          <w:rFonts w:ascii="Times New Roman" w:eastAsia="Times New Roman" w:hAnsi="Times New Roman" w:cs="Times New Roman"/>
          <w:bCs/>
        </w:rPr>
      </w:pPr>
      <w:r w:rsidRPr="00BC6E7B">
        <w:rPr>
          <w:rFonts w:ascii="Times New Roman" w:eastAsia="Times New Roman" w:hAnsi="Times New Roman" w:cs="Times New Roman"/>
          <w:b/>
          <w:bCs/>
        </w:rPr>
        <w:t>A szak(ok</w:t>
      </w:r>
      <w:r w:rsidRPr="00C027CF">
        <w:rPr>
          <w:rFonts w:ascii="Times New Roman" w:eastAsia="Times New Roman" w:hAnsi="Times New Roman" w:cs="Times New Roman"/>
          <w:b/>
          <w:bCs/>
        </w:rPr>
        <w:t>), szakirányok/specializációk</w:t>
      </w:r>
      <w:r w:rsidRPr="00BC6E7B">
        <w:rPr>
          <w:rFonts w:ascii="Times New Roman" w:eastAsia="Times New Roman" w:hAnsi="Times New Roman" w:cs="Times New Roman"/>
          <w:b/>
          <w:bCs/>
        </w:rPr>
        <w:t xml:space="preserve"> megnevezése (ahol oktatják):</w:t>
      </w:r>
      <w:r w:rsidRPr="00BC6E7B">
        <w:rPr>
          <w:rFonts w:ascii="Times New Roman" w:eastAsia="Times New Roman" w:hAnsi="Times New Roman" w:cs="Times New Roman"/>
          <w:bCs/>
        </w:rPr>
        <w:t xml:space="preserve"> </w:t>
      </w:r>
      <w:r w:rsidRPr="00B50509">
        <w:rPr>
          <w:rFonts w:ascii="Times New Roman" w:eastAsia="Times New Roman" w:hAnsi="Times New Roman" w:cs="Times New Roman"/>
          <w:bCs/>
        </w:rPr>
        <w:t xml:space="preserve">Katonai logisztika alapképzési szak, </w:t>
      </w:r>
      <w:r>
        <w:rPr>
          <w:rFonts w:ascii="Times New Roman" w:eastAsia="Times New Roman" w:hAnsi="Times New Roman" w:cs="Times New Roman"/>
          <w:bCs/>
        </w:rPr>
        <w:t>Katonai pénzügyi specializáció</w:t>
      </w:r>
    </w:p>
    <w:p w:rsidR="00F2027B" w:rsidRDefault="00F2027B" w:rsidP="00980876">
      <w:pPr>
        <w:widowControl w:val="0"/>
        <w:numPr>
          <w:ilvl w:val="0"/>
          <w:numId w:val="404"/>
        </w:numPr>
        <w:tabs>
          <w:tab w:val="clear" w:pos="720"/>
          <w:tab w:val="num" w:pos="643"/>
        </w:tabs>
        <w:spacing w:before="120" w:after="120" w:line="240" w:lineRule="auto"/>
        <w:ind w:left="643"/>
        <w:jc w:val="both"/>
        <w:rPr>
          <w:rFonts w:ascii="Times New Roman" w:eastAsia="Times New Roman" w:hAnsi="Times New Roman" w:cs="Times New Roman"/>
          <w:bCs/>
        </w:rPr>
      </w:pPr>
      <w:r w:rsidRPr="007E08E9">
        <w:rPr>
          <w:rFonts w:ascii="Times New Roman" w:eastAsia="Times New Roman" w:hAnsi="Times New Roman" w:cs="Times New Roman"/>
          <w:b/>
          <w:bCs/>
        </w:rPr>
        <w:t>Az oktatásért felelős oktatási szervezeti egység megnevezése:</w:t>
      </w:r>
      <w:r w:rsidRPr="007E08E9">
        <w:rPr>
          <w:bCs/>
        </w:rPr>
        <w:t xml:space="preserve"> </w:t>
      </w:r>
      <w:r w:rsidRPr="007E08E9">
        <w:rPr>
          <w:rFonts w:ascii="Times New Roman" w:eastAsia="Times New Roman" w:hAnsi="Times New Roman" w:cs="Times New Roman"/>
          <w:bCs/>
        </w:rPr>
        <w:t xml:space="preserve">NKE Hadtudományi és Honvédtisztképző Kar, Hadtáp, Pénzügyi és Katonai Közlekedési Tanszék </w:t>
      </w:r>
    </w:p>
    <w:p w:rsidR="00F2027B" w:rsidRPr="007E08E9" w:rsidRDefault="00F2027B" w:rsidP="00980876">
      <w:pPr>
        <w:widowControl w:val="0"/>
        <w:numPr>
          <w:ilvl w:val="0"/>
          <w:numId w:val="404"/>
        </w:numPr>
        <w:tabs>
          <w:tab w:val="clear" w:pos="720"/>
          <w:tab w:val="num" w:pos="643"/>
        </w:tabs>
        <w:spacing w:before="120" w:after="120" w:line="240" w:lineRule="auto"/>
        <w:ind w:left="643"/>
        <w:jc w:val="both"/>
        <w:rPr>
          <w:rFonts w:ascii="Times New Roman" w:eastAsia="Times New Roman" w:hAnsi="Times New Roman" w:cs="Times New Roman"/>
          <w:bCs/>
        </w:rPr>
      </w:pPr>
      <w:r w:rsidRPr="007E08E9">
        <w:rPr>
          <w:rFonts w:ascii="Times New Roman" w:eastAsia="Times New Roman" w:hAnsi="Times New Roman" w:cs="Times New Roman"/>
          <w:b/>
          <w:bCs/>
        </w:rPr>
        <w:t>A tantárgyfelelős oktató neve, beosztása, tudományos fokozata:</w:t>
      </w:r>
      <w:r w:rsidRPr="007E08E9">
        <w:rPr>
          <w:rFonts w:ascii="Times New Roman" w:eastAsia="Times New Roman" w:hAnsi="Times New Roman" w:cs="Times New Roman"/>
          <w:bCs/>
        </w:rPr>
        <w:t xml:space="preserve"> </w:t>
      </w:r>
      <w:r w:rsidRPr="00C049A5">
        <w:rPr>
          <w:rFonts w:ascii="Times New Roman" w:eastAsia="Times New Roman" w:hAnsi="Times New Roman" w:cs="Times New Roman"/>
          <w:bCs/>
        </w:rPr>
        <w:t>Dr. Balla Tibor, PhD</w:t>
      </w:r>
    </w:p>
    <w:p w:rsidR="00F2027B" w:rsidRPr="00BC6E7B" w:rsidRDefault="00F2027B" w:rsidP="00980876">
      <w:pPr>
        <w:widowControl w:val="0"/>
        <w:numPr>
          <w:ilvl w:val="0"/>
          <w:numId w:val="404"/>
        </w:numPr>
        <w:tabs>
          <w:tab w:val="clear" w:pos="720"/>
          <w:tab w:val="num" w:pos="643"/>
        </w:tabs>
        <w:spacing w:before="120" w:after="120" w:line="240" w:lineRule="auto"/>
        <w:ind w:left="426" w:hanging="142"/>
        <w:jc w:val="both"/>
        <w:rPr>
          <w:rFonts w:ascii="Times New Roman" w:eastAsia="Times New Roman" w:hAnsi="Times New Roman" w:cs="Times New Roman"/>
          <w:bCs/>
        </w:rPr>
      </w:pPr>
      <w:r w:rsidRPr="00BC6E7B">
        <w:rPr>
          <w:rFonts w:ascii="Times New Roman" w:eastAsia="Times New Roman" w:hAnsi="Times New Roman" w:cs="Times New Roman"/>
          <w:b/>
          <w:bCs/>
        </w:rPr>
        <w:t>A tanórák száma és típusa</w:t>
      </w:r>
    </w:p>
    <w:p w:rsidR="00F2027B" w:rsidRPr="00BC6E7B" w:rsidRDefault="00F2027B" w:rsidP="00980876">
      <w:pPr>
        <w:widowControl w:val="0"/>
        <w:numPr>
          <w:ilvl w:val="1"/>
          <w:numId w:val="404"/>
        </w:numPr>
        <w:tabs>
          <w:tab w:val="clear" w:pos="3977"/>
          <w:tab w:val="num" w:pos="709"/>
          <w:tab w:val="num" w:pos="999"/>
          <w:tab w:val="num" w:pos="2069"/>
        </w:tabs>
        <w:spacing w:before="120" w:after="120" w:line="240" w:lineRule="auto"/>
        <w:ind w:left="851" w:hanging="425"/>
        <w:jc w:val="both"/>
        <w:rPr>
          <w:rFonts w:ascii="Times New Roman" w:eastAsia="Times New Roman" w:hAnsi="Times New Roman" w:cs="Times New Roman"/>
          <w:bCs/>
        </w:rPr>
      </w:pPr>
      <w:r w:rsidRPr="00BC6E7B">
        <w:rPr>
          <w:rFonts w:ascii="Times New Roman" w:eastAsia="Times New Roman" w:hAnsi="Times New Roman" w:cs="Times New Roman"/>
          <w:bCs/>
        </w:rPr>
        <w:t>össz óraszám/félév:</w:t>
      </w:r>
    </w:p>
    <w:p w:rsidR="00F2027B" w:rsidRDefault="00F2027B" w:rsidP="00980876">
      <w:pPr>
        <w:pStyle w:val="Listaszerbekezds"/>
        <w:widowControl w:val="0"/>
        <w:numPr>
          <w:ilvl w:val="2"/>
          <w:numId w:val="402"/>
        </w:numPr>
        <w:tabs>
          <w:tab w:val="num" w:pos="1800"/>
        </w:tabs>
        <w:spacing w:before="120" w:after="120" w:line="240" w:lineRule="auto"/>
        <w:ind w:left="1276"/>
        <w:jc w:val="both"/>
        <w:rPr>
          <w:rFonts w:ascii="Times New Roman" w:eastAsia="Times New Roman" w:hAnsi="Times New Roman" w:cs="Times New Roman"/>
          <w:bCs/>
        </w:rPr>
      </w:pPr>
      <w:r w:rsidRPr="0060176A">
        <w:rPr>
          <w:rFonts w:ascii="Times New Roman" w:eastAsia="Times New Roman" w:hAnsi="Times New Roman" w:cs="Times New Roman"/>
          <w:bCs/>
        </w:rPr>
        <w:t>nappali munkarend: 42 (14 EA + 0 SZ + 28 GY)</w:t>
      </w:r>
    </w:p>
    <w:p w:rsidR="00F2027B" w:rsidRPr="0060176A" w:rsidRDefault="00F2027B" w:rsidP="00980876">
      <w:pPr>
        <w:pStyle w:val="Listaszerbekezds"/>
        <w:widowControl w:val="0"/>
        <w:numPr>
          <w:ilvl w:val="2"/>
          <w:numId w:val="402"/>
        </w:numPr>
        <w:tabs>
          <w:tab w:val="num" w:pos="1800"/>
        </w:tabs>
        <w:spacing w:before="120" w:after="120" w:line="240" w:lineRule="auto"/>
        <w:ind w:left="1276"/>
        <w:jc w:val="both"/>
        <w:rPr>
          <w:rFonts w:ascii="Times New Roman" w:eastAsia="Times New Roman" w:hAnsi="Times New Roman" w:cs="Times New Roman"/>
          <w:bCs/>
        </w:rPr>
      </w:pPr>
      <w:r w:rsidRPr="0060176A">
        <w:rPr>
          <w:rFonts w:ascii="Times New Roman" w:eastAsia="Times New Roman" w:hAnsi="Times New Roman" w:cs="Times New Roman"/>
          <w:bCs/>
        </w:rPr>
        <w:t>levelező munkarend: - (- EA + - SZ + - GY)</w:t>
      </w:r>
    </w:p>
    <w:p w:rsidR="00F2027B" w:rsidRDefault="00F2027B" w:rsidP="00980876">
      <w:pPr>
        <w:widowControl w:val="0"/>
        <w:numPr>
          <w:ilvl w:val="1"/>
          <w:numId w:val="404"/>
        </w:numPr>
        <w:tabs>
          <w:tab w:val="clear" w:pos="3977"/>
          <w:tab w:val="num" w:pos="709"/>
          <w:tab w:val="num" w:pos="999"/>
          <w:tab w:val="num" w:pos="2069"/>
        </w:tabs>
        <w:spacing w:before="120" w:after="120" w:line="240" w:lineRule="auto"/>
        <w:ind w:left="851" w:hanging="425"/>
        <w:jc w:val="both"/>
        <w:rPr>
          <w:rFonts w:ascii="Times New Roman" w:eastAsia="Times New Roman" w:hAnsi="Times New Roman" w:cs="Times New Roman"/>
          <w:bCs/>
        </w:rPr>
      </w:pPr>
      <w:r w:rsidRPr="00BC6E7B">
        <w:rPr>
          <w:rFonts w:ascii="Times New Roman" w:eastAsia="Times New Roman" w:hAnsi="Times New Roman" w:cs="Times New Roman"/>
          <w:bCs/>
        </w:rPr>
        <w:t xml:space="preserve">heti óraszám - nappali munkarend: </w:t>
      </w:r>
      <w:r>
        <w:rPr>
          <w:rFonts w:ascii="Times New Roman" w:eastAsia="Times New Roman" w:hAnsi="Times New Roman" w:cs="Times New Roman"/>
          <w:bCs/>
        </w:rPr>
        <w:t>3</w:t>
      </w:r>
    </w:p>
    <w:p w:rsidR="00F2027B" w:rsidRDefault="00F2027B" w:rsidP="00980876">
      <w:pPr>
        <w:widowControl w:val="0"/>
        <w:numPr>
          <w:ilvl w:val="1"/>
          <w:numId w:val="404"/>
        </w:numPr>
        <w:tabs>
          <w:tab w:val="clear" w:pos="3977"/>
          <w:tab w:val="num" w:pos="709"/>
          <w:tab w:val="num" w:pos="999"/>
          <w:tab w:val="num" w:pos="2069"/>
        </w:tabs>
        <w:spacing w:before="120" w:after="120" w:line="240" w:lineRule="auto"/>
        <w:ind w:left="851" w:hanging="425"/>
        <w:jc w:val="both"/>
        <w:rPr>
          <w:rFonts w:ascii="Times New Roman" w:eastAsia="Times New Roman" w:hAnsi="Times New Roman" w:cs="Times New Roman"/>
          <w:bCs/>
        </w:rPr>
      </w:pPr>
      <w:r w:rsidRPr="00A16045">
        <w:rPr>
          <w:rFonts w:ascii="Times New Roman" w:hAnsi="Times New Roman" w:cs="Times New Roman"/>
        </w:rPr>
        <w:t>Az ismeret átadásában alkalmazandó további sajátos módok, jellemzők</w:t>
      </w:r>
      <w:r>
        <w:rPr>
          <w:rFonts w:ascii="Times New Roman" w:hAnsi="Times New Roman" w:cs="Times New Roman"/>
        </w:rPr>
        <w:t>: -</w:t>
      </w:r>
    </w:p>
    <w:p w:rsidR="00F2027B" w:rsidRPr="00BC6E7B" w:rsidRDefault="00F2027B" w:rsidP="00980876">
      <w:pPr>
        <w:widowControl w:val="0"/>
        <w:numPr>
          <w:ilvl w:val="0"/>
          <w:numId w:val="404"/>
        </w:numPr>
        <w:tabs>
          <w:tab w:val="clear" w:pos="720"/>
          <w:tab w:val="num" w:pos="643"/>
        </w:tabs>
        <w:spacing w:before="120" w:after="120" w:line="240" w:lineRule="auto"/>
        <w:ind w:left="643"/>
        <w:jc w:val="both"/>
        <w:rPr>
          <w:rFonts w:ascii="Times New Roman" w:eastAsia="Times New Roman" w:hAnsi="Times New Roman" w:cs="Times New Roman"/>
          <w:bCs/>
        </w:rPr>
      </w:pPr>
      <w:r w:rsidRPr="00BC6E7B">
        <w:rPr>
          <w:rFonts w:ascii="Times New Roman" w:eastAsia="Times New Roman" w:hAnsi="Times New Roman" w:cs="Times New Roman"/>
          <w:b/>
          <w:bCs/>
        </w:rPr>
        <w:t>A tantárgy szakmai tartalma (magyarul):</w:t>
      </w:r>
      <w:r w:rsidRPr="00A6100B">
        <w:rPr>
          <w:bCs/>
        </w:rPr>
        <w:t xml:space="preserve"> </w:t>
      </w:r>
      <w:r w:rsidRPr="00E3281F">
        <w:rPr>
          <w:rFonts w:ascii="Times New Roman" w:eastAsia="Times New Roman" w:hAnsi="Times New Roman" w:cs="Times New Roman"/>
          <w:bCs/>
        </w:rPr>
        <w:t>Nemzetközi feladatok pénzügyi biztosítása. Magyarország hozzájárulása a NATO és EU közös finanszírozású pénzügyi alapjaihoz.</w:t>
      </w:r>
      <w:r>
        <w:rPr>
          <w:rFonts w:ascii="Times New Roman" w:eastAsia="Times New Roman" w:hAnsi="Times New Roman" w:cs="Times New Roman"/>
          <w:bCs/>
        </w:rPr>
        <w:t xml:space="preserve"> </w:t>
      </w:r>
      <w:r w:rsidRPr="00E3281F">
        <w:rPr>
          <w:rFonts w:ascii="Times New Roman" w:eastAsia="Times New Roman" w:hAnsi="Times New Roman" w:cs="Times New Roman"/>
          <w:bCs/>
        </w:rPr>
        <w:t>Ideiglenes és tartós (nem fegyveres) külföldi szolgálatok, tanulmányok pénzügyi biztosítása.</w:t>
      </w:r>
    </w:p>
    <w:p w:rsidR="00F2027B" w:rsidRPr="00BC6E7B" w:rsidRDefault="00F2027B" w:rsidP="00F2027B">
      <w:pPr>
        <w:widowControl w:val="0"/>
        <w:spacing w:before="120" w:after="120" w:line="240" w:lineRule="auto"/>
        <w:ind w:left="643"/>
        <w:jc w:val="both"/>
        <w:rPr>
          <w:rFonts w:ascii="Times New Roman" w:eastAsia="Times New Roman" w:hAnsi="Times New Roman" w:cs="Times New Roman"/>
          <w:bCs/>
          <w:lang w:val="en-GB"/>
        </w:rPr>
      </w:pPr>
      <w:r w:rsidRPr="00BC6E7B">
        <w:rPr>
          <w:rFonts w:ascii="Times New Roman" w:eastAsia="Times New Roman" w:hAnsi="Times New Roman" w:cs="Times New Roman"/>
          <w:b/>
          <w:bCs/>
        </w:rPr>
        <w:t>A tantárgy szakmai tartalma (angolul) (</w:t>
      </w:r>
      <w:r w:rsidRPr="00BC6E7B">
        <w:rPr>
          <w:rFonts w:ascii="Times New Roman" w:eastAsia="Times New Roman" w:hAnsi="Times New Roman" w:cs="Times New Roman"/>
          <w:b/>
          <w:bCs/>
          <w:lang w:val="en-US"/>
        </w:rPr>
        <w:t>Course description</w:t>
      </w:r>
      <w:r w:rsidRPr="00BC6E7B">
        <w:rPr>
          <w:rFonts w:ascii="Times New Roman" w:eastAsia="Times New Roman" w:hAnsi="Times New Roman" w:cs="Times New Roman"/>
          <w:b/>
          <w:bCs/>
        </w:rPr>
        <w:t xml:space="preserve">): </w:t>
      </w:r>
      <w:r w:rsidRPr="00E3281F">
        <w:rPr>
          <w:rFonts w:ascii="Times New Roman" w:eastAsia="Times New Roman" w:hAnsi="Times New Roman" w:cs="Times New Roman"/>
          <w:bCs/>
          <w:lang w:val="en-US"/>
        </w:rPr>
        <w:t>The financial insurance of international tasks. Hungary's contribution to the funds of NATO and the EU. The tasks of financial delegations of NATO and EU</w:t>
      </w:r>
      <w:r w:rsidRPr="00945117">
        <w:rPr>
          <w:rFonts w:ascii="Times New Roman" w:eastAsia="Times New Roman" w:hAnsi="Times New Roman" w:cs="Times New Roman"/>
          <w:bCs/>
        </w:rPr>
        <w:t>.</w:t>
      </w:r>
      <w:r>
        <w:rPr>
          <w:rFonts w:ascii="Times New Roman" w:eastAsia="Times New Roman" w:hAnsi="Times New Roman" w:cs="Times New Roman"/>
          <w:bCs/>
        </w:rPr>
        <w:t xml:space="preserve"> </w:t>
      </w:r>
      <w:r>
        <w:rPr>
          <w:rFonts w:ascii="Times New Roman" w:eastAsia="Times New Roman" w:hAnsi="Times New Roman" w:cs="Times New Roman"/>
          <w:bCs/>
          <w:lang w:val="en-US"/>
        </w:rPr>
        <w:t>T</w:t>
      </w:r>
      <w:r w:rsidRPr="00E3281F">
        <w:rPr>
          <w:rFonts w:ascii="Times New Roman" w:eastAsia="Times New Roman" w:hAnsi="Times New Roman" w:cs="Times New Roman"/>
          <w:bCs/>
          <w:lang w:val="en-US"/>
        </w:rPr>
        <w:t>he provision of temporary and permanent (non-armed) foreign services and studies.</w:t>
      </w:r>
    </w:p>
    <w:p w:rsidR="00F2027B" w:rsidRPr="00740A68" w:rsidRDefault="00F2027B" w:rsidP="00980876">
      <w:pPr>
        <w:pStyle w:val="Listaszerbekezds"/>
        <w:widowControl w:val="0"/>
        <w:numPr>
          <w:ilvl w:val="0"/>
          <w:numId w:val="404"/>
        </w:numPr>
        <w:tabs>
          <w:tab w:val="clear" w:pos="720"/>
          <w:tab w:val="num" w:pos="426"/>
        </w:tabs>
        <w:spacing w:before="120" w:after="120" w:line="240" w:lineRule="auto"/>
        <w:ind w:left="643"/>
        <w:jc w:val="both"/>
        <w:rPr>
          <w:rFonts w:ascii="Times New Roman" w:eastAsia="Times New Roman" w:hAnsi="Times New Roman" w:cs="Times New Roman"/>
          <w:bCs/>
        </w:rPr>
      </w:pPr>
      <w:r w:rsidRPr="00740A68">
        <w:rPr>
          <w:rFonts w:ascii="Times New Roman" w:eastAsia="Times New Roman" w:hAnsi="Times New Roman" w:cs="Times New Roman"/>
          <w:b/>
          <w:bCs/>
        </w:rPr>
        <w:t xml:space="preserve">Elérendő kompetenciák (magyarul): </w:t>
      </w:r>
    </w:p>
    <w:p w:rsidR="00F2027B" w:rsidRDefault="00F2027B" w:rsidP="00F2027B">
      <w:pPr>
        <w:widowControl w:val="0"/>
        <w:spacing w:before="120" w:after="120" w:line="240" w:lineRule="auto"/>
        <w:ind w:left="426"/>
        <w:jc w:val="both"/>
        <w:rPr>
          <w:rFonts w:ascii="Times New Roman" w:eastAsia="Times New Roman" w:hAnsi="Times New Roman" w:cs="Times New Roman"/>
          <w:bCs/>
        </w:rPr>
      </w:pPr>
      <w:r w:rsidRPr="00BC6E7B">
        <w:rPr>
          <w:rFonts w:ascii="Times New Roman" w:eastAsia="Times New Roman" w:hAnsi="Times New Roman" w:cs="Times New Roman"/>
          <w:b/>
          <w:bCs/>
        </w:rPr>
        <w:t>Tudása:</w:t>
      </w:r>
      <w:r>
        <w:rPr>
          <w:rFonts w:ascii="Times New Roman" w:eastAsia="Times New Roman" w:hAnsi="Times New Roman" w:cs="Times New Roman"/>
          <w:bCs/>
        </w:rPr>
        <w:t xml:space="preserve"> </w:t>
      </w:r>
    </w:p>
    <w:p w:rsidR="00F2027B" w:rsidRPr="0060176A" w:rsidRDefault="00F2027B" w:rsidP="00980876">
      <w:pPr>
        <w:pStyle w:val="Listaszerbekezds"/>
        <w:widowControl w:val="0"/>
        <w:numPr>
          <w:ilvl w:val="0"/>
          <w:numId w:val="403"/>
        </w:numPr>
        <w:spacing w:before="120" w:after="120" w:line="240" w:lineRule="auto"/>
        <w:ind w:hanging="219"/>
        <w:jc w:val="both"/>
        <w:rPr>
          <w:rFonts w:ascii="Times New Roman" w:eastAsia="Times New Roman" w:hAnsi="Times New Roman" w:cs="Times New Roman"/>
          <w:bCs/>
        </w:rPr>
      </w:pPr>
      <w:r w:rsidRPr="0060176A">
        <w:rPr>
          <w:rFonts w:ascii="Times New Roman" w:eastAsia="Times New Roman" w:hAnsi="Times New Roman" w:cs="Times New Roman"/>
          <w:bCs/>
        </w:rPr>
        <w:t>Ismeri a Honvédelmi Minisztérium illetményrendszerét, a személyi állomány pénzügyi juttatásaival kapcsolatos feladatokat, a kormánytisztviselők, közalkalmazottak és a munkavállalók speciális foglalkoztatási szabályait és az illetménygazdálkodás sajátosságait.</w:t>
      </w:r>
    </w:p>
    <w:p w:rsidR="00F2027B" w:rsidRPr="0060176A" w:rsidRDefault="00F2027B" w:rsidP="00980876">
      <w:pPr>
        <w:pStyle w:val="Listaszerbekezds"/>
        <w:widowControl w:val="0"/>
        <w:numPr>
          <w:ilvl w:val="0"/>
          <w:numId w:val="403"/>
        </w:numPr>
        <w:spacing w:before="120" w:after="120" w:line="240" w:lineRule="auto"/>
        <w:ind w:hanging="219"/>
        <w:jc w:val="both"/>
        <w:rPr>
          <w:rFonts w:ascii="Times New Roman" w:eastAsia="Times New Roman" w:hAnsi="Times New Roman" w:cs="Times New Roman"/>
          <w:bCs/>
        </w:rPr>
      </w:pPr>
      <w:r w:rsidRPr="0060176A">
        <w:rPr>
          <w:rFonts w:ascii="Times New Roman" w:eastAsia="Times New Roman" w:hAnsi="Times New Roman" w:cs="Times New Roman"/>
          <w:bCs/>
        </w:rPr>
        <w:t>Tisztában van a nemzetközi feladatok pénzügyi biztosításával kapcsolatos feladatokkal.</w:t>
      </w:r>
    </w:p>
    <w:p w:rsidR="00F2027B" w:rsidRDefault="00F2027B" w:rsidP="00F2027B">
      <w:pPr>
        <w:widowControl w:val="0"/>
        <w:spacing w:before="120" w:after="120" w:line="240" w:lineRule="auto"/>
        <w:ind w:left="426"/>
        <w:jc w:val="both"/>
        <w:rPr>
          <w:rFonts w:ascii="Times New Roman" w:eastAsia="Times New Roman" w:hAnsi="Times New Roman" w:cs="Times New Roman"/>
          <w:bCs/>
        </w:rPr>
      </w:pPr>
      <w:r w:rsidRPr="00BC6E7B">
        <w:rPr>
          <w:rFonts w:ascii="Times New Roman" w:eastAsia="Times New Roman" w:hAnsi="Times New Roman" w:cs="Times New Roman"/>
          <w:b/>
          <w:bCs/>
        </w:rPr>
        <w:t>Képességei:</w:t>
      </w:r>
      <w:r>
        <w:rPr>
          <w:rFonts w:ascii="Times New Roman" w:eastAsia="Times New Roman" w:hAnsi="Times New Roman" w:cs="Times New Roman"/>
          <w:bCs/>
        </w:rPr>
        <w:t xml:space="preserve"> </w:t>
      </w:r>
    </w:p>
    <w:p w:rsidR="00F2027B" w:rsidRPr="0060176A" w:rsidRDefault="00F2027B" w:rsidP="00980876">
      <w:pPr>
        <w:pStyle w:val="Listaszerbekezds"/>
        <w:widowControl w:val="0"/>
        <w:numPr>
          <w:ilvl w:val="0"/>
          <w:numId w:val="403"/>
        </w:numPr>
        <w:spacing w:before="120" w:after="120" w:line="240" w:lineRule="auto"/>
        <w:ind w:hanging="219"/>
        <w:jc w:val="both"/>
        <w:rPr>
          <w:rFonts w:ascii="Times New Roman" w:eastAsia="Times New Roman" w:hAnsi="Times New Roman" w:cs="Times New Roman"/>
          <w:bCs/>
        </w:rPr>
      </w:pPr>
      <w:r w:rsidRPr="0060176A">
        <w:rPr>
          <w:rFonts w:ascii="Times New Roman" w:eastAsia="Times New Roman" w:hAnsi="Times New Roman" w:cs="Times New Roman"/>
          <w:bCs/>
        </w:rPr>
        <w:t>Képes megtervezni egy nemzetközi gyakorlat, békeművelet költségvetését.</w:t>
      </w:r>
    </w:p>
    <w:p w:rsidR="00F2027B" w:rsidRDefault="00F2027B" w:rsidP="00F2027B">
      <w:pPr>
        <w:widowControl w:val="0"/>
        <w:spacing w:before="120" w:after="120" w:line="240" w:lineRule="auto"/>
        <w:ind w:left="426"/>
        <w:jc w:val="both"/>
        <w:rPr>
          <w:rFonts w:ascii="Times New Roman" w:eastAsia="Times New Roman" w:hAnsi="Times New Roman" w:cs="Times New Roman"/>
          <w:bCs/>
        </w:rPr>
      </w:pPr>
      <w:r w:rsidRPr="00BC6E7B">
        <w:rPr>
          <w:rFonts w:ascii="Times New Roman" w:eastAsia="Times New Roman" w:hAnsi="Times New Roman" w:cs="Times New Roman"/>
          <w:b/>
          <w:bCs/>
        </w:rPr>
        <w:t>Attitűdje:</w:t>
      </w:r>
      <w:r w:rsidRPr="00BC6E7B">
        <w:rPr>
          <w:rFonts w:ascii="Times New Roman" w:eastAsia="Times New Roman" w:hAnsi="Times New Roman" w:cs="Times New Roman"/>
          <w:bCs/>
        </w:rPr>
        <w:t xml:space="preserve"> </w:t>
      </w:r>
    </w:p>
    <w:p w:rsidR="00F2027B" w:rsidRPr="0060176A" w:rsidRDefault="00F2027B" w:rsidP="00980876">
      <w:pPr>
        <w:pStyle w:val="Listaszerbekezds"/>
        <w:widowControl w:val="0"/>
        <w:numPr>
          <w:ilvl w:val="0"/>
          <w:numId w:val="403"/>
        </w:numPr>
        <w:spacing w:before="120" w:after="120" w:line="240" w:lineRule="auto"/>
        <w:ind w:hanging="219"/>
        <w:jc w:val="both"/>
        <w:rPr>
          <w:rFonts w:ascii="Times New Roman" w:eastAsia="Times New Roman" w:hAnsi="Times New Roman" w:cs="Times New Roman"/>
          <w:bCs/>
        </w:rPr>
      </w:pPr>
      <w:r w:rsidRPr="0060176A">
        <w:rPr>
          <w:rFonts w:ascii="Times New Roman" w:eastAsia="Times New Roman" w:hAnsi="Times New Roman" w:cs="Times New Roman"/>
          <w:bCs/>
        </w:rPr>
        <w:t>Különös figyelmet fordít a pénzügyi területnél elvárt jogszerű, szabálykövető, pontos munkavégzésre.</w:t>
      </w:r>
    </w:p>
    <w:p w:rsidR="00F2027B" w:rsidRDefault="00F2027B" w:rsidP="00F2027B">
      <w:pPr>
        <w:widowControl w:val="0"/>
        <w:spacing w:before="120" w:after="120" w:line="240" w:lineRule="auto"/>
        <w:ind w:left="426"/>
        <w:jc w:val="both"/>
        <w:rPr>
          <w:rFonts w:ascii="Times New Roman" w:eastAsia="Times New Roman" w:hAnsi="Times New Roman" w:cs="Times New Roman"/>
          <w:bCs/>
        </w:rPr>
      </w:pPr>
      <w:r w:rsidRPr="00BC6E7B">
        <w:rPr>
          <w:rFonts w:ascii="Times New Roman" w:eastAsia="Times New Roman" w:hAnsi="Times New Roman" w:cs="Times New Roman"/>
          <w:b/>
          <w:bCs/>
        </w:rPr>
        <w:t>Autonómiája és felelőssége:</w:t>
      </w:r>
      <w:r w:rsidRPr="00BC6E7B">
        <w:rPr>
          <w:rFonts w:ascii="Times New Roman" w:eastAsia="Times New Roman" w:hAnsi="Times New Roman" w:cs="Times New Roman"/>
          <w:bCs/>
        </w:rPr>
        <w:t xml:space="preserve"> </w:t>
      </w:r>
    </w:p>
    <w:p w:rsidR="00F2027B" w:rsidRPr="0060176A" w:rsidRDefault="00F2027B" w:rsidP="00980876">
      <w:pPr>
        <w:pStyle w:val="Listaszerbekezds"/>
        <w:widowControl w:val="0"/>
        <w:numPr>
          <w:ilvl w:val="0"/>
          <w:numId w:val="403"/>
        </w:numPr>
        <w:spacing w:before="120" w:after="120" w:line="240" w:lineRule="auto"/>
        <w:ind w:hanging="219"/>
        <w:jc w:val="both"/>
        <w:rPr>
          <w:rFonts w:ascii="Times New Roman" w:eastAsia="Times New Roman" w:hAnsi="Times New Roman" w:cs="Times New Roman"/>
          <w:bCs/>
        </w:rPr>
      </w:pPr>
      <w:r w:rsidRPr="0060176A">
        <w:rPr>
          <w:rFonts w:ascii="Times New Roman" w:eastAsia="Times New Roman" w:hAnsi="Times New Roman" w:cs="Times New Roman"/>
          <w:bCs/>
        </w:rPr>
        <w:t>A gazdálkodás támogató és pénzügyi ellátó referatúra feladatkörébe tartozó gazdálkodási kérdésekben önállóan döntéseket hoz.</w:t>
      </w:r>
    </w:p>
    <w:p w:rsidR="00F2027B" w:rsidRPr="00BC6E7B" w:rsidRDefault="00F2027B" w:rsidP="00F2027B">
      <w:pPr>
        <w:widowControl w:val="0"/>
        <w:spacing w:before="120" w:after="120" w:line="240" w:lineRule="auto"/>
        <w:ind w:left="426"/>
        <w:jc w:val="both"/>
        <w:rPr>
          <w:rFonts w:ascii="Times New Roman" w:eastAsia="Times New Roman" w:hAnsi="Times New Roman" w:cs="Times New Roman"/>
          <w:b/>
          <w:bCs/>
          <w:lang w:val="en-US"/>
        </w:rPr>
      </w:pPr>
      <w:r w:rsidRPr="00BC6E7B">
        <w:rPr>
          <w:rFonts w:ascii="Times New Roman" w:eastAsia="Times New Roman" w:hAnsi="Times New Roman" w:cs="Times New Roman"/>
          <w:b/>
          <w:bCs/>
        </w:rPr>
        <w:lastRenderedPageBreak/>
        <w:t>Elérendő kompetenciák (angolul) (</w:t>
      </w:r>
      <w:r w:rsidRPr="00BC6E7B">
        <w:rPr>
          <w:rFonts w:ascii="Times New Roman" w:eastAsia="Times New Roman" w:hAnsi="Times New Roman" w:cs="Times New Roman"/>
          <w:b/>
          <w:bCs/>
          <w:lang w:val="en-US"/>
        </w:rPr>
        <w:t xml:space="preserve">Competences – English): </w:t>
      </w:r>
    </w:p>
    <w:p w:rsidR="00F2027B" w:rsidRDefault="00F2027B" w:rsidP="00F2027B">
      <w:pPr>
        <w:widowControl w:val="0"/>
        <w:spacing w:before="120" w:after="120" w:line="240" w:lineRule="auto"/>
        <w:ind w:left="426"/>
        <w:jc w:val="both"/>
        <w:rPr>
          <w:rFonts w:ascii="Times New Roman" w:eastAsia="Times New Roman" w:hAnsi="Times New Roman" w:cs="Times New Roman"/>
          <w:b/>
          <w:lang w:val="en-GB"/>
        </w:rPr>
      </w:pPr>
      <w:r w:rsidRPr="00BC6E7B">
        <w:rPr>
          <w:rFonts w:ascii="Times New Roman" w:eastAsia="Times New Roman" w:hAnsi="Times New Roman" w:cs="Times New Roman"/>
          <w:b/>
          <w:lang w:val="en-GB"/>
        </w:rPr>
        <w:t>Knowledge</w:t>
      </w:r>
      <w:r w:rsidRPr="002A0767">
        <w:rPr>
          <w:rFonts w:ascii="Times New Roman" w:eastAsia="Times New Roman" w:hAnsi="Times New Roman" w:cs="Times New Roman"/>
          <w:b/>
          <w:lang w:val="en-GB"/>
        </w:rPr>
        <w:t xml:space="preserve">: </w:t>
      </w:r>
    </w:p>
    <w:p w:rsidR="00F2027B" w:rsidRPr="0060176A" w:rsidRDefault="00F2027B" w:rsidP="00980876">
      <w:pPr>
        <w:pStyle w:val="Listaszerbekezds"/>
        <w:widowControl w:val="0"/>
        <w:numPr>
          <w:ilvl w:val="0"/>
          <w:numId w:val="403"/>
        </w:numPr>
        <w:spacing w:before="120" w:after="120" w:line="240" w:lineRule="auto"/>
        <w:ind w:hanging="219"/>
        <w:jc w:val="both"/>
        <w:rPr>
          <w:rFonts w:ascii="Times New Roman" w:eastAsia="Times New Roman" w:hAnsi="Times New Roman" w:cs="Times New Roman"/>
          <w:lang w:val="en-GB"/>
        </w:rPr>
      </w:pPr>
      <w:r w:rsidRPr="0060176A">
        <w:rPr>
          <w:rFonts w:ascii="Times New Roman" w:eastAsia="Times New Roman" w:hAnsi="Times New Roman" w:cs="Times New Roman"/>
          <w:lang w:val="en-GB"/>
        </w:rPr>
        <w:t>The student are familiar with the salary system of the Ministry of Defence, the tasks related to the financial allowances of the personnel, the special employment rules of the government officials, the civil servants and the employees and the special features of the salary management.</w:t>
      </w:r>
    </w:p>
    <w:p w:rsidR="00F2027B" w:rsidRPr="0060176A" w:rsidRDefault="00F2027B" w:rsidP="00980876">
      <w:pPr>
        <w:pStyle w:val="Listaszerbekezds"/>
        <w:widowControl w:val="0"/>
        <w:numPr>
          <w:ilvl w:val="0"/>
          <w:numId w:val="403"/>
        </w:numPr>
        <w:spacing w:before="120" w:after="120" w:line="240" w:lineRule="auto"/>
        <w:ind w:hanging="219"/>
        <w:jc w:val="both"/>
        <w:rPr>
          <w:rFonts w:ascii="Times New Roman" w:eastAsia="Times New Roman" w:hAnsi="Times New Roman" w:cs="Times New Roman"/>
          <w:lang w:val="en-GB"/>
        </w:rPr>
      </w:pPr>
      <w:r w:rsidRPr="0060176A">
        <w:rPr>
          <w:rFonts w:ascii="Times New Roman" w:eastAsia="Times New Roman" w:hAnsi="Times New Roman" w:cs="Times New Roman"/>
          <w:lang w:val="en-GB"/>
        </w:rPr>
        <w:t>He/She is aware of the tasks of financial supply for international tasks.</w:t>
      </w:r>
    </w:p>
    <w:p w:rsidR="00F2027B" w:rsidRDefault="00F2027B" w:rsidP="00F2027B">
      <w:pPr>
        <w:widowControl w:val="0"/>
        <w:spacing w:before="120" w:after="120" w:line="240" w:lineRule="auto"/>
        <w:ind w:left="426"/>
        <w:jc w:val="both"/>
        <w:rPr>
          <w:rFonts w:ascii="Times New Roman" w:eastAsia="Times New Roman" w:hAnsi="Times New Roman" w:cs="Times New Roman"/>
          <w:b/>
          <w:lang w:val="en-GB"/>
        </w:rPr>
      </w:pPr>
      <w:r w:rsidRPr="00BC6E7B">
        <w:rPr>
          <w:rFonts w:ascii="Times New Roman" w:eastAsia="Times New Roman" w:hAnsi="Times New Roman" w:cs="Times New Roman"/>
          <w:b/>
          <w:lang w:val="en-GB"/>
        </w:rPr>
        <w:t>Capabilities</w:t>
      </w:r>
      <w:r w:rsidRPr="006331D3">
        <w:rPr>
          <w:rFonts w:ascii="Times New Roman" w:eastAsia="Times New Roman" w:hAnsi="Times New Roman" w:cs="Times New Roman"/>
          <w:b/>
          <w:lang w:val="en-GB"/>
        </w:rPr>
        <w:t xml:space="preserve">: </w:t>
      </w:r>
    </w:p>
    <w:p w:rsidR="00F2027B" w:rsidRPr="0060176A" w:rsidRDefault="00F2027B" w:rsidP="00980876">
      <w:pPr>
        <w:pStyle w:val="Listaszerbekezds"/>
        <w:widowControl w:val="0"/>
        <w:numPr>
          <w:ilvl w:val="0"/>
          <w:numId w:val="403"/>
        </w:numPr>
        <w:spacing w:before="120" w:after="120" w:line="240" w:lineRule="auto"/>
        <w:ind w:hanging="219"/>
        <w:jc w:val="both"/>
        <w:rPr>
          <w:rFonts w:ascii="Times New Roman" w:eastAsia="Times New Roman" w:hAnsi="Times New Roman" w:cs="Times New Roman"/>
          <w:lang w:val="en-GB"/>
        </w:rPr>
      </w:pPr>
      <w:r w:rsidRPr="0060176A">
        <w:rPr>
          <w:rFonts w:ascii="Times New Roman" w:eastAsia="Times New Roman" w:hAnsi="Times New Roman" w:cs="Times New Roman"/>
          <w:lang w:val="en-GB"/>
        </w:rPr>
        <w:t>He/She is able to</w:t>
      </w:r>
      <w:r w:rsidRPr="00E3281F">
        <w:t xml:space="preserve"> </w:t>
      </w:r>
      <w:r w:rsidRPr="0060176A">
        <w:rPr>
          <w:rFonts w:ascii="Times New Roman" w:eastAsia="Times New Roman" w:hAnsi="Times New Roman" w:cs="Times New Roman"/>
          <w:lang w:val="en-GB"/>
        </w:rPr>
        <w:t>plan the</w:t>
      </w:r>
      <w:r>
        <w:t xml:space="preserve"> </w:t>
      </w:r>
      <w:r w:rsidRPr="0060176A">
        <w:rPr>
          <w:rFonts w:ascii="Times New Roman" w:eastAsia="Times New Roman" w:hAnsi="Times New Roman" w:cs="Times New Roman"/>
          <w:lang w:val="en-GB"/>
        </w:rPr>
        <w:t>budget for an international exercise or peace operation.</w:t>
      </w:r>
    </w:p>
    <w:p w:rsidR="00F2027B" w:rsidRDefault="00F2027B" w:rsidP="00F2027B">
      <w:pPr>
        <w:widowControl w:val="0"/>
        <w:spacing w:before="120" w:after="120" w:line="240" w:lineRule="auto"/>
        <w:ind w:left="426"/>
        <w:jc w:val="both"/>
        <w:rPr>
          <w:rFonts w:ascii="Times New Roman" w:eastAsia="Times New Roman" w:hAnsi="Times New Roman" w:cs="Times New Roman"/>
          <w:b/>
          <w:lang w:val="en-GB"/>
        </w:rPr>
      </w:pPr>
      <w:r w:rsidRPr="00BC6E7B">
        <w:rPr>
          <w:rFonts w:ascii="Times New Roman" w:eastAsia="Times New Roman" w:hAnsi="Times New Roman" w:cs="Times New Roman"/>
          <w:b/>
          <w:lang w:val="en-GB"/>
        </w:rPr>
        <w:t>Attitude:</w:t>
      </w:r>
      <w:r w:rsidRPr="002A0767">
        <w:rPr>
          <w:rFonts w:ascii="Times New Roman" w:eastAsia="Times New Roman" w:hAnsi="Times New Roman" w:cs="Times New Roman"/>
          <w:b/>
          <w:lang w:val="en-GB"/>
        </w:rPr>
        <w:t xml:space="preserve"> </w:t>
      </w:r>
    </w:p>
    <w:p w:rsidR="00F2027B" w:rsidRPr="0060176A" w:rsidRDefault="00F2027B" w:rsidP="00980876">
      <w:pPr>
        <w:pStyle w:val="Listaszerbekezds"/>
        <w:widowControl w:val="0"/>
        <w:numPr>
          <w:ilvl w:val="0"/>
          <w:numId w:val="403"/>
        </w:numPr>
        <w:spacing w:before="120" w:after="120" w:line="240" w:lineRule="auto"/>
        <w:ind w:hanging="219"/>
        <w:jc w:val="both"/>
        <w:rPr>
          <w:rFonts w:ascii="Times New Roman" w:eastAsia="Times New Roman" w:hAnsi="Times New Roman" w:cs="Times New Roman"/>
          <w:b/>
          <w:lang w:val="en-GB"/>
        </w:rPr>
      </w:pPr>
      <w:r w:rsidRPr="0060176A">
        <w:rPr>
          <w:rFonts w:ascii="Times New Roman" w:eastAsia="Times New Roman" w:hAnsi="Times New Roman" w:cs="Times New Roman"/>
          <w:lang w:val="en-GB"/>
        </w:rPr>
        <w:t>He/she pays particular attention to the legal, regulatory, and accurate work required in the financial field.</w:t>
      </w:r>
    </w:p>
    <w:p w:rsidR="00F2027B" w:rsidRDefault="00F2027B" w:rsidP="00F202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pPr>
      <w:r w:rsidRPr="00BC6E7B">
        <w:rPr>
          <w:rFonts w:ascii="Times New Roman" w:eastAsia="Times New Roman" w:hAnsi="Times New Roman" w:cs="Times New Roman"/>
          <w:b/>
          <w:lang w:val="en-GB"/>
        </w:rPr>
        <w:t>Autonomy and responsibility:</w:t>
      </w:r>
      <w:r w:rsidRPr="00F37D21">
        <w:t xml:space="preserve"> </w:t>
      </w:r>
    </w:p>
    <w:p w:rsidR="00F2027B" w:rsidRPr="0060176A" w:rsidRDefault="00F2027B" w:rsidP="00980876">
      <w:pPr>
        <w:pStyle w:val="Listaszerbekezds"/>
        <w:numPr>
          <w:ilvl w:val="0"/>
          <w:numId w:val="4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19"/>
        <w:jc w:val="both"/>
        <w:rPr>
          <w:rFonts w:ascii="Times New Roman" w:eastAsia="Times New Roman" w:hAnsi="Times New Roman" w:cs="Times New Roman"/>
          <w:lang w:val="en-GB"/>
        </w:rPr>
      </w:pPr>
      <w:r w:rsidRPr="0060176A">
        <w:rPr>
          <w:rFonts w:ascii="Times New Roman" w:eastAsia="Times New Roman" w:hAnsi="Times New Roman" w:cs="Times New Roman"/>
          <w:lang w:val="en-GB"/>
        </w:rPr>
        <w:t>He / she makes independent decisions on management issues within the scope of his / her financial management portfolio.</w:t>
      </w:r>
    </w:p>
    <w:p w:rsidR="00F2027B" w:rsidRPr="00BC6E7B" w:rsidRDefault="00F2027B" w:rsidP="00A424FC">
      <w:pPr>
        <w:widowControl w:val="0"/>
        <w:numPr>
          <w:ilvl w:val="0"/>
          <w:numId w:val="404"/>
        </w:numPr>
        <w:spacing w:before="120" w:after="120" w:line="240" w:lineRule="auto"/>
        <w:jc w:val="both"/>
        <w:rPr>
          <w:rFonts w:ascii="Times New Roman" w:eastAsia="Times New Roman" w:hAnsi="Times New Roman" w:cs="Times New Roman"/>
          <w:bCs/>
        </w:rPr>
      </w:pPr>
      <w:r w:rsidRPr="00BC6E7B">
        <w:rPr>
          <w:rFonts w:ascii="Times New Roman" w:eastAsia="Times New Roman" w:hAnsi="Times New Roman" w:cs="Times New Roman"/>
          <w:b/>
          <w:bCs/>
        </w:rPr>
        <w:t xml:space="preserve">Előtanulmányi követelmények: </w:t>
      </w:r>
      <w:r w:rsidRPr="00241CFA">
        <w:rPr>
          <w:rFonts w:ascii="Times New Roman" w:eastAsia="Times New Roman" w:hAnsi="Times New Roman" w:cs="Times New Roman"/>
          <w:bCs/>
        </w:rPr>
        <w:t>Katonai pénzügyi ellátás II. (</w:t>
      </w:r>
      <w:r w:rsidR="00A424FC" w:rsidRPr="00A424FC">
        <w:rPr>
          <w:rFonts w:ascii="Times New Roman" w:eastAsia="Times New Roman" w:hAnsi="Times New Roman" w:cs="Times New Roman"/>
          <w:bCs/>
        </w:rPr>
        <w:t>HKHPKA506</w:t>
      </w:r>
      <w:r w:rsidRPr="00241CFA">
        <w:rPr>
          <w:rFonts w:ascii="Times New Roman" w:eastAsia="Times New Roman" w:hAnsi="Times New Roman" w:cs="Times New Roman"/>
          <w:bCs/>
        </w:rPr>
        <w:t>)</w:t>
      </w:r>
    </w:p>
    <w:p w:rsidR="00F2027B" w:rsidRPr="00BC6E7B" w:rsidRDefault="00F2027B" w:rsidP="00980876">
      <w:pPr>
        <w:widowControl w:val="0"/>
        <w:numPr>
          <w:ilvl w:val="0"/>
          <w:numId w:val="404"/>
        </w:numPr>
        <w:tabs>
          <w:tab w:val="clear" w:pos="720"/>
          <w:tab w:val="num" w:pos="643"/>
        </w:tabs>
        <w:spacing w:before="120" w:after="120" w:line="240" w:lineRule="auto"/>
        <w:ind w:left="426" w:hanging="142"/>
        <w:jc w:val="both"/>
        <w:rPr>
          <w:rFonts w:ascii="Times New Roman" w:eastAsia="Times New Roman" w:hAnsi="Times New Roman" w:cs="Times New Roman"/>
          <w:b/>
          <w:bCs/>
        </w:rPr>
      </w:pPr>
      <w:r w:rsidRPr="00BC6E7B">
        <w:rPr>
          <w:rFonts w:ascii="Times New Roman" w:eastAsia="Times New Roman" w:hAnsi="Times New Roman" w:cs="Times New Roman"/>
          <w:b/>
          <w:bCs/>
        </w:rPr>
        <w:t>A tantárgy tananyagának leírása, tematika. Description of the subject, curriculum (magyarul, angolul - English):</w:t>
      </w:r>
    </w:p>
    <w:p w:rsidR="00F2027B" w:rsidRPr="008B5845" w:rsidRDefault="00F2027B" w:rsidP="00980876">
      <w:pPr>
        <w:widowControl w:val="0"/>
        <w:numPr>
          <w:ilvl w:val="1"/>
          <w:numId w:val="404"/>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BE6A36">
        <w:rPr>
          <w:rFonts w:ascii="Times New Roman" w:eastAsia="Times New Roman" w:hAnsi="Times New Roman" w:cs="Times New Roman"/>
          <w:b/>
        </w:rPr>
        <w:t xml:space="preserve"> </w:t>
      </w:r>
      <w:r w:rsidRPr="008B5845">
        <w:rPr>
          <w:rFonts w:ascii="Times New Roman" w:eastAsia="Times New Roman" w:hAnsi="Times New Roman" w:cs="Times New Roman"/>
          <w:kern w:val="2"/>
        </w:rPr>
        <w:t>Nemzetközi feladatok pénzügyi biztosítása. Magyarország hozzájárulása a NATO és EU közös finanszírozású pénzügyi alapjaihoz. NATO és EU pénzügyi bizottságok feladatai</w:t>
      </w:r>
      <w:r w:rsidRPr="008B5845">
        <w:rPr>
          <w:rFonts w:ascii="Times New Roman" w:eastAsia="Times New Roman" w:hAnsi="Times New Roman" w:cs="Times New Roman"/>
          <w:i/>
          <w:kern w:val="2"/>
        </w:rPr>
        <w:t>.(The financial insurance of international tasks. Hungary's contribution to the funds of NATO and the EU. The tasks of financial delegations of NATO and EU.)</w:t>
      </w:r>
    </w:p>
    <w:p w:rsidR="00F2027B" w:rsidRPr="008B5845" w:rsidRDefault="00F2027B" w:rsidP="00980876">
      <w:pPr>
        <w:widowControl w:val="0"/>
        <w:numPr>
          <w:ilvl w:val="1"/>
          <w:numId w:val="404"/>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8B5845">
        <w:rPr>
          <w:rFonts w:ascii="Times New Roman" w:eastAsia="Times New Roman" w:hAnsi="Times New Roman" w:cs="Times New Roman"/>
          <w:kern w:val="2"/>
        </w:rPr>
        <w:t>Nemzetközi feladatok jogi alapjai. Külföldi haderők adómentességének biztosítása Magyarországon</w:t>
      </w:r>
      <w:r w:rsidRPr="008B5845">
        <w:rPr>
          <w:rFonts w:ascii="Times New Roman" w:eastAsia="Times New Roman" w:hAnsi="Times New Roman" w:cs="Times New Roman"/>
          <w:i/>
          <w:kern w:val="2"/>
        </w:rPr>
        <w:t>.(The legal bases for international tasks. Tax exemption for foreign forces in Hungary.)</w:t>
      </w:r>
    </w:p>
    <w:p w:rsidR="00F2027B" w:rsidRPr="008B5845" w:rsidRDefault="00F2027B" w:rsidP="00980876">
      <w:pPr>
        <w:widowControl w:val="0"/>
        <w:numPr>
          <w:ilvl w:val="1"/>
          <w:numId w:val="404"/>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8B5845">
        <w:rPr>
          <w:rFonts w:ascii="Times New Roman" w:eastAsia="Times New Roman" w:hAnsi="Times New Roman" w:cs="Times New Roman"/>
          <w:kern w:val="2"/>
        </w:rPr>
        <w:t xml:space="preserve">Nemzetközi gyakorlatok és kiképzések költségvetési tervezése, felhasználása és elszámolása. Válságreagáló- és béketámogató műveletek költségvetési tervezése (közép-, rövid távú, elemi), a jóváhagyott költségvetési előirányzatok felhasználása, beszámolás. </w:t>
      </w:r>
      <w:r w:rsidRPr="008B5845">
        <w:rPr>
          <w:rFonts w:ascii="Times New Roman" w:eastAsia="Times New Roman" w:hAnsi="Times New Roman" w:cs="Times New Roman"/>
          <w:i/>
          <w:kern w:val="2"/>
        </w:rPr>
        <w:t>(Budget planning, the use and accounting system of international exercises and training. Budget planning of crisis response and peace-support operations (medium, short-term, elementary), use of approved budget appropriations and reporting.)</w:t>
      </w:r>
    </w:p>
    <w:p w:rsidR="00F2027B" w:rsidRPr="008B5845" w:rsidRDefault="00F2027B" w:rsidP="00980876">
      <w:pPr>
        <w:widowControl w:val="0"/>
        <w:numPr>
          <w:ilvl w:val="1"/>
          <w:numId w:val="404"/>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8B5845">
        <w:rPr>
          <w:rFonts w:ascii="Times New Roman" w:eastAsia="Times New Roman" w:hAnsi="Times New Roman" w:cs="Times New Roman"/>
          <w:kern w:val="2"/>
        </w:rPr>
        <w:t xml:space="preserve">A válságreagáló és béketámogató műveletekhez kapcsolódó főbb hazai és külföldi pénzügyi, költségvetési feladatok. </w:t>
      </w:r>
      <w:r w:rsidRPr="008B5845">
        <w:rPr>
          <w:rFonts w:ascii="Times New Roman" w:eastAsia="Times New Roman" w:hAnsi="Times New Roman" w:cs="Times New Roman"/>
          <w:i/>
          <w:kern w:val="2"/>
        </w:rPr>
        <w:t>(Major domestic, foreign financial, budgetary tasks related to crisis response and peace support operations.)</w:t>
      </w:r>
    </w:p>
    <w:p w:rsidR="00F2027B" w:rsidRPr="008B5845" w:rsidRDefault="00F2027B" w:rsidP="00980876">
      <w:pPr>
        <w:widowControl w:val="0"/>
        <w:numPr>
          <w:ilvl w:val="1"/>
          <w:numId w:val="404"/>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8B5845">
        <w:rPr>
          <w:rFonts w:ascii="Times New Roman" w:eastAsia="Times New Roman" w:hAnsi="Times New Roman" w:cs="Times New Roman"/>
          <w:kern w:val="2"/>
        </w:rPr>
        <w:t xml:space="preserve">Válságkezelő és békeműveleteket támogató kontingensekben (béketámogató műveletekben) szolgálatot teljesítő személyi állomány pénzügyi (forint-deviza) ellátása, Magyarország határain kívüli válságreagáló és béketámogató műveletekben résztvevők pénzügyi biztosítása. </w:t>
      </w:r>
      <w:r w:rsidRPr="008B5845">
        <w:rPr>
          <w:rFonts w:ascii="Times New Roman" w:eastAsia="Times New Roman" w:hAnsi="Times New Roman" w:cs="Times New Roman"/>
          <w:i/>
          <w:kern w:val="2"/>
        </w:rPr>
        <w:t>(The provision of financial (HUF or other currency) personnel performing military service in peace-support operations, financial provision of participants in crisis response and peace-support operations outside the borders of Hungary. This is related to the financial assistance to participants in crisis management and peace support operations outside Hungary.)</w:t>
      </w:r>
    </w:p>
    <w:p w:rsidR="00F2027B" w:rsidRPr="006331D3" w:rsidRDefault="00F2027B" w:rsidP="00980876">
      <w:pPr>
        <w:pStyle w:val="Listaszerbekezds"/>
        <w:widowControl w:val="0"/>
        <w:numPr>
          <w:ilvl w:val="0"/>
          <w:numId w:val="404"/>
        </w:numPr>
        <w:tabs>
          <w:tab w:val="clear" w:pos="720"/>
          <w:tab w:val="num" w:pos="643"/>
          <w:tab w:val="left" w:pos="709"/>
          <w:tab w:val="left" w:pos="993"/>
        </w:tabs>
        <w:spacing w:before="120" w:after="120" w:line="240" w:lineRule="auto"/>
        <w:ind w:left="643"/>
        <w:jc w:val="both"/>
        <w:rPr>
          <w:rFonts w:ascii="Times New Roman" w:eastAsia="Times New Roman" w:hAnsi="Times New Roman" w:cs="Times New Roman"/>
          <w:bCs/>
        </w:rPr>
      </w:pPr>
      <w:r w:rsidRPr="006331D3">
        <w:rPr>
          <w:rFonts w:ascii="Times New Roman" w:eastAsia="Times New Roman" w:hAnsi="Times New Roman" w:cs="Times New Roman"/>
          <w:b/>
          <w:bCs/>
        </w:rPr>
        <w:t xml:space="preserve">A tantárgy meghirdetésének gyakorisága/a tantervben történő félévi elhelyezkedése: </w:t>
      </w:r>
      <w:r w:rsidRPr="006331D3">
        <w:rPr>
          <w:rFonts w:ascii="Times New Roman" w:eastAsia="Times New Roman" w:hAnsi="Times New Roman" w:cs="Times New Roman"/>
          <w:bCs/>
        </w:rPr>
        <w:t xml:space="preserve">a tanév </w:t>
      </w:r>
      <w:r>
        <w:rPr>
          <w:rFonts w:ascii="Times New Roman" w:eastAsia="Times New Roman" w:hAnsi="Times New Roman" w:cs="Times New Roman"/>
          <w:bCs/>
        </w:rPr>
        <w:t>2</w:t>
      </w:r>
      <w:r w:rsidRPr="006331D3">
        <w:rPr>
          <w:rFonts w:ascii="Times New Roman" w:eastAsia="Times New Roman" w:hAnsi="Times New Roman" w:cs="Times New Roman"/>
          <w:bCs/>
        </w:rPr>
        <w:t>. (</w:t>
      </w:r>
      <w:r>
        <w:rPr>
          <w:rFonts w:ascii="Times New Roman" w:eastAsia="Times New Roman" w:hAnsi="Times New Roman" w:cs="Times New Roman"/>
          <w:bCs/>
        </w:rPr>
        <w:t>tavaszi</w:t>
      </w:r>
      <w:r w:rsidRPr="006331D3">
        <w:rPr>
          <w:rFonts w:ascii="Times New Roman" w:eastAsia="Times New Roman" w:hAnsi="Times New Roman" w:cs="Times New Roman"/>
          <w:bCs/>
        </w:rPr>
        <w:t>) félévében.</w:t>
      </w:r>
    </w:p>
    <w:p w:rsidR="00F2027B" w:rsidRDefault="00F2027B" w:rsidP="00980876">
      <w:pPr>
        <w:widowControl w:val="0"/>
        <w:numPr>
          <w:ilvl w:val="0"/>
          <w:numId w:val="404"/>
        </w:numPr>
        <w:tabs>
          <w:tab w:val="clear" w:pos="720"/>
          <w:tab w:val="num" w:pos="643"/>
        </w:tabs>
        <w:spacing w:before="120" w:after="120" w:line="240" w:lineRule="auto"/>
        <w:ind w:left="643"/>
        <w:jc w:val="both"/>
        <w:rPr>
          <w:rFonts w:ascii="Times New Roman" w:eastAsia="Times New Roman" w:hAnsi="Times New Roman" w:cs="Times New Roman"/>
          <w:bCs/>
        </w:rPr>
      </w:pPr>
      <w:r w:rsidRPr="00BC6E7B">
        <w:rPr>
          <w:rFonts w:ascii="Times New Roman" w:eastAsia="Times New Roman" w:hAnsi="Times New Roman" w:cs="Times New Roman"/>
          <w:b/>
          <w:bCs/>
        </w:rPr>
        <w:t>A tanórákon való részvétel követelményei, az elfogadható hiányzások mértéke, a távolmaradás pótlásának lehetősége:</w:t>
      </w:r>
      <w:r>
        <w:rPr>
          <w:rFonts w:ascii="Times New Roman" w:eastAsia="Times New Roman" w:hAnsi="Times New Roman" w:cs="Times New Roman"/>
          <w:bCs/>
        </w:rPr>
        <w:t xml:space="preserve"> </w:t>
      </w:r>
      <w:r w:rsidRPr="00D0042F">
        <w:rPr>
          <w:rFonts w:ascii="Times New Roman" w:eastAsia="Times New Roman" w:hAnsi="Times New Roman" w:cs="Times New Roman"/>
          <w:bCs/>
        </w:rPr>
        <w:t xml:space="preserve">a tanórákon való jelenlét kötelező, az elfogadható és igazolt hiányzások száma maximum a tanórák </w:t>
      </w:r>
      <w:r>
        <w:rPr>
          <w:rFonts w:ascii="Times New Roman" w:eastAsia="Times New Roman" w:hAnsi="Times New Roman" w:cs="Times New Roman"/>
          <w:bCs/>
        </w:rPr>
        <w:t>20</w:t>
      </w:r>
      <w:r w:rsidRPr="00D0042F">
        <w:rPr>
          <w:rFonts w:ascii="Times New Roman" w:eastAsia="Times New Roman" w:hAnsi="Times New Roman" w:cs="Times New Roman"/>
          <w:bCs/>
        </w:rPr>
        <w:t xml:space="preserve">%-áig terjedhet, az ismeretek pótlásáról a </w:t>
      </w:r>
      <w:r w:rsidRPr="00D0042F">
        <w:rPr>
          <w:rFonts w:ascii="Times New Roman" w:eastAsia="Times New Roman" w:hAnsi="Times New Roman" w:cs="Times New Roman"/>
          <w:bCs/>
        </w:rPr>
        <w:lastRenderedPageBreak/>
        <w:t>hallgató gondoskodik.</w:t>
      </w:r>
      <w:r>
        <w:rPr>
          <w:rFonts w:ascii="Times New Roman" w:eastAsia="Times New Roman" w:hAnsi="Times New Roman" w:cs="Times New Roman"/>
          <w:bCs/>
        </w:rPr>
        <w:t xml:space="preserve"> A hiányzások elfogadható mértékének túllépése az aláírás megtagadását vonja maga után.</w:t>
      </w:r>
    </w:p>
    <w:p w:rsidR="00F2027B" w:rsidRPr="006331D3" w:rsidRDefault="00F2027B" w:rsidP="00980876">
      <w:pPr>
        <w:widowControl w:val="0"/>
        <w:numPr>
          <w:ilvl w:val="0"/>
          <w:numId w:val="404"/>
        </w:numPr>
        <w:tabs>
          <w:tab w:val="clear" w:pos="720"/>
          <w:tab w:val="num" w:pos="643"/>
        </w:tabs>
        <w:spacing w:before="120" w:after="120" w:line="240" w:lineRule="auto"/>
        <w:jc w:val="both"/>
        <w:rPr>
          <w:rFonts w:ascii="Times New Roman" w:eastAsia="Times New Roman" w:hAnsi="Times New Roman" w:cs="Times New Roman"/>
        </w:rPr>
      </w:pPr>
      <w:r w:rsidRPr="006331D3">
        <w:rPr>
          <w:rFonts w:ascii="Times New Roman" w:eastAsia="Times New Roman" w:hAnsi="Times New Roman" w:cs="Times New Roman"/>
          <w:b/>
        </w:rPr>
        <w:t>Félévközi feladatok, ismeretek ellenőrzésének rendje:</w:t>
      </w:r>
      <w:r w:rsidRPr="006331D3">
        <w:rPr>
          <w:rFonts w:ascii="Times New Roman" w:eastAsia="Times New Roman" w:hAnsi="Times New Roman" w:cs="Times New Roman"/>
        </w:rPr>
        <w:t xml:space="preserve"> </w:t>
      </w:r>
      <w:r>
        <w:rPr>
          <w:rFonts w:ascii="Times New Roman" w:eastAsia="Times New Roman" w:hAnsi="Times New Roman" w:cs="Times New Roman"/>
        </w:rPr>
        <w:t xml:space="preserve">A hallgató a félév során egy az oktató által meghatározott téma önálló feldolgozását követően, abból előadást tart. </w:t>
      </w:r>
      <w:r w:rsidRPr="006331D3">
        <w:rPr>
          <w:rFonts w:ascii="Times New Roman" w:eastAsia="Times New Roman" w:hAnsi="Times New Roman" w:cs="Times New Roman"/>
        </w:rPr>
        <w:t xml:space="preserve">A hallgató a félév </w:t>
      </w:r>
      <w:r>
        <w:rPr>
          <w:rFonts w:ascii="Times New Roman" w:eastAsia="Times New Roman" w:hAnsi="Times New Roman" w:cs="Times New Roman"/>
        </w:rPr>
        <w:t>három</w:t>
      </w:r>
      <w:r w:rsidRPr="006331D3">
        <w:rPr>
          <w:rFonts w:ascii="Times New Roman" w:eastAsia="Times New Roman" w:hAnsi="Times New Roman" w:cs="Times New Roman"/>
        </w:rPr>
        <w:t xml:space="preserve"> zárthelyi dolgozatot ír. A zárthelyi dolgozatok értékelése ötfokozatú skála alapján történik (50 %-tól elégséges, 65 %-tól közepes, 75-tól % jó, 85 %-tól jeles). </w:t>
      </w:r>
    </w:p>
    <w:p w:rsidR="00F2027B" w:rsidRPr="000D191A" w:rsidRDefault="00F2027B" w:rsidP="00F2027B">
      <w:pPr>
        <w:widowControl w:val="0"/>
        <w:spacing w:before="120" w:after="120" w:line="240" w:lineRule="auto"/>
        <w:ind w:left="720"/>
        <w:jc w:val="both"/>
        <w:rPr>
          <w:rFonts w:ascii="Times New Roman" w:eastAsia="Times New Roman" w:hAnsi="Times New Roman" w:cs="Times New Roman"/>
          <w:bCs/>
        </w:rPr>
      </w:pPr>
      <w:r>
        <w:rPr>
          <w:rFonts w:ascii="Times New Roman" w:eastAsia="Times New Roman" w:hAnsi="Times New Roman" w:cs="Times New Roman"/>
        </w:rPr>
        <w:t>A zárthelyi dolgozat egyszer pótolható, illetve sikertelensége esetén javítható.</w:t>
      </w:r>
    </w:p>
    <w:p w:rsidR="00F2027B" w:rsidRDefault="00F2027B" w:rsidP="00980876">
      <w:pPr>
        <w:widowControl w:val="0"/>
        <w:numPr>
          <w:ilvl w:val="0"/>
          <w:numId w:val="404"/>
        </w:numPr>
        <w:tabs>
          <w:tab w:val="clear" w:pos="720"/>
          <w:tab w:val="num" w:pos="643"/>
        </w:tabs>
        <w:spacing w:before="120" w:after="120" w:line="240" w:lineRule="auto"/>
        <w:ind w:left="426" w:hanging="142"/>
        <w:jc w:val="both"/>
        <w:rPr>
          <w:rFonts w:ascii="Times New Roman" w:eastAsia="Times New Roman" w:hAnsi="Times New Roman" w:cs="Times New Roman"/>
          <w:b/>
          <w:bCs/>
        </w:rPr>
      </w:pPr>
      <w:r w:rsidRPr="00BC6E7B">
        <w:rPr>
          <w:rFonts w:ascii="Times New Roman" w:eastAsia="Times New Roman" w:hAnsi="Times New Roman" w:cs="Times New Roman"/>
          <w:b/>
          <w:bCs/>
        </w:rPr>
        <w:t xml:space="preserve">Az értékelés, az aláírás és a kreditek megszerzésének pontos feltételei: </w:t>
      </w:r>
    </w:p>
    <w:p w:rsidR="00F2027B" w:rsidRPr="000D191A" w:rsidRDefault="00F2027B" w:rsidP="00980876">
      <w:pPr>
        <w:widowControl w:val="0"/>
        <w:numPr>
          <w:ilvl w:val="1"/>
          <w:numId w:val="404"/>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0D191A">
        <w:rPr>
          <w:rFonts w:ascii="Times New Roman" w:eastAsia="Times New Roman" w:hAnsi="Times New Roman" w:cs="Times New Roman"/>
          <w:b/>
        </w:rPr>
        <w:t>Az aláírás megszerzésének feltételei:</w:t>
      </w:r>
      <w:r w:rsidRPr="000D191A">
        <w:rPr>
          <w:rFonts w:ascii="Times New Roman" w:eastAsia="Times New Roman" w:hAnsi="Times New Roman" w:cs="Times New Roman"/>
        </w:rPr>
        <w:t xml:space="preserve"> Az aláírás megszerzésének feltétele a 14. pontban meghatározott arányú részvétel a foglalkozásokon és a 15. pontban meghatározott félévközi feladatok legalább elégséges teljesítése</w:t>
      </w:r>
      <w:r>
        <w:rPr>
          <w:rFonts w:ascii="Times New Roman" w:eastAsia="Times New Roman" w:hAnsi="Times New Roman" w:cs="Times New Roman"/>
        </w:rPr>
        <w:t>.</w:t>
      </w:r>
    </w:p>
    <w:p w:rsidR="00F2027B" w:rsidRDefault="00F2027B" w:rsidP="00980876">
      <w:pPr>
        <w:widowControl w:val="0"/>
        <w:numPr>
          <w:ilvl w:val="1"/>
          <w:numId w:val="404"/>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BC6E7B">
        <w:rPr>
          <w:rFonts w:ascii="Times New Roman" w:eastAsia="Times New Roman" w:hAnsi="Times New Roman" w:cs="Times New Roman"/>
          <w:b/>
        </w:rPr>
        <w:t>Az értékelés:</w:t>
      </w:r>
      <w:r w:rsidRPr="00BC6E7B">
        <w:rPr>
          <w:rFonts w:ascii="Times New Roman" w:eastAsia="Times New Roman" w:hAnsi="Times New Roman" w:cs="Times New Roman"/>
        </w:rPr>
        <w:t xml:space="preserve"> </w:t>
      </w:r>
      <w:r>
        <w:rPr>
          <w:rFonts w:ascii="Times New Roman" w:eastAsia="Times New Roman" w:hAnsi="Times New Roman" w:cs="Times New Roman"/>
        </w:rPr>
        <w:t>Félévközi jegy</w:t>
      </w:r>
    </w:p>
    <w:p w:rsidR="00F2027B" w:rsidRDefault="00F2027B" w:rsidP="00980876">
      <w:pPr>
        <w:widowControl w:val="0"/>
        <w:numPr>
          <w:ilvl w:val="1"/>
          <w:numId w:val="404"/>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BC6E7B">
        <w:rPr>
          <w:rFonts w:ascii="Times New Roman" w:eastAsia="Times New Roman" w:hAnsi="Times New Roman" w:cs="Times New Roman"/>
          <w:b/>
        </w:rPr>
        <w:t>A kreditek megszerzésének feltételei:</w:t>
      </w:r>
      <w:r w:rsidRPr="00BC6E7B">
        <w:rPr>
          <w:rFonts w:ascii="Times New Roman" w:eastAsia="Times New Roman" w:hAnsi="Times New Roman" w:cs="Times New Roman"/>
        </w:rPr>
        <w:t xml:space="preserve"> </w:t>
      </w:r>
    </w:p>
    <w:p w:rsidR="00F2027B" w:rsidRDefault="00F2027B" w:rsidP="00F2027B">
      <w:pPr>
        <w:widowControl w:val="0"/>
        <w:tabs>
          <w:tab w:val="left" w:pos="993"/>
        </w:tabs>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A kreditek megszerzésének feltétele az aláírás megszerzése és a zárthelyi dolgozatok legalább elégséges teljesítése, a félévközi jegy eredménye a zárthelyi dolgozatok egyszerű számtani átlaga.</w:t>
      </w:r>
    </w:p>
    <w:p w:rsidR="00F2027B" w:rsidRPr="0035461C" w:rsidRDefault="00F2027B" w:rsidP="00980876">
      <w:pPr>
        <w:widowControl w:val="0"/>
        <w:numPr>
          <w:ilvl w:val="0"/>
          <w:numId w:val="404"/>
        </w:numPr>
        <w:tabs>
          <w:tab w:val="clear" w:pos="720"/>
          <w:tab w:val="num" w:pos="360"/>
          <w:tab w:val="num" w:pos="643"/>
        </w:tabs>
        <w:spacing w:before="120" w:after="120" w:line="240" w:lineRule="auto"/>
        <w:ind w:left="426" w:hanging="142"/>
        <w:jc w:val="both"/>
        <w:rPr>
          <w:rFonts w:ascii="Times New Roman" w:eastAsia="Times New Roman" w:hAnsi="Times New Roman" w:cs="Times New Roman"/>
          <w:bCs/>
        </w:rPr>
      </w:pPr>
      <w:r w:rsidRPr="00BC6E7B">
        <w:rPr>
          <w:rFonts w:ascii="Times New Roman" w:eastAsia="Times New Roman" w:hAnsi="Times New Roman" w:cs="Times New Roman"/>
          <w:b/>
          <w:bCs/>
        </w:rPr>
        <w:t>Irodalomjegyzék:</w:t>
      </w:r>
    </w:p>
    <w:p w:rsidR="00F2027B" w:rsidRPr="0035461C" w:rsidRDefault="00F2027B" w:rsidP="00980876">
      <w:pPr>
        <w:widowControl w:val="0"/>
        <w:numPr>
          <w:ilvl w:val="1"/>
          <w:numId w:val="404"/>
        </w:numPr>
        <w:tabs>
          <w:tab w:val="clear" w:pos="3977"/>
          <w:tab w:val="num" w:pos="567"/>
          <w:tab w:val="num" w:pos="999"/>
          <w:tab w:val="num" w:pos="2069"/>
        </w:tabs>
        <w:spacing w:before="120" w:after="120" w:line="240" w:lineRule="auto"/>
        <w:ind w:left="993" w:hanging="709"/>
        <w:jc w:val="both"/>
        <w:rPr>
          <w:rFonts w:ascii="Times New Roman" w:eastAsia="Times New Roman" w:hAnsi="Times New Roman" w:cs="Times New Roman"/>
          <w:b/>
          <w:bCs/>
        </w:rPr>
      </w:pPr>
      <w:r w:rsidRPr="0035461C">
        <w:rPr>
          <w:rFonts w:ascii="Times New Roman" w:eastAsia="Times New Roman" w:hAnsi="Times New Roman" w:cs="Times New Roman"/>
          <w:b/>
          <w:bCs/>
        </w:rPr>
        <w:t>Kötelező irodalom:</w:t>
      </w:r>
      <w:r w:rsidRPr="002F5464">
        <w:rPr>
          <w:rFonts w:ascii="Times New Roman" w:eastAsia="Times New Roman" w:hAnsi="Times New Roman" w:cs="Times New Roman"/>
        </w:rPr>
        <w:t xml:space="preserve"> </w:t>
      </w:r>
      <w:r>
        <w:rPr>
          <w:rFonts w:ascii="Times New Roman" w:eastAsia="Times New Roman" w:hAnsi="Times New Roman" w:cs="Times New Roman"/>
        </w:rPr>
        <w:t>A t</w:t>
      </w:r>
      <w:r w:rsidRPr="0099634B">
        <w:rPr>
          <w:rFonts w:ascii="Times New Roman" w:eastAsia="Times New Roman" w:hAnsi="Times New Roman" w:cs="Times New Roman"/>
        </w:rPr>
        <w:t>antárgy speciális katonai-szakmai tartalma miatt csak jogszabályi irodalom áll rendelkezésre</w:t>
      </w:r>
    </w:p>
    <w:p w:rsidR="00F2027B" w:rsidRPr="00591A18" w:rsidRDefault="00F2027B" w:rsidP="00980876">
      <w:pPr>
        <w:pStyle w:val="Listaszerbekezds"/>
        <w:widowControl w:val="0"/>
        <w:numPr>
          <w:ilvl w:val="2"/>
          <w:numId w:val="405"/>
        </w:numPr>
        <w:tabs>
          <w:tab w:val="left" w:pos="993"/>
        </w:tabs>
        <w:spacing w:before="120" w:after="120" w:line="240" w:lineRule="auto"/>
        <w:ind w:left="1134"/>
        <w:jc w:val="both"/>
        <w:rPr>
          <w:rFonts w:ascii="Times New Roman" w:eastAsia="Times New Roman" w:hAnsi="Times New Roman" w:cs="Times New Roman"/>
        </w:rPr>
      </w:pPr>
      <w:r w:rsidRPr="00591A18">
        <w:rPr>
          <w:rFonts w:ascii="Times New Roman" w:eastAsia="Times New Roman" w:hAnsi="Times New Roman" w:cs="Times New Roman"/>
        </w:rPr>
        <w:t xml:space="preserve">35/2019. (IV. 30.) HM utasítás a fejezeti kezelésű előirányzatok kezelésének feladatairól, az azokkal történő gazdálkodás szabályairól és a költségvetési támogatások biztosításának egyes kérdéseiről  </w:t>
      </w:r>
    </w:p>
    <w:p w:rsidR="00F2027B" w:rsidRPr="00591A18" w:rsidRDefault="00F2027B" w:rsidP="00980876">
      <w:pPr>
        <w:pStyle w:val="Listaszerbekezds"/>
        <w:widowControl w:val="0"/>
        <w:numPr>
          <w:ilvl w:val="2"/>
          <w:numId w:val="405"/>
        </w:numPr>
        <w:tabs>
          <w:tab w:val="left" w:pos="993"/>
        </w:tabs>
        <w:spacing w:before="120" w:after="120" w:line="240" w:lineRule="auto"/>
        <w:ind w:left="1134"/>
        <w:jc w:val="both"/>
        <w:rPr>
          <w:rFonts w:ascii="Times New Roman" w:eastAsia="Times New Roman" w:hAnsi="Times New Roman" w:cs="Times New Roman"/>
        </w:rPr>
      </w:pPr>
      <w:r w:rsidRPr="00591A18">
        <w:rPr>
          <w:rFonts w:ascii="Times New Roman" w:eastAsia="Times New Roman" w:hAnsi="Times New Roman" w:cs="Times New Roman"/>
        </w:rPr>
        <w:t>71/2013. (XI. 29.) HM utasítás a NATO és EU együttműködésre kijelölt személyek képviseleti felhatalmazásáról</w:t>
      </w:r>
    </w:p>
    <w:p w:rsidR="00F2027B" w:rsidRPr="00591A18" w:rsidRDefault="00F2027B" w:rsidP="00980876">
      <w:pPr>
        <w:pStyle w:val="Listaszerbekezds"/>
        <w:widowControl w:val="0"/>
        <w:numPr>
          <w:ilvl w:val="2"/>
          <w:numId w:val="405"/>
        </w:numPr>
        <w:tabs>
          <w:tab w:val="left" w:pos="993"/>
        </w:tabs>
        <w:spacing w:before="120" w:after="120" w:line="240" w:lineRule="auto"/>
        <w:ind w:left="1134"/>
        <w:jc w:val="both"/>
        <w:rPr>
          <w:rFonts w:ascii="Times New Roman" w:eastAsia="Times New Roman" w:hAnsi="Times New Roman" w:cs="Times New Roman"/>
        </w:rPr>
      </w:pPr>
      <w:r w:rsidRPr="00591A18">
        <w:rPr>
          <w:rFonts w:ascii="Times New Roman" w:eastAsia="Times New Roman" w:hAnsi="Times New Roman" w:cs="Times New Roman"/>
        </w:rPr>
        <w:t xml:space="preserve">a Magyarország Kormánya és az Amerikai Egyesült Államok Kormánya közötti, a védelmi együttműködésről szóló megállapodás kihirdetéséről szóló 2019. évi LI. törvény </w:t>
      </w:r>
    </w:p>
    <w:p w:rsidR="00F2027B" w:rsidRPr="00C83EBE" w:rsidRDefault="00F2027B" w:rsidP="00980876">
      <w:pPr>
        <w:widowControl w:val="0"/>
        <w:numPr>
          <w:ilvl w:val="1"/>
          <w:numId w:val="404"/>
        </w:numPr>
        <w:tabs>
          <w:tab w:val="clear" w:pos="3977"/>
          <w:tab w:val="num" w:pos="567"/>
          <w:tab w:val="num" w:pos="999"/>
          <w:tab w:val="num" w:pos="2069"/>
        </w:tabs>
        <w:spacing w:before="120" w:after="120" w:line="240" w:lineRule="auto"/>
        <w:ind w:left="993" w:hanging="709"/>
        <w:jc w:val="both"/>
        <w:rPr>
          <w:rFonts w:ascii="Times New Roman" w:eastAsia="Times New Roman" w:hAnsi="Times New Roman" w:cs="Times New Roman"/>
          <w:b/>
          <w:bCs/>
        </w:rPr>
      </w:pPr>
      <w:r w:rsidRPr="00BC6E7B">
        <w:rPr>
          <w:rFonts w:ascii="Times New Roman" w:eastAsia="Times New Roman" w:hAnsi="Times New Roman" w:cs="Times New Roman"/>
          <w:b/>
          <w:bCs/>
        </w:rPr>
        <w:t>Ajánlott irodalom:</w:t>
      </w:r>
      <w:r>
        <w:rPr>
          <w:rFonts w:ascii="Times New Roman" w:eastAsia="Times New Roman" w:hAnsi="Times New Roman" w:cs="Times New Roman"/>
          <w:b/>
          <w:bCs/>
        </w:rPr>
        <w:t xml:space="preserve"> -</w:t>
      </w:r>
    </w:p>
    <w:p w:rsidR="00F2027B" w:rsidRPr="0035461C" w:rsidRDefault="00F2027B" w:rsidP="00F2027B">
      <w:pPr>
        <w:pStyle w:val="Listaszerbekezds"/>
        <w:widowControl w:val="0"/>
        <w:tabs>
          <w:tab w:val="left" w:pos="993"/>
        </w:tabs>
        <w:spacing w:before="120" w:after="120" w:line="240" w:lineRule="auto"/>
        <w:ind w:left="1584"/>
        <w:jc w:val="both"/>
        <w:rPr>
          <w:rFonts w:ascii="Times New Roman" w:eastAsia="Times New Roman" w:hAnsi="Times New Roman" w:cs="Times New Roman"/>
        </w:rPr>
      </w:pPr>
    </w:p>
    <w:p w:rsidR="00F2027B" w:rsidRPr="00BC6E7B" w:rsidRDefault="00F2027B" w:rsidP="00F2027B">
      <w:pPr>
        <w:widowControl w:val="0"/>
        <w:spacing w:before="120" w:after="120" w:line="240" w:lineRule="auto"/>
        <w:jc w:val="both"/>
        <w:rPr>
          <w:rFonts w:ascii="Times New Roman" w:eastAsia="Times New Roman" w:hAnsi="Times New Roman" w:cs="Times New Roman"/>
          <w:bCs/>
        </w:rPr>
      </w:pPr>
      <w:r w:rsidRPr="0035461C">
        <w:rPr>
          <w:rFonts w:ascii="Times New Roman" w:eastAsia="Times New Roman" w:hAnsi="Times New Roman" w:cs="Times New Roman"/>
          <w:bCs/>
        </w:rPr>
        <w:t>Budapest, 20</w:t>
      </w:r>
      <w:r>
        <w:rPr>
          <w:rFonts w:ascii="Times New Roman" w:eastAsia="Times New Roman" w:hAnsi="Times New Roman" w:cs="Times New Roman"/>
          <w:bCs/>
        </w:rPr>
        <w:t>20</w:t>
      </w:r>
      <w:r w:rsidRPr="0035461C">
        <w:rPr>
          <w:rFonts w:ascii="Times New Roman" w:eastAsia="Times New Roman" w:hAnsi="Times New Roman" w:cs="Times New Roman"/>
          <w:bCs/>
        </w:rPr>
        <w:t>.</w:t>
      </w:r>
      <w:r>
        <w:rPr>
          <w:rFonts w:ascii="Times New Roman" w:eastAsia="Times New Roman" w:hAnsi="Times New Roman" w:cs="Times New Roman"/>
          <w:bCs/>
        </w:rPr>
        <w:t>02</w:t>
      </w:r>
      <w:r w:rsidRPr="0035461C">
        <w:rPr>
          <w:rFonts w:ascii="Times New Roman" w:eastAsia="Times New Roman" w:hAnsi="Times New Roman" w:cs="Times New Roman"/>
          <w:bCs/>
        </w:rPr>
        <w:t>.2</w:t>
      </w:r>
      <w:r>
        <w:rPr>
          <w:rFonts w:ascii="Times New Roman" w:eastAsia="Times New Roman" w:hAnsi="Times New Roman" w:cs="Times New Roman"/>
          <w:bCs/>
        </w:rPr>
        <w:t>0.</w:t>
      </w:r>
    </w:p>
    <w:p w:rsidR="00F2027B" w:rsidRPr="00BC6E7B" w:rsidRDefault="00F2027B" w:rsidP="00F2027B">
      <w:pPr>
        <w:widowControl w:val="0"/>
        <w:spacing w:before="120" w:after="120" w:line="240" w:lineRule="auto"/>
        <w:jc w:val="both"/>
        <w:rPr>
          <w:rFonts w:ascii="Times New Roman" w:eastAsia="Times New Roman" w:hAnsi="Times New Roman" w:cs="Times New Roman"/>
          <w:bCs/>
        </w:rPr>
      </w:pPr>
    </w:p>
    <w:p w:rsidR="00F2027B" w:rsidRPr="00AA733F" w:rsidRDefault="00F2027B" w:rsidP="00F2027B">
      <w:pPr>
        <w:widowControl w:val="0"/>
        <w:spacing w:after="0" w:line="240" w:lineRule="auto"/>
        <w:ind w:left="5664" w:firstLine="708"/>
        <w:jc w:val="center"/>
        <w:rPr>
          <w:rFonts w:ascii="Times New Roman" w:eastAsia="Times New Roman" w:hAnsi="Times New Roman" w:cs="Times New Roman"/>
          <w:b/>
          <w:bCs/>
        </w:rPr>
      </w:pPr>
      <w:r w:rsidRPr="00AA733F">
        <w:rPr>
          <w:rFonts w:ascii="Times New Roman" w:eastAsia="Times New Roman" w:hAnsi="Times New Roman" w:cs="Times New Roman"/>
          <w:b/>
          <w:bCs/>
        </w:rPr>
        <w:t>Dr. Balla Tibor, PhD sk.</w:t>
      </w:r>
    </w:p>
    <w:p w:rsidR="00F2027B" w:rsidRPr="00BC6E7B" w:rsidRDefault="00F2027B" w:rsidP="00F2027B">
      <w:pPr>
        <w:widowControl w:val="0"/>
        <w:spacing w:before="120" w:after="120" w:line="240" w:lineRule="auto"/>
        <w:jc w:val="right"/>
        <w:rPr>
          <w:rFonts w:ascii="Times New Roman" w:eastAsia="Times New Roman" w:hAnsi="Times New Roman" w:cs="Times New Roman"/>
          <w:bCs/>
        </w:rPr>
      </w:pPr>
    </w:p>
    <w:p w:rsidR="00F2027B" w:rsidRDefault="00F2027B">
      <w:pPr>
        <w:spacing w:after="200" w:line="276" w:lineRule="auto"/>
        <w:rPr>
          <w:rFonts w:ascii="Times New Roman" w:hAnsi="Times New Roman" w:cs="Times New Roman"/>
          <w:sz w:val="24"/>
        </w:rPr>
      </w:pPr>
    </w:p>
    <w:p w:rsidR="008901FE" w:rsidRDefault="008901FE">
      <w:pPr>
        <w:spacing w:after="200" w:line="276" w:lineRule="auto"/>
        <w:rPr>
          <w:rFonts w:ascii="Times New Roman" w:hAnsi="Times New Roman" w:cs="Times New Roman"/>
          <w:sz w:val="24"/>
        </w:rPr>
      </w:pPr>
      <w:r>
        <w:rPr>
          <w:rFonts w:ascii="Times New Roman" w:hAnsi="Times New Roman" w:cs="Times New Roman"/>
          <w:sz w:val="24"/>
        </w:rPr>
        <w:br w:type="page"/>
      </w:r>
    </w:p>
    <w:tbl>
      <w:tblPr>
        <w:tblW w:w="9072" w:type="dxa"/>
        <w:tblInd w:w="113" w:type="dxa"/>
        <w:tblLook w:val="01E0" w:firstRow="1" w:lastRow="1" w:firstColumn="1" w:lastColumn="1" w:noHBand="0" w:noVBand="0"/>
      </w:tblPr>
      <w:tblGrid>
        <w:gridCol w:w="4855"/>
        <w:gridCol w:w="1620"/>
        <w:gridCol w:w="2597"/>
      </w:tblGrid>
      <w:tr w:rsidR="008B7723" w:rsidTr="00B6175C">
        <w:tc>
          <w:tcPr>
            <w:tcW w:w="4855" w:type="dxa"/>
            <w:tcBorders>
              <w:top w:val="nil"/>
              <w:left w:val="nil"/>
              <w:bottom w:val="single" w:sz="4" w:space="0" w:color="auto"/>
              <w:right w:val="nil"/>
            </w:tcBorders>
            <w:hideMark/>
          </w:tcPr>
          <w:p w:rsidR="008B7723" w:rsidRDefault="008B7723" w:rsidP="00B6175C">
            <w:pPr>
              <w:spacing w:after="0" w:line="240" w:lineRule="auto"/>
              <w:jc w:val="center"/>
              <w:rPr>
                <w:rFonts w:ascii="Times New Roman" w:eastAsia="Times New Roman" w:hAnsi="Times New Roman" w:cs="Times New Roman"/>
                <w:b/>
                <w:smallCaps/>
                <w:lang w:eastAsia="hu-HU"/>
              </w:rPr>
            </w:pPr>
            <w:r>
              <w:rPr>
                <w:rFonts w:ascii="Times New Roman" w:eastAsia="Times New Roman" w:hAnsi="Times New Roman" w:cs="Times New Roman"/>
                <w:b/>
                <w:smallCaps/>
                <w:lang w:eastAsia="hu-HU"/>
              </w:rPr>
              <w:lastRenderedPageBreak/>
              <w:t>Nemzeti Közszolgálati Egyetem</w:t>
            </w:r>
          </w:p>
        </w:tc>
        <w:tc>
          <w:tcPr>
            <w:tcW w:w="1620" w:type="dxa"/>
          </w:tcPr>
          <w:p w:rsidR="008B7723" w:rsidRDefault="008B7723" w:rsidP="00B6175C">
            <w:pPr>
              <w:spacing w:after="0" w:line="240" w:lineRule="auto"/>
              <w:jc w:val="both"/>
              <w:rPr>
                <w:rFonts w:ascii="Times New Roman" w:eastAsia="Times New Roman" w:hAnsi="Times New Roman" w:cs="Times New Roman"/>
                <w:lang w:eastAsia="hu-HU"/>
              </w:rPr>
            </w:pPr>
          </w:p>
        </w:tc>
        <w:tc>
          <w:tcPr>
            <w:tcW w:w="2597" w:type="dxa"/>
          </w:tcPr>
          <w:p w:rsidR="008B7723" w:rsidRDefault="008B7723" w:rsidP="00B6175C">
            <w:pPr>
              <w:spacing w:after="0" w:line="240" w:lineRule="auto"/>
              <w:jc w:val="right"/>
              <w:rPr>
                <w:rFonts w:ascii="Times New Roman" w:eastAsia="Times New Roman" w:hAnsi="Times New Roman" w:cs="Times New Roman"/>
                <w:lang w:eastAsia="hu-HU"/>
              </w:rPr>
            </w:pPr>
          </w:p>
        </w:tc>
      </w:tr>
      <w:tr w:rsidR="008B7723" w:rsidTr="00B6175C">
        <w:tc>
          <w:tcPr>
            <w:tcW w:w="4855" w:type="dxa"/>
            <w:tcBorders>
              <w:top w:val="single" w:sz="4" w:space="0" w:color="auto"/>
              <w:left w:val="nil"/>
              <w:bottom w:val="nil"/>
              <w:right w:val="nil"/>
            </w:tcBorders>
            <w:hideMark/>
          </w:tcPr>
          <w:p w:rsidR="008B7723" w:rsidRDefault="008B7723" w:rsidP="00B6175C">
            <w:pPr>
              <w:spacing w:after="0" w:line="240" w:lineRule="auto"/>
              <w:jc w:val="center"/>
              <w:rPr>
                <w:rFonts w:ascii="Times New Roman" w:eastAsia="Times New Roman" w:hAnsi="Times New Roman" w:cs="Times New Roman"/>
                <w:b/>
                <w:lang w:eastAsia="hu-HU"/>
              </w:rPr>
            </w:pPr>
            <w:r>
              <w:rPr>
                <w:rFonts w:ascii="Times New Roman" w:eastAsia="Times New Roman" w:hAnsi="Times New Roman" w:cs="Times New Roman"/>
                <w:b/>
                <w:lang w:eastAsia="hu-HU"/>
              </w:rPr>
              <w:t>Hadtudományi és Honvédtisztképző Kar</w:t>
            </w:r>
          </w:p>
        </w:tc>
        <w:tc>
          <w:tcPr>
            <w:tcW w:w="1620" w:type="dxa"/>
          </w:tcPr>
          <w:p w:rsidR="008B7723" w:rsidRDefault="008B7723" w:rsidP="00B6175C">
            <w:pPr>
              <w:spacing w:after="0" w:line="240" w:lineRule="auto"/>
              <w:jc w:val="both"/>
              <w:rPr>
                <w:rFonts w:ascii="Times New Roman" w:eastAsia="Times New Roman" w:hAnsi="Times New Roman" w:cs="Times New Roman"/>
                <w:lang w:eastAsia="hu-HU"/>
              </w:rPr>
            </w:pPr>
          </w:p>
        </w:tc>
        <w:tc>
          <w:tcPr>
            <w:tcW w:w="2597" w:type="dxa"/>
          </w:tcPr>
          <w:p w:rsidR="008B7723" w:rsidRDefault="008B7723" w:rsidP="00B6175C">
            <w:pPr>
              <w:spacing w:after="0" w:line="240" w:lineRule="auto"/>
              <w:jc w:val="both"/>
              <w:rPr>
                <w:rFonts w:ascii="Times New Roman" w:eastAsia="Times New Roman" w:hAnsi="Times New Roman" w:cs="Times New Roman"/>
                <w:lang w:eastAsia="hu-HU"/>
              </w:rPr>
            </w:pPr>
          </w:p>
        </w:tc>
      </w:tr>
    </w:tbl>
    <w:p w:rsidR="008B7723" w:rsidRDefault="008B7723" w:rsidP="008B7723">
      <w:pPr>
        <w:widowControl w:val="0"/>
        <w:spacing w:before="120" w:after="120" w:line="240" w:lineRule="auto"/>
        <w:ind w:left="426" w:hanging="142"/>
        <w:jc w:val="center"/>
        <w:rPr>
          <w:rFonts w:ascii="Times New Roman" w:eastAsia="Times New Roman" w:hAnsi="Times New Roman" w:cs="Times New Roman"/>
          <w:b/>
          <w:bCs/>
        </w:rPr>
      </w:pPr>
    </w:p>
    <w:p w:rsidR="008B7723" w:rsidRDefault="008B7723" w:rsidP="008B7723">
      <w:pPr>
        <w:widowControl w:val="0"/>
        <w:spacing w:before="120" w:after="120" w:line="240" w:lineRule="auto"/>
        <w:ind w:left="426" w:hanging="142"/>
        <w:jc w:val="center"/>
        <w:rPr>
          <w:rFonts w:ascii="Times New Roman" w:eastAsia="Times New Roman" w:hAnsi="Times New Roman" w:cs="Times New Roman"/>
          <w:b/>
          <w:bCs/>
        </w:rPr>
      </w:pPr>
      <w:r>
        <w:rPr>
          <w:rFonts w:ascii="Times New Roman" w:eastAsia="Times New Roman" w:hAnsi="Times New Roman" w:cs="Times New Roman"/>
          <w:b/>
          <w:bCs/>
        </w:rPr>
        <w:t>TANTÁRGYI PROGRAM</w:t>
      </w:r>
    </w:p>
    <w:p w:rsidR="008B7723" w:rsidRDefault="008B7723" w:rsidP="00980876">
      <w:pPr>
        <w:widowControl w:val="0"/>
        <w:numPr>
          <w:ilvl w:val="0"/>
          <w:numId w:val="406"/>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 tantárgy kódja: </w:t>
      </w:r>
      <w:r w:rsidRPr="006402BC">
        <w:rPr>
          <w:rFonts w:ascii="Times New Roman" w:hAnsi="Times New Roman" w:cs="Times New Roman"/>
          <w:bCs/>
        </w:rPr>
        <w:t>HKHPKA117</w:t>
      </w:r>
    </w:p>
    <w:p w:rsidR="008B7723" w:rsidRDefault="008B7723" w:rsidP="00980876">
      <w:pPr>
        <w:widowControl w:val="0"/>
        <w:numPr>
          <w:ilvl w:val="0"/>
          <w:numId w:val="406"/>
        </w:numPr>
        <w:spacing w:before="120" w:after="120" w:line="240" w:lineRule="auto"/>
        <w:ind w:left="426" w:hanging="142"/>
        <w:jc w:val="both"/>
        <w:rPr>
          <w:rFonts w:ascii="Times New Roman" w:eastAsia="Times New Roman" w:hAnsi="Times New Roman" w:cs="Times New Roman"/>
          <w:b/>
          <w:bCs/>
          <w:lang w:val="en-GB"/>
        </w:rPr>
      </w:pPr>
      <w:r>
        <w:rPr>
          <w:rFonts w:ascii="Times New Roman" w:eastAsia="Times New Roman" w:hAnsi="Times New Roman" w:cs="Times New Roman"/>
          <w:b/>
          <w:bCs/>
        </w:rPr>
        <w:t>A tantárgy megnevezése (magyarul):</w:t>
      </w:r>
      <w:r>
        <w:rPr>
          <w:rFonts w:ascii="Times New Roman" w:eastAsia="Times New Roman" w:hAnsi="Times New Roman" w:cs="Times New Roman"/>
          <w:bCs/>
        </w:rPr>
        <w:t xml:space="preserve"> </w:t>
      </w:r>
      <w:r>
        <w:rPr>
          <w:rFonts w:ascii="Times New Roman" w:hAnsi="Times New Roman" w:cs="Times New Roman"/>
          <w:bCs/>
        </w:rPr>
        <w:t>Beszerzési ismeretek</w:t>
      </w:r>
    </w:p>
    <w:p w:rsidR="008B7723" w:rsidRDefault="008B7723" w:rsidP="00980876">
      <w:pPr>
        <w:widowControl w:val="0"/>
        <w:numPr>
          <w:ilvl w:val="0"/>
          <w:numId w:val="406"/>
        </w:numPr>
        <w:spacing w:before="120" w:after="120" w:line="240" w:lineRule="auto"/>
        <w:ind w:left="426" w:hanging="142"/>
        <w:jc w:val="both"/>
        <w:rPr>
          <w:rFonts w:ascii="Times New Roman" w:eastAsia="Times New Roman" w:hAnsi="Times New Roman" w:cs="Times New Roman"/>
          <w:b/>
          <w:bCs/>
          <w:lang w:val="en-GB"/>
        </w:rPr>
      </w:pPr>
      <w:r>
        <w:rPr>
          <w:rFonts w:ascii="Times New Roman" w:eastAsia="Times New Roman" w:hAnsi="Times New Roman" w:cs="Times New Roman"/>
          <w:b/>
          <w:bCs/>
        </w:rPr>
        <w:t xml:space="preserve">A tantárgy megnevezése (angolul): </w:t>
      </w:r>
      <w:r>
        <w:rPr>
          <w:rFonts w:ascii="Times New Roman" w:hAnsi="Times New Roman" w:cs="Times New Roman"/>
          <w:bCs/>
          <w:lang w:val="en-GB"/>
        </w:rPr>
        <w:t>Knowledge of procurement</w:t>
      </w:r>
    </w:p>
    <w:p w:rsidR="008B7723" w:rsidRDefault="008B7723" w:rsidP="00980876">
      <w:pPr>
        <w:widowControl w:val="0"/>
        <w:numPr>
          <w:ilvl w:val="0"/>
          <w:numId w:val="406"/>
        </w:numPr>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Kreditérték és képzési karakter: </w:t>
      </w:r>
    </w:p>
    <w:p w:rsidR="008B7723" w:rsidRDefault="008B7723" w:rsidP="00980876">
      <w:pPr>
        <w:widowControl w:val="0"/>
        <w:numPr>
          <w:ilvl w:val="1"/>
          <w:numId w:val="406"/>
        </w:numPr>
        <w:spacing w:before="120" w:after="120" w:line="240" w:lineRule="auto"/>
        <w:ind w:left="993" w:hanging="426"/>
        <w:contextualSpacing/>
        <w:jc w:val="both"/>
        <w:rPr>
          <w:rFonts w:ascii="Times New Roman" w:eastAsia="Times New Roman" w:hAnsi="Times New Roman" w:cs="Times New Roman"/>
          <w:b/>
          <w:bCs/>
        </w:rPr>
      </w:pPr>
      <w:r>
        <w:rPr>
          <w:rFonts w:ascii="Times New Roman" w:eastAsia="Times New Roman" w:hAnsi="Times New Roman" w:cs="Times New Roman"/>
          <w:bCs/>
        </w:rPr>
        <w:t>2 kredit</w:t>
      </w:r>
    </w:p>
    <w:p w:rsidR="008B7723" w:rsidRDefault="008B7723" w:rsidP="00980876">
      <w:pPr>
        <w:widowControl w:val="0"/>
        <w:numPr>
          <w:ilvl w:val="1"/>
          <w:numId w:val="406"/>
        </w:numPr>
        <w:spacing w:before="120" w:after="120" w:line="240" w:lineRule="auto"/>
        <w:ind w:left="993" w:hanging="426"/>
        <w:contextualSpacing/>
        <w:jc w:val="both"/>
        <w:rPr>
          <w:rFonts w:ascii="Times New Roman" w:eastAsia="Times New Roman" w:hAnsi="Times New Roman" w:cs="Times New Roman"/>
          <w:bCs/>
        </w:rPr>
      </w:pPr>
      <w:r w:rsidRPr="008B7723">
        <w:rPr>
          <w:rFonts w:ascii="Times New Roman" w:eastAsia="Times New Roman" w:hAnsi="Times New Roman" w:cs="Times New Roman"/>
          <w:bCs/>
        </w:rPr>
        <w:t>a tantárgy elméleti vagy gyakorlati jellegének mértéke: 20% gyakorlat, 80% elmélet</w:t>
      </w:r>
    </w:p>
    <w:p w:rsidR="008B7723" w:rsidRPr="008B7723" w:rsidRDefault="008B7723" w:rsidP="008B7723">
      <w:pPr>
        <w:widowControl w:val="0"/>
        <w:spacing w:before="120" w:after="120" w:line="240" w:lineRule="auto"/>
        <w:ind w:left="993"/>
        <w:contextualSpacing/>
        <w:jc w:val="both"/>
        <w:rPr>
          <w:rFonts w:ascii="Times New Roman" w:eastAsia="Times New Roman" w:hAnsi="Times New Roman" w:cs="Times New Roman"/>
          <w:bCs/>
          <w:sz w:val="8"/>
        </w:rPr>
      </w:pPr>
    </w:p>
    <w:p w:rsidR="008B7723" w:rsidRPr="008B7723" w:rsidRDefault="008B7723" w:rsidP="00980876">
      <w:pPr>
        <w:widowControl w:val="0"/>
        <w:numPr>
          <w:ilvl w:val="0"/>
          <w:numId w:val="406"/>
        </w:numPr>
        <w:spacing w:before="120" w:after="120" w:line="240" w:lineRule="auto"/>
        <w:ind w:left="426" w:hanging="142"/>
        <w:jc w:val="both"/>
        <w:rPr>
          <w:rFonts w:ascii="Times New Roman" w:eastAsia="Times New Roman" w:hAnsi="Times New Roman" w:cs="Times New Roman"/>
          <w:bCs/>
        </w:rPr>
      </w:pPr>
      <w:r w:rsidRPr="008B7723">
        <w:rPr>
          <w:rFonts w:ascii="Times New Roman" w:eastAsia="Times New Roman" w:hAnsi="Times New Roman" w:cs="Times New Roman"/>
          <w:b/>
          <w:bCs/>
        </w:rPr>
        <w:t xml:space="preserve">A szak(ok), szakirányok/specializációk megnevezése (ahol oktatják): </w:t>
      </w:r>
      <w:r w:rsidRPr="008B7723">
        <w:rPr>
          <w:rFonts w:ascii="Times New Roman" w:eastAsia="Times New Roman" w:hAnsi="Times New Roman" w:cs="Times New Roman"/>
          <w:bCs/>
        </w:rPr>
        <w:t>Katonai logisztika alapképzési (</w:t>
      </w:r>
      <w:r w:rsidR="00137B8A">
        <w:rPr>
          <w:rFonts w:ascii="Times New Roman" w:eastAsia="Times New Roman" w:hAnsi="Times New Roman" w:cs="Times New Roman"/>
          <w:bCs/>
        </w:rPr>
        <w:t>BSc</w:t>
      </w:r>
      <w:r w:rsidRPr="008B7723">
        <w:rPr>
          <w:rFonts w:ascii="Times New Roman" w:eastAsia="Times New Roman" w:hAnsi="Times New Roman" w:cs="Times New Roman"/>
          <w:bCs/>
        </w:rPr>
        <w:t>) szak hadtáp specializáció, katonai közlekedési specializáció, katonai pénzügyi specializáció.</w:t>
      </w:r>
    </w:p>
    <w:p w:rsidR="008B7723" w:rsidRDefault="008B7723" w:rsidP="00980876">
      <w:pPr>
        <w:widowControl w:val="0"/>
        <w:numPr>
          <w:ilvl w:val="0"/>
          <w:numId w:val="406"/>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Az oktatásért felelős oktatási szervezeti egység megnevezése: </w:t>
      </w:r>
      <w:r>
        <w:rPr>
          <w:rFonts w:ascii="Times New Roman" w:eastAsia="Times New Roman" w:hAnsi="Times New Roman" w:cs="Times New Roman"/>
          <w:bCs/>
        </w:rPr>
        <w:t>NKE HHK Hadtáp, Pénzügyi és Katonai Közlekedési Tanszék</w:t>
      </w:r>
    </w:p>
    <w:p w:rsidR="008B7723" w:rsidRDefault="008B7723" w:rsidP="00980876">
      <w:pPr>
        <w:widowControl w:val="0"/>
        <w:numPr>
          <w:ilvl w:val="0"/>
          <w:numId w:val="406"/>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tantárgyfelelős oktató neve, beosztása, tudományos fokozata:</w:t>
      </w:r>
      <w:r>
        <w:rPr>
          <w:rFonts w:ascii="Times New Roman" w:eastAsia="Times New Roman" w:hAnsi="Times New Roman" w:cs="Times New Roman"/>
          <w:bCs/>
        </w:rPr>
        <w:t xml:space="preserve"> </w:t>
      </w:r>
      <w:r>
        <w:rPr>
          <w:rFonts w:ascii="Times New Roman" w:hAnsi="Times New Roman" w:cs="Times New Roman"/>
          <w:bCs/>
        </w:rPr>
        <w:t>Dr. Derzsényi Attila, PhD adjunktus</w:t>
      </w:r>
    </w:p>
    <w:p w:rsidR="008B7723" w:rsidRDefault="008B7723" w:rsidP="00980876">
      <w:pPr>
        <w:widowControl w:val="0"/>
        <w:numPr>
          <w:ilvl w:val="0"/>
          <w:numId w:val="406"/>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tanórák száma és típusa</w:t>
      </w:r>
    </w:p>
    <w:p w:rsidR="008B7723" w:rsidRDefault="008B7723" w:rsidP="00980876">
      <w:pPr>
        <w:widowControl w:val="0"/>
        <w:numPr>
          <w:ilvl w:val="1"/>
          <w:numId w:val="406"/>
        </w:numPr>
        <w:spacing w:after="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össz óraszám/félév:</w:t>
      </w:r>
    </w:p>
    <w:p w:rsidR="008B7723" w:rsidRDefault="008B7723" w:rsidP="00980876">
      <w:pPr>
        <w:widowControl w:val="0"/>
        <w:numPr>
          <w:ilvl w:val="2"/>
          <w:numId w:val="406"/>
        </w:numPr>
        <w:spacing w:after="0" w:line="240" w:lineRule="auto"/>
        <w:ind w:left="1134" w:hanging="425"/>
        <w:jc w:val="both"/>
        <w:rPr>
          <w:rFonts w:ascii="Times New Roman" w:eastAsia="Times New Roman" w:hAnsi="Times New Roman" w:cs="Times New Roman"/>
          <w:bCs/>
        </w:rPr>
      </w:pPr>
      <w:r>
        <w:rPr>
          <w:rFonts w:ascii="Times New Roman" w:eastAsia="Times New Roman" w:hAnsi="Times New Roman" w:cs="Times New Roman"/>
          <w:bCs/>
        </w:rPr>
        <w:t>nappali munkarend: 28 (24 EA + 4 SZ + 0 GY)</w:t>
      </w:r>
    </w:p>
    <w:p w:rsidR="008B7723" w:rsidRDefault="008B7723" w:rsidP="00980876">
      <w:pPr>
        <w:widowControl w:val="0"/>
        <w:numPr>
          <w:ilvl w:val="2"/>
          <w:numId w:val="406"/>
        </w:numPr>
        <w:spacing w:after="0" w:line="240" w:lineRule="auto"/>
        <w:ind w:left="1134" w:hanging="425"/>
        <w:jc w:val="both"/>
        <w:rPr>
          <w:rFonts w:ascii="Times New Roman" w:eastAsia="Times New Roman" w:hAnsi="Times New Roman" w:cs="Times New Roman"/>
          <w:bCs/>
        </w:rPr>
      </w:pPr>
      <w:r>
        <w:rPr>
          <w:rFonts w:ascii="Times New Roman" w:eastAsia="Times New Roman" w:hAnsi="Times New Roman" w:cs="Times New Roman"/>
          <w:bCs/>
        </w:rPr>
        <w:t>levelező munkarend: -</w:t>
      </w:r>
    </w:p>
    <w:p w:rsidR="008B7723" w:rsidRDefault="008B7723" w:rsidP="00980876">
      <w:pPr>
        <w:widowControl w:val="0"/>
        <w:numPr>
          <w:ilvl w:val="1"/>
          <w:numId w:val="406"/>
        </w:numPr>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heti óraszám - nappali munkarend: 2</w:t>
      </w:r>
    </w:p>
    <w:p w:rsidR="008B7723" w:rsidRDefault="008B7723" w:rsidP="00980876">
      <w:pPr>
        <w:widowControl w:val="0"/>
        <w:numPr>
          <w:ilvl w:val="1"/>
          <w:numId w:val="406"/>
        </w:numPr>
        <w:spacing w:before="120" w:after="120" w:line="240" w:lineRule="auto"/>
        <w:ind w:left="851" w:hanging="425"/>
        <w:jc w:val="both"/>
        <w:rPr>
          <w:rFonts w:ascii="Times New Roman" w:eastAsia="Times New Roman" w:hAnsi="Times New Roman" w:cs="Times New Roman"/>
          <w:bCs/>
        </w:rPr>
      </w:pPr>
      <w:r>
        <w:rPr>
          <w:rFonts w:ascii="Times New Roman" w:hAnsi="Times New Roman" w:cs="Times New Roman"/>
        </w:rPr>
        <w:t>Az ismeret átadásában alkalmazandó további sajátos módok, jellemzők:</w:t>
      </w:r>
      <w:r>
        <w:rPr>
          <w:rFonts w:ascii="Times New Roman" w:hAnsi="Times New Roman" w:cs="Times New Roman"/>
          <w:i/>
        </w:rPr>
        <w:t xml:space="preserve"> –</w:t>
      </w:r>
    </w:p>
    <w:p w:rsidR="008B7723" w:rsidRDefault="008B7723" w:rsidP="00980876">
      <w:pPr>
        <w:widowControl w:val="0"/>
        <w:numPr>
          <w:ilvl w:val="0"/>
          <w:numId w:val="406"/>
        </w:numPr>
        <w:spacing w:before="120" w:after="120" w:line="240" w:lineRule="auto"/>
        <w:ind w:left="426" w:hanging="142"/>
        <w:jc w:val="both"/>
        <w:rPr>
          <w:rFonts w:ascii="Times New Roman" w:eastAsia="Times New Roman" w:hAnsi="Times New Roman" w:cs="Times New Roman"/>
          <w:bCs/>
          <w:lang w:val="en-GB"/>
        </w:rPr>
      </w:pPr>
      <w:r>
        <w:rPr>
          <w:rFonts w:ascii="Times New Roman" w:eastAsia="Times New Roman" w:hAnsi="Times New Roman" w:cs="Times New Roman"/>
          <w:b/>
          <w:bCs/>
        </w:rPr>
        <w:t>A tantárgy szakmai tartalma (magyarul):</w:t>
      </w:r>
    </w:p>
    <w:p w:rsidR="008B7723" w:rsidRDefault="008B7723" w:rsidP="008B7723">
      <w:pPr>
        <w:pStyle w:val="lfej"/>
        <w:tabs>
          <w:tab w:val="right" w:pos="900"/>
        </w:tabs>
        <w:spacing w:before="120"/>
        <w:ind w:left="360"/>
        <w:jc w:val="both"/>
        <w:rPr>
          <w:rFonts w:ascii="Times New Roman" w:hAnsi="Times New Roman" w:cs="Times New Roman"/>
          <w:bCs/>
        </w:rPr>
      </w:pPr>
      <w:r>
        <w:rPr>
          <w:rFonts w:ascii="Times New Roman" w:hAnsi="Times New Roman" w:cs="Times New Roman"/>
          <w:bCs/>
        </w:rPr>
        <w:t>A hallgatók átfogó módon ismerkedhetnek meg a Magyar Honvédség beszerzését meghatározó alapvető jogszabályokkal, és a beszerzés működését befolyásoló intézkedésekkel. A védelmi, közbeszerzési és speciális katonai eljárások előkészítésének és lefolytatásának alapjai. A szakmai, beszerzési, jogi és pénzügyi szakértelemmel rendelkező tagok feladatai és felelősségei. A honvédség beszerzési eljárásainak sajátosságai.</w:t>
      </w:r>
    </w:p>
    <w:p w:rsidR="008B7723" w:rsidRDefault="008B7723" w:rsidP="008B7723">
      <w:pPr>
        <w:widowControl w:val="0"/>
        <w:spacing w:before="120" w:after="120" w:line="240" w:lineRule="auto"/>
        <w:ind w:left="426"/>
        <w:jc w:val="both"/>
        <w:rPr>
          <w:rFonts w:ascii="Times New Roman" w:eastAsia="Times New Roman" w:hAnsi="Times New Roman" w:cs="Times New Roman"/>
          <w:bCs/>
        </w:rPr>
      </w:pPr>
      <w:r>
        <w:rPr>
          <w:rFonts w:ascii="Times New Roman" w:eastAsia="Times New Roman" w:hAnsi="Times New Roman" w:cs="Times New Roman"/>
          <w:b/>
          <w:bCs/>
        </w:rPr>
        <w:t>A tantárgy szakmai tartalma (angolul) (</w:t>
      </w:r>
      <w:r>
        <w:rPr>
          <w:rFonts w:ascii="Times New Roman" w:eastAsia="Times New Roman" w:hAnsi="Times New Roman" w:cs="Times New Roman"/>
          <w:b/>
          <w:bCs/>
          <w:lang w:val="en-US"/>
        </w:rPr>
        <w:t>Course description</w:t>
      </w:r>
      <w:r>
        <w:rPr>
          <w:rFonts w:ascii="Times New Roman" w:eastAsia="Times New Roman" w:hAnsi="Times New Roman" w:cs="Times New Roman"/>
          <w:b/>
          <w:bCs/>
        </w:rPr>
        <w:t>):</w:t>
      </w:r>
    </w:p>
    <w:p w:rsidR="008B7723" w:rsidRDefault="008B7723" w:rsidP="008B7723">
      <w:pPr>
        <w:tabs>
          <w:tab w:val="right" w:pos="426"/>
          <w:tab w:val="center" w:pos="4536"/>
          <w:tab w:val="right" w:pos="9072"/>
        </w:tabs>
        <w:spacing w:after="0" w:line="240" w:lineRule="auto"/>
        <w:ind w:left="426"/>
        <w:jc w:val="both"/>
        <w:rPr>
          <w:rFonts w:ascii="Times New Roman" w:eastAsia="Times New Roman" w:hAnsi="Times New Roman" w:cs="Times New Roman"/>
          <w:bCs/>
          <w:lang w:val="en-GB" w:eastAsia="hu-HU"/>
        </w:rPr>
      </w:pPr>
      <w:r>
        <w:rPr>
          <w:rFonts w:ascii="Times New Roman" w:eastAsia="Times New Roman" w:hAnsi="Times New Roman" w:cs="Times New Roman"/>
          <w:bCs/>
          <w:lang w:val="en" w:eastAsia="hu-HU"/>
        </w:rPr>
        <w:t xml:space="preserve">Students can get acquainted with the basic laws defining the procurement of the Hungarian Defense Forces and the professional measures affecting the operation of procurement. </w:t>
      </w:r>
      <w:r>
        <w:rPr>
          <w:rFonts w:ascii="Times New Roman" w:eastAsia="Times New Roman" w:hAnsi="Times New Roman" w:cs="Times New Roman"/>
          <w:bCs/>
          <w:lang w:val="en-GB" w:eastAsia="hu-HU"/>
        </w:rPr>
        <w:t>The preparation and conduct of the defence and security, public procurement and special military procedures. Duties and responsibilities of the professional, legal, financial  and procurement members</w:t>
      </w:r>
    </w:p>
    <w:p w:rsidR="008B7723" w:rsidRDefault="008B7723" w:rsidP="00980876">
      <w:pPr>
        <w:widowControl w:val="0"/>
        <w:numPr>
          <w:ilvl w:val="0"/>
          <w:numId w:val="406"/>
        </w:numPr>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Elérendő kompetenciák (magyarul):</w:t>
      </w:r>
    </w:p>
    <w:p w:rsidR="008B7723" w:rsidRDefault="008B7723" w:rsidP="008B7723">
      <w:pPr>
        <w:spacing w:before="120" w:after="0" w:line="240" w:lineRule="auto"/>
        <w:ind w:left="426" w:right="141"/>
        <w:jc w:val="both"/>
        <w:rPr>
          <w:rFonts w:ascii="Times New Roman" w:hAnsi="Times New Roman" w:cs="Times New Roman"/>
          <w:bCs/>
        </w:rPr>
      </w:pPr>
      <w:r>
        <w:rPr>
          <w:rFonts w:ascii="Times New Roman" w:hAnsi="Times New Roman" w:cs="Times New Roman"/>
          <w:bCs/>
        </w:rPr>
        <w:t xml:space="preserve">A katonai beszerzéshez kapcsolódó jogi szabályozók, alapvető fogalmak, alapelvek, valamint a katonai beszerzési eljárásrenddel, az intézményrendszerével kapcsolatos jogi és igazgatási,  a  gazdasági  és  pénzügyi,  valamint  a  menedzsment  tudományok  területéről szerzett,  elméleti  és  gyakorlati  ismeretek  elsajátítása  és  azok  alkalmazási  készsége,  honvédség specialitásainak figyelembevételével. </w:t>
      </w:r>
    </w:p>
    <w:p w:rsidR="008B7723" w:rsidRDefault="008B7723" w:rsidP="008B7723">
      <w:pPr>
        <w:spacing w:before="120" w:after="0" w:line="240" w:lineRule="auto"/>
        <w:ind w:left="426" w:right="141"/>
        <w:jc w:val="both"/>
        <w:rPr>
          <w:rFonts w:ascii="Times New Roman" w:hAnsi="Times New Roman" w:cs="Times New Roman"/>
          <w:b/>
          <w:bCs/>
        </w:rPr>
      </w:pPr>
      <w:r>
        <w:rPr>
          <w:rFonts w:ascii="Times New Roman" w:hAnsi="Times New Roman" w:cs="Times New Roman"/>
          <w:b/>
          <w:bCs/>
        </w:rPr>
        <w:t xml:space="preserve">Tudás: </w:t>
      </w:r>
    </w:p>
    <w:p w:rsidR="008B7723" w:rsidRPr="006402BC" w:rsidRDefault="008B7723" w:rsidP="00980876">
      <w:pPr>
        <w:pStyle w:val="Listaszerbekezds"/>
        <w:numPr>
          <w:ilvl w:val="0"/>
          <w:numId w:val="305"/>
        </w:numPr>
        <w:spacing w:after="0" w:line="240" w:lineRule="auto"/>
        <w:ind w:left="1145" w:right="142" w:hanging="357"/>
        <w:jc w:val="both"/>
        <w:rPr>
          <w:rFonts w:ascii="Times New Roman" w:hAnsi="Times New Roman" w:cs="Times New Roman"/>
          <w:b/>
          <w:bCs/>
        </w:rPr>
      </w:pPr>
      <w:r w:rsidRPr="006402BC">
        <w:rPr>
          <w:rFonts w:ascii="Times New Roman" w:hAnsi="Times New Roman" w:cs="Times New Roman"/>
          <w:bCs/>
        </w:rPr>
        <w:t>Ismeri a katonai beszerzés tartalmát, rendszerének elemeit és azok rendeltetését.</w:t>
      </w:r>
      <w:r w:rsidRPr="006402BC">
        <w:rPr>
          <w:rFonts w:ascii="Times New Roman" w:hAnsi="Times New Roman" w:cs="Times New Roman"/>
          <w:b/>
          <w:bCs/>
        </w:rPr>
        <w:t xml:space="preserve">  </w:t>
      </w:r>
    </w:p>
    <w:p w:rsidR="008B7723" w:rsidRDefault="008B7723" w:rsidP="008B7723">
      <w:pPr>
        <w:spacing w:before="120" w:after="0" w:line="240" w:lineRule="auto"/>
        <w:ind w:left="426" w:right="141"/>
        <w:jc w:val="both"/>
        <w:rPr>
          <w:rFonts w:ascii="Times New Roman" w:hAnsi="Times New Roman" w:cs="Times New Roman"/>
          <w:b/>
          <w:bCs/>
        </w:rPr>
      </w:pPr>
    </w:p>
    <w:p w:rsidR="008B7723" w:rsidRDefault="008B7723" w:rsidP="008B7723">
      <w:pPr>
        <w:spacing w:before="120" w:after="0" w:line="240" w:lineRule="auto"/>
        <w:ind w:left="426" w:right="141"/>
        <w:jc w:val="both"/>
        <w:rPr>
          <w:rFonts w:ascii="Times New Roman" w:hAnsi="Times New Roman" w:cs="Times New Roman"/>
          <w:b/>
          <w:bCs/>
        </w:rPr>
      </w:pPr>
      <w:r>
        <w:rPr>
          <w:rFonts w:ascii="Times New Roman" w:hAnsi="Times New Roman" w:cs="Times New Roman"/>
          <w:b/>
          <w:bCs/>
        </w:rPr>
        <w:lastRenderedPageBreak/>
        <w:t xml:space="preserve">Képesség: </w:t>
      </w:r>
    </w:p>
    <w:p w:rsidR="008B7723" w:rsidRDefault="008B7723" w:rsidP="00980876">
      <w:pPr>
        <w:pStyle w:val="Listaszerbekezds"/>
        <w:numPr>
          <w:ilvl w:val="0"/>
          <w:numId w:val="305"/>
        </w:numPr>
        <w:spacing w:after="0" w:line="240" w:lineRule="auto"/>
        <w:ind w:left="1145" w:right="142" w:hanging="357"/>
        <w:jc w:val="both"/>
        <w:rPr>
          <w:rFonts w:ascii="Times New Roman" w:hAnsi="Times New Roman" w:cs="Times New Roman"/>
          <w:bCs/>
        </w:rPr>
      </w:pPr>
      <w:r>
        <w:rPr>
          <w:rFonts w:ascii="Times New Roman" w:hAnsi="Times New Roman" w:cs="Times New Roman"/>
          <w:bCs/>
        </w:rPr>
        <w:t xml:space="preserve">Képes a megszerzett tudás alkalmazására és gyakorlati hasznosítására, a problémamegoldó technikák használatára. </w:t>
      </w:r>
    </w:p>
    <w:p w:rsidR="008B7723" w:rsidRDefault="008B7723" w:rsidP="00980876">
      <w:pPr>
        <w:pStyle w:val="Listaszerbekezds"/>
        <w:numPr>
          <w:ilvl w:val="0"/>
          <w:numId w:val="305"/>
        </w:numPr>
        <w:spacing w:before="120" w:after="0" w:line="240" w:lineRule="auto"/>
        <w:ind w:right="141"/>
        <w:jc w:val="both"/>
        <w:rPr>
          <w:rFonts w:ascii="Times New Roman" w:hAnsi="Times New Roman" w:cs="Times New Roman"/>
          <w:b/>
          <w:bCs/>
        </w:rPr>
      </w:pPr>
      <w:r>
        <w:rPr>
          <w:rFonts w:ascii="Times New Roman" w:hAnsi="Times New Roman" w:cs="Times New Roman"/>
          <w:bCs/>
        </w:rPr>
        <w:t>Ismerjék és legyenek képesek részt venni a honvédség beszerzési eljárásaiban</w:t>
      </w:r>
      <w:r>
        <w:rPr>
          <w:rFonts w:ascii="Times New Roman" w:hAnsi="Times New Roman" w:cs="Times New Roman"/>
          <w:b/>
          <w:bCs/>
        </w:rPr>
        <w:t>.</w:t>
      </w:r>
    </w:p>
    <w:p w:rsidR="008B7723" w:rsidRDefault="008B7723" w:rsidP="008B7723">
      <w:pPr>
        <w:spacing w:before="120" w:after="0" w:line="240" w:lineRule="auto"/>
        <w:ind w:left="426" w:right="141"/>
        <w:jc w:val="both"/>
        <w:rPr>
          <w:rFonts w:ascii="Times New Roman" w:hAnsi="Times New Roman" w:cs="Times New Roman"/>
          <w:b/>
          <w:bCs/>
        </w:rPr>
      </w:pPr>
      <w:r>
        <w:rPr>
          <w:rFonts w:ascii="Times New Roman" w:hAnsi="Times New Roman" w:cs="Times New Roman"/>
          <w:b/>
          <w:bCs/>
        </w:rPr>
        <w:t xml:space="preserve">Attitűd: </w:t>
      </w:r>
    </w:p>
    <w:p w:rsidR="008B7723" w:rsidRPr="006402BC" w:rsidRDefault="008B7723" w:rsidP="00980876">
      <w:pPr>
        <w:pStyle w:val="Listaszerbekezds"/>
        <w:numPr>
          <w:ilvl w:val="0"/>
          <w:numId w:val="305"/>
        </w:numPr>
        <w:spacing w:after="0" w:line="240" w:lineRule="auto"/>
        <w:ind w:left="1145" w:right="142" w:hanging="357"/>
        <w:jc w:val="both"/>
        <w:rPr>
          <w:rFonts w:ascii="Times New Roman" w:hAnsi="Times New Roman" w:cs="Times New Roman"/>
          <w:bCs/>
        </w:rPr>
      </w:pPr>
      <w:r w:rsidRPr="006402BC">
        <w:rPr>
          <w:rFonts w:ascii="Times New Roman" w:hAnsi="Times New Roman" w:cs="Times New Roman"/>
          <w:bCs/>
        </w:rPr>
        <w:t>Elkötelezett</w:t>
      </w:r>
      <w:r>
        <w:rPr>
          <w:rFonts w:ascii="Times New Roman" w:hAnsi="Times New Roman" w:cs="Times New Roman"/>
          <w:bCs/>
        </w:rPr>
        <w:t xml:space="preserve"> abban, hogy felkészülten, ismereteit folyamatosan fejlesztve átültesse a gyakorlatba az országvédelem stratégiai céljait, és a szövetségi rendszer érdekeinek megfelelően alakítsa a saját kompetenciájába tartozó folyamatokat.</w:t>
      </w:r>
    </w:p>
    <w:p w:rsidR="008B7723" w:rsidRDefault="008B7723" w:rsidP="008B7723">
      <w:pPr>
        <w:spacing w:before="120" w:after="0" w:line="240" w:lineRule="auto"/>
        <w:ind w:left="426" w:right="141"/>
        <w:jc w:val="both"/>
        <w:rPr>
          <w:rFonts w:ascii="Times New Roman" w:hAnsi="Times New Roman" w:cs="Times New Roman"/>
          <w:b/>
          <w:bCs/>
        </w:rPr>
      </w:pPr>
      <w:r>
        <w:rPr>
          <w:rFonts w:ascii="Times New Roman" w:hAnsi="Times New Roman" w:cs="Times New Roman"/>
          <w:b/>
          <w:bCs/>
        </w:rPr>
        <w:t xml:space="preserve">Autonómia és felelősség: </w:t>
      </w:r>
    </w:p>
    <w:p w:rsidR="008B7723" w:rsidRDefault="008B7723" w:rsidP="00980876">
      <w:pPr>
        <w:pStyle w:val="Listaszerbekezds"/>
        <w:numPr>
          <w:ilvl w:val="0"/>
          <w:numId w:val="305"/>
        </w:numPr>
        <w:spacing w:after="0" w:line="240" w:lineRule="auto"/>
        <w:ind w:left="1145" w:right="142" w:hanging="357"/>
        <w:jc w:val="both"/>
        <w:rPr>
          <w:rFonts w:ascii="Times New Roman" w:hAnsi="Times New Roman" w:cs="Times New Roman"/>
          <w:bCs/>
        </w:rPr>
      </w:pPr>
      <w:r>
        <w:rPr>
          <w:rFonts w:ascii="Times New Roman" w:hAnsi="Times New Roman" w:cs="Times New Roman"/>
          <w:bCs/>
        </w:rPr>
        <w:t xml:space="preserve">Elsajátított ismeretei és megszerzett készségei alapján szakmailag megfelelő módon értelmezi és alkalmazza a megszerzett metódusokat, elemző-értékelő módszereket. </w:t>
      </w:r>
    </w:p>
    <w:p w:rsidR="008B7723" w:rsidRDefault="008B7723" w:rsidP="00980876">
      <w:pPr>
        <w:pStyle w:val="Listaszerbekezds"/>
        <w:numPr>
          <w:ilvl w:val="0"/>
          <w:numId w:val="305"/>
        </w:numPr>
        <w:spacing w:before="120" w:after="0" w:line="240" w:lineRule="auto"/>
        <w:ind w:right="141"/>
        <w:jc w:val="both"/>
        <w:rPr>
          <w:rFonts w:ascii="Times New Roman" w:hAnsi="Times New Roman" w:cs="Times New Roman"/>
          <w:bCs/>
        </w:rPr>
      </w:pPr>
      <w:r>
        <w:rPr>
          <w:rFonts w:ascii="Times New Roman" w:hAnsi="Times New Roman" w:cs="Times New Roman"/>
          <w:bCs/>
        </w:rPr>
        <w:t xml:space="preserve">A rábízott szakmai területeket tudása és képességei legjavát alkalmazva elemzi-értékeli, a döntések előkészítésében, meghozatalában és végrehajtásában következetes. </w:t>
      </w:r>
    </w:p>
    <w:p w:rsidR="008B7723" w:rsidRPr="006402BC" w:rsidRDefault="008B7723" w:rsidP="00980876">
      <w:pPr>
        <w:pStyle w:val="Listaszerbekezds"/>
        <w:numPr>
          <w:ilvl w:val="0"/>
          <w:numId w:val="305"/>
        </w:numPr>
        <w:spacing w:before="120" w:after="0" w:line="240" w:lineRule="auto"/>
        <w:ind w:right="141"/>
        <w:jc w:val="both"/>
        <w:rPr>
          <w:rFonts w:ascii="Times New Roman" w:hAnsi="Times New Roman" w:cs="Times New Roman"/>
          <w:bCs/>
        </w:rPr>
      </w:pPr>
      <w:r>
        <w:rPr>
          <w:rFonts w:ascii="Times New Roman" w:hAnsi="Times New Roman" w:cs="Times New Roman"/>
          <w:bCs/>
        </w:rPr>
        <w:t>Felelősséget vállal önmaga folyamatos fejlesztésére és képzésére</w:t>
      </w:r>
    </w:p>
    <w:p w:rsidR="008B7723" w:rsidRDefault="008B7723" w:rsidP="008B7723">
      <w:pPr>
        <w:spacing w:before="120" w:after="0" w:line="240" w:lineRule="auto"/>
        <w:ind w:right="141" w:firstLine="357"/>
        <w:jc w:val="both"/>
        <w:rPr>
          <w:rFonts w:ascii="Times New Roman" w:hAnsi="Times New Roman" w:cs="Times New Roman"/>
          <w:b/>
          <w:bCs/>
          <w:lang w:val="en-US"/>
        </w:rPr>
      </w:pPr>
      <w:r>
        <w:rPr>
          <w:rFonts w:ascii="Times New Roman" w:hAnsi="Times New Roman" w:cs="Times New Roman"/>
          <w:b/>
          <w:bCs/>
        </w:rPr>
        <w:t>Elérendő kompetenciák (angolul) (</w:t>
      </w:r>
      <w:r>
        <w:rPr>
          <w:rFonts w:ascii="Times New Roman" w:hAnsi="Times New Roman" w:cs="Times New Roman"/>
          <w:b/>
          <w:bCs/>
          <w:lang w:val="en-US"/>
        </w:rPr>
        <w:t xml:space="preserve">Competences – English): </w:t>
      </w:r>
    </w:p>
    <w:p w:rsidR="008B7723" w:rsidRDefault="008B7723" w:rsidP="008B7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357"/>
        <w:jc w:val="both"/>
        <w:rPr>
          <w:rFonts w:ascii="Times New Roman" w:eastAsia="Times New Roman" w:hAnsi="Times New Roman" w:cs="Times New Roman"/>
          <w:lang w:val="en-GB" w:eastAsia="hu-HU"/>
        </w:rPr>
      </w:pPr>
      <w:r>
        <w:rPr>
          <w:rFonts w:ascii="Times New Roman" w:eastAsia="Times New Roman" w:hAnsi="Times New Roman" w:cs="Times New Roman"/>
          <w:lang w:val="en-GB" w:eastAsia="hu-HU"/>
        </w:rPr>
        <w:t xml:space="preserve">In  this  subject,  the  students  gain  knowledge  of  legal  regulations  related  to  military procurement,  get  to  know  basic  concepts,  principles  and  patterns  of  military  procurement procedures, as well as the institutional system of military procurement. Furthermore, students can acquire knowledge from legal, administrative, economic and financial fields by taking into account the specialties of Military. </w:t>
      </w:r>
    </w:p>
    <w:p w:rsidR="008B7723" w:rsidRDefault="008B7723" w:rsidP="008B7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357"/>
        <w:jc w:val="both"/>
        <w:rPr>
          <w:rFonts w:ascii="Times New Roman" w:eastAsia="Times New Roman" w:hAnsi="Times New Roman" w:cs="Times New Roman"/>
          <w:b/>
          <w:lang w:val="en-GB" w:eastAsia="hu-HU"/>
        </w:rPr>
      </w:pPr>
      <w:r>
        <w:rPr>
          <w:rFonts w:ascii="Times New Roman" w:eastAsia="Times New Roman" w:hAnsi="Times New Roman" w:cs="Times New Roman"/>
          <w:b/>
          <w:lang w:val="en-GB" w:eastAsia="hu-HU"/>
        </w:rPr>
        <w:t xml:space="preserve">Knowledge: </w:t>
      </w:r>
    </w:p>
    <w:p w:rsidR="008B7723" w:rsidRDefault="008B7723" w:rsidP="00980876">
      <w:pPr>
        <w:pStyle w:val="Listaszerbekezds"/>
        <w:numPr>
          <w:ilvl w:val="0"/>
          <w:numId w:val="305"/>
        </w:numPr>
        <w:spacing w:after="0" w:line="240" w:lineRule="auto"/>
        <w:ind w:left="1145" w:right="142" w:hanging="357"/>
        <w:jc w:val="both"/>
        <w:rPr>
          <w:rFonts w:ascii="Times New Roman" w:eastAsia="Times New Roman" w:hAnsi="Times New Roman" w:cs="Times New Roman"/>
          <w:b/>
          <w:lang w:val="en-GB" w:eastAsia="hu-HU"/>
        </w:rPr>
      </w:pPr>
      <w:r>
        <w:rPr>
          <w:rFonts w:ascii="Times New Roman" w:eastAsia="Times New Roman" w:hAnsi="Times New Roman" w:cs="Times New Roman"/>
          <w:lang w:val="en-GB" w:eastAsia="hu-HU"/>
        </w:rPr>
        <w:t xml:space="preserve">Student </w:t>
      </w:r>
      <w:r w:rsidRPr="006402BC">
        <w:rPr>
          <w:rFonts w:ascii="Times New Roman" w:hAnsi="Times New Roman" w:cs="Times New Roman"/>
          <w:bCs/>
        </w:rPr>
        <w:t>knows</w:t>
      </w:r>
      <w:r>
        <w:rPr>
          <w:rFonts w:ascii="Times New Roman" w:eastAsia="Times New Roman" w:hAnsi="Times New Roman" w:cs="Times New Roman"/>
          <w:lang w:val="en-GB" w:eastAsia="hu-HU"/>
        </w:rPr>
        <w:t xml:space="preserve"> the contents of the military procurement system, its system elements and destination specifications as well.</w:t>
      </w:r>
    </w:p>
    <w:p w:rsidR="008B7723" w:rsidRDefault="008B7723" w:rsidP="008B7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357"/>
        <w:jc w:val="both"/>
        <w:rPr>
          <w:rFonts w:ascii="Times New Roman" w:eastAsia="Times New Roman" w:hAnsi="Times New Roman" w:cs="Times New Roman"/>
          <w:b/>
          <w:lang w:val="en-GB" w:eastAsia="hu-HU"/>
        </w:rPr>
      </w:pPr>
      <w:r>
        <w:rPr>
          <w:rFonts w:ascii="Times New Roman" w:eastAsia="Times New Roman" w:hAnsi="Times New Roman" w:cs="Times New Roman"/>
          <w:b/>
          <w:lang w:val="en-GB" w:eastAsia="hu-HU"/>
        </w:rPr>
        <w:t xml:space="preserve">Abilities: </w:t>
      </w:r>
    </w:p>
    <w:p w:rsidR="008B7723" w:rsidRDefault="008B7723" w:rsidP="00980876">
      <w:pPr>
        <w:pStyle w:val="Listaszerbekezds"/>
        <w:numPr>
          <w:ilvl w:val="0"/>
          <w:numId w:val="305"/>
        </w:numPr>
        <w:spacing w:after="0" w:line="240" w:lineRule="auto"/>
        <w:ind w:left="1145" w:right="142" w:hanging="357"/>
        <w:jc w:val="both"/>
        <w:rPr>
          <w:rFonts w:ascii="Times New Roman" w:hAnsi="Times New Roman" w:cs="Times New Roman"/>
          <w:bCs/>
        </w:rPr>
      </w:pPr>
      <w:r w:rsidRPr="006402BC">
        <w:rPr>
          <w:rFonts w:ascii="Times New Roman" w:hAnsi="Times New Roman" w:cs="Times New Roman"/>
          <w:bCs/>
        </w:rPr>
        <w:t xml:space="preserve">He/she is able to use problem solving techniques, and apply the acquired knowledge in practice. </w:t>
      </w:r>
    </w:p>
    <w:p w:rsidR="008B7723" w:rsidRPr="006402BC" w:rsidRDefault="008B7723" w:rsidP="00980876">
      <w:pPr>
        <w:pStyle w:val="Listaszerbekezds"/>
        <w:numPr>
          <w:ilvl w:val="0"/>
          <w:numId w:val="305"/>
        </w:numPr>
        <w:spacing w:before="120" w:after="0" w:line="240" w:lineRule="auto"/>
        <w:ind w:right="141"/>
        <w:jc w:val="both"/>
        <w:rPr>
          <w:rFonts w:ascii="Times New Roman" w:hAnsi="Times New Roman" w:cs="Times New Roman"/>
          <w:bCs/>
        </w:rPr>
      </w:pPr>
      <w:r w:rsidRPr="006402BC">
        <w:rPr>
          <w:rFonts w:ascii="Times New Roman" w:hAnsi="Times New Roman" w:cs="Times New Roman"/>
          <w:bCs/>
        </w:rPr>
        <w:t>Get to know and be able to participate in the military procurement procedures</w:t>
      </w:r>
    </w:p>
    <w:p w:rsidR="008B7723" w:rsidRDefault="008B7723" w:rsidP="008B7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357"/>
        <w:jc w:val="both"/>
        <w:rPr>
          <w:rFonts w:ascii="Times New Roman" w:eastAsia="Times New Roman" w:hAnsi="Times New Roman" w:cs="Times New Roman"/>
          <w:b/>
          <w:lang w:val="en-GB" w:eastAsia="hu-HU"/>
        </w:rPr>
      </w:pPr>
      <w:r>
        <w:rPr>
          <w:rFonts w:ascii="Times New Roman" w:eastAsia="Times New Roman" w:hAnsi="Times New Roman" w:cs="Times New Roman"/>
          <w:b/>
          <w:lang w:val="en-GB" w:eastAsia="hu-HU"/>
        </w:rPr>
        <w:t xml:space="preserve">Attitude: </w:t>
      </w:r>
    </w:p>
    <w:p w:rsidR="008B7723" w:rsidRPr="006402BC" w:rsidRDefault="008B7723" w:rsidP="00980876">
      <w:pPr>
        <w:pStyle w:val="Listaszerbekezds"/>
        <w:numPr>
          <w:ilvl w:val="0"/>
          <w:numId w:val="305"/>
        </w:numPr>
        <w:spacing w:after="0" w:line="240" w:lineRule="auto"/>
        <w:ind w:left="1145" w:right="142" w:hanging="357"/>
        <w:jc w:val="both"/>
        <w:rPr>
          <w:rFonts w:ascii="Times New Roman" w:hAnsi="Times New Roman" w:cs="Times New Roman"/>
          <w:bCs/>
        </w:rPr>
      </w:pPr>
      <w:r w:rsidRPr="006402BC">
        <w:rPr>
          <w:rFonts w:ascii="Times New Roman" w:hAnsi="Times New Roman" w:cs="Times New Roman"/>
          <w:bCs/>
        </w:rPr>
        <w:t xml:space="preserve">He/she is committed to putting the strategic goals of national defense into practice and developing the processes within his competence in the interests of the federal system. </w:t>
      </w:r>
    </w:p>
    <w:p w:rsidR="008B7723" w:rsidRPr="006402BC" w:rsidRDefault="008B7723" w:rsidP="00980876">
      <w:pPr>
        <w:pStyle w:val="Listaszerbekezds"/>
        <w:numPr>
          <w:ilvl w:val="0"/>
          <w:numId w:val="305"/>
        </w:numPr>
        <w:spacing w:before="120" w:after="0" w:line="240" w:lineRule="auto"/>
        <w:ind w:right="141"/>
        <w:jc w:val="both"/>
        <w:rPr>
          <w:rFonts w:ascii="Times New Roman" w:hAnsi="Times New Roman" w:cs="Times New Roman"/>
          <w:bCs/>
        </w:rPr>
      </w:pPr>
      <w:r w:rsidRPr="006402BC">
        <w:rPr>
          <w:rFonts w:ascii="Times New Roman" w:hAnsi="Times New Roman" w:cs="Times New Roman"/>
          <w:bCs/>
        </w:rPr>
        <w:t>He/she is committed to the mid-level formulation of principles and guidelines, putting combat-operational thinking into practice.</w:t>
      </w:r>
    </w:p>
    <w:p w:rsidR="008B7723" w:rsidRDefault="008B7723" w:rsidP="008B7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357"/>
        <w:jc w:val="both"/>
        <w:rPr>
          <w:rFonts w:ascii="Times New Roman" w:eastAsia="Times New Roman" w:hAnsi="Times New Roman" w:cs="Times New Roman"/>
          <w:b/>
          <w:lang w:val="en-GB" w:eastAsia="hu-HU"/>
        </w:rPr>
      </w:pPr>
      <w:r>
        <w:rPr>
          <w:rFonts w:ascii="Times New Roman" w:eastAsia="Times New Roman" w:hAnsi="Times New Roman" w:cs="Times New Roman"/>
          <w:b/>
          <w:lang w:val="en-GB" w:eastAsia="hu-HU"/>
        </w:rPr>
        <w:t xml:space="preserve">Autonomy and responsibility: </w:t>
      </w:r>
    </w:p>
    <w:p w:rsidR="008B7723" w:rsidRPr="006402BC" w:rsidRDefault="008B7723" w:rsidP="00980876">
      <w:pPr>
        <w:pStyle w:val="Listaszerbekezds"/>
        <w:numPr>
          <w:ilvl w:val="0"/>
          <w:numId w:val="305"/>
        </w:numPr>
        <w:spacing w:after="0" w:line="240" w:lineRule="auto"/>
        <w:ind w:left="1145" w:right="142" w:hanging="357"/>
        <w:jc w:val="both"/>
        <w:rPr>
          <w:rFonts w:ascii="Times New Roman" w:hAnsi="Times New Roman" w:cs="Times New Roman"/>
          <w:bCs/>
        </w:rPr>
      </w:pPr>
      <w:r w:rsidRPr="006402BC">
        <w:rPr>
          <w:rFonts w:ascii="Times New Roman" w:hAnsi="Times New Roman" w:cs="Times New Roman"/>
          <w:bCs/>
        </w:rPr>
        <w:t xml:space="preserve">Based on his / her acquired knowledge and acquired skills, he / she interprets and applies acquired methods in a professional manner. </w:t>
      </w:r>
    </w:p>
    <w:p w:rsidR="008B7723" w:rsidRPr="006402BC" w:rsidRDefault="008B7723" w:rsidP="00980876">
      <w:pPr>
        <w:pStyle w:val="Listaszerbekezds"/>
        <w:numPr>
          <w:ilvl w:val="0"/>
          <w:numId w:val="305"/>
        </w:numPr>
        <w:spacing w:before="120" w:after="0" w:line="240" w:lineRule="auto"/>
        <w:ind w:right="141"/>
        <w:jc w:val="both"/>
        <w:rPr>
          <w:rFonts w:ascii="Times New Roman" w:hAnsi="Times New Roman" w:cs="Times New Roman"/>
          <w:bCs/>
        </w:rPr>
      </w:pPr>
      <w:r w:rsidRPr="006402BC">
        <w:rPr>
          <w:rFonts w:ascii="Times New Roman" w:hAnsi="Times New Roman" w:cs="Times New Roman"/>
          <w:bCs/>
        </w:rPr>
        <w:t xml:space="preserve">The professional areas entrusted to him / her are analyzed and evaluated to the best of their knowledge and abilities, and are consistent in the preparation, decision-making and implementation of decisions. </w:t>
      </w:r>
    </w:p>
    <w:p w:rsidR="008B7723" w:rsidRPr="006402BC" w:rsidRDefault="008B7723" w:rsidP="00980876">
      <w:pPr>
        <w:pStyle w:val="Listaszerbekezds"/>
        <w:numPr>
          <w:ilvl w:val="0"/>
          <w:numId w:val="305"/>
        </w:numPr>
        <w:spacing w:before="120" w:after="0" w:line="240" w:lineRule="auto"/>
        <w:ind w:right="141"/>
        <w:jc w:val="both"/>
        <w:rPr>
          <w:rFonts w:ascii="Times New Roman" w:hAnsi="Times New Roman" w:cs="Times New Roman"/>
          <w:bCs/>
        </w:rPr>
      </w:pPr>
      <w:r w:rsidRPr="006402BC">
        <w:rPr>
          <w:rFonts w:ascii="Times New Roman" w:hAnsi="Times New Roman" w:cs="Times New Roman"/>
          <w:bCs/>
        </w:rPr>
        <w:t>He takes responsibility for the continuous devel</w:t>
      </w:r>
      <w:r>
        <w:rPr>
          <w:rFonts w:ascii="Times New Roman" w:hAnsi="Times New Roman" w:cs="Times New Roman"/>
          <w:bCs/>
        </w:rPr>
        <w:t>opment and training of himself.</w:t>
      </w:r>
    </w:p>
    <w:p w:rsidR="008B7723" w:rsidRDefault="008B7723" w:rsidP="00980876">
      <w:pPr>
        <w:widowControl w:val="0"/>
        <w:numPr>
          <w:ilvl w:val="0"/>
          <w:numId w:val="406"/>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Előtanulmányi követelmények: </w:t>
      </w:r>
      <w:r>
        <w:rPr>
          <w:rFonts w:ascii="Times New Roman" w:eastAsia="Times New Roman" w:hAnsi="Times New Roman" w:cs="Times New Roman"/>
          <w:bCs/>
        </w:rPr>
        <w:t>nincs</w:t>
      </w:r>
    </w:p>
    <w:p w:rsidR="008B7723" w:rsidRDefault="008B7723" w:rsidP="00980876">
      <w:pPr>
        <w:widowControl w:val="0"/>
        <w:numPr>
          <w:ilvl w:val="0"/>
          <w:numId w:val="406"/>
        </w:numPr>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A tantárgy tananyagának leírása, tematika. </w:t>
      </w:r>
      <w:r>
        <w:rPr>
          <w:rFonts w:ascii="Times New Roman" w:eastAsia="Times New Roman" w:hAnsi="Times New Roman" w:cs="Times New Roman"/>
          <w:b/>
          <w:bCs/>
          <w:lang w:val="en-GB"/>
        </w:rPr>
        <w:t>Description of the subject</w:t>
      </w:r>
      <w:r>
        <w:rPr>
          <w:rFonts w:ascii="Times New Roman" w:eastAsia="Times New Roman" w:hAnsi="Times New Roman" w:cs="Times New Roman"/>
          <w:b/>
          <w:bCs/>
        </w:rPr>
        <w:t>, curriculum (magyarul, angolul - English):</w:t>
      </w:r>
    </w:p>
    <w:p w:rsidR="008B7723" w:rsidRPr="00253511" w:rsidRDefault="008B7723" w:rsidP="00980876">
      <w:pPr>
        <w:numPr>
          <w:ilvl w:val="1"/>
          <w:numId w:val="406"/>
        </w:numPr>
        <w:spacing w:before="120" w:after="0" w:line="240" w:lineRule="auto"/>
        <w:ind w:left="993" w:right="142" w:hanging="567"/>
        <w:jc w:val="both"/>
        <w:rPr>
          <w:rFonts w:ascii="Times New Roman" w:hAnsi="Times New Roman" w:cs="Times New Roman"/>
          <w:i/>
          <w:lang w:val="en-GB"/>
        </w:rPr>
      </w:pPr>
      <w:r>
        <w:rPr>
          <w:rFonts w:ascii="Times New Roman" w:hAnsi="Times New Roman" w:cs="Times New Roman"/>
        </w:rPr>
        <w:t>A honvédség által alkalmazott beszerzési, eljárási típusok</w:t>
      </w:r>
      <w:r>
        <w:rPr>
          <w:rFonts w:ascii="Times New Roman" w:hAnsi="Times New Roman" w:cs="Times New Roman"/>
          <w:b/>
        </w:rPr>
        <w:t xml:space="preserve"> </w:t>
      </w:r>
      <w:r w:rsidRPr="00253511">
        <w:rPr>
          <w:rFonts w:ascii="Times New Roman" w:hAnsi="Times New Roman" w:cs="Times New Roman"/>
          <w:i/>
        </w:rPr>
        <w:t>(</w:t>
      </w:r>
      <w:r w:rsidRPr="00253511">
        <w:rPr>
          <w:rFonts w:ascii="Times New Roman" w:hAnsi="Times New Roman" w:cs="Times New Roman"/>
          <w:i/>
          <w:lang w:val="en-GB"/>
        </w:rPr>
        <w:t>Types of procurement procedures applied by the military)</w:t>
      </w:r>
    </w:p>
    <w:p w:rsidR="008B7723" w:rsidRPr="00253511" w:rsidRDefault="008B7723" w:rsidP="00980876">
      <w:pPr>
        <w:numPr>
          <w:ilvl w:val="1"/>
          <w:numId w:val="406"/>
        </w:numPr>
        <w:spacing w:before="120" w:after="0" w:line="240" w:lineRule="auto"/>
        <w:ind w:left="993" w:right="142" w:hanging="567"/>
        <w:jc w:val="both"/>
        <w:rPr>
          <w:rFonts w:ascii="Times New Roman" w:hAnsi="Times New Roman" w:cs="Times New Roman"/>
          <w:i/>
        </w:rPr>
      </w:pPr>
      <w:r>
        <w:rPr>
          <w:rFonts w:ascii="Times New Roman" w:hAnsi="Times New Roman" w:cs="Times New Roman"/>
        </w:rPr>
        <w:t>A katonai beszerzés a logisztikai támogatás rendszerében</w:t>
      </w:r>
      <w:r>
        <w:rPr>
          <w:rFonts w:ascii="Times New Roman" w:hAnsi="Times New Roman" w:cs="Times New Roman"/>
          <w:b/>
        </w:rPr>
        <w:t xml:space="preserve"> </w:t>
      </w:r>
      <w:r w:rsidRPr="00253511">
        <w:rPr>
          <w:rFonts w:ascii="Times New Roman" w:hAnsi="Times New Roman" w:cs="Times New Roman"/>
          <w:i/>
        </w:rPr>
        <w:t>(The military acquisition in the logistic support system)</w:t>
      </w:r>
    </w:p>
    <w:p w:rsidR="008B7723" w:rsidRDefault="008B7723" w:rsidP="00980876">
      <w:pPr>
        <w:numPr>
          <w:ilvl w:val="1"/>
          <w:numId w:val="406"/>
        </w:numPr>
        <w:spacing w:before="120" w:after="0" w:line="240" w:lineRule="auto"/>
        <w:ind w:left="993" w:right="142" w:hanging="567"/>
        <w:jc w:val="both"/>
        <w:rPr>
          <w:rFonts w:ascii="Times New Roman" w:hAnsi="Times New Roman" w:cs="Times New Roman"/>
          <w:b/>
        </w:rPr>
      </w:pPr>
      <w:r>
        <w:rPr>
          <w:rFonts w:ascii="Times New Roman" w:hAnsi="Times New Roman" w:cs="Times New Roman"/>
        </w:rPr>
        <w:t xml:space="preserve">Beszerzés előkészítés feladatai </w:t>
      </w:r>
      <w:r w:rsidRPr="00253511">
        <w:rPr>
          <w:rFonts w:ascii="Times New Roman" w:hAnsi="Times New Roman" w:cs="Times New Roman"/>
          <w:i/>
        </w:rPr>
        <w:t>(Preparation of procurement)</w:t>
      </w:r>
    </w:p>
    <w:p w:rsidR="008B7723" w:rsidRPr="00253511" w:rsidRDefault="008B7723" w:rsidP="00980876">
      <w:pPr>
        <w:numPr>
          <w:ilvl w:val="1"/>
          <w:numId w:val="406"/>
        </w:numPr>
        <w:spacing w:before="120" w:after="0" w:line="240" w:lineRule="auto"/>
        <w:ind w:left="993" w:right="142" w:hanging="567"/>
        <w:jc w:val="both"/>
        <w:rPr>
          <w:rFonts w:ascii="Times New Roman" w:hAnsi="Times New Roman" w:cs="Times New Roman"/>
          <w:i/>
        </w:rPr>
      </w:pPr>
      <w:r>
        <w:rPr>
          <w:rFonts w:ascii="Times New Roman" w:hAnsi="Times New Roman" w:cs="Times New Roman"/>
        </w:rPr>
        <w:t>Katonai beszerzés szabályozása</w:t>
      </w:r>
      <w:r>
        <w:rPr>
          <w:rFonts w:ascii="Times New Roman" w:hAnsi="Times New Roman" w:cs="Times New Roman"/>
          <w:b/>
        </w:rPr>
        <w:t xml:space="preserve"> </w:t>
      </w:r>
      <w:r w:rsidRPr="00253511">
        <w:rPr>
          <w:rFonts w:ascii="Times New Roman" w:hAnsi="Times New Roman" w:cs="Times New Roman"/>
          <w:i/>
        </w:rPr>
        <w:t>(Rules of military procurement)</w:t>
      </w:r>
    </w:p>
    <w:p w:rsidR="008B7723" w:rsidRDefault="008B7723" w:rsidP="00980876">
      <w:pPr>
        <w:numPr>
          <w:ilvl w:val="1"/>
          <w:numId w:val="406"/>
        </w:numPr>
        <w:spacing w:before="120" w:after="0" w:line="240" w:lineRule="auto"/>
        <w:ind w:left="993" w:right="142" w:hanging="567"/>
        <w:jc w:val="both"/>
        <w:rPr>
          <w:rFonts w:ascii="Times New Roman" w:hAnsi="Times New Roman" w:cs="Times New Roman"/>
          <w:b/>
        </w:rPr>
      </w:pPr>
      <w:r>
        <w:rPr>
          <w:rFonts w:ascii="Times New Roman" w:hAnsi="Times New Roman" w:cs="Times New Roman"/>
        </w:rPr>
        <w:lastRenderedPageBreak/>
        <w:t>Beszerzési eljárások lefolytatásának rendje</w:t>
      </w:r>
      <w:r>
        <w:rPr>
          <w:rFonts w:ascii="Times New Roman" w:hAnsi="Times New Roman" w:cs="Times New Roman"/>
          <w:b/>
        </w:rPr>
        <w:t xml:space="preserve"> </w:t>
      </w:r>
      <w:r w:rsidRPr="00253511">
        <w:rPr>
          <w:rFonts w:ascii="Times New Roman" w:hAnsi="Times New Roman" w:cs="Times New Roman"/>
          <w:i/>
        </w:rPr>
        <w:t>(Order os procurement procedures)</w:t>
      </w:r>
    </w:p>
    <w:p w:rsidR="008B7723" w:rsidRPr="00253511" w:rsidRDefault="008B7723" w:rsidP="00980876">
      <w:pPr>
        <w:numPr>
          <w:ilvl w:val="1"/>
          <w:numId w:val="406"/>
        </w:numPr>
        <w:spacing w:before="120" w:after="0" w:line="240" w:lineRule="auto"/>
        <w:ind w:left="993" w:right="142" w:hanging="567"/>
        <w:jc w:val="both"/>
        <w:rPr>
          <w:rFonts w:ascii="Times New Roman" w:hAnsi="Times New Roman" w:cs="Times New Roman"/>
          <w:i/>
        </w:rPr>
      </w:pPr>
      <w:r>
        <w:rPr>
          <w:rFonts w:ascii="Times New Roman" w:hAnsi="Times New Roman" w:cs="Times New Roman"/>
        </w:rPr>
        <w:t xml:space="preserve">A különleges jogrend időszakának beszerzési előírásai </w:t>
      </w:r>
      <w:r w:rsidRPr="00253511">
        <w:rPr>
          <w:rFonts w:ascii="Times New Roman" w:hAnsi="Times New Roman" w:cs="Times New Roman"/>
          <w:i/>
        </w:rPr>
        <w:t>(Procurement rules and principles of the qualified period.)</w:t>
      </w:r>
    </w:p>
    <w:p w:rsidR="008B7723" w:rsidRDefault="008B7723" w:rsidP="00980876">
      <w:pPr>
        <w:numPr>
          <w:ilvl w:val="1"/>
          <w:numId w:val="406"/>
        </w:numPr>
        <w:spacing w:before="120" w:after="0" w:line="240" w:lineRule="auto"/>
        <w:ind w:left="993" w:right="142" w:hanging="567"/>
        <w:jc w:val="both"/>
        <w:rPr>
          <w:rFonts w:ascii="Times New Roman" w:hAnsi="Times New Roman" w:cs="Times New Roman"/>
        </w:rPr>
      </w:pPr>
      <w:r>
        <w:rPr>
          <w:rFonts w:ascii="Times New Roman" w:hAnsi="Times New Roman" w:cs="Times New Roman"/>
        </w:rPr>
        <w:t xml:space="preserve">Beszerzés a gyakorlatban </w:t>
      </w:r>
      <w:r w:rsidRPr="00253511">
        <w:rPr>
          <w:rFonts w:ascii="Times New Roman" w:hAnsi="Times New Roman" w:cs="Times New Roman"/>
          <w:i/>
        </w:rPr>
        <w:t>(Procurement in practice)</w:t>
      </w:r>
      <w:r>
        <w:rPr>
          <w:rFonts w:ascii="Times New Roman" w:hAnsi="Times New Roman" w:cs="Times New Roman"/>
          <w:lang w:val="en-GB"/>
        </w:rPr>
        <w:t xml:space="preserve"> </w:t>
      </w:r>
    </w:p>
    <w:p w:rsidR="008B7723" w:rsidRDefault="008B7723" w:rsidP="008B7723">
      <w:pPr>
        <w:spacing w:before="120" w:after="0" w:line="240" w:lineRule="auto"/>
        <w:ind w:right="142" w:firstLine="426"/>
        <w:jc w:val="both"/>
        <w:rPr>
          <w:rFonts w:ascii="Times New Roman" w:hAnsi="Times New Roman" w:cs="Times New Roman"/>
          <w:b/>
        </w:rPr>
      </w:pPr>
      <w:r>
        <w:rPr>
          <w:rFonts w:ascii="Times New Roman" w:hAnsi="Times New Roman" w:cs="Times New Roman"/>
          <w:b/>
        </w:rPr>
        <w:t xml:space="preserve">12.15. </w:t>
      </w:r>
      <w:r>
        <w:rPr>
          <w:rFonts w:ascii="Times New Roman" w:hAnsi="Times New Roman" w:cs="Times New Roman"/>
        </w:rPr>
        <w:t>Zárthelyi dolgozat</w:t>
      </w:r>
      <w:r>
        <w:rPr>
          <w:rFonts w:ascii="Times New Roman" w:hAnsi="Times New Roman" w:cs="Times New Roman"/>
          <w:b/>
        </w:rPr>
        <w:t xml:space="preserve"> </w:t>
      </w:r>
      <w:r w:rsidRPr="00253511">
        <w:rPr>
          <w:rFonts w:ascii="Times New Roman" w:hAnsi="Times New Roman" w:cs="Times New Roman"/>
          <w:i/>
        </w:rPr>
        <w:t>(Paper)</w:t>
      </w:r>
    </w:p>
    <w:p w:rsidR="008B7723" w:rsidRDefault="008B7723" w:rsidP="00980876">
      <w:pPr>
        <w:widowControl w:val="0"/>
        <w:numPr>
          <w:ilvl w:val="0"/>
          <w:numId w:val="406"/>
        </w:numPr>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A tantárgy meghirdetésének gyakorisága/a tantervben történő félévi elhelyezkedése: </w:t>
      </w:r>
      <w:r>
        <w:rPr>
          <w:rFonts w:ascii="Times New Roman" w:eastAsia="Times New Roman" w:hAnsi="Times New Roman" w:cs="Times New Roman"/>
          <w:bCs/>
        </w:rPr>
        <w:t>8. félév</w:t>
      </w:r>
      <w:r>
        <w:rPr>
          <w:rFonts w:ascii="Times New Roman" w:eastAsia="Times New Roman" w:hAnsi="Times New Roman" w:cs="Times New Roman"/>
          <w:b/>
          <w:bCs/>
        </w:rPr>
        <w:t>.</w:t>
      </w:r>
    </w:p>
    <w:p w:rsidR="008B7723" w:rsidRDefault="008B7723" w:rsidP="00980876">
      <w:pPr>
        <w:widowControl w:val="0"/>
        <w:numPr>
          <w:ilvl w:val="0"/>
          <w:numId w:val="406"/>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 tanórákon való részvétel követelményei, az elfogadható hiányzások mértéke, a távolmaradás pótlásának lehetősége: </w:t>
      </w:r>
    </w:p>
    <w:p w:rsidR="008B7723" w:rsidRDefault="008B7723" w:rsidP="00980876">
      <w:pPr>
        <w:numPr>
          <w:ilvl w:val="0"/>
          <w:numId w:val="245"/>
        </w:numPr>
        <w:tabs>
          <w:tab w:val="center" w:pos="4536"/>
          <w:tab w:val="right" w:pos="9072"/>
        </w:tabs>
        <w:spacing w:after="0" w:line="240" w:lineRule="auto"/>
        <w:ind w:left="851" w:hanging="210"/>
        <w:jc w:val="both"/>
        <w:rPr>
          <w:rFonts w:ascii="Times New Roman" w:hAnsi="Times New Roman" w:cs="Times New Roman"/>
          <w:bCs/>
        </w:rPr>
      </w:pPr>
      <w:r>
        <w:rPr>
          <w:rFonts w:ascii="Times New Roman" w:hAnsi="Times New Roman" w:cs="Times New Roman"/>
          <w:bCs/>
        </w:rPr>
        <w:t>a foglalkozásokon a részvétel kötelező (minimum 80%)</w:t>
      </w:r>
    </w:p>
    <w:p w:rsidR="008B7723" w:rsidRDefault="008B7723" w:rsidP="00980876">
      <w:pPr>
        <w:numPr>
          <w:ilvl w:val="0"/>
          <w:numId w:val="245"/>
        </w:numPr>
        <w:tabs>
          <w:tab w:val="right" w:pos="851"/>
          <w:tab w:val="center" w:pos="4536"/>
          <w:tab w:val="right" w:pos="9072"/>
        </w:tabs>
        <w:spacing w:after="0" w:line="240" w:lineRule="auto"/>
        <w:jc w:val="both"/>
        <w:rPr>
          <w:rFonts w:ascii="Times New Roman" w:hAnsi="Times New Roman" w:cs="Times New Roman"/>
          <w:bCs/>
        </w:rPr>
      </w:pPr>
      <w:r>
        <w:rPr>
          <w:rFonts w:ascii="Times New Roman" w:hAnsi="Times New Roman" w:cs="Times New Roman"/>
          <w:bCs/>
        </w:rPr>
        <w:t>rövid/tartós távolmaradás indokolt esetben (orvosi, szolgálati) pótolható, amely pótlás egyéni megbeszélés szerint történik.</w:t>
      </w:r>
    </w:p>
    <w:p w:rsidR="008B7723" w:rsidRDefault="008B7723" w:rsidP="00980876">
      <w:pPr>
        <w:widowControl w:val="0"/>
        <w:numPr>
          <w:ilvl w:val="0"/>
          <w:numId w:val="406"/>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rPr>
        <w:t xml:space="preserve">Félévközi feladatok, ismeretek ellenőrzésének rendje: </w:t>
      </w:r>
    </w:p>
    <w:p w:rsidR="008B7723" w:rsidRDefault="008B7723" w:rsidP="00980876">
      <w:pPr>
        <w:numPr>
          <w:ilvl w:val="0"/>
          <w:numId w:val="245"/>
        </w:numPr>
        <w:tabs>
          <w:tab w:val="center" w:pos="4536"/>
          <w:tab w:val="right" w:pos="9072"/>
        </w:tabs>
        <w:spacing w:after="0" w:line="240" w:lineRule="auto"/>
        <w:ind w:left="851" w:hanging="210"/>
        <w:jc w:val="both"/>
        <w:rPr>
          <w:rFonts w:ascii="Times New Roman" w:hAnsi="Times New Roman" w:cs="Times New Roman"/>
          <w:bCs/>
        </w:rPr>
      </w:pPr>
      <w:r>
        <w:rPr>
          <w:rFonts w:ascii="Times New Roman" w:hAnsi="Times New Roman" w:cs="Times New Roman"/>
          <w:bCs/>
        </w:rPr>
        <w:t>a szemináriumokra kiadott forrásanyagok feldolgozása - csoportmunka</w:t>
      </w:r>
    </w:p>
    <w:p w:rsidR="008B7723" w:rsidRDefault="008B7723" w:rsidP="00980876">
      <w:pPr>
        <w:numPr>
          <w:ilvl w:val="0"/>
          <w:numId w:val="245"/>
        </w:numPr>
        <w:tabs>
          <w:tab w:val="right" w:pos="851"/>
          <w:tab w:val="center" w:pos="4536"/>
          <w:tab w:val="right" w:pos="9072"/>
        </w:tabs>
        <w:spacing w:after="0" w:line="240" w:lineRule="auto"/>
        <w:jc w:val="both"/>
        <w:rPr>
          <w:rFonts w:ascii="Times New Roman" w:hAnsi="Times New Roman" w:cs="Times New Roman"/>
          <w:bCs/>
        </w:rPr>
      </w:pPr>
      <w:r>
        <w:rPr>
          <w:rFonts w:ascii="Times New Roman" w:hAnsi="Times New Roman" w:cs="Times New Roman"/>
          <w:bCs/>
        </w:rPr>
        <w:t>adott szempontok alapján elkészített rövid szóbeli előadás (ppt) – egyéni munka</w:t>
      </w:r>
    </w:p>
    <w:p w:rsidR="008B7723" w:rsidRPr="00253511" w:rsidRDefault="008B7723" w:rsidP="00980876">
      <w:pPr>
        <w:pStyle w:val="Listaszerbekezds"/>
        <w:widowControl w:val="0"/>
        <w:numPr>
          <w:ilvl w:val="0"/>
          <w:numId w:val="245"/>
        </w:numPr>
        <w:tabs>
          <w:tab w:val="left" w:pos="993"/>
        </w:tabs>
        <w:spacing w:after="0" w:line="240" w:lineRule="auto"/>
        <w:rPr>
          <w:rFonts w:ascii="Times New Roman" w:eastAsia="Times New Roman" w:hAnsi="Times New Roman" w:cs="Times New Roman"/>
        </w:rPr>
      </w:pPr>
      <w:r w:rsidRPr="00253511">
        <w:rPr>
          <w:rFonts w:ascii="Times New Roman" w:eastAsia="Times New Roman" w:hAnsi="Times New Roman" w:cs="Times New Roman"/>
        </w:rPr>
        <w:t>a félév aláírásának feltétele a 14. pontban leírt követelmények</w:t>
      </w:r>
    </w:p>
    <w:p w:rsidR="008B7723" w:rsidRPr="00253511" w:rsidRDefault="008B7723" w:rsidP="00980876">
      <w:pPr>
        <w:pStyle w:val="Listaszerbekezds"/>
        <w:widowControl w:val="0"/>
        <w:numPr>
          <w:ilvl w:val="0"/>
          <w:numId w:val="245"/>
        </w:numPr>
        <w:tabs>
          <w:tab w:val="left" w:pos="993"/>
        </w:tabs>
        <w:spacing w:after="0" w:line="240" w:lineRule="auto"/>
        <w:jc w:val="both"/>
        <w:rPr>
          <w:rFonts w:ascii="Times New Roman" w:eastAsia="Times New Roman" w:hAnsi="Times New Roman" w:cs="Times New Roman"/>
        </w:rPr>
      </w:pPr>
      <w:r w:rsidRPr="00253511">
        <w:rPr>
          <w:rFonts w:ascii="Times New Roman" w:eastAsia="Times New Roman" w:hAnsi="Times New Roman" w:cs="Times New Roman"/>
        </w:rPr>
        <w:t>a félév végén: zárthelyi dolgozat, a dolgozat értékelése szummatív</w:t>
      </w:r>
      <w:r>
        <w:rPr>
          <w:rFonts w:ascii="Times New Roman" w:eastAsia="Times New Roman" w:hAnsi="Times New Roman" w:cs="Times New Roman"/>
        </w:rPr>
        <w:t>:</w:t>
      </w:r>
    </w:p>
    <w:p w:rsidR="008B7723" w:rsidRPr="00253511" w:rsidRDefault="008B7723" w:rsidP="00980876">
      <w:pPr>
        <w:pStyle w:val="Listaszerbekezds"/>
        <w:widowControl w:val="0"/>
        <w:numPr>
          <w:ilvl w:val="3"/>
          <w:numId w:val="248"/>
        </w:numPr>
        <w:tabs>
          <w:tab w:val="left" w:pos="993"/>
        </w:tabs>
        <w:spacing w:after="0" w:line="240" w:lineRule="auto"/>
        <w:jc w:val="both"/>
        <w:rPr>
          <w:rFonts w:ascii="Times New Roman" w:eastAsia="Times New Roman" w:hAnsi="Times New Roman" w:cs="Times New Roman"/>
        </w:rPr>
      </w:pPr>
      <w:r w:rsidRPr="00253511">
        <w:rPr>
          <w:rFonts w:ascii="Times New Roman" w:eastAsia="Times New Roman" w:hAnsi="Times New Roman" w:cs="Times New Roman"/>
        </w:rPr>
        <w:t xml:space="preserve">  0-50% - elégtelen</w:t>
      </w:r>
    </w:p>
    <w:p w:rsidR="008B7723" w:rsidRPr="00253511" w:rsidRDefault="008B7723" w:rsidP="00980876">
      <w:pPr>
        <w:pStyle w:val="Listaszerbekezds"/>
        <w:widowControl w:val="0"/>
        <w:numPr>
          <w:ilvl w:val="3"/>
          <w:numId w:val="248"/>
        </w:numPr>
        <w:tabs>
          <w:tab w:val="left" w:pos="993"/>
        </w:tabs>
        <w:spacing w:after="0" w:line="240" w:lineRule="auto"/>
        <w:jc w:val="both"/>
        <w:rPr>
          <w:rFonts w:ascii="Times New Roman" w:eastAsia="Times New Roman" w:hAnsi="Times New Roman" w:cs="Times New Roman"/>
        </w:rPr>
      </w:pPr>
      <w:r w:rsidRPr="00253511">
        <w:rPr>
          <w:rFonts w:ascii="Times New Roman" w:eastAsia="Times New Roman" w:hAnsi="Times New Roman" w:cs="Times New Roman"/>
        </w:rPr>
        <w:t xml:space="preserve">  51-70% - elégséges</w:t>
      </w:r>
    </w:p>
    <w:p w:rsidR="008B7723" w:rsidRPr="00253511" w:rsidRDefault="008B7723" w:rsidP="00980876">
      <w:pPr>
        <w:pStyle w:val="Listaszerbekezds"/>
        <w:widowControl w:val="0"/>
        <w:numPr>
          <w:ilvl w:val="3"/>
          <w:numId w:val="248"/>
        </w:numPr>
        <w:tabs>
          <w:tab w:val="left" w:pos="993"/>
        </w:tabs>
        <w:spacing w:after="0" w:line="240" w:lineRule="auto"/>
        <w:jc w:val="both"/>
        <w:rPr>
          <w:rFonts w:ascii="Times New Roman" w:eastAsia="Times New Roman" w:hAnsi="Times New Roman" w:cs="Times New Roman"/>
        </w:rPr>
      </w:pPr>
      <w:r w:rsidRPr="00253511">
        <w:rPr>
          <w:rFonts w:ascii="Times New Roman" w:eastAsia="Times New Roman" w:hAnsi="Times New Roman" w:cs="Times New Roman"/>
        </w:rPr>
        <w:t xml:space="preserve">  71-80% - közepes</w:t>
      </w:r>
    </w:p>
    <w:p w:rsidR="008B7723" w:rsidRPr="00253511" w:rsidRDefault="008B7723" w:rsidP="00980876">
      <w:pPr>
        <w:pStyle w:val="Listaszerbekezds"/>
        <w:widowControl w:val="0"/>
        <w:numPr>
          <w:ilvl w:val="3"/>
          <w:numId w:val="248"/>
        </w:numPr>
        <w:tabs>
          <w:tab w:val="left" w:pos="993"/>
        </w:tabs>
        <w:spacing w:after="0" w:line="240" w:lineRule="auto"/>
        <w:jc w:val="both"/>
        <w:rPr>
          <w:rFonts w:ascii="Times New Roman" w:eastAsia="Times New Roman" w:hAnsi="Times New Roman" w:cs="Times New Roman"/>
        </w:rPr>
      </w:pPr>
      <w:r w:rsidRPr="00253511">
        <w:rPr>
          <w:rFonts w:ascii="Times New Roman" w:eastAsia="Times New Roman" w:hAnsi="Times New Roman" w:cs="Times New Roman"/>
        </w:rPr>
        <w:t xml:space="preserve">  81-90% - jó</w:t>
      </w:r>
    </w:p>
    <w:p w:rsidR="008B7723" w:rsidRPr="00253511" w:rsidRDefault="008B7723" w:rsidP="00980876">
      <w:pPr>
        <w:pStyle w:val="Listaszerbekezds"/>
        <w:widowControl w:val="0"/>
        <w:numPr>
          <w:ilvl w:val="3"/>
          <w:numId w:val="248"/>
        </w:numPr>
        <w:tabs>
          <w:tab w:val="left" w:pos="993"/>
        </w:tabs>
        <w:spacing w:after="0" w:line="240" w:lineRule="auto"/>
        <w:jc w:val="both"/>
        <w:rPr>
          <w:rFonts w:ascii="Times New Roman" w:eastAsia="Times New Roman" w:hAnsi="Times New Roman" w:cs="Times New Roman"/>
        </w:rPr>
      </w:pPr>
      <w:r w:rsidRPr="00253511">
        <w:rPr>
          <w:rFonts w:ascii="Times New Roman" w:eastAsia="Times New Roman" w:hAnsi="Times New Roman" w:cs="Times New Roman"/>
        </w:rPr>
        <w:t xml:space="preserve">  91-100% - jeles</w:t>
      </w:r>
    </w:p>
    <w:p w:rsidR="008B7723" w:rsidRDefault="008B7723" w:rsidP="00980876">
      <w:pPr>
        <w:widowControl w:val="0"/>
        <w:numPr>
          <w:ilvl w:val="0"/>
          <w:numId w:val="406"/>
        </w:numPr>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Az értékelés, az aláírás és a kreditek megszerzésének pontos feltételei: </w:t>
      </w:r>
    </w:p>
    <w:p w:rsidR="008B7723" w:rsidRPr="00253511" w:rsidRDefault="008B7723" w:rsidP="00980876">
      <w:pPr>
        <w:widowControl w:val="0"/>
        <w:numPr>
          <w:ilvl w:val="1"/>
          <w:numId w:val="406"/>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253511">
        <w:rPr>
          <w:rFonts w:ascii="Times New Roman" w:eastAsia="Times New Roman" w:hAnsi="Times New Roman" w:cs="Times New Roman"/>
          <w:b/>
        </w:rPr>
        <w:t xml:space="preserve">Az aláírás megszerzésének feltételei: </w:t>
      </w:r>
      <w:r w:rsidRPr="00253511">
        <w:rPr>
          <w:rFonts w:ascii="Times New Roman" w:eastAsia="Times New Roman" w:hAnsi="Times New Roman" w:cs="Times New Roman"/>
        </w:rPr>
        <w:t>Az aláírás megszerzésének feltétele a 14. pontban meghatározott ará</w:t>
      </w:r>
      <w:r>
        <w:rPr>
          <w:rFonts w:ascii="Times New Roman" w:eastAsia="Times New Roman" w:hAnsi="Times New Roman" w:cs="Times New Roman"/>
        </w:rPr>
        <w:t>nyú részvétel a foglalkozásokon és a 15. pontban meghatározott számonkérések legalább elédséges szintű teljesítése.</w:t>
      </w:r>
    </w:p>
    <w:p w:rsidR="008B7723" w:rsidRDefault="008B7723" w:rsidP="00980876">
      <w:pPr>
        <w:widowControl w:val="0"/>
        <w:numPr>
          <w:ilvl w:val="1"/>
          <w:numId w:val="406"/>
        </w:numPr>
        <w:tabs>
          <w:tab w:val="left" w:pos="709"/>
          <w:tab w:val="left" w:pos="993"/>
        </w:tabs>
        <w:spacing w:before="120" w:after="120" w:line="240" w:lineRule="auto"/>
        <w:ind w:left="426" w:firstLine="0"/>
        <w:jc w:val="both"/>
        <w:rPr>
          <w:rFonts w:ascii="Times New Roman" w:eastAsia="Times New Roman" w:hAnsi="Times New Roman" w:cs="Times New Roman"/>
          <w:b/>
        </w:rPr>
      </w:pPr>
      <w:r>
        <w:rPr>
          <w:rFonts w:ascii="Times New Roman" w:eastAsia="Times New Roman" w:hAnsi="Times New Roman" w:cs="Times New Roman"/>
          <w:b/>
        </w:rPr>
        <w:t>Az értékelés:</w:t>
      </w:r>
      <w:r w:rsidRPr="00253511">
        <w:rPr>
          <w:rFonts w:ascii="Times New Roman" w:eastAsia="Times New Roman" w:hAnsi="Times New Roman" w:cs="Times New Roman"/>
        </w:rPr>
        <w:t xml:space="preserve"> </w:t>
      </w:r>
      <w:r>
        <w:rPr>
          <w:rFonts w:ascii="Times New Roman" w:eastAsia="Times New Roman" w:hAnsi="Times New Roman" w:cs="Times New Roman"/>
        </w:rPr>
        <w:t xml:space="preserve">félévközi jegy. </w:t>
      </w:r>
    </w:p>
    <w:p w:rsidR="008B7723" w:rsidRPr="006402BC" w:rsidRDefault="008B7723" w:rsidP="00980876">
      <w:pPr>
        <w:widowControl w:val="0"/>
        <w:numPr>
          <w:ilvl w:val="1"/>
          <w:numId w:val="406"/>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6402BC">
        <w:rPr>
          <w:rFonts w:ascii="Times New Roman" w:eastAsia="Times New Roman" w:hAnsi="Times New Roman" w:cs="Times New Roman"/>
          <w:b/>
        </w:rPr>
        <w:t xml:space="preserve">A kreditek megszerzésének feltételei: </w:t>
      </w:r>
      <w:r w:rsidRPr="006402BC">
        <w:rPr>
          <w:rFonts w:ascii="Times New Roman" w:eastAsia="Times New Roman" w:hAnsi="Times New Roman" w:cs="Times New Roman"/>
        </w:rPr>
        <w:t>A kreditek megszerzésének feltétele az aláírás megszerzése és legalább elégséges szintű félévközi értékelés.</w:t>
      </w:r>
    </w:p>
    <w:p w:rsidR="008B7723" w:rsidRDefault="008B7723" w:rsidP="00980876">
      <w:pPr>
        <w:widowControl w:val="0"/>
        <w:numPr>
          <w:ilvl w:val="0"/>
          <w:numId w:val="406"/>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Irodalomjegyzék:</w:t>
      </w:r>
    </w:p>
    <w:p w:rsidR="008B7723" w:rsidRDefault="008B7723" w:rsidP="00980876">
      <w:pPr>
        <w:widowControl w:val="0"/>
        <w:numPr>
          <w:ilvl w:val="1"/>
          <w:numId w:val="406"/>
        </w:numPr>
        <w:tabs>
          <w:tab w:val="left" w:pos="567"/>
          <w:tab w:val="left" w:pos="851"/>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Kötelező irodalom:</w:t>
      </w:r>
    </w:p>
    <w:p w:rsidR="00A76F74" w:rsidRPr="00A76F74" w:rsidRDefault="00A76F74" w:rsidP="00980876">
      <w:pPr>
        <w:numPr>
          <w:ilvl w:val="0"/>
          <w:numId w:val="781"/>
        </w:numPr>
        <w:tabs>
          <w:tab w:val="right" w:pos="851"/>
          <w:tab w:val="center" w:pos="4536"/>
          <w:tab w:val="right" w:pos="9072"/>
        </w:tabs>
        <w:spacing w:after="0" w:line="240" w:lineRule="auto"/>
        <w:jc w:val="both"/>
        <w:rPr>
          <w:rFonts w:ascii="Times New Roman" w:hAnsi="Times New Roman" w:cs="Times New Roman"/>
          <w:bCs/>
          <w:highlight w:val="yellow"/>
        </w:rPr>
      </w:pPr>
      <w:r w:rsidRPr="00A76F74">
        <w:rPr>
          <w:rFonts w:ascii="Times New Roman" w:hAnsi="Times New Roman" w:cs="Times New Roman"/>
          <w:bCs/>
          <w:highlight w:val="yellow"/>
        </w:rPr>
        <w:t>Holakovszki I.-Lukács T. (2019): A közbeszerzések hazai szabályozása. Nemzeti Közszolgálati Egyetem; Közigazgatási Továbbképzési Intézet,</w:t>
      </w:r>
    </w:p>
    <w:p w:rsidR="00A76F74" w:rsidRDefault="00A76F74" w:rsidP="00980876">
      <w:pPr>
        <w:numPr>
          <w:ilvl w:val="0"/>
          <w:numId w:val="781"/>
        </w:numPr>
        <w:tabs>
          <w:tab w:val="right" w:pos="851"/>
          <w:tab w:val="center" w:pos="4536"/>
          <w:tab w:val="right" w:pos="9072"/>
        </w:tabs>
        <w:spacing w:after="0" w:line="240" w:lineRule="auto"/>
        <w:jc w:val="both"/>
        <w:rPr>
          <w:rFonts w:ascii="Times New Roman" w:hAnsi="Times New Roman" w:cs="Times New Roman"/>
          <w:bCs/>
        </w:rPr>
      </w:pPr>
      <w:r>
        <w:rPr>
          <w:rFonts w:ascii="Times New Roman" w:hAnsi="Times New Roman" w:cs="Times New Roman"/>
          <w:bCs/>
        </w:rPr>
        <w:t xml:space="preserve">Boros Anita –Juhász Péter –Lantos Ottó –Tátrai Tünde (2013): A közbeszerzés alapjai. (II. fejezet, VII. fejezet, VIII. fejezet, XI. fejezet, XIII. fejezet –a 13.1.1. kivételével) Budapest: Wolters Kluwer Kiadó,pp. 15-31., 125-177., 281-319, 322-328. </w:t>
      </w:r>
    </w:p>
    <w:p w:rsidR="008B7723" w:rsidRDefault="00A76F74" w:rsidP="00980876">
      <w:pPr>
        <w:numPr>
          <w:ilvl w:val="0"/>
          <w:numId w:val="781"/>
        </w:numPr>
        <w:tabs>
          <w:tab w:val="right" w:pos="851"/>
          <w:tab w:val="center" w:pos="4536"/>
          <w:tab w:val="right" w:pos="9072"/>
        </w:tabs>
        <w:spacing w:after="0" w:line="240" w:lineRule="auto"/>
        <w:jc w:val="both"/>
        <w:rPr>
          <w:rFonts w:ascii="Times New Roman" w:hAnsi="Times New Roman" w:cs="Times New Roman"/>
          <w:bCs/>
        </w:rPr>
      </w:pPr>
      <w:r>
        <w:rPr>
          <w:rFonts w:ascii="Times New Roman" w:hAnsi="Times New Roman" w:cs="Times New Roman"/>
          <w:bCs/>
        </w:rPr>
        <w:t>Derzsényi Attila:</w:t>
      </w:r>
      <w:r w:rsidR="008B7723">
        <w:rPr>
          <w:rFonts w:ascii="Times New Roman" w:hAnsi="Times New Roman" w:cs="Times New Roman"/>
          <w:bCs/>
        </w:rPr>
        <w:t xml:space="preserve"> A katonai beszerzés a logisztikai támogatás rendszerében (PhD értekezés 2018, Budapest, NKE)</w:t>
      </w:r>
      <w:r>
        <w:rPr>
          <w:rFonts w:ascii="Times New Roman" w:hAnsi="Times New Roman" w:cs="Times New Roman"/>
          <w:bCs/>
        </w:rPr>
        <w:t>;</w:t>
      </w:r>
    </w:p>
    <w:p w:rsidR="008B7723" w:rsidRDefault="008B7723" w:rsidP="00980876">
      <w:pPr>
        <w:widowControl w:val="0"/>
        <w:numPr>
          <w:ilvl w:val="1"/>
          <w:numId w:val="406"/>
        </w:numPr>
        <w:tabs>
          <w:tab w:val="num" w:pos="2069"/>
        </w:tabs>
        <w:spacing w:before="120" w:after="120" w:line="240" w:lineRule="auto"/>
        <w:ind w:left="993" w:hanging="709"/>
        <w:jc w:val="both"/>
        <w:rPr>
          <w:rFonts w:ascii="Times New Roman" w:eastAsia="Times New Roman" w:hAnsi="Times New Roman" w:cs="Times New Roman"/>
          <w:b/>
          <w:bCs/>
        </w:rPr>
      </w:pPr>
      <w:r>
        <w:rPr>
          <w:rFonts w:ascii="Times New Roman" w:eastAsia="Times New Roman" w:hAnsi="Times New Roman" w:cs="Times New Roman"/>
          <w:b/>
          <w:bCs/>
        </w:rPr>
        <w:t>Ajánlott irodalom:</w:t>
      </w:r>
    </w:p>
    <w:p w:rsidR="008B7723" w:rsidRPr="00A76F74" w:rsidRDefault="008B7723" w:rsidP="00980876">
      <w:pPr>
        <w:numPr>
          <w:ilvl w:val="0"/>
          <w:numId w:val="782"/>
        </w:numPr>
        <w:tabs>
          <w:tab w:val="right" w:pos="851"/>
          <w:tab w:val="center" w:pos="4536"/>
          <w:tab w:val="right" w:pos="9072"/>
        </w:tabs>
        <w:spacing w:after="0" w:line="240" w:lineRule="auto"/>
        <w:ind w:left="709" w:hanging="283"/>
        <w:jc w:val="both"/>
        <w:rPr>
          <w:rFonts w:ascii="Times New Roman" w:eastAsia="Times New Roman" w:hAnsi="Times New Roman" w:cs="Times New Roman"/>
          <w:bCs/>
        </w:rPr>
      </w:pPr>
      <w:r>
        <w:rPr>
          <w:rFonts w:ascii="Times New Roman" w:hAnsi="Times New Roman" w:cs="Times New Roman"/>
          <w:bCs/>
        </w:rPr>
        <w:t>A szakirodalmakban hivatkozott jogszabályok, HM és MHP belső szabályzók</w:t>
      </w:r>
    </w:p>
    <w:p w:rsidR="00A76F74" w:rsidRPr="00A76F74" w:rsidRDefault="00A76F74" w:rsidP="00980876">
      <w:pPr>
        <w:numPr>
          <w:ilvl w:val="0"/>
          <w:numId w:val="782"/>
        </w:numPr>
        <w:tabs>
          <w:tab w:val="right" w:pos="851"/>
          <w:tab w:val="center" w:pos="4536"/>
          <w:tab w:val="right" w:pos="9072"/>
        </w:tabs>
        <w:spacing w:after="0" w:line="240" w:lineRule="auto"/>
        <w:ind w:left="709" w:hanging="283"/>
        <w:jc w:val="both"/>
        <w:rPr>
          <w:rFonts w:ascii="Times New Roman" w:hAnsi="Times New Roman" w:cs="Times New Roman"/>
          <w:bCs/>
          <w:highlight w:val="yellow"/>
        </w:rPr>
      </w:pPr>
      <w:r w:rsidRPr="00A76F74">
        <w:rPr>
          <w:rFonts w:ascii="Times New Roman" w:hAnsi="Times New Roman" w:cs="Times New Roman"/>
          <w:bCs/>
          <w:highlight w:val="yellow"/>
        </w:rPr>
        <w:t>Derzsényi Attila: KATONAI BESZERZÉS I., HADMÉRNÖK IX.: (1) pp. 25-39.</w:t>
      </w:r>
    </w:p>
    <w:p w:rsidR="00A76F74" w:rsidRPr="00A76F74" w:rsidRDefault="00A76F74" w:rsidP="00980876">
      <w:pPr>
        <w:numPr>
          <w:ilvl w:val="0"/>
          <w:numId w:val="782"/>
        </w:numPr>
        <w:tabs>
          <w:tab w:val="right" w:pos="851"/>
          <w:tab w:val="center" w:pos="4536"/>
          <w:tab w:val="right" w:pos="9072"/>
        </w:tabs>
        <w:spacing w:after="0" w:line="240" w:lineRule="auto"/>
        <w:ind w:left="709" w:hanging="283"/>
        <w:jc w:val="both"/>
        <w:rPr>
          <w:rFonts w:ascii="Times New Roman" w:hAnsi="Times New Roman" w:cs="Times New Roman"/>
          <w:bCs/>
          <w:highlight w:val="yellow"/>
        </w:rPr>
      </w:pPr>
      <w:r w:rsidRPr="00A76F74">
        <w:rPr>
          <w:rFonts w:ascii="Times New Roman" w:hAnsi="Times New Roman" w:cs="Times New Roman"/>
          <w:bCs/>
          <w:highlight w:val="yellow"/>
        </w:rPr>
        <w:t>Derzsényi Attila: KATONAI BESZERZÉS II., HADMÉRNÖK X: (2) pp. 135-147.</w:t>
      </w:r>
    </w:p>
    <w:p w:rsidR="008B7723" w:rsidRDefault="008B7723" w:rsidP="00A76F74">
      <w:pPr>
        <w:widowControl w:val="0"/>
        <w:spacing w:before="120" w:after="120" w:line="240" w:lineRule="auto"/>
        <w:ind w:firstLine="284"/>
        <w:jc w:val="both"/>
        <w:rPr>
          <w:rFonts w:ascii="Times New Roman" w:eastAsia="Times New Roman" w:hAnsi="Times New Roman" w:cs="Times New Roman"/>
          <w:bCs/>
        </w:rPr>
      </w:pPr>
      <w:r>
        <w:rPr>
          <w:rFonts w:ascii="Times New Roman" w:eastAsia="Times New Roman" w:hAnsi="Times New Roman" w:cs="Times New Roman"/>
          <w:bCs/>
        </w:rPr>
        <w:t>Budapest, 2020. január 20.</w:t>
      </w:r>
    </w:p>
    <w:p w:rsidR="008B7723" w:rsidRDefault="008B7723" w:rsidP="008B7723">
      <w:pPr>
        <w:widowControl w:val="0"/>
        <w:spacing w:after="0" w:line="240" w:lineRule="auto"/>
        <w:jc w:val="center"/>
        <w:rPr>
          <w:rFonts w:ascii="Times New Roman" w:hAnsi="Times New Roman" w:cs="Times New Roman"/>
          <w:b/>
          <w:bCs/>
        </w:rPr>
      </w:pPr>
      <w:r>
        <w:rPr>
          <w:rFonts w:ascii="Times New Roman" w:hAnsi="Times New Roman" w:cs="Times New Roman"/>
          <w:bCs/>
        </w:rPr>
        <w:t xml:space="preserve">                                                                                                                       </w:t>
      </w:r>
      <w:r>
        <w:rPr>
          <w:rFonts w:ascii="Times New Roman" w:hAnsi="Times New Roman" w:cs="Times New Roman"/>
          <w:b/>
          <w:bCs/>
        </w:rPr>
        <w:t>Dr. Derzsényi Attila (PhD)</w:t>
      </w:r>
    </w:p>
    <w:p w:rsidR="008B7723" w:rsidRDefault="008B7723" w:rsidP="008B7723">
      <w:pPr>
        <w:widowControl w:val="0"/>
        <w:spacing w:after="0" w:line="240" w:lineRule="auto"/>
        <w:jc w:val="center"/>
        <w:rPr>
          <w:rFonts w:ascii="Times New Roman" w:eastAsia="Times New Roman" w:hAnsi="Times New Roman" w:cs="Times New Roman"/>
          <w:bCs/>
        </w:rPr>
      </w:pPr>
      <w:r>
        <w:rPr>
          <w:rFonts w:ascii="Times New Roman" w:hAnsi="Times New Roman" w:cs="Times New Roman"/>
          <w:bCs/>
        </w:rPr>
        <w:t xml:space="preserve">                                                                                                                      adjunktus</w:t>
      </w:r>
      <w:r>
        <w:rPr>
          <w:rFonts w:ascii="Times New Roman" w:eastAsia="Times New Roman" w:hAnsi="Times New Roman" w:cs="Times New Roman"/>
          <w:bCs/>
        </w:rPr>
        <w:t xml:space="preserve"> s.k.</w:t>
      </w:r>
    </w:p>
    <w:p w:rsidR="003F363A" w:rsidRDefault="003F363A">
      <w:pPr>
        <w:spacing w:after="200" w:line="276" w:lineRule="auto"/>
        <w:rPr>
          <w:rFonts w:ascii="Times New Roman" w:hAnsi="Times New Roman" w:cs="Times New Roman"/>
          <w:sz w:val="24"/>
        </w:rPr>
      </w:pPr>
      <w:r>
        <w:rPr>
          <w:rFonts w:ascii="Times New Roman" w:hAnsi="Times New Roman" w:cs="Times New Roman"/>
          <w:sz w:val="24"/>
        </w:rPr>
        <w:br w:type="page"/>
      </w:r>
    </w:p>
    <w:p w:rsidR="007F6328" w:rsidRPr="00103985" w:rsidRDefault="00E82D81" w:rsidP="00103985">
      <w:pPr>
        <w:pStyle w:val="Cmsor1"/>
        <w:jc w:val="center"/>
        <w:rPr>
          <w:rFonts w:eastAsia="Calibri"/>
          <w:i w:val="0"/>
          <w:szCs w:val="22"/>
          <w:u w:val="none"/>
        </w:rPr>
      </w:pPr>
      <w:bookmarkStart w:id="69" w:name="_Toc37240853"/>
      <w:r w:rsidRPr="00103985">
        <w:rPr>
          <w:rFonts w:eastAsia="Calibri"/>
          <w:i w:val="0"/>
          <w:szCs w:val="22"/>
          <w:u w:val="none"/>
        </w:rPr>
        <w:lastRenderedPageBreak/>
        <w:t>III. Szakdolgozat</w:t>
      </w:r>
      <w:bookmarkEnd w:id="69"/>
    </w:p>
    <w:p w:rsidR="00E82D81" w:rsidRPr="00E82D81" w:rsidRDefault="00E82D81" w:rsidP="007F6328">
      <w:pPr>
        <w:pStyle w:val="lfej"/>
        <w:tabs>
          <w:tab w:val="clear" w:pos="9072"/>
        </w:tabs>
        <w:jc w:val="both"/>
        <w:rPr>
          <w:rFonts w:ascii="Times New Roman" w:hAnsi="Times New Roman" w:cs="Times New Roman"/>
          <w:b/>
          <w:sz w:val="24"/>
        </w:rPr>
      </w:pPr>
    </w:p>
    <w:p w:rsidR="00903171" w:rsidRDefault="00903171" w:rsidP="007F6328">
      <w:pPr>
        <w:pStyle w:val="lfej"/>
        <w:tabs>
          <w:tab w:val="clear" w:pos="9072"/>
        </w:tabs>
        <w:jc w:val="both"/>
        <w:rPr>
          <w:rFonts w:ascii="Times New Roman" w:hAnsi="Times New Roman" w:cs="Times New Roman"/>
          <w:b/>
        </w:rPr>
      </w:pPr>
    </w:p>
    <w:tbl>
      <w:tblPr>
        <w:tblW w:w="9072" w:type="dxa"/>
        <w:tblInd w:w="113" w:type="dxa"/>
        <w:tblLook w:val="01E0" w:firstRow="1" w:lastRow="1" w:firstColumn="1" w:lastColumn="1" w:noHBand="0" w:noVBand="0"/>
      </w:tblPr>
      <w:tblGrid>
        <w:gridCol w:w="4855"/>
        <w:gridCol w:w="1620"/>
        <w:gridCol w:w="2597"/>
      </w:tblGrid>
      <w:tr w:rsidR="00103985" w:rsidTr="00027664">
        <w:tc>
          <w:tcPr>
            <w:tcW w:w="4855" w:type="dxa"/>
            <w:tcBorders>
              <w:top w:val="nil"/>
              <w:left w:val="nil"/>
              <w:bottom w:val="single" w:sz="4" w:space="0" w:color="auto"/>
              <w:right w:val="nil"/>
            </w:tcBorders>
            <w:hideMark/>
          </w:tcPr>
          <w:p w:rsidR="00103985" w:rsidRDefault="00103985" w:rsidP="00027664">
            <w:pPr>
              <w:spacing w:after="0" w:line="240" w:lineRule="auto"/>
              <w:jc w:val="center"/>
              <w:rPr>
                <w:rFonts w:ascii="Times New Roman" w:eastAsia="Times New Roman" w:hAnsi="Times New Roman" w:cs="Times New Roman"/>
                <w:b/>
                <w:smallCaps/>
                <w:lang w:eastAsia="hu-HU"/>
              </w:rPr>
            </w:pPr>
            <w:r>
              <w:rPr>
                <w:rFonts w:ascii="Times New Roman" w:eastAsia="Times New Roman" w:hAnsi="Times New Roman" w:cs="Times New Roman"/>
                <w:b/>
                <w:smallCaps/>
                <w:lang w:eastAsia="hu-HU"/>
              </w:rPr>
              <w:t>Nemzeti Közszolgálati Egyetem</w:t>
            </w:r>
          </w:p>
        </w:tc>
        <w:tc>
          <w:tcPr>
            <w:tcW w:w="1620" w:type="dxa"/>
          </w:tcPr>
          <w:p w:rsidR="00103985" w:rsidRDefault="00103985" w:rsidP="00027664">
            <w:pPr>
              <w:spacing w:after="0" w:line="240" w:lineRule="auto"/>
              <w:jc w:val="both"/>
              <w:rPr>
                <w:rFonts w:ascii="Times New Roman" w:eastAsia="Times New Roman" w:hAnsi="Times New Roman" w:cs="Times New Roman"/>
                <w:lang w:eastAsia="hu-HU"/>
              </w:rPr>
            </w:pPr>
          </w:p>
        </w:tc>
        <w:tc>
          <w:tcPr>
            <w:tcW w:w="2597" w:type="dxa"/>
          </w:tcPr>
          <w:p w:rsidR="00103985" w:rsidRDefault="00103985" w:rsidP="00027664">
            <w:pPr>
              <w:spacing w:after="0" w:line="240" w:lineRule="auto"/>
              <w:jc w:val="right"/>
              <w:rPr>
                <w:rFonts w:ascii="Times New Roman" w:eastAsia="Times New Roman" w:hAnsi="Times New Roman" w:cs="Times New Roman"/>
                <w:lang w:eastAsia="hu-HU"/>
              </w:rPr>
            </w:pPr>
          </w:p>
        </w:tc>
      </w:tr>
      <w:tr w:rsidR="00103985" w:rsidTr="00027664">
        <w:tc>
          <w:tcPr>
            <w:tcW w:w="4855" w:type="dxa"/>
            <w:tcBorders>
              <w:top w:val="single" w:sz="4" w:space="0" w:color="auto"/>
              <w:left w:val="nil"/>
              <w:bottom w:val="nil"/>
              <w:right w:val="nil"/>
            </w:tcBorders>
            <w:hideMark/>
          </w:tcPr>
          <w:p w:rsidR="00103985" w:rsidRDefault="00103985" w:rsidP="00027664">
            <w:pPr>
              <w:spacing w:after="0" w:line="240" w:lineRule="auto"/>
              <w:jc w:val="center"/>
              <w:rPr>
                <w:rFonts w:ascii="Times New Roman" w:eastAsia="Times New Roman" w:hAnsi="Times New Roman" w:cs="Times New Roman"/>
                <w:b/>
                <w:lang w:eastAsia="hu-HU"/>
              </w:rPr>
            </w:pPr>
            <w:r>
              <w:rPr>
                <w:rFonts w:ascii="Times New Roman" w:eastAsia="Times New Roman" w:hAnsi="Times New Roman" w:cs="Times New Roman"/>
                <w:b/>
                <w:lang w:eastAsia="hu-HU"/>
              </w:rPr>
              <w:t>Hadtudományi és Honvédtisztképző Kar</w:t>
            </w:r>
          </w:p>
        </w:tc>
        <w:tc>
          <w:tcPr>
            <w:tcW w:w="1620" w:type="dxa"/>
          </w:tcPr>
          <w:p w:rsidR="00103985" w:rsidRDefault="00103985" w:rsidP="00027664">
            <w:pPr>
              <w:spacing w:after="0" w:line="240" w:lineRule="auto"/>
              <w:jc w:val="both"/>
              <w:rPr>
                <w:rFonts w:ascii="Times New Roman" w:eastAsia="Times New Roman" w:hAnsi="Times New Roman" w:cs="Times New Roman"/>
                <w:lang w:eastAsia="hu-HU"/>
              </w:rPr>
            </w:pPr>
          </w:p>
        </w:tc>
        <w:tc>
          <w:tcPr>
            <w:tcW w:w="2597" w:type="dxa"/>
          </w:tcPr>
          <w:p w:rsidR="00103985" w:rsidRDefault="00103985" w:rsidP="00027664">
            <w:pPr>
              <w:spacing w:after="0" w:line="240" w:lineRule="auto"/>
              <w:jc w:val="both"/>
              <w:rPr>
                <w:rFonts w:ascii="Times New Roman" w:eastAsia="Times New Roman" w:hAnsi="Times New Roman" w:cs="Times New Roman"/>
                <w:lang w:eastAsia="hu-HU"/>
              </w:rPr>
            </w:pPr>
          </w:p>
        </w:tc>
      </w:tr>
    </w:tbl>
    <w:p w:rsidR="00103985" w:rsidRDefault="00103985" w:rsidP="00103985">
      <w:pPr>
        <w:widowControl w:val="0"/>
        <w:spacing w:before="120" w:after="120" w:line="240" w:lineRule="auto"/>
        <w:ind w:left="426" w:hanging="142"/>
        <w:jc w:val="center"/>
        <w:rPr>
          <w:rFonts w:ascii="Times New Roman" w:eastAsia="Times New Roman" w:hAnsi="Times New Roman" w:cs="Times New Roman"/>
          <w:b/>
          <w:bCs/>
        </w:rPr>
      </w:pPr>
    </w:p>
    <w:p w:rsidR="00103985" w:rsidRDefault="00103985" w:rsidP="00103985">
      <w:pPr>
        <w:widowControl w:val="0"/>
        <w:spacing w:before="120" w:after="120" w:line="240" w:lineRule="auto"/>
        <w:ind w:left="426" w:hanging="142"/>
        <w:jc w:val="center"/>
        <w:rPr>
          <w:rFonts w:ascii="Times New Roman" w:eastAsia="Times New Roman" w:hAnsi="Times New Roman" w:cs="Times New Roman"/>
          <w:b/>
          <w:bCs/>
        </w:rPr>
      </w:pPr>
      <w:r>
        <w:rPr>
          <w:rFonts w:ascii="Times New Roman" w:eastAsia="Times New Roman" w:hAnsi="Times New Roman" w:cs="Times New Roman"/>
          <w:b/>
          <w:bCs/>
        </w:rPr>
        <w:t>TANTÁRGYI PROGRAM</w:t>
      </w:r>
    </w:p>
    <w:p w:rsidR="00103985" w:rsidRDefault="00103985" w:rsidP="00980876">
      <w:pPr>
        <w:widowControl w:val="0"/>
        <w:numPr>
          <w:ilvl w:val="0"/>
          <w:numId w:val="169"/>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 tantárgy kódja: </w:t>
      </w:r>
      <w:r>
        <w:rPr>
          <w:rFonts w:ascii="Times New Roman" w:hAnsi="Times New Roman" w:cs="Times New Roman"/>
          <w:bCs/>
        </w:rPr>
        <w:t>HKHPKA21</w:t>
      </w:r>
    </w:p>
    <w:p w:rsidR="00103985" w:rsidRDefault="00103985" w:rsidP="00980876">
      <w:pPr>
        <w:widowControl w:val="0"/>
        <w:numPr>
          <w:ilvl w:val="0"/>
          <w:numId w:val="169"/>
        </w:numPr>
        <w:spacing w:before="120" w:after="120" w:line="240" w:lineRule="auto"/>
        <w:ind w:left="426" w:hanging="142"/>
        <w:jc w:val="both"/>
        <w:rPr>
          <w:rFonts w:ascii="Times New Roman" w:eastAsia="Times New Roman" w:hAnsi="Times New Roman" w:cs="Times New Roman"/>
          <w:b/>
          <w:bCs/>
          <w:lang w:val="en-GB"/>
        </w:rPr>
      </w:pPr>
      <w:r>
        <w:rPr>
          <w:rFonts w:ascii="Times New Roman" w:eastAsia="Times New Roman" w:hAnsi="Times New Roman" w:cs="Times New Roman"/>
          <w:b/>
          <w:bCs/>
        </w:rPr>
        <w:t>A tantárgy megnevezése (magyarul):</w:t>
      </w:r>
      <w:r>
        <w:rPr>
          <w:rFonts w:ascii="Times New Roman" w:eastAsia="Times New Roman" w:hAnsi="Times New Roman" w:cs="Times New Roman"/>
          <w:bCs/>
        </w:rPr>
        <w:t xml:space="preserve"> </w:t>
      </w:r>
      <w:r>
        <w:rPr>
          <w:rFonts w:ascii="Times New Roman" w:hAnsi="Times New Roman" w:cs="Times New Roman"/>
          <w:bCs/>
        </w:rPr>
        <w:t>Szakdolgozat készítés</w:t>
      </w:r>
    </w:p>
    <w:p w:rsidR="00103985" w:rsidRDefault="00103985" w:rsidP="00980876">
      <w:pPr>
        <w:widowControl w:val="0"/>
        <w:numPr>
          <w:ilvl w:val="0"/>
          <w:numId w:val="169"/>
        </w:numPr>
        <w:tabs>
          <w:tab w:val="num" w:pos="567"/>
        </w:tabs>
        <w:spacing w:before="120" w:after="120" w:line="240" w:lineRule="auto"/>
        <w:ind w:left="426" w:hanging="142"/>
        <w:jc w:val="both"/>
        <w:rPr>
          <w:rFonts w:ascii="Times New Roman" w:eastAsia="Times New Roman" w:hAnsi="Times New Roman" w:cs="Times New Roman"/>
          <w:b/>
          <w:bCs/>
          <w:lang w:val="en-GB"/>
        </w:rPr>
      </w:pPr>
      <w:r>
        <w:rPr>
          <w:rFonts w:ascii="Times New Roman" w:eastAsia="Times New Roman" w:hAnsi="Times New Roman" w:cs="Times New Roman"/>
          <w:b/>
          <w:bCs/>
        </w:rPr>
        <w:t xml:space="preserve">A tantárgy megnevezése (angolul): </w:t>
      </w:r>
      <w:r>
        <w:rPr>
          <w:rFonts w:ascii="Times New Roman" w:eastAsia="Times New Roman" w:hAnsi="Times New Roman" w:cs="Times New Roman"/>
          <w:bCs/>
        </w:rPr>
        <w:t>Writing of Bachelor Theses</w:t>
      </w:r>
    </w:p>
    <w:p w:rsidR="00103985" w:rsidRDefault="00103985" w:rsidP="00980876">
      <w:pPr>
        <w:widowControl w:val="0"/>
        <w:numPr>
          <w:ilvl w:val="0"/>
          <w:numId w:val="169"/>
        </w:numPr>
        <w:tabs>
          <w:tab w:val="num" w:pos="567"/>
        </w:tabs>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Kreditérték és képzési karakter: </w:t>
      </w:r>
    </w:p>
    <w:p w:rsidR="00103985" w:rsidRDefault="00103985" w:rsidP="00980876">
      <w:pPr>
        <w:pStyle w:val="Listaszerbekezds"/>
        <w:widowControl w:val="0"/>
        <w:numPr>
          <w:ilvl w:val="1"/>
          <w:numId w:val="169"/>
        </w:numPr>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14 kredit</w:t>
      </w:r>
    </w:p>
    <w:p w:rsidR="00103985" w:rsidRDefault="00103985" w:rsidP="00980876">
      <w:pPr>
        <w:pStyle w:val="Listaszerbekezds"/>
        <w:widowControl w:val="0"/>
        <w:numPr>
          <w:ilvl w:val="1"/>
          <w:numId w:val="169"/>
        </w:numPr>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a tantárgy elméleti vagy gyakorlati jellegének mértéke: 100</w:t>
      </w:r>
      <w:r>
        <w:rPr>
          <w:rFonts w:ascii="Times New Roman" w:eastAsia="Times New Roman" w:hAnsi="Times New Roman" w:cs="Times New Roman"/>
          <w:b/>
          <w:bCs/>
        </w:rPr>
        <w:t xml:space="preserve"> </w:t>
      </w:r>
      <w:r>
        <w:rPr>
          <w:rFonts w:ascii="Times New Roman" w:eastAsia="Times New Roman" w:hAnsi="Times New Roman" w:cs="Times New Roman"/>
          <w:bCs/>
        </w:rPr>
        <w:t>% gyakorlat, 0 % elmélet</w:t>
      </w:r>
    </w:p>
    <w:p w:rsidR="00103985" w:rsidRDefault="00103985" w:rsidP="00980876">
      <w:pPr>
        <w:widowControl w:val="0"/>
        <w:numPr>
          <w:ilvl w:val="0"/>
          <w:numId w:val="169"/>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szak(ok), szakirányok/specializációk megnevezése (ahol oktatják):</w:t>
      </w:r>
      <w:r>
        <w:rPr>
          <w:rFonts w:ascii="Times New Roman" w:eastAsia="Times New Roman" w:hAnsi="Times New Roman" w:cs="Times New Roman"/>
          <w:bCs/>
        </w:rPr>
        <w:t xml:space="preserve"> </w:t>
      </w:r>
      <w:r>
        <w:rPr>
          <w:rFonts w:ascii="Times New Roman" w:hAnsi="Times New Roman" w:cs="Times New Roman"/>
          <w:bCs/>
        </w:rPr>
        <w:t>Katonai logisztika alapképzési szak</w:t>
      </w:r>
    </w:p>
    <w:p w:rsidR="00103985" w:rsidRDefault="00103985" w:rsidP="00980876">
      <w:pPr>
        <w:widowControl w:val="0"/>
        <w:numPr>
          <w:ilvl w:val="0"/>
          <w:numId w:val="169"/>
        </w:numPr>
        <w:tabs>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Az oktatásért felelős oktatási szervezeti egység megnevezése: </w:t>
      </w:r>
      <w:r>
        <w:rPr>
          <w:rFonts w:ascii="Times New Roman" w:hAnsi="Times New Roman" w:cs="Times New Roman"/>
          <w:bCs/>
        </w:rPr>
        <w:t>NKE HHK Hadtáp, Pénzügyi és Katonai Közlekedési Tanszék</w:t>
      </w:r>
    </w:p>
    <w:p w:rsidR="00103985" w:rsidRDefault="00103985" w:rsidP="00980876">
      <w:pPr>
        <w:widowControl w:val="0"/>
        <w:numPr>
          <w:ilvl w:val="0"/>
          <w:numId w:val="169"/>
        </w:numPr>
        <w:tabs>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tantárgyfelelős oktató neve, beosztása, tudományos fokozata:</w:t>
      </w:r>
      <w:r>
        <w:rPr>
          <w:rFonts w:ascii="Times New Roman" w:eastAsia="Times New Roman" w:hAnsi="Times New Roman" w:cs="Times New Roman"/>
          <w:bCs/>
        </w:rPr>
        <w:t xml:space="preserve"> </w:t>
      </w:r>
      <w:r>
        <w:rPr>
          <w:rFonts w:ascii="Times New Roman" w:hAnsi="Times New Roman" w:cs="Times New Roman"/>
          <w:bCs/>
        </w:rPr>
        <w:t>Dr. Kenessei Zsolt, gyakorlati oktató</w:t>
      </w:r>
    </w:p>
    <w:p w:rsidR="00103985" w:rsidRDefault="00103985" w:rsidP="00980876">
      <w:pPr>
        <w:widowControl w:val="0"/>
        <w:numPr>
          <w:ilvl w:val="0"/>
          <w:numId w:val="169"/>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tanórák száma és típusa</w:t>
      </w:r>
    </w:p>
    <w:p w:rsidR="00103985" w:rsidRDefault="00103985" w:rsidP="00980876">
      <w:pPr>
        <w:widowControl w:val="0"/>
        <w:numPr>
          <w:ilvl w:val="1"/>
          <w:numId w:val="169"/>
        </w:numPr>
        <w:tabs>
          <w:tab w:val="num" w:pos="709"/>
          <w:tab w:val="num" w:pos="2069"/>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össz óraszám/félév: 28</w:t>
      </w:r>
    </w:p>
    <w:p w:rsidR="00103985" w:rsidRDefault="00103985" w:rsidP="00980876">
      <w:pPr>
        <w:widowControl w:val="0"/>
        <w:numPr>
          <w:ilvl w:val="2"/>
          <w:numId w:val="169"/>
        </w:numPr>
        <w:tabs>
          <w:tab w:val="clear" w:pos="1800"/>
          <w:tab w:val="num" w:pos="709"/>
          <w:tab w:val="num" w:pos="1134"/>
        </w:tabs>
        <w:spacing w:before="120" w:after="120" w:line="240" w:lineRule="auto"/>
        <w:ind w:left="1134" w:hanging="425"/>
        <w:jc w:val="both"/>
        <w:rPr>
          <w:rFonts w:ascii="Times New Roman" w:eastAsia="Times New Roman" w:hAnsi="Times New Roman" w:cs="Times New Roman"/>
          <w:bCs/>
        </w:rPr>
      </w:pPr>
      <w:r>
        <w:rPr>
          <w:rFonts w:ascii="Times New Roman" w:eastAsia="Times New Roman" w:hAnsi="Times New Roman" w:cs="Times New Roman"/>
          <w:bCs/>
        </w:rPr>
        <w:t>nappali munkarend: (0 EA + 0 SZ + 28 GY)</w:t>
      </w:r>
    </w:p>
    <w:p w:rsidR="00103985" w:rsidRDefault="00103985" w:rsidP="00980876">
      <w:pPr>
        <w:widowControl w:val="0"/>
        <w:numPr>
          <w:ilvl w:val="2"/>
          <w:numId w:val="169"/>
        </w:numPr>
        <w:tabs>
          <w:tab w:val="clear" w:pos="1800"/>
          <w:tab w:val="num" w:pos="709"/>
          <w:tab w:val="num" w:pos="1134"/>
        </w:tabs>
        <w:spacing w:before="120" w:after="120" w:line="240" w:lineRule="auto"/>
        <w:ind w:left="1134" w:hanging="425"/>
        <w:jc w:val="both"/>
        <w:rPr>
          <w:rFonts w:ascii="Times New Roman" w:eastAsia="Times New Roman" w:hAnsi="Times New Roman" w:cs="Times New Roman"/>
          <w:bCs/>
        </w:rPr>
      </w:pPr>
      <w:r>
        <w:rPr>
          <w:rFonts w:ascii="Times New Roman" w:eastAsia="Times New Roman" w:hAnsi="Times New Roman" w:cs="Times New Roman"/>
          <w:bCs/>
        </w:rPr>
        <w:t>levelező munkarend: -</w:t>
      </w:r>
    </w:p>
    <w:p w:rsidR="00103985" w:rsidRDefault="00103985" w:rsidP="00980876">
      <w:pPr>
        <w:widowControl w:val="0"/>
        <w:numPr>
          <w:ilvl w:val="1"/>
          <w:numId w:val="169"/>
        </w:numPr>
        <w:tabs>
          <w:tab w:val="num" w:pos="709"/>
          <w:tab w:val="num" w:pos="2069"/>
        </w:tabs>
        <w:spacing w:before="120" w:after="120" w:line="240" w:lineRule="auto"/>
        <w:ind w:left="851" w:hanging="425"/>
        <w:jc w:val="both"/>
        <w:rPr>
          <w:rFonts w:ascii="Times New Roman" w:eastAsia="Times New Roman" w:hAnsi="Times New Roman" w:cs="Times New Roman"/>
          <w:bCs/>
        </w:rPr>
      </w:pPr>
      <w:r>
        <w:rPr>
          <w:rFonts w:ascii="Times New Roman" w:eastAsia="Times New Roman" w:hAnsi="Times New Roman" w:cs="Times New Roman"/>
          <w:bCs/>
        </w:rPr>
        <w:t>heti óraszám - nappali munkarend: 2</w:t>
      </w:r>
    </w:p>
    <w:p w:rsidR="00103985" w:rsidRDefault="00103985" w:rsidP="00980876">
      <w:pPr>
        <w:widowControl w:val="0"/>
        <w:numPr>
          <w:ilvl w:val="1"/>
          <w:numId w:val="169"/>
        </w:numPr>
        <w:tabs>
          <w:tab w:val="num" w:pos="709"/>
          <w:tab w:val="num" w:pos="2069"/>
        </w:tabs>
        <w:spacing w:before="120" w:after="120" w:line="240" w:lineRule="auto"/>
        <w:ind w:left="851" w:hanging="425"/>
        <w:jc w:val="both"/>
        <w:rPr>
          <w:rFonts w:ascii="Times New Roman" w:eastAsia="Times New Roman" w:hAnsi="Times New Roman" w:cs="Times New Roman"/>
          <w:bCs/>
        </w:rPr>
      </w:pPr>
      <w:r>
        <w:rPr>
          <w:rFonts w:ascii="Times New Roman" w:hAnsi="Times New Roman" w:cs="Times New Roman"/>
        </w:rPr>
        <w:t>Az ismeret átadásában alkalmazandó további sajátos módok, jellemzők:</w:t>
      </w:r>
      <w:r>
        <w:rPr>
          <w:rFonts w:ascii="Times New Roman" w:hAnsi="Times New Roman" w:cs="Times New Roman"/>
          <w:i/>
        </w:rPr>
        <w:t xml:space="preserve"> –</w:t>
      </w:r>
    </w:p>
    <w:p w:rsidR="00103985" w:rsidRDefault="00103985" w:rsidP="00980876">
      <w:pPr>
        <w:widowControl w:val="0"/>
        <w:numPr>
          <w:ilvl w:val="0"/>
          <w:numId w:val="169"/>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tantárgy szakmai tartalma (magyarul):</w:t>
      </w:r>
      <w:r>
        <w:rPr>
          <w:rFonts w:ascii="Times New Roman" w:eastAsia="Times New Roman" w:hAnsi="Times New Roman" w:cs="Times New Roman"/>
          <w:bCs/>
        </w:rPr>
        <w:t xml:space="preserve"> A szakdolgozat elkészítése. Irodalomkutatás, rendszerezés, szerkezetkialakítás, megvalósítás.</w:t>
      </w:r>
    </w:p>
    <w:p w:rsidR="00103985" w:rsidRDefault="00103985" w:rsidP="00103985">
      <w:pPr>
        <w:widowControl w:val="0"/>
        <w:spacing w:before="120" w:after="120" w:line="240" w:lineRule="auto"/>
        <w:ind w:left="426"/>
        <w:jc w:val="both"/>
        <w:rPr>
          <w:rFonts w:ascii="Times New Roman" w:eastAsia="Times New Roman" w:hAnsi="Times New Roman" w:cs="Times New Roman"/>
          <w:bCs/>
          <w:lang w:val="en-GB"/>
        </w:rPr>
      </w:pPr>
      <w:r>
        <w:rPr>
          <w:rFonts w:ascii="Times New Roman" w:eastAsia="Times New Roman" w:hAnsi="Times New Roman" w:cs="Times New Roman"/>
          <w:b/>
          <w:bCs/>
        </w:rPr>
        <w:t>A tantárgy szakmai tartalma (angolul) (</w:t>
      </w:r>
      <w:r>
        <w:rPr>
          <w:rFonts w:ascii="Times New Roman" w:eastAsia="Times New Roman" w:hAnsi="Times New Roman" w:cs="Times New Roman"/>
          <w:b/>
          <w:bCs/>
          <w:lang w:val="en-US"/>
        </w:rPr>
        <w:t>Course description</w:t>
      </w:r>
      <w:r>
        <w:rPr>
          <w:rFonts w:ascii="Times New Roman" w:eastAsia="Times New Roman" w:hAnsi="Times New Roman" w:cs="Times New Roman"/>
          <w:b/>
          <w:bCs/>
        </w:rPr>
        <w:t xml:space="preserve">): </w:t>
      </w:r>
      <w:r>
        <w:rPr>
          <w:rFonts w:ascii="Times New Roman" w:eastAsia="Times New Roman" w:hAnsi="Times New Roman" w:cs="Times New Roman"/>
          <w:bCs/>
          <w:lang w:val="en-US"/>
        </w:rPr>
        <w:t>To write the bachelor theses. Literature research, systematization, structure design, implementation.</w:t>
      </w:r>
    </w:p>
    <w:p w:rsidR="00103985" w:rsidRDefault="00103985" w:rsidP="00980876">
      <w:pPr>
        <w:pStyle w:val="Listaszerbekezds"/>
        <w:widowControl w:val="0"/>
        <w:numPr>
          <w:ilvl w:val="0"/>
          <w:numId w:val="169"/>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Elérendő kompetenciák (magyarul):</w:t>
      </w:r>
      <w:r>
        <w:rPr>
          <w:rFonts w:ascii="Times New Roman" w:eastAsia="Times New Roman" w:hAnsi="Times New Roman" w:cs="Times New Roman"/>
          <w:bCs/>
        </w:rPr>
        <w:t xml:space="preserve"> </w:t>
      </w:r>
    </w:p>
    <w:p w:rsidR="00103985" w:rsidRDefault="00103985" w:rsidP="00103985">
      <w:pPr>
        <w:widowControl w:val="0"/>
        <w:spacing w:after="0" w:line="240" w:lineRule="auto"/>
        <w:ind w:left="425"/>
        <w:jc w:val="both"/>
        <w:rPr>
          <w:rFonts w:ascii="Times New Roman" w:eastAsia="Times New Roman" w:hAnsi="Times New Roman" w:cs="Times New Roman"/>
          <w:b/>
          <w:bCs/>
        </w:rPr>
      </w:pPr>
      <w:r>
        <w:rPr>
          <w:rFonts w:ascii="Times New Roman" w:eastAsia="Times New Roman" w:hAnsi="Times New Roman" w:cs="Times New Roman"/>
          <w:b/>
          <w:bCs/>
        </w:rPr>
        <w:t>Tudása:</w:t>
      </w:r>
    </w:p>
    <w:p w:rsidR="00103985" w:rsidRDefault="00103985" w:rsidP="00103985">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Ismeri az összfegyvernemi harc megvívásával kapcsolatos alapismereteket, annak főbb jellemzőit, a harctámogatás, a harckiszolgáló támogatás, a haderőnemek, a fegyvernemek és szakcsapatok szervezeti felépítését, harceljárásait.</w:t>
      </w:r>
    </w:p>
    <w:p w:rsidR="00103985" w:rsidRDefault="00103985" w:rsidP="00103985">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Jártas a Magyar Honvédség logisztikai rendszerének felépítésében, a logisztikai szervezetek feladat- és hatásköreiben, az egységek és alegységek logisztikai szervezeteinek felépítésében és feladataiban.</w:t>
      </w:r>
    </w:p>
    <w:p w:rsidR="00103985" w:rsidRDefault="00103985" w:rsidP="00103985">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Mélyrehatóan ismeri és széleskörűen áttekinti a választott témát.</w:t>
      </w:r>
    </w:p>
    <w:p w:rsidR="00103985" w:rsidRDefault="00103985" w:rsidP="00103985">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Képességei:</w:t>
      </w:r>
      <w:r>
        <w:rPr>
          <w:rFonts w:ascii="Times New Roman" w:eastAsia="Times New Roman" w:hAnsi="Times New Roman" w:cs="Times New Roman"/>
          <w:bCs/>
        </w:rPr>
        <w:t xml:space="preserve"> </w:t>
      </w:r>
    </w:p>
    <w:p w:rsidR="00103985" w:rsidRDefault="00103985" w:rsidP="00103985">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Képes a szakmai terminológia magyarul és idegen nyelven történő alkalmazására.</w:t>
      </w:r>
    </w:p>
    <w:p w:rsidR="00103985" w:rsidRDefault="00103985" w:rsidP="00103985">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Képes a témához kapcsolódó jogszabályi háttér értelmezésére és gyakorlati alkalmazására.</w:t>
      </w:r>
    </w:p>
    <w:p w:rsidR="00103985" w:rsidRDefault="00103985" w:rsidP="00103985">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Képes a témában összefüggések feltárására.</w:t>
      </w:r>
    </w:p>
    <w:p w:rsidR="00103985" w:rsidRDefault="00103985" w:rsidP="00103985">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Képes a témához kapcsolódó irdalom kutatására és feldolgozására.</w:t>
      </w:r>
    </w:p>
    <w:p w:rsidR="00103985" w:rsidRDefault="00103985" w:rsidP="00103985">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Attitűdje:</w:t>
      </w:r>
      <w:r>
        <w:rPr>
          <w:rFonts w:ascii="Times New Roman" w:eastAsia="Times New Roman" w:hAnsi="Times New Roman" w:cs="Times New Roman"/>
          <w:bCs/>
        </w:rPr>
        <w:t xml:space="preserve"> </w:t>
      </w:r>
    </w:p>
    <w:p w:rsidR="00103985" w:rsidRDefault="00103985" w:rsidP="00103985">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 xml:space="preserve">Nyitott a hadtáp szakterület új tudományos eredményei iránt, képes a hadtáp szakterületen </w:t>
      </w:r>
      <w:r>
        <w:rPr>
          <w:rFonts w:ascii="Times New Roman" w:eastAsia="Times New Roman" w:hAnsi="Times New Roman"/>
          <w:bCs/>
        </w:rPr>
        <w:lastRenderedPageBreak/>
        <w:t>bekövetkező változásokhoz és fejlődéshez jól alkalmazkodni.</w:t>
      </w:r>
    </w:p>
    <w:p w:rsidR="00103985" w:rsidRDefault="00103985" w:rsidP="00103985">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Tevékenységét a hatékonyság központú szemlélet jellemzi.</w:t>
      </w:r>
    </w:p>
    <w:p w:rsidR="00103985" w:rsidRDefault="00103985" w:rsidP="00103985">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bCs/>
        </w:rPr>
        <w:t>Autonómiája és felelőssége:</w:t>
      </w:r>
    </w:p>
    <w:p w:rsidR="00103985" w:rsidRDefault="00103985" w:rsidP="00103985">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Az dolgozat elkészítése során önállóan döntéseket hoz.</w:t>
      </w:r>
    </w:p>
    <w:p w:rsidR="00103985" w:rsidRDefault="00103985" w:rsidP="00103985">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Felelősséget vállal számvetéseinek pontosságáért.</w:t>
      </w:r>
    </w:p>
    <w:p w:rsidR="00103985" w:rsidRDefault="00103985" w:rsidP="00103985">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Felelősséget vállal a jogszerű irodalomfelhasználásért.</w:t>
      </w:r>
    </w:p>
    <w:p w:rsidR="00103985" w:rsidRDefault="00103985" w:rsidP="00103985">
      <w:pPr>
        <w:widowControl w:val="0"/>
        <w:spacing w:before="120" w:after="0" w:line="240" w:lineRule="auto"/>
        <w:ind w:left="425"/>
        <w:jc w:val="both"/>
        <w:rPr>
          <w:rFonts w:ascii="Times New Roman" w:eastAsia="Times New Roman" w:hAnsi="Times New Roman" w:cs="Times New Roman"/>
          <w:b/>
          <w:bCs/>
          <w:lang w:val="en-US"/>
        </w:rPr>
      </w:pPr>
      <w:r>
        <w:rPr>
          <w:rFonts w:ascii="Times New Roman" w:eastAsia="Times New Roman" w:hAnsi="Times New Roman" w:cs="Times New Roman"/>
          <w:b/>
          <w:bCs/>
        </w:rPr>
        <w:t>Elérendő kompetenciák (angolul) (</w:t>
      </w:r>
      <w:r>
        <w:rPr>
          <w:rFonts w:ascii="Times New Roman" w:eastAsia="Times New Roman" w:hAnsi="Times New Roman" w:cs="Times New Roman"/>
          <w:b/>
          <w:bCs/>
          <w:lang w:val="en-US"/>
        </w:rPr>
        <w:t xml:space="preserve">Competences – English): </w:t>
      </w:r>
    </w:p>
    <w:p w:rsidR="00103985" w:rsidRDefault="00103985" w:rsidP="00103985">
      <w:pPr>
        <w:widowControl w:val="0"/>
        <w:spacing w:before="120" w:after="0" w:line="240" w:lineRule="auto"/>
        <w:ind w:left="425"/>
        <w:jc w:val="both"/>
        <w:rPr>
          <w:rFonts w:ascii="Times New Roman" w:eastAsia="Times New Roman" w:hAnsi="Times New Roman" w:cs="Times New Roman"/>
          <w:lang w:val="en-GB"/>
        </w:rPr>
      </w:pPr>
      <w:r>
        <w:rPr>
          <w:rFonts w:ascii="Times New Roman" w:eastAsia="Times New Roman" w:hAnsi="Times New Roman" w:cs="Times New Roman"/>
          <w:b/>
          <w:lang w:val="en-GB"/>
        </w:rPr>
        <w:t>Knowledge</w:t>
      </w:r>
      <w:r>
        <w:rPr>
          <w:rFonts w:ascii="Times New Roman" w:eastAsia="Times New Roman" w:hAnsi="Times New Roman" w:cs="Times New Roman"/>
          <w:lang w:val="en-GB"/>
        </w:rPr>
        <w:t xml:space="preserve">: </w:t>
      </w:r>
    </w:p>
    <w:p w:rsidR="00103985" w:rsidRDefault="00103985" w:rsidP="00103985">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Knows the basic procedures and features of the battle carried out by combined arms, the combat service (CS) and combat service support (CSS) tasks, the battle procedures and organizational structures of the military services, branches and specific units.</w:t>
      </w:r>
    </w:p>
    <w:p w:rsidR="00103985" w:rsidRDefault="00103985" w:rsidP="00103985">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Knows the structure of the Hungarian Defence Forces’ logistic organizations, their tasks and authorities, the structure and tasks of logistic units and subunits.</w:t>
      </w:r>
    </w:p>
    <w:p w:rsidR="00103985" w:rsidRDefault="00103985" w:rsidP="00103985">
      <w:pPr>
        <w:widowControl w:val="0"/>
        <w:spacing w:before="120" w:after="120" w:line="240" w:lineRule="auto"/>
        <w:ind w:left="992" w:hanging="357"/>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Has a thorough knowledge and broad overview of the chosen topic.</w:t>
      </w:r>
    </w:p>
    <w:p w:rsidR="00103985" w:rsidRDefault="00103985" w:rsidP="00103985">
      <w:pPr>
        <w:widowControl w:val="0"/>
        <w:spacing w:before="120" w:after="0" w:line="240" w:lineRule="auto"/>
        <w:ind w:left="425"/>
        <w:jc w:val="both"/>
        <w:rPr>
          <w:rFonts w:ascii="Times New Roman" w:eastAsia="Times New Roman" w:hAnsi="Times New Roman" w:cs="Times New Roman"/>
          <w:lang w:val="en-GB"/>
        </w:rPr>
      </w:pPr>
      <w:r>
        <w:rPr>
          <w:rFonts w:ascii="Times New Roman" w:eastAsia="Times New Roman" w:hAnsi="Times New Roman" w:cs="Times New Roman"/>
          <w:b/>
          <w:lang w:val="en-GB"/>
        </w:rPr>
        <w:t>Capabilities</w:t>
      </w:r>
      <w:r>
        <w:rPr>
          <w:rFonts w:ascii="Times New Roman" w:eastAsia="Times New Roman" w:hAnsi="Times New Roman" w:cs="Times New Roman"/>
          <w:lang w:val="en-GB"/>
        </w:rPr>
        <w:t xml:space="preserve">: </w:t>
      </w:r>
    </w:p>
    <w:p w:rsidR="00103985" w:rsidRDefault="00103985" w:rsidP="00103985">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Capable of using the professional terminology in Hungarian and foreign languages.</w:t>
      </w:r>
    </w:p>
    <w:p w:rsidR="00103985" w:rsidRDefault="00103985" w:rsidP="00103985">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Capable of interpreting and applying in practice the legal background related to his/her job and duties.</w:t>
      </w:r>
    </w:p>
    <w:p w:rsidR="00103985" w:rsidRDefault="00103985" w:rsidP="00103985">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He/She is able to explore context within topic.</w:t>
      </w:r>
    </w:p>
    <w:p w:rsidR="00103985" w:rsidRDefault="00103985" w:rsidP="00103985">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He/She is able to research and process related literature.</w:t>
      </w:r>
    </w:p>
    <w:p w:rsidR="00103985" w:rsidRDefault="00103985" w:rsidP="001039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425"/>
        <w:jc w:val="both"/>
        <w:rPr>
          <w:rFonts w:ascii="Times New Roman" w:eastAsia="Times New Roman" w:hAnsi="Times New Roman" w:cs="Times New Roman"/>
          <w:lang w:val="en-GB"/>
        </w:rPr>
      </w:pPr>
      <w:r>
        <w:rPr>
          <w:rFonts w:ascii="Times New Roman" w:eastAsia="Times New Roman" w:hAnsi="Times New Roman" w:cs="Times New Roman"/>
          <w:b/>
          <w:lang w:val="en-GB"/>
        </w:rPr>
        <w:t>Attitude:</w:t>
      </w:r>
      <w:r>
        <w:rPr>
          <w:rFonts w:ascii="Times New Roman" w:eastAsia="Times New Roman" w:hAnsi="Times New Roman" w:cs="Times New Roman"/>
          <w:lang w:val="en-GB"/>
        </w:rPr>
        <w:t xml:space="preserve"> </w:t>
      </w:r>
    </w:p>
    <w:p w:rsidR="00103985" w:rsidRDefault="00103985" w:rsidP="00103985">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He/She is open to new achievements and innovations, strives to know, understand and apply them, and committed to continous self-education.</w:t>
      </w:r>
    </w:p>
    <w:p w:rsidR="00103985" w:rsidRDefault="00103985" w:rsidP="00103985">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His/Her  working activities are characterized by an efficiency-oriented approach.</w:t>
      </w:r>
    </w:p>
    <w:p w:rsidR="00103985" w:rsidRDefault="00103985" w:rsidP="00103985">
      <w:pPr>
        <w:widowControl w:val="0"/>
        <w:spacing w:before="120" w:after="0" w:line="240" w:lineRule="auto"/>
        <w:ind w:left="425"/>
        <w:jc w:val="both"/>
        <w:rPr>
          <w:rFonts w:ascii="Times New Roman" w:eastAsia="Times New Roman" w:hAnsi="Times New Roman" w:cs="Times New Roman"/>
          <w:bCs/>
        </w:rPr>
      </w:pPr>
      <w:r>
        <w:rPr>
          <w:rFonts w:ascii="Times New Roman" w:eastAsia="Times New Roman" w:hAnsi="Times New Roman" w:cs="Times New Roman"/>
          <w:b/>
          <w:lang w:val="en-GB"/>
        </w:rPr>
        <w:t xml:space="preserve">Autonomy and responsibility: </w:t>
      </w:r>
    </w:p>
    <w:p w:rsidR="00103985" w:rsidRDefault="00103985" w:rsidP="00103985">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During the preparation of the thesis he / she makes independent decisions.</w:t>
      </w:r>
    </w:p>
    <w:p w:rsidR="00103985" w:rsidRDefault="00103985" w:rsidP="00103985">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He/She takes responsibility for the accurancy of his/her calculations.</w:t>
      </w:r>
    </w:p>
    <w:p w:rsidR="00103985" w:rsidRDefault="00103985" w:rsidP="00103985">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t>He/She takes responsibility for the legitimate use of literature.</w:t>
      </w:r>
    </w:p>
    <w:p w:rsidR="00103985" w:rsidRDefault="00103985" w:rsidP="00980876">
      <w:pPr>
        <w:widowControl w:val="0"/>
        <w:numPr>
          <w:ilvl w:val="0"/>
          <w:numId w:val="169"/>
        </w:numPr>
        <w:tabs>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Előtanulmányi követelmények: –</w:t>
      </w:r>
    </w:p>
    <w:p w:rsidR="00103985" w:rsidRDefault="00103985" w:rsidP="00980876">
      <w:pPr>
        <w:widowControl w:val="0"/>
        <w:numPr>
          <w:ilvl w:val="0"/>
          <w:numId w:val="169"/>
        </w:numPr>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A tantárgy tananyagának leírása, tematika. Description of the subject, curriculum (magyarul, angolul - English):</w:t>
      </w:r>
    </w:p>
    <w:p w:rsidR="00103985" w:rsidRDefault="00103985" w:rsidP="00980876">
      <w:pPr>
        <w:widowControl w:val="0"/>
        <w:numPr>
          <w:ilvl w:val="1"/>
          <w:numId w:val="169"/>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lang w:val="en-US"/>
        </w:rPr>
      </w:pPr>
      <w:r>
        <w:rPr>
          <w:rFonts w:ascii="Times New Roman" w:eastAsia="Times New Roman" w:hAnsi="Times New Roman" w:cs="Times New Roman"/>
          <w:lang w:val="en-US"/>
        </w:rPr>
        <w:t xml:space="preserve">Irodalomkutatás. </w:t>
      </w:r>
      <w:r>
        <w:rPr>
          <w:rFonts w:ascii="Times New Roman" w:eastAsia="Times New Roman" w:hAnsi="Times New Roman" w:cs="Times New Roman"/>
          <w:i/>
          <w:lang w:val="en-US"/>
        </w:rPr>
        <w:t>(Literature research.)</w:t>
      </w:r>
    </w:p>
    <w:p w:rsidR="00103985" w:rsidRDefault="00103985" w:rsidP="00980876">
      <w:pPr>
        <w:widowControl w:val="0"/>
        <w:numPr>
          <w:ilvl w:val="1"/>
          <w:numId w:val="169"/>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lang w:val="en-US"/>
        </w:rPr>
      </w:pPr>
      <w:r>
        <w:rPr>
          <w:rFonts w:ascii="Times New Roman" w:eastAsia="Times New Roman" w:hAnsi="Times New Roman" w:cs="Times New Roman"/>
        </w:rPr>
        <w:t xml:space="preserve">A szakirodalom rendszerezése. </w:t>
      </w:r>
      <w:r>
        <w:rPr>
          <w:rFonts w:ascii="Times New Roman" w:eastAsia="Times New Roman" w:hAnsi="Times New Roman" w:cs="Times New Roman"/>
          <w:i/>
        </w:rPr>
        <w:t>(Systematization of literature.)</w:t>
      </w:r>
    </w:p>
    <w:p w:rsidR="00103985" w:rsidRDefault="00103985" w:rsidP="00980876">
      <w:pPr>
        <w:widowControl w:val="0"/>
        <w:numPr>
          <w:ilvl w:val="1"/>
          <w:numId w:val="169"/>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lang w:val="en-US"/>
        </w:rPr>
      </w:pPr>
      <w:r>
        <w:rPr>
          <w:rFonts w:ascii="Times New Roman" w:eastAsia="Times New Roman" w:hAnsi="Times New Roman" w:cs="Times New Roman"/>
        </w:rPr>
        <w:t xml:space="preserve">A szakdolgozat szerkezetének kialakítása. </w:t>
      </w:r>
      <w:r>
        <w:rPr>
          <w:rFonts w:ascii="Times New Roman" w:eastAsia="Times New Roman" w:hAnsi="Times New Roman" w:cs="Times New Roman"/>
          <w:i/>
        </w:rPr>
        <w:t>(Structuring of the thesis.)</w:t>
      </w:r>
    </w:p>
    <w:p w:rsidR="00103985" w:rsidRDefault="00103985" w:rsidP="00980876">
      <w:pPr>
        <w:widowControl w:val="0"/>
        <w:numPr>
          <w:ilvl w:val="1"/>
          <w:numId w:val="169"/>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lang w:val="en-US"/>
        </w:rPr>
      </w:pPr>
      <w:r>
        <w:rPr>
          <w:rFonts w:ascii="Times New Roman" w:eastAsia="Times New Roman" w:hAnsi="Times New Roman" w:cs="Times New Roman"/>
        </w:rPr>
        <w:t xml:space="preserve">A szakdolgozat megírása. </w:t>
      </w:r>
      <w:r>
        <w:rPr>
          <w:rFonts w:ascii="Times New Roman" w:eastAsia="Times New Roman" w:hAnsi="Times New Roman" w:cs="Times New Roman"/>
          <w:i/>
        </w:rPr>
        <w:t>(Writing the thesis.)</w:t>
      </w:r>
    </w:p>
    <w:p w:rsidR="00103985" w:rsidRDefault="00103985" w:rsidP="00980876">
      <w:pPr>
        <w:widowControl w:val="0"/>
        <w:numPr>
          <w:ilvl w:val="1"/>
          <w:numId w:val="169"/>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Pr>
          <w:rFonts w:ascii="Times New Roman" w:eastAsia="Times New Roman" w:hAnsi="Times New Roman" w:cs="Times New Roman"/>
          <w:kern w:val="2"/>
        </w:rPr>
        <w:t xml:space="preserve">A konzultációk eredménye után átdolgozás, pontosítás. </w:t>
      </w:r>
      <w:r>
        <w:rPr>
          <w:rFonts w:ascii="Times New Roman" w:eastAsia="Times New Roman" w:hAnsi="Times New Roman" w:cs="Times New Roman"/>
          <w:i/>
          <w:kern w:val="2"/>
        </w:rPr>
        <w:t>(Following the results of the consultations, revision and clarification.)</w:t>
      </w:r>
    </w:p>
    <w:p w:rsidR="00103985" w:rsidRDefault="00103985" w:rsidP="00980876">
      <w:pPr>
        <w:widowControl w:val="0"/>
        <w:numPr>
          <w:ilvl w:val="1"/>
          <w:numId w:val="169"/>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lang w:val="en-US"/>
        </w:rPr>
      </w:pPr>
      <w:r>
        <w:rPr>
          <w:rFonts w:ascii="Times New Roman" w:eastAsia="Times New Roman" w:hAnsi="Times New Roman" w:cs="Times New Roman"/>
        </w:rPr>
        <w:t xml:space="preserve">A szakdolgozat véglegesítése. </w:t>
      </w:r>
      <w:r>
        <w:rPr>
          <w:rFonts w:ascii="Times New Roman" w:eastAsia="Times New Roman" w:hAnsi="Times New Roman" w:cs="Times New Roman"/>
          <w:i/>
        </w:rPr>
        <w:t>(Finalization of the thesis.)</w:t>
      </w:r>
    </w:p>
    <w:p w:rsidR="00103985" w:rsidRDefault="00103985" w:rsidP="00980876">
      <w:pPr>
        <w:widowControl w:val="0"/>
        <w:numPr>
          <w:ilvl w:val="0"/>
          <w:numId w:val="169"/>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 xml:space="preserve">A tantárgy meghirdetésének gyakorisága/a tantervben történő félévi elhelyezkedése: </w:t>
      </w:r>
      <w:r>
        <w:rPr>
          <w:rFonts w:ascii="Times New Roman" w:eastAsia="Times New Roman" w:hAnsi="Times New Roman" w:cs="Times New Roman"/>
          <w:bCs/>
        </w:rPr>
        <w:t>Minden tavaszi szemeszterben / 8. félév</w:t>
      </w:r>
    </w:p>
    <w:p w:rsidR="00103985" w:rsidRDefault="00103985" w:rsidP="00980876">
      <w:pPr>
        <w:widowControl w:val="0"/>
        <w:numPr>
          <w:ilvl w:val="0"/>
          <w:numId w:val="169"/>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A tanórákon való részvétel követelményei, az elfogadható hiányzások mértéke, a távolmaradás pótlásának lehetősége:</w:t>
      </w:r>
      <w:r>
        <w:rPr>
          <w:rFonts w:ascii="Times New Roman" w:eastAsia="Times New Roman" w:hAnsi="Times New Roman" w:cs="Times New Roman"/>
          <w:bCs/>
        </w:rPr>
        <w:t xml:space="preserve"> A szakdolgozat elkészítése során a feladatlapon meghatározott időszakokban és alkalmakkor a konzultációk kötelezőek.</w:t>
      </w:r>
    </w:p>
    <w:p w:rsidR="00103985" w:rsidRDefault="00103985" w:rsidP="00980876">
      <w:pPr>
        <w:widowControl w:val="0"/>
        <w:numPr>
          <w:ilvl w:val="0"/>
          <w:numId w:val="169"/>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rPr>
        <w:t xml:space="preserve">Félévközi feladatok, ismeretek ellenőrzésének rendje: </w:t>
      </w:r>
      <w:r>
        <w:rPr>
          <w:rFonts w:ascii="Times New Roman" w:eastAsia="Times New Roman" w:hAnsi="Times New Roman" w:cs="Times New Roman"/>
          <w:bCs/>
        </w:rPr>
        <w:t xml:space="preserve">A </w:t>
      </w:r>
      <w:r>
        <w:rPr>
          <w:rFonts w:ascii="Times New Roman" w:eastAsia="Times New Roman" w:hAnsi="Times New Roman" w:cs="Times New Roman"/>
        </w:rPr>
        <w:t xml:space="preserve">szakdolgozat </w:t>
      </w:r>
      <w:r>
        <w:rPr>
          <w:rFonts w:ascii="Times New Roman" w:eastAsia="Times New Roman" w:hAnsi="Times New Roman" w:cs="Times New Roman"/>
          <w:bCs/>
        </w:rPr>
        <w:t>feladatlapon meghatározottak szerinti időszakos és végső értékelése.</w:t>
      </w:r>
    </w:p>
    <w:p w:rsidR="00103985" w:rsidRDefault="00103985" w:rsidP="00980876">
      <w:pPr>
        <w:widowControl w:val="0"/>
        <w:numPr>
          <w:ilvl w:val="0"/>
          <w:numId w:val="169"/>
        </w:numPr>
        <w:spacing w:before="120" w:after="120" w:line="240" w:lineRule="auto"/>
        <w:ind w:left="426" w:hanging="142"/>
        <w:jc w:val="both"/>
        <w:rPr>
          <w:rFonts w:ascii="Times New Roman" w:eastAsia="Times New Roman" w:hAnsi="Times New Roman" w:cs="Times New Roman"/>
          <w:b/>
          <w:bCs/>
        </w:rPr>
      </w:pPr>
      <w:r>
        <w:rPr>
          <w:rFonts w:ascii="Times New Roman" w:eastAsia="Times New Roman" w:hAnsi="Times New Roman" w:cs="Times New Roman"/>
          <w:b/>
          <w:bCs/>
        </w:rPr>
        <w:t xml:space="preserve">Az értékelés, az aláírás és a kreditek megszerzésének pontos feltételei: </w:t>
      </w:r>
    </w:p>
    <w:p w:rsidR="00103985" w:rsidRPr="00E36B2F" w:rsidRDefault="00103985" w:rsidP="00980876">
      <w:pPr>
        <w:widowControl w:val="0"/>
        <w:numPr>
          <w:ilvl w:val="1"/>
          <w:numId w:val="169"/>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E36B2F">
        <w:rPr>
          <w:rFonts w:ascii="Times New Roman" w:eastAsia="Times New Roman" w:hAnsi="Times New Roman" w:cs="Times New Roman"/>
          <w:b/>
        </w:rPr>
        <w:t xml:space="preserve">Az aláírás megszerzésének feltételei: </w:t>
      </w:r>
      <w:r w:rsidRPr="00E36B2F">
        <w:rPr>
          <w:rFonts w:ascii="Times New Roman" w:eastAsia="Times New Roman" w:hAnsi="Times New Roman" w:cs="Times New Roman"/>
        </w:rPr>
        <w:t xml:space="preserve">Az aláírás feltétele </w:t>
      </w:r>
      <w:r w:rsidRPr="00E36B2F">
        <w:rPr>
          <w:rFonts w:ascii="Times New Roman" w:eastAsia="Times New Roman" w:hAnsi="Times New Roman" w:cs="Times New Roman"/>
          <w:bCs/>
        </w:rPr>
        <w:t>a szakdolgozat kidolgozása, a részfeladatok határidőre történő teljesítése (előrehaladást bemutató szakdolgozat-változatok).</w:t>
      </w:r>
    </w:p>
    <w:p w:rsidR="00103985" w:rsidRPr="00E36B2F" w:rsidRDefault="00103985" w:rsidP="00980876">
      <w:pPr>
        <w:widowControl w:val="0"/>
        <w:numPr>
          <w:ilvl w:val="1"/>
          <w:numId w:val="169"/>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E36B2F">
        <w:rPr>
          <w:rFonts w:ascii="Times New Roman" w:eastAsia="Times New Roman" w:hAnsi="Times New Roman" w:cs="Times New Roman"/>
          <w:b/>
        </w:rPr>
        <w:lastRenderedPageBreak/>
        <w:t xml:space="preserve">Az értékelés: </w:t>
      </w:r>
      <w:r w:rsidRPr="00E36B2F">
        <w:rPr>
          <w:rFonts w:ascii="Times New Roman" w:eastAsia="Times New Roman" w:hAnsi="Times New Roman" w:cs="Times New Roman"/>
        </w:rPr>
        <w:t>Az ötfokozatú évközi jegy a</w:t>
      </w:r>
      <w:r w:rsidRPr="00E36B2F">
        <w:rPr>
          <w:rFonts w:ascii="Times New Roman" w:eastAsia="Times New Roman" w:hAnsi="Times New Roman" w:cs="Times New Roman"/>
          <w:bCs/>
        </w:rPr>
        <w:t xml:space="preserve"> beadott dolgozat verziók és a leadott szakdolgozat értékelése. A szakdolgozattal szemben támasztott formai és tartalmi követelmények kielégítése.</w:t>
      </w:r>
    </w:p>
    <w:p w:rsidR="00103985" w:rsidRPr="00E36B2F" w:rsidRDefault="00103985" w:rsidP="00980876">
      <w:pPr>
        <w:widowControl w:val="0"/>
        <w:numPr>
          <w:ilvl w:val="1"/>
          <w:numId w:val="169"/>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E36B2F">
        <w:rPr>
          <w:rFonts w:ascii="Times New Roman" w:eastAsia="Times New Roman" w:hAnsi="Times New Roman" w:cs="Times New Roman"/>
          <w:b/>
        </w:rPr>
        <w:t>A kreditek megszerzésének feltételei:</w:t>
      </w:r>
      <w:r w:rsidRPr="00E36B2F">
        <w:rPr>
          <w:rFonts w:ascii="Times New Roman" w:eastAsia="Times New Roman" w:hAnsi="Times New Roman" w:cs="Times New Roman"/>
        </w:rPr>
        <w:t xml:space="preserve"> A kreditek megszerzésének feltétele az aláírás megszerzése és a legalább elégséges évközi jegy.</w:t>
      </w:r>
    </w:p>
    <w:p w:rsidR="00103985" w:rsidRDefault="00103985" w:rsidP="00980876">
      <w:pPr>
        <w:widowControl w:val="0"/>
        <w:numPr>
          <w:ilvl w:val="0"/>
          <w:numId w:val="169"/>
        </w:numPr>
        <w:tabs>
          <w:tab w:val="num" w:pos="360"/>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Irodalomjegyzék:</w:t>
      </w:r>
    </w:p>
    <w:p w:rsidR="00103985" w:rsidRDefault="00103985" w:rsidP="00980876">
      <w:pPr>
        <w:widowControl w:val="0"/>
        <w:numPr>
          <w:ilvl w:val="1"/>
          <w:numId w:val="169"/>
        </w:numPr>
        <w:tabs>
          <w:tab w:val="left" w:pos="567"/>
          <w:tab w:val="left" w:pos="851"/>
          <w:tab w:val="num" w:pos="2069"/>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Kötelező irodalom:</w:t>
      </w:r>
    </w:p>
    <w:p w:rsidR="00103985" w:rsidRDefault="00103985" w:rsidP="00980876">
      <w:pPr>
        <w:widowControl w:val="0"/>
        <w:numPr>
          <w:ilvl w:val="0"/>
          <w:numId w:val="170"/>
        </w:numPr>
        <w:spacing w:after="0" w:line="240" w:lineRule="auto"/>
        <w:jc w:val="both"/>
        <w:rPr>
          <w:rFonts w:ascii="Times New Roman" w:eastAsia="Times New Roman" w:hAnsi="Times New Roman" w:cs="Times New Roman"/>
        </w:rPr>
      </w:pPr>
      <w:r>
        <w:rPr>
          <w:rFonts w:ascii="Times New Roman" w:hAnsi="Times New Roman" w:cs="Times New Roman"/>
        </w:rPr>
        <w:t>Témakör szerint egyénileg megadva.</w:t>
      </w:r>
    </w:p>
    <w:p w:rsidR="00103985" w:rsidRDefault="00103985" w:rsidP="00980876">
      <w:pPr>
        <w:widowControl w:val="0"/>
        <w:numPr>
          <w:ilvl w:val="1"/>
          <w:numId w:val="169"/>
        </w:numPr>
        <w:tabs>
          <w:tab w:val="num" w:pos="567"/>
          <w:tab w:val="num" w:pos="2069"/>
        </w:tabs>
        <w:spacing w:before="120" w:after="120" w:line="240" w:lineRule="auto"/>
        <w:ind w:left="993" w:hanging="709"/>
        <w:jc w:val="both"/>
        <w:rPr>
          <w:rFonts w:ascii="Times New Roman" w:eastAsia="Times New Roman" w:hAnsi="Times New Roman" w:cs="Times New Roman"/>
          <w:b/>
          <w:bCs/>
        </w:rPr>
      </w:pPr>
      <w:r>
        <w:rPr>
          <w:rFonts w:ascii="Times New Roman" w:eastAsia="Times New Roman" w:hAnsi="Times New Roman" w:cs="Times New Roman"/>
          <w:b/>
          <w:bCs/>
        </w:rPr>
        <w:t>Ajánlott irodalom:</w:t>
      </w:r>
    </w:p>
    <w:p w:rsidR="00103985" w:rsidRDefault="00103985" w:rsidP="00980876">
      <w:pPr>
        <w:widowControl w:val="0"/>
        <w:numPr>
          <w:ilvl w:val="0"/>
          <w:numId w:val="171"/>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Umberto Eco: </w:t>
      </w:r>
      <w:r w:rsidRPr="00E36B2F">
        <w:rPr>
          <w:rFonts w:ascii="Times New Roman" w:hAnsi="Times New Roman" w:cs="Times New Roman"/>
        </w:rPr>
        <w:t>Hogyan</w:t>
      </w:r>
      <w:r>
        <w:rPr>
          <w:rFonts w:ascii="Times New Roman" w:eastAsia="Times New Roman" w:hAnsi="Times New Roman" w:cs="Times New Roman"/>
        </w:rPr>
        <w:t xml:space="preserve"> írjunk szakdolgozatot (PARTVONAL, Budapest, 2012.) 216 p. ISBN: 9639910898</w:t>
      </w:r>
    </w:p>
    <w:p w:rsidR="00103985" w:rsidRDefault="00103985" w:rsidP="00103985">
      <w:pPr>
        <w:widowControl w:val="0"/>
        <w:spacing w:before="120" w:after="120" w:line="240" w:lineRule="auto"/>
        <w:jc w:val="both"/>
        <w:rPr>
          <w:rFonts w:ascii="Times New Roman" w:eastAsia="Times New Roman" w:hAnsi="Times New Roman" w:cs="Times New Roman"/>
          <w:bCs/>
        </w:rPr>
      </w:pPr>
    </w:p>
    <w:p w:rsidR="00103985" w:rsidRDefault="00103985" w:rsidP="00103985">
      <w:pPr>
        <w:widowControl w:val="0"/>
        <w:spacing w:before="120" w:after="120" w:line="240" w:lineRule="auto"/>
        <w:jc w:val="both"/>
        <w:rPr>
          <w:rFonts w:ascii="Times New Roman" w:eastAsia="Times New Roman" w:hAnsi="Times New Roman" w:cs="Times New Roman"/>
          <w:bCs/>
        </w:rPr>
      </w:pPr>
      <w:r>
        <w:rPr>
          <w:rFonts w:ascii="Times New Roman" w:eastAsia="Times New Roman" w:hAnsi="Times New Roman" w:cs="Times New Roman"/>
          <w:bCs/>
        </w:rPr>
        <w:t>Budapest, 2020. január 18.</w:t>
      </w:r>
    </w:p>
    <w:p w:rsidR="00103985" w:rsidRDefault="00103985" w:rsidP="00103985">
      <w:pPr>
        <w:widowControl w:val="0"/>
        <w:spacing w:before="120" w:after="120" w:line="240" w:lineRule="auto"/>
        <w:jc w:val="both"/>
        <w:rPr>
          <w:rFonts w:ascii="Times New Roman" w:eastAsia="Times New Roman" w:hAnsi="Times New Roman" w:cs="Times New Roman"/>
          <w:bCs/>
        </w:rPr>
      </w:pPr>
    </w:p>
    <w:p w:rsidR="00103985" w:rsidRDefault="00103985" w:rsidP="00103985">
      <w:pPr>
        <w:widowControl w:val="0"/>
        <w:spacing w:after="0" w:line="240" w:lineRule="auto"/>
        <w:ind w:left="6372"/>
        <w:jc w:val="center"/>
        <w:rPr>
          <w:rFonts w:ascii="Times New Roman" w:hAnsi="Times New Roman" w:cs="Times New Roman"/>
          <w:b/>
          <w:bCs/>
        </w:rPr>
      </w:pPr>
      <w:r>
        <w:rPr>
          <w:rFonts w:ascii="Times New Roman" w:hAnsi="Times New Roman" w:cs="Times New Roman"/>
          <w:b/>
          <w:bCs/>
        </w:rPr>
        <w:t xml:space="preserve">         Dr. Kenessei Zsolt</w:t>
      </w:r>
    </w:p>
    <w:p w:rsidR="00103985" w:rsidRDefault="00103985" w:rsidP="00103985">
      <w:pPr>
        <w:widowControl w:val="0"/>
        <w:spacing w:after="0" w:line="240" w:lineRule="auto"/>
        <w:ind w:left="7080"/>
        <w:jc w:val="both"/>
        <w:rPr>
          <w:rFonts w:ascii="Times New Roman" w:eastAsia="Times New Roman" w:hAnsi="Times New Roman" w:cs="Times New Roman"/>
          <w:bCs/>
        </w:rPr>
      </w:pPr>
      <w:r>
        <w:rPr>
          <w:rFonts w:ascii="Times New Roman" w:hAnsi="Times New Roman" w:cs="Times New Roman"/>
          <w:bCs/>
        </w:rPr>
        <w:t>gyakorlati oktató s.k.</w:t>
      </w:r>
    </w:p>
    <w:p w:rsidR="00903171" w:rsidRDefault="00903171">
      <w:pPr>
        <w:spacing w:after="200" w:line="276" w:lineRule="auto"/>
        <w:rPr>
          <w:rFonts w:ascii="Times New Roman" w:hAnsi="Times New Roman" w:cs="Times New Roman"/>
          <w:b/>
          <w:highlight w:val="lightGray"/>
        </w:rPr>
      </w:pPr>
      <w:r>
        <w:rPr>
          <w:rFonts w:ascii="Times New Roman" w:hAnsi="Times New Roman" w:cs="Times New Roman"/>
          <w:b/>
          <w:highlight w:val="lightGray"/>
        </w:rPr>
        <w:br w:type="page"/>
      </w:r>
    </w:p>
    <w:p w:rsidR="00903171" w:rsidRPr="00103985" w:rsidRDefault="00903171" w:rsidP="00103985">
      <w:pPr>
        <w:pStyle w:val="Cmsor1"/>
        <w:jc w:val="center"/>
        <w:rPr>
          <w:rFonts w:eastAsia="Calibri"/>
          <w:i w:val="0"/>
          <w:szCs w:val="22"/>
          <w:u w:val="none"/>
        </w:rPr>
      </w:pPr>
      <w:bookmarkStart w:id="70" w:name="_Toc37240854"/>
      <w:r w:rsidRPr="00103985">
        <w:rPr>
          <w:rFonts w:eastAsia="Calibri"/>
          <w:i w:val="0"/>
          <w:szCs w:val="22"/>
          <w:u w:val="none"/>
        </w:rPr>
        <w:lastRenderedPageBreak/>
        <w:t>IV. Szakmai gyakorlat</w:t>
      </w:r>
      <w:bookmarkEnd w:id="70"/>
    </w:p>
    <w:p w:rsidR="00903171" w:rsidRDefault="00903171" w:rsidP="00903171">
      <w:pPr>
        <w:pStyle w:val="lfej"/>
        <w:tabs>
          <w:tab w:val="clear" w:pos="9072"/>
        </w:tabs>
        <w:jc w:val="both"/>
        <w:rPr>
          <w:rFonts w:ascii="Times New Roman" w:hAnsi="Times New Roman" w:cs="Times New Roman"/>
          <w:b/>
        </w:rPr>
      </w:pPr>
    </w:p>
    <w:tbl>
      <w:tblPr>
        <w:tblW w:w="9072" w:type="dxa"/>
        <w:tblInd w:w="113" w:type="dxa"/>
        <w:tblLook w:val="01E0" w:firstRow="1" w:lastRow="1" w:firstColumn="1" w:lastColumn="1" w:noHBand="0" w:noVBand="0"/>
      </w:tblPr>
      <w:tblGrid>
        <w:gridCol w:w="4855"/>
        <w:gridCol w:w="1620"/>
        <w:gridCol w:w="2597"/>
      </w:tblGrid>
      <w:tr w:rsidR="00E82D81" w:rsidRPr="006A233B" w:rsidTr="00E82D81">
        <w:tc>
          <w:tcPr>
            <w:tcW w:w="4855" w:type="dxa"/>
            <w:tcBorders>
              <w:bottom w:val="single" w:sz="4" w:space="0" w:color="auto"/>
            </w:tcBorders>
          </w:tcPr>
          <w:p w:rsidR="00E82D81" w:rsidRPr="006A233B" w:rsidRDefault="00E82D81" w:rsidP="00E82D81">
            <w:pPr>
              <w:spacing w:after="0" w:line="240" w:lineRule="auto"/>
              <w:jc w:val="center"/>
              <w:rPr>
                <w:rFonts w:ascii="Times New Roman" w:eastAsia="Times New Roman" w:hAnsi="Times New Roman" w:cs="Times New Roman"/>
                <w:b/>
                <w:smallCaps/>
                <w:lang w:eastAsia="hu-HU"/>
              </w:rPr>
            </w:pPr>
            <w:r w:rsidRPr="006A233B">
              <w:rPr>
                <w:rFonts w:ascii="Times New Roman" w:eastAsia="Times New Roman" w:hAnsi="Times New Roman" w:cs="Times New Roman"/>
                <w:b/>
                <w:smallCaps/>
                <w:lang w:eastAsia="hu-HU"/>
              </w:rPr>
              <w:t>Nemzeti Közszolgálati Egyetem</w:t>
            </w:r>
          </w:p>
        </w:tc>
        <w:tc>
          <w:tcPr>
            <w:tcW w:w="1620" w:type="dxa"/>
          </w:tcPr>
          <w:p w:rsidR="00E82D81" w:rsidRPr="006A233B" w:rsidRDefault="00E82D81" w:rsidP="00E82D81">
            <w:pPr>
              <w:spacing w:after="0" w:line="240" w:lineRule="auto"/>
              <w:jc w:val="both"/>
              <w:rPr>
                <w:rFonts w:ascii="Times New Roman" w:eastAsia="Times New Roman" w:hAnsi="Times New Roman" w:cs="Times New Roman"/>
                <w:lang w:eastAsia="hu-HU"/>
              </w:rPr>
            </w:pPr>
          </w:p>
        </w:tc>
        <w:tc>
          <w:tcPr>
            <w:tcW w:w="2597" w:type="dxa"/>
          </w:tcPr>
          <w:p w:rsidR="00E82D81" w:rsidRPr="006A233B" w:rsidRDefault="00E82D81" w:rsidP="00E82D81">
            <w:pPr>
              <w:spacing w:after="0" w:line="240" w:lineRule="auto"/>
              <w:jc w:val="right"/>
              <w:rPr>
                <w:rFonts w:ascii="Times New Roman" w:eastAsia="Times New Roman" w:hAnsi="Times New Roman" w:cs="Times New Roman"/>
                <w:lang w:eastAsia="hu-HU"/>
              </w:rPr>
            </w:pPr>
          </w:p>
        </w:tc>
      </w:tr>
      <w:tr w:rsidR="00E82D81" w:rsidRPr="006A233B" w:rsidTr="00E82D81">
        <w:tc>
          <w:tcPr>
            <w:tcW w:w="4855" w:type="dxa"/>
            <w:tcBorders>
              <w:top w:val="single" w:sz="4" w:space="0" w:color="auto"/>
            </w:tcBorders>
          </w:tcPr>
          <w:p w:rsidR="00E82D81" w:rsidRPr="006A233B" w:rsidRDefault="00E82D81" w:rsidP="00E82D81">
            <w:pPr>
              <w:spacing w:after="0" w:line="240" w:lineRule="auto"/>
              <w:jc w:val="center"/>
              <w:rPr>
                <w:rFonts w:ascii="Times New Roman" w:eastAsia="Times New Roman" w:hAnsi="Times New Roman" w:cs="Times New Roman"/>
                <w:b/>
                <w:lang w:eastAsia="hu-HU"/>
              </w:rPr>
            </w:pPr>
            <w:r w:rsidRPr="006A233B">
              <w:rPr>
                <w:rFonts w:ascii="Times New Roman" w:eastAsia="Times New Roman" w:hAnsi="Times New Roman" w:cs="Times New Roman"/>
                <w:b/>
                <w:lang w:eastAsia="hu-HU"/>
              </w:rPr>
              <w:t>Hadtudományi és Honvédtisztképző Kar</w:t>
            </w:r>
          </w:p>
        </w:tc>
        <w:tc>
          <w:tcPr>
            <w:tcW w:w="1620" w:type="dxa"/>
          </w:tcPr>
          <w:p w:rsidR="00E82D81" w:rsidRPr="006A233B" w:rsidRDefault="00E82D81" w:rsidP="00E82D81">
            <w:pPr>
              <w:spacing w:after="0" w:line="240" w:lineRule="auto"/>
              <w:jc w:val="both"/>
              <w:rPr>
                <w:rFonts w:ascii="Times New Roman" w:eastAsia="Times New Roman" w:hAnsi="Times New Roman" w:cs="Times New Roman"/>
                <w:lang w:eastAsia="hu-HU"/>
              </w:rPr>
            </w:pPr>
          </w:p>
        </w:tc>
        <w:tc>
          <w:tcPr>
            <w:tcW w:w="2597" w:type="dxa"/>
          </w:tcPr>
          <w:p w:rsidR="00E82D81" w:rsidRPr="006A233B" w:rsidRDefault="00E82D81" w:rsidP="00E82D81">
            <w:pPr>
              <w:spacing w:after="0" w:line="240" w:lineRule="auto"/>
              <w:jc w:val="both"/>
              <w:rPr>
                <w:rFonts w:ascii="Times New Roman" w:eastAsia="Times New Roman" w:hAnsi="Times New Roman" w:cs="Times New Roman"/>
                <w:lang w:eastAsia="hu-HU"/>
              </w:rPr>
            </w:pPr>
          </w:p>
        </w:tc>
      </w:tr>
    </w:tbl>
    <w:p w:rsidR="00E82D81" w:rsidRPr="006A233B" w:rsidRDefault="00E82D81" w:rsidP="00E82D81">
      <w:pPr>
        <w:widowControl w:val="0"/>
        <w:spacing w:before="120" w:after="120" w:line="240" w:lineRule="auto"/>
        <w:ind w:left="426" w:hanging="142"/>
        <w:jc w:val="center"/>
        <w:rPr>
          <w:rFonts w:ascii="Times New Roman" w:eastAsia="Times New Roman" w:hAnsi="Times New Roman" w:cs="Times New Roman"/>
          <w:b/>
          <w:bCs/>
        </w:rPr>
      </w:pPr>
    </w:p>
    <w:p w:rsidR="00E82D81" w:rsidRPr="006A233B" w:rsidRDefault="00E82D81" w:rsidP="00E82D81">
      <w:pPr>
        <w:widowControl w:val="0"/>
        <w:spacing w:before="120" w:after="120" w:line="240" w:lineRule="auto"/>
        <w:ind w:left="426" w:hanging="142"/>
        <w:jc w:val="center"/>
        <w:rPr>
          <w:rFonts w:ascii="Times New Roman" w:eastAsia="Times New Roman" w:hAnsi="Times New Roman" w:cs="Times New Roman"/>
          <w:b/>
          <w:bCs/>
        </w:rPr>
      </w:pPr>
      <w:r w:rsidRPr="006A233B">
        <w:rPr>
          <w:rFonts w:ascii="Times New Roman" w:eastAsia="Times New Roman" w:hAnsi="Times New Roman" w:cs="Times New Roman"/>
          <w:b/>
          <w:bCs/>
        </w:rPr>
        <w:t>TANTÁRGYI PROGRAM</w:t>
      </w:r>
    </w:p>
    <w:p w:rsidR="00E82D81" w:rsidRPr="00212A8D" w:rsidRDefault="00E82D81" w:rsidP="00980876">
      <w:pPr>
        <w:widowControl w:val="0"/>
        <w:numPr>
          <w:ilvl w:val="0"/>
          <w:numId w:val="613"/>
        </w:numPr>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bCs/>
        </w:rPr>
        <w:t xml:space="preserve">A tantárgy kódja: </w:t>
      </w:r>
      <w:r>
        <w:rPr>
          <w:rFonts w:ascii="Times New Roman" w:hAnsi="Times New Roman" w:cs="Times New Roman"/>
          <w:bCs/>
        </w:rPr>
        <w:t>HKHPKA20</w:t>
      </w:r>
    </w:p>
    <w:p w:rsidR="00E82D81" w:rsidRPr="006A233B" w:rsidRDefault="00E82D81" w:rsidP="00980876">
      <w:pPr>
        <w:widowControl w:val="0"/>
        <w:numPr>
          <w:ilvl w:val="0"/>
          <w:numId w:val="613"/>
        </w:numPr>
        <w:spacing w:before="120" w:after="120" w:line="240" w:lineRule="auto"/>
        <w:ind w:left="426" w:hanging="142"/>
        <w:jc w:val="both"/>
        <w:rPr>
          <w:rFonts w:ascii="Times New Roman" w:eastAsia="Times New Roman" w:hAnsi="Times New Roman" w:cs="Times New Roman"/>
          <w:b/>
          <w:bCs/>
          <w:lang w:val="en-GB"/>
        </w:rPr>
      </w:pPr>
      <w:r w:rsidRPr="006A233B">
        <w:rPr>
          <w:rFonts w:ascii="Times New Roman" w:eastAsia="Times New Roman" w:hAnsi="Times New Roman" w:cs="Times New Roman"/>
          <w:b/>
          <w:bCs/>
        </w:rPr>
        <w:t>A tantárgy megnevezése (magyarul):</w:t>
      </w:r>
      <w:r w:rsidRPr="006A233B">
        <w:rPr>
          <w:rFonts w:ascii="Times New Roman" w:eastAsia="Times New Roman" w:hAnsi="Times New Roman" w:cs="Times New Roman"/>
          <w:bCs/>
        </w:rPr>
        <w:t xml:space="preserve"> </w:t>
      </w:r>
      <w:r>
        <w:rPr>
          <w:rFonts w:ascii="Times New Roman" w:hAnsi="Times New Roman" w:cs="Times New Roman"/>
          <w:bCs/>
        </w:rPr>
        <w:t>Szakmai Gyakorlat</w:t>
      </w:r>
    </w:p>
    <w:p w:rsidR="00E82D81" w:rsidRPr="00C12916" w:rsidRDefault="00E82D81" w:rsidP="00980876">
      <w:pPr>
        <w:widowControl w:val="0"/>
        <w:numPr>
          <w:ilvl w:val="0"/>
          <w:numId w:val="613"/>
        </w:numPr>
        <w:spacing w:before="120" w:after="120" w:line="240" w:lineRule="auto"/>
        <w:ind w:left="426" w:hanging="142"/>
        <w:jc w:val="both"/>
        <w:rPr>
          <w:rFonts w:ascii="Times New Roman" w:eastAsia="Times New Roman" w:hAnsi="Times New Roman" w:cs="Times New Roman"/>
          <w:bCs/>
          <w:lang w:val="en-GB"/>
        </w:rPr>
      </w:pPr>
      <w:r w:rsidRPr="006A233B">
        <w:rPr>
          <w:rFonts w:ascii="Times New Roman" w:eastAsia="Times New Roman" w:hAnsi="Times New Roman" w:cs="Times New Roman"/>
          <w:b/>
          <w:bCs/>
        </w:rPr>
        <w:t xml:space="preserve">A tantárgy megnevezése (angolul): </w:t>
      </w:r>
      <w:r w:rsidRPr="00C12916">
        <w:rPr>
          <w:rFonts w:ascii="Times New Roman" w:eastAsia="Times New Roman" w:hAnsi="Times New Roman" w:cs="Times New Roman"/>
          <w:bCs/>
        </w:rPr>
        <w:t>Professional Practice</w:t>
      </w:r>
    </w:p>
    <w:p w:rsidR="00E82D81" w:rsidRPr="006A233B" w:rsidRDefault="00E82D81" w:rsidP="00980876">
      <w:pPr>
        <w:widowControl w:val="0"/>
        <w:numPr>
          <w:ilvl w:val="0"/>
          <w:numId w:val="613"/>
        </w:numPr>
        <w:spacing w:before="120" w:after="120" w:line="240" w:lineRule="auto"/>
        <w:ind w:left="426" w:hanging="142"/>
        <w:jc w:val="both"/>
        <w:rPr>
          <w:rFonts w:ascii="Times New Roman" w:eastAsia="Times New Roman" w:hAnsi="Times New Roman" w:cs="Times New Roman"/>
          <w:b/>
          <w:bCs/>
        </w:rPr>
      </w:pPr>
      <w:r w:rsidRPr="006A233B">
        <w:rPr>
          <w:rFonts w:ascii="Times New Roman" w:eastAsia="Times New Roman" w:hAnsi="Times New Roman" w:cs="Times New Roman"/>
          <w:b/>
          <w:bCs/>
        </w:rPr>
        <w:t xml:space="preserve">Kreditérték és képzési karakter: </w:t>
      </w:r>
    </w:p>
    <w:p w:rsidR="00E82D81" w:rsidRPr="006A233B" w:rsidRDefault="00E82D81" w:rsidP="00980876">
      <w:pPr>
        <w:pStyle w:val="Listaszerbekezds"/>
        <w:widowControl w:val="0"/>
        <w:numPr>
          <w:ilvl w:val="1"/>
          <w:numId w:val="613"/>
        </w:numPr>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w:t>
      </w:r>
    </w:p>
    <w:p w:rsidR="00E82D81" w:rsidRPr="006A233B" w:rsidRDefault="00E82D81" w:rsidP="00980876">
      <w:pPr>
        <w:pStyle w:val="Listaszerbekezds"/>
        <w:widowControl w:val="0"/>
        <w:numPr>
          <w:ilvl w:val="1"/>
          <w:numId w:val="613"/>
        </w:numPr>
        <w:spacing w:before="120" w:after="120" w:line="240" w:lineRule="auto"/>
        <w:ind w:left="993" w:hanging="426"/>
        <w:jc w:val="both"/>
        <w:rPr>
          <w:rFonts w:ascii="Times New Roman" w:eastAsia="Times New Roman" w:hAnsi="Times New Roman" w:cs="Times New Roman"/>
          <w:b/>
          <w:bCs/>
        </w:rPr>
      </w:pPr>
      <w:r w:rsidRPr="006A233B">
        <w:rPr>
          <w:rFonts w:ascii="Times New Roman" w:eastAsia="Times New Roman" w:hAnsi="Times New Roman" w:cs="Times New Roman"/>
          <w:bCs/>
        </w:rPr>
        <w:t xml:space="preserve">a tantárgy elméleti vagy gyakorlati jellegének mértéke: </w:t>
      </w:r>
      <w:r>
        <w:rPr>
          <w:rFonts w:ascii="Times New Roman" w:eastAsia="Times New Roman" w:hAnsi="Times New Roman" w:cs="Times New Roman"/>
          <w:bCs/>
        </w:rPr>
        <w:t>100</w:t>
      </w:r>
      <w:r w:rsidRPr="006A233B">
        <w:rPr>
          <w:rFonts w:ascii="Times New Roman" w:eastAsia="Times New Roman" w:hAnsi="Times New Roman" w:cs="Times New Roman"/>
          <w:b/>
          <w:bCs/>
        </w:rPr>
        <w:t xml:space="preserve"> </w:t>
      </w:r>
      <w:r w:rsidRPr="006A233B">
        <w:rPr>
          <w:rFonts w:ascii="Times New Roman" w:eastAsia="Times New Roman" w:hAnsi="Times New Roman" w:cs="Times New Roman"/>
          <w:bCs/>
        </w:rPr>
        <w:t xml:space="preserve">% gyakorlat, </w:t>
      </w:r>
      <w:r>
        <w:rPr>
          <w:rFonts w:ascii="Times New Roman" w:eastAsia="Times New Roman" w:hAnsi="Times New Roman" w:cs="Times New Roman"/>
          <w:bCs/>
        </w:rPr>
        <w:t>0</w:t>
      </w:r>
      <w:r w:rsidRPr="006A233B">
        <w:rPr>
          <w:rFonts w:ascii="Times New Roman" w:eastAsia="Times New Roman" w:hAnsi="Times New Roman" w:cs="Times New Roman"/>
          <w:bCs/>
        </w:rPr>
        <w:t xml:space="preserve"> % elmélet</w:t>
      </w:r>
    </w:p>
    <w:p w:rsidR="00E82D81" w:rsidRPr="006A233B" w:rsidRDefault="00E82D81" w:rsidP="00980876">
      <w:pPr>
        <w:widowControl w:val="0"/>
        <w:numPr>
          <w:ilvl w:val="0"/>
          <w:numId w:val="613"/>
        </w:numPr>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bCs/>
        </w:rPr>
        <w:t>A szak(ok), szakirányok/specializációk megnevezése (ahol oktatják):</w:t>
      </w:r>
      <w:r w:rsidRPr="006A233B">
        <w:rPr>
          <w:rFonts w:ascii="Times New Roman" w:eastAsia="Times New Roman" w:hAnsi="Times New Roman" w:cs="Times New Roman"/>
          <w:bCs/>
        </w:rPr>
        <w:t xml:space="preserve"> </w:t>
      </w:r>
      <w:r>
        <w:rPr>
          <w:rFonts w:ascii="Times New Roman" w:hAnsi="Times New Roman" w:cs="Times New Roman"/>
          <w:bCs/>
        </w:rPr>
        <w:t>Katonai logisztika alapképzési szak</w:t>
      </w:r>
    </w:p>
    <w:p w:rsidR="00E82D81" w:rsidRPr="006A233B" w:rsidRDefault="00E82D81" w:rsidP="00980876">
      <w:pPr>
        <w:widowControl w:val="0"/>
        <w:numPr>
          <w:ilvl w:val="0"/>
          <w:numId w:val="613"/>
        </w:numPr>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bCs/>
        </w:rPr>
        <w:t xml:space="preserve">Az oktatásért felelős oktatási szervezeti egység megnevezése: </w:t>
      </w:r>
      <w:r w:rsidRPr="006A233B">
        <w:rPr>
          <w:rFonts w:ascii="Times New Roman" w:hAnsi="Times New Roman" w:cs="Times New Roman"/>
          <w:bCs/>
        </w:rPr>
        <w:t>NKE HHK Had</w:t>
      </w:r>
      <w:r>
        <w:rPr>
          <w:rFonts w:ascii="Times New Roman" w:hAnsi="Times New Roman" w:cs="Times New Roman"/>
          <w:bCs/>
        </w:rPr>
        <w:t>táp, Pénzügyi és Katonai Közlekedési Tanszék</w:t>
      </w:r>
    </w:p>
    <w:p w:rsidR="00E82D81" w:rsidRPr="006A233B" w:rsidRDefault="00E82D81" w:rsidP="00980876">
      <w:pPr>
        <w:widowControl w:val="0"/>
        <w:numPr>
          <w:ilvl w:val="0"/>
          <w:numId w:val="613"/>
        </w:numPr>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bCs/>
        </w:rPr>
        <w:t>A tantárgyfelelős oktató neve, beosztása, tudományos fokozata:</w:t>
      </w:r>
      <w:r w:rsidRPr="006A233B">
        <w:rPr>
          <w:rFonts w:ascii="Times New Roman" w:eastAsia="Times New Roman" w:hAnsi="Times New Roman" w:cs="Times New Roman"/>
          <w:bCs/>
        </w:rPr>
        <w:t xml:space="preserve"> </w:t>
      </w:r>
      <w:r>
        <w:rPr>
          <w:rFonts w:ascii="Times New Roman" w:hAnsi="Times New Roman" w:cs="Times New Roman"/>
          <w:bCs/>
        </w:rPr>
        <w:t>Dr. Szászi Gábor, egyetemi docens, (PhD)</w:t>
      </w:r>
    </w:p>
    <w:p w:rsidR="00E82D81" w:rsidRPr="006A233B" w:rsidRDefault="00E82D81" w:rsidP="00980876">
      <w:pPr>
        <w:widowControl w:val="0"/>
        <w:numPr>
          <w:ilvl w:val="0"/>
          <w:numId w:val="613"/>
        </w:numPr>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bCs/>
        </w:rPr>
        <w:t>A tanórák száma és típusa</w:t>
      </w:r>
    </w:p>
    <w:p w:rsidR="00E82D81" w:rsidRPr="006A233B" w:rsidRDefault="00E82D81" w:rsidP="00980876">
      <w:pPr>
        <w:widowControl w:val="0"/>
        <w:numPr>
          <w:ilvl w:val="1"/>
          <w:numId w:val="613"/>
        </w:numPr>
        <w:tabs>
          <w:tab w:val="num" w:pos="2069"/>
        </w:tabs>
        <w:spacing w:before="120" w:after="120" w:line="240" w:lineRule="auto"/>
        <w:ind w:left="851" w:hanging="425"/>
        <w:jc w:val="both"/>
        <w:rPr>
          <w:rFonts w:ascii="Times New Roman" w:eastAsia="Times New Roman" w:hAnsi="Times New Roman" w:cs="Times New Roman"/>
          <w:bCs/>
        </w:rPr>
      </w:pPr>
      <w:r w:rsidRPr="006A233B">
        <w:rPr>
          <w:rFonts w:ascii="Times New Roman" w:eastAsia="Times New Roman" w:hAnsi="Times New Roman" w:cs="Times New Roman"/>
          <w:bCs/>
        </w:rPr>
        <w:t>össz óraszám/félév:</w:t>
      </w:r>
      <w:r>
        <w:rPr>
          <w:rFonts w:ascii="Times New Roman" w:eastAsia="Times New Roman" w:hAnsi="Times New Roman" w:cs="Times New Roman"/>
          <w:bCs/>
        </w:rPr>
        <w:t xml:space="preserve"> 240</w:t>
      </w:r>
    </w:p>
    <w:p w:rsidR="00E82D81" w:rsidRPr="006A233B" w:rsidRDefault="00E82D81" w:rsidP="00980876">
      <w:pPr>
        <w:widowControl w:val="0"/>
        <w:numPr>
          <w:ilvl w:val="2"/>
          <w:numId w:val="613"/>
        </w:numPr>
        <w:tabs>
          <w:tab w:val="num" w:pos="1134"/>
        </w:tabs>
        <w:spacing w:before="120" w:after="120" w:line="240" w:lineRule="auto"/>
        <w:ind w:left="993" w:hanging="425"/>
        <w:jc w:val="both"/>
        <w:rPr>
          <w:rFonts w:ascii="Times New Roman" w:eastAsia="Times New Roman" w:hAnsi="Times New Roman" w:cs="Times New Roman"/>
          <w:bCs/>
        </w:rPr>
      </w:pPr>
      <w:r w:rsidRPr="006A233B">
        <w:rPr>
          <w:rFonts w:ascii="Times New Roman" w:eastAsia="Times New Roman" w:hAnsi="Times New Roman" w:cs="Times New Roman"/>
          <w:bCs/>
        </w:rPr>
        <w:t>nappali munkarend: (</w:t>
      </w:r>
      <w:r>
        <w:rPr>
          <w:rFonts w:ascii="Times New Roman" w:eastAsia="Times New Roman" w:hAnsi="Times New Roman" w:cs="Times New Roman"/>
          <w:bCs/>
        </w:rPr>
        <w:t>0</w:t>
      </w:r>
      <w:r w:rsidRPr="006A233B">
        <w:rPr>
          <w:rFonts w:ascii="Times New Roman" w:eastAsia="Times New Roman" w:hAnsi="Times New Roman" w:cs="Times New Roman"/>
          <w:bCs/>
        </w:rPr>
        <w:t xml:space="preserve"> EA + 0 SZ + </w:t>
      </w:r>
      <w:r>
        <w:rPr>
          <w:rFonts w:ascii="Times New Roman" w:eastAsia="Times New Roman" w:hAnsi="Times New Roman" w:cs="Times New Roman"/>
          <w:bCs/>
        </w:rPr>
        <w:t>240</w:t>
      </w:r>
      <w:r w:rsidRPr="006A233B">
        <w:rPr>
          <w:rFonts w:ascii="Times New Roman" w:eastAsia="Times New Roman" w:hAnsi="Times New Roman" w:cs="Times New Roman"/>
          <w:bCs/>
        </w:rPr>
        <w:t xml:space="preserve"> GY)</w:t>
      </w:r>
    </w:p>
    <w:p w:rsidR="00E82D81" w:rsidRPr="006A233B" w:rsidRDefault="00E82D81" w:rsidP="00980876">
      <w:pPr>
        <w:widowControl w:val="0"/>
        <w:numPr>
          <w:ilvl w:val="2"/>
          <w:numId w:val="613"/>
        </w:numPr>
        <w:tabs>
          <w:tab w:val="num" w:pos="1134"/>
        </w:tabs>
        <w:spacing w:before="120" w:after="120" w:line="240" w:lineRule="auto"/>
        <w:ind w:left="993" w:hanging="425"/>
        <w:jc w:val="both"/>
        <w:rPr>
          <w:rFonts w:ascii="Times New Roman" w:eastAsia="Times New Roman" w:hAnsi="Times New Roman" w:cs="Times New Roman"/>
          <w:bCs/>
        </w:rPr>
      </w:pPr>
      <w:r w:rsidRPr="006A233B">
        <w:rPr>
          <w:rFonts w:ascii="Times New Roman" w:eastAsia="Times New Roman" w:hAnsi="Times New Roman" w:cs="Times New Roman"/>
          <w:bCs/>
        </w:rPr>
        <w:t xml:space="preserve">levelező munkarend: </w:t>
      </w:r>
      <w:r>
        <w:rPr>
          <w:rFonts w:ascii="Times New Roman" w:eastAsia="Times New Roman" w:hAnsi="Times New Roman" w:cs="Times New Roman"/>
          <w:bCs/>
        </w:rPr>
        <w:t>-</w:t>
      </w:r>
    </w:p>
    <w:p w:rsidR="00E82D81" w:rsidRPr="006A233B" w:rsidRDefault="00E82D81" w:rsidP="00980876">
      <w:pPr>
        <w:widowControl w:val="0"/>
        <w:numPr>
          <w:ilvl w:val="1"/>
          <w:numId w:val="613"/>
        </w:numPr>
        <w:tabs>
          <w:tab w:val="num" w:pos="2069"/>
        </w:tabs>
        <w:spacing w:before="120" w:after="120" w:line="240" w:lineRule="auto"/>
        <w:ind w:left="851" w:hanging="425"/>
        <w:jc w:val="both"/>
        <w:rPr>
          <w:rFonts w:ascii="Times New Roman" w:eastAsia="Times New Roman" w:hAnsi="Times New Roman" w:cs="Times New Roman"/>
          <w:bCs/>
        </w:rPr>
      </w:pPr>
      <w:r w:rsidRPr="006A233B">
        <w:rPr>
          <w:rFonts w:ascii="Times New Roman" w:eastAsia="Times New Roman" w:hAnsi="Times New Roman" w:cs="Times New Roman"/>
          <w:bCs/>
        </w:rPr>
        <w:t xml:space="preserve">heti óraszám - nappali munkarend: </w:t>
      </w:r>
      <w:r>
        <w:rPr>
          <w:rFonts w:ascii="Times New Roman" w:eastAsia="Times New Roman" w:hAnsi="Times New Roman" w:cs="Times New Roman"/>
          <w:bCs/>
        </w:rPr>
        <w:t>8 hét egybefüggően tervezendő</w:t>
      </w:r>
    </w:p>
    <w:p w:rsidR="00E82D81" w:rsidRPr="006A233B" w:rsidRDefault="00E82D81" w:rsidP="00980876">
      <w:pPr>
        <w:widowControl w:val="0"/>
        <w:numPr>
          <w:ilvl w:val="1"/>
          <w:numId w:val="613"/>
        </w:numPr>
        <w:tabs>
          <w:tab w:val="num" w:pos="2069"/>
        </w:tabs>
        <w:spacing w:before="120" w:after="120" w:line="240" w:lineRule="auto"/>
        <w:ind w:left="851" w:hanging="425"/>
        <w:jc w:val="both"/>
        <w:rPr>
          <w:rFonts w:ascii="Times New Roman" w:eastAsia="Times New Roman" w:hAnsi="Times New Roman" w:cs="Times New Roman"/>
          <w:bCs/>
        </w:rPr>
      </w:pPr>
      <w:r w:rsidRPr="006A233B">
        <w:rPr>
          <w:rFonts w:ascii="Times New Roman" w:hAnsi="Times New Roman" w:cs="Times New Roman"/>
        </w:rPr>
        <w:t>Az ismeret átadásában alkalmazandó további sajátos módok, jellemzők:</w:t>
      </w:r>
      <w:r w:rsidRPr="006A233B">
        <w:rPr>
          <w:rFonts w:ascii="Times New Roman" w:hAnsi="Times New Roman" w:cs="Times New Roman"/>
          <w:i/>
        </w:rPr>
        <w:t xml:space="preserve"> –</w:t>
      </w:r>
    </w:p>
    <w:p w:rsidR="00E82D81" w:rsidRPr="006A233B" w:rsidRDefault="00E82D81" w:rsidP="00980876">
      <w:pPr>
        <w:widowControl w:val="0"/>
        <w:numPr>
          <w:ilvl w:val="0"/>
          <w:numId w:val="613"/>
        </w:numPr>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bCs/>
        </w:rPr>
        <w:t>A tantárgy szakmai tartalma (magyarul):</w:t>
      </w:r>
      <w:r w:rsidRPr="006A233B">
        <w:rPr>
          <w:rFonts w:ascii="Times New Roman" w:eastAsia="Times New Roman" w:hAnsi="Times New Roman" w:cs="Times New Roman"/>
          <w:bCs/>
        </w:rPr>
        <w:t xml:space="preserve"> </w:t>
      </w:r>
      <w:r w:rsidRPr="00696ACB">
        <w:rPr>
          <w:rFonts w:ascii="Times New Roman" w:eastAsia="Times New Roman" w:hAnsi="Times New Roman" w:cs="Times New Roman"/>
          <w:bCs/>
        </w:rPr>
        <w:t>A béketámogató műveletek logisztikai támogatásának alapjai. Ideiglenes ellenőrző pontok berendezése és működtetése. Elsősegély nyújtási ismeretek. A rádióforgalmazások szabályai. A logisztikai támogatás megszervezésének feladatai a béketámogató műveletek végrehajtása során. A logisztikai szemrevételezések tartalma, feladatai. A Nemzeti Támogató Elem rendeltetése és feladatai a műveleti területen. Után- és hátraszállítási útvonalak. Az inverz logisztika feladatai a műveleti területen. Szállító gépjármű oszlopok összeállítása és védelmének megszervezése a szállítási feladat végrehajtása során. MEDEVAC feladatok végrehajtása.</w:t>
      </w:r>
    </w:p>
    <w:p w:rsidR="00E82D81" w:rsidRPr="006A233B" w:rsidRDefault="00E82D81" w:rsidP="00E82D81">
      <w:pPr>
        <w:widowControl w:val="0"/>
        <w:spacing w:before="120" w:after="120" w:line="240" w:lineRule="auto"/>
        <w:ind w:left="426"/>
        <w:jc w:val="both"/>
        <w:rPr>
          <w:rFonts w:ascii="Times New Roman" w:eastAsia="Times New Roman" w:hAnsi="Times New Roman" w:cs="Times New Roman"/>
          <w:bCs/>
          <w:lang w:val="en-GB"/>
        </w:rPr>
      </w:pPr>
      <w:r w:rsidRPr="006A233B">
        <w:rPr>
          <w:rFonts w:ascii="Times New Roman" w:eastAsia="Times New Roman" w:hAnsi="Times New Roman" w:cs="Times New Roman"/>
          <w:b/>
          <w:bCs/>
        </w:rPr>
        <w:t>A tantárgy szakmai tartalma (angolul) (</w:t>
      </w:r>
      <w:r w:rsidRPr="006A233B">
        <w:rPr>
          <w:rFonts w:ascii="Times New Roman" w:eastAsia="Times New Roman" w:hAnsi="Times New Roman" w:cs="Times New Roman"/>
          <w:b/>
          <w:bCs/>
          <w:lang w:val="en-US"/>
        </w:rPr>
        <w:t>Course description</w:t>
      </w:r>
      <w:r w:rsidRPr="006A233B">
        <w:rPr>
          <w:rFonts w:ascii="Times New Roman" w:eastAsia="Times New Roman" w:hAnsi="Times New Roman" w:cs="Times New Roman"/>
          <w:b/>
          <w:bCs/>
        </w:rPr>
        <w:t xml:space="preserve">): </w:t>
      </w:r>
      <w:r w:rsidRPr="00696ACB">
        <w:rPr>
          <w:rFonts w:ascii="Times New Roman" w:eastAsia="Times New Roman" w:hAnsi="Times New Roman" w:cs="Times New Roman"/>
          <w:bCs/>
        </w:rPr>
        <w:t>Basics of Peace Support Operations. Setting up and using temporary Check Points. First Aid. Rules of radiocommunication. Organization of logistic support of Peace Support Operations. The contents and tasks of the logistical site survey. The mission and tasks of the National Support Element on the theatre. The lines of communication. The tasks of the invers logistics on the theatre. Organization of transport convoys and convoy protection. Execution of the MEDEVAC tasks.</w:t>
      </w:r>
    </w:p>
    <w:p w:rsidR="00E82D81" w:rsidRPr="006A233B" w:rsidRDefault="00E82D81" w:rsidP="00980876">
      <w:pPr>
        <w:pStyle w:val="Listaszerbekezds"/>
        <w:widowControl w:val="0"/>
        <w:numPr>
          <w:ilvl w:val="0"/>
          <w:numId w:val="613"/>
        </w:numPr>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bCs/>
        </w:rPr>
        <w:t>Elérendő kompetenciák (magyarul):</w:t>
      </w:r>
      <w:r w:rsidRPr="006A233B">
        <w:rPr>
          <w:rFonts w:ascii="Times New Roman" w:eastAsia="Times New Roman" w:hAnsi="Times New Roman" w:cs="Times New Roman"/>
          <w:bCs/>
        </w:rPr>
        <w:t xml:space="preserve"> </w:t>
      </w:r>
    </w:p>
    <w:p w:rsidR="00E82D81" w:rsidRPr="00DC607B" w:rsidRDefault="00E82D81" w:rsidP="00E82D81">
      <w:pPr>
        <w:widowControl w:val="0"/>
        <w:spacing w:after="0" w:line="240" w:lineRule="auto"/>
        <w:ind w:left="425"/>
        <w:jc w:val="both"/>
        <w:rPr>
          <w:rFonts w:ascii="Times New Roman" w:eastAsia="Times New Roman" w:hAnsi="Times New Roman" w:cs="Times New Roman"/>
          <w:bCs/>
        </w:rPr>
      </w:pPr>
      <w:r w:rsidRPr="00DC607B">
        <w:rPr>
          <w:rFonts w:ascii="Times New Roman" w:eastAsia="Times New Roman" w:hAnsi="Times New Roman" w:cs="Times New Roman"/>
          <w:b/>
          <w:bCs/>
        </w:rPr>
        <w:t>Tudása:</w:t>
      </w:r>
    </w:p>
    <w:p w:rsidR="00E82D81" w:rsidRPr="006F66FE" w:rsidRDefault="00E82D81" w:rsidP="00E82D81">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r>
      <w:r w:rsidRPr="006F66FE">
        <w:rPr>
          <w:rFonts w:ascii="Times New Roman" w:eastAsia="Times New Roman" w:hAnsi="Times New Roman"/>
          <w:bCs/>
        </w:rPr>
        <w:t>Ismeri az összfegyvernemi harc megvívásával kapcsolatos alapismereteket, annak főbb jellemzőit, a harctámogatás, a harckiszolgáló támogatás, a haderőnemek, a fegyvernemek és szakcsapatok szervezeti felépítését, harceljárásait.</w:t>
      </w:r>
    </w:p>
    <w:p w:rsidR="00E82D81" w:rsidRPr="006F66FE" w:rsidRDefault="00E82D81" w:rsidP="00E82D81">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r>
      <w:r w:rsidRPr="006F66FE">
        <w:rPr>
          <w:rFonts w:ascii="Times New Roman" w:eastAsia="Times New Roman" w:hAnsi="Times New Roman"/>
          <w:bCs/>
        </w:rPr>
        <w:t xml:space="preserve">Rendelkezik alapvető vezetői ismeretekkel, tisztában van a vezetői kompetenciákkal és a beosztottak eredményes irányításához szükséges alapvető ismeretekkel, valamint a </w:t>
      </w:r>
      <w:r w:rsidRPr="006F66FE">
        <w:rPr>
          <w:rFonts w:ascii="Times New Roman" w:eastAsia="Times New Roman" w:hAnsi="Times New Roman"/>
          <w:bCs/>
        </w:rPr>
        <w:lastRenderedPageBreak/>
        <w:t>beosztottakat motiváló képességekkel.</w:t>
      </w:r>
    </w:p>
    <w:p w:rsidR="00E82D81" w:rsidRPr="006F66FE" w:rsidRDefault="00E82D81" w:rsidP="00E82D81">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r>
      <w:r w:rsidRPr="006F66FE">
        <w:rPr>
          <w:rFonts w:ascii="Times New Roman" w:eastAsia="Times New Roman" w:hAnsi="Times New Roman"/>
          <w:bCs/>
        </w:rPr>
        <w:t>Részletesen ismeri az általános logisztikai tevékenység egyes műveleteit, folyamatait.</w:t>
      </w:r>
    </w:p>
    <w:p w:rsidR="00E82D81" w:rsidRPr="006F66FE" w:rsidRDefault="00E82D81" w:rsidP="00E82D81">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r>
      <w:r w:rsidRPr="006F66FE">
        <w:rPr>
          <w:rFonts w:ascii="Times New Roman" w:eastAsia="Times New Roman" w:hAnsi="Times New Roman"/>
          <w:bCs/>
        </w:rPr>
        <w:t>Rendelkezik a logisztikai alegységek napi feladatainak ellátásához és kiképzéséhez szükséges szakmai és kiképzésmódszertani ismeretekkel.</w:t>
      </w:r>
    </w:p>
    <w:p w:rsidR="00E82D81" w:rsidRPr="006F66FE" w:rsidRDefault="00E82D81" w:rsidP="00E82D81">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r>
      <w:r w:rsidRPr="006F66FE">
        <w:rPr>
          <w:rFonts w:ascii="Times New Roman" w:eastAsia="Times New Roman" w:hAnsi="Times New Roman"/>
          <w:bCs/>
        </w:rPr>
        <w:t>Ismeri a békeműveletek rendszerét, a Magyar Honvédség békeműveleti feladatait, valamint az alapvető békefenntartási technikákat.</w:t>
      </w:r>
    </w:p>
    <w:p w:rsidR="00E82D81" w:rsidRPr="00DC607B" w:rsidRDefault="00E82D81" w:rsidP="00E82D81">
      <w:pPr>
        <w:widowControl w:val="0"/>
        <w:spacing w:before="120" w:after="0" w:line="240" w:lineRule="auto"/>
        <w:ind w:left="425"/>
        <w:jc w:val="both"/>
        <w:rPr>
          <w:rFonts w:ascii="Times New Roman" w:eastAsia="Times New Roman" w:hAnsi="Times New Roman" w:cs="Times New Roman"/>
          <w:bCs/>
        </w:rPr>
      </w:pPr>
      <w:r w:rsidRPr="00DC607B">
        <w:rPr>
          <w:rFonts w:ascii="Times New Roman" w:eastAsia="Times New Roman" w:hAnsi="Times New Roman" w:cs="Times New Roman"/>
          <w:b/>
          <w:bCs/>
        </w:rPr>
        <w:t>Képességei:</w:t>
      </w:r>
      <w:r w:rsidRPr="00DC607B">
        <w:rPr>
          <w:rFonts w:ascii="Times New Roman" w:eastAsia="Times New Roman" w:hAnsi="Times New Roman" w:cs="Times New Roman"/>
          <w:bCs/>
        </w:rPr>
        <w:t xml:space="preserve"> </w:t>
      </w:r>
    </w:p>
    <w:p w:rsidR="00E82D81" w:rsidRPr="006F66FE" w:rsidRDefault="00E82D81" w:rsidP="00E82D81">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r>
      <w:r w:rsidRPr="006F66FE">
        <w:rPr>
          <w:rFonts w:ascii="Times New Roman" w:eastAsia="Times New Roman" w:hAnsi="Times New Roman"/>
          <w:bCs/>
        </w:rPr>
        <w:t>Képes a szakmai terminológia magyarul és idegen nyelven történő alkalmazására.</w:t>
      </w:r>
    </w:p>
    <w:p w:rsidR="00E82D81" w:rsidRPr="006F66FE" w:rsidRDefault="00E82D81" w:rsidP="00E82D81">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r>
      <w:r w:rsidRPr="006F66FE">
        <w:rPr>
          <w:rFonts w:ascii="Times New Roman" w:eastAsia="Times New Roman" w:hAnsi="Times New Roman"/>
          <w:bCs/>
        </w:rPr>
        <w:t>Képes a munkaköréhez és feladataihoz kapcsolódó jogszabályi háttér értelmezésére és gyakorlati alkalmazására.</w:t>
      </w:r>
    </w:p>
    <w:p w:rsidR="00E82D81" w:rsidRPr="006F66FE" w:rsidRDefault="00E82D81" w:rsidP="00E82D81">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r>
      <w:r w:rsidRPr="006F66FE">
        <w:rPr>
          <w:rFonts w:ascii="Times New Roman" w:eastAsia="Times New Roman" w:hAnsi="Times New Roman"/>
          <w:bCs/>
        </w:rPr>
        <w:t>Képes a munkaköréhez kapcsolódó dokumentumok, nyomtatványok, jegyzőkönyvek, feljegyzések és emlékeztetők önálló elkészítésére, okmányok kitöltésére, a munkaköréhez kapcsolódó események szervezésére, technikai előkészítésére.</w:t>
      </w:r>
    </w:p>
    <w:p w:rsidR="00E82D81" w:rsidRPr="006F66FE" w:rsidRDefault="00E82D81" w:rsidP="00E82D81">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r>
      <w:r w:rsidRPr="006F66FE">
        <w:rPr>
          <w:rFonts w:ascii="Times New Roman" w:eastAsia="Times New Roman" w:hAnsi="Times New Roman"/>
          <w:bCs/>
        </w:rPr>
        <w:t>Képes alegység szintű ellátási feladatok végrehajtására, vezetésére békében, különleges jogrendi időszakban, többnemzeti és nemzetközi környezetben végrehajtandó béketámogató műveletekben.</w:t>
      </w:r>
    </w:p>
    <w:p w:rsidR="00E82D81" w:rsidRPr="006F66FE" w:rsidRDefault="00E82D81" w:rsidP="00E82D81">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r>
      <w:r w:rsidRPr="006F66FE">
        <w:rPr>
          <w:rFonts w:ascii="Times New Roman" w:eastAsia="Times New Roman" w:hAnsi="Times New Roman"/>
          <w:bCs/>
        </w:rPr>
        <w:t>Képes pontos és precíz logisztikai, illetve gazdálkodási számvetéseket készíteni.</w:t>
      </w:r>
    </w:p>
    <w:p w:rsidR="00E82D81" w:rsidRPr="006F66FE" w:rsidRDefault="00E82D81" w:rsidP="00E82D81">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r>
      <w:r w:rsidRPr="006F66FE">
        <w:rPr>
          <w:rFonts w:ascii="Times New Roman" w:eastAsia="Times New Roman" w:hAnsi="Times New Roman"/>
          <w:bCs/>
        </w:rPr>
        <w:t>Képes beosztottjainak a szaktechnikai eszközök használatára történő kiképzését megszervezni és végrehajtani.</w:t>
      </w:r>
    </w:p>
    <w:p w:rsidR="00E82D81" w:rsidRPr="00DC607B" w:rsidRDefault="00E82D81" w:rsidP="00E82D81">
      <w:pPr>
        <w:widowControl w:val="0"/>
        <w:spacing w:before="120" w:after="0" w:line="240" w:lineRule="auto"/>
        <w:ind w:left="425"/>
        <w:jc w:val="both"/>
        <w:rPr>
          <w:rFonts w:ascii="Times New Roman" w:eastAsia="Times New Roman" w:hAnsi="Times New Roman" w:cs="Times New Roman"/>
          <w:bCs/>
        </w:rPr>
      </w:pPr>
      <w:r w:rsidRPr="00DC607B">
        <w:rPr>
          <w:rFonts w:ascii="Times New Roman" w:eastAsia="Times New Roman" w:hAnsi="Times New Roman" w:cs="Times New Roman"/>
          <w:b/>
          <w:bCs/>
        </w:rPr>
        <w:t>Attitűdje:</w:t>
      </w:r>
      <w:r w:rsidRPr="00DC607B">
        <w:rPr>
          <w:rFonts w:ascii="Times New Roman" w:eastAsia="Times New Roman" w:hAnsi="Times New Roman" w:cs="Times New Roman"/>
          <w:bCs/>
        </w:rPr>
        <w:t xml:space="preserve"> </w:t>
      </w:r>
    </w:p>
    <w:p w:rsidR="00E82D81" w:rsidRPr="006F66FE" w:rsidRDefault="00E82D81" w:rsidP="00E82D81">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r>
      <w:r w:rsidRPr="006F66FE">
        <w:rPr>
          <w:rFonts w:ascii="Times New Roman" w:eastAsia="Times New Roman" w:hAnsi="Times New Roman"/>
          <w:bCs/>
        </w:rPr>
        <w:t>Feladatai ellátása során együttműködési készség jellemzi, törekszik a beosztottak bevonására a döntési folyamatokba.</w:t>
      </w:r>
    </w:p>
    <w:p w:rsidR="00E82D81" w:rsidRPr="006F66FE" w:rsidRDefault="00E82D81" w:rsidP="00E82D81">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r>
      <w:r w:rsidRPr="006F66FE">
        <w:rPr>
          <w:rFonts w:ascii="Times New Roman" w:eastAsia="Times New Roman" w:hAnsi="Times New Roman"/>
          <w:bCs/>
        </w:rPr>
        <w:t>Felismeri a rendszerszintű tevékenységben rejlő értékeket, törekszik a logisztikai tevékenységek közötti kapcsolatok értelmezésére.</w:t>
      </w:r>
    </w:p>
    <w:p w:rsidR="00E82D81" w:rsidRPr="006F66FE" w:rsidRDefault="00E82D81" w:rsidP="00E82D81">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r>
      <w:r w:rsidRPr="006F66FE">
        <w:rPr>
          <w:rFonts w:ascii="Times New Roman" w:eastAsia="Times New Roman" w:hAnsi="Times New Roman"/>
          <w:bCs/>
        </w:rPr>
        <w:t>A szakmai feladatok ellátása során a rendszerszemlélet és jó szervezőkészség jellemzi.</w:t>
      </w:r>
    </w:p>
    <w:p w:rsidR="00E82D81" w:rsidRPr="006F66FE" w:rsidRDefault="00E82D81" w:rsidP="00E82D81">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r>
      <w:r w:rsidRPr="006F66FE">
        <w:rPr>
          <w:rFonts w:ascii="Times New Roman" w:eastAsia="Times New Roman" w:hAnsi="Times New Roman"/>
          <w:bCs/>
        </w:rPr>
        <w:t>Nyitott a szakterülete új tudományos eredményei iránt, képes a szakterületén bekövetkező változásokhoz és fejlődéshez jól alkalmazkodni.</w:t>
      </w:r>
    </w:p>
    <w:p w:rsidR="00E82D81" w:rsidRPr="006F66FE" w:rsidRDefault="00E82D81" w:rsidP="00E82D81">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r>
      <w:r w:rsidRPr="006F66FE">
        <w:rPr>
          <w:rFonts w:ascii="Times New Roman" w:eastAsia="Times New Roman" w:hAnsi="Times New Roman"/>
          <w:bCs/>
        </w:rPr>
        <w:t>Tevékenységét a hatékonyság központú szemlélet jellemzi.</w:t>
      </w:r>
    </w:p>
    <w:p w:rsidR="00E82D81" w:rsidRPr="006A233B" w:rsidRDefault="00E82D81" w:rsidP="00E82D81">
      <w:pPr>
        <w:widowControl w:val="0"/>
        <w:spacing w:before="120" w:after="0" w:line="240" w:lineRule="auto"/>
        <w:ind w:left="425"/>
        <w:jc w:val="both"/>
        <w:rPr>
          <w:rFonts w:ascii="Times New Roman" w:eastAsia="Times New Roman" w:hAnsi="Times New Roman" w:cs="Times New Roman"/>
          <w:bCs/>
        </w:rPr>
      </w:pPr>
      <w:r w:rsidRPr="006A233B">
        <w:rPr>
          <w:rFonts w:ascii="Times New Roman" w:eastAsia="Times New Roman" w:hAnsi="Times New Roman" w:cs="Times New Roman"/>
          <w:b/>
          <w:bCs/>
        </w:rPr>
        <w:t>Autonómiája és felelőssége:</w:t>
      </w:r>
    </w:p>
    <w:p w:rsidR="00E82D81" w:rsidRPr="006F66FE" w:rsidRDefault="00E82D81" w:rsidP="00E82D81">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r>
      <w:r w:rsidRPr="006F66FE">
        <w:rPr>
          <w:rFonts w:ascii="Times New Roman" w:eastAsia="Times New Roman" w:hAnsi="Times New Roman"/>
          <w:bCs/>
        </w:rPr>
        <w:t>Az ellátási folyamatok végrehajtása során önállóan döntéseket hoz, azokat felelősséggel, a jogszabályi keretek figyelembevételével végrehajtja.</w:t>
      </w:r>
    </w:p>
    <w:p w:rsidR="00E82D81" w:rsidRPr="006F66FE" w:rsidRDefault="00E82D81" w:rsidP="00E82D81">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r>
      <w:r w:rsidRPr="006F66FE">
        <w:rPr>
          <w:rFonts w:ascii="Times New Roman" w:eastAsia="Times New Roman" w:hAnsi="Times New Roman"/>
          <w:bCs/>
        </w:rPr>
        <w:t>Felelősséget vállal szakbeosztottjaiért, valamint a rábízott szaktechnikai eszközökért és anyagokért.</w:t>
      </w:r>
    </w:p>
    <w:p w:rsidR="00E82D81" w:rsidRPr="006F66FE" w:rsidRDefault="00E82D81" w:rsidP="00E82D81">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r>
      <w:r w:rsidRPr="006F66FE">
        <w:rPr>
          <w:rFonts w:ascii="Times New Roman" w:eastAsia="Times New Roman" w:hAnsi="Times New Roman"/>
          <w:bCs/>
        </w:rPr>
        <w:t>Felelősséget vállal számvetéseinek pontosságáért.</w:t>
      </w:r>
    </w:p>
    <w:p w:rsidR="00E82D81" w:rsidRPr="00F05659" w:rsidRDefault="00E82D81" w:rsidP="00E82D81">
      <w:pPr>
        <w:widowControl w:val="0"/>
        <w:spacing w:before="120" w:after="0" w:line="240" w:lineRule="auto"/>
        <w:ind w:left="425"/>
        <w:jc w:val="both"/>
        <w:rPr>
          <w:rFonts w:ascii="Times New Roman" w:eastAsia="Times New Roman" w:hAnsi="Times New Roman" w:cs="Times New Roman"/>
          <w:b/>
          <w:bCs/>
          <w:lang w:val="en-US"/>
        </w:rPr>
      </w:pPr>
      <w:r w:rsidRPr="006A233B">
        <w:rPr>
          <w:rFonts w:ascii="Times New Roman" w:eastAsia="Times New Roman" w:hAnsi="Times New Roman" w:cs="Times New Roman"/>
          <w:b/>
          <w:bCs/>
        </w:rPr>
        <w:t>Elérendő kompetenciák (angolul) (</w:t>
      </w:r>
      <w:r w:rsidRPr="006A233B">
        <w:rPr>
          <w:rFonts w:ascii="Times New Roman" w:eastAsia="Times New Roman" w:hAnsi="Times New Roman" w:cs="Times New Roman"/>
          <w:b/>
          <w:bCs/>
          <w:lang w:val="en-US"/>
        </w:rPr>
        <w:t xml:space="preserve">Competences – English): </w:t>
      </w:r>
    </w:p>
    <w:p w:rsidR="00E82D81" w:rsidRDefault="00E82D81" w:rsidP="00E82D81">
      <w:pPr>
        <w:widowControl w:val="0"/>
        <w:spacing w:before="120" w:after="0" w:line="240" w:lineRule="auto"/>
        <w:ind w:left="425"/>
        <w:jc w:val="both"/>
        <w:rPr>
          <w:rFonts w:ascii="Times New Roman" w:eastAsia="Times New Roman" w:hAnsi="Times New Roman" w:cs="Times New Roman"/>
          <w:lang w:val="en-GB"/>
        </w:rPr>
      </w:pPr>
      <w:r w:rsidRPr="006A233B">
        <w:rPr>
          <w:rFonts w:ascii="Times New Roman" w:eastAsia="Times New Roman" w:hAnsi="Times New Roman" w:cs="Times New Roman"/>
          <w:b/>
          <w:lang w:val="en-GB"/>
        </w:rPr>
        <w:t>Knowledge</w:t>
      </w:r>
      <w:r w:rsidRPr="006A233B">
        <w:rPr>
          <w:rFonts w:ascii="Times New Roman" w:eastAsia="Times New Roman" w:hAnsi="Times New Roman" w:cs="Times New Roman"/>
          <w:lang w:val="en-GB"/>
        </w:rPr>
        <w:t xml:space="preserve">: </w:t>
      </w:r>
    </w:p>
    <w:p w:rsidR="00E82D81" w:rsidRPr="006F66FE" w:rsidRDefault="00E82D81" w:rsidP="00E82D81">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r>
      <w:r w:rsidRPr="006F66FE">
        <w:rPr>
          <w:rFonts w:ascii="Times New Roman" w:eastAsia="Times New Roman" w:hAnsi="Times New Roman"/>
          <w:bCs/>
        </w:rPr>
        <w:t>Knows the basic procedures and features of the battle carried out by combined arms, the combat service (CS) and combat service support (CSS) tasks, the battle procedures and organizational structures of the military services, branches and specific units.</w:t>
      </w:r>
    </w:p>
    <w:p w:rsidR="00E82D81" w:rsidRPr="006F66FE" w:rsidRDefault="00E82D81" w:rsidP="00E82D81">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r>
      <w:r w:rsidRPr="006F66FE">
        <w:rPr>
          <w:rFonts w:ascii="Times New Roman" w:eastAsia="Times New Roman" w:hAnsi="Times New Roman"/>
          <w:bCs/>
        </w:rPr>
        <w:t>Has and aware of the basic leadership skills, competences, the basic knowledge needed to effectively manage subordinates and also the abilities to motivate them.</w:t>
      </w:r>
    </w:p>
    <w:p w:rsidR="00E82D81" w:rsidRPr="006F66FE" w:rsidRDefault="00E82D81" w:rsidP="00E82D81">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r>
      <w:r w:rsidRPr="006F66FE">
        <w:rPr>
          <w:rFonts w:ascii="Times New Roman" w:eastAsia="Times New Roman" w:hAnsi="Times New Roman"/>
          <w:bCs/>
        </w:rPr>
        <w:t>Thoroughly familiar with the general logistic operations and processes.</w:t>
      </w:r>
    </w:p>
    <w:p w:rsidR="00E82D81" w:rsidRPr="006F66FE" w:rsidRDefault="00E82D81" w:rsidP="00E82D81">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r>
      <w:r w:rsidRPr="006F66FE">
        <w:rPr>
          <w:rFonts w:ascii="Times New Roman" w:eastAsia="Times New Roman" w:hAnsi="Times New Roman"/>
          <w:bCs/>
        </w:rPr>
        <w:t>Has the appropriate professional and training-methodological skills necessary to carry out and train the day-to-day tasks of logistic subunits.</w:t>
      </w:r>
    </w:p>
    <w:p w:rsidR="00E82D81" w:rsidRPr="006F66FE" w:rsidRDefault="00E82D81" w:rsidP="00E82D81">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r>
      <w:r w:rsidRPr="006F66FE">
        <w:rPr>
          <w:rFonts w:ascii="Times New Roman" w:eastAsia="Times New Roman" w:hAnsi="Times New Roman"/>
          <w:bCs/>
        </w:rPr>
        <w:t>Cadets are familiar with the systems of peacekeeping operations, the peacekeeping activities of the Hungarian Defence Forces as well as the basic peacekeeping techniques.</w:t>
      </w:r>
    </w:p>
    <w:p w:rsidR="00E82D81" w:rsidRDefault="00E82D81" w:rsidP="00E82D81">
      <w:pPr>
        <w:widowControl w:val="0"/>
        <w:spacing w:before="120" w:after="0" w:line="240" w:lineRule="auto"/>
        <w:ind w:left="425"/>
        <w:jc w:val="both"/>
        <w:rPr>
          <w:rFonts w:ascii="Times New Roman" w:eastAsia="Times New Roman" w:hAnsi="Times New Roman" w:cs="Times New Roman"/>
          <w:lang w:val="en-GB"/>
        </w:rPr>
      </w:pPr>
      <w:r w:rsidRPr="006A233B">
        <w:rPr>
          <w:rFonts w:ascii="Times New Roman" w:eastAsia="Times New Roman" w:hAnsi="Times New Roman" w:cs="Times New Roman"/>
          <w:b/>
          <w:lang w:val="en-GB"/>
        </w:rPr>
        <w:t>Capabilities</w:t>
      </w:r>
      <w:r w:rsidRPr="006A233B">
        <w:rPr>
          <w:rFonts w:ascii="Times New Roman" w:eastAsia="Times New Roman" w:hAnsi="Times New Roman" w:cs="Times New Roman"/>
          <w:lang w:val="en-GB"/>
        </w:rPr>
        <w:t xml:space="preserve">: </w:t>
      </w:r>
    </w:p>
    <w:p w:rsidR="00E82D81" w:rsidRPr="006F66FE" w:rsidRDefault="00E82D81" w:rsidP="00E82D81">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r>
      <w:r w:rsidRPr="006F66FE">
        <w:rPr>
          <w:rFonts w:ascii="Times New Roman" w:eastAsia="Times New Roman" w:hAnsi="Times New Roman"/>
          <w:bCs/>
        </w:rPr>
        <w:t>Capable of using the professional terminology in Hungarian and foreign languages.</w:t>
      </w:r>
    </w:p>
    <w:p w:rsidR="00E82D81" w:rsidRPr="006F66FE" w:rsidRDefault="00E82D81" w:rsidP="00E82D81">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r>
      <w:r w:rsidRPr="006F66FE">
        <w:rPr>
          <w:rFonts w:ascii="Times New Roman" w:eastAsia="Times New Roman" w:hAnsi="Times New Roman"/>
          <w:bCs/>
        </w:rPr>
        <w:t>Capable of interpreting and applying in practice the legal background related to his/her job and duties.</w:t>
      </w:r>
    </w:p>
    <w:p w:rsidR="00E82D81" w:rsidRPr="006F66FE" w:rsidRDefault="00E82D81" w:rsidP="00E82D81">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r>
      <w:r w:rsidRPr="006F66FE">
        <w:rPr>
          <w:rFonts w:ascii="Times New Roman" w:eastAsia="Times New Roman" w:hAnsi="Times New Roman"/>
          <w:bCs/>
        </w:rPr>
        <w:t>Capable of preparing documents, forms, minutes, notes and memos independently, completing documents, organizing programs and technically preparing events related to his/her job.</w:t>
      </w:r>
    </w:p>
    <w:p w:rsidR="00E82D81" w:rsidRPr="006F66FE" w:rsidRDefault="00E82D81" w:rsidP="00E82D81">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r>
      <w:r w:rsidRPr="006F66FE">
        <w:rPr>
          <w:rFonts w:ascii="Times New Roman" w:eastAsia="Times New Roman" w:hAnsi="Times New Roman"/>
          <w:bCs/>
        </w:rPr>
        <w:t xml:space="preserve">He/She is able to carry out subunit level supply tasks in peace time, during special legal </w:t>
      </w:r>
      <w:r w:rsidRPr="006F66FE">
        <w:rPr>
          <w:rFonts w:ascii="Times New Roman" w:eastAsia="Times New Roman" w:hAnsi="Times New Roman"/>
          <w:bCs/>
        </w:rPr>
        <w:lastRenderedPageBreak/>
        <w:t>order, or in multinational peace-support operations.</w:t>
      </w:r>
    </w:p>
    <w:p w:rsidR="00E82D81" w:rsidRPr="006F66FE" w:rsidRDefault="00E82D81" w:rsidP="00E82D81">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r>
      <w:r w:rsidRPr="006F66FE">
        <w:rPr>
          <w:rFonts w:ascii="Times New Roman" w:eastAsia="Times New Roman" w:hAnsi="Times New Roman"/>
          <w:bCs/>
        </w:rPr>
        <w:t>Capable of making accurate and precise logistic and economic calculations.</w:t>
      </w:r>
    </w:p>
    <w:p w:rsidR="00E82D81" w:rsidRPr="006F66FE" w:rsidRDefault="00E82D81" w:rsidP="00E82D81">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r>
      <w:r w:rsidRPr="006F66FE">
        <w:rPr>
          <w:rFonts w:ascii="Times New Roman" w:eastAsia="Times New Roman" w:hAnsi="Times New Roman"/>
          <w:bCs/>
        </w:rPr>
        <w:t>Capable of organizing and delivering training for his/her subordinates in the use of technical equipment.</w:t>
      </w:r>
    </w:p>
    <w:p w:rsidR="00E82D81" w:rsidRDefault="00E82D81" w:rsidP="00E82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425"/>
        <w:jc w:val="both"/>
        <w:rPr>
          <w:rFonts w:ascii="Times New Roman" w:eastAsia="Times New Roman" w:hAnsi="Times New Roman" w:cs="Times New Roman"/>
          <w:lang w:val="en-GB"/>
        </w:rPr>
      </w:pPr>
      <w:r w:rsidRPr="006A233B">
        <w:rPr>
          <w:rFonts w:ascii="Times New Roman" w:eastAsia="Times New Roman" w:hAnsi="Times New Roman" w:cs="Times New Roman"/>
          <w:b/>
          <w:lang w:val="en-GB"/>
        </w:rPr>
        <w:t>Attitude:</w:t>
      </w:r>
      <w:r w:rsidRPr="006A233B">
        <w:rPr>
          <w:rFonts w:ascii="Times New Roman" w:eastAsia="Times New Roman" w:hAnsi="Times New Roman" w:cs="Times New Roman"/>
          <w:lang w:val="en-GB"/>
        </w:rPr>
        <w:t xml:space="preserve"> </w:t>
      </w:r>
    </w:p>
    <w:p w:rsidR="00E82D81" w:rsidRPr="006F66FE" w:rsidRDefault="00E82D81" w:rsidP="00E82D81">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r>
      <w:r w:rsidRPr="006F66FE">
        <w:rPr>
          <w:rFonts w:ascii="Times New Roman" w:eastAsia="Times New Roman" w:hAnsi="Times New Roman"/>
          <w:bCs/>
        </w:rPr>
        <w:t>Performing his duties he is characterized by a willingness to cooperate with his/her subordinates, and strives to involve them in decision-making processes.</w:t>
      </w:r>
    </w:p>
    <w:p w:rsidR="00E82D81" w:rsidRPr="006F66FE" w:rsidRDefault="00E82D81" w:rsidP="00E82D81">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r>
      <w:r w:rsidRPr="006F66FE">
        <w:rPr>
          <w:rFonts w:ascii="Times New Roman" w:eastAsia="Times New Roman" w:hAnsi="Times New Roman"/>
          <w:bCs/>
        </w:rPr>
        <w:t>He/She recognizes the value of systemic activities and seeks to understand the relationships among logistics procedures.</w:t>
      </w:r>
    </w:p>
    <w:p w:rsidR="00E82D81" w:rsidRPr="006F66FE" w:rsidRDefault="00E82D81" w:rsidP="00E82D81">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r>
      <w:r w:rsidRPr="006F66FE">
        <w:rPr>
          <w:rFonts w:ascii="Times New Roman" w:eastAsia="Times New Roman" w:hAnsi="Times New Roman"/>
          <w:bCs/>
        </w:rPr>
        <w:t>His/Her professional work is characterized by a systemic approach and good organizational skills.</w:t>
      </w:r>
    </w:p>
    <w:p w:rsidR="00E82D81" w:rsidRPr="006F66FE" w:rsidRDefault="00E82D81" w:rsidP="00E82D81">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r>
      <w:r w:rsidRPr="006F66FE">
        <w:rPr>
          <w:rFonts w:ascii="Times New Roman" w:eastAsia="Times New Roman" w:hAnsi="Times New Roman"/>
          <w:bCs/>
        </w:rPr>
        <w:t>In his/her specialization he/she is open to new achievements and innovations, strives to know, understand and apply them, and committed to continous self-education.</w:t>
      </w:r>
    </w:p>
    <w:p w:rsidR="00E82D81" w:rsidRPr="006F66FE" w:rsidRDefault="00E82D81" w:rsidP="00E82D81">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r>
      <w:r w:rsidRPr="006F66FE">
        <w:rPr>
          <w:rFonts w:ascii="Times New Roman" w:eastAsia="Times New Roman" w:hAnsi="Times New Roman"/>
          <w:bCs/>
        </w:rPr>
        <w:t>His/Her  working activities are characterized by an efficiency-oriented approach.</w:t>
      </w:r>
    </w:p>
    <w:p w:rsidR="00E82D81" w:rsidRDefault="00E82D81" w:rsidP="00E82D81">
      <w:pPr>
        <w:widowControl w:val="0"/>
        <w:spacing w:before="120" w:after="0" w:line="240" w:lineRule="auto"/>
        <w:ind w:left="425"/>
        <w:jc w:val="both"/>
        <w:rPr>
          <w:rFonts w:ascii="Times New Roman" w:eastAsia="Times New Roman" w:hAnsi="Times New Roman" w:cs="Times New Roman"/>
          <w:bCs/>
        </w:rPr>
      </w:pPr>
      <w:r w:rsidRPr="006A233B">
        <w:rPr>
          <w:rFonts w:ascii="Times New Roman" w:eastAsia="Times New Roman" w:hAnsi="Times New Roman" w:cs="Times New Roman"/>
          <w:b/>
          <w:lang w:val="en-GB"/>
        </w:rPr>
        <w:t xml:space="preserve">Autonomy and responsibility: </w:t>
      </w:r>
    </w:p>
    <w:p w:rsidR="00E82D81" w:rsidRPr="006F66FE" w:rsidRDefault="00E82D81" w:rsidP="00E82D81">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r>
      <w:r w:rsidRPr="006F66FE">
        <w:rPr>
          <w:rFonts w:ascii="Times New Roman" w:eastAsia="Times New Roman" w:hAnsi="Times New Roman"/>
          <w:bCs/>
        </w:rPr>
        <w:t>He/She is able to make autonomous decisions in military management processes, and implement them with responsibility within the legal framework.</w:t>
      </w:r>
    </w:p>
    <w:p w:rsidR="00E82D81" w:rsidRPr="006F66FE" w:rsidRDefault="00E82D81" w:rsidP="00E82D81">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r>
      <w:r w:rsidRPr="006F66FE">
        <w:rPr>
          <w:rFonts w:ascii="Times New Roman" w:eastAsia="Times New Roman" w:hAnsi="Times New Roman"/>
          <w:bCs/>
        </w:rPr>
        <w:t>He/She takes responsibility for the professional work of his/her subordinates and or the specialized technical equipment and materials entrusted to him/her.</w:t>
      </w:r>
    </w:p>
    <w:p w:rsidR="00E82D81" w:rsidRDefault="00E82D81" w:rsidP="00E82D81">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r>
      <w:r w:rsidRPr="006F66FE">
        <w:rPr>
          <w:rFonts w:ascii="Times New Roman" w:eastAsia="Times New Roman" w:hAnsi="Times New Roman"/>
          <w:bCs/>
        </w:rPr>
        <w:t>He / She takes responsibility for the accuracy of his/her calculations.</w:t>
      </w:r>
    </w:p>
    <w:p w:rsidR="00C232E3" w:rsidRPr="00C232E3" w:rsidRDefault="00C232E3" w:rsidP="00C232E3">
      <w:pPr>
        <w:widowControl w:val="0"/>
        <w:spacing w:before="120" w:after="120" w:line="240" w:lineRule="auto"/>
        <w:contextualSpacing/>
        <w:jc w:val="both"/>
        <w:rPr>
          <w:rFonts w:ascii="Times New Roman" w:eastAsia="Times New Roman" w:hAnsi="Times New Roman"/>
          <w:bCs/>
          <w:sz w:val="10"/>
        </w:rPr>
      </w:pPr>
    </w:p>
    <w:p w:rsidR="00E82D81" w:rsidRPr="00D1658B" w:rsidRDefault="00E82D81" w:rsidP="00980876">
      <w:pPr>
        <w:widowControl w:val="0"/>
        <w:numPr>
          <w:ilvl w:val="0"/>
          <w:numId w:val="613"/>
        </w:numPr>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Előtanulmányi követelmények:</w:t>
      </w:r>
      <w:r>
        <w:rPr>
          <w:rFonts w:ascii="Times New Roman" w:eastAsia="Times New Roman" w:hAnsi="Times New Roman" w:cs="Times New Roman"/>
          <w:bCs/>
        </w:rPr>
        <w:t xml:space="preserve"> –</w:t>
      </w:r>
    </w:p>
    <w:p w:rsidR="00E82D81" w:rsidRPr="006A233B" w:rsidRDefault="00E82D81" w:rsidP="00980876">
      <w:pPr>
        <w:widowControl w:val="0"/>
        <w:numPr>
          <w:ilvl w:val="0"/>
          <w:numId w:val="613"/>
        </w:numPr>
        <w:spacing w:before="120" w:after="120" w:line="240" w:lineRule="auto"/>
        <w:ind w:left="426" w:hanging="142"/>
        <w:jc w:val="both"/>
        <w:rPr>
          <w:rFonts w:ascii="Times New Roman" w:eastAsia="Times New Roman" w:hAnsi="Times New Roman" w:cs="Times New Roman"/>
          <w:b/>
          <w:bCs/>
        </w:rPr>
      </w:pPr>
      <w:r w:rsidRPr="006A233B">
        <w:rPr>
          <w:rFonts w:ascii="Times New Roman" w:eastAsia="Times New Roman" w:hAnsi="Times New Roman" w:cs="Times New Roman"/>
          <w:b/>
          <w:bCs/>
        </w:rPr>
        <w:t>A tantárgy tananyagának leírása, tematika. Description of the subject, curriculum (magyarul, angolul - English):</w:t>
      </w:r>
    </w:p>
    <w:p w:rsidR="00E82D81" w:rsidRPr="00007F71" w:rsidRDefault="00E82D81" w:rsidP="00980876">
      <w:pPr>
        <w:widowControl w:val="0"/>
        <w:numPr>
          <w:ilvl w:val="1"/>
          <w:numId w:val="613"/>
        </w:numPr>
        <w:tabs>
          <w:tab w:val="left" w:pos="709"/>
          <w:tab w:val="left" w:pos="993"/>
        </w:tabs>
        <w:spacing w:before="120" w:after="120" w:line="240" w:lineRule="auto"/>
        <w:ind w:left="993" w:hanging="567"/>
        <w:jc w:val="both"/>
        <w:rPr>
          <w:rFonts w:ascii="Times New Roman" w:eastAsia="Times New Roman" w:hAnsi="Times New Roman" w:cs="Times New Roman"/>
          <w:lang w:val="en-US"/>
        </w:rPr>
      </w:pPr>
      <w:r w:rsidRPr="008E0A17">
        <w:rPr>
          <w:rFonts w:ascii="Times New Roman" w:eastAsia="Times New Roman" w:hAnsi="Times New Roman" w:cs="Times New Roman"/>
          <w:bCs/>
        </w:rPr>
        <w:t>A tantárgy a szakmai tartalomnak megfelelően, külön levezetési</w:t>
      </w:r>
      <w:r>
        <w:rPr>
          <w:rFonts w:ascii="Times New Roman" w:eastAsia="Times New Roman" w:hAnsi="Times New Roman" w:cs="Times New Roman"/>
          <w:bCs/>
        </w:rPr>
        <w:t>- és feladatterv</w:t>
      </w:r>
      <w:r w:rsidRPr="008E0A17">
        <w:rPr>
          <w:rFonts w:ascii="Times New Roman" w:eastAsia="Times New Roman" w:hAnsi="Times New Roman" w:cs="Times New Roman"/>
          <w:bCs/>
        </w:rPr>
        <w:t xml:space="preserve"> alapj</w:t>
      </w:r>
      <w:r>
        <w:rPr>
          <w:rFonts w:ascii="Times New Roman" w:eastAsia="Times New Roman" w:hAnsi="Times New Roman" w:cs="Times New Roman"/>
          <w:bCs/>
        </w:rPr>
        <w:t>án intézményen kívül valósul meg</w:t>
      </w:r>
      <w:r w:rsidRPr="008E0A17">
        <w:rPr>
          <w:rFonts w:ascii="Times New Roman" w:eastAsia="Times New Roman" w:hAnsi="Times New Roman" w:cs="Times New Roman"/>
          <w:bCs/>
        </w:rPr>
        <w:t>.</w:t>
      </w:r>
      <w:r>
        <w:rPr>
          <w:rFonts w:ascii="Times New Roman" w:eastAsia="Times New Roman" w:hAnsi="Times New Roman" w:cs="Times New Roman"/>
          <w:bCs/>
        </w:rPr>
        <w:t xml:space="preserve"> </w:t>
      </w:r>
      <w:r w:rsidRPr="006F66FE">
        <w:rPr>
          <w:rFonts w:ascii="Times New Roman" w:eastAsia="Times New Roman" w:hAnsi="Times New Roman" w:cs="Times New Roman"/>
          <w:bCs/>
          <w:i/>
        </w:rPr>
        <w:t>(</w:t>
      </w:r>
      <w:r w:rsidRPr="006F66FE">
        <w:rPr>
          <w:rFonts w:ascii="Times New Roman" w:eastAsia="Times New Roman" w:hAnsi="Times New Roman" w:cs="Times New Roman"/>
          <w:bCs/>
          <w:i/>
          <w:lang w:val="en"/>
        </w:rPr>
        <w:t>The course is delivered outside the institution in accordance with the professional content, based on a separate course and assignment plan.)</w:t>
      </w:r>
    </w:p>
    <w:p w:rsidR="00E82D81" w:rsidRPr="006A233B" w:rsidRDefault="00E82D81" w:rsidP="00980876">
      <w:pPr>
        <w:widowControl w:val="0"/>
        <w:numPr>
          <w:ilvl w:val="0"/>
          <w:numId w:val="613"/>
        </w:numPr>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bCs/>
        </w:rPr>
        <w:t xml:space="preserve">A tantárgy meghirdetésének gyakorisága/a tantervben történő félévi elhelyezkedése: </w:t>
      </w:r>
      <w:r>
        <w:rPr>
          <w:rFonts w:ascii="Times New Roman" w:eastAsia="Times New Roman" w:hAnsi="Times New Roman" w:cs="Times New Roman"/>
          <w:bCs/>
        </w:rPr>
        <w:t>Minden tavaszi szemeszterben / 8. félév</w:t>
      </w:r>
    </w:p>
    <w:p w:rsidR="00E82D81" w:rsidRPr="00CE64DC" w:rsidRDefault="00E82D81" w:rsidP="00980876">
      <w:pPr>
        <w:widowControl w:val="0"/>
        <w:numPr>
          <w:ilvl w:val="0"/>
          <w:numId w:val="613"/>
        </w:numPr>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bCs/>
        </w:rPr>
        <w:t>A tanórákon való részvétel követelményei, az elfogadható hiányzások mértéke, a távolmaradás pótlásának lehetősége:</w:t>
      </w:r>
      <w:r>
        <w:rPr>
          <w:rFonts w:ascii="Times New Roman" w:eastAsia="Times New Roman" w:hAnsi="Times New Roman" w:cs="Times New Roman"/>
          <w:bCs/>
        </w:rPr>
        <w:t xml:space="preserve"> A gyakorlaton</w:t>
      </w:r>
      <w:r w:rsidRPr="00CE64DC">
        <w:rPr>
          <w:rFonts w:ascii="Times New Roman" w:eastAsia="Times New Roman" w:hAnsi="Times New Roman" w:cs="Times New Roman"/>
          <w:bCs/>
        </w:rPr>
        <w:t xml:space="preserve"> való részvétel </w:t>
      </w:r>
      <w:r>
        <w:rPr>
          <w:rFonts w:ascii="Times New Roman" w:eastAsia="Times New Roman" w:hAnsi="Times New Roman" w:cs="Times New Roman"/>
          <w:bCs/>
        </w:rPr>
        <w:t xml:space="preserve">100%-ban </w:t>
      </w:r>
      <w:r w:rsidRPr="00CE64DC">
        <w:rPr>
          <w:rFonts w:ascii="Times New Roman" w:eastAsia="Times New Roman" w:hAnsi="Times New Roman" w:cs="Times New Roman"/>
          <w:bCs/>
        </w:rPr>
        <w:t>kötelező.</w:t>
      </w:r>
      <w:r>
        <w:rPr>
          <w:rFonts w:ascii="Times New Roman" w:eastAsia="Times New Roman" w:hAnsi="Times New Roman" w:cs="Times New Roman"/>
          <w:bCs/>
        </w:rPr>
        <w:t xml:space="preserve"> Távolmaradás nem engedélyezett</w:t>
      </w:r>
      <w:r w:rsidRPr="00CE64DC">
        <w:rPr>
          <w:rFonts w:ascii="Times New Roman" w:eastAsia="Times New Roman" w:hAnsi="Times New Roman" w:cs="Times New Roman"/>
          <w:bCs/>
        </w:rPr>
        <w:t>.</w:t>
      </w:r>
      <w:r>
        <w:rPr>
          <w:rFonts w:ascii="Times New Roman" w:eastAsia="Times New Roman" w:hAnsi="Times New Roman" w:cs="Times New Roman"/>
          <w:bCs/>
        </w:rPr>
        <w:t xml:space="preserve"> A szakmai gyakorlat pótlására nincs lehetőség.</w:t>
      </w:r>
      <w:r w:rsidR="00C232E3">
        <w:rPr>
          <w:rFonts w:ascii="Times New Roman" w:eastAsia="Times New Roman" w:hAnsi="Times New Roman" w:cs="Times New Roman"/>
          <w:bCs/>
        </w:rPr>
        <w:t xml:space="preserve"> A gyakorlat nem teljesítése az aláírás megtagadását vonja maga után.</w:t>
      </w:r>
    </w:p>
    <w:p w:rsidR="00E82D81" w:rsidRPr="00CE64DC" w:rsidRDefault="00E82D81" w:rsidP="00980876">
      <w:pPr>
        <w:widowControl w:val="0"/>
        <w:numPr>
          <w:ilvl w:val="0"/>
          <w:numId w:val="613"/>
        </w:numPr>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rPr>
        <w:t xml:space="preserve">Félévközi feladatok, ismeretek ellenőrzésének rendje: </w:t>
      </w:r>
      <w:r>
        <w:rPr>
          <w:rFonts w:ascii="Times New Roman" w:eastAsia="Times New Roman" w:hAnsi="Times New Roman" w:cs="Times New Roman"/>
        </w:rPr>
        <w:t>A tanulmányi munka alapja a gyakorlaton való részvétel.</w:t>
      </w:r>
    </w:p>
    <w:p w:rsidR="00E82D81" w:rsidRPr="006A233B" w:rsidRDefault="00E82D81" w:rsidP="00980876">
      <w:pPr>
        <w:widowControl w:val="0"/>
        <w:numPr>
          <w:ilvl w:val="0"/>
          <w:numId w:val="613"/>
        </w:numPr>
        <w:spacing w:before="120" w:after="120" w:line="240" w:lineRule="auto"/>
        <w:ind w:left="426" w:hanging="142"/>
        <w:jc w:val="both"/>
        <w:rPr>
          <w:rFonts w:ascii="Times New Roman" w:eastAsia="Times New Roman" w:hAnsi="Times New Roman" w:cs="Times New Roman"/>
          <w:b/>
          <w:bCs/>
        </w:rPr>
      </w:pPr>
      <w:r w:rsidRPr="006A233B">
        <w:rPr>
          <w:rFonts w:ascii="Times New Roman" w:eastAsia="Times New Roman" w:hAnsi="Times New Roman" w:cs="Times New Roman"/>
          <w:b/>
          <w:bCs/>
        </w:rPr>
        <w:t xml:space="preserve">Az értékelés, az aláírás és a kreditek megszerzésének pontos feltételei: </w:t>
      </w:r>
    </w:p>
    <w:p w:rsidR="00E82D81" w:rsidRPr="006A233B" w:rsidRDefault="00E82D81" w:rsidP="00980876">
      <w:pPr>
        <w:widowControl w:val="0"/>
        <w:numPr>
          <w:ilvl w:val="1"/>
          <w:numId w:val="613"/>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6A233B">
        <w:rPr>
          <w:rFonts w:ascii="Times New Roman" w:eastAsia="Times New Roman" w:hAnsi="Times New Roman" w:cs="Times New Roman"/>
          <w:b/>
        </w:rPr>
        <w:t>Az aláírás megszerzésének feltételei:</w:t>
      </w:r>
    </w:p>
    <w:p w:rsidR="00E82D81" w:rsidRPr="006A233B" w:rsidRDefault="00E82D81" w:rsidP="00E82D81">
      <w:pPr>
        <w:widowControl w:val="0"/>
        <w:tabs>
          <w:tab w:val="left" w:pos="993"/>
        </w:tabs>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Az aláírás feltétele a gyakorlaton</w:t>
      </w:r>
      <w:r w:rsidRPr="007E215C">
        <w:rPr>
          <w:rFonts w:ascii="Times New Roman" w:eastAsia="Times New Roman" w:hAnsi="Times New Roman" w:cs="Times New Roman"/>
        </w:rPr>
        <w:t xml:space="preserve"> történő – 1</w:t>
      </w:r>
      <w:r>
        <w:rPr>
          <w:rFonts w:ascii="Times New Roman" w:eastAsia="Times New Roman" w:hAnsi="Times New Roman" w:cs="Times New Roman"/>
        </w:rPr>
        <w:t>4</w:t>
      </w:r>
      <w:r w:rsidRPr="007E215C">
        <w:rPr>
          <w:rFonts w:ascii="Times New Roman" w:eastAsia="Times New Roman" w:hAnsi="Times New Roman" w:cs="Times New Roman"/>
        </w:rPr>
        <w:t>. pontban meghatározott – részvétel</w:t>
      </w:r>
      <w:r>
        <w:rPr>
          <w:rFonts w:ascii="Times New Roman" w:eastAsia="Times New Roman" w:hAnsi="Times New Roman" w:cs="Times New Roman"/>
        </w:rPr>
        <w:t>.</w:t>
      </w:r>
    </w:p>
    <w:p w:rsidR="00E82D81" w:rsidRPr="00C232E3" w:rsidRDefault="00E82D81" w:rsidP="00980876">
      <w:pPr>
        <w:widowControl w:val="0"/>
        <w:numPr>
          <w:ilvl w:val="1"/>
          <w:numId w:val="613"/>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C232E3">
        <w:rPr>
          <w:rFonts w:ascii="Times New Roman" w:eastAsia="Times New Roman" w:hAnsi="Times New Roman" w:cs="Times New Roman"/>
          <w:b/>
        </w:rPr>
        <w:t>Az értékelés:</w:t>
      </w:r>
      <w:r w:rsidR="00C232E3" w:rsidRPr="00C232E3">
        <w:rPr>
          <w:rFonts w:ascii="Times New Roman" w:eastAsia="Times New Roman" w:hAnsi="Times New Roman" w:cs="Times New Roman"/>
          <w:b/>
        </w:rPr>
        <w:t xml:space="preserve"> </w:t>
      </w:r>
      <w:r w:rsidRPr="00C232E3">
        <w:rPr>
          <w:rFonts w:ascii="Times New Roman" w:eastAsia="Times New Roman" w:hAnsi="Times New Roman" w:cs="Times New Roman"/>
        </w:rPr>
        <w:t>Nincs.</w:t>
      </w:r>
    </w:p>
    <w:p w:rsidR="00E82D81" w:rsidRPr="006A233B" w:rsidRDefault="00E82D81" w:rsidP="00980876">
      <w:pPr>
        <w:widowControl w:val="0"/>
        <w:numPr>
          <w:ilvl w:val="1"/>
          <w:numId w:val="613"/>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6A233B">
        <w:rPr>
          <w:rFonts w:ascii="Times New Roman" w:eastAsia="Times New Roman" w:hAnsi="Times New Roman" w:cs="Times New Roman"/>
          <w:b/>
        </w:rPr>
        <w:t>A kreditek megszerzésének feltételei:</w:t>
      </w:r>
      <w:r w:rsidRPr="006A233B">
        <w:rPr>
          <w:rFonts w:ascii="Times New Roman" w:eastAsia="Times New Roman" w:hAnsi="Times New Roman" w:cs="Times New Roman"/>
        </w:rPr>
        <w:t xml:space="preserve"> </w:t>
      </w:r>
    </w:p>
    <w:p w:rsidR="00E82D81" w:rsidRPr="006A233B" w:rsidRDefault="00E82D81" w:rsidP="00E82D81">
      <w:pPr>
        <w:widowControl w:val="0"/>
        <w:tabs>
          <w:tab w:val="left" w:pos="993"/>
        </w:tabs>
        <w:spacing w:before="120" w:after="120" w:line="240" w:lineRule="auto"/>
        <w:ind w:left="426"/>
        <w:jc w:val="both"/>
        <w:rPr>
          <w:rFonts w:ascii="Times New Roman" w:eastAsia="Times New Roman" w:hAnsi="Times New Roman" w:cs="Times New Roman"/>
        </w:rPr>
      </w:pPr>
      <w:r w:rsidRPr="006A233B">
        <w:rPr>
          <w:rFonts w:ascii="Times New Roman" w:eastAsia="Times New Roman" w:hAnsi="Times New Roman" w:cs="Times New Roman"/>
        </w:rPr>
        <w:t xml:space="preserve">A </w:t>
      </w:r>
      <w:r>
        <w:rPr>
          <w:rFonts w:ascii="Times New Roman" w:eastAsia="Times New Roman" w:hAnsi="Times New Roman" w:cs="Times New Roman"/>
        </w:rPr>
        <w:t xml:space="preserve">tantárgy </w:t>
      </w:r>
      <w:r w:rsidR="00C232E3">
        <w:rPr>
          <w:rFonts w:ascii="Times New Roman" w:eastAsia="Times New Roman" w:hAnsi="Times New Roman" w:cs="Times New Roman"/>
        </w:rPr>
        <w:t>kritériumkövetelmény, csak aláírással zárul.</w:t>
      </w:r>
    </w:p>
    <w:p w:rsidR="00E82D81" w:rsidRPr="006A233B" w:rsidRDefault="00E82D81" w:rsidP="00980876">
      <w:pPr>
        <w:widowControl w:val="0"/>
        <w:numPr>
          <w:ilvl w:val="0"/>
          <w:numId w:val="613"/>
        </w:numPr>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bCs/>
        </w:rPr>
        <w:t>Irodalomjegyzék:</w:t>
      </w:r>
    </w:p>
    <w:p w:rsidR="00E82D81" w:rsidRPr="00642222" w:rsidRDefault="00E82D81" w:rsidP="00980876">
      <w:pPr>
        <w:widowControl w:val="0"/>
        <w:numPr>
          <w:ilvl w:val="1"/>
          <w:numId w:val="613"/>
        </w:numPr>
        <w:tabs>
          <w:tab w:val="left" w:pos="567"/>
          <w:tab w:val="left" w:pos="851"/>
        </w:tabs>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bCs/>
        </w:rPr>
        <w:t>Kötelező irodalom:</w:t>
      </w:r>
    </w:p>
    <w:p w:rsidR="00E82D81" w:rsidRPr="009B293D" w:rsidRDefault="00E82D81" w:rsidP="00980876">
      <w:pPr>
        <w:widowControl w:val="0"/>
        <w:numPr>
          <w:ilvl w:val="0"/>
          <w:numId w:val="614"/>
        </w:numPr>
        <w:spacing w:after="0" w:line="240" w:lineRule="auto"/>
        <w:jc w:val="both"/>
        <w:rPr>
          <w:rFonts w:ascii="Times New Roman" w:eastAsia="Times New Roman" w:hAnsi="Times New Roman" w:cs="Times New Roman"/>
          <w:highlight w:val="yellow"/>
        </w:rPr>
      </w:pPr>
      <w:r w:rsidRPr="009B293D">
        <w:rPr>
          <w:rFonts w:ascii="Times New Roman" w:eastAsia="Times New Roman" w:hAnsi="Times New Roman" w:cs="Times New Roman"/>
          <w:highlight w:val="yellow"/>
        </w:rPr>
        <w:t>Magyar Honvédség Összhaderőnemi Logisztikai Támogatás Doktrína, A HVK Logisztikai Csoportfőnökség Kiadványa, Budapest, 2015. (3. kiadás)</w:t>
      </w:r>
    </w:p>
    <w:p w:rsidR="00E82D81" w:rsidRPr="009B293D" w:rsidRDefault="009B293D" w:rsidP="00980876">
      <w:pPr>
        <w:widowControl w:val="0"/>
        <w:numPr>
          <w:ilvl w:val="0"/>
          <w:numId w:val="614"/>
        </w:numPr>
        <w:spacing w:after="0" w:line="240" w:lineRule="auto"/>
        <w:jc w:val="both"/>
        <w:rPr>
          <w:rFonts w:ascii="Times New Roman" w:eastAsia="Times New Roman" w:hAnsi="Times New Roman" w:cs="Times New Roman"/>
          <w:highlight w:val="yellow"/>
        </w:rPr>
      </w:pPr>
      <w:r w:rsidRPr="009B293D">
        <w:rPr>
          <w:rFonts w:ascii="Times New Roman" w:eastAsia="Times New Roman" w:hAnsi="Times New Roman" w:cs="Times New Roman"/>
          <w:highlight w:val="yellow"/>
        </w:rPr>
        <w:t>Ált/23 A</w:t>
      </w:r>
      <w:r w:rsidR="00E82D81" w:rsidRPr="009B293D">
        <w:rPr>
          <w:rFonts w:ascii="Times New Roman" w:eastAsia="Times New Roman" w:hAnsi="Times New Roman" w:cs="Times New Roman"/>
          <w:highlight w:val="yellow"/>
        </w:rPr>
        <w:t xml:space="preserve"> Magyar Honv</w:t>
      </w:r>
      <w:r w:rsidRPr="009B293D">
        <w:rPr>
          <w:rFonts w:ascii="Times New Roman" w:eastAsia="Times New Roman" w:hAnsi="Times New Roman" w:cs="Times New Roman"/>
          <w:highlight w:val="yellow"/>
        </w:rPr>
        <w:t>édség Szolgálati Szabályzata</w:t>
      </w:r>
    </w:p>
    <w:p w:rsidR="009B293D" w:rsidRPr="009B293D" w:rsidRDefault="009B293D" w:rsidP="00980876">
      <w:pPr>
        <w:widowControl w:val="0"/>
        <w:numPr>
          <w:ilvl w:val="0"/>
          <w:numId w:val="614"/>
        </w:numPr>
        <w:spacing w:after="0" w:line="240" w:lineRule="auto"/>
        <w:jc w:val="both"/>
        <w:rPr>
          <w:rFonts w:ascii="Times New Roman" w:eastAsia="Times New Roman" w:hAnsi="Times New Roman" w:cs="Times New Roman"/>
          <w:highlight w:val="yellow"/>
        </w:rPr>
      </w:pPr>
      <w:r w:rsidRPr="009B293D">
        <w:rPr>
          <w:rFonts w:ascii="Times New Roman" w:hAnsi="Times New Roman" w:cs="Times New Roman"/>
          <w:highlight w:val="yellow"/>
        </w:rPr>
        <w:t>A specializációfelelős és a szakmai elöljáró által kidolgozott feladatterv.</w:t>
      </w:r>
    </w:p>
    <w:p w:rsidR="00E82D81" w:rsidRPr="009B293D" w:rsidRDefault="00E82D81" w:rsidP="00980876">
      <w:pPr>
        <w:widowControl w:val="0"/>
        <w:numPr>
          <w:ilvl w:val="1"/>
          <w:numId w:val="613"/>
        </w:numPr>
        <w:tabs>
          <w:tab w:val="num" w:pos="2069"/>
        </w:tabs>
        <w:spacing w:before="120" w:after="120" w:line="240" w:lineRule="auto"/>
        <w:ind w:left="993" w:hanging="709"/>
        <w:jc w:val="both"/>
        <w:rPr>
          <w:rFonts w:ascii="Times New Roman" w:eastAsia="Times New Roman" w:hAnsi="Times New Roman" w:cs="Times New Roman"/>
          <w:b/>
          <w:bCs/>
          <w:highlight w:val="yellow"/>
        </w:rPr>
      </w:pPr>
      <w:r w:rsidRPr="009B293D">
        <w:rPr>
          <w:rFonts w:ascii="Times New Roman" w:eastAsia="Times New Roman" w:hAnsi="Times New Roman" w:cs="Times New Roman"/>
          <w:b/>
          <w:bCs/>
          <w:highlight w:val="yellow"/>
        </w:rPr>
        <w:lastRenderedPageBreak/>
        <w:t>Ajánlott irodalom:</w:t>
      </w:r>
    </w:p>
    <w:p w:rsidR="00E82D81" w:rsidRPr="009B293D" w:rsidRDefault="00E82D81" w:rsidP="00980876">
      <w:pPr>
        <w:pStyle w:val="Listaszerbekezds"/>
        <w:widowControl w:val="0"/>
        <w:numPr>
          <w:ilvl w:val="0"/>
          <w:numId w:val="615"/>
        </w:numPr>
        <w:spacing w:after="0" w:line="240" w:lineRule="auto"/>
        <w:jc w:val="both"/>
        <w:rPr>
          <w:rFonts w:ascii="Times New Roman" w:eastAsia="Times New Roman" w:hAnsi="Times New Roman" w:cs="Times New Roman"/>
          <w:highlight w:val="yellow"/>
        </w:rPr>
      </w:pPr>
      <w:r w:rsidRPr="009B293D">
        <w:rPr>
          <w:rFonts w:ascii="Times New Roman" w:eastAsia="Times New Roman" w:hAnsi="Times New Roman" w:cs="Times New Roman"/>
          <w:highlight w:val="yellow"/>
        </w:rPr>
        <w:t>APP-6 A földi telepítés</w:t>
      </w:r>
      <w:r w:rsidRPr="009B293D">
        <w:rPr>
          <w:rFonts w:ascii="Times New Roman" w:eastAsia="Times New Roman" w:hAnsi="Times New Roman" w:cs="Times New Roman" w:hint="eastAsia"/>
          <w:highlight w:val="yellow"/>
        </w:rPr>
        <w:t>ű</w:t>
      </w:r>
      <w:r w:rsidRPr="009B293D">
        <w:rPr>
          <w:rFonts w:ascii="Times New Roman" w:eastAsia="Times New Roman" w:hAnsi="Times New Roman" w:cs="Times New Roman"/>
          <w:highlight w:val="yellow"/>
        </w:rPr>
        <w:t xml:space="preserve"> katonai rendszerek grafikai jelei</w:t>
      </w:r>
      <w:r w:rsidR="009B293D">
        <w:rPr>
          <w:rFonts w:ascii="Times New Roman" w:eastAsia="Times New Roman" w:hAnsi="Times New Roman" w:cs="Times New Roman"/>
          <w:highlight w:val="yellow"/>
        </w:rPr>
        <w:t xml:space="preserve">. </w:t>
      </w:r>
      <w:r w:rsidRPr="009B293D">
        <w:rPr>
          <w:rFonts w:ascii="Times New Roman" w:eastAsia="Times New Roman" w:hAnsi="Times New Roman" w:cs="Times New Roman"/>
          <w:highlight w:val="yellow"/>
        </w:rPr>
        <w:t xml:space="preserve"> </w:t>
      </w:r>
    </w:p>
    <w:p w:rsidR="00E82D81" w:rsidRPr="009B293D" w:rsidRDefault="00E82D81" w:rsidP="00980876">
      <w:pPr>
        <w:pStyle w:val="Listaszerbekezds"/>
        <w:widowControl w:val="0"/>
        <w:numPr>
          <w:ilvl w:val="0"/>
          <w:numId w:val="615"/>
        </w:numPr>
        <w:spacing w:after="0" w:line="240" w:lineRule="auto"/>
        <w:jc w:val="both"/>
        <w:rPr>
          <w:rFonts w:ascii="Times New Roman" w:eastAsia="Times New Roman" w:hAnsi="Times New Roman" w:cs="Times New Roman"/>
          <w:highlight w:val="yellow"/>
        </w:rPr>
      </w:pPr>
      <w:r w:rsidRPr="009B293D">
        <w:rPr>
          <w:rFonts w:ascii="Times New Roman" w:eastAsia="Times New Roman" w:hAnsi="Times New Roman" w:cs="Times New Roman"/>
          <w:highlight w:val="yellow"/>
        </w:rPr>
        <w:t>AAO-6(U) 2. NATO szakkifejezések és meghatározások szógyűjteménye</w:t>
      </w:r>
    </w:p>
    <w:p w:rsidR="00E82D81" w:rsidRDefault="00E82D81" w:rsidP="00E82D81">
      <w:pPr>
        <w:widowControl w:val="0"/>
        <w:spacing w:before="120" w:after="120" w:line="240" w:lineRule="auto"/>
        <w:jc w:val="both"/>
        <w:rPr>
          <w:rFonts w:ascii="Times New Roman" w:eastAsia="Times New Roman" w:hAnsi="Times New Roman" w:cs="Times New Roman"/>
          <w:bCs/>
        </w:rPr>
      </w:pPr>
    </w:p>
    <w:p w:rsidR="00E82D81" w:rsidRPr="006A233B" w:rsidRDefault="00E82D81" w:rsidP="00E82D81">
      <w:pPr>
        <w:widowControl w:val="0"/>
        <w:spacing w:before="120" w:after="120" w:line="240" w:lineRule="auto"/>
        <w:jc w:val="both"/>
        <w:rPr>
          <w:rFonts w:ascii="Times New Roman" w:eastAsia="Times New Roman" w:hAnsi="Times New Roman" w:cs="Times New Roman"/>
          <w:bCs/>
        </w:rPr>
      </w:pPr>
      <w:r w:rsidRPr="006A233B">
        <w:rPr>
          <w:rFonts w:ascii="Times New Roman" w:eastAsia="Times New Roman" w:hAnsi="Times New Roman" w:cs="Times New Roman"/>
          <w:bCs/>
        </w:rPr>
        <w:t>Budapest,</w:t>
      </w:r>
      <w:r>
        <w:rPr>
          <w:rFonts w:ascii="Times New Roman" w:eastAsia="Times New Roman" w:hAnsi="Times New Roman" w:cs="Times New Roman"/>
          <w:bCs/>
        </w:rPr>
        <w:t xml:space="preserve"> 2020</w:t>
      </w:r>
      <w:r w:rsidRPr="006A233B">
        <w:rPr>
          <w:rFonts w:ascii="Times New Roman" w:eastAsia="Times New Roman" w:hAnsi="Times New Roman" w:cs="Times New Roman"/>
          <w:bCs/>
        </w:rPr>
        <w:t xml:space="preserve">. </w:t>
      </w:r>
      <w:r>
        <w:rPr>
          <w:rFonts w:ascii="Times New Roman" w:eastAsia="Times New Roman" w:hAnsi="Times New Roman" w:cs="Times New Roman"/>
          <w:bCs/>
        </w:rPr>
        <w:t>január</w:t>
      </w:r>
      <w:r w:rsidRPr="006A233B">
        <w:rPr>
          <w:rFonts w:ascii="Times New Roman" w:eastAsia="Times New Roman" w:hAnsi="Times New Roman" w:cs="Times New Roman"/>
          <w:bCs/>
        </w:rPr>
        <w:t xml:space="preserve"> </w:t>
      </w:r>
      <w:r>
        <w:rPr>
          <w:rFonts w:ascii="Times New Roman" w:eastAsia="Times New Roman" w:hAnsi="Times New Roman" w:cs="Times New Roman"/>
          <w:bCs/>
        </w:rPr>
        <w:t>18</w:t>
      </w:r>
      <w:r w:rsidRPr="006A233B">
        <w:rPr>
          <w:rFonts w:ascii="Times New Roman" w:eastAsia="Times New Roman" w:hAnsi="Times New Roman" w:cs="Times New Roman"/>
          <w:bCs/>
        </w:rPr>
        <w:t>.</w:t>
      </w:r>
    </w:p>
    <w:p w:rsidR="00E82D81" w:rsidRPr="006A233B" w:rsidRDefault="00E82D81" w:rsidP="00E82D81">
      <w:pPr>
        <w:widowControl w:val="0"/>
        <w:spacing w:before="120" w:after="120" w:line="240" w:lineRule="auto"/>
        <w:jc w:val="both"/>
        <w:rPr>
          <w:rFonts w:ascii="Times New Roman" w:eastAsia="Times New Roman" w:hAnsi="Times New Roman" w:cs="Times New Roman"/>
          <w:bCs/>
        </w:rPr>
      </w:pPr>
    </w:p>
    <w:p w:rsidR="00E82D81" w:rsidRPr="00A1227C" w:rsidRDefault="00E82D81" w:rsidP="00E82D81">
      <w:pPr>
        <w:widowControl w:val="0"/>
        <w:spacing w:after="0" w:line="240" w:lineRule="auto"/>
        <w:ind w:left="4248" w:firstLine="708"/>
        <w:jc w:val="center"/>
        <w:rPr>
          <w:rFonts w:ascii="Times New Roman" w:hAnsi="Times New Roman" w:cs="Times New Roman"/>
          <w:b/>
          <w:bCs/>
        </w:rPr>
      </w:pPr>
      <w:r w:rsidRPr="00A1227C">
        <w:rPr>
          <w:rFonts w:ascii="Times New Roman" w:hAnsi="Times New Roman" w:cs="Times New Roman"/>
          <w:b/>
          <w:bCs/>
        </w:rPr>
        <w:t xml:space="preserve">Dr. </w:t>
      </w:r>
      <w:r>
        <w:rPr>
          <w:rFonts w:ascii="Times New Roman" w:hAnsi="Times New Roman" w:cs="Times New Roman"/>
          <w:b/>
          <w:bCs/>
        </w:rPr>
        <w:t>Szászi Gábor</w:t>
      </w:r>
      <w:r w:rsidRPr="00A1227C">
        <w:rPr>
          <w:rFonts w:ascii="Times New Roman" w:hAnsi="Times New Roman" w:cs="Times New Roman"/>
          <w:b/>
          <w:bCs/>
        </w:rPr>
        <w:t xml:space="preserve"> </w:t>
      </w:r>
      <w:r>
        <w:rPr>
          <w:rFonts w:ascii="Times New Roman" w:hAnsi="Times New Roman" w:cs="Times New Roman"/>
          <w:b/>
          <w:bCs/>
        </w:rPr>
        <w:t>(</w:t>
      </w:r>
      <w:r w:rsidRPr="00A1227C">
        <w:rPr>
          <w:rFonts w:ascii="Times New Roman" w:hAnsi="Times New Roman" w:cs="Times New Roman"/>
          <w:b/>
          <w:bCs/>
        </w:rPr>
        <w:t>PhD</w:t>
      </w:r>
      <w:r>
        <w:rPr>
          <w:rFonts w:ascii="Times New Roman" w:hAnsi="Times New Roman" w:cs="Times New Roman"/>
          <w:b/>
          <w:bCs/>
        </w:rPr>
        <w:t>)</w:t>
      </w:r>
    </w:p>
    <w:p w:rsidR="00E82D81" w:rsidRPr="00734E2C" w:rsidRDefault="00E82D81" w:rsidP="00E82D81">
      <w:pPr>
        <w:widowControl w:val="0"/>
        <w:spacing w:after="0" w:line="240" w:lineRule="auto"/>
        <w:ind w:left="4956"/>
        <w:jc w:val="both"/>
        <w:rPr>
          <w:rFonts w:ascii="Times New Roman" w:eastAsia="Times New Roman" w:hAnsi="Times New Roman" w:cs="Times New Roman"/>
          <w:bCs/>
        </w:rPr>
      </w:pPr>
      <w:r>
        <w:rPr>
          <w:rFonts w:ascii="Times New Roman" w:hAnsi="Times New Roman" w:cs="Times New Roman"/>
          <w:bCs/>
        </w:rPr>
        <w:t>oktatási dékánhelyettes, egyetemi docens s.k.</w:t>
      </w:r>
    </w:p>
    <w:p w:rsidR="00903171" w:rsidRDefault="00903171">
      <w:pPr>
        <w:spacing w:after="200" w:line="276" w:lineRule="auto"/>
        <w:rPr>
          <w:rFonts w:ascii="Times New Roman" w:hAnsi="Times New Roman" w:cs="Times New Roman"/>
          <w:b/>
          <w:highlight w:val="lightGray"/>
        </w:rPr>
      </w:pPr>
      <w:r>
        <w:rPr>
          <w:rFonts w:ascii="Times New Roman" w:hAnsi="Times New Roman" w:cs="Times New Roman"/>
          <w:b/>
          <w:highlight w:val="lightGray"/>
        </w:rPr>
        <w:br w:type="page"/>
      </w:r>
    </w:p>
    <w:p w:rsidR="00685779" w:rsidRDefault="00685779" w:rsidP="00685779">
      <w:pPr>
        <w:pStyle w:val="lfej"/>
        <w:tabs>
          <w:tab w:val="clear" w:pos="9072"/>
        </w:tabs>
        <w:spacing w:before="1800"/>
        <w:jc w:val="center"/>
        <w:rPr>
          <w:rFonts w:ascii="Times New Roman" w:hAnsi="Times New Roman" w:cs="Times New Roman"/>
          <w:b/>
          <w:highlight w:val="lightGray"/>
        </w:rPr>
      </w:pPr>
    </w:p>
    <w:p w:rsidR="00903171" w:rsidRPr="006E63E5" w:rsidRDefault="00903171" w:rsidP="006E63E5">
      <w:pPr>
        <w:pStyle w:val="Cmsor1"/>
        <w:jc w:val="center"/>
        <w:rPr>
          <w:rFonts w:eastAsia="Calibri"/>
          <w:i w:val="0"/>
          <w:szCs w:val="22"/>
          <w:u w:val="none"/>
        </w:rPr>
      </w:pPr>
      <w:bookmarkStart w:id="71" w:name="_Toc37240855"/>
      <w:r w:rsidRPr="006E63E5">
        <w:rPr>
          <w:rFonts w:eastAsia="Calibri"/>
          <w:i w:val="0"/>
          <w:szCs w:val="22"/>
          <w:u w:val="none"/>
        </w:rPr>
        <w:t>V. Szabadon választható tantárgyak</w:t>
      </w:r>
      <w:bookmarkEnd w:id="71"/>
    </w:p>
    <w:p w:rsidR="00903171" w:rsidRDefault="00903171" w:rsidP="00903171">
      <w:pPr>
        <w:pStyle w:val="lfej"/>
        <w:tabs>
          <w:tab w:val="clear" w:pos="9072"/>
        </w:tabs>
        <w:jc w:val="both"/>
        <w:rPr>
          <w:rFonts w:ascii="Times New Roman" w:hAnsi="Times New Roman" w:cs="Times New Roman"/>
          <w:b/>
        </w:rPr>
      </w:pPr>
    </w:p>
    <w:p w:rsidR="00903171" w:rsidRDefault="00903171" w:rsidP="007F6328">
      <w:pPr>
        <w:pStyle w:val="lfej"/>
        <w:tabs>
          <w:tab w:val="clear" w:pos="9072"/>
        </w:tabs>
        <w:jc w:val="both"/>
        <w:rPr>
          <w:rFonts w:ascii="Times New Roman" w:hAnsi="Times New Roman" w:cs="Times New Roman"/>
          <w:b/>
        </w:rPr>
      </w:pPr>
    </w:p>
    <w:p w:rsidR="00903171" w:rsidRDefault="00903171">
      <w:pPr>
        <w:spacing w:after="200" w:line="276" w:lineRule="auto"/>
        <w:rPr>
          <w:rFonts w:ascii="Times New Roman" w:hAnsi="Times New Roman" w:cs="Times New Roman"/>
          <w:sz w:val="24"/>
        </w:rPr>
      </w:pPr>
    </w:p>
    <w:p w:rsidR="00685779" w:rsidRDefault="00584D88">
      <w:pPr>
        <w:spacing w:after="200" w:line="276" w:lineRule="auto"/>
        <w:rPr>
          <w:rFonts w:ascii="Times New Roman" w:hAnsi="Times New Roman" w:cs="Times New Roman"/>
          <w:sz w:val="24"/>
        </w:rPr>
      </w:pPr>
      <w:r w:rsidRPr="007F6328">
        <w:rPr>
          <w:rFonts w:ascii="Times New Roman" w:hAnsi="Times New Roman" w:cs="Times New Roman"/>
          <w:sz w:val="24"/>
        </w:rPr>
        <w:br w:type="page"/>
      </w:r>
    </w:p>
    <w:p w:rsidR="00685779" w:rsidRPr="00920D61" w:rsidRDefault="00685779" w:rsidP="00685779">
      <w:pPr>
        <w:spacing w:after="200" w:line="276" w:lineRule="auto"/>
        <w:jc w:val="center"/>
        <w:rPr>
          <w:rFonts w:ascii="Times New Roman" w:hAnsi="Times New Roman" w:cs="Times New Roman"/>
          <w:vanish/>
          <w:sz w:val="24"/>
          <w:specVanish/>
        </w:rPr>
      </w:pPr>
    </w:p>
    <w:p w:rsidR="008B7723" w:rsidRPr="00920D61" w:rsidRDefault="008B7723" w:rsidP="008B7723">
      <w:pPr>
        <w:spacing w:after="200" w:line="276" w:lineRule="auto"/>
        <w:rPr>
          <w:rFonts w:ascii="Times New Roman" w:hAnsi="Times New Roman" w:cs="Times New Roman"/>
          <w:vanish/>
          <w:sz w:val="24"/>
          <w:specVanish/>
        </w:rPr>
      </w:pPr>
    </w:p>
    <w:p w:rsidR="008B7723" w:rsidRPr="00920D61" w:rsidRDefault="008B7723" w:rsidP="008B7723">
      <w:pPr>
        <w:spacing w:after="200" w:line="276" w:lineRule="auto"/>
        <w:rPr>
          <w:rFonts w:ascii="Times New Roman" w:hAnsi="Times New Roman" w:cs="Times New Roman"/>
          <w:vanish/>
          <w:sz w:val="24"/>
          <w:specVanish/>
        </w:rPr>
      </w:pPr>
    </w:p>
    <w:tbl>
      <w:tblPr>
        <w:tblW w:w="9072" w:type="dxa"/>
        <w:tblInd w:w="113" w:type="dxa"/>
        <w:tblLook w:val="01E0" w:firstRow="1" w:lastRow="1" w:firstColumn="1" w:lastColumn="1" w:noHBand="0" w:noVBand="0"/>
      </w:tblPr>
      <w:tblGrid>
        <w:gridCol w:w="4855"/>
        <w:gridCol w:w="1620"/>
        <w:gridCol w:w="2597"/>
      </w:tblGrid>
      <w:tr w:rsidR="00664C1B" w:rsidRPr="00664C1B" w:rsidTr="00632BDC">
        <w:tc>
          <w:tcPr>
            <w:tcW w:w="4855" w:type="dxa"/>
            <w:tcBorders>
              <w:bottom w:val="single" w:sz="4" w:space="0" w:color="auto"/>
            </w:tcBorders>
          </w:tcPr>
          <w:p w:rsidR="00664C1B" w:rsidRPr="00664C1B" w:rsidRDefault="00664C1B" w:rsidP="00664C1B">
            <w:pPr>
              <w:spacing w:after="0" w:line="240" w:lineRule="auto"/>
              <w:jc w:val="center"/>
              <w:rPr>
                <w:rFonts w:ascii="Times New Roman" w:eastAsia="Times New Roman" w:hAnsi="Times New Roman" w:cs="Times New Roman"/>
                <w:b/>
                <w:smallCaps/>
                <w:lang w:eastAsia="hu-HU"/>
              </w:rPr>
            </w:pPr>
            <w:r w:rsidRPr="00664C1B">
              <w:rPr>
                <w:rFonts w:ascii="Times New Roman" w:eastAsia="Times New Roman" w:hAnsi="Times New Roman" w:cs="Times New Roman"/>
                <w:b/>
                <w:smallCaps/>
                <w:lang w:eastAsia="hu-HU"/>
              </w:rPr>
              <w:t>Nemzeti Közszolgálati Egyetem</w:t>
            </w:r>
          </w:p>
        </w:tc>
        <w:tc>
          <w:tcPr>
            <w:tcW w:w="1620" w:type="dxa"/>
          </w:tcPr>
          <w:p w:rsidR="00664C1B" w:rsidRPr="00664C1B" w:rsidRDefault="00664C1B" w:rsidP="00664C1B">
            <w:pPr>
              <w:spacing w:after="0" w:line="240" w:lineRule="auto"/>
              <w:jc w:val="both"/>
              <w:rPr>
                <w:rFonts w:ascii="Times New Roman" w:eastAsia="Times New Roman" w:hAnsi="Times New Roman" w:cs="Times New Roman"/>
                <w:lang w:eastAsia="hu-HU"/>
              </w:rPr>
            </w:pPr>
          </w:p>
        </w:tc>
        <w:tc>
          <w:tcPr>
            <w:tcW w:w="2597" w:type="dxa"/>
          </w:tcPr>
          <w:p w:rsidR="00664C1B" w:rsidRPr="00664C1B" w:rsidRDefault="00664C1B" w:rsidP="00664C1B">
            <w:pPr>
              <w:spacing w:after="0" w:line="240" w:lineRule="auto"/>
              <w:jc w:val="right"/>
              <w:rPr>
                <w:rFonts w:ascii="Times New Roman" w:eastAsia="Times New Roman" w:hAnsi="Times New Roman" w:cs="Times New Roman"/>
                <w:lang w:eastAsia="hu-HU"/>
              </w:rPr>
            </w:pPr>
          </w:p>
        </w:tc>
      </w:tr>
      <w:tr w:rsidR="00664C1B" w:rsidRPr="00664C1B" w:rsidTr="00632BDC">
        <w:tc>
          <w:tcPr>
            <w:tcW w:w="4855" w:type="dxa"/>
            <w:tcBorders>
              <w:top w:val="single" w:sz="4" w:space="0" w:color="auto"/>
            </w:tcBorders>
          </w:tcPr>
          <w:p w:rsidR="00664C1B" w:rsidRPr="00664C1B" w:rsidRDefault="00664C1B" w:rsidP="00664C1B">
            <w:pPr>
              <w:spacing w:after="0" w:line="240" w:lineRule="auto"/>
              <w:jc w:val="center"/>
              <w:rPr>
                <w:rFonts w:ascii="Times New Roman" w:eastAsia="Times New Roman" w:hAnsi="Times New Roman" w:cs="Times New Roman"/>
                <w:b/>
                <w:lang w:eastAsia="hu-HU"/>
              </w:rPr>
            </w:pPr>
            <w:r w:rsidRPr="00664C1B">
              <w:rPr>
                <w:rFonts w:ascii="Times New Roman" w:eastAsia="Times New Roman" w:hAnsi="Times New Roman" w:cs="Times New Roman"/>
                <w:b/>
                <w:lang w:eastAsia="hu-HU"/>
              </w:rPr>
              <w:t>Hadtudományi és Honvédtisztképző Kar</w:t>
            </w:r>
          </w:p>
        </w:tc>
        <w:tc>
          <w:tcPr>
            <w:tcW w:w="1620" w:type="dxa"/>
          </w:tcPr>
          <w:p w:rsidR="00664C1B" w:rsidRPr="00664C1B" w:rsidRDefault="00664C1B" w:rsidP="00664C1B">
            <w:pPr>
              <w:spacing w:after="0" w:line="240" w:lineRule="auto"/>
              <w:jc w:val="both"/>
              <w:rPr>
                <w:rFonts w:ascii="Times New Roman" w:eastAsia="Times New Roman" w:hAnsi="Times New Roman" w:cs="Times New Roman"/>
                <w:lang w:eastAsia="hu-HU"/>
              </w:rPr>
            </w:pPr>
          </w:p>
        </w:tc>
        <w:tc>
          <w:tcPr>
            <w:tcW w:w="2597" w:type="dxa"/>
          </w:tcPr>
          <w:p w:rsidR="00664C1B" w:rsidRPr="00664C1B" w:rsidRDefault="00664C1B" w:rsidP="00664C1B">
            <w:pPr>
              <w:spacing w:after="0" w:line="240" w:lineRule="auto"/>
              <w:jc w:val="both"/>
              <w:rPr>
                <w:rFonts w:ascii="Times New Roman" w:eastAsia="Times New Roman" w:hAnsi="Times New Roman" w:cs="Times New Roman"/>
                <w:lang w:eastAsia="hu-HU"/>
              </w:rPr>
            </w:pPr>
          </w:p>
        </w:tc>
      </w:tr>
    </w:tbl>
    <w:p w:rsidR="00664C1B" w:rsidRPr="00664C1B" w:rsidRDefault="00664C1B" w:rsidP="00664C1B">
      <w:pPr>
        <w:widowControl w:val="0"/>
        <w:spacing w:before="120" w:after="120" w:line="240" w:lineRule="auto"/>
        <w:ind w:left="426" w:hanging="142"/>
        <w:jc w:val="center"/>
        <w:rPr>
          <w:rFonts w:ascii="Times New Roman" w:eastAsia="Times New Roman" w:hAnsi="Times New Roman" w:cs="Times New Roman"/>
          <w:b/>
          <w:bCs/>
        </w:rPr>
      </w:pPr>
    </w:p>
    <w:p w:rsidR="00664C1B" w:rsidRPr="00664C1B" w:rsidRDefault="00664C1B" w:rsidP="00664C1B">
      <w:pPr>
        <w:widowControl w:val="0"/>
        <w:spacing w:before="120" w:after="120" w:line="240" w:lineRule="auto"/>
        <w:ind w:left="426" w:hanging="142"/>
        <w:jc w:val="center"/>
        <w:rPr>
          <w:rFonts w:ascii="Times New Roman" w:eastAsia="Times New Roman" w:hAnsi="Times New Roman" w:cs="Times New Roman"/>
          <w:b/>
          <w:bCs/>
        </w:rPr>
      </w:pPr>
      <w:r w:rsidRPr="00664C1B">
        <w:rPr>
          <w:rFonts w:ascii="Times New Roman" w:eastAsia="Times New Roman" w:hAnsi="Times New Roman" w:cs="Times New Roman"/>
          <w:b/>
          <w:bCs/>
        </w:rPr>
        <w:t>TANTÁRGYI PROGRAM</w:t>
      </w:r>
    </w:p>
    <w:p w:rsidR="00664C1B" w:rsidRPr="00664C1B" w:rsidRDefault="00664C1B" w:rsidP="00980876">
      <w:pPr>
        <w:widowControl w:val="0"/>
        <w:numPr>
          <w:ilvl w:val="0"/>
          <w:numId w:val="417"/>
        </w:numPr>
        <w:tabs>
          <w:tab w:val="num" w:pos="567"/>
        </w:tabs>
        <w:spacing w:before="120" w:after="120" w:line="240" w:lineRule="auto"/>
        <w:ind w:left="426" w:hanging="142"/>
        <w:jc w:val="both"/>
        <w:rPr>
          <w:rFonts w:ascii="Times New Roman" w:eastAsia="Times New Roman" w:hAnsi="Times New Roman" w:cs="Times New Roman"/>
          <w:bCs/>
        </w:rPr>
      </w:pPr>
      <w:r w:rsidRPr="00664C1B">
        <w:rPr>
          <w:rFonts w:ascii="Times New Roman" w:eastAsia="Times New Roman" w:hAnsi="Times New Roman" w:cs="Times New Roman"/>
          <w:b/>
          <w:bCs/>
        </w:rPr>
        <w:t xml:space="preserve">A tantárgy kódja: </w:t>
      </w:r>
      <w:r w:rsidRPr="00664C1B">
        <w:rPr>
          <w:rFonts w:ascii="Times New Roman" w:eastAsia="Times New Roman" w:hAnsi="Times New Roman" w:cs="Times New Roman"/>
          <w:bCs/>
        </w:rPr>
        <w:t>HKHDTA05</w:t>
      </w:r>
    </w:p>
    <w:p w:rsidR="00664C1B" w:rsidRPr="00664C1B" w:rsidRDefault="00664C1B" w:rsidP="00980876">
      <w:pPr>
        <w:widowControl w:val="0"/>
        <w:numPr>
          <w:ilvl w:val="0"/>
          <w:numId w:val="417"/>
        </w:numPr>
        <w:tabs>
          <w:tab w:val="num" w:pos="567"/>
        </w:tabs>
        <w:spacing w:before="120" w:after="120" w:line="240" w:lineRule="auto"/>
        <w:ind w:left="426" w:hanging="142"/>
        <w:jc w:val="both"/>
        <w:rPr>
          <w:rFonts w:ascii="Times New Roman" w:eastAsia="Times New Roman" w:hAnsi="Times New Roman" w:cs="Times New Roman"/>
          <w:b/>
          <w:bCs/>
          <w:lang w:val="en-GB"/>
        </w:rPr>
      </w:pPr>
      <w:r w:rsidRPr="00664C1B">
        <w:rPr>
          <w:rFonts w:ascii="Times New Roman" w:eastAsia="Times New Roman" w:hAnsi="Times New Roman" w:cs="Times New Roman"/>
          <w:b/>
          <w:bCs/>
        </w:rPr>
        <w:t>A tantárgy megnevezése (magyarul):</w:t>
      </w:r>
      <w:r w:rsidRPr="00664C1B">
        <w:rPr>
          <w:rFonts w:ascii="Times New Roman" w:eastAsia="Times New Roman" w:hAnsi="Times New Roman" w:cs="Times New Roman"/>
          <w:bCs/>
        </w:rPr>
        <w:t xml:space="preserve"> Anyagismeret</w:t>
      </w:r>
    </w:p>
    <w:p w:rsidR="00664C1B" w:rsidRPr="00664C1B" w:rsidRDefault="00664C1B" w:rsidP="00980876">
      <w:pPr>
        <w:widowControl w:val="0"/>
        <w:numPr>
          <w:ilvl w:val="0"/>
          <w:numId w:val="417"/>
        </w:numPr>
        <w:tabs>
          <w:tab w:val="num" w:pos="567"/>
        </w:tabs>
        <w:spacing w:before="120" w:after="120" w:line="240" w:lineRule="auto"/>
        <w:ind w:left="426" w:hanging="142"/>
        <w:jc w:val="both"/>
        <w:rPr>
          <w:rFonts w:ascii="Times New Roman" w:eastAsia="Times New Roman" w:hAnsi="Times New Roman" w:cs="Times New Roman"/>
          <w:b/>
          <w:bCs/>
          <w:lang w:val="en-GB"/>
        </w:rPr>
      </w:pPr>
      <w:r w:rsidRPr="00664C1B">
        <w:rPr>
          <w:rFonts w:ascii="Times New Roman" w:eastAsia="Times New Roman" w:hAnsi="Times New Roman" w:cs="Times New Roman"/>
          <w:b/>
          <w:bCs/>
        </w:rPr>
        <w:t xml:space="preserve">A tantárgy megnevezése (angolul): </w:t>
      </w:r>
      <w:r w:rsidRPr="00664C1B">
        <w:rPr>
          <w:rFonts w:ascii="Times New Roman" w:eastAsia="Times New Roman" w:hAnsi="Times New Roman" w:cs="Times New Roman"/>
          <w:bCs/>
        </w:rPr>
        <w:t>Knowledge of Materials</w:t>
      </w:r>
    </w:p>
    <w:p w:rsidR="00664C1B" w:rsidRPr="00664C1B" w:rsidRDefault="00664C1B" w:rsidP="00980876">
      <w:pPr>
        <w:widowControl w:val="0"/>
        <w:numPr>
          <w:ilvl w:val="0"/>
          <w:numId w:val="417"/>
        </w:numPr>
        <w:tabs>
          <w:tab w:val="num" w:pos="567"/>
        </w:tabs>
        <w:spacing w:before="120" w:after="120" w:line="240" w:lineRule="auto"/>
        <w:ind w:left="426" w:hanging="142"/>
        <w:jc w:val="both"/>
        <w:rPr>
          <w:rFonts w:ascii="Times New Roman" w:eastAsia="Times New Roman" w:hAnsi="Times New Roman" w:cs="Times New Roman"/>
          <w:b/>
          <w:bCs/>
        </w:rPr>
      </w:pPr>
      <w:r w:rsidRPr="00664C1B">
        <w:rPr>
          <w:rFonts w:ascii="Times New Roman" w:eastAsia="Times New Roman" w:hAnsi="Times New Roman" w:cs="Times New Roman"/>
          <w:b/>
          <w:bCs/>
        </w:rPr>
        <w:t xml:space="preserve">Kreditérték és képzési karakter: </w:t>
      </w:r>
    </w:p>
    <w:p w:rsidR="00664C1B" w:rsidRPr="00664C1B" w:rsidRDefault="00664C1B" w:rsidP="00980876">
      <w:pPr>
        <w:widowControl w:val="0"/>
        <w:numPr>
          <w:ilvl w:val="1"/>
          <w:numId w:val="417"/>
        </w:numPr>
        <w:tabs>
          <w:tab w:val="clear" w:pos="3977"/>
          <w:tab w:val="num" w:pos="1566"/>
        </w:tabs>
        <w:spacing w:before="120" w:after="120" w:line="240" w:lineRule="auto"/>
        <w:ind w:left="993" w:hanging="426"/>
        <w:contextualSpacing/>
        <w:jc w:val="both"/>
        <w:rPr>
          <w:rFonts w:ascii="Times New Roman" w:eastAsia="Times New Roman" w:hAnsi="Times New Roman" w:cs="Times New Roman"/>
          <w:b/>
          <w:bCs/>
        </w:rPr>
      </w:pPr>
      <w:r w:rsidRPr="00664C1B">
        <w:rPr>
          <w:rFonts w:ascii="Times New Roman" w:eastAsia="Times New Roman" w:hAnsi="Times New Roman" w:cs="Times New Roman"/>
          <w:bCs/>
        </w:rPr>
        <w:t>2 kredit</w:t>
      </w:r>
    </w:p>
    <w:p w:rsidR="00664C1B" w:rsidRPr="00664C1B" w:rsidRDefault="00664C1B" w:rsidP="00980876">
      <w:pPr>
        <w:widowControl w:val="0"/>
        <w:numPr>
          <w:ilvl w:val="1"/>
          <w:numId w:val="417"/>
        </w:numPr>
        <w:tabs>
          <w:tab w:val="clear" w:pos="3977"/>
          <w:tab w:val="num" w:pos="1566"/>
        </w:tabs>
        <w:spacing w:before="120" w:after="120" w:line="240" w:lineRule="auto"/>
        <w:ind w:left="993" w:hanging="426"/>
        <w:contextualSpacing/>
        <w:jc w:val="both"/>
        <w:rPr>
          <w:rFonts w:ascii="Times New Roman" w:eastAsia="Times New Roman" w:hAnsi="Times New Roman" w:cs="Times New Roman"/>
          <w:b/>
          <w:bCs/>
        </w:rPr>
      </w:pPr>
      <w:r w:rsidRPr="00664C1B">
        <w:rPr>
          <w:rFonts w:ascii="Times New Roman" w:eastAsia="Times New Roman" w:hAnsi="Times New Roman" w:cs="Times New Roman"/>
          <w:bCs/>
        </w:rPr>
        <w:t>a tantárgy elméleti vagy gyakorlati jellegének mértéke: 50</w:t>
      </w:r>
      <w:r w:rsidRPr="00664C1B">
        <w:rPr>
          <w:rFonts w:ascii="Times New Roman" w:eastAsia="Times New Roman" w:hAnsi="Times New Roman" w:cs="Times New Roman"/>
          <w:b/>
          <w:bCs/>
        </w:rPr>
        <w:t xml:space="preserve"> </w:t>
      </w:r>
      <w:r w:rsidRPr="00664C1B">
        <w:rPr>
          <w:rFonts w:ascii="Times New Roman" w:eastAsia="Times New Roman" w:hAnsi="Times New Roman" w:cs="Times New Roman"/>
          <w:bCs/>
        </w:rPr>
        <w:t>% gyakorlat, 50 % elmélet</w:t>
      </w:r>
    </w:p>
    <w:p w:rsidR="00664C1B" w:rsidRPr="00664C1B" w:rsidRDefault="00664C1B" w:rsidP="00980876">
      <w:pPr>
        <w:widowControl w:val="0"/>
        <w:numPr>
          <w:ilvl w:val="0"/>
          <w:numId w:val="417"/>
        </w:numPr>
        <w:spacing w:before="120" w:after="120" w:line="240" w:lineRule="auto"/>
        <w:ind w:left="426" w:hanging="142"/>
        <w:jc w:val="both"/>
        <w:rPr>
          <w:rFonts w:ascii="Times New Roman" w:eastAsia="Times New Roman" w:hAnsi="Times New Roman" w:cs="Times New Roman"/>
          <w:bCs/>
        </w:rPr>
      </w:pPr>
      <w:r w:rsidRPr="00664C1B">
        <w:rPr>
          <w:rFonts w:ascii="Times New Roman" w:eastAsia="Times New Roman" w:hAnsi="Times New Roman" w:cs="Times New Roman"/>
          <w:b/>
          <w:bCs/>
        </w:rPr>
        <w:t>A szak(ok), szakirányok/specializációk megnevezése (ahol oktatják):</w:t>
      </w:r>
      <w:r w:rsidRPr="00664C1B">
        <w:rPr>
          <w:rFonts w:ascii="Times New Roman" w:eastAsia="Times New Roman" w:hAnsi="Times New Roman" w:cs="Times New Roman"/>
          <w:bCs/>
        </w:rPr>
        <w:t xml:space="preserve"> Katonai logisztika (</w:t>
      </w:r>
      <w:r w:rsidR="00137B8A">
        <w:rPr>
          <w:rFonts w:ascii="Times New Roman" w:eastAsia="Times New Roman" w:hAnsi="Times New Roman" w:cs="Times New Roman"/>
          <w:bCs/>
        </w:rPr>
        <w:t>BSc</w:t>
      </w:r>
      <w:r w:rsidRPr="00664C1B">
        <w:rPr>
          <w:rFonts w:ascii="Times New Roman" w:eastAsia="Times New Roman" w:hAnsi="Times New Roman" w:cs="Times New Roman"/>
          <w:bCs/>
        </w:rPr>
        <w:t>) alapképzési szak</w:t>
      </w:r>
    </w:p>
    <w:p w:rsidR="00664C1B" w:rsidRPr="00664C1B" w:rsidRDefault="00664C1B" w:rsidP="00980876">
      <w:pPr>
        <w:widowControl w:val="0"/>
        <w:numPr>
          <w:ilvl w:val="0"/>
          <w:numId w:val="417"/>
        </w:numPr>
        <w:tabs>
          <w:tab w:val="num" w:pos="567"/>
        </w:tabs>
        <w:spacing w:before="120" w:after="120" w:line="240" w:lineRule="auto"/>
        <w:ind w:left="426" w:hanging="142"/>
        <w:jc w:val="both"/>
        <w:rPr>
          <w:rFonts w:ascii="Times New Roman" w:eastAsia="Times New Roman" w:hAnsi="Times New Roman" w:cs="Times New Roman"/>
          <w:bCs/>
        </w:rPr>
      </w:pPr>
      <w:r w:rsidRPr="00664C1B">
        <w:rPr>
          <w:rFonts w:ascii="Times New Roman" w:eastAsia="Times New Roman" w:hAnsi="Times New Roman" w:cs="Times New Roman"/>
          <w:b/>
          <w:bCs/>
        </w:rPr>
        <w:t xml:space="preserve">Az oktatásért felelős oktatási szervezeti egység megnevezése: </w:t>
      </w:r>
      <w:r w:rsidRPr="00664C1B">
        <w:rPr>
          <w:rFonts w:ascii="Times New Roman" w:eastAsia="Times New Roman" w:hAnsi="Times New Roman" w:cs="Times New Roman"/>
          <w:bCs/>
        </w:rPr>
        <w:t>HHK Haditechnikai Tanszék</w:t>
      </w:r>
    </w:p>
    <w:p w:rsidR="00664C1B" w:rsidRPr="00664C1B" w:rsidRDefault="00664C1B" w:rsidP="00980876">
      <w:pPr>
        <w:widowControl w:val="0"/>
        <w:numPr>
          <w:ilvl w:val="0"/>
          <w:numId w:val="417"/>
        </w:numPr>
        <w:tabs>
          <w:tab w:val="num" w:pos="567"/>
        </w:tabs>
        <w:spacing w:before="120" w:after="120" w:line="240" w:lineRule="auto"/>
        <w:ind w:left="426" w:hanging="142"/>
        <w:jc w:val="both"/>
        <w:rPr>
          <w:rFonts w:ascii="Times New Roman" w:eastAsia="Times New Roman" w:hAnsi="Times New Roman" w:cs="Times New Roman"/>
          <w:bCs/>
        </w:rPr>
      </w:pPr>
      <w:r w:rsidRPr="00664C1B">
        <w:rPr>
          <w:rFonts w:ascii="Times New Roman" w:eastAsia="Times New Roman" w:hAnsi="Times New Roman" w:cs="Times New Roman"/>
          <w:b/>
          <w:bCs/>
        </w:rPr>
        <w:t>A tantárgyfelelős oktató neve, beosztása, tudományos fokozata:</w:t>
      </w:r>
      <w:r w:rsidRPr="00664C1B">
        <w:rPr>
          <w:rFonts w:ascii="Times New Roman" w:eastAsia="Times New Roman" w:hAnsi="Times New Roman" w:cs="Times New Roman"/>
          <w:bCs/>
        </w:rPr>
        <w:t xml:space="preserve"> </w:t>
      </w:r>
      <w:r w:rsidRPr="00664C1B">
        <w:rPr>
          <w:rFonts w:ascii="Times New Roman" w:eastAsia="Times New Roman" w:hAnsi="Times New Roman" w:cs="Times New Roman"/>
          <w:bCs/>
          <w:lang w:eastAsia="hu-HU"/>
        </w:rPr>
        <w:t>Dr. Hegedűs Ernő alezredes PhD, egyetemi docens</w:t>
      </w:r>
    </w:p>
    <w:p w:rsidR="00664C1B" w:rsidRPr="00664C1B" w:rsidRDefault="00664C1B" w:rsidP="00980876">
      <w:pPr>
        <w:widowControl w:val="0"/>
        <w:numPr>
          <w:ilvl w:val="0"/>
          <w:numId w:val="417"/>
        </w:numPr>
        <w:spacing w:before="120" w:after="120" w:line="240" w:lineRule="auto"/>
        <w:ind w:left="426" w:hanging="142"/>
        <w:jc w:val="both"/>
        <w:rPr>
          <w:rFonts w:ascii="Times New Roman" w:eastAsia="Times New Roman" w:hAnsi="Times New Roman" w:cs="Times New Roman"/>
          <w:bCs/>
        </w:rPr>
      </w:pPr>
      <w:r w:rsidRPr="00664C1B">
        <w:rPr>
          <w:rFonts w:ascii="Times New Roman" w:eastAsia="Times New Roman" w:hAnsi="Times New Roman" w:cs="Times New Roman"/>
          <w:b/>
          <w:bCs/>
        </w:rPr>
        <w:t>A tanórák száma és típusa</w:t>
      </w:r>
    </w:p>
    <w:p w:rsidR="00664C1B" w:rsidRPr="00664C1B" w:rsidRDefault="00664C1B" w:rsidP="00980876">
      <w:pPr>
        <w:widowControl w:val="0"/>
        <w:numPr>
          <w:ilvl w:val="1"/>
          <w:numId w:val="417"/>
        </w:numPr>
        <w:tabs>
          <w:tab w:val="clear" w:pos="3977"/>
          <w:tab w:val="num" w:pos="709"/>
          <w:tab w:val="num" w:pos="1566"/>
          <w:tab w:val="num" w:pos="2069"/>
        </w:tabs>
        <w:spacing w:before="120" w:after="120" w:line="240" w:lineRule="auto"/>
        <w:ind w:left="851" w:hanging="425"/>
        <w:jc w:val="both"/>
        <w:rPr>
          <w:rFonts w:ascii="Times New Roman" w:eastAsia="Times New Roman" w:hAnsi="Times New Roman" w:cs="Times New Roman"/>
          <w:bCs/>
        </w:rPr>
      </w:pPr>
      <w:r w:rsidRPr="00664C1B">
        <w:rPr>
          <w:rFonts w:ascii="Times New Roman" w:eastAsia="Times New Roman" w:hAnsi="Times New Roman" w:cs="Times New Roman"/>
          <w:bCs/>
        </w:rPr>
        <w:t>össz óraszám/félév: 28</w:t>
      </w:r>
    </w:p>
    <w:p w:rsidR="00664C1B" w:rsidRPr="00664C1B" w:rsidRDefault="00664C1B" w:rsidP="00980876">
      <w:pPr>
        <w:widowControl w:val="0"/>
        <w:numPr>
          <w:ilvl w:val="2"/>
          <w:numId w:val="417"/>
        </w:numPr>
        <w:tabs>
          <w:tab w:val="num" w:pos="709"/>
          <w:tab w:val="num" w:pos="1134"/>
        </w:tabs>
        <w:spacing w:before="120" w:after="120" w:line="240" w:lineRule="auto"/>
        <w:ind w:left="993" w:hanging="425"/>
        <w:jc w:val="both"/>
        <w:rPr>
          <w:rFonts w:ascii="Times New Roman" w:eastAsia="Times New Roman" w:hAnsi="Times New Roman" w:cs="Times New Roman"/>
          <w:bCs/>
        </w:rPr>
      </w:pPr>
      <w:r w:rsidRPr="00664C1B">
        <w:rPr>
          <w:rFonts w:ascii="Times New Roman" w:eastAsia="Times New Roman" w:hAnsi="Times New Roman" w:cs="Times New Roman"/>
          <w:bCs/>
        </w:rPr>
        <w:t>nappali munkarend: 28 (14 EA + -SZ + 14 GY)</w:t>
      </w:r>
    </w:p>
    <w:p w:rsidR="00664C1B" w:rsidRPr="00664C1B" w:rsidRDefault="00664C1B" w:rsidP="00980876">
      <w:pPr>
        <w:widowControl w:val="0"/>
        <w:numPr>
          <w:ilvl w:val="2"/>
          <w:numId w:val="417"/>
        </w:numPr>
        <w:tabs>
          <w:tab w:val="num" w:pos="709"/>
          <w:tab w:val="num" w:pos="1134"/>
        </w:tabs>
        <w:spacing w:before="120" w:after="120" w:line="240" w:lineRule="auto"/>
        <w:ind w:left="993" w:hanging="425"/>
        <w:jc w:val="both"/>
        <w:rPr>
          <w:rFonts w:ascii="Times New Roman" w:eastAsia="Times New Roman" w:hAnsi="Times New Roman" w:cs="Times New Roman"/>
          <w:bCs/>
        </w:rPr>
      </w:pPr>
      <w:r w:rsidRPr="00664C1B">
        <w:rPr>
          <w:rFonts w:ascii="Times New Roman" w:eastAsia="Times New Roman" w:hAnsi="Times New Roman" w:cs="Times New Roman"/>
          <w:bCs/>
        </w:rPr>
        <w:t>levelező munkarend: - (- EA + - SZ + - GY)</w:t>
      </w:r>
    </w:p>
    <w:p w:rsidR="00664C1B" w:rsidRPr="00664C1B" w:rsidRDefault="00664C1B" w:rsidP="00980876">
      <w:pPr>
        <w:widowControl w:val="0"/>
        <w:numPr>
          <w:ilvl w:val="1"/>
          <w:numId w:val="417"/>
        </w:numPr>
        <w:tabs>
          <w:tab w:val="clear" w:pos="3977"/>
          <w:tab w:val="num" w:pos="709"/>
          <w:tab w:val="num" w:pos="1566"/>
          <w:tab w:val="num" w:pos="2069"/>
        </w:tabs>
        <w:spacing w:before="120" w:after="120" w:line="240" w:lineRule="auto"/>
        <w:ind w:left="851" w:hanging="425"/>
        <w:jc w:val="both"/>
        <w:rPr>
          <w:rFonts w:ascii="Times New Roman" w:eastAsia="Times New Roman" w:hAnsi="Times New Roman" w:cs="Times New Roman"/>
          <w:bCs/>
        </w:rPr>
      </w:pPr>
      <w:r w:rsidRPr="00664C1B">
        <w:rPr>
          <w:rFonts w:ascii="Times New Roman" w:eastAsia="Times New Roman" w:hAnsi="Times New Roman" w:cs="Times New Roman"/>
          <w:bCs/>
        </w:rPr>
        <w:t>heti óraszám - nappali munkarend: 2 (1+1)</w:t>
      </w:r>
    </w:p>
    <w:p w:rsidR="00664C1B" w:rsidRPr="00664C1B" w:rsidRDefault="00664C1B" w:rsidP="00980876">
      <w:pPr>
        <w:widowControl w:val="0"/>
        <w:numPr>
          <w:ilvl w:val="1"/>
          <w:numId w:val="417"/>
        </w:numPr>
        <w:tabs>
          <w:tab w:val="clear" w:pos="3977"/>
          <w:tab w:val="num" w:pos="709"/>
          <w:tab w:val="num" w:pos="1566"/>
          <w:tab w:val="num" w:pos="2069"/>
        </w:tabs>
        <w:spacing w:before="120" w:after="120" w:line="240" w:lineRule="auto"/>
        <w:ind w:left="851" w:hanging="425"/>
        <w:jc w:val="both"/>
        <w:rPr>
          <w:rFonts w:ascii="Times New Roman" w:eastAsia="Times New Roman" w:hAnsi="Times New Roman" w:cs="Times New Roman"/>
          <w:bCs/>
        </w:rPr>
      </w:pPr>
      <w:r w:rsidRPr="00664C1B">
        <w:rPr>
          <w:rFonts w:ascii="Times New Roman" w:eastAsia="Calibri" w:hAnsi="Times New Roman" w:cs="Times New Roman"/>
        </w:rPr>
        <w:t>Az ismeret átadásában alkalmazandó további sajátos módok, jellemzők:</w:t>
      </w:r>
      <w:r w:rsidRPr="00664C1B">
        <w:rPr>
          <w:rFonts w:ascii="Calibri" w:eastAsia="Calibri" w:hAnsi="Calibri" w:cs="Times New Roman"/>
        </w:rPr>
        <w:t xml:space="preserve"> </w:t>
      </w:r>
      <w:r w:rsidRPr="00664C1B">
        <w:rPr>
          <w:rFonts w:ascii="Times New Roman" w:eastAsia="Calibri" w:hAnsi="Times New Roman" w:cs="Times New Roman"/>
        </w:rPr>
        <w:t>Az ismeretek feldolgozása vegyes tanulási program (blended learning) alapján történik.</w:t>
      </w:r>
    </w:p>
    <w:p w:rsidR="00664C1B" w:rsidRPr="00664C1B" w:rsidRDefault="00664C1B" w:rsidP="00980876">
      <w:pPr>
        <w:widowControl w:val="0"/>
        <w:numPr>
          <w:ilvl w:val="0"/>
          <w:numId w:val="417"/>
        </w:numPr>
        <w:spacing w:before="120" w:after="120" w:line="240" w:lineRule="auto"/>
        <w:ind w:left="851" w:hanging="491"/>
        <w:jc w:val="both"/>
        <w:rPr>
          <w:rFonts w:ascii="Times New Roman" w:eastAsia="Times New Roman" w:hAnsi="Times New Roman" w:cs="Times New Roman"/>
          <w:bCs/>
          <w:lang w:eastAsia="hu-HU"/>
        </w:rPr>
      </w:pPr>
      <w:r w:rsidRPr="00664C1B">
        <w:rPr>
          <w:rFonts w:ascii="Times New Roman" w:eastAsia="Times New Roman" w:hAnsi="Times New Roman" w:cs="Times New Roman"/>
          <w:b/>
          <w:bCs/>
        </w:rPr>
        <w:t xml:space="preserve">A tantárgy szakmai tartalma (magyarul): </w:t>
      </w:r>
      <w:r w:rsidRPr="00664C1B">
        <w:rPr>
          <w:rFonts w:ascii="Times New Roman" w:eastAsia="Times New Roman" w:hAnsi="Times New Roman" w:cs="Times New Roman"/>
          <w:bCs/>
          <w:lang w:eastAsia="hu-HU"/>
        </w:rPr>
        <w:t xml:space="preserve">Az anyagismeret alapfogalmai és főbb elvei. </w:t>
      </w:r>
      <w:r w:rsidRPr="00664C1B">
        <w:rPr>
          <w:rFonts w:ascii="Times New Roman" w:eastAsia="Times New Roman" w:hAnsi="Times New Roman" w:cs="Times New Roman"/>
          <w:bCs/>
        </w:rPr>
        <w:t>Az anyagok felosztása. Fémek mechanikai tulajdonságai, szerkezete. A fémrács hibái, az ötvözetek szerkezete. A fémek és az ötvözetek kristályosodása, vas-szén ötvözetek. Kompozitanyagok és műanyagok. Kerámiák. A kőolaj kitermelésének módszerei. Az atmoszférikus és a vákuumdesztillációs folyamatok. A kőolajtermékek átalakításának folyamatai. A Magyar Honvédségnél használatos üzemanyagok csoportosítása, a hajtó-, kenő- és karbantartó anyagok összetétele, fizikai-kémiai tulajdonságai és alkalmazásuk rendje.</w:t>
      </w:r>
    </w:p>
    <w:p w:rsidR="00664C1B" w:rsidRPr="00664C1B" w:rsidRDefault="00664C1B" w:rsidP="00664C1B">
      <w:pPr>
        <w:widowControl w:val="0"/>
        <w:spacing w:before="120" w:after="120" w:line="240" w:lineRule="auto"/>
        <w:ind w:left="426" w:firstLine="425"/>
        <w:jc w:val="both"/>
        <w:rPr>
          <w:rFonts w:ascii="Times New Roman" w:eastAsia="Times New Roman" w:hAnsi="Times New Roman" w:cs="Times New Roman"/>
          <w:bCs/>
          <w:lang w:eastAsia="hu-HU"/>
        </w:rPr>
      </w:pPr>
      <w:r w:rsidRPr="00664C1B">
        <w:rPr>
          <w:rFonts w:ascii="Times New Roman" w:eastAsia="Times New Roman" w:hAnsi="Times New Roman" w:cs="Times New Roman"/>
          <w:b/>
          <w:bCs/>
        </w:rPr>
        <w:t>A tantárgy szakmai tartalma (angolul) (</w:t>
      </w:r>
      <w:r w:rsidRPr="00664C1B">
        <w:rPr>
          <w:rFonts w:ascii="Times New Roman" w:eastAsia="Times New Roman" w:hAnsi="Times New Roman" w:cs="Times New Roman"/>
          <w:b/>
          <w:bCs/>
          <w:lang w:val="en-US"/>
        </w:rPr>
        <w:t>Course description</w:t>
      </w:r>
      <w:r w:rsidRPr="00664C1B">
        <w:rPr>
          <w:rFonts w:ascii="Times New Roman" w:eastAsia="Times New Roman" w:hAnsi="Times New Roman" w:cs="Times New Roman"/>
          <w:b/>
          <w:bCs/>
        </w:rPr>
        <w:t xml:space="preserve">): </w:t>
      </w:r>
    </w:p>
    <w:p w:rsidR="00664C1B" w:rsidRPr="00664C1B" w:rsidRDefault="00664C1B" w:rsidP="00664C1B">
      <w:pPr>
        <w:widowControl w:val="0"/>
        <w:spacing w:before="120" w:after="120" w:line="240" w:lineRule="auto"/>
        <w:ind w:left="851"/>
        <w:jc w:val="both"/>
        <w:rPr>
          <w:rFonts w:ascii="Times New Roman" w:eastAsia="Times New Roman" w:hAnsi="Times New Roman" w:cs="Times New Roman"/>
          <w:bCs/>
        </w:rPr>
      </w:pPr>
      <w:r w:rsidRPr="00664C1B">
        <w:rPr>
          <w:rFonts w:ascii="Times New Roman" w:eastAsia="Times New Roman" w:hAnsi="Times New Roman" w:cs="Times New Roman"/>
          <w:bCs/>
          <w:lang w:eastAsia="hu-HU"/>
        </w:rPr>
        <w:t xml:space="preserve">Basic terms and theories of the materials science. </w:t>
      </w:r>
      <w:r w:rsidRPr="00664C1B">
        <w:rPr>
          <w:rFonts w:ascii="Times New Roman" w:eastAsia="Times New Roman" w:hAnsi="Times New Roman" w:cs="Times New Roman"/>
          <w:bCs/>
        </w:rPr>
        <w:t>The types of materials. Mechanical properties of metal materials. The structure of the metal materials. Mistakes of the metal webs (crystall grids). The structure of the metal materials. Crystallization of the metal materials and the alloys. Composite and plastic materials. Ceramic materials. Methods of rock-oil yield. Methods of atmospheric and vacuum distillation. Transformation of oil products. Grouping of fuel used by the Hungarian Defence Forces. Composition, physico-chemical properties and the way of application of petrol, oil, lubricants (pol) and oil based maintenance materials.</w:t>
      </w:r>
    </w:p>
    <w:p w:rsidR="00664C1B" w:rsidRPr="00664C1B" w:rsidRDefault="00664C1B" w:rsidP="00980876">
      <w:pPr>
        <w:widowControl w:val="0"/>
        <w:numPr>
          <w:ilvl w:val="0"/>
          <w:numId w:val="417"/>
        </w:numPr>
        <w:spacing w:before="120" w:after="120" w:line="240" w:lineRule="auto"/>
        <w:contextualSpacing/>
        <w:jc w:val="both"/>
        <w:rPr>
          <w:rFonts w:ascii="Times New Roman" w:eastAsia="Times New Roman" w:hAnsi="Times New Roman" w:cs="Times New Roman"/>
          <w:bCs/>
        </w:rPr>
      </w:pPr>
      <w:r w:rsidRPr="00664C1B">
        <w:rPr>
          <w:rFonts w:ascii="Times New Roman" w:eastAsia="Times New Roman" w:hAnsi="Times New Roman" w:cs="Times New Roman"/>
          <w:b/>
          <w:bCs/>
        </w:rPr>
        <w:t xml:space="preserve">Elérendő kompetenciák (magyarul): </w:t>
      </w:r>
    </w:p>
    <w:p w:rsidR="00664C1B" w:rsidRPr="00664C1B" w:rsidRDefault="00664C1B" w:rsidP="00664C1B">
      <w:pPr>
        <w:widowControl w:val="0"/>
        <w:spacing w:before="120" w:after="120" w:line="240" w:lineRule="auto"/>
        <w:ind w:left="426"/>
        <w:jc w:val="both"/>
        <w:rPr>
          <w:rFonts w:ascii="Times New Roman" w:eastAsia="Times New Roman" w:hAnsi="Times New Roman" w:cs="Times New Roman"/>
          <w:bCs/>
        </w:rPr>
      </w:pPr>
      <w:r w:rsidRPr="00664C1B">
        <w:rPr>
          <w:rFonts w:ascii="Times New Roman" w:eastAsia="Times New Roman" w:hAnsi="Times New Roman" w:cs="Times New Roman"/>
          <w:b/>
          <w:bCs/>
        </w:rPr>
        <w:t>Tudása:</w:t>
      </w:r>
      <w:r w:rsidRPr="00664C1B">
        <w:rPr>
          <w:rFonts w:ascii="Times New Roman" w:eastAsia="Times New Roman" w:hAnsi="Times New Roman" w:cs="Times New Roman"/>
          <w:bCs/>
        </w:rPr>
        <w:t xml:space="preserve"> </w:t>
      </w:r>
    </w:p>
    <w:p w:rsidR="00664C1B" w:rsidRPr="00664C1B" w:rsidRDefault="00664C1B" w:rsidP="00C2057B">
      <w:pPr>
        <w:widowControl w:val="0"/>
        <w:numPr>
          <w:ilvl w:val="0"/>
          <w:numId w:val="100"/>
        </w:numPr>
        <w:spacing w:before="120" w:after="120" w:line="240" w:lineRule="auto"/>
        <w:contextualSpacing/>
        <w:jc w:val="both"/>
        <w:rPr>
          <w:rFonts w:ascii="Times New Roman" w:eastAsia="Times New Roman" w:hAnsi="Times New Roman" w:cs="Times New Roman"/>
          <w:bCs/>
        </w:rPr>
      </w:pPr>
      <w:r w:rsidRPr="00664C1B">
        <w:rPr>
          <w:rFonts w:ascii="Times New Roman" w:eastAsia="Times New Roman" w:hAnsi="Times New Roman" w:cs="Times New Roman"/>
          <w:bCs/>
        </w:rPr>
        <w:t xml:space="preserve">Ismeri a haditechnikai eszközben alkalmazott anyagok – fémek, műanyagok, kompozitok és kerámiák – alapvető jellemzőit, tulajdonságait. </w:t>
      </w:r>
    </w:p>
    <w:p w:rsidR="00664C1B" w:rsidRPr="00664C1B" w:rsidRDefault="00664C1B" w:rsidP="00C2057B">
      <w:pPr>
        <w:widowControl w:val="0"/>
        <w:numPr>
          <w:ilvl w:val="0"/>
          <w:numId w:val="100"/>
        </w:numPr>
        <w:spacing w:before="120" w:after="120" w:line="240" w:lineRule="auto"/>
        <w:contextualSpacing/>
        <w:jc w:val="both"/>
        <w:rPr>
          <w:rFonts w:ascii="Times New Roman" w:eastAsia="Times New Roman" w:hAnsi="Times New Roman" w:cs="Times New Roman"/>
          <w:bCs/>
        </w:rPr>
      </w:pPr>
      <w:r w:rsidRPr="00664C1B">
        <w:rPr>
          <w:rFonts w:ascii="Times New Roman" w:eastAsia="Times New Roman" w:hAnsi="Times New Roman" w:cs="Times New Roman"/>
          <w:bCs/>
        </w:rPr>
        <w:t>Ismeri a kőolaj kitermelésének módszereit, és a kőolajtermékek előállításának és átalakításának folyamatait.</w:t>
      </w:r>
    </w:p>
    <w:p w:rsidR="00664C1B" w:rsidRPr="00664C1B" w:rsidRDefault="00664C1B" w:rsidP="00664C1B">
      <w:pPr>
        <w:widowControl w:val="0"/>
        <w:spacing w:before="120" w:after="120" w:line="240" w:lineRule="auto"/>
        <w:ind w:left="426"/>
        <w:jc w:val="both"/>
        <w:rPr>
          <w:rFonts w:ascii="Times New Roman" w:eastAsia="Times New Roman" w:hAnsi="Times New Roman" w:cs="Times New Roman"/>
          <w:bCs/>
        </w:rPr>
      </w:pPr>
      <w:r w:rsidRPr="00664C1B">
        <w:rPr>
          <w:rFonts w:ascii="Times New Roman" w:eastAsia="Times New Roman" w:hAnsi="Times New Roman" w:cs="Times New Roman"/>
          <w:b/>
          <w:bCs/>
        </w:rPr>
        <w:lastRenderedPageBreak/>
        <w:t>Képességei:</w:t>
      </w:r>
      <w:r w:rsidRPr="00664C1B">
        <w:rPr>
          <w:rFonts w:ascii="Times New Roman" w:eastAsia="Times New Roman" w:hAnsi="Times New Roman" w:cs="Times New Roman"/>
          <w:bCs/>
        </w:rPr>
        <w:t xml:space="preserve"> </w:t>
      </w:r>
    </w:p>
    <w:p w:rsidR="00664C1B" w:rsidRPr="00664C1B" w:rsidRDefault="00664C1B" w:rsidP="00C2057B">
      <w:pPr>
        <w:widowControl w:val="0"/>
        <w:numPr>
          <w:ilvl w:val="0"/>
          <w:numId w:val="100"/>
        </w:numPr>
        <w:spacing w:before="120" w:after="120" w:line="240" w:lineRule="auto"/>
        <w:contextualSpacing/>
        <w:jc w:val="both"/>
        <w:rPr>
          <w:rFonts w:ascii="Times New Roman" w:eastAsia="Times New Roman" w:hAnsi="Times New Roman" w:cs="Times New Roman"/>
          <w:bCs/>
        </w:rPr>
      </w:pPr>
      <w:r w:rsidRPr="00664C1B">
        <w:rPr>
          <w:rFonts w:ascii="Times New Roman" w:eastAsia="Times New Roman" w:hAnsi="Times New Roman" w:cs="Times New Roman"/>
          <w:bCs/>
        </w:rPr>
        <w:t xml:space="preserve">Képes a haditechnikai eszközben alkalmazott anyagok – fémek, műanyagok, kompozitok és kerámiák – felismerésére. </w:t>
      </w:r>
    </w:p>
    <w:p w:rsidR="00664C1B" w:rsidRPr="00664C1B" w:rsidRDefault="00664C1B" w:rsidP="00C2057B">
      <w:pPr>
        <w:widowControl w:val="0"/>
        <w:numPr>
          <w:ilvl w:val="0"/>
          <w:numId w:val="100"/>
        </w:numPr>
        <w:spacing w:before="120" w:after="120" w:line="240" w:lineRule="auto"/>
        <w:contextualSpacing/>
        <w:jc w:val="both"/>
        <w:rPr>
          <w:rFonts w:ascii="Times New Roman" w:eastAsia="Times New Roman" w:hAnsi="Times New Roman" w:cs="Times New Roman"/>
          <w:bCs/>
        </w:rPr>
      </w:pPr>
      <w:r w:rsidRPr="00664C1B">
        <w:rPr>
          <w:rFonts w:ascii="Times New Roman" w:eastAsia="Times New Roman" w:hAnsi="Times New Roman" w:cs="Times New Roman"/>
          <w:bCs/>
        </w:rPr>
        <w:t>Képes továbbá a haditechnikai eszközben alkalmazott kőolajszármazékok – hajtó- és kenőanyagok – megkülönböztetésére.</w:t>
      </w:r>
    </w:p>
    <w:p w:rsidR="00664C1B" w:rsidRPr="00664C1B" w:rsidRDefault="00664C1B" w:rsidP="00664C1B">
      <w:pPr>
        <w:widowControl w:val="0"/>
        <w:spacing w:before="120" w:after="120" w:line="240" w:lineRule="auto"/>
        <w:ind w:left="426"/>
        <w:jc w:val="both"/>
        <w:rPr>
          <w:rFonts w:ascii="Times New Roman" w:eastAsia="Times New Roman" w:hAnsi="Times New Roman" w:cs="Times New Roman"/>
          <w:bCs/>
        </w:rPr>
      </w:pPr>
      <w:r w:rsidRPr="00664C1B">
        <w:rPr>
          <w:rFonts w:ascii="Times New Roman" w:eastAsia="Times New Roman" w:hAnsi="Times New Roman" w:cs="Times New Roman"/>
          <w:b/>
          <w:bCs/>
        </w:rPr>
        <w:t>Attitűdje:</w:t>
      </w:r>
      <w:r w:rsidRPr="00664C1B">
        <w:rPr>
          <w:rFonts w:ascii="Times New Roman" w:eastAsia="Times New Roman" w:hAnsi="Times New Roman" w:cs="Times New Roman"/>
          <w:bCs/>
        </w:rPr>
        <w:t xml:space="preserve"> </w:t>
      </w:r>
    </w:p>
    <w:p w:rsidR="00664C1B" w:rsidRPr="00664C1B" w:rsidRDefault="00664C1B" w:rsidP="00C2057B">
      <w:pPr>
        <w:widowControl w:val="0"/>
        <w:numPr>
          <w:ilvl w:val="0"/>
          <w:numId w:val="100"/>
        </w:numPr>
        <w:spacing w:before="120" w:after="120" w:line="240" w:lineRule="auto"/>
        <w:contextualSpacing/>
        <w:jc w:val="both"/>
        <w:rPr>
          <w:rFonts w:ascii="Times New Roman" w:eastAsia="Times New Roman" w:hAnsi="Times New Roman" w:cs="Times New Roman"/>
          <w:bCs/>
        </w:rPr>
      </w:pPr>
      <w:r w:rsidRPr="00664C1B">
        <w:rPr>
          <w:rFonts w:ascii="Times New Roman" w:eastAsia="Times New Roman" w:hAnsi="Times New Roman" w:cs="Times New Roman"/>
          <w:bCs/>
        </w:rPr>
        <w:t xml:space="preserve">Nyitott a haditechnikai eszközben alkalmazott anyagokkal kapcsolatos ismereteinek gyarapítása iránt, folyamatos önképzési igény jellemzi. </w:t>
      </w:r>
    </w:p>
    <w:p w:rsidR="00664C1B" w:rsidRPr="00664C1B" w:rsidRDefault="00664C1B" w:rsidP="00C2057B">
      <w:pPr>
        <w:widowControl w:val="0"/>
        <w:numPr>
          <w:ilvl w:val="0"/>
          <w:numId w:val="100"/>
        </w:numPr>
        <w:spacing w:before="120" w:after="120" w:line="240" w:lineRule="auto"/>
        <w:contextualSpacing/>
        <w:jc w:val="both"/>
        <w:rPr>
          <w:rFonts w:ascii="Times New Roman" w:eastAsia="Times New Roman" w:hAnsi="Times New Roman" w:cs="Times New Roman"/>
          <w:bCs/>
        </w:rPr>
      </w:pPr>
      <w:r w:rsidRPr="00664C1B">
        <w:rPr>
          <w:rFonts w:ascii="Times New Roman" w:eastAsia="Times New Roman" w:hAnsi="Times New Roman" w:cs="Times New Roman"/>
          <w:bCs/>
        </w:rPr>
        <w:t xml:space="preserve">Törekszik szakmai ismeretei bővítésére munkája során. </w:t>
      </w:r>
    </w:p>
    <w:p w:rsidR="00664C1B" w:rsidRPr="00664C1B" w:rsidRDefault="00664C1B" w:rsidP="00C2057B">
      <w:pPr>
        <w:widowControl w:val="0"/>
        <w:numPr>
          <w:ilvl w:val="0"/>
          <w:numId w:val="100"/>
        </w:numPr>
        <w:spacing w:before="120" w:after="120" w:line="240" w:lineRule="auto"/>
        <w:contextualSpacing/>
        <w:jc w:val="both"/>
        <w:rPr>
          <w:rFonts w:ascii="Times New Roman" w:eastAsia="Times New Roman" w:hAnsi="Times New Roman" w:cs="Times New Roman"/>
          <w:bCs/>
        </w:rPr>
      </w:pPr>
      <w:r w:rsidRPr="00664C1B">
        <w:rPr>
          <w:rFonts w:ascii="Times New Roman" w:eastAsia="Times New Roman" w:hAnsi="Times New Roman" w:cs="Times New Roman"/>
          <w:bCs/>
        </w:rPr>
        <w:t>Nyitott a haditechnikai szakterület új eredményei felé, törekszik azok megismerésére.</w:t>
      </w:r>
    </w:p>
    <w:p w:rsidR="00664C1B" w:rsidRPr="00664C1B" w:rsidRDefault="00664C1B" w:rsidP="00664C1B">
      <w:pPr>
        <w:widowControl w:val="0"/>
        <w:spacing w:before="120" w:after="120" w:line="240" w:lineRule="auto"/>
        <w:ind w:left="426"/>
        <w:jc w:val="both"/>
        <w:rPr>
          <w:rFonts w:ascii="Times New Roman" w:eastAsia="Times New Roman" w:hAnsi="Times New Roman" w:cs="Times New Roman"/>
          <w:bCs/>
        </w:rPr>
      </w:pPr>
      <w:r w:rsidRPr="00664C1B">
        <w:rPr>
          <w:rFonts w:ascii="Times New Roman" w:eastAsia="Times New Roman" w:hAnsi="Times New Roman" w:cs="Times New Roman"/>
          <w:b/>
          <w:bCs/>
        </w:rPr>
        <w:t>Autonómiája és felelőssége:</w:t>
      </w:r>
      <w:r w:rsidRPr="00664C1B">
        <w:rPr>
          <w:rFonts w:ascii="Times New Roman" w:eastAsia="Times New Roman" w:hAnsi="Times New Roman" w:cs="Times New Roman"/>
          <w:bCs/>
        </w:rPr>
        <w:t xml:space="preserve"> </w:t>
      </w:r>
    </w:p>
    <w:p w:rsidR="00664C1B" w:rsidRPr="00664C1B" w:rsidRDefault="00664C1B" w:rsidP="00C2057B">
      <w:pPr>
        <w:widowControl w:val="0"/>
        <w:numPr>
          <w:ilvl w:val="0"/>
          <w:numId w:val="100"/>
        </w:numPr>
        <w:spacing w:before="120" w:after="120" w:line="240" w:lineRule="auto"/>
        <w:contextualSpacing/>
        <w:jc w:val="both"/>
        <w:rPr>
          <w:rFonts w:ascii="Times New Roman" w:eastAsia="Times New Roman" w:hAnsi="Times New Roman" w:cs="Times New Roman"/>
          <w:bCs/>
        </w:rPr>
      </w:pPr>
      <w:r w:rsidRPr="00664C1B">
        <w:rPr>
          <w:rFonts w:ascii="Times New Roman" w:eastAsia="Times New Roman" w:hAnsi="Times New Roman" w:cs="Times New Roman"/>
          <w:bCs/>
        </w:rPr>
        <w:t xml:space="preserve">Képes alárendeltjeinek feladatait megszervezni és meghatározni, valamint elvégzett munkájukat szakmai szempontok alapján ellenőrizni. </w:t>
      </w:r>
    </w:p>
    <w:p w:rsidR="00664C1B" w:rsidRPr="00664C1B" w:rsidRDefault="00664C1B" w:rsidP="00C2057B">
      <w:pPr>
        <w:widowControl w:val="0"/>
        <w:numPr>
          <w:ilvl w:val="0"/>
          <w:numId w:val="100"/>
        </w:numPr>
        <w:spacing w:before="120" w:after="120" w:line="240" w:lineRule="auto"/>
        <w:contextualSpacing/>
        <w:jc w:val="both"/>
        <w:rPr>
          <w:rFonts w:ascii="Times New Roman" w:eastAsia="Times New Roman" w:hAnsi="Times New Roman" w:cs="Times New Roman"/>
          <w:bCs/>
        </w:rPr>
      </w:pPr>
      <w:r w:rsidRPr="00664C1B">
        <w:rPr>
          <w:rFonts w:ascii="Times New Roman" w:eastAsia="Times New Roman" w:hAnsi="Times New Roman" w:cs="Times New Roman"/>
          <w:bCs/>
        </w:rPr>
        <w:t xml:space="preserve">A haditechnikai eszközök technikai kiszolgálása és javítása során képes elemzések végrehajtása után a legmegfelelőbb döntéseket meghozni, amely döntésekért a szakmai felelősséget vállalja. </w:t>
      </w:r>
    </w:p>
    <w:p w:rsidR="00664C1B" w:rsidRPr="00664C1B" w:rsidRDefault="00664C1B" w:rsidP="00C2057B">
      <w:pPr>
        <w:widowControl w:val="0"/>
        <w:numPr>
          <w:ilvl w:val="0"/>
          <w:numId w:val="100"/>
        </w:numPr>
        <w:spacing w:before="120" w:after="120" w:line="240" w:lineRule="auto"/>
        <w:contextualSpacing/>
        <w:jc w:val="both"/>
        <w:rPr>
          <w:rFonts w:ascii="Times New Roman" w:eastAsia="Times New Roman" w:hAnsi="Times New Roman" w:cs="Times New Roman"/>
          <w:bCs/>
        </w:rPr>
      </w:pPr>
      <w:r w:rsidRPr="00664C1B">
        <w:rPr>
          <w:rFonts w:ascii="Times New Roman" w:eastAsia="Times New Roman" w:hAnsi="Times New Roman" w:cs="Times New Roman"/>
          <w:bCs/>
        </w:rPr>
        <w:t xml:space="preserve">Együttműködés és felelősség jellemzi szakterületének szakembereivel szemben. </w:t>
      </w:r>
    </w:p>
    <w:p w:rsidR="00664C1B" w:rsidRPr="00664C1B" w:rsidRDefault="00664C1B" w:rsidP="00C2057B">
      <w:pPr>
        <w:widowControl w:val="0"/>
        <w:numPr>
          <w:ilvl w:val="0"/>
          <w:numId w:val="100"/>
        </w:numPr>
        <w:spacing w:before="120" w:after="120" w:line="240" w:lineRule="auto"/>
        <w:contextualSpacing/>
        <w:jc w:val="both"/>
        <w:rPr>
          <w:rFonts w:ascii="Times New Roman" w:eastAsia="Times New Roman" w:hAnsi="Times New Roman" w:cs="Times New Roman"/>
          <w:bCs/>
        </w:rPr>
      </w:pPr>
      <w:r w:rsidRPr="00664C1B">
        <w:rPr>
          <w:rFonts w:ascii="Times New Roman" w:eastAsia="Times New Roman" w:hAnsi="Times New Roman" w:cs="Times New Roman"/>
          <w:bCs/>
        </w:rPr>
        <w:t>Szakterületén belül képes rendszer-szemléletűen gondolkodni.</w:t>
      </w:r>
    </w:p>
    <w:p w:rsidR="00664C1B" w:rsidRPr="00664C1B" w:rsidRDefault="00664C1B" w:rsidP="00664C1B">
      <w:pPr>
        <w:widowControl w:val="0"/>
        <w:spacing w:before="120" w:after="120" w:line="240" w:lineRule="auto"/>
        <w:ind w:left="426"/>
        <w:jc w:val="both"/>
        <w:rPr>
          <w:rFonts w:ascii="Times New Roman" w:eastAsia="Times New Roman" w:hAnsi="Times New Roman" w:cs="Times New Roman"/>
          <w:b/>
          <w:bCs/>
          <w:lang w:val="en-US"/>
        </w:rPr>
      </w:pPr>
      <w:r w:rsidRPr="00664C1B">
        <w:rPr>
          <w:rFonts w:ascii="Times New Roman" w:eastAsia="Times New Roman" w:hAnsi="Times New Roman" w:cs="Times New Roman"/>
          <w:b/>
          <w:bCs/>
        </w:rPr>
        <w:t>Elérendő kompetenciák (angolul) (</w:t>
      </w:r>
      <w:r w:rsidRPr="00664C1B">
        <w:rPr>
          <w:rFonts w:ascii="Times New Roman" w:eastAsia="Times New Roman" w:hAnsi="Times New Roman" w:cs="Times New Roman"/>
          <w:b/>
          <w:bCs/>
          <w:lang w:val="en-US"/>
        </w:rPr>
        <w:t xml:space="preserve">Competences – English): </w:t>
      </w:r>
    </w:p>
    <w:p w:rsidR="00664C1B" w:rsidRPr="00664C1B" w:rsidRDefault="00664C1B" w:rsidP="00664C1B">
      <w:pPr>
        <w:widowControl w:val="0"/>
        <w:spacing w:before="120" w:after="120" w:line="240" w:lineRule="auto"/>
        <w:ind w:left="426"/>
        <w:jc w:val="both"/>
        <w:rPr>
          <w:rFonts w:ascii="Times New Roman" w:eastAsia="Times New Roman" w:hAnsi="Times New Roman" w:cs="Times New Roman"/>
          <w:lang w:val="en-GB"/>
        </w:rPr>
      </w:pPr>
      <w:r w:rsidRPr="00664C1B">
        <w:rPr>
          <w:rFonts w:ascii="Times New Roman" w:eastAsia="Times New Roman" w:hAnsi="Times New Roman" w:cs="Times New Roman"/>
          <w:b/>
          <w:lang w:val="en-GB"/>
        </w:rPr>
        <w:t>Knowledge</w:t>
      </w:r>
      <w:r w:rsidRPr="00664C1B">
        <w:rPr>
          <w:rFonts w:ascii="Times New Roman" w:eastAsia="Times New Roman" w:hAnsi="Times New Roman" w:cs="Times New Roman"/>
          <w:lang w:val="en-GB"/>
        </w:rPr>
        <w:t xml:space="preserve">: </w:t>
      </w:r>
    </w:p>
    <w:p w:rsidR="00664C1B" w:rsidRPr="00664C1B" w:rsidRDefault="00664C1B" w:rsidP="00C2057B">
      <w:pPr>
        <w:widowControl w:val="0"/>
        <w:numPr>
          <w:ilvl w:val="0"/>
          <w:numId w:val="100"/>
        </w:numPr>
        <w:spacing w:before="120" w:after="120" w:line="240" w:lineRule="auto"/>
        <w:contextualSpacing/>
        <w:jc w:val="both"/>
        <w:rPr>
          <w:rFonts w:ascii="Times New Roman" w:eastAsia="Times New Roman" w:hAnsi="Times New Roman" w:cs="Times New Roman"/>
          <w:bCs/>
        </w:rPr>
      </w:pPr>
      <w:r w:rsidRPr="00664C1B">
        <w:rPr>
          <w:rFonts w:ascii="Times New Roman" w:eastAsia="Times New Roman" w:hAnsi="Times New Roman" w:cs="Times New Roman"/>
          <w:bCs/>
        </w:rPr>
        <w:t xml:space="preserve">Knows as well as the the basic terms and theories of the materials science. </w:t>
      </w:r>
    </w:p>
    <w:p w:rsidR="00664C1B" w:rsidRPr="00664C1B" w:rsidRDefault="00664C1B" w:rsidP="00C2057B">
      <w:pPr>
        <w:widowControl w:val="0"/>
        <w:numPr>
          <w:ilvl w:val="0"/>
          <w:numId w:val="100"/>
        </w:numPr>
        <w:spacing w:before="120" w:after="120" w:line="240" w:lineRule="auto"/>
        <w:contextualSpacing/>
        <w:jc w:val="both"/>
        <w:rPr>
          <w:rFonts w:ascii="Times New Roman" w:eastAsia="Times New Roman" w:hAnsi="Times New Roman" w:cs="Times New Roman"/>
          <w:bCs/>
        </w:rPr>
      </w:pPr>
      <w:r w:rsidRPr="00664C1B">
        <w:rPr>
          <w:rFonts w:ascii="Times New Roman" w:eastAsia="Times New Roman" w:hAnsi="Times New Roman" w:cs="Times New Roman"/>
          <w:bCs/>
        </w:rPr>
        <w:t xml:space="preserve">Knows the types of materials and the mechanical properties of metal materials. </w:t>
      </w:r>
    </w:p>
    <w:p w:rsidR="00664C1B" w:rsidRPr="00664C1B" w:rsidRDefault="00664C1B" w:rsidP="00C2057B">
      <w:pPr>
        <w:widowControl w:val="0"/>
        <w:numPr>
          <w:ilvl w:val="0"/>
          <w:numId w:val="100"/>
        </w:numPr>
        <w:spacing w:before="120" w:after="120" w:line="240" w:lineRule="auto"/>
        <w:contextualSpacing/>
        <w:jc w:val="both"/>
        <w:rPr>
          <w:rFonts w:ascii="Times New Roman" w:eastAsia="Times New Roman" w:hAnsi="Times New Roman" w:cs="Times New Roman"/>
          <w:bCs/>
        </w:rPr>
      </w:pPr>
      <w:r w:rsidRPr="00664C1B">
        <w:rPr>
          <w:rFonts w:ascii="Times New Roman" w:eastAsia="Times New Roman" w:hAnsi="Times New Roman" w:cs="Times New Roman"/>
          <w:bCs/>
        </w:rPr>
        <w:t xml:space="preserve">Knows the structure of the metal materials and the mistakes of the metal webs (crystal grid). </w:t>
      </w:r>
    </w:p>
    <w:p w:rsidR="00664C1B" w:rsidRPr="00664C1B" w:rsidRDefault="00664C1B" w:rsidP="00C2057B">
      <w:pPr>
        <w:widowControl w:val="0"/>
        <w:numPr>
          <w:ilvl w:val="0"/>
          <w:numId w:val="100"/>
        </w:numPr>
        <w:spacing w:before="120" w:after="120" w:line="240" w:lineRule="auto"/>
        <w:contextualSpacing/>
        <w:jc w:val="both"/>
        <w:rPr>
          <w:rFonts w:ascii="Times New Roman" w:eastAsia="Times New Roman" w:hAnsi="Times New Roman" w:cs="Times New Roman"/>
          <w:bCs/>
        </w:rPr>
      </w:pPr>
      <w:r w:rsidRPr="00664C1B">
        <w:rPr>
          <w:rFonts w:ascii="Times New Roman" w:eastAsia="Times New Roman" w:hAnsi="Times New Roman" w:cs="Times New Roman"/>
          <w:bCs/>
        </w:rPr>
        <w:t xml:space="preserve">Knows the structure of the metal materials. </w:t>
      </w:r>
    </w:p>
    <w:p w:rsidR="00664C1B" w:rsidRPr="00664C1B" w:rsidRDefault="00664C1B" w:rsidP="00C2057B">
      <w:pPr>
        <w:widowControl w:val="0"/>
        <w:numPr>
          <w:ilvl w:val="0"/>
          <w:numId w:val="100"/>
        </w:numPr>
        <w:spacing w:before="120" w:after="120" w:line="240" w:lineRule="auto"/>
        <w:contextualSpacing/>
        <w:jc w:val="both"/>
        <w:rPr>
          <w:rFonts w:ascii="Times New Roman" w:eastAsia="Times New Roman" w:hAnsi="Times New Roman" w:cs="Times New Roman"/>
          <w:bCs/>
        </w:rPr>
      </w:pPr>
      <w:r w:rsidRPr="00664C1B">
        <w:rPr>
          <w:rFonts w:ascii="Times New Roman" w:eastAsia="Times New Roman" w:hAnsi="Times New Roman" w:cs="Times New Roman"/>
          <w:bCs/>
        </w:rPr>
        <w:t xml:space="preserve">Knows the crystallization of the metal materials and the alloys. </w:t>
      </w:r>
    </w:p>
    <w:p w:rsidR="00664C1B" w:rsidRPr="00664C1B" w:rsidRDefault="00664C1B" w:rsidP="00C2057B">
      <w:pPr>
        <w:widowControl w:val="0"/>
        <w:numPr>
          <w:ilvl w:val="0"/>
          <w:numId w:val="100"/>
        </w:numPr>
        <w:spacing w:before="120" w:after="120" w:line="240" w:lineRule="auto"/>
        <w:contextualSpacing/>
        <w:jc w:val="both"/>
        <w:rPr>
          <w:rFonts w:ascii="Times New Roman" w:eastAsia="Times New Roman" w:hAnsi="Times New Roman" w:cs="Times New Roman"/>
          <w:bCs/>
        </w:rPr>
      </w:pPr>
      <w:r w:rsidRPr="00664C1B">
        <w:rPr>
          <w:rFonts w:ascii="Times New Roman" w:eastAsia="Times New Roman" w:hAnsi="Times New Roman" w:cs="Times New Roman"/>
          <w:bCs/>
        </w:rPr>
        <w:t>Knows the composite and plastic materials and the ceramic materials.</w:t>
      </w:r>
    </w:p>
    <w:p w:rsidR="00664C1B" w:rsidRPr="00664C1B" w:rsidRDefault="00664C1B" w:rsidP="00C2057B">
      <w:pPr>
        <w:widowControl w:val="0"/>
        <w:numPr>
          <w:ilvl w:val="0"/>
          <w:numId w:val="100"/>
        </w:numPr>
        <w:spacing w:before="120" w:after="120" w:line="240" w:lineRule="auto"/>
        <w:contextualSpacing/>
        <w:jc w:val="both"/>
        <w:rPr>
          <w:rFonts w:ascii="Times New Roman" w:eastAsia="Times New Roman" w:hAnsi="Times New Roman" w:cs="Times New Roman"/>
          <w:bCs/>
        </w:rPr>
      </w:pPr>
      <w:r w:rsidRPr="00664C1B">
        <w:rPr>
          <w:rFonts w:ascii="Times New Roman" w:eastAsia="Times New Roman" w:hAnsi="Times New Roman" w:cs="Times New Roman"/>
          <w:bCs/>
        </w:rPr>
        <w:t>Knows the methods of rock-oil yield and the methods of atmospheric and vacuum distillation. Knows the transformation of oil products.</w:t>
      </w:r>
    </w:p>
    <w:p w:rsidR="00664C1B" w:rsidRPr="00664C1B" w:rsidRDefault="00664C1B" w:rsidP="00664C1B">
      <w:pPr>
        <w:widowControl w:val="0"/>
        <w:spacing w:before="120" w:after="120" w:line="240" w:lineRule="auto"/>
        <w:ind w:left="426"/>
        <w:jc w:val="both"/>
        <w:rPr>
          <w:rFonts w:ascii="Times New Roman" w:eastAsia="Times New Roman" w:hAnsi="Times New Roman" w:cs="Times New Roman"/>
          <w:lang w:val="en-GB"/>
        </w:rPr>
      </w:pPr>
      <w:r w:rsidRPr="00664C1B">
        <w:rPr>
          <w:rFonts w:ascii="Times New Roman" w:eastAsia="Times New Roman" w:hAnsi="Times New Roman" w:cs="Times New Roman"/>
          <w:b/>
          <w:lang w:val="en-GB"/>
        </w:rPr>
        <w:t>Capabilities</w:t>
      </w:r>
      <w:r w:rsidRPr="00664C1B">
        <w:rPr>
          <w:rFonts w:ascii="Times New Roman" w:eastAsia="Times New Roman" w:hAnsi="Times New Roman" w:cs="Times New Roman"/>
          <w:lang w:val="en-GB"/>
        </w:rPr>
        <w:t xml:space="preserve">: </w:t>
      </w:r>
    </w:p>
    <w:p w:rsidR="00664C1B" w:rsidRPr="00664C1B" w:rsidRDefault="00664C1B" w:rsidP="00C2057B">
      <w:pPr>
        <w:widowControl w:val="0"/>
        <w:numPr>
          <w:ilvl w:val="0"/>
          <w:numId w:val="100"/>
        </w:numPr>
        <w:spacing w:before="120" w:after="120" w:line="240" w:lineRule="auto"/>
        <w:contextualSpacing/>
        <w:jc w:val="both"/>
        <w:rPr>
          <w:rFonts w:ascii="Times New Roman" w:eastAsia="Times New Roman" w:hAnsi="Times New Roman" w:cs="Times New Roman"/>
          <w:bCs/>
        </w:rPr>
      </w:pPr>
      <w:r w:rsidRPr="00664C1B">
        <w:rPr>
          <w:rFonts w:ascii="Times New Roman" w:eastAsia="Times New Roman" w:hAnsi="Times New Roman" w:cs="Times New Roman"/>
          <w:bCs/>
        </w:rPr>
        <w:t xml:space="preserve">Is capable of recogniseing the the basic terms and theories of the materials science. </w:t>
      </w:r>
    </w:p>
    <w:p w:rsidR="00664C1B" w:rsidRPr="00664C1B" w:rsidRDefault="00664C1B" w:rsidP="00C2057B">
      <w:pPr>
        <w:widowControl w:val="0"/>
        <w:numPr>
          <w:ilvl w:val="0"/>
          <w:numId w:val="100"/>
        </w:numPr>
        <w:spacing w:before="120" w:after="120" w:line="240" w:lineRule="auto"/>
        <w:contextualSpacing/>
        <w:jc w:val="both"/>
        <w:rPr>
          <w:rFonts w:ascii="Times New Roman" w:eastAsia="Times New Roman" w:hAnsi="Times New Roman" w:cs="Times New Roman"/>
          <w:bCs/>
        </w:rPr>
      </w:pPr>
      <w:r w:rsidRPr="00664C1B">
        <w:rPr>
          <w:rFonts w:ascii="Times New Roman" w:eastAsia="Times New Roman" w:hAnsi="Times New Roman" w:cs="Times New Roman"/>
          <w:bCs/>
        </w:rPr>
        <w:t xml:space="preserve">Is capable of distinguishing the types of materials. </w:t>
      </w:r>
    </w:p>
    <w:p w:rsidR="00664C1B" w:rsidRPr="00664C1B" w:rsidRDefault="00664C1B" w:rsidP="00C2057B">
      <w:pPr>
        <w:widowControl w:val="0"/>
        <w:numPr>
          <w:ilvl w:val="0"/>
          <w:numId w:val="100"/>
        </w:numPr>
        <w:spacing w:before="120" w:after="120" w:line="240" w:lineRule="auto"/>
        <w:contextualSpacing/>
        <w:jc w:val="both"/>
        <w:rPr>
          <w:rFonts w:ascii="Times New Roman" w:eastAsia="Times New Roman" w:hAnsi="Times New Roman" w:cs="Times New Roman"/>
          <w:bCs/>
        </w:rPr>
      </w:pPr>
      <w:r w:rsidRPr="00664C1B">
        <w:rPr>
          <w:rFonts w:ascii="Times New Roman" w:eastAsia="Times New Roman" w:hAnsi="Times New Roman" w:cs="Times New Roman"/>
          <w:bCs/>
        </w:rPr>
        <w:t xml:space="preserve">Is capable of recogniseing the mechanical properties of metal materials. </w:t>
      </w:r>
    </w:p>
    <w:p w:rsidR="00664C1B" w:rsidRPr="00664C1B" w:rsidRDefault="00664C1B" w:rsidP="00C2057B">
      <w:pPr>
        <w:widowControl w:val="0"/>
        <w:numPr>
          <w:ilvl w:val="0"/>
          <w:numId w:val="100"/>
        </w:numPr>
        <w:spacing w:before="120" w:after="120" w:line="240" w:lineRule="auto"/>
        <w:contextualSpacing/>
        <w:jc w:val="both"/>
        <w:rPr>
          <w:rFonts w:ascii="Times New Roman" w:eastAsia="Times New Roman" w:hAnsi="Times New Roman" w:cs="Times New Roman"/>
          <w:bCs/>
        </w:rPr>
      </w:pPr>
      <w:r w:rsidRPr="00664C1B">
        <w:rPr>
          <w:rFonts w:ascii="Times New Roman" w:eastAsia="Times New Roman" w:hAnsi="Times New Roman" w:cs="Times New Roman"/>
          <w:bCs/>
        </w:rPr>
        <w:t xml:space="preserve">Is capable of distinguishing the structure of the metal materials and the mistakes of the metal webs (crystal grid). </w:t>
      </w:r>
    </w:p>
    <w:p w:rsidR="00664C1B" w:rsidRPr="00664C1B" w:rsidRDefault="00664C1B" w:rsidP="00C2057B">
      <w:pPr>
        <w:widowControl w:val="0"/>
        <w:numPr>
          <w:ilvl w:val="0"/>
          <w:numId w:val="100"/>
        </w:numPr>
        <w:spacing w:before="120" w:after="120" w:line="240" w:lineRule="auto"/>
        <w:contextualSpacing/>
        <w:jc w:val="both"/>
        <w:rPr>
          <w:rFonts w:ascii="Times New Roman" w:eastAsia="Times New Roman" w:hAnsi="Times New Roman" w:cs="Times New Roman"/>
          <w:bCs/>
        </w:rPr>
      </w:pPr>
      <w:r w:rsidRPr="00664C1B">
        <w:rPr>
          <w:rFonts w:ascii="Times New Roman" w:eastAsia="Times New Roman" w:hAnsi="Times New Roman" w:cs="Times New Roman"/>
          <w:bCs/>
        </w:rPr>
        <w:t xml:space="preserve">Is capable of recogniseing the structure of the metal materials. </w:t>
      </w:r>
    </w:p>
    <w:p w:rsidR="00664C1B" w:rsidRPr="00664C1B" w:rsidRDefault="00664C1B" w:rsidP="00C2057B">
      <w:pPr>
        <w:widowControl w:val="0"/>
        <w:numPr>
          <w:ilvl w:val="0"/>
          <w:numId w:val="100"/>
        </w:numPr>
        <w:spacing w:before="120" w:after="120" w:line="240" w:lineRule="auto"/>
        <w:contextualSpacing/>
        <w:jc w:val="both"/>
        <w:rPr>
          <w:rFonts w:ascii="Times New Roman" w:eastAsia="Times New Roman" w:hAnsi="Times New Roman" w:cs="Times New Roman"/>
          <w:bCs/>
        </w:rPr>
      </w:pPr>
      <w:r w:rsidRPr="00664C1B">
        <w:rPr>
          <w:rFonts w:ascii="Times New Roman" w:eastAsia="Times New Roman" w:hAnsi="Times New Roman" w:cs="Times New Roman"/>
          <w:bCs/>
        </w:rPr>
        <w:t xml:space="preserve">Is capable of distinguishing the cyistallization of the metal materials and the alloys. </w:t>
      </w:r>
    </w:p>
    <w:p w:rsidR="00664C1B" w:rsidRPr="00664C1B" w:rsidRDefault="00664C1B" w:rsidP="00C2057B">
      <w:pPr>
        <w:widowControl w:val="0"/>
        <w:numPr>
          <w:ilvl w:val="0"/>
          <w:numId w:val="100"/>
        </w:numPr>
        <w:spacing w:before="120" w:after="120" w:line="240" w:lineRule="auto"/>
        <w:contextualSpacing/>
        <w:jc w:val="both"/>
        <w:rPr>
          <w:rFonts w:ascii="Times New Roman" w:eastAsia="Times New Roman" w:hAnsi="Times New Roman" w:cs="Times New Roman"/>
          <w:bCs/>
        </w:rPr>
      </w:pPr>
      <w:r w:rsidRPr="00664C1B">
        <w:rPr>
          <w:rFonts w:ascii="Times New Roman" w:eastAsia="Times New Roman" w:hAnsi="Times New Roman" w:cs="Times New Roman"/>
          <w:bCs/>
        </w:rPr>
        <w:t xml:space="preserve">Is capable of recogniseing the composite and plastic materials and the ceramic materials. </w:t>
      </w:r>
    </w:p>
    <w:p w:rsidR="00664C1B" w:rsidRPr="00664C1B" w:rsidRDefault="00664C1B" w:rsidP="00C2057B">
      <w:pPr>
        <w:widowControl w:val="0"/>
        <w:numPr>
          <w:ilvl w:val="0"/>
          <w:numId w:val="100"/>
        </w:numPr>
        <w:spacing w:before="120" w:after="120" w:line="240" w:lineRule="auto"/>
        <w:contextualSpacing/>
        <w:jc w:val="both"/>
        <w:rPr>
          <w:rFonts w:ascii="Times New Roman" w:eastAsia="Times New Roman" w:hAnsi="Times New Roman" w:cs="Times New Roman"/>
          <w:bCs/>
        </w:rPr>
      </w:pPr>
      <w:r w:rsidRPr="00664C1B">
        <w:rPr>
          <w:rFonts w:ascii="Times New Roman" w:eastAsia="Times New Roman" w:hAnsi="Times New Roman" w:cs="Times New Roman"/>
          <w:bCs/>
        </w:rPr>
        <w:t xml:space="preserve">Is capable of distinguishing the methods of rock-oil yield. </w:t>
      </w:r>
    </w:p>
    <w:p w:rsidR="00664C1B" w:rsidRPr="00664C1B" w:rsidRDefault="00664C1B" w:rsidP="00C2057B">
      <w:pPr>
        <w:widowControl w:val="0"/>
        <w:numPr>
          <w:ilvl w:val="0"/>
          <w:numId w:val="100"/>
        </w:numPr>
        <w:spacing w:before="120" w:after="120" w:line="240" w:lineRule="auto"/>
        <w:contextualSpacing/>
        <w:jc w:val="both"/>
        <w:rPr>
          <w:rFonts w:ascii="Times New Roman" w:eastAsia="Times New Roman" w:hAnsi="Times New Roman" w:cs="Times New Roman"/>
          <w:bCs/>
        </w:rPr>
      </w:pPr>
      <w:r w:rsidRPr="00664C1B">
        <w:rPr>
          <w:rFonts w:ascii="Times New Roman" w:eastAsia="Times New Roman" w:hAnsi="Times New Roman" w:cs="Times New Roman"/>
          <w:bCs/>
        </w:rPr>
        <w:t xml:space="preserve">Is capable of recogniseing the methods of atmospheric and vacuum distillation. </w:t>
      </w:r>
    </w:p>
    <w:p w:rsidR="00664C1B" w:rsidRPr="00664C1B" w:rsidRDefault="00664C1B" w:rsidP="00C2057B">
      <w:pPr>
        <w:widowControl w:val="0"/>
        <w:numPr>
          <w:ilvl w:val="0"/>
          <w:numId w:val="100"/>
        </w:numPr>
        <w:spacing w:before="120" w:after="120" w:line="240" w:lineRule="auto"/>
        <w:contextualSpacing/>
        <w:jc w:val="both"/>
        <w:rPr>
          <w:rFonts w:ascii="Times New Roman" w:eastAsia="Times New Roman" w:hAnsi="Times New Roman" w:cs="Times New Roman"/>
          <w:bCs/>
        </w:rPr>
      </w:pPr>
      <w:r w:rsidRPr="00664C1B">
        <w:rPr>
          <w:rFonts w:ascii="Times New Roman" w:eastAsia="Times New Roman" w:hAnsi="Times New Roman" w:cs="Times New Roman"/>
          <w:bCs/>
        </w:rPr>
        <w:t>Is capable of recogniseing the transformation of oil products.</w:t>
      </w:r>
    </w:p>
    <w:p w:rsidR="00664C1B" w:rsidRPr="00664C1B" w:rsidRDefault="00664C1B" w:rsidP="00664C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lang w:val="en-GB"/>
        </w:rPr>
      </w:pPr>
      <w:r w:rsidRPr="00664C1B">
        <w:rPr>
          <w:rFonts w:ascii="Times New Roman" w:eastAsia="Times New Roman" w:hAnsi="Times New Roman" w:cs="Times New Roman"/>
          <w:b/>
          <w:lang w:val="en-GB"/>
        </w:rPr>
        <w:t>Attitude:</w:t>
      </w:r>
      <w:r w:rsidRPr="00664C1B">
        <w:rPr>
          <w:rFonts w:ascii="Times New Roman" w:eastAsia="Times New Roman" w:hAnsi="Times New Roman" w:cs="Times New Roman"/>
          <w:lang w:val="en-GB"/>
        </w:rPr>
        <w:t xml:space="preserve"> </w:t>
      </w:r>
    </w:p>
    <w:p w:rsidR="00664C1B" w:rsidRPr="00664C1B" w:rsidRDefault="00664C1B" w:rsidP="00C2057B">
      <w:pPr>
        <w:numPr>
          <w:ilvl w:val="0"/>
          <w:numId w:val="10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lang w:val="en-GB"/>
        </w:rPr>
      </w:pPr>
      <w:r w:rsidRPr="00664C1B">
        <w:rPr>
          <w:rFonts w:ascii="Times New Roman" w:eastAsia="Times New Roman" w:hAnsi="Times New Roman" w:cs="Times New Roman"/>
        </w:rPr>
        <w:t xml:space="preserve">He/she is open to widen his/her knowledge regarding basic terms and theories of the materials science, and the types of materials and has a constant need for self-education. </w:t>
      </w:r>
    </w:p>
    <w:p w:rsidR="00664C1B" w:rsidRPr="00664C1B" w:rsidRDefault="00664C1B" w:rsidP="00C2057B">
      <w:pPr>
        <w:numPr>
          <w:ilvl w:val="0"/>
          <w:numId w:val="10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lang w:val="en-GB"/>
        </w:rPr>
      </w:pPr>
      <w:r w:rsidRPr="00664C1B">
        <w:rPr>
          <w:rFonts w:ascii="Times New Roman" w:eastAsia="Times New Roman" w:hAnsi="Times New Roman" w:cs="Times New Roman"/>
        </w:rPr>
        <w:t xml:space="preserve">He/she aims to adhere to the respective rules and make others follow them as well. </w:t>
      </w:r>
    </w:p>
    <w:p w:rsidR="00664C1B" w:rsidRPr="00664C1B" w:rsidRDefault="00664C1B" w:rsidP="00C2057B">
      <w:pPr>
        <w:numPr>
          <w:ilvl w:val="0"/>
          <w:numId w:val="10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lang w:val="en-GB"/>
        </w:rPr>
      </w:pPr>
      <w:r w:rsidRPr="00664C1B">
        <w:rPr>
          <w:rFonts w:ascii="Times New Roman" w:eastAsia="Times New Roman" w:hAnsi="Times New Roman" w:cs="Times New Roman"/>
        </w:rPr>
        <w:t xml:space="preserve">His/her work and relationships can be described by loyalty and reliability. </w:t>
      </w:r>
    </w:p>
    <w:p w:rsidR="00664C1B" w:rsidRPr="00664C1B" w:rsidRDefault="00664C1B" w:rsidP="00C2057B">
      <w:pPr>
        <w:numPr>
          <w:ilvl w:val="0"/>
          <w:numId w:val="10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lang w:val="en-GB"/>
        </w:rPr>
      </w:pPr>
      <w:r w:rsidRPr="00664C1B">
        <w:rPr>
          <w:rFonts w:ascii="Times New Roman" w:eastAsia="Times New Roman" w:hAnsi="Times New Roman" w:cs="Times New Roman"/>
        </w:rPr>
        <w:t>He/she is open towards the new accomplishments of military technology and aims to gain knowledge of these.</w:t>
      </w:r>
    </w:p>
    <w:p w:rsidR="00664C1B" w:rsidRPr="00664C1B" w:rsidRDefault="00664C1B" w:rsidP="00664C1B">
      <w:pPr>
        <w:widowControl w:val="0"/>
        <w:spacing w:before="120" w:after="120" w:line="240" w:lineRule="auto"/>
        <w:ind w:left="426"/>
        <w:jc w:val="both"/>
        <w:rPr>
          <w:rFonts w:ascii="Times New Roman" w:eastAsia="Times New Roman" w:hAnsi="Times New Roman" w:cs="Times New Roman"/>
          <w:b/>
          <w:lang w:val="en-GB"/>
        </w:rPr>
      </w:pPr>
      <w:r w:rsidRPr="00664C1B">
        <w:rPr>
          <w:rFonts w:ascii="Times New Roman" w:eastAsia="Times New Roman" w:hAnsi="Times New Roman" w:cs="Times New Roman"/>
          <w:b/>
          <w:lang w:val="en-GB"/>
        </w:rPr>
        <w:t xml:space="preserve">Autonomy and responsibility: </w:t>
      </w:r>
    </w:p>
    <w:p w:rsidR="00664C1B" w:rsidRPr="00664C1B" w:rsidRDefault="00664C1B" w:rsidP="00C2057B">
      <w:pPr>
        <w:widowControl w:val="0"/>
        <w:numPr>
          <w:ilvl w:val="0"/>
          <w:numId w:val="100"/>
        </w:numPr>
        <w:spacing w:before="120" w:after="120" w:line="240" w:lineRule="auto"/>
        <w:contextualSpacing/>
        <w:jc w:val="both"/>
        <w:rPr>
          <w:rFonts w:ascii="Times New Roman" w:eastAsia="Times New Roman" w:hAnsi="Times New Roman" w:cs="Times New Roman"/>
          <w:lang w:val="en-GB"/>
        </w:rPr>
      </w:pPr>
      <w:r w:rsidRPr="00664C1B">
        <w:rPr>
          <w:rFonts w:ascii="Times New Roman" w:eastAsia="Times New Roman" w:hAnsi="Times New Roman" w:cs="Times New Roman"/>
        </w:rPr>
        <w:t xml:space="preserve">Is capable of organizing and determining the tasks of his/her subordinates as well as controlling their work based on professional aspects. </w:t>
      </w:r>
    </w:p>
    <w:p w:rsidR="00664C1B" w:rsidRPr="00664C1B" w:rsidRDefault="00664C1B" w:rsidP="00C2057B">
      <w:pPr>
        <w:widowControl w:val="0"/>
        <w:numPr>
          <w:ilvl w:val="0"/>
          <w:numId w:val="100"/>
        </w:numPr>
        <w:spacing w:before="120" w:after="120" w:line="240" w:lineRule="auto"/>
        <w:contextualSpacing/>
        <w:jc w:val="both"/>
        <w:rPr>
          <w:rFonts w:ascii="Times New Roman" w:eastAsia="Times New Roman" w:hAnsi="Times New Roman" w:cs="Times New Roman"/>
          <w:lang w:val="en-GB"/>
        </w:rPr>
      </w:pPr>
      <w:r w:rsidRPr="00664C1B">
        <w:rPr>
          <w:rFonts w:ascii="Times New Roman" w:eastAsia="Times New Roman" w:hAnsi="Times New Roman" w:cs="Times New Roman"/>
        </w:rPr>
        <w:t xml:space="preserve">After doing proper analysation, he/she is capable of making the best decisions and taking </w:t>
      </w:r>
      <w:r w:rsidRPr="00664C1B">
        <w:rPr>
          <w:rFonts w:ascii="Times New Roman" w:eastAsia="Times New Roman" w:hAnsi="Times New Roman" w:cs="Times New Roman"/>
        </w:rPr>
        <w:lastRenderedPageBreak/>
        <w:t xml:space="preserve">professional responsibility during the technical maintenance and repairing of the military technical items. </w:t>
      </w:r>
    </w:p>
    <w:p w:rsidR="00664C1B" w:rsidRPr="00664C1B" w:rsidRDefault="00664C1B" w:rsidP="00C2057B">
      <w:pPr>
        <w:widowControl w:val="0"/>
        <w:numPr>
          <w:ilvl w:val="0"/>
          <w:numId w:val="100"/>
        </w:numPr>
        <w:spacing w:before="120" w:after="120" w:line="240" w:lineRule="auto"/>
        <w:contextualSpacing/>
        <w:jc w:val="both"/>
        <w:rPr>
          <w:rFonts w:ascii="Times New Roman" w:eastAsia="Times New Roman" w:hAnsi="Times New Roman" w:cs="Times New Roman"/>
          <w:lang w:val="en-GB"/>
        </w:rPr>
      </w:pPr>
      <w:r w:rsidRPr="00664C1B">
        <w:rPr>
          <w:rFonts w:ascii="Times New Roman" w:eastAsia="Times New Roman" w:hAnsi="Times New Roman" w:cs="Times New Roman"/>
        </w:rPr>
        <w:t xml:space="preserve">He/she is cooperative and responsible towards the professionals of his/her field. </w:t>
      </w:r>
    </w:p>
    <w:p w:rsidR="00664C1B" w:rsidRPr="00664C1B" w:rsidRDefault="00664C1B" w:rsidP="00C2057B">
      <w:pPr>
        <w:widowControl w:val="0"/>
        <w:numPr>
          <w:ilvl w:val="0"/>
          <w:numId w:val="100"/>
        </w:numPr>
        <w:spacing w:before="120" w:after="120" w:line="240" w:lineRule="auto"/>
        <w:contextualSpacing/>
        <w:jc w:val="both"/>
        <w:rPr>
          <w:rFonts w:ascii="Times New Roman" w:eastAsia="Times New Roman" w:hAnsi="Times New Roman" w:cs="Times New Roman"/>
          <w:lang w:val="en-GB"/>
        </w:rPr>
      </w:pPr>
      <w:r w:rsidRPr="00664C1B">
        <w:rPr>
          <w:rFonts w:ascii="Times New Roman" w:eastAsia="Times New Roman" w:hAnsi="Times New Roman" w:cs="Times New Roman"/>
        </w:rPr>
        <w:t>Is capable of thinking in a system approach within his/her own field.</w:t>
      </w:r>
    </w:p>
    <w:p w:rsidR="00664C1B" w:rsidRPr="00664C1B" w:rsidRDefault="00664C1B" w:rsidP="00980876">
      <w:pPr>
        <w:widowControl w:val="0"/>
        <w:numPr>
          <w:ilvl w:val="0"/>
          <w:numId w:val="417"/>
        </w:numPr>
        <w:tabs>
          <w:tab w:val="num" w:pos="567"/>
        </w:tabs>
        <w:spacing w:before="120" w:after="120" w:line="240" w:lineRule="auto"/>
        <w:ind w:left="426" w:hanging="142"/>
        <w:jc w:val="both"/>
        <w:rPr>
          <w:rFonts w:ascii="Times New Roman" w:eastAsia="Times New Roman" w:hAnsi="Times New Roman" w:cs="Times New Roman"/>
          <w:bCs/>
        </w:rPr>
      </w:pPr>
      <w:r w:rsidRPr="00664C1B">
        <w:rPr>
          <w:rFonts w:ascii="Times New Roman" w:eastAsia="Times New Roman" w:hAnsi="Times New Roman" w:cs="Times New Roman"/>
          <w:b/>
          <w:bCs/>
        </w:rPr>
        <w:t xml:space="preserve">Előtanulmányi követelmények: </w:t>
      </w:r>
    </w:p>
    <w:p w:rsidR="00664C1B" w:rsidRPr="00664C1B" w:rsidRDefault="00664C1B" w:rsidP="00980876">
      <w:pPr>
        <w:widowControl w:val="0"/>
        <w:numPr>
          <w:ilvl w:val="0"/>
          <w:numId w:val="417"/>
        </w:numPr>
        <w:spacing w:before="120" w:after="120" w:line="240" w:lineRule="auto"/>
        <w:ind w:left="426" w:hanging="142"/>
        <w:jc w:val="both"/>
        <w:rPr>
          <w:rFonts w:ascii="Times New Roman" w:eastAsia="Times New Roman" w:hAnsi="Times New Roman" w:cs="Times New Roman"/>
          <w:b/>
          <w:bCs/>
        </w:rPr>
      </w:pPr>
      <w:r w:rsidRPr="00664C1B">
        <w:rPr>
          <w:rFonts w:ascii="Times New Roman" w:eastAsia="Times New Roman" w:hAnsi="Times New Roman" w:cs="Times New Roman"/>
          <w:b/>
          <w:bCs/>
        </w:rPr>
        <w:t>A tantárgy tananyagának leírása, tematika. Description of the subject, curriculum (magyarul, angolul - English):</w:t>
      </w:r>
    </w:p>
    <w:p w:rsidR="00664C1B" w:rsidRPr="00664C1B" w:rsidRDefault="00664C1B" w:rsidP="00980876">
      <w:pPr>
        <w:widowControl w:val="0"/>
        <w:numPr>
          <w:ilvl w:val="1"/>
          <w:numId w:val="417"/>
        </w:numPr>
        <w:tabs>
          <w:tab w:val="clear" w:pos="3977"/>
          <w:tab w:val="left" w:pos="709"/>
          <w:tab w:val="num" w:pos="1566"/>
          <w:tab w:val="num" w:pos="2069"/>
        </w:tabs>
        <w:spacing w:before="120" w:after="120" w:line="240" w:lineRule="auto"/>
        <w:ind w:left="1134" w:hanging="708"/>
        <w:jc w:val="both"/>
        <w:rPr>
          <w:rFonts w:ascii="Times New Roman" w:eastAsia="Times New Roman" w:hAnsi="Times New Roman" w:cs="Times New Roman"/>
          <w:b/>
        </w:rPr>
      </w:pPr>
      <w:r w:rsidRPr="00664C1B">
        <w:rPr>
          <w:rFonts w:ascii="Times New Roman" w:eastAsia="Times New Roman" w:hAnsi="Times New Roman" w:cs="Times New Roman"/>
          <w:bCs/>
          <w:lang w:eastAsia="hu-HU"/>
        </w:rPr>
        <w:t>Alapfogalmak.</w:t>
      </w:r>
      <w:r w:rsidRPr="00664C1B">
        <w:rPr>
          <w:rFonts w:ascii="Times New Roman" w:eastAsia="Times New Roman" w:hAnsi="Times New Roman" w:cs="Times New Roman"/>
        </w:rPr>
        <w:t xml:space="preserve"> (</w:t>
      </w:r>
      <w:r w:rsidRPr="00664C1B">
        <w:rPr>
          <w:rFonts w:ascii="Times New Roman" w:eastAsia="Times New Roman" w:hAnsi="Times New Roman" w:cs="Times New Roman"/>
          <w:bCs/>
          <w:i/>
          <w:lang w:eastAsia="hu-HU"/>
        </w:rPr>
        <w:t>Basic terms</w:t>
      </w:r>
      <w:r w:rsidRPr="00664C1B">
        <w:rPr>
          <w:rFonts w:ascii="Times New Roman" w:eastAsia="Times New Roman" w:hAnsi="Times New Roman" w:cs="Times New Roman"/>
          <w:bCs/>
          <w:lang w:eastAsia="hu-HU"/>
        </w:rPr>
        <w:t>.</w:t>
      </w:r>
      <w:r w:rsidRPr="00664C1B">
        <w:rPr>
          <w:rFonts w:ascii="Times New Roman" w:eastAsia="Times New Roman" w:hAnsi="Times New Roman" w:cs="Times New Roman"/>
        </w:rPr>
        <w:t>)</w:t>
      </w:r>
    </w:p>
    <w:p w:rsidR="00664C1B" w:rsidRPr="00664C1B" w:rsidRDefault="00664C1B" w:rsidP="00980876">
      <w:pPr>
        <w:widowControl w:val="0"/>
        <w:numPr>
          <w:ilvl w:val="1"/>
          <w:numId w:val="417"/>
        </w:numPr>
        <w:tabs>
          <w:tab w:val="clear" w:pos="3977"/>
          <w:tab w:val="left" w:pos="709"/>
          <w:tab w:val="num" w:pos="1566"/>
          <w:tab w:val="num" w:pos="2069"/>
        </w:tabs>
        <w:spacing w:before="120" w:after="120" w:line="240" w:lineRule="auto"/>
        <w:ind w:left="1134" w:hanging="708"/>
        <w:jc w:val="both"/>
        <w:rPr>
          <w:rFonts w:ascii="Times New Roman" w:eastAsia="Times New Roman" w:hAnsi="Times New Roman" w:cs="Times New Roman"/>
          <w:b/>
        </w:rPr>
      </w:pPr>
      <w:r w:rsidRPr="00664C1B">
        <w:rPr>
          <w:rFonts w:ascii="Times New Roman" w:eastAsia="Times New Roman" w:hAnsi="Times New Roman" w:cs="Times New Roman"/>
          <w:bCs/>
        </w:rPr>
        <w:t xml:space="preserve">Az anyagtudomány főbb elvei. </w:t>
      </w:r>
      <w:r w:rsidRPr="00664C1B">
        <w:rPr>
          <w:rFonts w:ascii="Times New Roman" w:eastAsia="Times New Roman" w:hAnsi="Times New Roman" w:cs="Times New Roman"/>
          <w:bCs/>
          <w:lang w:eastAsia="hu-HU"/>
        </w:rPr>
        <w:t>(</w:t>
      </w:r>
      <w:r w:rsidRPr="00664C1B">
        <w:rPr>
          <w:rFonts w:ascii="Times New Roman" w:eastAsia="Times New Roman" w:hAnsi="Times New Roman" w:cs="Times New Roman"/>
          <w:bCs/>
          <w:i/>
        </w:rPr>
        <w:t>Basic theories of the materials science</w:t>
      </w:r>
      <w:r w:rsidRPr="00664C1B">
        <w:rPr>
          <w:rFonts w:ascii="Times New Roman" w:eastAsia="Times New Roman" w:hAnsi="Times New Roman" w:cs="Times New Roman"/>
          <w:bCs/>
        </w:rPr>
        <w:t>.</w:t>
      </w:r>
      <w:r w:rsidRPr="00664C1B">
        <w:rPr>
          <w:rFonts w:ascii="Times New Roman" w:eastAsia="Times New Roman" w:hAnsi="Times New Roman" w:cs="Times New Roman"/>
          <w:bCs/>
          <w:lang w:eastAsia="hu-HU"/>
        </w:rPr>
        <w:t>)</w:t>
      </w:r>
    </w:p>
    <w:p w:rsidR="00664C1B" w:rsidRPr="00664C1B" w:rsidRDefault="00664C1B" w:rsidP="00980876">
      <w:pPr>
        <w:widowControl w:val="0"/>
        <w:numPr>
          <w:ilvl w:val="1"/>
          <w:numId w:val="417"/>
        </w:numPr>
        <w:tabs>
          <w:tab w:val="clear" w:pos="3977"/>
          <w:tab w:val="left" w:pos="709"/>
          <w:tab w:val="num" w:pos="1566"/>
          <w:tab w:val="num" w:pos="2069"/>
        </w:tabs>
        <w:spacing w:before="120" w:after="120" w:line="240" w:lineRule="auto"/>
        <w:ind w:left="1134" w:hanging="708"/>
        <w:jc w:val="both"/>
        <w:rPr>
          <w:rFonts w:ascii="Times New Roman" w:eastAsia="Times New Roman" w:hAnsi="Times New Roman" w:cs="Times New Roman"/>
        </w:rPr>
      </w:pPr>
      <w:r w:rsidRPr="00664C1B">
        <w:rPr>
          <w:rFonts w:ascii="Times New Roman" w:eastAsia="Times New Roman" w:hAnsi="Times New Roman" w:cs="Times New Roman"/>
          <w:bCs/>
        </w:rPr>
        <w:t>Az anyagok felosztása.</w:t>
      </w:r>
      <w:r w:rsidRPr="00664C1B">
        <w:rPr>
          <w:rFonts w:ascii="Times New Roman" w:eastAsia="Times New Roman" w:hAnsi="Times New Roman" w:cs="Times New Roman"/>
        </w:rPr>
        <w:t xml:space="preserve"> (</w:t>
      </w:r>
      <w:r w:rsidRPr="00664C1B">
        <w:rPr>
          <w:rFonts w:ascii="Times New Roman" w:eastAsia="Times New Roman" w:hAnsi="Times New Roman" w:cs="Times New Roman"/>
          <w:bCs/>
          <w:i/>
        </w:rPr>
        <w:t>The types of materials</w:t>
      </w:r>
      <w:r w:rsidRPr="00664C1B">
        <w:rPr>
          <w:rFonts w:ascii="Times New Roman" w:eastAsia="Times New Roman" w:hAnsi="Times New Roman" w:cs="Times New Roman"/>
          <w:bCs/>
        </w:rPr>
        <w:t>.</w:t>
      </w:r>
      <w:r w:rsidRPr="00664C1B">
        <w:rPr>
          <w:rFonts w:ascii="Times New Roman" w:eastAsia="Times New Roman" w:hAnsi="Times New Roman" w:cs="Times New Roman"/>
        </w:rPr>
        <w:t>)</w:t>
      </w:r>
    </w:p>
    <w:p w:rsidR="00664C1B" w:rsidRPr="00664C1B" w:rsidRDefault="00664C1B" w:rsidP="00980876">
      <w:pPr>
        <w:widowControl w:val="0"/>
        <w:numPr>
          <w:ilvl w:val="1"/>
          <w:numId w:val="417"/>
        </w:numPr>
        <w:tabs>
          <w:tab w:val="clear" w:pos="3977"/>
          <w:tab w:val="left" w:pos="709"/>
          <w:tab w:val="num" w:pos="1566"/>
          <w:tab w:val="num" w:pos="2069"/>
        </w:tabs>
        <w:spacing w:before="120" w:after="120" w:line="240" w:lineRule="auto"/>
        <w:ind w:left="1134" w:hanging="708"/>
        <w:jc w:val="both"/>
        <w:rPr>
          <w:rFonts w:ascii="Times New Roman" w:eastAsia="Times New Roman" w:hAnsi="Times New Roman" w:cs="Times New Roman"/>
        </w:rPr>
      </w:pPr>
      <w:r w:rsidRPr="00664C1B">
        <w:rPr>
          <w:rFonts w:ascii="Times New Roman" w:eastAsia="Times New Roman" w:hAnsi="Times New Roman" w:cs="Times New Roman"/>
          <w:bCs/>
        </w:rPr>
        <w:t>Fémek mechanikai tulajdonságai.</w:t>
      </w:r>
      <w:r w:rsidRPr="00664C1B">
        <w:rPr>
          <w:rFonts w:ascii="Times New Roman" w:eastAsia="Times New Roman" w:hAnsi="Times New Roman" w:cs="Times New Roman"/>
        </w:rPr>
        <w:t xml:space="preserve"> (</w:t>
      </w:r>
      <w:r w:rsidRPr="00664C1B">
        <w:rPr>
          <w:rFonts w:ascii="Times New Roman" w:eastAsia="Times New Roman" w:hAnsi="Times New Roman" w:cs="Times New Roman"/>
          <w:bCs/>
          <w:i/>
        </w:rPr>
        <w:t>Mechanical properties of metal materials</w:t>
      </w:r>
      <w:r w:rsidRPr="00664C1B">
        <w:rPr>
          <w:rFonts w:ascii="Times New Roman" w:eastAsia="Times New Roman" w:hAnsi="Times New Roman" w:cs="Times New Roman"/>
          <w:bCs/>
        </w:rPr>
        <w:t>.</w:t>
      </w:r>
      <w:r w:rsidRPr="00664C1B">
        <w:rPr>
          <w:rFonts w:ascii="Times New Roman" w:eastAsia="Times New Roman" w:hAnsi="Times New Roman" w:cs="Times New Roman"/>
        </w:rPr>
        <w:t>)</w:t>
      </w:r>
    </w:p>
    <w:p w:rsidR="00664C1B" w:rsidRPr="00664C1B" w:rsidRDefault="00664C1B" w:rsidP="00980876">
      <w:pPr>
        <w:widowControl w:val="0"/>
        <w:numPr>
          <w:ilvl w:val="1"/>
          <w:numId w:val="417"/>
        </w:numPr>
        <w:tabs>
          <w:tab w:val="clear" w:pos="3977"/>
          <w:tab w:val="left" w:pos="709"/>
          <w:tab w:val="num" w:pos="1566"/>
          <w:tab w:val="num" w:pos="2069"/>
        </w:tabs>
        <w:spacing w:before="120" w:after="120" w:line="240" w:lineRule="auto"/>
        <w:ind w:left="1134" w:hanging="708"/>
        <w:jc w:val="both"/>
        <w:rPr>
          <w:rFonts w:ascii="Times New Roman" w:eastAsia="Times New Roman" w:hAnsi="Times New Roman" w:cs="Times New Roman"/>
        </w:rPr>
      </w:pPr>
      <w:r w:rsidRPr="00664C1B">
        <w:rPr>
          <w:rFonts w:ascii="Times New Roman" w:eastAsia="Times New Roman" w:hAnsi="Times New Roman" w:cs="Times New Roman"/>
        </w:rPr>
        <w:t>Fémek szerkezete. (</w:t>
      </w:r>
      <w:r w:rsidRPr="00664C1B">
        <w:rPr>
          <w:rFonts w:ascii="Times New Roman" w:eastAsia="Times New Roman" w:hAnsi="Times New Roman" w:cs="Times New Roman"/>
          <w:i/>
        </w:rPr>
        <w:t>Structure of metal materials</w:t>
      </w:r>
      <w:r w:rsidRPr="00664C1B">
        <w:rPr>
          <w:rFonts w:ascii="Times New Roman" w:eastAsia="Times New Roman" w:hAnsi="Times New Roman" w:cs="Times New Roman"/>
        </w:rPr>
        <w:t xml:space="preserve">.) </w:t>
      </w:r>
      <w:r w:rsidRPr="00664C1B">
        <w:rPr>
          <w:rFonts w:ascii="Times New Roman" w:eastAsia="Times New Roman" w:hAnsi="Times New Roman" w:cs="Times New Roman"/>
          <w:bCs/>
        </w:rPr>
        <w:t>A fémrács hibái. (</w:t>
      </w:r>
      <w:r w:rsidRPr="00664C1B">
        <w:rPr>
          <w:rFonts w:ascii="Times New Roman" w:eastAsia="Times New Roman" w:hAnsi="Times New Roman" w:cs="Times New Roman"/>
          <w:bCs/>
          <w:i/>
        </w:rPr>
        <w:t>Mistakes of the metal webs (crystal grid)</w:t>
      </w:r>
      <w:r w:rsidRPr="00664C1B">
        <w:rPr>
          <w:rFonts w:ascii="Times New Roman" w:eastAsia="Times New Roman" w:hAnsi="Times New Roman" w:cs="Times New Roman"/>
          <w:bCs/>
        </w:rPr>
        <w:t>.</w:t>
      </w:r>
      <w:r w:rsidRPr="00664C1B">
        <w:rPr>
          <w:rFonts w:ascii="Times New Roman" w:eastAsia="Times New Roman" w:hAnsi="Times New Roman" w:cs="Times New Roman"/>
          <w:bCs/>
          <w:lang w:eastAsia="hu-HU"/>
        </w:rPr>
        <w:t>)</w:t>
      </w:r>
    </w:p>
    <w:p w:rsidR="00664C1B" w:rsidRPr="00664C1B" w:rsidRDefault="00664C1B" w:rsidP="00980876">
      <w:pPr>
        <w:widowControl w:val="0"/>
        <w:numPr>
          <w:ilvl w:val="1"/>
          <w:numId w:val="417"/>
        </w:numPr>
        <w:tabs>
          <w:tab w:val="clear" w:pos="3977"/>
          <w:tab w:val="left" w:pos="709"/>
          <w:tab w:val="num" w:pos="1566"/>
          <w:tab w:val="num" w:pos="2069"/>
        </w:tabs>
        <w:spacing w:before="120" w:after="120" w:line="240" w:lineRule="auto"/>
        <w:ind w:left="1134" w:hanging="708"/>
        <w:jc w:val="both"/>
        <w:rPr>
          <w:rFonts w:ascii="Times New Roman" w:eastAsia="Times New Roman" w:hAnsi="Times New Roman" w:cs="Times New Roman"/>
        </w:rPr>
      </w:pPr>
      <w:r w:rsidRPr="00664C1B">
        <w:rPr>
          <w:rFonts w:ascii="Times New Roman" w:eastAsia="Times New Roman" w:hAnsi="Times New Roman" w:cs="Times New Roman"/>
          <w:bCs/>
        </w:rPr>
        <w:t>Az ötvözetek szerkezete. (</w:t>
      </w:r>
      <w:r w:rsidRPr="00664C1B">
        <w:rPr>
          <w:rFonts w:ascii="Times New Roman" w:eastAsia="Times New Roman" w:hAnsi="Times New Roman" w:cs="Times New Roman"/>
          <w:bCs/>
          <w:i/>
        </w:rPr>
        <w:t>The structure of the metal materials</w:t>
      </w:r>
      <w:r w:rsidRPr="00664C1B">
        <w:rPr>
          <w:rFonts w:ascii="Times New Roman" w:eastAsia="Times New Roman" w:hAnsi="Times New Roman" w:cs="Times New Roman"/>
          <w:bCs/>
        </w:rPr>
        <w:t xml:space="preserve">.) </w:t>
      </w:r>
    </w:p>
    <w:p w:rsidR="00664C1B" w:rsidRPr="00664C1B" w:rsidRDefault="00664C1B" w:rsidP="00980876">
      <w:pPr>
        <w:widowControl w:val="0"/>
        <w:numPr>
          <w:ilvl w:val="1"/>
          <w:numId w:val="417"/>
        </w:numPr>
        <w:tabs>
          <w:tab w:val="clear" w:pos="3977"/>
          <w:tab w:val="left" w:pos="709"/>
          <w:tab w:val="num" w:pos="1566"/>
          <w:tab w:val="num" w:pos="2069"/>
        </w:tabs>
        <w:spacing w:before="120" w:after="120" w:line="240" w:lineRule="auto"/>
        <w:ind w:left="1134" w:hanging="708"/>
        <w:jc w:val="both"/>
        <w:rPr>
          <w:rFonts w:ascii="Times New Roman" w:eastAsia="Times New Roman" w:hAnsi="Times New Roman" w:cs="Times New Roman"/>
        </w:rPr>
      </w:pPr>
      <w:r w:rsidRPr="00664C1B">
        <w:rPr>
          <w:rFonts w:ascii="Times New Roman" w:eastAsia="Times New Roman" w:hAnsi="Times New Roman" w:cs="Times New Roman"/>
          <w:bCs/>
        </w:rPr>
        <w:t>A fémek és az ötvözetek kristályosodása. (</w:t>
      </w:r>
      <w:r w:rsidRPr="00664C1B">
        <w:rPr>
          <w:rFonts w:ascii="Times New Roman" w:eastAsia="Times New Roman" w:hAnsi="Times New Roman" w:cs="Times New Roman"/>
          <w:bCs/>
          <w:i/>
        </w:rPr>
        <w:t>Crystallization of the metal materials and the alloys.</w:t>
      </w:r>
      <w:r w:rsidRPr="00664C1B">
        <w:rPr>
          <w:rFonts w:ascii="Times New Roman" w:eastAsia="Times New Roman" w:hAnsi="Times New Roman" w:cs="Times New Roman"/>
          <w:bCs/>
          <w:lang w:eastAsia="hu-HU"/>
        </w:rPr>
        <w:t>)</w:t>
      </w:r>
    </w:p>
    <w:p w:rsidR="00664C1B" w:rsidRPr="00664C1B" w:rsidRDefault="00664C1B" w:rsidP="00980876">
      <w:pPr>
        <w:widowControl w:val="0"/>
        <w:numPr>
          <w:ilvl w:val="1"/>
          <w:numId w:val="417"/>
        </w:numPr>
        <w:tabs>
          <w:tab w:val="clear" w:pos="3977"/>
          <w:tab w:val="left" w:pos="709"/>
          <w:tab w:val="num" w:pos="1566"/>
          <w:tab w:val="num" w:pos="2069"/>
        </w:tabs>
        <w:spacing w:before="120" w:after="120" w:line="240" w:lineRule="auto"/>
        <w:ind w:left="1134" w:hanging="708"/>
        <w:jc w:val="both"/>
        <w:rPr>
          <w:rFonts w:ascii="Times New Roman" w:eastAsia="Times New Roman" w:hAnsi="Times New Roman" w:cs="Times New Roman"/>
        </w:rPr>
      </w:pPr>
      <w:r w:rsidRPr="00664C1B">
        <w:rPr>
          <w:rFonts w:ascii="Times New Roman" w:eastAsia="Times New Roman" w:hAnsi="Times New Roman" w:cs="Times New Roman"/>
          <w:bCs/>
        </w:rPr>
        <w:t>Vas-szén ötvözetek. (</w:t>
      </w:r>
      <w:r w:rsidRPr="00664C1B">
        <w:rPr>
          <w:rFonts w:ascii="Times New Roman" w:eastAsia="Times New Roman" w:hAnsi="Times New Roman" w:cs="Times New Roman"/>
          <w:bCs/>
          <w:i/>
        </w:rPr>
        <w:t>Coal-metal alloys</w:t>
      </w:r>
      <w:r w:rsidRPr="00664C1B">
        <w:rPr>
          <w:rFonts w:ascii="Times New Roman" w:eastAsia="Times New Roman" w:hAnsi="Times New Roman" w:cs="Times New Roman"/>
          <w:bCs/>
        </w:rPr>
        <w:t>.</w:t>
      </w:r>
      <w:r w:rsidRPr="00664C1B">
        <w:rPr>
          <w:rFonts w:ascii="Times New Roman" w:eastAsia="Times New Roman" w:hAnsi="Times New Roman" w:cs="Times New Roman"/>
          <w:bCs/>
          <w:lang w:eastAsia="hu-HU"/>
        </w:rPr>
        <w:t>)</w:t>
      </w:r>
    </w:p>
    <w:p w:rsidR="00664C1B" w:rsidRPr="00664C1B" w:rsidRDefault="00664C1B" w:rsidP="00980876">
      <w:pPr>
        <w:widowControl w:val="0"/>
        <w:numPr>
          <w:ilvl w:val="1"/>
          <w:numId w:val="417"/>
        </w:numPr>
        <w:tabs>
          <w:tab w:val="clear" w:pos="3977"/>
          <w:tab w:val="left" w:pos="709"/>
          <w:tab w:val="num" w:pos="1566"/>
          <w:tab w:val="num" w:pos="2069"/>
        </w:tabs>
        <w:spacing w:before="120" w:after="120" w:line="240" w:lineRule="auto"/>
        <w:ind w:left="1134" w:hanging="708"/>
        <w:jc w:val="both"/>
        <w:rPr>
          <w:rFonts w:ascii="Times New Roman" w:eastAsia="Times New Roman" w:hAnsi="Times New Roman" w:cs="Times New Roman"/>
        </w:rPr>
      </w:pPr>
      <w:r w:rsidRPr="00664C1B">
        <w:rPr>
          <w:rFonts w:ascii="Times New Roman" w:eastAsia="Times New Roman" w:hAnsi="Times New Roman" w:cs="Times New Roman"/>
          <w:bCs/>
        </w:rPr>
        <w:t xml:space="preserve">Kompozitanyagok és műanyagok. </w:t>
      </w:r>
      <w:r w:rsidRPr="00664C1B">
        <w:rPr>
          <w:rFonts w:ascii="Times New Roman" w:eastAsia="Times New Roman" w:hAnsi="Times New Roman" w:cs="Times New Roman"/>
          <w:bCs/>
          <w:lang w:eastAsia="hu-HU"/>
        </w:rPr>
        <w:t>(</w:t>
      </w:r>
      <w:r w:rsidRPr="00664C1B">
        <w:rPr>
          <w:rFonts w:ascii="Times New Roman" w:eastAsia="Times New Roman" w:hAnsi="Times New Roman" w:cs="Times New Roman"/>
          <w:bCs/>
          <w:i/>
        </w:rPr>
        <w:t>Composite and plastic materials</w:t>
      </w:r>
      <w:r w:rsidRPr="00664C1B">
        <w:rPr>
          <w:rFonts w:ascii="Times New Roman" w:eastAsia="Times New Roman" w:hAnsi="Times New Roman" w:cs="Times New Roman"/>
          <w:bCs/>
        </w:rPr>
        <w:t>.</w:t>
      </w:r>
      <w:r w:rsidRPr="00664C1B">
        <w:rPr>
          <w:rFonts w:ascii="Times New Roman" w:eastAsia="Times New Roman" w:hAnsi="Times New Roman" w:cs="Times New Roman"/>
          <w:bCs/>
          <w:lang w:eastAsia="hu-HU"/>
        </w:rPr>
        <w:t>)</w:t>
      </w:r>
    </w:p>
    <w:p w:rsidR="00664C1B" w:rsidRPr="00664C1B" w:rsidRDefault="00664C1B" w:rsidP="00980876">
      <w:pPr>
        <w:widowControl w:val="0"/>
        <w:numPr>
          <w:ilvl w:val="1"/>
          <w:numId w:val="417"/>
        </w:numPr>
        <w:tabs>
          <w:tab w:val="clear" w:pos="3977"/>
          <w:tab w:val="left" w:pos="709"/>
          <w:tab w:val="num" w:pos="1566"/>
          <w:tab w:val="num" w:pos="2069"/>
        </w:tabs>
        <w:spacing w:before="120" w:after="120" w:line="240" w:lineRule="auto"/>
        <w:ind w:left="1134" w:hanging="708"/>
        <w:jc w:val="both"/>
        <w:rPr>
          <w:rFonts w:ascii="Times New Roman" w:eastAsia="Times New Roman" w:hAnsi="Times New Roman" w:cs="Times New Roman"/>
        </w:rPr>
      </w:pPr>
      <w:r w:rsidRPr="00664C1B">
        <w:rPr>
          <w:rFonts w:ascii="Times New Roman" w:eastAsia="Times New Roman" w:hAnsi="Times New Roman" w:cs="Times New Roman"/>
          <w:bCs/>
        </w:rPr>
        <w:t xml:space="preserve">Kerámiák. </w:t>
      </w:r>
      <w:r w:rsidRPr="00664C1B">
        <w:rPr>
          <w:rFonts w:ascii="Times New Roman" w:eastAsia="Times New Roman" w:hAnsi="Times New Roman" w:cs="Times New Roman"/>
          <w:bCs/>
          <w:lang w:eastAsia="hu-HU"/>
        </w:rPr>
        <w:t>(</w:t>
      </w:r>
      <w:r w:rsidRPr="00664C1B">
        <w:rPr>
          <w:rFonts w:ascii="Times New Roman" w:eastAsia="Times New Roman" w:hAnsi="Times New Roman" w:cs="Times New Roman"/>
          <w:bCs/>
          <w:i/>
        </w:rPr>
        <w:t>Ceramic materials</w:t>
      </w:r>
      <w:r w:rsidRPr="00664C1B">
        <w:rPr>
          <w:rFonts w:ascii="Times New Roman" w:eastAsia="Times New Roman" w:hAnsi="Times New Roman" w:cs="Times New Roman"/>
          <w:bCs/>
        </w:rPr>
        <w:t>.</w:t>
      </w:r>
      <w:r w:rsidRPr="00664C1B">
        <w:rPr>
          <w:rFonts w:ascii="Times New Roman" w:eastAsia="Times New Roman" w:hAnsi="Times New Roman" w:cs="Times New Roman"/>
          <w:bCs/>
          <w:lang w:eastAsia="hu-HU"/>
        </w:rPr>
        <w:t>)</w:t>
      </w:r>
    </w:p>
    <w:p w:rsidR="00664C1B" w:rsidRPr="00664C1B" w:rsidRDefault="00664C1B" w:rsidP="00980876">
      <w:pPr>
        <w:widowControl w:val="0"/>
        <w:numPr>
          <w:ilvl w:val="1"/>
          <w:numId w:val="417"/>
        </w:numPr>
        <w:tabs>
          <w:tab w:val="clear" w:pos="3977"/>
          <w:tab w:val="left" w:pos="709"/>
          <w:tab w:val="num" w:pos="1566"/>
          <w:tab w:val="num" w:pos="2069"/>
        </w:tabs>
        <w:spacing w:before="120" w:after="120" w:line="240" w:lineRule="auto"/>
        <w:ind w:left="1134" w:hanging="708"/>
        <w:jc w:val="both"/>
        <w:rPr>
          <w:rFonts w:ascii="Times New Roman" w:eastAsia="Times New Roman" w:hAnsi="Times New Roman" w:cs="Times New Roman"/>
        </w:rPr>
      </w:pPr>
      <w:r w:rsidRPr="00664C1B">
        <w:rPr>
          <w:rFonts w:ascii="Times New Roman" w:eastAsia="Times New Roman" w:hAnsi="Times New Roman" w:cs="Times New Roman"/>
          <w:bCs/>
        </w:rPr>
        <w:t>A kőolaj kitermelésének módszerei.</w:t>
      </w:r>
      <w:r w:rsidRPr="00664C1B">
        <w:rPr>
          <w:rFonts w:ascii="Times New Roman" w:eastAsia="Times New Roman" w:hAnsi="Times New Roman" w:cs="Times New Roman"/>
          <w:bCs/>
          <w:lang w:eastAsia="hu-HU"/>
        </w:rPr>
        <w:t xml:space="preserve"> (</w:t>
      </w:r>
      <w:r w:rsidRPr="00664C1B">
        <w:rPr>
          <w:rFonts w:ascii="Times New Roman" w:eastAsia="Times New Roman" w:hAnsi="Times New Roman" w:cs="Times New Roman"/>
          <w:bCs/>
          <w:i/>
        </w:rPr>
        <w:t>Methods of rock-oil yield</w:t>
      </w:r>
      <w:r w:rsidRPr="00664C1B">
        <w:rPr>
          <w:rFonts w:ascii="Times New Roman" w:eastAsia="Times New Roman" w:hAnsi="Times New Roman" w:cs="Times New Roman"/>
          <w:bCs/>
        </w:rPr>
        <w:t>.</w:t>
      </w:r>
      <w:r w:rsidRPr="00664C1B">
        <w:rPr>
          <w:rFonts w:ascii="Times New Roman" w:eastAsia="Times New Roman" w:hAnsi="Times New Roman" w:cs="Times New Roman"/>
          <w:bCs/>
          <w:lang w:eastAsia="hu-HU"/>
        </w:rPr>
        <w:t>)</w:t>
      </w:r>
    </w:p>
    <w:p w:rsidR="00664C1B" w:rsidRPr="00664C1B" w:rsidRDefault="00664C1B" w:rsidP="00980876">
      <w:pPr>
        <w:widowControl w:val="0"/>
        <w:numPr>
          <w:ilvl w:val="1"/>
          <w:numId w:val="417"/>
        </w:numPr>
        <w:tabs>
          <w:tab w:val="clear" w:pos="3977"/>
          <w:tab w:val="left" w:pos="709"/>
          <w:tab w:val="num" w:pos="1566"/>
          <w:tab w:val="num" w:pos="2069"/>
        </w:tabs>
        <w:spacing w:before="120" w:after="120" w:line="240" w:lineRule="auto"/>
        <w:ind w:left="1134" w:hanging="708"/>
        <w:jc w:val="both"/>
        <w:rPr>
          <w:rFonts w:ascii="Times New Roman" w:eastAsia="Times New Roman" w:hAnsi="Times New Roman" w:cs="Times New Roman"/>
        </w:rPr>
      </w:pPr>
      <w:r w:rsidRPr="00664C1B">
        <w:rPr>
          <w:rFonts w:ascii="Times New Roman" w:eastAsia="Times New Roman" w:hAnsi="Times New Roman" w:cs="Times New Roman"/>
          <w:bCs/>
        </w:rPr>
        <w:t xml:space="preserve"> Az atmoszférikus és a vákuumdesztillációs folyamatok. </w:t>
      </w:r>
      <w:r w:rsidRPr="00664C1B">
        <w:rPr>
          <w:rFonts w:ascii="Times New Roman" w:eastAsia="Times New Roman" w:hAnsi="Times New Roman" w:cs="Times New Roman"/>
          <w:bCs/>
          <w:lang w:eastAsia="hu-HU"/>
        </w:rPr>
        <w:t>(</w:t>
      </w:r>
      <w:r w:rsidRPr="00664C1B">
        <w:rPr>
          <w:rFonts w:ascii="Times New Roman" w:eastAsia="Times New Roman" w:hAnsi="Times New Roman" w:cs="Times New Roman"/>
          <w:bCs/>
          <w:i/>
        </w:rPr>
        <w:t>Methods of atmospheric and vacuum distillation.</w:t>
      </w:r>
      <w:r w:rsidRPr="00664C1B">
        <w:rPr>
          <w:rFonts w:ascii="Times New Roman" w:eastAsia="Times New Roman" w:hAnsi="Times New Roman" w:cs="Times New Roman"/>
          <w:bCs/>
          <w:lang w:eastAsia="hu-HU"/>
        </w:rPr>
        <w:t>)</w:t>
      </w:r>
    </w:p>
    <w:p w:rsidR="00664C1B" w:rsidRPr="00664C1B" w:rsidRDefault="00664C1B" w:rsidP="00980876">
      <w:pPr>
        <w:widowControl w:val="0"/>
        <w:numPr>
          <w:ilvl w:val="1"/>
          <w:numId w:val="417"/>
        </w:numPr>
        <w:tabs>
          <w:tab w:val="clear" w:pos="3977"/>
          <w:tab w:val="left" w:pos="709"/>
          <w:tab w:val="num" w:pos="1566"/>
          <w:tab w:val="num" w:pos="2069"/>
        </w:tabs>
        <w:spacing w:before="120" w:after="120" w:line="240" w:lineRule="auto"/>
        <w:ind w:left="1134" w:hanging="708"/>
        <w:jc w:val="both"/>
        <w:rPr>
          <w:rFonts w:ascii="Times New Roman" w:eastAsia="Times New Roman" w:hAnsi="Times New Roman" w:cs="Times New Roman"/>
          <w:bCs/>
        </w:rPr>
      </w:pPr>
      <w:r w:rsidRPr="00664C1B">
        <w:rPr>
          <w:rFonts w:ascii="Times New Roman" w:eastAsia="Times New Roman" w:hAnsi="Times New Roman" w:cs="Times New Roman"/>
          <w:bCs/>
        </w:rPr>
        <w:t xml:space="preserve">A kőolajtermékek átalakításának folyamatai. </w:t>
      </w:r>
      <w:r w:rsidRPr="00664C1B">
        <w:rPr>
          <w:rFonts w:ascii="Times New Roman" w:eastAsia="Times New Roman" w:hAnsi="Times New Roman" w:cs="Times New Roman"/>
          <w:bCs/>
          <w:lang w:eastAsia="hu-HU"/>
        </w:rPr>
        <w:t>(</w:t>
      </w:r>
      <w:r w:rsidRPr="00664C1B">
        <w:rPr>
          <w:rFonts w:ascii="Times New Roman" w:eastAsia="Times New Roman" w:hAnsi="Times New Roman" w:cs="Times New Roman"/>
          <w:bCs/>
          <w:i/>
          <w:lang w:eastAsia="hu-HU"/>
        </w:rPr>
        <w:t xml:space="preserve">Transformation of oil </w:t>
      </w:r>
      <w:r w:rsidRPr="00664C1B">
        <w:rPr>
          <w:rFonts w:ascii="Times New Roman" w:eastAsia="Times New Roman" w:hAnsi="Times New Roman" w:cs="Times New Roman"/>
          <w:bCs/>
          <w:i/>
        </w:rPr>
        <w:t>products</w:t>
      </w:r>
      <w:r w:rsidRPr="00664C1B">
        <w:rPr>
          <w:rFonts w:ascii="Times New Roman" w:eastAsia="Times New Roman" w:hAnsi="Times New Roman" w:cs="Times New Roman"/>
          <w:bCs/>
        </w:rPr>
        <w:t>.)</w:t>
      </w:r>
    </w:p>
    <w:p w:rsidR="00664C1B" w:rsidRPr="00664C1B" w:rsidRDefault="00664C1B" w:rsidP="00980876">
      <w:pPr>
        <w:widowControl w:val="0"/>
        <w:numPr>
          <w:ilvl w:val="1"/>
          <w:numId w:val="417"/>
        </w:numPr>
        <w:tabs>
          <w:tab w:val="clear" w:pos="3977"/>
          <w:tab w:val="left" w:pos="709"/>
          <w:tab w:val="num" w:pos="1566"/>
          <w:tab w:val="num" w:pos="2069"/>
        </w:tabs>
        <w:spacing w:before="120" w:after="120" w:line="240" w:lineRule="auto"/>
        <w:ind w:left="1134" w:hanging="708"/>
        <w:jc w:val="both"/>
        <w:rPr>
          <w:rFonts w:ascii="Times New Roman" w:eastAsia="Times New Roman" w:hAnsi="Times New Roman" w:cs="Times New Roman"/>
          <w:bCs/>
        </w:rPr>
      </w:pPr>
      <w:r w:rsidRPr="00664C1B">
        <w:rPr>
          <w:rFonts w:ascii="Times New Roman" w:eastAsia="Times New Roman" w:hAnsi="Times New Roman" w:cs="Times New Roman"/>
          <w:bCs/>
        </w:rPr>
        <w:t>Kenőanyagok szerkezete, kémiai és fizikai jellemzői. (</w:t>
      </w:r>
      <w:r w:rsidRPr="00664C1B">
        <w:rPr>
          <w:rFonts w:ascii="Times New Roman" w:eastAsia="Times New Roman" w:hAnsi="Times New Roman" w:cs="Times New Roman"/>
          <w:bCs/>
          <w:i/>
        </w:rPr>
        <w:t>Composition, physico-chemical properties of oil, lubricants.</w:t>
      </w:r>
      <w:r w:rsidRPr="00664C1B">
        <w:rPr>
          <w:rFonts w:ascii="Times New Roman" w:eastAsia="Times New Roman" w:hAnsi="Times New Roman" w:cs="Times New Roman"/>
          <w:bCs/>
        </w:rPr>
        <w:t>)</w:t>
      </w:r>
    </w:p>
    <w:p w:rsidR="00664C1B" w:rsidRPr="00664C1B" w:rsidRDefault="00664C1B" w:rsidP="00980876">
      <w:pPr>
        <w:widowControl w:val="0"/>
        <w:numPr>
          <w:ilvl w:val="0"/>
          <w:numId w:val="417"/>
        </w:numPr>
        <w:tabs>
          <w:tab w:val="num" w:pos="360"/>
        </w:tabs>
        <w:spacing w:before="120" w:after="120" w:line="240" w:lineRule="auto"/>
        <w:ind w:left="426" w:hanging="142"/>
        <w:jc w:val="both"/>
        <w:rPr>
          <w:rFonts w:ascii="Times New Roman" w:eastAsia="Times New Roman" w:hAnsi="Times New Roman" w:cs="Times New Roman"/>
          <w:bCs/>
        </w:rPr>
      </w:pPr>
      <w:r w:rsidRPr="00664C1B">
        <w:rPr>
          <w:rFonts w:ascii="Times New Roman" w:eastAsia="Times New Roman" w:hAnsi="Times New Roman" w:cs="Times New Roman"/>
          <w:b/>
          <w:bCs/>
        </w:rPr>
        <w:t>A tantárgy meghirdetésének gyakorisága/a tantervben történő félévi elhelyezkedése: 5</w:t>
      </w:r>
      <w:r w:rsidRPr="00664C1B">
        <w:rPr>
          <w:rFonts w:ascii="Times New Roman" w:eastAsia="Times New Roman" w:hAnsi="Times New Roman" w:cs="Times New Roman"/>
          <w:bCs/>
        </w:rPr>
        <w:t>. félév</w:t>
      </w:r>
    </w:p>
    <w:p w:rsidR="00664C1B" w:rsidRPr="00664C1B" w:rsidRDefault="00664C1B" w:rsidP="00980876">
      <w:pPr>
        <w:widowControl w:val="0"/>
        <w:numPr>
          <w:ilvl w:val="0"/>
          <w:numId w:val="417"/>
        </w:numPr>
        <w:tabs>
          <w:tab w:val="num" w:pos="360"/>
        </w:tabs>
        <w:spacing w:before="120" w:after="120" w:line="240" w:lineRule="auto"/>
        <w:ind w:left="426" w:hanging="142"/>
        <w:jc w:val="both"/>
        <w:rPr>
          <w:rFonts w:ascii="Times New Roman" w:eastAsia="Times New Roman" w:hAnsi="Times New Roman" w:cs="Times New Roman"/>
          <w:bCs/>
        </w:rPr>
      </w:pPr>
      <w:r w:rsidRPr="00664C1B">
        <w:rPr>
          <w:rFonts w:ascii="Times New Roman" w:eastAsia="Times New Roman" w:hAnsi="Times New Roman" w:cs="Times New Roman"/>
          <w:b/>
          <w:bCs/>
        </w:rPr>
        <w:t>A tanórákon való részvétel követelményei, az elfogadható hiányzások mértéke, a távolmaradás pótlásának lehetősége:</w:t>
      </w:r>
      <w:r w:rsidRPr="00664C1B">
        <w:rPr>
          <w:rFonts w:ascii="Times New Roman" w:eastAsia="Times New Roman" w:hAnsi="Times New Roman" w:cs="Times New Roman"/>
          <w:bCs/>
        </w:rPr>
        <w:t xml:space="preserve"> </w:t>
      </w:r>
    </w:p>
    <w:p w:rsidR="00664C1B" w:rsidRPr="00664C1B" w:rsidRDefault="00664C1B" w:rsidP="00664C1B">
      <w:pPr>
        <w:widowControl w:val="0"/>
        <w:spacing w:before="120" w:after="120" w:line="240" w:lineRule="auto"/>
        <w:ind w:left="426"/>
        <w:jc w:val="both"/>
        <w:rPr>
          <w:rFonts w:ascii="Times New Roman" w:eastAsia="Times New Roman" w:hAnsi="Times New Roman" w:cs="Times New Roman"/>
          <w:bCs/>
        </w:rPr>
      </w:pPr>
      <w:r w:rsidRPr="00664C1B">
        <w:rPr>
          <w:rFonts w:ascii="Times New Roman" w:eastAsia="Times New Roman" w:hAnsi="Times New Roman" w:cs="Times New Roman"/>
          <w:bCs/>
        </w:rPr>
        <w:t>A hallgatónak a tanórák legalább 70 %-án jelen kell lennie, 30 %-ot meghaladó hiányzás esetén a félév teljesítése nem írható alá. A hallgató köteles az előadás és a gyakorlat anyagát beszerezni, abból önállóan felkészülni. A hiányzás pótolható az oktató által kijelölt témakörben beadott, legalább elégségesre értékelt házidolgozattal.</w:t>
      </w:r>
    </w:p>
    <w:p w:rsidR="00664C1B" w:rsidRPr="00664C1B" w:rsidRDefault="00664C1B" w:rsidP="00980876">
      <w:pPr>
        <w:widowControl w:val="0"/>
        <w:numPr>
          <w:ilvl w:val="0"/>
          <w:numId w:val="417"/>
        </w:numPr>
        <w:tabs>
          <w:tab w:val="num" w:pos="360"/>
        </w:tabs>
        <w:spacing w:before="120" w:after="120" w:line="240" w:lineRule="auto"/>
        <w:ind w:left="426" w:hanging="142"/>
        <w:jc w:val="both"/>
        <w:rPr>
          <w:rFonts w:ascii="Times New Roman" w:eastAsia="Times New Roman" w:hAnsi="Times New Roman" w:cs="Times New Roman"/>
          <w:bCs/>
        </w:rPr>
      </w:pPr>
      <w:r w:rsidRPr="00664C1B">
        <w:rPr>
          <w:rFonts w:ascii="Times New Roman" w:eastAsia="Times New Roman" w:hAnsi="Times New Roman" w:cs="Times New Roman"/>
          <w:b/>
        </w:rPr>
        <w:t>Félévközi feladatok, ismeretek ellenőrzésének rendje:</w:t>
      </w:r>
      <w:r w:rsidRPr="00664C1B">
        <w:rPr>
          <w:rFonts w:ascii="Times New Roman" w:eastAsia="Times New Roman" w:hAnsi="Times New Roman" w:cs="Times New Roman"/>
          <w:bCs/>
        </w:rPr>
        <w:t xml:space="preserve"> A félév során a hallgató egy zárthelyi dolgozatot ír. </w:t>
      </w:r>
      <w:r w:rsidRPr="00664C1B">
        <w:rPr>
          <w:rFonts w:ascii="Times New Roman" w:eastAsia="Times New Roman" w:hAnsi="Times New Roman" w:cs="Times New Roman"/>
          <w:bCs/>
          <w:lang w:eastAsia="hu-HU"/>
        </w:rPr>
        <w:t>Zárthelyi dolgozat a 12.1-12.14 tantárgyrészekből.</w:t>
      </w:r>
      <w:r w:rsidRPr="00664C1B">
        <w:rPr>
          <w:rFonts w:ascii="Times New Roman" w:eastAsia="Times New Roman" w:hAnsi="Times New Roman" w:cs="Times New Roman"/>
          <w:lang w:eastAsia="hu-HU"/>
        </w:rPr>
        <w:t xml:space="preserve"> </w:t>
      </w:r>
      <w:r w:rsidRPr="00664C1B">
        <w:rPr>
          <w:rFonts w:ascii="Times New Roman" w:eastAsia="Times New Roman" w:hAnsi="Times New Roman" w:cs="Times New Roman"/>
          <w:bCs/>
          <w:lang w:eastAsia="hu-HU"/>
        </w:rPr>
        <w:t>A zárthelyi dolgozat témáit a kötelező irodalmak anyagából, illetve az előadásokon elhangzott ismeretanyagból kell összeállítani. A zárthelyi dolgozat értékelése ötfokozatú értékelés (a helyes válaszok aránya 0-60% elégtelen; 61-70% elégséges; 71-80% közepes; 81-90% jó; 91-100% jeles osztályzat). Eredménytelen zárthelyi dolgozat kétszer javítható</w:t>
      </w:r>
      <w:r w:rsidRPr="00664C1B">
        <w:rPr>
          <w:rFonts w:ascii="Calibri" w:eastAsia="Calibri" w:hAnsi="Calibri" w:cs="Times New Roman"/>
        </w:rPr>
        <w:t xml:space="preserve"> </w:t>
      </w:r>
      <w:r w:rsidRPr="00664C1B">
        <w:rPr>
          <w:rFonts w:ascii="Times New Roman" w:eastAsia="Times New Roman" w:hAnsi="Times New Roman" w:cs="Times New Roman"/>
          <w:bCs/>
          <w:lang w:eastAsia="hu-HU"/>
        </w:rPr>
        <w:t>a szorgalmi időszak végéig az oktatóval egyeztetett időpontokban</w:t>
      </w:r>
      <w:r w:rsidRPr="00664C1B">
        <w:rPr>
          <w:rFonts w:ascii="Times New Roman" w:eastAsia="Times New Roman" w:hAnsi="Times New Roman" w:cs="Times New Roman"/>
          <w:b/>
          <w:bCs/>
          <w:lang w:eastAsia="hu-HU"/>
        </w:rPr>
        <w:t>.</w:t>
      </w:r>
      <w:r w:rsidRPr="00664C1B">
        <w:rPr>
          <w:rFonts w:ascii="Times New Roman" w:eastAsia="Times New Roman" w:hAnsi="Times New Roman" w:cs="Times New Roman"/>
          <w:bCs/>
          <w:lang w:eastAsia="hu-HU"/>
        </w:rPr>
        <w:t xml:space="preserve"> A dolgozatban teszt és esszé jellegű kérdések egyaránt szerepelnek.</w:t>
      </w:r>
    </w:p>
    <w:p w:rsidR="00664C1B" w:rsidRPr="00664C1B" w:rsidRDefault="00664C1B" w:rsidP="00980876">
      <w:pPr>
        <w:widowControl w:val="0"/>
        <w:numPr>
          <w:ilvl w:val="0"/>
          <w:numId w:val="417"/>
        </w:numPr>
        <w:spacing w:before="120" w:after="120" w:line="240" w:lineRule="auto"/>
        <w:ind w:left="426" w:hanging="142"/>
        <w:jc w:val="both"/>
        <w:rPr>
          <w:rFonts w:ascii="Times New Roman" w:eastAsia="Times New Roman" w:hAnsi="Times New Roman" w:cs="Times New Roman"/>
          <w:b/>
          <w:bCs/>
        </w:rPr>
      </w:pPr>
      <w:r w:rsidRPr="00664C1B">
        <w:rPr>
          <w:rFonts w:ascii="Times New Roman" w:eastAsia="Times New Roman" w:hAnsi="Times New Roman" w:cs="Times New Roman"/>
          <w:b/>
          <w:bCs/>
        </w:rPr>
        <w:t xml:space="preserve">Az értékelés, az aláírás és a kreditek megszerzésének pontos feltételei: </w:t>
      </w:r>
    </w:p>
    <w:p w:rsidR="00664C1B" w:rsidRPr="00664C1B" w:rsidRDefault="00664C1B" w:rsidP="00980876">
      <w:pPr>
        <w:widowControl w:val="0"/>
        <w:numPr>
          <w:ilvl w:val="1"/>
          <w:numId w:val="417"/>
        </w:numPr>
        <w:tabs>
          <w:tab w:val="clear" w:pos="3977"/>
          <w:tab w:val="left" w:pos="709"/>
          <w:tab w:val="left" w:pos="993"/>
          <w:tab w:val="num" w:pos="1566"/>
          <w:tab w:val="num" w:pos="2069"/>
        </w:tabs>
        <w:spacing w:before="120" w:after="120" w:line="240" w:lineRule="auto"/>
        <w:ind w:left="426" w:firstLine="0"/>
        <w:jc w:val="both"/>
        <w:rPr>
          <w:rFonts w:ascii="Times New Roman" w:eastAsia="Times New Roman" w:hAnsi="Times New Roman" w:cs="Times New Roman"/>
        </w:rPr>
      </w:pPr>
      <w:r w:rsidRPr="00664C1B">
        <w:rPr>
          <w:rFonts w:ascii="Times New Roman" w:eastAsia="Times New Roman" w:hAnsi="Times New Roman" w:cs="Times New Roman"/>
          <w:b/>
        </w:rPr>
        <w:t>Az aláírás megszerzésének feltételei:</w:t>
      </w:r>
      <w:r w:rsidRPr="00664C1B">
        <w:rPr>
          <w:rFonts w:ascii="Times New Roman" w:eastAsia="Times New Roman" w:hAnsi="Times New Roman" w:cs="Times New Roman"/>
        </w:rPr>
        <w:t xml:space="preserve"> Az aláírás megszerzésének feltétele a 14. pontban meghatározott arányú részvétel a foglalkozásokon és a 15. pontban meghatározott félévközi feladatok legalább elégséges teljesítése.</w:t>
      </w:r>
    </w:p>
    <w:p w:rsidR="00664C1B" w:rsidRPr="00664C1B" w:rsidRDefault="00664C1B" w:rsidP="00980876">
      <w:pPr>
        <w:widowControl w:val="0"/>
        <w:numPr>
          <w:ilvl w:val="1"/>
          <w:numId w:val="417"/>
        </w:numPr>
        <w:tabs>
          <w:tab w:val="clear" w:pos="3977"/>
          <w:tab w:val="left" w:pos="709"/>
          <w:tab w:val="left" w:pos="993"/>
          <w:tab w:val="num" w:pos="1566"/>
          <w:tab w:val="num" w:pos="2069"/>
        </w:tabs>
        <w:spacing w:before="120" w:after="120" w:line="240" w:lineRule="auto"/>
        <w:ind w:left="426" w:firstLine="0"/>
        <w:jc w:val="both"/>
        <w:rPr>
          <w:rFonts w:ascii="Times New Roman" w:eastAsia="Times New Roman" w:hAnsi="Times New Roman" w:cs="Times New Roman"/>
        </w:rPr>
      </w:pPr>
      <w:r w:rsidRPr="00664C1B">
        <w:rPr>
          <w:rFonts w:ascii="Times New Roman" w:eastAsia="Times New Roman" w:hAnsi="Times New Roman" w:cs="Times New Roman"/>
          <w:b/>
        </w:rPr>
        <w:t>Az értékelés:</w:t>
      </w:r>
      <w:r w:rsidRPr="00664C1B">
        <w:rPr>
          <w:rFonts w:ascii="Times New Roman" w:eastAsia="Times New Roman" w:hAnsi="Times New Roman" w:cs="Times New Roman"/>
        </w:rPr>
        <w:t xml:space="preserve"> </w:t>
      </w:r>
      <w:r w:rsidRPr="00664C1B">
        <w:rPr>
          <w:rFonts w:ascii="Times New Roman" w:eastAsia="Calibri" w:hAnsi="Times New Roman" w:cs="Times New Roman"/>
        </w:rPr>
        <w:t>évközi értékelés, ötfokozatú értékelés.</w:t>
      </w:r>
      <w:r w:rsidRPr="00664C1B">
        <w:rPr>
          <w:rFonts w:ascii="Times New Roman" w:eastAsia="Times New Roman" w:hAnsi="Times New Roman" w:cs="Times New Roman"/>
          <w:bCs/>
        </w:rPr>
        <w:t xml:space="preserve"> </w:t>
      </w:r>
      <w:r w:rsidRPr="00664C1B">
        <w:rPr>
          <w:rFonts w:ascii="Times New Roman" w:eastAsia="Calibri" w:hAnsi="Times New Roman" w:cs="Times New Roman"/>
          <w:bCs/>
        </w:rPr>
        <w:t xml:space="preserve">Az évközi értékelést az elért </w:t>
      </w:r>
      <w:r w:rsidRPr="00664C1B">
        <w:rPr>
          <w:rFonts w:ascii="Times New Roman" w:eastAsia="Calibri" w:hAnsi="Times New Roman" w:cs="Times New Roman"/>
          <w:bCs/>
        </w:rPr>
        <w:lastRenderedPageBreak/>
        <w:t>eredmények kerekített matematikai átlaga képezi.</w:t>
      </w:r>
    </w:p>
    <w:p w:rsidR="00664C1B" w:rsidRPr="00664C1B" w:rsidRDefault="00664C1B" w:rsidP="00980876">
      <w:pPr>
        <w:widowControl w:val="0"/>
        <w:numPr>
          <w:ilvl w:val="1"/>
          <w:numId w:val="417"/>
        </w:numPr>
        <w:tabs>
          <w:tab w:val="clear" w:pos="3977"/>
          <w:tab w:val="left" w:pos="709"/>
          <w:tab w:val="left" w:pos="993"/>
          <w:tab w:val="num" w:pos="1566"/>
          <w:tab w:val="num" w:pos="2069"/>
        </w:tabs>
        <w:spacing w:before="120" w:after="120" w:line="240" w:lineRule="auto"/>
        <w:ind w:left="426" w:firstLine="0"/>
        <w:jc w:val="both"/>
        <w:rPr>
          <w:rFonts w:ascii="Times New Roman" w:eastAsia="Times New Roman" w:hAnsi="Times New Roman" w:cs="Times New Roman"/>
        </w:rPr>
      </w:pPr>
      <w:r w:rsidRPr="00664C1B">
        <w:rPr>
          <w:rFonts w:ascii="Times New Roman" w:eastAsia="Times New Roman" w:hAnsi="Times New Roman" w:cs="Times New Roman"/>
          <w:b/>
        </w:rPr>
        <w:t>A kreditek megszerzésének feltételei:</w:t>
      </w:r>
      <w:r w:rsidRPr="00664C1B">
        <w:rPr>
          <w:rFonts w:ascii="Times New Roman" w:eastAsia="Times New Roman" w:hAnsi="Times New Roman" w:cs="Times New Roman"/>
        </w:rPr>
        <w:t xml:space="preserve"> az aláírás megszerzése és legalább elégséges</w:t>
      </w:r>
      <w:r w:rsidRPr="00664C1B">
        <w:rPr>
          <w:rFonts w:ascii="Times New Roman" w:eastAsia="Times New Roman" w:hAnsi="Times New Roman" w:cs="Times New Roman"/>
          <w:b/>
        </w:rPr>
        <w:t xml:space="preserve"> </w:t>
      </w:r>
      <w:r w:rsidRPr="00664C1B">
        <w:rPr>
          <w:rFonts w:ascii="Times New Roman" w:eastAsia="Times New Roman" w:hAnsi="Times New Roman" w:cs="Times New Roman"/>
        </w:rPr>
        <w:t>évközi értékelés</w:t>
      </w:r>
      <w:r w:rsidRPr="00664C1B">
        <w:rPr>
          <w:rFonts w:ascii="Times New Roman" w:eastAsia="Times New Roman" w:hAnsi="Times New Roman" w:cs="Times New Roman"/>
          <w:bCs/>
        </w:rPr>
        <w:t>.</w:t>
      </w:r>
    </w:p>
    <w:p w:rsidR="00664C1B" w:rsidRPr="00664C1B" w:rsidRDefault="00664C1B" w:rsidP="00980876">
      <w:pPr>
        <w:widowControl w:val="0"/>
        <w:numPr>
          <w:ilvl w:val="0"/>
          <w:numId w:val="417"/>
        </w:numPr>
        <w:tabs>
          <w:tab w:val="num" w:pos="360"/>
        </w:tabs>
        <w:spacing w:before="120" w:after="120" w:line="240" w:lineRule="auto"/>
        <w:ind w:left="426" w:hanging="142"/>
        <w:jc w:val="both"/>
        <w:rPr>
          <w:rFonts w:ascii="Times New Roman" w:eastAsia="Times New Roman" w:hAnsi="Times New Roman" w:cs="Times New Roman"/>
          <w:bCs/>
        </w:rPr>
      </w:pPr>
      <w:r w:rsidRPr="00664C1B">
        <w:rPr>
          <w:rFonts w:ascii="Times New Roman" w:eastAsia="Times New Roman" w:hAnsi="Times New Roman" w:cs="Times New Roman"/>
          <w:b/>
          <w:bCs/>
        </w:rPr>
        <w:t>Irodalomjegyzék:</w:t>
      </w:r>
    </w:p>
    <w:p w:rsidR="00664C1B" w:rsidRPr="00664C1B" w:rsidRDefault="00664C1B" w:rsidP="00980876">
      <w:pPr>
        <w:widowControl w:val="0"/>
        <w:numPr>
          <w:ilvl w:val="1"/>
          <w:numId w:val="417"/>
        </w:numPr>
        <w:tabs>
          <w:tab w:val="clear" w:pos="3977"/>
          <w:tab w:val="left" w:pos="567"/>
          <w:tab w:val="left" w:pos="851"/>
          <w:tab w:val="num" w:pos="1566"/>
          <w:tab w:val="num" w:pos="2069"/>
        </w:tabs>
        <w:spacing w:before="120" w:after="120" w:line="240" w:lineRule="auto"/>
        <w:ind w:left="426" w:hanging="142"/>
        <w:jc w:val="both"/>
        <w:rPr>
          <w:rFonts w:ascii="Times New Roman" w:eastAsia="Times New Roman" w:hAnsi="Times New Roman" w:cs="Times New Roman"/>
          <w:bCs/>
        </w:rPr>
      </w:pPr>
      <w:r w:rsidRPr="00664C1B">
        <w:rPr>
          <w:rFonts w:ascii="Times New Roman" w:eastAsia="Times New Roman" w:hAnsi="Times New Roman" w:cs="Times New Roman"/>
          <w:b/>
          <w:bCs/>
        </w:rPr>
        <w:t>Kötelező irodalom:</w:t>
      </w:r>
    </w:p>
    <w:p w:rsidR="00664C1B" w:rsidRPr="00664C1B" w:rsidRDefault="00664C1B" w:rsidP="00980876">
      <w:pPr>
        <w:widowControl w:val="0"/>
        <w:numPr>
          <w:ilvl w:val="0"/>
          <w:numId w:val="418"/>
        </w:numPr>
        <w:spacing w:after="0" w:line="240" w:lineRule="auto"/>
        <w:contextualSpacing/>
        <w:jc w:val="both"/>
        <w:rPr>
          <w:rFonts w:ascii="Times New Roman" w:eastAsia="Times New Roman" w:hAnsi="Times New Roman" w:cs="Times New Roman"/>
        </w:rPr>
      </w:pPr>
      <w:r w:rsidRPr="00664C1B">
        <w:rPr>
          <w:rFonts w:ascii="Times New Roman" w:eastAsia="Times New Roman" w:hAnsi="Times New Roman" w:cs="Times New Roman"/>
        </w:rPr>
        <w:t>Baranyiné C Veres Anna: Anyag és gyártásismeret (Műszaki könyvkiadó, Budapest, 2003.) ISBN: 9789631619713</w:t>
      </w:r>
    </w:p>
    <w:p w:rsidR="00664C1B" w:rsidRPr="00664C1B" w:rsidRDefault="00664C1B" w:rsidP="00980876">
      <w:pPr>
        <w:widowControl w:val="0"/>
        <w:numPr>
          <w:ilvl w:val="0"/>
          <w:numId w:val="418"/>
        </w:numPr>
        <w:spacing w:after="0" w:line="240" w:lineRule="auto"/>
        <w:contextualSpacing/>
        <w:jc w:val="both"/>
        <w:rPr>
          <w:rFonts w:ascii="Times New Roman" w:eastAsia="Times New Roman" w:hAnsi="Times New Roman" w:cs="Times New Roman"/>
        </w:rPr>
      </w:pPr>
      <w:r w:rsidRPr="00664C1B">
        <w:rPr>
          <w:rFonts w:ascii="Times New Roman" w:eastAsia="Times New Roman" w:hAnsi="Times New Roman" w:cs="Times New Roman"/>
        </w:rPr>
        <w:t>Lukács Attila: Autóipari anyag- és gyártásismeret (Műszaki könyvkiadó, Budapest, 1993.) ISBN: 9631600432</w:t>
      </w:r>
    </w:p>
    <w:p w:rsidR="00664C1B" w:rsidRPr="00664C1B" w:rsidRDefault="00664C1B" w:rsidP="00980876">
      <w:pPr>
        <w:widowControl w:val="0"/>
        <w:numPr>
          <w:ilvl w:val="0"/>
          <w:numId w:val="418"/>
        </w:numPr>
        <w:spacing w:after="0" w:line="240" w:lineRule="auto"/>
        <w:contextualSpacing/>
        <w:jc w:val="both"/>
        <w:rPr>
          <w:rFonts w:ascii="Times New Roman" w:eastAsia="Times New Roman" w:hAnsi="Times New Roman" w:cs="Times New Roman"/>
        </w:rPr>
      </w:pPr>
      <w:r w:rsidRPr="00664C1B">
        <w:rPr>
          <w:rFonts w:ascii="Times New Roman" w:eastAsia="Times New Roman" w:hAnsi="Times New Roman" w:cs="Times New Roman"/>
        </w:rPr>
        <w:t>Fiedler György: Anyagismeret. Bolyai János Katonai Műszaki Főiskola, Budapest, 1999. 218 p.</w:t>
      </w:r>
    </w:p>
    <w:p w:rsidR="00664C1B" w:rsidRPr="00664C1B" w:rsidRDefault="00664C1B" w:rsidP="00980876">
      <w:pPr>
        <w:widowControl w:val="0"/>
        <w:numPr>
          <w:ilvl w:val="1"/>
          <w:numId w:val="417"/>
        </w:numPr>
        <w:tabs>
          <w:tab w:val="clear" w:pos="3977"/>
          <w:tab w:val="num" w:pos="567"/>
          <w:tab w:val="num" w:pos="1566"/>
          <w:tab w:val="num" w:pos="2069"/>
        </w:tabs>
        <w:spacing w:before="120" w:after="120" w:line="240" w:lineRule="auto"/>
        <w:ind w:left="993" w:hanging="709"/>
        <w:jc w:val="both"/>
        <w:rPr>
          <w:rFonts w:ascii="Times New Roman" w:eastAsia="Times New Roman" w:hAnsi="Times New Roman" w:cs="Times New Roman"/>
          <w:b/>
          <w:bCs/>
        </w:rPr>
      </w:pPr>
      <w:r w:rsidRPr="00664C1B">
        <w:rPr>
          <w:rFonts w:ascii="Times New Roman" w:eastAsia="Times New Roman" w:hAnsi="Times New Roman" w:cs="Times New Roman"/>
          <w:b/>
          <w:bCs/>
        </w:rPr>
        <w:t>Ajánlott irodalom:</w:t>
      </w:r>
    </w:p>
    <w:p w:rsidR="00664C1B" w:rsidRPr="00664C1B" w:rsidRDefault="00664C1B" w:rsidP="00980876">
      <w:pPr>
        <w:widowControl w:val="0"/>
        <w:numPr>
          <w:ilvl w:val="0"/>
          <w:numId w:val="419"/>
        </w:numPr>
        <w:spacing w:after="0" w:line="240" w:lineRule="auto"/>
        <w:contextualSpacing/>
        <w:jc w:val="both"/>
        <w:rPr>
          <w:rFonts w:ascii="Times New Roman" w:eastAsia="Times New Roman" w:hAnsi="Times New Roman" w:cs="Times New Roman"/>
        </w:rPr>
      </w:pPr>
      <w:r w:rsidRPr="00664C1B">
        <w:rPr>
          <w:rFonts w:ascii="Times New Roman" w:eastAsia="Times New Roman" w:hAnsi="Times New Roman" w:cs="Times New Roman"/>
        </w:rPr>
        <w:t>Dormán Lajos: Gépészeti anyagismeret I. Újvidék 2001.</w:t>
      </w:r>
    </w:p>
    <w:p w:rsidR="00664C1B" w:rsidRPr="00664C1B" w:rsidRDefault="00664C1B" w:rsidP="00980876">
      <w:pPr>
        <w:widowControl w:val="0"/>
        <w:numPr>
          <w:ilvl w:val="0"/>
          <w:numId w:val="419"/>
        </w:numPr>
        <w:contextualSpacing/>
        <w:rPr>
          <w:rFonts w:ascii="Times New Roman" w:eastAsia="Times New Roman" w:hAnsi="Times New Roman" w:cs="Times New Roman"/>
        </w:rPr>
      </w:pPr>
      <w:r w:rsidRPr="00664C1B">
        <w:rPr>
          <w:rFonts w:ascii="Times New Roman" w:eastAsia="Times New Roman" w:hAnsi="Times New Roman" w:cs="Times New Roman"/>
        </w:rPr>
        <w:t>Dr. Bagyinszki Gyula: Fémek</w:t>
      </w:r>
      <w:r w:rsidRPr="00664C1B">
        <w:rPr>
          <w:rFonts w:ascii="Times New Roman" w:eastAsia="Calibri" w:hAnsi="Times New Roman" w:cs="Times New Roman"/>
        </w:rPr>
        <w:t xml:space="preserve"> </w:t>
      </w:r>
      <w:r w:rsidRPr="00664C1B">
        <w:rPr>
          <w:rFonts w:ascii="Times New Roman" w:eastAsia="Times New Roman" w:hAnsi="Times New Roman" w:cs="Times New Roman"/>
        </w:rPr>
        <w:t>szerkezete, tulajdonságai és alkalmazhatósága a technológiai hatások tükrében. Bánki Donát Gépész és Biztonságtechnikai Mérnöki Kar Anyagtudományi és Gyártástechnológiai Intézet, Budapest, 2014.</w:t>
      </w:r>
    </w:p>
    <w:p w:rsidR="00664C1B" w:rsidRPr="00664C1B" w:rsidRDefault="00664C1B" w:rsidP="00664C1B">
      <w:pPr>
        <w:widowControl w:val="0"/>
        <w:spacing w:after="0" w:line="240" w:lineRule="auto"/>
        <w:ind w:left="720"/>
        <w:contextualSpacing/>
        <w:jc w:val="both"/>
        <w:rPr>
          <w:rFonts w:ascii="Times New Roman" w:eastAsia="Times New Roman" w:hAnsi="Times New Roman" w:cs="Times New Roman"/>
          <w:bCs/>
        </w:rPr>
      </w:pPr>
    </w:p>
    <w:p w:rsidR="00664C1B" w:rsidRPr="00664C1B" w:rsidRDefault="00664C1B" w:rsidP="00664C1B">
      <w:pPr>
        <w:widowControl w:val="0"/>
        <w:spacing w:before="120" w:after="120" w:line="240" w:lineRule="auto"/>
        <w:jc w:val="both"/>
        <w:rPr>
          <w:rFonts w:ascii="Times New Roman" w:eastAsia="Times New Roman" w:hAnsi="Times New Roman" w:cs="Times New Roman"/>
          <w:bCs/>
        </w:rPr>
      </w:pPr>
      <w:r w:rsidRPr="00664C1B">
        <w:rPr>
          <w:rFonts w:ascii="Times New Roman" w:eastAsia="Times New Roman" w:hAnsi="Times New Roman" w:cs="Times New Roman"/>
          <w:bCs/>
        </w:rPr>
        <w:t>Budapest, 2020. március 9.</w:t>
      </w:r>
    </w:p>
    <w:p w:rsidR="00664C1B" w:rsidRPr="00664C1B" w:rsidRDefault="00664C1B" w:rsidP="00664C1B">
      <w:pPr>
        <w:widowControl w:val="0"/>
        <w:spacing w:before="120" w:after="120" w:line="240" w:lineRule="auto"/>
        <w:jc w:val="both"/>
        <w:rPr>
          <w:rFonts w:ascii="Times New Roman" w:eastAsia="Times New Roman" w:hAnsi="Times New Roman" w:cs="Times New Roman"/>
          <w:bCs/>
        </w:rPr>
      </w:pPr>
    </w:p>
    <w:p w:rsidR="00664C1B" w:rsidRPr="009B293D" w:rsidRDefault="00664C1B" w:rsidP="00664C1B">
      <w:pPr>
        <w:widowControl w:val="0"/>
        <w:spacing w:after="0" w:line="240" w:lineRule="auto"/>
        <w:jc w:val="right"/>
        <w:rPr>
          <w:rFonts w:ascii="Times New Roman" w:eastAsia="Times New Roman" w:hAnsi="Times New Roman" w:cs="Times New Roman"/>
          <w:b/>
          <w:bCs/>
        </w:rPr>
      </w:pPr>
      <w:r w:rsidRPr="009B293D">
        <w:rPr>
          <w:rFonts w:ascii="Times New Roman" w:eastAsia="Times New Roman" w:hAnsi="Times New Roman" w:cs="Times New Roman"/>
          <w:b/>
          <w:bCs/>
        </w:rPr>
        <w:t>Dr. Hegedűs Ernő PhD</w:t>
      </w:r>
    </w:p>
    <w:p w:rsidR="00664C1B" w:rsidRPr="00664C1B" w:rsidRDefault="00664C1B" w:rsidP="00664C1B">
      <w:pPr>
        <w:widowControl w:val="0"/>
        <w:spacing w:after="0" w:line="240" w:lineRule="auto"/>
        <w:jc w:val="right"/>
        <w:rPr>
          <w:rFonts w:ascii="Times New Roman" w:eastAsia="Times New Roman" w:hAnsi="Times New Roman" w:cs="Times New Roman"/>
          <w:bCs/>
        </w:rPr>
      </w:pPr>
      <w:r w:rsidRPr="00664C1B">
        <w:rPr>
          <w:rFonts w:ascii="Times New Roman" w:eastAsia="Times New Roman" w:hAnsi="Times New Roman" w:cs="Times New Roman"/>
          <w:bCs/>
        </w:rPr>
        <w:t>egyetemi tanársegéd</w:t>
      </w:r>
    </w:p>
    <w:p w:rsidR="00664C1B" w:rsidRPr="00664C1B" w:rsidRDefault="00664C1B" w:rsidP="00664C1B">
      <w:pPr>
        <w:widowControl w:val="0"/>
        <w:spacing w:after="0" w:line="240" w:lineRule="auto"/>
        <w:jc w:val="right"/>
        <w:rPr>
          <w:rFonts w:ascii="Times New Roman" w:eastAsia="Times New Roman" w:hAnsi="Times New Roman" w:cs="Times New Roman"/>
          <w:bCs/>
        </w:rPr>
      </w:pPr>
      <w:r w:rsidRPr="00664C1B">
        <w:rPr>
          <w:rFonts w:ascii="Times New Roman" w:eastAsia="Times New Roman" w:hAnsi="Times New Roman" w:cs="Times New Roman"/>
          <w:bCs/>
        </w:rPr>
        <w:t>tantárgyfelelős, sk.</w:t>
      </w:r>
    </w:p>
    <w:p w:rsidR="00584D88" w:rsidRDefault="00584D88">
      <w:pPr>
        <w:spacing w:after="200" w:line="276" w:lineRule="auto"/>
        <w:rPr>
          <w:rFonts w:ascii="Times New Roman" w:hAnsi="Times New Roman" w:cs="Times New Roman"/>
          <w:sz w:val="24"/>
        </w:rPr>
      </w:pPr>
    </w:p>
    <w:p w:rsidR="00096F0E" w:rsidRDefault="00096F0E">
      <w:pPr>
        <w:spacing w:after="200" w:line="276" w:lineRule="auto"/>
        <w:rPr>
          <w:rFonts w:ascii="Times New Roman" w:hAnsi="Times New Roman" w:cs="Times New Roman"/>
          <w:sz w:val="24"/>
        </w:rPr>
      </w:pPr>
      <w:r>
        <w:rPr>
          <w:rFonts w:ascii="Times New Roman" w:hAnsi="Times New Roman" w:cs="Times New Roman"/>
          <w:sz w:val="24"/>
        </w:rPr>
        <w:br w:type="page"/>
      </w:r>
    </w:p>
    <w:tbl>
      <w:tblPr>
        <w:tblW w:w="9072" w:type="dxa"/>
        <w:tblInd w:w="113" w:type="dxa"/>
        <w:tblLook w:val="01E0" w:firstRow="1" w:lastRow="1" w:firstColumn="1" w:lastColumn="1" w:noHBand="0" w:noVBand="0"/>
      </w:tblPr>
      <w:tblGrid>
        <w:gridCol w:w="4855"/>
        <w:gridCol w:w="1620"/>
        <w:gridCol w:w="2597"/>
      </w:tblGrid>
      <w:tr w:rsidR="00664C1B" w:rsidRPr="00664C1B" w:rsidTr="00632BDC">
        <w:tc>
          <w:tcPr>
            <w:tcW w:w="4855" w:type="dxa"/>
            <w:tcBorders>
              <w:top w:val="nil"/>
              <w:left w:val="nil"/>
              <w:bottom w:val="single" w:sz="4" w:space="0" w:color="auto"/>
              <w:right w:val="nil"/>
            </w:tcBorders>
            <w:hideMark/>
          </w:tcPr>
          <w:p w:rsidR="00664C1B" w:rsidRPr="00664C1B" w:rsidRDefault="00664C1B" w:rsidP="00664C1B">
            <w:pPr>
              <w:spacing w:after="0" w:line="240" w:lineRule="auto"/>
              <w:jc w:val="center"/>
              <w:rPr>
                <w:rFonts w:ascii="Times New Roman" w:eastAsia="Times New Roman" w:hAnsi="Times New Roman" w:cs="Times New Roman"/>
                <w:b/>
                <w:smallCaps/>
                <w:lang w:eastAsia="hu-HU"/>
              </w:rPr>
            </w:pPr>
            <w:r w:rsidRPr="00664C1B">
              <w:rPr>
                <w:rFonts w:ascii="Times New Roman" w:eastAsia="Times New Roman" w:hAnsi="Times New Roman" w:cs="Times New Roman"/>
                <w:b/>
                <w:smallCaps/>
                <w:lang w:eastAsia="hu-HU"/>
              </w:rPr>
              <w:lastRenderedPageBreak/>
              <w:t>Nemzeti Közszolgálati Egyetem</w:t>
            </w:r>
          </w:p>
        </w:tc>
        <w:tc>
          <w:tcPr>
            <w:tcW w:w="1620" w:type="dxa"/>
          </w:tcPr>
          <w:p w:rsidR="00664C1B" w:rsidRPr="00664C1B" w:rsidRDefault="00664C1B" w:rsidP="00664C1B">
            <w:pPr>
              <w:spacing w:after="0" w:line="240" w:lineRule="auto"/>
              <w:jc w:val="both"/>
              <w:rPr>
                <w:rFonts w:ascii="Times New Roman" w:eastAsia="Times New Roman" w:hAnsi="Times New Roman" w:cs="Times New Roman"/>
                <w:lang w:eastAsia="hu-HU"/>
              </w:rPr>
            </w:pPr>
          </w:p>
        </w:tc>
        <w:tc>
          <w:tcPr>
            <w:tcW w:w="2597" w:type="dxa"/>
          </w:tcPr>
          <w:p w:rsidR="00664C1B" w:rsidRPr="00664C1B" w:rsidRDefault="00664C1B" w:rsidP="00664C1B">
            <w:pPr>
              <w:spacing w:after="0" w:line="240" w:lineRule="auto"/>
              <w:jc w:val="right"/>
              <w:rPr>
                <w:rFonts w:ascii="Times New Roman" w:eastAsia="Times New Roman" w:hAnsi="Times New Roman" w:cs="Times New Roman"/>
                <w:lang w:eastAsia="hu-HU"/>
              </w:rPr>
            </w:pPr>
          </w:p>
        </w:tc>
      </w:tr>
      <w:tr w:rsidR="00664C1B" w:rsidRPr="00664C1B" w:rsidTr="00632BDC">
        <w:tc>
          <w:tcPr>
            <w:tcW w:w="4855" w:type="dxa"/>
            <w:tcBorders>
              <w:top w:val="single" w:sz="4" w:space="0" w:color="auto"/>
              <w:left w:val="nil"/>
              <w:bottom w:val="nil"/>
              <w:right w:val="nil"/>
            </w:tcBorders>
            <w:hideMark/>
          </w:tcPr>
          <w:p w:rsidR="00664C1B" w:rsidRPr="00664C1B" w:rsidRDefault="00664C1B" w:rsidP="00664C1B">
            <w:pPr>
              <w:spacing w:after="0" w:line="240" w:lineRule="auto"/>
              <w:jc w:val="center"/>
              <w:rPr>
                <w:rFonts w:ascii="Times New Roman" w:eastAsia="Times New Roman" w:hAnsi="Times New Roman" w:cs="Times New Roman"/>
                <w:b/>
                <w:lang w:eastAsia="hu-HU"/>
              </w:rPr>
            </w:pPr>
            <w:r w:rsidRPr="00664C1B">
              <w:rPr>
                <w:rFonts w:ascii="Times New Roman" w:eastAsia="Times New Roman" w:hAnsi="Times New Roman" w:cs="Times New Roman"/>
                <w:b/>
                <w:lang w:eastAsia="hu-HU"/>
              </w:rPr>
              <w:t>Hadtudományi és Honvédtisztképző Kar</w:t>
            </w:r>
          </w:p>
        </w:tc>
        <w:tc>
          <w:tcPr>
            <w:tcW w:w="1620" w:type="dxa"/>
          </w:tcPr>
          <w:p w:rsidR="00664C1B" w:rsidRPr="00664C1B" w:rsidRDefault="00664C1B" w:rsidP="00664C1B">
            <w:pPr>
              <w:spacing w:after="0" w:line="240" w:lineRule="auto"/>
              <w:jc w:val="both"/>
              <w:rPr>
                <w:rFonts w:ascii="Times New Roman" w:eastAsia="Times New Roman" w:hAnsi="Times New Roman" w:cs="Times New Roman"/>
                <w:lang w:eastAsia="hu-HU"/>
              </w:rPr>
            </w:pPr>
          </w:p>
        </w:tc>
        <w:tc>
          <w:tcPr>
            <w:tcW w:w="2597" w:type="dxa"/>
          </w:tcPr>
          <w:p w:rsidR="00664C1B" w:rsidRPr="00664C1B" w:rsidRDefault="00664C1B" w:rsidP="00664C1B">
            <w:pPr>
              <w:spacing w:after="0" w:line="240" w:lineRule="auto"/>
              <w:jc w:val="both"/>
              <w:rPr>
                <w:rFonts w:ascii="Times New Roman" w:eastAsia="Times New Roman" w:hAnsi="Times New Roman" w:cs="Times New Roman"/>
                <w:lang w:eastAsia="hu-HU"/>
              </w:rPr>
            </w:pPr>
          </w:p>
        </w:tc>
      </w:tr>
    </w:tbl>
    <w:p w:rsidR="00664C1B" w:rsidRPr="00664C1B" w:rsidRDefault="00664C1B" w:rsidP="00664C1B">
      <w:pPr>
        <w:tabs>
          <w:tab w:val="right" w:pos="0"/>
          <w:tab w:val="center" w:pos="4819"/>
          <w:tab w:val="right" w:pos="9071"/>
        </w:tabs>
        <w:spacing w:after="0" w:line="240" w:lineRule="auto"/>
        <w:jc w:val="both"/>
        <w:rPr>
          <w:rFonts w:ascii="Times New Roman" w:eastAsia="Times New Roman" w:hAnsi="Times New Roman" w:cs="Times New Roman"/>
          <w:bCs/>
          <w:lang w:eastAsia="hu-HU"/>
        </w:rPr>
      </w:pPr>
    </w:p>
    <w:p w:rsidR="00664C1B" w:rsidRPr="00664C1B" w:rsidRDefault="00664C1B" w:rsidP="00664C1B">
      <w:pPr>
        <w:spacing w:after="0" w:line="240" w:lineRule="auto"/>
        <w:jc w:val="center"/>
        <w:rPr>
          <w:rFonts w:ascii="Times New Roman" w:eastAsia="Times New Roman" w:hAnsi="Times New Roman" w:cs="Times New Roman"/>
          <w:b/>
          <w:bCs/>
          <w:lang w:eastAsia="hu-HU"/>
        </w:rPr>
      </w:pPr>
      <w:r w:rsidRPr="00664C1B">
        <w:rPr>
          <w:rFonts w:ascii="Times New Roman" w:eastAsia="Times New Roman" w:hAnsi="Times New Roman" w:cs="Times New Roman"/>
          <w:b/>
          <w:bCs/>
          <w:lang w:eastAsia="hu-HU"/>
        </w:rPr>
        <w:t>TANTÁRGYI PROGRAM</w:t>
      </w:r>
    </w:p>
    <w:p w:rsidR="00664C1B" w:rsidRPr="00664C1B" w:rsidRDefault="00664C1B" w:rsidP="00664C1B">
      <w:pPr>
        <w:spacing w:after="0" w:line="240" w:lineRule="auto"/>
        <w:jc w:val="center"/>
        <w:rPr>
          <w:rFonts w:ascii="Times New Roman" w:eastAsia="Times New Roman" w:hAnsi="Times New Roman" w:cs="Times New Roman"/>
          <w:b/>
          <w:bCs/>
          <w:lang w:eastAsia="hu-HU"/>
        </w:rPr>
      </w:pPr>
    </w:p>
    <w:p w:rsidR="00664C1B" w:rsidRPr="00664C1B" w:rsidRDefault="00664C1B" w:rsidP="00980876">
      <w:pPr>
        <w:numPr>
          <w:ilvl w:val="0"/>
          <w:numId w:val="421"/>
        </w:numPr>
        <w:tabs>
          <w:tab w:val="clear" w:pos="720"/>
          <w:tab w:val="num" w:pos="644"/>
          <w:tab w:val="right" w:pos="900"/>
          <w:tab w:val="center" w:pos="4536"/>
          <w:tab w:val="right" w:pos="9071"/>
        </w:tabs>
        <w:spacing w:before="120" w:after="0" w:line="240" w:lineRule="auto"/>
        <w:ind w:left="644"/>
        <w:jc w:val="both"/>
        <w:rPr>
          <w:rFonts w:ascii="Times New Roman" w:eastAsia="Times New Roman" w:hAnsi="Times New Roman" w:cs="Times New Roman"/>
          <w:b/>
          <w:bCs/>
          <w:lang w:eastAsia="hu-HU"/>
        </w:rPr>
      </w:pPr>
      <w:r w:rsidRPr="00664C1B">
        <w:rPr>
          <w:rFonts w:ascii="Times New Roman" w:eastAsia="Times New Roman" w:hAnsi="Times New Roman" w:cs="Times New Roman"/>
          <w:b/>
          <w:bCs/>
          <w:lang w:eastAsia="hu-HU"/>
        </w:rPr>
        <w:t>A tantárgy kódja: HKHDTA38</w:t>
      </w:r>
    </w:p>
    <w:p w:rsidR="00664C1B" w:rsidRPr="00664C1B" w:rsidRDefault="00664C1B" w:rsidP="00980876">
      <w:pPr>
        <w:numPr>
          <w:ilvl w:val="0"/>
          <w:numId w:val="421"/>
        </w:numPr>
        <w:tabs>
          <w:tab w:val="clear" w:pos="720"/>
          <w:tab w:val="num" w:pos="644"/>
          <w:tab w:val="right" w:pos="900"/>
          <w:tab w:val="center" w:pos="4536"/>
          <w:tab w:val="right" w:pos="9071"/>
        </w:tabs>
        <w:spacing w:before="120" w:after="0" w:line="240" w:lineRule="auto"/>
        <w:ind w:left="644"/>
        <w:jc w:val="both"/>
        <w:rPr>
          <w:rFonts w:ascii="Times New Roman" w:eastAsia="Times New Roman" w:hAnsi="Times New Roman" w:cs="Times New Roman"/>
          <w:bCs/>
          <w:lang w:eastAsia="hu-HU"/>
        </w:rPr>
      </w:pPr>
      <w:r w:rsidRPr="00664C1B">
        <w:rPr>
          <w:rFonts w:ascii="Times New Roman" w:eastAsia="Times New Roman" w:hAnsi="Times New Roman" w:cs="Times New Roman"/>
          <w:b/>
          <w:bCs/>
          <w:lang w:eastAsia="hu-HU"/>
        </w:rPr>
        <w:t xml:space="preserve">A tantárgy megnevezése (magyarul): </w:t>
      </w:r>
      <w:r w:rsidRPr="00664C1B">
        <w:rPr>
          <w:rFonts w:ascii="Times New Roman" w:eastAsia="Times New Roman" w:hAnsi="Times New Roman" w:cs="Times New Roman"/>
          <w:lang w:eastAsia="hu-HU"/>
        </w:rPr>
        <w:t>Méréstechnika L</w:t>
      </w:r>
    </w:p>
    <w:p w:rsidR="00664C1B" w:rsidRPr="00664C1B" w:rsidRDefault="00664C1B" w:rsidP="00980876">
      <w:pPr>
        <w:numPr>
          <w:ilvl w:val="0"/>
          <w:numId w:val="421"/>
        </w:numPr>
        <w:tabs>
          <w:tab w:val="clear" w:pos="720"/>
          <w:tab w:val="num" w:pos="644"/>
          <w:tab w:val="right" w:pos="900"/>
          <w:tab w:val="center" w:pos="4536"/>
          <w:tab w:val="right" w:pos="9071"/>
        </w:tabs>
        <w:spacing w:before="120" w:after="0" w:line="240" w:lineRule="auto"/>
        <w:ind w:left="644"/>
        <w:jc w:val="both"/>
        <w:rPr>
          <w:rFonts w:ascii="Times New Roman" w:eastAsia="Times New Roman" w:hAnsi="Times New Roman" w:cs="Times New Roman"/>
          <w:bCs/>
          <w:lang w:eastAsia="hu-HU"/>
        </w:rPr>
      </w:pPr>
      <w:r w:rsidRPr="00664C1B">
        <w:rPr>
          <w:rFonts w:ascii="Times New Roman" w:eastAsia="Times New Roman" w:hAnsi="Times New Roman" w:cs="Times New Roman"/>
          <w:b/>
          <w:bCs/>
          <w:lang w:eastAsia="hu-HU"/>
        </w:rPr>
        <w:t xml:space="preserve">A tantárgy megnevezése (angolul): </w:t>
      </w:r>
      <w:r w:rsidRPr="00664C1B">
        <w:rPr>
          <w:rFonts w:ascii="Times New Roman" w:eastAsia="Times New Roman" w:hAnsi="Times New Roman" w:cs="Times New Roman"/>
          <w:bCs/>
          <w:lang w:eastAsia="hu-HU"/>
        </w:rPr>
        <w:t>Measurement technology</w:t>
      </w:r>
    </w:p>
    <w:p w:rsidR="00664C1B" w:rsidRPr="00664C1B" w:rsidRDefault="00664C1B" w:rsidP="00980876">
      <w:pPr>
        <w:numPr>
          <w:ilvl w:val="0"/>
          <w:numId w:val="421"/>
        </w:numPr>
        <w:tabs>
          <w:tab w:val="clear" w:pos="720"/>
          <w:tab w:val="num" w:pos="644"/>
          <w:tab w:val="right" w:pos="900"/>
          <w:tab w:val="center" w:pos="4536"/>
          <w:tab w:val="right" w:pos="9071"/>
        </w:tabs>
        <w:spacing w:before="120" w:after="0" w:line="240" w:lineRule="auto"/>
        <w:ind w:left="644"/>
        <w:rPr>
          <w:rFonts w:ascii="Times New Roman" w:eastAsia="Times New Roman" w:hAnsi="Times New Roman" w:cs="Times New Roman"/>
          <w:bCs/>
          <w:lang w:eastAsia="hu-HU"/>
        </w:rPr>
      </w:pPr>
      <w:r w:rsidRPr="00664C1B">
        <w:rPr>
          <w:rFonts w:ascii="Times New Roman" w:eastAsia="Times New Roman" w:hAnsi="Times New Roman" w:cs="Times New Roman"/>
          <w:b/>
          <w:bCs/>
          <w:lang w:eastAsia="hu-HU"/>
        </w:rPr>
        <w:t>Kreditérték és képzési karakter:</w:t>
      </w:r>
    </w:p>
    <w:p w:rsidR="00664C1B" w:rsidRPr="00664C1B" w:rsidRDefault="00664C1B" w:rsidP="00980876">
      <w:pPr>
        <w:numPr>
          <w:ilvl w:val="1"/>
          <w:numId w:val="421"/>
        </w:numPr>
        <w:tabs>
          <w:tab w:val="clear" w:pos="3977"/>
          <w:tab w:val="right" w:pos="900"/>
          <w:tab w:val="num" w:pos="1425"/>
          <w:tab w:val="center" w:pos="4536"/>
          <w:tab w:val="right" w:pos="9071"/>
        </w:tabs>
        <w:spacing w:before="120" w:after="0" w:line="240" w:lineRule="auto"/>
        <w:ind w:left="1425"/>
        <w:rPr>
          <w:rFonts w:ascii="Times New Roman" w:eastAsia="Times New Roman" w:hAnsi="Times New Roman" w:cs="Times New Roman"/>
          <w:bCs/>
          <w:lang w:eastAsia="hu-HU"/>
        </w:rPr>
      </w:pPr>
      <w:r w:rsidRPr="00664C1B">
        <w:rPr>
          <w:rFonts w:ascii="Times New Roman" w:eastAsia="Times New Roman" w:hAnsi="Times New Roman" w:cs="Times New Roman"/>
          <w:b/>
          <w:bCs/>
          <w:lang w:eastAsia="hu-HU"/>
        </w:rPr>
        <w:t xml:space="preserve"> </w:t>
      </w:r>
      <w:r w:rsidRPr="00664C1B">
        <w:rPr>
          <w:rFonts w:ascii="Times New Roman" w:eastAsia="Times New Roman" w:hAnsi="Times New Roman" w:cs="Times New Roman"/>
          <w:bCs/>
          <w:lang w:eastAsia="hu-HU"/>
        </w:rPr>
        <w:t>2 kredit</w:t>
      </w:r>
    </w:p>
    <w:p w:rsidR="00664C1B" w:rsidRPr="00664C1B" w:rsidRDefault="00664C1B" w:rsidP="00980876">
      <w:pPr>
        <w:numPr>
          <w:ilvl w:val="1"/>
          <w:numId w:val="421"/>
        </w:numPr>
        <w:tabs>
          <w:tab w:val="clear" w:pos="3977"/>
          <w:tab w:val="right" w:pos="900"/>
          <w:tab w:val="num" w:pos="1425"/>
          <w:tab w:val="center" w:pos="4536"/>
          <w:tab w:val="right" w:pos="9071"/>
        </w:tabs>
        <w:spacing w:before="120" w:after="0" w:line="240" w:lineRule="auto"/>
        <w:ind w:left="1425"/>
        <w:rPr>
          <w:rFonts w:ascii="Times New Roman" w:eastAsia="Times New Roman" w:hAnsi="Times New Roman" w:cs="Times New Roman"/>
          <w:bCs/>
          <w:lang w:eastAsia="hu-HU"/>
        </w:rPr>
      </w:pPr>
      <w:r w:rsidRPr="00664C1B">
        <w:rPr>
          <w:rFonts w:ascii="Times New Roman" w:eastAsia="Times New Roman" w:hAnsi="Times New Roman" w:cs="Times New Roman"/>
          <w:bCs/>
          <w:lang w:eastAsia="hu-HU"/>
        </w:rPr>
        <w:t>a tantárgy elméleti vagy gyakorlati jellegének mértéke: 50 % gyakorlat, 50 % elmélet</w:t>
      </w:r>
    </w:p>
    <w:p w:rsidR="00664C1B" w:rsidRPr="00664C1B" w:rsidRDefault="00664C1B" w:rsidP="00980876">
      <w:pPr>
        <w:numPr>
          <w:ilvl w:val="0"/>
          <w:numId w:val="421"/>
        </w:numPr>
        <w:tabs>
          <w:tab w:val="clear" w:pos="720"/>
          <w:tab w:val="num" w:pos="644"/>
          <w:tab w:val="right" w:pos="900"/>
          <w:tab w:val="center" w:pos="4536"/>
          <w:tab w:val="right" w:pos="9071"/>
        </w:tabs>
        <w:spacing w:before="120" w:after="0" w:line="240" w:lineRule="auto"/>
        <w:ind w:left="644"/>
        <w:jc w:val="both"/>
        <w:rPr>
          <w:rFonts w:ascii="Times New Roman" w:eastAsia="Times New Roman" w:hAnsi="Times New Roman" w:cs="Times New Roman"/>
          <w:bCs/>
          <w:lang w:eastAsia="hu-HU"/>
        </w:rPr>
      </w:pPr>
      <w:r w:rsidRPr="00664C1B">
        <w:rPr>
          <w:rFonts w:ascii="Times New Roman" w:eastAsia="Times New Roman" w:hAnsi="Times New Roman" w:cs="Times New Roman"/>
          <w:b/>
          <w:bCs/>
          <w:lang w:eastAsia="hu-HU"/>
        </w:rPr>
        <w:t xml:space="preserve">A szak(ok), szakirányok/specializációk megnevezése (ahol oktatják): </w:t>
      </w:r>
      <w:r w:rsidRPr="00664C1B">
        <w:rPr>
          <w:rFonts w:ascii="Times New Roman" w:eastAsia="Times New Roman" w:hAnsi="Times New Roman" w:cs="Times New Roman"/>
          <w:bCs/>
          <w:lang w:eastAsia="hu-HU"/>
        </w:rPr>
        <w:t>Katonai logisztika (</w:t>
      </w:r>
      <w:r w:rsidR="00137B8A">
        <w:rPr>
          <w:rFonts w:ascii="Times New Roman" w:eastAsia="Times New Roman" w:hAnsi="Times New Roman" w:cs="Times New Roman"/>
          <w:bCs/>
          <w:lang w:eastAsia="hu-HU"/>
        </w:rPr>
        <w:t>BSc</w:t>
      </w:r>
      <w:r w:rsidRPr="00664C1B">
        <w:rPr>
          <w:rFonts w:ascii="Times New Roman" w:eastAsia="Times New Roman" w:hAnsi="Times New Roman" w:cs="Times New Roman"/>
          <w:bCs/>
          <w:lang w:eastAsia="hu-HU"/>
        </w:rPr>
        <w:t>) alapképzési szak, haditechnika specializáció, fegyverzettechnikai modul</w:t>
      </w:r>
    </w:p>
    <w:p w:rsidR="00664C1B" w:rsidRPr="00664C1B" w:rsidRDefault="00664C1B" w:rsidP="00980876">
      <w:pPr>
        <w:numPr>
          <w:ilvl w:val="0"/>
          <w:numId w:val="421"/>
        </w:numPr>
        <w:tabs>
          <w:tab w:val="clear" w:pos="720"/>
          <w:tab w:val="num" w:pos="644"/>
          <w:tab w:val="right" w:pos="900"/>
          <w:tab w:val="center" w:pos="4536"/>
          <w:tab w:val="right" w:pos="9071"/>
        </w:tabs>
        <w:spacing w:before="120" w:after="0" w:line="240" w:lineRule="auto"/>
        <w:ind w:left="644"/>
        <w:jc w:val="both"/>
        <w:rPr>
          <w:rFonts w:ascii="Times New Roman" w:eastAsia="Times New Roman" w:hAnsi="Times New Roman" w:cs="Times New Roman"/>
          <w:bCs/>
          <w:lang w:eastAsia="hu-HU"/>
        </w:rPr>
      </w:pPr>
      <w:r w:rsidRPr="00664C1B">
        <w:rPr>
          <w:rFonts w:ascii="Times New Roman" w:eastAsia="Times New Roman" w:hAnsi="Times New Roman" w:cs="Times New Roman"/>
          <w:b/>
          <w:bCs/>
          <w:lang w:eastAsia="hu-HU"/>
        </w:rPr>
        <w:tab/>
        <w:t xml:space="preserve">Az oktatásért felelős oktatási szervezeti egység megnevezése: </w:t>
      </w:r>
      <w:r w:rsidRPr="00664C1B">
        <w:rPr>
          <w:rFonts w:ascii="Times New Roman" w:eastAsia="Times New Roman" w:hAnsi="Times New Roman" w:cs="Times New Roman"/>
          <w:bCs/>
          <w:lang w:eastAsia="hu-HU"/>
        </w:rPr>
        <w:t>NKE,</w:t>
      </w:r>
      <w:r w:rsidRPr="00664C1B">
        <w:rPr>
          <w:rFonts w:ascii="Times New Roman" w:eastAsia="Times New Roman" w:hAnsi="Times New Roman" w:cs="Times New Roman"/>
          <w:b/>
          <w:bCs/>
          <w:lang w:eastAsia="hu-HU"/>
        </w:rPr>
        <w:t xml:space="preserve"> </w:t>
      </w:r>
      <w:r w:rsidRPr="00664C1B">
        <w:rPr>
          <w:rFonts w:ascii="Times New Roman" w:eastAsia="Times New Roman" w:hAnsi="Times New Roman" w:cs="Times New Roman"/>
          <w:bCs/>
          <w:lang w:eastAsia="hu-HU"/>
        </w:rPr>
        <w:t>Hadtudományi és Honvédtisztképző Kar, Haditechnikai Tanszék</w:t>
      </w:r>
    </w:p>
    <w:p w:rsidR="00664C1B" w:rsidRPr="00664C1B" w:rsidRDefault="00664C1B" w:rsidP="00980876">
      <w:pPr>
        <w:numPr>
          <w:ilvl w:val="0"/>
          <w:numId w:val="421"/>
        </w:numPr>
        <w:tabs>
          <w:tab w:val="clear" w:pos="720"/>
          <w:tab w:val="num" w:pos="426"/>
          <w:tab w:val="num" w:pos="644"/>
          <w:tab w:val="right" w:pos="900"/>
          <w:tab w:val="center" w:pos="4536"/>
          <w:tab w:val="right" w:pos="9071"/>
        </w:tabs>
        <w:spacing w:before="120" w:after="0" w:line="240" w:lineRule="auto"/>
        <w:ind w:left="644"/>
        <w:jc w:val="both"/>
        <w:rPr>
          <w:rFonts w:ascii="Times New Roman" w:eastAsia="Times New Roman" w:hAnsi="Times New Roman" w:cs="Times New Roman"/>
          <w:bCs/>
          <w:lang w:eastAsia="hu-HU"/>
        </w:rPr>
      </w:pPr>
      <w:r w:rsidRPr="00664C1B">
        <w:rPr>
          <w:rFonts w:ascii="Times New Roman" w:eastAsia="Times New Roman" w:hAnsi="Times New Roman" w:cs="Times New Roman"/>
          <w:b/>
          <w:bCs/>
          <w:lang w:eastAsia="hu-HU"/>
        </w:rPr>
        <w:t xml:space="preserve">  A tantárgyfelelős oktató neve, beosztása, tudományos fokozata: </w:t>
      </w:r>
      <w:r w:rsidRPr="00664C1B">
        <w:rPr>
          <w:rFonts w:ascii="Times New Roman" w:eastAsia="Times New Roman" w:hAnsi="Times New Roman" w:cs="Times New Roman"/>
          <w:bCs/>
          <w:lang w:eastAsia="hu-HU"/>
        </w:rPr>
        <w:t>Dr. Gyarmati József PhD, egyetemi docens</w:t>
      </w:r>
    </w:p>
    <w:p w:rsidR="00664C1B" w:rsidRPr="00664C1B" w:rsidRDefault="00664C1B" w:rsidP="00980876">
      <w:pPr>
        <w:numPr>
          <w:ilvl w:val="0"/>
          <w:numId w:val="421"/>
        </w:numPr>
        <w:tabs>
          <w:tab w:val="clear" w:pos="720"/>
          <w:tab w:val="num" w:pos="644"/>
          <w:tab w:val="right" w:pos="900"/>
          <w:tab w:val="center" w:pos="4536"/>
          <w:tab w:val="right" w:pos="9071"/>
        </w:tabs>
        <w:spacing w:before="120" w:after="0" w:line="240" w:lineRule="auto"/>
        <w:ind w:left="567" w:hanging="283"/>
        <w:jc w:val="both"/>
        <w:rPr>
          <w:rFonts w:ascii="Times New Roman" w:eastAsia="Times New Roman" w:hAnsi="Times New Roman" w:cs="Times New Roman"/>
          <w:b/>
          <w:lang w:eastAsia="hu-HU"/>
        </w:rPr>
      </w:pPr>
      <w:r w:rsidRPr="00664C1B">
        <w:rPr>
          <w:rFonts w:ascii="Times New Roman" w:eastAsia="Times New Roman" w:hAnsi="Times New Roman" w:cs="Times New Roman"/>
          <w:b/>
          <w:bCs/>
          <w:lang w:eastAsia="hu-HU"/>
        </w:rPr>
        <w:t xml:space="preserve">A tanórák száma </w:t>
      </w:r>
      <w:r w:rsidRPr="00664C1B">
        <w:rPr>
          <w:rFonts w:ascii="Times New Roman" w:eastAsia="Times New Roman" w:hAnsi="Times New Roman" w:cs="Times New Roman"/>
          <w:b/>
          <w:lang w:eastAsia="hu-HU"/>
        </w:rPr>
        <w:t>(előadás + szeminárium + gyakorlat)</w:t>
      </w:r>
    </w:p>
    <w:p w:rsidR="00664C1B" w:rsidRPr="00664C1B" w:rsidRDefault="00664C1B" w:rsidP="00980876">
      <w:pPr>
        <w:numPr>
          <w:ilvl w:val="1"/>
          <w:numId w:val="421"/>
        </w:numPr>
        <w:tabs>
          <w:tab w:val="clear" w:pos="3977"/>
          <w:tab w:val="num" w:pos="1425"/>
        </w:tabs>
        <w:spacing w:before="120" w:after="0" w:line="240" w:lineRule="auto"/>
        <w:ind w:left="567" w:firstLine="0"/>
        <w:jc w:val="both"/>
        <w:rPr>
          <w:rFonts w:ascii="Times New Roman" w:eastAsia="Times New Roman" w:hAnsi="Times New Roman" w:cs="Times New Roman"/>
          <w:bCs/>
          <w:lang w:eastAsia="hu-HU"/>
        </w:rPr>
      </w:pPr>
      <w:r w:rsidRPr="00664C1B">
        <w:rPr>
          <w:rFonts w:ascii="Times New Roman" w:eastAsia="Times New Roman" w:hAnsi="Times New Roman" w:cs="Times New Roman"/>
          <w:bCs/>
          <w:lang w:eastAsia="hu-HU"/>
        </w:rPr>
        <w:t>össz óraszám/félév: 28</w:t>
      </w:r>
    </w:p>
    <w:p w:rsidR="00664C1B" w:rsidRPr="00664C1B" w:rsidRDefault="00664C1B" w:rsidP="00980876">
      <w:pPr>
        <w:numPr>
          <w:ilvl w:val="2"/>
          <w:numId w:val="421"/>
        </w:numPr>
        <w:tabs>
          <w:tab w:val="clear" w:pos="1800"/>
          <w:tab w:val="right" w:pos="900"/>
          <w:tab w:val="num" w:pos="1724"/>
          <w:tab w:val="num" w:pos="1843"/>
        </w:tabs>
        <w:spacing w:before="120" w:after="0" w:line="240" w:lineRule="auto"/>
        <w:ind w:left="567" w:firstLine="284"/>
        <w:jc w:val="both"/>
        <w:rPr>
          <w:rFonts w:ascii="Times New Roman" w:eastAsia="Times New Roman" w:hAnsi="Times New Roman" w:cs="Times New Roman"/>
          <w:bCs/>
          <w:lang w:eastAsia="hu-HU"/>
        </w:rPr>
      </w:pPr>
      <w:r w:rsidRPr="00664C1B">
        <w:rPr>
          <w:rFonts w:ascii="Times New Roman" w:eastAsia="Times New Roman" w:hAnsi="Times New Roman" w:cs="Times New Roman"/>
          <w:bCs/>
          <w:lang w:eastAsia="hu-HU"/>
        </w:rPr>
        <w:t>Nappali munkarend: 28 (14 EA+ 0 SZ + 14 GY)</w:t>
      </w:r>
    </w:p>
    <w:p w:rsidR="00664C1B" w:rsidRPr="00664C1B" w:rsidRDefault="00664C1B" w:rsidP="00980876">
      <w:pPr>
        <w:numPr>
          <w:ilvl w:val="2"/>
          <w:numId w:val="421"/>
        </w:numPr>
        <w:tabs>
          <w:tab w:val="clear" w:pos="1800"/>
          <w:tab w:val="right" w:pos="900"/>
          <w:tab w:val="num" w:pos="1724"/>
          <w:tab w:val="num" w:pos="1843"/>
        </w:tabs>
        <w:spacing w:before="120" w:after="0" w:line="240" w:lineRule="auto"/>
        <w:ind w:left="567" w:firstLine="284"/>
        <w:jc w:val="both"/>
        <w:rPr>
          <w:rFonts w:ascii="Times New Roman" w:eastAsia="Times New Roman" w:hAnsi="Times New Roman" w:cs="Times New Roman"/>
          <w:bCs/>
          <w:lang w:eastAsia="hu-HU"/>
        </w:rPr>
      </w:pPr>
      <w:r w:rsidRPr="00664C1B">
        <w:rPr>
          <w:rFonts w:ascii="Times New Roman" w:eastAsia="Times New Roman" w:hAnsi="Times New Roman" w:cs="Times New Roman"/>
          <w:bCs/>
          <w:lang w:eastAsia="hu-HU"/>
        </w:rPr>
        <w:t>Levelező munkarend: -</w:t>
      </w:r>
    </w:p>
    <w:p w:rsidR="00664C1B" w:rsidRPr="00664C1B" w:rsidRDefault="00664C1B" w:rsidP="00980876">
      <w:pPr>
        <w:numPr>
          <w:ilvl w:val="1"/>
          <w:numId w:val="421"/>
        </w:numPr>
        <w:tabs>
          <w:tab w:val="clear" w:pos="3977"/>
          <w:tab w:val="num" w:pos="1425"/>
        </w:tabs>
        <w:spacing w:before="120" w:after="120" w:line="240" w:lineRule="auto"/>
        <w:ind w:left="567" w:firstLine="0"/>
        <w:jc w:val="both"/>
        <w:rPr>
          <w:rFonts w:ascii="Times New Roman" w:eastAsia="Times New Roman" w:hAnsi="Times New Roman" w:cs="Times New Roman"/>
          <w:bCs/>
          <w:lang w:eastAsia="hu-HU"/>
        </w:rPr>
      </w:pPr>
      <w:r w:rsidRPr="00664C1B">
        <w:rPr>
          <w:rFonts w:ascii="Times New Roman" w:eastAsia="Times New Roman" w:hAnsi="Times New Roman" w:cs="Times New Roman"/>
          <w:bCs/>
          <w:lang w:eastAsia="hu-HU"/>
        </w:rPr>
        <w:t>heti óraszám nappali munkarend: 2 (1 + 1)</w:t>
      </w:r>
    </w:p>
    <w:p w:rsidR="00664C1B" w:rsidRPr="00664C1B" w:rsidRDefault="00664C1B" w:rsidP="00980876">
      <w:pPr>
        <w:numPr>
          <w:ilvl w:val="1"/>
          <w:numId w:val="421"/>
        </w:numPr>
        <w:tabs>
          <w:tab w:val="clear" w:pos="3977"/>
          <w:tab w:val="num" w:pos="1425"/>
        </w:tabs>
        <w:spacing w:before="120" w:after="120" w:line="240" w:lineRule="auto"/>
        <w:ind w:left="567" w:firstLine="0"/>
        <w:jc w:val="both"/>
        <w:rPr>
          <w:rFonts w:ascii="Times New Roman" w:eastAsia="Times New Roman" w:hAnsi="Times New Roman" w:cs="Times New Roman"/>
          <w:bCs/>
          <w:lang w:eastAsia="hu-HU"/>
        </w:rPr>
      </w:pPr>
      <w:r w:rsidRPr="00664C1B">
        <w:rPr>
          <w:rFonts w:ascii="Times New Roman" w:eastAsia="Times New Roman" w:hAnsi="Times New Roman" w:cs="Times New Roman"/>
          <w:bCs/>
          <w:lang w:eastAsia="hu-HU"/>
        </w:rPr>
        <w:t>Az ismeret átadásában alkalmazandó további sajátos módok, jellemzők: vegyes tanulási program (blended learning)</w:t>
      </w:r>
    </w:p>
    <w:p w:rsidR="00664C1B" w:rsidRPr="00664C1B" w:rsidRDefault="00664C1B" w:rsidP="00980876">
      <w:pPr>
        <w:numPr>
          <w:ilvl w:val="0"/>
          <w:numId w:val="421"/>
        </w:numPr>
        <w:tabs>
          <w:tab w:val="clear" w:pos="720"/>
          <w:tab w:val="num" w:pos="644"/>
        </w:tabs>
        <w:spacing w:after="120" w:line="240" w:lineRule="auto"/>
        <w:ind w:left="641" w:hanging="357"/>
        <w:jc w:val="both"/>
        <w:rPr>
          <w:rFonts w:ascii="Times New Roman" w:eastAsia="Times New Roman" w:hAnsi="Times New Roman" w:cs="Times New Roman"/>
          <w:lang w:eastAsia="hu-HU"/>
        </w:rPr>
      </w:pPr>
      <w:r w:rsidRPr="00664C1B">
        <w:rPr>
          <w:rFonts w:ascii="Times New Roman" w:eastAsia="Times New Roman" w:hAnsi="Times New Roman" w:cs="Times New Roman"/>
          <w:b/>
          <w:bCs/>
          <w:lang w:eastAsia="hu-HU"/>
        </w:rPr>
        <w:t>A tantárgy szakmai tartalma (magyarul):</w:t>
      </w:r>
      <w:r w:rsidRPr="00664C1B">
        <w:rPr>
          <w:rFonts w:ascii="CG Times (W1)" w:eastAsia="Times New Roman" w:hAnsi="CG Times (W1)" w:cs="Times New Roman"/>
          <w:b/>
          <w:bCs/>
          <w:lang w:eastAsia="hu-HU"/>
        </w:rPr>
        <w:t xml:space="preserve"> </w:t>
      </w:r>
      <w:r w:rsidRPr="00664C1B">
        <w:rPr>
          <w:rFonts w:ascii="Times New Roman" w:eastAsia="Times New Roman" w:hAnsi="Times New Roman" w:cs="Times New Roman"/>
          <w:lang w:eastAsia="hu-HU"/>
        </w:rPr>
        <w:t>Egységek, egységrendszerek, alapfogalmak. Különböz</w:t>
      </w:r>
      <w:r w:rsidRPr="00664C1B">
        <w:rPr>
          <w:rFonts w:ascii="Times New Roman" w:eastAsia="Times New Roman" w:hAnsi="Times New Roman" w:cs="Times New Roman" w:hint="eastAsia"/>
          <w:lang w:eastAsia="hu-HU"/>
        </w:rPr>
        <w:t>ő</w:t>
      </w:r>
      <w:r w:rsidRPr="00664C1B">
        <w:rPr>
          <w:rFonts w:ascii="Times New Roman" w:eastAsia="Times New Roman" w:hAnsi="Times New Roman" w:cs="Times New Roman"/>
          <w:lang w:eastAsia="hu-HU"/>
        </w:rPr>
        <w:t xml:space="preserve"> mennyiségek egységei. Etalonok fajtái, tulajdonságai. Hosszegységek, szögegységek, tömegegységek, id</w:t>
      </w:r>
      <w:r w:rsidRPr="00664C1B">
        <w:rPr>
          <w:rFonts w:ascii="Times New Roman" w:eastAsia="Times New Roman" w:hAnsi="Times New Roman" w:cs="Times New Roman" w:hint="eastAsia"/>
          <w:lang w:eastAsia="hu-HU"/>
        </w:rPr>
        <w:t>ő</w:t>
      </w:r>
      <w:r w:rsidRPr="00664C1B">
        <w:rPr>
          <w:rFonts w:ascii="Times New Roman" w:eastAsia="Times New Roman" w:hAnsi="Times New Roman" w:cs="Times New Roman"/>
          <w:lang w:eastAsia="hu-HU"/>
        </w:rPr>
        <w:t>egységek. A mérés alapfogalmai. A mérést befolyásoló tényez</w:t>
      </w:r>
      <w:r w:rsidRPr="00664C1B">
        <w:rPr>
          <w:rFonts w:ascii="Times New Roman" w:eastAsia="Times New Roman" w:hAnsi="Times New Roman" w:cs="Times New Roman" w:hint="eastAsia"/>
          <w:lang w:eastAsia="hu-HU"/>
        </w:rPr>
        <w:t>ő</w:t>
      </w:r>
      <w:r w:rsidRPr="00664C1B">
        <w:rPr>
          <w:rFonts w:ascii="Times New Roman" w:eastAsia="Times New Roman" w:hAnsi="Times New Roman" w:cs="Times New Roman"/>
          <w:lang w:eastAsia="hu-HU"/>
        </w:rPr>
        <w:t>k, mérési hibák. Közvetlen hosszmérés mechanikai eszközei. Hosszmér</w:t>
      </w:r>
      <w:r w:rsidRPr="00664C1B">
        <w:rPr>
          <w:rFonts w:ascii="Times New Roman" w:eastAsia="Times New Roman" w:hAnsi="Times New Roman" w:cs="Times New Roman" w:hint="eastAsia"/>
          <w:lang w:eastAsia="hu-HU"/>
        </w:rPr>
        <w:t>ő</w:t>
      </w:r>
      <w:r w:rsidRPr="00664C1B">
        <w:rPr>
          <w:rFonts w:ascii="Times New Roman" w:eastAsia="Times New Roman" w:hAnsi="Times New Roman" w:cs="Times New Roman"/>
          <w:lang w:eastAsia="hu-HU"/>
        </w:rPr>
        <w:t>k. Tolómércék. Mikrométerek. Tapintóemelty</w:t>
      </w:r>
      <w:r w:rsidRPr="00664C1B">
        <w:rPr>
          <w:rFonts w:ascii="Times New Roman" w:eastAsia="Times New Roman" w:hAnsi="Times New Roman" w:cs="Times New Roman" w:hint="eastAsia"/>
          <w:lang w:eastAsia="hu-HU"/>
        </w:rPr>
        <w:t>ű</w:t>
      </w:r>
      <w:r w:rsidRPr="00664C1B">
        <w:rPr>
          <w:rFonts w:ascii="Times New Roman" w:eastAsia="Times New Roman" w:hAnsi="Times New Roman" w:cs="Times New Roman"/>
          <w:lang w:eastAsia="hu-HU"/>
        </w:rPr>
        <w:t>s mikrométerek. Mér</w:t>
      </w:r>
      <w:r w:rsidRPr="00664C1B">
        <w:rPr>
          <w:rFonts w:ascii="Times New Roman" w:eastAsia="Times New Roman" w:hAnsi="Times New Roman" w:cs="Times New Roman" w:hint="eastAsia"/>
          <w:lang w:eastAsia="hu-HU"/>
        </w:rPr>
        <w:t>ő</w:t>
      </w:r>
      <w:r w:rsidRPr="00664C1B">
        <w:rPr>
          <w:rFonts w:ascii="Times New Roman" w:eastAsia="Times New Roman" w:hAnsi="Times New Roman" w:cs="Times New Roman"/>
          <w:lang w:eastAsia="hu-HU"/>
        </w:rPr>
        <w:t>hasábok és tartozékaik. Optikai hosszmér</w:t>
      </w:r>
      <w:r w:rsidRPr="00664C1B">
        <w:rPr>
          <w:rFonts w:ascii="Times New Roman" w:eastAsia="Times New Roman" w:hAnsi="Times New Roman" w:cs="Times New Roman" w:hint="eastAsia"/>
          <w:lang w:eastAsia="hu-HU"/>
        </w:rPr>
        <w:t>ő</w:t>
      </w:r>
      <w:r w:rsidRPr="00664C1B">
        <w:rPr>
          <w:rFonts w:ascii="Times New Roman" w:eastAsia="Times New Roman" w:hAnsi="Times New Roman" w:cs="Times New Roman"/>
          <w:lang w:eastAsia="hu-HU"/>
        </w:rPr>
        <w:t xml:space="preserve"> eszközök. Villamos hosszmér</w:t>
      </w:r>
      <w:r w:rsidRPr="00664C1B">
        <w:rPr>
          <w:rFonts w:ascii="Times New Roman" w:eastAsia="Times New Roman" w:hAnsi="Times New Roman" w:cs="Times New Roman" w:hint="eastAsia"/>
          <w:lang w:eastAsia="hu-HU"/>
        </w:rPr>
        <w:t>ő</w:t>
      </w:r>
      <w:r w:rsidRPr="00664C1B">
        <w:rPr>
          <w:rFonts w:ascii="Times New Roman" w:eastAsia="Times New Roman" w:hAnsi="Times New Roman" w:cs="Times New Roman"/>
          <w:lang w:eastAsia="hu-HU"/>
        </w:rPr>
        <w:t>k. Szögmérés. Csavarmenetek mérése. Kúpos csapok, hüvelyek és prizmatikus vezetékek mérése. Fogaskerekek ellen</w:t>
      </w:r>
      <w:r w:rsidRPr="00664C1B">
        <w:rPr>
          <w:rFonts w:ascii="Times New Roman" w:eastAsia="Times New Roman" w:hAnsi="Times New Roman" w:cs="Times New Roman" w:hint="eastAsia"/>
          <w:lang w:eastAsia="hu-HU"/>
        </w:rPr>
        <w:t>ő</w:t>
      </w:r>
      <w:r w:rsidRPr="00664C1B">
        <w:rPr>
          <w:rFonts w:ascii="Times New Roman" w:eastAsia="Times New Roman" w:hAnsi="Times New Roman" w:cs="Times New Roman"/>
          <w:lang w:eastAsia="hu-HU"/>
        </w:rPr>
        <w:t xml:space="preserve">rzése. Idomszerek. </w:t>
      </w:r>
    </w:p>
    <w:p w:rsidR="00664C1B" w:rsidRPr="00664C1B" w:rsidRDefault="00664C1B" w:rsidP="00664C1B">
      <w:pPr>
        <w:shd w:val="clear" w:color="auto" w:fill="FFFFFF"/>
        <w:spacing w:before="120" w:after="100" w:afterAutospacing="1" w:line="240" w:lineRule="auto"/>
        <w:ind w:left="644"/>
        <w:jc w:val="both"/>
        <w:textAlignment w:val="top"/>
        <w:rPr>
          <w:rFonts w:ascii="CG Times (W1)" w:eastAsia="Times New Roman" w:hAnsi="CG Times (W1)" w:cs="Times New Roman"/>
          <w:b/>
          <w:bCs/>
          <w:lang w:eastAsia="hu-HU"/>
        </w:rPr>
      </w:pPr>
      <w:r w:rsidRPr="00664C1B">
        <w:rPr>
          <w:rFonts w:ascii="Times New Roman" w:eastAsia="Times New Roman" w:hAnsi="Times New Roman" w:cs="Times New Roman"/>
          <w:b/>
          <w:bCs/>
          <w:lang w:eastAsia="hu-HU"/>
        </w:rPr>
        <w:t>A tantárgy szakmai tartalma (angolul) (Course description):</w:t>
      </w:r>
      <w:r w:rsidRPr="00664C1B">
        <w:rPr>
          <w:rFonts w:ascii="CG Times (W1)" w:eastAsia="Times New Roman" w:hAnsi="CG Times (W1)" w:cs="Times New Roman"/>
          <w:b/>
          <w:bCs/>
          <w:lang w:eastAsia="hu-HU"/>
        </w:rPr>
        <w:t xml:space="preserve"> </w:t>
      </w:r>
      <w:r w:rsidRPr="00664C1B">
        <w:rPr>
          <w:rFonts w:ascii="Times New Roman" w:eastAsia="Times New Roman" w:hAnsi="Times New Roman" w:cs="Times New Roman"/>
          <w:lang w:eastAsia="hu-HU"/>
        </w:rPr>
        <w:t>Units, unit systems, basic concepts. Units of different quantities. Types and properties of standards. Length units, angular units, mass units, time units. Basic concepts of measurement. Factors influencing the measurement, measurement errors. Mechanical instruments for direct measurement of length. Length Gauges. Calipers. Micrometers. Micrometers with tactile levers. Measuring blocks and accessories therefor. Optical measuring devices. Electrical length meters. Angle measurement. Measuring threads. Measuring tapered pins, sleeves and prismatic wires. Inspection of gears. Gauges.</w:t>
      </w:r>
    </w:p>
    <w:p w:rsidR="00664C1B" w:rsidRPr="00664C1B" w:rsidRDefault="00664C1B" w:rsidP="00980876">
      <w:pPr>
        <w:numPr>
          <w:ilvl w:val="0"/>
          <w:numId w:val="421"/>
        </w:numPr>
        <w:shd w:val="clear" w:color="auto" w:fill="FFFFFF"/>
        <w:tabs>
          <w:tab w:val="clear" w:pos="720"/>
          <w:tab w:val="num" w:pos="644"/>
        </w:tabs>
        <w:spacing w:before="120" w:after="100" w:afterAutospacing="1" w:line="240" w:lineRule="auto"/>
        <w:ind w:left="644"/>
        <w:jc w:val="both"/>
        <w:textAlignment w:val="top"/>
        <w:rPr>
          <w:rFonts w:ascii="CG Times (W1)" w:eastAsia="Times New Roman" w:hAnsi="CG Times (W1)" w:cs="Times New Roman"/>
          <w:b/>
          <w:bCs/>
          <w:lang w:eastAsia="hu-HU"/>
        </w:rPr>
      </w:pPr>
      <w:r w:rsidRPr="00664C1B">
        <w:rPr>
          <w:rFonts w:ascii="CG Times (W1)" w:eastAsia="Times New Roman" w:hAnsi="CG Times (W1)" w:cs="Times New Roman"/>
          <w:b/>
          <w:bCs/>
          <w:lang w:eastAsia="hu-HU"/>
        </w:rPr>
        <w:t>Elérendő kompetenciák (magyarul)</w:t>
      </w:r>
    </w:p>
    <w:p w:rsidR="00664C1B" w:rsidRPr="00664C1B" w:rsidRDefault="00664C1B" w:rsidP="00664C1B">
      <w:pPr>
        <w:autoSpaceDE w:val="0"/>
        <w:autoSpaceDN w:val="0"/>
        <w:adjustRightInd w:val="0"/>
        <w:spacing w:before="240" w:after="120" w:line="240" w:lineRule="auto"/>
        <w:ind w:left="646"/>
        <w:jc w:val="both"/>
        <w:rPr>
          <w:rFonts w:ascii="Times New Roman" w:eastAsia="Times New Roman" w:hAnsi="Times New Roman" w:cs="Times New Roman"/>
          <w:b/>
          <w:color w:val="000000"/>
          <w:lang w:eastAsia="hu-HU"/>
        </w:rPr>
      </w:pPr>
      <w:r w:rsidRPr="00664C1B">
        <w:rPr>
          <w:rFonts w:ascii="Times New Roman" w:eastAsia="Times New Roman" w:hAnsi="Times New Roman" w:cs="Times New Roman"/>
          <w:b/>
          <w:color w:val="000000"/>
          <w:lang w:eastAsia="hu-HU"/>
        </w:rPr>
        <w:t>Tudása:</w:t>
      </w:r>
    </w:p>
    <w:p w:rsidR="00664C1B" w:rsidRPr="00664C1B" w:rsidRDefault="00664C1B" w:rsidP="00980876">
      <w:pPr>
        <w:numPr>
          <w:ilvl w:val="0"/>
          <w:numId w:val="414"/>
        </w:numPr>
        <w:autoSpaceDE w:val="0"/>
        <w:autoSpaceDN w:val="0"/>
        <w:adjustRightInd w:val="0"/>
        <w:spacing w:after="0" w:line="240" w:lineRule="auto"/>
        <w:jc w:val="both"/>
        <w:rPr>
          <w:rFonts w:ascii="Times New Roman" w:eastAsia="Times New Roman" w:hAnsi="Times New Roman" w:cs="Times New Roman"/>
          <w:color w:val="000000"/>
          <w:lang w:eastAsia="hu-HU"/>
        </w:rPr>
      </w:pPr>
      <w:r w:rsidRPr="00664C1B">
        <w:rPr>
          <w:rFonts w:ascii="Times New Roman" w:eastAsia="Times New Roman" w:hAnsi="Times New Roman" w:cs="Times New Roman"/>
          <w:color w:val="000000"/>
          <w:lang w:eastAsia="hu-HU"/>
        </w:rPr>
        <w:t>Ismeri a matematika és a mechanika törvényszer</w:t>
      </w:r>
      <w:r w:rsidRPr="00664C1B">
        <w:rPr>
          <w:rFonts w:ascii="Times New Roman" w:eastAsia="Times New Roman" w:hAnsi="Times New Roman" w:cs="Times New Roman" w:hint="eastAsia"/>
          <w:color w:val="000000"/>
          <w:lang w:eastAsia="hu-HU"/>
        </w:rPr>
        <w:t>ű</w:t>
      </w:r>
      <w:r w:rsidRPr="00664C1B">
        <w:rPr>
          <w:rFonts w:ascii="Times New Roman" w:eastAsia="Times New Roman" w:hAnsi="Times New Roman" w:cs="Times New Roman"/>
          <w:color w:val="000000"/>
          <w:lang w:eastAsia="hu-HU"/>
        </w:rPr>
        <w:t>ségeit, rendelkezik m</w:t>
      </w:r>
      <w:r w:rsidRPr="00664C1B">
        <w:rPr>
          <w:rFonts w:ascii="Times New Roman" w:eastAsia="Times New Roman" w:hAnsi="Times New Roman" w:cs="Times New Roman" w:hint="eastAsia"/>
          <w:color w:val="000000"/>
          <w:lang w:eastAsia="hu-HU"/>
        </w:rPr>
        <w:t>ű</w:t>
      </w:r>
      <w:r w:rsidRPr="00664C1B">
        <w:rPr>
          <w:rFonts w:ascii="Times New Roman" w:eastAsia="Times New Roman" w:hAnsi="Times New Roman" w:cs="Times New Roman"/>
          <w:color w:val="000000"/>
          <w:lang w:eastAsia="hu-HU"/>
        </w:rPr>
        <w:t>szaki alapismeretekkel.</w:t>
      </w:r>
    </w:p>
    <w:p w:rsidR="00664C1B" w:rsidRPr="00664C1B" w:rsidRDefault="00664C1B" w:rsidP="00664C1B">
      <w:pPr>
        <w:autoSpaceDE w:val="0"/>
        <w:autoSpaceDN w:val="0"/>
        <w:adjustRightInd w:val="0"/>
        <w:spacing w:before="240" w:after="120" w:line="240" w:lineRule="auto"/>
        <w:ind w:left="646"/>
        <w:jc w:val="both"/>
        <w:rPr>
          <w:rFonts w:ascii="Times New Roman" w:eastAsia="Times New Roman" w:hAnsi="Times New Roman" w:cs="Times New Roman"/>
          <w:b/>
          <w:color w:val="000000"/>
          <w:lang w:eastAsia="hu-HU"/>
        </w:rPr>
      </w:pPr>
      <w:r w:rsidRPr="00664C1B">
        <w:rPr>
          <w:rFonts w:ascii="Times New Roman" w:eastAsia="Times New Roman" w:hAnsi="Times New Roman" w:cs="Times New Roman"/>
          <w:b/>
          <w:color w:val="000000"/>
          <w:lang w:eastAsia="hu-HU"/>
        </w:rPr>
        <w:lastRenderedPageBreak/>
        <w:t>Képességei:</w:t>
      </w:r>
    </w:p>
    <w:p w:rsidR="00664C1B" w:rsidRPr="00664C1B" w:rsidRDefault="00664C1B" w:rsidP="00980876">
      <w:pPr>
        <w:numPr>
          <w:ilvl w:val="0"/>
          <w:numId w:val="414"/>
        </w:numPr>
        <w:spacing w:after="0" w:line="276" w:lineRule="auto"/>
        <w:contextualSpacing/>
        <w:jc w:val="both"/>
        <w:rPr>
          <w:rFonts w:ascii="Times New Roman" w:eastAsia="Times New Roman" w:hAnsi="Times New Roman" w:cs="Times New Roman"/>
          <w:lang w:eastAsia="hu-HU"/>
        </w:rPr>
      </w:pPr>
      <w:r w:rsidRPr="00664C1B">
        <w:rPr>
          <w:rFonts w:ascii="Times New Roman" w:eastAsia="Times New Roman" w:hAnsi="Times New Roman" w:cs="Times New Roman"/>
          <w:lang w:eastAsia="hu-HU"/>
        </w:rPr>
        <w:t>Képes a szakmai terminológia magyarul és idegen nyelven történő alkalmazására.</w:t>
      </w:r>
    </w:p>
    <w:p w:rsidR="00664C1B" w:rsidRPr="00664C1B" w:rsidRDefault="00664C1B" w:rsidP="00980876">
      <w:pPr>
        <w:numPr>
          <w:ilvl w:val="0"/>
          <w:numId w:val="414"/>
        </w:numPr>
        <w:spacing w:after="0" w:line="276" w:lineRule="auto"/>
        <w:contextualSpacing/>
        <w:jc w:val="both"/>
        <w:rPr>
          <w:rFonts w:ascii="Times New Roman" w:eastAsia="Times New Roman" w:hAnsi="Times New Roman" w:cs="Times New Roman"/>
          <w:lang w:eastAsia="hu-HU"/>
        </w:rPr>
      </w:pPr>
      <w:r w:rsidRPr="00664C1B">
        <w:rPr>
          <w:rFonts w:ascii="Times New Roman" w:eastAsia="Times New Roman" w:hAnsi="Times New Roman" w:cs="Times New Roman"/>
          <w:lang w:eastAsia="hu-HU"/>
        </w:rPr>
        <w:t>Képes a munkaköréhez és feladataihoz kapcsolódó jogszabályi háttér értelmezésére és gyakorlati alkalmazására.</w:t>
      </w:r>
    </w:p>
    <w:p w:rsidR="00664C1B" w:rsidRPr="00664C1B" w:rsidRDefault="00664C1B" w:rsidP="00980876">
      <w:pPr>
        <w:numPr>
          <w:ilvl w:val="0"/>
          <w:numId w:val="414"/>
        </w:numPr>
        <w:spacing w:after="0" w:line="276" w:lineRule="auto"/>
        <w:contextualSpacing/>
        <w:jc w:val="both"/>
        <w:rPr>
          <w:rFonts w:ascii="Times New Roman" w:eastAsia="Times New Roman" w:hAnsi="Times New Roman" w:cs="Times New Roman"/>
          <w:lang w:eastAsia="hu-HU"/>
        </w:rPr>
      </w:pPr>
      <w:r w:rsidRPr="00664C1B">
        <w:rPr>
          <w:rFonts w:ascii="Times New Roman" w:eastAsia="Times New Roman" w:hAnsi="Times New Roman" w:cs="Times New Roman"/>
          <w:lang w:eastAsia="hu-HU"/>
        </w:rPr>
        <w:t>Képes a munkaköréhez kapcsolódó dokumentumok, nyomtatványok, jegyzőkönyvek, feljegyzések és emlékeztetők önálló elkészítésére, okmányok kitöltésére, a munkaköréhez kapcsolódó események szervezésére, technikaielőkészítésére.</w:t>
      </w:r>
    </w:p>
    <w:p w:rsidR="00664C1B" w:rsidRPr="00664C1B" w:rsidRDefault="00664C1B" w:rsidP="00664C1B">
      <w:pPr>
        <w:autoSpaceDE w:val="0"/>
        <w:autoSpaceDN w:val="0"/>
        <w:adjustRightInd w:val="0"/>
        <w:spacing w:before="240" w:after="120" w:line="240" w:lineRule="auto"/>
        <w:ind w:left="646"/>
        <w:jc w:val="both"/>
        <w:rPr>
          <w:rFonts w:ascii="Times New Roman" w:eastAsia="Times New Roman" w:hAnsi="Times New Roman" w:cs="Times New Roman"/>
          <w:b/>
          <w:bCs/>
          <w:color w:val="000000"/>
          <w:lang w:eastAsia="hu-HU"/>
        </w:rPr>
      </w:pPr>
      <w:r w:rsidRPr="00664C1B">
        <w:rPr>
          <w:rFonts w:ascii="Times New Roman" w:eastAsia="Times New Roman" w:hAnsi="Times New Roman" w:cs="Times New Roman"/>
          <w:b/>
          <w:bCs/>
          <w:color w:val="000000"/>
          <w:lang w:eastAsia="hu-HU"/>
        </w:rPr>
        <w:t>Attitüdje:</w:t>
      </w:r>
    </w:p>
    <w:p w:rsidR="00664C1B" w:rsidRPr="00664C1B" w:rsidRDefault="00664C1B" w:rsidP="00980876">
      <w:pPr>
        <w:numPr>
          <w:ilvl w:val="0"/>
          <w:numId w:val="414"/>
        </w:numPr>
        <w:spacing w:after="0" w:line="276" w:lineRule="auto"/>
        <w:contextualSpacing/>
        <w:jc w:val="both"/>
        <w:rPr>
          <w:rFonts w:ascii="Times New Roman" w:eastAsia="Times New Roman" w:hAnsi="Times New Roman" w:cs="Times New Roman"/>
          <w:lang w:eastAsia="hu-HU"/>
        </w:rPr>
      </w:pPr>
      <w:r w:rsidRPr="00664C1B">
        <w:rPr>
          <w:rFonts w:ascii="Times New Roman" w:eastAsia="Times New Roman" w:hAnsi="Times New Roman" w:cs="Times New Roman"/>
          <w:lang w:eastAsia="hu-HU"/>
        </w:rPr>
        <w:t>Nyitott szakterülete új eredményei, innovációi iránt, törekszik azok megismerésére, megértésére és alkalmazására, elkötelezett önmaga folyamatos képzésére.</w:t>
      </w:r>
    </w:p>
    <w:p w:rsidR="00664C1B" w:rsidRPr="00664C1B" w:rsidRDefault="00664C1B" w:rsidP="00980876">
      <w:pPr>
        <w:numPr>
          <w:ilvl w:val="0"/>
          <w:numId w:val="414"/>
        </w:numPr>
        <w:spacing w:after="0" w:line="276" w:lineRule="auto"/>
        <w:contextualSpacing/>
        <w:jc w:val="both"/>
        <w:rPr>
          <w:rFonts w:ascii="Times New Roman" w:eastAsia="Times New Roman" w:hAnsi="Times New Roman" w:cs="Times New Roman"/>
          <w:lang w:eastAsia="hu-HU"/>
        </w:rPr>
      </w:pPr>
      <w:r w:rsidRPr="00664C1B">
        <w:rPr>
          <w:rFonts w:ascii="Times New Roman" w:eastAsia="Times New Roman" w:hAnsi="Times New Roman" w:cs="Times New Roman"/>
          <w:lang w:eastAsia="hu-HU"/>
        </w:rPr>
        <w:t>Feladatai ellátása során együttműködési készség jellemzi, törekszik a beosztottak bevonására a döntési folyamatokba.</w:t>
      </w:r>
    </w:p>
    <w:p w:rsidR="00664C1B" w:rsidRPr="00664C1B" w:rsidRDefault="00664C1B"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664C1B">
        <w:rPr>
          <w:rFonts w:ascii="Times New Roman" w:eastAsia="Times New Roman" w:hAnsi="Times New Roman" w:cs="Times New Roman"/>
          <w:color w:val="000000"/>
          <w:lang w:eastAsia="hu-HU"/>
        </w:rPr>
        <w:t xml:space="preserve">Nyitott szakterülete új eredményei felé, törekszik azok megismerésére. </w:t>
      </w:r>
    </w:p>
    <w:p w:rsidR="00664C1B" w:rsidRPr="00664C1B" w:rsidRDefault="00664C1B" w:rsidP="00664C1B">
      <w:pPr>
        <w:autoSpaceDE w:val="0"/>
        <w:autoSpaceDN w:val="0"/>
        <w:adjustRightInd w:val="0"/>
        <w:spacing w:before="240" w:after="120" w:line="240" w:lineRule="auto"/>
        <w:ind w:left="646"/>
        <w:jc w:val="both"/>
        <w:rPr>
          <w:rFonts w:ascii="Times New Roman" w:eastAsia="Times New Roman" w:hAnsi="Times New Roman" w:cs="Times New Roman"/>
          <w:b/>
          <w:bCs/>
          <w:color w:val="000000"/>
          <w:lang w:eastAsia="hu-HU"/>
        </w:rPr>
      </w:pPr>
      <w:r w:rsidRPr="00664C1B">
        <w:rPr>
          <w:rFonts w:ascii="Times New Roman" w:eastAsia="Times New Roman" w:hAnsi="Times New Roman" w:cs="Times New Roman"/>
          <w:b/>
          <w:bCs/>
          <w:color w:val="000000"/>
          <w:lang w:eastAsia="hu-HU"/>
        </w:rPr>
        <w:t>Autonómiája és felelőssége:</w:t>
      </w:r>
    </w:p>
    <w:p w:rsidR="00664C1B" w:rsidRPr="00664C1B" w:rsidRDefault="00664C1B"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664C1B">
        <w:rPr>
          <w:rFonts w:ascii="Times New Roman" w:eastAsia="Times New Roman" w:hAnsi="Times New Roman" w:cs="Times New Roman"/>
          <w:color w:val="000000"/>
          <w:lang w:eastAsia="hu-HU"/>
        </w:rPr>
        <w:t>Képes szakfeladatait önállóan végezni, saját munkáját hatékonyan megszervezni és végrehajtani.</w:t>
      </w:r>
    </w:p>
    <w:p w:rsidR="00664C1B" w:rsidRPr="00664C1B" w:rsidRDefault="00664C1B"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664C1B">
        <w:rPr>
          <w:rFonts w:ascii="Times New Roman" w:eastAsia="Times New Roman" w:hAnsi="Times New Roman" w:cs="Times New Roman"/>
          <w:color w:val="000000"/>
          <w:lang w:eastAsia="hu-HU"/>
        </w:rPr>
        <w:t>Együttműködés és felelősség jellemzi szakterületének szakembereivel szemben.</w:t>
      </w:r>
    </w:p>
    <w:p w:rsidR="00664C1B" w:rsidRPr="00664C1B" w:rsidRDefault="00664C1B"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664C1B">
        <w:rPr>
          <w:rFonts w:ascii="Times New Roman" w:eastAsia="Times New Roman" w:hAnsi="Times New Roman" w:cs="Times New Roman"/>
          <w:color w:val="000000"/>
          <w:lang w:eastAsia="hu-HU"/>
        </w:rPr>
        <w:t>Szakterületén belül képes rendszer-szemléletűen gondolkodni.</w:t>
      </w:r>
    </w:p>
    <w:p w:rsidR="00664C1B" w:rsidRPr="00664C1B" w:rsidRDefault="00664C1B" w:rsidP="00664C1B">
      <w:pPr>
        <w:autoSpaceDE w:val="0"/>
        <w:autoSpaceDN w:val="0"/>
        <w:adjustRightInd w:val="0"/>
        <w:spacing w:before="240" w:after="0" w:line="240" w:lineRule="auto"/>
        <w:ind w:left="644"/>
        <w:jc w:val="both"/>
        <w:rPr>
          <w:rFonts w:ascii="Times New Roman" w:eastAsia="Times New Roman" w:hAnsi="Times New Roman" w:cs="Times New Roman"/>
          <w:b/>
          <w:bCs/>
          <w:color w:val="000000"/>
          <w:lang w:eastAsia="hu-HU"/>
        </w:rPr>
      </w:pPr>
      <w:r w:rsidRPr="00664C1B">
        <w:rPr>
          <w:rFonts w:ascii="Times New Roman" w:eastAsia="Times New Roman" w:hAnsi="Times New Roman" w:cs="Times New Roman"/>
          <w:b/>
          <w:bCs/>
          <w:color w:val="000000"/>
          <w:lang w:eastAsia="hu-HU"/>
        </w:rPr>
        <w:t>Elérendő kompetenciák (angolul):</w:t>
      </w:r>
    </w:p>
    <w:p w:rsidR="00664C1B" w:rsidRPr="00664C1B" w:rsidRDefault="00664C1B" w:rsidP="00664C1B">
      <w:pPr>
        <w:tabs>
          <w:tab w:val="right" w:pos="900"/>
        </w:tabs>
        <w:spacing w:before="120" w:after="120" w:line="240" w:lineRule="auto"/>
        <w:ind w:left="646"/>
        <w:contextualSpacing/>
        <w:jc w:val="both"/>
        <w:rPr>
          <w:rFonts w:ascii="Times New Roman" w:eastAsia="Times New Roman" w:hAnsi="Times New Roman" w:cs="Times New Roman"/>
          <w:bCs/>
          <w:lang w:eastAsia="hu-HU"/>
        </w:rPr>
      </w:pPr>
      <w:r w:rsidRPr="00664C1B">
        <w:rPr>
          <w:rFonts w:ascii="Times New Roman" w:eastAsia="Times New Roman" w:hAnsi="Times New Roman" w:cs="Times New Roman"/>
          <w:b/>
          <w:bCs/>
          <w:lang w:eastAsia="hu-HU"/>
        </w:rPr>
        <w:t>Knowledge:</w:t>
      </w:r>
    </w:p>
    <w:p w:rsidR="00664C1B" w:rsidRPr="00664C1B" w:rsidRDefault="00664C1B"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664C1B">
        <w:rPr>
          <w:rFonts w:ascii="Times New Roman" w:eastAsia="Times New Roman" w:hAnsi="Times New Roman" w:cs="Times New Roman"/>
          <w:color w:val="000000"/>
          <w:lang w:eastAsia="hu-HU"/>
        </w:rPr>
        <w:t>Knows the laws of mathematics and mechanics, has basic technical knowledge.</w:t>
      </w:r>
    </w:p>
    <w:p w:rsidR="00664C1B" w:rsidRPr="00664C1B" w:rsidRDefault="00664C1B" w:rsidP="00664C1B">
      <w:pPr>
        <w:tabs>
          <w:tab w:val="right" w:pos="900"/>
        </w:tabs>
        <w:spacing w:before="120" w:after="120" w:line="240" w:lineRule="auto"/>
        <w:ind w:left="646"/>
        <w:jc w:val="both"/>
        <w:rPr>
          <w:rFonts w:ascii="Times New Roman" w:eastAsia="Times New Roman" w:hAnsi="Times New Roman" w:cs="Times New Roman"/>
          <w:b/>
          <w:bCs/>
          <w:lang w:eastAsia="hu-HU"/>
        </w:rPr>
      </w:pPr>
      <w:r w:rsidRPr="00664C1B">
        <w:rPr>
          <w:rFonts w:ascii="Times New Roman" w:eastAsia="Times New Roman" w:hAnsi="Times New Roman" w:cs="Times New Roman"/>
          <w:b/>
          <w:bCs/>
          <w:lang w:eastAsia="hu-HU"/>
        </w:rPr>
        <w:t>Capabilities:</w:t>
      </w:r>
    </w:p>
    <w:p w:rsidR="00664C1B" w:rsidRPr="00664C1B" w:rsidRDefault="00664C1B" w:rsidP="00980876">
      <w:pPr>
        <w:numPr>
          <w:ilvl w:val="0"/>
          <w:numId w:val="414"/>
        </w:numPr>
        <w:spacing w:after="0" w:line="276" w:lineRule="auto"/>
        <w:contextualSpacing/>
        <w:jc w:val="both"/>
        <w:rPr>
          <w:rFonts w:ascii="Times New Roman" w:eastAsia="Times New Roman" w:hAnsi="Times New Roman" w:cs="Times New Roman"/>
          <w:lang w:eastAsia="hu-HU"/>
        </w:rPr>
      </w:pPr>
      <w:r w:rsidRPr="00664C1B">
        <w:rPr>
          <w:rFonts w:ascii="Times New Roman" w:eastAsia="Times New Roman" w:hAnsi="Times New Roman" w:cs="Times New Roman"/>
          <w:lang w:eastAsia="hu-HU"/>
        </w:rPr>
        <w:t>Is capable of using the professional terminology both in Hungarian and foreign languages.</w:t>
      </w:r>
    </w:p>
    <w:p w:rsidR="00664C1B" w:rsidRPr="00664C1B" w:rsidRDefault="00664C1B" w:rsidP="00980876">
      <w:pPr>
        <w:numPr>
          <w:ilvl w:val="0"/>
          <w:numId w:val="414"/>
        </w:numPr>
        <w:spacing w:after="0" w:line="276" w:lineRule="auto"/>
        <w:contextualSpacing/>
        <w:jc w:val="both"/>
        <w:rPr>
          <w:rFonts w:ascii="Times New Roman" w:eastAsia="Times New Roman" w:hAnsi="Times New Roman" w:cs="Times New Roman"/>
          <w:lang w:eastAsia="hu-HU"/>
        </w:rPr>
      </w:pPr>
      <w:r w:rsidRPr="00664C1B">
        <w:rPr>
          <w:rFonts w:ascii="Times New Roman" w:eastAsia="Times New Roman" w:hAnsi="Times New Roman" w:cs="Times New Roman"/>
          <w:lang w:eastAsia="hu-HU"/>
        </w:rPr>
        <w:t>Is capable of interpreting and applying in practice the legal background related to his/her job and duties.</w:t>
      </w:r>
    </w:p>
    <w:p w:rsidR="00664C1B" w:rsidRPr="00664C1B" w:rsidRDefault="00664C1B" w:rsidP="00980876">
      <w:pPr>
        <w:numPr>
          <w:ilvl w:val="0"/>
          <w:numId w:val="414"/>
        </w:numPr>
        <w:spacing w:after="0" w:line="276" w:lineRule="auto"/>
        <w:contextualSpacing/>
        <w:jc w:val="both"/>
        <w:rPr>
          <w:rFonts w:ascii="Times New Roman" w:eastAsia="Times New Roman" w:hAnsi="Times New Roman" w:cs="Times New Roman"/>
          <w:lang w:eastAsia="hu-HU"/>
        </w:rPr>
      </w:pPr>
      <w:r w:rsidRPr="00664C1B">
        <w:rPr>
          <w:rFonts w:ascii="Times New Roman" w:eastAsia="Times New Roman" w:hAnsi="Times New Roman" w:cs="Times New Roman"/>
          <w:lang w:eastAsia="hu-HU"/>
        </w:rPr>
        <w:t>Is capable of independently preparing documents, forms, minutes, notes and memos, completing documents, organizing and technically preparing events related to his/her job.</w:t>
      </w:r>
    </w:p>
    <w:p w:rsidR="00664C1B" w:rsidRPr="00664C1B" w:rsidRDefault="00664C1B" w:rsidP="00664C1B">
      <w:pPr>
        <w:tabs>
          <w:tab w:val="right" w:pos="900"/>
        </w:tabs>
        <w:spacing w:before="120" w:after="120" w:line="240" w:lineRule="auto"/>
        <w:ind w:left="646"/>
        <w:jc w:val="both"/>
        <w:rPr>
          <w:rFonts w:ascii="Times New Roman" w:eastAsia="Times New Roman" w:hAnsi="Times New Roman" w:cs="Times New Roman"/>
          <w:b/>
          <w:bCs/>
          <w:lang w:eastAsia="hu-HU"/>
        </w:rPr>
      </w:pPr>
      <w:r w:rsidRPr="00664C1B">
        <w:rPr>
          <w:rFonts w:ascii="Times New Roman" w:eastAsia="Times New Roman" w:hAnsi="Times New Roman" w:cs="Times New Roman"/>
          <w:b/>
          <w:bCs/>
          <w:lang w:eastAsia="hu-HU"/>
        </w:rPr>
        <w:t>Attitude:</w:t>
      </w:r>
    </w:p>
    <w:p w:rsidR="00664C1B" w:rsidRPr="00664C1B" w:rsidRDefault="00664C1B" w:rsidP="00980876">
      <w:pPr>
        <w:numPr>
          <w:ilvl w:val="0"/>
          <w:numId w:val="414"/>
        </w:numPr>
        <w:spacing w:after="0" w:line="276" w:lineRule="auto"/>
        <w:contextualSpacing/>
        <w:jc w:val="both"/>
        <w:rPr>
          <w:rFonts w:ascii="Times New Roman" w:eastAsia="Times New Roman" w:hAnsi="Times New Roman" w:cs="Times New Roman"/>
          <w:lang w:eastAsia="hu-HU"/>
        </w:rPr>
      </w:pPr>
      <w:r w:rsidRPr="00664C1B">
        <w:rPr>
          <w:rFonts w:ascii="Times New Roman" w:eastAsia="Times New Roman" w:hAnsi="Times New Roman" w:cs="Times New Roman"/>
          <w:lang w:eastAsia="hu-HU"/>
        </w:rPr>
        <w:t>In his/her specialization he/she is open to the new achievements and innovations, strives to know, understand and apply them, and is committed to continuous self-education.</w:t>
      </w:r>
    </w:p>
    <w:p w:rsidR="00664C1B" w:rsidRPr="00664C1B" w:rsidRDefault="00664C1B" w:rsidP="00980876">
      <w:pPr>
        <w:numPr>
          <w:ilvl w:val="0"/>
          <w:numId w:val="414"/>
        </w:numPr>
        <w:spacing w:after="0" w:line="276" w:lineRule="auto"/>
        <w:contextualSpacing/>
        <w:jc w:val="both"/>
        <w:rPr>
          <w:rFonts w:ascii="Times New Roman" w:eastAsia="Times New Roman" w:hAnsi="Times New Roman" w:cs="Times New Roman"/>
          <w:lang w:eastAsia="hu-HU"/>
        </w:rPr>
      </w:pPr>
      <w:r w:rsidRPr="00664C1B">
        <w:rPr>
          <w:rFonts w:ascii="Times New Roman" w:eastAsia="Times New Roman" w:hAnsi="Times New Roman" w:cs="Times New Roman"/>
          <w:lang w:eastAsia="hu-HU"/>
        </w:rPr>
        <w:t>While performing his/her duties he/she is characterized by a willingness to cooperate with his/her subordinates, and strives to involve them in decision-making processes.</w:t>
      </w:r>
    </w:p>
    <w:p w:rsidR="00664C1B" w:rsidRPr="00664C1B" w:rsidRDefault="00664C1B"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664C1B">
        <w:rPr>
          <w:rFonts w:ascii="Times New Roman" w:eastAsia="Times New Roman" w:hAnsi="Times New Roman" w:cs="Times New Roman"/>
          <w:color w:val="000000"/>
          <w:lang w:eastAsia="hu-HU"/>
        </w:rPr>
        <w:t>He/she is open towards the new accomplishments of military technology and aims to gain knowledge of these.</w:t>
      </w:r>
    </w:p>
    <w:p w:rsidR="00664C1B" w:rsidRPr="00664C1B" w:rsidRDefault="00664C1B" w:rsidP="00664C1B">
      <w:pPr>
        <w:tabs>
          <w:tab w:val="right" w:pos="900"/>
        </w:tabs>
        <w:spacing w:before="120" w:after="0" w:line="240" w:lineRule="auto"/>
        <w:ind w:left="644"/>
        <w:contextualSpacing/>
        <w:jc w:val="both"/>
        <w:rPr>
          <w:rFonts w:ascii="Times New Roman" w:eastAsia="Times New Roman" w:hAnsi="Times New Roman" w:cs="Times New Roman"/>
          <w:bCs/>
          <w:lang w:eastAsia="hu-HU"/>
        </w:rPr>
      </w:pPr>
      <w:r w:rsidRPr="00664C1B">
        <w:rPr>
          <w:rFonts w:ascii="Times New Roman" w:eastAsia="Times New Roman" w:hAnsi="Times New Roman" w:cs="Times New Roman"/>
          <w:b/>
          <w:bCs/>
          <w:lang w:eastAsia="hu-HU"/>
        </w:rPr>
        <w:t>Autonomy and responsibility</w:t>
      </w:r>
    </w:p>
    <w:p w:rsidR="00664C1B" w:rsidRPr="00664C1B" w:rsidRDefault="00664C1B" w:rsidP="00980876">
      <w:pPr>
        <w:numPr>
          <w:ilvl w:val="0"/>
          <w:numId w:val="414"/>
        </w:numPr>
        <w:autoSpaceDE w:val="0"/>
        <w:autoSpaceDN w:val="0"/>
        <w:adjustRightInd w:val="0"/>
        <w:spacing w:before="120" w:after="0" w:line="240" w:lineRule="auto"/>
        <w:jc w:val="both"/>
        <w:rPr>
          <w:rFonts w:ascii="Times New Roman" w:eastAsia="Times New Roman" w:hAnsi="Times New Roman" w:cs="Times New Roman"/>
          <w:color w:val="000000"/>
          <w:lang w:eastAsia="hu-HU"/>
        </w:rPr>
      </w:pPr>
      <w:r w:rsidRPr="00664C1B">
        <w:rPr>
          <w:rFonts w:ascii="Times New Roman" w:eastAsia="Times New Roman" w:hAnsi="Times New Roman" w:cs="Times New Roman"/>
          <w:color w:val="000000"/>
          <w:lang w:eastAsia="hu-HU"/>
        </w:rPr>
        <w:t>Is capable of independently fulfilling his/her professional tasks as well as effectively organizing and executing his/her own work.</w:t>
      </w:r>
    </w:p>
    <w:p w:rsidR="00664C1B" w:rsidRPr="00664C1B" w:rsidRDefault="00664C1B" w:rsidP="00980876">
      <w:pPr>
        <w:numPr>
          <w:ilvl w:val="0"/>
          <w:numId w:val="414"/>
        </w:numPr>
        <w:autoSpaceDE w:val="0"/>
        <w:autoSpaceDN w:val="0"/>
        <w:adjustRightInd w:val="0"/>
        <w:spacing w:before="120" w:after="0" w:line="240" w:lineRule="auto"/>
        <w:jc w:val="both"/>
        <w:rPr>
          <w:rFonts w:ascii="Times New Roman" w:eastAsia="Times New Roman" w:hAnsi="Times New Roman" w:cs="Times New Roman"/>
          <w:color w:val="000000"/>
          <w:lang w:eastAsia="hu-HU"/>
        </w:rPr>
      </w:pPr>
      <w:r w:rsidRPr="00664C1B">
        <w:rPr>
          <w:rFonts w:ascii="Times New Roman" w:eastAsia="Times New Roman" w:hAnsi="Times New Roman" w:cs="Times New Roman"/>
          <w:color w:val="000000"/>
          <w:lang w:eastAsia="hu-HU"/>
        </w:rPr>
        <w:t>He/she is cooperative and responsible towards the professionals of his/her field.</w:t>
      </w:r>
    </w:p>
    <w:p w:rsidR="00664C1B" w:rsidRPr="00664C1B" w:rsidRDefault="00664C1B" w:rsidP="00980876">
      <w:pPr>
        <w:numPr>
          <w:ilvl w:val="0"/>
          <w:numId w:val="414"/>
        </w:numPr>
        <w:autoSpaceDE w:val="0"/>
        <w:autoSpaceDN w:val="0"/>
        <w:adjustRightInd w:val="0"/>
        <w:spacing w:before="120" w:after="0" w:line="240" w:lineRule="auto"/>
        <w:jc w:val="both"/>
        <w:rPr>
          <w:rFonts w:ascii="Times New Roman" w:eastAsia="Times New Roman" w:hAnsi="Times New Roman" w:cs="Times New Roman"/>
          <w:color w:val="000000"/>
          <w:lang w:eastAsia="hu-HU"/>
        </w:rPr>
      </w:pPr>
      <w:r w:rsidRPr="00664C1B">
        <w:rPr>
          <w:rFonts w:ascii="Times New Roman" w:eastAsia="Times New Roman" w:hAnsi="Times New Roman" w:cs="Times New Roman"/>
          <w:color w:val="000000"/>
          <w:lang w:eastAsia="hu-HU"/>
        </w:rPr>
        <w:t>Is capable of thinking in a system approach within his/her own field.</w:t>
      </w:r>
    </w:p>
    <w:p w:rsidR="00664C1B" w:rsidRPr="00664C1B" w:rsidRDefault="00664C1B" w:rsidP="00980876">
      <w:pPr>
        <w:numPr>
          <w:ilvl w:val="0"/>
          <w:numId w:val="421"/>
        </w:numPr>
        <w:tabs>
          <w:tab w:val="clear" w:pos="720"/>
          <w:tab w:val="num" w:pos="644"/>
          <w:tab w:val="right" w:pos="900"/>
          <w:tab w:val="center" w:pos="4536"/>
          <w:tab w:val="right" w:pos="9071"/>
        </w:tabs>
        <w:spacing w:before="120" w:after="0" w:line="240" w:lineRule="auto"/>
        <w:ind w:left="644"/>
        <w:jc w:val="both"/>
        <w:rPr>
          <w:rFonts w:ascii="Times New Roman" w:eastAsia="Times New Roman" w:hAnsi="Times New Roman" w:cs="Times New Roman"/>
          <w:bCs/>
          <w:lang w:eastAsia="hu-HU"/>
        </w:rPr>
      </w:pPr>
      <w:r w:rsidRPr="00664C1B">
        <w:rPr>
          <w:rFonts w:ascii="Times New Roman" w:eastAsia="Times New Roman" w:hAnsi="Times New Roman" w:cs="Times New Roman"/>
          <w:b/>
          <w:bCs/>
          <w:lang w:eastAsia="hu-HU"/>
        </w:rPr>
        <w:t xml:space="preserve">Előtanulmányi kötelezettségek:  - </w:t>
      </w:r>
    </w:p>
    <w:p w:rsidR="00664C1B" w:rsidRPr="00664C1B" w:rsidRDefault="00664C1B" w:rsidP="00980876">
      <w:pPr>
        <w:numPr>
          <w:ilvl w:val="0"/>
          <w:numId w:val="421"/>
        </w:numPr>
        <w:tabs>
          <w:tab w:val="clear" w:pos="720"/>
          <w:tab w:val="num" w:pos="644"/>
        </w:tabs>
        <w:spacing w:before="120" w:after="0" w:line="240" w:lineRule="auto"/>
        <w:ind w:left="641" w:hanging="357"/>
        <w:jc w:val="both"/>
        <w:rPr>
          <w:rFonts w:ascii="Times New Roman" w:eastAsia="Times New Roman" w:hAnsi="Times New Roman" w:cs="Times New Roman"/>
          <w:b/>
          <w:lang w:eastAsia="hu-HU"/>
        </w:rPr>
      </w:pPr>
      <w:r w:rsidRPr="00664C1B">
        <w:rPr>
          <w:rFonts w:ascii="Times New Roman" w:eastAsia="Times New Roman" w:hAnsi="Times New Roman" w:cs="Times New Roman"/>
          <w:b/>
          <w:lang w:eastAsia="hu-HU"/>
        </w:rPr>
        <w:t>A tantárgy tananyagának leírása: (tematika):</w:t>
      </w:r>
    </w:p>
    <w:p w:rsidR="00664C1B" w:rsidRPr="00664C1B" w:rsidRDefault="00664C1B" w:rsidP="00980876">
      <w:pPr>
        <w:numPr>
          <w:ilvl w:val="1"/>
          <w:numId w:val="421"/>
        </w:numPr>
        <w:tabs>
          <w:tab w:val="clear" w:pos="3977"/>
          <w:tab w:val="num" w:pos="1425"/>
        </w:tabs>
        <w:spacing w:before="60" w:after="0" w:line="240" w:lineRule="auto"/>
        <w:ind w:left="1276" w:hanging="709"/>
        <w:jc w:val="both"/>
        <w:rPr>
          <w:rFonts w:ascii="Times New Roman" w:eastAsia="Times New Roman" w:hAnsi="Times New Roman" w:cs="Times New Roman"/>
          <w:i/>
          <w:lang w:eastAsia="hu-HU"/>
        </w:rPr>
      </w:pPr>
      <w:r w:rsidRPr="00664C1B">
        <w:rPr>
          <w:rFonts w:ascii="Times New Roman" w:eastAsia="Times New Roman" w:hAnsi="Times New Roman" w:cs="Times New Roman"/>
          <w:lang w:eastAsia="hu-HU"/>
        </w:rPr>
        <w:t xml:space="preserve">Egységek, egységrendszerek, alapfogalmak. </w:t>
      </w:r>
      <w:r w:rsidRPr="00664C1B">
        <w:rPr>
          <w:rFonts w:ascii="Times New Roman" w:eastAsia="Times New Roman" w:hAnsi="Times New Roman" w:cs="Times New Roman"/>
          <w:i/>
          <w:lang w:eastAsia="hu-HU"/>
        </w:rPr>
        <w:t>(Units, unit systems, basic concepts.)</w:t>
      </w:r>
    </w:p>
    <w:p w:rsidR="00664C1B" w:rsidRPr="00664C1B" w:rsidRDefault="00664C1B" w:rsidP="00980876">
      <w:pPr>
        <w:numPr>
          <w:ilvl w:val="1"/>
          <w:numId w:val="421"/>
        </w:numPr>
        <w:tabs>
          <w:tab w:val="clear" w:pos="3977"/>
          <w:tab w:val="num" w:pos="1425"/>
        </w:tabs>
        <w:spacing w:before="60" w:after="0" w:line="240" w:lineRule="auto"/>
        <w:ind w:left="1276" w:hanging="709"/>
        <w:jc w:val="both"/>
        <w:rPr>
          <w:rFonts w:ascii="Times New Roman" w:eastAsia="Times New Roman" w:hAnsi="Times New Roman" w:cs="Times New Roman"/>
          <w:i/>
          <w:lang w:eastAsia="hu-HU"/>
        </w:rPr>
      </w:pPr>
      <w:r w:rsidRPr="00664C1B">
        <w:rPr>
          <w:rFonts w:ascii="Times New Roman" w:eastAsia="Times New Roman" w:hAnsi="Times New Roman" w:cs="Times New Roman"/>
          <w:lang w:eastAsia="hu-HU"/>
        </w:rPr>
        <w:t>Különböz</w:t>
      </w:r>
      <w:r w:rsidRPr="00664C1B">
        <w:rPr>
          <w:rFonts w:ascii="Times New Roman" w:eastAsia="Times New Roman" w:hAnsi="Times New Roman" w:cs="Times New Roman" w:hint="eastAsia"/>
          <w:lang w:eastAsia="hu-HU"/>
        </w:rPr>
        <w:t>ő</w:t>
      </w:r>
      <w:r w:rsidRPr="00664C1B">
        <w:rPr>
          <w:rFonts w:ascii="Times New Roman" w:eastAsia="Times New Roman" w:hAnsi="Times New Roman" w:cs="Times New Roman"/>
          <w:lang w:eastAsia="hu-HU"/>
        </w:rPr>
        <w:t xml:space="preserve"> mennyiségek egységei. </w:t>
      </w:r>
      <w:r w:rsidRPr="00664C1B">
        <w:rPr>
          <w:rFonts w:ascii="Times New Roman" w:eastAsia="Times New Roman" w:hAnsi="Times New Roman" w:cs="Times New Roman"/>
          <w:i/>
          <w:lang w:eastAsia="hu-HU"/>
        </w:rPr>
        <w:t>(Units of different quantities.)</w:t>
      </w:r>
    </w:p>
    <w:p w:rsidR="00664C1B" w:rsidRPr="00664C1B" w:rsidRDefault="00664C1B" w:rsidP="00980876">
      <w:pPr>
        <w:numPr>
          <w:ilvl w:val="1"/>
          <w:numId w:val="421"/>
        </w:numPr>
        <w:tabs>
          <w:tab w:val="clear" w:pos="3977"/>
          <w:tab w:val="num" w:pos="1425"/>
        </w:tabs>
        <w:spacing w:before="60" w:after="0" w:line="240" w:lineRule="auto"/>
        <w:ind w:left="1276" w:hanging="709"/>
        <w:jc w:val="both"/>
        <w:rPr>
          <w:rFonts w:ascii="Times New Roman" w:eastAsia="Times New Roman" w:hAnsi="Times New Roman" w:cs="Times New Roman"/>
          <w:i/>
          <w:lang w:eastAsia="hu-HU"/>
        </w:rPr>
      </w:pPr>
      <w:r w:rsidRPr="00664C1B">
        <w:rPr>
          <w:rFonts w:ascii="Times New Roman" w:eastAsia="Times New Roman" w:hAnsi="Times New Roman" w:cs="Times New Roman"/>
          <w:lang w:eastAsia="hu-HU"/>
        </w:rPr>
        <w:lastRenderedPageBreak/>
        <w:t>Etalonok fajtái, tulajdonságai. Hosszegységek, szögegységek, tömegegységek, id</w:t>
      </w:r>
      <w:r w:rsidRPr="00664C1B">
        <w:rPr>
          <w:rFonts w:ascii="Times New Roman" w:eastAsia="Times New Roman" w:hAnsi="Times New Roman" w:cs="Times New Roman" w:hint="eastAsia"/>
          <w:lang w:eastAsia="hu-HU"/>
        </w:rPr>
        <w:t>ő</w:t>
      </w:r>
      <w:r w:rsidRPr="00664C1B">
        <w:rPr>
          <w:rFonts w:ascii="Times New Roman" w:eastAsia="Times New Roman" w:hAnsi="Times New Roman" w:cs="Times New Roman"/>
          <w:lang w:eastAsia="hu-HU"/>
        </w:rPr>
        <w:t xml:space="preserve">egységek. </w:t>
      </w:r>
      <w:r w:rsidRPr="00664C1B">
        <w:rPr>
          <w:rFonts w:ascii="Times New Roman" w:eastAsia="Times New Roman" w:hAnsi="Times New Roman" w:cs="Times New Roman"/>
          <w:i/>
          <w:lang w:eastAsia="hu-HU"/>
        </w:rPr>
        <w:t>(Types and properties of standards. Length units, angular units, mass units, time units.)</w:t>
      </w:r>
    </w:p>
    <w:p w:rsidR="00664C1B" w:rsidRPr="00664C1B" w:rsidRDefault="00664C1B" w:rsidP="00980876">
      <w:pPr>
        <w:numPr>
          <w:ilvl w:val="1"/>
          <w:numId w:val="421"/>
        </w:numPr>
        <w:tabs>
          <w:tab w:val="clear" w:pos="3977"/>
          <w:tab w:val="num" w:pos="1425"/>
        </w:tabs>
        <w:spacing w:before="60" w:after="0" w:line="240" w:lineRule="auto"/>
        <w:ind w:left="1276" w:hanging="709"/>
        <w:jc w:val="both"/>
        <w:rPr>
          <w:rFonts w:ascii="Times New Roman" w:eastAsia="Times New Roman" w:hAnsi="Times New Roman" w:cs="Times New Roman"/>
          <w:i/>
          <w:lang w:eastAsia="hu-HU"/>
        </w:rPr>
      </w:pPr>
      <w:r w:rsidRPr="00664C1B">
        <w:rPr>
          <w:rFonts w:ascii="Times New Roman" w:eastAsia="Times New Roman" w:hAnsi="Times New Roman" w:cs="Times New Roman"/>
          <w:lang w:eastAsia="hu-HU"/>
        </w:rPr>
        <w:t>A mérés alapfogalmai</w:t>
      </w:r>
      <w:r w:rsidRPr="00664C1B">
        <w:rPr>
          <w:rFonts w:ascii="Times New Roman" w:eastAsia="Times New Roman" w:hAnsi="Times New Roman" w:cs="Times New Roman"/>
          <w:i/>
          <w:lang w:eastAsia="hu-HU"/>
        </w:rPr>
        <w:t>. (Basic concepts of measurement)</w:t>
      </w:r>
    </w:p>
    <w:p w:rsidR="00664C1B" w:rsidRPr="00664C1B" w:rsidRDefault="00664C1B" w:rsidP="00980876">
      <w:pPr>
        <w:numPr>
          <w:ilvl w:val="1"/>
          <w:numId w:val="421"/>
        </w:numPr>
        <w:tabs>
          <w:tab w:val="clear" w:pos="3977"/>
          <w:tab w:val="num" w:pos="1425"/>
        </w:tabs>
        <w:spacing w:before="60" w:after="0" w:line="240" w:lineRule="auto"/>
        <w:ind w:left="1276" w:hanging="709"/>
        <w:jc w:val="both"/>
        <w:rPr>
          <w:rFonts w:ascii="Times New Roman" w:eastAsia="Times New Roman" w:hAnsi="Times New Roman" w:cs="Times New Roman"/>
          <w:i/>
          <w:lang w:eastAsia="hu-HU"/>
        </w:rPr>
      </w:pPr>
      <w:r w:rsidRPr="00664C1B">
        <w:rPr>
          <w:rFonts w:ascii="Times New Roman" w:eastAsia="Times New Roman" w:hAnsi="Times New Roman" w:cs="Times New Roman"/>
          <w:lang w:eastAsia="hu-HU"/>
        </w:rPr>
        <w:t>A mérést befolyásoló tényez</w:t>
      </w:r>
      <w:r w:rsidRPr="00664C1B">
        <w:rPr>
          <w:rFonts w:ascii="Times New Roman" w:eastAsia="Times New Roman" w:hAnsi="Times New Roman" w:cs="Times New Roman" w:hint="eastAsia"/>
          <w:lang w:eastAsia="hu-HU"/>
        </w:rPr>
        <w:t>ő</w:t>
      </w:r>
      <w:r w:rsidRPr="00664C1B">
        <w:rPr>
          <w:rFonts w:ascii="Times New Roman" w:eastAsia="Times New Roman" w:hAnsi="Times New Roman" w:cs="Times New Roman"/>
          <w:lang w:eastAsia="hu-HU"/>
        </w:rPr>
        <w:t xml:space="preserve">k, mérési hibák. </w:t>
      </w:r>
      <w:r w:rsidRPr="00664C1B">
        <w:rPr>
          <w:rFonts w:ascii="Times New Roman" w:eastAsia="Times New Roman" w:hAnsi="Times New Roman" w:cs="Times New Roman"/>
          <w:i/>
          <w:lang w:eastAsia="hu-HU"/>
        </w:rPr>
        <w:t>(Factors influencing the measurement, measurement errors.)</w:t>
      </w:r>
    </w:p>
    <w:p w:rsidR="00664C1B" w:rsidRPr="00664C1B" w:rsidRDefault="00664C1B" w:rsidP="00980876">
      <w:pPr>
        <w:numPr>
          <w:ilvl w:val="1"/>
          <w:numId w:val="421"/>
        </w:numPr>
        <w:tabs>
          <w:tab w:val="clear" w:pos="3977"/>
          <w:tab w:val="num" w:pos="1425"/>
        </w:tabs>
        <w:spacing w:before="60" w:after="0" w:line="240" w:lineRule="auto"/>
        <w:ind w:left="1276" w:hanging="709"/>
        <w:jc w:val="both"/>
        <w:rPr>
          <w:rFonts w:ascii="Times New Roman" w:eastAsia="Times New Roman" w:hAnsi="Times New Roman" w:cs="Times New Roman"/>
          <w:i/>
          <w:lang w:eastAsia="hu-HU"/>
        </w:rPr>
      </w:pPr>
      <w:r w:rsidRPr="00664C1B">
        <w:rPr>
          <w:rFonts w:ascii="Times New Roman" w:eastAsia="Times New Roman" w:hAnsi="Times New Roman" w:cs="Times New Roman"/>
          <w:lang w:eastAsia="hu-HU"/>
        </w:rPr>
        <w:t>Közvetlen hosszmérés mechanikai eszközei. Hosszmér</w:t>
      </w:r>
      <w:r w:rsidRPr="00664C1B">
        <w:rPr>
          <w:rFonts w:ascii="Times New Roman" w:eastAsia="Times New Roman" w:hAnsi="Times New Roman" w:cs="Times New Roman" w:hint="eastAsia"/>
          <w:lang w:eastAsia="hu-HU"/>
        </w:rPr>
        <w:t>ő</w:t>
      </w:r>
      <w:r w:rsidRPr="00664C1B">
        <w:rPr>
          <w:rFonts w:ascii="Times New Roman" w:eastAsia="Times New Roman" w:hAnsi="Times New Roman" w:cs="Times New Roman"/>
          <w:lang w:eastAsia="hu-HU"/>
        </w:rPr>
        <w:t>k. Tolómércék. Mikrométerek. Tapintóemelty</w:t>
      </w:r>
      <w:r w:rsidRPr="00664C1B">
        <w:rPr>
          <w:rFonts w:ascii="Times New Roman" w:eastAsia="Times New Roman" w:hAnsi="Times New Roman" w:cs="Times New Roman" w:hint="eastAsia"/>
          <w:lang w:eastAsia="hu-HU"/>
        </w:rPr>
        <w:t>ű</w:t>
      </w:r>
      <w:r w:rsidRPr="00664C1B">
        <w:rPr>
          <w:rFonts w:ascii="Times New Roman" w:eastAsia="Times New Roman" w:hAnsi="Times New Roman" w:cs="Times New Roman"/>
          <w:lang w:eastAsia="hu-HU"/>
        </w:rPr>
        <w:t xml:space="preserve">s mikrométerek. </w:t>
      </w:r>
      <w:r w:rsidRPr="00664C1B">
        <w:rPr>
          <w:rFonts w:ascii="Times New Roman" w:eastAsia="Times New Roman" w:hAnsi="Times New Roman" w:cs="Times New Roman"/>
          <w:i/>
          <w:lang w:eastAsia="hu-HU"/>
        </w:rPr>
        <w:t>(Mechanical instruments for direct measurement of length. Length Gauges. Calipers. Micrometers. Micrometers with tactile levers.)</w:t>
      </w:r>
    </w:p>
    <w:p w:rsidR="00664C1B" w:rsidRPr="00664C1B" w:rsidRDefault="00664C1B" w:rsidP="00980876">
      <w:pPr>
        <w:numPr>
          <w:ilvl w:val="1"/>
          <w:numId w:val="421"/>
        </w:numPr>
        <w:tabs>
          <w:tab w:val="clear" w:pos="3977"/>
          <w:tab w:val="num" w:pos="1425"/>
        </w:tabs>
        <w:spacing w:before="60" w:after="0" w:line="240" w:lineRule="auto"/>
        <w:ind w:left="1276" w:hanging="709"/>
        <w:jc w:val="both"/>
        <w:rPr>
          <w:rFonts w:ascii="Times New Roman" w:eastAsia="Times New Roman" w:hAnsi="Times New Roman" w:cs="Times New Roman"/>
          <w:i/>
          <w:lang w:eastAsia="hu-HU"/>
        </w:rPr>
      </w:pPr>
      <w:r w:rsidRPr="00664C1B">
        <w:rPr>
          <w:rFonts w:ascii="Times New Roman" w:eastAsia="Times New Roman" w:hAnsi="Times New Roman" w:cs="Times New Roman"/>
          <w:lang w:eastAsia="hu-HU"/>
        </w:rPr>
        <w:t>Mér</w:t>
      </w:r>
      <w:r w:rsidRPr="00664C1B">
        <w:rPr>
          <w:rFonts w:ascii="Times New Roman" w:eastAsia="Times New Roman" w:hAnsi="Times New Roman" w:cs="Times New Roman" w:hint="eastAsia"/>
          <w:lang w:eastAsia="hu-HU"/>
        </w:rPr>
        <w:t>ő</w:t>
      </w:r>
      <w:r w:rsidRPr="00664C1B">
        <w:rPr>
          <w:rFonts w:ascii="Times New Roman" w:eastAsia="Times New Roman" w:hAnsi="Times New Roman" w:cs="Times New Roman"/>
          <w:lang w:eastAsia="hu-HU"/>
        </w:rPr>
        <w:t xml:space="preserve">hasábok és tartozékaik. </w:t>
      </w:r>
      <w:r w:rsidRPr="00664C1B">
        <w:rPr>
          <w:rFonts w:ascii="Times New Roman" w:eastAsia="Times New Roman" w:hAnsi="Times New Roman" w:cs="Times New Roman"/>
          <w:i/>
          <w:lang w:eastAsia="hu-HU"/>
        </w:rPr>
        <w:t>(Measuring blocks and accessories therefor.)</w:t>
      </w:r>
    </w:p>
    <w:p w:rsidR="00664C1B" w:rsidRPr="00664C1B" w:rsidRDefault="00664C1B" w:rsidP="00980876">
      <w:pPr>
        <w:numPr>
          <w:ilvl w:val="1"/>
          <w:numId w:val="421"/>
        </w:numPr>
        <w:tabs>
          <w:tab w:val="clear" w:pos="3977"/>
          <w:tab w:val="num" w:pos="1425"/>
        </w:tabs>
        <w:spacing w:before="60" w:after="0" w:line="240" w:lineRule="auto"/>
        <w:ind w:left="1276" w:hanging="709"/>
        <w:jc w:val="both"/>
        <w:rPr>
          <w:rFonts w:ascii="Times New Roman" w:eastAsia="Times New Roman" w:hAnsi="Times New Roman" w:cs="Times New Roman"/>
          <w:i/>
          <w:lang w:eastAsia="hu-HU"/>
        </w:rPr>
      </w:pPr>
      <w:r w:rsidRPr="00664C1B">
        <w:rPr>
          <w:rFonts w:ascii="Times New Roman" w:eastAsia="Times New Roman" w:hAnsi="Times New Roman" w:cs="Times New Roman"/>
          <w:lang w:eastAsia="hu-HU"/>
        </w:rPr>
        <w:t>Optikai, villamos hosszmér</w:t>
      </w:r>
      <w:r w:rsidRPr="00664C1B">
        <w:rPr>
          <w:rFonts w:ascii="Times New Roman" w:eastAsia="Times New Roman" w:hAnsi="Times New Roman" w:cs="Times New Roman" w:hint="eastAsia"/>
          <w:lang w:eastAsia="hu-HU"/>
        </w:rPr>
        <w:t>ő</w:t>
      </w:r>
      <w:r w:rsidRPr="00664C1B">
        <w:rPr>
          <w:rFonts w:ascii="Times New Roman" w:eastAsia="Times New Roman" w:hAnsi="Times New Roman" w:cs="Times New Roman"/>
          <w:lang w:eastAsia="hu-HU"/>
        </w:rPr>
        <w:t xml:space="preserve"> eszközök. </w:t>
      </w:r>
      <w:r w:rsidRPr="00664C1B">
        <w:rPr>
          <w:rFonts w:ascii="Times New Roman" w:eastAsia="Times New Roman" w:hAnsi="Times New Roman" w:cs="Times New Roman"/>
          <w:i/>
          <w:lang w:eastAsia="hu-HU"/>
        </w:rPr>
        <w:t>(Optical and electrical measuring devices.)</w:t>
      </w:r>
    </w:p>
    <w:p w:rsidR="00664C1B" w:rsidRPr="00664C1B" w:rsidRDefault="00664C1B" w:rsidP="00980876">
      <w:pPr>
        <w:numPr>
          <w:ilvl w:val="1"/>
          <w:numId w:val="421"/>
        </w:numPr>
        <w:tabs>
          <w:tab w:val="clear" w:pos="3977"/>
          <w:tab w:val="num" w:pos="1425"/>
        </w:tabs>
        <w:spacing w:before="60" w:after="0" w:line="240" w:lineRule="auto"/>
        <w:ind w:left="1276" w:hanging="709"/>
        <w:jc w:val="both"/>
        <w:rPr>
          <w:rFonts w:ascii="Times New Roman" w:eastAsia="Times New Roman" w:hAnsi="Times New Roman" w:cs="Times New Roman"/>
          <w:i/>
          <w:lang w:eastAsia="hu-HU"/>
        </w:rPr>
      </w:pPr>
      <w:r w:rsidRPr="00664C1B">
        <w:rPr>
          <w:rFonts w:ascii="Times New Roman" w:eastAsia="Times New Roman" w:hAnsi="Times New Roman" w:cs="Times New Roman"/>
          <w:lang w:eastAsia="hu-HU"/>
        </w:rPr>
        <w:t xml:space="preserve">Pneumatikus hosszmérés. </w:t>
      </w:r>
      <w:r w:rsidRPr="00664C1B">
        <w:rPr>
          <w:rFonts w:ascii="Times New Roman" w:eastAsia="Times New Roman" w:hAnsi="Times New Roman" w:cs="Times New Roman"/>
          <w:i/>
          <w:lang w:eastAsia="hu-HU"/>
        </w:rPr>
        <w:t>(Pneumatic length measurement.)</w:t>
      </w:r>
    </w:p>
    <w:p w:rsidR="00664C1B" w:rsidRPr="00664C1B" w:rsidRDefault="00664C1B" w:rsidP="00980876">
      <w:pPr>
        <w:numPr>
          <w:ilvl w:val="1"/>
          <w:numId w:val="421"/>
        </w:numPr>
        <w:tabs>
          <w:tab w:val="clear" w:pos="3977"/>
          <w:tab w:val="num" w:pos="1425"/>
        </w:tabs>
        <w:spacing w:before="60" w:after="0" w:line="240" w:lineRule="auto"/>
        <w:ind w:left="1276" w:hanging="709"/>
        <w:jc w:val="both"/>
        <w:rPr>
          <w:rFonts w:ascii="Times New Roman" w:eastAsia="Times New Roman" w:hAnsi="Times New Roman" w:cs="Times New Roman"/>
          <w:i/>
          <w:lang w:eastAsia="hu-HU"/>
        </w:rPr>
      </w:pPr>
      <w:r w:rsidRPr="00664C1B">
        <w:rPr>
          <w:rFonts w:ascii="Times New Roman" w:eastAsia="Times New Roman" w:hAnsi="Times New Roman" w:cs="Times New Roman"/>
          <w:lang w:eastAsia="hu-HU"/>
        </w:rPr>
        <w:t xml:space="preserve">A szögmérés és eszközei. </w:t>
      </w:r>
      <w:r w:rsidRPr="00664C1B">
        <w:rPr>
          <w:rFonts w:ascii="Times New Roman" w:eastAsia="Times New Roman" w:hAnsi="Times New Roman" w:cs="Times New Roman"/>
          <w:i/>
          <w:lang w:eastAsia="hu-HU"/>
        </w:rPr>
        <w:t>(Angle measurement and its tools.)</w:t>
      </w:r>
    </w:p>
    <w:p w:rsidR="00664C1B" w:rsidRPr="00664C1B" w:rsidRDefault="00664C1B" w:rsidP="00980876">
      <w:pPr>
        <w:numPr>
          <w:ilvl w:val="1"/>
          <w:numId w:val="421"/>
        </w:numPr>
        <w:tabs>
          <w:tab w:val="clear" w:pos="3977"/>
          <w:tab w:val="num" w:pos="1425"/>
        </w:tabs>
        <w:spacing w:before="60" w:after="0" w:line="240" w:lineRule="auto"/>
        <w:ind w:left="1276" w:hanging="709"/>
        <w:jc w:val="both"/>
        <w:rPr>
          <w:rFonts w:ascii="Times New Roman" w:eastAsia="Times New Roman" w:hAnsi="Times New Roman" w:cs="Times New Roman"/>
          <w:i/>
          <w:lang w:eastAsia="hu-HU"/>
        </w:rPr>
      </w:pPr>
      <w:r w:rsidRPr="00664C1B">
        <w:rPr>
          <w:rFonts w:ascii="Times New Roman" w:eastAsia="Times New Roman" w:hAnsi="Times New Roman" w:cs="Times New Roman"/>
          <w:lang w:eastAsia="hu-HU"/>
        </w:rPr>
        <w:t xml:space="preserve">Csavarmenetek mérése. </w:t>
      </w:r>
      <w:r w:rsidRPr="00664C1B">
        <w:rPr>
          <w:rFonts w:ascii="Times New Roman" w:eastAsia="Times New Roman" w:hAnsi="Times New Roman" w:cs="Times New Roman"/>
          <w:i/>
          <w:lang w:eastAsia="hu-HU"/>
        </w:rPr>
        <w:t>(Measuring threads.)</w:t>
      </w:r>
    </w:p>
    <w:p w:rsidR="00664C1B" w:rsidRPr="00664C1B" w:rsidRDefault="00664C1B" w:rsidP="00980876">
      <w:pPr>
        <w:numPr>
          <w:ilvl w:val="1"/>
          <w:numId w:val="421"/>
        </w:numPr>
        <w:tabs>
          <w:tab w:val="clear" w:pos="3977"/>
          <w:tab w:val="num" w:pos="1425"/>
        </w:tabs>
        <w:spacing w:before="60" w:after="0" w:line="240" w:lineRule="auto"/>
        <w:ind w:left="1276" w:hanging="709"/>
        <w:jc w:val="both"/>
        <w:rPr>
          <w:rFonts w:ascii="Times New Roman" w:eastAsia="Times New Roman" w:hAnsi="Times New Roman" w:cs="Times New Roman"/>
          <w:i/>
          <w:lang w:eastAsia="hu-HU"/>
        </w:rPr>
      </w:pPr>
      <w:r w:rsidRPr="00664C1B">
        <w:rPr>
          <w:rFonts w:ascii="Times New Roman" w:eastAsia="Times New Roman" w:hAnsi="Times New Roman" w:cs="Times New Roman"/>
          <w:lang w:eastAsia="hu-HU"/>
        </w:rPr>
        <w:t xml:space="preserve">Kúpos csapok, hüvelyek és prizmatikus vezetékek mérése. </w:t>
      </w:r>
      <w:r w:rsidRPr="00664C1B">
        <w:rPr>
          <w:rFonts w:ascii="Times New Roman" w:eastAsia="Times New Roman" w:hAnsi="Times New Roman" w:cs="Times New Roman"/>
          <w:i/>
          <w:lang w:eastAsia="hu-HU"/>
        </w:rPr>
        <w:t>(Measuring tapered pins, sleeves and prismatic wires.)</w:t>
      </w:r>
    </w:p>
    <w:p w:rsidR="00664C1B" w:rsidRPr="00664C1B" w:rsidRDefault="00664C1B" w:rsidP="00980876">
      <w:pPr>
        <w:numPr>
          <w:ilvl w:val="1"/>
          <w:numId w:val="421"/>
        </w:numPr>
        <w:tabs>
          <w:tab w:val="clear" w:pos="3977"/>
          <w:tab w:val="num" w:pos="1425"/>
        </w:tabs>
        <w:spacing w:before="60" w:after="0" w:line="240" w:lineRule="auto"/>
        <w:ind w:left="1276" w:hanging="709"/>
        <w:jc w:val="both"/>
        <w:rPr>
          <w:rFonts w:ascii="Times New Roman" w:eastAsia="Times New Roman" w:hAnsi="Times New Roman" w:cs="Times New Roman"/>
          <w:lang w:eastAsia="hu-HU"/>
        </w:rPr>
      </w:pPr>
      <w:r w:rsidRPr="00664C1B">
        <w:rPr>
          <w:rFonts w:ascii="Times New Roman" w:eastAsia="Times New Roman" w:hAnsi="Times New Roman" w:cs="Times New Roman"/>
          <w:lang w:eastAsia="hu-HU"/>
        </w:rPr>
        <w:t>Fogaskerekek ellen</w:t>
      </w:r>
      <w:r w:rsidRPr="00664C1B">
        <w:rPr>
          <w:rFonts w:ascii="Times New Roman" w:eastAsia="Times New Roman" w:hAnsi="Times New Roman" w:cs="Times New Roman" w:hint="eastAsia"/>
          <w:lang w:eastAsia="hu-HU"/>
        </w:rPr>
        <w:t>ő</w:t>
      </w:r>
      <w:r w:rsidRPr="00664C1B">
        <w:rPr>
          <w:rFonts w:ascii="Times New Roman" w:eastAsia="Times New Roman" w:hAnsi="Times New Roman" w:cs="Times New Roman"/>
          <w:lang w:eastAsia="hu-HU"/>
        </w:rPr>
        <w:t xml:space="preserve">rzése. </w:t>
      </w:r>
      <w:r w:rsidRPr="00664C1B">
        <w:rPr>
          <w:rFonts w:ascii="Times New Roman" w:eastAsia="Times New Roman" w:hAnsi="Times New Roman" w:cs="Times New Roman"/>
          <w:i/>
          <w:lang w:eastAsia="hu-HU"/>
        </w:rPr>
        <w:t>(Inspection of gears.)</w:t>
      </w:r>
    </w:p>
    <w:p w:rsidR="00664C1B" w:rsidRPr="00664C1B" w:rsidRDefault="00664C1B" w:rsidP="00980876">
      <w:pPr>
        <w:numPr>
          <w:ilvl w:val="1"/>
          <w:numId w:val="421"/>
        </w:numPr>
        <w:tabs>
          <w:tab w:val="clear" w:pos="3977"/>
          <w:tab w:val="num" w:pos="1425"/>
        </w:tabs>
        <w:spacing w:before="60" w:after="0" w:line="240" w:lineRule="auto"/>
        <w:ind w:left="1276" w:hanging="709"/>
        <w:jc w:val="both"/>
        <w:rPr>
          <w:rFonts w:ascii="Times New Roman" w:eastAsia="Times New Roman" w:hAnsi="Times New Roman" w:cs="Times New Roman"/>
          <w:i/>
          <w:lang w:eastAsia="hu-HU"/>
        </w:rPr>
      </w:pPr>
      <w:r w:rsidRPr="00664C1B">
        <w:rPr>
          <w:rFonts w:ascii="Times New Roman" w:eastAsia="Times New Roman" w:hAnsi="Times New Roman" w:cs="Times New Roman"/>
          <w:lang w:eastAsia="hu-HU"/>
        </w:rPr>
        <w:t xml:space="preserve">Idomszerek. </w:t>
      </w:r>
      <w:r w:rsidRPr="00664C1B">
        <w:rPr>
          <w:rFonts w:ascii="Times New Roman" w:eastAsia="Times New Roman" w:hAnsi="Times New Roman" w:cs="Times New Roman"/>
          <w:i/>
          <w:lang w:eastAsia="hu-HU"/>
        </w:rPr>
        <w:t>(Gauges.)</w:t>
      </w:r>
    </w:p>
    <w:p w:rsidR="00664C1B" w:rsidRPr="00664C1B" w:rsidRDefault="00664C1B" w:rsidP="00980876">
      <w:pPr>
        <w:numPr>
          <w:ilvl w:val="0"/>
          <w:numId w:val="421"/>
        </w:numPr>
        <w:tabs>
          <w:tab w:val="clear" w:pos="720"/>
          <w:tab w:val="right" w:pos="567"/>
          <w:tab w:val="num" w:pos="644"/>
          <w:tab w:val="center" w:pos="4536"/>
          <w:tab w:val="right" w:pos="9071"/>
        </w:tabs>
        <w:spacing w:before="120" w:after="0" w:line="240" w:lineRule="auto"/>
        <w:ind w:left="426" w:hanging="142"/>
        <w:jc w:val="both"/>
        <w:rPr>
          <w:rFonts w:ascii="Times New Roman" w:eastAsia="Times New Roman" w:hAnsi="Times New Roman" w:cs="Times New Roman"/>
          <w:bCs/>
          <w:lang w:eastAsia="hu-HU"/>
        </w:rPr>
      </w:pPr>
      <w:r w:rsidRPr="00664C1B">
        <w:rPr>
          <w:rFonts w:ascii="Times New Roman" w:eastAsia="Times New Roman" w:hAnsi="Times New Roman" w:cs="Times New Roman"/>
          <w:b/>
          <w:bCs/>
          <w:lang w:eastAsia="hu-HU"/>
        </w:rPr>
        <w:t xml:space="preserve">A tantárgy meghirdetésének gyakorisága/a tantervben történő félévi elhelyezkedése: </w:t>
      </w:r>
      <w:r w:rsidRPr="00664C1B">
        <w:rPr>
          <w:rFonts w:ascii="Times New Roman" w:eastAsia="Times New Roman" w:hAnsi="Times New Roman" w:cs="Times New Roman"/>
          <w:bCs/>
          <w:lang w:eastAsia="hu-HU"/>
        </w:rPr>
        <w:t>évente /5. félév</w:t>
      </w:r>
    </w:p>
    <w:p w:rsidR="00664C1B" w:rsidRPr="00664C1B" w:rsidRDefault="00664C1B" w:rsidP="00980876">
      <w:pPr>
        <w:widowControl w:val="0"/>
        <w:numPr>
          <w:ilvl w:val="0"/>
          <w:numId w:val="421"/>
        </w:numPr>
        <w:tabs>
          <w:tab w:val="num" w:pos="360"/>
          <w:tab w:val="num" w:pos="644"/>
        </w:tabs>
        <w:spacing w:before="120" w:after="120" w:line="240" w:lineRule="auto"/>
        <w:ind w:left="426" w:hanging="142"/>
        <w:jc w:val="both"/>
        <w:rPr>
          <w:rFonts w:ascii="Times New Roman" w:eastAsia="Times New Roman" w:hAnsi="Times New Roman" w:cs="Times New Roman"/>
          <w:bCs/>
          <w:lang w:eastAsia="hu-HU"/>
        </w:rPr>
      </w:pPr>
      <w:r w:rsidRPr="00664C1B">
        <w:rPr>
          <w:rFonts w:ascii="Times New Roman" w:eastAsia="Times New Roman" w:hAnsi="Times New Roman" w:cs="Times New Roman"/>
          <w:b/>
          <w:bCs/>
          <w:lang w:eastAsia="hu-HU"/>
        </w:rPr>
        <w:t>A tanórákon való részvétel követelményei, az elfogadható hiányzások mértéke, a távolmaradás pótlásának lehetősége:</w:t>
      </w:r>
      <w:r w:rsidRPr="00664C1B">
        <w:rPr>
          <w:rFonts w:ascii="Times New Roman" w:eastAsia="Times New Roman" w:hAnsi="Times New Roman" w:cs="Times New Roman"/>
          <w:bCs/>
          <w:lang w:eastAsia="hu-HU"/>
        </w:rPr>
        <w:t xml:space="preserve"> </w:t>
      </w:r>
    </w:p>
    <w:p w:rsidR="00664C1B" w:rsidRPr="00664C1B" w:rsidRDefault="00664C1B" w:rsidP="00664C1B">
      <w:pPr>
        <w:widowControl w:val="0"/>
        <w:spacing w:before="120" w:after="120" w:line="240" w:lineRule="auto"/>
        <w:ind w:left="426"/>
        <w:jc w:val="both"/>
        <w:rPr>
          <w:rFonts w:ascii="Times New Roman" w:eastAsia="Times New Roman" w:hAnsi="Times New Roman" w:cs="Times New Roman"/>
          <w:bCs/>
          <w:lang w:eastAsia="hu-HU"/>
        </w:rPr>
      </w:pPr>
      <w:r w:rsidRPr="00664C1B">
        <w:rPr>
          <w:rFonts w:ascii="Times New Roman" w:eastAsia="Times New Roman" w:hAnsi="Times New Roman" w:cs="Times New Roman"/>
          <w:bCs/>
          <w:lang w:eastAsia="hu-HU"/>
        </w:rPr>
        <w:t>A hallgatónak a tanórák legalább 70 %-án jelen kell lennie, 30 %-ot meghaladó hiányzás esetén a félév teljesítése nem írható alá. A hallgató köteles az előadás és a gyakorlat anyagát beszerezni, abból önállóan felkészülni. A hiányzás pótolható az oktató által kijelölt témakörben beadott, legalább elégségesre értékelt házidolgozattal.</w:t>
      </w:r>
    </w:p>
    <w:p w:rsidR="00664C1B" w:rsidRPr="00664C1B" w:rsidRDefault="00664C1B" w:rsidP="00980876">
      <w:pPr>
        <w:widowControl w:val="0"/>
        <w:numPr>
          <w:ilvl w:val="0"/>
          <w:numId w:val="421"/>
        </w:numPr>
        <w:tabs>
          <w:tab w:val="num" w:pos="360"/>
          <w:tab w:val="num" w:pos="644"/>
        </w:tabs>
        <w:spacing w:before="120" w:after="120" w:line="240" w:lineRule="auto"/>
        <w:ind w:left="426" w:hanging="142"/>
        <w:jc w:val="both"/>
        <w:rPr>
          <w:rFonts w:ascii="Times New Roman" w:eastAsia="Times New Roman" w:hAnsi="Times New Roman" w:cs="Times New Roman"/>
          <w:bCs/>
          <w:lang w:eastAsia="hu-HU"/>
        </w:rPr>
      </w:pPr>
      <w:r w:rsidRPr="00664C1B">
        <w:rPr>
          <w:rFonts w:ascii="Times New Roman" w:eastAsia="Times New Roman" w:hAnsi="Times New Roman" w:cs="Times New Roman"/>
          <w:b/>
          <w:lang w:eastAsia="hu-HU"/>
        </w:rPr>
        <w:t>Félévközi feladatok, ismeretek ellenőrzésének rendje:</w:t>
      </w:r>
      <w:r w:rsidRPr="00664C1B">
        <w:rPr>
          <w:rFonts w:ascii="Times New Roman" w:eastAsia="Times New Roman" w:hAnsi="Times New Roman" w:cs="Times New Roman"/>
          <w:bCs/>
          <w:lang w:eastAsia="hu-HU"/>
        </w:rPr>
        <w:t xml:space="preserve"> A félév során a hallgató kettő zárthelyi dolgozatot ír. Zárthelyi dolgozatok a 12.1-12.15 tantárgyrészekből.</w:t>
      </w:r>
      <w:r w:rsidRPr="00664C1B">
        <w:rPr>
          <w:rFonts w:ascii="Times New Roman" w:eastAsia="Times New Roman" w:hAnsi="Times New Roman" w:cs="Times New Roman"/>
          <w:lang w:eastAsia="hu-HU"/>
        </w:rPr>
        <w:t xml:space="preserve"> </w:t>
      </w:r>
      <w:r w:rsidRPr="00664C1B">
        <w:rPr>
          <w:rFonts w:ascii="Times New Roman" w:eastAsia="Times New Roman" w:hAnsi="Times New Roman" w:cs="Times New Roman"/>
          <w:bCs/>
          <w:lang w:eastAsia="hu-HU"/>
        </w:rPr>
        <w:t>A zárthelyi dolgozat témáit a kötelező irodalmak anyagából, illetve az előadásokon elhangzott ismeretanyagból kell összeállítani. A zárthelyi dolgozat értékelése ötfokozatú értékelés (a helyes válaszok aránya 0-60% elégtelen; 61-70% elégséges; 71-80% közepes; 81-90% jó; 91-100% jeles osztályzat). Eredménytelen zárthelyi dolgozat kétszer javítható</w:t>
      </w:r>
      <w:r w:rsidRPr="00664C1B">
        <w:rPr>
          <w:rFonts w:ascii="Times New Roman" w:eastAsia="Times New Roman" w:hAnsi="Times New Roman" w:cs="Times New Roman"/>
          <w:b/>
          <w:bCs/>
          <w:lang w:eastAsia="hu-HU"/>
        </w:rPr>
        <w:t>.</w:t>
      </w:r>
      <w:r w:rsidRPr="00664C1B">
        <w:rPr>
          <w:rFonts w:ascii="Times New Roman" w:eastAsia="Times New Roman" w:hAnsi="Times New Roman" w:cs="Times New Roman"/>
          <w:bCs/>
          <w:lang w:eastAsia="hu-HU"/>
        </w:rPr>
        <w:t xml:space="preserve"> A dolgozatban teszt és esszé jellegű kérdések egyaránt szerepelnek.</w:t>
      </w:r>
    </w:p>
    <w:p w:rsidR="00664C1B" w:rsidRPr="00664C1B" w:rsidRDefault="00664C1B" w:rsidP="00980876">
      <w:pPr>
        <w:widowControl w:val="0"/>
        <w:numPr>
          <w:ilvl w:val="0"/>
          <w:numId w:val="421"/>
        </w:numPr>
        <w:tabs>
          <w:tab w:val="num" w:pos="644"/>
        </w:tabs>
        <w:spacing w:before="120" w:after="120" w:line="240" w:lineRule="auto"/>
        <w:ind w:left="426" w:hanging="142"/>
        <w:jc w:val="both"/>
        <w:rPr>
          <w:rFonts w:ascii="Times New Roman" w:eastAsia="Times New Roman" w:hAnsi="Times New Roman" w:cs="Times New Roman"/>
          <w:b/>
          <w:bCs/>
          <w:lang w:eastAsia="hu-HU"/>
        </w:rPr>
      </w:pPr>
      <w:r w:rsidRPr="00664C1B">
        <w:rPr>
          <w:rFonts w:ascii="Times New Roman" w:eastAsia="Times New Roman" w:hAnsi="Times New Roman" w:cs="Times New Roman"/>
          <w:b/>
          <w:bCs/>
          <w:lang w:eastAsia="hu-HU"/>
        </w:rPr>
        <w:t xml:space="preserve">Az értékelés, az aláírás és a kreditek megszerzésének pontos feltételei: </w:t>
      </w:r>
    </w:p>
    <w:p w:rsidR="00664C1B" w:rsidRPr="00664C1B" w:rsidRDefault="00664C1B" w:rsidP="00980876">
      <w:pPr>
        <w:widowControl w:val="0"/>
        <w:numPr>
          <w:ilvl w:val="1"/>
          <w:numId w:val="421"/>
        </w:numPr>
        <w:tabs>
          <w:tab w:val="clear" w:pos="3977"/>
          <w:tab w:val="left" w:pos="709"/>
          <w:tab w:val="left" w:pos="993"/>
          <w:tab w:val="num" w:pos="1425"/>
          <w:tab w:val="num" w:pos="2069"/>
        </w:tabs>
        <w:spacing w:before="120" w:after="120" w:line="240" w:lineRule="auto"/>
        <w:ind w:left="426" w:firstLine="0"/>
        <w:jc w:val="both"/>
        <w:rPr>
          <w:rFonts w:ascii="Times New Roman" w:eastAsia="Times New Roman" w:hAnsi="Times New Roman" w:cs="Times New Roman"/>
          <w:lang w:eastAsia="hu-HU"/>
        </w:rPr>
      </w:pPr>
      <w:r w:rsidRPr="00664C1B">
        <w:rPr>
          <w:rFonts w:ascii="Times New Roman" w:eastAsia="Times New Roman" w:hAnsi="Times New Roman" w:cs="Times New Roman"/>
          <w:b/>
          <w:lang w:eastAsia="hu-HU"/>
        </w:rPr>
        <w:t>Az aláírás megszerzésének feltételei:</w:t>
      </w:r>
      <w:r w:rsidRPr="00664C1B">
        <w:rPr>
          <w:rFonts w:ascii="Times New Roman" w:eastAsia="Times New Roman" w:hAnsi="Times New Roman" w:cs="Times New Roman"/>
          <w:lang w:eastAsia="hu-HU"/>
        </w:rPr>
        <w:t xml:space="preserve"> </w:t>
      </w:r>
      <w:r w:rsidRPr="00664C1B">
        <w:rPr>
          <w:rFonts w:ascii="Times New Roman" w:eastAsia="Times New Roman" w:hAnsi="Times New Roman" w:cs="Times New Roman"/>
          <w:bCs/>
          <w:lang w:eastAsia="hu-HU"/>
        </w:rPr>
        <w:t>Az aláírás megszerzésének feltétele a 14. pontban meghatározott arányú részvétel a foglalkozásokon és a 15. pontban meghatározott félévközi feladatok legalább elégséges teljesítése.</w:t>
      </w:r>
    </w:p>
    <w:p w:rsidR="00664C1B" w:rsidRPr="00664C1B" w:rsidRDefault="00664C1B" w:rsidP="00980876">
      <w:pPr>
        <w:widowControl w:val="0"/>
        <w:numPr>
          <w:ilvl w:val="1"/>
          <w:numId w:val="421"/>
        </w:numPr>
        <w:tabs>
          <w:tab w:val="clear" w:pos="3977"/>
          <w:tab w:val="left" w:pos="709"/>
          <w:tab w:val="left" w:pos="993"/>
          <w:tab w:val="num" w:pos="1425"/>
          <w:tab w:val="num" w:pos="2069"/>
        </w:tabs>
        <w:spacing w:before="120" w:after="120" w:line="240" w:lineRule="auto"/>
        <w:ind w:left="426" w:firstLine="0"/>
        <w:jc w:val="both"/>
        <w:rPr>
          <w:rFonts w:ascii="Times New Roman" w:eastAsia="Times New Roman" w:hAnsi="Times New Roman" w:cs="Times New Roman"/>
          <w:lang w:eastAsia="hu-HU"/>
        </w:rPr>
      </w:pPr>
      <w:r w:rsidRPr="00664C1B">
        <w:rPr>
          <w:rFonts w:ascii="Times New Roman" w:eastAsia="Times New Roman" w:hAnsi="Times New Roman" w:cs="Times New Roman"/>
          <w:b/>
          <w:lang w:eastAsia="hu-HU"/>
        </w:rPr>
        <w:t>Az értékelés:</w:t>
      </w:r>
      <w:r w:rsidRPr="00664C1B">
        <w:rPr>
          <w:rFonts w:ascii="Times New Roman" w:eastAsia="Times New Roman" w:hAnsi="Times New Roman" w:cs="Times New Roman"/>
          <w:lang w:eastAsia="hu-HU"/>
        </w:rPr>
        <w:t xml:space="preserve"> évközi értékelés, ötfokozatú értékelés.</w:t>
      </w:r>
      <w:r w:rsidRPr="00664C1B">
        <w:rPr>
          <w:rFonts w:ascii="Times New Roman" w:eastAsia="Times New Roman" w:hAnsi="Times New Roman" w:cs="Times New Roman"/>
          <w:bCs/>
          <w:lang w:eastAsia="hu-HU"/>
        </w:rPr>
        <w:t xml:space="preserve"> Az évközi értékelést az elért eredmények kerekített matematikai átlaga képezi.</w:t>
      </w:r>
    </w:p>
    <w:p w:rsidR="00664C1B" w:rsidRPr="00664C1B" w:rsidRDefault="00664C1B" w:rsidP="00980876">
      <w:pPr>
        <w:widowControl w:val="0"/>
        <w:numPr>
          <w:ilvl w:val="1"/>
          <w:numId w:val="421"/>
        </w:numPr>
        <w:tabs>
          <w:tab w:val="clear" w:pos="3977"/>
          <w:tab w:val="left" w:pos="709"/>
          <w:tab w:val="left" w:pos="993"/>
          <w:tab w:val="num" w:pos="1425"/>
          <w:tab w:val="num" w:pos="2069"/>
        </w:tabs>
        <w:spacing w:before="120" w:after="120" w:line="240" w:lineRule="auto"/>
        <w:ind w:left="426" w:firstLine="0"/>
        <w:jc w:val="both"/>
        <w:rPr>
          <w:rFonts w:ascii="Times New Roman" w:eastAsia="Times New Roman" w:hAnsi="Times New Roman" w:cs="Times New Roman"/>
          <w:lang w:eastAsia="hu-HU"/>
        </w:rPr>
      </w:pPr>
      <w:r w:rsidRPr="00664C1B">
        <w:rPr>
          <w:rFonts w:ascii="Times New Roman" w:eastAsia="Times New Roman" w:hAnsi="Times New Roman" w:cs="Times New Roman"/>
          <w:b/>
          <w:lang w:eastAsia="hu-HU"/>
        </w:rPr>
        <w:t>A kreditek megszerzésének feltételei:</w:t>
      </w:r>
      <w:r w:rsidRPr="00664C1B">
        <w:rPr>
          <w:rFonts w:ascii="Times New Roman" w:eastAsia="Times New Roman" w:hAnsi="Times New Roman" w:cs="Times New Roman"/>
          <w:lang w:eastAsia="hu-HU"/>
        </w:rPr>
        <w:t xml:space="preserve"> az aláírás megszerzése és legalább elégséges</w:t>
      </w:r>
      <w:r w:rsidRPr="00664C1B">
        <w:rPr>
          <w:rFonts w:ascii="Times New Roman" w:eastAsia="Times New Roman" w:hAnsi="Times New Roman" w:cs="Times New Roman"/>
          <w:b/>
          <w:lang w:eastAsia="hu-HU"/>
        </w:rPr>
        <w:t xml:space="preserve"> </w:t>
      </w:r>
      <w:r w:rsidRPr="00664C1B">
        <w:rPr>
          <w:rFonts w:ascii="Times New Roman" w:eastAsia="Times New Roman" w:hAnsi="Times New Roman" w:cs="Times New Roman"/>
          <w:lang w:eastAsia="hu-HU"/>
        </w:rPr>
        <w:t>évközi értékelés</w:t>
      </w:r>
      <w:r w:rsidRPr="00664C1B">
        <w:rPr>
          <w:rFonts w:ascii="Times New Roman" w:eastAsia="Times New Roman" w:hAnsi="Times New Roman" w:cs="Times New Roman"/>
          <w:bCs/>
          <w:lang w:eastAsia="hu-HU"/>
        </w:rPr>
        <w:t>.</w:t>
      </w:r>
    </w:p>
    <w:p w:rsidR="00664C1B" w:rsidRPr="00664C1B" w:rsidRDefault="00664C1B" w:rsidP="00980876">
      <w:pPr>
        <w:numPr>
          <w:ilvl w:val="0"/>
          <w:numId w:val="421"/>
        </w:numPr>
        <w:tabs>
          <w:tab w:val="clear" w:pos="720"/>
          <w:tab w:val="num" w:pos="426"/>
          <w:tab w:val="num" w:pos="644"/>
        </w:tabs>
        <w:spacing w:before="120" w:after="0" w:line="240" w:lineRule="auto"/>
        <w:ind w:left="426" w:hanging="142"/>
        <w:jc w:val="both"/>
        <w:rPr>
          <w:rFonts w:ascii="Times New Roman" w:eastAsia="Times New Roman" w:hAnsi="Times New Roman" w:cs="Times New Roman"/>
          <w:b/>
          <w:lang w:eastAsia="hu-HU"/>
        </w:rPr>
      </w:pPr>
      <w:r w:rsidRPr="00664C1B">
        <w:rPr>
          <w:rFonts w:ascii="Times New Roman" w:eastAsia="Times New Roman" w:hAnsi="Times New Roman" w:cs="Times New Roman"/>
          <w:b/>
          <w:lang w:eastAsia="hu-HU"/>
        </w:rPr>
        <w:t>Irodalomjegyzék (magyarul, angolul):</w:t>
      </w:r>
    </w:p>
    <w:p w:rsidR="00664C1B" w:rsidRPr="00664C1B" w:rsidRDefault="00664C1B" w:rsidP="00980876">
      <w:pPr>
        <w:numPr>
          <w:ilvl w:val="1"/>
          <w:numId w:val="421"/>
        </w:numPr>
        <w:tabs>
          <w:tab w:val="clear" w:pos="3977"/>
          <w:tab w:val="left" w:pos="1134"/>
          <w:tab w:val="num" w:pos="1425"/>
        </w:tabs>
        <w:spacing w:before="120" w:after="0" w:line="240" w:lineRule="auto"/>
        <w:ind w:left="568" w:firstLine="0"/>
        <w:jc w:val="both"/>
        <w:rPr>
          <w:rFonts w:ascii="Times New Roman" w:eastAsia="Times New Roman" w:hAnsi="Times New Roman" w:cs="Times New Roman"/>
          <w:b/>
          <w:lang w:eastAsia="hu-HU"/>
        </w:rPr>
      </w:pPr>
      <w:r w:rsidRPr="00664C1B">
        <w:rPr>
          <w:rFonts w:ascii="Times New Roman" w:eastAsia="Times New Roman" w:hAnsi="Times New Roman" w:cs="Times New Roman"/>
          <w:b/>
          <w:lang w:eastAsia="hu-HU"/>
        </w:rPr>
        <w:t>Kötelező irodalom:</w:t>
      </w:r>
    </w:p>
    <w:p w:rsidR="00664C1B" w:rsidRPr="00664C1B" w:rsidRDefault="00664C1B" w:rsidP="00980876">
      <w:pPr>
        <w:numPr>
          <w:ilvl w:val="0"/>
          <w:numId w:val="420"/>
        </w:numPr>
        <w:spacing w:before="120" w:after="0" w:line="240" w:lineRule="auto"/>
        <w:ind w:left="1276" w:hanging="425"/>
        <w:jc w:val="both"/>
        <w:rPr>
          <w:rFonts w:ascii="Times New Roman" w:eastAsia="Times New Roman" w:hAnsi="Times New Roman" w:cs="Times New Roman"/>
          <w:lang w:eastAsia="hu-HU"/>
        </w:rPr>
      </w:pPr>
      <w:r w:rsidRPr="00664C1B">
        <w:rPr>
          <w:rFonts w:ascii="Times New Roman" w:eastAsia="Times New Roman" w:hAnsi="Times New Roman" w:cs="Times New Roman"/>
          <w:lang w:eastAsia="hu-HU"/>
        </w:rPr>
        <w:t xml:space="preserve">Cseh Béla: Méréstechnika I. Gépészeti mérések (ZMNE jegyzet, Budapest, 2002) </w:t>
      </w:r>
    </w:p>
    <w:p w:rsidR="00664C1B" w:rsidRPr="00664C1B" w:rsidRDefault="00664C1B" w:rsidP="00980876">
      <w:pPr>
        <w:numPr>
          <w:ilvl w:val="0"/>
          <w:numId w:val="420"/>
        </w:numPr>
        <w:spacing w:before="120" w:after="0" w:line="240" w:lineRule="auto"/>
        <w:ind w:left="1276" w:hanging="425"/>
        <w:jc w:val="both"/>
        <w:rPr>
          <w:rFonts w:ascii="Times New Roman" w:eastAsia="Times New Roman" w:hAnsi="Times New Roman" w:cs="Times New Roman"/>
          <w:lang w:eastAsia="hu-HU"/>
        </w:rPr>
      </w:pPr>
      <w:r w:rsidRPr="00664C1B">
        <w:rPr>
          <w:rFonts w:ascii="Times New Roman" w:eastAsia="Times New Roman" w:hAnsi="Times New Roman" w:cs="Times New Roman"/>
          <w:lang w:eastAsia="hu-HU"/>
        </w:rPr>
        <w:t>Dr. Szombathy Emil: Gépelemek-mérések, vizsgálatok (M</w:t>
      </w:r>
      <w:r w:rsidRPr="00664C1B">
        <w:rPr>
          <w:rFonts w:ascii="Times New Roman" w:eastAsia="Times New Roman" w:hAnsi="Times New Roman" w:cs="Times New Roman" w:hint="eastAsia"/>
          <w:lang w:eastAsia="hu-HU"/>
        </w:rPr>
        <w:t>ű</w:t>
      </w:r>
      <w:r w:rsidRPr="00664C1B">
        <w:rPr>
          <w:rFonts w:ascii="Times New Roman" w:eastAsia="Times New Roman" w:hAnsi="Times New Roman" w:cs="Times New Roman"/>
          <w:lang w:eastAsia="hu-HU"/>
        </w:rPr>
        <w:t xml:space="preserve">egyetemi Kiadó, Budapest, 1995) </w:t>
      </w:r>
    </w:p>
    <w:p w:rsidR="00664C1B" w:rsidRPr="00664C1B" w:rsidRDefault="00664C1B" w:rsidP="00980876">
      <w:pPr>
        <w:numPr>
          <w:ilvl w:val="0"/>
          <w:numId w:val="420"/>
        </w:numPr>
        <w:spacing w:before="120" w:after="0" w:line="240" w:lineRule="auto"/>
        <w:ind w:left="1276" w:hanging="425"/>
        <w:jc w:val="both"/>
        <w:rPr>
          <w:rFonts w:ascii="Times New Roman" w:eastAsia="Times New Roman" w:hAnsi="Times New Roman" w:cs="Times New Roman"/>
          <w:b/>
          <w:lang w:eastAsia="hu-HU"/>
        </w:rPr>
      </w:pPr>
      <w:r w:rsidRPr="00664C1B">
        <w:rPr>
          <w:rFonts w:ascii="Times New Roman" w:eastAsia="Times New Roman" w:hAnsi="Times New Roman" w:cs="Times New Roman"/>
          <w:lang w:eastAsia="hu-HU"/>
        </w:rPr>
        <w:lastRenderedPageBreak/>
        <w:t>Dr. Szilágyi László: Gépipari hosszmérések (M</w:t>
      </w:r>
      <w:r w:rsidRPr="00664C1B">
        <w:rPr>
          <w:rFonts w:ascii="Times New Roman" w:eastAsia="Times New Roman" w:hAnsi="Times New Roman" w:cs="Times New Roman" w:hint="eastAsia"/>
          <w:lang w:eastAsia="hu-HU"/>
        </w:rPr>
        <w:t>ű</w:t>
      </w:r>
      <w:r w:rsidRPr="00664C1B">
        <w:rPr>
          <w:rFonts w:ascii="Times New Roman" w:eastAsia="Times New Roman" w:hAnsi="Times New Roman" w:cs="Times New Roman"/>
          <w:lang w:eastAsia="hu-HU"/>
        </w:rPr>
        <w:t>szaki Könyvkiadó, Budapest 1982 ISBN: 963-104-294-4</w:t>
      </w:r>
    </w:p>
    <w:p w:rsidR="00664C1B" w:rsidRPr="00664C1B" w:rsidRDefault="00664C1B" w:rsidP="00980876">
      <w:pPr>
        <w:numPr>
          <w:ilvl w:val="1"/>
          <w:numId w:val="421"/>
        </w:numPr>
        <w:tabs>
          <w:tab w:val="clear" w:pos="3977"/>
          <w:tab w:val="left" w:pos="1134"/>
          <w:tab w:val="num" w:pos="1425"/>
        </w:tabs>
        <w:spacing w:before="120" w:after="0" w:line="240" w:lineRule="auto"/>
        <w:ind w:left="568" w:firstLine="0"/>
        <w:jc w:val="both"/>
        <w:rPr>
          <w:rFonts w:ascii="Times New Roman" w:eastAsia="Times New Roman" w:hAnsi="Times New Roman" w:cs="Times New Roman"/>
          <w:b/>
          <w:lang w:eastAsia="hu-HU"/>
        </w:rPr>
      </w:pPr>
      <w:r w:rsidRPr="00664C1B">
        <w:rPr>
          <w:rFonts w:ascii="Times New Roman" w:eastAsia="Times New Roman" w:hAnsi="Times New Roman" w:cs="Times New Roman"/>
          <w:b/>
          <w:lang w:eastAsia="hu-HU"/>
        </w:rPr>
        <w:t>Ajánlott irodalom:</w:t>
      </w:r>
    </w:p>
    <w:p w:rsidR="00664C1B" w:rsidRPr="00664C1B" w:rsidRDefault="00664C1B" w:rsidP="00980876">
      <w:pPr>
        <w:numPr>
          <w:ilvl w:val="0"/>
          <w:numId w:val="422"/>
        </w:numPr>
        <w:spacing w:before="120" w:after="0" w:line="240" w:lineRule="auto"/>
        <w:ind w:left="1276" w:hanging="425"/>
        <w:jc w:val="both"/>
        <w:rPr>
          <w:rFonts w:ascii="Times New Roman" w:eastAsia="Times New Roman" w:hAnsi="Times New Roman" w:cs="Times New Roman"/>
          <w:lang w:eastAsia="hu-HU"/>
        </w:rPr>
      </w:pPr>
      <w:r w:rsidRPr="00664C1B">
        <w:rPr>
          <w:rFonts w:ascii="Times New Roman" w:eastAsia="Times New Roman" w:hAnsi="Times New Roman" w:cs="Times New Roman"/>
          <w:lang w:eastAsia="hu-HU"/>
        </w:rPr>
        <w:t>Gergely István: Méréstechnikai alapismeretek (M</w:t>
      </w:r>
      <w:r w:rsidRPr="00664C1B">
        <w:rPr>
          <w:rFonts w:ascii="Times New Roman" w:eastAsia="Times New Roman" w:hAnsi="Times New Roman" w:cs="Times New Roman" w:hint="eastAsia"/>
          <w:lang w:eastAsia="hu-HU"/>
        </w:rPr>
        <w:t>ű</w:t>
      </w:r>
      <w:r w:rsidRPr="00664C1B">
        <w:rPr>
          <w:rFonts w:ascii="Times New Roman" w:eastAsia="Times New Roman" w:hAnsi="Times New Roman" w:cs="Times New Roman"/>
          <w:lang w:eastAsia="hu-HU"/>
        </w:rPr>
        <w:t xml:space="preserve">szaki Könyvkiadó, Budapest 2005) </w:t>
      </w:r>
    </w:p>
    <w:p w:rsidR="00664C1B" w:rsidRPr="00664C1B" w:rsidRDefault="00664C1B" w:rsidP="00980876">
      <w:pPr>
        <w:numPr>
          <w:ilvl w:val="0"/>
          <w:numId w:val="422"/>
        </w:numPr>
        <w:spacing w:before="120" w:after="0" w:line="240" w:lineRule="auto"/>
        <w:ind w:left="1276" w:hanging="425"/>
        <w:jc w:val="both"/>
        <w:rPr>
          <w:rFonts w:ascii="Times New Roman" w:eastAsia="Times New Roman" w:hAnsi="Times New Roman" w:cs="Times New Roman"/>
          <w:lang w:eastAsia="hu-HU"/>
        </w:rPr>
      </w:pPr>
      <w:r w:rsidRPr="00664C1B">
        <w:rPr>
          <w:rFonts w:ascii="Times New Roman" w:eastAsia="Times New Roman" w:hAnsi="Times New Roman" w:cs="Times New Roman"/>
          <w:lang w:eastAsia="hu-HU"/>
        </w:rPr>
        <w:t xml:space="preserve">Tatár József: Méréstechnikai alapismeretek (Tankönyvkiadó Vállalat Budapest 1990 963-18-2571-X) </w:t>
      </w:r>
    </w:p>
    <w:p w:rsidR="00664C1B" w:rsidRPr="00664C1B" w:rsidRDefault="00664C1B" w:rsidP="00980876">
      <w:pPr>
        <w:numPr>
          <w:ilvl w:val="0"/>
          <w:numId w:val="422"/>
        </w:numPr>
        <w:spacing w:before="120" w:after="0" w:line="240" w:lineRule="auto"/>
        <w:ind w:left="1276" w:hanging="425"/>
        <w:jc w:val="both"/>
        <w:rPr>
          <w:rFonts w:ascii="Times New Roman" w:eastAsia="Times New Roman" w:hAnsi="Times New Roman" w:cs="Times New Roman"/>
          <w:lang w:eastAsia="hu-HU"/>
        </w:rPr>
      </w:pPr>
      <w:r w:rsidRPr="00664C1B">
        <w:rPr>
          <w:rFonts w:ascii="Times New Roman" w:eastAsia="Times New Roman" w:hAnsi="Times New Roman" w:cs="Times New Roman"/>
          <w:lang w:eastAsia="hu-HU"/>
        </w:rPr>
        <w:t>ISO 9000-es szabványok</w:t>
      </w:r>
    </w:p>
    <w:p w:rsidR="00664C1B" w:rsidRDefault="00664C1B" w:rsidP="00664C1B">
      <w:pPr>
        <w:spacing w:before="120" w:after="0" w:line="240" w:lineRule="auto"/>
        <w:jc w:val="both"/>
        <w:rPr>
          <w:rFonts w:ascii="Times New Roman" w:eastAsia="Times New Roman" w:hAnsi="Times New Roman" w:cs="Times New Roman"/>
          <w:lang w:eastAsia="hu-HU"/>
        </w:rPr>
      </w:pPr>
    </w:p>
    <w:p w:rsidR="00664C1B" w:rsidRPr="00664C1B" w:rsidRDefault="00664C1B" w:rsidP="00664C1B">
      <w:pPr>
        <w:spacing w:before="120" w:after="0" w:line="240" w:lineRule="auto"/>
        <w:jc w:val="both"/>
        <w:rPr>
          <w:rFonts w:ascii="Times New Roman" w:eastAsia="Times New Roman" w:hAnsi="Times New Roman" w:cs="Times New Roman"/>
          <w:lang w:eastAsia="hu-HU"/>
        </w:rPr>
      </w:pPr>
      <w:r w:rsidRPr="00664C1B">
        <w:rPr>
          <w:rFonts w:ascii="Times New Roman" w:eastAsia="Times New Roman" w:hAnsi="Times New Roman" w:cs="Times New Roman"/>
          <w:lang w:eastAsia="hu-HU"/>
        </w:rPr>
        <w:t xml:space="preserve">Budapest, 2020. </w:t>
      </w:r>
      <w:r>
        <w:rPr>
          <w:rFonts w:ascii="Times New Roman" w:eastAsia="Times New Roman" w:hAnsi="Times New Roman" w:cs="Times New Roman"/>
          <w:lang w:eastAsia="hu-HU"/>
        </w:rPr>
        <w:t xml:space="preserve">március </w:t>
      </w:r>
      <w:r w:rsidRPr="00664C1B">
        <w:rPr>
          <w:rFonts w:ascii="Times New Roman" w:eastAsia="Times New Roman" w:hAnsi="Times New Roman" w:cs="Times New Roman"/>
          <w:lang w:eastAsia="hu-HU"/>
        </w:rPr>
        <w:t>15.</w:t>
      </w:r>
    </w:p>
    <w:p w:rsidR="00664C1B" w:rsidRPr="00664C1B" w:rsidRDefault="00664C1B" w:rsidP="00664C1B">
      <w:pPr>
        <w:spacing w:before="120" w:after="0" w:line="240" w:lineRule="auto"/>
        <w:jc w:val="both"/>
        <w:rPr>
          <w:rFonts w:ascii="Times New Roman" w:eastAsia="Times New Roman" w:hAnsi="Times New Roman" w:cs="Times New Roman"/>
          <w:lang w:eastAsia="hu-HU"/>
        </w:rPr>
      </w:pPr>
    </w:p>
    <w:p w:rsidR="004A4C51" w:rsidRPr="00A3436E" w:rsidRDefault="004A4C51" w:rsidP="004A4C51">
      <w:pPr>
        <w:widowControl w:val="0"/>
        <w:spacing w:after="0" w:line="240" w:lineRule="auto"/>
        <w:ind w:left="5529"/>
        <w:jc w:val="center"/>
        <w:rPr>
          <w:rFonts w:ascii="Times New Roman" w:eastAsia="Times New Roman" w:hAnsi="Times New Roman" w:cs="Times New Roman"/>
          <w:b/>
          <w:bCs/>
        </w:rPr>
      </w:pPr>
      <w:r w:rsidRPr="00A3436E">
        <w:rPr>
          <w:rFonts w:ascii="Times New Roman" w:eastAsia="Times New Roman" w:hAnsi="Times New Roman" w:cs="Times New Roman"/>
          <w:b/>
          <w:bCs/>
        </w:rPr>
        <w:t xml:space="preserve">Dr. Gyarmati József </w:t>
      </w:r>
      <w:r>
        <w:rPr>
          <w:rFonts w:ascii="Times New Roman" w:eastAsia="Times New Roman" w:hAnsi="Times New Roman" w:cs="Times New Roman"/>
          <w:b/>
          <w:bCs/>
        </w:rPr>
        <w:t>alezredes, PhD</w:t>
      </w:r>
    </w:p>
    <w:p w:rsidR="00664C1B" w:rsidRPr="00664C1B" w:rsidRDefault="00FC1CD9" w:rsidP="00664C1B">
      <w:pPr>
        <w:tabs>
          <w:tab w:val="center" w:pos="7371"/>
        </w:tabs>
        <w:spacing w:after="0" w:line="240" w:lineRule="auto"/>
        <w:jc w:val="both"/>
        <w:rPr>
          <w:rFonts w:ascii="Times New Roman" w:eastAsia="Times New Roman" w:hAnsi="Times New Roman" w:cs="Times New Roman"/>
          <w:lang w:eastAsia="hu-HU"/>
        </w:rPr>
      </w:pPr>
      <w:r>
        <w:rPr>
          <w:rFonts w:ascii="Times New Roman" w:eastAsia="Times New Roman" w:hAnsi="Times New Roman" w:cs="Times New Roman"/>
          <w:lang w:eastAsia="hu-HU"/>
        </w:rPr>
        <w:tab/>
        <w:t xml:space="preserve">egyetemi docens, </w:t>
      </w:r>
      <w:r w:rsidR="00664C1B" w:rsidRPr="00664C1B">
        <w:rPr>
          <w:rFonts w:ascii="Times New Roman" w:eastAsia="Times New Roman" w:hAnsi="Times New Roman" w:cs="Times New Roman"/>
          <w:lang w:eastAsia="hu-HU"/>
        </w:rPr>
        <w:t>sk.</w:t>
      </w:r>
    </w:p>
    <w:p w:rsidR="00664C1B" w:rsidRDefault="00664C1B">
      <w:pPr>
        <w:spacing w:after="200" w:line="276" w:lineRule="auto"/>
        <w:rPr>
          <w:rFonts w:ascii="Times New Roman" w:hAnsi="Times New Roman" w:cs="Times New Roman"/>
          <w:sz w:val="24"/>
        </w:rPr>
      </w:pPr>
      <w:r>
        <w:rPr>
          <w:rFonts w:ascii="Times New Roman" w:hAnsi="Times New Roman" w:cs="Times New Roman"/>
          <w:sz w:val="24"/>
        </w:rPr>
        <w:br w:type="page"/>
      </w:r>
    </w:p>
    <w:tbl>
      <w:tblPr>
        <w:tblW w:w="9072" w:type="dxa"/>
        <w:tblInd w:w="113" w:type="dxa"/>
        <w:tblLook w:val="01E0" w:firstRow="1" w:lastRow="1" w:firstColumn="1" w:lastColumn="1" w:noHBand="0" w:noVBand="0"/>
      </w:tblPr>
      <w:tblGrid>
        <w:gridCol w:w="4855"/>
        <w:gridCol w:w="1620"/>
        <w:gridCol w:w="2597"/>
      </w:tblGrid>
      <w:tr w:rsidR="00632BDC" w:rsidRPr="00632BDC" w:rsidTr="00632BDC">
        <w:tc>
          <w:tcPr>
            <w:tcW w:w="4855" w:type="dxa"/>
            <w:tcBorders>
              <w:bottom w:val="single" w:sz="4" w:space="0" w:color="auto"/>
            </w:tcBorders>
          </w:tcPr>
          <w:p w:rsidR="00632BDC" w:rsidRPr="00632BDC" w:rsidRDefault="00632BDC" w:rsidP="00632BDC">
            <w:pPr>
              <w:spacing w:after="0" w:line="240" w:lineRule="auto"/>
              <w:jc w:val="center"/>
              <w:rPr>
                <w:rFonts w:ascii="Times New Roman" w:eastAsia="Times New Roman" w:hAnsi="Times New Roman" w:cs="Times New Roman"/>
                <w:b/>
                <w:smallCaps/>
                <w:lang w:eastAsia="hu-HU"/>
              </w:rPr>
            </w:pPr>
            <w:r w:rsidRPr="00632BDC">
              <w:rPr>
                <w:rFonts w:ascii="Times New Roman" w:eastAsia="Times New Roman" w:hAnsi="Times New Roman" w:cs="Times New Roman"/>
                <w:b/>
                <w:smallCaps/>
                <w:lang w:eastAsia="hu-HU"/>
              </w:rPr>
              <w:lastRenderedPageBreak/>
              <w:t>Nemzeti Közszolgálati Egyetem</w:t>
            </w:r>
          </w:p>
        </w:tc>
        <w:tc>
          <w:tcPr>
            <w:tcW w:w="1620" w:type="dxa"/>
          </w:tcPr>
          <w:p w:rsidR="00632BDC" w:rsidRPr="00632BDC" w:rsidRDefault="00632BDC" w:rsidP="00632BDC">
            <w:pPr>
              <w:spacing w:after="0" w:line="240" w:lineRule="auto"/>
              <w:jc w:val="both"/>
              <w:rPr>
                <w:rFonts w:ascii="Times New Roman" w:eastAsia="Times New Roman" w:hAnsi="Times New Roman" w:cs="Times New Roman"/>
                <w:lang w:eastAsia="hu-HU"/>
              </w:rPr>
            </w:pPr>
          </w:p>
        </w:tc>
        <w:tc>
          <w:tcPr>
            <w:tcW w:w="2597" w:type="dxa"/>
          </w:tcPr>
          <w:p w:rsidR="00632BDC" w:rsidRPr="00632BDC" w:rsidRDefault="00632BDC" w:rsidP="00632BDC">
            <w:pPr>
              <w:spacing w:after="0" w:line="240" w:lineRule="auto"/>
              <w:jc w:val="right"/>
              <w:rPr>
                <w:rFonts w:ascii="Times New Roman" w:eastAsia="Times New Roman" w:hAnsi="Times New Roman" w:cs="Times New Roman"/>
                <w:lang w:eastAsia="hu-HU"/>
              </w:rPr>
            </w:pPr>
          </w:p>
        </w:tc>
      </w:tr>
      <w:tr w:rsidR="00632BDC" w:rsidRPr="00632BDC" w:rsidTr="00632BDC">
        <w:tc>
          <w:tcPr>
            <w:tcW w:w="4855" w:type="dxa"/>
            <w:tcBorders>
              <w:top w:val="single" w:sz="4" w:space="0" w:color="auto"/>
            </w:tcBorders>
          </w:tcPr>
          <w:p w:rsidR="00632BDC" w:rsidRPr="00632BDC" w:rsidRDefault="00632BDC" w:rsidP="00632BDC">
            <w:pPr>
              <w:spacing w:after="0" w:line="240" w:lineRule="auto"/>
              <w:jc w:val="center"/>
              <w:rPr>
                <w:rFonts w:ascii="Times New Roman" w:eastAsia="Times New Roman" w:hAnsi="Times New Roman" w:cs="Times New Roman"/>
                <w:b/>
                <w:lang w:eastAsia="hu-HU"/>
              </w:rPr>
            </w:pPr>
            <w:r w:rsidRPr="00632BDC">
              <w:rPr>
                <w:rFonts w:ascii="Times New Roman" w:eastAsia="Times New Roman" w:hAnsi="Times New Roman" w:cs="Times New Roman"/>
                <w:b/>
                <w:lang w:eastAsia="hu-HU"/>
              </w:rPr>
              <w:t>Hadtudományi és Honvédtisztképző Kar</w:t>
            </w:r>
          </w:p>
        </w:tc>
        <w:tc>
          <w:tcPr>
            <w:tcW w:w="1620" w:type="dxa"/>
          </w:tcPr>
          <w:p w:rsidR="00632BDC" w:rsidRPr="00632BDC" w:rsidRDefault="00632BDC" w:rsidP="00632BDC">
            <w:pPr>
              <w:spacing w:after="0" w:line="240" w:lineRule="auto"/>
              <w:jc w:val="both"/>
              <w:rPr>
                <w:rFonts w:ascii="Times New Roman" w:eastAsia="Times New Roman" w:hAnsi="Times New Roman" w:cs="Times New Roman"/>
                <w:lang w:eastAsia="hu-HU"/>
              </w:rPr>
            </w:pPr>
          </w:p>
        </w:tc>
        <w:tc>
          <w:tcPr>
            <w:tcW w:w="2597" w:type="dxa"/>
          </w:tcPr>
          <w:p w:rsidR="00632BDC" w:rsidRPr="00632BDC" w:rsidRDefault="00632BDC" w:rsidP="00632BDC">
            <w:pPr>
              <w:spacing w:after="0" w:line="240" w:lineRule="auto"/>
              <w:jc w:val="both"/>
              <w:rPr>
                <w:rFonts w:ascii="Times New Roman" w:eastAsia="Times New Roman" w:hAnsi="Times New Roman" w:cs="Times New Roman"/>
                <w:lang w:eastAsia="hu-HU"/>
              </w:rPr>
            </w:pPr>
          </w:p>
        </w:tc>
      </w:tr>
    </w:tbl>
    <w:p w:rsidR="00632BDC" w:rsidRPr="00632BDC" w:rsidRDefault="00632BDC" w:rsidP="00632BDC">
      <w:pPr>
        <w:widowControl w:val="0"/>
        <w:spacing w:before="120" w:after="120" w:line="240" w:lineRule="auto"/>
        <w:ind w:left="426" w:hanging="142"/>
        <w:jc w:val="center"/>
        <w:rPr>
          <w:rFonts w:ascii="Times New Roman" w:eastAsia="Times New Roman" w:hAnsi="Times New Roman" w:cs="Times New Roman"/>
          <w:b/>
          <w:bCs/>
        </w:rPr>
      </w:pPr>
    </w:p>
    <w:p w:rsidR="00632BDC" w:rsidRPr="00632BDC" w:rsidRDefault="00632BDC" w:rsidP="00632BDC">
      <w:pPr>
        <w:widowControl w:val="0"/>
        <w:spacing w:before="120" w:after="120" w:line="240" w:lineRule="auto"/>
        <w:ind w:left="426" w:hanging="142"/>
        <w:jc w:val="center"/>
        <w:rPr>
          <w:rFonts w:ascii="Times New Roman" w:eastAsia="Times New Roman" w:hAnsi="Times New Roman" w:cs="Times New Roman"/>
          <w:b/>
          <w:bCs/>
        </w:rPr>
      </w:pPr>
      <w:r w:rsidRPr="00632BDC">
        <w:rPr>
          <w:rFonts w:ascii="Times New Roman" w:eastAsia="Times New Roman" w:hAnsi="Times New Roman" w:cs="Times New Roman"/>
          <w:b/>
          <w:bCs/>
        </w:rPr>
        <w:t>TANTÁRGYI PROGRAM</w:t>
      </w:r>
    </w:p>
    <w:p w:rsidR="00632BDC" w:rsidRPr="00632BDC" w:rsidRDefault="00632BDC" w:rsidP="00980876">
      <w:pPr>
        <w:widowControl w:val="0"/>
        <w:numPr>
          <w:ilvl w:val="0"/>
          <w:numId w:val="426"/>
        </w:numPr>
        <w:spacing w:before="120" w:after="120" w:line="240" w:lineRule="auto"/>
        <w:ind w:left="426" w:hanging="142"/>
        <w:jc w:val="both"/>
        <w:rPr>
          <w:rFonts w:ascii="Times New Roman" w:eastAsia="Times New Roman" w:hAnsi="Times New Roman" w:cs="Times New Roman"/>
          <w:b/>
          <w:bCs/>
        </w:rPr>
      </w:pPr>
      <w:r w:rsidRPr="00632BDC">
        <w:rPr>
          <w:rFonts w:ascii="Times New Roman" w:eastAsia="Times New Roman" w:hAnsi="Times New Roman" w:cs="Times New Roman"/>
          <w:b/>
          <w:bCs/>
        </w:rPr>
        <w:t xml:space="preserve">A tantárgy kódja: </w:t>
      </w:r>
      <w:r w:rsidRPr="00632BDC">
        <w:rPr>
          <w:rFonts w:ascii="Times New Roman" w:eastAsia="Times New Roman" w:hAnsi="Times New Roman" w:cs="Times New Roman"/>
          <w:bCs/>
        </w:rPr>
        <w:t>HKHDTA45</w:t>
      </w:r>
    </w:p>
    <w:p w:rsidR="00632BDC" w:rsidRPr="00632BDC" w:rsidRDefault="00632BDC" w:rsidP="00980876">
      <w:pPr>
        <w:widowControl w:val="0"/>
        <w:numPr>
          <w:ilvl w:val="0"/>
          <w:numId w:val="426"/>
        </w:numPr>
        <w:spacing w:before="120" w:after="120" w:line="240" w:lineRule="auto"/>
        <w:ind w:left="426" w:hanging="142"/>
        <w:jc w:val="both"/>
        <w:rPr>
          <w:rFonts w:ascii="Times New Roman" w:eastAsia="Times New Roman" w:hAnsi="Times New Roman" w:cs="Times New Roman"/>
          <w:b/>
          <w:bCs/>
        </w:rPr>
      </w:pPr>
      <w:r w:rsidRPr="00632BDC">
        <w:rPr>
          <w:rFonts w:ascii="Times New Roman" w:eastAsia="Times New Roman" w:hAnsi="Times New Roman" w:cs="Times New Roman"/>
          <w:b/>
          <w:bCs/>
        </w:rPr>
        <w:t>A tantárgy megnevezése (magyarul):</w:t>
      </w:r>
      <w:r w:rsidRPr="00632BDC">
        <w:rPr>
          <w:rFonts w:ascii="Times New Roman" w:eastAsia="Times New Roman" w:hAnsi="Times New Roman" w:cs="Times New Roman"/>
          <w:bCs/>
        </w:rPr>
        <w:t xml:space="preserve"> Javítástechnológia</w:t>
      </w:r>
    </w:p>
    <w:p w:rsidR="00632BDC" w:rsidRPr="00632BDC" w:rsidRDefault="00632BDC" w:rsidP="00980876">
      <w:pPr>
        <w:widowControl w:val="0"/>
        <w:numPr>
          <w:ilvl w:val="0"/>
          <w:numId w:val="426"/>
        </w:numPr>
        <w:spacing w:before="120" w:after="120" w:line="240" w:lineRule="auto"/>
        <w:ind w:left="426" w:hanging="142"/>
        <w:jc w:val="both"/>
        <w:rPr>
          <w:rFonts w:ascii="Times New Roman" w:eastAsia="Times New Roman" w:hAnsi="Times New Roman" w:cs="Times New Roman"/>
          <w:b/>
          <w:bCs/>
        </w:rPr>
      </w:pPr>
      <w:r w:rsidRPr="00632BDC">
        <w:rPr>
          <w:rFonts w:ascii="Times New Roman" w:eastAsia="Times New Roman" w:hAnsi="Times New Roman" w:cs="Times New Roman"/>
          <w:b/>
          <w:bCs/>
        </w:rPr>
        <w:t xml:space="preserve">A tantárgy megnevezése (angolul): </w:t>
      </w:r>
      <w:r w:rsidRPr="00632BDC">
        <w:rPr>
          <w:rFonts w:ascii="Times New Roman" w:eastAsia="Times New Roman" w:hAnsi="Times New Roman" w:cs="Times New Roman"/>
          <w:bCs/>
        </w:rPr>
        <w:t>Repair</w:t>
      </w:r>
      <w:r w:rsidRPr="00632BDC">
        <w:rPr>
          <w:rFonts w:ascii="Times New Roman" w:eastAsia="Times New Roman" w:hAnsi="Times New Roman" w:cs="Times New Roman"/>
          <w:b/>
          <w:bCs/>
        </w:rPr>
        <w:t xml:space="preserve"> </w:t>
      </w:r>
      <w:r w:rsidRPr="00632BDC">
        <w:rPr>
          <w:rFonts w:ascii="Times New Roman" w:eastAsia="Times New Roman" w:hAnsi="Times New Roman" w:cs="Times New Roman"/>
          <w:bCs/>
        </w:rPr>
        <w:t>Technology</w:t>
      </w:r>
      <w:r w:rsidRPr="00632BDC">
        <w:rPr>
          <w:rFonts w:ascii="Times New Roman" w:eastAsia="Times New Roman" w:hAnsi="Times New Roman" w:cs="Times New Roman"/>
          <w:b/>
          <w:bCs/>
        </w:rPr>
        <w:t xml:space="preserve"> </w:t>
      </w:r>
    </w:p>
    <w:p w:rsidR="00632BDC" w:rsidRPr="00632BDC" w:rsidRDefault="00632BDC" w:rsidP="00980876">
      <w:pPr>
        <w:widowControl w:val="0"/>
        <w:numPr>
          <w:ilvl w:val="0"/>
          <w:numId w:val="426"/>
        </w:numPr>
        <w:spacing w:before="120" w:after="120" w:line="240" w:lineRule="auto"/>
        <w:ind w:left="426" w:hanging="142"/>
        <w:jc w:val="both"/>
        <w:rPr>
          <w:rFonts w:ascii="Times New Roman" w:eastAsia="Times New Roman" w:hAnsi="Times New Roman" w:cs="Times New Roman"/>
          <w:b/>
          <w:bCs/>
        </w:rPr>
      </w:pPr>
      <w:r w:rsidRPr="00632BDC">
        <w:rPr>
          <w:rFonts w:ascii="Times New Roman" w:eastAsia="Times New Roman" w:hAnsi="Times New Roman" w:cs="Times New Roman"/>
          <w:b/>
          <w:bCs/>
        </w:rPr>
        <w:t xml:space="preserve">Kreditérték és képzési karakter: </w:t>
      </w:r>
    </w:p>
    <w:p w:rsidR="00632BDC" w:rsidRPr="00632BDC" w:rsidRDefault="00632BDC" w:rsidP="00980876">
      <w:pPr>
        <w:widowControl w:val="0"/>
        <w:numPr>
          <w:ilvl w:val="1"/>
          <w:numId w:val="426"/>
        </w:numPr>
        <w:spacing w:before="120" w:after="120" w:line="240" w:lineRule="auto"/>
        <w:ind w:left="993" w:hanging="426"/>
        <w:contextualSpacing/>
        <w:jc w:val="both"/>
        <w:rPr>
          <w:rFonts w:ascii="Times New Roman" w:eastAsia="Times New Roman" w:hAnsi="Times New Roman" w:cs="Times New Roman"/>
          <w:b/>
          <w:bCs/>
        </w:rPr>
      </w:pPr>
      <w:r w:rsidRPr="00632BDC">
        <w:rPr>
          <w:rFonts w:ascii="Times New Roman" w:eastAsia="Times New Roman" w:hAnsi="Times New Roman" w:cs="Times New Roman"/>
          <w:bCs/>
        </w:rPr>
        <w:t>2 kredit</w:t>
      </w:r>
    </w:p>
    <w:p w:rsidR="00632BDC" w:rsidRPr="00632BDC" w:rsidRDefault="00632BDC" w:rsidP="00980876">
      <w:pPr>
        <w:widowControl w:val="0"/>
        <w:numPr>
          <w:ilvl w:val="1"/>
          <w:numId w:val="426"/>
        </w:numPr>
        <w:spacing w:before="120" w:after="120" w:line="240" w:lineRule="auto"/>
        <w:ind w:left="993" w:hanging="426"/>
        <w:contextualSpacing/>
        <w:jc w:val="both"/>
        <w:rPr>
          <w:rFonts w:ascii="Times New Roman" w:eastAsia="Times New Roman" w:hAnsi="Times New Roman" w:cs="Times New Roman"/>
          <w:b/>
          <w:bCs/>
        </w:rPr>
      </w:pPr>
      <w:r w:rsidRPr="00632BDC">
        <w:rPr>
          <w:rFonts w:ascii="Times New Roman" w:eastAsia="Times New Roman" w:hAnsi="Times New Roman" w:cs="Times New Roman"/>
          <w:bCs/>
        </w:rPr>
        <w:t>a tantárgy elméleti vagy gyakorlati jellegének mértéke: 50</w:t>
      </w:r>
      <w:r w:rsidRPr="00632BDC">
        <w:rPr>
          <w:rFonts w:ascii="Times New Roman" w:eastAsia="Times New Roman" w:hAnsi="Times New Roman" w:cs="Times New Roman"/>
          <w:b/>
          <w:bCs/>
        </w:rPr>
        <w:t xml:space="preserve"> </w:t>
      </w:r>
      <w:r w:rsidRPr="00632BDC">
        <w:rPr>
          <w:rFonts w:ascii="Times New Roman" w:eastAsia="Times New Roman" w:hAnsi="Times New Roman" w:cs="Times New Roman"/>
          <w:bCs/>
        </w:rPr>
        <w:t>% gyakorlat, 50 % elmélet</w:t>
      </w:r>
    </w:p>
    <w:p w:rsidR="00632BDC" w:rsidRPr="00632BDC" w:rsidRDefault="00632BDC" w:rsidP="00980876">
      <w:pPr>
        <w:widowControl w:val="0"/>
        <w:numPr>
          <w:ilvl w:val="0"/>
          <w:numId w:val="426"/>
        </w:numPr>
        <w:spacing w:before="120" w:after="120" w:line="240" w:lineRule="auto"/>
        <w:ind w:left="426" w:hanging="142"/>
        <w:jc w:val="both"/>
        <w:rPr>
          <w:rFonts w:ascii="Times New Roman" w:eastAsia="Times New Roman" w:hAnsi="Times New Roman" w:cs="Times New Roman"/>
          <w:bCs/>
        </w:rPr>
      </w:pPr>
      <w:r w:rsidRPr="00632BDC">
        <w:rPr>
          <w:rFonts w:ascii="Times New Roman" w:eastAsia="Times New Roman" w:hAnsi="Times New Roman" w:cs="Times New Roman"/>
          <w:b/>
          <w:bCs/>
        </w:rPr>
        <w:t>A szak(ok), szakirányok/specializációk megnevezése (ahol oktatják):</w:t>
      </w:r>
      <w:r w:rsidRPr="00632BDC">
        <w:rPr>
          <w:rFonts w:ascii="Times New Roman" w:eastAsia="Times New Roman" w:hAnsi="Times New Roman" w:cs="Times New Roman"/>
          <w:bCs/>
        </w:rPr>
        <w:t xml:space="preserve"> Katonai logisztika (</w:t>
      </w:r>
      <w:r w:rsidR="00137B8A">
        <w:rPr>
          <w:rFonts w:ascii="Times New Roman" w:eastAsia="Times New Roman" w:hAnsi="Times New Roman" w:cs="Times New Roman"/>
          <w:bCs/>
        </w:rPr>
        <w:t>BSc</w:t>
      </w:r>
      <w:r w:rsidRPr="00632BDC">
        <w:rPr>
          <w:rFonts w:ascii="Times New Roman" w:eastAsia="Times New Roman" w:hAnsi="Times New Roman" w:cs="Times New Roman"/>
          <w:bCs/>
        </w:rPr>
        <w:t>) alapképzési szak</w:t>
      </w:r>
    </w:p>
    <w:p w:rsidR="00632BDC" w:rsidRPr="00632BDC" w:rsidRDefault="00632BDC" w:rsidP="00980876">
      <w:pPr>
        <w:widowControl w:val="0"/>
        <w:numPr>
          <w:ilvl w:val="0"/>
          <w:numId w:val="426"/>
        </w:numPr>
        <w:tabs>
          <w:tab w:val="num" w:pos="567"/>
        </w:tabs>
        <w:spacing w:before="120" w:after="120" w:line="240" w:lineRule="auto"/>
        <w:ind w:left="426" w:hanging="142"/>
        <w:jc w:val="both"/>
        <w:rPr>
          <w:rFonts w:ascii="Times New Roman" w:eastAsia="Times New Roman" w:hAnsi="Times New Roman" w:cs="Times New Roman"/>
          <w:bCs/>
        </w:rPr>
      </w:pPr>
      <w:r w:rsidRPr="00632BDC">
        <w:rPr>
          <w:rFonts w:ascii="Times New Roman" w:eastAsia="Times New Roman" w:hAnsi="Times New Roman" w:cs="Times New Roman"/>
          <w:b/>
          <w:bCs/>
        </w:rPr>
        <w:t xml:space="preserve">Az oktatásért felelős oktatási szervezeti egység megnevezése: </w:t>
      </w:r>
      <w:r w:rsidRPr="00632BDC">
        <w:rPr>
          <w:rFonts w:ascii="Times New Roman" w:eastAsia="Times New Roman" w:hAnsi="Times New Roman" w:cs="Times New Roman"/>
          <w:bCs/>
        </w:rPr>
        <w:t>HHK Haditechnikai Tanszék</w:t>
      </w:r>
    </w:p>
    <w:p w:rsidR="00632BDC" w:rsidRPr="00632BDC" w:rsidRDefault="00632BDC" w:rsidP="00980876">
      <w:pPr>
        <w:widowControl w:val="0"/>
        <w:numPr>
          <w:ilvl w:val="0"/>
          <w:numId w:val="426"/>
        </w:numPr>
        <w:tabs>
          <w:tab w:val="num" w:pos="567"/>
        </w:tabs>
        <w:spacing w:before="120" w:after="120" w:line="240" w:lineRule="auto"/>
        <w:ind w:left="426" w:hanging="142"/>
        <w:jc w:val="both"/>
        <w:rPr>
          <w:rFonts w:ascii="Times New Roman" w:eastAsia="Times New Roman" w:hAnsi="Times New Roman" w:cs="Times New Roman"/>
          <w:bCs/>
        </w:rPr>
      </w:pPr>
      <w:r w:rsidRPr="00632BDC">
        <w:rPr>
          <w:rFonts w:ascii="Times New Roman" w:eastAsia="Times New Roman" w:hAnsi="Times New Roman" w:cs="Times New Roman"/>
          <w:b/>
          <w:bCs/>
        </w:rPr>
        <w:t>A tantárgyfelelős oktató neve, beosztása, tudományos fokozata:</w:t>
      </w:r>
      <w:r w:rsidRPr="00632BDC">
        <w:rPr>
          <w:rFonts w:ascii="Times New Roman" w:eastAsia="Times New Roman" w:hAnsi="Times New Roman" w:cs="Times New Roman"/>
          <w:bCs/>
        </w:rPr>
        <w:t xml:space="preserve"> </w:t>
      </w:r>
      <w:r w:rsidRPr="00632BDC">
        <w:rPr>
          <w:rFonts w:ascii="Times New Roman" w:eastAsia="Times New Roman" w:hAnsi="Times New Roman" w:cs="Times New Roman"/>
          <w:bCs/>
          <w:lang w:eastAsia="hu-HU"/>
        </w:rPr>
        <w:t>Dr. Hegedűs Ernő alezredes PhD, egyetemi tanársegéd</w:t>
      </w:r>
    </w:p>
    <w:p w:rsidR="00632BDC" w:rsidRPr="00632BDC" w:rsidRDefault="00632BDC" w:rsidP="00980876">
      <w:pPr>
        <w:widowControl w:val="0"/>
        <w:numPr>
          <w:ilvl w:val="0"/>
          <w:numId w:val="426"/>
        </w:numPr>
        <w:spacing w:before="120" w:after="120" w:line="240" w:lineRule="auto"/>
        <w:ind w:left="426" w:hanging="142"/>
        <w:jc w:val="both"/>
        <w:rPr>
          <w:rFonts w:ascii="Times New Roman" w:eastAsia="Times New Roman" w:hAnsi="Times New Roman" w:cs="Times New Roman"/>
          <w:bCs/>
        </w:rPr>
      </w:pPr>
      <w:r w:rsidRPr="00632BDC">
        <w:rPr>
          <w:rFonts w:ascii="Times New Roman" w:eastAsia="Times New Roman" w:hAnsi="Times New Roman" w:cs="Times New Roman"/>
          <w:b/>
          <w:bCs/>
        </w:rPr>
        <w:t>A tanórák száma és típusa</w:t>
      </w:r>
    </w:p>
    <w:p w:rsidR="00632BDC" w:rsidRPr="00632BDC" w:rsidRDefault="00632BDC" w:rsidP="00980876">
      <w:pPr>
        <w:widowControl w:val="0"/>
        <w:numPr>
          <w:ilvl w:val="1"/>
          <w:numId w:val="426"/>
        </w:numPr>
        <w:tabs>
          <w:tab w:val="num" w:pos="709"/>
          <w:tab w:val="num" w:pos="2069"/>
        </w:tabs>
        <w:spacing w:before="120" w:after="120" w:line="240" w:lineRule="auto"/>
        <w:ind w:left="851" w:hanging="425"/>
        <w:jc w:val="both"/>
        <w:rPr>
          <w:rFonts w:ascii="Times New Roman" w:eastAsia="Times New Roman" w:hAnsi="Times New Roman" w:cs="Times New Roman"/>
          <w:bCs/>
        </w:rPr>
      </w:pPr>
      <w:r w:rsidRPr="00632BDC">
        <w:rPr>
          <w:rFonts w:ascii="Times New Roman" w:eastAsia="Times New Roman" w:hAnsi="Times New Roman" w:cs="Times New Roman"/>
          <w:bCs/>
        </w:rPr>
        <w:t>össz óraszám/félév: 28</w:t>
      </w:r>
    </w:p>
    <w:p w:rsidR="00632BDC" w:rsidRPr="00632BDC" w:rsidRDefault="00632BDC" w:rsidP="00980876">
      <w:pPr>
        <w:widowControl w:val="0"/>
        <w:numPr>
          <w:ilvl w:val="2"/>
          <w:numId w:val="426"/>
        </w:numPr>
        <w:tabs>
          <w:tab w:val="num" w:pos="709"/>
          <w:tab w:val="num" w:pos="1134"/>
        </w:tabs>
        <w:spacing w:before="120" w:after="120" w:line="240" w:lineRule="auto"/>
        <w:ind w:left="1134" w:hanging="425"/>
        <w:jc w:val="both"/>
        <w:rPr>
          <w:rFonts w:ascii="Times New Roman" w:eastAsia="Times New Roman" w:hAnsi="Times New Roman" w:cs="Times New Roman"/>
          <w:bCs/>
        </w:rPr>
      </w:pPr>
      <w:r w:rsidRPr="00632BDC">
        <w:rPr>
          <w:rFonts w:ascii="Times New Roman" w:eastAsia="Times New Roman" w:hAnsi="Times New Roman" w:cs="Times New Roman"/>
          <w:bCs/>
        </w:rPr>
        <w:t>nappali munkarend: 28 (14 EA + -SZ + 14 GY)</w:t>
      </w:r>
    </w:p>
    <w:p w:rsidR="00632BDC" w:rsidRPr="00632BDC" w:rsidRDefault="00632BDC" w:rsidP="00980876">
      <w:pPr>
        <w:widowControl w:val="0"/>
        <w:numPr>
          <w:ilvl w:val="2"/>
          <w:numId w:val="426"/>
        </w:numPr>
        <w:tabs>
          <w:tab w:val="num" w:pos="709"/>
          <w:tab w:val="num" w:pos="1134"/>
        </w:tabs>
        <w:spacing w:before="120" w:after="120" w:line="240" w:lineRule="auto"/>
        <w:ind w:left="1134" w:hanging="425"/>
        <w:jc w:val="both"/>
        <w:rPr>
          <w:rFonts w:ascii="Times New Roman" w:eastAsia="Times New Roman" w:hAnsi="Times New Roman" w:cs="Times New Roman"/>
          <w:bCs/>
        </w:rPr>
      </w:pPr>
      <w:r w:rsidRPr="00632BDC">
        <w:rPr>
          <w:rFonts w:ascii="Times New Roman" w:eastAsia="Times New Roman" w:hAnsi="Times New Roman" w:cs="Times New Roman"/>
          <w:bCs/>
        </w:rPr>
        <w:t>levelező munkarend: - (- EA + - SZ + - GY)</w:t>
      </w:r>
    </w:p>
    <w:p w:rsidR="00632BDC" w:rsidRPr="00632BDC" w:rsidRDefault="00632BDC" w:rsidP="00980876">
      <w:pPr>
        <w:widowControl w:val="0"/>
        <w:numPr>
          <w:ilvl w:val="1"/>
          <w:numId w:val="426"/>
        </w:numPr>
        <w:tabs>
          <w:tab w:val="num" w:pos="709"/>
          <w:tab w:val="num" w:pos="2069"/>
        </w:tabs>
        <w:spacing w:before="120" w:after="120" w:line="240" w:lineRule="auto"/>
        <w:ind w:left="851" w:hanging="425"/>
        <w:jc w:val="both"/>
        <w:rPr>
          <w:rFonts w:ascii="Times New Roman" w:eastAsia="Times New Roman" w:hAnsi="Times New Roman" w:cs="Times New Roman"/>
          <w:bCs/>
        </w:rPr>
      </w:pPr>
      <w:r w:rsidRPr="00632BDC">
        <w:rPr>
          <w:rFonts w:ascii="Times New Roman" w:eastAsia="Times New Roman" w:hAnsi="Times New Roman" w:cs="Times New Roman"/>
          <w:bCs/>
        </w:rPr>
        <w:t>heti óraszám - nappali munkarend: 2 (1+1)</w:t>
      </w:r>
    </w:p>
    <w:p w:rsidR="00632BDC" w:rsidRPr="00632BDC" w:rsidRDefault="00632BDC" w:rsidP="00980876">
      <w:pPr>
        <w:widowControl w:val="0"/>
        <w:numPr>
          <w:ilvl w:val="1"/>
          <w:numId w:val="426"/>
        </w:numPr>
        <w:tabs>
          <w:tab w:val="num" w:pos="709"/>
          <w:tab w:val="num" w:pos="2069"/>
        </w:tabs>
        <w:spacing w:before="120" w:after="120" w:line="240" w:lineRule="auto"/>
        <w:ind w:left="851" w:hanging="425"/>
        <w:jc w:val="both"/>
        <w:rPr>
          <w:rFonts w:ascii="Times New Roman" w:eastAsia="Times New Roman" w:hAnsi="Times New Roman" w:cs="Times New Roman"/>
          <w:bCs/>
        </w:rPr>
      </w:pPr>
      <w:r w:rsidRPr="00632BDC">
        <w:rPr>
          <w:rFonts w:ascii="Times New Roman" w:eastAsia="Calibri" w:hAnsi="Times New Roman" w:cs="Times New Roman"/>
        </w:rPr>
        <w:t>Az ismeret átadásában alkalmazandó további sajátos módok, jellemzők: Az ismeretek feldolgozása vegyes tanulási program (blended learning) alapján történik.</w:t>
      </w:r>
    </w:p>
    <w:p w:rsidR="00632BDC" w:rsidRPr="00632BDC" w:rsidRDefault="00632BDC" w:rsidP="00980876">
      <w:pPr>
        <w:widowControl w:val="0"/>
        <w:numPr>
          <w:ilvl w:val="0"/>
          <w:numId w:val="426"/>
        </w:numPr>
        <w:spacing w:before="120" w:after="120" w:line="240" w:lineRule="auto"/>
        <w:ind w:left="426"/>
        <w:jc w:val="both"/>
        <w:rPr>
          <w:rFonts w:ascii="Times New Roman" w:eastAsia="Calibri" w:hAnsi="Times New Roman" w:cs="Times New Roman"/>
        </w:rPr>
      </w:pPr>
      <w:r w:rsidRPr="00632BDC">
        <w:rPr>
          <w:rFonts w:ascii="Times New Roman" w:eastAsia="Times New Roman" w:hAnsi="Times New Roman" w:cs="Times New Roman"/>
          <w:b/>
          <w:bCs/>
        </w:rPr>
        <w:t>A tantárgy szakmai tartalma (magyarul):</w:t>
      </w:r>
      <w:r w:rsidRPr="00632BDC">
        <w:rPr>
          <w:rFonts w:ascii="Times New Roman" w:eastAsia="Calibri" w:hAnsi="Times New Roman" w:cs="Times New Roman"/>
          <w:bCs/>
        </w:rPr>
        <w:t xml:space="preserve"> </w:t>
      </w:r>
      <w:r w:rsidRPr="00632BDC">
        <w:rPr>
          <w:rFonts w:ascii="Times New Roman" w:eastAsia="Calibri" w:hAnsi="Times New Roman" w:cs="Times New Roman"/>
        </w:rPr>
        <w:t>Alkatrészek javításának és felújításának technológiája. Hegesztés, forrasztás, ragasztás. Műanyagok, kerámiák, kompozitok gyártása, megmunkálása és javítása. Fémszórás technológiája. Galvanizálási technológiák. Motorok javítása, felújítása. Fúrás és hónolás. Kocsiszekrény, páncéltest üzemeltetési sajátosságai, meghibásodásai, javítása.</w:t>
      </w:r>
      <w:r w:rsidRPr="00632BDC">
        <w:rPr>
          <w:rFonts w:ascii="Calibri" w:eastAsia="Calibri" w:hAnsi="Calibri" w:cs="Times New Roman"/>
        </w:rPr>
        <w:t xml:space="preserve"> </w:t>
      </w:r>
      <w:r w:rsidRPr="00632BDC">
        <w:rPr>
          <w:rFonts w:ascii="Times New Roman" w:eastAsia="Calibri" w:hAnsi="Times New Roman" w:cs="Times New Roman"/>
        </w:rPr>
        <w:t>Kőolajbázisú karbantartóanyagok. Kenőanyagok és tribológia.</w:t>
      </w:r>
    </w:p>
    <w:p w:rsidR="00632BDC" w:rsidRPr="00632BDC" w:rsidRDefault="00632BDC" w:rsidP="00632BDC">
      <w:pPr>
        <w:widowControl w:val="0"/>
        <w:spacing w:before="120" w:after="120" w:line="240" w:lineRule="auto"/>
        <w:ind w:left="426"/>
        <w:jc w:val="both"/>
        <w:rPr>
          <w:rFonts w:ascii="Times New Roman" w:eastAsia="Calibri" w:hAnsi="Times New Roman" w:cs="Times New Roman"/>
        </w:rPr>
      </w:pPr>
      <w:r w:rsidRPr="00632BDC">
        <w:rPr>
          <w:rFonts w:ascii="Times New Roman" w:eastAsia="Times New Roman" w:hAnsi="Times New Roman" w:cs="Times New Roman"/>
          <w:b/>
          <w:bCs/>
        </w:rPr>
        <w:t>A tantárgy szakmai tartalma (angolul) (</w:t>
      </w:r>
      <w:r w:rsidRPr="00632BDC">
        <w:rPr>
          <w:rFonts w:ascii="Times New Roman" w:eastAsia="Times New Roman" w:hAnsi="Times New Roman" w:cs="Times New Roman"/>
          <w:b/>
          <w:bCs/>
          <w:lang w:val="en-US"/>
        </w:rPr>
        <w:t>Course description</w:t>
      </w:r>
      <w:r w:rsidRPr="00632BDC">
        <w:rPr>
          <w:rFonts w:ascii="Times New Roman" w:eastAsia="Times New Roman" w:hAnsi="Times New Roman" w:cs="Times New Roman"/>
          <w:b/>
          <w:bCs/>
        </w:rPr>
        <w:t>):</w:t>
      </w:r>
      <w:r w:rsidRPr="00632BDC">
        <w:rPr>
          <w:rFonts w:ascii="Times New Roman" w:eastAsia="Calibri" w:hAnsi="Times New Roman" w:cs="Times New Roman"/>
          <w:bCs/>
        </w:rPr>
        <w:t xml:space="preserve"> </w:t>
      </w:r>
      <w:r w:rsidRPr="00632BDC">
        <w:rPr>
          <w:rFonts w:ascii="Times New Roman" w:eastAsia="Calibri" w:hAnsi="Times New Roman" w:cs="Times New Roman"/>
        </w:rPr>
        <w:t>Component repair and renewal technology. Welding and joint technoliogy, soldering, sticking and glueing. Product of composite, ceramic and plastic materials. Repair of composite, ceramic and plastic materials. Metal spreading and scattering technologies. Galvanization and plating technologies. Repair, renewal of engines. Drilling and boring technologies. Operational specifications, malfunctions, repair and maintenance of armor and car-body. Oil based maintenance materials. Lubricants and tribology.</w:t>
      </w:r>
    </w:p>
    <w:p w:rsidR="00632BDC" w:rsidRPr="00632BDC" w:rsidRDefault="00632BDC" w:rsidP="00980876">
      <w:pPr>
        <w:widowControl w:val="0"/>
        <w:numPr>
          <w:ilvl w:val="0"/>
          <w:numId w:val="426"/>
        </w:numPr>
        <w:spacing w:before="120" w:after="120" w:line="240" w:lineRule="auto"/>
        <w:contextualSpacing/>
        <w:jc w:val="both"/>
        <w:rPr>
          <w:rFonts w:ascii="Times New Roman" w:eastAsia="Times New Roman" w:hAnsi="Times New Roman" w:cs="Times New Roman"/>
          <w:bCs/>
        </w:rPr>
      </w:pPr>
      <w:r w:rsidRPr="00632BDC">
        <w:rPr>
          <w:rFonts w:ascii="Times New Roman" w:eastAsia="Times New Roman" w:hAnsi="Times New Roman" w:cs="Times New Roman"/>
          <w:b/>
          <w:bCs/>
        </w:rPr>
        <w:t xml:space="preserve">Elérendő kompetenciák (magyarul): </w:t>
      </w:r>
    </w:p>
    <w:p w:rsidR="00632BDC" w:rsidRPr="00632BDC" w:rsidRDefault="00632BDC" w:rsidP="00632BDC">
      <w:pPr>
        <w:widowControl w:val="0"/>
        <w:spacing w:before="120" w:after="120" w:line="240" w:lineRule="auto"/>
        <w:ind w:left="426"/>
        <w:jc w:val="both"/>
        <w:rPr>
          <w:rFonts w:ascii="Times New Roman" w:eastAsia="Times New Roman" w:hAnsi="Times New Roman" w:cs="Times New Roman"/>
          <w:bCs/>
        </w:rPr>
      </w:pPr>
      <w:r w:rsidRPr="00632BDC">
        <w:rPr>
          <w:rFonts w:ascii="Times New Roman" w:eastAsia="Times New Roman" w:hAnsi="Times New Roman" w:cs="Times New Roman"/>
          <w:b/>
          <w:bCs/>
        </w:rPr>
        <w:t>Tudása:</w:t>
      </w:r>
      <w:r w:rsidRPr="00632BDC">
        <w:rPr>
          <w:rFonts w:ascii="Times New Roman" w:eastAsia="Times New Roman" w:hAnsi="Times New Roman" w:cs="Times New Roman"/>
          <w:bCs/>
        </w:rPr>
        <w:t xml:space="preserve"> </w:t>
      </w:r>
    </w:p>
    <w:p w:rsidR="00632BDC" w:rsidRPr="00632BDC" w:rsidRDefault="00632BDC" w:rsidP="00980876">
      <w:pPr>
        <w:widowControl w:val="0"/>
        <w:numPr>
          <w:ilvl w:val="0"/>
          <w:numId w:val="423"/>
        </w:numPr>
        <w:spacing w:before="120" w:after="120" w:line="240" w:lineRule="auto"/>
        <w:contextualSpacing/>
        <w:jc w:val="both"/>
        <w:rPr>
          <w:rFonts w:ascii="Times New Roman" w:eastAsia="Times New Roman" w:hAnsi="Times New Roman" w:cs="Times New Roman"/>
          <w:bCs/>
        </w:rPr>
      </w:pPr>
      <w:r w:rsidRPr="00632BDC">
        <w:rPr>
          <w:rFonts w:ascii="Times New Roman" w:eastAsia="Times New Roman" w:hAnsi="Times New Roman" w:cs="Times New Roman"/>
          <w:bCs/>
        </w:rPr>
        <w:t>Ismeri az a</w:t>
      </w:r>
      <w:r w:rsidRPr="00632BDC">
        <w:rPr>
          <w:rFonts w:ascii="Times New Roman" w:eastAsia="Calibri" w:hAnsi="Times New Roman" w:cs="Times New Roman"/>
        </w:rPr>
        <w:t xml:space="preserve">lkatrészek javításának és felújításának technológiáját. </w:t>
      </w:r>
    </w:p>
    <w:p w:rsidR="00632BDC" w:rsidRPr="00632BDC" w:rsidRDefault="00632BDC" w:rsidP="00980876">
      <w:pPr>
        <w:widowControl w:val="0"/>
        <w:numPr>
          <w:ilvl w:val="0"/>
          <w:numId w:val="423"/>
        </w:numPr>
        <w:spacing w:before="120" w:after="120" w:line="240" w:lineRule="auto"/>
        <w:contextualSpacing/>
        <w:jc w:val="both"/>
        <w:rPr>
          <w:rFonts w:ascii="Times New Roman" w:eastAsia="Times New Roman" w:hAnsi="Times New Roman" w:cs="Times New Roman"/>
          <w:bCs/>
        </w:rPr>
      </w:pPr>
      <w:r w:rsidRPr="00632BDC">
        <w:rPr>
          <w:rFonts w:ascii="Times New Roman" w:eastAsia="Times New Roman" w:hAnsi="Times New Roman" w:cs="Times New Roman"/>
          <w:bCs/>
        </w:rPr>
        <w:t>Megfelelő mélységű ismerettel rendelkezik a h</w:t>
      </w:r>
      <w:r w:rsidRPr="00632BDC">
        <w:rPr>
          <w:rFonts w:ascii="Times New Roman" w:eastAsia="Calibri" w:hAnsi="Times New Roman" w:cs="Times New Roman"/>
        </w:rPr>
        <w:t>egesztés, forrasztás, illetve ragasztás</w:t>
      </w:r>
      <w:r w:rsidRPr="00632BDC">
        <w:rPr>
          <w:rFonts w:ascii="Times New Roman" w:eastAsia="Times New Roman" w:hAnsi="Times New Roman" w:cs="Times New Roman"/>
          <w:bCs/>
        </w:rPr>
        <w:t xml:space="preserve"> területén.</w:t>
      </w:r>
    </w:p>
    <w:p w:rsidR="00632BDC" w:rsidRPr="00632BDC" w:rsidRDefault="00632BDC" w:rsidP="00980876">
      <w:pPr>
        <w:widowControl w:val="0"/>
        <w:numPr>
          <w:ilvl w:val="0"/>
          <w:numId w:val="423"/>
        </w:numPr>
        <w:spacing w:before="120" w:after="120" w:line="240" w:lineRule="auto"/>
        <w:contextualSpacing/>
        <w:jc w:val="both"/>
        <w:rPr>
          <w:rFonts w:ascii="Times New Roman" w:eastAsia="Times New Roman" w:hAnsi="Times New Roman" w:cs="Times New Roman"/>
          <w:bCs/>
        </w:rPr>
      </w:pPr>
      <w:r w:rsidRPr="00632BDC">
        <w:rPr>
          <w:rFonts w:ascii="Times New Roman" w:eastAsia="Times New Roman" w:hAnsi="Times New Roman" w:cs="Times New Roman"/>
          <w:bCs/>
        </w:rPr>
        <w:t>Ismeri a műanyagok, kerámiák, kompozitok gyártását, megmunkálását és javítását, továbbá a fémszórás technológiáját</w:t>
      </w:r>
      <w:r w:rsidRPr="00632BDC">
        <w:rPr>
          <w:rFonts w:ascii="Calibri" w:eastAsia="Calibri" w:hAnsi="Calibri" w:cs="Times New Roman"/>
        </w:rPr>
        <w:t xml:space="preserve"> </w:t>
      </w:r>
      <w:r w:rsidRPr="00632BDC">
        <w:rPr>
          <w:rFonts w:ascii="Times New Roman" w:eastAsia="Times New Roman" w:hAnsi="Times New Roman" w:cs="Times New Roman"/>
          <w:bCs/>
        </w:rPr>
        <w:t xml:space="preserve">és a galvanizálási technológiákat. </w:t>
      </w:r>
    </w:p>
    <w:p w:rsidR="00632BDC" w:rsidRPr="00632BDC" w:rsidRDefault="00632BDC" w:rsidP="00980876">
      <w:pPr>
        <w:widowControl w:val="0"/>
        <w:numPr>
          <w:ilvl w:val="0"/>
          <w:numId w:val="423"/>
        </w:numPr>
        <w:spacing w:before="120" w:after="120" w:line="240" w:lineRule="auto"/>
        <w:contextualSpacing/>
        <w:jc w:val="both"/>
        <w:rPr>
          <w:rFonts w:ascii="Times New Roman" w:eastAsia="Times New Roman" w:hAnsi="Times New Roman" w:cs="Times New Roman"/>
          <w:bCs/>
        </w:rPr>
      </w:pPr>
      <w:r w:rsidRPr="00632BDC">
        <w:rPr>
          <w:rFonts w:ascii="Times New Roman" w:eastAsia="Times New Roman" w:hAnsi="Times New Roman" w:cs="Times New Roman"/>
          <w:bCs/>
        </w:rPr>
        <w:t>Ismeri a motorok javításával, felújításával kapcsolatos technológiákat: a fúrást és hónolást.</w:t>
      </w:r>
    </w:p>
    <w:p w:rsidR="00632BDC" w:rsidRPr="00632BDC" w:rsidRDefault="00632BDC" w:rsidP="00632BDC">
      <w:pPr>
        <w:widowControl w:val="0"/>
        <w:spacing w:before="120" w:after="120" w:line="240" w:lineRule="auto"/>
        <w:ind w:left="426"/>
        <w:jc w:val="both"/>
        <w:rPr>
          <w:rFonts w:ascii="Times New Roman" w:eastAsia="Times New Roman" w:hAnsi="Times New Roman" w:cs="Times New Roman"/>
          <w:bCs/>
        </w:rPr>
      </w:pPr>
      <w:r w:rsidRPr="00632BDC">
        <w:rPr>
          <w:rFonts w:ascii="Times New Roman" w:eastAsia="Times New Roman" w:hAnsi="Times New Roman" w:cs="Times New Roman"/>
          <w:b/>
          <w:bCs/>
        </w:rPr>
        <w:t>Képességei:</w:t>
      </w:r>
      <w:r w:rsidRPr="00632BDC">
        <w:rPr>
          <w:rFonts w:ascii="Times New Roman" w:eastAsia="Times New Roman" w:hAnsi="Times New Roman" w:cs="Times New Roman"/>
          <w:bCs/>
        </w:rPr>
        <w:t xml:space="preserve"> </w:t>
      </w:r>
    </w:p>
    <w:p w:rsidR="00632BDC" w:rsidRPr="00632BDC" w:rsidRDefault="00632BDC" w:rsidP="00980876">
      <w:pPr>
        <w:widowControl w:val="0"/>
        <w:numPr>
          <w:ilvl w:val="0"/>
          <w:numId w:val="423"/>
        </w:numPr>
        <w:spacing w:before="120" w:after="120" w:line="240" w:lineRule="auto"/>
        <w:contextualSpacing/>
        <w:jc w:val="both"/>
        <w:rPr>
          <w:rFonts w:ascii="Times New Roman" w:eastAsia="Times New Roman" w:hAnsi="Times New Roman" w:cs="Times New Roman"/>
          <w:bCs/>
        </w:rPr>
      </w:pPr>
      <w:r w:rsidRPr="00632BDC">
        <w:rPr>
          <w:rFonts w:ascii="Times New Roman" w:eastAsia="Times New Roman" w:hAnsi="Times New Roman" w:cs="Times New Roman"/>
          <w:bCs/>
        </w:rPr>
        <w:t xml:space="preserve">Képes a szakterületén rendszeresített és használt berendezések és technikai eszközök javítási technológiájának alkalmazására. </w:t>
      </w:r>
    </w:p>
    <w:p w:rsidR="00632BDC" w:rsidRPr="00632BDC" w:rsidRDefault="00632BDC" w:rsidP="00980876">
      <w:pPr>
        <w:widowControl w:val="0"/>
        <w:numPr>
          <w:ilvl w:val="0"/>
          <w:numId w:val="423"/>
        </w:numPr>
        <w:spacing w:before="120" w:after="120" w:line="240" w:lineRule="auto"/>
        <w:contextualSpacing/>
        <w:jc w:val="both"/>
        <w:rPr>
          <w:rFonts w:ascii="Times New Roman" w:eastAsia="Times New Roman" w:hAnsi="Times New Roman" w:cs="Times New Roman"/>
          <w:bCs/>
        </w:rPr>
      </w:pPr>
      <w:r w:rsidRPr="00632BDC">
        <w:rPr>
          <w:rFonts w:ascii="Times New Roman" w:eastAsia="Times New Roman" w:hAnsi="Times New Roman" w:cs="Times New Roman"/>
          <w:bCs/>
        </w:rPr>
        <w:t xml:space="preserve">Képes a technológiák elsajátítására. </w:t>
      </w:r>
    </w:p>
    <w:p w:rsidR="00632BDC" w:rsidRPr="00632BDC" w:rsidRDefault="00632BDC" w:rsidP="00980876">
      <w:pPr>
        <w:widowControl w:val="0"/>
        <w:numPr>
          <w:ilvl w:val="0"/>
          <w:numId w:val="423"/>
        </w:numPr>
        <w:spacing w:before="120" w:after="120" w:line="240" w:lineRule="auto"/>
        <w:contextualSpacing/>
        <w:jc w:val="both"/>
        <w:rPr>
          <w:rFonts w:ascii="Times New Roman" w:eastAsia="Times New Roman" w:hAnsi="Times New Roman" w:cs="Times New Roman"/>
          <w:bCs/>
        </w:rPr>
      </w:pPr>
      <w:r w:rsidRPr="00632BDC">
        <w:rPr>
          <w:rFonts w:ascii="Times New Roman" w:eastAsia="Times New Roman" w:hAnsi="Times New Roman" w:cs="Times New Roman"/>
          <w:bCs/>
        </w:rPr>
        <w:t xml:space="preserve">Képes felismerni a Magyar Honvédségnél használatos haditechnikai eszközök javítási </w:t>
      </w:r>
      <w:r w:rsidRPr="00632BDC">
        <w:rPr>
          <w:rFonts w:ascii="Times New Roman" w:eastAsia="Times New Roman" w:hAnsi="Times New Roman" w:cs="Times New Roman"/>
          <w:bCs/>
        </w:rPr>
        <w:lastRenderedPageBreak/>
        <w:t>technológiáit.</w:t>
      </w:r>
    </w:p>
    <w:p w:rsidR="00632BDC" w:rsidRPr="00632BDC" w:rsidRDefault="00632BDC" w:rsidP="00632BDC">
      <w:pPr>
        <w:widowControl w:val="0"/>
        <w:spacing w:before="120" w:after="120" w:line="240" w:lineRule="auto"/>
        <w:ind w:left="426"/>
        <w:jc w:val="both"/>
        <w:rPr>
          <w:rFonts w:ascii="Times New Roman" w:eastAsia="Times New Roman" w:hAnsi="Times New Roman" w:cs="Times New Roman"/>
          <w:bCs/>
        </w:rPr>
      </w:pPr>
      <w:r w:rsidRPr="00632BDC">
        <w:rPr>
          <w:rFonts w:ascii="Times New Roman" w:eastAsia="Times New Roman" w:hAnsi="Times New Roman" w:cs="Times New Roman"/>
          <w:b/>
          <w:bCs/>
        </w:rPr>
        <w:t>Attitűdje:</w:t>
      </w:r>
      <w:r w:rsidRPr="00632BDC">
        <w:rPr>
          <w:rFonts w:ascii="Times New Roman" w:eastAsia="Times New Roman" w:hAnsi="Times New Roman" w:cs="Times New Roman"/>
          <w:bCs/>
        </w:rPr>
        <w:t xml:space="preserve"> </w:t>
      </w:r>
    </w:p>
    <w:p w:rsidR="00632BDC" w:rsidRPr="00632BDC" w:rsidRDefault="00632BDC" w:rsidP="00980876">
      <w:pPr>
        <w:widowControl w:val="0"/>
        <w:numPr>
          <w:ilvl w:val="0"/>
          <w:numId w:val="423"/>
        </w:numPr>
        <w:spacing w:before="120" w:after="120" w:line="240" w:lineRule="auto"/>
        <w:contextualSpacing/>
        <w:jc w:val="both"/>
        <w:rPr>
          <w:rFonts w:ascii="Times New Roman" w:eastAsia="Times New Roman" w:hAnsi="Times New Roman" w:cs="Times New Roman"/>
          <w:bCs/>
        </w:rPr>
      </w:pPr>
      <w:r w:rsidRPr="00632BDC">
        <w:rPr>
          <w:rFonts w:ascii="Times New Roman" w:eastAsia="Times New Roman" w:hAnsi="Times New Roman" w:cs="Times New Roman"/>
          <w:bCs/>
        </w:rPr>
        <w:t xml:space="preserve">Nyitott a szakterületén rendszeresített és használt berendezések és technikai eszközök javítástechnológiával kapcsolatos szakmai ismereteinek gyarapítása iránt, folyamatos önképzési igény jellemzi. </w:t>
      </w:r>
    </w:p>
    <w:p w:rsidR="00632BDC" w:rsidRPr="00632BDC" w:rsidRDefault="00632BDC" w:rsidP="00980876">
      <w:pPr>
        <w:widowControl w:val="0"/>
        <w:numPr>
          <w:ilvl w:val="0"/>
          <w:numId w:val="423"/>
        </w:numPr>
        <w:spacing w:before="120" w:after="120" w:line="240" w:lineRule="auto"/>
        <w:contextualSpacing/>
        <w:jc w:val="both"/>
        <w:rPr>
          <w:rFonts w:ascii="Times New Roman" w:eastAsia="Times New Roman" w:hAnsi="Times New Roman" w:cs="Times New Roman"/>
          <w:bCs/>
        </w:rPr>
      </w:pPr>
      <w:r w:rsidRPr="00632BDC">
        <w:rPr>
          <w:rFonts w:ascii="Times New Roman" w:eastAsia="Times New Roman" w:hAnsi="Times New Roman" w:cs="Times New Roman"/>
          <w:bCs/>
        </w:rPr>
        <w:t xml:space="preserve">Törekszik munkája során a vonatkozó javítástechnológiák megismerésére. </w:t>
      </w:r>
    </w:p>
    <w:p w:rsidR="00632BDC" w:rsidRPr="00632BDC" w:rsidRDefault="00632BDC" w:rsidP="00980876">
      <w:pPr>
        <w:widowControl w:val="0"/>
        <w:numPr>
          <w:ilvl w:val="0"/>
          <w:numId w:val="423"/>
        </w:numPr>
        <w:spacing w:before="120" w:after="120" w:line="240" w:lineRule="auto"/>
        <w:contextualSpacing/>
        <w:jc w:val="both"/>
        <w:rPr>
          <w:rFonts w:ascii="Times New Roman" w:eastAsia="Times New Roman" w:hAnsi="Times New Roman" w:cs="Times New Roman"/>
          <w:bCs/>
        </w:rPr>
      </w:pPr>
      <w:r w:rsidRPr="00632BDC">
        <w:rPr>
          <w:rFonts w:ascii="Times New Roman" w:eastAsia="Times New Roman" w:hAnsi="Times New Roman" w:cs="Times New Roman"/>
          <w:bCs/>
        </w:rPr>
        <w:t>Nyitott a haditechnikai szakterület új eredményei felé, törekszik azok megismerésére, különös tekintettel a javítási technológiákra.</w:t>
      </w:r>
    </w:p>
    <w:p w:rsidR="00632BDC" w:rsidRPr="00632BDC" w:rsidRDefault="00632BDC" w:rsidP="00632BDC">
      <w:pPr>
        <w:widowControl w:val="0"/>
        <w:spacing w:before="120" w:after="120" w:line="240" w:lineRule="auto"/>
        <w:ind w:left="426"/>
        <w:jc w:val="both"/>
        <w:rPr>
          <w:rFonts w:ascii="Times New Roman" w:eastAsia="Times New Roman" w:hAnsi="Times New Roman" w:cs="Times New Roman"/>
          <w:bCs/>
        </w:rPr>
      </w:pPr>
      <w:r w:rsidRPr="00632BDC">
        <w:rPr>
          <w:rFonts w:ascii="Times New Roman" w:eastAsia="Times New Roman" w:hAnsi="Times New Roman" w:cs="Times New Roman"/>
          <w:b/>
          <w:bCs/>
        </w:rPr>
        <w:t>Autonómiája és felelőssége:</w:t>
      </w:r>
      <w:r w:rsidRPr="00632BDC">
        <w:rPr>
          <w:rFonts w:ascii="Times New Roman" w:eastAsia="Times New Roman" w:hAnsi="Times New Roman" w:cs="Times New Roman"/>
          <w:bCs/>
        </w:rPr>
        <w:t xml:space="preserve"> </w:t>
      </w:r>
    </w:p>
    <w:p w:rsidR="00632BDC" w:rsidRPr="00632BDC" w:rsidRDefault="00632BDC" w:rsidP="00980876">
      <w:pPr>
        <w:widowControl w:val="0"/>
        <w:numPr>
          <w:ilvl w:val="0"/>
          <w:numId w:val="423"/>
        </w:numPr>
        <w:spacing w:before="120" w:after="120" w:line="240" w:lineRule="auto"/>
        <w:contextualSpacing/>
        <w:jc w:val="both"/>
        <w:rPr>
          <w:rFonts w:ascii="Times New Roman" w:eastAsia="Times New Roman" w:hAnsi="Times New Roman" w:cs="Times New Roman"/>
          <w:bCs/>
        </w:rPr>
      </w:pPr>
      <w:r w:rsidRPr="00632BDC">
        <w:rPr>
          <w:rFonts w:ascii="Times New Roman" w:eastAsia="Times New Roman" w:hAnsi="Times New Roman" w:cs="Times New Roman"/>
          <w:bCs/>
        </w:rPr>
        <w:t xml:space="preserve">Képes alárendeltjeinek feladatait megszervezni és meghatározni, valamint elvégzett munkájukat szakmai szempontok alapján ellenőrizni. </w:t>
      </w:r>
    </w:p>
    <w:p w:rsidR="00632BDC" w:rsidRPr="00632BDC" w:rsidRDefault="00632BDC" w:rsidP="00980876">
      <w:pPr>
        <w:widowControl w:val="0"/>
        <w:numPr>
          <w:ilvl w:val="0"/>
          <w:numId w:val="423"/>
        </w:numPr>
        <w:spacing w:before="120" w:after="120" w:line="240" w:lineRule="auto"/>
        <w:contextualSpacing/>
        <w:jc w:val="both"/>
        <w:rPr>
          <w:rFonts w:ascii="Times New Roman" w:eastAsia="Times New Roman" w:hAnsi="Times New Roman" w:cs="Times New Roman"/>
          <w:bCs/>
        </w:rPr>
      </w:pPr>
      <w:r w:rsidRPr="00632BDC">
        <w:rPr>
          <w:rFonts w:ascii="Times New Roman" w:eastAsia="Times New Roman" w:hAnsi="Times New Roman" w:cs="Times New Roman"/>
          <w:bCs/>
        </w:rPr>
        <w:t xml:space="preserve">Együttműködés és felelősség jellemzi szakterületének szakembereivel szemben. </w:t>
      </w:r>
    </w:p>
    <w:p w:rsidR="00632BDC" w:rsidRPr="00632BDC" w:rsidRDefault="00632BDC" w:rsidP="00980876">
      <w:pPr>
        <w:widowControl w:val="0"/>
        <w:numPr>
          <w:ilvl w:val="0"/>
          <w:numId w:val="423"/>
        </w:numPr>
        <w:spacing w:before="120" w:after="120" w:line="240" w:lineRule="auto"/>
        <w:contextualSpacing/>
        <w:jc w:val="both"/>
        <w:rPr>
          <w:rFonts w:ascii="Times New Roman" w:eastAsia="Times New Roman" w:hAnsi="Times New Roman" w:cs="Times New Roman"/>
          <w:bCs/>
        </w:rPr>
      </w:pPr>
      <w:r w:rsidRPr="00632BDC">
        <w:rPr>
          <w:rFonts w:ascii="Times New Roman" w:eastAsia="Times New Roman" w:hAnsi="Times New Roman" w:cs="Times New Roman"/>
          <w:bCs/>
        </w:rPr>
        <w:t>Szakterületén belül képes rendszer-szemléletűen gondolkodni.</w:t>
      </w:r>
    </w:p>
    <w:p w:rsidR="00632BDC" w:rsidRPr="00632BDC" w:rsidRDefault="00632BDC" w:rsidP="00632BDC">
      <w:pPr>
        <w:widowControl w:val="0"/>
        <w:spacing w:before="120" w:after="120" w:line="240" w:lineRule="auto"/>
        <w:ind w:left="426"/>
        <w:jc w:val="both"/>
        <w:rPr>
          <w:rFonts w:ascii="Times New Roman" w:eastAsia="Times New Roman" w:hAnsi="Times New Roman" w:cs="Times New Roman"/>
          <w:b/>
          <w:bCs/>
          <w:lang w:val="en-US"/>
        </w:rPr>
      </w:pPr>
      <w:r w:rsidRPr="00632BDC">
        <w:rPr>
          <w:rFonts w:ascii="Times New Roman" w:eastAsia="Times New Roman" w:hAnsi="Times New Roman" w:cs="Times New Roman"/>
          <w:b/>
          <w:bCs/>
        </w:rPr>
        <w:t>Elérendő kompetenciák (angolul) (</w:t>
      </w:r>
      <w:r w:rsidRPr="00632BDC">
        <w:rPr>
          <w:rFonts w:ascii="Times New Roman" w:eastAsia="Times New Roman" w:hAnsi="Times New Roman" w:cs="Times New Roman"/>
          <w:b/>
          <w:bCs/>
          <w:lang w:val="en-US"/>
        </w:rPr>
        <w:t xml:space="preserve">Competences – English): </w:t>
      </w:r>
    </w:p>
    <w:p w:rsidR="00632BDC" w:rsidRPr="00632BDC" w:rsidRDefault="00632BDC" w:rsidP="00632BDC">
      <w:pPr>
        <w:widowControl w:val="0"/>
        <w:spacing w:before="120" w:after="120" w:line="240" w:lineRule="auto"/>
        <w:ind w:left="426"/>
        <w:jc w:val="both"/>
        <w:rPr>
          <w:rFonts w:ascii="Times New Roman" w:eastAsia="Times New Roman" w:hAnsi="Times New Roman" w:cs="Times New Roman"/>
          <w:bCs/>
          <w:i/>
        </w:rPr>
      </w:pPr>
      <w:r w:rsidRPr="00632BDC">
        <w:rPr>
          <w:rFonts w:ascii="Times New Roman" w:eastAsia="Times New Roman" w:hAnsi="Times New Roman" w:cs="Times New Roman"/>
          <w:b/>
          <w:lang w:val="en-GB"/>
        </w:rPr>
        <w:t>Knowledge</w:t>
      </w:r>
      <w:r w:rsidRPr="00632BDC">
        <w:rPr>
          <w:rFonts w:ascii="Times New Roman" w:eastAsia="Times New Roman" w:hAnsi="Times New Roman" w:cs="Times New Roman"/>
          <w:lang w:val="en-GB"/>
        </w:rPr>
        <w:t>:</w:t>
      </w:r>
      <w:r w:rsidRPr="00632BDC">
        <w:rPr>
          <w:rFonts w:ascii="Times New Roman" w:eastAsia="Times New Roman" w:hAnsi="Times New Roman" w:cs="Times New Roman"/>
          <w:bCs/>
          <w:i/>
        </w:rPr>
        <w:t xml:space="preserve"> </w:t>
      </w:r>
    </w:p>
    <w:p w:rsidR="00632BDC" w:rsidRPr="00632BDC" w:rsidRDefault="00632BDC" w:rsidP="00980876">
      <w:pPr>
        <w:widowControl w:val="0"/>
        <w:numPr>
          <w:ilvl w:val="0"/>
          <w:numId w:val="423"/>
        </w:numPr>
        <w:spacing w:before="120" w:after="120" w:line="240" w:lineRule="auto"/>
        <w:contextualSpacing/>
        <w:jc w:val="both"/>
        <w:rPr>
          <w:rFonts w:ascii="Times New Roman" w:eastAsia="Times New Roman" w:hAnsi="Times New Roman" w:cs="Times New Roman"/>
          <w:bCs/>
          <w:lang w:val="en-US"/>
        </w:rPr>
      </w:pPr>
      <w:r w:rsidRPr="00632BDC">
        <w:rPr>
          <w:rFonts w:ascii="Times New Roman" w:eastAsia="Times New Roman" w:hAnsi="Times New Roman" w:cs="Times New Roman"/>
          <w:bCs/>
        </w:rPr>
        <w:t xml:space="preserve">Knows the methods of </w:t>
      </w:r>
      <w:r w:rsidRPr="00632BDC">
        <w:rPr>
          <w:rFonts w:ascii="Times New Roman" w:eastAsia="Times New Roman" w:hAnsi="Times New Roman" w:cs="Times New Roman"/>
          <w:bCs/>
          <w:lang w:val="en-US"/>
        </w:rPr>
        <w:t xml:space="preserve">component repair and renewal technology. </w:t>
      </w:r>
    </w:p>
    <w:p w:rsidR="00632BDC" w:rsidRPr="00632BDC" w:rsidRDefault="00632BDC" w:rsidP="00980876">
      <w:pPr>
        <w:widowControl w:val="0"/>
        <w:numPr>
          <w:ilvl w:val="0"/>
          <w:numId w:val="423"/>
        </w:numPr>
        <w:spacing w:before="120" w:after="120" w:line="240" w:lineRule="auto"/>
        <w:contextualSpacing/>
        <w:jc w:val="both"/>
        <w:rPr>
          <w:rFonts w:ascii="Times New Roman" w:eastAsia="Times New Roman" w:hAnsi="Times New Roman" w:cs="Times New Roman"/>
          <w:bCs/>
          <w:lang w:val="en-US"/>
        </w:rPr>
      </w:pPr>
      <w:r w:rsidRPr="00632BDC">
        <w:rPr>
          <w:rFonts w:ascii="Times New Roman" w:eastAsia="Times New Roman" w:hAnsi="Times New Roman" w:cs="Times New Roman"/>
          <w:bCs/>
        </w:rPr>
        <w:t xml:space="preserve">Knows and is able to use the </w:t>
      </w:r>
      <w:r w:rsidRPr="00632BDC">
        <w:rPr>
          <w:rFonts w:ascii="Times New Roman" w:eastAsia="Times New Roman" w:hAnsi="Times New Roman" w:cs="Times New Roman"/>
          <w:bCs/>
          <w:lang w:val="en-US"/>
        </w:rPr>
        <w:t xml:space="preserve">welding and joint technoliogy, soldering, sticking and glueing. </w:t>
      </w:r>
    </w:p>
    <w:p w:rsidR="00632BDC" w:rsidRPr="00632BDC" w:rsidRDefault="00632BDC" w:rsidP="00980876">
      <w:pPr>
        <w:widowControl w:val="0"/>
        <w:numPr>
          <w:ilvl w:val="0"/>
          <w:numId w:val="423"/>
        </w:numPr>
        <w:spacing w:before="120" w:after="120" w:line="240" w:lineRule="auto"/>
        <w:contextualSpacing/>
        <w:jc w:val="both"/>
        <w:rPr>
          <w:rFonts w:ascii="Times New Roman" w:eastAsia="Times New Roman" w:hAnsi="Times New Roman" w:cs="Times New Roman"/>
          <w:bCs/>
          <w:lang w:val="en-US"/>
        </w:rPr>
      </w:pPr>
      <w:r w:rsidRPr="00632BDC">
        <w:rPr>
          <w:rFonts w:ascii="Times New Roman" w:eastAsia="Times New Roman" w:hAnsi="Times New Roman" w:cs="Times New Roman"/>
          <w:bCs/>
        </w:rPr>
        <w:t>Knows the</w:t>
      </w:r>
      <w:r w:rsidRPr="00632BDC">
        <w:rPr>
          <w:rFonts w:ascii="Times New Roman" w:eastAsia="Times New Roman" w:hAnsi="Times New Roman" w:cs="Times New Roman"/>
          <w:bCs/>
          <w:lang w:val="en-US"/>
        </w:rPr>
        <w:t xml:space="preserve"> product technologies of composite, ceramic and plastic materials. </w:t>
      </w:r>
    </w:p>
    <w:p w:rsidR="00632BDC" w:rsidRPr="00632BDC" w:rsidRDefault="00632BDC" w:rsidP="00980876">
      <w:pPr>
        <w:widowControl w:val="0"/>
        <w:numPr>
          <w:ilvl w:val="0"/>
          <w:numId w:val="423"/>
        </w:numPr>
        <w:spacing w:before="120" w:after="120" w:line="240" w:lineRule="auto"/>
        <w:contextualSpacing/>
        <w:jc w:val="both"/>
        <w:rPr>
          <w:rFonts w:ascii="Times New Roman" w:eastAsia="Times New Roman" w:hAnsi="Times New Roman" w:cs="Times New Roman"/>
          <w:bCs/>
          <w:lang w:val="en-US"/>
        </w:rPr>
      </w:pPr>
      <w:r w:rsidRPr="00632BDC">
        <w:rPr>
          <w:rFonts w:ascii="Times New Roman" w:eastAsia="Times New Roman" w:hAnsi="Times New Roman" w:cs="Times New Roman"/>
          <w:bCs/>
        </w:rPr>
        <w:t>Knows how to</w:t>
      </w:r>
      <w:r w:rsidRPr="00632BDC">
        <w:rPr>
          <w:rFonts w:ascii="Times New Roman" w:eastAsia="Times New Roman" w:hAnsi="Times New Roman" w:cs="Times New Roman"/>
          <w:bCs/>
          <w:lang w:val="en-US"/>
        </w:rPr>
        <w:t xml:space="preserve"> repair of composite, ceramic and plastic materials. </w:t>
      </w:r>
    </w:p>
    <w:p w:rsidR="00632BDC" w:rsidRPr="00632BDC" w:rsidRDefault="00632BDC" w:rsidP="00980876">
      <w:pPr>
        <w:widowControl w:val="0"/>
        <w:numPr>
          <w:ilvl w:val="0"/>
          <w:numId w:val="423"/>
        </w:numPr>
        <w:spacing w:before="120" w:after="120" w:line="240" w:lineRule="auto"/>
        <w:contextualSpacing/>
        <w:jc w:val="both"/>
        <w:rPr>
          <w:rFonts w:ascii="Times New Roman" w:eastAsia="Times New Roman" w:hAnsi="Times New Roman" w:cs="Times New Roman"/>
          <w:bCs/>
          <w:lang w:val="en-US"/>
        </w:rPr>
      </w:pPr>
      <w:r w:rsidRPr="00632BDC">
        <w:rPr>
          <w:rFonts w:ascii="Times New Roman" w:eastAsia="Times New Roman" w:hAnsi="Times New Roman" w:cs="Times New Roman"/>
          <w:bCs/>
        </w:rPr>
        <w:t xml:space="preserve">Possesses knowledge of adequate depth and spectrum about </w:t>
      </w:r>
      <w:r w:rsidRPr="00632BDC">
        <w:rPr>
          <w:rFonts w:ascii="Times New Roman" w:eastAsia="Times New Roman" w:hAnsi="Times New Roman" w:cs="Times New Roman"/>
          <w:bCs/>
          <w:lang w:val="en-US"/>
        </w:rPr>
        <w:t xml:space="preserve">metal spreading and scattering technologies, the galvanization and plating technologies, and repair, renewal technologies. </w:t>
      </w:r>
    </w:p>
    <w:p w:rsidR="00632BDC" w:rsidRPr="00632BDC" w:rsidRDefault="00632BDC" w:rsidP="00632BDC">
      <w:pPr>
        <w:widowControl w:val="0"/>
        <w:spacing w:before="120" w:after="120" w:line="240" w:lineRule="auto"/>
        <w:ind w:left="426"/>
        <w:jc w:val="both"/>
        <w:rPr>
          <w:rFonts w:ascii="Times New Roman" w:eastAsia="Times New Roman" w:hAnsi="Times New Roman" w:cs="Times New Roman"/>
          <w:lang w:val="en-GB"/>
        </w:rPr>
      </w:pPr>
      <w:r w:rsidRPr="00632BDC">
        <w:rPr>
          <w:rFonts w:ascii="Times New Roman" w:eastAsia="Times New Roman" w:hAnsi="Times New Roman" w:cs="Times New Roman"/>
          <w:b/>
          <w:lang w:val="en-GB"/>
        </w:rPr>
        <w:t>Capabilities</w:t>
      </w:r>
      <w:r w:rsidRPr="00632BDC">
        <w:rPr>
          <w:rFonts w:ascii="Times New Roman" w:eastAsia="Times New Roman" w:hAnsi="Times New Roman" w:cs="Times New Roman"/>
          <w:lang w:val="en-GB"/>
        </w:rPr>
        <w:t xml:space="preserve">: </w:t>
      </w:r>
    </w:p>
    <w:p w:rsidR="00632BDC" w:rsidRPr="00632BDC" w:rsidRDefault="00632BDC" w:rsidP="00980876">
      <w:pPr>
        <w:widowControl w:val="0"/>
        <w:numPr>
          <w:ilvl w:val="0"/>
          <w:numId w:val="423"/>
        </w:numPr>
        <w:spacing w:before="120" w:after="120" w:line="240" w:lineRule="auto"/>
        <w:contextualSpacing/>
        <w:jc w:val="both"/>
        <w:rPr>
          <w:rFonts w:ascii="Times New Roman" w:eastAsia="Times New Roman" w:hAnsi="Times New Roman" w:cs="Times New Roman"/>
          <w:bCs/>
        </w:rPr>
      </w:pPr>
      <w:r w:rsidRPr="00632BDC">
        <w:rPr>
          <w:rFonts w:ascii="Times New Roman" w:eastAsia="Times New Roman" w:hAnsi="Times New Roman" w:cs="Times New Roman"/>
          <w:bCs/>
        </w:rPr>
        <w:t xml:space="preserve">Is capable of recogniseing operational specifications, malfunctions, repair and maintenance of armor and car-body. </w:t>
      </w:r>
    </w:p>
    <w:p w:rsidR="00632BDC" w:rsidRPr="00632BDC" w:rsidRDefault="00632BDC" w:rsidP="00980876">
      <w:pPr>
        <w:widowControl w:val="0"/>
        <w:numPr>
          <w:ilvl w:val="0"/>
          <w:numId w:val="423"/>
        </w:numPr>
        <w:spacing w:before="120" w:after="120" w:line="240" w:lineRule="auto"/>
        <w:contextualSpacing/>
        <w:jc w:val="both"/>
        <w:rPr>
          <w:rFonts w:ascii="Times New Roman" w:eastAsia="Times New Roman" w:hAnsi="Times New Roman" w:cs="Times New Roman"/>
          <w:bCs/>
        </w:rPr>
      </w:pPr>
      <w:r w:rsidRPr="00632BDC">
        <w:rPr>
          <w:rFonts w:ascii="Times New Roman" w:eastAsia="Times New Roman" w:hAnsi="Times New Roman" w:cs="Times New Roman"/>
          <w:bCs/>
        </w:rPr>
        <w:t>Is capable of</w:t>
      </w:r>
      <w:r w:rsidRPr="00632BDC">
        <w:rPr>
          <w:rFonts w:ascii="Calibri" w:eastAsia="Calibri" w:hAnsi="Calibri" w:cs="Times New Roman"/>
        </w:rPr>
        <w:t xml:space="preserve"> </w:t>
      </w:r>
      <w:r w:rsidRPr="00632BDC">
        <w:rPr>
          <w:rFonts w:ascii="Times New Roman" w:eastAsia="Times New Roman" w:hAnsi="Times New Roman" w:cs="Times New Roman"/>
          <w:bCs/>
        </w:rPr>
        <w:t xml:space="preserve">applying the component repair and renewal technologies. </w:t>
      </w:r>
    </w:p>
    <w:p w:rsidR="00632BDC" w:rsidRPr="00632BDC" w:rsidRDefault="00632BDC" w:rsidP="00980876">
      <w:pPr>
        <w:widowControl w:val="0"/>
        <w:numPr>
          <w:ilvl w:val="0"/>
          <w:numId w:val="423"/>
        </w:numPr>
        <w:spacing w:before="120" w:after="120" w:line="240" w:lineRule="auto"/>
        <w:contextualSpacing/>
        <w:jc w:val="both"/>
        <w:rPr>
          <w:rFonts w:ascii="Times New Roman" w:eastAsia="Times New Roman" w:hAnsi="Times New Roman" w:cs="Times New Roman"/>
          <w:bCs/>
        </w:rPr>
      </w:pPr>
      <w:r w:rsidRPr="00632BDC">
        <w:rPr>
          <w:rFonts w:ascii="Times New Roman" w:eastAsia="Times New Roman" w:hAnsi="Times New Roman" w:cs="Times New Roman"/>
          <w:bCs/>
        </w:rPr>
        <w:t xml:space="preserve">Is capable of distinguishing welding and joint technoliogy, soldering, sticking and glueing. </w:t>
      </w:r>
    </w:p>
    <w:p w:rsidR="00632BDC" w:rsidRPr="00632BDC" w:rsidRDefault="00632BDC" w:rsidP="00980876">
      <w:pPr>
        <w:widowControl w:val="0"/>
        <w:numPr>
          <w:ilvl w:val="0"/>
          <w:numId w:val="423"/>
        </w:numPr>
        <w:spacing w:before="120" w:after="120" w:line="240" w:lineRule="auto"/>
        <w:contextualSpacing/>
        <w:jc w:val="both"/>
        <w:rPr>
          <w:rFonts w:ascii="Times New Roman" w:eastAsia="Times New Roman" w:hAnsi="Times New Roman" w:cs="Times New Roman"/>
          <w:bCs/>
        </w:rPr>
      </w:pPr>
      <w:r w:rsidRPr="00632BDC">
        <w:rPr>
          <w:rFonts w:ascii="Times New Roman" w:eastAsia="Times New Roman" w:hAnsi="Times New Roman" w:cs="Times New Roman"/>
          <w:bCs/>
        </w:rPr>
        <w:t>Is capable of understanding product of composite, ceramic and plastic materials.</w:t>
      </w:r>
    </w:p>
    <w:p w:rsidR="00632BDC" w:rsidRPr="00632BDC" w:rsidRDefault="00632BDC" w:rsidP="00632B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lang w:val="en-GB"/>
        </w:rPr>
      </w:pPr>
      <w:r w:rsidRPr="00632BDC">
        <w:rPr>
          <w:rFonts w:ascii="Times New Roman" w:eastAsia="Times New Roman" w:hAnsi="Times New Roman" w:cs="Times New Roman"/>
          <w:b/>
          <w:lang w:val="en-GB"/>
        </w:rPr>
        <w:t>Attitude:</w:t>
      </w:r>
      <w:r w:rsidRPr="00632BDC">
        <w:rPr>
          <w:rFonts w:ascii="Times New Roman" w:eastAsia="Times New Roman" w:hAnsi="Times New Roman" w:cs="Times New Roman"/>
          <w:lang w:val="en-GB"/>
        </w:rPr>
        <w:t xml:space="preserve"> </w:t>
      </w:r>
    </w:p>
    <w:p w:rsidR="00632BDC" w:rsidRPr="00632BDC" w:rsidRDefault="00632BDC" w:rsidP="00980876">
      <w:pPr>
        <w:numPr>
          <w:ilvl w:val="0"/>
          <w:numId w:val="4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lang w:eastAsia="hu-HU"/>
        </w:rPr>
      </w:pPr>
      <w:r w:rsidRPr="00632BDC">
        <w:rPr>
          <w:rFonts w:ascii="Times New Roman" w:eastAsia="Times New Roman" w:hAnsi="Times New Roman" w:cs="Times New Roman"/>
        </w:rPr>
        <w:t>He/she is open to widen his/her knowledge regarding</w:t>
      </w:r>
      <w:r w:rsidRPr="00632BDC">
        <w:rPr>
          <w:rFonts w:ascii="Times New Roman" w:eastAsia="Times New Roman" w:hAnsi="Times New Roman" w:cs="Times New Roman"/>
          <w:bCs/>
          <w:lang w:eastAsia="hu-HU"/>
        </w:rPr>
        <w:t xml:space="preserve"> repairing technologies. </w:t>
      </w:r>
    </w:p>
    <w:p w:rsidR="00632BDC" w:rsidRPr="00632BDC" w:rsidRDefault="00632BDC" w:rsidP="00980876">
      <w:pPr>
        <w:numPr>
          <w:ilvl w:val="0"/>
          <w:numId w:val="4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lang w:eastAsia="hu-HU"/>
        </w:rPr>
      </w:pPr>
      <w:r w:rsidRPr="00632BDC">
        <w:rPr>
          <w:rFonts w:ascii="Times New Roman" w:eastAsia="Times New Roman" w:hAnsi="Times New Roman" w:cs="Times New Roman"/>
        </w:rPr>
        <w:t>He/she aims to adhere to the knowledge of</w:t>
      </w:r>
      <w:r w:rsidRPr="00632BDC">
        <w:rPr>
          <w:rFonts w:ascii="Calibri" w:eastAsia="Calibri" w:hAnsi="Calibri" w:cs="Times New Roman"/>
        </w:rPr>
        <w:t xml:space="preserve"> </w:t>
      </w:r>
      <w:r w:rsidRPr="00632BDC">
        <w:rPr>
          <w:rFonts w:ascii="Times New Roman" w:eastAsia="Times New Roman" w:hAnsi="Times New Roman" w:cs="Times New Roman"/>
        </w:rPr>
        <w:t xml:space="preserve">the types of of component repair and renewal technology. </w:t>
      </w:r>
    </w:p>
    <w:p w:rsidR="00632BDC" w:rsidRPr="00632BDC" w:rsidRDefault="00632BDC" w:rsidP="00980876">
      <w:pPr>
        <w:numPr>
          <w:ilvl w:val="0"/>
          <w:numId w:val="4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lang w:eastAsia="hu-HU"/>
        </w:rPr>
      </w:pPr>
      <w:r w:rsidRPr="00632BDC">
        <w:rPr>
          <w:rFonts w:ascii="Times New Roman" w:eastAsia="Times New Roman" w:hAnsi="Times New Roman" w:cs="Times New Roman"/>
        </w:rPr>
        <w:t xml:space="preserve">His/her work and relationships can be described by loyalty and reliability. </w:t>
      </w:r>
    </w:p>
    <w:p w:rsidR="00632BDC" w:rsidRPr="00632BDC" w:rsidRDefault="00632BDC" w:rsidP="00980876">
      <w:pPr>
        <w:numPr>
          <w:ilvl w:val="0"/>
          <w:numId w:val="4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lang w:eastAsia="hu-HU"/>
        </w:rPr>
      </w:pPr>
      <w:r w:rsidRPr="00632BDC">
        <w:rPr>
          <w:rFonts w:ascii="Times New Roman" w:eastAsia="Times New Roman" w:hAnsi="Times New Roman" w:cs="Times New Roman"/>
        </w:rPr>
        <w:t xml:space="preserve">He/she is open towards the new accomplishments of military technology and aims to gain knowledge of these, </w:t>
      </w:r>
      <w:r w:rsidRPr="00632BDC">
        <w:rPr>
          <w:rFonts w:ascii="Times New Roman" w:eastAsia="Times New Roman" w:hAnsi="Times New Roman" w:cs="Times New Roman"/>
          <w:bCs/>
          <w:lang w:eastAsia="hu-HU"/>
        </w:rPr>
        <w:t>especially the repairing technologies.</w:t>
      </w:r>
    </w:p>
    <w:p w:rsidR="00632BDC" w:rsidRPr="00632BDC" w:rsidRDefault="00632BDC" w:rsidP="00632BDC">
      <w:pPr>
        <w:widowControl w:val="0"/>
        <w:spacing w:before="120" w:after="120" w:line="240" w:lineRule="auto"/>
        <w:ind w:left="426"/>
        <w:jc w:val="both"/>
        <w:rPr>
          <w:rFonts w:ascii="Times New Roman" w:eastAsia="Times New Roman" w:hAnsi="Times New Roman" w:cs="Times New Roman"/>
          <w:b/>
          <w:lang w:val="en-GB"/>
        </w:rPr>
      </w:pPr>
      <w:r w:rsidRPr="00632BDC">
        <w:rPr>
          <w:rFonts w:ascii="Times New Roman" w:eastAsia="Times New Roman" w:hAnsi="Times New Roman" w:cs="Times New Roman"/>
          <w:b/>
          <w:lang w:val="en-GB"/>
        </w:rPr>
        <w:t xml:space="preserve">Autonomy and responsibility: </w:t>
      </w:r>
    </w:p>
    <w:p w:rsidR="00632BDC" w:rsidRPr="00632BDC" w:rsidRDefault="00632BDC" w:rsidP="00980876">
      <w:pPr>
        <w:widowControl w:val="0"/>
        <w:numPr>
          <w:ilvl w:val="0"/>
          <w:numId w:val="423"/>
        </w:numPr>
        <w:spacing w:before="120" w:after="120" w:line="240" w:lineRule="auto"/>
        <w:contextualSpacing/>
        <w:jc w:val="both"/>
        <w:rPr>
          <w:rFonts w:ascii="Times New Roman" w:eastAsia="Times New Roman" w:hAnsi="Times New Roman" w:cs="Times New Roman"/>
          <w:lang w:val="en-GB"/>
        </w:rPr>
      </w:pPr>
      <w:r w:rsidRPr="00632BDC">
        <w:rPr>
          <w:rFonts w:ascii="Times New Roman" w:eastAsia="Times New Roman" w:hAnsi="Times New Roman" w:cs="Times New Roman"/>
        </w:rPr>
        <w:t>Is capable of</w:t>
      </w:r>
      <w:r w:rsidRPr="00632BDC">
        <w:rPr>
          <w:rFonts w:ascii="Times New Roman" w:eastAsia="Calibri" w:hAnsi="Times New Roman" w:cs="Times New Roman"/>
        </w:rPr>
        <w:t xml:space="preserve"> </w:t>
      </w:r>
      <w:r w:rsidRPr="00632BDC">
        <w:rPr>
          <w:rFonts w:ascii="Times New Roman" w:eastAsia="Times New Roman" w:hAnsi="Times New Roman" w:cs="Times New Roman"/>
        </w:rPr>
        <w:t xml:space="preserve">distinguishing </w:t>
      </w:r>
      <w:r w:rsidRPr="00632BDC">
        <w:rPr>
          <w:rFonts w:ascii="Times New Roman" w:eastAsia="Times New Roman" w:hAnsi="Times New Roman" w:cs="Times New Roman"/>
          <w:bCs/>
          <w:lang w:eastAsia="hu-HU"/>
        </w:rPr>
        <w:t xml:space="preserve">component repair and renewal technologies. </w:t>
      </w:r>
    </w:p>
    <w:p w:rsidR="00632BDC" w:rsidRPr="00632BDC" w:rsidRDefault="00632BDC" w:rsidP="00980876">
      <w:pPr>
        <w:widowControl w:val="0"/>
        <w:numPr>
          <w:ilvl w:val="0"/>
          <w:numId w:val="423"/>
        </w:numPr>
        <w:spacing w:before="120" w:after="120" w:line="240" w:lineRule="auto"/>
        <w:contextualSpacing/>
        <w:jc w:val="both"/>
        <w:rPr>
          <w:rFonts w:ascii="Times New Roman" w:eastAsia="Times New Roman" w:hAnsi="Times New Roman" w:cs="Times New Roman"/>
          <w:lang w:val="en-GB"/>
        </w:rPr>
      </w:pPr>
      <w:r w:rsidRPr="00632BDC">
        <w:rPr>
          <w:rFonts w:ascii="Times New Roman" w:eastAsia="Times New Roman" w:hAnsi="Times New Roman" w:cs="Times New Roman"/>
        </w:rPr>
        <w:t xml:space="preserve">He/she is capable of </w:t>
      </w:r>
      <w:r w:rsidRPr="00632BDC">
        <w:rPr>
          <w:rFonts w:ascii="Times New Roman" w:eastAsia="Times New Roman" w:hAnsi="Times New Roman" w:cs="Times New Roman"/>
          <w:bCs/>
        </w:rPr>
        <w:t xml:space="preserve">recogniseing </w:t>
      </w:r>
      <w:r w:rsidRPr="00632BDC">
        <w:rPr>
          <w:rFonts w:ascii="Times New Roman" w:eastAsia="Times New Roman" w:hAnsi="Times New Roman" w:cs="Times New Roman"/>
          <w:bCs/>
          <w:lang w:eastAsia="hu-HU"/>
        </w:rPr>
        <w:t xml:space="preserve">welding and joint technoliogy, soldering, sticking and glueing. </w:t>
      </w:r>
    </w:p>
    <w:p w:rsidR="00632BDC" w:rsidRPr="00632BDC" w:rsidRDefault="00632BDC" w:rsidP="00980876">
      <w:pPr>
        <w:widowControl w:val="0"/>
        <w:numPr>
          <w:ilvl w:val="0"/>
          <w:numId w:val="423"/>
        </w:numPr>
        <w:spacing w:before="120" w:after="120" w:line="240" w:lineRule="auto"/>
        <w:contextualSpacing/>
        <w:jc w:val="both"/>
        <w:rPr>
          <w:rFonts w:ascii="Times New Roman" w:eastAsia="Times New Roman" w:hAnsi="Times New Roman" w:cs="Times New Roman"/>
          <w:lang w:val="en-GB"/>
        </w:rPr>
      </w:pPr>
      <w:r w:rsidRPr="00632BDC">
        <w:rPr>
          <w:rFonts w:ascii="Times New Roman" w:eastAsia="Times New Roman" w:hAnsi="Times New Roman" w:cs="Times New Roman"/>
        </w:rPr>
        <w:t xml:space="preserve">He/she is cooperative and responsible towards the professionals of his/her field. </w:t>
      </w:r>
    </w:p>
    <w:p w:rsidR="00632BDC" w:rsidRPr="00632BDC" w:rsidRDefault="00632BDC" w:rsidP="00980876">
      <w:pPr>
        <w:widowControl w:val="0"/>
        <w:numPr>
          <w:ilvl w:val="0"/>
          <w:numId w:val="423"/>
        </w:numPr>
        <w:spacing w:before="120" w:after="120" w:line="240" w:lineRule="auto"/>
        <w:contextualSpacing/>
        <w:jc w:val="both"/>
        <w:rPr>
          <w:rFonts w:ascii="Times New Roman" w:eastAsia="Times New Roman" w:hAnsi="Times New Roman" w:cs="Times New Roman"/>
          <w:lang w:val="en-GB"/>
        </w:rPr>
      </w:pPr>
      <w:r w:rsidRPr="00632BDC">
        <w:rPr>
          <w:rFonts w:ascii="Times New Roman" w:eastAsia="Times New Roman" w:hAnsi="Times New Roman" w:cs="Times New Roman"/>
        </w:rPr>
        <w:t>Is capable of thinking in a system approach within his/her own field.</w:t>
      </w:r>
    </w:p>
    <w:p w:rsidR="00632BDC" w:rsidRPr="00632BDC" w:rsidRDefault="00632BDC" w:rsidP="00980876">
      <w:pPr>
        <w:widowControl w:val="0"/>
        <w:numPr>
          <w:ilvl w:val="0"/>
          <w:numId w:val="426"/>
        </w:numPr>
        <w:tabs>
          <w:tab w:val="num" w:pos="567"/>
        </w:tabs>
        <w:spacing w:before="120" w:after="120" w:line="240" w:lineRule="auto"/>
        <w:ind w:left="426" w:hanging="142"/>
        <w:jc w:val="both"/>
        <w:rPr>
          <w:rFonts w:ascii="Times New Roman" w:eastAsia="Times New Roman" w:hAnsi="Times New Roman" w:cs="Times New Roman"/>
          <w:bCs/>
        </w:rPr>
      </w:pPr>
      <w:r w:rsidRPr="00632BDC">
        <w:rPr>
          <w:rFonts w:ascii="Times New Roman" w:eastAsia="Times New Roman" w:hAnsi="Times New Roman" w:cs="Times New Roman"/>
          <w:b/>
          <w:bCs/>
        </w:rPr>
        <w:t xml:space="preserve">Előtanulmányi követelmények: </w:t>
      </w:r>
      <w:r w:rsidRPr="00632BDC">
        <w:rPr>
          <w:rFonts w:ascii="Times New Roman" w:eastAsia="Times New Roman" w:hAnsi="Times New Roman" w:cs="Times New Roman"/>
          <w:bCs/>
        </w:rPr>
        <w:t>-</w:t>
      </w:r>
    </w:p>
    <w:p w:rsidR="00632BDC" w:rsidRPr="00632BDC" w:rsidRDefault="00632BDC" w:rsidP="00980876">
      <w:pPr>
        <w:widowControl w:val="0"/>
        <w:numPr>
          <w:ilvl w:val="0"/>
          <w:numId w:val="426"/>
        </w:numPr>
        <w:spacing w:before="120" w:after="120" w:line="240" w:lineRule="auto"/>
        <w:ind w:left="426" w:hanging="142"/>
        <w:jc w:val="both"/>
        <w:rPr>
          <w:rFonts w:ascii="Times New Roman" w:eastAsia="Times New Roman" w:hAnsi="Times New Roman" w:cs="Times New Roman"/>
          <w:b/>
          <w:bCs/>
        </w:rPr>
      </w:pPr>
      <w:r w:rsidRPr="00632BDC">
        <w:rPr>
          <w:rFonts w:ascii="Times New Roman" w:eastAsia="Times New Roman" w:hAnsi="Times New Roman" w:cs="Times New Roman"/>
          <w:b/>
          <w:bCs/>
        </w:rPr>
        <w:t>A tantárgy tananyagának leírása, tematika. Description of the subject, curriculum (magyarul, angolul - English):</w:t>
      </w:r>
    </w:p>
    <w:p w:rsidR="00632BDC" w:rsidRPr="00632BDC" w:rsidRDefault="00632BDC" w:rsidP="00980876">
      <w:pPr>
        <w:widowControl w:val="0"/>
        <w:numPr>
          <w:ilvl w:val="1"/>
          <w:numId w:val="426"/>
        </w:numPr>
        <w:tabs>
          <w:tab w:val="left" w:pos="709"/>
          <w:tab w:val="num" w:pos="2069"/>
        </w:tabs>
        <w:spacing w:before="120" w:after="120" w:line="240" w:lineRule="auto"/>
        <w:ind w:left="1134" w:hanging="708"/>
        <w:jc w:val="both"/>
        <w:rPr>
          <w:rFonts w:ascii="Times New Roman" w:eastAsia="Times New Roman" w:hAnsi="Times New Roman" w:cs="Times New Roman"/>
          <w:bCs/>
        </w:rPr>
      </w:pPr>
      <w:r w:rsidRPr="00632BDC">
        <w:rPr>
          <w:rFonts w:ascii="Times New Roman" w:eastAsia="Times New Roman" w:hAnsi="Times New Roman" w:cs="Times New Roman"/>
          <w:bCs/>
        </w:rPr>
        <w:t>Alkatrészek javításának és felújításának technológiája. (</w:t>
      </w:r>
      <w:r w:rsidRPr="00632BDC">
        <w:rPr>
          <w:rFonts w:ascii="Times New Roman" w:eastAsia="Times New Roman" w:hAnsi="Times New Roman" w:cs="Times New Roman"/>
          <w:bCs/>
          <w:i/>
        </w:rPr>
        <w:t>Component repair and renewal technology</w:t>
      </w:r>
      <w:r w:rsidRPr="00632BDC">
        <w:rPr>
          <w:rFonts w:ascii="Times New Roman" w:eastAsia="Times New Roman" w:hAnsi="Times New Roman" w:cs="Times New Roman"/>
          <w:bCs/>
        </w:rPr>
        <w:t xml:space="preserve">.) </w:t>
      </w:r>
    </w:p>
    <w:p w:rsidR="00632BDC" w:rsidRPr="00632BDC" w:rsidRDefault="00632BDC" w:rsidP="00980876">
      <w:pPr>
        <w:widowControl w:val="0"/>
        <w:numPr>
          <w:ilvl w:val="1"/>
          <w:numId w:val="426"/>
        </w:numPr>
        <w:tabs>
          <w:tab w:val="left" w:pos="709"/>
          <w:tab w:val="num" w:pos="2069"/>
        </w:tabs>
        <w:spacing w:before="120" w:after="120" w:line="240" w:lineRule="auto"/>
        <w:ind w:left="1134" w:hanging="708"/>
        <w:jc w:val="both"/>
        <w:rPr>
          <w:rFonts w:ascii="Times New Roman" w:eastAsia="Times New Roman" w:hAnsi="Times New Roman" w:cs="Times New Roman"/>
          <w:bCs/>
        </w:rPr>
      </w:pPr>
      <w:r w:rsidRPr="00632BDC">
        <w:rPr>
          <w:rFonts w:ascii="Times New Roman" w:eastAsia="Times New Roman" w:hAnsi="Times New Roman" w:cs="Times New Roman"/>
          <w:bCs/>
        </w:rPr>
        <w:t>Hegesztés, forrasztás, ragasztás. (</w:t>
      </w:r>
      <w:r w:rsidRPr="00632BDC">
        <w:rPr>
          <w:rFonts w:ascii="Times New Roman" w:eastAsia="Times New Roman" w:hAnsi="Times New Roman" w:cs="Times New Roman"/>
          <w:bCs/>
          <w:i/>
        </w:rPr>
        <w:t>Welding and joint technoliogy, soldering, sticking and glueing.</w:t>
      </w:r>
      <w:r w:rsidRPr="00632BDC">
        <w:rPr>
          <w:rFonts w:ascii="Times New Roman" w:eastAsia="Times New Roman" w:hAnsi="Times New Roman" w:cs="Times New Roman"/>
          <w:bCs/>
        </w:rPr>
        <w:t>)</w:t>
      </w:r>
    </w:p>
    <w:p w:rsidR="00632BDC" w:rsidRPr="00632BDC" w:rsidRDefault="00632BDC" w:rsidP="00980876">
      <w:pPr>
        <w:widowControl w:val="0"/>
        <w:numPr>
          <w:ilvl w:val="1"/>
          <w:numId w:val="426"/>
        </w:numPr>
        <w:tabs>
          <w:tab w:val="left" w:pos="709"/>
          <w:tab w:val="num" w:pos="2069"/>
        </w:tabs>
        <w:spacing w:before="120" w:after="120" w:line="240" w:lineRule="auto"/>
        <w:ind w:left="1134" w:hanging="708"/>
        <w:jc w:val="both"/>
        <w:rPr>
          <w:rFonts w:ascii="Times New Roman" w:eastAsia="Times New Roman" w:hAnsi="Times New Roman" w:cs="Times New Roman"/>
          <w:bCs/>
          <w:i/>
        </w:rPr>
      </w:pPr>
      <w:r w:rsidRPr="00632BDC">
        <w:rPr>
          <w:rFonts w:ascii="Times New Roman" w:eastAsia="Times New Roman" w:hAnsi="Times New Roman" w:cs="Times New Roman"/>
          <w:bCs/>
        </w:rPr>
        <w:t>Műanyagok, kerámiák, kompozitok gyártása. (</w:t>
      </w:r>
      <w:r w:rsidRPr="00632BDC">
        <w:rPr>
          <w:rFonts w:ascii="Times New Roman" w:eastAsia="Times New Roman" w:hAnsi="Times New Roman" w:cs="Times New Roman"/>
          <w:bCs/>
          <w:i/>
        </w:rPr>
        <w:t>Product of composite, ceramic and plastic materials.)</w:t>
      </w:r>
    </w:p>
    <w:p w:rsidR="00632BDC" w:rsidRPr="00632BDC" w:rsidRDefault="00632BDC" w:rsidP="00980876">
      <w:pPr>
        <w:widowControl w:val="0"/>
        <w:numPr>
          <w:ilvl w:val="1"/>
          <w:numId w:val="426"/>
        </w:numPr>
        <w:tabs>
          <w:tab w:val="left" w:pos="709"/>
          <w:tab w:val="num" w:pos="2069"/>
        </w:tabs>
        <w:spacing w:before="120" w:after="120" w:line="240" w:lineRule="auto"/>
        <w:ind w:left="1134" w:hanging="708"/>
        <w:jc w:val="both"/>
        <w:rPr>
          <w:rFonts w:ascii="Times New Roman" w:eastAsia="Times New Roman" w:hAnsi="Times New Roman" w:cs="Times New Roman"/>
          <w:bCs/>
        </w:rPr>
      </w:pPr>
      <w:r w:rsidRPr="00632BDC">
        <w:rPr>
          <w:rFonts w:ascii="Times New Roman" w:eastAsia="Times New Roman" w:hAnsi="Times New Roman" w:cs="Times New Roman"/>
          <w:bCs/>
        </w:rPr>
        <w:lastRenderedPageBreak/>
        <w:t>Műanyagok megmunkálása és javítása. (</w:t>
      </w:r>
      <w:r w:rsidRPr="00632BDC">
        <w:rPr>
          <w:rFonts w:ascii="Times New Roman" w:eastAsia="Times New Roman" w:hAnsi="Times New Roman" w:cs="Times New Roman"/>
          <w:bCs/>
          <w:i/>
        </w:rPr>
        <w:t>Repair and shapeing of plastic materials</w:t>
      </w:r>
      <w:r w:rsidRPr="00632BDC">
        <w:rPr>
          <w:rFonts w:ascii="Times New Roman" w:eastAsia="Times New Roman" w:hAnsi="Times New Roman" w:cs="Times New Roman"/>
          <w:bCs/>
        </w:rPr>
        <w:t xml:space="preserve">.) </w:t>
      </w:r>
    </w:p>
    <w:p w:rsidR="00632BDC" w:rsidRPr="00632BDC" w:rsidRDefault="00632BDC" w:rsidP="00980876">
      <w:pPr>
        <w:widowControl w:val="0"/>
        <w:numPr>
          <w:ilvl w:val="1"/>
          <w:numId w:val="426"/>
        </w:numPr>
        <w:tabs>
          <w:tab w:val="left" w:pos="709"/>
          <w:tab w:val="num" w:pos="2069"/>
        </w:tabs>
        <w:spacing w:before="120" w:after="120" w:line="240" w:lineRule="auto"/>
        <w:ind w:left="1134" w:hanging="708"/>
        <w:jc w:val="both"/>
        <w:rPr>
          <w:rFonts w:ascii="Times New Roman" w:eastAsia="Times New Roman" w:hAnsi="Times New Roman" w:cs="Times New Roman"/>
          <w:bCs/>
        </w:rPr>
      </w:pPr>
      <w:r w:rsidRPr="00632BDC">
        <w:rPr>
          <w:rFonts w:ascii="Times New Roman" w:eastAsia="Times New Roman" w:hAnsi="Times New Roman" w:cs="Times New Roman"/>
          <w:bCs/>
        </w:rPr>
        <w:t>Kerámiák megmunkálása és javítása. (</w:t>
      </w:r>
      <w:r w:rsidRPr="00632BDC">
        <w:rPr>
          <w:rFonts w:ascii="Times New Roman" w:eastAsia="Times New Roman" w:hAnsi="Times New Roman" w:cs="Times New Roman"/>
          <w:bCs/>
          <w:i/>
        </w:rPr>
        <w:t>Repair and shapeing of ceramic materials</w:t>
      </w:r>
      <w:r w:rsidRPr="00632BDC">
        <w:rPr>
          <w:rFonts w:ascii="Times New Roman" w:eastAsia="Times New Roman" w:hAnsi="Times New Roman" w:cs="Times New Roman"/>
          <w:bCs/>
        </w:rPr>
        <w:t xml:space="preserve">.) </w:t>
      </w:r>
    </w:p>
    <w:p w:rsidR="00632BDC" w:rsidRPr="00632BDC" w:rsidRDefault="00632BDC" w:rsidP="00980876">
      <w:pPr>
        <w:widowControl w:val="0"/>
        <w:numPr>
          <w:ilvl w:val="1"/>
          <w:numId w:val="426"/>
        </w:numPr>
        <w:tabs>
          <w:tab w:val="left" w:pos="709"/>
          <w:tab w:val="num" w:pos="2069"/>
        </w:tabs>
        <w:spacing w:before="120" w:after="120" w:line="240" w:lineRule="auto"/>
        <w:ind w:left="1134" w:hanging="708"/>
        <w:jc w:val="both"/>
        <w:rPr>
          <w:rFonts w:ascii="Times New Roman" w:eastAsia="Times New Roman" w:hAnsi="Times New Roman" w:cs="Times New Roman"/>
          <w:bCs/>
        </w:rPr>
      </w:pPr>
      <w:r w:rsidRPr="00632BDC">
        <w:rPr>
          <w:rFonts w:ascii="Times New Roman" w:eastAsia="Times New Roman" w:hAnsi="Times New Roman" w:cs="Times New Roman"/>
          <w:bCs/>
        </w:rPr>
        <w:t>Kompozitok megmunkálása és javítása. (</w:t>
      </w:r>
      <w:r w:rsidRPr="00632BDC">
        <w:rPr>
          <w:rFonts w:ascii="Times New Roman" w:eastAsia="Times New Roman" w:hAnsi="Times New Roman" w:cs="Times New Roman"/>
          <w:bCs/>
          <w:i/>
        </w:rPr>
        <w:t>Repair and shapeing of composite materials</w:t>
      </w:r>
      <w:r w:rsidRPr="00632BDC">
        <w:rPr>
          <w:rFonts w:ascii="Times New Roman" w:eastAsia="Times New Roman" w:hAnsi="Times New Roman" w:cs="Times New Roman"/>
          <w:bCs/>
        </w:rPr>
        <w:t>.)</w:t>
      </w:r>
    </w:p>
    <w:p w:rsidR="00632BDC" w:rsidRPr="00632BDC" w:rsidRDefault="00632BDC" w:rsidP="00980876">
      <w:pPr>
        <w:widowControl w:val="0"/>
        <w:numPr>
          <w:ilvl w:val="1"/>
          <w:numId w:val="426"/>
        </w:numPr>
        <w:tabs>
          <w:tab w:val="left" w:pos="709"/>
          <w:tab w:val="num" w:pos="2069"/>
        </w:tabs>
        <w:spacing w:before="120" w:after="120" w:line="240" w:lineRule="auto"/>
        <w:ind w:left="1134" w:hanging="708"/>
        <w:jc w:val="both"/>
        <w:rPr>
          <w:rFonts w:ascii="Times New Roman" w:eastAsia="Times New Roman" w:hAnsi="Times New Roman" w:cs="Times New Roman"/>
          <w:bCs/>
        </w:rPr>
      </w:pPr>
      <w:r w:rsidRPr="00632BDC">
        <w:rPr>
          <w:rFonts w:ascii="Times New Roman" w:eastAsia="Times New Roman" w:hAnsi="Times New Roman" w:cs="Times New Roman"/>
          <w:bCs/>
        </w:rPr>
        <w:t>Fémszórás technológiája. (</w:t>
      </w:r>
      <w:r w:rsidRPr="00632BDC">
        <w:rPr>
          <w:rFonts w:ascii="Times New Roman" w:eastAsia="Times New Roman" w:hAnsi="Times New Roman" w:cs="Times New Roman"/>
          <w:bCs/>
          <w:i/>
        </w:rPr>
        <w:t>Metal spreading and scattering technologies</w:t>
      </w:r>
      <w:r w:rsidRPr="00632BDC">
        <w:rPr>
          <w:rFonts w:ascii="Times New Roman" w:eastAsia="Times New Roman" w:hAnsi="Times New Roman" w:cs="Times New Roman"/>
          <w:bCs/>
        </w:rPr>
        <w:t>.)</w:t>
      </w:r>
    </w:p>
    <w:p w:rsidR="00632BDC" w:rsidRPr="00632BDC" w:rsidRDefault="00632BDC" w:rsidP="00980876">
      <w:pPr>
        <w:widowControl w:val="0"/>
        <w:numPr>
          <w:ilvl w:val="1"/>
          <w:numId w:val="426"/>
        </w:numPr>
        <w:tabs>
          <w:tab w:val="left" w:pos="709"/>
          <w:tab w:val="num" w:pos="2069"/>
        </w:tabs>
        <w:spacing w:before="120" w:after="120" w:line="240" w:lineRule="auto"/>
        <w:ind w:left="1134" w:hanging="708"/>
        <w:jc w:val="both"/>
        <w:rPr>
          <w:rFonts w:ascii="Times New Roman" w:eastAsia="Times New Roman" w:hAnsi="Times New Roman" w:cs="Times New Roman"/>
          <w:bCs/>
        </w:rPr>
      </w:pPr>
      <w:r w:rsidRPr="00632BDC">
        <w:rPr>
          <w:rFonts w:ascii="Times New Roman" w:eastAsia="Times New Roman" w:hAnsi="Times New Roman" w:cs="Times New Roman"/>
          <w:bCs/>
        </w:rPr>
        <w:t>Galvanizálási technológiák. (</w:t>
      </w:r>
      <w:r w:rsidRPr="00632BDC">
        <w:rPr>
          <w:rFonts w:ascii="Times New Roman" w:eastAsia="Times New Roman" w:hAnsi="Times New Roman" w:cs="Times New Roman"/>
          <w:bCs/>
          <w:i/>
        </w:rPr>
        <w:t>Galvanization and plating technologies</w:t>
      </w:r>
      <w:r w:rsidRPr="00632BDC">
        <w:rPr>
          <w:rFonts w:ascii="Times New Roman" w:eastAsia="Times New Roman" w:hAnsi="Times New Roman" w:cs="Times New Roman"/>
          <w:bCs/>
        </w:rPr>
        <w:t>.)</w:t>
      </w:r>
    </w:p>
    <w:p w:rsidR="00632BDC" w:rsidRPr="00632BDC" w:rsidRDefault="00632BDC" w:rsidP="00980876">
      <w:pPr>
        <w:widowControl w:val="0"/>
        <w:numPr>
          <w:ilvl w:val="1"/>
          <w:numId w:val="426"/>
        </w:numPr>
        <w:tabs>
          <w:tab w:val="left" w:pos="709"/>
          <w:tab w:val="num" w:pos="2069"/>
        </w:tabs>
        <w:spacing w:before="120" w:after="120" w:line="240" w:lineRule="auto"/>
        <w:ind w:left="1134" w:hanging="708"/>
        <w:jc w:val="both"/>
        <w:rPr>
          <w:rFonts w:ascii="Times New Roman" w:eastAsia="Times New Roman" w:hAnsi="Times New Roman" w:cs="Times New Roman"/>
          <w:bCs/>
        </w:rPr>
      </w:pPr>
      <w:r w:rsidRPr="00632BDC">
        <w:rPr>
          <w:rFonts w:ascii="Times New Roman" w:eastAsia="Times New Roman" w:hAnsi="Times New Roman" w:cs="Times New Roman"/>
          <w:bCs/>
        </w:rPr>
        <w:t>Motorok javítása, felújítása. (</w:t>
      </w:r>
      <w:r w:rsidRPr="00632BDC">
        <w:rPr>
          <w:rFonts w:ascii="Times New Roman" w:eastAsia="Times New Roman" w:hAnsi="Times New Roman" w:cs="Times New Roman"/>
          <w:bCs/>
          <w:i/>
        </w:rPr>
        <w:t>Repair, renewal of engines</w:t>
      </w:r>
      <w:r w:rsidRPr="00632BDC">
        <w:rPr>
          <w:rFonts w:ascii="Times New Roman" w:eastAsia="Times New Roman" w:hAnsi="Times New Roman" w:cs="Times New Roman"/>
          <w:bCs/>
        </w:rPr>
        <w:t>.)</w:t>
      </w:r>
    </w:p>
    <w:p w:rsidR="00632BDC" w:rsidRPr="00632BDC" w:rsidRDefault="00632BDC" w:rsidP="00980876">
      <w:pPr>
        <w:widowControl w:val="0"/>
        <w:numPr>
          <w:ilvl w:val="1"/>
          <w:numId w:val="426"/>
        </w:numPr>
        <w:tabs>
          <w:tab w:val="left" w:pos="709"/>
          <w:tab w:val="num" w:pos="2069"/>
        </w:tabs>
        <w:spacing w:before="120" w:after="120" w:line="240" w:lineRule="auto"/>
        <w:ind w:left="1134" w:hanging="708"/>
        <w:jc w:val="both"/>
        <w:rPr>
          <w:rFonts w:ascii="Times New Roman" w:eastAsia="Times New Roman" w:hAnsi="Times New Roman" w:cs="Times New Roman"/>
          <w:b/>
        </w:rPr>
      </w:pPr>
      <w:r w:rsidRPr="00632BDC">
        <w:rPr>
          <w:rFonts w:ascii="Times New Roman" w:eastAsia="Times New Roman" w:hAnsi="Times New Roman" w:cs="Times New Roman"/>
          <w:bCs/>
        </w:rPr>
        <w:t>Fúrás és hónolás. (</w:t>
      </w:r>
      <w:r w:rsidRPr="00632BDC">
        <w:rPr>
          <w:rFonts w:ascii="Times New Roman" w:eastAsia="Times New Roman" w:hAnsi="Times New Roman" w:cs="Times New Roman"/>
          <w:bCs/>
          <w:i/>
        </w:rPr>
        <w:t>Drilling and boring technologies</w:t>
      </w:r>
      <w:r w:rsidRPr="00632BDC">
        <w:rPr>
          <w:rFonts w:ascii="Times New Roman" w:eastAsia="Times New Roman" w:hAnsi="Times New Roman" w:cs="Times New Roman"/>
          <w:bCs/>
        </w:rPr>
        <w:t>.)</w:t>
      </w:r>
    </w:p>
    <w:p w:rsidR="00632BDC" w:rsidRPr="00632BDC" w:rsidRDefault="00632BDC" w:rsidP="00980876">
      <w:pPr>
        <w:widowControl w:val="0"/>
        <w:numPr>
          <w:ilvl w:val="1"/>
          <w:numId w:val="426"/>
        </w:numPr>
        <w:tabs>
          <w:tab w:val="left" w:pos="709"/>
          <w:tab w:val="num" w:pos="2069"/>
        </w:tabs>
        <w:spacing w:before="120" w:after="120" w:line="240" w:lineRule="auto"/>
        <w:ind w:left="1134" w:hanging="708"/>
        <w:jc w:val="both"/>
        <w:rPr>
          <w:rFonts w:ascii="Times New Roman" w:eastAsia="Times New Roman" w:hAnsi="Times New Roman" w:cs="Times New Roman"/>
          <w:b/>
        </w:rPr>
      </w:pPr>
      <w:r w:rsidRPr="00632BDC">
        <w:rPr>
          <w:rFonts w:ascii="Times New Roman" w:eastAsia="Times New Roman" w:hAnsi="Times New Roman" w:cs="Times New Roman"/>
          <w:bCs/>
        </w:rPr>
        <w:t>Kocsiszekrény üzemeltetési sajátosságai, meghibásodásai, javítása. (</w:t>
      </w:r>
      <w:r w:rsidRPr="00632BDC">
        <w:rPr>
          <w:rFonts w:ascii="Times New Roman" w:eastAsia="Times New Roman" w:hAnsi="Times New Roman" w:cs="Times New Roman"/>
          <w:bCs/>
          <w:i/>
          <w:iCs/>
        </w:rPr>
        <w:t>Operational specifications, malfunctions, repair and maintenance of car-body.</w:t>
      </w:r>
      <w:r w:rsidRPr="00632BDC">
        <w:rPr>
          <w:rFonts w:ascii="Times New Roman" w:eastAsia="Times New Roman" w:hAnsi="Times New Roman" w:cs="Times New Roman"/>
          <w:bCs/>
        </w:rPr>
        <w:t>)</w:t>
      </w:r>
    </w:p>
    <w:p w:rsidR="00632BDC" w:rsidRPr="00632BDC" w:rsidRDefault="00632BDC" w:rsidP="00980876">
      <w:pPr>
        <w:widowControl w:val="0"/>
        <w:numPr>
          <w:ilvl w:val="1"/>
          <w:numId w:val="426"/>
        </w:numPr>
        <w:tabs>
          <w:tab w:val="left" w:pos="709"/>
          <w:tab w:val="num" w:pos="2069"/>
        </w:tabs>
        <w:spacing w:before="120" w:after="120" w:line="240" w:lineRule="auto"/>
        <w:ind w:left="1134" w:hanging="708"/>
        <w:jc w:val="both"/>
        <w:rPr>
          <w:rFonts w:ascii="Times New Roman" w:eastAsia="Times New Roman" w:hAnsi="Times New Roman" w:cs="Times New Roman"/>
          <w:bCs/>
        </w:rPr>
      </w:pPr>
      <w:r w:rsidRPr="00632BDC">
        <w:rPr>
          <w:rFonts w:ascii="Times New Roman" w:eastAsia="Times New Roman" w:hAnsi="Times New Roman" w:cs="Times New Roman"/>
          <w:bCs/>
        </w:rPr>
        <w:t>Páncéltest üzemeltetési sajátosságai, meghibásodásai, javítása. (</w:t>
      </w:r>
      <w:r w:rsidRPr="00632BDC">
        <w:rPr>
          <w:rFonts w:ascii="Times New Roman" w:eastAsia="Times New Roman" w:hAnsi="Times New Roman" w:cs="Times New Roman"/>
          <w:bCs/>
          <w:i/>
        </w:rPr>
        <w:t>Operational specifications, malfunctions, repair and maintenance of armor-body</w:t>
      </w:r>
      <w:r w:rsidRPr="00632BDC">
        <w:rPr>
          <w:rFonts w:ascii="Times New Roman" w:eastAsia="Times New Roman" w:hAnsi="Times New Roman" w:cs="Times New Roman"/>
          <w:bCs/>
        </w:rPr>
        <w:t>.)</w:t>
      </w:r>
    </w:p>
    <w:p w:rsidR="00632BDC" w:rsidRPr="00632BDC" w:rsidRDefault="00632BDC" w:rsidP="00980876">
      <w:pPr>
        <w:widowControl w:val="0"/>
        <w:numPr>
          <w:ilvl w:val="1"/>
          <w:numId w:val="426"/>
        </w:numPr>
        <w:tabs>
          <w:tab w:val="left" w:pos="709"/>
          <w:tab w:val="num" w:pos="2069"/>
        </w:tabs>
        <w:spacing w:before="120" w:after="120" w:line="240" w:lineRule="auto"/>
        <w:ind w:left="1134" w:hanging="708"/>
        <w:jc w:val="both"/>
        <w:rPr>
          <w:rFonts w:ascii="Times New Roman" w:eastAsia="Times New Roman" w:hAnsi="Times New Roman" w:cs="Times New Roman"/>
          <w:bCs/>
        </w:rPr>
      </w:pPr>
      <w:r w:rsidRPr="00632BDC">
        <w:rPr>
          <w:rFonts w:ascii="Times New Roman" w:eastAsia="Times New Roman" w:hAnsi="Times New Roman" w:cs="Times New Roman"/>
          <w:bCs/>
        </w:rPr>
        <w:t>Kőolajbázisú karbantartóanyagok. (</w:t>
      </w:r>
      <w:r w:rsidRPr="00632BDC">
        <w:rPr>
          <w:rFonts w:ascii="Times New Roman" w:eastAsia="Times New Roman" w:hAnsi="Times New Roman" w:cs="Times New Roman"/>
          <w:bCs/>
          <w:i/>
        </w:rPr>
        <w:t>Oil based maintenance materials</w:t>
      </w:r>
      <w:r w:rsidRPr="00632BDC">
        <w:rPr>
          <w:rFonts w:ascii="Times New Roman" w:eastAsia="Times New Roman" w:hAnsi="Times New Roman" w:cs="Times New Roman"/>
          <w:bCs/>
        </w:rPr>
        <w:t>.)</w:t>
      </w:r>
    </w:p>
    <w:p w:rsidR="00632BDC" w:rsidRPr="00632BDC" w:rsidRDefault="00632BDC" w:rsidP="00980876">
      <w:pPr>
        <w:widowControl w:val="0"/>
        <w:numPr>
          <w:ilvl w:val="1"/>
          <w:numId w:val="426"/>
        </w:numPr>
        <w:tabs>
          <w:tab w:val="left" w:pos="709"/>
          <w:tab w:val="num" w:pos="2069"/>
        </w:tabs>
        <w:spacing w:before="120" w:after="120" w:line="240" w:lineRule="auto"/>
        <w:ind w:left="1134" w:hanging="708"/>
        <w:jc w:val="both"/>
        <w:rPr>
          <w:rFonts w:ascii="Times New Roman" w:eastAsia="Times New Roman" w:hAnsi="Times New Roman" w:cs="Times New Roman"/>
          <w:bCs/>
        </w:rPr>
      </w:pPr>
      <w:r w:rsidRPr="00632BDC">
        <w:rPr>
          <w:rFonts w:ascii="Times New Roman" w:eastAsia="Times New Roman" w:hAnsi="Times New Roman" w:cs="Times New Roman"/>
          <w:bCs/>
        </w:rPr>
        <w:t>Kenőanyagok és tribológia. (</w:t>
      </w:r>
      <w:r w:rsidRPr="00632BDC">
        <w:rPr>
          <w:rFonts w:ascii="Times New Roman" w:eastAsia="Times New Roman" w:hAnsi="Times New Roman" w:cs="Times New Roman"/>
          <w:bCs/>
          <w:i/>
        </w:rPr>
        <w:t>Lubricants and tribology</w:t>
      </w:r>
      <w:r w:rsidRPr="00632BDC">
        <w:rPr>
          <w:rFonts w:ascii="Times New Roman" w:eastAsia="Times New Roman" w:hAnsi="Times New Roman" w:cs="Times New Roman"/>
          <w:bCs/>
        </w:rPr>
        <w:t>.)</w:t>
      </w:r>
    </w:p>
    <w:p w:rsidR="00632BDC" w:rsidRPr="00632BDC" w:rsidRDefault="00632BDC" w:rsidP="00980876">
      <w:pPr>
        <w:widowControl w:val="0"/>
        <w:numPr>
          <w:ilvl w:val="0"/>
          <w:numId w:val="426"/>
        </w:numPr>
        <w:tabs>
          <w:tab w:val="num" w:pos="360"/>
        </w:tabs>
        <w:spacing w:before="120" w:after="120" w:line="240" w:lineRule="auto"/>
        <w:ind w:left="426" w:hanging="142"/>
        <w:jc w:val="both"/>
        <w:rPr>
          <w:rFonts w:ascii="Times New Roman" w:eastAsia="Times New Roman" w:hAnsi="Times New Roman" w:cs="Times New Roman"/>
          <w:bCs/>
        </w:rPr>
      </w:pPr>
      <w:r w:rsidRPr="00632BDC">
        <w:rPr>
          <w:rFonts w:ascii="Times New Roman" w:eastAsia="Times New Roman" w:hAnsi="Times New Roman" w:cs="Times New Roman"/>
          <w:b/>
          <w:bCs/>
        </w:rPr>
        <w:t>A tantárgy meghirdetésének gyakorisága/a tantervben történő félévi elhelyezkedése: 6</w:t>
      </w:r>
      <w:r w:rsidRPr="00632BDC">
        <w:rPr>
          <w:rFonts w:ascii="Times New Roman" w:eastAsia="Times New Roman" w:hAnsi="Times New Roman" w:cs="Times New Roman"/>
          <w:bCs/>
        </w:rPr>
        <w:t>. félév</w:t>
      </w:r>
    </w:p>
    <w:p w:rsidR="00632BDC" w:rsidRPr="00632BDC" w:rsidRDefault="00632BDC" w:rsidP="00980876">
      <w:pPr>
        <w:widowControl w:val="0"/>
        <w:numPr>
          <w:ilvl w:val="0"/>
          <w:numId w:val="426"/>
        </w:numPr>
        <w:tabs>
          <w:tab w:val="num" w:pos="360"/>
        </w:tabs>
        <w:spacing w:before="120" w:after="120" w:line="240" w:lineRule="auto"/>
        <w:ind w:left="426" w:hanging="142"/>
        <w:jc w:val="both"/>
        <w:rPr>
          <w:rFonts w:ascii="Times New Roman" w:eastAsia="Times New Roman" w:hAnsi="Times New Roman" w:cs="Times New Roman"/>
          <w:bCs/>
        </w:rPr>
      </w:pPr>
      <w:r w:rsidRPr="00632BDC">
        <w:rPr>
          <w:rFonts w:ascii="Times New Roman" w:eastAsia="Times New Roman" w:hAnsi="Times New Roman" w:cs="Times New Roman"/>
          <w:b/>
          <w:bCs/>
        </w:rPr>
        <w:t>A tanórákon való részvétel követelményei, az elfogadható hiányzások mértéke, a távolmaradás pótlásának lehetősége:</w:t>
      </w:r>
      <w:r w:rsidRPr="00632BDC">
        <w:rPr>
          <w:rFonts w:ascii="Times New Roman" w:eastAsia="Times New Roman" w:hAnsi="Times New Roman" w:cs="Times New Roman"/>
          <w:bCs/>
        </w:rPr>
        <w:t xml:space="preserve"> </w:t>
      </w:r>
      <w:bookmarkStart w:id="72" w:name="_Hlk34591859"/>
      <w:r w:rsidRPr="00632BDC">
        <w:rPr>
          <w:rFonts w:ascii="Times New Roman" w:eastAsia="Times New Roman" w:hAnsi="Times New Roman" w:cs="Times New Roman"/>
          <w:bCs/>
        </w:rPr>
        <w:t>A hallgatónak a tanórák legalább 70 %-án jelen kell lennie, 30 %-ot meghaladó hiányzás esetén a félév teljesítése nem írható alá. A hallgató köteles az előadás és a gyakorlat anyagát beszerezni, abból önállóan felkészülni. A hiányzás pótolható az oktató által kijelölt témakörben beadott, legalább elégségesre értékelt házidolgozattal.</w:t>
      </w:r>
      <w:bookmarkEnd w:id="72"/>
    </w:p>
    <w:p w:rsidR="00632BDC" w:rsidRPr="00632BDC" w:rsidRDefault="00632BDC" w:rsidP="00980876">
      <w:pPr>
        <w:widowControl w:val="0"/>
        <w:numPr>
          <w:ilvl w:val="0"/>
          <w:numId w:val="426"/>
        </w:numPr>
        <w:spacing w:before="120" w:after="120" w:line="240" w:lineRule="auto"/>
        <w:ind w:left="426" w:hanging="142"/>
        <w:jc w:val="both"/>
        <w:rPr>
          <w:rFonts w:ascii="Times New Roman" w:eastAsia="Times New Roman" w:hAnsi="Times New Roman" w:cs="Times New Roman"/>
          <w:b/>
          <w:bCs/>
        </w:rPr>
      </w:pPr>
      <w:r w:rsidRPr="00632BDC">
        <w:rPr>
          <w:rFonts w:ascii="Times New Roman" w:eastAsia="Times New Roman" w:hAnsi="Times New Roman" w:cs="Times New Roman"/>
          <w:b/>
        </w:rPr>
        <w:t>Félévközi feladatok, ismeretek ellenőrzésének rendje:</w:t>
      </w:r>
      <w:r w:rsidRPr="00632BDC">
        <w:rPr>
          <w:rFonts w:ascii="Times New Roman" w:eastAsia="Times New Roman" w:hAnsi="Times New Roman" w:cs="Times New Roman"/>
          <w:bCs/>
        </w:rPr>
        <w:t xml:space="preserve"> A félév során a hallgató kettő zárthelyi dolgozatot ír. Zárthelyi dolgozatok a 12.1-12.15 tantárgyrészekből. A zárthelyi dolgozat témáit a kötelező irodalmak anyagából, illetve az előadásokon elhangzott ismeretanyagból kell összeállítani. A zárthelyi dolgozat értékelése ötfokozatú értékelés (a helyes válaszok aránya 0-60% elégtelen; 61-70% elégséges; 71-80% közepes; 81-90% jó; 91-100% jeles osztályzat). Eredménytelen zárthelyi dolgozat kétszer javítható</w:t>
      </w:r>
      <w:r w:rsidRPr="00632BDC">
        <w:rPr>
          <w:rFonts w:ascii="Calibri" w:eastAsia="Calibri" w:hAnsi="Calibri" w:cs="Times New Roman"/>
        </w:rPr>
        <w:t xml:space="preserve"> </w:t>
      </w:r>
      <w:r w:rsidRPr="00632BDC">
        <w:rPr>
          <w:rFonts w:ascii="Times New Roman" w:eastAsia="Times New Roman" w:hAnsi="Times New Roman" w:cs="Times New Roman"/>
          <w:bCs/>
        </w:rPr>
        <w:t>a szorgalmi időszak végéig az oktatóval egyeztetett időpontokban</w:t>
      </w:r>
      <w:r w:rsidRPr="00632BDC">
        <w:rPr>
          <w:rFonts w:ascii="Times New Roman" w:eastAsia="Times New Roman" w:hAnsi="Times New Roman" w:cs="Times New Roman"/>
          <w:b/>
          <w:bCs/>
        </w:rPr>
        <w:t>.</w:t>
      </w:r>
      <w:r w:rsidRPr="00632BDC">
        <w:rPr>
          <w:rFonts w:ascii="Times New Roman" w:eastAsia="Times New Roman" w:hAnsi="Times New Roman" w:cs="Times New Roman"/>
          <w:bCs/>
        </w:rPr>
        <w:t xml:space="preserve"> A dolgozatban teszt és esszé jellegű kérdések egyaránt szerepelnek.</w:t>
      </w:r>
    </w:p>
    <w:p w:rsidR="00632BDC" w:rsidRPr="00632BDC" w:rsidRDefault="00632BDC" w:rsidP="00980876">
      <w:pPr>
        <w:widowControl w:val="0"/>
        <w:numPr>
          <w:ilvl w:val="0"/>
          <w:numId w:val="426"/>
        </w:numPr>
        <w:spacing w:before="120" w:after="120" w:line="240" w:lineRule="auto"/>
        <w:ind w:left="426" w:hanging="142"/>
        <w:jc w:val="both"/>
        <w:rPr>
          <w:rFonts w:ascii="Times New Roman" w:eastAsia="Times New Roman" w:hAnsi="Times New Roman" w:cs="Times New Roman"/>
          <w:b/>
          <w:bCs/>
        </w:rPr>
      </w:pPr>
      <w:r w:rsidRPr="00632BDC">
        <w:rPr>
          <w:rFonts w:ascii="Times New Roman" w:eastAsia="Times New Roman" w:hAnsi="Times New Roman" w:cs="Times New Roman"/>
          <w:b/>
          <w:bCs/>
        </w:rPr>
        <w:t xml:space="preserve">Az értékelés, az aláírás és a kreditek megszerzésének pontos feltételei: </w:t>
      </w:r>
    </w:p>
    <w:p w:rsidR="00632BDC" w:rsidRPr="00632BDC" w:rsidRDefault="00632BDC" w:rsidP="00980876">
      <w:pPr>
        <w:widowControl w:val="0"/>
        <w:numPr>
          <w:ilvl w:val="1"/>
          <w:numId w:val="426"/>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632BDC">
        <w:rPr>
          <w:rFonts w:ascii="Times New Roman" w:eastAsia="Times New Roman" w:hAnsi="Times New Roman" w:cs="Times New Roman"/>
          <w:b/>
        </w:rPr>
        <w:t>Az aláírás megszerzésének feltételei:</w:t>
      </w:r>
      <w:r w:rsidRPr="00632BDC">
        <w:rPr>
          <w:rFonts w:ascii="Times New Roman" w:eastAsia="Times New Roman" w:hAnsi="Times New Roman" w:cs="Times New Roman"/>
        </w:rPr>
        <w:t xml:space="preserve"> </w:t>
      </w:r>
      <w:r w:rsidRPr="00632BDC">
        <w:rPr>
          <w:rFonts w:ascii="Times New Roman" w:eastAsia="Calibri" w:hAnsi="Times New Roman" w:cs="Times New Roman"/>
          <w:bCs/>
        </w:rPr>
        <w:t>Az aláírás megszerzésének feltétele a 14. pontban meghatározott arányú részvétel a foglalkozásokon és a 15. pontban meghatározott félévközi feladatok legalább elégséges teljesítése.</w:t>
      </w:r>
    </w:p>
    <w:p w:rsidR="00632BDC" w:rsidRPr="00632BDC" w:rsidRDefault="00632BDC" w:rsidP="00980876">
      <w:pPr>
        <w:widowControl w:val="0"/>
        <w:numPr>
          <w:ilvl w:val="1"/>
          <w:numId w:val="426"/>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632BDC">
        <w:rPr>
          <w:rFonts w:ascii="Times New Roman" w:eastAsia="Times New Roman" w:hAnsi="Times New Roman" w:cs="Times New Roman"/>
          <w:b/>
        </w:rPr>
        <w:t>Az értékelés:</w:t>
      </w:r>
      <w:r w:rsidRPr="00632BDC">
        <w:rPr>
          <w:rFonts w:ascii="Times New Roman" w:eastAsia="Times New Roman" w:hAnsi="Times New Roman" w:cs="Times New Roman"/>
        </w:rPr>
        <w:t xml:space="preserve"> </w:t>
      </w:r>
      <w:r w:rsidRPr="00632BDC">
        <w:rPr>
          <w:rFonts w:ascii="Times New Roman" w:eastAsia="Calibri" w:hAnsi="Times New Roman" w:cs="Times New Roman"/>
        </w:rPr>
        <w:t>évközi értékelés, ötfokozatú értékelés.</w:t>
      </w:r>
      <w:r w:rsidRPr="00632BDC">
        <w:rPr>
          <w:rFonts w:ascii="Times New Roman" w:eastAsia="Times New Roman" w:hAnsi="Times New Roman" w:cs="Times New Roman"/>
          <w:bCs/>
        </w:rPr>
        <w:t xml:space="preserve"> </w:t>
      </w:r>
      <w:r w:rsidRPr="00632BDC">
        <w:rPr>
          <w:rFonts w:ascii="Times New Roman" w:eastAsia="Calibri" w:hAnsi="Times New Roman" w:cs="Times New Roman"/>
          <w:bCs/>
        </w:rPr>
        <w:t>Az évközi értékelést az elért eredmények kerekített matematikai átlaga képezi.</w:t>
      </w:r>
    </w:p>
    <w:p w:rsidR="00632BDC" w:rsidRPr="00632BDC" w:rsidRDefault="00632BDC" w:rsidP="00980876">
      <w:pPr>
        <w:widowControl w:val="0"/>
        <w:numPr>
          <w:ilvl w:val="1"/>
          <w:numId w:val="426"/>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632BDC">
        <w:rPr>
          <w:rFonts w:ascii="Times New Roman" w:eastAsia="Times New Roman" w:hAnsi="Times New Roman" w:cs="Times New Roman"/>
          <w:b/>
        </w:rPr>
        <w:t>A kreditek megszerzésének feltételei:</w:t>
      </w:r>
      <w:r w:rsidRPr="00632BDC">
        <w:rPr>
          <w:rFonts w:ascii="Times New Roman" w:eastAsia="Times New Roman" w:hAnsi="Times New Roman" w:cs="Times New Roman"/>
        </w:rPr>
        <w:t xml:space="preserve"> az aláírás megszerzése és legalább elégséges</w:t>
      </w:r>
      <w:r w:rsidRPr="00632BDC">
        <w:rPr>
          <w:rFonts w:ascii="Times New Roman" w:eastAsia="Times New Roman" w:hAnsi="Times New Roman" w:cs="Times New Roman"/>
          <w:b/>
        </w:rPr>
        <w:t xml:space="preserve"> </w:t>
      </w:r>
      <w:r w:rsidRPr="00632BDC">
        <w:rPr>
          <w:rFonts w:ascii="Times New Roman" w:eastAsia="Times New Roman" w:hAnsi="Times New Roman" w:cs="Times New Roman"/>
        </w:rPr>
        <w:t>évközi értékelés</w:t>
      </w:r>
      <w:r w:rsidRPr="00632BDC">
        <w:rPr>
          <w:rFonts w:ascii="Times New Roman" w:eastAsia="Times New Roman" w:hAnsi="Times New Roman" w:cs="Times New Roman"/>
          <w:bCs/>
        </w:rPr>
        <w:t>.</w:t>
      </w:r>
    </w:p>
    <w:p w:rsidR="00632BDC" w:rsidRPr="00632BDC" w:rsidRDefault="00632BDC" w:rsidP="00980876">
      <w:pPr>
        <w:widowControl w:val="0"/>
        <w:numPr>
          <w:ilvl w:val="0"/>
          <w:numId w:val="426"/>
        </w:numPr>
        <w:tabs>
          <w:tab w:val="num" w:pos="360"/>
        </w:tabs>
        <w:spacing w:before="120" w:after="120" w:line="240" w:lineRule="auto"/>
        <w:ind w:left="426" w:hanging="142"/>
        <w:jc w:val="both"/>
        <w:rPr>
          <w:rFonts w:ascii="Times New Roman" w:eastAsia="Times New Roman" w:hAnsi="Times New Roman" w:cs="Times New Roman"/>
          <w:bCs/>
        </w:rPr>
      </w:pPr>
      <w:r w:rsidRPr="00632BDC">
        <w:rPr>
          <w:rFonts w:ascii="Times New Roman" w:eastAsia="Times New Roman" w:hAnsi="Times New Roman" w:cs="Times New Roman"/>
          <w:b/>
          <w:bCs/>
        </w:rPr>
        <w:t>Irodalomjegyzék:</w:t>
      </w:r>
    </w:p>
    <w:p w:rsidR="00632BDC" w:rsidRPr="00632BDC" w:rsidRDefault="00632BDC" w:rsidP="00980876">
      <w:pPr>
        <w:widowControl w:val="0"/>
        <w:numPr>
          <w:ilvl w:val="1"/>
          <w:numId w:val="426"/>
        </w:numPr>
        <w:tabs>
          <w:tab w:val="left" w:pos="567"/>
          <w:tab w:val="left" w:pos="851"/>
          <w:tab w:val="num" w:pos="2069"/>
        </w:tabs>
        <w:spacing w:before="120" w:after="120" w:line="240" w:lineRule="auto"/>
        <w:ind w:left="426" w:hanging="142"/>
        <w:jc w:val="both"/>
        <w:rPr>
          <w:rFonts w:ascii="Times New Roman" w:eastAsia="Times New Roman" w:hAnsi="Times New Roman" w:cs="Times New Roman"/>
          <w:b/>
          <w:bCs/>
        </w:rPr>
      </w:pPr>
      <w:r w:rsidRPr="00632BDC">
        <w:rPr>
          <w:rFonts w:ascii="Times New Roman" w:eastAsia="Times New Roman" w:hAnsi="Times New Roman" w:cs="Times New Roman"/>
          <w:b/>
          <w:bCs/>
        </w:rPr>
        <w:t>Kötelező irodalom:</w:t>
      </w:r>
      <w:r w:rsidRPr="00632BDC">
        <w:rPr>
          <w:rFonts w:ascii="Times New Roman" w:eastAsia="Times New Roman" w:hAnsi="Times New Roman" w:cs="Times New Roman"/>
          <w:lang w:eastAsia="hu-HU"/>
        </w:rPr>
        <w:t xml:space="preserve"> </w:t>
      </w:r>
    </w:p>
    <w:p w:rsidR="00632BDC" w:rsidRPr="00632BDC" w:rsidRDefault="00632BDC" w:rsidP="00980876">
      <w:pPr>
        <w:widowControl w:val="0"/>
        <w:numPr>
          <w:ilvl w:val="0"/>
          <w:numId w:val="424"/>
        </w:numPr>
        <w:tabs>
          <w:tab w:val="left" w:pos="851"/>
        </w:tabs>
        <w:spacing w:before="120" w:after="120" w:line="240" w:lineRule="auto"/>
        <w:ind w:left="851"/>
        <w:contextualSpacing/>
        <w:jc w:val="both"/>
        <w:rPr>
          <w:rFonts w:ascii="Times New Roman" w:eastAsia="Times New Roman" w:hAnsi="Times New Roman" w:cs="Times New Roman"/>
          <w:bCs/>
        </w:rPr>
      </w:pPr>
      <w:r w:rsidRPr="00632BDC">
        <w:rPr>
          <w:rFonts w:ascii="Times New Roman" w:eastAsia="Times New Roman" w:hAnsi="Times New Roman" w:cs="Times New Roman"/>
          <w:bCs/>
        </w:rPr>
        <w:t>Nagy Anikó: Anyagismeret és gyártástechnológia (Főiskolai jegyzet, 2001.)</w:t>
      </w:r>
    </w:p>
    <w:p w:rsidR="00632BDC" w:rsidRPr="00632BDC" w:rsidRDefault="00632BDC" w:rsidP="00980876">
      <w:pPr>
        <w:widowControl w:val="0"/>
        <w:numPr>
          <w:ilvl w:val="0"/>
          <w:numId w:val="424"/>
        </w:numPr>
        <w:tabs>
          <w:tab w:val="left" w:pos="851"/>
        </w:tabs>
        <w:spacing w:before="120" w:after="120" w:line="240" w:lineRule="auto"/>
        <w:ind w:left="851"/>
        <w:contextualSpacing/>
        <w:jc w:val="both"/>
        <w:rPr>
          <w:rFonts w:ascii="Times New Roman" w:eastAsia="Calibri" w:hAnsi="Times New Roman" w:cs="Times New Roman"/>
        </w:rPr>
      </w:pPr>
      <w:r w:rsidRPr="00632BDC">
        <w:rPr>
          <w:rFonts w:ascii="Times New Roman" w:eastAsia="Times New Roman" w:hAnsi="Times New Roman" w:cs="Times New Roman"/>
          <w:bCs/>
        </w:rPr>
        <w:t>Dr. Dudás Illés: Gépgyártás-technológia I. (Műszaki Könyvkiadó, Budapest, 2004.) ISBN: 9631640302</w:t>
      </w:r>
    </w:p>
    <w:p w:rsidR="00632BDC" w:rsidRPr="00632BDC" w:rsidRDefault="00632BDC" w:rsidP="00980876">
      <w:pPr>
        <w:widowControl w:val="0"/>
        <w:numPr>
          <w:ilvl w:val="0"/>
          <w:numId w:val="424"/>
        </w:numPr>
        <w:tabs>
          <w:tab w:val="left" w:pos="851"/>
        </w:tabs>
        <w:spacing w:before="120" w:after="120" w:line="240" w:lineRule="auto"/>
        <w:ind w:left="851"/>
        <w:contextualSpacing/>
        <w:jc w:val="both"/>
        <w:rPr>
          <w:rFonts w:ascii="Times New Roman" w:eastAsia="Times New Roman" w:hAnsi="Times New Roman" w:cs="Times New Roman"/>
          <w:bCs/>
        </w:rPr>
      </w:pPr>
      <w:r w:rsidRPr="00632BDC">
        <w:rPr>
          <w:rFonts w:ascii="Times New Roman" w:eastAsia="Calibri" w:hAnsi="Times New Roman" w:cs="Times New Roman"/>
        </w:rPr>
        <w:t>Kiss László: Gépjárműmotorok üzembentartása I.+II. ZMNE nyomda, főiskolai jegyzet, Budapest, 1996.</w:t>
      </w:r>
      <w:bookmarkStart w:id="73" w:name="_Hlk496554119"/>
      <w:r w:rsidRPr="00632BDC">
        <w:rPr>
          <w:rFonts w:ascii="Times New Roman" w:eastAsia="Calibri" w:hAnsi="Times New Roman" w:cs="Times New Roman"/>
        </w:rPr>
        <w:t xml:space="preserve"> </w:t>
      </w:r>
      <w:bookmarkEnd w:id="73"/>
    </w:p>
    <w:p w:rsidR="00632BDC" w:rsidRPr="00632BDC" w:rsidRDefault="00632BDC" w:rsidP="00980876">
      <w:pPr>
        <w:widowControl w:val="0"/>
        <w:numPr>
          <w:ilvl w:val="0"/>
          <w:numId w:val="424"/>
        </w:numPr>
        <w:tabs>
          <w:tab w:val="left" w:pos="851"/>
        </w:tabs>
        <w:spacing w:before="120" w:after="120" w:line="240" w:lineRule="auto"/>
        <w:ind w:left="851"/>
        <w:contextualSpacing/>
        <w:jc w:val="both"/>
        <w:rPr>
          <w:rFonts w:ascii="Times New Roman" w:eastAsia="Times New Roman" w:hAnsi="Times New Roman" w:cs="Times New Roman"/>
          <w:bCs/>
        </w:rPr>
      </w:pPr>
      <w:r w:rsidRPr="00632BDC">
        <w:rPr>
          <w:rFonts w:ascii="Times New Roman" w:eastAsia="Calibri" w:hAnsi="Times New Roman" w:cs="Times New Roman"/>
        </w:rPr>
        <w:t xml:space="preserve">Kiss László: Gépjárművek rendszerben tartása ZMNE nyomda, főiskolai jegyzet, Budapest, 2005. </w:t>
      </w:r>
    </w:p>
    <w:p w:rsidR="00632BDC" w:rsidRPr="00632BDC" w:rsidRDefault="00632BDC" w:rsidP="00980876">
      <w:pPr>
        <w:widowControl w:val="0"/>
        <w:numPr>
          <w:ilvl w:val="1"/>
          <w:numId w:val="426"/>
        </w:numPr>
        <w:tabs>
          <w:tab w:val="num" w:pos="567"/>
          <w:tab w:val="num" w:pos="2069"/>
        </w:tabs>
        <w:spacing w:before="120" w:after="120" w:line="240" w:lineRule="auto"/>
        <w:ind w:left="993" w:hanging="709"/>
        <w:jc w:val="both"/>
        <w:rPr>
          <w:rFonts w:ascii="Times New Roman" w:eastAsia="Times New Roman" w:hAnsi="Times New Roman" w:cs="Times New Roman"/>
          <w:b/>
          <w:bCs/>
        </w:rPr>
      </w:pPr>
      <w:r w:rsidRPr="00632BDC">
        <w:rPr>
          <w:rFonts w:ascii="Times New Roman" w:eastAsia="Times New Roman" w:hAnsi="Times New Roman" w:cs="Times New Roman"/>
          <w:b/>
          <w:bCs/>
        </w:rPr>
        <w:t>Ajánlott irodalom:</w:t>
      </w:r>
    </w:p>
    <w:p w:rsidR="00632BDC" w:rsidRPr="00632BDC" w:rsidRDefault="00632BDC" w:rsidP="00980876">
      <w:pPr>
        <w:widowControl w:val="0"/>
        <w:numPr>
          <w:ilvl w:val="0"/>
          <w:numId w:val="425"/>
        </w:numPr>
        <w:tabs>
          <w:tab w:val="num" w:pos="2069"/>
        </w:tabs>
        <w:spacing w:before="120" w:after="120" w:line="240" w:lineRule="auto"/>
        <w:ind w:left="851"/>
        <w:contextualSpacing/>
        <w:jc w:val="both"/>
        <w:rPr>
          <w:rFonts w:ascii="Times New Roman" w:eastAsia="Times New Roman" w:hAnsi="Times New Roman" w:cs="Times New Roman"/>
          <w:bCs/>
        </w:rPr>
      </w:pPr>
      <w:r w:rsidRPr="00632BDC">
        <w:rPr>
          <w:rFonts w:ascii="Times New Roman" w:eastAsia="Times New Roman" w:hAnsi="Times New Roman" w:cs="Times New Roman"/>
          <w:bCs/>
        </w:rPr>
        <w:t xml:space="preserve">Dr. Gáti József, Dr. Kovács Mihály: Anyag- és gyártásismeret (Műszaki könyvkiadó, </w:t>
      </w:r>
      <w:r w:rsidRPr="00632BDC">
        <w:rPr>
          <w:rFonts w:ascii="Times New Roman" w:eastAsia="Times New Roman" w:hAnsi="Times New Roman" w:cs="Times New Roman"/>
          <w:bCs/>
        </w:rPr>
        <w:lastRenderedPageBreak/>
        <w:t>Budapest, 1999.) ISBN: 9789631618420</w:t>
      </w:r>
    </w:p>
    <w:p w:rsidR="00632BDC" w:rsidRDefault="00632BDC" w:rsidP="00980876">
      <w:pPr>
        <w:widowControl w:val="0"/>
        <w:numPr>
          <w:ilvl w:val="0"/>
          <w:numId w:val="425"/>
        </w:numPr>
        <w:tabs>
          <w:tab w:val="num" w:pos="2069"/>
        </w:tabs>
        <w:spacing w:before="120" w:after="120" w:line="240" w:lineRule="auto"/>
        <w:ind w:left="851"/>
        <w:contextualSpacing/>
        <w:jc w:val="both"/>
        <w:rPr>
          <w:rFonts w:ascii="Times New Roman" w:eastAsia="Times New Roman" w:hAnsi="Times New Roman" w:cs="Times New Roman"/>
          <w:bCs/>
        </w:rPr>
      </w:pPr>
      <w:r w:rsidRPr="00632BDC">
        <w:rPr>
          <w:rFonts w:ascii="Times New Roman" w:eastAsia="Times New Roman" w:hAnsi="Times New Roman" w:cs="Times New Roman"/>
          <w:bCs/>
        </w:rPr>
        <w:t>Lukács Pál: Új anyagok és technológiák az autógyártásban I. (Maróti-Godai Kiadó, Budapest, 1998.) ISBN: 9639005037</w:t>
      </w:r>
    </w:p>
    <w:p w:rsidR="009B293D" w:rsidRPr="00632BDC" w:rsidRDefault="009B293D" w:rsidP="00980876">
      <w:pPr>
        <w:widowControl w:val="0"/>
        <w:numPr>
          <w:ilvl w:val="0"/>
          <w:numId w:val="425"/>
        </w:numPr>
        <w:tabs>
          <w:tab w:val="num" w:pos="2069"/>
        </w:tabs>
        <w:spacing w:before="120" w:after="120" w:line="240" w:lineRule="auto"/>
        <w:ind w:left="851"/>
        <w:contextualSpacing/>
        <w:jc w:val="both"/>
        <w:rPr>
          <w:rFonts w:ascii="Times New Roman" w:eastAsia="Times New Roman" w:hAnsi="Times New Roman" w:cs="Times New Roman"/>
          <w:bCs/>
        </w:rPr>
      </w:pPr>
      <w:r w:rsidRPr="00632BDC">
        <w:rPr>
          <w:rFonts w:ascii="Times New Roman" w:eastAsia="Times New Roman" w:hAnsi="Times New Roman" w:cs="Times New Roman"/>
          <w:bCs/>
        </w:rPr>
        <w:t>Baranyiné C Veres Anna: Anyag és gyártásismeret (Műszaki könyvkiadó, Budapest, 2003.) ISBN: 9789631619713</w:t>
      </w:r>
    </w:p>
    <w:p w:rsidR="00632BDC" w:rsidRPr="00632BDC" w:rsidRDefault="00632BDC" w:rsidP="00632BDC">
      <w:pPr>
        <w:widowControl w:val="0"/>
        <w:spacing w:before="120" w:after="120" w:line="240" w:lineRule="auto"/>
        <w:ind w:left="284"/>
        <w:jc w:val="both"/>
        <w:rPr>
          <w:rFonts w:ascii="Times New Roman" w:eastAsia="Times New Roman" w:hAnsi="Times New Roman" w:cs="Times New Roman"/>
          <w:bCs/>
        </w:rPr>
      </w:pPr>
    </w:p>
    <w:p w:rsidR="00632BDC" w:rsidRPr="00632BDC" w:rsidRDefault="00632BDC" w:rsidP="00632BDC">
      <w:pPr>
        <w:widowControl w:val="0"/>
        <w:spacing w:before="120" w:after="120" w:line="240" w:lineRule="auto"/>
        <w:jc w:val="both"/>
        <w:rPr>
          <w:rFonts w:ascii="Times New Roman" w:eastAsia="Times New Roman" w:hAnsi="Times New Roman" w:cs="Times New Roman"/>
          <w:bCs/>
        </w:rPr>
      </w:pPr>
      <w:r w:rsidRPr="00632BDC">
        <w:rPr>
          <w:rFonts w:ascii="Times New Roman" w:eastAsia="Times New Roman" w:hAnsi="Times New Roman" w:cs="Times New Roman"/>
          <w:bCs/>
        </w:rPr>
        <w:t>Budapest, 2020. március 9.</w:t>
      </w:r>
    </w:p>
    <w:p w:rsidR="00632BDC" w:rsidRPr="009B293D" w:rsidRDefault="00632BDC" w:rsidP="00632BDC">
      <w:pPr>
        <w:widowControl w:val="0"/>
        <w:spacing w:after="0" w:line="240" w:lineRule="auto"/>
        <w:jc w:val="right"/>
        <w:rPr>
          <w:rFonts w:ascii="Times New Roman" w:eastAsia="Times New Roman" w:hAnsi="Times New Roman" w:cs="Times New Roman"/>
          <w:b/>
          <w:bCs/>
        </w:rPr>
      </w:pPr>
      <w:r w:rsidRPr="009B293D">
        <w:rPr>
          <w:rFonts w:ascii="Times New Roman" w:eastAsia="Times New Roman" w:hAnsi="Times New Roman" w:cs="Times New Roman"/>
          <w:b/>
          <w:bCs/>
        </w:rPr>
        <w:t>Dr. Hegedűs Ernő PhD</w:t>
      </w:r>
    </w:p>
    <w:p w:rsidR="00632BDC" w:rsidRPr="00632BDC" w:rsidRDefault="00632BDC" w:rsidP="00632BDC">
      <w:pPr>
        <w:widowControl w:val="0"/>
        <w:spacing w:after="0" w:line="240" w:lineRule="auto"/>
        <w:jc w:val="right"/>
        <w:rPr>
          <w:rFonts w:ascii="Times New Roman" w:eastAsia="Times New Roman" w:hAnsi="Times New Roman" w:cs="Times New Roman"/>
          <w:bCs/>
        </w:rPr>
      </w:pPr>
      <w:r w:rsidRPr="00632BDC">
        <w:rPr>
          <w:rFonts w:ascii="Times New Roman" w:eastAsia="Times New Roman" w:hAnsi="Times New Roman" w:cs="Times New Roman"/>
          <w:bCs/>
        </w:rPr>
        <w:t xml:space="preserve">egyetemi tanársegéd </w:t>
      </w:r>
    </w:p>
    <w:p w:rsidR="00632BDC" w:rsidRPr="00632BDC" w:rsidRDefault="00632BDC" w:rsidP="00632BDC">
      <w:pPr>
        <w:widowControl w:val="0"/>
        <w:spacing w:after="0" w:line="240" w:lineRule="auto"/>
        <w:jc w:val="right"/>
        <w:rPr>
          <w:rFonts w:ascii="Times New Roman" w:eastAsia="Times New Roman" w:hAnsi="Times New Roman" w:cs="Times New Roman"/>
          <w:bCs/>
        </w:rPr>
      </w:pPr>
      <w:r w:rsidRPr="00632BDC">
        <w:rPr>
          <w:rFonts w:ascii="Times New Roman" w:eastAsia="Times New Roman" w:hAnsi="Times New Roman" w:cs="Times New Roman"/>
          <w:bCs/>
        </w:rPr>
        <w:t>tantárgyfelelős, sk.</w:t>
      </w:r>
    </w:p>
    <w:p w:rsidR="00F45E58" w:rsidRDefault="00F45E58">
      <w:pPr>
        <w:spacing w:after="200" w:line="276" w:lineRule="auto"/>
        <w:rPr>
          <w:rFonts w:ascii="Times New Roman" w:hAnsi="Times New Roman" w:cs="Times New Roman"/>
          <w:sz w:val="24"/>
        </w:rPr>
      </w:pPr>
      <w:r>
        <w:rPr>
          <w:rFonts w:ascii="Times New Roman" w:hAnsi="Times New Roman" w:cs="Times New Roman"/>
          <w:sz w:val="24"/>
        </w:rPr>
        <w:br w:type="page"/>
      </w:r>
    </w:p>
    <w:tbl>
      <w:tblPr>
        <w:tblW w:w="9072" w:type="dxa"/>
        <w:tblInd w:w="113" w:type="dxa"/>
        <w:tblLook w:val="01E0" w:firstRow="1" w:lastRow="1" w:firstColumn="1" w:lastColumn="1" w:noHBand="0" w:noVBand="0"/>
      </w:tblPr>
      <w:tblGrid>
        <w:gridCol w:w="4855"/>
        <w:gridCol w:w="1620"/>
        <w:gridCol w:w="2597"/>
      </w:tblGrid>
      <w:tr w:rsidR="00F45E58" w:rsidRPr="00F45E58" w:rsidTr="00B14410">
        <w:tc>
          <w:tcPr>
            <w:tcW w:w="4855" w:type="dxa"/>
            <w:tcBorders>
              <w:bottom w:val="single" w:sz="4" w:space="0" w:color="auto"/>
            </w:tcBorders>
          </w:tcPr>
          <w:p w:rsidR="00F45E58" w:rsidRPr="00F45E58" w:rsidRDefault="00F45E58" w:rsidP="00F45E58">
            <w:pPr>
              <w:spacing w:after="0" w:line="240" w:lineRule="auto"/>
              <w:jc w:val="center"/>
              <w:rPr>
                <w:rFonts w:ascii="Times New Roman" w:eastAsia="Times New Roman" w:hAnsi="Times New Roman" w:cs="Times New Roman"/>
                <w:b/>
                <w:smallCaps/>
                <w:lang w:val="en-GB" w:eastAsia="hu-HU"/>
              </w:rPr>
            </w:pPr>
            <w:r w:rsidRPr="00F45E58">
              <w:rPr>
                <w:rFonts w:ascii="Times New Roman" w:eastAsia="Times New Roman" w:hAnsi="Times New Roman" w:cs="Times New Roman"/>
                <w:b/>
                <w:smallCaps/>
                <w:lang w:val="en-GB" w:eastAsia="hu-HU"/>
              </w:rPr>
              <w:lastRenderedPageBreak/>
              <w:t>UNIVERSITY OF PUBLIC SERVICE</w:t>
            </w:r>
          </w:p>
        </w:tc>
        <w:tc>
          <w:tcPr>
            <w:tcW w:w="1620" w:type="dxa"/>
          </w:tcPr>
          <w:p w:rsidR="00F45E58" w:rsidRPr="00F45E58" w:rsidRDefault="00F45E58" w:rsidP="00F45E58">
            <w:pPr>
              <w:spacing w:after="0" w:line="240" w:lineRule="auto"/>
              <w:jc w:val="both"/>
              <w:rPr>
                <w:rFonts w:ascii="Times New Roman" w:eastAsia="Times New Roman" w:hAnsi="Times New Roman" w:cs="Times New Roman"/>
                <w:lang w:val="en-GB" w:eastAsia="hu-HU"/>
              </w:rPr>
            </w:pPr>
          </w:p>
        </w:tc>
        <w:tc>
          <w:tcPr>
            <w:tcW w:w="2597" w:type="dxa"/>
          </w:tcPr>
          <w:p w:rsidR="00F45E58" w:rsidRPr="00F45E58" w:rsidRDefault="00F45E58" w:rsidP="00F45E58">
            <w:pPr>
              <w:spacing w:after="0" w:line="240" w:lineRule="auto"/>
              <w:jc w:val="right"/>
              <w:rPr>
                <w:rFonts w:ascii="Times New Roman" w:eastAsia="Times New Roman" w:hAnsi="Times New Roman" w:cs="Times New Roman"/>
                <w:lang w:val="en-GB" w:eastAsia="hu-HU"/>
              </w:rPr>
            </w:pPr>
          </w:p>
        </w:tc>
      </w:tr>
      <w:tr w:rsidR="00F45E58" w:rsidRPr="00F45E58" w:rsidTr="00B14410">
        <w:tc>
          <w:tcPr>
            <w:tcW w:w="4855" w:type="dxa"/>
            <w:tcBorders>
              <w:top w:val="single" w:sz="4" w:space="0" w:color="auto"/>
            </w:tcBorders>
          </w:tcPr>
          <w:p w:rsidR="00F45E58" w:rsidRPr="008B31E6" w:rsidRDefault="00F45E58" w:rsidP="008B31E6">
            <w:pPr>
              <w:spacing w:after="0" w:line="240" w:lineRule="auto"/>
              <w:jc w:val="center"/>
              <w:rPr>
                <w:rFonts w:ascii="Times New Roman" w:eastAsia="Times New Roman" w:hAnsi="Times New Roman" w:cs="Times New Roman"/>
                <w:b/>
                <w:smallCaps/>
                <w:lang w:val="en-GB" w:eastAsia="hu-HU"/>
              </w:rPr>
            </w:pPr>
            <w:r w:rsidRPr="008B31E6">
              <w:rPr>
                <w:rFonts w:ascii="Times New Roman" w:eastAsia="Times New Roman" w:hAnsi="Times New Roman" w:cs="Times New Roman"/>
                <w:b/>
                <w:smallCaps/>
                <w:lang w:val="en-GB" w:eastAsia="hu-HU"/>
              </w:rPr>
              <w:t>Faculty of Military Sciences and Officer Training</w:t>
            </w:r>
          </w:p>
        </w:tc>
        <w:tc>
          <w:tcPr>
            <w:tcW w:w="1620" w:type="dxa"/>
          </w:tcPr>
          <w:p w:rsidR="00F45E58" w:rsidRPr="00F45E58" w:rsidRDefault="00F45E58" w:rsidP="00F45E58">
            <w:pPr>
              <w:spacing w:after="0" w:line="240" w:lineRule="auto"/>
              <w:jc w:val="both"/>
              <w:rPr>
                <w:rFonts w:ascii="Times New Roman" w:eastAsia="Times New Roman" w:hAnsi="Times New Roman" w:cs="Times New Roman"/>
                <w:lang w:val="en-GB" w:eastAsia="hu-HU"/>
              </w:rPr>
            </w:pPr>
          </w:p>
        </w:tc>
        <w:tc>
          <w:tcPr>
            <w:tcW w:w="2597" w:type="dxa"/>
          </w:tcPr>
          <w:p w:rsidR="00F45E58" w:rsidRPr="00F45E58" w:rsidRDefault="00F45E58" w:rsidP="00F45E58">
            <w:pPr>
              <w:spacing w:after="0" w:line="240" w:lineRule="auto"/>
              <w:jc w:val="both"/>
              <w:rPr>
                <w:rFonts w:ascii="Times New Roman" w:eastAsia="Times New Roman" w:hAnsi="Times New Roman" w:cs="Times New Roman"/>
                <w:lang w:val="en-GB" w:eastAsia="hu-HU"/>
              </w:rPr>
            </w:pPr>
          </w:p>
        </w:tc>
      </w:tr>
    </w:tbl>
    <w:p w:rsidR="00F45E58" w:rsidRPr="00F45E58" w:rsidRDefault="00F45E58" w:rsidP="00F45E58">
      <w:pPr>
        <w:widowControl w:val="0"/>
        <w:spacing w:before="120" w:after="120" w:line="240" w:lineRule="auto"/>
        <w:ind w:left="426" w:hanging="142"/>
        <w:jc w:val="center"/>
        <w:rPr>
          <w:rFonts w:ascii="Times New Roman" w:eastAsia="Times New Roman" w:hAnsi="Times New Roman" w:cs="Times New Roman"/>
          <w:b/>
          <w:bCs/>
          <w:lang w:val="en-GB"/>
        </w:rPr>
      </w:pPr>
    </w:p>
    <w:p w:rsidR="00F45E58" w:rsidRPr="00F45E58" w:rsidRDefault="00F45E58" w:rsidP="00F45E58">
      <w:pPr>
        <w:widowControl w:val="0"/>
        <w:spacing w:before="120" w:after="120" w:line="240" w:lineRule="auto"/>
        <w:ind w:left="426" w:hanging="142"/>
        <w:jc w:val="center"/>
        <w:rPr>
          <w:rFonts w:ascii="Times New Roman" w:eastAsia="Times New Roman" w:hAnsi="Times New Roman" w:cs="Times New Roman"/>
          <w:b/>
          <w:bCs/>
          <w:lang w:val="en-GB"/>
        </w:rPr>
      </w:pPr>
      <w:r w:rsidRPr="00F45E58">
        <w:rPr>
          <w:rFonts w:ascii="Times New Roman" w:eastAsia="Times New Roman" w:hAnsi="Times New Roman" w:cs="Times New Roman"/>
          <w:b/>
          <w:bCs/>
          <w:lang w:val="en-GB"/>
        </w:rPr>
        <w:t>CURRICULUM</w:t>
      </w:r>
    </w:p>
    <w:p w:rsidR="00F45E58" w:rsidRPr="00F45E58" w:rsidRDefault="00F45E58" w:rsidP="00980876">
      <w:pPr>
        <w:widowControl w:val="0"/>
        <w:numPr>
          <w:ilvl w:val="0"/>
          <w:numId w:val="429"/>
        </w:numPr>
        <w:tabs>
          <w:tab w:val="num" w:pos="426"/>
        </w:tabs>
        <w:spacing w:before="120" w:after="120" w:line="240" w:lineRule="auto"/>
        <w:ind w:hanging="436"/>
        <w:jc w:val="both"/>
        <w:rPr>
          <w:rFonts w:ascii="Times New Roman" w:eastAsia="Times New Roman" w:hAnsi="Times New Roman" w:cs="Times New Roman"/>
          <w:bCs/>
          <w:lang w:val="en-GB"/>
        </w:rPr>
      </w:pPr>
      <w:r w:rsidRPr="00F45E58">
        <w:rPr>
          <w:rFonts w:ascii="Times New Roman" w:eastAsia="Times New Roman" w:hAnsi="Times New Roman" w:cs="Times New Roman"/>
          <w:b/>
          <w:bCs/>
          <w:lang w:val="en-GB"/>
        </w:rPr>
        <w:t xml:space="preserve">Code of subject: </w:t>
      </w:r>
      <w:r w:rsidRPr="00F45E58">
        <w:rPr>
          <w:rFonts w:ascii="Times New Roman" w:eastAsia="Times New Roman" w:hAnsi="Times New Roman" w:cs="Times New Roman"/>
          <w:lang w:val="en-GB" w:eastAsia="hu-HU"/>
        </w:rPr>
        <w:t>HKHDTA39</w:t>
      </w:r>
    </w:p>
    <w:p w:rsidR="00F45E58" w:rsidRPr="00F45E58" w:rsidRDefault="00F45E58" w:rsidP="00980876">
      <w:pPr>
        <w:widowControl w:val="0"/>
        <w:numPr>
          <w:ilvl w:val="0"/>
          <w:numId w:val="429"/>
        </w:numPr>
        <w:tabs>
          <w:tab w:val="num" w:pos="426"/>
        </w:tabs>
        <w:spacing w:before="120" w:after="120" w:line="240" w:lineRule="auto"/>
        <w:ind w:hanging="436"/>
        <w:jc w:val="both"/>
        <w:rPr>
          <w:rFonts w:ascii="Times New Roman" w:eastAsia="Times New Roman" w:hAnsi="Times New Roman" w:cs="Times New Roman"/>
          <w:b/>
          <w:bCs/>
          <w:lang w:val="en-GB"/>
        </w:rPr>
      </w:pPr>
      <w:r w:rsidRPr="00F45E58">
        <w:rPr>
          <w:rFonts w:ascii="Times New Roman" w:eastAsia="Times New Roman" w:hAnsi="Times New Roman" w:cs="Times New Roman"/>
          <w:b/>
          <w:bCs/>
          <w:lang w:val="en-GB"/>
        </w:rPr>
        <w:t xml:space="preserve">Name of subject: </w:t>
      </w:r>
      <w:r w:rsidRPr="00F45E58">
        <w:rPr>
          <w:rFonts w:ascii="Times New Roman" w:eastAsia="Times New Roman" w:hAnsi="Times New Roman" w:cs="Times New Roman"/>
          <w:lang w:val="en-GB" w:eastAsia="hu-HU"/>
        </w:rPr>
        <w:t>Machine element design</w:t>
      </w:r>
      <w:r w:rsidR="00AB6F0A">
        <w:rPr>
          <w:rFonts w:ascii="Times New Roman" w:eastAsia="Times New Roman" w:hAnsi="Times New Roman" w:cs="Times New Roman"/>
          <w:lang w:val="en-GB" w:eastAsia="hu-HU"/>
        </w:rPr>
        <w:t xml:space="preserve"> (</w:t>
      </w:r>
      <w:r w:rsidR="00AB6F0A" w:rsidRPr="00AB6F0A">
        <w:rPr>
          <w:rFonts w:ascii="Times New Roman" w:hAnsi="Times New Roman" w:cs="Times New Roman"/>
          <w:i/>
          <w:lang w:val="en-GB" w:eastAsia="hu-HU"/>
        </w:rPr>
        <w:t>The language of the course is English</w:t>
      </w:r>
      <w:r w:rsidR="00AB6F0A">
        <w:rPr>
          <w:rFonts w:ascii="Times New Roman" w:hAnsi="Times New Roman" w:cs="Times New Roman"/>
          <w:lang w:val="en-GB" w:eastAsia="hu-HU"/>
        </w:rPr>
        <w:t>)</w:t>
      </w:r>
    </w:p>
    <w:p w:rsidR="00F45E58" w:rsidRPr="00F45E58" w:rsidRDefault="00F45E58" w:rsidP="00980876">
      <w:pPr>
        <w:widowControl w:val="0"/>
        <w:numPr>
          <w:ilvl w:val="0"/>
          <w:numId w:val="429"/>
        </w:numPr>
        <w:tabs>
          <w:tab w:val="num" w:pos="567"/>
        </w:tabs>
        <w:spacing w:before="120" w:after="120" w:line="240" w:lineRule="auto"/>
        <w:ind w:left="426" w:hanging="142"/>
        <w:jc w:val="both"/>
        <w:rPr>
          <w:rFonts w:ascii="Times New Roman" w:eastAsia="Times New Roman" w:hAnsi="Times New Roman" w:cs="Times New Roman"/>
          <w:b/>
          <w:bCs/>
          <w:lang w:val="en-GB"/>
        </w:rPr>
      </w:pPr>
      <w:r w:rsidRPr="00F45E58">
        <w:rPr>
          <w:rFonts w:ascii="Times New Roman" w:eastAsia="Times New Roman" w:hAnsi="Times New Roman" w:cs="Times New Roman"/>
          <w:b/>
          <w:bCs/>
          <w:lang w:val="en-GB"/>
        </w:rPr>
        <w:t xml:space="preserve">Credit value and course structure: </w:t>
      </w:r>
    </w:p>
    <w:p w:rsidR="00F45E58" w:rsidRPr="00F45E58" w:rsidRDefault="00F45E58" w:rsidP="00980876">
      <w:pPr>
        <w:widowControl w:val="0"/>
        <w:numPr>
          <w:ilvl w:val="1"/>
          <w:numId w:val="429"/>
        </w:numPr>
        <w:spacing w:before="120" w:after="120" w:line="240" w:lineRule="auto"/>
        <w:ind w:left="993" w:hanging="426"/>
        <w:contextualSpacing/>
        <w:jc w:val="both"/>
        <w:rPr>
          <w:rFonts w:ascii="Times New Roman" w:eastAsia="Times New Roman" w:hAnsi="Times New Roman" w:cs="Times New Roman"/>
          <w:b/>
          <w:bCs/>
          <w:lang w:val="en-GB"/>
        </w:rPr>
      </w:pPr>
      <w:r w:rsidRPr="00F45E58">
        <w:rPr>
          <w:rFonts w:ascii="Times New Roman" w:eastAsia="Times New Roman" w:hAnsi="Times New Roman" w:cs="Times New Roman"/>
          <w:lang w:val="en-GB" w:eastAsia="hu-HU"/>
        </w:rPr>
        <w:t>2</w:t>
      </w:r>
      <w:r w:rsidRPr="00F45E58">
        <w:rPr>
          <w:rFonts w:ascii="Times New Roman" w:eastAsia="Times New Roman" w:hAnsi="Times New Roman" w:cs="Times New Roman"/>
          <w:bCs/>
          <w:lang w:val="en-GB"/>
        </w:rPr>
        <w:t xml:space="preserve"> credit</w:t>
      </w:r>
    </w:p>
    <w:p w:rsidR="00F45E58" w:rsidRPr="00F45E58" w:rsidRDefault="00F45E58" w:rsidP="00980876">
      <w:pPr>
        <w:widowControl w:val="0"/>
        <w:numPr>
          <w:ilvl w:val="1"/>
          <w:numId w:val="429"/>
        </w:numPr>
        <w:spacing w:before="120" w:after="120" w:line="240" w:lineRule="auto"/>
        <w:ind w:left="993" w:hanging="426"/>
        <w:contextualSpacing/>
        <w:jc w:val="both"/>
        <w:rPr>
          <w:rFonts w:ascii="Times New Roman" w:eastAsia="Times New Roman" w:hAnsi="Times New Roman" w:cs="Times New Roman"/>
          <w:b/>
          <w:bCs/>
          <w:lang w:val="en-GB"/>
        </w:rPr>
      </w:pPr>
      <w:r w:rsidRPr="00F45E58">
        <w:rPr>
          <w:rFonts w:ascii="Times New Roman" w:eastAsia="Times New Roman" w:hAnsi="Times New Roman" w:cs="Times New Roman"/>
          <w:bCs/>
          <w:lang w:val="en-GB"/>
        </w:rPr>
        <w:t xml:space="preserve">ratio of lectures and seminars: </w:t>
      </w:r>
      <w:r w:rsidRPr="00F45E58">
        <w:rPr>
          <w:rFonts w:ascii="Times New Roman" w:eastAsia="Times New Roman" w:hAnsi="Times New Roman" w:cs="Times New Roman"/>
          <w:lang w:val="en-GB" w:eastAsia="hu-HU"/>
        </w:rPr>
        <w:t>50</w:t>
      </w:r>
      <w:r w:rsidRPr="00F45E58">
        <w:rPr>
          <w:rFonts w:ascii="Times New Roman" w:eastAsia="Times New Roman" w:hAnsi="Times New Roman" w:cs="Times New Roman"/>
          <w:bCs/>
          <w:lang w:val="en-GB"/>
        </w:rPr>
        <w:t xml:space="preserve">% lecture, </w:t>
      </w:r>
      <w:r w:rsidRPr="00F45E58">
        <w:rPr>
          <w:rFonts w:ascii="Times New Roman" w:eastAsia="Times New Roman" w:hAnsi="Times New Roman" w:cs="Times New Roman"/>
          <w:lang w:val="en-GB" w:eastAsia="hu-HU"/>
        </w:rPr>
        <w:t>50</w:t>
      </w:r>
      <w:r w:rsidRPr="00F45E58">
        <w:rPr>
          <w:rFonts w:ascii="Times New Roman" w:eastAsia="Times New Roman" w:hAnsi="Times New Roman" w:cs="Times New Roman"/>
          <w:bCs/>
          <w:lang w:val="en-GB"/>
        </w:rPr>
        <w:t>% seminar</w:t>
      </w:r>
    </w:p>
    <w:p w:rsidR="00F45E58" w:rsidRPr="00F45E58" w:rsidRDefault="00F45E58" w:rsidP="00980876">
      <w:pPr>
        <w:widowControl w:val="0"/>
        <w:numPr>
          <w:ilvl w:val="0"/>
          <w:numId w:val="429"/>
        </w:numPr>
        <w:spacing w:before="120" w:after="120" w:line="240" w:lineRule="auto"/>
        <w:ind w:left="426" w:hanging="142"/>
        <w:jc w:val="both"/>
        <w:rPr>
          <w:rFonts w:ascii="Times New Roman" w:eastAsia="Times New Roman" w:hAnsi="Times New Roman" w:cs="Times New Roman"/>
          <w:bCs/>
          <w:lang w:val="en-GB"/>
        </w:rPr>
      </w:pPr>
      <w:r w:rsidRPr="00F45E58">
        <w:rPr>
          <w:rFonts w:ascii="Times New Roman" w:eastAsia="Times New Roman" w:hAnsi="Times New Roman" w:cs="Times New Roman"/>
          <w:b/>
          <w:bCs/>
          <w:lang w:val="en-GB"/>
        </w:rPr>
        <w:t>Name of major(s), specializations (where it is taught):</w:t>
      </w:r>
      <w:r w:rsidRPr="00F45E58">
        <w:rPr>
          <w:rFonts w:ascii="Times New Roman" w:eastAsia="Times New Roman" w:hAnsi="Times New Roman" w:cs="Times New Roman"/>
          <w:bCs/>
          <w:lang w:val="en-GB"/>
        </w:rPr>
        <w:t xml:space="preserve"> </w:t>
      </w:r>
      <w:r w:rsidRPr="00F45E58">
        <w:rPr>
          <w:rFonts w:ascii="Times New Roman" w:eastAsia="Times New Roman" w:hAnsi="Times New Roman" w:cs="Times New Roman"/>
          <w:color w:val="000000"/>
          <w:lang w:val="en-GB"/>
        </w:rPr>
        <w:t>Military Logistics</w:t>
      </w:r>
      <w:r w:rsidRPr="00F45E58">
        <w:rPr>
          <w:rFonts w:ascii="Times New Roman" w:eastAsia="Times New Roman" w:hAnsi="Times New Roman" w:cs="Times New Roman"/>
          <w:highlight w:val="lightGray"/>
          <w:lang w:val="en-GB" w:eastAsia="hu-HU"/>
        </w:rPr>
        <w:t xml:space="preserve"> </w:t>
      </w:r>
    </w:p>
    <w:p w:rsidR="00F45E58" w:rsidRPr="00F45E58" w:rsidRDefault="00F45E58" w:rsidP="00980876">
      <w:pPr>
        <w:widowControl w:val="0"/>
        <w:numPr>
          <w:ilvl w:val="0"/>
          <w:numId w:val="429"/>
        </w:numPr>
        <w:tabs>
          <w:tab w:val="num" w:pos="567"/>
        </w:tabs>
        <w:spacing w:before="120" w:after="120" w:line="240" w:lineRule="auto"/>
        <w:ind w:left="426" w:hanging="142"/>
        <w:jc w:val="both"/>
        <w:rPr>
          <w:rFonts w:ascii="Times New Roman" w:eastAsia="Times New Roman" w:hAnsi="Times New Roman" w:cs="Times New Roman"/>
          <w:bCs/>
          <w:lang w:val="en-GB"/>
        </w:rPr>
      </w:pPr>
      <w:r w:rsidRPr="00F45E58">
        <w:rPr>
          <w:rFonts w:ascii="Times New Roman" w:eastAsia="Times New Roman" w:hAnsi="Times New Roman" w:cs="Times New Roman"/>
          <w:b/>
          <w:bCs/>
          <w:lang w:val="en-GB"/>
        </w:rPr>
        <w:t>Name of organizational unit responsible for its education:</w:t>
      </w:r>
      <w:r w:rsidRPr="00F45E58">
        <w:rPr>
          <w:rFonts w:ascii="Times New Roman" w:eastAsia="Times New Roman" w:hAnsi="Times New Roman" w:cs="Times New Roman"/>
          <w:bCs/>
          <w:lang w:val="en-GB"/>
        </w:rPr>
        <w:t xml:space="preserve"> Department of Military Technology</w:t>
      </w:r>
    </w:p>
    <w:p w:rsidR="00F45E58" w:rsidRPr="00F45E58" w:rsidRDefault="00F45E58" w:rsidP="00980876">
      <w:pPr>
        <w:widowControl w:val="0"/>
        <w:numPr>
          <w:ilvl w:val="0"/>
          <w:numId w:val="429"/>
        </w:numPr>
        <w:tabs>
          <w:tab w:val="num" w:pos="426"/>
        </w:tabs>
        <w:spacing w:before="120" w:after="120" w:line="240" w:lineRule="auto"/>
        <w:ind w:hanging="436"/>
        <w:jc w:val="both"/>
        <w:rPr>
          <w:rFonts w:ascii="Times New Roman" w:eastAsia="Times New Roman" w:hAnsi="Times New Roman" w:cs="Times New Roman"/>
          <w:bCs/>
          <w:lang w:val="en-GB"/>
        </w:rPr>
      </w:pPr>
      <w:r w:rsidRPr="00F45E58">
        <w:rPr>
          <w:rFonts w:ascii="Times New Roman" w:eastAsia="Times New Roman" w:hAnsi="Times New Roman" w:cs="Times New Roman"/>
          <w:b/>
          <w:bCs/>
          <w:lang w:val="en-GB"/>
        </w:rPr>
        <w:t>Name, position, academic degree of tutor responsible for the curriculum:</w:t>
      </w:r>
      <w:r w:rsidRPr="00F45E58">
        <w:rPr>
          <w:rFonts w:ascii="Times New Roman" w:eastAsia="Times New Roman" w:hAnsi="Times New Roman" w:cs="Times New Roman"/>
          <w:bCs/>
          <w:lang w:val="en-GB"/>
        </w:rPr>
        <w:t xml:space="preserve"> </w:t>
      </w:r>
      <w:r w:rsidRPr="00F45E58">
        <w:rPr>
          <w:rFonts w:ascii="Times New Roman" w:eastAsia="Times New Roman" w:hAnsi="Times New Roman" w:cs="Times New Roman"/>
          <w:color w:val="000000"/>
          <w:lang w:val="en-GB"/>
        </w:rPr>
        <w:t>Military Logistic</w:t>
      </w:r>
      <w:r w:rsidRPr="00F45E58">
        <w:rPr>
          <w:rFonts w:ascii="Times New Roman" w:eastAsia="Times New Roman" w:hAnsi="Times New Roman" w:cs="Times New Roman"/>
          <w:highlight w:val="lightGray"/>
          <w:lang w:val="en-GB" w:eastAsia="hu-HU"/>
        </w:rPr>
        <w:t xml:space="preserve">, </w:t>
      </w:r>
      <w:r w:rsidR="00137B8A">
        <w:rPr>
          <w:rFonts w:ascii="Times New Roman" w:eastAsia="Times New Roman" w:hAnsi="Times New Roman" w:cs="Times New Roman"/>
          <w:highlight w:val="lightGray"/>
          <w:lang w:val="en-GB" w:eastAsia="hu-HU"/>
        </w:rPr>
        <w:t>BSc</w:t>
      </w:r>
      <w:r w:rsidRPr="00F45E58">
        <w:rPr>
          <w:rFonts w:ascii="Times New Roman" w:eastAsia="Times New Roman" w:hAnsi="Times New Roman" w:cs="Times New Roman"/>
          <w:highlight w:val="lightGray"/>
          <w:lang w:val="en-GB" w:eastAsia="hu-HU"/>
        </w:rPr>
        <w:t xml:space="preserve">, </w:t>
      </w:r>
    </w:p>
    <w:p w:rsidR="00F45E58" w:rsidRPr="00F45E58" w:rsidRDefault="00F45E58" w:rsidP="00980876">
      <w:pPr>
        <w:widowControl w:val="0"/>
        <w:numPr>
          <w:ilvl w:val="0"/>
          <w:numId w:val="429"/>
        </w:numPr>
        <w:spacing w:before="120" w:after="120" w:line="240" w:lineRule="auto"/>
        <w:ind w:left="426" w:hanging="142"/>
        <w:jc w:val="both"/>
        <w:rPr>
          <w:rFonts w:ascii="Times New Roman" w:eastAsia="Times New Roman" w:hAnsi="Times New Roman" w:cs="Times New Roman"/>
          <w:bCs/>
          <w:lang w:val="en-GB"/>
        </w:rPr>
      </w:pPr>
      <w:r w:rsidRPr="00F45E58">
        <w:rPr>
          <w:rFonts w:ascii="Times New Roman" w:eastAsia="Times New Roman" w:hAnsi="Times New Roman" w:cs="Times New Roman"/>
          <w:b/>
          <w:bCs/>
          <w:lang w:val="en-GB"/>
        </w:rPr>
        <w:t>Number and types of classes</w:t>
      </w:r>
    </w:p>
    <w:p w:rsidR="00F45E58" w:rsidRPr="00F45E58" w:rsidRDefault="00F45E58" w:rsidP="00980876">
      <w:pPr>
        <w:widowControl w:val="0"/>
        <w:numPr>
          <w:ilvl w:val="1"/>
          <w:numId w:val="429"/>
        </w:numPr>
        <w:tabs>
          <w:tab w:val="num" w:pos="709"/>
          <w:tab w:val="num" w:pos="2069"/>
        </w:tabs>
        <w:spacing w:before="120" w:after="120" w:line="240" w:lineRule="auto"/>
        <w:ind w:left="851" w:hanging="425"/>
        <w:jc w:val="both"/>
        <w:rPr>
          <w:rFonts w:ascii="Times New Roman" w:eastAsia="Times New Roman" w:hAnsi="Times New Roman" w:cs="Times New Roman"/>
          <w:bCs/>
          <w:lang w:val="en-GB"/>
        </w:rPr>
      </w:pPr>
      <w:r w:rsidRPr="00F45E58">
        <w:rPr>
          <w:rFonts w:ascii="Times New Roman" w:eastAsia="Times New Roman" w:hAnsi="Times New Roman" w:cs="Times New Roman"/>
          <w:bCs/>
          <w:lang w:val="en-GB"/>
        </w:rPr>
        <w:t>full number of classes/semester: 28</w:t>
      </w:r>
    </w:p>
    <w:p w:rsidR="00F45E58" w:rsidRPr="00F45E58" w:rsidRDefault="00F45E58" w:rsidP="00980876">
      <w:pPr>
        <w:widowControl w:val="0"/>
        <w:numPr>
          <w:ilvl w:val="2"/>
          <w:numId w:val="429"/>
        </w:numPr>
        <w:tabs>
          <w:tab w:val="clear" w:pos="1800"/>
          <w:tab w:val="num" w:pos="709"/>
        </w:tabs>
        <w:spacing w:before="120" w:after="120" w:line="240" w:lineRule="auto"/>
        <w:ind w:left="1134" w:hanging="425"/>
        <w:jc w:val="both"/>
        <w:rPr>
          <w:rFonts w:ascii="Times New Roman" w:eastAsia="Times New Roman" w:hAnsi="Times New Roman" w:cs="Times New Roman"/>
          <w:bCs/>
          <w:lang w:val="en-GB"/>
        </w:rPr>
      </w:pPr>
      <w:r w:rsidRPr="00F45E58">
        <w:rPr>
          <w:rFonts w:ascii="Times New Roman" w:eastAsia="Times New Roman" w:hAnsi="Times New Roman" w:cs="Times New Roman"/>
          <w:bCs/>
          <w:lang w:val="en-GB"/>
        </w:rPr>
        <w:t xml:space="preserve">Full time course: </w:t>
      </w:r>
      <w:r w:rsidRPr="00F45E58">
        <w:rPr>
          <w:rFonts w:ascii="Times New Roman" w:eastAsia="Times New Roman" w:hAnsi="Times New Roman" w:cs="Times New Roman"/>
          <w:lang w:val="en-GB" w:eastAsia="hu-HU"/>
        </w:rPr>
        <w:t>28</w:t>
      </w:r>
      <w:r w:rsidRPr="00F45E58">
        <w:rPr>
          <w:rFonts w:ascii="Times New Roman" w:eastAsia="Times New Roman" w:hAnsi="Times New Roman" w:cs="Times New Roman"/>
          <w:bCs/>
          <w:lang w:val="en-GB"/>
        </w:rPr>
        <w:t xml:space="preserve"> (</w:t>
      </w:r>
      <w:r w:rsidRPr="00F45E58">
        <w:rPr>
          <w:rFonts w:ascii="Times New Roman" w:eastAsia="Times New Roman" w:hAnsi="Times New Roman" w:cs="Times New Roman"/>
          <w:lang w:val="en-GB" w:eastAsia="hu-HU"/>
        </w:rPr>
        <w:t>14</w:t>
      </w:r>
      <w:r w:rsidRPr="00F45E58">
        <w:rPr>
          <w:rFonts w:ascii="Times New Roman" w:eastAsia="Times New Roman" w:hAnsi="Times New Roman" w:cs="Times New Roman"/>
          <w:bCs/>
          <w:lang w:val="en-GB"/>
        </w:rPr>
        <w:t xml:space="preserve"> LEC + </w:t>
      </w:r>
      <w:r w:rsidRPr="00F45E58">
        <w:rPr>
          <w:rFonts w:ascii="Times New Roman" w:eastAsia="Times New Roman" w:hAnsi="Times New Roman" w:cs="Times New Roman"/>
          <w:lang w:val="en-GB" w:eastAsia="hu-HU"/>
        </w:rPr>
        <w:t>14</w:t>
      </w:r>
      <w:r w:rsidRPr="00F45E58">
        <w:rPr>
          <w:rFonts w:ascii="Times New Roman" w:eastAsia="Times New Roman" w:hAnsi="Times New Roman" w:cs="Times New Roman"/>
          <w:bCs/>
          <w:lang w:val="en-GB"/>
        </w:rPr>
        <w:t xml:space="preserve"> SEM)</w:t>
      </w:r>
    </w:p>
    <w:p w:rsidR="00F45E58" w:rsidRPr="00F45E58" w:rsidRDefault="00F45E58" w:rsidP="00980876">
      <w:pPr>
        <w:widowControl w:val="0"/>
        <w:numPr>
          <w:ilvl w:val="2"/>
          <w:numId w:val="429"/>
        </w:numPr>
        <w:tabs>
          <w:tab w:val="clear" w:pos="1800"/>
          <w:tab w:val="num" w:pos="709"/>
        </w:tabs>
        <w:spacing w:before="120" w:after="120" w:line="240" w:lineRule="auto"/>
        <w:ind w:left="1134" w:hanging="425"/>
        <w:jc w:val="both"/>
        <w:rPr>
          <w:rFonts w:ascii="Times New Roman" w:eastAsia="Times New Roman" w:hAnsi="Times New Roman" w:cs="Times New Roman"/>
          <w:bCs/>
          <w:lang w:val="en-GB"/>
        </w:rPr>
      </w:pPr>
      <w:r w:rsidRPr="00F45E58">
        <w:rPr>
          <w:rFonts w:ascii="Times New Roman" w:eastAsia="Times New Roman" w:hAnsi="Times New Roman" w:cs="Times New Roman"/>
          <w:bCs/>
          <w:lang w:val="en-GB"/>
        </w:rPr>
        <w:t xml:space="preserve">Correspondence course: </w:t>
      </w:r>
      <w:r w:rsidRPr="00F45E58">
        <w:rPr>
          <w:rFonts w:ascii="Times New Roman" w:eastAsia="Times New Roman" w:hAnsi="Times New Roman" w:cs="Times New Roman"/>
          <w:lang w:val="en-GB" w:eastAsia="hu-HU"/>
        </w:rPr>
        <w:t>12</w:t>
      </w:r>
      <w:r w:rsidRPr="00F45E58">
        <w:rPr>
          <w:rFonts w:ascii="Times New Roman" w:eastAsia="Times New Roman" w:hAnsi="Times New Roman" w:cs="Times New Roman"/>
          <w:bCs/>
          <w:lang w:val="en-GB"/>
        </w:rPr>
        <w:t xml:space="preserve"> (</w:t>
      </w:r>
      <w:r w:rsidRPr="00F45E58">
        <w:rPr>
          <w:rFonts w:ascii="Times New Roman" w:eastAsia="Times New Roman" w:hAnsi="Times New Roman" w:cs="Times New Roman"/>
          <w:lang w:val="en-GB" w:eastAsia="hu-HU"/>
        </w:rPr>
        <w:t>6</w:t>
      </w:r>
      <w:r w:rsidRPr="00F45E58">
        <w:rPr>
          <w:rFonts w:ascii="Times New Roman" w:eastAsia="Times New Roman" w:hAnsi="Times New Roman" w:cs="Times New Roman"/>
          <w:bCs/>
          <w:lang w:val="en-GB"/>
        </w:rPr>
        <w:t xml:space="preserve"> LEC + </w:t>
      </w:r>
      <w:r w:rsidRPr="00F45E58">
        <w:rPr>
          <w:rFonts w:ascii="Times New Roman" w:eastAsia="Times New Roman" w:hAnsi="Times New Roman" w:cs="Times New Roman"/>
          <w:lang w:val="en-GB" w:eastAsia="hu-HU"/>
        </w:rPr>
        <w:t>6</w:t>
      </w:r>
      <w:r w:rsidRPr="00F45E58">
        <w:rPr>
          <w:rFonts w:ascii="Times New Roman" w:eastAsia="Times New Roman" w:hAnsi="Times New Roman" w:cs="Times New Roman"/>
          <w:bCs/>
          <w:lang w:val="en-GB"/>
        </w:rPr>
        <w:t xml:space="preserve"> SEM)</w:t>
      </w:r>
    </w:p>
    <w:p w:rsidR="00F45E58" w:rsidRPr="00F45E58" w:rsidRDefault="00F45E58" w:rsidP="00980876">
      <w:pPr>
        <w:widowControl w:val="0"/>
        <w:numPr>
          <w:ilvl w:val="1"/>
          <w:numId w:val="429"/>
        </w:numPr>
        <w:tabs>
          <w:tab w:val="num" w:pos="709"/>
          <w:tab w:val="num" w:pos="2069"/>
        </w:tabs>
        <w:spacing w:before="120" w:after="120" w:line="240" w:lineRule="auto"/>
        <w:ind w:left="851" w:hanging="425"/>
        <w:jc w:val="both"/>
        <w:rPr>
          <w:rFonts w:ascii="Times New Roman" w:eastAsia="Times New Roman" w:hAnsi="Times New Roman" w:cs="Times New Roman"/>
          <w:bCs/>
          <w:lang w:val="en-GB"/>
        </w:rPr>
      </w:pPr>
      <w:r w:rsidRPr="00F45E58">
        <w:rPr>
          <w:rFonts w:ascii="Times New Roman" w:eastAsia="Times New Roman" w:hAnsi="Times New Roman" w:cs="Times New Roman"/>
          <w:bCs/>
          <w:lang w:val="en-GB"/>
        </w:rPr>
        <w:t xml:space="preserve">weekly number of classes - full time course: </w:t>
      </w:r>
      <w:r w:rsidRPr="00F45E58">
        <w:rPr>
          <w:rFonts w:ascii="Times New Roman" w:eastAsia="Times New Roman" w:hAnsi="Times New Roman" w:cs="Times New Roman"/>
          <w:lang w:val="en-GB" w:eastAsia="hu-HU"/>
        </w:rPr>
        <w:t>2</w:t>
      </w:r>
      <w:r w:rsidRPr="00F45E58">
        <w:rPr>
          <w:rFonts w:ascii="Times New Roman" w:eastAsia="Times New Roman" w:hAnsi="Times New Roman" w:cs="Times New Roman"/>
          <w:bCs/>
          <w:lang w:val="en-GB"/>
        </w:rPr>
        <w:t xml:space="preserve"> (</w:t>
      </w:r>
      <w:r w:rsidRPr="00F45E58">
        <w:rPr>
          <w:rFonts w:ascii="Times New Roman" w:eastAsia="Times New Roman" w:hAnsi="Times New Roman" w:cs="Times New Roman"/>
          <w:lang w:val="en-GB" w:eastAsia="hu-HU"/>
        </w:rPr>
        <w:t>1</w:t>
      </w:r>
      <w:r w:rsidRPr="00F45E58">
        <w:rPr>
          <w:rFonts w:ascii="Times New Roman" w:eastAsia="Times New Roman" w:hAnsi="Times New Roman" w:cs="Times New Roman"/>
          <w:bCs/>
          <w:lang w:val="en-GB"/>
        </w:rPr>
        <w:t xml:space="preserve"> LEC + </w:t>
      </w:r>
      <w:r w:rsidRPr="00F45E58">
        <w:rPr>
          <w:rFonts w:ascii="Times New Roman" w:eastAsia="Times New Roman" w:hAnsi="Times New Roman" w:cs="Times New Roman"/>
          <w:lang w:val="en-GB" w:eastAsia="hu-HU"/>
        </w:rPr>
        <w:t>1</w:t>
      </w:r>
      <w:r w:rsidRPr="00F45E58">
        <w:rPr>
          <w:rFonts w:ascii="Times New Roman" w:eastAsia="Times New Roman" w:hAnsi="Times New Roman" w:cs="Times New Roman"/>
          <w:bCs/>
          <w:lang w:val="en-GB"/>
        </w:rPr>
        <w:t xml:space="preserve"> SEM)</w:t>
      </w:r>
    </w:p>
    <w:p w:rsidR="00F45E58" w:rsidRPr="00F45E58" w:rsidRDefault="00F45E58" w:rsidP="00980876">
      <w:pPr>
        <w:widowControl w:val="0"/>
        <w:numPr>
          <w:ilvl w:val="1"/>
          <w:numId w:val="429"/>
        </w:numPr>
        <w:tabs>
          <w:tab w:val="num" w:pos="709"/>
          <w:tab w:val="num" w:pos="2069"/>
        </w:tabs>
        <w:spacing w:before="120" w:after="120" w:line="240" w:lineRule="auto"/>
        <w:ind w:left="851" w:hanging="425"/>
        <w:jc w:val="both"/>
        <w:rPr>
          <w:rFonts w:ascii="Times New Roman" w:eastAsia="Times New Roman" w:hAnsi="Times New Roman" w:cs="Times New Roman"/>
          <w:bCs/>
          <w:lang w:val="en-GB"/>
        </w:rPr>
      </w:pPr>
      <w:r w:rsidRPr="00F45E58">
        <w:rPr>
          <w:rFonts w:ascii="Times New Roman" w:eastAsia="Times New Roman" w:hAnsi="Times New Roman" w:cs="Times New Roman"/>
          <w:bCs/>
          <w:lang w:val="en-GB"/>
        </w:rPr>
        <w:t>Further</w:t>
      </w:r>
      <w:r w:rsidRPr="00F45E58">
        <w:rPr>
          <w:rFonts w:ascii="Times New Roman" w:eastAsia="Calibri" w:hAnsi="Times New Roman" w:cs="Times New Roman"/>
          <w:lang w:val="en-GB"/>
        </w:rPr>
        <w:t xml:space="preserve"> special or unique methods applied throughout of the course: material testing</w:t>
      </w:r>
    </w:p>
    <w:p w:rsidR="00F45E58" w:rsidRPr="00F45E58" w:rsidRDefault="00F45E58" w:rsidP="00980876">
      <w:pPr>
        <w:widowControl w:val="0"/>
        <w:numPr>
          <w:ilvl w:val="0"/>
          <w:numId w:val="429"/>
        </w:numPr>
        <w:spacing w:before="120" w:after="120" w:line="240" w:lineRule="auto"/>
        <w:ind w:left="426" w:hanging="142"/>
        <w:jc w:val="both"/>
        <w:rPr>
          <w:rFonts w:ascii="Times New Roman" w:eastAsia="Times New Roman" w:hAnsi="Times New Roman" w:cs="Times New Roman"/>
          <w:bCs/>
          <w:lang w:val="en-GB"/>
        </w:rPr>
      </w:pPr>
      <w:r w:rsidRPr="00F45E58">
        <w:rPr>
          <w:rFonts w:ascii="Times New Roman" w:eastAsia="Times New Roman" w:hAnsi="Times New Roman" w:cs="Times New Roman"/>
          <w:b/>
          <w:bCs/>
          <w:lang w:val="en-GB"/>
        </w:rPr>
        <w:t xml:space="preserve">The academic content of the subject: </w:t>
      </w:r>
      <w:r w:rsidRPr="00F45E58">
        <w:rPr>
          <w:rFonts w:ascii="Times New Roman" w:eastAsia="Calibri" w:hAnsi="Times New Roman" w:cs="Times New Roman"/>
          <w:bCs/>
          <w:sz w:val="24"/>
          <w:szCs w:val="24"/>
          <w:lang w:val="en-GB"/>
        </w:rPr>
        <w:t>The basic of machine element design. The most important machine elements: fasteners, connections, shafts and hub, bearings. Classification of the machine elements, and the basic of its design. Power screw design. Bearing selection based on the expected life hours</w:t>
      </w:r>
      <w:r w:rsidRPr="00F45E58">
        <w:rPr>
          <w:rFonts w:ascii="Calibri" w:eastAsia="Calibri" w:hAnsi="Calibri" w:cs="Times New Roman"/>
          <w:bCs/>
          <w:sz w:val="24"/>
          <w:szCs w:val="24"/>
          <w:lang w:val="en-GB"/>
        </w:rPr>
        <w:t>.</w:t>
      </w:r>
    </w:p>
    <w:p w:rsidR="00F45E58" w:rsidRPr="00F45E58" w:rsidRDefault="00F45E58" w:rsidP="00980876">
      <w:pPr>
        <w:widowControl w:val="0"/>
        <w:numPr>
          <w:ilvl w:val="0"/>
          <w:numId w:val="429"/>
        </w:numPr>
        <w:spacing w:before="120" w:after="120" w:line="240" w:lineRule="auto"/>
        <w:ind w:left="426" w:hanging="142"/>
        <w:jc w:val="both"/>
        <w:rPr>
          <w:rFonts w:ascii="Times New Roman" w:eastAsia="Times New Roman" w:hAnsi="Times New Roman" w:cs="Times New Roman"/>
          <w:bCs/>
          <w:lang w:val="en-GB"/>
        </w:rPr>
      </w:pPr>
      <w:r w:rsidRPr="00F45E58">
        <w:rPr>
          <w:rFonts w:ascii="Times New Roman" w:eastAsia="Times New Roman" w:hAnsi="Times New Roman" w:cs="Times New Roman"/>
          <w:b/>
          <w:bCs/>
          <w:lang w:val="en-GB"/>
        </w:rPr>
        <w:t xml:space="preserve">Competences to be achieved: </w:t>
      </w:r>
    </w:p>
    <w:p w:rsidR="00F45E58" w:rsidRPr="00F45E58" w:rsidRDefault="00F45E58" w:rsidP="00F45E58">
      <w:pPr>
        <w:widowControl w:val="0"/>
        <w:spacing w:before="120" w:after="120" w:line="240" w:lineRule="auto"/>
        <w:ind w:left="426"/>
        <w:jc w:val="both"/>
        <w:rPr>
          <w:rFonts w:ascii="Times New Roman" w:eastAsia="Times New Roman" w:hAnsi="Times New Roman" w:cs="Times New Roman"/>
          <w:highlight w:val="lightGray"/>
          <w:lang w:val="en-GB" w:eastAsia="hu-HU"/>
        </w:rPr>
      </w:pPr>
      <w:r w:rsidRPr="00F45E58">
        <w:rPr>
          <w:rFonts w:ascii="Times New Roman" w:eastAsia="Times New Roman" w:hAnsi="Times New Roman" w:cs="Times New Roman"/>
          <w:b/>
          <w:lang w:val="en-GB"/>
        </w:rPr>
        <w:t>Knowledge</w:t>
      </w:r>
      <w:r w:rsidRPr="00F45E58">
        <w:rPr>
          <w:rFonts w:ascii="Times New Roman" w:eastAsia="Times New Roman" w:hAnsi="Times New Roman" w:cs="Times New Roman"/>
          <w:lang w:val="en-GB"/>
        </w:rPr>
        <w:t xml:space="preserve">: </w:t>
      </w:r>
    </w:p>
    <w:p w:rsidR="00F45E58" w:rsidRPr="00F45E58" w:rsidRDefault="00F45E58" w:rsidP="00980876">
      <w:pPr>
        <w:widowControl w:val="0"/>
        <w:numPr>
          <w:ilvl w:val="0"/>
          <w:numId w:val="428"/>
        </w:numPr>
        <w:spacing w:before="120" w:after="120" w:line="240" w:lineRule="auto"/>
        <w:contextualSpacing/>
        <w:jc w:val="both"/>
        <w:rPr>
          <w:rFonts w:ascii="Times New Roman" w:eastAsia="Times New Roman" w:hAnsi="Times New Roman" w:cs="Times New Roman"/>
          <w:lang w:val="en-GB"/>
        </w:rPr>
      </w:pPr>
      <w:r w:rsidRPr="00F45E58">
        <w:rPr>
          <w:rFonts w:ascii="Times New Roman" w:eastAsia="Calibri" w:hAnsi="Times New Roman" w:cs="Times New Roman"/>
          <w:lang w:val="en"/>
        </w:rPr>
        <w:t>he/she knows the laws of mathematics and mechanics, has basic technical knowledge.</w:t>
      </w:r>
    </w:p>
    <w:p w:rsidR="00F45E58" w:rsidRPr="00F45E58" w:rsidRDefault="00F45E58" w:rsidP="00980876">
      <w:pPr>
        <w:widowControl w:val="0"/>
        <w:numPr>
          <w:ilvl w:val="0"/>
          <w:numId w:val="428"/>
        </w:numPr>
        <w:spacing w:before="120" w:after="120" w:line="240" w:lineRule="auto"/>
        <w:contextualSpacing/>
        <w:jc w:val="both"/>
        <w:rPr>
          <w:rFonts w:ascii="Times New Roman" w:eastAsia="Times New Roman" w:hAnsi="Times New Roman" w:cs="Times New Roman"/>
          <w:lang w:val="en-GB"/>
        </w:rPr>
      </w:pPr>
      <w:r w:rsidRPr="00F45E58">
        <w:rPr>
          <w:rFonts w:ascii="Times New Roman" w:eastAsia="Times New Roman" w:hAnsi="Times New Roman" w:cs="Times New Roman"/>
          <w:lang w:val="en-GB"/>
        </w:rPr>
        <w:t>he/she has to know the basic type of machine element, especially fasteners shafts and rolling element bearing</w:t>
      </w:r>
    </w:p>
    <w:p w:rsidR="00F45E58" w:rsidRPr="00F45E58" w:rsidRDefault="00F45E58" w:rsidP="00F45E58">
      <w:pPr>
        <w:widowControl w:val="0"/>
        <w:spacing w:before="120" w:after="120" w:line="240" w:lineRule="auto"/>
        <w:ind w:left="426"/>
        <w:jc w:val="both"/>
        <w:rPr>
          <w:rFonts w:ascii="Times New Roman" w:eastAsia="Times New Roman" w:hAnsi="Times New Roman" w:cs="Times New Roman"/>
          <w:highlight w:val="lightGray"/>
          <w:lang w:val="en-GB" w:eastAsia="hu-HU"/>
        </w:rPr>
      </w:pPr>
      <w:r w:rsidRPr="00F45E58">
        <w:rPr>
          <w:rFonts w:ascii="Times New Roman" w:eastAsia="Times New Roman" w:hAnsi="Times New Roman" w:cs="Times New Roman"/>
          <w:b/>
          <w:lang w:val="en-GB"/>
        </w:rPr>
        <w:t>Capabilities</w:t>
      </w:r>
      <w:r w:rsidRPr="00F45E58">
        <w:rPr>
          <w:rFonts w:ascii="Times New Roman" w:eastAsia="Times New Roman" w:hAnsi="Times New Roman" w:cs="Times New Roman"/>
          <w:lang w:val="en-GB"/>
        </w:rPr>
        <w:t xml:space="preserve">: </w:t>
      </w:r>
    </w:p>
    <w:p w:rsidR="00F45E58" w:rsidRPr="00F45E58" w:rsidRDefault="00F45E58" w:rsidP="00F45E58">
      <w:pPr>
        <w:widowControl w:val="0"/>
        <w:spacing w:before="120" w:after="120" w:line="240" w:lineRule="auto"/>
        <w:ind w:left="426"/>
        <w:jc w:val="both"/>
        <w:rPr>
          <w:rFonts w:ascii="Times New Roman" w:eastAsia="Times New Roman" w:hAnsi="Times New Roman" w:cs="Times New Roman"/>
          <w:b/>
          <w:lang w:val="en-GB"/>
        </w:rPr>
      </w:pPr>
      <w:r w:rsidRPr="00F45E58">
        <w:rPr>
          <w:rFonts w:ascii="Times New Roman" w:eastAsia="Times New Roman" w:hAnsi="Times New Roman" w:cs="Times New Roman"/>
          <w:b/>
          <w:lang w:val="en-GB"/>
        </w:rPr>
        <w:t>he/she has to known the method of calculations of a beam loaded concentrated and distributed load</w:t>
      </w:r>
    </w:p>
    <w:p w:rsidR="00F45E58" w:rsidRPr="00F45E58" w:rsidRDefault="00F45E58" w:rsidP="00980876">
      <w:pPr>
        <w:widowControl w:val="0"/>
        <w:numPr>
          <w:ilvl w:val="0"/>
          <w:numId w:val="428"/>
        </w:numPr>
        <w:spacing w:before="120" w:after="120" w:line="240" w:lineRule="auto"/>
        <w:contextualSpacing/>
        <w:jc w:val="both"/>
        <w:rPr>
          <w:rFonts w:ascii="Times New Roman" w:eastAsia="Calibri" w:hAnsi="Times New Roman" w:cs="Times New Roman"/>
          <w:lang w:val="en"/>
        </w:rPr>
      </w:pPr>
      <w:r w:rsidRPr="00F45E58">
        <w:rPr>
          <w:rFonts w:ascii="Times New Roman" w:eastAsia="Times New Roman" w:hAnsi="Times New Roman" w:cs="Times New Roman"/>
          <w:lang w:val="en-GB"/>
        </w:rPr>
        <w:t xml:space="preserve">he/she </w:t>
      </w:r>
      <w:r w:rsidRPr="00F45E58">
        <w:rPr>
          <w:rFonts w:ascii="Times New Roman" w:eastAsia="Calibri" w:hAnsi="Times New Roman" w:cs="Times New Roman"/>
          <w:lang w:val="en"/>
        </w:rPr>
        <w:t>can use professional terminology in English languages in the field of mechanics</w:t>
      </w:r>
    </w:p>
    <w:p w:rsidR="00F45E58" w:rsidRPr="00F45E58" w:rsidRDefault="00F45E58" w:rsidP="00980876">
      <w:pPr>
        <w:widowControl w:val="0"/>
        <w:numPr>
          <w:ilvl w:val="0"/>
          <w:numId w:val="428"/>
        </w:numPr>
        <w:spacing w:before="120" w:after="120" w:line="240" w:lineRule="auto"/>
        <w:contextualSpacing/>
        <w:jc w:val="both"/>
        <w:rPr>
          <w:rFonts w:ascii="Times New Roman" w:eastAsia="Times New Roman" w:hAnsi="Times New Roman" w:cs="Times New Roman"/>
          <w:lang w:val="en-GB"/>
        </w:rPr>
      </w:pPr>
      <w:r w:rsidRPr="00F45E58">
        <w:rPr>
          <w:rFonts w:ascii="Times New Roman" w:eastAsia="Times New Roman" w:hAnsi="Times New Roman" w:cs="Times New Roman"/>
          <w:lang w:val="en-GB"/>
        </w:rPr>
        <w:t>he/she is able to calculate the stress of a power screw</w:t>
      </w:r>
    </w:p>
    <w:p w:rsidR="00F45E58" w:rsidRPr="00F45E58" w:rsidRDefault="00F45E58" w:rsidP="00980876">
      <w:pPr>
        <w:widowControl w:val="0"/>
        <w:numPr>
          <w:ilvl w:val="0"/>
          <w:numId w:val="428"/>
        </w:numPr>
        <w:spacing w:before="120" w:after="120" w:line="240" w:lineRule="auto"/>
        <w:contextualSpacing/>
        <w:jc w:val="both"/>
        <w:rPr>
          <w:rFonts w:ascii="Times New Roman" w:eastAsia="Times New Roman" w:hAnsi="Times New Roman" w:cs="Times New Roman"/>
          <w:lang w:val="en-GB"/>
        </w:rPr>
      </w:pPr>
      <w:r w:rsidRPr="00F45E58">
        <w:rPr>
          <w:rFonts w:ascii="Times New Roman" w:eastAsia="Times New Roman" w:hAnsi="Times New Roman" w:cs="Times New Roman"/>
          <w:lang w:val="en-GB"/>
        </w:rPr>
        <w:t>he/she is able to calculate the life cycle of a ball bearing</w:t>
      </w:r>
    </w:p>
    <w:p w:rsidR="00F45E58" w:rsidRPr="00F45E58" w:rsidRDefault="00F45E58" w:rsidP="00F45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lang w:val="en-GB" w:eastAsia="hu-HU"/>
        </w:rPr>
      </w:pPr>
      <w:r w:rsidRPr="00F45E58">
        <w:rPr>
          <w:rFonts w:ascii="Times New Roman" w:eastAsia="Times New Roman" w:hAnsi="Times New Roman" w:cs="Times New Roman"/>
          <w:b/>
          <w:lang w:val="en-GB"/>
        </w:rPr>
        <w:t>Attitude:</w:t>
      </w:r>
    </w:p>
    <w:p w:rsidR="00F45E58" w:rsidRPr="00F45E58" w:rsidRDefault="00F45E58" w:rsidP="00980876">
      <w:pPr>
        <w:numPr>
          <w:ilvl w:val="0"/>
          <w:numId w:val="4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lang w:val="en"/>
        </w:rPr>
      </w:pPr>
      <w:r w:rsidRPr="00F45E58">
        <w:rPr>
          <w:rFonts w:ascii="Times New Roman" w:eastAsia="Calibri" w:hAnsi="Times New Roman" w:cs="Times New Roman"/>
          <w:lang w:val="en"/>
        </w:rPr>
        <w:t>he/she committed to quality professional work, it is characterized by striving for accuracy.</w:t>
      </w:r>
    </w:p>
    <w:p w:rsidR="00F45E58" w:rsidRPr="00F45E58" w:rsidRDefault="00F45E58" w:rsidP="00980876">
      <w:pPr>
        <w:numPr>
          <w:ilvl w:val="0"/>
          <w:numId w:val="4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lang w:val="en-GB"/>
        </w:rPr>
      </w:pPr>
      <w:r w:rsidRPr="00F45E58">
        <w:rPr>
          <w:rFonts w:ascii="Times New Roman" w:eastAsia="Calibri" w:hAnsi="Times New Roman" w:cs="Times New Roman"/>
          <w:lang w:val="en"/>
        </w:rPr>
        <w:t>he/she can perform accurate calculations</w:t>
      </w:r>
    </w:p>
    <w:p w:rsidR="00F45E58" w:rsidRPr="00F45E58" w:rsidRDefault="00F45E58" w:rsidP="00F45E58">
      <w:pPr>
        <w:widowControl w:val="0"/>
        <w:spacing w:before="120" w:after="120" w:line="240" w:lineRule="auto"/>
        <w:ind w:left="426"/>
        <w:jc w:val="both"/>
        <w:rPr>
          <w:rFonts w:ascii="Times New Roman" w:eastAsia="Times New Roman" w:hAnsi="Times New Roman" w:cs="Times New Roman"/>
          <w:highlight w:val="lightGray"/>
          <w:lang w:val="en-GB" w:eastAsia="hu-HU"/>
        </w:rPr>
      </w:pPr>
      <w:r w:rsidRPr="00F45E58">
        <w:rPr>
          <w:rFonts w:ascii="Times New Roman" w:eastAsia="Times New Roman" w:hAnsi="Times New Roman" w:cs="Times New Roman"/>
          <w:b/>
          <w:lang w:val="en-GB"/>
        </w:rPr>
        <w:t xml:space="preserve">Autonomy and responsibility: </w:t>
      </w:r>
    </w:p>
    <w:p w:rsidR="00F45E58" w:rsidRPr="00F45E58" w:rsidRDefault="00F45E58" w:rsidP="00980876">
      <w:pPr>
        <w:widowControl w:val="0"/>
        <w:numPr>
          <w:ilvl w:val="0"/>
          <w:numId w:val="428"/>
        </w:numPr>
        <w:spacing w:before="120" w:after="120" w:line="240" w:lineRule="auto"/>
        <w:contextualSpacing/>
        <w:jc w:val="both"/>
        <w:rPr>
          <w:rFonts w:ascii="Times New Roman" w:eastAsia="Calibri" w:hAnsi="Times New Roman" w:cs="Times New Roman"/>
          <w:lang w:val="en"/>
        </w:rPr>
      </w:pPr>
      <w:r w:rsidRPr="00F45E58">
        <w:rPr>
          <w:rFonts w:ascii="Times New Roman" w:eastAsia="Calibri" w:hAnsi="Times New Roman" w:cs="Times New Roman"/>
          <w:lang w:val="en"/>
        </w:rPr>
        <w:t>he/she is able to make decisions independently,</w:t>
      </w:r>
    </w:p>
    <w:p w:rsidR="00F45E58" w:rsidRPr="00F45E58" w:rsidRDefault="00F45E58" w:rsidP="00980876">
      <w:pPr>
        <w:widowControl w:val="0"/>
        <w:numPr>
          <w:ilvl w:val="0"/>
          <w:numId w:val="428"/>
        </w:numPr>
        <w:spacing w:before="120" w:after="120" w:line="240" w:lineRule="auto"/>
        <w:contextualSpacing/>
        <w:jc w:val="both"/>
        <w:rPr>
          <w:rFonts w:ascii="Times New Roman" w:eastAsia="Times New Roman" w:hAnsi="Times New Roman" w:cs="Times New Roman"/>
          <w:lang w:val="en-GB"/>
        </w:rPr>
      </w:pPr>
      <w:r w:rsidRPr="00F45E58">
        <w:rPr>
          <w:rFonts w:ascii="Times New Roman" w:eastAsia="Calibri" w:hAnsi="Times New Roman" w:cs="Times New Roman"/>
          <w:lang w:val="en"/>
        </w:rPr>
        <w:t>he/she is able to study the literature of the field in English</w:t>
      </w:r>
    </w:p>
    <w:p w:rsidR="00F45E58" w:rsidRPr="00F45E58" w:rsidRDefault="00F45E58" w:rsidP="00980876">
      <w:pPr>
        <w:widowControl w:val="0"/>
        <w:numPr>
          <w:ilvl w:val="0"/>
          <w:numId w:val="429"/>
        </w:numPr>
        <w:tabs>
          <w:tab w:val="num" w:pos="567"/>
        </w:tabs>
        <w:spacing w:before="120" w:after="120" w:line="240" w:lineRule="auto"/>
        <w:ind w:left="426" w:hanging="142"/>
        <w:jc w:val="both"/>
        <w:rPr>
          <w:rFonts w:ascii="Times New Roman" w:eastAsia="Times New Roman" w:hAnsi="Times New Roman" w:cs="Times New Roman"/>
          <w:bCs/>
          <w:lang w:val="en-GB"/>
        </w:rPr>
      </w:pPr>
      <w:r w:rsidRPr="00F45E58">
        <w:rPr>
          <w:rFonts w:ascii="Times New Roman" w:eastAsia="Times New Roman" w:hAnsi="Times New Roman" w:cs="Times New Roman"/>
          <w:b/>
          <w:bCs/>
          <w:lang w:val="en-GB"/>
        </w:rPr>
        <w:t xml:space="preserve">Required previous studies: </w:t>
      </w:r>
      <w:r w:rsidRPr="00F45E58">
        <w:rPr>
          <w:rFonts w:ascii="Times New Roman" w:eastAsia="Times New Roman" w:hAnsi="Times New Roman" w:cs="Times New Roman"/>
          <w:highlight w:val="lightGray"/>
          <w:lang w:val="en-GB" w:eastAsia="hu-HU"/>
        </w:rPr>
        <w:t>-</w:t>
      </w:r>
    </w:p>
    <w:p w:rsidR="004B3EF3" w:rsidRDefault="004B3EF3" w:rsidP="004B3EF3">
      <w:pPr>
        <w:widowControl w:val="0"/>
        <w:spacing w:before="120" w:after="120" w:line="240" w:lineRule="auto"/>
        <w:ind w:left="426"/>
        <w:jc w:val="both"/>
        <w:rPr>
          <w:rFonts w:ascii="Times New Roman" w:eastAsia="Times New Roman" w:hAnsi="Times New Roman" w:cs="Times New Roman"/>
          <w:b/>
          <w:bCs/>
          <w:lang w:val="en-GB"/>
        </w:rPr>
      </w:pPr>
    </w:p>
    <w:p w:rsidR="00F45E58" w:rsidRPr="00F45E58" w:rsidRDefault="00F45E58" w:rsidP="00980876">
      <w:pPr>
        <w:widowControl w:val="0"/>
        <w:numPr>
          <w:ilvl w:val="0"/>
          <w:numId w:val="429"/>
        </w:numPr>
        <w:spacing w:before="120" w:after="120" w:line="240" w:lineRule="auto"/>
        <w:ind w:left="426" w:hanging="142"/>
        <w:jc w:val="both"/>
        <w:rPr>
          <w:rFonts w:ascii="Times New Roman" w:eastAsia="Times New Roman" w:hAnsi="Times New Roman" w:cs="Times New Roman"/>
          <w:b/>
          <w:bCs/>
          <w:lang w:val="en-GB"/>
        </w:rPr>
      </w:pPr>
      <w:r w:rsidRPr="00F45E58">
        <w:rPr>
          <w:rFonts w:ascii="Times New Roman" w:eastAsia="Times New Roman" w:hAnsi="Times New Roman" w:cs="Times New Roman"/>
          <w:b/>
          <w:bCs/>
          <w:lang w:val="en-GB"/>
        </w:rPr>
        <w:lastRenderedPageBreak/>
        <w:t>The syllabus of the subject:</w:t>
      </w:r>
    </w:p>
    <w:p w:rsidR="00F45E58" w:rsidRPr="00F45E58" w:rsidRDefault="00F45E58" w:rsidP="00980876">
      <w:pPr>
        <w:widowControl w:val="0"/>
        <w:numPr>
          <w:ilvl w:val="1"/>
          <w:numId w:val="429"/>
        </w:numPr>
        <w:tabs>
          <w:tab w:val="left" w:pos="993"/>
          <w:tab w:val="num" w:pos="2069"/>
        </w:tabs>
        <w:spacing w:before="120" w:after="120" w:line="240" w:lineRule="auto"/>
        <w:ind w:left="993" w:hanging="574"/>
        <w:jc w:val="both"/>
        <w:rPr>
          <w:rFonts w:ascii="Times New Roman" w:eastAsia="Times New Roman" w:hAnsi="Times New Roman" w:cs="Times New Roman"/>
          <w:b/>
          <w:lang w:val="en-GB"/>
        </w:rPr>
      </w:pPr>
      <w:r w:rsidRPr="00F45E58">
        <w:rPr>
          <w:rFonts w:ascii="Times New Roman" w:eastAsia="Times New Roman" w:hAnsi="Times New Roman" w:cs="Times New Roman"/>
          <w:lang w:val="en-GB"/>
        </w:rPr>
        <w:t>Basic definition: force, torque</w:t>
      </w:r>
      <w:r w:rsidRPr="00F45E58">
        <w:rPr>
          <w:rFonts w:ascii="Times New Roman" w:eastAsia="Times New Roman" w:hAnsi="Times New Roman" w:cs="Times New Roman"/>
          <w:lang w:val="en-GB" w:eastAsia="hu-HU"/>
        </w:rPr>
        <w:t xml:space="preserve">, moment, definition and its’ dimension, </w:t>
      </w:r>
      <w:r w:rsidRPr="00F45E58">
        <w:rPr>
          <w:rFonts w:ascii="Times New Roman" w:eastAsia="Calibri" w:hAnsi="Times New Roman" w:cs="Times New Roman"/>
          <w:lang w:val="en-GB"/>
        </w:rPr>
        <w:t>operations with its’ vectors.</w:t>
      </w:r>
      <w:r w:rsidRPr="00F45E58">
        <w:rPr>
          <w:rFonts w:ascii="Times New Roman" w:eastAsia="Times New Roman" w:hAnsi="Times New Roman" w:cs="Times New Roman"/>
          <w:lang w:val="en-GB" w:eastAsia="hu-HU"/>
        </w:rPr>
        <w:t xml:space="preserve"> </w:t>
      </w:r>
    </w:p>
    <w:p w:rsidR="00F45E58" w:rsidRPr="00F45E58" w:rsidRDefault="00F45E58" w:rsidP="00980876">
      <w:pPr>
        <w:widowControl w:val="0"/>
        <w:numPr>
          <w:ilvl w:val="1"/>
          <w:numId w:val="429"/>
        </w:numPr>
        <w:tabs>
          <w:tab w:val="left" w:pos="993"/>
          <w:tab w:val="num" w:pos="2069"/>
        </w:tabs>
        <w:spacing w:before="120" w:after="120" w:line="240" w:lineRule="auto"/>
        <w:ind w:left="993" w:hanging="574"/>
        <w:jc w:val="both"/>
        <w:rPr>
          <w:rFonts w:ascii="Times New Roman" w:eastAsia="Times New Roman" w:hAnsi="Times New Roman" w:cs="Times New Roman"/>
          <w:b/>
          <w:lang w:val="en-GB"/>
        </w:rPr>
      </w:pPr>
      <w:r w:rsidRPr="00F45E58">
        <w:rPr>
          <w:rFonts w:ascii="Times New Roman" w:eastAsia="Times New Roman" w:hAnsi="Times New Roman" w:cs="Times New Roman"/>
          <w:lang w:val="en-GB" w:eastAsia="hu-HU"/>
        </w:rPr>
        <w:t>Load, stress and strain. Supports (</w:t>
      </w:r>
      <w:r w:rsidRPr="00F45E58">
        <w:rPr>
          <w:rFonts w:ascii="Times New Roman" w:eastAsia="Times New Roman" w:hAnsi="Times New Roman" w:cs="Times New Roman"/>
          <w:lang w:val="en-GB"/>
        </w:rPr>
        <w:t xml:space="preserve">pin, roller, cable, fixed support). </w:t>
      </w:r>
      <w:r w:rsidRPr="00F45E58">
        <w:rPr>
          <w:rFonts w:ascii="Times New Roman" w:eastAsia="Calibri" w:hAnsi="Times New Roman" w:cs="Times New Roman"/>
          <w:lang w:val="en-GB"/>
        </w:rPr>
        <w:t>Degrees of freedom of supports.</w:t>
      </w:r>
    </w:p>
    <w:p w:rsidR="00F45E58" w:rsidRPr="00F45E58" w:rsidRDefault="00F45E58" w:rsidP="00980876">
      <w:pPr>
        <w:widowControl w:val="0"/>
        <w:numPr>
          <w:ilvl w:val="1"/>
          <w:numId w:val="429"/>
        </w:numPr>
        <w:tabs>
          <w:tab w:val="left" w:pos="993"/>
          <w:tab w:val="num" w:pos="2069"/>
        </w:tabs>
        <w:spacing w:before="120" w:after="120" w:line="240" w:lineRule="auto"/>
        <w:ind w:left="993" w:hanging="574"/>
        <w:jc w:val="both"/>
        <w:rPr>
          <w:rFonts w:ascii="Times New Roman" w:eastAsia="Times New Roman" w:hAnsi="Times New Roman" w:cs="Times New Roman"/>
          <w:lang w:val="en-GB"/>
        </w:rPr>
      </w:pPr>
      <w:r w:rsidRPr="00F45E58">
        <w:rPr>
          <w:rFonts w:ascii="Times New Roman" w:eastAsia="Times New Roman" w:hAnsi="Times New Roman" w:cs="Times New Roman"/>
          <w:lang w:val="en-GB"/>
        </w:rPr>
        <w:t xml:space="preserve">Tensile test in a </w:t>
      </w:r>
      <w:r w:rsidRPr="00F45E58">
        <w:rPr>
          <w:rFonts w:ascii="Times New Roman" w:eastAsia="Calibri" w:hAnsi="Times New Roman" w:cs="Times New Roman"/>
          <w:lang w:val="en"/>
        </w:rPr>
        <w:t>metallographic</w:t>
      </w:r>
      <w:r w:rsidRPr="00F45E58">
        <w:rPr>
          <w:rFonts w:ascii="Times New Roman" w:eastAsia="Times New Roman" w:hAnsi="Times New Roman" w:cs="Times New Roman"/>
          <w:lang w:val="en-GB"/>
        </w:rPr>
        <w:t xml:space="preserve"> labour. HB and HV20 test.</w:t>
      </w:r>
    </w:p>
    <w:p w:rsidR="00F45E58" w:rsidRPr="00F45E58" w:rsidRDefault="00F45E58" w:rsidP="00980876">
      <w:pPr>
        <w:widowControl w:val="0"/>
        <w:numPr>
          <w:ilvl w:val="1"/>
          <w:numId w:val="429"/>
        </w:numPr>
        <w:tabs>
          <w:tab w:val="left" w:pos="993"/>
          <w:tab w:val="num" w:pos="2069"/>
        </w:tabs>
        <w:spacing w:before="120" w:after="120" w:line="240" w:lineRule="auto"/>
        <w:ind w:left="993" w:hanging="574"/>
        <w:jc w:val="both"/>
        <w:rPr>
          <w:rFonts w:ascii="Times New Roman" w:eastAsia="Times New Roman" w:hAnsi="Times New Roman" w:cs="Times New Roman"/>
          <w:lang w:val="en-GB"/>
        </w:rPr>
      </w:pPr>
      <w:r w:rsidRPr="00F45E58">
        <w:rPr>
          <w:rFonts w:ascii="Times New Roman" w:eastAsia="Times New Roman" w:hAnsi="Times New Roman" w:cs="Times New Roman"/>
          <w:lang w:val="en-GB"/>
        </w:rPr>
        <w:t xml:space="preserve">Requirement of </w:t>
      </w:r>
      <w:r w:rsidRPr="00F45E58">
        <w:rPr>
          <w:rFonts w:ascii="Times New Roman" w:eastAsia="Times New Roman" w:hAnsi="Times New Roman" w:cs="Times New Roman"/>
          <w:color w:val="000000"/>
          <w:lang w:val="en-GB"/>
        </w:rPr>
        <w:t>Static Equilibrium Three types of beam support. (Simply supported, cantilevered; overhanging), Free body diagram.</w:t>
      </w:r>
    </w:p>
    <w:p w:rsidR="00F45E58" w:rsidRPr="00F45E58" w:rsidRDefault="00F45E58" w:rsidP="00980876">
      <w:pPr>
        <w:widowControl w:val="0"/>
        <w:numPr>
          <w:ilvl w:val="1"/>
          <w:numId w:val="429"/>
        </w:numPr>
        <w:tabs>
          <w:tab w:val="left" w:pos="993"/>
          <w:tab w:val="num" w:pos="2069"/>
        </w:tabs>
        <w:spacing w:before="120" w:after="120" w:line="240" w:lineRule="auto"/>
        <w:ind w:left="993" w:hanging="574"/>
        <w:jc w:val="both"/>
        <w:rPr>
          <w:rFonts w:ascii="Times New Roman" w:eastAsia="Times New Roman" w:hAnsi="Times New Roman" w:cs="Times New Roman"/>
          <w:b/>
          <w:lang w:val="en-GB"/>
        </w:rPr>
      </w:pPr>
      <w:r w:rsidRPr="00F45E58">
        <w:rPr>
          <w:rFonts w:ascii="Times New Roman" w:eastAsia="Times New Roman" w:hAnsi="Times New Roman" w:cs="Times New Roman"/>
          <w:color w:val="000000"/>
          <w:lang w:val="en-GB"/>
        </w:rPr>
        <w:t xml:space="preserve">Calculation of reactions of a beam using the </w:t>
      </w:r>
      <w:r w:rsidRPr="00F45E58">
        <w:rPr>
          <w:rFonts w:ascii="Times New Roman" w:eastAsia="Times New Roman" w:hAnsi="Times New Roman" w:cs="Times New Roman"/>
          <w:lang w:val="en-GB"/>
        </w:rPr>
        <w:t xml:space="preserve">Requirement of </w:t>
      </w:r>
      <w:r w:rsidRPr="00F45E58">
        <w:rPr>
          <w:rFonts w:ascii="Times New Roman" w:eastAsia="Times New Roman" w:hAnsi="Times New Roman" w:cs="Times New Roman"/>
          <w:color w:val="000000"/>
          <w:lang w:val="en-GB"/>
        </w:rPr>
        <w:t>Static Equilibrium. Practical examples with each kind of beam)</w:t>
      </w:r>
    </w:p>
    <w:p w:rsidR="00F45E58" w:rsidRPr="00F45E58" w:rsidRDefault="00F45E58" w:rsidP="00980876">
      <w:pPr>
        <w:widowControl w:val="0"/>
        <w:numPr>
          <w:ilvl w:val="1"/>
          <w:numId w:val="429"/>
        </w:numPr>
        <w:tabs>
          <w:tab w:val="left" w:pos="993"/>
          <w:tab w:val="num" w:pos="2069"/>
        </w:tabs>
        <w:spacing w:before="120" w:after="120" w:line="240" w:lineRule="auto"/>
        <w:ind w:left="993" w:hanging="574"/>
        <w:jc w:val="both"/>
        <w:rPr>
          <w:rFonts w:ascii="Times New Roman" w:eastAsia="Times New Roman" w:hAnsi="Times New Roman" w:cs="Times New Roman"/>
          <w:b/>
          <w:lang w:val="en-GB"/>
        </w:rPr>
      </w:pPr>
      <w:r w:rsidRPr="00F45E58">
        <w:rPr>
          <w:rFonts w:ascii="Times New Roman" w:eastAsia="Times New Roman" w:hAnsi="Times New Roman" w:cs="Times New Roman"/>
          <w:lang w:val="en-GB"/>
        </w:rPr>
        <w:t>Shafts: Static load of a shaft. Calculation of reactions with concentrated and distributed loads, considering normal, shear, bending and torsion loads</w:t>
      </w:r>
      <w:r w:rsidRPr="00F45E58">
        <w:rPr>
          <w:rFonts w:ascii="Times New Roman" w:eastAsia="Times New Roman" w:hAnsi="Times New Roman" w:cs="Times New Roman"/>
          <w:b/>
          <w:lang w:val="en-GB"/>
        </w:rPr>
        <w:t>.</w:t>
      </w:r>
    </w:p>
    <w:p w:rsidR="00F45E58" w:rsidRPr="00F45E58" w:rsidRDefault="00F45E58" w:rsidP="00980876">
      <w:pPr>
        <w:widowControl w:val="0"/>
        <w:numPr>
          <w:ilvl w:val="1"/>
          <w:numId w:val="429"/>
        </w:numPr>
        <w:tabs>
          <w:tab w:val="left" w:pos="993"/>
          <w:tab w:val="num" w:pos="2069"/>
        </w:tabs>
        <w:spacing w:before="120" w:after="120" w:line="240" w:lineRule="auto"/>
        <w:ind w:left="993" w:hanging="574"/>
        <w:jc w:val="both"/>
        <w:rPr>
          <w:rFonts w:ascii="Times New Roman" w:eastAsia="Times New Roman" w:hAnsi="Times New Roman" w:cs="Times New Roman"/>
          <w:b/>
          <w:lang w:val="en-GB"/>
        </w:rPr>
      </w:pPr>
      <w:r w:rsidRPr="00F45E58">
        <w:rPr>
          <w:rFonts w:ascii="Times New Roman" w:eastAsia="Times New Roman" w:hAnsi="Times New Roman" w:cs="Times New Roman"/>
          <w:lang w:val="en-GB"/>
        </w:rPr>
        <w:t>Shear and moment diagram. Concentrated and distributed loads considering cantilevered and overhanging beams</w:t>
      </w:r>
      <w:r w:rsidRPr="00F45E58">
        <w:rPr>
          <w:rFonts w:ascii="Times New Roman" w:eastAsia="Times New Roman" w:hAnsi="Times New Roman" w:cs="Times New Roman"/>
          <w:b/>
          <w:lang w:val="en-GB"/>
        </w:rPr>
        <w:t>.</w:t>
      </w:r>
    </w:p>
    <w:p w:rsidR="00F45E58" w:rsidRPr="00F45E58" w:rsidRDefault="00F45E58" w:rsidP="00980876">
      <w:pPr>
        <w:widowControl w:val="0"/>
        <w:numPr>
          <w:ilvl w:val="1"/>
          <w:numId w:val="429"/>
        </w:numPr>
        <w:tabs>
          <w:tab w:val="left" w:pos="993"/>
          <w:tab w:val="num" w:pos="2069"/>
        </w:tabs>
        <w:spacing w:before="120" w:after="120" w:line="240" w:lineRule="auto"/>
        <w:ind w:left="993" w:hanging="574"/>
        <w:jc w:val="both"/>
        <w:rPr>
          <w:rFonts w:ascii="Times New Roman" w:eastAsia="Times New Roman" w:hAnsi="Times New Roman" w:cs="Times New Roman"/>
          <w:b/>
          <w:lang w:val="en-GB"/>
        </w:rPr>
      </w:pPr>
      <w:r w:rsidRPr="00F45E58">
        <w:rPr>
          <w:rFonts w:ascii="Times New Roman" w:eastAsia="Times New Roman" w:hAnsi="Times New Roman" w:cs="Times New Roman"/>
          <w:lang w:val="en-GB"/>
        </w:rPr>
        <w:t xml:space="preserve">Shafts: Calculation of stress considering normal, shear, bending and torsion loads. </w:t>
      </w:r>
    </w:p>
    <w:p w:rsidR="00F45E58" w:rsidRPr="00F45E58" w:rsidRDefault="00F45E58" w:rsidP="00980876">
      <w:pPr>
        <w:widowControl w:val="0"/>
        <w:numPr>
          <w:ilvl w:val="1"/>
          <w:numId w:val="429"/>
        </w:numPr>
        <w:tabs>
          <w:tab w:val="left" w:pos="993"/>
          <w:tab w:val="num" w:pos="2069"/>
        </w:tabs>
        <w:spacing w:before="120" w:after="120" w:line="240" w:lineRule="auto"/>
        <w:ind w:left="993" w:hanging="574"/>
        <w:jc w:val="both"/>
        <w:rPr>
          <w:rFonts w:ascii="Times New Roman" w:eastAsia="Times New Roman" w:hAnsi="Times New Roman" w:cs="Times New Roman"/>
          <w:b/>
          <w:lang w:val="en-GB"/>
        </w:rPr>
      </w:pPr>
      <w:r w:rsidRPr="00F45E58">
        <w:rPr>
          <w:rFonts w:ascii="Times New Roman" w:eastAsia="Times New Roman" w:hAnsi="Times New Roman" w:cs="Times New Roman"/>
          <w:color w:val="000000"/>
          <w:lang w:val="en-GB"/>
        </w:rPr>
        <w:t>Static design of a shaft using Maximum-Shear-Stress Theory.</w:t>
      </w:r>
    </w:p>
    <w:p w:rsidR="00F45E58" w:rsidRPr="00F45E58" w:rsidRDefault="00F45E58" w:rsidP="00980876">
      <w:pPr>
        <w:widowControl w:val="0"/>
        <w:numPr>
          <w:ilvl w:val="1"/>
          <w:numId w:val="429"/>
        </w:numPr>
        <w:tabs>
          <w:tab w:val="left" w:pos="993"/>
          <w:tab w:val="num" w:pos="2069"/>
        </w:tabs>
        <w:spacing w:before="120" w:after="120" w:line="240" w:lineRule="auto"/>
        <w:ind w:left="993" w:hanging="574"/>
        <w:jc w:val="both"/>
        <w:rPr>
          <w:rFonts w:ascii="Times New Roman" w:eastAsia="Times New Roman" w:hAnsi="Times New Roman" w:cs="Times New Roman"/>
          <w:b/>
          <w:lang w:val="en-GB"/>
        </w:rPr>
      </w:pPr>
      <w:r w:rsidRPr="00F45E58">
        <w:rPr>
          <w:rFonts w:ascii="Times New Roman" w:eastAsia="Times New Roman" w:hAnsi="Times New Roman" w:cs="Times New Roman"/>
          <w:lang w:val="en-GB"/>
        </w:rPr>
        <w:t xml:space="preserve">Fasteners: </w:t>
      </w:r>
      <w:r w:rsidRPr="00F45E58">
        <w:rPr>
          <w:rFonts w:ascii="Times New Roman" w:eastAsia="Times New Roman" w:hAnsi="Times New Roman" w:cs="Times New Roman"/>
          <w:color w:val="000000"/>
          <w:lang w:val="en-GB"/>
        </w:rPr>
        <w:t>Terminology and parameters used in thread profiles. Single-, double-, and triple-threaded screws.</w:t>
      </w:r>
    </w:p>
    <w:p w:rsidR="00F45E58" w:rsidRPr="00F45E58" w:rsidRDefault="00F45E58" w:rsidP="00980876">
      <w:pPr>
        <w:widowControl w:val="0"/>
        <w:numPr>
          <w:ilvl w:val="1"/>
          <w:numId w:val="429"/>
        </w:numPr>
        <w:tabs>
          <w:tab w:val="left" w:pos="993"/>
          <w:tab w:val="num" w:pos="2069"/>
        </w:tabs>
        <w:spacing w:before="120" w:after="120" w:line="240" w:lineRule="auto"/>
        <w:ind w:left="993" w:hanging="574"/>
        <w:jc w:val="both"/>
        <w:rPr>
          <w:rFonts w:ascii="Times New Roman" w:eastAsia="Times New Roman" w:hAnsi="Times New Roman" w:cs="Times New Roman"/>
          <w:b/>
          <w:lang w:val="en-GB"/>
        </w:rPr>
      </w:pPr>
      <w:r w:rsidRPr="00F45E58">
        <w:rPr>
          <w:rFonts w:ascii="Times New Roman" w:eastAsia="Times New Roman" w:hAnsi="Times New Roman" w:cs="Times New Roman"/>
          <w:color w:val="000000"/>
          <w:lang w:val="en-GB"/>
        </w:rPr>
        <w:t xml:space="preserve">Requirement of </w:t>
      </w:r>
      <w:r w:rsidRPr="00F45E58">
        <w:rPr>
          <w:rFonts w:ascii="Times New Roman" w:eastAsia="Times New Roman" w:hAnsi="Times New Roman" w:cs="Times New Roman"/>
          <w:color w:val="000000"/>
          <w:sz w:val="21"/>
          <w:szCs w:val="24"/>
          <w:lang w:val="en-GB"/>
        </w:rPr>
        <w:t xml:space="preserve">Self-Locking Screws, (frictions, </w:t>
      </w:r>
      <w:r w:rsidRPr="00F45E58">
        <w:rPr>
          <w:rFonts w:ascii="Times New Roman" w:eastAsia="Calibri" w:hAnsi="Times New Roman" w:cs="Times New Roman"/>
          <w:lang w:val="en-GB"/>
        </w:rPr>
        <w:t>gradient</w:t>
      </w:r>
      <w:r w:rsidRPr="00F45E58">
        <w:rPr>
          <w:rFonts w:ascii="Times New Roman" w:eastAsia="Times New Roman" w:hAnsi="Times New Roman" w:cs="Times New Roman"/>
          <w:color w:val="000000"/>
          <w:sz w:val="21"/>
          <w:szCs w:val="24"/>
          <w:lang w:val="en-GB"/>
        </w:rPr>
        <w:t>). Load of a screw.</w:t>
      </w:r>
    </w:p>
    <w:p w:rsidR="00F45E58" w:rsidRPr="00F45E58" w:rsidRDefault="00F45E58" w:rsidP="00980876">
      <w:pPr>
        <w:widowControl w:val="0"/>
        <w:numPr>
          <w:ilvl w:val="1"/>
          <w:numId w:val="429"/>
        </w:numPr>
        <w:tabs>
          <w:tab w:val="left" w:pos="993"/>
          <w:tab w:val="num" w:pos="2069"/>
        </w:tabs>
        <w:spacing w:before="120" w:after="120" w:line="240" w:lineRule="auto"/>
        <w:ind w:left="993" w:hanging="574"/>
        <w:jc w:val="both"/>
        <w:rPr>
          <w:rFonts w:ascii="Times New Roman" w:eastAsia="Times New Roman" w:hAnsi="Times New Roman" w:cs="Times New Roman"/>
          <w:b/>
          <w:lang w:val="en-GB"/>
        </w:rPr>
      </w:pPr>
      <w:r w:rsidRPr="00F45E58">
        <w:rPr>
          <w:rFonts w:ascii="Times New Roman" w:eastAsia="Times New Roman" w:hAnsi="Times New Roman" w:cs="Times New Roman"/>
          <w:lang w:val="en-GB"/>
        </w:rPr>
        <w:t xml:space="preserve">Bearings: Classification of </w:t>
      </w:r>
      <w:r w:rsidRPr="00F45E58">
        <w:rPr>
          <w:rFonts w:ascii="Times New Roman" w:eastAsia="Times New Roman" w:hAnsi="Times New Roman" w:cs="Times New Roman"/>
          <w:color w:val="000000"/>
          <w:lang w:val="en-GB"/>
        </w:rPr>
        <w:t>Rolling-Element Bearings. Ball and cylindrical bearings. Axial, radial bearings. Self-aligning, bearings spherical and needle roller.</w:t>
      </w:r>
    </w:p>
    <w:p w:rsidR="00F45E58" w:rsidRPr="00F45E58" w:rsidRDefault="00F45E58" w:rsidP="00980876">
      <w:pPr>
        <w:widowControl w:val="0"/>
        <w:numPr>
          <w:ilvl w:val="1"/>
          <w:numId w:val="429"/>
        </w:numPr>
        <w:tabs>
          <w:tab w:val="left" w:pos="993"/>
          <w:tab w:val="num" w:pos="2069"/>
        </w:tabs>
        <w:spacing w:before="120" w:after="120" w:line="240" w:lineRule="auto"/>
        <w:ind w:left="993" w:hanging="574"/>
        <w:jc w:val="both"/>
        <w:rPr>
          <w:rFonts w:ascii="Times New Roman" w:eastAsia="Times New Roman" w:hAnsi="Times New Roman" w:cs="Times New Roman"/>
          <w:b/>
          <w:lang w:val="en-GB"/>
        </w:rPr>
      </w:pPr>
      <w:r w:rsidRPr="00F45E58">
        <w:rPr>
          <w:rFonts w:ascii="Times New Roman" w:eastAsia="Times New Roman" w:hAnsi="Times New Roman" w:cs="Times New Roman"/>
          <w:color w:val="000000"/>
          <w:lang w:val="en-GB"/>
        </w:rPr>
        <w:t>Bearing selection. Typical application of rolling element bearing. Practical example.</w:t>
      </w:r>
    </w:p>
    <w:p w:rsidR="00F45E58" w:rsidRPr="00F45E58" w:rsidRDefault="00F45E58" w:rsidP="00980876">
      <w:pPr>
        <w:widowControl w:val="0"/>
        <w:numPr>
          <w:ilvl w:val="1"/>
          <w:numId w:val="429"/>
        </w:numPr>
        <w:tabs>
          <w:tab w:val="left" w:pos="993"/>
          <w:tab w:val="num" w:pos="2069"/>
        </w:tabs>
        <w:spacing w:before="120" w:after="120" w:line="240" w:lineRule="auto"/>
        <w:ind w:left="993" w:hanging="574"/>
        <w:jc w:val="both"/>
        <w:rPr>
          <w:rFonts w:ascii="Times New Roman" w:eastAsia="Times New Roman" w:hAnsi="Times New Roman" w:cs="Times New Roman"/>
          <w:b/>
          <w:lang w:val="en-GB"/>
        </w:rPr>
      </w:pPr>
      <w:r w:rsidRPr="00F45E58">
        <w:rPr>
          <w:rFonts w:ascii="Times New Roman" w:eastAsia="Times New Roman" w:hAnsi="Times New Roman" w:cs="Times New Roman"/>
          <w:color w:val="000000"/>
          <w:lang w:val="en-GB"/>
        </w:rPr>
        <w:t>Calculation of a life cycle of a ball bearing. Design of rolling element bearings based on static and dynamic load rating.</w:t>
      </w:r>
    </w:p>
    <w:p w:rsidR="00F45E58" w:rsidRPr="00F45E58" w:rsidRDefault="00F45E58" w:rsidP="00980876">
      <w:pPr>
        <w:widowControl w:val="0"/>
        <w:numPr>
          <w:ilvl w:val="0"/>
          <w:numId w:val="429"/>
        </w:numPr>
        <w:spacing w:before="120" w:after="120" w:line="240" w:lineRule="auto"/>
        <w:ind w:left="426" w:hanging="142"/>
        <w:jc w:val="both"/>
        <w:rPr>
          <w:rFonts w:ascii="Times New Roman" w:eastAsia="Times New Roman" w:hAnsi="Times New Roman" w:cs="Times New Roman"/>
          <w:bCs/>
          <w:lang w:val="en-GB"/>
        </w:rPr>
      </w:pPr>
      <w:r w:rsidRPr="00F45E58">
        <w:rPr>
          <w:rFonts w:ascii="Times New Roman" w:eastAsia="Times New Roman" w:hAnsi="Times New Roman" w:cs="Times New Roman"/>
          <w:b/>
          <w:bCs/>
          <w:lang w:val="en-GB"/>
        </w:rPr>
        <w:t xml:space="preserve">The frequency of offering the subject/its position in the curriculum of the term: </w:t>
      </w:r>
      <w:r w:rsidRPr="00F45E58">
        <w:rPr>
          <w:rFonts w:ascii="Times New Roman" w:eastAsia="Times New Roman" w:hAnsi="Times New Roman" w:cs="Times New Roman"/>
          <w:lang w:val="en-GB" w:eastAsia="hu-HU"/>
        </w:rPr>
        <w:t>6</w:t>
      </w:r>
      <w:r w:rsidRPr="00F45E58">
        <w:rPr>
          <w:rFonts w:ascii="Times New Roman" w:eastAsia="Times New Roman" w:hAnsi="Times New Roman" w:cs="Times New Roman"/>
          <w:bCs/>
          <w:lang w:val="en-GB"/>
        </w:rPr>
        <w:t xml:space="preserve"> semester </w:t>
      </w:r>
    </w:p>
    <w:p w:rsidR="00F45E58" w:rsidRPr="00F45E58" w:rsidRDefault="00F45E58" w:rsidP="00980876">
      <w:pPr>
        <w:widowControl w:val="0"/>
        <w:numPr>
          <w:ilvl w:val="0"/>
          <w:numId w:val="429"/>
        </w:numPr>
        <w:spacing w:before="120" w:after="120" w:line="240" w:lineRule="auto"/>
        <w:ind w:left="426" w:hanging="142"/>
        <w:jc w:val="both"/>
        <w:rPr>
          <w:rFonts w:ascii="Times New Roman" w:eastAsia="Times New Roman" w:hAnsi="Times New Roman" w:cs="Times New Roman"/>
          <w:bCs/>
          <w:lang w:val="en-GB"/>
        </w:rPr>
      </w:pPr>
      <w:r w:rsidRPr="00F45E58">
        <w:rPr>
          <w:rFonts w:ascii="Times New Roman" w:eastAsia="Times New Roman" w:hAnsi="Times New Roman" w:cs="Times New Roman"/>
          <w:b/>
          <w:bCs/>
          <w:lang w:val="en-GB"/>
        </w:rPr>
        <w:t>Requirements of attendance, acceptable absence, opportunity for making up missed classes:</w:t>
      </w:r>
    </w:p>
    <w:p w:rsidR="00F45E58" w:rsidRPr="00F45E58" w:rsidRDefault="00F45E58" w:rsidP="00F45E58">
      <w:pPr>
        <w:widowControl w:val="0"/>
        <w:spacing w:before="120" w:after="120" w:line="240" w:lineRule="auto"/>
        <w:ind w:left="426"/>
        <w:jc w:val="both"/>
        <w:rPr>
          <w:rFonts w:ascii="Times New Roman" w:eastAsia="Times New Roman" w:hAnsi="Times New Roman" w:cs="Times New Roman"/>
          <w:bCs/>
          <w:lang w:val="en-GB"/>
        </w:rPr>
      </w:pPr>
      <w:r w:rsidRPr="00F45E58">
        <w:rPr>
          <w:rFonts w:ascii="Times New Roman" w:eastAsia="Calibri" w:hAnsi="Times New Roman" w:cs="Times New Roman"/>
          <w:bCs/>
          <w:lang w:val="en-GB"/>
        </w:rPr>
        <w:t>Students must be present at least 70% of the lessons for acceptance of the subject. Absence must be justified during the first occupation after the absence. The student is required to obtain the material of the lecture and to prepare for it independently.</w:t>
      </w:r>
    </w:p>
    <w:p w:rsidR="00F45E58" w:rsidRPr="00F45E58" w:rsidRDefault="00F45E58" w:rsidP="00980876">
      <w:pPr>
        <w:widowControl w:val="0"/>
        <w:numPr>
          <w:ilvl w:val="0"/>
          <w:numId w:val="429"/>
        </w:numPr>
        <w:spacing w:before="120" w:after="120" w:line="240" w:lineRule="auto"/>
        <w:ind w:left="426" w:hanging="142"/>
        <w:jc w:val="both"/>
        <w:rPr>
          <w:rFonts w:ascii="Times New Roman" w:eastAsia="Times New Roman" w:hAnsi="Times New Roman" w:cs="Times New Roman"/>
          <w:bCs/>
          <w:lang w:val="en-GB"/>
        </w:rPr>
      </w:pPr>
      <w:r w:rsidRPr="00F45E58">
        <w:rPr>
          <w:rFonts w:ascii="Times New Roman" w:eastAsia="Times New Roman" w:hAnsi="Times New Roman" w:cs="Times New Roman"/>
          <w:b/>
          <w:lang w:val="en-GB"/>
        </w:rPr>
        <w:t>Term assignments, testing knowledge:</w:t>
      </w:r>
    </w:p>
    <w:p w:rsidR="00F45E58" w:rsidRPr="00F45E58" w:rsidRDefault="00F45E58" w:rsidP="00F45E58">
      <w:pPr>
        <w:widowControl w:val="0"/>
        <w:spacing w:before="120" w:after="120" w:line="240" w:lineRule="auto"/>
        <w:ind w:left="426"/>
        <w:jc w:val="both"/>
        <w:rPr>
          <w:rFonts w:ascii="Times New Roman" w:eastAsia="Times New Roman" w:hAnsi="Times New Roman" w:cs="Times New Roman"/>
          <w:bCs/>
          <w:lang w:val="en-GB"/>
        </w:rPr>
      </w:pPr>
      <w:r w:rsidRPr="00F45E58">
        <w:rPr>
          <w:rFonts w:ascii="Times New Roman" w:eastAsia="Calibri" w:hAnsi="Times New Roman" w:cs="Times New Roman"/>
          <w:sz w:val="24"/>
          <w:lang w:val="en-GB"/>
        </w:rPr>
        <w:t>One test at the end of the semester</w:t>
      </w:r>
    </w:p>
    <w:p w:rsidR="00F45E58" w:rsidRPr="00F45E58" w:rsidRDefault="00F45E58" w:rsidP="00980876">
      <w:pPr>
        <w:widowControl w:val="0"/>
        <w:numPr>
          <w:ilvl w:val="0"/>
          <w:numId w:val="429"/>
        </w:numPr>
        <w:spacing w:before="120" w:after="120" w:line="240" w:lineRule="auto"/>
        <w:ind w:left="426" w:hanging="142"/>
        <w:jc w:val="both"/>
        <w:rPr>
          <w:rFonts w:ascii="Times New Roman" w:eastAsia="Times New Roman" w:hAnsi="Times New Roman" w:cs="Times New Roman"/>
          <w:b/>
          <w:bCs/>
          <w:lang w:val="en-GB"/>
        </w:rPr>
      </w:pPr>
      <w:r w:rsidRPr="00F45E58">
        <w:rPr>
          <w:rFonts w:ascii="Times New Roman" w:eastAsia="Times New Roman" w:hAnsi="Times New Roman" w:cs="Times New Roman"/>
          <w:b/>
          <w:bCs/>
          <w:lang w:val="en-GB"/>
        </w:rPr>
        <w:t xml:space="preserve">The exact conditions of testing knowledge, obtaining signature or credits: </w:t>
      </w:r>
    </w:p>
    <w:p w:rsidR="00F45E58" w:rsidRPr="00F45E58" w:rsidRDefault="00F45E58" w:rsidP="00980876">
      <w:pPr>
        <w:widowControl w:val="0"/>
        <w:numPr>
          <w:ilvl w:val="1"/>
          <w:numId w:val="429"/>
        </w:numPr>
        <w:tabs>
          <w:tab w:val="left" w:pos="709"/>
          <w:tab w:val="left" w:pos="993"/>
          <w:tab w:val="num" w:pos="2069"/>
        </w:tabs>
        <w:spacing w:before="120" w:after="120" w:line="240" w:lineRule="auto"/>
        <w:ind w:left="426"/>
        <w:jc w:val="both"/>
        <w:rPr>
          <w:rFonts w:ascii="Times New Roman" w:eastAsia="Times New Roman" w:hAnsi="Times New Roman" w:cs="Times New Roman"/>
          <w:lang w:val="en-GB"/>
        </w:rPr>
      </w:pPr>
      <w:r w:rsidRPr="00F45E58">
        <w:rPr>
          <w:rFonts w:ascii="Times New Roman" w:eastAsia="Times New Roman" w:hAnsi="Times New Roman" w:cs="Times New Roman"/>
          <w:b/>
          <w:lang w:val="en-GB"/>
        </w:rPr>
        <w:t>The exact conditions of obtaining signature:</w:t>
      </w:r>
    </w:p>
    <w:p w:rsidR="00F45E58" w:rsidRPr="00F45E58" w:rsidRDefault="00F45E58" w:rsidP="00F45E58">
      <w:pPr>
        <w:widowControl w:val="0"/>
        <w:tabs>
          <w:tab w:val="left" w:pos="993"/>
        </w:tabs>
        <w:spacing w:before="120" w:after="120" w:line="240" w:lineRule="auto"/>
        <w:ind w:left="426"/>
        <w:jc w:val="both"/>
        <w:rPr>
          <w:rFonts w:ascii="Times New Roman" w:eastAsia="Times New Roman" w:hAnsi="Times New Roman" w:cs="Times New Roman"/>
          <w:lang w:val="en-GB"/>
        </w:rPr>
      </w:pPr>
      <w:r w:rsidRPr="00F45E58">
        <w:rPr>
          <w:rFonts w:ascii="Times New Roman" w:eastAsia="Calibri" w:hAnsi="Times New Roman" w:cs="Times New Roman"/>
          <w:sz w:val="24"/>
          <w:szCs w:val="24"/>
          <w:lang w:val="en-GB"/>
        </w:rPr>
        <w:t>The requirement of the signature at the end of semester is a participation in a lectures and the labours and an acceptable test. The mark of the course is the the mark of the test.</w:t>
      </w:r>
    </w:p>
    <w:p w:rsidR="00F45E58" w:rsidRPr="00F45E58" w:rsidRDefault="00F45E58" w:rsidP="00980876">
      <w:pPr>
        <w:widowControl w:val="0"/>
        <w:numPr>
          <w:ilvl w:val="1"/>
          <w:numId w:val="429"/>
        </w:numPr>
        <w:tabs>
          <w:tab w:val="left" w:pos="709"/>
          <w:tab w:val="left" w:pos="993"/>
          <w:tab w:val="num" w:pos="2069"/>
        </w:tabs>
        <w:spacing w:before="120" w:after="120" w:line="240" w:lineRule="auto"/>
        <w:ind w:left="426"/>
        <w:jc w:val="both"/>
        <w:rPr>
          <w:rFonts w:ascii="Times New Roman" w:eastAsia="Times New Roman" w:hAnsi="Times New Roman" w:cs="Times New Roman"/>
          <w:lang w:val="en-GB"/>
        </w:rPr>
      </w:pPr>
      <w:r w:rsidRPr="00F45E58">
        <w:rPr>
          <w:rFonts w:ascii="Times New Roman" w:eastAsia="Times New Roman" w:hAnsi="Times New Roman" w:cs="Times New Roman"/>
          <w:b/>
          <w:lang w:val="en-GB"/>
        </w:rPr>
        <w:t xml:space="preserve">Evaluation: </w:t>
      </w:r>
      <w:r w:rsidRPr="00F45E58">
        <w:rPr>
          <w:rFonts w:ascii="Times New Roman" w:eastAsia="Calibri" w:hAnsi="Times New Roman" w:cs="Times New Roman"/>
          <w:sz w:val="24"/>
          <w:szCs w:val="24"/>
          <w:lang w:val="en-GB"/>
        </w:rPr>
        <w:t>The mark of the course is the mark of the test.</w:t>
      </w:r>
    </w:p>
    <w:p w:rsidR="00F45E58" w:rsidRPr="00F45E58" w:rsidRDefault="00F45E58" w:rsidP="00980876">
      <w:pPr>
        <w:widowControl w:val="0"/>
        <w:numPr>
          <w:ilvl w:val="1"/>
          <w:numId w:val="429"/>
        </w:numPr>
        <w:tabs>
          <w:tab w:val="left" w:pos="709"/>
          <w:tab w:val="left" w:pos="993"/>
          <w:tab w:val="num" w:pos="2069"/>
        </w:tabs>
        <w:spacing w:before="120" w:after="120" w:line="240" w:lineRule="auto"/>
        <w:ind w:left="426"/>
        <w:jc w:val="both"/>
        <w:rPr>
          <w:rFonts w:ascii="Times New Roman" w:eastAsia="Times New Roman" w:hAnsi="Times New Roman" w:cs="Times New Roman"/>
          <w:lang w:val="en-GB"/>
        </w:rPr>
      </w:pPr>
      <w:r w:rsidRPr="00F45E58">
        <w:rPr>
          <w:rFonts w:ascii="Times New Roman" w:eastAsia="Times New Roman" w:hAnsi="Times New Roman" w:cs="Times New Roman"/>
          <w:b/>
          <w:lang w:val="en-GB"/>
        </w:rPr>
        <w:t>The exact conditions of obtaining credits:</w:t>
      </w:r>
      <w:r w:rsidRPr="00F45E58">
        <w:rPr>
          <w:rFonts w:ascii="Times New Roman" w:eastAsia="Times New Roman" w:hAnsi="Times New Roman" w:cs="Times New Roman"/>
          <w:lang w:val="en-GB"/>
        </w:rPr>
        <w:t xml:space="preserve"> </w:t>
      </w:r>
      <w:r w:rsidRPr="00F45E58">
        <w:rPr>
          <w:rFonts w:ascii="Times New Roman" w:eastAsia="Times New Roman" w:hAnsi="Times New Roman" w:cs="Times New Roman"/>
          <w:lang w:val="en-GB" w:eastAsia="hu-HU"/>
        </w:rPr>
        <w:t>Successful test.</w:t>
      </w:r>
    </w:p>
    <w:p w:rsidR="00F45E58" w:rsidRPr="00F45E58" w:rsidRDefault="00F45E58" w:rsidP="00980876">
      <w:pPr>
        <w:widowControl w:val="0"/>
        <w:numPr>
          <w:ilvl w:val="0"/>
          <w:numId w:val="429"/>
        </w:numPr>
        <w:spacing w:before="120" w:after="120" w:line="240" w:lineRule="auto"/>
        <w:ind w:left="426" w:hanging="142"/>
        <w:jc w:val="both"/>
        <w:rPr>
          <w:rFonts w:ascii="Times New Roman" w:eastAsia="Times New Roman" w:hAnsi="Times New Roman" w:cs="Times New Roman"/>
          <w:bCs/>
          <w:lang w:val="en-GB"/>
        </w:rPr>
      </w:pPr>
      <w:r w:rsidRPr="00F45E58">
        <w:rPr>
          <w:rFonts w:ascii="Times New Roman" w:eastAsia="Times New Roman" w:hAnsi="Times New Roman" w:cs="Times New Roman"/>
          <w:b/>
          <w:bCs/>
          <w:lang w:val="en-GB"/>
        </w:rPr>
        <w:t>Bibliography:</w:t>
      </w:r>
    </w:p>
    <w:p w:rsidR="00F45E58" w:rsidRPr="00F45E58" w:rsidRDefault="00F45E58" w:rsidP="00980876">
      <w:pPr>
        <w:widowControl w:val="0"/>
        <w:numPr>
          <w:ilvl w:val="1"/>
          <w:numId w:val="429"/>
        </w:numPr>
        <w:tabs>
          <w:tab w:val="left" w:pos="993"/>
          <w:tab w:val="num" w:pos="2069"/>
        </w:tabs>
        <w:spacing w:before="120" w:after="120" w:line="240" w:lineRule="auto"/>
        <w:ind w:left="426" w:hanging="142"/>
        <w:jc w:val="both"/>
        <w:rPr>
          <w:rFonts w:ascii="Times New Roman" w:eastAsia="Times New Roman" w:hAnsi="Times New Roman" w:cs="Times New Roman"/>
          <w:bCs/>
          <w:lang w:val="en-GB"/>
        </w:rPr>
      </w:pPr>
      <w:r w:rsidRPr="00F45E58">
        <w:rPr>
          <w:rFonts w:ascii="Times New Roman" w:eastAsia="Times New Roman" w:hAnsi="Times New Roman" w:cs="Times New Roman"/>
          <w:b/>
          <w:bCs/>
          <w:lang w:val="en-GB"/>
        </w:rPr>
        <w:t>Compulsory readings:</w:t>
      </w:r>
    </w:p>
    <w:p w:rsidR="00F45E58" w:rsidRPr="00F45E58" w:rsidRDefault="00F45E58" w:rsidP="00980876">
      <w:pPr>
        <w:widowControl w:val="0"/>
        <w:numPr>
          <w:ilvl w:val="0"/>
          <w:numId w:val="430"/>
        </w:numPr>
        <w:spacing w:after="0" w:line="240" w:lineRule="auto"/>
        <w:jc w:val="both"/>
        <w:rPr>
          <w:rFonts w:ascii="Times New Roman" w:eastAsia="Times New Roman" w:hAnsi="Times New Roman" w:cs="Times New Roman"/>
          <w:lang w:val="en-GB"/>
        </w:rPr>
      </w:pPr>
      <w:r w:rsidRPr="00F45E58">
        <w:rPr>
          <w:rFonts w:ascii="Times New Roman" w:eastAsia="Times New Roman" w:hAnsi="Times New Roman" w:cs="Times New Roman"/>
          <w:color w:val="000000"/>
          <w:lang w:val="en-GB"/>
        </w:rPr>
        <w:t>Steven R. Schmid, Bernard J. Hamrock, Bo O. Jacobson,</w:t>
      </w:r>
      <w:r w:rsidRPr="00F45E58">
        <w:rPr>
          <w:rFonts w:ascii="Times New Roman" w:eastAsia="Calibri" w:hAnsi="Times New Roman" w:cs="Times New Roman"/>
          <w:lang w:val="en-GB"/>
        </w:rPr>
        <w:t xml:space="preserve"> </w:t>
      </w:r>
      <w:r w:rsidRPr="00F45E58">
        <w:rPr>
          <w:rFonts w:ascii="Times New Roman" w:eastAsia="Times New Roman" w:hAnsi="Times New Roman" w:cs="Times New Roman"/>
          <w:color w:val="000000"/>
          <w:lang w:val="en-GB"/>
        </w:rPr>
        <w:t xml:space="preserve">(2009) </w:t>
      </w:r>
      <w:r w:rsidRPr="00F45E58">
        <w:rPr>
          <w:rFonts w:ascii="Times New Roman" w:eastAsia="Times New Roman" w:hAnsi="Times New Roman" w:cs="Times New Roman"/>
          <w:lang w:val="en-GB"/>
        </w:rPr>
        <w:t xml:space="preserve">Fundamentals of Machine Elements </w:t>
      </w:r>
      <w:r w:rsidRPr="00F45E58">
        <w:rPr>
          <w:rFonts w:ascii="Times New Roman" w:eastAsia="Times New Roman" w:hAnsi="Times New Roman" w:cs="Times New Roman"/>
          <w:color w:val="000000"/>
          <w:lang w:val="en-GB"/>
        </w:rPr>
        <w:t>CRC Press Taylor &amp; Francis Group 6000 Broken Sound Parkway NW, Suite 300 ISBN-13: 978-1-4822-4750-3</w:t>
      </w:r>
    </w:p>
    <w:p w:rsidR="00F45E58" w:rsidRPr="00F45E58" w:rsidRDefault="00F45E58" w:rsidP="00980876">
      <w:pPr>
        <w:widowControl w:val="0"/>
        <w:numPr>
          <w:ilvl w:val="0"/>
          <w:numId w:val="430"/>
        </w:numPr>
        <w:spacing w:after="0" w:line="240" w:lineRule="auto"/>
        <w:jc w:val="both"/>
        <w:rPr>
          <w:rFonts w:ascii="Times New Roman" w:eastAsia="Times New Roman" w:hAnsi="Times New Roman" w:cs="Times New Roman"/>
          <w:color w:val="000000"/>
          <w:lang w:val="en-GB"/>
        </w:rPr>
      </w:pPr>
      <w:r w:rsidRPr="00F45E58">
        <w:rPr>
          <w:rFonts w:ascii="Times New Roman" w:eastAsia="Times New Roman" w:hAnsi="Times New Roman" w:cs="Times New Roman"/>
          <w:color w:val="000000"/>
          <w:lang w:val="en-GB"/>
        </w:rPr>
        <w:lastRenderedPageBreak/>
        <w:t xml:space="preserve">Haik, Y., (2003) Engineering Design Process, Thomson. </w:t>
      </w:r>
    </w:p>
    <w:p w:rsidR="00F45E58" w:rsidRPr="00F45E58" w:rsidRDefault="00F45E58" w:rsidP="00980876">
      <w:pPr>
        <w:widowControl w:val="0"/>
        <w:numPr>
          <w:ilvl w:val="0"/>
          <w:numId w:val="430"/>
        </w:numPr>
        <w:spacing w:after="0" w:line="240" w:lineRule="auto"/>
        <w:jc w:val="both"/>
        <w:rPr>
          <w:rFonts w:ascii="Times New Roman" w:eastAsia="Times New Roman" w:hAnsi="Times New Roman" w:cs="Times New Roman"/>
          <w:lang w:val="en-GB"/>
        </w:rPr>
      </w:pPr>
      <w:r w:rsidRPr="00F45E58">
        <w:rPr>
          <w:rFonts w:ascii="Times New Roman" w:eastAsia="Times New Roman" w:hAnsi="Times New Roman" w:cs="Times New Roman"/>
          <w:color w:val="000000"/>
          <w:lang w:val="en-GB"/>
        </w:rPr>
        <w:t>Ullman, D.G., (2009) The Mechanical Design Process, McGraw-Hill.</w:t>
      </w:r>
    </w:p>
    <w:p w:rsidR="00F45E58" w:rsidRPr="00F45E58" w:rsidRDefault="00F45E58" w:rsidP="00980876">
      <w:pPr>
        <w:widowControl w:val="0"/>
        <w:numPr>
          <w:ilvl w:val="1"/>
          <w:numId w:val="429"/>
        </w:numPr>
        <w:tabs>
          <w:tab w:val="left" w:pos="993"/>
          <w:tab w:val="num" w:pos="2069"/>
        </w:tabs>
        <w:spacing w:before="120" w:after="120" w:line="240" w:lineRule="auto"/>
        <w:ind w:left="426" w:hanging="142"/>
        <w:jc w:val="both"/>
        <w:rPr>
          <w:rFonts w:ascii="Times New Roman" w:eastAsia="Times New Roman" w:hAnsi="Times New Roman" w:cs="Times New Roman"/>
          <w:b/>
          <w:bCs/>
          <w:lang w:val="en-GB"/>
        </w:rPr>
      </w:pPr>
      <w:r w:rsidRPr="00F45E58">
        <w:rPr>
          <w:rFonts w:ascii="Times New Roman" w:eastAsia="Times New Roman" w:hAnsi="Times New Roman" w:cs="Times New Roman"/>
          <w:b/>
          <w:bCs/>
          <w:lang w:val="en-GB"/>
        </w:rPr>
        <w:t>Recommended readings:</w:t>
      </w:r>
    </w:p>
    <w:p w:rsidR="00F45E58" w:rsidRPr="00F45E58" w:rsidRDefault="00F45E58" w:rsidP="00980876">
      <w:pPr>
        <w:widowControl w:val="0"/>
        <w:numPr>
          <w:ilvl w:val="0"/>
          <w:numId w:val="427"/>
        </w:numPr>
        <w:spacing w:after="0" w:line="240" w:lineRule="auto"/>
        <w:ind w:left="1134" w:hanging="425"/>
        <w:jc w:val="both"/>
        <w:rPr>
          <w:rFonts w:ascii="Times New Roman" w:eastAsia="Times New Roman" w:hAnsi="Times New Roman" w:cs="Times New Roman"/>
          <w:lang w:val="en-GB"/>
        </w:rPr>
      </w:pPr>
      <w:r w:rsidRPr="00F45E58">
        <w:rPr>
          <w:rFonts w:ascii="Times New Roman" w:eastAsia="Times New Roman" w:hAnsi="Times New Roman" w:cs="Times New Roman"/>
          <w:color w:val="000000"/>
          <w:lang w:val="en-GB"/>
        </w:rPr>
        <w:t>Hyman, B. (2003) Fundamentals of Engineering Design, 2nd ed.,Prentice-Hall.</w:t>
      </w:r>
      <w:r w:rsidRPr="00F45E58">
        <w:rPr>
          <w:rFonts w:ascii="Times New Roman" w:eastAsia="Times New Roman" w:hAnsi="Times New Roman" w:cs="Times New Roman"/>
          <w:highlight w:val="lightGray"/>
          <w:lang w:val="en-GB" w:eastAsia="hu-HU"/>
        </w:rPr>
        <w:t>…</w:t>
      </w:r>
      <w:r w:rsidRPr="00F45E58">
        <w:rPr>
          <w:rFonts w:ascii="Times New Roman" w:eastAsia="Times New Roman" w:hAnsi="Times New Roman" w:cs="Times New Roman"/>
          <w:lang w:val="en-GB"/>
        </w:rPr>
        <w:t xml:space="preserve"> </w:t>
      </w:r>
    </w:p>
    <w:p w:rsidR="00F45E58" w:rsidRPr="00F45E58" w:rsidRDefault="00F45E58" w:rsidP="00980876">
      <w:pPr>
        <w:widowControl w:val="0"/>
        <w:numPr>
          <w:ilvl w:val="0"/>
          <w:numId w:val="427"/>
        </w:numPr>
        <w:spacing w:after="0" w:line="240" w:lineRule="auto"/>
        <w:ind w:left="1134" w:hanging="425"/>
        <w:jc w:val="both"/>
        <w:rPr>
          <w:rFonts w:ascii="Times New Roman" w:eastAsia="Times New Roman" w:hAnsi="Times New Roman" w:cs="Times New Roman"/>
          <w:lang w:val="en-GB"/>
        </w:rPr>
      </w:pPr>
      <w:r w:rsidRPr="00F45E58">
        <w:rPr>
          <w:rFonts w:ascii="Times New Roman" w:eastAsia="Times New Roman" w:hAnsi="Times New Roman" w:cs="Times New Roman"/>
          <w:color w:val="000000"/>
          <w:lang w:val="en-GB"/>
        </w:rPr>
        <w:t>Lindbeck, J.R., (1995) Product Design and Manufacture, Prentice-Hall.</w:t>
      </w:r>
    </w:p>
    <w:p w:rsidR="00F45E58" w:rsidRPr="00F45E58" w:rsidRDefault="00F45E58" w:rsidP="00980876">
      <w:pPr>
        <w:widowControl w:val="0"/>
        <w:numPr>
          <w:ilvl w:val="0"/>
          <w:numId w:val="427"/>
        </w:numPr>
        <w:autoSpaceDE w:val="0"/>
        <w:autoSpaceDN w:val="0"/>
        <w:adjustRightInd w:val="0"/>
        <w:snapToGrid w:val="0"/>
        <w:spacing w:after="0" w:line="240" w:lineRule="auto"/>
        <w:ind w:left="1134" w:hanging="425"/>
        <w:contextualSpacing/>
        <w:jc w:val="both"/>
        <w:rPr>
          <w:rFonts w:ascii="Times New Roman" w:eastAsia="Times New Roman" w:hAnsi="Times New Roman" w:cs="Times New Roman"/>
          <w:lang w:val="en-GB"/>
        </w:rPr>
      </w:pPr>
      <w:r w:rsidRPr="00F45E58">
        <w:rPr>
          <w:rFonts w:ascii="Times New Roman" w:eastAsia="Times New Roman" w:hAnsi="Times New Roman" w:cs="Times New Roman"/>
          <w:color w:val="000000"/>
          <w:lang w:val="en-GB"/>
        </w:rPr>
        <w:t>Dieter, G.E. and Schmidt, L. (2008) Engineering Design, 4th ed.,McGraw-Hill.</w:t>
      </w:r>
    </w:p>
    <w:p w:rsidR="00F45E58" w:rsidRPr="00F45E58" w:rsidRDefault="00F45E58" w:rsidP="00F45E58">
      <w:pPr>
        <w:widowControl w:val="0"/>
        <w:spacing w:before="120" w:after="120" w:line="240" w:lineRule="auto"/>
        <w:jc w:val="both"/>
        <w:rPr>
          <w:rFonts w:ascii="Times New Roman" w:eastAsia="Times New Roman" w:hAnsi="Times New Roman" w:cs="Times New Roman"/>
          <w:bCs/>
          <w:lang w:val="en-GB"/>
        </w:rPr>
      </w:pPr>
    </w:p>
    <w:p w:rsidR="00F45E58" w:rsidRPr="00F45E58" w:rsidRDefault="00F45E58" w:rsidP="00F45E58">
      <w:pPr>
        <w:widowControl w:val="0"/>
        <w:spacing w:before="120" w:after="120" w:line="240" w:lineRule="auto"/>
        <w:jc w:val="both"/>
        <w:rPr>
          <w:rFonts w:ascii="Times New Roman" w:eastAsia="Times New Roman" w:hAnsi="Times New Roman" w:cs="Times New Roman"/>
          <w:bCs/>
          <w:lang w:val="en-GB"/>
        </w:rPr>
      </w:pPr>
      <w:r w:rsidRPr="00F45E58">
        <w:rPr>
          <w:rFonts w:ascii="Times New Roman" w:eastAsia="Times New Roman" w:hAnsi="Times New Roman" w:cs="Times New Roman"/>
          <w:bCs/>
          <w:lang w:val="en-GB"/>
        </w:rPr>
        <w:t xml:space="preserve">Budapest, </w:t>
      </w:r>
      <w:r w:rsidRPr="00F45E58">
        <w:rPr>
          <w:rFonts w:ascii="Times New Roman" w:eastAsia="Times New Roman" w:hAnsi="Times New Roman" w:cs="Times New Roman"/>
          <w:highlight w:val="lightGray"/>
          <w:lang w:val="en-GB" w:eastAsia="hu-HU"/>
        </w:rPr>
        <w:t>2020.</w:t>
      </w:r>
      <w:r w:rsidRPr="00F45E58">
        <w:rPr>
          <w:rFonts w:ascii="Times New Roman" w:eastAsia="Times New Roman" w:hAnsi="Times New Roman" w:cs="Times New Roman"/>
          <w:lang w:val="en-GB" w:eastAsia="hu-HU"/>
        </w:rPr>
        <w:t>03.15</w:t>
      </w:r>
    </w:p>
    <w:p w:rsidR="00F45E58" w:rsidRPr="00F45E58" w:rsidRDefault="00F45E58" w:rsidP="00F45E58">
      <w:pPr>
        <w:widowControl w:val="0"/>
        <w:spacing w:before="120" w:after="120" w:line="240" w:lineRule="auto"/>
        <w:jc w:val="both"/>
        <w:rPr>
          <w:rFonts w:ascii="Times New Roman" w:eastAsia="Times New Roman" w:hAnsi="Times New Roman" w:cs="Times New Roman"/>
          <w:bCs/>
          <w:lang w:val="en-GB"/>
        </w:rPr>
      </w:pPr>
    </w:p>
    <w:p w:rsidR="00F45E58" w:rsidRPr="00F45E58" w:rsidRDefault="00F45E58" w:rsidP="00F45E58">
      <w:pPr>
        <w:widowControl w:val="0"/>
        <w:spacing w:after="0" w:line="240" w:lineRule="auto"/>
        <w:jc w:val="right"/>
        <w:rPr>
          <w:rFonts w:ascii="Times New Roman" w:eastAsia="Times New Roman" w:hAnsi="Times New Roman" w:cs="Times New Roman"/>
          <w:bCs/>
          <w:lang w:val="en-GB"/>
        </w:rPr>
      </w:pPr>
      <w:r w:rsidRPr="00F45E58">
        <w:rPr>
          <w:rFonts w:ascii="Times New Roman" w:eastAsia="Times New Roman" w:hAnsi="Times New Roman" w:cs="Times New Roman"/>
          <w:bCs/>
          <w:lang w:val="en-GB"/>
        </w:rPr>
        <w:t>József Gyarmati PhD associate professor,</w:t>
      </w:r>
    </w:p>
    <w:p w:rsidR="00F45E58" w:rsidRDefault="00F45E58">
      <w:pPr>
        <w:spacing w:after="200" w:line="276" w:lineRule="auto"/>
        <w:rPr>
          <w:rFonts w:ascii="Times New Roman" w:hAnsi="Times New Roman" w:cs="Times New Roman"/>
          <w:sz w:val="24"/>
        </w:rPr>
      </w:pPr>
      <w:r>
        <w:rPr>
          <w:rFonts w:ascii="Times New Roman" w:hAnsi="Times New Roman" w:cs="Times New Roman"/>
          <w:sz w:val="24"/>
        </w:rPr>
        <w:br w:type="page"/>
      </w:r>
    </w:p>
    <w:tbl>
      <w:tblPr>
        <w:tblW w:w="9072" w:type="dxa"/>
        <w:tblInd w:w="113" w:type="dxa"/>
        <w:tblLook w:val="01E0" w:firstRow="1" w:lastRow="1" w:firstColumn="1" w:lastColumn="1" w:noHBand="0" w:noVBand="0"/>
      </w:tblPr>
      <w:tblGrid>
        <w:gridCol w:w="4855"/>
        <w:gridCol w:w="1620"/>
        <w:gridCol w:w="2597"/>
      </w:tblGrid>
      <w:tr w:rsidR="005A513E" w:rsidRPr="005A513E" w:rsidTr="00B14410">
        <w:tc>
          <w:tcPr>
            <w:tcW w:w="4855" w:type="dxa"/>
            <w:tcBorders>
              <w:top w:val="nil"/>
              <w:left w:val="nil"/>
              <w:bottom w:val="single" w:sz="4" w:space="0" w:color="auto"/>
              <w:right w:val="nil"/>
            </w:tcBorders>
            <w:hideMark/>
          </w:tcPr>
          <w:p w:rsidR="005A513E" w:rsidRPr="005A513E" w:rsidRDefault="005A513E" w:rsidP="005A513E">
            <w:pPr>
              <w:spacing w:after="0" w:line="240" w:lineRule="auto"/>
              <w:jc w:val="center"/>
              <w:rPr>
                <w:rFonts w:ascii="Times New Roman" w:eastAsia="Times New Roman" w:hAnsi="Times New Roman" w:cs="Times New Roman"/>
                <w:b/>
                <w:smallCaps/>
                <w:lang w:eastAsia="hu-HU"/>
              </w:rPr>
            </w:pPr>
            <w:r w:rsidRPr="005A513E">
              <w:rPr>
                <w:rFonts w:ascii="Times New Roman" w:eastAsia="Times New Roman" w:hAnsi="Times New Roman" w:cs="Times New Roman"/>
                <w:b/>
                <w:smallCaps/>
                <w:lang w:eastAsia="hu-HU"/>
              </w:rPr>
              <w:lastRenderedPageBreak/>
              <w:t>Nemzeti Közszolgálati Egyetem</w:t>
            </w:r>
          </w:p>
        </w:tc>
        <w:tc>
          <w:tcPr>
            <w:tcW w:w="1620" w:type="dxa"/>
          </w:tcPr>
          <w:p w:rsidR="005A513E" w:rsidRPr="005A513E" w:rsidRDefault="005A513E" w:rsidP="005A513E">
            <w:pPr>
              <w:spacing w:after="0" w:line="240" w:lineRule="auto"/>
              <w:jc w:val="both"/>
              <w:rPr>
                <w:rFonts w:ascii="Times New Roman" w:eastAsia="Times New Roman" w:hAnsi="Times New Roman" w:cs="Times New Roman"/>
                <w:lang w:eastAsia="hu-HU"/>
              </w:rPr>
            </w:pPr>
          </w:p>
        </w:tc>
        <w:tc>
          <w:tcPr>
            <w:tcW w:w="2597" w:type="dxa"/>
          </w:tcPr>
          <w:p w:rsidR="005A513E" w:rsidRPr="005A513E" w:rsidRDefault="005A513E" w:rsidP="005A513E">
            <w:pPr>
              <w:spacing w:after="0" w:line="240" w:lineRule="auto"/>
              <w:jc w:val="right"/>
              <w:rPr>
                <w:rFonts w:ascii="Times New Roman" w:eastAsia="Times New Roman" w:hAnsi="Times New Roman" w:cs="Times New Roman"/>
                <w:lang w:eastAsia="hu-HU"/>
              </w:rPr>
            </w:pPr>
          </w:p>
        </w:tc>
      </w:tr>
      <w:tr w:rsidR="005A513E" w:rsidRPr="005A513E" w:rsidTr="00B14410">
        <w:tc>
          <w:tcPr>
            <w:tcW w:w="4855" w:type="dxa"/>
            <w:tcBorders>
              <w:top w:val="single" w:sz="4" w:space="0" w:color="auto"/>
              <w:left w:val="nil"/>
              <w:bottom w:val="nil"/>
              <w:right w:val="nil"/>
            </w:tcBorders>
            <w:hideMark/>
          </w:tcPr>
          <w:p w:rsidR="005A513E" w:rsidRPr="005A513E" w:rsidRDefault="005A513E" w:rsidP="005A513E">
            <w:pPr>
              <w:spacing w:after="0" w:line="240" w:lineRule="auto"/>
              <w:jc w:val="center"/>
              <w:rPr>
                <w:rFonts w:ascii="Times New Roman" w:eastAsia="Times New Roman" w:hAnsi="Times New Roman" w:cs="Times New Roman"/>
                <w:b/>
                <w:lang w:eastAsia="hu-HU"/>
              </w:rPr>
            </w:pPr>
            <w:r w:rsidRPr="005A513E">
              <w:rPr>
                <w:rFonts w:ascii="Times New Roman" w:eastAsia="Times New Roman" w:hAnsi="Times New Roman" w:cs="Times New Roman"/>
                <w:b/>
                <w:lang w:eastAsia="hu-HU"/>
              </w:rPr>
              <w:t>Hadtudományi és Honvédtisztképző Kar</w:t>
            </w:r>
          </w:p>
        </w:tc>
        <w:tc>
          <w:tcPr>
            <w:tcW w:w="1620" w:type="dxa"/>
          </w:tcPr>
          <w:p w:rsidR="005A513E" w:rsidRPr="005A513E" w:rsidRDefault="005A513E" w:rsidP="005A513E">
            <w:pPr>
              <w:spacing w:after="0" w:line="240" w:lineRule="auto"/>
              <w:jc w:val="both"/>
              <w:rPr>
                <w:rFonts w:ascii="Times New Roman" w:eastAsia="Times New Roman" w:hAnsi="Times New Roman" w:cs="Times New Roman"/>
                <w:lang w:eastAsia="hu-HU"/>
              </w:rPr>
            </w:pPr>
          </w:p>
        </w:tc>
        <w:tc>
          <w:tcPr>
            <w:tcW w:w="2597" w:type="dxa"/>
          </w:tcPr>
          <w:p w:rsidR="005A513E" w:rsidRPr="005A513E" w:rsidRDefault="005A513E" w:rsidP="005A513E">
            <w:pPr>
              <w:spacing w:after="0" w:line="240" w:lineRule="auto"/>
              <w:jc w:val="both"/>
              <w:rPr>
                <w:rFonts w:ascii="Times New Roman" w:eastAsia="Times New Roman" w:hAnsi="Times New Roman" w:cs="Times New Roman"/>
                <w:lang w:eastAsia="hu-HU"/>
              </w:rPr>
            </w:pPr>
          </w:p>
        </w:tc>
      </w:tr>
    </w:tbl>
    <w:p w:rsidR="005A513E" w:rsidRPr="005A513E" w:rsidRDefault="005A513E" w:rsidP="005A513E">
      <w:pPr>
        <w:tabs>
          <w:tab w:val="right" w:pos="0"/>
          <w:tab w:val="center" w:pos="4819"/>
          <w:tab w:val="right" w:pos="9071"/>
        </w:tabs>
        <w:spacing w:after="0" w:line="240" w:lineRule="auto"/>
        <w:jc w:val="both"/>
        <w:rPr>
          <w:rFonts w:ascii="Times New Roman" w:eastAsia="Times New Roman" w:hAnsi="Times New Roman" w:cs="Times New Roman"/>
          <w:bCs/>
          <w:lang w:eastAsia="hu-HU"/>
        </w:rPr>
      </w:pPr>
    </w:p>
    <w:p w:rsidR="005A513E" w:rsidRPr="004B3EF3" w:rsidRDefault="005A513E" w:rsidP="004B3EF3">
      <w:pPr>
        <w:widowControl w:val="0"/>
        <w:spacing w:before="120" w:after="120" w:line="240" w:lineRule="auto"/>
        <w:ind w:left="426" w:hanging="142"/>
        <w:jc w:val="center"/>
        <w:rPr>
          <w:rFonts w:ascii="Times New Roman" w:eastAsia="Times New Roman" w:hAnsi="Times New Roman" w:cs="Times New Roman"/>
          <w:b/>
          <w:bCs/>
          <w:lang w:val="en-GB"/>
        </w:rPr>
      </w:pPr>
      <w:r w:rsidRPr="004B3EF3">
        <w:rPr>
          <w:rFonts w:ascii="Times New Roman" w:eastAsia="Times New Roman" w:hAnsi="Times New Roman" w:cs="Times New Roman"/>
          <w:b/>
          <w:bCs/>
          <w:lang w:val="en-GB"/>
        </w:rPr>
        <w:t>TANTÁRGYI PROGRAM</w:t>
      </w:r>
    </w:p>
    <w:p w:rsidR="005A513E" w:rsidRPr="005A513E" w:rsidRDefault="005A513E" w:rsidP="00980876">
      <w:pPr>
        <w:numPr>
          <w:ilvl w:val="0"/>
          <w:numId w:val="433"/>
        </w:numPr>
        <w:tabs>
          <w:tab w:val="clear" w:pos="720"/>
          <w:tab w:val="num" w:pos="644"/>
          <w:tab w:val="right" w:pos="900"/>
          <w:tab w:val="center" w:pos="4536"/>
          <w:tab w:val="right" w:pos="9071"/>
        </w:tabs>
        <w:spacing w:before="120" w:after="120" w:line="240" w:lineRule="auto"/>
        <w:ind w:left="644"/>
        <w:jc w:val="both"/>
        <w:rPr>
          <w:rFonts w:ascii="Times New Roman" w:eastAsia="Times New Roman" w:hAnsi="Times New Roman" w:cs="Times New Roman"/>
          <w:b/>
          <w:bCs/>
          <w:lang w:eastAsia="hu-HU"/>
        </w:rPr>
      </w:pPr>
      <w:r w:rsidRPr="005A513E">
        <w:rPr>
          <w:rFonts w:ascii="Times New Roman" w:eastAsia="Times New Roman" w:hAnsi="Times New Roman" w:cs="Times New Roman"/>
          <w:b/>
          <w:bCs/>
          <w:lang w:eastAsia="hu-HU"/>
        </w:rPr>
        <w:t xml:space="preserve">A tantárgy kódja: </w:t>
      </w:r>
      <w:r w:rsidRPr="004B3EF3">
        <w:rPr>
          <w:rFonts w:ascii="Times New Roman" w:eastAsia="Times New Roman" w:hAnsi="Times New Roman" w:cs="Times New Roman"/>
          <w:bCs/>
          <w:lang w:eastAsia="hu-HU"/>
        </w:rPr>
        <w:t>HKHDTA33</w:t>
      </w:r>
    </w:p>
    <w:p w:rsidR="005A513E" w:rsidRPr="005A513E" w:rsidRDefault="005A513E" w:rsidP="00980876">
      <w:pPr>
        <w:numPr>
          <w:ilvl w:val="0"/>
          <w:numId w:val="433"/>
        </w:numPr>
        <w:tabs>
          <w:tab w:val="clear" w:pos="720"/>
          <w:tab w:val="num" w:pos="644"/>
          <w:tab w:val="right" w:pos="900"/>
          <w:tab w:val="center" w:pos="4536"/>
          <w:tab w:val="right" w:pos="9071"/>
        </w:tabs>
        <w:spacing w:before="120" w:after="120" w:line="240" w:lineRule="auto"/>
        <w:ind w:left="644"/>
        <w:jc w:val="both"/>
        <w:rPr>
          <w:rFonts w:ascii="Times New Roman" w:eastAsia="Times New Roman" w:hAnsi="Times New Roman" w:cs="Times New Roman"/>
          <w:bCs/>
          <w:lang w:eastAsia="hu-HU"/>
        </w:rPr>
      </w:pPr>
      <w:r w:rsidRPr="005A513E">
        <w:rPr>
          <w:rFonts w:ascii="Times New Roman" w:eastAsia="Times New Roman" w:hAnsi="Times New Roman" w:cs="Times New Roman"/>
          <w:b/>
          <w:bCs/>
          <w:lang w:eastAsia="hu-HU"/>
        </w:rPr>
        <w:t xml:space="preserve">A tantárgy megnevezése (magyarul): </w:t>
      </w:r>
      <w:r w:rsidRPr="005A513E">
        <w:rPr>
          <w:rFonts w:ascii="Times New Roman" w:eastAsia="Times New Roman" w:hAnsi="Times New Roman" w:cs="Times New Roman"/>
          <w:lang w:eastAsia="hu-HU"/>
        </w:rPr>
        <w:t>Harcjármű Fedélzeti Rendszerek L</w:t>
      </w:r>
    </w:p>
    <w:p w:rsidR="005A513E" w:rsidRPr="005A513E" w:rsidRDefault="005A513E" w:rsidP="00980876">
      <w:pPr>
        <w:numPr>
          <w:ilvl w:val="0"/>
          <w:numId w:val="433"/>
        </w:numPr>
        <w:tabs>
          <w:tab w:val="clear" w:pos="720"/>
          <w:tab w:val="num" w:pos="644"/>
          <w:tab w:val="right" w:pos="900"/>
          <w:tab w:val="center" w:pos="4536"/>
          <w:tab w:val="right" w:pos="9071"/>
        </w:tabs>
        <w:spacing w:before="120" w:after="120" w:line="240" w:lineRule="auto"/>
        <w:ind w:left="644"/>
        <w:jc w:val="both"/>
        <w:rPr>
          <w:rFonts w:ascii="Times New Roman" w:eastAsia="Times New Roman" w:hAnsi="Times New Roman" w:cs="Times New Roman"/>
          <w:bCs/>
          <w:lang w:eastAsia="hu-HU"/>
        </w:rPr>
      </w:pPr>
      <w:r w:rsidRPr="005A513E">
        <w:rPr>
          <w:rFonts w:ascii="Times New Roman" w:eastAsia="Times New Roman" w:hAnsi="Times New Roman" w:cs="Times New Roman"/>
          <w:b/>
          <w:bCs/>
          <w:lang w:eastAsia="hu-HU"/>
        </w:rPr>
        <w:t xml:space="preserve">A tantárgy megnevezése (angolul): </w:t>
      </w:r>
      <w:r w:rsidRPr="005A513E">
        <w:rPr>
          <w:rFonts w:ascii="Times New Roman" w:eastAsia="Times New Roman" w:hAnsi="Times New Roman" w:cs="Times New Roman"/>
          <w:bCs/>
          <w:lang w:eastAsia="hu-HU"/>
        </w:rPr>
        <w:t>Weapon systems of combat vehicles</w:t>
      </w:r>
    </w:p>
    <w:p w:rsidR="005A513E" w:rsidRPr="005A513E" w:rsidRDefault="005A513E" w:rsidP="00980876">
      <w:pPr>
        <w:numPr>
          <w:ilvl w:val="0"/>
          <w:numId w:val="433"/>
        </w:numPr>
        <w:tabs>
          <w:tab w:val="clear" w:pos="720"/>
          <w:tab w:val="num" w:pos="644"/>
          <w:tab w:val="right" w:pos="900"/>
          <w:tab w:val="center" w:pos="4536"/>
          <w:tab w:val="right" w:pos="9071"/>
        </w:tabs>
        <w:spacing w:before="120" w:after="120" w:line="240" w:lineRule="auto"/>
        <w:ind w:left="644"/>
        <w:rPr>
          <w:rFonts w:ascii="Times New Roman" w:eastAsia="Times New Roman" w:hAnsi="Times New Roman" w:cs="Times New Roman"/>
          <w:bCs/>
          <w:lang w:eastAsia="hu-HU"/>
        </w:rPr>
      </w:pPr>
      <w:r w:rsidRPr="005A513E">
        <w:rPr>
          <w:rFonts w:ascii="Times New Roman" w:eastAsia="Times New Roman" w:hAnsi="Times New Roman" w:cs="Times New Roman"/>
          <w:b/>
          <w:bCs/>
          <w:lang w:eastAsia="hu-HU"/>
        </w:rPr>
        <w:t>Kreditérték: 2</w:t>
      </w:r>
    </w:p>
    <w:p w:rsidR="005A513E" w:rsidRPr="005A513E" w:rsidRDefault="005A513E" w:rsidP="00980876">
      <w:pPr>
        <w:numPr>
          <w:ilvl w:val="0"/>
          <w:numId w:val="433"/>
        </w:numPr>
        <w:tabs>
          <w:tab w:val="clear" w:pos="720"/>
          <w:tab w:val="num" w:pos="644"/>
          <w:tab w:val="right" w:pos="900"/>
          <w:tab w:val="center" w:pos="4536"/>
          <w:tab w:val="right" w:pos="9071"/>
        </w:tabs>
        <w:spacing w:before="120" w:after="120" w:line="240" w:lineRule="auto"/>
        <w:ind w:left="644"/>
        <w:jc w:val="both"/>
        <w:rPr>
          <w:rFonts w:ascii="Times New Roman" w:eastAsia="Times New Roman" w:hAnsi="Times New Roman" w:cs="Times New Roman"/>
          <w:bCs/>
          <w:lang w:eastAsia="hu-HU"/>
        </w:rPr>
      </w:pPr>
      <w:r w:rsidRPr="005A513E">
        <w:rPr>
          <w:rFonts w:ascii="Times New Roman" w:eastAsia="Times New Roman" w:hAnsi="Times New Roman" w:cs="Times New Roman"/>
          <w:b/>
          <w:bCs/>
          <w:lang w:eastAsia="hu-HU"/>
        </w:rPr>
        <w:t xml:space="preserve">A szak(ok), szakirányok megnevezése (ahol oktatják): </w:t>
      </w:r>
      <w:r w:rsidRPr="005A513E">
        <w:rPr>
          <w:rFonts w:ascii="Times New Roman" w:eastAsia="Times New Roman" w:hAnsi="Times New Roman" w:cs="Times New Roman"/>
          <w:bCs/>
          <w:lang w:eastAsia="hu-HU"/>
        </w:rPr>
        <w:t>Katonai logisztika (</w:t>
      </w:r>
      <w:r w:rsidR="00137B8A">
        <w:rPr>
          <w:rFonts w:ascii="Times New Roman" w:eastAsia="Times New Roman" w:hAnsi="Times New Roman" w:cs="Times New Roman"/>
          <w:bCs/>
          <w:lang w:eastAsia="hu-HU"/>
        </w:rPr>
        <w:t>BSc</w:t>
      </w:r>
      <w:r w:rsidRPr="005A513E">
        <w:rPr>
          <w:rFonts w:ascii="Times New Roman" w:eastAsia="Times New Roman" w:hAnsi="Times New Roman" w:cs="Times New Roman"/>
          <w:bCs/>
          <w:lang w:eastAsia="hu-HU"/>
        </w:rPr>
        <w:t>) alapképzési szak, haditechnika specializáció</w:t>
      </w:r>
    </w:p>
    <w:p w:rsidR="005A513E" w:rsidRPr="005A513E" w:rsidRDefault="005A513E" w:rsidP="00980876">
      <w:pPr>
        <w:numPr>
          <w:ilvl w:val="0"/>
          <w:numId w:val="433"/>
        </w:numPr>
        <w:tabs>
          <w:tab w:val="clear" w:pos="720"/>
          <w:tab w:val="num" w:pos="644"/>
          <w:tab w:val="right" w:pos="900"/>
          <w:tab w:val="center" w:pos="4536"/>
          <w:tab w:val="right" w:pos="9071"/>
        </w:tabs>
        <w:spacing w:before="120" w:after="120" w:line="240" w:lineRule="auto"/>
        <w:ind w:left="644"/>
        <w:jc w:val="both"/>
        <w:rPr>
          <w:rFonts w:ascii="Times New Roman" w:eastAsia="Times New Roman" w:hAnsi="Times New Roman" w:cs="Times New Roman"/>
          <w:bCs/>
          <w:lang w:eastAsia="hu-HU"/>
        </w:rPr>
      </w:pPr>
      <w:r w:rsidRPr="005A513E">
        <w:rPr>
          <w:rFonts w:ascii="Times New Roman" w:eastAsia="Times New Roman" w:hAnsi="Times New Roman" w:cs="Times New Roman"/>
          <w:b/>
          <w:bCs/>
          <w:lang w:eastAsia="hu-HU"/>
        </w:rPr>
        <w:tab/>
        <w:t xml:space="preserve">Az oktatásért felelős oktatási szervezeti egység megnevezése: </w:t>
      </w:r>
      <w:r w:rsidRPr="005A513E">
        <w:rPr>
          <w:rFonts w:ascii="Times New Roman" w:eastAsia="Times New Roman" w:hAnsi="Times New Roman" w:cs="Times New Roman"/>
          <w:bCs/>
          <w:lang w:eastAsia="hu-HU"/>
        </w:rPr>
        <w:t>NKE,</w:t>
      </w:r>
      <w:r w:rsidRPr="005A513E">
        <w:rPr>
          <w:rFonts w:ascii="Times New Roman" w:eastAsia="Times New Roman" w:hAnsi="Times New Roman" w:cs="Times New Roman"/>
          <w:b/>
          <w:bCs/>
          <w:lang w:eastAsia="hu-HU"/>
        </w:rPr>
        <w:t xml:space="preserve"> </w:t>
      </w:r>
      <w:r w:rsidRPr="005A513E">
        <w:rPr>
          <w:rFonts w:ascii="Times New Roman" w:eastAsia="Times New Roman" w:hAnsi="Times New Roman" w:cs="Times New Roman"/>
          <w:bCs/>
          <w:lang w:eastAsia="hu-HU"/>
        </w:rPr>
        <w:t>Hadtudományi és Honvédtisztképző Kar, Haditechnikai Tanszék</w:t>
      </w:r>
    </w:p>
    <w:p w:rsidR="005A513E" w:rsidRPr="005A513E" w:rsidRDefault="005A513E" w:rsidP="00980876">
      <w:pPr>
        <w:numPr>
          <w:ilvl w:val="0"/>
          <w:numId w:val="433"/>
        </w:numPr>
        <w:tabs>
          <w:tab w:val="clear" w:pos="720"/>
          <w:tab w:val="num" w:pos="644"/>
          <w:tab w:val="right" w:pos="900"/>
          <w:tab w:val="center" w:pos="4536"/>
          <w:tab w:val="right" w:pos="9071"/>
        </w:tabs>
        <w:spacing w:before="120" w:after="120" w:line="240" w:lineRule="auto"/>
        <w:ind w:left="644"/>
        <w:jc w:val="both"/>
        <w:rPr>
          <w:rFonts w:ascii="Times New Roman" w:eastAsia="Times New Roman" w:hAnsi="Times New Roman" w:cs="Times New Roman"/>
          <w:bCs/>
          <w:lang w:eastAsia="hu-HU"/>
        </w:rPr>
      </w:pPr>
      <w:r w:rsidRPr="005A513E">
        <w:rPr>
          <w:rFonts w:ascii="Times New Roman" w:eastAsia="Times New Roman" w:hAnsi="Times New Roman" w:cs="Times New Roman"/>
          <w:b/>
          <w:bCs/>
          <w:lang w:eastAsia="hu-HU"/>
        </w:rPr>
        <w:t xml:space="preserve">  A tantárgyfelelős oktató neve, beosztása, tudományos fokozata: </w:t>
      </w:r>
      <w:r w:rsidRPr="005A513E">
        <w:rPr>
          <w:rFonts w:ascii="Times New Roman" w:eastAsia="Times New Roman" w:hAnsi="Times New Roman" w:cs="Times New Roman"/>
          <w:bCs/>
          <w:lang w:eastAsia="hu-HU"/>
        </w:rPr>
        <w:t>Dr. Gyarmati József alezredes PhD, egyetemi docens</w:t>
      </w:r>
    </w:p>
    <w:p w:rsidR="005A513E" w:rsidRPr="005A513E" w:rsidRDefault="005A513E" w:rsidP="00980876">
      <w:pPr>
        <w:numPr>
          <w:ilvl w:val="0"/>
          <w:numId w:val="433"/>
        </w:numPr>
        <w:tabs>
          <w:tab w:val="clear" w:pos="720"/>
          <w:tab w:val="num" w:pos="644"/>
          <w:tab w:val="right" w:pos="900"/>
          <w:tab w:val="center" w:pos="4536"/>
          <w:tab w:val="right" w:pos="9071"/>
        </w:tabs>
        <w:spacing w:before="120" w:after="120" w:line="240" w:lineRule="auto"/>
        <w:ind w:left="567" w:hanging="283"/>
        <w:jc w:val="both"/>
        <w:rPr>
          <w:rFonts w:ascii="Times New Roman" w:eastAsia="Times New Roman" w:hAnsi="Times New Roman" w:cs="Times New Roman"/>
          <w:b/>
          <w:lang w:eastAsia="hu-HU"/>
        </w:rPr>
      </w:pPr>
      <w:r w:rsidRPr="005A513E">
        <w:rPr>
          <w:rFonts w:ascii="Times New Roman" w:eastAsia="Times New Roman" w:hAnsi="Times New Roman" w:cs="Times New Roman"/>
          <w:b/>
          <w:bCs/>
          <w:lang w:eastAsia="hu-HU"/>
        </w:rPr>
        <w:t xml:space="preserve">A tanórák száma </w:t>
      </w:r>
      <w:r w:rsidRPr="005A513E">
        <w:rPr>
          <w:rFonts w:ascii="Times New Roman" w:eastAsia="Times New Roman" w:hAnsi="Times New Roman" w:cs="Times New Roman"/>
          <w:b/>
          <w:lang w:eastAsia="hu-HU"/>
        </w:rPr>
        <w:t>(előadás + szeminárium + gyakorlat)</w:t>
      </w:r>
    </w:p>
    <w:p w:rsidR="005A513E" w:rsidRPr="005A513E" w:rsidRDefault="005A513E" w:rsidP="00980876">
      <w:pPr>
        <w:numPr>
          <w:ilvl w:val="1"/>
          <w:numId w:val="433"/>
        </w:numPr>
        <w:tabs>
          <w:tab w:val="clear" w:pos="3977"/>
          <w:tab w:val="num" w:pos="1000"/>
          <w:tab w:val="num" w:pos="1134"/>
        </w:tabs>
        <w:spacing w:before="120" w:after="120" w:line="240" w:lineRule="auto"/>
        <w:ind w:left="1000" w:hanging="291"/>
        <w:jc w:val="both"/>
        <w:rPr>
          <w:rFonts w:ascii="Times New Roman" w:eastAsia="Times New Roman" w:hAnsi="Times New Roman" w:cs="Times New Roman"/>
          <w:bCs/>
          <w:lang w:eastAsia="hu-HU"/>
        </w:rPr>
      </w:pPr>
      <w:r w:rsidRPr="005A513E">
        <w:rPr>
          <w:rFonts w:ascii="Times New Roman" w:eastAsia="Times New Roman" w:hAnsi="Times New Roman" w:cs="Times New Roman"/>
          <w:bCs/>
          <w:lang w:eastAsia="hu-HU"/>
        </w:rPr>
        <w:t>össz óraszám/félév: 28</w:t>
      </w:r>
    </w:p>
    <w:p w:rsidR="005A513E" w:rsidRPr="005A513E" w:rsidRDefault="005A513E" w:rsidP="00980876">
      <w:pPr>
        <w:numPr>
          <w:ilvl w:val="2"/>
          <w:numId w:val="433"/>
        </w:numPr>
        <w:tabs>
          <w:tab w:val="clear" w:pos="1800"/>
          <w:tab w:val="right" w:pos="900"/>
          <w:tab w:val="num" w:pos="1724"/>
          <w:tab w:val="num" w:pos="1843"/>
        </w:tabs>
        <w:spacing w:before="120" w:after="120" w:line="240" w:lineRule="auto"/>
        <w:ind w:left="1508" w:hanging="374"/>
        <w:jc w:val="both"/>
        <w:rPr>
          <w:rFonts w:ascii="Times New Roman" w:eastAsia="Times New Roman" w:hAnsi="Times New Roman" w:cs="Times New Roman"/>
          <w:bCs/>
          <w:lang w:eastAsia="hu-HU"/>
        </w:rPr>
      </w:pPr>
      <w:r w:rsidRPr="005A513E">
        <w:rPr>
          <w:rFonts w:ascii="Times New Roman" w:eastAsia="Times New Roman" w:hAnsi="Times New Roman" w:cs="Times New Roman"/>
          <w:bCs/>
          <w:lang w:eastAsia="hu-HU"/>
        </w:rPr>
        <w:t>Nappali munkarend: 28 (14 EA+ - SZ + 14 GY)</w:t>
      </w:r>
    </w:p>
    <w:p w:rsidR="005A513E" w:rsidRPr="005A513E" w:rsidRDefault="005A513E" w:rsidP="00980876">
      <w:pPr>
        <w:numPr>
          <w:ilvl w:val="2"/>
          <w:numId w:val="433"/>
        </w:numPr>
        <w:tabs>
          <w:tab w:val="clear" w:pos="1800"/>
          <w:tab w:val="right" w:pos="900"/>
          <w:tab w:val="num" w:pos="1724"/>
          <w:tab w:val="num" w:pos="1843"/>
        </w:tabs>
        <w:spacing w:before="120" w:after="120" w:line="240" w:lineRule="auto"/>
        <w:ind w:left="1508" w:hanging="374"/>
        <w:jc w:val="both"/>
        <w:rPr>
          <w:rFonts w:ascii="Times New Roman" w:eastAsia="Times New Roman" w:hAnsi="Times New Roman" w:cs="Times New Roman"/>
          <w:bCs/>
          <w:lang w:eastAsia="hu-HU"/>
        </w:rPr>
      </w:pPr>
      <w:r w:rsidRPr="005A513E">
        <w:rPr>
          <w:rFonts w:ascii="Times New Roman" w:eastAsia="Times New Roman" w:hAnsi="Times New Roman" w:cs="Times New Roman"/>
          <w:bCs/>
          <w:lang w:eastAsia="hu-HU"/>
        </w:rPr>
        <w:t>Levelező munkarend: -</w:t>
      </w:r>
    </w:p>
    <w:p w:rsidR="005A513E" w:rsidRPr="005A513E" w:rsidRDefault="005A513E" w:rsidP="00980876">
      <w:pPr>
        <w:numPr>
          <w:ilvl w:val="1"/>
          <w:numId w:val="433"/>
        </w:numPr>
        <w:tabs>
          <w:tab w:val="clear" w:pos="3977"/>
          <w:tab w:val="num" w:pos="1000"/>
        </w:tabs>
        <w:spacing w:before="120" w:after="120" w:line="240" w:lineRule="auto"/>
        <w:ind w:left="567" w:firstLine="0"/>
        <w:jc w:val="both"/>
        <w:rPr>
          <w:rFonts w:ascii="Times New Roman" w:eastAsia="Times New Roman" w:hAnsi="Times New Roman" w:cs="Times New Roman"/>
          <w:bCs/>
          <w:lang w:eastAsia="hu-HU"/>
        </w:rPr>
      </w:pPr>
      <w:r w:rsidRPr="005A513E">
        <w:rPr>
          <w:rFonts w:ascii="Times New Roman" w:eastAsia="Times New Roman" w:hAnsi="Times New Roman" w:cs="Times New Roman"/>
          <w:bCs/>
          <w:lang w:eastAsia="hu-HU"/>
        </w:rPr>
        <w:t>heti óraszám nappali munkarend: 2 (1 + 1)</w:t>
      </w:r>
    </w:p>
    <w:p w:rsidR="005A513E" w:rsidRPr="005A513E" w:rsidRDefault="005A513E" w:rsidP="00980876">
      <w:pPr>
        <w:numPr>
          <w:ilvl w:val="1"/>
          <w:numId w:val="433"/>
        </w:numPr>
        <w:tabs>
          <w:tab w:val="clear" w:pos="3977"/>
          <w:tab w:val="num" w:pos="1000"/>
        </w:tabs>
        <w:spacing w:before="120" w:after="120" w:line="240" w:lineRule="auto"/>
        <w:ind w:left="567" w:firstLine="0"/>
        <w:jc w:val="both"/>
        <w:rPr>
          <w:rFonts w:ascii="Times New Roman" w:eastAsia="Times New Roman" w:hAnsi="Times New Roman" w:cs="Times New Roman"/>
          <w:bCs/>
          <w:lang w:eastAsia="hu-HU"/>
        </w:rPr>
      </w:pPr>
      <w:r w:rsidRPr="005A513E">
        <w:rPr>
          <w:rFonts w:ascii="Times New Roman" w:eastAsia="Times New Roman" w:hAnsi="Times New Roman" w:cs="Times New Roman"/>
          <w:bCs/>
          <w:lang w:eastAsia="hu-HU"/>
        </w:rPr>
        <w:t>Az ismeret átadásában alkalmazandó további sajátos módok, jellemzők: vegyes tanulási program (blended learning)</w:t>
      </w:r>
    </w:p>
    <w:p w:rsidR="005A513E" w:rsidRPr="005A513E" w:rsidRDefault="005A513E" w:rsidP="00980876">
      <w:pPr>
        <w:numPr>
          <w:ilvl w:val="0"/>
          <w:numId w:val="433"/>
        </w:numPr>
        <w:tabs>
          <w:tab w:val="clear" w:pos="720"/>
          <w:tab w:val="num" w:pos="644"/>
        </w:tabs>
        <w:spacing w:before="120" w:after="120" w:line="240" w:lineRule="auto"/>
        <w:ind w:left="641" w:hanging="357"/>
        <w:rPr>
          <w:rFonts w:ascii="Times New Roman" w:eastAsia="Times New Roman" w:hAnsi="Times New Roman" w:cs="Times New Roman"/>
          <w:lang w:eastAsia="hu-HU"/>
        </w:rPr>
      </w:pPr>
      <w:r w:rsidRPr="005A513E">
        <w:rPr>
          <w:rFonts w:ascii="Times New Roman" w:eastAsia="Times New Roman" w:hAnsi="Times New Roman" w:cs="Times New Roman"/>
          <w:b/>
          <w:bCs/>
          <w:lang w:eastAsia="hu-HU"/>
        </w:rPr>
        <w:t>A tantárgy szakmai tartalma (magyarul):</w:t>
      </w:r>
      <w:r w:rsidRPr="005A513E">
        <w:rPr>
          <w:rFonts w:ascii="CG Times (W1)" w:eastAsia="Times New Roman" w:hAnsi="CG Times (W1)" w:cs="Times New Roman"/>
          <w:b/>
          <w:bCs/>
          <w:lang w:eastAsia="hu-HU"/>
        </w:rPr>
        <w:t xml:space="preserve"> </w:t>
      </w:r>
      <w:r w:rsidRPr="005A513E">
        <w:rPr>
          <w:rFonts w:ascii="Times New Roman" w:eastAsia="Times New Roman" w:hAnsi="Times New Roman" w:cs="Times New Roman"/>
          <w:lang w:eastAsia="hu-HU"/>
        </w:rPr>
        <w:t>Harcjárművek rendeltetése, specialitásuk, fajtái, felosztásának áttekintése, az alkalmazott speciális berendezéseinek megismertetése a tisztjelöltekkel. Harcjárművek fedélzeti rendszereinek bemutatása, feladataiknak ismertetése működési elveinek tisztázása. A Magyar Honvédségnél alkalmazott harcjárművek fedélzeti rendszereinek áttekintése, elemzése.</w:t>
      </w:r>
    </w:p>
    <w:p w:rsidR="005A513E" w:rsidRPr="005A513E" w:rsidRDefault="005A513E" w:rsidP="005A513E">
      <w:pPr>
        <w:tabs>
          <w:tab w:val="center" w:pos="4536"/>
          <w:tab w:val="right" w:pos="9071"/>
        </w:tabs>
        <w:spacing w:before="120" w:after="120" w:line="240" w:lineRule="auto"/>
        <w:ind w:left="567"/>
        <w:jc w:val="both"/>
        <w:rPr>
          <w:rFonts w:ascii="Times New Roman" w:eastAsia="Times New Roman" w:hAnsi="Times New Roman" w:cs="Times New Roman"/>
          <w:b/>
          <w:lang w:eastAsia="hu-HU"/>
        </w:rPr>
      </w:pPr>
      <w:r w:rsidRPr="005A513E">
        <w:rPr>
          <w:rFonts w:ascii="Times New Roman" w:eastAsia="Times New Roman" w:hAnsi="Times New Roman" w:cs="Times New Roman"/>
          <w:b/>
          <w:bCs/>
          <w:lang w:eastAsia="hu-HU"/>
        </w:rPr>
        <w:t xml:space="preserve">A tantárgy szakmai tartalma (angolul) </w:t>
      </w:r>
      <w:r w:rsidRPr="005A513E">
        <w:rPr>
          <w:rFonts w:ascii="Times New Roman" w:eastAsia="Times New Roman" w:hAnsi="Times New Roman" w:cs="Times New Roman"/>
          <w:b/>
          <w:bCs/>
          <w:lang w:val="en-GB" w:eastAsia="hu-HU"/>
        </w:rPr>
        <w:t>(Course description)</w:t>
      </w:r>
      <w:r w:rsidRPr="005A513E">
        <w:rPr>
          <w:rFonts w:ascii="Times New Roman" w:eastAsia="Times New Roman" w:hAnsi="Times New Roman" w:cs="Times New Roman"/>
          <w:b/>
          <w:bCs/>
          <w:lang w:eastAsia="hu-HU"/>
        </w:rPr>
        <w:t xml:space="preserve">: </w:t>
      </w:r>
      <w:r w:rsidRPr="005A513E">
        <w:rPr>
          <w:rFonts w:ascii="Times New Roman" w:eastAsia="Times New Roman" w:hAnsi="Times New Roman" w:cs="Times New Roman"/>
          <w:lang w:eastAsia="hu-HU"/>
        </w:rPr>
        <w:t>Purpose of combat vehicles, overview of their specialties, types, division, familiarization of officers with the special equipment used. Introducing combat systems on board combat vehicles and clarifying their functions. An overview and analysis of the combat systems used in the Hungarian Army.</w:t>
      </w:r>
    </w:p>
    <w:p w:rsidR="005A513E" w:rsidRPr="005A513E" w:rsidRDefault="005A513E" w:rsidP="00980876">
      <w:pPr>
        <w:numPr>
          <w:ilvl w:val="0"/>
          <w:numId w:val="433"/>
        </w:numPr>
        <w:tabs>
          <w:tab w:val="clear" w:pos="720"/>
          <w:tab w:val="num" w:pos="644"/>
          <w:tab w:val="right" w:pos="900"/>
          <w:tab w:val="center" w:pos="4536"/>
          <w:tab w:val="right" w:pos="9071"/>
        </w:tabs>
        <w:spacing w:before="120" w:after="120" w:line="240" w:lineRule="auto"/>
        <w:ind w:left="644"/>
        <w:jc w:val="both"/>
        <w:rPr>
          <w:rFonts w:ascii="Times New Roman" w:eastAsia="Times New Roman" w:hAnsi="Times New Roman" w:cs="Times New Roman"/>
          <w:b/>
          <w:bCs/>
          <w:lang w:eastAsia="hu-HU"/>
        </w:rPr>
      </w:pPr>
      <w:r w:rsidRPr="005A513E">
        <w:rPr>
          <w:rFonts w:ascii="Times New Roman" w:eastAsia="Times New Roman" w:hAnsi="Times New Roman" w:cs="Times New Roman"/>
          <w:b/>
          <w:bCs/>
          <w:lang w:eastAsia="hu-HU"/>
        </w:rPr>
        <w:t>Elérendő kompetenciák (magyarul)</w:t>
      </w:r>
    </w:p>
    <w:p w:rsidR="005A513E" w:rsidRPr="005A513E" w:rsidRDefault="005A513E" w:rsidP="005A513E">
      <w:pPr>
        <w:autoSpaceDE w:val="0"/>
        <w:autoSpaceDN w:val="0"/>
        <w:adjustRightInd w:val="0"/>
        <w:spacing w:before="120" w:after="120" w:line="240" w:lineRule="auto"/>
        <w:ind w:left="646"/>
        <w:jc w:val="both"/>
        <w:rPr>
          <w:rFonts w:ascii="Times New Roman" w:eastAsia="Times New Roman" w:hAnsi="Times New Roman" w:cs="Times New Roman"/>
          <w:b/>
          <w:color w:val="000000"/>
          <w:lang w:eastAsia="hu-HU"/>
        </w:rPr>
      </w:pPr>
      <w:r w:rsidRPr="005A513E">
        <w:rPr>
          <w:rFonts w:ascii="Times New Roman" w:eastAsia="Times New Roman" w:hAnsi="Times New Roman" w:cs="Times New Roman"/>
          <w:b/>
          <w:color w:val="000000"/>
          <w:lang w:eastAsia="hu-HU"/>
        </w:rPr>
        <w:t>Tudása:</w:t>
      </w:r>
    </w:p>
    <w:p w:rsidR="005A513E" w:rsidRPr="005A513E" w:rsidRDefault="005A513E" w:rsidP="00980876">
      <w:pPr>
        <w:numPr>
          <w:ilvl w:val="0"/>
          <w:numId w:val="431"/>
        </w:numPr>
        <w:autoSpaceDE w:val="0"/>
        <w:autoSpaceDN w:val="0"/>
        <w:adjustRightInd w:val="0"/>
        <w:spacing w:before="120" w:after="120" w:line="240" w:lineRule="auto"/>
        <w:ind w:left="851" w:hanging="374"/>
        <w:jc w:val="both"/>
        <w:rPr>
          <w:rFonts w:ascii="Times New Roman" w:eastAsia="Times New Roman" w:hAnsi="Times New Roman" w:cs="Times New Roman"/>
          <w:color w:val="000000"/>
          <w:lang w:eastAsia="hu-HU"/>
        </w:rPr>
      </w:pPr>
      <w:r w:rsidRPr="005A513E">
        <w:rPr>
          <w:rFonts w:ascii="Times New Roman" w:eastAsia="Times New Roman" w:hAnsi="Times New Roman" w:cs="Times New Roman"/>
          <w:color w:val="000000"/>
          <w:lang w:eastAsia="hu-HU"/>
        </w:rPr>
        <w:t>Megfelelő műszaki alapokkal rendelkezik, amelyek biztosítják az új ismeretek elsajátítását.</w:t>
      </w:r>
    </w:p>
    <w:p w:rsidR="005A513E" w:rsidRPr="005A513E" w:rsidRDefault="005A513E" w:rsidP="00980876">
      <w:pPr>
        <w:numPr>
          <w:ilvl w:val="0"/>
          <w:numId w:val="431"/>
        </w:numPr>
        <w:autoSpaceDE w:val="0"/>
        <w:autoSpaceDN w:val="0"/>
        <w:adjustRightInd w:val="0"/>
        <w:spacing w:before="120" w:after="120" w:line="240" w:lineRule="auto"/>
        <w:ind w:left="851" w:hanging="374"/>
        <w:jc w:val="both"/>
        <w:rPr>
          <w:rFonts w:ascii="Times New Roman" w:eastAsia="Times New Roman" w:hAnsi="Times New Roman" w:cs="Times New Roman"/>
          <w:color w:val="000000"/>
          <w:lang w:eastAsia="hu-HU"/>
        </w:rPr>
      </w:pPr>
      <w:r w:rsidRPr="005A513E">
        <w:rPr>
          <w:rFonts w:ascii="Times New Roman" w:eastAsia="Times New Roman" w:hAnsi="Times New Roman" w:cs="Times New Roman"/>
          <w:color w:val="000000"/>
          <w:lang w:eastAsia="hu-HU"/>
        </w:rPr>
        <w:t>Ismeri a fegyverzettechnikai eszközök ellátáshoz és fenntartásához szükséges anyagok körét.</w:t>
      </w:r>
    </w:p>
    <w:p w:rsidR="005A513E" w:rsidRPr="005A513E" w:rsidRDefault="005A513E" w:rsidP="00980876">
      <w:pPr>
        <w:numPr>
          <w:ilvl w:val="0"/>
          <w:numId w:val="431"/>
        </w:numPr>
        <w:autoSpaceDE w:val="0"/>
        <w:autoSpaceDN w:val="0"/>
        <w:adjustRightInd w:val="0"/>
        <w:spacing w:before="120" w:after="120" w:line="240" w:lineRule="auto"/>
        <w:ind w:left="851" w:hanging="374"/>
        <w:jc w:val="both"/>
        <w:rPr>
          <w:rFonts w:ascii="Times New Roman" w:eastAsia="Times New Roman" w:hAnsi="Times New Roman" w:cs="Times New Roman"/>
          <w:color w:val="000000"/>
          <w:lang w:eastAsia="hu-HU"/>
        </w:rPr>
      </w:pPr>
      <w:r w:rsidRPr="005A513E">
        <w:rPr>
          <w:rFonts w:ascii="Times New Roman" w:eastAsia="Times New Roman" w:hAnsi="Times New Roman" w:cs="Times New Roman"/>
          <w:color w:val="000000"/>
          <w:lang w:eastAsia="hu-HU"/>
        </w:rPr>
        <w:t>Ismeri a szakfeladatainak ellátásához szükséges munkavédelmi rendszabályokat. Megfelelő mélységű és spektrumú fegyverzettechnikai típusismerettel rendelkezik.</w:t>
      </w:r>
    </w:p>
    <w:p w:rsidR="005A513E" w:rsidRPr="005A513E" w:rsidRDefault="005A513E" w:rsidP="005A513E">
      <w:pPr>
        <w:autoSpaceDE w:val="0"/>
        <w:autoSpaceDN w:val="0"/>
        <w:adjustRightInd w:val="0"/>
        <w:spacing w:before="120" w:after="120" w:line="240" w:lineRule="auto"/>
        <w:ind w:left="644"/>
        <w:jc w:val="both"/>
        <w:rPr>
          <w:rFonts w:ascii="Times New Roman" w:eastAsia="Times New Roman" w:hAnsi="Times New Roman" w:cs="Times New Roman"/>
          <w:b/>
          <w:color w:val="000000"/>
          <w:lang w:eastAsia="hu-HU"/>
        </w:rPr>
      </w:pPr>
      <w:r w:rsidRPr="005A513E">
        <w:rPr>
          <w:rFonts w:ascii="Times New Roman" w:eastAsia="Times New Roman" w:hAnsi="Times New Roman" w:cs="Times New Roman"/>
          <w:b/>
          <w:color w:val="000000"/>
          <w:lang w:eastAsia="hu-HU"/>
        </w:rPr>
        <w:t>Képességei:</w:t>
      </w:r>
    </w:p>
    <w:p w:rsidR="005A513E" w:rsidRPr="005A513E" w:rsidRDefault="005A513E" w:rsidP="00980876">
      <w:pPr>
        <w:numPr>
          <w:ilvl w:val="0"/>
          <w:numId w:val="431"/>
        </w:numPr>
        <w:autoSpaceDE w:val="0"/>
        <w:autoSpaceDN w:val="0"/>
        <w:adjustRightInd w:val="0"/>
        <w:spacing w:before="120" w:after="120" w:line="240" w:lineRule="auto"/>
        <w:ind w:left="851" w:hanging="374"/>
        <w:jc w:val="both"/>
        <w:rPr>
          <w:rFonts w:ascii="Times New Roman" w:eastAsia="Times New Roman" w:hAnsi="Times New Roman" w:cs="Times New Roman"/>
          <w:color w:val="000000"/>
          <w:lang w:eastAsia="hu-HU"/>
        </w:rPr>
      </w:pPr>
      <w:r w:rsidRPr="005A513E">
        <w:rPr>
          <w:rFonts w:ascii="Times New Roman" w:eastAsia="Times New Roman" w:hAnsi="Times New Roman" w:cs="Times New Roman"/>
          <w:color w:val="000000"/>
          <w:lang w:eastAsia="hu-HU"/>
        </w:rPr>
        <w:t>Képes a szakterületén rendszeresített és használt berendezések és technikai eszközök használatának megszervezésére és hatékony alkalmazására.</w:t>
      </w:r>
    </w:p>
    <w:p w:rsidR="005A513E" w:rsidRPr="005A513E" w:rsidRDefault="005A513E" w:rsidP="00980876">
      <w:pPr>
        <w:numPr>
          <w:ilvl w:val="0"/>
          <w:numId w:val="431"/>
        </w:numPr>
        <w:autoSpaceDE w:val="0"/>
        <w:autoSpaceDN w:val="0"/>
        <w:adjustRightInd w:val="0"/>
        <w:spacing w:before="120" w:after="120" w:line="240" w:lineRule="auto"/>
        <w:ind w:left="851" w:hanging="374"/>
        <w:jc w:val="both"/>
        <w:rPr>
          <w:rFonts w:ascii="Times New Roman" w:eastAsia="Times New Roman" w:hAnsi="Times New Roman" w:cs="Times New Roman"/>
          <w:color w:val="000000"/>
          <w:lang w:eastAsia="hu-HU"/>
        </w:rPr>
      </w:pPr>
      <w:r w:rsidRPr="005A513E">
        <w:rPr>
          <w:rFonts w:ascii="Times New Roman" w:eastAsia="Times New Roman" w:hAnsi="Times New Roman" w:cs="Times New Roman"/>
          <w:color w:val="000000"/>
          <w:lang w:eastAsia="hu-HU"/>
        </w:rPr>
        <w:t>Képes a megtanultakat felhasználva a szakterületén felmerülő új műszaki információkat megérteni és megtanulni.</w:t>
      </w:r>
    </w:p>
    <w:p w:rsidR="004B3EF3" w:rsidRDefault="004B3EF3" w:rsidP="005A513E">
      <w:pPr>
        <w:autoSpaceDE w:val="0"/>
        <w:autoSpaceDN w:val="0"/>
        <w:adjustRightInd w:val="0"/>
        <w:spacing w:before="120" w:after="120" w:line="240" w:lineRule="auto"/>
        <w:ind w:left="644"/>
        <w:jc w:val="both"/>
        <w:rPr>
          <w:rFonts w:ascii="Times New Roman" w:eastAsia="Times New Roman" w:hAnsi="Times New Roman" w:cs="Times New Roman"/>
          <w:b/>
          <w:bCs/>
          <w:color w:val="000000"/>
          <w:lang w:eastAsia="hu-HU"/>
        </w:rPr>
      </w:pPr>
    </w:p>
    <w:p w:rsidR="005A513E" w:rsidRPr="005A513E" w:rsidRDefault="005A513E" w:rsidP="005A513E">
      <w:pPr>
        <w:autoSpaceDE w:val="0"/>
        <w:autoSpaceDN w:val="0"/>
        <w:adjustRightInd w:val="0"/>
        <w:spacing w:before="120" w:after="120" w:line="240" w:lineRule="auto"/>
        <w:ind w:left="644"/>
        <w:jc w:val="both"/>
        <w:rPr>
          <w:rFonts w:ascii="Times New Roman" w:eastAsia="Times New Roman" w:hAnsi="Times New Roman" w:cs="Times New Roman"/>
          <w:b/>
          <w:bCs/>
          <w:color w:val="000000"/>
          <w:lang w:eastAsia="hu-HU"/>
        </w:rPr>
      </w:pPr>
      <w:r w:rsidRPr="005A513E">
        <w:rPr>
          <w:rFonts w:ascii="Times New Roman" w:eastAsia="Times New Roman" w:hAnsi="Times New Roman" w:cs="Times New Roman"/>
          <w:b/>
          <w:bCs/>
          <w:color w:val="000000"/>
          <w:lang w:eastAsia="hu-HU"/>
        </w:rPr>
        <w:lastRenderedPageBreak/>
        <w:t>Attitüdje:</w:t>
      </w:r>
    </w:p>
    <w:p w:rsidR="005A513E" w:rsidRPr="005A513E" w:rsidRDefault="005A513E" w:rsidP="00980876">
      <w:pPr>
        <w:numPr>
          <w:ilvl w:val="0"/>
          <w:numId w:val="431"/>
        </w:numPr>
        <w:autoSpaceDE w:val="0"/>
        <w:autoSpaceDN w:val="0"/>
        <w:adjustRightInd w:val="0"/>
        <w:spacing w:before="120" w:after="120" w:line="240" w:lineRule="auto"/>
        <w:ind w:left="851" w:hanging="374"/>
        <w:jc w:val="both"/>
        <w:rPr>
          <w:rFonts w:ascii="Times New Roman" w:eastAsia="Times New Roman" w:hAnsi="Times New Roman" w:cs="Times New Roman"/>
          <w:color w:val="000000"/>
          <w:lang w:eastAsia="hu-HU"/>
        </w:rPr>
      </w:pPr>
      <w:r w:rsidRPr="005A513E">
        <w:rPr>
          <w:rFonts w:ascii="Times New Roman" w:eastAsia="Times New Roman" w:hAnsi="Times New Roman" w:cs="Times New Roman"/>
          <w:color w:val="000000"/>
          <w:lang w:eastAsia="hu-HU"/>
        </w:rPr>
        <w:t>Nyitott a fegyverzettechnikával kapcsolatos szakmai ismereteinek gyarapítása iránt, folyamatos önképzési igény jellemzi.</w:t>
      </w:r>
    </w:p>
    <w:p w:rsidR="005A513E" w:rsidRPr="005A513E" w:rsidRDefault="005A513E" w:rsidP="00980876">
      <w:pPr>
        <w:numPr>
          <w:ilvl w:val="0"/>
          <w:numId w:val="431"/>
        </w:numPr>
        <w:autoSpaceDE w:val="0"/>
        <w:autoSpaceDN w:val="0"/>
        <w:adjustRightInd w:val="0"/>
        <w:spacing w:before="120" w:after="120" w:line="240" w:lineRule="auto"/>
        <w:ind w:left="851" w:hanging="374"/>
        <w:jc w:val="both"/>
        <w:rPr>
          <w:rFonts w:ascii="Times New Roman" w:eastAsia="Times New Roman" w:hAnsi="Times New Roman" w:cs="Times New Roman"/>
          <w:color w:val="000000"/>
          <w:lang w:eastAsia="hu-HU"/>
        </w:rPr>
      </w:pPr>
      <w:r w:rsidRPr="005A513E">
        <w:rPr>
          <w:rFonts w:ascii="Times New Roman" w:eastAsia="Times New Roman" w:hAnsi="Times New Roman" w:cs="Times New Roman"/>
          <w:color w:val="000000"/>
          <w:lang w:eastAsia="hu-HU"/>
        </w:rPr>
        <w:t xml:space="preserve">Nyitott szakterülete új eredményei felé, törekszik azok megismerésére. </w:t>
      </w:r>
    </w:p>
    <w:p w:rsidR="005A513E" w:rsidRPr="005A513E" w:rsidRDefault="005A513E" w:rsidP="005A513E">
      <w:pPr>
        <w:autoSpaceDE w:val="0"/>
        <w:autoSpaceDN w:val="0"/>
        <w:adjustRightInd w:val="0"/>
        <w:spacing w:before="120" w:after="120" w:line="240" w:lineRule="auto"/>
        <w:ind w:left="644"/>
        <w:jc w:val="both"/>
        <w:rPr>
          <w:rFonts w:ascii="Times New Roman" w:eastAsia="Times New Roman" w:hAnsi="Times New Roman" w:cs="Times New Roman"/>
          <w:b/>
          <w:bCs/>
          <w:color w:val="000000"/>
          <w:lang w:eastAsia="hu-HU"/>
        </w:rPr>
      </w:pPr>
      <w:r w:rsidRPr="005A513E">
        <w:rPr>
          <w:rFonts w:ascii="Times New Roman" w:eastAsia="Times New Roman" w:hAnsi="Times New Roman" w:cs="Times New Roman"/>
          <w:b/>
          <w:bCs/>
          <w:color w:val="000000"/>
          <w:lang w:eastAsia="hu-HU"/>
        </w:rPr>
        <w:t>Autonómiája és felelőssége:</w:t>
      </w:r>
    </w:p>
    <w:p w:rsidR="005A513E" w:rsidRPr="005A513E" w:rsidRDefault="005A513E" w:rsidP="00980876">
      <w:pPr>
        <w:numPr>
          <w:ilvl w:val="0"/>
          <w:numId w:val="431"/>
        </w:numPr>
        <w:autoSpaceDE w:val="0"/>
        <w:autoSpaceDN w:val="0"/>
        <w:adjustRightInd w:val="0"/>
        <w:spacing w:before="120" w:after="120" w:line="240" w:lineRule="auto"/>
        <w:ind w:left="851" w:hanging="374"/>
        <w:jc w:val="both"/>
        <w:rPr>
          <w:rFonts w:ascii="Times New Roman" w:eastAsia="Times New Roman" w:hAnsi="Times New Roman" w:cs="Times New Roman"/>
          <w:color w:val="000000"/>
          <w:lang w:eastAsia="hu-HU"/>
        </w:rPr>
      </w:pPr>
      <w:r w:rsidRPr="005A513E">
        <w:rPr>
          <w:rFonts w:ascii="Times New Roman" w:eastAsia="Times New Roman" w:hAnsi="Times New Roman" w:cs="Times New Roman"/>
          <w:color w:val="000000"/>
          <w:lang w:eastAsia="hu-HU"/>
        </w:rPr>
        <w:t>Képes szakfeladatait önállóan végezni, saját munkáját hatékonyan megszervezni és végrehajtani.</w:t>
      </w:r>
    </w:p>
    <w:p w:rsidR="005A513E" w:rsidRPr="005A513E" w:rsidRDefault="005A513E" w:rsidP="00980876">
      <w:pPr>
        <w:numPr>
          <w:ilvl w:val="0"/>
          <w:numId w:val="431"/>
        </w:numPr>
        <w:autoSpaceDE w:val="0"/>
        <w:autoSpaceDN w:val="0"/>
        <w:adjustRightInd w:val="0"/>
        <w:spacing w:before="120" w:after="120" w:line="240" w:lineRule="auto"/>
        <w:ind w:left="851" w:hanging="374"/>
        <w:jc w:val="both"/>
        <w:rPr>
          <w:rFonts w:ascii="Times New Roman" w:eastAsia="Times New Roman" w:hAnsi="Times New Roman" w:cs="Times New Roman"/>
          <w:color w:val="000000"/>
          <w:lang w:eastAsia="hu-HU"/>
        </w:rPr>
      </w:pPr>
      <w:r w:rsidRPr="005A513E">
        <w:rPr>
          <w:rFonts w:ascii="Times New Roman" w:eastAsia="Times New Roman" w:hAnsi="Times New Roman" w:cs="Times New Roman"/>
          <w:color w:val="000000"/>
          <w:lang w:eastAsia="hu-HU"/>
        </w:rPr>
        <w:t>Együttműködés és felelősség jellemzi szakterületének szakembereivel szemben.</w:t>
      </w:r>
    </w:p>
    <w:p w:rsidR="005A513E" w:rsidRPr="005A513E" w:rsidRDefault="005A513E" w:rsidP="00980876">
      <w:pPr>
        <w:numPr>
          <w:ilvl w:val="0"/>
          <w:numId w:val="431"/>
        </w:numPr>
        <w:autoSpaceDE w:val="0"/>
        <w:autoSpaceDN w:val="0"/>
        <w:adjustRightInd w:val="0"/>
        <w:spacing w:before="120" w:after="120" w:line="240" w:lineRule="auto"/>
        <w:ind w:left="851" w:hanging="374"/>
        <w:jc w:val="both"/>
        <w:rPr>
          <w:rFonts w:ascii="Times New Roman" w:eastAsia="Times New Roman" w:hAnsi="Times New Roman" w:cs="Times New Roman"/>
          <w:color w:val="000000"/>
          <w:lang w:eastAsia="hu-HU"/>
        </w:rPr>
      </w:pPr>
      <w:r w:rsidRPr="005A513E">
        <w:rPr>
          <w:rFonts w:ascii="Times New Roman" w:eastAsia="Times New Roman" w:hAnsi="Times New Roman" w:cs="Times New Roman"/>
          <w:color w:val="000000"/>
          <w:lang w:eastAsia="hu-HU"/>
        </w:rPr>
        <w:t>Szakterületén belül képes rendszer-szemléletűen gondolkodni.</w:t>
      </w:r>
    </w:p>
    <w:p w:rsidR="005A513E" w:rsidRPr="005A513E" w:rsidRDefault="005A513E" w:rsidP="005A513E">
      <w:pPr>
        <w:autoSpaceDE w:val="0"/>
        <w:autoSpaceDN w:val="0"/>
        <w:adjustRightInd w:val="0"/>
        <w:spacing w:before="120" w:after="120" w:line="240" w:lineRule="auto"/>
        <w:ind w:left="644"/>
        <w:jc w:val="both"/>
        <w:rPr>
          <w:rFonts w:ascii="Times New Roman" w:eastAsia="Times New Roman" w:hAnsi="Times New Roman" w:cs="Times New Roman"/>
          <w:b/>
          <w:bCs/>
          <w:color w:val="000000"/>
          <w:lang w:eastAsia="hu-HU"/>
        </w:rPr>
      </w:pPr>
      <w:r w:rsidRPr="005A513E">
        <w:rPr>
          <w:rFonts w:ascii="Times New Roman" w:eastAsia="Times New Roman" w:hAnsi="Times New Roman" w:cs="Times New Roman"/>
          <w:b/>
          <w:bCs/>
          <w:color w:val="000000"/>
          <w:lang w:eastAsia="hu-HU"/>
        </w:rPr>
        <w:t>Elérendő kompetenciák (angolul):</w:t>
      </w:r>
    </w:p>
    <w:p w:rsidR="005A513E" w:rsidRPr="005A513E" w:rsidRDefault="005A513E" w:rsidP="005A513E">
      <w:pPr>
        <w:tabs>
          <w:tab w:val="right" w:pos="900"/>
        </w:tabs>
        <w:spacing w:before="120" w:after="120" w:line="240" w:lineRule="auto"/>
        <w:ind w:left="644"/>
        <w:jc w:val="both"/>
        <w:rPr>
          <w:rFonts w:ascii="Times New Roman" w:eastAsia="Times New Roman" w:hAnsi="Times New Roman" w:cs="Times New Roman"/>
          <w:bCs/>
          <w:lang w:eastAsia="hu-HU"/>
        </w:rPr>
      </w:pPr>
      <w:r w:rsidRPr="005A513E">
        <w:rPr>
          <w:rFonts w:ascii="Times New Roman" w:eastAsia="Times New Roman" w:hAnsi="Times New Roman" w:cs="Times New Roman"/>
          <w:b/>
          <w:bCs/>
          <w:lang w:eastAsia="hu-HU"/>
        </w:rPr>
        <w:t>Knowledge:</w:t>
      </w:r>
      <w:r w:rsidRPr="005A513E">
        <w:rPr>
          <w:rFonts w:ascii="Times New Roman" w:eastAsia="Times New Roman" w:hAnsi="Times New Roman" w:cs="Times New Roman"/>
          <w:bCs/>
          <w:lang w:eastAsia="hu-HU"/>
        </w:rPr>
        <w:t xml:space="preserve"> </w:t>
      </w:r>
    </w:p>
    <w:p w:rsidR="005A513E" w:rsidRPr="005A513E" w:rsidRDefault="005A513E" w:rsidP="00980876">
      <w:pPr>
        <w:numPr>
          <w:ilvl w:val="0"/>
          <w:numId w:val="431"/>
        </w:numPr>
        <w:autoSpaceDE w:val="0"/>
        <w:autoSpaceDN w:val="0"/>
        <w:adjustRightInd w:val="0"/>
        <w:spacing w:before="120" w:after="120" w:line="240" w:lineRule="auto"/>
        <w:ind w:left="851" w:hanging="374"/>
        <w:jc w:val="both"/>
        <w:rPr>
          <w:rFonts w:ascii="Times New Roman" w:eastAsia="Times New Roman" w:hAnsi="Times New Roman" w:cs="Times New Roman"/>
          <w:color w:val="000000"/>
          <w:lang w:eastAsia="hu-HU"/>
        </w:rPr>
      </w:pPr>
      <w:r w:rsidRPr="005A513E">
        <w:rPr>
          <w:rFonts w:ascii="Times New Roman" w:eastAsia="Times New Roman" w:hAnsi="Times New Roman" w:cs="Times New Roman"/>
          <w:color w:val="000000"/>
          <w:lang w:eastAsia="hu-HU"/>
        </w:rPr>
        <w:t>Possesses adequate basic engineering knowledge which enables the acquirement of new knowledge.</w:t>
      </w:r>
    </w:p>
    <w:p w:rsidR="005A513E" w:rsidRPr="005A513E" w:rsidRDefault="005A513E" w:rsidP="00980876">
      <w:pPr>
        <w:numPr>
          <w:ilvl w:val="0"/>
          <w:numId w:val="431"/>
        </w:numPr>
        <w:autoSpaceDE w:val="0"/>
        <w:autoSpaceDN w:val="0"/>
        <w:adjustRightInd w:val="0"/>
        <w:spacing w:before="120" w:after="120" w:line="240" w:lineRule="auto"/>
        <w:ind w:left="851" w:hanging="374"/>
        <w:jc w:val="both"/>
        <w:rPr>
          <w:rFonts w:ascii="Times New Roman" w:eastAsia="Times New Roman" w:hAnsi="Times New Roman" w:cs="Times New Roman"/>
          <w:color w:val="000000"/>
          <w:lang w:eastAsia="hu-HU"/>
        </w:rPr>
      </w:pPr>
      <w:r w:rsidRPr="005A513E">
        <w:rPr>
          <w:rFonts w:ascii="Times New Roman" w:eastAsia="Times New Roman" w:hAnsi="Times New Roman" w:cs="Times New Roman"/>
          <w:color w:val="000000"/>
          <w:lang w:eastAsia="hu-HU"/>
        </w:rPr>
        <w:t>Knows the range of materials required for the maintenance of the armored vehicles. Knows the work safety regulations required for fulfilling his/her professional tasks.</w:t>
      </w:r>
    </w:p>
    <w:p w:rsidR="005A513E" w:rsidRPr="005A513E" w:rsidRDefault="005A513E" w:rsidP="00980876">
      <w:pPr>
        <w:numPr>
          <w:ilvl w:val="0"/>
          <w:numId w:val="431"/>
        </w:numPr>
        <w:autoSpaceDE w:val="0"/>
        <w:autoSpaceDN w:val="0"/>
        <w:adjustRightInd w:val="0"/>
        <w:spacing w:before="120" w:after="120" w:line="240" w:lineRule="auto"/>
        <w:ind w:left="851" w:hanging="374"/>
        <w:jc w:val="both"/>
        <w:rPr>
          <w:rFonts w:ascii="Times New Roman" w:eastAsia="Times New Roman" w:hAnsi="Times New Roman" w:cs="Times New Roman"/>
          <w:color w:val="000000"/>
          <w:lang w:eastAsia="hu-HU"/>
        </w:rPr>
      </w:pPr>
      <w:r w:rsidRPr="005A513E">
        <w:rPr>
          <w:rFonts w:ascii="Times New Roman" w:eastAsia="Times New Roman" w:hAnsi="Times New Roman" w:cs="Times New Roman"/>
          <w:color w:val="000000"/>
          <w:lang w:eastAsia="hu-HU"/>
        </w:rPr>
        <w:t>Possesses knowledge of adequate depth and spectrum regarding armored vehicle types.</w:t>
      </w:r>
    </w:p>
    <w:p w:rsidR="005A513E" w:rsidRPr="005A513E" w:rsidRDefault="005A513E" w:rsidP="005A513E">
      <w:pPr>
        <w:tabs>
          <w:tab w:val="right" w:pos="900"/>
        </w:tabs>
        <w:spacing w:before="120" w:after="120" w:line="240" w:lineRule="auto"/>
        <w:ind w:left="644"/>
        <w:jc w:val="both"/>
        <w:rPr>
          <w:rFonts w:ascii="Times New Roman" w:eastAsia="Times New Roman" w:hAnsi="Times New Roman" w:cs="Times New Roman"/>
          <w:b/>
          <w:bCs/>
          <w:lang w:eastAsia="hu-HU"/>
        </w:rPr>
      </w:pPr>
      <w:r w:rsidRPr="005A513E">
        <w:rPr>
          <w:rFonts w:ascii="Times New Roman" w:eastAsia="Times New Roman" w:hAnsi="Times New Roman" w:cs="Times New Roman"/>
          <w:b/>
          <w:bCs/>
          <w:lang w:eastAsia="hu-HU"/>
        </w:rPr>
        <w:t>Capabilities:</w:t>
      </w:r>
    </w:p>
    <w:p w:rsidR="005A513E" w:rsidRPr="005A513E" w:rsidRDefault="005A513E" w:rsidP="00980876">
      <w:pPr>
        <w:numPr>
          <w:ilvl w:val="0"/>
          <w:numId w:val="431"/>
        </w:numPr>
        <w:autoSpaceDE w:val="0"/>
        <w:autoSpaceDN w:val="0"/>
        <w:adjustRightInd w:val="0"/>
        <w:spacing w:before="120" w:after="120" w:line="240" w:lineRule="auto"/>
        <w:ind w:left="851" w:hanging="374"/>
        <w:jc w:val="both"/>
        <w:rPr>
          <w:rFonts w:ascii="Times New Roman" w:eastAsia="Times New Roman" w:hAnsi="Times New Roman" w:cs="Times New Roman"/>
          <w:color w:val="000000"/>
          <w:lang w:eastAsia="hu-HU"/>
        </w:rPr>
      </w:pPr>
      <w:r w:rsidRPr="005A513E">
        <w:rPr>
          <w:rFonts w:ascii="Times New Roman" w:eastAsia="Times New Roman" w:hAnsi="Times New Roman" w:cs="Times New Roman"/>
          <w:color w:val="000000"/>
          <w:lang w:eastAsia="hu-HU"/>
        </w:rPr>
        <w:t>Is capable of organizing and efficiently utilizing the usage of the equipment and technical appliances applied in his/her respective specialty field.</w:t>
      </w:r>
    </w:p>
    <w:p w:rsidR="005A513E" w:rsidRPr="005A513E" w:rsidRDefault="005A513E" w:rsidP="00980876">
      <w:pPr>
        <w:numPr>
          <w:ilvl w:val="0"/>
          <w:numId w:val="431"/>
        </w:numPr>
        <w:autoSpaceDE w:val="0"/>
        <w:autoSpaceDN w:val="0"/>
        <w:adjustRightInd w:val="0"/>
        <w:spacing w:before="120" w:after="120" w:line="240" w:lineRule="auto"/>
        <w:ind w:left="851" w:hanging="374"/>
        <w:jc w:val="both"/>
        <w:rPr>
          <w:rFonts w:ascii="Times New Roman" w:eastAsia="Times New Roman" w:hAnsi="Times New Roman" w:cs="Times New Roman"/>
          <w:color w:val="000000"/>
          <w:lang w:eastAsia="hu-HU"/>
        </w:rPr>
      </w:pPr>
      <w:r w:rsidRPr="005A513E">
        <w:rPr>
          <w:rFonts w:ascii="Times New Roman" w:eastAsia="Times New Roman" w:hAnsi="Times New Roman" w:cs="Times New Roman"/>
          <w:color w:val="000000"/>
          <w:lang w:eastAsia="hu-HU"/>
        </w:rPr>
        <w:t>Is capable of acqiring the understaning of new engineering information arising in his/her field of specialty using the already gained knowldge</w:t>
      </w:r>
    </w:p>
    <w:p w:rsidR="005A513E" w:rsidRPr="005A513E" w:rsidRDefault="005A513E" w:rsidP="005A513E">
      <w:pPr>
        <w:tabs>
          <w:tab w:val="right" w:pos="900"/>
        </w:tabs>
        <w:spacing w:before="120" w:after="120" w:line="240" w:lineRule="auto"/>
        <w:ind w:left="644"/>
        <w:jc w:val="both"/>
        <w:rPr>
          <w:rFonts w:ascii="Times New Roman" w:eastAsia="Times New Roman" w:hAnsi="Times New Roman" w:cs="Times New Roman"/>
          <w:b/>
          <w:bCs/>
          <w:lang w:eastAsia="hu-HU"/>
        </w:rPr>
      </w:pPr>
      <w:r w:rsidRPr="005A513E">
        <w:rPr>
          <w:rFonts w:ascii="Times New Roman" w:eastAsia="Times New Roman" w:hAnsi="Times New Roman" w:cs="Times New Roman"/>
          <w:b/>
          <w:bCs/>
          <w:lang w:eastAsia="hu-HU"/>
        </w:rPr>
        <w:t>Attitude:</w:t>
      </w:r>
    </w:p>
    <w:p w:rsidR="005A513E" w:rsidRPr="005A513E" w:rsidRDefault="005A513E" w:rsidP="00980876">
      <w:pPr>
        <w:numPr>
          <w:ilvl w:val="0"/>
          <w:numId w:val="431"/>
        </w:numPr>
        <w:autoSpaceDE w:val="0"/>
        <w:autoSpaceDN w:val="0"/>
        <w:adjustRightInd w:val="0"/>
        <w:spacing w:before="120" w:after="120" w:line="240" w:lineRule="auto"/>
        <w:ind w:left="851" w:hanging="374"/>
        <w:jc w:val="both"/>
        <w:rPr>
          <w:rFonts w:ascii="Times New Roman" w:eastAsia="Times New Roman" w:hAnsi="Times New Roman" w:cs="Times New Roman"/>
          <w:color w:val="000000"/>
          <w:lang w:eastAsia="hu-HU"/>
        </w:rPr>
      </w:pPr>
      <w:r w:rsidRPr="005A513E">
        <w:rPr>
          <w:rFonts w:ascii="Times New Roman" w:eastAsia="Times New Roman" w:hAnsi="Times New Roman" w:cs="Times New Roman"/>
          <w:color w:val="000000"/>
          <w:lang w:eastAsia="hu-HU"/>
        </w:rPr>
        <w:t xml:space="preserve">He/she is open to widen his/her knowledge regarding armored vehicles and has a constant need for self-education. </w:t>
      </w:r>
    </w:p>
    <w:p w:rsidR="005A513E" w:rsidRPr="005A513E" w:rsidRDefault="005A513E" w:rsidP="00980876">
      <w:pPr>
        <w:numPr>
          <w:ilvl w:val="0"/>
          <w:numId w:val="431"/>
        </w:numPr>
        <w:autoSpaceDE w:val="0"/>
        <w:autoSpaceDN w:val="0"/>
        <w:adjustRightInd w:val="0"/>
        <w:spacing w:before="120" w:after="120" w:line="240" w:lineRule="auto"/>
        <w:ind w:left="851" w:hanging="374"/>
        <w:jc w:val="both"/>
        <w:rPr>
          <w:rFonts w:ascii="Times New Roman" w:eastAsia="Times New Roman" w:hAnsi="Times New Roman" w:cs="Times New Roman"/>
          <w:color w:val="000000"/>
          <w:lang w:eastAsia="hu-HU"/>
        </w:rPr>
      </w:pPr>
      <w:r w:rsidRPr="005A513E">
        <w:rPr>
          <w:rFonts w:ascii="Times New Roman" w:eastAsia="Times New Roman" w:hAnsi="Times New Roman" w:cs="Times New Roman"/>
          <w:color w:val="000000"/>
          <w:lang w:eastAsia="hu-HU"/>
        </w:rPr>
        <w:t>He/she is open towards the new accomplishments of military technology and aims to gain knowledge of these.</w:t>
      </w:r>
    </w:p>
    <w:p w:rsidR="005A513E" w:rsidRPr="005A513E" w:rsidRDefault="005A513E" w:rsidP="005A513E">
      <w:pPr>
        <w:tabs>
          <w:tab w:val="right" w:pos="900"/>
        </w:tabs>
        <w:spacing w:before="120" w:after="120" w:line="240" w:lineRule="auto"/>
        <w:ind w:left="644"/>
        <w:jc w:val="both"/>
        <w:rPr>
          <w:rFonts w:ascii="Times New Roman" w:eastAsia="Times New Roman" w:hAnsi="Times New Roman" w:cs="Times New Roman"/>
          <w:bCs/>
          <w:lang w:eastAsia="hu-HU"/>
        </w:rPr>
      </w:pPr>
      <w:r w:rsidRPr="005A513E">
        <w:rPr>
          <w:rFonts w:ascii="Times New Roman" w:eastAsia="Times New Roman" w:hAnsi="Times New Roman" w:cs="Times New Roman"/>
          <w:b/>
          <w:bCs/>
          <w:lang w:eastAsia="hu-HU"/>
        </w:rPr>
        <w:t>Autonomy and responsibility</w:t>
      </w:r>
    </w:p>
    <w:p w:rsidR="005A513E" w:rsidRPr="005A513E" w:rsidRDefault="005A513E" w:rsidP="00980876">
      <w:pPr>
        <w:numPr>
          <w:ilvl w:val="0"/>
          <w:numId w:val="431"/>
        </w:numPr>
        <w:autoSpaceDE w:val="0"/>
        <w:autoSpaceDN w:val="0"/>
        <w:adjustRightInd w:val="0"/>
        <w:spacing w:before="120" w:after="120" w:line="240" w:lineRule="auto"/>
        <w:ind w:left="851" w:hanging="374"/>
        <w:jc w:val="both"/>
        <w:rPr>
          <w:rFonts w:ascii="Times New Roman" w:eastAsia="Times New Roman" w:hAnsi="Times New Roman" w:cs="Times New Roman"/>
          <w:color w:val="000000"/>
          <w:lang w:eastAsia="hu-HU"/>
        </w:rPr>
      </w:pPr>
      <w:r w:rsidRPr="005A513E">
        <w:rPr>
          <w:rFonts w:ascii="Times New Roman" w:eastAsia="Times New Roman" w:hAnsi="Times New Roman" w:cs="Times New Roman"/>
          <w:color w:val="000000"/>
          <w:lang w:eastAsia="hu-HU"/>
        </w:rPr>
        <w:t>Is capable of independently fulfilling his/her professional tasks as well as effectively organizing and executing his/her own work.</w:t>
      </w:r>
    </w:p>
    <w:p w:rsidR="005A513E" w:rsidRPr="005A513E" w:rsidRDefault="005A513E" w:rsidP="00980876">
      <w:pPr>
        <w:numPr>
          <w:ilvl w:val="0"/>
          <w:numId w:val="431"/>
        </w:numPr>
        <w:autoSpaceDE w:val="0"/>
        <w:autoSpaceDN w:val="0"/>
        <w:adjustRightInd w:val="0"/>
        <w:spacing w:before="120" w:after="120" w:line="240" w:lineRule="auto"/>
        <w:ind w:left="851" w:hanging="374"/>
        <w:jc w:val="both"/>
        <w:rPr>
          <w:rFonts w:ascii="Times New Roman" w:eastAsia="Times New Roman" w:hAnsi="Times New Roman" w:cs="Times New Roman"/>
          <w:color w:val="000000"/>
          <w:lang w:eastAsia="hu-HU"/>
        </w:rPr>
      </w:pPr>
      <w:r w:rsidRPr="005A513E">
        <w:rPr>
          <w:rFonts w:ascii="Times New Roman" w:eastAsia="Times New Roman" w:hAnsi="Times New Roman" w:cs="Times New Roman"/>
          <w:color w:val="000000"/>
          <w:lang w:eastAsia="hu-HU"/>
        </w:rPr>
        <w:t>He/she is cooperative and responsible towards the professionals of his/her field.</w:t>
      </w:r>
    </w:p>
    <w:p w:rsidR="005A513E" w:rsidRPr="005A513E" w:rsidRDefault="005A513E" w:rsidP="00980876">
      <w:pPr>
        <w:numPr>
          <w:ilvl w:val="0"/>
          <w:numId w:val="431"/>
        </w:numPr>
        <w:autoSpaceDE w:val="0"/>
        <w:autoSpaceDN w:val="0"/>
        <w:adjustRightInd w:val="0"/>
        <w:spacing w:before="120" w:after="120" w:line="240" w:lineRule="auto"/>
        <w:ind w:left="851" w:hanging="374"/>
        <w:jc w:val="both"/>
        <w:rPr>
          <w:rFonts w:ascii="Times New Roman" w:eastAsia="Times New Roman" w:hAnsi="Times New Roman" w:cs="Times New Roman"/>
          <w:color w:val="000000"/>
          <w:lang w:eastAsia="hu-HU"/>
        </w:rPr>
      </w:pPr>
      <w:r w:rsidRPr="005A513E">
        <w:rPr>
          <w:rFonts w:ascii="Times New Roman" w:eastAsia="Times New Roman" w:hAnsi="Times New Roman" w:cs="Times New Roman"/>
          <w:color w:val="000000"/>
          <w:lang w:eastAsia="hu-HU"/>
        </w:rPr>
        <w:t>Is capable of thinking in a system approach within his/her own field.</w:t>
      </w:r>
    </w:p>
    <w:p w:rsidR="005A513E" w:rsidRPr="005A513E" w:rsidRDefault="005A513E" w:rsidP="00980876">
      <w:pPr>
        <w:numPr>
          <w:ilvl w:val="0"/>
          <w:numId w:val="433"/>
        </w:numPr>
        <w:tabs>
          <w:tab w:val="clear" w:pos="720"/>
          <w:tab w:val="num" w:pos="644"/>
          <w:tab w:val="right" w:pos="900"/>
          <w:tab w:val="center" w:pos="4536"/>
          <w:tab w:val="right" w:pos="9071"/>
        </w:tabs>
        <w:spacing w:before="120" w:after="120" w:line="240" w:lineRule="auto"/>
        <w:ind w:left="644"/>
        <w:jc w:val="both"/>
        <w:rPr>
          <w:rFonts w:ascii="Times New Roman" w:eastAsia="Times New Roman" w:hAnsi="Times New Roman" w:cs="Times New Roman"/>
          <w:bCs/>
          <w:lang w:eastAsia="hu-HU"/>
        </w:rPr>
      </w:pPr>
      <w:r w:rsidRPr="005A513E">
        <w:rPr>
          <w:rFonts w:ascii="Times New Roman" w:eastAsia="Times New Roman" w:hAnsi="Times New Roman" w:cs="Times New Roman"/>
          <w:b/>
          <w:bCs/>
          <w:lang w:eastAsia="hu-HU"/>
        </w:rPr>
        <w:t xml:space="preserve">Előtanulmányi kötelezettségek:  - </w:t>
      </w:r>
    </w:p>
    <w:p w:rsidR="005A513E" w:rsidRPr="005A513E" w:rsidRDefault="005A513E" w:rsidP="00980876">
      <w:pPr>
        <w:numPr>
          <w:ilvl w:val="0"/>
          <w:numId w:val="433"/>
        </w:numPr>
        <w:tabs>
          <w:tab w:val="clear" w:pos="720"/>
          <w:tab w:val="num" w:pos="644"/>
        </w:tabs>
        <w:spacing w:before="120" w:after="120" w:line="240" w:lineRule="auto"/>
        <w:ind w:left="641" w:hanging="357"/>
        <w:jc w:val="both"/>
        <w:rPr>
          <w:rFonts w:ascii="Times New Roman" w:eastAsia="Times New Roman" w:hAnsi="Times New Roman" w:cs="Times New Roman"/>
          <w:b/>
          <w:lang w:eastAsia="hu-HU"/>
        </w:rPr>
      </w:pPr>
      <w:r w:rsidRPr="005A513E">
        <w:rPr>
          <w:rFonts w:ascii="Times New Roman" w:eastAsia="Times New Roman" w:hAnsi="Times New Roman" w:cs="Times New Roman"/>
          <w:b/>
          <w:lang w:eastAsia="hu-HU"/>
        </w:rPr>
        <w:t xml:space="preserve">A tantárgy tananyagának leírása: (tematika): </w:t>
      </w:r>
    </w:p>
    <w:p w:rsidR="005A513E" w:rsidRPr="005A513E" w:rsidRDefault="005A513E" w:rsidP="00980876">
      <w:pPr>
        <w:numPr>
          <w:ilvl w:val="1"/>
          <w:numId w:val="433"/>
        </w:numPr>
        <w:tabs>
          <w:tab w:val="clear" w:pos="3977"/>
        </w:tabs>
        <w:spacing w:before="60" w:after="60" w:line="240" w:lineRule="auto"/>
        <w:ind w:left="1134" w:hanging="567"/>
        <w:jc w:val="both"/>
        <w:rPr>
          <w:rFonts w:ascii="Times New Roman" w:eastAsia="Times New Roman" w:hAnsi="Times New Roman" w:cs="Times New Roman"/>
          <w:i/>
          <w:lang w:eastAsia="hu-HU"/>
        </w:rPr>
      </w:pPr>
      <w:r w:rsidRPr="005A513E">
        <w:rPr>
          <w:rFonts w:ascii="Times New Roman" w:eastAsia="Times New Roman" w:hAnsi="Times New Roman" w:cs="Times New Roman"/>
          <w:lang w:eastAsia="hu-HU"/>
        </w:rPr>
        <w:t xml:space="preserve">Mechanikai, elektrotechnikai és irányítástechnikai alapok. </w:t>
      </w:r>
      <w:r w:rsidRPr="005A513E">
        <w:rPr>
          <w:rFonts w:ascii="Times New Roman" w:eastAsia="Times New Roman" w:hAnsi="Times New Roman" w:cs="Times New Roman"/>
          <w:i/>
          <w:lang w:eastAsia="hu-HU"/>
        </w:rPr>
        <w:t>(Mechanical, Electrical and Control Fundamentals.)</w:t>
      </w:r>
    </w:p>
    <w:p w:rsidR="005A513E" w:rsidRPr="005A513E" w:rsidRDefault="005A513E" w:rsidP="00980876">
      <w:pPr>
        <w:numPr>
          <w:ilvl w:val="1"/>
          <w:numId w:val="433"/>
        </w:numPr>
        <w:tabs>
          <w:tab w:val="clear" w:pos="3977"/>
        </w:tabs>
        <w:spacing w:before="60" w:after="60" w:line="240" w:lineRule="auto"/>
        <w:ind w:left="1134" w:hanging="567"/>
        <w:jc w:val="both"/>
        <w:rPr>
          <w:rFonts w:ascii="Times New Roman" w:eastAsia="Times New Roman" w:hAnsi="Times New Roman" w:cs="Times New Roman"/>
          <w:i/>
          <w:lang w:eastAsia="hu-HU"/>
        </w:rPr>
      </w:pPr>
      <w:r w:rsidRPr="005A513E">
        <w:rPr>
          <w:rFonts w:ascii="Times New Roman" w:eastAsia="Times New Roman" w:hAnsi="Times New Roman" w:cs="Times New Roman"/>
          <w:lang w:eastAsia="hu-HU"/>
        </w:rPr>
        <w:t xml:space="preserve">Pörgettyű mozgás és sajátosságai. Gyrokompasz működése és használhatósága. </w:t>
      </w:r>
      <w:r w:rsidRPr="005A513E">
        <w:rPr>
          <w:rFonts w:ascii="Times New Roman" w:eastAsia="Times New Roman" w:hAnsi="Times New Roman" w:cs="Times New Roman"/>
          <w:i/>
          <w:lang w:eastAsia="hu-HU"/>
        </w:rPr>
        <w:t>(Spinster movement and features. Operation and usability of gyro compass.)</w:t>
      </w:r>
    </w:p>
    <w:p w:rsidR="005A513E" w:rsidRPr="005A513E" w:rsidRDefault="005A513E" w:rsidP="00980876">
      <w:pPr>
        <w:numPr>
          <w:ilvl w:val="1"/>
          <w:numId w:val="433"/>
        </w:numPr>
        <w:tabs>
          <w:tab w:val="clear" w:pos="3977"/>
        </w:tabs>
        <w:spacing w:before="60" w:after="60" w:line="240" w:lineRule="auto"/>
        <w:ind w:left="1134" w:hanging="567"/>
        <w:jc w:val="both"/>
        <w:rPr>
          <w:rFonts w:ascii="Times New Roman" w:eastAsia="Times New Roman" w:hAnsi="Times New Roman" w:cs="Times New Roman"/>
          <w:bCs/>
          <w:i/>
          <w:lang w:eastAsia="hu-HU"/>
        </w:rPr>
      </w:pPr>
      <w:r w:rsidRPr="005A513E">
        <w:rPr>
          <w:rFonts w:ascii="Times New Roman" w:eastAsia="Times New Roman" w:hAnsi="Times New Roman" w:cs="Times New Roman"/>
          <w:lang w:eastAsia="hu-HU"/>
        </w:rPr>
        <w:t xml:space="preserve">Szervo rendszerek működése. Elektrohidraulikus és elektromos/elektronikus szervo berendezések elemei. Szervo-aktuátorok. </w:t>
      </w:r>
      <w:r w:rsidRPr="005A513E">
        <w:rPr>
          <w:rFonts w:ascii="Times New Roman" w:eastAsia="Times New Roman" w:hAnsi="Times New Roman" w:cs="Times New Roman"/>
          <w:i/>
          <w:lang w:eastAsia="hu-HU"/>
        </w:rPr>
        <w:t>(Operation of servo systems. Elements of electrohydraulic and electric / electronic servo units. Servo-actuators)</w:t>
      </w:r>
    </w:p>
    <w:p w:rsidR="005A513E" w:rsidRPr="005A513E" w:rsidRDefault="005A513E" w:rsidP="00980876">
      <w:pPr>
        <w:numPr>
          <w:ilvl w:val="1"/>
          <w:numId w:val="433"/>
        </w:numPr>
        <w:tabs>
          <w:tab w:val="clear" w:pos="3977"/>
        </w:tabs>
        <w:spacing w:before="60" w:after="60" w:line="240" w:lineRule="auto"/>
        <w:ind w:left="1134" w:hanging="567"/>
        <w:jc w:val="both"/>
        <w:rPr>
          <w:rFonts w:ascii="Times New Roman" w:eastAsia="Times New Roman" w:hAnsi="Times New Roman" w:cs="Times New Roman"/>
          <w:bCs/>
          <w:i/>
          <w:lang w:eastAsia="hu-HU"/>
        </w:rPr>
      </w:pPr>
      <w:r w:rsidRPr="005A513E">
        <w:rPr>
          <w:rFonts w:ascii="Times New Roman" w:eastAsia="Times New Roman" w:hAnsi="Times New Roman" w:cs="Times New Roman"/>
          <w:lang w:eastAsia="hu-HU"/>
        </w:rPr>
        <w:t xml:space="preserve">Harcjárművek szenzorjai. A szenzorjelek feldolgozása. </w:t>
      </w:r>
      <w:r w:rsidRPr="005A513E">
        <w:rPr>
          <w:rFonts w:ascii="Times New Roman" w:eastAsia="Times New Roman" w:hAnsi="Times New Roman" w:cs="Times New Roman"/>
          <w:i/>
          <w:lang w:eastAsia="hu-HU"/>
        </w:rPr>
        <w:t>(Fighting vehicle sensors. Processing of sensor signals.)</w:t>
      </w:r>
    </w:p>
    <w:p w:rsidR="005A513E" w:rsidRPr="005A513E" w:rsidRDefault="005A513E" w:rsidP="00980876">
      <w:pPr>
        <w:numPr>
          <w:ilvl w:val="1"/>
          <w:numId w:val="433"/>
        </w:numPr>
        <w:tabs>
          <w:tab w:val="clear" w:pos="3977"/>
        </w:tabs>
        <w:spacing w:before="60" w:after="60" w:line="240" w:lineRule="auto"/>
        <w:ind w:left="1134" w:hanging="567"/>
        <w:jc w:val="both"/>
        <w:rPr>
          <w:rFonts w:ascii="Times New Roman" w:eastAsia="Times New Roman" w:hAnsi="Times New Roman" w:cs="Times New Roman"/>
          <w:bCs/>
          <w:i/>
          <w:lang w:eastAsia="hu-HU"/>
        </w:rPr>
      </w:pPr>
      <w:r w:rsidRPr="005A513E">
        <w:rPr>
          <w:rFonts w:ascii="Times New Roman" w:eastAsia="Times New Roman" w:hAnsi="Times New Roman" w:cs="Times New Roman"/>
          <w:lang w:eastAsia="hu-HU"/>
        </w:rPr>
        <w:lastRenderedPageBreak/>
        <w:t xml:space="preserve">Harcjárművek fegyvereinek elemei, célzó és figyelő berendezései. </w:t>
      </w:r>
      <w:r w:rsidRPr="005A513E">
        <w:rPr>
          <w:rFonts w:ascii="Times New Roman" w:eastAsia="Times New Roman" w:hAnsi="Times New Roman" w:cs="Times New Roman"/>
          <w:i/>
          <w:lang w:eastAsia="hu-HU"/>
        </w:rPr>
        <w:t>(Elements, targeting and monitoring equipment for weapons of war vehicles.)</w:t>
      </w:r>
    </w:p>
    <w:p w:rsidR="005A513E" w:rsidRPr="005A513E" w:rsidRDefault="005A513E" w:rsidP="00980876">
      <w:pPr>
        <w:numPr>
          <w:ilvl w:val="1"/>
          <w:numId w:val="433"/>
        </w:numPr>
        <w:tabs>
          <w:tab w:val="clear" w:pos="3977"/>
        </w:tabs>
        <w:spacing w:before="60" w:after="60" w:line="240" w:lineRule="auto"/>
        <w:ind w:left="1134" w:hanging="567"/>
        <w:jc w:val="both"/>
        <w:rPr>
          <w:rFonts w:ascii="Times New Roman" w:eastAsia="Times New Roman" w:hAnsi="Times New Roman" w:cs="Times New Roman"/>
          <w:bCs/>
          <w:i/>
          <w:lang w:eastAsia="hu-HU"/>
        </w:rPr>
      </w:pPr>
      <w:r w:rsidRPr="005A513E">
        <w:rPr>
          <w:rFonts w:ascii="Times New Roman" w:eastAsia="Times New Roman" w:hAnsi="Times New Roman" w:cs="Times New Roman"/>
          <w:lang w:eastAsia="hu-HU"/>
        </w:rPr>
        <w:t>Távolságbemérés (optikai és lézeres elven és ezek detektálása). Kiterjesztett spektrumú figyelő és célzó rendszerek, passzív működésű célzó berendezések</w:t>
      </w:r>
      <w:r w:rsidRPr="005A513E">
        <w:rPr>
          <w:rFonts w:ascii="Times New Roman" w:eastAsia="Times New Roman" w:hAnsi="Times New Roman" w:cs="Times New Roman"/>
          <w:i/>
          <w:lang w:eastAsia="hu-HU"/>
        </w:rPr>
        <w:t>. (Distance measurement (optical and laser principle and their detection). Extended-spectrum monitoring and targeting systems, passive targeting systems.)</w:t>
      </w:r>
    </w:p>
    <w:p w:rsidR="005A513E" w:rsidRPr="005A513E" w:rsidRDefault="005A513E" w:rsidP="00980876">
      <w:pPr>
        <w:numPr>
          <w:ilvl w:val="1"/>
          <w:numId w:val="433"/>
        </w:numPr>
        <w:tabs>
          <w:tab w:val="clear" w:pos="3977"/>
        </w:tabs>
        <w:spacing w:before="60" w:after="60" w:line="240" w:lineRule="auto"/>
        <w:ind w:left="1134" w:hanging="567"/>
        <w:jc w:val="both"/>
        <w:rPr>
          <w:rFonts w:ascii="Times New Roman" w:eastAsia="Times New Roman" w:hAnsi="Times New Roman" w:cs="Times New Roman"/>
          <w:bCs/>
          <w:i/>
          <w:lang w:eastAsia="hu-HU"/>
        </w:rPr>
      </w:pPr>
      <w:r w:rsidRPr="005A513E">
        <w:rPr>
          <w:rFonts w:ascii="Times New Roman" w:eastAsia="Times New Roman" w:hAnsi="Times New Roman" w:cs="Times New Roman"/>
          <w:lang w:eastAsia="hu-HU"/>
        </w:rPr>
        <w:t xml:space="preserve">Lövegstabilizálás elvei. .A lőelemképző és automatikus célzó rendszer elemei és működésének alapjai. Mozgás közbeni tüzelés feltételei. </w:t>
      </w:r>
      <w:r w:rsidRPr="005A513E">
        <w:rPr>
          <w:rFonts w:ascii="Times New Roman" w:eastAsia="Times New Roman" w:hAnsi="Times New Roman" w:cs="Times New Roman"/>
          <w:i/>
          <w:lang w:eastAsia="hu-HU"/>
        </w:rPr>
        <w:t>(Principles of gun stabilization. .Elements and Fundamentals of Ammunition Generating and Automatic Targeting Systems. Conditions for firing in motion.)</w:t>
      </w:r>
    </w:p>
    <w:p w:rsidR="005A513E" w:rsidRPr="005A513E" w:rsidRDefault="005A513E" w:rsidP="00980876">
      <w:pPr>
        <w:numPr>
          <w:ilvl w:val="1"/>
          <w:numId w:val="433"/>
        </w:numPr>
        <w:tabs>
          <w:tab w:val="clear" w:pos="3977"/>
        </w:tabs>
        <w:spacing w:before="60" w:after="60" w:line="240" w:lineRule="auto"/>
        <w:ind w:left="1134" w:hanging="567"/>
        <w:jc w:val="both"/>
        <w:rPr>
          <w:rFonts w:ascii="Times New Roman" w:eastAsia="Times New Roman" w:hAnsi="Times New Roman" w:cs="Times New Roman"/>
          <w:bCs/>
          <w:i/>
          <w:lang w:eastAsia="hu-HU"/>
        </w:rPr>
      </w:pPr>
      <w:r w:rsidRPr="005A513E">
        <w:rPr>
          <w:rFonts w:ascii="Times New Roman" w:eastAsia="Times New Roman" w:hAnsi="Times New Roman" w:cs="Times New Roman"/>
          <w:lang w:eastAsia="hu-HU"/>
        </w:rPr>
        <w:t xml:space="preserve">Automata töltőrendszer szükségessége, elemei és működése. Aktív felfüggesztések. </w:t>
      </w:r>
      <w:r w:rsidRPr="005A513E">
        <w:rPr>
          <w:rFonts w:ascii="Times New Roman" w:eastAsia="Times New Roman" w:hAnsi="Times New Roman" w:cs="Times New Roman"/>
          <w:i/>
          <w:lang w:eastAsia="hu-HU"/>
        </w:rPr>
        <w:t>(Necessity, elements and operation of automatic filling system. Active suspensions.)</w:t>
      </w:r>
    </w:p>
    <w:p w:rsidR="005A513E" w:rsidRPr="005A513E" w:rsidRDefault="005A513E" w:rsidP="00980876">
      <w:pPr>
        <w:numPr>
          <w:ilvl w:val="1"/>
          <w:numId w:val="433"/>
        </w:numPr>
        <w:tabs>
          <w:tab w:val="clear" w:pos="3977"/>
        </w:tabs>
        <w:spacing w:before="60" w:after="60" w:line="240" w:lineRule="auto"/>
        <w:ind w:left="1134" w:hanging="567"/>
        <w:jc w:val="both"/>
        <w:rPr>
          <w:rFonts w:ascii="Times New Roman" w:eastAsia="Times New Roman" w:hAnsi="Times New Roman" w:cs="Times New Roman"/>
          <w:i/>
          <w:lang w:eastAsia="hu-HU"/>
        </w:rPr>
      </w:pPr>
      <w:r w:rsidRPr="005A513E">
        <w:rPr>
          <w:rFonts w:ascii="Times New Roman" w:eastAsia="Times New Roman" w:hAnsi="Times New Roman" w:cs="Times New Roman"/>
          <w:lang w:eastAsia="hu-HU"/>
        </w:rPr>
        <w:t xml:space="preserve">A páncélátütés elve, elleni védekezés, passzív, reaktív, dinamikus páncélzattal. Aktív védelmi rendszer fajtái működési elvei, alkalmazhatósága. </w:t>
      </w:r>
      <w:r w:rsidRPr="005A513E">
        <w:rPr>
          <w:rFonts w:ascii="Times New Roman" w:eastAsia="Times New Roman" w:hAnsi="Times New Roman" w:cs="Times New Roman"/>
          <w:i/>
          <w:lang w:eastAsia="hu-HU"/>
        </w:rPr>
        <w:t>(Armor breakthrough principle, defense against passive, reactive, dynamic armor. Functional principles of application of active protection system types).</w:t>
      </w:r>
    </w:p>
    <w:p w:rsidR="005A513E" w:rsidRPr="005A513E" w:rsidRDefault="005A513E" w:rsidP="00980876">
      <w:pPr>
        <w:numPr>
          <w:ilvl w:val="1"/>
          <w:numId w:val="433"/>
        </w:numPr>
        <w:tabs>
          <w:tab w:val="clear" w:pos="3977"/>
        </w:tabs>
        <w:spacing w:before="60" w:after="60" w:line="240" w:lineRule="auto"/>
        <w:ind w:left="1134" w:hanging="567"/>
        <w:jc w:val="both"/>
        <w:rPr>
          <w:rFonts w:ascii="Times New Roman" w:eastAsia="Times New Roman" w:hAnsi="Times New Roman" w:cs="Times New Roman"/>
          <w:lang w:eastAsia="hu-HU"/>
        </w:rPr>
      </w:pPr>
      <w:r w:rsidRPr="005A513E">
        <w:rPr>
          <w:rFonts w:ascii="Times New Roman" w:eastAsia="Times New Roman" w:hAnsi="Times New Roman" w:cs="Times New Roman"/>
          <w:lang w:eastAsia="hu-HU"/>
        </w:rPr>
        <w:t xml:space="preserve">Automatikus ellen-csapásmérés. </w:t>
      </w:r>
      <w:r w:rsidRPr="005A513E">
        <w:rPr>
          <w:rFonts w:ascii="Times New Roman" w:eastAsia="Times New Roman" w:hAnsi="Times New Roman" w:cs="Times New Roman"/>
          <w:i/>
          <w:lang w:eastAsia="hu-HU"/>
        </w:rPr>
        <w:t>(Automatic counter-impact measurement.)</w:t>
      </w:r>
    </w:p>
    <w:p w:rsidR="005A513E" w:rsidRPr="005A513E" w:rsidRDefault="005A513E" w:rsidP="00980876">
      <w:pPr>
        <w:numPr>
          <w:ilvl w:val="1"/>
          <w:numId w:val="433"/>
        </w:numPr>
        <w:tabs>
          <w:tab w:val="clear" w:pos="3977"/>
        </w:tabs>
        <w:spacing w:before="60" w:after="60" w:line="240" w:lineRule="auto"/>
        <w:ind w:left="1134" w:hanging="567"/>
        <w:jc w:val="both"/>
        <w:rPr>
          <w:rFonts w:ascii="Times New Roman" w:eastAsia="Times New Roman" w:hAnsi="Times New Roman" w:cs="Times New Roman"/>
          <w:i/>
          <w:lang w:eastAsia="hu-HU"/>
        </w:rPr>
      </w:pPr>
      <w:r w:rsidRPr="005A513E">
        <w:rPr>
          <w:rFonts w:ascii="Times New Roman" w:eastAsia="Times New Roman" w:hAnsi="Times New Roman" w:cs="Times New Roman"/>
          <w:lang w:eastAsia="hu-HU"/>
        </w:rPr>
        <w:t xml:space="preserve">Harcjármű ABV és tűzvédelmi eszközei. Harcjármű álcázó berendezései. </w:t>
      </w:r>
      <w:r w:rsidRPr="005A513E">
        <w:rPr>
          <w:rFonts w:ascii="Times New Roman" w:eastAsia="Times New Roman" w:hAnsi="Times New Roman" w:cs="Times New Roman"/>
          <w:i/>
          <w:lang w:eastAsia="hu-HU"/>
        </w:rPr>
        <w:t>(Fighting vehicle ABV and fire protection equipment. Camouflage camouflage equipment.)</w:t>
      </w:r>
    </w:p>
    <w:p w:rsidR="005A513E" w:rsidRPr="005A513E" w:rsidRDefault="005A513E" w:rsidP="00980876">
      <w:pPr>
        <w:numPr>
          <w:ilvl w:val="1"/>
          <w:numId w:val="433"/>
        </w:numPr>
        <w:tabs>
          <w:tab w:val="clear" w:pos="3977"/>
        </w:tabs>
        <w:spacing w:before="60" w:after="60" w:line="240" w:lineRule="auto"/>
        <w:ind w:left="1134" w:hanging="567"/>
        <w:jc w:val="both"/>
        <w:rPr>
          <w:rFonts w:ascii="Times New Roman" w:eastAsia="Times New Roman" w:hAnsi="Times New Roman" w:cs="Times New Roman"/>
          <w:i/>
          <w:lang w:eastAsia="hu-HU"/>
        </w:rPr>
      </w:pPr>
      <w:r w:rsidRPr="005A513E">
        <w:rPr>
          <w:rFonts w:ascii="Times New Roman" w:eastAsia="Times New Roman" w:hAnsi="Times New Roman" w:cs="Times New Roman"/>
          <w:lang w:eastAsia="hu-HU"/>
        </w:rPr>
        <w:t xml:space="preserve">Helyzet meghatározó és kommunikációs berendezések. </w:t>
      </w:r>
      <w:r w:rsidRPr="005A513E">
        <w:rPr>
          <w:rFonts w:ascii="Times New Roman" w:eastAsia="Times New Roman" w:hAnsi="Times New Roman" w:cs="Times New Roman"/>
          <w:i/>
          <w:lang w:eastAsia="hu-HU"/>
        </w:rPr>
        <w:t>(Positioning and communication equipment.)</w:t>
      </w:r>
    </w:p>
    <w:p w:rsidR="005A513E" w:rsidRPr="005A513E" w:rsidRDefault="005A513E" w:rsidP="00980876">
      <w:pPr>
        <w:numPr>
          <w:ilvl w:val="1"/>
          <w:numId w:val="433"/>
        </w:numPr>
        <w:tabs>
          <w:tab w:val="clear" w:pos="3977"/>
        </w:tabs>
        <w:spacing w:before="60" w:after="60" w:line="240" w:lineRule="auto"/>
        <w:ind w:left="1134" w:hanging="567"/>
        <w:jc w:val="both"/>
        <w:rPr>
          <w:rFonts w:ascii="Times New Roman" w:eastAsia="Times New Roman" w:hAnsi="Times New Roman" w:cs="Times New Roman"/>
          <w:i/>
          <w:lang w:eastAsia="hu-HU"/>
        </w:rPr>
      </w:pPr>
      <w:r w:rsidRPr="005A513E">
        <w:rPr>
          <w:rFonts w:ascii="Times New Roman" w:eastAsia="Times New Roman" w:hAnsi="Times New Roman" w:cs="Times New Roman"/>
          <w:lang w:eastAsia="hu-HU"/>
        </w:rPr>
        <w:t xml:space="preserve">Harcjármű fegyverzetének működése és hatása a jármű egyes elemeire. </w:t>
      </w:r>
      <w:r w:rsidRPr="005A513E">
        <w:rPr>
          <w:rFonts w:ascii="Times New Roman" w:eastAsia="Times New Roman" w:hAnsi="Times New Roman" w:cs="Times New Roman"/>
          <w:i/>
          <w:lang w:eastAsia="hu-HU"/>
        </w:rPr>
        <w:t>(Operation of the weapon of a combat vehicle and its effect on certain elements of the vehicle.)</w:t>
      </w:r>
    </w:p>
    <w:p w:rsidR="005A513E" w:rsidRPr="005A513E" w:rsidRDefault="005A513E" w:rsidP="00980876">
      <w:pPr>
        <w:numPr>
          <w:ilvl w:val="1"/>
          <w:numId w:val="433"/>
        </w:numPr>
        <w:tabs>
          <w:tab w:val="clear" w:pos="3977"/>
        </w:tabs>
        <w:spacing w:before="60" w:after="60" w:line="240" w:lineRule="auto"/>
        <w:ind w:left="1134" w:hanging="567"/>
        <w:jc w:val="both"/>
        <w:rPr>
          <w:rFonts w:ascii="Times New Roman" w:eastAsia="Times New Roman" w:hAnsi="Times New Roman" w:cs="Times New Roman"/>
          <w:bCs/>
          <w:i/>
          <w:lang w:eastAsia="hu-HU"/>
        </w:rPr>
      </w:pPr>
      <w:r w:rsidRPr="005A513E">
        <w:rPr>
          <w:rFonts w:ascii="Times New Roman" w:eastAsia="Times New Roman" w:hAnsi="Times New Roman" w:cs="Times New Roman"/>
          <w:lang w:eastAsia="hu-HU"/>
        </w:rPr>
        <w:t>A MH-nél rendszeresített harcjárműveinek fedélzeti rendszereinek bemutatása</w:t>
      </w:r>
      <w:r w:rsidRPr="005A513E">
        <w:rPr>
          <w:rFonts w:ascii="Times New Roman" w:eastAsia="Times New Roman" w:hAnsi="Times New Roman" w:cs="Times New Roman"/>
          <w:i/>
          <w:lang w:eastAsia="hu-HU"/>
        </w:rPr>
        <w:t>.(A demonstration of the onboard systems of HDF warriors.)</w:t>
      </w:r>
    </w:p>
    <w:p w:rsidR="005A513E" w:rsidRPr="005A513E" w:rsidRDefault="005A513E" w:rsidP="00980876">
      <w:pPr>
        <w:numPr>
          <w:ilvl w:val="0"/>
          <w:numId w:val="433"/>
        </w:numPr>
        <w:tabs>
          <w:tab w:val="clear" w:pos="720"/>
          <w:tab w:val="right" w:pos="567"/>
          <w:tab w:val="num" w:pos="644"/>
          <w:tab w:val="center" w:pos="4536"/>
          <w:tab w:val="right" w:pos="9071"/>
        </w:tabs>
        <w:spacing w:before="120" w:after="120" w:line="240" w:lineRule="auto"/>
        <w:ind w:left="426" w:hanging="142"/>
        <w:jc w:val="both"/>
        <w:rPr>
          <w:rFonts w:ascii="Times New Roman" w:eastAsia="Times New Roman" w:hAnsi="Times New Roman" w:cs="Times New Roman"/>
          <w:bCs/>
          <w:lang w:eastAsia="hu-HU"/>
        </w:rPr>
      </w:pPr>
      <w:r w:rsidRPr="005A513E">
        <w:rPr>
          <w:rFonts w:ascii="Times New Roman" w:eastAsia="Times New Roman" w:hAnsi="Times New Roman" w:cs="Times New Roman"/>
          <w:b/>
          <w:bCs/>
          <w:lang w:eastAsia="hu-HU"/>
        </w:rPr>
        <w:t xml:space="preserve">A tantárgy meghirdetésének gyakorisága/a tantervben történő félévi elhelyezkedése: </w:t>
      </w:r>
      <w:r w:rsidRPr="005A513E">
        <w:rPr>
          <w:rFonts w:ascii="Times New Roman" w:eastAsia="Times New Roman" w:hAnsi="Times New Roman" w:cs="Times New Roman"/>
          <w:bCs/>
          <w:lang w:eastAsia="hu-HU"/>
        </w:rPr>
        <w:t>évente /6. félév</w:t>
      </w:r>
    </w:p>
    <w:p w:rsidR="005A513E" w:rsidRPr="005A513E" w:rsidRDefault="005A513E" w:rsidP="00980876">
      <w:pPr>
        <w:widowControl w:val="0"/>
        <w:numPr>
          <w:ilvl w:val="0"/>
          <w:numId w:val="433"/>
        </w:numPr>
        <w:tabs>
          <w:tab w:val="num" w:pos="360"/>
          <w:tab w:val="num" w:pos="644"/>
        </w:tabs>
        <w:spacing w:before="120" w:after="120" w:line="240" w:lineRule="auto"/>
        <w:ind w:left="426" w:hanging="142"/>
        <w:jc w:val="both"/>
        <w:rPr>
          <w:rFonts w:ascii="Times New Roman" w:eastAsia="Times New Roman" w:hAnsi="Times New Roman" w:cs="Times New Roman"/>
          <w:bCs/>
          <w:lang w:eastAsia="hu-HU"/>
        </w:rPr>
      </w:pPr>
      <w:r w:rsidRPr="005A513E">
        <w:rPr>
          <w:rFonts w:ascii="Times New Roman" w:eastAsia="Times New Roman" w:hAnsi="Times New Roman" w:cs="Times New Roman"/>
          <w:b/>
          <w:bCs/>
          <w:lang w:eastAsia="hu-HU"/>
        </w:rPr>
        <w:t>A tanórákon való részvétel követelményei, az elfogadható hiányzások mértéke, a távolmaradás pótlásának lehetősége:</w:t>
      </w:r>
      <w:r w:rsidRPr="005A513E">
        <w:rPr>
          <w:rFonts w:ascii="Times New Roman" w:eastAsia="Times New Roman" w:hAnsi="Times New Roman" w:cs="Times New Roman"/>
          <w:bCs/>
          <w:lang w:eastAsia="hu-HU"/>
        </w:rPr>
        <w:t xml:space="preserve"> </w:t>
      </w:r>
    </w:p>
    <w:p w:rsidR="005A513E" w:rsidRPr="005A513E" w:rsidRDefault="005A513E" w:rsidP="005A513E">
      <w:pPr>
        <w:widowControl w:val="0"/>
        <w:spacing w:before="120" w:after="120" w:line="240" w:lineRule="auto"/>
        <w:ind w:left="426"/>
        <w:jc w:val="both"/>
        <w:rPr>
          <w:rFonts w:ascii="Times New Roman" w:eastAsia="Times New Roman" w:hAnsi="Times New Roman" w:cs="Times New Roman"/>
          <w:bCs/>
          <w:lang w:eastAsia="hu-HU"/>
        </w:rPr>
      </w:pPr>
      <w:r w:rsidRPr="005A513E">
        <w:rPr>
          <w:rFonts w:ascii="Times New Roman" w:eastAsia="Times New Roman" w:hAnsi="Times New Roman" w:cs="Times New Roman"/>
          <w:bCs/>
          <w:lang w:eastAsia="hu-HU"/>
        </w:rPr>
        <w:t>A hallgatónak a tanórák legalább 70 %-án jelen kell lennie, 30 %-ot meghaladó hiányzás esetén a félév teljesítése nem írható alá. A hallgató köteles az előadás és a gyakorlat anyagát beszerezni, abból önállóan felkészülni. A hiányzás pótolható az oktató által kijelölt témakörben beadott, legalább elégségesre értékelt házidolgozattal.</w:t>
      </w:r>
    </w:p>
    <w:p w:rsidR="005A513E" w:rsidRPr="005A513E" w:rsidRDefault="005A513E" w:rsidP="00980876">
      <w:pPr>
        <w:widowControl w:val="0"/>
        <w:numPr>
          <w:ilvl w:val="0"/>
          <w:numId w:val="433"/>
        </w:numPr>
        <w:tabs>
          <w:tab w:val="num" w:pos="360"/>
          <w:tab w:val="num" w:pos="644"/>
        </w:tabs>
        <w:spacing w:before="120" w:after="120" w:line="240" w:lineRule="auto"/>
        <w:ind w:left="426" w:hanging="142"/>
        <w:jc w:val="both"/>
        <w:rPr>
          <w:rFonts w:ascii="Times New Roman" w:eastAsia="Times New Roman" w:hAnsi="Times New Roman" w:cs="Times New Roman"/>
          <w:bCs/>
          <w:lang w:eastAsia="hu-HU"/>
        </w:rPr>
      </w:pPr>
      <w:r w:rsidRPr="005A513E">
        <w:rPr>
          <w:rFonts w:ascii="Times New Roman" w:eastAsia="Times New Roman" w:hAnsi="Times New Roman" w:cs="Times New Roman"/>
          <w:b/>
          <w:lang w:eastAsia="hu-HU"/>
        </w:rPr>
        <w:t>Félévközi feladatok, ismeretek ellenőrzésének rendje:</w:t>
      </w:r>
      <w:r w:rsidRPr="005A513E">
        <w:rPr>
          <w:rFonts w:ascii="Times New Roman" w:eastAsia="Times New Roman" w:hAnsi="Times New Roman" w:cs="Times New Roman"/>
          <w:bCs/>
          <w:lang w:eastAsia="hu-HU"/>
        </w:rPr>
        <w:t xml:space="preserve"> A félév során a hallgató kettő zárthelyi dolgozatot ír. Zárthelyi dolgozatok a 12.1-12.15 tantárgyrészekből.</w:t>
      </w:r>
      <w:r w:rsidRPr="005A513E">
        <w:rPr>
          <w:rFonts w:ascii="Times New Roman" w:eastAsia="Times New Roman" w:hAnsi="Times New Roman" w:cs="Times New Roman"/>
          <w:lang w:eastAsia="hu-HU"/>
        </w:rPr>
        <w:t xml:space="preserve"> </w:t>
      </w:r>
      <w:r w:rsidRPr="005A513E">
        <w:rPr>
          <w:rFonts w:ascii="Times New Roman" w:eastAsia="Times New Roman" w:hAnsi="Times New Roman" w:cs="Times New Roman"/>
          <w:bCs/>
          <w:lang w:eastAsia="hu-HU"/>
        </w:rPr>
        <w:t>A zárthelyi dolgozat témáit a kötelező irodalmak anyagából, illetve az előadásokon elhangzott ismeretanyagból kell összeállítani. A zárthelyi dolgozat értékelése ötfokozatú értékelés (a helyes válaszok aránya 0-60% elégtelen; 61-70% elégséges; 71-80% közepes; 81-90% jó; 91-100% jeles osztályzat). Eredménytelen zárthelyi dolgozat kétszer javítható</w:t>
      </w:r>
      <w:r w:rsidRPr="005A513E">
        <w:rPr>
          <w:rFonts w:ascii="Times New Roman" w:eastAsia="Times New Roman" w:hAnsi="Times New Roman" w:cs="Times New Roman"/>
          <w:b/>
          <w:bCs/>
          <w:lang w:eastAsia="hu-HU"/>
        </w:rPr>
        <w:t>.</w:t>
      </w:r>
      <w:r w:rsidRPr="005A513E">
        <w:rPr>
          <w:rFonts w:ascii="Times New Roman" w:eastAsia="Times New Roman" w:hAnsi="Times New Roman" w:cs="Times New Roman"/>
          <w:bCs/>
          <w:lang w:eastAsia="hu-HU"/>
        </w:rPr>
        <w:t xml:space="preserve"> A dolgozatban teszt és esszé jellegű kérdések egyaránt szerepelnek.</w:t>
      </w:r>
    </w:p>
    <w:p w:rsidR="005A513E" w:rsidRPr="005A513E" w:rsidRDefault="005A513E" w:rsidP="00980876">
      <w:pPr>
        <w:widowControl w:val="0"/>
        <w:numPr>
          <w:ilvl w:val="0"/>
          <w:numId w:val="433"/>
        </w:numPr>
        <w:tabs>
          <w:tab w:val="num" w:pos="644"/>
        </w:tabs>
        <w:spacing w:before="120" w:after="120" w:line="240" w:lineRule="auto"/>
        <w:ind w:left="426" w:hanging="142"/>
        <w:jc w:val="both"/>
        <w:rPr>
          <w:rFonts w:ascii="Times New Roman" w:eastAsia="Times New Roman" w:hAnsi="Times New Roman" w:cs="Times New Roman"/>
          <w:b/>
          <w:bCs/>
          <w:lang w:eastAsia="hu-HU"/>
        </w:rPr>
      </w:pPr>
      <w:r w:rsidRPr="005A513E">
        <w:rPr>
          <w:rFonts w:ascii="Times New Roman" w:eastAsia="Times New Roman" w:hAnsi="Times New Roman" w:cs="Times New Roman"/>
          <w:b/>
          <w:bCs/>
          <w:lang w:eastAsia="hu-HU"/>
        </w:rPr>
        <w:t xml:space="preserve">Az értékelés, az aláírás és a kreditek megszerzésének pontos feltételei: </w:t>
      </w:r>
    </w:p>
    <w:p w:rsidR="005A513E" w:rsidRPr="005A513E" w:rsidRDefault="005A513E" w:rsidP="00980876">
      <w:pPr>
        <w:widowControl w:val="0"/>
        <w:numPr>
          <w:ilvl w:val="1"/>
          <w:numId w:val="433"/>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lang w:eastAsia="hu-HU"/>
        </w:rPr>
      </w:pPr>
      <w:r w:rsidRPr="005A513E">
        <w:rPr>
          <w:rFonts w:ascii="Times New Roman" w:eastAsia="Times New Roman" w:hAnsi="Times New Roman" w:cs="Times New Roman"/>
          <w:b/>
          <w:lang w:eastAsia="hu-HU"/>
        </w:rPr>
        <w:t>Az aláírás megszerzésének feltételei:</w:t>
      </w:r>
      <w:r w:rsidRPr="005A513E">
        <w:rPr>
          <w:rFonts w:ascii="Times New Roman" w:eastAsia="Times New Roman" w:hAnsi="Times New Roman" w:cs="Times New Roman"/>
          <w:lang w:eastAsia="hu-HU"/>
        </w:rPr>
        <w:t xml:space="preserve"> </w:t>
      </w:r>
      <w:r w:rsidRPr="005A513E">
        <w:rPr>
          <w:rFonts w:ascii="Times New Roman" w:eastAsia="Times New Roman" w:hAnsi="Times New Roman" w:cs="Times New Roman"/>
          <w:bCs/>
          <w:lang w:eastAsia="hu-HU"/>
        </w:rPr>
        <w:t>Az aláírás megszerzésének feltétele a 14. pontban meghatározott arányú részvétel a foglalkozásokon és a 15. pontban meghatározott félévközi feladatok legalább elégséges teljesítése.</w:t>
      </w:r>
    </w:p>
    <w:p w:rsidR="005A513E" w:rsidRPr="005A513E" w:rsidRDefault="005A513E" w:rsidP="00980876">
      <w:pPr>
        <w:widowControl w:val="0"/>
        <w:numPr>
          <w:ilvl w:val="1"/>
          <w:numId w:val="433"/>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lang w:eastAsia="hu-HU"/>
        </w:rPr>
      </w:pPr>
      <w:r w:rsidRPr="005A513E">
        <w:rPr>
          <w:rFonts w:ascii="Times New Roman" w:eastAsia="Times New Roman" w:hAnsi="Times New Roman" w:cs="Times New Roman"/>
          <w:b/>
          <w:lang w:eastAsia="hu-HU"/>
        </w:rPr>
        <w:t>Az értékelés:</w:t>
      </w:r>
      <w:r w:rsidRPr="005A513E">
        <w:rPr>
          <w:rFonts w:ascii="Times New Roman" w:eastAsia="Times New Roman" w:hAnsi="Times New Roman" w:cs="Times New Roman"/>
          <w:lang w:eastAsia="hu-HU"/>
        </w:rPr>
        <w:t xml:space="preserve"> évközi értékelés, ötfokozatú értékelés.</w:t>
      </w:r>
      <w:r w:rsidRPr="005A513E">
        <w:rPr>
          <w:rFonts w:ascii="Times New Roman" w:eastAsia="Times New Roman" w:hAnsi="Times New Roman" w:cs="Times New Roman"/>
          <w:bCs/>
          <w:lang w:eastAsia="hu-HU"/>
        </w:rPr>
        <w:t xml:space="preserve"> Az évközi értékelést az elért eredmények kerekített matematikai átlaga képezi.</w:t>
      </w:r>
    </w:p>
    <w:p w:rsidR="005A513E" w:rsidRPr="005A513E" w:rsidRDefault="005A513E" w:rsidP="00980876">
      <w:pPr>
        <w:widowControl w:val="0"/>
        <w:numPr>
          <w:ilvl w:val="1"/>
          <w:numId w:val="433"/>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lang w:eastAsia="hu-HU"/>
        </w:rPr>
      </w:pPr>
      <w:r w:rsidRPr="005A513E">
        <w:rPr>
          <w:rFonts w:ascii="Times New Roman" w:eastAsia="Times New Roman" w:hAnsi="Times New Roman" w:cs="Times New Roman"/>
          <w:b/>
          <w:lang w:eastAsia="hu-HU"/>
        </w:rPr>
        <w:t>A kreditek megszerzésének feltételei:</w:t>
      </w:r>
      <w:r w:rsidRPr="005A513E">
        <w:rPr>
          <w:rFonts w:ascii="Times New Roman" w:eastAsia="Times New Roman" w:hAnsi="Times New Roman" w:cs="Times New Roman"/>
          <w:lang w:eastAsia="hu-HU"/>
        </w:rPr>
        <w:t xml:space="preserve"> az aláírás megszerzése és legalább elégséges</w:t>
      </w:r>
      <w:r w:rsidRPr="005A513E">
        <w:rPr>
          <w:rFonts w:ascii="Times New Roman" w:eastAsia="Times New Roman" w:hAnsi="Times New Roman" w:cs="Times New Roman"/>
          <w:b/>
          <w:lang w:eastAsia="hu-HU"/>
        </w:rPr>
        <w:t xml:space="preserve"> </w:t>
      </w:r>
      <w:r w:rsidRPr="005A513E">
        <w:rPr>
          <w:rFonts w:ascii="Times New Roman" w:eastAsia="Times New Roman" w:hAnsi="Times New Roman" w:cs="Times New Roman"/>
          <w:lang w:eastAsia="hu-HU"/>
        </w:rPr>
        <w:t>évközi értékelés</w:t>
      </w:r>
      <w:r w:rsidRPr="005A513E">
        <w:rPr>
          <w:rFonts w:ascii="Times New Roman" w:eastAsia="Times New Roman" w:hAnsi="Times New Roman" w:cs="Times New Roman"/>
          <w:bCs/>
          <w:lang w:eastAsia="hu-HU"/>
        </w:rPr>
        <w:t>.</w:t>
      </w:r>
    </w:p>
    <w:p w:rsidR="005A513E" w:rsidRPr="005A513E" w:rsidRDefault="005A513E" w:rsidP="00980876">
      <w:pPr>
        <w:numPr>
          <w:ilvl w:val="0"/>
          <w:numId w:val="433"/>
        </w:numPr>
        <w:tabs>
          <w:tab w:val="clear" w:pos="720"/>
          <w:tab w:val="num" w:pos="426"/>
          <w:tab w:val="num" w:pos="644"/>
        </w:tabs>
        <w:spacing w:before="120" w:after="120" w:line="240" w:lineRule="auto"/>
        <w:ind w:left="426" w:hanging="142"/>
        <w:jc w:val="both"/>
        <w:rPr>
          <w:rFonts w:ascii="Times New Roman" w:eastAsia="Times New Roman" w:hAnsi="Times New Roman" w:cs="Times New Roman"/>
          <w:b/>
          <w:lang w:eastAsia="hu-HU"/>
        </w:rPr>
      </w:pPr>
      <w:r w:rsidRPr="005A513E">
        <w:rPr>
          <w:rFonts w:ascii="Times New Roman" w:eastAsia="Times New Roman" w:hAnsi="Times New Roman" w:cs="Times New Roman"/>
          <w:b/>
          <w:lang w:eastAsia="hu-HU"/>
        </w:rPr>
        <w:lastRenderedPageBreak/>
        <w:t>Irodalomjegyzék:</w:t>
      </w:r>
    </w:p>
    <w:p w:rsidR="005A513E" w:rsidRPr="005A513E" w:rsidRDefault="005A513E" w:rsidP="00980876">
      <w:pPr>
        <w:numPr>
          <w:ilvl w:val="1"/>
          <w:numId w:val="433"/>
        </w:numPr>
        <w:tabs>
          <w:tab w:val="clear" w:pos="3977"/>
          <w:tab w:val="num" w:pos="1000"/>
          <w:tab w:val="left" w:pos="1134"/>
        </w:tabs>
        <w:spacing w:before="120" w:after="120" w:line="240" w:lineRule="auto"/>
        <w:ind w:left="568" w:firstLine="0"/>
        <w:jc w:val="both"/>
        <w:rPr>
          <w:rFonts w:ascii="Times New Roman" w:eastAsia="Times New Roman" w:hAnsi="Times New Roman" w:cs="Times New Roman"/>
          <w:b/>
          <w:lang w:eastAsia="hu-HU"/>
        </w:rPr>
      </w:pPr>
      <w:r w:rsidRPr="005A513E">
        <w:rPr>
          <w:rFonts w:ascii="Times New Roman" w:eastAsia="Times New Roman" w:hAnsi="Times New Roman" w:cs="Times New Roman"/>
          <w:b/>
          <w:lang w:eastAsia="hu-HU"/>
        </w:rPr>
        <w:t xml:space="preserve">Kötelező irodalom: </w:t>
      </w:r>
    </w:p>
    <w:p w:rsidR="005A513E" w:rsidRPr="005A513E" w:rsidRDefault="005A513E" w:rsidP="00980876">
      <w:pPr>
        <w:numPr>
          <w:ilvl w:val="0"/>
          <w:numId w:val="432"/>
        </w:numPr>
        <w:spacing w:after="0" w:line="240" w:lineRule="auto"/>
        <w:ind w:left="1281" w:hanging="357"/>
        <w:jc w:val="both"/>
        <w:rPr>
          <w:rFonts w:ascii="Times New Roman" w:eastAsia="Times New Roman" w:hAnsi="Times New Roman" w:cs="Times New Roman"/>
          <w:lang w:eastAsia="hu-HU"/>
        </w:rPr>
      </w:pPr>
      <w:r w:rsidRPr="005A513E">
        <w:rPr>
          <w:rFonts w:ascii="Times New Roman" w:eastAsia="Times New Roman" w:hAnsi="Times New Roman" w:cs="Times New Roman"/>
          <w:lang w:eastAsia="hu-HU"/>
        </w:rPr>
        <w:t>A T-72 Harckocsi Anyagismereti és igénybevételi szakutasítása, Első kötet, Pc/57, Honvédelmi minisztérium kiadványa 1979.</w:t>
      </w:r>
    </w:p>
    <w:p w:rsidR="005A513E" w:rsidRPr="005A513E" w:rsidRDefault="005A513E" w:rsidP="00980876">
      <w:pPr>
        <w:numPr>
          <w:ilvl w:val="0"/>
          <w:numId w:val="432"/>
        </w:numPr>
        <w:spacing w:after="0" w:line="240" w:lineRule="auto"/>
        <w:ind w:left="1281" w:hanging="357"/>
        <w:jc w:val="both"/>
        <w:rPr>
          <w:rFonts w:ascii="Times New Roman" w:eastAsia="Times New Roman" w:hAnsi="Times New Roman" w:cs="Times New Roman"/>
          <w:lang w:eastAsia="hu-HU"/>
        </w:rPr>
      </w:pPr>
      <w:r w:rsidRPr="005A513E">
        <w:rPr>
          <w:rFonts w:ascii="Times New Roman" w:eastAsia="Times New Roman" w:hAnsi="Times New Roman" w:cs="Times New Roman"/>
          <w:lang w:eastAsia="hu-HU"/>
        </w:rPr>
        <w:t xml:space="preserve">A T-72 Harckocsi anyagismereti és igénybevételi szakutasítása Második kötet, Honvédelmi minisztérium kiadványa 1981. </w:t>
      </w:r>
    </w:p>
    <w:p w:rsidR="005A513E" w:rsidRPr="005A513E" w:rsidRDefault="005A513E" w:rsidP="00980876">
      <w:pPr>
        <w:numPr>
          <w:ilvl w:val="0"/>
          <w:numId w:val="432"/>
        </w:numPr>
        <w:spacing w:after="0" w:line="240" w:lineRule="auto"/>
        <w:ind w:left="1281" w:hanging="357"/>
        <w:jc w:val="both"/>
        <w:rPr>
          <w:rFonts w:ascii="Times New Roman" w:eastAsia="Times New Roman" w:hAnsi="Times New Roman" w:cs="Times New Roman"/>
          <w:lang w:eastAsia="hu-HU"/>
        </w:rPr>
      </w:pPr>
      <w:r w:rsidRPr="005A513E">
        <w:rPr>
          <w:rFonts w:ascii="Times New Roman" w:eastAsia="Times New Roman" w:hAnsi="Times New Roman" w:cs="Times New Roman"/>
          <w:lang w:eastAsia="hu-HU"/>
        </w:rPr>
        <w:t>A T-72 Harckocsi anyagismereti és igénybevételi szakutasítása, Harmadik kötet, Pc/64, Honvédelmi minisztérium kiadványa 1979.</w:t>
      </w:r>
    </w:p>
    <w:p w:rsidR="005A513E" w:rsidRPr="005A513E" w:rsidRDefault="005A513E" w:rsidP="00980876">
      <w:pPr>
        <w:numPr>
          <w:ilvl w:val="0"/>
          <w:numId w:val="432"/>
        </w:numPr>
        <w:spacing w:after="0" w:line="240" w:lineRule="auto"/>
        <w:ind w:left="1281" w:hanging="357"/>
        <w:jc w:val="both"/>
        <w:rPr>
          <w:rFonts w:ascii="Times New Roman" w:eastAsia="Times New Roman" w:hAnsi="Times New Roman" w:cs="Times New Roman"/>
          <w:lang w:eastAsia="hu-HU"/>
        </w:rPr>
      </w:pPr>
      <w:r w:rsidRPr="005A513E">
        <w:rPr>
          <w:rFonts w:ascii="Times New Roman" w:eastAsia="Times New Roman" w:hAnsi="Times New Roman" w:cs="Times New Roman"/>
          <w:lang w:eastAsia="hu-HU"/>
        </w:rPr>
        <w:t>Pintér Gábor: A T-72 harckocsi fegyvereinek kezelése: egyetemi jegyzet, Budapest : ZMNE, 2000</w:t>
      </w:r>
    </w:p>
    <w:p w:rsidR="005A513E" w:rsidRPr="005A513E" w:rsidRDefault="005A513E" w:rsidP="00980876">
      <w:pPr>
        <w:numPr>
          <w:ilvl w:val="1"/>
          <w:numId w:val="433"/>
        </w:numPr>
        <w:tabs>
          <w:tab w:val="clear" w:pos="3977"/>
          <w:tab w:val="num" w:pos="1000"/>
          <w:tab w:val="left" w:pos="1134"/>
        </w:tabs>
        <w:spacing w:before="120" w:after="120" w:line="240" w:lineRule="auto"/>
        <w:ind w:left="568" w:firstLine="0"/>
        <w:jc w:val="both"/>
        <w:rPr>
          <w:rFonts w:ascii="Times New Roman" w:eastAsia="Times New Roman" w:hAnsi="Times New Roman" w:cs="Times New Roman"/>
          <w:b/>
          <w:lang w:eastAsia="hu-HU"/>
        </w:rPr>
      </w:pPr>
      <w:r w:rsidRPr="005A513E">
        <w:rPr>
          <w:rFonts w:ascii="Times New Roman" w:eastAsia="Times New Roman" w:hAnsi="Times New Roman" w:cs="Times New Roman"/>
          <w:b/>
          <w:lang w:eastAsia="hu-HU"/>
        </w:rPr>
        <w:t>. Ajánlott irodalom:</w:t>
      </w:r>
    </w:p>
    <w:p w:rsidR="005A513E" w:rsidRPr="005A513E" w:rsidRDefault="005A513E" w:rsidP="00980876">
      <w:pPr>
        <w:numPr>
          <w:ilvl w:val="0"/>
          <w:numId w:val="434"/>
        </w:numPr>
        <w:spacing w:after="0" w:line="240" w:lineRule="auto"/>
        <w:ind w:left="1281" w:hanging="357"/>
        <w:jc w:val="both"/>
        <w:rPr>
          <w:rFonts w:ascii="Times New Roman" w:eastAsia="Times New Roman" w:hAnsi="Times New Roman" w:cs="Times New Roman"/>
          <w:lang w:eastAsia="hu-HU"/>
        </w:rPr>
      </w:pPr>
      <w:r w:rsidRPr="005A513E">
        <w:rPr>
          <w:rFonts w:ascii="Times New Roman" w:eastAsia="Times New Roman" w:hAnsi="Times New Roman" w:cs="Times New Roman"/>
          <w:lang w:eastAsia="hu-HU"/>
        </w:rPr>
        <w:t>D.E. Carlucci, S. S. Jacobson, Ballistics: Theory and Design of Guns and Ammunition, CRC Press, 2018. ISBN 113805531X</w:t>
      </w:r>
    </w:p>
    <w:p w:rsidR="005A513E" w:rsidRPr="005A513E" w:rsidRDefault="005A513E" w:rsidP="00980876">
      <w:pPr>
        <w:numPr>
          <w:ilvl w:val="0"/>
          <w:numId w:val="434"/>
        </w:numPr>
        <w:spacing w:after="0" w:line="240" w:lineRule="auto"/>
        <w:ind w:left="1281" w:hanging="357"/>
        <w:jc w:val="both"/>
        <w:rPr>
          <w:rFonts w:ascii="Times New Roman" w:eastAsia="Times New Roman" w:hAnsi="Times New Roman" w:cs="Times New Roman"/>
          <w:lang w:eastAsia="hu-HU"/>
        </w:rPr>
      </w:pPr>
      <w:r w:rsidRPr="005A513E">
        <w:rPr>
          <w:rFonts w:ascii="Times New Roman" w:eastAsia="Times New Roman" w:hAnsi="Times New Roman" w:cs="Times New Roman"/>
          <w:lang w:eastAsia="hu-HU"/>
        </w:rPr>
        <w:t>Gát István: Fegyver és lőszertechnikai kézikönyv (Ipari Minisztérium Iparszervezési főosztály, VASKUT MÜFIL Innovációs Iroda, Budapest, 1984, 84.408)</w:t>
      </w:r>
    </w:p>
    <w:p w:rsidR="005A513E" w:rsidRPr="005A513E" w:rsidRDefault="005A513E" w:rsidP="005A513E">
      <w:pPr>
        <w:spacing w:before="120" w:after="120" w:line="240" w:lineRule="auto"/>
        <w:jc w:val="both"/>
        <w:rPr>
          <w:rFonts w:ascii="Times New Roman" w:eastAsia="Times New Roman" w:hAnsi="Times New Roman" w:cs="Times New Roman"/>
          <w:lang w:eastAsia="hu-HU"/>
        </w:rPr>
      </w:pPr>
    </w:p>
    <w:p w:rsidR="005A513E" w:rsidRPr="005A513E" w:rsidRDefault="005A513E" w:rsidP="005A513E">
      <w:pPr>
        <w:spacing w:before="120" w:after="120" w:line="240" w:lineRule="auto"/>
        <w:jc w:val="both"/>
        <w:rPr>
          <w:rFonts w:ascii="Times New Roman" w:eastAsia="Times New Roman" w:hAnsi="Times New Roman" w:cs="Times New Roman"/>
          <w:lang w:eastAsia="hu-HU"/>
        </w:rPr>
      </w:pPr>
      <w:r w:rsidRPr="005A513E">
        <w:rPr>
          <w:rFonts w:ascii="Times New Roman" w:eastAsia="Times New Roman" w:hAnsi="Times New Roman" w:cs="Times New Roman"/>
          <w:lang w:eastAsia="hu-HU"/>
        </w:rPr>
        <w:t xml:space="preserve">Budapest, 2020. </w:t>
      </w:r>
      <w:r>
        <w:rPr>
          <w:rFonts w:ascii="Times New Roman" w:eastAsia="Times New Roman" w:hAnsi="Times New Roman" w:cs="Times New Roman"/>
          <w:lang w:eastAsia="hu-HU"/>
        </w:rPr>
        <w:t>március</w:t>
      </w:r>
      <w:r w:rsidRPr="005A513E">
        <w:rPr>
          <w:rFonts w:ascii="Times New Roman" w:eastAsia="Times New Roman" w:hAnsi="Times New Roman" w:cs="Times New Roman"/>
          <w:lang w:eastAsia="hu-HU"/>
        </w:rPr>
        <w:t xml:space="preserve"> 15.</w:t>
      </w:r>
    </w:p>
    <w:p w:rsidR="004A4C51" w:rsidRPr="00A3436E" w:rsidRDefault="004A4C51" w:rsidP="004A4C51">
      <w:pPr>
        <w:widowControl w:val="0"/>
        <w:spacing w:after="0" w:line="240" w:lineRule="auto"/>
        <w:ind w:left="5529"/>
        <w:jc w:val="center"/>
        <w:rPr>
          <w:rFonts w:ascii="Times New Roman" w:eastAsia="Times New Roman" w:hAnsi="Times New Roman" w:cs="Times New Roman"/>
          <w:b/>
          <w:bCs/>
        </w:rPr>
      </w:pPr>
      <w:r w:rsidRPr="00A3436E">
        <w:rPr>
          <w:rFonts w:ascii="Times New Roman" w:eastAsia="Times New Roman" w:hAnsi="Times New Roman" w:cs="Times New Roman"/>
          <w:b/>
          <w:bCs/>
        </w:rPr>
        <w:t xml:space="preserve">Dr. Gyarmati József </w:t>
      </w:r>
      <w:r>
        <w:rPr>
          <w:rFonts w:ascii="Times New Roman" w:eastAsia="Times New Roman" w:hAnsi="Times New Roman" w:cs="Times New Roman"/>
          <w:b/>
          <w:bCs/>
        </w:rPr>
        <w:t>alezredes, PhD</w:t>
      </w:r>
    </w:p>
    <w:p w:rsidR="005A513E" w:rsidRPr="005A513E" w:rsidRDefault="005A513E" w:rsidP="005A513E">
      <w:pPr>
        <w:tabs>
          <w:tab w:val="center" w:pos="7371"/>
        </w:tabs>
        <w:spacing w:after="0" w:line="240" w:lineRule="auto"/>
        <w:jc w:val="both"/>
        <w:rPr>
          <w:rFonts w:ascii="Times New Roman" w:eastAsia="Times New Roman" w:hAnsi="Times New Roman" w:cs="Times New Roman"/>
          <w:lang w:eastAsia="hu-HU"/>
        </w:rPr>
      </w:pPr>
      <w:r w:rsidRPr="005A513E">
        <w:rPr>
          <w:rFonts w:ascii="Times New Roman" w:eastAsia="Times New Roman" w:hAnsi="Times New Roman" w:cs="Times New Roman"/>
          <w:lang w:eastAsia="hu-HU"/>
        </w:rPr>
        <w:tab/>
        <w:t>egyetemi docens, sk.</w:t>
      </w:r>
    </w:p>
    <w:p w:rsidR="005A513E" w:rsidRDefault="005A513E">
      <w:pPr>
        <w:spacing w:after="200" w:line="276" w:lineRule="auto"/>
        <w:rPr>
          <w:rFonts w:ascii="Times New Roman" w:hAnsi="Times New Roman" w:cs="Times New Roman"/>
          <w:sz w:val="24"/>
        </w:rPr>
      </w:pPr>
      <w:r>
        <w:rPr>
          <w:rFonts w:ascii="Times New Roman" w:hAnsi="Times New Roman" w:cs="Times New Roman"/>
          <w:sz w:val="24"/>
        </w:rPr>
        <w:br w:type="page"/>
      </w:r>
    </w:p>
    <w:tbl>
      <w:tblPr>
        <w:tblW w:w="9072" w:type="dxa"/>
        <w:tblInd w:w="113" w:type="dxa"/>
        <w:tblLook w:val="01E0" w:firstRow="1" w:lastRow="1" w:firstColumn="1" w:lastColumn="1" w:noHBand="0" w:noVBand="0"/>
      </w:tblPr>
      <w:tblGrid>
        <w:gridCol w:w="4855"/>
        <w:gridCol w:w="1620"/>
        <w:gridCol w:w="2597"/>
      </w:tblGrid>
      <w:tr w:rsidR="00B14410" w:rsidRPr="00B14410" w:rsidTr="00B14410">
        <w:tc>
          <w:tcPr>
            <w:tcW w:w="4855" w:type="dxa"/>
            <w:tcBorders>
              <w:bottom w:val="single" w:sz="4" w:space="0" w:color="auto"/>
            </w:tcBorders>
          </w:tcPr>
          <w:p w:rsidR="00B14410" w:rsidRPr="00B14410" w:rsidRDefault="00B14410" w:rsidP="00B14410">
            <w:pPr>
              <w:spacing w:after="0" w:line="240" w:lineRule="auto"/>
              <w:jc w:val="center"/>
              <w:rPr>
                <w:rFonts w:ascii="Times New Roman" w:eastAsia="Times New Roman" w:hAnsi="Times New Roman" w:cs="Times New Roman"/>
                <w:b/>
                <w:smallCaps/>
                <w:lang w:eastAsia="hu-HU"/>
              </w:rPr>
            </w:pPr>
            <w:r w:rsidRPr="00B14410">
              <w:rPr>
                <w:rFonts w:ascii="Times New Roman" w:eastAsia="Times New Roman" w:hAnsi="Times New Roman" w:cs="Times New Roman"/>
                <w:b/>
                <w:smallCaps/>
                <w:lang w:eastAsia="hu-HU"/>
              </w:rPr>
              <w:lastRenderedPageBreak/>
              <w:t>Nemzeti Közszolgálati Egyetem</w:t>
            </w:r>
          </w:p>
        </w:tc>
        <w:tc>
          <w:tcPr>
            <w:tcW w:w="1620" w:type="dxa"/>
          </w:tcPr>
          <w:p w:rsidR="00B14410" w:rsidRPr="00B14410" w:rsidRDefault="00B14410" w:rsidP="00B14410">
            <w:pPr>
              <w:spacing w:after="0" w:line="240" w:lineRule="auto"/>
              <w:jc w:val="both"/>
              <w:rPr>
                <w:rFonts w:ascii="Times New Roman" w:eastAsia="Times New Roman" w:hAnsi="Times New Roman" w:cs="Times New Roman"/>
                <w:lang w:eastAsia="hu-HU"/>
              </w:rPr>
            </w:pPr>
          </w:p>
        </w:tc>
        <w:tc>
          <w:tcPr>
            <w:tcW w:w="2597" w:type="dxa"/>
          </w:tcPr>
          <w:p w:rsidR="00B14410" w:rsidRPr="00B14410" w:rsidRDefault="00B14410" w:rsidP="00B14410">
            <w:pPr>
              <w:spacing w:after="0" w:line="240" w:lineRule="auto"/>
              <w:jc w:val="right"/>
              <w:rPr>
                <w:rFonts w:ascii="Times New Roman" w:eastAsia="Times New Roman" w:hAnsi="Times New Roman" w:cs="Times New Roman"/>
                <w:lang w:eastAsia="hu-HU"/>
              </w:rPr>
            </w:pPr>
          </w:p>
        </w:tc>
      </w:tr>
      <w:tr w:rsidR="00B14410" w:rsidRPr="00B14410" w:rsidTr="00B14410">
        <w:tc>
          <w:tcPr>
            <w:tcW w:w="4855" w:type="dxa"/>
            <w:tcBorders>
              <w:top w:val="single" w:sz="4" w:space="0" w:color="auto"/>
            </w:tcBorders>
          </w:tcPr>
          <w:p w:rsidR="00B14410" w:rsidRPr="00B14410" w:rsidRDefault="00B14410" w:rsidP="00B14410">
            <w:pPr>
              <w:spacing w:after="0" w:line="240" w:lineRule="auto"/>
              <w:jc w:val="center"/>
              <w:rPr>
                <w:rFonts w:ascii="Times New Roman" w:eastAsia="Times New Roman" w:hAnsi="Times New Roman" w:cs="Times New Roman"/>
                <w:b/>
                <w:lang w:eastAsia="hu-HU"/>
              </w:rPr>
            </w:pPr>
            <w:r w:rsidRPr="00B14410">
              <w:rPr>
                <w:rFonts w:ascii="Times New Roman" w:eastAsia="Times New Roman" w:hAnsi="Times New Roman" w:cs="Times New Roman"/>
                <w:b/>
                <w:lang w:eastAsia="hu-HU"/>
              </w:rPr>
              <w:t>Hadtudományi és Honvédtisztképző Kar</w:t>
            </w:r>
          </w:p>
        </w:tc>
        <w:tc>
          <w:tcPr>
            <w:tcW w:w="1620" w:type="dxa"/>
          </w:tcPr>
          <w:p w:rsidR="00B14410" w:rsidRPr="00B14410" w:rsidRDefault="00B14410" w:rsidP="00B14410">
            <w:pPr>
              <w:spacing w:after="0" w:line="240" w:lineRule="auto"/>
              <w:jc w:val="both"/>
              <w:rPr>
                <w:rFonts w:ascii="Times New Roman" w:eastAsia="Times New Roman" w:hAnsi="Times New Roman" w:cs="Times New Roman"/>
                <w:lang w:eastAsia="hu-HU"/>
              </w:rPr>
            </w:pPr>
          </w:p>
        </w:tc>
        <w:tc>
          <w:tcPr>
            <w:tcW w:w="2597" w:type="dxa"/>
          </w:tcPr>
          <w:p w:rsidR="00B14410" w:rsidRPr="00B14410" w:rsidRDefault="00B14410" w:rsidP="00B14410">
            <w:pPr>
              <w:spacing w:after="0" w:line="240" w:lineRule="auto"/>
              <w:jc w:val="both"/>
              <w:rPr>
                <w:rFonts w:ascii="Times New Roman" w:eastAsia="Times New Roman" w:hAnsi="Times New Roman" w:cs="Times New Roman"/>
                <w:lang w:eastAsia="hu-HU"/>
              </w:rPr>
            </w:pPr>
          </w:p>
        </w:tc>
      </w:tr>
    </w:tbl>
    <w:p w:rsidR="00B14410" w:rsidRPr="00B14410" w:rsidRDefault="00B14410" w:rsidP="00B14410">
      <w:pPr>
        <w:widowControl w:val="0"/>
        <w:spacing w:before="120" w:after="120" w:line="240" w:lineRule="auto"/>
        <w:ind w:left="426" w:hanging="142"/>
        <w:jc w:val="center"/>
        <w:rPr>
          <w:rFonts w:ascii="Times New Roman" w:eastAsia="Times New Roman" w:hAnsi="Times New Roman" w:cs="Times New Roman"/>
          <w:b/>
          <w:bCs/>
        </w:rPr>
      </w:pPr>
    </w:p>
    <w:p w:rsidR="00B14410" w:rsidRPr="00B14410" w:rsidRDefault="00B14410" w:rsidP="00B14410">
      <w:pPr>
        <w:widowControl w:val="0"/>
        <w:spacing w:before="120" w:after="120" w:line="240" w:lineRule="auto"/>
        <w:ind w:left="426" w:hanging="142"/>
        <w:jc w:val="center"/>
        <w:rPr>
          <w:rFonts w:ascii="Times New Roman" w:eastAsia="Times New Roman" w:hAnsi="Times New Roman" w:cs="Times New Roman"/>
          <w:b/>
          <w:bCs/>
        </w:rPr>
      </w:pPr>
      <w:r w:rsidRPr="00B14410">
        <w:rPr>
          <w:rFonts w:ascii="Times New Roman" w:eastAsia="Times New Roman" w:hAnsi="Times New Roman" w:cs="Times New Roman"/>
          <w:b/>
          <w:bCs/>
        </w:rPr>
        <w:t>TANTÁRGYI PROGRAM</w:t>
      </w:r>
    </w:p>
    <w:p w:rsidR="00B14410" w:rsidRPr="00B14410" w:rsidRDefault="00B14410" w:rsidP="00980876">
      <w:pPr>
        <w:widowControl w:val="0"/>
        <w:numPr>
          <w:ilvl w:val="0"/>
          <w:numId w:val="443"/>
        </w:numPr>
        <w:spacing w:before="120" w:after="120" w:line="240" w:lineRule="auto"/>
        <w:ind w:left="426" w:hanging="142"/>
        <w:jc w:val="both"/>
        <w:rPr>
          <w:rFonts w:ascii="Times New Roman" w:eastAsia="Times New Roman" w:hAnsi="Times New Roman" w:cs="Times New Roman"/>
          <w:bCs/>
        </w:rPr>
      </w:pPr>
      <w:r w:rsidRPr="00B14410">
        <w:rPr>
          <w:rFonts w:ascii="Times New Roman" w:eastAsia="Times New Roman" w:hAnsi="Times New Roman" w:cs="Times New Roman"/>
          <w:b/>
          <w:bCs/>
        </w:rPr>
        <w:t xml:space="preserve">A tantárgy kódja: </w:t>
      </w:r>
      <w:r w:rsidRPr="00B14410">
        <w:rPr>
          <w:rFonts w:ascii="Times New Roman" w:eastAsia="Times New Roman" w:hAnsi="Times New Roman" w:cs="Times New Roman"/>
          <w:bCs/>
        </w:rPr>
        <w:t>HKHDTA34</w:t>
      </w:r>
    </w:p>
    <w:p w:rsidR="00B14410" w:rsidRPr="00B14410" w:rsidRDefault="00B14410" w:rsidP="00980876">
      <w:pPr>
        <w:widowControl w:val="0"/>
        <w:numPr>
          <w:ilvl w:val="0"/>
          <w:numId w:val="443"/>
        </w:numPr>
        <w:spacing w:before="120" w:after="120" w:line="240" w:lineRule="auto"/>
        <w:ind w:left="426" w:hanging="142"/>
        <w:jc w:val="both"/>
        <w:rPr>
          <w:rFonts w:ascii="Times New Roman" w:eastAsia="Times New Roman" w:hAnsi="Times New Roman" w:cs="Times New Roman"/>
          <w:b/>
          <w:bCs/>
          <w:lang w:val="en-GB"/>
        </w:rPr>
      </w:pPr>
      <w:r w:rsidRPr="00B14410">
        <w:rPr>
          <w:rFonts w:ascii="Times New Roman" w:eastAsia="Times New Roman" w:hAnsi="Times New Roman" w:cs="Times New Roman"/>
          <w:b/>
          <w:bCs/>
        </w:rPr>
        <w:t>A tantárgy megnevezése (magyarul):</w:t>
      </w:r>
      <w:r w:rsidRPr="00B14410">
        <w:rPr>
          <w:rFonts w:ascii="Times New Roman" w:eastAsia="Times New Roman" w:hAnsi="Times New Roman" w:cs="Times New Roman"/>
          <w:bCs/>
        </w:rPr>
        <w:t xml:space="preserve"> Harcjármű vezetés</w:t>
      </w:r>
    </w:p>
    <w:p w:rsidR="00B14410" w:rsidRPr="00B14410" w:rsidRDefault="00B14410" w:rsidP="00980876">
      <w:pPr>
        <w:widowControl w:val="0"/>
        <w:numPr>
          <w:ilvl w:val="0"/>
          <w:numId w:val="443"/>
        </w:numPr>
        <w:spacing w:before="120" w:after="120" w:line="240" w:lineRule="auto"/>
        <w:ind w:left="426" w:hanging="142"/>
        <w:jc w:val="both"/>
        <w:rPr>
          <w:rFonts w:ascii="Times New Roman" w:eastAsia="Times New Roman" w:hAnsi="Times New Roman" w:cs="Times New Roman"/>
          <w:b/>
          <w:bCs/>
          <w:lang w:val="en-GB"/>
        </w:rPr>
      </w:pPr>
      <w:r w:rsidRPr="00B14410">
        <w:rPr>
          <w:rFonts w:ascii="Times New Roman" w:eastAsia="Times New Roman" w:hAnsi="Times New Roman" w:cs="Times New Roman"/>
          <w:b/>
          <w:bCs/>
        </w:rPr>
        <w:t xml:space="preserve">A tantárgy megnevezése (angolul): </w:t>
      </w:r>
      <w:r w:rsidRPr="00B14410">
        <w:rPr>
          <w:rFonts w:ascii="Times New Roman" w:eastAsia="Times New Roman" w:hAnsi="Times New Roman" w:cs="Times New Roman"/>
          <w:bCs/>
        </w:rPr>
        <w:t>Driving Military Vehicle</w:t>
      </w:r>
    </w:p>
    <w:p w:rsidR="00B14410" w:rsidRPr="00B14410" w:rsidRDefault="00B14410" w:rsidP="00980876">
      <w:pPr>
        <w:widowControl w:val="0"/>
        <w:numPr>
          <w:ilvl w:val="0"/>
          <w:numId w:val="443"/>
        </w:numPr>
        <w:spacing w:before="120" w:after="120" w:line="240" w:lineRule="auto"/>
        <w:ind w:left="426" w:hanging="142"/>
        <w:jc w:val="both"/>
        <w:rPr>
          <w:rFonts w:ascii="Times New Roman" w:eastAsia="Times New Roman" w:hAnsi="Times New Roman" w:cs="Times New Roman"/>
          <w:b/>
          <w:bCs/>
        </w:rPr>
      </w:pPr>
      <w:r w:rsidRPr="00B14410">
        <w:rPr>
          <w:rFonts w:ascii="Times New Roman" w:eastAsia="Times New Roman" w:hAnsi="Times New Roman" w:cs="Times New Roman"/>
          <w:b/>
          <w:bCs/>
        </w:rPr>
        <w:t xml:space="preserve">Kreditérték és képzési karakter: </w:t>
      </w:r>
    </w:p>
    <w:p w:rsidR="00B14410" w:rsidRPr="00B14410" w:rsidRDefault="00B14410" w:rsidP="00980876">
      <w:pPr>
        <w:widowControl w:val="0"/>
        <w:numPr>
          <w:ilvl w:val="1"/>
          <w:numId w:val="443"/>
        </w:numPr>
        <w:spacing w:before="120" w:after="120" w:line="240" w:lineRule="auto"/>
        <w:ind w:left="993" w:hanging="426"/>
        <w:contextualSpacing/>
        <w:jc w:val="both"/>
        <w:rPr>
          <w:rFonts w:ascii="Times New Roman" w:eastAsia="Times New Roman" w:hAnsi="Times New Roman" w:cs="Times New Roman"/>
          <w:b/>
          <w:bCs/>
        </w:rPr>
      </w:pPr>
      <w:r w:rsidRPr="00B14410">
        <w:rPr>
          <w:rFonts w:ascii="Times New Roman" w:eastAsia="Times New Roman" w:hAnsi="Times New Roman" w:cs="Times New Roman"/>
          <w:bCs/>
        </w:rPr>
        <w:t>2 kredit</w:t>
      </w:r>
    </w:p>
    <w:p w:rsidR="00B14410" w:rsidRPr="00B14410" w:rsidRDefault="00B14410" w:rsidP="00980876">
      <w:pPr>
        <w:widowControl w:val="0"/>
        <w:numPr>
          <w:ilvl w:val="1"/>
          <w:numId w:val="443"/>
        </w:numPr>
        <w:spacing w:before="120" w:after="120" w:line="240" w:lineRule="auto"/>
        <w:ind w:left="993" w:hanging="426"/>
        <w:contextualSpacing/>
        <w:jc w:val="both"/>
        <w:rPr>
          <w:rFonts w:ascii="Times New Roman" w:eastAsia="Times New Roman" w:hAnsi="Times New Roman" w:cs="Times New Roman"/>
          <w:b/>
          <w:bCs/>
        </w:rPr>
      </w:pPr>
      <w:r w:rsidRPr="00B14410">
        <w:rPr>
          <w:rFonts w:ascii="Times New Roman" w:eastAsia="Times New Roman" w:hAnsi="Times New Roman" w:cs="Times New Roman"/>
          <w:bCs/>
        </w:rPr>
        <w:t>a tantárgy elméleti vagy gyakorlati jellegének mértéke: 50</w:t>
      </w:r>
      <w:r w:rsidRPr="00B14410">
        <w:rPr>
          <w:rFonts w:ascii="Times New Roman" w:eastAsia="Times New Roman" w:hAnsi="Times New Roman" w:cs="Times New Roman"/>
          <w:b/>
          <w:bCs/>
        </w:rPr>
        <w:t xml:space="preserve"> </w:t>
      </w:r>
      <w:r w:rsidRPr="00B14410">
        <w:rPr>
          <w:rFonts w:ascii="Times New Roman" w:eastAsia="Times New Roman" w:hAnsi="Times New Roman" w:cs="Times New Roman"/>
          <w:bCs/>
        </w:rPr>
        <w:t>% gyakorlat, 50 % elmélet</w:t>
      </w:r>
    </w:p>
    <w:p w:rsidR="00B14410" w:rsidRPr="00B14410" w:rsidRDefault="00B14410" w:rsidP="00980876">
      <w:pPr>
        <w:widowControl w:val="0"/>
        <w:numPr>
          <w:ilvl w:val="0"/>
          <w:numId w:val="443"/>
        </w:numPr>
        <w:spacing w:before="120" w:after="120" w:line="240" w:lineRule="auto"/>
        <w:ind w:left="426" w:hanging="142"/>
        <w:jc w:val="both"/>
        <w:rPr>
          <w:rFonts w:ascii="Times New Roman" w:eastAsia="Times New Roman" w:hAnsi="Times New Roman" w:cs="Times New Roman"/>
          <w:bCs/>
        </w:rPr>
      </w:pPr>
      <w:r w:rsidRPr="00B14410">
        <w:rPr>
          <w:rFonts w:ascii="Times New Roman" w:eastAsia="Times New Roman" w:hAnsi="Times New Roman" w:cs="Times New Roman"/>
          <w:b/>
          <w:bCs/>
        </w:rPr>
        <w:t>A szak(ok), szakirányok/specializációk megnevezése (ahol oktatják):</w:t>
      </w:r>
      <w:r w:rsidRPr="00B14410">
        <w:rPr>
          <w:rFonts w:ascii="Times New Roman" w:eastAsia="Times New Roman" w:hAnsi="Times New Roman" w:cs="Times New Roman"/>
          <w:bCs/>
        </w:rPr>
        <w:t xml:space="preserve"> Katonai logisztika (</w:t>
      </w:r>
      <w:r w:rsidR="00137B8A">
        <w:rPr>
          <w:rFonts w:ascii="Times New Roman" w:eastAsia="Times New Roman" w:hAnsi="Times New Roman" w:cs="Times New Roman"/>
          <w:bCs/>
        </w:rPr>
        <w:t>BSc</w:t>
      </w:r>
      <w:r w:rsidRPr="00B14410">
        <w:rPr>
          <w:rFonts w:ascii="Times New Roman" w:eastAsia="Times New Roman" w:hAnsi="Times New Roman" w:cs="Times New Roman"/>
          <w:bCs/>
        </w:rPr>
        <w:t>) alapképzési szak</w:t>
      </w:r>
    </w:p>
    <w:p w:rsidR="00B14410" w:rsidRPr="00B14410" w:rsidRDefault="00B14410" w:rsidP="00980876">
      <w:pPr>
        <w:widowControl w:val="0"/>
        <w:numPr>
          <w:ilvl w:val="0"/>
          <w:numId w:val="443"/>
        </w:numPr>
        <w:spacing w:before="120" w:after="120" w:line="240" w:lineRule="auto"/>
        <w:ind w:left="426" w:hanging="142"/>
        <w:jc w:val="both"/>
        <w:rPr>
          <w:rFonts w:ascii="Times New Roman" w:eastAsia="Times New Roman" w:hAnsi="Times New Roman" w:cs="Times New Roman"/>
          <w:bCs/>
        </w:rPr>
      </w:pPr>
      <w:r w:rsidRPr="00B14410">
        <w:rPr>
          <w:rFonts w:ascii="Times New Roman" w:eastAsia="Times New Roman" w:hAnsi="Times New Roman" w:cs="Times New Roman"/>
          <w:b/>
          <w:bCs/>
        </w:rPr>
        <w:t xml:space="preserve">Az oktatásért felelős oktatási szervezeti egység megnevezése: </w:t>
      </w:r>
      <w:r w:rsidRPr="00B14410">
        <w:rPr>
          <w:rFonts w:ascii="Times New Roman" w:eastAsia="Times New Roman" w:hAnsi="Times New Roman" w:cs="Times New Roman"/>
          <w:bCs/>
        </w:rPr>
        <w:t>HHK Haditechnikai Tanszék</w:t>
      </w:r>
    </w:p>
    <w:p w:rsidR="00B14410" w:rsidRPr="00B14410" w:rsidRDefault="00B14410" w:rsidP="00980876">
      <w:pPr>
        <w:widowControl w:val="0"/>
        <w:numPr>
          <w:ilvl w:val="0"/>
          <w:numId w:val="443"/>
        </w:numPr>
        <w:spacing w:before="120" w:after="120" w:line="240" w:lineRule="auto"/>
        <w:ind w:left="426" w:hanging="142"/>
        <w:jc w:val="both"/>
        <w:rPr>
          <w:rFonts w:ascii="Times New Roman" w:eastAsia="Times New Roman" w:hAnsi="Times New Roman" w:cs="Times New Roman"/>
          <w:bCs/>
        </w:rPr>
      </w:pPr>
      <w:r w:rsidRPr="00B14410">
        <w:rPr>
          <w:rFonts w:ascii="Times New Roman" w:eastAsia="Times New Roman" w:hAnsi="Times New Roman" w:cs="Times New Roman"/>
          <w:b/>
          <w:bCs/>
        </w:rPr>
        <w:t>A tantárgyfelelős oktató neve, beosztása, tudományos fokozata:</w:t>
      </w:r>
      <w:r w:rsidRPr="00B14410">
        <w:rPr>
          <w:rFonts w:ascii="Times New Roman" w:eastAsia="Times New Roman" w:hAnsi="Times New Roman" w:cs="Times New Roman"/>
          <w:bCs/>
        </w:rPr>
        <w:t xml:space="preserve"> </w:t>
      </w:r>
      <w:r w:rsidRPr="00B14410">
        <w:rPr>
          <w:rFonts w:ascii="Times New Roman" w:eastAsia="Times New Roman" w:hAnsi="Times New Roman" w:cs="Times New Roman"/>
          <w:bCs/>
          <w:lang w:eastAsia="hu-HU"/>
        </w:rPr>
        <w:t>Dr. Vég Róbert László alezredes PhD, egyetemi docens</w:t>
      </w:r>
    </w:p>
    <w:p w:rsidR="00B14410" w:rsidRPr="00B14410" w:rsidRDefault="00B14410" w:rsidP="00980876">
      <w:pPr>
        <w:widowControl w:val="0"/>
        <w:numPr>
          <w:ilvl w:val="0"/>
          <w:numId w:val="443"/>
        </w:numPr>
        <w:spacing w:before="120" w:after="120" w:line="240" w:lineRule="auto"/>
        <w:ind w:left="426" w:hanging="142"/>
        <w:jc w:val="both"/>
        <w:rPr>
          <w:rFonts w:ascii="Times New Roman" w:eastAsia="Times New Roman" w:hAnsi="Times New Roman" w:cs="Times New Roman"/>
          <w:bCs/>
        </w:rPr>
      </w:pPr>
      <w:r w:rsidRPr="00B14410">
        <w:rPr>
          <w:rFonts w:ascii="Times New Roman" w:eastAsia="Times New Roman" w:hAnsi="Times New Roman" w:cs="Times New Roman"/>
          <w:b/>
          <w:bCs/>
        </w:rPr>
        <w:t>A tanórák száma és típusa</w:t>
      </w:r>
    </w:p>
    <w:p w:rsidR="00B14410" w:rsidRPr="00B14410" w:rsidRDefault="00B14410" w:rsidP="00980876">
      <w:pPr>
        <w:widowControl w:val="0"/>
        <w:numPr>
          <w:ilvl w:val="1"/>
          <w:numId w:val="443"/>
        </w:numPr>
        <w:spacing w:before="120" w:after="120" w:line="240" w:lineRule="auto"/>
        <w:ind w:left="851" w:hanging="425"/>
        <w:jc w:val="both"/>
        <w:rPr>
          <w:rFonts w:ascii="Times New Roman" w:eastAsia="Times New Roman" w:hAnsi="Times New Roman" w:cs="Times New Roman"/>
          <w:bCs/>
        </w:rPr>
      </w:pPr>
      <w:r w:rsidRPr="00B14410">
        <w:rPr>
          <w:rFonts w:ascii="Times New Roman" w:eastAsia="Times New Roman" w:hAnsi="Times New Roman" w:cs="Times New Roman"/>
          <w:bCs/>
        </w:rPr>
        <w:t>össz óraszám/félév:</w:t>
      </w:r>
    </w:p>
    <w:p w:rsidR="00B14410" w:rsidRPr="00B14410" w:rsidRDefault="00B14410" w:rsidP="00980876">
      <w:pPr>
        <w:widowControl w:val="0"/>
        <w:numPr>
          <w:ilvl w:val="2"/>
          <w:numId w:val="443"/>
        </w:numPr>
        <w:tabs>
          <w:tab w:val="clear" w:pos="1800"/>
        </w:tabs>
        <w:spacing w:before="120" w:after="120" w:line="240" w:lineRule="auto"/>
        <w:ind w:left="1134" w:hanging="425"/>
        <w:jc w:val="both"/>
        <w:rPr>
          <w:rFonts w:ascii="Times New Roman" w:eastAsia="Times New Roman" w:hAnsi="Times New Roman" w:cs="Times New Roman"/>
          <w:bCs/>
        </w:rPr>
      </w:pPr>
      <w:r w:rsidRPr="00B14410">
        <w:rPr>
          <w:rFonts w:ascii="Times New Roman" w:eastAsia="Times New Roman" w:hAnsi="Times New Roman" w:cs="Times New Roman"/>
          <w:bCs/>
        </w:rPr>
        <w:t>nappali munkarend: 28 (14 EA + 0 SZ + 14 GY)</w:t>
      </w:r>
    </w:p>
    <w:p w:rsidR="00B14410" w:rsidRPr="00B14410" w:rsidRDefault="00B14410" w:rsidP="00980876">
      <w:pPr>
        <w:widowControl w:val="0"/>
        <w:numPr>
          <w:ilvl w:val="2"/>
          <w:numId w:val="443"/>
        </w:numPr>
        <w:tabs>
          <w:tab w:val="clear" w:pos="1800"/>
        </w:tabs>
        <w:spacing w:before="120" w:after="120" w:line="240" w:lineRule="auto"/>
        <w:ind w:left="1134" w:hanging="425"/>
        <w:jc w:val="both"/>
        <w:rPr>
          <w:rFonts w:ascii="Times New Roman" w:eastAsia="Times New Roman" w:hAnsi="Times New Roman" w:cs="Times New Roman"/>
          <w:bCs/>
        </w:rPr>
      </w:pPr>
      <w:r w:rsidRPr="00B14410">
        <w:rPr>
          <w:rFonts w:ascii="Times New Roman" w:eastAsia="Times New Roman" w:hAnsi="Times New Roman" w:cs="Times New Roman"/>
          <w:bCs/>
        </w:rPr>
        <w:t>levelező munkarend: - (- EA + - SZ + - GY)</w:t>
      </w:r>
    </w:p>
    <w:p w:rsidR="00B14410" w:rsidRPr="00B14410" w:rsidRDefault="00B14410" w:rsidP="00980876">
      <w:pPr>
        <w:widowControl w:val="0"/>
        <w:numPr>
          <w:ilvl w:val="1"/>
          <w:numId w:val="443"/>
        </w:numPr>
        <w:spacing w:before="120" w:after="120" w:line="240" w:lineRule="auto"/>
        <w:ind w:left="851" w:hanging="425"/>
        <w:jc w:val="both"/>
        <w:rPr>
          <w:rFonts w:ascii="Times New Roman" w:eastAsia="Times New Roman" w:hAnsi="Times New Roman" w:cs="Times New Roman"/>
          <w:bCs/>
        </w:rPr>
      </w:pPr>
      <w:r w:rsidRPr="00B14410">
        <w:rPr>
          <w:rFonts w:ascii="Times New Roman" w:eastAsia="Times New Roman" w:hAnsi="Times New Roman" w:cs="Times New Roman"/>
          <w:bCs/>
        </w:rPr>
        <w:t>heti óraszám - nappali munkarend: 2 (1+1)</w:t>
      </w:r>
    </w:p>
    <w:p w:rsidR="00B14410" w:rsidRPr="00B14410" w:rsidRDefault="00B14410" w:rsidP="00980876">
      <w:pPr>
        <w:widowControl w:val="0"/>
        <w:numPr>
          <w:ilvl w:val="1"/>
          <w:numId w:val="443"/>
        </w:numPr>
        <w:spacing w:before="120" w:after="120" w:line="240" w:lineRule="auto"/>
        <w:ind w:left="851" w:hanging="425"/>
        <w:jc w:val="both"/>
        <w:rPr>
          <w:rFonts w:ascii="Times New Roman" w:eastAsia="Times New Roman" w:hAnsi="Times New Roman" w:cs="Times New Roman"/>
          <w:bCs/>
        </w:rPr>
      </w:pPr>
      <w:r w:rsidRPr="00B14410">
        <w:rPr>
          <w:rFonts w:ascii="Times New Roman" w:eastAsia="Calibri" w:hAnsi="Times New Roman" w:cs="Times New Roman"/>
        </w:rPr>
        <w:t>Az ismeret átadásában alkalmazandó további sajátos módok, jellemzők: -</w:t>
      </w:r>
    </w:p>
    <w:p w:rsidR="00B14410" w:rsidRPr="00B14410" w:rsidRDefault="00B14410" w:rsidP="00980876">
      <w:pPr>
        <w:widowControl w:val="0"/>
        <w:numPr>
          <w:ilvl w:val="0"/>
          <w:numId w:val="443"/>
        </w:numPr>
        <w:spacing w:before="120" w:after="120" w:line="240" w:lineRule="auto"/>
        <w:ind w:left="426" w:hanging="142"/>
        <w:jc w:val="both"/>
        <w:rPr>
          <w:rFonts w:ascii="Times New Roman" w:eastAsia="Times New Roman" w:hAnsi="Times New Roman" w:cs="Times New Roman"/>
          <w:bCs/>
        </w:rPr>
      </w:pPr>
      <w:r w:rsidRPr="00B14410">
        <w:rPr>
          <w:rFonts w:ascii="Times New Roman" w:eastAsia="Times New Roman" w:hAnsi="Times New Roman" w:cs="Times New Roman"/>
          <w:b/>
          <w:bCs/>
        </w:rPr>
        <w:t xml:space="preserve">A tantárgy szakmai tartalma (magyarul): </w:t>
      </w:r>
      <w:r w:rsidRPr="00B14410">
        <w:rPr>
          <w:rFonts w:ascii="Times New Roman" w:eastAsia="Times New Roman" w:hAnsi="Times New Roman" w:cs="Times New Roman"/>
          <w:bCs/>
          <w:lang w:eastAsia="hu-HU"/>
        </w:rPr>
        <w:t>A szakkiképzés tervezésére, szervezésére és irányítására vonatkozó előírások, valamint azok végrehajtási módszereinek a megismerése. A haditechnikai eszközök vezetési gyakorlatain a vezetés alapjainak elsajátítása. Járművekkel történő elindulás, sebességváltás, fékezés, megállás, és manőverek végrehajtása. Vezetés úttalan, átszeldelt terepen nappal és éjszaka, fényálcázó és éjjellátó berendezés alkalmazásával. Rombolt terepszakasz, szennyezett terület, aknamező leküzdése. Vezetéstechnikai és biztonsági rendszabályok. Szolgálati személyek tevékenységének gyakorlása.</w:t>
      </w:r>
    </w:p>
    <w:p w:rsidR="00B14410" w:rsidRPr="00B14410" w:rsidRDefault="00B14410" w:rsidP="00B14410">
      <w:pPr>
        <w:widowControl w:val="0"/>
        <w:spacing w:before="120" w:after="120" w:line="240" w:lineRule="auto"/>
        <w:ind w:left="426"/>
        <w:jc w:val="both"/>
        <w:rPr>
          <w:rFonts w:ascii="Times New Roman" w:eastAsia="Times New Roman" w:hAnsi="Times New Roman" w:cs="Times New Roman"/>
          <w:bCs/>
          <w:lang w:val="en-GB"/>
        </w:rPr>
      </w:pPr>
      <w:r w:rsidRPr="00B14410">
        <w:rPr>
          <w:rFonts w:ascii="Times New Roman" w:eastAsia="Times New Roman" w:hAnsi="Times New Roman" w:cs="Times New Roman"/>
          <w:b/>
          <w:bCs/>
        </w:rPr>
        <w:t>A tantárgy szakmai tartalma (angolul) (</w:t>
      </w:r>
      <w:r w:rsidRPr="00B14410">
        <w:rPr>
          <w:rFonts w:ascii="Times New Roman" w:eastAsia="Times New Roman" w:hAnsi="Times New Roman" w:cs="Times New Roman"/>
          <w:b/>
          <w:bCs/>
          <w:lang w:val="en-US"/>
        </w:rPr>
        <w:t>Course description</w:t>
      </w:r>
      <w:r w:rsidRPr="00B14410">
        <w:rPr>
          <w:rFonts w:ascii="Times New Roman" w:eastAsia="Times New Roman" w:hAnsi="Times New Roman" w:cs="Times New Roman"/>
          <w:b/>
          <w:bCs/>
        </w:rPr>
        <w:t xml:space="preserve">): </w:t>
      </w:r>
      <w:r w:rsidRPr="00B14410">
        <w:rPr>
          <w:rFonts w:ascii="Times New Roman" w:eastAsia="Times New Roman" w:hAnsi="Times New Roman" w:cs="Times New Roman"/>
          <w:bCs/>
          <w:lang w:eastAsia="hu-HU"/>
        </w:rPr>
        <w:t>Getting familiar with the planning, organization and management activities of the professional training and their implementation. Acquiring basic driving skills for military vehicles. Starting, gear shifting, braking, stopping, and make manouvers with vehicles. Driving on hard and rugged terrain at daylight and night. Using blackout lights and night vision equipment. Driving on destroyed terrain, contaminated area and minefield. Driving technique and safety regulations. Exercising the activities of persons in duty.</w:t>
      </w:r>
    </w:p>
    <w:p w:rsidR="00B14410" w:rsidRPr="00B14410" w:rsidRDefault="00B14410" w:rsidP="00980876">
      <w:pPr>
        <w:widowControl w:val="0"/>
        <w:numPr>
          <w:ilvl w:val="0"/>
          <w:numId w:val="443"/>
        </w:numPr>
        <w:spacing w:before="120" w:after="120" w:line="240" w:lineRule="auto"/>
        <w:contextualSpacing/>
        <w:jc w:val="both"/>
        <w:rPr>
          <w:rFonts w:ascii="Times New Roman" w:eastAsia="Times New Roman" w:hAnsi="Times New Roman" w:cs="Times New Roman"/>
          <w:bCs/>
        </w:rPr>
      </w:pPr>
      <w:r w:rsidRPr="00B14410">
        <w:rPr>
          <w:rFonts w:ascii="Times New Roman" w:eastAsia="Times New Roman" w:hAnsi="Times New Roman" w:cs="Times New Roman"/>
          <w:b/>
          <w:bCs/>
        </w:rPr>
        <w:t xml:space="preserve">Elérendő kompetenciák (magyarul): </w:t>
      </w:r>
    </w:p>
    <w:p w:rsidR="00B14410" w:rsidRPr="00B14410" w:rsidRDefault="00B14410" w:rsidP="00B14410">
      <w:pPr>
        <w:widowControl w:val="0"/>
        <w:spacing w:before="120" w:after="120" w:line="240" w:lineRule="auto"/>
        <w:ind w:left="426"/>
        <w:jc w:val="both"/>
        <w:rPr>
          <w:rFonts w:ascii="Times New Roman" w:eastAsia="Times New Roman" w:hAnsi="Times New Roman" w:cs="Times New Roman"/>
          <w:bCs/>
        </w:rPr>
      </w:pPr>
      <w:r w:rsidRPr="00B14410">
        <w:rPr>
          <w:rFonts w:ascii="Times New Roman" w:eastAsia="Times New Roman" w:hAnsi="Times New Roman" w:cs="Times New Roman"/>
          <w:b/>
          <w:bCs/>
        </w:rPr>
        <w:t>Tudása:</w:t>
      </w:r>
    </w:p>
    <w:p w:rsidR="00B14410" w:rsidRPr="00B14410" w:rsidRDefault="00B14410" w:rsidP="00980876">
      <w:pPr>
        <w:widowControl w:val="0"/>
        <w:numPr>
          <w:ilvl w:val="0"/>
          <w:numId w:val="435"/>
        </w:numPr>
        <w:spacing w:after="0" w:line="240" w:lineRule="auto"/>
        <w:ind w:left="993"/>
        <w:contextualSpacing/>
        <w:jc w:val="both"/>
        <w:rPr>
          <w:rFonts w:ascii="Times New Roman" w:eastAsia="Times New Roman" w:hAnsi="Times New Roman" w:cs="Times New Roman"/>
          <w:bCs/>
        </w:rPr>
      </w:pPr>
      <w:r w:rsidRPr="00B14410">
        <w:rPr>
          <w:rFonts w:ascii="Times New Roman" w:eastAsia="Times New Roman" w:hAnsi="Times New Roman" w:cs="Times New Roman"/>
          <w:bCs/>
        </w:rPr>
        <w:t>Ismeri a páncélos- és gépjárműtechnikai eszközök felépítését, berendezéseit, azok működését és üzemeltetési rendjét.</w:t>
      </w:r>
    </w:p>
    <w:p w:rsidR="00B14410" w:rsidRPr="00B14410" w:rsidRDefault="00B14410" w:rsidP="00980876">
      <w:pPr>
        <w:widowControl w:val="0"/>
        <w:numPr>
          <w:ilvl w:val="0"/>
          <w:numId w:val="435"/>
        </w:numPr>
        <w:spacing w:after="0" w:line="240" w:lineRule="auto"/>
        <w:ind w:left="993"/>
        <w:contextualSpacing/>
        <w:jc w:val="both"/>
        <w:rPr>
          <w:rFonts w:ascii="Times New Roman" w:eastAsia="Times New Roman" w:hAnsi="Times New Roman" w:cs="Times New Roman"/>
          <w:bCs/>
        </w:rPr>
      </w:pPr>
      <w:r w:rsidRPr="00B14410">
        <w:rPr>
          <w:rFonts w:ascii="Times New Roman" w:eastAsia="Times New Roman" w:hAnsi="Times New Roman" w:cs="Times New Roman"/>
          <w:bCs/>
        </w:rPr>
        <w:t>Ismeri a legújabb gépjárműtechnikai megoldásokat.</w:t>
      </w:r>
    </w:p>
    <w:p w:rsidR="00B14410" w:rsidRPr="00B14410" w:rsidRDefault="00B14410" w:rsidP="00980876">
      <w:pPr>
        <w:widowControl w:val="0"/>
        <w:numPr>
          <w:ilvl w:val="0"/>
          <w:numId w:val="435"/>
        </w:numPr>
        <w:spacing w:after="0" w:line="240" w:lineRule="auto"/>
        <w:ind w:left="993"/>
        <w:contextualSpacing/>
        <w:jc w:val="both"/>
        <w:rPr>
          <w:rFonts w:ascii="Times New Roman" w:eastAsia="Times New Roman" w:hAnsi="Times New Roman" w:cs="Times New Roman"/>
          <w:bCs/>
        </w:rPr>
      </w:pPr>
      <w:r w:rsidRPr="00B14410">
        <w:rPr>
          <w:rFonts w:ascii="Times New Roman" w:eastAsia="Times New Roman" w:hAnsi="Times New Roman" w:cs="Times New Roman"/>
          <w:bCs/>
        </w:rPr>
        <w:t>Ismeri a szakfeladatainak ellátásához szükséges munkavédelmi rendszabályokat.</w:t>
      </w:r>
    </w:p>
    <w:p w:rsidR="00B14410" w:rsidRPr="00B14410" w:rsidRDefault="00B14410" w:rsidP="00980876">
      <w:pPr>
        <w:widowControl w:val="0"/>
        <w:numPr>
          <w:ilvl w:val="0"/>
          <w:numId w:val="435"/>
        </w:numPr>
        <w:spacing w:after="0" w:line="240" w:lineRule="auto"/>
        <w:ind w:left="993"/>
        <w:contextualSpacing/>
        <w:jc w:val="both"/>
        <w:rPr>
          <w:rFonts w:ascii="Times New Roman" w:eastAsia="Times New Roman" w:hAnsi="Times New Roman" w:cs="Times New Roman"/>
          <w:bCs/>
        </w:rPr>
      </w:pPr>
      <w:r w:rsidRPr="00B14410">
        <w:rPr>
          <w:rFonts w:ascii="Times New Roman" w:eastAsia="Times New Roman" w:hAnsi="Times New Roman" w:cs="Times New Roman"/>
          <w:bCs/>
        </w:rPr>
        <w:t>Megfelelő mélységű és spektrumú páncélos- és gépjárműtechnikai típusismerettel rendelkezik.</w:t>
      </w:r>
    </w:p>
    <w:p w:rsidR="00B14410" w:rsidRPr="00B14410" w:rsidRDefault="00B14410" w:rsidP="00B14410">
      <w:pPr>
        <w:widowControl w:val="0"/>
        <w:spacing w:before="120" w:after="120" w:line="240" w:lineRule="auto"/>
        <w:ind w:left="426"/>
        <w:jc w:val="both"/>
        <w:rPr>
          <w:rFonts w:ascii="Times New Roman" w:eastAsia="Times New Roman" w:hAnsi="Times New Roman" w:cs="Times New Roman"/>
          <w:bCs/>
        </w:rPr>
      </w:pPr>
      <w:r w:rsidRPr="00B14410">
        <w:rPr>
          <w:rFonts w:ascii="Times New Roman" w:eastAsia="Times New Roman" w:hAnsi="Times New Roman" w:cs="Times New Roman"/>
          <w:b/>
          <w:bCs/>
        </w:rPr>
        <w:t>Képességei:</w:t>
      </w:r>
    </w:p>
    <w:p w:rsidR="00B14410" w:rsidRPr="00B14410" w:rsidRDefault="00B14410" w:rsidP="00980876">
      <w:pPr>
        <w:widowControl w:val="0"/>
        <w:numPr>
          <w:ilvl w:val="0"/>
          <w:numId w:val="436"/>
        </w:numPr>
        <w:spacing w:after="0" w:line="240" w:lineRule="auto"/>
        <w:ind w:left="993"/>
        <w:contextualSpacing/>
        <w:jc w:val="both"/>
        <w:rPr>
          <w:rFonts w:ascii="Times New Roman" w:eastAsia="Times New Roman" w:hAnsi="Times New Roman" w:cs="Times New Roman"/>
          <w:bCs/>
        </w:rPr>
      </w:pPr>
      <w:r w:rsidRPr="00B14410">
        <w:rPr>
          <w:rFonts w:ascii="Times New Roman" w:eastAsia="Times New Roman" w:hAnsi="Times New Roman" w:cs="Times New Roman"/>
          <w:bCs/>
        </w:rPr>
        <w:t xml:space="preserve">Képes a szakterületén rendszeresített és használt berendezések és technikai eszközök </w:t>
      </w:r>
      <w:r w:rsidRPr="00B14410">
        <w:rPr>
          <w:rFonts w:ascii="Times New Roman" w:eastAsia="Times New Roman" w:hAnsi="Times New Roman" w:cs="Times New Roman"/>
          <w:bCs/>
        </w:rPr>
        <w:lastRenderedPageBreak/>
        <w:t>használatának megszervezésére és hatékony alkalmazására.</w:t>
      </w:r>
    </w:p>
    <w:p w:rsidR="00B14410" w:rsidRPr="00B14410" w:rsidRDefault="00B14410" w:rsidP="00980876">
      <w:pPr>
        <w:widowControl w:val="0"/>
        <w:numPr>
          <w:ilvl w:val="0"/>
          <w:numId w:val="436"/>
        </w:numPr>
        <w:spacing w:after="0" w:line="240" w:lineRule="auto"/>
        <w:ind w:left="993"/>
        <w:contextualSpacing/>
        <w:jc w:val="both"/>
        <w:rPr>
          <w:rFonts w:ascii="Times New Roman" w:eastAsia="Times New Roman" w:hAnsi="Times New Roman" w:cs="Times New Roman"/>
          <w:bCs/>
        </w:rPr>
      </w:pPr>
      <w:r w:rsidRPr="00B14410">
        <w:rPr>
          <w:rFonts w:ascii="Times New Roman" w:eastAsia="Times New Roman" w:hAnsi="Times New Roman" w:cs="Times New Roman"/>
          <w:bCs/>
        </w:rPr>
        <w:t>Képes más logisztikai beosztásokban dolgozó személyekkel való együttműködésre.</w:t>
      </w:r>
    </w:p>
    <w:p w:rsidR="00B14410" w:rsidRPr="00B14410" w:rsidRDefault="00B14410" w:rsidP="00980876">
      <w:pPr>
        <w:widowControl w:val="0"/>
        <w:numPr>
          <w:ilvl w:val="0"/>
          <w:numId w:val="436"/>
        </w:numPr>
        <w:spacing w:after="0" w:line="240" w:lineRule="auto"/>
        <w:ind w:left="993"/>
        <w:contextualSpacing/>
        <w:jc w:val="both"/>
        <w:rPr>
          <w:rFonts w:ascii="Times New Roman" w:eastAsia="Times New Roman" w:hAnsi="Times New Roman" w:cs="Times New Roman"/>
          <w:bCs/>
        </w:rPr>
      </w:pPr>
      <w:r w:rsidRPr="00B14410">
        <w:rPr>
          <w:rFonts w:ascii="Times New Roman" w:eastAsia="Times New Roman" w:hAnsi="Times New Roman" w:cs="Times New Roman"/>
          <w:bCs/>
        </w:rPr>
        <w:t>Képes a szakterületéhez kapcsolódó ügydarabokat elkészíteni, haditechnikai eszköz átadás-átvételét végrehajtani és jegyzőkönyveket elkészíteni.</w:t>
      </w:r>
    </w:p>
    <w:p w:rsidR="00B14410" w:rsidRPr="00B14410" w:rsidRDefault="00B14410" w:rsidP="00980876">
      <w:pPr>
        <w:widowControl w:val="0"/>
        <w:numPr>
          <w:ilvl w:val="0"/>
          <w:numId w:val="436"/>
        </w:numPr>
        <w:spacing w:after="0" w:line="240" w:lineRule="auto"/>
        <w:ind w:left="993"/>
        <w:contextualSpacing/>
        <w:jc w:val="both"/>
        <w:rPr>
          <w:rFonts w:ascii="Times New Roman" w:eastAsia="Times New Roman" w:hAnsi="Times New Roman" w:cs="Times New Roman"/>
          <w:bCs/>
        </w:rPr>
      </w:pPr>
      <w:r w:rsidRPr="00B14410">
        <w:rPr>
          <w:rFonts w:ascii="Times New Roman" w:eastAsia="Times New Roman" w:hAnsi="Times New Roman" w:cs="Times New Roman"/>
          <w:bCs/>
        </w:rPr>
        <w:t>Képes a biztonságos munkavégzés feltételeit megteremteni, a biztonságos munkavégzéshez szükséges szabályokat másokkal is betartatni.</w:t>
      </w:r>
    </w:p>
    <w:p w:rsidR="00B14410" w:rsidRPr="00B14410" w:rsidRDefault="00B14410" w:rsidP="00980876">
      <w:pPr>
        <w:widowControl w:val="0"/>
        <w:numPr>
          <w:ilvl w:val="0"/>
          <w:numId w:val="436"/>
        </w:numPr>
        <w:spacing w:after="0" w:line="240" w:lineRule="auto"/>
        <w:ind w:left="993"/>
        <w:contextualSpacing/>
        <w:jc w:val="both"/>
        <w:rPr>
          <w:rFonts w:ascii="Times New Roman" w:eastAsia="Times New Roman" w:hAnsi="Times New Roman" w:cs="Times New Roman"/>
          <w:bCs/>
        </w:rPr>
      </w:pPr>
      <w:r w:rsidRPr="00B14410">
        <w:rPr>
          <w:rFonts w:ascii="Times New Roman" w:eastAsia="Times New Roman" w:hAnsi="Times New Roman" w:cs="Times New Roman"/>
          <w:bCs/>
        </w:rPr>
        <w:t>Képes a megtanultakat felhasználva a szakterületén felmerülő új műszaki információkat megérteni és megtanulni.</w:t>
      </w:r>
    </w:p>
    <w:p w:rsidR="00B14410" w:rsidRPr="00B14410" w:rsidRDefault="00B14410" w:rsidP="00B14410">
      <w:pPr>
        <w:widowControl w:val="0"/>
        <w:spacing w:before="120" w:after="120" w:line="240" w:lineRule="auto"/>
        <w:ind w:left="426"/>
        <w:jc w:val="both"/>
        <w:rPr>
          <w:rFonts w:ascii="Times New Roman" w:eastAsia="Times New Roman" w:hAnsi="Times New Roman" w:cs="Times New Roman"/>
          <w:bCs/>
        </w:rPr>
      </w:pPr>
      <w:r w:rsidRPr="00B14410">
        <w:rPr>
          <w:rFonts w:ascii="Times New Roman" w:eastAsia="Times New Roman" w:hAnsi="Times New Roman" w:cs="Times New Roman"/>
          <w:b/>
          <w:bCs/>
        </w:rPr>
        <w:t>Attitűdje:</w:t>
      </w:r>
    </w:p>
    <w:p w:rsidR="00B14410" w:rsidRPr="00B14410" w:rsidRDefault="00B14410" w:rsidP="00980876">
      <w:pPr>
        <w:widowControl w:val="0"/>
        <w:numPr>
          <w:ilvl w:val="0"/>
          <w:numId w:val="437"/>
        </w:numPr>
        <w:spacing w:after="0" w:line="240" w:lineRule="auto"/>
        <w:ind w:left="993"/>
        <w:contextualSpacing/>
        <w:jc w:val="both"/>
        <w:rPr>
          <w:rFonts w:ascii="Times New Roman" w:eastAsia="Times New Roman" w:hAnsi="Times New Roman" w:cs="Times New Roman"/>
          <w:bCs/>
        </w:rPr>
      </w:pPr>
      <w:r w:rsidRPr="00B14410">
        <w:rPr>
          <w:rFonts w:ascii="Times New Roman" w:eastAsia="Times New Roman" w:hAnsi="Times New Roman" w:cs="Times New Roman"/>
          <w:bCs/>
        </w:rPr>
        <w:t>Nyitott a páncélos- és gépjárműtechnikával kapcsolatos szakmai ismereteinek gyarapítása iránt, folyamatos önképzési igény jellemzi.</w:t>
      </w:r>
    </w:p>
    <w:p w:rsidR="00B14410" w:rsidRPr="00B14410" w:rsidRDefault="00B14410" w:rsidP="00980876">
      <w:pPr>
        <w:widowControl w:val="0"/>
        <w:numPr>
          <w:ilvl w:val="0"/>
          <w:numId w:val="437"/>
        </w:numPr>
        <w:spacing w:after="0" w:line="240" w:lineRule="auto"/>
        <w:ind w:left="993"/>
        <w:contextualSpacing/>
        <w:jc w:val="both"/>
        <w:rPr>
          <w:rFonts w:ascii="Times New Roman" w:eastAsia="Times New Roman" w:hAnsi="Times New Roman" w:cs="Times New Roman"/>
          <w:bCs/>
        </w:rPr>
      </w:pPr>
      <w:r w:rsidRPr="00B14410">
        <w:rPr>
          <w:rFonts w:ascii="Times New Roman" w:eastAsia="Times New Roman" w:hAnsi="Times New Roman" w:cs="Times New Roman"/>
          <w:bCs/>
        </w:rPr>
        <w:t>Törekszik munkája során a vonatkozó szabályok betartására és betartatására.</w:t>
      </w:r>
    </w:p>
    <w:p w:rsidR="00B14410" w:rsidRPr="00B14410" w:rsidRDefault="00B14410" w:rsidP="00980876">
      <w:pPr>
        <w:widowControl w:val="0"/>
        <w:numPr>
          <w:ilvl w:val="0"/>
          <w:numId w:val="437"/>
        </w:numPr>
        <w:spacing w:after="0" w:line="240" w:lineRule="auto"/>
        <w:ind w:left="993"/>
        <w:contextualSpacing/>
        <w:jc w:val="both"/>
        <w:rPr>
          <w:rFonts w:ascii="Times New Roman" w:eastAsia="Times New Roman" w:hAnsi="Times New Roman" w:cs="Times New Roman"/>
          <w:bCs/>
        </w:rPr>
      </w:pPr>
      <w:r w:rsidRPr="00B14410">
        <w:rPr>
          <w:rFonts w:ascii="Times New Roman" w:eastAsia="Times New Roman" w:hAnsi="Times New Roman" w:cs="Times New Roman"/>
          <w:bCs/>
        </w:rPr>
        <w:t>Munkáját és emberi kapcsolatait a megbízhatóság jellemzi.</w:t>
      </w:r>
    </w:p>
    <w:p w:rsidR="00B14410" w:rsidRPr="00B14410" w:rsidRDefault="00B14410" w:rsidP="00980876">
      <w:pPr>
        <w:widowControl w:val="0"/>
        <w:numPr>
          <w:ilvl w:val="0"/>
          <w:numId w:val="437"/>
        </w:numPr>
        <w:spacing w:after="0" w:line="240" w:lineRule="auto"/>
        <w:ind w:left="993"/>
        <w:contextualSpacing/>
        <w:jc w:val="both"/>
        <w:rPr>
          <w:rFonts w:ascii="Times New Roman" w:eastAsia="Times New Roman" w:hAnsi="Times New Roman" w:cs="Times New Roman"/>
          <w:bCs/>
        </w:rPr>
      </w:pPr>
      <w:r w:rsidRPr="00B14410">
        <w:rPr>
          <w:rFonts w:ascii="Times New Roman" w:eastAsia="Times New Roman" w:hAnsi="Times New Roman" w:cs="Times New Roman"/>
          <w:bCs/>
        </w:rPr>
        <w:t>Nyitott a haditechnikai szakterület új eredményei felé, törekszik azok megismerésére.</w:t>
      </w:r>
    </w:p>
    <w:p w:rsidR="00B14410" w:rsidRPr="00B14410" w:rsidRDefault="00B14410" w:rsidP="00B14410">
      <w:pPr>
        <w:widowControl w:val="0"/>
        <w:spacing w:before="120" w:after="120" w:line="240" w:lineRule="auto"/>
        <w:ind w:left="426"/>
        <w:jc w:val="both"/>
        <w:rPr>
          <w:rFonts w:ascii="Times New Roman" w:eastAsia="Times New Roman" w:hAnsi="Times New Roman" w:cs="Times New Roman"/>
          <w:bCs/>
        </w:rPr>
      </w:pPr>
      <w:r w:rsidRPr="00B14410">
        <w:rPr>
          <w:rFonts w:ascii="Times New Roman" w:eastAsia="Times New Roman" w:hAnsi="Times New Roman" w:cs="Times New Roman"/>
          <w:b/>
          <w:bCs/>
        </w:rPr>
        <w:t>Autonómiája és felelőssége:</w:t>
      </w:r>
    </w:p>
    <w:p w:rsidR="00B14410" w:rsidRPr="00B14410" w:rsidRDefault="00B14410" w:rsidP="00980876">
      <w:pPr>
        <w:widowControl w:val="0"/>
        <w:numPr>
          <w:ilvl w:val="0"/>
          <w:numId w:val="438"/>
        </w:numPr>
        <w:spacing w:after="0" w:line="240" w:lineRule="auto"/>
        <w:ind w:left="993"/>
        <w:contextualSpacing/>
        <w:jc w:val="both"/>
        <w:rPr>
          <w:rFonts w:ascii="Times New Roman" w:eastAsia="Times New Roman" w:hAnsi="Times New Roman" w:cs="Times New Roman"/>
          <w:bCs/>
        </w:rPr>
      </w:pPr>
      <w:r w:rsidRPr="00B14410">
        <w:rPr>
          <w:rFonts w:ascii="Times New Roman" w:eastAsia="Times New Roman" w:hAnsi="Times New Roman" w:cs="Times New Roman"/>
          <w:bCs/>
        </w:rPr>
        <w:t>Képes alárendeltjeinek feladatait megszervezni és meghatározni, valamint elvégzett munkájukat szakmai szempontok alapján ellenőrizni.</w:t>
      </w:r>
    </w:p>
    <w:p w:rsidR="00B14410" w:rsidRPr="00B14410" w:rsidRDefault="00B14410" w:rsidP="00980876">
      <w:pPr>
        <w:widowControl w:val="0"/>
        <w:numPr>
          <w:ilvl w:val="0"/>
          <w:numId w:val="438"/>
        </w:numPr>
        <w:spacing w:after="0" w:line="240" w:lineRule="auto"/>
        <w:ind w:left="993"/>
        <w:contextualSpacing/>
        <w:jc w:val="both"/>
        <w:rPr>
          <w:rFonts w:ascii="Times New Roman" w:eastAsia="Times New Roman" w:hAnsi="Times New Roman" w:cs="Times New Roman"/>
          <w:bCs/>
        </w:rPr>
      </w:pPr>
      <w:r w:rsidRPr="00B14410">
        <w:rPr>
          <w:rFonts w:ascii="Times New Roman" w:eastAsia="Times New Roman" w:hAnsi="Times New Roman" w:cs="Times New Roman"/>
          <w:bCs/>
        </w:rPr>
        <w:t>A páncélos- és gépjárműtechnikai eszközök technikai kiszolgálása és javítása során képes elemzések végrehajtása után a legmegfelelőbb döntéseket meghozni, amely döntésekért a szakmai felelősséget vállalja.</w:t>
      </w:r>
    </w:p>
    <w:p w:rsidR="00B14410" w:rsidRPr="00B14410" w:rsidRDefault="00B14410" w:rsidP="00980876">
      <w:pPr>
        <w:widowControl w:val="0"/>
        <w:numPr>
          <w:ilvl w:val="0"/>
          <w:numId w:val="438"/>
        </w:numPr>
        <w:spacing w:after="0" w:line="240" w:lineRule="auto"/>
        <w:ind w:left="993"/>
        <w:contextualSpacing/>
        <w:jc w:val="both"/>
        <w:rPr>
          <w:rFonts w:ascii="Times New Roman" w:eastAsia="Times New Roman" w:hAnsi="Times New Roman" w:cs="Times New Roman"/>
          <w:bCs/>
        </w:rPr>
      </w:pPr>
      <w:r w:rsidRPr="00B14410">
        <w:rPr>
          <w:rFonts w:ascii="Times New Roman" w:eastAsia="Times New Roman" w:hAnsi="Times New Roman" w:cs="Times New Roman"/>
          <w:bCs/>
        </w:rPr>
        <w:t>Együttműködés és felelősség jellemzi szakterületének szakembereivel szemben.</w:t>
      </w:r>
    </w:p>
    <w:p w:rsidR="00B14410" w:rsidRPr="00B14410" w:rsidRDefault="00B14410" w:rsidP="00980876">
      <w:pPr>
        <w:widowControl w:val="0"/>
        <w:numPr>
          <w:ilvl w:val="0"/>
          <w:numId w:val="438"/>
        </w:numPr>
        <w:spacing w:after="0" w:line="240" w:lineRule="auto"/>
        <w:ind w:left="993"/>
        <w:contextualSpacing/>
        <w:jc w:val="both"/>
        <w:rPr>
          <w:rFonts w:ascii="Times New Roman" w:eastAsia="Times New Roman" w:hAnsi="Times New Roman" w:cs="Times New Roman"/>
          <w:bCs/>
        </w:rPr>
      </w:pPr>
      <w:r w:rsidRPr="00B14410">
        <w:rPr>
          <w:rFonts w:ascii="Times New Roman" w:eastAsia="Times New Roman" w:hAnsi="Times New Roman" w:cs="Times New Roman"/>
          <w:bCs/>
        </w:rPr>
        <w:t>Szakterületén belül képes rendszer-szemléletűen gondolkodni.</w:t>
      </w:r>
    </w:p>
    <w:p w:rsidR="00B14410" w:rsidRPr="00B14410" w:rsidRDefault="00B14410" w:rsidP="00B14410">
      <w:pPr>
        <w:widowControl w:val="0"/>
        <w:spacing w:before="120" w:after="120" w:line="240" w:lineRule="auto"/>
        <w:ind w:left="426"/>
        <w:jc w:val="both"/>
        <w:rPr>
          <w:rFonts w:ascii="Times New Roman" w:eastAsia="Times New Roman" w:hAnsi="Times New Roman" w:cs="Times New Roman"/>
          <w:b/>
          <w:bCs/>
          <w:lang w:val="en-US"/>
        </w:rPr>
      </w:pPr>
      <w:r w:rsidRPr="00B14410">
        <w:rPr>
          <w:rFonts w:ascii="Times New Roman" w:eastAsia="Times New Roman" w:hAnsi="Times New Roman" w:cs="Times New Roman"/>
          <w:b/>
          <w:bCs/>
        </w:rPr>
        <w:t>Elérendő kompetenciák (angolul) (</w:t>
      </w:r>
      <w:r w:rsidRPr="00B14410">
        <w:rPr>
          <w:rFonts w:ascii="Times New Roman" w:eastAsia="Times New Roman" w:hAnsi="Times New Roman" w:cs="Times New Roman"/>
          <w:b/>
          <w:bCs/>
          <w:lang w:val="en-US"/>
        </w:rPr>
        <w:t xml:space="preserve">Competences – English): </w:t>
      </w:r>
    </w:p>
    <w:p w:rsidR="00B14410" w:rsidRPr="00B14410" w:rsidRDefault="00B14410" w:rsidP="00B14410">
      <w:pPr>
        <w:widowControl w:val="0"/>
        <w:spacing w:before="120" w:after="120" w:line="240" w:lineRule="auto"/>
        <w:ind w:left="426"/>
        <w:jc w:val="both"/>
        <w:rPr>
          <w:rFonts w:ascii="Times New Roman" w:eastAsia="Times New Roman" w:hAnsi="Times New Roman" w:cs="Times New Roman"/>
          <w:lang w:val="en-GB"/>
        </w:rPr>
      </w:pPr>
      <w:r w:rsidRPr="00B14410">
        <w:rPr>
          <w:rFonts w:ascii="Times New Roman" w:eastAsia="Times New Roman" w:hAnsi="Times New Roman" w:cs="Times New Roman"/>
          <w:b/>
          <w:lang w:val="en-GB"/>
        </w:rPr>
        <w:t>Knowledge</w:t>
      </w:r>
      <w:r w:rsidRPr="00B14410">
        <w:rPr>
          <w:rFonts w:ascii="Times New Roman" w:eastAsia="Times New Roman" w:hAnsi="Times New Roman" w:cs="Times New Roman"/>
          <w:lang w:val="en-GB"/>
        </w:rPr>
        <w:t>:</w:t>
      </w:r>
    </w:p>
    <w:p w:rsidR="00B14410" w:rsidRPr="00B14410" w:rsidRDefault="00B14410" w:rsidP="00980876">
      <w:pPr>
        <w:widowControl w:val="0"/>
        <w:numPr>
          <w:ilvl w:val="0"/>
          <w:numId w:val="439"/>
        </w:numPr>
        <w:spacing w:after="0" w:line="240" w:lineRule="auto"/>
        <w:ind w:left="993"/>
        <w:contextualSpacing/>
        <w:jc w:val="both"/>
        <w:rPr>
          <w:rFonts w:ascii="Times New Roman" w:eastAsia="Times New Roman" w:hAnsi="Times New Roman" w:cs="Times New Roman"/>
          <w:bCs/>
        </w:rPr>
      </w:pPr>
      <w:r w:rsidRPr="00B14410">
        <w:rPr>
          <w:rFonts w:ascii="Times New Roman" w:eastAsia="Times New Roman" w:hAnsi="Times New Roman" w:cs="Times New Roman"/>
          <w:bCs/>
        </w:rPr>
        <w:t>Knows the structure and equipment as well as the functioning and operation of armored vehicles.</w:t>
      </w:r>
    </w:p>
    <w:p w:rsidR="00B14410" w:rsidRPr="00B14410" w:rsidRDefault="00B14410" w:rsidP="00980876">
      <w:pPr>
        <w:widowControl w:val="0"/>
        <w:numPr>
          <w:ilvl w:val="0"/>
          <w:numId w:val="439"/>
        </w:numPr>
        <w:spacing w:after="0" w:line="240" w:lineRule="auto"/>
        <w:ind w:left="993"/>
        <w:contextualSpacing/>
        <w:jc w:val="both"/>
        <w:rPr>
          <w:rFonts w:ascii="Times New Roman" w:eastAsia="Times New Roman" w:hAnsi="Times New Roman" w:cs="Times New Roman"/>
          <w:bCs/>
        </w:rPr>
      </w:pPr>
      <w:r w:rsidRPr="00B14410">
        <w:rPr>
          <w:rFonts w:ascii="Times New Roman" w:eastAsia="Times New Roman" w:hAnsi="Times New Roman" w:cs="Times New Roman"/>
          <w:bCs/>
        </w:rPr>
        <w:t>Knows the latest solutions regarding armored vehicles.</w:t>
      </w:r>
    </w:p>
    <w:p w:rsidR="00B14410" w:rsidRPr="00B14410" w:rsidRDefault="00B14410" w:rsidP="00980876">
      <w:pPr>
        <w:widowControl w:val="0"/>
        <w:numPr>
          <w:ilvl w:val="0"/>
          <w:numId w:val="439"/>
        </w:numPr>
        <w:spacing w:after="0" w:line="240" w:lineRule="auto"/>
        <w:ind w:left="993"/>
        <w:contextualSpacing/>
        <w:jc w:val="both"/>
        <w:rPr>
          <w:rFonts w:ascii="Times New Roman" w:eastAsia="Times New Roman" w:hAnsi="Times New Roman" w:cs="Times New Roman"/>
          <w:bCs/>
        </w:rPr>
      </w:pPr>
      <w:r w:rsidRPr="00B14410">
        <w:rPr>
          <w:rFonts w:ascii="Times New Roman" w:eastAsia="Times New Roman" w:hAnsi="Times New Roman" w:cs="Times New Roman"/>
          <w:bCs/>
        </w:rPr>
        <w:t>Knows the work safety regulations required for fulfilling his/her professional tasks.</w:t>
      </w:r>
    </w:p>
    <w:p w:rsidR="00B14410" w:rsidRPr="00B14410" w:rsidRDefault="00B14410" w:rsidP="00980876">
      <w:pPr>
        <w:widowControl w:val="0"/>
        <w:numPr>
          <w:ilvl w:val="0"/>
          <w:numId w:val="439"/>
        </w:numPr>
        <w:spacing w:after="0" w:line="240" w:lineRule="auto"/>
        <w:ind w:left="993"/>
        <w:contextualSpacing/>
        <w:jc w:val="both"/>
        <w:rPr>
          <w:rFonts w:ascii="Times New Roman" w:eastAsia="Times New Roman" w:hAnsi="Times New Roman" w:cs="Times New Roman"/>
          <w:lang w:val="en-GB"/>
        </w:rPr>
      </w:pPr>
      <w:r w:rsidRPr="00B14410">
        <w:rPr>
          <w:rFonts w:ascii="Times New Roman" w:eastAsia="Times New Roman" w:hAnsi="Times New Roman" w:cs="Times New Roman"/>
          <w:bCs/>
        </w:rPr>
        <w:t>Possesses knowledge of adequate depth and spectrum regarding armored vehicle types.</w:t>
      </w:r>
    </w:p>
    <w:p w:rsidR="00B14410" w:rsidRPr="00B14410" w:rsidRDefault="00B14410" w:rsidP="00B14410">
      <w:pPr>
        <w:widowControl w:val="0"/>
        <w:spacing w:before="120" w:after="120" w:line="240" w:lineRule="auto"/>
        <w:ind w:left="426"/>
        <w:jc w:val="both"/>
        <w:rPr>
          <w:rFonts w:ascii="Times New Roman" w:eastAsia="Times New Roman" w:hAnsi="Times New Roman" w:cs="Times New Roman"/>
          <w:lang w:val="en-GB"/>
        </w:rPr>
      </w:pPr>
      <w:r w:rsidRPr="00B14410">
        <w:rPr>
          <w:rFonts w:ascii="Times New Roman" w:eastAsia="Times New Roman" w:hAnsi="Times New Roman" w:cs="Times New Roman"/>
          <w:b/>
          <w:lang w:val="en-GB"/>
        </w:rPr>
        <w:t>Capabilities</w:t>
      </w:r>
      <w:r w:rsidRPr="00B14410">
        <w:rPr>
          <w:rFonts w:ascii="Times New Roman" w:eastAsia="Times New Roman" w:hAnsi="Times New Roman" w:cs="Times New Roman"/>
          <w:lang w:val="en-GB"/>
        </w:rPr>
        <w:t>:</w:t>
      </w:r>
    </w:p>
    <w:p w:rsidR="00B14410" w:rsidRPr="00B14410" w:rsidRDefault="00B14410" w:rsidP="00980876">
      <w:pPr>
        <w:widowControl w:val="0"/>
        <w:numPr>
          <w:ilvl w:val="0"/>
          <w:numId w:val="440"/>
        </w:numPr>
        <w:spacing w:after="0" w:line="240" w:lineRule="auto"/>
        <w:ind w:left="993"/>
        <w:contextualSpacing/>
        <w:jc w:val="both"/>
        <w:rPr>
          <w:rFonts w:ascii="Times New Roman" w:eastAsia="Times New Roman" w:hAnsi="Times New Roman" w:cs="Times New Roman"/>
          <w:bCs/>
        </w:rPr>
      </w:pPr>
      <w:r w:rsidRPr="00B14410">
        <w:rPr>
          <w:rFonts w:ascii="Times New Roman" w:eastAsia="Times New Roman" w:hAnsi="Times New Roman" w:cs="Times New Roman"/>
          <w:bCs/>
        </w:rPr>
        <w:t>Is capable of organizing and efficiently utilizing the usage of the equipment and technical appliances applied in his/her respective specialty field.</w:t>
      </w:r>
    </w:p>
    <w:p w:rsidR="00B14410" w:rsidRPr="00B14410" w:rsidRDefault="00B14410" w:rsidP="00980876">
      <w:pPr>
        <w:widowControl w:val="0"/>
        <w:numPr>
          <w:ilvl w:val="0"/>
          <w:numId w:val="440"/>
        </w:numPr>
        <w:spacing w:after="0" w:line="240" w:lineRule="auto"/>
        <w:ind w:left="993"/>
        <w:contextualSpacing/>
        <w:jc w:val="both"/>
        <w:rPr>
          <w:rFonts w:ascii="Times New Roman" w:eastAsia="Times New Roman" w:hAnsi="Times New Roman" w:cs="Times New Roman"/>
          <w:bCs/>
        </w:rPr>
      </w:pPr>
      <w:r w:rsidRPr="00B14410">
        <w:rPr>
          <w:rFonts w:ascii="Times New Roman" w:eastAsia="Times New Roman" w:hAnsi="Times New Roman" w:cs="Times New Roman"/>
          <w:bCs/>
        </w:rPr>
        <w:t>Is capable of cooperating with persons working in other logistical positions.</w:t>
      </w:r>
    </w:p>
    <w:p w:rsidR="00B14410" w:rsidRPr="00B14410" w:rsidRDefault="00B14410" w:rsidP="00980876">
      <w:pPr>
        <w:widowControl w:val="0"/>
        <w:numPr>
          <w:ilvl w:val="0"/>
          <w:numId w:val="440"/>
        </w:numPr>
        <w:spacing w:after="0" w:line="240" w:lineRule="auto"/>
        <w:ind w:left="993"/>
        <w:contextualSpacing/>
        <w:jc w:val="both"/>
        <w:rPr>
          <w:rFonts w:ascii="Times New Roman" w:eastAsia="Times New Roman" w:hAnsi="Times New Roman" w:cs="Times New Roman"/>
          <w:bCs/>
        </w:rPr>
      </w:pPr>
      <w:r w:rsidRPr="00B14410">
        <w:rPr>
          <w:rFonts w:ascii="Times New Roman" w:eastAsia="Times New Roman" w:hAnsi="Times New Roman" w:cs="Times New Roman"/>
          <w:bCs/>
        </w:rPr>
        <w:t>Is capable of preparing documents regarding his/her field of specialty, executing the handover of military devices and preparing the records.</w:t>
      </w:r>
    </w:p>
    <w:p w:rsidR="00B14410" w:rsidRPr="00B14410" w:rsidRDefault="00B14410" w:rsidP="00980876">
      <w:pPr>
        <w:widowControl w:val="0"/>
        <w:numPr>
          <w:ilvl w:val="0"/>
          <w:numId w:val="440"/>
        </w:numPr>
        <w:spacing w:after="0" w:line="240" w:lineRule="auto"/>
        <w:ind w:left="993"/>
        <w:contextualSpacing/>
        <w:jc w:val="both"/>
        <w:rPr>
          <w:rFonts w:ascii="Times New Roman" w:eastAsia="Times New Roman" w:hAnsi="Times New Roman" w:cs="Times New Roman"/>
          <w:bCs/>
        </w:rPr>
      </w:pPr>
      <w:r w:rsidRPr="00B14410">
        <w:rPr>
          <w:rFonts w:ascii="Times New Roman" w:eastAsia="Times New Roman" w:hAnsi="Times New Roman" w:cs="Times New Roman"/>
          <w:bCs/>
        </w:rPr>
        <w:t>Is capable of preparing the conditions of a safe working environment and making others adhere to the rules of work safety.</w:t>
      </w:r>
    </w:p>
    <w:p w:rsidR="00B14410" w:rsidRPr="00B14410" w:rsidRDefault="00B14410" w:rsidP="00980876">
      <w:pPr>
        <w:widowControl w:val="0"/>
        <w:numPr>
          <w:ilvl w:val="0"/>
          <w:numId w:val="440"/>
        </w:numPr>
        <w:spacing w:after="120" w:line="240" w:lineRule="auto"/>
        <w:ind w:left="992" w:hanging="357"/>
        <w:contextualSpacing/>
        <w:jc w:val="both"/>
        <w:rPr>
          <w:rFonts w:ascii="Times New Roman" w:eastAsia="Times New Roman" w:hAnsi="Times New Roman" w:cs="Times New Roman"/>
          <w:lang w:val="en-GB"/>
        </w:rPr>
      </w:pPr>
      <w:r w:rsidRPr="00B14410">
        <w:rPr>
          <w:rFonts w:ascii="Times New Roman" w:eastAsia="Times New Roman" w:hAnsi="Times New Roman" w:cs="Times New Roman"/>
          <w:bCs/>
        </w:rPr>
        <w:t>Is capable of acqiring the understaning of new engineering information arising in his/her field of specialty using the already gained knowldge.</w:t>
      </w:r>
    </w:p>
    <w:p w:rsidR="00B14410" w:rsidRPr="00B14410" w:rsidRDefault="00B14410" w:rsidP="00B14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425"/>
        <w:jc w:val="both"/>
        <w:rPr>
          <w:rFonts w:ascii="Times New Roman" w:eastAsia="Times New Roman" w:hAnsi="Times New Roman" w:cs="Times New Roman"/>
          <w:lang w:val="en-GB"/>
        </w:rPr>
      </w:pPr>
      <w:r w:rsidRPr="00B14410">
        <w:rPr>
          <w:rFonts w:ascii="Times New Roman" w:eastAsia="Times New Roman" w:hAnsi="Times New Roman" w:cs="Times New Roman"/>
          <w:b/>
          <w:lang w:val="en-GB"/>
        </w:rPr>
        <w:t>Attitude:</w:t>
      </w:r>
    </w:p>
    <w:p w:rsidR="00B14410" w:rsidRPr="00B14410" w:rsidRDefault="00B14410" w:rsidP="00980876">
      <w:pPr>
        <w:numPr>
          <w:ilvl w:val="0"/>
          <w:numId w:val="4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contextualSpacing/>
        <w:jc w:val="both"/>
        <w:rPr>
          <w:rFonts w:ascii="Times New Roman" w:eastAsia="Times New Roman" w:hAnsi="Times New Roman" w:cs="Times New Roman"/>
        </w:rPr>
      </w:pPr>
      <w:r w:rsidRPr="00B14410">
        <w:rPr>
          <w:rFonts w:ascii="Times New Roman" w:eastAsia="Times New Roman" w:hAnsi="Times New Roman" w:cs="Times New Roman"/>
        </w:rPr>
        <w:t>He/she is open to widen his/her knowledge regarding armored vehicles and has a constant need for self-education.</w:t>
      </w:r>
    </w:p>
    <w:p w:rsidR="00B14410" w:rsidRPr="00B14410" w:rsidRDefault="00B14410" w:rsidP="00980876">
      <w:pPr>
        <w:numPr>
          <w:ilvl w:val="0"/>
          <w:numId w:val="4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contextualSpacing/>
        <w:jc w:val="both"/>
        <w:rPr>
          <w:rFonts w:ascii="Times New Roman" w:eastAsia="Times New Roman" w:hAnsi="Times New Roman" w:cs="Times New Roman"/>
        </w:rPr>
      </w:pPr>
      <w:r w:rsidRPr="00B14410">
        <w:rPr>
          <w:rFonts w:ascii="Times New Roman" w:eastAsia="Times New Roman" w:hAnsi="Times New Roman" w:cs="Times New Roman"/>
        </w:rPr>
        <w:t>He/she aims to adhere to the respective rules and make others follow them as well.</w:t>
      </w:r>
    </w:p>
    <w:p w:rsidR="00B14410" w:rsidRPr="00B14410" w:rsidRDefault="00B14410" w:rsidP="00980876">
      <w:pPr>
        <w:numPr>
          <w:ilvl w:val="0"/>
          <w:numId w:val="4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contextualSpacing/>
        <w:jc w:val="both"/>
        <w:rPr>
          <w:rFonts w:ascii="Times New Roman" w:eastAsia="Times New Roman" w:hAnsi="Times New Roman" w:cs="Times New Roman"/>
        </w:rPr>
      </w:pPr>
      <w:r w:rsidRPr="00B14410">
        <w:rPr>
          <w:rFonts w:ascii="Times New Roman" w:eastAsia="Times New Roman" w:hAnsi="Times New Roman" w:cs="Times New Roman"/>
        </w:rPr>
        <w:t>His/her work and relationships can be described by loyalty and reliability.</w:t>
      </w:r>
    </w:p>
    <w:p w:rsidR="00B14410" w:rsidRPr="00B14410" w:rsidRDefault="00B14410" w:rsidP="00980876">
      <w:pPr>
        <w:numPr>
          <w:ilvl w:val="0"/>
          <w:numId w:val="4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contextualSpacing/>
        <w:jc w:val="both"/>
        <w:rPr>
          <w:rFonts w:ascii="Times New Roman" w:eastAsia="Times New Roman" w:hAnsi="Times New Roman" w:cs="Times New Roman"/>
          <w:lang w:val="en-GB"/>
        </w:rPr>
      </w:pPr>
      <w:r w:rsidRPr="00B14410">
        <w:rPr>
          <w:rFonts w:ascii="Times New Roman" w:eastAsia="Times New Roman" w:hAnsi="Times New Roman" w:cs="Times New Roman"/>
        </w:rPr>
        <w:t>He/she is open towards the new accomplishments of military technology and aims to gain knowledge of these.</w:t>
      </w:r>
    </w:p>
    <w:p w:rsidR="00B14410" w:rsidRPr="00B14410" w:rsidRDefault="00B14410" w:rsidP="00B14410">
      <w:pPr>
        <w:widowControl w:val="0"/>
        <w:spacing w:before="120" w:after="120" w:line="240" w:lineRule="auto"/>
        <w:ind w:left="426"/>
        <w:jc w:val="both"/>
        <w:rPr>
          <w:rFonts w:ascii="Times New Roman" w:eastAsia="Times New Roman" w:hAnsi="Times New Roman" w:cs="Times New Roman"/>
          <w:b/>
          <w:lang w:val="en-GB"/>
        </w:rPr>
      </w:pPr>
      <w:r w:rsidRPr="00B14410">
        <w:rPr>
          <w:rFonts w:ascii="Times New Roman" w:eastAsia="Times New Roman" w:hAnsi="Times New Roman" w:cs="Times New Roman"/>
          <w:b/>
          <w:lang w:val="en-GB"/>
        </w:rPr>
        <w:t>Autonomy and responsibility:</w:t>
      </w:r>
    </w:p>
    <w:p w:rsidR="00B14410" w:rsidRPr="00B14410" w:rsidRDefault="00B14410" w:rsidP="00980876">
      <w:pPr>
        <w:widowControl w:val="0"/>
        <w:numPr>
          <w:ilvl w:val="0"/>
          <w:numId w:val="442"/>
        </w:numPr>
        <w:spacing w:after="0" w:line="240" w:lineRule="auto"/>
        <w:ind w:left="993"/>
        <w:contextualSpacing/>
        <w:jc w:val="both"/>
        <w:rPr>
          <w:rFonts w:ascii="Times New Roman" w:eastAsia="Times New Roman" w:hAnsi="Times New Roman" w:cs="Times New Roman"/>
        </w:rPr>
      </w:pPr>
      <w:r w:rsidRPr="00B14410">
        <w:rPr>
          <w:rFonts w:ascii="Times New Roman" w:eastAsia="Times New Roman" w:hAnsi="Times New Roman" w:cs="Times New Roman"/>
        </w:rPr>
        <w:t>Is capable of organizing and determining the tasks of his/her subordinates as well as controlling their work based on professional aspects.</w:t>
      </w:r>
    </w:p>
    <w:p w:rsidR="00B14410" w:rsidRPr="00B14410" w:rsidRDefault="00B14410" w:rsidP="00980876">
      <w:pPr>
        <w:widowControl w:val="0"/>
        <w:numPr>
          <w:ilvl w:val="0"/>
          <w:numId w:val="442"/>
        </w:numPr>
        <w:spacing w:after="0" w:line="240" w:lineRule="auto"/>
        <w:ind w:left="993"/>
        <w:contextualSpacing/>
        <w:jc w:val="both"/>
        <w:rPr>
          <w:rFonts w:ascii="Times New Roman" w:eastAsia="Times New Roman" w:hAnsi="Times New Roman" w:cs="Times New Roman"/>
        </w:rPr>
      </w:pPr>
      <w:r w:rsidRPr="00B14410">
        <w:rPr>
          <w:rFonts w:ascii="Times New Roman" w:eastAsia="Times New Roman" w:hAnsi="Times New Roman" w:cs="Times New Roman"/>
        </w:rPr>
        <w:lastRenderedPageBreak/>
        <w:t>After doing proper analysation, he/she is capable of making the best decisions and taking professional responsibility during the technical maintenance and repairing of the armored vehicles.</w:t>
      </w:r>
    </w:p>
    <w:p w:rsidR="00B14410" w:rsidRPr="00B14410" w:rsidRDefault="00B14410" w:rsidP="00980876">
      <w:pPr>
        <w:widowControl w:val="0"/>
        <w:numPr>
          <w:ilvl w:val="0"/>
          <w:numId w:val="442"/>
        </w:numPr>
        <w:spacing w:after="0" w:line="240" w:lineRule="auto"/>
        <w:ind w:left="993"/>
        <w:contextualSpacing/>
        <w:jc w:val="both"/>
        <w:rPr>
          <w:rFonts w:ascii="Times New Roman" w:eastAsia="Times New Roman" w:hAnsi="Times New Roman" w:cs="Times New Roman"/>
        </w:rPr>
      </w:pPr>
      <w:r w:rsidRPr="00B14410">
        <w:rPr>
          <w:rFonts w:ascii="Times New Roman" w:eastAsia="Times New Roman" w:hAnsi="Times New Roman" w:cs="Times New Roman"/>
        </w:rPr>
        <w:t>He/she is cooperative and responsible towards the professionals of his/her field.</w:t>
      </w:r>
    </w:p>
    <w:p w:rsidR="00B14410" w:rsidRPr="00B14410" w:rsidRDefault="00B14410" w:rsidP="00980876">
      <w:pPr>
        <w:widowControl w:val="0"/>
        <w:numPr>
          <w:ilvl w:val="0"/>
          <w:numId w:val="442"/>
        </w:numPr>
        <w:spacing w:after="0" w:line="240" w:lineRule="auto"/>
        <w:ind w:left="993"/>
        <w:contextualSpacing/>
        <w:jc w:val="both"/>
        <w:rPr>
          <w:rFonts w:ascii="Times New Roman" w:eastAsia="Times New Roman" w:hAnsi="Times New Roman" w:cs="Times New Roman"/>
          <w:lang w:val="en-GB"/>
        </w:rPr>
      </w:pPr>
      <w:r w:rsidRPr="00B14410">
        <w:rPr>
          <w:rFonts w:ascii="Times New Roman" w:eastAsia="Times New Roman" w:hAnsi="Times New Roman" w:cs="Times New Roman"/>
        </w:rPr>
        <w:t>Is capable of thinking in a system approach within his/her own field.</w:t>
      </w:r>
    </w:p>
    <w:p w:rsidR="00B14410" w:rsidRPr="00B14410" w:rsidRDefault="00B14410" w:rsidP="00980876">
      <w:pPr>
        <w:widowControl w:val="0"/>
        <w:numPr>
          <w:ilvl w:val="0"/>
          <w:numId w:val="443"/>
        </w:numPr>
        <w:spacing w:before="120" w:after="120" w:line="240" w:lineRule="auto"/>
        <w:ind w:left="426" w:hanging="142"/>
        <w:jc w:val="both"/>
        <w:rPr>
          <w:rFonts w:ascii="Times New Roman" w:eastAsia="Times New Roman" w:hAnsi="Times New Roman" w:cs="Times New Roman"/>
          <w:bCs/>
        </w:rPr>
      </w:pPr>
      <w:r w:rsidRPr="00B14410">
        <w:rPr>
          <w:rFonts w:ascii="Times New Roman" w:eastAsia="Times New Roman" w:hAnsi="Times New Roman" w:cs="Times New Roman"/>
          <w:b/>
          <w:bCs/>
        </w:rPr>
        <w:t xml:space="preserve">Előtanulmányi követelmények: </w:t>
      </w:r>
      <w:r w:rsidRPr="00B14410">
        <w:rPr>
          <w:rFonts w:ascii="Times New Roman" w:eastAsia="Times New Roman" w:hAnsi="Times New Roman" w:cs="Times New Roman"/>
          <w:bCs/>
          <w:lang w:eastAsia="hu-HU"/>
        </w:rPr>
        <w:t>-</w:t>
      </w:r>
    </w:p>
    <w:p w:rsidR="00B14410" w:rsidRPr="00B14410" w:rsidRDefault="00B14410" w:rsidP="00980876">
      <w:pPr>
        <w:widowControl w:val="0"/>
        <w:numPr>
          <w:ilvl w:val="0"/>
          <w:numId w:val="443"/>
        </w:numPr>
        <w:spacing w:before="120" w:after="120" w:line="240" w:lineRule="auto"/>
        <w:ind w:left="426" w:hanging="142"/>
        <w:jc w:val="both"/>
        <w:rPr>
          <w:rFonts w:ascii="Times New Roman" w:eastAsia="Times New Roman" w:hAnsi="Times New Roman" w:cs="Times New Roman"/>
          <w:b/>
          <w:bCs/>
        </w:rPr>
      </w:pPr>
      <w:r w:rsidRPr="00B14410">
        <w:rPr>
          <w:rFonts w:ascii="Times New Roman" w:eastAsia="Times New Roman" w:hAnsi="Times New Roman" w:cs="Times New Roman"/>
          <w:b/>
          <w:bCs/>
        </w:rPr>
        <w:t>A tantárgy tananyagának leírása, tematika. Description of the subject, curriculum (magyarul, angolul - English):</w:t>
      </w:r>
    </w:p>
    <w:p w:rsidR="00B14410" w:rsidRPr="00B14410" w:rsidRDefault="00B14410" w:rsidP="00980876">
      <w:pPr>
        <w:widowControl w:val="0"/>
        <w:numPr>
          <w:ilvl w:val="1"/>
          <w:numId w:val="443"/>
        </w:numPr>
        <w:tabs>
          <w:tab w:val="left" w:pos="709"/>
          <w:tab w:val="left" w:pos="993"/>
        </w:tabs>
        <w:spacing w:before="120" w:after="120" w:line="240" w:lineRule="auto"/>
        <w:ind w:left="993" w:hanging="567"/>
        <w:jc w:val="both"/>
        <w:rPr>
          <w:rFonts w:ascii="Times New Roman" w:eastAsia="Times New Roman" w:hAnsi="Times New Roman" w:cs="Times New Roman"/>
          <w:b/>
        </w:rPr>
      </w:pPr>
      <w:r w:rsidRPr="00B14410">
        <w:rPr>
          <w:rFonts w:ascii="Times New Roman" w:eastAsia="Times New Roman" w:hAnsi="Times New Roman" w:cs="Times New Roman"/>
          <w:bCs/>
          <w:lang w:eastAsia="hu-HU"/>
        </w:rPr>
        <w:t>A szakkiképzés tervezésére, szervezésére és irányítására vonatkozó előírások, valamint azok végrehajtási módszereinek a megismerése.</w:t>
      </w:r>
      <w:r w:rsidRPr="00B14410">
        <w:rPr>
          <w:rFonts w:ascii="Times New Roman" w:eastAsia="Times New Roman" w:hAnsi="Times New Roman" w:cs="Times New Roman"/>
        </w:rPr>
        <w:t xml:space="preserve"> (</w:t>
      </w:r>
      <w:r w:rsidRPr="00B14410">
        <w:rPr>
          <w:rFonts w:ascii="Times New Roman" w:eastAsia="Times New Roman" w:hAnsi="Times New Roman" w:cs="Times New Roman"/>
          <w:bCs/>
          <w:i/>
        </w:rPr>
        <w:t>Getting familiar with the planning, organization and management activities of the professional training and their implementation</w:t>
      </w:r>
      <w:r w:rsidRPr="00B14410">
        <w:rPr>
          <w:rFonts w:ascii="Times New Roman" w:eastAsia="Times New Roman" w:hAnsi="Times New Roman" w:cs="Times New Roman"/>
          <w:bCs/>
        </w:rPr>
        <w:t>.</w:t>
      </w:r>
      <w:r w:rsidRPr="00B14410">
        <w:rPr>
          <w:rFonts w:ascii="Times New Roman" w:eastAsia="Times New Roman" w:hAnsi="Times New Roman" w:cs="Times New Roman"/>
        </w:rPr>
        <w:t>)</w:t>
      </w:r>
    </w:p>
    <w:p w:rsidR="00B14410" w:rsidRPr="00B14410" w:rsidRDefault="00B14410" w:rsidP="00980876">
      <w:pPr>
        <w:widowControl w:val="0"/>
        <w:numPr>
          <w:ilvl w:val="1"/>
          <w:numId w:val="443"/>
        </w:numPr>
        <w:tabs>
          <w:tab w:val="left" w:pos="709"/>
          <w:tab w:val="left" w:pos="993"/>
        </w:tabs>
        <w:spacing w:before="120" w:after="120" w:line="240" w:lineRule="auto"/>
        <w:ind w:left="993" w:hanging="567"/>
        <w:jc w:val="both"/>
        <w:rPr>
          <w:rFonts w:ascii="Times New Roman" w:eastAsia="Times New Roman" w:hAnsi="Times New Roman" w:cs="Times New Roman"/>
          <w:b/>
        </w:rPr>
      </w:pPr>
      <w:r w:rsidRPr="00B14410">
        <w:rPr>
          <w:rFonts w:ascii="Times New Roman" w:eastAsia="Times New Roman" w:hAnsi="Times New Roman" w:cs="Times New Roman"/>
          <w:bCs/>
          <w:lang w:eastAsia="hu-HU"/>
        </w:rPr>
        <w:t>A haditechnikai eszközök vezetési gyakorlatain a vezetés alapjainak elsajátítása. (</w:t>
      </w:r>
      <w:r w:rsidRPr="00B14410">
        <w:rPr>
          <w:rFonts w:ascii="Times New Roman" w:eastAsia="Times New Roman" w:hAnsi="Times New Roman" w:cs="Times New Roman"/>
          <w:bCs/>
          <w:i/>
          <w:lang w:eastAsia="hu-HU"/>
        </w:rPr>
        <w:t>Acquiring basic driving skills for military vehicles</w:t>
      </w:r>
      <w:r w:rsidRPr="00B14410">
        <w:rPr>
          <w:rFonts w:ascii="Times New Roman" w:eastAsia="Times New Roman" w:hAnsi="Times New Roman" w:cs="Times New Roman"/>
          <w:bCs/>
          <w:lang w:eastAsia="hu-HU"/>
        </w:rPr>
        <w:t>.)</w:t>
      </w:r>
    </w:p>
    <w:p w:rsidR="00B14410" w:rsidRPr="00B14410" w:rsidRDefault="00B14410" w:rsidP="00980876">
      <w:pPr>
        <w:widowControl w:val="0"/>
        <w:numPr>
          <w:ilvl w:val="1"/>
          <w:numId w:val="443"/>
        </w:numPr>
        <w:tabs>
          <w:tab w:val="left" w:pos="709"/>
          <w:tab w:val="left" w:pos="993"/>
        </w:tabs>
        <w:spacing w:before="120" w:after="120" w:line="240" w:lineRule="auto"/>
        <w:ind w:left="993" w:hanging="567"/>
        <w:jc w:val="both"/>
        <w:rPr>
          <w:rFonts w:ascii="Times New Roman" w:eastAsia="Times New Roman" w:hAnsi="Times New Roman" w:cs="Times New Roman"/>
          <w:b/>
        </w:rPr>
      </w:pPr>
      <w:r w:rsidRPr="00B14410">
        <w:rPr>
          <w:rFonts w:ascii="Times New Roman" w:eastAsia="Times New Roman" w:hAnsi="Times New Roman" w:cs="Times New Roman"/>
          <w:bCs/>
          <w:lang w:eastAsia="hu-HU"/>
        </w:rPr>
        <w:t>Járművekkel történő elindulás, sebességváltás, fékezés, megállás, és manőverek végrehajtása. (</w:t>
      </w:r>
      <w:r w:rsidRPr="00B14410">
        <w:rPr>
          <w:rFonts w:ascii="Times New Roman" w:eastAsia="Times New Roman" w:hAnsi="Times New Roman" w:cs="Times New Roman"/>
          <w:bCs/>
          <w:i/>
          <w:lang w:eastAsia="hu-HU"/>
        </w:rPr>
        <w:t>Starting, gear shifting, braking, stopping, and make manouvers with vehicles</w:t>
      </w:r>
      <w:r w:rsidRPr="00B14410">
        <w:rPr>
          <w:rFonts w:ascii="Times New Roman" w:eastAsia="Times New Roman" w:hAnsi="Times New Roman" w:cs="Times New Roman"/>
          <w:bCs/>
          <w:lang w:eastAsia="hu-HU"/>
        </w:rPr>
        <w:t>.)</w:t>
      </w:r>
    </w:p>
    <w:p w:rsidR="00722AA3" w:rsidRPr="00B14410" w:rsidRDefault="00722AA3" w:rsidP="00980876">
      <w:pPr>
        <w:widowControl w:val="0"/>
        <w:numPr>
          <w:ilvl w:val="1"/>
          <w:numId w:val="443"/>
        </w:numPr>
        <w:tabs>
          <w:tab w:val="left" w:pos="709"/>
          <w:tab w:val="left" w:pos="993"/>
        </w:tabs>
        <w:spacing w:before="120" w:after="120" w:line="240" w:lineRule="auto"/>
        <w:ind w:left="993" w:hanging="567"/>
        <w:jc w:val="both"/>
        <w:rPr>
          <w:rFonts w:ascii="Times New Roman" w:eastAsia="Times New Roman" w:hAnsi="Times New Roman" w:cs="Times New Roman"/>
        </w:rPr>
      </w:pPr>
      <w:r>
        <w:rPr>
          <w:rFonts w:ascii="Times New Roman" w:hAnsi="Times New Roman" w:cs="Times New Roman"/>
        </w:rPr>
        <w:t>Zárthelyi dolgozat</w:t>
      </w:r>
      <w:r>
        <w:rPr>
          <w:rFonts w:ascii="Times New Roman" w:hAnsi="Times New Roman" w:cs="Times New Roman"/>
          <w:b/>
        </w:rPr>
        <w:t xml:space="preserve"> </w:t>
      </w:r>
      <w:r w:rsidRPr="00253511">
        <w:rPr>
          <w:rFonts w:ascii="Times New Roman" w:hAnsi="Times New Roman" w:cs="Times New Roman"/>
          <w:i/>
        </w:rPr>
        <w:t>(Paper)</w:t>
      </w:r>
    </w:p>
    <w:p w:rsidR="00B14410" w:rsidRPr="00B14410" w:rsidRDefault="00B14410" w:rsidP="00980876">
      <w:pPr>
        <w:widowControl w:val="0"/>
        <w:numPr>
          <w:ilvl w:val="1"/>
          <w:numId w:val="443"/>
        </w:numPr>
        <w:tabs>
          <w:tab w:val="left" w:pos="709"/>
          <w:tab w:val="left" w:pos="993"/>
        </w:tabs>
        <w:spacing w:before="120" w:after="120" w:line="240" w:lineRule="auto"/>
        <w:ind w:left="993" w:hanging="567"/>
        <w:jc w:val="both"/>
        <w:rPr>
          <w:rFonts w:ascii="Times New Roman" w:eastAsia="Times New Roman" w:hAnsi="Times New Roman" w:cs="Times New Roman"/>
          <w:b/>
        </w:rPr>
      </w:pPr>
      <w:r w:rsidRPr="00B14410">
        <w:rPr>
          <w:rFonts w:ascii="Times New Roman" w:eastAsia="Times New Roman" w:hAnsi="Times New Roman" w:cs="Times New Roman"/>
          <w:bCs/>
          <w:lang w:eastAsia="hu-HU"/>
        </w:rPr>
        <w:t>Vezetés úttalan, átszeldelt terepen nappal és éjszaka, fényálcázó és éjjellátó berendezés alkalmazásával. (</w:t>
      </w:r>
      <w:r w:rsidRPr="00B14410">
        <w:rPr>
          <w:rFonts w:ascii="Times New Roman" w:eastAsia="Times New Roman" w:hAnsi="Times New Roman" w:cs="Times New Roman"/>
          <w:bCs/>
          <w:i/>
          <w:lang w:eastAsia="hu-HU"/>
        </w:rPr>
        <w:t>Driving on hard and rugged terrain at daylight and night.</w:t>
      </w:r>
      <w:r w:rsidRPr="00B14410">
        <w:rPr>
          <w:rFonts w:ascii="Times New Roman" w:eastAsia="Times New Roman" w:hAnsi="Times New Roman" w:cs="Times New Roman"/>
          <w:bCs/>
          <w:i/>
        </w:rPr>
        <w:t xml:space="preserve"> </w:t>
      </w:r>
      <w:r w:rsidRPr="00B14410">
        <w:rPr>
          <w:rFonts w:ascii="Times New Roman" w:eastAsia="Times New Roman" w:hAnsi="Times New Roman" w:cs="Times New Roman"/>
          <w:bCs/>
          <w:i/>
          <w:lang w:eastAsia="hu-HU"/>
        </w:rPr>
        <w:t>Using blackout lights and night vision equipment</w:t>
      </w:r>
      <w:r w:rsidRPr="00B14410">
        <w:rPr>
          <w:rFonts w:ascii="Times New Roman" w:eastAsia="Times New Roman" w:hAnsi="Times New Roman" w:cs="Times New Roman"/>
          <w:bCs/>
          <w:lang w:eastAsia="hu-HU"/>
        </w:rPr>
        <w:t>.)</w:t>
      </w:r>
    </w:p>
    <w:p w:rsidR="00B14410" w:rsidRPr="00B14410" w:rsidRDefault="00B14410" w:rsidP="00980876">
      <w:pPr>
        <w:widowControl w:val="0"/>
        <w:numPr>
          <w:ilvl w:val="1"/>
          <w:numId w:val="443"/>
        </w:numPr>
        <w:tabs>
          <w:tab w:val="left" w:pos="709"/>
          <w:tab w:val="left" w:pos="993"/>
        </w:tabs>
        <w:spacing w:before="120" w:after="120" w:line="240" w:lineRule="auto"/>
        <w:ind w:left="993" w:hanging="567"/>
        <w:jc w:val="both"/>
        <w:rPr>
          <w:rFonts w:ascii="Times New Roman" w:eastAsia="Times New Roman" w:hAnsi="Times New Roman" w:cs="Times New Roman"/>
        </w:rPr>
      </w:pPr>
      <w:r w:rsidRPr="00B14410">
        <w:rPr>
          <w:rFonts w:ascii="Times New Roman" w:eastAsia="Times New Roman" w:hAnsi="Times New Roman" w:cs="Times New Roman"/>
          <w:bCs/>
          <w:lang w:eastAsia="hu-HU"/>
        </w:rPr>
        <w:t>Rombolt terepszakasz, szennyezett terület, aknamező leküzdése.</w:t>
      </w:r>
      <w:r w:rsidRPr="00B14410">
        <w:rPr>
          <w:rFonts w:ascii="Times New Roman" w:eastAsia="Times New Roman" w:hAnsi="Times New Roman" w:cs="Times New Roman"/>
        </w:rPr>
        <w:t xml:space="preserve"> (</w:t>
      </w:r>
      <w:r w:rsidRPr="00B14410">
        <w:rPr>
          <w:rFonts w:ascii="Times New Roman" w:eastAsia="Times New Roman" w:hAnsi="Times New Roman" w:cs="Times New Roman"/>
          <w:bCs/>
          <w:i/>
        </w:rPr>
        <w:t>Driving on destroyed terrain, contaminated area and minefield.</w:t>
      </w:r>
      <w:r w:rsidRPr="00B14410">
        <w:rPr>
          <w:rFonts w:ascii="Times New Roman" w:eastAsia="Times New Roman" w:hAnsi="Times New Roman" w:cs="Times New Roman"/>
        </w:rPr>
        <w:t>)</w:t>
      </w:r>
    </w:p>
    <w:p w:rsidR="00B14410" w:rsidRDefault="00B14410" w:rsidP="00980876">
      <w:pPr>
        <w:widowControl w:val="0"/>
        <w:numPr>
          <w:ilvl w:val="1"/>
          <w:numId w:val="443"/>
        </w:numPr>
        <w:tabs>
          <w:tab w:val="left" w:pos="709"/>
          <w:tab w:val="left" w:pos="993"/>
        </w:tabs>
        <w:spacing w:before="120" w:after="120" w:line="240" w:lineRule="auto"/>
        <w:ind w:left="993" w:hanging="567"/>
        <w:jc w:val="both"/>
        <w:rPr>
          <w:rFonts w:ascii="Times New Roman" w:eastAsia="Times New Roman" w:hAnsi="Times New Roman" w:cs="Times New Roman"/>
        </w:rPr>
      </w:pPr>
      <w:r w:rsidRPr="00B14410">
        <w:rPr>
          <w:rFonts w:ascii="Times New Roman" w:eastAsia="Times New Roman" w:hAnsi="Times New Roman" w:cs="Times New Roman"/>
          <w:bCs/>
          <w:lang w:eastAsia="hu-HU"/>
        </w:rPr>
        <w:t xml:space="preserve">Vezetéstechnikai és biztonsági rendszabályok. Szolgálati személyek tevékenységének gyakorlása. </w:t>
      </w:r>
      <w:r w:rsidRPr="00B14410">
        <w:rPr>
          <w:rFonts w:ascii="Times New Roman" w:eastAsia="Times New Roman" w:hAnsi="Times New Roman" w:cs="Times New Roman"/>
        </w:rPr>
        <w:t>(</w:t>
      </w:r>
      <w:r w:rsidRPr="00B14410">
        <w:rPr>
          <w:rFonts w:ascii="Times New Roman" w:eastAsia="Times New Roman" w:hAnsi="Times New Roman" w:cs="Times New Roman"/>
          <w:bCs/>
          <w:i/>
        </w:rPr>
        <w:t>Driving technique and safety regulations</w:t>
      </w:r>
      <w:r w:rsidRPr="00B14410">
        <w:rPr>
          <w:rFonts w:ascii="Times New Roman" w:eastAsia="Times New Roman" w:hAnsi="Times New Roman" w:cs="Times New Roman"/>
          <w:bCs/>
        </w:rPr>
        <w:t>.</w:t>
      </w:r>
      <w:r w:rsidRPr="00B14410">
        <w:rPr>
          <w:rFonts w:ascii="Times New Roman" w:eastAsia="Times New Roman" w:hAnsi="Times New Roman" w:cs="Times New Roman"/>
          <w:bCs/>
          <w:i/>
        </w:rPr>
        <w:t xml:space="preserve"> Exercising the activities of persons in duty</w:t>
      </w:r>
      <w:r w:rsidRPr="00B14410">
        <w:rPr>
          <w:rFonts w:ascii="Times New Roman" w:eastAsia="Times New Roman" w:hAnsi="Times New Roman" w:cs="Times New Roman"/>
          <w:bCs/>
        </w:rPr>
        <w:t>.</w:t>
      </w:r>
      <w:r w:rsidRPr="00B14410">
        <w:rPr>
          <w:rFonts w:ascii="Times New Roman" w:eastAsia="Times New Roman" w:hAnsi="Times New Roman" w:cs="Times New Roman"/>
        </w:rPr>
        <w:t>)</w:t>
      </w:r>
    </w:p>
    <w:p w:rsidR="00722AA3" w:rsidRPr="00B14410" w:rsidRDefault="00722AA3" w:rsidP="00980876">
      <w:pPr>
        <w:widowControl w:val="0"/>
        <w:numPr>
          <w:ilvl w:val="1"/>
          <w:numId w:val="443"/>
        </w:numPr>
        <w:tabs>
          <w:tab w:val="left" w:pos="709"/>
          <w:tab w:val="left" w:pos="993"/>
        </w:tabs>
        <w:spacing w:before="120" w:after="120" w:line="240" w:lineRule="auto"/>
        <w:ind w:left="993" w:hanging="567"/>
        <w:jc w:val="both"/>
        <w:rPr>
          <w:rFonts w:ascii="Times New Roman" w:eastAsia="Times New Roman" w:hAnsi="Times New Roman" w:cs="Times New Roman"/>
        </w:rPr>
      </w:pPr>
      <w:r>
        <w:rPr>
          <w:rFonts w:ascii="Times New Roman" w:hAnsi="Times New Roman" w:cs="Times New Roman"/>
        </w:rPr>
        <w:t>Zárthelyi dolgozat</w:t>
      </w:r>
      <w:r>
        <w:rPr>
          <w:rFonts w:ascii="Times New Roman" w:hAnsi="Times New Roman" w:cs="Times New Roman"/>
          <w:b/>
        </w:rPr>
        <w:t xml:space="preserve"> </w:t>
      </w:r>
      <w:r w:rsidRPr="00253511">
        <w:rPr>
          <w:rFonts w:ascii="Times New Roman" w:hAnsi="Times New Roman" w:cs="Times New Roman"/>
          <w:i/>
        </w:rPr>
        <w:t>(Paper)</w:t>
      </w:r>
    </w:p>
    <w:p w:rsidR="00B14410" w:rsidRPr="00B14410" w:rsidRDefault="00B14410" w:rsidP="00980876">
      <w:pPr>
        <w:widowControl w:val="0"/>
        <w:numPr>
          <w:ilvl w:val="0"/>
          <w:numId w:val="443"/>
        </w:numPr>
        <w:spacing w:before="120" w:after="120" w:line="240" w:lineRule="auto"/>
        <w:ind w:left="426" w:hanging="142"/>
        <w:jc w:val="both"/>
        <w:rPr>
          <w:rFonts w:ascii="Times New Roman" w:eastAsia="Times New Roman" w:hAnsi="Times New Roman" w:cs="Times New Roman"/>
          <w:bCs/>
        </w:rPr>
      </w:pPr>
      <w:r w:rsidRPr="00B14410">
        <w:rPr>
          <w:rFonts w:ascii="Times New Roman" w:eastAsia="Times New Roman" w:hAnsi="Times New Roman" w:cs="Times New Roman"/>
          <w:b/>
          <w:bCs/>
        </w:rPr>
        <w:t xml:space="preserve">A tantárgy meghirdetésének gyakorisága/a tantervben történő félévi elhelyezkedése: </w:t>
      </w:r>
      <w:r w:rsidRPr="00B14410">
        <w:rPr>
          <w:rFonts w:ascii="Times New Roman" w:eastAsia="Times New Roman" w:hAnsi="Times New Roman" w:cs="Times New Roman"/>
          <w:bCs/>
        </w:rPr>
        <w:t>6. félév</w:t>
      </w:r>
    </w:p>
    <w:p w:rsidR="00B14410" w:rsidRPr="00B14410" w:rsidRDefault="00B14410" w:rsidP="00980876">
      <w:pPr>
        <w:widowControl w:val="0"/>
        <w:numPr>
          <w:ilvl w:val="0"/>
          <w:numId w:val="443"/>
        </w:numPr>
        <w:spacing w:before="120" w:after="120" w:line="240" w:lineRule="auto"/>
        <w:ind w:left="426" w:hanging="142"/>
        <w:jc w:val="both"/>
        <w:rPr>
          <w:rFonts w:ascii="Times New Roman" w:eastAsia="Times New Roman" w:hAnsi="Times New Roman" w:cs="Times New Roman"/>
          <w:bCs/>
        </w:rPr>
      </w:pPr>
      <w:r w:rsidRPr="00B14410">
        <w:rPr>
          <w:rFonts w:ascii="Times New Roman" w:eastAsia="Times New Roman" w:hAnsi="Times New Roman" w:cs="Times New Roman"/>
          <w:b/>
          <w:bCs/>
        </w:rPr>
        <w:t>A tanórákon való részvétel követelményei, az elfogadható hiányzások mértéke, a távolmaradás pótlásának lehetősége:</w:t>
      </w:r>
      <w:r w:rsidRPr="00B14410">
        <w:rPr>
          <w:rFonts w:ascii="Times New Roman" w:eastAsia="Times New Roman" w:hAnsi="Times New Roman" w:cs="Times New Roman"/>
          <w:bCs/>
        </w:rPr>
        <w:t xml:space="preserve"> </w:t>
      </w:r>
    </w:p>
    <w:p w:rsidR="00B14410" w:rsidRPr="00B14410" w:rsidRDefault="00B14410" w:rsidP="00B14410">
      <w:pPr>
        <w:widowControl w:val="0"/>
        <w:spacing w:before="120" w:after="120" w:line="240" w:lineRule="auto"/>
        <w:ind w:left="426"/>
        <w:jc w:val="both"/>
        <w:rPr>
          <w:rFonts w:ascii="Times New Roman" w:eastAsia="Times New Roman" w:hAnsi="Times New Roman" w:cs="Times New Roman"/>
          <w:bCs/>
        </w:rPr>
      </w:pPr>
      <w:r w:rsidRPr="00B14410">
        <w:rPr>
          <w:rFonts w:ascii="Times New Roman" w:eastAsia="Times New Roman" w:hAnsi="Times New Roman" w:cs="Times New Roman"/>
          <w:bCs/>
        </w:rPr>
        <w:t>A hallgatónak a tanórák legalább 70 %-án jelen kell lennie, 30 %-ot meghaladó hiányzás esetén a félév teljesítése nem írható alá. A hallgató köteles az előadás és a gyakorlat anyagát beszerezni, abból önállóan felkészülni. A hiányzás pótolható az oktató által kijelölt témakörben beadott, legalább elégségesre értékelt házidolgozattal.</w:t>
      </w:r>
    </w:p>
    <w:p w:rsidR="00B14410" w:rsidRPr="00B14410" w:rsidRDefault="00B14410" w:rsidP="00980876">
      <w:pPr>
        <w:widowControl w:val="0"/>
        <w:numPr>
          <w:ilvl w:val="0"/>
          <w:numId w:val="443"/>
        </w:numPr>
        <w:spacing w:before="120" w:after="120" w:line="240" w:lineRule="auto"/>
        <w:ind w:left="426" w:hanging="142"/>
        <w:jc w:val="both"/>
        <w:rPr>
          <w:rFonts w:ascii="Times New Roman" w:eastAsia="Times New Roman" w:hAnsi="Times New Roman" w:cs="Times New Roman"/>
          <w:bCs/>
        </w:rPr>
      </w:pPr>
      <w:r w:rsidRPr="00B14410">
        <w:rPr>
          <w:rFonts w:ascii="Times New Roman" w:eastAsia="Times New Roman" w:hAnsi="Times New Roman" w:cs="Times New Roman"/>
          <w:b/>
          <w:bCs/>
        </w:rPr>
        <w:t>Félévközi</w:t>
      </w:r>
      <w:r w:rsidRPr="00B14410">
        <w:rPr>
          <w:rFonts w:ascii="Times New Roman" w:eastAsia="Times New Roman" w:hAnsi="Times New Roman" w:cs="Times New Roman"/>
          <w:b/>
        </w:rPr>
        <w:t xml:space="preserve"> feladatok, ismeretek ellenőrzésének rendje:</w:t>
      </w:r>
      <w:r w:rsidRPr="00B14410">
        <w:rPr>
          <w:rFonts w:ascii="Times New Roman" w:eastAsia="Times New Roman" w:hAnsi="Times New Roman" w:cs="Times New Roman"/>
          <w:bCs/>
        </w:rPr>
        <w:t xml:space="preserve"> A félév során a hallgató kettő zárthelyi dolgozatot ír. Az első zárthelyi dolgozat a 12.1-12.</w:t>
      </w:r>
      <w:r w:rsidR="00722AA3">
        <w:rPr>
          <w:rFonts w:ascii="Times New Roman" w:eastAsia="Times New Roman" w:hAnsi="Times New Roman" w:cs="Times New Roman"/>
          <w:bCs/>
        </w:rPr>
        <w:t>3</w:t>
      </w:r>
      <w:r w:rsidRPr="00B14410">
        <w:rPr>
          <w:rFonts w:ascii="Times New Roman" w:eastAsia="Times New Roman" w:hAnsi="Times New Roman" w:cs="Times New Roman"/>
          <w:bCs/>
        </w:rPr>
        <w:t>. a második zárthelyi dolgozat a 12.</w:t>
      </w:r>
      <w:r w:rsidR="00722AA3">
        <w:rPr>
          <w:rFonts w:ascii="Times New Roman" w:eastAsia="Times New Roman" w:hAnsi="Times New Roman" w:cs="Times New Roman"/>
          <w:bCs/>
        </w:rPr>
        <w:t>5</w:t>
      </w:r>
      <w:r w:rsidRPr="00B14410">
        <w:rPr>
          <w:rFonts w:ascii="Times New Roman" w:eastAsia="Times New Roman" w:hAnsi="Times New Roman" w:cs="Times New Roman"/>
          <w:bCs/>
        </w:rPr>
        <w:t>-12.</w:t>
      </w:r>
      <w:r w:rsidR="00722AA3">
        <w:rPr>
          <w:rFonts w:ascii="Times New Roman" w:eastAsia="Times New Roman" w:hAnsi="Times New Roman" w:cs="Times New Roman"/>
          <w:bCs/>
        </w:rPr>
        <w:t>7</w:t>
      </w:r>
      <w:r w:rsidRPr="00B14410">
        <w:rPr>
          <w:rFonts w:ascii="Times New Roman" w:eastAsia="Times New Roman" w:hAnsi="Times New Roman" w:cs="Times New Roman"/>
          <w:bCs/>
        </w:rPr>
        <w:t xml:space="preserve"> </w:t>
      </w:r>
      <w:r w:rsidR="00722AA3">
        <w:rPr>
          <w:rFonts w:ascii="Times New Roman" w:eastAsia="Times New Roman" w:hAnsi="Times New Roman" w:cs="Times New Roman"/>
          <w:bCs/>
        </w:rPr>
        <w:t>6</w:t>
      </w:r>
      <w:r w:rsidRPr="00B14410">
        <w:rPr>
          <w:rFonts w:ascii="Times New Roman" w:eastAsia="Times New Roman" w:hAnsi="Times New Roman" w:cs="Times New Roman"/>
          <w:bCs/>
        </w:rPr>
        <w:t>tantárgyrészekből áll. A zárthelyi dolgozat témáit a kötelező irodalmak anyagából, illetve az előadásokon elhangzott ismeretanyagból kell összeállítani. A zárthelyi dolgozat értékelése ötfokozatú értékelés (a helyes válaszok aránya 0-60% elégtelen; 61-70% elégséges; 71-80% közepes; 81-90% jó; 91-100% jeles osztályzat). Eredménytelen zárthelyi dolgozat kétszer javítható a szorgalmi időszak végéig az oktatóval egyeztetett időpontokban</w:t>
      </w:r>
      <w:r w:rsidRPr="00B14410">
        <w:rPr>
          <w:rFonts w:ascii="Times New Roman" w:eastAsia="Times New Roman" w:hAnsi="Times New Roman" w:cs="Times New Roman"/>
          <w:b/>
          <w:bCs/>
        </w:rPr>
        <w:t>.</w:t>
      </w:r>
      <w:r w:rsidRPr="00B14410">
        <w:rPr>
          <w:rFonts w:ascii="Times New Roman" w:eastAsia="Times New Roman" w:hAnsi="Times New Roman" w:cs="Times New Roman"/>
          <w:bCs/>
        </w:rPr>
        <w:t xml:space="preserve"> A dolgozatban teszt és esszé jellegű kérdések egyaránt szerepelnek</w:t>
      </w:r>
      <w:r w:rsidRPr="00B14410">
        <w:rPr>
          <w:rFonts w:ascii="Times New Roman" w:eastAsia="Times New Roman" w:hAnsi="Times New Roman" w:cs="Times New Roman"/>
          <w:bCs/>
          <w:lang w:eastAsia="hu-HU"/>
        </w:rPr>
        <w:t>.</w:t>
      </w:r>
    </w:p>
    <w:p w:rsidR="00B14410" w:rsidRPr="00B14410" w:rsidRDefault="00B14410" w:rsidP="00980876">
      <w:pPr>
        <w:widowControl w:val="0"/>
        <w:numPr>
          <w:ilvl w:val="0"/>
          <w:numId w:val="443"/>
        </w:numPr>
        <w:spacing w:before="120" w:after="120" w:line="240" w:lineRule="auto"/>
        <w:ind w:left="426" w:hanging="142"/>
        <w:jc w:val="both"/>
        <w:rPr>
          <w:rFonts w:ascii="Times New Roman" w:eastAsia="Times New Roman" w:hAnsi="Times New Roman" w:cs="Times New Roman"/>
        </w:rPr>
      </w:pPr>
      <w:r w:rsidRPr="00B14410">
        <w:rPr>
          <w:rFonts w:ascii="Times New Roman" w:eastAsia="Times New Roman" w:hAnsi="Times New Roman" w:cs="Times New Roman"/>
          <w:b/>
          <w:bCs/>
        </w:rPr>
        <w:t xml:space="preserve">Az értékelés, az aláírás és a kreditek megszerzésének pontos feltételei: </w:t>
      </w:r>
    </w:p>
    <w:p w:rsidR="00B14410" w:rsidRPr="00B14410" w:rsidRDefault="00B14410" w:rsidP="00980876">
      <w:pPr>
        <w:widowControl w:val="0"/>
        <w:numPr>
          <w:ilvl w:val="1"/>
          <w:numId w:val="443"/>
        </w:numPr>
        <w:tabs>
          <w:tab w:val="clear" w:pos="3977"/>
        </w:tabs>
        <w:spacing w:before="120" w:after="120" w:line="240" w:lineRule="auto"/>
        <w:ind w:left="993" w:hanging="574"/>
        <w:jc w:val="both"/>
        <w:rPr>
          <w:rFonts w:ascii="Times New Roman" w:eastAsia="Times New Roman" w:hAnsi="Times New Roman" w:cs="Times New Roman"/>
        </w:rPr>
      </w:pPr>
      <w:r w:rsidRPr="00B14410">
        <w:rPr>
          <w:rFonts w:ascii="Times New Roman" w:eastAsia="Times New Roman" w:hAnsi="Times New Roman" w:cs="Times New Roman"/>
          <w:b/>
        </w:rPr>
        <w:t xml:space="preserve">Az </w:t>
      </w:r>
      <w:r w:rsidRPr="00B14410">
        <w:rPr>
          <w:rFonts w:ascii="Times New Roman" w:eastAsia="Times New Roman" w:hAnsi="Times New Roman" w:cs="Times New Roman"/>
          <w:b/>
          <w:bCs/>
        </w:rPr>
        <w:t>aláírás</w:t>
      </w:r>
      <w:r w:rsidRPr="00B14410">
        <w:rPr>
          <w:rFonts w:ascii="Times New Roman" w:eastAsia="Times New Roman" w:hAnsi="Times New Roman" w:cs="Times New Roman"/>
          <w:b/>
        </w:rPr>
        <w:t xml:space="preserve"> megszerzésének feltételei:</w:t>
      </w:r>
      <w:r w:rsidRPr="00B14410">
        <w:rPr>
          <w:rFonts w:ascii="Times New Roman" w:eastAsia="Times New Roman" w:hAnsi="Times New Roman" w:cs="Times New Roman"/>
        </w:rPr>
        <w:t xml:space="preserve"> </w:t>
      </w:r>
      <w:r w:rsidRPr="00B14410">
        <w:rPr>
          <w:rFonts w:ascii="Times New Roman" w:eastAsia="Calibri" w:hAnsi="Times New Roman" w:cs="Times New Roman"/>
          <w:bCs/>
        </w:rPr>
        <w:t>Az aláírás megszerzésének feltétele a 14. pontban meghatározott arányú részvétel a foglalkozásokon és a 15. pontban meghatározott félévközi feladatok legalább elégséges teljesítése.</w:t>
      </w:r>
    </w:p>
    <w:p w:rsidR="00B14410" w:rsidRPr="00B14410" w:rsidRDefault="00B14410" w:rsidP="00980876">
      <w:pPr>
        <w:widowControl w:val="0"/>
        <w:numPr>
          <w:ilvl w:val="1"/>
          <w:numId w:val="443"/>
        </w:numPr>
        <w:tabs>
          <w:tab w:val="clear" w:pos="3977"/>
        </w:tabs>
        <w:spacing w:before="120" w:after="120" w:line="240" w:lineRule="auto"/>
        <w:ind w:left="993" w:hanging="574"/>
        <w:jc w:val="both"/>
        <w:rPr>
          <w:rFonts w:ascii="Times New Roman" w:eastAsia="Times New Roman" w:hAnsi="Times New Roman" w:cs="Times New Roman"/>
        </w:rPr>
      </w:pPr>
      <w:r w:rsidRPr="00B14410">
        <w:rPr>
          <w:rFonts w:ascii="Times New Roman" w:eastAsia="Times New Roman" w:hAnsi="Times New Roman" w:cs="Times New Roman"/>
          <w:b/>
        </w:rPr>
        <w:t>Az értékelés:</w:t>
      </w:r>
      <w:r w:rsidRPr="00B14410">
        <w:rPr>
          <w:rFonts w:ascii="Times New Roman" w:eastAsia="Times New Roman" w:hAnsi="Times New Roman" w:cs="Times New Roman"/>
        </w:rPr>
        <w:t xml:space="preserve"> </w:t>
      </w:r>
      <w:r w:rsidRPr="00B14410">
        <w:rPr>
          <w:rFonts w:ascii="Times New Roman" w:eastAsia="Calibri" w:hAnsi="Times New Roman" w:cs="Times New Roman"/>
        </w:rPr>
        <w:t>évközi értékelés, ötfokozatú értékelés.</w:t>
      </w:r>
      <w:r w:rsidRPr="00B14410">
        <w:rPr>
          <w:rFonts w:ascii="Times New Roman" w:eastAsia="Times New Roman" w:hAnsi="Times New Roman" w:cs="Times New Roman"/>
          <w:bCs/>
        </w:rPr>
        <w:t xml:space="preserve"> </w:t>
      </w:r>
      <w:r w:rsidRPr="00B14410">
        <w:rPr>
          <w:rFonts w:ascii="Times New Roman" w:eastAsia="Calibri" w:hAnsi="Times New Roman" w:cs="Times New Roman"/>
          <w:bCs/>
        </w:rPr>
        <w:t xml:space="preserve">Az évközi értékelést az elért </w:t>
      </w:r>
      <w:r w:rsidRPr="00B14410">
        <w:rPr>
          <w:rFonts w:ascii="Times New Roman" w:eastAsia="Calibri" w:hAnsi="Times New Roman" w:cs="Times New Roman"/>
          <w:bCs/>
        </w:rPr>
        <w:lastRenderedPageBreak/>
        <w:t>eredmények kerekített matematikai átlaga képezi.</w:t>
      </w:r>
    </w:p>
    <w:p w:rsidR="00B14410" w:rsidRPr="00B14410" w:rsidRDefault="00B14410" w:rsidP="00980876">
      <w:pPr>
        <w:widowControl w:val="0"/>
        <w:numPr>
          <w:ilvl w:val="1"/>
          <w:numId w:val="443"/>
        </w:numPr>
        <w:tabs>
          <w:tab w:val="clear" w:pos="3977"/>
        </w:tabs>
        <w:spacing w:before="120" w:after="120" w:line="240" w:lineRule="auto"/>
        <w:ind w:left="993" w:hanging="574"/>
        <w:jc w:val="both"/>
        <w:rPr>
          <w:rFonts w:ascii="Times New Roman" w:eastAsia="Times New Roman" w:hAnsi="Times New Roman" w:cs="Times New Roman"/>
        </w:rPr>
      </w:pPr>
      <w:r w:rsidRPr="00B14410">
        <w:rPr>
          <w:rFonts w:ascii="Times New Roman" w:eastAsia="Times New Roman" w:hAnsi="Times New Roman" w:cs="Times New Roman"/>
          <w:b/>
        </w:rPr>
        <w:t>A kreditek megszerzésének feltételei:</w:t>
      </w:r>
      <w:r w:rsidRPr="00B14410">
        <w:rPr>
          <w:rFonts w:ascii="Times New Roman" w:eastAsia="Times New Roman" w:hAnsi="Times New Roman" w:cs="Times New Roman"/>
        </w:rPr>
        <w:t xml:space="preserve"> az aláírás megszerzése és legalább elégséges</w:t>
      </w:r>
      <w:r w:rsidRPr="00B14410">
        <w:rPr>
          <w:rFonts w:ascii="Times New Roman" w:eastAsia="Times New Roman" w:hAnsi="Times New Roman" w:cs="Times New Roman"/>
          <w:b/>
        </w:rPr>
        <w:t xml:space="preserve"> </w:t>
      </w:r>
      <w:r w:rsidRPr="00B14410">
        <w:rPr>
          <w:rFonts w:ascii="Times New Roman" w:eastAsia="Times New Roman" w:hAnsi="Times New Roman" w:cs="Times New Roman"/>
        </w:rPr>
        <w:t>évközi értékelés.</w:t>
      </w:r>
    </w:p>
    <w:p w:rsidR="00B14410" w:rsidRPr="00B14410" w:rsidRDefault="00B14410" w:rsidP="00980876">
      <w:pPr>
        <w:widowControl w:val="0"/>
        <w:numPr>
          <w:ilvl w:val="0"/>
          <w:numId w:val="443"/>
        </w:numPr>
        <w:spacing w:before="120" w:after="120" w:line="240" w:lineRule="auto"/>
        <w:ind w:left="426" w:hanging="142"/>
        <w:jc w:val="both"/>
        <w:rPr>
          <w:rFonts w:ascii="Times New Roman" w:eastAsia="Times New Roman" w:hAnsi="Times New Roman" w:cs="Times New Roman"/>
          <w:bCs/>
        </w:rPr>
      </w:pPr>
      <w:r w:rsidRPr="00B14410">
        <w:rPr>
          <w:rFonts w:ascii="Times New Roman" w:eastAsia="Times New Roman" w:hAnsi="Times New Roman" w:cs="Times New Roman"/>
          <w:b/>
          <w:bCs/>
        </w:rPr>
        <w:t>Irodalomjegyzék:</w:t>
      </w:r>
    </w:p>
    <w:p w:rsidR="00B14410" w:rsidRPr="00B14410" w:rsidRDefault="00B14410" w:rsidP="00980876">
      <w:pPr>
        <w:widowControl w:val="0"/>
        <w:numPr>
          <w:ilvl w:val="1"/>
          <w:numId w:val="443"/>
        </w:numPr>
        <w:tabs>
          <w:tab w:val="clear" w:pos="3977"/>
        </w:tabs>
        <w:spacing w:before="120" w:after="120" w:line="240" w:lineRule="auto"/>
        <w:ind w:left="851" w:hanging="574"/>
        <w:jc w:val="both"/>
        <w:rPr>
          <w:rFonts w:ascii="Times New Roman" w:eastAsia="Times New Roman" w:hAnsi="Times New Roman" w:cs="Times New Roman"/>
          <w:bCs/>
        </w:rPr>
      </w:pPr>
      <w:r w:rsidRPr="00B14410">
        <w:rPr>
          <w:rFonts w:ascii="Times New Roman" w:eastAsia="Times New Roman" w:hAnsi="Times New Roman" w:cs="Times New Roman"/>
          <w:b/>
          <w:bCs/>
        </w:rPr>
        <w:t>Kötelező irodalom:</w:t>
      </w:r>
    </w:p>
    <w:p w:rsidR="00B14410" w:rsidRPr="00B14410" w:rsidRDefault="00B14410" w:rsidP="00980876">
      <w:pPr>
        <w:widowControl w:val="0"/>
        <w:numPr>
          <w:ilvl w:val="0"/>
          <w:numId w:val="444"/>
        </w:numPr>
        <w:spacing w:after="0"/>
        <w:ind w:left="993"/>
        <w:rPr>
          <w:rFonts w:ascii="Times New Roman" w:eastAsia="Times New Roman" w:hAnsi="Times New Roman" w:cs="Times New Roman"/>
        </w:rPr>
      </w:pPr>
      <w:r w:rsidRPr="00B14410">
        <w:rPr>
          <w:rFonts w:ascii="Times New Roman" w:eastAsia="Times New Roman" w:hAnsi="Times New Roman" w:cs="Times New Roman"/>
        </w:rPr>
        <w:t>Ált/11 Harcjármű-vezetési szakutasítás (a kerekes és a lánctalpas harcjárművekhez). HM kiadványa.</w:t>
      </w:r>
    </w:p>
    <w:p w:rsidR="00B14410" w:rsidRPr="00B14410" w:rsidRDefault="00B14410" w:rsidP="00980876">
      <w:pPr>
        <w:widowControl w:val="0"/>
        <w:numPr>
          <w:ilvl w:val="0"/>
          <w:numId w:val="444"/>
        </w:numPr>
        <w:spacing w:after="0"/>
        <w:ind w:left="993"/>
        <w:rPr>
          <w:rFonts w:ascii="Times New Roman" w:eastAsia="Times New Roman" w:hAnsi="Times New Roman" w:cs="Times New Roman"/>
        </w:rPr>
      </w:pPr>
      <w:r w:rsidRPr="00B14410">
        <w:rPr>
          <w:rFonts w:ascii="Times New Roman" w:eastAsia="Times New Roman" w:hAnsi="Times New Roman" w:cs="Times New Roman"/>
        </w:rPr>
        <w:t>Gjmű/140 Gépjárművezetési utasítás. HM kiadvány.</w:t>
      </w:r>
    </w:p>
    <w:p w:rsidR="00B14410" w:rsidRPr="00B14410" w:rsidRDefault="00B14410" w:rsidP="00980876">
      <w:pPr>
        <w:widowControl w:val="0"/>
        <w:numPr>
          <w:ilvl w:val="0"/>
          <w:numId w:val="444"/>
        </w:numPr>
        <w:spacing w:after="0"/>
        <w:ind w:left="993"/>
        <w:rPr>
          <w:rFonts w:ascii="Times New Roman" w:eastAsia="Times New Roman" w:hAnsi="Times New Roman" w:cs="Times New Roman"/>
        </w:rPr>
      </w:pPr>
      <w:r w:rsidRPr="00B14410">
        <w:rPr>
          <w:rFonts w:ascii="Times New Roman" w:eastAsia="Times New Roman" w:hAnsi="Times New Roman" w:cs="Times New Roman"/>
        </w:rPr>
        <w:t>Gjmű/28. Gépkocsik vezetése, gépkocsi menetoszlopok megszervezése és vezetése. HM kiadvány.</w:t>
      </w:r>
    </w:p>
    <w:p w:rsidR="00B14410" w:rsidRPr="00B14410" w:rsidRDefault="00B14410" w:rsidP="00980876">
      <w:pPr>
        <w:widowControl w:val="0"/>
        <w:numPr>
          <w:ilvl w:val="0"/>
          <w:numId w:val="444"/>
        </w:numPr>
        <w:spacing w:after="0"/>
        <w:ind w:left="993"/>
        <w:rPr>
          <w:rFonts w:ascii="Times New Roman" w:eastAsia="Times New Roman" w:hAnsi="Times New Roman" w:cs="Times New Roman"/>
        </w:rPr>
      </w:pPr>
      <w:r w:rsidRPr="00B14410">
        <w:rPr>
          <w:rFonts w:ascii="Times New Roman" w:eastAsia="Times New Roman" w:hAnsi="Times New Roman" w:cs="Times New Roman"/>
        </w:rPr>
        <w:t>Duka Gyula, Virágh Sándor, Keller Ervin, Takács Ferenc, Kiss István: Tehergépkocsi és autóbuszvezetők tankönyve. Business Media Magyarország Kft., Budapest, 2012. ISBN: 9789639518490</w:t>
      </w:r>
    </w:p>
    <w:p w:rsidR="00B14410" w:rsidRPr="00B14410" w:rsidRDefault="00B14410" w:rsidP="00980876">
      <w:pPr>
        <w:widowControl w:val="0"/>
        <w:numPr>
          <w:ilvl w:val="1"/>
          <w:numId w:val="443"/>
        </w:numPr>
        <w:tabs>
          <w:tab w:val="clear" w:pos="3977"/>
        </w:tabs>
        <w:spacing w:before="120" w:after="120" w:line="240" w:lineRule="auto"/>
        <w:ind w:left="851" w:hanging="574"/>
        <w:jc w:val="both"/>
        <w:rPr>
          <w:rFonts w:ascii="Times New Roman" w:eastAsia="Times New Roman" w:hAnsi="Times New Roman" w:cs="Times New Roman"/>
          <w:b/>
          <w:bCs/>
        </w:rPr>
      </w:pPr>
      <w:r w:rsidRPr="00B14410">
        <w:rPr>
          <w:rFonts w:ascii="Times New Roman" w:eastAsia="Times New Roman" w:hAnsi="Times New Roman" w:cs="Times New Roman"/>
          <w:b/>
          <w:bCs/>
        </w:rPr>
        <w:t>Ajánlott irodalom:</w:t>
      </w:r>
    </w:p>
    <w:p w:rsidR="00B14410" w:rsidRPr="00B14410" w:rsidRDefault="00B14410" w:rsidP="00980876">
      <w:pPr>
        <w:widowControl w:val="0"/>
        <w:numPr>
          <w:ilvl w:val="0"/>
          <w:numId w:val="445"/>
        </w:numPr>
        <w:spacing w:after="0" w:line="240" w:lineRule="auto"/>
        <w:ind w:left="993"/>
        <w:contextualSpacing/>
        <w:jc w:val="both"/>
        <w:rPr>
          <w:rFonts w:ascii="Times New Roman" w:eastAsia="Times New Roman" w:hAnsi="Times New Roman" w:cs="Times New Roman"/>
        </w:rPr>
      </w:pPr>
      <w:r w:rsidRPr="00B14410">
        <w:rPr>
          <w:rFonts w:ascii="Times New Roman" w:eastAsia="Times New Roman" w:hAnsi="Times New Roman" w:cs="Times New Roman"/>
        </w:rPr>
        <w:t>Rendszeresített gép- és harcjárműtípusok anyagismereti és javítási utasításai. HM kiadványok.</w:t>
      </w:r>
    </w:p>
    <w:p w:rsidR="00B14410" w:rsidRPr="00B14410" w:rsidRDefault="00B14410" w:rsidP="00980876">
      <w:pPr>
        <w:widowControl w:val="0"/>
        <w:numPr>
          <w:ilvl w:val="0"/>
          <w:numId w:val="445"/>
        </w:numPr>
        <w:spacing w:after="0" w:line="240" w:lineRule="auto"/>
        <w:ind w:left="993"/>
        <w:contextualSpacing/>
        <w:jc w:val="both"/>
        <w:rPr>
          <w:rFonts w:ascii="Times New Roman" w:eastAsia="Times New Roman" w:hAnsi="Times New Roman" w:cs="Times New Roman"/>
        </w:rPr>
      </w:pPr>
      <w:r w:rsidRPr="00B14410">
        <w:rPr>
          <w:rFonts w:ascii="Times New Roman" w:eastAsia="Times New Roman" w:hAnsi="Times New Roman" w:cs="Times New Roman"/>
        </w:rPr>
        <w:t>KRESZ – a közúti közlekedés szabályai és a legfontosabb kiegészítő rendeletek. Business Media Magyarország Kft., Budapest, 2019. ISBN: 9789639518438</w:t>
      </w:r>
    </w:p>
    <w:p w:rsidR="00B14410" w:rsidRPr="00B14410" w:rsidRDefault="00B14410" w:rsidP="00980876">
      <w:pPr>
        <w:widowControl w:val="0"/>
        <w:numPr>
          <w:ilvl w:val="0"/>
          <w:numId w:val="445"/>
        </w:numPr>
        <w:spacing w:after="0" w:line="240" w:lineRule="auto"/>
        <w:ind w:left="993"/>
        <w:contextualSpacing/>
        <w:jc w:val="both"/>
        <w:rPr>
          <w:rFonts w:ascii="Times New Roman" w:eastAsia="Times New Roman" w:hAnsi="Times New Roman" w:cs="Times New Roman"/>
        </w:rPr>
      </w:pPr>
      <w:r w:rsidRPr="00B14410">
        <w:rPr>
          <w:rFonts w:ascii="Times New Roman" w:eastAsia="Times New Roman" w:hAnsi="Times New Roman" w:cs="Times New Roman"/>
        </w:rPr>
        <w:t>Ralf Brandau, Manfred Fehlmann, Matthias Haake: GKI szakmai alapképesítés és továbbképzés tankönyve. Business Media Magyarország Kft., Budapest, 2009. ISBN: 9789639518452</w:t>
      </w:r>
    </w:p>
    <w:p w:rsidR="00B14410" w:rsidRPr="00B14410" w:rsidRDefault="00B14410" w:rsidP="00B14410">
      <w:pPr>
        <w:widowControl w:val="0"/>
        <w:spacing w:before="120" w:after="120" w:line="240" w:lineRule="auto"/>
        <w:jc w:val="both"/>
        <w:rPr>
          <w:rFonts w:ascii="Times New Roman" w:eastAsia="Times New Roman" w:hAnsi="Times New Roman" w:cs="Times New Roman"/>
          <w:bCs/>
        </w:rPr>
      </w:pPr>
      <w:r w:rsidRPr="00B14410">
        <w:rPr>
          <w:rFonts w:ascii="Times New Roman" w:eastAsia="Times New Roman" w:hAnsi="Times New Roman" w:cs="Times New Roman"/>
          <w:bCs/>
        </w:rPr>
        <w:t>Budapest, 2020.03.14.</w:t>
      </w:r>
    </w:p>
    <w:p w:rsidR="00B14410" w:rsidRPr="00B14410" w:rsidRDefault="00B14410" w:rsidP="00B14410">
      <w:pPr>
        <w:widowControl w:val="0"/>
        <w:spacing w:before="120" w:after="120" w:line="240" w:lineRule="auto"/>
        <w:jc w:val="both"/>
        <w:rPr>
          <w:rFonts w:ascii="Times New Roman" w:eastAsia="Times New Roman" w:hAnsi="Times New Roman" w:cs="Times New Roman"/>
          <w:bCs/>
        </w:rPr>
      </w:pPr>
    </w:p>
    <w:p w:rsidR="00B14410" w:rsidRPr="00B14410" w:rsidRDefault="00B14410" w:rsidP="00B14410">
      <w:pPr>
        <w:widowControl w:val="0"/>
        <w:spacing w:after="0" w:line="240" w:lineRule="auto"/>
        <w:jc w:val="right"/>
        <w:rPr>
          <w:rFonts w:ascii="Times New Roman" w:eastAsia="Times New Roman" w:hAnsi="Times New Roman" w:cs="Times New Roman"/>
          <w:bCs/>
        </w:rPr>
      </w:pPr>
      <w:r w:rsidRPr="00B14410">
        <w:rPr>
          <w:rFonts w:ascii="Times New Roman" w:eastAsia="Times New Roman" w:hAnsi="Times New Roman" w:cs="Times New Roman"/>
          <w:bCs/>
        </w:rPr>
        <w:t>Dr. Vég Róbert László PhD</w:t>
      </w:r>
    </w:p>
    <w:p w:rsidR="00B14410" w:rsidRPr="00B14410" w:rsidRDefault="00B14410" w:rsidP="00B14410">
      <w:pPr>
        <w:widowControl w:val="0"/>
        <w:spacing w:after="0" w:line="240" w:lineRule="auto"/>
        <w:jc w:val="right"/>
        <w:rPr>
          <w:rFonts w:ascii="Times New Roman" w:eastAsia="Times New Roman" w:hAnsi="Times New Roman" w:cs="Times New Roman"/>
          <w:bCs/>
        </w:rPr>
      </w:pPr>
      <w:r w:rsidRPr="00B14410">
        <w:rPr>
          <w:rFonts w:ascii="Times New Roman" w:eastAsia="Times New Roman" w:hAnsi="Times New Roman" w:cs="Times New Roman"/>
          <w:bCs/>
        </w:rPr>
        <w:t>egyetemi docens</w:t>
      </w:r>
    </w:p>
    <w:p w:rsidR="00B14410" w:rsidRPr="00B14410" w:rsidRDefault="00B14410" w:rsidP="00B14410">
      <w:pPr>
        <w:widowControl w:val="0"/>
        <w:spacing w:after="0" w:line="240" w:lineRule="auto"/>
        <w:jc w:val="right"/>
        <w:rPr>
          <w:rFonts w:ascii="Times New Roman" w:eastAsia="Times New Roman" w:hAnsi="Times New Roman" w:cs="Times New Roman"/>
          <w:bCs/>
        </w:rPr>
      </w:pPr>
      <w:r w:rsidRPr="00B14410">
        <w:rPr>
          <w:rFonts w:ascii="Times New Roman" w:eastAsia="Times New Roman" w:hAnsi="Times New Roman" w:cs="Times New Roman"/>
          <w:bCs/>
        </w:rPr>
        <w:t>tantárgyfelelős, sk.</w:t>
      </w:r>
    </w:p>
    <w:p w:rsidR="00722AA3" w:rsidRDefault="00722AA3">
      <w:pPr>
        <w:spacing w:after="200" w:line="276" w:lineRule="auto"/>
        <w:rPr>
          <w:rFonts w:ascii="Times New Roman" w:hAnsi="Times New Roman" w:cs="Times New Roman"/>
          <w:sz w:val="24"/>
        </w:rPr>
      </w:pPr>
      <w:r>
        <w:rPr>
          <w:rFonts w:ascii="Times New Roman" w:hAnsi="Times New Roman" w:cs="Times New Roman"/>
          <w:sz w:val="24"/>
        </w:rPr>
        <w:br w:type="page"/>
      </w:r>
    </w:p>
    <w:tbl>
      <w:tblPr>
        <w:tblW w:w="9072" w:type="dxa"/>
        <w:tblInd w:w="113" w:type="dxa"/>
        <w:tblLook w:val="01E0" w:firstRow="1" w:lastRow="1" w:firstColumn="1" w:lastColumn="1" w:noHBand="0" w:noVBand="0"/>
      </w:tblPr>
      <w:tblGrid>
        <w:gridCol w:w="4855"/>
        <w:gridCol w:w="1620"/>
        <w:gridCol w:w="2597"/>
      </w:tblGrid>
      <w:tr w:rsidR="00664982" w:rsidRPr="00664982" w:rsidTr="007B1E67">
        <w:tc>
          <w:tcPr>
            <w:tcW w:w="4855" w:type="dxa"/>
            <w:tcBorders>
              <w:bottom w:val="single" w:sz="4" w:space="0" w:color="auto"/>
            </w:tcBorders>
          </w:tcPr>
          <w:p w:rsidR="00664982" w:rsidRPr="00664982" w:rsidRDefault="00664982" w:rsidP="00664982">
            <w:pPr>
              <w:spacing w:after="0" w:line="240" w:lineRule="auto"/>
              <w:jc w:val="center"/>
              <w:rPr>
                <w:rFonts w:ascii="Times New Roman" w:eastAsia="Times New Roman" w:hAnsi="Times New Roman" w:cs="Times New Roman"/>
                <w:b/>
                <w:smallCaps/>
                <w:lang w:eastAsia="hu-HU"/>
              </w:rPr>
            </w:pPr>
            <w:r w:rsidRPr="00664982">
              <w:rPr>
                <w:rFonts w:ascii="Times New Roman" w:eastAsia="Times New Roman" w:hAnsi="Times New Roman" w:cs="Times New Roman"/>
                <w:b/>
                <w:smallCaps/>
                <w:lang w:eastAsia="hu-HU"/>
              </w:rPr>
              <w:lastRenderedPageBreak/>
              <w:t>Nemzeti Közszolgálati Egyetem</w:t>
            </w:r>
          </w:p>
        </w:tc>
        <w:tc>
          <w:tcPr>
            <w:tcW w:w="1620" w:type="dxa"/>
          </w:tcPr>
          <w:p w:rsidR="00664982" w:rsidRPr="00664982" w:rsidRDefault="00664982" w:rsidP="00664982">
            <w:pPr>
              <w:spacing w:after="0" w:line="240" w:lineRule="auto"/>
              <w:jc w:val="both"/>
              <w:rPr>
                <w:rFonts w:ascii="Times New Roman" w:eastAsia="Times New Roman" w:hAnsi="Times New Roman" w:cs="Times New Roman"/>
                <w:lang w:eastAsia="hu-HU"/>
              </w:rPr>
            </w:pPr>
          </w:p>
        </w:tc>
        <w:tc>
          <w:tcPr>
            <w:tcW w:w="2597" w:type="dxa"/>
          </w:tcPr>
          <w:p w:rsidR="00664982" w:rsidRPr="00664982" w:rsidRDefault="00664982" w:rsidP="00664982">
            <w:pPr>
              <w:spacing w:after="0" w:line="240" w:lineRule="auto"/>
              <w:jc w:val="right"/>
              <w:rPr>
                <w:rFonts w:ascii="Times New Roman" w:eastAsia="Times New Roman" w:hAnsi="Times New Roman" w:cs="Times New Roman"/>
                <w:lang w:eastAsia="hu-HU"/>
              </w:rPr>
            </w:pPr>
          </w:p>
        </w:tc>
      </w:tr>
      <w:tr w:rsidR="00664982" w:rsidRPr="00664982" w:rsidTr="007B1E67">
        <w:tc>
          <w:tcPr>
            <w:tcW w:w="4855" w:type="dxa"/>
            <w:tcBorders>
              <w:top w:val="single" w:sz="4" w:space="0" w:color="auto"/>
            </w:tcBorders>
          </w:tcPr>
          <w:p w:rsidR="00664982" w:rsidRPr="00664982" w:rsidRDefault="00664982" w:rsidP="00664982">
            <w:pPr>
              <w:spacing w:after="0" w:line="240" w:lineRule="auto"/>
              <w:jc w:val="center"/>
              <w:rPr>
                <w:rFonts w:ascii="Times New Roman" w:eastAsia="Times New Roman" w:hAnsi="Times New Roman" w:cs="Times New Roman"/>
                <w:b/>
                <w:lang w:eastAsia="hu-HU"/>
              </w:rPr>
            </w:pPr>
            <w:r w:rsidRPr="00664982">
              <w:rPr>
                <w:rFonts w:ascii="Times New Roman" w:eastAsia="Times New Roman" w:hAnsi="Times New Roman" w:cs="Times New Roman"/>
                <w:b/>
                <w:lang w:eastAsia="hu-HU"/>
              </w:rPr>
              <w:t>Hadtudományi és Honvédtisztképző Kar</w:t>
            </w:r>
          </w:p>
        </w:tc>
        <w:tc>
          <w:tcPr>
            <w:tcW w:w="1620" w:type="dxa"/>
          </w:tcPr>
          <w:p w:rsidR="00664982" w:rsidRPr="00664982" w:rsidRDefault="00664982" w:rsidP="00664982">
            <w:pPr>
              <w:spacing w:after="0" w:line="240" w:lineRule="auto"/>
              <w:jc w:val="both"/>
              <w:rPr>
                <w:rFonts w:ascii="Times New Roman" w:eastAsia="Times New Roman" w:hAnsi="Times New Roman" w:cs="Times New Roman"/>
                <w:lang w:eastAsia="hu-HU"/>
              </w:rPr>
            </w:pPr>
          </w:p>
        </w:tc>
        <w:tc>
          <w:tcPr>
            <w:tcW w:w="2597" w:type="dxa"/>
          </w:tcPr>
          <w:p w:rsidR="00664982" w:rsidRPr="00664982" w:rsidRDefault="00664982" w:rsidP="00664982">
            <w:pPr>
              <w:spacing w:after="0" w:line="240" w:lineRule="auto"/>
              <w:jc w:val="both"/>
              <w:rPr>
                <w:rFonts w:ascii="Times New Roman" w:eastAsia="Times New Roman" w:hAnsi="Times New Roman" w:cs="Times New Roman"/>
                <w:lang w:eastAsia="hu-HU"/>
              </w:rPr>
            </w:pPr>
          </w:p>
        </w:tc>
      </w:tr>
    </w:tbl>
    <w:p w:rsidR="00664982" w:rsidRPr="00664982" w:rsidRDefault="00664982" w:rsidP="00664982">
      <w:pPr>
        <w:widowControl w:val="0"/>
        <w:spacing w:before="120" w:after="120" w:line="240" w:lineRule="auto"/>
        <w:ind w:left="426" w:hanging="142"/>
        <w:jc w:val="center"/>
        <w:rPr>
          <w:rFonts w:ascii="Times New Roman" w:eastAsia="Times New Roman" w:hAnsi="Times New Roman" w:cs="Times New Roman"/>
          <w:b/>
          <w:bCs/>
        </w:rPr>
      </w:pPr>
    </w:p>
    <w:p w:rsidR="00664982" w:rsidRPr="00664982" w:rsidRDefault="00664982" w:rsidP="00664982">
      <w:pPr>
        <w:widowControl w:val="0"/>
        <w:spacing w:before="120" w:after="120" w:line="240" w:lineRule="auto"/>
        <w:ind w:left="426" w:hanging="142"/>
        <w:jc w:val="center"/>
        <w:rPr>
          <w:rFonts w:ascii="Times New Roman" w:eastAsia="Times New Roman" w:hAnsi="Times New Roman" w:cs="Times New Roman"/>
          <w:b/>
          <w:bCs/>
        </w:rPr>
      </w:pPr>
      <w:r w:rsidRPr="00664982">
        <w:rPr>
          <w:rFonts w:ascii="Times New Roman" w:eastAsia="Times New Roman" w:hAnsi="Times New Roman" w:cs="Times New Roman"/>
          <w:b/>
          <w:bCs/>
        </w:rPr>
        <w:t>TANTÁRGYI PROGRAM</w:t>
      </w:r>
    </w:p>
    <w:p w:rsidR="00664982" w:rsidRPr="00664982" w:rsidRDefault="00664982" w:rsidP="00980876">
      <w:pPr>
        <w:widowControl w:val="0"/>
        <w:numPr>
          <w:ilvl w:val="0"/>
          <w:numId w:val="447"/>
        </w:numPr>
        <w:tabs>
          <w:tab w:val="num" w:pos="567"/>
        </w:tabs>
        <w:spacing w:before="120" w:after="120" w:line="240" w:lineRule="auto"/>
        <w:ind w:left="426" w:hanging="142"/>
        <w:jc w:val="both"/>
        <w:rPr>
          <w:rFonts w:ascii="Times New Roman" w:eastAsia="Times New Roman" w:hAnsi="Times New Roman" w:cs="Times New Roman"/>
          <w:bCs/>
        </w:rPr>
      </w:pPr>
      <w:r w:rsidRPr="00664982">
        <w:rPr>
          <w:rFonts w:ascii="Times New Roman" w:eastAsia="Times New Roman" w:hAnsi="Times New Roman" w:cs="Times New Roman"/>
          <w:b/>
          <w:bCs/>
        </w:rPr>
        <w:t xml:space="preserve">A tantárgy kódja: </w:t>
      </w:r>
      <w:r w:rsidRPr="00664982">
        <w:rPr>
          <w:rFonts w:ascii="Times New Roman" w:eastAsia="Times New Roman" w:hAnsi="Times New Roman" w:cs="Times New Roman"/>
          <w:bCs/>
        </w:rPr>
        <w:t>HKHDTA15</w:t>
      </w:r>
    </w:p>
    <w:p w:rsidR="00664982" w:rsidRPr="00664982" w:rsidRDefault="00664982" w:rsidP="00980876">
      <w:pPr>
        <w:widowControl w:val="0"/>
        <w:numPr>
          <w:ilvl w:val="0"/>
          <w:numId w:val="447"/>
        </w:numPr>
        <w:tabs>
          <w:tab w:val="num" w:pos="567"/>
        </w:tabs>
        <w:spacing w:before="120" w:after="120" w:line="240" w:lineRule="auto"/>
        <w:ind w:left="426" w:hanging="142"/>
        <w:jc w:val="both"/>
        <w:rPr>
          <w:rFonts w:ascii="Times New Roman" w:eastAsia="Times New Roman" w:hAnsi="Times New Roman" w:cs="Times New Roman"/>
          <w:b/>
          <w:bCs/>
          <w:lang w:val="en-GB"/>
        </w:rPr>
      </w:pPr>
      <w:r w:rsidRPr="00664982">
        <w:rPr>
          <w:rFonts w:ascii="Times New Roman" w:eastAsia="Times New Roman" w:hAnsi="Times New Roman" w:cs="Times New Roman"/>
          <w:b/>
          <w:bCs/>
        </w:rPr>
        <w:t>A tantárgy megnevezése (magyarul):</w:t>
      </w:r>
      <w:r w:rsidRPr="00664982">
        <w:rPr>
          <w:rFonts w:ascii="Times New Roman" w:eastAsia="Times New Roman" w:hAnsi="Times New Roman" w:cs="Times New Roman"/>
          <w:bCs/>
        </w:rPr>
        <w:t xml:space="preserve"> </w:t>
      </w:r>
      <w:r w:rsidRPr="00664982">
        <w:rPr>
          <w:rFonts w:ascii="Times New Roman" w:eastAsia="Calibri" w:hAnsi="Times New Roman" w:cs="Times New Roman"/>
          <w:bCs/>
        </w:rPr>
        <w:t>Szakmai szabályismeret PC</w:t>
      </w:r>
    </w:p>
    <w:p w:rsidR="00664982" w:rsidRPr="00664982" w:rsidRDefault="00664982" w:rsidP="00980876">
      <w:pPr>
        <w:widowControl w:val="0"/>
        <w:numPr>
          <w:ilvl w:val="0"/>
          <w:numId w:val="447"/>
        </w:numPr>
        <w:tabs>
          <w:tab w:val="num" w:pos="567"/>
        </w:tabs>
        <w:spacing w:before="120" w:after="120" w:line="240" w:lineRule="auto"/>
        <w:ind w:left="426" w:hanging="142"/>
        <w:jc w:val="both"/>
        <w:rPr>
          <w:rFonts w:ascii="Times New Roman" w:eastAsia="Times New Roman" w:hAnsi="Times New Roman" w:cs="Times New Roman"/>
          <w:b/>
          <w:bCs/>
          <w:lang w:val="en-GB"/>
        </w:rPr>
      </w:pPr>
      <w:r w:rsidRPr="00664982">
        <w:rPr>
          <w:rFonts w:ascii="Times New Roman" w:eastAsia="Times New Roman" w:hAnsi="Times New Roman" w:cs="Times New Roman"/>
          <w:b/>
          <w:bCs/>
        </w:rPr>
        <w:t xml:space="preserve">A tantárgy megnevezése (angolul): </w:t>
      </w:r>
      <w:r w:rsidRPr="00664982">
        <w:rPr>
          <w:rFonts w:ascii="Times New Roman" w:eastAsia="Calibri" w:hAnsi="Times New Roman" w:cs="Times New Roman"/>
          <w:bCs/>
        </w:rPr>
        <w:t>Knowledge of maintenance rules PC</w:t>
      </w:r>
    </w:p>
    <w:p w:rsidR="00664982" w:rsidRPr="00664982" w:rsidRDefault="00664982" w:rsidP="00980876">
      <w:pPr>
        <w:widowControl w:val="0"/>
        <w:numPr>
          <w:ilvl w:val="0"/>
          <w:numId w:val="447"/>
        </w:numPr>
        <w:tabs>
          <w:tab w:val="num" w:pos="567"/>
        </w:tabs>
        <w:spacing w:before="120" w:after="120" w:line="240" w:lineRule="auto"/>
        <w:ind w:left="426" w:hanging="142"/>
        <w:jc w:val="both"/>
        <w:rPr>
          <w:rFonts w:ascii="Times New Roman" w:eastAsia="Times New Roman" w:hAnsi="Times New Roman" w:cs="Times New Roman"/>
          <w:b/>
          <w:bCs/>
        </w:rPr>
      </w:pPr>
      <w:r w:rsidRPr="00664982">
        <w:rPr>
          <w:rFonts w:ascii="Times New Roman" w:eastAsia="Times New Roman" w:hAnsi="Times New Roman" w:cs="Times New Roman"/>
          <w:b/>
          <w:bCs/>
        </w:rPr>
        <w:t xml:space="preserve">Kreditérték és képzési karakter: </w:t>
      </w:r>
    </w:p>
    <w:p w:rsidR="00664982" w:rsidRPr="00664982" w:rsidRDefault="00664982" w:rsidP="00980876">
      <w:pPr>
        <w:widowControl w:val="0"/>
        <w:numPr>
          <w:ilvl w:val="1"/>
          <w:numId w:val="447"/>
        </w:numPr>
        <w:tabs>
          <w:tab w:val="clear" w:pos="3977"/>
          <w:tab w:val="num" w:pos="709"/>
          <w:tab w:val="num" w:pos="999"/>
          <w:tab w:val="num" w:pos="2069"/>
        </w:tabs>
        <w:spacing w:before="120" w:after="120" w:line="240" w:lineRule="auto"/>
        <w:ind w:left="851" w:hanging="425"/>
        <w:jc w:val="both"/>
        <w:rPr>
          <w:rFonts w:ascii="Times New Roman" w:eastAsia="Times New Roman" w:hAnsi="Times New Roman" w:cs="Times New Roman"/>
          <w:bCs/>
        </w:rPr>
      </w:pPr>
      <w:r w:rsidRPr="00664982">
        <w:rPr>
          <w:rFonts w:ascii="Times New Roman" w:eastAsia="Times New Roman" w:hAnsi="Times New Roman" w:cs="Times New Roman"/>
          <w:bCs/>
        </w:rPr>
        <w:t>2 kredit</w:t>
      </w:r>
    </w:p>
    <w:p w:rsidR="00664982" w:rsidRPr="00664982" w:rsidRDefault="00664982" w:rsidP="00980876">
      <w:pPr>
        <w:widowControl w:val="0"/>
        <w:numPr>
          <w:ilvl w:val="1"/>
          <w:numId w:val="447"/>
        </w:numPr>
        <w:tabs>
          <w:tab w:val="clear" w:pos="3977"/>
          <w:tab w:val="num" w:pos="709"/>
          <w:tab w:val="num" w:pos="999"/>
          <w:tab w:val="num" w:pos="2069"/>
        </w:tabs>
        <w:spacing w:before="120" w:after="120" w:line="240" w:lineRule="auto"/>
        <w:ind w:left="851" w:hanging="425"/>
        <w:jc w:val="both"/>
        <w:rPr>
          <w:rFonts w:ascii="Times New Roman" w:eastAsia="Times New Roman" w:hAnsi="Times New Roman" w:cs="Times New Roman"/>
          <w:bCs/>
        </w:rPr>
      </w:pPr>
      <w:r w:rsidRPr="00664982">
        <w:rPr>
          <w:rFonts w:ascii="Times New Roman" w:eastAsia="Times New Roman" w:hAnsi="Times New Roman" w:cs="Times New Roman"/>
          <w:bCs/>
        </w:rPr>
        <w:t>a tantárgy elméleti vagy gyakorlati jellegének mértéke: 50 % gyakorlat, 50 % elmélet</w:t>
      </w:r>
    </w:p>
    <w:p w:rsidR="00664982" w:rsidRPr="00664982" w:rsidRDefault="00664982" w:rsidP="00980876">
      <w:pPr>
        <w:widowControl w:val="0"/>
        <w:numPr>
          <w:ilvl w:val="0"/>
          <w:numId w:val="447"/>
        </w:numPr>
        <w:spacing w:before="120" w:after="120" w:line="240" w:lineRule="auto"/>
        <w:ind w:left="426" w:hanging="142"/>
        <w:jc w:val="both"/>
        <w:rPr>
          <w:rFonts w:ascii="Times New Roman" w:eastAsia="Times New Roman" w:hAnsi="Times New Roman" w:cs="Times New Roman"/>
          <w:bCs/>
        </w:rPr>
      </w:pPr>
      <w:r w:rsidRPr="00664982">
        <w:rPr>
          <w:rFonts w:ascii="Times New Roman" w:eastAsia="Times New Roman" w:hAnsi="Times New Roman" w:cs="Times New Roman"/>
          <w:b/>
          <w:bCs/>
        </w:rPr>
        <w:t>A szak(ok), szakirányok/specializációk megnevezése (ahol oktatják):</w:t>
      </w:r>
      <w:r w:rsidRPr="00664982">
        <w:rPr>
          <w:rFonts w:ascii="Times New Roman" w:eastAsia="Times New Roman" w:hAnsi="Times New Roman" w:cs="Times New Roman"/>
          <w:bCs/>
        </w:rPr>
        <w:t xml:space="preserve"> Katonai logisztika alapképzési szak, Haditechnikai specializáció</w:t>
      </w:r>
    </w:p>
    <w:p w:rsidR="00664982" w:rsidRPr="00664982" w:rsidRDefault="00664982" w:rsidP="00980876">
      <w:pPr>
        <w:widowControl w:val="0"/>
        <w:numPr>
          <w:ilvl w:val="0"/>
          <w:numId w:val="447"/>
        </w:numPr>
        <w:tabs>
          <w:tab w:val="num" w:pos="567"/>
        </w:tabs>
        <w:spacing w:before="120" w:after="120" w:line="240" w:lineRule="auto"/>
        <w:ind w:left="426" w:hanging="142"/>
        <w:jc w:val="both"/>
        <w:rPr>
          <w:rFonts w:ascii="Times New Roman" w:eastAsia="Times New Roman" w:hAnsi="Times New Roman" w:cs="Times New Roman"/>
          <w:bCs/>
        </w:rPr>
      </w:pPr>
      <w:r w:rsidRPr="00664982">
        <w:rPr>
          <w:rFonts w:ascii="Times New Roman" w:eastAsia="Times New Roman" w:hAnsi="Times New Roman" w:cs="Times New Roman"/>
          <w:b/>
          <w:bCs/>
        </w:rPr>
        <w:t xml:space="preserve">Az oktatásért felelős oktatási szervezeti egység megnevezése: </w:t>
      </w:r>
      <w:r w:rsidRPr="00664982">
        <w:rPr>
          <w:rFonts w:ascii="Times New Roman" w:eastAsia="Times New Roman" w:hAnsi="Times New Roman" w:cs="Times New Roman"/>
          <w:bCs/>
        </w:rPr>
        <w:t xml:space="preserve">NKE </w:t>
      </w:r>
      <w:r w:rsidRPr="00664982">
        <w:rPr>
          <w:rFonts w:ascii="Times New Roman" w:eastAsia="Calibri" w:hAnsi="Times New Roman" w:cs="Times New Roman"/>
          <w:bCs/>
          <w:kern w:val="2"/>
        </w:rPr>
        <w:t>Hadtudományi és Honvédtisztképző Kar,</w:t>
      </w:r>
      <w:r w:rsidRPr="00664982">
        <w:rPr>
          <w:rFonts w:ascii="Times New Roman" w:eastAsia="Times New Roman" w:hAnsi="Times New Roman" w:cs="Times New Roman"/>
          <w:bCs/>
        </w:rPr>
        <w:t xml:space="preserve"> Haditechnikai Tanszék</w:t>
      </w:r>
    </w:p>
    <w:p w:rsidR="00664982" w:rsidRPr="00664982" w:rsidRDefault="00664982" w:rsidP="00980876">
      <w:pPr>
        <w:widowControl w:val="0"/>
        <w:numPr>
          <w:ilvl w:val="0"/>
          <w:numId w:val="447"/>
        </w:numPr>
        <w:tabs>
          <w:tab w:val="num" w:pos="567"/>
        </w:tabs>
        <w:spacing w:before="120" w:after="120" w:line="240" w:lineRule="auto"/>
        <w:ind w:left="426" w:hanging="142"/>
        <w:jc w:val="both"/>
        <w:rPr>
          <w:rFonts w:ascii="Times New Roman" w:eastAsia="Times New Roman" w:hAnsi="Times New Roman" w:cs="Times New Roman"/>
          <w:bCs/>
        </w:rPr>
      </w:pPr>
      <w:r w:rsidRPr="00664982">
        <w:rPr>
          <w:rFonts w:ascii="Times New Roman" w:eastAsia="Times New Roman" w:hAnsi="Times New Roman" w:cs="Times New Roman"/>
          <w:b/>
          <w:bCs/>
        </w:rPr>
        <w:t>A tantárgyfelelős oktató neve, beosztása, tudományos fokozata:</w:t>
      </w:r>
      <w:r w:rsidRPr="00664982">
        <w:rPr>
          <w:rFonts w:ascii="Times New Roman" w:eastAsia="Times New Roman" w:hAnsi="Times New Roman" w:cs="Times New Roman"/>
          <w:bCs/>
        </w:rPr>
        <w:t xml:space="preserve"> Dr. Gávay György Viktor, adjunktus, PhD.</w:t>
      </w:r>
    </w:p>
    <w:p w:rsidR="00664982" w:rsidRPr="00664982" w:rsidRDefault="00664982" w:rsidP="00980876">
      <w:pPr>
        <w:widowControl w:val="0"/>
        <w:numPr>
          <w:ilvl w:val="0"/>
          <w:numId w:val="447"/>
        </w:numPr>
        <w:spacing w:before="120" w:after="120" w:line="240" w:lineRule="auto"/>
        <w:ind w:left="426" w:hanging="142"/>
        <w:jc w:val="both"/>
        <w:rPr>
          <w:rFonts w:ascii="Times New Roman" w:eastAsia="Times New Roman" w:hAnsi="Times New Roman" w:cs="Times New Roman"/>
          <w:bCs/>
        </w:rPr>
      </w:pPr>
      <w:r w:rsidRPr="00664982">
        <w:rPr>
          <w:rFonts w:ascii="Times New Roman" w:eastAsia="Times New Roman" w:hAnsi="Times New Roman" w:cs="Times New Roman"/>
          <w:b/>
          <w:bCs/>
        </w:rPr>
        <w:t>A tanórák száma és típusa</w:t>
      </w:r>
    </w:p>
    <w:p w:rsidR="00664982" w:rsidRPr="00664982" w:rsidRDefault="00664982" w:rsidP="00980876">
      <w:pPr>
        <w:widowControl w:val="0"/>
        <w:numPr>
          <w:ilvl w:val="1"/>
          <w:numId w:val="447"/>
        </w:numPr>
        <w:tabs>
          <w:tab w:val="clear" w:pos="3977"/>
          <w:tab w:val="num" w:pos="709"/>
          <w:tab w:val="num" w:pos="999"/>
          <w:tab w:val="num" w:pos="2069"/>
        </w:tabs>
        <w:spacing w:before="120" w:after="120" w:line="240" w:lineRule="auto"/>
        <w:ind w:left="851" w:hanging="425"/>
        <w:jc w:val="both"/>
        <w:rPr>
          <w:rFonts w:ascii="Times New Roman" w:eastAsia="Times New Roman" w:hAnsi="Times New Roman" w:cs="Times New Roman"/>
          <w:b/>
          <w:bCs/>
        </w:rPr>
      </w:pPr>
      <w:r w:rsidRPr="00664982">
        <w:rPr>
          <w:rFonts w:ascii="Times New Roman" w:eastAsia="Times New Roman" w:hAnsi="Times New Roman" w:cs="Times New Roman"/>
          <w:bCs/>
        </w:rPr>
        <w:t>össz óraszám/félév:</w:t>
      </w:r>
    </w:p>
    <w:p w:rsidR="00664982" w:rsidRPr="00664982" w:rsidRDefault="00664982" w:rsidP="00980876">
      <w:pPr>
        <w:widowControl w:val="0"/>
        <w:numPr>
          <w:ilvl w:val="2"/>
          <w:numId w:val="447"/>
        </w:numPr>
        <w:tabs>
          <w:tab w:val="num" w:pos="709"/>
          <w:tab w:val="num" w:pos="1134"/>
        </w:tabs>
        <w:spacing w:before="120" w:after="120" w:line="240" w:lineRule="auto"/>
        <w:ind w:left="993" w:hanging="425"/>
        <w:jc w:val="both"/>
        <w:rPr>
          <w:rFonts w:ascii="Times New Roman" w:eastAsia="Times New Roman" w:hAnsi="Times New Roman" w:cs="Times New Roman"/>
          <w:bCs/>
        </w:rPr>
      </w:pPr>
      <w:r w:rsidRPr="00664982">
        <w:rPr>
          <w:rFonts w:ascii="Times New Roman" w:eastAsia="Times New Roman" w:hAnsi="Times New Roman" w:cs="Times New Roman"/>
          <w:bCs/>
        </w:rPr>
        <w:t>nappali munkarend: 28 (14 EA + 0 SZ + 14 GY)</w:t>
      </w:r>
    </w:p>
    <w:p w:rsidR="00664982" w:rsidRPr="00664982" w:rsidRDefault="00664982" w:rsidP="00980876">
      <w:pPr>
        <w:widowControl w:val="0"/>
        <w:numPr>
          <w:ilvl w:val="2"/>
          <w:numId w:val="447"/>
        </w:numPr>
        <w:tabs>
          <w:tab w:val="num" w:pos="709"/>
          <w:tab w:val="num" w:pos="1134"/>
        </w:tabs>
        <w:spacing w:before="120" w:after="120" w:line="240" w:lineRule="auto"/>
        <w:ind w:left="993" w:hanging="425"/>
        <w:jc w:val="both"/>
        <w:rPr>
          <w:rFonts w:ascii="Times New Roman" w:eastAsia="Times New Roman" w:hAnsi="Times New Roman" w:cs="Times New Roman"/>
          <w:bCs/>
        </w:rPr>
      </w:pPr>
      <w:r w:rsidRPr="00664982">
        <w:rPr>
          <w:rFonts w:ascii="Times New Roman" w:eastAsia="Times New Roman" w:hAnsi="Times New Roman" w:cs="Times New Roman"/>
          <w:bCs/>
        </w:rPr>
        <w:t>levelező munkarend: -</w:t>
      </w:r>
    </w:p>
    <w:p w:rsidR="00664982" w:rsidRPr="00664982" w:rsidRDefault="00664982" w:rsidP="00980876">
      <w:pPr>
        <w:widowControl w:val="0"/>
        <w:numPr>
          <w:ilvl w:val="1"/>
          <w:numId w:val="447"/>
        </w:numPr>
        <w:tabs>
          <w:tab w:val="clear" w:pos="3977"/>
          <w:tab w:val="num" w:pos="709"/>
          <w:tab w:val="num" w:pos="999"/>
          <w:tab w:val="num" w:pos="2069"/>
        </w:tabs>
        <w:spacing w:before="120" w:after="120" w:line="240" w:lineRule="auto"/>
        <w:ind w:left="851" w:hanging="425"/>
        <w:jc w:val="both"/>
        <w:rPr>
          <w:rFonts w:ascii="Times New Roman" w:eastAsia="Times New Roman" w:hAnsi="Times New Roman" w:cs="Times New Roman"/>
          <w:bCs/>
        </w:rPr>
      </w:pPr>
      <w:r w:rsidRPr="00664982">
        <w:rPr>
          <w:rFonts w:ascii="Times New Roman" w:eastAsia="Times New Roman" w:hAnsi="Times New Roman" w:cs="Times New Roman"/>
          <w:bCs/>
        </w:rPr>
        <w:t>heti óraszám - nappali munkarend: 2 (1 + 1)</w:t>
      </w:r>
    </w:p>
    <w:p w:rsidR="00664982" w:rsidRPr="00664982" w:rsidRDefault="00664982" w:rsidP="00980876">
      <w:pPr>
        <w:widowControl w:val="0"/>
        <w:numPr>
          <w:ilvl w:val="1"/>
          <w:numId w:val="447"/>
        </w:numPr>
        <w:tabs>
          <w:tab w:val="clear" w:pos="3977"/>
          <w:tab w:val="num" w:pos="709"/>
          <w:tab w:val="num" w:pos="999"/>
          <w:tab w:val="num" w:pos="2069"/>
        </w:tabs>
        <w:spacing w:before="120" w:after="120" w:line="240" w:lineRule="auto"/>
        <w:ind w:left="851" w:hanging="425"/>
        <w:jc w:val="both"/>
        <w:rPr>
          <w:rFonts w:ascii="Times New Roman" w:eastAsia="Times New Roman" w:hAnsi="Times New Roman" w:cs="Times New Roman"/>
          <w:bCs/>
        </w:rPr>
      </w:pPr>
      <w:r w:rsidRPr="00664982">
        <w:rPr>
          <w:rFonts w:ascii="Times New Roman" w:eastAsia="Calibri" w:hAnsi="Times New Roman" w:cs="Times New Roman"/>
        </w:rPr>
        <w:t xml:space="preserve">Az ismeret átadásában alkalmazandó további sajátos módok, jellemzők: </w:t>
      </w:r>
      <w:r w:rsidRPr="00664982">
        <w:rPr>
          <w:rFonts w:ascii="Times New Roman" w:eastAsia="Calibri" w:hAnsi="Times New Roman" w:cs="Times New Roman"/>
          <w:bCs/>
        </w:rPr>
        <w:t>Az ismeretek feldolgozása vegyes tanulási program (blended learning) alapján történik.</w:t>
      </w:r>
    </w:p>
    <w:p w:rsidR="00664982" w:rsidRPr="00664982" w:rsidRDefault="00664982" w:rsidP="00980876">
      <w:pPr>
        <w:widowControl w:val="0"/>
        <w:numPr>
          <w:ilvl w:val="0"/>
          <w:numId w:val="447"/>
        </w:numPr>
        <w:spacing w:before="120" w:after="120" w:line="240" w:lineRule="auto"/>
        <w:ind w:left="426" w:hanging="142"/>
        <w:jc w:val="both"/>
        <w:rPr>
          <w:rFonts w:ascii="Times New Roman" w:eastAsia="Times New Roman" w:hAnsi="Times New Roman" w:cs="Times New Roman"/>
          <w:bCs/>
        </w:rPr>
      </w:pPr>
      <w:r w:rsidRPr="00664982">
        <w:rPr>
          <w:rFonts w:ascii="Times New Roman" w:eastAsia="Times New Roman" w:hAnsi="Times New Roman" w:cs="Times New Roman"/>
          <w:b/>
          <w:bCs/>
        </w:rPr>
        <w:t>A tantárgy szakmai tartalma (magyarul):</w:t>
      </w:r>
      <w:r w:rsidRPr="00664982">
        <w:rPr>
          <w:rFonts w:ascii="Times New Roman" w:eastAsia="Times New Roman" w:hAnsi="Times New Roman" w:cs="Times New Roman"/>
          <w:bCs/>
        </w:rPr>
        <w:t xml:space="preserve"> A javító szakalegység átadás-átvételének ügymenete. A HTE-k ellátási és fenntartási anyagai. Raktározási és leltározási ismeretek. Anyagellátás, és igénylés, utaltsági rendek. Ügydarabok készítése (jelentések, jegyzőkönyvek). Munkaköri leírás tartalma formája. Állománytábla, MAK kód összetétele. Az Ügyeletes tisztnél elhelyezett készenléti menetlevelek kezelése. Különleges, ideiglenes technikai szolgálatok szolgálati intézkedésébe való bedolgozás</w:t>
      </w:r>
    </w:p>
    <w:p w:rsidR="00664982" w:rsidRPr="00664982" w:rsidRDefault="00664982" w:rsidP="00664982">
      <w:pPr>
        <w:widowControl w:val="0"/>
        <w:spacing w:before="120" w:after="120" w:line="240" w:lineRule="auto"/>
        <w:ind w:left="425"/>
        <w:jc w:val="both"/>
        <w:rPr>
          <w:rFonts w:ascii="Times New Roman" w:eastAsia="Times New Roman" w:hAnsi="Times New Roman" w:cs="Times New Roman"/>
          <w:bCs/>
          <w:lang w:val="en-GB"/>
        </w:rPr>
      </w:pPr>
      <w:r w:rsidRPr="00664982">
        <w:rPr>
          <w:rFonts w:ascii="Times New Roman" w:eastAsia="Times New Roman" w:hAnsi="Times New Roman" w:cs="Times New Roman"/>
          <w:b/>
          <w:bCs/>
        </w:rPr>
        <w:t>A tantárgy szakmai tartalma (angolul) (</w:t>
      </w:r>
      <w:r w:rsidRPr="00664982">
        <w:rPr>
          <w:rFonts w:ascii="Times New Roman" w:eastAsia="Times New Roman" w:hAnsi="Times New Roman" w:cs="Times New Roman"/>
          <w:b/>
          <w:bCs/>
          <w:lang w:val="en-US"/>
        </w:rPr>
        <w:t>Course description</w:t>
      </w:r>
      <w:r w:rsidRPr="00664982">
        <w:rPr>
          <w:rFonts w:ascii="Times New Roman" w:eastAsia="Times New Roman" w:hAnsi="Times New Roman" w:cs="Times New Roman"/>
          <w:b/>
          <w:bCs/>
        </w:rPr>
        <w:t xml:space="preserve">): </w:t>
      </w:r>
      <w:r w:rsidRPr="00664982">
        <w:rPr>
          <w:rFonts w:ascii="Times New Roman" w:eastAsia="Times New Roman" w:hAnsi="Times New Roman" w:cs="Times New Roman"/>
          <w:bCs/>
        </w:rPr>
        <w:t>The process of the maintenance unit’s handover. Supply and maintenance materials for military devices. Storage and inventory. Material supply and demand. Creating offical documents (reports, protocols). Content and form of job descriptions. Organisational chart, composition of MAK (job description code). Handling of vehicle usage documents stored by the duty officer.  Application of special temporary technical services.</w:t>
      </w:r>
    </w:p>
    <w:p w:rsidR="00664982" w:rsidRPr="00664982" w:rsidRDefault="00664982" w:rsidP="00980876">
      <w:pPr>
        <w:widowControl w:val="0"/>
        <w:numPr>
          <w:ilvl w:val="0"/>
          <w:numId w:val="447"/>
        </w:numPr>
        <w:spacing w:before="120" w:after="120" w:line="240" w:lineRule="auto"/>
        <w:ind w:left="426" w:hanging="142"/>
        <w:contextualSpacing/>
        <w:jc w:val="both"/>
        <w:rPr>
          <w:rFonts w:ascii="Times New Roman" w:eastAsia="Times New Roman" w:hAnsi="Times New Roman" w:cs="Times New Roman"/>
          <w:bCs/>
        </w:rPr>
      </w:pPr>
      <w:r w:rsidRPr="00664982">
        <w:rPr>
          <w:rFonts w:ascii="Times New Roman" w:eastAsia="Times New Roman" w:hAnsi="Times New Roman" w:cs="Times New Roman"/>
          <w:b/>
          <w:bCs/>
        </w:rPr>
        <w:t xml:space="preserve">Elérendő kompetenciák (magyarul): </w:t>
      </w:r>
    </w:p>
    <w:p w:rsidR="00664982" w:rsidRPr="00664982" w:rsidRDefault="00664982" w:rsidP="00664982">
      <w:pPr>
        <w:widowControl w:val="0"/>
        <w:spacing w:before="120" w:after="120" w:line="240" w:lineRule="auto"/>
        <w:ind w:left="426"/>
        <w:jc w:val="both"/>
        <w:rPr>
          <w:rFonts w:ascii="Times New Roman" w:eastAsia="Times New Roman" w:hAnsi="Times New Roman" w:cs="Times New Roman"/>
          <w:bCs/>
        </w:rPr>
      </w:pPr>
      <w:r w:rsidRPr="00664982">
        <w:rPr>
          <w:rFonts w:ascii="Times New Roman" w:eastAsia="Times New Roman" w:hAnsi="Times New Roman" w:cs="Times New Roman"/>
          <w:b/>
          <w:bCs/>
        </w:rPr>
        <w:t>Tudása:</w:t>
      </w:r>
    </w:p>
    <w:p w:rsidR="00664982" w:rsidRPr="00664982" w:rsidRDefault="00664982"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kern w:val="2"/>
        </w:rPr>
      </w:pPr>
      <w:r w:rsidRPr="00664982">
        <w:rPr>
          <w:rFonts w:ascii="Times New Roman" w:eastAsia="Times New Roman" w:hAnsi="Times New Roman" w:cs="Times New Roman"/>
          <w:bCs/>
        </w:rPr>
        <w:t>Rendelkezik alapvető vezetői ismeretekkel, tisztában van a vezetői kompetenciákkal és a beosztottak eredményes irányításához szükséges alapvető ismeretekkel, valamint a beosztottakat motiváló képességekkel.</w:t>
      </w:r>
    </w:p>
    <w:p w:rsidR="00664982" w:rsidRPr="00664982" w:rsidRDefault="00664982"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kern w:val="2"/>
        </w:rPr>
      </w:pPr>
      <w:r w:rsidRPr="00664982">
        <w:rPr>
          <w:rFonts w:ascii="Times New Roman" w:eastAsia="Times New Roman" w:hAnsi="Times New Roman" w:cs="Times New Roman"/>
          <w:bCs/>
        </w:rPr>
        <w:t>Ismeri és alkalmazni tudja a páncélos- és gépjárműtechnikai eszközök technikai kiszolgálásának tervezéséhez szükséges eljárásokat.</w:t>
      </w:r>
      <w:r w:rsidRPr="00664982">
        <w:rPr>
          <w:rFonts w:ascii="Calibri" w:eastAsia="Calibri" w:hAnsi="Calibri" w:cs="Times New Roman"/>
        </w:rPr>
        <w:t xml:space="preserve"> </w:t>
      </w:r>
      <w:r w:rsidRPr="00664982">
        <w:rPr>
          <w:rFonts w:ascii="Times New Roman" w:eastAsia="Times New Roman" w:hAnsi="Times New Roman" w:cs="Times New Roman"/>
          <w:bCs/>
        </w:rPr>
        <w:t>Ismeri a páncélos- és gépjárműtechnikai eszközök ellátáshoz és fenntartásához szükséges anyagok körét.</w:t>
      </w:r>
    </w:p>
    <w:p w:rsidR="00664982" w:rsidRPr="00664982" w:rsidRDefault="00664982"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kern w:val="2"/>
        </w:rPr>
      </w:pPr>
      <w:r w:rsidRPr="00664982">
        <w:rPr>
          <w:rFonts w:ascii="Times New Roman" w:eastAsia="Times New Roman" w:hAnsi="Times New Roman" w:cs="Times New Roman"/>
          <w:bCs/>
        </w:rPr>
        <w:t>Ismeri a szakfeladatainak ellátásához szükséges munkavédelmi rendszabályokat.</w:t>
      </w:r>
    </w:p>
    <w:p w:rsidR="00664982" w:rsidRDefault="00664982" w:rsidP="00664982">
      <w:pPr>
        <w:widowControl w:val="0"/>
        <w:spacing w:before="120" w:after="120" w:line="240" w:lineRule="auto"/>
        <w:ind w:left="426"/>
        <w:jc w:val="both"/>
        <w:rPr>
          <w:rFonts w:ascii="Times New Roman" w:eastAsia="Times New Roman" w:hAnsi="Times New Roman" w:cs="Times New Roman"/>
          <w:b/>
          <w:bCs/>
        </w:rPr>
      </w:pPr>
    </w:p>
    <w:p w:rsidR="00664982" w:rsidRPr="00664982" w:rsidRDefault="00664982" w:rsidP="00664982">
      <w:pPr>
        <w:widowControl w:val="0"/>
        <w:spacing w:before="120" w:after="120" w:line="240" w:lineRule="auto"/>
        <w:ind w:left="426"/>
        <w:jc w:val="both"/>
        <w:rPr>
          <w:rFonts w:ascii="Times New Roman" w:eastAsia="Times New Roman" w:hAnsi="Times New Roman" w:cs="Times New Roman"/>
          <w:bCs/>
        </w:rPr>
      </w:pPr>
      <w:r w:rsidRPr="00664982">
        <w:rPr>
          <w:rFonts w:ascii="Times New Roman" w:eastAsia="Times New Roman" w:hAnsi="Times New Roman" w:cs="Times New Roman"/>
          <w:b/>
          <w:bCs/>
        </w:rPr>
        <w:lastRenderedPageBreak/>
        <w:t>Képességei:</w:t>
      </w:r>
      <w:r w:rsidRPr="00664982">
        <w:rPr>
          <w:rFonts w:ascii="Times New Roman" w:eastAsia="Times New Roman" w:hAnsi="Times New Roman" w:cs="Times New Roman"/>
          <w:bCs/>
        </w:rPr>
        <w:t xml:space="preserve"> </w:t>
      </w:r>
    </w:p>
    <w:p w:rsidR="00664982" w:rsidRPr="00664982" w:rsidRDefault="00664982"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kern w:val="2"/>
        </w:rPr>
      </w:pPr>
      <w:r w:rsidRPr="00664982">
        <w:rPr>
          <w:rFonts w:ascii="Times New Roman" w:eastAsia="Times New Roman" w:hAnsi="Times New Roman" w:cs="Times New Roman"/>
          <w:bCs/>
        </w:rPr>
        <w:t>Képes a munkaköréhez és feladataihoz kapcsolódó jogszabályi háttér értelmezésére és gyakorlati alkalmazására.</w:t>
      </w:r>
    </w:p>
    <w:p w:rsidR="00664982" w:rsidRPr="00664982" w:rsidRDefault="00664982"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kern w:val="2"/>
        </w:rPr>
      </w:pPr>
      <w:r w:rsidRPr="00664982">
        <w:rPr>
          <w:rFonts w:ascii="Times New Roman" w:eastAsia="Times New Roman" w:hAnsi="Times New Roman" w:cs="Times New Roman"/>
          <w:bCs/>
        </w:rPr>
        <w:t>Képes beosztottjai általános katonai és szakmai vezetésére, munkájuk hatékony megszervezésére.</w:t>
      </w:r>
    </w:p>
    <w:p w:rsidR="00664982" w:rsidRPr="00664982" w:rsidRDefault="00664982"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kern w:val="2"/>
        </w:rPr>
      </w:pPr>
      <w:r w:rsidRPr="00664982">
        <w:rPr>
          <w:rFonts w:ascii="Times New Roman" w:eastAsia="Times New Roman" w:hAnsi="Times New Roman" w:cs="Times New Roman"/>
          <w:bCs/>
        </w:rPr>
        <w:t>Képes a biztonságos munkavégzés feltételeit megteremteni, a biztonságos munkavégzéshez szükséges szabályokat másokkal is betartatni.</w:t>
      </w:r>
    </w:p>
    <w:p w:rsidR="00664982" w:rsidRPr="00664982" w:rsidRDefault="00664982" w:rsidP="00664982">
      <w:pPr>
        <w:widowControl w:val="0"/>
        <w:spacing w:before="120" w:after="120" w:line="240" w:lineRule="auto"/>
        <w:ind w:left="426"/>
        <w:jc w:val="both"/>
        <w:rPr>
          <w:rFonts w:ascii="Times New Roman" w:eastAsia="Times New Roman" w:hAnsi="Times New Roman" w:cs="Times New Roman"/>
          <w:bCs/>
        </w:rPr>
      </w:pPr>
      <w:r w:rsidRPr="00664982">
        <w:rPr>
          <w:rFonts w:ascii="Times New Roman" w:eastAsia="Times New Roman" w:hAnsi="Times New Roman" w:cs="Times New Roman"/>
          <w:b/>
          <w:bCs/>
        </w:rPr>
        <w:t>Attitűdje:</w:t>
      </w:r>
    </w:p>
    <w:p w:rsidR="00664982" w:rsidRPr="00664982" w:rsidRDefault="00664982"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rPr>
      </w:pPr>
      <w:r w:rsidRPr="00664982">
        <w:rPr>
          <w:rFonts w:ascii="Times New Roman" w:eastAsia="Times New Roman" w:hAnsi="Times New Roman" w:cs="Times New Roman"/>
          <w:bCs/>
        </w:rPr>
        <w:t>Feladatai ellátása során együttműködési készség jellemzi, törekszik a beosztottak bevonására a döntési folyamatokba.</w:t>
      </w:r>
    </w:p>
    <w:p w:rsidR="00664982" w:rsidRPr="00664982" w:rsidRDefault="00664982"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rPr>
      </w:pPr>
      <w:r w:rsidRPr="00664982">
        <w:rPr>
          <w:rFonts w:ascii="Times New Roman" w:eastAsia="Times New Roman" w:hAnsi="Times New Roman" w:cs="Times New Roman"/>
          <w:bCs/>
        </w:rPr>
        <w:t>Feladatellátása során törekszik a megfelelő önkontroll, tolerancia, empátia, az előítéletektől mentes gondolkodás és viselkedés tanúsítására.</w:t>
      </w:r>
    </w:p>
    <w:p w:rsidR="00664982" w:rsidRPr="00664982" w:rsidRDefault="00664982"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rPr>
      </w:pPr>
      <w:r w:rsidRPr="00664982">
        <w:rPr>
          <w:rFonts w:ascii="Times New Roman" w:eastAsia="Times New Roman" w:hAnsi="Times New Roman" w:cs="Times New Roman"/>
          <w:bCs/>
        </w:rPr>
        <w:t>Munkájában és emberi kapcsolataiban megbízhatóság jellemzi.</w:t>
      </w:r>
    </w:p>
    <w:p w:rsidR="00664982" w:rsidRPr="00664982" w:rsidRDefault="00664982"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rPr>
      </w:pPr>
      <w:r w:rsidRPr="00664982">
        <w:rPr>
          <w:rFonts w:ascii="Times New Roman" w:eastAsia="Times New Roman" w:hAnsi="Times New Roman" w:cs="Times New Roman"/>
          <w:bCs/>
        </w:rPr>
        <w:t>A minőségi szakmai munkavégzés iránt elkötelezett, azt a pontosságra való törekvés jellemzi.</w:t>
      </w:r>
    </w:p>
    <w:p w:rsidR="00664982" w:rsidRPr="00664982" w:rsidRDefault="00664982"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rPr>
      </w:pPr>
      <w:r w:rsidRPr="00664982">
        <w:rPr>
          <w:rFonts w:ascii="Times New Roman" w:eastAsia="Times New Roman" w:hAnsi="Times New Roman" w:cs="Times New Roman"/>
          <w:bCs/>
        </w:rPr>
        <w:t>Tevékenységét a hatékonyság központú szemlélet jellemzi.</w:t>
      </w:r>
    </w:p>
    <w:p w:rsidR="00664982" w:rsidRPr="00664982" w:rsidRDefault="00664982"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rPr>
      </w:pPr>
      <w:r w:rsidRPr="00664982">
        <w:rPr>
          <w:rFonts w:ascii="Times New Roman" w:eastAsia="Times New Roman" w:hAnsi="Times New Roman" w:cs="Times New Roman"/>
          <w:bCs/>
        </w:rPr>
        <w:t>Törekszik munkája során a vonatkozó szabályok betartására és betartatására.</w:t>
      </w:r>
    </w:p>
    <w:p w:rsidR="00664982" w:rsidRPr="00664982" w:rsidRDefault="00664982"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rPr>
      </w:pPr>
      <w:r w:rsidRPr="00664982">
        <w:rPr>
          <w:rFonts w:ascii="Times New Roman" w:eastAsia="Times New Roman" w:hAnsi="Times New Roman" w:cs="Times New Roman"/>
          <w:bCs/>
        </w:rPr>
        <w:t>Munkáját és emberi kapcsolatait a megbízhatóság jellemzi.</w:t>
      </w:r>
    </w:p>
    <w:p w:rsidR="00664982" w:rsidRPr="00664982" w:rsidRDefault="00664982" w:rsidP="00664982">
      <w:pPr>
        <w:widowControl w:val="0"/>
        <w:spacing w:before="120" w:after="120" w:line="240" w:lineRule="auto"/>
        <w:ind w:left="426"/>
        <w:jc w:val="both"/>
        <w:rPr>
          <w:rFonts w:ascii="Times New Roman" w:eastAsia="Times New Roman" w:hAnsi="Times New Roman" w:cs="Times New Roman"/>
          <w:bCs/>
        </w:rPr>
      </w:pPr>
      <w:r w:rsidRPr="00664982">
        <w:rPr>
          <w:rFonts w:ascii="Times New Roman" w:eastAsia="Times New Roman" w:hAnsi="Times New Roman" w:cs="Times New Roman"/>
          <w:b/>
          <w:bCs/>
        </w:rPr>
        <w:t>Autonómiája és felelőssége:</w:t>
      </w:r>
    </w:p>
    <w:p w:rsidR="00664982" w:rsidRPr="00664982" w:rsidRDefault="00664982"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
          <w:bCs/>
        </w:rPr>
      </w:pPr>
      <w:r w:rsidRPr="00664982">
        <w:rPr>
          <w:rFonts w:ascii="Times New Roman" w:eastAsia="Times New Roman" w:hAnsi="Times New Roman" w:cs="Times New Roman"/>
          <w:bCs/>
        </w:rPr>
        <w:t>Az alegység, illetve egység szintű katonai logisztikai, valamint katonai gazdálkodási folyamatokban képes önállóan döntéseket hozni, azokat felelősséggel, a jogszabályi keretek figyelembevételével végrehajtani.</w:t>
      </w:r>
    </w:p>
    <w:p w:rsidR="00664982" w:rsidRPr="00664982" w:rsidRDefault="00664982"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
          <w:bCs/>
        </w:rPr>
      </w:pPr>
      <w:r w:rsidRPr="00664982">
        <w:rPr>
          <w:rFonts w:ascii="Times New Roman" w:eastAsia="Times New Roman" w:hAnsi="Times New Roman" w:cs="Times New Roman"/>
          <w:bCs/>
        </w:rPr>
        <w:t>Tisztában van döntéseinek, tevékenységének a műszaki eszközökre, illetve a gazdálkodási fegyelemre gyakorolt hatásaival, következményeivel. Felelősséget vállal a vezetése alatt álló beosztottjainak szakmai tevékenységéért.</w:t>
      </w:r>
    </w:p>
    <w:p w:rsidR="00664982" w:rsidRPr="00664982" w:rsidRDefault="00664982"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
          <w:bCs/>
        </w:rPr>
      </w:pPr>
      <w:r w:rsidRPr="00664982">
        <w:rPr>
          <w:rFonts w:ascii="Times New Roman" w:eastAsia="Times New Roman" w:hAnsi="Times New Roman" w:cs="Times New Roman"/>
          <w:bCs/>
        </w:rPr>
        <w:t>Képes szakfeladatait önállóan végezni, saját munkáját hatékonyan megszervezni és végrehajtani.</w:t>
      </w:r>
    </w:p>
    <w:p w:rsidR="00664982" w:rsidRPr="00664982" w:rsidRDefault="00664982"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
          <w:bCs/>
        </w:rPr>
      </w:pPr>
      <w:r w:rsidRPr="00664982">
        <w:rPr>
          <w:rFonts w:ascii="Times New Roman" w:eastAsia="Times New Roman" w:hAnsi="Times New Roman" w:cs="Times New Roman"/>
          <w:bCs/>
        </w:rPr>
        <w:t>Képes alárendeltjeinek feladatait megszervezni és meghatározni, valamint elvégzett munkájukat szakmai szempontok alapján ellenőrizni.</w:t>
      </w:r>
    </w:p>
    <w:p w:rsidR="00664982" w:rsidRPr="00664982" w:rsidRDefault="00664982"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
          <w:bCs/>
        </w:rPr>
      </w:pPr>
      <w:r w:rsidRPr="00664982">
        <w:rPr>
          <w:rFonts w:ascii="Times New Roman" w:eastAsia="Times New Roman" w:hAnsi="Times New Roman" w:cs="Times New Roman"/>
          <w:bCs/>
        </w:rPr>
        <w:t>A páncélos- és gépjárműtechnikai eszközök technikai kiszolgálása és javítása során képes elemzések végrehajtása után a legmegfelelőbb döntéseket meghozni, amely döntésekért a szakmai felelősséget vállalja.</w:t>
      </w:r>
    </w:p>
    <w:p w:rsidR="00664982" w:rsidRPr="00664982" w:rsidRDefault="00664982"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
          <w:bCs/>
        </w:rPr>
      </w:pPr>
      <w:r w:rsidRPr="00664982">
        <w:rPr>
          <w:rFonts w:ascii="Times New Roman" w:eastAsia="Times New Roman" w:hAnsi="Times New Roman" w:cs="Times New Roman"/>
          <w:bCs/>
        </w:rPr>
        <w:t>Együttműködés és felelősség jellemzi szakterületének szakembereivel szemben. Szakterületén belül képes rendszer-szemléletűen gondolkodni.</w:t>
      </w:r>
      <w:r w:rsidRPr="00664982">
        <w:rPr>
          <w:rFonts w:ascii="Times New Roman" w:eastAsia="Times New Roman" w:hAnsi="Times New Roman" w:cs="Times New Roman"/>
          <w:b/>
          <w:bCs/>
        </w:rPr>
        <w:t xml:space="preserve"> </w:t>
      </w:r>
    </w:p>
    <w:p w:rsidR="00664982" w:rsidRPr="00664982" w:rsidRDefault="00664982" w:rsidP="00664982">
      <w:pPr>
        <w:widowControl w:val="0"/>
        <w:spacing w:before="120" w:after="120" w:line="240" w:lineRule="auto"/>
        <w:ind w:left="426"/>
        <w:jc w:val="both"/>
        <w:rPr>
          <w:rFonts w:ascii="Times New Roman" w:eastAsia="Times New Roman" w:hAnsi="Times New Roman" w:cs="Times New Roman"/>
          <w:b/>
          <w:bCs/>
          <w:lang w:val="en-US"/>
        </w:rPr>
      </w:pPr>
      <w:r w:rsidRPr="00664982">
        <w:rPr>
          <w:rFonts w:ascii="Times New Roman" w:eastAsia="Times New Roman" w:hAnsi="Times New Roman" w:cs="Times New Roman"/>
          <w:b/>
          <w:bCs/>
        </w:rPr>
        <w:t>Elérendő kompetenciák (angolul) (</w:t>
      </w:r>
      <w:r w:rsidRPr="00664982">
        <w:rPr>
          <w:rFonts w:ascii="Times New Roman" w:eastAsia="Times New Roman" w:hAnsi="Times New Roman" w:cs="Times New Roman"/>
          <w:b/>
          <w:bCs/>
          <w:lang w:val="en-US"/>
        </w:rPr>
        <w:t xml:space="preserve">Competences – English): </w:t>
      </w:r>
    </w:p>
    <w:p w:rsidR="00664982" w:rsidRPr="00664982" w:rsidRDefault="00664982" w:rsidP="00664982">
      <w:pPr>
        <w:widowControl w:val="0"/>
        <w:spacing w:before="120" w:after="120" w:line="240" w:lineRule="auto"/>
        <w:ind w:left="426"/>
        <w:jc w:val="both"/>
        <w:rPr>
          <w:rFonts w:ascii="Times New Roman" w:eastAsia="Times New Roman" w:hAnsi="Times New Roman" w:cs="Times New Roman"/>
          <w:lang w:val="en-GB"/>
        </w:rPr>
      </w:pPr>
      <w:r w:rsidRPr="00664982">
        <w:rPr>
          <w:rFonts w:ascii="Times New Roman" w:eastAsia="Times New Roman" w:hAnsi="Times New Roman" w:cs="Times New Roman"/>
          <w:b/>
          <w:lang w:val="en-GB"/>
        </w:rPr>
        <w:t>Knowledge</w:t>
      </w:r>
      <w:r w:rsidRPr="00664982">
        <w:rPr>
          <w:rFonts w:ascii="Times New Roman" w:eastAsia="Times New Roman" w:hAnsi="Times New Roman" w:cs="Times New Roman"/>
          <w:lang w:val="en-GB"/>
        </w:rPr>
        <w:t>:</w:t>
      </w:r>
    </w:p>
    <w:p w:rsidR="00664982" w:rsidRPr="00664982" w:rsidRDefault="00664982"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kern w:val="2"/>
        </w:rPr>
      </w:pPr>
      <w:r w:rsidRPr="00664982">
        <w:rPr>
          <w:rFonts w:ascii="Times New Roman" w:eastAsia="Times New Roman" w:hAnsi="Times New Roman" w:cs="Times New Roman"/>
          <w:lang w:val="en-GB"/>
        </w:rPr>
        <w:t>Possesses the basic leadership skills and competences and the basic knowledge needed to effectively manage subordinates and also the ability to motivate them.</w:t>
      </w:r>
    </w:p>
    <w:p w:rsidR="00664982" w:rsidRPr="00664982" w:rsidRDefault="00664982"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kern w:val="2"/>
        </w:rPr>
      </w:pPr>
      <w:r w:rsidRPr="00664982">
        <w:rPr>
          <w:rFonts w:ascii="Times New Roman" w:eastAsia="Times New Roman" w:hAnsi="Times New Roman" w:cs="Times New Roman"/>
          <w:lang w:val="en-GB"/>
        </w:rPr>
        <w:t>Knows and is able to apply the processes required for planning the technical maintenance of armored vehicles.</w:t>
      </w:r>
    </w:p>
    <w:p w:rsidR="00664982" w:rsidRPr="00664982" w:rsidRDefault="00664982"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kern w:val="2"/>
        </w:rPr>
      </w:pPr>
      <w:r w:rsidRPr="00664982">
        <w:rPr>
          <w:rFonts w:ascii="Times New Roman" w:eastAsia="Times New Roman" w:hAnsi="Times New Roman" w:cs="Times New Roman"/>
          <w:lang w:val="en-GB"/>
        </w:rPr>
        <w:t>Knows the range of materials required for the maintenance of the armored vehicles.</w:t>
      </w:r>
    </w:p>
    <w:p w:rsidR="00664982" w:rsidRPr="00664982" w:rsidRDefault="00664982"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kern w:val="2"/>
        </w:rPr>
      </w:pPr>
      <w:r w:rsidRPr="00664982">
        <w:rPr>
          <w:rFonts w:ascii="Times New Roman" w:eastAsia="Times New Roman" w:hAnsi="Times New Roman" w:cs="Times New Roman"/>
          <w:lang w:val="en-GB"/>
        </w:rPr>
        <w:t>Knows the work safety regulations required for fulfilling his/her professional tasks.</w:t>
      </w:r>
    </w:p>
    <w:p w:rsidR="00664982" w:rsidRPr="00664982" w:rsidRDefault="00664982" w:rsidP="00664982">
      <w:pPr>
        <w:widowControl w:val="0"/>
        <w:spacing w:before="120" w:after="120" w:line="240" w:lineRule="auto"/>
        <w:ind w:left="426"/>
        <w:jc w:val="both"/>
        <w:rPr>
          <w:rFonts w:ascii="Times New Roman" w:eastAsia="Times New Roman" w:hAnsi="Times New Roman" w:cs="Times New Roman"/>
          <w:lang w:val="en-GB"/>
        </w:rPr>
      </w:pPr>
      <w:r w:rsidRPr="00664982">
        <w:rPr>
          <w:rFonts w:ascii="Times New Roman" w:eastAsia="Times New Roman" w:hAnsi="Times New Roman" w:cs="Times New Roman"/>
          <w:b/>
          <w:lang w:val="en-GB"/>
        </w:rPr>
        <w:t>Capabilities</w:t>
      </w:r>
      <w:r w:rsidRPr="00664982">
        <w:rPr>
          <w:rFonts w:ascii="Times New Roman" w:eastAsia="Times New Roman" w:hAnsi="Times New Roman" w:cs="Times New Roman"/>
          <w:lang w:val="en-GB"/>
        </w:rPr>
        <w:t>:</w:t>
      </w:r>
    </w:p>
    <w:p w:rsidR="00664982" w:rsidRPr="00664982" w:rsidRDefault="00664982"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kern w:val="2"/>
        </w:rPr>
      </w:pPr>
      <w:r w:rsidRPr="00664982">
        <w:rPr>
          <w:rFonts w:ascii="Times New Roman" w:eastAsia="Times New Roman" w:hAnsi="Times New Roman" w:cs="Times New Roman"/>
          <w:lang w:val="en-GB"/>
        </w:rPr>
        <w:t>Is capable of interpreting and applying in practice the legal background related to his/her job and duties.</w:t>
      </w:r>
    </w:p>
    <w:p w:rsidR="00664982" w:rsidRPr="00664982" w:rsidRDefault="00664982"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kern w:val="2"/>
        </w:rPr>
      </w:pPr>
      <w:r w:rsidRPr="00664982">
        <w:rPr>
          <w:rFonts w:ascii="Times New Roman" w:eastAsia="Times New Roman" w:hAnsi="Times New Roman" w:cs="Times New Roman"/>
          <w:lang w:val="en-GB"/>
        </w:rPr>
        <w:t>Is capable of providing both military and professional leadership for his/her subordinates and effectively and efficiently organizing their work.</w:t>
      </w:r>
    </w:p>
    <w:p w:rsidR="00664982" w:rsidRPr="00664982" w:rsidRDefault="00664982"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kern w:val="2"/>
        </w:rPr>
      </w:pPr>
      <w:r w:rsidRPr="00664982">
        <w:rPr>
          <w:rFonts w:ascii="Times New Roman" w:eastAsia="Times New Roman" w:hAnsi="Times New Roman" w:cs="Times New Roman"/>
          <w:lang w:val="en-GB"/>
        </w:rPr>
        <w:t>Is capable of preparing the conditions of a safe working environment and making others adhere to the rules of work safety.</w:t>
      </w:r>
    </w:p>
    <w:p w:rsidR="00664982" w:rsidRPr="00664982" w:rsidRDefault="00664982" w:rsidP="00664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425"/>
        <w:jc w:val="both"/>
        <w:rPr>
          <w:rFonts w:ascii="Times New Roman" w:eastAsia="Times New Roman" w:hAnsi="Times New Roman" w:cs="Times New Roman"/>
          <w:lang w:val="en-GB"/>
        </w:rPr>
      </w:pPr>
      <w:r w:rsidRPr="00664982">
        <w:rPr>
          <w:rFonts w:ascii="Times New Roman" w:eastAsia="Times New Roman" w:hAnsi="Times New Roman" w:cs="Times New Roman"/>
          <w:b/>
          <w:lang w:val="en-GB"/>
        </w:rPr>
        <w:t>Attitude:</w:t>
      </w:r>
    </w:p>
    <w:p w:rsidR="00664982" w:rsidRPr="00664982" w:rsidRDefault="00664982"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rPr>
      </w:pPr>
      <w:r w:rsidRPr="00664982">
        <w:rPr>
          <w:rFonts w:ascii="Times New Roman" w:eastAsia="Times New Roman" w:hAnsi="Times New Roman" w:cs="Times New Roman"/>
          <w:lang w:val="en-GB"/>
        </w:rPr>
        <w:t>While performing his/her duties he/she is characterized by a willingness to cooperate with his/her subordinates and strives to involve them in decision-making processes.</w:t>
      </w:r>
    </w:p>
    <w:p w:rsidR="00664982" w:rsidRPr="00664982" w:rsidRDefault="00664982"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rPr>
      </w:pPr>
      <w:r w:rsidRPr="00664982">
        <w:rPr>
          <w:rFonts w:ascii="Times New Roman" w:eastAsia="Times New Roman" w:hAnsi="Times New Roman" w:cs="Times New Roman"/>
          <w:lang w:val="en-GB"/>
        </w:rPr>
        <w:lastRenderedPageBreak/>
        <w:t>In the course of his duties he tries to demonstrate proper self-control, tolerance, empathy, a non-biased way of thinking and behaviour.</w:t>
      </w:r>
    </w:p>
    <w:p w:rsidR="00664982" w:rsidRPr="00664982" w:rsidRDefault="00664982"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rPr>
      </w:pPr>
      <w:r w:rsidRPr="00664982">
        <w:rPr>
          <w:rFonts w:ascii="Times New Roman" w:eastAsia="Times New Roman" w:hAnsi="Times New Roman" w:cs="Times New Roman"/>
          <w:lang w:val="en-GB"/>
        </w:rPr>
        <w:t>He/She is reliable in both his/her work and human relationships.</w:t>
      </w:r>
    </w:p>
    <w:p w:rsidR="00664982" w:rsidRPr="00664982" w:rsidRDefault="00664982"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rPr>
      </w:pPr>
      <w:r w:rsidRPr="00664982">
        <w:rPr>
          <w:rFonts w:ascii="Times New Roman" w:eastAsia="Times New Roman" w:hAnsi="Times New Roman" w:cs="Times New Roman"/>
          <w:lang w:val="en-GB"/>
        </w:rPr>
        <w:t>He/She is committed to accuracy and high quality at work.</w:t>
      </w:r>
    </w:p>
    <w:p w:rsidR="00664982" w:rsidRPr="00664982" w:rsidRDefault="00664982"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rPr>
      </w:pPr>
      <w:r w:rsidRPr="00664982">
        <w:rPr>
          <w:rFonts w:ascii="Times New Roman" w:eastAsia="Times New Roman" w:hAnsi="Times New Roman" w:cs="Times New Roman"/>
          <w:lang w:val="en-GB"/>
        </w:rPr>
        <w:t>His/Her activities are characterized by an efficiency-oriented approach.</w:t>
      </w:r>
    </w:p>
    <w:p w:rsidR="00664982" w:rsidRPr="00664982" w:rsidRDefault="00664982"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rPr>
      </w:pPr>
      <w:r w:rsidRPr="00664982">
        <w:rPr>
          <w:rFonts w:ascii="Times New Roman" w:eastAsia="Times New Roman" w:hAnsi="Times New Roman" w:cs="Times New Roman"/>
          <w:lang w:val="en-GB"/>
        </w:rPr>
        <w:t>He/she aims to adhere to the respective rules and make others follow them as well.</w:t>
      </w:r>
    </w:p>
    <w:p w:rsidR="00664982" w:rsidRPr="00664982" w:rsidRDefault="00664982"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rPr>
      </w:pPr>
      <w:r w:rsidRPr="00664982">
        <w:rPr>
          <w:rFonts w:ascii="Times New Roman" w:eastAsia="Times New Roman" w:hAnsi="Times New Roman" w:cs="Times New Roman"/>
          <w:lang w:val="en-GB"/>
        </w:rPr>
        <w:t>His/her work and relationships can be described by loyalty and reliability.</w:t>
      </w:r>
    </w:p>
    <w:p w:rsidR="00664982" w:rsidRPr="00664982" w:rsidRDefault="00664982" w:rsidP="00664982">
      <w:pPr>
        <w:widowControl w:val="0"/>
        <w:spacing w:before="120" w:after="120" w:line="240" w:lineRule="auto"/>
        <w:ind w:left="426"/>
        <w:jc w:val="both"/>
        <w:rPr>
          <w:rFonts w:ascii="Times New Roman" w:eastAsia="Times New Roman" w:hAnsi="Times New Roman" w:cs="Times New Roman"/>
          <w:b/>
          <w:lang w:val="en-GB"/>
        </w:rPr>
      </w:pPr>
      <w:r w:rsidRPr="00664982">
        <w:rPr>
          <w:rFonts w:ascii="Times New Roman" w:eastAsia="Times New Roman" w:hAnsi="Times New Roman" w:cs="Times New Roman"/>
          <w:b/>
          <w:lang w:val="en-GB"/>
        </w:rPr>
        <w:t>Autonomy and responsibility:</w:t>
      </w:r>
    </w:p>
    <w:p w:rsidR="00664982" w:rsidRPr="00664982" w:rsidRDefault="00664982"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kern w:val="2"/>
        </w:rPr>
      </w:pPr>
      <w:r w:rsidRPr="00664982">
        <w:rPr>
          <w:rFonts w:ascii="Times New Roman" w:eastAsia="Times New Roman" w:hAnsi="Times New Roman" w:cs="Times New Roman"/>
          <w:bCs/>
        </w:rPr>
        <w:t>He/She is able to make autonomous decisions in military logistics and military management processes at unit and subunit level, and implement them with responsibility and within the legal framework.</w:t>
      </w:r>
    </w:p>
    <w:p w:rsidR="00664982" w:rsidRPr="00664982" w:rsidRDefault="00664982"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kern w:val="2"/>
        </w:rPr>
      </w:pPr>
      <w:r w:rsidRPr="00664982">
        <w:rPr>
          <w:rFonts w:ascii="Times New Roman" w:eastAsia="Times New Roman" w:hAnsi="Times New Roman" w:cs="Times New Roman"/>
          <w:bCs/>
        </w:rPr>
        <w:t>He/She is aware of the impact of his/her decisions and activities on technical equipment and business discipline.</w:t>
      </w:r>
    </w:p>
    <w:p w:rsidR="00664982" w:rsidRPr="00664982" w:rsidRDefault="00664982"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kern w:val="2"/>
        </w:rPr>
      </w:pPr>
      <w:r w:rsidRPr="00664982">
        <w:rPr>
          <w:rFonts w:ascii="Times New Roman" w:eastAsia="Times New Roman" w:hAnsi="Times New Roman" w:cs="Times New Roman"/>
          <w:bCs/>
        </w:rPr>
        <w:t>He/She takes responsibility for the professional work of his/her subordinates.</w:t>
      </w:r>
    </w:p>
    <w:p w:rsidR="00664982" w:rsidRPr="00664982" w:rsidRDefault="00664982"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kern w:val="2"/>
        </w:rPr>
      </w:pPr>
      <w:r w:rsidRPr="00664982">
        <w:rPr>
          <w:rFonts w:ascii="Times New Roman" w:eastAsia="Times New Roman" w:hAnsi="Times New Roman" w:cs="Times New Roman"/>
          <w:bCs/>
        </w:rPr>
        <w:t>Is capable of independently fulfilling his/her professional tasks as well as effectively organizing and executing his/her own work.</w:t>
      </w:r>
    </w:p>
    <w:p w:rsidR="00664982" w:rsidRPr="00664982" w:rsidRDefault="00664982"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kern w:val="2"/>
        </w:rPr>
      </w:pPr>
      <w:r w:rsidRPr="00664982">
        <w:rPr>
          <w:rFonts w:ascii="Times New Roman" w:eastAsia="Times New Roman" w:hAnsi="Times New Roman" w:cs="Times New Roman"/>
          <w:bCs/>
        </w:rPr>
        <w:t xml:space="preserve">Is capable of organizing and determining the tasks of his/her subordinates as well as controlling their work based on professional aspects. </w:t>
      </w:r>
    </w:p>
    <w:p w:rsidR="00664982" w:rsidRPr="00664982" w:rsidRDefault="00664982"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kern w:val="2"/>
        </w:rPr>
      </w:pPr>
      <w:r w:rsidRPr="00664982">
        <w:rPr>
          <w:rFonts w:ascii="Times New Roman" w:eastAsia="Times New Roman" w:hAnsi="Times New Roman" w:cs="Times New Roman"/>
          <w:bCs/>
        </w:rPr>
        <w:t>He/she is cooperative and responsible towards the professionals of his/her field. Is capable of thinking in a system approach within his/her own field.</w:t>
      </w:r>
      <w:r w:rsidRPr="00664982">
        <w:rPr>
          <w:rFonts w:ascii="Times New Roman" w:eastAsia="Times New Roman" w:hAnsi="Times New Roman" w:cs="Times New Roman"/>
          <w:bCs/>
          <w:kern w:val="2"/>
        </w:rPr>
        <w:t xml:space="preserve"> </w:t>
      </w:r>
    </w:p>
    <w:p w:rsidR="00664982" w:rsidRPr="00664982" w:rsidRDefault="00664982" w:rsidP="00664982">
      <w:pPr>
        <w:widowControl w:val="0"/>
        <w:spacing w:before="120" w:after="120" w:line="240" w:lineRule="auto"/>
        <w:ind w:left="426"/>
        <w:jc w:val="both"/>
        <w:rPr>
          <w:rFonts w:ascii="Times New Roman" w:eastAsia="Times New Roman" w:hAnsi="Times New Roman" w:cs="Times New Roman"/>
          <w:lang w:val="en-GB"/>
        </w:rPr>
      </w:pPr>
    </w:p>
    <w:p w:rsidR="00664982" w:rsidRPr="00664982" w:rsidRDefault="00664982" w:rsidP="00980876">
      <w:pPr>
        <w:widowControl w:val="0"/>
        <w:numPr>
          <w:ilvl w:val="0"/>
          <w:numId w:val="447"/>
        </w:numPr>
        <w:tabs>
          <w:tab w:val="num" w:pos="567"/>
        </w:tabs>
        <w:spacing w:before="120" w:after="120" w:line="240" w:lineRule="auto"/>
        <w:ind w:left="426" w:hanging="142"/>
        <w:jc w:val="both"/>
        <w:rPr>
          <w:rFonts w:ascii="Times New Roman" w:eastAsia="Times New Roman" w:hAnsi="Times New Roman" w:cs="Times New Roman"/>
          <w:bCs/>
          <w:i/>
        </w:rPr>
      </w:pPr>
      <w:r w:rsidRPr="00664982">
        <w:rPr>
          <w:rFonts w:ascii="Times New Roman" w:eastAsia="Times New Roman" w:hAnsi="Times New Roman" w:cs="Times New Roman"/>
          <w:b/>
          <w:bCs/>
        </w:rPr>
        <w:t xml:space="preserve">Előtanulmányi követelmények: </w:t>
      </w:r>
      <w:r w:rsidRPr="00664982">
        <w:rPr>
          <w:rFonts w:ascii="Times New Roman" w:eastAsia="Times New Roman" w:hAnsi="Times New Roman" w:cs="Times New Roman"/>
          <w:bCs/>
        </w:rPr>
        <w:t>-</w:t>
      </w:r>
    </w:p>
    <w:p w:rsidR="00664982" w:rsidRPr="00664982" w:rsidRDefault="00664982" w:rsidP="00980876">
      <w:pPr>
        <w:widowControl w:val="0"/>
        <w:numPr>
          <w:ilvl w:val="0"/>
          <w:numId w:val="447"/>
        </w:numPr>
        <w:spacing w:before="120" w:after="120" w:line="240" w:lineRule="auto"/>
        <w:ind w:left="426" w:hanging="142"/>
        <w:jc w:val="both"/>
        <w:rPr>
          <w:rFonts w:ascii="Times New Roman" w:eastAsia="Times New Roman" w:hAnsi="Times New Roman" w:cs="Times New Roman"/>
          <w:b/>
          <w:bCs/>
        </w:rPr>
      </w:pPr>
      <w:r w:rsidRPr="00664982">
        <w:rPr>
          <w:rFonts w:ascii="Times New Roman" w:eastAsia="Times New Roman" w:hAnsi="Times New Roman" w:cs="Times New Roman"/>
          <w:b/>
          <w:bCs/>
        </w:rPr>
        <w:t>A tantárgy tananyagának leírása, tematika. Description of the subject, curriculum (magyarul, angolul - English):</w:t>
      </w:r>
    </w:p>
    <w:p w:rsidR="00664982" w:rsidRPr="00664982" w:rsidRDefault="00664982" w:rsidP="00980876">
      <w:pPr>
        <w:widowControl w:val="0"/>
        <w:numPr>
          <w:ilvl w:val="1"/>
          <w:numId w:val="447"/>
        </w:numPr>
        <w:tabs>
          <w:tab w:val="clear" w:pos="3977"/>
          <w:tab w:val="left" w:pos="709"/>
          <w:tab w:val="num" w:pos="2069"/>
        </w:tabs>
        <w:spacing w:before="120" w:after="120" w:line="240" w:lineRule="auto"/>
        <w:ind w:left="1134" w:hanging="708"/>
        <w:jc w:val="both"/>
        <w:rPr>
          <w:rFonts w:ascii="Times New Roman" w:eastAsia="Times New Roman" w:hAnsi="Times New Roman" w:cs="Times New Roman"/>
          <w:b/>
        </w:rPr>
      </w:pPr>
      <w:r w:rsidRPr="00664982">
        <w:rPr>
          <w:rFonts w:ascii="Times New Roman" w:eastAsia="Times New Roman" w:hAnsi="Times New Roman" w:cs="Times New Roman"/>
          <w:bCs/>
        </w:rPr>
        <w:t>A javító szakalegység átadás-átvételének ügymenete</w:t>
      </w:r>
      <w:r w:rsidRPr="00664982">
        <w:rPr>
          <w:rFonts w:ascii="Times New Roman" w:eastAsia="Times New Roman" w:hAnsi="Times New Roman" w:cs="Times New Roman"/>
          <w:bCs/>
          <w:i/>
          <w:iCs/>
        </w:rPr>
        <w:t>. (The process of the maintenance unit’s handover.)</w:t>
      </w:r>
    </w:p>
    <w:p w:rsidR="00664982" w:rsidRPr="00664982" w:rsidRDefault="00664982" w:rsidP="00980876">
      <w:pPr>
        <w:widowControl w:val="0"/>
        <w:numPr>
          <w:ilvl w:val="1"/>
          <w:numId w:val="447"/>
        </w:numPr>
        <w:tabs>
          <w:tab w:val="clear" w:pos="3977"/>
          <w:tab w:val="left" w:pos="709"/>
          <w:tab w:val="num" w:pos="1398"/>
        </w:tabs>
        <w:spacing w:before="120" w:after="120" w:line="240" w:lineRule="auto"/>
        <w:ind w:left="1134" w:hanging="708"/>
        <w:jc w:val="both"/>
        <w:rPr>
          <w:rFonts w:ascii="Times New Roman" w:eastAsia="Times New Roman" w:hAnsi="Times New Roman" w:cs="Times New Roman"/>
          <w:b/>
        </w:rPr>
      </w:pPr>
      <w:r w:rsidRPr="00664982">
        <w:rPr>
          <w:rFonts w:ascii="Times New Roman" w:eastAsia="Calibri" w:hAnsi="Times New Roman" w:cs="Times New Roman"/>
        </w:rPr>
        <w:t xml:space="preserve">A HTE-k ellátási és fenntartási anyagai. </w:t>
      </w:r>
      <w:r w:rsidRPr="00664982">
        <w:rPr>
          <w:rFonts w:ascii="Times New Roman" w:eastAsia="Calibri" w:hAnsi="Times New Roman" w:cs="Times New Roman"/>
          <w:i/>
          <w:iCs/>
        </w:rPr>
        <w:t>(Supply and maintenance materials for military devices.)</w:t>
      </w:r>
    </w:p>
    <w:p w:rsidR="00664982" w:rsidRPr="00664982" w:rsidRDefault="00664982" w:rsidP="00980876">
      <w:pPr>
        <w:widowControl w:val="0"/>
        <w:numPr>
          <w:ilvl w:val="1"/>
          <w:numId w:val="447"/>
        </w:numPr>
        <w:tabs>
          <w:tab w:val="clear" w:pos="3977"/>
          <w:tab w:val="left" w:pos="709"/>
          <w:tab w:val="num" w:pos="2069"/>
        </w:tabs>
        <w:spacing w:before="120" w:after="120" w:line="240" w:lineRule="auto"/>
        <w:ind w:left="1134" w:hanging="708"/>
        <w:jc w:val="both"/>
        <w:rPr>
          <w:rFonts w:ascii="Times New Roman" w:eastAsia="Times New Roman" w:hAnsi="Times New Roman" w:cs="Times New Roman"/>
          <w:b/>
        </w:rPr>
      </w:pPr>
      <w:r w:rsidRPr="00664982">
        <w:rPr>
          <w:rFonts w:ascii="Times New Roman" w:eastAsia="Times New Roman" w:hAnsi="Times New Roman" w:cs="Times New Roman"/>
          <w:bCs/>
        </w:rPr>
        <w:t xml:space="preserve">Raktározási és leltározási ismeretek. </w:t>
      </w:r>
      <w:r w:rsidRPr="00664982">
        <w:rPr>
          <w:rFonts w:ascii="Times New Roman" w:eastAsia="Times New Roman" w:hAnsi="Times New Roman" w:cs="Times New Roman"/>
          <w:bCs/>
          <w:i/>
          <w:iCs/>
        </w:rPr>
        <w:t>(Storage and inventory.)</w:t>
      </w:r>
    </w:p>
    <w:p w:rsidR="00664982" w:rsidRPr="00664982" w:rsidRDefault="00664982" w:rsidP="00980876">
      <w:pPr>
        <w:widowControl w:val="0"/>
        <w:numPr>
          <w:ilvl w:val="1"/>
          <w:numId w:val="447"/>
        </w:numPr>
        <w:tabs>
          <w:tab w:val="clear" w:pos="3977"/>
          <w:tab w:val="left" w:pos="709"/>
          <w:tab w:val="num" w:pos="1398"/>
        </w:tabs>
        <w:spacing w:before="120" w:after="120" w:line="240" w:lineRule="auto"/>
        <w:ind w:left="1134" w:hanging="708"/>
        <w:jc w:val="both"/>
        <w:rPr>
          <w:rFonts w:ascii="Times New Roman" w:eastAsia="Times New Roman" w:hAnsi="Times New Roman" w:cs="Times New Roman"/>
          <w:b/>
        </w:rPr>
      </w:pPr>
      <w:r w:rsidRPr="00664982">
        <w:rPr>
          <w:rFonts w:ascii="Times New Roman" w:eastAsia="Times New Roman" w:hAnsi="Times New Roman" w:cs="Times New Roman"/>
          <w:bCs/>
        </w:rPr>
        <w:t xml:space="preserve">Veszélyes anyagok kezelése, tárolása, nyilvántartása. </w:t>
      </w:r>
      <w:r w:rsidRPr="00664982">
        <w:rPr>
          <w:rFonts w:ascii="Times New Roman" w:eastAsia="Times New Roman" w:hAnsi="Times New Roman" w:cs="Times New Roman"/>
          <w:bCs/>
          <w:i/>
          <w:iCs/>
        </w:rPr>
        <w:t>(Handling, storage and registration of hazardous materials.)</w:t>
      </w:r>
    </w:p>
    <w:p w:rsidR="00664982" w:rsidRPr="00664982" w:rsidRDefault="00664982" w:rsidP="00980876">
      <w:pPr>
        <w:widowControl w:val="0"/>
        <w:numPr>
          <w:ilvl w:val="1"/>
          <w:numId w:val="447"/>
        </w:numPr>
        <w:tabs>
          <w:tab w:val="clear" w:pos="3977"/>
          <w:tab w:val="left" w:pos="709"/>
          <w:tab w:val="num" w:pos="2069"/>
        </w:tabs>
        <w:spacing w:before="120" w:after="120" w:line="240" w:lineRule="auto"/>
        <w:ind w:left="1134" w:hanging="708"/>
        <w:jc w:val="both"/>
        <w:rPr>
          <w:rFonts w:ascii="Times New Roman" w:eastAsia="Times New Roman" w:hAnsi="Times New Roman" w:cs="Times New Roman"/>
          <w:b/>
        </w:rPr>
      </w:pPr>
      <w:r w:rsidRPr="00664982">
        <w:rPr>
          <w:rFonts w:ascii="Times New Roman" w:eastAsia="Times New Roman" w:hAnsi="Times New Roman" w:cs="Times New Roman"/>
          <w:bCs/>
        </w:rPr>
        <w:t>Anyagellátás, és igénylés, utaltsági rendek</w:t>
      </w:r>
      <w:r w:rsidRPr="00664982">
        <w:rPr>
          <w:rFonts w:ascii="Times New Roman" w:eastAsia="Times New Roman" w:hAnsi="Times New Roman" w:cs="Times New Roman"/>
          <w:bCs/>
          <w:i/>
          <w:iCs/>
        </w:rPr>
        <w:t>. (Material supply and demand.)</w:t>
      </w:r>
      <w:r w:rsidRPr="00664982">
        <w:rPr>
          <w:rFonts w:ascii="Times New Roman" w:eastAsia="Times New Roman" w:hAnsi="Times New Roman" w:cs="Times New Roman"/>
          <w:bCs/>
        </w:rPr>
        <w:t xml:space="preserve"> </w:t>
      </w:r>
    </w:p>
    <w:p w:rsidR="00664982" w:rsidRPr="00B14410" w:rsidRDefault="00664982" w:rsidP="00980876">
      <w:pPr>
        <w:widowControl w:val="0"/>
        <w:numPr>
          <w:ilvl w:val="1"/>
          <w:numId w:val="447"/>
        </w:numPr>
        <w:tabs>
          <w:tab w:val="clear" w:pos="3977"/>
          <w:tab w:val="left" w:pos="709"/>
        </w:tabs>
        <w:spacing w:before="120" w:after="120" w:line="240" w:lineRule="auto"/>
        <w:ind w:left="1134" w:hanging="708"/>
        <w:jc w:val="both"/>
        <w:rPr>
          <w:rFonts w:ascii="Times New Roman" w:eastAsia="Times New Roman" w:hAnsi="Times New Roman" w:cs="Times New Roman"/>
        </w:rPr>
      </w:pPr>
      <w:r w:rsidRPr="00664982">
        <w:rPr>
          <w:rFonts w:ascii="Times New Roman" w:eastAsia="Times New Roman" w:hAnsi="Times New Roman" w:cs="Times New Roman"/>
          <w:bCs/>
        </w:rPr>
        <w:t>Zárthelyi</w:t>
      </w:r>
      <w:r>
        <w:rPr>
          <w:rFonts w:ascii="Times New Roman" w:hAnsi="Times New Roman" w:cs="Times New Roman"/>
        </w:rPr>
        <w:t xml:space="preserve"> dolgozat</w:t>
      </w:r>
      <w:r>
        <w:rPr>
          <w:rFonts w:ascii="Times New Roman" w:hAnsi="Times New Roman" w:cs="Times New Roman"/>
          <w:b/>
        </w:rPr>
        <w:t xml:space="preserve"> </w:t>
      </w:r>
      <w:r w:rsidRPr="00253511">
        <w:rPr>
          <w:rFonts w:ascii="Times New Roman" w:hAnsi="Times New Roman" w:cs="Times New Roman"/>
          <w:i/>
        </w:rPr>
        <w:t>(Paper)</w:t>
      </w:r>
    </w:p>
    <w:p w:rsidR="00664982" w:rsidRPr="00664982" w:rsidRDefault="00664982" w:rsidP="00980876">
      <w:pPr>
        <w:widowControl w:val="0"/>
        <w:numPr>
          <w:ilvl w:val="1"/>
          <w:numId w:val="447"/>
        </w:numPr>
        <w:tabs>
          <w:tab w:val="clear" w:pos="3977"/>
          <w:tab w:val="left" w:pos="709"/>
          <w:tab w:val="num" w:pos="2069"/>
        </w:tabs>
        <w:spacing w:before="120" w:after="120" w:line="240" w:lineRule="auto"/>
        <w:ind w:left="1134" w:hanging="708"/>
        <w:jc w:val="both"/>
        <w:rPr>
          <w:rFonts w:ascii="Times New Roman" w:eastAsia="Times New Roman" w:hAnsi="Times New Roman" w:cs="Times New Roman"/>
        </w:rPr>
      </w:pPr>
      <w:r w:rsidRPr="00664982">
        <w:rPr>
          <w:rFonts w:ascii="Times New Roman" w:eastAsia="Times New Roman" w:hAnsi="Times New Roman" w:cs="Times New Roman"/>
          <w:bCs/>
        </w:rPr>
        <w:t>Ügydarabok készítése (jelentések, jegyzőkönyvek</w:t>
      </w:r>
      <w:r w:rsidRPr="00664982">
        <w:rPr>
          <w:rFonts w:ascii="Times New Roman" w:eastAsia="Times New Roman" w:hAnsi="Times New Roman" w:cs="Times New Roman"/>
          <w:bCs/>
          <w:i/>
          <w:iCs/>
        </w:rPr>
        <w:t>). (Creating offical documents (reports, protocols).)</w:t>
      </w:r>
    </w:p>
    <w:p w:rsidR="00664982" w:rsidRPr="00664982" w:rsidRDefault="00664982" w:rsidP="00980876">
      <w:pPr>
        <w:widowControl w:val="0"/>
        <w:numPr>
          <w:ilvl w:val="1"/>
          <w:numId w:val="447"/>
        </w:numPr>
        <w:tabs>
          <w:tab w:val="clear" w:pos="3977"/>
          <w:tab w:val="left" w:pos="709"/>
          <w:tab w:val="num" w:pos="2069"/>
        </w:tabs>
        <w:spacing w:before="120" w:after="120" w:line="240" w:lineRule="auto"/>
        <w:ind w:left="1134" w:hanging="708"/>
        <w:jc w:val="both"/>
        <w:rPr>
          <w:rFonts w:ascii="Times New Roman" w:eastAsia="Times New Roman" w:hAnsi="Times New Roman" w:cs="Times New Roman"/>
          <w:b/>
        </w:rPr>
      </w:pPr>
      <w:r w:rsidRPr="00664982">
        <w:rPr>
          <w:rFonts w:ascii="Times New Roman" w:eastAsia="Times New Roman" w:hAnsi="Times New Roman" w:cs="Times New Roman"/>
          <w:bCs/>
        </w:rPr>
        <w:t xml:space="preserve">Munkaköri leírás tartalma formája. </w:t>
      </w:r>
      <w:r w:rsidRPr="00664982">
        <w:rPr>
          <w:rFonts w:ascii="Times New Roman" w:eastAsia="Times New Roman" w:hAnsi="Times New Roman" w:cs="Times New Roman"/>
          <w:bCs/>
          <w:i/>
          <w:iCs/>
        </w:rPr>
        <w:t>(Content and form of job descriptions.)</w:t>
      </w:r>
      <w:r w:rsidRPr="00664982">
        <w:rPr>
          <w:rFonts w:ascii="Times New Roman" w:eastAsia="Times New Roman" w:hAnsi="Times New Roman" w:cs="Times New Roman"/>
          <w:bCs/>
        </w:rPr>
        <w:t xml:space="preserve"> (2/1)</w:t>
      </w:r>
    </w:p>
    <w:p w:rsidR="00664982" w:rsidRPr="00664982" w:rsidRDefault="00664982" w:rsidP="00980876">
      <w:pPr>
        <w:widowControl w:val="0"/>
        <w:numPr>
          <w:ilvl w:val="1"/>
          <w:numId w:val="447"/>
        </w:numPr>
        <w:tabs>
          <w:tab w:val="clear" w:pos="3977"/>
          <w:tab w:val="left" w:pos="709"/>
          <w:tab w:val="num" w:pos="2069"/>
        </w:tabs>
        <w:spacing w:before="120" w:after="120" w:line="240" w:lineRule="auto"/>
        <w:ind w:left="1134" w:hanging="708"/>
        <w:jc w:val="both"/>
        <w:rPr>
          <w:rFonts w:ascii="Times New Roman" w:eastAsia="Times New Roman" w:hAnsi="Times New Roman" w:cs="Times New Roman"/>
          <w:b/>
        </w:rPr>
      </w:pPr>
      <w:r w:rsidRPr="00664982">
        <w:rPr>
          <w:rFonts w:ascii="Times New Roman" w:eastAsia="Times New Roman" w:hAnsi="Times New Roman" w:cs="Times New Roman"/>
          <w:bCs/>
        </w:rPr>
        <w:t xml:space="preserve">Állománytábla, MAK kód összetétele. </w:t>
      </w:r>
      <w:r w:rsidRPr="00664982">
        <w:rPr>
          <w:rFonts w:ascii="Times New Roman" w:eastAsia="Times New Roman" w:hAnsi="Times New Roman" w:cs="Times New Roman"/>
          <w:bCs/>
          <w:i/>
          <w:iCs/>
        </w:rPr>
        <w:t>(Organisational chart, composition of MAK (job description code).)</w:t>
      </w:r>
    </w:p>
    <w:p w:rsidR="00664982" w:rsidRPr="00664982" w:rsidRDefault="00664982" w:rsidP="00980876">
      <w:pPr>
        <w:widowControl w:val="0"/>
        <w:numPr>
          <w:ilvl w:val="1"/>
          <w:numId w:val="447"/>
        </w:numPr>
        <w:tabs>
          <w:tab w:val="clear" w:pos="3977"/>
          <w:tab w:val="left" w:pos="709"/>
          <w:tab w:val="num" w:pos="2069"/>
        </w:tabs>
        <w:spacing w:before="120" w:after="120" w:line="240" w:lineRule="auto"/>
        <w:ind w:left="1134" w:hanging="708"/>
        <w:jc w:val="both"/>
        <w:rPr>
          <w:rFonts w:ascii="Times New Roman" w:eastAsia="Times New Roman" w:hAnsi="Times New Roman" w:cs="Times New Roman"/>
          <w:b/>
        </w:rPr>
      </w:pPr>
      <w:r w:rsidRPr="00664982">
        <w:rPr>
          <w:rFonts w:ascii="Times New Roman" w:eastAsia="Times New Roman" w:hAnsi="Times New Roman" w:cs="Times New Roman"/>
          <w:bCs/>
        </w:rPr>
        <w:t xml:space="preserve"> Az Ügyeletes tisztnél elhelyezett készenléti menetlevelek kezelése. </w:t>
      </w:r>
      <w:r w:rsidRPr="00664982">
        <w:rPr>
          <w:rFonts w:ascii="Times New Roman" w:eastAsia="Times New Roman" w:hAnsi="Times New Roman" w:cs="Times New Roman"/>
          <w:bCs/>
          <w:i/>
          <w:iCs/>
        </w:rPr>
        <w:t>(Handling of vehicle usage documents stored by the duty officer.)</w:t>
      </w:r>
    </w:p>
    <w:p w:rsidR="00664982" w:rsidRPr="00664982" w:rsidRDefault="00664982" w:rsidP="00980876">
      <w:pPr>
        <w:widowControl w:val="0"/>
        <w:numPr>
          <w:ilvl w:val="1"/>
          <w:numId w:val="447"/>
        </w:numPr>
        <w:tabs>
          <w:tab w:val="clear" w:pos="3977"/>
          <w:tab w:val="left" w:pos="709"/>
          <w:tab w:val="num" w:pos="2069"/>
        </w:tabs>
        <w:spacing w:before="120" w:after="120" w:line="240" w:lineRule="auto"/>
        <w:ind w:left="1134" w:hanging="708"/>
        <w:jc w:val="both"/>
        <w:rPr>
          <w:rFonts w:ascii="Times New Roman" w:eastAsia="Times New Roman" w:hAnsi="Times New Roman" w:cs="Times New Roman"/>
          <w:b/>
        </w:rPr>
      </w:pPr>
      <w:r w:rsidRPr="00664982">
        <w:rPr>
          <w:rFonts w:ascii="Times New Roman" w:eastAsia="Times New Roman" w:hAnsi="Times New Roman" w:cs="Times New Roman"/>
          <w:bCs/>
        </w:rPr>
        <w:t xml:space="preserve">Különleges, ideiglenes technikai szolgálatok szolgálati intézkedésébe való bedolgozás. </w:t>
      </w:r>
      <w:r w:rsidRPr="00664982">
        <w:rPr>
          <w:rFonts w:ascii="Times New Roman" w:eastAsia="Times New Roman" w:hAnsi="Times New Roman" w:cs="Times New Roman"/>
          <w:bCs/>
          <w:i/>
          <w:iCs/>
        </w:rPr>
        <w:t>(Application of special temporary technical services.)</w:t>
      </w:r>
    </w:p>
    <w:p w:rsidR="00664982" w:rsidRPr="00664982" w:rsidRDefault="00664982" w:rsidP="00980876">
      <w:pPr>
        <w:widowControl w:val="0"/>
        <w:numPr>
          <w:ilvl w:val="1"/>
          <w:numId w:val="447"/>
        </w:numPr>
        <w:tabs>
          <w:tab w:val="clear" w:pos="3977"/>
          <w:tab w:val="left" w:pos="709"/>
          <w:tab w:val="num" w:pos="2069"/>
        </w:tabs>
        <w:spacing w:before="120" w:after="120" w:line="240" w:lineRule="auto"/>
        <w:ind w:left="1134" w:hanging="708"/>
        <w:jc w:val="both"/>
        <w:rPr>
          <w:rFonts w:ascii="Times New Roman" w:eastAsia="Times New Roman" w:hAnsi="Times New Roman" w:cs="Times New Roman"/>
        </w:rPr>
      </w:pPr>
      <w:r w:rsidRPr="00664982">
        <w:rPr>
          <w:rFonts w:ascii="Times New Roman" w:eastAsia="Times New Roman" w:hAnsi="Times New Roman" w:cs="Times New Roman"/>
          <w:bCs/>
        </w:rPr>
        <w:t>Zárthelyi</w:t>
      </w:r>
      <w:r>
        <w:rPr>
          <w:rFonts w:ascii="Times New Roman" w:hAnsi="Times New Roman" w:cs="Times New Roman"/>
        </w:rPr>
        <w:t xml:space="preserve"> dolgozat</w:t>
      </w:r>
      <w:r>
        <w:rPr>
          <w:rFonts w:ascii="Times New Roman" w:hAnsi="Times New Roman" w:cs="Times New Roman"/>
          <w:b/>
        </w:rPr>
        <w:t xml:space="preserve"> </w:t>
      </w:r>
      <w:r w:rsidRPr="00253511">
        <w:rPr>
          <w:rFonts w:ascii="Times New Roman" w:hAnsi="Times New Roman" w:cs="Times New Roman"/>
          <w:i/>
        </w:rPr>
        <w:t>(Paper)</w:t>
      </w:r>
    </w:p>
    <w:p w:rsidR="00664982" w:rsidRPr="00664982" w:rsidRDefault="00664982" w:rsidP="00980876">
      <w:pPr>
        <w:widowControl w:val="0"/>
        <w:numPr>
          <w:ilvl w:val="0"/>
          <w:numId w:val="447"/>
        </w:numPr>
        <w:tabs>
          <w:tab w:val="num" w:pos="360"/>
        </w:tabs>
        <w:spacing w:before="120" w:after="120" w:line="240" w:lineRule="auto"/>
        <w:ind w:left="426" w:hanging="142"/>
        <w:jc w:val="both"/>
        <w:rPr>
          <w:rFonts w:ascii="Times New Roman" w:eastAsia="Times New Roman" w:hAnsi="Times New Roman" w:cs="Times New Roman"/>
          <w:bCs/>
        </w:rPr>
      </w:pPr>
      <w:r w:rsidRPr="00664982">
        <w:rPr>
          <w:rFonts w:ascii="Times New Roman" w:eastAsia="Times New Roman" w:hAnsi="Times New Roman" w:cs="Times New Roman"/>
          <w:b/>
          <w:bCs/>
        </w:rPr>
        <w:t xml:space="preserve">A tantárgy meghirdetésének gyakorisága/a tantervben történő félévi elhelyezkedése: </w:t>
      </w:r>
      <w:r w:rsidRPr="00664982">
        <w:rPr>
          <w:rFonts w:ascii="Times New Roman" w:eastAsia="Times New Roman" w:hAnsi="Times New Roman" w:cs="Times New Roman"/>
          <w:bCs/>
        </w:rPr>
        <w:t>5. félév</w:t>
      </w:r>
    </w:p>
    <w:p w:rsidR="00664982" w:rsidRPr="00664982" w:rsidRDefault="00664982" w:rsidP="00980876">
      <w:pPr>
        <w:widowControl w:val="0"/>
        <w:numPr>
          <w:ilvl w:val="0"/>
          <w:numId w:val="447"/>
        </w:numPr>
        <w:tabs>
          <w:tab w:val="num" w:pos="360"/>
        </w:tabs>
        <w:spacing w:before="120" w:after="120" w:line="240" w:lineRule="auto"/>
        <w:ind w:left="426" w:hanging="142"/>
        <w:jc w:val="both"/>
        <w:rPr>
          <w:rFonts w:ascii="Times New Roman" w:eastAsia="Times New Roman" w:hAnsi="Times New Roman" w:cs="Times New Roman"/>
          <w:bCs/>
        </w:rPr>
      </w:pPr>
      <w:r w:rsidRPr="00664982">
        <w:rPr>
          <w:rFonts w:ascii="Times New Roman" w:eastAsia="Times New Roman" w:hAnsi="Times New Roman" w:cs="Times New Roman"/>
          <w:b/>
          <w:bCs/>
        </w:rPr>
        <w:t>A tanórákon való részvétel követelményei, az elfogadható hiányzások mértéke, a távolmaradás pótlásának lehetősége:</w:t>
      </w:r>
      <w:r w:rsidRPr="00664982">
        <w:rPr>
          <w:rFonts w:ascii="Times New Roman" w:eastAsia="Times New Roman" w:hAnsi="Times New Roman" w:cs="Times New Roman"/>
          <w:bCs/>
        </w:rPr>
        <w:t xml:space="preserve"> A tanórákat csak a kurzusra eredményesen jelentkezett hallgatók látogathatják. Az aláírás megszerzésének szempontjából az elfogadható hiányzás </w:t>
      </w:r>
      <w:r w:rsidRPr="00664982">
        <w:rPr>
          <w:rFonts w:ascii="Times New Roman" w:eastAsia="Times New Roman" w:hAnsi="Times New Roman" w:cs="Times New Roman"/>
          <w:bCs/>
        </w:rPr>
        <w:lastRenderedPageBreak/>
        <w:t>mértéke nem haladhatja meg a tanórák 30%-át, ellenkező esetben az aláírást meg kell tagadni. A hiányzás pótolható az oktató által kijelölt témakörben beadott, legalább elégségesre értékelt házidolgozattal. Az aláírás pótlása a TVSZ-ben megfogalmazott módon lehetséges.</w:t>
      </w:r>
    </w:p>
    <w:p w:rsidR="00664982" w:rsidRPr="00664982" w:rsidRDefault="00664982" w:rsidP="00980876">
      <w:pPr>
        <w:widowControl w:val="0"/>
        <w:numPr>
          <w:ilvl w:val="0"/>
          <w:numId w:val="447"/>
        </w:numPr>
        <w:tabs>
          <w:tab w:val="num" w:pos="360"/>
        </w:tabs>
        <w:spacing w:before="120" w:after="120" w:line="240" w:lineRule="auto"/>
        <w:ind w:left="426" w:hanging="142"/>
        <w:jc w:val="both"/>
        <w:rPr>
          <w:rFonts w:ascii="Times New Roman" w:eastAsia="Times New Roman" w:hAnsi="Times New Roman" w:cs="Times New Roman"/>
          <w:bCs/>
        </w:rPr>
      </w:pPr>
      <w:r w:rsidRPr="00664982">
        <w:rPr>
          <w:rFonts w:ascii="Times New Roman" w:eastAsia="Times New Roman" w:hAnsi="Times New Roman" w:cs="Times New Roman"/>
          <w:b/>
        </w:rPr>
        <w:t>Félévközi feladatok, ismeretek ellenőrzésének rendje:</w:t>
      </w:r>
      <w:r w:rsidRPr="00664982">
        <w:rPr>
          <w:rFonts w:ascii="Times New Roman" w:eastAsia="Times New Roman" w:hAnsi="Times New Roman" w:cs="Times New Roman"/>
          <w:bCs/>
        </w:rPr>
        <w:t xml:space="preserve"> Az ismeretek ellenőrzése két zárthelyi dolgozat megírása alapján történik. A zárthelyi dolgozatok témái a 12.1.</w:t>
      </w:r>
      <w:r>
        <w:rPr>
          <w:rFonts w:ascii="Times New Roman" w:eastAsia="Times New Roman" w:hAnsi="Times New Roman" w:cs="Times New Roman"/>
          <w:bCs/>
        </w:rPr>
        <w:t>–12.5</w:t>
      </w:r>
      <w:r w:rsidRPr="00664982">
        <w:rPr>
          <w:rFonts w:ascii="Times New Roman" w:eastAsia="Times New Roman" w:hAnsi="Times New Roman" w:cs="Times New Roman"/>
          <w:bCs/>
        </w:rPr>
        <w:t>. és a 12.</w:t>
      </w:r>
      <w:r>
        <w:rPr>
          <w:rFonts w:ascii="Times New Roman" w:eastAsia="Times New Roman" w:hAnsi="Times New Roman" w:cs="Times New Roman"/>
          <w:bCs/>
        </w:rPr>
        <w:t>7</w:t>
      </w:r>
      <w:r w:rsidRPr="00664982">
        <w:rPr>
          <w:rFonts w:ascii="Times New Roman" w:eastAsia="Times New Roman" w:hAnsi="Times New Roman" w:cs="Times New Roman"/>
          <w:bCs/>
        </w:rPr>
        <w:t>.–12.1</w:t>
      </w:r>
      <w:r>
        <w:rPr>
          <w:rFonts w:ascii="Times New Roman" w:eastAsia="Times New Roman" w:hAnsi="Times New Roman" w:cs="Times New Roman"/>
          <w:bCs/>
        </w:rPr>
        <w:t>1</w:t>
      </w:r>
      <w:r w:rsidRPr="00664982">
        <w:rPr>
          <w:rFonts w:ascii="Times New Roman" w:eastAsia="Times New Roman" w:hAnsi="Times New Roman" w:cs="Times New Roman"/>
          <w:bCs/>
        </w:rPr>
        <w:t>. tantárgyrészekből a kötelező irodalmak anyagából, illetve az előadásokon elhangzott ismeretanyagból kell összeállítani. Az érdemjegyek pontszámait a kiadott feladatlap tartalmazza. A dolgozatban teszt és esszé jellegű kérdések egyaránt szerepelhetnek. A zárthelyi dolgozat értékelése ötfokozatú értékelés. A zárthelyi írásbeli dolgozat értékelése az elért maximális pontszám 60%-ig elégtelen; 61–70%-a között elégséges; 71–80%-a között közepes; 81–90%-a között jó; e felett jeles. Eredménytelen zárthelyi dolgozat kétszer javítható. A félévközi jegyet az elért eredmények kerekített matematikai átlaga képezi. A bármely zárthelyi dolgozatból vagy beadandó feladatból kapott elégtelen (1) osztályzat aláírás megtagadást jelent.  A 14. pontban említett beadandó dolgozat a hiányzást ellentételező feladat, a zárthelyi dolgozatokat nem helyettesíti.</w:t>
      </w:r>
    </w:p>
    <w:p w:rsidR="00664982" w:rsidRPr="00664982" w:rsidRDefault="00664982" w:rsidP="00980876">
      <w:pPr>
        <w:widowControl w:val="0"/>
        <w:numPr>
          <w:ilvl w:val="0"/>
          <w:numId w:val="447"/>
        </w:numPr>
        <w:spacing w:before="120" w:after="120" w:line="240" w:lineRule="auto"/>
        <w:ind w:left="426" w:hanging="142"/>
        <w:jc w:val="both"/>
        <w:rPr>
          <w:rFonts w:ascii="Times New Roman" w:eastAsia="Times New Roman" w:hAnsi="Times New Roman" w:cs="Times New Roman"/>
          <w:b/>
          <w:bCs/>
        </w:rPr>
      </w:pPr>
      <w:r w:rsidRPr="00664982">
        <w:rPr>
          <w:rFonts w:ascii="Times New Roman" w:eastAsia="Times New Roman" w:hAnsi="Times New Roman" w:cs="Times New Roman"/>
          <w:b/>
          <w:bCs/>
        </w:rPr>
        <w:t xml:space="preserve">Az értékelés, az aláírás és a kreditek megszerzésének pontos feltételei: </w:t>
      </w:r>
    </w:p>
    <w:p w:rsidR="00664982" w:rsidRPr="00664982" w:rsidRDefault="00664982" w:rsidP="00664982">
      <w:pPr>
        <w:widowControl w:val="0"/>
        <w:spacing w:before="120" w:after="120" w:line="240" w:lineRule="auto"/>
        <w:ind w:left="426"/>
        <w:jc w:val="both"/>
        <w:rPr>
          <w:rFonts w:ascii="Times New Roman" w:eastAsia="Times New Roman" w:hAnsi="Times New Roman" w:cs="Times New Roman"/>
          <w:bCs/>
        </w:rPr>
      </w:pPr>
      <w:r w:rsidRPr="00664982">
        <w:rPr>
          <w:rFonts w:ascii="Times New Roman" w:eastAsia="Times New Roman" w:hAnsi="Times New Roman" w:cs="Times New Roman"/>
          <w:b/>
          <w:bCs/>
        </w:rPr>
        <w:t xml:space="preserve">16.1.: Az aláírás megszerzésének feltételei: </w:t>
      </w:r>
      <w:r w:rsidRPr="00664982">
        <w:rPr>
          <w:rFonts w:ascii="Times New Roman" w:eastAsia="Calibri" w:hAnsi="Times New Roman" w:cs="Times New Roman"/>
          <w:bCs/>
        </w:rPr>
        <w:t>Az aláírás megszerzésének feltétele a 14. pontban meghatározott arányú részvétel a foglalkozásokon és a 15. pontban meghatározott félévközi feladatok legalább elégséges teljesítése.</w:t>
      </w:r>
    </w:p>
    <w:p w:rsidR="00664982" w:rsidRPr="00664982" w:rsidRDefault="00664982" w:rsidP="00664982">
      <w:pPr>
        <w:widowControl w:val="0"/>
        <w:spacing w:before="120" w:after="120" w:line="240" w:lineRule="auto"/>
        <w:ind w:left="426"/>
        <w:jc w:val="both"/>
        <w:rPr>
          <w:rFonts w:ascii="Times New Roman" w:eastAsia="Times New Roman" w:hAnsi="Times New Roman" w:cs="Times New Roman"/>
          <w:bCs/>
        </w:rPr>
      </w:pPr>
      <w:r w:rsidRPr="00664982">
        <w:rPr>
          <w:rFonts w:ascii="Times New Roman" w:eastAsia="Times New Roman" w:hAnsi="Times New Roman" w:cs="Times New Roman"/>
          <w:b/>
          <w:bCs/>
        </w:rPr>
        <w:t>16.2.: Az értékelés:</w:t>
      </w:r>
      <w:r w:rsidRPr="00664982">
        <w:rPr>
          <w:rFonts w:ascii="Times New Roman" w:eastAsia="Times New Roman" w:hAnsi="Times New Roman" w:cs="Times New Roman"/>
          <w:bCs/>
        </w:rPr>
        <w:t xml:space="preserve"> évközi értékelés, ötfokozatú értékelés. Az évközi értékelést az elért eredmények kerekített matematikai átlaga képezi. </w:t>
      </w:r>
    </w:p>
    <w:p w:rsidR="00664982" w:rsidRPr="00664982" w:rsidRDefault="00664982" w:rsidP="00664982">
      <w:pPr>
        <w:widowControl w:val="0"/>
        <w:spacing w:before="120" w:after="120" w:line="240" w:lineRule="auto"/>
        <w:ind w:left="426"/>
        <w:rPr>
          <w:rFonts w:ascii="Times New Roman" w:eastAsia="Times New Roman" w:hAnsi="Times New Roman" w:cs="Times New Roman"/>
          <w:bCs/>
        </w:rPr>
      </w:pPr>
      <w:r w:rsidRPr="00664982">
        <w:rPr>
          <w:rFonts w:ascii="Times New Roman" w:eastAsia="Times New Roman" w:hAnsi="Times New Roman" w:cs="Times New Roman"/>
          <w:b/>
          <w:bCs/>
        </w:rPr>
        <w:t>16.3.: A kreditek megszerzésének feltételei:</w:t>
      </w:r>
      <w:r w:rsidRPr="00664982">
        <w:rPr>
          <w:rFonts w:ascii="Times New Roman" w:eastAsia="Times New Roman" w:hAnsi="Times New Roman" w:cs="Times New Roman"/>
          <w:bCs/>
        </w:rPr>
        <w:t xml:space="preserve"> Az aláírás, valamint a félévközi jegy megszerzése.</w:t>
      </w:r>
    </w:p>
    <w:p w:rsidR="00664982" w:rsidRPr="00664982" w:rsidRDefault="00664982" w:rsidP="00980876">
      <w:pPr>
        <w:widowControl w:val="0"/>
        <w:numPr>
          <w:ilvl w:val="0"/>
          <w:numId w:val="447"/>
        </w:numPr>
        <w:tabs>
          <w:tab w:val="num" w:pos="360"/>
        </w:tabs>
        <w:spacing w:before="120" w:after="120" w:line="240" w:lineRule="auto"/>
        <w:ind w:left="426" w:hanging="142"/>
        <w:jc w:val="both"/>
        <w:rPr>
          <w:rFonts w:ascii="Times New Roman" w:eastAsia="Times New Roman" w:hAnsi="Times New Roman" w:cs="Times New Roman"/>
          <w:bCs/>
        </w:rPr>
      </w:pPr>
      <w:r w:rsidRPr="00664982">
        <w:rPr>
          <w:rFonts w:ascii="Times New Roman" w:eastAsia="Times New Roman" w:hAnsi="Times New Roman" w:cs="Times New Roman"/>
          <w:b/>
          <w:bCs/>
        </w:rPr>
        <w:t>Irodalomjegyzék:</w:t>
      </w:r>
    </w:p>
    <w:p w:rsidR="00664982" w:rsidRPr="00664982" w:rsidRDefault="00664982" w:rsidP="00980876">
      <w:pPr>
        <w:widowControl w:val="0"/>
        <w:numPr>
          <w:ilvl w:val="1"/>
          <w:numId w:val="447"/>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b/>
          <w:bCs/>
        </w:rPr>
      </w:pPr>
      <w:r w:rsidRPr="00664982">
        <w:rPr>
          <w:rFonts w:ascii="Times New Roman" w:eastAsia="Times New Roman" w:hAnsi="Times New Roman" w:cs="Times New Roman"/>
          <w:b/>
          <w:bCs/>
        </w:rPr>
        <w:t>Kötelező irodalom:</w:t>
      </w:r>
    </w:p>
    <w:p w:rsidR="00664982" w:rsidRPr="00664982" w:rsidRDefault="00664982" w:rsidP="00980876">
      <w:pPr>
        <w:widowControl w:val="0"/>
        <w:numPr>
          <w:ilvl w:val="0"/>
          <w:numId w:val="797"/>
        </w:numPr>
        <w:spacing w:after="0" w:line="240" w:lineRule="auto"/>
        <w:jc w:val="both"/>
        <w:rPr>
          <w:rFonts w:ascii="Times New Roman" w:eastAsia="Times New Roman" w:hAnsi="Times New Roman" w:cs="Times New Roman"/>
        </w:rPr>
      </w:pPr>
      <w:r w:rsidRPr="00664982">
        <w:rPr>
          <w:rFonts w:ascii="Times New Roman" w:eastAsia="Times New Roman" w:hAnsi="Times New Roman" w:cs="Times New Roman"/>
        </w:rPr>
        <w:t>Gjmű/2. Gépjármű-igénybevételi szabályzat. A Magyar Honvédség kiadványa, 2015.</w:t>
      </w:r>
    </w:p>
    <w:p w:rsidR="00664982" w:rsidRPr="00664982" w:rsidRDefault="00664982" w:rsidP="00980876">
      <w:pPr>
        <w:widowControl w:val="0"/>
        <w:numPr>
          <w:ilvl w:val="0"/>
          <w:numId w:val="797"/>
        </w:numPr>
        <w:spacing w:after="0" w:line="240" w:lineRule="auto"/>
        <w:jc w:val="both"/>
        <w:rPr>
          <w:rFonts w:ascii="Times New Roman" w:eastAsia="Times New Roman" w:hAnsi="Times New Roman" w:cs="Times New Roman"/>
        </w:rPr>
      </w:pPr>
      <w:r w:rsidRPr="00664982">
        <w:rPr>
          <w:rFonts w:ascii="Times New Roman" w:eastAsia="Times New Roman" w:hAnsi="Times New Roman" w:cs="Times New Roman"/>
        </w:rPr>
        <w:t>Ált/40. A Magyar Honvédség egységes iratkezelési szabályzata</w:t>
      </w:r>
    </w:p>
    <w:p w:rsidR="00664982" w:rsidRPr="00664982" w:rsidRDefault="00664982" w:rsidP="00980876">
      <w:pPr>
        <w:numPr>
          <w:ilvl w:val="0"/>
          <w:numId w:val="797"/>
        </w:numPr>
        <w:contextualSpacing/>
        <w:jc w:val="both"/>
        <w:rPr>
          <w:rFonts w:ascii="Times New Roman" w:eastAsia="Times New Roman" w:hAnsi="Times New Roman" w:cs="Times New Roman"/>
        </w:rPr>
      </w:pPr>
      <w:r w:rsidRPr="00664982">
        <w:rPr>
          <w:rFonts w:ascii="Times New Roman" w:eastAsia="Times New Roman" w:hAnsi="Times New Roman" w:cs="Times New Roman"/>
        </w:rPr>
        <w:t>Ált/23. A Magyar Honvédség szolgálati szabályzata.</w:t>
      </w:r>
    </w:p>
    <w:p w:rsidR="00664982" w:rsidRPr="00664982" w:rsidRDefault="00664982" w:rsidP="00980876">
      <w:pPr>
        <w:numPr>
          <w:ilvl w:val="0"/>
          <w:numId w:val="797"/>
        </w:numPr>
        <w:contextualSpacing/>
        <w:jc w:val="both"/>
        <w:rPr>
          <w:rFonts w:ascii="Times New Roman" w:eastAsia="Times New Roman" w:hAnsi="Times New Roman" w:cs="Times New Roman"/>
        </w:rPr>
      </w:pPr>
      <w:r w:rsidRPr="00664982">
        <w:rPr>
          <w:rFonts w:ascii="Times New Roman" w:eastAsia="Times New Roman" w:hAnsi="Times New Roman" w:cs="Times New Roman"/>
        </w:rPr>
        <w:t xml:space="preserve">A Magyar Honvédség főbb haditechnikai eszközei, 237/431 nyt. számú kiadvány MH ÖHP, 2011. </w:t>
      </w:r>
    </w:p>
    <w:p w:rsidR="00664982" w:rsidRPr="00664982" w:rsidRDefault="00664982" w:rsidP="00980876">
      <w:pPr>
        <w:widowControl w:val="0"/>
        <w:numPr>
          <w:ilvl w:val="1"/>
          <w:numId w:val="447"/>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b/>
          <w:bCs/>
        </w:rPr>
      </w:pPr>
      <w:r w:rsidRPr="00664982">
        <w:rPr>
          <w:rFonts w:ascii="Times New Roman" w:eastAsia="Times New Roman" w:hAnsi="Times New Roman" w:cs="Times New Roman"/>
          <w:b/>
          <w:bCs/>
        </w:rPr>
        <w:t>Ajánlott irodalom:</w:t>
      </w:r>
    </w:p>
    <w:p w:rsidR="00664982" w:rsidRPr="00664982" w:rsidRDefault="00664982" w:rsidP="00980876">
      <w:pPr>
        <w:widowControl w:val="0"/>
        <w:numPr>
          <w:ilvl w:val="0"/>
          <w:numId w:val="446"/>
        </w:numPr>
        <w:spacing w:after="0" w:line="240" w:lineRule="auto"/>
        <w:ind w:left="714" w:hanging="357"/>
        <w:contextualSpacing/>
        <w:jc w:val="both"/>
        <w:rPr>
          <w:rFonts w:ascii="Times New Roman" w:eastAsia="Times New Roman" w:hAnsi="Times New Roman" w:cs="Times New Roman"/>
        </w:rPr>
      </w:pPr>
      <w:r w:rsidRPr="00664982">
        <w:rPr>
          <w:rFonts w:ascii="Times New Roman" w:eastAsia="Times New Roman" w:hAnsi="Times New Roman" w:cs="Times New Roman"/>
        </w:rPr>
        <w:t>A tervszerű fenntartási rendszer és az amerikai forrásból származó páncélos- és gépjármű-technikai eszközök karbantartási rendszere, Honvédségi szemle 143: 4 pp. 85-92.  8 p. (2015)</w:t>
      </w:r>
    </w:p>
    <w:p w:rsidR="00664982" w:rsidRPr="00664982" w:rsidRDefault="00664982" w:rsidP="00980876">
      <w:pPr>
        <w:numPr>
          <w:ilvl w:val="0"/>
          <w:numId w:val="446"/>
        </w:numPr>
        <w:ind w:left="714" w:hanging="357"/>
        <w:contextualSpacing/>
        <w:jc w:val="both"/>
        <w:rPr>
          <w:rFonts w:ascii="Times New Roman" w:eastAsia="Times New Roman" w:hAnsi="Times New Roman" w:cs="Times New Roman"/>
        </w:rPr>
      </w:pPr>
      <w:r w:rsidRPr="00664982">
        <w:rPr>
          <w:rFonts w:ascii="Times New Roman" w:eastAsia="Times New Roman" w:hAnsi="Times New Roman" w:cs="Times New Roman"/>
        </w:rPr>
        <w:t>A hadfelszerelések életciklusával kapcsolatos fogalmak elemzése a fontosabb magyar és angol nyelvű kifejezések megfeleltetése Hadmérnök 9: 3 pp. 267-273.  7 p. 2014. ISSN 1788-1929</w:t>
      </w:r>
    </w:p>
    <w:p w:rsidR="009B293D" w:rsidRDefault="009B293D" w:rsidP="00664982">
      <w:pPr>
        <w:widowControl w:val="0"/>
        <w:spacing w:before="120" w:after="120" w:line="240" w:lineRule="auto"/>
        <w:jc w:val="both"/>
        <w:rPr>
          <w:rFonts w:ascii="Times New Roman" w:eastAsia="Times New Roman" w:hAnsi="Times New Roman" w:cs="Times New Roman"/>
          <w:bCs/>
        </w:rPr>
      </w:pPr>
    </w:p>
    <w:p w:rsidR="00664982" w:rsidRPr="00664982" w:rsidRDefault="00664982" w:rsidP="00664982">
      <w:pPr>
        <w:widowControl w:val="0"/>
        <w:spacing w:before="120" w:after="120" w:line="240" w:lineRule="auto"/>
        <w:jc w:val="both"/>
        <w:rPr>
          <w:rFonts w:ascii="Times New Roman" w:eastAsia="Times New Roman" w:hAnsi="Times New Roman" w:cs="Times New Roman"/>
          <w:bCs/>
        </w:rPr>
      </w:pPr>
      <w:r w:rsidRPr="00664982">
        <w:rPr>
          <w:rFonts w:ascii="Times New Roman" w:eastAsia="Times New Roman" w:hAnsi="Times New Roman" w:cs="Times New Roman"/>
          <w:bCs/>
        </w:rPr>
        <w:t>Budapest, 2020.03.10.</w:t>
      </w:r>
    </w:p>
    <w:p w:rsidR="00664982" w:rsidRPr="00664982" w:rsidRDefault="00664982" w:rsidP="00664982">
      <w:pPr>
        <w:widowControl w:val="0"/>
        <w:spacing w:before="120" w:after="120" w:line="240" w:lineRule="auto"/>
        <w:jc w:val="both"/>
        <w:rPr>
          <w:rFonts w:ascii="Times New Roman" w:eastAsia="Times New Roman" w:hAnsi="Times New Roman" w:cs="Times New Roman"/>
          <w:bCs/>
        </w:rPr>
      </w:pPr>
    </w:p>
    <w:p w:rsidR="00664982" w:rsidRPr="00F52F56" w:rsidRDefault="00664982" w:rsidP="00664982">
      <w:pPr>
        <w:widowControl w:val="0"/>
        <w:spacing w:after="0" w:line="240" w:lineRule="auto"/>
        <w:jc w:val="right"/>
        <w:rPr>
          <w:rFonts w:ascii="Times New Roman" w:eastAsia="Times New Roman" w:hAnsi="Times New Roman" w:cs="Times New Roman"/>
          <w:b/>
          <w:bCs/>
        </w:rPr>
      </w:pPr>
      <w:r w:rsidRPr="00F52F56">
        <w:rPr>
          <w:rFonts w:ascii="Times New Roman" w:eastAsia="Times New Roman" w:hAnsi="Times New Roman" w:cs="Times New Roman"/>
          <w:b/>
          <w:bCs/>
        </w:rPr>
        <w:t>Dr. Gávay György Viktor PhD adjunktus</w:t>
      </w:r>
    </w:p>
    <w:p w:rsidR="00664982" w:rsidRPr="00664982" w:rsidRDefault="00664982" w:rsidP="00664982">
      <w:pPr>
        <w:widowControl w:val="0"/>
        <w:spacing w:after="0" w:line="240" w:lineRule="auto"/>
        <w:jc w:val="right"/>
        <w:rPr>
          <w:rFonts w:ascii="Times New Roman" w:eastAsia="Times New Roman" w:hAnsi="Times New Roman" w:cs="Times New Roman"/>
          <w:bCs/>
        </w:rPr>
      </w:pPr>
      <w:r w:rsidRPr="00664982">
        <w:rPr>
          <w:rFonts w:ascii="Times New Roman" w:eastAsia="Times New Roman" w:hAnsi="Times New Roman" w:cs="Times New Roman"/>
          <w:bCs/>
        </w:rPr>
        <w:t>tantárgyfelelős, sk.</w:t>
      </w:r>
    </w:p>
    <w:p w:rsidR="00722AA3" w:rsidRDefault="00722AA3">
      <w:pPr>
        <w:spacing w:after="200" w:line="276" w:lineRule="auto"/>
        <w:rPr>
          <w:rFonts w:ascii="Times New Roman" w:hAnsi="Times New Roman" w:cs="Times New Roman"/>
          <w:sz w:val="24"/>
        </w:rPr>
      </w:pPr>
    </w:p>
    <w:p w:rsidR="00664C1B" w:rsidRDefault="00664C1B">
      <w:pPr>
        <w:spacing w:after="200" w:line="276" w:lineRule="auto"/>
        <w:rPr>
          <w:rFonts w:ascii="Times New Roman" w:hAnsi="Times New Roman" w:cs="Times New Roman"/>
          <w:sz w:val="24"/>
        </w:rPr>
      </w:pPr>
      <w:r>
        <w:rPr>
          <w:rFonts w:ascii="Times New Roman" w:hAnsi="Times New Roman" w:cs="Times New Roman"/>
          <w:sz w:val="24"/>
        </w:rPr>
        <w:br w:type="page"/>
      </w:r>
    </w:p>
    <w:tbl>
      <w:tblPr>
        <w:tblW w:w="9072" w:type="dxa"/>
        <w:tblInd w:w="113" w:type="dxa"/>
        <w:tblLook w:val="01E0" w:firstRow="1" w:lastRow="1" w:firstColumn="1" w:lastColumn="1" w:noHBand="0" w:noVBand="0"/>
      </w:tblPr>
      <w:tblGrid>
        <w:gridCol w:w="4855"/>
        <w:gridCol w:w="1620"/>
        <w:gridCol w:w="2597"/>
      </w:tblGrid>
      <w:tr w:rsidR="007B1E67" w:rsidRPr="007B1E67" w:rsidTr="007B1E67">
        <w:tc>
          <w:tcPr>
            <w:tcW w:w="4855" w:type="dxa"/>
            <w:tcBorders>
              <w:top w:val="nil"/>
              <w:left w:val="nil"/>
              <w:bottom w:val="single" w:sz="4" w:space="0" w:color="auto"/>
              <w:right w:val="nil"/>
            </w:tcBorders>
            <w:hideMark/>
          </w:tcPr>
          <w:p w:rsidR="007B1E67" w:rsidRPr="007B1E67" w:rsidRDefault="007B1E67" w:rsidP="007B1E67">
            <w:pPr>
              <w:spacing w:after="0" w:line="240" w:lineRule="auto"/>
              <w:jc w:val="center"/>
              <w:rPr>
                <w:rFonts w:ascii="Times New Roman" w:eastAsia="Times New Roman" w:hAnsi="Times New Roman" w:cs="Times New Roman"/>
                <w:b/>
                <w:smallCaps/>
                <w:lang w:eastAsia="hu-HU"/>
              </w:rPr>
            </w:pPr>
            <w:r w:rsidRPr="007B1E67">
              <w:rPr>
                <w:rFonts w:ascii="Times New Roman" w:eastAsia="Times New Roman" w:hAnsi="Times New Roman" w:cs="Times New Roman"/>
                <w:b/>
                <w:smallCaps/>
                <w:lang w:eastAsia="hu-HU"/>
              </w:rPr>
              <w:lastRenderedPageBreak/>
              <w:t>Nemzeti Közszolgálati Egyetem</w:t>
            </w:r>
          </w:p>
        </w:tc>
        <w:tc>
          <w:tcPr>
            <w:tcW w:w="1620" w:type="dxa"/>
          </w:tcPr>
          <w:p w:rsidR="007B1E67" w:rsidRPr="007B1E67" w:rsidRDefault="007B1E67" w:rsidP="007B1E67">
            <w:pPr>
              <w:spacing w:after="0" w:line="240" w:lineRule="auto"/>
              <w:jc w:val="both"/>
              <w:rPr>
                <w:rFonts w:ascii="Times New Roman" w:eastAsia="Times New Roman" w:hAnsi="Times New Roman" w:cs="Times New Roman"/>
                <w:lang w:eastAsia="hu-HU"/>
              </w:rPr>
            </w:pPr>
          </w:p>
        </w:tc>
        <w:tc>
          <w:tcPr>
            <w:tcW w:w="2597" w:type="dxa"/>
          </w:tcPr>
          <w:p w:rsidR="007B1E67" w:rsidRPr="007B1E67" w:rsidRDefault="007B1E67" w:rsidP="007B1E67">
            <w:pPr>
              <w:spacing w:after="0" w:line="240" w:lineRule="auto"/>
              <w:jc w:val="right"/>
              <w:rPr>
                <w:rFonts w:ascii="Times New Roman" w:eastAsia="Times New Roman" w:hAnsi="Times New Roman" w:cs="Times New Roman"/>
                <w:lang w:eastAsia="hu-HU"/>
              </w:rPr>
            </w:pPr>
          </w:p>
        </w:tc>
      </w:tr>
      <w:tr w:rsidR="007B1E67" w:rsidRPr="007B1E67" w:rsidTr="007B1E67">
        <w:tc>
          <w:tcPr>
            <w:tcW w:w="4855" w:type="dxa"/>
            <w:tcBorders>
              <w:top w:val="single" w:sz="4" w:space="0" w:color="auto"/>
              <w:left w:val="nil"/>
              <w:bottom w:val="nil"/>
              <w:right w:val="nil"/>
            </w:tcBorders>
            <w:hideMark/>
          </w:tcPr>
          <w:p w:rsidR="007B1E67" w:rsidRPr="007B1E67" w:rsidRDefault="007B1E67" w:rsidP="007B1E67">
            <w:pPr>
              <w:spacing w:after="0" w:line="240" w:lineRule="auto"/>
              <w:jc w:val="center"/>
              <w:rPr>
                <w:rFonts w:ascii="Times New Roman" w:eastAsia="Times New Roman" w:hAnsi="Times New Roman" w:cs="Times New Roman"/>
                <w:b/>
                <w:lang w:eastAsia="hu-HU"/>
              </w:rPr>
            </w:pPr>
            <w:r w:rsidRPr="007B1E67">
              <w:rPr>
                <w:rFonts w:ascii="Times New Roman" w:eastAsia="Times New Roman" w:hAnsi="Times New Roman" w:cs="Times New Roman"/>
                <w:b/>
                <w:lang w:eastAsia="hu-HU"/>
              </w:rPr>
              <w:t>Hadtudományi és Honvédtisztképző Kar</w:t>
            </w:r>
          </w:p>
        </w:tc>
        <w:tc>
          <w:tcPr>
            <w:tcW w:w="1620" w:type="dxa"/>
          </w:tcPr>
          <w:p w:rsidR="007B1E67" w:rsidRPr="007B1E67" w:rsidRDefault="007B1E67" w:rsidP="007B1E67">
            <w:pPr>
              <w:spacing w:after="0" w:line="240" w:lineRule="auto"/>
              <w:jc w:val="both"/>
              <w:rPr>
                <w:rFonts w:ascii="Times New Roman" w:eastAsia="Times New Roman" w:hAnsi="Times New Roman" w:cs="Times New Roman"/>
                <w:lang w:eastAsia="hu-HU"/>
              </w:rPr>
            </w:pPr>
          </w:p>
        </w:tc>
        <w:tc>
          <w:tcPr>
            <w:tcW w:w="2597" w:type="dxa"/>
          </w:tcPr>
          <w:p w:rsidR="007B1E67" w:rsidRPr="007B1E67" w:rsidRDefault="007B1E67" w:rsidP="007B1E67">
            <w:pPr>
              <w:spacing w:after="0" w:line="240" w:lineRule="auto"/>
              <w:jc w:val="both"/>
              <w:rPr>
                <w:rFonts w:ascii="Times New Roman" w:eastAsia="Times New Roman" w:hAnsi="Times New Roman" w:cs="Times New Roman"/>
                <w:lang w:eastAsia="hu-HU"/>
              </w:rPr>
            </w:pPr>
          </w:p>
        </w:tc>
      </w:tr>
    </w:tbl>
    <w:p w:rsidR="007B1E67" w:rsidRPr="007B1E67" w:rsidRDefault="007B1E67" w:rsidP="007B1E67">
      <w:pPr>
        <w:tabs>
          <w:tab w:val="right" w:pos="0"/>
          <w:tab w:val="center" w:pos="4819"/>
          <w:tab w:val="right" w:pos="9071"/>
        </w:tabs>
        <w:spacing w:after="0" w:line="240" w:lineRule="auto"/>
        <w:jc w:val="both"/>
        <w:rPr>
          <w:rFonts w:ascii="Times New Roman" w:eastAsia="Times New Roman" w:hAnsi="Times New Roman" w:cs="Times New Roman"/>
          <w:bCs/>
          <w:lang w:eastAsia="hu-HU"/>
        </w:rPr>
      </w:pPr>
    </w:p>
    <w:p w:rsidR="007B1E67" w:rsidRPr="007B1E67" w:rsidRDefault="007B1E67" w:rsidP="007B1E67">
      <w:pPr>
        <w:spacing w:before="120" w:after="120" w:line="240" w:lineRule="auto"/>
        <w:jc w:val="center"/>
        <w:rPr>
          <w:rFonts w:ascii="Times New Roman" w:eastAsia="Times New Roman" w:hAnsi="Times New Roman" w:cs="Times New Roman"/>
          <w:b/>
          <w:bCs/>
          <w:lang w:eastAsia="hu-HU"/>
        </w:rPr>
      </w:pPr>
      <w:r w:rsidRPr="007B1E67">
        <w:rPr>
          <w:rFonts w:ascii="Times New Roman" w:eastAsia="Times New Roman" w:hAnsi="Times New Roman" w:cs="Times New Roman"/>
          <w:b/>
          <w:bCs/>
          <w:lang w:eastAsia="hu-HU"/>
        </w:rPr>
        <w:t>TANTÁRGYI PROGRAM</w:t>
      </w:r>
    </w:p>
    <w:p w:rsidR="007B1E67" w:rsidRPr="007B1E67" w:rsidRDefault="007B1E67" w:rsidP="00980876">
      <w:pPr>
        <w:numPr>
          <w:ilvl w:val="0"/>
          <w:numId w:val="448"/>
        </w:numPr>
        <w:tabs>
          <w:tab w:val="clear" w:pos="720"/>
          <w:tab w:val="num" w:pos="644"/>
          <w:tab w:val="right" w:pos="900"/>
          <w:tab w:val="center" w:pos="4536"/>
          <w:tab w:val="right" w:pos="9071"/>
        </w:tabs>
        <w:spacing w:before="120" w:after="120" w:line="240" w:lineRule="auto"/>
        <w:ind w:left="644"/>
        <w:jc w:val="both"/>
        <w:rPr>
          <w:rFonts w:ascii="Times New Roman" w:eastAsia="Times New Roman" w:hAnsi="Times New Roman" w:cs="Times New Roman"/>
          <w:b/>
          <w:bCs/>
          <w:lang w:eastAsia="hu-HU"/>
        </w:rPr>
      </w:pPr>
      <w:r w:rsidRPr="007B1E67">
        <w:rPr>
          <w:rFonts w:ascii="Times New Roman" w:eastAsia="Times New Roman" w:hAnsi="Times New Roman" w:cs="Times New Roman"/>
          <w:b/>
          <w:bCs/>
          <w:lang w:eastAsia="hu-HU"/>
        </w:rPr>
        <w:t xml:space="preserve">A tantárgy kódja: </w:t>
      </w:r>
      <w:r w:rsidRPr="00F52F56">
        <w:rPr>
          <w:rFonts w:ascii="Times New Roman" w:eastAsia="Times New Roman" w:hAnsi="Times New Roman" w:cs="Times New Roman"/>
          <w:bCs/>
          <w:lang w:eastAsia="hu-HU"/>
        </w:rPr>
        <w:t>HKHDTA23</w:t>
      </w:r>
    </w:p>
    <w:p w:rsidR="007B1E67" w:rsidRPr="007B1E67" w:rsidRDefault="007B1E67" w:rsidP="00980876">
      <w:pPr>
        <w:numPr>
          <w:ilvl w:val="0"/>
          <w:numId w:val="448"/>
        </w:numPr>
        <w:tabs>
          <w:tab w:val="clear" w:pos="720"/>
          <w:tab w:val="num" w:pos="644"/>
          <w:tab w:val="right" w:pos="900"/>
          <w:tab w:val="center" w:pos="4536"/>
          <w:tab w:val="right" w:pos="9071"/>
        </w:tabs>
        <w:spacing w:before="120" w:after="120" w:line="240" w:lineRule="auto"/>
        <w:ind w:left="644"/>
        <w:jc w:val="both"/>
        <w:rPr>
          <w:rFonts w:ascii="Times New Roman" w:eastAsia="Times New Roman" w:hAnsi="Times New Roman" w:cs="Times New Roman"/>
          <w:bCs/>
          <w:lang w:eastAsia="hu-HU"/>
        </w:rPr>
      </w:pPr>
      <w:r w:rsidRPr="007B1E67">
        <w:rPr>
          <w:rFonts w:ascii="Times New Roman" w:eastAsia="Times New Roman" w:hAnsi="Times New Roman" w:cs="Times New Roman"/>
          <w:b/>
          <w:bCs/>
          <w:lang w:eastAsia="hu-HU"/>
        </w:rPr>
        <w:t xml:space="preserve">A tantárgy megnevezése (magyarul): </w:t>
      </w:r>
      <w:r w:rsidRPr="007B1E67">
        <w:rPr>
          <w:rFonts w:ascii="Times New Roman" w:eastAsia="Times New Roman" w:hAnsi="Times New Roman" w:cs="Times New Roman"/>
          <w:lang w:eastAsia="hu-HU"/>
        </w:rPr>
        <w:t>Ballisztikai alapismeretek</w:t>
      </w:r>
    </w:p>
    <w:p w:rsidR="007B1E67" w:rsidRPr="007B1E67" w:rsidRDefault="007B1E67" w:rsidP="00980876">
      <w:pPr>
        <w:numPr>
          <w:ilvl w:val="0"/>
          <w:numId w:val="448"/>
        </w:numPr>
        <w:tabs>
          <w:tab w:val="clear" w:pos="720"/>
          <w:tab w:val="num" w:pos="644"/>
          <w:tab w:val="right" w:pos="900"/>
          <w:tab w:val="center" w:pos="4536"/>
          <w:tab w:val="right" w:pos="9071"/>
        </w:tabs>
        <w:spacing w:before="120" w:after="120" w:line="240" w:lineRule="auto"/>
        <w:ind w:left="644"/>
        <w:jc w:val="both"/>
        <w:rPr>
          <w:rFonts w:ascii="Times New Roman" w:eastAsia="Times New Roman" w:hAnsi="Times New Roman" w:cs="Times New Roman"/>
          <w:bCs/>
          <w:lang w:eastAsia="hu-HU"/>
        </w:rPr>
      </w:pPr>
      <w:r w:rsidRPr="007B1E67">
        <w:rPr>
          <w:rFonts w:ascii="Times New Roman" w:eastAsia="Times New Roman" w:hAnsi="Times New Roman" w:cs="Times New Roman"/>
          <w:b/>
          <w:bCs/>
          <w:lang w:eastAsia="hu-HU"/>
        </w:rPr>
        <w:t xml:space="preserve">A tantárgy megnevezése (angolul): </w:t>
      </w:r>
      <w:r w:rsidRPr="007B1E67">
        <w:rPr>
          <w:rFonts w:ascii="Times New Roman" w:eastAsia="Times New Roman" w:hAnsi="Times New Roman" w:cs="Times New Roman"/>
          <w:bCs/>
          <w:lang w:eastAsia="hu-HU"/>
        </w:rPr>
        <w:t>Introduction to ballistics</w:t>
      </w:r>
    </w:p>
    <w:p w:rsidR="007B1E67" w:rsidRPr="007B1E67" w:rsidRDefault="007B1E67" w:rsidP="00980876">
      <w:pPr>
        <w:numPr>
          <w:ilvl w:val="0"/>
          <w:numId w:val="448"/>
        </w:numPr>
        <w:tabs>
          <w:tab w:val="clear" w:pos="720"/>
          <w:tab w:val="num" w:pos="644"/>
          <w:tab w:val="right" w:pos="900"/>
          <w:tab w:val="center" w:pos="4536"/>
          <w:tab w:val="right" w:pos="9071"/>
        </w:tabs>
        <w:spacing w:before="120" w:after="120" w:line="240" w:lineRule="auto"/>
        <w:ind w:left="644"/>
        <w:rPr>
          <w:rFonts w:ascii="Times New Roman" w:eastAsia="Times New Roman" w:hAnsi="Times New Roman" w:cs="Times New Roman"/>
          <w:bCs/>
          <w:lang w:eastAsia="hu-HU"/>
        </w:rPr>
      </w:pPr>
      <w:r w:rsidRPr="007B1E67">
        <w:rPr>
          <w:rFonts w:ascii="Times New Roman" w:eastAsia="Times New Roman" w:hAnsi="Times New Roman" w:cs="Times New Roman"/>
          <w:b/>
          <w:bCs/>
          <w:lang w:eastAsia="hu-HU"/>
        </w:rPr>
        <w:t>Kreditérték és képzési karakter:</w:t>
      </w:r>
    </w:p>
    <w:p w:rsidR="007B1E67" w:rsidRPr="007B1E67" w:rsidRDefault="007B1E67" w:rsidP="00980876">
      <w:pPr>
        <w:numPr>
          <w:ilvl w:val="1"/>
          <w:numId w:val="448"/>
        </w:numPr>
        <w:tabs>
          <w:tab w:val="clear" w:pos="3977"/>
          <w:tab w:val="right" w:pos="900"/>
          <w:tab w:val="num" w:pos="1425"/>
          <w:tab w:val="center" w:pos="4536"/>
          <w:tab w:val="right" w:pos="9071"/>
        </w:tabs>
        <w:spacing w:before="120" w:after="120" w:line="240" w:lineRule="auto"/>
        <w:ind w:left="1425"/>
        <w:rPr>
          <w:rFonts w:ascii="Times New Roman" w:eastAsia="Times New Roman" w:hAnsi="Times New Roman" w:cs="Times New Roman"/>
          <w:bCs/>
          <w:lang w:eastAsia="hu-HU"/>
        </w:rPr>
      </w:pPr>
      <w:r w:rsidRPr="007B1E67">
        <w:rPr>
          <w:rFonts w:ascii="Times New Roman" w:eastAsia="Times New Roman" w:hAnsi="Times New Roman" w:cs="Times New Roman"/>
          <w:b/>
          <w:bCs/>
          <w:lang w:eastAsia="hu-HU"/>
        </w:rPr>
        <w:t xml:space="preserve"> </w:t>
      </w:r>
      <w:r w:rsidRPr="007B1E67">
        <w:rPr>
          <w:rFonts w:ascii="Times New Roman" w:eastAsia="Times New Roman" w:hAnsi="Times New Roman" w:cs="Times New Roman"/>
          <w:bCs/>
          <w:lang w:eastAsia="hu-HU"/>
        </w:rPr>
        <w:t>2 kredit</w:t>
      </w:r>
    </w:p>
    <w:p w:rsidR="007B1E67" w:rsidRPr="007B1E67" w:rsidRDefault="007B1E67" w:rsidP="00980876">
      <w:pPr>
        <w:numPr>
          <w:ilvl w:val="1"/>
          <w:numId w:val="448"/>
        </w:numPr>
        <w:tabs>
          <w:tab w:val="clear" w:pos="3977"/>
          <w:tab w:val="right" w:pos="900"/>
          <w:tab w:val="num" w:pos="1425"/>
          <w:tab w:val="center" w:pos="4536"/>
          <w:tab w:val="right" w:pos="9071"/>
        </w:tabs>
        <w:spacing w:before="120" w:after="120" w:line="240" w:lineRule="auto"/>
        <w:ind w:left="1425"/>
        <w:rPr>
          <w:rFonts w:ascii="Times New Roman" w:eastAsia="Times New Roman" w:hAnsi="Times New Roman" w:cs="Times New Roman"/>
          <w:bCs/>
          <w:lang w:eastAsia="hu-HU"/>
        </w:rPr>
      </w:pPr>
      <w:r w:rsidRPr="007B1E67">
        <w:rPr>
          <w:rFonts w:ascii="Times New Roman" w:eastAsia="Times New Roman" w:hAnsi="Times New Roman" w:cs="Times New Roman"/>
          <w:bCs/>
          <w:lang w:eastAsia="hu-HU"/>
        </w:rPr>
        <w:t>a tantárgy elméleti vagy gyakorlati jellegének mértéke: 50 % gyakorlat, 50 % elmélet</w:t>
      </w:r>
    </w:p>
    <w:p w:rsidR="007B1E67" w:rsidRPr="007B1E67" w:rsidRDefault="007B1E67" w:rsidP="00980876">
      <w:pPr>
        <w:numPr>
          <w:ilvl w:val="0"/>
          <w:numId w:val="448"/>
        </w:numPr>
        <w:tabs>
          <w:tab w:val="clear" w:pos="720"/>
          <w:tab w:val="num" w:pos="644"/>
          <w:tab w:val="right" w:pos="900"/>
          <w:tab w:val="center" w:pos="4536"/>
          <w:tab w:val="right" w:pos="9071"/>
        </w:tabs>
        <w:spacing w:before="120" w:after="120" w:line="240" w:lineRule="auto"/>
        <w:ind w:left="644"/>
        <w:jc w:val="both"/>
        <w:rPr>
          <w:rFonts w:ascii="Times New Roman" w:eastAsia="Times New Roman" w:hAnsi="Times New Roman" w:cs="Times New Roman"/>
          <w:bCs/>
          <w:lang w:eastAsia="hu-HU"/>
        </w:rPr>
      </w:pPr>
      <w:r w:rsidRPr="007B1E67">
        <w:rPr>
          <w:rFonts w:ascii="Times New Roman" w:eastAsia="Times New Roman" w:hAnsi="Times New Roman" w:cs="Times New Roman"/>
          <w:b/>
          <w:bCs/>
          <w:lang w:eastAsia="hu-HU"/>
        </w:rPr>
        <w:t xml:space="preserve">A szak(ok), szakirányok/specializációk megnevezése (ahol oktatják): </w:t>
      </w:r>
      <w:r w:rsidRPr="007B1E67">
        <w:rPr>
          <w:rFonts w:ascii="Times New Roman" w:eastAsia="Times New Roman" w:hAnsi="Times New Roman" w:cs="Times New Roman"/>
          <w:bCs/>
          <w:lang w:eastAsia="hu-HU"/>
        </w:rPr>
        <w:t>Katonai logisztika (</w:t>
      </w:r>
      <w:r w:rsidR="00137B8A">
        <w:rPr>
          <w:rFonts w:ascii="Times New Roman" w:eastAsia="Times New Roman" w:hAnsi="Times New Roman" w:cs="Times New Roman"/>
          <w:bCs/>
          <w:lang w:eastAsia="hu-HU"/>
        </w:rPr>
        <w:t>BSc</w:t>
      </w:r>
      <w:r w:rsidRPr="007B1E67">
        <w:rPr>
          <w:rFonts w:ascii="Times New Roman" w:eastAsia="Times New Roman" w:hAnsi="Times New Roman" w:cs="Times New Roman"/>
          <w:bCs/>
          <w:lang w:eastAsia="hu-HU"/>
        </w:rPr>
        <w:t>) alapképzési szak, haditechnika specializáció, fegyverzettechnikai modul</w:t>
      </w:r>
    </w:p>
    <w:p w:rsidR="007B1E67" w:rsidRPr="007B1E67" w:rsidRDefault="007B1E67" w:rsidP="00980876">
      <w:pPr>
        <w:numPr>
          <w:ilvl w:val="0"/>
          <w:numId w:val="448"/>
        </w:numPr>
        <w:tabs>
          <w:tab w:val="clear" w:pos="720"/>
          <w:tab w:val="num" w:pos="644"/>
          <w:tab w:val="right" w:pos="900"/>
          <w:tab w:val="center" w:pos="4536"/>
          <w:tab w:val="right" w:pos="9071"/>
        </w:tabs>
        <w:spacing w:before="120" w:after="120" w:line="240" w:lineRule="auto"/>
        <w:ind w:left="644"/>
        <w:jc w:val="both"/>
        <w:rPr>
          <w:rFonts w:ascii="Times New Roman" w:eastAsia="Times New Roman" w:hAnsi="Times New Roman" w:cs="Times New Roman"/>
          <w:bCs/>
          <w:lang w:eastAsia="hu-HU"/>
        </w:rPr>
      </w:pPr>
      <w:r w:rsidRPr="007B1E67">
        <w:rPr>
          <w:rFonts w:ascii="Times New Roman" w:eastAsia="Times New Roman" w:hAnsi="Times New Roman" w:cs="Times New Roman"/>
          <w:b/>
          <w:bCs/>
          <w:lang w:eastAsia="hu-HU"/>
        </w:rPr>
        <w:tab/>
        <w:t xml:space="preserve">Az oktatásért felelős oktatási szervezeti egység megnevezése: </w:t>
      </w:r>
      <w:r w:rsidRPr="007B1E67">
        <w:rPr>
          <w:rFonts w:ascii="Times New Roman" w:eastAsia="Times New Roman" w:hAnsi="Times New Roman" w:cs="Times New Roman"/>
          <w:bCs/>
          <w:lang w:eastAsia="hu-HU"/>
        </w:rPr>
        <w:t>NKE,</w:t>
      </w:r>
      <w:r w:rsidRPr="007B1E67">
        <w:rPr>
          <w:rFonts w:ascii="Times New Roman" w:eastAsia="Times New Roman" w:hAnsi="Times New Roman" w:cs="Times New Roman"/>
          <w:b/>
          <w:bCs/>
          <w:lang w:eastAsia="hu-HU"/>
        </w:rPr>
        <w:t xml:space="preserve"> </w:t>
      </w:r>
      <w:r w:rsidRPr="007B1E67">
        <w:rPr>
          <w:rFonts w:ascii="Times New Roman" w:eastAsia="Times New Roman" w:hAnsi="Times New Roman" w:cs="Times New Roman"/>
          <w:bCs/>
          <w:lang w:eastAsia="hu-HU"/>
        </w:rPr>
        <w:t>Hadtudományi és Honvédtisztképző Kar, Haditechnikai Tanszék</w:t>
      </w:r>
    </w:p>
    <w:p w:rsidR="007B1E67" w:rsidRPr="007B1E67" w:rsidRDefault="007B1E67" w:rsidP="00980876">
      <w:pPr>
        <w:numPr>
          <w:ilvl w:val="0"/>
          <w:numId w:val="448"/>
        </w:numPr>
        <w:tabs>
          <w:tab w:val="clear" w:pos="720"/>
          <w:tab w:val="num" w:pos="426"/>
          <w:tab w:val="num" w:pos="644"/>
          <w:tab w:val="right" w:pos="900"/>
          <w:tab w:val="center" w:pos="4536"/>
          <w:tab w:val="right" w:pos="9071"/>
        </w:tabs>
        <w:spacing w:before="120" w:after="120" w:line="240" w:lineRule="auto"/>
        <w:ind w:left="644"/>
        <w:jc w:val="both"/>
        <w:rPr>
          <w:rFonts w:ascii="Times New Roman" w:eastAsia="Times New Roman" w:hAnsi="Times New Roman" w:cs="Times New Roman"/>
          <w:bCs/>
          <w:lang w:eastAsia="hu-HU"/>
        </w:rPr>
      </w:pPr>
      <w:r w:rsidRPr="007B1E67">
        <w:rPr>
          <w:rFonts w:ascii="Times New Roman" w:eastAsia="Times New Roman" w:hAnsi="Times New Roman" w:cs="Times New Roman"/>
          <w:b/>
          <w:bCs/>
          <w:lang w:eastAsia="hu-HU"/>
        </w:rPr>
        <w:t xml:space="preserve">  A tantárgyfelelős oktató neve, beosztása, tudományos fokozata: </w:t>
      </w:r>
      <w:r w:rsidRPr="007B1E67">
        <w:rPr>
          <w:rFonts w:ascii="Times New Roman" w:eastAsia="Times New Roman" w:hAnsi="Times New Roman" w:cs="Times New Roman"/>
          <w:bCs/>
          <w:lang w:eastAsia="hu-HU"/>
        </w:rPr>
        <w:t>Dr. Gyarmati József egyetemi docens, PhD</w:t>
      </w:r>
    </w:p>
    <w:p w:rsidR="007B1E67" w:rsidRPr="007B1E67" w:rsidRDefault="007B1E67" w:rsidP="00980876">
      <w:pPr>
        <w:numPr>
          <w:ilvl w:val="0"/>
          <w:numId w:val="448"/>
        </w:numPr>
        <w:tabs>
          <w:tab w:val="clear" w:pos="720"/>
          <w:tab w:val="num" w:pos="644"/>
          <w:tab w:val="right" w:pos="900"/>
          <w:tab w:val="center" w:pos="4536"/>
          <w:tab w:val="right" w:pos="9071"/>
        </w:tabs>
        <w:spacing w:before="120" w:after="120" w:line="240" w:lineRule="auto"/>
        <w:ind w:left="567" w:hanging="283"/>
        <w:jc w:val="both"/>
        <w:rPr>
          <w:rFonts w:ascii="Times New Roman" w:eastAsia="Times New Roman" w:hAnsi="Times New Roman" w:cs="Times New Roman"/>
          <w:b/>
          <w:lang w:eastAsia="hu-HU"/>
        </w:rPr>
      </w:pPr>
      <w:r w:rsidRPr="007B1E67">
        <w:rPr>
          <w:rFonts w:ascii="Times New Roman" w:eastAsia="Times New Roman" w:hAnsi="Times New Roman" w:cs="Times New Roman"/>
          <w:b/>
          <w:bCs/>
          <w:lang w:eastAsia="hu-HU"/>
        </w:rPr>
        <w:t xml:space="preserve">A tanórák száma </w:t>
      </w:r>
      <w:r w:rsidRPr="007B1E67">
        <w:rPr>
          <w:rFonts w:ascii="Times New Roman" w:eastAsia="Times New Roman" w:hAnsi="Times New Roman" w:cs="Times New Roman"/>
          <w:b/>
          <w:lang w:eastAsia="hu-HU"/>
        </w:rPr>
        <w:t>(előadás + szeminárium + gyakorlat)</w:t>
      </w:r>
    </w:p>
    <w:p w:rsidR="007B1E67" w:rsidRPr="007B1E67" w:rsidRDefault="007B1E67" w:rsidP="00980876">
      <w:pPr>
        <w:numPr>
          <w:ilvl w:val="1"/>
          <w:numId w:val="448"/>
        </w:numPr>
        <w:tabs>
          <w:tab w:val="clear" w:pos="3977"/>
          <w:tab w:val="num" w:pos="1425"/>
        </w:tabs>
        <w:spacing w:before="120" w:after="120" w:line="240" w:lineRule="auto"/>
        <w:ind w:left="567" w:firstLine="0"/>
        <w:jc w:val="both"/>
        <w:rPr>
          <w:rFonts w:ascii="Times New Roman" w:eastAsia="Times New Roman" w:hAnsi="Times New Roman" w:cs="Times New Roman"/>
          <w:bCs/>
          <w:lang w:eastAsia="hu-HU"/>
        </w:rPr>
      </w:pPr>
      <w:r w:rsidRPr="007B1E67">
        <w:rPr>
          <w:rFonts w:ascii="Times New Roman" w:eastAsia="Times New Roman" w:hAnsi="Times New Roman" w:cs="Times New Roman"/>
          <w:bCs/>
          <w:lang w:eastAsia="hu-HU"/>
        </w:rPr>
        <w:t>össz óraszám/félév: 28</w:t>
      </w:r>
    </w:p>
    <w:p w:rsidR="007B1E67" w:rsidRPr="007B1E67" w:rsidRDefault="007B1E67" w:rsidP="00980876">
      <w:pPr>
        <w:numPr>
          <w:ilvl w:val="2"/>
          <w:numId w:val="448"/>
        </w:numPr>
        <w:tabs>
          <w:tab w:val="clear" w:pos="1800"/>
          <w:tab w:val="right" w:pos="900"/>
          <w:tab w:val="num" w:pos="1724"/>
          <w:tab w:val="num" w:pos="1843"/>
        </w:tabs>
        <w:spacing w:before="120" w:after="120" w:line="240" w:lineRule="auto"/>
        <w:ind w:left="709" w:firstLine="0"/>
        <w:jc w:val="both"/>
        <w:rPr>
          <w:rFonts w:ascii="Times New Roman" w:eastAsia="Times New Roman" w:hAnsi="Times New Roman" w:cs="Times New Roman"/>
          <w:bCs/>
          <w:lang w:eastAsia="hu-HU"/>
        </w:rPr>
      </w:pPr>
      <w:r w:rsidRPr="007B1E67">
        <w:rPr>
          <w:rFonts w:ascii="Times New Roman" w:eastAsia="Times New Roman" w:hAnsi="Times New Roman" w:cs="Times New Roman"/>
          <w:bCs/>
          <w:lang w:eastAsia="hu-HU"/>
        </w:rPr>
        <w:t>Nappali munkarend: 28 (14 EA+ 0 SZ + 14 GY)</w:t>
      </w:r>
    </w:p>
    <w:p w:rsidR="007B1E67" w:rsidRPr="007B1E67" w:rsidRDefault="007B1E67" w:rsidP="00980876">
      <w:pPr>
        <w:numPr>
          <w:ilvl w:val="2"/>
          <w:numId w:val="448"/>
        </w:numPr>
        <w:tabs>
          <w:tab w:val="clear" w:pos="1800"/>
          <w:tab w:val="right" w:pos="900"/>
          <w:tab w:val="num" w:pos="1724"/>
          <w:tab w:val="num" w:pos="1843"/>
        </w:tabs>
        <w:spacing w:before="120" w:after="120" w:line="240" w:lineRule="auto"/>
        <w:ind w:left="709" w:firstLine="0"/>
        <w:jc w:val="both"/>
        <w:rPr>
          <w:rFonts w:ascii="Times New Roman" w:eastAsia="Times New Roman" w:hAnsi="Times New Roman" w:cs="Times New Roman"/>
          <w:bCs/>
          <w:lang w:eastAsia="hu-HU"/>
        </w:rPr>
      </w:pPr>
      <w:r w:rsidRPr="007B1E67">
        <w:rPr>
          <w:rFonts w:ascii="Times New Roman" w:eastAsia="Times New Roman" w:hAnsi="Times New Roman" w:cs="Times New Roman"/>
          <w:bCs/>
          <w:lang w:eastAsia="hu-HU"/>
        </w:rPr>
        <w:t>Levelező munkarend: -</w:t>
      </w:r>
    </w:p>
    <w:p w:rsidR="007B1E67" w:rsidRPr="007B1E67" w:rsidRDefault="007B1E67" w:rsidP="00980876">
      <w:pPr>
        <w:numPr>
          <w:ilvl w:val="1"/>
          <w:numId w:val="448"/>
        </w:numPr>
        <w:tabs>
          <w:tab w:val="clear" w:pos="3977"/>
          <w:tab w:val="num" w:pos="1425"/>
        </w:tabs>
        <w:spacing w:before="120" w:after="120" w:line="240" w:lineRule="auto"/>
        <w:ind w:left="567" w:firstLine="0"/>
        <w:jc w:val="both"/>
        <w:rPr>
          <w:rFonts w:ascii="Times New Roman" w:eastAsia="Times New Roman" w:hAnsi="Times New Roman" w:cs="Times New Roman"/>
          <w:bCs/>
          <w:lang w:eastAsia="hu-HU"/>
        </w:rPr>
      </w:pPr>
      <w:r w:rsidRPr="007B1E67">
        <w:rPr>
          <w:rFonts w:ascii="Times New Roman" w:eastAsia="Times New Roman" w:hAnsi="Times New Roman" w:cs="Times New Roman"/>
          <w:bCs/>
          <w:lang w:eastAsia="hu-HU"/>
        </w:rPr>
        <w:t>heti óraszám nappali munkarend: 2 (1 + 1)</w:t>
      </w:r>
    </w:p>
    <w:p w:rsidR="007B1E67" w:rsidRPr="007B1E67" w:rsidRDefault="007B1E67" w:rsidP="00980876">
      <w:pPr>
        <w:numPr>
          <w:ilvl w:val="1"/>
          <w:numId w:val="448"/>
        </w:numPr>
        <w:tabs>
          <w:tab w:val="clear" w:pos="3977"/>
          <w:tab w:val="num" w:pos="1425"/>
        </w:tabs>
        <w:spacing w:before="120" w:after="120" w:line="240" w:lineRule="auto"/>
        <w:ind w:left="567" w:firstLine="0"/>
        <w:jc w:val="both"/>
        <w:rPr>
          <w:rFonts w:ascii="Times New Roman" w:eastAsia="Times New Roman" w:hAnsi="Times New Roman" w:cs="Times New Roman"/>
          <w:bCs/>
          <w:lang w:eastAsia="hu-HU"/>
        </w:rPr>
      </w:pPr>
      <w:r w:rsidRPr="007B1E67">
        <w:rPr>
          <w:rFonts w:ascii="Times New Roman" w:eastAsia="Times New Roman" w:hAnsi="Times New Roman" w:cs="Times New Roman"/>
          <w:bCs/>
          <w:lang w:eastAsia="hu-HU"/>
        </w:rPr>
        <w:t>Az ismeret átadásában alkalmazandó további sajátos módok, jellemzők: vegyes tanulási program (blended learning)</w:t>
      </w:r>
    </w:p>
    <w:p w:rsidR="007B1E67" w:rsidRPr="007B1E67" w:rsidRDefault="007B1E67" w:rsidP="00980876">
      <w:pPr>
        <w:numPr>
          <w:ilvl w:val="0"/>
          <w:numId w:val="448"/>
        </w:numPr>
        <w:tabs>
          <w:tab w:val="clear" w:pos="720"/>
          <w:tab w:val="num" w:pos="644"/>
        </w:tabs>
        <w:spacing w:before="120" w:after="120" w:line="240" w:lineRule="auto"/>
        <w:ind w:left="644"/>
        <w:jc w:val="both"/>
        <w:rPr>
          <w:rFonts w:ascii="Times New Roman" w:eastAsia="Times New Roman" w:hAnsi="Times New Roman" w:cs="Times New Roman"/>
          <w:lang w:eastAsia="hu-HU"/>
        </w:rPr>
      </w:pPr>
      <w:r w:rsidRPr="007B1E67">
        <w:rPr>
          <w:rFonts w:ascii="Times New Roman" w:eastAsia="Times New Roman" w:hAnsi="Times New Roman" w:cs="Times New Roman"/>
          <w:b/>
          <w:bCs/>
          <w:lang w:eastAsia="hu-HU"/>
        </w:rPr>
        <w:t>A tantárgy szakmai tartalma (magyarul):</w:t>
      </w:r>
      <w:r w:rsidRPr="007B1E67">
        <w:rPr>
          <w:rFonts w:ascii="CG Times (W1)" w:eastAsia="Times New Roman" w:hAnsi="CG Times (W1)" w:cs="Times New Roman"/>
          <w:b/>
          <w:bCs/>
          <w:lang w:eastAsia="hu-HU"/>
        </w:rPr>
        <w:t xml:space="preserve"> </w:t>
      </w:r>
      <w:r w:rsidRPr="007B1E67">
        <w:rPr>
          <w:rFonts w:ascii="Times New Roman" w:eastAsia="Times New Roman" w:hAnsi="Times New Roman" w:cs="Times New Roman"/>
          <w:lang w:eastAsia="hu-HU"/>
        </w:rPr>
        <w:t>A ballisztika ágai. Belballisztika, átmeneti ballisztika, külballisztika, célballisztika. Belballisztika f</w:t>
      </w:r>
      <w:r w:rsidRPr="007B1E67">
        <w:rPr>
          <w:rFonts w:ascii="Times New Roman" w:eastAsia="Times New Roman" w:hAnsi="Times New Roman" w:cs="Times New Roman" w:hint="eastAsia"/>
          <w:lang w:eastAsia="hu-HU"/>
        </w:rPr>
        <w:t>ő</w:t>
      </w:r>
      <w:r w:rsidRPr="007B1E67">
        <w:rPr>
          <w:rFonts w:ascii="Times New Roman" w:eastAsia="Times New Roman" w:hAnsi="Times New Roman" w:cs="Times New Roman"/>
          <w:lang w:eastAsia="hu-HU"/>
        </w:rPr>
        <w:t xml:space="preserve"> feladata, egyenletei és megoldhatóságuk. A l</w:t>
      </w:r>
      <w:r w:rsidRPr="007B1E67">
        <w:rPr>
          <w:rFonts w:ascii="Times New Roman" w:eastAsia="Times New Roman" w:hAnsi="Times New Roman" w:cs="Times New Roman" w:hint="eastAsia"/>
          <w:lang w:eastAsia="hu-HU"/>
        </w:rPr>
        <w:t>ő</w:t>
      </w:r>
      <w:r w:rsidRPr="007B1E67">
        <w:rPr>
          <w:rFonts w:ascii="Times New Roman" w:eastAsia="Times New Roman" w:hAnsi="Times New Roman" w:cs="Times New Roman"/>
          <w:lang w:eastAsia="hu-HU"/>
        </w:rPr>
        <w:t>porok alaptulajdonságai, geometriai és a reaális égéstörvényük. L</w:t>
      </w:r>
      <w:r w:rsidRPr="007B1E67">
        <w:rPr>
          <w:rFonts w:ascii="Times New Roman" w:eastAsia="Times New Roman" w:hAnsi="Times New Roman" w:cs="Times New Roman" w:hint="eastAsia"/>
          <w:lang w:eastAsia="hu-HU"/>
        </w:rPr>
        <w:t>ő</w:t>
      </w:r>
      <w:r w:rsidRPr="007B1E67">
        <w:rPr>
          <w:rFonts w:ascii="Times New Roman" w:eastAsia="Times New Roman" w:hAnsi="Times New Roman" w:cs="Times New Roman"/>
          <w:lang w:eastAsia="hu-HU"/>
        </w:rPr>
        <w:t>porok kivitelének és mennyiségének hatása a bel ballisztikai folyamatokra. Légüres tér külballisztikája, pályagörbe. A lövedék légellenállásból származó hatások koncentrált centruma és a pályán instabilitását okozó hatások és kiküszöbölésük. Lövedékstabilizálás elvei (forgás és nyílstabilizáslás) és számítása. A lövedék célban kifejtett hatása, páncélátütés. A Kumulatív hatás és tulajdonságai. Kísérleti ballisztika, a lövedék és a lövés paramétereinek mérése: nyomás, sebesség, stb., mérése (lövész és tüzérségi fegyvereknél), mérési jegyz</w:t>
      </w:r>
      <w:r w:rsidRPr="007B1E67">
        <w:rPr>
          <w:rFonts w:ascii="Times New Roman" w:eastAsia="Times New Roman" w:hAnsi="Times New Roman" w:cs="Times New Roman" w:hint="eastAsia"/>
          <w:lang w:eastAsia="hu-HU"/>
        </w:rPr>
        <w:t>ő</w:t>
      </w:r>
      <w:r w:rsidRPr="007B1E67">
        <w:rPr>
          <w:rFonts w:ascii="Times New Roman" w:eastAsia="Times New Roman" w:hAnsi="Times New Roman" w:cs="Times New Roman"/>
          <w:lang w:eastAsia="hu-HU"/>
        </w:rPr>
        <w:t>könyvnél kapott adatok és kiértékelésük.</w:t>
      </w:r>
    </w:p>
    <w:p w:rsidR="007B1E67" w:rsidRDefault="007B1E67" w:rsidP="007B1E67">
      <w:pPr>
        <w:tabs>
          <w:tab w:val="right" w:pos="900"/>
          <w:tab w:val="center" w:pos="4536"/>
        </w:tabs>
        <w:spacing w:before="120" w:after="120" w:line="240" w:lineRule="auto"/>
        <w:ind w:left="644"/>
        <w:jc w:val="both"/>
        <w:rPr>
          <w:rFonts w:ascii="CG Times (W1)" w:eastAsia="Times New Roman" w:hAnsi="CG Times (W1)" w:cs="Times New Roman"/>
          <w:lang w:eastAsia="hu-HU"/>
        </w:rPr>
      </w:pPr>
      <w:r w:rsidRPr="007B1E67">
        <w:rPr>
          <w:rFonts w:ascii="Times New Roman" w:eastAsia="Times New Roman" w:hAnsi="Times New Roman" w:cs="Times New Roman"/>
          <w:b/>
          <w:bCs/>
          <w:lang w:eastAsia="hu-HU"/>
        </w:rPr>
        <w:t>A tantárgy szakmai tartalma (angolul) (Course description):</w:t>
      </w:r>
      <w:r w:rsidRPr="007B1E67">
        <w:rPr>
          <w:rFonts w:ascii="CG Times (W1)" w:eastAsia="Times New Roman" w:hAnsi="CG Times (W1)" w:cs="Times New Roman"/>
          <w:b/>
          <w:bCs/>
          <w:lang w:eastAsia="hu-HU"/>
        </w:rPr>
        <w:t xml:space="preserve"> </w:t>
      </w:r>
      <w:r w:rsidRPr="007B1E67">
        <w:rPr>
          <w:rFonts w:ascii="CG Times (W1)" w:eastAsia="Times New Roman" w:hAnsi="CG Times (W1)" w:cs="Times New Roman"/>
          <w:lang w:eastAsia="hu-HU"/>
        </w:rPr>
        <w:t>The branches of ballistics. Internal Ballistics, Transitional Ballistics, Outdoor Ballistics, Goal Ballistics. Ballistics: main task, equations and their solution. The basic properties of gunpowder, their geometry and their real law of combustion. Effect of Export and Quantity of Gun Powder on Bel Ballistic Processes. Vacuum space outdoor statistics, trajectory. Concentrated center of projectile airborne effects and effects and elimination of trajectory instability. Principles of projectile stabilization (rotation and arrow stabilization) and calculation. The effect of the projectile on the target, armor piercing. The Cumulative Effect and Properties. Experimental Ballistics: Measurement of projectile and firing parameters: pressure, velocity, etc., measurement (for shooters and artillery weapons), measurement log data and evaluation.</w:t>
      </w:r>
    </w:p>
    <w:p w:rsidR="00F52F56" w:rsidRDefault="00F52F56">
      <w:pPr>
        <w:spacing w:after="200" w:line="276" w:lineRule="auto"/>
        <w:rPr>
          <w:rFonts w:ascii="CG Times (W1)" w:eastAsia="Times New Roman" w:hAnsi="CG Times (W1)" w:cs="Times New Roman"/>
          <w:b/>
          <w:bCs/>
          <w:lang w:eastAsia="hu-HU"/>
        </w:rPr>
      </w:pPr>
      <w:r>
        <w:rPr>
          <w:rFonts w:ascii="CG Times (W1)" w:eastAsia="Times New Roman" w:hAnsi="CG Times (W1)" w:cs="Times New Roman"/>
          <w:b/>
          <w:bCs/>
          <w:lang w:eastAsia="hu-HU"/>
        </w:rPr>
        <w:br w:type="page"/>
      </w:r>
    </w:p>
    <w:p w:rsidR="007B1E67" w:rsidRPr="007B1E67" w:rsidRDefault="007B1E67" w:rsidP="00980876">
      <w:pPr>
        <w:numPr>
          <w:ilvl w:val="0"/>
          <w:numId w:val="448"/>
        </w:numPr>
        <w:tabs>
          <w:tab w:val="clear" w:pos="720"/>
          <w:tab w:val="num" w:pos="644"/>
          <w:tab w:val="right" w:pos="900"/>
          <w:tab w:val="center" w:pos="4536"/>
        </w:tabs>
        <w:spacing w:before="120" w:after="120" w:line="240" w:lineRule="auto"/>
        <w:ind w:left="644"/>
        <w:jc w:val="both"/>
        <w:rPr>
          <w:rFonts w:ascii="CG Times (W1)" w:eastAsia="Times New Roman" w:hAnsi="CG Times (W1)" w:cs="Times New Roman"/>
          <w:b/>
          <w:bCs/>
          <w:lang w:eastAsia="hu-HU"/>
        </w:rPr>
      </w:pPr>
      <w:r w:rsidRPr="007B1E67">
        <w:rPr>
          <w:rFonts w:ascii="CG Times (W1)" w:eastAsia="Times New Roman" w:hAnsi="CG Times (W1)" w:cs="Times New Roman"/>
          <w:b/>
          <w:bCs/>
          <w:lang w:eastAsia="hu-HU"/>
        </w:rPr>
        <w:lastRenderedPageBreak/>
        <w:t>Elérendő kompetenciák (magyarul)</w:t>
      </w:r>
    </w:p>
    <w:p w:rsidR="007B1E67" w:rsidRPr="007B1E67" w:rsidRDefault="007B1E67" w:rsidP="007B1E67">
      <w:pPr>
        <w:autoSpaceDE w:val="0"/>
        <w:autoSpaceDN w:val="0"/>
        <w:adjustRightInd w:val="0"/>
        <w:spacing w:before="120" w:after="120" w:line="240" w:lineRule="auto"/>
        <w:ind w:left="646"/>
        <w:jc w:val="both"/>
        <w:rPr>
          <w:rFonts w:ascii="Times New Roman" w:eastAsia="Times New Roman" w:hAnsi="Times New Roman" w:cs="Times New Roman"/>
          <w:b/>
          <w:color w:val="000000"/>
          <w:lang w:eastAsia="hu-HU"/>
        </w:rPr>
      </w:pPr>
      <w:r w:rsidRPr="007B1E67">
        <w:rPr>
          <w:rFonts w:ascii="Times New Roman" w:eastAsia="Times New Roman" w:hAnsi="Times New Roman" w:cs="Times New Roman"/>
          <w:b/>
          <w:color w:val="000000"/>
          <w:lang w:eastAsia="hu-HU"/>
        </w:rPr>
        <w:t>Tudása:</w:t>
      </w:r>
    </w:p>
    <w:p w:rsidR="007B1E67" w:rsidRPr="007B1E67" w:rsidRDefault="007B1E67"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7B1E67">
        <w:rPr>
          <w:rFonts w:ascii="Times New Roman" w:eastAsia="Times New Roman" w:hAnsi="Times New Roman" w:cs="Times New Roman"/>
          <w:color w:val="000000"/>
          <w:lang w:eastAsia="hu-HU"/>
        </w:rPr>
        <w:t>Megfelelő műszaki alapokkal rendelkezik, amelyek biztosítják az új ismeretek elsajátítását.</w:t>
      </w:r>
    </w:p>
    <w:p w:rsidR="007B1E67" w:rsidRPr="007B1E67" w:rsidRDefault="007B1E67"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7B1E67">
        <w:rPr>
          <w:rFonts w:ascii="Times New Roman" w:eastAsia="Times New Roman" w:hAnsi="Times New Roman" w:cs="Times New Roman"/>
          <w:color w:val="000000"/>
          <w:lang w:eastAsia="hu-HU"/>
        </w:rPr>
        <w:t>Ismeri a fegyverzettechnikai eszközök ellátáshoz és fenntartásához szükséges anyagok körét.</w:t>
      </w:r>
    </w:p>
    <w:p w:rsidR="007B1E67" w:rsidRPr="007B1E67" w:rsidRDefault="007B1E67"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7B1E67">
        <w:rPr>
          <w:rFonts w:ascii="Times New Roman" w:eastAsia="Times New Roman" w:hAnsi="Times New Roman" w:cs="Times New Roman"/>
          <w:color w:val="000000"/>
          <w:lang w:eastAsia="hu-HU"/>
        </w:rPr>
        <w:t>Ismeri a szakfeladatainak ellátásához szükséges munkavédelmi rendszabályokat.</w:t>
      </w:r>
    </w:p>
    <w:p w:rsidR="007B1E67" w:rsidRPr="007B1E67" w:rsidRDefault="007B1E67"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7B1E67">
        <w:rPr>
          <w:rFonts w:ascii="Times New Roman" w:eastAsia="Times New Roman" w:hAnsi="Times New Roman" w:cs="Times New Roman"/>
          <w:color w:val="000000"/>
          <w:lang w:eastAsia="hu-HU"/>
        </w:rPr>
        <w:t>Megfelelő mélységű és spektrumú fegyverzettechnikai típusismerettel rendelkezik.</w:t>
      </w:r>
    </w:p>
    <w:p w:rsidR="007B1E67" w:rsidRPr="007B1E67" w:rsidRDefault="007B1E67" w:rsidP="007B1E67">
      <w:pPr>
        <w:autoSpaceDE w:val="0"/>
        <w:autoSpaceDN w:val="0"/>
        <w:adjustRightInd w:val="0"/>
        <w:spacing w:before="120" w:after="120" w:line="240" w:lineRule="auto"/>
        <w:ind w:left="646"/>
        <w:jc w:val="both"/>
        <w:rPr>
          <w:rFonts w:ascii="Times New Roman" w:eastAsia="Times New Roman" w:hAnsi="Times New Roman" w:cs="Times New Roman"/>
          <w:b/>
          <w:color w:val="000000"/>
          <w:lang w:eastAsia="hu-HU"/>
        </w:rPr>
      </w:pPr>
      <w:r w:rsidRPr="007B1E67">
        <w:rPr>
          <w:rFonts w:ascii="Times New Roman" w:eastAsia="Times New Roman" w:hAnsi="Times New Roman" w:cs="Times New Roman"/>
          <w:b/>
          <w:color w:val="000000"/>
          <w:lang w:eastAsia="hu-HU"/>
        </w:rPr>
        <w:t>Képességei:</w:t>
      </w:r>
    </w:p>
    <w:p w:rsidR="007B1E67" w:rsidRPr="007B1E67" w:rsidRDefault="007B1E67"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7B1E67">
        <w:rPr>
          <w:rFonts w:ascii="Times New Roman" w:eastAsia="Times New Roman" w:hAnsi="Times New Roman" w:cs="Times New Roman"/>
          <w:color w:val="000000"/>
          <w:lang w:eastAsia="hu-HU"/>
        </w:rPr>
        <w:t>Képes a szakterületén rendszeresített és használt berendezések és technikai eszközök használatának megszervezésére és hatékony alkalmazására.</w:t>
      </w:r>
    </w:p>
    <w:p w:rsidR="007B1E67" w:rsidRPr="007B1E67" w:rsidRDefault="007B1E67"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7B1E67">
        <w:rPr>
          <w:rFonts w:ascii="Times New Roman" w:eastAsia="Times New Roman" w:hAnsi="Times New Roman" w:cs="Times New Roman"/>
          <w:color w:val="000000"/>
          <w:lang w:eastAsia="hu-HU"/>
        </w:rPr>
        <w:t>Képes a megtanultakat felhasználva a szakterületén felmerülő új műszaki információkat megérteni és megtanulni.</w:t>
      </w:r>
    </w:p>
    <w:p w:rsidR="007B1E67" w:rsidRPr="007B1E67" w:rsidRDefault="007B1E67" w:rsidP="007B1E67">
      <w:pPr>
        <w:autoSpaceDE w:val="0"/>
        <w:autoSpaceDN w:val="0"/>
        <w:adjustRightInd w:val="0"/>
        <w:spacing w:before="120" w:after="120" w:line="240" w:lineRule="auto"/>
        <w:ind w:left="646"/>
        <w:jc w:val="both"/>
        <w:rPr>
          <w:rFonts w:ascii="Times New Roman" w:eastAsia="Times New Roman" w:hAnsi="Times New Roman" w:cs="Times New Roman"/>
          <w:b/>
          <w:bCs/>
          <w:color w:val="000000"/>
          <w:lang w:eastAsia="hu-HU"/>
        </w:rPr>
      </w:pPr>
      <w:r w:rsidRPr="007B1E67">
        <w:rPr>
          <w:rFonts w:ascii="Times New Roman" w:eastAsia="Times New Roman" w:hAnsi="Times New Roman" w:cs="Times New Roman"/>
          <w:b/>
          <w:bCs/>
          <w:color w:val="000000"/>
          <w:lang w:eastAsia="hu-HU"/>
        </w:rPr>
        <w:t>Attitüdje:</w:t>
      </w:r>
    </w:p>
    <w:p w:rsidR="007B1E67" w:rsidRPr="007B1E67" w:rsidRDefault="007B1E67"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7B1E67">
        <w:rPr>
          <w:rFonts w:ascii="Times New Roman" w:eastAsia="Times New Roman" w:hAnsi="Times New Roman" w:cs="Times New Roman"/>
          <w:color w:val="000000"/>
          <w:lang w:eastAsia="hu-HU"/>
        </w:rPr>
        <w:t>Nyitott a fegyverzettechnikával kapcsolatos szakmai ismereteinek gyarapítása iránt, folyamatos önképzési igény jellemzi.</w:t>
      </w:r>
    </w:p>
    <w:p w:rsidR="007B1E67" w:rsidRPr="007B1E67" w:rsidRDefault="007B1E67"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7B1E67">
        <w:rPr>
          <w:rFonts w:ascii="Times New Roman" w:eastAsia="Times New Roman" w:hAnsi="Times New Roman" w:cs="Times New Roman"/>
          <w:color w:val="000000"/>
          <w:lang w:eastAsia="hu-HU"/>
        </w:rPr>
        <w:t xml:space="preserve">Nyitott szakterülete új eredményei felé, törekszik azok megismerésére. </w:t>
      </w:r>
    </w:p>
    <w:p w:rsidR="007B1E67" w:rsidRPr="007B1E67" w:rsidRDefault="007B1E67" w:rsidP="007B1E67">
      <w:pPr>
        <w:autoSpaceDE w:val="0"/>
        <w:autoSpaceDN w:val="0"/>
        <w:adjustRightInd w:val="0"/>
        <w:spacing w:before="120" w:after="120" w:line="240" w:lineRule="auto"/>
        <w:ind w:left="646"/>
        <w:jc w:val="both"/>
        <w:rPr>
          <w:rFonts w:ascii="Times New Roman" w:eastAsia="Times New Roman" w:hAnsi="Times New Roman" w:cs="Times New Roman"/>
          <w:b/>
          <w:bCs/>
          <w:color w:val="000000"/>
          <w:lang w:eastAsia="hu-HU"/>
        </w:rPr>
      </w:pPr>
      <w:r w:rsidRPr="007B1E67">
        <w:rPr>
          <w:rFonts w:ascii="Times New Roman" w:eastAsia="Times New Roman" w:hAnsi="Times New Roman" w:cs="Times New Roman"/>
          <w:b/>
          <w:bCs/>
          <w:color w:val="000000"/>
          <w:lang w:eastAsia="hu-HU"/>
        </w:rPr>
        <w:t>Autonómiája és felelőssége:</w:t>
      </w:r>
    </w:p>
    <w:p w:rsidR="007B1E67" w:rsidRPr="007B1E67" w:rsidRDefault="007B1E67"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7B1E67">
        <w:rPr>
          <w:rFonts w:ascii="Times New Roman" w:eastAsia="Times New Roman" w:hAnsi="Times New Roman" w:cs="Times New Roman"/>
          <w:color w:val="000000"/>
          <w:lang w:eastAsia="hu-HU"/>
        </w:rPr>
        <w:t>Képes szakfeladatait önállóan végezni, saját munkáját hatékonyan megszervezni és végrehajtani.</w:t>
      </w:r>
    </w:p>
    <w:p w:rsidR="007B1E67" w:rsidRPr="007B1E67" w:rsidRDefault="007B1E67"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7B1E67">
        <w:rPr>
          <w:rFonts w:ascii="Times New Roman" w:eastAsia="Times New Roman" w:hAnsi="Times New Roman" w:cs="Times New Roman"/>
          <w:color w:val="000000"/>
          <w:lang w:eastAsia="hu-HU"/>
        </w:rPr>
        <w:t>Együttműködés és felelősség jellemzi szakterületének szakembereivel szemben.</w:t>
      </w:r>
    </w:p>
    <w:p w:rsidR="007B1E67" w:rsidRPr="007B1E67" w:rsidRDefault="007B1E67"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7B1E67">
        <w:rPr>
          <w:rFonts w:ascii="Times New Roman" w:eastAsia="Times New Roman" w:hAnsi="Times New Roman" w:cs="Times New Roman"/>
          <w:color w:val="000000"/>
          <w:lang w:eastAsia="hu-HU"/>
        </w:rPr>
        <w:t>Szakterületén belül képes rendszer-szemléletűen gondolkodni.</w:t>
      </w:r>
    </w:p>
    <w:p w:rsidR="007B1E67" w:rsidRPr="007B1E67" w:rsidRDefault="007B1E67" w:rsidP="007B1E67">
      <w:pPr>
        <w:autoSpaceDE w:val="0"/>
        <w:autoSpaceDN w:val="0"/>
        <w:adjustRightInd w:val="0"/>
        <w:spacing w:before="120" w:after="120" w:line="240" w:lineRule="auto"/>
        <w:ind w:left="644"/>
        <w:jc w:val="both"/>
        <w:rPr>
          <w:rFonts w:ascii="Times New Roman" w:eastAsia="Times New Roman" w:hAnsi="Times New Roman" w:cs="Times New Roman"/>
          <w:b/>
          <w:bCs/>
          <w:color w:val="000000"/>
          <w:lang w:eastAsia="hu-HU"/>
        </w:rPr>
      </w:pPr>
      <w:r w:rsidRPr="007B1E67">
        <w:rPr>
          <w:rFonts w:ascii="Times New Roman" w:eastAsia="Times New Roman" w:hAnsi="Times New Roman" w:cs="Times New Roman"/>
          <w:b/>
          <w:bCs/>
          <w:color w:val="000000"/>
          <w:lang w:eastAsia="hu-HU"/>
        </w:rPr>
        <w:t>Elérendő kompetenciák (angolul):</w:t>
      </w:r>
    </w:p>
    <w:p w:rsidR="007B1E67" w:rsidRPr="007B1E67" w:rsidRDefault="007B1E67" w:rsidP="007B1E67">
      <w:pPr>
        <w:tabs>
          <w:tab w:val="right" w:pos="900"/>
        </w:tabs>
        <w:spacing w:before="120" w:after="120" w:line="240" w:lineRule="auto"/>
        <w:ind w:left="646"/>
        <w:contextualSpacing/>
        <w:jc w:val="both"/>
        <w:rPr>
          <w:rFonts w:ascii="Times New Roman" w:eastAsia="Times New Roman" w:hAnsi="Times New Roman" w:cs="Times New Roman"/>
          <w:bCs/>
          <w:lang w:eastAsia="hu-HU"/>
        </w:rPr>
      </w:pPr>
      <w:r w:rsidRPr="007B1E67">
        <w:rPr>
          <w:rFonts w:ascii="Times New Roman" w:eastAsia="Times New Roman" w:hAnsi="Times New Roman" w:cs="Times New Roman"/>
          <w:b/>
          <w:bCs/>
          <w:lang w:eastAsia="hu-HU"/>
        </w:rPr>
        <w:t>Knowledge:</w:t>
      </w:r>
    </w:p>
    <w:p w:rsidR="007B1E67" w:rsidRPr="007B1E67" w:rsidRDefault="007B1E67"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7B1E67">
        <w:rPr>
          <w:rFonts w:ascii="Times New Roman" w:eastAsia="Times New Roman" w:hAnsi="Times New Roman" w:cs="Times New Roman"/>
          <w:color w:val="000000"/>
          <w:lang w:eastAsia="hu-HU"/>
        </w:rPr>
        <w:t>Possesses adequate basic engineering knowledge which enables the acquirement of new knowledge.</w:t>
      </w:r>
    </w:p>
    <w:p w:rsidR="007B1E67" w:rsidRPr="007B1E67" w:rsidRDefault="007B1E67"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7B1E67">
        <w:rPr>
          <w:rFonts w:ascii="Times New Roman" w:eastAsia="Times New Roman" w:hAnsi="Times New Roman" w:cs="Times New Roman"/>
          <w:color w:val="000000"/>
          <w:lang w:eastAsia="hu-HU"/>
        </w:rPr>
        <w:t>Knows the range of materials required for the maintenance of the weapon.</w:t>
      </w:r>
    </w:p>
    <w:p w:rsidR="007B1E67" w:rsidRPr="007B1E67" w:rsidRDefault="007B1E67"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7B1E67">
        <w:rPr>
          <w:rFonts w:ascii="Times New Roman" w:eastAsia="Times New Roman" w:hAnsi="Times New Roman" w:cs="Times New Roman"/>
          <w:color w:val="000000"/>
          <w:lang w:eastAsia="hu-HU"/>
        </w:rPr>
        <w:t>Knows the work safety regulations required for fulfilling his/her professional tasks.</w:t>
      </w:r>
    </w:p>
    <w:p w:rsidR="007B1E67" w:rsidRPr="007B1E67" w:rsidRDefault="007B1E67"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7B1E67">
        <w:rPr>
          <w:rFonts w:ascii="Times New Roman" w:eastAsia="Times New Roman" w:hAnsi="Times New Roman" w:cs="Times New Roman"/>
          <w:color w:val="000000"/>
          <w:lang w:eastAsia="hu-HU"/>
        </w:rPr>
        <w:t>Possesses knowledge of adequate depth and spectrum regarding weapon types.</w:t>
      </w:r>
    </w:p>
    <w:p w:rsidR="007B1E67" w:rsidRPr="007B1E67" w:rsidRDefault="007B1E67" w:rsidP="007B1E67">
      <w:pPr>
        <w:tabs>
          <w:tab w:val="right" w:pos="900"/>
        </w:tabs>
        <w:spacing w:before="120" w:after="120" w:line="240" w:lineRule="auto"/>
        <w:ind w:left="646"/>
        <w:contextualSpacing/>
        <w:jc w:val="both"/>
        <w:rPr>
          <w:rFonts w:ascii="Times New Roman" w:eastAsia="Times New Roman" w:hAnsi="Times New Roman" w:cs="Times New Roman"/>
          <w:b/>
          <w:bCs/>
          <w:lang w:eastAsia="hu-HU"/>
        </w:rPr>
      </w:pPr>
      <w:r w:rsidRPr="007B1E67">
        <w:rPr>
          <w:rFonts w:ascii="Times New Roman" w:eastAsia="Times New Roman" w:hAnsi="Times New Roman" w:cs="Times New Roman"/>
          <w:b/>
          <w:bCs/>
          <w:lang w:eastAsia="hu-HU"/>
        </w:rPr>
        <w:t>Capabilities:</w:t>
      </w:r>
    </w:p>
    <w:p w:rsidR="007B1E67" w:rsidRPr="007B1E67" w:rsidRDefault="007B1E67"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7B1E67">
        <w:rPr>
          <w:rFonts w:ascii="Times New Roman" w:eastAsia="Times New Roman" w:hAnsi="Times New Roman" w:cs="Times New Roman"/>
          <w:color w:val="000000"/>
          <w:lang w:eastAsia="hu-HU"/>
        </w:rPr>
        <w:t>Is capable of organizing and efficiently utilizing the usage of the equipment and technical appliances applied in his/her respective specialty field.</w:t>
      </w:r>
    </w:p>
    <w:p w:rsidR="007B1E67" w:rsidRPr="007B1E67" w:rsidRDefault="007B1E67"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7B1E67">
        <w:rPr>
          <w:rFonts w:ascii="Times New Roman" w:eastAsia="Times New Roman" w:hAnsi="Times New Roman" w:cs="Times New Roman"/>
          <w:color w:val="000000"/>
          <w:lang w:eastAsia="hu-HU"/>
        </w:rPr>
        <w:t>Is capable of acqiring the understaning of new engineering information arising in his/her field of specialty using the already gained knowldge.</w:t>
      </w:r>
    </w:p>
    <w:p w:rsidR="007B1E67" w:rsidRPr="007B1E67" w:rsidRDefault="007B1E67" w:rsidP="007B1E67">
      <w:pPr>
        <w:tabs>
          <w:tab w:val="right" w:pos="900"/>
        </w:tabs>
        <w:spacing w:before="120" w:after="120" w:line="240" w:lineRule="auto"/>
        <w:ind w:left="646"/>
        <w:contextualSpacing/>
        <w:jc w:val="both"/>
        <w:rPr>
          <w:rFonts w:ascii="Times New Roman" w:eastAsia="Times New Roman" w:hAnsi="Times New Roman" w:cs="Times New Roman"/>
          <w:b/>
          <w:bCs/>
          <w:lang w:eastAsia="hu-HU"/>
        </w:rPr>
      </w:pPr>
      <w:r w:rsidRPr="007B1E67">
        <w:rPr>
          <w:rFonts w:ascii="Times New Roman" w:eastAsia="Times New Roman" w:hAnsi="Times New Roman" w:cs="Times New Roman"/>
          <w:b/>
          <w:bCs/>
          <w:lang w:eastAsia="hu-HU"/>
        </w:rPr>
        <w:t>Attitude:</w:t>
      </w:r>
    </w:p>
    <w:p w:rsidR="007B1E67" w:rsidRPr="007B1E67" w:rsidRDefault="007B1E67"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7B1E67">
        <w:rPr>
          <w:rFonts w:ascii="Times New Roman" w:eastAsia="Times New Roman" w:hAnsi="Times New Roman" w:cs="Times New Roman"/>
          <w:color w:val="000000"/>
          <w:lang w:eastAsia="hu-HU"/>
        </w:rPr>
        <w:t>He/she is open to widen his/her knowledge regarding weapons and has a constant need for self-education.</w:t>
      </w:r>
    </w:p>
    <w:p w:rsidR="007B1E67" w:rsidRPr="007B1E67" w:rsidRDefault="007B1E67"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7B1E67">
        <w:rPr>
          <w:rFonts w:ascii="Times New Roman" w:eastAsia="Times New Roman" w:hAnsi="Times New Roman" w:cs="Times New Roman"/>
          <w:color w:val="000000"/>
          <w:lang w:eastAsia="hu-HU"/>
        </w:rPr>
        <w:t>He/she is open towards the new accomplishments of military technology and aims to gain knowledge of these.</w:t>
      </w:r>
    </w:p>
    <w:p w:rsidR="007B1E67" w:rsidRPr="007B1E67" w:rsidRDefault="007B1E67" w:rsidP="007B1E67">
      <w:pPr>
        <w:tabs>
          <w:tab w:val="right" w:pos="900"/>
        </w:tabs>
        <w:spacing w:before="120" w:after="120" w:line="240" w:lineRule="auto"/>
        <w:ind w:left="644"/>
        <w:contextualSpacing/>
        <w:jc w:val="both"/>
        <w:rPr>
          <w:rFonts w:ascii="Times New Roman" w:eastAsia="Times New Roman" w:hAnsi="Times New Roman" w:cs="Times New Roman"/>
          <w:bCs/>
          <w:lang w:eastAsia="hu-HU"/>
        </w:rPr>
      </w:pPr>
      <w:r w:rsidRPr="007B1E67">
        <w:rPr>
          <w:rFonts w:ascii="Times New Roman" w:eastAsia="Times New Roman" w:hAnsi="Times New Roman" w:cs="Times New Roman"/>
          <w:b/>
          <w:bCs/>
          <w:lang w:eastAsia="hu-HU"/>
        </w:rPr>
        <w:t>Autonomy and responsibility</w:t>
      </w:r>
    </w:p>
    <w:p w:rsidR="007B1E67" w:rsidRPr="007B1E67" w:rsidRDefault="007B1E67"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7B1E67">
        <w:rPr>
          <w:rFonts w:ascii="Times New Roman" w:eastAsia="Times New Roman" w:hAnsi="Times New Roman" w:cs="Times New Roman"/>
          <w:color w:val="000000"/>
          <w:lang w:eastAsia="hu-HU"/>
        </w:rPr>
        <w:t>Is capable of independently fulfilling his/her professional tasks as well as effectively organizing and executing his/her own work.</w:t>
      </w:r>
    </w:p>
    <w:p w:rsidR="007B1E67" w:rsidRPr="007B1E67" w:rsidRDefault="007B1E67"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7B1E67">
        <w:rPr>
          <w:rFonts w:ascii="Times New Roman" w:eastAsia="Times New Roman" w:hAnsi="Times New Roman" w:cs="Times New Roman"/>
          <w:color w:val="000000"/>
          <w:lang w:eastAsia="hu-HU"/>
        </w:rPr>
        <w:t>He/she is cooperative and responsible towards the professionals of his/her field. Is capable of thinking in a system approach within his/her own field.</w:t>
      </w:r>
    </w:p>
    <w:p w:rsidR="007B1E67" w:rsidRPr="007B1E67" w:rsidRDefault="007B1E67" w:rsidP="00980876">
      <w:pPr>
        <w:widowControl w:val="0"/>
        <w:numPr>
          <w:ilvl w:val="0"/>
          <w:numId w:val="448"/>
        </w:numPr>
        <w:tabs>
          <w:tab w:val="num" w:pos="360"/>
          <w:tab w:val="num" w:pos="644"/>
        </w:tabs>
        <w:spacing w:before="120" w:after="120" w:line="240" w:lineRule="auto"/>
        <w:ind w:left="426" w:hanging="142"/>
        <w:jc w:val="both"/>
        <w:rPr>
          <w:rFonts w:ascii="Times New Roman" w:eastAsia="Times New Roman" w:hAnsi="Times New Roman" w:cs="Times New Roman"/>
          <w:bCs/>
          <w:lang w:eastAsia="hu-HU"/>
        </w:rPr>
      </w:pPr>
      <w:r w:rsidRPr="007B1E67">
        <w:rPr>
          <w:rFonts w:ascii="Times New Roman" w:eastAsia="Times New Roman" w:hAnsi="Times New Roman" w:cs="Times New Roman"/>
          <w:b/>
          <w:bCs/>
          <w:lang w:eastAsia="hu-HU"/>
        </w:rPr>
        <w:t xml:space="preserve">Előtanulmányi kötelezettségek:  - </w:t>
      </w:r>
    </w:p>
    <w:p w:rsidR="007B1E67" w:rsidRPr="007B1E67" w:rsidRDefault="007B1E67" w:rsidP="00980876">
      <w:pPr>
        <w:widowControl w:val="0"/>
        <w:numPr>
          <w:ilvl w:val="0"/>
          <w:numId w:val="448"/>
        </w:numPr>
        <w:tabs>
          <w:tab w:val="num" w:pos="360"/>
          <w:tab w:val="num" w:pos="644"/>
        </w:tabs>
        <w:spacing w:before="120" w:after="120" w:line="240" w:lineRule="auto"/>
        <w:ind w:left="426" w:hanging="142"/>
        <w:jc w:val="both"/>
        <w:rPr>
          <w:rFonts w:ascii="Times New Roman" w:eastAsia="Times New Roman" w:hAnsi="Times New Roman" w:cs="Times New Roman"/>
          <w:b/>
          <w:lang w:eastAsia="hu-HU"/>
        </w:rPr>
      </w:pPr>
      <w:r w:rsidRPr="007B1E67">
        <w:rPr>
          <w:rFonts w:ascii="Times New Roman" w:eastAsia="Times New Roman" w:hAnsi="Times New Roman" w:cs="Times New Roman"/>
          <w:b/>
          <w:lang w:eastAsia="hu-HU"/>
        </w:rPr>
        <w:t xml:space="preserve">A </w:t>
      </w:r>
      <w:r w:rsidRPr="00F3027C">
        <w:rPr>
          <w:rFonts w:ascii="Times New Roman" w:eastAsia="Times New Roman" w:hAnsi="Times New Roman" w:cs="Times New Roman"/>
          <w:b/>
          <w:bCs/>
          <w:lang w:eastAsia="hu-HU"/>
        </w:rPr>
        <w:t>tantárgy</w:t>
      </w:r>
      <w:r w:rsidRPr="007B1E67">
        <w:rPr>
          <w:rFonts w:ascii="Times New Roman" w:eastAsia="Times New Roman" w:hAnsi="Times New Roman" w:cs="Times New Roman"/>
          <w:b/>
          <w:lang w:eastAsia="hu-HU"/>
        </w:rPr>
        <w:t xml:space="preserve"> tananyagának leírása: (tematika): </w:t>
      </w:r>
    </w:p>
    <w:p w:rsidR="007B1E67" w:rsidRPr="007B1E67" w:rsidRDefault="007B1E67" w:rsidP="00980876">
      <w:pPr>
        <w:numPr>
          <w:ilvl w:val="1"/>
          <w:numId w:val="448"/>
        </w:numPr>
        <w:tabs>
          <w:tab w:val="clear" w:pos="3977"/>
          <w:tab w:val="num" w:pos="1425"/>
        </w:tabs>
        <w:spacing w:before="120" w:after="120" w:line="240" w:lineRule="auto"/>
        <w:ind w:left="993" w:hanging="567"/>
        <w:jc w:val="both"/>
        <w:rPr>
          <w:rFonts w:ascii="Times New Roman" w:eastAsia="Times New Roman" w:hAnsi="Times New Roman" w:cs="Times New Roman"/>
          <w:bCs/>
          <w:lang w:eastAsia="hu-HU"/>
        </w:rPr>
      </w:pPr>
      <w:r w:rsidRPr="007B1E67">
        <w:rPr>
          <w:rFonts w:ascii="Times New Roman" w:eastAsia="Times New Roman" w:hAnsi="Times New Roman" w:cs="Times New Roman"/>
          <w:lang w:eastAsia="hu-HU"/>
        </w:rPr>
        <w:t>A ballisztika ágai fizikai és kémiai jellemzőinek összefüggései</w:t>
      </w:r>
      <w:r w:rsidRPr="007B1E67">
        <w:rPr>
          <w:rFonts w:ascii="Times New Roman" w:eastAsia="Times New Roman" w:hAnsi="Times New Roman" w:cs="Times New Roman"/>
          <w:i/>
          <w:lang w:eastAsia="hu-HU"/>
        </w:rPr>
        <w:t>. (Relationships between physical and chemical characteristics of the branches of ballistics.)</w:t>
      </w:r>
    </w:p>
    <w:p w:rsidR="007B1E67" w:rsidRPr="007B1E67" w:rsidRDefault="007B1E67" w:rsidP="00980876">
      <w:pPr>
        <w:numPr>
          <w:ilvl w:val="1"/>
          <w:numId w:val="448"/>
        </w:numPr>
        <w:tabs>
          <w:tab w:val="clear" w:pos="3977"/>
          <w:tab w:val="right" w:pos="900"/>
          <w:tab w:val="num" w:pos="1425"/>
        </w:tabs>
        <w:spacing w:before="120" w:after="120" w:line="240" w:lineRule="auto"/>
        <w:ind w:left="993" w:hanging="567"/>
        <w:jc w:val="both"/>
        <w:rPr>
          <w:rFonts w:ascii="Times New Roman" w:eastAsia="Times New Roman" w:hAnsi="Times New Roman" w:cs="Times New Roman"/>
          <w:bCs/>
          <w:lang w:eastAsia="hu-HU"/>
        </w:rPr>
      </w:pPr>
      <w:r w:rsidRPr="007B1E67">
        <w:rPr>
          <w:rFonts w:ascii="Times New Roman" w:eastAsia="Times New Roman" w:hAnsi="Times New Roman" w:cs="Times New Roman"/>
          <w:lang w:eastAsia="hu-HU"/>
        </w:rPr>
        <w:t xml:space="preserve">Belballisztika fő feladata. </w:t>
      </w:r>
      <w:r w:rsidRPr="007B1E67">
        <w:rPr>
          <w:rFonts w:ascii="Times New Roman" w:eastAsia="Times New Roman" w:hAnsi="Times New Roman" w:cs="Times New Roman"/>
          <w:i/>
          <w:lang w:eastAsia="hu-HU"/>
        </w:rPr>
        <w:t>(The main task of ballistics)</w:t>
      </w:r>
    </w:p>
    <w:p w:rsidR="007B1E67" w:rsidRPr="007B1E67" w:rsidRDefault="007B1E67" w:rsidP="00980876">
      <w:pPr>
        <w:numPr>
          <w:ilvl w:val="1"/>
          <w:numId w:val="448"/>
        </w:numPr>
        <w:tabs>
          <w:tab w:val="clear" w:pos="3977"/>
          <w:tab w:val="right" w:pos="900"/>
          <w:tab w:val="num" w:pos="1425"/>
        </w:tabs>
        <w:spacing w:before="120" w:after="120" w:line="240" w:lineRule="auto"/>
        <w:ind w:left="993" w:hanging="567"/>
        <w:jc w:val="both"/>
        <w:rPr>
          <w:rFonts w:ascii="Times New Roman" w:eastAsia="Times New Roman" w:hAnsi="Times New Roman" w:cs="Times New Roman"/>
          <w:bCs/>
          <w:lang w:eastAsia="hu-HU"/>
        </w:rPr>
      </w:pPr>
      <w:r w:rsidRPr="007B1E67">
        <w:rPr>
          <w:rFonts w:ascii="Times New Roman" w:eastAsia="Times New Roman" w:hAnsi="Times New Roman" w:cs="Times New Roman"/>
          <w:lang w:eastAsia="hu-HU"/>
        </w:rPr>
        <w:lastRenderedPageBreak/>
        <w:t xml:space="preserve">Az ideális gázokra vonatkozó valamint a Wan-der Waals és az Abel egyenletek. </w:t>
      </w:r>
      <w:r w:rsidRPr="007B1E67">
        <w:rPr>
          <w:rFonts w:ascii="Times New Roman" w:eastAsia="Times New Roman" w:hAnsi="Times New Roman" w:cs="Times New Roman"/>
          <w:i/>
          <w:lang w:eastAsia="hu-HU"/>
        </w:rPr>
        <w:t>(Ideal gases and Wan-der Waals and Abel equations)</w:t>
      </w:r>
    </w:p>
    <w:p w:rsidR="007B1E67" w:rsidRPr="007B1E67" w:rsidRDefault="007B1E67" w:rsidP="00980876">
      <w:pPr>
        <w:numPr>
          <w:ilvl w:val="1"/>
          <w:numId w:val="448"/>
        </w:numPr>
        <w:tabs>
          <w:tab w:val="clear" w:pos="3977"/>
          <w:tab w:val="right" w:pos="900"/>
          <w:tab w:val="num" w:pos="1425"/>
        </w:tabs>
        <w:spacing w:before="120" w:after="120" w:line="240" w:lineRule="auto"/>
        <w:ind w:left="993" w:hanging="567"/>
        <w:jc w:val="both"/>
        <w:rPr>
          <w:rFonts w:ascii="Times New Roman" w:eastAsia="Times New Roman" w:hAnsi="Times New Roman" w:cs="Times New Roman"/>
          <w:bCs/>
          <w:lang w:eastAsia="hu-HU"/>
        </w:rPr>
      </w:pPr>
      <w:r w:rsidRPr="007B1E67">
        <w:rPr>
          <w:rFonts w:ascii="Times New Roman" w:eastAsia="Times New Roman" w:hAnsi="Times New Roman" w:cs="Times New Roman"/>
          <w:lang w:eastAsia="hu-HU"/>
        </w:rPr>
        <w:t xml:space="preserve">A geometriai és a reális égéstörvény, progresszív, neutrális és degresszív lőporok. </w:t>
      </w:r>
      <w:r w:rsidRPr="007B1E67">
        <w:rPr>
          <w:rFonts w:ascii="Times New Roman" w:eastAsia="Times New Roman" w:hAnsi="Times New Roman" w:cs="Times New Roman"/>
          <w:i/>
          <w:lang w:eastAsia="hu-HU"/>
        </w:rPr>
        <w:t>(Geometric and Realistic Combustion Laws, Progressive, Neutral and Degressive Gun Powders.)</w:t>
      </w:r>
    </w:p>
    <w:p w:rsidR="007B1E67" w:rsidRPr="007B1E67" w:rsidRDefault="007B1E67" w:rsidP="00980876">
      <w:pPr>
        <w:numPr>
          <w:ilvl w:val="1"/>
          <w:numId w:val="448"/>
        </w:numPr>
        <w:tabs>
          <w:tab w:val="clear" w:pos="3977"/>
          <w:tab w:val="right" w:pos="900"/>
          <w:tab w:val="num" w:pos="1425"/>
        </w:tabs>
        <w:spacing w:before="120" w:after="120" w:line="240" w:lineRule="auto"/>
        <w:ind w:left="993" w:hanging="567"/>
        <w:jc w:val="both"/>
        <w:rPr>
          <w:rFonts w:ascii="Times New Roman" w:eastAsia="Times New Roman" w:hAnsi="Times New Roman" w:cs="Times New Roman"/>
          <w:bCs/>
          <w:lang w:eastAsia="hu-HU"/>
        </w:rPr>
      </w:pPr>
      <w:r w:rsidRPr="007B1E67">
        <w:rPr>
          <w:rFonts w:ascii="Times New Roman" w:eastAsia="Times New Roman" w:hAnsi="Times New Roman" w:cs="Times New Roman"/>
          <w:lang w:eastAsia="hu-HU"/>
        </w:rPr>
        <w:t xml:space="preserve">A belballisztika differenciálegyenlete és megoldási lehetőségei. A drozdov módszer. </w:t>
      </w:r>
      <w:r w:rsidRPr="007B1E67">
        <w:rPr>
          <w:rFonts w:ascii="Times New Roman" w:eastAsia="Times New Roman" w:hAnsi="Times New Roman" w:cs="Times New Roman"/>
          <w:i/>
          <w:lang w:eastAsia="hu-HU"/>
        </w:rPr>
        <w:t>(Differential equation and solutions for domestic ballistics. The drozdov method.)</w:t>
      </w:r>
    </w:p>
    <w:p w:rsidR="007B1E67" w:rsidRPr="007B1E67" w:rsidRDefault="007B1E67" w:rsidP="00980876">
      <w:pPr>
        <w:numPr>
          <w:ilvl w:val="1"/>
          <w:numId w:val="448"/>
        </w:numPr>
        <w:tabs>
          <w:tab w:val="clear" w:pos="3977"/>
          <w:tab w:val="right" w:pos="900"/>
          <w:tab w:val="num" w:pos="1425"/>
        </w:tabs>
        <w:spacing w:before="120" w:after="120" w:line="240" w:lineRule="auto"/>
        <w:ind w:left="993" w:hanging="567"/>
        <w:jc w:val="both"/>
        <w:rPr>
          <w:rFonts w:ascii="Times New Roman" w:eastAsia="Times New Roman" w:hAnsi="Times New Roman" w:cs="Times New Roman"/>
          <w:lang w:eastAsia="hu-HU"/>
        </w:rPr>
      </w:pPr>
      <w:r w:rsidRPr="007B1E67">
        <w:rPr>
          <w:rFonts w:ascii="Times New Roman" w:eastAsia="Times New Roman" w:hAnsi="Times New Roman" w:cs="Times New Roman"/>
          <w:lang w:eastAsia="hu-HU"/>
        </w:rPr>
        <w:t xml:space="preserve">Külballisztika, légkörjellemzők. Légüres tér külballisztikája, pályagörbe, biztonsági parabola, maximális lőtávolság illetve maximális pályamagasság számítása szimultán tűzcsapás feltétele és kivitelezése. </w:t>
      </w:r>
      <w:r w:rsidRPr="007B1E67">
        <w:rPr>
          <w:rFonts w:ascii="Times New Roman" w:eastAsia="Times New Roman" w:hAnsi="Times New Roman" w:cs="Times New Roman"/>
          <w:i/>
          <w:lang w:eastAsia="hu-HU"/>
        </w:rPr>
        <w:t>(Outdoor logistics, atmospheric features, Airspace outdoor statistics, trajectory curve, safety parabola, calculation of maximum range and maximum trajectory condition and execution of simultaneous fire.)</w:t>
      </w:r>
    </w:p>
    <w:p w:rsidR="007B1E67" w:rsidRPr="007B1E67" w:rsidRDefault="007B1E67" w:rsidP="00980876">
      <w:pPr>
        <w:numPr>
          <w:ilvl w:val="1"/>
          <w:numId w:val="448"/>
        </w:numPr>
        <w:tabs>
          <w:tab w:val="clear" w:pos="3977"/>
          <w:tab w:val="right" w:pos="900"/>
          <w:tab w:val="num" w:pos="1425"/>
        </w:tabs>
        <w:spacing w:before="120" w:after="120" w:line="240" w:lineRule="auto"/>
        <w:ind w:left="993" w:hanging="567"/>
        <w:jc w:val="both"/>
        <w:rPr>
          <w:rFonts w:ascii="Times New Roman" w:eastAsia="Times New Roman" w:hAnsi="Times New Roman" w:cs="Times New Roman"/>
          <w:lang w:eastAsia="hu-HU"/>
        </w:rPr>
      </w:pPr>
      <w:r w:rsidRPr="007B1E67">
        <w:rPr>
          <w:rFonts w:ascii="Times New Roman" w:eastAsia="Times New Roman" w:hAnsi="Times New Roman" w:cs="Times New Roman"/>
          <w:lang w:eastAsia="hu-HU"/>
        </w:rPr>
        <w:t xml:space="preserve">A lövedék légellenállásból származó hatások koncentrált centruma és a pályán instabilitását okozó hatások és kiküszöbölésük. A lövedék stabilizálása a forgástabilizálásának elvei illetve egyenletei. </w:t>
      </w:r>
      <w:r w:rsidRPr="007B1E67">
        <w:rPr>
          <w:rFonts w:ascii="Times New Roman" w:eastAsia="Times New Roman" w:hAnsi="Times New Roman" w:cs="Times New Roman"/>
          <w:i/>
          <w:lang w:eastAsia="hu-HU"/>
        </w:rPr>
        <w:t>(Concentrated center of projectile airborne effects and effects and elimination of trajectory instability. Projectile stabilization is the principle or equation of rotation stabilization.)</w:t>
      </w:r>
    </w:p>
    <w:p w:rsidR="007B1E67" w:rsidRPr="007B1E67" w:rsidRDefault="007B1E67" w:rsidP="00980876">
      <w:pPr>
        <w:numPr>
          <w:ilvl w:val="1"/>
          <w:numId w:val="448"/>
        </w:numPr>
        <w:tabs>
          <w:tab w:val="clear" w:pos="3977"/>
          <w:tab w:val="right" w:pos="900"/>
          <w:tab w:val="num" w:pos="1425"/>
        </w:tabs>
        <w:spacing w:before="120" w:after="120" w:line="240" w:lineRule="auto"/>
        <w:ind w:left="993" w:hanging="567"/>
        <w:jc w:val="both"/>
        <w:rPr>
          <w:rFonts w:ascii="Times New Roman" w:eastAsia="Times New Roman" w:hAnsi="Times New Roman" w:cs="Times New Roman"/>
          <w:lang w:eastAsia="hu-HU"/>
        </w:rPr>
      </w:pPr>
      <w:r w:rsidRPr="007B1E67">
        <w:rPr>
          <w:rFonts w:ascii="Times New Roman" w:eastAsia="Times New Roman" w:hAnsi="Times New Roman" w:cs="Times New Roman"/>
          <w:lang w:eastAsia="hu-HU"/>
        </w:rPr>
        <w:t xml:space="preserve">Léggel telt térben való mozgásának stabilitása, minimális fordulatszám illetve a nyílstabilizálás – elve, felhasználási területe, korlátai. </w:t>
      </w:r>
      <w:r w:rsidRPr="007B1E67">
        <w:rPr>
          <w:rFonts w:ascii="Times New Roman" w:eastAsia="Times New Roman" w:hAnsi="Times New Roman" w:cs="Times New Roman"/>
          <w:i/>
          <w:lang w:eastAsia="hu-HU"/>
        </w:rPr>
        <w:t>(Stability of movement in airy space, minimum speed and arrow stabilization - principle, field of application, limits.)</w:t>
      </w:r>
    </w:p>
    <w:p w:rsidR="007B1E67" w:rsidRPr="007B1E67" w:rsidRDefault="007B1E67" w:rsidP="00980876">
      <w:pPr>
        <w:numPr>
          <w:ilvl w:val="1"/>
          <w:numId w:val="448"/>
        </w:numPr>
        <w:tabs>
          <w:tab w:val="clear" w:pos="3977"/>
          <w:tab w:val="right" w:pos="900"/>
          <w:tab w:val="num" w:pos="1425"/>
        </w:tabs>
        <w:spacing w:before="120" w:after="120" w:line="240" w:lineRule="auto"/>
        <w:ind w:left="993" w:hanging="567"/>
        <w:jc w:val="both"/>
        <w:rPr>
          <w:rFonts w:ascii="Times New Roman" w:eastAsia="Times New Roman" w:hAnsi="Times New Roman" w:cs="Times New Roman"/>
          <w:lang w:eastAsia="hu-HU"/>
        </w:rPr>
      </w:pPr>
      <w:r w:rsidRPr="007B1E67">
        <w:rPr>
          <w:rFonts w:ascii="Times New Roman" w:eastAsia="Times New Roman" w:hAnsi="Times New Roman" w:cs="Times New Roman"/>
          <w:lang w:eastAsia="hu-HU"/>
        </w:rPr>
        <w:t xml:space="preserve"> A pörgettyű mechanikája. Euler szögek, nutáció, precesszió. </w:t>
      </w:r>
      <w:r w:rsidRPr="007B1E67">
        <w:rPr>
          <w:rFonts w:ascii="Times New Roman" w:eastAsia="Times New Roman" w:hAnsi="Times New Roman" w:cs="Times New Roman"/>
          <w:i/>
          <w:lang w:eastAsia="hu-HU"/>
        </w:rPr>
        <w:t>(Mechanics of the whirlwind. Euler angles, nutation, precession.)</w:t>
      </w:r>
    </w:p>
    <w:p w:rsidR="007B1E67" w:rsidRPr="007B1E67" w:rsidRDefault="007B1E67" w:rsidP="00980876">
      <w:pPr>
        <w:numPr>
          <w:ilvl w:val="1"/>
          <w:numId w:val="448"/>
        </w:numPr>
        <w:tabs>
          <w:tab w:val="clear" w:pos="3977"/>
          <w:tab w:val="right" w:pos="900"/>
          <w:tab w:val="num" w:pos="1425"/>
        </w:tabs>
        <w:spacing w:before="120" w:after="120" w:line="240" w:lineRule="auto"/>
        <w:ind w:left="993" w:hanging="567"/>
        <w:jc w:val="both"/>
        <w:rPr>
          <w:rFonts w:ascii="Times New Roman" w:eastAsia="Times New Roman" w:hAnsi="Times New Roman" w:cs="Times New Roman"/>
          <w:lang w:eastAsia="hu-HU"/>
        </w:rPr>
      </w:pPr>
      <w:r w:rsidRPr="007B1E67">
        <w:rPr>
          <w:rFonts w:ascii="Times New Roman" w:eastAsia="Times New Roman" w:hAnsi="Times New Roman" w:cs="Times New Roman"/>
          <w:lang w:eastAsia="hu-HU"/>
        </w:rPr>
        <w:t xml:space="preserve">Az áramlási terekben lévő testekre ható erők (pld. lövedékre). Magnus hatás, párnahatás, oldalgás. </w:t>
      </w:r>
      <w:r w:rsidRPr="007B1E67">
        <w:rPr>
          <w:rFonts w:ascii="Times New Roman" w:eastAsia="Times New Roman" w:hAnsi="Times New Roman" w:cs="Times New Roman"/>
          <w:i/>
          <w:lang w:eastAsia="hu-HU"/>
        </w:rPr>
        <w:t>(Forces acting on bodies in fluid spaces (eg projectile). Magnus effect, cushion effect, side effect.)</w:t>
      </w:r>
    </w:p>
    <w:p w:rsidR="007B1E67" w:rsidRPr="007B1E67" w:rsidRDefault="007B1E67" w:rsidP="00980876">
      <w:pPr>
        <w:numPr>
          <w:ilvl w:val="1"/>
          <w:numId w:val="448"/>
        </w:numPr>
        <w:tabs>
          <w:tab w:val="clear" w:pos="3977"/>
          <w:tab w:val="right" w:pos="900"/>
          <w:tab w:val="num" w:pos="1425"/>
        </w:tabs>
        <w:spacing w:before="120" w:after="120" w:line="240" w:lineRule="auto"/>
        <w:ind w:left="993" w:hanging="567"/>
        <w:jc w:val="both"/>
        <w:rPr>
          <w:rFonts w:ascii="Times New Roman" w:eastAsia="Times New Roman" w:hAnsi="Times New Roman" w:cs="Times New Roman"/>
          <w:lang w:eastAsia="hu-HU"/>
        </w:rPr>
      </w:pPr>
      <w:r w:rsidRPr="007B1E67">
        <w:rPr>
          <w:rFonts w:ascii="Times New Roman" w:eastAsia="Times New Roman" w:hAnsi="Times New Roman" w:cs="Times New Roman"/>
          <w:lang w:eastAsia="hu-HU"/>
        </w:rPr>
        <w:t xml:space="preserve">Hangsebesség feletti áramlás tulajdonságai. </w:t>
      </w:r>
      <w:r w:rsidRPr="007B1E67">
        <w:rPr>
          <w:rFonts w:ascii="Times New Roman" w:eastAsia="Times New Roman" w:hAnsi="Times New Roman" w:cs="Times New Roman"/>
          <w:i/>
          <w:lang w:eastAsia="hu-HU"/>
        </w:rPr>
        <w:t>(Properties of Flow Above Sound Speed.)</w:t>
      </w:r>
    </w:p>
    <w:p w:rsidR="007B1E67" w:rsidRPr="007B1E67" w:rsidRDefault="007B1E67" w:rsidP="00980876">
      <w:pPr>
        <w:numPr>
          <w:ilvl w:val="1"/>
          <w:numId w:val="448"/>
        </w:numPr>
        <w:tabs>
          <w:tab w:val="clear" w:pos="3977"/>
          <w:tab w:val="right" w:pos="900"/>
          <w:tab w:val="num" w:pos="1425"/>
        </w:tabs>
        <w:spacing w:before="120" w:after="120" w:line="240" w:lineRule="auto"/>
        <w:ind w:left="993" w:hanging="567"/>
        <w:jc w:val="both"/>
        <w:rPr>
          <w:rFonts w:ascii="Times New Roman" w:eastAsia="Times New Roman" w:hAnsi="Times New Roman" w:cs="Times New Roman"/>
          <w:bCs/>
          <w:lang w:eastAsia="hu-HU"/>
        </w:rPr>
      </w:pPr>
      <w:r w:rsidRPr="007B1E67">
        <w:rPr>
          <w:rFonts w:ascii="Times New Roman" w:eastAsia="Times New Roman" w:hAnsi="Times New Roman" w:cs="Times New Roman"/>
          <w:lang w:eastAsia="hu-HU"/>
        </w:rPr>
        <w:t xml:space="preserve">Átmeneti ballisztika tárgya. lőporgázok kiáramlása nagynyomású terekből, laval fúvóka és a csőtorkolati szerelvények elmélete, áramlásos tömítések. </w:t>
      </w:r>
      <w:r w:rsidRPr="007B1E67">
        <w:rPr>
          <w:rFonts w:ascii="Times New Roman" w:eastAsia="Times New Roman" w:hAnsi="Times New Roman" w:cs="Times New Roman"/>
          <w:i/>
          <w:lang w:eastAsia="hu-HU"/>
        </w:rPr>
        <w:t>(Subject of temporary ballistics. outflow of gunpowder from high pressure spaces, laval nozzle and pipe fitting theory, flow seals.)</w:t>
      </w:r>
    </w:p>
    <w:p w:rsidR="007B1E67" w:rsidRPr="007B1E67" w:rsidRDefault="007B1E67" w:rsidP="00980876">
      <w:pPr>
        <w:numPr>
          <w:ilvl w:val="1"/>
          <w:numId w:val="448"/>
        </w:numPr>
        <w:tabs>
          <w:tab w:val="clear" w:pos="3977"/>
          <w:tab w:val="right" w:pos="900"/>
          <w:tab w:val="num" w:pos="1425"/>
        </w:tabs>
        <w:spacing w:before="120" w:after="120" w:line="240" w:lineRule="auto"/>
        <w:ind w:left="993" w:hanging="567"/>
        <w:jc w:val="both"/>
        <w:rPr>
          <w:rFonts w:ascii="Times New Roman" w:eastAsia="Times New Roman" w:hAnsi="Times New Roman" w:cs="Times New Roman"/>
          <w:bCs/>
          <w:lang w:eastAsia="hu-HU"/>
        </w:rPr>
      </w:pPr>
      <w:r w:rsidRPr="007B1E67">
        <w:rPr>
          <w:rFonts w:ascii="Times New Roman" w:eastAsia="Times New Roman" w:hAnsi="Times New Roman" w:cs="Times New Roman"/>
          <w:lang w:eastAsia="hu-HU"/>
        </w:rPr>
        <w:t xml:space="preserve">Célballisztika. Páncélátütés, repeszképződés, találati valószínűség. </w:t>
      </w:r>
      <w:r w:rsidRPr="007B1E67">
        <w:rPr>
          <w:rFonts w:ascii="Times New Roman" w:eastAsia="Times New Roman" w:hAnsi="Times New Roman" w:cs="Times New Roman"/>
          <w:i/>
          <w:lang w:eastAsia="hu-HU"/>
        </w:rPr>
        <w:t>(Target balisztic. Armor breakage, fracture, hit probability.)</w:t>
      </w:r>
    </w:p>
    <w:p w:rsidR="007B1E67" w:rsidRPr="007B1E67" w:rsidRDefault="007B1E67" w:rsidP="00980876">
      <w:pPr>
        <w:numPr>
          <w:ilvl w:val="1"/>
          <w:numId w:val="448"/>
        </w:numPr>
        <w:tabs>
          <w:tab w:val="clear" w:pos="3977"/>
          <w:tab w:val="right" w:pos="900"/>
          <w:tab w:val="num" w:pos="1425"/>
        </w:tabs>
        <w:spacing w:before="120" w:after="120" w:line="240" w:lineRule="auto"/>
        <w:ind w:left="993" w:hanging="567"/>
        <w:jc w:val="both"/>
        <w:rPr>
          <w:rFonts w:ascii="Times New Roman" w:eastAsia="Times New Roman" w:hAnsi="Times New Roman" w:cs="Times New Roman"/>
          <w:i/>
          <w:lang w:eastAsia="hu-HU"/>
        </w:rPr>
      </w:pPr>
      <w:r w:rsidRPr="007B1E67">
        <w:rPr>
          <w:rFonts w:ascii="Times New Roman" w:eastAsia="Times New Roman" w:hAnsi="Times New Roman" w:cs="Times New Roman"/>
          <w:lang w:eastAsia="hu-HU"/>
        </w:rPr>
        <w:t>Kísérleti ballisztika. Nyomás, sebesség mérése (lövész és tüzérségi fegyvereknél), mérési jegyzőkönyvnél kapott adatok és kiértékelésük</w:t>
      </w:r>
      <w:r w:rsidRPr="007B1E67">
        <w:rPr>
          <w:rFonts w:ascii="Times New Roman" w:eastAsia="Times New Roman" w:hAnsi="Times New Roman" w:cs="Times New Roman"/>
          <w:i/>
          <w:lang w:eastAsia="hu-HU"/>
        </w:rPr>
        <w:t>. (Experimental ballistics. Measurement of pressure, velocity (for shooters and artillery), measurement data obtained from measurement and their evaluation.)</w:t>
      </w:r>
    </w:p>
    <w:p w:rsidR="007B1E67" w:rsidRPr="007B1E67" w:rsidRDefault="007B1E67" w:rsidP="00980876">
      <w:pPr>
        <w:widowControl w:val="0"/>
        <w:numPr>
          <w:ilvl w:val="0"/>
          <w:numId w:val="448"/>
        </w:numPr>
        <w:tabs>
          <w:tab w:val="num" w:pos="360"/>
          <w:tab w:val="num" w:pos="644"/>
        </w:tabs>
        <w:spacing w:before="120" w:after="120" w:line="240" w:lineRule="auto"/>
        <w:ind w:left="426" w:hanging="142"/>
        <w:jc w:val="both"/>
        <w:rPr>
          <w:rFonts w:ascii="Times New Roman" w:eastAsia="Times New Roman" w:hAnsi="Times New Roman" w:cs="Times New Roman"/>
          <w:bCs/>
          <w:lang w:eastAsia="hu-HU"/>
        </w:rPr>
      </w:pPr>
      <w:r w:rsidRPr="007B1E67">
        <w:rPr>
          <w:rFonts w:ascii="Times New Roman" w:eastAsia="Times New Roman" w:hAnsi="Times New Roman" w:cs="Times New Roman"/>
          <w:b/>
          <w:bCs/>
          <w:lang w:eastAsia="hu-HU"/>
        </w:rPr>
        <w:t xml:space="preserve">A tantárgy meghirdetésének gyakorisága/a tantervben történő félévi elhelyezkedése: </w:t>
      </w:r>
      <w:r w:rsidRPr="007B1E67">
        <w:rPr>
          <w:rFonts w:ascii="Times New Roman" w:eastAsia="Times New Roman" w:hAnsi="Times New Roman" w:cs="Times New Roman"/>
          <w:bCs/>
          <w:lang w:eastAsia="hu-HU"/>
        </w:rPr>
        <w:t>évente /7. félév</w:t>
      </w:r>
    </w:p>
    <w:p w:rsidR="007B1E67" w:rsidRPr="007B1E67" w:rsidRDefault="007B1E67" w:rsidP="00980876">
      <w:pPr>
        <w:widowControl w:val="0"/>
        <w:numPr>
          <w:ilvl w:val="0"/>
          <w:numId w:val="448"/>
        </w:numPr>
        <w:tabs>
          <w:tab w:val="num" w:pos="360"/>
          <w:tab w:val="num" w:pos="644"/>
        </w:tabs>
        <w:spacing w:before="120" w:after="120" w:line="240" w:lineRule="auto"/>
        <w:ind w:left="426" w:hanging="142"/>
        <w:jc w:val="both"/>
        <w:rPr>
          <w:rFonts w:ascii="Times New Roman" w:eastAsia="Times New Roman" w:hAnsi="Times New Roman" w:cs="Times New Roman"/>
          <w:bCs/>
          <w:lang w:eastAsia="hu-HU"/>
        </w:rPr>
      </w:pPr>
      <w:r w:rsidRPr="007B1E67">
        <w:rPr>
          <w:rFonts w:ascii="Times New Roman" w:eastAsia="Times New Roman" w:hAnsi="Times New Roman" w:cs="Times New Roman"/>
          <w:b/>
          <w:bCs/>
          <w:lang w:eastAsia="hu-HU"/>
        </w:rPr>
        <w:t>A tanórákon való részvétel követelményei, az elfogadható hiányzások mértéke, a távolmaradás pótlásának lehetősége:</w:t>
      </w:r>
      <w:r w:rsidRPr="007B1E67">
        <w:rPr>
          <w:rFonts w:ascii="Times New Roman" w:eastAsia="Times New Roman" w:hAnsi="Times New Roman" w:cs="Times New Roman"/>
          <w:bCs/>
          <w:lang w:eastAsia="hu-HU"/>
        </w:rPr>
        <w:t xml:space="preserve"> </w:t>
      </w:r>
    </w:p>
    <w:p w:rsidR="007B1E67" w:rsidRPr="007B1E67" w:rsidRDefault="007B1E67" w:rsidP="007B1E67">
      <w:pPr>
        <w:widowControl w:val="0"/>
        <w:spacing w:before="120" w:after="120" w:line="240" w:lineRule="auto"/>
        <w:ind w:left="426"/>
        <w:jc w:val="both"/>
        <w:rPr>
          <w:rFonts w:ascii="Times New Roman" w:eastAsia="Times New Roman" w:hAnsi="Times New Roman" w:cs="Times New Roman"/>
          <w:bCs/>
          <w:lang w:eastAsia="hu-HU"/>
        </w:rPr>
      </w:pPr>
      <w:r w:rsidRPr="007B1E67">
        <w:rPr>
          <w:rFonts w:ascii="Times New Roman" w:eastAsia="Times New Roman" w:hAnsi="Times New Roman" w:cs="Times New Roman"/>
          <w:bCs/>
          <w:lang w:eastAsia="hu-HU"/>
        </w:rPr>
        <w:t>A hallgatónak a tanórák legalább 70 %-án jelen kell lennie, 30 %-ot meghaladó hiányzás esetén a félév teljesítése nem írható alá. A hallgató köteles az előadás és a gyakorlat anyagát beszerezni, abból önállóan felkészülni. A hiányzás pótolható az oktató által kijelölt témakörben beadott, legalább elégségesre értékelt házidolgozattal.</w:t>
      </w:r>
    </w:p>
    <w:p w:rsidR="007B1E67" w:rsidRPr="007B1E67" w:rsidRDefault="007B1E67" w:rsidP="00980876">
      <w:pPr>
        <w:widowControl w:val="0"/>
        <w:numPr>
          <w:ilvl w:val="0"/>
          <w:numId w:val="448"/>
        </w:numPr>
        <w:tabs>
          <w:tab w:val="num" w:pos="360"/>
          <w:tab w:val="num" w:pos="644"/>
        </w:tabs>
        <w:spacing w:before="120" w:after="120" w:line="240" w:lineRule="auto"/>
        <w:ind w:left="426" w:hanging="142"/>
        <w:jc w:val="both"/>
        <w:rPr>
          <w:rFonts w:ascii="Times New Roman" w:eastAsia="Times New Roman" w:hAnsi="Times New Roman" w:cs="Times New Roman"/>
          <w:bCs/>
          <w:lang w:eastAsia="hu-HU"/>
        </w:rPr>
      </w:pPr>
      <w:r w:rsidRPr="007B1E67">
        <w:rPr>
          <w:rFonts w:ascii="Times New Roman" w:eastAsia="Times New Roman" w:hAnsi="Times New Roman" w:cs="Times New Roman"/>
          <w:b/>
          <w:lang w:eastAsia="hu-HU"/>
        </w:rPr>
        <w:t>Félévközi feladatok, ismeretek ellenőrzésének rendje:</w:t>
      </w:r>
      <w:r w:rsidRPr="007B1E67">
        <w:rPr>
          <w:rFonts w:ascii="Times New Roman" w:eastAsia="Times New Roman" w:hAnsi="Times New Roman" w:cs="Times New Roman"/>
          <w:bCs/>
          <w:lang w:eastAsia="hu-HU"/>
        </w:rPr>
        <w:t xml:space="preserve"> A félév során a hallgató kettő zárthelyi dolgozatot ír. Zárthelyi dolgozatok a 12.1-12.15 tantárgyrészekből.</w:t>
      </w:r>
      <w:r w:rsidRPr="007B1E67">
        <w:rPr>
          <w:rFonts w:ascii="Times New Roman" w:eastAsia="Times New Roman" w:hAnsi="Times New Roman" w:cs="Times New Roman"/>
          <w:lang w:eastAsia="hu-HU"/>
        </w:rPr>
        <w:t xml:space="preserve"> </w:t>
      </w:r>
      <w:r w:rsidRPr="007B1E67">
        <w:rPr>
          <w:rFonts w:ascii="Times New Roman" w:eastAsia="Times New Roman" w:hAnsi="Times New Roman" w:cs="Times New Roman"/>
          <w:bCs/>
          <w:lang w:eastAsia="hu-HU"/>
        </w:rPr>
        <w:t>A zárthelyi dolgozat témáit a kötelező irodalmak anyagából, illetve az előadásokon elhangzott ismeretanyagból kell összeállítani. A zárthelyi dolgozat értékelése ötfokozatú értékelés (a helyes válaszok aránya 0-</w:t>
      </w:r>
      <w:r w:rsidRPr="007B1E67">
        <w:rPr>
          <w:rFonts w:ascii="Times New Roman" w:eastAsia="Times New Roman" w:hAnsi="Times New Roman" w:cs="Times New Roman"/>
          <w:bCs/>
          <w:lang w:eastAsia="hu-HU"/>
        </w:rPr>
        <w:lastRenderedPageBreak/>
        <w:t>60% elégtelen; 61-70% elégséges; 71-80% közepes; 81-90% jó; 91-100% jeles osztályzat). Eredménytelen zárthelyi dolgozat kétszer javítható</w:t>
      </w:r>
      <w:r w:rsidRPr="007B1E67">
        <w:rPr>
          <w:rFonts w:ascii="Times New Roman" w:eastAsia="Times New Roman" w:hAnsi="Times New Roman" w:cs="Times New Roman"/>
          <w:b/>
          <w:bCs/>
          <w:lang w:eastAsia="hu-HU"/>
        </w:rPr>
        <w:t>.</w:t>
      </w:r>
      <w:r w:rsidRPr="007B1E67">
        <w:rPr>
          <w:rFonts w:ascii="Times New Roman" w:eastAsia="Times New Roman" w:hAnsi="Times New Roman" w:cs="Times New Roman"/>
          <w:bCs/>
          <w:lang w:eastAsia="hu-HU"/>
        </w:rPr>
        <w:t xml:space="preserve"> A dolgozatban teszt és esszé jellegű kérdések egyaránt szerepelnek.</w:t>
      </w:r>
    </w:p>
    <w:p w:rsidR="007B1E67" w:rsidRPr="007B1E67" w:rsidRDefault="007B1E67" w:rsidP="00980876">
      <w:pPr>
        <w:widowControl w:val="0"/>
        <w:numPr>
          <w:ilvl w:val="0"/>
          <w:numId w:val="448"/>
        </w:numPr>
        <w:tabs>
          <w:tab w:val="num" w:pos="644"/>
        </w:tabs>
        <w:spacing w:before="120" w:after="120" w:line="240" w:lineRule="auto"/>
        <w:ind w:left="426" w:hanging="142"/>
        <w:jc w:val="both"/>
        <w:rPr>
          <w:rFonts w:ascii="Times New Roman" w:eastAsia="Times New Roman" w:hAnsi="Times New Roman" w:cs="Times New Roman"/>
          <w:b/>
          <w:bCs/>
          <w:lang w:eastAsia="hu-HU"/>
        </w:rPr>
      </w:pPr>
      <w:r w:rsidRPr="007B1E67">
        <w:rPr>
          <w:rFonts w:ascii="Times New Roman" w:eastAsia="Times New Roman" w:hAnsi="Times New Roman" w:cs="Times New Roman"/>
          <w:b/>
          <w:bCs/>
          <w:lang w:eastAsia="hu-HU"/>
        </w:rPr>
        <w:t xml:space="preserve">Az értékelés, az aláírás és a kreditek megszerzésének pontos feltételei: </w:t>
      </w:r>
    </w:p>
    <w:p w:rsidR="007B1E67" w:rsidRPr="007B1E67" w:rsidRDefault="007B1E67" w:rsidP="00980876">
      <w:pPr>
        <w:widowControl w:val="0"/>
        <w:numPr>
          <w:ilvl w:val="1"/>
          <w:numId w:val="448"/>
        </w:numPr>
        <w:tabs>
          <w:tab w:val="clear" w:pos="3977"/>
          <w:tab w:val="left" w:pos="709"/>
          <w:tab w:val="left" w:pos="993"/>
          <w:tab w:val="num" w:pos="1425"/>
          <w:tab w:val="num" w:pos="2069"/>
        </w:tabs>
        <w:spacing w:before="120" w:after="120" w:line="240" w:lineRule="auto"/>
        <w:ind w:left="426" w:firstLine="0"/>
        <w:jc w:val="both"/>
        <w:rPr>
          <w:rFonts w:ascii="Times New Roman" w:eastAsia="Times New Roman" w:hAnsi="Times New Roman" w:cs="Times New Roman"/>
          <w:lang w:eastAsia="hu-HU"/>
        </w:rPr>
      </w:pPr>
      <w:r w:rsidRPr="007B1E67">
        <w:rPr>
          <w:rFonts w:ascii="Times New Roman" w:eastAsia="Times New Roman" w:hAnsi="Times New Roman" w:cs="Times New Roman"/>
          <w:b/>
          <w:lang w:eastAsia="hu-HU"/>
        </w:rPr>
        <w:t>Az aláírás megszerzésének feltételei:</w:t>
      </w:r>
      <w:r w:rsidRPr="007B1E67">
        <w:rPr>
          <w:rFonts w:ascii="Times New Roman" w:eastAsia="Times New Roman" w:hAnsi="Times New Roman" w:cs="Times New Roman"/>
          <w:lang w:eastAsia="hu-HU"/>
        </w:rPr>
        <w:t xml:space="preserve"> </w:t>
      </w:r>
      <w:r w:rsidRPr="007B1E67">
        <w:rPr>
          <w:rFonts w:ascii="Times New Roman" w:eastAsia="Times New Roman" w:hAnsi="Times New Roman" w:cs="Times New Roman"/>
          <w:bCs/>
          <w:lang w:eastAsia="hu-HU"/>
        </w:rPr>
        <w:t>Az aláírás megszerzésének feltétele a 14. pontban meghatározott arányú részvétel a foglalkozásokon és a 15. pontban meghatározott félévközi feladatok legalább elégséges teljesítése.</w:t>
      </w:r>
    </w:p>
    <w:p w:rsidR="007B1E67" w:rsidRPr="007B1E67" w:rsidRDefault="007B1E67" w:rsidP="00980876">
      <w:pPr>
        <w:widowControl w:val="0"/>
        <w:numPr>
          <w:ilvl w:val="1"/>
          <w:numId w:val="448"/>
        </w:numPr>
        <w:tabs>
          <w:tab w:val="clear" w:pos="3977"/>
          <w:tab w:val="left" w:pos="709"/>
          <w:tab w:val="left" w:pos="993"/>
          <w:tab w:val="num" w:pos="1425"/>
          <w:tab w:val="num" w:pos="2069"/>
        </w:tabs>
        <w:spacing w:before="120" w:after="120" w:line="240" w:lineRule="auto"/>
        <w:ind w:left="426" w:firstLine="0"/>
        <w:jc w:val="both"/>
        <w:rPr>
          <w:rFonts w:ascii="Times New Roman" w:eastAsia="Times New Roman" w:hAnsi="Times New Roman" w:cs="Times New Roman"/>
          <w:lang w:eastAsia="hu-HU"/>
        </w:rPr>
      </w:pPr>
      <w:r w:rsidRPr="007B1E67">
        <w:rPr>
          <w:rFonts w:ascii="Times New Roman" w:eastAsia="Times New Roman" w:hAnsi="Times New Roman" w:cs="Times New Roman"/>
          <w:b/>
          <w:lang w:eastAsia="hu-HU"/>
        </w:rPr>
        <w:t>Az értékelés:</w:t>
      </w:r>
      <w:r w:rsidRPr="007B1E67">
        <w:rPr>
          <w:rFonts w:ascii="Times New Roman" w:eastAsia="Times New Roman" w:hAnsi="Times New Roman" w:cs="Times New Roman"/>
          <w:lang w:eastAsia="hu-HU"/>
        </w:rPr>
        <w:t xml:space="preserve"> évközi értékelés, ötfokozatú értékelés.</w:t>
      </w:r>
      <w:r w:rsidRPr="007B1E67">
        <w:rPr>
          <w:rFonts w:ascii="Times New Roman" w:eastAsia="Times New Roman" w:hAnsi="Times New Roman" w:cs="Times New Roman"/>
          <w:bCs/>
          <w:lang w:eastAsia="hu-HU"/>
        </w:rPr>
        <w:t xml:space="preserve"> Az évközi értékelést az elért eredmények kerekített matematikai átlaga képezi.</w:t>
      </w:r>
    </w:p>
    <w:p w:rsidR="007B1E67" w:rsidRPr="007B1E67" w:rsidRDefault="007B1E67" w:rsidP="00980876">
      <w:pPr>
        <w:widowControl w:val="0"/>
        <w:numPr>
          <w:ilvl w:val="1"/>
          <w:numId w:val="448"/>
        </w:numPr>
        <w:tabs>
          <w:tab w:val="clear" w:pos="3977"/>
          <w:tab w:val="left" w:pos="709"/>
          <w:tab w:val="left" w:pos="993"/>
          <w:tab w:val="num" w:pos="1425"/>
          <w:tab w:val="num" w:pos="2069"/>
        </w:tabs>
        <w:spacing w:before="120" w:after="120" w:line="240" w:lineRule="auto"/>
        <w:ind w:left="426" w:firstLine="0"/>
        <w:jc w:val="both"/>
        <w:rPr>
          <w:rFonts w:ascii="Times New Roman" w:eastAsia="Times New Roman" w:hAnsi="Times New Roman" w:cs="Times New Roman"/>
          <w:lang w:eastAsia="hu-HU"/>
        </w:rPr>
      </w:pPr>
      <w:r w:rsidRPr="007B1E67">
        <w:rPr>
          <w:rFonts w:ascii="Times New Roman" w:eastAsia="Times New Roman" w:hAnsi="Times New Roman" w:cs="Times New Roman"/>
          <w:b/>
          <w:lang w:eastAsia="hu-HU"/>
        </w:rPr>
        <w:t>A kreditek megszerzésének feltételei:</w:t>
      </w:r>
      <w:r w:rsidRPr="007B1E67">
        <w:rPr>
          <w:rFonts w:ascii="Times New Roman" w:eastAsia="Times New Roman" w:hAnsi="Times New Roman" w:cs="Times New Roman"/>
          <w:lang w:eastAsia="hu-HU"/>
        </w:rPr>
        <w:t xml:space="preserve"> az aláírás megszerzése és legalább elégséges</w:t>
      </w:r>
      <w:r w:rsidRPr="007B1E67">
        <w:rPr>
          <w:rFonts w:ascii="Times New Roman" w:eastAsia="Times New Roman" w:hAnsi="Times New Roman" w:cs="Times New Roman"/>
          <w:b/>
          <w:lang w:eastAsia="hu-HU"/>
        </w:rPr>
        <w:t xml:space="preserve"> </w:t>
      </w:r>
      <w:r w:rsidRPr="007B1E67">
        <w:rPr>
          <w:rFonts w:ascii="Times New Roman" w:eastAsia="Times New Roman" w:hAnsi="Times New Roman" w:cs="Times New Roman"/>
          <w:lang w:eastAsia="hu-HU"/>
        </w:rPr>
        <w:t>évközi értékelés</w:t>
      </w:r>
      <w:r w:rsidRPr="007B1E67">
        <w:rPr>
          <w:rFonts w:ascii="Times New Roman" w:eastAsia="Times New Roman" w:hAnsi="Times New Roman" w:cs="Times New Roman"/>
          <w:bCs/>
          <w:lang w:eastAsia="hu-HU"/>
        </w:rPr>
        <w:t>.</w:t>
      </w:r>
    </w:p>
    <w:p w:rsidR="007B1E67" w:rsidRPr="007B1E67" w:rsidRDefault="007B1E67" w:rsidP="00980876">
      <w:pPr>
        <w:numPr>
          <w:ilvl w:val="0"/>
          <w:numId w:val="448"/>
        </w:numPr>
        <w:tabs>
          <w:tab w:val="clear" w:pos="720"/>
          <w:tab w:val="num" w:pos="426"/>
          <w:tab w:val="num" w:pos="644"/>
        </w:tabs>
        <w:spacing w:before="120" w:after="120" w:line="240" w:lineRule="auto"/>
        <w:ind w:left="426" w:hanging="142"/>
        <w:jc w:val="both"/>
        <w:rPr>
          <w:rFonts w:ascii="Times New Roman" w:eastAsia="Times New Roman" w:hAnsi="Times New Roman" w:cs="Times New Roman"/>
          <w:b/>
          <w:lang w:eastAsia="hu-HU"/>
        </w:rPr>
      </w:pPr>
      <w:r w:rsidRPr="007B1E67">
        <w:rPr>
          <w:rFonts w:ascii="Times New Roman" w:eastAsia="Times New Roman" w:hAnsi="Times New Roman" w:cs="Times New Roman"/>
          <w:b/>
          <w:lang w:eastAsia="hu-HU"/>
        </w:rPr>
        <w:t>Irodalomjegyzék:</w:t>
      </w:r>
    </w:p>
    <w:p w:rsidR="007B1E67" w:rsidRPr="007B1E67" w:rsidRDefault="007B1E67" w:rsidP="00980876">
      <w:pPr>
        <w:numPr>
          <w:ilvl w:val="1"/>
          <w:numId w:val="448"/>
        </w:numPr>
        <w:tabs>
          <w:tab w:val="clear" w:pos="3977"/>
          <w:tab w:val="left" w:pos="1134"/>
          <w:tab w:val="num" w:pos="1425"/>
        </w:tabs>
        <w:spacing w:before="120" w:after="120" w:line="240" w:lineRule="auto"/>
        <w:ind w:left="568" w:firstLine="0"/>
        <w:jc w:val="both"/>
        <w:rPr>
          <w:rFonts w:ascii="Times New Roman" w:eastAsia="Times New Roman" w:hAnsi="Times New Roman" w:cs="Times New Roman"/>
          <w:b/>
          <w:lang w:eastAsia="hu-HU"/>
        </w:rPr>
      </w:pPr>
      <w:r w:rsidRPr="007B1E67">
        <w:rPr>
          <w:rFonts w:ascii="Times New Roman" w:eastAsia="Times New Roman" w:hAnsi="Times New Roman" w:cs="Times New Roman"/>
          <w:b/>
          <w:lang w:eastAsia="hu-HU"/>
        </w:rPr>
        <w:t>Kötelező irodalom:</w:t>
      </w:r>
    </w:p>
    <w:p w:rsidR="007B1E67" w:rsidRPr="007B1E67" w:rsidRDefault="007B1E67" w:rsidP="00980876">
      <w:pPr>
        <w:numPr>
          <w:ilvl w:val="0"/>
          <w:numId w:val="449"/>
        </w:numPr>
        <w:spacing w:after="0" w:line="240" w:lineRule="auto"/>
        <w:ind w:left="1134" w:hanging="357"/>
        <w:jc w:val="both"/>
        <w:rPr>
          <w:rFonts w:ascii="Times New Roman" w:eastAsia="Times New Roman" w:hAnsi="Times New Roman" w:cs="Times New Roman"/>
          <w:lang w:eastAsia="hu-HU"/>
        </w:rPr>
      </w:pPr>
      <w:r w:rsidRPr="007B1E67">
        <w:rPr>
          <w:rFonts w:ascii="Times New Roman" w:eastAsia="Times New Roman" w:hAnsi="Times New Roman" w:cs="Times New Roman"/>
          <w:lang w:eastAsia="hu-HU"/>
        </w:rPr>
        <w:t>Löfe/104 7,62 mm PKM és PKMSZ géppuska anyagismereti és kezelési utasítása. HM. kiadvány.</w:t>
      </w:r>
    </w:p>
    <w:p w:rsidR="007B1E67" w:rsidRPr="007B1E67" w:rsidRDefault="007B1E67" w:rsidP="00980876">
      <w:pPr>
        <w:numPr>
          <w:ilvl w:val="0"/>
          <w:numId w:val="449"/>
        </w:numPr>
        <w:spacing w:after="0" w:line="240" w:lineRule="auto"/>
        <w:ind w:left="1134" w:hanging="357"/>
        <w:jc w:val="both"/>
        <w:rPr>
          <w:rFonts w:ascii="Times New Roman" w:eastAsia="Times New Roman" w:hAnsi="Times New Roman" w:cs="Times New Roman"/>
          <w:lang w:eastAsia="hu-HU"/>
        </w:rPr>
      </w:pPr>
      <w:r w:rsidRPr="007B1E67">
        <w:rPr>
          <w:rFonts w:ascii="Times New Roman" w:eastAsia="Times New Roman" w:hAnsi="Times New Roman" w:cs="Times New Roman"/>
          <w:lang w:eastAsia="hu-HU"/>
        </w:rPr>
        <w:t>Löfe/33 RPG-7 kézi páncélelhárító gránátvet</w:t>
      </w:r>
      <w:r w:rsidRPr="007B1E67">
        <w:rPr>
          <w:rFonts w:ascii="Times New Roman" w:eastAsia="Times New Roman" w:hAnsi="Times New Roman" w:cs="Times New Roman" w:hint="eastAsia"/>
          <w:lang w:eastAsia="hu-HU"/>
        </w:rPr>
        <w:t>ő</w:t>
      </w:r>
      <w:r w:rsidRPr="007B1E67">
        <w:rPr>
          <w:rFonts w:ascii="Times New Roman" w:eastAsia="Times New Roman" w:hAnsi="Times New Roman" w:cs="Times New Roman"/>
          <w:lang w:eastAsia="hu-HU"/>
        </w:rPr>
        <w:t xml:space="preserve"> és a PG-7V l</w:t>
      </w:r>
      <w:r w:rsidRPr="007B1E67">
        <w:rPr>
          <w:rFonts w:ascii="Times New Roman" w:eastAsia="Times New Roman" w:hAnsi="Times New Roman" w:cs="Times New Roman" w:hint="eastAsia"/>
          <w:lang w:eastAsia="hu-HU"/>
        </w:rPr>
        <w:t>ő</w:t>
      </w:r>
      <w:r w:rsidRPr="007B1E67">
        <w:rPr>
          <w:rFonts w:ascii="Times New Roman" w:eastAsia="Times New Roman" w:hAnsi="Times New Roman" w:cs="Times New Roman"/>
          <w:lang w:eastAsia="hu-HU"/>
        </w:rPr>
        <w:t>szer szolgálati és l</w:t>
      </w:r>
      <w:r w:rsidRPr="007B1E67">
        <w:rPr>
          <w:rFonts w:ascii="Times New Roman" w:eastAsia="Times New Roman" w:hAnsi="Times New Roman" w:cs="Times New Roman" w:hint="eastAsia"/>
          <w:lang w:eastAsia="hu-HU"/>
        </w:rPr>
        <w:t>ő</w:t>
      </w:r>
      <w:r w:rsidRPr="007B1E67">
        <w:rPr>
          <w:rFonts w:ascii="Times New Roman" w:eastAsia="Times New Roman" w:hAnsi="Times New Roman" w:cs="Times New Roman"/>
          <w:lang w:eastAsia="hu-HU"/>
        </w:rPr>
        <w:t>utasítása. HM. kiadvány.</w:t>
      </w:r>
    </w:p>
    <w:p w:rsidR="007B1E67" w:rsidRPr="007B1E67" w:rsidRDefault="007B1E67" w:rsidP="00980876">
      <w:pPr>
        <w:numPr>
          <w:ilvl w:val="0"/>
          <w:numId w:val="449"/>
        </w:numPr>
        <w:spacing w:after="0" w:line="240" w:lineRule="auto"/>
        <w:ind w:left="1134" w:hanging="357"/>
        <w:jc w:val="both"/>
        <w:rPr>
          <w:rFonts w:ascii="Times New Roman" w:eastAsia="Times New Roman" w:hAnsi="Times New Roman" w:cs="Times New Roman"/>
          <w:lang w:eastAsia="hu-HU"/>
        </w:rPr>
      </w:pPr>
      <w:r w:rsidRPr="007B1E67">
        <w:rPr>
          <w:rFonts w:ascii="Times New Roman" w:eastAsia="Times New Roman" w:hAnsi="Times New Roman" w:cs="Times New Roman"/>
          <w:lang w:eastAsia="hu-HU"/>
        </w:rPr>
        <w:t>Löfe/109 A 7,62 mm Dragunov távcsöves puska anyagismereti és l</w:t>
      </w:r>
      <w:r w:rsidRPr="007B1E67">
        <w:rPr>
          <w:rFonts w:ascii="Times New Roman" w:eastAsia="Times New Roman" w:hAnsi="Times New Roman" w:cs="Times New Roman" w:hint="eastAsia"/>
          <w:lang w:eastAsia="hu-HU"/>
        </w:rPr>
        <w:t>ő</w:t>
      </w:r>
      <w:r w:rsidRPr="007B1E67">
        <w:rPr>
          <w:rFonts w:ascii="Times New Roman" w:eastAsia="Times New Roman" w:hAnsi="Times New Roman" w:cs="Times New Roman"/>
          <w:lang w:eastAsia="hu-HU"/>
        </w:rPr>
        <w:t>utasítása. HM. kiadvány.</w:t>
      </w:r>
    </w:p>
    <w:p w:rsidR="007B1E67" w:rsidRPr="007B1E67" w:rsidRDefault="007B1E67" w:rsidP="00980876">
      <w:pPr>
        <w:numPr>
          <w:ilvl w:val="0"/>
          <w:numId w:val="449"/>
        </w:numPr>
        <w:spacing w:after="0" w:line="240" w:lineRule="auto"/>
        <w:ind w:left="1134" w:hanging="357"/>
        <w:jc w:val="both"/>
        <w:rPr>
          <w:rFonts w:ascii="Times New Roman" w:eastAsia="Times New Roman" w:hAnsi="Times New Roman" w:cs="Times New Roman"/>
          <w:lang w:eastAsia="hu-HU"/>
        </w:rPr>
      </w:pPr>
      <w:r w:rsidRPr="007B1E67">
        <w:rPr>
          <w:rFonts w:ascii="Times New Roman" w:eastAsia="Times New Roman" w:hAnsi="Times New Roman" w:cs="Times New Roman"/>
          <w:lang w:eastAsia="hu-HU"/>
        </w:rPr>
        <w:t>Dr. Farkas Tivadar: L</w:t>
      </w:r>
      <w:r w:rsidRPr="007B1E67">
        <w:rPr>
          <w:rFonts w:ascii="Times New Roman" w:eastAsia="Times New Roman" w:hAnsi="Times New Roman" w:cs="Times New Roman" w:hint="eastAsia"/>
          <w:lang w:eastAsia="hu-HU"/>
        </w:rPr>
        <w:t>ő</w:t>
      </w:r>
      <w:r w:rsidRPr="007B1E67">
        <w:rPr>
          <w:rFonts w:ascii="Times New Roman" w:eastAsia="Times New Roman" w:hAnsi="Times New Roman" w:cs="Times New Roman"/>
          <w:lang w:eastAsia="hu-HU"/>
        </w:rPr>
        <w:t>fegyverek rendszertana I-II. (ZMNE jegyzet, Budapest, 2000) ISBN: 9630035596</w:t>
      </w:r>
    </w:p>
    <w:p w:rsidR="007B1E67" w:rsidRPr="007B1E67" w:rsidRDefault="007B1E67" w:rsidP="00980876">
      <w:pPr>
        <w:numPr>
          <w:ilvl w:val="1"/>
          <w:numId w:val="448"/>
        </w:numPr>
        <w:tabs>
          <w:tab w:val="clear" w:pos="3977"/>
          <w:tab w:val="left" w:pos="1134"/>
          <w:tab w:val="num" w:pos="1425"/>
        </w:tabs>
        <w:spacing w:before="120" w:after="120" w:line="240" w:lineRule="auto"/>
        <w:ind w:left="568" w:firstLine="0"/>
        <w:jc w:val="both"/>
        <w:rPr>
          <w:rFonts w:ascii="Times New Roman" w:eastAsia="Times New Roman" w:hAnsi="Times New Roman" w:cs="Times New Roman"/>
          <w:b/>
          <w:lang w:eastAsia="hu-HU"/>
        </w:rPr>
      </w:pPr>
      <w:r w:rsidRPr="007B1E67">
        <w:rPr>
          <w:rFonts w:ascii="Times New Roman" w:eastAsia="Times New Roman" w:hAnsi="Times New Roman" w:cs="Times New Roman"/>
          <w:b/>
          <w:lang w:eastAsia="hu-HU"/>
        </w:rPr>
        <w:t>Ajánlott irodalom:</w:t>
      </w:r>
    </w:p>
    <w:p w:rsidR="007B1E67" w:rsidRPr="007B1E67" w:rsidRDefault="007B1E67" w:rsidP="00980876">
      <w:pPr>
        <w:numPr>
          <w:ilvl w:val="0"/>
          <w:numId w:val="450"/>
        </w:numPr>
        <w:spacing w:after="0" w:line="240" w:lineRule="auto"/>
        <w:ind w:hanging="357"/>
        <w:jc w:val="both"/>
        <w:rPr>
          <w:rFonts w:ascii="Times New Roman" w:eastAsia="Times New Roman" w:hAnsi="Times New Roman" w:cs="Times New Roman"/>
          <w:lang w:eastAsia="hu-HU"/>
        </w:rPr>
      </w:pPr>
      <w:r w:rsidRPr="007B1E67">
        <w:rPr>
          <w:rFonts w:ascii="Times New Roman" w:eastAsia="Times New Roman" w:hAnsi="Times New Roman" w:cs="Times New Roman"/>
          <w:lang w:eastAsia="hu-HU"/>
        </w:rPr>
        <w:t>Löfe/7 9 mm-es  PA-63 pisztoly javítási utasítása. HM. kiadvány</w:t>
      </w:r>
    </w:p>
    <w:p w:rsidR="007B1E67" w:rsidRPr="007B1E67" w:rsidRDefault="007B1E67" w:rsidP="00980876">
      <w:pPr>
        <w:numPr>
          <w:ilvl w:val="0"/>
          <w:numId w:val="450"/>
        </w:numPr>
        <w:spacing w:after="0" w:line="240" w:lineRule="auto"/>
        <w:ind w:hanging="357"/>
        <w:jc w:val="both"/>
        <w:rPr>
          <w:rFonts w:ascii="Times New Roman" w:eastAsia="Times New Roman" w:hAnsi="Times New Roman" w:cs="Times New Roman"/>
          <w:lang w:eastAsia="hu-HU"/>
        </w:rPr>
      </w:pPr>
      <w:r w:rsidRPr="007B1E67">
        <w:rPr>
          <w:rFonts w:ascii="Times New Roman" w:eastAsia="Times New Roman" w:hAnsi="Times New Roman" w:cs="Times New Roman"/>
          <w:lang w:eastAsia="hu-HU"/>
        </w:rPr>
        <w:t xml:space="preserve">Löfe/108 A </w:t>
      </w:r>
      <w:smartTag w:uri="urn:schemas-microsoft-com:office:smarttags" w:element="metricconverter">
        <w:smartTagPr>
          <w:attr w:name="ProductID" w:val="7,62 mm"/>
        </w:smartTagPr>
        <w:r w:rsidRPr="007B1E67">
          <w:rPr>
            <w:rFonts w:ascii="Times New Roman" w:eastAsia="Times New Roman" w:hAnsi="Times New Roman" w:cs="Times New Roman"/>
            <w:lang w:eastAsia="hu-HU"/>
          </w:rPr>
          <w:t>7,62 mm</w:t>
        </w:r>
      </w:smartTag>
      <w:r w:rsidRPr="007B1E67">
        <w:rPr>
          <w:rFonts w:ascii="Times New Roman" w:eastAsia="Times New Roman" w:hAnsi="Times New Roman" w:cs="Times New Roman"/>
          <w:lang w:eastAsia="hu-HU"/>
        </w:rPr>
        <w:t xml:space="preserve"> PKM, PKMSZ, PKT és PKB Kalasnyikov géppuskák javítási utasítása. HM. kiadvány</w:t>
      </w:r>
    </w:p>
    <w:p w:rsidR="007B1E67" w:rsidRPr="007B1E67" w:rsidRDefault="004D708E" w:rsidP="00980876">
      <w:pPr>
        <w:numPr>
          <w:ilvl w:val="0"/>
          <w:numId w:val="450"/>
        </w:numPr>
        <w:spacing w:after="0" w:line="240" w:lineRule="auto"/>
        <w:ind w:hanging="357"/>
        <w:jc w:val="both"/>
        <w:rPr>
          <w:rFonts w:ascii="Times New Roman" w:eastAsia="Times New Roman" w:hAnsi="Times New Roman" w:cs="Times New Roman"/>
          <w:lang w:eastAsia="hu-HU"/>
        </w:rPr>
      </w:pPr>
      <w:hyperlink r:id="rId16" w:tooltip="Find all the author's book" w:history="1">
        <w:r w:rsidR="007B1E67" w:rsidRPr="007B1E67">
          <w:rPr>
            <w:rFonts w:ascii="Times New Roman" w:eastAsia="Times New Roman" w:hAnsi="Times New Roman" w:cs="Times New Roman"/>
            <w:lang w:eastAsia="hu-HU"/>
          </w:rPr>
          <w:t>Donald E. Carlucci</w:t>
        </w:r>
      </w:hyperlink>
      <w:r w:rsidR="007B1E67" w:rsidRPr="007B1E67">
        <w:rPr>
          <w:rFonts w:ascii="Times New Roman" w:eastAsia="Times New Roman" w:hAnsi="Times New Roman" w:cs="Times New Roman"/>
          <w:lang w:eastAsia="hu-HU"/>
        </w:rPr>
        <w:t>, </w:t>
      </w:r>
      <w:hyperlink r:id="rId17" w:tooltip="Find all the author's book" w:history="1">
        <w:r w:rsidR="007B1E67" w:rsidRPr="007B1E67">
          <w:rPr>
            <w:rFonts w:ascii="Times New Roman" w:eastAsia="Times New Roman" w:hAnsi="Times New Roman" w:cs="Times New Roman"/>
            <w:lang w:eastAsia="hu-HU"/>
          </w:rPr>
          <w:t>Sidney S. Jacobson</w:t>
        </w:r>
      </w:hyperlink>
      <w:r w:rsidR="007B1E67" w:rsidRPr="007B1E67">
        <w:rPr>
          <w:rFonts w:ascii="Times New Roman" w:eastAsia="Times New Roman" w:hAnsi="Times New Roman" w:cs="Times New Roman"/>
          <w:lang w:eastAsia="hu-HU"/>
        </w:rPr>
        <w:t>, Ballistics: Theory and Design of Guns and Ammunition, CRC Press, 2018. ISBN 113805531X</w:t>
      </w:r>
    </w:p>
    <w:p w:rsidR="007B1E67" w:rsidRPr="007B1E67" w:rsidRDefault="007B1E67" w:rsidP="007B1E67">
      <w:pPr>
        <w:tabs>
          <w:tab w:val="right" w:pos="720"/>
          <w:tab w:val="center" w:pos="4819"/>
        </w:tabs>
        <w:spacing w:before="120" w:after="120" w:line="240" w:lineRule="auto"/>
        <w:ind w:left="646"/>
        <w:jc w:val="both"/>
        <w:rPr>
          <w:rFonts w:ascii="Times New Roman" w:eastAsia="Times New Roman" w:hAnsi="Times New Roman" w:cs="Times New Roman"/>
          <w:lang w:eastAsia="hu-HU"/>
        </w:rPr>
      </w:pPr>
    </w:p>
    <w:p w:rsidR="007B1E67" w:rsidRPr="007B1E67" w:rsidRDefault="007B1E67" w:rsidP="007B1E67">
      <w:pPr>
        <w:spacing w:before="120" w:after="120" w:line="240" w:lineRule="auto"/>
        <w:jc w:val="both"/>
        <w:rPr>
          <w:rFonts w:ascii="Times New Roman" w:eastAsia="Times New Roman" w:hAnsi="Times New Roman" w:cs="Times New Roman"/>
          <w:lang w:eastAsia="hu-HU"/>
        </w:rPr>
      </w:pPr>
      <w:r w:rsidRPr="007B1E67">
        <w:rPr>
          <w:rFonts w:ascii="Times New Roman" w:eastAsia="Times New Roman" w:hAnsi="Times New Roman" w:cs="Times New Roman"/>
          <w:lang w:eastAsia="hu-HU"/>
        </w:rPr>
        <w:t xml:space="preserve">Budapest, 2020. </w:t>
      </w:r>
      <w:r w:rsidR="00F3027C">
        <w:rPr>
          <w:rFonts w:ascii="Times New Roman" w:eastAsia="Times New Roman" w:hAnsi="Times New Roman" w:cs="Times New Roman"/>
          <w:lang w:eastAsia="hu-HU"/>
        </w:rPr>
        <w:t>március</w:t>
      </w:r>
      <w:r w:rsidRPr="007B1E67">
        <w:rPr>
          <w:rFonts w:ascii="Times New Roman" w:eastAsia="Times New Roman" w:hAnsi="Times New Roman" w:cs="Times New Roman"/>
          <w:lang w:eastAsia="hu-HU"/>
        </w:rPr>
        <w:t xml:space="preserve"> 15.</w:t>
      </w:r>
    </w:p>
    <w:p w:rsidR="007B1E67" w:rsidRPr="007B1E67" w:rsidRDefault="007B1E67" w:rsidP="007B1E67">
      <w:pPr>
        <w:spacing w:before="120" w:after="120" w:line="240" w:lineRule="auto"/>
        <w:jc w:val="both"/>
        <w:rPr>
          <w:rFonts w:ascii="Times New Roman" w:eastAsia="Times New Roman" w:hAnsi="Times New Roman" w:cs="Times New Roman"/>
          <w:lang w:eastAsia="hu-HU"/>
        </w:rPr>
      </w:pPr>
    </w:p>
    <w:p w:rsidR="004A4C51" w:rsidRPr="00A3436E" w:rsidRDefault="004A4C51" w:rsidP="004A4C51">
      <w:pPr>
        <w:widowControl w:val="0"/>
        <w:spacing w:after="0" w:line="240" w:lineRule="auto"/>
        <w:ind w:left="5529"/>
        <w:jc w:val="center"/>
        <w:rPr>
          <w:rFonts w:ascii="Times New Roman" w:eastAsia="Times New Roman" w:hAnsi="Times New Roman" w:cs="Times New Roman"/>
          <w:b/>
          <w:bCs/>
        </w:rPr>
      </w:pPr>
      <w:r w:rsidRPr="00A3436E">
        <w:rPr>
          <w:rFonts w:ascii="Times New Roman" w:eastAsia="Times New Roman" w:hAnsi="Times New Roman" w:cs="Times New Roman"/>
          <w:b/>
          <w:bCs/>
        </w:rPr>
        <w:t xml:space="preserve">Dr. Gyarmati József </w:t>
      </w:r>
      <w:r>
        <w:rPr>
          <w:rFonts w:ascii="Times New Roman" w:eastAsia="Times New Roman" w:hAnsi="Times New Roman" w:cs="Times New Roman"/>
          <w:b/>
          <w:bCs/>
        </w:rPr>
        <w:t>alezredes, PhD</w:t>
      </w:r>
    </w:p>
    <w:p w:rsidR="007B1E67" w:rsidRPr="007B1E67" w:rsidRDefault="007B1E67" w:rsidP="007B1E67">
      <w:pPr>
        <w:tabs>
          <w:tab w:val="center" w:pos="7371"/>
        </w:tabs>
        <w:spacing w:after="0" w:line="240" w:lineRule="auto"/>
        <w:jc w:val="both"/>
        <w:rPr>
          <w:rFonts w:ascii="Times New Roman" w:eastAsia="Times New Roman" w:hAnsi="Times New Roman" w:cs="Times New Roman"/>
          <w:lang w:eastAsia="hu-HU"/>
        </w:rPr>
      </w:pPr>
      <w:r w:rsidRPr="007B1E67">
        <w:rPr>
          <w:rFonts w:ascii="Times New Roman" w:eastAsia="Times New Roman" w:hAnsi="Times New Roman" w:cs="Times New Roman"/>
          <w:lang w:eastAsia="hu-HU"/>
        </w:rPr>
        <w:tab/>
        <w:t>egyetemi docens, sk.</w:t>
      </w:r>
    </w:p>
    <w:p w:rsidR="004C7EBD" w:rsidRDefault="004C7EBD">
      <w:pPr>
        <w:spacing w:after="200" w:line="276" w:lineRule="auto"/>
        <w:rPr>
          <w:rFonts w:ascii="Times New Roman" w:hAnsi="Times New Roman" w:cs="Times New Roman"/>
          <w:sz w:val="24"/>
        </w:rPr>
      </w:pPr>
      <w:r>
        <w:rPr>
          <w:rFonts w:ascii="Times New Roman" w:hAnsi="Times New Roman" w:cs="Times New Roman"/>
          <w:sz w:val="24"/>
        </w:rPr>
        <w:br w:type="page"/>
      </w:r>
    </w:p>
    <w:tbl>
      <w:tblPr>
        <w:tblW w:w="9072" w:type="dxa"/>
        <w:tblInd w:w="113" w:type="dxa"/>
        <w:tblLook w:val="01E0" w:firstRow="1" w:lastRow="1" w:firstColumn="1" w:lastColumn="1" w:noHBand="0" w:noVBand="0"/>
      </w:tblPr>
      <w:tblGrid>
        <w:gridCol w:w="4855"/>
        <w:gridCol w:w="1620"/>
        <w:gridCol w:w="2597"/>
      </w:tblGrid>
      <w:tr w:rsidR="004C7EBD" w:rsidRPr="004C7EBD" w:rsidTr="00F4044E">
        <w:tc>
          <w:tcPr>
            <w:tcW w:w="4855" w:type="dxa"/>
            <w:tcBorders>
              <w:bottom w:val="single" w:sz="4" w:space="0" w:color="auto"/>
            </w:tcBorders>
          </w:tcPr>
          <w:p w:rsidR="004C7EBD" w:rsidRPr="004C7EBD" w:rsidRDefault="004C7EBD" w:rsidP="004C7EBD">
            <w:pPr>
              <w:spacing w:after="0" w:line="240" w:lineRule="auto"/>
              <w:jc w:val="center"/>
              <w:rPr>
                <w:rFonts w:ascii="Times New Roman" w:eastAsia="Times New Roman" w:hAnsi="Times New Roman" w:cs="Times New Roman"/>
                <w:b/>
                <w:smallCaps/>
                <w:lang w:eastAsia="hu-HU"/>
              </w:rPr>
            </w:pPr>
            <w:r w:rsidRPr="004C7EBD">
              <w:rPr>
                <w:rFonts w:ascii="Times New Roman" w:eastAsia="Times New Roman" w:hAnsi="Times New Roman" w:cs="Times New Roman"/>
                <w:b/>
                <w:smallCaps/>
                <w:lang w:eastAsia="hu-HU"/>
              </w:rPr>
              <w:lastRenderedPageBreak/>
              <w:t>Nemzeti Közszolgálati Egyetem</w:t>
            </w:r>
          </w:p>
        </w:tc>
        <w:tc>
          <w:tcPr>
            <w:tcW w:w="1620" w:type="dxa"/>
          </w:tcPr>
          <w:p w:rsidR="004C7EBD" w:rsidRPr="004C7EBD" w:rsidRDefault="004C7EBD" w:rsidP="004C7EBD">
            <w:pPr>
              <w:spacing w:after="0" w:line="240" w:lineRule="auto"/>
              <w:jc w:val="both"/>
              <w:rPr>
                <w:rFonts w:ascii="Times New Roman" w:eastAsia="Times New Roman" w:hAnsi="Times New Roman" w:cs="Times New Roman"/>
                <w:lang w:eastAsia="hu-HU"/>
              </w:rPr>
            </w:pPr>
          </w:p>
        </w:tc>
        <w:tc>
          <w:tcPr>
            <w:tcW w:w="2597" w:type="dxa"/>
          </w:tcPr>
          <w:p w:rsidR="004C7EBD" w:rsidRPr="004C7EBD" w:rsidRDefault="004C7EBD" w:rsidP="004C7EBD">
            <w:pPr>
              <w:spacing w:after="0" w:line="240" w:lineRule="auto"/>
              <w:jc w:val="right"/>
              <w:rPr>
                <w:rFonts w:ascii="Times New Roman" w:eastAsia="Times New Roman" w:hAnsi="Times New Roman" w:cs="Times New Roman"/>
                <w:lang w:eastAsia="hu-HU"/>
              </w:rPr>
            </w:pPr>
          </w:p>
        </w:tc>
      </w:tr>
      <w:tr w:rsidR="004C7EBD" w:rsidRPr="004C7EBD" w:rsidTr="00F4044E">
        <w:tc>
          <w:tcPr>
            <w:tcW w:w="4855" w:type="dxa"/>
            <w:tcBorders>
              <w:top w:val="single" w:sz="4" w:space="0" w:color="auto"/>
            </w:tcBorders>
          </w:tcPr>
          <w:p w:rsidR="004C7EBD" w:rsidRPr="004C7EBD" w:rsidRDefault="004C7EBD" w:rsidP="004C7EBD">
            <w:pPr>
              <w:spacing w:after="0" w:line="240" w:lineRule="auto"/>
              <w:jc w:val="center"/>
              <w:rPr>
                <w:rFonts w:ascii="Times New Roman" w:eastAsia="Times New Roman" w:hAnsi="Times New Roman" w:cs="Times New Roman"/>
                <w:b/>
                <w:lang w:eastAsia="hu-HU"/>
              </w:rPr>
            </w:pPr>
            <w:r w:rsidRPr="004C7EBD">
              <w:rPr>
                <w:rFonts w:ascii="Times New Roman" w:eastAsia="Times New Roman" w:hAnsi="Times New Roman" w:cs="Times New Roman"/>
                <w:b/>
                <w:lang w:eastAsia="hu-HU"/>
              </w:rPr>
              <w:t>Hadtudományi és Honvédtisztképző Kar</w:t>
            </w:r>
          </w:p>
        </w:tc>
        <w:tc>
          <w:tcPr>
            <w:tcW w:w="1620" w:type="dxa"/>
          </w:tcPr>
          <w:p w:rsidR="004C7EBD" w:rsidRPr="004C7EBD" w:rsidRDefault="004C7EBD" w:rsidP="004C7EBD">
            <w:pPr>
              <w:spacing w:after="0" w:line="240" w:lineRule="auto"/>
              <w:jc w:val="both"/>
              <w:rPr>
                <w:rFonts w:ascii="Times New Roman" w:eastAsia="Times New Roman" w:hAnsi="Times New Roman" w:cs="Times New Roman"/>
                <w:lang w:eastAsia="hu-HU"/>
              </w:rPr>
            </w:pPr>
          </w:p>
        </w:tc>
        <w:tc>
          <w:tcPr>
            <w:tcW w:w="2597" w:type="dxa"/>
          </w:tcPr>
          <w:p w:rsidR="004C7EBD" w:rsidRPr="004C7EBD" w:rsidRDefault="004C7EBD" w:rsidP="004C7EBD">
            <w:pPr>
              <w:spacing w:after="0" w:line="240" w:lineRule="auto"/>
              <w:jc w:val="both"/>
              <w:rPr>
                <w:rFonts w:ascii="Times New Roman" w:eastAsia="Times New Roman" w:hAnsi="Times New Roman" w:cs="Times New Roman"/>
                <w:lang w:eastAsia="hu-HU"/>
              </w:rPr>
            </w:pPr>
          </w:p>
        </w:tc>
      </w:tr>
    </w:tbl>
    <w:p w:rsidR="004C7EBD" w:rsidRPr="004C7EBD" w:rsidRDefault="004C7EBD" w:rsidP="004C7EBD">
      <w:pPr>
        <w:widowControl w:val="0"/>
        <w:spacing w:before="120" w:after="120" w:line="240" w:lineRule="auto"/>
        <w:ind w:left="426" w:hanging="142"/>
        <w:jc w:val="center"/>
        <w:rPr>
          <w:rFonts w:ascii="Times New Roman" w:eastAsia="Times New Roman" w:hAnsi="Times New Roman" w:cs="Times New Roman"/>
          <w:b/>
          <w:bCs/>
        </w:rPr>
      </w:pPr>
    </w:p>
    <w:p w:rsidR="004C7EBD" w:rsidRPr="004C7EBD" w:rsidRDefault="004C7EBD" w:rsidP="004C7EBD">
      <w:pPr>
        <w:widowControl w:val="0"/>
        <w:spacing w:before="120" w:after="120" w:line="240" w:lineRule="auto"/>
        <w:ind w:left="426" w:hanging="142"/>
        <w:jc w:val="center"/>
        <w:rPr>
          <w:rFonts w:ascii="Times New Roman" w:eastAsia="Times New Roman" w:hAnsi="Times New Roman" w:cs="Times New Roman"/>
          <w:b/>
          <w:bCs/>
        </w:rPr>
      </w:pPr>
      <w:r w:rsidRPr="004C7EBD">
        <w:rPr>
          <w:rFonts w:ascii="Times New Roman" w:eastAsia="Times New Roman" w:hAnsi="Times New Roman" w:cs="Times New Roman"/>
          <w:b/>
          <w:bCs/>
        </w:rPr>
        <w:t>TANTÁRGYI PROGRAM</w:t>
      </w:r>
    </w:p>
    <w:p w:rsidR="004C7EBD" w:rsidRPr="004C7EBD" w:rsidRDefault="004C7EBD" w:rsidP="00980876">
      <w:pPr>
        <w:widowControl w:val="0"/>
        <w:numPr>
          <w:ilvl w:val="0"/>
          <w:numId w:val="451"/>
        </w:numPr>
        <w:tabs>
          <w:tab w:val="num" w:pos="567"/>
        </w:tabs>
        <w:spacing w:before="120" w:after="120" w:line="240" w:lineRule="auto"/>
        <w:ind w:left="426" w:hanging="142"/>
        <w:jc w:val="both"/>
        <w:rPr>
          <w:rFonts w:ascii="Times New Roman" w:eastAsia="Times New Roman" w:hAnsi="Times New Roman" w:cs="Times New Roman"/>
          <w:bCs/>
        </w:rPr>
      </w:pPr>
      <w:r w:rsidRPr="004C7EBD">
        <w:rPr>
          <w:rFonts w:ascii="Times New Roman" w:eastAsia="Times New Roman" w:hAnsi="Times New Roman" w:cs="Times New Roman"/>
          <w:b/>
          <w:bCs/>
        </w:rPr>
        <w:t xml:space="preserve">A tantárgy kódja: </w:t>
      </w:r>
      <w:r w:rsidRPr="004C7EBD">
        <w:rPr>
          <w:rFonts w:ascii="Times New Roman" w:eastAsia="Times New Roman" w:hAnsi="Times New Roman" w:cs="Times New Roman"/>
          <w:bCs/>
        </w:rPr>
        <w:t>HKHDTA35</w:t>
      </w:r>
    </w:p>
    <w:p w:rsidR="004C7EBD" w:rsidRPr="004C7EBD" w:rsidRDefault="004C7EBD" w:rsidP="00980876">
      <w:pPr>
        <w:widowControl w:val="0"/>
        <w:numPr>
          <w:ilvl w:val="0"/>
          <w:numId w:val="451"/>
        </w:numPr>
        <w:tabs>
          <w:tab w:val="num" w:pos="567"/>
        </w:tabs>
        <w:spacing w:before="120" w:after="120" w:line="240" w:lineRule="auto"/>
        <w:ind w:left="426" w:hanging="142"/>
        <w:jc w:val="both"/>
        <w:rPr>
          <w:rFonts w:ascii="Times New Roman" w:eastAsia="Times New Roman" w:hAnsi="Times New Roman" w:cs="Times New Roman"/>
          <w:b/>
          <w:bCs/>
          <w:lang w:val="en-GB"/>
        </w:rPr>
      </w:pPr>
      <w:r w:rsidRPr="004C7EBD">
        <w:rPr>
          <w:rFonts w:ascii="Times New Roman" w:eastAsia="Times New Roman" w:hAnsi="Times New Roman" w:cs="Times New Roman"/>
          <w:b/>
          <w:bCs/>
        </w:rPr>
        <w:t>A tantárgy megnevezése (magyarul):</w:t>
      </w:r>
      <w:r w:rsidRPr="004C7EBD">
        <w:rPr>
          <w:rFonts w:ascii="Times New Roman" w:eastAsia="Times New Roman" w:hAnsi="Times New Roman" w:cs="Times New Roman"/>
          <w:bCs/>
        </w:rPr>
        <w:t xml:space="preserve"> </w:t>
      </w:r>
      <w:r w:rsidRPr="004C7EBD">
        <w:rPr>
          <w:rFonts w:ascii="Times New Roman" w:eastAsia="Calibri" w:hAnsi="Times New Roman" w:cs="Times New Roman"/>
          <w:bCs/>
        </w:rPr>
        <w:t>Gépjármű villamos berendezések</w:t>
      </w:r>
    </w:p>
    <w:p w:rsidR="004C7EBD" w:rsidRPr="004C7EBD" w:rsidRDefault="004C7EBD" w:rsidP="00980876">
      <w:pPr>
        <w:widowControl w:val="0"/>
        <w:numPr>
          <w:ilvl w:val="0"/>
          <w:numId w:val="451"/>
        </w:numPr>
        <w:tabs>
          <w:tab w:val="num" w:pos="567"/>
        </w:tabs>
        <w:spacing w:before="120" w:after="120" w:line="240" w:lineRule="auto"/>
        <w:ind w:left="426" w:hanging="142"/>
        <w:jc w:val="both"/>
        <w:rPr>
          <w:rFonts w:ascii="Times New Roman" w:eastAsia="Times New Roman" w:hAnsi="Times New Roman" w:cs="Times New Roman"/>
          <w:b/>
          <w:bCs/>
          <w:lang w:val="en-GB"/>
        </w:rPr>
      </w:pPr>
      <w:r w:rsidRPr="004C7EBD">
        <w:rPr>
          <w:rFonts w:ascii="Times New Roman" w:eastAsia="Times New Roman" w:hAnsi="Times New Roman" w:cs="Times New Roman"/>
          <w:b/>
          <w:bCs/>
        </w:rPr>
        <w:t xml:space="preserve">A tantárgy megnevezése (angolul): </w:t>
      </w:r>
      <w:r w:rsidRPr="004C7EBD">
        <w:rPr>
          <w:rFonts w:ascii="Times New Roman" w:eastAsia="Calibri" w:hAnsi="Times New Roman" w:cs="Times New Roman"/>
          <w:bCs/>
        </w:rPr>
        <w:t>Power supply systems of vehicles</w:t>
      </w:r>
    </w:p>
    <w:p w:rsidR="004C7EBD" w:rsidRPr="004C7EBD" w:rsidRDefault="004C7EBD" w:rsidP="00980876">
      <w:pPr>
        <w:widowControl w:val="0"/>
        <w:numPr>
          <w:ilvl w:val="0"/>
          <w:numId w:val="451"/>
        </w:numPr>
        <w:tabs>
          <w:tab w:val="num" w:pos="567"/>
        </w:tabs>
        <w:spacing w:before="120" w:after="120" w:line="240" w:lineRule="auto"/>
        <w:ind w:left="426" w:hanging="142"/>
        <w:jc w:val="both"/>
        <w:rPr>
          <w:rFonts w:ascii="Times New Roman" w:eastAsia="Times New Roman" w:hAnsi="Times New Roman" w:cs="Times New Roman"/>
          <w:b/>
          <w:bCs/>
        </w:rPr>
      </w:pPr>
      <w:r w:rsidRPr="004C7EBD">
        <w:rPr>
          <w:rFonts w:ascii="Times New Roman" w:eastAsia="Times New Roman" w:hAnsi="Times New Roman" w:cs="Times New Roman"/>
          <w:b/>
          <w:bCs/>
        </w:rPr>
        <w:t xml:space="preserve">Kreditérték és képzési karakter: </w:t>
      </w:r>
    </w:p>
    <w:p w:rsidR="004C7EBD" w:rsidRPr="004C7EBD" w:rsidRDefault="004C7EBD" w:rsidP="00980876">
      <w:pPr>
        <w:widowControl w:val="0"/>
        <w:numPr>
          <w:ilvl w:val="1"/>
          <w:numId w:val="451"/>
        </w:numPr>
        <w:tabs>
          <w:tab w:val="clear" w:pos="3977"/>
          <w:tab w:val="num" w:pos="709"/>
          <w:tab w:val="num" w:pos="999"/>
          <w:tab w:val="num" w:pos="2069"/>
        </w:tabs>
        <w:spacing w:before="120" w:after="120" w:line="240" w:lineRule="auto"/>
        <w:ind w:left="851" w:hanging="425"/>
        <w:jc w:val="both"/>
        <w:rPr>
          <w:rFonts w:ascii="Times New Roman" w:eastAsia="Times New Roman" w:hAnsi="Times New Roman" w:cs="Times New Roman"/>
          <w:bCs/>
        </w:rPr>
      </w:pPr>
      <w:r w:rsidRPr="004C7EBD">
        <w:rPr>
          <w:rFonts w:ascii="Times New Roman" w:eastAsia="Times New Roman" w:hAnsi="Times New Roman" w:cs="Times New Roman"/>
          <w:bCs/>
        </w:rPr>
        <w:t>2 kredit</w:t>
      </w:r>
    </w:p>
    <w:p w:rsidR="004C7EBD" w:rsidRPr="004C7EBD" w:rsidRDefault="004C7EBD" w:rsidP="00980876">
      <w:pPr>
        <w:widowControl w:val="0"/>
        <w:numPr>
          <w:ilvl w:val="1"/>
          <w:numId w:val="451"/>
        </w:numPr>
        <w:tabs>
          <w:tab w:val="clear" w:pos="3977"/>
          <w:tab w:val="num" w:pos="709"/>
          <w:tab w:val="num" w:pos="999"/>
          <w:tab w:val="num" w:pos="2069"/>
        </w:tabs>
        <w:spacing w:before="120" w:after="120" w:line="240" w:lineRule="auto"/>
        <w:ind w:left="851" w:hanging="425"/>
        <w:jc w:val="both"/>
        <w:rPr>
          <w:rFonts w:ascii="Times New Roman" w:eastAsia="Times New Roman" w:hAnsi="Times New Roman" w:cs="Times New Roman"/>
          <w:bCs/>
        </w:rPr>
      </w:pPr>
      <w:r w:rsidRPr="004C7EBD">
        <w:rPr>
          <w:rFonts w:ascii="Times New Roman" w:eastAsia="Times New Roman" w:hAnsi="Times New Roman" w:cs="Times New Roman"/>
          <w:bCs/>
        </w:rPr>
        <w:t>a tantárgy elméleti vagy gyakorlati jellegének mértéke: 50 % gyakorlat, 50 % elmélet</w:t>
      </w:r>
    </w:p>
    <w:p w:rsidR="004C7EBD" w:rsidRPr="004C7EBD" w:rsidRDefault="004C7EBD" w:rsidP="00980876">
      <w:pPr>
        <w:widowControl w:val="0"/>
        <w:numPr>
          <w:ilvl w:val="0"/>
          <w:numId w:val="451"/>
        </w:numPr>
        <w:spacing w:before="120" w:after="120" w:line="240" w:lineRule="auto"/>
        <w:ind w:left="426" w:hanging="142"/>
        <w:jc w:val="both"/>
        <w:rPr>
          <w:rFonts w:ascii="Times New Roman" w:eastAsia="Times New Roman" w:hAnsi="Times New Roman" w:cs="Times New Roman"/>
          <w:bCs/>
        </w:rPr>
      </w:pPr>
      <w:r w:rsidRPr="004C7EBD">
        <w:rPr>
          <w:rFonts w:ascii="Times New Roman" w:eastAsia="Times New Roman" w:hAnsi="Times New Roman" w:cs="Times New Roman"/>
          <w:b/>
          <w:bCs/>
        </w:rPr>
        <w:t>A szak(ok), szakirányok/specializációk megnevezése (ahol oktatják):</w:t>
      </w:r>
      <w:r w:rsidRPr="004C7EBD">
        <w:rPr>
          <w:rFonts w:ascii="Times New Roman" w:eastAsia="Times New Roman" w:hAnsi="Times New Roman" w:cs="Times New Roman"/>
          <w:bCs/>
        </w:rPr>
        <w:t xml:space="preserve"> Katonai logisztika alapképzési szak, Haditechnikai specializáció</w:t>
      </w:r>
    </w:p>
    <w:p w:rsidR="004C7EBD" w:rsidRPr="004C7EBD" w:rsidRDefault="004C7EBD" w:rsidP="00980876">
      <w:pPr>
        <w:widowControl w:val="0"/>
        <w:numPr>
          <w:ilvl w:val="0"/>
          <w:numId w:val="451"/>
        </w:numPr>
        <w:tabs>
          <w:tab w:val="num" w:pos="567"/>
        </w:tabs>
        <w:spacing w:before="120" w:after="120" w:line="240" w:lineRule="auto"/>
        <w:ind w:left="426" w:hanging="142"/>
        <w:jc w:val="both"/>
        <w:rPr>
          <w:rFonts w:ascii="Times New Roman" w:eastAsia="Times New Roman" w:hAnsi="Times New Roman" w:cs="Times New Roman"/>
          <w:bCs/>
        </w:rPr>
      </w:pPr>
      <w:r w:rsidRPr="004C7EBD">
        <w:rPr>
          <w:rFonts w:ascii="Times New Roman" w:eastAsia="Times New Roman" w:hAnsi="Times New Roman" w:cs="Times New Roman"/>
          <w:b/>
          <w:bCs/>
        </w:rPr>
        <w:t xml:space="preserve">Az oktatásért felelős oktatási szervezeti egység megnevezése: </w:t>
      </w:r>
      <w:r w:rsidRPr="004C7EBD">
        <w:rPr>
          <w:rFonts w:ascii="Times New Roman" w:eastAsia="Times New Roman" w:hAnsi="Times New Roman" w:cs="Times New Roman"/>
          <w:bCs/>
        </w:rPr>
        <w:t xml:space="preserve">NKE </w:t>
      </w:r>
      <w:r w:rsidRPr="004C7EBD">
        <w:rPr>
          <w:rFonts w:ascii="Times New Roman" w:eastAsia="Calibri" w:hAnsi="Times New Roman" w:cs="Times New Roman"/>
          <w:bCs/>
          <w:kern w:val="2"/>
        </w:rPr>
        <w:t>Hadtudományi és Honvédtisztképző Kar,</w:t>
      </w:r>
      <w:r w:rsidRPr="004C7EBD">
        <w:rPr>
          <w:rFonts w:ascii="Times New Roman" w:eastAsia="Times New Roman" w:hAnsi="Times New Roman" w:cs="Times New Roman"/>
          <w:bCs/>
        </w:rPr>
        <w:t xml:space="preserve"> Haditechnikai Tanszék</w:t>
      </w:r>
    </w:p>
    <w:p w:rsidR="004C7EBD" w:rsidRPr="004C7EBD" w:rsidRDefault="004C7EBD" w:rsidP="00980876">
      <w:pPr>
        <w:widowControl w:val="0"/>
        <w:numPr>
          <w:ilvl w:val="0"/>
          <w:numId w:val="451"/>
        </w:numPr>
        <w:tabs>
          <w:tab w:val="num" w:pos="567"/>
        </w:tabs>
        <w:spacing w:before="120" w:after="120" w:line="240" w:lineRule="auto"/>
        <w:ind w:left="426" w:hanging="142"/>
        <w:jc w:val="both"/>
        <w:rPr>
          <w:rFonts w:ascii="Times New Roman" w:eastAsia="Times New Roman" w:hAnsi="Times New Roman" w:cs="Times New Roman"/>
          <w:bCs/>
        </w:rPr>
      </w:pPr>
      <w:r w:rsidRPr="004C7EBD">
        <w:rPr>
          <w:rFonts w:ascii="Times New Roman" w:eastAsia="Times New Roman" w:hAnsi="Times New Roman" w:cs="Times New Roman"/>
          <w:b/>
          <w:bCs/>
        </w:rPr>
        <w:t>A tantárgyfelelős oktató neve, beosztása, tudományos fokozata:</w:t>
      </w:r>
      <w:r w:rsidRPr="004C7EBD">
        <w:rPr>
          <w:rFonts w:ascii="Times New Roman" w:eastAsia="Times New Roman" w:hAnsi="Times New Roman" w:cs="Times New Roman"/>
          <w:bCs/>
        </w:rPr>
        <w:t xml:space="preserve"> Kiss László óraadó tanár</w:t>
      </w:r>
    </w:p>
    <w:p w:rsidR="004C7EBD" w:rsidRPr="004C7EBD" w:rsidRDefault="004C7EBD" w:rsidP="00980876">
      <w:pPr>
        <w:widowControl w:val="0"/>
        <w:numPr>
          <w:ilvl w:val="0"/>
          <w:numId w:val="451"/>
        </w:numPr>
        <w:spacing w:before="120" w:after="120" w:line="240" w:lineRule="auto"/>
        <w:ind w:left="426" w:hanging="142"/>
        <w:jc w:val="both"/>
        <w:rPr>
          <w:rFonts w:ascii="Times New Roman" w:eastAsia="Times New Roman" w:hAnsi="Times New Roman" w:cs="Times New Roman"/>
          <w:bCs/>
        </w:rPr>
      </w:pPr>
      <w:r w:rsidRPr="004C7EBD">
        <w:rPr>
          <w:rFonts w:ascii="Times New Roman" w:eastAsia="Times New Roman" w:hAnsi="Times New Roman" w:cs="Times New Roman"/>
          <w:b/>
          <w:bCs/>
        </w:rPr>
        <w:t>A tanórák száma és típusa</w:t>
      </w:r>
    </w:p>
    <w:p w:rsidR="004C7EBD" w:rsidRPr="004C7EBD" w:rsidRDefault="004C7EBD" w:rsidP="00980876">
      <w:pPr>
        <w:widowControl w:val="0"/>
        <w:numPr>
          <w:ilvl w:val="1"/>
          <w:numId w:val="451"/>
        </w:numPr>
        <w:tabs>
          <w:tab w:val="clear" w:pos="3977"/>
          <w:tab w:val="num" w:pos="709"/>
          <w:tab w:val="num" w:pos="999"/>
          <w:tab w:val="num" w:pos="2069"/>
        </w:tabs>
        <w:spacing w:before="120" w:after="120" w:line="240" w:lineRule="auto"/>
        <w:ind w:left="851" w:hanging="425"/>
        <w:jc w:val="both"/>
        <w:rPr>
          <w:rFonts w:ascii="Times New Roman" w:eastAsia="Times New Roman" w:hAnsi="Times New Roman" w:cs="Times New Roman"/>
          <w:b/>
          <w:bCs/>
        </w:rPr>
      </w:pPr>
      <w:r w:rsidRPr="004C7EBD">
        <w:rPr>
          <w:rFonts w:ascii="Times New Roman" w:eastAsia="Times New Roman" w:hAnsi="Times New Roman" w:cs="Times New Roman"/>
          <w:bCs/>
        </w:rPr>
        <w:t>össz óraszám/félév:</w:t>
      </w:r>
    </w:p>
    <w:p w:rsidR="004C7EBD" w:rsidRPr="004C7EBD" w:rsidRDefault="004C7EBD" w:rsidP="00980876">
      <w:pPr>
        <w:widowControl w:val="0"/>
        <w:numPr>
          <w:ilvl w:val="2"/>
          <w:numId w:val="451"/>
        </w:numPr>
        <w:tabs>
          <w:tab w:val="num" w:pos="709"/>
          <w:tab w:val="num" w:pos="1134"/>
        </w:tabs>
        <w:spacing w:before="120" w:after="120" w:line="240" w:lineRule="auto"/>
        <w:ind w:left="993" w:hanging="425"/>
        <w:jc w:val="both"/>
        <w:rPr>
          <w:rFonts w:ascii="Times New Roman" w:eastAsia="Times New Roman" w:hAnsi="Times New Roman" w:cs="Times New Roman"/>
          <w:bCs/>
        </w:rPr>
      </w:pPr>
      <w:r w:rsidRPr="004C7EBD">
        <w:rPr>
          <w:rFonts w:ascii="Times New Roman" w:eastAsia="Times New Roman" w:hAnsi="Times New Roman" w:cs="Times New Roman"/>
          <w:bCs/>
        </w:rPr>
        <w:t>nappali munkarend: 28 (14 EA + 0 SZ + 14 GY)</w:t>
      </w:r>
    </w:p>
    <w:p w:rsidR="004C7EBD" w:rsidRPr="004C7EBD" w:rsidRDefault="004C7EBD" w:rsidP="00980876">
      <w:pPr>
        <w:widowControl w:val="0"/>
        <w:numPr>
          <w:ilvl w:val="2"/>
          <w:numId w:val="451"/>
        </w:numPr>
        <w:tabs>
          <w:tab w:val="num" w:pos="709"/>
          <w:tab w:val="num" w:pos="1134"/>
        </w:tabs>
        <w:spacing w:before="120" w:after="120" w:line="240" w:lineRule="auto"/>
        <w:ind w:left="993" w:hanging="425"/>
        <w:jc w:val="both"/>
        <w:rPr>
          <w:rFonts w:ascii="Times New Roman" w:eastAsia="Times New Roman" w:hAnsi="Times New Roman" w:cs="Times New Roman"/>
          <w:bCs/>
        </w:rPr>
      </w:pPr>
      <w:r w:rsidRPr="004C7EBD">
        <w:rPr>
          <w:rFonts w:ascii="Times New Roman" w:eastAsia="Times New Roman" w:hAnsi="Times New Roman" w:cs="Times New Roman"/>
          <w:bCs/>
        </w:rPr>
        <w:t>levelező munkarend: -</w:t>
      </w:r>
    </w:p>
    <w:p w:rsidR="004C7EBD" w:rsidRPr="004C7EBD" w:rsidRDefault="004C7EBD" w:rsidP="00980876">
      <w:pPr>
        <w:widowControl w:val="0"/>
        <w:numPr>
          <w:ilvl w:val="1"/>
          <w:numId w:val="451"/>
        </w:numPr>
        <w:tabs>
          <w:tab w:val="clear" w:pos="3977"/>
          <w:tab w:val="num" w:pos="709"/>
          <w:tab w:val="num" w:pos="999"/>
          <w:tab w:val="num" w:pos="2069"/>
        </w:tabs>
        <w:spacing w:before="120" w:after="120" w:line="240" w:lineRule="auto"/>
        <w:ind w:left="851" w:hanging="425"/>
        <w:jc w:val="both"/>
        <w:rPr>
          <w:rFonts w:ascii="Times New Roman" w:eastAsia="Times New Roman" w:hAnsi="Times New Roman" w:cs="Times New Roman"/>
          <w:bCs/>
        </w:rPr>
      </w:pPr>
      <w:r w:rsidRPr="004C7EBD">
        <w:rPr>
          <w:rFonts w:ascii="Times New Roman" w:eastAsia="Times New Roman" w:hAnsi="Times New Roman" w:cs="Times New Roman"/>
          <w:bCs/>
        </w:rPr>
        <w:t>heti óraszám - nappali munkarend: 2 (1 + 1)</w:t>
      </w:r>
    </w:p>
    <w:p w:rsidR="004C7EBD" w:rsidRPr="004C7EBD" w:rsidRDefault="004C7EBD" w:rsidP="00980876">
      <w:pPr>
        <w:widowControl w:val="0"/>
        <w:numPr>
          <w:ilvl w:val="1"/>
          <w:numId w:val="451"/>
        </w:numPr>
        <w:tabs>
          <w:tab w:val="clear" w:pos="3977"/>
          <w:tab w:val="num" w:pos="709"/>
          <w:tab w:val="num" w:pos="999"/>
          <w:tab w:val="num" w:pos="2069"/>
        </w:tabs>
        <w:spacing w:before="120" w:after="120" w:line="240" w:lineRule="auto"/>
        <w:ind w:left="851" w:hanging="425"/>
        <w:jc w:val="both"/>
        <w:rPr>
          <w:rFonts w:ascii="Times New Roman" w:eastAsia="Times New Roman" w:hAnsi="Times New Roman" w:cs="Times New Roman"/>
          <w:bCs/>
        </w:rPr>
      </w:pPr>
      <w:r w:rsidRPr="004C7EBD">
        <w:rPr>
          <w:rFonts w:ascii="Times New Roman" w:eastAsia="Calibri" w:hAnsi="Times New Roman" w:cs="Times New Roman"/>
        </w:rPr>
        <w:t xml:space="preserve">Az ismeret átadásában alkalmazandó további sajátos módok, jellemzők: </w:t>
      </w:r>
      <w:r w:rsidRPr="004C7EBD">
        <w:rPr>
          <w:rFonts w:ascii="Times New Roman" w:eastAsia="Calibri" w:hAnsi="Times New Roman" w:cs="Times New Roman"/>
          <w:bCs/>
        </w:rPr>
        <w:t>Az ismeretek feldolgozása vegyes tanulási program (blended learning) alapján történik.</w:t>
      </w:r>
    </w:p>
    <w:p w:rsidR="004C7EBD" w:rsidRPr="004C7EBD" w:rsidRDefault="004C7EBD" w:rsidP="00980876">
      <w:pPr>
        <w:widowControl w:val="0"/>
        <w:numPr>
          <w:ilvl w:val="0"/>
          <w:numId w:val="451"/>
        </w:numPr>
        <w:spacing w:before="120" w:after="120" w:line="240" w:lineRule="auto"/>
        <w:ind w:left="426" w:hanging="142"/>
        <w:jc w:val="both"/>
        <w:rPr>
          <w:rFonts w:ascii="Times New Roman" w:eastAsia="Times New Roman" w:hAnsi="Times New Roman" w:cs="Times New Roman"/>
          <w:bCs/>
        </w:rPr>
      </w:pPr>
      <w:r w:rsidRPr="004C7EBD">
        <w:rPr>
          <w:rFonts w:ascii="Times New Roman" w:eastAsia="Times New Roman" w:hAnsi="Times New Roman" w:cs="Times New Roman"/>
          <w:b/>
          <w:bCs/>
        </w:rPr>
        <w:t>A tantárgy szakmai tartalma (magyarul):</w:t>
      </w:r>
      <w:r w:rsidRPr="004C7EBD">
        <w:rPr>
          <w:rFonts w:ascii="Times New Roman" w:eastAsia="Times New Roman" w:hAnsi="Times New Roman" w:cs="Times New Roman"/>
          <w:bCs/>
        </w:rPr>
        <w:t xml:space="preserve"> Fedélzeti hálózat elemei, villamos vezetékek, kapcsolók, biztosítók, fogyasztók. Jellemző szerkezetek paraméterei és azok összefüggése. Akkumulátor-jellemzők és befolyásoló tényezők. Egyen- és váltakozó áramú generátorok működése, szerkezete, jellemzői, diagnosztikai vizsgálata. Feszültségszabályozók típusai, részegységei. Indítómotorok feladata, csoportosítása, különböző típusú indítómotorok diagnosztikai vizsgálata. Gyújtóberendezések feladata, felépítése, működése, diagnosztikai vizsgálata. Dízel indítás. Adatbusz hálózatok. Motorok elektronikus vezérlésének alapjai. Integrált motorvezérlési rendszerek. Benzin befecskendező rendszerek. Korszerű dízel tüzelőanyag ellátó rendszerek, EDC rendszerek felépítése. Rádió zavarelhárítás elve, módja, eszközei. </w:t>
      </w:r>
    </w:p>
    <w:p w:rsidR="004C7EBD" w:rsidRPr="004C7EBD" w:rsidRDefault="004C7EBD" w:rsidP="004C7EBD">
      <w:pPr>
        <w:widowControl w:val="0"/>
        <w:spacing w:before="120" w:after="120" w:line="240" w:lineRule="auto"/>
        <w:ind w:left="426"/>
        <w:jc w:val="both"/>
        <w:rPr>
          <w:rFonts w:ascii="Times New Roman" w:eastAsia="Times New Roman" w:hAnsi="Times New Roman" w:cs="Times New Roman"/>
          <w:bCs/>
        </w:rPr>
      </w:pPr>
      <w:r w:rsidRPr="004C7EBD">
        <w:rPr>
          <w:rFonts w:ascii="Times New Roman" w:eastAsia="Times New Roman" w:hAnsi="Times New Roman" w:cs="Times New Roman"/>
          <w:b/>
          <w:bCs/>
        </w:rPr>
        <w:t>A tantárgy szakmai tartalma (angolul) (</w:t>
      </w:r>
      <w:r w:rsidRPr="004C7EBD">
        <w:rPr>
          <w:rFonts w:ascii="Times New Roman" w:eastAsia="Times New Roman" w:hAnsi="Times New Roman" w:cs="Times New Roman"/>
          <w:b/>
          <w:bCs/>
          <w:lang w:val="en-US"/>
        </w:rPr>
        <w:t>Course description</w:t>
      </w:r>
      <w:r w:rsidRPr="004C7EBD">
        <w:rPr>
          <w:rFonts w:ascii="Times New Roman" w:eastAsia="Times New Roman" w:hAnsi="Times New Roman" w:cs="Times New Roman"/>
          <w:b/>
          <w:bCs/>
        </w:rPr>
        <w:t xml:space="preserve">): </w:t>
      </w:r>
      <w:bookmarkStart w:id="74" w:name="_Hlk35196292"/>
      <w:r w:rsidRPr="004C7EBD">
        <w:rPr>
          <w:rFonts w:ascii="Times New Roman" w:eastAsia="Calibri" w:hAnsi="Times New Roman" w:cs="Times New Roman"/>
        </w:rPr>
        <w:t>The main units of the vehicle electrical network.</w:t>
      </w:r>
      <w:bookmarkEnd w:id="74"/>
      <w:r w:rsidRPr="004C7EBD">
        <w:rPr>
          <w:rFonts w:ascii="Times New Roman" w:eastAsia="Calibri" w:hAnsi="Times New Roman" w:cs="Times New Roman"/>
        </w:rPr>
        <w:t xml:space="preserve"> On-board network elements, power lines, switches, fuses, devices</w:t>
      </w:r>
      <w:bookmarkStart w:id="75" w:name="_Hlk35196421"/>
      <w:r w:rsidRPr="004C7EBD">
        <w:rPr>
          <w:rFonts w:ascii="Times New Roman" w:eastAsia="Calibri" w:hAnsi="Times New Roman" w:cs="Times New Roman"/>
        </w:rPr>
        <w:t>. Parameters of typical electrical structures and their relation</w:t>
      </w:r>
      <w:bookmarkEnd w:id="75"/>
      <w:r w:rsidRPr="004C7EBD">
        <w:rPr>
          <w:rFonts w:ascii="Times New Roman" w:eastAsia="Calibri" w:hAnsi="Times New Roman" w:cs="Times New Roman"/>
        </w:rPr>
        <w:t>.</w:t>
      </w:r>
      <w:bookmarkStart w:id="76" w:name="_Hlk35196474"/>
      <w:r w:rsidRPr="004C7EBD">
        <w:rPr>
          <w:rFonts w:ascii="Times New Roman" w:eastAsia="Calibri" w:hAnsi="Times New Roman" w:cs="Times New Roman"/>
        </w:rPr>
        <w:t xml:space="preserve"> Battery characteristics and influencing factors.</w:t>
      </w:r>
      <w:bookmarkStart w:id="77" w:name="_Hlk35196520"/>
      <w:bookmarkEnd w:id="76"/>
      <w:r w:rsidRPr="004C7EBD">
        <w:rPr>
          <w:rFonts w:ascii="Times New Roman" w:eastAsia="Calibri" w:hAnsi="Times New Roman" w:cs="Times New Roman"/>
        </w:rPr>
        <w:t xml:space="preserve"> Operation, structure, characteristics, diagnostic examination of direct and alternating current generators</w:t>
      </w:r>
      <w:bookmarkEnd w:id="77"/>
      <w:r w:rsidRPr="004C7EBD">
        <w:rPr>
          <w:rFonts w:ascii="Times New Roman" w:eastAsia="Calibri" w:hAnsi="Times New Roman" w:cs="Times New Roman"/>
        </w:rPr>
        <w:t>.</w:t>
      </w:r>
      <w:bookmarkStart w:id="78" w:name="_Hlk35196601"/>
      <w:r w:rsidRPr="004C7EBD">
        <w:rPr>
          <w:rFonts w:ascii="Times New Roman" w:eastAsia="Calibri" w:hAnsi="Times New Roman" w:cs="Times New Roman"/>
        </w:rPr>
        <w:t xml:space="preserve"> Types and components of voltage regulators</w:t>
      </w:r>
      <w:bookmarkEnd w:id="78"/>
      <w:r w:rsidRPr="004C7EBD">
        <w:rPr>
          <w:rFonts w:ascii="Times New Roman" w:eastAsia="Calibri" w:hAnsi="Times New Roman" w:cs="Times New Roman"/>
        </w:rPr>
        <w:t>.</w:t>
      </w:r>
      <w:bookmarkStart w:id="79" w:name="_Hlk35196720"/>
      <w:r w:rsidRPr="004C7EBD">
        <w:rPr>
          <w:rFonts w:ascii="Times New Roman" w:eastAsia="Calibri" w:hAnsi="Times New Roman" w:cs="Times New Roman"/>
        </w:rPr>
        <w:t xml:space="preserve"> The task and grouping of starter motors, diagnostic examination of different types of starter motors.</w:t>
      </w:r>
      <w:bookmarkStart w:id="80" w:name="_Hlk35196749"/>
      <w:bookmarkEnd w:id="79"/>
      <w:r w:rsidRPr="004C7EBD">
        <w:rPr>
          <w:rFonts w:ascii="Times New Roman" w:eastAsia="Calibri" w:hAnsi="Times New Roman" w:cs="Times New Roman"/>
        </w:rPr>
        <w:t xml:space="preserve"> The task, construction, operation, diagnostic examination of ignition devices.</w:t>
      </w:r>
      <w:bookmarkStart w:id="81" w:name="_Hlk35196766"/>
      <w:bookmarkEnd w:id="80"/>
      <w:r w:rsidRPr="004C7EBD">
        <w:rPr>
          <w:rFonts w:ascii="Times New Roman" w:eastAsia="Calibri" w:hAnsi="Times New Roman" w:cs="Times New Roman"/>
        </w:rPr>
        <w:t xml:space="preserve"> Diesel start.</w:t>
      </w:r>
      <w:bookmarkStart w:id="82" w:name="_Hlk35196786"/>
      <w:bookmarkEnd w:id="81"/>
      <w:r w:rsidRPr="004C7EBD">
        <w:rPr>
          <w:rFonts w:ascii="Times New Roman" w:eastAsia="Calibri" w:hAnsi="Times New Roman" w:cs="Times New Roman"/>
        </w:rPr>
        <w:t xml:space="preserve"> Bus networks</w:t>
      </w:r>
      <w:bookmarkEnd w:id="82"/>
      <w:r w:rsidRPr="004C7EBD">
        <w:rPr>
          <w:rFonts w:ascii="Times New Roman" w:eastAsia="Calibri" w:hAnsi="Times New Roman" w:cs="Times New Roman"/>
        </w:rPr>
        <w:t>.</w:t>
      </w:r>
      <w:bookmarkStart w:id="83" w:name="_Hlk35196809"/>
      <w:r w:rsidRPr="004C7EBD">
        <w:rPr>
          <w:rFonts w:ascii="Times New Roman" w:eastAsia="Calibri" w:hAnsi="Times New Roman" w:cs="Times New Roman"/>
        </w:rPr>
        <w:t xml:space="preserve"> Basics of electronic control of engines. Integrated engine control systems.</w:t>
      </w:r>
      <w:bookmarkStart w:id="84" w:name="_Hlk35196829"/>
      <w:bookmarkEnd w:id="83"/>
      <w:r w:rsidRPr="004C7EBD">
        <w:rPr>
          <w:rFonts w:ascii="Times New Roman" w:eastAsia="Calibri" w:hAnsi="Times New Roman" w:cs="Times New Roman"/>
        </w:rPr>
        <w:t xml:space="preserve"> Gasoline injection systems.</w:t>
      </w:r>
      <w:bookmarkStart w:id="85" w:name="_Hlk35196848"/>
      <w:bookmarkEnd w:id="84"/>
      <w:r w:rsidRPr="004C7EBD">
        <w:rPr>
          <w:rFonts w:ascii="Times New Roman" w:eastAsia="Calibri" w:hAnsi="Times New Roman" w:cs="Times New Roman"/>
        </w:rPr>
        <w:t xml:space="preserve"> Design of advanced diesel fuel supply systems, EDC systems.</w:t>
      </w:r>
      <w:bookmarkStart w:id="86" w:name="_Hlk35196865"/>
      <w:bookmarkEnd w:id="85"/>
      <w:r w:rsidRPr="004C7EBD">
        <w:rPr>
          <w:rFonts w:ascii="Times New Roman" w:eastAsia="Calibri" w:hAnsi="Times New Roman" w:cs="Times New Roman"/>
        </w:rPr>
        <w:t xml:space="preserve"> Principle, method and means of radio interference suppression.</w:t>
      </w:r>
      <w:bookmarkEnd w:id="86"/>
    </w:p>
    <w:p w:rsidR="004C7EBD" w:rsidRPr="004C7EBD" w:rsidRDefault="004C7EBD" w:rsidP="00980876">
      <w:pPr>
        <w:widowControl w:val="0"/>
        <w:numPr>
          <w:ilvl w:val="0"/>
          <w:numId w:val="451"/>
        </w:numPr>
        <w:spacing w:before="120" w:after="120" w:line="240" w:lineRule="auto"/>
        <w:ind w:left="426" w:hanging="142"/>
        <w:contextualSpacing/>
        <w:jc w:val="both"/>
        <w:rPr>
          <w:rFonts w:ascii="Times New Roman" w:eastAsia="Times New Roman" w:hAnsi="Times New Roman" w:cs="Times New Roman"/>
          <w:bCs/>
        </w:rPr>
      </w:pPr>
      <w:r w:rsidRPr="004C7EBD">
        <w:rPr>
          <w:rFonts w:ascii="Times New Roman" w:eastAsia="Times New Roman" w:hAnsi="Times New Roman" w:cs="Times New Roman"/>
          <w:b/>
          <w:bCs/>
        </w:rPr>
        <w:t xml:space="preserve">Elérendő kompetenciák (magyarul): </w:t>
      </w:r>
    </w:p>
    <w:p w:rsidR="004C7EBD" w:rsidRPr="004C7EBD" w:rsidRDefault="004C7EBD" w:rsidP="004C7EBD">
      <w:pPr>
        <w:widowControl w:val="0"/>
        <w:spacing w:before="120" w:after="120" w:line="240" w:lineRule="auto"/>
        <w:ind w:left="426"/>
        <w:jc w:val="both"/>
        <w:rPr>
          <w:rFonts w:ascii="Times New Roman" w:eastAsia="Times New Roman" w:hAnsi="Times New Roman" w:cs="Times New Roman"/>
          <w:bCs/>
        </w:rPr>
      </w:pPr>
      <w:r w:rsidRPr="004C7EBD">
        <w:rPr>
          <w:rFonts w:ascii="Times New Roman" w:eastAsia="Times New Roman" w:hAnsi="Times New Roman" w:cs="Times New Roman"/>
          <w:b/>
          <w:bCs/>
        </w:rPr>
        <w:t>Tudása:</w:t>
      </w:r>
    </w:p>
    <w:p w:rsidR="004C7EBD" w:rsidRPr="004C7EBD" w:rsidRDefault="004C7EBD"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kern w:val="2"/>
        </w:rPr>
      </w:pPr>
      <w:r w:rsidRPr="004C7EBD">
        <w:rPr>
          <w:rFonts w:ascii="Times New Roman" w:eastAsia="Times New Roman" w:hAnsi="Times New Roman" w:cs="Times New Roman"/>
          <w:bCs/>
        </w:rPr>
        <w:t xml:space="preserve">Ismeri a páncélos- és gépjárműtechnikai eszközök felépítését, berendezéseit, azok </w:t>
      </w:r>
      <w:r w:rsidRPr="004C7EBD">
        <w:rPr>
          <w:rFonts w:ascii="Times New Roman" w:eastAsia="Times New Roman" w:hAnsi="Times New Roman" w:cs="Times New Roman"/>
          <w:bCs/>
        </w:rPr>
        <w:lastRenderedPageBreak/>
        <w:t>működését és üzemeltetési rendjét.</w:t>
      </w:r>
    </w:p>
    <w:p w:rsidR="004C7EBD" w:rsidRPr="004C7EBD" w:rsidRDefault="004C7EBD"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kern w:val="2"/>
        </w:rPr>
      </w:pPr>
      <w:r w:rsidRPr="004C7EBD">
        <w:rPr>
          <w:rFonts w:ascii="Times New Roman" w:eastAsia="Times New Roman" w:hAnsi="Times New Roman" w:cs="Times New Roman"/>
          <w:bCs/>
        </w:rPr>
        <w:t>Ismeri a legújabb gépjárműtechnikai megoldásokat.</w:t>
      </w:r>
    </w:p>
    <w:p w:rsidR="004C7EBD" w:rsidRPr="004C7EBD" w:rsidRDefault="004C7EBD"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kern w:val="2"/>
        </w:rPr>
      </w:pPr>
      <w:r w:rsidRPr="004C7EBD">
        <w:rPr>
          <w:rFonts w:ascii="Times New Roman" w:eastAsia="Times New Roman" w:hAnsi="Times New Roman" w:cs="Times New Roman"/>
          <w:bCs/>
        </w:rPr>
        <w:t>Ismeri a páncélos- és gépjárműtechnikai eszközök fődarabjainak és részegységeinek karbantartását, ellenőrzését, az egyes szerelési egységek hibáinak behatárolási és javítási módjait.</w:t>
      </w:r>
    </w:p>
    <w:p w:rsidR="004C7EBD" w:rsidRPr="004C7EBD" w:rsidRDefault="004C7EBD"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kern w:val="2"/>
        </w:rPr>
      </w:pPr>
      <w:r w:rsidRPr="004C7EBD">
        <w:rPr>
          <w:rFonts w:ascii="Times New Roman" w:eastAsia="Times New Roman" w:hAnsi="Times New Roman" w:cs="Times New Roman"/>
          <w:bCs/>
        </w:rPr>
        <w:t>Megfelelő műszaki alapokkal rendelkezik, amelyek biztosítják az új ismeretek elsajátítását.</w:t>
      </w:r>
    </w:p>
    <w:p w:rsidR="004C7EBD" w:rsidRPr="004C7EBD" w:rsidRDefault="004C7EBD" w:rsidP="004C7EBD">
      <w:pPr>
        <w:widowControl w:val="0"/>
        <w:spacing w:before="120" w:after="120" w:line="240" w:lineRule="auto"/>
        <w:ind w:left="426"/>
        <w:jc w:val="both"/>
        <w:rPr>
          <w:rFonts w:ascii="Times New Roman" w:eastAsia="Times New Roman" w:hAnsi="Times New Roman" w:cs="Times New Roman"/>
          <w:bCs/>
        </w:rPr>
      </w:pPr>
      <w:r w:rsidRPr="004C7EBD">
        <w:rPr>
          <w:rFonts w:ascii="Times New Roman" w:eastAsia="Times New Roman" w:hAnsi="Times New Roman" w:cs="Times New Roman"/>
          <w:b/>
          <w:bCs/>
        </w:rPr>
        <w:t>Képességei:</w:t>
      </w:r>
      <w:r w:rsidRPr="004C7EBD">
        <w:rPr>
          <w:rFonts w:ascii="Times New Roman" w:eastAsia="Times New Roman" w:hAnsi="Times New Roman" w:cs="Times New Roman"/>
          <w:bCs/>
        </w:rPr>
        <w:t xml:space="preserve"> </w:t>
      </w:r>
    </w:p>
    <w:p w:rsidR="004C7EBD" w:rsidRPr="004C7EBD" w:rsidRDefault="004C7EBD"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kern w:val="2"/>
        </w:rPr>
      </w:pPr>
      <w:r w:rsidRPr="004C7EBD">
        <w:rPr>
          <w:rFonts w:ascii="Times New Roman" w:eastAsia="Times New Roman" w:hAnsi="Times New Roman" w:cs="Times New Roman"/>
          <w:bCs/>
        </w:rPr>
        <w:t>Képes a megtanultakat felhasználva a szakterületén felmerülő új műszaki információkat megérteni és megtanulni.</w:t>
      </w:r>
    </w:p>
    <w:p w:rsidR="004C7EBD" w:rsidRPr="004C7EBD" w:rsidRDefault="004C7EBD" w:rsidP="004C7EBD">
      <w:pPr>
        <w:widowControl w:val="0"/>
        <w:spacing w:before="120" w:after="120" w:line="240" w:lineRule="auto"/>
        <w:ind w:left="426"/>
        <w:jc w:val="both"/>
        <w:rPr>
          <w:rFonts w:ascii="Times New Roman" w:eastAsia="Times New Roman" w:hAnsi="Times New Roman" w:cs="Times New Roman"/>
          <w:bCs/>
        </w:rPr>
      </w:pPr>
      <w:r w:rsidRPr="004C7EBD">
        <w:rPr>
          <w:rFonts w:ascii="Times New Roman" w:eastAsia="Times New Roman" w:hAnsi="Times New Roman" w:cs="Times New Roman"/>
          <w:b/>
          <w:bCs/>
        </w:rPr>
        <w:t>Attitűdje:</w:t>
      </w:r>
    </w:p>
    <w:p w:rsidR="004C7EBD" w:rsidRPr="004C7EBD" w:rsidRDefault="004C7EBD"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rPr>
      </w:pPr>
      <w:r w:rsidRPr="004C7EBD">
        <w:rPr>
          <w:rFonts w:ascii="Times New Roman" w:eastAsia="Times New Roman" w:hAnsi="Times New Roman" w:cs="Times New Roman"/>
          <w:bCs/>
        </w:rPr>
        <w:t>A minőségi szakmai munkavégzés iránt elkötelezett, azt a pontosságra való törekvés jellemzi.</w:t>
      </w:r>
    </w:p>
    <w:p w:rsidR="004C7EBD" w:rsidRPr="004C7EBD" w:rsidRDefault="004C7EBD"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rPr>
      </w:pPr>
      <w:r w:rsidRPr="004C7EBD">
        <w:rPr>
          <w:rFonts w:ascii="Times New Roman" w:eastAsia="Times New Roman" w:hAnsi="Times New Roman" w:cs="Times New Roman"/>
          <w:bCs/>
        </w:rPr>
        <w:t>Tevékenységét a hatékonyság központú szemlélet jellemzi.</w:t>
      </w:r>
    </w:p>
    <w:p w:rsidR="004C7EBD" w:rsidRPr="004C7EBD" w:rsidRDefault="004C7EBD"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rPr>
      </w:pPr>
      <w:r w:rsidRPr="004C7EBD">
        <w:rPr>
          <w:rFonts w:ascii="Times New Roman" w:eastAsia="Times New Roman" w:hAnsi="Times New Roman" w:cs="Times New Roman"/>
          <w:bCs/>
        </w:rPr>
        <w:t>Nyitott a páncélos- és gépjárműtechnikával kapcsolatos szakmai ismereteinek gyarapítása iránt, folyamatos önképzési igény jellemzi.</w:t>
      </w:r>
    </w:p>
    <w:p w:rsidR="004C7EBD" w:rsidRPr="004C7EBD" w:rsidRDefault="004C7EBD"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rPr>
      </w:pPr>
      <w:r w:rsidRPr="004C7EBD">
        <w:rPr>
          <w:rFonts w:ascii="Times New Roman" w:eastAsia="Times New Roman" w:hAnsi="Times New Roman" w:cs="Times New Roman"/>
          <w:bCs/>
        </w:rPr>
        <w:t>Törekszik munkája során a vonatkozó szabályok betartására és betartatására.</w:t>
      </w:r>
    </w:p>
    <w:p w:rsidR="004C7EBD" w:rsidRPr="004C7EBD" w:rsidRDefault="004C7EBD"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rPr>
      </w:pPr>
      <w:r w:rsidRPr="004C7EBD">
        <w:rPr>
          <w:rFonts w:ascii="Times New Roman" w:eastAsia="Times New Roman" w:hAnsi="Times New Roman" w:cs="Times New Roman"/>
          <w:bCs/>
        </w:rPr>
        <w:t>Munkáját és emberi kapcsolatait a megbízhatóság jellemzi.</w:t>
      </w:r>
    </w:p>
    <w:p w:rsidR="004C7EBD" w:rsidRPr="004C7EBD" w:rsidRDefault="004C7EBD" w:rsidP="004C7EBD">
      <w:pPr>
        <w:widowControl w:val="0"/>
        <w:spacing w:before="120" w:after="120" w:line="240" w:lineRule="auto"/>
        <w:ind w:left="426"/>
        <w:jc w:val="both"/>
        <w:rPr>
          <w:rFonts w:ascii="Times New Roman" w:eastAsia="Times New Roman" w:hAnsi="Times New Roman" w:cs="Times New Roman"/>
          <w:bCs/>
        </w:rPr>
      </w:pPr>
      <w:r w:rsidRPr="004C7EBD">
        <w:rPr>
          <w:rFonts w:ascii="Times New Roman" w:eastAsia="Times New Roman" w:hAnsi="Times New Roman" w:cs="Times New Roman"/>
          <w:b/>
          <w:bCs/>
        </w:rPr>
        <w:t>Autonómiája és felelőssége:</w:t>
      </w:r>
    </w:p>
    <w:p w:rsidR="004C7EBD" w:rsidRPr="004C7EBD" w:rsidRDefault="004C7EBD"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
          <w:bCs/>
        </w:rPr>
      </w:pPr>
      <w:r w:rsidRPr="004C7EBD">
        <w:rPr>
          <w:rFonts w:ascii="Times New Roman" w:eastAsia="Times New Roman" w:hAnsi="Times New Roman" w:cs="Times New Roman"/>
          <w:bCs/>
        </w:rPr>
        <w:t>Képes szakfeladatait önállóan végezni, saját munkáját hatékonyan megszervezni és végrehajtani.</w:t>
      </w:r>
    </w:p>
    <w:p w:rsidR="004C7EBD" w:rsidRPr="004C7EBD" w:rsidRDefault="004C7EBD"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
          <w:bCs/>
        </w:rPr>
      </w:pPr>
      <w:r w:rsidRPr="004C7EBD">
        <w:rPr>
          <w:rFonts w:ascii="Times New Roman" w:eastAsia="Times New Roman" w:hAnsi="Times New Roman" w:cs="Times New Roman"/>
          <w:bCs/>
        </w:rPr>
        <w:t>Képes alárendeltjeinek feladatait megszervezni és meghatározni, valamint elvégzett munkájukat szakmai szempontok alapján ellenőrizni.</w:t>
      </w:r>
    </w:p>
    <w:p w:rsidR="004C7EBD" w:rsidRPr="004C7EBD" w:rsidRDefault="004C7EBD"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
          <w:bCs/>
        </w:rPr>
      </w:pPr>
      <w:r w:rsidRPr="004C7EBD">
        <w:rPr>
          <w:rFonts w:ascii="Times New Roman" w:eastAsia="Times New Roman" w:hAnsi="Times New Roman" w:cs="Times New Roman"/>
          <w:bCs/>
        </w:rPr>
        <w:t>A páncélos- és gépjárműtechnikai eszközök technikai kiszolgálása és javítása során képes elemzések végrehajtása után a legmegfelelőbb döntéseket meghozni, amely döntésekért a szakmai felelősséget vállalja.</w:t>
      </w:r>
    </w:p>
    <w:p w:rsidR="004C7EBD" w:rsidRPr="004C7EBD" w:rsidRDefault="004C7EBD"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
          <w:bCs/>
        </w:rPr>
      </w:pPr>
      <w:r w:rsidRPr="004C7EBD">
        <w:rPr>
          <w:rFonts w:ascii="Times New Roman" w:eastAsia="Times New Roman" w:hAnsi="Times New Roman" w:cs="Times New Roman"/>
          <w:bCs/>
        </w:rPr>
        <w:t>Együttműködés és felelősség jellemzi szakterületének szakembereivel szemben.</w:t>
      </w:r>
    </w:p>
    <w:p w:rsidR="004C7EBD" w:rsidRPr="004C7EBD" w:rsidRDefault="004C7EBD"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
          <w:bCs/>
        </w:rPr>
      </w:pPr>
      <w:r w:rsidRPr="004C7EBD">
        <w:rPr>
          <w:rFonts w:ascii="Times New Roman" w:eastAsia="Times New Roman" w:hAnsi="Times New Roman" w:cs="Times New Roman"/>
          <w:bCs/>
        </w:rPr>
        <w:t>Szakterületén belül képes rendszer-szemléletűen gondolkodni.</w:t>
      </w:r>
    </w:p>
    <w:p w:rsidR="004C7EBD" w:rsidRPr="004C7EBD" w:rsidRDefault="004C7EBD" w:rsidP="004C7EBD">
      <w:pPr>
        <w:widowControl w:val="0"/>
        <w:spacing w:before="120" w:after="120" w:line="240" w:lineRule="auto"/>
        <w:ind w:left="426"/>
        <w:jc w:val="both"/>
        <w:rPr>
          <w:rFonts w:ascii="Times New Roman" w:eastAsia="Times New Roman" w:hAnsi="Times New Roman" w:cs="Times New Roman"/>
          <w:b/>
          <w:bCs/>
          <w:lang w:val="en-US"/>
        </w:rPr>
      </w:pPr>
      <w:r w:rsidRPr="004C7EBD">
        <w:rPr>
          <w:rFonts w:ascii="Times New Roman" w:eastAsia="Times New Roman" w:hAnsi="Times New Roman" w:cs="Times New Roman"/>
          <w:b/>
          <w:bCs/>
        </w:rPr>
        <w:t>Elérendő kompetenciák (angolul) (</w:t>
      </w:r>
      <w:r w:rsidRPr="004C7EBD">
        <w:rPr>
          <w:rFonts w:ascii="Times New Roman" w:eastAsia="Times New Roman" w:hAnsi="Times New Roman" w:cs="Times New Roman"/>
          <w:b/>
          <w:bCs/>
          <w:lang w:val="en-US"/>
        </w:rPr>
        <w:t xml:space="preserve">Competences – English): </w:t>
      </w:r>
    </w:p>
    <w:p w:rsidR="004C7EBD" w:rsidRPr="004C7EBD" w:rsidRDefault="004C7EBD" w:rsidP="004C7EBD">
      <w:pPr>
        <w:widowControl w:val="0"/>
        <w:spacing w:before="120" w:after="120" w:line="240" w:lineRule="auto"/>
        <w:ind w:left="426"/>
        <w:jc w:val="both"/>
        <w:rPr>
          <w:rFonts w:ascii="Times New Roman" w:eastAsia="Times New Roman" w:hAnsi="Times New Roman" w:cs="Times New Roman"/>
          <w:lang w:val="en-GB"/>
        </w:rPr>
      </w:pPr>
      <w:r w:rsidRPr="004C7EBD">
        <w:rPr>
          <w:rFonts w:ascii="Times New Roman" w:eastAsia="Times New Roman" w:hAnsi="Times New Roman" w:cs="Times New Roman"/>
          <w:b/>
          <w:lang w:val="en-GB"/>
        </w:rPr>
        <w:t>Knowledge</w:t>
      </w:r>
      <w:r w:rsidRPr="004C7EBD">
        <w:rPr>
          <w:rFonts w:ascii="Times New Roman" w:eastAsia="Times New Roman" w:hAnsi="Times New Roman" w:cs="Times New Roman"/>
          <w:lang w:val="en-GB"/>
        </w:rPr>
        <w:t>:</w:t>
      </w:r>
    </w:p>
    <w:p w:rsidR="004C7EBD" w:rsidRPr="004C7EBD" w:rsidRDefault="004C7EBD"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kern w:val="2"/>
        </w:rPr>
      </w:pPr>
      <w:r w:rsidRPr="004C7EBD">
        <w:rPr>
          <w:rFonts w:ascii="Times New Roman" w:eastAsia="Times New Roman" w:hAnsi="Times New Roman" w:cs="Times New Roman"/>
          <w:lang w:val="en-GB"/>
        </w:rPr>
        <w:t>Knows the structure and equipment as well as the functioning and operation of armored vehicles.</w:t>
      </w:r>
    </w:p>
    <w:p w:rsidR="004C7EBD" w:rsidRPr="004C7EBD" w:rsidRDefault="004C7EBD"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kern w:val="2"/>
        </w:rPr>
      </w:pPr>
      <w:r w:rsidRPr="004C7EBD">
        <w:rPr>
          <w:rFonts w:ascii="Times New Roman" w:eastAsia="Times New Roman" w:hAnsi="Times New Roman" w:cs="Times New Roman"/>
          <w:lang w:val="en-GB"/>
        </w:rPr>
        <w:t>Knows the latest solutions regarding armored vehicles.</w:t>
      </w:r>
    </w:p>
    <w:p w:rsidR="004C7EBD" w:rsidRPr="004C7EBD" w:rsidRDefault="004C7EBD"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kern w:val="2"/>
        </w:rPr>
      </w:pPr>
      <w:r w:rsidRPr="004C7EBD">
        <w:rPr>
          <w:rFonts w:ascii="Times New Roman" w:eastAsia="Times New Roman" w:hAnsi="Times New Roman" w:cs="Times New Roman"/>
          <w:lang w:val="en-GB"/>
        </w:rPr>
        <w:t>Knows how to maintain and control the main parts and units of armored vehicles, as well as the ways to identify and repair the defects of certain parts.</w:t>
      </w:r>
    </w:p>
    <w:p w:rsidR="004C7EBD" w:rsidRPr="004C7EBD" w:rsidRDefault="004C7EBD"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kern w:val="2"/>
        </w:rPr>
      </w:pPr>
      <w:r w:rsidRPr="004C7EBD">
        <w:rPr>
          <w:rFonts w:ascii="Times New Roman" w:eastAsia="Times New Roman" w:hAnsi="Times New Roman" w:cs="Times New Roman"/>
          <w:lang w:val="en-GB"/>
        </w:rPr>
        <w:t>Possesses adequate basic engineering knowledge which enables the acquirement of new knowledge.</w:t>
      </w:r>
    </w:p>
    <w:p w:rsidR="004C7EBD" w:rsidRPr="004C7EBD" w:rsidRDefault="004C7EBD" w:rsidP="004C7EBD">
      <w:pPr>
        <w:widowControl w:val="0"/>
        <w:spacing w:before="120" w:after="120" w:line="240" w:lineRule="auto"/>
        <w:ind w:left="426"/>
        <w:jc w:val="both"/>
        <w:rPr>
          <w:rFonts w:ascii="Times New Roman" w:eastAsia="Times New Roman" w:hAnsi="Times New Roman" w:cs="Times New Roman"/>
          <w:lang w:val="en-GB"/>
        </w:rPr>
      </w:pPr>
      <w:r w:rsidRPr="004C7EBD">
        <w:rPr>
          <w:rFonts w:ascii="Times New Roman" w:eastAsia="Times New Roman" w:hAnsi="Times New Roman" w:cs="Times New Roman"/>
          <w:b/>
          <w:lang w:val="en-GB"/>
        </w:rPr>
        <w:t>Capabilities</w:t>
      </w:r>
      <w:r w:rsidRPr="004C7EBD">
        <w:rPr>
          <w:rFonts w:ascii="Times New Roman" w:eastAsia="Times New Roman" w:hAnsi="Times New Roman" w:cs="Times New Roman"/>
          <w:lang w:val="en-GB"/>
        </w:rPr>
        <w:t>:</w:t>
      </w:r>
    </w:p>
    <w:p w:rsidR="004C7EBD" w:rsidRPr="004C7EBD" w:rsidRDefault="004C7EBD"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kern w:val="2"/>
        </w:rPr>
      </w:pPr>
      <w:r w:rsidRPr="004C7EBD">
        <w:rPr>
          <w:rFonts w:ascii="Times New Roman" w:eastAsia="Times New Roman" w:hAnsi="Times New Roman" w:cs="Times New Roman"/>
          <w:lang w:val="en-GB"/>
        </w:rPr>
        <w:t>Is capable of acqiring the understaning of new engineering information arising in his/her field of specialty using the already gained knowldge.</w:t>
      </w:r>
    </w:p>
    <w:p w:rsidR="004C7EBD" w:rsidRPr="004C7EBD" w:rsidRDefault="004C7EBD" w:rsidP="004C7E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lang w:val="en-GB"/>
        </w:rPr>
      </w:pPr>
      <w:r w:rsidRPr="004C7EBD">
        <w:rPr>
          <w:rFonts w:ascii="Times New Roman" w:eastAsia="Times New Roman" w:hAnsi="Times New Roman" w:cs="Times New Roman"/>
          <w:b/>
          <w:lang w:val="en-GB"/>
        </w:rPr>
        <w:t>Attitude:</w:t>
      </w:r>
    </w:p>
    <w:p w:rsidR="004C7EBD" w:rsidRPr="004C7EBD" w:rsidRDefault="004C7EBD"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rPr>
      </w:pPr>
      <w:r w:rsidRPr="004C7EBD">
        <w:rPr>
          <w:rFonts w:ascii="Times New Roman" w:eastAsia="Times New Roman" w:hAnsi="Times New Roman" w:cs="Times New Roman"/>
          <w:lang w:val="en-GB"/>
        </w:rPr>
        <w:t>He/She is committed to accuracy and high quality at work.</w:t>
      </w:r>
    </w:p>
    <w:p w:rsidR="004C7EBD" w:rsidRPr="004C7EBD" w:rsidRDefault="004C7EBD"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rPr>
      </w:pPr>
      <w:r w:rsidRPr="004C7EBD">
        <w:rPr>
          <w:rFonts w:ascii="Times New Roman" w:eastAsia="Times New Roman" w:hAnsi="Times New Roman" w:cs="Times New Roman"/>
          <w:lang w:val="en-GB"/>
        </w:rPr>
        <w:t>His/Her activities are characterized by an efficiency-oriented approach.</w:t>
      </w:r>
    </w:p>
    <w:p w:rsidR="004C7EBD" w:rsidRPr="004C7EBD" w:rsidRDefault="004C7EBD"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rPr>
      </w:pPr>
      <w:r w:rsidRPr="004C7EBD">
        <w:rPr>
          <w:rFonts w:ascii="Times New Roman" w:eastAsia="Times New Roman" w:hAnsi="Times New Roman" w:cs="Times New Roman"/>
          <w:lang w:val="en-GB"/>
        </w:rPr>
        <w:t>He/she is open to widen his/her knowledge regarding armored vehicles and has a constant need for self-education.</w:t>
      </w:r>
    </w:p>
    <w:p w:rsidR="004C7EBD" w:rsidRPr="004C7EBD" w:rsidRDefault="004C7EBD"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rPr>
      </w:pPr>
      <w:r w:rsidRPr="004C7EBD">
        <w:rPr>
          <w:rFonts w:ascii="Times New Roman" w:eastAsia="Times New Roman" w:hAnsi="Times New Roman" w:cs="Times New Roman"/>
          <w:lang w:val="en-GB"/>
        </w:rPr>
        <w:t>He/she aims to adhere to the respective rules and make others follow them as well.</w:t>
      </w:r>
    </w:p>
    <w:p w:rsidR="004C7EBD" w:rsidRPr="004C7EBD" w:rsidRDefault="004C7EBD"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rPr>
      </w:pPr>
      <w:r w:rsidRPr="004C7EBD">
        <w:rPr>
          <w:rFonts w:ascii="Times New Roman" w:eastAsia="Times New Roman" w:hAnsi="Times New Roman" w:cs="Times New Roman"/>
          <w:lang w:val="en-GB"/>
        </w:rPr>
        <w:t>His/her work and relationships can be described by loyalty and reliability.</w:t>
      </w:r>
    </w:p>
    <w:p w:rsidR="004C7EBD" w:rsidRPr="004C7EBD" w:rsidRDefault="004C7EBD" w:rsidP="004C7EBD">
      <w:pPr>
        <w:widowControl w:val="0"/>
        <w:spacing w:before="120" w:after="120" w:line="240" w:lineRule="auto"/>
        <w:ind w:left="426"/>
        <w:jc w:val="both"/>
        <w:rPr>
          <w:rFonts w:ascii="Times New Roman" w:eastAsia="Times New Roman" w:hAnsi="Times New Roman" w:cs="Times New Roman"/>
          <w:b/>
          <w:lang w:val="en-GB"/>
        </w:rPr>
      </w:pPr>
      <w:r w:rsidRPr="004C7EBD">
        <w:rPr>
          <w:rFonts w:ascii="Times New Roman" w:eastAsia="Times New Roman" w:hAnsi="Times New Roman" w:cs="Times New Roman"/>
          <w:b/>
          <w:lang w:val="en-GB"/>
        </w:rPr>
        <w:t>Autonomy and responsibility:</w:t>
      </w:r>
    </w:p>
    <w:p w:rsidR="004C7EBD" w:rsidRPr="004C7EBD" w:rsidRDefault="004C7EBD"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kern w:val="2"/>
        </w:rPr>
      </w:pPr>
      <w:r w:rsidRPr="004C7EBD">
        <w:rPr>
          <w:rFonts w:ascii="Times New Roman" w:eastAsia="Times New Roman" w:hAnsi="Times New Roman" w:cs="Times New Roman"/>
          <w:bCs/>
        </w:rPr>
        <w:t>Is capable of independently fulfilling his/her professional tasks as well as effectively organizing and executing his/her own work. Is capable of organizing and determining the tasks of his/her subordinates as well as controlling their work based on professional aspects.</w:t>
      </w:r>
    </w:p>
    <w:p w:rsidR="004C7EBD" w:rsidRPr="004C7EBD" w:rsidRDefault="004C7EBD"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kern w:val="2"/>
        </w:rPr>
      </w:pPr>
      <w:r w:rsidRPr="004C7EBD">
        <w:rPr>
          <w:rFonts w:ascii="Times New Roman" w:eastAsia="Times New Roman" w:hAnsi="Times New Roman" w:cs="Times New Roman"/>
          <w:bCs/>
        </w:rPr>
        <w:t xml:space="preserve">After doing proper analysation, he/she is capable of making the best decisions and taking </w:t>
      </w:r>
      <w:r w:rsidRPr="004C7EBD">
        <w:rPr>
          <w:rFonts w:ascii="Times New Roman" w:eastAsia="Times New Roman" w:hAnsi="Times New Roman" w:cs="Times New Roman"/>
          <w:bCs/>
        </w:rPr>
        <w:lastRenderedPageBreak/>
        <w:t xml:space="preserve">professional responsibility during the technical maintenance and repairing of the armored vehicles. </w:t>
      </w:r>
    </w:p>
    <w:p w:rsidR="004C7EBD" w:rsidRPr="004C7EBD" w:rsidRDefault="004C7EBD"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kern w:val="2"/>
        </w:rPr>
      </w:pPr>
      <w:r w:rsidRPr="004C7EBD">
        <w:rPr>
          <w:rFonts w:ascii="Times New Roman" w:eastAsia="Times New Roman" w:hAnsi="Times New Roman" w:cs="Times New Roman"/>
          <w:bCs/>
        </w:rPr>
        <w:t>He/she is cooperative and responsible towards the professionals of his/her field. Is capable of thinking in a system approach within his/her own field.</w:t>
      </w:r>
    </w:p>
    <w:p w:rsidR="004C7EBD" w:rsidRPr="004C7EBD" w:rsidRDefault="004C7EBD" w:rsidP="00980876">
      <w:pPr>
        <w:widowControl w:val="0"/>
        <w:numPr>
          <w:ilvl w:val="0"/>
          <w:numId w:val="451"/>
        </w:numPr>
        <w:tabs>
          <w:tab w:val="num" w:pos="567"/>
        </w:tabs>
        <w:spacing w:before="120" w:after="120" w:line="240" w:lineRule="auto"/>
        <w:ind w:left="426" w:hanging="142"/>
        <w:jc w:val="both"/>
        <w:rPr>
          <w:rFonts w:ascii="Times New Roman" w:eastAsia="Times New Roman" w:hAnsi="Times New Roman" w:cs="Times New Roman"/>
          <w:bCs/>
          <w:i/>
        </w:rPr>
      </w:pPr>
      <w:r w:rsidRPr="004C7EBD">
        <w:rPr>
          <w:rFonts w:ascii="Times New Roman" w:eastAsia="Times New Roman" w:hAnsi="Times New Roman" w:cs="Times New Roman"/>
          <w:b/>
          <w:bCs/>
        </w:rPr>
        <w:t xml:space="preserve">Előtanulmányi követelmények: </w:t>
      </w:r>
      <w:r w:rsidRPr="004C7EBD">
        <w:rPr>
          <w:rFonts w:ascii="Times New Roman" w:eastAsia="Times New Roman" w:hAnsi="Times New Roman" w:cs="Times New Roman"/>
          <w:bCs/>
        </w:rPr>
        <w:t>-</w:t>
      </w:r>
    </w:p>
    <w:p w:rsidR="004C7EBD" w:rsidRPr="004C7EBD" w:rsidRDefault="004C7EBD" w:rsidP="00980876">
      <w:pPr>
        <w:widowControl w:val="0"/>
        <w:numPr>
          <w:ilvl w:val="0"/>
          <w:numId w:val="451"/>
        </w:numPr>
        <w:spacing w:before="120" w:after="120" w:line="240" w:lineRule="auto"/>
        <w:ind w:left="426" w:hanging="142"/>
        <w:jc w:val="both"/>
        <w:rPr>
          <w:rFonts w:ascii="Times New Roman" w:eastAsia="Times New Roman" w:hAnsi="Times New Roman" w:cs="Times New Roman"/>
          <w:b/>
          <w:bCs/>
        </w:rPr>
      </w:pPr>
      <w:r w:rsidRPr="004C7EBD">
        <w:rPr>
          <w:rFonts w:ascii="Times New Roman" w:eastAsia="Times New Roman" w:hAnsi="Times New Roman" w:cs="Times New Roman"/>
          <w:b/>
          <w:bCs/>
        </w:rPr>
        <w:t>A tantárgy tananyagának leírása, tematika. Description of the subject, curriculum (magyarul, angolul - English):</w:t>
      </w:r>
    </w:p>
    <w:p w:rsidR="004C7EBD" w:rsidRPr="004C7EBD" w:rsidRDefault="004C7EBD" w:rsidP="00980876">
      <w:pPr>
        <w:widowControl w:val="0"/>
        <w:numPr>
          <w:ilvl w:val="1"/>
          <w:numId w:val="451"/>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b/>
        </w:rPr>
      </w:pPr>
      <w:r w:rsidRPr="004C7EBD">
        <w:rPr>
          <w:rFonts w:ascii="Times New Roman" w:eastAsia="Calibri" w:hAnsi="Times New Roman" w:cs="Times New Roman"/>
        </w:rPr>
        <w:t>A gépjármű villamos hálózatának főbb egységei.</w:t>
      </w:r>
      <w:r w:rsidRPr="004C7EBD">
        <w:rPr>
          <w:rFonts w:ascii="Times New Roman" w:eastAsia="Calibri" w:hAnsi="Times New Roman" w:cs="Times New Roman"/>
          <w:bCs/>
        </w:rPr>
        <w:t xml:space="preserve"> </w:t>
      </w:r>
      <w:r w:rsidRPr="004C7EBD">
        <w:rPr>
          <w:rFonts w:ascii="Times New Roman" w:eastAsia="Calibri" w:hAnsi="Times New Roman" w:cs="Times New Roman"/>
          <w:bCs/>
          <w:i/>
          <w:iCs/>
        </w:rPr>
        <w:t>(</w:t>
      </w:r>
      <w:r w:rsidRPr="004C7EBD">
        <w:rPr>
          <w:rFonts w:ascii="Times New Roman" w:eastAsia="Calibri" w:hAnsi="Times New Roman" w:cs="Times New Roman"/>
          <w:i/>
          <w:iCs/>
        </w:rPr>
        <w:t>The main units of the vehicle electrical network.</w:t>
      </w:r>
      <w:r w:rsidRPr="004C7EBD">
        <w:rPr>
          <w:rFonts w:ascii="Times New Roman" w:eastAsia="Calibri" w:hAnsi="Times New Roman" w:cs="Times New Roman"/>
          <w:bCs/>
          <w:i/>
          <w:iCs/>
        </w:rPr>
        <w:t>)</w:t>
      </w:r>
    </w:p>
    <w:p w:rsidR="004C7EBD" w:rsidRPr="004C7EBD" w:rsidRDefault="004C7EBD" w:rsidP="00980876">
      <w:pPr>
        <w:widowControl w:val="0"/>
        <w:numPr>
          <w:ilvl w:val="1"/>
          <w:numId w:val="451"/>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b/>
        </w:rPr>
      </w:pPr>
      <w:r w:rsidRPr="004C7EBD">
        <w:rPr>
          <w:rFonts w:ascii="Times New Roman" w:eastAsia="Calibri" w:hAnsi="Times New Roman" w:cs="Times New Roman"/>
        </w:rPr>
        <w:t>Fedélzeti hálózat elemei, villamos vezetékek, kapcsolók, biztosítók</w:t>
      </w:r>
      <w:r w:rsidRPr="004C7EBD">
        <w:rPr>
          <w:rFonts w:ascii="Calibri" w:eastAsia="Calibri" w:hAnsi="Calibri" w:cs="Times New Roman"/>
        </w:rPr>
        <w:t>, f</w:t>
      </w:r>
      <w:r w:rsidRPr="004C7EBD">
        <w:rPr>
          <w:rFonts w:ascii="Times New Roman" w:eastAsia="Calibri" w:hAnsi="Times New Roman" w:cs="Times New Roman"/>
        </w:rPr>
        <w:t>ogyasztók</w:t>
      </w:r>
      <w:r w:rsidRPr="004C7EBD">
        <w:rPr>
          <w:rFonts w:ascii="Times New Roman" w:eastAsia="Calibri" w:hAnsi="Times New Roman" w:cs="Times New Roman"/>
          <w:bCs/>
        </w:rPr>
        <w:t>.</w:t>
      </w:r>
      <w:r w:rsidRPr="004C7EBD">
        <w:rPr>
          <w:rFonts w:ascii="Times New Roman" w:eastAsia="Calibri" w:hAnsi="Times New Roman" w:cs="Times New Roman"/>
          <w:bCs/>
          <w:color w:val="FF0000"/>
        </w:rPr>
        <w:t xml:space="preserve"> </w:t>
      </w:r>
      <w:r w:rsidRPr="004C7EBD">
        <w:rPr>
          <w:rFonts w:ascii="Times New Roman" w:eastAsia="Calibri" w:hAnsi="Times New Roman" w:cs="Times New Roman"/>
          <w:bCs/>
          <w:i/>
          <w:iCs/>
        </w:rPr>
        <w:t>(</w:t>
      </w:r>
      <w:bookmarkStart w:id="87" w:name="_Hlk35196335"/>
      <w:r w:rsidRPr="004C7EBD">
        <w:rPr>
          <w:rFonts w:ascii="Times New Roman" w:eastAsia="Calibri" w:hAnsi="Times New Roman" w:cs="Times New Roman"/>
          <w:i/>
          <w:iCs/>
        </w:rPr>
        <w:t>On-board network elements, power lines, switches, fuses, devices)</w:t>
      </w:r>
    </w:p>
    <w:bookmarkEnd w:id="87"/>
    <w:p w:rsidR="004C7EBD" w:rsidRPr="004C7EBD" w:rsidRDefault="004C7EBD" w:rsidP="00980876">
      <w:pPr>
        <w:widowControl w:val="0"/>
        <w:numPr>
          <w:ilvl w:val="1"/>
          <w:numId w:val="451"/>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b/>
        </w:rPr>
      </w:pPr>
      <w:r w:rsidRPr="004C7EBD">
        <w:rPr>
          <w:rFonts w:ascii="Times New Roman" w:eastAsia="Calibri" w:hAnsi="Times New Roman" w:cs="Times New Roman"/>
          <w:bCs/>
        </w:rPr>
        <w:t xml:space="preserve">Jellemző szerkezetek paraméterei és azok összefüggése. </w:t>
      </w:r>
      <w:r w:rsidRPr="004C7EBD">
        <w:rPr>
          <w:rFonts w:ascii="Times New Roman" w:eastAsia="Calibri" w:hAnsi="Times New Roman" w:cs="Times New Roman"/>
          <w:bCs/>
          <w:i/>
          <w:iCs/>
        </w:rPr>
        <w:t>(</w:t>
      </w:r>
      <w:r w:rsidRPr="004C7EBD">
        <w:rPr>
          <w:rFonts w:ascii="Times New Roman" w:eastAsia="Calibri" w:hAnsi="Times New Roman" w:cs="Times New Roman"/>
          <w:i/>
          <w:iCs/>
        </w:rPr>
        <w:t>Parameters of typical electrical structures and their relation</w:t>
      </w:r>
      <w:r w:rsidRPr="004C7EBD">
        <w:rPr>
          <w:rFonts w:ascii="Times New Roman" w:eastAsia="Calibri" w:hAnsi="Times New Roman" w:cs="Times New Roman"/>
          <w:bCs/>
          <w:i/>
          <w:iCs/>
        </w:rPr>
        <w:t>.)</w:t>
      </w:r>
    </w:p>
    <w:p w:rsidR="004C7EBD" w:rsidRPr="004C7EBD" w:rsidRDefault="004C7EBD" w:rsidP="00980876">
      <w:pPr>
        <w:widowControl w:val="0"/>
        <w:numPr>
          <w:ilvl w:val="1"/>
          <w:numId w:val="451"/>
        </w:numPr>
        <w:tabs>
          <w:tab w:val="clear" w:pos="3977"/>
          <w:tab w:val="left" w:pos="709"/>
          <w:tab w:val="left" w:pos="993"/>
          <w:tab w:val="num" w:pos="2069"/>
        </w:tabs>
        <w:spacing w:before="120" w:after="120" w:line="240" w:lineRule="auto"/>
        <w:ind w:left="993" w:hanging="567"/>
        <w:jc w:val="both"/>
        <w:rPr>
          <w:rFonts w:ascii="Times New Roman" w:eastAsia="Calibri" w:hAnsi="Times New Roman" w:cs="Times New Roman"/>
          <w:bCs/>
        </w:rPr>
      </w:pPr>
      <w:r w:rsidRPr="004C7EBD">
        <w:rPr>
          <w:rFonts w:ascii="Times New Roman" w:eastAsia="Calibri" w:hAnsi="Times New Roman" w:cs="Times New Roman"/>
        </w:rPr>
        <w:t>Akkumulátor-jellemzők és befolyásoló tényezők.</w:t>
      </w:r>
      <w:r w:rsidRPr="004C7EBD">
        <w:rPr>
          <w:rFonts w:ascii="Times New Roman" w:eastAsia="Calibri" w:hAnsi="Times New Roman" w:cs="Times New Roman"/>
          <w:bCs/>
        </w:rPr>
        <w:t xml:space="preserve"> </w:t>
      </w:r>
      <w:r w:rsidRPr="004C7EBD">
        <w:rPr>
          <w:rFonts w:ascii="Times New Roman" w:eastAsia="Calibri" w:hAnsi="Times New Roman" w:cs="Times New Roman"/>
          <w:bCs/>
          <w:i/>
          <w:iCs/>
        </w:rPr>
        <w:t>(Battery characteristics and influencing factors.)</w:t>
      </w:r>
    </w:p>
    <w:p w:rsidR="004C7EBD" w:rsidRPr="004C7EBD" w:rsidRDefault="004C7EBD" w:rsidP="00980876">
      <w:pPr>
        <w:widowControl w:val="0"/>
        <w:numPr>
          <w:ilvl w:val="1"/>
          <w:numId w:val="451"/>
        </w:numPr>
        <w:tabs>
          <w:tab w:val="clear" w:pos="3977"/>
          <w:tab w:val="left" w:pos="709"/>
          <w:tab w:val="left" w:pos="993"/>
          <w:tab w:val="num" w:pos="2069"/>
        </w:tabs>
        <w:spacing w:before="120" w:after="120" w:line="240" w:lineRule="auto"/>
        <w:ind w:left="993" w:hanging="567"/>
        <w:jc w:val="both"/>
        <w:rPr>
          <w:rFonts w:ascii="Times New Roman" w:eastAsia="Calibri" w:hAnsi="Times New Roman" w:cs="Times New Roman"/>
          <w:bCs/>
        </w:rPr>
      </w:pPr>
      <w:r w:rsidRPr="004C7EBD">
        <w:rPr>
          <w:rFonts w:ascii="Times New Roman" w:eastAsia="Calibri" w:hAnsi="Times New Roman" w:cs="Times New Roman"/>
        </w:rPr>
        <w:t>Egyen- és váltakozó áramú generátorok működése, szerkezete, jellemzői, diagnosztikai vizsgálata</w:t>
      </w:r>
      <w:r w:rsidRPr="004C7EBD">
        <w:rPr>
          <w:rFonts w:ascii="Times New Roman" w:eastAsia="Calibri" w:hAnsi="Times New Roman" w:cs="Times New Roman"/>
          <w:bCs/>
        </w:rPr>
        <w:t xml:space="preserve">. </w:t>
      </w:r>
      <w:r w:rsidRPr="004C7EBD">
        <w:rPr>
          <w:rFonts w:ascii="Times New Roman" w:eastAsia="Calibri" w:hAnsi="Times New Roman" w:cs="Times New Roman"/>
          <w:bCs/>
          <w:i/>
          <w:iCs/>
        </w:rPr>
        <w:t>(</w:t>
      </w:r>
      <w:r w:rsidRPr="004C7EBD">
        <w:rPr>
          <w:rFonts w:ascii="Times New Roman" w:eastAsia="Calibri" w:hAnsi="Times New Roman" w:cs="Times New Roman"/>
          <w:i/>
          <w:iCs/>
        </w:rPr>
        <w:t>Operation, structure, characteristics, diagnostic examination of direct and alternating current generators</w:t>
      </w:r>
      <w:r w:rsidRPr="004C7EBD">
        <w:rPr>
          <w:rFonts w:ascii="Times New Roman" w:eastAsia="Calibri" w:hAnsi="Times New Roman" w:cs="Times New Roman"/>
          <w:bCs/>
          <w:i/>
          <w:iCs/>
        </w:rPr>
        <w:t>.)</w:t>
      </w:r>
    </w:p>
    <w:p w:rsidR="004C7EBD" w:rsidRPr="004C7EBD" w:rsidRDefault="004C7EBD" w:rsidP="00980876">
      <w:pPr>
        <w:widowControl w:val="0"/>
        <w:numPr>
          <w:ilvl w:val="1"/>
          <w:numId w:val="451"/>
        </w:numPr>
        <w:tabs>
          <w:tab w:val="clear" w:pos="3977"/>
          <w:tab w:val="left" w:pos="709"/>
          <w:tab w:val="left" w:pos="993"/>
          <w:tab w:val="num" w:pos="2069"/>
        </w:tabs>
        <w:spacing w:before="120" w:after="120" w:line="240" w:lineRule="auto"/>
        <w:ind w:left="993" w:hanging="567"/>
        <w:jc w:val="both"/>
        <w:rPr>
          <w:rFonts w:ascii="Times New Roman" w:eastAsia="Calibri" w:hAnsi="Times New Roman" w:cs="Times New Roman"/>
          <w:bCs/>
        </w:rPr>
      </w:pPr>
      <w:r w:rsidRPr="004C7EBD">
        <w:rPr>
          <w:rFonts w:ascii="Times New Roman" w:eastAsia="Calibri" w:hAnsi="Times New Roman" w:cs="Times New Roman"/>
        </w:rPr>
        <w:t>Feszültségszabályozók típusai, részegységei</w:t>
      </w:r>
      <w:r w:rsidRPr="004C7EBD">
        <w:rPr>
          <w:rFonts w:ascii="Times New Roman" w:eastAsia="Calibri" w:hAnsi="Times New Roman" w:cs="Times New Roman"/>
          <w:bCs/>
        </w:rPr>
        <w:t xml:space="preserve">. </w:t>
      </w:r>
      <w:r w:rsidRPr="004C7EBD">
        <w:rPr>
          <w:rFonts w:ascii="Times New Roman" w:eastAsia="Calibri" w:hAnsi="Times New Roman" w:cs="Times New Roman"/>
          <w:bCs/>
          <w:i/>
          <w:iCs/>
        </w:rPr>
        <w:t>(</w:t>
      </w:r>
      <w:r w:rsidRPr="004C7EBD">
        <w:rPr>
          <w:rFonts w:ascii="Times New Roman" w:eastAsia="Calibri" w:hAnsi="Times New Roman" w:cs="Times New Roman"/>
        </w:rPr>
        <w:t>Types and components of voltage regulators</w:t>
      </w:r>
      <w:r w:rsidRPr="004C7EBD">
        <w:rPr>
          <w:rFonts w:ascii="Times New Roman" w:eastAsia="Calibri" w:hAnsi="Times New Roman" w:cs="Times New Roman"/>
          <w:bCs/>
          <w:i/>
          <w:iCs/>
        </w:rPr>
        <w:t xml:space="preserve"> )</w:t>
      </w:r>
    </w:p>
    <w:p w:rsidR="004C7EBD" w:rsidRPr="004C7EBD" w:rsidRDefault="004C7EBD" w:rsidP="00980876">
      <w:pPr>
        <w:widowControl w:val="0"/>
        <w:numPr>
          <w:ilvl w:val="1"/>
          <w:numId w:val="451"/>
        </w:numPr>
        <w:tabs>
          <w:tab w:val="clear" w:pos="3977"/>
          <w:tab w:val="left" w:pos="709"/>
          <w:tab w:val="left" w:pos="993"/>
          <w:tab w:val="num" w:pos="2069"/>
        </w:tabs>
        <w:spacing w:before="120" w:after="120" w:line="240" w:lineRule="auto"/>
        <w:ind w:left="993" w:hanging="567"/>
        <w:jc w:val="both"/>
        <w:rPr>
          <w:rFonts w:ascii="Times New Roman" w:eastAsia="Calibri" w:hAnsi="Times New Roman" w:cs="Times New Roman"/>
          <w:bCs/>
        </w:rPr>
      </w:pPr>
      <w:r w:rsidRPr="004C7EBD">
        <w:rPr>
          <w:rFonts w:ascii="Times New Roman" w:eastAsia="Calibri" w:hAnsi="Times New Roman" w:cs="Times New Roman"/>
        </w:rPr>
        <w:t xml:space="preserve">Indítómotorok feladata, csoportosítása, különböző típusú indítómotorok diagnosztikai vizsgálata. </w:t>
      </w:r>
      <w:r w:rsidRPr="004C7EBD">
        <w:rPr>
          <w:rFonts w:ascii="Times New Roman" w:eastAsia="Calibri" w:hAnsi="Times New Roman" w:cs="Times New Roman"/>
          <w:i/>
          <w:iCs/>
        </w:rPr>
        <w:t>(The task and grouping of starter motors, diagnostic examination of different types of starter motors.)</w:t>
      </w:r>
    </w:p>
    <w:p w:rsidR="004C7EBD" w:rsidRPr="004C7EBD" w:rsidRDefault="004C7EBD" w:rsidP="00980876">
      <w:pPr>
        <w:widowControl w:val="0"/>
        <w:numPr>
          <w:ilvl w:val="1"/>
          <w:numId w:val="451"/>
        </w:numPr>
        <w:tabs>
          <w:tab w:val="clear" w:pos="3977"/>
          <w:tab w:val="left" w:pos="709"/>
          <w:tab w:val="left" w:pos="993"/>
          <w:tab w:val="num" w:pos="2069"/>
        </w:tabs>
        <w:spacing w:before="120" w:after="120" w:line="240" w:lineRule="auto"/>
        <w:ind w:left="993" w:hanging="567"/>
        <w:jc w:val="both"/>
        <w:rPr>
          <w:rFonts w:ascii="Times New Roman" w:eastAsia="Calibri" w:hAnsi="Times New Roman" w:cs="Times New Roman"/>
          <w:bCs/>
          <w:i/>
          <w:iCs/>
        </w:rPr>
      </w:pPr>
      <w:r w:rsidRPr="004C7EBD">
        <w:rPr>
          <w:rFonts w:ascii="Times New Roman" w:eastAsia="Calibri" w:hAnsi="Times New Roman" w:cs="Times New Roman"/>
        </w:rPr>
        <w:t xml:space="preserve">Gyújtóberendezések feladata, felépítése, működése, diagnosztikai vizsgálata. </w:t>
      </w:r>
      <w:r w:rsidRPr="004C7EBD">
        <w:rPr>
          <w:rFonts w:ascii="Times New Roman" w:eastAsia="Calibri" w:hAnsi="Times New Roman" w:cs="Times New Roman"/>
          <w:i/>
          <w:iCs/>
        </w:rPr>
        <w:t>(The task, construction, operation, diagnostic examination of ignition devices.)</w:t>
      </w:r>
    </w:p>
    <w:p w:rsidR="004C7EBD" w:rsidRPr="004C7EBD" w:rsidRDefault="004C7EBD" w:rsidP="00980876">
      <w:pPr>
        <w:widowControl w:val="0"/>
        <w:numPr>
          <w:ilvl w:val="1"/>
          <w:numId w:val="451"/>
        </w:numPr>
        <w:tabs>
          <w:tab w:val="clear" w:pos="3977"/>
          <w:tab w:val="left" w:pos="709"/>
          <w:tab w:val="left" w:pos="993"/>
          <w:tab w:val="num" w:pos="2069"/>
        </w:tabs>
        <w:spacing w:before="120" w:after="120" w:line="240" w:lineRule="auto"/>
        <w:ind w:left="993" w:hanging="567"/>
        <w:jc w:val="both"/>
        <w:rPr>
          <w:rFonts w:ascii="Times New Roman" w:eastAsia="Calibri" w:hAnsi="Times New Roman" w:cs="Times New Roman"/>
          <w:bCs/>
        </w:rPr>
      </w:pPr>
      <w:r w:rsidRPr="004C7EBD">
        <w:rPr>
          <w:rFonts w:ascii="Times New Roman" w:eastAsia="Calibri" w:hAnsi="Times New Roman" w:cs="Times New Roman"/>
        </w:rPr>
        <w:t xml:space="preserve">Dízel indítás. </w:t>
      </w:r>
      <w:r w:rsidRPr="004C7EBD">
        <w:rPr>
          <w:rFonts w:ascii="Times New Roman" w:eastAsia="Calibri" w:hAnsi="Times New Roman" w:cs="Times New Roman"/>
          <w:i/>
          <w:iCs/>
        </w:rPr>
        <w:t>(Diesel start.)</w:t>
      </w:r>
    </w:p>
    <w:p w:rsidR="004C7EBD" w:rsidRPr="004C7EBD" w:rsidRDefault="004C7EBD" w:rsidP="00980876">
      <w:pPr>
        <w:widowControl w:val="0"/>
        <w:numPr>
          <w:ilvl w:val="1"/>
          <w:numId w:val="451"/>
        </w:numPr>
        <w:tabs>
          <w:tab w:val="clear" w:pos="3977"/>
          <w:tab w:val="left" w:pos="709"/>
          <w:tab w:val="left" w:pos="993"/>
          <w:tab w:val="num" w:pos="2069"/>
        </w:tabs>
        <w:spacing w:before="120" w:after="120" w:line="240" w:lineRule="auto"/>
        <w:ind w:left="993" w:hanging="567"/>
        <w:jc w:val="both"/>
        <w:rPr>
          <w:rFonts w:ascii="Times New Roman" w:eastAsia="Calibri" w:hAnsi="Times New Roman" w:cs="Times New Roman"/>
          <w:bCs/>
        </w:rPr>
      </w:pPr>
      <w:r w:rsidRPr="004C7EBD">
        <w:rPr>
          <w:rFonts w:ascii="Times New Roman" w:eastAsia="Calibri" w:hAnsi="Times New Roman" w:cs="Times New Roman"/>
        </w:rPr>
        <w:t xml:space="preserve"> Adatbusz hálózatok. </w:t>
      </w:r>
      <w:r w:rsidRPr="004C7EBD">
        <w:rPr>
          <w:rFonts w:ascii="Times New Roman" w:eastAsia="Calibri" w:hAnsi="Times New Roman" w:cs="Times New Roman"/>
          <w:i/>
          <w:iCs/>
        </w:rPr>
        <w:t>(Bus networks.)</w:t>
      </w:r>
    </w:p>
    <w:p w:rsidR="004C7EBD" w:rsidRPr="004C7EBD" w:rsidRDefault="004C7EBD" w:rsidP="00980876">
      <w:pPr>
        <w:widowControl w:val="0"/>
        <w:numPr>
          <w:ilvl w:val="1"/>
          <w:numId w:val="451"/>
        </w:numPr>
        <w:tabs>
          <w:tab w:val="clear" w:pos="3977"/>
          <w:tab w:val="left" w:pos="709"/>
          <w:tab w:val="left" w:pos="993"/>
          <w:tab w:val="num" w:pos="2069"/>
        </w:tabs>
        <w:spacing w:before="120" w:after="120" w:line="240" w:lineRule="auto"/>
        <w:ind w:left="993" w:hanging="567"/>
        <w:jc w:val="both"/>
        <w:rPr>
          <w:rFonts w:ascii="Times New Roman" w:eastAsia="Calibri" w:hAnsi="Times New Roman" w:cs="Times New Roman"/>
          <w:bCs/>
        </w:rPr>
      </w:pPr>
      <w:r w:rsidRPr="004C7EBD">
        <w:rPr>
          <w:rFonts w:ascii="Times New Roman" w:eastAsia="Calibri" w:hAnsi="Times New Roman" w:cs="Times New Roman"/>
        </w:rPr>
        <w:t xml:space="preserve"> Motorok elektronikus vezérlésének alapjai.</w:t>
      </w:r>
      <w:r w:rsidRPr="004C7EBD">
        <w:rPr>
          <w:rFonts w:ascii="Calibri" w:eastAsia="Calibri" w:hAnsi="Calibri" w:cs="Times New Roman"/>
        </w:rPr>
        <w:t xml:space="preserve"> </w:t>
      </w:r>
      <w:r w:rsidRPr="004C7EBD">
        <w:rPr>
          <w:rFonts w:ascii="Times New Roman" w:eastAsia="Calibri" w:hAnsi="Times New Roman" w:cs="Times New Roman"/>
        </w:rPr>
        <w:t xml:space="preserve">Integrált motorvezérlési rendszerek. </w:t>
      </w:r>
      <w:r w:rsidRPr="004C7EBD">
        <w:rPr>
          <w:rFonts w:ascii="Times New Roman" w:eastAsia="Calibri" w:hAnsi="Times New Roman" w:cs="Times New Roman"/>
          <w:i/>
          <w:iCs/>
        </w:rPr>
        <w:t>(Basics of electronic control of engines. Integrated engine control systems.)</w:t>
      </w:r>
    </w:p>
    <w:p w:rsidR="004C7EBD" w:rsidRPr="004C7EBD" w:rsidRDefault="004C7EBD" w:rsidP="00980876">
      <w:pPr>
        <w:widowControl w:val="0"/>
        <w:numPr>
          <w:ilvl w:val="1"/>
          <w:numId w:val="451"/>
        </w:numPr>
        <w:tabs>
          <w:tab w:val="clear" w:pos="3977"/>
          <w:tab w:val="left" w:pos="709"/>
          <w:tab w:val="left" w:pos="993"/>
          <w:tab w:val="num" w:pos="2069"/>
        </w:tabs>
        <w:spacing w:before="120" w:after="120" w:line="240" w:lineRule="auto"/>
        <w:ind w:left="993" w:hanging="567"/>
        <w:jc w:val="both"/>
        <w:rPr>
          <w:rFonts w:ascii="Times New Roman" w:eastAsia="Calibri" w:hAnsi="Times New Roman" w:cs="Times New Roman"/>
          <w:bCs/>
        </w:rPr>
      </w:pPr>
      <w:r w:rsidRPr="004C7EBD">
        <w:rPr>
          <w:rFonts w:ascii="Times New Roman" w:eastAsia="Calibri" w:hAnsi="Times New Roman" w:cs="Times New Roman"/>
        </w:rPr>
        <w:t xml:space="preserve"> Benzin befecskendező rendszerek. </w:t>
      </w:r>
      <w:r w:rsidRPr="004C7EBD">
        <w:rPr>
          <w:rFonts w:ascii="Times New Roman" w:eastAsia="Calibri" w:hAnsi="Times New Roman" w:cs="Times New Roman"/>
          <w:i/>
          <w:iCs/>
        </w:rPr>
        <w:t>(Gasoline injection systems.)</w:t>
      </w:r>
    </w:p>
    <w:p w:rsidR="004C7EBD" w:rsidRPr="004C7EBD" w:rsidRDefault="004C7EBD" w:rsidP="00980876">
      <w:pPr>
        <w:widowControl w:val="0"/>
        <w:numPr>
          <w:ilvl w:val="1"/>
          <w:numId w:val="451"/>
        </w:numPr>
        <w:tabs>
          <w:tab w:val="clear" w:pos="3977"/>
          <w:tab w:val="left" w:pos="709"/>
          <w:tab w:val="left" w:pos="993"/>
          <w:tab w:val="num" w:pos="2069"/>
        </w:tabs>
        <w:spacing w:before="120" w:after="120" w:line="240" w:lineRule="auto"/>
        <w:ind w:left="993" w:hanging="567"/>
        <w:jc w:val="both"/>
        <w:rPr>
          <w:rFonts w:ascii="Times New Roman" w:eastAsia="Calibri" w:hAnsi="Times New Roman" w:cs="Times New Roman"/>
          <w:bCs/>
        </w:rPr>
      </w:pPr>
      <w:r w:rsidRPr="004C7EBD">
        <w:rPr>
          <w:rFonts w:ascii="Times New Roman" w:eastAsia="Calibri" w:hAnsi="Times New Roman" w:cs="Times New Roman"/>
        </w:rPr>
        <w:t xml:space="preserve"> Korszerű dízel tüzelőanyag ellátó rendszerek, EDC rendszerek felépítése. </w:t>
      </w:r>
      <w:r w:rsidRPr="004C7EBD">
        <w:rPr>
          <w:rFonts w:ascii="Times New Roman" w:eastAsia="Calibri" w:hAnsi="Times New Roman" w:cs="Times New Roman"/>
          <w:i/>
          <w:iCs/>
        </w:rPr>
        <w:t>(Design of advanced diesel fuel supply systems, EDC systems.)</w:t>
      </w:r>
    </w:p>
    <w:p w:rsidR="004C7EBD" w:rsidRPr="004C7EBD" w:rsidRDefault="004C7EBD" w:rsidP="00980876">
      <w:pPr>
        <w:widowControl w:val="0"/>
        <w:numPr>
          <w:ilvl w:val="1"/>
          <w:numId w:val="451"/>
        </w:numPr>
        <w:tabs>
          <w:tab w:val="clear" w:pos="3977"/>
          <w:tab w:val="left" w:pos="709"/>
          <w:tab w:val="left" w:pos="993"/>
          <w:tab w:val="num" w:pos="2069"/>
        </w:tabs>
        <w:spacing w:before="120" w:after="120" w:line="240" w:lineRule="auto"/>
        <w:ind w:left="993" w:hanging="567"/>
        <w:jc w:val="both"/>
        <w:rPr>
          <w:rFonts w:ascii="Times New Roman" w:eastAsia="Calibri" w:hAnsi="Times New Roman" w:cs="Times New Roman"/>
          <w:bCs/>
        </w:rPr>
      </w:pPr>
      <w:r w:rsidRPr="004C7EBD">
        <w:rPr>
          <w:rFonts w:ascii="Times New Roman" w:eastAsia="Calibri" w:hAnsi="Times New Roman" w:cs="Times New Roman"/>
        </w:rPr>
        <w:t xml:space="preserve"> Rádió zavarelhárítás elve, módja, eszközei. </w:t>
      </w:r>
      <w:r w:rsidRPr="004C7EBD">
        <w:rPr>
          <w:rFonts w:ascii="Times New Roman" w:eastAsia="Calibri" w:hAnsi="Times New Roman" w:cs="Times New Roman"/>
          <w:i/>
          <w:iCs/>
        </w:rPr>
        <w:t>(Principle, method and means of radio interference suppression.)</w:t>
      </w:r>
    </w:p>
    <w:p w:rsidR="004C7EBD" w:rsidRPr="004C7EBD" w:rsidRDefault="004C7EBD" w:rsidP="00980876">
      <w:pPr>
        <w:widowControl w:val="0"/>
        <w:numPr>
          <w:ilvl w:val="0"/>
          <w:numId w:val="451"/>
        </w:numPr>
        <w:tabs>
          <w:tab w:val="num" w:pos="360"/>
        </w:tabs>
        <w:spacing w:before="120" w:after="120" w:line="240" w:lineRule="auto"/>
        <w:ind w:left="426" w:hanging="142"/>
        <w:jc w:val="both"/>
        <w:rPr>
          <w:rFonts w:ascii="Times New Roman" w:eastAsia="Times New Roman" w:hAnsi="Times New Roman" w:cs="Times New Roman"/>
          <w:bCs/>
        </w:rPr>
      </w:pPr>
      <w:r w:rsidRPr="004C7EBD">
        <w:rPr>
          <w:rFonts w:ascii="Times New Roman" w:eastAsia="Times New Roman" w:hAnsi="Times New Roman" w:cs="Times New Roman"/>
          <w:b/>
          <w:bCs/>
        </w:rPr>
        <w:t xml:space="preserve">A tantárgy meghirdetésének gyakorisága/a tantervben történő félévi elhelyezkedése: </w:t>
      </w:r>
      <w:r w:rsidRPr="004C7EBD">
        <w:rPr>
          <w:rFonts w:ascii="Times New Roman" w:eastAsia="Times New Roman" w:hAnsi="Times New Roman" w:cs="Times New Roman"/>
          <w:bCs/>
        </w:rPr>
        <w:t>7. félév</w:t>
      </w:r>
    </w:p>
    <w:p w:rsidR="004C7EBD" w:rsidRPr="004C7EBD" w:rsidRDefault="004C7EBD" w:rsidP="00980876">
      <w:pPr>
        <w:widowControl w:val="0"/>
        <w:numPr>
          <w:ilvl w:val="0"/>
          <w:numId w:val="451"/>
        </w:numPr>
        <w:tabs>
          <w:tab w:val="num" w:pos="360"/>
        </w:tabs>
        <w:spacing w:before="120" w:after="120" w:line="240" w:lineRule="auto"/>
        <w:ind w:left="426" w:hanging="142"/>
        <w:jc w:val="both"/>
        <w:rPr>
          <w:rFonts w:ascii="Times New Roman" w:eastAsia="Times New Roman" w:hAnsi="Times New Roman" w:cs="Times New Roman"/>
          <w:bCs/>
        </w:rPr>
      </w:pPr>
      <w:r w:rsidRPr="004C7EBD">
        <w:rPr>
          <w:rFonts w:ascii="Times New Roman" w:eastAsia="Times New Roman" w:hAnsi="Times New Roman" w:cs="Times New Roman"/>
          <w:b/>
          <w:bCs/>
        </w:rPr>
        <w:t>A tanórákon való részvétel követelményei, az elfogadható hiányzások mértéke, a távolmaradás pótlásának lehetősége:</w:t>
      </w:r>
      <w:r w:rsidRPr="004C7EBD">
        <w:rPr>
          <w:rFonts w:ascii="Times New Roman" w:eastAsia="Times New Roman" w:hAnsi="Times New Roman" w:cs="Times New Roman"/>
          <w:bCs/>
        </w:rPr>
        <w:t xml:space="preserve"> A tanórákat csak a kurzusra eredményesen jelentkezett hallgatók látogathatják. Az aláírás megszerzésének szempontjából az elfogadható hiányzás mértéke nem haladhatja meg a tanórák 30%-át, ellenkező esetben az aláírást meg kell tagadni. A hiányzás pótolható az oktató által kijelölt témakörben beadott, legalább elégségesre értékelt házidolgozattal. Az aláírás pótlása a TVSZ-ben megfogalmazott módon lehetséges.</w:t>
      </w:r>
    </w:p>
    <w:p w:rsidR="004C7EBD" w:rsidRPr="004C7EBD" w:rsidRDefault="004C7EBD" w:rsidP="00980876">
      <w:pPr>
        <w:widowControl w:val="0"/>
        <w:numPr>
          <w:ilvl w:val="0"/>
          <w:numId w:val="451"/>
        </w:numPr>
        <w:tabs>
          <w:tab w:val="num" w:pos="360"/>
        </w:tabs>
        <w:spacing w:before="120" w:after="120" w:line="240" w:lineRule="auto"/>
        <w:ind w:left="426" w:hanging="142"/>
        <w:jc w:val="both"/>
        <w:rPr>
          <w:rFonts w:ascii="Times New Roman" w:eastAsia="Times New Roman" w:hAnsi="Times New Roman" w:cs="Times New Roman"/>
          <w:bCs/>
        </w:rPr>
      </w:pPr>
      <w:r w:rsidRPr="004C7EBD">
        <w:rPr>
          <w:rFonts w:ascii="Times New Roman" w:eastAsia="Times New Roman" w:hAnsi="Times New Roman" w:cs="Times New Roman"/>
          <w:b/>
        </w:rPr>
        <w:t>Félévközi feladatok, ismeretek ellenőrzésének rendje:</w:t>
      </w:r>
      <w:r w:rsidRPr="004C7EBD">
        <w:rPr>
          <w:rFonts w:ascii="Times New Roman" w:eastAsia="Times New Roman" w:hAnsi="Times New Roman" w:cs="Times New Roman"/>
          <w:bCs/>
        </w:rPr>
        <w:t xml:space="preserve"> Az ismeretek ellenőrzése két zárthelyi dolgozat megírása alapján történik. A zárthelyi dolgozatok témái a 12.1–12.7 és a 12.8–12.14 tantárgyrészekből a kötelező irodalmak anyagából, illetve az előadásokon elhangzott ismeretanyagból kell összeállítani. Az érdemjegyek pontszámait a kiadott feladatlap tartalmazza. A dolgozatban teszt és esszé jellegű kérdések egyaránt szerepelhetnek. A zárthelyi dolgozat </w:t>
      </w:r>
      <w:r w:rsidRPr="004C7EBD">
        <w:rPr>
          <w:rFonts w:ascii="Times New Roman" w:eastAsia="Times New Roman" w:hAnsi="Times New Roman" w:cs="Times New Roman"/>
          <w:bCs/>
        </w:rPr>
        <w:lastRenderedPageBreak/>
        <w:t>értékelése ötfokozatú értékelés. A zárthelyi írásbeli dolgozat értékelése az elért maximális pontszám 60%-ig elégtelen; 61–70%-a között elégséges; 71–80%-a között közepes; 81–90%-a között jó; e felett jeles. Eredménytelen zárthelyi dolgozat kétszer javítható. A félévközi jegyet az elért eredmények kerekített matematikai átlaga képezi. A bármely zárthelyi dolgozatból vagy beadandó feladatból kapott elégtelen (1) osztályzat aláírás megtagadást jelent.  A 14. pontban említett beadandó dolgozat a hiányzást ellentételező feladat, a zárthelyi dolgozatokat nem helyettesíti.</w:t>
      </w:r>
    </w:p>
    <w:p w:rsidR="004C7EBD" w:rsidRPr="004C7EBD" w:rsidRDefault="004C7EBD" w:rsidP="00980876">
      <w:pPr>
        <w:widowControl w:val="0"/>
        <w:numPr>
          <w:ilvl w:val="0"/>
          <w:numId w:val="451"/>
        </w:numPr>
        <w:spacing w:before="120" w:after="120" w:line="240" w:lineRule="auto"/>
        <w:ind w:left="426" w:hanging="142"/>
        <w:jc w:val="both"/>
        <w:rPr>
          <w:rFonts w:ascii="Times New Roman" w:eastAsia="Times New Roman" w:hAnsi="Times New Roman" w:cs="Times New Roman"/>
          <w:b/>
          <w:bCs/>
        </w:rPr>
      </w:pPr>
      <w:r w:rsidRPr="004C7EBD">
        <w:rPr>
          <w:rFonts w:ascii="Times New Roman" w:eastAsia="Times New Roman" w:hAnsi="Times New Roman" w:cs="Times New Roman"/>
          <w:b/>
          <w:bCs/>
        </w:rPr>
        <w:t xml:space="preserve">Az értékelés, az aláírás és a kreditek megszerzésének pontos feltételei: </w:t>
      </w:r>
    </w:p>
    <w:p w:rsidR="004C7EBD" w:rsidRPr="004C7EBD" w:rsidRDefault="004C7EBD" w:rsidP="004C7EBD">
      <w:pPr>
        <w:widowControl w:val="0"/>
        <w:spacing w:before="120" w:after="120" w:line="240" w:lineRule="auto"/>
        <w:ind w:left="426"/>
        <w:jc w:val="both"/>
        <w:rPr>
          <w:rFonts w:ascii="Times New Roman" w:eastAsia="Times New Roman" w:hAnsi="Times New Roman" w:cs="Times New Roman"/>
          <w:bCs/>
        </w:rPr>
      </w:pPr>
      <w:r w:rsidRPr="004C7EBD">
        <w:rPr>
          <w:rFonts w:ascii="Times New Roman" w:eastAsia="Times New Roman" w:hAnsi="Times New Roman" w:cs="Times New Roman"/>
          <w:b/>
          <w:bCs/>
        </w:rPr>
        <w:t xml:space="preserve">16.1.: Az aláírás megszerzésének feltételei: </w:t>
      </w:r>
      <w:r w:rsidRPr="004C7EBD">
        <w:rPr>
          <w:rFonts w:ascii="Times New Roman" w:eastAsia="Calibri" w:hAnsi="Times New Roman" w:cs="Times New Roman"/>
          <w:bCs/>
        </w:rPr>
        <w:t>Az aláírás megszerzésének feltétele a 14. pontban meghatározott arányú részvétel a foglalkozásokon és a 15. pontban meghatározott félévközi feladatok legalább elégséges teljesítése.</w:t>
      </w:r>
    </w:p>
    <w:p w:rsidR="004C7EBD" w:rsidRPr="004C7EBD" w:rsidRDefault="004C7EBD" w:rsidP="004C7EBD">
      <w:pPr>
        <w:widowControl w:val="0"/>
        <w:spacing w:before="120" w:after="120" w:line="240" w:lineRule="auto"/>
        <w:ind w:left="426"/>
        <w:jc w:val="both"/>
        <w:rPr>
          <w:rFonts w:ascii="Times New Roman" w:eastAsia="Times New Roman" w:hAnsi="Times New Roman" w:cs="Times New Roman"/>
          <w:bCs/>
        </w:rPr>
      </w:pPr>
      <w:r w:rsidRPr="004C7EBD">
        <w:rPr>
          <w:rFonts w:ascii="Times New Roman" w:eastAsia="Times New Roman" w:hAnsi="Times New Roman" w:cs="Times New Roman"/>
          <w:b/>
          <w:bCs/>
        </w:rPr>
        <w:t>16.2.: Az értékelés:</w:t>
      </w:r>
      <w:r w:rsidRPr="004C7EBD">
        <w:rPr>
          <w:rFonts w:ascii="Times New Roman" w:eastAsia="Times New Roman" w:hAnsi="Times New Roman" w:cs="Times New Roman"/>
          <w:bCs/>
        </w:rPr>
        <w:t xml:space="preserve"> Évközi értékelés, ötfokozatú értékelés. Az évközi értékelést az elért eredmények kerekített matematikai átlaga képezi. </w:t>
      </w:r>
    </w:p>
    <w:p w:rsidR="004C7EBD" w:rsidRPr="004C7EBD" w:rsidRDefault="004C7EBD" w:rsidP="004C7EBD">
      <w:pPr>
        <w:widowControl w:val="0"/>
        <w:spacing w:before="120" w:after="120" w:line="240" w:lineRule="auto"/>
        <w:ind w:left="426"/>
        <w:jc w:val="both"/>
        <w:rPr>
          <w:rFonts w:ascii="Times New Roman" w:eastAsia="Times New Roman" w:hAnsi="Times New Roman" w:cs="Times New Roman"/>
          <w:bCs/>
        </w:rPr>
      </w:pPr>
      <w:r w:rsidRPr="004C7EBD">
        <w:rPr>
          <w:rFonts w:ascii="Times New Roman" w:eastAsia="Times New Roman" w:hAnsi="Times New Roman" w:cs="Times New Roman"/>
          <w:b/>
          <w:bCs/>
        </w:rPr>
        <w:t>16.3.: A kreditek megszerzésének feltételei:</w:t>
      </w:r>
      <w:r w:rsidRPr="004C7EBD">
        <w:rPr>
          <w:rFonts w:ascii="Times New Roman" w:eastAsia="Times New Roman" w:hAnsi="Times New Roman" w:cs="Times New Roman"/>
          <w:bCs/>
        </w:rPr>
        <w:t xml:space="preserve"> Az aláírás, valamint a félévközi jegy megszerzése.</w:t>
      </w:r>
    </w:p>
    <w:p w:rsidR="004C7EBD" w:rsidRPr="004C7EBD" w:rsidRDefault="004C7EBD" w:rsidP="00980876">
      <w:pPr>
        <w:widowControl w:val="0"/>
        <w:numPr>
          <w:ilvl w:val="0"/>
          <w:numId w:val="451"/>
        </w:numPr>
        <w:tabs>
          <w:tab w:val="num" w:pos="360"/>
        </w:tabs>
        <w:spacing w:before="120" w:after="120" w:line="240" w:lineRule="auto"/>
        <w:ind w:left="426" w:hanging="142"/>
        <w:jc w:val="both"/>
        <w:rPr>
          <w:rFonts w:ascii="Times New Roman" w:eastAsia="Times New Roman" w:hAnsi="Times New Roman" w:cs="Times New Roman"/>
          <w:bCs/>
        </w:rPr>
      </w:pPr>
      <w:r w:rsidRPr="004C7EBD">
        <w:rPr>
          <w:rFonts w:ascii="Times New Roman" w:eastAsia="Times New Roman" w:hAnsi="Times New Roman" w:cs="Times New Roman"/>
          <w:b/>
          <w:bCs/>
        </w:rPr>
        <w:t>Irodalomjegyzék:</w:t>
      </w:r>
    </w:p>
    <w:p w:rsidR="004C7EBD" w:rsidRPr="004C7EBD" w:rsidRDefault="004C7EBD" w:rsidP="00980876">
      <w:pPr>
        <w:widowControl w:val="0"/>
        <w:numPr>
          <w:ilvl w:val="1"/>
          <w:numId w:val="451"/>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b/>
          <w:bCs/>
        </w:rPr>
      </w:pPr>
      <w:r w:rsidRPr="004C7EBD">
        <w:rPr>
          <w:rFonts w:ascii="Times New Roman" w:eastAsia="Times New Roman" w:hAnsi="Times New Roman" w:cs="Times New Roman"/>
          <w:b/>
          <w:bCs/>
        </w:rPr>
        <w:t>Kötelező irodalom:</w:t>
      </w:r>
    </w:p>
    <w:p w:rsidR="004C7EBD" w:rsidRPr="004C7EBD" w:rsidRDefault="004C7EBD" w:rsidP="00980876">
      <w:pPr>
        <w:widowControl w:val="0"/>
        <w:numPr>
          <w:ilvl w:val="0"/>
          <w:numId w:val="452"/>
        </w:numPr>
        <w:spacing w:after="0" w:line="240" w:lineRule="auto"/>
        <w:jc w:val="both"/>
        <w:rPr>
          <w:rFonts w:ascii="Times New Roman" w:eastAsia="Times New Roman" w:hAnsi="Times New Roman" w:cs="Times New Roman"/>
        </w:rPr>
      </w:pPr>
      <w:r w:rsidRPr="004C7EBD">
        <w:rPr>
          <w:rFonts w:ascii="Times New Roman" w:eastAsia="Times New Roman" w:hAnsi="Times New Roman" w:cs="Times New Roman"/>
        </w:rPr>
        <w:t xml:space="preserve">Gépjármű diagnosztika, Képzőművészeti Kiadó Kft., Budapest, 2006. ISBN: 9633369606. </w:t>
      </w:r>
    </w:p>
    <w:p w:rsidR="004C7EBD" w:rsidRPr="004C7EBD" w:rsidRDefault="004C7EBD" w:rsidP="00980876">
      <w:pPr>
        <w:widowControl w:val="0"/>
        <w:numPr>
          <w:ilvl w:val="0"/>
          <w:numId w:val="452"/>
        </w:numPr>
        <w:spacing w:after="0" w:line="240" w:lineRule="auto"/>
        <w:jc w:val="both"/>
        <w:rPr>
          <w:rFonts w:ascii="Times New Roman" w:eastAsia="Times New Roman" w:hAnsi="Times New Roman" w:cs="Times New Roman"/>
        </w:rPr>
      </w:pPr>
      <w:r w:rsidRPr="004C7EBD">
        <w:rPr>
          <w:rFonts w:ascii="Times New Roman" w:eastAsia="Times New Roman" w:hAnsi="Times New Roman" w:cs="Times New Roman"/>
        </w:rPr>
        <w:t xml:space="preserve">Hevesi György: Autóvillamosság, Műszaki Könyvkiadó Kft., Budapest, 2008. ISBN: 9789631660463 </w:t>
      </w:r>
    </w:p>
    <w:p w:rsidR="004C7EBD" w:rsidRPr="004C7EBD" w:rsidRDefault="004C7EBD" w:rsidP="00980876">
      <w:pPr>
        <w:widowControl w:val="0"/>
        <w:numPr>
          <w:ilvl w:val="0"/>
          <w:numId w:val="452"/>
        </w:numPr>
        <w:spacing w:after="0" w:line="240" w:lineRule="auto"/>
        <w:jc w:val="both"/>
        <w:rPr>
          <w:rFonts w:ascii="Times New Roman" w:eastAsia="Times New Roman" w:hAnsi="Times New Roman" w:cs="Times New Roman"/>
        </w:rPr>
      </w:pPr>
      <w:r w:rsidRPr="004C7EBD">
        <w:rPr>
          <w:rFonts w:ascii="Times New Roman" w:eastAsia="Times New Roman" w:hAnsi="Times New Roman" w:cs="Times New Roman"/>
        </w:rPr>
        <w:t>Ferenczi Ödön: Autós elektronikai receptek, SYCA Szakkönyvszolgálat kiadása, Budapest, 1998. ISBN: 9630360845.</w:t>
      </w:r>
    </w:p>
    <w:p w:rsidR="004C7EBD" w:rsidRPr="004C7EBD" w:rsidRDefault="004C7EBD" w:rsidP="00980876">
      <w:pPr>
        <w:widowControl w:val="0"/>
        <w:numPr>
          <w:ilvl w:val="0"/>
          <w:numId w:val="452"/>
        </w:numPr>
        <w:spacing w:after="0" w:line="240" w:lineRule="auto"/>
        <w:jc w:val="both"/>
        <w:rPr>
          <w:rFonts w:ascii="Times New Roman" w:eastAsia="Times New Roman" w:hAnsi="Times New Roman" w:cs="Times New Roman"/>
        </w:rPr>
      </w:pPr>
      <w:r w:rsidRPr="004C7EBD">
        <w:rPr>
          <w:rFonts w:ascii="Times New Roman" w:eastAsia="Times New Roman" w:hAnsi="Times New Roman" w:cs="Times New Roman"/>
        </w:rPr>
        <w:t xml:space="preserve">Dr. Frank Tibor, Dr. Hodvogner László, Dr. Kelecsányi István: Autóelektronikai ismeretek Műszaki Könyvkiadó, Budapest, 2004. ISBN 9631600882. </w:t>
      </w:r>
    </w:p>
    <w:p w:rsidR="004C7EBD" w:rsidRPr="004C7EBD" w:rsidRDefault="004C7EBD" w:rsidP="00980876">
      <w:pPr>
        <w:widowControl w:val="0"/>
        <w:numPr>
          <w:ilvl w:val="0"/>
          <w:numId w:val="452"/>
        </w:numPr>
        <w:spacing w:after="0" w:line="240" w:lineRule="auto"/>
        <w:jc w:val="both"/>
        <w:rPr>
          <w:rFonts w:ascii="Times New Roman" w:eastAsia="Times New Roman" w:hAnsi="Times New Roman" w:cs="Times New Roman"/>
        </w:rPr>
      </w:pPr>
      <w:r w:rsidRPr="004C7EBD">
        <w:rPr>
          <w:rFonts w:ascii="Times New Roman" w:eastAsia="Times New Roman" w:hAnsi="Times New Roman" w:cs="Times New Roman"/>
        </w:rPr>
        <w:t>Huszti Tibor: A gépjármű villamos hálózata és az akkumulátorok, Autoverso Oktatási Bt., Budapest, 1996. ISBN: 9630462931</w:t>
      </w:r>
    </w:p>
    <w:p w:rsidR="004C7EBD" w:rsidRPr="004C7EBD" w:rsidRDefault="004C7EBD" w:rsidP="00980876">
      <w:pPr>
        <w:widowControl w:val="0"/>
        <w:numPr>
          <w:ilvl w:val="1"/>
          <w:numId w:val="451"/>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b/>
          <w:bCs/>
        </w:rPr>
      </w:pPr>
      <w:r w:rsidRPr="004C7EBD">
        <w:rPr>
          <w:rFonts w:ascii="Times New Roman" w:eastAsia="Times New Roman" w:hAnsi="Times New Roman" w:cs="Times New Roman"/>
          <w:b/>
          <w:bCs/>
        </w:rPr>
        <w:t>Ajánlott irodalom:</w:t>
      </w:r>
    </w:p>
    <w:p w:rsidR="004C7EBD" w:rsidRPr="004C7EBD" w:rsidRDefault="004C7EBD" w:rsidP="00980876">
      <w:pPr>
        <w:numPr>
          <w:ilvl w:val="0"/>
          <w:numId w:val="453"/>
        </w:numPr>
        <w:contextualSpacing/>
        <w:rPr>
          <w:rFonts w:ascii="Times New Roman" w:eastAsia="Times New Roman" w:hAnsi="Times New Roman" w:cs="Times New Roman"/>
        </w:rPr>
      </w:pPr>
      <w:r w:rsidRPr="004C7EBD">
        <w:rPr>
          <w:rFonts w:ascii="Times New Roman" w:eastAsia="Times New Roman" w:hAnsi="Times New Roman" w:cs="Times New Roman"/>
        </w:rPr>
        <w:t>Rendszeresített katonai gép- és harcjárműtípusok anyagismereti és javítási utasításai. HM kiadványai.</w:t>
      </w:r>
    </w:p>
    <w:p w:rsidR="004C7EBD" w:rsidRPr="004C7EBD" w:rsidRDefault="004C7EBD" w:rsidP="00980876">
      <w:pPr>
        <w:numPr>
          <w:ilvl w:val="0"/>
          <w:numId w:val="453"/>
        </w:numPr>
        <w:contextualSpacing/>
        <w:rPr>
          <w:rFonts w:ascii="Times New Roman" w:eastAsia="Times New Roman" w:hAnsi="Times New Roman" w:cs="Times New Roman"/>
        </w:rPr>
      </w:pPr>
      <w:r w:rsidRPr="004C7EBD">
        <w:rPr>
          <w:rFonts w:ascii="Times New Roman" w:eastAsia="Times New Roman" w:hAnsi="Times New Roman" w:cs="Times New Roman"/>
        </w:rPr>
        <w:t xml:space="preserve">Martyn Randall: Autóvillamosság, Maróti Könyvkiadó, Budapest, 2010. ISBN 9639005991 </w:t>
      </w:r>
    </w:p>
    <w:p w:rsidR="004C7EBD" w:rsidRPr="004C7EBD" w:rsidRDefault="004C7EBD" w:rsidP="00980876">
      <w:pPr>
        <w:numPr>
          <w:ilvl w:val="0"/>
          <w:numId w:val="453"/>
        </w:numPr>
        <w:contextualSpacing/>
        <w:rPr>
          <w:rFonts w:ascii="Times New Roman" w:eastAsia="Times New Roman" w:hAnsi="Times New Roman" w:cs="Times New Roman"/>
        </w:rPr>
      </w:pPr>
      <w:r w:rsidRPr="004C7EBD">
        <w:rPr>
          <w:rFonts w:ascii="Times New Roman" w:eastAsia="Times New Roman" w:hAnsi="Times New Roman" w:cs="Times New Roman"/>
        </w:rPr>
        <w:t xml:space="preserve">Major László: Méréstechnika, Műszaki Könyvkiadó, Budapest, 1992. ISBN 9789631665079 </w:t>
      </w:r>
    </w:p>
    <w:p w:rsidR="004C7EBD" w:rsidRDefault="004C7EBD" w:rsidP="004C7EBD">
      <w:pPr>
        <w:widowControl w:val="0"/>
        <w:spacing w:before="120" w:after="120" w:line="240" w:lineRule="auto"/>
        <w:jc w:val="both"/>
        <w:rPr>
          <w:rFonts w:ascii="Times New Roman" w:eastAsia="Times New Roman" w:hAnsi="Times New Roman" w:cs="Times New Roman"/>
          <w:bCs/>
        </w:rPr>
      </w:pPr>
    </w:p>
    <w:p w:rsidR="004C7EBD" w:rsidRPr="004C7EBD" w:rsidRDefault="004C7EBD" w:rsidP="004C7EBD">
      <w:pPr>
        <w:widowControl w:val="0"/>
        <w:spacing w:before="120" w:after="120" w:line="240" w:lineRule="auto"/>
        <w:jc w:val="both"/>
        <w:rPr>
          <w:rFonts w:ascii="Times New Roman" w:eastAsia="Times New Roman" w:hAnsi="Times New Roman" w:cs="Times New Roman"/>
          <w:bCs/>
        </w:rPr>
      </w:pPr>
      <w:r w:rsidRPr="004C7EBD">
        <w:rPr>
          <w:rFonts w:ascii="Times New Roman" w:eastAsia="Times New Roman" w:hAnsi="Times New Roman" w:cs="Times New Roman"/>
          <w:bCs/>
        </w:rPr>
        <w:t>Budapest, 2020.03.10.</w:t>
      </w:r>
    </w:p>
    <w:p w:rsidR="004C7EBD" w:rsidRPr="004C7EBD" w:rsidRDefault="004C7EBD" w:rsidP="004C7EBD">
      <w:pPr>
        <w:widowControl w:val="0"/>
        <w:spacing w:before="120" w:after="120" w:line="240" w:lineRule="auto"/>
        <w:jc w:val="both"/>
        <w:rPr>
          <w:rFonts w:ascii="Times New Roman" w:eastAsia="Times New Roman" w:hAnsi="Times New Roman" w:cs="Times New Roman"/>
          <w:bCs/>
        </w:rPr>
      </w:pPr>
    </w:p>
    <w:p w:rsidR="004C7EBD" w:rsidRPr="00F52F56" w:rsidRDefault="004C7EBD" w:rsidP="004C7EBD">
      <w:pPr>
        <w:widowControl w:val="0"/>
        <w:spacing w:after="0" w:line="240" w:lineRule="auto"/>
        <w:ind w:left="7080" w:firstLine="708"/>
        <w:jc w:val="center"/>
        <w:rPr>
          <w:rFonts w:ascii="Times New Roman" w:eastAsia="Times New Roman" w:hAnsi="Times New Roman" w:cs="Times New Roman"/>
          <w:b/>
          <w:bCs/>
        </w:rPr>
      </w:pPr>
      <w:r w:rsidRPr="00F52F56">
        <w:rPr>
          <w:rFonts w:ascii="Times New Roman" w:eastAsia="Times New Roman" w:hAnsi="Times New Roman" w:cs="Times New Roman"/>
          <w:b/>
          <w:bCs/>
        </w:rPr>
        <w:t>Kiss László</w:t>
      </w:r>
    </w:p>
    <w:p w:rsidR="004C7EBD" w:rsidRPr="004C7EBD" w:rsidRDefault="004C7EBD" w:rsidP="004C7EBD">
      <w:pPr>
        <w:widowControl w:val="0"/>
        <w:spacing w:after="0" w:line="240" w:lineRule="auto"/>
        <w:jc w:val="right"/>
        <w:rPr>
          <w:rFonts w:ascii="Times New Roman" w:eastAsia="Times New Roman" w:hAnsi="Times New Roman" w:cs="Times New Roman"/>
          <w:bCs/>
        </w:rPr>
      </w:pPr>
      <w:r w:rsidRPr="004C7EBD">
        <w:rPr>
          <w:rFonts w:ascii="Times New Roman" w:eastAsia="Times New Roman" w:hAnsi="Times New Roman" w:cs="Times New Roman"/>
          <w:bCs/>
        </w:rPr>
        <w:t>tantárgyfelelős</w:t>
      </w:r>
    </w:p>
    <w:p w:rsidR="004C7EBD" w:rsidRDefault="004C7EBD">
      <w:pPr>
        <w:spacing w:after="200" w:line="276" w:lineRule="auto"/>
        <w:rPr>
          <w:rFonts w:ascii="Times New Roman" w:hAnsi="Times New Roman" w:cs="Times New Roman"/>
          <w:sz w:val="24"/>
        </w:rPr>
      </w:pPr>
      <w:r>
        <w:rPr>
          <w:rFonts w:ascii="Times New Roman" w:hAnsi="Times New Roman" w:cs="Times New Roman"/>
          <w:sz w:val="24"/>
        </w:rPr>
        <w:br w:type="page"/>
      </w:r>
    </w:p>
    <w:tbl>
      <w:tblPr>
        <w:tblW w:w="9072" w:type="dxa"/>
        <w:tblInd w:w="113" w:type="dxa"/>
        <w:tblLook w:val="01E0" w:firstRow="1" w:lastRow="1" w:firstColumn="1" w:lastColumn="1" w:noHBand="0" w:noVBand="0"/>
      </w:tblPr>
      <w:tblGrid>
        <w:gridCol w:w="4855"/>
        <w:gridCol w:w="1620"/>
        <w:gridCol w:w="2597"/>
      </w:tblGrid>
      <w:tr w:rsidR="002A1CFD" w:rsidRPr="002A1CFD" w:rsidTr="009B2CD8">
        <w:tc>
          <w:tcPr>
            <w:tcW w:w="4855" w:type="dxa"/>
            <w:tcBorders>
              <w:top w:val="nil"/>
              <w:left w:val="nil"/>
              <w:bottom w:val="single" w:sz="4" w:space="0" w:color="auto"/>
              <w:right w:val="nil"/>
            </w:tcBorders>
            <w:hideMark/>
          </w:tcPr>
          <w:p w:rsidR="002A1CFD" w:rsidRPr="002A1CFD" w:rsidRDefault="002A1CFD" w:rsidP="002A1CFD">
            <w:pPr>
              <w:spacing w:after="0" w:line="240" w:lineRule="auto"/>
              <w:jc w:val="center"/>
              <w:rPr>
                <w:rFonts w:ascii="Times New Roman" w:eastAsia="Times New Roman" w:hAnsi="Times New Roman" w:cs="Times New Roman"/>
                <w:b/>
                <w:smallCaps/>
                <w:lang w:eastAsia="hu-HU"/>
              </w:rPr>
            </w:pPr>
            <w:r w:rsidRPr="002A1CFD">
              <w:rPr>
                <w:rFonts w:ascii="Times New Roman" w:eastAsia="Times New Roman" w:hAnsi="Times New Roman" w:cs="Times New Roman"/>
                <w:b/>
                <w:smallCaps/>
                <w:lang w:eastAsia="hu-HU"/>
              </w:rPr>
              <w:lastRenderedPageBreak/>
              <w:t>Nemzeti Közszolgálati Egyetem</w:t>
            </w:r>
          </w:p>
        </w:tc>
        <w:tc>
          <w:tcPr>
            <w:tcW w:w="1620" w:type="dxa"/>
          </w:tcPr>
          <w:p w:rsidR="002A1CFD" w:rsidRPr="002A1CFD" w:rsidRDefault="002A1CFD" w:rsidP="002A1CFD">
            <w:pPr>
              <w:spacing w:after="0" w:line="240" w:lineRule="auto"/>
              <w:jc w:val="both"/>
              <w:rPr>
                <w:rFonts w:ascii="Times New Roman" w:eastAsia="Times New Roman" w:hAnsi="Times New Roman" w:cs="Times New Roman"/>
                <w:lang w:eastAsia="hu-HU"/>
              </w:rPr>
            </w:pPr>
          </w:p>
        </w:tc>
        <w:tc>
          <w:tcPr>
            <w:tcW w:w="2597" w:type="dxa"/>
          </w:tcPr>
          <w:p w:rsidR="002A1CFD" w:rsidRPr="002A1CFD" w:rsidRDefault="002A1CFD" w:rsidP="002A1CFD">
            <w:pPr>
              <w:spacing w:after="0" w:line="240" w:lineRule="auto"/>
              <w:jc w:val="right"/>
              <w:rPr>
                <w:rFonts w:ascii="Times New Roman" w:eastAsia="Times New Roman" w:hAnsi="Times New Roman" w:cs="Times New Roman"/>
                <w:lang w:eastAsia="hu-HU"/>
              </w:rPr>
            </w:pPr>
          </w:p>
        </w:tc>
      </w:tr>
      <w:tr w:rsidR="002A1CFD" w:rsidRPr="002A1CFD" w:rsidTr="009B2CD8">
        <w:tc>
          <w:tcPr>
            <w:tcW w:w="4855" w:type="dxa"/>
            <w:tcBorders>
              <w:top w:val="single" w:sz="4" w:space="0" w:color="auto"/>
              <w:left w:val="nil"/>
              <w:bottom w:val="nil"/>
              <w:right w:val="nil"/>
            </w:tcBorders>
            <w:hideMark/>
          </w:tcPr>
          <w:p w:rsidR="002A1CFD" w:rsidRPr="002A1CFD" w:rsidRDefault="002A1CFD" w:rsidP="002A1CFD">
            <w:pPr>
              <w:spacing w:after="0" w:line="240" w:lineRule="auto"/>
              <w:jc w:val="center"/>
              <w:rPr>
                <w:rFonts w:ascii="Times New Roman" w:eastAsia="Times New Roman" w:hAnsi="Times New Roman" w:cs="Times New Roman"/>
                <w:b/>
                <w:lang w:eastAsia="hu-HU"/>
              </w:rPr>
            </w:pPr>
            <w:r w:rsidRPr="002A1CFD">
              <w:rPr>
                <w:rFonts w:ascii="Times New Roman" w:eastAsia="Times New Roman" w:hAnsi="Times New Roman" w:cs="Times New Roman"/>
                <w:b/>
                <w:lang w:eastAsia="hu-HU"/>
              </w:rPr>
              <w:t>Hadtudományi és Honvédtisztképző Kar</w:t>
            </w:r>
          </w:p>
        </w:tc>
        <w:tc>
          <w:tcPr>
            <w:tcW w:w="1620" w:type="dxa"/>
          </w:tcPr>
          <w:p w:rsidR="002A1CFD" w:rsidRPr="002A1CFD" w:rsidRDefault="002A1CFD" w:rsidP="002A1CFD">
            <w:pPr>
              <w:spacing w:after="0" w:line="240" w:lineRule="auto"/>
              <w:jc w:val="both"/>
              <w:rPr>
                <w:rFonts w:ascii="Times New Roman" w:eastAsia="Times New Roman" w:hAnsi="Times New Roman" w:cs="Times New Roman"/>
                <w:lang w:eastAsia="hu-HU"/>
              </w:rPr>
            </w:pPr>
          </w:p>
        </w:tc>
        <w:tc>
          <w:tcPr>
            <w:tcW w:w="2597" w:type="dxa"/>
          </w:tcPr>
          <w:p w:rsidR="002A1CFD" w:rsidRPr="002A1CFD" w:rsidRDefault="002A1CFD" w:rsidP="002A1CFD">
            <w:pPr>
              <w:spacing w:after="0" w:line="240" w:lineRule="auto"/>
              <w:jc w:val="both"/>
              <w:rPr>
                <w:rFonts w:ascii="Times New Roman" w:eastAsia="Times New Roman" w:hAnsi="Times New Roman" w:cs="Times New Roman"/>
                <w:lang w:eastAsia="hu-HU"/>
              </w:rPr>
            </w:pPr>
          </w:p>
        </w:tc>
      </w:tr>
    </w:tbl>
    <w:p w:rsidR="002A1CFD" w:rsidRPr="002A1CFD" w:rsidRDefault="002A1CFD" w:rsidP="002A1CFD">
      <w:pPr>
        <w:tabs>
          <w:tab w:val="right" w:pos="0"/>
          <w:tab w:val="center" w:pos="4819"/>
          <w:tab w:val="right" w:pos="9071"/>
        </w:tabs>
        <w:spacing w:after="0" w:line="240" w:lineRule="auto"/>
        <w:jc w:val="both"/>
        <w:rPr>
          <w:rFonts w:ascii="Times New Roman" w:eastAsia="Times New Roman" w:hAnsi="Times New Roman" w:cs="Times New Roman"/>
          <w:bCs/>
          <w:lang w:eastAsia="hu-HU"/>
        </w:rPr>
      </w:pPr>
    </w:p>
    <w:p w:rsidR="002A1CFD" w:rsidRPr="002A1CFD" w:rsidRDefault="002A1CFD" w:rsidP="002A1CFD">
      <w:pPr>
        <w:spacing w:after="0" w:line="240" w:lineRule="auto"/>
        <w:jc w:val="center"/>
        <w:rPr>
          <w:rFonts w:ascii="Times New Roman" w:eastAsia="Times New Roman" w:hAnsi="Times New Roman" w:cs="Times New Roman"/>
          <w:b/>
          <w:bCs/>
          <w:lang w:eastAsia="hu-HU"/>
        </w:rPr>
      </w:pPr>
      <w:r w:rsidRPr="002A1CFD">
        <w:rPr>
          <w:rFonts w:ascii="Times New Roman" w:eastAsia="Times New Roman" w:hAnsi="Times New Roman" w:cs="Times New Roman"/>
          <w:b/>
          <w:bCs/>
          <w:lang w:eastAsia="hu-HU"/>
        </w:rPr>
        <w:t>TANTÁRGYI PROGRAM</w:t>
      </w:r>
    </w:p>
    <w:p w:rsidR="002A1CFD" w:rsidRPr="002A1CFD" w:rsidRDefault="002A1CFD" w:rsidP="002A1CFD">
      <w:pPr>
        <w:spacing w:after="0" w:line="240" w:lineRule="auto"/>
        <w:jc w:val="center"/>
        <w:rPr>
          <w:rFonts w:ascii="Times New Roman" w:eastAsia="Times New Roman" w:hAnsi="Times New Roman" w:cs="Times New Roman"/>
          <w:b/>
          <w:bCs/>
          <w:lang w:eastAsia="hu-HU"/>
        </w:rPr>
      </w:pPr>
    </w:p>
    <w:p w:rsidR="002A1CFD" w:rsidRPr="002A1CFD" w:rsidRDefault="002A1CFD" w:rsidP="00980876">
      <w:pPr>
        <w:numPr>
          <w:ilvl w:val="0"/>
          <w:numId w:val="455"/>
        </w:numPr>
        <w:tabs>
          <w:tab w:val="clear" w:pos="720"/>
          <w:tab w:val="num" w:pos="644"/>
          <w:tab w:val="right" w:pos="900"/>
          <w:tab w:val="center" w:pos="4536"/>
          <w:tab w:val="right" w:pos="9071"/>
        </w:tabs>
        <w:spacing w:before="120" w:after="0" w:line="240" w:lineRule="auto"/>
        <w:ind w:left="644"/>
        <w:jc w:val="both"/>
        <w:rPr>
          <w:rFonts w:ascii="Times New Roman" w:eastAsia="Times New Roman" w:hAnsi="Times New Roman" w:cs="Times New Roman"/>
          <w:b/>
          <w:bCs/>
          <w:lang w:eastAsia="hu-HU"/>
        </w:rPr>
      </w:pPr>
      <w:r w:rsidRPr="002A1CFD">
        <w:rPr>
          <w:rFonts w:ascii="Times New Roman" w:eastAsia="Times New Roman" w:hAnsi="Times New Roman" w:cs="Times New Roman"/>
          <w:b/>
          <w:bCs/>
          <w:lang w:eastAsia="hu-HU"/>
        </w:rPr>
        <w:t xml:space="preserve">A tantárgy kódja: </w:t>
      </w:r>
      <w:r w:rsidRPr="00F52F56">
        <w:rPr>
          <w:rFonts w:ascii="Times New Roman" w:eastAsia="Times New Roman" w:hAnsi="Times New Roman" w:cs="Times New Roman"/>
          <w:bCs/>
          <w:lang w:eastAsia="hu-HU"/>
        </w:rPr>
        <w:t>HKHDTA36</w:t>
      </w:r>
    </w:p>
    <w:p w:rsidR="002A1CFD" w:rsidRPr="002A1CFD" w:rsidRDefault="002A1CFD" w:rsidP="00980876">
      <w:pPr>
        <w:numPr>
          <w:ilvl w:val="0"/>
          <w:numId w:val="455"/>
        </w:numPr>
        <w:tabs>
          <w:tab w:val="clear" w:pos="720"/>
          <w:tab w:val="num" w:pos="644"/>
          <w:tab w:val="right" w:pos="900"/>
          <w:tab w:val="center" w:pos="4536"/>
          <w:tab w:val="right" w:pos="9071"/>
        </w:tabs>
        <w:spacing w:before="120" w:after="0" w:line="240" w:lineRule="auto"/>
        <w:ind w:left="644"/>
        <w:jc w:val="both"/>
        <w:rPr>
          <w:rFonts w:ascii="Times New Roman" w:eastAsia="Times New Roman" w:hAnsi="Times New Roman" w:cs="Times New Roman"/>
          <w:bCs/>
          <w:lang w:eastAsia="hu-HU"/>
        </w:rPr>
      </w:pPr>
      <w:r w:rsidRPr="002A1CFD">
        <w:rPr>
          <w:rFonts w:ascii="Times New Roman" w:eastAsia="Times New Roman" w:hAnsi="Times New Roman" w:cs="Times New Roman"/>
          <w:b/>
          <w:bCs/>
          <w:lang w:eastAsia="hu-HU"/>
        </w:rPr>
        <w:t xml:space="preserve">A tantárgy megnevezése (magyarul): </w:t>
      </w:r>
      <w:r w:rsidRPr="002A1CFD">
        <w:rPr>
          <w:rFonts w:ascii="Times New Roman" w:eastAsia="Times New Roman" w:hAnsi="Times New Roman" w:cs="Times New Roman"/>
          <w:lang w:eastAsia="hu-HU"/>
        </w:rPr>
        <w:t>Optika</w:t>
      </w:r>
    </w:p>
    <w:p w:rsidR="002A1CFD" w:rsidRPr="002A1CFD" w:rsidRDefault="002A1CFD" w:rsidP="00980876">
      <w:pPr>
        <w:numPr>
          <w:ilvl w:val="0"/>
          <w:numId w:val="455"/>
        </w:numPr>
        <w:tabs>
          <w:tab w:val="clear" w:pos="720"/>
          <w:tab w:val="num" w:pos="644"/>
          <w:tab w:val="right" w:pos="900"/>
          <w:tab w:val="center" w:pos="4536"/>
          <w:tab w:val="right" w:pos="9071"/>
        </w:tabs>
        <w:spacing w:before="120" w:after="0" w:line="240" w:lineRule="auto"/>
        <w:ind w:left="644"/>
        <w:jc w:val="both"/>
        <w:rPr>
          <w:rFonts w:ascii="Times New Roman" w:eastAsia="Times New Roman" w:hAnsi="Times New Roman" w:cs="Times New Roman"/>
          <w:bCs/>
          <w:lang w:eastAsia="hu-HU"/>
        </w:rPr>
      </w:pPr>
      <w:r w:rsidRPr="002A1CFD">
        <w:rPr>
          <w:rFonts w:ascii="Times New Roman" w:eastAsia="Times New Roman" w:hAnsi="Times New Roman" w:cs="Times New Roman"/>
          <w:b/>
          <w:bCs/>
          <w:lang w:eastAsia="hu-HU"/>
        </w:rPr>
        <w:t xml:space="preserve">A tantárgy megnevezése (angolul): </w:t>
      </w:r>
      <w:r w:rsidRPr="002A1CFD">
        <w:rPr>
          <w:rFonts w:ascii="Times New Roman" w:eastAsia="Times New Roman" w:hAnsi="Times New Roman" w:cs="Times New Roman"/>
          <w:bCs/>
          <w:lang w:eastAsia="hu-HU"/>
        </w:rPr>
        <w:t>Optics</w:t>
      </w:r>
    </w:p>
    <w:p w:rsidR="002A1CFD" w:rsidRPr="002A1CFD" w:rsidRDefault="002A1CFD" w:rsidP="00980876">
      <w:pPr>
        <w:numPr>
          <w:ilvl w:val="0"/>
          <w:numId w:val="455"/>
        </w:numPr>
        <w:tabs>
          <w:tab w:val="clear" w:pos="720"/>
          <w:tab w:val="num" w:pos="644"/>
          <w:tab w:val="right" w:pos="900"/>
          <w:tab w:val="center" w:pos="4536"/>
          <w:tab w:val="right" w:pos="9071"/>
        </w:tabs>
        <w:spacing w:before="120" w:after="0" w:line="240" w:lineRule="auto"/>
        <w:ind w:left="644"/>
        <w:rPr>
          <w:rFonts w:ascii="Times New Roman" w:eastAsia="Times New Roman" w:hAnsi="Times New Roman" w:cs="Times New Roman"/>
          <w:bCs/>
          <w:lang w:eastAsia="hu-HU"/>
        </w:rPr>
      </w:pPr>
      <w:r w:rsidRPr="002A1CFD">
        <w:rPr>
          <w:rFonts w:ascii="Times New Roman" w:eastAsia="Times New Roman" w:hAnsi="Times New Roman" w:cs="Times New Roman"/>
          <w:b/>
          <w:bCs/>
          <w:lang w:eastAsia="hu-HU"/>
        </w:rPr>
        <w:t>Kreditérték és képzési karakter:</w:t>
      </w:r>
    </w:p>
    <w:p w:rsidR="002A1CFD" w:rsidRPr="002A1CFD" w:rsidRDefault="002A1CFD" w:rsidP="00980876">
      <w:pPr>
        <w:numPr>
          <w:ilvl w:val="1"/>
          <w:numId w:val="455"/>
        </w:numPr>
        <w:tabs>
          <w:tab w:val="clear" w:pos="3977"/>
          <w:tab w:val="right" w:pos="900"/>
          <w:tab w:val="num" w:pos="1425"/>
          <w:tab w:val="center" w:pos="4536"/>
          <w:tab w:val="right" w:pos="9071"/>
        </w:tabs>
        <w:spacing w:before="120" w:after="0" w:line="240" w:lineRule="auto"/>
        <w:ind w:left="1425"/>
        <w:rPr>
          <w:rFonts w:ascii="Times New Roman" w:eastAsia="Times New Roman" w:hAnsi="Times New Roman" w:cs="Times New Roman"/>
          <w:bCs/>
          <w:lang w:eastAsia="hu-HU"/>
        </w:rPr>
      </w:pPr>
      <w:r w:rsidRPr="002A1CFD">
        <w:rPr>
          <w:rFonts w:ascii="Times New Roman" w:eastAsia="Times New Roman" w:hAnsi="Times New Roman" w:cs="Times New Roman"/>
          <w:b/>
          <w:bCs/>
          <w:lang w:eastAsia="hu-HU"/>
        </w:rPr>
        <w:t xml:space="preserve"> </w:t>
      </w:r>
      <w:r w:rsidRPr="002A1CFD">
        <w:rPr>
          <w:rFonts w:ascii="Times New Roman" w:eastAsia="Times New Roman" w:hAnsi="Times New Roman" w:cs="Times New Roman"/>
          <w:bCs/>
          <w:lang w:eastAsia="hu-HU"/>
        </w:rPr>
        <w:t>2 kredit</w:t>
      </w:r>
    </w:p>
    <w:p w:rsidR="002A1CFD" w:rsidRPr="002A1CFD" w:rsidRDefault="002A1CFD" w:rsidP="00980876">
      <w:pPr>
        <w:numPr>
          <w:ilvl w:val="1"/>
          <w:numId w:val="455"/>
        </w:numPr>
        <w:tabs>
          <w:tab w:val="clear" w:pos="3977"/>
          <w:tab w:val="right" w:pos="900"/>
          <w:tab w:val="num" w:pos="1425"/>
          <w:tab w:val="center" w:pos="4536"/>
          <w:tab w:val="right" w:pos="9071"/>
        </w:tabs>
        <w:spacing w:before="120" w:after="0" w:line="240" w:lineRule="auto"/>
        <w:ind w:left="1425"/>
        <w:rPr>
          <w:rFonts w:ascii="Times New Roman" w:eastAsia="Times New Roman" w:hAnsi="Times New Roman" w:cs="Times New Roman"/>
          <w:bCs/>
          <w:lang w:eastAsia="hu-HU"/>
        </w:rPr>
      </w:pPr>
      <w:r w:rsidRPr="002A1CFD">
        <w:rPr>
          <w:rFonts w:ascii="Times New Roman" w:eastAsia="Times New Roman" w:hAnsi="Times New Roman" w:cs="Times New Roman"/>
          <w:bCs/>
          <w:lang w:eastAsia="hu-HU"/>
        </w:rPr>
        <w:t>a tantárgy elméleti vagy gyakorlati jellegének mértéke: 50 % gyakorlat, 50 % elmélet</w:t>
      </w:r>
    </w:p>
    <w:p w:rsidR="002A1CFD" w:rsidRPr="002A1CFD" w:rsidRDefault="002A1CFD" w:rsidP="00980876">
      <w:pPr>
        <w:numPr>
          <w:ilvl w:val="0"/>
          <w:numId w:val="455"/>
        </w:numPr>
        <w:tabs>
          <w:tab w:val="clear" w:pos="720"/>
          <w:tab w:val="num" w:pos="644"/>
          <w:tab w:val="right" w:pos="900"/>
          <w:tab w:val="center" w:pos="4536"/>
          <w:tab w:val="right" w:pos="9071"/>
        </w:tabs>
        <w:spacing w:before="120" w:after="0" w:line="240" w:lineRule="auto"/>
        <w:ind w:left="644"/>
        <w:jc w:val="both"/>
        <w:rPr>
          <w:rFonts w:ascii="Times New Roman" w:eastAsia="Times New Roman" w:hAnsi="Times New Roman" w:cs="Times New Roman"/>
          <w:bCs/>
          <w:lang w:eastAsia="hu-HU"/>
        </w:rPr>
      </w:pPr>
      <w:r w:rsidRPr="002A1CFD">
        <w:rPr>
          <w:rFonts w:ascii="Times New Roman" w:eastAsia="Times New Roman" w:hAnsi="Times New Roman" w:cs="Times New Roman"/>
          <w:b/>
          <w:bCs/>
          <w:lang w:eastAsia="hu-HU"/>
        </w:rPr>
        <w:t xml:space="preserve">A szak(ok), szakirányok/specializációk megnevezése (ahol oktatják): </w:t>
      </w:r>
      <w:r w:rsidRPr="002A1CFD">
        <w:rPr>
          <w:rFonts w:ascii="Times New Roman" w:eastAsia="Times New Roman" w:hAnsi="Times New Roman" w:cs="Times New Roman"/>
          <w:bCs/>
          <w:lang w:eastAsia="hu-HU"/>
        </w:rPr>
        <w:t>Katonai logisztika (</w:t>
      </w:r>
      <w:r w:rsidR="00137B8A">
        <w:rPr>
          <w:rFonts w:ascii="Times New Roman" w:eastAsia="Times New Roman" w:hAnsi="Times New Roman" w:cs="Times New Roman"/>
          <w:bCs/>
          <w:lang w:eastAsia="hu-HU"/>
        </w:rPr>
        <w:t>BSc</w:t>
      </w:r>
      <w:r w:rsidRPr="002A1CFD">
        <w:rPr>
          <w:rFonts w:ascii="Times New Roman" w:eastAsia="Times New Roman" w:hAnsi="Times New Roman" w:cs="Times New Roman"/>
          <w:bCs/>
          <w:lang w:eastAsia="hu-HU"/>
        </w:rPr>
        <w:t>) alapképzési szak, haditechnika specializáció, fegyverzettechnikai modul</w:t>
      </w:r>
    </w:p>
    <w:p w:rsidR="002A1CFD" w:rsidRPr="002A1CFD" w:rsidRDefault="002A1CFD" w:rsidP="00980876">
      <w:pPr>
        <w:numPr>
          <w:ilvl w:val="0"/>
          <w:numId w:val="455"/>
        </w:numPr>
        <w:tabs>
          <w:tab w:val="clear" w:pos="720"/>
          <w:tab w:val="num" w:pos="644"/>
          <w:tab w:val="right" w:pos="900"/>
          <w:tab w:val="center" w:pos="4536"/>
          <w:tab w:val="right" w:pos="9071"/>
        </w:tabs>
        <w:spacing w:before="120" w:after="0" w:line="240" w:lineRule="auto"/>
        <w:ind w:left="644"/>
        <w:jc w:val="both"/>
        <w:rPr>
          <w:rFonts w:ascii="Times New Roman" w:eastAsia="Times New Roman" w:hAnsi="Times New Roman" w:cs="Times New Roman"/>
          <w:bCs/>
          <w:lang w:eastAsia="hu-HU"/>
        </w:rPr>
      </w:pPr>
      <w:r w:rsidRPr="002A1CFD">
        <w:rPr>
          <w:rFonts w:ascii="Times New Roman" w:eastAsia="Times New Roman" w:hAnsi="Times New Roman" w:cs="Times New Roman"/>
          <w:b/>
          <w:bCs/>
          <w:lang w:eastAsia="hu-HU"/>
        </w:rPr>
        <w:tab/>
        <w:t xml:space="preserve">Az oktatásért felelős oktatási szervezeti egység megnevezése: </w:t>
      </w:r>
      <w:r w:rsidRPr="002A1CFD">
        <w:rPr>
          <w:rFonts w:ascii="Times New Roman" w:eastAsia="Times New Roman" w:hAnsi="Times New Roman" w:cs="Times New Roman"/>
          <w:bCs/>
          <w:lang w:eastAsia="hu-HU"/>
        </w:rPr>
        <w:t>NKE,</w:t>
      </w:r>
      <w:r w:rsidRPr="002A1CFD">
        <w:rPr>
          <w:rFonts w:ascii="Times New Roman" w:eastAsia="Times New Roman" w:hAnsi="Times New Roman" w:cs="Times New Roman"/>
          <w:b/>
          <w:bCs/>
          <w:lang w:eastAsia="hu-HU"/>
        </w:rPr>
        <w:t xml:space="preserve"> </w:t>
      </w:r>
      <w:r w:rsidRPr="002A1CFD">
        <w:rPr>
          <w:rFonts w:ascii="Times New Roman" w:eastAsia="Times New Roman" w:hAnsi="Times New Roman" w:cs="Times New Roman"/>
          <w:bCs/>
          <w:lang w:eastAsia="hu-HU"/>
        </w:rPr>
        <w:t>Hadtudományi és Honvédtisztképző Kar, Haditechnikai Tanszék</w:t>
      </w:r>
    </w:p>
    <w:p w:rsidR="002A1CFD" w:rsidRPr="002A1CFD" w:rsidRDefault="002A1CFD" w:rsidP="00980876">
      <w:pPr>
        <w:numPr>
          <w:ilvl w:val="0"/>
          <w:numId w:val="455"/>
        </w:numPr>
        <w:tabs>
          <w:tab w:val="clear" w:pos="720"/>
          <w:tab w:val="num" w:pos="426"/>
          <w:tab w:val="num" w:pos="644"/>
          <w:tab w:val="right" w:pos="900"/>
          <w:tab w:val="center" w:pos="4536"/>
          <w:tab w:val="right" w:pos="9071"/>
        </w:tabs>
        <w:spacing w:before="120" w:after="0" w:line="240" w:lineRule="auto"/>
        <w:ind w:left="644"/>
        <w:jc w:val="both"/>
        <w:rPr>
          <w:rFonts w:ascii="Times New Roman" w:eastAsia="Times New Roman" w:hAnsi="Times New Roman" w:cs="Times New Roman"/>
          <w:bCs/>
          <w:lang w:eastAsia="hu-HU"/>
        </w:rPr>
      </w:pPr>
      <w:r w:rsidRPr="002A1CFD">
        <w:rPr>
          <w:rFonts w:ascii="Times New Roman" w:eastAsia="Times New Roman" w:hAnsi="Times New Roman" w:cs="Times New Roman"/>
          <w:b/>
          <w:bCs/>
          <w:lang w:eastAsia="hu-HU"/>
        </w:rPr>
        <w:t xml:space="preserve">  A tantárgyfelelős oktató neve, beosztása, tudományos fokozata: </w:t>
      </w:r>
      <w:r w:rsidRPr="002A1CFD">
        <w:rPr>
          <w:rFonts w:ascii="Times New Roman" w:eastAsia="Times New Roman" w:hAnsi="Times New Roman" w:cs="Times New Roman"/>
          <w:bCs/>
          <w:lang w:eastAsia="hu-HU"/>
        </w:rPr>
        <w:t xml:space="preserve">Dr. Gyarmati József PhD egyetemi docens </w:t>
      </w:r>
    </w:p>
    <w:p w:rsidR="002A1CFD" w:rsidRPr="002A1CFD" w:rsidRDefault="002A1CFD" w:rsidP="00980876">
      <w:pPr>
        <w:numPr>
          <w:ilvl w:val="0"/>
          <w:numId w:val="455"/>
        </w:numPr>
        <w:tabs>
          <w:tab w:val="clear" w:pos="720"/>
          <w:tab w:val="num" w:pos="644"/>
          <w:tab w:val="right" w:pos="900"/>
          <w:tab w:val="center" w:pos="4536"/>
          <w:tab w:val="right" w:pos="9071"/>
        </w:tabs>
        <w:spacing w:before="120" w:after="0" w:line="240" w:lineRule="auto"/>
        <w:ind w:left="567" w:hanging="283"/>
        <w:jc w:val="both"/>
        <w:rPr>
          <w:rFonts w:ascii="Times New Roman" w:eastAsia="Times New Roman" w:hAnsi="Times New Roman" w:cs="Times New Roman"/>
          <w:b/>
          <w:lang w:eastAsia="hu-HU"/>
        </w:rPr>
      </w:pPr>
      <w:r w:rsidRPr="002A1CFD">
        <w:rPr>
          <w:rFonts w:ascii="Times New Roman" w:eastAsia="Times New Roman" w:hAnsi="Times New Roman" w:cs="Times New Roman"/>
          <w:b/>
          <w:bCs/>
          <w:lang w:eastAsia="hu-HU"/>
        </w:rPr>
        <w:t xml:space="preserve">A tanórák száma </w:t>
      </w:r>
      <w:r w:rsidRPr="002A1CFD">
        <w:rPr>
          <w:rFonts w:ascii="Times New Roman" w:eastAsia="Times New Roman" w:hAnsi="Times New Roman" w:cs="Times New Roman"/>
          <w:b/>
          <w:lang w:eastAsia="hu-HU"/>
        </w:rPr>
        <w:t>(előadás + szeminárium + gyakorlat)</w:t>
      </w:r>
    </w:p>
    <w:p w:rsidR="002A1CFD" w:rsidRPr="002A1CFD" w:rsidRDefault="002A1CFD" w:rsidP="00980876">
      <w:pPr>
        <w:numPr>
          <w:ilvl w:val="1"/>
          <w:numId w:val="455"/>
        </w:numPr>
        <w:tabs>
          <w:tab w:val="clear" w:pos="3977"/>
        </w:tabs>
        <w:spacing w:before="120" w:after="0" w:line="240" w:lineRule="auto"/>
        <w:ind w:left="993" w:hanging="426"/>
        <w:jc w:val="both"/>
        <w:rPr>
          <w:rFonts w:ascii="Times New Roman" w:eastAsia="Times New Roman" w:hAnsi="Times New Roman" w:cs="Times New Roman"/>
          <w:bCs/>
          <w:lang w:eastAsia="hu-HU"/>
        </w:rPr>
      </w:pPr>
      <w:r w:rsidRPr="002A1CFD">
        <w:rPr>
          <w:rFonts w:ascii="Times New Roman" w:eastAsia="Times New Roman" w:hAnsi="Times New Roman" w:cs="Times New Roman"/>
          <w:bCs/>
          <w:lang w:eastAsia="hu-HU"/>
        </w:rPr>
        <w:t>össz óraszám/félév: 28</w:t>
      </w:r>
    </w:p>
    <w:p w:rsidR="002A1CFD" w:rsidRPr="002A1CFD" w:rsidRDefault="002A1CFD" w:rsidP="00980876">
      <w:pPr>
        <w:numPr>
          <w:ilvl w:val="2"/>
          <w:numId w:val="455"/>
        </w:numPr>
        <w:tabs>
          <w:tab w:val="clear" w:pos="1800"/>
          <w:tab w:val="right" w:pos="900"/>
          <w:tab w:val="num" w:pos="1724"/>
          <w:tab w:val="num" w:pos="1843"/>
        </w:tabs>
        <w:spacing w:before="120" w:after="0" w:line="240" w:lineRule="auto"/>
        <w:ind w:left="851" w:firstLine="0"/>
        <w:jc w:val="both"/>
        <w:rPr>
          <w:rFonts w:ascii="Times New Roman" w:eastAsia="Times New Roman" w:hAnsi="Times New Roman" w:cs="Times New Roman"/>
          <w:bCs/>
          <w:lang w:eastAsia="hu-HU"/>
        </w:rPr>
      </w:pPr>
      <w:r w:rsidRPr="002A1CFD">
        <w:rPr>
          <w:rFonts w:ascii="Times New Roman" w:eastAsia="Times New Roman" w:hAnsi="Times New Roman" w:cs="Times New Roman"/>
          <w:bCs/>
          <w:lang w:eastAsia="hu-HU"/>
        </w:rPr>
        <w:t>Nappali munkarend: 28 (14 EA+ 0 SZ + 14 GY)</w:t>
      </w:r>
    </w:p>
    <w:p w:rsidR="002A1CFD" w:rsidRPr="002A1CFD" w:rsidRDefault="002A1CFD" w:rsidP="00980876">
      <w:pPr>
        <w:numPr>
          <w:ilvl w:val="2"/>
          <w:numId w:val="455"/>
        </w:numPr>
        <w:tabs>
          <w:tab w:val="clear" w:pos="1800"/>
          <w:tab w:val="right" w:pos="900"/>
          <w:tab w:val="num" w:pos="1724"/>
          <w:tab w:val="num" w:pos="1843"/>
        </w:tabs>
        <w:spacing w:before="120" w:after="0" w:line="240" w:lineRule="auto"/>
        <w:ind w:left="851" w:firstLine="0"/>
        <w:jc w:val="both"/>
        <w:rPr>
          <w:rFonts w:ascii="Times New Roman" w:eastAsia="Times New Roman" w:hAnsi="Times New Roman" w:cs="Times New Roman"/>
          <w:bCs/>
          <w:lang w:eastAsia="hu-HU"/>
        </w:rPr>
      </w:pPr>
      <w:r w:rsidRPr="002A1CFD">
        <w:rPr>
          <w:rFonts w:ascii="Times New Roman" w:eastAsia="Times New Roman" w:hAnsi="Times New Roman" w:cs="Times New Roman"/>
          <w:bCs/>
          <w:lang w:eastAsia="hu-HU"/>
        </w:rPr>
        <w:t>Levelező munkarend: -</w:t>
      </w:r>
    </w:p>
    <w:p w:rsidR="002A1CFD" w:rsidRPr="002A1CFD" w:rsidRDefault="002A1CFD" w:rsidP="00980876">
      <w:pPr>
        <w:numPr>
          <w:ilvl w:val="1"/>
          <w:numId w:val="455"/>
        </w:numPr>
        <w:tabs>
          <w:tab w:val="clear" w:pos="3977"/>
        </w:tabs>
        <w:spacing w:before="120" w:after="0" w:line="240" w:lineRule="auto"/>
        <w:ind w:left="993" w:hanging="426"/>
        <w:jc w:val="both"/>
        <w:rPr>
          <w:rFonts w:ascii="Times New Roman" w:eastAsia="Times New Roman" w:hAnsi="Times New Roman" w:cs="Times New Roman"/>
          <w:bCs/>
          <w:lang w:eastAsia="hu-HU"/>
        </w:rPr>
      </w:pPr>
      <w:r w:rsidRPr="002A1CFD">
        <w:rPr>
          <w:rFonts w:ascii="Times New Roman" w:eastAsia="Times New Roman" w:hAnsi="Times New Roman" w:cs="Times New Roman"/>
          <w:bCs/>
          <w:lang w:eastAsia="hu-HU"/>
        </w:rPr>
        <w:t>heti óraszám nappali munkarend: 2 (1 + 1)</w:t>
      </w:r>
    </w:p>
    <w:p w:rsidR="002A1CFD" w:rsidRPr="002A1CFD" w:rsidRDefault="002A1CFD" w:rsidP="00980876">
      <w:pPr>
        <w:numPr>
          <w:ilvl w:val="1"/>
          <w:numId w:val="455"/>
        </w:numPr>
        <w:tabs>
          <w:tab w:val="clear" w:pos="3977"/>
        </w:tabs>
        <w:spacing w:before="120" w:after="0" w:line="240" w:lineRule="auto"/>
        <w:ind w:left="993" w:hanging="426"/>
        <w:jc w:val="both"/>
        <w:rPr>
          <w:rFonts w:ascii="Times New Roman" w:eastAsia="Times New Roman" w:hAnsi="Times New Roman" w:cs="Times New Roman"/>
          <w:bCs/>
          <w:lang w:eastAsia="hu-HU"/>
        </w:rPr>
      </w:pPr>
      <w:r w:rsidRPr="002A1CFD">
        <w:rPr>
          <w:rFonts w:ascii="Times New Roman" w:eastAsia="Times New Roman" w:hAnsi="Times New Roman" w:cs="Times New Roman"/>
          <w:bCs/>
          <w:lang w:eastAsia="hu-HU"/>
        </w:rPr>
        <w:t>Az ismeret átadásában alkalmazandó további sajátos módok, jellemzők: vegyes tanulási program (blended learning)</w:t>
      </w:r>
    </w:p>
    <w:p w:rsidR="002A1CFD" w:rsidRPr="002A1CFD" w:rsidRDefault="002A1CFD" w:rsidP="00980876">
      <w:pPr>
        <w:numPr>
          <w:ilvl w:val="0"/>
          <w:numId w:val="455"/>
        </w:numPr>
        <w:tabs>
          <w:tab w:val="clear" w:pos="720"/>
          <w:tab w:val="num" w:pos="644"/>
        </w:tabs>
        <w:spacing w:before="100" w:beforeAutospacing="1" w:after="100" w:afterAutospacing="1" w:line="240" w:lineRule="auto"/>
        <w:ind w:left="644"/>
        <w:jc w:val="both"/>
        <w:rPr>
          <w:rFonts w:ascii="Times New Roman" w:eastAsia="Times New Roman" w:hAnsi="Times New Roman" w:cs="Times New Roman"/>
          <w:lang w:eastAsia="hu-HU"/>
        </w:rPr>
      </w:pPr>
      <w:r w:rsidRPr="002A1CFD">
        <w:rPr>
          <w:rFonts w:ascii="Times New Roman" w:eastAsia="Times New Roman" w:hAnsi="Times New Roman" w:cs="Times New Roman"/>
          <w:b/>
          <w:bCs/>
          <w:lang w:eastAsia="hu-HU"/>
        </w:rPr>
        <w:t xml:space="preserve">A tantárgy szakmai tartalma (magyarul): </w:t>
      </w:r>
      <w:r w:rsidRPr="002A1CFD">
        <w:rPr>
          <w:rFonts w:ascii="Times New Roman" w:eastAsia="Times New Roman" w:hAnsi="Times New Roman" w:cs="Times New Roman"/>
          <w:lang w:eastAsia="hu-HU"/>
        </w:rPr>
        <w:t>Az optika fogalma és területei. A fény fogalma és tulajdonságai. A geometriai optika alaptörvényei. Az optikai rendszerek építőelemei és tulajdonságaik. A rendszeresített figyelő,- irányzó- és szögmérő vizuális műszerek jellemzői, optikai és szerkezeti felépítése, működése és kezelése. Az infravörös sugárzás jellemzői, infravörös sugárforrások, a vizuális elektronoptikai műszerek elvi felépítése. Az elektronoptikai képátalakítás és képerősítés elvi megoldásai, az egyfokozatú képátalakító, a többfokozatú képerősítő, az elektronoptikai képátalakítás perspektívái. A rendszeresített éjjellátó műszerek jellemzői, elvi felépítése, működése és kezelése. A lézersugárzás fogalma, létrehozása, a lézer katonai alkalmazása. A rendszeresített lézer eszközök jellemzői, elvi és szerkezeti felépítése, működése és kezelése.</w:t>
      </w:r>
    </w:p>
    <w:p w:rsidR="002A1CFD" w:rsidRPr="002A1CFD" w:rsidRDefault="002A1CFD" w:rsidP="002A1CFD">
      <w:pPr>
        <w:shd w:val="clear" w:color="auto" w:fill="FFFFFF"/>
        <w:spacing w:after="0" w:line="240" w:lineRule="auto"/>
        <w:ind w:left="709"/>
        <w:jc w:val="both"/>
        <w:textAlignment w:val="top"/>
        <w:rPr>
          <w:rFonts w:ascii="Times New Roman" w:eastAsia="Times New Roman" w:hAnsi="Times New Roman" w:cs="Times New Roman"/>
          <w:lang w:eastAsia="hu-HU"/>
        </w:rPr>
      </w:pPr>
      <w:r w:rsidRPr="002A1CFD">
        <w:rPr>
          <w:rFonts w:ascii="Times New Roman" w:eastAsia="Times New Roman" w:hAnsi="Times New Roman" w:cs="Times New Roman"/>
          <w:b/>
          <w:bCs/>
          <w:lang w:eastAsia="hu-HU"/>
        </w:rPr>
        <w:t xml:space="preserve">A tantárgy szakmai tartalma (angolul) (Course description): </w:t>
      </w:r>
      <w:r w:rsidRPr="002A1CFD">
        <w:rPr>
          <w:rFonts w:ascii="Times New Roman" w:eastAsia="Times New Roman" w:hAnsi="Times New Roman" w:cs="Times New Roman"/>
          <w:lang w:eastAsia="hu-HU"/>
        </w:rPr>
        <w:t>Concept and areas of optics. Concept and properties of light. Basic Laws of Geometric Optics. Building blocks and properties of optical systems. Characteristics, optical, structural design, operation and handling of systematic monitoring, steer and angle visual instruments. Characteristics of infrared radiation, infrared radiation sources, conceptual design of visual electro-optical instruments. Theoretical solutions of electro-optical image conversion and amplification, perspectives of single-stage image converter, multi-stage image amplifier, electro-optical image conversion. Characteristics, design, operation and handling of standard night-vision instruments. The concept of laser radiation, its creation, military application of laser. Characteristics, conceptual and structural design, operation and handling of standardized laser devices.</w:t>
      </w:r>
    </w:p>
    <w:p w:rsidR="00F52F56" w:rsidRDefault="00F52F56">
      <w:pPr>
        <w:spacing w:after="200" w:line="276" w:lineRule="auto"/>
        <w:rPr>
          <w:rFonts w:ascii="Times New Roman" w:eastAsia="Times New Roman" w:hAnsi="Times New Roman" w:cs="Times New Roman"/>
          <w:b/>
          <w:bCs/>
          <w:lang w:eastAsia="hu-HU"/>
        </w:rPr>
      </w:pPr>
      <w:r>
        <w:rPr>
          <w:rFonts w:ascii="Times New Roman" w:eastAsia="Times New Roman" w:hAnsi="Times New Roman" w:cs="Times New Roman"/>
          <w:b/>
          <w:bCs/>
          <w:lang w:eastAsia="hu-HU"/>
        </w:rPr>
        <w:br w:type="page"/>
      </w:r>
    </w:p>
    <w:p w:rsidR="002A1CFD" w:rsidRPr="002A1CFD" w:rsidRDefault="002A1CFD" w:rsidP="00980876">
      <w:pPr>
        <w:numPr>
          <w:ilvl w:val="0"/>
          <w:numId w:val="455"/>
        </w:numPr>
        <w:tabs>
          <w:tab w:val="clear" w:pos="720"/>
          <w:tab w:val="num" w:pos="644"/>
          <w:tab w:val="right" w:pos="900"/>
          <w:tab w:val="center" w:pos="4536"/>
        </w:tabs>
        <w:spacing w:before="120" w:beforeAutospacing="1" w:after="100" w:afterAutospacing="1" w:line="240" w:lineRule="auto"/>
        <w:ind w:left="644"/>
        <w:jc w:val="both"/>
        <w:rPr>
          <w:rFonts w:ascii="Times New Roman" w:eastAsia="Times New Roman" w:hAnsi="Times New Roman" w:cs="Times New Roman"/>
          <w:b/>
          <w:bCs/>
          <w:lang w:eastAsia="hu-HU"/>
        </w:rPr>
      </w:pPr>
      <w:r w:rsidRPr="002A1CFD">
        <w:rPr>
          <w:rFonts w:ascii="Times New Roman" w:eastAsia="Times New Roman" w:hAnsi="Times New Roman" w:cs="Times New Roman"/>
          <w:b/>
          <w:bCs/>
          <w:lang w:eastAsia="hu-HU"/>
        </w:rPr>
        <w:lastRenderedPageBreak/>
        <w:t>Elérendő kompetenciák (magyarul)</w:t>
      </w:r>
    </w:p>
    <w:p w:rsidR="002A1CFD" w:rsidRPr="002A1CFD" w:rsidRDefault="002A1CFD" w:rsidP="002A1CFD">
      <w:pPr>
        <w:autoSpaceDE w:val="0"/>
        <w:autoSpaceDN w:val="0"/>
        <w:adjustRightInd w:val="0"/>
        <w:spacing w:before="240" w:after="120" w:line="240" w:lineRule="auto"/>
        <w:ind w:left="646"/>
        <w:jc w:val="both"/>
        <w:rPr>
          <w:rFonts w:ascii="Times New Roman" w:eastAsia="Times New Roman" w:hAnsi="Times New Roman" w:cs="Times New Roman"/>
          <w:b/>
          <w:color w:val="000000"/>
          <w:lang w:eastAsia="hu-HU"/>
        </w:rPr>
      </w:pPr>
      <w:r w:rsidRPr="002A1CFD">
        <w:rPr>
          <w:rFonts w:ascii="Times New Roman" w:eastAsia="Times New Roman" w:hAnsi="Times New Roman" w:cs="Times New Roman"/>
          <w:b/>
          <w:color w:val="000000"/>
          <w:lang w:eastAsia="hu-HU"/>
        </w:rPr>
        <w:t>Tudása:</w:t>
      </w:r>
    </w:p>
    <w:p w:rsidR="002A1CFD" w:rsidRPr="002A1CFD" w:rsidRDefault="002A1CFD"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2A1CFD">
        <w:rPr>
          <w:rFonts w:ascii="Times New Roman" w:eastAsia="Times New Roman" w:hAnsi="Times New Roman" w:cs="Times New Roman"/>
          <w:color w:val="000000"/>
          <w:lang w:eastAsia="hu-HU"/>
        </w:rPr>
        <w:t>Megfelelő műszaki alapokkal rendelkezik, amelyek biztosítják az új ismeretek elsajátítását.</w:t>
      </w:r>
    </w:p>
    <w:p w:rsidR="002A1CFD" w:rsidRPr="002A1CFD" w:rsidRDefault="002A1CFD"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2A1CFD">
        <w:rPr>
          <w:rFonts w:ascii="Times New Roman" w:eastAsia="Times New Roman" w:hAnsi="Times New Roman" w:cs="Times New Roman"/>
          <w:color w:val="000000"/>
          <w:lang w:eastAsia="hu-HU"/>
        </w:rPr>
        <w:t>Ismeri a fegyverzettechnikai eszközök ellátáshoz és fenntartásához szükséges anyagok körét.</w:t>
      </w:r>
    </w:p>
    <w:p w:rsidR="002A1CFD" w:rsidRPr="002A1CFD" w:rsidRDefault="002A1CFD"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2A1CFD">
        <w:rPr>
          <w:rFonts w:ascii="Times New Roman" w:eastAsia="Times New Roman" w:hAnsi="Times New Roman" w:cs="Times New Roman"/>
          <w:color w:val="000000"/>
          <w:lang w:eastAsia="hu-HU"/>
        </w:rPr>
        <w:t>Ismeri a szakfeladatainak ellátásához szükséges munkavédelmi rendszabályokat.</w:t>
      </w:r>
    </w:p>
    <w:p w:rsidR="002A1CFD" w:rsidRPr="002A1CFD" w:rsidRDefault="002A1CFD"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2A1CFD">
        <w:rPr>
          <w:rFonts w:ascii="Times New Roman" w:eastAsia="Times New Roman" w:hAnsi="Times New Roman" w:cs="Times New Roman"/>
          <w:color w:val="000000"/>
          <w:lang w:eastAsia="hu-HU"/>
        </w:rPr>
        <w:t>Megfelelő mélységű és spektrumú fegyverzettechnikai típusismerettel rendelkezik.</w:t>
      </w:r>
    </w:p>
    <w:p w:rsidR="002A1CFD" w:rsidRPr="002A1CFD" w:rsidRDefault="002A1CFD" w:rsidP="002A1CFD">
      <w:pPr>
        <w:autoSpaceDE w:val="0"/>
        <w:autoSpaceDN w:val="0"/>
        <w:adjustRightInd w:val="0"/>
        <w:spacing w:before="240" w:after="120" w:line="240" w:lineRule="auto"/>
        <w:ind w:left="646"/>
        <w:jc w:val="both"/>
        <w:rPr>
          <w:rFonts w:ascii="Times New Roman" w:eastAsia="Times New Roman" w:hAnsi="Times New Roman" w:cs="Times New Roman"/>
          <w:b/>
          <w:color w:val="000000"/>
          <w:lang w:eastAsia="hu-HU"/>
        </w:rPr>
      </w:pPr>
      <w:r w:rsidRPr="002A1CFD">
        <w:rPr>
          <w:rFonts w:ascii="Times New Roman" w:eastAsia="Times New Roman" w:hAnsi="Times New Roman" w:cs="Times New Roman"/>
          <w:b/>
          <w:color w:val="000000"/>
          <w:lang w:eastAsia="hu-HU"/>
        </w:rPr>
        <w:t>Képességei:</w:t>
      </w:r>
    </w:p>
    <w:p w:rsidR="002A1CFD" w:rsidRPr="002A1CFD" w:rsidRDefault="002A1CFD"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2A1CFD">
        <w:rPr>
          <w:rFonts w:ascii="Times New Roman" w:eastAsia="Times New Roman" w:hAnsi="Times New Roman" w:cs="Times New Roman"/>
          <w:color w:val="000000"/>
          <w:lang w:eastAsia="hu-HU"/>
        </w:rPr>
        <w:t>Képes a szakterületén rendszeresített és használt berendezések és technikai eszközök használatának megszervezésére és hatékony alkalmazására.</w:t>
      </w:r>
    </w:p>
    <w:p w:rsidR="002A1CFD" w:rsidRPr="002A1CFD" w:rsidRDefault="002A1CFD"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2A1CFD">
        <w:rPr>
          <w:rFonts w:ascii="Times New Roman" w:eastAsia="Times New Roman" w:hAnsi="Times New Roman" w:cs="Times New Roman"/>
          <w:color w:val="000000"/>
          <w:lang w:eastAsia="hu-HU"/>
        </w:rPr>
        <w:t>Képes a megtanultakat felhasználva a szakterületén felmerülő új műszaki információkat megérteni és megtanulni.</w:t>
      </w:r>
    </w:p>
    <w:p w:rsidR="002A1CFD" w:rsidRPr="002A1CFD" w:rsidRDefault="002A1CFD" w:rsidP="002A1CFD">
      <w:pPr>
        <w:autoSpaceDE w:val="0"/>
        <w:autoSpaceDN w:val="0"/>
        <w:adjustRightInd w:val="0"/>
        <w:spacing w:before="240" w:after="120" w:line="240" w:lineRule="auto"/>
        <w:ind w:left="646"/>
        <w:jc w:val="both"/>
        <w:rPr>
          <w:rFonts w:ascii="Times New Roman" w:eastAsia="Times New Roman" w:hAnsi="Times New Roman" w:cs="Times New Roman"/>
          <w:b/>
          <w:bCs/>
          <w:color w:val="000000"/>
          <w:lang w:eastAsia="hu-HU"/>
        </w:rPr>
      </w:pPr>
      <w:r w:rsidRPr="002A1CFD">
        <w:rPr>
          <w:rFonts w:ascii="Times New Roman" w:eastAsia="Times New Roman" w:hAnsi="Times New Roman" w:cs="Times New Roman"/>
          <w:b/>
          <w:bCs/>
          <w:color w:val="000000"/>
          <w:lang w:eastAsia="hu-HU"/>
        </w:rPr>
        <w:t>Attitüdje:</w:t>
      </w:r>
    </w:p>
    <w:p w:rsidR="002A1CFD" w:rsidRPr="002A1CFD" w:rsidRDefault="002A1CFD"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2A1CFD">
        <w:rPr>
          <w:rFonts w:ascii="Times New Roman" w:eastAsia="Times New Roman" w:hAnsi="Times New Roman" w:cs="Times New Roman"/>
          <w:color w:val="000000"/>
          <w:lang w:eastAsia="hu-HU"/>
        </w:rPr>
        <w:t>Nyitott a fegyverzettechnikával kapcsolatos szakmai ismereteinek gyarapítása iránt, folyamatos önképzési igény jellemzi.</w:t>
      </w:r>
    </w:p>
    <w:p w:rsidR="002A1CFD" w:rsidRPr="002A1CFD" w:rsidRDefault="002A1CFD"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2A1CFD">
        <w:rPr>
          <w:rFonts w:ascii="Times New Roman" w:eastAsia="Times New Roman" w:hAnsi="Times New Roman" w:cs="Times New Roman"/>
          <w:color w:val="000000"/>
          <w:lang w:eastAsia="hu-HU"/>
        </w:rPr>
        <w:t xml:space="preserve">Nyitott szakterülete új eredményei felé, törekszik azok megismerésére. </w:t>
      </w:r>
    </w:p>
    <w:p w:rsidR="002A1CFD" w:rsidRPr="002A1CFD" w:rsidRDefault="002A1CFD" w:rsidP="002A1CFD">
      <w:pPr>
        <w:autoSpaceDE w:val="0"/>
        <w:autoSpaceDN w:val="0"/>
        <w:adjustRightInd w:val="0"/>
        <w:spacing w:before="240" w:after="120" w:line="240" w:lineRule="auto"/>
        <w:ind w:left="646"/>
        <w:jc w:val="both"/>
        <w:rPr>
          <w:rFonts w:ascii="Times New Roman" w:eastAsia="Times New Roman" w:hAnsi="Times New Roman" w:cs="Times New Roman"/>
          <w:b/>
          <w:bCs/>
          <w:color w:val="000000"/>
          <w:lang w:eastAsia="hu-HU"/>
        </w:rPr>
      </w:pPr>
      <w:r w:rsidRPr="002A1CFD">
        <w:rPr>
          <w:rFonts w:ascii="Times New Roman" w:eastAsia="Times New Roman" w:hAnsi="Times New Roman" w:cs="Times New Roman"/>
          <w:b/>
          <w:bCs/>
          <w:color w:val="000000"/>
          <w:lang w:eastAsia="hu-HU"/>
        </w:rPr>
        <w:t>Autonómiája és felelőssége:</w:t>
      </w:r>
    </w:p>
    <w:p w:rsidR="002A1CFD" w:rsidRPr="002A1CFD" w:rsidRDefault="002A1CFD"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2A1CFD">
        <w:rPr>
          <w:rFonts w:ascii="Times New Roman" w:eastAsia="Times New Roman" w:hAnsi="Times New Roman" w:cs="Times New Roman"/>
          <w:color w:val="000000"/>
          <w:lang w:eastAsia="hu-HU"/>
        </w:rPr>
        <w:t>Képes szakfeladatait önállóan végezni, saját munkáját hatékonyan megszervezni és végrehajtani.</w:t>
      </w:r>
    </w:p>
    <w:p w:rsidR="002A1CFD" w:rsidRPr="002A1CFD" w:rsidRDefault="002A1CFD"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2A1CFD">
        <w:rPr>
          <w:rFonts w:ascii="Times New Roman" w:eastAsia="Times New Roman" w:hAnsi="Times New Roman" w:cs="Times New Roman"/>
          <w:color w:val="000000"/>
          <w:lang w:eastAsia="hu-HU"/>
        </w:rPr>
        <w:t>Együttműködés és felelősség jellemzi szakterületének szakembereivel szemben.</w:t>
      </w:r>
    </w:p>
    <w:p w:rsidR="002A1CFD" w:rsidRPr="002A1CFD" w:rsidRDefault="002A1CFD"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2A1CFD">
        <w:rPr>
          <w:rFonts w:ascii="Times New Roman" w:eastAsia="Times New Roman" w:hAnsi="Times New Roman" w:cs="Times New Roman"/>
          <w:color w:val="000000"/>
          <w:lang w:eastAsia="hu-HU"/>
        </w:rPr>
        <w:t>Szakterületén belül képes rendszer-szemléletűen gondolkodni.</w:t>
      </w:r>
    </w:p>
    <w:p w:rsidR="002A1CFD" w:rsidRPr="002A1CFD" w:rsidRDefault="002A1CFD" w:rsidP="002A1CFD">
      <w:pPr>
        <w:autoSpaceDE w:val="0"/>
        <w:autoSpaceDN w:val="0"/>
        <w:adjustRightInd w:val="0"/>
        <w:spacing w:before="240" w:after="0" w:line="240" w:lineRule="auto"/>
        <w:ind w:left="644"/>
        <w:jc w:val="both"/>
        <w:rPr>
          <w:rFonts w:ascii="Times New Roman" w:eastAsia="Times New Roman" w:hAnsi="Times New Roman" w:cs="Times New Roman"/>
          <w:b/>
          <w:bCs/>
          <w:color w:val="000000"/>
          <w:lang w:eastAsia="hu-HU"/>
        </w:rPr>
      </w:pPr>
      <w:r w:rsidRPr="002A1CFD">
        <w:rPr>
          <w:rFonts w:ascii="Times New Roman" w:eastAsia="Times New Roman" w:hAnsi="Times New Roman" w:cs="Times New Roman"/>
          <w:b/>
          <w:bCs/>
          <w:color w:val="000000"/>
          <w:lang w:eastAsia="hu-HU"/>
        </w:rPr>
        <w:t>Elérendő kompetenciák (angolul):</w:t>
      </w:r>
    </w:p>
    <w:p w:rsidR="002A1CFD" w:rsidRPr="002A1CFD" w:rsidRDefault="002A1CFD" w:rsidP="002A1CFD">
      <w:pPr>
        <w:tabs>
          <w:tab w:val="right" w:pos="900"/>
        </w:tabs>
        <w:spacing w:before="120" w:after="120" w:line="240" w:lineRule="auto"/>
        <w:ind w:left="646"/>
        <w:contextualSpacing/>
        <w:jc w:val="both"/>
        <w:rPr>
          <w:rFonts w:ascii="Times New Roman" w:eastAsia="Times New Roman" w:hAnsi="Times New Roman" w:cs="Times New Roman"/>
          <w:bCs/>
          <w:lang w:eastAsia="hu-HU"/>
        </w:rPr>
      </w:pPr>
      <w:r w:rsidRPr="002A1CFD">
        <w:rPr>
          <w:rFonts w:ascii="Times New Roman" w:eastAsia="Times New Roman" w:hAnsi="Times New Roman" w:cs="Times New Roman"/>
          <w:b/>
          <w:bCs/>
          <w:lang w:eastAsia="hu-HU"/>
        </w:rPr>
        <w:t>Knowledge:</w:t>
      </w:r>
    </w:p>
    <w:p w:rsidR="002A1CFD" w:rsidRPr="002A1CFD" w:rsidRDefault="002A1CFD"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2A1CFD">
        <w:rPr>
          <w:rFonts w:ascii="Times New Roman" w:eastAsia="Times New Roman" w:hAnsi="Times New Roman" w:cs="Times New Roman"/>
          <w:color w:val="000000"/>
          <w:lang w:eastAsia="hu-HU"/>
        </w:rPr>
        <w:t>Possesses adequate basic engineering knowledge which enables the acquirement of new knowledge.</w:t>
      </w:r>
    </w:p>
    <w:p w:rsidR="002A1CFD" w:rsidRPr="002A1CFD" w:rsidRDefault="002A1CFD"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2A1CFD">
        <w:rPr>
          <w:rFonts w:ascii="Times New Roman" w:eastAsia="Times New Roman" w:hAnsi="Times New Roman" w:cs="Times New Roman"/>
          <w:color w:val="000000"/>
          <w:lang w:eastAsia="hu-HU"/>
        </w:rPr>
        <w:t>Knows the range of materials required for the maintenance of the weapon.</w:t>
      </w:r>
    </w:p>
    <w:p w:rsidR="002A1CFD" w:rsidRPr="002A1CFD" w:rsidRDefault="002A1CFD"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2A1CFD">
        <w:rPr>
          <w:rFonts w:ascii="Times New Roman" w:eastAsia="Times New Roman" w:hAnsi="Times New Roman" w:cs="Times New Roman"/>
          <w:color w:val="000000"/>
          <w:lang w:eastAsia="hu-HU"/>
        </w:rPr>
        <w:t>Knows the work safety regulations required for fulfilling his/her professional tasks.</w:t>
      </w:r>
    </w:p>
    <w:p w:rsidR="002A1CFD" w:rsidRPr="002A1CFD" w:rsidRDefault="002A1CFD"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2A1CFD">
        <w:rPr>
          <w:rFonts w:ascii="Times New Roman" w:eastAsia="Times New Roman" w:hAnsi="Times New Roman" w:cs="Times New Roman"/>
          <w:color w:val="000000"/>
          <w:lang w:eastAsia="hu-HU"/>
        </w:rPr>
        <w:t>Possesses knowledge of adequate depth and spectrum regarding weapon types.</w:t>
      </w:r>
    </w:p>
    <w:p w:rsidR="002A1CFD" w:rsidRPr="002A1CFD" w:rsidRDefault="002A1CFD" w:rsidP="002A1CFD">
      <w:pPr>
        <w:tabs>
          <w:tab w:val="right" w:pos="900"/>
        </w:tabs>
        <w:spacing w:before="120" w:after="120" w:line="240" w:lineRule="auto"/>
        <w:ind w:left="646"/>
        <w:contextualSpacing/>
        <w:jc w:val="both"/>
        <w:rPr>
          <w:rFonts w:ascii="Times New Roman" w:eastAsia="Times New Roman" w:hAnsi="Times New Roman" w:cs="Times New Roman"/>
          <w:b/>
          <w:bCs/>
          <w:lang w:eastAsia="hu-HU"/>
        </w:rPr>
      </w:pPr>
      <w:r w:rsidRPr="002A1CFD">
        <w:rPr>
          <w:rFonts w:ascii="Times New Roman" w:eastAsia="Times New Roman" w:hAnsi="Times New Roman" w:cs="Times New Roman"/>
          <w:b/>
          <w:bCs/>
          <w:lang w:eastAsia="hu-HU"/>
        </w:rPr>
        <w:t>Capabilities:</w:t>
      </w:r>
    </w:p>
    <w:p w:rsidR="002A1CFD" w:rsidRPr="002A1CFD" w:rsidRDefault="002A1CFD"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2A1CFD">
        <w:rPr>
          <w:rFonts w:ascii="Times New Roman" w:eastAsia="Times New Roman" w:hAnsi="Times New Roman" w:cs="Times New Roman"/>
          <w:color w:val="000000"/>
          <w:lang w:eastAsia="hu-HU"/>
        </w:rPr>
        <w:t>Is capable of organizing and efficiently utilizing the usage of the equipment and technical appliances applied in his/her respective specialty field.</w:t>
      </w:r>
    </w:p>
    <w:p w:rsidR="002A1CFD" w:rsidRPr="002A1CFD" w:rsidRDefault="002A1CFD"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2A1CFD">
        <w:rPr>
          <w:rFonts w:ascii="Times New Roman" w:eastAsia="Times New Roman" w:hAnsi="Times New Roman" w:cs="Times New Roman"/>
          <w:color w:val="000000"/>
          <w:lang w:eastAsia="hu-HU"/>
        </w:rPr>
        <w:t>Is capable of acqiring the understaning of new engineering information arising in his/her field of specialty using the already gained knowldge.</w:t>
      </w:r>
    </w:p>
    <w:p w:rsidR="002A1CFD" w:rsidRPr="002A1CFD" w:rsidRDefault="002A1CFD" w:rsidP="002A1CFD">
      <w:pPr>
        <w:tabs>
          <w:tab w:val="right" w:pos="900"/>
        </w:tabs>
        <w:spacing w:before="120" w:after="120" w:line="240" w:lineRule="auto"/>
        <w:ind w:left="646"/>
        <w:contextualSpacing/>
        <w:jc w:val="both"/>
        <w:rPr>
          <w:rFonts w:ascii="Times New Roman" w:eastAsia="Times New Roman" w:hAnsi="Times New Roman" w:cs="Times New Roman"/>
          <w:b/>
          <w:bCs/>
          <w:lang w:eastAsia="hu-HU"/>
        </w:rPr>
      </w:pPr>
      <w:r w:rsidRPr="002A1CFD">
        <w:rPr>
          <w:rFonts w:ascii="Times New Roman" w:eastAsia="Times New Roman" w:hAnsi="Times New Roman" w:cs="Times New Roman"/>
          <w:b/>
          <w:bCs/>
          <w:lang w:eastAsia="hu-HU"/>
        </w:rPr>
        <w:t>Attitude:</w:t>
      </w:r>
    </w:p>
    <w:p w:rsidR="002A1CFD" w:rsidRPr="002A1CFD" w:rsidRDefault="002A1CFD"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2A1CFD">
        <w:rPr>
          <w:rFonts w:ascii="Times New Roman" w:eastAsia="Times New Roman" w:hAnsi="Times New Roman" w:cs="Times New Roman"/>
          <w:color w:val="000000"/>
          <w:lang w:eastAsia="hu-HU"/>
        </w:rPr>
        <w:t>He/she is open to widen his/her knowledge regarding weapons and has a constant need for self-education.</w:t>
      </w:r>
    </w:p>
    <w:p w:rsidR="002A1CFD" w:rsidRPr="002A1CFD" w:rsidRDefault="002A1CFD"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2A1CFD">
        <w:rPr>
          <w:rFonts w:ascii="Times New Roman" w:eastAsia="Times New Roman" w:hAnsi="Times New Roman" w:cs="Times New Roman"/>
          <w:color w:val="000000"/>
          <w:lang w:eastAsia="hu-HU"/>
        </w:rPr>
        <w:t>He/she is open towards the new accomplishments of military technology and aims to gain knowledge of these.</w:t>
      </w:r>
    </w:p>
    <w:p w:rsidR="002A1CFD" w:rsidRPr="002A1CFD" w:rsidRDefault="002A1CFD" w:rsidP="002A1CFD">
      <w:pPr>
        <w:tabs>
          <w:tab w:val="right" w:pos="900"/>
        </w:tabs>
        <w:spacing w:before="120" w:after="0" w:line="240" w:lineRule="auto"/>
        <w:ind w:left="644"/>
        <w:contextualSpacing/>
        <w:jc w:val="both"/>
        <w:rPr>
          <w:rFonts w:ascii="Times New Roman" w:eastAsia="Times New Roman" w:hAnsi="Times New Roman" w:cs="Times New Roman"/>
          <w:bCs/>
          <w:lang w:eastAsia="hu-HU"/>
        </w:rPr>
      </w:pPr>
      <w:r w:rsidRPr="002A1CFD">
        <w:rPr>
          <w:rFonts w:ascii="Times New Roman" w:eastAsia="Times New Roman" w:hAnsi="Times New Roman" w:cs="Times New Roman"/>
          <w:b/>
          <w:bCs/>
          <w:lang w:eastAsia="hu-HU"/>
        </w:rPr>
        <w:t>Autonomy and responsibility</w:t>
      </w:r>
    </w:p>
    <w:p w:rsidR="002A1CFD" w:rsidRPr="002A1CFD" w:rsidRDefault="002A1CFD"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2A1CFD">
        <w:rPr>
          <w:rFonts w:ascii="Times New Roman" w:eastAsia="Times New Roman" w:hAnsi="Times New Roman" w:cs="Times New Roman"/>
          <w:color w:val="000000"/>
          <w:lang w:eastAsia="hu-HU"/>
        </w:rPr>
        <w:t>Is capable of independently fulfilling his/her professional tasks as well as effectively organizing and executing his/her own work.</w:t>
      </w:r>
    </w:p>
    <w:p w:rsidR="002A1CFD" w:rsidRPr="002A1CFD" w:rsidRDefault="002A1CFD"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2A1CFD">
        <w:rPr>
          <w:rFonts w:ascii="Times New Roman" w:eastAsia="Times New Roman" w:hAnsi="Times New Roman" w:cs="Times New Roman"/>
          <w:color w:val="000000"/>
          <w:lang w:eastAsia="hu-HU"/>
        </w:rPr>
        <w:t>He/she is cooperative and responsible towards the professionals of his/her field. Is capable of thinking in a system approach within his/her own field.</w:t>
      </w:r>
    </w:p>
    <w:p w:rsidR="002A1CFD" w:rsidRPr="002A1CFD" w:rsidRDefault="002A1CFD" w:rsidP="00980876">
      <w:pPr>
        <w:numPr>
          <w:ilvl w:val="0"/>
          <w:numId w:val="455"/>
        </w:numPr>
        <w:tabs>
          <w:tab w:val="clear" w:pos="720"/>
          <w:tab w:val="num" w:pos="644"/>
          <w:tab w:val="right" w:pos="900"/>
          <w:tab w:val="center" w:pos="4536"/>
          <w:tab w:val="right" w:pos="9071"/>
        </w:tabs>
        <w:spacing w:before="120" w:after="0" w:line="240" w:lineRule="auto"/>
        <w:ind w:left="644"/>
        <w:jc w:val="both"/>
        <w:rPr>
          <w:rFonts w:ascii="Times New Roman" w:eastAsia="Times New Roman" w:hAnsi="Times New Roman" w:cs="Times New Roman"/>
          <w:bCs/>
          <w:lang w:eastAsia="hu-HU"/>
        </w:rPr>
      </w:pPr>
      <w:r w:rsidRPr="002A1CFD">
        <w:rPr>
          <w:rFonts w:ascii="Times New Roman" w:eastAsia="Times New Roman" w:hAnsi="Times New Roman" w:cs="Times New Roman"/>
          <w:b/>
          <w:bCs/>
          <w:lang w:eastAsia="hu-HU"/>
        </w:rPr>
        <w:t xml:space="preserve">Előtanulmányi kötelezettségek:  - </w:t>
      </w:r>
    </w:p>
    <w:p w:rsidR="002A1CFD" w:rsidRPr="002A1CFD" w:rsidRDefault="002A1CFD" w:rsidP="00980876">
      <w:pPr>
        <w:numPr>
          <w:ilvl w:val="0"/>
          <w:numId w:val="455"/>
        </w:numPr>
        <w:tabs>
          <w:tab w:val="clear" w:pos="720"/>
          <w:tab w:val="num" w:pos="644"/>
        </w:tabs>
        <w:spacing w:before="120" w:after="0" w:line="240" w:lineRule="auto"/>
        <w:ind w:left="641" w:hanging="357"/>
        <w:jc w:val="both"/>
        <w:rPr>
          <w:rFonts w:ascii="Times New Roman" w:eastAsia="Times New Roman" w:hAnsi="Times New Roman" w:cs="Times New Roman"/>
          <w:b/>
          <w:lang w:eastAsia="hu-HU"/>
        </w:rPr>
      </w:pPr>
      <w:r w:rsidRPr="002A1CFD">
        <w:rPr>
          <w:rFonts w:ascii="Times New Roman" w:eastAsia="Times New Roman" w:hAnsi="Times New Roman" w:cs="Times New Roman"/>
          <w:b/>
          <w:lang w:eastAsia="hu-HU"/>
        </w:rPr>
        <w:t xml:space="preserve">A tantárgy tananyagának leírása: (tematika): </w:t>
      </w:r>
    </w:p>
    <w:p w:rsidR="002A1CFD" w:rsidRPr="002A1CFD" w:rsidRDefault="002A1CFD" w:rsidP="00980876">
      <w:pPr>
        <w:numPr>
          <w:ilvl w:val="1"/>
          <w:numId w:val="455"/>
        </w:numPr>
        <w:tabs>
          <w:tab w:val="clear" w:pos="3977"/>
          <w:tab w:val="num" w:pos="1425"/>
        </w:tabs>
        <w:spacing w:before="60" w:after="0" w:line="240" w:lineRule="auto"/>
        <w:ind w:left="1134" w:hanging="567"/>
        <w:jc w:val="both"/>
        <w:rPr>
          <w:rFonts w:ascii="Times New Roman" w:eastAsia="Times New Roman" w:hAnsi="Times New Roman" w:cs="Times New Roman"/>
          <w:i/>
          <w:lang w:eastAsia="hu-HU"/>
        </w:rPr>
      </w:pPr>
      <w:r w:rsidRPr="002A1CFD">
        <w:rPr>
          <w:rFonts w:ascii="Times New Roman" w:eastAsia="Times New Roman" w:hAnsi="Times New Roman" w:cs="Times New Roman"/>
          <w:lang w:eastAsia="hu-HU"/>
        </w:rPr>
        <w:t xml:space="preserve">Az Optika fogalma és tudományágai. A fény fogalma és tulajdonságai. A geometriai optika alaptörvényei (fénytörés, fényvisszaverődés). </w:t>
      </w:r>
      <w:r w:rsidRPr="002A1CFD">
        <w:rPr>
          <w:rFonts w:ascii="Times New Roman" w:eastAsia="Times New Roman" w:hAnsi="Times New Roman" w:cs="Times New Roman"/>
          <w:i/>
          <w:lang w:eastAsia="hu-HU"/>
        </w:rPr>
        <w:t xml:space="preserve">(Concept and disciplines of Optics. </w:t>
      </w:r>
      <w:r w:rsidRPr="002A1CFD">
        <w:rPr>
          <w:rFonts w:ascii="Times New Roman" w:eastAsia="Times New Roman" w:hAnsi="Times New Roman" w:cs="Times New Roman"/>
          <w:i/>
          <w:lang w:eastAsia="hu-HU"/>
        </w:rPr>
        <w:lastRenderedPageBreak/>
        <w:t>Concept and properties of light. Basic Laws of Geometric Optics (Refraction, Reflection).)</w:t>
      </w:r>
    </w:p>
    <w:p w:rsidR="002A1CFD" w:rsidRPr="002A1CFD" w:rsidRDefault="002A1CFD" w:rsidP="00980876">
      <w:pPr>
        <w:numPr>
          <w:ilvl w:val="1"/>
          <w:numId w:val="455"/>
        </w:numPr>
        <w:tabs>
          <w:tab w:val="clear" w:pos="3977"/>
          <w:tab w:val="num" w:pos="1425"/>
        </w:tabs>
        <w:spacing w:before="60" w:after="0" w:line="240" w:lineRule="auto"/>
        <w:ind w:left="1134" w:hanging="567"/>
        <w:jc w:val="both"/>
        <w:rPr>
          <w:rFonts w:ascii="Times New Roman" w:eastAsia="Times New Roman" w:hAnsi="Times New Roman" w:cs="Times New Roman"/>
          <w:i/>
          <w:lang w:eastAsia="hu-HU"/>
        </w:rPr>
      </w:pPr>
      <w:r w:rsidRPr="002A1CFD">
        <w:rPr>
          <w:rFonts w:ascii="Times New Roman" w:eastAsia="Times New Roman" w:hAnsi="Times New Roman" w:cs="Times New Roman"/>
          <w:lang w:eastAsia="hu-HU"/>
        </w:rPr>
        <w:t>Az optikai építőelemek fogalma. A síkpárhuzamos lemez, tükrök, prizmák, fogalma, tulajdonságaik, képalkotásuk. Síkpárhuzamos lemezek, tükrök, prizmák foglalása</w:t>
      </w:r>
      <w:r w:rsidRPr="002A1CFD">
        <w:rPr>
          <w:rFonts w:ascii="Times New Roman" w:eastAsia="Times New Roman" w:hAnsi="Times New Roman" w:cs="Times New Roman"/>
          <w:i/>
          <w:lang w:eastAsia="hu-HU"/>
        </w:rPr>
        <w:t>. (Concept of optical building blocks. Plane parallel mirrors, mirrors, prisms, concept, properties, imaging. Planning of parallel plates, mirrors, prisms.)</w:t>
      </w:r>
    </w:p>
    <w:p w:rsidR="002A1CFD" w:rsidRPr="002A1CFD" w:rsidRDefault="002A1CFD" w:rsidP="00980876">
      <w:pPr>
        <w:numPr>
          <w:ilvl w:val="1"/>
          <w:numId w:val="455"/>
        </w:numPr>
        <w:tabs>
          <w:tab w:val="clear" w:pos="3977"/>
          <w:tab w:val="num" w:pos="1425"/>
        </w:tabs>
        <w:spacing w:before="60" w:after="0" w:line="240" w:lineRule="auto"/>
        <w:ind w:left="1134" w:hanging="567"/>
        <w:jc w:val="both"/>
        <w:rPr>
          <w:rFonts w:ascii="Times New Roman" w:eastAsia="Times New Roman" w:hAnsi="Times New Roman" w:cs="Times New Roman"/>
          <w:i/>
          <w:lang w:eastAsia="hu-HU"/>
        </w:rPr>
      </w:pPr>
      <w:r w:rsidRPr="002A1CFD">
        <w:rPr>
          <w:rFonts w:ascii="Times New Roman" w:eastAsia="Times New Roman" w:hAnsi="Times New Roman" w:cs="Times New Roman"/>
          <w:lang w:eastAsia="hu-HU"/>
        </w:rPr>
        <w:t xml:space="preserve">Az optikai lencsék feladata, képalkotásuk szabályai. Optikai lencsék foglalása. </w:t>
      </w:r>
      <w:r w:rsidRPr="002A1CFD">
        <w:rPr>
          <w:rFonts w:ascii="Times New Roman" w:eastAsia="Times New Roman" w:hAnsi="Times New Roman" w:cs="Times New Roman"/>
          <w:i/>
          <w:lang w:eastAsia="hu-HU"/>
        </w:rPr>
        <w:t>(The task of optical lenses, the rules of their imaging. Reservation of optical lenses.)</w:t>
      </w:r>
    </w:p>
    <w:p w:rsidR="002A1CFD" w:rsidRPr="002A1CFD" w:rsidRDefault="002A1CFD" w:rsidP="00980876">
      <w:pPr>
        <w:numPr>
          <w:ilvl w:val="1"/>
          <w:numId w:val="455"/>
        </w:numPr>
        <w:tabs>
          <w:tab w:val="clear" w:pos="3977"/>
          <w:tab w:val="num" w:pos="1425"/>
        </w:tabs>
        <w:spacing w:before="60" w:after="0" w:line="240" w:lineRule="auto"/>
        <w:ind w:left="1134" w:hanging="567"/>
        <w:jc w:val="both"/>
        <w:rPr>
          <w:rFonts w:ascii="Times New Roman" w:eastAsia="Times New Roman" w:hAnsi="Times New Roman" w:cs="Times New Roman"/>
          <w:i/>
          <w:lang w:eastAsia="hu-HU"/>
        </w:rPr>
      </w:pPr>
      <w:r w:rsidRPr="002A1CFD">
        <w:rPr>
          <w:rFonts w:ascii="Times New Roman" w:eastAsia="Times New Roman" w:hAnsi="Times New Roman" w:cs="Times New Roman"/>
          <w:lang w:eastAsia="hu-HU"/>
        </w:rPr>
        <w:t>Távcsövek optikai felépítése, típusai, működése, főbb jellemzői. Rendszeresített nappali figyelőtávcsövek rendeltetése, optikai és szerkezeti felépítése, működése, főbb jellemzői, kezelése. (</w:t>
      </w:r>
      <w:r w:rsidRPr="002A1CFD">
        <w:rPr>
          <w:rFonts w:ascii="Times New Roman" w:eastAsia="Times New Roman" w:hAnsi="Times New Roman" w:cs="Times New Roman"/>
          <w:i/>
          <w:lang w:eastAsia="hu-HU"/>
        </w:rPr>
        <w:t>Optical structure, types, operation and main characteristics of binoculars. Purpose, optical, structural design, operation, main features and handling of standardized daytime observation binoculars.)</w:t>
      </w:r>
    </w:p>
    <w:p w:rsidR="002A1CFD" w:rsidRPr="002A1CFD" w:rsidRDefault="002A1CFD" w:rsidP="00980876">
      <w:pPr>
        <w:numPr>
          <w:ilvl w:val="1"/>
          <w:numId w:val="455"/>
        </w:numPr>
        <w:tabs>
          <w:tab w:val="clear" w:pos="3977"/>
          <w:tab w:val="num" w:pos="1425"/>
        </w:tabs>
        <w:spacing w:before="60" w:after="0" w:line="240" w:lineRule="auto"/>
        <w:ind w:left="1134" w:hanging="567"/>
        <w:jc w:val="both"/>
        <w:rPr>
          <w:rFonts w:ascii="Times New Roman" w:eastAsia="Times New Roman" w:hAnsi="Times New Roman" w:cs="Times New Roman"/>
          <w:i/>
          <w:lang w:eastAsia="hu-HU"/>
        </w:rPr>
      </w:pPr>
      <w:r w:rsidRPr="002A1CFD">
        <w:rPr>
          <w:rFonts w:ascii="Times New Roman" w:eastAsia="Times New Roman" w:hAnsi="Times New Roman" w:cs="Times New Roman"/>
          <w:lang w:eastAsia="hu-HU"/>
        </w:rPr>
        <w:t>Rendszeresített lövészfegyver- löveg- és aknavető irányzékok optikai vázlata, szerkezeti kialakítása, főbb jellemzőik működésük és alkalmazásuk</w:t>
      </w:r>
      <w:r w:rsidRPr="002A1CFD">
        <w:rPr>
          <w:rFonts w:ascii="Times New Roman" w:eastAsia="Times New Roman" w:hAnsi="Times New Roman" w:cs="Times New Roman"/>
          <w:i/>
          <w:lang w:eastAsia="hu-HU"/>
        </w:rPr>
        <w:t>. (Optical outline, structural design, main features of standardized firearms, rifles and projectiles, their operation and application.)</w:t>
      </w:r>
    </w:p>
    <w:p w:rsidR="002A1CFD" w:rsidRPr="002A1CFD" w:rsidRDefault="002A1CFD" w:rsidP="00980876">
      <w:pPr>
        <w:numPr>
          <w:ilvl w:val="1"/>
          <w:numId w:val="455"/>
        </w:numPr>
        <w:tabs>
          <w:tab w:val="clear" w:pos="3977"/>
          <w:tab w:val="num" w:pos="1425"/>
        </w:tabs>
        <w:spacing w:before="60" w:after="0" w:line="240" w:lineRule="auto"/>
        <w:ind w:left="1134" w:hanging="567"/>
        <w:jc w:val="both"/>
        <w:rPr>
          <w:rFonts w:ascii="Times New Roman" w:eastAsia="Times New Roman" w:hAnsi="Times New Roman" w:cs="Times New Roman"/>
          <w:i/>
          <w:lang w:eastAsia="hu-HU"/>
        </w:rPr>
      </w:pPr>
      <w:r w:rsidRPr="002A1CFD">
        <w:rPr>
          <w:rFonts w:ascii="Times New Roman" w:eastAsia="Times New Roman" w:hAnsi="Times New Roman" w:cs="Times New Roman"/>
          <w:lang w:eastAsia="hu-HU"/>
        </w:rPr>
        <w:t xml:space="preserve">Rendszeresített tájoló és szögmérő műszer optikai felépítése, szerkezeti kialakítása, jellemzői, működése és alkalmazása. </w:t>
      </w:r>
      <w:r w:rsidRPr="002A1CFD">
        <w:rPr>
          <w:rFonts w:ascii="Times New Roman" w:eastAsia="Times New Roman" w:hAnsi="Times New Roman" w:cs="Times New Roman"/>
          <w:i/>
          <w:lang w:eastAsia="hu-HU"/>
        </w:rPr>
        <w:t>(Optical construction, design, characteristics, operation and application of standardized orientation and angle measuring instruments.)</w:t>
      </w:r>
    </w:p>
    <w:p w:rsidR="002A1CFD" w:rsidRPr="002A1CFD" w:rsidRDefault="002A1CFD" w:rsidP="00980876">
      <w:pPr>
        <w:numPr>
          <w:ilvl w:val="1"/>
          <w:numId w:val="455"/>
        </w:numPr>
        <w:tabs>
          <w:tab w:val="clear" w:pos="3977"/>
          <w:tab w:val="num" w:pos="1425"/>
        </w:tabs>
        <w:spacing w:before="60" w:after="0" w:line="240" w:lineRule="auto"/>
        <w:ind w:left="1134" w:hanging="567"/>
        <w:jc w:val="both"/>
        <w:rPr>
          <w:rFonts w:ascii="Times New Roman" w:eastAsia="Times New Roman" w:hAnsi="Times New Roman" w:cs="Times New Roman"/>
          <w:i/>
          <w:lang w:eastAsia="hu-HU"/>
        </w:rPr>
      </w:pPr>
      <w:r w:rsidRPr="002A1CFD">
        <w:rPr>
          <w:rFonts w:ascii="Times New Roman" w:eastAsia="Times New Roman" w:hAnsi="Times New Roman" w:cs="Times New Roman"/>
          <w:lang w:eastAsia="hu-HU"/>
        </w:rPr>
        <w:t xml:space="preserve">Az elektronoptika fogalma, az elektronoptikai műszerek csoportosítása. Az elektronoptikai műszerek felépítése, működése tömbvázlat alapján. </w:t>
      </w:r>
      <w:r w:rsidRPr="002A1CFD">
        <w:rPr>
          <w:rFonts w:ascii="Times New Roman" w:eastAsia="Times New Roman" w:hAnsi="Times New Roman" w:cs="Times New Roman"/>
          <w:i/>
          <w:lang w:eastAsia="hu-HU"/>
        </w:rPr>
        <w:t>(The concept of electron optics, the grouping of electron optical instruments. Structure and operation of electron optical instruments based on a block diagram.)</w:t>
      </w:r>
    </w:p>
    <w:p w:rsidR="002A1CFD" w:rsidRPr="002A1CFD" w:rsidRDefault="002A1CFD" w:rsidP="00980876">
      <w:pPr>
        <w:numPr>
          <w:ilvl w:val="1"/>
          <w:numId w:val="455"/>
        </w:numPr>
        <w:tabs>
          <w:tab w:val="clear" w:pos="3977"/>
          <w:tab w:val="num" w:pos="1425"/>
        </w:tabs>
        <w:spacing w:before="60" w:after="0" w:line="240" w:lineRule="auto"/>
        <w:ind w:left="1134" w:hanging="567"/>
        <w:jc w:val="both"/>
        <w:rPr>
          <w:rFonts w:ascii="Times New Roman" w:eastAsia="Times New Roman" w:hAnsi="Times New Roman" w:cs="Times New Roman"/>
          <w:i/>
          <w:lang w:eastAsia="hu-HU"/>
        </w:rPr>
      </w:pPr>
      <w:r w:rsidRPr="002A1CFD">
        <w:rPr>
          <w:rFonts w:ascii="Times New Roman" w:eastAsia="Times New Roman" w:hAnsi="Times New Roman" w:cs="Times New Roman"/>
          <w:lang w:eastAsia="hu-HU"/>
        </w:rPr>
        <w:t xml:space="preserve">Az elektronoptikai képátalakítás elvi megoldásai, az egyfokozatú </w:t>
      </w:r>
      <w:r w:rsidRPr="002A1CFD">
        <w:rPr>
          <w:rFonts w:ascii="Times New Roman" w:eastAsia="Times New Roman" w:hAnsi="Times New Roman" w:cs="Times New Roman"/>
          <w:lang w:eastAsia="hu-HU"/>
        </w:rPr>
        <w:tab/>
        <w:t xml:space="preserve">képátalakító, a többfokozatú képerősítő, az elektronoptikai képátalakítás perspektívái. Elektronoptikai képátalakítók foglalása. </w:t>
      </w:r>
      <w:r w:rsidRPr="002A1CFD">
        <w:rPr>
          <w:rFonts w:ascii="Times New Roman" w:eastAsia="Times New Roman" w:hAnsi="Times New Roman" w:cs="Times New Roman"/>
          <w:i/>
          <w:lang w:eastAsia="hu-HU"/>
        </w:rPr>
        <w:t>(Theoretical solutions of electron-optical image conversion, single-stage image converter, multistage image amplifier, perspectives of electro-optical image conversion. Reservation of electro-optical image converters.)</w:t>
      </w:r>
    </w:p>
    <w:p w:rsidR="002A1CFD" w:rsidRPr="002A1CFD" w:rsidRDefault="002A1CFD" w:rsidP="00980876">
      <w:pPr>
        <w:numPr>
          <w:ilvl w:val="1"/>
          <w:numId w:val="455"/>
        </w:numPr>
        <w:tabs>
          <w:tab w:val="clear" w:pos="3977"/>
          <w:tab w:val="num" w:pos="1425"/>
        </w:tabs>
        <w:spacing w:before="60" w:after="0" w:line="240" w:lineRule="auto"/>
        <w:ind w:left="1134" w:hanging="567"/>
        <w:jc w:val="both"/>
        <w:rPr>
          <w:rFonts w:ascii="Times New Roman" w:eastAsia="Times New Roman" w:hAnsi="Times New Roman" w:cs="Times New Roman"/>
          <w:i/>
          <w:lang w:eastAsia="hu-HU"/>
        </w:rPr>
      </w:pPr>
      <w:r w:rsidRPr="002A1CFD">
        <w:rPr>
          <w:rFonts w:ascii="Times New Roman" w:eastAsia="Times New Roman" w:hAnsi="Times New Roman" w:cs="Times New Roman"/>
          <w:lang w:eastAsia="hu-HU"/>
        </w:rPr>
        <w:t xml:space="preserve">Rendszeresített éjjellátó műszerek elvi felépítése, szerkezet kialakítása, működése, alkalmazása. </w:t>
      </w:r>
      <w:r w:rsidRPr="002A1CFD">
        <w:rPr>
          <w:rFonts w:ascii="Times New Roman" w:eastAsia="Times New Roman" w:hAnsi="Times New Roman" w:cs="Times New Roman"/>
          <w:i/>
          <w:lang w:eastAsia="hu-HU"/>
        </w:rPr>
        <w:t>(Theoretical structure, structure, operation, application of standardized night vision instruments.)</w:t>
      </w:r>
    </w:p>
    <w:p w:rsidR="002A1CFD" w:rsidRPr="002A1CFD" w:rsidRDefault="002A1CFD" w:rsidP="00980876">
      <w:pPr>
        <w:numPr>
          <w:ilvl w:val="1"/>
          <w:numId w:val="455"/>
        </w:numPr>
        <w:tabs>
          <w:tab w:val="clear" w:pos="3977"/>
          <w:tab w:val="num" w:pos="1425"/>
        </w:tabs>
        <w:spacing w:before="60" w:after="0" w:line="240" w:lineRule="auto"/>
        <w:ind w:left="1134" w:hanging="567"/>
        <w:jc w:val="both"/>
        <w:rPr>
          <w:rFonts w:ascii="Times New Roman" w:eastAsia="Times New Roman" w:hAnsi="Times New Roman" w:cs="Times New Roman"/>
          <w:i/>
          <w:lang w:eastAsia="hu-HU"/>
        </w:rPr>
      </w:pPr>
      <w:r w:rsidRPr="002A1CFD">
        <w:rPr>
          <w:rFonts w:ascii="Times New Roman" w:eastAsia="Times New Roman" w:hAnsi="Times New Roman" w:cs="Times New Roman"/>
          <w:lang w:eastAsia="hu-HU"/>
        </w:rPr>
        <w:t>Az infrasugárzás fogalma, az inframűszerek csoportosítása. Az inframűszerek elvi felépítése és működése és alkalmazása. (</w:t>
      </w:r>
      <w:r w:rsidRPr="002A1CFD">
        <w:rPr>
          <w:rFonts w:ascii="Times New Roman" w:eastAsia="Times New Roman" w:hAnsi="Times New Roman" w:cs="Times New Roman"/>
          <w:i/>
          <w:lang w:eastAsia="hu-HU"/>
        </w:rPr>
        <w:t>The concept of infrared radiation, grouping of infrared instruments, Theoretical structure, operation and application of infrared instruments.)</w:t>
      </w:r>
    </w:p>
    <w:p w:rsidR="002A1CFD" w:rsidRPr="002A1CFD" w:rsidRDefault="002A1CFD" w:rsidP="00980876">
      <w:pPr>
        <w:numPr>
          <w:ilvl w:val="1"/>
          <w:numId w:val="455"/>
        </w:numPr>
        <w:tabs>
          <w:tab w:val="clear" w:pos="3977"/>
          <w:tab w:val="num" w:pos="1425"/>
        </w:tabs>
        <w:spacing w:before="60" w:after="0" w:line="240" w:lineRule="auto"/>
        <w:ind w:left="1134" w:hanging="567"/>
        <w:jc w:val="both"/>
        <w:rPr>
          <w:rFonts w:ascii="Times New Roman" w:eastAsia="Times New Roman" w:hAnsi="Times New Roman" w:cs="Times New Roman"/>
          <w:i/>
          <w:lang w:eastAsia="hu-HU"/>
        </w:rPr>
      </w:pPr>
      <w:r w:rsidRPr="002A1CFD">
        <w:rPr>
          <w:rFonts w:ascii="Times New Roman" w:eastAsia="Times New Roman" w:hAnsi="Times New Roman" w:cs="Times New Roman"/>
          <w:lang w:eastAsia="hu-HU"/>
        </w:rPr>
        <w:t>A lézer sugárzás fogalma, jellemzői. A lézer sugárforrás elvi felépítése, működése. (</w:t>
      </w:r>
      <w:r w:rsidRPr="002A1CFD">
        <w:rPr>
          <w:rFonts w:ascii="Times New Roman" w:eastAsia="Times New Roman" w:hAnsi="Times New Roman" w:cs="Times New Roman"/>
          <w:i/>
          <w:lang w:eastAsia="hu-HU"/>
        </w:rPr>
        <w:t>The concept and characteristics of laser radiation. The theoretical structure and operation of a laser radiation source.)</w:t>
      </w:r>
    </w:p>
    <w:p w:rsidR="002A1CFD" w:rsidRPr="002A1CFD" w:rsidRDefault="002A1CFD" w:rsidP="00980876">
      <w:pPr>
        <w:numPr>
          <w:ilvl w:val="1"/>
          <w:numId w:val="455"/>
        </w:numPr>
        <w:tabs>
          <w:tab w:val="clear" w:pos="3977"/>
          <w:tab w:val="num" w:pos="1425"/>
        </w:tabs>
        <w:spacing w:before="60" w:after="0" w:line="240" w:lineRule="auto"/>
        <w:ind w:left="1134" w:hanging="567"/>
        <w:jc w:val="both"/>
        <w:rPr>
          <w:rFonts w:ascii="Times New Roman" w:eastAsia="Times New Roman" w:hAnsi="Times New Roman" w:cs="Times New Roman"/>
          <w:i/>
          <w:lang w:eastAsia="hu-HU"/>
        </w:rPr>
      </w:pPr>
      <w:r w:rsidRPr="002A1CFD">
        <w:rPr>
          <w:rFonts w:ascii="Times New Roman" w:eastAsia="Times New Roman" w:hAnsi="Times New Roman" w:cs="Times New Roman"/>
          <w:lang w:eastAsia="hu-HU"/>
        </w:rPr>
        <w:t xml:space="preserve">A lézer katonai alkalmazási területei. </w:t>
      </w:r>
      <w:r w:rsidRPr="002A1CFD">
        <w:rPr>
          <w:rFonts w:ascii="Times New Roman" w:eastAsia="Times New Roman" w:hAnsi="Times New Roman" w:cs="Times New Roman"/>
          <w:i/>
          <w:lang w:eastAsia="hu-HU"/>
        </w:rPr>
        <w:t>(The military applications of the laser.)</w:t>
      </w:r>
    </w:p>
    <w:p w:rsidR="002A1CFD" w:rsidRPr="002A1CFD" w:rsidRDefault="002A1CFD" w:rsidP="00980876">
      <w:pPr>
        <w:numPr>
          <w:ilvl w:val="1"/>
          <w:numId w:val="455"/>
        </w:numPr>
        <w:tabs>
          <w:tab w:val="clear" w:pos="3977"/>
          <w:tab w:val="num" w:pos="1425"/>
        </w:tabs>
        <w:spacing w:before="60" w:after="0" w:line="240" w:lineRule="auto"/>
        <w:ind w:left="1134" w:hanging="567"/>
        <w:jc w:val="both"/>
        <w:rPr>
          <w:rFonts w:ascii="Times New Roman" w:eastAsia="Times New Roman" w:hAnsi="Times New Roman" w:cs="Times New Roman"/>
          <w:i/>
          <w:lang w:eastAsia="hu-HU"/>
        </w:rPr>
      </w:pPr>
      <w:r w:rsidRPr="002A1CFD">
        <w:rPr>
          <w:rFonts w:ascii="Times New Roman" w:eastAsia="Times New Roman" w:hAnsi="Times New Roman" w:cs="Times New Roman"/>
          <w:lang w:eastAsia="hu-HU"/>
        </w:rPr>
        <w:t xml:space="preserve">A lézer távmérők működési elve, elvi felépítése és szerkezeti kialakítása. </w:t>
      </w:r>
      <w:r w:rsidRPr="002A1CFD">
        <w:rPr>
          <w:rFonts w:ascii="Times New Roman" w:eastAsia="Times New Roman" w:hAnsi="Times New Roman" w:cs="Times New Roman"/>
          <w:i/>
          <w:lang w:eastAsia="hu-HU"/>
        </w:rPr>
        <w:t>(Operation, conceptual design and construction of laser rangefinders.)</w:t>
      </w:r>
    </w:p>
    <w:p w:rsidR="002A1CFD" w:rsidRPr="002A1CFD" w:rsidRDefault="002A1CFD" w:rsidP="00980876">
      <w:pPr>
        <w:numPr>
          <w:ilvl w:val="1"/>
          <w:numId w:val="455"/>
        </w:numPr>
        <w:tabs>
          <w:tab w:val="clear" w:pos="3977"/>
          <w:tab w:val="num" w:pos="1425"/>
        </w:tabs>
        <w:spacing w:before="60" w:after="0" w:line="240" w:lineRule="auto"/>
        <w:ind w:left="1134" w:hanging="567"/>
        <w:jc w:val="both"/>
        <w:rPr>
          <w:rFonts w:ascii="Times New Roman" w:eastAsia="Times New Roman" w:hAnsi="Times New Roman" w:cs="Times New Roman"/>
          <w:i/>
          <w:lang w:eastAsia="hu-HU"/>
        </w:rPr>
      </w:pPr>
      <w:r w:rsidRPr="002A1CFD">
        <w:rPr>
          <w:rFonts w:ascii="Times New Roman" w:eastAsia="Times New Roman" w:hAnsi="Times New Roman" w:cs="Times New Roman"/>
          <w:lang w:eastAsia="hu-HU"/>
        </w:rPr>
        <w:t xml:space="preserve">Rendszeresített lézertávmérők elvi felépítése, szerkezeti kialakítása, működése, jellemzői, kezelése. </w:t>
      </w:r>
      <w:r w:rsidRPr="002A1CFD">
        <w:rPr>
          <w:rFonts w:ascii="Times New Roman" w:eastAsia="Times New Roman" w:hAnsi="Times New Roman" w:cs="Times New Roman"/>
          <w:i/>
          <w:lang w:eastAsia="hu-HU"/>
        </w:rPr>
        <w:t>(Theoretical structure, structural design, operation, characteristics and handling of standardized laser rangefinders.</w:t>
      </w:r>
    </w:p>
    <w:p w:rsidR="002A1CFD" w:rsidRPr="002A1CFD" w:rsidRDefault="002A1CFD" w:rsidP="00980876">
      <w:pPr>
        <w:numPr>
          <w:ilvl w:val="0"/>
          <w:numId w:val="455"/>
        </w:numPr>
        <w:tabs>
          <w:tab w:val="clear" w:pos="720"/>
          <w:tab w:val="right" w:pos="567"/>
          <w:tab w:val="num" w:pos="644"/>
          <w:tab w:val="center" w:pos="4536"/>
          <w:tab w:val="right" w:pos="9071"/>
        </w:tabs>
        <w:spacing w:before="120" w:after="0" w:line="240" w:lineRule="auto"/>
        <w:ind w:left="426" w:hanging="142"/>
        <w:jc w:val="both"/>
        <w:rPr>
          <w:rFonts w:ascii="Times New Roman" w:eastAsia="Times New Roman" w:hAnsi="Times New Roman" w:cs="Times New Roman"/>
          <w:bCs/>
          <w:lang w:eastAsia="hu-HU"/>
        </w:rPr>
      </w:pPr>
      <w:r w:rsidRPr="002A1CFD">
        <w:rPr>
          <w:rFonts w:ascii="Times New Roman" w:eastAsia="Times New Roman" w:hAnsi="Times New Roman" w:cs="Times New Roman"/>
          <w:b/>
          <w:bCs/>
          <w:lang w:eastAsia="hu-HU"/>
        </w:rPr>
        <w:t xml:space="preserve">A tantárgy meghirdetésének gyakorisága/a tantervben történő félévi elhelyezkedése: </w:t>
      </w:r>
      <w:r w:rsidRPr="002A1CFD">
        <w:rPr>
          <w:rFonts w:ascii="Times New Roman" w:eastAsia="Times New Roman" w:hAnsi="Times New Roman" w:cs="Times New Roman"/>
          <w:bCs/>
          <w:lang w:eastAsia="hu-HU"/>
        </w:rPr>
        <w:t>évente /7. félév</w:t>
      </w:r>
    </w:p>
    <w:p w:rsidR="002A1CFD" w:rsidRPr="002A1CFD" w:rsidRDefault="002A1CFD" w:rsidP="00980876">
      <w:pPr>
        <w:widowControl w:val="0"/>
        <w:numPr>
          <w:ilvl w:val="0"/>
          <w:numId w:val="455"/>
        </w:numPr>
        <w:tabs>
          <w:tab w:val="num" w:pos="360"/>
          <w:tab w:val="num" w:pos="644"/>
        </w:tabs>
        <w:spacing w:before="120" w:after="120" w:line="240" w:lineRule="auto"/>
        <w:ind w:left="426" w:hanging="142"/>
        <w:jc w:val="both"/>
        <w:rPr>
          <w:rFonts w:ascii="Times New Roman" w:eastAsia="Times New Roman" w:hAnsi="Times New Roman" w:cs="Times New Roman"/>
          <w:bCs/>
          <w:lang w:eastAsia="hu-HU"/>
        </w:rPr>
      </w:pPr>
      <w:r w:rsidRPr="002A1CFD">
        <w:rPr>
          <w:rFonts w:ascii="Times New Roman" w:eastAsia="Times New Roman" w:hAnsi="Times New Roman" w:cs="Times New Roman"/>
          <w:b/>
          <w:bCs/>
          <w:lang w:eastAsia="hu-HU"/>
        </w:rPr>
        <w:t>A tanórákon való részvétel követelményei, az elfogadható hiányzások mértéke, a távolmaradás pótlásának lehetősége:</w:t>
      </w:r>
      <w:r w:rsidRPr="002A1CFD">
        <w:rPr>
          <w:rFonts w:ascii="Times New Roman" w:eastAsia="Times New Roman" w:hAnsi="Times New Roman" w:cs="Times New Roman"/>
          <w:bCs/>
          <w:lang w:eastAsia="hu-HU"/>
        </w:rPr>
        <w:t xml:space="preserve"> </w:t>
      </w:r>
    </w:p>
    <w:p w:rsidR="002A1CFD" w:rsidRPr="002A1CFD" w:rsidRDefault="002A1CFD" w:rsidP="002A1CFD">
      <w:pPr>
        <w:widowControl w:val="0"/>
        <w:spacing w:before="120" w:after="120" w:line="240" w:lineRule="auto"/>
        <w:ind w:left="426"/>
        <w:jc w:val="both"/>
        <w:rPr>
          <w:rFonts w:ascii="Times New Roman" w:eastAsia="Times New Roman" w:hAnsi="Times New Roman" w:cs="Times New Roman"/>
          <w:bCs/>
          <w:lang w:eastAsia="hu-HU"/>
        </w:rPr>
      </w:pPr>
      <w:r w:rsidRPr="002A1CFD">
        <w:rPr>
          <w:rFonts w:ascii="Times New Roman" w:eastAsia="Times New Roman" w:hAnsi="Times New Roman" w:cs="Times New Roman"/>
          <w:bCs/>
          <w:lang w:eastAsia="hu-HU"/>
        </w:rPr>
        <w:t xml:space="preserve">A hallgatónak a tanórák legalább 70 %-án jelen kell lennie, 30 %-ot meghaladó hiányzás esetén a </w:t>
      </w:r>
      <w:r w:rsidRPr="002A1CFD">
        <w:rPr>
          <w:rFonts w:ascii="Times New Roman" w:eastAsia="Times New Roman" w:hAnsi="Times New Roman" w:cs="Times New Roman"/>
          <w:bCs/>
          <w:lang w:eastAsia="hu-HU"/>
        </w:rPr>
        <w:lastRenderedPageBreak/>
        <w:t>félév teljesítése nem írható alá. A hallgató köteles az előadás és a gyakorlat anyagát beszerezni, abból önállóan felkészülni. A hiányzás pótolható az oktató által kijelölt témakörben beadott, legalább elégségesre értékelt házidolgozattal.</w:t>
      </w:r>
    </w:p>
    <w:p w:rsidR="002A1CFD" w:rsidRPr="002A1CFD" w:rsidRDefault="002A1CFD" w:rsidP="00980876">
      <w:pPr>
        <w:widowControl w:val="0"/>
        <w:numPr>
          <w:ilvl w:val="0"/>
          <w:numId w:val="455"/>
        </w:numPr>
        <w:tabs>
          <w:tab w:val="num" w:pos="360"/>
          <w:tab w:val="num" w:pos="644"/>
        </w:tabs>
        <w:spacing w:before="120" w:after="120" w:line="240" w:lineRule="auto"/>
        <w:ind w:left="426" w:hanging="142"/>
        <w:jc w:val="both"/>
        <w:rPr>
          <w:rFonts w:ascii="Times New Roman" w:eastAsia="Times New Roman" w:hAnsi="Times New Roman" w:cs="Times New Roman"/>
          <w:bCs/>
          <w:lang w:eastAsia="hu-HU"/>
        </w:rPr>
      </w:pPr>
      <w:r w:rsidRPr="002A1CFD">
        <w:rPr>
          <w:rFonts w:ascii="Times New Roman" w:eastAsia="Times New Roman" w:hAnsi="Times New Roman" w:cs="Times New Roman"/>
          <w:b/>
          <w:lang w:eastAsia="hu-HU"/>
        </w:rPr>
        <w:t>Félévközi feladatok, ismeretek ellenőrzésének rendje:</w:t>
      </w:r>
      <w:r w:rsidRPr="002A1CFD">
        <w:rPr>
          <w:rFonts w:ascii="Times New Roman" w:eastAsia="Times New Roman" w:hAnsi="Times New Roman" w:cs="Times New Roman"/>
          <w:bCs/>
          <w:lang w:eastAsia="hu-HU"/>
        </w:rPr>
        <w:t xml:space="preserve"> A félév során a hallgató kettő zárthelyi dolgozatot ír. Zárthelyi dolgozatok a 12.1-12.15 tantárgyrészekből.</w:t>
      </w:r>
      <w:r w:rsidRPr="002A1CFD">
        <w:rPr>
          <w:rFonts w:ascii="Times New Roman" w:eastAsia="Times New Roman" w:hAnsi="Times New Roman" w:cs="Times New Roman"/>
          <w:lang w:eastAsia="hu-HU"/>
        </w:rPr>
        <w:t xml:space="preserve"> </w:t>
      </w:r>
      <w:r w:rsidRPr="002A1CFD">
        <w:rPr>
          <w:rFonts w:ascii="Times New Roman" w:eastAsia="Times New Roman" w:hAnsi="Times New Roman" w:cs="Times New Roman"/>
          <w:bCs/>
          <w:lang w:eastAsia="hu-HU"/>
        </w:rPr>
        <w:t>A zárthelyi dolgozat témáit a kötelező irodalmak anyagából, illetve az előadásokon elhangzott ismeretanyagból kell összeállítani. A zárthelyi dolgozat értékelése ötfokozatú értékelés (a helyes válaszok aránya 0-60% elégtelen; 61-70% elégséges; 71-80% közepes; 81-90% jó; 91-100% jeles osztályzat). Eredménytelen zárthelyi dolgozat kétszer javítható</w:t>
      </w:r>
      <w:r w:rsidRPr="002A1CFD">
        <w:rPr>
          <w:rFonts w:ascii="Times New Roman" w:eastAsia="Times New Roman" w:hAnsi="Times New Roman" w:cs="Times New Roman"/>
          <w:b/>
          <w:bCs/>
          <w:lang w:eastAsia="hu-HU"/>
        </w:rPr>
        <w:t>.</w:t>
      </w:r>
      <w:r w:rsidRPr="002A1CFD">
        <w:rPr>
          <w:rFonts w:ascii="Times New Roman" w:eastAsia="Times New Roman" w:hAnsi="Times New Roman" w:cs="Times New Roman"/>
          <w:bCs/>
          <w:lang w:eastAsia="hu-HU"/>
        </w:rPr>
        <w:t xml:space="preserve"> A dolgozatban teszt és esszé jellegű kérdések egyaránt szerepelnek.</w:t>
      </w:r>
    </w:p>
    <w:p w:rsidR="002A1CFD" w:rsidRPr="002A1CFD" w:rsidRDefault="002A1CFD" w:rsidP="00980876">
      <w:pPr>
        <w:widowControl w:val="0"/>
        <w:numPr>
          <w:ilvl w:val="0"/>
          <w:numId w:val="455"/>
        </w:numPr>
        <w:tabs>
          <w:tab w:val="num" w:pos="644"/>
        </w:tabs>
        <w:spacing w:before="120" w:after="120" w:line="240" w:lineRule="auto"/>
        <w:ind w:left="426" w:hanging="142"/>
        <w:jc w:val="both"/>
        <w:rPr>
          <w:rFonts w:ascii="Times New Roman" w:eastAsia="Times New Roman" w:hAnsi="Times New Roman" w:cs="Times New Roman"/>
          <w:b/>
          <w:bCs/>
          <w:lang w:eastAsia="hu-HU"/>
        </w:rPr>
      </w:pPr>
      <w:r w:rsidRPr="002A1CFD">
        <w:rPr>
          <w:rFonts w:ascii="Times New Roman" w:eastAsia="Times New Roman" w:hAnsi="Times New Roman" w:cs="Times New Roman"/>
          <w:b/>
          <w:bCs/>
          <w:lang w:eastAsia="hu-HU"/>
        </w:rPr>
        <w:t xml:space="preserve">Az értékelés, az aláírás és a kreditek megszerzésének pontos feltételei: </w:t>
      </w:r>
    </w:p>
    <w:p w:rsidR="002A1CFD" w:rsidRPr="002A1CFD" w:rsidRDefault="002A1CFD" w:rsidP="00980876">
      <w:pPr>
        <w:widowControl w:val="0"/>
        <w:numPr>
          <w:ilvl w:val="1"/>
          <w:numId w:val="455"/>
        </w:numPr>
        <w:tabs>
          <w:tab w:val="clear" w:pos="3977"/>
          <w:tab w:val="left" w:pos="709"/>
          <w:tab w:val="left" w:pos="993"/>
          <w:tab w:val="num" w:pos="1425"/>
          <w:tab w:val="num" w:pos="2069"/>
        </w:tabs>
        <w:spacing w:before="120" w:after="120" w:line="240" w:lineRule="auto"/>
        <w:ind w:left="426" w:firstLine="0"/>
        <w:jc w:val="both"/>
        <w:rPr>
          <w:rFonts w:ascii="Times New Roman" w:eastAsia="Times New Roman" w:hAnsi="Times New Roman" w:cs="Times New Roman"/>
          <w:lang w:eastAsia="hu-HU"/>
        </w:rPr>
      </w:pPr>
      <w:r w:rsidRPr="002A1CFD">
        <w:rPr>
          <w:rFonts w:ascii="Times New Roman" w:eastAsia="Times New Roman" w:hAnsi="Times New Roman" w:cs="Times New Roman"/>
          <w:b/>
          <w:lang w:eastAsia="hu-HU"/>
        </w:rPr>
        <w:t>Az aláírás megszerzésének feltételei:</w:t>
      </w:r>
      <w:r w:rsidRPr="002A1CFD">
        <w:rPr>
          <w:rFonts w:ascii="Times New Roman" w:eastAsia="Times New Roman" w:hAnsi="Times New Roman" w:cs="Times New Roman"/>
          <w:lang w:eastAsia="hu-HU"/>
        </w:rPr>
        <w:t xml:space="preserve"> </w:t>
      </w:r>
      <w:r w:rsidRPr="002A1CFD">
        <w:rPr>
          <w:rFonts w:ascii="Times New Roman" w:eastAsia="Times New Roman" w:hAnsi="Times New Roman" w:cs="Times New Roman"/>
          <w:bCs/>
          <w:lang w:eastAsia="hu-HU"/>
        </w:rPr>
        <w:t>Az aláírás megszerzésének feltétele a 14. pontban meghatározott arányú részvétel a foglalkozásokon és a 15. pontban meghatározott félévközi feladatok legalább elégséges teljesítése.</w:t>
      </w:r>
    </w:p>
    <w:p w:rsidR="002A1CFD" w:rsidRPr="002A1CFD" w:rsidRDefault="002A1CFD" w:rsidP="00980876">
      <w:pPr>
        <w:widowControl w:val="0"/>
        <w:numPr>
          <w:ilvl w:val="1"/>
          <w:numId w:val="455"/>
        </w:numPr>
        <w:tabs>
          <w:tab w:val="clear" w:pos="3977"/>
          <w:tab w:val="left" w:pos="709"/>
          <w:tab w:val="left" w:pos="993"/>
          <w:tab w:val="num" w:pos="1425"/>
          <w:tab w:val="num" w:pos="2069"/>
        </w:tabs>
        <w:spacing w:before="120" w:after="120" w:line="240" w:lineRule="auto"/>
        <w:ind w:left="426" w:firstLine="0"/>
        <w:jc w:val="both"/>
        <w:rPr>
          <w:rFonts w:ascii="Times New Roman" w:eastAsia="Times New Roman" w:hAnsi="Times New Roman" w:cs="Times New Roman"/>
          <w:lang w:eastAsia="hu-HU"/>
        </w:rPr>
      </w:pPr>
      <w:r w:rsidRPr="002A1CFD">
        <w:rPr>
          <w:rFonts w:ascii="Times New Roman" w:eastAsia="Times New Roman" w:hAnsi="Times New Roman" w:cs="Times New Roman"/>
          <w:b/>
          <w:lang w:eastAsia="hu-HU"/>
        </w:rPr>
        <w:t>Az értékelés:</w:t>
      </w:r>
      <w:r w:rsidRPr="002A1CFD">
        <w:rPr>
          <w:rFonts w:ascii="Times New Roman" w:eastAsia="Times New Roman" w:hAnsi="Times New Roman" w:cs="Times New Roman"/>
          <w:lang w:eastAsia="hu-HU"/>
        </w:rPr>
        <w:t xml:space="preserve"> évközi értékelés, ötfokozatú értékelés.</w:t>
      </w:r>
      <w:r w:rsidRPr="002A1CFD">
        <w:rPr>
          <w:rFonts w:ascii="Times New Roman" w:eastAsia="Times New Roman" w:hAnsi="Times New Roman" w:cs="Times New Roman"/>
          <w:bCs/>
          <w:lang w:eastAsia="hu-HU"/>
        </w:rPr>
        <w:t xml:space="preserve"> Az évközi értékelést az elért eredmények kerekített matematikai átlaga képezi.</w:t>
      </w:r>
    </w:p>
    <w:p w:rsidR="002A1CFD" w:rsidRPr="002A1CFD" w:rsidRDefault="002A1CFD" w:rsidP="00980876">
      <w:pPr>
        <w:widowControl w:val="0"/>
        <w:numPr>
          <w:ilvl w:val="1"/>
          <w:numId w:val="455"/>
        </w:numPr>
        <w:tabs>
          <w:tab w:val="clear" w:pos="3977"/>
          <w:tab w:val="left" w:pos="709"/>
          <w:tab w:val="left" w:pos="993"/>
          <w:tab w:val="num" w:pos="1425"/>
          <w:tab w:val="num" w:pos="2069"/>
        </w:tabs>
        <w:spacing w:before="120" w:after="120" w:line="240" w:lineRule="auto"/>
        <w:ind w:left="426" w:firstLine="0"/>
        <w:jc w:val="both"/>
        <w:rPr>
          <w:rFonts w:ascii="Times New Roman" w:eastAsia="Times New Roman" w:hAnsi="Times New Roman" w:cs="Times New Roman"/>
          <w:lang w:eastAsia="hu-HU"/>
        </w:rPr>
      </w:pPr>
      <w:r w:rsidRPr="002A1CFD">
        <w:rPr>
          <w:rFonts w:ascii="Times New Roman" w:eastAsia="Times New Roman" w:hAnsi="Times New Roman" w:cs="Times New Roman"/>
          <w:b/>
          <w:lang w:eastAsia="hu-HU"/>
        </w:rPr>
        <w:t>A kreditek megszerzésének feltételei:</w:t>
      </w:r>
      <w:r w:rsidRPr="002A1CFD">
        <w:rPr>
          <w:rFonts w:ascii="Times New Roman" w:eastAsia="Times New Roman" w:hAnsi="Times New Roman" w:cs="Times New Roman"/>
          <w:lang w:eastAsia="hu-HU"/>
        </w:rPr>
        <w:t xml:space="preserve"> az aláírás megszerzése és legalább elégséges</w:t>
      </w:r>
      <w:r w:rsidRPr="002A1CFD">
        <w:rPr>
          <w:rFonts w:ascii="Times New Roman" w:eastAsia="Times New Roman" w:hAnsi="Times New Roman" w:cs="Times New Roman"/>
          <w:b/>
          <w:lang w:eastAsia="hu-HU"/>
        </w:rPr>
        <w:t xml:space="preserve"> </w:t>
      </w:r>
      <w:r w:rsidRPr="002A1CFD">
        <w:rPr>
          <w:rFonts w:ascii="Times New Roman" w:eastAsia="Times New Roman" w:hAnsi="Times New Roman" w:cs="Times New Roman"/>
          <w:lang w:eastAsia="hu-HU"/>
        </w:rPr>
        <w:t>évközi értékelés</w:t>
      </w:r>
      <w:r w:rsidRPr="002A1CFD">
        <w:rPr>
          <w:rFonts w:ascii="Times New Roman" w:eastAsia="Times New Roman" w:hAnsi="Times New Roman" w:cs="Times New Roman"/>
          <w:bCs/>
          <w:lang w:eastAsia="hu-HU"/>
        </w:rPr>
        <w:t>.</w:t>
      </w:r>
    </w:p>
    <w:p w:rsidR="002A1CFD" w:rsidRPr="002A1CFD" w:rsidRDefault="002A1CFD" w:rsidP="00980876">
      <w:pPr>
        <w:numPr>
          <w:ilvl w:val="0"/>
          <w:numId w:val="455"/>
        </w:numPr>
        <w:tabs>
          <w:tab w:val="clear" w:pos="720"/>
          <w:tab w:val="num" w:pos="426"/>
          <w:tab w:val="num" w:pos="644"/>
        </w:tabs>
        <w:spacing w:before="120" w:after="0" w:line="240" w:lineRule="auto"/>
        <w:ind w:left="426" w:hanging="142"/>
        <w:jc w:val="both"/>
        <w:rPr>
          <w:rFonts w:ascii="Times New Roman" w:eastAsia="Times New Roman" w:hAnsi="Times New Roman" w:cs="Times New Roman"/>
          <w:b/>
          <w:lang w:eastAsia="hu-HU"/>
        </w:rPr>
      </w:pPr>
      <w:r w:rsidRPr="002A1CFD">
        <w:rPr>
          <w:rFonts w:ascii="Times New Roman" w:eastAsia="Times New Roman" w:hAnsi="Times New Roman" w:cs="Times New Roman"/>
          <w:b/>
          <w:lang w:eastAsia="hu-HU"/>
        </w:rPr>
        <w:t>Irodalomjegyzék:</w:t>
      </w:r>
    </w:p>
    <w:p w:rsidR="002A1CFD" w:rsidRPr="002A1CFD" w:rsidRDefault="002A1CFD" w:rsidP="00980876">
      <w:pPr>
        <w:numPr>
          <w:ilvl w:val="1"/>
          <w:numId w:val="455"/>
        </w:numPr>
        <w:tabs>
          <w:tab w:val="clear" w:pos="3977"/>
          <w:tab w:val="left" w:pos="1134"/>
          <w:tab w:val="num" w:pos="1425"/>
        </w:tabs>
        <w:spacing w:before="120" w:after="0" w:line="240" w:lineRule="auto"/>
        <w:ind w:left="568" w:firstLine="0"/>
        <w:jc w:val="both"/>
        <w:rPr>
          <w:rFonts w:ascii="Times New Roman" w:eastAsia="Times New Roman" w:hAnsi="Times New Roman" w:cs="Times New Roman"/>
          <w:b/>
          <w:lang w:eastAsia="hu-HU"/>
        </w:rPr>
      </w:pPr>
      <w:r w:rsidRPr="002A1CFD">
        <w:rPr>
          <w:rFonts w:ascii="Times New Roman" w:eastAsia="Times New Roman" w:hAnsi="Times New Roman" w:cs="Times New Roman"/>
          <w:b/>
          <w:lang w:eastAsia="hu-HU"/>
        </w:rPr>
        <w:t>Kötelező irodalom:</w:t>
      </w:r>
    </w:p>
    <w:p w:rsidR="002A1CFD" w:rsidRPr="002A1CFD" w:rsidRDefault="002A1CFD" w:rsidP="00980876">
      <w:pPr>
        <w:numPr>
          <w:ilvl w:val="0"/>
          <w:numId w:val="456"/>
        </w:numPr>
        <w:spacing w:before="120" w:after="0" w:line="240" w:lineRule="auto"/>
        <w:jc w:val="both"/>
        <w:rPr>
          <w:rFonts w:ascii="Times New Roman" w:eastAsia="Times New Roman" w:hAnsi="Times New Roman" w:cs="Times New Roman"/>
          <w:lang w:eastAsia="hu-HU"/>
        </w:rPr>
      </w:pPr>
      <w:r w:rsidRPr="002A1CFD">
        <w:rPr>
          <w:rFonts w:ascii="Times New Roman" w:eastAsia="Times New Roman" w:hAnsi="Times New Roman" w:cs="Times New Roman"/>
          <w:lang w:eastAsia="hu-HU"/>
        </w:rPr>
        <w:t xml:space="preserve">Kálmán Gyula mk. ezds.: Optikai és elektronoptikai műszerek elmélete és gyakorlata (BJKMF főiskolai jegyzet, Budapest, 1998.) </w:t>
      </w:r>
    </w:p>
    <w:p w:rsidR="002A1CFD" w:rsidRPr="002A1CFD" w:rsidRDefault="002A1CFD" w:rsidP="00980876">
      <w:pPr>
        <w:numPr>
          <w:ilvl w:val="0"/>
          <w:numId w:val="456"/>
        </w:numPr>
        <w:spacing w:before="120" w:after="0" w:line="240" w:lineRule="auto"/>
        <w:jc w:val="both"/>
        <w:rPr>
          <w:rFonts w:ascii="Times New Roman" w:eastAsia="Times New Roman" w:hAnsi="Times New Roman" w:cs="Times New Roman"/>
          <w:lang w:eastAsia="hu-HU"/>
        </w:rPr>
      </w:pPr>
      <w:r w:rsidRPr="002A1CFD">
        <w:rPr>
          <w:rFonts w:ascii="Times New Roman" w:eastAsia="Times New Roman" w:hAnsi="Times New Roman" w:cs="Times New Roman"/>
          <w:lang w:eastAsia="hu-HU"/>
        </w:rPr>
        <w:t>Az oktatott műszerek műszaki leírása és kezelési utasítása</w:t>
      </w:r>
    </w:p>
    <w:p w:rsidR="002A1CFD" w:rsidRPr="002A1CFD" w:rsidRDefault="002A1CFD" w:rsidP="00980876">
      <w:pPr>
        <w:numPr>
          <w:ilvl w:val="0"/>
          <w:numId w:val="456"/>
        </w:numPr>
        <w:spacing w:before="120" w:after="0" w:line="240" w:lineRule="auto"/>
        <w:jc w:val="both"/>
        <w:rPr>
          <w:rFonts w:ascii="Times New Roman" w:eastAsia="Times New Roman" w:hAnsi="Times New Roman" w:cs="Times New Roman"/>
          <w:lang w:eastAsia="hu-HU"/>
        </w:rPr>
      </w:pPr>
      <w:r w:rsidRPr="002A1CFD">
        <w:rPr>
          <w:rFonts w:ascii="Times New Roman" w:eastAsia="Times New Roman" w:hAnsi="Times New Roman" w:cs="Times New Roman"/>
          <w:lang w:eastAsia="hu-HU"/>
        </w:rPr>
        <w:t>Dr. Farkas Tivadar: Lőfegyverek rendszertana I-II. (ZMNE jegyzet, Budapest, 2000) ISBN: 9630035596</w:t>
      </w:r>
    </w:p>
    <w:p w:rsidR="002A1CFD" w:rsidRPr="002A1CFD" w:rsidRDefault="002A1CFD" w:rsidP="00980876">
      <w:pPr>
        <w:numPr>
          <w:ilvl w:val="0"/>
          <w:numId w:val="456"/>
        </w:numPr>
        <w:spacing w:before="120" w:after="0" w:line="240" w:lineRule="auto"/>
        <w:jc w:val="both"/>
        <w:rPr>
          <w:rFonts w:ascii="Times New Roman" w:eastAsia="Times New Roman" w:hAnsi="Times New Roman" w:cs="Times New Roman"/>
          <w:b/>
          <w:lang w:eastAsia="hu-HU"/>
        </w:rPr>
      </w:pPr>
      <w:r w:rsidRPr="002A1CFD">
        <w:rPr>
          <w:rFonts w:ascii="Times New Roman" w:eastAsia="Times New Roman" w:hAnsi="Times New Roman" w:cs="Times New Roman"/>
          <w:lang w:eastAsia="hu-HU"/>
        </w:rPr>
        <w:t>Gát István: Fegyver és lőszertechnikai kézikönyv (Ipari Minisztérium Iparszervezési főosztály, VASKUT MÜFIL Innovációs Iroda, Budapest, 1984, 84.408)</w:t>
      </w:r>
      <w:r w:rsidRPr="002A1CFD">
        <w:rPr>
          <w:rFonts w:ascii="Times New Roman" w:eastAsia="Times New Roman" w:hAnsi="Times New Roman" w:cs="Times New Roman"/>
          <w:b/>
          <w:lang w:eastAsia="hu-HU"/>
        </w:rPr>
        <w:t>.</w:t>
      </w:r>
    </w:p>
    <w:p w:rsidR="002A1CFD" w:rsidRPr="002A1CFD" w:rsidRDefault="002A1CFD" w:rsidP="00980876">
      <w:pPr>
        <w:numPr>
          <w:ilvl w:val="1"/>
          <w:numId w:val="455"/>
        </w:numPr>
        <w:tabs>
          <w:tab w:val="clear" w:pos="3977"/>
          <w:tab w:val="left" w:pos="1134"/>
          <w:tab w:val="num" w:pos="1425"/>
        </w:tabs>
        <w:spacing w:before="120" w:after="0" w:line="240" w:lineRule="auto"/>
        <w:ind w:left="568" w:firstLine="0"/>
        <w:jc w:val="both"/>
        <w:rPr>
          <w:rFonts w:ascii="Times New Roman" w:eastAsia="Times New Roman" w:hAnsi="Times New Roman" w:cs="Times New Roman"/>
          <w:b/>
          <w:lang w:eastAsia="hu-HU"/>
        </w:rPr>
      </w:pPr>
      <w:r w:rsidRPr="002A1CFD">
        <w:rPr>
          <w:rFonts w:ascii="Times New Roman" w:eastAsia="Times New Roman" w:hAnsi="Times New Roman" w:cs="Times New Roman"/>
          <w:b/>
          <w:lang w:eastAsia="hu-HU"/>
        </w:rPr>
        <w:t xml:space="preserve"> Ajánlott irodalom:</w:t>
      </w:r>
    </w:p>
    <w:p w:rsidR="002A1CFD" w:rsidRPr="002A1CFD" w:rsidRDefault="002A1CFD" w:rsidP="00980876">
      <w:pPr>
        <w:numPr>
          <w:ilvl w:val="0"/>
          <w:numId w:val="798"/>
        </w:numPr>
        <w:spacing w:before="120" w:after="0" w:line="240" w:lineRule="auto"/>
        <w:ind w:left="1134" w:hanging="425"/>
        <w:jc w:val="both"/>
        <w:rPr>
          <w:rFonts w:ascii="Times New Roman" w:eastAsia="Times New Roman" w:hAnsi="Times New Roman" w:cs="Times New Roman"/>
          <w:lang w:eastAsia="hu-HU"/>
        </w:rPr>
      </w:pPr>
      <w:r w:rsidRPr="002A1CFD">
        <w:rPr>
          <w:rFonts w:ascii="Times New Roman" w:eastAsia="Times New Roman" w:hAnsi="Times New Roman" w:cs="Times New Roman"/>
          <w:lang w:eastAsia="hu-HU"/>
        </w:rPr>
        <w:t xml:space="preserve">Dr. Ábrahám György, Gedeon András, Gedeon Béla: Optika (Budapest, Panem, 1998) ISBN: </w:t>
      </w:r>
      <w:r w:rsidRPr="002A1CFD">
        <w:rPr>
          <w:rFonts w:ascii="Times New Roman" w:eastAsia="Times New Roman" w:hAnsi="Times New Roman" w:cs="Times New Roman"/>
          <w:lang w:eastAsia="hu-HU"/>
        </w:rPr>
        <w:tab/>
        <w:t>963545144X</w:t>
      </w:r>
    </w:p>
    <w:p w:rsidR="002A1CFD" w:rsidRPr="002A1CFD" w:rsidRDefault="002A1CFD" w:rsidP="00980876">
      <w:pPr>
        <w:numPr>
          <w:ilvl w:val="0"/>
          <w:numId w:val="798"/>
        </w:numPr>
        <w:spacing w:before="120" w:after="0" w:line="240" w:lineRule="auto"/>
        <w:ind w:left="1134" w:hanging="425"/>
        <w:jc w:val="both"/>
        <w:rPr>
          <w:rFonts w:ascii="Times New Roman" w:eastAsia="Times New Roman" w:hAnsi="Times New Roman" w:cs="Times New Roman"/>
          <w:lang w:eastAsia="hu-HU"/>
        </w:rPr>
      </w:pPr>
      <w:r w:rsidRPr="002A1CFD">
        <w:rPr>
          <w:rFonts w:ascii="Times New Roman" w:eastAsia="Times New Roman" w:hAnsi="Times New Roman" w:cs="Times New Roman"/>
          <w:lang w:eastAsia="hu-HU"/>
        </w:rPr>
        <w:t xml:space="preserve">Löfe/108 A </w:t>
      </w:r>
      <w:smartTag w:uri="urn:schemas-microsoft-com:office:smarttags" w:element="metricconverter">
        <w:smartTagPr>
          <w:attr w:name="ProductID" w:val="7,62 mm"/>
        </w:smartTagPr>
        <w:r w:rsidRPr="002A1CFD">
          <w:rPr>
            <w:rFonts w:ascii="Times New Roman" w:eastAsia="Times New Roman" w:hAnsi="Times New Roman" w:cs="Times New Roman"/>
            <w:lang w:eastAsia="hu-HU"/>
          </w:rPr>
          <w:t>7,62 mm</w:t>
        </w:r>
      </w:smartTag>
      <w:r w:rsidRPr="002A1CFD">
        <w:rPr>
          <w:rFonts w:ascii="Times New Roman" w:eastAsia="Times New Roman" w:hAnsi="Times New Roman" w:cs="Times New Roman"/>
          <w:lang w:eastAsia="hu-HU"/>
        </w:rPr>
        <w:t xml:space="preserve"> PKM, PKMSZ, PKT és PKB Kalasnyikov géppuskák javítási utasítása. HM. kiadvány</w:t>
      </w:r>
    </w:p>
    <w:p w:rsidR="002A1CFD" w:rsidRPr="002A1CFD" w:rsidRDefault="004D708E" w:rsidP="00980876">
      <w:pPr>
        <w:numPr>
          <w:ilvl w:val="0"/>
          <w:numId w:val="798"/>
        </w:numPr>
        <w:spacing w:before="120" w:after="0" w:line="240" w:lineRule="auto"/>
        <w:ind w:left="1134" w:hanging="425"/>
        <w:jc w:val="both"/>
        <w:rPr>
          <w:rFonts w:ascii="Times New Roman" w:eastAsia="Times New Roman" w:hAnsi="Times New Roman" w:cs="Times New Roman"/>
          <w:lang w:eastAsia="hu-HU"/>
        </w:rPr>
      </w:pPr>
      <w:hyperlink r:id="rId18" w:tooltip="Find all the author's book" w:history="1">
        <w:r w:rsidR="002A1CFD" w:rsidRPr="002A1CFD">
          <w:rPr>
            <w:rFonts w:ascii="Times New Roman" w:eastAsia="Times New Roman" w:hAnsi="Times New Roman" w:cs="Times New Roman"/>
            <w:lang w:eastAsia="hu-HU"/>
          </w:rPr>
          <w:t>Donald E. Carlucci</w:t>
        </w:r>
      </w:hyperlink>
      <w:r w:rsidR="002A1CFD" w:rsidRPr="002A1CFD">
        <w:rPr>
          <w:rFonts w:ascii="Times New Roman" w:eastAsia="Times New Roman" w:hAnsi="Times New Roman" w:cs="Times New Roman"/>
          <w:lang w:eastAsia="hu-HU"/>
        </w:rPr>
        <w:t>, </w:t>
      </w:r>
      <w:hyperlink r:id="rId19" w:tooltip="Find all the author's book" w:history="1">
        <w:r w:rsidR="002A1CFD" w:rsidRPr="002A1CFD">
          <w:rPr>
            <w:rFonts w:ascii="Times New Roman" w:eastAsia="Times New Roman" w:hAnsi="Times New Roman" w:cs="Times New Roman"/>
            <w:lang w:eastAsia="hu-HU"/>
          </w:rPr>
          <w:t>Sidney S. Jacobson</w:t>
        </w:r>
      </w:hyperlink>
      <w:r w:rsidR="002A1CFD" w:rsidRPr="002A1CFD">
        <w:rPr>
          <w:rFonts w:ascii="Times New Roman" w:eastAsia="Times New Roman" w:hAnsi="Times New Roman" w:cs="Times New Roman"/>
          <w:lang w:eastAsia="hu-HU"/>
        </w:rPr>
        <w:t>, Ballistics: Theory and Design of Guns and Ammunition, CRC Press, 2018. ISBN 113805531X</w:t>
      </w:r>
    </w:p>
    <w:p w:rsidR="002A1CFD" w:rsidRPr="002A1CFD" w:rsidRDefault="002A1CFD" w:rsidP="00F52F56">
      <w:pPr>
        <w:spacing w:before="120" w:after="0" w:line="240" w:lineRule="auto"/>
        <w:ind w:left="1134" w:hanging="425"/>
        <w:jc w:val="both"/>
        <w:rPr>
          <w:rFonts w:ascii="Times New Roman" w:eastAsia="Times New Roman" w:hAnsi="Times New Roman" w:cs="Times New Roman"/>
          <w:lang w:eastAsia="hu-HU"/>
        </w:rPr>
      </w:pPr>
    </w:p>
    <w:p w:rsidR="002A1CFD" w:rsidRPr="002A1CFD" w:rsidRDefault="002A1CFD" w:rsidP="002A1CFD">
      <w:pPr>
        <w:spacing w:before="120" w:after="0" w:line="240" w:lineRule="auto"/>
        <w:jc w:val="both"/>
        <w:rPr>
          <w:rFonts w:ascii="Times New Roman" w:eastAsia="Times New Roman" w:hAnsi="Times New Roman" w:cs="Times New Roman"/>
          <w:lang w:eastAsia="hu-HU"/>
        </w:rPr>
      </w:pPr>
      <w:r w:rsidRPr="002A1CFD">
        <w:rPr>
          <w:rFonts w:ascii="Times New Roman" w:eastAsia="Times New Roman" w:hAnsi="Times New Roman" w:cs="Times New Roman"/>
          <w:lang w:eastAsia="hu-HU"/>
        </w:rPr>
        <w:t xml:space="preserve">Budapest, 2020. </w:t>
      </w:r>
      <w:r>
        <w:rPr>
          <w:rFonts w:ascii="Times New Roman" w:eastAsia="Times New Roman" w:hAnsi="Times New Roman" w:cs="Times New Roman"/>
          <w:lang w:eastAsia="hu-HU"/>
        </w:rPr>
        <w:t>március</w:t>
      </w:r>
      <w:r w:rsidRPr="002A1CFD">
        <w:rPr>
          <w:rFonts w:ascii="Times New Roman" w:eastAsia="Times New Roman" w:hAnsi="Times New Roman" w:cs="Times New Roman"/>
          <w:lang w:eastAsia="hu-HU"/>
        </w:rPr>
        <w:t xml:space="preserve"> 15.</w:t>
      </w:r>
    </w:p>
    <w:p w:rsidR="002A1CFD" w:rsidRPr="002A1CFD" w:rsidRDefault="002A1CFD" w:rsidP="002A1CFD">
      <w:pPr>
        <w:spacing w:before="120" w:after="0" w:line="240" w:lineRule="auto"/>
        <w:jc w:val="both"/>
        <w:rPr>
          <w:rFonts w:ascii="Times New Roman" w:eastAsia="Times New Roman" w:hAnsi="Times New Roman" w:cs="Times New Roman"/>
          <w:lang w:eastAsia="hu-HU"/>
        </w:rPr>
      </w:pPr>
    </w:p>
    <w:p w:rsidR="004A4C51" w:rsidRPr="00A3436E" w:rsidRDefault="004A4C51" w:rsidP="004A4C51">
      <w:pPr>
        <w:widowControl w:val="0"/>
        <w:spacing w:after="0" w:line="240" w:lineRule="auto"/>
        <w:ind w:left="5529"/>
        <w:jc w:val="center"/>
        <w:rPr>
          <w:rFonts w:ascii="Times New Roman" w:eastAsia="Times New Roman" w:hAnsi="Times New Roman" w:cs="Times New Roman"/>
          <w:b/>
          <w:bCs/>
        </w:rPr>
      </w:pPr>
      <w:r w:rsidRPr="00A3436E">
        <w:rPr>
          <w:rFonts w:ascii="Times New Roman" w:eastAsia="Times New Roman" w:hAnsi="Times New Roman" w:cs="Times New Roman"/>
          <w:b/>
          <w:bCs/>
        </w:rPr>
        <w:t xml:space="preserve">Dr. Gyarmati József </w:t>
      </w:r>
      <w:r>
        <w:rPr>
          <w:rFonts w:ascii="Times New Roman" w:eastAsia="Times New Roman" w:hAnsi="Times New Roman" w:cs="Times New Roman"/>
          <w:b/>
          <w:bCs/>
        </w:rPr>
        <w:t>alezredes, PhD</w:t>
      </w:r>
    </w:p>
    <w:p w:rsidR="002A1CFD" w:rsidRPr="002A1CFD" w:rsidRDefault="002A1CFD" w:rsidP="002A1CFD">
      <w:pPr>
        <w:tabs>
          <w:tab w:val="center" w:pos="7371"/>
        </w:tabs>
        <w:spacing w:after="0" w:line="240" w:lineRule="auto"/>
        <w:jc w:val="both"/>
        <w:rPr>
          <w:rFonts w:ascii="Times New Roman" w:eastAsia="Times New Roman" w:hAnsi="Times New Roman" w:cs="Times New Roman"/>
          <w:lang w:eastAsia="hu-HU"/>
        </w:rPr>
      </w:pPr>
      <w:r w:rsidRPr="002A1CFD">
        <w:rPr>
          <w:rFonts w:ascii="Times New Roman" w:eastAsia="Times New Roman" w:hAnsi="Times New Roman" w:cs="Times New Roman"/>
          <w:lang w:eastAsia="hu-HU"/>
        </w:rPr>
        <w:tab/>
        <w:t>egyetemi docens, sk.</w:t>
      </w:r>
    </w:p>
    <w:p w:rsidR="00ED289C" w:rsidRDefault="00ED289C">
      <w:pPr>
        <w:spacing w:after="200" w:line="276" w:lineRule="auto"/>
        <w:rPr>
          <w:rFonts w:ascii="Times New Roman" w:hAnsi="Times New Roman" w:cs="Times New Roman"/>
          <w:sz w:val="24"/>
        </w:rPr>
      </w:pPr>
      <w:r>
        <w:rPr>
          <w:rFonts w:ascii="Times New Roman" w:hAnsi="Times New Roman" w:cs="Times New Roman"/>
          <w:sz w:val="24"/>
        </w:rPr>
        <w:br w:type="page"/>
      </w:r>
    </w:p>
    <w:tbl>
      <w:tblPr>
        <w:tblW w:w="9072" w:type="dxa"/>
        <w:tblInd w:w="113" w:type="dxa"/>
        <w:tblLook w:val="01E0" w:firstRow="1" w:lastRow="1" w:firstColumn="1" w:lastColumn="1" w:noHBand="0" w:noVBand="0"/>
      </w:tblPr>
      <w:tblGrid>
        <w:gridCol w:w="4855"/>
        <w:gridCol w:w="1620"/>
        <w:gridCol w:w="2597"/>
      </w:tblGrid>
      <w:tr w:rsidR="00ED289C" w:rsidRPr="00ED289C" w:rsidTr="009B2CD8">
        <w:tc>
          <w:tcPr>
            <w:tcW w:w="4855" w:type="dxa"/>
            <w:tcBorders>
              <w:bottom w:val="single" w:sz="4" w:space="0" w:color="auto"/>
            </w:tcBorders>
          </w:tcPr>
          <w:p w:rsidR="00ED289C" w:rsidRPr="00ED289C" w:rsidRDefault="00ED289C" w:rsidP="00ED289C">
            <w:pPr>
              <w:spacing w:after="0" w:line="240" w:lineRule="auto"/>
              <w:jc w:val="center"/>
              <w:rPr>
                <w:rFonts w:ascii="Times New Roman" w:eastAsia="Times New Roman" w:hAnsi="Times New Roman" w:cs="Times New Roman"/>
                <w:b/>
                <w:smallCaps/>
                <w:lang w:eastAsia="hu-HU"/>
              </w:rPr>
            </w:pPr>
            <w:r w:rsidRPr="00ED289C">
              <w:rPr>
                <w:rFonts w:ascii="Times New Roman" w:eastAsia="Times New Roman" w:hAnsi="Times New Roman" w:cs="Times New Roman"/>
                <w:b/>
                <w:smallCaps/>
                <w:lang w:eastAsia="hu-HU"/>
              </w:rPr>
              <w:lastRenderedPageBreak/>
              <w:t>Nemzeti Közszolgálati Egyetem</w:t>
            </w:r>
          </w:p>
        </w:tc>
        <w:tc>
          <w:tcPr>
            <w:tcW w:w="1620" w:type="dxa"/>
          </w:tcPr>
          <w:p w:rsidR="00ED289C" w:rsidRPr="00ED289C" w:rsidRDefault="00ED289C" w:rsidP="00ED289C">
            <w:pPr>
              <w:spacing w:after="0" w:line="240" w:lineRule="auto"/>
              <w:jc w:val="both"/>
              <w:rPr>
                <w:rFonts w:ascii="Times New Roman" w:eastAsia="Times New Roman" w:hAnsi="Times New Roman" w:cs="Times New Roman"/>
                <w:lang w:eastAsia="hu-HU"/>
              </w:rPr>
            </w:pPr>
          </w:p>
        </w:tc>
        <w:tc>
          <w:tcPr>
            <w:tcW w:w="2597" w:type="dxa"/>
          </w:tcPr>
          <w:p w:rsidR="00ED289C" w:rsidRPr="00ED289C" w:rsidRDefault="00ED289C" w:rsidP="00ED289C">
            <w:pPr>
              <w:spacing w:after="0" w:line="240" w:lineRule="auto"/>
              <w:jc w:val="right"/>
              <w:rPr>
                <w:rFonts w:ascii="Times New Roman" w:eastAsia="Times New Roman" w:hAnsi="Times New Roman" w:cs="Times New Roman"/>
                <w:lang w:eastAsia="hu-HU"/>
              </w:rPr>
            </w:pPr>
          </w:p>
        </w:tc>
      </w:tr>
      <w:tr w:rsidR="00ED289C" w:rsidRPr="00ED289C" w:rsidTr="009B2CD8">
        <w:tc>
          <w:tcPr>
            <w:tcW w:w="4855" w:type="dxa"/>
            <w:tcBorders>
              <w:top w:val="single" w:sz="4" w:space="0" w:color="auto"/>
            </w:tcBorders>
          </w:tcPr>
          <w:p w:rsidR="00ED289C" w:rsidRPr="00ED289C" w:rsidRDefault="00ED289C" w:rsidP="00ED289C">
            <w:pPr>
              <w:spacing w:after="0" w:line="240" w:lineRule="auto"/>
              <w:jc w:val="center"/>
              <w:rPr>
                <w:rFonts w:ascii="Times New Roman" w:eastAsia="Times New Roman" w:hAnsi="Times New Roman" w:cs="Times New Roman"/>
                <w:b/>
                <w:lang w:eastAsia="hu-HU"/>
              </w:rPr>
            </w:pPr>
            <w:r w:rsidRPr="00ED289C">
              <w:rPr>
                <w:rFonts w:ascii="Times New Roman" w:eastAsia="Times New Roman" w:hAnsi="Times New Roman" w:cs="Times New Roman"/>
                <w:b/>
                <w:lang w:eastAsia="hu-HU"/>
              </w:rPr>
              <w:t>Hadtudományi és Honvédtisztképző Kar</w:t>
            </w:r>
          </w:p>
        </w:tc>
        <w:tc>
          <w:tcPr>
            <w:tcW w:w="1620" w:type="dxa"/>
          </w:tcPr>
          <w:p w:rsidR="00ED289C" w:rsidRPr="00ED289C" w:rsidRDefault="00ED289C" w:rsidP="00ED289C">
            <w:pPr>
              <w:spacing w:after="0" w:line="240" w:lineRule="auto"/>
              <w:jc w:val="both"/>
              <w:rPr>
                <w:rFonts w:ascii="Times New Roman" w:eastAsia="Times New Roman" w:hAnsi="Times New Roman" w:cs="Times New Roman"/>
                <w:lang w:eastAsia="hu-HU"/>
              </w:rPr>
            </w:pPr>
          </w:p>
        </w:tc>
        <w:tc>
          <w:tcPr>
            <w:tcW w:w="2597" w:type="dxa"/>
          </w:tcPr>
          <w:p w:rsidR="00ED289C" w:rsidRPr="00ED289C" w:rsidRDefault="00ED289C" w:rsidP="00ED289C">
            <w:pPr>
              <w:spacing w:after="0" w:line="240" w:lineRule="auto"/>
              <w:jc w:val="both"/>
              <w:rPr>
                <w:rFonts w:ascii="Times New Roman" w:eastAsia="Times New Roman" w:hAnsi="Times New Roman" w:cs="Times New Roman"/>
                <w:lang w:eastAsia="hu-HU"/>
              </w:rPr>
            </w:pPr>
          </w:p>
        </w:tc>
      </w:tr>
    </w:tbl>
    <w:p w:rsidR="00ED289C" w:rsidRPr="00ED289C" w:rsidRDefault="00ED289C" w:rsidP="00ED289C">
      <w:pPr>
        <w:widowControl w:val="0"/>
        <w:spacing w:before="120" w:after="120" w:line="240" w:lineRule="auto"/>
        <w:ind w:left="426" w:hanging="142"/>
        <w:jc w:val="center"/>
        <w:rPr>
          <w:rFonts w:ascii="Times New Roman" w:eastAsia="Times New Roman" w:hAnsi="Times New Roman" w:cs="Times New Roman"/>
          <w:b/>
          <w:bCs/>
        </w:rPr>
      </w:pPr>
    </w:p>
    <w:p w:rsidR="00ED289C" w:rsidRPr="00ED289C" w:rsidRDefault="00ED289C" w:rsidP="00ED289C">
      <w:pPr>
        <w:widowControl w:val="0"/>
        <w:spacing w:before="120" w:after="120" w:line="240" w:lineRule="auto"/>
        <w:ind w:left="426" w:hanging="142"/>
        <w:jc w:val="center"/>
        <w:rPr>
          <w:rFonts w:ascii="Times New Roman" w:eastAsia="Times New Roman" w:hAnsi="Times New Roman" w:cs="Times New Roman"/>
          <w:b/>
          <w:bCs/>
        </w:rPr>
      </w:pPr>
      <w:r w:rsidRPr="00ED289C">
        <w:rPr>
          <w:rFonts w:ascii="Times New Roman" w:eastAsia="Times New Roman" w:hAnsi="Times New Roman" w:cs="Times New Roman"/>
          <w:b/>
          <w:bCs/>
        </w:rPr>
        <w:t>TANTÁRGYI PROGRAM</w:t>
      </w:r>
    </w:p>
    <w:p w:rsidR="00ED289C" w:rsidRPr="00ED289C" w:rsidRDefault="00ED289C" w:rsidP="00980876">
      <w:pPr>
        <w:widowControl w:val="0"/>
        <w:numPr>
          <w:ilvl w:val="0"/>
          <w:numId w:val="457"/>
        </w:numPr>
        <w:tabs>
          <w:tab w:val="num" w:pos="567"/>
        </w:tabs>
        <w:spacing w:before="120" w:after="120" w:line="240" w:lineRule="auto"/>
        <w:ind w:left="426" w:hanging="142"/>
        <w:jc w:val="both"/>
        <w:rPr>
          <w:rFonts w:ascii="Times New Roman" w:eastAsia="Times New Roman" w:hAnsi="Times New Roman" w:cs="Times New Roman"/>
          <w:bCs/>
        </w:rPr>
      </w:pPr>
      <w:r w:rsidRPr="00ED289C">
        <w:rPr>
          <w:rFonts w:ascii="Times New Roman" w:eastAsia="Times New Roman" w:hAnsi="Times New Roman" w:cs="Times New Roman"/>
          <w:b/>
          <w:bCs/>
        </w:rPr>
        <w:t xml:space="preserve">A tantárgy kódja: </w:t>
      </w:r>
      <w:r w:rsidRPr="00ED289C">
        <w:rPr>
          <w:rFonts w:ascii="Times New Roman" w:eastAsia="Times New Roman" w:hAnsi="Times New Roman" w:cs="Times New Roman"/>
          <w:bCs/>
        </w:rPr>
        <w:t>HKHDTA37</w:t>
      </w:r>
    </w:p>
    <w:p w:rsidR="00ED289C" w:rsidRPr="00ED289C" w:rsidRDefault="00ED289C" w:rsidP="00980876">
      <w:pPr>
        <w:widowControl w:val="0"/>
        <w:numPr>
          <w:ilvl w:val="0"/>
          <w:numId w:val="457"/>
        </w:numPr>
        <w:tabs>
          <w:tab w:val="num" w:pos="567"/>
        </w:tabs>
        <w:spacing w:before="120" w:after="120" w:line="240" w:lineRule="auto"/>
        <w:ind w:left="426" w:hanging="142"/>
        <w:jc w:val="both"/>
        <w:rPr>
          <w:rFonts w:ascii="Times New Roman" w:eastAsia="Times New Roman" w:hAnsi="Times New Roman" w:cs="Times New Roman"/>
          <w:b/>
          <w:bCs/>
          <w:lang w:val="en-GB"/>
        </w:rPr>
      </w:pPr>
      <w:r w:rsidRPr="00ED289C">
        <w:rPr>
          <w:rFonts w:ascii="Times New Roman" w:eastAsia="Times New Roman" w:hAnsi="Times New Roman" w:cs="Times New Roman"/>
          <w:b/>
          <w:bCs/>
        </w:rPr>
        <w:t>A tantárgy megnevezése (magyarul):</w:t>
      </w:r>
      <w:r w:rsidRPr="00ED289C">
        <w:rPr>
          <w:rFonts w:ascii="Times New Roman" w:eastAsia="Times New Roman" w:hAnsi="Times New Roman" w:cs="Times New Roman"/>
          <w:bCs/>
        </w:rPr>
        <w:t xml:space="preserve"> </w:t>
      </w:r>
      <w:r w:rsidRPr="00ED289C">
        <w:rPr>
          <w:rFonts w:ascii="Times New Roman" w:eastAsia="Calibri" w:hAnsi="Times New Roman" w:cs="Times New Roman"/>
          <w:bCs/>
        </w:rPr>
        <w:t>Gépjármű diagnosztika L</w:t>
      </w:r>
    </w:p>
    <w:p w:rsidR="00ED289C" w:rsidRPr="00ED289C" w:rsidRDefault="00ED289C" w:rsidP="00980876">
      <w:pPr>
        <w:widowControl w:val="0"/>
        <w:numPr>
          <w:ilvl w:val="0"/>
          <w:numId w:val="457"/>
        </w:numPr>
        <w:tabs>
          <w:tab w:val="num" w:pos="567"/>
        </w:tabs>
        <w:spacing w:before="120" w:after="120" w:line="240" w:lineRule="auto"/>
        <w:ind w:left="426" w:hanging="142"/>
        <w:jc w:val="both"/>
        <w:rPr>
          <w:rFonts w:ascii="Times New Roman" w:eastAsia="Times New Roman" w:hAnsi="Times New Roman" w:cs="Times New Roman"/>
          <w:b/>
          <w:bCs/>
          <w:lang w:val="en-GB"/>
        </w:rPr>
      </w:pPr>
      <w:r w:rsidRPr="00ED289C">
        <w:rPr>
          <w:rFonts w:ascii="Times New Roman" w:eastAsia="Times New Roman" w:hAnsi="Times New Roman" w:cs="Times New Roman"/>
          <w:b/>
          <w:bCs/>
        </w:rPr>
        <w:t xml:space="preserve">A tantárgy megnevezése (angolul): </w:t>
      </w:r>
      <w:r w:rsidRPr="00ED289C">
        <w:rPr>
          <w:rFonts w:ascii="Times New Roman" w:eastAsia="Calibri" w:hAnsi="Times New Roman" w:cs="Times New Roman"/>
          <w:bCs/>
        </w:rPr>
        <w:t>Diagnostics of vehicles_L</w:t>
      </w:r>
    </w:p>
    <w:p w:rsidR="00ED289C" w:rsidRPr="00ED289C" w:rsidRDefault="00ED289C" w:rsidP="00980876">
      <w:pPr>
        <w:widowControl w:val="0"/>
        <w:numPr>
          <w:ilvl w:val="0"/>
          <w:numId w:val="457"/>
        </w:numPr>
        <w:tabs>
          <w:tab w:val="num" w:pos="567"/>
        </w:tabs>
        <w:spacing w:before="120" w:after="120" w:line="240" w:lineRule="auto"/>
        <w:ind w:left="426" w:hanging="142"/>
        <w:jc w:val="both"/>
        <w:rPr>
          <w:rFonts w:ascii="Times New Roman" w:eastAsia="Times New Roman" w:hAnsi="Times New Roman" w:cs="Times New Roman"/>
          <w:b/>
          <w:bCs/>
        </w:rPr>
      </w:pPr>
      <w:r w:rsidRPr="00ED289C">
        <w:rPr>
          <w:rFonts w:ascii="Times New Roman" w:eastAsia="Times New Roman" w:hAnsi="Times New Roman" w:cs="Times New Roman"/>
          <w:b/>
          <w:bCs/>
        </w:rPr>
        <w:t xml:space="preserve">Kreditérték és képzési karakter: </w:t>
      </w:r>
    </w:p>
    <w:p w:rsidR="00ED289C" w:rsidRPr="00ED289C" w:rsidRDefault="00ED289C" w:rsidP="00980876">
      <w:pPr>
        <w:widowControl w:val="0"/>
        <w:numPr>
          <w:ilvl w:val="1"/>
          <w:numId w:val="457"/>
        </w:numPr>
        <w:tabs>
          <w:tab w:val="clear" w:pos="3977"/>
          <w:tab w:val="num" w:pos="709"/>
          <w:tab w:val="num" w:pos="999"/>
          <w:tab w:val="num" w:pos="2069"/>
        </w:tabs>
        <w:spacing w:before="120" w:after="120" w:line="240" w:lineRule="auto"/>
        <w:ind w:left="851" w:hanging="425"/>
        <w:jc w:val="both"/>
        <w:rPr>
          <w:rFonts w:ascii="Times New Roman" w:eastAsia="Times New Roman" w:hAnsi="Times New Roman" w:cs="Times New Roman"/>
          <w:bCs/>
        </w:rPr>
      </w:pPr>
      <w:r w:rsidRPr="00ED289C">
        <w:rPr>
          <w:rFonts w:ascii="Times New Roman" w:eastAsia="Times New Roman" w:hAnsi="Times New Roman" w:cs="Times New Roman"/>
          <w:bCs/>
        </w:rPr>
        <w:t>2 kredit</w:t>
      </w:r>
    </w:p>
    <w:p w:rsidR="00ED289C" w:rsidRPr="00ED289C" w:rsidRDefault="00ED289C" w:rsidP="00980876">
      <w:pPr>
        <w:widowControl w:val="0"/>
        <w:numPr>
          <w:ilvl w:val="1"/>
          <w:numId w:val="457"/>
        </w:numPr>
        <w:tabs>
          <w:tab w:val="clear" w:pos="3977"/>
          <w:tab w:val="num" w:pos="709"/>
          <w:tab w:val="num" w:pos="999"/>
          <w:tab w:val="num" w:pos="2069"/>
        </w:tabs>
        <w:spacing w:before="120" w:after="120" w:line="240" w:lineRule="auto"/>
        <w:ind w:left="851" w:hanging="425"/>
        <w:jc w:val="both"/>
        <w:rPr>
          <w:rFonts w:ascii="Times New Roman" w:eastAsia="Times New Roman" w:hAnsi="Times New Roman" w:cs="Times New Roman"/>
          <w:bCs/>
        </w:rPr>
      </w:pPr>
      <w:r w:rsidRPr="00ED289C">
        <w:rPr>
          <w:rFonts w:ascii="Times New Roman" w:eastAsia="Times New Roman" w:hAnsi="Times New Roman" w:cs="Times New Roman"/>
          <w:bCs/>
        </w:rPr>
        <w:t>a tantárgy elméleti vagy gyakorlati jellegének mértéke: 50 % gyakorlat, 50 % elmélet</w:t>
      </w:r>
    </w:p>
    <w:p w:rsidR="00ED289C" w:rsidRPr="00ED289C" w:rsidRDefault="00ED289C" w:rsidP="00980876">
      <w:pPr>
        <w:widowControl w:val="0"/>
        <w:numPr>
          <w:ilvl w:val="0"/>
          <w:numId w:val="457"/>
        </w:numPr>
        <w:spacing w:before="120" w:after="120" w:line="240" w:lineRule="auto"/>
        <w:ind w:left="426" w:hanging="142"/>
        <w:jc w:val="both"/>
        <w:rPr>
          <w:rFonts w:ascii="Times New Roman" w:eastAsia="Times New Roman" w:hAnsi="Times New Roman" w:cs="Times New Roman"/>
          <w:bCs/>
        </w:rPr>
      </w:pPr>
      <w:r w:rsidRPr="00ED289C">
        <w:rPr>
          <w:rFonts w:ascii="Times New Roman" w:eastAsia="Times New Roman" w:hAnsi="Times New Roman" w:cs="Times New Roman"/>
          <w:b/>
          <w:bCs/>
        </w:rPr>
        <w:t>A szak(ok), szakirányok/specializációk megnevezése (ahol oktatják):</w:t>
      </w:r>
      <w:r w:rsidRPr="00ED289C">
        <w:rPr>
          <w:rFonts w:ascii="Times New Roman" w:eastAsia="Times New Roman" w:hAnsi="Times New Roman" w:cs="Times New Roman"/>
          <w:bCs/>
        </w:rPr>
        <w:t xml:space="preserve"> Katonai logisztika alapképzési szak, Haditechnikai specializáció</w:t>
      </w:r>
    </w:p>
    <w:p w:rsidR="00ED289C" w:rsidRPr="00ED289C" w:rsidRDefault="00ED289C" w:rsidP="00980876">
      <w:pPr>
        <w:widowControl w:val="0"/>
        <w:numPr>
          <w:ilvl w:val="0"/>
          <w:numId w:val="457"/>
        </w:numPr>
        <w:tabs>
          <w:tab w:val="num" w:pos="567"/>
        </w:tabs>
        <w:spacing w:before="120" w:after="120" w:line="240" w:lineRule="auto"/>
        <w:ind w:left="426" w:hanging="142"/>
        <w:jc w:val="both"/>
        <w:rPr>
          <w:rFonts w:ascii="Times New Roman" w:eastAsia="Times New Roman" w:hAnsi="Times New Roman" w:cs="Times New Roman"/>
          <w:bCs/>
        </w:rPr>
      </w:pPr>
      <w:r w:rsidRPr="00ED289C">
        <w:rPr>
          <w:rFonts w:ascii="Times New Roman" w:eastAsia="Times New Roman" w:hAnsi="Times New Roman" w:cs="Times New Roman"/>
          <w:b/>
          <w:bCs/>
        </w:rPr>
        <w:t xml:space="preserve">Az oktatásért felelős oktatási szervezeti egység megnevezése: </w:t>
      </w:r>
      <w:r w:rsidRPr="00ED289C">
        <w:rPr>
          <w:rFonts w:ascii="Times New Roman" w:eastAsia="Times New Roman" w:hAnsi="Times New Roman" w:cs="Times New Roman"/>
          <w:bCs/>
        </w:rPr>
        <w:t xml:space="preserve">NKE </w:t>
      </w:r>
      <w:r w:rsidRPr="00ED289C">
        <w:rPr>
          <w:rFonts w:ascii="Times New Roman" w:eastAsia="Calibri" w:hAnsi="Times New Roman" w:cs="Times New Roman"/>
          <w:bCs/>
          <w:kern w:val="2"/>
        </w:rPr>
        <w:t>Hadtudományi és Honvédtisztképző Kar,</w:t>
      </w:r>
      <w:r w:rsidRPr="00ED289C">
        <w:rPr>
          <w:rFonts w:ascii="Times New Roman" w:eastAsia="Times New Roman" w:hAnsi="Times New Roman" w:cs="Times New Roman"/>
          <w:bCs/>
        </w:rPr>
        <w:t xml:space="preserve"> Haditechnikai Tanszék</w:t>
      </w:r>
    </w:p>
    <w:p w:rsidR="00ED289C" w:rsidRPr="00ED289C" w:rsidRDefault="00ED289C" w:rsidP="00980876">
      <w:pPr>
        <w:widowControl w:val="0"/>
        <w:numPr>
          <w:ilvl w:val="0"/>
          <w:numId w:val="457"/>
        </w:numPr>
        <w:tabs>
          <w:tab w:val="num" w:pos="567"/>
        </w:tabs>
        <w:spacing w:before="120" w:after="120" w:line="240" w:lineRule="auto"/>
        <w:ind w:left="426" w:hanging="142"/>
        <w:jc w:val="both"/>
        <w:rPr>
          <w:rFonts w:ascii="Times New Roman" w:eastAsia="Times New Roman" w:hAnsi="Times New Roman" w:cs="Times New Roman"/>
          <w:bCs/>
        </w:rPr>
      </w:pPr>
      <w:r w:rsidRPr="00ED289C">
        <w:rPr>
          <w:rFonts w:ascii="Times New Roman" w:eastAsia="Times New Roman" w:hAnsi="Times New Roman" w:cs="Times New Roman"/>
          <w:b/>
          <w:bCs/>
        </w:rPr>
        <w:t>A tantárgyfelelős oktató neve, beosztása, tudományos fokozata:</w:t>
      </w:r>
      <w:r w:rsidRPr="00ED289C">
        <w:rPr>
          <w:rFonts w:ascii="Times New Roman" w:eastAsia="Times New Roman" w:hAnsi="Times New Roman" w:cs="Times New Roman"/>
          <w:bCs/>
        </w:rPr>
        <w:t xml:space="preserve"> Kiss László óraadó tanár</w:t>
      </w:r>
    </w:p>
    <w:p w:rsidR="00ED289C" w:rsidRPr="00ED289C" w:rsidRDefault="00ED289C" w:rsidP="00980876">
      <w:pPr>
        <w:widowControl w:val="0"/>
        <w:numPr>
          <w:ilvl w:val="0"/>
          <w:numId w:val="457"/>
        </w:numPr>
        <w:spacing w:before="120" w:after="120" w:line="240" w:lineRule="auto"/>
        <w:ind w:left="426" w:hanging="142"/>
        <w:jc w:val="both"/>
        <w:rPr>
          <w:rFonts w:ascii="Times New Roman" w:eastAsia="Times New Roman" w:hAnsi="Times New Roman" w:cs="Times New Roman"/>
          <w:bCs/>
        </w:rPr>
      </w:pPr>
      <w:r w:rsidRPr="00ED289C">
        <w:rPr>
          <w:rFonts w:ascii="Times New Roman" w:eastAsia="Times New Roman" w:hAnsi="Times New Roman" w:cs="Times New Roman"/>
          <w:b/>
          <w:bCs/>
        </w:rPr>
        <w:t>A tanórák száma és típusa</w:t>
      </w:r>
    </w:p>
    <w:p w:rsidR="00ED289C" w:rsidRPr="00ED289C" w:rsidRDefault="00ED289C" w:rsidP="00980876">
      <w:pPr>
        <w:widowControl w:val="0"/>
        <w:numPr>
          <w:ilvl w:val="1"/>
          <w:numId w:val="457"/>
        </w:numPr>
        <w:tabs>
          <w:tab w:val="clear" w:pos="3977"/>
          <w:tab w:val="num" w:pos="709"/>
          <w:tab w:val="num" w:pos="999"/>
          <w:tab w:val="num" w:pos="2069"/>
        </w:tabs>
        <w:spacing w:before="120" w:after="120" w:line="240" w:lineRule="auto"/>
        <w:ind w:left="851" w:hanging="425"/>
        <w:jc w:val="both"/>
        <w:rPr>
          <w:rFonts w:ascii="Times New Roman" w:eastAsia="Times New Roman" w:hAnsi="Times New Roman" w:cs="Times New Roman"/>
          <w:b/>
          <w:bCs/>
        </w:rPr>
      </w:pPr>
      <w:r w:rsidRPr="00ED289C">
        <w:rPr>
          <w:rFonts w:ascii="Times New Roman" w:eastAsia="Times New Roman" w:hAnsi="Times New Roman" w:cs="Times New Roman"/>
          <w:bCs/>
        </w:rPr>
        <w:t>össz óraszám/félév:</w:t>
      </w:r>
    </w:p>
    <w:p w:rsidR="00ED289C" w:rsidRPr="00ED289C" w:rsidRDefault="00ED289C" w:rsidP="00980876">
      <w:pPr>
        <w:widowControl w:val="0"/>
        <w:numPr>
          <w:ilvl w:val="2"/>
          <w:numId w:val="457"/>
        </w:numPr>
        <w:tabs>
          <w:tab w:val="num" w:pos="709"/>
          <w:tab w:val="num" w:pos="1134"/>
        </w:tabs>
        <w:spacing w:before="120" w:after="120" w:line="240" w:lineRule="auto"/>
        <w:ind w:left="993" w:hanging="425"/>
        <w:jc w:val="both"/>
        <w:rPr>
          <w:rFonts w:ascii="Times New Roman" w:eastAsia="Times New Roman" w:hAnsi="Times New Roman" w:cs="Times New Roman"/>
          <w:bCs/>
        </w:rPr>
      </w:pPr>
      <w:r w:rsidRPr="00ED289C">
        <w:rPr>
          <w:rFonts w:ascii="Times New Roman" w:eastAsia="Times New Roman" w:hAnsi="Times New Roman" w:cs="Times New Roman"/>
          <w:bCs/>
        </w:rPr>
        <w:t>nappali munkarend: 28 (14 EA + 0 SZ + 14 GY)</w:t>
      </w:r>
    </w:p>
    <w:p w:rsidR="00ED289C" w:rsidRPr="00ED289C" w:rsidRDefault="00ED289C" w:rsidP="00980876">
      <w:pPr>
        <w:widowControl w:val="0"/>
        <w:numPr>
          <w:ilvl w:val="2"/>
          <w:numId w:val="457"/>
        </w:numPr>
        <w:tabs>
          <w:tab w:val="num" w:pos="709"/>
          <w:tab w:val="num" w:pos="1134"/>
        </w:tabs>
        <w:spacing w:before="120" w:after="120" w:line="240" w:lineRule="auto"/>
        <w:ind w:left="993" w:hanging="425"/>
        <w:jc w:val="both"/>
        <w:rPr>
          <w:rFonts w:ascii="Times New Roman" w:eastAsia="Times New Roman" w:hAnsi="Times New Roman" w:cs="Times New Roman"/>
          <w:bCs/>
        </w:rPr>
      </w:pPr>
      <w:r w:rsidRPr="00ED289C">
        <w:rPr>
          <w:rFonts w:ascii="Times New Roman" w:eastAsia="Times New Roman" w:hAnsi="Times New Roman" w:cs="Times New Roman"/>
          <w:bCs/>
        </w:rPr>
        <w:t>levelező munkarend: -</w:t>
      </w:r>
    </w:p>
    <w:p w:rsidR="00ED289C" w:rsidRPr="00ED289C" w:rsidRDefault="00ED289C" w:rsidP="00980876">
      <w:pPr>
        <w:widowControl w:val="0"/>
        <w:numPr>
          <w:ilvl w:val="1"/>
          <w:numId w:val="457"/>
        </w:numPr>
        <w:tabs>
          <w:tab w:val="clear" w:pos="3977"/>
          <w:tab w:val="num" w:pos="709"/>
          <w:tab w:val="num" w:pos="999"/>
          <w:tab w:val="num" w:pos="2069"/>
        </w:tabs>
        <w:spacing w:before="120" w:after="120" w:line="240" w:lineRule="auto"/>
        <w:ind w:left="851" w:hanging="425"/>
        <w:jc w:val="both"/>
        <w:rPr>
          <w:rFonts w:ascii="Times New Roman" w:eastAsia="Times New Roman" w:hAnsi="Times New Roman" w:cs="Times New Roman"/>
          <w:bCs/>
        </w:rPr>
      </w:pPr>
      <w:r w:rsidRPr="00ED289C">
        <w:rPr>
          <w:rFonts w:ascii="Times New Roman" w:eastAsia="Times New Roman" w:hAnsi="Times New Roman" w:cs="Times New Roman"/>
          <w:bCs/>
        </w:rPr>
        <w:t>heti óraszám - nappali munkarend: 2 (1 + 1)</w:t>
      </w:r>
    </w:p>
    <w:p w:rsidR="00ED289C" w:rsidRPr="00ED289C" w:rsidRDefault="00ED289C" w:rsidP="00980876">
      <w:pPr>
        <w:widowControl w:val="0"/>
        <w:numPr>
          <w:ilvl w:val="1"/>
          <w:numId w:val="457"/>
        </w:numPr>
        <w:tabs>
          <w:tab w:val="clear" w:pos="3977"/>
          <w:tab w:val="num" w:pos="709"/>
          <w:tab w:val="num" w:pos="999"/>
          <w:tab w:val="num" w:pos="2069"/>
        </w:tabs>
        <w:spacing w:before="120" w:after="120" w:line="240" w:lineRule="auto"/>
        <w:ind w:left="851" w:hanging="425"/>
        <w:jc w:val="both"/>
        <w:rPr>
          <w:rFonts w:ascii="Times New Roman" w:eastAsia="Times New Roman" w:hAnsi="Times New Roman" w:cs="Times New Roman"/>
          <w:bCs/>
        </w:rPr>
      </w:pPr>
      <w:r w:rsidRPr="00ED289C">
        <w:rPr>
          <w:rFonts w:ascii="Times New Roman" w:eastAsia="Calibri" w:hAnsi="Times New Roman" w:cs="Times New Roman"/>
        </w:rPr>
        <w:t xml:space="preserve">Az ismeret átadásában alkalmazandó további sajátos módok, jellemzők: </w:t>
      </w:r>
      <w:r w:rsidRPr="00ED289C">
        <w:rPr>
          <w:rFonts w:ascii="Times New Roman" w:eastAsia="Calibri" w:hAnsi="Times New Roman" w:cs="Times New Roman"/>
          <w:bCs/>
        </w:rPr>
        <w:t>Az ismeretek feldolgozása vegyes tanulási program (blended learning) alapján történik.</w:t>
      </w:r>
    </w:p>
    <w:p w:rsidR="00ED289C" w:rsidRPr="00ED289C" w:rsidRDefault="00ED289C" w:rsidP="00980876">
      <w:pPr>
        <w:widowControl w:val="0"/>
        <w:numPr>
          <w:ilvl w:val="0"/>
          <w:numId w:val="457"/>
        </w:numPr>
        <w:spacing w:before="120" w:after="120" w:line="240" w:lineRule="auto"/>
        <w:ind w:left="426" w:hanging="142"/>
        <w:jc w:val="both"/>
        <w:rPr>
          <w:rFonts w:ascii="Times New Roman" w:eastAsia="Times New Roman" w:hAnsi="Times New Roman" w:cs="Times New Roman"/>
          <w:bCs/>
        </w:rPr>
      </w:pPr>
      <w:r w:rsidRPr="00ED289C">
        <w:rPr>
          <w:rFonts w:ascii="Times New Roman" w:eastAsia="Times New Roman" w:hAnsi="Times New Roman" w:cs="Times New Roman"/>
          <w:b/>
          <w:bCs/>
        </w:rPr>
        <w:t>A tantárgy szakmai tartalma (magyarul):</w:t>
      </w:r>
      <w:r w:rsidRPr="00ED289C">
        <w:rPr>
          <w:rFonts w:ascii="Times New Roman" w:eastAsia="Times New Roman" w:hAnsi="Times New Roman" w:cs="Times New Roman"/>
          <w:bCs/>
        </w:rPr>
        <w:t xml:space="preserve"> A műszaki diagnosztika szerepe, jelentősége. Belsőégésű motorok általános mutatóinak ellenőrzése. Motorok megbontás nélküli vizsgálatának módszerei és eszközei. Kompresszió mérés, nyomásveszteség vizsgálata, hengerteljesítmény különbség mérése, szívócső depresszió mérés, kartergáznyomás mérése. Benzin és dízelmotorok tüzelőanyag ellátórendszereinek ellenőrzési módszerei. Gyújtóberendezés ellenőrzése. Dízelmotorok kipufogógáz vizsgálata, füstölésmérés. Motorok vizsgálata fékpadon, motorveszteségek meghatározása. Tüzelőanyag-fogyasztásmérés. Motor jelleggörbék felvétele. Gépjármű futóművek számítógépes, diagnosztikai vizsgálata és beszabályozása. Kerékkiegyensúlyozás (statikus és dinamikus kiegyensúlyozatlanság). Járművizsgálatok. Belső és külső hajtómű veszteségek meghatározása. Gépjármű kormányszerkezetek vizsgálata, beszabályozása. Hidraulikus fékberendezések ellenőrzésének és beszabályozásának módszerei. Blokkolásgátló berendezés vizsgálata. Görgős fékpadi mérések.</w:t>
      </w:r>
    </w:p>
    <w:p w:rsidR="00ED289C" w:rsidRPr="00ED289C" w:rsidRDefault="00ED289C" w:rsidP="00ED289C">
      <w:pPr>
        <w:widowControl w:val="0"/>
        <w:spacing w:before="120" w:after="120" w:line="240" w:lineRule="auto"/>
        <w:ind w:left="426"/>
        <w:jc w:val="both"/>
        <w:rPr>
          <w:rFonts w:ascii="Times New Roman" w:eastAsia="Times New Roman" w:hAnsi="Times New Roman" w:cs="Times New Roman"/>
          <w:bCs/>
          <w:lang w:val="en-GB"/>
        </w:rPr>
      </w:pPr>
      <w:r w:rsidRPr="00ED289C">
        <w:rPr>
          <w:rFonts w:ascii="Times New Roman" w:eastAsia="Times New Roman" w:hAnsi="Times New Roman" w:cs="Times New Roman"/>
          <w:b/>
          <w:bCs/>
        </w:rPr>
        <w:t>A tantárgy szakmai tartalma (angolul) (</w:t>
      </w:r>
      <w:r w:rsidRPr="00ED289C">
        <w:rPr>
          <w:rFonts w:ascii="Times New Roman" w:eastAsia="Times New Roman" w:hAnsi="Times New Roman" w:cs="Times New Roman"/>
          <w:b/>
          <w:bCs/>
          <w:lang w:val="en-US"/>
        </w:rPr>
        <w:t>Course description</w:t>
      </w:r>
      <w:r w:rsidRPr="00ED289C">
        <w:rPr>
          <w:rFonts w:ascii="Times New Roman" w:eastAsia="Times New Roman" w:hAnsi="Times New Roman" w:cs="Times New Roman"/>
          <w:b/>
          <w:bCs/>
        </w:rPr>
        <w:t xml:space="preserve">): </w:t>
      </w:r>
      <w:r w:rsidRPr="00ED289C">
        <w:rPr>
          <w:rFonts w:ascii="Times New Roman" w:eastAsia="Times New Roman" w:hAnsi="Times New Roman" w:cs="Times New Roman"/>
          <w:bCs/>
        </w:rPr>
        <w:t>The role and significance of technical diagnostics. Checking the general indicators of internal combustion engines. Methods and tools for engine diagnostics without disassembly. Compression measurement, pressure loss test, cylinder power difference measurement, intake manifold depression measurement, crankcase pressure measurement. Methods for diagnosing the fuel supply system for petrol and diesel engines. Diagnostics of ignition devices. Exhaust emissions testing of diesel engines, smoke opacity measuring. Testing engines on a dynamometer, determining engine losses. Fuel consumption measurement. Determine of motor characteristic curves. Adjustment of wheel and axle geometry with computer supported alignment machine. Wheel balancing (static and dinamic imbalance). Vehicle Diagnostics. Defining internal and external gear losses. Testing and adjustment of vehicle steering gears. Methods of controlling and adjusting hydraulic braking devices. Testing of anti-blocking equipment. Measurements with dynamometer.</w:t>
      </w:r>
    </w:p>
    <w:p w:rsidR="00ED289C" w:rsidRPr="00ED289C" w:rsidRDefault="00ED289C" w:rsidP="00980876">
      <w:pPr>
        <w:widowControl w:val="0"/>
        <w:numPr>
          <w:ilvl w:val="0"/>
          <w:numId w:val="457"/>
        </w:numPr>
        <w:spacing w:before="120" w:after="120" w:line="240" w:lineRule="auto"/>
        <w:ind w:left="426" w:hanging="142"/>
        <w:contextualSpacing/>
        <w:jc w:val="both"/>
        <w:rPr>
          <w:rFonts w:ascii="Times New Roman" w:eastAsia="Times New Roman" w:hAnsi="Times New Roman" w:cs="Times New Roman"/>
          <w:bCs/>
        </w:rPr>
      </w:pPr>
      <w:r w:rsidRPr="00ED289C">
        <w:rPr>
          <w:rFonts w:ascii="Times New Roman" w:eastAsia="Times New Roman" w:hAnsi="Times New Roman" w:cs="Times New Roman"/>
          <w:b/>
          <w:bCs/>
        </w:rPr>
        <w:lastRenderedPageBreak/>
        <w:t xml:space="preserve">Elérendő kompetenciák (magyarul): </w:t>
      </w:r>
    </w:p>
    <w:p w:rsidR="00ED289C" w:rsidRPr="00ED289C" w:rsidRDefault="00ED289C" w:rsidP="00ED289C">
      <w:pPr>
        <w:widowControl w:val="0"/>
        <w:spacing w:before="120" w:after="120" w:line="240" w:lineRule="auto"/>
        <w:ind w:left="426"/>
        <w:jc w:val="both"/>
        <w:rPr>
          <w:rFonts w:ascii="Times New Roman" w:eastAsia="Times New Roman" w:hAnsi="Times New Roman" w:cs="Times New Roman"/>
          <w:bCs/>
        </w:rPr>
      </w:pPr>
      <w:r w:rsidRPr="00ED289C">
        <w:rPr>
          <w:rFonts w:ascii="Times New Roman" w:eastAsia="Times New Roman" w:hAnsi="Times New Roman" w:cs="Times New Roman"/>
          <w:b/>
          <w:bCs/>
        </w:rPr>
        <w:t>Tudása:</w:t>
      </w:r>
    </w:p>
    <w:p w:rsidR="00ED289C" w:rsidRPr="00ED289C" w:rsidRDefault="00ED289C"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kern w:val="2"/>
        </w:rPr>
      </w:pPr>
      <w:r w:rsidRPr="00ED289C">
        <w:rPr>
          <w:rFonts w:ascii="Times New Roman" w:eastAsia="Times New Roman" w:hAnsi="Times New Roman" w:cs="Times New Roman"/>
          <w:bCs/>
        </w:rPr>
        <w:t>Ismeri a páncélos- és gépjárműtechnikai eszközök felépítését, berendezéseit, azok működését és üzemeltetési rendjét.</w:t>
      </w:r>
    </w:p>
    <w:p w:rsidR="00ED289C" w:rsidRPr="00ED289C" w:rsidRDefault="00ED289C"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kern w:val="2"/>
        </w:rPr>
      </w:pPr>
      <w:r w:rsidRPr="00ED289C">
        <w:rPr>
          <w:rFonts w:ascii="Times New Roman" w:eastAsia="Times New Roman" w:hAnsi="Times New Roman" w:cs="Times New Roman"/>
          <w:bCs/>
        </w:rPr>
        <w:t>Ismeri a páncélos- és gépjárműtechnikai eszközök szerkezeti részeinek igénybevételét. Ismeri a legújabb gépjárműtechnikai megoldásokat.</w:t>
      </w:r>
    </w:p>
    <w:p w:rsidR="00ED289C" w:rsidRPr="00ED289C" w:rsidRDefault="00ED289C"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kern w:val="2"/>
        </w:rPr>
      </w:pPr>
      <w:r w:rsidRPr="00ED289C">
        <w:rPr>
          <w:rFonts w:ascii="Times New Roman" w:eastAsia="Times New Roman" w:hAnsi="Times New Roman" w:cs="Times New Roman"/>
          <w:bCs/>
        </w:rPr>
        <w:t>Ismeri a páncélos- és gépjárműtechnikai eszközök fődarabjainak és részegységeinek karbantartását, ellenőrzését, az egyes szerelési egységek hibáinak behatárolási és javítási módjait.</w:t>
      </w:r>
    </w:p>
    <w:p w:rsidR="00ED289C" w:rsidRPr="00ED289C" w:rsidRDefault="00ED289C"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kern w:val="2"/>
        </w:rPr>
      </w:pPr>
      <w:r w:rsidRPr="00ED289C">
        <w:rPr>
          <w:rFonts w:ascii="Times New Roman" w:eastAsia="Times New Roman" w:hAnsi="Times New Roman" w:cs="Times New Roman"/>
          <w:bCs/>
        </w:rPr>
        <w:t>Megfelelő műszaki alapokkal rendelkezik, amelyek biztosítják az új ismeretek elsajátítását.</w:t>
      </w:r>
    </w:p>
    <w:p w:rsidR="00ED289C" w:rsidRPr="00ED289C" w:rsidRDefault="00ED289C" w:rsidP="00ED289C">
      <w:pPr>
        <w:widowControl w:val="0"/>
        <w:spacing w:before="120" w:after="120" w:line="240" w:lineRule="auto"/>
        <w:ind w:left="426"/>
        <w:jc w:val="both"/>
        <w:rPr>
          <w:rFonts w:ascii="Times New Roman" w:eastAsia="Times New Roman" w:hAnsi="Times New Roman" w:cs="Times New Roman"/>
          <w:bCs/>
        </w:rPr>
      </w:pPr>
      <w:r w:rsidRPr="00ED289C">
        <w:rPr>
          <w:rFonts w:ascii="Times New Roman" w:eastAsia="Times New Roman" w:hAnsi="Times New Roman" w:cs="Times New Roman"/>
          <w:b/>
          <w:bCs/>
        </w:rPr>
        <w:t>Képességei:</w:t>
      </w:r>
      <w:r w:rsidRPr="00ED289C">
        <w:rPr>
          <w:rFonts w:ascii="Times New Roman" w:eastAsia="Times New Roman" w:hAnsi="Times New Roman" w:cs="Times New Roman"/>
          <w:bCs/>
        </w:rPr>
        <w:t xml:space="preserve"> </w:t>
      </w:r>
    </w:p>
    <w:p w:rsidR="00ED289C" w:rsidRPr="00ED289C" w:rsidRDefault="00ED289C"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kern w:val="2"/>
        </w:rPr>
      </w:pPr>
      <w:r w:rsidRPr="00ED289C">
        <w:rPr>
          <w:rFonts w:ascii="Times New Roman" w:eastAsia="Times New Roman" w:hAnsi="Times New Roman" w:cs="Times New Roman"/>
          <w:bCs/>
        </w:rPr>
        <w:t>Képes a megtanultakat felhasználva a szakterületén felmerülő új műszaki információkat megérteni és megtanulni.</w:t>
      </w:r>
    </w:p>
    <w:p w:rsidR="00ED289C" w:rsidRPr="00ED289C" w:rsidRDefault="00ED289C" w:rsidP="00ED289C">
      <w:pPr>
        <w:widowControl w:val="0"/>
        <w:spacing w:before="120" w:after="120" w:line="240" w:lineRule="auto"/>
        <w:ind w:left="426"/>
        <w:jc w:val="both"/>
        <w:rPr>
          <w:rFonts w:ascii="Times New Roman" w:eastAsia="Times New Roman" w:hAnsi="Times New Roman" w:cs="Times New Roman"/>
          <w:bCs/>
        </w:rPr>
      </w:pPr>
      <w:r w:rsidRPr="00ED289C">
        <w:rPr>
          <w:rFonts w:ascii="Times New Roman" w:eastAsia="Times New Roman" w:hAnsi="Times New Roman" w:cs="Times New Roman"/>
          <w:b/>
          <w:bCs/>
        </w:rPr>
        <w:t>Attitűdje:</w:t>
      </w:r>
    </w:p>
    <w:p w:rsidR="00ED289C" w:rsidRPr="00ED289C" w:rsidRDefault="00ED289C"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rPr>
      </w:pPr>
      <w:r w:rsidRPr="00ED289C">
        <w:rPr>
          <w:rFonts w:ascii="Times New Roman" w:eastAsia="Times New Roman" w:hAnsi="Times New Roman" w:cs="Times New Roman"/>
          <w:bCs/>
        </w:rPr>
        <w:t>A minőségi szakmai munkavégzés iránt elkötelezett, azt a pontosságra való törekvés jellemzi.</w:t>
      </w:r>
    </w:p>
    <w:p w:rsidR="00ED289C" w:rsidRPr="00ED289C" w:rsidRDefault="00ED289C"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rPr>
      </w:pPr>
      <w:r w:rsidRPr="00ED289C">
        <w:rPr>
          <w:rFonts w:ascii="Times New Roman" w:eastAsia="Times New Roman" w:hAnsi="Times New Roman" w:cs="Times New Roman"/>
          <w:bCs/>
        </w:rPr>
        <w:t>Tevékenységét a hatékonyság központú szemlélet jellemzi.</w:t>
      </w:r>
    </w:p>
    <w:p w:rsidR="00ED289C" w:rsidRPr="00ED289C" w:rsidRDefault="00ED289C"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rPr>
      </w:pPr>
      <w:r w:rsidRPr="00ED289C">
        <w:rPr>
          <w:rFonts w:ascii="Times New Roman" w:eastAsia="Times New Roman" w:hAnsi="Times New Roman" w:cs="Times New Roman"/>
          <w:bCs/>
        </w:rPr>
        <w:t>Nyitott a páncélos- és gépjárműtechnikával kapcsolatos szakmai ismereteinek gyarapítása iránt, folyamatos önképzési igény jellemzi.</w:t>
      </w:r>
    </w:p>
    <w:p w:rsidR="00ED289C" w:rsidRPr="00ED289C" w:rsidRDefault="00ED289C"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rPr>
      </w:pPr>
      <w:r w:rsidRPr="00ED289C">
        <w:rPr>
          <w:rFonts w:ascii="Times New Roman" w:eastAsia="Times New Roman" w:hAnsi="Times New Roman" w:cs="Times New Roman"/>
          <w:bCs/>
        </w:rPr>
        <w:t>Törekszik munkája során a vonatkozó szabályok betartására és betartatására.</w:t>
      </w:r>
    </w:p>
    <w:p w:rsidR="00ED289C" w:rsidRPr="00ED289C" w:rsidRDefault="00ED289C" w:rsidP="00ED289C">
      <w:pPr>
        <w:widowControl w:val="0"/>
        <w:spacing w:before="120" w:after="120" w:line="240" w:lineRule="auto"/>
        <w:ind w:left="426"/>
        <w:jc w:val="both"/>
        <w:rPr>
          <w:rFonts w:ascii="Times New Roman" w:eastAsia="Times New Roman" w:hAnsi="Times New Roman" w:cs="Times New Roman"/>
          <w:bCs/>
        </w:rPr>
      </w:pPr>
      <w:r w:rsidRPr="00ED289C">
        <w:rPr>
          <w:rFonts w:ascii="Times New Roman" w:eastAsia="Times New Roman" w:hAnsi="Times New Roman" w:cs="Times New Roman"/>
          <w:b/>
          <w:bCs/>
        </w:rPr>
        <w:t>Autonómiája és felelőssége:</w:t>
      </w:r>
    </w:p>
    <w:p w:rsidR="00ED289C" w:rsidRPr="00ED289C" w:rsidRDefault="00ED289C"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
          <w:bCs/>
        </w:rPr>
      </w:pPr>
      <w:r w:rsidRPr="00ED289C">
        <w:rPr>
          <w:rFonts w:ascii="Times New Roman" w:eastAsia="Times New Roman" w:hAnsi="Times New Roman" w:cs="Times New Roman"/>
          <w:bCs/>
        </w:rPr>
        <w:t>Képes szakfeladatait önállóan végezni, saját munkáját hatékonyan megszervezni és végrehajtani.</w:t>
      </w:r>
    </w:p>
    <w:p w:rsidR="00ED289C" w:rsidRPr="00ED289C" w:rsidRDefault="00ED289C"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
          <w:bCs/>
        </w:rPr>
      </w:pPr>
      <w:r w:rsidRPr="00ED289C">
        <w:rPr>
          <w:rFonts w:ascii="Times New Roman" w:eastAsia="Times New Roman" w:hAnsi="Times New Roman" w:cs="Times New Roman"/>
          <w:bCs/>
        </w:rPr>
        <w:t>Képes alárendeltjeinek feladatait megszervezni és meghatározni, valamint elvégzett munkájukat szakmai szempontok alapján ellenőrizni.</w:t>
      </w:r>
    </w:p>
    <w:p w:rsidR="00ED289C" w:rsidRPr="00ED289C" w:rsidRDefault="00ED289C"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
          <w:bCs/>
        </w:rPr>
      </w:pPr>
      <w:r w:rsidRPr="00ED289C">
        <w:rPr>
          <w:rFonts w:ascii="Times New Roman" w:eastAsia="Times New Roman" w:hAnsi="Times New Roman" w:cs="Times New Roman"/>
          <w:bCs/>
        </w:rPr>
        <w:t>A páncélos- és gépjárműtechnikai eszközök technikai kiszolgálása és javítása során képes elemzések végrehajtása után a legmegfelelőbb döntéseket meghozni, amely döntésekért a szakmai felelősséget vállalja.</w:t>
      </w:r>
    </w:p>
    <w:p w:rsidR="00ED289C" w:rsidRPr="00ED289C" w:rsidRDefault="00ED289C"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
          <w:bCs/>
        </w:rPr>
      </w:pPr>
      <w:r w:rsidRPr="00ED289C">
        <w:rPr>
          <w:rFonts w:ascii="Times New Roman" w:eastAsia="Times New Roman" w:hAnsi="Times New Roman" w:cs="Times New Roman"/>
          <w:bCs/>
        </w:rPr>
        <w:t>Együttműködés és felelősség jellemzi szakterületének szakembereivel szemben.</w:t>
      </w:r>
    </w:p>
    <w:p w:rsidR="00ED289C" w:rsidRPr="00ED289C" w:rsidRDefault="00ED289C" w:rsidP="00ED289C">
      <w:pPr>
        <w:widowControl w:val="0"/>
        <w:spacing w:before="120" w:after="120" w:line="240" w:lineRule="auto"/>
        <w:ind w:left="426"/>
        <w:jc w:val="both"/>
        <w:rPr>
          <w:rFonts w:ascii="Times New Roman" w:eastAsia="Times New Roman" w:hAnsi="Times New Roman" w:cs="Times New Roman"/>
          <w:b/>
          <w:bCs/>
          <w:lang w:val="en-US"/>
        </w:rPr>
      </w:pPr>
      <w:r w:rsidRPr="00ED289C">
        <w:rPr>
          <w:rFonts w:ascii="Times New Roman" w:eastAsia="Times New Roman" w:hAnsi="Times New Roman" w:cs="Times New Roman"/>
          <w:b/>
          <w:bCs/>
        </w:rPr>
        <w:t>Elérendő kompetenciák (angolul) (</w:t>
      </w:r>
      <w:r w:rsidRPr="00ED289C">
        <w:rPr>
          <w:rFonts w:ascii="Times New Roman" w:eastAsia="Times New Roman" w:hAnsi="Times New Roman" w:cs="Times New Roman"/>
          <w:b/>
          <w:bCs/>
          <w:lang w:val="en-US"/>
        </w:rPr>
        <w:t xml:space="preserve">Competences – English): </w:t>
      </w:r>
    </w:p>
    <w:p w:rsidR="00ED289C" w:rsidRPr="00ED289C" w:rsidRDefault="00ED289C" w:rsidP="00ED289C">
      <w:pPr>
        <w:widowControl w:val="0"/>
        <w:spacing w:before="120" w:after="120" w:line="240" w:lineRule="auto"/>
        <w:ind w:left="426"/>
        <w:jc w:val="both"/>
        <w:rPr>
          <w:rFonts w:ascii="Times New Roman" w:eastAsia="Times New Roman" w:hAnsi="Times New Roman" w:cs="Times New Roman"/>
          <w:lang w:val="en-GB"/>
        </w:rPr>
      </w:pPr>
      <w:r w:rsidRPr="00ED289C">
        <w:rPr>
          <w:rFonts w:ascii="Times New Roman" w:eastAsia="Times New Roman" w:hAnsi="Times New Roman" w:cs="Times New Roman"/>
          <w:b/>
          <w:lang w:val="en-GB"/>
        </w:rPr>
        <w:t>Knowledge</w:t>
      </w:r>
      <w:r w:rsidRPr="00ED289C">
        <w:rPr>
          <w:rFonts w:ascii="Times New Roman" w:eastAsia="Times New Roman" w:hAnsi="Times New Roman" w:cs="Times New Roman"/>
          <w:lang w:val="en-GB"/>
        </w:rPr>
        <w:t>:</w:t>
      </w:r>
    </w:p>
    <w:p w:rsidR="00ED289C" w:rsidRPr="00ED289C" w:rsidRDefault="00ED289C"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kern w:val="2"/>
        </w:rPr>
      </w:pPr>
      <w:r w:rsidRPr="00ED289C">
        <w:rPr>
          <w:rFonts w:ascii="Times New Roman" w:eastAsia="Times New Roman" w:hAnsi="Times New Roman" w:cs="Times New Roman"/>
          <w:lang w:val="en-GB"/>
        </w:rPr>
        <w:t>Knows the structure and equipment as well as the functioning and operation of armored vehicles.</w:t>
      </w:r>
    </w:p>
    <w:p w:rsidR="00ED289C" w:rsidRPr="00ED289C" w:rsidRDefault="00ED289C"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kern w:val="2"/>
        </w:rPr>
      </w:pPr>
      <w:r w:rsidRPr="00ED289C">
        <w:rPr>
          <w:rFonts w:ascii="Times New Roman" w:eastAsia="Calibri" w:hAnsi="Times New Roman" w:cs="Times New Roman"/>
        </w:rPr>
        <w:t>Knows the usage circumstances of the structural parts of armored vehicles.</w:t>
      </w:r>
    </w:p>
    <w:p w:rsidR="00ED289C" w:rsidRPr="00ED289C" w:rsidRDefault="00ED289C"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kern w:val="2"/>
        </w:rPr>
      </w:pPr>
      <w:r w:rsidRPr="00ED289C">
        <w:rPr>
          <w:rFonts w:ascii="Times New Roman" w:eastAsia="Times New Roman" w:hAnsi="Times New Roman" w:cs="Times New Roman"/>
          <w:lang w:val="en-GB"/>
        </w:rPr>
        <w:t>Knows the latest solutions regarding armored vehicles.</w:t>
      </w:r>
    </w:p>
    <w:p w:rsidR="00ED289C" w:rsidRPr="00ED289C" w:rsidRDefault="00ED289C"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kern w:val="2"/>
        </w:rPr>
      </w:pPr>
      <w:r w:rsidRPr="00ED289C">
        <w:rPr>
          <w:rFonts w:ascii="Times New Roman" w:eastAsia="Times New Roman" w:hAnsi="Times New Roman" w:cs="Times New Roman"/>
          <w:lang w:val="en-GB"/>
        </w:rPr>
        <w:t>Knows how to maintain and control the main parts and units of armored vehicles, as well as the ways to identify and repair the defects of certain parts.</w:t>
      </w:r>
    </w:p>
    <w:p w:rsidR="00ED289C" w:rsidRPr="00ED289C" w:rsidRDefault="00ED289C"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kern w:val="2"/>
        </w:rPr>
      </w:pPr>
      <w:r w:rsidRPr="00ED289C">
        <w:rPr>
          <w:rFonts w:ascii="Times New Roman" w:eastAsia="Times New Roman" w:hAnsi="Times New Roman" w:cs="Times New Roman"/>
          <w:lang w:val="en-GB"/>
        </w:rPr>
        <w:t>Possesses adequate basic engineering knowledge which enables the acquirement of new knowledge.</w:t>
      </w:r>
    </w:p>
    <w:p w:rsidR="00ED289C" w:rsidRPr="00ED289C" w:rsidRDefault="00ED289C" w:rsidP="00ED289C">
      <w:pPr>
        <w:widowControl w:val="0"/>
        <w:spacing w:before="120" w:after="120" w:line="240" w:lineRule="auto"/>
        <w:ind w:left="426"/>
        <w:jc w:val="both"/>
        <w:rPr>
          <w:rFonts w:ascii="Times New Roman" w:eastAsia="Times New Roman" w:hAnsi="Times New Roman" w:cs="Times New Roman"/>
          <w:lang w:val="en-GB"/>
        </w:rPr>
      </w:pPr>
      <w:r w:rsidRPr="00ED289C">
        <w:rPr>
          <w:rFonts w:ascii="Times New Roman" w:eastAsia="Times New Roman" w:hAnsi="Times New Roman" w:cs="Times New Roman"/>
          <w:b/>
          <w:lang w:val="en-GB"/>
        </w:rPr>
        <w:t>Capabilities</w:t>
      </w:r>
      <w:r w:rsidRPr="00ED289C">
        <w:rPr>
          <w:rFonts w:ascii="Times New Roman" w:eastAsia="Times New Roman" w:hAnsi="Times New Roman" w:cs="Times New Roman"/>
          <w:lang w:val="en-GB"/>
        </w:rPr>
        <w:t>:</w:t>
      </w:r>
    </w:p>
    <w:p w:rsidR="00ED289C" w:rsidRPr="00ED289C" w:rsidRDefault="00ED289C"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kern w:val="2"/>
        </w:rPr>
      </w:pPr>
      <w:r w:rsidRPr="00ED289C">
        <w:rPr>
          <w:rFonts w:ascii="Times New Roman" w:eastAsia="Times New Roman" w:hAnsi="Times New Roman" w:cs="Times New Roman"/>
          <w:lang w:val="en-GB"/>
        </w:rPr>
        <w:t>Is capable of acqiring the understaning of new engineering information arising in his/her field of specialty using the already gained knowldge.</w:t>
      </w:r>
    </w:p>
    <w:p w:rsidR="00ED289C" w:rsidRPr="00ED289C" w:rsidRDefault="00ED289C" w:rsidP="00ED28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lang w:val="en-GB"/>
        </w:rPr>
      </w:pPr>
      <w:r w:rsidRPr="00ED289C">
        <w:rPr>
          <w:rFonts w:ascii="Times New Roman" w:eastAsia="Times New Roman" w:hAnsi="Times New Roman" w:cs="Times New Roman"/>
          <w:b/>
          <w:lang w:val="en-GB"/>
        </w:rPr>
        <w:t>Attitude:</w:t>
      </w:r>
    </w:p>
    <w:p w:rsidR="00ED289C" w:rsidRPr="00ED289C" w:rsidRDefault="00ED289C"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rPr>
      </w:pPr>
      <w:r w:rsidRPr="00ED289C">
        <w:rPr>
          <w:rFonts w:ascii="Times New Roman" w:eastAsia="Times New Roman" w:hAnsi="Times New Roman" w:cs="Times New Roman"/>
          <w:lang w:val="en-GB"/>
        </w:rPr>
        <w:t>He/She is committed to accuracy and high quality at work.</w:t>
      </w:r>
    </w:p>
    <w:p w:rsidR="00ED289C" w:rsidRPr="00ED289C" w:rsidRDefault="00ED289C"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rPr>
      </w:pPr>
      <w:r w:rsidRPr="00ED289C">
        <w:rPr>
          <w:rFonts w:ascii="Times New Roman" w:eastAsia="Times New Roman" w:hAnsi="Times New Roman" w:cs="Times New Roman"/>
          <w:lang w:val="en-GB"/>
        </w:rPr>
        <w:t>His/Her activities are characterized by an efficiency-oriented approach.</w:t>
      </w:r>
    </w:p>
    <w:p w:rsidR="00ED289C" w:rsidRPr="00ED289C" w:rsidRDefault="00ED289C"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rPr>
      </w:pPr>
      <w:r w:rsidRPr="00ED289C">
        <w:rPr>
          <w:rFonts w:ascii="Times New Roman" w:eastAsia="Times New Roman" w:hAnsi="Times New Roman" w:cs="Times New Roman"/>
          <w:lang w:val="en-GB"/>
        </w:rPr>
        <w:t>He/she is open to widen his/her knowledge regarding armored vehicles and has a constant need for self-education.</w:t>
      </w:r>
      <w:r w:rsidRPr="00ED289C">
        <w:rPr>
          <w:rFonts w:ascii="Calibri" w:eastAsia="Calibri" w:hAnsi="Calibri" w:cs="Times New Roman"/>
        </w:rPr>
        <w:t xml:space="preserve"> </w:t>
      </w:r>
    </w:p>
    <w:p w:rsidR="00ED289C" w:rsidRPr="00ED289C" w:rsidRDefault="00ED289C"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rPr>
      </w:pPr>
      <w:r w:rsidRPr="00ED289C">
        <w:rPr>
          <w:rFonts w:ascii="Times New Roman" w:eastAsia="Times New Roman" w:hAnsi="Times New Roman" w:cs="Times New Roman"/>
          <w:lang w:val="en-GB"/>
        </w:rPr>
        <w:t>He/she aims to adhere to the respective rules and make others follow them as well.</w:t>
      </w:r>
    </w:p>
    <w:p w:rsidR="00ED289C" w:rsidRPr="00ED289C" w:rsidRDefault="00ED289C" w:rsidP="00ED289C">
      <w:pPr>
        <w:widowControl w:val="0"/>
        <w:spacing w:before="120" w:after="120" w:line="240" w:lineRule="auto"/>
        <w:ind w:left="426"/>
        <w:jc w:val="both"/>
        <w:rPr>
          <w:rFonts w:ascii="Times New Roman" w:eastAsia="Times New Roman" w:hAnsi="Times New Roman" w:cs="Times New Roman"/>
          <w:b/>
          <w:lang w:val="en-GB"/>
        </w:rPr>
      </w:pPr>
      <w:r w:rsidRPr="00ED289C">
        <w:rPr>
          <w:rFonts w:ascii="Times New Roman" w:eastAsia="Times New Roman" w:hAnsi="Times New Roman" w:cs="Times New Roman"/>
          <w:b/>
          <w:lang w:val="en-GB"/>
        </w:rPr>
        <w:t>Autonomy and responsibility:</w:t>
      </w:r>
    </w:p>
    <w:p w:rsidR="00ED289C" w:rsidRPr="00ED289C" w:rsidRDefault="00ED289C"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kern w:val="2"/>
        </w:rPr>
      </w:pPr>
      <w:r w:rsidRPr="00ED289C">
        <w:rPr>
          <w:rFonts w:ascii="Times New Roman" w:eastAsia="Times New Roman" w:hAnsi="Times New Roman" w:cs="Times New Roman"/>
          <w:bCs/>
        </w:rPr>
        <w:t>Is capable of independently fulfilling his/her professional tasks as well as effectively organizing and executing his/her own work.</w:t>
      </w:r>
    </w:p>
    <w:p w:rsidR="00ED289C" w:rsidRPr="00ED289C" w:rsidRDefault="00ED289C"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kern w:val="2"/>
        </w:rPr>
      </w:pPr>
      <w:r w:rsidRPr="00ED289C">
        <w:rPr>
          <w:rFonts w:ascii="Times New Roman" w:eastAsia="Times New Roman" w:hAnsi="Times New Roman" w:cs="Times New Roman"/>
          <w:bCs/>
        </w:rPr>
        <w:lastRenderedPageBreak/>
        <w:t>Is capable of organizing and determining the tasks of his/her subordinates as well as controlling their work based on professional aspects.</w:t>
      </w:r>
    </w:p>
    <w:p w:rsidR="00ED289C" w:rsidRPr="00ED289C" w:rsidRDefault="00ED289C"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kern w:val="2"/>
        </w:rPr>
      </w:pPr>
      <w:r w:rsidRPr="00ED289C">
        <w:rPr>
          <w:rFonts w:ascii="Times New Roman" w:eastAsia="Times New Roman" w:hAnsi="Times New Roman" w:cs="Times New Roman"/>
          <w:bCs/>
        </w:rPr>
        <w:t>After doing proper analysation, he/she is capable of making the best decisions and taking professional responsibility during the technical maintenance and repairing of the armored vehicles.</w:t>
      </w:r>
    </w:p>
    <w:p w:rsidR="00ED289C" w:rsidRPr="00ED289C" w:rsidRDefault="00ED289C"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kern w:val="2"/>
        </w:rPr>
      </w:pPr>
      <w:r w:rsidRPr="00ED289C">
        <w:rPr>
          <w:rFonts w:ascii="Times New Roman" w:eastAsia="Times New Roman" w:hAnsi="Times New Roman" w:cs="Times New Roman"/>
          <w:bCs/>
        </w:rPr>
        <w:t>He/she is cooperative and responsible towards the professionals of his/her field.</w:t>
      </w:r>
    </w:p>
    <w:p w:rsidR="00ED289C" w:rsidRPr="00ED289C" w:rsidRDefault="00ED289C" w:rsidP="00ED289C">
      <w:pPr>
        <w:widowControl w:val="0"/>
        <w:spacing w:before="120" w:after="120" w:line="240" w:lineRule="auto"/>
        <w:ind w:left="426"/>
        <w:jc w:val="both"/>
        <w:rPr>
          <w:rFonts w:ascii="Times New Roman" w:eastAsia="Times New Roman" w:hAnsi="Times New Roman" w:cs="Times New Roman"/>
          <w:lang w:val="en-GB"/>
        </w:rPr>
      </w:pPr>
    </w:p>
    <w:p w:rsidR="00ED289C" w:rsidRPr="00ED289C" w:rsidRDefault="00ED289C" w:rsidP="00980876">
      <w:pPr>
        <w:widowControl w:val="0"/>
        <w:numPr>
          <w:ilvl w:val="0"/>
          <w:numId w:val="457"/>
        </w:numPr>
        <w:tabs>
          <w:tab w:val="num" w:pos="567"/>
        </w:tabs>
        <w:spacing w:before="120" w:after="120" w:line="240" w:lineRule="auto"/>
        <w:ind w:left="426" w:hanging="142"/>
        <w:jc w:val="both"/>
        <w:rPr>
          <w:rFonts w:ascii="Times New Roman" w:eastAsia="Times New Roman" w:hAnsi="Times New Roman" w:cs="Times New Roman"/>
          <w:bCs/>
          <w:i/>
        </w:rPr>
      </w:pPr>
      <w:r w:rsidRPr="00ED289C">
        <w:rPr>
          <w:rFonts w:ascii="Times New Roman" w:eastAsia="Times New Roman" w:hAnsi="Times New Roman" w:cs="Times New Roman"/>
          <w:b/>
          <w:bCs/>
        </w:rPr>
        <w:t xml:space="preserve">Előtanulmányi követelmények: </w:t>
      </w:r>
      <w:r w:rsidRPr="00ED289C">
        <w:rPr>
          <w:rFonts w:ascii="Times New Roman" w:eastAsia="Times New Roman" w:hAnsi="Times New Roman" w:cs="Times New Roman"/>
          <w:bCs/>
        </w:rPr>
        <w:t>-</w:t>
      </w:r>
    </w:p>
    <w:p w:rsidR="00ED289C" w:rsidRPr="00ED289C" w:rsidRDefault="00ED289C" w:rsidP="00980876">
      <w:pPr>
        <w:widowControl w:val="0"/>
        <w:numPr>
          <w:ilvl w:val="0"/>
          <w:numId w:val="457"/>
        </w:numPr>
        <w:spacing w:before="120" w:after="120" w:line="240" w:lineRule="auto"/>
        <w:ind w:left="426" w:hanging="142"/>
        <w:jc w:val="both"/>
        <w:rPr>
          <w:rFonts w:ascii="Times New Roman" w:eastAsia="Times New Roman" w:hAnsi="Times New Roman" w:cs="Times New Roman"/>
          <w:b/>
          <w:bCs/>
        </w:rPr>
      </w:pPr>
      <w:r w:rsidRPr="00ED289C">
        <w:rPr>
          <w:rFonts w:ascii="Times New Roman" w:eastAsia="Times New Roman" w:hAnsi="Times New Roman" w:cs="Times New Roman"/>
          <w:b/>
          <w:bCs/>
        </w:rPr>
        <w:t>A tantárgy tananyagának leírása, tematika. Description of the subject, curriculum (magyarul, angolul - English):</w:t>
      </w:r>
    </w:p>
    <w:p w:rsidR="00ED289C" w:rsidRPr="00ED289C" w:rsidRDefault="00ED289C" w:rsidP="00980876">
      <w:pPr>
        <w:widowControl w:val="0"/>
        <w:numPr>
          <w:ilvl w:val="1"/>
          <w:numId w:val="457"/>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b/>
        </w:rPr>
      </w:pPr>
      <w:r w:rsidRPr="00ED289C">
        <w:rPr>
          <w:rFonts w:ascii="Times New Roman" w:eastAsia="Calibri" w:hAnsi="Times New Roman" w:cs="Times New Roman"/>
          <w:bCs/>
        </w:rPr>
        <w:t xml:space="preserve">A műszaki diagnosztika szerepe, jelentősége. ON-BOARD, Off-BOARD diagnosztika. </w:t>
      </w:r>
      <w:r w:rsidRPr="00ED289C">
        <w:rPr>
          <w:rFonts w:ascii="Times New Roman" w:eastAsia="Calibri" w:hAnsi="Times New Roman" w:cs="Times New Roman"/>
          <w:bCs/>
          <w:i/>
          <w:iCs/>
        </w:rPr>
        <w:t>(Role of the diagnostics ON-BOARD, Off-BOARD diagnostics.)</w:t>
      </w:r>
    </w:p>
    <w:p w:rsidR="00ED289C" w:rsidRPr="00ED289C" w:rsidRDefault="00ED289C" w:rsidP="00980876">
      <w:pPr>
        <w:widowControl w:val="0"/>
        <w:numPr>
          <w:ilvl w:val="1"/>
          <w:numId w:val="457"/>
        </w:numPr>
        <w:tabs>
          <w:tab w:val="clear" w:pos="3977"/>
          <w:tab w:val="left" w:pos="709"/>
          <w:tab w:val="left" w:pos="993"/>
          <w:tab w:val="num" w:pos="2069"/>
        </w:tabs>
        <w:spacing w:before="120" w:after="120"/>
        <w:ind w:left="993" w:hanging="567"/>
        <w:rPr>
          <w:rFonts w:ascii="Times New Roman" w:eastAsia="Times New Roman" w:hAnsi="Times New Roman" w:cs="Times New Roman"/>
        </w:rPr>
      </w:pPr>
      <w:r w:rsidRPr="00ED289C">
        <w:rPr>
          <w:rFonts w:ascii="Times New Roman" w:eastAsia="Times New Roman" w:hAnsi="Times New Roman" w:cs="Times New Roman"/>
        </w:rPr>
        <w:t xml:space="preserve">Belsőégésű motorok általános mutatóinak ellenőrzése. </w:t>
      </w:r>
      <w:r w:rsidRPr="00ED289C">
        <w:rPr>
          <w:rFonts w:ascii="Times New Roman" w:eastAsia="Times New Roman" w:hAnsi="Times New Roman" w:cs="Times New Roman"/>
          <w:i/>
          <w:iCs/>
        </w:rPr>
        <w:t>(Checking the general indicators of internal combustion engines.)</w:t>
      </w:r>
    </w:p>
    <w:p w:rsidR="00ED289C" w:rsidRPr="00ED289C" w:rsidRDefault="00ED289C" w:rsidP="00980876">
      <w:pPr>
        <w:widowControl w:val="0"/>
        <w:numPr>
          <w:ilvl w:val="1"/>
          <w:numId w:val="457"/>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b/>
        </w:rPr>
      </w:pPr>
      <w:r w:rsidRPr="00ED289C">
        <w:rPr>
          <w:rFonts w:ascii="Times New Roman" w:eastAsia="Calibri" w:hAnsi="Times New Roman" w:cs="Times New Roman"/>
          <w:bCs/>
        </w:rPr>
        <w:t xml:space="preserve">Motorok megbontás nélküli vizsgálatának módszerei és eszközei. </w:t>
      </w:r>
      <w:r w:rsidRPr="00ED289C">
        <w:rPr>
          <w:rFonts w:ascii="Times New Roman" w:eastAsia="Calibri" w:hAnsi="Times New Roman" w:cs="Times New Roman"/>
          <w:bCs/>
          <w:i/>
          <w:iCs/>
        </w:rPr>
        <w:t>(Methods and tools for engine diagnostics without disassembly.)</w:t>
      </w:r>
    </w:p>
    <w:p w:rsidR="00ED289C" w:rsidRPr="00ED289C" w:rsidRDefault="00ED289C" w:rsidP="00980876">
      <w:pPr>
        <w:widowControl w:val="0"/>
        <w:numPr>
          <w:ilvl w:val="1"/>
          <w:numId w:val="457"/>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b/>
        </w:rPr>
      </w:pPr>
      <w:r w:rsidRPr="00ED289C">
        <w:rPr>
          <w:rFonts w:ascii="Times New Roman" w:eastAsia="Times New Roman" w:hAnsi="Times New Roman" w:cs="Times New Roman"/>
          <w:bCs/>
          <w:sz w:val="24"/>
          <w:szCs w:val="24"/>
          <w:lang w:eastAsia="hu-HU"/>
        </w:rPr>
        <w:t xml:space="preserve">Benzin és dízelmotorok tüzelőanyag ellátórendszereinek ellenőrzési módszerei. </w:t>
      </w:r>
      <w:r w:rsidRPr="00ED289C">
        <w:rPr>
          <w:rFonts w:ascii="Times New Roman" w:eastAsia="Times New Roman" w:hAnsi="Times New Roman" w:cs="Times New Roman"/>
          <w:bCs/>
          <w:i/>
          <w:iCs/>
          <w:sz w:val="24"/>
          <w:szCs w:val="24"/>
          <w:lang w:eastAsia="hu-HU"/>
        </w:rPr>
        <w:t>(Methods and tools for diagnosing the fuel supply system for petrol and diesel engines.)</w:t>
      </w:r>
    </w:p>
    <w:p w:rsidR="00ED289C" w:rsidRPr="00ED289C" w:rsidRDefault="00ED289C" w:rsidP="00980876">
      <w:pPr>
        <w:widowControl w:val="0"/>
        <w:numPr>
          <w:ilvl w:val="1"/>
          <w:numId w:val="457"/>
        </w:numPr>
        <w:tabs>
          <w:tab w:val="clear" w:pos="3977"/>
          <w:tab w:val="left" w:pos="709"/>
          <w:tab w:val="left" w:pos="993"/>
          <w:tab w:val="num" w:pos="2069"/>
        </w:tabs>
        <w:spacing w:before="120" w:after="120" w:line="240" w:lineRule="auto"/>
        <w:ind w:left="993" w:hanging="567"/>
        <w:jc w:val="both"/>
        <w:rPr>
          <w:rFonts w:ascii="Times New Roman" w:eastAsia="Calibri" w:hAnsi="Times New Roman" w:cs="Times New Roman"/>
          <w:bCs/>
        </w:rPr>
      </w:pPr>
      <w:r w:rsidRPr="00ED289C">
        <w:rPr>
          <w:rFonts w:ascii="Times New Roman" w:eastAsia="Calibri" w:hAnsi="Times New Roman" w:cs="Times New Roman"/>
          <w:bCs/>
        </w:rPr>
        <w:t xml:space="preserve">Gyújtóberendezés ellenőrzése. </w:t>
      </w:r>
      <w:r w:rsidRPr="00ED289C">
        <w:rPr>
          <w:rFonts w:ascii="Times New Roman" w:eastAsia="Calibri" w:hAnsi="Times New Roman" w:cs="Times New Roman"/>
          <w:bCs/>
          <w:i/>
          <w:iCs/>
        </w:rPr>
        <w:t>(Diagnostics of ignition devices.)</w:t>
      </w:r>
    </w:p>
    <w:p w:rsidR="00ED289C" w:rsidRPr="00ED289C" w:rsidRDefault="00ED289C" w:rsidP="00980876">
      <w:pPr>
        <w:widowControl w:val="0"/>
        <w:numPr>
          <w:ilvl w:val="1"/>
          <w:numId w:val="457"/>
        </w:numPr>
        <w:tabs>
          <w:tab w:val="clear" w:pos="3977"/>
          <w:tab w:val="left" w:pos="709"/>
          <w:tab w:val="left" w:pos="993"/>
          <w:tab w:val="num" w:pos="2069"/>
        </w:tabs>
        <w:spacing w:before="120" w:after="120" w:line="240" w:lineRule="auto"/>
        <w:ind w:left="993" w:hanging="567"/>
        <w:jc w:val="both"/>
        <w:rPr>
          <w:rFonts w:ascii="Times New Roman" w:eastAsia="Calibri" w:hAnsi="Times New Roman" w:cs="Times New Roman"/>
          <w:bCs/>
        </w:rPr>
      </w:pPr>
      <w:r w:rsidRPr="00ED289C">
        <w:rPr>
          <w:rFonts w:ascii="Times New Roman" w:eastAsia="Calibri" w:hAnsi="Times New Roman" w:cs="Times New Roman"/>
          <w:bCs/>
        </w:rPr>
        <w:t xml:space="preserve">Füstölésmérés. </w:t>
      </w:r>
      <w:r w:rsidRPr="00ED289C">
        <w:rPr>
          <w:rFonts w:ascii="Times New Roman" w:eastAsia="Calibri" w:hAnsi="Times New Roman" w:cs="Times New Roman"/>
          <w:bCs/>
          <w:i/>
          <w:iCs/>
        </w:rPr>
        <w:t>(Smoke opacity measuring.)</w:t>
      </w:r>
    </w:p>
    <w:p w:rsidR="00ED289C" w:rsidRPr="00ED289C" w:rsidRDefault="00ED289C" w:rsidP="00980876">
      <w:pPr>
        <w:widowControl w:val="0"/>
        <w:numPr>
          <w:ilvl w:val="1"/>
          <w:numId w:val="457"/>
        </w:numPr>
        <w:tabs>
          <w:tab w:val="clear" w:pos="3977"/>
          <w:tab w:val="left" w:pos="709"/>
          <w:tab w:val="left" w:pos="993"/>
          <w:tab w:val="num" w:pos="2069"/>
        </w:tabs>
        <w:spacing w:before="120" w:after="120" w:line="240" w:lineRule="auto"/>
        <w:ind w:left="993" w:hanging="567"/>
        <w:jc w:val="both"/>
        <w:rPr>
          <w:rFonts w:ascii="Times New Roman" w:eastAsia="Calibri" w:hAnsi="Times New Roman" w:cs="Times New Roman"/>
          <w:bCs/>
        </w:rPr>
      </w:pPr>
      <w:r w:rsidRPr="00ED289C">
        <w:rPr>
          <w:rFonts w:ascii="Times New Roman" w:eastAsia="Calibri" w:hAnsi="Times New Roman" w:cs="Times New Roman"/>
          <w:bCs/>
        </w:rPr>
        <w:t xml:space="preserve">Motorok vizsgálata fékpadon, motorveszteségek meghatározása. </w:t>
      </w:r>
      <w:r w:rsidRPr="00ED289C">
        <w:rPr>
          <w:rFonts w:ascii="Times New Roman" w:eastAsia="Calibri" w:hAnsi="Times New Roman" w:cs="Times New Roman"/>
          <w:bCs/>
          <w:i/>
          <w:iCs/>
        </w:rPr>
        <w:t>(Testing engines on a dynamometer, determining engine losses.)</w:t>
      </w:r>
    </w:p>
    <w:p w:rsidR="00ED289C" w:rsidRPr="00ED289C" w:rsidRDefault="00ED289C" w:rsidP="00980876">
      <w:pPr>
        <w:widowControl w:val="0"/>
        <w:numPr>
          <w:ilvl w:val="1"/>
          <w:numId w:val="457"/>
        </w:numPr>
        <w:tabs>
          <w:tab w:val="clear" w:pos="3977"/>
          <w:tab w:val="left" w:pos="709"/>
          <w:tab w:val="left" w:pos="993"/>
          <w:tab w:val="num" w:pos="2069"/>
        </w:tabs>
        <w:spacing w:before="120" w:after="120" w:line="240" w:lineRule="auto"/>
        <w:ind w:left="993" w:hanging="567"/>
        <w:jc w:val="both"/>
        <w:rPr>
          <w:rFonts w:ascii="Times New Roman" w:eastAsia="Calibri" w:hAnsi="Times New Roman" w:cs="Times New Roman"/>
          <w:bCs/>
        </w:rPr>
      </w:pPr>
      <w:r w:rsidRPr="00ED289C">
        <w:rPr>
          <w:rFonts w:ascii="Times New Roman" w:eastAsia="Calibri" w:hAnsi="Times New Roman" w:cs="Times New Roman"/>
          <w:bCs/>
        </w:rPr>
        <w:t xml:space="preserve">Tüzelőanyag-fogyasztásmérés. </w:t>
      </w:r>
      <w:r w:rsidRPr="00ED289C">
        <w:rPr>
          <w:rFonts w:ascii="Times New Roman" w:eastAsia="Calibri" w:hAnsi="Times New Roman" w:cs="Times New Roman"/>
          <w:bCs/>
          <w:i/>
          <w:iCs/>
        </w:rPr>
        <w:t>(Fuel consumption measurement.)</w:t>
      </w:r>
    </w:p>
    <w:p w:rsidR="00ED289C" w:rsidRPr="00ED289C" w:rsidRDefault="00ED289C" w:rsidP="00980876">
      <w:pPr>
        <w:widowControl w:val="0"/>
        <w:numPr>
          <w:ilvl w:val="1"/>
          <w:numId w:val="457"/>
        </w:numPr>
        <w:tabs>
          <w:tab w:val="clear" w:pos="3977"/>
          <w:tab w:val="left" w:pos="709"/>
          <w:tab w:val="left" w:pos="993"/>
          <w:tab w:val="num" w:pos="2069"/>
        </w:tabs>
        <w:spacing w:before="120" w:after="120" w:line="240" w:lineRule="auto"/>
        <w:ind w:left="993" w:hanging="567"/>
        <w:jc w:val="both"/>
        <w:rPr>
          <w:rFonts w:ascii="Times New Roman" w:eastAsia="Calibri" w:hAnsi="Times New Roman" w:cs="Times New Roman"/>
          <w:bCs/>
        </w:rPr>
      </w:pPr>
      <w:r w:rsidRPr="00ED289C">
        <w:rPr>
          <w:rFonts w:ascii="Times New Roman" w:eastAsia="Calibri" w:hAnsi="Times New Roman" w:cs="Times New Roman"/>
          <w:bCs/>
        </w:rPr>
        <w:t xml:space="preserve">Motor jelleggörbék felvétele. </w:t>
      </w:r>
      <w:r w:rsidRPr="00ED289C">
        <w:rPr>
          <w:rFonts w:ascii="Times New Roman" w:eastAsia="Calibri" w:hAnsi="Times New Roman" w:cs="Times New Roman"/>
          <w:bCs/>
          <w:i/>
          <w:iCs/>
        </w:rPr>
        <w:t>(Determine of motor characteristic curves.)</w:t>
      </w:r>
    </w:p>
    <w:p w:rsidR="00ED289C" w:rsidRPr="00ED289C" w:rsidRDefault="00ED289C" w:rsidP="00980876">
      <w:pPr>
        <w:widowControl w:val="0"/>
        <w:numPr>
          <w:ilvl w:val="1"/>
          <w:numId w:val="457"/>
        </w:numPr>
        <w:tabs>
          <w:tab w:val="clear" w:pos="3977"/>
          <w:tab w:val="left" w:pos="709"/>
          <w:tab w:val="left" w:pos="993"/>
          <w:tab w:val="num" w:pos="2069"/>
        </w:tabs>
        <w:spacing w:before="120" w:after="120" w:line="240" w:lineRule="auto"/>
        <w:ind w:left="993" w:hanging="567"/>
        <w:jc w:val="both"/>
        <w:rPr>
          <w:rFonts w:ascii="Times New Roman" w:eastAsia="Calibri" w:hAnsi="Times New Roman" w:cs="Times New Roman"/>
          <w:bCs/>
        </w:rPr>
      </w:pPr>
      <w:r w:rsidRPr="00ED289C">
        <w:rPr>
          <w:rFonts w:ascii="Times New Roman" w:eastAsia="Calibri" w:hAnsi="Times New Roman" w:cs="Times New Roman"/>
          <w:bCs/>
        </w:rPr>
        <w:t xml:space="preserve">Gépjármű futóművek számítógépes, diagnosztikai vizsgálata és beszabályozása. </w:t>
      </w:r>
      <w:r w:rsidRPr="00ED289C">
        <w:rPr>
          <w:rFonts w:ascii="Times New Roman" w:eastAsia="Calibri" w:hAnsi="Times New Roman" w:cs="Times New Roman"/>
          <w:bCs/>
          <w:i/>
          <w:iCs/>
        </w:rPr>
        <w:t>(Adjustment of wheel and axle geometry with computer supported alignment machine.)</w:t>
      </w:r>
    </w:p>
    <w:p w:rsidR="00ED289C" w:rsidRPr="00ED289C" w:rsidRDefault="00ED289C" w:rsidP="00980876">
      <w:pPr>
        <w:widowControl w:val="0"/>
        <w:numPr>
          <w:ilvl w:val="1"/>
          <w:numId w:val="457"/>
        </w:numPr>
        <w:tabs>
          <w:tab w:val="clear" w:pos="3977"/>
          <w:tab w:val="left" w:pos="709"/>
          <w:tab w:val="left" w:pos="993"/>
          <w:tab w:val="num" w:pos="2069"/>
        </w:tabs>
        <w:spacing w:before="120" w:after="120" w:line="240" w:lineRule="auto"/>
        <w:ind w:left="993" w:hanging="567"/>
        <w:jc w:val="both"/>
        <w:rPr>
          <w:rFonts w:ascii="Times New Roman" w:eastAsia="Calibri" w:hAnsi="Times New Roman" w:cs="Times New Roman"/>
          <w:bCs/>
        </w:rPr>
      </w:pPr>
      <w:r w:rsidRPr="00ED289C">
        <w:rPr>
          <w:rFonts w:ascii="Times New Roman" w:eastAsia="Calibri" w:hAnsi="Times New Roman" w:cs="Times New Roman"/>
          <w:bCs/>
        </w:rPr>
        <w:t xml:space="preserve">Járművizsgálatok. Belső és külső hajtómű veszteségek meghatározása. </w:t>
      </w:r>
      <w:r w:rsidRPr="00ED289C">
        <w:rPr>
          <w:rFonts w:ascii="Times New Roman" w:eastAsia="Calibri" w:hAnsi="Times New Roman" w:cs="Times New Roman"/>
          <w:bCs/>
          <w:i/>
          <w:iCs/>
        </w:rPr>
        <w:t>(Vehicle Diagnostics. Defining internal and external gear losses.)</w:t>
      </w:r>
    </w:p>
    <w:p w:rsidR="00ED289C" w:rsidRPr="00ED289C" w:rsidRDefault="00ED289C" w:rsidP="00980876">
      <w:pPr>
        <w:widowControl w:val="0"/>
        <w:numPr>
          <w:ilvl w:val="1"/>
          <w:numId w:val="457"/>
        </w:numPr>
        <w:tabs>
          <w:tab w:val="clear" w:pos="3977"/>
          <w:tab w:val="left" w:pos="709"/>
          <w:tab w:val="left" w:pos="993"/>
          <w:tab w:val="num" w:pos="2069"/>
        </w:tabs>
        <w:spacing w:before="120" w:after="120" w:line="240" w:lineRule="auto"/>
        <w:ind w:left="993" w:hanging="567"/>
        <w:jc w:val="both"/>
        <w:rPr>
          <w:rFonts w:ascii="Times New Roman" w:eastAsia="Calibri" w:hAnsi="Times New Roman" w:cs="Times New Roman"/>
          <w:bCs/>
        </w:rPr>
      </w:pPr>
      <w:r w:rsidRPr="00ED289C">
        <w:rPr>
          <w:rFonts w:ascii="Times New Roman" w:eastAsia="Calibri" w:hAnsi="Times New Roman" w:cs="Times New Roman"/>
          <w:bCs/>
        </w:rPr>
        <w:t xml:space="preserve">Gépjármű kormányszerkezetek vizsgálata, beszabályozása. </w:t>
      </w:r>
      <w:r w:rsidRPr="00ED289C">
        <w:rPr>
          <w:rFonts w:ascii="Times New Roman" w:eastAsia="Calibri" w:hAnsi="Times New Roman" w:cs="Times New Roman"/>
          <w:bCs/>
          <w:i/>
          <w:iCs/>
        </w:rPr>
        <w:t>(Testing and adjustment of vehicle steering gears.)</w:t>
      </w:r>
    </w:p>
    <w:p w:rsidR="00ED289C" w:rsidRPr="00ED289C" w:rsidRDefault="00ED289C" w:rsidP="00980876">
      <w:pPr>
        <w:widowControl w:val="0"/>
        <w:numPr>
          <w:ilvl w:val="1"/>
          <w:numId w:val="457"/>
        </w:numPr>
        <w:tabs>
          <w:tab w:val="clear" w:pos="3977"/>
          <w:tab w:val="left" w:pos="709"/>
          <w:tab w:val="left" w:pos="993"/>
          <w:tab w:val="num" w:pos="2069"/>
        </w:tabs>
        <w:spacing w:before="120" w:after="120" w:line="240" w:lineRule="auto"/>
        <w:ind w:left="993" w:hanging="567"/>
        <w:jc w:val="both"/>
        <w:rPr>
          <w:rFonts w:ascii="Times New Roman" w:eastAsia="Calibri" w:hAnsi="Times New Roman" w:cs="Times New Roman"/>
          <w:bCs/>
        </w:rPr>
      </w:pPr>
      <w:r w:rsidRPr="00ED289C">
        <w:rPr>
          <w:rFonts w:ascii="Times New Roman" w:eastAsia="Calibri" w:hAnsi="Times New Roman" w:cs="Times New Roman"/>
          <w:bCs/>
        </w:rPr>
        <w:t xml:space="preserve"> Hidraulikus fékberendezések ellenőrzésének és beszabályozásának módszerei, eszközei. </w:t>
      </w:r>
      <w:r w:rsidRPr="00ED289C">
        <w:rPr>
          <w:rFonts w:ascii="Times New Roman" w:eastAsia="Calibri" w:hAnsi="Times New Roman" w:cs="Times New Roman"/>
          <w:bCs/>
          <w:i/>
          <w:iCs/>
        </w:rPr>
        <w:t>(Methods and devices of controlling and adjusting hydraulic braking devices.)</w:t>
      </w:r>
    </w:p>
    <w:p w:rsidR="00ED289C" w:rsidRPr="00ED289C" w:rsidRDefault="00ED289C" w:rsidP="00980876">
      <w:pPr>
        <w:widowControl w:val="0"/>
        <w:numPr>
          <w:ilvl w:val="1"/>
          <w:numId w:val="457"/>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b/>
        </w:rPr>
      </w:pPr>
      <w:r w:rsidRPr="00ED289C">
        <w:rPr>
          <w:rFonts w:ascii="Times New Roman" w:eastAsia="Calibri" w:hAnsi="Times New Roman" w:cs="Times New Roman"/>
          <w:bCs/>
        </w:rPr>
        <w:t xml:space="preserve"> Görgős fékpadi mérések módjai és végrehajtása. </w:t>
      </w:r>
      <w:r w:rsidRPr="00ED289C">
        <w:rPr>
          <w:rFonts w:ascii="Times New Roman" w:eastAsia="Calibri" w:hAnsi="Times New Roman" w:cs="Times New Roman"/>
          <w:bCs/>
          <w:i/>
          <w:iCs/>
        </w:rPr>
        <w:t>(Measurements with dynamometer.)</w:t>
      </w:r>
    </w:p>
    <w:p w:rsidR="00ED289C" w:rsidRPr="00ED289C" w:rsidRDefault="00ED289C" w:rsidP="00980876">
      <w:pPr>
        <w:widowControl w:val="0"/>
        <w:numPr>
          <w:ilvl w:val="0"/>
          <w:numId w:val="457"/>
        </w:numPr>
        <w:tabs>
          <w:tab w:val="num" w:pos="360"/>
        </w:tabs>
        <w:spacing w:before="120" w:after="120" w:line="240" w:lineRule="auto"/>
        <w:ind w:left="426" w:hanging="142"/>
        <w:jc w:val="both"/>
        <w:rPr>
          <w:rFonts w:ascii="Times New Roman" w:eastAsia="Times New Roman" w:hAnsi="Times New Roman" w:cs="Times New Roman"/>
          <w:bCs/>
        </w:rPr>
      </w:pPr>
      <w:r w:rsidRPr="00ED289C">
        <w:rPr>
          <w:rFonts w:ascii="Times New Roman" w:eastAsia="Times New Roman" w:hAnsi="Times New Roman" w:cs="Times New Roman"/>
          <w:b/>
          <w:bCs/>
        </w:rPr>
        <w:t xml:space="preserve">A tantárgy meghirdetésének gyakorisága/a tantervben történő félévi elhelyezkedése: </w:t>
      </w:r>
      <w:r w:rsidRPr="00ED289C">
        <w:rPr>
          <w:rFonts w:ascii="Times New Roman" w:eastAsia="Times New Roman" w:hAnsi="Times New Roman" w:cs="Times New Roman"/>
          <w:bCs/>
        </w:rPr>
        <w:t>8. félév</w:t>
      </w:r>
    </w:p>
    <w:p w:rsidR="00ED289C" w:rsidRPr="00ED289C" w:rsidRDefault="00ED289C" w:rsidP="00980876">
      <w:pPr>
        <w:widowControl w:val="0"/>
        <w:numPr>
          <w:ilvl w:val="0"/>
          <w:numId w:val="457"/>
        </w:numPr>
        <w:tabs>
          <w:tab w:val="num" w:pos="360"/>
        </w:tabs>
        <w:spacing w:before="120" w:after="120" w:line="240" w:lineRule="auto"/>
        <w:ind w:left="426" w:hanging="142"/>
        <w:jc w:val="both"/>
        <w:rPr>
          <w:rFonts w:ascii="Times New Roman" w:eastAsia="Times New Roman" w:hAnsi="Times New Roman" w:cs="Times New Roman"/>
          <w:bCs/>
        </w:rPr>
      </w:pPr>
      <w:r w:rsidRPr="00ED289C">
        <w:rPr>
          <w:rFonts w:ascii="Times New Roman" w:eastAsia="Times New Roman" w:hAnsi="Times New Roman" w:cs="Times New Roman"/>
          <w:b/>
          <w:bCs/>
        </w:rPr>
        <w:t>A tanórákon való részvétel követelményei, az elfogadható hiányzások mértéke, a távolmaradás pótlásának lehetősége:</w:t>
      </w:r>
      <w:r w:rsidRPr="00ED289C">
        <w:rPr>
          <w:rFonts w:ascii="Times New Roman" w:eastAsia="Times New Roman" w:hAnsi="Times New Roman" w:cs="Times New Roman"/>
          <w:bCs/>
        </w:rPr>
        <w:t xml:space="preserve"> A tanórákat csak a kurzusra eredményesen jelentkezett hallgatók látogathatják. Az aláírás megszerzésének szempontjából az elfogadható hiányzás mértéke nem haladhatja meg a tanórák 30%-át, ellenkező esetben az aláírást meg kell tagadni. A hiányzás pótolható az oktató által kijelölt témakörben beadott, legalább elégségesre értékelt házidolgozattal. Az aláírás pótlása a TVSZ-ben megfogalmazott módon lehetséges.</w:t>
      </w:r>
    </w:p>
    <w:p w:rsidR="00ED289C" w:rsidRPr="00ED289C" w:rsidRDefault="00ED289C" w:rsidP="00980876">
      <w:pPr>
        <w:widowControl w:val="0"/>
        <w:numPr>
          <w:ilvl w:val="0"/>
          <w:numId w:val="457"/>
        </w:numPr>
        <w:tabs>
          <w:tab w:val="num" w:pos="360"/>
        </w:tabs>
        <w:spacing w:before="120" w:after="120" w:line="240" w:lineRule="auto"/>
        <w:ind w:left="426" w:hanging="142"/>
        <w:jc w:val="both"/>
        <w:rPr>
          <w:rFonts w:ascii="Times New Roman" w:eastAsia="Times New Roman" w:hAnsi="Times New Roman" w:cs="Times New Roman"/>
          <w:bCs/>
        </w:rPr>
      </w:pPr>
      <w:r w:rsidRPr="00ED289C">
        <w:rPr>
          <w:rFonts w:ascii="Times New Roman" w:eastAsia="Times New Roman" w:hAnsi="Times New Roman" w:cs="Times New Roman"/>
          <w:b/>
        </w:rPr>
        <w:t>Félévközi feladatok, ismeretek ellenőrzésének rendje:</w:t>
      </w:r>
      <w:r w:rsidRPr="00ED289C">
        <w:rPr>
          <w:rFonts w:ascii="Times New Roman" w:eastAsia="Times New Roman" w:hAnsi="Times New Roman" w:cs="Times New Roman"/>
          <w:bCs/>
        </w:rPr>
        <w:t xml:space="preserve"> Az ismeretek ellenőrzése két zárthelyi dolgozat megírása alapján történik. A zárthelyi dolgozatok témái a 12.1.–12.7. és a 12.8.–12.14. tantárgyrészekből a kötelező irodalmak anyagából, illetve az előadásokon elhangzott ismeretanyagból kell összeállítani. Az érdemjegyek pontszámait a kiadott feladatlap tartalmazza. </w:t>
      </w:r>
      <w:r w:rsidRPr="00ED289C">
        <w:rPr>
          <w:rFonts w:ascii="Times New Roman" w:eastAsia="Times New Roman" w:hAnsi="Times New Roman" w:cs="Times New Roman"/>
          <w:bCs/>
        </w:rPr>
        <w:lastRenderedPageBreak/>
        <w:t xml:space="preserve">A dolgozatban teszt és esszé jellegű kérdések egyaránt szerepelhetnek. A zárthelyi dolgozat értékelése ötfokozatú értékelés. </w:t>
      </w:r>
      <w:bookmarkStart w:id="88" w:name="_Hlk35174787"/>
      <w:bookmarkStart w:id="89" w:name="_Hlk35169876"/>
      <w:r w:rsidRPr="00ED289C">
        <w:rPr>
          <w:rFonts w:ascii="Times New Roman" w:eastAsia="Times New Roman" w:hAnsi="Times New Roman" w:cs="Times New Roman"/>
          <w:bCs/>
        </w:rPr>
        <w:t>A zárthelyi írásbeli dolgozat értékelése az elért maximális pontszám 60%-ig elégtelen; 61–70%-a között elégséges; 71–80%-a között közepes; 81–90%-a között jó; e felett jeles.</w:t>
      </w:r>
      <w:r w:rsidRPr="00ED289C">
        <w:rPr>
          <w:rFonts w:ascii="Times New Roman" w:eastAsia="Times New Roman" w:hAnsi="Times New Roman" w:cs="Times New Roman"/>
          <w:bCs/>
          <w:lang w:eastAsia="hu-HU"/>
        </w:rPr>
        <w:t xml:space="preserve"> Eredménytelen zárthelyi dolgozat kétszer javítható</w:t>
      </w:r>
      <w:r w:rsidRPr="00ED289C">
        <w:rPr>
          <w:rFonts w:ascii="Times New Roman" w:eastAsia="Times New Roman" w:hAnsi="Times New Roman" w:cs="Times New Roman"/>
          <w:lang w:eastAsia="hu-HU"/>
        </w:rPr>
        <w:t xml:space="preserve">. </w:t>
      </w:r>
      <w:r w:rsidRPr="00ED289C">
        <w:rPr>
          <w:rFonts w:ascii="Times New Roman" w:eastAsia="Times New Roman" w:hAnsi="Times New Roman" w:cs="Times New Roman"/>
          <w:bCs/>
        </w:rPr>
        <w:t>A félévközi jegyet az elért eredmények kerekített matematikai átlaga képezi. A bármely zárthelyi dolgozatból vagy beadandó feladatból kapott elégtelen (1) osztályzat aláírás megtagadást jelent.  A 14. pontban említett beadandó dolgozat a hiányzást ellentételező feladat, a zárthelyi dolgozatokat nem helyettesíti.</w:t>
      </w:r>
      <w:bookmarkEnd w:id="88"/>
      <w:r w:rsidRPr="00ED289C">
        <w:rPr>
          <w:rFonts w:ascii="Times New Roman" w:eastAsia="Times New Roman" w:hAnsi="Times New Roman" w:cs="Times New Roman"/>
          <w:bCs/>
        </w:rPr>
        <w:t xml:space="preserve"> </w:t>
      </w:r>
    </w:p>
    <w:bookmarkEnd w:id="89"/>
    <w:p w:rsidR="00ED289C" w:rsidRPr="00ED289C" w:rsidRDefault="00ED289C" w:rsidP="00980876">
      <w:pPr>
        <w:widowControl w:val="0"/>
        <w:numPr>
          <w:ilvl w:val="0"/>
          <w:numId w:val="457"/>
        </w:numPr>
        <w:spacing w:before="120" w:after="120" w:line="240" w:lineRule="auto"/>
        <w:ind w:left="426" w:hanging="142"/>
        <w:jc w:val="both"/>
        <w:rPr>
          <w:rFonts w:ascii="Times New Roman" w:eastAsia="Times New Roman" w:hAnsi="Times New Roman" w:cs="Times New Roman"/>
          <w:b/>
          <w:bCs/>
        </w:rPr>
      </w:pPr>
      <w:r w:rsidRPr="00ED289C">
        <w:rPr>
          <w:rFonts w:ascii="Times New Roman" w:eastAsia="Times New Roman" w:hAnsi="Times New Roman" w:cs="Times New Roman"/>
          <w:b/>
          <w:bCs/>
        </w:rPr>
        <w:t xml:space="preserve">Az értékelés, az aláírás és a kreditek megszerzésének pontos feltételei: </w:t>
      </w:r>
    </w:p>
    <w:p w:rsidR="00ED289C" w:rsidRPr="00ED289C" w:rsidRDefault="00ED289C" w:rsidP="00ED289C">
      <w:pPr>
        <w:widowControl w:val="0"/>
        <w:spacing w:before="120" w:after="120" w:line="240" w:lineRule="auto"/>
        <w:ind w:left="426"/>
        <w:jc w:val="both"/>
        <w:rPr>
          <w:rFonts w:ascii="Times New Roman" w:eastAsia="Times New Roman" w:hAnsi="Times New Roman" w:cs="Times New Roman"/>
          <w:bCs/>
        </w:rPr>
      </w:pPr>
      <w:r w:rsidRPr="00ED289C">
        <w:rPr>
          <w:rFonts w:ascii="Times New Roman" w:eastAsia="Times New Roman" w:hAnsi="Times New Roman" w:cs="Times New Roman"/>
          <w:b/>
          <w:bCs/>
        </w:rPr>
        <w:t xml:space="preserve">16.1.: Az aláírás megszerzésének feltételei: </w:t>
      </w:r>
      <w:r w:rsidRPr="00ED289C">
        <w:rPr>
          <w:rFonts w:ascii="Times New Roman" w:eastAsia="Calibri" w:hAnsi="Times New Roman" w:cs="Times New Roman"/>
          <w:bCs/>
        </w:rPr>
        <w:t>Az aláírás megszerzésének feltétele a 14. pontban meghatározott arányú részvétel a foglalkozásokon és a 15. pontban meghatározott félévközi feladatok legalább elégséges teljesítése.</w:t>
      </w:r>
    </w:p>
    <w:p w:rsidR="00ED289C" w:rsidRPr="00ED289C" w:rsidRDefault="00ED289C" w:rsidP="00ED289C">
      <w:pPr>
        <w:widowControl w:val="0"/>
        <w:spacing w:before="120" w:after="120" w:line="240" w:lineRule="auto"/>
        <w:ind w:left="426"/>
        <w:jc w:val="both"/>
        <w:rPr>
          <w:rFonts w:ascii="Times New Roman" w:eastAsia="Times New Roman" w:hAnsi="Times New Roman" w:cs="Times New Roman"/>
          <w:bCs/>
        </w:rPr>
      </w:pPr>
      <w:r w:rsidRPr="00ED289C">
        <w:rPr>
          <w:rFonts w:ascii="Times New Roman" w:eastAsia="Times New Roman" w:hAnsi="Times New Roman" w:cs="Times New Roman"/>
          <w:b/>
          <w:bCs/>
        </w:rPr>
        <w:t>16.2.: Az értékelés:</w:t>
      </w:r>
      <w:r w:rsidRPr="00ED289C">
        <w:rPr>
          <w:rFonts w:ascii="Times New Roman" w:eastAsia="Times New Roman" w:hAnsi="Times New Roman" w:cs="Times New Roman"/>
          <w:bCs/>
        </w:rPr>
        <w:t xml:space="preserve"> Évközi értékelés, ötfokozatú értékelés. Az évközi értékelést az elért eredmények kerekített matematikai átlaga képezi. </w:t>
      </w:r>
    </w:p>
    <w:p w:rsidR="00ED289C" w:rsidRPr="00ED289C" w:rsidRDefault="00ED289C" w:rsidP="00ED289C">
      <w:pPr>
        <w:widowControl w:val="0"/>
        <w:spacing w:before="120" w:after="120" w:line="240" w:lineRule="auto"/>
        <w:ind w:left="426"/>
        <w:jc w:val="both"/>
        <w:rPr>
          <w:rFonts w:ascii="Times New Roman" w:eastAsia="Times New Roman" w:hAnsi="Times New Roman" w:cs="Times New Roman"/>
          <w:bCs/>
        </w:rPr>
      </w:pPr>
      <w:r w:rsidRPr="00ED289C">
        <w:rPr>
          <w:rFonts w:ascii="Times New Roman" w:eastAsia="Times New Roman" w:hAnsi="Times New Roman" w:cs="Times New Roman"/>
          <w:b/>
          <w:bCs/>
        </w:rPr>
        <w:t>16.3.: A kreditek megszerzésének feltételei:</w:t>
      </w:r>
      <w:r w:rsidRPr="00ED289C">
        <w:rPr>
          <w:rFonts w:ascii="Times New Roman" w:eastAsia="Times New Roman" w:hAnsi="Times New Roman" w:cs="Times New Roman"/>
          <w:bCs/>
        </w:rPr>
        <w:t xml:space="preserve"> Az aláírás, valamint a félévközi jegy megszerzése.</w:t>
      </w:r>
    </w:p>
    <w:p w:rsidR="00ED289C" w:rsidRPr="00ED289C" w:rsidRDefault="00ED289C" w:rsidP="00980876">
      <w:pPr>
        <w:widowControl w:val="0"/>
        <w:numPr>
          <w:ilvl w:val="0"/>
          <w:numId w:val="457"/>
        </w:numPr>
        <w:tabs>
          <w:tab w:val="num" w:pos="360"/>
        </w:tabs>
        <w:spacing w:before="120" w:after="120" w:line="240" w:lineRule="auto"/>
        <w:ind w:left="426" w:hanging="142"/>
        <w:jc w:val="both"/>
        <w:rPr>
          <w:rFonts w:ascii="Times New Roman" w:eastAsia="Times New Roman" w:hAnsi="Times New Roman" w:cs="Times New Roman"/>
          <w:bCs/>
        </w:rPr>
      </w:pPr>
      <w:r w:rsidRPr="00ED289C">
        <w:rPr>
          <w:rFonts w:ascii="Times New Roman" w:eastAsia="Times New Roman" w:hAnsi="Times New Roman" w:cs="Times New Roman"/>
          <w:b/>
          <w:bCs/>
        </w:rPr>
        <w:t>Irodalomjegyzék:</w:t>
      </w:r>
    </w:p>
    <w:p w:rsidR="00ED289C" w:rsidRPr="00ED289C" w:rsidRDefault="00ED289C" w:rsidP="00980876">
      <w:pPr>
        <w:widowControl w:val="0"/>
        <w:numPr>
          <w:ilvl w:val="1"/>
          <w:numId w:val="457"/>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b/>
          <w:bCs/>
        </w:rPr>
      </w:pPr>
      <w:r w:rsidRPr="00ED289C">
        <w:rPr>
          <w:rFonts w:ascii="Times New Roman" w:eastAsia="Times New Roman" w:hAnsi="Times New Roman" w:cs="Times New Roman"/>
          <w:b/>
          <w:bCs/>
        </w:rPr>
        <w:t>Kötelező irodalom:</w:t>
      </w:r>
    </w:p>
    <w:p w:rsidR="00ED289C" w:rsidRPr="00ED289C" w:rsidRDefault="00ED289C" w:rsidP="00980876">
      <w:pPr>
        <w:widowControl w:val="0"/>
        <w:numPr>
          <w:ilvl w:val="0"/>
          <w:numId w:val="458"/>
        </w:numPr>
        <w:spacing w:after="0" w:line="240" w:lineRule="auto"/>
        <w:ind w:left="1134" w:hanging="425"/>
        <w:jc w:val="both"/>
        <w:rPr>
          <w:rFonts w:ascii="Times New Roman" w:eastAsia="Times New Roman" w:hAnsi="Times New Roman" w:cs="Times New Roman"/>
        </w:rPr>
      </w:pPr>
      <w:r w:rsidRPr="00ED289C">
        <w:rPr>
          <w:rFonts w:ascii="Times New Roman" w:eastAsia="Times New Roman" w:hAnsi="Times New Roman" w:cs="Times New Roman"/>
        </w:rPr>
        <w:t>Gépjármű diagnosztika, Képzőművészeti Kiadó Kft., Budapest, 2006. ISBN: 9633369606</w:t>
      </w:r>
    </w:p>
    <w:p w:rsidR="00ED289C" w:rsidRPr="00ED289C" w:rsidRDefault="00ED289C" w:rsidP="00980876">
      <w:pPr>
        <w:widowControl w:val="0"/>
        <w:numPr>
          <w:ilvl w:val="0"/>
          <w:numId w:val="458"/>
        </w:numPr>
        <w:spacing w:after="0" w:line="240" w:lineRule="auto"/>
        <w:ind w:left="1134" w:hanging="425"/>
        <w:jc w:val="both"/>
        <w:rPr>
          <w:rFonts w:ascii="Times New Roman" w:eastAsia="Times New Roman" w:hAnsi="Times New Roman" w:cs="Times New Roman"/>
        </w:rPr>
      </w:pPr>
      <w:r w:rsidRPr="00ED289C">
        <w:rPr>
          <w:rFonts w:ascii="Times New Roman" w:eastAsia="Times New Roman" w:hAnsi="Times New Roman" w:cs="Times New Roman"/>
        </w:rPr>
        <w:t>Dr. Döme Béla, Dr. Lakatos István: Jármű-diagnosztikai mérések, Skandi Wald Kiadó, Budapest, 2010. ISBN: 9637344012</w:t>
      </w:r>
    </w:p>
    <w:p w:rsidR="00ED289C" w:rsidRPr="00ED289C" w:rsidRDefault="00ED289C" w:rsidP="00980876">
      <w:pPr>
        <w:widowControl w:val="0"/>
        <w:numPr>
          <w:ilvl w:val="0"/>
          <w:numId w:val="458"/>
        </w:numPr>
        <w:spacing w:after="0" w:line="240" w:lineRule="auto"/>
        <w:ind w:left="1134" w:hanging="425"/>
        <w:jc w:val="both"/>
        <w:rPr>
          <w:rFonts w:ascii="Times New Roman" w:eastAsia="Times New Roman" w:hAnsi="Times New Roman" w:cs="Times New Roman"/>
        </w:rPr>
      </w:pPr>
      <w:r w:rsidRPr="00ED289C">
        <w:rPr>
          <w:rFonts w:ascii="Times New Roman" w:eastAsia="Times New Roman" w:hAnsi="Times New Roman" w:cs="Times New Roman"/>
        </w:rPr>
        <w:t>Tölgyesi Zoltán: Fedélzeti diagnosztika, Maróti Könyvkiadó, Budapest, 2005. ISBN: 9639005703</w:t>
      </w:r>
    </w:p>
    <w:p w:rsidR="00ED289C" w:rsidRPr="00ED289C" w:rsidRDefault="00ED289C" w:rsidP="00980876">
      <w:pPr>
        <w:widowControl w:val="0"/>
        <w:numPr>
          <w:ilvl w:val="0"/>
          <w:numId w:val="458"/>
        </w:numPr>
        <w:spacing w:after="0" w:line="240" w:lineRule="auto"/>
        <w:ind w:left="1134" w:hanging="425"/>
        <w:jc w:val="both"/>
        <w:rPr>
          <w:rFonts w:ascii="Times New Roman" w:eastAsia="Times New Roman" w:hAnsi="Times New Roman" w:cs="Times New Roman"/>
        </w:rPr>
      </w:pPr>
      <w:r w:rsidRPr="00ED289C">
        <w:rPr>
          <w:rFonts w:ascii="Times New Roman" w:eastAsia="Times New Roman" w:hAnsi="Times New Roman" w:cs="Times New Roman"/>
        </w:rPr>
        <w:t xml:space="preserve">Charles White, Martynn Randall: Hibakódok, Maróti Könyvkiadó, Budapest, 2005. ISBN: 9639005681 </w:t>
      </w:r>
    </w:p>
    <w:p w:rsidR="00ED289C" w:rsidRDefault="00ED289C" w:rsidP="00980876">
      <w:pPr>
        <w:numPr>
          <w:ilvl w:val="0"/>
          <w:numId w:val="458"/>
        </w:numPr>
        <w:spacing w:after="240"/>
        <w:ind w:left="1134" w:hanging="425"/>
        <w:contextualSpacing/>
        <w:rPr>
          <w:rFonts w:ascii="Times New Roman" w:eastAsia="Times New Roman" w:hAnsi="Times New Roman" w:cs="Times New Roman"/>
        </w:rPr>
      </w:pPr>
      <w:r w:rsidRPr="00ED289C">
        <w:rPr>
          <w:rFonts w:ascii="Times New Roman" w:eastAsia="Times New Roman" w:hAnsi="Times New Roman" w:cs="Times New Roman"/>
        </w:rPr>
        <w:t xml:space="preserve">Horst Grater: Gépkocsi diagnosztika, SIMÜFO Kiadó, Budapest, 2002. </w:t>
      </w:r>
    </w:p>
    <w:p w:rsidR="00F52F56" w:rsidRPr="00ED289C" w:rsidRDefault="00F52F56" w:rsidP="00F52F56">
      <w:pPr>
        <w:spacing w:after="240"/>
        <w:ind w:left="1134"/>
        <w:contextualSpacing/>
        <w:rPr>
          <w:rFonts w:ascii="Times New Roman" w:eastAsia="Times New Roman" w:hAnsi="Times New Roman" w:cs="Times New Roman"/>
        </w:rPr>
      </w:pPr>
    </w:p>
    <w:p w:rsidR="00ED289C" w:rsidRPr="00ED289C" w:rsidRDefault="00ED289C" w:rsidP="00980876">
      <w:pPr>
        <w:widowControl w:val="0"/>
        <w:numPr>
          <w:ilvl w:val="1"/>
          <w:numId w:val="457"/>
        </w:numPr>
        <w:tabs>
          <w:tab w:val="clear" w:pos="3977"/>
          <w:tab w:val="left" w:pos="709"/>
          <w:tab w:val="left" w:pos="993"/>
          <w:tab w:val="num" w:pos="2069"/>
        </w:tabs>
        <w:spacing w:before="240" w:after="120" w:line="240" w:lineRule="auto"/>
        <w:ind w:left="425" w:firstLine="0"/>
        <w:jc w:val="both"/>
        <w:rPr>
          <w:rFonts w:ascii="Times New Roman" w:eastAsia="Times New Roman" w:hAnsi="Times New Roman" w:cs="Times New Roman"/>
          <w:b/>
          <w:bCs/>
        </w:rPr>
      </w:pPr>
      <w:r w:rsidRPr="00ED289C">
        <w:rPr>
          <w:rFonts w:ascii="Times New Roman" w:eastAsia="Times New Roman" w:hAnsi="Times New Roman" w:cs="Times New Roman"/>
          <w:b/>
          <w:bCs/>
        </w:rPr>
        <w:t>Ajánlott irodalom:</w:t>
      </w:r>
    </w:p>
    <w:p w:rsidR="00ED289C" w:rsidRPr="00ED289C" w:rsidRDefault="00ED289C" w:rsidP="00980876">
      <w:pPr>
        <w:numPr>
          <w:ilvl w:val="0"/>
          <w:numId w:val="459"/>
        </w:numPr>
        <w:ind w:left="1134" w:hanging="357"/>
        <w:contextualSpacing/>
        <w:rPr>
          <w:rFonts w:ascii="Times New Roman" w:eastAsia="Times New Roman" w:hAnsi="Times New Roman" w:cs="Times New Roman"/>
        </w:rPr>
      </w:pPr>
      <w:r w:rsidRPr="00ED289C">
        <w:rPr>
          <w:rFonts w:ascii="Times New Roman" w:eastAsia="Times New Roman" w:hAnsi="Times New Roman" w:cs="Times New Roman"/>
        </w:rPr>
        <w:t>Balázs Csaba: Gépjárművek üzemeltetése és vizsgálata, BJKMF főiskolai jegyzet, Budapest, 1994.</w:t>
      </w:r>
    </w:p>
    <w:p w:rsidR="00ED289C" w:rsidRPr="00ED289C" w:rsidRDefault="00ED289C" w:rsidP="00980876">
      <w:pPr>
        <w:numPr>
          <w:ilvl w:val="0"/>
          <w:numId w:val="459"/>
        </w:numPr>
        <w:ind w:left="1134" w:hanging="357"/>
        <w:contextualSpacing/>
        <w:rPr>
          <w:rFonts w:ascii="Times New Roman" w:eastAsia="Times New Roman" w:hAnsi="Times New Roman" w:cs="Times New Roman"/>
        </w:rPr>
      </w:pPr>
      <w:r w:rsidRPr="00ED289C">
        <w:rPr>
          <w:rFonts w:ascii="Times New Roman" w:eastAsia="Times New Roman" w:hAnsi="Times New Roman" w:cs="Times New Roman"/>
        </w:rPr>
        <w:t>BOSCH sárga füzetek sorozat: Szenzorok a gépjárművekben, Maróti Könyvkiadó, Budapest, 2008. ISBN: 963900583</w:t>
      </w:r>
    </w:p>
    <w:p w:rsidR="00ED289C" w:rsidRPr="00ED289C" w:rsidRDefault="00ED289C" w:rsidP="00980876">
      <w:pPr>
        <w:numPr>
          <w:ilvl w:val="0"/>
          <w:numId w:val="459"/>
        </w:numPr>
        <w:ind w:left="1134" w:hanging="357"/>
        <w:contextualSpacing/>
        <w:rPr>
          <w:rFonts w:ascii="Times New Roman" w:eastAsia="Times New Roman" w:hAnsi="Times New Roman" w:cs="Times New Roman"/>
        </w:rPr>
      </w:pPr>
      <w:r w:rsidRPr="00ED289C">
        <w:rPr>
          <w:rFonts w:ascii="Times New Roman" w:eastAsia="Times New Roman" w:hAnsi="Times New Roman" w:cs="Times New Roman"/>
        </w:rPr>
        <w:t xml:space="preserve">Kelecsényi István: Gépjármű vizsgálat, -javítás, Műszaki Könyvkiadó, Budapest, 1993. ISBN: 9631094375 </w:t>
      </w:r>
    </w:p>
    <w:p w:rsidR="00ED289C" w:rsidRDefault="00ED289C" w:rsidP="00ED289C">
      <w:pPr>
        <w:widowControl w:val="0"/>
        <w:spacing w:before="120" w:after="120" w:line="240" w:lineRule="auto"/>
        <w:jc w:val="both"/>
        <w:rPr>
          <w:rFonts w:ascii="Times New Roman" w:eastAsia="Times New Roman" w:hAnsi="Times New Roman" w:cs="Times New Roman"/>
          <w:bCs/>
        </w:rPr>
      </w:pPr>
    </w:p>
    <w:p w:rsidR="00ED289C" w:rsidRPr="00ED289C" w:rsidRDefault="00ED289C" w:rsidP="00ED289C">
      <w:pPr>
        <w:widowControl w:val="0"/>
        <w:spacing w:before="120" w:after="120" w:line="240" w:lineRule="auto"/>
        <w:jc w:val="both"/>
        <w:rPr>
          <w:rFonts w:ascii="Times New Roman" w:eastAsia="Times New Roman" w:hAnsi="Times New Roman" w:cs="Times New Roman"/>
          <w:bCs/>
        </w:rPr>
      </w:pPr>
      <w:r w:rsidRPr="00ED289C">
        <w:rPr>
          <w:rFonts w:ascii="Times New Roman" w:eastAsia="Times New Roman" w:hAnsi="Times New Roman" w:cs="Times New Roman"/>
          <w:bCs/>
        </w:rPr>
        <w:t>Budapest, 2020.03.10.</w:t>
      </w:r>
    </w:p>
    <w:p w:rsidR="00F52F56" w:rsidRDefault="00F52F56" w:rsidP="00ED289C">
      <w:pPr>
        <w:widowControl w:val="0"/>
        <w:spacing w:after="0" w:line="240" w:lineRule="auto"/>
        <w:ind w:left="7080" w:firstLine="708"/>
        <w:jc w:val="center"/>
        <w:rPr>
          <w:rFonts w:ascii="Times New Roman" w:eastAsia="Times New Roman" w:hAnsi="Times New Roman" w:cs="Times New Roman"/>
          <w:b/>
          <w:bCs/>
        </w:rPr>
      </w:pPr>
    </w:p>
    <w:p w:rsidR="00ED289C" w:rsidRPr="00F52F56" w:rsidRDefault="00ED289C" w:rsidP="00ED289C">
      <w:pPr>
        <w:widowControl w:val="0"/>
        <w:spacing w:after="0" w:line="240" w:lineRule="auto"/>
        <w:ind w:left="7080" w:firstLine="708"/>
        <w:jc w:val="center"/>
        <w:rPr>
          <w:rFonts w:ascii="Times New Roman" w:eastAsia="Times New Roman" w:hAnsi="Times New Roman" w:cs="Times New Roman"/>
          <w:b/>
          <w:bCs/>
        </w:rPr>
      </w:pPr>
      <w:r w:rsidRPr="00F52F56">
        <w:rPr>
          <w:rFonts w:ascii="Times New Roman" w:eastAsia="Times New Roman" w:hAnsi="Times New Roman" w:cs="Times New Roman"/>
          <w:b/>
          <w:bCs/>
        </w:rPr>
        <w:t>Kiss László</w:t>
      </w:r>
    </w:p>
    <w:p w:rsidR="00ED289C" w:rsidRPr="00ED289C" w:rsidRDefault="00ED289C" w:rsidP="00ED289C">
      <w:pPr>
        <w:widowControl w:val="0"/>
        <w:spacing w:after="0" w:line="240" w:lineRule="auto"/>
        <w:jc w:val="right"/>
        <w:rPr>
          <w:rFonts w:ascii="Times New Roman" w:eastAsia="Times New Roman" w:hAnsi="Times New Roman" w:cs="Times New Roman"/>
          <w:bCs/>
        </w:rPr>
      </w:pPr>
      <w:r w:rsidRPr="00ED289C">
        <w:rPr>
          <w:rFonts w:ascii="Times New Roman" w:eastAsia="Times New Roman" w:hAnsi="Times New Roman" w:cs="Times New Roman"/>
          <w:bCs/>
        </w:rPr>
        <w:t>tantárgyfelelős</w:t>
      </w:r>
    </w:p>
    <w:p w:rsidR="00ED289C" w:rsidRDefault="00ED289C">
      <w:pPr>
        <w:spacing w:after="200" w:line="276" w:lineRule="auto"/>
        <w:rPr>
          <w:rFonts w:ascii="Times New Roman" w:hAnsi="Times New Roman" w:cs="Times New Roman"/>
          <w:sz w:val="24"/>
        </w:rPr>
      </w:pPr>
      <w:r>
        <w:rPr>
          <w:rFonts w:ascii="Times New Roman" w:hAnsi="Times New Roman" w:cs="Times New Roman"/>
          <w:sz w:val="24"/>
        </w:rPr>
        <w:br w:type="page"/>
      </w:r>
    </w:p>
    <w:tbl>
      <w:tblPr>
        <w:tblW w:w="9072" w:type="dxa"/>
        <w:tblInd w:w="113" w:type="dxa"/>
        <w:tblLook w:val="01E0" w:firstRow="1" w:lastRow="1" w:firstColumn="1" w:lastColumn="1" w:noHBand="0" w:noVBand="0"/>
      </w:tblPr>
      <w:tblGrid>
        <w:gridCol w:w="4855"/>
        <w:gridCol w:w="1620"/>
        <w:gridCol w:w="2597"/>
      </w:tblGrid>
      <w:tr w:rsidR="009B2CD8" w:rsidRPr="009B2CD8" w:rsidTr="009B2CD8">
        <w:tc>
          <w:tcPr>
            <w:tcW w:w="4855" w:type="dxa"/>
            <w:tcBorders>
              <w:top w:val="nil"/>
              <w:left w:val="nil"/>
              <w:bottom w:val="single" w:sz="4" w:space="0" w:color="auto"/>
              <w:right w:val="nil"/>
            </w:tcBorders>
            <w:hideMark/>
          </w:tcPr>
          <w:p w:rsidR="009B2CD8" w:rsidRPr="009B2CD8" w:rsidRDefault="009B2CD8" w:rsidP="009B2CD8">
            <w:pPr>
              <w:spacing w:after="0" w:line="240" w:lineRule="auto"/>
              <w:jc w:val="center"/>
              <w:rPr>
                <w:rFonts w:ascii="Times New Roman" w:eastAsia="Times New Roman" w:hAnsi="Times New Roman" w:cs="Times New Roman"/>
                <w:b/>
                <w:smallCaps/>
                <w:lang w:eastAsia="hu-HU"/>
              </w:rPr>
            </w:pPr>
            <w:r w:rsidRPr="009B2CD8">
              <w:rPr>
                <w:rFonts w:ascii="Times New Roman" w:eastAsia="Times New Roman" w:hAnsi="Times New Roman" w:cs="Times New Roman"/>
                <w:b/>
                <w:smallCaps/>
                <w:lang w:eastAsia="hu-HU"/>
              </w:rPr>
              <w:lastRenderedPageBreak/>
              <w:t>Nemzeti Közszolgálati Egyetem</w:t>
            </w:r>
          </w:p>
        </w:tc>
        <w:tc>
          <w:tcPr>
            <w:tcW w:w="1620" w:type="dxa"/>
          </w:tcPr>
          <w:p w:rsidR="009B2CD8" w:rsidRPr="009B2CD8" w:rsidRDefault="009B2CD8" w:rsidP="009B2CD8">
            <w:pPr>
              <w:spacing w:after="0" w:line="240" w:lineRule="auto"/>
              <w:jc w:val="both"/>
              <w:rPr>
                <w:rFonts w:ascii="Times New Roman" w:eastAsia="Times New Roman" w:hAnsi="Times New Roman" w:cs="Times New Roman"/>
                <w:lang w:eastAsia="hu-HU"/>
              </w:rPr>
            </w:pPr>
          </w:p>
        </w:tc>
        <w:tc>
          <w:tcPr>
            <w:tcW w:w="2597" w:type="dxa"/>
          </w:tcPr>
          <w:p w:rsidR="009B2CD8" w:rsidRPr="009B2CD8" w:rsidRDefault="009B2CD8" w:rsidP="009B2CD8">
            <w:pPr>
              <w:spacing w:after="0" w:line="240" w:lineRule="auto"/>
              <w:jc w:val="right"/>
              <w:rPr>
                <w:rFonts w:ascii="Times New Roman" w:eastAsia="Times New Roman" w:hAnsi="Times New Roman" w:cs="Times New Roman"/>
                <w:lang w:eastAsia="hu-HU"/>
              </w:rPr>
            </w:pPr>
          </w:p>
        </w:tc>
      </w:tr>
      <w:tr w:rsidR="009B2CD8" w:rsidRPr="009B2CD8" w:rsidTr="009B2CD8">
        <w:tc>
          <w:tcPr>
            <w:tcW w:w="4855" w:type="dxa"/>
            <w:tcBorders>
              <w:top w:val="single" w:sz="4" w:space="0" w:color="auto"/>
              <w:left w:val="nil"/>
              <w:bottom w:val="nil"/>
              <w:right w:val="nil"/>
            </w:tcBorders>
            <w:hideMark/>
          </w:tcPr>
          <w:p w:rsidR="009B2CD8" w:rsidRPr="009B2CD8" w:rsidRDefault="009B2CD8" w:rsidP="009B2CD8">
            <w:pPr>
              <w:spacing w:after="0" w:line="240" w:lineRule="auto"/>
              <w:jc w:val="center"/>
              <w:rPr>
                <w:rFonts w:ascii="Times New Roman" w:eastAsia="Times New Roman" w:hAnsi="Times New Roman" w:cs="Times New Roman"/>
                <w:b/>
                <w:lang w:eastAsia="hu-HU"/>
              </w:rPr>
            </w:pPr>
            <w:r w:rsidRPr="009B2CD8">
              <w:rPr>
                <w:rFonts w:ascii="Times New Roman" w:eastAsia="Times New Roman" w:hAnsi="Times New Roman" w:cs="Times New Roman"/>
                <w:b/>
                <w:lang w:eastAsia="hu-HU"/>
              </w:rPr>
              <w:t>Hadtudományi és Honvédtisztképző Kar</w:t>
            </w:r>
          </w:p>
        </w:tc>
        <w:tc>
          <w:tcPr>
            <w:tcW w:w="1620" w:type="dxa"/>
          </w:tcPr>
          <w:p w:rsidR="009B2CD8" w:rsidRPr="009B2CD8" w:rsidRDefault="009B2CD8" w:rsidP="009B2CD8">
            <w:pPr>
              <w:spacing w:after="0" w:line="240" w:lineRule="auto"/>
              <w:jc w:val="both"/>
              <w:rPr>
                <w:rFonts w:ascii="Times New Roman" w:eastAsia="Times New Roman" w:hAnsi="Times New Roman" w:cs="Times New Roman"/>
                <w:lang w:eastAsia="hu-HU"/>
              </w:rPr>
            </w:pPr>
          </w:p>
        </w:tc>
        <w:tc>
          <w:tcPr>
            <w:tcW w:w="2597" w:type="dxa"/>
          </w:tcPr>
          <w:p w:rsidR="009B2CD8" w:rsidRPr="009B2CD8" w:rsidRDefault="009B2CD8" w:rsidP="009B2CD8">
            <w:pPr>
              <w:spacing w:after="0" w:line="240" w:lineRule="auto"/>
              <w:jc w:val="both"/>
              <w:rPr>
                <w:rFonts w:ascii="Times New Roman" w:eastAsia="Times New Roman" w:hAnsi="Times New Roman" w:cs="Times New Roman"/>
                <w:lang w:eastAsia="hu-HU"/>
              </w:rPr>
            </w:pPr>
          </w:p>
        </w:tc>
      </w:tr>
    </w:tbl>
    <w:p w:rsidR="009B2CD8" w:rsidRPr="009B2CD8" w:rsidRDefault="009B2CD8" w:rsidP="009B2CD8">
      <w:pPr>
        <w:tabs>
          <w:tab w:val="right" w:pos="0"/>
          <w:tab w:val="center" w:pos="4819"/>
          <w:tab w:val="right" w:pos="9071"/>
        </w:tabs>
        <w:spacing w:after="0" w:line="240" w:lineRule="auto"/>
        <w:jc w:val="both"/>
        <w:rPr>
          <w:rFonts w:ascii="Times New Roman" w:eastAsia="Times New Roman" w:hAnsi="Times New Roman" w:cs="Times New Roman"/>
          <w:bCs/>
          <w:lang w:eastAsia="hu-HU"/>
        </w:rPr>
      </w:pPr>
    </w:p>
    <w:p w:rsidR="009B2CD8" w:rsidRPr="009B2CD8" w:rsidRDefault="009B2CD8" w:rsidP="009B2CD8">
      <w:pPr>
        <w:spacing w:after="0" w:line="240" w:lineRule="auto"/>
        <w:jc w:val="center"/>
        <w:rPr>
          <w:rFonts w:ascii="Times New Roman" w:eastAsia="Times New Roman" w:hAnsi="Times New Roman" w:cs="Times New Roman"/>
          <w:b/>
          <w:bCs/>
          <w:lang w:eastAsia="hu-HU"/>
        </w:rPr>
      </w:pPr>
      <w:r w:rsidRPr="009B2CD8">
        <w:rPr>
          <w:rFonts w:ascii="Times New Roman" w:eastAsia="Times New Roman" w:hAnsi="Times New Roman" w:cs="Times New Roman"/>
          <w:b/>
          <w:bCs/>
          <w:lang w:eastAsia="hu-HU"/>
        </w:rPr>
        <w:t>TANTÁRGYI PROGRAM</w:t>
      </w:r>
    </w:p>
    <w:p w:rsidR="009B2CD8" w:rsidRPr="009B2CD8" w:rsidRDefault="009B2CD8" w:rsidP="009B2CD8">
      <w:pPr>
        <w:spacing w:after="0" w:line="240" w:lineRule="auto"/>
        <w:jc w:val="center"/>
        <w:rPr>
          <w:rFonts w:ascii="Times New Roman" w:eastAsia="Times New Roman" w:hAnsi="Times New Roman" w:cs="Times New Roman"/>
          <w:b/>
          <w:bCs/>
          <w:lang w:eastAsia="hu-HU"/>
        </w:rPr>
      </w:pPr>
    </w:p>
    <w:p w:rsidR="009B2CD8" w:rsidRPr="009B2CD8" w:rsidRDefault="009B2CD8" w:rsidP="00980876">
      <w:pPr>
        <w:numPr>
          <w:ilvl w:val="0"/>
          <w:numId w:val="460"/>
        </w:numPr>
        <w:tabs>
          <w:tab w:val="clear" w:pos="720"/>
          <w:tab w:val="num" w:pos="644"/>
          <w:tab w:val="right" w:pos="900"/>
          <w:tab w:val="center" w:pos="4536"/>
          <w:tab w:val="right" w:pos="9071"/>
        </w:tabs>
        <w:spacing w:before="120" w:after="0" w:line="240" w:lineRule="auto"/>
        <w:ind w:left="644"/>
        <w:jc w:val="both"/>
        <w:rPr>
          <w:rFonts w:ascii="Times New Roman" w:eastAsia="Times New Roman" w:hAnsi="Times New Roman" w:cs="Times New Roman"/>
          <w:bCs/>
          <w:lang w:eastAsia="hu-HU"/>
        </w:rPr>
      </w:pPr>
      <w:r w:rsidRPr="009B2CD8">
        <w:rPr>
          <w:rFonts w:ascii="Times New Roman" w:eastAsia="Times New Roman" w:hAnsi="Times New Roman" w:cs="Times New Roman"/>
          <w:b/>
          <w:bCs/>
          <w:lang w:eastAsia="hu-HU"/>
        </w:rPr>
        <w:t>A tantárgy kódja: HKHDTA38</w:t>
      </w:r>
    </w:p>
    <w:p w:rsidR="009B2CD8" w:rsidRPr="009B2CD8" w:rsidRDefault="009B2CD8" w:rsidP="00980876">
      <w:pPr>
        <w:numPr>
          <w:ilvl w:val="0"/>
          <w:numId w:val="460"/>
        </w:numPr>
        <w:tabs>
          <w:tab w:val="clear" w:pos="720"/>
          <w:tab w:val="num" w:pos="644"/>
          <w:tab w:val="right" w:pos="900"/>
          <w:tab w:val="center" w:pos="4536"/>
          <w:tab w:val="right" w:pos="9071"/>
        </w:tabs>
        <w:spacing w:before="120" w:after="0" w:line="240" w:lineRule="auto"/>
        <w:ind w:left="644"/>
        <w:jc w:val="both"/>
        <w:rPr>
          <w:rFonts w:ascii="Times New Roman" w:eastAsia="Times New Roman" w:hAnsi="Times New Roman" w:cs="Times New Roman"/>
          <w:bCs/>
          <w:lang w:eastAsia="hu-HU"/>
        </w:rPr>
      </w:pPr>
      <w:r w:rsidRPr="009B2CD8">
        <w:rPr>
          <w:rFonts w:ascii="Times New Roman" w:eastAsia="Times New Roman" w:hAnsi="Times New Roman" w:cs="Times New Roman"/>
          <w:b/>
          <w:bCs/>
          <w:lang w:eastAsia="hu-HU"/>
        </w:rPr>
        <w:t xml:space="preserve">A tantárgy megnevezése (magyarul): </w:t>
      </w:r>
      <w:r w:rsidRPr="009B2CD8">
        <w:rPr>
          <w:rFonts w:ascii="Times New Roman" w:eastAsia="Times New Roman" w:hAnsi="Times New Roman" w:cs="Times New Roman"/>
          <w:lang w:eastAsia="hu-HU"/>
        </w:rPr>
        <w:t>Lőszer anyagismeret L</w:t>
      </w:r>
    </w:p>
    <w:p w:rsidR="009B2CD8" w:rsidRPr="009B2CD8" w:rsidRDefault="009B2CD8" w:rsidP="00980876">
      <w:pPr>
        <w:numPr>
          <w:ilvl w:val="0"/>
          <w:numId w:val="460"/>
        </w:numPr>
        <w:tabs>
          <w:tab w:val="clear" w:pos="720"/>
          <w:tab w:val="num" w:pos="644"/>
          <w:tab w:val="right" w:pos="900"/>
          <w:tab w:val="center" w:pos="4536"/>
          <w:tab w:val="right" w:pos="9071"/>
        </w:tabs>
        <w:spacing w:before="120" w:after="0" w:line="240" w:lineRule="auto"/>
        <w:ind w:left="644"/>
        <w:jc w:val="both"/>
        <w:rPr>
          <w:rFonts w:ascii="Times New Roman" w:eastAsia="Times New Roman" w:hAnsi="Times New Roman" w:cs="Times New Roman"/>
          <w:bCs/>
          <w:lang w:eastAsia="hu-HU"/>
        </w:rPr>
      </w:pPr>
      <w:r w:rsidRPr="009B2CD8">
        <w:rPr>
          <w:rFonts w:ascii="Times New Roman" w:eastAsia="Times New Roman" w:hAnsi="Times New Roman" w:cs="Times New Roman"/>
          <w:b/>
          <w:bCs/>
          <w:lang w:eastAsia="hu-HU"/>
        </w:rPr>
        <w:t xml:space="preserve">A tantárgy megnevezése (angolul): </w:t>
      </w:r>
      <w:r w:rsidRPr="009B2CD8">
        <w:rPr>
          <w:rFonts w:ascii="Times New Roman" w:eastAsia="Times New Roman" w:hAnsi="Times New Roman" w:cs="Times New Roman"/>
          <w:bCs/>
          <w:lang w:eastAsia="hu-HU"/>
        </w:rPr>
        <w:t>Ammunition material knowledge</w:t>
      </w:r>
    </w:p>
    <w:p w:rsidR="009B2CD8" w:rsidRPr="009B2CD8" w:rsidRDefault="009B2CD8" w:rsidP="00980876">
      <w:pPr>
        <w:numPr>
          <w:ilvl w:val="0"/>
          <w:numId w:val="460"/>
        </w:numPr>
        <w:tabs>
          <w:tab w:val="clear" w:pos="720"/>
          <w:tab w:val="num" w:pos="644"/>
          <w:tab w:val="right" w:pos="900"/>
          <w:tab w:val="center" w:pos="4536"/>
          <w:tab w:val="right" w:pos="9071"/>
        </w:tabs>
        <w:spacing w:before="120" w:after="0" w:line="240" w:lineRule="auto"/>
        <w:ind w:left="644"/>
        <w:rPr>
          <w:rFonts w:ascii="Times New Roman" w:eastAsia="Times New Roman" w:hAnsi="Times New Roman" w:cs="Times New Roman"/>
          <w:bCs/>
          <w:lang w:eastAsia="hu-HU"/>
        </w:rPr>
      </w:pPr>
      <w:r w:rsidRPr="009B2CD8">
        <w:rPr>
          <w:rFonts w:ascii="Times New Roman" w:eastAsia="Times New Roman" w:hAnsi="Times New Roman" w:cs="Times New Roman"/>
          <w:b/>
          <w:bCs/>
          <w:lang w:eastAsia="hu-HU"/>
        </w:rPr>
        <w:t>Kreditérték és képzési karakter:</w:t>
      </w:r>
    </w:p>
    <w:p w:rsidR="009B2CD8" w:rsidRPr="009B2CD8" w:rsidRDefault="009B2CD8" w:rsidP="00980876">
      <w:pPr>
        <w:numPr>
          <w:ilvl w:val="1"/>
          <w:numId w:val="460"/>
        </w:numPr>
        <w:tabs>
          <w:tab w:val="clear" w:pos="3977"/>
          <w:tab w:val="right" w:pos="900"/>
          <w:tab w:val="num" w:pos="1425"/>
          <w:tab w:val="center" w:pos="4536"/>
          <w:tab w:val="right" w:pos="9071"/>
        </w:tabs>
        <w:spacing w:before="120" w:after="0" w:line="240" w:lineRule="auto"/>
        <w:ind w:left="1425"/>
        <w:rPr>
          <w:rFonts w:ascii="Times New Roman" w:eastAsia="Times New Roman" w:hAnsi="Times New Roman" w:cs="Times New Roman"/>
          <w:bCs/>
          <w:lang w:eastAsia="hu-HU"/>
        </w:rPr>
      </w:pPr>
      <w:r w:rsidRPr="009B2CD8">
        <w:rPr>
          <w:rFonts w:ascii="Times New Roman" w:eastAsia="Times New Roman" w:hAnsi="Times New Roman" w:cs="Times New Roman"/>
          <w:b/>
          <w:bCs/>
          <w:lang w:eastAsia="hu-HU"/>
        </w:rPr>
        <w:t xml:space="preserve"> </w:t>
      </w:r>
      <w:r w:rsidRPr="009B2CD8">
        <w:rPr>
          <w:rFonts w:ascii="Times New Roman" w:eastAsia="Times New Roman" w:hAnsi="Times New Roman" w:cs="Times New Roman"/>
          <w:bCs/>
          <w:lang w:eastAsia="hu-HU"/>
        </w:rPr>
        <w:t>2 kredit</w:t>
      </w:r>
    </w:p>
    <w:p w:rsidR="009B2CD8" w:rsidRPr="009B2CD8" w:rsidRDefault="009B2CD8" w:rsidP="00980876">
      <w:pPr>
        <w:numPr>
          <w:ilvl w:val="1"/>
          <w:numId w:val="460"/>
        </w:numPr>
        <w:tabs>
          <w:tab w:val="clear" w:pos="3977"/>
          <w:tab w:val="right" w:pos="900"/>
          <w:tab w:val="num" w:pos="1425"/>
          <w:tab w:val="right" w:pos="9071"/>
        </w:tabs>
        <w:spacing w:before="120" w:after="0" w:line="240" w:lineRule="auto"/>
        <w:ind w:left="1425"/>
        <w:rPr>
          <w:rFonts w:ascii="Times New Roman" w:eastAsia="Times New Roman" w:hAnsi="Times New Roman" w:cs="Times New Roman"/>
          <w:bCs/>
          <w:lang w:eastAsia="hu-HU"/>
        </w:rPr>
      </w:pPr>
      <w:r w:rsidRPr="009B2CD8">
        <w:rPr>
          <w:rFonts w:ascii="Times New Roman" w:eastAsia="Times New Roman" w:hAnsi="Times New Roman" w:cs="Times New Roman"/>
          <w:bCs/>
          <w:lang w:eastAsia="hu-HU"/>
        </w:rPr>
        <w:t>a tantárgy elméleti vagy gyakorlati jellegének mértéke: 50 % gyakorlat, 50 % elmélet</w:t>
      </w:r>
    </w:p>
    <w:p w:rsidR="009B2CD8" w:rsidRPr="009B2CD8" w:rsidRDefault="009B2CD8" w:rsidP="00980876">
      <w:pPr>
        <w:numPr>
          <w:ilvl w:val="0"/>
          <w:numId w:val="460"/>
        </w:numPr>
        <w:tabs>
          <w:tab w:val="clear" w:pos="720"/>
          <w:tab w:val="num" w:pos="644"/>
          <w:tab w:val="right" w:pos="900"/>
          <w:tab w:val="center" w:pos="4536"/>
          <w:tab w:val="right" w:pos="9071"/>
        </w:tabs>
        <w:spacing w:before="120" w:after="0" w:line="240" w:lineRule="auto"/>
        <w:ind w:left="644"/>
        <w:jc w:val="both"/>
        <w:rPr>
          <w:rFonts w:ascii="Times New Roman" w:eastAsia="Times New Roman" w:hAnsi="Times New Roman" w:cs="Times New Roman"/>
          <w:bCs/>
          <w:lang w:eastAsia="hu-HU"/>
        </w:rPr>
      </w:pPr>
      <w:r w:rsidRPr="009B2CD8">
        <w:rPr>
          <w:rFonts w:ascii="Times New Roman" w:eastAsia="Times New Roman" w:hAnsi="Times New Roman" w:cs="Times New Roman"/>
          <w:b/>
          <w:bCs/>
          <w:lang w:eastAsia="hu-HU"/>
        </w:rPr>
        <w:t xml:space="preserve">A szak(ok), szakirányok/specializációk megnevezése (ahol oktatják): </w:t>
      </w:r>
      <w:r w:rsidRPr="009B2CD8">
        <w:rPr>
          <w:rFonts w:ascii="Times New Roman" w:eastAsia="Times New Roman" w:hAnsi="Times New Roman" w:cs="Times New Roman"/>
          <w:bCs/>
          <w:lang w:eastAsia="hu-HU"/>
        </w:rPr>
        <w:t>Katonai logisztika (</w:t>
      </w:r>
      <w:r w:rsidR="00137B8A">
        <w:rPr>
          <w:rFonts w:ascii="Times New Roman" w:eastAsia="Times New Roman" w:hAnsi="Times New Roman" w:cs="Times New Roman"/>
          <w:bCs/>
          <w:lang w:eastAsia="hu-HU"/>
        </w:rPr>
        <w:t>BSc</w:t>
      </w:r>
      <w:r w:rsidRPr="009B2CD8">
        <w:rPr>
          <w:rFonts w:ascii="Times New Roman" w:eastAsia="Times New Roman" w:hAnsi="Times New Roman" w:cs="Times New Roman"/>
          <w:bCs/>
          <w:lang w:eastAsia="hu-HU"/>
        </w:rPr>
        <w:t>) alapképzési szak, haditechnika specializáció, fegyverzettechnikai modul</w:t>
      </w:r>
    </w:p>
    <w:p w:rsidR="009B2CD8" w:rsidRPr="009B2CD8" w:rsidRDefault="009B2CD8" w:rsidP="00980876">
      <w:pPr>
        <w:numPr>
          <w:ilvl w:val="0"/>
          <w:numId w:val="460"/>
        </w:numPr>
        <w:tabs>
          <w:tab w:val="clear" w:pos="720"/>
          <w:tab w:val="num" w:pos="644"/>
          <w:tab w:val="right" w:pos="900"/>
          <w:tab w:val="center" w:pos="4536"/>
          <w:tab w:val="right" w:pos="9071"/>
        </w:tabs>
        <w:spacing w:before="120" w:after="0" w:line="240" w:lineRule="auto"/>
        <w:ind w:left="644"/>
        <w:jc w:val="both"/>
        <w:rPr>
          <w:rFonts w:ascii="Times New Roman" w:eastAsia="Times New Roman" w:hAnsi="Times New Roman" w:cs="Times New Roman"/>
          <w:bCs/>
          <w:lang w:eastAsia="hu-HU"/>
        </w:rPr>
      </w:pPr>
      <w:r w:rsidRPr="009B2CD8">
        <w:rPr>
          <w:rFonts w:ascii="Times New Roman" w:eastAsia="Times New Roman" w:hAnsi="Times New Roman" w:cs="Times New Roman"/>
          <w:b/>
          <w:bCs/>
          <w:lang w:eastAsia="hu-HU"/>
        </w:rPr>
        <w:tab/>
        <w:t xml:space="preserve">Az oktatásért felelős oktatási szervezeti egység megnevezése: </w:t>
      </w:r>
      <w:r w:rsidRPr="009B2CD8">
        <w:rPr>
          <w:rFonts w:ascii="Times New Roman" w:eastAsia="Times New Roman" w:hAnsi="Times New Roman" w:cs="Times New Roman"/>
          <w:bCs/>
          <w:lang w:eastAsia="hu-HU"/>
        </w:rPr>
        <w:t>NKE,</w:t>
      </w:r>
      <w:r w:rsidRPr="009B2CD8">
        <w:rPr>
          <w:rFonts w:ascii="Times New Roman" w:eastAsia="Times New Roman" w:hAnsi="Times New Roman" w:cs="Times New Roman"/>
          <w:b/>
          <w:bCs/>
          <w:lang w:eastAsia="hu-HU"/>
        </w:rPr>
        <w:t xml:space="preserve"> </w:t>
      </w:r>
      <w:r w:rsidRPr="009B2CD8">
        <w:rPr>
          <w:rFonts w:ascii="Times New Roman" w:eastAsia="Times New Roman" w:hAnsi="Times New Roman" w:cs="Times New Roman"/>
          <w:bCs/>
          <w:lang w:eastAsia="hu-HU"/>
        </w:rPr>
        <w:t>Hadtudományi és Honvédtisztképző Kar, Haditechnikai Tanszék</w:t>
      </w:r>
    </w:p>
    <w:p w:rsidR="009B2CD8" w:rsidRPr="009B2CD8" w:rsidRDefault="009B2CD8" w:rsidP="00980876">
      <w:pPr>
        <w:numPr>
          <w:ilvl w:val="0"/>
          <w:numId w:val="460"/>
        </w:numPr>
        <w:tabs>
          <w:tab w:val="clear" w:pos="720"/>
          <w:tab w:val="num" w:pos="426"/>
          <w:tab w:val="num" w:pos="644"/>
          <w:tab w:val="right" w:pos="900"/>
          <w:tab w:val="center" w:pos="4536"/>
          <w:tab w:val="right" w:pos="9071"/>
        </w:tabs>
        <w:spacing w:before="120" w:after="0" w:line="240" w:lineRule="auto"/>
        <w:ind w:left="644"/>
        <w:jc w:val="both"/>
        <w:rPr>
          <w:rFonts w:ascii="Times New Roman" w:eastAsia="Times New Roman" w:hAnsi="Times New Roman" w:cs="Times New Roman"/>
          <w:bCs/>
          <w:lang w:eastAsia="hu-HU"/>
        </w:rPr>
      </w:pPr>
      <w:r w:rsidRPr="009B2CD8">
        <w:rPr>
          <w:rFonts w:ascii="Times New Roman" w:eastAsia="Times New Roman" w:hAnsi="Times New Roman" w:cs="Times New Roman"/>
          <w:b/>
          <w:bCs/>
          <w:lang w:eastAsia="hu-HU"/>
        </w:rPr>
        <w:t xml:space="preserve">  A tantárgyfelelős oktató neve, beosztása, tudományos fokozata: </w:t>
      </w:r>
      <w:r w:rsidRPr="009B2CD8">
        <w:rPr>
          <w:rFonts w:ascii="Times New Roman" w:eastAsia="Times New Roman" w:hAnsi="Times New Roman" w:cs="Times New Roman"/>
          <w:bCs/>
          <w:lang w:eastAsia="hu-HU"/>
        </w:rPr>
        <w:t>Dr. Gyarmati József PhD, egyetemi docens</w:t>
      </w:r>
    </w:p>
    <w:p w:rsidR="009B2CD8" w:rsidRPr="009B2CD8" w:rsidRDefault="009B2CD8" w:rsidP="00980876">
      <w:pPr>
        <w:numPr>
          <w:ilvl w:val="0"/>
          <w:numId w:val="460"/>
        </w:numPr>
        <w:tabs>
          <w:tab w:val="clear" w:pos="720"/>
          <w:tab w:val="num" w:pos="644"/>
          <w:tab w:val="right" w:pos="900"/>
          <w:tab w:val="center" w:pos="4536"/>
          <w:tab w:val="right" w:pos="9071"/>
        </w:tabs>
        <w:spacing w:before="120" w:after="0" w:line="240" w:lineRule="auto"/>
        <w:ind w:left="567" w:hanging="283"/>
        <w:jc w:val="both"/>
        <w:rPr>
          <w:rFonts w:ascii="Times New Roman" w:eastAsia="Times New Roman" w:hAnsi="Times New Roman" w:cs="Times New Roman"/>
          <w:b/>
          <w:lang w:eastAsia="hu-HU"/>
        </w:rPr>
      </w:pPr>
      <w:r w:rsidRPr="009B2CD8">
        <w:rPr>
          <w:rFonts w:ascii="Times New Roman" w:eastAsia="Times New Roman" w:hAnsi="Times New Roman" w:cs="Times New Roman"/>
          <w:b/>
          <w:bCs/>
          <w:lang w:eastAsia="hu-HU"/>
        </w:rPr>
        <w:t xml:space="preserve">A tanórák száma </w:t>
      </w:r>
      <w:r w:rsidRPr="009B2CD8">
        <w:rPr>
          <w:rFonts w:ascii="Times New Roman" w:eastAsia="Times New Roman" w:hAnsi="Times New Roman" w:cs="Times New Roman"/>
          <w:b/>
          <w:lang w:eastAsia="hu-HU"/>
        </w:rPr>
        <w:t>(előadás + szeminárium + gyakorlat)</w:t>
      </w:r>
    </w:p>
    <w:p w:rsidR="009B2CD8" w:rsidRPr="009B2CD8" w:rsidRDefault="009B2CD8" w:rsidP="00980876">
      <w:pPr>
        <w:numPr>
          <w:ilvl w:val="1"/>
          <w:numId w:val="460"/>
        </w:numPr>
        <w:tabs>
          <w:tab w:val="clear" w:pos="3977"/>
          <w:tab w:val="num" w:pos="1425"/>
        </w:tabs>
        <w:spacing w:before="120" w:after="0" w:line="240" w:lineRule="auto"/>
        <w:ind w:left="567" w:firstLine="0"/>
        <w:jc w:val="both"/>
        <w:rPr>
          <w:rFonts w:ascii="Times New Roman" w:eastAsia="Times New Roman" w:hAnsi="Times New Roman" w:cs="Times New Roman"/>
          <w:bCs/>
          <w:lang w:eastAsia="hu-HU"/>
        </w:rPr>
      </w:pPr>
      <w:r w:rsidRPr="009B2CD8">
        <w:rPr>
          <w:rFonts w:ascii="Times New Roman" w:eastAsia="Times New Roman" w:hAnsi="Times New Roman" w:cs="Times New Roman"/>
          <w:bCs/>
          <w:lang w:eastAsia="hu-HU"/>
        </w:rPr>
        <w:t>össz óraszám/félév: 28</w:t>
      </w:r>
    </w:p>
    <w:p w:rsidR="009B2CD8" w:rsidRPr="009B2CD8" w:rsidRDefault="009B2CD8" w:rsidP="00980876">
      <w:pPr>
        <w:numPr>
          <w:ilvl w:val="2"/>
          <w:numId w:val="460"/>
        </w:numPr>
        <w:tabs>
          <w:tab w:val="clear" w:pos="1800"/>
          <w:tab w:val="right" w:pos="900"/>
          <w:tab w:val="num" w:pos="1724"/>
          <w:tab w:val="num" w:pos="1843"/>
        </w:tabs>
        <w:spacing w:before="120" w:after="0" w:line="240" w:lineRule="auto"/>
        <w:ind w:left="709" w:firstLine="0"/>
        <w:jc w:val="both"/>
        <w:rPr>
          <w:rFonts w:ascii="Times New Roman" w:eastAsia="Times New Roman" w:hAnsi="Times New Roman" w:cs="Times New Roman"/>
          <w:bCs/>
          <w:lang w:eastAsia="hu-HU"/>
        </w:rPr>
      </w:pPr>
      <w:r w:rsidRPr="009B2CD8">
        <w:rPr>
          <w:rFonts w:ascii="Times New Roman" w:eastAsia="Times New Roman" w:hAnsi="Times New Roman" w:cs="Times New Roman"/>
          <w:bCs/>
          <w:lang w:eastAsia="hu-HU"/>
        </w:rPr>
        <w:t>Nappali munkarend: 28 (14 EA+ 0 SZ + 14 GY)</w:t>
      </w:r>
    </w:p>
    <w:p w:rsidR="009B2CD8" w:rsidRPr="009B2CD8" w:rsidRDefault="009B2CD8" w:rsidP="00980876">
      <w:pPr>
        <w:numPr>
          <w:ilvl w:val="2"/>
          <w:numId w:val="460"/>
        </w:numPr>
        <w:tabs>
          <w:tab w:val="clear" w:pos="1800"/>
          <w:tab w:val="right" w:pos="900"/>
          <w:tab w:val="num" w:pos="1724"/>
          <w:tab w:val="num" w:pos="1843"/>
        </w:tabs>
        <w:spacing w:before="120" w:after="0" w:line="240" w:lineRule="auto"/>
        <w:ind w:left="709" w:firstLine="0"/>
        <w:jc w:val="both"/>
        <w:rPr>
          <w:rFonts w:ascii="Times New Roman" w:eastAsia="Times New Roman" w:hAnsi="Times New Roman" w:cs="Times New Roman"/>
          <w:bCs/>
          <w:lang w:eastAsia="hu-HU"/>
        </w:rPr>
      </w:pPr>
      <w:r w:rsidRPr="009B2CD8">
        <w:rPr>
          <w:rFonts w:ascii="Times New Roman" w:eastAsia="Times New Roman" w:hAnsi="Times New Roman" w:cs="Times New Roman"/>
          <w:bCs/>
          <w:lang w:eastAsia="hu-HU"/>
        </w:rPr>
        <w:t>Levelező munkarend: -</w:t>
      </w:r>
    </w:p>
    <w:p w:rsidR="009B2CD8" w:rsidRPr="009B2CD8" w:rsidRDefault="009B2CD8" w:rsidP="00980876">
      <w:pPr>
        <w:numPr>
          <w:ilvl w:val="1"/>
          <w:numId w:val="460"/>
        </w:numPr>
        <w:tabs>
          <w:tab w:val="clear" w:pos="3977"/>
          <w:tab w:val="num" w:pos="1425"/>
        </w:tabs>
        <w:spacing w:before="120" w:after="120" w:line="240" w:lineRule="auto"/>
        <w:ind w:left="567" w:firstLine="0"/>
        <w:jc w:val="both"/>
        <w:rPr>
          <w:rFonts w:ascii="Times New Roman" w:eastAsia="Times New Roman" w:hAnsi="Times New Roman" w:cs="Times New Roman"/>
          <w:bCs/>
          <w:lang w:eastAsia="hu-HU"/>
        </w:rPr>
      </w:pPr>
      <w:r w:rsidRPr="009B2CD8">
        <w:rPr>
          <w:rFonts w:ascii="Times New Roman" w:eastAsia="Times New Roman" w:hAnsi="Times New Roman" w:cs="Times New Roman"/>
          <w:bCs/>
          <w:lang w:eastAsia="hu-HU"/>
        </w:rPr>
        <w:t>heti óraszám nappali munkarend: 2 (1 + 1)</w:t>
      </w:r>
    </w:p>
    <w:p w:rsidR="009B2CD8" w:rsidRPr="009B2CD8" w:rsidRDefault="009B2CD8" w:rsidP="00980876">
      <w:pPr>
        <w:numPr>
          <w:ilvl w:val="1"/>
          <w:numId w:val="460"/>
        </w:numPr>
        <w:tabs>
          <w:tab w:val="clear" w:pos="3977"/>
          <w:tab w:val="num" w:pos="1425"/>
        </w:tabs>
        <w:spacing w:before="120" w:after="120" w:line="240" w:lineRule="auto"/>
        <w:ind w:left="567" w:firstLine="0"/>
        <w:jc w:val="both"/>
        <w:rPr>
          <w:rFonts w:ascii="Times New Roman" w:eastAsia="Times New Roman" w:hAnsi="Times New Roman" w:cs="Times New Roman"/>
          <w:bCs/>
          <w:lang w:eastAsia="hu-HU"/>
        </w:rPr>
      </w:pPr>
      <w:r w:rsidRPr="009B2CD8">
        <w:rPr>
          <w:rFonts w:ascii="Times New Roman" w:eastAsia="Times New Roman" w:hAnsi="Times New Roman" w:cs="Times New Roman"/>
          <w:bCs/>
          <w:lang w:eastAsia="hu-HU"/>
        </w:rPr>
        <w:t>Az ismeret átadásában alkalmazandó további sajátos módok, jellemzők: vegyes tanulási program (blended learning)</w:t>
      </w:r>
    </w:p>
    <w:p w:rsidR="009B2CD8" w:rsidRPr="009B2CD8" w:rsidRDefault="009B2CD8" w:rsidP="00980876">
      <w:pPr>
        <w:numPr>
          <w:ilvl w:val="0"/>
          <w:numId w:val="460"/>
        </w:numPr>
        <w:tabs>
          <w:tab w:val="clear" w:pos="720"/>
          <w:tab w:val="num" w:pos="644"/>
        </w:tabs>
        <w:spacing w:before="100" w:beforeAutospacing="1" w:after="100" w:afterAutospacing="1" w:line="240" w:lineRule="auto"/>
        <w:ind w:left="644"/>
        <w:jc w:val="both"/>
        <w:rPr>
          <w:rFonts w:ascii="Times New Roman" w:eastAsia="Times New Roman" w:hAnsi="Times New Roman" w:cs="Times New Roman"/>
          <w:lang w:eastAsia="hu-HU"/>
        </w:rPr>
      </w:pPr>
      <w:r w:rsidRPr="009B2CD8">
        <w:rPr>
          <w:rFonts w:ascii="Times New Roman" w:eastAsia="Times New Roman" w:hAnsi="Times New Roman" w:cs="Times New Roman"/>
          <w:b/>
          <w:bCs/>
          <w:lang w:eastAsia="hu-HU"/>
        </w:rPr>
        <w:t xml:space="preserve">A tantárgy szakmai tartalma (magyarul): </w:t>
      </w:r>
      <w:r w:rsidRPr="009B2CD8">
        <w:rPr>
          <w:rFonts w:ascii="Times New Roman" w:eastAsia="Times New Roman" w:hAnsi="Times New Roman" w:cs="Times New Roman"/>
          <w:lang w:eastAsia="hu-HU"/>
        </w:rPr>
        <w:t>Lőszerek általános felépítése. Kézigránátok, jelzőtöltények. Tüzérségi lőszerek, repesztöltetek, üreges töltetek. Egy- és többfokozatú üreges töltetű lövedékek, lőszerek. Űrméretes és űrméret alatti lövedékek, nyíllövedékek. Szárazföldi haderőnél rendszeresített tüzérségi eszközök lőszereinek felépítése. Tüzérségi gyújtók és működésük.</w:t>
      </w:r>
    </w:p>
    <w:p w:rsidR="009B2CD8" w:rsidRPr="009B2CD8" w:rsidRDefault="009B2CD8" w:rsidP="009B2CD8">
      <w:pPr>
        <w:shd w:val="clear" w:color="auto" w:fill="FFFFFF"/>
        <w:spacing w:after="0" w:line="240" w:lineRule="auto"/>
        <w:ind w:left="709"/>
        <w:jc w:val="both"/>
        <w:textAlignment w:val="top"/>
        <w:rPr>
          <w:rFonts w:ascii="Times New Roman" w:eastAsia="Times New Roman" w:hAnsi="Times New Roman" w:cs="Times New Roman"/>
          <w:lang w:eastAsia="hu-HU"/>
        </w:rPr>
      </w:pPr>
      <w:r w:rsidRPr="009B2CD8">
        <w:rPr>
          <w:rFonts w:ascii="Times New Roman" w:eastAsia="Times New Roman" w:hAnsi="Times New Roman" w:cs="Times New Roman"/>
          <w:b/>
          <w:bCs/>
          <w:lang w:eastAsia="hu-HU"/>
        </w:rPr>
        <w:t xml:space="preserve">A tantárgy szakmai tartalma (angolul) (Course description): </w:t>
      </w:r>
      <w:r w:rsidRPr="009B2CD8">
        <w:rPr>
          <w:rFonts w:ascii="Times New Roman" w:eastAsia="Times New Roman" w:hAnsi="Times New Roman" w:cs="Times New Roman"/>
          <w:lang w:eastAsia="hu-HU"/>
        </w:rPr>
        <w:t>General construction of ammunition. Grenades, signaling cartridges. Artillery ammunition, crack charges, hollow charges. Single- and multi-level hollow-filled projectiles, ammunition. Space and sub-projectile projectiles, arrow projectiles. Structure artillery ammunition for ground forces. Artillery lighters and their operation.</w:t>
      </w:r>
    </w:p>
    <w:p w:rsidR="009B2CD8" w:rsidRPr="009B2CD8" w:rsidRDefault="009B2CD8" w:rsidP="00980876">
      <w:pPr>
        <w:numPr>
          <w:ilvl w:val="0"/>
          <w:numId w:val="460"/>
        </w:numPr>
        <w:tabs>
          <w:tab w:val="clear" w:pos="720"/>
          <w:tab w:val="num" w:pos="644"/>
          <w:tab w:val="right" w:pos="900"/>
          <w:tab w:val="center" w:pos="4536"/>
        </w:tabs>
        <w:spacing w:before="120" w:after="0" w:line="240" w:lineRule="auto"/>
        <w:ind w:left="641" w:hanging="357"/>
        <w:jc w:val="both"/>
        <w:rPr>
          <w:rFonts w:ascii="Times New Roman" w:eastAsia="Times New Roman" w:hAnsi="Times New Roman" w:cs="Times New Roman"/>
          <w:b/>
          <w:bCs/>
          <w:lang w:eastAsia="hu-HU"/>
        </w:rPr>
      </w:pPr>
      <w:r w:rsidRPr="009B2CD8">
        <w:rPr>
          <w:rFonts w:ascii="Times New Roman" w:eastAsia="Times New Roman" w:hAnsi="Times New Roman" w:cs="Times New Roman"/>
          <w:b/>
          <w:bCs/>
          <w:lang w:eastAsia="hu-HU"/>
        </w:rPr>
        <w:t>Elérendő kompetenciák (magyarul)</w:t>
      </w:r>
    </w:p>
    <w:p w:rsidR="009B2CD8" w:rsidRPr="009B2CD8" w:rsidRDefault="009B2CD8" w:rsidP="006250B7">
      <w:pPr>
        <w:autoSpaceDE w:val="0"/>
        <w:autoSpaceDN w:val="0"/>
        <w:adjustRightInd w:val="0"/>
        <w:spacing w:before="120" w:after="120" w:line="240" w:lineRule="auto"/>
        <w:ind w:left="646"/>
        <w:jc w:val="both"/>
        <w:rPr>
          <w:rFonts w:ascii="Times New Roman" w:eastAsia="Times New Roman" w:hAnsi="Times New Roman" w:cs="Times New Roman"/>
          <w:b/>
          <w:color w:val="000000"/>
          <w:lang w:eastAsia="hu-HU"/>
        </w:rPr>
      </w:pPr>
      <w:r w:rsidRPr="009B2CD8">
        <w:rPr>
          <w:rFonts w:ascii="Times New Roman" w:eastAsia="Times New Roman" w:hAnsi="Times New Roman" w:cs="Times New Roman"/>
          <w:b/>
          <w:color w:val="000000"/>
          <w:lang w:eastAsia="hu-HU"/>
        </w:rPr>
        <w:t>Tudása:</w:t>
      </w:r>
    </w:p>
    <w:p w:rsidR="009B2CD8" w:rsidRPr="009B2CD8" w:rsidRDefault="009B2CD8"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9B2CD8">
        <w:rPr>
          <w:rFonts w:ascii="Times New Roman" w:eastAsia="Times New Roman" w:hAnsi="Times New Roman" w:cs="Times New Roman"/>
          <w:color w:val="000000"/>
          <w:lang w:eastAsia="hu-HU"/>
        </w:rPr>
        <w:t>Megfelelő műszaki alapokkal rendelkezik, amelyek biztosítják az új ismeretek elsajátítását.</w:t>
      </w:r>
    </w:p>
    <w:p w:rsidR="009B2CD8" w:rsidRPr="009B2CD8" w:rsidRDefault="009B2CD8"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9B2CD8">
        <w:rPr>
          <w:rFonts w:ascii="Times New Roman" w:eastAsia="Times New Roman" w:hAnsi="Times New Roman" w:cs="Times New Roman"/>
          <w:color w:val="000000"/>
          <w:lang w:eastAsia="hu-HU"/>
        </w:rPr>
        <w:t>Ismeri a fegyverzettechnikai eszközök ellátáshoz és fenntartásához szükséges anyagok körét.</w:t>
      </w:r>
    </w:p>
    <w:p w:rsidR="009B2CD8" w:rsidRPr="009B2CD8" w:rsidRDefault="009B2CD8"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9B2CD8">
        <w:rPr>
          <w:rFonts w:ascii="Times New Roman" w:eastAsia="Times New Roman" w:hAnsi="Times New Roman" w:cs="Times New Roman"/>
          <w:color w:val="000000"/>
          <w:lang w:eastAsia="hu-HU"/>
        </w:rPr>
        <w:t>Ismeri a szakfeladatainak ellátásához szükséges munkavédelmi rendszabályokat.</w:t>
      </w:r>
    </w:p>
    <w:p w:rsidR="009B2CD8" w:rsidRPr="009B2CD8" w:rsidRDefault="009B2CD8"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9B2CD8">
        <w:rPr>
          <w:rFonts w:ascii="Times New Roman" w:eastAsia="Times New Roman" w:hAnsi="Times New Roman" w:cs="Times New Roman"/>
          <w:color w:val="000000"/>
          <w:lang w:eastAsia="hu-HU"/>
        </w:rPr>
        <w:t>Megfelelő mélységű és spektrumú fegyverzettechnikai típusismerettel rendelkezik.</w:t>
      </w:r>
    </w:p>
    <w:p w:rsidR="009B2CD8" w:rsidRPr="009B2CD8" w:rsidRDefault="009B2CD8" w:rsidP="006250B7">
      <w:pPr>
        <w:autoSpaceDE w:val="0"/>
        <w:autoSpaceDN w:val="0"/>
        <w:adjustRightInd w:val="0"/>
        <w:spacing w:before="120" w:after="120" w:line="240" w:lineRule="auto"/>
        <w:ind w:left="646"/>
        <w:jc w:val="both"/>
        <w:rPr>
          <w:rFonts w:ascii="Times New Roman" w:eastAsia="Times New Roman" w:hAnsi="Times New Roman" w:cs="Times New Roman"/>
          <w:b/>
          <w:color w:val="000000"/>
          <w:lang w:eastAsia="hu-HU"/>
        </w:rPr>
      </w:pPr>
      <w:r w:rsidRPr="009B2CD8">
        <w:rPr>
          <w:rFonts w:ascii="Times New Roman" w:eastAsia="Times New Roman" w:hAnsi="Times New Roman" w:cs="Times New Roman"/>
          <w:b/>
          <w:color w:val="000000"/>
          <w:lang w:eastAsia="hu-HU"/>
        </w:rPr>
        <w:t>Képességei:</w:t>
      </w:r>
    </w:p>
    <w:p w:rsidR="009B2CD8" w:rsidRPr="009B2CD8" w:rsidRDefault="009B2CD8"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9B2CD8">
        <w:rPr>
          <w:rFonts w:ascii="Times New Roman" w:eastAsia="Times New Roman" w:hAnsi="Times New Roman" w:cs="Times New Roman"/>
          <w:color w:val="000000"/>
          <w:lang w:eastAsia="hu-HU"/>
        </w:rPr>
        <w:t>Képes a szakterületén rendszeresített és használt berendezések és technikai eszközök használatának megszervezésére és hatékony alkalmazására.</w:t>
      </w:r>
    </w:p>
    <w:p w:rsidR="009B2CD8" w:rsidRPr="009B2CD8" w:rsidRDefault="009B2CD8"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9B2CD8">
        <w:rPr>
          <w:rFonts w:ascii="Times New Roman" w:eastAsia="Times New Roman" w:hAnsi="Times New Roman" w:cs="Times New Roman"/>
          <w:color w:val="000000"/>
          <w:lang w:eastAsia="hu-HU"/>
        </w:rPr>
        <w:lastRenderedPageBreak/>
        <w:t>Képes a megtanultakat felhasználva a szakterületén felmerülő új műszaki információkat megérteni és megtanulni.</w:t>
      </w:r>
    </w:p>
    <w:p w:rsidR="009B2CD8" w:rsidRPr="006250B7" w:rsidRDefault="009B2CD8" w:rsidP="006250B7">
      <w:pPr>
        <w:autoSpaceDE w:val="0"/>
        <w:autoSpaceDN w:val="0"/>
        <w:adjustRightInd w:val="0"/>
        <w:spacing w:before="120" w:after="120" w:line="240" w:lineRule="auto"/>
        <w:ind w:left="646"/>
        <w:jc w:val="both"/>
        <w:rPr>
          <w:rFonts w:ascii="Times New Roman" w:eastAsia="Times New Roman" w:hAnsi="Times New Roman" w:cs="Times New Roman"/>
          <w:b/>
          <w:color w:val="000000"/>
          <w:lang w:eastAsia="hu-HU"/>
        </w:rPr>
      </w:pPr>
      <w:r w:rsidRPr="006250B7">
        <w:rPr>
          <w:rFonts w:ascii="Times New Roman" w:eastAsia="Times New Roman" w:hAnsi="Times New Roman" w:cs="Times New Roman"/>
          <w:b/>
          <w:color w:val="000000"/>
          <w:lang w:eastAsia="hu-HU"/>
        </w:rPr>
        <w:t>Attitüdje:</w:t>
      </w:r>
    </w:p>
    <w:p w:rsidR="009B2CD8" w:rsidRPr="009B2CD8" w:rsidRDefault="009B2CD8"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9B2CD8">
        <w:rPr>
          <w:rFonts w:ascii="Times New Roman" w:eastAsia="Times New Roman" w:hAnsi="Times New Roman" w:cs="Times New Roman"/>
          <w:color w:val="000000"/>
          <w:lang w:eastAsia="hu-HU"/>
        </w:rPr>
        <w:t>Nyitott a fegyverzettechnikával kapcsolatos szakmai ismereteinek gyarapítása iránt, folyamatos önképzési igény jellemzi.</w:t>
      </w:r>
    </w:p>
    <w:p w:rsidR="009B2CD8" w:rsidRPr="009B2CD8" w:rsidRDefault="009B2CD8"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9B2CD8">
        <w:rPr>
          <w:rFonts w:ascii="Times New Roman" w:eastAsia="Times New Roman" w:hAnsi="Times New Roman" w:cs="Times New Roman"/>
          <w:color w:val="000000"/>
          <w:lang w:eastAsia="hu-HU"/>
        </w:rPr>
        <w:t xml:space="preserve">Nyitott szakterülete új eredményei felé, törekszik azok megismerésére. </w:t>
      </w:r>
    </w:p>
    <w:p w:rsidR="009B2CD8" w:rsidRPr="006250B7" w:rsidRDefault="009B2CD8" w:rsidP="006250B7">
      <w:pPr>
        <w:autoSpaceDE w:val="0"/>
        <w:autoSpaceDN w:val="0"/>
        <w:adjustRightInd w:val="0"/>
        <w:spacing w:before="120" w:after="120" w:line="240" w:lineRule="auto"/>
        <w:ind w:left="646"/>
        <w:jc w:val="both"/>
        <w:rPr>
          <w:rFonts w:ascii="Times New Roman" w:eastAsia="Times New Roman" w:hAnsi="Times New Roman" w:cs="Times New Roman"/>
          <w:b/>
          <w:color w:val="000000"/>
          <w:lang w:eastAsia="hu-HU"/>
        </w:rPr>
      </w:pPr>
      <w:r w:rsidRPr="006250B7">
        <w:rPr>
          <w:rFonts w:ascii="Times New Roman" w:eastAsia="Times New Roman" w:hAnsi="Times New Roman" w:cs="Times New Roman"/>
          <w:b/>
          <w:color w:val="000000"/>
          <w:lang w:eastAsia="hu-HU"/>
        </w:rPr>
        <w:t>Autonómiája és felelőssége:</w:t>
      </w:r>
    </w:p>
    <w:p w:rsidR="009B2CD8" w:rsidRPr="009B2CD8" w:rsidRDefault="009B2CD8"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9B2CD8">
        <w:rPr>
          <w:rFonts w:ascii="Times New Roman" w:eastAsia="Times New Roman" w:hAnsi="Times New Roman" w:cs="Times New Roman"/>
          <w:color w:val="000000"/>
          <w:lang w:eastAsia="hu-HU"/>
        </w:rPr>
        <w:t>Képes szakfeladatait önállóan végezni, saját munkáját hatékonyan megszervezni és végrehajtani.</w:t>
      </w:r>
    </w:p>
    <w:p w:rsidR="009B2CD8" w:rsidRPr="009B2CD8" w:rsidRDefault="009B2CD8"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9B2CD8">
        <w:rPr>
          <w:rFonts w:ascii="Times New Roman" w:eastAsia="Times New Roman" w:hAnsi="Times New Roman" w:cs="Times New Roman"/>
          <w:color w:val="000000"/>
          <w:lang w:eastAsia="hu-HU"/>
        </w:rPr>
        <w:t>Együttműködés és felelősség jellemzi szakterületének szakembereivel szemben.</w:t>
      </w:r>
    </w:p>
    <w:p w:rsidR="009B2CD8" w:rsidRPr="009B2CD8" w:rsidRDefault="009B2CD8"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9B2CD8">
        <w:rPr>
          <w:rFonts w:ascii="Times New Roman" w:eastAsia="Times New Roman" w:hAnsi="Times New Roman" w:cs="Times New Roman"/>
          <w:color w:val="000000"/>
          <w:lang w:eastAsia="hu-HU"/>
        </w:rPr>
        <w:t>Szakterületén belül képes rendszer-szemléletűen gondolkodni.</w:t>
      </w:r>
    </w:p>
    <w:p w:rsidR="009B2CD8" w:rsidRPr="009B2CD8" w:rsidRDefault="009B2CD8" w:rsidP="009B2CD8">
      <w:pPr>
        <w:autoSpaceDE w:val="0"/>
        <w:autoSpaceDN w:val="0"/>
        <w:adjustRightInd w:val="0"/>
        <w:spacing w:before="240" w:after="0" w:line="240" w:lineRule="auto"/>
        <w:ind w:left="644"/>
        <w:jc w:val="both"/>
        <w:rPr>
          <w:rFonts w:ascii="Times New Roman" w:eastAsia="Times New Roman" w:hAnsi="Times New Roman" w:cs="Times New Roman"/>
          <w:b/>
          <w:bCs/>
          <w:color w:val="000000"/>
          <w:lang w:eastAsia="hu-HU"/>
        </w:rPr>
      </w:pPr>
      <w:r w:rsidRPr="009B2CD8">
        <w:rPr>
          <w:rFonts w:ascii="Times New Roman" w:eastAsia="Times New Roman" w:hAnsi="Times New Roman" w:cs="Times New Roman"/>
          <w:b/>
          <w:bCs/>
          <w:color w:val="000000"/>
          <w:lang w:eastAsia="hu-HU"/>
        </w:rPr>
        <w:t>Elérendő kompetenciák (angolul):</w:t>
      </w:r>
    </w:p>
    <w:p w:rsidR="009B2CD8" w:rsidRPr="006250B7" w:rsidRDefault="009B2CD8" w:rsidP="006250B7">
      <w:pPr>
        <w:autoSpaceDE w:val="0"/>
        <w:autoSpaceDN w:val="0"/>
        <w:adjustRightInd w:val="0"/>
        <w:spacing w:before="120" w:after="120" w:line="240" w:lineRule="auto"/>
        <w:ind w:left="646"/>
        <w:jc w:val="both"/>
        <w:rPr>
          <w:rFonts w:ascii="Times New Roman" w:eastAsia="Times New Roman" w:hAnsi="Times New Roman" w:cs="Times New Roman"/>
          <w:b/>
          <w:color w:val="000000"/>
          <w:lang w:eastAsia="hu-HU"/>
        </w:rPr>
      </w:pPr>
      <w:r w:rsidRPr="006250B7">
        <w:rPr>
          <w:rFonts w:ascii="Times New Roman" w:eastAsia="Times New Roman" w:hAnsi="Times New Roman" w:cs="Times New Roman"/>
          <w:b/>
          <w:color w:val="000000"/>
          <w:lang w:eastAsia="hu-HU"/>
        </w:rPr>
        <w:t>Knowledge:</w:t>
      </w:r>
    </w:p>
    <w:p w:rsidR="009B2CD8" w:rsidRPr="009B2CD8" w:rsidRDefault="009B2CD8"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9B2CD8">
        <w:rPr>
          <w:rFonts w:ascii="Times New Roman" w:eastAsia="Times New Roman" w:hAnsi="Times New Roman" w:cs="Times New Roman"/>
          <w:color w:val="000000"/>
          <w:lang w:eastAsia="hu-HU"/>
        </w:rPr>
        <w:t>Possesses adequate basic engineering knowledge which enables the acquirement of new knowledge.</w:t>
      </w:r>
    </w:p>
    <w:p w:rsidR="009B2CD8" w:rsidRPr="009B2CD8" w:rsidRDefault="009B2CD8"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9B2CD8">
        <w:rPr>
          <w:rFonts w:ascii="Times New Roman" w:eastAsia="Times New Roman" w:hAnsi="Times New Roman" w:cs="Times New Roman"/>
          <w:color w:val="000000"/>
          <w:lang w:eastAsia="hu-HU"/>
        </w:rPr>
        <w:t>Knows the range of materials required for the maintenance of the weapon.</w:t>
      </w:r>
    </w:p>
    <w:p w:rsidR="009B2CD8" w:rsidRPr="009B2CD8" w:rsidRDefault="009B2CD8"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9B2CD8">
        <w:rPr>
          <w:rFonts w:ascii="Times New Roman" w:eastAsia="Times New Roman" w:hAnsi="Times New Roman" w:cs="Times New Roman"/>
          <w:color w:val="000000"/>
          <w:lang w:eastAsia="hu-HU"/>
        </w:rPr>
        <w:t>Knows the work safety regulations required for fulfilling his/her professional tasks.</w:t>
      </w:r>
    </w:p>
    <w:p w:rsidR="009B2CD8" w:rsidRPr="009B2CD8" w:rsidRDefault="009B2CD8"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9B2CD8">
        <w:rPr>
          <w:rFonts w:ascii="Times New Roman" w:eastAsia="Times New Roman" w:hAnsi="Times New Roman" w:cs="Times New Roman"/>
          <w:color w:val="000000"/>
          <w:lang w:eastAsia="hu-HU"/>
        </w:rPr>
        <w:t>Possesses knowledge of adequate depth and spectrum regarding weapon types.</w:t>
      </w:r>
    </w:p>
    <w:p w:rsidR="009B2CD8" w:rsidRPr="006250B7" w:rsidRDefault="009B2CD8" w:rsidP="006250B7">
      <w:pPr>
        <w:autoSpaceDE w:val="0"/>
        <w:autoSpaceDN w:val="0"/>
        <w:adjustRightInd w:val="0"/>
        <w:spacing w:before="120" w:after="120" w:line="240" w:lineRule="auto"/>
        <w:ind w:left="646"/>
        <w:jc w:val="both"/>
        <w:rPr>
          <w:rFonts w:ascii="Times New Roman" w:eastAsia="Times New Roman" w:hAnsi="Times New Roman" w:cs="Times New Roman"/>
          <w:b/>
          <w:color w:val="000000"/>
          <w:lang w:eastAsia="hu-HU"/>
        </w:rPr>
      </w:pPr>
      <w:r w:rsidRPr="006250B7">
        <w:rPr>
          <w:rFonts w:ascii="Times New Roman" w:eastAsia="Times New Roman" w:hAnsi="Times New Roman" w:cs="Times New Roman"/>
          <w:b/>
          <w:color w:val="000000"/>
          <w:lang w:eastAsia="hu-HU"/>
        </w:rPr>
        <w:t>Capabilities:</w:t>
      </w:r>
    </w:p>
    <w:p w:rsidR="009B2CD8" w:rsidRPr="009B2CD8" w:rsidRDefault="009B2CD8"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9B2CD8">
        <w:rPr>
          <w:rFonts w:ascii="Times New Roman" w:eastAsia="Times New Roman" w:hAnsi="Times New Roman" w:cs="Times New Roman"/>
          <w:color w:val="000000"/>
          <w:lang w:eastAsia="hu-HU"/>
        </w:rPr>
        <w:t>Is capable of organizing and efficiently utilizing the usage of the equipment and technical appliances applied in his/her respective specialty field.</w:t>
      </w:r>
    </w:p>
    <w:p w:rsidR="009B2CD8" w:rsidRPr="009B2CD8" w:rsidRDefault="009B2CD8"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9B2CD8">
        <w:rPr>
          <w:rFonts w:ascii="Times New Roman" w:eastAsia="Times New Roman" w:hAnsi="Times New Roman" w:cs="Times New Roman"/>
          <w:color w:val="000000"/>
          <w:lang w:eastAsia="hu-HU"/>
        </w:rPr>
        <w:t>Is capable of acqiring the understaning of new engineering information arising in his/her field of specialty using the already gained knowldge.</w:t>
      </w:r>
    </w:p>
    <w:p w:rsidR="009B2CD8" w:rsidRPr="006250B7" w:rsidRDefault="009B2CD8" w:rsidP="006250B7">
      <w:pPr>
        <w:autoSpaceDE w:val="0"/>
        <w:autoSpaceDN w:val="0"/>
        <w:adjustRightInd w:val="0"/>
        <w:spacing w:before="120" w:after="120" w:line="240" w:lineRule="auto"/>
        <w:ind w:left="646"/>
        <w:jc w:val="both"/>
        <w:rPr>
          <w:rFonts w:ascii="Times New Roman" w:eastAsia="Times New Roman" w:hAnsi="Times New Roman" w:cs="Times New Roman"/>
          <w:b/>
          <w:color w:val="000000"/>
          <w:lang w:eastAsia="hu-HU"/>
        </w:rPr>
      </w:pPr>
      <w:r w:rsidRPr="006250B7">
        <w:rPr>
          <w:rFonts w:ascii="Times New Roman" w:eastAsia="Times New Roman" w:hAnsi="Times New Roman" w:cs="Times New Roman"/>
          <w:b/>
          <w:color w:val="000000"/>
          <w:lang w:eastAsia="hu-HU"/>
        </w:rPr>
        <w:t>Attitude:</w:t>
      </w:r>
    </w:p>
    <w:p w:rsidR="009B2CD8" w:rsidRPr="009B2CD8" w:rsidRDefault="009B2CD8"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9B2CD8">
        <w:rPr>
          <w:rFonts w:ascii="Times New Roman" w:eastAsia="Times New Roman" w:hAnsi="Times New Roman" w:cs="Times New Roman"/>
          <w:color w:val="000000"/>
          <w:lang w:eastAsia="hu-HU"/>
        </w:rPr>
        <w:t>He/she is open to widen his/her knowledge regarding weapons and has a constant need for self-education.</w:t>
      </w:r>
    </w:p>
    <w:p w:rsidR="009B2CD8" w:rsidRPr="009B2CD8" w:rsidRDefault="009B2CD8"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9B2CD8">
        <w:rPr>
          <w:rFonts w:ascii="Times New Roman" w:eastAsia="Times New Roman" w:hAnsi="Times New Roman" w:cs="Times New Roman"/>
          <w:color w:val="000000"/>
          <w:lang w:eastAsia="hu-HU"/>
        </w:rPr>
        <w:t>He/she is open towards the new accomplishments of military technology and aims to gain knowledge of these.</w:t>
      </w:r>
    </w:p>
    <w:p w:rsidR="009B2CD8" w:rsidRPr="006250B7" w:rsidRDefault="009B2CD8" w:rsidP="006250B7">
      <w:pPr>
        <w:autoSpaceDE w:val="0"/>
        <w:autoSpaceDN w:val="0"/>
        <w:adjustRightInd w:val="0"/>
        <w:spacing w:before="120" w:after="120" w:line="240" w:lineRule="auto"/>
        <w:ind w:left="646"/>
        <w:jc w:val="both"/>
        <w:rPr>
          <w:rFonts w:ascii="Times New Roman" w:eastAsia="Times New Roman" w:hAnsi="Times New Roman" w:cs="Times New Roman"/>
          <w:b/>
          <w:color w:val="000000"/>
          <w:lang w:eastAsia="hu-HU"/>
        </w:rPr>
      </w:pPr>
      <w:r w:rsidRPr="006250B7">
        <w:rPr>
          <w:rFonts w:ascii="Times New Roman" w:eastAsia="Times New Roman" w:hAnsi="Times New Roman" w:cs="Times New Roman"/>
          <w:b/>
          <w:color w:val="000000"/>
          <w:lang w:eastAsia="hu-HU"/>
        </w:rPr>
        <w:t>Autonomy and responsibility</w:t>
      </w:r>
    </w:p>
    <w:p w:rsidR="009B2CD8" w:rsidRPr="009B2CD8" w:rsidRDefault="009B2CD8" w:rsidP="00980876">
      <w:pPr>
        <w:numPr>
          <w:ilvl w:val="0"/>
          <w:numId w:val="414"/>
        </w:numPr>
        <w:autoSpaceDE w:val="0"/>
        <w:autoSpaceDN w:val="0"/>
        <w:adjustRightInd w:val="0"/>
        <w:spacing w:before="120" w:after="0" w:line="240" w:lineRule="auto"/>
        <w:jc w:val="both"/>
        <w:rPr>
          <w:rFonts w:ascii="Times New Roman" w:eastAsia="Times New Roman" w:hAnsi="Times New Roman" w:cs="Times New Roman"/>
          <w:color w:val="000000"/>
          <w:lang w:eastAsia="hu-HU"/>
        </w:rPr>
      </w:pPr>
      <w:r w:rsidRPr="009B2CD8">
        <w:rPr>
          <w:rFonts w:ascii="Times New Roman" w:eastAsia="Times New Roman" w:hAnsi="Times New Roman" w:cs="Times New Roman"/>
          <w:color w:val="000000"/>
          <w:lang w:eastAsia="hu-HU"/>
        </w:rPr>
        <w:t>Is capable of independently fulfilling his/her professional tasks as well as effectively organizing and executing his/her own work.</w:t>
      </w:r>
    </w:p>
    <w:p w:rsidR="009B2CD8" w:rsidRPr="009B2CD8" w:rsidRDefault="009B2CD8" w:rsidP="00980876">
      <w:pPr>
        <w:numPr>
          <w:ilvl w:val="0"/>
          <w:numId w:val="414"/>
        </w:numPr>
        <w:autoSpaceDE w:val="0"/>
        <w:autoSpaceDN w:val="0"/>
        <w:adjustRightInd w:val="0"/>
        <w:spacing w:before="120" w:after="0" w:line="240" w:lineRule="auto"/>
        <w:jc w:val="both"/>
        <w:rPr>
          <w:rFonts w:ascii="Times New Roman" w:eastAsia="Times New Roman" w:hAnsi="Times New Roman" w:cs="Times New Roman"/>
          <w:color w:val="000000"/>
          <w:lang w:eastAsia="hu-HU"/>
        </w:rPr>
      </w:pPr>
      <w:r w:rsidRPr="009B2CD8">
        <w:rPr>
          <w:rFonts w:ascii="Times New Roman" w:eastAsia="Times New Roman" w:hAnsi="Times New Roman" w:cs="Times New Roman"/>
          <w:color w:val="000000"/>
          <w:lang w:eastAsia="hu-HU"/>
        </w:rPr>
        <w:t>He/she is cooperative and responsible towards the professionals of his/her field. Is capable of thinking in a system approach within his/her own field.</w:t>
      </w:r>
    </w:p>
    <w:p w:rsidR="009B2CD8" w:rsidRPr="009B2CD8" w:rsidRDefault="009B2CD8" w:rsidP="00980876">
      <w:pPr>
        <w:numPr>
          <w:ilvl w:val="0"/>
          <w:numId w:val="460"/>
        </w:numPr>
        <w:tabs>
          <w:tab w:val="clear" w:pos="720"/>
          <w:tab w:val="num" w:pos="644"/>
          <w:tab w:val="right" w:pos="900"/>
          <w:tab w:val="center" w:pos="4536"/>
          <w:tab w:val="right" w:pos="9071"/>
        </w:tabs>
        <w:spacing w:before="120" w:after="0" w:line="240" w:lineRule="auto"/>
        <w:ind w:left="644"/>
        <w:jc w:val="both"/>
        <w:rPr>
          <w:rFonts w:ascii="Times New Roman" w:eastAsia="Times New Roman" w:hAnsi="Times New Roman" w:cs="Times New Roman"/>
          <w:bCs/>
          <w:lang w:eastAsia="hu-HU"/>
        </w:rPr>
      </w:pPr>
      <w:r w:rsidRPr="009B2CD8">
        <w:rPr>
          <w:rFonts w:ascii="Times New Roman" w:eastAsia="Times New Roman" w:hAnsi="Times New Roman" w:cs="Times New Roman"/>
          <w:b/>
          <w:bCs/>
          <w:lang w:eastAsia="hu-HU"/>
        </w:rPr>
        <w:t xml:space="preserve">Előtanulmányi kötelezettségek:  - </w:t>
      </w:r>
    </w:p>
    <w:p w:rsidR="009B2CD8" w:rsidRPr="009B2CD8" w:rsidRDefault="009B2CD8" w:rsidP="00980876">
      <w:pPr>
        <w:numPr>
          <w:ilvl w:val="0"/>
          <w:numId w:val="460"/>
        </w:numPr>
        <w:tabs>
          <w:tab w:val="clear" w:pos="720"/>
          <w:tab w:val="num" w:pos="644"/>
        </w:tabs>
        <w:spacing w:before="120" w:after="0" w:line="240" w:lineRule="auto"/>
        <w:ind w:left="641" w:hanging="357"/>
        <w:jc w:val="both"/>
        <w:rPr>
          <w:rFonts w:ascii="Times New Roman" w:eastAsia="Times New Roman" w:hAnsi="Times New Roman" w:cs="Times New Roman"/>
          <w:b/>
          <w:lang w:eastAsia="hu-HU"/>
        </w:rPr>
      </w:pPr>
      <w:r w:rsidRPr="009B2CD8">
        <w:rPr>
          <w:rFonts w:ascii="Times New Roman" w:eastAsia="Times New Roman" w:hAnsi="Times New Roman" w:cs="Times New Roman"/>
          <w:b/>
          <w:lang w:eastAsia="hu-HU"/>
        </w:rPr>
        <w:t>A tantárgy tananyagának leírása: (tematika):</w:t>
      </w:r>
    </w:p>
    <w:p w:rsidR="009B2CD8" w:rsidRPr="009B2CD8" w:rsidRDefault="009B2CD8" w:rsidP="00980876">
      <w:pPr>
        <w:numPr>
          <w:ilvl w:val="1"/>
          <w:numId w:val="460"/>
        </w:numPr>
        <w:tabs>
          <w:tab w:val="clear" w:pos="3977"/>
        </w:tabs>
        <w:spacing w:before="60" w:after="0" w:line="240" w:lineRule="auto"/>
        <w:ind w:left="1276" w:hanging="709"/>
        <w:jc w:val="both"/>
        <w:rPr>
          <w:rFonts w:ascii="Times New Roman" w:eastAsia="Times New Roman" w:hAnsi="Times New Roman" w:cs="Times New Roman"/>
          <w:i/>
          <w:lang w:eastAsia="hu-HU"/>
        </w:rPr>
      </w:pPr>
      <w:r w:rsidRPr="009B2CD8">
        <w:rPr>
          <w:rFonts w:ascii="Times New Roman" w:eastAsia="Times New Roman" w:hAnsi="Times New Roman" w:cs="Times New Roman"/>
          <w:lang w:eastAsia="hu-HU"/>
        </w:rPr>
        <w:t xml:space="preserve">Lőporok fajtái </w:t>
      </w:r>
      <w:r w:rsidRPr="009B2CD8">
        <w:rPr>
          <w:rFonts w:ascii="Times New Roman" w:eastAsia="Times New Roman" w:hAnsi="Times New Roman" w:cs="Times New Roman"/>
          <w:i/>
          <w:lang w:eastAsia="hu-HU"/>
        </w:rPr>
        <w:t>(Types of gunpowder)</w:t>
      </w:r>
    </w:p>
    <w:p w:rsidR="009B2CD8" w:rsidRPr="009B2CD8" w:rsidRDefault="009B2CD8" w:rsidP="00980876">
      <w:pPr>
        <w:numPr>
          <w:ilvl w:val="1"/>
          <w:numId w:val="460"/>
        </w:numPr>
        <w:tabs>
          <w:tab w:val="clear" w:pos="3977"/>
        </w:tabs>
        <w:spacing w:before="60" w:after="0" w:line="240" w:lineRule="auto"/>
        <w:ind w:left="1276" w:hanging="709"/>
        <w:jc w:val="both"/>
        <w:rPr>
          <w:rFonts w:ascii="Times New Roman" w:eastAsia="Times New Roman" w:hAnsi="Times New Roman" w:cs="Times New Roman"/>
          <w:lang w:eastAsia="hu-HU"/>
        </w:rPr>
      </w:pPr>
      <w:r w:rsidRPr="009B2CD8">
        <w:rPr>
          <w:rFonts w:ascii="Times New Roman" w:eastAsia="Times New Roman" w:hAnsi="Times New Roman" w:cs="Times New Roman"/>
          <w:lang w:eastAsia="hu-HU"/>
        </w:rPr>
        <w:t xml:space="preserve">Lőporok tulajdonságai </w:t>
      </w:r>
      <w:r w:rsidRPr="009B2CD8">
        <w:rPr>
          <w:rFonts w:ascii="Times New Roman" w:eastAsia="Times New Roman" w:hAnsi="Times New Roman" w:cs="Times New Roman"/>
          <w:i/>
          <w:lang w:eastAsia="hu-HU"/>
        </w:rPr>
        <w:t>(Properties of gunpowder)</w:t>
      </w:r>
    </w:p>
    <w:p w:rsidR="009B2CD8" w:rsidRPr="009B2CD8" w:rsidRDefault="009B2CD8" w:rsidP="00980876">
      <w:pPr>
        <w:numPr>
          <w:ilvl w:val="1"/>
          <w:numId w:val="460"/>
        </w:numPr>
        <w:tabs>
          <w:tab w:val="clear" w:pos="3977"/>
        </w:tabs>
        <w:spacing w:before="60" w:after="0" w:line="240" w:lineRule="auto"/>
        <w:ind w:left="1276" w:hanging="709"/>
        <w:jc w:val="both"/>
        <w:rPr>
          <w:rFonts w:ascii="Times New Roman" w:eastAsia="Times New Roman" w:hAnsi="Times New Roman" w:cs="Times New Roman"/>
          <w:lang w:eastAsia="hu-HU"/>
        </w:rPr>
      </w:pPr>
      <w:r w:rsidRPr="009B2CD8">
        <w:rPr>
          <w:rFonts w:ascii="Times New Roman" w:eastAsia="Times New Roman" w:hAnsi="Times New Roman" w:cs="Times New Roman"/>
          <w:lang w:eastAsia="hu-HU"/>
        </w:rPr>
        <w:t xml:space="preserve">Lőporgyártás folyamata </w:t>
      </w:r>
      <w:r w:rsidRPr="009B2CD8">
        <w:rPr>
          <w:rFonts w:ascii="Times New Roman" w:eastAsia="Times New Roman" w:hAnsi="Times New Roman" w:cs="Times New Roman"/>
          <w:i/>
          <w:lang w:eastAsia="hu-HU"/>
        </w:rPr>
        <w:t>(The process of gunpowder production)</w:t>
      </w:r>
    </w:p>
    <w:p w:rsidR="009B2CD8" w:rsidRPr="009B2CD8" w:rsidRDefault="009B2CD8" w:rsidP="00980876">
      <w:pPr>
        <w:numPr>
          <w:ilvl w:val="1"/>
          <w:numId w:val="460"/>
        </w:numPr>
        <w:tabs>
          <w:tab w:val="clear" w:pos="3977"/>
        </w:tabs>
        <w:spacing w:before="60" w:after="0" w:line="240" w:lineRule="auto"/>
        <w:ind w:left="1276" w:hanging="709"/>
        <w:jc w:val="both"/>
        <w:rPr>
          <w:rFonts w:ascii="Times New Roman" w:eastAsia="Times New Roman" w:hAnsi="Times New Roman" w:cs="Times New Roman"/>
          <w:lang w:eastAsia="hu-HU"/>
        </w:rPr>
      </w:pPr>
      <w:r w:rsidRPr="009B2CD8">
        <w:rPr>
          <w:rFonts w:ascii="Times New Roman" w:eastAsia="Times New Roman" w:hAnsi="Times New Roman" w:cs="Times New Roman"/>
          <w:lang w:eastAsia="hu-HU"/>
        </w:rPr>
        <w:t xml:space="preserve">Lőszerek általános felépítése </w:t>
      </w:r>
      <w:r w:rsidRPr="009B2CD8">
        <w:rPr>
          <w:rFonts w:ascii="Times New Roman" w:eastAsia="Times New Roman" w:hAnsi="Times New Roman" w:cs="Times New Roman"/>
          <w:i/>
          <w:lang w:eastAsia="hu-HU"/>
        </w:rPr>
        <w:t>(General construction of ammunition)</w:t>
      </w:r>
    </w:p>
    <w:p w:rsidR="009B2CD8" w:rsidRPr="009B2CD8" w:rsidRDefault="009B2CD8" w:rsidP="00980876">
      <w:pPr>
        <w:numPr>
          <w:ilvl w:val="1"/>
          <w:numId w:val="460"/>
        </w:numPr>
        <w:tabs>
          <w:tab w:val="clear" w:pos="3977"/>
        </w:tabs>
        <w:spacing w:before="60" w:after="0" w:line="240" w:lineRule="auto"/>
        <w:ind w:left="1276" w:hanging="709"/>
        <w:jc w:val="both"/>
        <w:rPr>
          <w:rFonts w:ascii="Times New Roman" w:eastAsia="Times New Roman" w:hAnsi="Times New Roman" w:cs="Times New Roman"/>
          <w:lang w:eastAsia="hu-HU"/>
        </w:rPr>
      </w:pPr>
      <w:r w:rsidRPr="009B2CD8">
        <w:rPr>
          <w:rFonts w:ascii="Times New Roman" w:eastAsia="Times New Roman" w:hAnsi="Times New Roman" w:cs="Times New Roman"/>
          <w:lang w:eastAsia="hu-HU"/>
        </w:rPr>
        <w:t>Kézigránátok (</w:t>
      </w:r>
      <w:r w:rsidRPr="009B2CD8">
        <w:rPr>
          <w:rFonts w:ascii="Times New Roman" w:eastAsia="Times New Roman" w:hAnsi="Times New Roman" w:cs="Times New Roman"/>
          <w:i/>
          <w:lang w:eastAsia="hu-HU"/>
        </w:rPr>
        <w:t>Hand grenades)</w:t>
      </w:r>
    </w:p>
    <w:p w:rsidR="009B2CD8" w:rsidRPr="009B2CD8" w:rsidRDefault="009B2CD8" w:rsidP="00980876">
      <w:pPr>
        <w:numPr>
          <w:ilvl w:val="1"/>
          <w:numId w:val="460"/>
        </w:numPr>
        <w:tabs>
          <w:tab w:val="clear" w:pos="3977"/>
        </w:tabs>
        <w:spacing w:before="60" w:after="0" w:line="240" w:lineRule="auto"/>
        <w:ind w:left="1276" w:hanging="709"/>
        <w:jc w:val="both"/>
        <w:rPr>
          <w:rFonts w:ascii="Times New Roman" w:eastAsia="Times New Roman" w:hAnsi="Times New Roman" w:cs="Times New Roman"/>
          <w:i/>
          <w:lang w:eastAsia="hu-HU"/>
        </w:rPr>
      </w:pPr>
      <w:r w:rsidRPr="009B2CD8">
        <w:rPr>
          <w:rFonts w:ascii="Times New Roman" w:eastAsia="Times New Roman" w:hAnsi="Times New Roman" w:cs="Times New Roman"/>
          <w:lang w:eastAsia="hu-HU"/>
        </w:rPr>
        <w:t xml:space="preserve">Jelzőtöltények </w:t>
      </w:r>
      <w:r w:rsidRPr="009B2CD8">
        <w:rPr>
          <w:rFonts w:ascii="Times New Roman" w:eastAsia="Times New Roman" w:hAnsi="Times New Roman" w:cs="Times New Roman"/>
          <w:i/>
          <w:lang w:eastAsia="hu-HU"/>
        </w:rPr>
        <w:t>(Signal rockets)</w:t>
      </w:r>
    </w:p>
    <w:p w:rsidR="009B2CD8" w:rsidRPr="009B2CD8" w:rsidRDefault="009B2CD8" w:rsidP="00980876">
      <w:pPr>
        <w:numPr>
          <w:ilvl w:val="1"/>
          <w:numId w:val="460"/>
        </w:numPr>
        <w:tabs>
          <w:tab w:val="clear" w:pos="3977"/>
        </w:tabs>
        <w:spacing w:before="60" w:after="0" w:line="240" w:lineRule="auto"/>
        <w:ind w:left="1276" w:hanging="709"/>
        <w:jc w:val="both"/>
        <w:rPr>
          <w:rFonts w:ascii="Times New Roman" w:eastAsia="Times New Roman" w:hAnsi="Times New Roman" w:cs="Times New Roman"/>
          <w:lang w:eastAsia="hu-HU"/>
        </w:rPr>
      </w:pPr>
      <w:r w:rsidRPr="009B2CD8">
        <w:rPr>
          <w:rFonts w:ascii="Times New Roman" w:eastAsia="Times New Roman" w:hAnsi="Times New Roman" w:cs="Times New Roman"/>
          <w:lang w:eastAsia="hu-HU"/>
        </w:rPr>
        <w:t xml:space="preserve">Tüzérségi lőszerek </w:t>
      </w:r>
      <w:r w:rsidRPr="009B2CD8">
        <w:rPr>
          <w:rFonts w:ascii="Times New Roman" w:eastAsia="Times New Roman" w:hAnsi="Times New Roman" w:cs="Times New Roman"/>
          <w:i/>
          <w:lang w:eastAsia="hu-HU"/>
        </w:rPr>
        <w:t>(Artillery ammunition)</w:t>
      </w:r>
    </w:p>
    <w:p w:rsidR="009B2CD8" w:rsidRPr="009B2CD8" w:rsidRDefault="009B2CD8" w:rsidP="00980876">
      <w:pPr>
        <w:numPr>
          <w:ilvl w:val="1"/>
          <w:numId w:val="460"/>
        </w:numPr>
        <w:tabs>
          <w:tab w:val="clear" w:pos="3977"/>
        </w:tabs>
        <w:spacing w:before="60" w:after="0" w:line="240" w:lineRule="auto"/>
        <w:ind w:left="1276" w:hanging="709"/>
        <w:jc w:val="both"/>
        <w:rPr>
          <w:rFonts w:ascii="Times New Roman" w:eastAsia="Times New Roman" w:hAnsi="Times New Roman" w:cs="Times New Roman"/>
          <w:lang w:eastAsia="hu-HU"/>
        </w:rPr>
      </w:pPr>
      <w:r w:rsidRPr="009B2CD8">
        <w:rPr>
          <w:rFonts w:ascii="Times New Roman" w:eastAsia="Times New Roman" w:hAnsi="Times New Roman" w:cs="Times New Roman"/>
          <w:lang w:eastAsia="hu-HU"/>
        </w:rPr>
        <w:t xml:space="preserve">Repesztöltetek </w:t>
      </w:r>
      <w:r w:rsidRPr="009B2CD8">
        <w:rPr>
          <w:rFonts w:ascii="Times New Roman" w:eastAsia="Times New Roman" w:hAnsi="Times New Roman" w:cs="Times New Roman"/>
          <w:i/>
          <w:lang w:eastAsia="hu-HU"/>
        </w:rPr>
        <w:t>(High Explosive ammunation)</w:t>
      </w:r>
    </w:p>
    <w:p w:rsidR="009B2CD8" w:rsidRPr="009B2CD8" w:rsidRDefault="009B2CD8" w:rsidP="00980876">
      <w:pPr>
        <w:numPr>
          <w:ilvl w:val="1"/>
          <w:numId w:val="460"/>
        </w:numPr>
        <w:tabs>
          <w:tab w:val="clear" w:pos="3977"/>
        </w:tabs>
        <w:spacing w:before="60" w:after="0" w:line="240" w:lineRule="auto"/>
        <w:ind w:left="1276" w:hanging="709"/>
        <w:jc w:val="both"/>
        <w:rPr>
          <w:rFonts w:ascii="Times New Roman" w:eastAsia="Times New Roman" w:hAnsi="Times New Roman" w:cs="Times New Roman"/>
          <w:lang w:eastAsia="hu-HU"/>
        </w:rPr>
      </w:pPr>
      <w:r w:rsidRPr="009B2CD8">
        <w:rPr>
          <w:rFonts w:ascii="Times New Roman" w:eastAsia="Times New Roman" w:hAnsi="Times New Roman" w:cs="Times New Roman"/>
          <w:lang w:eastAsia="hu-HU"/>
        </w:rPr>
        <w:t xml:space="preserve">Üreges töltetek </w:t>
      </w:r>
      <w:r w:rsidRPr="009B2CD8">
        <w:rPr>
          <w:rFonts w:ascii="Times New Roman" w:eastAsia="Times New Roman" w:hAnsi="Times New Roman" w:cs="Times New Roman"/>
          <w:i/>
          <w:lang w:eastAsia="hu-HU"/>
        </w:rPr>
        <w:t>(Hollow charges)</w:t>
      </w:r>
    </w:p>
    <w:p w:rsidR="009B2CD8" w:rsidRPr="009B2CD8" w:rsidRDefault="009B2CD8" w:rsidP="00980876">
      <w:pPr>
        <w:numPr>
          <w:ilvl w:val="1"/>
          <w:numId w:val="460"/>
        </w:numPr>
        <w:tabs>
          <w:tab w:val="clear" w:pos="3977"/>
        </w:tabs>
        <w:spacing w:before="60" w:after="0" w:line="240" w:lineRule="auto"/>
        <w:ind w:left="1276" w:hanging="709"/>
        <w:jc w:val="both"/>
        <w:rPr>
          <w:rFonts w:ascii="Times New Roman" w:eastAsia="Times New Roman" w:hAnsi="Times New Roman" w:cs="Times New Roman"/>
          <w:i/>
          <w:lang w:eastAsia="hu-HU"/>
        </w:rPr>
      </w:pPr>
      <w:r w:rsidRPr="009B2CD8">
        <w:rPr>
          <w:rFonts w:ascii="Times New Roman" w:eastAsia="Times New Roman" w:hAnsi="Times New Roman" w:cs="Times New Roman"/>
          <w:lang w:eastAsia="hu-HU"/>
        </w:rPr>
        <w:lastRenderedPageBreak/>
        <w:t>Egy- és többfokozatú üreges töltetű lövedékek, lőszerek (</w:t>
      </w:r>
      <w:r w:rsidRPr="009B2CD8">
        <w:rPr>
          <w:rFonts w:ascii="Times New Roman" w:eastAsia="Times New Roman" w:hAnsi="Times New Roman" w:cs="Times New Roman"/>
          <w:i/>
          <w:lang w:eastAsia="hu-HU"/>
        </w:rPr>
        <w:t>Single- and multi-level hollow-filled projectiles, ammunition)</w:t>
      </w:r>
    </w:p>
    <w:p w:rsidR="009B2CD8" w:rsidRPr="009B2CD8" w:rsidRDefault="009B2CD8" w:rsidP="00980876">
      <w:pPr>
        <w:numPr>
          <w:ilvl w:val="1"/>
          <w:numId w:val="460"/>
        </w:numPr>
        <w:tabs>
          <w:tab w:val="clear" w:pos="3977"/>
        </w:tabs>
        <w:spacing w:before="60" w:after="0" w:line="240" w:lineRule="auto"/>
        <w:ind w:left="1276" w:hanging="709"/>
        <w:jc w:val="both"/>
        <w:rPr>
          <w:rFonts w:ascii="Times New Roman" w:eastAsia="Times New Roman" w:hAnsi="Times New Roman" w:cs="Times New Roman"/>
          <w:i/>
          <w:lang w:eastAsia="hu-HU"/>
        </w:rPr>
      </w:pPr>
      <w:r w:rsidRPr="009B2CD8">
        <w:rPr>
          <w:rFonts w:ascii="Times New Roman" w:eastAsia="Times New Roman" w:hAnsi="Times New Roman" w:cs="Times New Roman"/>
          <w:lang w:eastAsia="hu-HU"/>
        </w:rPr>
        <w:t xml:space="preserve">Űrméretes és űrméret alatti lövedékek </w:t>
      </w:r>
      <w:r w:rsidRPr="009B2CD8">
        <w:rPr>
          <w:rFonts w:ascii="Times New Roman" w:eastAsia="Times New Roman" w:hAnsi="Times New Roman" w:cs="Times New Roman"/>
          <w:i/>
          <w:lang w:eastAsia="hu-HU"/>
        </w:rPr>
        <w:t>(Projectiles and sub-projectile ammunation)</w:t>
      </w:r>
    </w:p>
    <w:p w:rsidR="009B2CD8" w:rsidRPr="009B2CD8" w:rsidRDefault="009B2CD8" w:rsidP="00980876">
      <w:pPr>
        <w:numPr>
          <w:ilvl w:val="1"/>
          <w:numId w:val="460"/>
        </w:numPr>
        <w:tabs>
          <w:tab w:val="clear" w:pos="3977"/>
        </w:tabs>
        <w:spacing w:before="60" w:after="0" w:line="240" w:lineRule="auto"/>
        <w:ind w:left="1276" w:hanging="709"/>
        <w:jc w:val="both"/>
        <w:rPr>
          <w:rFonts w:ascii="Times New Roman" w:eastAsia="Times New Roman" w:hAnsi="Times New Roman" w:cs="Times New Roman"/>
          <w:i/>
          <w:lang w:eastAsia="hu-HU"/>
        </w:rPr>
      </w:pPr>
      <w:r w:rsidRPr="009B2CD8">
        <w:rPr>
          <w:rFonts w:ascii="Times New Roman" w:eastAsia="Times New Roman" w:hAnsi="Times New Roman" w:cs="Times New Roman"/>
          <w:lang w:eastAsia="hu-HU"/>
        </w:rPr>
        <w:t xml:space="preserve">Nyíllövedékek </w:t>
      </w:r>
      <w:r w:rsidRPr="009B2CD8">
        <w:rPr>
          <w:rFonts w:ascii="Times New Roman" w:eastAsia="Times New Roman" w:hAnsi="Times New Roman" w:cs="Times New Roman"/>
          <w:i/>
          <w:lang w:eastAsia="hu-HU"/>
        </w:rPr>
        <w:t>(Arrow ammunation)</w:t>
      </w:r>
    </w:p>
    <w:p w:rsidR="009B2CD8" w:rsidRPr="009B2CD8" w:rsidRDefault="009B2CD8" w:rsidP="00980876">
      <w:pPr>
        <w:numPr>
          <w:ilvl w:val="1"/>
          <w:numId w:val="460"/>
        </w:numPr>
        <w:tabs>
          <w:tab w:val="clear" w:pos="3977"/>
        </w:tabs>
        <w:spacing w:before="60" w:after="0" w:line="240" w:lineRule="auto"/>
        <w:ind w:left="1276" w:hanging="709"/>
        <w:jc w:val="both"/>
        <w:rPr>
          <w:rFonts w:ascii="Times New Roman" w:eastAsia="Times New Roman" w:hAnsi="Times New Roman" w:cs="Times New Roman"/>
          <w:i/>
          <w:lang w:eastAsia="hu-HU"/>
        </w:rPr>
      </w:pPr>
      <w:r w:rsidRPr="009B2CD8">
        <w:rPr>
          <w:rFonts w:ascii="Times New Roman" w:eastAsia="Times New Roman" w:hAnsi="Times New Roman" w:cs="Times New Roman"/>
          <w:lang w:eastAsia="hu-HU"/>
        </w:rPr>
        <w:t xml:space="preserve">Szárazföldi haderőnél rendszeresített tüzérségi eszközök lőszereinek felépítése </w:t>
      </w:r>
      <w:r w:rsidRPr="009B2CD8">
        <w:rPr>
          <w:rFonts w:ascii="Times New Roman" w:eastAsia="Times New Roman" w:hAnsi="Times New Roman" w:cs="Times New Roman"/>
          <w:i/>
          <w:lang w:eastAsia="hu-HU"/>
        </w:rPr>
        <w:t>(Structure artillery ammunition for ground forces)</w:t>
      </w:r>
    </w:p>
    <w:p w:rsidR="009B2CD8" w:rsidRPr="009B2CD8" w:rsidRDefault="009B2CD8" w:rsidP="00980876">
      <w:pPr>
        <w:numPr>
          <w:ilvl w:val="1"/>
          <w:numId w:val="460"/>
        </w:numPr>
        <w:tabs>
          <w:tab w:val="clear" w:pos="3977"/>
        </w:tabs>
        <w:spacing w:before="60" w:after="0" w:line="240" w:lineRule="auto"/>
        <w:ind w:left="1276" w:hanging="709"/>
        <w:jc w:val="both"/>
        <w:rPr>
          <w:rFonts w:ascii="Times New Roman" w:eastAsia="Times New Roman" w:hAnsi="Times New Roman" w:cs="Times New Roman"/>
          <w:i/>
          <w:lang w:eastAsia="hu-HU"/>
        </w:rPr>
      </w:pPr>
      <w:r w:rsidRPr="009B2CD8">
        <w:rPr>
          <w:rFonts w:ascii="Times New Roman" w:eastAsia="Times New Roman" w:hAnsi="Times New Roman" w:cs="Times New Roman"/>
          <w:lang w:eastAsia="hu-HU"/>
        </w:rPr>
        <w:t>Tüzérségi gyújtók felépítése, működése</w:t>
      </w:r>
      <w:r w:rsidRPr="009B2CD8">
        <w:rPr>
          <w:rFonts w:ascii="Times New Roman" w:eastAsia="Times New Roman" w:hAnsi="Times New Roman" w:cs="Times New Roman"/>
          <w:i/>
          <w:lang w:eastAsia="hu-HU"/>
        </w:rPr>
        <w:t xml:space="preserve"> (Structure and operation of artillery lighters)</w:t>
      </w:r>
    </w:p>
    <w:p w:rsidR="009B2CD8" w:rsidRPr="009B2CD8" w:rsidRDefault="009B2CD8" w:rsidP="00980876">
      <w:pPr>
        <w:numPr>
          <w:ilvl w:val="0"/>
          <w:numId w:val="460"/>
        </w:numPr>
        <w:tabs>
          <w:tab w:val="clear" w:pos="720"/>
          <w:tab w:val="right" w:pos="567"/>
          <w:tab w:val="num" w:pos="644"/>
          <w:tab w:val="center" w:pos="4536"/>
          <w:tab w:val="right" w:pos="9071"/>
        </w:tabs>
        <w:spacing w:before="120" w:after="0" w:line="240" w:lineRule="auto"/>
        <w:ind w:left="426" w:hanging="142"/>
        <w:jc w:val="both"/>
        <w:rPr>
          <w:rFonts w:ascii="Times New Roman" w:eastAsia="Times New Roman" w:hAnsi="Times New Roman" w:cs="Times New Roman"/>
          <w:bCs/>
          <w:lang w:eastAsia="hu-HU"/>
        </w:rPr>
      </w:pPr>
      <w:r w:rsidRPr="009B2CD8">
        <w:rPr>
          <w:rFonts w:ascii="Times New Roman" w:eastAsia="Times New Roman" w:hAnsi="Times New Roman" w:cs="Times New Roman"/>
          <w:b/>
          <w:bCs/>
          <w:lang w:eastAsia="hu-HU"/>
        </w:rPr>
        <w:t xml:space="preserve">A tantárgy meghirdetésének gyakorisága/a tantervben történő félévi elhelyezkedése: </w:t>
      </w:r>
      <w:r w:rsidRPr="009B2CD8">
        <w:rPr>
          <w:rFonts w:ascii="Times New Roman" w:eastAsia="Times New Roman" w:hAnsi="Times New Roman" w:cs="Times New Roman"/>
          <w:bCs/>
          <w:lang w:eastAsia="hu-HU"/>
        </w:rPr>
        <w:t>évente /8. félév</w:t>
      </w:r>
    </w:p>
    <w:p w:rsidR="009B2CD8" w:rsidRPr="009B2CD8" w:rsidRDefault="009B2CD8" w:rsidP="00980876">
      <w:pPr>
        <w:widowControl w:val="0"/>
        <w:numPr>
          <w:ilvl w:val="0"/>
          <w:numId w:val="460"/>
        </w:numPr>
        <w:tabs>
          <w:tab w:val="num" w:pos="360"/>
          <w:tab w:val="num" w:pos="644"/>
        </w:tabs>
        <w:spacing w:before="120" w:after="120" w:line="240" w:lineRule="auto"/>
        <w:ind w:left="426" w:hanging="142"/>
        <w:jc w:val="both"/>
        <w:rPr>
          <w:rFonts w:ascii="Times New Roman" w:eastAsia="Times New Roman" w:hAnsi="Times New Roman" w:cs="Times New Roman"/>
          <w:bCs/>
          <w:lang w:eastAsia="hu-HU"/>
        </w:rPr>
      </w:pPr>
      <w:r w:rsidRPr="009B2CD8">
        <w:rPr>
          <w:rFonts w:ascii="Times New Roman" w:eastAsia="Times New Roman" w:hAnsi="Times New Roman" w:cs="Times New Roman"/>
          <w:b/>
          <w:bCs/>
          <w:lang w:eastAsia="hu-HU"/>
        </w:rPr>
        <w:t>A tanórákon való részvétel követelményei, az elfogadható hiányzások mértéke, a távolmaradás pótlásának lehetősége:</w:t>
      </w:r>
      <w:r w:rsidRPr="009B2CD8">
        <w:rPr>
          <w:rFonts w:ascii="Times New Roman" w:eastAsia="Times New Roman" w:hAnsi="Times New Roman" w:cs="Times New Roman"/>
          <w:bCs/>
          <w:lang w:eastAsia="hu-HU"/>
        </w:rPr>
        <w:t xml:space="preserve"> </w:t>
      </w:r>
    </w:p>
    <w:p w:rsidR="009B2CD8" w:rsidRPr="009B2CD8" w:rsidRDefault="009B2CD8" w:rsidP="009B2CD8">
      <w:pPr>
        <w:widowControl w:val="0"/>
        <w:spacing w:before="120" w:after="120" w:line="240" w:lineRule="auto"/>
        <w:ind w:left="426"/>
        <w:jc w:val="both"/>
        <w:rPr>
          <w:rFonts w:ascii="Times New Roman" w:eastAsia="Times New Roman" w:hAnsi="Times New Roman" w:cs="Times New Roman"/>
          <w:bCs/>
          <w:lang w:eastAsia="hu-HU"/>
        </w:rPr>
      </w:pPr>
      <w:r w:rsidRPr="009B2CD8">
        <w:rPr>
          <w:rFonts w:ascii="Times New Roman" w:eastAsia="Times New Roman" w:hAnsi="Times New Roman" w:cs="Times New Roman"/>
          <w:bCs/>
          <w:lang w:eastAsia="hu-HU"/>
        </w:rPr>
        <w:t>A hallgatónak a tanórák legalább 70 %-án jelen kell lennie, 30 %-ot meghaladó hiányzás esetén a félév teljesítése nem írható alá. A hallgató köteles az előadás és a gyakorlat anyagát beszerezni, abból önállóan felkészülni. A hiányzás pótolható az oktató által kijelölt témakörben beadott, legalább elégségesre értékelt házidolgozattal.</w:t>
      </w:r>
    </w:p>
    <w:p w:rsidR="009B2CD8" w:rsidRPr="009B2CD8" w:rsidRDefault="009B2CD8" w:rsidP="00980876">
      <w:pPr>
        <w:widowControl w:val="0"/>
        <w:numPr>
          <w:ilvl w:val="0"/>
          <w:numId w:val="460"/>
        </w:numPr>
        <w:tabs>
          <w:tab w:val="num" w:pos="360"/>
          <w:tab w:val="num" w:pos="644"/>
        </w:tabs>
        <w:spacing w:before="120" w:after="120" w:line="240" w:lineRule="auto"/>
        <w:ind w:left="426" w:hanging="142"/>
        <w:jc w:val="both"/>
        <w:rPr>
          <w:rFonts w:ascii="Times New Roman" w:eastAsia="Times New Roman" w:hAnsi="Times New Roman" w:cs="Times New Roman"/>
          <w:bCs/>
          <w:lang w:eastAsia="hu-HU"/>
        </w:rPr>
      </w:pPr>
      <w:r w:rsidRPr="009B2CD8">
        <w:rPr>
          <w:rFonts w:ascii="Times New Roman" w:eastAsia="Times New Roman" w:hAnsi="Times New Roman" w:cs="Times New Roman"/>
          <w:b/>
          <w:lang w:eastAsia="hu-HU"/>
        </w:rPr>
        <w:t>Félévközi feladatok, ismeretek ellenőrzésének rendje:</w:t>
      </w:r>
      <w:r w:rsidRPr="009B2CD8">
        <w:rPr>
          <w:rFonts w:ascii="Times New Roman" w:eastAsia="Times New Roman" w:hAnsi="Times New Roman" w:cs="Times New Roman"/>
          <w:bCs/>
          <w:lang w:eastAsia="hu-HU"/>
        </w:rPr>
        <w:t xml:space="preserve"> A félév során a hallgató kettő zárthelyi dolgozatot ír. Zárthelyi dolgozatok a 12.1-12.1</w:t>
      </w:r>
      <w:r>
        <w:rPr>
          <w:rFonts w:ascii="Times New Roman" w:eastAsia="Times New Roman" w:hAnsi="Times New Roman" w:cs="Times New Roman"/>
          <w:bCs/>
          <w:lang w:eastAsia="hu-HU"/>
        </w:rPr>
        <w:t>4</w:t>
      </w:r>
      <w:r w:rsidRPr="009B2CD8">
        <w:rPr>
          <w:rFonts w:ascii="Times New Roman" w:eastAsia="Times New Roman" w:hAnsi="Times New Roman" w:cs="Times New Roman"/>
          <w:bCs/>
          <w:lang w:eastAsia="hu-HU"/>
        </w:rPr>
        <w:t xml:space="preserve"> tantárgyrészekből.</w:t>
      </w:r>
      <w:r w:rsidRPr="009B2CD8">
        <w:rPr>
          <w:rFonts w:ascii="Times New Roman" w:eastAsia="Times New Roman" w:hAnsi="Times New Roman" w:cs="Times New Roman"/>
          <w:lang w:eastAsia="hu-HU"/>
        </w:rPr>
        <w:t xml:space="preserve"> </w:t>
      </w:r>
      <w:r w:rsidRPr="009B2CD8">
        <w:rPr>
          <w:rFonts w:ascii="Times New Roman" w:eastAsia="Times New Roman" w:hAnsi="Times New Roman" w:cs="Times New Roman"/>
          <w:bCs/>
          <w:lang w:eastAsia="hu-HU"/>
        </w:rPr>
        <w:t>A zárthelyi dolgozat témáit a kötelező irodalmak anyagából, illetve az előadásokon elhangzott ismeretanyagból kell összeállítani. A zárthelyi dolgozat értékelése ötfokozatú értékelés (a helyes válaszok aránya 0-60% elégtelen; 61-70% elégséges; 71-80% közepes; 81-90% jó; 91-100% jeles osztályzat). Eredménytelen zárthelyi dolgozat kétszer javítható</w:t>
      </w:r>
      <w:r w:rsidRPr="009B2CD8">
        <w:rPr>
          <w:rFonts w:ascii="Times New Roman" w:eastAsia="Times New Roman" w:hAnsi="Times New Roman" w:cs="Times New Roman"/>
          <w:b/>
          <w:bCs/>
          <w:lang w:eastAsia="hu-HU"/>
        </w:rPr>
        <w:t>.</w:t>
      </w:r>
      <w:r w:rsidRPr="009B2CD8">
        <w:rPr>
          <w:rFonts w:ascii="Times New Roman" w:eastAsia="Times New Roman" w:hAnsi="Times New Roman" w:cs="Times New Roman"/>
          <w:bCs/>
          <w:lang w:eastAsia="hu-HU"/>
        </w:rPr>
        <w:t xml:space="preserve"> A dolgozatban teszt és esszé jellegű kérdések egyaránt szerepelnek.</w:t>
      </w:r>
    </w:p>
    <w:p w:rsidR="009B2CD8" w:rsidRPr="009B2CD8" w:rsidRDefault="009B2CD8" w:rsidP="00980876">
      <w:pPr>
        <w:widowControl w:val="0"/>
        <w:numPr>
          <w:ilvl w:val="0"/>
          <w:numId w:val="460"/>
        </w:numPr>
        <w:tabs>
          <w:tab w:val="num" w:pos="644"/>
        </w:tabs>
        <w:spacing w:before="120" w:after="120" w:line="240" w:lineRule="auto"/>
        <w:ind w:left="426" w:hanging="142"/>
        <w:jc w:val="both"/>
        <w:rPr>
          <w:rFonts w:ascii="Times New Roman" w:eastAsia="Times New Roman" w:hAnsi="Times New Roman" w:cs="Times New Roman"/>
          <w:b/>
          <w:bCs/>
          <w:lang w:eastAsia="hu-HU"/>
        </w:rPr>
      </w:pPr>
      <w:r w:rsidRPr="009B2CD8">
        <w:rPr>
          <w:rFonts w:ascii="Times New Roman" w:eastAsia="Times New Roman" w:hAnsi="Times New Roman" w:cs="Times New Roman"/>
          <w:b/>
          <w:bCs/>
          <w:lang w:eastAsia="hu-HU"/>
        </w:rPr>
        <w:t xml:space="preserve">Az értékelés, az aláírás és a kreditek megszerzésének pontos feltételei: </w:t>
      </w:r>
    </w:p>
    <w:p w:rsidR="009B2CD8" w:rsidRPr="009B2CD8" w:rsidRDefault="009B2CD8" w:rsidP="00980876">
      <w:pPr>
        <w:widowControl w:val="0"/>
        <w:numPr>
          <w:ilvl w:val="1"/>
          <w:numId w:val="460"/>
        </w:numPr>
        <w:tabs>
          <w:tab w:val="clear" w:pos="3977"/>
          <w:tab w:val="left" w:pos="709"/>
          <w:tab w:val="left" w:pos="993"/>
          <w:tab w:val="num" w:pos="1425"/>
          <w:tab w:val="num" w:pos="2069"/>
        </w:tabs>
        <w:spacing w:before="120" w:after="120" w:line="240" w:lineRule="auto"/>
        <w:ind w:left="426" w:firstLine="0"/>
        <w:jc w:val="both"/>
        <w:rPr>
          <w:rFonts w:ascii="Times New Roman" w:eastAsia="Times New Roman" w:hAnsi="Times New Roman" w:cs="Times New Roman"/>
          <w:lang w:eastAsia="hu-HU"/>
        </w:rPr>
      </w:pPr>
      <w:r w:rsidRPr="009B2CD8">
        <w:rPr>
          <w:rFonts w:ascii="Times New Roman" w:eastAsia="Times New Roman" w:hAnsi="Times New Roman" w:cs="Times New Roman"/>
          <w:b/>
          <w:lang w:eastAsia="hu-HU"/>
        </w:rPr>
        <w:t>Az aláírás megszerzésének feltételei:</w:t>
      </w:r>
      <w:r w:rsidRPr="009B2CD8">
        <w:rPr>
          <w:rFonts w:ascii="Times New Roman" w:eastAsia="Times New Roman" w:hAnsi="Times New Roman" w:cs="Times New Roman"/>
          <w:lang w:eastAsia="hu-HU"/>
        </w:rPr>
        <w:t xml:space="preserve"> </w:t>
      </w:r>
      <w:r w:rsidRPr="009B2CD8">
        <w:rPr>
          <w:rFonts w:ascii="Times New Roman" w:eastAsia="Times New Roman" w:hAnsi="Times New Roman" w:cs="Times New Roman"/>
          <w:bCs/>
          <w:lang w:eastAsia="hu-HU"/>
        </w:rPr>
        <w:t>Az aláírás megszerzésének feltétele a 14. pontban meghatározott arányú részvétel a foglalkozásokon és a 15. pontban meghatározott félévközi feladatok legalább elégséges teljesítése.</w:t>
      </w:r>
    </w:p>
    <w:p w:rsidR="009B2CD8" w:rsidRPr="009B2CD8" w:rsidRDefault="009B2CD8" w:rsidP="00980876">
      <w:pPr>
        <w:widowControl w:val="0"/>
        <w:numPr>
          <w:ilvl w:val="1"/>
          <w:numId w:val="460"/>
        </w:numPr>
        <w:tabs>
          <w:tab w:val="clear" w:pos="3977"/>
          <w:tab w:val="left" w:pos="709"/>
          <w:tab w:val="left" w:pos="993"/>
          <w:tab w:val="num" w:pos="1425"/>
          <w:tab w:val="num" w:pos="2069"/>
        </w:tabs>
        <w:spacing w:before="120" w:after="120" w:line="240" w:lineRule="auto"/>
        <w:ind w:left="426" w:firstLine="0"/>
        <w:jc w:val="both"/>
        <w:rPr>
          <w:rFonts w:ascii="Times New Roman" w:eastAsia="Times New Roman" w:hAnsi="Times New Roman" w:cs="Times New Roman"/>
          <w:lang w:eastAsia="hu-HU"/>
        </w:rPr>
      </w:pPr>
      <w:r w:rsidRPr="009B2CD8">
        <w:rPr>
          <w:rFonts w:ascii="Times New Roman" w:eastAsia="Times New Roman" w:hAnsi="Times New Roman" w:cs="Times New Roman"/>
          <w:b/>
          <w:lang w:eastAsia="hu-HU"/>
        </w:rPr>
        <w:t>Az értékelés:</w:t>
      </w:r>
      <w:r w:rsidRPr="009B2CD8">
        <w:rPr>
          <w:rFonts w:ascii="Times New Roman" w:eastAsia="Times New Roman" w:hAnsi="Times New Roman" w:cs="Times New Roman"/>
          <w:lang w:eastAsia="hu-HU"/>
        </w:rPr>
        <w:t xml:space="preserve"> évközi értékelés, ötfokozatú értékelés.</w:t>
      </w:r>
      <w:r w:rsidRPr="009B2CD8">
        <w:rPr>
          <w:rFonts w:ascii="Times New Roman" w:eastAsia="Times New Roman" w:hAnsi="Times New Roman" w:cs="Times New Roman"/>
          <w:bCs/>
          <w:lang w:eastAsia="hu-HU"/>
        </w:rPr>
        <w:t xml:space="preserve"> Az évközi értékelést az elért eredmények kerekített matematikai átlaga képezi.</w:t>
      </w:r>
    </w:p>
    <w:p w:rsidR="009B2CD8" w:rsidRPr="009B2CD8" w:rsidRDefault="009B2CD8" w:rsidP="00980876">
      <w:pPr>
        <w:widowControl w:val="0"/>
        <w:numPr>
          <w:ilvl w:val="1"/>
          <w:numId w:val="460"/>
        </w:numPr>
        <w:tabs>
          <w:tab w:val="clear" w:pos="3977"/>
          <w:tab w:val="left" w:pos="709"/>
          <w:tab w:val="left" w:pos="993"/>
          <w:tab w:val="num" w:pos="1425"/>
          <w:tab w:val="num" w:pos="2069"/>
        </w:tabs>
        <w:spacing w:before="120" w:after="120" w:line="240" w:lineRule="auto"/>
        <w:ind w:left="426" w:firstLine="0"/>
        <w:jc w:val="both"/>
        <w:rPr>
          <w:rFonts w:ascii="Times New Roman" w:eastAsia="Times New Roman" w:hAnsi="Times New Roman" w:cs="Times New Roman"/>
          <w:lang w:eastAsia="hu-HU"/>
        </w:rPr>
      </w:pPr>
      <w:r w:rsidRPr="009B2CD8">
        <w:rPr>
          <w:rFonts w:ascii="Times New Roman" w:eastAsia="Times New Roman" w:hAnsi="Times New Roman" w:cs="Times New Roman"/>
          <w:b/>
          <w:lang w:eastAsia="hu-HU"/>
        </w:rPr>
        <w:t>A kreditek megszerzésének feltételei:</w:t>
      </w:r>
      <w:r w:rsidRPr="009B2CD8">
        <w:rPr>
          <w:rFonts w:ascii="Times New Roman" w:eastAsia="Times New Roman" w:hAnsi="Times New Roman" w:cs="Times New Roman"/>
          <w:lang w:eastAsia="hu-HU"/>
        </w:rPr>
        <w:t xml:space="preserve"> az aláírás megszerzése és legalább elégséges</w:t>
      </w:r>
      <w:r w:rsidRPr="009B2CD8">
        <w:rPr>
          <w:rFonts w:ascii="Times New Roman" w:eastAsia="Times New Roman" w:hAnsi="Times New Roman" w:cs="Times New Roman"/>
          <w:b/>
          <w:lang w:eastAsia="hu-HU"/>
        </w:rPr>
        <w:t xml:space="preserve"> </w:t>
      </w:r>
      <w:r w:rsidRPr="009B2CD8">
        <w:rPr>
          <w:rFonts w:ascii="Times New Roman" w:eastAsia="Times New Roman" w:hAnsi="Times New Roman" w:cs="Times New Roman"/>
          <w:lang w:eastAsia="hu-HU"/>
        </w:rPr>
        <w:t>évközi értékelés</w:t>
      </w:r>
      <w:r w:rsidRPr="009B2CD8">
        <w:rPr>
          <w:rFonts w:ascii="Times New Roman" w:eastAsia="Times New Roman" w:hAnsi="Times New Roman" w:cs="Times New Roman"/>
          <w:bCs/>
          <w:lang w:eastAsia="hu-HU"/>
        </w:rPr>
        <w:t>.</w:t>
      </w:r>
    </w:p>
    <w:p w:rsidR="009B2CD8" w:rsidRPr="009B2CD8" w:rsidRDefault="009B2CD8" w:rsidP="00980876">
      <w:pPr>
        <w:numPr>
          <w:ilvl w:val="0"/>
          <w:numId w:val="460"/>
        </w:numPr>
        <w:tabs>
          <w:tab w:val="clear" w:pos="720"/>
          <w:tab w:val="num" w:pos="426"/>
          <w:tab w:val="num" w:pos="644"/>
        </w:tabs>
        <w:spacing w:before="120" w:after="0" w:line="240" w:lineRule="auto"/>
        <w:ind w:left="426" w:hanging="142"/>
        <w:jc w:val="both"/>
        <w:rPr>
          <w:rFonts w:ascii="Times New Roman" w:eastAsia="Times New Roman" w:hAnsi="Times New Roman" w:cs="Times New Roman"/>
          <w:b/>
          <w:lang w:eastAsia="hu-HU"/>
        </w:rPr>
      </w:pPr>
      <w:r w:rsidRPr="009B2CD8">
        <w:rPr>
          <w:rFonts w:ascii="Times New Roman" w:eastAsia="Times New Roman" w:hAnsi="Times New Roman" w:cs="Times New Roman"/>
          <w:b/>
          <w:lang w:eastAsia="hu-HU"/>
        </w:rPr>
        <w:t>Irodalomjegyzék:</w:t>
      </w:r>
    </w:p>
    <w:p w:rsidR="009B2CD8" w:rsidRPr="009B2CD8" w:rsidRDefault="009B2CD8" w:rsidP="00980876">
      <w:pPr>
        <w:numPr>
          <w:ilvl w:val="1"/>
          <w:numId w:val="460"/>
        </w:numPr>
        <w:tabs>
          <w:tab w:val="clear" w:pos="3977"/>
          <w:tab w:val="left" w:pos="1134"/>
          <w:tab w:val="num" w:pos="1425"/>
        </w:tabs>
        <w:spacing w:before="120" w:after="0" w:line="240" w:lineRule="auto"/>
        <w:ind w:left="568" w:firstLine="0"/>
        <w:jc w:val="both"/>
        <w:rPr>
          <w:rFonts w:ascii="Times New Roman" w:eastAsia="Times New Roman" w:hAnsi="Times New Roman" w:cs="Times New Roman"/>
          <w:b/>
          <w:lang w:eastAsia="hu-HU"/>
        </w:rPr>
      </w:pPr>
      <w:r w:rsidRPr="009B2CD8">
        <w:rPr>
          <w:rFonts w:ascii="Times New Roman" w:eastAsia="Times New Roman" w:hAnsi="Times New Roman" w:cs="Times New Roman"/>
          <w:b/>
          <w:lang w:eastAsia="hu-HU"/>
        </w:rPr>
        <w:t>Kötelező irodalom:</w:t>
      </w:r>
    </w:p>
    <w:p w:rsidR="009B2CD8" w:rsidRPr="009B2CD8" w:rsidRDefault="009B2CD8" w:rsidP="00980876">
      <w:pPr>
        <w:numPr>
          <w:ilvl w:val="0"/>
          <w:numId w:val="461"/>
        </w:numPr>
        <w:spacing w:after="0" w:line="240" w:lineRule="auto"/>
        <w:ind w:left="1066" w:hanging="357"/>
        <w:jc w:val="both"/>
        <w:rPr>
          <w:rFonts w:ascii="Times New Roman" w:eastAsia="Times New Roman" w:hAnsi="Times New Roman" w:cs="Times New Roman"/>
          <w:lang w:eastAsia="hu-HU"/>
        </w:rPr>
      </w:pPr>
      <w:r w:rsidRPr="009B2CD8">
        <w:rPr>
          <w:rFonts w:ascii="Times New Roman" w:eastAsia="Times New Roman" w:hAnsi="Times New Roman" w:cs="Times New Roman"/>
          <w:lang w:eastAsia="hu-HU"/>
        </w:rPr>
        <w:t>Tüfe/283 A 152 mm-es D-20 ágyútarack anyagismereti és kezelési utasítása. HM kiadvány.</w:t>
      </w:r>
    </w:p>
    <w:p w:rsidR="009B2CD8" w:rsidRPr="009B2CD8" w:rsidRDefault="009B2CD8" w:rsidP="00980876">
      <w:pPr>
        <w:numPr>
          <w:ilvl w:val="0"/>
          <w:numId w:val="461"/>
        </w:numPr>
        <w:spacing w:after="0" w:line="240" w:lineRule="auto"/>
        <w:ind w:left="1066" w:hanging="357"/>
        <w:jc w:val="both"/>
        <w:rPr>
          <w:rFonts w:ascii="Times New Roman" w:eastAsia="Times New Roman" w:hAnsi="Times New Roman" w:cs="Times New Roman"/>
          <w:lang w:eastAsia="hu-HU"/>
        </w:rPr>
      </w:pPr>
      <w:r w:rsidRPr="009B2CD8">
        <w:rPr>
          <w:rFonts w:ascii="Times New Roman" w:eastAsia="Times New Roman" w:hAnsi="Times New Roman" w:cs="Times New Roman"/>
          <w:lang w:eastAsia="hu-HU"/>
        </w:rPr>
        <w:t>Tüfe/136 Lőszer anyagismeret. HM kiadvány.</w:t>
      </w:r>
    </w:p>
    <w:p w:rsidR="009B2CD8" w:rsidRPr="009B2CD8" w:rsidRDefault="009B2CD8" w:rsidP="00980876">
      <w:pPr>
        <w:numPr>
          <w:ilvl w:val="0"/>
          <w:numId w:val="461"/>
        </w:numPr>
        <w:spacing w:after="0" w:line="240" w:lineRule="auto"/>
        <w:ind w:left="1066" w:hanging="357"/>
        <w:jc w:val="both"/>
        <w:rPr>
          <w:rFonts w:ascii="Times New Roman" w:eastAsia="Times New Roman" w:hAnsi="Times New Roman" w:cs="Times New Roman"/>
          <w:lang w:eastAsia="hu-HU"/>
        </w:rPr>
      </w:pPr>
      <w:r w:rsidRPr="009B2CD8">
        <w:rPr>
          <w:rFonts w:ascii="Times New Roman" w:eastAsia="Times New Roman" w:hAnsi="Times New Roman" w:cs="Times New Roman"/>
          <w:lang w:eastAsia="hu-HU"/>
        </w:rPr>
        <w:t>Tüfe/139 Lőszer anyagismeret II. HM kiadvány.</w:t>
      </w:r>
    </w:p>
    <w:p w:rsidR="009B2CD8" w:rsidRPr="009B2CD8" w:rsidRDefault="009B2CD8" w:rsidP="00980876">
      <w:pPr>
        <w:numPr>
          <w:ilvl w:val="0"/>
          <w:numId w:val="461"/>
        </w:numPr>
        <w:spacing w:after="0" w:line="240" w:lineRule="auto"/>
        <w:ind w:left="1066" w:hanging="357"/>
        <w:jc w:val="both"/>
        <w:rPr>
          <w:rFonts w:ascii="Times New Roman" w:eastAsia="Times New Roman" w:hAnsi="Times New Roman" w:cs="Times New Roman"/>
          <w:lang w:eastAsia="hu-HU"/>
        </w:rPr>
      </w:pPr>
      <w:r w:rsidRPr="009B2CD8">
        <w:rPr>
          <w:rFonts w:ascii="Times New Roman" w:eastAsia="Times New Roman" w:hAnsi="Times New Roman" w:cs="Times New Roman"/>
          <w:lang w:eastAsia="hu-HU"/>
        </w:rPr>
        <w:t>Dr. Farkas Tivadar: Lőfegyverek rendszertana I-II. (ZMNE jegyzet, Budapest, 2000) ISBN: 9630035596</w:t>
      </w:r>
    </w:p>
    <w:p w:rsidR="009B2CD8" w:rsidRPr="009B2CD8" w:rsidRDefault="009B2CD8" w:rsidP="00980876">
      <w:pPr>
        <w:numPr>
          <w:ilvl w:val="1"/>
          <w:numId w:val="460"/>
        </w:numPr>
        <w:tabs>
          <w:tab w:val="clear" w:pos="3977"/>
          <w:tab w:val="left" w:pos="1134"/>
          <w:tab w:val="num" w:pos="1425"/>
        </w:tabs>
        <w:spacing w:before="120" w:after="0" w:line="240" w:lineRule="auto"/>
        <w:ind w:left="568" w:firstLine="0"/>
        <w:jc w:val="both"/>
        <w:rPr>
          <w:rFonts w:ascii="Times New Roman" w:eastAsia="Times New Roman" w:hAnsi="Times New Roman" w:cs="Times New Roman"/>
          <w:b/>
          <w:lang w:eastAsia="hu-HU"/>
        </w:rPr>
      </w:pPr>
      <w:r w:rsidRPr="009B2CD8">
        <w:rPr>
          <w:rFonts w:ascii="Times New Roman" w:eastAsia="Times New Roman" w:hAnsi="Times New Roman" w:cs="Times New Roman"/>
          <w:b/>
          <w:lang w:eastAsia="hu-HU"/>
        </w:rPr>
        <w:t>Ajánlott irodalom:</w:t>
      </w:r>
    </w:p>
    <w:p w:rsidR="009B2CD8" w:rsidRPr="009B2CD8" w:rsidRDefault="009B2CD8" w:rsidP="00980876">
      <w:pPr>
        <w:numPr>
          <w:ilvl w:val="0"/>
          <w:numId w:val="462"/>
        </w:numPr>
        <w:spacing w:after="0" w:line="240" w:lineRule="auto"/>
        <w:ind w:left="1066" w:hanging="357"/>
        <w:jc w:val="both"/>
        <w:rPr>
          <w:rFonts w:ascii="Times New Roman" w:eastAsia="Times New Roman" w:hAnsi="Times New Roman" w:cs="Times New Roman"/>
          <w:lang w:eastAsia="hu-HU"/>
        </w:rPr>
      </w:pPr>
      <w:r w:rsidRPr="009B2CD8">
        <w:rPr>
          <w:rFonts w:ascii="Times New Roman" w:eastAsia="Times New Roman" w:hAnsi="Times New Roman" w:cs="Times New Roman"/>
          <w:lang w:eastAsia="hu-HU"/>
        </w:rPr>
        <w:t>Tüfe/3 A fegyverzeti szolgálat szakutasítása (Állandó harckészültség időszakára);</w:t>
      </w:r>
    </w:p>
    <w:p w:rsidR="009B2CD8" w:rsidRPr="009B2CD8" w:rsidRDefault="009B2CD8" w:rsidP="00980876">
      <w:pPr>
        <w:numPr>
          <w:ilvl w:val="0"/>
          <w:numId w:val="462"/>
        </w:numPr>
        <w:spacing w:after="0" w:line="240" w:lineRule="auto"/>
        <w:ind w:left="1066" w:hanging="357"/>
        <w:jc w:val="both"/>
        <w:rPr>
          <w:rFonts w:ascii="Times New Roman" w:eastAsia="Times New Roman" w:hAnsi="Times New Roman" w:cs="Times New Roman"/>
          <w:lang w:eastAsia="hu-HU"/>
        </w:rPr>
      </w:pPr>
      <w:r w:rsidRPr="009B2CD8">
        <w:rPr>
          <w:rFonts w:ascii="Times New Roman" w:eastAsia="Times New Roman" w:hAnsi="Times New Roman" w:cs="Times New Roman"/>
          <w:lang w:eastAsia="hu-HU"/>
        </w:rPr>
        <w:t>Tüfe/129 Utasítás a fegyverzeti anyagok értékcsoportba sorolására;</w:t>
      </w:r>
    </w:p>
    <w:p w:rsidR="009B2CD8" w:rsidRPr="009B2CD8" w:rsidRDefault="009B2CD8" w:rsidP="00980876">
      <w:pPr>
        <w:numPr>
          <w:ilvl w:val="0"/>
          <w:numId w:val="462"/>
        </w:numPr>
        <w:spacing w:after="0" w:line="240" w:lineRule="auto"/>
        <w:ind w:left="1066" w:hanging="357"/>
        <w:jc w:val="both"/>
        <w:rPr>
          <w:rFonts w:ascii="Times New Roman" w:eastAsia="Times New Roman" w:hAnsi="Times New Roman" w:cs="Times New Roman"/>
          <w:lang w:eastAsia="hu-HU"/>
        </w:rPr>
      </w:pPr>
      <w:r w:rsidRPr="009B2CD8">
        <w:rPr>
          <w:rFonts w:ascii="Times New Roman" w:eastAsia="Times New Roman" w:hAnsi="Times New Roman" w:cs="Times New Roman"/>
          <w:lang w:eastAsia="hu-HU"/>
        </w:rPr>
        <w:t>Tüfe/150 Szakutasítás a lőszerraktárak és bázisok részére;</w:t>
      </w:r>
    </w:p>
    <w:p w:rsidR="009B2CD8" w:rsidRPr="009B2CD8" w:rsidRDefault="009B2CD8" w:rsidP="00980876">
      <w:pPr>
        <w:numPr>
          <w:ilvl w:val="0"/>
          <w:numId w:val="462"/>
        </w:numPr>
        <w:spacing w:after="0" w:line="240" w:lineRule="auto"/>
        <w:ind w:left="1066" w:hanging="357"/>
        <w:jc w:val="both"/>
        <w:rPr>
          <w:rFonts w:ascii="Times New Roman" w:eastAsia="Times New Roman" w:hAnsi="Times New Roman" w:cs="Times New Roman"/>
          <w:lang w:eastAsia="hu-HU"/>
        </w:rPr>
      </w:pPr>
      <w:r w:rsidRPr="009B2CD8">
        <w:rPr>
          <w:rFonts w:ascii="Times New Roman" w:eastAsia="Times New Roman" w:hAnsi="Times New Roman" w:cs="Times New Roman"/>
          <w:lang w:eastAsia="hu-HU"/>
        </w:rPr>
        <w:t>Tüfe/309 Utasítás a fegyverzeti anyagok megóvására (tárolás, megőrzés);</w:t>
      </w:r>
    </w:p>
    <w:p w:rsidR="009B2CD8" w:rsidRPr="009B2CD8" w:rsidRDefault="009B2CD8" w:rsidP="00980876">
      <w:pPr>
        <w:numPr>
          <w:ilvl w:val="0"/>
          <w:numId w:val="462"/>
        </w:numPr>
        <w:spacing w:after="0" w:line="240" w:lineRule="auto"/>
        <w:ind w:left="1066" w:hanging="357"/>
        <w:jc w:val="both"/>
        <w:rPr>
          <w:rFonts w:ascii="Times New Roman" w:eastAsia="Times New Roman" w:hAnsi="Times New Roman" w:cs="Times New Roman"/>
          <w:lang w:eastAsia="hu-HU"/>
        </w:rPr>
      </w:pPr>
      <w:r w:rsidRPr="009B2CD8">
        <w:rPr>
          <w:rFonts w:ascii="Times New Roman" w:eastAsia="Times New Roman" w:hAnsi="Times New Roman" w:cs="Times New Roman"/>
          <w:lang w:eastAsia="hu-HU"/>
        </w:rPr>
        <w:t>Tüfe/322 Biztonsági rendszabályok a lőszerekkel végzett munkáknál;</w:t>
      </w:r>
    </w:p>
    <w:p w:rsidR="009B2CD8" w:rsidRPr="009B2CD8" w:rsidRDefault="009B2CD8" w:rsidP="006250B7">
      <w:pPr>
        <w:spacing w:before="240" w:after="0" w:line="240" w:lineRule="auto"/>
        <w:jc w:val="both"/>
        <w:rPr>
          <w:rFonts w:ascii="Times New Roman" w:eastAsia="Times New Roman" w:hAnsi="Times New Roman" w:cs="Times New Roman"/>
          <w:lang w:eastAsia="hu-HU"/>
        </w:rPr>
      </w:pPr>
      <w:r w:rsidRPr="009B2CD8">
        <w:rPr>
          <w:rFonts w:ascii="Times New Roman" w:eastAsia="Times New Roman" w:hAnsi="Times New Roman" w:cs="Times New Roman"/>
          <w:lang w:eastAsia="hu-HU"/>
        </w:rPr>
        <w:t>Budapest, 2020. február 15.</w:t>
      </w:r>
    </w:p>
    <w:p w:rsidR="004A4C51" w:rsidRPr="00A3436E" w:rsidRDefault="004A4C51" w:rsidP="004A4C51">
      <w:pPr>
        <w:widowControl w:val="0"/>
        <w:spacing w:after="0" w:line="240" w:lineRule="auto"/>
        <w:ind w:left="5529"/>
        <w:jc w:val="center"/>
        <w:rPr>
          <w:rFonts w:ascii="Times New Roman" w:eastAsia="Times New Roman" w:hAnsi="Times New Roman" w:cs="Times New Roman"/>
          <w:b/>
          <w:bCs/>
        </w:rPr>
      </w:pPr>
      <w:r w:rsidRPr="00A3436E">
        <w:rPr>
          <w:rFonts w:ascii="Times New Roman" w:eastAsia="Times New Roman" w:hAnsi="Times New Roman" w:cs="Times New Roman"/>
          <w:b/>
          <w:bCs/>
        </w:rPr>
        <w:t xml:space="preserve">Dr. Gyarmati József </w:t>
      </w:r>
      <w:r>
        <w:rPr>
          <w:rFonts w:ascii="Times New Roman" w:eastAsia="Times New Roman" w:hAnsi="Times New Roman" w:cs="Times New Roman"/>
          <w:b/>
          <w:bCs/>
        </w:rPr>
        <w:t>alezredes, PhD</w:t>
      </w:r>
    </w:p>
    <w:p w:rsidR="009B2CD8" w:rsidRPr="009B2CD8" w:rsidRDefault="009B2CD8" w:rsidP="009B2CD8">
      <w:pPr>
        <w:tabs>
          <w:tab w:val="center" w:pos="7371"/>
        </w:tabs>
        <w:spacing w:after="0" w:line="240" w:lineRule="auto"/>
        <w:jc w:val="both"/>
        <w:rPr>
          <w:rFonts w:ascii="Times New Roman" w:eastAsia="Times New Roman" w:hAnsi="Times New Roman" w:cs="Times New Roman"/>
          <w:lang w:eastAsia="hu-HU"/>
        </w:rPr>
      </w:pPr>
      <w:r w:rsidRPr="009B2CD8">
        <w:rPr>
          <w:rFonts w:ascii="Times New Roman" w:eastAsia="Times New Roman" w:hAnsi="Times New Roman" w:cs="Times New Roman"/>
          <w:lang w:eastAsia="hu-HU"/>
        </w:rPr>
        <w:tab/>
        <w:t>egyetemi docens,</w:t>
      </w:r>
      <w:r w:rsidR="004A4C51">
        <w:rPr>
          <w:rFonts w:ascii="Times New Roman" w:eastAsia="Times New Roman" w:hAnsi="Times New Roman" w:cs="Times New Roman"/>
          <w:lang w:eastAsia="hu-HU"/>
        </w:rPr>
        <w:t xml:space="preserve"> sk.</w:t>
      </w:r>
    </w:p>
    <w:p w:rsidR="009B2CD8" w:rsidRPr="009B2CD8" w:rsidRDefault="009B2CD8" w:rsidP="009B2CD8">
      <w:pPr>
        <w:tabs>
          <w:tab w:val="center" w:pos="7371"/>
        </w:tabs>
        <w:spacing w:after="0" w:line="240" w:lineRule="auto"/>
        <w:jc w:val="both"/>
        <w:rPr>
          <w:rFonts w:ascii="Times New Roman" w:eastAsia="Times New Roman" w:hAnsi="Times New Roman" w:cs="Times New Roman"/>
          <w:lang w:eastAsia="hu-HU"/>
        </w:rPr>
      </w:pPr>
      <w:r w:rsidRPr="009B2CD8">
        <w:rPr>
          <w:rFonts w:ascii="Times New Roman" w:eastAsia="Times New Roman" w:hAnsi="Times New Roman" w:cs="Times New Roman"/>
          <w:lang w:eastAsia="hu-HU"/>
        </w:rPr>
        <w:tab/>
        <w:t>.</w:t>
      </w:r>
    </w:p>
    <w:tbl>
      <w:tblPr>
        <w:tblW w:w="9072" w:type="dxa"/>
        <w:tblInd w:w="113" w:type="dxa"/>
        <w:tblLook w:val="01E0" w:firstRow="1" w:lastRow="1" w:firstColumn="1" w:lastColumn="1" w:noHBand="0" w:noVBand="0"/>
      </w:tblPr>
      <w:tblGrid>
        <w:gridCol w:w="4855"/>
        <w:gridCol w:w="1620"/>
        <w:gridCol w:w="2597"/>
      </w:tblGrid>
      <w:tr w:rsidR="000A4A1A" w:rsidRPr="000A4A1A" w:rsidTr="00F543BF">
        <w:tc>
          <w:tcPr>
            <w:tcW w:w="4855" w:type="dxa"/>
            <w:tcBorders>
              <w:bottom w:val="single" w:sz="4" w:space="0" w:color="auto"/>
            </w:tcBorders>
          </w:tcPr>
          <w:p w:rsidR="000A4A1A" w:rsidRPr="000A4A1A" w:rsidRDefault="000A4A1A" w:rsidP="000A4A1A">
            <w:pPr>
              <w:spacing w:after="0" w:line="240" w:lineRule="auto"/>
              <w:jc w:val="center"/>
              <w:rPr>
                <w:rFonts w:ascii="Times New Roman" w:eastAsia="Times New Roman" w:hAnsi="Times New Roman" w:cs="Times New Roman"/>
                <w:b/>
                <w:smallCaps/>
                <w:lang w:eastAsia="hu-HU"/>
              </w:rPr>
            </w:pPr>
            <w:r w:rsidRPr="000A4A1A">
              <w:rPr>
                <w:rFonts w:ascii="Times New Roman" w:eastAsia="Times New Roman" w:hAnsi="Times New Roman" w:cs="Times New Roman"/>
                <w:b/>
                <w:smallCaps/>
                <w:lang w:eastAsia="hu-HU"/>
              </w:rPr>
              <w:lastRenderedPageBreak/>
              <w:t>Nemzeti Közszolgálati Egyetem</w:t>
            </w:r>
          </w:p>
        </w:tc>
        <w:tc>
          <w:tcPr>
            <w:tcW w:w="1620" w:type="dxa"/>
          </w:tcPr>
          <w:p w:rsidR="000A4A1A" w:rsidRPr="000A4A1A" w:rsidRDefault="000A4A1A" w:rsidP="000A4A1A">
            <w:pPr>
              <w:spacing w:after="0" w:line="240" w:lineRule="auto"/>
              <w:jc w:val="both"/>
              <w:rPr>
                <w:rFonts w:ascii="Times New Roman" w:eastAsia="Times New Roman" w:hAnsi="Times New Roman" w:cs="Times New Roman"/>
                <w:lang w:eastAsia="hu-HU"/>
              </w:rPr>
            </w:pPr>
          </w:p>
        </w:tc>
        <w:tc>
          <w:tcPr>
            <w:tcW w:w="2597" w:type="dxa"/>
          </w:tcPr>
          <w:p w:rsidR="000A4A1A" w:rsidRPr="000A4A1A" w:rsidRDefault="000A4A1A" w:rsidP="000A4A1A">
            <w:pPr>
              <w:spacing w:after="0" w:line="240" w:lineRule="auto"/>
              <w:jc w:val="right"/>
              <w:rPr>
                <w:rFonts w:ascii="Times New Roman" w:eastAsia="Times New Roman" w:hAnsi="Times New Roman" w:cs="Times New Roman"/>
                <w:lang w:eastAsia="hu-HU"/>
              </w:rPr>
            </w:pPr>
          </w:p>
        </w:tc>
      </w:tr>
      <w:tr w:rsidR="000A4A1A" w:rsidRPr="000A4A1A" w:rsidTr="00F543BF">
        <w:tc>
          <w:tcPr>
            <w:tcW w:w="4855" w:type="dxa"/>
            <w:tcBorders>
              <w:top w:val="single" w:sz="4" w:space="0" w:color="auto"/>
            </w:tcBorders>
          </w:tcPr>
          <w:p w:rsidR="000A4A1A" w:rsidRPr="000A4A1A" w:rsidRDefault="000A4A1A" w:rsidP="000A4A1A">
            <w:pPr>
              <w:spacing w:after="0" w:line="240" w:lineRule="auto"/>
              <w:jc w:val="center"/>
              <w:rPr>
                <w:rFonts w:ascii="Times New Roman" w:eastAsia="Times New Roman" w:hAnsi="Times New Roman" w:cs="Times New Roman"/>
                <w:b/>
                <w:lang w:eastAsia="hu-HU"/>
              </w:rPr>
            </w:pPr>
            <w:r w:rsidRPr="000A4A1A">
              <w:rPr>
                <w:rFonts w:ascii="Times New Roman" w:eastAsia="Times New Roman" w:hAnsi="Times New Roman" w:cs="Times New Roman"/>
                <w:b/>
                <w:lang w:eastAsia="hu-HU"/>
              </w:rPr>
              <w:t>Hadtudományi és Honvédtisztképző Kar</w:t>
            </w:r>
          </w:p>
        </w:tc>
        <w:tc>
          <w:tcPr>
            <w:tcW w:w="1620" w:type="dxa"/>
          </w:tcPr>
          <w:p w:rsidR="000A4A1A" w:rsidRPr="000A4A1A" w:rsidRDefault="000A4A1A" w:rsidP="000A4A1A">
            <w:pPr>
              <w:spacing w:after="0" w:line="240" w:lineRule="auto"/>
              <w:jc w:val="both"/>
              <w:rPr>
                <w:rFonts w:ascii="Times New Roman" w:eastAsia="Times New Roman" w:hAnsi="Times New Roman" w:cs="Times New Roman"/>
                <w:lang w:eastAsia="hu-HU"/>
              </w:rPr>
            </w:pPr>
          </w:p>
        </w:tc>
        <w:tc>
          <w:tcPr>
            <w:tcW w:w="2597" w:type="dxa"/>
          </w:tcPr>
          <w:p w:rsidR="000A4A1A" w:rsidRPr="000A4A1A" w:rsidRDefault="000A4A1A" w:rsidP="000A4A1A">
            <w:pPr>
              <w:spacing w:after="0" w:line="240" w:lineRule="auto"/>
              <w:jc w:val="both"/>
              <w:rPr>
                <w:rFonts w:ascii="Times New Roman" w:eastAsia="Times New Roman" w:hAnsi="Times New Roman" w:cs="Times New Roman"/>
                <w:lang w:eastAsia="hu-HU"/>
              </w:rPr>
            </w:pPr>
          </w:p>
        </w:tc>
      </w:tr>
    </w:tbl>
    <w:p w:rsidR="000A4A1A" w:rsidRPr="000A4A1A" w:rsidRDefault="000A4A1A" w:rsidP="000A4A1A">
      <w:pPr>
        <w:widowControl w:val="0"/>
        <w:spacing w:before="120" w:after="120" w:line="240" w:lineRule="auto"/>
        <w:ind w:left="426" w:hanging="142"/>
        <w:jc w:val="center"/>
        <w:rPr>
          <w:rFonts w:ascii="Times New Roman" w:eastAsia="Times New Roman" w:hAnsi="Times New Roman" w:cs="Times New Roman"/>
          <w:b/>
          <w:bCs/>
        </w:rPr>
      </w:pPr>
    </w:p>
    <w:p w:rsidR="000A4A1A" w:rsidRPr="000A4A1A" w:rsidRDefault="000A4A1A" w:rsidP="000A4A1A">
      <w:pPr>
        <w:widowControl w:val="0"/>
        <w:spacing w:before="120" w:after="120" w:line="240" w:lineRule="auto"/>
        <w:ind w:left="426" w:hanging="142"/>
        <w:jc w:val="center"/>
        <w:rPr>
          <w:rFonts w:ascii="Times New Roman" w:eastAsia="Times New Roman" w:hAnsi="Times New Roman" w:cs="Times New Roman"/>
          <w:b/>
          <w:bCs/>
        </w:rPr>
      </w:pPr>
      <w:r w:rsidRPr="000A4A1A">
        <w:rPr>
          <w:rFonts w:ascii="Times New Roman" w:eastAsia="Times New Roman" w:hAnsi="Times New Roman" w:cs="Times New Roman"/>
          <w:b/>
          <w:bCs/>
        </w:rPr>
        <w:t>TANTÁRGYI PROGRAM</w:t>
      </w:r>
    </w:p>
    <w:p w:rsidR="000A4A1A" w:rsidRPr="000A4A1A" w:rsidRDefault="000A4A1A" w:rsidP="00980876">
      <w:pPr>
        <w:widowControl w:val="0"/>
        <w:numPr>
          <w:ilvl w:val="0"/>
          <w:numId w:val="463"/>
        </w:numPr>
        <w:tabs>
          <w:tab w:val="clear" w:pos="720"/>
          <w:tab w:val="num" w:pos="567"/>
          <w:tab w:val="num" w:pos="785"/>
        </w:tabs>
        <w:spacing w:before="120" w:after="120" w:line="240" w:lineRule="auto"/>
        <w:ind w:left="426" w:hanging="142"/>
        <w:jc w:val="both"/>
        <w:rPr>
          <w:rFonts w:ascii="Times New Roman" w:eastAsia="Times New Roman" w:hAnsi="Times New Roman" w:cs="Times New Roman"/>
          <w:bCs/>
        </w:rPr>
      </w:pPr>
      <w:r w:rsidRPr="000A4A1A">
        <w:rPr>
          <w:rFonts w:ascii="Times New Roman" w:eastAsia="Times New Roman" w:hAnsi="Times New Roman" w:cs="Times New Roman"/>
          <w:b/>
          <w:bCs/>
        </w:rPr>
        <w:t xml:space="preserve">A tantárgy kódja: </w:t>
      </w:r>
      <w:r w:rsidRPr="000A4A1A">
        <w:rPr>
          <w:rFonts w:ascii="Times New Roman" w:eastAsia="Times New Roman" w:hAnsi="Times New Roman" w:cs="Times New Roman"/>
          <w:bCs/>
        </w:rPr>
        <w:t>HKHDTA40</w:t>
      </w:r>
    </w:p>
    <w:p w:rsidR="000A4A1A" w:rsidRPr="000A4A1A" w:rsidRDefault="000A4A1A" w:rsidP="00980876">
      <w:pPr>
        <w:widowControl w:val="0"/>
        <w:numPr>
          <w:ilvl w:val="0"/>
          <w:numId w:val="463"/>
        </w:numPr>
        <w:tabs>
          <w:tab w:val="clear" w:pos="720"/>
          <w:tab w:val="num" w:pos="567"/>
          <w:tab w:val="num" w:pos="785"/>
        </w:tabs>
        <w:spacing w:before="120" w:after="120" w:line="240" w:lineRule="auto"/>
        <w:ind w:left="426" w:hanging="142"/>
        <w:jc w:val="both"/>
        <w:rPr>
          <w:rFonts w:ascii="Times New Roman" w:eastAsia="Times New Roman" w:hAnsi="Times New Roman" w:cs="Times New Roman"/>
          <w:b/>
          <w:bCs/>
          <w:lang w:val="en-GB"/>
        </w:rPr>
      </w:pPr>
      <w:r w:rsidRPr="000A4A1A">
        <w:rPr>
          <w:rFonts w:ascii="Times New Roman" w:eastAsia="Times New Roman" w:hAnsi="Times New Roman" w:cs="Times New Roman"/>
          <w:b/>
          <w:bCs/>
        </w:rPr>
        <w:t>A tantárgy megnevezése (magyarul):</w:t>
      </w:r>
      <w:r w:rsidRPr="000A4A1A">
        <w:rPr>
          <w:rFonts w:ascii="Times New Roman" w:eastAsia="Times New Roman" w:hAnsi="Times New Roman" w:cs="Times New Roman"/>
          <w:bCs/>
        </w:rPr>
        <w:t xml:space="preserve"> </w:t>
      </w:r>
      <w:r w:rsidRPr="000A4A1A">
        <w:rPr>
          <w:rFonts w:ascii="Times New Roman" w:eastAsia="Calibri" w:hAnsi="Times New Roman" w:cs="Times New Roman"/>
          <w:bCs/>
        </w:rPr>
        <w:t>Korszerű harc- és gépjárművek a modern kor háborúiban</w:t>
      </w:r>
    </w:p>
    <w:p w:rsidR="000A4A1A" w:rsidRPr="000A4A1A" w:rsidRDefault="000A4A1A" w:rsidP="00980876">
      <w:pPr>
        <w:widowControl w:val="0"/>
        <w:numPr>
          <w:ilvl w:val="0"/>
          <w:numId w:val="463"/>
        </w:numPr>
        <w:tabs>
          <w:tab w:val="clear" w:pos="720"/>
          <w:tab w:val="num" w:pos="567"/>
          <w:tab w:val="num" w:pos="785"/>
        </w:tabs>
        <w:spacing w:before="120" w:after="120" w:line="240" w:lineRule="auto"/>
        <w:ind w:left="426" w:hanging="142"/>
        <w:jc w:val="both"/>
        <w:rPr>
          <w:rFonts w:ascii="Times New Roman" w:eastAsia="Times New Roman" w:hAnsi="Times New Roman" w:cs="Times New Roman"/>
          <w:b/>
          <w:bCs/>
          <w:lang w:val="en-GB"/>
        </w:rPr>
      </w:pPr>
      <w:r w:rsidRPr="000A4A1A">
        <w:rPr>
          <w:rFonts w:ascii="Times New Roman" w:eastAsia="Times New Roman" w:hAnsi="Times New Roman" w:cs="Times New Roman"/>
          <w:b/>
          <w:bCs/>
        </w:rPr>
        <w:t xml:space="preserve">A tantárgy megnevezése (angolul): </w:t>
      </w:r>
      <w:r w:rsidRPr="000A4A1A">
        <w:rPr>
          <w:rFonts w:ascii="Times New Roman" w:eastAsia="Calibri" w:hAnsi="Times New Roman" w:cs="Times New Roman"/>
          <w:bCs/>
        </w:rPr>
        <w:t>Figting vehicles and vehicles in the modern warefare</w:t>
      </w:r>
    </w:p>
    <w:p w:rsidR="000A4A1A" w:rsidRPr="000A4A1A" w:rsidRDefault="000A4A1A" w:rsidP="00980876">
      <w:pPr>
        <w:widowControl w:val="0"/>
        <w:numPr>
          <w:ilvl w:val="0"/>
          <w:numId w:val="463"/>
        </w:numPr>
        <w:tabs>
          <w:tab w:val="clear" w:pos="720"/>
          <w:tab w:val="num" w:pos="567"/>
          <w:tab w:val="num" w:pos="785"/>
        </w:tabs>
        <w:spacing w:before="120" w:after="120" w:line="240" w:lineRule="auto"/>
        <w:ind w:left="426" w:hanging="142"/>
        <w:jc w:val="both"/>
        <w:rPr>
          <w:rFonts w:ascii="Times New Roman" w:eastAsia="Times New Roman" w:hAnsi="Times New Roman" w:cs="Times New Roman"/>
          <w:b/>
          <w:bCs/>
        </w:rPr>
      </w:pPr>
      <w:r w:rsidRPr="000A4A1A">
        <w:rPr>
          <w:rFonts w:ascii="Times New Roman" w:eastAsia="Times New Roman" w:hAnsi="Times New Roman" w:cs="Times New Roman"/>
          <w:b/>
          <w:bCs/>
        </w:rPr>
        <w:t xml:space="preserve">Kreditérték és képzési karakter: </w:t>
      </w:r>
    </w:p>
    <w:p w:rsidR="000A4A1A" w:rsidRPr="000A4A1A" w:rsidRDefault="000A4A1A" w:rsidP="00980876">
      <w:pPr>
        <w:widowControl w:val="0"/>
        <w:numPr>
          <w:ilvl w:val="1"/>
          <w:numId w:val="463"/>
        </w:numPr>
        <w:tabs>
          <w:tab w:val="clear" w:pos="3977"/>
          <w:tab w:val="num" w:pos="709"/>
          <w:tab w:val="num" w:pos="999"/>
          <w:tab w:val="num" w:pos="2069"/>
        </w:tabs>
        <w:spacing w:before="120" w:after="120" w:line="240" w:lineRule="auto"/>
        <w:ind w:left="851" w:hanging="425"/>
        <w:jc w:val="both"/>
        <w:rPr>
          <w:rFonts w:ascii="Times New Roman" w:eastAsia="Times New Roman" w:hAnsi="Times New Roman" w:cs="Times New Roman"/>
          <w:bCs/>
        </w:rPr>
      </w:pPr>
      <w:r w:rsidRPr="000A4A1A">
        <w:rPr>
          <w:rFonts w:ascii="Times New Roman" w:eastAsia="Times New Roman" w:hAnsi="Times New Roman" w:cs="Times New Roman"/>
          <w:bCs/>
        </w:rPr>
        <w:t>2 kredit</w:t>
      </w:r>
    </w:p>
    <w:p w:rsidR="000A4A1A" w:rsidRPr="000A4A1A" w:rsidRDefault="000A4A1A" w:rsidP="00980876">
      <w:pPr>
        <w:widowControl w:val="0"/>
        <w:numPr>
          <w:ilvl w:val="1"/>
          <w:numId w:val="463"/>
        </w:numPr>
        <w:tabs>
          <w:tab w:val="clear" w:pos="3977"/>
          <w:tab w:val="num" w:pos="709"/>
          <w:tab w:val="num" w:pos="999"/>
          <w:tab w:val="num" w:pos="2069"/>
        </w:tabs>
        <w:spacing w:before="120" w:after="120" w:line="240" w:lineRule="auto"/>
        <w:ind w:left="851" w:hanging="425"/>
        <w:jc w:val="both"/>
        <w:rPr>
          <w:rFonts w:ascii="Times New Roman" w:eastAsia="Times New Roman" w:hAnsi="Times New Roman" w:cs="Times New Roman"/>
          <w:bCs/>
        </w:rPr>
      </w:pPr>
      <w:r w:rsidRPr="000A4A1A">
        <w:rPr>
          <w:rFonts w:ascii="Times New Roman" w:eastAsia="Times New Roman" w:hAnsi="Times New Roman" w:cs="Times New Roman"/>
          <w:bCs/>
        </w:rPr>
        <w:t>a tantárgy elméleti vagy gyakorlati jellegének mértéke: 50 % gyakorlat, 50 % elmélet</w:t>
      </w:r>
    </w:p>
    <w:p w:rsidR="000A4A1A" w:rsidRPr="000A4A1A" w:rsidRDefault="000A4A1A" w:rsidP="00980876">
      <w:pPr>
        <w:widowControl w:val="0"/>
        <w:numPr>
          <w:ilvl w:val="0"/>
          <w:numId w:val="463"/>
        </w:numPr>
        <w:tabs>
          <w:tab w:val="clear" w:pos="720"/>
          <w:tab w:val="num" w:pos="785"/>
        </w:tabs>
        <w:spacing w:before="120" w:after="120" w:line="240" w:lineRule="auto"/>
        <w:ind w:left="426" w:hanging="142"/>
        <w:jc w:val="both"/>
        <w:rPr>
          <w:rFonts w:ascii="Times New Roman" w:eastAsia="Times New Roman" w:hAnsi="Times New Roman" w:cs="Times New Roman"/>
          <w:bCs/>
        </w:rPr>
      </w:pPr>
      <w:r w:rsidRPr="000A4A1A">
        <w:rPr>
          <w:rFonts w:ascii="Times New Roman" w:eastAsia="Times New Roman" w:hAnsi="Times New Roman" w:cs="Times New Roman"/>
          <w:b/>
          <w:bCs/>
        </w:rPr>
        <w:t>A szak(ok), szakirányok/specializációk megnevezése (ahol oktatják):</w:t>
      </w:r>
      <w:r w:rsidRPr="000A4A1A">
        <w:rPr>
          <w:rFonts w:ascii="Times New Roman" w:eastAsia="Times New Roman" w:hAnsi="Times New Roman" w:cs="Times New Roman"/>
          <w:bCs/>
        </w:rPr>
        <w:t xml:space="preserve"> Katonai logisztika alapképzési szak</w:t>
      </w:r>
    </w:p>
    <w:p w:rsidR="000A4A1A" w:rsidRPr="000A4A1A" w:rsidRDefault="000A4A1A" w:rsidP="00980876">
      <w:pPr>
        <w:widowControl w:val="0"/>
        <w:numPr>
          <w:ilvl w:val="0"/>
          <w:numId w:val="463"/>
        </w:numPr>
        <w:tabs>
          <w:tab w:val="clear" w:pos="720"/>
          <w:tab w:val="num" w:pos="567"/>
          <w:tab w:val="num" w:pos="785"/>
        </w:tabs>
        <w:spacing w:before="120" w:after="120" w:line="240" w:lineRule="auto"/>
        <w:ind w:left="426" w:hanging="142"/>
        <w:jc w:val="both"/>
        <w:rPr>
          <w:rFonts w:ascii="Times New Roman" w:eastAsia="Times New Roman" w:hAnsi="Times New Roman" w:cs="Times New Roman"/>
          <w:bCs/>
        </w:rPr>
      </w:pPr>
      <w:r w:rsidRPr="000A4A1A">
        <w:rPr>
          <w:rFonts w:ascii="Times New Roman" w:eastAsia="Times New Roman" w:hAnsi="Times New Roman" w:cs="Times New Roman"/>
          <w:b/>
          <w:bCs/>
        </w:rPr>
        <w:t xml:space="preserve">Az oktatásért felelős oktatási szervezeti egység megnevezése: </w:t>
      </w:r>
      <w:r w:rsidRPr="000A4A1A">
        <w:rPr>
          <w:rFonts w:ascii="Times New Roman" w:eastAsia="Times New Roman" w:hAnsi="Times New Roman" w:cs="Times New Roman"/>
          <w:bCs/>
        </w:rPr>
        <w:t xml:space="preserve">NKE </w:t>
      </w:r>
      <w:r w:rsidRPr="000A4A1A">
        <w:rPr>
          <w:rFonts w:ascii="Times New Roman" w:eastAsia="Calibri" w:hAnsi="Times New Roman" w:cs="Times New Roman"/>
          <w:bCs/>
          <w:kern w:val="2"/>
        </w:rPr>
        <w:t>Hadtudományi és Honvédtisztképző Kar,</w:t>
      </w:r>
      <w:r w:rsidRPr="000A4A1A">
        <w:rPr>
          <w:rFonts w:ascii="Times New Roman" w:eastAsia="Times New Roman" w:hAnsi="Times New Roman" w:cs="Times New Roman"/>
          <w:bCs/>
        </w:rPr>
        <w:t xml:space="preserve"> Haditechnikai Tanszék</w:t>
      </w:r>
    </w:p>
    <w:p w:rsidR="000A4A1A" w:rsidRPr="000A4A1A" w:rsidRDefault="000A4A1A" w:rsidP="00980876">
      <w:pPr>
        <w:widowControl w:val="0"/>
        <w:numPr>
          <w:ilvl w:val="0"/>
          <w:numId w:val="463"/>
        </w:numPr>
        <w:tabs>
          <w:tab w:val="clear" w:pos="720"/>
          <w:tab w:val="num" w:pos="567"/>
          <w:tab w:val="num" w:pos="785"/>
        </w:tabs>
        <w:spacing w:before="120" w:after="120" w:line="240" w:lineRule="auto"/>
        <w:ind w:left="426" w:hanging="142"/>
        <w:jc w:val="both"/>
        <w:rPr>
          <w:rFonts w:ascii="Times New Roman" w:eastAsia="Times New Roman" w:hAnsi="Times New Roman" w:cs="Times New Roman"/>
          <w:bCs/>
        </w:rPr>
      </w:pPr>
      <w:r w:rsidRPr="000A4A1A">
        <w:rPr>
          <w:rFonts w:ascii="Times New Roman" w:eastAsia="Times New Roman" w:hAnsi="Times New Roman" w:cs="Times New Roman"/>
          <w:b/>
          <w:bCs/>
        </w:rPr>
        <w:t>A tantárgyfelelős oktató neve, beosztása, tudományos fokozata:</w:t>
      </w:r>
      <w:r w:rsidRPr="000A4A1A">
        <w:rPr>
          <w:rFonts w:ascii="Times New Roman" w:eastAsia="Times New Roman" w:hAnsi="Times New Roman" w:cs="Times New Roman"/>
          <w:bCs/>
        </w:rPr>
        <w:t xml:space="preserve"> Dr. Gávay György Viktor, adjunktus, PhD.</w:t>
      </w:r>
    </w:p>
    <w:p w:rsidR="000A4A1A" w:rsidRPr="000A4A1A" w:rsidRDefault="000A4A1A" w:rsidP="00980876">
      <w:pPr>
        <w:widowControl w:val="0"/>
        <w:numPr>
          <w:ilvl w:val="0"/>
          <w:numId w:val="463"/>
        </w:numPr>
        <w:tabs>
          <w:tab w:val="clear" w:pos="720"/>
          <w:tab w:val="num" w:pos="785"/>
        </w:tabs>
        <w:spacing w:before="120" w:after="120" w:line="240" w:lineRule="auto"/>
        <w:ind w:left="426" w:hanging="142"/>
        <w:jc w:val="both"/>
        <w:rPr>
          <w:rFonts w:ascii="Times New Roman" w:eastAsia="Times New Roman" w:hAnsi="Times New Roman" w:cs="Times New Roman"/>
          <w:bCs/>
        </w:rPr>
      </w:pPr>
      <w:r w:rsidRPr="000A4A1A">
        <w:rPr>
          <w:rFonts w:ascii="Times New Roman" w:eastAsia="Times New Roman" w:hAnsi="Times New Roman" w:cs="Times New Roman"/>
          <w:b/>
          <w:bCs/>
        </w:rPr>
        <w:t>A tanórák száma és típusa</w:t>
      </w:r>
    </w:p>
    <w:p w:rsidR="000A4A1A" w:rsidRPr="000A4A1A" w:rsidRDefault="000A4A1A" w:rsidP="00980876">
      <w:pPr>
        <w:widowControl w:val="0"/>
        <w:numPr>
          <w:ilvl w:val="1"/>
          <w:numId w:val="463"/>
        </w:numPr>
        <w:tabs>
          <w:tab w:val="clear" w:pos="3977"/>
          <w:tab w:val="num" w:pos="709"/>
          <w:tab w:val="num" w:pos="999"/>
          <w:tab w:val="num" w:pos="2069"/>
        </w:tabs>
        <w:spacing w:before="120" w:after="120" w:line="240" w:lineRule="auto"/>
        <w:ind w:left="851" w:hanging="425"/>
        <w:jc w:val="both"/>
        <w:rPr>
          <w:rFonts w:ascii="Times New Roman" w:eastAsia="Times New Roman" w:hAnsi="Times New Roman" w:cs="Times New Roman"/>
          <w:b/>
          <w:bCs/>
        </w:rPr>
      </w:pPr>
      <w:r w:rsidRPr="000A4A1A">
        <w:rPr>
          <w:rFonts w:ascii="Times New Roman" w:eastAsia="Times New Roman" w:hAnsi="Times New Roman" w:cs="Times New Roman"/>
          <w:bCs/>
        </w:rPr>
        <w:t>össz óraszám/félév:</w:t>
      </w:r>
    </w:p>
    <w:p w:rsidR="000A4A1A" w:rsidRPr="000A4A1A" w:rsidRDefault="000A4A1A" w:rsidP="00980876">
      <w:pPr>
        <w:widowControl w:val="0"/>
        <w:numPr>
          <w:ilvl w:val="2"/>
          <w:numId w:val="463"/>
        </w:numPr>
        <w:tabs>
          <w:tab w:val="num" w:pos="709"/>
          <w:tab w:val="num" w:pos="1134"/>
        </w:tabs>
        <w:spacing w:before="120" w:after="120" w:line="240" w:lineRule="auto"/>
        <w:ind w:left="993" w:hanging="425"/>
        <w:jc w:val="both"/>
        <w:rPr>
          <w:rFonts w:ascii="Times New Roman" w:eastAsia="Times New Roman" w:hAnsi="Times New Roman" w:cs="Times New Roman"/>
          <w:bCs/>
        </w:rPr>
      </w:pPr>
      <w:r w:rsidRPr="000A4A1A">
        <w:rPr>
          <w:rFonts w:ascii="Times New Roman" w:eastAsia="Times New Roman" w:hAnsi="Times New Roman" w:cs="Times New Roman"/>
          <w:bCs/>
        </w:rPr>
        <w:t>nappali munkarend: 28 (14 EA + 0 SZ + 14 GY)</w:t>
      </w:r>
    </w:p>
    <w:p w:rsidR="000A4A1A" w:rsidRPr="000A4A1A" w:rsidRDefault="000A4A1A" w:rsidP="00980876">
      <w:pPr>
        <w:widowControl w:val="0"/>
        <w:numPr>
          <w:ilvl w:val="2"/>
          <w:numId w:val="463"/>
        </w:numPr>
        <w:tabs>
          <w:tab w:val="num" w:pos="709"/>
          <w:tab w:val="num" w:pos="1134"/>
        </w:tabs>
        <w:spacing w:before="120" w:after="120" w:line="240" w:lineRule="auto"/>
        <w:ind w:left="993" w:hanging="425"/>
        <w:jc w:val="both"/>
        <w:rPr>
          <w:rFonts w:ascii="Times New Roman" w:eastAsia="Times New Roman" w:hAnsi="Times New Roman" w:cs="Times New Roman"/>
          <w:bCs/>
        </w:rPr>
      </w:pPr>
      <w:r w:rsidRPr="000A4A1A">
        <w:rPr>
          <w:rFonts w:ascii="Times New Roman" w:eastAsia="Times New Roman" w:hAnsi="Times New Roman" w:cs="Times New Roman"/>
          <w:bCs/>
        </w:rPr>
        <w:t>levelező munkarend: -</w:t>
      </w:r>
    </w:p>
    <w:p w:rsidR="000A4A1A" w:rsidRPr="000A4A1A" w:rsidRDefault="000A4A1A" w:rsidP="00980876">
      <w:pPr>
        <w:widowControl w:val="0"/>
        <w:numPr>
          <w:ilvl w:val="1"/>
          <w:numId w:val="463"/>
        </w:numPr>
        <w:tabs>
          <w:tab w:val="clear" w:pos="3977"/>
          <w:tab w:val="num" w:pos="709"/>
          <w:tab w:val="num" w:pos="999"/>
          <w:tab w:val="num" w:pos="2069"/>
        </w:tabs>
        <w:spacing w:before="120" w:after="120" w:line="240" w:lineRule="auto"/>
        <w:ind w:left="851" w:hanging="425"/>
        <w:jc w:val="both"/>
        <w:rPr>
          <w:rFonts w:ascii="Times New Roman" w:eastAsia="Times New Roman" w:hAnsi="Times New Roman" w:cs="Times New Roman"/>
          <w:bCs/>
        </w:rPr>
      </w:pPr>
      <w:r w:rsidRPr="000A4A1A">
        <w:rPr>
          <w:rFonts w:ascii="Times New Roman" w:eastAsia="Times New Roman" w:hAnsi="Times New Roman" w:cs="Times New Roman"/>
          <w:bCs/>
        </w:rPr>
        <w:t>heti óraszám - nappali munkarend: 2 (1 + 1)</w:t>
      </w:r>
    </w:p>
    <w:p w:rsidR="000A4A1A" w:rsidRPr="000A4A1A" w:rsidRDefault="000A4A1A" w:rsidP="00980876">
      <w:pPr>
        <w:widowControl w:val="0"/>
        <w:numPr>
          <w:ilvl w:val="1"/>
          <w:numId w:val="463"/>
        </w:numPr>
        <w:tabs>
          <w:tab w:val="clear" w:pos="3977"/>
          <w:tab w:val="num" w:pos="709"/>
          <w:tab w:val="num" w:pos="999"/>
          <w:tab w:val="num" w:pos="2069"/>
        </w:tabs>
        <w:spacing w:before="120" w:after="120" w:line="240" w:lineRule="auto"/>
        <w:ind w:left="851" w:hanging="425"/>
        <w:jc w:val="both"/>
        <w:rPr>
          <w:rFonts w:ascii="Times New Roman" w:eastAsia="Times New Roman" w:hAnsi="Times New Roman" w:cs="Times New Roman"/>
          <w:bCs/>
        </w:rPr>
      </w:pPr>
      <w:r w:rsidRPr="000A4A1A">
        <w:rPr>
          <w:rFonts w:ascii="Times New Roman" w:eastAsia="Calibri" w:hAnsi="Times New Roman" w:cs="Times New Roman"/>
        </w:rPr>
        <w:t xml:space="preserve">Az ismeret átadásában alkalmazandó további sajátos módok, jellemzők: </w:t>
      </w:r>
      <w:r w:rsidRPr="000A4A1A">
        <w:rPr>
          <w:rFonts w:ascii="Times New Roman" w:eastAsia="Calibri" w:hAnsi="Times New Roman" w:cs="Times New Roman"/>
          <w:bCs/>
        </w:rPr>
        <w:t>Az ismeretek feldolgozása vegyes tanulási program (blended learning) alapján történik.</w:t>
      </w:r>
    </w:p>
    <w:p w:rsidR="000A4A1A" w:rsidRPr="000A4A1A" w:rsidRDefault="000A4A1A" w:rsidP="00980876">
      <w:pPr>
        <w:widowControl w:val="0"/>
        <w:numPr>
          <w:ilvl w:val="0"/>
          <w:numId w:val="463"/>
        </w:numPr>
        <w:tabs>
          <w:tab w:val="clear" w:pos="720"/>
          <w:tab w:val="num" w:pos="785"/>
        </w:tabs>
        <w:spacing w:before="120" w:after="120" w:line="240" w:lineRule="auto"/>
        <w:ind w:left="426" w:hanging="142"/>
        <w:jc w:val="both"/>
        <w:rPr>
          <w:rFonts w:ascii="Times New Roman" w:eastAsia="Times New Roman" w:hAnsi="Times New Roman" w:cs="Times New Roman"/>
          <w:bCs/>
        </w:rPr>
      </w:pPr>
      <w:r w:rsidRPr="000A4A1A">
        <w:rPr>
          <w:rFonts w:ascii="Times New Roman" w:eastAsia="Times New Roman" w:hAnsi="Times New Roman" w:cs="Times New Roman"/>
          <w:b/>
          <w:bCs/>
        </w:rPr>
        <w:t>A tantárgy szakmai tartalma (magyarul):</w:t>
      </w:r>
      <w:r w:rsidRPr="000A4A1A">
        <w:rPr>
          <w:rFonts w:ascii="Times New Roman" w:eastAsia="Times New Roman" w:hAnsi="Times New Roman" w:cs="Times New Roman"/>
          <w:bCs/>
        </w:rPr>
        <w:t xml:space="preserve"> </w:t>
      </w:r>
      <w:bookmarkStart w:id="90" w:name="_Hlk34655321"/>
      <w:r w:rsidRPr="000A4A1A">
        <w:rPr>
          <w:rFonts w:ascii="Times New Roman" w:eastAsia="Calibri" w:hAnsi="Times New Roman" w:cs="Times New Roman"/>
        </w:rPr>
        <w:t>M1 Abrams harckocsi. Leopard-2 harckocsi típusok. M109 önjáró löveg. Pzh 2000 önjáró löveg. Stryker harcjárművek. Patria harcjárművek. Boxer harcjárművek. KOMONDOR páncélozott jármű. Polaris quad felépítése, feladata. MRAP harcjárművek. Rába katonai tehergépkocsik napjainkban és a Rába cég.</w:t>
      </w:r>
      <w:bookmarkEnd w:id="90"/>
      <w:r w:rsidRPr="000A4A1A">
        <w:rPr>
          <w:rFonts w:ascii="Times New Roman" w:eastAsia="Calibri" w:hAnsi="Times New Roman" w:cs="Times New Roman"/>
          <w:bCs/>
        </w:rPr>
        <w:t xml:space="preserve"> Katonai motorkerékpárok.</w:t>
      </w:r>
    </w:p>
    <w:p w:rsidR="000A4A1A" w:rsidRPr="000A4A1A" w:rsidRDefault="000A4A1A" w:rsidP="000A4A1A">
      <w:pPr>
        <w:widowControl w:val="0"/>
        <w:spacing w:before="120" w:after="120" w:line="240" w:lineRule="auto"/>
        <w:ind w:left="426"/>
        <w:jc w:val="both"/>
        <w:rPr>
          <w:rFonts w:ascii="Times New Roman" w:eastAsia="Times New Roman" w:hAnsi="Times New Roman" w:cs="Times New Roman"/>
          <w:bCs/>
          <w:lang w:val="en-GB"/>
        </w:rPr>
      </w:pPr>
      <w:r w:rsidRPr="000A4A1A">
        <w:rPr>
          <w:rFonts w:ascii="Times New Roman" w:eastAsia="Times New Roman" w:hAnsi="Times New Roman" w:cs="Times New Roman"/>
          <w:b/>
          <w:bCs/>
        </w:rPr>
        <w:t>A tantárgy szakmai tartalma (angolul) (</w:t>
      </w:r>
      <w:r w:rsidRPr="000A4A1A">
        <w:rPr>
          <w:rFonts w:ascii="Times New Roman" w:eastAsia="Times New Roman" w:hAnsi="Times New Roman" w:cs="Times New Roman"/>
          <w:b/>
          <w:bCs/>
          <w:lang w:val="en-US"/>
        </w:rPr>
        <w:t>Course description</w:t>
      </w:r>
      <w:r w:rsidRPr="000A4A1A">
        <w:rPr>
          <w:rFonts w:ascii="Times New Roman" w:eastAsia="Times New Roman" w:hAnsi="Times New Roman" w:cs="Times New Roman"/>
          <w:b/>
          <w:bCs/>
        </w:rPr>
        <w:t xml:space="preserve">): </w:t>
      </w:r>
      <w:bookmarkStart w:id="91" w:name="_Hlk34655566"/>
      <w:r w:rsidRPr="000A4A1A">
        <w:rPr>
          <w:rFonts w:ascii="Times New Roman" w:eastAsia="Calibri" w:hAnsi="Times New Roman" w:cs="Times New Roman"/>
        </w:rPr>
        <w:t>M1 Abrams MBT. Types of Leopard-2 MBTs. M109 self-propelled gun. Pzh 2000 self-propelled gun. Stryker armored fighting vehicles. Patria armored fighting vehicles. Boxer armored fighting vehicles. KOMONDOR armored vehicles. Structure end tasks of Polaris quad. MRAP armored vehicles. Rába militray trucks and the Rába company.</w:t>
      </w:r>
      <w:bookmarkEnd w:id="91"/>
      <w:r w:rsidRPr="000A4A1A">
        <w:rPr>
          <w:rFonts w:ascii="Times New Roman" w:eastAsia="Calibri" w:hAnsi="Times New Roman" w:cs="Times New Roman"/>
        </w:rPr>
        <w:t xml:space="preserve"> Military motorcycles.</w:t>
      </w:r>
    </w:p>
    <w:p w:rsidR="000A4A1A" w:rsidRPr="000A4A1A" w:rsidRDefault="000A4A1A" w:rsidP="00980876">
      <w:pPr>
        <w:widowControl w:val="0"/>
        <w:numPr>
          <w:ilvl w:val="0"/>
          <w:numId w:val="463"/>
        </w:numPr>
        <w:tabs>
          <w:tab w:val="clear" w:pos="720"/>
          <w:tab w:val="num" w:pos="785"/>
        </w:tabs>
        <w:spacing w:before="120" w:after="120" w:line="240" w:lineRule="auto"/>
        <w:ind w:left="426" w:hanging="142"/>
        <w:contextualSpacing/>
        <w:jc w:val="both"/>
        <w:rPr>
          <w:rFonts w:ascii="Times New Roman" w:eastAsia="Times New Roman" w:hAnsi="Times New Roman" w:cs="Times New Roman"/>
          <w:bCs/>
        </w:rPr>
      </w:pPr>
      <w:r w:rsidRPr="000A4A1A">
        <w:rPr>
          <w:rFonts w:ascii="Times New Roman" w:eastAsia="Times New Roman" w:hAnsi="Times New Roman" w:cs="Times New Roman"/>
          <w:b/>
          <w:bCs/>
        </w:rPr>
        <w:t xml:space="preserve">Elérendő kompetenciák (magyarul): </w:t>
      </w:r>
    </w:p>
    <w:p w:rsidR="000A4A1A" w:rsidRPr="000A4A1A" w:rsidRDefault="000A4A1A" w:rsidP="000A4A1A">
      <w:pPr>
        <w:widowControl w:val="0"/>
        <w:spacing w:before="120" w:after="120" w:line="240" w:lineRule="auto"/>
        <w:ind w:left="426"/>
        <w:jc w:val="both"/>
        <w:rPr>
          <w:rFonts w:ascii="Times New Roman" w:eastAsia="Times New Roman" w:hAnsi="Times New Roman" w:cs="Times New Roman"/>
          <w:bCs/>
        </w:rPr>
      </w:pPr>
      <w:r w:rsidRPr="000A4A1A">
        <w:rPr>
          <w:rFonts w:ascii="Times New Roman" w:eastAsia="Times New Roman" w:hAnsi="Times New Roman" w:cs="Times New Roman"/>
          <w:b/>
          <w:bCs/>
        </w:rPr>
        <w:t>Tudása:</w:t>
      </w:r>
    </w:p>
    <w:p w:rsidR="000A4A1A" w:rsidRPr="000A4A1A" w:rsidRDefault="000A4A1A"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kern w:val="2"/>
        </w:rPr>
      </w:pPr>
      <w:r w:rsidRPr="000A4A1A">
        <w:rPr>
          <w:rFonts w:ascii="Times New Roman" w:eastAsia="Times New Roman" w:hAnsi="Times New Roman" w:cs="Times New Roman"/>
          <w:bCs/>
        </w:rPr>
        <w:t>Ismeri a páncélos- és gépjárműtechnikai eszközök felépítését, berendezéseit, azok működését és üzemeltetési rendjét.</w:t>
      </w:r>
    </w:p>
    <w:p w:rsidR="000A4A1A" w:rsidRPr="000A4A1A" w:rsidRDefault="000A4A1A"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kern w:val="2"/>
        </w:rPr>
      </w:pPr>
      <w:r w:rsidRPr="000A4A1A">
        <w:rPr>
          <w:rFonts w:ascii="Times New Roman" w:eastAsia="Times New Roman" w:hAnsi="Times New Roman" w:cs="Times New Roman"/>
          <w:bCs/>
        </w:rPr>
        <w:t>Ismeri a páncélos- és gépjárműtechnikai eszközök szerkezeti részeinek igénybevételét.</w:t>
      </w:r>
    </w:p>
    <w:p w:rsidR="000A4A1A" w:rsidRPr="000A4A1A" w:rsidRDefault="000A4A1A"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kern w:val="2"/>
        </w:rPr>
      </w:pPr>
      <w:r w:rsidRPr="000A4A1A">
        <w:rPr>
          <w:rFonts w:ascii="Times New Roman" w:eastAsia="Times New Roman" w:hAnsi="Times New Roman" w:cs="Times New Roman"/>
          <w:bCs/>
        </w:rPr>
        <w:t>Ismeri a legújabb gépjárműtechnikai megoldásokat.</w:t>
      </w:r>
    </w:p>
    <w:p w:rsidR="000A4A1A" w:rsidRPr="000A4A1A" w:rsidRDefault="000A4A1A"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kern w:val="2"/>
        </w:rPr>
      </w:pPr>
      <w:r w:rsidRPr="000A4A1A">
        <w:rPr>
          <w:rFonts w:ascii="Times New Roman" w:eastAsia="Times New Roman" w:hAnsi="Times New Roman" w:cs="Times New Roman"/>
          <w:bCs/>
        </w:rPr>
        <w:t>Megfelelő műszaki alapokkal rendelkezik, amelyek biztosítják az új ismeretek elsajátítását.</w:t>
      </w:r>
    </w:p>
    <w:p w:rsidR="000A4A1A" w:rsidRPr="000A4A1A" w:rsidRDefault="000A4A1A" w:rsidP="000A4A1A">
      <w:pPr>
        <w:widowControl w:val="0"/>
        <w:spacing w:before="120" w:after="120" w:line="240" w:lineRule="auto"/>
        <w:ind w:left="426"/>
        <w:jc w:val="both"/>
        <w:rPr>
          <w:rFonts w:ascii="Times New Roman" w:eastAsia="Times New Roman" w:hAnsi="Times New Roman" w:cs="Times New Roman"/>
          <w:bCs/>
        </w:rPr>
      </w:pPr>
      <w:r w:rsidRPr="000A4A1A">
        <w:rPr>
          <w:rFonts w:ascii="Times New Roman" w:eastAsia="Times New Roman" w:hAnsi="Times New Roman" w:cs="Times New Roman"/>
          <w:b/>
          <w:bCs/>
        </w:rPr>
        <w:t>Képességei:</w:t>
      </w:r>
      <w:r w:rsidRPr="000A4A1A">
        <w:rPr>
          <w:rFonts w:ascii="Times New Roman" w:eastAsia="Times New Roman" w:hAnsi="Times New Roman" w:cs="Times New Roman"/>
          <w:bCs/>
        </w:rPr>
        <w:t xml:space="preserve"> </w:t>
      </w:r>
    </w:p>
    <w:p w:rsidR="000A4A1A" w:rsidRPr="000A4A1A" w:rsidRDefault="000A4A1A"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kern w:val="2"/>
        </w:rPr>
      </w:pPr>
      <w:r w:rsidRPr="000A4A1A">
        <w:rPr>
          <w:rFonts w:ascii="Times New Roman" w:eastAsia="Times New Roman" w:hAnsi="Times New Roman" w:cs="Times New Roman"/>
          <w:bCs/>
        </w:rPr>
        <w:t>Képes a megtanultakat felhasználva a szakterületén felmerülő új műszaki információkat megérteni és megtanulni.</w:t>
      </w:r>
    </w:p>
    <w:p w:rsidR="006250B7" w:rsidRDefault="006250B7" w:rsidP="000A4A1A">
      <w:pPr>
        <w:widowControl w:val="0"/>
        <w:spacing w:before="120" w:after="120" w:line="240" w:lineRule="auto"/>
        <w:ind w:left="426"/>
        <w:jc w:val="both"/>
        <w:rPr>
          <w:rFonts w:ascii="Times New Roman" w:eastAsia="Times New Roman" w:hAnsi="Times New Roman" w:cs="Times New Roman"/>
          <w:b/>
          <w:bCs/>
        </w:rPr>
      </w:pPr>
    </w:p>
    <w:p w:rsidR="000A4A1A" w:rsidRPr="000A4A1A" w:rsidRDefault="000A4A1A" w:rsidP="000A4A1A">
      <w:pPr>
        <w:widowControl w:val="0"/>
        <w:spacing w:before="120" w:after="120" w:line="240" w:lineRule="auto"/>
        <w:ind w:left="426"/>
        <w:jc w:val="both"/>
        <w:rPr>
          <w:rFonts w:ascii="Times New Roman" w:eastAsia="Times New Roman" w:hAnsi="Times New Roman" w:cs="Times New Roman"/>
          <w:bCs/>
        </w:rPr>
      </w:pPr>
      <w:r w:rsidRPr="000A4A1A">
        <w:rPr>
          <w:rFonts w:ascii="Times New Roman" w:eastAsia="Times New Roman" w:hAnsi="Times New Roman" w:cs="Times New Roman"/>
          <w:b/>
          <w:bCs/>
        </w:rPr>
        <w:lastRenderedPageBreak/>
        <w:t>Attitűdje:</w:t>
      </w:r>
    </w:p>
    <w:p w:rsidR="000A4A1A" w:rsidRPr="000A4A1A" w:rsidRDefault="000A4A1A"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rPr>
      </w:pPr>
      <w:r w:rsidRPr="000A4A1A">
        <w:rPr>
          <w:rFonts w:ascii="Times New Roman" w:eastAsia="Times New Roman" w:hAnsi="Times New Roman" w:cs="Times New Roman"/>
          <w:bCs/>
        </w:rPr>
        <w:t>Nyitott a páncélos- és gépjárműtechnikával kapcsolatos szakmai ismereteinek gyarapítása iránt, folyamatos önképzési igény jellemzi.</w:t>
      </w:r>
    </w:p>
    <w:p w:rsidR="000A4A1A" w:rsidRPr="000A4A1A" w:rsidRDefault="000A4A1A" w:rsidP="000A4A1A">
      <w:pPr>
        <w:widowControl w:val="0"/>
        <w:spacing w:before="120" w:after="120" w:line="240" w:lineRule="auto"/>
        <w:ind w:left="426"/>
        <w:jc w:val="both"/>
        <w:rPr>
          <w:rFonts w:ascii="Times New Roman" w:eastAsia="Times New Roman" w:hAnsi="Times New Roman" w:cs="Times New Roman"/>
          <w:bCs/>
        </w:rPr>
      </w:pPr>
      <w:r w:rsidRPr="000A4A1A">
        <w:rPr>
          <w:rFonts w:ascii="Times New Roman" w:eastAsia="Times New Roman" w:hAnsi="Times New Roman" w:cs="Times New Roman"/>
          <w:b/>
          <w:bCs/>
        </w:rPr>
        <w:t>Autonómiája és felelőssége:</w:t>
      </w:r>
    </w:p>
    <w:p w:rsidR="000A4A1A" w:rsidRPr="000A4A1A" w:rsidRDefault="000A4A1A"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
          <w:bCs/>
        </w:rPr>
      </w:pPr>
      <w:r w:rsidRPr="000A4A1A">
        <w:rPr>
          <w:rFonts w:ascii="Times New Roman" w:eastAsia="Times New Roman" w:hAnsi="Times New Roman" w:cs="Times New Roman"/>
          <w:bCs/>
        </w:rPr>
        <w:t>A páncélos- és gépjárműtechnikai eszközök technikai kiszolgálása és javítása során képes elemzések végrehajtása után a legmegfelelőbb döntéseket meghozni, amely döntésekért a szakmai felelősséget vállalja.</w:t>
      </w:r>
    </w:p>
    <w:p w:rsidR="000A4A1A" w:rsidRPr="000A4A1A" w:rsidRDefault="000A4A1A" w:rsidP="000A4A1A">
      <w:pPr>
        <w:widowControl w:val="0"/>
        <w:spacing w:before="120" w:after="120" w:line="240" w:lineRule="auto"/>
        <w:ind w:left="426"/>
        <w:jc w:val="both"/>
        <w:rPr>
          <w:rFonts w:ascii="Times New Roman" w:eastAsia="Times New Roman" w:hAnsi="Times New Roman" w:cs="Times New Roman"/>
          <w:b/>
          <w:bCs/>
          <w:lang w:val="en-US"/>
        </w:rPr>
      </w:pPr>
      <w:r w:rsidRPr="000A4A1A">
        <w:rPr>
          <w:rFonts w:ascii="Times New Roman" w:eastAsia="Times New Roman" w:hAnsi="Times New Roman" w:cs="Times New Roman"/>
          <w:b/>
          <w:bCs/>
        </w:rPr>
        <w:t>Elérendő kompetenciák (angolul) (</w:t>
      </w:r>
      <w:r w:rsidRPr="000A4A1A">
        <w:rPr>
          <w:rFonts w:ascii="Times New Roman" w:eastAsia="Times New Roman" w:hAnsi="Times New Roman" w:cs="Times New Roman"/>
          <w:b/>
          <w:bCs/>
          <w:lang w:val="en-US"/>
        </w:rPr>
        <w:t xml:space="preserve">Competences – English): </w:t>
      </w:r>
    </w:p>
    <w:p w:rsidR="000A4A1A" w:rsidRPr="000A4A1A" w:rsidRDefault="000A4A1A" w:rsidP="000A4A1A">
      <w:pPr>
        <w:widowControl w:val="0"/>
        <w:spacing w:before="120" w:after="120" w:line="240" w:lineRule="auto"/>
        <w:ind w:left="426"/>
        <w:jc w:val="both"/>
        <w:rPr>
          <w:rFonts w:ascii="Times New Roman" w:eastAsia="Times New Roman" w:hAnsi="Times New Roman" w:cs="Times New Roman"/>
          <w:lang w:val="en-GB"/>
        </w:rPr>
      </w:pPr>
      <w:r w:rsidRPr="000A4A1A">
        <w:rPr>
          <w:rFonts w:ascii="Times New Roman" w:eastAsia="Times New Roman" w:hAnsi="Times New Roman" w:cs="Times New Roman"/>
          <w:b/>
          <w:lang w:val="en-GB"/>
        </w:rPr>
        <w:t>Knowledge</w:t>
      </w:r>
      <w:r w:rsidRPr="000A4A1A">
        <w:rPr>
          <w:rFonts w:ascii="Times New Roman" w:eastAsia="Times New Roman" w:hAnsi="Times New Roman" w:cs="Times New Roman"/>
          <w:lang w:val="en-GB"/>
        </w:rPr>
        <w:t>:</w:t>
      </w:r>
    </w:p>
    <w:p w:rsidR="000A4A1A" w:rsidRPr="000A4A1A" w:rsidRDefault="000A4A1A"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kern w:val="2"/>
        </w:rPr>
      </w:pPr>
      <w:r w:rsidRPr="000A4A1A">
        <w:rPr>
          <w:rFonts w:ascii="Times New Roman" w:eastAsia="Times New Roman" w:hAnsi="Times New Roman" w:cs="Times New Roman"/>
          <w:lang w:val="en-GB"/>
        </w:rPr>
        <w:t>Knows the structure and equipment as well as the functioning and operation of armored vehicles.</w:t>
      </w:r>
    </w:p>
    <w:p w:rsidR="000A4A1A" w:rsidRPr="000A4A1A" w:rsidRDefault="000A4A1A"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kern w:val="2"/>
        </w:rPr>
      </w:pPr>
      <w:r w:rsidRPr="000A4A1A">
        <w:rPr>
          <w:rFonts w:ascii="Times New Roman" w:eastAsia="Calibri" w:hAnsi="Times New Roman" w:cs="Times New Roman"/>
        </w:rPr>
        <w:t>Knows the usage circumstances of the structural parts of armored vehicles.</w:t>
      </w:r>
    </w:p>
    <w:p w:rsidR="000A4A1A" w:rsidRPr="000A4A1A" w:rsidRDefault="000A4A1A"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kern w:val="2"/>
        </w:rPr>
      </w:pPr>
      <w:r w:rsidRPr="000A4A1A">
        <w:rPr>
          <w:rFonts w:ascii="Times New Roman" w:eastAsia="Times New Roman" w:hAnsi="Times New Roman" w:cs="Times New Roman"/>
          <w:lang w:val="en-GB"/>
        </w:rPr>
        <w:t>Knows the latest solutions regarding armored vehicles.</w:t>
      </w:r>
    </w:p>
    <w:p w:rsidR="000A4A1A" w:rsidRPr="000A4A1A" w:rsidRDefault="000A4A1A"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kern w:val="2"/>
        </w:rPr>
      </w:pPr>
      <w:r w:rsidRPr="000A4A1A">
        <w:rPr>
          <w:rFonts w:ascii="Times New Roman" w:eastAsia="Times New Roman" w:hAnsi="Times New Roman" w:cs="Times New Roman"/>
          <w:lang w:val="en-GB"/>
        </w:rPr>
        <w:t>Possesses adequate basic engineering knowledge which enables the acquirement of new knowledge.</w:t>
      </w:r>
    </w:p>
    <w:p w:rsidR="000A4A1A" w:rsidRPr="000A4A1A" w:rsidRDefault="000A4A1A" w:rsidP="000A4A1A">
      <w:pPr>
        <w:widowControl w:val="0"/>
        <w:spacing w:before="120" w:after="120" w:line="240" w:lineRule="auto"/>
        <w:ind w:left="426"/>
        <w:jc w:val="both"/>
        <w:rPr>
          <w:rFonts w:ascii="Times New Roman" w:eastAsia="Times New Roman" w:hAnsi="Times New Roman" w:cs="Times New Roman"/>
          <w:lang w:val="en-GB"/>
        </w:rPr>
      </w:pPr>
      <w:r w:rsidRPr="000A4A1A">
        <w:rPr>
          <w:rFonts w:ascii="Times New Roman" w:eastAsia="Times New Roman" w:hAnsi="Times New Roman" w:cs="Times New Roman"/>
          <w:b/>
          <w:lang w:val="en-GB"/>
        </w:rPr>
        <w:t>Capabilities</w:t>
      </w:r>
      <w:r w:rsidRPr="000A4A1A">
        <w:rPr>
          <w:rFonts w:ascii="Times New Roman" w:eastAsia="Times New Roman" w:hAnsi="Times New Roman" w:cs="Times New Roman"/>
          <w:lang w:val="en-GB"/>
        </w:rPr>
        <w:t>:</w:t>
      </w:r>
    </w:p>
    <w:p w:rsidR="000A4A1A" w:rsidRPr="000A4A1A" w:rsidRDefault="000A4A1A"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kern w:val="2"/>
        </w:rPr>
      </w:pPr>
      <w:r w:rsidRPr="000A4A1A">
        <w:rPr>
          <w:rFonts w:ascii="Times New Roman" w:eastAsia="Times New Roman" w:hAnsi="Times New Roman" w:cs="Times New Roman"/>
          <w:lang w:val="en-GB"/>
        </w:rPr>
        <w:t>Is capable of acqiring the understaning of new engineering information arising in his/her field of specialty using the already gained knowldge.</w:t>
      </w:r>
    </w:p>
    <w:p w:rsidR="000A4A1A" w:rsidRPr="000A4A1A" w:rsidRDefault="000A4A1A" w:rsidP="000A4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lang w:val="en-GB"/>
        </w:rPr>
      </w:pPr>
      <w:r w:rsidRPr="000A4A1A">
        <w:rPr>
          <w:rFonts w:ascii="Times New Roman" w:eastAsia="Times New Roman" w:hAnsi="Times New Roman" w:cs="Times New Roman"/>
          <w:b/>
          <w:lang w:val="en-GB"/>
        </w:rPr>
        <w:t>Attitude:</w:t>
      </w:r>
    </w:p>
    <w:p w:rsidR="000A4A1A" w:rsidRPr="000A4A1A" w:rsidRDefault="000A4A1A"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rPr>
      </w:pPr>
      <w:r w:rsidRPr="000A4A1A">
        <w:rPr>
          <w:rFonts w:ascii="Times New Roman" w:eastAsia="Times New Roman" w:hAnsi="Times New Roman" w:cs="Times New Roman"/>
          <w:lang w:val="en-GB"/>
        </w:rPr>
        <w:t>He/she is open to widen his/her knowledge regarding armored vehicles and has a constant need for self-education.</w:t>
      </w:r>
      <w:r w:rsidRPr="000A4A1A">
        <w:rPr>
          <w:rFonts w:ascii="Calibri" w:eastAsia="Calibri" w:hAnsi="Calibri" w:cs="Times New Roman"/>
        </w:rPr>
        <w:t xml:space="preserve"> </w:t>
      </w:r>
    </w:p>
    <w:p w:rsidR="000A4A1A" w:rsidRPr="000A4A1A" w:rsidRDefault="000A4A1A" w:rsidP="000A4A1A">
      <w:pPr>
        <w:widowControl w:val="0"/>
        <w:spacing w:before="120" w:after="120" w:line="240" w:lineRule="auto"/>
        <w:ind w:left="426"/>
        <w:jc w:val="both"/>
        <w:rPr>
          <w:rFonts w:ascii="Times New Roman" w:eastAsia="Times New Roman" w:hAnsi="Times New Roman" w:cs="Times New Roman"/>
          <w:b/>
          <w:lang w:val="en-GB"/>
        </w:rPr>
      </w:pPr>
      <w:r w:rsidRPr="000A4A1A">
        <w:rPr>
          <w:rFonts w:ascii="Times New Roman" w:eastAsia="Times New Roman" w:hAnsi="Times New Roman" w:cs="Times New Roman"/>
          <w:b/>
          <w:lang w:val="en-GB"/>
        </w:rPr>
        <w:t>Autonomy and responsibility:</w:t>
      </w:r>
    </w:p>
    <w:p w:rsidR="000A4A1A" w:rsidRPr="000A4A1A" w:rsidRDefault="000A4A1A" w:rsidP="00C14833">
      <w:pPr>
        <w:widowControl w:val="0"/>
        <w:numPr>
          <w:ilvl w:val="0"/>
          <w:numId w:val="133"/>
        </w:numPr>
        <w:spacing w:before="120" w:after="120" w:line="240" w:lineRule="auto"/>
        <w:ind w:left="993"/>
        <w:contextualSpacing/>
        <w:jc w:val="both"/>
        <w:rPr>
          <w:rFonts w:ascii="Times New Roman" w:eastAsia="Times New Roman" w:hAnsi="Times New Roman" w:cs="Times New Roman"/>
          <w:bCs/>
          <w:kern w:val="2"/>
        </w:rPr>
      </w:pPr>
      <w:r w:rsidRPr="000A4A1A">
        <w:rPr>
          <w:rFonts w:ascii="Times New Roman" w:eastAsia="Times New Roman" w:hAnsi="Times New Roman" w:cs="Times New Roman"/>
          <w:bCs/>
        </w:rPr>
        <w:t>After doing proper analysation, he/she is capable of making the best decisions and taking professional responsibility during the technical maintenance and repairing of the armored vehicles.</w:t>
      </w:r>
    </w:p>
    <w:p w:rsidR="000A4A1A" w:rsidRPr="000A4A1A" w:rsidRDefault="000A4A1A" w:rsidP="00980876">
      <w:pPr>
        <w:widowControl w:val="0"/>
        <w:numPr>
          <w:ilvl w:val="0"/>
          <w:numId w:val="463"/>
        </w:numPr>
        <w:tabs>
          <w:tab w:val="clear" w:pos="720"/>
          <w:tab w:val="num" w:pos="567"/>
          <w:tab w:val="num" w:pos="785"/>
        </w:tabs>
        <w:spacing w:before="120" w:after="120" w:line="240" w:lineRule="auto"/>
        <w:ind w:left="426" w:hanging="142"/>
        <w:jc w:val="both"/>
        <w:rPr>
          <w:rFonts w:ascii="Times New Roman" w:eastAsia="Times New Roman" w:hAnsi="Times New Roman" w:cs="Times New Roman"/>
          <w:bCs/>
          <w:i/>
        </w:rPr>
      </w:pPr>
      <w:r w:rsidRPr="000A4A1A">
        <w:rPr>
          <w:rFonts w:ascii="Times New Roman" w:eastAsia="Times New Roman" w:hAnsi="Times New Roman" w:cs="Times New Roman"/>
          <w:b/>
          <w:bCs/>
        </w:rPr>
        <w:t xml:space="preserve">Előtanulmányi követelmények: </w:t>
      </w:r>
      <w:r w:rsidRPr="000A4A1A">
        <w:rPr>
          <w:rFonts w:ascii="Times New Roman" w:eastAsia="Times New Roman" w:hAnsi="Times New Roman" w:cs="Times New Roman"/>
          <w:bCs/>
        </w:rPr>
        <w:t>-</w:t>
      </w:r>
    </w:p>
    <w:p w:rsidR="000A4A1A" w:rsidRPr="000A4A1A" w:rsidRDefault="000A4A1A" w:rsidP="00980876">
      <w:pPr>
        <w:widowControl w:val="0"/>
        <w:numPr>
          <w:ilvl w:val="0"/>
          <w:numId w:val="463"/>
        </w:numPr>
        <w:tabs>
          <w:tab w:val="clear" w:pos="720"/>
          <w:tab w:val="num" w:pos="785"/>
        </w:tabs>
        <w:spacing w:before="120" w:after="120" w:line="240" w:lineRule="auto"/>
        <w:ind w:left="426" w:hanging="142"/>
        <w:jc w:val="both"/>
        <w:rPr>
          <w:rFonts w:ascii="Times New Roman" w:eastAsia="Times New Roman" w:hAnsi="Times New Roman" w:cs="Times New Roman"/>
          <w:b/>
          <w:bCs/>
        </w:rPr>
      </w:pPr>
      <w:r w:rsidRPr="000A4A1A">
        <w:rPr>
          <w:rFonts w:ascii="Times New Roman" w:eastAsia="Times New Roman" w:hAnsi="Times New Roman" w:cs="Times New Roman"/>
          <w:b/>
          <w:bCs/>
        </w:rPr>
        <w:t>A tantárgy tananyagának leírása, tematika. Description of the subject, curriculum (magyarul, angolul - English):</w:t>
      </w:r>
    </w:p>
    <w:p w:rsidR="000A4A1A" w:rsidRPr="000A4A1A" w:rsidRDefault="000A4A1A" w:rsidP="00980876">
      <w:pPr>
        <w:widowControl w:val="0"/>
        <w:numPr>
          <w:ilvl w:val="1"/>
          <w:numId w:val="463"/>
        </w:numPr>
        <w:tabs>
          <w:tab w:val="clear" w:pos="3977"/>
          <w:tab w:val="num" w:pos="2069"/>
        </w:tabs>
        <w:spacing w:before="120" w:after="120" w:line="240" w:lineRule="auto"/>
        <w:ind w:left="1134" w:hanging="708"/>
        <w:jc w:val="both"/>
        <w:rPr>
          <w:rFonts w:ascii="Times New Roman" w:eastAsia="Calibri" w:hAnsi="Times New Roman" w:cs="Times New Roman"/>
          <w:bCs/>
        </w:rPr>
      </w:pPr>
      <w:r w:rsidRPr="000A4A1A">
        <w:rPr>
          <w:rFonts w:ascii="Times New Roman" w:eastAsia="Calibri" w:hAnsi="Times New Roman" w:cs="Times New Roman"/>
          <w:bCs/>
        </w:rPr>
        <w:t>M1 Abrams harckocsi. (M1 Abrams MBT.)</w:t>
      </w:r>
    </w:p>
    <w:p w:rsidR="000A4A1A" w:rsidRPr="000A4A1A" w:rsidRDefault="000A4A1A" w:rsidP="00980876">
      <w:pPr>
        <w:widowControl w:val="0"/>
        <w:numPr>
          <w:ilvl w:val="1"/>
          <w:numId w:val="463"/>
        </w:numPr>
        <w:tabs>
          <w:tab w:val="clear" w:pos="3977"/>
          <w:tab w:val="num" w:pos="2069"/>
        </w:tabs>
        <w:spacing w:before="120" w:after="120" w:line="240" w:lineRule="auto"/>
        <w:ind w:left="1134" w:hanging="708"/>
        <w:jc w:val="both"/>
        <w:rPr>
          <w:rFonts w:ascii="Times New Roman" w:eastAsia="Calibri" w:hAnsi="Times New Roman" w:cs="Times New Roman"/>
          <w:bCs/>
        </w:rPr>
      </w:pPr>
      <w:r w:rsidRPr="000A4A1A">
        <w:rPr>
          <w:rFonts w:ascii="Times New Roman" w:eastAsia="Calibri" w:hAnsi="Times New Roman" w:cs="Times New Roman"/>
          <w:bCs/>
        </w:rPr>
        <w:t>Leopard-2 harckocsi típusok. (Types of Leopard-2 MBTs.)</w:t>
      </w:r>
    </w:p>
    <w:p w:rsidR="000A4A1A" w:rsidRPr="000A4A1A" w:rsidRDefault="000A4A1A" w:rsidP="00980876">
      <w:pPr>
        <w:widowControl w:val="0"/>
        <w:numPr>
          <w:ilvl w:val="1"/>
          <w:numId w:val="463"/>
        </w:numPr>
        <w:tabs>
          <w:tab w:val="clear" w:pos="3977"/>
          <w:tab w:val="num" w:pos="2069"/>
        </w:tabs>
        <w:spacing w:before="120" w:after="120" w:line="240" w:lineRule="auto"/>
        <w:ind w:left="1134" w:hanging="708"/>
        <w:jc w:val="both"/>
        <w:rPr>
          <w:rFonts w:ascii="Times New Roman" w:eastAsia="Calibri" w:hAnsi="Times New Roman" w:cs="Times New Roman"/>
          <w:bCs/>
        </w:rPr>
      </w:pPr>
      <w:r w:rsidRPr="000A4A1A">
        <w:rPr>
          <w:rFonts w:ascii="Times New Roman" w:eastAsia="Calibri" w:hAnsi="Times New Roman" w:cs="Times New Roman"/>
          <w:bCs/>
        </w:rPr>
        <w:t xml:space="preserve">M109 önjáró löveg. (M109 self-propelled gun.) </w:t>
      </w:r>
    </w:p>
    <w:p w:rsidR="000A4A1A" w:rsidRPr="000A4A1A" w:rsidRDefault="000A4A1A" w:rsidP="00980876">
      <w:pPr>
        <w:widowControl w:val="0"/>
        <w:numPr>
          <w:ilvl w:val="1"/>
          <w:numId w:val="463"/>
        </w:numPr>
        <w:tabs>
          <w:tab w:val="clear" w:pos="3977"/>
          <w:tab w:val="num" w:pos="2069"/>
        </w:tabs>
        <w:spacing w:before="120" w:after="120" w:line="240" w:lineRule="auto"/>
        <w:ind w:left="1134" w:hanging="708"/>
        <w:jc w:val="both"/>
        <w:rPr>
          <w:rFonts w:ascii="Times New Roman" w:eastAsia="Calibri" w:hAnsi="Times New Roman" w:cs="Times New Roman"/>
          <w:bCs/>
        </w:rPr>
      </w:pPr>
      <w:r w:rsidRPr="000A4A1A">
        <w:rPr>
          <w:rFonts w:ascii="Times New Roman" w:eastAsia="Calibri" w:hAnsi="Times New Roman" w:cs="Times New Roman"/>
          <w:bCs/>
        </w:rPr>
        <w:t>Pzh 2000 önjáró löveg. (Pzh 2000 self-propelled gun.)</w:t>
      </w:r>
    </w:p>
    <w:p w:rsidR="000A4A1A" w:rsidRPr="000A4A1A" w:rsidRDefault="000A4A1A" w:rsidP="00980876">
      <w:pPr>
        <w:widowControl w:val="0"/>
        <w:numPr>
          <w:ilvl w:val="1"/>
          <w:numId w:val="463"/>
        </w:numPr>
        <w:tabs>
          <w:tab w:val="clear" w:pos="3977"/>
          <w:tab w:val="num" w:pos="2069"/>
        </w:tabs>
        <w:spacing w:before="120" w:after="120" w:line="240" w:lineRule="auto"/>
        <w:ind w:left="1134" w:hanging="708"/>
        <w:jc w:val="both"/>
        <w:rPr>
          <w:rFonts w:ascii="Times New Roman" w:eastAsia="Calibri" w:hAnsi="Times New Roman" w:cs="Times New Roman"/>
          <w:bCs/>
        </w:rPr>
      </w:pPr>
      <w:r w:rsidRPr="000A4A1A">
        <w:rPr>
          <w:rFonts w:ascii="Times New Roman" w:eastAsia="Calibri" w:hAnsi="Times New Roman" w:cs="Times New Roman"/>
          <w:bCs/>
        </w:rPr>
        <w:t>Stryker harcjárművek. (Stryker armored fighting vehicles.)</w:t>
      </w:r>
    </w:p>
    <w:p w:rsidR="000A4A1A" w:rsidRPr="00B14410" w:rsidRDefault="000A4A1A" w:rsidP="00980876">
      <w:pPr>
        <w:widowControl w:val="0"/>
        <w:numPr>
          <w:ilvl w:val="1"/>
          <w:numId w:val="463"/>
        </w:numPr>
        <w:tabs>
          <w:tab w:val="clear" w:pos="3977"/>
          <w:tab w:val="num" w:pos="2069"/>
        </w:tabs>
        <w:spacing w:before="120" w:after="120" w:line="240" w:lineRule="auto"/>
        <w:ind w:left="1134" w:hanging="708"/>
        <w:jc w:val="both"/>
        <w:rPr>
          <w:rFonts w:ascii="Times New Roman" w:eastAsia="Times New Roman" w:hAnsi="Times New Roman" w:cs="Times New Roman"/>
        </w:rPr>
      </w:pPr>
      <w:r w:rsidRPr="000A4A1A">
        <w:rPr>
          <w:rFonts w:ascii="Times New Roman" w:eastAsia="Calibri" w:hAnsi="Times New Roman" w:cs="Times New Roman"/>
          <w:bCs/>
        </w:rPr>
        <w:t>Zárthelyi</w:t>
      </w:r>
      <w:r>
        <w:rPr>
          <w:rFonts w:ascii="Times New Roman" w:hAnsi="Times New Roman" w:cs="Times New Roman"/>
        </w:rPr>
        <w:t xml:space="preserve"> dolgozat</w:t>
      </w:r>
      <w:r>
        <w:rPr>
          <w:rFonts w:ascii="Times New Roman" w:hAnsi="Times New Roman" w:cs="Times New Roman"/>
          <w:b/>
        </w:rPr>
        <w:t xml:space="preserve"> </w:t>
      </w:r>
      <w:r w:rsidRPr="00253511">
        <w:rPr>
          <w:rFonts w:ascii="Times New Roman" w:hAnsi="Times New Roman" w:cs="Times New Roman"/>
          <w:i/>
        </w:rPr>
        <w:t>(Paper)</w:t>
      </w:r>
    </w:p>
    <w:p w:rsidR="000A4A1A" w:rsidRPr="000A4A1A" w:rsidRDefault="000A4A1A" w:rsidP="00980876">
      <w:pPr>
        <w:widowControl w:val="0"/>
        <w:numPr>
          <w:ilvl w:val="1"/>
          <w:numId w:val="463"/>
        </w:numPr>
        <w:tabs>
          <w:tab w:val="clear" w:pos="3977"/>
          <w:tab w:val="num" w:pos="2069"/>
        </w:tabs>
        <w:spacing w:before="120" w:after="120" w:line="240" w:lineRule="auto"/>
        <w:ind w:left="1134" w:hanging="708"/>
        <w:jc w:val="both"/>
        <w:rPr>
          <w:rFonts w:ascii="Times New Roman" w:eastAsia="Calibri" w:hAnsi="Times New Roman" w:cs="Times New Roman"/>
          <w:bCs/>
        </w:rPr>
      </w:pPr>
      <w:r w:rsidRPr="000A4A1A">
        <w:rPr>
          <w:rFonts w:ascii="Times New Roman" w:eastAsia="Calibri" w:hAnsi="Times New Roman" w:cs="Times New Roman"/>
          <w:bCs/>
        </w:rPr>
        <w:t xml:space="preserve">Patria harcjárművek. (Patria armored fighting vehicles.) </w:t>
      </w:r>
    </w:p>
    <w:p w:rsidR="000A4A1A" w:rsidRPr="000A4A1A" w:rsidRDefault="000A4A1A" w:rsidP="00980876">
      <w:pPr>
        <w:widowControl w:val="0"/>
        <w:numPr>
          <w:ilvl w:val="1"/>
          <w:numId w:val="463"/>
        </w:numPr>
        <w:tabs>
          <w:tab w:val="clear" w:pos="3977"/>
          <w:tab w:val="num" w:pos="2069"/>
        </w:tabs>
        <w:spacing w:before="120" w:after="120" w:line="240" w:lineRule="auto"/>
        <w:ind w:left="1134" w:hanging="708"/>
        <w:jc w:val="both"/>
        <w:rPr>
          <w:rFonts w:ascii="Times New Roman" w:eastAsia="Calibri" w:hAnsi="Times New Roman" w:cs="Times New Roman"/>
          <w:bCs/>
        </w:rPr>
      </w:pPr>
      <w:r w:rsidRPr="000A4A1A">
        <w:rPr>
          <w:rFonts w:ascii="Times New Roman" w:eastAsia="Calibri" w:hAnsi="Times New Roman" w:cs="Times New Roman"/>
          <w:bCs/>
        </w:rPr>
        <w:t xml:space="preserve">Boxer harcjárművek. (Boxer armored fighting vehicles.) </w:t>
      </w:r>
    </w:p>
    <w:p w:rsidR="000A4A1A" w:rsidRPr="000A4A1A" w:rsidRDefault="000A4A1A" w:rsidP="00980876">
      <w:pPr>
        <w:widowControl w:val="0"/>
        <w:numPr>
          <w:ilvl w:val="1"/>
          <w:numId w:val="463"/>
        </w:numPr>
        <w:tabs>
          <w:tab w:val="clear" w:pos="3977"/>
          <w:tab w:val="num" w:pos="2069"/>
        </w:tabs>
        <w:spacing w:before="120" w:after="120" w:line="240" w:lineRule="auto"/>
        <w:ind w:left="1134" w:hanging="708"/>
        <w:jc w:val="both"/>
        <w:rPr>
          <w:rFonts w:ascii="Times New Roman" w:eastAsia="Calibri" w:hAnsi="Times New Roman" w:cs="Times New Roman"/>
          <w:bCs/>
        </w:rPr>
      </w:pPr>
      <w:r w:rsidRPr="000A4A1A">
        <w:rPr>
          <w:rFonts w:ascii="Times New Roman" w:eastAsia="Calibri" w:hAnsi="Times New Roman" w:cs="Times New Roman"/>
          <w:bCs/>
        </w:rPr>
        <w:t xml:space="preserve">KOMONDOR páncélozott jármű. (KOMONDOR armored vehicles.) </w:t>
      </w:r>
    </w:p>
    <w:p w:rsidR="000A4A1A" w:rsidRPr="000A4A1A" w:rsidRDefault="000A4A1A" w:rsidP="00980876">
      <w:pPr>
        <w:widowControl w:val="0"/>
        <w:numPr>
          <w:ilvl w:val="1"/>
          <w:numId w:val="463"/>
        </w:numPr>
        <w:tabs>
          <w:tab w:val="clear" w:pos="3977"/>
          <w:tab w:val="num" w:pos="2069"/>
        </w:tabs>
        <w:spacing w:before="120" w:after="120" w:line="240" w:lineRule="auto"/>
        <w:ind w:left="1134" w:hanging="708"/>
        <w:jc w:val="both"/>
        <w:rPr>
          <w:rFonts w:ascii="Times New Roman" w:eastAsia="Calibri" w:hAnsi="Times New Roman" w:cs="Times New Roman"/>
          <w:bCs/>
        </w:rPr>
      </w:pPr>
      <w:r w:rsidRPr="000A4A1A">
        <w:rPr>
          <w:rFonts w:ascii="Times New Roman" w:eastAsia="Calibri" w:hAnsi="Times New Roman" w:cs="Times New Roman"/>
          <w:bCs/>
        </w:rPr>
        <w:t>Polaris quad felépítése és feladata. (Stucture and tasks of Polaris quad.)</w:t>
      </w:r>
    </w:p>
    <w:p w:rsidR="000A4A1A" w:rsidRPr="000A4A1A" w:rsidRDefault="000A4A1A" w:rsidP="00980876">
      <w:pPr>
        <w:widowControl w:val="0"/>
        <w:numPr>
          <w:ilvl w:val="1"/>
          <w:numId w:val="463"/>
        </w:numPr>
        <w:tabs>
          <w:tab w:val="clear" w:pos="3977"/>
          <w:tab w:val="num" w:pos="2069"/>
        </w:tabs>
        <w:spacing w:before="120" w:after="120" w:line="240" w:lineRule="auto"/>
        <w:ind w:left="1134" w:hanging="708"/>
        <w:jc w:val="both"/>
        <w:rPr>
          <w:rFonts w:ascii="Times New Roman" w:eastAsia="Calibri" w:hAnsi="Times New Roman" w:cs="Times New Roman"/>
          <w:bCs/>
        </w:rPr>
      </w:pPr>
      <w:r w:rsidRPr="000A4A1A">
        <w:rPr>
          <w:rFonts w:ascii="Times New Roman" w:eastAsia="Calibri" w:hAnsi="Times New Roman" w:cs="Times New Roman"/>
          <w:bCs/>
        </w:rPr>
        <w:t>MRAP harcjárművek. (MRAP armored vehicles.)</w:t>
      </w:r>
    </w:p>
    <w:p w:rsidR="000A4A1A" w:rsidRPr="000A4A1A" w:rsidRDefault="000A4A1A" w:rsidP="00980876">
      <w:pPr>
        <w:widowControl w:val="0"/>
        <w:numPr>
          <w:ilvl w:val="1"/>
          <w:numId w:val="463"/>
        </w:numPr>
        <w:tabs>
          <w:tab w:val="clear" w:pos="3977"/>
          <w:tab w:val="num" w:pos="2069"/>
        </w:tabs>
        <w:spacing w:before="120" w:after="120" w:line="240" w:lineRule="auto"/>
        <w:ind w:left="1134" w:hanging="708"/>
        <w:jc w:val="both"/>
        <w:rPr>
          <w:rFonts w:ascii="Times New Roman" w:eastAsia="Calibri" w:hAnsi="Times New Roman" w:cs="Times New Roman"/>
          <w:bCs/>
        </w:rPr>
      </w:pPr>
      <w:r w:rsidRPr="000A4A1A">
        <w:rPr>
          <w:rFonts w:ascii="Times New Roman" w:eastAsia="Calibri" w:hAnsi="Times New Roman" w:cs="Times New Roman"/>
          <w:bCs/>
        </w:rPr>
        <w:t>Rába katonai tehergépkocsik napjainkban és a Rába cég. (Rába militray trucks and the Rába company.)</w:t>
      </w:r>
    </w:p>
    <w:p w:rsidR="000A4A1A" w:rsidRDefault="000A4A1A" w:rsidP="00980876">
      <w:pPr>
        <w:widowControl w:val="0"/>
        <w:numPr>
          <w:ilvl w:val="1"/>
          <w:numId w:val="463"/>
        </w:numPr>
        <w:tabs>
          <w:tab w:val="clear" w:pos="3977"/>
          <w:tab w:val="num" w:pos="2069"/>
        </w:tabs>
        <w:spacing w:before="120" w:after="120" w:line="240" w:lineRule="auto"/>
        <w:ind w:left="1134" w:hanging="708"/>
        <w:jc w:val="both"/>
        <w:rPr>
          <w:rFonts w:ascii="Times New Roman" w:eastAsia="Calibri" w:hAnsi="Times New Roman" w:cs="Times New Roman"/>
          <w:bCs/>
        </w:rPr>
      </w:pPr>
      <w:r w:rsidRPr="000A4A1A">
        <w:rPr>
          <w:rFonts w:ascii="Times New Roman" w:eastAsia="Calibri" w:hAnsi="Times New Roman" w:cs="Times New Roman"/>
          <w:bCs/>
        </w:rPr>
        <w:t>Katonai motorkerékpárok (Military motorcycles)</w:t>
      </w:r>
    </w:p>
    <w:p w:rsidR="000A4A1A" w:rsidRPr="000A4A1A" w:rsidRDefault="000A4A1A" w:rsidP="00980876">
      <w:pPr>
        <w:widowControl w:val="0"/>
        <w:numPr>
          <w:ilvl w:val="1"/>
          <w:numId w:val="463"/>
        </w:numPr>
        <w:tabs>
          <w:tab w:val="clear" w:pos="3977"/>
          <w:tab w:val="num" w:pos="2069"/>
        </w:tabs>
        <w:spacing w:before="120" w:after="120" w:line="240" w:lineRule="auto"/>
        <w:ind w:left="1134" w:hanging="708"/>
        <w:jc w:val="both"/>
        <w:rPr>
          <w:rFonts w:ascii="Times New Roman" w:eastAsia="Times New Roman" w:hAnsi="Times New Roman" w:cs="Times New Roman"/>
        </w:rPr>
      </w:pPr>
      <w:r w:rsidRPr="000A4A1A">
        <w:rPr>
          <w:rFonts w:ascii="Times New Roman" w:eastAsia="Calibri" w:hAnsi="Times New Roman" w:cs="Times New Roman"/>
          <w:bCs/>
        </w:rPr>
        <w:t>Zárthelyi</w:t>
      </w:r>
      <w:r>
        <w:rPr>
          <w:rFonts w:ascii="Times New Roman" w:hAnsi="Times New Roman" w:cs="Times New Roman"/>
        </w:rPr>
        <w:t xml:space="preserve"> dolgozat</w:t>
      </w:r>
      <w:r>
        <w:rPr>
          <w:rFonts w:ascii="Times New Roman" w:hAnsi="Times New Roman" w:cs="Times New Roman"/>
          <w:b/>
        </w:rPr>
        <w:t xml:space="preserve"> </w:t>
      </w:r>
      <w:r w:rsidRPr="00253511">
        <w:rPr>
          <w:rFonts w:ascii="Times New Roman" w:hAnsi="Times New Roman" w:cs="Times New Roman"/>
          <w:i/>
        </w:rPr>
        <w:t>(Paper)</w:t>
      </w:r>
    </w:p>
    <w:p w:rsidR="000A4A1A" w:rsidRPr="000A4A1A" w:rsidRDefault="000A4A1A" w:rsidP="00980876">
      <w:pPr>
        <w:widowControl w:val="0"/>
        <w:numPr>
          <w:ilvl w:val="0"/>
          <w:numId w:val="463"/>
        </w:numPr>
        <w:tabs>
          <w:tab w:val="clear" w:pos="720"/>
          <w:tab w:val="num" w:pos="785"/>
        </w:tabs>
        <w:spacing w:before="120" w:after="120" w:line="240" w:lineRule="auto"/>
        <w:ind w:left="426" w:hanging="142"/>
        <w:jc w:val="both"/>
        <w:rPr>
          <w:rFonts w:ascii="Times New Roman" w:eastAsia="Times New Roman" w:hAnsi="Times New Roman" w:cs="Times New Roman"/>
          <w:bCs/>
        </w:rPr>
      </w:pPr>
      <w:r w:rsidRPr="000A4A1A">
        <w:rPr>
          <w:rFonts w:ascii="Times New Roman" w:eastAsia="Times New Roman" w:hAnsi="Times New Roman" w:cs="Times New Roman"/>
          <w:b/>
          <w:bCs/>
        </w:rPr>
        <w:t xml:space="preserve">A tantárgy meghirdetésének gyakorisága/a tantervben történő félévi elhelyezkedése: </w:t>
      </w:r>
      <w:r w:rsidRPr="000A4A1A">
        <w:rPr>
          <w:rFonts w:ascii="Times New Roman" w:eastAsia="Times New Roman" w:hAnsi="Times New Roman" w:cs="Times New Roman"/>
        </w:rPr>
        <w:t>2</w:t>
      </w:r>
      <w:r w:rsidRPr="000A4A1A">
        <w:rPr>
          <w:rFonts w:ascii="Times New Roman" w:eastAsia="Times New Roman" w:hAnsi="Times New Roman" w:cs="Times New Roman"/>
          <w:bCs/>
        </w:rPr>
        <w:t>. félév</w:t>
      </w:r>
    </w:p>
    <w:p w:rsidR="000A4A1A" w:rsidRPr="000A4A1A" w:rsidRDefault="000A4A1A" w:rsidP="00980876">
      <w:pPr>
        <w:widowControl w:val="0"/>
        <w:numPr>
          <w:ilvl w:val="0"/>
          <w:numId w:val="463"/>
        </w:numPr>
        <w:tabs>
          <w:tab w:val="clear" w:pos="720"/>
          <w:tab w:val="num" w:pos="785"/>
        </w:tabs>
        <w:spacing w:before="120" w:after="120" w:line="240" w:lineRule="auto"/>
        <w:ind w:left="426" w:hanging="142"/>
        <w:jc w:val="both"/>
        <w:rPr>
          <w:rFonts w:ascii="Times New Roman" w:eastAsia="Times New Roman" w:hAnsi="Times New Roman" w:cs="Times New Roman"/>
          <w:bCs/>
        </w:rPr>
      </w:pPr>
      <w:r w:rsidRPr="000A4A1A">
        <w:rPr>
          <w:rFonts w:ascii="Times New Roman" w:eastAsia="Times New Roman" w:hAnsi="Times New Roman" w:cs="Times New Roman"/>
          <w:b/>
          <w:bCs/>
        </w:rPr>
        <w:lastRenderedPageBreak/>
        <w:t>A tanórákon való részvétel követelményei, az elfogadható hiányzások mértéke, a távolmaradás pótlásának lehetősége:</w:t>
      </w:r>
      <w:r w:rsidRPr="000A4A1A">
        <w:rPr>
          <w:rFonts w:ascii="Times New Roman" w:eastAsia="Times New Roman" w:hAnsi="Times New Roman" w:cs="Times New Roman"/>
          <w:bCs/>
        </w:rPr>
        <w:t xml:space="preserve"> A tanórákat csak a kurzusra eredményesen jelentkezett hallgatók látogathatják. Az aláírás megszerzésének szempontjából az elfogadható hiányzás mértéke nem haladhatja meg a tanórák 30%-át, ellenkező esetben az aláírást meg kell tagadni. A hiányzás pótolható az oktató által kijelölt témakörben beadott, legalább elégségesre értékelt házidolgozattal. Az aláírás pótlása a TVSZ-ben megfogalmazott módon lehetséges.</w:t>
      </w:r>
    </w:p>
    <w:p w:rsidR="000A4A1A" w:rsidRPr="000A4A1A" w:rsidRDefault="000A4A1A" w:rsidP="00980876">
      <w:pPr>
        <w:widowControl w:val="0"/>
        <w:numPr>
          <w:ilvl w:val="0"/>
          <w:numId w:val="463"/>
        </w:numPr>
        <w:tabs>
          <w:tab w:val="clear" w:pos="720"/>
          <w:tab w:val="num" w:pos="785"/>
        </w:tabs>
        <w:spacing w:before="120" w:after="120" w:line="240" w:lineRule="auto"/>
        <w:ind w:left="426" w:hanging="142"/>
        <w:jc w:val="both"/>
        <w:rPr>
          <w:rFonts w:ascii="Times New Roman" w:eastAsia="Times New Roman" w:hAnsi="Times New Roman" w:cs="Times New Roman"/>
          <w:bCs/>
        </w:rPr>
      </w:pPr>
      <w:r w:rsidRPr="000A4A1A">
        <w:rPr>
          <w:rFonts w:ascii="Times New Roman" w:eastAsia="Times New Roman" w:hAnsi="Times New Roman" w:cs="Times New Roman"/>
          <w:b/>
        </w:rPr>
        <w:t xml:space="preserve">Félévközi </w:t>
      </w:r>
      <w:r w:rsidRPr="003B3611">
        <w:rPr>
          <w:rFonts w:ascii="Times New Roman" w:eastAsia="Times New Roman" w:hAnsi="Times New Roman" w:cs="Times New Roman"/>
          <w:b/>
          <w:bCs/>
        </w:rPr>
        <w:t>feladatok</w:t>
      </w:r>
      <w:r w:rsidRPr="000A4A1A">
        <w:rPr>
          <w:rFonts w:ascii="Times New Roman" w:eastAsia="Times New Roman" w:hAnsi="Times New Roman" w:cs="Times New Roman"/>
          <w:b/>
        </w:rPr>
        <w:t>, ismeretek ellenőrzésének rendje:</w:t>
      </w:r>
      <w:r w:rsidRPr="000A4A1A">
        <w:rPr>
          <w:rFonts w:ascii="Times New Roman" w:eastAsia="Times New Roman" w:hAnsi="Times New Roman" w:cs="Times New Roman"/>
          <w:bCs/>
        </w:rPr>
        <w:t xml:space="preserve"> Az ismeretek ellenőrzése két zárthelyi dolgozat megírása alapján történik. A zárthelyi dolgozatok témái a 12.1.–12.</w:t>
      </w:r>
      <w:r>
        <w:rPr>
          <w:rFonts w:ascii="Times New Roman" w:eastAsia="Times New Roman" w:hAnsi="Times New Roman" w:cs="Times New Roman"/>
          <w:bCs/>
        </w:rPr>
        <w:t>5</w:t>
      </w:r>
      <w:r w:rsidRPr="000A4A1A">
        <w:rPr>
          <w:rFonts w:ascii="Times New Roman" w:eastAsia="Times New Roman" w:hAnsi="Times New Roman" w:cs="Times New Roman"/>
          <w:bCs/>
        </w:rPr>
        <w:t>. és a 12.</w:t>
      </w:r>
      <w:r>
        <w:rPr>
          <w:rFonts w:ascii="Times New Roman" w:eastAsia="Times New Roman" w:hAnsi="Times New Roman" w:cs="Times New Roman"/>
          <w:bCs/>
        </w:rPr>
        <w:t>7</w:t>
      </w:r>
      <w:r w:rsidRPr="000A4A1A">
        <w:rPr>
          <w:rFonts w:ascii="Times New Roman" w:eastAsia="Times New Roman" w:hAnsi="Times New Roman" w:cs="Times New Roman"/>
          <w:bCs/>
        </w:rPr>
        <w:t>.–12.1</w:t>
      </w:r>
      <w:r>
        <w:rPr>
          <w:rFonts w:ascii="Times New Roman" w:eastAsia="Times New Roman" w:hAnsi="Times New Roman" w:cs="Times New Roman"/>
          <w:bCs/>
        </w:rPr>
        <w:t>3</w:t>
      </w:r>
      <w:r w:rsidRPr="000A4A1A">
        <w:rPr>
          <w:rFonts w:ascii="Times New Roman" w:eastAsia="Times New Roman" w:hAnsi="Times New Roman" w:cs="Times New Roman"/>
          <w:bCs/>
        </w:rPr>
        <w:t>. tantárgyrészekből a kötelező irodalmak anyagából, illetve az előadásokon elhangzott ismeretanyagból kell összeállítani. Az érdemjegyek pontszámait a kiadott feladatlap tartalmazza. A dolgozatban teszt és esszé jellegű kérdések egyaránt szerepelhetnek. A zárthelyi dolgozat értékelése ötfokozatú értékelés. A zárthelyi írásbeli dolgozat értékelése az elért maximális pontszám 60%-ig elégtelen; 61–70%-a között elégséges; 71–80%-a között közepes; 81–90%-a között jó; e felett jeles. Eredménytelen zárthelyi dolgozat kétszer javítható. A félévközi jegyet az elért eredmények kerekített matematikai átlaga képezi. A bármely zárthelyi dolgozatból vagy beadandó feladatból kapott elégtelen (1) osztályzat aláírás megtagadást jelent.  A 14. pontban említett beadandó dolgozat a hiányzást ellentételező feladat, a zárthelyi dolgozatokat nem helyettesíti.</w:t>
      </w:r>
    </w:p>
    <w:p w:rsidR="000A4A1A" w:rsidRPr="000A4A1A" w:rsidRDefault="000A4A1A" w:rsidP="00980876">
      <w:pPr>
        <w:widowControl w:val="0"/>
        <w:numPr>
          <w:ilvl w:val="0"/>
          <w:numId w:val="463"/>
        </w:numPr>
        <w:tabs>
          <w:tab w:val="clear" w:pos="720"/>
          <w:tab w:val="num" w:pos="785"/>
        </w:tabs>
        <w:spacing w:before="120" w:after="120" w:line="240" w:lineRule="auto"/>
        <w:ind w:left="426" w:hanging="142"/>
        <w:jc w:val="both"/>
        <w:rPr>
          <w:rFonts w:ascii="Times New Roman" w:eastAsia="Times New Roman" w:hAnsi="Times New Roman" w:cs="Times New Roman"/>
          <w:b/>
          <w:bCs/>
        </w:rPr>
      </w:pPr>
      <w:r w:rsidRPr="000A4A1A">
        <w:rPr>
          <w:rFonts w:ascii="Times New Roman" w:eastAsia="Times New Roman" w:hAnsi="Times New Roman" w:cs="Times New Roman"/>
          <w:b/>
          <w:bCs/>
        </w:rPr>
        <w:t xml:space="preserve">Az értékelés, az aláírás és a kreditek megszerzésének pontos feltételei: </w:t>
      </w:r>
    </w:p>
    <w:p w:rsidR="000A4A1A" w:rsidRPr="000A4A1A" w:rsidRDefault="000A4A1A" w:rsidP="000A4A1A">
      <w:pPr>
        <w:widowControl w:val="0"/>
        <w:spacing w:before="120" w:after="120" w:line="240" w:lineRule="auto"/>
        <w:ind w:left="426"/>
        <w:jc w:val="both"/>
        <w:rPr>
          <w:rFonts w:ascii="Times New Roman" w:eastAsia="Times New Roman" w:hAnsi="Times New Roman" w:cs="Times New Roman"/>
          <w:bCs/>
        </w:rPr>
      </w:pPr>
      <w:r w:rsidRPr="000A4A1A">
        <w:rPr>
          <w:rFonts w:ascii="Times New Roman" w:eastAsia="Times New Roman" w:hAnsi="Times New Roman" w:cs="Times New Roman"/>
          <w:b/>
          <w:bCs/>
        </w:rPr>
        <w:t xml:space="preserve">16.1.: Az aláírás megszerzésének feltételei: </w:t>
      </w:r>
      <w:r w:rsidRPr="000A4A1A">
        <w:rPr>
          <w:rFonts w:ascii="Times New Roman" w:eastAsia="Calibri" w:hAnsi="Times New Roman" w:cs="Times New Roman"/>
          <w:bCs/>
        </w:rPr>
        <w:t>Az aláírás megszerzésének feltétele a 14. pontban meghatározott arányú részvétel a foglalkozásokon és a 15. pontban meghatározott félévközi feladatok legalább elégséges teljesítése.</w:t>
      </w:r>
    </w:p>
    <w:p w:rsidR="000A4A1A" w:rsidRPr="000A4A1A" w:rsidRDefault="000A4A1A" w:rsidP="000A4A1A">
      <w:pPr>
        <w:widowControl w:val="0"/>
        <w:spacing w:before="120" w:after="120" w:line="240" w:lineRule="auto"/>
        <w:ind w:left="426"/>
        <w:jc w:val="both"/>
        <w:rPr>
          <w:rFonts w:ascii="Times New Roman" w:eastAsia="Times New Roman" w:hAnsi="Times New Roman" w:cs="Times New Roman"/>
          <w:bCs/>
        </w:rPr>
      </w:pPr>
      <w:r w:rsidRPr="000A4A1A">
        <w:rPr>
          <w:rFonts w:ascii="Times New Roman" w:eastAsia="Times New Roman" w:hAnsi="Times New Roman" w:cs="Times New Roman"/>
          <w:b/>
          <w:bCs/>
        </w:rPr>
        <w:t>16.2.: Az értékelés:</w:t>
      </w:r>
      <w:r w:rsidRPr="000A4A1A">
        <w:rPr>
          <w:rFonts w:ascii="Times New Roman" w:eastAsia="Times New Roman" w:hAnsi="Times New Roman" w:cs="Times New Roman"/>
          <w:bCs/>
        </w:rPr>
        <w:t xml:space="preserve"> Évközi értékelés, ötfokozatú értékelés. Az évközi értékelést az elért eredmények kerekített matematikai átlaga képezi. </w:t>
      </w:r>
    </w:p>
    <w:p w:rsidR="000A4A1A" w:rsidRPr="000A4A1A" w:rsidRDefault="000A4A1A" w:rsidP="000A4A1A">
      <w:pPr>
        <w:widowControl w:val="0"/>
        <w:spacing w:before="120" w:after="120" w:line="240" w:lineRule="auto"/>
        <w:ind w:left="426"/>
        <w:jc w:val="both"/>
        <w:rPr>
          <w:rFonts w:ascii="Times New Roman" w:eastAsia="Times New Roman" w:hAnsi="Times New Roman" w:cs="Times New Roman"/>
          <w:bCs/>
        </w:rPr>
      </w:pPr>
      <w:r w:rsidRPr="000A4A1A">
        <w:rPr>
          <w:rFonts w:ascii="Times New Roman" w:eastAsia="Times New Roman" w:hAnsi="Times New Roman" w:cs="Times New Roman"/>
          <w:b/>
          <w:bCs/>
        </w:rPr>
        <w:t>16.3.: A kreditek megszerzésének feltételei:</w:t>
      </w:r>
      <w:r w:rsidRPr="000A4A1A">
        <w:rPr>
          <w:rFonts w:ascii="Times New Roman" w:eastAsia="Times New Roman" w:hAnsi="Times New Roman" w:cs="Times New Roman"/>
          <w:bCs/>
        </w:rPr>
        <w:t xml:space="preserve"> Az aláírás, valamint a félévközi jegy megszerzése.</w:t>
      </w:r>
    </w:p>
    <w:p w:rsidR="000A4A1A" w:rsidRPr="000A4A1A" w:rsidRDefault="000A4A1A" w:rsidP="00980876">
      <w:pPr>
        <w:widowControl w:val="0"/>
        <w:numPr>
          <w:ilvl w:val="0"/>
          <w:numId w:val="463"/>
        </w:numPr>
        <w:tabs>
          <w:tab w:val="clear" w:pos="720"/>
          <w:tab w:val="num" w:pos="785"/>
        </w:tabs>
        <w:spacing w:before="120" w:after="120" w:line="240" w:lineRule="auto"/>
        <w:ind w:left="426" w:hanging="142"/>
        <w:jc w:val="both"/>
        <w:rPr>
          <w:rFonts w:ascii="Times New Roman" w:eastAsia="Times New Roman" w:hAnsi="Times New Roman" w:cs="Times New Roman"/>
          <w:bCs/>
        </w:rPr>
      </w:pPr>
      <w:r w:rsidRPr="000A4A1A">
        <w:rPr>
          <w:rFonts w:ascii="Times New Roman" w:eastAsia="Times New Roman" w:hAnsi="Times New Roman" w:cs="Times New Roman"/>
          <w:b/>
          <w:bCs/>
        </w:rPr>
        <w:t>Irodalomjegyzék:</w:t>
      </w:r>
    </w:p>
    <w:p w:rsidR="000A4A1A" w:rsidRPr="000A4A1A" w:rsidRDefault="000A4A1A" w:rsidP="00980876">
      <w:pPr>
        <w:widowControl w:val="0"/>
        <w:numPr>
          <w:ilvl w:val="1"/>
          <w:numId w:val="463"/>
        </w:numPr>
        <w:tabs>
          <w:tab w:val="clear" w:pos="3977"/>
        </w:tabs>
        <w:spacing w:before="120" w:after="120" w:line="240" w:lineRule="auto"/>
        <w:ind w:left="851" w:hanging="574"/>
        <w:jc w:val="both"/>
        <w:rPr>
          <w:rFonts w:ascii="Times New Roman" w:eastAsia="Times New Roman" w:hAnsi="Times New Roman" w:cs="Times New Roman"/>
          <w:b/>
          <w:bCs/>
        </w:rPr>
      </w:pPr>
      <w:r w:rsidRPr="000A4A1A">
        <w:rPr>
          <w:rFonts w:ascii="Times New Roman" w:eastAsia="Times New Roman" w:hAnsi="Times New Roman" w:cs="Times New Roman"/>
          <w:b/>
          <w:bCs/>
        </w:rPr>
        <w:t>Kötelező irodalom:</w:t>
      </w:r>
    </w:p>
    <w:p w:rsidR="000A4A1A" w:rsidRPr="000A4A1A" w:rsidRDefault="000A4A1A" w:rsidP="00980876">
      <w:pPr>
        <w:widowControl w:val="0"/>
        <w:numPr>
          <w:ilvl w:val="0"/>
          <w:numId w:val="464"/>
        </w:numPr>
        <w:spacing w:after="0" w:line="240" w:lineRule="auto"/>
        <w:jc w:val="both"/>
        <w:rPr>
          <w:rFonts w:ascii="Times New Roman" w:eastAsia="Times New Roman" w:hAnsi="Times New Roman" w:cs="Times New Roman"/>
        </w:rPr>
      </w:pPr>
      <w:r w:rsidRPr="000A4A1A">
        <w:rPr>
          <w:rFonts w:ascii="Times New Roman" w:eastAsia="Times New Roman" w:hAnsi="Times New Roman" w:cs="Times New Roman"/>
        </w:rPr>
        <w:t>Bombay-Gyarmati-Turcsányi: Harckocsik 1916-tól napjainkig. Zrínyi Kiadó, Budapest, 1995. ISBN: 9633273323</w:t>
      </w:r>
    </w:p>
    <w:p w:rsidR="000A4A1A" w:rsidRPr="000A4A1A" w:rsidRDefault="000A4A1A" w:rsidP="00980876">
      <w:pPr>
        <w:widowControl w:val="0"/>
        <w:numPr>
          <w:ilvl w:val="0"/>
          <w:numId w:val="464"/>
        </w:numPr>
        <w:spacing w:after="0" w:line="240" w:lineRule="auto"/>
        <w:jc w:val="both"/>
        <w:rPr>
          <w:rFonts w:ascii="Times New Roman" w:eastAsia="Times New Roman" w:hAnsi="Times New Roman" w:cs="Times New Roman"/>
        </w:rPr>
      </w:pPr>
      <w:r w:rsidRPr="000A4A1A">
        <w:rPr>
          <w:rFonts w:ascii="Times New Roman" w:eastAsia="Times New Roman" w:hAnsi="Times New Roman" w:cs="Times New Roman"/>
        </w:rPr>
        <w:t xml:space="preserve">A harcmezők „nagymacskái” – a Leopard 2-es harckocsicsalád I-III. rész Haditechnika, 2019. évi 3-5. szám, </w:t>
      </w:r>
      <w:bookmarkStart w:id="92" w:name="_Hlk35203824"/>
      <w:r w:rsidRPr="000A4A1A">
        <w:rPr>
          <w:rFonts w:ascii="Times New Roman" w:eastAsia="Times New Roman" w:hAnsi="Times New Roman" w:cs="Times New Roman"/>
        </w:rPr>
        <w:t>ISSN 0230-6891</w:t>
      </w:r>
      <w:bookmarkEnd w:id="92"/>
      <w:r w:rsidRPr="000A4A1A">
        <w:rPr>
          <w:rFonts w:ascii="Times New Roman" w:eastAsia="Times New Roman" w:hAnsi="Times New Roman" w:cs="Times New Roman"/>
        </w:rPr>
        <w:t xml:space="preserve"> </w:t>
      </w:r>
    </w:p>
    <w:p w:rsidR="000A4A1A" w:rsidRPr="000A4A1A" w:rsidRDefault="000A4A1A" w:rsidP="00980876">
      <w:pPr>
        <w:widowControl w:val="0"/>
        <w:numPr>
          <w:ilvl w:val="0"/>
          <w:numId w:val="464"/>
        </w:numPr>
        <w:spacing w:after="0" w:line="240" w:lineRule="auto"/>
        <w:jc w:val="both"/>
        <w:rPr>
          <w:rFonts w:ascii="Times New Roman" w:eastAsia="Times New Roman" w:hAnsi="Times New Roman" w:cs="Times New Roman"/>
        </w:rPr>
      </w:pPr>
      <w:r w:rsidRPr="000A4A1A">
        <w:rPr>
          <w:rFonts w:ascii="Times New Roman" w:eastAsia="Times New Roman" w:hAnsi="Times New Roman" w:cs="Times New Roman"/>
        </w:rPr>
        <w:t xml:space="preserve">A légi szállíthatóságot megteremtő haditechnikai megoldások az M109 önjáró taracknál. Katonai Logisztika 22. évf. 2014. évi 1. szám </w:t>
      </w:r>
    </w:p>
    <w:p w:rsidR="000A4A1A" w:rsidRPr="000A4A1A" w:rsidRDefault="000A4A1A" w:rsidP="00980876">
      <w:pPr>
        <w:widowControl w:val="0"/>
        <w:numPr>
          <w:ilvl w:val="1"/>
          <w:numId w:val="463"/>
        </w:numPr>
        <w:tabs>
          <w:tab w:val="clear" w:pos="3977"/>
        </w:tabs>
        <w:spacing w:before="120" w:after="120" w:line="240" w:lineRule="auto"/>
        <w:ind w:left="851" w:hanging="574"/>
        <w:jc w:val="both"/>
        <w:rPr>
          <w:rFonts w:ascii="Times New Roman" w:eastAsia="Times New Roman" w:hAnsi="Times New Roman" w:cs="Times New Roman"/>
          <w:b/>
          <w:bCs/>
        </w:rPr>
      </w:pPr>
      <w:r w:rsidRPr="000A4A1A">
        <w:rPr>
          <w:rFonts w:ascii="Times New Roman" w:eastAsia="Times New Roman" w:hAnsi="Times New Roman" w:cs="Times New Roman"/>
          <w:b/>
          <w:bCs/>
        </w:rPr>
        <w:t>Ajánlott irodalom:</w:t>
      </w:r>
    </w:p>
    <w:p w:rsidR="000A4A1A" w:rsidRPr="000A4A1A" w:rsidRDefault="000A4A1A" w:rsidP="00980876">
      <w:pPr>
        <w:numPr>
          <w:ilvl w:val="0"/>
          <w:numId w:val="465"/>
        </w:numPr>
        <w:ind w:left="714" w:hanging="357"/>
        <w:contextualSpacing/>
        <w:rPr>
          <w:rFonts w:ascii="Times New Roman" w:eastAsia="Times New Roman" w:hAnsi="Times New Roman" w:cs="Times New Roman"/>
        </w:rPr>
      </w:pPr>
      <w:r w:rsidRPr="000A4A1A">
        <w:rPr>
          <w:rFonts w:ascii="Times New Roman" w:eastAsia="Times New Roman" w:hAnsi="Times New Roman" w:cs="Times New Roman"/>
        </w:rPr>
        <w:t>Zsig Zoltán: A Stryker harcjárműcsalád I.-II. rész Haditechnika, 2019. évi 4-5. ISSN 0230-6891</w:t>
      </w:r>
    </w:p>
    <w:p w:rsidR="000A4A1A" w:rsidRPr="000A4A1A" w:rsidRDefault="000A4A1A" w:rsidP="00980876">
      <w:pPr>
        <w:numPr>
          <w:ilvl w:val="0"/>
          <w:numId w:val="465"/>
        </w:numPr>
        <w:ind w:left="714" w:hanging="357"/>
        <w:contextualSpacing/>
        <w:rPr>
          <w:rFonts w:ascii="Times New Roman" w:eastAsia="Times New Roman" w:hAnsi="Times New Roman" w:cs="Times New Roman"/>
        </w:rPr>
      </w:pPr>
      <w:r w:rsidRPr="000A4A1A">
        <w:rPr>
          <w:rFonts w:ascii="Times New Roman" w:eastAsia="Times New Roman" w:hAnsi="Times New Roman" w:cs="Times New Roman"/>
        </w:rPr>
        <w:t xml:space="preserve">Modern hadviselés, Pannon Literatúra kft. Kisújszállás, 2012. ISBN 978 963 251 364 5  </w:t>
      </w:r>
    </w:p>
    <w:p w:rsidR="000A4A1A" w:rsidRDefault="000A4A1A" w:rsidP="000A4A1A">
      <w:pPr>
        <w:widowControl w:val="0"/>
        <w:spacing w:before="120" w:after="120" w:line="240" w:lineRule="auto"/>
        <w:jc w:val="both"/>
        <w:rPr>
          <w:rFonts w:ascii="Times New Roman" w:eastAsia="Times New Roman" w:hAnsi="Times New Roman" w:cs="Times New Roman"/>
          <w:bCs/>
        </w:rPr>
      </w:pPr>
    </w:p>
    <w:p w:rsidR="000A4A1A" w:rsidRPr="000A4A1A" w:rsidRDefault="000A4A1A" w:rsidP="003B3611">
      <w:pPr>
        <w:widowControl w:val="0"/>
        <w:spacing w:before="120" w:after="120" w:line="240" w:lineRule="auto"/>
        <w:ind w:firstLine="357"/>
        <w:jc w:val="both"/>
        <w:rPr>
          <w:rFonts w:ascii="Times New Roman" w:eastAsia="Times New Roman" w:hAnsi="Times New Roman" w:cs="Times New Roman"/>
          <w:bCs/>
        </w:rPr>
      </w:pPr>
      <w:r w:rsidRPr="000A4A1A">
        <w:rPr>
          <w:rFonts w:ascii="Times New Roman" w:eastAsia="Times New Roman" w:hAnsi="Times New Roman" w:cs="Times New Roman"/>
          <w:bCs/>
        </w:rPr>
        <w:t>Budapest, 2020.03.10.</w:t>
      </w:r>
    </w:p>
    <w:p w:rsidR="000A4A1A" w:rsidRPr="003B3611" w:rsidRDefault="000A4A1A" w:rsidP="003B3611">
      <w:pPr>
        <w:widowControl w:val="0"/>
        <w:spacing w:after="0" w:line="240" w:lineRule="auto"/>
        <w:ind w:left="4962"/>
        <w:jc w:val="center"/>
        <w:rPr>
          <w:rFonts w:ascii="Times New Roman" w:eastAsia="Times New Roman" w:hAnsi="Times New Roman" w:cs="Times New Roman"/>
          <w:b/>
          <w:bCs/>
        </w:rPr>
      </w:pPr>
      <w:r w:rsidRPr="003B3611">
        <w:rPr>
          <w:rFonts w:ascii="Times New Roman" w:eastAsia="Times New Roman" w:hAnsi="Times New Roman" w:cs="Times New Roman"/>
          <w:b/>
          <w:bCs/>
        </w:rPr>
        <w:t>Dr. Gávay György Viktor PhD adjunktus</w:t>
      </w:r>
    </w:p>
    <w:p w:rsidR="000A4A1A" w:rsidRPr="000A4A1A" w:rsidRDefault="000A4A1A" w:rsidP="003B3611">
      <w:pPr>
        <w:widowControl w:val="0"/>
        <w:spacing w:after="0" w:line="240" w:lineRule="auto"/>
        <w:ind w:left="4962"/>
        <w:jc w:val="center"/>
        <w:rPr>
          <w:rFonts w:ascii="Times New Roman" w:eastAsia="Times New Roman" w:hAnsi="Times New Roman" w:cs="Times New Roman"/>
          <w:bCs/>
        </w:rPr>
      </w:pPr>
      <w:r w:rsidRPr="000A4A1A">
        <w:rPr>
          <w:rFonts w:ascii="Times New Roman" w:eastAsia="Times New Roman" w:hAnsi="Times New Roman" w:cs="Times New Roman"/>
          <w:bCs/>
        </w:rPr>
        <w:t>tantárgyfelelős, sk.</w:t>
      </w:r>
    </w:p>
    <w:p w:rsidR="00257A5B" w:rsidRDefault="00257A5B" w:rsidP="00E90EF1">
      <w:pPr>
        <w:rPr>
          <w:rFonts w:ascii="Times New Roman" w:hAnsi="Times New Roman" w:cs="Times New Roman"/>
          <w:sz w:val="24"/>
        </w:rPr>
      </w:pPr>
    </w:p>
    <w:p w:rsidR="000A4A1A" w:rsidRDefault="000A4A1A">
      <w:pPr>
        <w:spacing w:after="200" w:line="276" w:lineRule="auto"/>
        <w:rPr>
          <w:rFonts w:ascii="Times New Roman" w:hAnsi="Times New Roman" w:cs="Times New Roman"/>
          <w:sz w:val="24"/>
        </w:rPr>
      </w:pPr>
      <w:r>
        <w:rPr>
          <w:rFonts w:ascii="Times New Roman" w:hAnsi="Times New Roman" w:cs="Times New Roman"/>
          <w:sz w:val="24"/>
        </w:rPr>
        <w:br w:type="page"/>
      </w:r>
    </w:p>
    <w:tbl>
      <w:tblPr>
        <w:tblW w:w="9072" w:type="dxa"/>
        <w:tblInd w:w="113" w:type="dxa"/>
        <w:tblLook w:val="01E0" w:firstRow="1" w:lastRow="1" w:firstColumn="1" w:lastColumn="1" w:noHBand="0" w:noVBand="0"/>
      </w:tblPr>
      <w:tblGrid>
        <w:gridCol w:w="4855"/>
        <w:gridCol w:w="1620"/>
        <w:gridCol w:w="2597"/>
      </w:tblGrid>
      <w:tr w:rsidR="00415A43" w:rsidRPr="00415A43" w:rsidTr="00F543BF">
        <w:tc>
          <w:tcPr>
            <w:tcW w:w="4855" w:type="dxa"/>
            <w:tcBorders>
              <w:top w:val="nil"/>
              <w:left w:val="nil"/>
              <w:bottom w:val="single" w:sz="4" w:space="0" w:color="auto"/>
              <w:right w:val="nil"/>
            </w:tcBorders>
            <w:hideMark/>
          </w:tcPr>
          <w:p w:rsidR="00415A43" w:rsidRPr="00415A43" w:rsidRDefault="00415A43" w:rsidP="00415A43">
            <w:pPr>
              <w:spacing w:after="0" w:line="240" w:lineRule="auto"/>
              <w:jc w:val="center"/>
              <w:rPr>
                <w:rFonts w:ascii="Times New Roman" w:eastAsia="Times New Roman" w:hAnsi="Times New Roman" w:cs="Times New Roman"/>
                <w:b/>
                <w:smallCaps/>
                <w:lang w:eastAsia="hu-HU"/>
              </w:rPr>
            </w:pPr>
            <w:r w:rsidRPr="00415A43">
              <w:rPr>
                <w:rFonts w:ascii="Times New Roman" w:eastAsia="Times New Roman" w:hAnsi="Times New Roman" w:cs="Times New Roman"/>
                <w:b/>
                <w:smallCaps/>
                <w:lang w:eastAsia="hu-HU"/>
              </w:rPr>
              <w:lastRenderedPageBreak/>
              <w:t>Nemzeti Közszolgálati Egyetem</w:t>
            </w:r>
          </w:p>
        </w:tc>
        <w:tc>
          <w:tcPr>
            <w:tcW w:w="1620" w:type="dxa"/>
          </w:tcPr>
          <w:p w:rsidR="00415A43" w:rsidRPr="00415A43" w:rsidRDefault="00415A43" w:rsidP="00415A43">
            <w:pPr>
              <w:spacing w:after="0" w:line="240" w:lineRule="auto"/>
              <w:jc w:val="both"/>
              <w:rPr>
                <w:rFonts w:ascii="Times New Roman" w:eastAsia="Times New Roman" w:hAnsi="Times New Roman" w:cs="Times New Roman"/>
                <w:lang w:eastAsia="hu-HU"/>
              </w:rPr>
            </w:pPr>
          </w:p>
        </w:tc>
        <w:tc>
          <w:tcPr>
            <w:tcW w:w="2597" w:type="dxa"/>
          </w:tcPr>
          <w:p w:rsidR="00415A43" w:rsidRPr="00415A43" w:rsidRDefault="00415A43" w:rsidP="00415A43">
            <w:pPr>
              <w:spacing w:after="0" w:line="240" w:lineRule="auto"/>
              <w:jc w:val="right"/>
              <w:rPr>
                <w:rFonts w:ascii="Times New Roman" w:eastAsia="Times New Roman" w:hAnsi="Times New Roman" w:cs="Times New Roman"/>
                <w:lang w:eastAsia="hu-HU"/>
              </w:rPr>
            </w:pPr>
          </w:p>
        </w:tc>
      </w:tr>
      <w:tr w:rsidR="00415A43" w:rsidRPr="00415A43" w:rsidTr="00F543BF">
        <w:tc>
          <w:tcPr>
            <w:tcW w:w="4855" w:type="dxa"/>
            <w:tcBorders>
              <w:top w:val="single" w:sz="4" w:space="0" w:color="auto"/>
              <w:left w:val="nil"/>
              <w:bottom w:val="nil"/>
              <w:right w:val="nil"/>
            </w:tcBorders>
            <w:hideMark/>
          </w:tcPr>
          <w:p w:rsidR="00415A43" w:rsidRPr="00415A43" w:rsidRDefault="00415A43" w:rsidP="00415A43">
            <w:pPr>
              <w:spacing w:after="0" w:line="240" w:lineRule="auto"/>
              <w:jc w:val="center"/>
              <w:rPr>
                <w:rFonts w:ascii="Times New Roman" w:eastAsia="Times New Roman" w:hAnsi="Times New Roman" w:cs="Times New Roman"/>
                <w:b/>
                <w:lang w:eastAsia="hu-HU"/>
              </w:rPr>
            </w:pPr>
            <w:r w:rsidRPr="00415A43">
              <w:rPr>
                <w:rFonts w:ascii="Times New Roman" w:eastAsia="Times New Roman" w:hAnsi="Times New Roman" w:cs="Times New Roman"/>
                <w:b/>
                <w:lang w:eastAsia="hu-HU"/>
              </w:rPr>
              <w:t>Hadtudományi és Honvédtisztképző Kar</w:t>
            </w:r>
          </w:p>
        </w:tc>
        <w:tc>
          <w:tcPr>
            <w:tcW w:w="1620" w:type="dxa"/>
          </w:tcPr>
          <w:p w:rsidR="00415A43" w:rsidRPr="00415A43" w:rsidRDefault="00415A43" w:rsidP="00415A43">
            <w:pPr>
              <w:spacing w:after="0" w:line="240" w:lineRule="auto"/>
              <w:jc w:val="both"/>
              <w:rPr>
                <w:rFonts w:ascii="Times New Roman" w:eastAsia="Times New Roman" w:hAnsi="Times New Roman" w:cs="Times New Roman"/>
                <w:lang w:eastAsia="hu-HU"/>
              </w:rPr>
            </w:pPr>
          </w:p>
        </w:tc>
        <w:tc>
          <w:tcPr>
            <w:tcW w:w="2597" w:type="dxa"/>
          </w:tcPr>
          <w:p w:rsidR="00415A43" w:rsidRPr="00415A43" w:rsidRDefault="00415A43" w:rsidP="00415A43">
            <w:pPr>
              <w:spacing w:after="0" w:line="240" w:lineRule="auto"/>
              <w:jc w:val="both"/>
              <w:rPr>
                <w:rFonts w:ascii="Times New Roman" w:eastAsia="Times New Roman" w:hAnsi="Times New Roman" w:cs="Times New Roman"/>
                <w:lang w:eastAsia="hu-HU"/>
              </w:rPr>
            </w:pPr>
          </w:p>
        </w:tc>
      </w:tr>
    </w:tbl>
    <w:p w:rsidR="00415A43" w:rsidRPr="00415A43" w:rsidRDefault="00415A43" w:rsidP="00415A43">
      <w:pPr>
        <w:tabs>
          <w:tab w:val="right" w:pos="0"/>
          <w:tab w:val="center" w:pos="4819"/>
          <w:tab w:val="right" w:pos="9071"/>
        </w:tabs>
        <w:spacing w:after="0" w:line="240" w:lineRule="auto"/>
        <w:jc w:val="both"/>
        <w:rPr>
          <w:rFonts w:ascii="Times New Roman" w:eastAsia="Times New Roman" w:hAnsi="Times New Roman" w:cs="Times New Roman"/>
          <w:bCs/>
          <w:lang w:eastAsia="hu-HU"/>
        </w:rPr>
      </w:pPr>
    </w:p>
    <w:p w:rsidR="00415A43" w:rsidRPr="00415A43" w:rsidRDefault="00415A43" w:rsidP="00415A43">
      <w:pPr>
        <w:spacing w:after="0" w:line="240" w:lineRule="auto"/>
        <w:jc w:val="center"/>
        <w:rPr>
          <w:rFonts w:ascii="Times New Roman" w:eastAsia="Times New Roman" w:hAnsi="Times New Roman" w:cs="Times New Roman"/>
          <w:b/>
          <w:bCs/>
          <w:lang w:eastAsia="hu-HU"/>
        </w:rPr>
      </w:pPr>
      <w:r w:rsidRPr="00415A43">
        <w:rPr>
          <w:rFonts w:ascii="Times New Roman" w:eastAsia="Times New Roman" w:hAnsi="Times New Roman" w:cs="Times New Roman"/>
          <w:b/>
          <w:bCs/>
          <w:lang w:eastAsia="hu-HU"/>
        </w:rPr>
        <w:t>TANTÁRGYI PROGRAM</w:t>
      </w:r>
    </w:p>
    <w:p w:rsidR="00415A43" w:rsidRPr="00415A43" w:rsidRDefault="00415A43" w:rsidP="00415A43">
      <w:pPr>
        <w:spacing w:after="0" w:line="240" w:lineRule="auto"/>
        <w:jc w:val="center"/>
        <w:rPr>
          <w:rFonts w:ascii="Times New Roman" w:eastAsia="Times New Roman" w:hAnsi="Times New Roman" w:cs="Times New Roman"/>
          <w:b/>
          <w:bCs/>
          <w:lang w:eastAsia="hu-HU"/>
        </w:rPr>
      </w:pPr>
    </w:p>
    <w:p w:rsidR="00415A43" w:rsidRPr="00415A43" w:rsidRDefault="00415A43" w:rsidP="00980876">
      <w:pPr>
        <w:numPr>
          <w:ilvl w:val="0"/>
          <w:numId w:val="466"/>
        </w:numPr>
        <w:tabs>
          <w:tab w:val="clear" w:pos="720"/>
          <w:tab w:val="center" w:pos="4536"/>
          <w:tab w:val="right" w:pos="9071"/>
        </w:tabs>
        <w:spacing w:before="120" w:after="0" w:line="240" w:lineRule="auto"/>
        <w:ind w:left="426" w:hanging="142"/>
        <w:jc w:val="both"/>
        <w:rPr>
          <w:rFonts w:ascii="Times New Roman" w:eastAsia="Times New Roman" w:hAnsi="Times New Roman" w:cs="Times New Roman"/>
          <w:b/>
          <w:bCs/>
          <w:lang w:eastAsia="hu-HU"/>
        </w:rPr>
      </w:pPr>
      <w:r w:rsidRPr="00415A43">
        <w:rPr>
          <w:rFonts w:ascii="Times New Roman" w:eastAsia="Times New Roman" w:hAnsi="Times New Roman" w:cs="Times New Roman"/>
          <w:b/>
          <w:bCs/>
          <w:lang w:eastAsia="hu-HU"/>
        </w:rPr>
        <w:t>A tantárgy kódja: HKHDTA41</w:t>
      </w:r>
    </w:p>
    <w:p w:rsidR="00415A43" w:rsidRPr="00415A43" w:rsidRDefault="00415A43" w:rsidP="00980876">
      <w:pPr>
        <w:numPr>
          <w:ilvl w:val="0"/>
          <w:numId w:val="466"/>
        </w:numPr>
        <w:tabs>
          <w:tab w:val="clear" w:pos="720"/>
          <w:tab w:val="center" w:pos="4536"/>
          <w:tab w:val="right" w:pos="9071"/>
        </w:tabs>
        <w:spacing w:before="120" w:after="0" w:line="240" w:lineRule="auto"/>
        <w:ind w:left="426" w:hanging="142"/>
        <w:jc w:val="both"/>
        <w:rPr>
          <w:rFonts w:ascii="Times New Roman" w:eastAsia="Times New Roman" w:hAnsi="Times New Roman" w:cs="Times New Roman"/>
          <w:bCs/>
          <w:lang w:eastAsia="hu-HU"/>
        </w:rPr>
      </w:pPr>
      <w:r w:rsidRPr="00415A43">
        <w:rPr>
          <w:rFonts w:ascii="Times New Roman" w:eastAsia="Times New Roman" w:hAnsi="Times New Roman" w:cs="Times New Roman"/>
          <w:b/>
          <w:bCs/>
          <w:lang w:eastAsia="hu-HU"/>
        </w:rPr>
        <w:t xml:space="preserve">A tantárgy megnevezése (magyarul): </w:t>
      </w:r>
      <w:r w:rsidRPr="00415A43">
        <w:rPr>
          <w:rFonts w:ascii="Times New Roman" w:eastAsia="Times New Roman" w:hAnsi="Times New Roman" w:cs="Times New Roman"/>
          <w:bCs/>
          <w:lang w:eastAsia="hu-HU"/>
        </w:rPr>
        <w:t>Korszerű lőfegyverek és tüzérség a modern kor háborúiban</w:t>
      </w:r>
    </w:p>
    <w:p w:rsidR="00415A43" w:rsidRPr="00415A43" w:rsidRDefault="00415A43" w:rsidP="00980876">
      <w:pPr>
        <w:numPr>
          <w:ilvl w:val="0"/>
          <w:numId w:val="466"/>
        </w:numPr>
        <w:tabs>
          <w:tab w:val="clear" w:pos="720"/>
          <w:tab w:val="center" w:pos="4536"/>
          <w:tab w:val="right" w:pos="9071"/>
        </w:tabs>
        <w:spacing w:before="120" w:after="0" w:line="240" w:lineRule="auto"/>
        <w:ind w:left="426" w:hanging="142"/>
        <w:jc w:val="both"/>
        <w:rPr>
          <w:rFonts w:ascii="Times New Roman" w:eastAsia="Times New Roman" w:hAnsi="Times New Roman" w:cs="Times New Roman"/>
          <w:bCs/>
          <w:lang w:eastAsia="hu-HU"/>
        </w:rPr>
      </w:pPr>
      <w:r w:rsidRPr="00415A43">
        <w:rPr>
          <w:rFonts w:ascii="Times New Roman" w:eastAsia="Times New Roman" w:hAnsi="Times New Roman" w:cs="Times New Roman"/>
          <w:b/>
          <w:bCs/>
          <w:lang w:eastAsia="hu-HU"/>
        </w:rPr>
        <w:t xml:space="preserve">A tantárgy megnevezése (angolul): </w:t>
      </w:r>
      <w:r w:rsidRPr="00415A43">
        <w:rPr>
          <w:rFonts w:ascii="Times New Roman" w:eastAsia="Times New Roman" w:hAnsi="Times New Roman" w:cs="Times New Roman"/>
          <w:bCs/>
          <w:lang w:eastAsia="hu-HU"/>
        </w:rPr>
        <w:t>Modern firearms and artillery in the wars of modern times</w:t>
      </w:r>
    </w:p>
    <w:p w:rsidR="00415A43" w:rsidRPr="00415A43" w:rsidRDefault="00415A43" w:rsidP="00980876">
      <w:pPr>
        <w:numPr>
          <w:ilvl w:val="0"/>
          <w:numId w:val="466"/>
        </w:numPr>
        <w:tabs>
          <w:tab w:val="clear" w:pos="720"/>
          <w:tab w:val="center" w:pos="4536"/>
          <w:tab w:val="right" w:pos="9071"/>
        </w:tabs>
        <w:spacing w:before="120" w:after="0" w:line="240" w:lineRule="auto"/>
        <w:ind w:left="426" w:hanging="142"/>
        <w:jc w:val="both"/>
        <w:rPr>
          <w:rFonts w:ascii="Times New Roman" w:eastAsia="Times New Roman" w:hAnsi="Times New Roman" w:cs="Times New Roman"/>
          <w:bCs/>
          <w:lang w:eastAsia="hu-HU"/>
        </w:rPr>
      </w:pPr>
      <w:r w:rsidRPr="00415A43">
        <w:rPr>
          <w:rFonts w:ascii="Times New Roman" w:eastAsia="Times New Roman" w:hAnsi="Times New Roman" w:cs="Times New Roman"/>
          <w:b/>
          <w:bCs/>
          <w:lang w:eastAsia="hu-HU"/>
        </w:rPr>
        <w:t>Kreditérték és képzési karakter:</w:t>
      </w:r>
    </w:p>
    <w:p w:rsidR="00415A43" w:rsidRPr="00415A43" w:rsidRDefault="00415A43" w:rsidP="00980876">
      <w:pPr>
        <w:numPr>
          <w:ilvl w:val="1"/>
          <w:numId w:val="466"/>
        </w:numPr>
        <w:tabs>
          <w:tab w:val="clear" w:pos="3977"/>
          <w:tab w:val="right" w:pos="900"/>
          <w:tab w:val="num" w:pos="1425"/>
          <w:tab w:val="center" w:pos="4536"/>
          <w:tab w:val="right" w:pos="9071"/>
        </w:tabs>
        <w:spacing w:before="120" w:after="0" w:line="240" w:lineRule="auto"/>
        <w:ind w:left="1425"/>
        <w:rPr>
          <w:rFonts w:ascii="Times New Roman" w:eastAsia="Times New Roman" w:hAnsi="Times New Roman" w:cs="Times New Roman"/>
          <w:bCs/>
          <w:lang w:eastAsia="hu-HU"/>
        </w:rPr>
      </w:pPr>
      <w:r w:rsidRPr="00415A43">
        <w:rPr>
          <w:rFonts w:ascii="Times New Roman" w:eastAsia="Times New Roman" w:hAnsi="Times New Roman" w:cs="Times New Roman"/>
          <w:b/>
          <w:bCs/>
          <w:lang w:eastAsia="hu-HU"/>
        </w:rPr>
        <w:t xml:space="preserve"> </w:t>
      </w:r>
      <w:r w:rsidRPr="00415A43">
        <w:rPr>
          <w:rFonts w:ascii="Times New Roman" w:eastAsia="Times New Roman" w:hAnsi="Times New Roman" w:cs="Times New Roman"/>
          <w:bCs/>
          <w:lang w:eastAsia="hu-HU"/>
        </w:rPr>
        <w:t>2 kredit</w:t>
      </w:r>
    </w:p>
    <w:p w:rsidR="00415A43" w:rsidRPr="00415A43" w:rsidRDefault="00415A43" w:rsidP="00980876">
      <w:pPr>
        <w:numPr>
          <w:ilvl w:val="1"/>
          <w:numId w:val="466"/>
        </w:numPr>
        <w:tabs>
          <w:tab w:val="clear" w:pos="3977"/>
          <w:tab w:val="right" w:pos="900"/>
          <w:tab w:val="num" w:pos="1425"/>
          <w:tab w:val="center" w:pos="4536"/>
          <w:tab w:val="right" w:pos="9071"/>
        </w:tabs>
        <w:spacing w:before="120" w:after="0" w:line="240" w:lineRule="auto"/>
        <w:ind w:left="1425"/>
        <w:rPr>
          <w:rFonts w:ascii="Times New Roman" w:eastAsia="Times New Roman" w:hAnsi="Times New Roman" w:cs="Times New Roman"/>
          <w:bCs/>
          <w:lang w:eastAsia="hu-HU"/>
        </w:rPr>
      </w:pPr>
      <w:r w:rsidRPr="00415A43">
        <w:rPr>
          <w:rFonts w:ascii="Times New Roman" w:eastAsia="Times New Roman" w:hAnsi="Times New Roman" w:cs="Times New Roman"/>
          <w:bCs/>
          <w:lang w:eastAsia="hu-HU"/>
        </w:rPr>
        <w:t>a tantárgy elméleti vagy gyakorlati jellegének mértéke: 50 % gyakorlat, 50 % elmélet</w:t>
      </w:r>
    </w:p>
    <w:p w:rsidR="00415A43" w:rsidRPr="00415A43" w:rsidRDefault="00415A43" w:rsidP="00980876">
      <w:pPr>
        <w:numPr>
          <w:ilvl w:val="0"/>
          <w:numId w:val="466"/>
        </w:numPr>
        <w:tabs>
          <w:tab w:val="clear" w:pos="720"/>
          <w:tab w:val="center" w:pos="4536"/>
          <w:tab w:val="right" w:pos="9071"/>
        </w:tabs>
        <w:spacing w:before="120" w:after="0" w:line="240" w:lineRule="auto"/>
        <w:ind w:left="426" w:hanging="142"/>
        <w:jc w:val="both"/>
        <w:rPr>
          <w:rFonts w:ascii="Times New Roman" w:eastAsia="Times New Roman" w:hAnsi="Times New Roman" w:cs="Times New Roman"/>
          <w:bCs/>
          <w:lang w:eastAsia="hu-HU"/>
        </w:rPr>
      </w:pPr>
      <w:r w:rsidRPr="00415A43">
        <w:rPr>
          <w:rFonts w:ascii="Times New Roman" w:eastAsia="Times New Roman" w:hAnsi="Times New Roman" w:cs="Times New Roman"/>
          <w:b/>
          <w:bCs/>
          <w:lang w:eastAsia="hu-HU"/>
        </w:rPr>
        <w:t xml:space="preserve">A szak(ok), szakirányok/specializációk megnevezése (ahol oktatják): </w:t>
      </w:r>
      <w:r w:rsidRPr="00415A43">
        <w:rPr>
          <w:rFonts w:ascii="Times New Roman" w:eastAsia="Times New Roman" w:hAnsi="Times New Roman" w:cs="Times New Roman"/>
          <w:bCs/>
          <w:lang w:eastAsia="hu-HU"/>
        </w:rPr>
        <w:t>Katonai logisztika (</w:t>
      </w:r>
      <w:r w:rsidR="00137B8A">
        <w:rPr>
          <w:rFonts w:ascii="Times New Roman" w:eastAsia="Times New Roman" w:hAnsi="Times New Roman" w:cs="Times New Roman"/>
          <w:bCs/>
          <w:lang w:eastAsia="hu-HU"/>
        </w:rPr>
        <w:t>BSc</w:t>
      </w:r>
      <w:r w:rsidRPr="00415A43">
        <w:rPr>
          <w:rFonts w:ascii="Times New Roman" w:eastAsia="Times New Roman" w:hAnsi="Times New Roman" w:cs="Times New Roman"/>
          <w:bCs/>
          <w:lang w:eastAsia="hu-HU"/>
        </w:rPr>
        <w:t>) alapképzési szak, haditechnika specializáció, fegyverzettechnikai modul</w:t>
      </w:r>
    </w:p>
    <w:p w:rsidR="00415A43" w:rsidRPr="00415A43" w:rsidRDefault="00415A43" w:rsidP="00980876">
      <w:pPr>
        <w:numPr>
          <w:ilvl w:val="0"/>
          <w:numId w:val="466"/>
        </w:numPr>
        <w:tabs>
          <w:tab w:val="clear" w:pos="720"/>
          <w:tab w:val="center" w:pos="4536"/>
          <w:tab w:val="right" w:pos="9071"/>
        </w:tabs>
        <w:spacing w:before="120" w:after="0" w:line="240" w:lineRule="auto"/>
        <w:ind w:left="426" w:hanging="142"/>
        <w:jc w:val="both"/>
        <w:rPr>
          <w:rFonts w:ascii="Times New Roman" w:eastAsia="Times New Roman" w:hAnsi="Times New Roman" w:cs="Times New Roman"/>
          <w:bCs/>
          <w:lang w:eastAsia="hu-HU"/>
        </w:rPr>
      </w:pPr>
      <w:r w:rsidRPr="00415A43">
        <w:rPr>
          <w:rFonts w:ascii="Times New Roman" w:eastAsia="Times New Roman" w:hAnsi="Times New Roman" w:cs="Times New Roman"/>
          <w:b/>
          <w:bCs/>
          <w:lang w:eastAsia="hu-HU"/>
        </w:rPr>
        <w:tab/>
        <w:t xml:space="preserve">Az oktatásért felelős oktatási szervezeti egység megnevezése: </w:t>
      </w:r>
      <w:r w:rsidRPr="00415A43">
        <w:rPr>
          <w:rFonts w:ascii="Times New Roman" w:eastAsia="Times New Roman" w:hAnsi="Times New Roman" w:cs="Times New Roman"/>
          <w:bCs/>
          <w:lang w:eastAsia="hu-HU"/>
        </w:rPr>
        <w:t>NKE,</w:t>
      </w:r>
      <w:r w:rsidRPr="00415A43">
        <w:rPr>
          <w:rFonts w:ascii="Times New Roman" w:eastAsia="Times New Roman" w:hAnsi="Times New Roman" w:cs="Times New Roman"/>
          <w:b/>
          <w:bCs/>
          <w:lang w:eastAsia="hu-HU"/>
        </w:rPr>
        <w:t xml:space="preserve"> </w:t>
      </w:r>
      <w:r w:rsidRPr="00415A43">
        <w:rPr>
          <w:rFonts w:ascii="Times New Roman" w:eastAsia="Times New Roman" w:hAnsi="Times New Roman" w:cs="Times New Roman"/>
          <w:bCs/>
          <w:lang w:eastAsia="hu-HU"/>
        </w:rPr>
        <w:t>Hadtudományi és Honvédtisztképző Kar, Haditechnikai Tanszék</w:t>
      </w:r>
    </w:p>
    <w:p w:rsidR="00415A43" w:rsidRPr="00415A43" w:rsidRDefault="00415A43" w:rsidP="00980876">
      <w:pPr>
        <w:numPr>
          <w:ilvl w:val="0"/>
          <w:numId w:val="466"/>
        </w:numPr>
        <w:tabs>
          <w:tab w:val="clear" w:pos="720"/>
          <w:tab w:val="center" w:pos="4536"/>
          <w:tab w:val="right" w:pos="9071"/>
        </w:tabs>
        <w:spacing w:before="120" w:after="0" w:line="240" w:lineRule="auto"/>
        <w:ind w:left="426" w:hanging="142"/>
        <w:jc w:val="both"/>
        <w:rPr>
          <w:rFonts w:ascii="Times New Roman" w:eastAsia="Times New Roman" w:hAnsi="Times New Roman" w:cs="Times New Roman"/>
          <w:bCs/>
          <w:lang w:eastAsia="hu-HU"/>
        </w:rPr>
      </w:pPr>
      <w:r w:rsidRPr="00415A43">
        <w:rPr>
          <w:rFonts w:ascii="Times New Roman" w:eastAsia="Times New Roman" w:hAnsi="Times New Roman" w:cs="Times New Roman"/>
          <w:b/>
          <w:bCs/>
          <w:lang w:eastAsia="hu-HU"/>
        </w:rPr>
        <w:t xml:space="preserve">A tantárgyfelelős oktató neve, beosztása, tudományos fokozata: </w:t>
      </w:r>
      <w:r w:rsidRPr="00415A43">
        <w:rPr>
          <w:rFonts w:ascii="Times New Roman" w:eastAsia="Times New Roman" w:hAnsi="Times New Roman" w:cs="Times New Roman"/>
          <w:bCs/>
          <w:lang w:eastAsia="hu-HU"/>
        </w:rPr>
        <w:t>Dr. Gyarmati József egyetemi docens, PhD</w:t>
      </w:r>
    </w:p>
    <w:p w:rsidR="00415A43" w:rsidRPr="00415A43" w:rsidRDefault="00415A43" w:rsidP="00980876">
      <w:pPr>
        <w:numPr>
          <w:ilvl w:val="0"/>
          <w:numId w:val="466"/>
        </w:numPr>
        <w:tabs>
          <w:tab w:val="clear" w:pos="720"/>
          <w:tab w:val="center" w:pos="4536"/>
          <w:tab w:val="right" w:pos="9071"/>
        </w:tabs>
        <w:spacing w:before="120" w:after="0" w:line="240" w:lineRule="auto"/>
        <w:ind w:left="426" w:hanging="142"/>
        <w:jc w:val="both"/>
        <w:rPr>
          <w:rFonts w:ascii="Times New Roman" w:eastAsia="Times New Roman" w:hAnsi="Times New Roman" w:cs="Times New Roman"/>
          <w:b/>
          <w:lang w:eastAsia="hu-HU"/>
        </w:rPr>
      </w:pPr>
      <w:r w:rsidRPr="00415A43">
        <w:rPr>
          <w:rFonts w:ascii="Times New Roman" w:eastAsia="Times New Roman" w:hAnsi="Times New Roman" w:cs="Times New Roman"/>
          <w:b/>
          <w:bCs/>
          <w:lang w:eastAsia="hu-HU"/>
        </w:rPr>
        <w:t xml:space="preserve">A tanórák száma </w:t>
      </w:r>
      <w:r w:rsidRPr="00415A43">
        <w:rPr>
          <w:rFonts w:ascii="Times New Roman" w:eastAsia="Times New Roman" w:hAnsi="Times New Roman" w:cs="Times New Roman"/>
          <w:b/>
          <w:lang w:eastAsia="hu-HU"/>
        </w:rPr>
        <w:t>(előadás + szeminárium + gyakorlat)</w:t>
      </w:r>
    </w:p>
    <w:p w:rsidR="00415A43" w:rsidRPr="00415A43" w:rsidRDefault="00415A43" w:rsidP="00980876">
      <w:pPr>
        <w:numPr>
          <w:ilvl w:val="1"/>
          <w:numId w:val="466"/>
        </w:numPr>
        <w:tabs>
          <w:tab w:val="clear" w:pos="3977"/>
          <w:tab w:val="num" w:pos="1425"/>
        </w:tabs>
        <w:spacing w:before="120" w:after="0" w:line="240" w:lineRule="auto"/>
        <w:ind w:left="567" w:firstLine="0"/>
        <w:jc w:val="both"/>
        <w:rPr>
          <w:rFonts w:ascii="Times New Roman" w:eastAsia="Times New Roman" w:hAnsi="Times New Roman" w:cs="Times New Roman"/>
          <w:bCs/>
          <w:lang w:eastAsia="hu-HU"/>
        </w:rPr>
      </w:pPr>
      <w:r w:rsidRPr="00415A43">
        <w:rPr>
          <w:rFonts w:ascii="Times New Roman" w:eastAsia="Times New Roman" w:hAnsi="Times New Roman" w:cs="Times New Roman"/>
          <w:bCs/>
          <w:lang w:eastAsia="hu-HU"/>
        </w:rPr>
        <w:t>össz óraszám/félév: 28</w:t>
      </w:r>
    </w:p>
    <w:p w:rsidR="00415A43" w:rsidRPr="00415A43" w:rsidRDefault="00415A43" w:rsidP="00980876">
      <w:pPr>
        <w:numPr>
          <w:ilvl w:val="2"/>
          <w:numId w:val="466"/>
        </w:numPr>
        <w:tabs>
          <w:tab w:val="clear" w:pos="1800"/>
          <w:tab w:val="right" w:pos="900"/>
          <w:tab w:val="num" w:pos="1724"/>
          <w:tab w:val="num" w:pos="1843"/>
        </w:tabs>
        <w:spacing w:before="120" w:after="0" w:line="240" w:lineRule="auto"/>
        <w:ind w:left="851" w:firstLine="0"/>
        <w:jc w:val="both"/>
        <w:rPr>
          <w:rFonts w:ascii="Times New Roman" w:eastAsia="Times New Roman" w:hAnsi="Times New Roman" w:cs="Times New Roman"/>
          <w:bCs/>
          <w:lang w:eastAsia="hu-HU"/>
        </w:rPr>
      </w:pPr>
      <w:r w:rsidRPr="00415A43">
        <w:rPr>
          <w:rFonts w:ascii="Times New Roman" w:eastAsia="Times New Roman" w:hAnsi="Times New Roman" w:cs="Times New Roman"/>
          <w:bCs/>
          <w:lang w:eastAsia="hu-HU"/>
        </w:rPr>
        <w:t>Nappali munkarend: 28 (14 EA+ 0 SZ + 14 GY)</w:t>
      </w:r>
    </w:p>
    <w:p w:rsidR="00415A43" w:rsidRPr="00415A43" w:rsidRDefault="00415A43" w:rsidP="00980876">
      <w:pPr>
        <w:numPr>
          <w:ilvl w:val="2"/>
          <w:numId w:val="466"/>
        </w:numPr>
        <w:tabs>
          <w:tab w:val="clear" w:pos="1800"/>
          <w:tab w:val="right" w:pos="900"/>
          <w:tab w:val="num" w:pos="1724"/>
          <w:tab w:val="num" w:pos="1843"/>
        </w:tabs>
        <w:spacing w:before="120" w:after="0" w:line="240" w:lineRule="auto"/>
        <w:ind w:left="851" w:firstLine="0"/>
        <w:jc w:val="both"/>
        <w:rPr>
          <w:rFonts w:ascii="Times New Roman" w:eastAsia="Times New Roman" w:hAnsi="Times New Roman" w:cs="Times New Roman"/>
          <w:bCs/>
          <w:lang w:eastAsia="hu-HU"/>
        </w:rPr>
      </w:pPr>
      <w:r w:rsidRPr="00415A43">
        <w:rPr>
          <w:rFonts w:ascii="Times New Roman" w:eastAsia="Times New Roman" w:hAnsi="Times New Roman" w:cs="Times New Roman"/>
          <w:bCs/>
          <w:lang w:eastAsia="hu-HU"/>
        </w:rPr>
        <w:t>Levelező munkarend: -</w:t>
      </w:r>
    </w:p>
    <w:p w:rsidR="00415A43" w:rsidRPr="00415A43" w:rsidRDefault="00415A43" w:rsidP="00980876">
      <w:pPr>
        <w:numPr>
          <w:ilvl w:val="1"/>
          <w:numId w:val="466"/>
        </w:numPr>
        <w:tabs>
          <w:tab w:val="clear" w:pos="3977"/>
          <w:tab w:val="num" w:pos="1425"/>
        </w:tabs>
        <w:spacing w:before="120" w:after="120" w:line="240" w:lineRule="auto"/>
        <w:ind w:left="567" w:firstLine="0"/>
        <w:jc w:val="both"/>
        <w:rPr>
          <w:rFonts w:ascii="Times New Roman" w:eastAsia="Times New Roman" w:hAnsi="Times New Roman" w:cs="Times New Roman"/>
          <w:bCs/>
          <w:lang w:eastAsia="hu-HU"/>
        </w:rPr>
      </w:pPr>
      <w:r w:rsidRPr="00415A43">
        <w:rPr>
          <w:rFonts w:ascii="Times New Roman" w:eastAsia="Times New Roman" w:hAnsi="Times New Roman" w:cs="Times New Roman"/>
          <w:bCs/>
          <w:lang w:eastAsia="hu-HU"/>
        </w:rPr>
        <w:t>heti óraszám nappali munkarend: 2 (1 + 1)</w:t>
      </w:r>
    </w:p>
    <w:p w:rsidR="00415A43" w:rsidRPr="00415A43" w:rsidRDefault="00415A43" w:rsidP="00980876">
      <w:pPr>
        <w:numPr>
          <w:ilvl w:val="1"/>
          <w:numId w:val="466"/>
        </w:numPr>
        <w:tabs>
          <w:tab w:val="clear" w:pos="3977"/>
          <w:tab w:val="num" w:pos="1425"/>
        </w:tabs>
        <w:spacing w:before="120" w:after="120" w:line="240" w:lineRule="auto"/>
        <w:ind w:left="567" w:firstLine="0"/>
        <w:jc w:val="both"/>
        <w:rPr>
          <w:rFonts w:ascii="Times New Roman" w:eastAsia="Times New Roman" w:hAnsi="Times New Roman" w:cs="Times New Roman"/>
          <w:bCs/>
          <w:lang w:eastAsia="hu-HU"/>
        </w:rPr>
      </w:pPr>
      <w:r w:rsidRPr="00415A43">
        <w:rPr>
          <w:rFonts w:ascii="Times New Roman" w:eastAsia="Times New Roman" w:hAnsi="Times New Roman" w:cs="Times New Roman"/>
          <w:bCs/>
          <w:lang w:eastAsia="hu-HU"/>
        </w:rPr>
        <w:t>Az ismeret átadásában alkalmazandó további sajátos módok, jellemzők: vegyes tanulási program (blended learning)</w:t>
      </w:r>
    </w:p>
    <w:p w:rsidR="00415A43" w:rsidRPr="00415A43" w:rsidRDefault="00415A43" w:rsidP="00980876">
      <w:pPr>
        <w:numPr>
          <w:ilvl w:val="0"/>
          <w:numId w:val="466"/>
        </w:numPr>
        <w:tabs>
          <w:tab w:val="clear" w:pos="720"/>
          <w:tab w:val="center" w:pos="4536"/>
          <w:tab w:val="right" w:pos="9071"/>
        </w:tabs>
        <w:spacing w:before="120" w:after="0" w:line="240" w:lineRule="auto"/>
        <w:ind w:left="426" w:hanging="142"/>
        <w:jc w:val="both"/>
        <w:rPr>
          <w:rFonts w:ascii="Times New Roman" w:eastAsia="Times New Roman" w:hAnsi="Times New Roman" w:cs="Times New Roman"/>
          <w:lang w:eastAsia="hu-HU"/>
        </w:rPr>
      </w:pPr>
      <w:r w:rsidRPr="00415A43">
        <w:rPr>
          <w:rFonts w:ascii="Times New Roman" w:eastAsia="Times New Roman" w:hAnsi="Times New Roman" w:cs="Times New Roman"/>
          <w:b/>
          <w:bCs/>
          <w:lang w:eastAsia="hu-HU"/>
        </w:rPr>
        <w:t>A tantárgy szakmai tartalma (magyarul):</w:t>
      </w:r>
      <w:r w:rsidRPr="00415A43">
        <w:rPr>
          <w:rFonts w:ascii="CG Times (W1)" w:eastAsia="Times New Roman" w:hAnsi="CG Times (W1)" w:cs="Times New Roman"/>
          <w:b/>
          <w:bCs/>
          <w:lang w:eastAsia="hu-HU"/>
        </w:rPr>
        <w:t xml:space="preserve"> </w:t>
      </w:r>
      <w:r w:rsidRPr="00415A43">
        <w:rPr>
          <w:rFonts w:ascii="Times New Roman" w:eastAsia="Times New Roman" w:hAnsi="Times New Roman" w:cs="Times New Roman"/>
          <w:lang w:eastAsia="hu-HU"/>
        </w:rPr>
        <w:t>Lövészfegyverek rendszertana, Lövészfegyverek definíciói, felosztásuk, konstrukciós tulajdonságai, harcászati és m</w:t>
      </w:r>
      <w:r w:rsidRPr="00415A43">
        <w:rPr>
          <w:rFonts w:ascii="Times New Roman" w:eastAsia="Times New Roman" w:hAnsi="Times New Roman" w:cs="Times New Roman" w:hint="eastAsia"/>
          <w:lang w:eastAsia="hu-HU"/>
        </w:rPr>
        <w:t>ű</w:t>
      </w:r>
      <w:r w:rsidRPr="00415A43">
        <w:rPr>
          <w:rFonts w:ascii="Times New Roman" w:eastAsia="Times New Roman" w:hAnsi="Times New Roman" w:cs="Times New Roman"/>
          <w:lang w:eastAsia="hu-HU"/>
        </w:rPr>
        <w:t>szaki követelményei, alkalmazásuk, alapvet</w:t>
      </w:r>
      <w:r w:rsidRPr="00415A43">
        <w:rPr>
          <w:rFonts w:ascii="Times New Roman" w:eastAsia="Times New Roman" w:hAnsi="Times New Roman" w:cs="Times New Roman" w:hint="eastAsia"/>
          <w:lang w:eastAsia="hu-HU"/>
        </w:rPr>
        <w:t>ő</w:t>
      </w:r>
      <w:r w:rsidRPr="00415A43">
        <w:rPr>
          <w:rFonts w:ascii="Times New Roman" w:eastAsia="Times New Roman" w:hAnsi="Times New Roman" w:cs="Times New Roman"/>
          <w:lang w:eastAsia="hu-HU"/>
        </w:rPr>
        <w:t xml:space="preserve"> m</w:t>
      </w:r>
      <w:r w:rsidRPr="00415A43">
        <w:rPr>
          <w:rFonts w:ascii="Times New Roman" w:eastAsia="Times New Roman" w:hAnsi="Times New Roman" w:cs="Times New Roman" w:hint="eastAsia"/>
          <w:lang w:eastAsia="hu-HU"/>
        </w:rPr>
        <w:t>ű</w:t>
      </w:r>
      <w:r w:rsidRPr="00415A43">
        <w:rPr>
          <w:rFonts w:ascii="Times New Roman" w:eastAsia="Times New Roman" w:hAnsi="Times New Roman" w:cs="Times New Roman"/>
          <w:lang w:eastAsia="hu-HU"/>
        </w:rPr>
        <w:t>ködési elvei. Lövészfegyverek szerkezettana tárazás és tárelrendezés, zárak, zárolások elve, szilárdsági ellen</w:t>
      </w:r>
      <w:r w:rsidRPr="00415A43">
        <w:rPr>
          <w:rFonts w:ascii="Times New Roman" w:eastAsia="Times New Roman" w:hAnsi="Times New Roman" w:cs="Times New Roman" w:hint="eastAsia"/>
          <w:lang w:eastAsia="hu-HU"/>
        </w:rPr>
        <w:t>ő</w:t>
      </w:r>
      <w:r w:rsidRPr="00415A43">
        <w:rPr>
          <w:rFonts w:ascii="Times New Roman" w:eastAsia="Times New Roman" w:hAnsi="Times New Roman" w:cs="Times New Roman"/>
          <w:lang w:eastAsia="hu-HU"/>
        </w:rPr>
        <w:t>rzésük alapelvei. Lövészfegyverek szerkezeti felépítése, szerkezeti elemek rendeltetése, m</w:t>
      </w:r>
      <w:r w:rsidRPr="00415A43">
        <w:rPr>
          <w:rFonts w:ascii="Times New Roman" w:eastAsia="Times New Roman" w:hAnsi="Times New Roman" w:cs="Times New Roman" w:hint="eastAsia"/>
          <w:lang w:eastAsia="hu-HU"/>
        </w:rPr>
        <w:t>ű</w:t>
      </w:r>
      <w:r w:rsidRPr="00415A43">
        <w:rPr>
          <w:rFonts w:ascii="Times New Roman" w:eastAsia="Times New Roman" w:hAnsi="Times New Roman" w:cs="Times New Roman"/>
          <w:lang w:eastAsia="hu-HU"/>
        </w:rPr>
        <w:t>ködése. Lövészfegyverek l</w:t>
      </w:r>
      <w:r w:rsidRPr="00415A43">
        <w:rPr>
          <w:rFonts w:ascii="Times New Roman" w:eastAsia="Times New Roman" w:hAnsi="Times New Roman" w:cs="Times New Roman" w:hint="eastAsia"/>
          <w:lang w:eastAsia="hu-HU"/>
        </w:rPr>
        <w:t>ő</w:t>
      </w:r>
      <w:r w:rsidRPr="00415A43">
        <w:rPr>
          <w:rFonts w:ascii="Times New Roman" w:eastAsia="Times New Roman" w:hAnsi="Times New Roman" w:cs="Times New Roman"/>
          <w:lang w:eastAsia="hu-HU"/>
        </w:rPr>
        <w:t>szerei.</w:t>
      </w:r>
    </w:p>
    <w:p w:rsidR="00415A43" w:rsidRPr="00415A43" w:rsidRDefault="00415A43" w:rsidP="00415A43">
      <w:pPr>
        <w:tabs>
          <w:tab w:val="center" w:pos="4536"/>
          <w:tab w:val="right" w:pos="9071"/>
        </w:tabs>
        <w:spacing w:before="120" w:after="0" w:line="240" w:lineRule="auto"/>
        <w:ind w:left="426"/>
        <w:jc w:val="both"/>
        <w:rPr>
          <w:rFonts w:ascii="CG Times (W1)" w:eastAsia="Times New Roman" w:hAnsi="CG Times (W1)" w:cs="Times New Roman"/>
          <w:b/>
          <w:bCs/>
          <w:lang w:eastAsia="hu-HU"/>
        </w:rPr>
      </w:pPr>
      <w:r w:rsidRPr="00415A43">
        <w:rPr>
          <w:rFonts w:ascii="Times New Roman" w:eastAsia="Times New Roman" w:hAnsi="Times New Roman" w:cs="Times New Roman"/>
          <w:b/>
          <w:bCs/>
          <w:lang w:eastAsia="hu-HU"/>
        </w:rPr>
        <w:t>A tantárgy szakmai tartalma (angolul) (Course description):</w:t>
      </w:r>
      <w:r w:rsidRPr="00415A43">
        <w:rPr>
          <w:rFonts w:ascii="CG Times (W1)" w:eastAsia="Times New Roman" w:hAnsi="CG Times (W1)" w:cs="Times New Roman"/>
          <w:b/>
          <w:bCs/>
          <w:lang w:eastAsia="hu-HU"/>
        </w:rPr>
        <w:t xml:space="preserve"> </w:t>
      </w:r>
      <w:r w:rsidRPr="00415A43">
        <w:rPr>
          <w:rFonts w:ascii="CG Times (W1)" w:eastAsia="Times New Roman" w:hAnsi="CG Times (W1)" w:cs="Times New Roman"/>
          <w:lang w:eastAsia="hu-HU"/>
        </w:rPr>
        <w:t xml:space="preserve">Taxonomy of Small Arms, Definitions of Small Arms, their division, constructional properties, combat and technical </w:t>
      </w:r>
      <w:r w:rsidRPr="00415A43">
        <w:rPr>
          <w:rFonts w:ascii="Times New Roman" w:eastAsia="Times New Roman" w:hAnsi="Times New Roman" w:cs="Times New Roman"/>
          <w:lang w:eastAsia="hu-HU"/>
        </w:rPr>
        <w:t>requirements</w:t>
      </w:r>
      <w:r w:rsidRPr="00415A43">
        <w:rPr>
          <w:rFonts w:ascii="CG Times (W1)" w:eastAsia="Times New Roman" w:hAnsi="CG Times (W1)" w:cs="Times New Roman"/>
          <w:lang w:eastAsia="hu-HU"/>
        </w:rPr>
        <w:t>, their application, basic principles of operation. The structure of the firearms is the storage and storage arrangement, the principle of locks, the principles of their strength control. Structure of firearms, purpose and operation of structural elements. Ammunition for small arms.</w:t>
      </w:r>
    </w:p>
    <w:p w:rsidR="00415A43" w:rsidRDefault="00415A43" w:rsidP="00980876">
      <w:pPr>
        <w:numPr>
          <w:ilvl w:val="0"/>
          <w:numId w:val="466"/>
        </w:numPr>
        <w:tabs>
          <w:tab w:val="clear" w:pos="720"/>
          <w:tab w:val="center" w:pos="4536"/>
          <w:tab w:val="right" w:pos="9071"/>
        </w:tabs>
        <w:spacing w:before="120" w:after="120" w:line="240" w:lineRule="auto"/>
        <w:ind w:left="426" w:hanging="142"/>
        <w:jc w:val="both"/>
        <w:rPr>
          <w:rFonts w:ascii="CG Times (W1)" w:eastAsia="Times New Roman" w:hAnsi="CG Times (W1)" w:cs="Times New Roman"/>
          <w:b/>
          <w:bCs/>
          <w:lang w:eastAsia="hu-HU"/>
        </w:rPr>
      </w:pPr>
      <w:r w:rsidRPr="00415A43">
        <w:rPr>
          <w:rFonts w:ascii="Times New Roman" w:eastAsia="Times New Roman" w:hAnsi="Times New Roman" w:cs="Times New Roman"/>
          <w:b/>
          <w:bCs/>
          <w:lang w:eastAsia="hu-HU"/>
        </w:rPr>
        <w:t>Elérendő</w:t>
      </w:r>
      <w:r w:rsidRPr="00415A43">
        <w:rPr>
          <w:rFonts w:ascii="CG Times (W1)" w:eastAsia="Times New Roman" w:hAnsi="CG Times (W1)" w:cs="Times New Roman"/>
          <w:b/>
          <w:bCs/>
          <w:lang w:eastAsia="hu-HU"/>
        </w:rPr>
        <w:t xml:space="preserve"> kompetenciák (magyarul)</w:t>
      </w:r>
    </w:p>
    <w:p w:rsidR="00415A43" w:rsidRPr="003B3611" w:rsidRDefault="00415A43" w:rsidP="003B3611">
      <w:pPr>
        <w:tabs>
          <w:tab w:val="right" w:pos="900"/>
        </w:tabs>
        <w:spacing w:before="240" w:after="120" w:line="240" w:lineRule="auto"/>
        <w:ind w:left="646"/>
        <w:contextualSpacing/>
        <w:jc w:val="both"/>
        <w:rPr>
          <w:rFonts w:ascii="Times New Roman" w:eastAsia="Times New Roman" w:hAnsi="Times New Roman" w:cs="Times New Roman"/>
          <w:b/>
          <w:bCs/>
          <w:lang w:eastAsia="hu-HU"/>
        </w:rPr>
      </w:pPr>
      <w:r w:rsidRPr="003B3611">
        <w:rPr>
          <w:rFonts w:ascii="Times New Roman" w:eastAsia="Times New Roman" w:hAnsi="Times New Roman" w:cs="Times New Roman"/>
          <w:b/>
          <w:bCs/>
          <w:lang w:eastAsia="hu-HU"/>
        </w:rPr>
        <w:t>Tudása:</w:t>
      </w:r>
    </w:p>
    <w:p w:rsidR="00415A43" w:rsidRPr="00415A43" w:rsidRDefault="00415A43"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415A43">
        <w:rPr>
          <w:rFonts w:ascii="Times New Roman" w:eastAsia="Times New Roman" w:hAnsi="Times New Roman" w:cs="Times New Roman"/>
          <w:color w:val="000000"/>
          <w:lang w:eastAsia="hu-HU"/>
        </w:rPr>
        <w:t>Megfelelő műszaki alapokkal rendelkezik, amelyek biztosítják az új ismeretek elsajátítását.</w:t>
      </w:r>
    </w:p>
    <w:p w:rsidR="00415A43" w:rsidRPr="00415A43" w:rsidRDefault="00415A43"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415A43">
        <w:rPr>
          <w:rFonts w:ascii="Times New Roman" w:eastAsia="Times New Roman" w:hAnsi="Times New Roman" w:cs="Times New Roman"/>
          <w:color w:val="000000"/>
          <w:lang w:eastAsia="hu-HU"/>
        </w:rPr>
        <w:t>Ismeri a fegyverzettechnikai eszközök ellátáshoz és fenntartásához szükséges anyagok körét.</w:t>
      </w:r>
    </w:p>
    <w:p w:rsidR="00415A43" w:rsidRPr="00415A43" w:rsidRDefault="00415A43"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415A43">
        <w:rPr>
          <w:rFonts w:ascii="Times New Roman" w:eastAsia="Times New Roman" w:hAnsi="Times New Roman" w:cs="Times New Roman"/>
          <w:color w:val="000000"/>
          <w:lang w:eastAsia="hu-HU"/>
        </w:rPr>
        <w:t>Ismeri a szakfeladatainak ellátásához szükséges munkavédelmi rendszabályokat.</w:t>
      </w:r>
    </w:p>
    <w:p w:rsidR="00415A43" w:rsidRPr="00415A43" w:rsidRDefault="00415A43" w:rsidP="00980876">
      <w:pPr>
        <w:numPr>
          <w:ilvl w:val="0"/>
          <w:numId w:val="414"/>
        </w:numPr>
        <w:autoSpaceDE w:val="0"/>
        <w:autoSpaceDN w:val="0"/>
        <w:adjustRightInd w:val="0"/>
        <w:spacing w:after="120" w:line="240" w:lineRule="auto"/>
        <w:ind w:left="1003" w:hanging="357"/>
        <w:jc w:val="both"/>
        <w:rPr>
          <w:rFonts w:ascii="Times New Roman" w:eastAsia="Times New Roman" w:hAnsi="Times New Roman" w:cs="Times New Roman"/>
          <w:color w:val="000000"/>
          <w:lang w:eastAsia="hu-HU"/>
        </w:rPr>
      </w:pPr>
      <w:r w:rsidRPr="00415A43">
        <w:rPr>
          <w:rFonts w:ascii="Times New Roman" w:eastAsia="Times New Roman" w:hAnsi="Times New Roman" w:cs="Times New Roman"/>
          <w:color w:val="000000"/>
          <w:lang w:eastAsia="hu-HU"/>
        </w:rPr>
        <w:t>Megfelelő mélységű és spektrumú fegyverzettechnikai típusismerettel rendelkezik.</w:t>
      </w:r>
    </w:p>
    <w:p w:rsidR="00415A43" w:rsidRPr="003B3611" w:rsidRDefault="00415A43" w:rsidP="003B3611">
      <w:pPr>
        <w:tabs>
          <w:tab w:val="right" w:pos="900"/>
        </w:tabs>
        <w:spacing w:before="240" w:after="120" w:line="240" w:lineRule="auto"/>
        <w:ind w:left="646"/>
        <w:contextualSpacing/>
        <w:jc w:val="both"/>
        <w:rPr>
          <w:rFonts w:ascii="Times New Roman" w:eastAsia="Times New Roman" w:hAnsi="Times New Roman" w:cs="Times New Roman"/>
          <w:b/>
          <w:bCs/>
          <w:lang w:eastAsia="hu-HU"/>
        </w:rPr>
      </w:pPr>
      <w:r w:rsidRPr="003B3611">
        <w:rPr>
          <w:rFonts w:ascii="Times New Roman" w:eastAsia="Times New Roman" w:hAnsi="Times New Roman" w:cs="Times New Roman"/>
          <w:b/>
          <w:bCs/>
          <w:lang w:eastAsia="hu-HU"/>
        </w:rPr>
        <w:t>Képességei:</w:t>
      </w:r>
    </w:p>
    <w:p w:rsidR="00415A43" w:rsidRPr="00415A43" w:rsidRDefault="00415A43"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415A43">
        <w:rPr>
          <w:rFonts w:ascii="Times New Roman" w:eastAsia="Times New Roman" w:hAnsi="Times New Roman" w:cs="Times New Roman"/>
          <w:color w:val="000000"/>
          <w:lang w:eastAsia="hu-HU"/>
        </w:rPr>
        <w:t>Képes a szakterületén rendszeresített és használt berendezések és technikai eszközök használatának megszervezésére és hatékony alkalmazására.</w:t>
      </w:r>
    </w:p>
    <w:p w:rsidR="00415A43" w:rsidRPr="00415A43" w:rsidRDefault="00415A43" w:rsidP="00980876">
      <w:pPr>
        <w:numPr>
          <w:ilvl w:val="0"/>
          <w:numId w:val="414"/>
        </w:numPr>
        <w:autoSpaceDE w:val="0"/>
        <w:autoSpaceDN w:val="0"/>
        <w:adjustRightInd w:val="0"/>
        <w:spacing w:after="120" w:line="240" w:lineRule="auto"/>
        <w:ind w:left="1003" w:hanging="357"/>
        <w:jc w:val="both"/>
        <w:rPr>
          <w:rFonts w:ascii="Times New Roman" w:eastAsia="Times New Roman" w:hAnsi="Times New Roman" w:cs="Times New Roman"/>
          <w:color w:val="000000"/>
          <w:lang w:eastAsia="hu-HU"/>
        </w:rPr>
      </w:pPr>
      <w:r w:rsidRPr="00415A43">
        <w:rPr>
          <w:rFonts w:ascii="Times New Roman" w:eastAsia="Times New Roman" w:hAnsi="Times New Roman" w:cs="Times New Roman"/>
          <w:color w:val="000000"/>
          <w:lang w:eastAsia="hu-HU"/>
        </w:rPr>
        <w:lastRenderedPageBreak/>
        <w:t>Képes a megtanultakat felhasználva a szakterületén felmerülő új műszaki információkat megérteni és megtanulni.</w:t>
      </w:r>
    </w:p>
    <w:p w:rsidR="00415A43" w:rsidRPr="003B3611" w:rsidRDefault="00415A43" w:rsidP="003B3611">
      <w:pPr>
        <w:tabs>
          <w:tab w:val="right" w:pos="900"/>
        </w:tabs>
        <w:spacing w:before="240" w:after="120" w:line="240" w:lineRule="auto"/>
        <w:ind w:left="646"/>
        <w:contextualSpacing/>
        <w:jc w:val="both"/>
        <w:rPr>
          <w:rFonts w:ascii="Times New Roman" w:eastAsia="Times New Roman" w:hAnsi="Times New Roman" w:cs="Times New Roman"/>
          <w:b/>
          <w:bCs/>
          <w:lang w:eastAsia="hu-HU"/>
        </w:rPr>
      </w:pPr>
      <w:r w:rsidRPr="003B3611">
        <w:rPr>
          <w:rFonts w:ascii="Times New Roman" w:eastAsia="Times New Roman" w:hAnsi="Times New Roman" w:cs="Times New Roman"/>
          <w:b/>
          <w:bCs/>
          <w:lang w:eastAsia="hu-HU"/>
        </w:rPr>
        <w:t>Attitüdje:</w:t>
      </w:r>
    </w:p>
    <w:p w:rsidR="00415A43" w:rsidRPr="00415A43" w:rsidRDefault="00415A43"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415A43">
        <w:rPr>
          <w:rFonts w:ascii="Times New Roman" w:eastAsia="Times New Roman" w:hAnsi="Times New Roman" w:cs="Times New Roman"/>
          <w:color w:val="000000"/>
          <w:lang w:eastAsia="hu-HU"/>
        </w:rPr>
        <w:t>Nyitott a fegyverzettechnikával kapcsolatos szakmai ismereteinek gyarapítása iránt, folyamatos önképzési igény jellemzi.</w:t>
      </w:r>
    </w:p>
    <w:p w:rsidR="00415A43" w:rsidRPr="00415A43" w:rsidRDefault="00415A43" w:rsidP="00980876">
      <w:pPr>
        <w:numPr>
          <w:ilvl w:val="0"/>
          <w:numId w:val="414"/>
        </w:numPr>
        <w:autoSpaceDE w:val="0"/>
        <w:autoSpaceDN w:val="0"/>
        <w:adjustRightInd w:val="0"/>
        <w:spacing w:after="120" w:line="240" w:lineRule="auto"/>
        <w:ind w:left="1003" w:hanging="357"/>
        <w:jc w:val="both"/>
        <w:rPr>
          <w:rFonts w:ascii="Times New Roman" w:eastAsia="Times New Roman" w:hAnsi="Times New Roman" w:cs="Times New Roman"/>
          <w:color w:val="000000"/>
          <w:lang w:eastAsia="hu-HU"/>
        </w:rPr>
      </w:pPr>
      <w:r w:rsidRPr="00415A43">
        <w:rPr>
          <w:rFonts w:ascii="Times New Roman" w:eastAsia="Times New Roman" w:hAnsi="Times New Roman" w:cs="Times New Roman"/>
          <w:color w:val="000000"/>
          <w:lang w:eastAsia="hu-HU"/>
        </w:rPr>
        <w:t xml:space="preserve">Nyitott szakterülete új eredményei felé, törekszik azok megismerésére. </w:t>
      </w:r>
    </w:p>
    <w:p w:rsidR="00415A43" w:rsidRPr="003B3611" w:rsidRDefault="00415A43" w:rsidP="003B3611">
      <w:pPr>
        <w:tabs>
          <w:tab w:val="right" w:pos="900"/>
        </w:tabs>
        <w:spacing w:before="240" w:after="120" w:line="240" w:lineRule="auto"/>
        <w:ind w:left="646"/>
        <w:contextualSpacing/>
        <w:jc w:val="both"/>
        <w:rPr>
          <w:rFonts w:ascii="Times New Roman" w:eastAsia="Times New Roman" w:hAnsi="Times New Roman" w:cs="Times New Roman"/>
          <w:b/>
          <w:bCs/>
          <w:lang w:eastAsia="hu-HU"/>
        </w:rPr>
      </w:pPr>
      <w:r w:rsidRPr="003B3611">
        <w:rPr>
          <w:rFonts w:ascii="Times New Roman" w:eastAsia="Times New Roman" w:hAnsi="Times New Roman" w:cs="Times New Roman"/>
          <w:b/>
          <w:bCs/>
          <w:lang w:eastAsia="hu-HU"/>
        </w:rPr>
        <w:t>Autonómiája és felelőssége:</w:t>
      </w:r>
    </w:p>
    <w:p w:rsidR="00415A43" w:rsidRPr="00415A43" w:rsidRDefault="00415A43"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415A43">
        <w:rPr>
          <w:rFonts w:ascii="Times New Roman" w:eastAsia="Times New Roman" w:hAnsi="Times New Roman" w:cs="Times New Roman"/>
          <w:color w:val="000000"/>
          <w:lang w:eastAsia="hu-HU"/>
        </w:rPr>
        <w:t>Képes szakfeladatait önállóan végezni, saját munkáját hatékonyan megszervezni és végrehajtani.</w:t>
      </w:r>
    </w:p>
    <w:p w:rsidR="00415A43" w:rsidRPr="00415A43" w:rsidRDefault="00415A43"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415A43">
        <w:rPr>
          <w:rFonts w:ascii="Times New Roman" w:eastAsia="Times New Roman" w:hAnsi="Times New Roman" w:cs="Times New Roman"/>
          <w:color w:val="000000"/>
          <w:lang w:eastAsia="hu-HU"/>
        </w:rPr>
        <w:t>Együttműködés és felelősség jellemzi szakterületének szakembereivel szemben.</w:t>
      </w:r>
    </w:p>
    <w:p w:rsidR="00415A43" w:rsidRPr="00415A43" w:rsidRDefault="00415A43"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415A43">
        <w:rPr>
          <w:rFonts w:ascii="Times New Roman" w:eastAsia="Times New Roman" w:hAnsi="Times New Roman" w:cs="Times New Roman"/>
          <w:color w:val="000000"/>
          <w:lang w:eastAsia="hu-HU"/>
        </w:rPr>
        <w:t>Szakterületén belül képes rendszer-szemléletűen gondolkodni.</w:t>
      </w:r>
    </w:p>
    <w:p w:rsidR="00415A43" w:rsidRPr="00415A43" w:rsidRDefault="00415A43" w:rsidP="00415A43">
      <w:pPr>
        <w:autoSpaceDE w:val="0"/>
        <w:autoSpaceDN w:val="0"/>
        <w:adjustRightInd w:val="0"/>
        <w:spacing w:before="240" w:after="0" w:line="240" w:lineRule="auto"/>
        <w:ind w:left="644"/>
        <w:jc w:val="both"/>
        <w:rPr>
          <w:rFonts w:ascii="Times New Roman" w:eastAsia="Times New Roman" w:hAnsi="Times New Roman" w:cs="Times New Roman"/>
          <w:b/>
          <w:bCs/>
          <w:color w:val="000000"/>
          <w:lang w:eastAsia="hu-HU"/>
        </w:rPr>
      </w:pPr>
      <w:r w:rsidRPr="00415A43">
        <w:rPr>
          <w:rFonts w:ascii="Times New Roman" w:eastAsia="Times New Roman" w:hAnsi="Times New Roman" w:cs="Times New Roman"/>
          <w:b/>
          <w:bCs/>
          <w:color w:val="000000"/>
          <w:lang w:eastAsia="hu-HU"/>
        </w:rPr>
        <w:t>Elérendő kompetenciák (angolul):</w:t>
      </w:r>
    </w:p>
    <w:p w:rsidR="00415A43" w:rsidRPr="00415A43" w:rsidRDefault="00415A43" w:rsidP="00415A43">
      <w:pPr>
        <w:tabs>
          <w:tab w:val="right" w:pos="900"/>
        </w:tabs>
        <w:spacing w:before="120" w:after="120" w:line="240" w:lineRule="auto"/>
        <w:ind w:left="646"/>
        <w:contextualSpacing/>
        <w:jc w:val="both"/>
        <w:rPr>
          <w:rFonts w:ascii="Times New Roman" w:eastAsia="Times New Roman" w:hAnsi="Times New Roman" w:cs="Times New Roman"/>
          <w:bCs/>
          <w:lang w:eastAsia="hu-HU"/>
        </w:rPr>
      </w:pPr>
      <w:r w:rsidRPr="00415A43">
        <w:rPr>
          <w:rFonts w:ascii="Times New Roman" w:eastAsia="Times New Roman" w:hAnsi="Times New Roman" w:cs="Times New Roman"/>
          <w:b/>
          <w:bCs/>
          <w:lang w:eastAsia="hu-HU"/>
        </w:rPr>
        <w:t>Knowledge:</w:t>
      </w:r>
    </w:p>
    <w:p w:rsidR="00415A43" w:rsidRPr="00415A43" w:rsidRDefault="00415A43"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415A43">
        <w:rPr>
          <w:rFonts w:ascii="Times New Roman" w:eastAsia="Times New Roman" w:hAnsi="Times New Roman" w:cs="Times New Roman"/>
          <w:color w:val="000000"/>
          <w:lang w:eastAsia="hu-HU"/>
        </w:rPr>
        <w:t>Possesses adequate basic engineering knowledge which enables the acquirement of new knowledge.</w:t>
      </w:r>
    </w:p>
    <w:p w:rsidR="00415A43" w:rsidRPr="00415A43" w:rsidRDefault="00415A43"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415A43">
        <w:rPr>
          <w:rFonts w:ascii="Times New Roman" w:eastAsia="Times New Roman" w:hAnsi="Times New Roman" w:cs="Times New Roman"/>
          <w:color w:val="000000"/>
          <w:lang w:eastAsia="hu-HU"/>
        </w:rPr>
        <w:t>Knows the range of materials required for the maintenance of the weapon.</w:t>
      </w:r>
    </w:p>
    <w:p w:rsidR="00415A43" w:rsidRPr="00415A43" w:rsidRDefault="00415A43"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415A43">
        <w:rPr>
          <w:rFonts w:ascii="Times New Roman" w:eastAsia="Times New Roman" w:hAnsi="Times New Roman" w:cs="Times New Roman"/>
          <w:color w:val="000000"/>
          <w:lang w:eastAsia="hu-HU"/>
        </w:rPr>
        <w:t>Knows the work safety regulations required for fulfilling his/her professional tasks.</w:t>
      </w:r>
    </w:p>
    <w:p w:rsidR="00415A43" w:rsidRPr="00415A43" w:rsidRDefault="00415A43" w:rsidP="00980876">
      <w:pPr>
        <w:numPr>
          <w:ilvl w:val="0"/>
          <w:numId w:val="414"/>
        </w:numPr>
        <w:autoSpaceDE w:val="0"/>
        <w:autoSpaceDN w:val="0"/>
        <w:adjustRightInd w:val="0"/>
        <w:spacing w:after="120" w:line="240" w:lineRule="auto"/>
        <w:ind w:left="1003" w:hanging="357"/>
        <w:jc w:val="both"/>
        <w:rPr>
          <w:rFonts w:ascii="Times New Roman" w:eastAsia="Times New Roman" w:hAnsi="Times New Roman" w:cs="Times New Roman"/>
          <w:color w:val="000000"/>
          <w:lang w:eastAsia="hu-HU"/>
        </w:rPr>
      </w:pPr>
      <w:r w:rsidRPr="00415A43">
        <w:rPr>
          <w:rFonts w:ascii="Times New Roman" w:eastAsia="Times New Roman" w:hAnsi="Times New Roman" w:cs="Times New Roman"/>
          <w:color w:val="000000"/>
          <w:lang w:eastAsia="hu-HU"/>
        </w:rPr>
        <w:t>Possesses knowledge of adequate depth and spectrum regarding weapon types.</w:t>
      </w:r>
    </w:p>
    <w:p w:rsidR="00415A43" w:rsidRPr="00415A43" w:rsidRDefault="00415A43" w:rsidP="00415A43">
      <w:pPr>
        <w:tabs>
          <w:tab w:val="right" w:pos="900"/>
        </w:tabs>
        <w:spacing w:before="120" w:after="120" w:line="240" w:lineRule="auto"/>
        <w:ind w:left="646"/>
        <w:contextualSpacing/>
        <w:jc w:val="both"/>
        <w:rPr>
          <w:rFonts w:ascii="Times New Roman" w:eastAsia="Times New Roman" w:hAnsi="Times New Roman" w:cs="Times New Roman"/>
          <w:b/>
          <w:bCs/>
          <w:lang w:eastAsia="hu-HU"/>
        </w:rPr>
      </w:pPr>
      <w:r w:rsidRPr="00415A43">
        <w:rPr>
          <w:rFonts w:ascii="Times New Roman" w:eastAsia="Times New Roman" w:hAnsi="Times New Roman" w:cs="Times New Roman"/>
          <w:b/>
          <w:bCs/>
          <w:lang w:eastAsia="hu-HU"/>
        </w:rPr>
        <w:t>Capabilities:</w:t>
      </w:r>
    </w:p>
    <w:p w:rsidR="00415A43" w:rsidRPr="00415A43" w:rsidRDefault="00415A43"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415A43">
        <w:rPr>
          <w:rFonts w:ascii="Times New Roman" w:eastAsia="Times New Roman" w:hAnsi="Times New Roman" w:cs="Times New Roman"/>
          <w:color w:val="000000"/>
          <w:lang w:eastAsia="hu-HU"/>
        </w:rPr>
        <w:t>Is capable of organizing and efficiently utilizing the usage of the equipment and technical appliances applied in his/her respective specialty field.</w:t>
      </w:r>
    </w:p>
    <w:p w:rsidR="00415A43" w:rsidRPr="00415A43" w:rsidRDefault="00415A43" w:rsidP="00980876">
      <w:pPr>
        <w:numPr>
          <w:ilvl w:val="0"/>
          <w:numId w:val="414"/>
        </w:numPr>
        <w:autoSpaceDE w:val="0"/>
        <w:autoSpaceDN w:val="0"/>
        <w:adjustRightInd w:val="0"/>
        <w:spacing w:after="120" w:line="240" w:lineRule="auto"/>
        <w:ind w:left="1003" w:hanging="357"/>
        <w:jc w:val="both"/>
        <w:rPr>
          <w:rFonts w:ascii="Times New Roman" w:eastAsia="Times New Roman" w:hAnsi="Times New Roman" w:cs="Times New Roman"/>
          <w:color w:val="000000"/>
          <w:lang w:eastAsia="hu-HU"/>
        </w:rPr>
      </w:pPr>
      <w:r w:rsidRPr="00415A43">
        <w:rPr>
          <w:rFonts w:ascii="Times New Roman" w:eastAsia="Times New Roman" w:hAnsi="Times New Roman" w:cs="Times New Roman"/>
          <w:color w:val="000000"/>
          <w:lang w:eastAsia="hu-HU"/>
        </w:rPr>
        <w:t>Is capable of acqiring the understaning of new engineering information arising in his/her field of specialty using the already gained knowldge.</w:t>
      </w:r>
    </w:p>
    <w:p w:rsidR="00415A43" w:rsidRPr="00415A43" w:rsidRDefault="00415A43" w:rsidP="00415A43">
      <w:pPr>
        <w:tabs>
          <w:tab w:val="right" w:pos="900"/>
        </w:tabs>
        <w:spacing w:before="120" w:after="120" w:line="240" w:lineRule="auto"/>
        <w:ind w:left="646"/>
        <w:contextualSpacing/>
        <w:jc w:val="both"/>
        <w:rPr>
          <w:rFonts w:ascii="Times New Roman" w:eastAsia="Times New Roman" w:hAnsi="Times New Roman" w:cs="Times New Roman"/>
          <w:b/>
          <w:bCs/>
          <w:lang w:eastAsia="hu-HU"/>
        </w:rPr>
      </w:pPr>
      <w:r w:rsidRPr="00415A43">
        <w:rPr>
          <w:rFonts w:ascii="Times New Roman" w:eastAsia="Times New Roman" w:hAnsi="Times New Roman" w:cs="Times New Roman"/>
          <w:b/>
          <w:bCs/>
          <w:lang w:eastAsia="hu-HU"/>
        </w:rPr>
        <w:t>Attitude:</w:t>
      </w:r>
    </w:p>
    <w:p w:rsidR="00415A43" w:rsidRPr="00415A43" w:rsidRDefault="00415A43"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415A43">
        <w:rPr>
          <w:rFonts w:ascii="Times New Roman" w:eastAsia="Times New Roman" w:hAnsi="Times New Roman" w:cs="Times New Roman"/>
          <w:color w:val="000000"/>
          <w:lang w:eastAsia="hu-HU"/>
        </w:rPr>
        <w:t>He/she is open to widen his/her knowledge regarding weapons and has a constant need for self-education.</w:t>
      </w:r>
    </w:p>
    <w:p w:rsidR="00415A43" w:rsidRPr="00415A43" w:rsidRDefault="00415A43" w:rsidP="00980876">
      <w:pPr>
        <w:numPr>
          <w:ilvl w:val="0"/>
          <w:numId w:val="414"/>
        </w:numPr>
        <w:autoSpaceDE w:val="0"/>
        <w:autoSpaceDN w:val="0"/>
        <w:adjustRightInd w:val="0"/>
        <w:spacing w:after="120" w:line="240" w:lineRule="auto"/>
        <w:ind w:left="1003" w:hanging="357"/>
        <w:jc w:val="both"/>
        <w:rPr>
          <w:rFonts w:ascii="Times New Roman" w:eastAsia="Times New Roman" w:hAnsi="Times New Roman" w:cs="Times New Roman"/>
          <w:color w:val="000000"/>
          <w:lang w:eastAsia="hu-HU"/>
        </w:rPr>
      </w:pPr>
      <w:r w:rsidRPr="00415A43">
        <w:rPr>
          <w:rFonts w:ascii="Times New Roman" w:eastAsia="Times New Roman" w:hAnsi="Times New Roman" w:cs="Times New Roman"/>
          <w:color w:val="000000"/>
          <w:lang w:eastAsia="hu-HU"/>
        </w:rPr>
        <w:t>He/she is open towards the new accomplishments of military technology and aims to gain knowledge of these.</w:t>
      </w:r>
    </w:p>
    <w:p w:rsidR="00415A43" w:rsidRPr="00415A43" w:rsidRDefault="00415A43" w:rsidP="00415A43">
      <w:pPr>
        <w:tabs>
          <w:tab w:val="right" w:pos="900"/>
        </w:tabs>
        <w:spacing w:before="120" w:after="0" w:line="240" w:lineRule="auto"/>
        <w:ind w:left="644"/>
        <w:contextualSpacing/>
        <w:jc w:val="both"/>
        <w:rPr>
          <w:rFonts w:ascii="Times New Roman" w:eastAsia="Times New Roman" w:hAnsi="Times New Roman" w:cs="Times New Roman"/>
          <w:bCs/>
          <w:lang w:eastAsia="hu-HU"/>
        </w:rPr>
      </w:pPr>
      <w:r w:rsidRPr="00415A43">
        <w:rPr>
          <w:rFonts w:ascii="Times New Roman" w:eastAsia="Times New Roman" w:hAnsi="Times New Roman" w:cs="Times New Roman"/>
          <w:b/>
          <w:bCs/>
          <w:lang w:eastAsia="hu-HU"/>
        </w:rPr>
        <w:t>Autonomy and responsibility</w:t>
      </w:r>
    </w:p>
    <w:p w:rsidR="00415A43" w:rsidRPr="00415A43" w:rsidRDefault="00415A43"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415A43">
        <w:rPr>
          <w:rFonts w:ascii="Times New Roman" w:eastAsia="Times New Roman" w:hAnsi="Times New Roman" w:cs="Times New Roman"/>
          <w:color w:val="000000"/>
          <w:lang w:eastAsia="hu-HU"/>
        </w:rPr>
        <w:t>Is capable of independently fulfilling his/her professional tasks as well as effectively organizing and executing his/her own work.</w:t>
      </w:r>
    </w:p>
    <w:p w:rsidR="00415A43" w:rsidRPr="00415A43" w:rsidRDefault="00415A43" w:rsidP="00980876">
      <w:pPr>
        <w:numPr>
          <w:ilvl w:val="0"/>
          <w:numId w:val="414"/>
        </w:numPr>
        <w:autoSpaceDE w:val="0"/>
        <w:autoSpaceDN w:val="0"/>
        <w:adjustRightInd w:val="0"/>
        <w:spacing w:after="0" w:line="240" w:lineRule="auto"/>
        <w:ind w:left="1003" w:hanging="357"/>
        <w:jc w:val="both"/>
        <w:rPr>
          <w:rFonts w:ascii="Times New Roman" w:eastAsia="Times New Roman" w:hAnsi="Times New Roman" w:cs="Times New Roman"/>
          <w:color w:val="000000"/>
          <w:lang w:eastAsia="hu-HU"/>
        </w:rPr>
      </w:pPr>
      <w:r w:rsidRPr="00415A43">
        <w:rPr>
          <w:rFonts w:ascii="Times New Roman" w:eastAsia="Times New Roman" w:hAnsi="Times New Roman" w:cs="Times New Roman"/>
          <w:color w:val="000000"/>
          <w:lang w:eastAsia="hu-HU"/>
        </w:rPr>
        <w:t>He/she is cooperative and responsible towards the professionals of his/her field. Is capable of thinking in a system approach within his/her own field.</w:t>
      </w:r>
    </w:p>
    <w:p w:rsidR="00415A43" w:rsidRPr="00415A43" w:rsidRDefault="00415A43" w:rsidP="00980876">
      <w:pPr>
        <w:numPr>
          <w:ilvl w:val="0"/>
          <w:numId w:val="466"/>
        </w:numPr>
        <w:tabs>
          <w:tab w:val="clear" w:pos="720"/>
          <w:tab w:val="center" w:pos="4536"/>
          <w:tab w:val="right" w:pos="9071"/>
        </w:tabs>
        <w:spacing w:before="120" w:after="0" w:line="240" w:lineRule="auto"/>
        <w:ind w:left="426" w:hanging="142"/>
        <w:jc w:val="both"/>
        <w:rPr>
          <w:rFonts w:ascii="Times New Roman" w:eastAsia="Times New Roman" w:hAnsi="Times New Roman" w:cs="Times New Roman"/>
          <w:bCs/>
          <w:lang w:eastAsia="hu-HU"/>
        </w:rPr>
      </w:pPr>
      <w:r w:rsidRPr="00415A43">
        <w:rPr>
          <w:rFonts w:ascii="Times New Roman" w:eastAsia="Times New Roman" w:hAnsi="Times New Roman" w:cs="Times New Roman"/>
          <w:b/>
          <w:bCs/>
          <w:lang w:eastAsia="hu-HU"/>
        </w:rPr>
        <w:t xml:space="preserve">Előtanulmányi kötelezettségek:  - </w:t>
      </w:r>
    </w:p>
    <w:p w:rsidR="00415A43" w:rsidRPr="00415A43" w:rsidRDefault="00415A43" w:rsidP="00980876">
      <w:pPr>
        <w:numPr>
          <w:ilvl w:val="0"/>
          <w:numId w:val="466"/>
        </w:numPr>
        <w:tabs>
          <w:tab w:val="clear" w:pos="720"/>
          <w:tab w:val="center" w:pos="4536"/>
          <w:tab w:val="right" w:pos="9071"/>
        </w:tabs>
        <w:spacing w:before="120" w:after="0" w:line="240" w:lineRule="auto"/>
        <w:ind w:left="426" w:hanging="142"/>
        <w:jc w:val="both"/>
        <w:rPr>
          <w:rFonts w:ascii="Times New Roman" w:eastAsia="Times New Roman" w:hAnsi="Times New Roman" w:cs="Times New Roman"/>
          <w:b/>
          <w:lang w:eastAsia="hu-HU"/>
        </w:rPr>
      </w:pPr>
      <w:r w:rsidRPr="00415A43">
        <w:rPr>
          <w:rFonts w:ascii="Times New Roman" w:eastAsia="Times New Roman" w:hAnsi="Times New Roman" w:cs="Times New Roman"/>
          <w:b/>
          <w:lang w:eastAsia="hu-HU"/>
        </w:rPr>
        <w:t xml:space="preserve">A </w:t>
      </w:r>
      <w:r w:rsidRPr="00415A43">
        <w:rPr>
          <w:rFonts w:ascii="Times New Roman" w:eastAsia="Times New Roman" w:hAnsi="Times New Roman" w:cs="Times New Roman"/>
          <w:b/>
          <w:bCs/>
          <w:lang w:eastAsia="hu-HU"/>
        </w:rPr>
        <w:t>tantárgy</w:t>
      </w:r>
      <w:r w:rsidRPr="00415A43">
        <w:rPr>
          <w:rFonts w:ascii="Times New Roman" w:eastAsia="Times New Roman" w:hAnsi="Times New Roman" w:cs="Times New Roman"/>
          <w:b/>
          <w:lang w:eastAsia="hu-HU"/>
        </w:rPr>
        <w:t xml:space="preserve"> tananyagának leírása: (tematika): </w:t>
      </w:r>
    </w:p>
    <w:p w:rsidR="00415A43" w:rsidRPr="00415A43" w:rsidRDefault="00415A43" w:rsidP="00980876">
      <w:pPr>
        <w:numPr>
          <w:ilvl w:val="1"/>
          <w:numId w:val="466"/>
        </w:numPr>
        <w:tabs>
          <w:tab w:val="clear" w:pos="3977"/>
          <w:tab w:val="num" w:pos="1425"/>
        </w:tabs>
        <w:spacing w:before="60" w:after="0" w:line="240" w:lineRule="auto"/>
        <w:ind w:left="1134" w:hanging="567"/>
        <w:jc w:val="both"/>
        <w:rPr>
          <w:rFonts w:ascii="Times New Roman" w:eastAsia="Times New Roman" w:hAnsi="Times New Roman" w:cs="Times New Roman"/>
          <w:bCs/>
          <w:i/>
          <w:lang w:eastAsia="hu-HU"/>
        </w:rPr>
      </w:pPr>
      <w:r w:rsidRPr="00415A43">
        <w:rPr>
          <w:rFonts w:ascii="Times New Roman" w:eastAsia="Times New Roman" w:hAnsi="Times New Roman" w:cs="Times New Roman"/>
          <w:lang w:eastAsia="hu-HU"/>
        </w:rPr>
        <w:t xml:space="preserve">Lövészfegyverek definíciói és elvei: felosztásuk </w:t>
      </w:r>
      <w:r w:rsidRPr="00415A43">
        <w:rPr>
          <w:rFonts w:ascii="Times New Roman" w:eastAsia="Times New Roman" w:hAnsi="Times New Roman" w:cs="Times New Roman"/>
          <w:i/>
          <w:lang w:eastAsia="hu-HU"/>
        </w:rPr>
        <w:t>(Definitions and principles of firearms: their division)</w:t>
      </w:r>
    </w:p>
    <w:p w:rsidR="00415A43" w:rsidRPr="00415A43" w:rsidRDefault="00415A43" w:rsidP="00980876">
      <w:pPr>
        <w:numPr>
          <w:ilvl w:val="1"/>
          <w:numId w:val="466"/>
        </w:numPr>
        <w:tabs>
          <w:tab w:val="clear" w:pos="3977"/>
          <w:tab w:val="num" w:pos="1425"/>
        </w:tabs>
        <w:spacing w:before="60" w:after="0" w:line="240" w:lineRule="auto"/>
        <w:ind w:left="1134" w:hanging="567"/>
        <w:jc w:val="both"/>
        <w:rPr>
          <w:rFonts w:ascii="Times New Roman" w:eastAsia="Times New Roman" w:hAnsi="Times New Roman" w:cs="Times New Roman"/>
          <w:bCs/>
          <w:i/>
          <w:lang w:eastAsia="hu-HU"/>
        </w:rPr>
      </w:pPr>
      <w:r w:rsidRPr="00415A43">
        <w:rPr>
          <w:rFonts w:ascii="Times New Roman" w:eastAsia="Times New Roman" w:hAnsi="Times New Roman" w:cs="Times New Roman"/>
          <w:lang w:eastAsia="hu-HU"/>
        </w:rPr>
        <w:t xml:space="preserve">Lövészfegyverek konstrukciós tulajdonságai, harcászati és műszaki követelményei, alkalmazásuk. </w:t>
      </w:r>
      <w:r w:rsidRPr="00415A43">
        <w:rPr>
          <w:rFonts w:ascii="Times New Roman" w:eastAsia="Times New Roman" w:hAnsi="Times New Roman" w:cs="Times New Roman"/>
          <w:i/>
          <w:lang w:eastAsia="hu-HU"/>
        </w:rPr>
        <w:t>(Constructional features, tactical and technical requirements of firearms, their application.)</w:t>
      </w:r>
    </w:p>
    <w:p w:rsidR="00415A43" w:rsidRPr="00415A43" w:rsidRDefault="00415A43" w:rsidP="00980876">
      <w:pPr>
        <w:numPr>
          <w:ilvl w:val="1"/>
          <w:numId w:val="466"/>
        </w:numPr>
        <w:tabs>
          <w:tab w:val="clear" w:pos="3977"/>
          <w:tab w:val="num" w:pos="1425"/>
        </w:tabs>
        <w:spacing w:before="60" w:after="0" w:line="240" w:lineRule="auto"/>
        <w:ind w:left="1134" w:hanging="567"/>
        <w:jc w:val="both"/>
        <w:rPr>
          <w:rFonts w:ascii="Times New Roman" w:eastAsia="Times New Roman" w:hAnsi="Times New Roman" w:cs="Times New Roman"/>
          <w:bCs/>
          <w:i/>
          <w:lang w:eastAsia="hu-HU"/>
        </w:rPr>
      </w:pPr>
      <w:r w:rsidRPr="00415A43">
        <w:rPr>
          <w:rFonts w:ascii="Times New Roman" w:eastAsia="Times New Roman" w:hAnsi="Times New Roman" w:cs="Times New Roman"/>
          <w:lang w:eastAsia="hu-HU"/>
        </w:rPr>
        <w:t xml:space="preserve">Alapvető működési elveik, tárazásuk és tárelrendezésük. </w:t>
      </w:r>
      <w:r w:rsidRPr="00415A43">
        <w:rPr>
          <w:rFonts w:ascii="Times New Roman" w:eastAsia="Times New Roman" w:hAnsi="Times New Roman" w:cs="Times New Roman"/>
          <w:i/>
          <w:lang w:eastAsia="hu-HU"/>
        </w:rPr>
        <w:t>(Their basic operating principles, storage and storage.)</w:t>
      </w:r>
    </w:p>
    <w:p w:rsidR="00415A43" w:rsidRPr="00415A43" w:rsidRDefault="00415A43" w:rsidP="00980876">
      <w:pPr>
        <w:numPr>
          <w:ilvl w:val="1"/>
          <w:numId w:val="466"/>
        </w:numPr>
        <w:tabs>
          <w:tab w:val="clear" w:pos="3977"/>
          <w:tab w:val="num" w:pos="1425"/>
        </w:tabs>
        <w:spacing w:before="60" w:after="0" w:line="240" w:lineRule="auto"/>
        <w:ind w:left="1134" w:hanging="567"/>
        <w:jc w:val="both"/>
        <w:rPr>
          <w:rFonts w:ascii="Times New Roman" w:eastAsia="Times New Roman" w:hAnsi="Times New Roman" w:cs="Times New Roman"/>
          <w:bCs/>
          <w:lang w:eastAsia="hu-HU"/>
        </w:rPr>
      </w:pPr>
      <w:r w:rsidRPr="00415A43">
        <w:rPr>
          <w:rFonts w:ascii="Times New Roman" w:eastAsia="Times New Roman" w:hAnsi="Times New Roman" w:cs="Times New Roman"/>
          <w:lang w:eastAsia="hu-HU"/>
        </w:rPr>
        <w:t xml:space="preserve">Lövészfegyverek rendszertana. </w:t>
      </w:r>
      <w:r w:rsidRPr="00415A43">
        <w:rPr>
          <w:rFonts w:ascii="Times New Roman" w:eastAsia="Times New Roman" w:hAnsi="Times New Roman" w:cs="Times New Roman"/>
          <w:i/>
          <w:lang w:eastAsia="hu-HU"/>
        </w:rPr>
        <w:t>(Taxonomy of firearms.)</w:t>
      </w:r>
    </w:p>
    <w:p w:rsidR="00415A43" w:rsidRPr="00415A43" w:rsidRDefault="00415A43" w:rsidP="00980876">
      <w:pPr>
        <w:numPr>
          <w:ilvl w:val="1"/>
          <w:numId w:val="466"/>
        </w:numPr>
        <w:tabs>
          <w:tab w:val="clear" w:pos="3977"/>
          <w:tab w:val="num" w:pos="1425"/>
        </w:tabs>
        <w:spacing w:before="60" w:after="0" w:line="240" w:lineRule="auto"/>
        <w:ind w:left="1134" w:hanging="567"/>
        <w:jc w:val="both"/>
        <w:rPr>
          <w:rFonts w:ascii="Times New Roman" w:eastAsia="Times New Roman" w:hAnsi="Times New Roman" w:cs="Times New Roman"/>
          <w:i/>
          <w:lang w:eastAsia="hu-HU"/>
        </w:rPr>
      </w:pPr>
      <w:r w:rsidRPr="00415A43">
        <w:rPr>
          <w:rFonts w:ascii="Times New Roman" w:eastAsia="Times New Roman" w:hAnsi="Times New Roman" w:cs="Times New Roman"/>
          <w:lang w:eastAsia="hu-HU"/>
        </w:rPr>
        <w:t>Lövészfegyverek szerkezeti felépítése</w:t>
      </w:r>
      <w:r w:rsidRPr="00415A43">
        <w:rPr>
          <w:rFonts w:ascii="Times New Roman" w:eastAsia="Times New Roman" w:hAnsi="Times New Roman" w:cs="Times New Roman"/>
          <w:i/>
          <w:lang w:eastAsia="hu-HU"/>
        </w:rPr>
        <w:t>. (Structure of firearms.)</w:t>
      </w:r>
    </w:p>
    <w:p w:rsidR="00415A43" w:rsidRPr="00415A43" w:rsidRDefault="00415A43" w:rsidP="00980876">
      <w:pPr>
        <w:numPr>
          <w:ilvl w:val="1"/>
          <w:numId w:val="466"/>
        </w:numPr>
        <w:tabs>
          <w:tab w:val="clear" w:pos="3977"/>
          <w:tab w:val="num" w:pos="1425"/>
        </w:tabs>
        <w:spacing w:before="60" w:after="0" w:line="240" w:lineRule="auto"/>
        <w:ind w:left="1134" w:hanging="567"/>
        <w:jc w:val="both"/>
        <w:rPr>
          <w:rFonts w:ascii="Times New Roman" w:eastAsia="Times New Roman" w:hAnsi="Times New Roman" w:cs="Times New Roman"/>
          <w:i/>
          <w:lang w:eastAsia="hu-HU"/>
        </w:rPr>
      </w:pPr>
      <w:r w:rsidRPr="00415A43">
        <w:rPr>
          <w:rFonts w:ascii="Times New Roman" w:eastAsia="Times New Roman" w:hAnsi="Times New Roman" w:cs="Times New Roman"/>
          <w:lang w:eastAsia="hu-HU"/>
        </w:rPr>
        <w:t xml:space="preserve">Szerkezeti elemek rendeltetése, működése. </w:t>
      </w:r>
      <w:r w:rsidRPr="00415A43">
        <w:rPr>
          <w:rFonts w:ascii="Times New Roman" w:eastAsia="Times New Roman" w:hAnsi="Times New Roman" w:cs="Times New Roman"/>
          <w:i/>
          <w:lang w:eastAsia="hu-HU"/>
        </w:rPr>
        <w:t>(Purpose and function of structural elements.)</w:t>
      </w:r>
    </w:p>
    <w:p w:rsidR="00415A43" w:rsidRPr="00415A43" w:rsidRDefault="00415A43" w:rsidP="00980876">
      <w:pPr>
        <w:numPr>
          <w:ilvl w:val="1"/>
          <w:numId w:val="466"/>
        </w:numPr>
        <w:tabs>
          <w:tab w:val="clear" w:pos="3977"/>
          <w:tab w:val="num" w:pos="1425"/>
        </w:tabs>
        <w:spacing w:before="60" w:after="0" w:line="240" w:lineRule="auto"/>
        <w:ind w:left="1134" w:hanging="567"/>
        <w:jc w:val="both"/>
        <w:rPr>
          <w:rFonts w:ascii="Times New Roman" w:eastAsia="Times New Roman" w:hAnsi="Times New Roman" w:cs="Times New Roman"/>
          <w:i/>
          <w:lang w:eastAsia="hu-HU"/>
        </w:rPr>
      </w:pPr>
      <w:r w:rsidRPr="00415A43">
        <w:rPr>
          <w:rFonts w:ascii="Times New Roman" w:eastAsia="Times New Roman" w:hAnsi="Times New Roman" w:cs="Times New Roman"/>
          <w:lang w:eastAsia="hu-HU"/>
        </w:rPr>
        <w:t xml:space="preserve">Szerkezeti elemek megvalósítási formái. </w:t>
      </w:r>
      <w:r w:rsidRPr="00415A43">
        <w:rPr>
          <w:rFonts w:ascii="Times New Roman" w:eastAsia="Times New Roman" w:hAnsi="Times New Roman" w:cs="Times New Roman"/>
          <w:i/>
          <w:lang w:eastAsia="hu-HU"/>
        </w:rPr>
        <w:t>(Structure of firearms, purpose and operation of structural elements. Embodiments of structural elements.)</w:t>
      </w:r>
    </w:p>
    <w:p w:rsidR="00415A43" w:rsidRPr="00415A43" w:rsidRDefault="00415A43" w:rsidP="00980876">
      <w:pPr>
        <w:numPr>
          <w:ilvl w:val="1"/>
          <w:numId w:val="466"/>
        </w:numPr>
        <w:tabs>
          <w:tab w:val="clear" w:pos="3977"/>
          <w:tab w:val="num" w:pos="1425"/>
        </w:tabs>
        <w:spacing w:before="60" w:after="0" w:line="240" w:lineRule="auto"/>
        <w:ind w:left="1134" w:hanging="567"/>
        <w:jc w:val="both"/>
        <w:rPr>
          <w:rFonts w:ascii="Times New Roman" w:eastAsia="Times New Roman" w:hAnsi="Times New Roman" w:cs="Times New Roman"/>
          <w:bCs/>
          <w:i/>
          <w:lang w:eastAsia="hu-HU"/>
        </w:rPr>
      </w:pPr>
      <w:r w:rsidRPr="00415A43">
        <w:rPr>
          <w:rFonts w:ascii="Times New Roman" w:eastAsia="Times New Roman" w:hAnsi="Times New Roman" w:cs="Times New Roman"/>
          <w:lang w:eastAsia="hu-HU"/>
        </w:rPr>
        <w:lastRenderedPageBreak/>
        <w:t xml:space="preserve">A MH-nél rendszeresített pisztolyok szerkezeti felépítése, működési elve, alapvető kezelése. </w:t>
      </w:r>
      <w:r w:rsidRPr="00415A43">
        <w:rPr>
          <w:rFonts w:ascii="Times New Roman" w:eastAsia="Times New Roman" w:hAnsi="Times New Roman" w:cs="Times New Roman"/>
          <w:i/>
          <w:lang w:eastAsia="hu-HU"/>
        </w:rPr>
        <w:t>(Structural design, operation principle and basic handling of pistols standardized at HDF.)</w:t>
      </w:r>
    </w:p>
    <w:p w:rsidR="00415A43" w:rsidRPr="00415A43" w:rsidRDefault="00415A43" w:rsidP="00980876">
      <w:pPr>
        <w:numPr>
          <w:ilvl w:val="1"/>
          <w:numId w:val="466"/>
        </w:numPr>
        <w:tabs>
          <w:tab w:val="clear" w:pos="3977"/>
          <w:tab w:val="num" w:pos="1425"/>
        </w:tabs>
        <w:spacing w:before="60" w:after="0" w:line="240" w:lineRule="auto"/>
        <w:ind w:left="1134" w:hanging="567"/>
        <w:jc w:val="both"/>
        <w:rPr>
          <w:rFonts w:ascii="Times New Roman" w:eastAsia="Times New Roman" w:hAnsi="Times New Roman" w:cs="Times New Roman"/>
          <w:bCs/>
          <w:i/>
          <w:lang w:eastAsia="hu-HU"/>
        </w:rPr>
      </w:pPr>
      <w:r w:rsidRPr="00415A43">
        <w:rPr>
          <w:rFonts w:ascii="Times New Roman" w:eastAsia="Times New Roman" w:hAnsi="Times New Roman" w:cs="Times New Roman"/>
          <w:lang w:eastAsia="hu-HU"/>
        </w:rPr>
        <w:t xml:space="preserve">A MH-nél rendszeresített géppisztolyok szerkezeti felépítése, működési elve, alapvető kezelése. </w:t>
      </w:r>
      <w:r w:rsidRPr="00415A43">
        <w:rPr>
          <w:rFonts w:ascii="Times New Roman" w:eastAsia="Times New Roman" w:hAnsi="Times New Roman" w:cs="Times New Roman"/>
          <w:i/>
          <w:lang w:eastAsia="hu-HU"/>
        </w:rPr>
        <w:t>(Structural design, operation principle and basic handling of machine guns standardized at HDF.)</w:t>
      </w:r>
    </w:p>
    <w:p w:rsidR="00415A43" w:rsidRPr="00415A43" w:rsidRDefault="00415A43" w:rsidP="00980876">
      <w:pPr>
        <w:numPr>
          <w:ilvl w:val="1"/>
          <w:numId w:val="466"/>
        </w:numPr>
        <w:tabs>
          <w:tab w:val="clear" w:pos="3977"/>
          <w:tab w:val="num" w:pos="1425"/>
        </w:tabs>
        <w:spacing w:before="60" w:after="0" w:line="240" w:lineRule="auto"/>
        <w:ind w:left="1134" w:hanging="567"/>
        <w:jc w:val="both"/>
        <w:rPr>
          <w:rFonts w:ascii="Times New Roman" w:eastAsia="Times New Roman" w:hAnsi="Times New Roman" w:cs="Times New Roman"/>
          <w:bCs/>
          <w:i/>
          <w:lang w:eastAsia="hu-HU"/>
        </w:rPr>
      </w:pPr>
      <w:r w:rsidRPr="00415A43">
        <w:rPr>
          <w:rFonts w:ascii="Times New Roman" w:eastAsia="Times New Roman" w:hAnsi="Times New Roman" w:cs="Times New Roman"/>
          <w:lang w:eastAsia="hu-HU"/>
        </w:rPr>
        <w:t xml:space="preserve">A MH-nél rendszeresített karabélyok, gépkarabélyok szerkezeti felépítése, működési elve, alapvető kezelése. </w:t>
      </w:r>
      <w:r w:rsidRPr="00415A43">
        <w:rPr>
          <w:rFonts w:ascii="Times New Roman" w:eastAsia="Times New Roman" w:hAnsi="Times New Roman" w:cs="Times New Roman"/>
          <w:i/>
          <w:lang w:eastAsia="hu-HU"/>
        </w:rPr>
        <w:t>(Structural design, operation principle and basic handling of rifles and machine rifles standardized at HDF.)</w:t>
      </w:r>
    </w:p>
    <w:p w:rsidR="00415A43" w:rsidRPr="00415A43" w:rsidRDefault="00415A43" w:rsidP="00980876">
      <w:pPr>
        <w:numPr>
          <w:ilvl w:val="1"/>
          <w:numId w:val="466"/>
        </w:numPr>
        <w:tabs>
          <w:tab w:val="clear" w:pos="3977"/>
          <w:tab w:val="num" w:pos="1425"/>
        </w:tabs>
        <w:spacing w:before="60" w:after="0" w:line="240" w:lineRule="auto"/>
        <w:ind w:left="1134" w:hanging="567"/>
        <w:jc w:val="both"/>
        <w:rPr>
          <w:rFonts w:ascii="Times New Roman" w:eastAsia="Times New Roman" w:hAnsi="Times New Roman" w:cs="Times New Roman"/>
          <w:bCs/>
          <w:i/>
          <w:lang w:eastAsia="hu-HU"/>
        </w:rPr>
      </w:pPr>
      <w:r w:rsidRPr="00415A43">
        <w:rPr>
          <w:rFonts w:ascii="Times New Roman" w:eastAsia="Times New Roman" w:hAnsi="Times New Roman" w:cs="Times New Roman"/>
          <w:lang w:eastAsia="hu-HU"/>
        </w:rPr>
        <w:t xml:space="preserve">A MH-nél rendszeresített, puskák, géppuskák. </w:t>
      </w:r>
      <w:r w:rsidRPr="00415A43">
        <w:rPr>
          <w:rFonts w:ascii="Times New Roman" w:eastAsia="Times New Roman" w:hAnsi="Times New Roman" w:cs="Times New Roman"/>
          <w:i/>
          <w:lang w:eastAsia="hu-HU"/>
        </w:rPr>
        <w:t>(Standardized at HDF, rifles, machine guns.)</w:t>
      </w:r>
    </w:p>
    <w:p w:rsidR="00415A43" w:rsidRPr="00415A43" w:rsidRDefault="00415A43" w:rsidP="00980876">
      <w:pPr>
        <w:numPr>
          <w:ilvl w:val="1"/>
          <w:numId w:val="466"/>
        </w:numPr>
        <w:tabs>
          <w:tab w:val="clear" w:pos="3977"/>
          <w:tab w:val="num" w:pos="1425"/>
        </w:tabs>
        <w:spacing w:before="60" w:after="0" w:line="240" w:lineRule="auto"/>
        <w:ind w:left="1134" w:hanging="567"/>
        <w:jc w:val="both"/>
        <w:rPr>
          <w:rFonts w:ascii="Times New Roman" w:eastAsia="Times New Roman" w:hAnsi="Times New Roman" w:cs="Times New Roman"/>
          <w:bCs/>
          <w:i/>
          <w:lang w:eastAsia="hu-HU"/>
        </w:rPr>
      </w:pPr>
      <w:r w:rsidRPr="00415A43">
        <w:rPr>
          <w:rFonts w:ascii="Times New Roman" w:eastAsia="Times New Roman" w:hAnsi="Times New Roman" w:cs="Times New Roman"/>
          <w:lang w:eastAsia="hu-HU"/>
        </w:rPr>
        <w:t xml:space="preserve">A MH-nél rendszeresített, kézi páncélelhárító gránátvetők szerkezeti felépítése, működési elve, alapvető kezelése. </w:t>
      </w:r>
      <w:r w:rsidRPr="00415A43">
        <w:rPr>
          <w:rFonts w:ascii="Times New Roman" w:eastAsia="Times New Roman" w:hAnsi="Times New Roman" w:cs="Times New Roman"/>
          <w:i/>
          <w:lang w:eastAsia="hu-HU"/>
        </w:rPr>
        <w:t>(Structural design, operation, basic handling of hand-held anti-aircraft grenades launched at HDF.)</w:t>
      </w:r>
    </w:p>
    <w:p w:rsidR="00415A43" w:rsidRPr="00415A43" w:rsidRDefault="00415A43" w:rsidP="00980876">
      <w:pPr>
        <w:numPr>
          <w:ilvl w:val="1"/>
          <w:numId w:val="466"/>
        </w:numPr>
        <w:tabs>
          <w:tab w:val="clear" w:pos="3977"/>
          <w:tab w:val="num" w:pos="1425"/>
        </w:tabs>
        <w:spacing w:before="60" w:after="0" w:line="240" w:lineRule="auto"/>
        <w:ind w:left="1134" w:hanging="567"/>
        <w:jc w:val="both"/>
        <w:rPr>
          <w:rFonts w:ascii="Times New Roman" w:eastAsia="Times New Roman" w:hAnsi="Times New Roman" w:cs="Times New Roman"/>
          <w:bCs/>
          <w:i/>
          <w:lang w:eastAsia="hu-HU"/>
        </w:rPr>
      </w:pPr>
      <w:r w:rsidRPr="00415A43">
        <w:rPr>
          <w:rFonts w:ascii="Times New Roman" w:eastAsia="Times New Roman" w:hAnsi="Times New Roman" w:cs="Times New Roman"/>
          <w:lang w:eastAsia="hu-HU"/>
        </w:rPr>
        <w:t xml:space="preserve">A MH-nél rendszeresített, aknavetők szerkezeti felépítése, működési elve, alapvető kezelése. </w:t>
      </w:r>
      <w:r w:rsidRPr="00415A43">
        <w:rPr>
          <w:rFonts w:ascii="Times New Roman" w:eastAsia="Times New Roman" w:hAnsi="Times New Roman" w:cs="Times New Roman"/>
          <w:i/>
          <w:lang w:eastAsia="hu-HU"/>
        </w:rPr>
        <w:t>(Structural structure, operation principle and basic management of mine guides, standardized at HDF)</w:t>
      </w:r>
    </w:p>
    <w:p w:rsidR="00415A43" w:rsidRPr="00415A43" w:rsidRDefault="00415A43" w:rsidP="00980876">
      <w:pPr>
        <w:numPr>
          <w:ilvl w:val="1"/>
          <w:numId w:val="466"/>
        </w:numPr>
        <w:tabs>
          <w:tab w:val="clear" w:pos="3977"/>
          <w:tab w:val="num" w:pos="1425"/>
        </w:tabs>
        <w:spacing w:before="60" w:after="0" w:line="240" w:lineRule="auto"/>
        <w:ind w:left="1134" w:hanging="567"/>
        <w:jc w:val="both"/>
        <w:rPr>
          <w:rFonts w:ascii="Times New Roman" w:eastAsia="Times New Roman" w:hAnsi="Times New Roman" w:cs="Times New Roman"/>
          <w:bCs/>
          <w:i/>
          <w:lang w:eastAsia="hu-HU"/>
        </w:rPr>
      </w:pPr>
      <w:r w:rsidRPr="00415A43">
        <w:rPr>
          <w:rFonts w:ascii="Times New Roman" w:eastAsia="Times New Roman" w:hAnsi="Times New Roman" w:cs="Times New Roman"/>
          <w:lang w:eastAsia="hu-HU"/>
        </w:rPr>
        <w:t xml:space="preserve">Lövészfegyverek lőszer fajtái. </w:t>
      </w:r>
      <w:r w:rsidRPr="00415A43">
        <w:rPr>
          <w:rFonts w:ascii="Times New Roman" w:eastAsia="Times New Roman" w:hAnsi="Times New Roman" w:cs="Times New Roman"/>
          <w:i/>
          <w:lang w:eastAsia="hu-HU"/>
        </w:rPr>
        <w:t>(Types of ammunition for small arms.)</w:t>
      </w:r>
    </w:p>
    <w:p w:rsidR="00415A43" w:rsidRPr="00415A43" w:rsidRDefault="00415A43" w:rsidP="00980876">
      <w:pPr>
        <w:numPr>
          <w:ilvl w:val="0"/>
          <w:numId w:val="466"/>
        </w:numPr>
        <w:tabs>
          <w:tab w:val="clear" w:pos="720"/>
          <w:tab w:val="center" w:pos="4536"/>
          <w:tab w:val="right" w:pos="9071"/>
        </w:tabs>
        <w:spacing w:before="120" w:after="0" w:line="240" w:lineRule="auto"/>
        <w:ind w:left="426" w:hanging="142"/>
        <w:jc w:val="both"/>
        <w:rPr>
          <w:rFonts w:ascii="Times New Roman" w:eastAsia="Times New Roman" w:hAnsi="Times New Roman" w:cs="Times New Roman"/>
          <w:bCs/>
          <w:lang w:eastAsia="hu-HU"/>
        </w:rPr>
      </w:pPr>
      <w:r w:rsidRPr="00415A43">
        <w:rPr>
          <w:rFonts w:ascii="Times New Roman" w:eastAsia="Times New Roman" w:hAnsi="Times New Roman" w:cs="Times New Roman"/>
          <w:b/>
          <w:bCs/>
          <w:lang w:eastAsia="hu-HU"/>
        </w:rPr>
        <w:t xml:space="preserve">A tantárgy meghirdetésének gyakorisága/a tantervben történő félévi elhelyezkedése: </w:t>
      </w:r>
      <w:r w:rsidRPr="00415A43">
        <w:rPr>
          <w:rFonts w:ascii="Times New Roman" w:eastAsia="Times New Roman" w:hAnsi="Times New Roman" w:cs="Times New Roman"/>
          <w:bCs/>
          <w:lang w:eastAsia="hu-HU"/>
        </w:rPr>
        <w:t>változó</w:t>
      </w:r>
    </w:p>
    <w:p w:rsidR="00415A43" w:rsidRPr="00415A43" w:rsidRDefault="00415A43" w:rsidP="00980876">
      <w:pPr>
        <w:widowControl w:val="0"/>
        <w:numPr>
          <w:ilvl w:val="0"/>
          <w:numId w:val="466"/>
        </w:numPr>
        <w:tabs>
          <w:tab w:val="num" w:pos="360"/>
          <w:tab w:val="num" w:pos="644"/>
        </w:tabs>
        <w:spacing w:before="120" w:after="120" w:line="240" w:lineRule="auto"/>
        <w:ind w:left="426" w:hanging="142"/>
        <w:jc w:val="both"/>
        <w:rPr>
          <w:rFonts w:ascii="Times New Roman" w:eastAsia="Times New Roman" w:hAnsi="Times New Roman" w:cs="Times New Roman"/>
          <w:bCs/>
          <w:lang w:eastAsia="hu-HU"/>
        </w:rPr>
      </w:pPr>
      <w:r w:rsidRPr="00415A43">
        <w:rPr>
          <w:rFonts w:ascii="Times New Roman" w:eastAsia="Times New Roman" w:hAnsi="Times New Roman" w:cs="Times New Roman"/>
          <w:b/>
          <w:bCs/>
          <w:lang w:eastAsia="hu-HU"/>
        </w:rPr>
        <w:t>A tanórákon való részvétel követelményei, az elfogadható hiányzások mértéke, a távolmaradás pótlásának lehetősége:</w:t>
      </w:r>
      <w:r w:rsidRPr="00415A43">
        <w:rPr>
          <w:rFonts w:ascii="Times New Roman" w:eastAsia="Times New Roman" w:hAnsi="Times New Roman" w:cs="Times New Roman"/>
          <w:bCs/>
          <w:lang w:eastAsia="hu-HU"/>
        </w:rPr>
        <w:t xml:space="preserve"> </w:t>
      </w:r>
    </w:p>
    <w:p w:rsidR="00415A43" w:rsidRPr="00415A43" w:rsidRDefault="00415A43" w:rsidP="00415A43">
      <w:pPr>
        <w:widowControl w:val="0"/>
        <w:spacing w:before="120" w:after="120" w:line="240" w:lineRule="auto"/>
        <w:ind w:left="426"/>
        <w:jc w:val="both"/>
        <w:rPr>
          <w:rFonts w:ascii="Times New Roman" w:eastAsia="Times New Roman" w:hAnsi="Times New Roman" w:cs="Times New Roman"/>
          <w:bCs/>
          <w:lang w:eastAsia="hu-HU"/>
        </w:rPr>
      </w:pPr>
      <w:r w:rsidRPr="00415A43">
        <w:rPr>
          <w:rFonts w:ascii="Times New Roman" w:eastAsia="Times New Roman" w:hAnsi="Times New Roman" w:cs="Times New Roman"/>
          <w:bCs/>
          <w:lang w:eastAsia="hu-HU"/>
        </w:rPr>
        <w:t>A hallgatónak a tanórák legalább 70 %-án jelen kell lennie, 30 %-ot meghaladó hiányzás esetén a félév teljesítése nem írható alá. A hallgató köteles az előadás és a gyakorlat anyagát beszerezni, abból önállóan felkészülni. A hiányzás pótolható az oktató által kijelölt témakörben beadott, legalább elégségesre értékelt házidolgozattal.</w:t>
      </w:r>
    </w:p>
    <w:p w:rsidR="00415A43" w:rsidRPr="00415A43" w:rsidRDefault="00415A43" w:rsidP="00980876">
      <w:pPr>
        <w:widowControl w:val="0"/>
        <w:numPr>
          <w:ilvl w:val="0"/>
          <w:numId w:val="466"/>
        </w:numPr>
        <w:tabs>
          <w:tab w:val="num" w:pos="360"/>
          <w:tab w:val="num" w:pos="644"/>
        </w:tabs>
        <w:spacing w:before="120" w:after="120" w:line="240" w:lineRule="auto"/>
        <w:ind w:left="426" w:hanging="142"/>
        <w:jc w:val="both"/>
        <w:rPr>
          <w:rFonts w:ascii="Times New Roman" w:eastAsia="Times New Roman" w:hAnsi="Times New Roman" w:cs="Times New Roman"/>
          <w:bCs/>
          <w:lang w:eastAsia="hu-HU"/>
        </w:rPr>
      </w:pPr>
      <w:r w:rsidRPr="00415A43">
        <w:rPr>
          <w:rFonts w:ascii="Times New Roman" w:eastAsia="Times New Roman" w:hAnsi="Times New Roman" w:cs="Times New Roman"/>
          <w:b/>
          <w:lang w:eastAsia="hu-HU"/>
        </w:rPr>
        <w:t>Félévközi feladatok, ismeretek ellenőrzésének rendje:</w:t>
      </w:r>
      <w:r w:rsidRPr="00415A43">
        <w:rPr>
          <w:rFonts w:ascii="Times New Roman" w:eastAsia="Times New Roman" w:hAnsi="Times New Roman" w:cs="Times New Roman"/>
          <w:bCs/>
          <w:lang w:eastAsia="hu-HU"/>
        </w:rPr>
        <w:t xml:space="preserve"> A félév során a hallgató kettő zárthelyi dolgozatot ír. Zárthelyi dolgozatok a 12.1-12.15 tantárgyrészekből.</w:t>
      </w:r>
      <w:r w:rsidRPr="00415A43">
        <w:rPr>
          <w:rFonts w:ascii="Times New Roman" w:eastAsia="Times New Roman" w:hAnsi="Times New Roman" w:cs="Times New Roman"/>
          <w:lang w:eastAsia="hu-HU"/>
        </w:rPr>
        <w:t xml:space="preserve"> </w:t>
      </w:r>
      <w:r w:rsidRPr="00415A43">
        <w:rPr>
          <w:rFonts w:ascii="Times New Roman" w:eastAsia="Times New Roman" w:hAnsi="Times New Roman" w:cs="Times New Roman"/>
          <w:bCs/>
          <w:lang w:eastAsia="hu-HU"/>
        </w:rPr>
        <w:t>A zárthelyi dolgozat témáit a kötelező irodalmak anyagából, illetve az előadásokon elhangzott ismeretanyagból kell összeállítani. A zárthelyi dolgozat értékelése ötfokozatú értékelés (a helyes válaszok aránya 0-60% elégtelen; 61-70% elégséges; 71-80% közepes; 81-90% jó; 91-100% jeles osztályzat). Eredménytelen zárthelyi dolgozat kétszer javítható</w:t>
      </w:r>
      <w:r w:rsidRPr="00415A43">
        <w:rPr>
          <w:rFonts w:ascii="Times New Roman" w:eastAsia="Times New Roman" w:hAnsi="Times New Roman" w:cs="Times New Roman"/>
          <w:b/>
          <w:bCs/>
          <w:lang w:eastAsia="hu-HU"/>
        </w:rPr>
        <w:t>.</w:t>
      </w:r>
      <w:r w:rsidRPr="00415A43">
        <w:rPr>
          <w:rFonts w:ascii="Times New Roman" w:eastAsia="Times New Roman" w:hAnsi="Times New Roman" w:cs="Times New Roman"/>
          <w:bCs/>
          <w:lang w:eastAsia="hu-HU"/>
        </w:rPr>
        <w:t xml:space="preserve"> A dolgozatban teszt és esszé jellegű kérdések egyaránt szerepelnek.</w:t>
      </w:r>
    </w:p>
    <w:p w:rsidR="00415A43" w:rsidRPr="00415A43" w:rsidRDefault="00415A43" w:rsidP="00980876">
      <w:pPr>
        <w:widowControl w:val="0"/>
        <w:numPr>
          <w:ilvl w:val="0"/>
          <w:numId w:val="466"/>
        </w:numPr>
        <w:tabs>
          <w:tab w:val="num" w:pos="644"/>
        </w:tabs>
        <w:spacing w:before="120" w:after="120" w:line="240" w:lineRule="auto"/>
        <w:ind w:left="426" w:hanging="142"/>
        <w:jc w:val="both"/>
        <w:rPr>
          <w:rFonts w:ascii="Times New Roman" w:eastAsia="Times New Roman" w:hAnsi="Times New Roman" w:cs="Times New Roman"/>
          <w:b/>
          <w:bCs/>
          <w:lang w:eastAsia="hu-HU"/>
        </w:rPr>
      </w:pPr>
      <w:r w:rsidRPr="00415A43">
        <w:rPr>
          <w:rFonts w:ascii="Times New Roman" w:eastAsia="Times New Roman" w:hAnsi="Times New Roman" w:cs="Times New Roman"/>
          <w:b/>
          <w:bCs/>
          <w:lang w:eastAsia="hu-HU"/>
        </w:rPr>
        <w:t xml:space="preserve">Az értékelés, az aláírás és a kreditek megszerzésének pontos feltételei: </w:t>
      </w:r>
    </w:p>
    <w:p w:rsidR="00415A43" w:rsidRPr="00415A43" w:rsidRDefault="00415A43" w:rsidP="00980876">
      <w:pPr>
        <w:widowControl w:val="0"/>
        <w:numPr>
          <w:ilvl w:val="1"/>
          <w:numId w:val="466"/>
        </w:numPr>
        <w:tabs>
          <w:tab w:val="clear" w:pos="3977"/>
          <w:tab w:val="left" w:pos="709"/>
          <w:tab w:val="left" w:pos="993"/>
          <w:tab w:val="num" w:pos="1425"/>
          <w:tab w:val="num" w:pos="2069"/>
        </w:tabs>
        <w:spacing w:before="120" w:after="120" w:line="240" w:lineRule="auto"/>
        <w:ind w:left="426" w:firstLine="0"/>
        <w:jc w:val="both"/>
        <w:rPr>
          <w:rFonts w:ascii="Times New Roman" w:eastAsia="Times New Roman" w:hAnsi="Times New Roman" w:cs="Times New Roman"/>
          <w:lang w:eastAsia="hu-HU"/>
        </w:rPr>
      </w:pPr>
      <w:r w:rsidRPr="00415A43">
        <w:rPr>
          <w:rFonts w:ascii="Times New Roman" w:eastAsia="Times New Roman" w:hAnsi="Times New Roman" w:cs="Times New Roman"/>
          <w:b/>
          <w:lang w:eastAsia="hu-HU"/>
        </w:rPr>
        <w:t>Az aláírás megszerzésének feltételei:</w:t>
      </w:r>
      <w:r w:rsidRPr="00415A43">
        <w:rPr>
          <w:rFonts w:ascii="Times New Roman" w:eastAsia="Times New Roman" w:hAnsi="Times New Roman" w:cs="Times New Roman"/>
          <w:lang w:eastAsia="hu-HU"/>
        </w:rPr>
        <w:t xml:space="preserve"> </w:t>
      </w:r>
      <w:r w:rsidRPr="00415A43">
        <w:rPr>
          <w:rFonts w:ascii="Times New Roman" w:eastAsia="Times New Roman" w:hAnsi="Times New Roman" w:cs="Times New Roman"/>
          <w:bCs/>
          <w:lang w:eastAsia="hu-HU"/>
        </w:rPr>
        <w:t>Az aláírás megszerzésének feltétele a 14. pontban meghatározott arányú részvétel a foglalkozásokon és a 15. pontban meghatározott félévközi feladatok legalább elégséges teljesítése.</w:t>
      </w:r>
    </w:p>
    <w:p w:rsidR="00415A43" w:rsidRPr="00415A43" w:rsidRDefault="00415A43" w:rsidP="00980876">
      <w:pPr>
        <w:widowControl w:val="0"/>
        <w:numPr>
          <w:ilvl w:val="1"/>
          <w:numId w:val="466"/>
        </w:numPr>
        <w:tabs>
          <w:tab w:val="clear" w:pos="3977"/>
          <w:tab w:val="left" w:pos="709"/>
          <w:tab w:val="left" w:pos="993"/>
          <w:tab w:val="num" w:pos="1425"/>
          <w:tab w:val="num" w:pos="2069"/>
        </w:tabs>
        <w:spacing w:before="120" w:after="120" w:line="240" w:lineRule="auto"/>
        <w:ind w:left="426" w:firstLine="0"/>
        <w:jc w:val="both"/>
        <w:rPr>
          <w:rFonts w:ascii="Times New Roman" w:eastAsia="Times New Roman" w:hAnsi="Times New Roman" w:cs="Times New Roman"/>
          <w:lang w:eastAsia="hu-HU"/>
        </w:rPr>
      </w:pPr>
      <w:r w:rsidRPr="00415A43">
        <w:rPr>
          <w:rFonts w:ascii="Times New Roman" w:eastAsia="Times New Roman" w:hAnsi="Times New Roman" w:cs="Times New Roman"/>
          <w:b/>
          <w:lang w:eastAsia="hu-HU"/>
        </w:rPr>
        <w:t>Az értékelés:</w:t>
      </w:r>
      <w:r w:rsidRPr="00415A43">
        <w:rPr>
          <w:rFonts w:ascii="Times New Roman" w:eastAsia="Times New Roman" w:hAnsi="Times New Roman" w:cs="Times New Roman"/>
          <w:lang w:eastAsia="hu-HU"/>
        </w:rPr>
        <w:t xml:space="preserve"> évközi értékelés, ötfokozatú értékelés.</w:t>
      </w:r>
      <w:r w:rsidRPr="00415A43">
        <w:rPr>
          <w:rFonts w:ascii="Times New Roman" w:eastAsia="Times New Roman" w:hAnsi="Times New Roman" w:cs="Times New Roman"/>
          <w:bCs/>
          <w:lang w:eastAsia="hu-HU"/>
        </w:rPr>
        <w:t xml:space="preserve"> Az évközi értékelést az elért eredmények kerekített matematikai átlaga képezi.</w:t>
      </w:r>
    </w:p>
    <w:p w:rsidR="00415A43" w:rsidRPr="00415A43" w:rsidRDefault="00415A43" w:rsidP="00980876">
      <w:pPr>
        <w:widowControl w:val="0"/>
        <w:numPr>
          <w:ilvl w:val="1"/>
          <w:numId w:val="466"/>
        </w:numPr>
        <w:tabs>
          <w:tab w:val="clear" w:pos="3977"/>
          <w:tab w:val="left" w:pos="709"/>
          <w:tab w:val="left" w:pos="993"/>
          <w:tab w:val="num" w:pos="1425"/>
          <w:tab w:val="num" w:pos="2069"/>
        </w:tabs>
        <w:spacing w:before="120" w:after="120" w:line="240" w:lineRule="auto"/>
        <w:ind w:left="426" w:firstLine="0"/>
        <w:jc w:val="both"/>
        <w:rPr>
          <w:rFonts w:ascii="Times New Roman" w:eastAsia="Times New Roman" w:hAnsi="Times New Roman" w:cs="Times New Roman"/>
          <w:lang w:eastAsia="hu-HU"/>
        </w:rPr>
      </w:pPr>
      <w:r w:rsidRPr="00415A43">
        <w:rPr>
          <w:rFonts w:ascii="Times New Roman" w:eastAsia="Times New Roman" w:hAnsi="Times New Roman" w:cs="Times New Roman"/>
          <w:b/>
          <w:lang w:eastAsia="hu-HU"/>
        </w:rPr>
        <w:t>A kreditek megszerzésének feltételei:</w:t>
      </w:r>
      <w:r w:rsidRPr="00415A43">
        <w:rPr>
          <w:rFonts w:ascii="Times New Roman" w:eastAsia="Times New Roman" w:hAnsi="Times New Roman" w:cs="Times New Roman"/>
          <w:lang w:eastAsia="hu-HU"/>
        </w:rPr>
        <w:t xml:space="preserve"> az aláírás megszerzése és legalább elégséges</w:t>
      </w:r>
      <w:r w:rsidRPr="00415A43">
        <w:rPr>
          <w:rFonts w:ascii="Times New Roman" w:eastAsia="Times New Roman" w:hAnsi="Times New Roman" w:cs="Times New Roman"/>
          <w:b/>
          <w:lang w:eastAsia="hu-HU"/>
        </w:rPr>
        <w:t xml:space="preserve"> </w:t>
      </w:r>
      <w:r w:rsidRPr="00415A43">
        <w:rPr>
          <w:rFonts w:ascii="Times New Roman" w:eastAsia="Times New Roman" w:hAnsi="Times New Roman" w:cs="Times New Roman"/>
          <w:lang w:eastAsia="hu-HU"/>
        </w:rPr>
        <w:t>évközi értékelés</w:t>
      </w:r>
      <w:r w:rsidRPr="00415A43">
        <w:rPr>
          <w:rFonts w:ascii="Times New Roman" w:eastAsia="Times New Roman" w:hAnsi="Times New Roman" w:cs="Times New Roman"/>
          <w:bCs/>
          <w:lang w:eastAsia="hu-HU"/>
        </w:rPr>
        <w:t>.</w:t>
      </w:r>
    </w:p>
    <w:p w:rsidR="00415A43" w:rsidRPr="00415A43" w:rsidRDefault="00415A43" w:rsidP="00980876">
      <w:pPr>
        <w:numPr>
          <w:ilvl w:val="0"/>
          <w:numId w:val="466"/>
        </w:numPr>
        <w:tabs>
          <w:tab w:val="clear" w:pos="720"/>
          <w:tab w:val="num" w:pos="426"/>
          <w:tab w:val="num" w:pos="644"/>
        </w:tabs>
        <w:spacing w:before="120" w:after="0" w:line="240" w:lineRule="auto"/>
        <w:ind w:left="426" w:hanging="142"/>
        <w:jc w:val="both"/>
        <w:rPr>
          <w:rFonts w:ascii="Times New Roman" w:eastAsia="Times New Roman" w:hAnsi="Times New Roman" w:cs="Times New Roman"/>
          <w:b/>
          <w:lang w:eastAsia="hu-HU"/>
        </w:rPr>
      </w:pPr>
      <w:r w:rsidRPr="00415A43">
        <w:rPr>
          <w:rFonts w:ascii="Times New Roman" w:eastAsia="Times New Roman" w:hAnsi="Times New Roman" w:cs="Times New Roman"/>
          <w:b/>
          <w:lang w:eastAsia="hu-HU"/>
        </w:rPr>
        <w:t>Irodalomjegyzék (magyarul, angolul):</w:t>
      </w:r>
    </w:p>
    <w:p w:rsidR="00415A43" w:rsidRPr="00415A43" w:rsidRDefault="00415A43" w:rsidP="00980876">
      <w:pPr>
        <w:numPr>
          <w:ilvl w:val="1"/>
          <w:numId w:val="466"/>
        </w:numPr>
        <w:tabs>
          <w:tab w:val="clear" w:pos="3977"/>
          <w:tab w:val="left" w:pos="1134"/>
          <w:tab w:val="num" w:pos="1425"/>
        </w:tabs>
        <w:spacing w:before="120" w:after="0" w:line="240" w:lineRule="auto"/>
        <w:ind w:left="568" w:firstLine="0"/>
        <w:jc w:val="both"/>
        <w:rPr>
          <w:rFonts w:ascii="Times New Roman" w:eastAsia="Times New Roman" w:hAnsi="Times New Roman" w:cs="Times New Roman"/>
          <w:b/>
          <w:lang w:eastAsia="hu-HU"/>
        </w:rPr>
      </w:pPr>
      <w:r w:rsidRPr="00415A43">
        <w:rPr>
          <w:rFonts w:ascii="Times New Roman" w:eastAsia="Times New Roman" w:hAnsi="Times New Roman" w:cs="Times New Roman"/>
          <w:b/>
          <w:lang w:eastAsia="hu-HU"/>
        </w:rPr>
        <w:t>Kötelező irodalom:</w:t>
      </w:r>
    </w:p>
    <w:p w:rsidR="00415A43" w:rsidRPr="00415A43" w:rsidRDefault="00415A43" w:rsidP="00980876">
      <w:pPr>
        <w:numPr>
          <w:ilvl w:val="0"/>
          <w:numId w:val="467"/>
        </w:numPr>
        <w:spacing w:after="0" w:line="240" w:lineRule="auto"/>
        <w:ind w:left="1066" w:hanging="357"/>
        <w:jc w:val="both"/>
        <w:rPr>
          <w:rFonts w:ascii="Times New Roman" w:eastAsia="Times New Roman" w:hAnsi="Times New Roman" w:cs="Times New Roman"/>
          <w:lang w:eastAsia="hu-HU"/>
        </w:rPr>
      </w:pPr>
      <w:r w:rsidRPr="00415A43">
        <w:rPr>
          <w:rFonts w:ascii="Times New Roman" w:eastAsia="Times New Roman" w:hAnsi="Times New Roman" w:cs="Times New Roman"/>
          <w:lang w:eastAsia="hu-HU"/>
        </w:rPr>
        <w:t>Löfe/104 7,62 mm PKM és PKMSZ géppuska anyagismereti és kezelési utasítása. HM. kiadvány.</w:t>
      </w:r>
    </w:p>
    <w:p w:rsidR="00415A43" w:rsidRPr="00415A43" w:rsidRDefault="00415A43" w:rsidP="00980876">
      <w:pPr>
        <w:numPr>
          <w:ilvl w:val="0"/>
          <w:numId w:val="467"/>
        </w:numPr>
        <w:spacing w:after="0" w:line="240" w:lineRule="auto"/>
        <w:ind w:left="1066" w:hanging="357"/>
        <w:jc w:val="both"/>
        <w:rPr>
          <w:rFonts w:ascii="Times New Roman" w:eastAsia="Times New Roman" w:hAnsi="Times New Roman" w:cs="Times New Roman"/>
          <w:lang w:eastAsia="hu-HU"/>
        </w:rPr>
      </w:pPr>
      <w:r w:rsidRPr="00415A43">
        <w:rPr>
          <w:rFonts w:ascii="Times New Roman" w:eastAsia="Times New Roman" w:hAnsi="Times New Roman" w:cs="Times New Roman"/>
          <w:lang w:eastAsia="hu-HU"/>
        </w:rPr>
        <w:t>Löfe/33 RPG-7 kézi páncélelhárító gránátvet</w:t>
      </w:r>
      <w:r w:rsidRPr="00415A43">
        <w:rPr>
          <w:rFonts w:ascii="Times New Roman" w:eastAsia="Times New Roman" w:hAnsi="Times New Roman" w:cs="Times New Roman" w:hint="eastAsia"/>
          <w:lang w:eastAsia="hu-HU"/>
        </w:rPr>
        <w:t>ő</w:t>
      </w:r>
      <w:r w:rsidRPr="00415A43">
        <w:rPr>
          <w:rFonts w:ascii="Times New Roman" w:eastAsia="Times New Roman" w:hAnsi="Times New Roman" w:cs="Times New Roman"/>
          <w:lang w:eastAsia="hu-HU"/>
        </w:rPr>
        <w:t xml:space="preserve"> és a PG-7V l</w:t>
      </w:r>
      <w:r w:rsidRPr="00415A43">
        <w:rPr>
          <w:rFonts w:ascii="Times New Roman" w:eastAsia="Times New Roman" w:hAnsi="Times New Roman" w:cs="Times New Roman" w:hint="eastAsia"/>
          <w:lang w:eastAsia="hu-HU"/>
        </w:rPr>
        <w:t>ő</w:t>
      </w:r>
      <w:r w:rsidRPr="00415A43">
        <w:rPr>
          <w:rFonts w:ascii="Times New Roman" w:eastAsia="Times New Roman" w:hAnsi="Times New Roman" w:cs="Times New Roman"/>
          <w:lang w:eastAsia="hu-HU"/>
        </w:rPr>
        <w:t>szer szolgálati és l</w:t>
      </w:r>
      <w:r w:rsidRPr="00415A43">
        <w:rPr>
          <w:rFonts w:ascii="Times New Roman" w:eastAsia="Times New Roman" w:hAnsi="Times New Roman" w:cs="Times New Roman" w:hint="eastAsia"/>
          <w:lang w:eastAsia="hu-HU"/>
        </w:rPr>
        <w:t>ő</w:t>
      </w:r>
      <w:r w:rsidRPr="00415A43">
        <w:rPr>
          <w:rFonts w:ascii="Times New Roman" w:eastAsia="Times New Roman" w:hAnsi="Times New Roman" w:cs="Times New Roman"/>
          <w:lang w:eastAsia="hu-HU"/>
        </w:rPr>
        <w:t>utasítása. HM. kiadvány.</w:t>
      </w:r>
    </w:p>
    <w:p w:rsidR="00415A43" w:rsidRPr="00415A43" w:rsidRDefault="00415A43" w:rsidP="00980876">
      <w:pPr>
        <w:numPr>
          <w:ilvl w:val="0"/>
          <w:numId w:val="467"/>
        </w:numPr>
        <w:spacing w:after="0" w:line="240" w:lineRule="auto"/>
        <w:ind w:left="1066" w:hanging="357"/>
        <w:jc w:val="both"/>
        <w:rPr>
          <w:rFonts w:ascii="Times New Roman" w:eastAsia="Times New Roman" w:hAnsi="Times New Roman" w:cs="Times New Roman"/>
          <w:lang w:eastAsia="hu-HU"/>
        </w:rPr>
      </w:pPr>
      <w:r w:rsidRPr="00415A43">
        <w:rPr>
          <w:rFonts w:ascii="Times New Roman" w:eastAsia="Times New Roman" w:hAnsi="Times New Roman" w:cs="Times New Roman"/>
          <w:lang w:eastAsia="hu-HU"/>
        </w:rPr>
        <w:t>Löfe/109 A 7,62 mm Dragunov távcsöves puska anyagismereti és l</w:t>
      </w:r>
      <w:r w:rsidRPr="00415A43">
        <w:rPr>
          <w:rFonts w:ascii="Times New Roman" w:eastAsia="Times New Roman" w:hAnsi="Times New Roman" w:cs="Times New Roman" w:hint="eastAsia"/>
          <w:lang w:eastAsia="hu-HU"/>
        </w:rPr>
        <w:t>ő</w:t>
      </w:r>
      <w:r w:rsidRPr="00415A43">
        <w:rPr>
          <w:rFonts w:ascii="Times New Roman" w:eastAsia="Times New Roman" w:hAnsi="Times New Roman" w:cs="Times New Roman"/>
          <w:lang w:eastAsia="hu-HU"/>
        </w:rPr>
        <w:t>utasítása. HM. kiadvány.</w:t>
      </w:r>
    </w:p>
    <w:p w:rsidR="00415A43" w:rsidRPr="00415A43" w:rsidRDefault="00415A43" w:rsidP="00980876">
      <w:pPr>
        <w:numPr>
          <w:ilvl w:val="0"/>
          <w:numId w:val="467"/>
        </w:numPr>
        <w:spacing w:after="0" w:line="240" w:lineRule="auto"/>
        <w:ind w:left="1066" w:hanging="357"/>
        <w:jc w:val="both"/>
        <w:rPr>
          <w:rFonts w:ascii="Times New Roman" w:eastAsia="Times New Roman" w:hAnsi="Times New Roman" w:cs="Times New Roman"/>
          <w:lang w:eastAsia="hu-HU"/>
        </w:rPr>
      </w:pPr>
      <w:r w:rsidRPr="00415A43">
        <w:rPr>
          <w:rFonts w:ascii="Times New Roman" w:eastAsia="Times New Roman" w:hAnsi="Times New Roman" w:cs="Times New Roman"/>
          <w:lang w:eastAsia="hu-HU"/>
        </w:rPr>
        <w:lastRenderedPageBreak/>
        <w:t>Dr. Farkas Tivadar: L</w:t>
      </w:r>
      <w:r w:rsidRPr="00415A43">
        <w:rPr>
          <w:rFonts w:ascii="Times New Roman" w:eastAsia="Times New Roman" w:hAnsi="Times New Roman" w:cs="Times New Roman" w:hint="eastAsia"/>
          <w:lang w:eastAsia="hu-HU"/>
        </w:rPr>
        <w:t>ő</w:t>
      </w:r>
      <w:r w:rsidRPr="00415A43">
        <w:rPr>
          <w:rFonts w:ascii="Times New Roman" w:eastAsia="Times New Roman" w:hAnsi="Times New Roman" w:cs="Times New Roman"/>
          <w:lang w:eastAsia="hu-HU"/>
        </w:rPr>
        <w:t>fegyverek rendszertana I-II. (ZMNE jegyzet, Budapest, 2000) ISBN: 9630035596</w:t>
      </w:r>
    </w:p>
    <w:p w:rsidR="00415A43" w:rsidRPr="00415A43" w:rsidRDefault="00415A43" w:rsidP="00980876">
      <w:pPr>
        <w:numPr>
          <w:ilvl w:val="0"/>
          <w:numId w:val="467"/>
        </w:numPr>
        <w:spacing w:after="0" w:line="240" w:lineRule="auto"/>
        <w:ind w:left="1066" w:hanging="357"/>
        <w:jc w:val="both"/>
        <w:rPr>
          <w:rFonts w:ascii="Times New Roman" w:eastAsia="Times New Roman" w:hAnsi="Times New Roman" w:cs="Times New Roman"/>
          <w:b/>
          <w:lang w:eastAsia="hu-HU"/>
        </w:rPr>
      </w:pPr>
      <w:r w:rsidRPr="00415A43">
        <w:rPr>
          <w:rFonts w:ascii="Times New Roman" w:eastAsia="Times New Roman" w:hAnsi="Times New Roman" w:cs="Times New Roman"/>
          <w:lang w:eastAsia="hu-HU"/>
        </w:rPr>
        <w:t>Gát István: Fegyver és l</w:t>
      </w:r>
      <w:r w:rsidRPr="00415A43">
        <w:rPr>
          <w:rFonts w:ascii="Times New Roman" w:eastAsia="Times New Roman" w:hAnsi="Times New Roman" w:cs="Times New Roman" w:hint="eastAsia"/>
          <w:lang w:eastAsia="hu-HU"/>
        </w:rPr>
        <w:t>ő</w:t>
      </w:r>
      <w:r w:rsidRPr="00415A43">
        <w:rPr>
          <w:rFonts w:ascii="Times New Roman" w:eastAsia="Times New Roman" w:hAnsi="Times New Roman" w:cs="Times New Roman"/>
          <w:lang w:eastAsia="hu-HU"/>
        </w:rPr>
        <w:t>szertechnikai kézikönyv (Ipari Minisztérium Iparszervezési f</w:t>
      </w:r>
      <w:r w:rsidRPr="00415A43">
        <w:rPr>
          <w:rFonts w:ascii="Times New Roman" w:eastAsia="Times New Roman" w:hAnsi="Times New Roman" w:cs="Times New Roman" w:hint="eastAsia"/>
          <w:lang w:eastAsia="hu-HU"/>
        </w:rPr>
        <w:t>ő</w:t>
      </w:r>
      <w:r w:rsidRPr="00415A43">
        <w:rPr>
          <w:rFonts w:ascii="Times New Roman" w:eastAsia="Times New Roman" w:hAnsi="Times New Roman" w:cs="Times New Roman"/>
          <w:lang w:eastAsia="hu-HU"/>
        </w:rPr>
        <w:t>osztály, VASKUT MÜFIL Innovációs Iroda, Budapest, 1984, 84.408)</w:t>
      </w:r>
      <w:r w:rsidRPr="00415A43">
        <w:rPr>
          <w:rFonts w:ascii="Times New Roman" w:eastAsia="Times New Roman" w:hAnsi="Times New Roman" w:cs="Times New Roman"/>
          <w:b/>
          <w:lang w:eastAsia="hu-HU"/>
        </w:rPr>
        <w:t>.</w:t>
      </w:r>
    </w:p>
    <w:p w:rsidR="00415A43" w:rsidRPr="00415A43" w:rsidRDefault="00415A43" w:rsidP="00980876">
      <w:pPr>
        <w:numPr>
          <w:ilvl w:val="1"/>
          <w:numId w:val="466"/>
        </w:numPr>
        <w:tabs>
          <w:tab w:val="clear" w:pos="3977"/>
          <w:tab w:val="left" w:pos="1134"/>
          <w:tab w:val="num" w:pos="1425"/>
        </w:tabs>
        <w:spacing w:before="120" w:after="0" w:line="240" w:lineRule="auto"/>
        <w:ind w:left="568" w:firstLine="0"/>
        <w:jc w:val="both"/>
        <w:rPr>
          <w:rFonts w:ascii="Times New Roman" w:eastAsia="Times New Roman" w:hAnsi="Times New Roman" w:cs="Times New Roman"/>
          <w:b/>
          <w:lang w:eastAsia="hu-HU"/>
        </w:rPr>
      </w:pPr>
      <w:r w:rsidRPr="00415A43">
        <w:rPr>
          <w:rFonts w:ascii="Times New Roman" w:eastAsia="Times New Roman" w:hAnsi="Times New Roman" w:cs="Times New Roman"/>
          <w:b/>
          <w:lang w:eastAsia="hu-HU"/>
        </w:rPr>
        <w:t xml:space="preserve"> Ajánlott irodalom:</w:t>
      </w:r>
    </w:p>
    <w:p w:rsidR="00415A43" w:rsidRPr="00415A43" w:rsidRDefault="00415A43" w:rsidP="00980876">
      <w:pPr>
        <w:numPr>
          <w:ilvl w:val="0"/>
          <w:numId w:val="468"/>
        </w:numPr>
        <w:spacing w:after="0" w:line="240" w:lineRule="auto"/>
        <w:ind w:left="1066" w:hanging="357"/>
        <w:jc w:val="both"/>
        <w:rPr>
          <w:rFonts w:ascii="Times New Roman" w:eastAsia="Times New Roman" w:hAnsi="Times New Roman" w:cs="Times New Roman"/>
          <w:lang w:eastAsia="hu-HU"/>
        </w:rPr>
      </w:pPr>
      <w:r w:rsidRPr="00415A43">
        <w:rPr>
          <w:rFonts w:ascii="Times New Roman" w:eastAsia="Times New Roman" w:hAnsi="Times New Roman" w:cs="Times New Roman"/>
          <w:lang w:eastAsia="hu-HU"/>
        </w:rPr>
        <w:t>Löfe/7 9 mm-es  PA-63 pisztoly javítási utasítása. HM. kiadvány</w:t>
      </w:r>
    </w:p>
    <w:p w:rsidR="00415A43" w:rsidRPr="00415A43" w:rsidRDefault="00415A43" w:rsidP="00980876">
      <w:pPr>
        <w:numPr>
          <w:ilvl w:val="0"/>
          <w:numId w:val="468"/>
        </w:numPr>
        <w:spacing w:after="0" w:line="240" w:lineRule="auto"/>
        <w:ind w:left="1066" w:hanging="357"/>
        <w:jc w:val="both"/>
        <w:rPr>
          <w:rFonts w:ascii="Times New Roman" w:eastAsia="Times New Roman" w:hAnsi="Times New Roman" w:cs="Times New Roman"/>
          <w:lang w:eastAsia="hu-HU"/>
        </w:rPr>
      </w:pPr>
      <w:r w:rsidRPr="00415A43">
        <w:rPr>
          <w:rFonts w:ascii="Times New Roman" w:eastAsia="Times New Roman" w:hAnsi="Times New Roman" w:cs="Times New Roman"/>
          <w:lang w:eastAsia="hu-HU"/>
        </w:rPr>
        <w:t xml:space="preserve">Löfe/108 A </w:t>
      </w:r>
      <w:smartTag w:uri="urn:schemas-microsoft-com:office:smarttags" w:element="metricconverter">
        <w:smartTagPr>
          <w:attr w:name="ProductID" w:val="7,62 mm"/>
        </w:smartTagPr>
        <w:r w:rsidRPr="00415A43">
          <w:rPr>
            <w:rFonts w:ascii="Times New Roman" w:eastAsia="Times New Roman" w:hAnsi="Times New Roman" w:cs="Times New Roman"/>
            <w:lang w:eastAsia="hu-HU"/>
          </w:rPr>
          <w:t>7,62 mm</w:t>
        </w:r>
      </w:smartTag>
      <w:r w:rsidRPr="00415A43">
        <w:rPr>
          <w:rFonts w:ascii="Times New Roman" w:eastAsia="Times New Roman" w:hAnsi="Times New Roman" w:cs="Times New Roman"/>
          <w:lang w:eastAsia="hu-HU"/>
        </w:rPr>
        <w:t xml:space="preserve"> PKM, PKMSZ, PKT és PKB Kalasnyikov géppuskák javítási utasítása. HM. kiadvány</w:t>
      </w:r>
    </w:p>
    <w:p w:rsidR="00415A43" w:rsidRPr="00415A43" w:rsidRDefault="00415A43" w:rsidP="00980876">
      <w:pPr>
        <w:numPr>
          <w:ilvl w:val="0"/>
          <w:numId w:val="468"/>
        </w:numPr>
        <w:spacing w:after="0" w:line="240" w:lineRule="auto"/>
        <w:ind w:left="1066" w:hanging="357"/>
        <w:jc w:val="both"/>
        <w:rPr>
          <w:rFonts w:ascii="Times New Roman" w:eastAsia="Times New Roman" w:hAnsi="Times New Roman" w:cs="Times New Roman"/>
          <w:lang w:eastAsia="hu-HU"/>
        </w:rPr>
      </w:pPr>
      <w:r w:rsidRPr="00415A43">
        <w:rPr>
          <w:rFonts w:ascii="Times New Roman" w:eastAsia="Times New Roman" w:hAnsi="Times New Roman" w:cs="Times New Roman"/>
          <w:lang w:eastAsia="hu-HU"/>
        </w:rPr>
        <w:t xml:space="preserve">- </w:t>
      </w:r>
      <w:hyperlink r:id="rId20" w:tooltip="Find all the author's book" w:history="1">
        <w:r w:rsidRPr="00415A43">
          <w:rPr>
            <w:rFonts w:ascii="Times New Roman" w:eastAsia="Times New Roman" w:hAnsi="Times New Roman" w:cs="Times New Roman"/>
            <w:lang w:eastAsia="hu-HU"/>
          </w:rPr>
          <w:t>Donald E. Carlucci</w:t>
        </w:r>
      </w:hyperlink>
      <w:r w:rsidRPr="00415A43">
        <w:rPr>
          <w:rFonts w:ascii="Times New Roman" w:eastAsia="Times New Roman" w:hAnsi="Times New Roman" w:cs="Times New Roman"/>
          <w:lang w:eastAsia="hu-HU"/>
        </w:rPr>
        <w:t>, </w:t>
      </w:r>
      <w:hyperlink r:id="rId21" w:tooltip="Find all the author's book" w:history="1">
        <w:r w:rsidRPr="00415A43">
          <w:rPr>
            <w:rFonts w:ascii="Times New Roman" w:eastAsia="Times New Roman" w:hAnsi="Times New Roman" w:cs="Times New Roman"/>
            <w:lang w:eastAsia="hu-HU"/>
          </w:rPr>
          <w:t>Sidney S. Jacobson</w:t>
        </w:r>
      </w:hyperlink>
      <w:r w:rsidRPr="00415A43">
        <w:rPr>
          <w:rFonts w:ascii="Times New Roman" w:eastAsia="Times New Roman" w:hAnsi="Times New Roman" w:cs="Times New Roman"/>
          <w:lang w:eastAsia="hu-HU"/>
        </w:rPr>
        <w:t>, Ballistics: Theory and Design of Guns and Ammunition, CRC Press, 2018. ISBN 113805531X</w:t>
      </w:r>
    </w:p>
    <w:p w:rsidR="00415A43" w:rsidRPr="00415A43" w:rsidRDefault="00415A43" w:rsidP="00415A43">
      <w:pPr>
        <w:tabs>
          <w:tab w:val="right" w:pos="720"/>
          <w:tab w:val="center" w:pos="4819"/>
        </w:tabs>
        <w:spacing w:before="120" w:after="120" w:line="240" w:lineRule="auto"/>
        <w:ind w:left="646"/>
        <w:jc w:val="both"/>
        <w:rPr>
          <w:rFonts w:ascii="Times New Roman" w:eastAsia="Times New Roman" w:hAnsi="Times New Roman" w:cs="Times New Roman"/>
          <w:lang w:eastAsia="hu-HU"/>
        </w:rPr>
      </w:pPr>
    </w:p>
    <w:p w:rsidR="00415A43" w:rsidRPr="00415A43" w:rsidRDefault="00415A43" w:rsidP="00415A43">
      <w:pPr>
        <w:spacing w:before="120" w:after="0" w:line="240" w:lineRule="auto"/>
        <w:jc w:val="both"/>
        <w:rPr>
          <w:rFonts w:ascii="Times New Roman" w:eastAsia="Times New Roman" w:hAnsi="Times New Roman" w:cs="Times New Roman"/>
          <w:lang w:eastAsia="hu-HU"/>
        </w:rPr>
      </w:pPr>
      <w:r w:rsidRPr="00415A43">
        <w:rPr>
          <w:rFonts w:ascii="Times New Roman" w:eastAsia="Times New Roman" w:hAnsi="Times New Roman" w:cs="Times New Roman"/>
          <w:lang w:eastAsia="hu-HU"/>
        </w:rPr>
        <w:t>Budapest, 2020. február 15.</w:t>
      </w:r>
    </w:p>
    <w:p w:rsidR="00415A43" w:rsidRPr="00415A43" w:rsidRDefault="00415A43" w:rsidP="00415A43">
      <w:pPr>
        <w:spacing w:before="120" w:after="0" w:line="240" w:lineRule="auto"/>
        <w:jc w:val="both"/>
        <w:rPr>
          <w:rFonts w:ascii="Times New Roman" w:eastAsia="Times New Roman" w:hAnsi="Times New Roman" w:cs="Times New Roman"/>
          <w:lang w:eastAsia="hu-HU"/>
        </w:rPr>
      </w:pPr>
    </w:p>
    <w:p w:rsidR="004A4C51" w:rsidRPr="00A3436E" w:rsidRDefault="004A4C51" w:rsidP="004A4C51">
      <w:pPr>
        <w:widowControl w:val="0"/>
        <w:spacing w:after="0" w:line="240" w:lineRule="auto"/>
        <w:ind w:left="5529"/>
        <w:jc w:val="center"/>
        <w:rPr>
          <w:rFonts w:ascii="Times New Roman" w:eastAsia="Times New Roman" w:hAnsi="Times New Roman" w:cs="Times New Roman"/>
          <w:b/>
          <w:bCs/>
        </w:rPr>
      </w:pPr>
      <w:r w:rsidRPr="00A3436E">
        <w:rPr>
          <w:rFonts w:ascii="Times New Roman" w:eastAsia="Times New Roman" w:hAnsi="Times New Roman" w:cs="Times New Roman"/>
          <w:b/>
          <w:bCs/>
        </w:rPr>
        <w:t xml:space="preserve">Dr. Gyarmati József </w:t>
      </w:r>
      <w:r>
        <w:rPr>
          <w:rFonts w:ascii="Times New Roman" w:eastAsia="Times New Roman" w:hAnsi="Times New Roman" w:cs="Times New Roman"/>
          <w:b/>
          <w:bCs/>
        </w:rPr>
        <w:t>alezredes, PhD</w:t>
      </w:r>
    </w:p>
    <w:p w:rsidR="00415A43" w:rsidRPr="00415A43" w:rsidRDefault="00415A43" w:rsidP="00415A43">
      <w:pPr>
        <w:tabs>
          <w:tab w:val="center" w:pos="7371"/>
        </w:tabs>
        <w:spacing w:after="0" w:line="240" w:lineRule="auto"/>
        <w:jc w:val="both"/>
        <w:rPr>
          <w:rFonts w:ascii="Times New Roman" w:eastAsia="Times New Roman" w:hAnsi="Times New Roman" w:cs="Times New Roman"/>
          <w:lang w:eastAsia="hu-HU"/>
        </w:rPr>
      </w:pPr>
      <w:r w:rsidRPr="00415A43">
        <w:rPr>
          <w:rFonts w:ascii="Times New Roman" w:eastAsia="Times New Roman" w:hAnsi="Times New Roman" w:cs="Times New Roman"/>
          <w:lang w:eastAsia="hu-HU"/>
        </w:rPr>
        <w:tab/>
        <w:t>egyetemi docens,</w:t>
      </w:r>
      <w:r w:rsidR="004A4C51">
        <w:rPr>
          <w:rFonts w:ascii="Times New Roman" w:eastAsia="Times New Roman" w:hAnsi="Times New Roman" w:cs="Times New Roman"/>
          <w:lang w:eastAsia="hu-HU"/>
        </w:rPr>
        <w:t xml:space="preserve"> </w:t>
      </w:r>
      <w:r w:rsidRPr="00415A43">
        <w:rPr>
          <w:rFonts w:ascii="Times New Roman" w:eastAsia="Times New Roman" w:hAnsi="Times New Roman" w:cs="Times New Roman"/>
          <w:lang w:eastAsia="hu-HU"/>
        </w:rPr>
        <w:t>sk.</w:t>
      </w:r>
    </w:p>
    <w:p w:rsidR="00F543BF" w:rsidRDefault="00F543BF">
      <w:pPr>
        <w:spacing w:after="200" w:line="276" w:lineRule="auto"/>
        <w:rPr>
          <w:rFonts w:ascii="Times New Roman" w:hAnsi="Times New Roman" w:cs="Times New Roman"/>
          <w:sz w:val="24"/>
        </w:rPr>
      </w:pPr>
      <w:r>
        <w:rPr>
          <w:rFonts w:ascii="Times New Roman" w:hAnsi="Times New Roman" w:cs="Times New Roman"/>
          <w:sz w:val="24"/>
        </w:rPr>
        <w:br w:type="page"/>
      </w:r>
    </w:p>
    <w:tbl>
      <w:tblPr>
        <w:tblW w:w="9072" w:type="dxa"/>
        <w:tblInd w:w="113" w:type="dxa"/>
        <w:tblLook w:val="01E0" w:firstRow="1" w:lastRow="1" w:firstColumn="1" w:lastColumn="1" w:noHBand="0" w:noVBand="0"/>
      </w:tblPr>
      <w:tblGrid>
        <w:gridCol w:w="4855"/>
        <w:gridCol w:w="1620"/>
        <w:gridCol w:w="2597"/>
      </w:tblGrid>
      <w:tr w:rsidR="00943758" w:rsidRPr="00943758" w:rsidTr="00702CC1">
        <w:tc>
          <w:tcPr>
            <w:tcW w:w="4855" w:type="dxa"/>
            <w:tcBorders>
              <w:bottom w:val="single" w:sz="4" w:space="0" w:color="auto"/>
            </w:tcBorders>
          </w:tcPr>
          <w:p w:rsidR="00943758" w:rsidRPr="00943758" w:rsidRDefault="00943758" w:rsidP="00943758">
            <w:pPr>
              <w:spacing w:after="0" w:line="240" w:lineRule="auto"/>
              <w:jc w:val="center"/>
              <w:rPr>
                <w:rFonts w:ascii="Times New Roman" w:eastAsia="Times New Roman" w:hAnsi="Times New Roman" w:cs="Times New Roman"/>
                <w:b/>
                <w:smallCaps/>
                <w:color w:val="000000"/>
                <w:lang w:eastAsia="hu-HU"/>
              </w:rPr>
            </w:pPr>
            <w:r w:rsidRPr="00943758">
              <w:rPr>
                <w:rFonts w:ascii="Times New Roman" w:eastAsia="Times New Roman" w:hAnsi="Times New Roman" w:cs="Times New Roman"/>
                <w:b/>
                <w:smallCaps/>
                <w:color w:val="000000"/>
                <w:lang w:eastAsia="hu-HU"/>
              </w:rPr>
              <w:lastRenderedPageBreak/>
              <w:t>Nemzeti Közszolgálati Egyetem</w:t>
            </w:r>
          </w:p>
        </w:tc>
        <w:tc>
          <w:tcPr>
            <w:tcW w:w="1620" w:type="dxa"/>
          </w:tcPr>
          <w:p w:rsidR="00943758" w:rsidRPr="00943758" w:rsidRDefault="00943758" w:rsidP="00943758">
            <w:pPr>
              <w:spacing w:after="0" w:line="240" w:lineRule="auto"/>
              <w:jc w:val="both"/>
              <w:rPr>
                <w:rFonts w:ascii="Times New Roman" w:eastAsia="Times New Roman" w:hAnsi="Times New Roman" w:cs="Times New Roman"/>
                <w:color w:val="000000"/>
                <w:lang w:eastAsia="hu-HU"/>
              </w:rPr>
            </w:pPr>
          </w:p>
        </w:tc>
        <w:tc>
          <w:tcPr>
            <w:tcW w:w="2597" w:type="dxa"/>
          </w:tcPr>
          <w:p w:rsidR="00943758" w:rsidRPr="00943758" w:rsidRDefault="00943758" w:rsidP="00943758">
            <w:pPr>
              <w:spacing w:after="0" w:line="240" w:lineRule="auto"/>
              <w:jc w:val="right"/>
              <w:rPr>
                <w:rFonts w:ascii="Times New Roman" w:eastAsia="Times New Roman" w:hAnsi="Times New Roman" w:cs="Times New Roman"/>
                <w:color w:val="000000"/>
                <w:lang w:eastAsia="hu-HU"/>
              </w:rPr>
            </w:pPr>
          </w:p>
        </w:tc>
      </w:tr>
      <w:tr w:rsidR="00943758" w:rsidRPr="00943758" w:rsidTr="00702CC1">
        <w:tc>
          <w:tcPr>
            <w:tcW w:w="4855" w:type="dxa"/>
            <w:tcBorders>
              <w:top w:val="single" w:sz="4" w:space="0" w:color="auto"/>
            </w:tcBorders>
          </w:tcPr>
          <w:p w:rsidR="00943758" w:rsidRPr="00943758" w:rsidRDefault="00943758" w:rsidP="00943758">
            <w:pPr>
              <w:spacing w:after="0" w:line="240" w:lineRule="auto"/>
              <w:jc w:val="center"/>
              <w:rPr>
                <w:rFonts w:ascii="Times New Roman" w:eastAsia="Times New Roman" w:hAnsi="Times New Roman" w:cs="Times New Roman"/>
                <w:b/>
                <w:color w:val="000000"/>
                <w:lang w:eastAsia="hu-HU"/>
              </w:rPr>
            </w:pPr>
            <w:r w:rsidRPr="00943758">
              <w:rPr>
                <w:rFonts w:ascii="Times New Roman" w:eastAsia="Times New Roman" w:hAnsi="Times New Roman" w:cs="Times New Roman"/>
                <w:b/>
                <w:color w:val="000000"/>
                <w:lang w:eastAsia="hu-HU"/>
              </w:rPr>
              <w:t>Hadtudományi és Honvédtisztképző Kar</w:t>
            </w:r>
          </w:p>
        </w:tc>
        <w:tc>
          <w:tcPr>
            <w:tcW w:w="1620" w:type="dxa"/>
          </w:tcPr>
          <w:p w:rsidR="00943758" w:rsidRPr="00943758" w:rsidRDefault="00943758" w:rsidP="00943758">
            <w:pPr>
              <w:spacing w:after="0" w:line="240" w:lineRule="auto"/>
              <w:jc w:val="both"/>
              <w:rPr>
                <w:rFonts w:ascii="Times New Roman" w:eastAsia="Times New Roman" w:hAnsi="Times New Roman" w:cs="Times New Roman"/>
                <w:color w:val="000000"/>
                <w:lang w:eastAsia="hu-HU"/>
              </w:rPr>
            </w:pPr>
          </w:p>
        </w:tc>
        <w:tc>
          <w:tcPr>
            <w:tcW w:w="2597" w:type="dxa"/>
          </w:tcPr>
          <w:p w:rsidR="00943758" w:rsidRPr="00943758" w:rsidRDefault="00943758" w:rsidP="00943758">
            <w:pPr>
              <w:spacing w:after="0" w:line="240" w:lineRule="auto"/>
              <w:jc w:val="both"/>
              <w:rPr>
                <w:rFonts w:ascii="Times New Roman" w:eastAsia="Times New Roman" w:hAnsi="Times New Roman" w:cs="Times New Roman"/>
                <w:color w:val="000000"/>
                <w:lang w:eastAsia="hu-HU"/>
              </w:rPr>
            </w:pPr>
          </w:p>
        </w:tc>
      </w:tr>
    </w:tbl>
    <w:p w:rsidR="00943758" w:rsidRPr="00943758" w:rsidRDefault="00943758" w:rsidP="00943758">
      <w:pPr>
        <w:widowControl w:val="0"/>
        <w:spacing w:before="120" w:after="120" w:line="240" w:lineRule="auto"/>
        <w:ind w:left="426" w:hanging="142"/>
        <w:jc w:val="center"/>
        <w:rPr>
          <w:rFonts w:ascii="Times New Roman" w:eastAsia="Times New Roman" w:hAnsi="Times New Roman" w:cs="Times New Roman"/>
          <w:b/>
          <w:bCs/>
          <w:color w:val="000000"/>
        </w:rPr>
      </w:pPr>
    </w:p>
    <w:p w:rsidR="00943758" w:rsidRPr="00943758" w:rsidRDefault="00943758" w:rsidP="00943758">
      <w:pPr>
        <w:widowControl w:val="0"/>
        <w:spacing w:before="120" w:after="120" w:line="240" w:lineRule="auto"/>
        <w:ind w:left="426" w:hanging="142"/>
        <w:jc w:val="center"/>
        <w:rPr>
          <w:rFonts w:ascii="Times New Roman" w:eastAsia="Times New Roman" w:hAnsi="Times New Roman" w:cs="Times New Roman"/>
          <w:b/>
          <w:bCs/>
          <w:color w:val="000000"/>
        </w:rPr>
      </w:pPr>
      <w:r w:rsidRPr="00943758">
        <w:rPr>
          <w:rFonts w:ascii="Times New Roman" w:eastAsia="Times New Roman" w:hAnsi="Times New Roman" w:cs="Times New Roman"/>
          <w:b/>
          <w:bCs/>
          <w:color w:val="000000"/>
        </w:rPr>
        <w:t>TANTÁRGYI PROGRAM</w:t>
      </w:r>
    </w:p>
    <w:p w:rsidR="00943758" w:rsidRPr="00943758" w:rsidRDefault="00943758" w:rsidP="00980876">
      <w:pPr>
        <w:widowControl w:val="0"/>
        <w:numPr>
          <w:ilvl w:val="0"/>
          <w:numId w:val="472"/>
        </w:numPr>
        <w:spacing w:before="120" w:after="120" w:line="240" w:lineRule="auto"/>
        <w:ind w:left="426" w:hanging="142"/>
        <w:jc w:val="both"/>
        <w:rPr>
          <w:rFonts w:ascii="Times New Roman" w:eastAsia="Times New Roman" w:hAnsi="Times New Roman" w:cs="Times New Roman"/>
          <w:b/>
          <w:bCs/>
          <w:color w:val="000000"/>
        </w:rPr>
      </w:pPr>
      <w:r w:rsidRPr="00943758">
        <w:rPr>
          <w:rFonts w:ascii="Times New Roman" w:eastAsia="Times New Roman" w:hAnsi="Times New Roman" w:cs="Times New Roman"/>
          <w:b/>
          <w:bCs/>
          <w:color w:val="000000"/>
        </w:rPr>
        <w:t xml:space="preserve">A tantárgy kódja: </w:t>
      </w:r>
      <w:r w:rsidRPr="00943758">
        <w:rPr>
          <w:rFonts w:ascii="Times New Roman" w:eastAsia="Times New Roman" w:hAnsi="Times New Roman" w:cs="Times New Roman"/>
          <w:bCs/>
          <w:color w:val="000000"/>
        </w:rPr>
        <w:t>HKHDTA42</w:t>
      </w:r>
    </w:p>
    <w:p w:rsidR="00943758" w:rsidRPr="00943758" w:rsidRDefault="00943758" w:rsidP="00980876">
      <w:pPr>
        <w:widowControl w:val="0"/>
        <w:numPr>
          <w:ilvl w:val="0"/>
          <w:numId w:val="472"/>
        </w:numPr>
        <w:spacing w:before="120" w:after="120" w:line="240" w:lineRule="auto"/>
        <w:ind w:left="426" w:hanging="142"/>
        <w:jc w:val="both"/>
        <w:rPr>
          <w:rFonts w:ascii="Times New Roman" w:eastAsia="Times New Roman" w:hAnsi="Times New Roman" w:cs="Times New Roman"/>
          <w:b/>
          <w:bCs/>
          <w:color w:val="000000"/>
        </w:rPr>
      </w:pPr>
      <w:r w:rsidRPr="00943758">
        <w:rPr>
          <w:rFonts w:ascii="Times New Roman" w:eastAsia="Times New Roman" w:hAnsi="Times New Roman" w:cs="Times New Roman"/>
          <w:b/>
          <w:bCs/>
          <w:color w:val="000000"/>
        </w:rPr>
        <w:t>A tantárgy megnevezése (magyarul):</w:t>
      </w:r>
      <w:r w:rsidRPr="00943758">
        <w:rPr>
          <w:rFonts w:ascii="Times New Roman" w:eastAsia="Times New Roman" w:hAnsi="Times New Roman" w:cs="Times New Roman"/>
          <w:bCs/>
          <w:color w:val="000000"/>
        </w:rPr>
        <w:t xml:space="preserve"> Korszerű </w:t>
      </w:r>
      <w:r w:rsidRPr="00943758">
        <w:rPr>
          <w:rFonts w:ascii="Times New Roman" w:eastAsia="Times New Roman" w:hAnsi="Times New Roman" w:cs="Times New Roman"/>
          <w:bCs/>
          <w:color w:val="000000"/>
          <w:highlight w:val="yellow"/>
        </w:rPr>
        <w:t>repülőgépek</w:t>
      </w:r>
      <w:r w:rsidRPr="00943758">
        <w:rPr>
          <w:rFonts w:ascii="Times New Roman" w:eastAsia="Times New Roman" w:hAnsi="Times New Roman" w:cs="Times New Roman"/>
          <w:bCs/>
          <w:color w:val="000000"/>
        </w:rPr>
        <w:t xml:space="preserve"> a modern kor háborúiban</w:t>
      </w:r>
    </w:p>
    <w:p w:rsidR="00943758" w:rsidRPr="00943758" w:rsidRDefault="00943758" w:rsidP="00980876">
      <w:pPr>
        <w:widowControl w:val="0"/>
        <w:numPr>
          <w:ilvl w:val="0"/>
          <w:numId w:val="472"/>
        </w:numPr>
        <w:spacing w:before="120" w:after="120" w:line="240" w:lineRule="auto"/>
        <w:ind w:left="426" w:hanging="142"/>
        <w:jc w:val="both"/>
        <w:rPr>
          <w:rFonts w:ascii="Times New Roman" w:eastAsia="Times New Roman" w:hAnsi="Times New Roman" w:cs="Times New Roman"/>
          <w:b/>
          <w:bCs/>
          <w:color w:val="000000"/>
        </w:rPr>
      </w:pPr>
      <w:r w:rsidRPr="00943758">
        <w:rPr>
          <w:rFonts w:ascii="Times New Roman" w:eastAsia="Times New Roman" w:hAnsi="Times New Roman" w:cs="Times New Roman"/>
          <w:b/>
          <w:bCs/>
          <w:color w:val="000000"/>
        </w:rPr>
        <w:t xml:space="preserve">A tantárgy megnevezése (angolul): </w:t>
      </w:r>
      <w:r w:rsidRPr="00943758">
        <w:rPr>
          <w:rFonts w:ascii="Times New Roman" w:eastAsia="Times New Roman" w:hAnsi="Times New Roman" w:cs="Times New Roman"/>
          <w:bCs/>
          <w:color w:val="000000"/>
        </w:rPr>
        <w:t>State of the art airplanes in the wars of modern age</w:t>
      </w:r>
    </w:p>
    <w:p w:rsidR="00943758" w:rsidRPr="00943758" w:rsidRDefault="00943758" w:rsidP="00980876">
      <w:pPr>
        <w:widowControl w:val="0"/>
        <w:numPr>
          <w:ilvl w:val="0"/>
          <w:numId w:val="472"/>
        </w:numPr>
        <w:spacing w:before="120" w:after="120" w:line="240" w:lineRule="auto"/>
        <w:ind w:left="426" w:hanging="142"/>
        <w:jc w:val="both"/>
        <w:rPr>
          <w:rFonts w:ascii="Times New Roman" w:eastAsia="Times New Roman" w:hAnsi="Times New Roman" w:cs="Times New Roman"/>
          <w:b/>
          <w:bCs/>
          <w:color w:val="000000"/>
        </w:rPr>
      </w:pPr>
      <w:r w:rsidRPr="00943758">
        <w:rPr>
          <w:rFonts w:ascii="Times New Roman" w:eastAsia="Times New Roman" w:hAnsi="Times New Roman" w:cs="Times New Roman"/>
          <w:b/>
          <w:bCs/>
          <w:color w:val="000000"/>
        </w:rPr>
        <w:t xml:space="preserve">Kreditérték és képzési karakter: </w:t>
      </w:r>
    </w:p>
    <w:p w:rsidR="00943758" w:rsidRPr="00943758" w:rsidRDefault="00943758" w:rsidP="00980876">
      <w:pPr>
        <w:widowControl w:val="0"/>
        <w:numPr>
          <w:ilvl w:val="1"/>
          <w:numId w:val="472"/>
        </w:numPr>
        <w:tabs>
          <w:tab w:val="clear" w:pos="3977"/>
        </w:tabs>
        <w:spacing w:before="120" w:after="120" w:line="240" w:lineRule="auto"/>
        <w:ind w:left="993" w:hanging="426"/>
        <w:contextualSpacing/>
        <w:jc w:val="both"/>
        <w:rPr>
          <w:rFonts w:ascii="Times New Roman" w:eastAsia="Times New Roman" w:hAnsi="Times New Roman" w:cs="Times New Roman"/>
          <w:b/>
          <w:bCs/>
          <w:color w:val="000000"/>
        </w:rPr>
      </w:pPr>
      <w:r w:rsidRPr="00943758">
        <w:rPr>
          <w:rFonts w:ascii="Times New Roman" w:eastAsia="Times New Roman" w:hAnsi="Times New Roman" w:cs="Times New Roman"/>
          <w:bCs/>
          <w:color w:val="000000"/>
        </w:rPr>
        <w:t>2 kredit</w:t>
      </w:r>
    </w:p>
    <w:p w:rsidR="00943758" w:rsidRPr="00943758" w:rsidRDefault="00943758" w:rsidP="00980876">
      <w:pPr>
        <w:widowControl w:val="0"/>
        <w:numPr>
          <w:ilvl w:val="1"/>
          <w:numId w:val="472"/>
        </w:numPr>
        <w:tabs>
          <w:tab w:val="clear" w:pos="3977"/>
        </w:tabs>
        <w:spacing w:before="120" w:after="120" w:line="240" w:lineRule="auto"/>
        <w:ind w:left="993" w:hanging="426"/>
        <w:contextualSpacing/>
        <w:jc w:val="both"/>
        <w:rPr>
          <w:rFonts w:ascii="Times New Roman" w:eastAsia="Times New Roman" w:hAnsi="Times New Roman" w:cs="Times New Roman"/>
          <w:b/>
          <w:bCs/>
          <w:color w:val="000000"/>
        </w:rPr>
      </w:pPr>
      <w:r w:rsidRPr="00943758">
        <w:rPr>
          <w:rFonts w:ascii="Times New Roman" w:eastAsia="Times New Roman" w:hAnsi="Times New Roman" w:cs="Times New Roman"/>
          <w:bCs/>
          <w:color w:val="000000"/>
        </w:rPr>
        <w:t>a tantárgy elméleti vagy gyakorlati jellegének mértéke: 50</w:t>
      </w:r>
      <w:r w:rsidRPr="00943758">
        <w:rPr>
          <w:rFonts w:ascii="Times New Roman" w:eastAsia="Times New Roman" w:hAnsi="Times New Roman" w:cs="Times New Roman"/>
          <w:b/>
          <w:bCs/>
          <w:color w:val="000000"/>
        </w:rPr>
        <w:t xml:space="preserve"> </w:t>
      </w:r>
      <w:r w:rsidRPr="00943758">
        <w:rPr>
          <w:rFonts w:ascii="Times New Roman" w:eastAsia="Times New Roman" w:hAnsi="Times New Roman" w:cs="Times New Roman"/>
          <w:bCs/>
          <w:color w:val="000000"/>
        </w:rPr>
        <w:t>% gyakorlat, 50 % elmélet</w:t>
      </w:r>
    </w:p>
    <w:p w:rsidR="00943758" w:rsidRPr="00943758" w:rsidRDefault="00943758" w:rsidP="00943758">
      <w:pPr>
        <w:widowControl w:val="0"/>
        <w:spacing w:before="120" w:after="120" w:line="240" w:lineRule="auto"/>
        <w:ind w:left="993"/>
        <w:contextualSpacing/>
        <w:jc w:val="both"/>
        <w:rPr>
          <w:rFonts w:ascii="Times New Roman" w:eastAsia="Times New Roman" w:hAnsi="Times New Roman" w:cs="Times New Roman"/>
          <w:b/>
          <w:bCs/>
          <w:color w:val="000000"/>
          <w:sz w:val="8"/>
        </w:rPr>
      </w:pPr>
    </w:p>
    <w:p w:rsidR="00943758" w:rsidRPr="00943758" w:rsidRDefault="00943758" w:rsidP="00980876">
      <w:pPr>
        <w:widowControl w:val="0"/>
        <w:numPr>
          <w:ilvl w:val="0"/>
          <w:numId w:val="472"/>
        </w:numPr>
        <w:spacing w:before="120" w:after="120" w:line="240" w:lineRule="auto"/>
        <w:ind w:left="426" w:hanging="142"/>
        <w:jc w:val="both"/>
        <w:rPr>
          <w:rFonts w:ascii="Times New Roman" w:eastAsia="Times New Roman" w:hAnsi="Times New Roman" w:cs="Times New Roman"/>
          <w:bCs/>
          <w:color w:val="000000"/>
        </w:rPr>
      </w:pPr>
      <w:r w:rsidRPr="00943758">
        <w:rPr>
          <w:rFonts w:ascii="Times New Roman" w:eastAsia="Times New Roman" w:hAnsi="Times New Roman" w:cs="Times New Roman"/>
          <w:b/>
          <w:bCs/>
          <w:color w:val="000000"/>
        </w:rPr>
        <w:t>A szak(ok), szakirányok/specializációk megnevezése (ahol oktatják):</w:t>
      </w:r>
      <w:r w:rsidRPr="00943758">
        <w:rPr>
          <w:rFonts w:ascii="Times New Roman" w:eastAsia="Times New Roman" w:hAnsi="Times New Roman" w:cs="Times New Roman"/>
          <w:bCs/>
          <w:color w:val="000000"/>
        </w:rPr>
        <w:t xml:space="preserve"> Katonai logisztika (</w:t>
      </w:r>
      <w:r w:rsidR="00137B8A">
        <w:rPr>
          <w:rFonts w:ascii="Times New Roman" w:eastAsia="Times New Roman" w:hAnsi="Times New Roman" w:cs="Times New Roman"/>
          <w:bCs/>
          <w:color w:val="000000"/>
        </w:rPr>
        <w:t>BSc</w:t>
      </w:r>
      <w:r w:rsidRPr="00943758">
        <w:rPr>
          <w:rFonts w:ascii="Times New Roman" w:eastAsia="Times New Roman" w:hAnsi="Times New Roman" w:cs="Times New Roman"/>
          <w:bCs/>
          <w:color w:val="000000"/>
        </w:rPr>
        <w:t>) alapképzési szak</w:t>
      </w:r>
    </w:p>
    <w:p w:rsidR="00943758" w:rsidRPr="00943758" w:rsidRDefault="00943758" w:rsidP="00980876">
      <w:pPr>
        <w:widowControl w:val="0"/>
        <w:numPr>
          <w:ilvl w:val="0"/>
          <w:numId w:val="472"/>
        </w:numPr>
        <w:spacing w:before="120" w:after="120" w:line="240" w:lineRule="auto"/>
        <w:ind w:left="426" w:hanging="142"/>
        <w:jc w:val="both"/>
        <w:rPr>
          <w:rFonts w:ascii="Times New Roman" w:eastAsia="Times New Roman" w:hAnsi="Times New Roman" w:cs="Times New Roman"/>
          <w:bCs/>
          <w:color w:val="000000"/>
        </w:rPr>
      </w:pPr>
      <w:r w:rsidRPr="00943758">
        <w:rPr>
          <w:rFonts w:ascii="Times New Roman" w:eastAsia="Times New Roman" w:hAnsi="Times New Roman" w:cs="Times New Roman"/>
          <w:b/>
          <w:bCs/>
          <w:color w:val="000000"/>
        </w:rPr>
        <w:t xml:space="preserve">Az oktatásért felelős oktatási szervezeti egység megnevezése: </w:t>
      </w:r>
      <w:r w:rsidRPr="00943758">
        <w:rPr>
          <w:rFonts w:ascii="Times New Roman" w:eastAsia="Times New Roman" w:hAnsi="Times New Roman" w:cs="Times New Roman"/>
          <w:bCs/>
          <w:color w:val="000000"/>
        </w:rPr>
        <w:t>HHK Haditechnikai Tanszék</w:t>
      </w:r>
    </w:p>
    <w:p w:rsidR="00943758" w:rsidRPr="00943758" w:rsidRDefault="00943758" w:rsidP="00980876">
      <w:pPr>
        <w:widowControl w:val="0"/>
        <w:numPr>
          <w:ilvl w:val="0"/>
          <w:numId w:val="472"/>
        </w:numPr>
        <w:spacing w:before="120" w:after="120" w:line="240" w:lineRule="auto"/>
        <w:ind w:left="426" w:hanging="142"/>
        <w:jc w:val="both"/>
        <w:rPr>
          <w:rFonts w:ascii="Times New Roman" w:eastAsia="Times New Roman" w:hAnsi="Times New Roman" w:cs="Times New Roman"/>
          <w:bCs/>
          <w:color w:val="000000"/>
        </w:rPr>
      </w:pPr>
      <w:r w:rsidRPr="00943758">
        <w:rPr>
          <w:rFonts w:ascii="Times New Roman" w:eastAsia="Times New Roman" w:hAnsi="Times New Roman" w:cs="Times New Roman"/>
          <w:b/>
          <w:bCs/>
          <w:color w:val="000000"/>
        </w:rPr>
        <w:t>A tantárgyfelelős oktató neve, beosztása, tudományos fokozata:</w:t>
      </w:r>
      <w:r w:rsidRPr="00943758">
        <w:rPr>
          <w:rFonts w:ascii="Times New Roman" w:eastAsia="Times New Roman" w:hAnsi="Times New Roman" w:cs="Times New Roman"/>
          <w:bCs/>
          <w:color w:val="000000"/>
        </w:rPr>
        <w:t xml:space="preserve"> </w:t>
      </w:r>
      <w:r w:rsidRPr="00943758">
        <w:rPr>
          <w:rFonts w:ascii="Times New Roman" w:eastAsia="Times New Roman" w:hAnsi="Times New Roman" w:cs="Times New Roman"/>
          <w:bCs/>
          <w:color w:val="000000"/>
          <w:lang w:eastAsia="hu-HU"/>
        </w:rPr>
        <w:t>Dr. Hegedűs Ernő alezredes PhD, egyetemi tanársegéd</w:t>
      </w:r>
    </w:p>
    <w:p w:rsidR="00943758" w:rsidRPr="00943758" w:rsidRDefault="00943758" w:rsidP="00980876">
      <w:pPr>
        <w:widowControl w:val="0"/>
        <w:numPr>
          <w:ilvl w:val="0"/>
          <w:numId w:val="472"/>
        </w:numPr>
        <w:spacing w:before="120" w:after="120" w:line="240" w:lineRule="auto"/>
        <w:ind w:left="426" w:hanging="142"/>
        <w:jc w:val="both"/>
        <w:rPr>
          <w:rFonts w:ascii="Times New Roman" w:eastAsia="Times New Roman" w:hAnsi="Times New Roman" w:cs="Times New Roman"/>
          <w:bCs/>
          <w:color w:val="000000"/>
        </w:rPr>
      </w:pPr>
      <w:r w:rsidRPr="00943758">
        <w:rPr>
          <w:rFonts w:ascii="Times New Roman" w:eastAsia="Times New Roman" w:hAnsi="Times New Roman" w:cs="Times New Roman"/>
          <w:b/>
          <w:bCs/>
          <w:color w:val="000000"/>
        </w:rPr>
        <w:t>A tanórák száma és típusa</w:t>
      </w:r>
    </w:p>
    <w:p w:rsidR="00943758" w:rsidRPr="00943758" w:rsidRDefault="00943758" w:rsidP="00980876">
      <w:pPr>
        <w:widowControl w:val="0"/>
        <w:numPr>
          <w:ilvl w:val="1"/>
          <w:numId w:val="472"/>
        </w:numPr>
        <w:tabs>
          <w:tab w:val="clear" w:pos="3977"/>
        </w:tabs>
        <w:spacing w:before="120" w:after="120" w:line="240" w:lineRule="auto"/>
        <w:ind w:left="851" w:hanging="425"/>
        <w:jc w:val="both"/>
        <w:rPr>
          <w:rFonts w:ascii="Times New Roman" w:eastAsia="Times New Roman" w:hAnsi="Times New Roman" w:cs="Times New Roman"/>
          <w:bCs/>
          <w:color w:val="000000"/>
        </w:rPr>
      </w:pPr>
      <w:r w:rsidRPr="00943758">
        <w:rPr>
          <w:rFonts w:ascii="Times New Roman" w:eastAsia="Times New Roman" w:hAnsi="Times New Roman" w:cs="Times New Roman"/>
          <w:bCs/>
          <w:color w:val="000000"/>
        </w:rPr>
        <w:t>össz óraszám/félév: 28</w:t>
      </w:r>
    </w:p>
    <w:p w:rsidR="00943758" w:rsidRPr="00943758" w:rsidRDefault="00943758" w:rsidP="00980876">
      <w:pPr>
        <w:widowControl w:val="0"/>
        <w:numPr>
          <w:ilvl w:val="2"/>
          <w:numId w:val="472"/>
        </w:numPr>
        <w:tabs>
          <w:tab w:val="clear" w:pos="1800"/>
        </w:tabs>
        <w:spacing w:before="120" w:after="120" w:line="240" w:lineRule="auto"/>
        <w:ind w:left="1276" w:hanging="567"/>
        <w:jc w:val="both"/>
        <w:rPr>
          <w:rFonts w:ascii="Times New Roman" w:eastAsia="Times New Roman" w:hAnsi="Times New Roman" w:cs="Times New Roman"/>
          <w:bCs/>
          <w:color w:val="000000"/>
        </w:rPr>
      </w:pPr>
      <w:r w:rsidRPr="00943758">
        <w:rPr>
          <w:rFonts w:ascii="Times New Roman" w:eastAsia="Times New Roman" w:hAnsi="Times New Roman" w:cs="Times New Roman"/>
          <w:bCs/>
          <w:color w:val="000000"/>
        </w:rPr>
        <w:t>nappali munkarend: 28 (14 EA + -SZ + 14 GY)</w:t>
      </w:r>
    </w:p>
    <w:p w:rsidR="00943758" w:rsidRPr="00943758" w:rsidRDefault="00943758" w:rsidP="00980876">
      <w:pPr>
        <w:widowControl w:val="0"/>
        <w:numPr>
          <w:ilvl w:val="2"/>
          <w:numId w:val="472"/>
        </w:numPr>
        <w:tabs>
          <w:tab w:val="clear" w:pos="1800"/>
        </w:tabs>
        <w:spacing w:before="120" w:after="120" w:line="240" w:lineRule="auto"/>
        <w:ind w:left="1276" w:hanging="567"/>
        <w:jc w:val="both"/>
        <w:rPr>
          <w:rFonts w:ascii="Times New Roman" w:eastAsia="Times New Roman" w:hAnsi="Times New Roman" w:cs="Times New Roman"/>
          <w:bCs/>
          <w:color w:val="000000"/>
        </w:rPr>
      </w:pPr>
      <w:r w:rsidRPr="00943758">
        <w:rPr>
          <w:rFonts w:ascii="Times New Roman" w:eastAsia="Times New Roman" w:hAnsi="Times New Roman" w:cs="Times New Roman"/>
          <w:bCs/>
          <w:color w:val="000000"/>
        </w:rPr>
        <w:t>levelező munkarend: - (- EA + - SZ + - GY)</w:t>
      </w:r>
    </w:p>
    <w:p w:rsidR="00943758" w:rsidRPr="00943758" w:rsidRDefault="00943758" w:rsidP="00980876">
      <w:pPr>
        <w:widowControl w:val="0"/>
        <w:numPr>
          <w:ilvl w:val="1"/>
          <w:numId w:val="472"/>
        </w:numPr>
        <w:tabs>
          <w:tab w:val="clear" w:pos="3977"/>
        </w:tabs>
        <w:spacing w:before="120" w:after="120" w:line="240" w:lineRule="auto"/>
        <w:ind w:left="851" w:hanging="425"/>
        <w:jc w:val="both"/>
        <w:rPr>
          <w:rFonts w:ascii="Times New Roman" w:eastAsia="Times New Roman" w:hAnsi="Times New Roman" w:cs="Times New Roman"/>
          <w:bCs/>
          <w:color w:val="000000"/>
        </w:rPr>
      </w:pPr>
      <w:r w:rsidRPr="00943758">
        <w:rPr>
          <w:rFonts w:ascii="Times New Roman" w:eastAsia="Times New Roman" w:hAnsi="Times New Roman" w:cs="Times New Roman"/>
          <w:bCs/>
          <w:color w:val="000000"/>
        </w:rPr>
        <w:t>heti óraszám - nappali munkarend: 2 (1+1)</w:t>
      </w:r>
    </w:p>
    <w:p w:rsidR="00943758" w:rsidRPr="00943758" w:rsidRDefault="00943758" w:rsidP="00980876">
      <w:pPr>
        <w:widowControl w:val="0"/>
        <w:numPr>
          <w:ilvl w:val="1"/>
          <w:numId w:val="472"/>
        </w:numPr>
        <w:tabs>
          <w:tab w:val="clear" w:pos="3977"/>
        </w:tabs>
        <w:spacing w:before="120" w:after="0" w:line="240" w:lineRule="auto"/>
        <w:ind w:left="851" w:hanging="425"/>
        <w:contextualSpacing/>
        <w:jc w:val="both"/>
        <w:rPr>
          <w:rFonts w:ascii="Times New Roman" w:eastAsia="Calibri" w:hAnsi="Times New Roman" w:cs="Times New Roman"/>
          <w:color w:val="000000"/>
        </w:rPr>
      </w:pPr>
      <w:r w:rsidRPr="00943758">
        <w:rPr>
          <w:rFonts w:ascii="Times New Roman" w:eastAsia="Calibri" w:hAnsi="Times New Roman" w:cs="Times New Roman"/>
          <w:color w:val="000000"/>
        </w:rPr>
        <w:t>Az ismeret átadásában alkalmazandó további sajátos módok, jellemzők: Az ismeretek feldolgozása vegyes tanulási program (blended learning) alapján történik.</w:t>
      </w:r>
    </w:p>
    <w:p w:rsidR="00943758" w:rsidRPr="00943758" w:rsidRDefault="00943758" w:rsidP="00980876">
      <w:pPr>
        <w:widowControl w:val="0"/>
        <w:numPr>
          <w:ilvl w:val="0"/>
          <w:numId w:val="472"/>
        </w:numPr>
        <w:tabs>
          <w:tab w:val="num" w:pos="2069"/>
        </w:tabs>
        <w:spacing w:before="120" w:after="0" w:line="240" w:lineRule="auto"/>
        <w:contextualSpacing/>
        <w:jc w:val="both"/>
        <w:rPr>
          <w:rFonts w:ascii="Times New Roman" w:eastAsia="Calibri" w:hAnsi="Times New Roman" w:cs="Times New Roman"/>
          <w:color w:val="000000"/>
        </w:rPr>
      </w:pPr>
      <w:r w:rsidRPr="00943758">
        <w:rPr>
          <w:rFonts w:ascii="Times New Roman" w:eastAsia="Times New Roman" w:hAnsi="Times New Roman" w:cs="Times New Roman"/>
          <w:b/>
          <w:bCs/>
          <w:color w:val="000000"/>
        </w:rPr>
        <w:t>A tantárgy szakmai tartalma (magyarul):</w:t>
      </w:r>
      <w:r w:rsidRPr="00943758">
        <w:rPr>
          <w:rFonts w:ascii="Times New Roman" w:eastAsia="Calibri" w:hAnsi="Times New Roman" w:cs="Times New Roman"/>
          <w:b/>
          <w:color w:val="000000"/>
        </w:rPr>
        <w:t xml:space="preserve"> </w:t>
      </w:r>
      <w:r w:rsidRPr="00943758">
        <w:rPr>
          <w:rFonts w:ascii="Times New Roman" w:eastAsia="Calibri" w:hAnsi="Times New Roman" w:cs="Times New Roman"/>
          <w:color w:val="000000"/>
        </w:rPr>
        <w:t>A korszerű katonai célú repülő eszközök a modern kor háborúiban: negyedik és ötödik generációs harcirepülőgépek,</w:t>
      </w:r>
      <w:r w:rsidRPr="00943758">
        <w:rPr>
          <w:rFonts w:ascii="Times New Roman" w:eastAsia="Calibri" w:hAnsi="Times New Roman" w:cs="Times New Roman"/>
        </w:rPr>
        <w:t xml:space="preserve"> </w:t>
      </w:r>
      <w:r w:rsidRPr="00943758">
        <w:rPr>
          <w:rFonts w:ascii="Times New Roman" w:eastAsia="Calibri" w:hAnsi="Times New Roman" w:cs="Times New Roman"/>
          <w:color w:val="000000"/>
        </w:rPr>
        <w:t>helyből fel- és leszálló harcirepülőgépek, helikopterek és billenőrotoros repülőgépek, pilótanélküli repülőgépek (UAV) és ejtőernyők. Az F35 harci repülőgép: részleges lopakodóképesség és emelő-ventilátoros felszállás.</w:t>
      </w:r>
      <w:r w:rsidRPr="00943758">
        <w:rPr>
          <w:rFonts w:ascii="Times New Roman" w:eastAsia="Calibri" w:hAnsi="Times New Roman" w:cs="Times New Roman"/>
        </w:rPr>
        <w:t xml:space="preserve"> A </w:t>
      </w:r>
      <w:r w:rsidRPr="00943758">
        <w:rPr>
          <w:rFonts w:ascii="Times New Roman" w:eastAsia="Calibri" w:hAnsi="Times New Roman" w:cs="Times New Roman"/>
          <w:color w:val="000000"/>
        </w:rPr>
        <w:t>helyből fel- és leszálló (VTOL) Harrier harci repülőgép.</w:t>
      </w:r>
      <w:r w:rsidRPr="00943758">
        <w:rPr>
          <w:rFonts w:ascii="Times New Roman" w:eastAsia="Calibri" w:hAnsi="Times New Roman" w:cs="Times New Roman"/>
        </w:rPr>
        <w:t xml:space="preserve"> A JAS-39 </w:t>
      </w:r>
      <w:r w:rsidRPr="00943758">
        <w:rPr>
          <w:rFonts w:ascii="Times New Roman" w:eastAsia="Calibri" w:hAnsi="Times New Roman" w:cs="Times New Roman"/>
          <w:color w:val="000000"/>
        </w:rPr>
        <w:t>Gripen harci repülőgép.</w:t>
      </w:r>
      <w:r w:rsidRPr="00943758">
        <w:rPr>
          <w:rFonts w:ascii="Times New Roman" w:eastAsia="Calibri" w:hAnsi="Times New Roman" w:cs="Times New Roman"/>
        </w:rPr>
        <w:t xml:space="preserve"> Az </w:t>
      </w:r>
      <w:r w:rsidRPr="00943758">
        <w:rPr>
          <w:rFonts w:ascii="Times New Roman" w:eastAsia="Calibri" w:hAnsi="Times New Roman" w:cs="Times New Roman"/>
          <w:color w:val="000000"/>
        </w:rPr>
        <w:t>UH-1 helikopter a kezdetektől a legmodernebb variánsig.</w:t>
      </w:r>
      <w:r w:rsidRPr="00943758">
        <w:rPr>
          <w:rFonts w:ascii="Times New Roman" w:eastAsia="Calibri" w:hAnsi="Times New Roman" w:cs="Times New Roman"/>
        </w:rPr>
        <w:t xml:space="preserve"> </w:t>
      </w:r>
      <w:r w:rsidRPr="00943758">
        <w:rPr>
          <w:rFonts w:ascii="Times New Roman" w:eastAsia="Calibri" w:hAnsi="Times New Roman" w:cs="Times New Roman"/>
          <w:color w:val="000000"/>
        </w:rPr>
        <w:t>Bell-Boeing V-22 Osprey konvertiplán (billenőrotoros repülőgép) és a további konvertiplán típusok.</w:t>
      </w:r>
      <w:r w:rsidRPr="00943758">
        <w:rPr>
          <w:rFonts w:ascii="Times New Roman" w:eastAsia="Calibri" w:hAnsi="Times New Roman" w:cs="Times New Roman"/>
        </w:rPr>
        <w:t xml:space="preserve"> </w:t>
      </w:r>
      <w:r w:rsidRPr="00943758">
        <w:rPr>
          <w:rFonts w:ascii="Times New Roman" w:eastAsia="Calibri" w:hAnsi="Times New Roman" w:cs="Times New Roman"/>
          <w:color w:val="000000"/>
        </w:rPr>
        <w:t>Felfegyverzett könnyűrepülőgépek katonai alkalmazása. A magyar UAV-k (Bohn Hungary, HM Ei. Zrt.) és további típusok ismertetése. A Haditechnikai Intézet Szojka UAV fejlesztési folyamata. A hazai UAV próbapálya. UAV-k a Magyar Honvédségben.</w:t>
      </w:r>
    </w:p>
    <w:p w:rsidR="00943758" w:rsidRPr="00943758" w:rsidRDefault="00943758" w:rsidP="00943758">
      <w:pPr>
        <w:widowControl w:val="0"/>
        <w:spacing w:before="120" w:after="0" w:line="240" w:lineRule="auto"/>
        <w:ind w:left="705"/>
        <w:jc w:val="both"/>
        <w:rPr>
          <w:rFonts w:ascii="Times New Roman" w:eastAsia="Calibri" w:hAnsi="Times New Roman" w:cs="Times New Roman"/>
          <w:color w:val="000000"/>
        </w:rPr>
      </w:pPr>
      <w:r w:rsidRPr="00943758">
        <w:rPr>
          <w:rFonts w:ascii="Times New Roman" w:eastAsia="Times New Roman" w:hAnsi="Times New Roman" w:cs="Times New Roman"/>
          <w:b/>
          <w:bCs/>
          <w:color w:val="000000"/>
        </w:rPr>
        <w:t>A tantárgy szakmai tartalma (angolul) (</w:t>
      </w:r>
      <w:r w:rsidRPr="00943758">
        <w:rPr>
          <w:rFonts w:ascii="Times New Roman" w:eastAsia="Times New Roman" w:hAnsi="Times New Roman" w:cs="Times New Roman"/>
          <w:b/>
          <w:bCs/>
          <w:color w:val="000000"/>
          <w:lang w:val="en-US"/>
        </w:rPr>
        <w:t>Course description</w:t>
      </w:r>
      <w:r w:rsidRPr="00943758">
        <w:rPr>
          <w:rFonts w:ascii="Times New Roman" w:eastAsia="Times New Roman" w:hAnsi="Times New Roman" w:cs="Times New Roman"/>
          <w:b/>
          <w:bCs/>
          <w:color w:val="000000"/>
        </w:rPr>
        <w:t>):</w:t>
      </w:r>
      <w:r w:rsidRPr="00943758">
        <w:rPr>
          <w:rFonts w:ascii="Times New Roman" w:eastAsia="Calibri" w:hAnsi="Times New Roman" w:cs="Times New Roman"/>
          <w:bCs/>
          <w:color w:val="000000"/>
        </w:rPr>
        <w:t xml:space="preserve"> </w:t>
      </w:r>
      <w:r w:rsidRPr="00943758">
        <w:rPr>
          <w:rFonts w:ascii="Times New Roman" w:eastAsia="Calibri" w:hAnsi="Times New Roman" w:cs="Times New Roman"/>
          <w:color w:val="000000"/>
        </w:rPr>
        <w:t>State of the art airplanes in the wars of modern age: fourth and fifth generation fighter aircrafts, Vertical Take Off and Landing fighter aircrafts, helicopters and convertiplanes (till rotor aircrafts), unmanned air vehicles (UAV) and parachutes. The F-35 fighter aircraft: particular stealth capability and take off with lifting ventilator (fan). The Harrier fighter aircraft with vertical take off and landing (VTOL) capability. The JAS-39 Gripen fighter aircraft. The UH-1 type helicopter from the beginning to the most modern variant. The Bell-Boeing V-22 Osprey convertiplane (till rotor aircraft) and other types of convertiplanes. Military engagement of armed light aircrafts. Review of the Hungarian UAV types (Bohn Hungary, HM Ei. Zrt.) and introducing of other UAV types. Research and development process of the Sojka type UAV by the Military Technology Institute. The Hungarian UAV test field. UAV-s in the Hungarian Defence Forces.</w:t>
      </w:r>
    </w:p>
    <w:p w:rsidR="00943758" w:rsidRPr="00943758" w:rsidRDefault="00943758" w:rsidP="00980876">
      <w:pPr>
        <w:widowControl w:val="0"/>
        <w:numPr>
          <w:ilvl w:val="0"/>
          <w:numId w:val="472"/>
        </w:numPr>
        <w:spacing w:before="120" w:after="120" w:line="240" w:lineRule="auto"/>
        <w:contextualSpacing/>
        <w:jc w:val="both"/>
        <w:rPr>
          <w:rFonts w:ascii="Times New Roman" w:eastAsia="Times New Roman" w:hAnsi="Times New Roman" w:cs="Times New Roman"/>
          <w:bCs/>
          <w:color w:val="000000"/>
        </w:rPr>
      </w:pPr>
      <w:r w:rsidRPr="00943758">
        <w:rPr>
          <w:rFonts w:ascii="Times New Roman" w:eastAsia="Times New Roman" w:hAnsi="Times New Roman" w:cs="Times New Roman"/>
          <w:b/>
          <w:bCs/>
          <w:color w:val="000000"/>
        </w:rPr>
        <w:t xml:space="preserve">Elérendő kompetenciák (magyarul): </w:t>
      </w:r>
    </w:p>
    <w:p w:rsidR="00943758" w:rsidRPr="00943758" w:rsidRDefault="00943758" w:rsidP="00943758">
      <w:pPr>
        <w:widowControl w:val="0"/>
        <w:spacing w:before="120" w:after="0" w:line="240" w:lineRule="auto"/>
        <w:ind w:left="425"/>
        <w:jc w:val="both"/>
        <w:rPr>
          <w:rFonts w:ascii="Times New Roman" w:eastAsia="Times New Roman" w:hAnsi="Times New Roman" w:cs="Times New Roman"/>
          <w:bCs/>
          <w:color w:val="000000"/>
        </w:rPr>
      </w:pPr>
      <w:r w:rsidRPr="00943758">
        <w:rPr>
          <w:rFonts w:ascii="Times New Roman" w:eastAsia="Times New Roman" w:hAnsi="Times New Roman" w:cs="Times New Roman"/>
          <w:b/>
          <w:bCs/>
          <w:color w:val="000000"/>
        </w:rPr>
        <w:t>Tudása:</w:t>
      </w:r>
      <w:r w:rsidRPr="00943758">
        <w:rPr>
          <w:rFonts w:ascii="Times New Roman" w:eastAsia="Times New Roman" w:hAnsi="Times New Roman" w:cs="Times New Roman"/>
          <w:bCs/>
          <w:color w:val="000000"/>
        </w:rPr>
        <w:t xml:space="preserve"> </w:t>
      </w:r>
    </w:p>
    <w:p w:rsidR="00943758" w:rsidRPr="00943758" w:rsidRDefault="00943758" w:rsidP="00980876">
      <w:pPr>
        <w:widowControl w:val="0"/>
        <w:numPr>
          <w:ilvl w:val="0"/>
          <w:numId w:val="469"/>
        </w:numPr>
        <w:spacing w:before="120" w:after="120" w:line="240" w:lineRule="auto"/>
        <w:contextualSpacing/>
        <w:jc w:val="both"/>
        <w:rPr>
          <w:rFonts w:ascii="Times New Roman" w:eastAsia="Times New Roman" w:hAnsi="Times New Roman" w:cs="Times New Roman"/>
          <w:bCs/>
          <w:color w:val="000000"/>
        </w:rPr>
      </w:pPr>
      <w:r w:rsidRPr="00943758">
        <w:rPr>
          <w:rFonts w:ascii="Times New Roman" w:eastAsia="Times New Roman" w:hAnsi="Times New Roman" w:cs="Times New Roman"/>
          <w:bCs/>
          <w:color w:val="000000"/>
        </w:rPr>
        <w:t>Ismeri a korszerű katonai célú repülő eszközök témakörét</w:t>
      </w:r>
      <w:r w:rsidRPr="00943758">
        <w:rPr>
          <w:rFonts w:ascii="Times New Roman" w:eastAsia="Calibri" w:hAnsi="Times New Roman" w:cs="Times New Roman"/>
          <w:color w:val="000000"/>
        </w:rPr>
        <w:t xml:space="preserve">. </w:t>
      </w:r>
    </w:p>
    <w:p w:rsidR="00943758" w:rsidRPr="00943758" w:rsidRDefault="00943758" w:rsidP="00980876">
      <w:pPr>
        <w:widowControl w:val="0"/>
        <w:numPr>
          <w:ilvl w:val="0"/>
          <w:numId w:val="469"/>
        </w:numPr>
        <w:spacing w:before="120" w:after="120" w:line="240" w:lineRule="auto"/>
        <w:contextualSpacing/>
        <w:jc w:val="both"/>
        <w:rPr>
          <w:rFonts w:ascii="Times New Roman" w:eastAsia="Times New Roman" w:hAnsi="Times New Roman" w:cs="Times New Roman"/>
          <w:bCs/>
          <w:color w:val="000000"/>
        </w:rPr>
      </w:pPr>
      <w:r w:rsidRPr="00943758">
        <w:rPr>
          <w:rFonts w:ascii="Times New Roman" w:eastAsia="Times New Roman" w:hAnsi="Times New Roman" w:cs="Times New Roman"/>
          <w:bCs/>
          <w:color w:val="000000"/>
        </w:rPr>
        <w:lastRenderedPageBreak/>
        <w:t xml:space="preserve">Megfelelő mélységű ismerettel rendelkezik a korszerű negyedik és ötödik generációs harcirepülőgépek, helyből fel- és leszálló harcirepülőgépek, helikopterek és billenőrotoros repülőgépek területén. </w:t>
      </w:r>
    </w:p>
    <w:p w:rsidR="00943758" w:rsidRPr="00943758" w:rsidRDefault="00943758" w:rsidP="00980876">
      <w:pPr>
        <w:widowControl w:val="0"/>
        <w:numPr>
          <w:ilvl w:val="0"/>
          <w:numId w:val="469"/>
        </w:numPr>
        <w:spacing w:before="120" w:after="120" w:line="240" w:lineRule="auto"/>
        <w:contextualSpacing/>
        <w:jc w:val="both"/>
        <w:rPr>
          <w:rFonts w:ascii="Times New Roman" w:eastAsia="Times New Roman" w:hAnsi="Times New Roman" w:cs="Times New Roman"/>
          <w:bCs/>
          <w:color w:val="000000"/>
        </w:rPr>
      </w:pPr>
      <w:r w:rsidRPr="00943758">
        <w:rPr>
          <w:rFonts w:ascii="Times New Roman" w:eastAsia="Times New Roman" w:hAnsi="Times New Roman" w:cs="Times New Roman"/>
          <w:bCs/>
          <w:color w:val="000000"/>
        </w:rPr>
        <w:t xml:space="preserve">Ismeri a pilótanélküli repülőgépek (UAV) fontosabb típusait. </w:t>
      </w:r>
    </w:p>
    <w:p w:rsidR="00943758" w:rsidRPr="00943758" w:rsidRDefault="00943758" w:rsidP="00980876">
      <w:pPr>
        <w:widowControl w:val="0"/>
        <w:numPr>
          <w:ilvl w:val="0"/>
          <w:numId w:val="469"/>
        </w:numPr>
        <w:spacing w:before="120" w:after="120" w:line="240" w:lineRule="auto"/>
        <w:contextualSpacing/>
        <w:jc w:val="both"/>
        <w:rPr>
          <w:rFonts w:ascii="Times New Roman" w:eastAsia="Times New Roman" w:hAnsi="Times New Roman" w:cs="Times New Roman"/>
          <w:bCs/>
          <w:color w:val="000000"/>
        </w:rPr>
      </w:pPr>
      <w:r w:rsidRPr="00943758">
        <w:rPr>
          <w:rFonts w:ascii="Times New Roman" w:eastAsia="Times New Roman" w:hAnsi="Times New Roman" w:cs="Times New Roman"/>
          <w:bCs/>
          <w:color w:val="000000"/>
        </w:rPr>
        <w:t>Ismeri a helyből fel- és leszálló (VTOL) harci repülőgépek variánsait.</w:t>
      </w:r>
    </w:p>
    <w:p w:rsidR="00943758" w:rsidRPr="00943758" w:rsidRDefault="00943758" w:rsidP="00943758">
      <w:pPr>
        <w:widowControl w:val="0"/>
        <w:spacing w:before="120" w:after="120" w:line="240" w:lineRule="auto"/>
        <w:ind w:left="426"/>
        <w:jc w:val="both"/>
        <w:rPr>
          <w:rFonts w:ascii="Times New Roman" w:eastAsia="Times New Roman" w:hAnsi="Times New Roman" w:cs="Times New Roman"/>
          <w:bCs/>
          <w:color w:val="000000"/>
        </w:rPr>
      </w:pPr>
      <w:r w:rsidRPr="00943758">
        <w:rPr>
          <w:rFonts w:ascii="Times New Roman" w:eastAsia="Times New Roman" w:hAnsi="Times New Roman" w:cs="Times New Roman"/>
          <w:b/>
          <w:bCs/>
          <w:color w:val="000000"/>
        </w:rPr>
        <w:t>Képességei:</w:t>
      </w:r>
      <w:r w:rsidRPr="00943758">
        <w:rPr>
          <w:rFonts w:ascii="Times New Roman" w:eastAsia="Times New Roman" w:hAnsi="Times New Roman" w:cs="Times New Roman"/>
          <w:bCs/>
          <w:color w:val="000000"/>
        </w:rPr>
        <w:t xml:space="preserve"> </w:t>
      </w:r>
    </w:p>
    <w:p w:rsidR="00943758" w:rsidRPr="00943758" w:rsidRDefault="00943758" w:rsidP="00980876">
      <w:pPr>
        <w:widowControl w:val="0"/>
        <w:numPr>
          <w:ilvl w:val="0"/>
          <w:numId w:val="469"/>
        </w:numPr>
        <w:spacing w:before="120" w:after="120" w:line="240" w:lineRule="auto"/>
        <w:contextualSpacing/>
        <w:jc w:val="both"/>
        <w:rPr>
          <w:rFonts w:ascii="Times New Roman" w:eastAsia="Times New Roman" w:hAnsi="Times New Roman" w:cs="Times New Roman"/>
          <w:bCs/>
          <w:color w:val="000000"/>
        </w:rPr>
      </w:pPr>
      <w:r w:rsidRPr="00943758">
        <w:rPr>
          <w:rFonts w:ascii="Times New Roman" w:eastAsia="Times New Roman" w:hAnsi="Times New Roman" w:cs="Times New Roman"/>
          <w:bCs/>
          <w:color w:val="000000"/>
        </w:rPr>
        <w:t xml:space="preserve">Képes a korszerű katonai célú repülő eszközök megkülönböztetésére. </w:t>
      </w:r>
    </w:p>
    <w:p w:rsidR="00943758" w:rsidRPr="00943758" w:rsidRDefault="00943758" w:rsidP="00980876">
      <w:pPr>
        <w:widowControl w:val="0"/>
        <w:numPr>
          <w:ilvl w:val="0"/>
          <w:numId w:val="469"/>
        </w:numPr>
        <w:spacing w:before="120" w:after="120" w:line="240" w:lineRule="auto"/>
        <w:contextualSpacing/>
        <w:jc w:val="both"/>
        <w:rPr>
          <w:rFonts w:ascii="Times New Roman" w:eastAsia="Times New Roman" w:hAnsi="Times New Roman" w:cs="Times New Roman"/>
          <w:bCs/>
          <w:color w:val="000000"/>
        </w:rPr>
      </w:pPr>
      <w:r w:rsidRPr="00943758">
        <w:rPr>
          <w:rFonts w:ascii="Times New Roman" w:eastAsia="Times New Roman" w:hAnsi="Times New Roman" w:cs="Times New Roman"/>
          <w:bCs/>
          <w:color w:val="000000"/>
        </w:rPr>
        <w:t xml:space="preserve">Képes a korszerű katonai célú korszerű negyedik és ötödik generációs harcirepülőgépek, helyből fel- és leszálló harcirepülőgépek, helikopterek és billenőrotoros repülőgépekkel kapcsolatos ismeretek elsajátítására. </w:t>
      </w:r>
    </w:p>
    <w:p w:rsidR="00943758" w:rsidRPr="00943758" w:rsidRDefault="00943758" w:rsidP="00980876">
      <w:pPr>
        <w:widowControl w:val="0"/>
        <w:numPr>
          <w:ilvl w:val="0"/>
          <w:numId w:val="469"/>
        </w:numPr>
        <w:spacing w:before="120" w:after="120" w:line="240" w:lineRule="auto"/>
        <w:contextualSpacing/>
        <w:jc w:val="both"/>
        <w:rPr>
          <w:rFonts w:ascii="Times New Roman" w:eastAsia="Times New Roman" w:hAnsi="Times New Roman" w:cs="Times New Roman"/>
          <w:bCs/>
          <w:color w:val="000000"/>
        </w:rPr>
      </w:pPr>
      <w:r w:rsidRPr="00943758">
        <w:rPr>
          <w:rFonts w:ascii="Times New Roman" w:eastAsia="Times New Roman" w:hAnsi="Times New Roman" w:cs="Times New Roman"/>
          <w:bCs/>
          <w:color w:val="000000"/>
        </w:rPr>
        <w:t>Képes felismerni a Magyar Honvédségnél használatos a pilótanélküli repülőgépeket.</w:t>
      </w:r>
    </w:p>
    <w:p w:rsidR="00943758" w:rsidRPr="00943758" w:rsidRDefault="00943758" w:rsidP="00943758">
      <w:pPr>
        <w:widowControl w:val="0"/>
        <w:spacing w:before="120" w:after="120" w:line="240" w:lineRule="auto"/>
        <w:ind w:left="426"/>
        <w:jc w:val="both"/>
        <w:rPr>
          <w:rFonts w:ascii="Times New Roman" w:eastAsia="Times New Roman" w:hAnsi="Times New Roman" w:cs="Times New Roman"/>
          <w:bCs/>
          <w:color w:val="000000"/>
        </w:rPr>
      </w:pPr>
      <w:r w:rsidRPr="00943758">
        <w:rPr>
          <w:rFonts w:ascii="Times New Roman" w:eastAsia="Times New Roman" w:hAnsi="Times New Roman" w:cs="Times New Roman"/>
          <w:b/>
          <w:bCs/>
          <w:color w:val="000000"/>
        </w:rPr>
        <w:t>Attitűdje:</w:t>
      </w:r>
      <w:r w:rsidRPr="00943758">
        <w:rPr>
          <w:rFonts w:ascii="Times New Roman" w:eastAsia="Times New Roman" w:hAnsi="Times New Roman" w:cs="Times New Roman"/>
          <w:bCs/>
          <w:color w:val="000000"/>
        </w:rPr>
        <w:t xml:space="preserve"> </w:t>
      </w:r>
    </w:p>
    <w:p w:rsidR="00943758" w:rsidRPr="00943758" w:rsidRDefault="00943758" w:rsidP="00980876">
      <w:pPr>
        <w:widowControl w:val="0"/>
        <w:numPr>
          <w:ilvl w:val="0"/>
          <w:numId w:val="469"/>
        </w:numPr>
        <w:spacing w:before="120" w:after="120" w:line="240" w:lineRule="auto"/>
        <w:contextualSpacing/>
        <w:jc w:val="both"/>
        <w:rPr>
          <w:rFonts w:ascii="Times New Roman" w:eastAsia="Times New Roman" w:hAnsi="Times New Roman" w:cs="Times New Roman"/>
          <w:bCs/>
          <w:color w:val="000000"/>
        </w:rPr>
      </w:pPr>
      <w:r w:rsidRPr="00943758">
        <w:rPr>
          <w:rFonts w:ascii="Times New Roman" w:eastAsia="Times New Roman" w:hAnsi="Times New Roman" w:cs="Times New Roman"/>
          <w:bCs/>
          <w:color w:val="000000"/>
        </w:rPr>
        <w:t xml:space="preserve">Nyitott a szakterületén rendszeresített és használt katonai célú korszerű negyedik és ötödik generációs harcirepülőgépek, helyből fel- és leszálló harcirepülőgépek, helikopterek és billenőrotoros repülőgépekkel kapcsolatos szakmai ismereteinek gyarapítása iránt, folyamatos önképzési igény jellemzi. </w:t>
      </w:r>
    </w:p>
    <w:p w:rsidR="00943758" w:rsidRPr="00943758" w:rsidRDefault="00943758" w:rsidP="00980876">
      <w:pPr>
        <w:widowControl w:val="0"/>
        <w:numPr>
          <w:ilvl w:val="0"/>
          <w:numId w:val="469"/>
        </w:numPr>
        <w:spacing w:before="120" w:after="120" w:line="240" w:lineRule="auto"/>
        <w:contextualSpacing/>
        <w:jc w:val="both"/>
        <w:rPr>
          <w:rFonts w:ascii="Times New Roman" w:eastAsia="Times New Roman" w:hAnsi="Times New Roman" w:cs="Times New Roman"/>
          <w:bCs/>
          <w:color w:val="000000"/>
        </w:rPr>
      </w:pPr>
      <w:r w:rsidRPr="00943758">
        <w:rPr>
          <w:rFonts w:ascii="Times New Roman" w:eastAsia="Times New Roman" w:hAnsi="Times New Roman" w:cs="Times New Roman"/>
          <w:bCs/>
          <w:color w:val="000000"/>
        </w:rPr>
        <w:t xml:space="preserve">Törekszik munkája során a pilótanélküli repülőgépek (UAV) fontosabb típusainak megismerésére. </w:t>
      </w:r>
    </w:p>
    <w:p w:rsidR="00943758" w:rsidRPr="00943758" w:rsidRDefault="00943758" w:rsidP="00980876">
      <w:pPr>
        <w:widowControl w:val="0"/>
        <w:numPr>
          <w:ilvl w:val="0"/>
          <w:numId w:val="469"/>
        </w:numPr>
        <w:spacing w:before="120" w:after="120" w:line="240" w:lineRule="auto"/>
        <w:contextualSpacing/>
        <w:jc w:val="both"/>
        <w:rPr>
          <w:rFonts w:ascii="Times New Roman" w:eastAsia="Times New Roman" w:hAnsi="Times New Roman" w:cs="Times New Roman"/>
          <w:bCs/>
          <w:color w:val="000000"/>
        </w:rPr>
      </w:pPr>
      <w:r w:rsidRPr="00943758">
        <w:rPr>
          <w:rFonts w:ascii="Times New Roman" w:eastAsia="Times New Roman" w:hAnsi="Times New Roman" w:cs="Times New Roman"/>
          <w:bCs/>
          <w:color w:val="000000"/>
        </w:rPr>
        <w:t>Nyitott a haditechnikai szakterület új eredményei felé, törekszik azok megismerésére, különös tekintettel a korszerű katonai célú repülő eszközökre.</w:t>
      </w:r>
    </w:p>
    <w:p w:rsidR="00943758" w:rsidRPr="00943758" w:rsidRDefault="00943758" w:rsidP="00943758">
      <w:pPr>
        <w:widowControl w:val="0"/>
        <w:spacing w:before="120" w:after="120" w:line="240" w:lineRule="auto"/>
        <w:ind w:left="426"/>
        <w:jc w:val="both"/>
        <w:rPr>
          <w:rFonts w:ascii="Times New Roman" w:eastAsia="Times New Roman" w:hAnsi="Times New Roman" w:cs="Times New Roman"/>
          <w:bCs/>
          <w:color w:val="000000"/>
        </w:rPr>
      </w:pPr>
      <w:r w:rsidRPr="00943758">
        <w:rPr>
          <w:rFonts w:ascii="Times New Roman" w:eastAsia="Times New Roman" w:hAnsi="Times New Roman" w:cs="Times New Roman"/>
          <w:b/>
          <w:bCs/>
          <w:color w:val="000000"/>
        </w:rPr>
        <w:t>Autonómiája és felelőssége:</w:t>
      </w:r>
      <w:r w:rsidRPr="00943758">
        <w:rPr>
          <w:rFonts w:ascii="Times New Roman" w:eastAsia="Times New Roman" w:hAnsi="Times New Roman" w:cs="Times New Roman"/>
          <w:bCs/>
          <w:color w:val="000000"/>
        </w:rPr>
        <w:t xml:space="preserve"> </w:t>
      </w:r>
    </w:p>
    <w:p w:rsidR="00943758" w:rsidRPr="00943758" w:rsidRDefault="00943758" w:rsidP="00980876">
      <w:pPr>
        <w:widowControl w:val="0"/>
        <w:numPr>
          <w:ilvl w:val="0"/>
          <w:numId w:val="469"/>
        </w:numPr>
        <w:spacing w:before="120" w:after="120" w:line="240" w:lineRule="auto"/>
        <w:contextualSpacing/>
        <w:jc w:val="both"/>
        <w:rPr>
          <w:rFonts w:ascii="Times New Roman" w:eastAsia="Times New Roman" w:hAnsi="Times New Roman" w:cs="Times New Roman"/>
          <w:bCs/>
          <w:color w:val="000000"/>
        </w:rPr>
      </w:pPr>
      <w:r w:rsidRPr="00943758">
        <w:rPr>
          <w:rFonts w:ascii="Times New Roman" w:eastAsia="Times New Roman" w:hAnsi="Times New Roman" w:cs="Times New Roman"/>
          <w:bCs/>
          <w:color w:val="000000"/>
        </w:rPr>
        <w:t>Képes alárendeltjeinek feladatait megszervezni és meghatározni, valamint elvégzett munkájukat szakmai szempontok alapján ellenőrizni.</w:t>
      </w:r>
    </w:p>
    <w:p w:rsidR="00943758" w:rsidRPr="00943758" w:rsidRDefault="00943758" w:rsidP="00980876">
      <w:pPr>
        <w:widowControl w:val="0"/>
        <w:numPr>
          <w:ilvl w:val="0"/>
          <w:numId w:val="469"/>
        </w:numPr>
        <w:spacing w:before="120" w:after="120" w:line="240" w:lineRule="auto"/>
        <w:contextualSpacing/>
        <w:jc w:val="both"/>
        <w:rPr>
          <w:rFonts w:ascii="Times New Roman" w:eastAsia="Times New Roman" w:hAnsi="Times New Roman" w:cs="Times New Roman"/>
          <w:bCs/>
          <w:color w:val="000000"/>
        </w:rPr>
      </w:pPr>
      <w:r w:rsidRPr="00943758">
        <w:rPr>
          <w:rFonts w:ascii="Times New Roman" w:eastAsia="Times New Roman" w:hAnsi="Times New Roman" w:cs="Times New Roman"/>
          <w:bCs/>
          <w:color w:val="000000"/>
        </w:rPr>
        <w:t xml:space="preserve">Együttműködés és felelősség jellemzi szakterületének szakembereivel szemben. </w:t>
      </w:r>
    </w:p>
    <w:p w:rsidR="00943758" w:rsidRPr="00943758" w:rsidRDefault="00943758" w:rsidP="00980876">
      <w:pPr>
        <w:widowControl w:val="0"/>
        <w:numPr>
          <w:ilvl w:val="0"/>
          <w:numId w:val="469"/>
        </w:numPr>
        <w:spacing w:before="120" w:after="120" w:line="240" w:lineRule="auto"/>
        <w:contextualSpacing/>
        <w:jc w:val="both"/>
        <w:rPr>
          <w:rFonts w:ascii="Times New Roman" w:eastAsia="Times New Roman" w:hAnsi="Times New Roman" w:cs="Times New Roman"/>
          <w:bCs/>
          <w:color w:val="000000"/>
        </w:rPr>
      </w:pPr>
      <w:r w:rsidRPr="00943758">
        <w:rPr>
          <w:rFonts w:ascii="Times New Roman" w:eastAsia="Times New Roman" w:hAnsi="Times New Roman" w:cs="Times New Roman"/>
          <w:bCs/>
          <w:color w:val="000000"/>
        </w:rPr>
        <w:t>Szakterületén belül képes rendszer-szemléletűen gondolkodni.</w:t>
      </w:r>
    </w:p>
    <w:p w:rsidR="00943758" w:rsidRPr="00943758" w:rsidRDefault="00943758" w:rsidP="00943758">
      <w:pPr>
        <w:widowControl w:val="0"/>
        <w:spacing w:before="120" w:after="120" w:line="240" w:lineRule="auto"/>
        <w:ind w:left="720"/>
        <w:contextualSpacing/>
        <w:jc w:val="both"/>
        <w:rPr>
          <w:rFonts w:ascii="Times New Roman" w:eastAsia="Times New Roman" w:hAnsi="Times New Roman" w:cs="Times New Roman"/>
          <w:b/>
          <w:bCs/>
          <w:color w:val="000000"/>
        </w:rPr>
      </w:pPr>
    </w:p>
    <w:p w:rsidR="00943758" w:rsidRPr="00943758" w:rsidRDefault="00943758" w:rsidP="00943758">
      <w:pPr>
        <w:widowControl w:val="0"/>
        <w:spacing w:before="120" w:after="120" w:line="240" w:lineRule="auto"/>
        <w:ind w:left="720"/>
        <w:contextualSpacing/>
        <w:jc w:val="both"/>
        <w:rPr>
          <w:rFonts w:ascii="Times New Roman" w:eastAsia="Times New Roman" w:hAnsi="Times New Roman" w:cs="Times New Roman"/>
          <w:b/>
          <w:bCs/>
          <w:color w:val="000000"/>
          <w:lang w:val="en-US"/>
        </w:rPr>
      </w:pPr>
      <w:r w:rsidRPr="00943758">
        <w:rPr>
          <w:rFonts w:ascii="Times New Roman" w:eastAsia="Times New Roman" w:hAnsi="Times New Roman" w:cs="Times New Roman"/>
          <w:b/>
          <w:bCs/>
          <w:color w:val="000000"/>
        </w:rPr>
        <w:t>Elérendő kompetenciák (angolul) (</w:t>
      </w:r>
      <w:r w:rsidRPr="00943758">
        <w:rPr>
          <w:rFonts w:ascii="Times New Roman" w:eastAsia="Times New Roman" w:hAnsi="Times New Roman" w:cs="Times New Roman"/>
          <w:b/>
          <w:bCs/>
          <w:color w:val="000000"/>
          <w:lang w:val="en-US"/>
        </w:rPr>
        <w:t xml:space="preserve">Competences – English): </w:t>
      </w:r>
    </w:p>
    <w:p w:rsidR="00943758" w:rsidRPr="00943758" w:rsidRDefault="00943758" w:rsidP="00943758">
      <w:pPr>
        <w:widowControl w:val="0"/>
        <w:spacing w:before="120" w:after="120" w:line="240" w:lineRule="auto"/>
        <w:ind w:left="426"/>
        <w:jc w:val="both"/>
        <w:rPr>
          <w:rFonts w:ascii="Times New Roman" w:eastAsia="Times New Roman" w:hAnsi="Times New Roman" w:cs="Times New Roman"/>
          <w:bCs/>
          <w:i/>
          <w:color w:val="000000"/>
        </w:rPr>
      </w:pPr>
      <w:r w:rsidRPr="00943758">
        <w:rPr>
          <w:rFonts w:ascii="Times New Roman" w:eastAsia="Times New Roman" w:hAnsi="Times New Roman" w:cs="Times New Roman"/>
          <w:b/>
          <w:color w:val="000000"/>
          <w:lang w:val="en-GB"/>
        </w:rPr>
        <w:t>Knowledge</w:t>
      </w:r>
      <w:r w:rsidRPr="00943758">
        <w:rPr>
          <w:rFonts w:ascii="Times New Roman" w:eastAsia="Times New Roman" w:hAnsi="Times New Roman" w:cs="Times New Roman"/>
          <w:color w:val="000000"/>
          <w:lang w:val="en-GB"/>
        </w:rPr>
        <w:t>:</w:t>
      </w:r>
      <w:r w:rsidRPr="00943758">
        <w:rPr>
          <w:rFonts w:ascii="Times New Roman" w:eastAsia="Times New Roman" w:hAnsi="Times New Roman" w:cs="Times New Roman"/>
          <w:bCs/>
          <w:i/>
          <w:color w:val="000000"/>
        </w:rPr>
        <w:t xml:space="preserve"> </w:t>
      </w:r>
    </w:p>
    <w:p w:rsidR="00943758" w:rsidRPr="00943758" w:rsidRDefault="00943758" w:rsidP="00980876">
      <w:pPr>
        <w:widowControl w:val="0"/>
        <w:numPr>
          <w:ilvl w:val="0"/>
          <w:numId w:val="469"/>
        </w:numPr>
        <w:spacing w:before="120" w:after="120" w:line="240" w:lineRule="auto"/>
        <w:contextualSpacing/>
        <w:jc w:val="both"/>
        <w:rPr>
          <w:rFonts w:ascii="Times New Roman" w:eastAsia="Times New Roman" w:hAnsi="Times New Roman" w:cs="Times New Roman"/>
          <w:bCs/>
          <w:color w:val="000000"/>
          <w:lang w:val="en-US"/>
        </w:rPr>
      </w:pPr>
      <w:r w:rsidRPr="00943758">
        <w:rPr>
          <w:rFonts w:ascii="Times New Roman" w:eastAsia="Times New Roman" w:hAnsi="Times New Roman" w:cs="Times New Roman"/>
          <w:bCs/>
          <w:color w:val="000000"/>
        </w:rPr>
        <w:t>Knows the s</w:t>
      </w:r>
      <w:r w:rsidRPr="00943758">
        <w:rPr>
          <w:rFonts w:ascii="Times New Roman" w:eastAsia="Times New Roman" w:hAnsi="Times New Roman" w:cs="Times New Roman"/>
          <w:bCs/>
          <w:color w:val="000000"/>
          <w:lang w:val="en-US"/>
        </w:rPr>
        <w:t xml:space="preserve">tate of the art </w:t>
      </w:r>
      <w:r w:rsidRPr="00943758">
        <w:rPr>
          <w:rFonts w:ascii="Times New Roman" w:eastAsia="Calibri" w:hAnsi="Times New Roman" w:cs="Times New Roman"/>
          <w:color w:val="000000"/>
        </w:rPr>
        <w:t xml:space="preserve">airplanes </w:t>
      </w:r>
      <w:r w:rsidRPr="00943758">
        <w:rPr>
          <w:rFonts w:ascii="Times New Roman" w:eastAsia="Times New Roman" w:hAnsi="Times New Roman" w:cs="Times New Roman"/>
          <w:bCs/>
          <w:color w:val="000000"/>
          <w:lang w:val="en-US"/>
        </w:rPr>
        <w:t xml:space="preserve">in the wars of modern age. </w:t>
      </w:r>
    </w:p>
    <w:p w:rsidR="00943758" w:rsidRPr="00943758" w:rsidRDefault="00943758" w:rsidP="00980876">
      <w:pPr>
        <w:widowControl w:val="0"/>
        <w:numPr>
          <w:ilvl w:val="0"/>
          <w:numId w:val="469"/>
        </w:numPr>
        <w:spacing w:before="120" w:after="120" w:line="240" w:lineRule="auto"/>
        <w:contextualSpacing/>
        <w:jc w:val="both"/>
        <w:rPr>
          <w:rFonts w:ascii="Times New Roman" w:eastAsia="Times New Roman" w:hAnsi="Times New Roman" w:cs="Times New Roman"/>
          <w:bCs/>
          <w:color w:val="000000"/>
          <w:lang w:val="en-US"/>
        </w:rPr>
      </w:pPr>
      <w:r w:rsidRPr="00943758">
        <w:rPr>
          <w:rFonts w:ascii="Times New Roman" w:eastAsia="Times New Roman" w:hAnsi="Times New Roman" w:cs="Times New Roman"/>
          <w:bCs/>
          <w:color w:val="000000"/>
        </w:rPr>
        <w:t xml:space="preserve">Knows and is able to learn and study about </w:t>
      </w:r>
      <w:r w:rsidRPr="00943758">
        <w:rPr>
          <w:rFonts w:ascii="Times New Roman" w:eastAsia="Times New Roman" w:hAnsi="Times New Roman" w:cs="Times New Roman"/>
          <w:bCs/>
          <w:color w:val="000000"/>
          <w:lang w:val="en-US"/>
        </w:rPr>
        <w:t xml:space="preserve">unmanned air vehicles (UAV). </w:t>
      </w:r>
    </w:p>
    <w:p w:rsidR="00943758" w:rsidRPr="00943758" w:rsidRDefault="00943758" w:rsidP="00980876">
      <w:pPr>
        <w:widowControl w:val="0"/>
        <w:numPr>
          <w:ilvl w:val="0"/>
          <w:numId w:val="469"/>
        </w:numPr>
        <w:spacing w:before="120" w:after="120" w:line="240" w:lineRule="auto"/>
        <w:contextualSpacing/>
        <w:jc w:val="both"/>
        <w:rPr>
          <w:rFonts w:ascii="Times New Roman" w:eastAsia="Times New Roman" w:hAnsi="Times New Roman" w:cs="Times New Roman"/>
          <w:bCs/>
          <w:color w:val="000000"/>
          <w:lang w:val="en-US"/>
        </w:rPr>
      </w:pPr>
      <w:r w:rsidRPr="00943758">
        <w:rPr>
          <w:rFonts w:ascii="Times New Roman" w:eastAsia="Times New Roman" w:hAnsi="Times New Roman" w:cs="Times New Roman"/>
          <w:bCs/>
          <w:color w:val="000000"/>
          <w:lang w:val="en-US"/>
        </w:rPr>
        <w:t>Knows the variants of fourth and fifth generation fighter aircrafts, Vertical Take Off and Landing fighter aircrafts, helicopters and convertiplanes (till rotor aircrafts) and other air vehicles.</w:t>
      </w:r>
    </w:p>
    <w:p w:rsidR="00943758" w:rsidRPr="00943758" w:rsidRDefault="00943758" w:rsidP="00980876">
      <w:pPr>
        <w:widowControl w:val="0"/>
        <w:numPr>
          <w:ilvl w:val="0"/>
          <w:numId w:val="469"/>
        </w:numPr>
        <w:spacing w:before="120" w:after="120" w:line="240" w:lineRule="auto"/>
        <w:contextualSpacing/>
        <w:jc w:val="both"/>
        <w:rPr>
          <w:rFonts w:ascii="Times New Roman" w:eastAsia="Times New Roman" w:hAnsi="Times New Roman" w:cs="Times New Roman"/>
          <w:bCs/>
          <w:color w:val="000000"/>
          <w:lang w:val="en-US"/>
        </w:rPr>
      </w:pPr>
      <w:r w:rsidRPr="00943758">
        <w:rPr>
          <w:rFonts w:ascii="Times New Roman" w:eastAsia="Times New Roman" w:hAnsi="Times New Roman" w:cs="Times New Roman"/>
          <w:bCs/>
          <w:color w:val="000000"/>
          <w:lang w:val="en-US"/>
        </w:rPr>
        <w:t>Knows the variants of Vertical Take Off and Landing fighter aircrafts.</w:t>
      </w:r>
    </w:p>
    <w:p w:rsidR="00943758" w:rsidRPr="00943758" w:rsidRDefault="00943758" w:rsidP="00943758">
      <w:pPr>
        <w:widowControl w:val="0"/>
        <w:spacing w:before="120" w:after="120" w:line="240" w:lineRule="auto"/>
        <w:ind w:left="426"/>
        <w:jc w:val="both"/>
        <w:rPr>
          <w:rFonts w:ascii="Times New Roman" w:eastAsia="Times New Roman" w:hAnsi="Times New Roman" w:cs="Times New Roman"/>
          <w:color w:val="000000"/>
          <w:lang w:val="en-GB"/>
        </w:rPr>
      </w:pPr>
      <w:r w:rsidRPr="00943758">
        <w:rPr>
          <w:rFonts w:ascii="Times New Roman" w:eastAsia="Times New Roman" w:hAnsi="Times New Roman" w:cs="Times New Roman"/>
          <w:b/>
          <w:color w:val="000000"/>
          <w:lang w:val="en-GB"/>
        </w:rPr>
        <w:t>Capabilities</w:t>
      </w:r>
      <w:r w:rsidRPr="00943758">
        <w:rPr>
          <w:rFonts w:ascii="Times New Roman" w:eastAsia="Times New Roman" w:hAnsi="Times New Roman" w:cs="Times New Roman"/>
          <w:color w:val="000000"/>
          <w:lang w:val="en-GB"/>
        </w:rPr>
        <w:t xml:space="preserve">: </w:t>
      </w:r>
    </w:p>
    <w:p w:rsidR="00943758" w:rsidRPr="00943758" w:rsidRDefault="00943758" w:rsidP="00980876">
      <w:pPr>
        <w:widowControl w:val="0"/>
        <w:numPr>
          <w:ilvl w:val="0"/>
          <w:numId w:val="469"/>
        </w:numPr>
        <w:spacing w:before="120" w:after="120" w:line="240" w:lineRule="auto"/>
        <w:contextualSpacing/>
        <w:jc w:val="both"/>
        <w:rPr>
          <w:rFonts w:ascii="Times New Roman" w:eastAsia="Times New Roman" w:hAnsi="Times New Roman" w:cs="Times New Roman"/>
          <w:bCs/>
          <w:color w:val="000000"/>
        </w:rPr>
      </w:pPr>
      <w:r w:rsidRPr="00943758">
        <w:rPr>
          <w:rFonts w:ascii="Times New Roman" w:eastAsia="Times New Roman" w:hAnsi="Times New Roman" w:cs="Times New Roman"/>
          <w:bCs/>
          <w:color w:val="000000"/>
        </w:rPr>
        <w:t xml:space="preserve">Is capable of recogniseing the types of </w:t>
      </w:r>
      <w:r w:rsidRPr="00943758">
        <w:rPr>
          <w:rFonts w:ascii="Times New Roman" w:eastAsia="Times New Roman" w:hAnsi="Times New Roman" w:cs="Times New Roman"/>
          <w:bCs/>
          <w:color w:val="000000"/>
          <w:lang w:val="en-US"/>
        </w:rPr>
        <w:t>fourth and fifth generation fighter aircrafts, Vertical Take Off and Landing fighter aircrafts, helicopters and convertiplanes (till rotor aircrafts) and other air vehicles</w:t>
      </w:r>
      <w:r w:rsidRPr="00943758">
        <w:rPr>
          <w:rFonts w:ascii="Times New Roman" w:eastAsia="Times New Roman" w:hAnsi="Times New Roman" w:cs="Times New Roman"/>
          <w:bCs/>
          <w:color w:val="000000"/>
        </w:rPr>
        <w:t>.</w:t>
      </w:r>
    </w:p>
    <w:p w:rsidR="00943758" w:rsidRPr="00943758" w:rsidRDefault="00943758" w:rsidP="00980876">
      <w:pPr>
        <w:widowControl w:val="0"/>
        <w:numPr>
          <w:ilvl w:val="0"/>
          <w:numId w:val="469"/>
        </w:numPr>
        <w:spacing w:before="120" w:after="120" w:line="240" w:lineRule="auto"/>
        <w:contextualSpacing/>
        <w:jc w:val="both"/>
        <w:rPr>
          <w:rFonts w:ascii="Times New Roman" w:eastAsia="Times New Roman" w:hAnsi="Times New Roman" w:cs="Times New Roman"/>
          <w:bCs/>
          <w:color w:val="000000"/>
        </w:rPr>
      </w:pPr>
      <w:r w:rsidRPr="00943758">
        <w:rPr>
          <w:rFonts w:ascii="Times New Roman" w:eastAsia="Times New Roman" w:hAnsi="Times New Roman" w:cs="Times New Roman"/>
          <w:bCs/>
          <w:color w:val="000000"/>
        </w:rPr>
        <w:t>Is capable to learn and study about the state of the art air vehicles in the wars of modern age.</w:t>
      </w:r>
    </w:p>
    <w:p w:rsidR="00943758" w:rsidRPr="00943758" w:rsidRDefault="00943758" w:rsidP="00980876">
      <w:pPr>
        <w:widowControl w:val="0"/>
        <w:numPr>
          <w:ilvl w:val="0"/>
          <w:numId w:val="469"/>
        </w:numPr>
        <w:spacing w:before="120" w:after="120" w:line="240" w:lineRule="auto"/>
        <w:contextualSpacing/>
        <w:jc w:val="both"/>
        <w:rPr>
          <w:rFonts w:ascii="Times New Roman" w:eastAsia="Times New Roman" w:hAnsi="Times New Roman" w:cs="Times New Roman"/>
          <w:bCs/>
          <w:color w:val="000000"/>
        </w:rPr>
      </w:pPr>
      <w:r w:rsidRPr="00943758">
        <w:rPr>
          <w:rFonts w:ascii="Times New Roman" w:eastAsia="Times New Roman" w:hAnsi="Times New Roman" w:cs="Times New Roman"/>
          <w:bCs/>
          <w:color w:val="000000"/>
        </w:rPr>
        <w:t>Is capable of recogniseing the aircraft-types of the Hungarian Defence Forces.</w:t>
      </w:r>
    </w:p>
    <w:p w:rsidR="00943758" w:rsidRPr="00943758" w:rsidRDefault="00943758" w:rsidP="00943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color w:val="000000"/>
          <w:lang w:val="en-GB"/>
        </w:rPr>
      </w:pPr>
      <w:r w:rsidRPr="00943758">
        <w:rPr>
          <w:rFonts w:ascii="Times New Roman" w:eastAsia="Times New Roman" w:hAnsi="Times New Roman" w:cs="Times New Roman"/>
          <w:b/>
          <w:color w:val="000000"/>
          <w:lang w:val="en-GB"/>
        </w:rPr>
        <w:t>Attitude:</w:t>
      </w:r>
      <w:r w:rsidRPr="00943758">
        <w:rPr>
          <w:rFonts w:ascii="Times New Roman" w:eastAsia="Times New Roman" w:hAnsi="Times New Roman" w:cs="Times New Roman"/>
          <w:color w:val="000000"/>
          <w:lang w:val="en-GB"/>
        </w:rPr>
        <w:t xml:space="preserve"> </w:t>
      </w:r>
    </w:p>
    <w:p w:rsidR="00943758" w:rsidRPr="00943758" w:rsidRDefault="00943758" w:rsidP="00980876">
      <w:pPr>
        <w:numPr>
          <w:ilvl w:val="0"/>
          <w:numId w:val="4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color w:val="000000"/>
          <w:lang w:eastAsia="hu-HU"/>
        </w:rPr>
      </w:pPr>
      <w:r w:rsidRPr="00943758">
        <w:rPr>
          <w:rFonts w:ascii="Times New Roman" w:eastAsia="Times New Roman" w:hAnsi="Times New Roman" w:cs="Times New Roman"/>
          <w:color w:val="000000"/>
        </w:rPr>
        <w:t>He/she is open to widen his/her knowledge regarding</w:t>
      </w:r>
      <w:r w:rsidRPr="00943758">
        <w:rPr>
          <w:rFonts w:ascii="Times New Roman" w:eastAsia="Times New Roman" w:hAnsi="Times New Roman" w:cs="Times New Roman"/>
          <w:bCs/>
          <w:color w:val="000000"/>
        </w:rPr>
        <w:t xml:space="preserve"> the types of the fourth and fifth generation fighter aircrafts, Vertical Take Off and Landing fighter aircrafts, helicopters and convertiplanes (till rotor aircrafts) and other air vehicles.</w:t>
      </w:r>
    </w:p>
    <w:p w:rsidR="00943758" w:rsidRPr="00943758" w:rsidRDefault="00943758" w:rsidP="00980876">
      <w:pPr>
        <w:numPr>
          <w:ilvl w:val="0"/>
          <w:numId w:val="4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color w:val="000000"/>
          <w:lang w:eastAsia="hu-HU"/>
        </w:rPr>
      </w:pPr>
      <w:r w:rsidRPr="00943758">
        <w:rPr>
          <w:rFonts w:ascii="Times New Roman" w:eastAsia="Times New Roman" w:hAnsi="Times New Roman" w:cs="Times New Roman"/>
          <w:color w:val="000000"/>
        </w:rPr>
        <w:t>He/she aims to adhere to the knowledge of</w:t>
      </w:r>
      <w:r w:rsidRPr="00943758">
        <w:rPr>
          <w:rFonts w:ascii="Times New Roman" w:eastAsia="Calibri" w:hAnsi="Times New Roman" w:cs="Times New Roman"/>
          <w:color w:val="000000"/>
        </w:rPr>
        <w:t xml:space="preserve"> </w:t>
      </w:r>
      <w:r w:rsidRPr="00943758">
        <w:rPr>
          <w:rFonts w:ascii="Times New Roman" w:eastAsia="Times New Roman" w:hAnsi="Times New Roman" w:cs="Times New Roman"/>
          <w:color w:val="000000"/>
        </w:rPr>
        <w:t xml:space="preserve">the item </w:t>
      </w:r>
      <w:r w:rsidRPr="00943758">
        <w:rPr>
          <w:rFonts w:ascii="Times New Roman" w:eastAsia="Times New Roman" w:hAnsi="Times New Roman" w:cs="Times New Roman"/>
          <w:bCs/>
          <w:color w:val="000000"/>
        </w:rPr>
        <w:t>of the</w:t>
      </w:r>
      <w:r w:rsidRPr="00943758">
        <w:rPr>
          <w:rFonts w:ascii="Calibri" w:eastAsia="Calibri" w:hAnsi="Calibri" w:cs="Times New Roman"/>
        </w:rPr>
        <w:t xml:space="preserve"> </w:t>
      </w:r>
      <w:r w:rsidRPr="00943758">
        <w:rPr>
          <w:rFonts w:ascii="Times New Roman" w:eastAsia="Times New Roman" w:hAnsi="Times New Roman" w:cs="Times New Roman"/>
          <w:color w:val="000000"/>
        </w:rPr>
        <w:t>state of the art air vehicles in the wars of modern age.</w:t>
      </w:r>
    </w:p>
    <w:p w:rsidR="00943758" w:rsidRPr="00943758" w:rsidRDefault="00943758" w:rsidP="00980876">
      <w:pPr>
        <w:numPr>
          <w:ilvl w:val="0"/>
          <w:numId w:val="4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color w:val="000000"/>
          <w:lang w:eastAsia="hu-HU"/>
        </w:rPr>
      </w:pPr>
      <w:r w:rsidRPr="00943758">
        <w:rPr>
          <w:rFonts w:ascii="Times New Roman" w:eastAsia="Times New Roman" w:hAnsi="Times New Roman" w:cs="Times New Roman"/>
          <w:color w:val="000000"/>
        </w:rPr>
        <w:t xml:space="preserve">His/her work and relationships can be described by loyalty and reliability. </w:t>
      </w:r>
    </w:p>
    <w:p w:rsidR="00943758" w:rsidRPr="00943758" w:rsidRDefault="00943758" w:rsidP="00980876">
      <w:pPr>
        <w:numPr>
          <w:ilvl w:val="0"/>
          <w:numId w:val="4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color w:val="000000"/>
          <w:lang w:eastAsia="hu-HU"/>
        </w:rPr>
      </w:pPr>
      <w:r w:rsidRPr="00943758">
        <w:rPr>
          <w:rFonts w:ascii="Times New Roman" w:eastAsia="Times New Roman" w:hAnsi="Times New Roman" w:cs="Times New Roman"/>
          <w:color w:val="000000"/>
        </w:rPr>
        <w:t xml:space="preserve">He/she is open towards the new accomplishments of military technology and aims to gain knowledge of these, </w:t>
      </w:r>
      <w:r w:rsidRPr="00943758">
        <w:rPr>
          <w:rFonts w:ascii="Times New Roman" w:eastAsia="Times New Roman" w:hAnsi="Times New Roman" w:cs="Times New Roman"/>
          <w:bCs/>
          <w:color w:val="000000"/>
          <w:lang w:eastAsia="hu-HU"/>
        </w:rPr>
        <w:t>especially the military aircrafts.</w:t>
      </w:r>
    </w:p>
    <w:p w:rsidR="00943758" w:rsidRPr="00943758" w:rsidRDefault="00943758" w:rsidP="00943758">
      <w:pPr>
        <w:widowControl w:val="0"/>
        <w:spacing w:before="120" w:after="120" w:line="240" w:lineRule="auto"/>
        <w:ind w:left="426"/>
        <w:jc w:val="both"/>
        <w:rPr>
          <w:rFonts w:ascii="Times New Roman" w:eastAsia="Times New Roman" w:hAnsi="Times New Roman" w:cs="Times New Roman"/>
          <w:b/>
          <w:color w:val="000000"/>
          <w:lang w:val="en-GB"/>
        </w:rPr>
      </w:pPr>
      <w:r w:rsidRPr="00943758">
        <w:rPr>
          <w:rFonts w:ascii="Times New Roman" w:eastAsia="Times New Roman" w:hAnsi="Times New Roman" w:cs="Times New Roman"/>
          <w:b/>
          <w:color w:val="000000"/>
          <w:lang w:val="en-GB"/>
        </w:rPr>
        <w:t xml:space="preserve">Autonomy and responsibility: </w:t>
      </w:r>
    </w:p>
    <w:p w:rsidR="00943758" w:rsidRPr="00943758" w:rsidRDefault="00943758" w:rsidP="00980876">
      <w:pPr>
        <w:widowControl w:val="0"/>
        <w:numPr>
          <w:ilvl w:val="0"/>
          <w:numId w:val="469"/>
        </w:numPr>
        <w:spacing w:before="120" w:after="120" w:line="240" w:lineRule="auto"/>
        <w:contextualSpacing/>
        <w:jc w:val="both"/>
        <w:rPr>
          <w:rFonts w:ascii="Times New Roman" w:eastAsia="Times New Roman" w:hAnsi="Times New Roman" w:cs="Times New Roman"/>
          <w:color w:val="000000"/>
          <w:lang w:val="en-GB"/>
        </w:rPr>
      </w:pPr>
      <w:r w:rsidRPr="00943758">
        <w:rPr>
          <w:rFonts w:ascii="Times New Roman" w:eastAsia="Times New Roman" w:hAnsi="Times New Roman" w:cs="Times New Roman"/>
          <w:color w:val="000000"/>
        </w:rPr>
        <w:t>Is capable of</w:t>
      </w:r>
      <w:r w:rsidRPr="00943758">
        <w:rPr>
          <w:rFonts w:ascii="Times New Roman" w:eastAsia="Calibri" w:hAnsi="Times New Roman" w:cs="Times New Roman"/>
          <w:color w:val="000000"/>
        </w:rPr>
        <w:t xml:space="preserve"> </w:t>
      </w:r>
      <w:r w:rsidRPr="00943758">
        <w:rPr>
          <w:rFonts w:ascii="Times New Roman" w:eastAsia="Times New Roman" w:hAnsi="Times New Roman" w:cs="Times New Roman"/>
          <w:color w:val="000000"/>
        </w:rPr>
        <w:t>distinguish</w:t>
      </w:r>
      <w:r w:rsidRPr="00943758">
        <w:rPr>
          <w:rFonts w:ascii="Times New Roman" w:eastAsia="Calibri" w:hAnsi="Times New Roman" w:cs="Times New Roman"/>
          <w:color w:val="000000"/>
        </w:rPr>
        <w:t xml:space="preserve"> </w:t>
      </w:r>
      <w:r w:rsidRPr="00943758">
        <w:rPr>
          <w:rFonts w:ascii="Times New Roman" w:eastAsia="Times New Roman" w:hAnsi="Times New Roman" w:cs="Times New Roman"/>
          <w:color w:val="000000"/>
        </w:rPr>
        <w:t>the types of the military aircrafts.</w:t>
      </w:r>
    </w:p>
    <w:p w:rsidR="00943758" w:rsidRPr="00943758" w:rsidRDefault="00943758" w:rsidP="00980876">
      <w:pPr>
        <w:widowControl w:val="0"/>
        <w:numPr>
          <w:ilvl w:val="0"/>
          <w:numId w:val="469"/>
        </w:numPr>
        <w:spacing w:before="120" w:after="120" w:line="240" w:lineRule="auto"/>
        <w:contextualSpacing/>
        <w:jc w:val="both"/>
        <w:rPr>
          <w:rFonts w:ascii="Times New Roman" w:eastAsia="Times New Roman" w:hAnsi="Times New Roman" w:cs="Times New Roman"/>
          <w:color w:val="000000"/>
          <w:lang w:val="en-GB"/>
        </w:rPr>
      </w:pPr>
      <w:r w:rsidRPr="00943758">
        <w:rPr>
          <w:rFonts w:ascii="Times New Roman" w:eastAsia="Times New Roman" w:hAnsi="Times New Roman" w:cs="Times New Roman"/>
          <w:color w:val="000000"/>
        </w:rPr>
        <w:t xml:space="preserve">He/she is capable of </w:t>
      </w:r>
      <w:r w:rsidRPr="00943758">
        <w:rPr>
          <w:rFonts w:ascii="Times New Roman" w:eastAsia="Times New Roman" w:hAnsi="Times New Roman" w:cs="Times New Roman"/>
          <w:bCs/>
          <w:color w:val="000000"/>
        </w:rPr>
        <w:t>recogniseing</w:t>
      </w:r>
      <w:r w:rsidRPr="00943758">
        <w:rPr>
          <w:rFonts w:ascii="Times New Roman" w:eastAsia="Times New Roman" w:hAnsi="Times New Roman" w:cs="Times New Roman"/>
          <w:bCs/>
          <w:color w:val="000000"/>
          <w:lang w:eastAsia="hu-HU"/>
        </w:rPr>
        <w:t xml:space="preserve"> unmanned air vehicles (UAV) and land military robots </w:t>
      </w:r>
      <w:r w:rsidRPr="00943758">
        <w:rPr>
          <w:rFonts w:ascii="Times New Roman" w:eastAsia="Times New Roman" w:hAnsi="Times New Roman" w:cs="Times New Roman"/>
          <w:bCs/>
          <w:color w:val="000000"/>
          <w:lang w:eastAsia="hu-HU"/>
        </w:rPr>
        <w:lastRenderedPageBreak/>
        <w:t>(Unmanned Ground Vehicles), watercraft and underwater robots.</w:t>
      </w:r>
    </w:p>
    <w:p w:rsidR="00943758" w:rsidRPr="00943758" w:rsidRDefault="00943758" w:rsidP="00980876">
      <w:pPr>
        <w:widowControl w:val="0"/>
        <w:numPr>
          <w:ilvl w:val="0"/>
          <w:numId w:val="469"/>
        </w:numPr>
        <w:spacing w:before="120" w:after="120" w:line="240" w:lineRule="auto"/>
        <w:contextualSpacing/>
        <w:jc w:val="both"/>
        <w:rPr>
          <w:rFonts w:ascii="Times New Roman" w:eastAsia="Times New Roman" w:hAnsi="Times New Roman" w:cs="Times New Roman"/>
          <w:color w:val="000000"/>
          <w:lang w:val="en-GB"/>
        </w:rPr>
      </w:pPr>
      <w:r w:rsidRPr="00943758">
        <w:rPr>
          <w:rFonts w:ascii="Times New Roman" w:eastAsia="Times New Roman" w:hAnsi="Times New Roman" w:cs="Times New Roman"/>
          <w:color w:val="000000"/>
        </w:rPr>
        <w:t>He/she is cooperative and responsible towards the professionals of his/her field.</w:t>
      </w:r>
    </w:p>
    <w:p w:rsidR="00943758" w:rsidRPr="00943758" w:rsidRDefault="00943758" w:rsidP="00980876">
      <w:pPr>
        <w:widowControl w:val="0"/>
        <w:numPr>
          <w:ilvl w:val="0"/>
          <w:numId w:val="469"/>
        </w:numPr>
        <w:spacing w:before="120" w:after="120" w:line="240" w:lineRule="auto"/>
        <w:contextualSpacing/>
        <w:jc w:val="both"/>
        <w:rPr>
          <w:rFonts w:ascii="Times New Roman" w:eastAsia="Times New Roman" w:hAnsi="Times New Roman" w:cs="Times New Roman"/>
          <w:color w:val="000000"/>
          <w:lang w:val="en-GB"/>
        </w:rPr>
      </w:pPr>
      <w:r w:rsidRPr="00943758">
        <w:rPr>
          <w:rFonts w:ascii="Times New Roman" w:eastAsia="Times New Roman" w:hAnsi="Times New Roman" w:cs="Times New Roman"/>
          <w:color w:val="000000"/>
        </w:rPr>
        <w:t>Is capable of thinking in a system approach within his/her own field.</w:t>
      </w:r>
    </w:p>
    <w:p w:rsidR="00943758" w:rsidRPr="00943758" w:rsidRDefault="00943758" w:rsidP="00980876">
      <w:pPr>
        <w:widowControl w:val="0"/>
        <w:numPr>
          <w:ilvl w:val="0"/>
          <w:numId w:val="472"/>
        </w:numPr>
        <w:spacing w:before="240" w:after="120" w:line="240" w:lineRule="auto"/>
        <w:ind w:left="426" w:hanging="142"/>
        <w:jc w:val="both"/>
        <w:rPr>
          <w:rFonts w:ascii="Times New Roman" w:eastAsia="Times New Roman" w:hAnsi="Times New Roman" w:cs="Times New Roman"/>
          <w:bCs/>
          <w:color w:val="000000"/>
        </w:rPr>
      </w:pPr>
      <w:r w:rsidRPr="00943758">
        <w:rPr>
          <w:rFonts w:ascii="Times New Roman" w:eastAsia="Times New Roman" w:hAnsi="Times New Roman" w:cs="Times New Roman"/>
          <w:b/>
          <w:bCs/>
          <w:color w:val="000000"/>
        </w:rPr>
        <w:t>Előtanulmányi követelmények: -</w:t>
      </w:r>
    </w:p>
    <w:p w:rsidR="00943758" w:rsidRPr="00943758" w:rsidRDefault="00943758" w:rsidP="00980876">
      <w:pPr>
        <w:widowControl w:val="0"/>
        <w:numPr>
          <w:ilvl w:val="0"/>
          <w:numId w:val="472"/>
        </w:numPr>
        <w:spacing w:before="120" w:after="120" w:line="240" w:lineRule="auto"/>
        <w:ind w:left="426" w:hanging="142"/>
        <w:jc w:val="both"/>
        <w:rPr>
          <w:rFonts w:ascii="Times New Roman" w:eastAsia="Times New Roman" w:hAnsi="Times New Roman" w:cs="Times New Roman"/>
          <w:b/>
          <w:bCs/>
          <w:color w:val="000000"/>
        </w:rPr>
      </w:pPr>
      <w:r w:rsidRPr="00943758">
        <w:rPr>
          <w:rFonts w:ascii="Times New Roman" w:eastAsia="Times New Roman" w:hAnsi="Times New Roman" w:cs="Times New Roman"/>
          <w:b/>
          <w:bCs/>
          <w:color w:val="000000"/>
        </w:rPr>
        <w:t>A tantárgy tananyagának leírása, tematika. Description of the subject, curriculum (magyarul, angolul - English):</w:t>
      </w:r>
    </w:p>
    <w:p w:rsidR="00943758" w:rsidRPr="00943758" w:rsidRDefault="00943758" w:rsidP="00980876">
      <w:pPr>
        <w:widowControl w:val="0"/>
        <w:numPr>
          <w:ilvl w:val="1"/>
          <w:numId w:val="472"/>
        </w:numPr>
        <w:tabs>
          <w:tab w:val="clear" w:pos="3977"/>
        </w:tabs>
        <w:spacing w:before="120" w:after="120" w:line="240" w:lineRule="auto"/>
        <w:ind w:left="851" w:hanging="567"/>
        <w:contextualSpacing/>
        <w:jc w:val="both"/>
        <w:rPr>
          <w:rFonts w:ascii="Times New Roman" w:eastAsia="Times New Roman" w:hAnsi="Times New Roman" w:cs="Times New Roman"/>
          <w:bCs/>
          <w:color w:val="000000"/>
        </w:rPr>
      </w:pPr>
      <w:r w:rsidRPr="00943758">
        <w:rPr>
          <w:rFonts w:ascii="Times New Roman" w:eastAsia="Times New Roman" w:hAnsi="Times New Roman" w:cs="Times New Roman"/>
          <w:bCs/>
          <w:color w:val="000000"/>
        </w:rPr>
        <w:t>A korszerű katonai célú repülő eszközök a modern kor háborúiban. (</w:t>
      </w:r>
      <w:r w:rsidRPr="00943758">
        <w:rPr>
          <w:rFonts w:ascii="Times New Roman" w:eastAsia="Times New Roman" w:hAnsi="Times New Roman" w:cs="Times New Roman"/>
          <w:bCs/>
          <w:i/>
          <w:color w:val="000000"/>
        </w:rPr>
        <w:t>State of the art airplanes in the wars of modern age</w:t>
      </w:r>
      <w:r w:rsidRPr="00943758">
        <w:rPr>
          <w:rFonts w:ascii="Times New Roman" w:eastAsia="Times New Roman" w:hAnsi="Times New Roman" w:cs="Times New Roman"/>
          <w:bCs/>
          <w:color w:val="000000"/>
        </w:rPr>
        <w:t>.)</w:t>
      </w:r>
    </w:p>
    <w:p w:rsidR="00943758" w:rsidRPr="00943758" w:rsidRDefault="00943758" w:rsidP="00980876">
      <w:pPr>
        <w:widowControl w:val="0"/>
        <w:numPr>
          <w:ilvl w:val="1"/>
          <w:numId w:val="472"/>
        </w:numPr>
        <w:tabs>
          <w:tab w:val="clear" w:pos="3977"/>
        </w:tabs>
        <w:spacing w:before="120" w:after="120" w:line="240" w:lineRule="auto"/>
        <w:ind w:left="851" w:hanging="567"/>
        <w:contextualSpacing/>
        <w:jc w:val="both"/>
        <w:rPr>
          <w:rFonts w:ascii="Times New Roman" w:eastAsia="Times New Roman" w:hAnsi="Times New Roman" w:cs="Times New Roman"/>
          <w:bCs/>
          <w:color w:val="000000"/>
        </w:rPr>
      </w:pPr>
      <w:r w:rsidRPr="00943758">
        <w:rPr>
          <w:rFonts w:ascii="Times New Roman" w:eastAsia="Times New Roman" w:hAnsi="Times New Roman" w:cs="Times New Roman"/>
          <w:bCs/>
          <w:color w:val="000000"/>
        </w:rPr>
        <w:t>Negyedik és ötödik generációs harcirepülőgépek. (</w:t>
      </w:r>
      <w:r w:rsidRPr="00943758">
        <w:rPr>
          <w:rFonts w:ascii="Times New Roman" w:eastAsia="Times New Roman" w:hAnsi="Times New Roman" w:cs="Times New Roman"/>
          <w:bCs/>
          <w:i/>
          <w:color w:val="000000"/>
        </w:rPr>
        <w:t>Fourth and fifth generation fighter aircrafts</w:t>
      </w:r>
      <w:r w:rsidRPr="00943758">
        <w:rPr>
          <w:rFonts w:ascii="Times New Roman" w:eastAsia="Times New Roman" w:hAnsi="Times New Roman" w:cs="Times New Roman"/>
          <w:bCs/>
          <w:color w:val="000000"/>
        </w:rPr>
        <w:t>.)</w:t>
      </w:r>
    </w:p>
    <w:p w:rsidR="00943758" w:rsidRPr="00943758" w:rsidRDefault="00943758" w:rsidP="00980876">
      <w:pPr>
        <w:widowControl w:val="0"/>
        <w:numPr>
          <w:ilvl w:val="1"/>
          <w:numId w:val="472"/>
        </w:numPr>
        <w:tabs>
          <w:tab w:val="clear" w:pos="3977"/>
        </w:tabs>
        <w:spacing w:before="120" w:after="120" w:line="240" w:lineRule="auto"/>
        <w:ind w:left="851" w:hanging="567"/>
        <w:contextualSpacing/>
        <w:jc w:val="both"/>
        <w:rPr>
          <w:rFonts w:ascii="Times New Roman" w:eastAsia="Times New Roman" w:hAnsi="Times New Roman" w:cs="Times New Roman"/>
          <w:bCs/>
          <w:color w:val="000000"/>
        </w:rPr>
      </w:pPr>
      <w:r w:rsidRPr="00943758">
        <w:rPr>
          <w:rFonts w:ascii="Times New Roman" w:eastAsia="Times New Roman" w:hAnsi="Times New Roman" w:cs="Times New Roman"/>
          <w:bCs/>
          <w:color w:val="000000"/>
        </w:rPr>
        <w:t xml:space="preserve"> Helyből fel- és leszálló harcirepülőgépek. (</w:t>
      </w:r>
      <w:r w:rsidRPr="00943758">
        <w:rPr>
          <w:rFonts w:ascii="Times New Roman" w:eastAsia="Times New Roman" w:hAnsi="Times New Roman" w:cs="Times New Roman"/>
          <w:bCs/>
          <w:i/>
          <w:color w:val="000000"/>
        </w:rPr>
        <w:t>Vertical Take Off and Landing fighter aircrafts</w:t>
      </w:r>
      <w:r w:rsidRPr="00943758">
        <w:rPr>
          <w:rFonts w:ascii="Times New Roman" w:eastAsia="Times New Roman" w:hAnsi="Times New Roman" w:cs="Times New Roman"/>
          <w:bCs/>
          <w:color w:val="000000"/>
        </w:rPr>
        <w:t>.)</w:t>
      </w:r>
    </w:p>
    <w:p w:rsidR="00943758" w:rsidRPr="00943758" w:rsidRDefault="00943758" w:rsidP="00980876">
      <w:pPr>
        <w:widowControl w:val="0"/>
        <w:numPr>
          <w:ilvl w:val="1"/>
          <w:numId w:val="472"/>
        </w:numPr>
        <w:tabs>
          <w:tab w:val="clear" w:pos="3977"/>
        </w:tabs>
        <w:spacing w:before="120" w:after="120" w:line="240" w:lineRule="auto"/>
        <w:ind w:left="851" w:hanging="567"/>
        <w:contextualSpacing/>
        <w:jc w:val="both"/>
        <w:rPr>
          <w:rFonts w:ascii="Times New Roman" w:eastAsia="Times New Roman" w:hAnsi="Times New Roman" w:cs="Times New Roman"/>
          <w:bCs/>
          <w:color w:val="000000"/>
        </w:rPr>
      </w:pPr>
      <w:r w:rsidRPr="00943758">
        <w:rPr>
          <w:rFonts w:ascii="Times New Roman" w:eastAsia="Times New Roman" w:hAnsi="Times New Roman" w:cs="Times New Roman"/>
          <w:bCs/>
          <w:color w:val="000000"/>
        </w:rPr>
        <w:t>Helikopterek és billenőrotoros repülőgépek. (</w:t>
      </w:r>
      <w:r w:rsidRPr="00943758">
        <w:rPr>
          <w:rFonts w:ascii="Times New Roman" w:eastAsia="Times New Roman" w:hAnsi="Times New Roman" w:cs="Times New Roman"/>
          <w:bCs/>
          <w:i/>
          <w:color w:val="000000"/>
        </w:rPr>
        <w:t>Helicopters and convertiplanes (till rotor aircrafts)</w:t>
      </w:r>
      <w:r w:rsidRPr="00943758">
        <w:rPr>
          <w:rFonts w:ascii="Times New Roman" w:eastAsia="Times New Roman" w:hAnsi="Times New Roman" w:cs="Times New Roman"/>
          <w:bCs/>
          <w:color w:val="000000"/>
        </w:rPr>
        <w:t>.</w:t>
      </w:r>
    </w:p>
    <w:p w:rsidR="00943758" w:rsidRPr="00943758" w:rsidRDefault="00943758" w:rsidP="00980876">
      <w:pPr>
        <w:widowControl w:val="0"/>
        <w:numPr>
          <w:ilvl w:val="1"/>
          <w:numId w:val="472"/>
        </w:numPr>
        <w:tabs>
          <w:tab w:val="clear" w:pos="3977"/>
        </w:tabs>
        <w:spacing w:before="120" w:after="120" w:line="240" w:lineRule="auto"/>
        <w:ind w:left="851" w:hanging="567"/>
        <w:contextualSpacing/>
        <w:jc w:val="both"/>
        <w:rPr>
          <w:rFonts w:ascii="Times New Roman" w:eastAsia="Times New Roman" w:hAnsi="Times New Roman" w:cs="Times New Roman"/>
          <w:bCs/>
          <w:color w:val="000000"/>
        </w:rPr>
      </w:pPr>
      <w:r w:rsidRPr="00943758">
        <w:rPr>
          <w:rFonts w:ascii="Times New Roman" w:eastAsia="Times New Roman" w:hAnsi="Times New Roman" w:cs="Times New Roman"/>
          <w:bCs/>
          <w:color w:val="000000"/>
        </w:rPr>
        <w:t>Pilótanélküli repülőgépek (UAV). (</w:t>
      </w:r>
      <w:r w:rsidRPr="00943758">
        <w:rPr>
          <w:rFonts w:ascii="Times New Roman" w:eastAsia="Times New Roman" w:hAnsi="Times New Roman" w:cs="Times New Roman"/>
          <w:bCs/>
          <w:i/>
          <w:color w:val="000000"/>
        </w:rPr>
        <w:t>Unmanned air vehicles (UAV</w:t>
      </w:r>
      <w:r w:rsidRPr="00943758">
        <w:rPr>
          <w:rFonts w:ascii="Times New Roman" w:eastAsia="Times New Roman" w:hAnsi="Times New Roman" w:cs="Times New Roman"/>
          <w:bCs/>
          <w:color w:val="000000"/>
        </w:rPr>
        <w:t>).</w:t>
      </w:r>
    </w:p>
    <w:p w:rsidR="00943758" w:rsidRPr="00943758" w:rsidRDefault="00943758" w:rsidP="00980876">
      <w:pPr>
        <w:widowControl w:val="0"/>
        <w:numPr>
          <w:ilvl w:val="1"/>
          <w:numId w:val="472"/>
        </w:numPr>
        <w:tabs>
          <w:tab w:val="clear" w:pos="3977"/>
        </w:tabs>
        <w:spacing w:before="120" w:after="120" w:line="240" w:lineRule="auto"/>
        <w:ind w:left="851" w:hanging="567"/>
        <w:contextualSpacing/>
        <w:jc w:val="both"/>
        <w:rPr>
          <w:rFonts w:ascii="Times New Roman" w:eastAsia="Times New Roman" w:hAnsi="Times New Roman" w:cs="Times New Roman"/>
          <w:bCs/>
          <w:color w:val="000000"/>
        </w:rPr>
      </w:pPr>
      <w:r w:rsidRPr="00943758">
        <w:rPr>
          <w:rFonts w:ascii="Times New Roman" w:eastAsia="Times New Roman" w:hAnsi="Times New Roman" w:cs="Times New Roman"/>
          <w:bCs/>
          <w:color w:val="000000"/>
        </w:rPr>
        <w:t>Korszerű katonai ejtőernyők. (</w:t>
      </w:r>
      <w:r w:rsidRPr="00943758">
        <w:rPr>
          <w:rFonts w:ascii="Times New Roman" w:eastAsia="Times New Roman" w:hAnsi="Times New Roman" w:cs="Times New Roman"/>
          <w:bCs/>
          <w:i/>
          <w:color w:val="000000"/>
        </w:rPr>
        <w:t>State of the art military parachutes</w:t>
      </w:r>
      <w:r w:rsidRPr="00943758">
        <w:rPr>
          <w:rFonts w:ascii="Times New Roman" w:eastAsia="Times New Roman" w:hAnsi="Times New Roman" w:cs="Times New Roman"/>
          <w:bCs/>
          <w:color w:val="000000"/>
        </w:rPr>
        <w:t>.)</w:t>
      </w:r>
    </w:p>
    <w:p w:rsidR="00943758" w:rsidRPr="00943758" w:rsidRDefault="00943758" w:rsidP="00980876">
      <w:pPr>
        <w:widowControl w:val="0"/>
        <w:numPr>
          <w:ilvl w:val="1"/>
          <w:numId w:val="472"/>
        </w:numPr>
        <w:tabs>
          <w:tab w:val="clear" w:pos="3977"/>
        </w:tabs>
        <w:spacing w:before="120" w:after="120" w:line="240" w:lineRule="auto"/>
        <w:ind w:left="851" w:hanging="567"/>
        <w:contextualSpacing/>
        <w:jc w:val="both"/>
        <w:rPr>
          <w:rFonts w:ascii="Times New Roman" w:eastAsia="Times New Roman" w:hAnsi="Times New Roman" w:cs="Times New Roman"/>
          <w:bCs/>
          <w:color w:val="000000"/>
        </w:rPr>
      </w:pPr>
      <w:r w:rsidRPr="00943758">
        <w:rPr>
          <w:rFonts w:ascii="Times New Roman" w:eastAsia="Times New Roman" w:hAnsi="Times New Roman" w:cs="Times New Roman"/>
          <w:bCs/>
          <w:color w:val="000000"/>
        </w:rPr>
        <w:t>Az F-35 harci repülőgép. (</w:t>
      </w:r>
      <w:r w:rsidRPr="00943758">
        <w:rPr>
          <w:rFonts w:ascii="Times New Roman" w:eastAsia="Times New Roman" w:hAnsi="Times New Roman" w:cs="Times New Roman"/>
          <w:bCs/>
          <w:i/>
          <w:color w:val="000000"/>
        </w:rPr>
        <w:t xml:space="preserve">The F-35 fighter aircraft.) </w:t>
      </w:r>
      <w:r w:rsidRPr="00943758">
        <w:rPr>
          <w:rFonts w:ascii="Times New Roman" w:eastAsia="Times New Roman" w:hAnsi="Times New Roman" w:cs="Times New Roman"/>
          <w:bCs/>
          <w:color w:val="000000"/>
        </w:rPr>
        <w:t xml:space="preserve"> Az F-35 részleges lopakodóképessége és emelő-ventilátoros felszállása. (</w:t>
      </w:r>
      <w:r w:rsidRPr="00943758">
        <w:rPr>
          <w:rFonts w:ascii="Times New Roman" w:eastAsia="Times New Roman" w:hAnsi="Times New Roman" w:cs="Times New Roman"/>
          <w:bCs/>
          <w:i/>
          <w:color w:val="000000"/>
        </w:rPr>
        <w:t>Particular stealth capability and take off with lifting ventilator (fan) capability of F-35.</w:t>
      </w:r>
      <w:r w:rsidRPr="00943758">
        <w:rPr>
          <w:rFonts w:ascii="Times New Roman" w:eastAsia="Times New Roman" w:hAnsi="Times New Roman" w:cs="Times New Roman"/>
          <w:bCs/>
          <w:color w:val="000000"/>
        </w:rPr>
        <w:t xml:space="preserve">) </w:t>
      </w:r>
    </w:p>
    <w:p w:rsidR="00943758" w:rsidRPr="00943758" w:rsidRDefault="00943758" w:rsidP="00980876">
      <w:pPr>
        <w:widowControl w:val="0"/>
        <w:numPr>
          <w:ilvl w:val="1"/>
          <w:numId w:val="472"/>
        </w:numPr>
        <w:tabs>
          <w:tab w:val="clear" w:pos="3977"/>
        </w:tabs>
        <w:spacing w:before="120" w:after="120" w:line="240" w:lineRule="auto"/>
        <w:ind w:left="851" w:hanging="567"/>
        <w:contextualSpacing/>
        <w:jc w:val="both"/>
        <w:rPr>
          <w:rFonts w:ascii="Times New Roman" w:eastAsia="Times New Roman" w:hAnsi="Times New Roman" w:cs="Times New Roman"/>
          <w:bCs/>
          <w:color w:val="000000"/>
        </w:rPr>
      </w:pPr>
      <w:r w:rsidRPr="00943758">
        <w:rPr>
          <w:rFonts w:ascii="Times New Roman" w:eastAsia="Times New Roman" w:hAnsi="Times New Roman" w:cs="Times New Roman"/>
          <w:bCs/>
          <w:color w:val="000000"/>
        </w:rPr>
        <w:t xml:space="preserve"> A helyből fel- és leszálló (VTOL) Harrier harci repülőgép. (</w:t>
      </w:r>
      <w:r w:rsidRPr="00943758">
        <w:rPr>
          <w:rFonts w:ascii="Times New Roman" w:eastAsia="Times New Roman" w:hAnsi="Times New Roman" w:cs="Times New Roman"/>
          <w:bCs/>
          <w:i/>
          <w:color w:val="000000"/>
        </w:rPr>
        <w:t>The Harrier fighter aircraft with vertical take off and landing (VTOL) capability.</w:t>
      </w:r>
      <w:r w:rsidRPr="00943758">
        <w:rPr>
          <w:rFonts w:ascii="Times New Roman" w:eastAsia="Times New Roman" w:hAnsi="Times New Roman" w:cs="Times New Roman"/>
          <w:bCs/>
          <w:color w:val="000000"/>
        </w:rPr>
        <w:t>)</w:t>
      </w:r>
    </w:p>
    <w:p w:rsidR="00943758" w:rsidRPr="00943758" w:rsidRDefault="00943758" w:rsidP="00980876">
      <w:pPr>
        <w:widowControl w:val="0"/>
        <w:numPr>
          <w:ilvl w:val="1"/>
          <w:numId w:val="472"/>
        </w:numPr>
        <w:tabs>
          <w:tab w:val="clear" w:pos="3977"/>
        </w:tabs>
        <w:spacing w:before="120" w:after="120" w:line="240" w:lineRule="auto"/>
        <w:ind w:left="851" w:hanging="567"/>
        <w:contextualSpacing/>
        <w:jc w:val="both"/>
        <w:rPr>
          <w:rFonts w:ascii="Times New Roman" w:eastAsia="Times New Roman" w:hAnsi="Times New Roman" w:cs="Times New Roman"/>
          <w:bCs/>
          <w:color w:val="000000"/>
        </w:rPr>
      </w:pPr>
      <w:r w:rsidRPr="00943758">
        <w:rPr>
          <w:rFonts w:ascii="Times New Roman" w:eastAsia="Times New Roman" w:hAnsi="Times New Roman" w:cs="Times New Roman"/>
          <w:bCs/>
          <w:color w:val="000000"/>
        </w:rPr>
        <w:t>A JAS-39 Gripen harci repülőgép. (</w:t>
      </w:r>
      <w:r w:rsidRPr="00943758">
        <w:rPr>
          <w:rFonts w:ascii="Times New Roman" w:eastAsia="Times New Roman" w:hAnsi="Times New Roman" w:cs="Times New Roman"/>
          <w:bCs/>
          <w:i/>
          <w:color w:val="000000"/>
        </w:rPr>
        <w:t>The JAS-39 Gripen fighter aircraft</w:t>
      </w:r>
      <w:r w:rsidRPr="00943758">
        <w:rPr>
          <w:rFonts w:ascii="Times New Roman" w:eastAsia="Times New Roman" w:hAnsi="Times New Roman" w:cs="Times New Roman"/>
          <w:bCs/>
          <w:color w:val="000000"/>
        </w:rPr>
        <w:t>.)</w:t>
      </w:r>
    </w:p>
    <w:p w:rsidR="00943758" w:rsidRPr="00943758" w:rsidRDefault="00943758" w:rsidP="00980876">
      <w:pPr>
        <w:widowControl w:val="0"/>
        <w:numPr>
          <w:ilvl w:val="1"/>
          <w:numId w:val="472"/>
        </w:numPr>
        <w:tabs>
          <w:tab w:val="clear" w:pos="3977"/>
        </w:tabs>
        <w:spacing w:before="120" w:after="120" w:line="240" w:lineRule="auto"/>
        <w:ind w:left="851" w:hanging="567"/>
        <w:contextualSpacing/>
        <w:jc w:val="both"/>
        <w:rPr>
          <w:rFonts w:ascii="Times New Roman" w:eastAsia="Times New Roman" w:hAnsi="Times New Roman" w:cs="Times New Roman"/>
          <w:bCs/>
          <w:color w:val="000000"/>
        </w:rPr>
      </w:pPr>
      <w:r w:rsidRPr="00943758">
        <w:rPr>
          <w:rFonts w:ascii="Times New Roman" w:eastAsia="Times New Roman" w:hAnsi="Times New Roman" w:cs="Times New Roman"/>
          <w:bCs/>
          <w:color w:val="000000"/>
        </w:rPr>
        <w:t>Az UH-1 helikopter a kezdetektől a legmodernebb variánsig. (</w:t>
      </w:r>
      <w:r w:rsidRPr="00943758">
        <w:rPr>
          <w:rFonts w:ascii="Times New Roman" w:eastAsia="Times New Roman" w:hAnsi="Times New Roman" w:cs="Times New Roman"/>
          <w:bCs/>
          <w:i/>
          <w:color w:val="000000"/>
        </w:rPr>
        <w:t>The UH-1 type helicopter from the beginning to the most modern variant.</w:t>
      </w:r>
      <w:r w:rsidRPr="00943758">
        <w:rPr>
          <w:rFonts w:ascii="Times New Roman" w:eastAsia="Times New Roman" w:hAnsi="Times New Roman" w:cs="Times New Roman"/>
          <w:bCs/>
          <w:color w:val="000000"/>
        </w:rPr>
        <w:t>)</w:t>
      </w:r>
    </w:p>
    <w:p w:rsidR="00943758" w:rsidRPr="00943758" w:rsidRDefault="00943758" w:rsidP="00980876">
      <w:pPr>
        <w:widowControl w:val="0"/>
        <w:numPr>
          <w:ilvl w:val="1"/>
          <w:numId w:val="472"/>
        </w:numPr>
        <w:tabs>
          <w:tab w:val="clear" w:pos="3977"/>
        </w:tabs>
        <w:spacing w:before="120" w:after="120" w:line="240" w:lineRule="auto"/>
        <w:ind w:left="851" w:hanging="567"/>
        <w:contextualSpacing/>
        <w:jc w:val="both"/>
        <w:rPr>
          <w:rFonts w:ascii="Times New Roman" w:eastAsia="Times New Roman" w:hAnsi="Times New Roman" w:cs="Times New Roman"/>
          <w:bCs/>
          <w:color w:val="000000"/>
        </w:rPr>
      </w:pPr>
      <w:r w:rsidRPr="00943758">
        <w:rPr>
          <w:rFonts w:ascii="Times New Roman" w:eastAsia="Times New Roman" w:hAnsi="Times New Roman" w:cs="Times New Roman"/>
          <w:bCs/>
          <w:color w:val="000000"/>
        </w:rPr>
        <w:t>Bell-Boeing V-22 Osprey konvertiplán (billenőrotoros repülőgép) és a további konvertiplán típusok. (</w:t>
      </w:r>
      <w:r w:rsidRPr="00943758">
        <w:rPr>
          <w:rFonts w:ascii="Times New Roman" w:eastAsia="Times New Roman" w:hAnsi="Times New Roman" w:cs="Times New Roman"/>
          <w:bCs/>
          <w:i/>
          <w:color w:val="000000"/>
        </w:rPr>
        <w:t>The Bell-Boeing V-22 Osprey convertiplane (till rotor aircraft) and other types of convertiplanes</w:t>
      </w:r>
      <w:r w:rsidRPr="00943758">
        <w:rPr>
          <w:rFonts w:ascii="Times New Roman" w:eastAsia="Times New Roman" w:hAnsi="Times New Roman" w:cs="Times New Roman"/>
          <w:bCs/>
          <w:color w:val="000000"/>
        </w:rPr>
        <w:t>.)</w:t>
      </w:r>
    </w:p>
    <w:p w:rsidR="00943758" w:rsidRPr="00943758" w:rsidRDefault="00943758" w:rsidP="00980876">
      <w:pPr>
        <w:widowControl w:val="0"/>
        <w:numPr>
          <w:ilvl w:val="1"/>
          <w:numId w:val="472"/>
        </w:numPr>
        <w:tabs>
          <w:tab w:val="clear" w:pos="3977"/>
        </w:tabs>
        <w:spacing w:before="120" w:after="120" w:line="240" w:lineRule="auto"/>
        <w:ind w:left="851" w:hanging="567"/>
        <w:contextualSpacing/>
        <w:jc w:val="both"/>
        <w:rPr>
          <w:rFonts w:ascii="Times New Roman" w:eastAsia="Times New Roman" w:hAnsi="Times New Roman" w:cs="Times New Roman"/>
          <w:bCs/>
          <w:color w:val="000000"/>
        </w:rPr>
      </w:pPr>
      <w:r w:rsidRPr="00943758">
        <w:rPr>
          <w:rFonts w:ascii="Times New Roman" w:eastAsia="Times New Roman" w:hAnsi="Times New Roman" w:cs="Times New Roman"/>
          <w:bCs/>
          <w:color w:val="000000"/>
        </w:rPr>
        <w:t>Felfegyverzett könnyűrepülőgépek katonai alkalmazása. (</w:t>
      </w:r>
      <w:r w:rsidRPr="00943758">
        <w:rPr>
          <w:rFonts w:ascii="Times New Roman" w:eastAsia="Times New Roman" w:hAnsi="Times New Roman" w:cs="Times New Roman"/>
          <w:bCs/>
          <w:i/>
          <w:color w:val="000000"/>
        </w:rPr>
        <w:t>Military engagement of armed light aircrafts.</w:t>
      </w:r>
      <w:r w:rsidRPr="00943758">
        <w:rPr>
          <w:rFonts w:ascii="Times New Roman" w:eastAsia="Times New Roman" w:hAnsi="Times New Roman" w:cs="Times New Roman"/>
          <w:bCs/>
          <w:color w:val="000000"/>
        </w:rPr>
        <w:t>)</w:t>
      </w:r>
    </w:p>
    <w:p w:rsidR="00943758" w:rsidRPr="00943758" w:rsidRDefault="00943758" w:rsidP="00980876">
      <w:pPr>
        <w:widowControl w:val="0"/>
        <w:numPr>
          <w:ilvl w:val="1"/>
          <w:numId w:val="472"/>
        </w:numPr>
        <w:tabs>
          <w:tab w:val="clear" w:pos="3977"/>
        </w:tabs>
        <w:spacing w:before="120" w:after="120" w:line="240" w:lineRule="auto"/>
        <w:ind w:left="851" w:hanging="567"/>
        <w:contextualSpacing/>
        <w:jc w:val="both"/>
        <w:rPr>
          <w:rFonts w:ascii="Times New Roman" w:eastAsia="Times New Roman" w:hAnsi="Times New Roman" w:cs="Times New Roman"/>
          <w:bCs/>
          <w:color w:val="000000"/>
        </w:rPr>
      </w:pPr>
      <w:r w:rsidRPr="00943758">
        <w:rPr>
          <w:rFonts w:ascii="Times New Roman" w:eastAsia="Times New Roman" w:hAnsi="Times New Roman" w:cs="Times New Roman"/>
          <w:bCs/>
          <w:color w:val="000000"/>
        </w:rPr>
        <w:t>A magyar UAV-k (Bohn Hungary, HM Ei. Zrt.) és további típusok ismertetése. (</w:t>
      </w:r>
      <w:r w:rsidRPr="00943758">
        <w:rPr>
          <w:rFonts w:ascii="Times New Roman" w:eastAsia="Times New Roman" w:hAnsi="Times New Roman" w:cs="Times New Roman"/>
          <w:bCs/>
          <w:i/>
          <w:color w:val="000000"/>
        </w:rPr>
        <w:t>Review of the Hungarian UAV types (Bohn Hungary, HM Ei. Zrt.) and introducing of other UAV types</w:t>
      </w:r>
      <w:r w:rsidRPr="00943758">
        <w:rPr>
          <w:rFonts w:ascii="Times New Roman" w:eastAsia="Times New Roman" w:hAnsi="Times New Roman" w:cs="Times New Roman"/>
          <w:bCs/>
          <w:color w:val="000000"/>
        </w:rPr>
        <w:t>.)</w:t>
      </w:r>
    </w:p>
    <w:p w:rsidR="00943758" w:rsidRPr="00943758" w:rsidRDefault="00943758" w:rsidP="00980876">
      <w:pPr>
        <w:widowControl w:val="0"/>
        <w:numPr>
          <w:ilvl w:val="1"/>
          <w:numId w:val="472"/>
        </w:numPr>
        <w:tabs>
          <w:tab w:val="clear" w:pos="3977"/>
        </w:tabs>
        <w:spacing w:before="120" w:after="120" w:line="240" w:lineRule="auto"/>
        <w:ind w:left="851" w:hanging="567"/>
        <w:contextualSpacing/>
        <w:jc w:val="both"/>
        <w:rPr>
          <w:rFonts w:ascii="Times New Roman" w:eastAsia="Times New Roman" w:hAnsi="Times New Roman" w:cs="Times New Roman"/>
          <w:bCs/>
          <w:color w:val="000000"/>
        </w:rPr>
      </w:pPr>
      <w:r w:rsidRPr="00943758">
        <w:rPr>
          <w:rFonts w:ascii="Times New Roman" w:eastAsia="Times New Roman" w:hAnsi="Times New Roman" w:cs="Times New Roman"/>
          <w:bCs/>
          <w:color w:val="000000"/>
        </w:rPr>
        <w:t>A Haditechnikai Intézet Szojka UAV fejlesztési folyamata. (</w:t>
      </w:r>
      <w:r w:rsidRPr="00943758">
        <w:rPr>
          <w:rFonts w:ascii="Times New Roman" w:eastAsia="Times New Roman" w:hAnsi="Times New Roman" w:cs="Times New Roman"/>
          <w:bCs/>
          <w:i/>
          <w:color w:val="000000"/>
        </w:rPr>
        <w:t>Research and development process of the Sojka type UAV by the Military Technology Institute</w:t>
      </w:r>
      <w:r w:rsidRPr="00943758">
        <w:rPr>
          <w:rFonts w:ascii="Times New Roman" w:eastAsia="Times New Roman" w:hAnsi="Times New Roman" w:cs="Times New Roman"/>
          <w:bCs/>
          <w:color w:val="000000"/>
        </w:rPr>
        <w:t>.) A hazai UAV próbapálya. (</w:t>
      </w:r>
      <w:r w:rsidRPr="00943758">
        <w:rPr>
          <w:rFonts w:ascii="Times New Roman" w:eastAsia="Times New Roman" w:hAnsi="Times New Roman" w:cs="Times New Roman"/>
          <w:bCs/>
          <w:i/>
          <w:color w:val="000000"/>
        </w:rPr>
        <w:t>The Hungarian UAV test field.</w:t>
      </w:r>
      <w:r w:rsidRPr="00943758">
        <w:rPr>
          <w:rFonts w:ascii="Times New Roman" w:eastAsia="Times New Roman" w:hAnsi="Times New Roman" w:cs="Times New Roman"/>
          <w:bCs/>
          <w:color w:val="000000"/>
        </w:rPr>
        <w:t>) UAV-k a Magyar Honvédségben. (</w:t>
      </w:r>
      <w:r w:rsidRPr="00943758">
        <w:rPr>
          <w:rFonts w:ascii="Times New Roman" w:eastAsia="Times New Roman" w:hAnsi="Times New Roman" w:cs="Times New Roman"/>
          <w:bCs/>
          <w:i/>
          <w:color w:val="000000"/>
        </w:rPr>
        <w:t>UAV-s in the Hungarian Defence Forces</w:t>
      </w:r>
      <w:r w:rsidRPr="00943758">
        <w:rPr>
          <w:rFonts w:ascii="Times New Roman" w:eastAsia="Times New Roman" w:hAnsi="Times New Roman" w:cs="Times New Roman"/>
          <w:bCs/>
          <w:color w:val="000000"/>
        </w:rPr>
        <w:t>.)</w:t>
      </w:r>
    </w:p>
    <w:p w:rsidR="00943758" w:rsidRPr="00943758" w:rsidRDefault="00943758" w:rsidP="00980876">
      <w:pPr>
        <w:widowControl w:val="0"/>
        <w:numPr>
          <w:ilvl w:val="0"/>
          <w:numId w:val="472"/>
        </w:numPr>
        <w:spacing w:before="120" w:after="120" w:line="240" w:lineRule="auto"/>
        <w:ind w:left="426" w:hanging="142"/>
        <w:jc w:val="both"/>
        <w:rPr>
          <w:rFonts w:ascii="Times New Roman" w:eastAsia="Times New Roman" w:hAnsi="Times New Roman" w:cs="Times New Roman"/>
          <w:bCs/>
          <w:color w:val="000000"/>
        </w:rPr>
      </w:pPr>
      <w:r w:rsidRPr="00943758">
        <w:rPr>
          <w:rFonts w:ascii="Times New Roman" w:eastAsia="Times New Roman" w:hAnsi="Times New Roman" w:cs="Times New Roman"/>
          <w:b/>
          <w:bCs/>
          <w:color w:val="000000"/>
        </w:rPr>
        <w:t>A tantárgy meghirdetésének gyakorisága/a tantervben történő félévi elhelyezkedése: 2</w:t>
      </w:r>
      <w:r w:rsidRPr="00943758">
        <w:rPr>
          <w:rFonts w:ascii="Times New Roman" w:eastAsia="Times New Roman" w:hAnsi="Times New Roman" w:cs="Times New Roman"/>
          <w:bCs/>
          <w:color w:val="000000"/>
        </w:rPr>
        <w:t>. félévtől, a félévi helyzetük a továbbiakban nincs meghatározva</w:t>
      </w:r>
    </w:p>
    <w:p w:rsidR="00943758" w:rsidRPr="00943758" w:rsidRDefault="00943758" w:rsidP="00980876">
      <w:pPr>
        <w:widowControl w:val="0"/>
        <w:numPr>
          <w:ilvl w:val="0"/>
          <w:numId w:val="472"/>
        </w:numPr>
        <w:spacing w:before="120" w:after="120" w:line="240" w:lineRule="auto"/>
        <w:ind w:left="426" w:hanging="142"/>
        <w:jc w:val="both"/>
        <w:rPr>
          <w:rFonts w:ascii="Times New Roman" w:eastAsia="Times New Roman" w:hAnsi="Times New Roman" w:cs="Times New Roman"/>
          <w:bCs/>
          <w:color w:val="000000"/>
        </w:rPr>
      </w:pPr>
      <w:r w:rsidRPr="00943758">
        <w:rPr>
          <w:rFonts w:ascii="Times New Roman" w:eastAsia="Times New Roman" w:hAnsi="Times New Roman" w:cs="Times New Roman"/>
          <w:b/>
          <w:bCs/>
          <w:color w:val="000000"/>
        </w:rPr>
        <w:t>A tanórákon való részvétel követelményei, az elfogadható hiányzások mértéke, a távolmaradás pótlásának lehetősége:</w:t>
      </w:r>
      <w:r w:rsidRPr="00943758">
        <w:rPr>
          <w:rFonts w:ascii="Times New Roman" w:eastAsia="Times New Roman" w:hAnsi="Times New Roman" w:cs="Times New Roman"/>
          <w:bCs/>
          <w:color w:val="000000"/>
        </w:rPr>
        <w:t xml:space="preserve"> A hallgatónak a tanórák legalább 70 %-án jelen kell lennie, 30 %-ot meghaladó hiányzás esetén a félév teljesítése nem írható alá. A hallgató köteles az előadás és a gyakorlat anyagát beszerezni, abból önállóan felkészülni. A hiányzás pótolható az oktató által kijelölt témakörben beadott, legalább elégségesre értékelt házidolgozattal.</w:t>
      </w:r>
    </w:p>
    <w:p w:rsidR="00943758" w:rsidRPr="00943758" w:rsidRDefault="00943758" w:rsidP="00980876">
      <w:pPr>
        <w:widowControl w:val="0"/>
        <w:numPr>
          <w:ilvl w:val="0"/>
          <w:numId w:val="472"/>
        </w:numPr>
        <w:spacing w:before="120" w:after="120" w:line="240" w:lineRule="auto"/>
        <w:ind w:left="426" w:hanging="142"/>
        <w:jc w:val="both"/>
        <w:rPr>
          <w:rFonts w:ascii="Times New Roman" w:eastAsia="Times New Roman" w:hAnsi="Times New Roman" w:cs="Times New Roman"/>
          <w:b/>
          <w:bCs/>
          <w:color w:val="000000"/>
        </w:rPr>
      </w:pPr>
      <w:r w:rsidRPr="00943758">
        <w:rPr>
          <w:rFonts w:ascii="Times New Roman" w:eastAsia="Times New Roman" w:hAnsi="Times New Roman" w:cs="Times New Roman"/>
          <w:b/>
          <w:color w:val="000000"/>
        </w:rPr>
        <w:t>Félévközi feladatok, ismeretek ellenőrzésének rendje:</w:t>
      </w:r>
      <w:r w:rsidRPr="00943758">
        <w:rPr>
          <w:rFonts w:ascii="Times New Roman" w:eastAsia="Times New Roman" w:hAnsi="Times New Roman" w:cs="Times New Roman"/>
          <w:bCs/>
          <w:color w:val="000000"/>
        </w:rPr>
        <w:t xml:space="preserve"> A félév során a hallgató egy zárthelyi dolgozatot ír. Zárthelyi dolgozatok a 12.1-12.14 tantárgyrészekből. A zárthelyi dolgozat témáit a kötelező irodalmak anyagából, illetve az előadásokon elhangzott ismeretanyagból kell összeállítani. A zárthelyi dolgozat értékelése ötfokozatú értékelés (a helyes válaszok aránya 0-60% elégtelen; 61-70% elégséges; 71-80% közepes; 81-90% jó; 91-100% jeles osztályzat). Eredménytelen zárthelyi dolgozat kétszer javítható</w:t>
      </w:r>
      <w:r w:rsidRPr="00943758">
        <w:rPr>
          <w:rFonts w:ascii="Calibri" w:eastAsia="Calibri" w:hAnsi="Calibri" w:cs="Times New Roman"/>
        </w:rPr>
        <w:t xml:space="preserve"> </w:t>
      </w:r>
      <w:r w:rsidRPr="00943758">
        <w:rPr>
          <w:rFonts w:ascii="Times New Roman" w:eastAsia="Times New Roman" w:hAnsi="Times New Roman" w:cs="Times New Roman"/>
          <w:bCs/>
          <w:color w:val="000000"/>
        </w:rPr>
        <w:t>a szorgalmi időszak végéig az oktatóval egyeztetett időpontokban. A dolgozatban teszt és esszé jellegű kérdések egyaránt szerepelnek.</w:t>
      </w:r>
    </w:p>
    <w:p w:rsidR="00943758" w:rsidRPr="00943758" w:rsidRDefault="00943758" w:rsidP="00980876">
      <w:pPr>
        <w:widowControl w:val="0"/>
        <w:numPr>
          <w:ilvl w:val="0"/>
          <w:numId w:val="472"/>
        </w:numPr>
        <w:spacing w:before="120" w:after="120" w:line="240" w:lineRule="auto"/>
        <w:ind w:left="426" w:hanging="142"/>
        <w:jc w:val="both"/>
        <w:rPr>
          <w:rFonts w:ascii="Times New Roman" w:eastAsia="Times New Roman" w:hAnsi="Times New Roman" w:cs="Times New Roman"/>
          <w:bCs/>
          <w:color w:val="000000"/>
        </w:rPr>
      </w:pPr>
      <w:r w:rsidRPr="00943758">
        <w:rPr>
          <w:rFonts w:ascii="Times New Roman" w:eastAsia="Times New Roman" w:hAnsi="Times New Roman" w:cs="Times New Roman"/>
          <w:b/>
          <w:bCs/>
          <w:color w:val="000000"/>
        </w:rPr>
        <w:t xml:space="preserve">Az értékelés, az aláírás és a kreditek megszerzésének pontos feltételei: </w:t>
      </w:r>
    </w:p>
    <w:p w:rsidR="00943758" w:rsidRPr="00943758" w:rsidRDefault="00943758" w:rsidP="00980876">
      <w:pPr>
        <w:widowControl w:val="0"/>
        <w:numPr>
          <w:ilvl w:val="1"/>
          <w:numId w:val="472"/>
        </w:numPr>
        <w:tabs>
          <w:tab w:val="clear" w:pos="3977"/>
          <w:tab w:val="left" w:pos="993"/>
        </w:tabs>
        <w:spacing w:before="120" w:after="120" w:line="240" w:lineRule="auto"/>
        <w:ind w:left="426" w:firstLine="0"/>
        <w:jc w:val="both"/>
        <w:rPr>
          <w:rFonts w:ascii="Times New Roman" w:eastAsia="Times New Roman" w:hAnsi="Times New Roman" w:cs="Times New Roman"/>
        </w:rPr>
      </w:pPr>
      <w:r w:rsidRPr="00943758">
        <w:rPr>
          <w:rFonts w:ascii="Times New Roman" w:eastAsia="Times New Roman" w:hAnsi="Times New Roman" w:cs="Times New Roman"/>
          <w:b/>
        </w:rPr>
        <w:t>Az aláírás megszerzésének feltételei:</w:t>
      </w:r>
      <w:r w:rsidRPr="00943758">
        <w:rPr>
          <w:rFonts w:ascii="Times New Roman" w:eastAsia="Times New Roman" w:hAnsi="Times New Roman" w:cs="Times New Roman"/>
        </w:rPr>
        <w:t xml:space="preserve"> </w:t>
      </w:r>
      <w:r w:rsidRPr="00943758">
        <w:rPr>
          <w:rFonts w:ascii="Times New Roman" w:eastAsia="Calibri" w:hAnsi="Times New Roman" w:cs="Times New Roman"/>
          <w:bCs/>
        </w:rPr>
        <w:t xml:space="preserve">Az aláírás megszerzésének feltétele a 14. pontban meghatározott arányú részvétel a foglalkozásokon és a 15. pontban meghatározott félévközi </w:t>
      </w:r>
      <w:r w:rsidRPr="00943758">
        <w:rPr>
          <w:rFonts w:ascii="Times New Roman" w:eastAsia="Calibri" w:hAnsi="Times New Roman" w:cs="Times New Roman"/>
          <w:bCs/>
        </w:rPr>
        <w:lastRenderedPageBreak/>
        <w:t>feladatok legalább elégséges teljesítése.</w:t>
      </w:r>
    </w:p>
    <w:p w:rsidR="00943758" w:rsidRPr="00943758" w:rsidRDefault="00943758" w:rsidP="00980876">
      <w:pPr>
        <w:widowControl w:val="0"/>
        <w:numPr>
          <w:ilvl w:val="1"/>
          <w:numId w:val="472"/>
        </w:numPr>
        <w:tabs>
          <w:tab w:val="clear" w:pos="3977"/>
          <w:tab w:val="left" w:pos="993"/>
        </w:tabs>
        <w:spacing w:before="120" w:after="120" w:line="240" w:lineRule="auto"/>
        <w:ind w:left="426" w:firstLine="0"/>
        <w:jc w:val="both"/>
        <w:rPr>
          <w:rFonts w:ascii="Times New Roman" w:eastAsia="Times New Roman" w:hAnsi="Times New Roman" w:cs="Times New Roman"/>
        </w:rPr>
      </w:pPr>
      <w:r w:rsidRPr="00943758">
        <w:rPr>
          <w:rFonts w:ascii="Times New Roman" w:eastAsia="Times New Roman" w:hAnsi="Times New Roman" w:cs="Times New Roman"/>
          <w:b/>
        </w:rPr>
        <w:t>Az értékelés:</w:t>
      </w:r>
      <w:r w:rsidRPr="00943758">
        <w:rPr>
          <w:rFonts w:ascii="Times New Roman" w:eastAsia="Times New Roman" w:hAnsi="Times New Roman" w:cs="Times New Roman"/>
        </w:rPr>
        <w:t xml:space="preserve"> </w:t>
      </w:r>
      <w:r w:rsidRPr="00943758">
        <w:rPr>
          <w:rFonts w:ascii="Times New Roman" w:eastAsia="Calibri" w:hAnsi="Times New Roman" w:cs="Times New Roman"/>
        </w:rPr>
        <w:t>évközi értékelés, ötfokozatú értékelés.</w:t>
      </w:r>
      <w:r w:rsidRPr="00943758">
        <w:rPr>
          <w:rFonts w:ascii="Times New Roman" w:eastAsia="Times New Roman" w:hAnsi="Times New Roman" w:cs="Times New Roman"/>
          <w:bCs/>
        </w:rPr>
        <w:t xml:space="preserve"> </w:t>
      </w:r>
      <w:r w:rsidRPr="00943758">
        <w:rPr>
          <w:rFonts w:ascii="Times New Roman" w:eastAsia="Calibri" w:hAnsi="Times New Roman" w:cs="Times New Roman"/>
          <w:bCs/>
        </w:rPr>
        <w:t>Az évközi értékelést az elért eredmények kerekített matematikai átlaga képezi.</w:t>
      </w:r>
    </w:p>
    <w:p w:rsidR="00943758" w:rsidRPr="00943758" w:rsidRDefault="00943758" w:rsidP="00980876">
      <w:pPr>
        <w:widowControl w:val="0"/>
        <w:numPr>
          <w:ilvl w:val="1"/>
          <w:numId w:val="472"/>
        </w:numPr>
        <w:tabs>
          <w:tab w:val="clear" w:pos="3977"/>
          <w:tab w:val="left" w:pos="993"/>
        </w:tabs>
        <w:spacing w:before="120" w:after="120" w:line="240" w:lineRule="auto"/>
        <w:ind w:left="426" w:firstLine="0"/>
        <w:jc w:val="both"/>
        <w:rPr>
          <w:rFonts w:ascii="Times New Roman" w:eastAsia="Times New Roman" w:hAnsi="Times New Roman" w:cs="Times New Roman"/>
        </w:rPr>
      </w:pPr>
      <w:r w:rsidRPr="00943758">
        <w:rPr>
          <w:rFonts w:ascii="Times New Roman" w:eastAsia="Times New Roman" w:hAnsi="Times New Roman" w:cs="Times New Roman"/>
          <w:b/>
        </w:rPr>
        <w:t>A kreditek megszerzésének feltételei:</w:t>
      </w:r>
      <w:r w:rsidRPr="00943758">
        <w:rPr>
          <w:rFonts w:ascii="Times New Roman" w:eastAsia="Times New Roman" w:hAnsi="Times New Roman" w:cs="Times New Roman"/>
        </w:rPr>
        <w:t xml:space="preserve"> az aláírás megszerzése és legalább elégséges</w:t>
      </w:r>
      <w:r w:rsidRPr="00943758">
        <w:rPr>
          <w:rFonts w:ascii="Times New Roman" w:eastAsia="Times New Roman" w:hAnsi="Times New Roman" w:cs="Times New Roman"/>
          <w:b/>
        </w:rPr>
        <w:t xml:space="preserve"> </w:t>
      </w:r>
      <w:r w:rsidRPr="00943758">
        <w:rPr>
          <w:rFonts w:ascii="Times New Roman" w:eastAsia="Times New Roman" w:hAnsi="Times New Roman" w:cs="Times New Roman"/>
        </w:rPr>
        <w:t>évközi értékelés</w:t>
      </w:r>
      <w:r w:rsidRPr="00943758">
        <w:rPr>
          <w:rFonts w:ascii="Times New Roman" w:eastAsia="Times New Roman" w:hAnsi="Times New Roman" w:cs="Times New Roman"/>
          <w:bCs/>
        </w:rPr>
        <w:t>.</w:t>
      </w:r>
    </w:p>
    <w:p w:rsidR="00943758" w:rsidRPr="00943758" w:rsidRDefault="00943758" w:rsidP="00980876">
      <w:pPr>
        <w:widowControl w:val="0"/>
        <w:numPr>
          <w:ilvl w:val="0"/>
          <w:numId w:val="472"/>
        </w:numPr>
        <w:spacing w:before="120" w:after="120" w:line="240" w:lineRule="auto"/>
        <w:ind w:left="426" w:hanging="142"/>
        <w:jc w:val="both"/>
        <w:rPr>
          <w:rFonts w:ascii="Times New Roman" w:eastAsia="Times New Roman" w:hAnsi="Times New Roman" w:cs="Times New Roman"/>
          <w:bCs/>
          <w:color w:val="000000"/>
        </w:rPr>
      </w:pPr>
      <w:r w:rsidRPr="00943758">
        <w:rPr>
          <w:rFonts w:ascii="Times New Roman" w:eastAsia="Times New Roman" w:hAnsi="Times New Roman" w:cs="Times New Roman"/>
          <w:b/>
          <w:bCs/>
          <w:color w:val="000000"/>
        </w:rPr>
        <w:t>Irodalomjegyzék:</w:t>
      </w:r>
    </w:p>
    <w:p w:rsidR="00943758" w:rsidRPr="00943758" w:rsidRDefault="00943758" w:rsidP="00980876">
      <w:pPr>
        <w:widowControl w:val="0"/>
        <w:numPr>
          <w:ilvl w:val="1"/>
          <w:numId w:val="472"/>
        </w:numPr>
        <w:tabs>
          <w:tab w:val="clear" w:pos="3977"/>
          <w:tab w:val="left" w:pos="567"/>
          <w:tab w:val="left" w:pos="851"/>
        </w:tabs>
        <w:spacing w:before="120" w:after="120" w:line="240" w:lineRule="auto"/>
        <w:ind w:left="426" w:hanging="142"/>
        <w:jc w:val="both"/>
        <w:rPr>
          <w:rFonts w:ascii="Times New Roman" w:eastAsia="Times New Roman" w:hAnsi="Times New Roman" w:cs="Times New Roman"/>
          <w:b/>
          <w:bCs/>
          <w:color w:val="000000"/>
        </w:rPr>
      </w:pPr>
      <w:r w:rsidRPr="00943758">
        <w:rPr>
          <w:rFonts w:ascii="Times New Roman" w:eastAsia="Times New Roman" w:hAnsi="Times New Roman" w:cs="Times New Roman"/>
          <w:b/>
          <w:bCs/>
          <w:color w:val="000000"/>
        </w:rPr>
        <w:t>Kötelező irodalom:</w:t>
      </w:r>
    </w:p>
    <w:p w:rsidR="00943758" w:rsidRPr="00943758" w:rsidRDefault="00943758" w:rsidP="00980876">
      <w:pPr>
        <w:widowControl w:val="0"/>
        <w:numPr>
          <w:ilvl w:val="0"/>
          <w:numId w:val="470"/>
        </w:numPr>
        <w:spacing w:before="120" w:after="120" w:line="240" w:lineRule="auto"/>
        <w:ind w:left="709"/>
        <w:contextualSpacing/>
        <w:jc w:val="both"/>
        <w:rPr>
          <w:rFonts w:ascii="Times New Roman" w:eastAsia="Times New Roman" w:hAnsi="Times New Roman" w:cs="Times New Roman"/>
          <w:bCs/>
          <w:color w:val="000000"/>
        </w:rPr>
      </w:pPr>
      <w:r w:rsidRPr="00943758">
        <w:rPr>
          <w:rFonts w:ascii="Times New Roman" w:eastAsia="Times New Roman" w:hAnsi="Times New Roman" w:cs="Times New Roman"/>
          <w:bCs/>
          <w:color w:val="000000"/>
        </w:rPr>
        <w:t>Hegedűs Ernő: A JAS-39 Gripen többfeladatú harci repülőgép: Fejlesztés a kezdetektől napjainkig és a legújabb E/F változat. 1-2. rész. Haditechnika, 2013. évi 4-5. sz. pp. 24-28., pp. 20-26. (ISSN: 0230-6891)</w:t>
      </w:r>
    </w:p>
    <w:p w:rsidR="00943758" w:rsidRPr="00943758" w:rsidRDefault="00943758" w:rsidP="00980876">
      <w:pPr>
        <w:widowControl w:val="0"/>
        <w:numPr>
          <w:ilvl w:val="0"/>
          <w:numId w:val="470"/>
        </w:numPr>
        <w:spacing w:before="120" w:after="120" w:line="240" w:lineRule="auto"/>
        <w:ind w:left="709"/>
        <w:contextualSpacing/>
        <w:jc w:val="both"/>
        <w:rPr>
          <w:rFonts w:ascii="Times New Roman" w:eastAsia="Times New Roman" w:hAnsi="Times New Roman" w:cs="Times New Roman"/>
          <w:bCs/>
          <w:color w:val="000000"/>
        </w:rPr>
      </w:pPr>
      <w:r w:rsidRPr="00943758">
        <w:rPr>
          <w:rFonts w:ascii="Times New Roman" w:eastAsia="Times New Roman" w:hAnsi="Times New Roman" w:cs="Times New Roman"/>
          <w:bCs/>
          <w:color w:val="000000"/>
        </w:rPr>
        <w:t>Hegedűs Ernő: A Bell/Boeing V-22 Osprey konvertiplán és a jövő billenőmotoros repülőgép-fejlesztései. Haditechnika, 51. évf. 2017. évi 3. sz. p. 9-15.</w:t>
      </w:r>
    </w:p>
    <w:p w:rsidR="00943758" w:rsidRPr="00943758" w:rsidRDefault="00943758" w:rsidP="00980876">
      <w:pPr>
        <w:widowControl w:val="0"/>
        <w:numPr>
          <w:ilvl w:val="0"/>
          <w:numId w:val="470"/>
        </w:numPr>
        <w:spacing w:before="120" w:after="120" w:line="240" w:lineRule="auto"/>
        <w:ind w:left="709"/>
        <w:contextualSpacing/>
        <w:jc w:val="both"/>
        <w:rPr>
          <w:rFonts w:ascii="Times New Roman" w:eastAsia="Times New Roman" w:hAnsi="Times New Roman" w:cs="Times New Roman"/>
          <w:bCs/>
          <w:color w:val="000000"/>
        </w:rPr>
      </w:pPr>
      <w:r w:rsidRPr="00943758">
        <w:rPr>
          <w:rFonts w:ascii="Times New Roman" w:eastAsia="Times New Roman" w:hAnsi="Times New Roman" w:cs="Times New Roman"/>
          <w:bCs/>
          <w:color w:val="000000"/>
        </w:rPr>
        <w:t>Hegedűs Ernő: Az UH–1 többfeladatú helikopter fejlesztésének története és korszerűsítésének lehetőségei. Katonai Logisztika 24. évf. 2016. évi különszám pp. 216-244.</w:t>
      </w:r>
    </w:p>
    <w:p w:rsidR="00943758" w:rsidRPr="00943758" w:rsidRDefault="00943758" w:rsidP="00980876">
      <w:pPr>
        <w:widowControl w:val="0"/>
        <w:numPr>
          <w:ilvl w:val="1"/>
          <w:numId w:val="472"/>
        </w:numPr>
        <w:tabs>
          <w:tab w:val="clear" w:pos="3977"/>
          <w:tab w:val="left" w:pos="567"/>
          <w:tab w:val="left" w:pos="851"/>
        </w:tabs>
        <w:spacing w:before="240" w:after="120" w:line="240" w:lineRule="auto"/>
        <w:ind w:left="426" w:hanging="142"/>
        <w:jc w:val="both"/>
        <w:rPr>
          <w:rFonts w:ascii="Times New Roman" w:eastAsia="Times New Roman" w:hAnsi="Times New Roman" w:cs="Times New Roman"/>
          <w:b/>
          <w:bCs/>
          <w:color w:val="000000"/>
        </w:rPr>
      </w:pPr>
      <w:r w:rsidRPr="00943758">
        <w:rPr>
          <w:rFonts w:ascii="Times New Roman" w:eastAsia="Times New Roman" w:hAnsi="Times New Roman" w:cs="Times New Roman"/>
          <w:b/>
          <w:bCs/>
          <w:color w:val="000000"/>
        </w:rPr>
        <w:t>Ajánlott irodalom:</w:t>
      </w:r>
    </w:p>
    <w:p w:rsidR="00943758" w:rsidRPr="00943758" w:rsidRDefault="00943758" w:rsidP="00980876">
      <w:pPr>
        <w:widowControl w:val="0"/>
        <w:numPr>
          <w:ilvl w:val="0"/>
          <w:numId w:val="471"/>
        </w:numPr>
        <w:spacing w:before="120" w:after="120" w:line="240" w:lineRule="auto"/>
        <w:ind w:left="709"/>
        <w:contextualSpacing/>
        <w:jc w:val="both"/>
        <w:rPr>
          <w:rFonts w:ascii="Times New Roman" w:eastAsia="Calibri" w:hAnsi="Times New Roman" w:cs="Times New Roman"/>
          <w:color w:val="000000"/>
        </w:rPr>
      </w:pPr>
      <w:r w:rsidRPr="00943758">
        <w:rPr>
          <w:rFonts w:ascii="Times New Roman" w:eastAsia="Times New Roman" w:hAnsi="Times New Roman" w:cs="Times New Roman"/>
          <w:bCs/>
          <w:color w:val="000000"/>
        </w:rPr>
        <w:t>Méhes Lénárd – Hegedűs Ernő – Hennel Sándor: Pilóta nélküli légijárművekhez kötődő szaktevékenységek a MH Logisztikai Ellátó Központnál. Sereg Szemle ISSN 2060-3924, 2011. április.</w:t>
      </w:r>
    </w:p>
    <w:p w:rsidR="00943758" w:rsidRPr="00943758" w:rsidRDefault="00943758" w:rsidP="00980876">
      <w:pPr>
        <w:widowControl w:val="0"/>
        <w:numPr>
          <w:ilvl w:val="0"/>
          <w:numId w:val="471"/>
        </w:numPr>
        <w:spacing w:before="120" w:after="120" w:line="240" w:lineRule="auto"/>
        <w:ind w:left="709"/>
        <w:contextualSpacing/>
        <w:jc w:val="both"/>
        <w:rPr>
          <w:rFonts w:ascii="Times New Roman" w:eastAsia="Calibri" w:hAnsi="Times New Roman" w:cs="Times New Roman"/>
          <w:color w:val="000000"/>
        </w:rPr>
      </w:pPr>
      <w:r w:rsidRPr="00943758">
        <w:rPr>
          <w:rFonts w:ascii="Times New Roman" w:eastAsia="Calibri" w:hAnsi="Times New Roman" w:cs="Times New Roman"/>
          <w:color w:val="000000"/>
        </w:rPr>
        <w:t>Hegedűs Ernő: A légi gépesítés haditechnikai eszközeinek fejlődési tendenciái, különös tekintettel a STOL szállító repülőgépekre. Repüléstudományi Közlemények különszám, Szolnok, 2008. ISSN 1417-0604</w:t>
      </w:r>
    </w:p>
    <w:p w:rsidR="00943758" w:rsidRPr="00943758" w:rsidRDefault="00943758" w:rsidP="00943758">
      <w:pPr>
        <w:widowControl w:val="0"/>
        <w:spacing w:before="120" w:after="120" w:line="240" w:lineRule="auto"/>
        <w:ind w:left="284"/>
        <w:jc w:val="both"/>
        <w:rPr>
          <w:rFonts w:ascii="Times New Roman" w:eastAsia="Times New Roman" w:hAnsi="Times New Roman" w:cs="Times New Roman"/>
          <w:bCs/>
          <w:color w:val="000000"/>
        </w:rPr>
      </w:pPr>
    </w:p>
    <w:p w:rsidR="00943758" w:rsidRPr="00943758" w:rsidRDefault="00943758" w:rsidP="00943758">
      <w:pPr>
        <w:widowControl w:val="0"/>
        <w:spacing w:before="120" w:after="120" w:line="240" w:lineRule="auto"/>
        <w:jc w:val="both"/>
        <w:rPr>
          <w:rFonts w:ascii="Times New Roman" w:eastAsia="Times New Roman" w:hAnsi="Times New Roman" w:cs="Times New Roman"/>
          <w:bCs/>
          <w:color w:val="000000"/>
        </w:rPr>
      </w:pPr>
      <w:r w:rsidRPr="00943758">
        <w:rPr>
          <w:rFonts w:ascii="Times New Roman" w:eastAsia="Times New Roman" w:hAnsi="Times New Roman" w:cs="Times New Roman"/>
          <w:bCs/>
          <w:color w:val="000000"/>
        </w:rPr>
        <w:t xml:space="preserve">Budapest, 2020. március </w:t>
      </w:r>
      <w:r w:rsidR="006469C1">
        <w:rPr>
          <w:rFonts w:ascii="Times New Roman" w:eastAsia="Times New Roman" w:hAnsi="Times New Roman" w:cs="Times New Roman"/>
          <w:bCs/>
          <w:color w:val="000000"/>
        </w:rPr>
        <w:t>15</w:t>
      </w:r>
      <w:r w:rsidRPr="00943758">
        <w:rPr>
          <w:rFonts w:ascii="Times New Roman" w:eastAsia="Times New Roman" w:hAnsi="Times New Roman" w:cs="Times New Roman"/>
          <w:bCs/>
          <w:color w:val="000000"/>
        </w:rPr>
        <w:t>.</w:t>
      </w:r>
    </w:p>
    <w:p w:rsidR="00943758" w:rsidRPr="00943758" w:rsidRDefault="00943758" w:rsidP="00943758">
      <w:pPr>
        <w:widowControl w:val="0"/>
        <w:spacing w:before="120" w:after="120" w:line="240" w:lineRule="auto"/>
        <w:jc w:val="both"/>
        <w:rPr>
          <w:rFonts w:ascii="Times New Roman" w:eastAsia="Times New Roman" w:hAnsi="Times New Roman" w:cs="Times New Roman"/>
          <w:bCs/>
          <w:color w:val="000000"/>
        </w:rPr>
      </w:pPr>
    </w:p>
    <w:p w:rsidR="00943758" w:rsidRPr="003B3611" w:rsidRDefault="00943758" w:rsidP="003B3611">
      <w:pPr>
        <w:widowControl w:val="0"/>
        <w:spacing w:after="0" w:line="240" w:lineRule="auto"/>
        <w:ind w:left="6379"/>
        <w:jc w:val="center"/>
        <w:rPr>
          <w:rFonts w:ascii="Times New Roman" w:eastAsia="Times New Roman" w:hAnsi="Times New Roman" w:cs="Times New Roman"/>
          <w:b/>
          <w:bCs/>
          <w:color w:val="000000"/>
        </w:rPr>
      </w:pPr>
      <w:r w:rsidRPr="003B3611">
        <w:rPr>
          <w:rFonts w:ascii="Times New Roman" w:eastAsia="Times New Roman" w:hAnsi="Times New Roman" w:cs="Times New Roman"/>
          <w:b/>
          <w:bCs/>
          <w:color w:val="000000"/>
        </w:rPr>
        <w:t>Dr. Hegedűs Ernő PhD</w:t>
      </w:r>
      <w:r w:rsidR="003B3611">
        <w:rPr>
          <w:rFonts w:ascii="Times New Roman" w:eastAsia="Times New Roman" w:hAnsi="Times New Roman" w:cs="Times New Roman"/>
          <w:b/>
          <w:bCs/>
          <w:color w:val="000000"/>
        </w:rPr>
        <w:t>, sk.</w:t>
      </w:r>
    </w:p>
    <w:p w:rsidR="00943758" w:rsidRPr="00943758" w:rsidRDefault="00943758" w:rsidP="003B3611">
      <w:pPr>
        <w:widowControl w:val="0"/>
        <w:spacing w:after="0" w:line="240" w:lineRule="auto"/>
        <w:ind w:left="6379"/>
        <w:jc w:val="center"/>
        <w:rPr>
          <w:rFonts w:ascii="Times New Roman" w:eastAsia="Times New Roman" w:hAnsi="Times New Roman" w:cs="Times New Roman"/>
          <w:bCs/>
          <w:color w:val="000000"/>
        </w:rPr>
      </w:pPr>
      <w:r w:rsidRPr="00943758">
        <w:rPr>
          <w:rFonts w:ascii="Times New Roman" w:eastAsia="Times New Roman" w:hAnsi="Times New Roman" w:cs="Times New Roman"/>
          <w:bCs/>
          <w:color w:val="000000"/>
        </w:rPr>
        <w:t>egyetemi tanársegéd</w:t>
      </w:r>
    </w:p>
    <w:p w:rsidR="00943758" w:rsidRPr="00943758" w:rsidRDefault="00943758" w:rsidP="00943758">
      <w:pPr>
        <w:widowControl w:val="0"/>
        <w:spacing w:after="0" w:line="240" w:lineRule="auto"/>
        <w:jc w:val="right"/>
        <w:rPr>
          <w:rFonts w:ascii="Times New Roman" w:eastAsia="Calibri" w:hAnsi="Times New Roman" w:cs="Times New Roman"/>
          <w:color w:val="000000"/>
        </w:rPr>
      </w:pPr>
    </w:p>
    <w:p w:rsidR="009505DE" w:rsidRDefault="009505DE">
      <w:pPr>
        <w:spacing w:after="200" w:line="276" w:lineRule="auto"/>
        <w:rPr>
          <w:rFonts w:ascii="Times New Roman" w:hAnsi="Times New Roman" w:cs="Times New Roman"/>
          <w:sz w:val="24"/>
        </w:rPr>
      </w:pPr>
      <w:r>
        <w:rPr>
          <w:rFonts w:ascii="Times New Roman" w:hAnsi="Times New Roman" w:cs="Times New Roman"/>
          <w:sz w:val="24"/>
        </w:rPr>
        <w:br w:type="page"/>
      </w:r>
    </w:p>
    <w:tbl>
      <w:tblPr>
        <w:tblW w:w="9072" w:type="dxa"/>
        <w:tblInd w:w="113" w:type="dxa"/>
        <w:tblLook w:val="01E0" w:firstRow="1" w:lastRow="1" w:firstColumn="1" w:lastColumn="1" w:noHBand="0" w:noVBand="0"/>
      </w:tblPr>
      <w:tblGrid>
        <w:gridCol w:w="4855"/>
        <w:gridCol w:w="1620"/>
        <w:gridCol w:w="2597"/>
      </w:tblGrid>
      <w:tr w:rsidR="00BF39DF" w:rsidRPr="007C41FB" w:rsidTr="00702CC1">
        <w:tc>
          <w:tcPr>
            <w:tcW w:w="4855" w:type="dxa"/>
            <w:tcBorders>
              <w:bottom w:val="single" w:sz="4" w:space="0" w:color="auto"/>
            </w:tcBorders>
          </w:tcPr>
          <w:p w:rsidR="00BF39DF" w:rsidRPr="007C41FB" w:rsidRDefault="00BF39DF" w:rsidP="00702CC1">
            <w:pPr>
              <w:spacing w:after="0" w:line="240" w:lineRule="auto"/>
              <w:jc w:val="center"/>
              <w:rPr>
                <w:rFonts w:ascii="Times New Roman" w:eastAsia="Times New Roman" w:hAnsi="Times New Roman" w:cs="Times New Roman"/>
                <w:b/>
                <w:smallCaps/>
                <w:color w:val="000000" w:themeColor="text1"/>
                <w:lang w:eastAsia="hu-HU"/>
              </w:rPr>
            </w:pPr>
            <w:r w:rsidRPr="007C41FB">
              <w:rPr>
                <w:rFonts w:ascii="Times New Roman" w:eastAsia="Times New Roman" w:hAnsi="Times New Roman" w:cs="Times New Roman"/>
                <w:b/>
                <w:smallCaps/>
                <w:color w:val="000000" w:themeColor="text1"/>
                <w:lang w:eastAsia="hu-HU"/>
              </w:rPr>
              <w:lastRenderedPageBreak/>
              <w:t>Nemzeti Közszolgálati Egyetem</w:t>
            </w:r>
          </w:p>
        </w:tc>
        <w:tc>
          <w:tcPr>
            <w:tcW w:w="1620" w:type="dxa"/>
          </w:tcPr>
          <w:p w:rsidR="00BF39DF" w:rsidRPr="007C41FB" w:rsidRDefault="00BF39DF" w:rsidP="00702CC1">
            <w:pPr>
              <w:spacing w:after="0" w:line="240" w:lineRule="auto"/>
              <w:jc w:val="both"/>
              <w:rPr>
                <w:rFonts w:ascii="Times New Roman" w:eastAsia="Times New Roman" w:hAnsi="Times New Roman" w:cs="Times New Roman"/>
                <w:color w:val="000000" w:themeColor="text1"/>
                <w:lang w:eastAsia="hu-HU"/>
              </w:rPr>
            </w:pPr>
          </w:p>
        </w:tc>
        <w:tc>
          <w:tcPr>
            <w:tcW w:w="2597" w:type="dxa"/>
          </w:tcPr>
          <w:p w:rsidR="00BF39DF" w:rsidRPr="007C41FB" w:rsidRDefault="00BF39DF" w:rsidP="00702CC1">
            <w:pPr>
              <w:spacing w:after="0" w:line="240" w:lineRule="auto"/>
              <w:jc w:val="right"/>
              <w:rPr>
                <w:rFonts w:ascii="Times New Roman" w:eastAsia="Times New Roman" w:hAnsi="Times New Roman" w:cs="Times New Roman"/>
                <w:color w:val="000000" w:themeColor="text1"/>
                <w:lang w:eastAsia="hu-HU"/>
              </w:rPr>
            </w:pPr>
          </w:p>
        </w:tc>
      </w:tr>
      <w:tr w:rsidR="00BF39DF" w:rsidRPr="007C41FB" w:rsidTr="00702CC1">
        <w:tc>
          <w:tcPr>
            <w:tcW w:w="4855" w:type="dxa"/>
            <w:tcBorders>
              <w:top w:val="single" w:sz="4" w:space="0" w:color="auto"/>
            </w:tcBorders>
          </w:tcPr>
          <w:p w:rsidR="00BF39DF" w:rsidRPr="007C41FB" w:rsidRDefault="00BF39DF" w:rsidP="00702CC1">
            <w:pPr>
              <w:spacing w:after="0" w:line="240" w:lineRule="auto"/>
              <w:jc w:val="center"/>
              <w:rPr>
                <w:rFonts w:ascii="Times New Roman" w:eastAsia="Times New Roman" w:hAnsi="Times New Roman" w:cs="Times New Roman"/>
                <w:b/>
                <w:color w:val="000000" w:themeColor="text1"/>
                <w:lang w:eastAsia="hu-HU"/>
              </w:rPr>
            </w:pPr>
            <w:r w:rsidRPr="007C41FB">
              <w:rPr>
                <w:rFonts w:ascii="Times New Roman" w:eastAsia="Times New Roman" w:hAnsi="Times New Roman" w:cs="Times New Roman"/>
                <w:b/>
                <w:color w:val="000000" w:themeColor="text1"/>
                <w:lang w:eastAsia="hu-HU"/>
              </w:rPr>
              <w:t>Hadtudományi és Honvédtisztképző Kar</w:t>
            </w:r>
          </w:p>
        </w:tc>
        <w:tc>
          <w:tcPr>
            <w:tcW w:w="1620" w:type="dxa"/>
          </w:tcPr>
          <w:p w:rsidR="00BF39DF" w:rsidRPr="007C41FB" w:rsidRDefault="00BF39DF" w:rsidP="00702CC1">
            <w:pPr>
              <w:spacing w:after="0" w:line="240" w:lineRule="auto"/>
              <w:jc w:val="both"/>
              <w:rPr>
                <w:rFonts w:ascii="Times New Roman" w:eastAsia="Times New Roman" w:hAnsi="Times New Roman" w:cs="Times New Roman"/>
                <w:color w:val="000000" w:themeColor="text1"/>
                <w:lang w:eastAsia="hu-HU"/>
              </w:rPr>
            </w:pPr>
          </w:p>
        </w:tc>
        <w:tc>
          <w:tcPr>
            <w:tcW w:w="2597" w:type="dxa"/>
          </w:tcPr>
          <w:p w:rsidR="00BF39DF" w:rsidRPr="007C41FB" w:rsidRDefault="00BF39DF" w:rsidP="00702CC1">
            <w:pPr>
              <w:spacing w:after="0" w:line="240" w:lineRule="auto"/>
              <w:jc w:val="both"/>
              <w:rPr>
                <w:rFonts w:ascii="Times New Roman" w:eastAsia="Times New Roman" w:hAnsi="Times New Roman" w:cs="Times New Roman"/>
                <w:color w:val="000000" w:themeColor="text1"/>
                <w:lang w:eastAsia="hu-HU"/>
              </w:rPr>
            </w:pPr>
          </w:p>
        </w:tc>
      </w:tr>
    </w:tbl>
    <w:p w:rsidR="00BF39DF" w:rsidRPr="007C41FB" w:rsidRDefault="00BF39DF" w:rsidP="00BF39DF">
      <w:pPr>
        <w:widowControl w:val="0"/>
        <w:spacing w:before="120" w:after="120" w:line="240" w:lineRule="auto"/>
        <w:ind w:left="426" w:hanging="142"/>
        <w:jc w:val="center"/>
        <w:rPr>
          <w:rFonts w:ascii="Times New Roman" w:eastAsia="Times New Roman" w:hAnsi="Times New Roman" w:cs="Times New Roman"/>
          <w:b/>
          <w:bCs/>
          <w:color w:val="000000" w:themeColor="text1"/>
        </w:rPr>
      </w:pPr>
    </w:p>
    <w:p w:rsidR="00BF39DF" w:rsidRPr="007C41FB" w:rsidRDefault="00BF39DF" w:rsidP="00BF39DF">
      <w:pPr>
        <w:widowControl w:val="0"/>
        <w:spacing w:before="120" w:after="120" w:line="240" w:lineRule="auto"/>
        <w:ind w:left="426" w:hanging="142"/>
        <w:jc w:val="center"/>
        <w:rPr>
          <w:rFonts w:ascii="Times New Roman" w:eastAsia="Times New Roman" w:hAnsi="Times New Roman" w:cs="Times New Roman"/>
          <w:b/>
          <w:bCs/>
          <w:color w:val="000000" w:themeColor="text1"/>
        </w:rPr>
      </w:pPr>
      <w:r w:rsidRPr="007C41FB">
        <w:rPr>
          <w:rFonts w:ascii="Times New Roman" w:eastAsia="Times New Roman" w:hAnsi="Times New Roman" w:cs="Times New Roman"/>
          <w:b/>
          <w:bCs/>
          <w:color w:val="000000" w:themeColor="text1"/>
        </w:rPr>
        <w:t>TANTÁRGYI PROGRAM</w:t>
      </w:r>
    </w:p>
    <w:p w:rsidR="00BF39DF" w:rsidRPr="007C41FB" w:rsidRDefault="00BF39DF" w:rsidP="00980876">
      <w:pPr>
        <w:widowControl w:val="0"/>
        <w:numPr>
          <w:ilvl w:val="0"/>
          <w:numId w:val="479"/>
        </w:numPr>
        <w:spacing w:before="120" w:after="120" w:line="240" w:lineRule="auto"/>
        <w:ind w:left="426" w:hanging="142"/>
        <w:jc w:val="both"/>
        <w:rPr>
          <w:rFonts w:ascii="Times New Roman" w:eastAsia="Times New Roman" w:hAnsi="Times New Roman" w:cs="Times New Roman"/>
          <w:b/>
          <w:bCs/>
          <w:color w:val="000000" w:themeColor="text1"/>
        </w:rPr>
      </w:pPr>
      <w:r w:rsidRPr="007C41FB">
        <w:rPr>
          <w:rFonts w:ascii="Times New Roman" w:eastAsia="Times New Roman" w:hAnsi="Times New Roman" w:cs="Times New Roman"/>
          <w:b/>
          <w:bCs/>
          <w:color w:val="000000" w:themeColor="text1"/>
        </w:rPr>
        <w:t xml:space="preserve">A tantárgy kódja: </w:t>
      </w:r>
      <w:r w:rsidRPr="007C41FB">
        <w:rPr>
          <w:rFonts w:ascii="Times New Roman" w:eastAsia="Times New Roman" w:hAnsi="Times New Roman" w:cs="Times New Roman"/>
          <w:bCs/>
          <w:color w:val="000000" w:themeColor="text1"/>
        </w:rPr>
        <w:t>HKHDTA43</w:t>
      </w:r>
    </w:p>
    <w:p w:rsidR="00BF39DF" w:rsidRPr="007C41FB" w:rsidRDefault="00BF39DF" w:rsidP="00980876">
      <w:pPr>
        <w:widowControl w:val="0"/>
        <w:numPr>
          <w:ilvl w:val="0"/>
          <w:numId w:val="479"/>
        </w:numPr>
        <w:spacing w:before="120" w:after="120" w:line="240" w:lineRule="auto"/>
        <w:ind w:left="426" w:hanging="142"/>
        <w:jc w:val="both"/>
        <w:rPr>
          <w:rFonts w:ascii="Times New Roman" w:eastAsia="Times New Roman" w:hAnsi="Times New Roman" w:cs="Times New Roman"/>
          <w:b/>
          <w:bCs/>
          <w:color w:val="000000" w:themeColor="text1"/>
        </w:rPr>
      </w:pPr>
      <w:r w:rsidRPr="007C41FB">
        <w:rPr>
          <w:rFonts w:ascii="Times New Roman" w:eastAsia="Times New Roman" w:hAnsi="Times New Roman" w:cs="Times New Roman"/>
          <w:b/>
          <w:bCs/>
          <w:color w:val="000000" w:themeColor="text1"/>
        </w:rPr>
        <w:t>A tantárgy megnevezése (magyarul):</w:t>
      </w:r>
      <w:r w:rsidRPr="007C41FB">
        <w:rPr>
          <w:rFonts w:ascii="Times New Roman" w:eastAsia="Times New Roman" w:hAnsi="Times New Roman" w:cs="Times New Roman"/>
          <w:bCs/>
          <w:color w:val="000000" w:themeColor="text1"/>
        </w:rPr>
        <w:t xml:space="preserve"> Korszerű robotok a modern kor háborúiban</w:t>
      </w:r>
    </w:p>
    <w:p w:rsidR="00BF39DF" w:rsidRPr="007C41FB" w:rsidRDefault="00BF39DF" w:rsidP="00980876">
      <w:pPr>
        <w:widowControl w:val="0"/>
        <w:numPr>
          <w:ilvl w:val="0"/>
          <w:numId w:val="479"/>
        </w:numPr>
        <w:spacing w:before="120" w:after="120" w:line="240" w:lineRule="auto"/>
        <w:ind w:left="426" w:hanging="142"/>
        <w:jc w:val="both"/>
        <w:rPr>
          <w:rFonts w:ascii="Times New Roman" w:eastAsia="Times New Roman" w:hAnsi="Times New Roman" w:cs="Times New Roman"/>
          <w:b/>
          <w:bCs/>
          <w:color w:val="000000" w:themeColor="text1"/>
        </w:rPr>
      </w:pPr>
      <w:r w:rsidRPr="007C41FB">
        <w:rPr>
          <w:rFonts w:ascii="Times New Roman" w:eastAsia="Times New Roman" w:hAnsi="Times New Roman" w:cs="Times New Roman"/>
          <w:b/>
          <w:bCs/>
          <w:color w:val="000000" w:themeColor="text1"/>
        </w:rPr>
        <w:t xml:space="preserve">A tantárgy megnevezése (angolul): </w:t>
      </w:r>
      <w:r w:rsidRPr="007C41FB">
        <w:rPr>
          <w:rFonts w:ascii="Times New Roman" w:eastAsia="Times New Roman" w:hAnsi="Times New Roman" w:cs="Times New Roman"/>
          <w:bCs/>
          <w:color w:val="000000" w:themeColor="text1"/>
        </w:rPr>
        <w:t>State of the art robots in the wars of modern age</w:t>
      </w:r>
    </w:p>
    <w:p w:rsidR="00BF39DF" w:rsidRPr="007C41FB" w:rsidRDefault="00BF39DF" w:rsidP="00980876">
      <w:pPr>
        <w:widowControl w:val="0"/>
        <w:numPr>
          <w:ilvl w:val="0"/>
          <w:numId w:val="479"/>
        </w:numPr>
        <w:spacing w:before="120" w:after="120" w:line="240" w:lineRule="auto"/>
        <w:ind w:left="426" w:hanging="142"/>
        <w:jc w:val="both"/>
        <w:rPr>
          <w:rFonts w:ascii="Times New Roman" w:eastAsia="Times New Roman" w:hAnsi="Times New Roman" w:cs="Times New Roman"/>
          <w:b/>
          <w:bCs/>
          <w:color w:val="000000" w:themeColor="text1"/>
        </w:rPr>
      </w:pPr>
      <w:r w:rsidRPr="007C41FB">
        <w:rPr>
          <w:rFonts w:ascii="Times New Roman" w:eastAsia="Times New Roman" w:hAnsi="Times New Roman" w:cs="Times New Roman"/>
          <w:b/>
          <w:bCs/>
          <w:color w:val="000000" w:themeColor="text1"/>
        </w:rPr>
        <w:t xml:space="preserve">Kreditérték és képzési karakter: </w:t>
      </w:r>
    </w:p>
    <w:p w:rsidR="00BF39DF" w:rsidRPr="007C41FB" w:rsidRDefault="00BF39DF" w:rsidP="00980876">
      <w:pPr>
        <w:pStyle w:val="Listaszerbekezds"/>
        <w:widowControl w:val="0"/>
        <w:numPr>
          <w:ilvl w:val="1"/>
          <w:numId w:val="479"/>
        </w:numPr>
        <w:tabs>
          <w:tab w:val="clear" w:pos="3977"/>
        </w:tabs>
        <w:spacing w:before="120" w:after="120" w:line="240" w:lineRule="auto"/>
        <w:ind w:left="993" w:hanging="426"/>
        <w:jc w:val="both"/>
        <w:rPr>
          <w:rFonts w:ascii="Times New Roman" w:eastAsia="Times New Roman" w:hAnsi="Times New Roman" w:cs="Times New Roman"/>
          <w:b/>
          <w:bCs/>
          <w:color w:val="000000" w:themeColor="text1"/>
        </w:rPr>
      </w:pPr>
      <w:r w:rsidRPr="007C41FB">
        <w:rPr>
          <w:rFonts w:ascii="Times New Roman" w:eastAsia="Times New Roman" w:hAnsi="Times New Roman" w:cs="Times New Roman"/>
          <w:bCs/>
          <w:color w:val="000000" w:themeColor="text1"/>
        </w:rPr>
        <w:t>2 kredit</w:t>
      </w:r>
    </w:p>
    <w:p w:rsidR="00BF39DF" w:rsidRPr="007C41FB" w:rsidRDefault="00BF39DF" w:rsidP="00980876">
      <w:pPr>
        <w:pStyle w:val="Listaszerbekezds"/>
        <w:widowControl w:val="0"/>
        <w:numPr>
          <w:ilvl w:val="1"/>
          <w:numId w:val="479"/>
        </w:numPr>
        <w:tabs>
          <w:tab w:val="clear" w:pos="3977"/>
        </w:tabs>
        <w:spacing w:before="120" w:after="120" w:line="240" w:lineRule="auto"/>
        <w:ind w:left="993" w:hanging="426"/>
        <w:jc w:val="both"/>
        <w:rPr>
          <w:rFonts w:ascii="Times New Roman" w:eastAsia="Times New Roman" w:hAnsi="Times New Roman" w:cs="Times New Roman"/>
          <w:b/>
          <w:bCs/>
          <w:color w:val="000000" w:themeColor="text1"/>
        </w:rPr>
      </w:pPr>
      <w:r w:rsidRPr="007C41FB">
        <w:rPr>
          <w:rFonts w:ascii="Times New Roman" w:eastAsia="Times New Roman" w:hAnsi="Times New Roman" w:cs="Times New Roman"/>
          <w:bCs/>
          <w:color w:val="000000" w:themeColor="text1"/>
        </w:rPr>
        <w:t>a tantárgy elméleti vagy gyakorlati jellegének mértéke: 50</w:t>
      </w:r>
      <w:r w:rsidRPr="007C41FB">
        <w:rPr>
          <w:rFonts w:ascii="Times New Roman" w:eastAsia="Times New Roman" w:hAnsi="Times New Roman" w:cs="Times New Roman"/>
          <w:b/>
          <w:bCs/>
          <w:color w:val="000000" w:themeColor="text1"/>
        </w:rPr>
        <w:t xml:space="preserve"> </w:t>
      </w:r>
      <w:r w:rsidRPr="007C41FB">
        <w:rPr>
          <w:rFonts w:ascii="Times New Roman" w:eastAsia="Times New Roman" w:hAnsi="Times New Roman" w:cs="Times New Roman"/>
          <w:bCs/>
          <w:color w:val="000000" w:themeColor="text1"/>
        </w:rPr>
        <w:t>% gyakorlat, 50 % elmélet</w:t>
      </w:r>
    </w:p>
    <w:p w:rsidR="00BF39DF" w:rsidRPr="007C41FB" w:rsidRDefault="00BF39DF" w:rsidP="00980876">
      <w:pPr>
        <w:widowControl w:val="0"/>
        <w:numPr>
          <w:ilvl w:val="0"/>
          <w:numId w:val="479"/>
        </w:numPr>
        <w:spacing w:before="120" w:after="120" w:line="240" w:lineRule="auto"/>
        <w:ind w:left="426" w:hanging="142"/>
        <w:jc w:val="both"/>
        <w:rPr>
          <w:rFonts w:ascii="Times New Roman" w:eastAsia="Times New Roman" w:hAnsi="Times New Roman" w:cs="Times New Roman"/>
          <w:bCs/>
          <w:color w:val="000000" w:themeColor="text1"/>
        </w:rPr>
      </w:pPr>
      <w:r w:rsidRPr="007C41FB">
        <w:rPr>
          <w:rFonts w:ascii="Times New Roman" w:eastAsia="Times New Roman" w:hAnsi="Times New Roman" w:cs="Times New Roman"/>
          <w:b/>
          <w:bCs/>
          <w:color w:val="000000" w:themeColor="text1"/>
        </w:rPr>
        <w:t>A szak(ok), szakirányok/specializációk megnevezése (ahol oktatják):</w:t>
      </w:r>
      <w:r w:rsidRPr="007C41FB">
        <w:rPr>
          <w:rFonts w:ascii="Times New Roman" w:eastAsia="Times New Roman" w:hAnsi="Times New Roman" w:cs="Times New Roman"/>
          <w:bCs/>
          <w:color w:val="000000" w:themeColor="text1"/>
        </w:rPr>
        <w:t xml:space="preserve"> Katonai logisztika (</w:t>
      </w:r>
      <w:r w:rsidR="00137B8A">
        <w:rPr>
          <w:rFonts w:ascii="Times New Roman" w:eastAsia="Times New Roman" w:hAnsi="Times New Roman" w:cs="Times New Roman"/>
          <w:bCs/>
          <w:color w:val="000000" w:themeColor="text1"/>
        </w:rPr>
        <w:t>BSc</w:t>
      </w:r>
      <w:r w:rsidRPr="007C41FB">
        <w:rPr>
          <w:rFonts w:ascii="Times New Roman" w:eastAsia="Times New Roman" w:hAnsi="Times New Roman" w:cs="Times New Roman"/>
          <w:bCs/>
          <w:color w:val="000000" w:themeColor="text1"/>
        </w:rPr>
        <w:t>) alapképzési szak</w:t>
      </w:r>
    </w:p>
    <w:p w:rsidR="00BF39DF" w:rsidRPr="007C41FB" w:rsidRDefault="00BF39DF" w:rsidP="00980876">
      <w:pPr>
        <w:widowControl w:val="0"/>
        <w:numPr>
          <w:ilvl w:val="0"/>
          <w:numId w:val="479"/>
        </w:numPr>
        <w:tabs>
          <w:tab w:val="num" w:pos="567"/>
        </w:tabs>
        <w:spacing w:before="120" w:after="120" w:line="240" w:lineRule="auto"/>
        <w:ind w:left="426" w:hanging="142"/>
        <w:jc w:val="both"/>
        <w:rPr>
          <w:rFonts w:ascii="Times New Roman" w:eastAsia="Times New Roman" w:hAnsi="Times New Roman" w:cs="Times New Roman"/>
          <w:bCs/>
          <w:color w:val="000000" w:themeColor="text1"/>
        </w:rPr>
      </w:pPr>
      <w:r w:rsidRPr="007C41FB">
        <w:rPr>
          <w:rFonts w:ascii="Times New Roman" w:eastAsia="Times New Roman" w:hAnsi="Times New Roman" w:cs="Times New Roman"/>
          <w:b/>
          <w:bCs/>
          <w:color w:val="000000" w:themeColor="text1"/>
        </w:rPr>
        <w:t xml:space="preserve">Az oktatásért felelős oktatási szervezeti egység megnevezése: </w:t>
      </w:r>
      <w:r w:rsidRPr="007C41FB">
        <w:rPr>
          <w:rFonts w:ascii="Times New Roman" w:eastAsia="Times New Roman" w:hAnsi="Times New Roman" w:cs="Times New Roman"/>
          <w:bCs/>
          <w:color w:val="000000" w:themeColor="text1"/>
        </w:rPr>
        <w:t>HHK Haditechnikai Tanszék</w:t>
      </w:r>
    </w:p>
    <w:p w:rsidR="00BF39DF" w:rsidRPr="007C41FB" w:rsidRDefault="00BF39DF" w:rsidP="00980876">
      <w:pPr>
        <w:widowControl w:val="0"/>
        <w:numPr>
          <w:ilvl w:val="0"/>
          <w:numId w:val="479"/>
        </w:numPr>
        <w:tabs>
          <w:tab w:val="num" w:pos="567"/>
        </w:tabs>
        <w:spacing w:before="120" w:after="120" w:line="240" w:lineRule="auto"/>
        <w:ind w:left="426" w:hanging="142"/>
        <w:jc w:val="both"/>
        <w:rPr>
          <w:rFonts w:ascii="Times New Roman" w:eastAsia="Times New Roman" w:hAnsi="Times New Roman" w:cs="Times New Roman"/>
          <w:bCs/>
          <w:color w:val="000000" w:themeColor="text1"/>
        </w:rPr>
      </w:pPr>
      <w:r w:rsidRPr="007C41FB">
        <w:rPr>
          <w:rFonts w:ascii="Times New Roman" w:eastAsia="Times New Roman" w:hAnsi="Times New Roman" w:cs="Times New Roman"/>
          <w:b/>
          <w:bCs/>
          <w:color w:val="000000" w:themeColor="text1"/>
        </w:rPr>
        <w:t>A tantárgyfelelős oktató neve, beosztása, tudományos fokozata:</w:t>
      </w:r>
      <w:r w:rsidRPr="007C41FB">
        <w:rPr>
          <w:rFonts w:ascii="Times New Roman" w:eastAsia="Times New Roman" w:hAnsi="Times New Roman" w:cs="Times New Roman"/>
          <w:bCs/>
          <w:color w:val="000000" w:themeColor="text1"/>
        </w:rPr>
        <w:t xml:space="preserve"> </w:t>
      </w:r>
      <w:r w:rsidRPr="007C41FB">
        <w:rPr>
          <w:rFonts w:ascii="Times New Roman" w:eastAsia="Times New Roman" w:hAnsi="Times New Roman" w:cs="Times New Roman"/>
          <w:bCs/>
          <w:color w:val="000000" w:themeColor="text1"/>
          <w:lang w:eastAsia="hu-HU"/>
        </w:rPr>
        <w:t>Dr. Hegedűs Ernő alezredes PhD, egyetemi tanársegéd</w:t>
      </w:r>
    </w:p>
    <w:p w:rsidR="00BF39DF" w:rsidRPr="007C41FB" w:rsidRDefault="00BF39DF" w:rsidP="00980876">
      <w:pPr>
        <w:widowControl w:val="0"/>
        <w:numPr>
          <w:ilvl w:val="0"/>
          <w:numId w:val="479"/>
        </w:numPr>
        <w:spacing w:before="120" w:after="120" w:line="240" w:lineRule="auto"/>
        <w:ind w:left="426" w:hanging="142"/>
        <w:jc w:val="both"/>
        <w:rPr>
          <w:rFonts w:ascii="Times New Roman" w:eastAsia="Times New Roman" w:hAnsi="Times New Roman" w:cs="Times New Roman"/>
          <w:bCs/>
          <w:color w:val="000000" w:themeColor="text1"/>
        </w:rPr>
      </w:pPr>
      <w:r w:rsidRPr="007C41FB">
        <w:rPr>
          <w:rFonts w:ascii="Times New Roman" w:eastAsia="Times New Roman" w:hAnsi="Times New Roman" w:cs="Times New Roman"/>
          <w:b/>
          <w:bCs/>
          <w:color w:val="000000" w:themeColor="text1"/>
        </w:rPr>
        <w:t>A tanórák száma és típusa</w:t>
      </w:r>
    </w:p>
    <w:p w:rsidR="00BF39DF" w:rsidRPr="007C41FB" w:rsidRDefault="00BF39DF" w:rsidP="00980876">
      <w:pPr>
        <w:widowControl w:val="0"/>
        <w:numPr>
          <w:ilvl w:val="1"/>
          <w:numId w:val="479"/>
        </w:numPr>
        <w:tabs>
          <w:tab w:val="clear" w:pos="3977"/>
          <w:tab w:val="num" w:pos="709"/>
          <w:tab w:val="num" w:pos="2069"/>
        </w:tabs>
        <w:spacing w:before="120" w:after="120" w:line="240" w:lineRule="auto"/>
        <w:ind w:left="851" w:hanging="425"/>
        <w:jc w:val="both"/>
        <w:rPr>
          <w:rFonts w:ascii="Times New Roman" w:eastAsia="Times New Roman" w:hAnsi="Times New Roman" w:cs="Times New Roman"/>
          <w:bCs/>
          <w:color w:val="000000" w:themeColor="text1"/>
        </w:rPr>
      </w:pPr>
      <w:r w:rsidRPr="007C41FB">
        <w:rPr>
          <w:rFonts w:ascii="Times New Roman" w:eastAsia="Times New Roman" w:hAnsi="Times New Roman" w:cs="Times New Roman"/>
          <w:bCs/>
          <w:color w:val="000000" w:themeColor="text1"/>
        </w:rPr>
        <w:t>össz óraszám/félév: 28</w:t>
      </w:r>
    </w:p>
    <w:p w:rsidR="00BF39DF" w:rsidRPr="007C41FB" w:rsidRDefault="00BF39DF" w:rsidP="00980876">
      <w:pPr>
        <w:widowControl w:val="0"/>
        <w:numPr>
          <w:ilvl w:val="2"/>
          <w:numId w:val="479"/>
        </w:numPr>
        <w:tabs>
          <w:tab w:val="num" w:pos="709"/>
          <w:tab w:val="num" w:pos="1134"/>
        </w:tabs>
        <w:spacing w:before="120" w:after="120" w:line="240" w:lineRule="auto"/>
        <w:ind w:left="993" w:hanging="425"/>
        <w:jc w:val="both"/>
        <w:rPr>
          <w:rFonts w:ascii="Times New Roman" w:eastAsia="Times New Roman" w:hAnsi="Times New Roman" w:cs="Times New Roman"/>
          <w:bCs/>
          <w:color w:val="000000" w:themeColor="text1"/>
        </w:rPr>
      </w:pPr>
      <w:r w:rsidRPr="007C41FB">
        <w:rPr>
          <w:rFonts w:ascii="Times New Roman" w:eastAsia="Times New Roman" w:hAnsi="Times New Roman" w:cs="Times New Roman"/>
          <w:bCs/>
          <w:color w:val="000000" w:themeColor="text1"/>
        </w:rPr>
        <w:t>nappali munkarend: 28 (14 EA + -SZ + 14 GY)</w:t>
      </w:r>
    </w:p>
    <w:p w:rsidR="00BF39DF" w:rsidRPr="007C41FB" w:rsidRDefault="00BF39DF" w:rsidP="00980876">
      <w:pPr>
        <w:widowControl w:val="0"/>
        <w:numPr>
          <w:ilvl w:val="2"/>
          <w:numId w:val="479"/>
        </w:numPr>
        <w:tabs>
          <w:tab w:val="num" w:pos="709"/>
          <w:tab w:val="num" w:pos="1134"/>
        </w:tabs>
        <w:spacing w:before="120" w:after="120" w:line="240" w:lineRule="auto"/>
        <w:ind w:left="993" w:hanging="425"/>
        <w:jc w:val="both"/>
        <w:rPr>
          <w:rFonts w:ascii="Times New Roman" w:eastAsia="Times New Roman" w:hAnsi="Times New Roman" w:cs="Times New Roman"/>
          <w:bCs/>
          <w:color w:val="000000" w:themeColor="text1"/>
        </w:rPr>
      </w:pPr>
      <w:r w:rsidRPr="007C41FB">
        <w:rPr>
          <w:rFonts w:ascii="Times New Roman" w:eastAsia="Times New Roman" w:hAnsi="Times New Roman" w:cs="Times New Roman"/>
          <w:bCs/>
          <w:color w:val="000000" w:themeColor="text1"/>
        </w:rPr>
        <w:t>levelező munkarend: - (- EA + - SZ + - GY)</w:t>
      </w:r>
    </w:p>
    <w:p w:rsidR="00BF39DF" w:rsidRPr="007C41FB" w:rsidRDefault="00BF39DF" w:rsidP="00980876">
      <w:pPr>
        <w:widowControl w:val="0"/>
        <w:numPr>
          <w:ilvl w:val="1"/>
          <w:numId w:val="479"/>
        </w:numPr>
        <w:tabs>
          <w:tab w:val="clear" w:pos="3977"/>
          <w:tab w:val="num" w:pos="709"/>
          <w:tab w:val="num" w:pos="2069"/>
        </w:tabs>
        <w:spacing w:before="120" w:after="120" w:line="240" w:lineRule="auto"/>
        <w:ind w:left="851" w:hanging="425"/>
        <w:jc w:val="both"/>
        <w:rPr>
          <w:rFonts w:ascii="Times New Roman" w:eastAsia="Times New Roman" w:hAnsi="Times New Roman" w:cs="Times New Roman"/>
          <w:bCs/>
          <w:color w:val="000000" w:themeColor="text1"/>
        </w:rPr>
      </w:pPr>
      <w:r w:rsidRPr="007C41FB">
        <w:rPr>
          <w:rFonts w:ascii="Times New Roman" w:eastAsia="Times New Roman" w:hAnsi="Times New Roman" w:cs="Times New Roman"/>
          <w:bCs/>
          <w:color w:val="000000" w:themeColor="text1"/>
        </w:rPr>
        <w:t>heti óraszám - nappali munkarend: 2</w:t>
      </w:r>
      <w:r>
        <w:rPr>
          <w:rFonts w:ascii="Times New Roman" w:eastAsia="Times New Roman" w:hAnsi="Times New Roman" w:cs="Times New Roman"/>
          <w:bCs/>
          <w:color w:val="000000" w:themeColor="text1"/>
        </w:rPr>
        <w:t xml:space="preserve"> (1+1)</w:t>
      </w:r>
    </w:p>
    <w:p w:rsidR="00BF39DF" w:rsidRPr="007C41FB" w:rsidRDefault="00BF39DF" w:rsidP="00980876">
      <w:pPr>
        <w:widowControl w:val="0"/>
        <w:numPr>
          <w:ilvl w:val="1"/>
          <w:numId w:val="479"/>
        </w:numPr>
        <w:tabs>
          <w:tab w:val="clear" w:pos="3977"/>
          <w:tab w:val="num" w:pos="709"/>
          <w:tab w:val="num" w:pos="2069"/>
        </w:tabs>
        <w:spacing w:before="120" w:after="0" w:line="240" w:lineRule="auto"/>
        <w:ind w:left="851" w:hanging="425"/>
        <w:jc w:val="both"/>
        <w:rPr>
          <w:rFonts w:ascii="Times New Roman" w:hAnsi="Times New Roman" w:cs="Times New Roman"/>
          <w:color w:val="000000" w:themeColor="text1"/>
        </w:rPr>
      </w:pPr>
      <w:r w:rsidRPr="007C41FB">
        <w:rPr>
          <w:rFonts w:ascii="Times New Roman" w:hAnsi="Times New Roman" w:cs="Times New Roman"/>
          <w:color w:val="000000" w:themeColor="text1"/>
        </w:rPr>
        <w:t xml:space="preserve">Az ismeret átadásában alkalmazandó további sajátos módok, jellemzők: </w:t>
      </w:r>
      <w:r w:rsidRPr="00DB2A37">
        <w:rPr>
          <w:rFonts w:ascii="Times New Roman" w:hAnsi="Times New Roman" w:cs="Times New Roman"/>
          <w:color w:val="000000" w:themeColor="text1"/>
        </w:rPr>
        <w:t>Az ismeretek feldolgozása vegyes tanulási program (blended learning) alapján történik.</w:t>
      </w:r>
    </w:p>
    <w:p w:rsidR="00BF39DF" w:rsidRPr="00DB2A37" w:rsidRDefault="00BF39DF" w:rsidP="00980876">
      <w:pPr>
        <w:widowControl w:val="0"/>
        <w:numPr>
          <w:ilvl w:val="0"/>
          <w:numId w:val="479"/>
        </w:numPr>
        <w:spacing w:before="120" w:after="120" w:line="240" w:lineRule="auto"/>
        <w:ind w:left="426" w:hanging="142"/>
        <w:jc w:val="both"/>
        <w:rPr>
          <w:rFonts w:ascii="Times New Roman" w:hAnsi="Times New Roman" w:cs="Times New Roman"/>
          <w:color w:val="000000" w:themeColor="text1"/>
        </w:rPr>
      </w:pPr>
      <w:r w:rsidRPr="00DB2A37">
        <w:rPr>
          <w:rFonts w:ascii="Times New Roman" w:eastAsia="Times New Roman" w:hAnsi="Times New Roman" w:cs="Times New Roman"/>
          <w:b/>
          <w:bCs/>
          <w:color w:val="000000" w:themeColor="text1"/>
        </w:rPr>
        <w:t>A tantárgy szakmai tartalma (magyarul):</w:t>
      </w:r>
      <w:r w:rsidRPr="00DB2A37">
        <w:rPr>
          <w:rFonts w:ascii="Times New Roman" w:hAnsi="Times New Roman" w:cs="Times New Roman"/>
          <w:b/>
          <w:color w:val="000000" w:themeColor="text1"/>
        </w:rPr>
        <w:t xml:space="preserve"> </w:t>
      </w:r>
      <w:r w:rsidRPr="00DB2A37">
        <w:rPr>
          <w:rFonts w:ascii="Times New Roman" w:hAnsi="Times New Roman" w:cs="Times New Roman"/>
          <w:color w:val="000000" w:themeColor="text1"/>
        </w:rPr>
        <w:t>A korszerű katonai célú robotok a modern kor háborúiban: pilótanélküli repülőgépek (UAV) és szárazföldi robotok (UGV), vízi és vízalatti robotok. A magyar UAV-k (Bohn Hungary, HM Ei. Zrt.) és további típusok ismertetése. A Haditechnikai Intézet Szojka UAV fejlesztési folyamata. UAV-k fel– és leszállásának módszerei. A szárazföldi robotok harcászati, felderítő és logisztikai variánsai. Irányítástechnikai módszerek és jellemzők, illetve az autonomitás foka. UGV futóművek. Vízi és vízalatti robotok típusai. Ember-robot együttműködés: vegyes kötelékek és a „digitális katona.” A hazai UAV/UGV próbapálya. Robotok a Magyar Honvédségben (tűzszerész és kórházi).</w:t>
      </w:r>
    </w:p>
    <w:p w:rsidR="00BF39DF" w:rsidRPr="007C41FB" w:rsidRDefault="00BF39DF" w:rsidP="00B20411">
      <w:pPr>
        <w:widowControl w:val="0"/>
        <w:spacing w:before="120" w:after="120" w:line="240" w:lineRule="auto"/>
        <w:ind w:left="426"/>
        <w:jc w:val="both"/>
        <w:rPr>
          <w:rFonts w:ascii="Times New Roman" w:hAnsi="Times New Roman" w:cs="Times New Roman"/>
          <w:color w:val="000000" w:themeColor="text1"/>
        </w:rPr>
      </w:pPr>
      <w:r w:rsidRPr="007C41FB">
        <w:rPr>
          <w:rFonts w:ascii="Times New Roman" w:eastAsia="Times New Roman" w:hAnsi="Times New Roman" w:cs="Times New Roman"/>
          <w:b/>
          <w:bCs/>
          <w:color w:val="000000" w:themeColor="text1"/>
        </w:rPr>
        <w:t>A tantárgy szakmai tartalma (angolul) (</w:t>
      </w:r>
      <w:r w:rsidRPr="007C41FB">
        <w:rPr>
          <w:rFonts w:ascii="Times New Roman" w:eastAsia="Times New Roman" w:hAnsi="Times New Roman" w:cs="Times New Roman"/>
          <w:b/>
          <w:bCs/>
          <w:color w:val="000000" w:themeColor="text1"/>
          <w:lang w:val="en-US"/>
        </w:rPr>
        <w:t>Course description</w:t>
      </w:r>
      <w:r w:rsidRPr="007C41FB">
        <w:rPr>
          <w:rFonts w:ascii="Times New Roman" w:eastAsia="Times New Roman" w:hAnsi="Times New Roman" w:cs="Times New Roman"/>
          <w:b/>
          <w:bCs/>
          <w:color w:val="000000" w:themeColor="text1"/>
        </w:rPr>
        <w:t>):</w:t>
      </w:r>
      <w:r w:rsidRPr="007C41FB">
        <w:rPr>
          <w:rFonts w:ascii="Times New Roman" w:hAnsi="Times New Roman" w:cs="Times New Roman"/>
          <w:bCs/>
          <w:color w:val="000000" w:themeColor="text1"/>
        </w:rPr>
        <w:t xml:space="preserve"> </w:t>
      </w:r>
      <w:r w:rsidRPr="007C41FB">
        <w:rPr>
          <w:rFonts w:ascii="Times New Roman" w:hAnsi="Times New Roman" w:cs="Times New Roman"/>
          <w:color w:val="000000" w:themeColor="text1"/>
        </w:rPr>
        <w:t>State of the art robots in the wars of modern age: unmanned air vehicles (UAV) and land military robots (Unmanned Ground Vehicles), watercraft and underwater robots. Review of the Hungarian UAV types (Bohn Hungary, HM Ei. Zrt.) and introducing of other UAV types. Research and development process of the Sojka type UAV by the Military Technology Institute. Take-off and landing methods of the UAV-s. Combatant, reconnaissance, and logistic variants of Unmanned Ground Vehicles. Guiding methods and parameters, and the rate of autonomy. Undercarriages and landing gears of the Unmanned Ground Vehicles. Types of watercraft and underwater robots. Human–robot cooperation: mixed teams and the „Digital soldier.” The Hungarian UAV/UGV test field. Robots in the Hungarian Defence Forces (miner and hospital).</w:t>
      </w:r>
    </w:p>
    <w:p w:rsidR="00BF39DF" w:rsidRPr="007C41FB" w:rsidRDefault="00BF39DF" w:rsidP="00980876">
      <w:pPr>
        <w:pStyle w:val="Listaszerbekezds"/>
        <w:widowControl w:val="0"/>
        <w:numPr>
          <w:ilvl w:val="0"/>
          <w:numId w:val="479"/>
        </w:numPr>
        <w:tabs>
          <w:tab w:val="clear" w:pos="720"/>
          <w:tab w:val="num" w:pos="426"/>
        </w:tabs>
        <w:spacing w:before="120" w:after="120" w:line="240" w:lineRule="auto"/>
        <w:jc w:val="both"/>
        <w:rPr>
          <w:rFonts w:ascii="Times New Roman" w:eastAsia="Times New Roman" w:hAnsi="Times New Roman" w:cs="Times New Roman"/>
          <w:bCs/>
          <w:color w:val="000000" w:themeColor="text1"/>
        </w:rPr>
      </w:pPr>
      <w:r w:rsidRPr="007C41FB">
        <w:rPr>
          <w:rFonts w:ascii="Times New Roman" w:eastAsia="Times New Roman" w:hAnsi="Times New Roman" w:cs="Times New Roman"/>
          <w:b/>
          <w:bCs/>
          <w:color w:val="000000" w:themeColor="text1"/>
        </w:rPr>
        <w:t xml:space="preserve">Elérendő kompetenciák (magyarul): </w:t>
      </w:r>
    </w:p>
    <w:p w:rsidR="00BF39DF" w:rsidRPr="007C41FB" w:rsidRDefault="00BF39DF" w:rsidP="00BF39DF">
      <w:pPr>
        <w:widowControl w:val="0"/>
        <w:spacing w:before="120" w:after="120" w:line="240" w:lineRule="auto"/>
        <w:ind w:left="426"/>
        <w:jc w:val="both"/>
        <w:rPr>
          <w:rFonts w:ascii="Times New Roman" w:eastAsia="Times New Roman" w:hAnsi="Times New Roman" w:cs="Times New Roman"/>
          <w:bCs/>
          <w:color w:val="000000" w:themeColor="text1"/>
        </w:rPr>
      </w:pPr>
      <w:r w:rsidRPr="007C41FB">
        <w:rPr>
          <w:rFonts w:ascii="Times New Roman" w:eastAsia="Times New Roman" w:hAnsi="Times New Roman" w:cs="Times New Roman"/>
          <w:b/>
          <w:bCs/>
          <w:color w:val="000000" w:themeColor="text1"/>
        </w:rPr>
        <w:t>Tudása:</w:t>
      </w:r>
      <w:r w:rsidRPr="007C41FB">
        <w:rPr>
          <w:rFonts w:ascii="Times New Roman" w:eastAsia="Times New Roman" w:hAnsi="Times New Roman" w:cs="Times New Roman"/>
          <w:bCs/>
          <w:color w:val="000000" w:themeColor="text1"/>
        </w:rPr>
        <w:t xml:space="preserve"> </w:t>
      </w:r>
    </w:p>
    <w:p w:rsidR="00BF39DF" w:rsidRPr="007C41FB" w:rsidRDefault="00BF39DF" w:rsidP="00980876">
      <w:pPr>
        <w:pStyle w:val="Listaszerbekezds"/>
        <w:widowControl w:val="0"/>
        <w:numPr>
          <w:ilvl w:val="0"/>
          <w:numId w:val="476"/>
        </w:numPr>
        <w:spacing w:before="120" w:after="120" w:line="240" w:lineRule="auto"/>
        <w:jc w:val="both"/>
        <w:rPr>
          <w:rFonts w:ascii="Times New Roman" w:eastAsia="Times New Roman" w:hAnsi="Times New Roman" w:cs="Times New Roman"/>
          <w:bCs/>
          <w:color w:val="000000" w:themeColor="text1"/>
        </w:rPr>
      </w:pPr>
      <w:r w:rsidRPr="007C41FB">
        <w:rPr>
          <w:rFonts w:ascii="Times New Roman" w:eastAsia="Times New Roman" w:hAnsi="Times New Roman" w:cs="Times New Roman"/>
          <w:bCs/>
          <w:color w:val="000000" w:themeColor="text1"/>
        </w:rPr>
        <w:t>Ismeri a katonai robotika témakört</w:t>
      </w:r>
      <w:r w:rsidRPr="007C41FB">
        <w:rPr>
          <w:rFonts w:ascii="Times New Roman" w:hAnsi="Times New Roman" w:cs="Times New Roman"/>
          <w:color w:val="000000" w:themeColor="text1"/>
        </w:rPr>
        <w:t xml:space="preserve">. </w:t>
      </w:r>
    </w:p>
    <w:p w:rsidR="00BF39DF" w:rsidRPr="007C41FB" w:rsidRDefault="00BF39DF" w:rsidP="00980876">
      <w:pPr>
        <w:pStyle w:val="Listaszerbekezds"/>
        <w:widowControl w:val="0"/>
        <w:numPr>
          <w:ilvl w:val="0"/>
          <w:numId w:val="476"/>
        </w:numPr>
        <w:spacing w:before="120" w:after="120" w:line="240" w:lineRule="auto"/>
        <w:jc w:val="both"/>
        <w:rPr>
          <w:rFonts w:ascii="Times New Roman" w:eastAsia="Times New Roman" w:hAnsi="Times New Roman" w:cs="Times New Roman"/>
          <w:bCs/>
          <w:color w:val="000000" w:themeColor="text1"/>
        </w:rPr>
      </w:pPr>
      <w:r w:rsidRPr="007C41FB">
        <w:rPr>
          <w:rFonts w:ascii="Times New Roman" w:eastAsia="Times New Roman" w:hAnsi="Times New Roman" w:cs="Times New Roman"/>
          <w:bCs/>
          <w:color w:val="000000" w:themeColor="text1"/>
        </w:rPr>
        <w:t xml:space="preserve">Megfelelő mélységű ismerettel rendelkezik a korszerű katonai célú robotok területén. </w:t>
      </w:r>
    </w:p>
    <w:p w:rsidR="00BF39DF" w:rsidRPr="007C41FB" w:rsidRDefault="00BF39DF" w:rsidP="00980876">
      <w:pPr>
        <w:pStyle w:val="Listaszerbekezds"/>
        <w:widowControl w:val="0"/>
        <w:numPr>
          <w:ilvl w:val="0"/>
          <w:numId w:val="476"/>
        </w:numPr>
        <w:spacing w:before="120" w:after="120" w:line="240" w:lineRule="auto"/>
        <w:jc w:val="both"/>
        <w:rPr>
          <w:rFonts w:ascii="Times New Roman" w:eastAsia="Times New Roman" w:hAnsi="Times New Roman" w:cs="Times New Roman"/>
          <w:bCs/>
          <w:color w:val="000000" w:themeColor="text1"/>
        </w:rPr>
      </w:pPr>
      <w:r w:rsidRPr="007C41FB">
        <w:rPr>
          <w:rFonts w:ascii="Times New Roman" w:eastAsia="Times New Roman" w:hAnsi="Times New Roman" w:cs="Times New Roman"/>
          <w:bCs/>
          <w:color w:val="000000" w:themeColor="text1"/>
        </w:rPr>
        <w:t xml:space="preserve">Ismeri a pilótanélküli repülőgépek (UAV) és szárazföldi robotok (UGV), vízi és vízalatti </w:t>
      </w:r>
      <w:r w:rsidRPr="007C41FB">
        <w:rPr>
          <w:rFonts w:ascii="Times New Roman" w:eastAsia="Times New Roman" w:hAnsi="Times New Roman" w:cs="Times New Roman"/>
          <w:bCs/>
          <w:color w:val="000000" w:themeColor="text1"/>
        </w:rPr>
        <w:lastRenderedPageBreak/>
        <w:t xml:space="preserve">robotok fontosabb típusait. </w:t>
      </w:r>
    </w:p>
    <w:p w:rsidR="00BF39DF" w:rsidRPr="007C41FB" w:rsidRDefault="00BF39DF" w:rsidP="00980876">
      <w:pPr>
        <w:pStyle w:val="Listaszerbekezds"/>
        <w:widowControl w:val="0"/>
        <w:numPr>
          <w:ilvl w:val="0"/>
          <w:numId w:val="476"/>
        </w:numPr>
        <w:spacing w:before="120" w:after="120" w:line="240" w:lineRule="auto"/>
        <w:jc w:val="both"/>
        <w:rPr>
          <w:rFonts w:ascii="Times New Roman" w:eastAsia="Times New Roman" w:hAnsi="Times New Roman" w:cs="Times New Roman"/>
          <w:bCs/>
          <w:color w:val="000000" w:themeColor="text1"/>
        </w:rPr>
      </w:pPr>
      <w:r w:rsidRPr="007C41FB">
        <w:rPr>
          <w:rFonts w:ascii="Times New Roman" w:eastAsia="Times New Roman" w:hAnsi="Times New Roman" w:cs="Times New Roman"/>
          <w:bCs/>
          <w:color w:val="000000" w:themeColor="text1"/>
        </w:rPr>
        <w:t>Ismeri a szárazföldi robotok harcászati, felderítő és logisztikai variánsait.</w:t>
      </w:r>
    </w:p>
    <w:p w:rsidR="00BF39DF" w:rsidRPr="007C41FB" w:rsidRDefault="00BF39DF" w:rsidP="00BF39DF">
      <w:pPr>
        <w:widowControl w:val="0"/>
        <w:spacing w:before="120" w:after="120" w:line="240" w:lineRule="auto"/>
        <w:ind w:left="426"/>
        <w:jc w:val="both"/>
        <w:rPr>
          <w:rFonts w:ascii="Times New Roman" w:eastAsia="Times New Roman" w:hAnsi="Times New Roman" w:cs="Times New Roman"/>
          <w:bCs/>
          <w:color w:val="000000" w:themeColor="text1"/>
        </w:rPr>
      </w:pPr>
      <w:r w:rsidRPr="007C41FB">
        <w:rPr>
          <w:rFonts w:ascii="Times New Roman" w:eastAsia="Times New Roman" w:hAnsi="Times New Roman" w:cs="Times New Roman"/>
          <w:b/>
          <w:bCs/>
          <w:color w:val="000000" w:themeColor="text1"/>
        </w:rPr>
        <w:t>Képességei:</w:t>
      </w:r>
      <w:r w:rsidRPr="007C41FB">
        <w:rPr>
          <w:rFonts w:ascii="Times New Roman" w:eastAsia="Times New Roman" w:hAnsi="Times New Roman" w:cs="Times New Roman"/>
          <w:bCs/>
          <w:color w:val="000000" w:themeColor="text1"/>
        </w:rPr>
        <w:t xml:space="preserve"> </w:t>
      </w:r>
    </w:p>
    <w:p w:rsidR="00BF39DF" w:rsidRPr="007C41FB" w:rsidRDefault="00BF39DF" w:rsidP="00980876">
      <w:pPr>
        <w:pStyle w:val="Listaszerbekezds"/>
        <w:widowControl w:val="0"/>
        <w:numPr>
          <w:ilvl w:val="0"/>
          <w:numId w:val="476"/>
        </w:numPr>
        <w:spacing w:before="120" w:after="120" w:line="240" w:lineRule="auto"/>
        <w:jc w:val="both"/>
        <w:rPr>
          <w:rFonts w:ascii="Times New Roman" w:eastAsia="Times New Roman" w:hAnsi="Times New Roman" w:cs="Times New Roman"/>
          <w:bCs/>
          <w:color w:val="000000" w:themeColor="text1"/>
        </w:rPr>
      </w:pPr>
      <w:r w:rsidRPr="007C41FB">
        <w:rPr>
          <w:rFonts w:ascii="Times New Roman" w:eastAsia="Times New Roman" w:hAnsi="Times New Roman" w:cs="Times New Roman"/>
          <w:bCs/>
          <w:color w:val="000000" w:themeColor="text1"/>
        </w:rPr>
        <w:t xml:space="preserve">Képes a katonai robotika eszközeinek megkülönböztetésére. </w:t>
      </w:r>
    </w:p>
    <w:p w:rsidR="00BF39DF" w:rsidRPr="007C41FB" w:rsidRDefault="00BF39DF" w:rsidP="00980876">
      <w:pPr>
        <w:pStyle w:val="Listaszerbekezds"/>
        <w:widowControl w:val="0"/>
        <w:numPr>
          <w:ilvl w:val="0"/>
          <w:numId w:val="476"/>
        </w:numPr>
        <w:spacing w:before="120" w:after="120" w:line="240" w:lineRule="auto"/>
        <w:jc w:val="both"/>
        <w:rPr>
          <w:rFonts w:ascii="Times New Roman" w:eastAsia="Times New Roman" w:hAnsi="Times New Roman" w:cs="Times New Roman"/>
          <w:bCs/>
          <w:color w:val="000000" w:themeColor="text1"/>
        </w:rPr>
      </w:pPr>
      <w:r w:rsidRPr="007C41FB">
        <w:rPr>
          <w:rFonts w:ascii="Times New Roman" w:eastAsia="Times New Roman" w:hAnsi="Times New Roman" w:cs="Times New Roman"/>
          <w:bCs/>
          <w:color w:val="000000" w:themeColor="text1"/>
        </w:rPr>
        <w:t xml:space="preserve">Képes a korszerű katonai célú robotokkal kapcsolatos ismeretek elsajátítására. </w:t>
      </w:r>
    </w:p>
    <w:p w:rsidR="00BF39DF" w:rsidRPr="007C41FB" w:rsidRDefault="00BF39DF" w:rsidP="00980876">
      <w:pPr>
        <w:pStyle w:val="Listaszerbekezds"/>
        <w:widowControl w:val="0"/>
        <w:numPr>
          <w:ilvl w:val="0"/>
          <w:numId w:val="476"/>
        </w:numPr>
        <w:spacing w:before="120" w:after="120" w:line="240" w:lineRule="auto"/>
        <w:jc w:val="both"/>
        <w:rPr>
          <w:rFonts w:ascii="Times New Roman" w:eastAsia="Times New Roman" w:hAnsi="Times New Roman" w:cs="Times New Roman"/>
          <w:bCs/>
          <w:color w:val="000000" w:themeColor="text1"/>
        </w:rPr>
      </w:pPr>
      <w:r w:rsidRPr="007C41FB">
        <w:rPr>
          <w:rFonts w:ascii="Times New Roman" w:eastAsia="Times New Roman" w:hAnsi="Times New Roman" w:cs="Times New Roman"/>
          <w:bCs/>
          <w:color w:val="000000" w:themeColor="text1"/>
        </w:rPr>
        <w:t>Képes felismerni a Magyar Honvédségnél használatos robotokat.</w:t>
      </w:r>
    </w:p>
    <w:p w:rsidR="00BF39DF" w:rsidRDefault="00BF39DF" w:rsidP="00BF39DF">
      <w:pPr>
        <w:widowControl w:val="0"/>
        <w:spacing w:before="120" w:after="120" w:line="240" w:lineRule="auto"/>
        <w:ind w:left="426"/>
        <w:jc w:val="both"/>
        <w:rPr>
          <w:rFonts w:ascii="Times New Roman" w:eastAsia="Times New Roman" w:hAnsi="Times New Roman" w:cs="Times New Roman"/>
          <w:bCs/>
          <w:color w:val="000000" w:themeColor="text1"/>
        </w:rPr>
      </w:pPr>
      <w:r w:rsidRPr="007C41FB">
        <w:rPr>
          <w:rFonts w:ascii="Times New Roman" w:eastAsia="Times New Roman" w:hAnsi="Times New Roman" w:cs="Times New Roman"/>
          <w:b/>
          <w:bCs/>
          <w:color w:val="000000" w:themeColor="text1"/>
        </w:rPr>
        <w:t>Attitűdje:</w:t>
      </w:r>
      <w:r w:rsidRPr="007C41FB">
        <w:rPr>
          <w:rFonts w:ascii="Times New Roman" w:eastAsia="Times New Roman" w:hAnsi="Times New Roman" w:cs="Times New Roman"/>
          <w:bCs/>
          <w:color w:val="000000" w:themeColor="text1"/>
        </w:rPr>
        <w:t xml:space="preserve"> </w:t>
      </w:r>
    </w:p>
    <w:p w:rsidR="00BF39DF" w:rsidRDefault="00BF39DF" w:rsidP="00980876">
      <w:pPr>
        <w:pStyle w:val="Listaszerbekezds"/>
        <w:widowControl w:val="0"/>
        <w:numPr>
          <w:ilvl w:val="0"/>
          <w:numId w:val="476"/>
        </w:numPr>
        <w:spacing w:before="120" w:after="120" w:line="240" w:lineRule="auto"/>
        <w:jc w:val="both"/>
        <w:rPr>
          <w:rFonts w:ascii="Times New Roman" w:eastAsia="Times New Roman" w:hAnsi="Times New Roman" w:cs="Times New Roman"/>
          <w:bCs/>
          <w:color w:val="000000" w:themeColor="text1"/>
        </w:rPr>
      </w:pPr>
      <w:r w:rsidRPr="007C41FB">
        <w:rPr>
          <w:rFonts w:ascii="Times New Roman" w:eastAsia="Times New Roman" w:hAnsi="Times New Roman" w:cs="Times New Roman"/>
          <w:bCs/>
          <w:color w:val="000000" w:themeColor="text1"/>
        </w:rPr>
        <w:t xml:space="preserve">Nyitott a szakterületén rendszeresített és használt katonai célú robotokkal kapcsolatos szakmai ismereteinek gyarapítása iránt, folyamatos önképzési igény jellemzi. </w:t>
      </w:r>
    </w:p>
    <w:p w:rsidR="00BF39DF" w:rsidRDefault="00BF39DF" w:rsidP="00980876">
      <w:pPr>
        <w:pStyle w:val="Listaszerbekezds"/>
        <w:widowControl w:val="0"/>
        <w:numPr>
          <w:ilvl w:val="0"/>
          <w:numId w:val="476"/>
        </w:numPr>
        <w:spacing w:before="120" w:after="120" w:line="240" w:lineRule="auto"/>
        <w:jc w:val="both"/>
        <w:rPr>
          <w:rFonts w:ascii="Times New Roman" w:eastAsia="Times New Roman" w:hAnsi="Times New Roman" w:cs="Times New Roman"/>
          <w:bCs/>
          <w:color w:val="000000" w:themeColor="text1"/>
        </w:rPr>
      </w:pPr>
      <w:r w:rsidRPr="007C41FB">
        <w:rPr>
          <w:rFonts w:ascii="Times New Roman" w:eastAsia="Times New Roman" w:hAnsi="Times New Roman" w:cs="Times New Roman"/>
          <w:bCs/>
          <w:color w:val="000000" w:themeColor="text1"/>
        </w:rPr>
        <w:t xml:space="preserve">Törekszik munkája során a pilótanélküli repülőgépek (UAV) és szárazföldi robotok (UGV), vízi és vízalatti robotok fontosabb típusainak megismerésére. </w:t>
      </w:r>
    </w:p>
    <w:p w:rsidR="00BF39DF" w:rsidRPr="007C41FB" w:rsidRDefault="00BF39DF" w:rsidP="00980876">
      <w:pPr>
        <w:pStyle w:val="Listaszerbekezds"/>
        <w:widowControl w:val="0"/>
        <w:numPr>
          <w:ilvl w:val="0"/>
          <w:numId w:val="476"/>
        </w:numPr>
        <w:spacing w:before="120" w:after="120" w:line="240" w:lineRule="auto"/>
        <w:jc w:val="both"/>
        <w:rPr>
          <w:rFonts w:ascii="Times New Roman" w:eastAsia="Times New Roman" w:hAnsi="Times New Roman" w:cs="Times New Roman"/>
          <w:bCs/>
          <w:color w:val="000000" w:themeColor="text1"/>
        </w:rPr>
      </w:pPr>
      <w:r w:rsidRPr="007C41FB">
        <w:rPr>
          <w:rFonts w:ascii="Times New Roman" w:eastAsia="Times New Roman" w:hAnsi="Times New Roman" w:cs="Times New Roman"/>
          <w:bCs/>
          <w:color w:val="000000" w:themeColor="text1"/>
        </w:rPr>
        <w:t>Nyitott a haditechnikai szakterület új eredményei felé, törekszik azok megismerésére, különös tekintettel a katonai célú robotokra.</w:t>
      </w:r>
    </w:p>
    <w:p w:rsidR="00BF39DF" w:rsidRDefault="00BF39DF" w:rsidP="00BF39DF">
      <w:pPr>
        <w:widowControl w:val="0"/>
        <w:spacing w:before="120" w:after="120" w:line="240" w:lineRule="auto"/>
        <w:ind w:left="426"/>
        <w:jc w:val="both"/>
        <w:rPr>
          <w:rFonts w:ascii="Times New Roman" w:eastAsia="Times New Roman" w:hAnsi="Times New Roman" w:cs="Times New Roman"/>
          <w:bCs/>
          <w:color w:val="000000" w:themeColor="text1"/>
        </w:rPr>
      </w:pPr>
      <w:r w:rsidRPr="007C41FB">
        <w:rPr>
          <w:rFonts w:ascii="Times New Roman" w:eastAsia="Times New Roman" w:hAnsi="Times New Roman" w:cs="Times New Roman"/>
          <w:b/>
          <w:bCs/>
          <w:color w:val="000000" w:themeColor="text1"/>
        </w:rPr>
        <w:t>Autonómiája és felelőssége:</w:t>
      </w:r>
      <w:r w:rsidRPr="007C41FB">
        <w:rPr>
          <w:rFonts w:ascii="Times New Roman" w:eastAsia="Times New Roman" w:hAnsi="Times New Roman" w:cs="Times New Roman"/>
          <w:bCs/>
          <w:color w:val="000000" w:themeColor="text1"/>
        </w:rPr>
        <w:t xml:space="preserve"> </w:t>
      </w:r>
    </w:p>
    <w:p w:rsidR="00BF39DF" w:rsidRDefault="00BF39DF" w:rsidP="00980876">
      <w:pPr>
        <w:pStyle w:val="Listaszerbekezds"/>
        <w:widowControl w:val="0"/>
        <w:numPr>
          <w:ilvl w:val="0"/>
          <w:numId w:val="476"/>
        </w:numPr>
        <w:spacing w:before="120" w:after="120" w:line="240" w:lineRule="auto"/>
        <w:jc w:val="both"/>
        <w:rPr>
          <w:rFonts w:ascii="Times New Roman" w:eastAsia="Times New Roman" w:hAnsi="Times New Roman" w:cs="Times New Roman"/>
          <w:bCs/>
          <w:color w:val="000000" w:themeColor="text1"/>
        </w:rPr>
      </w:pPr>
      <w:r w:rsidRPr="007C41FB">
        <w:rPr>
          <w:rFonts w:ascii="Times New Roman" w:eastAsia="Times New Roman" w:hAnsi="Times New Roman" w:cs="Times New Roman"/>
          <w:bCs/>
          <w:color w:val="000000" w:themeColor="text1"/>
        </w:rPr>
        <w:t xml:space="preserve">Képes alárendeltjeinek feladatait megszervezni és meghatározni, valamint elvégzett munkájukat szakmai szempontok alapján ellenőrizni. </w:t>
      </w:r>
    </w:p>
    <w:p w:rsidR="00BF39DF" w:rsidRDefault="00BF39DF" w:rsidP="00980876">
      <w:pPr>
        <w:pStyle w:val="Listaszerbekezds"/>
        <w:widowControl w:val="0"/>
        <w:numPr>
          <w:ilvl w:val="0"/>
          <w:numId w:val="476"/>
        </w:numPr>
        <w:spacing w:before="120" w:after="120" w:line="240" w:lineRule="auto"/>
        <w:jc w:val="both"/>
        <w:rPr>
          <w:rFonts w:ascii="Times New Roman" w:eastAsia="Times New Roman" w:hAnsi="Times New Roman" w:cs="Times New Roman"/>
          <w:bCs/>
          <w:color w:val="000000" w:themeColor="text1"/>
        </w:rPr>
      </w:pPr>
      <w:r w:rsidRPr="007C41FB">
        <w:rPr>
          <w:rFonts w:ascii="Times New Roman" w:eastAsia="Times New Roman" w:hAnsi="Times New Roman" w:cs="Times New Roman"/>
          <w:bCs/>
          <w:color w:val="000000" w:themeColor="text1"/>
        </w:rPr>
        <w:t xml:space="preserve">Együttműködés és felelősség jellemzi szakterületének szakembereivel szemben. </w:t>
      </w:r>
    </w:p>
    <w:p w:rsidR="00BF39DF" w:rsidRPr="007C41FB" w:rsidRDefault="00BF39DF" w:rsidP="00980876">
      <w:pPr>
        <w:pStyle w:val="Listaszerbekezds"/>
        <w:widowControl w:val="0"/>
        <w:numPr>
          <w:ilvl w:val="0"/>
          <w:numId w:val="476"/>
        </w:numPr>
        <w:spacing w:before="120" w:after="120" w:line="240" w:lineRule="auto"/>
        <w:jc w:val="both"/>
        <w:rPr>
          <w:rFonts w:ascii="Times New Roman" w:eastAsia="Times New Roman" w:hAnsi="Times New Roman" w:cs="Times New Roman"/>
          <w:bCs/>
          <w:color w:val="000000" w:themeColor="text1"/>
        </w:rPr>
      </w:pPr>
      <w:r w:rsidRPr="007C41FB">
        <w:rPr>
          <w:rFonts w:ascii="Times New Roman" w:eastAsia="Times New Roman" w:hAnsi="Times New Roman" w:cs="Times New Roman"/>
          <w:bCs/>
          <w:color w:val="000000" w:themeColor="text1"/>
        </w:rPr>
        <w:t>Szakterületén belül képes rendszer-szemléletűen gondolkodni.</w:t>
      </w:r>
    </w:p>
    <w:p w:rsidR="00BF39DF" w:rsidRDefault="00BF39DF" w:rsidP="00BF39DF">
      <w:pPr>
        <w:pStyle w:val="Listaszerbekezds"/>
        <w:widowControl w:val="0"/>
        <w:spacing w:before="120" w:after="120" w:line="240" w:lineRule="auto"/>
        <w:jc w:val="both"/>
        <w:rPr>
          <w:rFonts w:ascii="Times New Roman" w:eastAsia="Times New Roman" w:hAnsi="Times New Roman" w:cs="Times New Roman"/>
          <w:b/>
          <w:bCs/>
          <w:color w:val="000000" w:themeColor="text1"/>
        </w:rPr>
      </w:pPr>
    </w:p>
    <w:p w:rsidR="00BF39DF" w:rsidRPr="007C41FB" w:rsidRDefault="00BF39DF" w:rsidP="00BF39DF">
      <w:pPr>
        <w:pStyle w:val="Listaszerbekezds"/>
        <w:widowControl w:val="0"/>
        <w:spacing w:before="120" w:after="120" w:line="240" w:lineRule="auto"/>
        <w:jc w:val="both"/>
        <w:rPr>
          <w:rFonts w:ascii="Times New Roman" w:eastAsia="Times New Roman" w:hAnsi="Times New Roman" w:cs="Times New Roman"/>
          <w:b/>
          <w:bCs/>
          <w:color w:val="000000" w:themeColor="text1"/>
          <w:lang w:val="en-US"/>
        </w:rPr>
      </w:pPr>
      <w:r w:rsidRPr="007C41FB">
        <w:rPr>
          <w:rFonts w:ascii="Times New Roman" w:eastAsia="Times New Roman" w:hAnsi="Times New Roman" w:cs="Times New Roman"/>
          <w:b/>
          <w:bCs/>
          <w:color w:val="000000" w:themeColor="text1"/>
        </w:rPr>
        <w:t>Elérendő kompetenciák (angolul) (</w:t>
      </w:r>
      <w:r w:rsidRPr="007C41FB">
        <w:rPr>
          <w:rFonts w:ascii="Times New Roman" w:eastAsia="Times New Roman" w:hAnsi="Times New Roman" w:cs="Times New Roman"/>
          <w:b/>
          <w:bCs/>
          <w:color w:val="000000" w:themeColor="text1"/>
          <w:lang w:val="en-US"/>
        </w:rPr>
        <w:t xml:space="preserve">Competences – English): </w:t>
      </w:r>
    </w:p>
    <w:p w:rsidR="00BF39DF" w:rsidRPr="00B20411" w:rsidRDefault="00BF39DF" w:rsidP="00B204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b/>
          <w:color w:val="000000" w:themeColor="text1"/>
          <w:lang w:val="en-GB"/>
        </w:rPr>
      </w:pPr>
      <w:r w:rsidRPr="007C41FB">
        <w:rPr>
          <w:rFonts w:ascii="Times New Roman" w:eastAsia="Times New Roman" w:hAnsi="Times New Roman" w:cs="Times New Roman"/>
          <w:b/>
          <w:color w:val="000000" w:themeColor="text1"/>
          <w:lang w:val="en-GB"/>
        </w:rPr>
        <w:t>Knowledge</w:t>
      </w:r>
      <w:r w:rsidRPr="00B20411">
        <w:rPr>
          <w:rFonts w:ascii="Times New Roman" w:eastAsia="Times New Roman" w:hAnsi="Times New Roman" w:cs="Times New Roman"/>
          <w:b/>
          <w:color w:val="000000" w:themeColor="text1"/>
          <w:lang w:val="en-GB"/>
        </w:rPr>
        <w:t xml:space="preserve">: </w:t>
      </w:r>
    </w:p>
    <w:p w:rsidR="00BF39DF" w:rsidRDefault="00BF39DF" w:rsidP="00980876">
      <w:pPr>
        <w:pStyle w:val="Listaszerbekezds"/>
        <w:widowControl w:val="0"/>
        <w:numPr>
          <w:ilvl w:val="0"/>
          <w:numId w:val="476"/>
        </w:numPr>
        <w:spacing w:before="120" w:after="120" w:line="240" w:lineRule="auto"/>
        <w:jc w:val="both"/>
        <w:rPr>
          <w:rFonts w:ascii="Times New Roman" w:eastAsia="Times New Roman" w:hAnsi="Times New Roman" w:cs="Times New Roman"/>
          <w:bCs/>
          <w:color w:val="000000" w:themeColor="text1"/>
          <w:lang w:val="en-US"/>
        </w:rPr>
      </w:pPr>
      <w:r w:rsidRPr="007C41FB">
        <w:rPr>
          <w:rFonts w:ascii="Times New Roman" w:eastAsia="Times New Roman" w:hAnsi="Times New Roman" w:cs="Times New Roman"/>
          <w:bCs/>
          <w:color w:val="000000" w:themeColor="text1"/>
        </w:rPr>
        <w:t>Knows the s</w:t>
      </w:r>
      <w:r w:rsidRPr="007C41FB">
        <w:rPr>
          <w:rFonts w:ascii="Times New Roman" w:eastAsia="Times New Roman" w:hAnsi="Times New Roman" w:cs="Times New Roman"/>
          <w:bCs/>
          <w:color w:val="000000" w:themeColor="text1"/>
          <w:lang w:val="en-US"/>
        </w:rPr>
        <w:t xml:space="preserve">tate of the art robots in the wars of modern age. </w:t>
      </w:r>
    </w:p>
    <w:p w:rsidR="00BF39DF" w:rsidRDefault="00BF39DF" w:rsidP="00980876">
      <w:pPr>
        <w:pStyle w:val="Listaszerbekezds"/>
        <w:widowControl w:val="0"/>
        <w:numPr>
          <w:ilvl w:val="0"/>
          <w:numId w:val="476"/>
        </w:numPr>
        <w:spacing w:before="120" w:after="120" w:line="240" w:lineRule="auto"/>
        <w:jc w:val="both"/>
        <w:rPr>
          <w:rFonts w:ascii="Times New Roman" w:eastAsia="Times New Roman" w:hAnsi="Times New Roman" w:cs="Times New Roman"/>
          <w:bCs/>
          <w:color w:val="000000" w:themeColor="text1"/>
          <w:lang w:val="en-US"/>
        </w:rPr>
      </w:pPr>
      <w:r w:rsidRPr="007C41FB">
        <w:rPr>
          <w:rFonts w:ascii="Times New Roman" w:eastAsia="Times New Roman" w:hAnsi="Times New Roman" w:cs="Times New Roman"/>
          <w:bCs/>
          <w:color w:val="000000" w:themeColor="text1"/>
        </w:rPr>
        <w:t xml:space="preserve">Knows and is able to learn and study about </w:t>
      </w:r>
      <w:r w:rsidRPr="007C41FB">
        <w:rPr>
          <w:rFonts w:ascii="Times New Roman" w:eastAsia="Times New Roman" w:hAnsi="Times New Roman" w:cs="Times New Roman"/>
          <w:bCs/>
          <w:color w:val="000000" w:themeColor="text1"/>
          <w:lang w:val="en-US"/>
        </w:rPr>
        <w:t xml:space="preserve">unmanned air vehicles (UAV) and land military robots (Unmanned Ground Vehicles), watercraft and underwater robots. </w:t>
      </w:r>
    </w:p>
    <w:p w:rsidR="00BF39DF" w:rsidRPr="007C41FB" w:rsidRDefault="00BF39DF" w:rsidP="00980876">
      <w:pPr>
        <w:pStyle w:val="Listaszerbekezds"/>
        <w:widowControl w:val="0"/>
        <w:numPr>
          <w:ilvl w:val="0"/>
          <w:numId w:val="476"/>
        </w:numPr>
        <w:spacing w:before="120" w:after="120" w:line="240" w:lineRule="auto"/>
        <w:jc w:val="both"/>
        <w:rPr>
          <w:rFonts w:ascii="Times New Roman" w:eastAsia="Times New Roman" w:hAnsi="Times New Roman" w:cs="Times New Roman"/>
          <w:bCs/>
          <w:color w:val="000000" w:themeColor="text1"/>
          <w:lang w:val="en-US"/>
        </w:rPr>
      </w:pPr>
      <w:r w:rsidRPr="007C41FB">
        <w:rPr>
          <w:rFonts w:ascii="Times New Roman" w:eastAsia="Times New Roman" w:hAnsi="Times New Roman" w:cs="Times New Roman"/>
          <w:bCs/>
          <w:color w:val="000000" w:themeColor="text1"/>
          <w:lang w:val="en-US"/>
        </w:rPr>
        <w:t>Knows the combatant, reconnaissance, and logistic variants of Unmanned Ground Vehicles.</w:t>
      </w:r>
    </w:p>
    <w:p w:rsidR="00BF39DF" w:rsidRPr="00B20411" w:rsidRDefault="00BF39DF" w:rsidP="00B204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b/>
          <w:color w:val="000000" w:themeColor="text1"/>
          <w:lang w:val="en-GB"/>
        </w:rPr>
      </w:pPr>
      <w:r w:rsidRPr="007C41FB">
        <w:rPr>
          <w:rFonts w:ascii="Times New Roman" w:eastAsia="Times New Roman" w:hAnsi="Times New Roman" w:cs="Times New Roman"/>
          <w:b/>
          <w:color w:val="000000" w:themeColor="text1"/>
          <w:lang w:val="en-GB"/>
        </w:rPr>
        <w:t>Capabilities</w:t>
      </w:r>
      <w:r w:rsidRPr="00B20411">
        <w:rPr>
          <w:rFonts w:ascii="Times New Roman" w:eastAsia="Times New Roman" w:hAnsi="Times New Roman" w:cs="Times New Roman"/>
          <w:b/>
          <w:color w:val="000000" w:themeColor="text1"/>
          <w:lang w:val="en-GB"/>
        </w:rPr>
        <w:t xml:space="preserve">: </w:t>
      </w:r>
    </w:p>
    <w:p w:rsidR="00BF39DF" w:rsidRDefault="00BF39DF" w:rsidP="00980876">
      <w:pPr>
        <w:pStyle w:val="Listaszerbekezds"/>
        <w:widowControl w:val="0"/>
        <w:numPr>
          <w:ilvl w:val="0"/>
          <w:numId w:val="476"/>
        </w:numPr>
        <w:spacing w:before="120" w:after="120" w:line="240" w:lineRule="auto"/>
        <w:jc w:val="both"/>
        <w:rPr>
          <w:rFonts w:ascii="Times New Roman" w:eastAsia="Times New Roman" w:hAnsi="Times New Roman" w:cs="Times New Roman"/>
          <w:bCs/>
          <w:color w:val="000000" w:themeColor="text1"/>
        </w:rPr>
      </w:pPr>
      <w:r w:rsidRPr="007C41FB">
        <w:rPr>
          <w:rFonts w:ascii="Times New Roman" w:eastAsia="Times New Roman" w:hAnsi="Times New Roman" w:cs="Times New Roman"/>
          <w:bCs/>
          <w:color w:val="000000" w:themeColor="text1"/>
        </w:rPr>
        <w:t>Is capable of recognise the types of the military robots.</w:t>
      </w:r>
    </w:p>
    <w:p w:rsidR="00BF39DF" w:rsidRDefault="00BF39DF" w:rsidP="00980876">
      <w:pPr>
        <w:pStyle w:val="Listaszerbekezds"/>
        <w:widowControl w:val="0"/>
        <w:numPr>
          <w:ilvl w:val="0"/>
          <w:numId w:val="476"/>
        </w:numPr>
        <w:spacing w:before="120" w:after="120" w:line="240" w:lineRule="auto"/>
        <w:jc w:val="both"/>
        <w:rPr>
          <w:rFonts w:ascii="Times New Roman" w:eastAsia="Times New Roman" w:hAnsi="Times New Roman" w:cs="Times New Roman"/>
          <w:bCs/>
          <w:color w:val="000000" w:themeColor="text1"/>
        </w:rPr>
      </w:pPr>
      <w:r w:rsidRPr="007C41FB">
        <w:rPr>
          <w:rFonts w:ascii="Times New Roman" w:eastAsia="Times New Roman" w:hAnsi="Times New Roman" w:cs="Times New Roman"/>
          <w:bCs/>
          <w:color w:val="000000" w:themeColor="text1"/>
        </w:rPr>
        <w:t xml:space="preserve">Is capable to learn and study about the state of the art robots in the wars of modern age. </w:t>
      </w:r>
    </w:p>
    <w:p w:rsidR="00BF39DF" w:rsidRPr="007C41FB" w:rsidRDefault="00BF39DF" w:rsidP="00980876">
      <w:pPr>
        <w:pStyle w:val="Listaszerbekezds"/>
        <w:widowControl w:val="0"/>
        <w:numPr>
          <w:ilvl w:val="0"/>
          <w:numId w:val="476"/>
        </w:numPr>
        <w:spacing w:before="120" w:after="120" w:line="240" w:lineRule="auto"/>
        <w:jc w:val="both"/>
        <w:rPr>
          <w:rFonts w:ascii="Times New Roman" w:eastAsia="Times New Roman" w:hAnsi="Times New Roman" w:cs="Times New Roman"/>
          <w:bCs/>
          <w:color w:val="000000" w:themeColor="text1"/>
        </w:rPr>
      </w:pPr>
      <w:r w:rsidRPr="007C41FB">
        <w:rPr>
          <w:rFonts w:ascii="Times New Roman" w:eastAsia="Times New Roman" w:hAnsi="Times New Roman" w:cs="Times New Roman"/>
          <w:bCs/>
          <w:color w:val="000000" w:themeColor="text1"/>
        </w:rPr>
        <w:t>Is capable of recognise the robot-types of the Hungarian Defence Forces (miner and hospital).</w:t>
      </w:r>
    </w:p>
    <w:p w:rsidR="00BF39DF" w:rsidRDefault="00BF39DF" w:rsidP="00BF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color w:val="000000" w:themeColor="text1"/>
          <w:lang w:val="en-GB"/>
        </w:rPr>
      </w:pPr>
      <w:r w:rsidRPr="007C41FB">
        <w:rPr>
          <w:rFonts w:ascii="Times New Roman" w:eastAsia="Times New Roman" w:hAnsi="Times New Roman" w:cs="Times New Roman"/>
          <w:b/>
          <w:color w:val="000000" w:themeColor="text1"/>
          <w:lang w:val="en-GB"/>
        </w:rPr>
        <w:t>Attitude:</w:t>
      </w:r>
      <w:r w:rsidRPr="007C41FB">
        <w:rPr>
          <w:rFonts w:ascii="Times New Roman" w:eastAsia="Times New Roman" w:hAnsi="Times New Roman" w:cs="Times New Roman"/>
          <w:color w:val="000000" w:themeColor="text1"/>
          <w:lang w:val="en-GB"/>
        </w:rPr>
        <w:t xml:space="preserve"> </w:t>
      </w:r>
    </w:p>
    <w:p w:rsidR="00BF39DF" w:rsidRDefault="00BF39DF" w:rsidP="00980876">
      <w:pPr>
        <w:pStyle w:val="Listaszerbekezds"/>
        <w:numPr>
          <w:ilvl w:val="0"/>
          <w:numId w:val="4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themeColor="text1"/>
          <w:lang w:eastAsia="hu-HU"/>
        </w:rPr>
      </w:pPr>
      <w:r w:rsidRPr="007C41FB">
        <w:rPr>
          <w:rFonts w:ascii="Times New Roman" w:eastAsia="Times New Roman" w:hAnsi="Times New Roman" w:cs="Times New Roman"/>
          <w:color w:val="000000" w:themeColor="text1"/>
        </w:rPr>
        <w:t>He/she is open to widen his/her knowledge regarding</w:t>
      </w:r>
      <w:r w:rsidRPr="007C41FB">
        <w:rPr>
          <w:rFonts w:ascii="Times New Roman" w:eastAsia="Times New Roman" w:hAnsi="Times New Roman" w:cs="Times New Roman"/>
          <w:bCs/>
          <w:color w:val="000000" w:themeColor="text1"/>
        </w:rPr>
        <w:t xml:space="preserve"> the types of the military robots. </w:t>
      </w:r>
    </w:p>
    <w:p w:rsidR="00BF39DF" w:rsidRPr="007C41FB" w:rsidRDefault="00BF39DF" w:rsidP="00980876">
      <w:pPr>
        <w:pStyle w:val="Listaszerbekezds"/>
        <w:numPr>
          <w:ilvl w:val="0"/>
          <w:numId w:val="4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themeColor="text1"/>
          <w:lang w:eastAsia="hu-HU"/>
        </w:rPr>
      </w:pPr>
      <w:r w:rsidRPr="007C41FB">
        <w:rPr>
          <w:rFonts w:ascii="Times New Roman" w:eastAsia="Times New Roman" w:hAnsi="Times New Roman" w:cs="Times New Roman"/>
          <w:color w:val="000000" w:themeColor="text1"/>
        </w:rPr>
        <w:t>He/she aims to adhere to the knowledge of</w:t>
      </w:r>
      <w:r w:rsidRPr="007C41FB">
        <w:rPr>
          <w:color w:val="000000" w:themeColor="text1"/>
        </w:rPr>
        <w:t xml:space="preserve"> </w:t>
      </w:r>
      <w:r w:rsidRPr="007C41FB">
        <w:rPr>
          <w:rFonts w:ascii="Times New Roman" w:eastAsia="Times New Roman" w:hAnsi="Times New Roman" w:cs="Times New Roman"/>
          <w:color w:val="000000" w:themeColor="text1"/>
        </w:rPr>
        <w:t xml:space="preserve">the item of military robots. </w:t>
      </w:r>
    </w:p>
    <w:p w:rsidR="00BF39DF" w:rsidRPr="007C41FB" w:rsidRDefault="00BF39DF" w:rsidP="00980876">
      <w:pPr>
        <w:pStyle w:val="Listaszerbekezds"/>
        <w:numPr>
          <w:ilvl w:val="0"/>
          <w:numId w:val="4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themeColor="text1"/>
          <w:lang w:eastAsia="hu-HU"/>
        </w:rPr>
      </w:pPr>
      <w:r w:rsidRPr="007C41FB">
        <w:rPr>
          <w:rFonts w:ascii="Times New Roman" w:eastAsia="Times New Roman" w:hAnsi="Times New Roman" w:cs="Times New Roman"/>
          <w:color w:val="000000" w:themeColor="text1"/>
        </w:rPr>
        <w:t xml:space="preserve">His/her work and relationships can be described by loyalty and reliability. </w:t>
      </w:r>
    </w:p>
    <w:p w:rsidR="00BF39DF" w:rsidRPr="007C41FB" w:rsidRDefault="00BF39DF" w:rsidP="00980876">
      <w:pPr>
        <w:pStyle w:val="Listaszerbekezds"/>
        <w:widowControl w:val="0"/>
        <w:numPr>
          <w:ilvl w:val="0"/>
          <w:numId w:val="476"/>
        </w:numPr>
        <w:spacing w:before="120" w:after="120" w:line="240" w:lineRule="auto"/>
        <w:jc w:val="both"/>
        <w:rPr>
          <w:rFonts w:ascii="Times New Roman" w:eastAsia="Times New Roman" w:hAnsi="Times New Roman" w:cs="Times New Roman"/>
          <w:bCs/>
          <w:color w:val="000000" w:themeColor="text1"/>
        </w:rPr>
      </w:pPr>
      <w:r w:rsidRPr="007C41FB">
        <w:rPr>
          <w:rFonts w:ascii="Times New Roman" w:eastAsia="Times New Roman" w:hAnsi="Times New Roman" w:cs="Times New Roman"/>
          <w:color w:val="000000" w:themeColor="text1"/>
        </w:rPr>
        <w:t xml:space="preserve">He/she is open towards the new accomplishments of military technology and aims to gain </w:t>
      </w:r>
      <w:r w:rsidRPr="00B20411">
        <w:rPr>
          <w:rFonts w:ascii="Times New Roman" w:eastAsia="Times New Roman" w:hAnsi="Times New Roman" w:cs="Times New Roman"/>
          <w:bCs/>
          <w:color w:val="000000" w:themeColor="text1"/>
        </w:rPr>
        <w:t xml:space="preserve">knowledge of these, </w:t>
      </w:r>
      <w:r w:rsidRPr="007C41FB">
        <w:rPr>
          <w:rFonts w:ascii="Times New Roman" w:eastAsia="Times New Roman" w:hAnsi="Times New Roman" w:cs="Times New Roman"/>
          <w:bCs/>
          <w:color w:val="000000" w:themeColor="text1"/>
        </w:rPr>
        <w:t>especially the military robots.</w:t>
      </w:r>
    </w:p>
    <w:p w:rsidR="00BF39DF" w:rsidRDefault="00BF39DF" w:rsidP="00B204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b/>
          <w:color w:val="000000" w:themeColor="text1"/>
          <w:lang w:val="en-GB"/>
        </w:rPr>
      </w:pPr>
      <w:r w:rsidRPr="007C41FB">
        <w:rPr>
          <w:rFonts w:ascii="Times New Roman" w:eastAsia="Times New Roman" w:hAnsi="Times New Roman" w:cs="Times New Roman"/>
          <w:b/>
          <w:color w:val="000000" w:themeColor="text1"/>
          <w:lang w:val="en-GB"/>
        </w:rPr>
        <w:t xml:space="preserve">Autonomy and responsibility: </w:t>
      </w:r>
    </w:p>
    <w:p w:rsidR="00BF39DF" w:rsidRPr="007C41FB" w:rsidRDefault="00BF39DF" w:rsidP="00980876">
      <w:pPr>
        <w:pStyle w:val="Listaszerbekezds"/>
        <w:widowControl w:val="0"/>
        <w:numPr>
          <w:ilvl w:val="0"/>
          <w:numId w:val="476"/>
        </w:numPr>
        <w:spacing w:before="120" w:after="120" w:line="240" w:lineRule="auto"/>
        <w:jc w:val="both"/>
        <w:rPr>
          <w:rFonts w:ascii="Times New Roman" w:eastAsia="Times New Roman" w:hAnsi="Times New Roman" w:cs="Times New Roman"/>
          <w:color w:val="000000" w:themeColor="text1"/>
          <w:lang w:val="en-GB"/>
        </w:rPr>
      </w:pPr>
      <w:r w:rsidRPr="007C41FB">
        <w:rPr>
          <w:rFonts w:ascii="Times New Roman" w:eastAsia="Times New Roman" w:hAnsi="Times New Roman" w:cs="Times New Roman"/>
          <w:color w:val="000000" w:themeColor="text1"/>
        </w:rPr>
        <w:t>Is capable of</w:t>
      </w:r>
      <w:r w:rsidRPr="007C41FB">
        <w:rPr>
          <w:rFonts w:ascii="Times New Roman" w:hAnsi="Times New Roman" w:cs="Times New Roman"/>
          <w:color w:val="000000" w:themeColor="text1"/>
        </w:rPr>
        <w:t xml:space="preserve"> </w:t>
      </w:r>
      <w:r w:rsidRPr="007C41FB">
        <w:rPr>
          <w:rFonts w:ascii="Times New Roman" w:eastAsia="Times New Roman" w:hAnsi="Times New Roman" w:cs="Times New Roman"/>
          <w:color w:val="000000" w:themeColor="text1"/>
        </w:rPr>
        <w:t>distinguish</w:t>
      </w:r>
      <w:r>
        <w:rPr>
          <w:rFonts w:ascii="Times New Roman" w:eastAsia="Times New Roman" w:hAnsi="Times New Roman" w:cs="Times New Roman"/>
          <w:color w:val="000000" w:themeColor="text1"/>
        </w:rPr>
        <w:t>ing</w:t>
      </w:r>
      <w:r w:rsidRPr="007C41FB">
        <w:rPr>
          <w:color w:val="000000" w:themeColor="text1"/>
        </w:rPr>
        <w:t xml:space="preserve"> </w:t>
      </w:r>
      <w:r w:rsidRPr="007C41FB">
        <w:rPr>
          <w:rFonts w:ascii="Times New Roman" w:eastAsia="Times New Roman" w:hAnsi="Times New Roman" w:cs="Times New Roman"/>
          <w:color w:val="000000" w:themeColor="text1"/>
        </w:rPr>
        <w:t xml:space="preserve">the types of the military robots. </w:t>
      </w:r>
    </w:p>
    <w:p w:rsidR="00BF39DF" w:rsidRPr="007C41FB" w:rsidRDefault="00BF39DF" w:rsidP="00980876">
      <w:pPr>
        <w:pStyle w:val="Listaszerbekezds"/>
        <w:widowControl w:val="0"/>
        <w:numPr>
          <w:ilvl w:val="0"/>
          <w:numId w:val="476"/>
        </w:numPr>
        <w:spacing w:before="120" w:after="120" w:line="240" w:lineRule="auto"/>
        <w:jc w:val="both"/>
        <w:rPr>
          <w:rFonts w:ascii="Times New Roman" w:eastAsia="Times New Roman" w:hAnsi="Times New Roman" w:cs="Times New Roman"/>
          <w:color w:val="000000" w:themeColor="text1"/>
          <w:lang w:val="en-GB"/>
        </w:rPr>
      </w:pPr>
      <w:r w:rsidRPr="007C41FB">
        <w:rPr>
          <w:rFonts w:ascii="Times New Roman" w:eastAsia="Times New Roman" w:hAnsi="Times New Roman" w:cs="Times New Roman"/>
          <w:color w:val="000000" w:themeColor="text1"/>
        </w:rPr>
        <w:t xml:space="preserve">He/she is capable of </w:t>
      </w:r>
      <w:r w:rsidRPr="007C41FB">
        <w:rPr>
          <w:rFonts w:ascii="Times New Roman" w:eastAsia="Times New Roman" w:hAnsi="Times New Roman" w:cs="Times New Roman"/>
          <w:bCs/>
          <w:color w:val="000000" w:themeColor="text1"/>
        </w:rPr>
        <w:t>recognise</w:t>
      </w:r>
      <w:r>
        <w:rPr>
          <w:rFonts w:ascii="Times New Roman" w:eastAsia="Times New Roman" w:hAnsi="Times New Roman" w:cs="Times New Roman"/>
          <w:bCs/>
          <w:color w:val="000000" w:themeColor="text1"/>
        </w:rPr>
        <w:t>ing</w:t>
      </w:r>
      <w:r w:rsidRPr="007C41FB">
        <w:rPr>
          <w:rFonts w:ascii="Times New Roman" w:eastAsia="Times New Roman" w:hAnsi="Times New Roman" w:cs="Times New Roman"/>
          <w:bCs/>
          <w:color w:val="000000" w:themeColor="text1"/>
          <w:lang w:eastAsia="hu-HU"/>
        </w:rPr>
        <w:t xml:space="preserve"> unmanned air vehicles (UAV) and land military robots (Unmanned Ground Vehicles), watercraft and underwater robots. </w:t>
      </w:r>
    </w:p>
    <w:p w:rsidR="00BF39DF" w:rsidRPr="007C41FB" w:rsidRDefault="00BF39DF" w:rsidP="00980876">
      <w:pPr>
        <w:pStyle w:val="Listaszerbekezds"/>
        <w:widowControl w:val="0"/>
        <w:numPr>
          <w:ilvl w:val="0"/>
          <w:numId w:val="476"/>
        </w:numPr>
        <w:spacing w:before="120" w:after="120" w:line="240" w:lineRule="auto"/>
        <w:jc w:val="both"/>
        <w:rPr>
          <w:rFonts w:ascii="Times New Roman" w:eastAsia="Times New Roman" w:hAnsi="Times New Roman" w:cs="Times New Roman"/>
          <w:color w:val="000000" w:themeColor="text1"/>
          <w:lang w:val="en-GB"/>
        </w:rPr>
      </w:pPr>
      <w:r w:rsidRPr="007C41FB">
        <w:rPr>
          <w:rFonts w:ascii="Times New Roman" w:eastAsia="Times New Roman" w:hAnsi="Times New Roman" w:cs="Times New Roman"/>
          <w:color w:val="000000" w:themeColor="text1"/>
        </w:rPr>
        <w:t xml:space="preserve">He/she is cooperative and responsible towards the professionals of his/her field. </w:t>
      </w:r>
    </w:p>
    <w:p w:rsidR="00BF39DF" w:rsidRPr="00B20411" w:rsidRDefault="00BF39DF" w:rsidP="00980876">
      <w:pPr>
        <w:pStyle w:val="Listaszerbekezds"/>
        <w:widowControl w:val="0"/>
        <w:numPr>
          <w:ilvl w:val="0"/>
          <w:numId w:val="476"/>
        </w:numPr>
        <w:spacing w:before="120" w:after="120" w:line="240" w:lineRule="auto"/>
        <w:jc w:val="both"/>
        <w:rPr>
          <w:rFonts w:ascii="Times New Roman" w:eastAsia="Times New Roman" w:hAnsi="Times New Roman" w:cs="Times New Roman"/>
          <w:color w:val="000000" w:themeColor="text1"/>
          <w:lang w:val="en-GB"/>
        </w:rPr>
      </w:pPr>
      <w:r w:rsidRPr="007C41FB">
        <w:rPr>
          <w:rFonts w:ascii="Times New Roman" w:eastAsia="Times New Roman" w:hAnsi="Times New Roman" w:cs="Times New Roman"/>
          <w:color w:val="000000" w:themeColor="text1"/>
        </w:rPr>
        <w:t>Is capable of thinking in a system approach within his/her own field.</w:t>
      </w:r>
    </w:p>
    <w:p w:rsidR="00BF39DF" w:rsidRPr="007C41FB" w:rsidRDefault="00BF39DF" w:rsidP="00980876">
      <w:pPr>
        <w:widowControl w:val="0"/>
        <w:numPr>
          <w:ilvl w:val="0"/>
          <w:numId w:val="479"/>
        </w:numPr>
        <w:spacing w:before="120" w:after="120" w:line="240" w:lineRule="auto"/>
        <w:ind w:left="426" w:hanging="142"/>
        <w:jc w:val="both"/>
        <w:rPr>
          <w:rFonts w:ascii="Times New Roman" w:eastAsia="Times New Roman" w:hAnsi="Times New Roman" w:cs="Times New Roman"/>
          <w:bCs/>
          <w:color w:val="000000" w:themeColor="text1"/>
        </w:rPr>
      </w:pPr>
      <w:r w:rsidRPr="007C41FB">
        <w:rPr>
          <w:rFonts w:ascii="Times New Roman" w:eastAsia="Times New Roman" w:hAnsi="Times New Roman" w:cs="Times New Roman"/>
          <w:b/>
          <w:bCs/>
          <w:color w:val="000000" w:themeColor="text1"/>
        </w:rPr>
        <w:t xml:space="preserve">Előtanulmányi követelmények: </w:t>
      </w:r>
      <w:r>
        <w:rPr>
          <w:rFonts w:ascii="Times New Roman" w:eastAsia="Times New Roman" w:hAnsi="Times New Roman" w:cs="Times New Roman"/>
          <w:b/>
          <w:bCs/>
          <w:color w:val="000000" w:themeColor="text1"/>
        </w:rPr>
        <w:t>-</w:t>
      </w:r>
    </w:p>
    <w:p w:rsidR="00BF39DF" w:rsidRPr="007C41FB" w:rsidRDefault="00BF39DF" w:rsidP="00980876">
      <w:pPr>
        <w:widowControl w:val="0"/>
        <w:numPr>
          <w:ilvl w:val="0"/>
          <w:numId w:val="479"/>
        </w:numPr>
        <w:spacing w:before="120" w:after="120" w:line="240" w:lineRule="auto"/>
        <w:ind w:left="426" w:hanging="142"/>
        <w:jc w:val="both"/>
        <w:rPr>
          <w:rFonts w:ascii="Times New Roman" w:eastAsia="Times New Roman" w:hAnsi="Times New Roman" w:cs="Times New Roman"/>
          <w:b/>
          <w:bCs/>
          <w:color w:val="000000" w:themeColor="text1"/>
        </w:rPr>
      </w:pPr>
      <w:r w:rsidRPr="007C41FB">
        <w:rPr>
          <w:rFonts w:ascii="Times New Roman" w:eastAsia="Times New Roman" w:hAnsi="Times New Roman" w:cs="Times New Roman"/>
          <w:b/>
          <w:bCs/>
          <w:color w:val="000000" w:themeColor="text1"/>
        </w:rPr>
        <w:t>A tantárgy tananyagának leírása, tematika. Description of the subject, curriculum (magyarul, angolul - English):</w:t>
      </w:r>
    </w:p>
    <w:p w:rsidR="00BF39DF" w:rsidRPr="007C41FB" w:rsidRDefault="00BF39DF" w:rsidP="00980876">
      <w:pPr>
        <w:widowControl w:val="0"/>
        <w:numPr>
          <w:ilvl w:val="1"/>
          <w:numId w:val="479"/>
        </w:numPr>
        <w:tabs>
          <w:tab w:val="left" w:pos="709"/>
          <w:tab w:val="left" w:pos="993"/>
        </w:tabs>
        <w:spacing w:before="120" w:after="120" w:line="240" w:lineRule="auto"/>
        <w:ind w:left="993" w:hanging="567"/>
        <w:jc w:val="both"/>
        <w:rPr>
          <w:rFonts w:ascii="Times New Roman" w:eastAsia="Times New Roman" w:hAnsi="Times New Roman" w:cs="Times New Roman"/>
          <w:bCs/>
          <w:color w:val="000000" w:themeColor="text1"/>
        </w:rPr>
      </w:pPr>
      <w:r w:rsidRPr="007C41FB">
        <w:rPr>
          <w:rFonts w:ascii="Times New Roman" w:eastAsia="Times New Roman" w:hAnsi="Times New Roman" w:cs="Times New Roman"/>
          <w:color w:val="000000" w:themeColor="text1"/>
        </w:rPr>
        <w:t xml:space="preserve"> </w:t>
      </w:r>
      <w:r w:rsidRPr="007C41FB">
        <w:rPr>
          <w:rFonts w:ascii="Times New Roman" w:hAnsi="Times New Roman" w:cs="Times New Roman"/>
          <w:color w:val="000000" w:themeColor="text1"/>
        </w:rPr>
        <w:t>Alapfogalmak. (</w:t>
      </w:r>
      <w:r w:rsidRPr="007C41FB">
        <w:rPr>
          <w:rFonts w:ascii="Times New Roman" w:hAnsi="Times New Roman" w:cs="Times New Roman"/>
          <w:i/>
          <w:color w:val="000000" w:themeColor="text1"/>
        </w:rPr>
        <w:t>Basic terms</w:t>
      </w:r>
      <w:r w:rsidRPr="007C41FB">
        <w:rPr>
          <w:rFonts w:ascii="Times New Roman" w:hAnsi="Times New Roman" w:cs="Times New Roman"/>
          <w:color w:val="000000" w:themeColor="text1"/>
        </w:rPr>
        <w:t>.)</w:t>
      </w:r>
    </w:p>
    <w:p w:rsidR="00BF39DF" w:rsidRPr="007C41FB" w:rsidRDefault="00BF39DF" w:rsidP="00980876">
      <w:pPr>
        <w:widowControl w:val="0"/>
        <w:numPr>
          <w:ilvl w:val="1"/>
          <w:numId w:val="479"/>
        </w:numPr>
        <w:tabs>
          <w:tab w:val="left" w:pos="709"/>
          <w:tab w:val="left" w:pos="993"/>
        </w:tabs>
        <w:spacing w:before="120" w:after="120" w:line="240" w:lineRule="auto"/>
        <w:ind w:left="993" w:hanging="567"/>
        <w:jc w:val="both"/>
        <w:rPr>
          <w:rFonts w:ascii="Times New Roman" w:eastAsia="Times New Roman" w:hAnsi="Times New Roman" w:cs="Times New Roman"/>
          <w:bCs/>
          <w:color w:val="000000" w:themeColor="text1"/>
        </w:rPr>
      </w:pPr>
      <w:r w:rsidRPr="007C41FB">
        <w:rPr>
          <w:rFonts w:ascii="Times New Roman" w:hAnsi="Times New Roman" w:cs="Times New Roman"/>
          <w:color w:val="000000" w:themeColor="text1"/>
        </w:rPr>
        <w:t>A korszerű katonai célú robotok a modern kor háborúiban. (</w:t>
      </w:r>
      <w:r w:rsidRPr="007C41FB">
        <w:rPr>
          <w:rFonts w:ascii="Times New Roman" w:hAnsi="Times New Roman" w:cs="Times New Roman"/>
          <w:i/>
          <w:color w:val="000000" w:themeColor="text1"/>
        </w:rPr>
        <w:t>State of the art robots in the wars of modern age.</w:t>
      </w:r>
      <w:r w:rsidRPr="007C41FB">
        <w:rPr>
          <w:rFonts w:ascii="Times New Roman" w:hAnsi="Times New Roman" w:cs="Times New Roman"/>
          <w:color w:val="000000" w:themeColor="text1"/>
        </w:rPr>
        <w:t>)</w:t>
      </w:r>
    </w:p>
    <w:p w:rsidR="00BF39DF" w:rsidRPr="007C41FB" w:rsidRDefault="00BF39DF" w:rsidP="00980876">
      <w:pPr>
        <w:widowControl w:val="0"/>
        <w:numPr>
          <w:ilvl w:val="1"/>
          <w:numId w:val="479"/>
        </w:numPr>
        <w:tabs>
          <w:tab w:val="left" w:pos="709"/>
          <w:tab w:val="left" w:pos="993"/>
        </w:tabs>
        <w:spacing w:before="120" w:after="120" w:line="240" w:lineRule="auto"/>
        <w:ind w:left="993" w:hanging="567"/>
        <w:jc w:val="both"/>
        <w:rPr>
          <w:rFonts w:ascii="Times New Roman" w:eastAsia="Times New Roman" w:hAnsi="Times New Roman" w:cs="Times New Roman"/>
          <w:bCs/>
          <w:color w:val="000000" w:themeColor="text1"/>
        </w:rPr>
      </w:pPr>
      <w:r w:rsidRPr="007C41FB">
        <w:rPr>
          <w:rFonts w:ascii="Times New Roman" w:hAnsi="Times New Roman" w:cs="Times New Roman"/>
          <w:color w:val="000000" w:themeColor="text1"/>
        </w:rPr>
        <w:lastRenderedPageBreak/>
        <w:t>Pilótanélküli repülőgépek (UAV) és szárazföldi robotok (UGV), vízi és vízalatti robotok. (</w:t>
      </w:r>
      <w:r w:rsidRPr="007C41FB">
        <w:rPr>
          <w:rFonts w:ascii="Times New Roman" w:hAnsi="Times New Roman" w:cs="Times New Roman"/>
          <w:i/>
          <w:color w:val="000000" w:themeColor="text1"/>
        </w:rPr>
        <w:t>Unmanned air vehicles (UAV) and land military robots (Unmanned Ground Vehicles), watercraft</w:t>
      </w:r>
      <w:r w:rsidRPr="007C41FB">
        <w:rPr>
          <w:rFonts w:ascii="Times New Roman" w:hAnsi="Times New Roman" w:cs="Times New Roman"/>
          <w:color w:val="000000" w:themeColor="text1"/>
        </w:rPr>
        <w:t xml:space="preserve"> </w:t>
      </w:r>
      <w:r w:rsidRPr="007C41FB">
        <w:rPr>
          <w:rFonts w:ascii="Times New Roman" w:hAnsi="Times New Roman" w:cs="Times New Roman"/>
          <w:i/>
          <w:color w:val="000000" w:themeColor="text1"/>
        </w:rPr>
        <w:t>and underwater robots</w:t>
      </w:r>
      <w:r w:rsidRPr="007C41FB">
        <w:rPr>
          <w:rFonts w:ascii="Times New Roman" w:hAnsi="Times New Roman" w:cs="Times New Roman"/>
          <w:color w:val="000000" w:themeColor="text1"/>
        </w:rPr>
        <w:t>.)</w:t>
      </w:r>
    </w:p>
    <w:p w:rsidR="00BF39DF" w:rsidRPr="007C41FB" w:rsidRDefault="00BF39DF" w:rsidP="00980876">
      <w:pPr>
        <w:pStyle w:val="Listaszerbekezds"/>
        <w:widowControl w:val="0"/>
        <w:numPr>
          <w:ilvl w:val="1"/>
          <w:numId w:val="479"/>
        </w:numPr>
        <w:tabs>
          <w:tab w:val="clear" w:pos="3977"/>
          <w:tab w:val="left" w:pos="993"/>
          <w:tab w:val="num" w:pos="3545"/>
        </w:tabs>
        <w:spacing w:before="120" w:after="120" w:line="240" w:lineRule="auto"/>
        <w:ind w:left="993" w:hanging="567"/>
        <w:jc w:val="both"/>
        <w:rPr>
          <w:rFonts w:ascii="Times New Roman" w:eastAsia="Times New Roman" w:hAnsi="Times New Roman" w:cs="Times New Roman"/>
          <w:bCs/>
          <w:color w:val="000000" w:themeColor="text1"/>
        </w:rPr>
      </w:pPr>
      <w:r w:rsidRPr="007C41FB">
        <w:rPr>
          <w:rFonts w:ascii="Times New Roman" w:hAnsi="Times New Roman" w:cs="Times New Roman"/>
          <w:color w:val="000000" w:themeColor="text1"/>
        </w:rPr>
        <w:t xml:space="preserve">A magyar UAV-k (Bohn Hungary, HM Ei. Zrt.) és további típusok ismertetése. </w:t>
      </w:r>
      <w:r>
        <w:rPr>
          <w:rFonts w:ascii="Times New Roman" w:hAnsi="Times New Roman" w:cs="Times New Roman"/>
          <w:color w:val="000000" w:themeColor="text1"/>
        </w:rPr>
        <w:t>(</w:t>
      </w:r>
      <w:r w:rsidRPr="007C41FB">
        <w:rPr>
          <w:rFonts w:ascii="Times New Roman" w:hAnsi="Times New Roman" w:cs="Times New Roman"/>
          <w:i/>
          <w:color w:val="000000" w:themeColor="text1"/>
        </w:rPr>
        <w:t>Review of the Hungarian UAV types (Bohn Hungary, HM Ei. Zrt.) and introducing of other UAV types</w:t>
      </w:r>
      <w:r w:rsidRPr="007C41FB">
        <w:rPr>
          <w:rFonts w:ascii="Times New Roman" w:hAnsi="Times New Roman" w:cs="Times New Roman"/>
          <w:color w:val="000000" w:themeColor="text1"/>
        </w:rPr>
        <w:t>.</w:t>
      </w:r>
      <w:r>
        <w:rPr>
          <w:rFonts w:ascii="Times New Roman" w:hAnsi="Times New Roman" w:cs="Times New Roman"/>
          <w:color w:val="000000" w:themeColor="text1"/>
        </w:rPr>
        <w:t>)</w:t>
      </w:r>
    </w:p>
    <w:p w:rsidR="00BF39DF" w:rsidRPr="007C41FB" w:rsidRDefault="00BF39DF" w:rsidP="00980876">
      <w:pPr>
        <w:widowControl w:val="0"/>
        <w:numPr>
          <w:ilvl w:val="1"/>
          <w:numId w:val="479"/>
        </w:numPr>
        <w:tabs>
          <w:tab w:val="left" w:pos="709"/>
          <w:tab w:val="left" w:pos="993"/>
        </w:tabs>
        <w:spacing w:before="120" w:after="120" w:line="240" w:lineRule="auto"/>
        <w:ind w:left="993" w:hanging="567"/>
        <w:jc w:val="both"/>
        <w:rPr>
          <w:rFonts w:ascii="Times New Roman" w:eastAsia="Times New Roman" w:hAnsi="Times New Roman" w:cs="Times New Roman"/>
          <w:bCs/>
          <w:color w:val="000000" w:themeColor="text1"/>
        </w:rPr>
      </w:pPr>
      <w:r w:rsidRPr="007C41FB">
        <w:rPr>
          <w:rFonts w:ascii="Times New Roman" w:hAnsi="Times New Roman" w:cs="Times New Roman"/>
          <w:color w:val="000000" w:themeColor="text1"/>
        </w:rPr>
        <w:t>A Haditechnikai Intézet Szojka UAV fejlesztési folyamata. (</w:t>
      </w:r>
      <w:r w:rsidRPr="007C41FB">
        <w:rPr>
          <w:rFonts w:ascii="Times New Roman" w:hAnsi="Times New Roman" w:cs="Times New Roman"/>
          <w:i/>
          <w:color w:val="000000" w:themeColor="text1"/>
        </w:rPr>
        <w:t>Research and development process of the Sojka type UAV by the Military Technology Institute.</w:t>
      </w:r>
      <w:r w:rsidRPr="007C41FB">
        <w:rPr>
          <w:rFonts w:ascii="Times New Roman" w:hAnsi="Times New Roman" w:cs="Times New Roman"/>
          <w:color w:val="000000" w:themeColor="text1"/>
        </w:rPr>
        <w:t>)</w:t>
      </w:r>
    </w:p>
    <w:p w:rsidR="00BF39DF" w:rsidRPr="007C41FB" w:rsidRDefault="00BF39DF" w:rsidP="00980876">
      <w:pPr>
        <w:widowControl w:val="0"/>
        <w:numPr>
          <w:ilvl w:val="1"/>
          <w:numId w:val="479"/>
        </w:numPr>
        <w:tabs>
          <w:tab w:val="left" w:pos="709"/>
          <w:tab w:val="left" w:pos="993"/>
        </w:tabs>
        <w:spacing w:before="120" w:after="120" w:line="240" w:lineRule="auto"/>
        <w:ind w:left="993" w:hanging="567"/>
        <w:jc w:val="both"/>
        <w:rPr>
          <w:rFonts w:ascii="Times New Roman" w:eastAsia="Times New Roman" w:hAnsi="Times New Roman" w:cs="Times New Roman"/>
          <w:bCs/>
          <w:color w:val="000000" w:themeColor="text1"/>
        </w:rPr>
      </w:pPr>
      <w:r w:rsidRPr="007C41FB">
        <w:rPr>
          <w:rFonts w:ascii="Times New Roman" w:hAnsi="Times New Roman" w:cs="Times New Roman"/>
          <w:color w:val="000000" w:themeColor="text1"/>
        </w:rPr>
        <w:t>UAV-k fel-és leszállásának módszerei. (</w:t>
      </w:r>
      <w:r w:rsidRPr="007C41FB">
        <w:rPr>
          <w:rFonts w:ascii="Times New Roman" w:hAnsi="Times New Roman" w:cs="Times New Roman"/>
          <w:i/>
          <w:color w:val="000000" w:themeColor="text1"/>
        </w:rPr>
        <w:t>Take-off and landing methods of the UAV-s</w:t>
      </w:r>
      <w:r w:rsidRPr="007C41FB">
        <w:rPr>
          <w:rFonts w:ascii="Times New Roman" w:hAnsi="Times New Roman" w:cs="Times New Roman"/>
          <w:color w:val="000000" w:themeColor="text1"/>
        </w:rPr>
        <w:t>.)</w:t>
      </w:r>
    </w:p>
    <w:p w:rsidR="00BF39DF" w:rsidRPr="007C41FB" w:rsidRDefault="00BF39DF" w:rsidP="00980876">
      <w:pPr>
        <w:widowControl w:val="0"/>
        <w:numPr>
          <w:ilvl w:val="1"/>
          <w:numId w:val="479"/>
        </w:numPr>
        <w:tabs>
          <w:tab w:val="left" w:pos="709"/>
          <w:tab w:val="left" w:pos="993"/>
        </w:tabs>
        <w:spacing w:before="120" w:after="120" w:line="240" w:lineRule="auto"/>
        <w:ind w:left="993" w:hanging="567"/>
        <w:jc w:val="both"/>
        <w:rPr>
          <w:rFonts w:ascii="Times New Roman" w:eastAsia="Times New Roman" w:hAnsi="Times New Roman" w:cs="Times New Roman"/>
          <w:bCs/>
          <w:color w:val="000000" w:themeColor="text1"/>
        </w:rPr>
      </w:pPr>
      <w:r w:rsidRPr="007C41FB">
        <w:rPr>
          <w:rFonts w:ascii="Times New Roman" w:hAnsi="Times New Roman" w:cs="Times New Roman"/>
          <w:color w:val="000000" w:themeColor="text1"/>
        </w:rPr>
        <w:t>A szárazföldi robotok harcászati, felderítő és logisztikai variánsai. (</w:t>
      </w:r>
      <w:r w:rsidRPr="007C41FB">
        <w:rPr>
          <w:rFonts w:ascii="Times New Roman" w:hAnsi="Times New Roman" w:cs="Times New Roman"/>
          <w:i/>
          <w:color w:val="000000" w:themeColor="text1"/>
        </w:rPr>
        <w:t>Combatant, reconnaissance, and logistic variants of Unmanned Ground Vehicles.</w:t>
      </w:r>
      <w:r w:rsidRPr="007C41FB">
        <w:rPr>
          <w:rFonts w:ascii="Times New Roman" w:hAnsi="Times New Roman" w:cs="Times New Roman"/>
          <w:color w:val="000000" w:themeColor="text1"/>
        </w:rPr>
        <w:t>)</w:t>
      </w:r>
    </w:p>
    <w:p w:rsidR="00BF39DF" w:rsidRPr="007C41FB" w:rsidRDefault="00BF39DF" w:rsidP="00980876">
      <w:pPr>
        <w:widowControl w:val="0"/>
        <w:numPr>
          <w:ilvl w:val="1"/>
          <w:numId w:val="479"/>
        </w:numPr>
        <w:tabs>
          <w:tab w:val="left" w:pos="709"/>
          <w:tab w:val="left" w:pos="993"/>
        </w:tabs>
        <w:spacing w:before="120" w:after="120" w:line="240" w:lineRule="auto"/>
        <w:ind w:left="993" w:hanging="567"/>
        <w:jc w:val="both"/>
        <w:rPr>
          <w:rFonts w:ascii="Times New Roman" w:eastAsia="Times New Roman" w:hAnsi="Times New Roman" w:cs="Times New Roman"/>
          <w:bCs/>
          <w:color w:val="000000" w:themeColor="text1"/>
        </w:rPr>
      </w:pPr>
      <w:r w:rsidRPr="007C41FB">
        <w:rPr>
          <w:rFonts w:ascii="Times New Roman" w:hAnsi="Times New Roman" w:cs="Times New Roman"/>
          <w:color w:val="000000" w:themeColor="text1"/>
        </w:rPr>
        <w:t>Irányítástechnikai módszerek és jellemzők, illetve az autonomitás foka. (</w:t>
      </w:r>
      <w:r w:rsidRPr="007C41FB">
        <w:rPr>
          <w:rFonts w:ascii="Times New Roman" w:hAnsi="Times New Roman" w:cs="Times New Roman"/>
          <w:i/>
          <w:color w:val="000000" w:themeColor="text1"/>
        </w:rPr>
        <w:t>Guiding methods and parameters, and the rate of autonomy.</w:t>
      </w:r>
      <w:r w:rsidRPr="007C41FB">
        <w:rPr>
          <w:rFonts w:ascii="Times New Roman" w:hAnsi="Times New Roman" w:cs="Times New Roman"/>
          <w:color w:val="000000" w:themeColor="text1"/>
        </w:rPr>
        <w:t>)</w:t>
      </w:r>
    </w:p>
    <w:p w:rsidR="00BF39DF" w:rsidRPr="007C41FB" w:rsidRDefault="00BF39DF" w:rsidP="00980876">
      <w:pPr>
        <w:widowControl w:val="0"/>
        <w:numPr>
          <w:ilvl w:val="1"/>
          <w:numId w:val="479"/>
        </w:numPr>
        <w:tabs>
          <w:tab w:val="left" w:pos="709"/>
          <w:tab w:val="left" w:pos="993"/>
        </w:tabs>
        <w:spacing w:before="120" w:after="120" w:line="240" w:lineRule="auto"/>
        <w:ind w:left="993" w:hanging="567"/>
        <w:jc w:val="both"/>
        <w:rPr>
          <w:rFonts w:ascii="Times New Roman" w:eastAsia="Times New Roman" w:hAnsi="Times New Roman" w:cs="Times New Roman"/>
          <w:bCs/>
          <w:color w:val="000000" w:themeColor="text1"/>
        </w:rPr>
      </w:pPr>
      <w:r w:rsidRPr="007C41FB">
        <w:rPr>
          <w:rFonts w:ascii="Times New Roman" w:hAnsi="Times New Roman" w:cs="Times New Roman"/>
          <w:color w:val="000000" w:themeColor="text1"/>
        </w:rPr>
        <w:t>UGV futóművek. (</w:t>
      </w:r>
      <w:r w:rsidRPr="007C41FB">
        <w:rPr>
          <w:rFonts w:ascii="Times New Roman" w:hAnsi="Times New Roman" w:cs="Times New Roman"/>
          <w:i/>
          <w:color w:val="000000" w:themeColor="text1"/>
        </w:rPr>
        <w:t>Undercarriages and landing gears of the Unmanned Ground Vehicles</w:t>
      </w:r>
      <w:r w:rsidRPr="007C41FB">
        <w:rPr>
          <w:rFonts w:ascii="Times New Roman" w:hAnsi="Times New Roman" w:cs="Times New Roman"/>
          <w:color w:val="000000" w:themeColor="text1"/>
        </w:rPr>
        <w:t>.)</w:t>
      </w:r>
    </w:p>
    <w:p w:rsidR="00BF39DF" w:rsidRPr="007C41FB" w:rsidRDefault="00BF39DF" w:rsidP="00980876">
      <w:pPr>
        <w:widowControl w:val="0"/>
        <w:numPr>
          <w:ilvl w:val="1"/>
          <w:numId w:val="479"/>
        </w:numPr>
        <w:tabs>
          <w:tab w:val="left" w:pos="709"/>
          <w:tab w:val="left" w:pos="993"/>
        </w:tabs>
        <w:spacing w:before="120" w:after="120" w:line="240" w:lineRule="auto"/>
        <w:ind w:left="993" w:hanging="567"/>
        <w:jc w:val="both"/>
        <w:rPr>
          <w:rFonts w:ascii="Times New Roman" w:eastAsia="Times New Roman" w:hAnsi="Times New Roman" w:cs="Times New Roman"/>
          <w:b/>
          <w:color w:val="000000" w:themeColor="text1"/>
        </w:rPr>
      </w:pPr>
      <w:bookmarkStart w:id="93" w:name="_Hlk35179182"/>
      <w:r w:rsidRPr="007C41FB">
        <w:rPr>
          <w:rFonts w:ascii="Times New Roman" w:hAnsi="Times New Roman" w:cs="Times New Roman"/>
          <w:color w:val="000000" w:themeColor="text1"/>
        </w:rPr>
        <w:t>Vízi robotok típusai. (</w:t>
      </w:r>
      <w:r w:rsidRPr="007C41FB">
        <w:rPr>
          <w:rFonts w:ascii="Times New Roman" w:hAnsi="Times New Roman" w:cs="Times New Roman"/>
          <w:i/>
          <w:color w:val="000000" w:themeColor="text1"/>
        </w:rPr>
        <w:t>Types of watercraft robots</w:t>
      </w:r>
      <w:r w:rsidRPr="007C41FB">
        <w:rPr>
          <w:rFonts w:ascii="Times New Roman" w:hAnsi="Times New Roman" w:cs="Times New Roman"/>
          <w:color w:val="000000" w:themeColor="text1"/>
        </w:rPr>
        <w:t>.)</w:t>
      </w:r>
      <w:bookmarkEnd w:id="93"/>
    </w:p>
    <w:p w:rsidR="00BF39DF" w:rsidRPr="007C41FB" w:rsidRDefault="00BF39DF" w:rsidP="00980876">
      <w:pPr>
        <w:widowControl w:val="0"/>
        <w:numPr>
          <w:ilvl w:val="1"/>
          <w:numId w:val="479"/>
        </w:numPr>
        <w:tabs>
          <w:tab w:val="clear" w:pos="3977"/>
          <w:tab w:val="left" w:pos="709"/>
          <w:tab w:val="left" w:pos="993"/>
        </w:tabs>
        <w:spacing w:before="120" w:after="120" w:line="240" w:lineRule="auto"/>
        <w:ind w:left="993" w:hanging="567"/>
        <w:jc w:val="both"/>
        <w:rPr>
          <w:rFonts w:ascii="Times New Roman" w:eastAsia="Times New Roman" w:hAnsi="Times New Roman" w:cs="Times New Roman"/>
          <w:b/>
          <w:color w:val="000000" w:themeColor="text1"/>
        </w:rPr>
      </w:pPr>
      <w:r w:rsidRPr="00DB2A37">
        <w:rPr>
          <w:rFonts w:ascii="Times New Roman" w:eastAsia="Times New Roman" w:hAnsi="Times New Roman" w:cs="Times New Roman"/>
          <w:bCs/>
          <w:color w:val="000000" w:themeColor="text1"/>
        </w:rPr>
        <w:t>Vízalatti robotok típusai. (</w:t>
      </w:r>
      <w:r w:rsidRPr="00DB2A37">
        <w:rPr>
          <w:rFonts w:ascii="Times New Roman" w:eastAsia="Times New Roman" w:hAnsi="Times New Roman" w:cs="Times New Roman"/>
          <w:bCs/>
          <w:i/>
          <w:iCs/>
          <w:color w:val="000000" w:themeColor="text1"/>
        </w:rPr>
        <w:t>Types of underwater robots</w:t>
      </w:r>
      <w:r w:rsidRPr="00DB2A37">
        <w:rPr>
          <w:rFonts w:ascii="Times New Roman" w:eastAsia="Times New Roman" w:hAnsi="Times New Roman" w:cs="Times New Roman"/>
          <w:bCs/>
          <w:color w:val="000000" w:themeColor="text1"/>
        </w:rPr>
        <w:t>.)</w:t>
      </w:r>
    </w:p>
    <w:p w:rsidR="00BF39DF" w:rsidRPr="007C41FB" w:rsidRDefault="00BF39DF" w:rsidP="00980876">
      <w:pPr>
        <w:widowControl w:val="0"/>
        <w:numPr>
          <w:ilvl w:val="1"/>
          <w:numId w:val="479"/>
        </w:numPr>
        <w:tabs>
          <w:tab w:val="left" w:pos="709"/>
          <w:tab w:val="left" w:pos="993"/>
        </w:tabs>
        <w:spacing w:before="120" w:after="120" w:line="240" w:lineRule="auto"/>
        <w:ind w:left="993" w:hanging="567"/>
        <w:jc w:val="both"/>
        <w:rPr>
          <w:rFonts w:ascii="Times New Roman" w:eastAsia="Times New Roman" w:hAnsi="Times New Roman" w:cs="Times New Roman"/>
          <w:bCs/>
          <w:color w:val="000000" w:themeColor="text1"/>
        </w:rPr>
      </w:pPr>
      <w:r w:rsidRPr="007C41FB">
        <w:rPr>
          <w:rFonts w:ascii="Times New Roman" w:hAnsi="Times New Roman" w:cs="Times New Roman"/>
          <w:color w:val="000000" w:themeColor="text1"/>
        </w:rPr>
        <w:t>Ember-robot együttműködés: vegyes kötelékek és a „digitális katona.” (</w:t>
      </w:r>
      <w:r w:rsidRPr="007C41FB">
        <w:rPr>
          <w:rFonts w:ascii="Times New Roman" w:hAnsi="Times New Roman" w:cs="Times New Roman"/>
          <w:i/>
          <w:color w:val="000000" w:themeColor="text1"/>
        </w:rPr>
        <w:t>Human–robot cooperation: mixed teams and the „Digital soldier.”</w:t>
      </w:r>
      <w:r w:rsidRPr="007C41FB">
        <w:rPr>
          <w:rFonts w:ascii="Times New Roman" w:hAnsi="Times New Roman" w:cs="Times New Roman"/>
          <w:color w:val="000000" w:themeColor="text1"/>
        </w:rPr>
        <w:t>)</w:t>
      </w:r>
    </w:p>
    <w:p w:rsidR="00BF39DF" w:rsidRPr="007C41FB" w:rsidRDefault="00BF39DF" w:rsidP="00980876">
      <w:pPr>
        <w:widowControl w:val="0"/>
        <w:numPr>
          <w:ilvl w:val="1"/>
          <w:numId w:val="479"/>
        </w:numPr>
        <w:tabs>
          <w:tab w:val="left" w:pos="709"/>
          <w:tab w:val="left" w:pos="993"/>
        </w:tabs>
        <w:spacing w:before="120" w:after="120" w:line="240" w:lineRule="auto"/>
        <w:ind w:left="993" w:hanging="567"/>
        <w:jc w:val="both"/>
        <w:rPr>
          <w:rFonts w:ascii="Times New Roman" w:eastAsia="Times New Roman" w:hAnsi="Times New Roman" w:cs="Times New Roman"/>
          <w:bCs/>
          <w:color w:val="000000" w:themeColor="text1"/>
        </w:rPr>
      </w:pPr>
      <w:r w:rsidRPr="007C41FB">
        <w:rPr>
          <w:rFonts w:ascii="Times New Roman" w:hAnsi="Times New Roman" w:cs="Times New Roman"/>
          <w:color w:val="000000" w:themeColor="text1"/>
        </w:rPr>
        <w:t>A hazai UAV/UGV próbapálya. (</w:t>
      </w:r>
      <w:r w:rsidRPr="007C41FB">
        <w:rPr>
          <w:rFonts w:ascii="Times New Roman" w:hAnsi="Times New Roman" w:cs="Times New Roman"/>
          <w:i/>
          <w:color w:val="000000" w:themeColor="text1"/>
        </w:rPr>
        <w:t>The Hungarian UAV/UGV test field</w:t>
      </w:r>
      <w:r w:rsidRPr="007C41FB">
        <w:rPr>
          <w:rFonts w:ascii="Times New Roman" w:hAnsi="Times New Roman" w:cs="Times New Roman"/>
          <w:color w:val="000000" w:themeColor="text1"/>
        </w:rPr>
        <w:t>.)</w:t>
      </w:r>
    </w:p>
    <w:p w:rsidR="00BF39DF" w:rsidRPr="007C41FB" w:rsidRDefault="00BF39DF" w:rsidP="00980876">
      <w:pPr>
        <w:widowControl w:val="0"/>
        <w:numPr>
          <w:ilvl w:val="1"/>
          <w:numId w:val="479"/>
        </w:numPr>
        <w:tabs>
          <w:tab w:val="left" w:pos="709"/>
          <w:tab w:val="left" w:pos="993"/>
        </w:tabs>
        <w:spacing w:before="120" w:after="120" w:line="240" w:lineRule="auto"/>
        <w:ind w:left="993" w:hanging="567"/>
        <w:jc w:val="both"/>
        <w:rPr>
          <w:rFonts w:ascii="Times New Roman" w:hAnsi="Times New Roman" w:cs="Times New Roman"/>
          <w:color w:val="000000" w:themeColor="text1"/>
        </w:rPr>
      </w:pPr>
      <w:r w:rsidRPr="007C41FB">
        <w:rPr>
          <w:rFonts w:ascii="Times New Roman" w:hAnsi="Times New Roman" w:cs="Times New Roman"/>
          <w:color w:val="000000" w:themeColor="text1"/>
        </w:rPr>
        <w:t>Robotok a Magyar Honvédségben (tűzszerész és kórházi). (</w:t>
      </w:r>
      <w:r w:rsidRPr="007C41FB">
        <w:rPr>
          <w:rFonts w:ascii="Times New Roman" w:hAnsi="Times New Roman" w:cs="Times New Roman"/>
          <w:i/>
          <w:color w:val="000000" w:themeColor="text1"/>
        </w:rPr>
        <w:t>Robots in the Hungarian Defence Forces – miner and hospital</w:t>
      </w:r>
      <w:r w:rsidRPr="007C41FB">
        <w:rPr>
          <w:rFonts w:ascii="Times New Roman" w:hAnsi="Times New Roman" w:cs="Times New Roman"/>
          <w:color w:val="000000" w:themeColor="text1"/>
        </w:rPr>
        <w:t>).</w:t>
      </w:r>
    </w:p>
    <w:p w:rsidR="00BF39DF" w:rsidRPr="007C41FB" w:rsidRDefault="00BF39DF" w:rsidP="00980876">
      <w:pPr>
        <w:widowControl w:val="0"/>
        <w:numPr>
          <w:ilvl w:val="0"/>
          <w:numId w:val="479"/>
        </w:numPr>
        <w:tabs>
          <w:tab w:val="clear" w:pos="720"/>
        </w:tabs>
        <w:spacing w:before="120" w:after="120" w:line="240" w:lineRule="auto"/>
        <w:ind w:left="426" w:hanging="66"/>
        <w:jc w:val="both"/>
        <w:rPr>
          <w:rFonts w:ascii="Times New Roman" w:eastAsia="Times New Roman" w:hAnsi="Times New Roman" w:cs="Times New Roman"/>
          <w:bCs/>
          <w:color w:val="000000" w:themeColor="text1"/>
        </w:rPr>
      </w:pPr>
      <w:r w:rsidRPr="007C41FB">
        <w:rPr>
          <w:rFonts w:ascii="Times New Roman" w:eastAsia="Times New Roman" w:hAnsi="Times New Roman" w:cs="Times New Roman"/>
          <w:b/>
          <w:bCs/>
          <w:color w:val="000000" w:themeColor="text1"/>
        </w:rPr>
        <w:t>A tantárgy meghirdetésének gyakorisága/a tantervben történő félévi elhelyezkedése: 2</w:t>
      </w:r>
      <w:r w:rsidRPr="007C41FB">
        <w:rPr>
          <w:rFonts w:ascii="Times New Roman" w:eastAsia="Times New Roman" w:hAnsi="Times New Roman" w:cs="Times New Roman"/>
          <w:bCs/>
          <w:color w:val="000000" w:themeColor="text1"/>
        </w:rPr>
        <w:t>. félévtől, a félévi helyzetük a továbbiakban nincs meghatározva</w:t>
      </w:r>
    </w:p>
    <w:p w:rsidR="00BF39DF" w:rsidRPr="007C41FB" w:rsidRDefault="00BF39DF" w:rsidP="00980876">
      <w:pPr>
        <w:widowControl w:val="0"/>
        <w:numPr>
          <w:ilvl w:val="0"/>
          <w:numId w:val="479"/>
        </w:numPr>
        <w:spacing w:before="120" w:after="120" w:line="240" w:lineRule="auto"/>
        <w:ind w:left="426" w:hanging="142"/>
        <w:jc w:val="both"/>
        <w:rPr>
          <w:rFonts w:ascii="Times New Roman" w:eastAsia="Times New Roman" w:hAnsi="Times New Roman" w:cs="Times New Roman"/>
          <w:bCs/>
          <w:color w:val="000000" w:themeColor="text1"/>
        </w:rPr>
      </w:pPr>
      <w:r w:rsidRPr="007C41FB">
        <w:rPr>
          <w:rFonts w:ascii="Times New Roman" w:eastAsia="Times New Roman" w:hAnsi="Times New Roman" w:cs="Times New Roman"/>
          <w:b/>
          <w:bCs/>
          <w:color w:val="000000" w:themeColor="text1"/>
        </w:rPr>
        <w:t>A tanórákon való részvétel követelményei, az elfogadható hiányzások mértéke, a távolmaradás pótlásának lehetősége:</w:t>
      </w:r>
      <w:r w:rsidRPr="007C41FB">
        <w:rPr>
          <w:rFonts w:ascii="Times New Roman" w:eastAsia="Times New Roman" w:hAnsi="Times New Roman" w:cs="Times New Roman"/>
          <w:bCs/>
          <w:color w:val="000000" w:themeColor="text1"/>
        </w:rPr>
        <w:t xml:space="preserve"> A hallgatónak a tanórák legalább 70 %-án jelen kell lennie, 30 %-ot meghaladó hiányzás esetén a félév teljesítése nem írható alá. A hallgató köteles az előadás és a gyakorlat anyagát beszerezni, abból önállóan felkészülni. A hiányzás pótolható az oktató által kijelölt témakörben beadott, legalább elégségesre értékelt házidolgozattal.</w:t>
      </w:r>
    </w:p>
    <w:p w:rsidR="00BF39DF" w:rsidRPr="007C41FB" w:rsidRDefault="00BF39DF" w:rsidP="00980876">
      <w:pPr>
        <w:widowControl w:val="0"/>
        <w:numPr>
          <w:ilvl w:val="0"/>
          <w:numId w:val="479"/>
        </w:numPr>
        <w:tabs>
          <w:tab w:val="clear" w:pos="720"/>
        </w:tabs>
        <w:spacing w:before="120" w:after="120" w:line="240" w:lineRule="auto"/>
        <w:ind w:left="426" w:hanging="66"/>
        <w:jc w:val="both"/>
        <w:rPr>
          <w:rFonts w:ascii="Times New Roman" w:eastAsia="Times New Roman" w:hAnsi="Times New Roman" w:cs="Times New Roman"/>
          <w:b/>
          <w:bCs/>
          <w:color w:val="000000" w:themeColor="text1"/>
        </w:rPr>
      </w:pPr>
      <w:r w:rsidRPr="007C41FB">
        <w:rPr>
          <w:rFonts w:ascii="Times New Roman" w:eastAsia="Times New Roman" w:hAnsi="Times New Roman" w:cs="Times New Roman"/>
          <w:b/>
          <w:color w:val="000000" w:themeColor="text1"/>
        </w:rPr>
        <w:t>Félévközi feladatok, ismeretek ellenőrzésének rendje:</w:t>
      </w:r>
      <w:r w:rsidRPr="007C41FB">
        <w:rPr>
          <w:rFonts w:ascii="Times New Roman" w:eastAsia="Times New Roman" w:hAnsi="Times New Roman" w:cs="Times New Roman"/>
          <w:bCs/>
          <w:color w:val="000000" w:themeColor="text1"/>
        </w:rPr>
        <w:t xml:space="preserve"> A félév során a hallgató </w:t>
      </w:r>
      <w:r>
        <w:rPr>
          <w:rFonts w:ascii="Times New Roman" w:eastAsia="Times New Roman" w:hAnsi="Times New Roman" w:cs="Times New Roman"/>
          <w:bCs/>
          <w:color w:val="000000" w:themeColor="text1"/>
        </w:rPr>
        <w:t>egy</w:t>
      </w:r>
      <w:r w:rsidRPr="007C41FB">
        <w:rPr>
          <w:rFonts w:ascii="Times New Roman" w:eastAsia="Times New Roman" w:hAnsi="Times New Roman" w:cs="Times New Roman"/>
          <w:bCs/>
          <w:color w:val="000000" w:themeColor="text1"/>
        </w:rPr>
        <w:t xml:space="preserve"> zárthelyi dolgozatot ír. Zárthelyi dolgozatok a 12.1-12.1</w:t>
      </w:r>
      <w:r>
        <w:rPr>
          <w:rFonts w:ascii="Times New Roman" w:eastAsia="Times New Roman" w:hAnsi="Times New Roman" w:cs="Times New Roman"/>
          <w:bCs/>
          <w:color w:val="000000" w:themeColor="text1"/>
        </w:rPr>
        <w:t>4</w:t>
      </w:r>
      <w:r w:rsidRPr="007C41FB">
        <w:rPr>
          <w:rFonts w:ascii="Times New Roman" w:eastAsia="Times New Roman" w:hAnsi="Times New Roman" w:cs="Times New Roman"/>
          <w:bCs/>
          <w:color w:val="000000" w:themeColor="text1"/>
        </w:rPr>
        <w:t xml:space="preserve"> tantárgyrészekből. A zárthelyi dolgozat témáit a kötelező irodalmak anyagából, illetve az előadásokon elhangzott ismeretanyagból kell összeállítani. A zárthelyi dolgozat értékelése ötfokozatú értékelés (a helyes válaszok aránya 0-60% elégtelen; 61-70% elégséges; 71-80% közepes; 81-90% jó; 91-100% jeles osztályzat). Eredménytelen zárthelyi dolgozat kétszer javítható</w:t>
      </w:r>
      <w:r w:rsidRPr="00DB2A37">
        <w:t xml:space="preserve"> </w:t>
      </w:r>
      <w:r w:rsidRPr="00DB2A37">
        <w:rPr>
          <w:rFonts w:ascii="Times New Roman" w:eastAsia="Times New Roman" w:hAnsi="Times New Roman" w:cs="Times New Roman"/>
          <w:bCs/>
          <w:color w:val="000000" w:themeColor="text1"/>
        </w:rPr>
        <w:t>a szorgalmi időszak végéig az oktatóval egyeztetett időpontokban</w:t>
      </w:r>
      <w:r w:rsidRPr="007C41FB">
        <w:rPr>
          <w:rFonts w:ascii="Times New Roman" w:eastAsia="Times New Roman" w:hAnsi="Times New Roman" w:cs="Times New Roman"/>
          <w:bCs/>
          <w:color w:val="000000" w:themeColor="text1"/>
        </w:rPr>
        <w:t>. A dolgozatban teszt és esszé jellegű kérdések egyaránt szerepelnek.</w:t>
      </w:r>
      <w:r>
        <w:rPr>
          <w:rFonts w:ascii="Times New Roman" w:eastAsia="Times New Roman" w:hAnsi="Times New Roman" w:cs="Times New Roman"/>
          <w:bCs/>
          <w:color w:val="000000" w:themeColor="text1"/>
        </w:rPr>
        <w:t xml:space="preserve"> </w:t>
      </w:r>
    </w:p>
    <w:p w:rsidR="00BF39DF" w:rsidRPr="007C41FB" w:rsidRDefault="00BF39DF" w:rsidP="00980876">
      <w:pPr>
        <w:widowControl w:val="0"/>
        <w:numPr>
          <w:ilvl w:val="0"/>
          <w:numId w:val="479"/>
        </w:numPr>
        <w:spacing w:before="120" w:after="120" w:line="240" w:lineRule="auto"/>
        <w:ind w:left="426" w:hanging="142"/>
        <w:jc w:val="both"/>
        <w:rPr>
          <w:rFonts w:ascii="Times New Roman" w:eastAsia="Times New Roman" w:hAnsi="Times New Roman" w:cs="Times New Roman"/>
          <w:b/>
          <w:bCs/>
          <w:color w:val="000000" w:themeColor="text1"/>
        </w:rPr>
      </w:pPr>
      <w:r w:rsidRPr="007C41FB">
        <w:rPr>
          <w:rFonts w:ascii="Times New Roman" w:eastAsia="Times New Roman" w:hAnsi="Times New Roman" w:cs="Times New Roman"/>
          <w:b/>
          <w:bCs/>
          <w:color w:val="000000" w:themeColor="text1"/>
        </w:rPr>
        <w:t xml:space="preserve">Az értékelés, az aláírás és a kreditek megszerzésének pontos feltételei: </w:t>
      </w:r>
    </w:p>
    <w:p w:rsidR="00BF39DF" w:rsidRPr="004E424E" w:rsidRDefault="00BF39DF" w:rsidP="00980876">
      <w:pPr>
        <w:widowControl w:val="0"/>
        <w:numPr>
          <w:ilvl w:val="1"/>
          <w:numId w:val="479"/>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4E424E">
        <w:rPr>
          <w:rFonts w:ascii="Times New Roman" w:eastAsia="Times New Roman" w:hAnsi="Times New Roman" w:cs="Times New Roman"/>
          <w:b/>
        </w:rPr>
        <w:t>Az aláírás megszerzésének feltételei:</w:t>
      </w:r>
      <w:r w:rsidRPr="004E424E">
        <w:rPr>
          <w:rFonts w:ascii="Times New Roman" w:eastAsia="Times New Roman" w:hAnsi="Times New Roman" w:cs="Times New Roman"/>
        </w:rPr>
        <w:t xml:space="preserve"> </w:t>
      </w:r>
      <w:r w:rsidRPr="00657EBC">
        <w:rPr>
          <w:rFonts w:ascii="Times New Roman" w:hAnsi="Times New Roman" w:cs="Times New Roman"/>
          <w:bCs/>
        </w:rPr>
        <w:t>Az aláírás megszerzésének feltétele a 14. pontban meghatározott arányú részvétel a foglalkozásokon és a 15. pontban meghatározott félévközi feladatok legalább elégséges teljesítése</w:t>
      </w:r>
      <w:r w:rsidRPr="004E424E">
        <w:rPr>
          <w:rFonts w:ascii="Times New Roman" w:hAnsi="Times New Roman" w:cs="Times New Roman"/>
          <w:bCs/>
        </w:rPr>
        <w:t>.</w:t>
      </w:r>
    </w:p>
    <w:p w:rsidR="00BF39DF" w:rsidRPr="004E424E" w:rsidRDefault="00BF39DF" w:rsidP="00980876">
      <w:pPr>
        <w:widowControl w:val="0"/>
        <w:numPr>
          <w:ilvl w:val="1"/>
          <w:numId w:val="479"/>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4E424E">
        <w:rPr>
          <w:rFonts w:ascii="Times New Roman" w:eastAsia="Times New Roman" w:hAnsi="Times New Roman" w:cs="Times New Roman"/>
          <w:b/>
        </w:rPr>
        <w:t>Az értékelés:</w:t>
      </w:r>
      <w:r w:rsidRPr="004E424E">
        <w:rPr>
          <w:rFonts w:ascii="Times New Roman" w:eastAsia="Times New Roman" w:hAnsi="Times New Roman" w:cs="Times New Roman"/>
        </w:rPr>
        <w:t xml:space="preserve"> </w:t>
      </w:r>
      <w:r w:rsidRPr="004E424E">
        <w:rPr>
          <w:rFonts w:ascii="Times New Roman" w:hAnsi="Times New Roman" w:cs="Times New Roman"/>
        </w:rPr>
        <w:t>évközi értékelés, ötfokozatú értékelés.</w:t>
      </w:r>
      <w:r w:rsidRPr="004E424E">
        <w:rPr>
          <w:rFonts w:ascii="Times New Roman" w:eastAsia="Times New Roman" w:hAnsi="Times New Roman" w:cs="Times New Roman"/>
          <w:bCs/>
        </w:rPr>
        <w:t xml:space="preserve"> </w:t>
      </w:r>
      <w:r w:rsidRPr="004E424E">
        <w:rPr>
          <w:rFonts w:ascii="Times New Roman" w:hAnsi="Times New Roman" w:cs="Times New Roman"/>
          <w:bCs/>
        </w:rPr>
        <w:t>Az évközi értékelést az elért eredmények kerekített matematikai átlaga képezi.</w:t>
      </w:r>
    </w:p>
    <w:p w:rsidR="00BF39DF" w:rsidRPr="007C41FB" w:rsidRDefault="00BF39DF" w:rsidP="00980876">
      <w:pPr>
        <w:widowControl w:val="0"/>
        <w:numPr>
          <w:ilvl w:val="1"/>
          <w:numId w:val="479"/>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color w:val="000000" w:themeColor="text1"/>
        </w:rPr>
      </w:pPr>
      <w:r w:rsidRPr="007C41FB">
        <w:rPr>
          <w:rFonts w:ascii="Times New Roman" w:eastAsia="Times New Roman" w:hAnsi="Times New Roman" w:cs="Times New Roman"/>
          <w:b/>
        </w:rPr>
        <w:t>A kreditek megszerzésének feltételei:</w:t>
      </w:r>
      <w:r w:rsidRPr="007C41FB">
        <w:rPr>
          <w:rFonts w:ascii="Times New Roman" w:eastAsia="Times New Roman" w:hAnsi="Times New Roman" w:cs="Times New Roman"/>
        </w:rPr>
        <w:t xml:space="preserve"> az aláírás megszerzése és legalább elégséges</w:t>
      </w:r>
      <w:r w:rsidRPr="007C41FB">
        <w:rPr>
          <w:rFonts w:ascii="Times New Roman" w:eastAsia="Times New Roman" w:hAnsi="Times New Roman" w:cs="Times New Roman"/>
          <w:b/>
        </w:rPr>
        <w:t xml:space="preserve"> </w:t>
      </w:r>
      <w:r w:rsidRPr="007C41FB">
        <w:rPr>
          <w:rFonts w:ascii="Times New Roman" w:eastAsia="Times New Roman" w:hAnsi="Times New Roman" w:cs="Times New Roman"/>
        </w:rPr>
        <w:t>évközi értékelés</w:t>
      </w:r>
      <w:r w:rsidRPr="007C41FB">
        <w:rPr>
          <w:rFonts w:ascii="Times New Roman" w:eastAsia="Times New Roman" w:hAnsi="Times New Roman" w:cs="Times New Roman"/>
          <w:bCs/>
        </w:rPr>
        <w:t>.</w:t>
      </w:r>
    </w:p>
    <w:p w:rsidR="003B3611" w:rsidRDefault="003B3611">
      <w:pPr>
        <w:spacing w:after="200" w:line="276" w:lineRule="auto"/>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br w:type="page"/>
      </w:r>
    </w:p>
    <w:p w:rsidR="00BF39DF" w:rsidRPr="007C41FB" w:rsidRDefault="00BF39DF" w:rsidP="00980876">
      <w:pPr>
        <w:widowControl w:val="0"/>
        <w:numPr>
          <w:ilvl w:val="0"/>
          <w:numId w:val="479"/>
        </w:numPr>
        <w:spacing w:before="120" w:after="120" w:line="240" w:lineRule="auto"/>
        <w:ind w:left="426" w:hanging="142"/>
        <w:jc w:val="both"/>
        <w:rPr>
          <w:rFonts w:ascii="Times New Roman" w:eastAsia="Times New Roman" w:hAnsi="Times New Roman" w:cs="Times New Roman"/>
          <w:bCs/>
          <w:color w:val="000000" w:themeColor="text1"/>
        </w:rPr>
      </w:pPr>
      <w:r w:rsidRPr="007C41FB">
        <w:rPr>
          <w:rFonts w:ascii="Times New Roman" w:eastAsia="Times New Roman" w:hAnsi="Times New Roman" w:cs="Times New Roman"/>
          <w:b/>
          <w:bCs/>
          <w:color w:val="000000" w:themeColor="text1"/>
        </w:rPr>
        <w:lastRenderedPageBreak/>
        <w:t>Irodalomjegyzék:</w:t>
      </w:r>
    </w:p>
    <w:p w:rsidR="00BF39DF" w:rsidRPr="007C41FB" w:rsidRDefault="00BF39DF" w:rsidP="00980876">
      <w:pPr>
        <w:widowControl w:val="0"/>
        <w:numPr>
          <w:ilvl w:val="1"/>
          <w:numId w:val="479"/>
        </w:numPr>
        <w:tabs>
          <w:tab w:val="left" w:pos="567"/>
          <w:tab w:val="left" w:pos="851"/>
        </w:tabs>
        <w:spacing w:before="120" w:after="120" w:line="240" w:lineRule="auto"/>
        <w:ind w:left="426" w:hanging="142"/>
        <w:jc w:val="both"/>
        <w:rPr>
          <w:rFonts w:ascii="Times New Roman" w:eastAsia="Times New Roman" w:hAnsi="Times New Roman" w:cs="Times New Roman"/>
          <w:b/>
          <w:bCs/>
          <w:color w:val="000000" w:themeColor="text1"/>
        </w:rPr>
      </w:pPr>
      <w:r w:rsidRPr="007C41FB">
        <w:rPr>
          <w:rFonts w:ascii="Times New Roman" w:eastAsia="Times New Roman" w:hAnsi="Times New Roman" w:cs="Times New Roman"/>
          <w:b/>
          <w:bCs/>
          <w:color w:val="000000" w:themeColor="text1"/>
        </w:rPr>
        <w:t>Kötelező irodalom:</w:t>
      </w:r>
      <w:r w:rsidRPr="007C41FB">
        <w:rPr>
          <w:rFonts w:ascii="Times New Roman" w:eastAsia="Times New Roman" w:hAnsi="Times New Roman" w:cs="Times New Roman"/>
          <w:color w:val="000000" w:themeColor="text1"/>
          <w:lang w:eastAsia="hu-HU"/>
        </w:rPr>
        <w:t xml:space="preserve"> </w:t>
      </w:r>
    </w:p>
    <w:p w:rsidR="00976088" w:rsidRDefault="00976088" w:rsidP="00980876">
      <w:pPr>
        <w:pStyle w:val="Listaszerbekezds"/>
        <w:widowControl w:val="0"/>
        <w:numPr>
          <w:ilvl w:val="0"/>
          <w:numId w:val="477"/>
        </w:numPr>
        <w:spacing w:before="120" w:after="120" w:line="240" w:lineRule="auto"/>
        <w:ind w:left="851"/>
        <w:jc w:val="both"/>
        <w:rPr>
          <w:rFonts w:ascii="Times New Roman" w:eastAsia="Times New Roman" w:hAnsi="Times New Roman" w:cs="Times New Roman"/>
          <w:bCs/>
          <w:color w:val="000000" w:themeColor="text1"/>
        </w:rPr>
      </w:pPr>
      <w:r w:rsidRPr="00DB2A37">
        <w:rPr>
          <w:rFonts w:ascii="Times New Roman" w:eastAsia="Times New Roman" w:hAnsi="Times New Roman" w:cs="Times New Roman"/>
          <w:bCs/>
          <w:color w:val="000000" w:themeColor="text1"/>
        </w:rPr>
        <w:t>Dr. Hegedűs Ernő – Dr. Németh András – Wippelhauser András – Simó Réka: A katonai alkalmazású terepi autonóm járművek fejlesztésének egyes kérdései. I-II. rész Haditechnika 2019. évi 4-5. szám</w:t>
      </w:r>
    </w:p>
    <w:p w:rsidR="00976088" w:rsidRPr="00DB2A37" w:rsidRDefault="00976088" w:rsidP="00980876">
      <w:pPr>
        <w:pStyle w:val="Listaszerbekezds"/>
        <w:widowControl w:val="0"/>
        <w:numPr>
          <w:ilvl w:val="0"/>
          <w:numId w:val="477"/>
        </w:numPr>
        <w:spacing w:before="120" w:after="120" w:line="240" w:lineRule="auto"/>
        <w:ind w:left="851"/>
        <w:jc w:val="both"/>
        <w:rPr>
          <w:rFonts w:ascii="Times New Roman" w:eastAsia="Times New Roman" w:hAnsi="Times New Roman" w:cs="Times New Roman"/>
          <w:bCs/>
          <w:color w:val="000000" w:themeColor="text1"/>
        </w:rPr>
      </w:pPr>
      <w:r w:rsidRPr="00DB2A37">
        <w:rPr>
          <w:rFonts w:ascii="Times New Roman" w:eastAsia="Times New Roman" w:hAnsi="Times New Roman" w:cs="Times New Roman"/>
          <w:bCs/>
          <w:color w:val="000000" w:themeColor="text1"/>
        </w:rPr>
        <w:t>Kucsera Péter: Autonóm működésű szárazföldi robotok védelmi célú alkalmazása. Doktori (PhD) értekezés, ZMNE KMDI, 2009.</w:t>
      </w:r>
    </w:p>
    <w:p w:rsidR="00BF39DF" w:rsidRDefault="00BF39DF" w:rsidP="00980876">
      <w:pPr>
        <w:pStyle w:val="Listaszerbekezds"/>
        <w:widowControl w:val="0"/>
        <w:numPr>
          <w:ilvl w:val="0"/>
          <w:numId w:val="477"/>
        </w:numPr>
        <w:spacing w:before="120" w:after="120" w:line="240" w:lineRule="auto"/>
        <w:ind w:left="851"/>
        <w:jc w:val="both"/>
        <w:rPr>
          <w:rFonts w:ascii="Times New Roman" w:eastAsia="Times New Roman" w:hAnsi="Times New Roman" w:cs="Times New Roman"/>
          <w:bCs/>
          <w:color w:val="000000" w:themeColor="text1"/>
        </w:rPr>
      </w:pPr>
      <w:r w:rsidRPr="00DB2A37">
        <w:rPr>
          <w:rFonts w:ascii="Times New Roman" w:eastAsia="Times New Roman" w:hAnsi="Times New Roman" w:cs="Times New Roman"/>
          <w:bCs/>
          <w:color w:val="000000" w:themeColor="text1"/>
        </w:rPr>
        <w:t>Koleszár Béla. „Elképzelések a szárazföldi és légi robottechnikai eszközök jövőbeni kölcsönös együttműködéséről/szimbiózisáról.” Repüléstudományi Közlemények Különszám 2008. április 11.</w:t>
      </w:r>
    </w:p>
    <w:p w:rsidR="00BF39DF" w:rsidRPr="007C41FB" w:rsidRDefault="00BF39DF" w:rsidP="00980876">
      <w:pPr>
        <w:widowControl w:val="0"/>
        <w:numPr>
          <w:ilvl w:val="1"/>
          <w:numId w:val="479"/>
        </w:numPr>
        <w:spacing w:before="120" w:after="120" w:line="240" w:lineRule="auto"/>
        <w:ind w:left="993" w:hanging="709"/>
        <w:jc w:val="both"/>
        <w:rPr>
          <w:rFonts w:ascii="Times New Roman" w:eastAsia="Times New Roman" w:hAnsi="Times New Roman" w:cs="Times New Roman"/>
          <w:b/>
          <w:bCs/>
          <w:color w:val="000000" w:themeColor="text1"/>
        </w:rPr>
      </w:pPr>
      <w:r w:rsidRPr="007C41FB">
        <w:rPr>
          <w:rFonts w:ascii="Times New Roman" w:eastAsia="Times New Roman" w:hAnsi="Times New Roman" w:cs="Times New Roman"/>
          <w:b/>
          <w:bCs/>
          <w:color w:val="000000" w:themeColor="text1"/>
        </w:rPr>
        <w:t>Ajánlott irodalom:</w:t>
      </w:r>
    </w:p>
    <w:p w:rsidR="00BF39DF" w:rsidRDefault="00BF39DF" w:rsidP="00980876">
      <w:pPr>
        <w:pStyle w:val="Listaszerbekezds"/>
        <w:widowControl w:val="0"/>
        <w:numPr>
          <w:ilvl w:val="0"/>
          <w:numId w:val="478"/>
        </w:numPr>
        <w:spacing w:before="120" w:after="120" w:line="240" w:lineRule="auto"/>
        <w:ind w:left="851"/>
        <w:jc w:val="both"/>
        <w:rPr>
          <w:rFonts w:ascii="Times New Roman" w:eastAsia="Times New Roman" w:hAnsi="Times New Roman" w:cs="Times New Roman"/>
          <w:bCs/>
          <w:color w:val="000000" w:themeColor="text1"/>
        </w:rPr>
      </w:pPr>
      <w:r w:rsidRPr="00DB2A37">
        <w:rPr>
          <w:rFonts w:ascii="Times New Roman" w:eastAsia="Times New Roman" w:hAnsi="Times New Roman" w:cs="Times New Roman"/>
          <w:bCs/>
          <w:color w:val="000000" w:themeColor="text1"/>
        </w:rPr>
        <w:t xml:space="preserve">Menyhárt József: Felszíni villamos hajtású járművek és robotok (UGV) akkumulátorparaméter eltéréseinek vizsgálata Fuzzy logika és Support Vector Machine módszerekkel. ÓE Biztonságtudományi Doktori Iskola, Budapest, 2017. </w:t>
      </w:r>
    </w:p>
    <w:p w:rsidR="00BF39DF" w:rsidRDefault="00BF39DF" w:rsidP="00980876">
      <w:pPr>
        <w:pStyle w:val="Listaszerbekezds"/>
        <w:widowControl w:val="0"/>
        <w:numPr>
          <w:ilvl w:val="0"/>
          <w:numId w:val="478"/>
        </w:numPr>
        <w:spacing w:before="120" w:after="120" w:line="240" w:lineRule="auto"/>
        <w:ind w:left="851"/>
        <w:jc w:val="both"/>
        <w:rPr>
          <w:rFonts w:ascii="Times New Roman" w:eastAsia="Times New Roman" w:hAnsi="Times New Roman" w:cs="Times New Roman"/>
          <w:bCs/>
          <w:color w:val="000000" w:themeColor="text1"/>
        </w:rPr>
      </w:pPr>
      <w:r w:rsidRPr="00DB2A37">
        <w:rPr>
          <w:rFonts w:ascii="Times New Roman" w:eastAsia="Times New Roman" w:hAnsi="Times New Roman" w:cs="Times New Roman"/>
          <w:bCs/>
          <w:color w:val="000000" w:themeColor="text1"/>
        </w:rPr>
        <w:t>Nagy Dávid – Németh Balázs: Terepjáró vertikális modellezése és irányítástervezése korszerű módszerekkel „IFFK 2012” tudományos konferencia, Budapest, 2012. augusztus 29-31. BME.</w:t>
      </w:r>
    </w:p>
    <w:p w:rsidR="00BF39DF" w:rsidRPr="007C41FB" w:rsidRDefault="00BF39DF" w:rsidP="00BF39DF">
      <w:pPr>
        <w:widowControl w:val="0"/>
        <w:spacing w:before="120" w:after="120" w:line="240" w:lineRule="auto"/>
        <w:jc w:val="both"/>
        <w:rPr>
          <w:rFonts w:ascii="Times New Roman" w:eastAsia="Times New Roman" w:hAnsi="Times New Roman" w:cs="Times New Roman"/>
          <w:bCs/>
          <w:color w:val="000000" w:themeColor="text1"/>
        </w:rPr>
      </w:pPr>
      <w:r w:rsidRPr="007C41FB">
        <w:rPr>
          <w:rFonts w:ascii="Times New Roman" w:eastAsia="Times New Roman" w:hAnsi="Times New Roman" w:cs="Times New Roman"/>
          <w:bCs/>
          <w:color w:val="000000" w:themeColor="text1"/>
        </w:rPr>
        <w:t xml:space="preserve">Budapest, 2020. március </w:t>
      </w:r>
      <w:r w:rsidR="00B20411">
        <w:rPr>
          <w:rFonts w:ascii="Times New Roman" w:eastAsia="Times New Roman" w:hAnsi="Times New Roman" w:cs="Times New Roman"/>
          <w:bCs/>
          <w:color w:val="000000" w:themeColor="text1"/>
        </w:rPr>
        <w:t>15</w:t>
      </w:r>
      <w:r w:rsidRPr="007C41FB">
        <w:rPr>
          <w:rFonts w:ascii="Times New Roman" w:eastAsia="Times New Roman" w:hAnsi="Times New Roman" w:cs="Times New Roman"/>
          <w:bCs/>
          <w:color w:val="000000" w:themeColor="text1"/>
        </w:rPr>
        <w:t>.</w:t>
      </w:r>
    </w:p>
    <w:p w:rsidR="00BF39DF" w:rsidRPr="00B20411" w:rsidRDefault="00BF39DF" w:rsidP="00702CC1">
      <w:pPr>
        <w:widowControl w:val="0"/>
        <w:spacing w:after="0" w:line="240" w:lineRule="auto"/>
        <w:ind w:left="5812"/>
        <w:jc w:val="center"/>
        <w:rPr>
          <w:rFonts w:ascii="Times New Roman" w:eastAsia="Times New Roman" w:hAnsi="Times New Roman" w:cs="Times New Roman"/>
          <w:b/>
          <w:bCs/>
          <w:color w:val="000000" w:themeColor="text1"/>
        </w:rPr>
      </w:pPr>
      <w:r w:rsidRPr="00B20411">
        <w:rPr>
          <w:rFonts w:ascii="Times New Roman" w:eastAsia="Times New Roman" w:hAnsi="Times New Roman" w:cs="Times New Roman"/>
          <w:b/>
          <w:bCs/>
          <w:color w:val="000000" w:themeColor="text1"/>
        </w:rPr>
        <w:t>Dr. Hegedűs Ernő PhD</w:t>
      </w:r>
    </w:p>
    <w:p w:rsidR="00BF39DF" w:rsidRPr="007C41FB" w:rsidRDefault="00BF39DF" w:rsidP="00702CC1">
      <w:pPr>
        <w:widowControl w:val="0"/>
        <w:spacing w:after="0" w:line="240" w:lineRule="auto"/>
        <w:ind w:left="5812"/>
        <w:jc w:val="center"/>
        <w:rPr>
          <w:rFonts w:ascii="Times New Roman" w:eastAsia="Times New Roman" w:hAnsi="Times New Roman" w:cs="Times New Roman"/>
          <w:bCs/>
          <w:color w:val="000000" w:themeColor="text1"/>
        </w:rPr>
      </w:pPr>
      <w:r w:rsidRPr="007C41FB">
        <w:rPr>
          <w:rFonts w:ascii="Times New Roman" w:eastAsia="Times New Roman" w:hAnsi="Times New Roman" w:cs="Times New Roman"/>
          <w:bCs/>
          <w:color w:val="000000" w:themeColor="text1"/>
        </w:rPr>
        <w:t>egyetemi tanársegéd</w:t>
      </w:r>
    </w:p>
    <w:p w:rsidR="00BF39DF" w:rsidRPr="007C41FB" w:rsidRDefault="00BF39DF" w:rsidP="00702CC1">
      <w:pPr>
        <w:widowControl w:val="0"/>
        <w:spacing w:after="0" w:line="240" w:lineRule="auto"/>
        <w:ind w:left="5812"/>
        <w:jc w:val="center"/>
        <w:rPr>
          <w:rFonts w:ascii="Times New Roman" w:hAnsi="Times New Roman" w:cs="Times New Roman"/>
          <w:color w:val="000000" w:themeColor="text1"/>
        </w:rPr>
      </w:pPr>
      <w:r w:rsidRPr="007C41FB">
        <w:rPr>
          <w:rFonts w:ascii="Times New Roman" w:eastAsia="Times New Roman" w:hAnsi="Times New Roman" w:cs="Times New Roman"/>
          <w:bCs/>
          <w:color w:val="000000" w:themeColor="text1"/>
        </w:rPr>
        <w:t>tantárgyfelelős, sk.</w:t>
      </w:r>
    </w:p>
    <w:p w:rsidR="00702CC1" w:rsidRDefault="00702CC1">
      <w:pPr>
        <w:spacing w:after="200" w:line="276" w:lineRule="auto"/>
        <w:rPr>
          <w:rFonts w:ascii="Times New Roman" w:hAnsi="Times New Roman" w:cs="Times New Roman"/>
          <w:sz w:val="24"/>
        </w:rPr>
      </w:pPr>
      <w:r>
        <w:rPr>
          <w:rFonts w:ascii="Times New Roman" w:hAnsi="Times New Roman" w:cs="Times New Roman"/>
          <w:sz w:val="24"/>
        </w:rPr>
        <w:br w:type="page"/>
      </w:r>
    </w:p>
    <w:tbl>
      <w:tblPr>
        <w:tblW w:w="9072" w:type="dxa"/>
        <w:tblInd w:w="113" w:type="dxa"/>
        <w:tblLook w:val="01E0" w:firstRow="1" w:lastRow="1" w:firstColumn="1" w:lastColumn="1" w:noHBand="0" w:noVBand="0"/>
      </w:tblPr>
      <w:tblGrid>
        <w:gridCol w:w="4855"/>
        <w:gridCol w:w="1620"/>
        <w:gridCol w:w="2597"/>
      </w:tblGrid>
      <w:tr w:rsidR="00B20411" w:rsidRPr="00AC740A" w:rsidTr="00B20411">
        <w:tc>
          <w:tcPr>
            <w:tcW w:w="4855" w:type="dxa"/>
            <w:tcBorders>
              <w:bottom w:val="single" w:sz="4" w:space="0" w:color="auto"/>
            </w:tcBorders>
          </w:tcPr>
          <w:p w:rsidR="00B20411" w:rsidRPr="00AC740A" w:rsidRDefault="00B20411" w:rsidP="00B20411">
            <w:pPr>
              <w:spacing w:after="0" w:line="240" w:lineRule="auto"/>
              <w:jc w:val="center"/>
              <w:rPr>
                <w:rFonts w:ascii="Times New Roman" w:eastAsia="Times New Roman" w:hAnsi="Times New Roman" w:cs="Times New Roman"/>
                <w:b/>
                <w:smallCaps/>
                <w:lang w:eastAsia="hu-HU"/>
              </w:rPr>
            </w:pPr>
            <w:r w:rsidRPr="00AC740A">
              <w:rPr>
                <w:rFonts w:ascii="Times New Roman" w:eastAsia="Times New Roman" w:hAnsi="Times New Roman" w:cs="Times New Roman"/>
                <w:b/>
                <w:smallCaps/>
                <w:lang w:eastAsia="hu-HU"/>
              </w:rPr>
              <w:lastRenderedPageBreak/>
              <w:t>Nemzeti Közszolgálati Egyetem</w:t>
            </w:r>
          </w:p>
        </w:tc>
        <w:tc>
          <w:tcPr>
            <w:tcW w:w="1620" w:type="dxa"/>
          </w:tcPr>
          <w:p w:rsidR="00B20411" w:rsidRPr="00AC740A" w:rsidRDefault="00B20411" w:rsidP="00B20411">
            <w:pPr>
              <w:spacing w:after="0" w:line="240" w:lineRule="auto"/>
              <w:jc w:val="both"/>
              <w:rPr>
                <w:rFonts w:ascii="Times New Roman" w:eastAsia="Times New Roman" w:hAnsi="Times New Roman" w:cs="Times New Roman"/>
                <w:lang w:eastAsia="hu-HU"/>
              </w:rPr>
            </w:pPr>
          </w:p>
        </w:tc>
        <w:tc>
          <w:tcPr>
            <w:tcW w:w="2597" w:type="dxa"/>
          </w:tcPr>
          <w:p w:rsidR="00B20411" w:rsidRPr="00AC740A" w:rsidRDefault="00B20411" w:rsidP="00B20411">
            <w:pPr>
              <w:spacing w:after="0" w:line="240" w:lineRule="auto"/>
              <w:jc w:val="right"/>
              <w:rPr>
                <w:rFonts w:ascii="Times New Roman" w:eastAsia="Times New Roman" w:hAnsi="Times New Roman" w:cs="Times New Roman"/>
                <w:lang w:eastAsia="hu-HU"/>
              </w:rPr>
            </w:pPr>
          </w:p>
        </w:tc>
      </w:tr>
      <w:tr w:rsidR="00B20411" w:rsidRPr="00AC740A" w:rsidTr="00B20411">
        <w:tc>
          <w:tcPr>
            <w:tcW w:w="4855" w:type="dxa"/>
            <w:tcBorders>
              <w:top w:val="single" w:sz="4" w:space="0" w:color="auto"/>
            </w:tcBorders>
          </w:tcPr>
          <w:p w:rsidR="00B20411" w:rsidRPr="00AC740A" w:rsidRDefault="00B20411" w:rsidP="00B20411">
            <w:pPr>
              <w:spacing w:after="0" w:line="240" w:lineRule="auto"/>
              <w:jc w:val="center"/>
              <w:rPr>
                <w:rFonts w:ascii="Times New Roman" w:eastAsia="Times New Roman" w:hAnsi="Times New Roman" w:cs="Times New Roman"/>
                <w:b/>
                <w:lang w:eastAsia="hu-HU"/>
              </w:rPr>
            </w:pPr>
            <w:r w:rsidRPr="00AC740A">
              <w:rPr>
                <w:rFonts w:ascii="Times New Roman" w:eastAsia="Times New Roman" w:hAnsi="Times New Roman" w:cs="Times New Roman"/>
                <w:b/>
                <w:lang w:eastAsia="hu-HU"/>
              </w:rPr>
              <w:t>Hadtudományi és Honvédtisztképző Kar</w:t>
            </w:r>
          </w:p>
        </w:tc>
        <w:tc>
          <w:tcPr>
            <w:tcW w:w="1620" w:type="dxa"/>
          </w:tcPr>
          <w:p w:rsidR="00B20411" w:rsidRPr="00AC740A" w:rsidRDefault="00B20411" w:rsidP="00B20411">
            <w:pPr>
              <w:spacing w:after="0" w:line="240" w:lineRule="auto"/>
              <w:jc w:val="both"/>
              <w:rPr>
                <w:rFonts w:ascii="Times New Roman" w:eastAsia="Times New Roman" w:hAnsi="Times New Roman" w:cs="Times New Roman"/>
                <w:lang w:eastAsia="hu-HU"/>
              </w:rPr>
            </w:pPr>
          </w:p>
        </w:tc>
        <w:tc>
          <w:tcPr>
            <w:tcW w:w="2597" w:type="dxa"/>
          </w:tcPr>
          <w:p w:rsidR="00B20411" w:rsidRPr="00AC740A" w:rsidRDefault="00B20411" w:rsidP="00B20411">
            <w:pPr>
              <w:spacing w:after="0" w:line="240" w:lineRule="auto"/>
              <w:jc w:val="both"/>
              <w:rPr>
                <w:rFonts w:ascii="Times New Roman" w:eastAsia="Times New Roman" w:hAnsi="Times New Roman" w:cs="Times New Roman"/>
                <w:lang w:eastAsia="hu-HU"/>
              </w:rPr>
            </w:pPr>
          </w:p>
        </w:tc>
      </w:tr>
    </w:tbl>
    <w:p w:rsidR="00B20411" w:rsidRPr="00AC740A" w:rsidRDefault="00B20411" w:rsidP="00B20411">
      <w:pPr>
        <w:widowControl w:val="0"/>
        <w:spacing w:before="120" w:after="120" w:line="240" w:lineRule="auto"/>
        <w:ind w:left="426" w:hanging="142"/>
        <w:jc w:val="center"/>
        <w:rPr>
          <w:rFonts w:ascii="Times New Roman" w:eastAsia="Times New Roman" w:hAnsi="Times New Roman" w:cs="Times New Roman"/>
          <w:b/>
          <w:bCs/>
        </w:rPr>
      </w:pPr>
    </w:p>
    <w:p w:rsidR="00B20411" w:rsidRPr="00AC740A" w:rsidRDefault="00B20411" w:rsidP="00B20411">
      <w:pPr>
        <w:widowControl w:val="0"/>
        <w:spacing w:before="120" w:after="120" w:line="240" w:lineRule="auto"/>
        <w:ind w:left="426" w:hanging="142"/>
        <w:jc w:val="center"/>
        <w:rPr>
          <w:rFonts w:ascii="Times New Roman" w:eastAsia="Times New Roman" w:hAnsi="Times New Roman" w:cs="Times New Roman"/>
          <w:b/>
          <w:bCs/>
        </w:rPr>
      </w:pPr>
      <w:r w:rsidRPr="00AC740A">
        <w:rPr>
          <w:rFonts w:ascii="Times New Roman" w:eastAsia="Times New Roman" w:hAnsi="Times New Roman" w:cs="Times New Roman"/>
          <w:b/>
          <w:bCs/>
        </w:rPr>
        <w:t>TANTÁRGYI PROGRAM</w:t>
      </w:r>
    </w:p>
    <w:p w:rsidR="00B20411" w:rsidRPr="00AC740A" w:rsidRDefault="00B20411" w:rsidP="00980876">
      <w:pPr>
        <w:widowControl w:val="0"/>
        <w:numPr>
          <w:ilvl w:val="0"/>
          <w:numId w:val="480"/>
        </w:numPr>
        <w:tabs>
          <w:tab w:val="num" w:pos="567"/>
        </w:tabs>
        <w:spacing w:before="120" w:after="120" w:line="240" w:lineRule="auto"/>
        <w:ind w:left="426" w:hanging="142"/>
        <w:jc w:val="both"/>
        <w:rPr>
          <w:rFonts w:ascii="Times New Roman" w:eastAsia="Times New Roman" w:hAnsi="Times New Roman" w:cs="Times New Roman"/>
          <w:bCs/>
        </w:rPr>
      </w:pPr>
      <w:r w:rsidRPr="00AC740A">
        <w:rPr>
          <w:rFonts w:ascii="Times New Roman" w:eastAsia="Times New Roman" w:hAnsi="Times New Roman" w:cs="Times New Roman"/>
          <w:b/>
          <w:bCs/>
        </w:rPr>
        <w:t xml:space="preserve">A tantárgy kódja: </w:t>
      </w:r>
      <w:r w:rsidRPr="00AC740A">
        <w:rPr>
          <w:rFonts w:ascii="Times New Roman" w:eastAsia="Times New Roman" w:hAnsi="Times New Roman" w:cs="Times New Roman"/>
          <w:bCs/>
        </w:rPr>
        <w:t>H</w:t>
      </w:r>
      <w:r>
        <w:rPr>
          <w:rFonts w:ascii="Times New Roman" w:eastAsia="Times New Roman" w:hAnsi="Times New Roman" w:cs="Times New Roman"/>
          <w:bCs/>
        </w:rPr>
        <w:t>K</w:t>
      </w:r>
      <w:r w:rsidRPr="00AC740A">
        <w:rPr>
          <w:rFonts w:ascii="Times New Roman" w:eastAsia="Times New Roman" w:hAnsi="Times New Roman" w:cs="Times New Roman"/>
          <w:bCs/>
        </w:rPr>
        <w:t>925</w:t>
      </w:r>
      <w:r>
        <w:rPr>
          <w:rFonts w:ascii="Times New Roman" w:eastAsia="Times New Roman" w:hAnsi="Times New Roman" w:cs="Times New Roman"/>
          <w:bCs/>
        </w:rPr>
        <w:t>A</w:t>
      </w:r>
      <w:r w:rsidRPr="00AC740A">
        <w:rPr>
          <w:rFonts w:ascii="Times New Roman" w:eastAsia="Times New Roman" w:hAnsi="Times New Roman" w:cs="Times New Roman"/>
          <w:bCs/>
        </w:rPr>
        <w:t>19</w:t>
      </w:r>
      <w:r>
        <w:rPr>
          <w:rFonts w:ascii="Times New Roman" w:eastAsia="Times New Roman" w:hAnsi="Times New Roman" w:cs="Times New Roman"/>
          <w:bCs/>
        </w:rPr>
        <w:t>4</w:t>
      </w:r>
    </w:p>
    <w:p w:rsidR="00B20411" w:rsidRPr="00AC740A" w:rsidRDefault="00B20411" w:rsidP="00980876">
      <w:pPr>
        <w:widowControl w:val="0"/>
        <w:numPr>
          <w:ilvl w:val="0"/>
          <w:numId w:val="480"/>
        </w:numPr>
        <w:tabs>
          <w:tab w:val="num" w:pos="567"/>
        </w:tabs>
        <w:spacing w:before="120" w:after="120" w:line="240" w:lineRule="auto"/>
        <w:ind w:left="426" w:hanging="142"/>
        <w:jc w:val="both"/>
        <w:rPr>
          <w:rFonts w:ascii="Times New Roman" w:eastAsia="Times New Roman" w:hAnsi="Times New Roman" w:cs="Times New Roman"/>
          <w:b/>
          <w:bCs/>
          <w:lang w:val="en-GB"/>
        </w:rPr>
      </w:pPr>
      <w:r w:rsidRPr="00AC740A">
        <w:rPr>
          <w:rFonts w:ascii="Times New Roman" w:eastAsia="Times New Roman" w:hAnsi="Times New Roman" w:cs="Times New Roman"/>
          <w:b/>
          <w:bCs/>
        </w:rPr>
        <w:t>A tantárgy megnevezése (magyarul):</w:t>
      </w:r>
      <w:r w:rsidRPr="00AC740A">
        <w:rPr>
          <w:rFonts w:ascii="Times New Roman" w:eastAsia="Times New Roman" w:hAnsi="Times New Roman" w:cs="Times New Roman"/>
          <w:bCs/>
        </w:rPr>
        <w:t xml:space="preserve"> Valószínűségszámítás </w:t>
      </w:r>
      <w:r>
        <w:rPr>
          <w:rFonts w:ascii="Times New Roman" w:eastAsia="Times New Roman" w:hAnsi="Times New Roman" w:cs="Times New Roman"/>
          <w:bCs/>
        </w:rPr>
        <w:t>LOG</w:t>
      </w:r>
    </w:p>
    <w:p w:rsidR="00B20411" w:rsidRPr="00AC740A" w:rsidRDefault="00B20411" w:rsidP="00980876">
      <w:pPr>
        <w:widowControl w:val="0"/>
        <w:numPr>
          <w:ilvl w:val="0"/>
          <w:numId w:val="480"/>
        </w:numPr>
        <w:tabs>
          <w:tab w:val="num" w:pos="567"/>
        </w:tabs>
        <w:spacing w:before="120" w:after="120" w:line="240" w:lineRule="auto"/>
        <w:ind w:left="426" w:hanging="142"/>
        <w:jc w:val="both"/>
        <w:rPr>
          <w:rFonts w:ascii="Times New Roman" w:eastAsia="Times New Roman" w:hAnsi="Times New Roman" w:cs="Times New Roman"/>
          <w:b/>
          <w:bCs/>
          <w:lang w:val="en-GB"/>
        </w:rPr>
      </w:pPr>
      <w:r w:rsidRPr="00AC740A">
        <w:rPr>
          <w:rFonts w:ascii="Times New Roman" w:eastAsia="Times New Roman" w:hAnsi="Times New Roman" w:cs="Times New Roman"/>
          <w:b/>
          <w:bCs/>
        </w:rPr>
        <w:t>A tantárgy megnevezése (angolul):</w:t>
      </w:r>
      <w:r w:rsidRPr="00AC740A">
        <w:rPr>
          <w:rFonts w:ascii="Times New Roman" w:eastAsia="Times New Roman" w:hAnsi="Times New Roman" w:cs="Times New Roman"/>
          <w:bCs/>
        </w:rPr>
        <w:t xml:space="preserve"> Probability Theory </w:t>
      </w:r>
      <w:r>
        <w:rPr>
          <w:rFonts w:ascii="Times New Roman" w:eastAsia="Times New Roman" w:hAnsi="Times New Roman" w:cs="Times New Roman"/>
          <w:bCs/>
        </w:rPr>
        <w:t>LOG</w:t>
      </w:r>
    </w:p>
    <w:p w:rsidR="00B20411" w:rsidRPr="00AC740A" w:rsidRDefault="00B20411" w:rsidP="00980876">
      <w:pPr>
        <w:widowControl w:val="0"/>
        <w:numPr>
          <w:ilvl w:val="0"/>
          <w:numId w:val="480"/>
        </w:numPr>
        <w:tabs>
          <w:tab w:val="num" w:pos="567"/>
        </w:tabs>
        <w:spacing w:before="120" w:after="120" w:line="240" w:lineRule="auto"/>
        <w:ind w:left="426" w:hanging="142"/>
        <w:jc w:val="both"/>
        <w:rPr>
          <w:rFonts w:ascii="Times New Roman" w:eastAsia="Times New Roman" w:hAnsi="Times New Roman" w:cs="Times New Roman"/>
          <w:b/>
          <w:bCs/>
        </w:rPr>
      </w:pPr>
      <w:r w:rsidRPr="00AC740A">
        <w:rPr>
          <w:rFonts w:ascii="Times New Roman" w:eastAsia="Times New Roman" w:hAnsi="Times New Roman" w:cs="Times New Roman"/>
          <w:b/>
          <w:bCs/>
        </w:rPr>
        <w:t xml:space="preserve">Kreditérték és képzési karakter: </w:t>
      </w:r>
    </w:p>
    <w:p w:rsidR="00B20411" w:rsidRPr="00AC740A" w:rsidRDefault="00B20411" w:rsidP="00980876">
      <w:pPr>
        <w:pStyle w:val="Listaszerbekezds"/>
        <w:widowControl w:val="0"/>
        <w:numPr>
          <w:ilvl w:val="1"/>
          <w:numId w:val="480"/>
        </w:numPr>
        <w:spacing w:before="120" w:after="120" w:line="240" w:lineRule="auto"/>
        <w:ind w:left="993" w:hanging="426"/>
        <w:jc w:val="both"/>
        <w:rPr>
          <w:rFonts w:ascii="Times New Roman" w:eastAsia="Times New Roman" w:hAnsi="Times New Roman" w:cs="Times New Roman"/>
          <w:b/>
          <w:bCs/>
        </w:rPr>
      </w:pPr>
      <w:r w:rsidRPr="00AC740A">
        <w:rPr>
          <w:rFonts w:ascii="Times New Roman" w:eastAsia="Times New Roman" w:hAnsi="Times New Roman" w:cs="Times New Roman"/>
          <w:bCs/>
        </w:rPr>
        <w:t>2 kredit</w:t>
      </w:r>
    </w:p>
    <w:p w:rsidR="00B20411" w:rsidRPr="00AC740A" w:rsidRDefault="00B20411" w:rsidP="00980876">
      <w:pPr>
        <w:pStyle w:val="Listaszerbekezds"/>
        <w:widowControl w:val="0"/>
        <w:numPr>
          <w:ilvl w:val="1"/>
          <w:numId w:val="480"/>
        </w:numPr>
        <w:spacing w:before="120" w:after="120" w:line="240" w:lineRule="auto"/>
        <w:ind w:left="993" w:hanging="426"/>
        <w:jc w:val="both"/>
        <w:rPr>
          <w:rFonts w:ascii="Times New Roman" w:eastAsia="Times New Roman" w:hAnsi="Times New Roman" w:cs="Times New Roman"/>
          <w:b/>
          <w:bCs/>
        </w:rPr>
      </w:pPr>
      <w:r w:rsidRPr="00AC740A">
        <w:rPr>
          <w:rFonts w:ascii="Times New Roman" w:eastAsia="Times New Roman" w:hAnsi="Times New Roman" w:cs="Times New Roman"/>
          <w:bCs/>
        </w:rPr>
        <w:t xml:space="preserve">a tantárgy elméleti vagy gyakorlati jellegének mértéke: </w:t>
      </w:r>
      <w:r>
        <w:rPr>
          <w:rFonts w:ascii="Times New Roman" w:eastAsia="Times New Roman" w:hAnsi="Times New Roman" w:cs="Times New Roman"/>
          <w:bCs/>
        </w:rPr>
        <w:t>5</w:t>
      </w:r>
      <w:r w:rsidRPr="00AC740A">
        <w:rPr>
          <w:rFonts w:ascii="Times New Roman" w:eastAsia="Times New Roman" w:hAnsi="Times New Roman" w:cs="Times New Roman"/>
          <w:bCs/>
        </w:rPr>
        <w:t xml:space="preserve">0 % gyakorlat, </w:t>
      </w:r>
      <w:r>
        <w:rPr>
          <w:rFonts w:ascii="Times New Roman" w:eastAsia="Times New Roman" w:hAnsi="Times New Roman" w:cs="Times New Roman"/>
          <w:bCs/>
        </w:rPr>
        <w:t>5</w:t>
      </w:r>
      <w:r w:rsidRPr="00AC740A">
        <w:rPr>
          <w:rFonts w:ascii="Times New Roman" w:eastAsia="Times New Roman" w:hAnsi="Times New Roman" w:cs="Times New Roman"/>
          <w:bCs/>
        </w:rPr>
        <w:t>0 % elmélet</w:t>
      </w:r>
    </w:p>
    <w:p w:rsidR="00B20411" w:rsidRPr="00AC740A" w:rsidRDefault="00B20411" w:rsidP="00980876">
      <w:pPr>
        <w:widowControl w:val="0"/>
        <w:numPr>
          <w:ilvl w:val="0"/>
          <w:numId w:val="480"/>
        </w:numPr>
        <w:spacing w:before="120" w:after="120" w:line="240" w:lineRule="auto"/>
        <w:ind w:left="426" w:hanging="142"/>
        <w:jc w:val="both"/>
        <w:rPr>
          <w:rFonts w:ascii="Times New Roman" w:eastAsia="Times New Roman" w:hAnsi="Times New Roman" w:cs="Times New Roman"/>
          <w:bCs/>
          <w:color w:val="92D050"/>
        </w:rPr>
      </w:pPr>
      <w:r w:rsidRPr="00AC740A">
        <w:rPr>
          <w:rFonts w:ascii="Times New Roman" w:eastAsia="Times New Roman" w:hAnsi="Times New Roman" w:cs="Times New Roman"/>
          <w:b/>
          <w:bCs/>
        </w:rPr>
        <w:t>A szak(ok), szakirányok/specializációk megnevezése (ahol oktatják):</w:t>
      </w:r>
      <w:r w:rsidRPr="00AC740A">
        <w:rPr>
          <w:rFonts w:ascii="Times New Roman" w:eastAsia="Times New Roman" w:hAnsi="Times New Roman" w:cs="Times New Roman"/>
          <w:bCs/>
        </w:rPr>
        <w:t xml:space="preserve"> Katonai logisztika alapszak</w:t>
      </w:r>
    </w:p>
    <w:p w:rsidR="00B20411" w:rsidRPr="00AC740A" w:rsidRDefault="00B20411" w:rsidP="00980876">
      <w:pPr>
        <w:widowControl w:val="0"/>
        <w:numPr>
          <w:ilvl w:val="0"/>
          <w:numId w:val="480"/>
        </w:numPr>
        <w:tabs>
          <w:tab w:val="num" w:pos="567"/>
        </w:tabs>
        <w:spacing w:before="120" w:after="120" w:line="240" w:lineRule="auto"/>
        <w:ind w:left="426" w:hanging="142"/>
        <w:jc w:val="both"/>
        <w:rPr>
          <w:rFonts w:ascii="Times New Roman" w:eastAsia="Times New Roman" w:hAnsi="Times New Roman" w:cs="Times New Roman"/>
          <w:bCs/>
        </w:rPr>
      </w:pPr>
      <w:r w:rsidRPr="00AC740A">
        <w:rPr>
          <w:rFonts w:ascii="Times New Roman" w:eastAsia="Times New Roman" w:hAnsi="Times New Roman" w:cs="Times New Roman"/>
          <w:b/>
          <w:bCs/>
        </w:rPr>
        <w:t xml:space="preserve">Az oktatásért felelős oktatási szervezeti egység megnevezése: </w:t>
      </w:r>
      <w:r w:rsidRPr="00AC740A">
        <w:rPr>
          <w:rFonts w:ascii="Times New Roman" w:eastAsia="Times New Roman" w:hAnsi="Times New Roman" w:cs="Times New Roman"/>
          <w:bCs/>
        </w:rPr>
        <w:t>Természettudományi Tanszék</w:t>
      </w:r>
    </w:p>
    <w:p w:rsidR="00B20411" w:rsidRPr="00AC740A" w:rsidRDefault="00B20411" w:rsidP="00980876">
      <w:pPr>
        <w:widowControl w:val="0"/>
        <w:numPr>
          <w:ilvl w:val="0"/>
          <w:numId w:val="480"/>
        </w:numPr>
        <w:tabs>
          <w:tab w:val="num" w:pos="567"/>
        </w:tabs>
        <w:spacing w:before="120" w:after="120" w:line="240" w:lineRule="auto"/>
        <w:ind w:left="426" w:hanging="142"/>
        <w:jc w:val="both"/>
        <w:rPr>
          <w:rFonts w:ascii="Times New Roman" w:eastAsia="Times New Roman" w:hAnsi="Times New Roman" w:cs="Times New Roman"/>
          <w:bCs/>
          <w:spacing w:val="-2"/>
        </w:rPr>
      </w:pPr>
      <w:r w:rsidRPr="00AC740A">
        <w:rPr>
          <w:rFonts w:ascii="Times New Roman" w:eastAsia="Times New Roman" w:hAnsi="Times New Roman" w:cs="Times New Roman"/>
          <w:b/>
          <w:bCs/>
          <w:spacing w:val="-2"/>
        </w:rPr>
        <w:t>A tantárgyfelelős oktató neve, beosztása, tudományos fokozata:</w:t>
      </w:r>
      <w:r w:rsidRPr="00AC740A">
        <w:rPr>
          <w:rFonts w:ascii="Times New Roman" w:eastAsia="Times New Roman" w:hAnsi="Times New Roman" w:cs="Times New Roman"/>
          <w:bCs/>
          <w:spacing w:val="-2"/>
        </w:rPr>
        <w:t xml:space="preserve"> Dr. Tóth Bence, adjunktus, PhD</w:t>
      </w:r>
    </w:p>
    <w:p w:rsidR="00B20411" w:rsidRPr="00AC740A" w:rsidRDefault="00B20411" w:rsidP="00980876">
      <w:pPr>
        <w:widowControl w:val="0"/>
        <w:numPr>
          <w:ilvl w:val="0"/>
          <w:numId w:val="480"/>
        </w:numPr>
        <w:spacing w:before="120" w:after="120" w:line="240" w:lineRule="auto"/>
        <w:ind w:left="426" w:hanging="142"/>
        <w:jc w:val="both"/>
        <w:rPr>
          <w:rFonts w:ascii="Times New Roman" w:eastAsia="Times New Roman" w:hAnsi="Times New Roman" w:cs="Times New Roman"/>
          <w:bCs/>
        </w:rPr>
      </w:pPr>
      <w:r w:rsidRPr="00AC740A">
        <w:rPr>
          <w:rFonts w:ascii="Times New Roman" w:eastAsia="Times New Roman" w:hAnsi="Times New Roman" w:cs="Times New Roman"/>
          <w:b/>
          <w:bCs/>
        </w:rPr>
        <w:t>A tanórák száma és típusa</w:t>
      </w:r>
    </w:p>
    <w:p w:rsidR="00B20411" w:rsidRPr="00AC740A" w:rsidRDefault="00B20411" w:rsidP="00980876">
      <w:pPr>
        <w:widowControl w:val="0"/>
        <w:numPr>
          <w:ilvl w:val="1"/>
          <w:numId w:val="480"/>
        </w:numPr>
        <w:tabs>
          <w:tab w:val="num" w:pos="2069"/>
        </w:tabs>
        <w:spacing w:before="120" w:after="0" w:line="240" w:lineRule="auto"/>
        <w:ind w:left="851" w:hanging="425"/>
        <w:jc w:val="both"/>
        <w:rPr>
          <w:rFonts w:ascii="Times New Roman" w:eastAsia="Times New Roman" w:hAnsi="Times New Roman" w:cs="Times New Roman"/>
          <w:bCs/>
        </w:rPr>
      </w:pPr>
      <w:r w:rsidRPr="00AC740A">
        <w:rPr>
          <w:rFonts w:ascii="Times New Roman" w:eastAsia="Times New Roman" w:hAnsi="Times New Roman" w:cs="Times New Roman"/>
          <w:bCs/>
        </w:rPr>
        <w:t>össz óraszám/félév:</w:t>
      </w:r>
    </w:p>
    <w:p w:rsidR="00B20411" w:rsidRPr="00AC740A" w:rsidRDefault="00B20411" w:rsidP="00980876">
      <w:pPr>
        <w:widowControl w:val="0"/>
        <w:numPr>
          <w:ilvl w:val="2"/>
          <w:numId w:val="480"/>
        </w:numPr>
        <w:tabs>
          <w:tab w:val="num" w:pos="1134"/>
        </w:tabs>
        <w:spacing w:before="120" w:after="0" w:line="240" w:lineRule="auto"/>
        <w:ind w:left="993" w:hanging="425"/>
        <w:jc w:val="both"/>
        <w:rPr>
          <w:rFonts w:ascii="Times New Roman" w:eastAsia="Times New Roman" w:hAnsi="Times New Roman" w:cs="Times New Roman"/>
          <w:bCs/>
        </w:rPr>
      </w:pPr>
      <w:r w:rsidRPr="00AC740A">
        <w:rPr>
          <w:rFonts w:ascii="Times New Roman" w:eastAsia="Times New Roman" w:hAnsi="Times New Roman" w:cs="Times New Roman"/>
          <w:bCs/>
        </w:rPr>
        <w:t xml:space="preserve">nappali munkarend: </w:t>
      </w:r>
      <w:r>
        <w:rPr>
          <w:rFonts w:ascii="Times New Roman" w:eastAsia="Times New Roman" w:hAnsi="Times New Roman" w:cs="Times New Roman"/>
          <w:bCs/>
        </w:rPr>
        <w:t>28</w:t>
      </w:r>
      <w:r w:rsidRPr="00AC740A">
        <w:rPr>
          <w:rFonts w:ascii="Times New Roman" w:eastAsia="Times New Roman" w:hAnsi="Times New Roman" w:cs="Times New Roman"/>
          <w:bCs/>
        </w:rPr>
        <w:t xml:space="preserve"> (</w:t>
      </w:r>
      <w:r>
        <w:rPr>
          <w:rFonts w:ascii="Times New Roman" w:eastAsia="Times New Roman" w:hAnsi="Times New Roman" w:cs="Times New Roman"/>
          <w:bCs/>
        </w:rPr>
        <w:t>14</w:t>
      </w:r>
      <w:r w:rsidRPr="00AC740A">
        <w:rPr>
          <w:rFonts w:ascii="Times New Roman" w:eastAsia="Times New Roman" w:hAnsi="Times New Roman" w:cs="Times New Roman"/>
          <w:bCs/>
        </w:rPr>
        <w:t xml:space="preserve"> EA + 0 SZ + </w:t>
      </w:r>
      <w:r>
        <w:rPr>
          <w:rFonts w:ascii="Times New Roman" w:eastAsia="Times New Roman" w:hAnsi="Times New Roman" w:cs="Times New Roman"/>
          <w:bCs/>
        </w:rPr>
        <w:t>14</w:t>
      </w:r>
      <w:r w:rsidRPr="00AC740A">
        <w:rPr>
          <w:rFonts w:ascii="Times New Roman" w:eastAsia="Times New Roman" w:hAnsi="Times New Roman" w:cs="Times New Roman"/>
          <w:bCs/>
        </w:rPr>
        <w:t xml:space="preserve"> GY)</w:t>
      </w:r>
    </w:p>
    <w:p w:rsidR="00B20411" w:rsidRPr="00AC740A" w:rsidRDefault="00B20411" w:rsidP="00980876">
      <w:pPr>
        <w:widowControl w:val="0"/>
        <w:numPr>
          <w:ilvl w:val="2"/>
          <w:numId w:val="480"/>
        </w:numPr>
        <w:tabs>
          <w:tab w:val="num" w:pos="1134"/>
        </w:tabs>
        <w:spacing w:before="120" w:after="0" w:line="240" w:lineRule="auto"/>
        <w:ind w:left="993" w:hanging="425"/>
        <w:jc w:val="both"/>
        <w:rPr>
          <w:rFonts w:ascii="Times New Roman" w:eastAsia="Times New Roman" w:hAnsi="Times New Roman" w:cs="Times New Roman"/>
          <w:bCs/>
        </w:rPr>
      </w:pPr>
      <w:r w:rsidRPr="00AC740A">
        <w:rPr>
          <w:rFonts w:ascii="Times New Roman" w:eastAsia="Times New Roman" w:hAnsi="Times New Roman" w:cs="Times New Roman"/>
          <w:bCs/>
        </w:rPr>
        <w:t>levelező munkarend: 0 (0 EA + 0 SZ + 0 GY)</w:t>
      </w:r>
    </w:p>
    <w:p w:rsidR="00B20411" w:rsidRPr="00AC740A" w:rsidRDefault="00B20411" w:rsidP="00980876">
      <w:pPr>
        <w:widowControl w:val="0"/>
        <w:numPr>
          <w:ilvl w:val="1"/>
          <w:numId w:val="480"/>
        </w:numPr>
        <w:tabs>
          <w:tab w:val="num" w:pos="2069"/>
        </w:tabs>
        <w:spacing w:before="120" w:after="120" w:line="240" w:lineRule="auto"/>
        <w:ind w:left="851" w:hanging="425"/>
        <w:jc w:val="both"/>
        <w:rPr>
          <w:rFonts w:ascii="Times New Roman" w:eastAsia="Times New Roman" w:hAnsi="Times New Roman" w:cs="Times New Roman"/>
          <w:bCs/>
        </w:rPr>
      </w:pPr>
      <w:r w:rsidRPr="00AC740A">
        <w:rPr>
          <w:rFonts w:ascii="Times New Roman" w:eastAsia="Times New Roman" w:hAnsi="Times New Roman" w:cs="Times New Roman"/>
          <w:bCs/>
        </w:rPr>
        <w:t xml:space="preserve">heti óraszám - nappali munkarend: </w:t>
      </w:r>
      <w:r w:rsidR="0027679A">
        <w:rPr>
          <w:rFonts w:ascii="Times New Roman" w:eastAsia="Times New Roman" w:hAnsi="Times New Roman" w:cs="Times New Roman"/>
          <w:bCs/>
        </w:rPr>
        <w:t>2(</w:t>
      </w:r>
      <w:r>
        <w:rPr>
          <w:rFonts w:ascii="Times New Roman" w:eastAsia="Times New Roman" w:hAnsi="Times New Roman" w:cs="Times New Roman"/>
          <w:bCs/>
        </w:rPr>
        <w:t xml:space="preserve">1 + </w:t>
      </w:r>
      <w:r w:rsidRPr="00AC740A">
        <w:rPr>
          <w:rFonts w:ascii="Times New Roman" w:eastAsia="Times New Roman" w:hAnsi="Times New Roman" w:cs="Times New Roman"/>
          <w:bCs/>
        </w:rPr>
        <w:t>1</w:t>
      </w:r>
      <w:r w:rsidR="0027679A">
        <w:rPr>
          <w:rFonts w:ascii="Times New Roman" w:eastAsia="Times New Roman" w:hAnsi="Times New Roman" w:cs="Times New Roman"/>
          <w:bCs/>
        </w:rPr>
        <w:t>)</w:t>
      </w:r>
    </w:p>
    <w:p w:rsidR="00B20411" w:rsidRPr="00AC740A" w:rsidRDefault="00B20411" w:rsidP="00980876">
      <w:pPr>
        <w:widowControl w:val="0"/>
        <w:numPr>
          <w:ilvl w:val="1"/>
          <w:numId w:val="480"/>
        </w:numPr>
        <w:tabs>
          <w:tab w:val="num" w:pos="2069"/>
        </w:tabs>
        <w:spacing w:before="120" w:after="120" w:line="240" w:lineRule="auto"/>
        <w:ind w:left="851" w:hanging="425"/>
        <w:jc w:val="both"/>
        <w:rPr>
          <w:rFonts w:ascii="Times New Roman" w:eastAsia="Times New Roman" w:hAnsi="Times New Roman" w:cs="Times New Roman"/>
          <w:bCs/>
        </w:rPr>
      </w:pPr>
      <w:r w:rsidRPr="00AC740A">
        <w:rPr>
          <w:rFonts w:ascii="Times New Roman" w:hAnsi="Times New Roman" w:cs="Times New Roman"/>
        </w:rPr>
        <w:t>Az ismeret átadásában alkalmazandó további sajátos módok, jellemzők: nincsenek</w:t>
      </w:r>
    </w:p>
    <w:p w:rsidR="00B20411" w:rsidRPr="00AC740A" w:rsidRDefault="00B20411" w:rsidP="00980876">
      <w:pPr>
        <w:widowControl w:val="0"/>
        <w:numPr>
          <w:ilvl w:val="0"/>
          <w:numId w:val="480"/>
        </w:numPr>
        <w:spacing w:before="120" w:after="120" w:line="240" w:lineRule="auto"/>
        <w:ind w:left="502"/>
        <w:jc w:val="both"/>
        <w:rPr>
          <w:rFonts w:ascii="Times New Roman" w:eastAsia="Times New Roman" w:hAnsi="Times New Roman" w:cs="Times New Roman"/>
          <w:bCs/>
        </w:rPr>
      </w:pPr>
      <w:r w:rsidRPr="00AC740A">
        <w:rPr>
          <w:rFonts w:ascii="Times New Roman" w:eastAsia="Times New Roman" w:hAnsi="Times New Roman" w:cs="Times New Roman"/>
          <w:b/>
          <w:bCs/>
        </w:rPr>
        <w:t>A tantárgy szakmai tartalma (magyarul):</w:t>
      </w:r>
      <w:r w:rsidRPr="00AC740A">
        <w:rPr>
          <w:rFonts w:ascii="Times New Roman" w:eastAsia="Times New Roman" w:hAnsi="Times New Roman" w:cs="Times New Roman"/>
          <w:bCs/>
        </w:rPr>
        <w:t xml:space="preserve"> Események és műveletek eseményekkel. Geometriai valószínűség. Kolmogorov-féle valószínűségi axiómák. Klasszikus valószínűségi mező. Mintavételek. Valószínűségi változó fogalma és jellemzői. Feltételes valószínűség. Várható érték és a szórás. Néhány nevezetes eloszlás. Valószínűségi becslések.</w:t>
      </w:r>
    </w:p>
    <w:p w:rsidR="00B20411" w:rsidRPr="00AC740A" w:rsidRDefault="00B20411" w:rsidP="00B20411">
      <w:pPr>
        <w:widowControl w:val="0"/>
        <w:spacing w:before="120" w:after="120" w:line="240" w:lineRule="auto"/>
        <w:ind w:left="426"/>
        <w:jc w:val="both"/>
        <w:rPr>
          <w:rFonts w:ascii="Times New Roman" w:eastAsia="Times New Roman" w:hAnsi="Times New Roman" w:cs="Times New Roman"/>
          <w:bCs/>
          <w:lang w:val="en-GB"/>
        </w:rPr>
      </w:pPr>
      <w:r w:rsidRPr="00AC740A">
        <w:rPr>
          <w:rFonts w:ascii="Times New Roman" w:eastAsia="Times New Roman" w:hAnsi="Times New Roman" w:cs="Times New Roman"/>
          <w:b/>
          <w:bCs/>
        </w:rPr>
        <w:t>A tantárgy szakmai tartalma (angolul) (</w:t>
      </w:r>
      <w:r w:rsidRPr="00AC740A">
        <w:rPr>
          <w:rFonts w:ascii="Times New Roman" w:eastAsia="Times New Roman" w:hAnsi="Times New Roman" w:cs="Times New Roman"/>
          <w:b/>
          <w:bCs/>
          <w:lang w:val="en-US"/>
        </w:rPr>
        <w:t>Course description</w:t>
      </w:r>
      <w:r w:rsidRPr="00AC740A">
        <w:rPr>
          <w:rFonts w:ascii="Times New Roman" w:eastAsia="Times New Roman" w:hAnsi="Times New Roman" w:cs="Times New Roman"/>
          <w:b/>
          <w:bCs/>
        </w:rPr>
        <w:t>):</w:t>
      </w:r>
      <w:r w:rsidRPr="00AC740A">
        <w:rPr>
          <w:rFonts w:ascii="Times New Roman" w:eastAsia="Times New Roman" w:hAnsi="Times New Roman" w:cs="Times New Roman"/>
          <w:bCs/>
          <w:lang w:val="en-GB"/>
        </w:rPr>
        <w:t xml:space="preserve"> Events and operations with events. Geometric probability. Kolmogorov’s axioms. Classical probability. Sampling. Probability measure, definition and properties. Conditional probability. Mean and standard deviation. Some important probability distributions. Probabilistic inequalities.</w:t>
      </w:r>
    </w:p>
    <w:p w:rsidR="00B20411" w:rsidRPr="00AC740A" w:rsidRDefault="00B20411" w:rsidP="00980876">
      <w:pPr>
        <w:pStyle w:val="Listaszerbekezds"/>
        <w:widowControl w:val="0"/>
        <w:numPr>
          <w:ilvl w:val="0"/>
          <w:numId w:val="480"/>
        </w:numPr>
        <w:spacing w:before="120" w:after="120" w:line="240" w:lineRule="auto"/>
        <w:ind w:left="426" w:hanging="142"/>
        <w:jc w:val="both"/>
        <w:rPr>
          <w:rFonts w:ascii="Times New Roman" w:eastAsia="Times New Roman" w:hAnsi="Times New Roman" w:cs="Times New Roman"/>
          <w:bCs/>
        </w:rPr>
      </w:pPr>
      <w:r w:rsidRPr="00AC740A">
        <w:rPr>
          <w:rFonts w:ascii="Times New Roman" w:eastAsia="Times New Roman" w:hAnsi="Times New Roman" w:cs="Times New Roman"/>
          <w:b/>
          <w:bCs/>
        </w:rPr>
        <w:t xml:space="preserve">Elérendő kompetenciák (magyarul): </w:t>
      </w:r>
    </w:p>
    <w:p w:rsidR="00B20411" w:rsidRPr="0027679A" w:rsidRDefault="00B20411" w:rsidP="0027679A">
      <w:pPr>
        <w:widowControl w:val="0"/>
        <w:spacing w:before="120" w:after="0" w:line="240" w:lineRule="auto"/>
        <w:ind w:left="425"/>
        <w:jc w:val="both"/>
        <w:rPr>
          <w:rFonts w:ascii="Times New Roman" w:eastAsia="Times New Roman" w:hAnsi="Times New Roman" w:cs="Times New Roman"/>
          <w:b/>
          <w:bCs/>
        </w:rPr>
      </w:pPr>
      <w:r w:rsidRPr="00AC740A">
        <w:rPr>
          <w:rFonts w:ascii="Times New Roman" w:eastAsia="Times New Roman" w:hAnsi="Times New Roman" w:cs="Times New Roman"/>
          <w:b/>
          <w:bCs/>
        </w:rPr>
        <w:t>Tudása:</w:t>
      </w:r>
      <w:r w:rsidRPr="0027679A">
        <w:rPr>
          <w:rFonts w:ascii="Times New Roman" w:eastAsia="Times New Roman" w:hAnsi="Times New Roman" w:cs="Times New Roman"/>
          <w:b/>
          <w:bCs/>
        </w:rPr>
        <w:t xml:space="preserve"> </w:t>
      </w:r>
    </w:p>
    <w:p w:rsidR="00B20411" w:rsidRPr="00AC740A" w:rsidRDefault="00B20411" w:rsidP="00B20411">
      <w:pPr>
        <w:widowControl w:val="0"/>
        <w:spacing w:before="120" w:after="120" w:line="240" w:lineRule="auto"/>
        <w:ind w:left="426"/>
        <w:jc w:val="both"/>
        <w:rPr>
          <w:rFonts w:ascii="Times New Roman" w:eastAsia="Times New Roman" w:hAnsi="Times New Roman" w:cs="Times New Roman"/>
          <w:bCs/>
        </w:rPr>
      </w:pPr>
      <w:r w:rsidRPr="00AC740A">
        <w:rPr>
          <w:rFonts w:ascii="Times New Roman" w:eastAsia="Times New Roman" w:hAnsi="Times New Roman" w:cs="Times New Roman"/>
          <w:bCs/>
        </w:rPr>
        <w:t>-</w:t>
      </w:r>
      <w:r w:rsidRPr="00AC740A">
        <w:rPr>
          <w:rFonts w:ascii="Times New Roman" w:eastAsia="Times New Roman" w:hAnsi="Times New Roman" w:cs="Times New Roman"/>
          <w:bCs/>
        </w:rPr>
        <w:tab/>
        <w:t>Ismeri a matematika és a mechanika törvényszerűségeit, rendelkezik műszaki alapismeretekkel.</w:t>
      </w:r>
    </w:p>
    <w:p w:rsidR="00B20411" w:rsidRPr="0027679A" w:rsidRDefault="00B20411" w:rsidP="0027679A">
      <w:pPr>
        <w:widowControl w:val="0"/>
        <w:spacing w:before="120" w:after="0" w:line="240" w:lineRule="auto"/>
        <w:ind w:left="425"/>
        <w:jc w:val="both"/>
        <w:rPr>
          <w:rFonts w:ascii="Times New Roman" w:eastAsia="Times New Roman" w:hAnsi="Times New Roman" w:cs="Times New Roman"/>
          <w:b/>
          <w:bCs/>
        </w:rPr>
      </w:pPr>
      <w:r w:rsidRPr="00AC740A">
        <w:rPr>
          <w:rFonts w:ascii="Times New Roman" w:eastAsia="Times New Roman" w:hAnsi="Times New Roman" w:cs="Times New Roman"/>
          <w:b/>
          <w:bCs/>
        </w:rPr>
        <w:t>Képességei:</w:t>
      </w:r>
      <w:r w:rsidRPr="0027679A">
        <w:rPr>
          <w:rFonts w:ascii="Times New Roman" w:eastAsia="Times New Roman" w:hAnsi="Times New Roman" w:cs="Times New Roman"/>
          <w:b/>
          <w:bCs/>
        </w:rPr>
        <w:t xml:space="preserve"> </w:t>
      </w:r>
    </w:p>
    <w:p w:rsidR="00B20411" w:rsidRPr="00AC740A" w:rsidRDefault="00B20411" w:rsidP="00B20411">
      <w:pPr>
        <w:widowControl w:val="0"/>
        <w:spacing w:before="120" w:after="120" w:line="240" w:lineRule="auto"/>
        <w:ind w:left="426"/>
        <w:jc w:val="both"/>
        <w:rPr>
          <w:rFonts w:ascii="Times New Roman" w:eastAsia="Times New Roman" w:hAnsi="Times New Roman" w:cs="Times New Roman"/>
          <w:bCs/>
        </w:rPr>
      </w:pPr>
      <w:r w:rsidRPr="00AC740A">
        <w:rPr>
          <w:rFonts w:ascii="Times New Roman" w:eastAsia="Times New Roman" w:hAnsi="Times New Roman" w:cs="Times New Roman"/>
          <w:bCs/>
        </w:rPr>
        <w:t>-</w:t>
      </w:r>
      <w:r w:rsidRPr="00AC740A">
        <w:rPr>
          <w:rFonts w:ascii="Times New Roman" w:eastAsia="Times New Roman" w:hAnsi="Times New Roman" w:cs="Times New Roman"/>
          <w:bCs/>
        </w:rPr>
        <w:tab/>
        <w:t>Képes szakterületén újító és innovatív ötletek megfogalmazására.</w:t>
      </w:r>
    </w:p>
    <w:p w:rsidR="00B20411" w:rsidRPr="0027679A" w:rsidRDefault="00B20411" w:rsidP="0027679A">
      <w:pPr>
        <w:widowControl w:val="0"/>
        <w:spacing w:before="120" w:after="0" w:line="240" w:lineRule="auto"/>
        <w:ind w:left="425"/>
        <w:jc w:val="both"/>
        <w:rPr>
          <w:rFonts w:ascii="Times New Roman" w:eastAsia="Times New Roman" w:hAnsi="Times New Roman" w:cs="Times New Roman"/>
          <w:b/>
          <w:bCs/>
        </w:rPr>
      </w:pPr>
      <w:r w:rsidRPr="00AC740A">
        <w:rPr>
          <w:rFonts w:ascii="Times New Roman" w:eastAsia="Times New Roman" w:hAnsi="Times New Roman" w:cs="Times New Roman"/>
          <w:b/>
          <w:bCs/>
        </w:rPr>
        <w:t>Attitűdje:</w:t>
      </w:r>
      <w:r w:rsidRPr="0027679A">
        <w:rPr>
          <w:rFonts w:ascii="Times New Roman" w:eastAsia="Times New Roman" w:hAnsi="Times New Roman" w:cs="Times New Roman"/>
          <w:b/>
          <w:bCs/>
        </w:rPr>
        <w:t xml:space="preserve"> </w:t>
      </w:r>
    </w:p>
    <w:p w:rsidR="00B20411" w:rsidRPr="00AC740A" w:rsidRDefault="00B20411" w:rsidP="00B20411">
      <w:pPr>
        <w:widowControl w:val="0"/>
        <w:spacing w:before="120" w:after="120" w:line="240" w:lineRule="auto"/>
        <w:ind w:left="426"/>
        <w:jc w:val="both"/>
        <w:rPr>
          <w:rFonts w:ascii="Times New Roman" w:eastAsia="Times New Roman" w:hAnsi="Times New Roman" w:cs="Times New Roman"/>
          <w:bCs/>
        </w:rPr>
      </w:pPr>
      <w:r w:rsidRPr="00AC740A">
        <w:rPr>
          <w:rFonts w:ascii="Times New Roman" w:eastAsia="Times New Roman" w:hAnsi="Times New Roman" w:cs="Times New Roman"/>
          <w:bCs/>
        </w:rPr>
        <w:t>-</w:t>
      </w:r>
      <w:r w:rsidRPr="00AC740A">
        <w:rPr>
          <w:rFonts w:ascii="Times New Roman" w:eastAsia="Times New Roman" w:hAnsi="Times New Roman" w:cs="Times New Roman"/>
          <w:bCs/>
        </w:rPr>
        <w:tab/>
        <w:t>Nyitott szakterülete új eredményei, innovációi iránt, törekszik azok megismerésére, megértésére és alkalmazására, elkötelezett önmaga folyamatos képzésére.</w:t>
      </w:r>
    </w:p>
    <w:p w:rsidR="00B20411" w:rsidRPr="0027679A" w:rsidRDefault="00B20411" w:rsidP="0027679A">
      <w:pPr>
        <w:widowControl w:val="0"/>
        <w:spacing w:before="120" w:after="0" w:line="240" w:lineRule="auto"/>
        <w:ind w:left="425"/>
        <w:jc w:val="both"/>
        <w:rPr>
          <w:rFonts w:ascii="Times New Roman" w:eastAsia="Times New Roman" w:hAnsi="Times New Roman" w:cs="Times New Roman"/>
          <w:b/>
          <w:bCs/>
        </w:rPr>
      </w:pPr>
      <w:r w:rsidRPr="00AC740A">
        <w:rPr>
          <w:rFonts w:ascii="Times New Roman" w:eastAsia="Times New Roman" w:hAnsi="Times New Roman" w:cs="Times New Roman"/>
          <w:b/>
          <w:bCs/>
        </w:rPr>
        <w:t>Autonómiája és felelőssége:</w:t>
      </w:r>
      <w:r w:rsidRPr="0027679A">
        <w:rPr>
          <w:rFonts w:ascii="Times New Roman" w:eastAsia="Times New Roman" w:hAnsi="Times New Roman" w:cs="Times New Roman"/>
          <w:b/>
          <w:bCs/>
        </w:rPr>
        <w:t xml:space="preserve"> </w:t>
      </w:r>
    </w:p>
    <w:p w:rsidR="00B20411" w:rsidRPr="00AC740A" w:rsidRDefault="00B20411" w:rsidP="00B20411">
      <w:pPr>
        <w:widowControl w:val="0"/>
        <w:spacing w:before="120" w:after="120" w:line="240" w:lineRule="auto"/>
        <w:ind w:left="426"/>
        <w:jc w:val="both"/>
        <w:rPr>
          <w:rFonts w:ascii="Times New Roman" w:eastAsia="Calibri" w:hAnsi="Times New Roman" w:cs="Times New Roman"/>
        </w:rPr>
      </w:pPr>
      <w:r w:rsidRPr="00AC740A">
        <w:rPr>
          <w:rFonts w:ascii="Times New Roman" w:eastAsia="Times New Roman" w:hAnsi="Times New Roman" w:cs="Times New Roman"/>
          <w:bCs/>
        </w:rPr>
        <w:t>-</w:t>
      </w:r>
      <w:r w:rsidRPr="00AC740A">
        <w:rPr>
          <w:rFonts w:ascii="Times New Roman" w:eastAsia="Times New Roman" w:hAnsi="Times New Roman" w:cs="Times New Roman"/>
          <w:bCs/>
        </w:rPr>
        <w:tab/>
        <w:t>Az alegység, illetve egység szintű katonai logisztikai, valamint katonai gazdálkodási folyamatokban képes önállóan döntéseket hozni, azokat felelősséggel, a jogszabályi keretek figyelembevételével végrehajtani.</w:t>
      </w:r>
    </w:p>
    <w:p w:rsidR="0027679A" w:rsidRDefault="0027679A" w:rsidP="00B20411">
      <w:pPr>
        <w:widowControl w:val="0"/>
        <w:spacing w:before="120" w:after="120" w:line="240" w:lineRule="auto"/>
        <w:ind w:left="426"/>
        <w:jc w:val="both"/>
        <w:rPr>
          <w:rFonts w:ascii="Times New Roman" w:eastAsia="Times New Roman" w:hAnsi="Times New Roman" w:cs="Times New Roman"/>
          <w:b/>
          <w:bCs/>
        </w:rPr>
      </w:pPr>
    </w:p>
    <w:p w:rsidR="00B20411" w:rsidRPr="00AC740A" w:rsidRDefault="00B20411" w:rsidP="00B20411">
      <w:pPr>
        <w:widowControl w:val="0"/>
        <w:spacing w:before="120" w:after="120" w:line="240" w:lineRule="auto"/>
        <w:ind w:left="426"/>
        <w:jc w:val="both"/>
        <w:rPr>
          <w:rFonts w:ascii="Times New Roman" w:eastAsia="Times New Roman" w:hAnsi="Times New Roman" w:cs="Times New Roman"/>
          <w:b/>
          <w:bCs/>
          <w:lang w:val="en-US"/>
        </w:rPr>
      </w:pPr>
      <w:r w:rsidRPr="00AC740A">
        <w:rPr>
          <w:rFonts w:ascii="Times New Roman" w:eastAsia="Times New Roman" w:hAnsi="Times New Roman" w:cs="Times New Roman"/>
          <w:b/>
          <w:bCs/>
        </w:rPr>
        <w:lastRenderedPageBreak/>
        <w:t>Elérendő kompetenciák (angolul) (</w:t>
      </w:r>
      <w:r w:rsidRPr="00AC740A">
        <w:rPr>
          <w:rFonts w:ascii="Times New Roman" w:eastAsia="Times New Roman" w:hAnsi="Times New Roman" w:cs="Times New Roman"/>
          <w:b/>
          <w:bCs/>
          <w:lang w:val="en-US"/>
        </w:rPr>
        <w:t xml:space="preserve">Competences – English): </w:t>
      </w:r>
    </w:p>
    <w:p w:rsidR="00B20411" w:rsidRPr="0027679A" w:rsidRDefault="00B20411" w:rsidP="0027679A">
      <w:pPr>
        <w:widowControl w:val="0"/>
        <w:spacing w:before="120" w:after="0" w:line="240" w:lineRule="auto"/>
        <w:ind w:left="425"/>
        <w:jc w:val="both"/>
        <w:rPr>
          <w:rFonts w:ascii="Times New Roman" w:eastAsia="Times New Roman" w:hAnsi="Times New Roman" w:cs="Times New Roman"/>
          <w:b/>
          <w:bCs/>
        </w:rPr>
      </w:pPr>
      <w:r w:rsidRPr="0027679A">
        <w:rPr>
          <w:rFonts w:ascii="Times New Roman" w:eastAsia="Times New Roman" w:hAnsi="Times New Roman" w:cs="Times New Roman"/>
          <w:b/>
          <w:bCs/>
        </w:rPr>
        <w:t xml:space="preserve">Knowledge: </w:t>
      </w:r>
    </w:p>
    <w:p w:rsidR="00B20411" w:rsidRPr="00AC740A" w:rsidRDefault="00B20411" w:rsidP="00B20411">
      <w:pPr>
        <w:widowControl w:val="0"/>
        <w:spacing w:before="120" w:after="120" w:line="240" w:lineRule="auto"/>
        <w:ind w:left="426"/>
        <w:jc w:val="both"/>
        <w:rPr>
          <w:rFonts w:ascii="Times New Roman" w:eastAsia="Calibri" w:hAnsi="Times New Roman" w:cs="Times New Roman"/>
        </w:rPr>
      </w:pPr>
      <w:r w:rsidRPr="00AC740A">
        <w:rPr>
          <w:rFonts w:ascii="Times New Roman" w:eastAsia="Times New Roman" w:hAnsi="Times New Roman" w:cs="Times New Roman"/>
          <w:bCs/>
        </w:rPr>
        <w:t>-</w:t>
      </w:r>
      <w:r w:rsidRPr="00AC740A">
        <w:rPr>
          <w:rFonts w:ascii="Times New Roman" w:eastAsia="Times New Roman" w:hAnsi="Times New Roman" w:cs="Times New Roman"/>
          <w:bCs/>
        </w:rPr>
        <w:tab/>
        <w:t>Knows the laws of mathematics and mechanics, has basic technical knowledge.</w:t>
      </w:r>
    </w:p>
    <w:p w:rsidR="00B20411" w:rsidRPr="0027679A" w:rsidRDefault="00B20411" w:rsidP="0027679A">
      <w:pPr>
        <w:widowControl w:val="0"/>
        <w:spacing w:before="120" w:after="0" w:line="240" w:lineRule="auto"/>
        <w:ind w:left="425"/>
        <w:jc w:val="both"/>
        <w:rPr>
          <w:rFonts w:ascii="Times New Roman" w:eastAsia="Times New Roman" w:hAnsi="Times New Roman" w:cs="Times New Roman"/>
          <w:b/>
          <w:bCs/>
        </w:rPr>
      </w:pPr>
      <w:r w:rsidRPr="0027679A">
        <w:rPr>
          <w:rFonts w:ascii="Times New Roman" w:eastAsia="Times New Roman" w:hAnsi="Times New Roman" w:cs="Times New Roman"/>
          <w:b/>
          <w:bCs/>
        </w:rPr>
        <w:t xml:space="preserve">Capabilities: </w:t>
      </w:r>
    </w:p>
    <w:p w:rsidR="00B20411" w:rsidRPr="00AC740A" w:rsidRDefault="00B20411" w:rsidP="00B20411">
      <w:pPr>
        <w:widowControl w:val="0"/>
        <w:spacing w:before="120" w:after="120" w:line="240" w:lineRule="auto"/>
        <w:ind w:left="426"/>
        <w:jc w:val="both"/>
        <w:rPr>
          <w:rFonts w:ascii="Times New Roman" w:eastAsia="Calibri" w:hAnsi="Times New Roman" w:cs="Times New Roman"/>
        </w:rPr>
      </w:pPr>
      <w:r w:rsidRPr="00AC740A">
        <w:rPr>
          <w:rFonts w:ascii="Times New Roman" w:eastAsia="Times New Roman" w:hAnsi="Times New Roman" w:cs="Times New Roman"/>
          <w:bCs/>
        </w:rPr>
        <w:t>-</w:t>
      </w:r>
      <w:r w:rsidRPr="00AC740A">
        <w:rPr>
          <w:rFonts w:ascii="Times New Roman" w:eastAsia="Times New Roman" w:hAnsi="Times New Roman" w:cs="Times New Roman"/>
          <w:bCs/>
        </w:rPr>
        <w:tab/>
        <w:t>Able to formulate innovative ideas in their field.</w:t>
      </w:r>
    </w:p>
    <w:p w:rsidR="00B20411" w:rsidRPr="0027679A" w:rsidRDefault="00B20411" w:rsidP="0027679A">
      <w:pPr>
        <w:widowControl w:val="0"/>
        <w:spacing w:before="120" w:after="0" w:line="240" w:lineRule="auto"/>
        <w:ind w:left="425"/>
        <w:jc w:val="both"/>
        <w:rPr>
          <w:rFonts w:ascii="Times New Roman" w:eastAsia="Times New Roman" w:hAnsi="Times New Roman" w:cs="Times New Roman"/>
          <w:b/>
          <w:bCs/>
        </w:rPr>
      </w:pPr>
      <w:r w:rsidRPr="0027679A">
        <w:rPr>
          <w:rFonts w:ascii="Times New Roman" w:eastAsia="Times New Roman" w:hAnsi="Times New Roman" w:cs="Times New Roman"/>
          <w:b/>
          <w:bCs/>
        </w:rPr>
        <w:t xml:space="preserve">Attitude: </w:t>
      </w:r>
    </w:p>
    <w:p w:rsidR="00B20411" w:rsidRPr="00AC740A" w:rsidRDefault="00B20411" w:rsidP="00B20411">
      <w:pPr>
        <w:widowControl w:val="0"/>
        <w:spacing w:before="120" w:after="120" w:line="240" w:lineRule="auto"/>
        <w:ind w:left="426"/>
        <w:jc w:val="both"/>
        <w:rPr>
          <w:rFonts w:ascii="Times New Roman" w:eastAsia="Calibri" w:hAnsi="Times New Roman" w:cs="Times New Roman"/>
        </w:rPr>
      </w:pPr>
      <w:r w:rsidRPr="00AC740A">
        <w:rPr>
          <w:rFonts w:ascii="Times New Roman" w:eastAsia="Times New Roman" w:hAnsi="Times New Roman" w:cs="Times New Roman"/>
          <w:bCs/>
        </w:rPr>
        <w:t>-</w:t>
      </w:r>
      <w:r w:rsidRPr="00AC740A">
        <w:rPr>
          <w:rFonts w:ascii="Times New Roman" w:eastAsia="Times New Roman" w:hAnsi="Times New Roman" w:cs="Times New Roman"/>
          <w:bCs/>
        </w:rPr>
        <w:tab/>
        <w:t>Open for the new achievements and innovations of their specialty, seeks to know, understand and apply them, and committed to continuous self-education.</w:t>
      </w:r>
    </w:p>
    <w:p w:rsidR="00B20411" w:rsidRPr="00AC740A" w:rsidRDefault="00B20411" w:rsidP="00B20411">
      <w:pPr>
        <w:widowControl w:val="0"/>
        <w:spacing w:before="120" w:after="120" w:line="240" w:lineRule="auto"/>
        <w:ind w:left="426"/>
        <w:jc w:val="both"/>
        <w:rPr>
          <w:rFonts w:ascii="Times New Roman" w:eastAsia="Times New Roman" w:hAnsi="Times New Roman" w:cs="Times New Roman"/>
          <w:lang w:val="en-GB"/>
        </w:rPr>
      </w:pPr>
      <w:r w:rsidRPr="00AC740A">
        <w:rPr>
          <w:rFonts w:ascii="Times New Roman" w:eastAsia="Times New Roman" w:hAnsi="Times New Roman" w:cs="Times New Roman"/>
          <w:b/>
          <w:lang w:val="en-GB"/>
        </w:rPr>
        <w:t xml:space="preserve">Autonomy and responsibility: </w:t>
      </w:r>
    </w:p>
    <w:p w:rsidR="00B20411" w:rsidRPr="00AC740A" w:rsidRDefault="00B20411" w:rsidP="00B20411">
      <w:pPr>
        <w:widowControl w:val="0"/>
        <w:spacing w:before="120" w:after="120" w:line="240" w:lineRule="auto"/>
        <w:ind w:left="426"/>
        <w:jc w:val="both"/>
        <w:rPr>
          <w:rFonts w:ascii="Times New Roman" w:eastAsia="Calibri" w:hAnsi="Times New Roman" w:cs="Times New Roman"/>
        </w:rPr>
      </w:pPr>
      <w:r w:rsidRPr="00AC740A">
        <w:rPr>
          <w:rFonts w:ascii="Times New Roman" w:eastAsia="Times New Roman" w:hAnsi="Times New Roman" w:cs="Times New Roman"/>
          <w:bCs/>
        </w:rPr>
        <w:t>-</w:t>
      </w:r>
      <w:r w:rsidRPr="00AC740A">
        <w:rPr>
          <w:rFonts w:ascii="Times New Roman" w:eastAsia="Times New Roman" w:hAnsi="Times New Roman" w:cs="Times New Roman"/>
          <w:bCs/>
        </w:rPr>
        <w:tab/>
        <w:t>At the subunit and unit level, it is able to make independent decisions in military logistics and military management processes, making them responsible and within the legal framework.</w:t>
      </w:r>
    </w:p>
    <w:p w:rsidR="00B20411" w:rsidRPr="00AC740A" w:rsidRDefault="00B20411" w:rsidP="00980876">
      <w:pPr>
        <w:widowControl w:val="0"/>
        <w:numPr>
          <w:ilvl w:val="0"/>
          <w:numId w:val="480"/>
        </w:numPr>
        <w:tabs>
          <w:tab w:val="num" w:pos="567"/>
        </w:tabs>
        <w:spacing w:before="120" w:after="120" w:line="240" w:lineRule="auto"/>
        <w:ind w:left="426" w:hanging="142"/>
        <w:jc w:val="both"/>
        <w:rPr>
          <w:rFonts w:ascii="Times New Roman" w:eastAsia="Times New Roman" w:hAnsi="Times New Roman" w:cs="Times New Roman"/>
          <w:bCs/>
        </w:rPr>
      </w:pPr>
      <w:r w:rsidRPr="00AC740A">
        <w:rPr>
          <w:rFonts w:ascii="Times New Roman" w:eastAsia="Times New Roman" w:hAnsi="Times New Roman" w:cs="Times New Roman"/>
          <w:b/>
          <w:bCs/>
        </w:rPr>
        <w:t xml:space="preserve">Előtanulmányi követelmények: </w:t>
      </w:r>
      <w:r>
        <w:rPr>
          <w:rFonts w:ascii="Times New Roman" w:hAnsi="Times New Roman" w:cs="Times New Roman"/>
        </w:rPr>
        <w:t>nincs</w:t>
      </w:r>
    </w:p>
    <w:p w:rsidR="00B20411" w:rsidRPr="00AC740A" w:rsidRDefault="00B20411" w:rsidP="00980876">
      <w:pPr>
        <w:widowControl w:val="0"/>
        <w:numPr>
          <w:ilvl w:val="0"/>
          <w:numId w:val="480"/>
        </w:numPr>
        <w:spacing w:before="120" w:after="120" w:line="240" w:lineRule="auto"/>
        <w:ind w:left="426" w:hanging="142"/>
        <w:jc w:val="both"/>
        <w:rPr>
          <w:rFonts w:ascii="Times New Roman" w:eastAsia="Times New Roman" w:hAnsi="Times New Roman" w:cs="Times New Roman"/>
          <w:b/>
          <w:bCs/>
        </w:rPr>
      </w:pPr>
      <w:r w:rsidRPr="00AC740A">
        <w:rPr>
          <w:rFonts w:ascii="Times New Roman" w:eastAsia="Times New Roman" w:hAnsi="Times New Roman" w:cs="Times New Roman"/>
          <w:b/>
          <w:bCs/>
        </w:rPr>
        <w:t>A tantárgy tananyagának leírása, tematika. Description of the subject, curriculum (magyarul, angolul - English):</w:t>
      </w:r>
    </w:p>
    <w:p w:rsidR="00B20411" w:rsidRPr="00AC740A" w:rsidRDefault="00B20411" w:rsidP="00980876">
      <w:pPr>
        <w:widowControl w:val="0"/>
        <w:numPr>
          <w:ilvl w:val="1"/>
          <w:numId w:val="480"/>
        </w:numPr>
        <w:tabs>
          <w:tab w:val="left" w:pos="709"/>
          <w:tab w:val="left" w:pos="993"/>
        </w:tabs>
        <w:spacing w:before="120" w:after="120" w:line="240" w:lineRule="auto"/>
        <w:ind w:left="993" w:hanging="567"/>
        <w:jc w:val="both"/>
        <w:rPr>
          <w:rFonts w:ascii="Times New Roman" w:eastAsia="Times New Roman" w:hAnsi="Times New Roman" w:cs="Times New Roman"/>
          <w:bCs/>
          <w:lang w:val="en-GB"/>
        </w:rPr>
      </w:pPr>
      <w:r w:rsidRPr="00AC740A">
        <w:rPr>
          <w:rFonts w:ascii="Times New Roman" w:eastAsia="Times New Roman" w:hAnsi="Times New Roman" w:cs="Times New Roman"/>
          <w:bCs/>
          <w:lang w:val="en-GB"/>
        </w:rPr>
        <w:t>Események és műveletek eseményekkel. (</w:t>
      </w:r>
      <w:r w:rsidRPr="00FD00F8">
        <w:rPr>
          <w:rFonts w:ascii="Times New Roman" w:eastAsia="Times New Roman" w:hAnsi="Times New Roman" w:cs="Times New Roman"/>
          <w:bCs/>
          <w:i/>
          <w:lang w:val="en-GB"/>
        </w:rPr>
        <w:t>Events and operations with events.</w:t>
      </w:r>
      <w:r w:rsidRPr="00AC740A">
        <w:rPr>
          <w:rFonts w:ascii="Times New Roman" w:eastAsia="Times New Roman" w:hAnsi="Times New Roman" w:cs="Times New Roman"/>
          <w:bCs/>
          <w:lang w:val="en-GB"/>
        </w:rPr>
        <w:t>)</w:t>
      </w:r>
    </w:p>
    <w:p w:rsidR="00B20411" w:rsidRPr="00AC740A" w:rsidRDefault="00B20411" w:rsidP="00980876">
      <w:pPr>
        <w:widowControl w:val="0"/>
        <w:numPr>
          <w:ilvl w:val="1"/>
          <w:numId w:val="480"/>
        </w:numPr>
        <w:tabs>
          <w:tab w:val="left" w:pos="709"/>
          <w:tab w:val="left" w:pos="993"/>
        </w:tabs>
        <w:spacing w:before="120" w:after="120" w:line="240" w:lineRule="auto"/>
        <w:ind w:left="993" w:hanging="567"/>
        <w:jc w:val="both"/>
        <w:rPr>
          <w:rFonts w:ascii="Times New Roman" w:eastAsia="Times New Roman" w:hAnsi="Times New Roman" w:cs="Times New Roman"/>
          <w:bCs/>
          <w:lang w:val="en-GB"/>
        </w:rPr>
      </w:pPr>
      <w:r w:rsidRPr="00AC740A">
        <w:rPr>
          <w:rFonts w:ascii="Times New Roman" w:eastAsia="Times New Roman" w:hAnsi="Times New Roman" w:cs="Times New Roman"/>
          <w:bCs/>
          <w:lang w:val="en-GB"/>
        </w:rPr>
        <w:t>Geometriai valószínűség. Kolmogorov-féle valószínűségi axiómák. Klasszikus valószínűségi mező. Mintavételek. (</w:t>
      </w:r>
      <w:r w:rsidRPr="00FD00F8">
        <w:rPr>
          <w:rFonts w:ascii="Times New Roman" w:eastAsia="Times New Roman" w:hAnsi="Times New Roman" w:cs="Times New Roman"/>
          <w:bCs/>
          <w:i/>
          <w:lang w:val="en-GB"/>
        </w:rPr>
        <w:t>Geometric probability. Kolmogorov’s axioms. Classical probability. Sampling.</w:t>
      </w:r>
      <w:r w:rsidRPr="00AC740A">
        <w:rPr>
          <w:rFonts w:ascii="Times New Roman" w:eastAsia="Times New Roman" w:hAnsi="Times New Roman" w:cs="Times New Roman"/>
          <w:bCs/>
          <w:lang w:val="en-GB"/>
        </w:rPr>
        <w:t>)</w:t>
      </w:r>
    </w:p>
    <w:p w:rsidR="00B20411" w:rsidRPr="00AC740A" w:rsidRDefault="00B20411" w:rsidP="00980876">
      <w:pPr>
        <w:widowControl w:val="0"/>
        <w:numPr>
          <w:ilvl w:val="1"/>
          <w:numId w:val="480"/>
        </w:numPr>
        <w:tabs>
          <w:tab w:val="left" w:pos="709"/>
          <w:tab w:val="left" w:pos="993"/>
        </w:tabs>
        <w:spacing w:before="120" w:after="120" w:line="240" w:lineRule="auto"/>
        <w:ind w:left="993" w:hanging="567"/>
        <w:jc w:val="both"/>
        <w:rPr>
          <w:rFonts w:ascii="Times New Roman" w:eastAsia="Times New Roman" w:hAnsi="Times New Roman" w:cs="Times New Roman"/>
          <w:bCs/>
          <w:lang w:val="en-GB"/>
        </w:rPr>
      </w:pPr>
      <w:r w:rsidRPr="00AC740A">
        <w:rPr>
          <w:rFonts w:ascii="Times New Roman" w:eastAsia="Times New Roman" w:hAnsi="Times New Roman" w:cs="Times New Roman"/>
          <w:bCs/>
          <w:lang w:val="en-GB"/>
        </w:rPr>
        <w:t>Valószínűségi változó fogalma és jellemzői. Feltételes valószínűség. (</w:t>
      </w:r>
      <w:r w:rsidRPr="00FD00F8">
        <w:rPr>
          <w:rFonts w:ascii="Times New Roman" w:eastAsia="Times New Roman" w:hAnsi="Times New Roman" w:cs="Times New Roman"/>
          <w:bCs/>
          <w:i/>
          <w:lang w:val="en-GB"/>
        </w:rPr>
        <w:t>Probability measure, definition and properties. Conditional probability.</w:t>
      </w:r>
      <w:r w:rsidRPr="00AC740A">
        <w:rPr>
          <w:rFonts w:ascii="Times New Roman" w:eastAsia="Times New Roman" w:hAnsi="Times New Roman" w:cs="Times New Roman"/>
          <w:bCs/>
          <w:lang w:val="en-GB"/>
        </w:rPr>
        <w:t>)</w:t>
      </w:r>
    </w:p>
    <w:p w:rsidR="00B20411" w:rsidRPr="00AC740A" w:rsidRDefault="00B20411" w:rsidP="00980876">
      <w:pPr>
        <w:widowControl w:val="0"/>
        <w:numPr>
          <w:ilvl w:val="1"/>
          <w:numId w:val="480"/>
        </w:numPr>
        <w:tabs>
          <w:tab w:val="left" w:pos="709"/>
          <w:tab w:val="left" w:pos="993"/>
        </w:tabs>
        <w:spacing w:before="120" w:after="120" w:line="240" w:lineRule="auto"/>
        <w:ind w:left="993" w:hanging="567"/>
        <w:jc w:val="both"/>
        <w:rPr>
          <w:rFonts w:ascii="Times New Roman" w:eastAsia="Times New Roman" w:hAnsi="Times New Roman" w:cs="Times New Roman"/>
          <w:bCs/>
          <w:lang w:val="en-GB"/>
        </w:rPr>
      </w:pPr>
      <w:r w:rsidRPr="00AC740A">
        <w:rPr>
          <w:rFonts w:ascii="Times New Roman" w:eastAsia="Times New Roman" w:hAnsi="Times New Roman" w:cs="Times New Roman"/>
          <w:bCs/>
          <w:lang w:val="en-GB"/>
        </w:rPr>
        <w:t>Várható érték és a szórás. Néhány nevezetes eloszlás. (</w:t>
      </w:r>
      <w:r w:rsidRPr="00FD00F8">
        <w:rPr>
          <w:rFonts w:ascii="Times New Roman" w:eastAsia="Times New Roman" w:hAnsi="Times New Roman" w:cs="Times New Roman"/>
          <w:bCs/>
          <w:i/>
          <w:lang w:val="en-GB"/>
        </w:rPr>
        <w:t>Mean and standard deviation. Some important probability distributions.</w:t>
      </w:r>
      <w:r w:rsidRPr="00AC740A">
        <w:rPr>
          <w:rFonts w:ascii="Times New Roman" w:eastAsia="Times New Roman" w:hAnsi="Times New Roman" w:cs="Times New Roman"/>
          <w:bCs/>
          <w:lang w:val="en-GB"/>
        </w:rPr>
        <w:t>)</w:t>
      </w:r>
    </w:p>
    <w:p w:rsidR="00B20411" w:rsidRPr="00AC740A" w:rsidRDefault="00B20411" w:rsidP="00980876">
      <w:pPr>
        <w:widowControl w:val="0"/>
        <w:numPr>
          <w:ilvl w:val="1"/>
          <w:numId w:val="480"/>
        </w:numPr>
        <w:tabs>
          <w:tab w:val="left" w:pos="709"/>
          <w:tab w:val="left" w:pos="993"/>
        </w:tabs>
        <w:spacing w:before="120" w:after="120" w:line="240" w:lineRule="auto"/>
        <w:ind w:left="993" w:hanging="567"/>
        <w:jc w:val="both"/>
        <w:rPr>
          <w:rFonts w:ascii="Times New Roman" w:eastAsia="Times New Roman" w:hAnsi="Times New Roman" w:cs="Times New Roman"/>
          <w:bCs/>
          <w:lang w:val="en-GB"/>
        </w:rPr>
      </w:pPr>
      <w:r w:rsidRPr="00AC740A">
        <w:rPr>
          <w:rFonts w:ascii="Times New Roman" w:eastAsia="Times New Roman" w:hAnsi="Times New Roman" w:cs="Times New Roman"/>
          <w:bCs/>
          <w:lang w:val="en-GB"/>
        </w:rPr>
        <w:t>Valószínűségi becslések. (</w:t>
      </w:r>
      <w:r w:rsidRPr="00FD00F8">
        <w:rPr>
          <w:rFonts w:ascii="Times New Roman" w:eastAsia="Times New Roman" w:hAnsi="Times New Roman" w:cs="Times New Roman"/>
          <w:bCs/>
          <w:i/>
          <w:lang w:val="en-GB"/>
        </w:rPr>
        <w:t>Probabilistic inequalities.</w:t>
      </w:r>
      <w:r w:rsidRPr="00AC740A">
        <w:rPr>
          <w:rFonts w:ascii="Times New Roman" w:eastAsia="Times New Roman" w:hAnsi="Times New Roman" w:cs="Times New Roman"/>
          <w:bCs/>
          <w:lang w:val="en-GB"/>
        </w:rPr>
        <w:t>)</w:t>
      </w:r>
    </w:p>
    <w:p w:rsidR="00B20411" w:rsidRPr="00AC740A" w:rsidRDefault="00B20411" w:rsidP="00980876">
      <w:pPr>
        <w:widowControl w:val="0"/>
        <w:numPr>
          <w:ilvl w:val="0"/>
          <w:numId w:val="480"/>
        </w:numPr>
        <w:tabs>
          <w:tab w:val="num" w:pos="502"/>
        </w:tabs>
        <w:spacing w:before="120" w:after="120" w:line="240" w:lineRule="auto"/>
        <w:ind w:left="426" w:hanging="142"/>
        <w:jc w:val="both"/>
        <w:rPr>
          <w:rFonts w:ascii="Times New Roman" w:eastAsia="Times New Roman" w:hAnsi="Times New Roman" w:cs="Times New Roman"/>
          <w:bCs/>
        </w:rPr>
      </w:pPr>
      <w:r w:rsidRPr="00AC740A">
        <w:rPr>
          <w:rFonts w:ascii="Times New Roman" w:eastAsia="Times New Roman" w:hAnsi="Times New Roman" w:cs="Times New Roman"/>
          <w:b/>
          <w:bCs/>
        </w:rPr>
        <w:t xml:space="preserve">A tantárgy meghirdetésének gyakorisága/a tantervben történő félévi elhelyezkedése: </w:t>
      </w:r>
      <w:r w:rsidRPr="00AC740A">
        <w:rPr>
          <w:rFonts w:ascii="Times New Roman" w:eastAsia="Times New Roman" w:hAnsi="Times New Roman" w:cs="Times New Roman"/>
          <w:b/>
          <w:bCs/>
        </w:rPr>
        <w:br/>
      </w:r>
      <w:r w:rsidRPr="00AC740A">
        <w:rPr>
          <w:rFonts w:ascii="Times New Roman" w:hAnsi="Times New Roman" w:cs="Times New Roman"/>
        </w:rPr>
        <w:t xml:space="preserve">évente / </w:t>
      </w:r>
      <w:r>
        <w:rPr>
          <w:rFonts w:ascii="Times New Roman" w:hAnsi="Times New Roman" w:cs="Times New Roman"/>
        </w:rPr>
        <w:t>5</w:t>
      </w:r>
      <w:r w:rsidRPr="00AC740A">
        <w:rPr>
          <w:rFonts w:ascii="Times New Roman" w:hAnsi="Times New Roman" w:cs="Times New Roman"/>
        </w:rPr>
        <w:t>. félév</w:t>
      </w:r>
    </w:p>
    <w:p w:rsidR="00B20411" w:rsidRPr="00AC740A" w:rsidRDefault="00B20411" w:rsidP="00980876">
      <w:pPr>
        <w:widowControl w:val="0"/>
        <w:numPr>
          <w:ilvl w:val="0"/>
          <w:numId w:val="480"/>
        </w:numPr>
        <w:spacing w:before="120" w:after="120" w:line="240" w:lineRule="auto"/>
        <w:ind w:left="426" w:hanging="142"/>
        <w:jc w:val="both"/>
        <w:rPr>
          <w:rFonts w:ascii="Times New Roman" w:eastAsia="Times New Roman" w:hAnsi="Times New Roman" w:cs="Times New Roman"/>
          <w:bCs/>
        </w:rPr>
      </w:pPr>
      <w:r w:rsidRPr="00AC740A">
        <w:rPr>
          <w:rFonts w:ascii="Times New Roman" w:eastAsia="Times New Roman" w:hAnsi="Times New Roman" w:cs="Times New Roman"/>
          <w:b/>
          <w:bCs/>
        </w:rPr>
        <w:t>A tanórákon való részvétel követelményei, az elfogadható hiányzások mértéke, a távolmaradás pótlásának lehetősége:</w:t>
      </w:r>
      <w:r w:rsidRPr="00AC740A">
        <w:rPr>
          <w:rFonts w:ascii="Times New Roman" w:eastAsia="Times New Roman" w:hAnsi="Times New Roman" w:cs="Times New Roman"/>
          <w:bCs/>
        </w:rPr>
        <w:t xml:space="preserve"> A tantárgy teljesítéséhez a tanórák legalább 70%-án jelen kell lennie a hallgatónak.</w:t>
      </w:r>
      <w:r w:rsidRPr="00D901F2">
        <w:rPr>
          <w:rFonts w:ascii="Times New Roman" w:eastAsia="Times New Roman" w:hAnsi="Times New Roman" w:cs="Times New Roman"/>
          <w:bCs/>
        </w:rPr>
        <w:t xml:space="preserve"> </w:t>
      </w:r>
      <w:r w:rsidRPr="005411A4">
        <w:rPr>
          <w:rFonts w:ascii="Times New Roman" w:eastAsia="Times New Roman" w:hAnsi="Times New Roman" w:cs="Times New Roman"/>
          <w:bCs/>
        </w:rPr>
        <w:t>Az ezt meghaladó mértékű hiányzás a féléves aláírás megtagadását vonja maga után.</w:t>
      </w:r>
      <w:r>
        <w:rPr>
          <w:rFonts w:ascii="Times New Roman" w:eastAsia="Times New Roman" w:hAnsi="Times New Roman" w:cs="Times New Roman"/>
          <w:bCs/>
        </w:rPr>
        <w:t xml:space="preserve"> </w:t>
      </w:r>
      <w:r w:rsidRPr="00AC740A">
        <w:rPr>
          <w:rFonts w:ascii="Times New Roman" w:eastAsia="Times New Roman" w:hAnsi="Times New Roman" w:cs="Times New Roman"/>
          <w:bCs/>
        </w:rPr>
        <w:t>A távollétet a hiányzást követő első foglalkozáson kell igazolnia. A hallgató köteles a mulasztott tanóra anyagát beszerezni, abból önállóan felkészülni.</w:t>
      </w:r>
    </w:p>
    <w:p w:rsidR="00B20411" w:rsidRPr="00AC740A" w:rsidRDefault="00B20411" w:rsidP="00980876">
      <w:pPr>
        <w:widowControl w:val="0"/>
        <w:numPr>
          <w:ilvl w:val="0"/>
          <w:numId w:val="480"/>
        </w:numPr>
        <w:spacing w:before="120" w:after="120" w:line="240" w:lineRule="auto"/>
        <w:ind w:left="426" w:hanging="142"/>
        <w:jc w:val="both"/>
        <w:rPr>
          <w:rFonts w:ascii="Times New Roman" w:eastAsia="Times New Roman" w:hAnsi="Times New Roman" w:cs="Times New Roman"/>
          <w:bCs/>
        </w:rPr>
      </w:pPr>
      <w:r w:rsidRPr="00AC740A">
        <w:rPr>
          <w:rFonts w:ascii="Times New Roman" w:eastAsia="Times New Roman" w:hAnsi="Times New Roman" w:cs="Times New Roman"/>
          <w:b/>
        </w:rPr>
        <w:t>Félévközi feladatok, ismeretek ellenőrzésének rendje:</w:t>
      </w:r>
      <w:r w:rsidRPr="00AC740A">
        <w:rPr>
          <w:rFonts w:ascii="Times New Roman" w:eastAsia="Times New Roman" w:hAnsi="Times New Roman" w:cs="Times New Roman"/>
          <w:bCs/>
        </w:rPr>
        <w:t xml:space="preserve"> </w:t>
      </w:r>
    </w:p>
    <w:p w:rsidR="00B20411" w:rsidRPr="00AC740A" w:rsidRDefault="00B20411" w:rsidP="00B20411">
      <w:pPr>
        <w:widowControl w:val="0"/>
        <w:spacing w:before="120" w:after="120" w:line="240" w:lineRule="auto"/>
        <w:ind w:left="426"/>
        <w:jc w:val="both"/>
        <w:rPr>
          <w:rFonts w:ascii="Times New Roman" w:eastAsia="Times New Roman" w:hAnsi="Times New Roman" w:cs="Times New Roman"/>
        </w:rPr>
      </w:pPr>
      <w:r w:rsidRPr="00AC740A">
        <w:rPr>
          <w:rFonts w:ascii="Times New Roman" w:eastAsia="Times New Roman" w:hAnsi="Times New Roman" w:cs="Times New Roman"/>
          <w:bCs/>
        </w:rPr>
        <w:t>A számonkérés a félév során egy zárthelyi dolgozat keretében történik.</w:t>
      </w:r>
    </w:p>
    <w:p w:rsidR="00B20411" w:rsidRPr="00AC740A" w:rsidRDefault="00B20411" w:rsidP="00B20411">
      <w:pPr>
        <w:widowControl w:val="0"/>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bCs/>
        </w:rPr>
        <w:t>A dolgozat</w:t>
      </w:r>
      <w:r w:rsidRPr="00AC740A">
        <w:rPr>
          <w:rFonts w:ascii="Times New Roman" w:eastAsia="Times New Roman" w:hAnsi="Times New Roman" w:cs="Times New Roman"/>
          <w:bCs/>
        </w:rPr>
        <w:t xml:space="preserve"> pótlására, javítására egyszer van lehetőség egy pótdolgozat keretében.</w:t>
      </w:r>
    </w:p>
    <w:p w:rsidR="00B20411" w:rsidRPr="00AC740A" w:rsidRDefault="00B20411" w:rsidP="00B20411">
      <w:pPr>
        <w:widowControl w:val="0"/>
        <w:spacing w:before="120" w:after="120" w:line="240" w:lineRule="auto"/>
        <w:ind w:left="426"/>
        <w:jc w:val="both"/>
        <w:rPr>
          <w:rFonts w:ascii="Times New Roman" w:eastAsia="Times New Roman" w:hAnsi="Times New Roman" w:cs="Times New Roman"/>
        </w:rPr>
      </w:pPr>
      <w:r w:rsidRPr="00AC740A">
        <w:rPr>
          <w:rFonts w:ascii="Times New Roman" w:eastAsia="Times New Roman" w:hAnsi="Times New Roman" w:cs="Times New Roman"/>
        </w:rPr>
        <w:t>Az érdemjegy megszerzéséhez a zárthelyi dolgozat pontszámának vagy a pótdolgozat pontszámának több mint 50%-a szükséges. Az elégséges érdemjegyhez a zárthelyi dolgozat pontszámának 51-60% szükséges, közepeshez 61-75%, jóhoz 76-90%, jeleshez 91-100%.</w:t>
      </w:r>
    </w:p>
    <w:p w:rsidR="00B20411" w:rsidRPr="00AC740A" w:rsidRDefault="00B20411" w:rsidP="00980876">
      <w:pPr>
        <w:widowControl w:val="0"/>
        <w:numPr>
          <w:ilvl w:val="0"/>
          <w:numId w:val="480"/>
        </w:numPr>
        <w:spacing w:before="120" w:after="120" w:line="240" w:lineRule="auto"/>
        <w:ind w:left="426" w:hanging="142"/>
        <w:jc w:val="both"/>
        <w:rPr>
          <w:rFonts w:ascii="Times New Roman" w:eastAsia="Times New Roman" w:hAnsi="Times New Roman" w:cs="Times New Roman"/>
          <w:b/>
          <w:bCs/>
        </w:rPr>
      </w:pPr>
      <w:r w:rsidRPr="00AC740A">
        <w:rPr>
          <w:rFonts w:ascii="Times New Roman" w:eastAsia="Times New Roman" w:hAnsi="Times New Roman" w:cs="Times New Roman"/>
          <w:b/>
          <w:bCs/>
        </w:rPr>
        <w:t xml:space="preserve">Az értékelés, az aláírás és a kreditek megszerzésének pontos feltételei: </w:t>
      </w:r>
    </w:p>
    <w:p w:rsidR="00B20411" w:rsidRPr="00AC740A" w:rsidRDefault="00B20411" w:rsidP="00980876">
      <w:pPr>
        <w:widowControl w:val="0"/>
        <w:numPr>
          <w:ilvl w:val="1"/>
          <w:numId w:val="480"/>
        </w:numPr>
        <w:tabs>
          <w:tab w:val="left" w:pos="709"/>
          <w:tab w:val="left" w:pos="993"/>
        </w:tabs>
        <w:spacing w:before="120" w:after="120" w:line="240" w:lineRule="auto"/>
        <w:ind w:left="425" w:firstLine="0"/>
        <w:jc w:val="both"/>
        <w:rPr>
          <w:rFonts w:ascii="Times New Roman" w:eastAsia="Times New Roman" w:hAnsi="Times New Roman" w:cs="Times New Roman"/>
        </w:rPr>
      </w:pPr>
      <w:r w:rsidRPr="00AC740A">
        <w:rPr>
          <w:rFonts w:ascii="Times New Roman" w:eastAsia="Times New Roman" w:hAnsi="Times New Roman" w:cs="Times New Roman"/>
          <w:b/>
        </w:rPr>
        <w:t>Az aláírás megszerzésének feltételei:</w:t>
      </w:r>
      <w:r w:rsidRPr="00AC740A">
        <w:rPr>
          <w:rFonts w:ascii="Times New Roman" w:eastAsia="Times New Roman" w:hAnsi="Times New Roman" w:cs="Times New Roman"/>
        </w:rPr>
        <w:t xml:space="preserve"> Az aláírás megszerzésének feltétele a 14. pontban meghatározott arányú részvétel a foglalkozásokon valamint a 15. pontban meghatározott félévközi feladatok legalább elégséges teljesítése.</w:t>
      </w:r>
    </w:p>
    <w:p w:rsidR="00B20411" w:rsidRPr="00AC740A" w:rsidRDefault="00B20411" w:rsidP="00980876">
      <w:pPr>
        <w:widowControl w:val="0"/>
        <w:numPr>
          <w:ilvl w:val="1"/>
          <w:numId w:val="480"/>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AC740A">
        <w:rPr>
          <w:rFonts w:ascii="Times New Roman" w:eastAsia="Times New Roman" w:hAnsi="Times New Roman" w:cs="Times New Roman"/>
          <w:b/>
        </w:rPr>
        <w:t>Az értékelés:</w:t>
      </w:r>
      <w:r w:rsidRPr="00AC740A">
        <w:rPr>
          <w:rFonts w:ascii="Times New Roman" w:eastAsia="Times New Roman" w:hAnsi="Times New Roman" w:cs="Times New Roman"/>
        </w:rPr>
        <w:t xml:space="preserve"> gyakorlati jegy</w:t>
      </w:r>
    </w:p>
    <w:p w:rsidR="00B20411" w:rsidRPr="00FE10AC" w:rsidRDefault="00B20411" w:rsidP="00980876">
      <w:pPr>
        <w:widowControl w:val="0"/>
        <w:numPr>
          <w:ilvl w:val="1"/>
          <w:numId w:val="480"/>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FE10AC">
        <w:rPr>
          <w:rFonts w:ascii="Times New Roman" w:eastAsia="Times New Roman" w:hAnsi="Times New Roman" w:cs="Times New Roman"/>
          <w:b/>
        </w:rPr>
        <w:t>A kreditek megszerzésének feltételei:</w:t>
      </w:r>
      <w:r w:rsidRPr="00FE10AC">
        <w:rPr>
          <w:rFonts w:ascii="Times New Roman" w:eastAsia="Times New Roman" w:hAnsi="Times New Roman" w:cs="Times New Roman"/>
        </w:rPr>
        <w:t xml:space="preserve"> A kreditek megszerzésének feltétele az aláírás megszerzése és legalább elégséges érdemjegy.</w:t>
      </w:r>
    </w:p>
    <w:p w:rsidR="00B20411" w:rsidRPr="00AC740A" w:rsidRDefault="00B20411" w:rsidP="00980876">
      <w:pPr>
        <w:widowControl w:val="0"/>
        <w:numPr>
          <w:ilvl w:val="0"/>
          <w:numId w:val="480"/>
        </w:numPr>
        <w:tabs>
          <w:tab w:val="num" w:pos="502"/>
        </w:tabs>
        <w:spacing w:before="120" w:after="120" w:line="240" w:lineRule="auto"/>
        <w:ind w:left="426" w:hanging="142"/>
        <w:jc w:val="both"/>
        <w:rPr>
          <w:rFonts w:ascii="Times New Roman" w:eastAsia="Times New Roman" w:hAnsi="Times New Roman" w:cs="Times New Roman"/>
          <w:bCs/>
        </w:rPr>
      </w:pPr>
      <w:r w:rsidRPr="00AC740A">
        <w:rPr>
          <w:rFonts w:ascii="Times New Roman" w:eastAsia="Times New Roman" w:hAnsi="Times New Roman" w:cs="Times New Roman"/>
          <w:b/>
          <w:bCs/>
        </w:rPr>
        <w:lastRenderedPageBreak/>
        <w:t>Irodalomjegyzék:</w:t>
      </w:r>
    </w:p>
    <w:p w:rsidR="00B20411" w:rsidRPr="00AC740A" w:rsidRDefault="00B20411" w:rsidP="00980876">
      <w:pPr>
        <w:widowControl w:val="0"/>
        <w:numPr>
          <w:ilvl w:val="1"/>
          <w:numId w:val="480"/>
        </w:numPr>
        <w:tabs>
          <w:tab w:val="left" w:pos="567"/>
          <w:tab w:val="left" w:pos="851"/>
        </w:tabs>
        <w:spacing w:before="120" w:after="120" w:line="240" w:lineRule="auto"/>
        <w:ind w:left="426" w:hanging="142"/>
        <w:jc w:val="both"/>
        <w:rPr>
          <w:rFonts w:ascii="Times New Roman" w:eastAsia="Times New Roman" w:hAnsi="Times New Roman" w:cs="Times New Roman"/>
          <w:bCs/>
        </w:rPr>
      </w:pPr>
      <w:r w:rsidRPr="00AC740A">
        <w:rPr>
          <w:rFonts w:ascii="Times New Roman" w:eastAsia="Times New Roman" w:hAnsi="Times New Roman" w:cs="Times New Roman"/>
          <w:b/>
          <w:bCs/>
        </w:rPr>
        <w:t>Kötelező irodalom:</w:t>
      </w:r>
    </w:p>
    <w:p w:rsidR="00B20411" w:rsidRPr="00AC740A" w:rsidRDefault="00B20411" w:rsidP="00980876">
      <w:pPr>
        <w:widowControl w:val="0"/>
        <w:numPr>
          <w:ilvl w:val="0"/>
          <w:numId w:val="481"/>
        </w:numPr>
        <w:spacing w:after="0" w:line="240" w:lineRule="auto"/>
        <w:jc w:val="both"/>
        <w:rPr>
          <w:rFonts w:ascii="Times New Roman" w:eastAsia="Times New Roman" w:hAnsi="Times New Roman" w:cs="Times New Roman"/>
        </w:rPr>
      </w:pPr>
      <w:r w:rsidRPr="00AC740A">
        <w:rPr>
          <w:rFonts w:ascii="Times New Roman" w:eastAsia="Times New Roman" w:hAnsi="Times New Roman" w:cs="Times New Roman"/>
        </w:rPr>
        <w:t xml:space="preserve">Solt György: Valószínűségszámítás. Műszaki Könyvkiadó, Budapest, </w:t>
      </w:r>
      <w:r>
        <w:rPr>
          <w:rFonts w:ascii="Times New Roman" w:eastAsia="Times New Roman" w:hAnsi="Times New Roman" w:cs="Times New Roman"/>
        </w:rPr>
        <w:t>2006</w:t>
      </w:r>
      <w:r w:rsidRPr="00AC740A">
        <w:rPr>
          <w:rFonts w:ascii="Times New Roman" w:eastAsia="Times New Roman" w:hAnsi="Times New Roman" w:cs="Times New Roman"/>
        </w:rPr>
        <w:t>. ISBN: 9631630374</w:t>
      </w:r>
    </w:p>
    <w:p w:rsidR="00B20411" w:rsidRPr="00AC740A" w:rsidRDefault="00B20411" w:rsidP="00980876">
      <w:pPr>
        <w:widowControl w:val="0"/>
        <w:numPr>
          <w:ilvl w:val="0"/>
          <w:numId w:val="481"/>
        </w:numPr>
        <w:spacing w:after="0" w:line="240" w:lineRule="auto"/>
        <w:jc w:val="both"/>
        <w:rPr>
          <w:rFonts w:ascii="Times New Roman" w:eastAsia="Times New Roman" w:hAnsi="Times New Roman" w:cs="Times New Roman"/>
        </w:rPr>
      </w:pPr>
      <w:r w:rsidRPr="00AC740A">
        <w:rPr>
          <w:rFonts w:ascii="Times New Roman" w:eastAsia="Times New Roman" w:hAnsi="Times New Roman" w:cs="Times New Roman"/>
        </w:rPr>
        <w:t>Denkinger Géza: Valószínűségszámítás. Nemzeti Tankönyvkiadó, Budapest 200</w:t>
      </w:r>
      <w:r>
        <w:rPr>
          <w:rFonts w:ascii="Times New Roman" w:eastAsia="Times New Roman" w:hAnsi="Times New Roman" w:cs="Times New Roman"/>
        </w:rPr>
        <w:t>1</w:t>
      </w:r>
      <w:r w:rsidRPr="00AC740A">
        <w:rPr>
          <w:rFonts w:ascii="Times New Roman" w:eastAsia="Times New Roman" w:hAnsi="Times New Roman" w:cs="Times New Roman"/>
        </w:rPr>
        <w:t>. ISBN: 9631923851</w:t>
      </w:r>
    </w:p>
    <w:p w:rsidR="00B20411" w:rsidRPr="00AC740A" w:rsidRDefault="00B20411" w:rsidP="00980876">
      <w:pPr>
        <w:widowControl w:val="0"/>
        <w:numPr>
          <w:ilvl w:val="1"/>
          <w:numId w:val="480"/>
        </w:numPr>
        <w:tabs>
          <w:tab w:val="num" w:pos="2069"/>
        </w:tabs>
        <w:spacing w:before="120" w:after="120" w:line="240" w:lineRule="auto"/>
        <w:ind w:left="993" w:hanging="709"/>
        <w:jc w:val="both"/>
        <w:rPr>
          <w:rFonts w:ascii="Times New Roman" w:eastAsia="Times New Roman" w:hAnsi="Times New Roman" w:cs="Times New Roman"/>
          <w:b/>
          <w:bCs/>
        </w:rPr>
      </w:pPr>
      <w:r w:rsidRPr="00AC740A">
        <w:rPr>
          <w:rFonts w:ascii="Times New Roman" w:eastAsia="Times New Roman" w:hAnsi="Times New Roman" w:cs="Times New Roman"/>
          <w:b/>
          <w:bCs/>
        </w:rPr>
        <w:t>Ajánlott irodalom:</w:t>
      </w:r>
    </w:p>
    <w:p w:rsidR="00B20411" w:rsidRPr="00AC740A" w:rsidRDefault="00B20411" w:rsidP="00980876">
      <w:pPr>
        <w:pStyle w:val="Listaszerbekezds"/>
        <w:widowControl w:val="0"/>
        <w:numPr>
          <w:ilvl w:val="0"/>
          <w:numId w:val="482"/>
        </w:numPr>
        <w:spacing w:after="0" w:line="240" w:lineRule="auto"/>
        <w:jc w:val="both"/>
        <w:rPr>
          <w:rFonts w:ascii="Times New Roman" w:eastAsia="Times New Roman" w:hAnsi="Times New Roman" w:cs="Times New Roman"/>
        </w:rPr>
      </w:pPr>
      <w:r w:rsidRPr="00AC740A">
        <w:rPr>
          <w:rFonts w:ascii="Times New Roman" w:eastAsia="Times New Roman" w:hAnsi="Times New Roman" w:cs="Times New Roman"/>
        </w:rPr>
        <w:t xml:space="preserve">Nemetz Tibor: Valószínűségszámítás. Typotex, Budapest, </w:t>
      </w:r>
      <w:r>
        <w:rPr>
          <w:rFonts w:ascii="Times New Roman" w:eastAsia="Times New Roman" w:hAnsi="Times New Roman" w:cs="Times New Roman"/>
        </w:rPr>
        <w:t>2010</w:t>
      </w:r>
      <w:r w:rsidRPr="00AC740A">
        <w:rPr>
          <w:rFonts w:ascii="Times New Roman" w:eastAsia="Times New Roman" w:hAnsi="Times New Roman" w:cs="Times New Roman"/>
        </w:rPr>
        <w:t xml:space="preserve">. ISBN: </w:t>
      </w:r>
      <w:r>
        <w:rPr>
          <w:rFonts w:ascii="Times New Roman" w:eastAsia="Times New Roman" w:hAnsi="Times New Roman" w:cs="Times New Roman"/>
        </w:rPr>
        <w:t>978963279164</w:t>
      </w:r>
      <w:r w:rsidRPr="00AC740A">
        <w:rPr>
          <w:rFonts w:ascii="Times New Roman" w:eastAsia="Times New Roman" w:hAnsi="Times New Roman" w:cs="Times New Roman"/>
        </w:rPr>
        <w:t>7</w:t>
      </w:r>
    </w:p>
    <w:p w:rsidR="00B20411" w:rsidRPr="00AC740A" w:rsidRDefault="00B20411" w:rsidP="00980876">
      <w:pPr>
        <w:pStyle w:val="Listaszerbekezds"/>
        <w:widowControl w:val="0"/>
        <w:numPr>
          <w:ilvl w:val="0"/>
          <w:numId w:val="482"/>
        </w:numPr>
        <w:spacing w:after="0" w:line="240" w:lineRule="auto"/>
        <w:jc w:val="both"/>
        <w:rPr>
          <w:rFonts w:ascii="Times New Roman" w:eastAsia="Times New Roman" w:hAnsi="Times New Roman" w:cs="Times New Roman"/>
        </w:rPr>
      </w:pPr>
      <w:r w:rsidRPr="00AC740A">
        <w:rPr>
          <w:rFonts w:ascii="Times New Roman" w:eastAsia="Times New Roman" w:hAnsi="Times New Roman" w:cs="Times New Roman"/>
        </w:rPr>
        <w:t xml:space="preserve">Reimann József, Tóth Julianna: Valószínűségszámítás és matematikai statisztika. </w:t>
      </w:r>
      <w:r>
        <w:rPr>
          <w:rFonts w:ascii="Times New Roman" w:eastAsia="Times New Roman" w:hAnsi="Times New Roman" w:cs="Times New Roman"/>
        </w:rPr>
        <w:t xml:space="preserve">Nemzeti </w:t>
      </w:r>
      <w:r w:rsidRPr="00AC740A">
        <w:rPr>
          <w:rFonts w:ascii="Times New Roman" w:eastAsia="Times New Roman" w:hAnsi="Times New Roman" w:cs="Times New Roman"/>
        </w:rPr>
        <w:t>Tankönyvkiadó, Budapest, 200</w:t>
      </w:r>
      <w:r>
        <w:rPr>
          <w:rFonts w:ascii="Times New Roman" w:eastAsia="Times New Roman" w:hAnsi="Times New Roman" w:cs="Times New Roman"/>
        </w:rPr>
        <w:t>8</w:t>
      </w:r>
      <w:r w:rsidRPr="00AC740A">
        <w:rPr>
          <w:rFonts w:ascii="Times New Roman" w:eastAsia="Times New Roman" w:hAnsi="Times New Roman" w:cs="Times New Roman"/>
        </w:rPr>
        <w:t>. ISBN: 9789631941210</w:t>
      </w:r>
    </w:p>
    <w:p w:rsidR="0027679A" w:rsidRDefault="0027679A" w:rsidP="00B20411">
      <w:pPr>
        <w:widowControl w:val="0"/>
        <w:spacing w:before="120" w:after="120" w:line="240" w:lineRule="auto"/>
        <w:jc w:val="both"/>
        <w:rPr>
          <w:rFonts w:ascii="Times New Roman" w:eastAsia="Times New Roman" w:hAnsi="Times New Roman" w:cs="Times New Roman"/>
          <w:bCs/>
        </w:rPr>
      </w:pPr>
    </w:p>
    <w:p w:rsidR="00B20411" w:rsidRDefault="00B20411" w:rsidP="00B20411">
      <w:pPr>
        <w:widowControl w:val="0"/>
        <w:spacing w:before="120" w:after="12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Budapest, 2020. </w:t>
      </w:r>
      <w:r w:rsidR="0027679A">
        <w:rPr>
          <w:rFonts w:ascii="Times New Roman" w:eastAsia="Times New Roman" w:hAnsi="Times New Roman" w:cs="Times New Roman"/>
          <w:bCs/>
        </w:rPr>
        <w:t>március</w:t>
      </w:r>
      <w:r>
        <w:rPr>
          <w:rFonts w:ascii="Times New Roman" w:eastAsia="Times New Roman" w:hAnsi="Times New Roman" w:cs="Times New Roman"/>
          <w:bCs/>
        </w:rPr>
        <w:t xml:space="preserve"> 31.</w:t>
      </w:r>
    </w:p>
    <w:p w:rsidR="00B20411" w:rsidRPr="00AC740A" w:rsidRDefault="00B20411" w:rsidP="00B20411">
      <w:pPr>
        <w:widowControl w:val="0"/>
        <w:spacing w:before="120" w:after="120" w:line="240" w:lineRule="auto"/>
        <w:jc w:val="both"/>
        <w:rPr>
          <w:rFonts w:ascii="Times New Roman" w:eastAsia="Times New Roman" w:hAnsi="Times New Roman" w:cs="Times New Roman"/>
          <w:bCs/>
        </w:rPr>
      </w:pPr>
    </w:p>
    <w:p w:rsidR="00B20411" w:rsidRPr="00AC740A" w:rsidRDefault="00B20411" w:rsidP="00B20411">
      <w:pPr>
        <w:widowControl w:val="0"/>
        <w:spacing w:after="0" w:line="240" w:lineRule="auto"/>
        <w:jc w:val="right"/>
        <w:rPr>
          <w:rFonts w:ascii="Times New Roman" w:eastAsia="Times New Roman" w:hAnsi="Times New Roman" w:cs="Times New Roman"/>
          <w:bCs/>
        </w:rPr>
      </w:pPr>
      <w:r w:rsidRPr="00AC740A">
        <w:rPr>
          <w:rFonts w:ascii="Times New Roman" w:eastAsia="Times New Roman" w:hAnsi="Times New Roman" w:cs="Times New Roman"/>
          <w:bCs/>
        </w:rPr>
        <w:t xml:space="preserve">Dr. Tóth Bence, PhD </w:t>
      </w:r>
    </w:p>
    <w:p w:rsidR="00B20411" w:rsidRPr="00AC740A" w:rsidRDefault="00B20411" w:rsidP="00B20411">
      <w:pPr>
        <w:widowControl w:val="0"/>
        <w:spacing w:after="0" w:line="240" w:lineRule="auto"/>
        <w:jc w:val="right"/>
        <w:rPr>
          <w:rFonts w:ascii="Times New Roman" w:eastAsia="Times New Roman" w:hAnsi="Times New Roman" w:cs="Times New Roman"/>
          <w:bCs/>
        </w:rPr>
      </w:pPr>
      <w:r w:rsidRPr="00AC740A">
        <w:rPr>
          <w:rFonts w:ascii="Times New Roman" w:eastAsia="Times New Roman" w:hAnsi="Times New Roman" w:cs="Times New Roman"/>
          <w:bCs/>
        </w:rPr>
        <w:t>adjunktus, sk.</w:t>
      </w:r>
    </w:p>
    <w:p w:rsidR="0027679A" w:rsidRDefault="0027679A">
      <w:pPr>
        <w:spacing w:after="200" w:line="276" w:lineRule="auto"/>
        <w:rPr>
          <w:rFonts w:ascii="Times New Roman" w:hAnsi="Times New Roman" w:cs="Times New Roman"/>
          <w:sz w:val="24"/>
        </w:rPr>
      </w:pPr>
      <w:r>
        <w:rPr>
          <w:rFonts w:ascii="Times New Roman" w:hAnsi="Times New Roman" w:cs="Times New Roman"/>
          <w:sz w:val="24"/>
        </w:rPr>
        <w:br w:type="page"/>
      </w:r>
    </w:p>
    <w:tbl>
      <w:tblPr>
        <w:tblW w:w="10024" w:type="dxa"/>
        <w:tblInd w:w="113" w:type="dxa"/>
        <w:tblLook w:val="01E0" w:firstRow="1" w:lastRow="1" w:firstColumn="1" w:lastColumn="1" w:noHBand="0" w:noVBand="0"/>
      </w:tblPr>
      <w:tblGrid>
        <w:gridCol w:w="5807"/>
        <w:gridCol w:w="1620"/>
        <w:gridCol w:w="2597"/>
      </w:tblGrid>
      <w:tr w:rsidR="00782188" w:rsidRPr="00675535" w:rsidTr="00F8748C">
        <w:tc>
          <w:tcPr>
            <w:tcW w:w="5807" w:type="dxa"/>
            <w:tcBorders>
              <w:bottom w:val="single" w:sz="4" w:space="0" w:color="auto"/>
            </w:tcBorders>
          </w:tcPr>
          <w:p w:rsidR="00782188" w:rsidRPr="00675535" w:rsidRDefault="00782188" w:rsidP="00F8748C">
            <w:pPr>
              <w:spacing w:after="0" w:line="240" w:lineRule="auto"/>
              <w:jc w:val="center"/>
              <w:rPr>
                <w:rFonts w:ascii="Times New Roman" w:eastAsia="Times New Roman" w:hAnsi="Times New Roman"/>
                <w:b/>
                <w:smallCaps/>
                <w:lang w:eastAsia="hu-HU"/>
              </w:rPr>
            </w:pPr>
            <w:r w:rsidRPr="00675535">
              <w:rPr>
                <w:rFonts w:ascii="Times New Roman" w:eastAsia="Times New Roman" w:hAnsi="Times New Roman"/>
                <w:b/>
                <w:smallCaps/>
                <w:lang w:eastAsia="hu-HU"/>
              </w:rPr>
              <w:lastRenderedPageBreak/>
              <w:t>Nemzeti Közszolgálati Egyetem</w:t>
            </w:r>
          </w:p>
        </w:tc>
        <w:tc>
          <w:tcPr>
            <w:tcW w:w="1620" w:type="dxa"/>
          </w:tcPr>
          <w:p w:rsidR="00782188" w:rsidRPr="00675535" w:rsidRDefault="00782188" w:rsidP="00F8748C">
            <w:pPr>
              <w:spacing w:after="0" w:line="240" w:lineRule="auto"/>
              <w:jc w:val="both"/>
              <w:rPr>
                <w:rFonts w:ascii="Times New Roman" w:eastAsia="Times New Roman" w:hAnsi="Times New Roman"/>
                <w:lang w:eastAsia="hu-HU"/>
              </w:rPr>
            </w:pPr>
          </w:p>
        </w:tc>
        <w:tc>
          <w:tcPr>
            <w:tcW w:w="2597" w:type="dxa"/>
          </w:tcPr>
          <w:p w:rsidR="00782188" w:rsidRPr="00675535" w:rsidRDefault="00782188" w:rsidP="00F8748C">
            <w:pPr>
              <w:spacing w:after="0" w:line="240" w:lineRule="auto"/>
              <w:jc w:val="right"/>
              <w:rPr>
                <w:rFonts w:ascii="Times New Roman" w:eastAsia="Times New Roman" w:hAnsi="Times New Roman"/>
                <w:lang w:eastAsia="hu-HU"/>
              </w:rPr>
            </w:pPr>
          </w:p>
        </w:tc>
      </w:tr>
      <w:tr w:rsidR="00782188" w:rsidRPr="00675535" w:rsidTr="00F8748C">
        <w:trPr>
          <w:trHeight w:val="173"/>
        </w:trPr>
        <w:tc>
          <w:tcPr>
            <w:tcW w:w="5807" w:type="dxa"/>
            <w:tcBorders>
              <w:top w:val="single" w:sz="4" w:space="0" w:color="auto"/>
            </w:tcBorders>
          </w:tcPr>
          <w:p w:rsidR="00782188" w:rsidRPr="00675535" w:rsidRDefault="00782188" w:rsidP="00F8748C">
            <w:pPr>
              <w:spacing w:after="0" w:line="240" w:lineRule="auto"/>
              <w:jc w:val="center"/>
              <w:rPr>
                <w:rFonts w:ascii="Times New Roman" w:eastAsia="Times New Roman" w:hAnsi="Times New Roman"/>
                <w:b/>
                <w:lang w:eastAsia="hu-HU"/>
              </w:rPr>
            </w:pPr>
            <w:r w:rsidRPr="00675535">
              <w:rPr>
                <w:rFonts w:ascii="Times New Roman" w:eastAsia="Times New Roman" w:hAnsi="Times New Roman"/>
                <w:b/>
                <w:lang w:eastAsia="hu-HU"/>
              </w:rPr>
              <w:t>Hadtudományi és Honvédtisztképző Kar</w:t>
            </w:r>
          </w:p>
        </w:tc>
        <w:tc>
          <w:tcPr>
            <w:tcW w:w="1620" w:type="dxa"/>
          </w:tcPr>
          <w:p w:rsidR="00782188" w:rsidRPr="00675535" w:rsidRDefault="00782188" w:rsidP="00F8748C">
            <w:pPr>
              <w:spacing w:after="0" w:line="240" w:lineRule="auto"/>
              <w:jc w:val="both"/>
              <w:rPr>
                <w:rFonts w:ascii="Times New Roman" w:eastAsia="Times New Roman" w:hAnsi="Times New Roman"/>
                <w:lang w:eastAsia="hu-HU"/>
              </w:rPr>
            </w:pPr>
          </w:p>
        </w:tc>
        <w:tc>
          <w:tcPr>
            <w:tcW w:w="2597" w:type="dxa"/>
          </w:tcPr>
          <w:p w:rsidR="00782188" w:rsidRPr="00675535" w:rsidRDefault="00782188" w:rsidP="00F8748C">
            <w:pPr>
              <w:spacing w:after="0" w:line="240" w:lineRule="auto"/>
              <w:jc w:val="both"/>
              <w:rPr>
                <w:rFonts w:ascii="Times New Roman" w:eastAsia="Times New Roman" w:hAnsi="Times New Roman"/>
                <w:lang w:eastAsia="hu-HU"/>
              </w:rPr>
            </w:pPr>
          </w:p>
        </w:tc>
      </w:tr>
    </w:tbl>
    <w:p w:rsidR="00782188" w:rsidRPr="00675535" w:rsidRDefault="00782188" w:rsidP="00782188">
      <w:pPr>
        <w:widowControl w:val="0"/>
        <w:spacing w:before="120" w:after="120" w:line="240" w:lineRule="auto"/>
        <w:ind w:left="426" w:hanging="142"/>
        <w:jc w:val="center"/>
        <w:rPr>
          <w:rFonts w:ascii="Times New Roman" w:eastAsia="Times New Roman" w:hAnsi="Times New Roman"/>
          <w:b/>
          <w:bCs/>
        </w:rPr>
      </w:pPr>
    </w:p>
    <w:p w:rsidR="00782188" w:rsidRPr="00675535" w:rsidRDefault="00782188" w:rsidP="00782188">
      <w:pPr>
        <w:widowControl w:val="0"/>
        <w:spacing w:before="120" w:after="120" w:line="240" w:lineRule="auto"/>
        <w:ind w:left="426" w:hanging="142"/>
        <w:jc w:val="center"/>
        <w:rPr>
          <w:rFonts w:ascii="Times New Roman" w:eastAsia="Times New Roman" w:hAnsi="Times New Roman"/>
          <w:b/>
          <w:bCs/>
        </w:rPr>
      </w:pPr>
      <w:r w:rsidRPr="00675535">
        <w:rPr>
          <w:rFonts w:ascii="Times New Roman" w:eastAsia="Times New Roman" w:hAnsi="Times New Roman"/>
          <w:b/>
          <w:bCs/>
        </w:rPr>
        <w:t>TANTÁRGYI PROGRAM</w:t>
      </w:r>
    </w:p>
    <w:p w:rsidR="00782188" w:rsidRPr="00675535" w:rsidRDefault="00782188" w:rsidP="00782188">
      <w:pPr>
        <w:widowControl w:val="0"/>
        <w:spacing w:before="120" w:after="120" w:line="240" w:lineRule="auto"/>
        <w:ind w:left="426" w:hanging="142"/>
        <w:jc w:val="center"/>
        <w:rPr>
          <w:rFonts w:ascii="Times New Roman" w:eastAsia="Times New Roman" w:hAnsi="Times New Roman"/>
          <w:b/>
          <w:bCs/>
        </w:rPr>
      </w:pPr>
    </w:p>
    <w:p w:rsidR="00782188" w:rsidRPr="00C506B1" w:rsidRDefault="00782188" w:rsidP="00980876">
      <w:pPr>
        <w:widowControl w:val="0"/>
        <w:numPr>
          <w:ilvl w:val="0"/>
          <w:numId w:val="512"/>
        </w:numPr>
        <w:tabs>
          <w:tab w:val="num" w:pos="567"/>
        </w:tabs>
        <w:spacing w:before="120" w:after="120" w:line="240" w:lineRule="auto"/>
        <w:ind w:left="426" w:hanging="142"/>
        <w:jc w:val="both"/>
        <w:rPr>
          <w:rFonts w:ascii="Times New Roman" w:eastAsia="Times New Roman" w:hAnsi="Times New Roman"/>
          <w:b/>
          <w:bCs/>
        </w:rPr>
      </w:pPr>
      <w:r w:rsidRPr="00675535">
        <w:rPr>
          <w:rFonts w:ascii="Times New Roman" w:eastAsia="Times New Roman" w:hAnsi="Times New Roman"/>
          <w:b/>
          <w:bCs/>
        </w:rPr>
        <w:t xml:space="preserve">A tantárgy kódja: </w:t>
      </w:r>
      <w:r w:rsidRPr="0055665D">
        <w:rPr>
          <w:rFonts w:ascii="Times New Roman" w:eastAsia="Times New Roman" w:hAnsi="Times New Roman"/>
          <w:bCs/>
        </w:rPr>
        <w:t>HKKVKA102</w:t>
      </w:r>
    </w:p>
    <w:p w:rsidR="00782188" w:rsidRPr="00675535" w:rsidRDefault="00782188" w:rsidP="00980876">
      <w:pPr>
        <w:widowControl w:val="0"/>
        <w:numPr>
          <w:ilvl w:val="0"/>
          <w:numId w:val="512"/>
        </w:numPr>
        <w:tabs>
          <w:tab w:val="num" w:pos="567"/>
        </w:tabs>
        <w:spacing w:before="120" w:after="120" w:line="240" w:lineRule="auto"/>
        <w:ind w:left="426" w:hanging="142"/>
        <w:jc w:val="both"/>
        <w:rPr>
          <w:rFonts w:ascii="Times New Roman" w:eastAsia="Times New Roman" w:hAnsi="Times New Roman"/>
          <w:b/>
          <w:bCs/>
          <w:lang w:val="en-GB"/>
        </w:rPr>
      </w:pPr>
      <w:r w:rsidRPr="00675535">
        <w:rPr>
          <w:rFonts w:ascii="Times New Roman" w:eastAsia="Times New Roman" w:hAnsi="Times New Roman"/>
          <w:b/>
          <w:bCs/>
        </w:rPr>
        <w:t>A tantárgy megnevezése (magyarul):</w:t>
      </w:r>
      <w:r w:rsidRPr="00675535">
        <w:rPr>
          <w:rFonts w:ascii="Times New Roman" w:eastAsia="Times New Roman" w:hAnsi="Times New Roman"/>
          <w:bCs/>
          <w:lang w:eastAsia="hu-HU"/>
        </w:rPr>
        <w:t xml:space="preserve"> </w:t>
      </w:r>
      <w:r w:rsidR="00237F42">
        <w:rPr>
          <w:rFonts w:ascii="Times New Roman" w:eastAsia="Times New Roman" w:hAnsi="Times New Roman"/>
          <w:bCs/>
          <w:lang w:eastAsia="hu-HU"/>
        </w:rPr>
        <w:t>Humán-</w:t>
      </w:r>
      <w:r w:rsidRPr="000C2EA9">
        <w:rPr>
          <w:rFonts w:ascii="Times New Roman" w:eastAsia="Times New Roman" w:hAnsi="Times New Roman"/>
          <w:bCs/>
          <w:lang w:eastAsia="hu-HU"/>
        </w:rPr>
        <w:t xml:space="preserve">erőforrás </w:t>
      </w:r>
      <w:r>
        <w:rPr>
          <w:rFonts w:ascii="Times New Roman" w:eastAsia="Times New Roman" w:hAnsi="Times New Roman"/>
          <w:bCs/>
          <w:lang w:eastAsia="hu-HU"/>
        </w:rPr>
        <w:t>m</w:t>
      </w:r>
      <w:r w:rsidRPr="000C2EA9">
        <w:rPr>
          <w:rFonts w:ascii="Times New Roman" w:eastAsia="Times New Roman" w:hAnsi="Times New Roman"/>
          <w:bCs/>
          <w:lang w:eastAsia="hu-HU"/>
        </w:rPr>
        <w:t>enedzsment</w:t>
      </w:r>
    </w:p>
    <w:p w:rsidR="00782188" w:rsidRPr="00675535" w:rsidRDefault="00782188" w:rsidP="00980876">
      <w:pPr>
        <w:widowControl w:val="0"/>
        <w:numPr>
          <w:ilvl w:val="0"/>
          <w:numId w:val="512"/>
        </w:numPr>
        <w:tabs>
          <w:tab w:val="num" w:pos="567"/>
        </w:tabs>
        <w:spacing w:before="120" w:after="120" w:line="240" w:lineRule="auto"/>
        <w:ind w:left="426" w:hanging="142"/>
        <w:jc w:val="both"/>
        <w:rPr>
          <w:rFonts w:ascii="Times New Roman" w:eastAsia="Times New Roman" w:hAnsi="Times New Roman"/>
          <w:b/>
          <w:bCs/>
          <w:lang w:val="en-GB"/>
        </w:rPr>
      </w:pPr>
      <w:r w:rsidRPr="00675535">
        <w:rPr>
          <w:rFonts w:ascii="Times New Roman" w:eastAsia="Times New Roman" w:hAnsi="Times New Roman"/>
          <w:b/>
          <w:bCs/>
        </w:rPr>
        <w:t>A tantárgy megnevezése (angolul):</w:t>
      </w:r>
      <w:r w:rsidRPr="00675535">
        <w:rPr>
          <w:rFonts w:ascii="Times New Roman" w:eastAsia="Times New Roman" w:hAnsi="Times New Roman"/>
          <w:bCs/>
          <w:lang w:eastAsia="hu-HU"/>
        </w:rPr>
        <w:t xml:space="preserve"> </w:t>
      </w:r>
      <w:r w:rsidRPr="000C2EA9">
        <w:rPr>
          <w:rFonts w:ascii="Times New Roman" w:eastAsia="Times New Roman" w:hAnsi="Times New Roman"/>
          <w:bCs/>
          <w:lang w:val="en" w:eastAsia="hu-HU"/>
        </w:rPr>
        <w:t>Human Resource Managemen</w:t>
      </w:r>
      <w:r>
        <w:rPr>
          <w:rFonts w:ascii="Times New Roman" w:eastAsia="Times New Roman" w:hAnsi="Times New Roman"/>
          <w:bCs/>
          <w:lang w:val="en" w:eastAsia="hu-HU"/>
        </w:rPr>
        <w:t>t</w:t>
      </w:r>
    </w:p>
    <w:p w:rsidR="00782188" w:rsidRPr="00675535" w:rsidRDefault="00782188" w:rsidP="00980876">
      <w:pPr>
        <w:widowControl w:val="0"/>
        <w:numPr>
          <w:ilvl w:val="0"/>
          <w:numId w:val="512"/>
        </w:numPr>
        <w:tabs>
          <w:tab w:val="num" w:pos="567"/>
        </w:tabs>
        <w:spacing w:before="120" w:after="120" w:line="240" w:lineRule="auto"/>
        <w:ind w:left="426" w:hanging="142"/>
        <w:jc w:val="both"/>
        <w:rPr>
          <w:rFonts w:ascii="Times New Roman" w:eastAsia="Times New Roman" w:hAnsi="Times New Roman"/>
          <w:b/>
          <w:bCs/>
        </w:rPr>
      </w:pPr>
      <w:r w:rsidRPr="00675535">
        <w:rPr>
          <w:rFonts w:ascii="Times New Roman" w:eastAsia="Times New Roman" w:hAnsi="Times New Roman"/>
          <w:b/>
          <w:bCs/>
        </w:rPr>
        <w:t xml:space="preserve">Kreditérték és képzési karakter: </w:t>
      </w:r>
    </w:p>
    <w:p w:rsidR="00782188" w:rsidRPr="00675535" w:rsidRDefault="00782188" w:rsidP="00980876">
      <w:pPr>
        <w:pStyle w:val="Listaszerbekezds"/>
        <w:widowControl w:val="0"/>
        <w:numPr>
          <w:ilvl w:val="1"/>
          <w:numId w:val="512"/>
        </w:numPr>
        <w:tabs>
          <w:tab w:val="clear" w:pos="3977"/>
          <w:tab w:val="num" w:pos="1141"/>
        </w:tabs>
        <w:spacing w:before="120" w:after="120" w:line="240" w:lineRule="auto"/>
        <w:ind w:left="993" w:hanging="426"/>
        <w:jc w:val="both"/>
        <w:rPr>
          <w:rFonts w:ascii="Times New Roman" w:eastAsia="Times New Roman" w:hAnsi="Times New Roman"/>
          <w:b/>
          <w:bCs/>
        </w:rPr>
      </w:pPr>
      <w:r>
        <w:rPr>
          <w:rFonts w:ascii="Times New Roman" w:eastAsia="Times New Roman" w:hAnsi="Times New Roman"/>
          <w:bCs/>
          <w:lang w:eastAsia="hu-HU"/>
        </w:rPr>
        <w:t>2</w:t>
      </w:r>
      <w:r w:rsidRPr="00675535">
        <w:rPr>
          <w:rFonts w:ascii="Times New Roman" w:eastAsia="Times New Roman" w:hAnsi="Times New Roman"/>
          <w:bCs/>
          <w:lang w:eastAsia="hu-HU"/>
        </w:rPr>
        <w:t xml:space="preserve"> </w:t>
      </w:r>
      <w:r w:rsidRPr="00675535">
        <w:rPr>
          <w:rFonts w:ascii="Times New Roman" w:eastAsia="Times New Roman" w:hAnsi="Times New Roman"/>
          <w:bCs/>
        </w:rPr>
        <w:t>kredit</w:t>
      </w:r>
    </w:p>
    <w:p w:rsidR="00782188" w:rsidRPr="00675535" w:rsidRDefault="00782188" w:rsidP="00980876">
      <w:pPr>
        <w:pStyle w:val="Listaszerbekezds"/>
        <w:widowControl w:val="0"/>
        <w:numPr>
          <w:ilvl w:val="1"/>
          <w:numId w:val="512"/>
        </w:numPr>
        <w:tabs>
          <w:tab w:val="clear" w:pos="3977"/>
          <w:tab w:val="num" w:pos="1141"/>
        </w:tabs>
        <w:spacing w:before="120" w:after="120" w:line="240" w:lineRule="auto"/>
        <w:ind w:left="993" w:hanging="426"/>
        <w:jc w:val="both"/>
        <w:rPr>
          <w:rFonts w:ascii="Times New Roman" w:eastAsia="Times New Roman" w:hAnsi="Times New Roman"/>
          <w:b/>
          <w:bCs/>
        </w:rPr>
      </w:pPr>
      <w:r w:rsidRPr="00675535">
        <w:rPr>
          <w:rFonts w:ascii="Times New Roman" w:eastAsia="Times New Roman" w:hAnsi="Times New Roman"/>
          <w:bCs/>
        </w:rPr>
        <w:t xml:space="preserve">a tantárgy elméleti vagy gyakorlati jellegének mértéke: </w:t>
      </w:r>
      <w:r w:rsidRPr="00C51058">
        <w:rPr>
          <w:rFonts w:ascii="Times New Roman" w:eastAsia="Times New Roman" w:hAnsi="Times New Roman"/>
          <w:bCs/>
        </w:rPr>
        <w:t xml:space="preserve">0% gyakorlat, </w:t>
      </w:r>
      <w:r>
        <w:rPr>
          <w:rFonts w:ascii="Times New Roman" w:eastAsia="Times New Roman" w:hAnsi="Times New Roman"/>
          <w:bCs/>
        </w:rPr>
        <w:t>10</w:t>
      </w:r>
      <w:r w:rsidRPr="00C51058">
        <w:rPr>
          <w:rFonts w:ascii="Times New Roman" w:eastAsia="Times New Roman" w:hAnsi="Times New Roman"/>
          <w:bCs/>
        </w:rPr>
        <w:t>0% elmélet</w:t>
      </w:r>
    </w:p>
    <w:p w:rsidR="00782188" w:rsidRPr="00675535" w:rsidRDefault="00782188" w:rsidP="00980876">
      <w:pPr>
        <w:widowControl w:val="0"/>
        <w:numPr>
          <w:ilvl w:val="0"/>
          <w:numId w:val="512"/>
        </w:numPr>
        <w:tabs>
          <w:tab w:val="clear" w:pos="720"/>
          <w:tab w:val="num" w:pos="567"/>
        </w:tabs>
        <w:spacing w:before="120" w:after="120" w:line="240" w:lineRule="auto"/>
        <w:ind w:left="426" w:hanging="142"/>
        <w:jc w:val="both"/>
        <w:rPr>
          <w:rFonts w:ascii="Times New Roman" w:eastAsia="Times New Roman" w:hAnsi="Times New Roman"/>
          <w:bCs/>
        </w:rPr>
      </w:pPr>
      <w:r w:rsidRPr="00675535">
        <w:rPr>
          <w:rFonts w:ascii="Times New Roman" w:eastAsia="Times New Roman" w:hAnsi="Times New Roman"/>
          <w:b/>
          <w:bCs/>
        </w:rPr>
        <w:t xml:space="preserve">A szak(ok), szakirányok/specializációk megnevezése (ahol oktatják): </w:t>
      </w:r>
      <w:r w:rsidRPr="00037CC4">
        <w:rPr>
          <w:rFonts w:ascii="Times New Roman" w:eastAsia="Times New Roman" w:hAnsi="Times New Roman"/>
          <w:bCs/>
        </w:rPr>
        <w:t>NKE HHK</w:t>
      </w:r>
      <w:r w:rsidRPr="00D9169A">
        <w:rPr>
          <w:rFonts w:ascii="Times New Roman" w:eastAsia="Times New Roman" w:hAnsi="Times New Roman"/>
          <w:b/>
          <w:bCs/>
        </w:rPr>
        <w:t xml:space="preserve"> </w:t>
      </w:r>
      <w:r w:rsidRPr="0055131F">
        <w:rPr>
          <w:rFonts w:ascii="Times New Roman" w:eastAsia="Times New Roman" w:hAnsi="Times New Roman"/>
          <w:bCs/>
        </w:rPr>
        <w:t>Katonai logisztikai alapképzési szak, Katonai pénzügyi specializáció</w:t>
      </w:r>
    </w:p>
    <w:p w:rsidR="00782188" w:rsidRPr="00675535" w:rsidRDefault="00782188" w:rsidP="00980876">
      <w:pPr>
        <w:widowControl w:val="0"/>
        <w:numPr>
          <w:ilvl w:val="0"/>
          <w:numId w:val="512"/>
        </w:numPr>
        <w:tabs>
          <w:tab w:val="num" w:pos="567"/>
        </w:tabs>
        <w:spacing w:before="120" w:after="120" w:line="240" w:lineRule="auto"/>
        <w:ind w:left="426" w:hanging="142"/>
        <w:jc w:val="both"/>
        <w:rPr>
          <w:rFonts w:ascii="Times New Roman" w:eastAsia="Times New Roman" w:hAnsi="Times New Roman"/>
          <w:bCs/>
        </w:rPr>
      </w:pPr>
      <w:r w:rsidRPr="00675535">
        <w:rPr>
          <w:rFonts w:ascii="Times New Roman" w:eastAsia="Times New Roman" w:hAnsi="Times New Roman"/>
          <w:b/>
          <w:bCs/>
        </w:rPr>
        <w:t xml:space="preserve">Az oktatásért felelős oktatási szervezeti egység megnevezése: </w:t>
      </w:r>
      <w:r w:rsidRPr="00675535">
        <w:rPr>
          <w:rFonts w:ascii="Times New Roman" w:eastAsia="Times New Roman" w:hAnsi="Times New Roman"/>
          <w:bCs/>
        </w:rPr>
        <w:t>NKE</w:t>
      </w:r>
      <w:r w:rsidRPr="00675535">
        <w:rPr>
          <w:rFonts w:ascii="Times New Roman" w:eastAsia="Times New Roman" w:hAnsi="Times New Roman"/>
          <w:b/>
          <w:bCs/>
        </w:rPr>
        <w:t xml:space="preserve"> </w:t>
      </w:r>
      <w:r w:rsidRPr="00675535">
        <w:rPr>
          <w:rFonts w:ascii="Times New Roman" w:eastAsia="Times New Roman" w:hAnsi="Times New Roman"/>
          <w:bCs/>
          <w:lang w:eastAsia="hu-HU"/>
        </w:rPr>
        <w:t>HHK Katonai Vezetéstudományi és Közismereti Tanszék</w:t>
      </w:r>
    </w:p>
    <w:p w:rsidR="00782188" w:rsidRPr="00675535" w:rsidRDefault="00782188" w:rsidP="00980876">
      <w:pPr>
        <w:widowControl w:val="0"/>
        <w:numPr>
          <w:ilvl w:val="0"/>
          <w:numId w:val="512"/>
        </w:numPr>
        <w:tabs>
          <w:tab w:val="num" w:pos="567"/>
        </w:tabs>
        <w:spacing w:before="120" w:after="120" w:line="240" w:lineRule="auto"/>
        <w:ind w:left="426" w:hanging="142"/>
        <w:jc w:val="both"/>
        <w:rPr>
          <w:rFonts w:ascii="Times New Roman" w:eastAsia="Times New Roman" w:hAnsi="Times New Roman"/>
          <w:bCs/>
        </w:rPr>
      </w:pPr>
      <w:r w:rsidRPr="00675535">
        <w:rPr>
          <w:rFonts w:ascii="Times New Roman" w:eastAsia="Times New Roman" w:hAnsi="Times New Roman"/>
          <w:b/>
          <w:bCs/>
        </w:rPr>
        <w:t>A tantárgyfelelős oktató neve, beosztása, tudományos fokozata:</w:t>
      </w:r>
      <w:r w:rsidRPr="00675535">
        <w:rPr>
          <w:rFonts w:ascii="Times New Roman" w:eastAsia="Times New Roman" w:hAnsi="Times New Roman"/>
          <w:bCs/>
        </w:rPr>
        <w:t xml:space="preserve"> </w:t>
      </w:r>
      <w:r w:rsidRPr="00C51058">
        <w:rPr>
          <w:rFonts w:ascii="Times New Roman" w:eastAsia="Times New Roman" w:hAnsi="Times New Roman"/>
          <w:bCs/>
          <w:lang w:eastAsia="hu-HU"/>
        </w:rPr>
        <w:t xml:space="preserve">Dr. </w:t>
      </w:r>
      <w:r>
        <w:rPr>
          <w:rFonts w:ascii="Times New Roman" w:eastAsia="Times New Roman" w:hAnsi="Times New Roman"/>
          <w:bCs/>
          <w:lang w:eastAsia="hu-HU"/>
        </w:rPr>
        <w:t xml:space="preserve">Hegedűs Henrik, </w:t>
      </w:r>
      <w:r w:rsidRPr="00C51058">
        <w:rPr>
          <w:rFonts w:ascii="Times New Roman" w:eastAsia="Times New Roman" w:hAnsi="Times New Roman"/>
          <w:bCs/>
          <w:lang w:eastAsia="hu-HU"/>
        </w:rPr>
        <w:t>PhD</w:t>
      </w:r>
    </w:p>
    <w:p w:rsidR="00782188" w:rsidRPr="00C506B1" w:rsidRDefault="00782188" w:rsidP="00980876">
      <w:pPr>
        <w:widowControl w:val="0"/>
        <w:numPr>
          <w:ilvl w:val="0"/>
          <w:numId w:val="512"/>
        </w:numPr>
        <w:tabs>
          <w:tab w:val="num" w:pos="567"/>
        </w:tabs>
        <w:spacing w:before="120" w:after="120" w:line="240" w:lineRule="auto"/>
        <w:ind w:left="426" w:hanging="142"/>
        <w:jc w:val="both"/>
        <w:rPr>
          <w:rFonts w:ascii="Times New Roman" w:eastAsia="Times New Roman" w:hAnsi="Times New Roman"/>
          <w:b/>
          <w:bCs/>
        </w:rPr>
      </w:pPr>
      <w:r w:rsidRPr="00675535">
        <w:rPr>
          <w:rFonts w:ascii="Times New Roman" w:eastAsia="Times New Roman" w:hAnsi="Times New Roman"/>
          <w:b/>
          <w:bCs/>
        </w:rPr>
        <w:t>A tanórák száma és típusa</w:t>
      </w:r>
    </w:p>
    <w:p w:rsidR="00782188" w:rsidRPr="00675535" w:rsidRDefault="00782188" w:rsidP="00980876">
      <w:pPr>
        <w:widowControl w:val="0"/>
        <w:numPr>
          <w:ilvl w:val="1"/>
          <w:numId w:val="512"/>
        </w:numPr>
        <w:tabs>
          <w:tab w:val="clear" w:pos="3977"/>
          <w:tab w:val="num" w:pos="709"/>
          <w:tab w:val="num" w:pos="1141"/>
        </w:tabs>
        <w:spacing w:after="0" w:line="240" w:lineRule="auto"/>
        <w:ind w:left="851" w:hanging="425"/>
        <w:jc w:val="both"/>
        <w:rPr>
          <w:rFonts w:ascii="Times New Roman" w:eastAsia="Times New Roman" w:hAnsi="Times New Roman"/>
          <w:bCs/>
        </w:rPr>
      </w:pPr>
      <w:r w:rsidRPr="00675535">
        <w:rPr>
          <w:rFonts w:ascii="Times New Roman" w:eastAsia="Times New Roman" w:hAnsi="Times New Roman"/>
          <w:bCs/>
        </w:rPr>
        <w:t>össz óraszám/félév:</w:t>
      </w:r>
    </w:p>
    <w:p w:rsidR="00782188" w:rsidRPr="00675535" w:rsidRDefault="00782188" w:rsidP="00980876">
      <w:pPr>
        <w:widowControl w:val="0"/>
        <w:numPr>
          <w:ilvl w:val="2"/>
          <w:numId w:val="512"/>
        </w:numPr>
        <w:tabs>
          <w:tab w:val="num" w:pos="709"/>
          <w:tab w:val="num" w:pos="1134"/>
        </w:tabs>
        <w:spacing w:after="0" w:line="240" w:lineRule="auto"/>
        <w:ind w:left="993" w:hanging="425"/>
        <w:jc w:val="both"/>
        <w:rPr>
          <w:rFonts w:ascii="Times New Roman" w:eastAsia="Times New Roman" w:hAnsi="Times New Roman"/>
          <w:bCs/>
        </w:rPr>
      </w:pPr>
      <w:r w:rsidRPr="00675535">
        <w:rPr>
          <w:rFonts w:ascii="Times New Roman" w:eastAsia="Times New Roman" w:hAnsi="Times New Roman"/>
          <w:bCs/>
        </w:rPr>
        <w:t xml:space="preserve">nappali munkarend: </w:t>
      </w:r>
      <w:r w:rsidRPr="00C51058">
        <w:rPr>
          <w:rFonts w:ascii="Times New Roman" w:eastAsia="Times New Roman" w:hAnsi="Times New Roman"/>
          <w:bCs/>
        </w:rPr>
        <w:t>28 (2</w:t>
      </w:r>
      <w:r>
        <w:rPr>
          <w:rFonts w:ascii="Times New Roman" w:eastAsia="Times New Roman" w:hAnsi="Times New Roman"/>
          <w:bCs/>
        </w:rPr>
        <w:t>8</w:t>
      </w:r>
      <w:r w:rsidRPr="00C51058">
        <w:rPr>
          <w:rFonts w:ascii="Times New Roman" w:eastAsia="Times New Roman" w:hAnsi="Times New Roman"/>
          <w:bCs/>
        </w:rPr>
        <w:t xml:space="preserve"> EA + </w:t>
      </w:r>
      <w:r>
        <w:rPr>
          <w:rFonts w:ascii="Times New Roman" w:eastAsia="Times New Roman" w:hAnsi="Times New Roman"/>
          <w:bCs/>
        </w:rPr>
        <w:t>0</w:t>
      </w:r>
      <w:r w:rsidRPr="00C51058">
        <w:rPr>
          <w:rFonts w:ascii="Times New Roman" w:eastAsia="Times New Roman" w:hAnsi="Times New Roman"/>
          <w:bCs/>
        </w:rPr>
        <w:t xml:space="preserve"> SZ + </w:t>
      </w:r>
      <w:r>
        <w:rPr>
          <w:rFonts w:ascii="Times New Roman" w:eastAsia="Times New Roman" w:hAnsi="Times New Roman"/>
          <w:bCs/>
        </w:rPr>
        <w:t>0</w:t>
      </w:r>
      <w:r w:rsidRPr="00C51058">
        <w:rPr>
          <w:rFonts w:ascii="Times New Roman" w:eastAsia="Times New Roman" w:hAnsi="Times New Roman"/>
          <w:bCs/>
        </w:rPr>
        <w:t xml:space="preserve"> GY)</w:t>
      </w:r>
    </w:p>
    <w:p w:rsidR="00782188" w:rsidRPr="00675535" w:rsidRDefault="00782188" w:rsidP="00980876">
      <w:pPr>
        <w:widowControl w:val="0"/>
        <w:numPr>
          <w:ilvl w:val="2"/>
          <w:numId w:val="512"/>
        </w:numPr>
        <w:tabs>
          <w:tab w:val="num" w:pos="709"/>
          <w:tab w:val="num" w:pos="1134"/>
        </w:tabs>
        <w:spacing w:after="0" w:line="240" w:lineRule="auto"/>
        <w:ind w:left="993" w:hanging="425"/>
        <w:jc w:val="both"/>
        <w:rPr>
          <w:rFonts w:ascii="Times New Roman" w:eastAsia="Times New Roman" w:hAnsi="Times New Roman"/>
          <w:bCs/>
        </w:rPr>
      </w:pPr>
      <w:r>
        <w:rPr>
          <w:rFonts w:ascii="Times New Roman" w:eastAsia="Times New Roman" w:hAnsi="Times New Roman"/>
          <w:bCs/>
        </w:rPr>
        <w:t xml:space="preserve">levelező munkarend: </w:t>
      </w:r>
      <w:r w:rsidRPr="008F3981">
        <w:rPr>
          <w:rFonts w:ascii="Times New Roman" w:eastAsia="Times New Roman" w:hAnsi="Times New Roman"/>
          <w:bCs/>
        </w:rPr>
        <w:t>–</w:t>
      </w:r>
    </w:p>
    <w:p w:rsidR="00782188" w:rsidRPr="00675535" w:rsidRDefault="00782188" w:rsidP="00980876">
      <w:pPr>
        <w:widowControl w:val="0"/>
        <w:numPr>
          <w:ilvl w:val="1"/>
          <w:numId w:val="512"/>
        </w:numPr>
        <w:tabs>
          <w:tab w:val="clear" w:pos="3977"/>
          <w:tab w:val="num" w:pos="709"/>
          <w:tab w:val="num" w:pos="1134"/>
        </w:tabs>
        <w:spacing w:before="120" w:after="120" w:line="240" w:lineRule="auto"/>
        <w:ind w:left="851" w:hanging="425"/>
        <w:jc w:val="both"/>
        <w:rPr>
          <w:rFonts w:ascii="Times New Roman" w:eastAsia="Times New Roman" w:hAnsi="Times New Roman"/>
          <w:bCs/>
        </w:rPr>
      </w:pPr>
      <w:r w:rsidRPr="00675535">
        <w:rPr>
          <w:rFonts w:ascii="Times New Roman" w:eastAsia="Times New Roman" w:hAnsi="Times New Roman"/>
          <w:bCs/>
        </w:rPr>
        <w:t xml:space="preserve">heti óraszám </w:t>
      </w:r>
      <w:r w:rsidRPr="008F3981">
        <w:rPr>
          <w:rFonts w:ascii="Times New Roman" w:eastAsia="Times New Roman" w:hAnsi="Times New Roman"/>
          <w:bCs/>
        </w:rPr>
        <w:t xml:space="preserve">– </w:t>
      </w:r>
      <w:r w:rsidRPr="00675535">
        <w:rPr>
          <w:rFonts w:ascii="Times New Roman" w:eastAsia="Times New Roman" w:hAnsi="Times New Roman"/>
          <w:bCs/>
        </w:rPr>
        <w:t xml:space="preserve">nappali munkarend: </w:t>
      </w:r>
      <w:r w:rsidRPr="00C51058">
        <w:rPr>
          <w:rFonts w:ascii="Times New Roman" w:eastAsia="Times New Roman" w:hAnsi="Times New Roman"/>
          <w:bCs/>
        </w:rPr>
        <w:t>2</w:t>
      </w:r>
      <w:r>
        <w:rPr>
          <w:rFonts w:ascii="Times New Roman" w:eastAsia="Times New Roman" w:hAnsi="Times New Roman"/>
          <w:bCs/>
        </w:rPr>
        <w:t xml:space="preserve"> </w:t>
      </w:r>
    </w:p>
    <w:p w:rsidR="00782188" w:rsidRPr="00675535" w:rsidRDefault="00782188" w:rsidP="00980876">
      <w:pPr>
        <w:widowControl w:val="0"/>
        <w:numPr>
          <w:ilvl w:val="1"/>
          <w:numId w:val="512"/>
        </w:numPr>
        <w:tabs>
          <w:tab w:val="clear" w:pos="3977"/>
          <w:tab w:val="num" w:pos="709"/>
          <w:tab w:val="num" w:pos="1134"/>
        </w:tabs>
        <w:spacing w:before="120" w:after="120" w:line="240" w:lineRule="auto"/>
        <w:ind w:left="851" w:hanging="425"/>
        <w:jc w:val="both"/>
        <w:rPr>
          <w:rFonts w:ascii="Times New Roman" w:eastAsia="Times New Roman" w:hAnsi="Times New Roman"/>
          <w:bCs/>
        </w:rPr>
      </w:pPr>
      <w:r w:rsidRPr="00675535">
        <w:rPr>
          <w:rFonts w:ascii="Times New Roman" w:eastAsia="Times New Roman" w:hAnsi="Times New Roman"/>
          <w:bCs/>
        </w:rPr>
        <w:t xml:space="preserve">Az ismeret átadásában alkalmazandó további sajátos módok, jellemzők: </w:t>
      </w:r>
      <w:r w:rsidRPr="008F3981">
        <w:rPr>
          <w:rFonts w:ascii="Times New Roman" w:eastAsia="Times New Roman" w:hAnsi="Times New Roman"/>
          <w:bCs/>
        </w:rPr>
        <w:t>–</w:t>
      </w:r>
    </w:p>
    <w:p w:rsidR="00782188" w:rsidRDefault="00782188" w:rsidP="00980876">
      <w:pPr>
        <w:widowControl w:val="0"/>
        <w:numPr>
          <w:ilvl w:val="0"/>
          <w:numId w:val="512"/>
        </w:numPr>
        <w:tabs>
          <w:tab w:val="clear" w:pos="720"/>
          <w:tab w:val="num" w:pos="567"/>
        </w:tabs>
        <w:spacing w:before="120" w:after="120" w:line="240" w:lineRule="auto"/>
        <w:ind w:left="426" w:hanging="142"/>
        <w:jc w:val="both"/>
        <w:rPr>
          <w:rFonts w:ascii="Times New Roman" w:eastAsia="Times New Roman" w:hAnsi="Times New Roman"/>
          <w:bCs/>
        </w:rPr>
      </w:pPr>
      <w:r w:rsidRPr="00675535">
        <w:rPr>
          <w:rFonts w:ascii="Times New Roman" w:eastAsia="Times New Roman" w:hAnsi="Times New Roman"/>
          <w:b/>
          <w:bCs/>
        </w:rPr>
        <w:t>A tantárgy szakmai tartalma (magyarul):</w:t>
      </w:r>
      <w:r w:rsidRPr="00675535">
        <w:rPr>
          <w:rFonts w:ascii="Times New Roman" w:eastAsia="Times New Roman" w:hAnsi="Times New Roman"/>
          <w:bCs/>
          <w:lang w:eastAsia="hu-HU"/>
        </w:rPr>
        <w:t xml:space="preserve"> </w:t>
      </w:r>
      <w:r w:rsidRPr="00BF1A04">
        <w:rPr>
          <w:rFonts w:ascii="Times New Roman" w:eastAsia="Times New Roman" w:hAnsi="Times New Roman"/>
          <w:bCs/>
        </w:rPr>
        <w:t xml:space="preserve">A Humán-erőforrás menedzsment (továbbiakban </w:t>
      </w:r>
      <w:r w:rsidRPr="00FC6884">
        <w:rPr>
          <w:rFonts w:ascii="Times New Roman" w:eastAsia="Times New Roman" w:hAnsi="Times New Roman"/>
          <w:bCs/>
        </w:rPr>
        <w:t>HRM</w:t>
      </w:r>
      <w:r w:rsidRPr="00BF1A04">
        <w:rPr>
          <w:rFonts w:ascii="Times New Roman" w:eastAsia="Times New Roman" w:hAnsi="Times New Roman"/>
          <w:bCs/>
        </w:rPr>
        <w:t>) áttekintése, jellemzői. A magyarországi HRM története, fejlődése</w:t>
      </w:r>
      <w:r>
        <w:rPr>
          <w:rFonts w:ascii="Times New Roman" w:eastAsia="Times New Roman" w:hAnsi="Times New Roman"/>
          <w:bCs/>
        </w:rPr>
        <w:t>.</w:t>
      </w:r>
      <w:r w:rsidRPr="00BF1A04">
        <w:rPr>
          <w:rFonts w:ascii="Times New Roman" w:eastAsia="Times New Roman" w:hAnsi="Times New Roman"/>
          <w:bCs/>
        </w:rPr>
        <w:t xml:space="preserve"> A HRM belső struktúrája, elemei. Helye a vezetés rendszerében. Alapvető felada</w:t>
      </w:r>
      <w:r>
        <w:rPr>
          <w:rFonts w:ascii="Times New Roman" w:eastAsia="Times New Roman" w:hAnsi="Times New Roman"/>
          <w:bCs/>
        </w:rPr>
        <w:t>tai. A vállalati stratégia és a</w:t>
      </w:r>
      <w:r w:rsidRPr="00BF1A04">
        <w:rPr>
          <w:rFonts w:ascii="Times New Roman" w:eastAsia="Times New Roman" w:hAnsi="Times New Roman"/>
          <w:bCs/>
        </w:rPr>
        <w:t xml:space="preserve"> HRM kapcsolata. Stratégia, szervezeti kultúra és a változás. A Magyar Honvédség HRM stratégiája. Emberi erőforrás-tervezés fázisai; elemzés. Az emberi erőforrás-tervezés és a munkaerő-tervezés folyamatai és a köztük lévő viszonyok rendszere. A munkaköri</w:t>
      </w:r>
      <w:r>
        <w:rPr>
          <w:rFonts w:ascii="Times New Roman" w:eastAsia="Times New Roman" w:hAnsi="Times New Roman"/>
          <w:bCs/>
        </w:rPr>
        <w:t xml:space="preserve"> </w:t>
      </w:r>
      <w:r w:rsidRPr="00BF1A04">
        <w:rPr>
          <w:rFonts w:ascii="Times New Roman" w:eastAsia="Times New Roman" w:hAnsi="Times New Roman"/>
          <w:bCs/>
        </w:rPr>
        <w:t>kompetencia regiszterének kidolgozása a munkakör-elemzés módszertanával támogatottan</w:t>
      </w:r>
      <w:r>
        <w:rPr>
          <w:rFonts w:ascii="Times New Roman" w:eastAsia="Times New Roman" w:hAnsi="Times New Roman"/>
          <w:bCs/>
        </w:rPr>
        <w:t xml:space="preserve">. </w:t>
      </w:r>
    </w:p>
    <w:p w:rsidR="00782188" w:rsidRPr="00BF1A04" w:rsidRDefault="00782188" w:rsidP="00782188">
      <w:pPr>
        <w:widowControl w:val="0"/>
        <w:spacing w:before="120" w:after="120" w:line="240" w:lineRule="auto"/>
        <w:ind w:left="426"/>
        <w:jc w:val="both"/>
        <w:rPr>
          <w:rFonts w:ascii="Times New Roman" w:eastAsia="Times New Roman" w:hAnsi="Times New Roman"/>
          <w:b/>
          <w:bCs/>
        </w:rPr>
      </w:pPr>
      <w:r w:rsidRPr="00675535">
        <w:rPr>
          <w:rFonts w:ascii="Times New Roman" w:eastAsia="Times New Roman" w:hAnsi="Times New Roman"/>
          <w:b/>
          <w:bCs/>
        </w:rPr>
        <w:t>A tantárgy szakmai tartalma (angolul) (</w:t>
      </w:r>
      <w:r w:rsidRPr="00675535">
        <w:rPr>
          <w:rFonts w:ascii="Times New Roman" w:eastAsia="Times New Roman" w:hAnsi="Times New Roman"/>
          <w:b/>
          <w:bCs/>
          <w:lang w:val="en-US"/>
        </w:rPr>
        <w:t>Course description</w:t>
      </w:r>
      <w:r w:rsidRPr="00675535">
        <w:rPr>
          <w:rFonts w:ascii="Times New Roman" w:eastAsia="Times New Roman" w:hAnsi="Times New Roman"/>
          <w:b/>
          <w:bCs/>
        </w:rPr>
        <w:t xml:space="preserve">): </w:t>
      </w:r>
      <w:r w:rsidRPr="00037CC4">
        <w:rPr>
          <w:rFonts w:ascii="Times New Roman" w:eastAsia="Times New Roman" w:hAnsi="Times New Roman"/>
          <w:bCs/>
          <w:lang w:val="en-AU"/>
        </w:rPr>
        <w:t xml:space="preserve">Overview and features of Human Resources Management (hereinafter referred to as HRM). History and development of HRM in Hungary The internal structure and elements of HRM. Place in the leadership system. Basic duties. Relationship between corporate strategy and HRM. Strategy, organizational culture and change. HRM strategy of the Hungarian Defence Forces. Stages of human resource planning; </w:t>
      </w:r>
      <w:r>
        <w:rPr>
          <w:rFonts w:ascii="Times New Roman" w:eastAsia="Times New Roman" w:hAnsi="Times New Roman"/>
          <w:bCs/>
          <w:lang w:val="en-AU"/>
        </w:rPr>
        <w:t>a</w:t>
      </w:r>
      <w:r w:rsidRPr="00037CC4">
        <w:rPr>
          <w:rFonts w:ascii="Times New Roman" w:eastAsia="Times New Roman" w:hAnsi="Times New Roman"/>
          <w:bCs/>
          <w:lang w:val="en-AU"/>
        </w:rPr>
        <w:t>nalysis. Human resource planning, and workforce planning processes and the system of relationships between them. Develop</w:t>
      </w:r>
      <w:r>
        <w:rPr>
          <w:rFonts w:ascii="Times New Roman" w:eastAsia="Times New Roman" w:hAnsi="Times New Roman"/>
          <w:bCs/>
          <w:lang w:val="en-AU"/>
        </w:rPr>
        <w:t>ing</w:t>
      </w:r>
      <w:r w:rsidRPr="00037CC4">
        <w:rPr>
          <w:rFonts w:ascii="Times New Roman" w:eastAsia="Times New Roman" w:hAnsi="Times New Roman"/>
          <w:bCs/>
          <w:lang w:val="en-AU"/>
        </w:rPr>
        <w:t xml:space="preserve"> a job competence register supported by the methodology of job analysis. </w:t>
      </w:r>
    </w:p>
    <w:p w:rsidR="00782188" w:rsidRPr="00305626" w:rsidRDefault="00782188" w:rsidP="00980876">
      <w:pPr>
        <w:pStyle w:val="Listaszerbekezds"/>
        <w:widowControl w:val="0"/>
        <w:numPr>
          <w:ilvl w:val="0"/>
          <w:numId w:val="512"/>
        </w:numPr>
        <w:tabs>
          <w:tab w:val="clear" w:pos="720"/>
          <w:tab w:val="num" w:pos="567"/>
        </w:tabs>
        <w:spacing w:before="120" w:after="120" w:line="240" w:lineRule="auto"/>
        <w:ind w:left="426" w:hanging="142"/>
        <w:jc w:val="both"/>
        <w:rPr>
          <w:rFonts w:ascii="Times New Roman" w:eastAsia="Times New Roman" w:hAnsi="Times New Roman"/>
          <w:bCs/>
        </w:rPr>
      </w:pPr>
      <w:r w:rsidRPr="00305626">
        <w:rPr>
          <w:rFonts w:ascii="Times New Roman" w:eastAsia="Times New Roman" w:hAnsi="Times New Roman"/>
          <w:b/>
          <w:bCs/>
        </w:rPr>
        <w:t>El</w:t>
      </w:r>
      <w:r>
        <w:rPr>
          <w:rFonts w:ascii="Times New Roman" w:eastAsia="Times New Roman" w:hAnsi="Times New Roman"/>
          <w:b/>
          <w:bCs/>
        </w:rPr>
        <w:t>érendő kompetenciák (magyarul):</w:t>
      </w:r>
    </w:p>
    <w:p w:rsidR="00782188" w:rsidRPr="00305626" w:rsidRDefault="00782188" w:rsidP="00782188">
      <w:pPr>
        <w:pStyle w:val="Listaszerbekezds"/>
        <w:widowControl w:val="0"/>
        <w:spacing w:before="120" w:after="120" w:line="240" w:lineRule="auto"/>
        <w:ind w:left="426"/>
        <w:jc w:val="both"/>
        <w:rPr>
          <w:rFonts w:ascii="Times New Roman" w:eastAsia="Times New Roman" w:hAnsi="Times New Roman"/>
          <w:bCs/>
        </w:rPr>
      </w:pPr>
    </w:p>
    <w:p w:rsidR="00782188" w:rsidRPr="00305626" w:rsidRDefault="00782188" w:rsidP="00782188">
      <w:pPr>
        <w:pStyle w:val="Listaszerbekezds"/>
        <w:widowControl w:val="0"/>
        <w:spacing w:before="120" w:after="120" w:line="240" w:lineRule="auto"/>
        <w:ind w:left="426"/>
        <w:jc w:val="both"/>
        <w:rPr>
          <w:rFonts w:ascii="Times New Roman" w:eastAsia="Times New Roman" w:hAnsi="Times New Roman"/>
          <w:bCs/>
        </w:rPr>
      </w:pPr>
      <w:r w:rsidRPr="00305626">
        <w:rPr>
          <w:rFonts w:ascii="Times New Roman" w:eastAsia="Times New Roman" w:hAnsi="Times New Roman"/>
          <w:b/>
          <w:bCs/>
        </w:rPr>
        <w:t>Tudása:</w:t>
      </w:r>
      <w:r w:rsidRPr="00305626">
        <w:rPr>
          <w:rFonts w:ascii="Times New Roman" w:eastAsia="Times New Roman" w:hAnsi="Times New Roman"/>
          <w:bCs/>
        </w:rPr>
        <w:t xml:space="preserve"> </w:t>
      </w:r>
    </w:p>
    <w:p w:rsidR="00782188" w:rsidRDefault="00782188" w:rsidP="00980876">
      <w:pPr>
        <w:pStyle w:val="Listaszerbekezds"/>
        <w:numPr>
          <w:ilvl w:val="0"/>
          <w:numId w:val="513"/>
        </w:numPr>
        <w:spacing w:after="0" w:line="320" w:lineRule="exact"/>
        <w:jc w:val="both"/>
        <w:rPr>
          <w:rFonts w:ascii="Times New Roman" w:eastAsia="Times New Roman" w:hAnsi="Times New Roman"/>
        </w:rPr>
      </w:pPr>
      <w:r w:rsidRPr="00C51058">
        <w:rPr>
          <w:rFonts w:ascii="Times New Roman" w:eastAsia="Times New Roman" w:hAnsi="Times New Roman"/>
        </w:rPr>
        <w:t xml:space="preserve">Rendelkezik </w:t>
      </w:r>
      <w:r>
        <w:rPr>
          <w:rFonts w:ascii="Times New Roman" w:eastAsia="Times New Roman" w:hAnsi="Times New Roman"/>
        </w:rPr>
        <w:t xml:space="preserve">az </w:t>
      </w:r>
      <w:r w:rsidRPr="00C51058">
        <w:rPr>
          <w:rFonts w:ascii="Times New Roman" w:eastAsia="Times New Roman" w:hAnsi="Times New Roman"/>
        </w:rPr>
        <w:t xml:space="preserve">alapvető </w:t>
      </w:r>
      <w:r>
        <w:rPr>
          <w:rFonts w:ascii="Times New Roman" w:eastAsia="Times New Roman" w:hAnsi="Times New Roman"/>
        </w:rPr>
        <w:t>HRM</w:t>
      </w:r>
      <w:r w:rsidRPr="00C51058">
        <w:rPr>
          <w:rFonts w:ascii="Times New Roman" w:eastAsia="Times New Roman" w:hAnsi="Times New Roman"/>
        </w:rPr>
        <w:t xml:space="preserve"> ismeretekkel, tisztában van a </w:t>
      </w:r>
      <w:r>
        <w:rPr>
          <w:rFonts w:ascii="Times New Roman" w:eastAsia="Times New Roman" w:hAnsi="Times New Roman"/>
        </w:rPr>
        <w:t>munkavállalói/katonai</w:t>
      </w:r>
      <w:r w:rsidRPr="00C51058">
        <w:rPr>
          <w:rFonts w:ascii="Times New Roman" w:eastAsia="Times New Roman" w:hAnsi="Times New Roman"/>
        </w:rPr>
        <w:t xml:space="preserve"> </w:t>
      </w:r>
      <w:r>
        <w:rPr>
          <w:rFonts w:ascii="Times New Roman" w:eastAsia="Times New Roman" w:hAnsi="Times New Roman"/>
        </w:rPr>
        <w:t xml:space="preserve">alap </w:t>
      </w:r>
      <w:r w:rsidRPr="00C51058">
        <w:rPr>
          <w:rFonts w:ascii="Times New Roman" w:eastAsia="Times New Roman" w:hAnsi="Times New Roman"/>
        </w:rPr>
        <w:t xml:space="preserve">kompetenciákkal és a beosztottak </w:t>
      </w:r>
      <w:r>
        <w:rPr>
          <w:rFonts w:ascii="Times New Roman" w:eastAsia="Times New Roman" w:hAnsi="Times New Roman"/>
        </w:rPr>
        <w:t>humán igazgatásához</w:t>
      </w:r>
      <w:r w:rsidRPr="00C51058">
        <w:rPr>
          <w:rFonts w:ascii="Times New Roman" w:eastAsia="Times New Roman" w:hAnsi="Times New Roman"/>
        </w:rPr>
        <w:t xml:space="preserve"> szükséges </w:t>
      </w:r>
      <w:r>
        <w:rPr>
          <w:rFonts w:ascii="Times New Roman" w:eastAsia="Times New Roman" w:hAnsi="Times New Roman"/>
        </w:rPr>
        <w:t>tudnivalókkal</w:t>
      </w:r>
      <w:r w:rsidRPr="00675535">
        <w:rPr>
          <w:rFonts w:ascii="Times New Roman" w:eastAsia="Times New Roman" w:hAnsi="Times New Roman"/>
        </w:rPr>
        <w:t>;</w:t>
      </w:r>
    </w:p>
    <w:p w:rsidR="00782188" w:rsidRPr="00675535" w:rsidRDefault="00782188" w:rsidP="00980876">
      <w:pPr>
        <w:pStyle w:val="Listaszerbekezds"/>
        <w:numPr>
          <w:ilvl w:val="0"/>
          <w:numId w:val="513"/>
        </w:numPr>
        <w:spacing w:after="0" w:line="320" w:lineRule="exact"/>
        <w:jc w:val="both"/>
        <w:rPr>
          <w:rFonts w:ascii="Times New Roman" w:eastAsia="Times New Roman" w:hAnsi="Times New Roman"/>
        </w:rPr>
      </w:pPr>
      <w:r w:rsidRPr="00C51058">
        <w:rPr>
          <w:rFonts w:ascii="Times New Roman" w:eastAsia="Times New Roman" w:hAnsi="Times New Roman"/>
        </w:rPr>
        <w:t xml:space="preserve">Ismeri a szakalegységek alaprendeltetéséből fakadó </w:t>
      </w:r>
      <w:r>
        <w:rPr>
          <w:rFonts w:ascii="Times New Roman" w:eastAsia="Times New Roman" w:hAnsi="Times New Roman"/>
        </w:rPr>
        <w:t>humán tevékenység</w:t>
      </w:r>
      <w:r w:rsidRPr="00C51058">
        <w:rPr>
          <w:rFonts w:ascii="Times New Roman" w:eastAsia="Times New Roman" w:hAnsi="Times New Roman"/>
        </w:rPr>
        <w:t xml:space="preserve"> végrehajtásának feladatait a békeidőszaki honvédelmi, a béketámogató, valamint háborús tevékenységekben.</w:t>
      </w:r>
    </w:p>
    <w:p w:rsidR="00782188" w:rsidRDefault="00782188" w:rsidP="00782188">
      <w:pPr>
        <w:widowControl w:val="0"/>
        <w:spacing w:before="120" w:after="120" w:line="240" w:lineRule="auto"/>
        <w:ind w:left="426"/>
        <w:jc w:val="both"/>
        <w:rPr>
          <w:rFonts w:ascii="Times New Roman" w:eastAsia="Times New Roman" w:hAnsi="Times New Roman"/>
          <w:b/>
          <w:bCs/>
        </w:rPr>
      </w:pPr>
    </w:p>
    <w:p w:rsidR="00782188" w:rsidRPr="00675535" w:rsidRDefault="00782188" w:rsidP="00782188">
      <w:pPr>
        <w:widowControl w:val="0"/>
        <w:spacing w:before="120" w:after="120" w:line="240" w:lineRule="auto"/>
        <w:ind w:left="426"/>
        <w:jc w:val="both"/>
        <w:rPr>
          <w:rFonts w:ascii="Times New Roman" w:eastAsia="Times New Roman" w:hAnsi="Times New Roman"/>
          <w:bCs/>
        </w:rPr>
      </w:pPr>
      <w:r w:rsidRPr="00675535">
        <w:rPr>
          <w:rFonts w:ascii="Times New Roman" w:eastAsia="Times New Roman" w:hAnsi="Times New Roman"/>
          <w:b/>
          <w:bCs/>
        </w:rPr>
        <w:lastRenderedPageBreak/>
        <w:t>Képességei:</w:t>
      </w:r>
    </w:p>
    <w:p w:rsidR="00782188" w:rsidRDefault="00782188" w:rsidP="00980876">
      <w:pPr>
        <w:pStyle w:val="Listaszerbekezds"/>
        <w:numPr>
          <w:ilvl w:val="0"/>
          <w:numId w:val="509"/>
        </w:numPr>
        <w:jc w:val="both"/>
        <w:rPr>
          <w:rFonts w:ascii="Times New Roman" w:hAnsi="Times New Roman"/>
        </w:rPr>
      </w:pPr>
      <w:r w:rsidRPr="00C51058">
        <w:rPr>
          <w:rFonts w:ascii="Times New Roman" w:hAnsi="Times New Roman"/>
        </w:rPr>
        <w:t xml:space="preserve">Képes a </w:t>
      </w:r>
      <w:r>
        <w:rPr>
          <w:rFonts w:ascii="Times New Roman" w:hAnsi="Times New Roman"/>
        </w:rPr>
        <w:t>hatásköréből adódóan az</w:t>
      </w:r>
      <w:r w:rsidRPr="00C51058">
        <w:rPr>
          <w:rFonts w:ascii="Times New Roman" w:hAnsi="Times New Roman"/>
        </w:rPr>
        <w:t xml:space="preserve"> alegység békeidőszaki és békétől eltérő körülmények közötti </w:t>
      </w:r>
      <w:r>
        <w:rPr>
          <w:rFonts w:ascii="Times New Roman" w:hAnsi="Times New Roman"/>
        </w:rPr>
        <w:t>humán feladatok végrehajtására</w:t>
      </w:r>
      <w:r w:rsidRPr="00675535">
        <w:rPr>
          <w:rFonts w:ascii="Times New Roman" w:hAnsi="Times New Roman"/>
        </w:rPr>
        <w:t>;</w:t>
      </w:r>
    </w:p>
    <w:p w:rsidR="00782188" w:rsidRDefault="00782188" w:rsidP="00980876">
      <w:pPr>
        <w:pStyle w:val="Listaszerbekezds"/>
        <w:numPr>
          <w:ilvl w:val="0"/>
          <w:numId w:val="509"/>
        </w:numPr>
        <w:jc w:val="both"/>
        <w:rPr>
          <w:rFonts w:ascii="Times New Roman" w:hAnsi="Times New Roman"/>
        </w:rPr>
      </w:pPr>
      <w:r w:rsidRPr="00C51058">
        <w:rPr>
          <w:rFonts w:ascii="Times New Roman" w:hAnsi="Times New Roman"/>
        </w:rPr>
        <w:t>Képes a</w:t>
      </w:r>
      <w:r>
        <w:rPr>
          <w:rFonts w:ascii="Times New Roman" w:hAnsi="Times New Roman"/>
        </w:rPr>
        <w:t xml:space="preserve">z erőforrás alapú humán tevékenységgel kapcsolatos </w:t>
      </w:r>
      <w:r w:rsidRPr="00C51058">
        <w:rPr>
          <w:rFonts w:ascii="Times New Roman" w:hAnsi="Times New Roman"/>
        </w:rPr>
        <w:t>ismeretek elsajátítására, alkalmazására és beosztottjainak történő átadására</w:t>
      </w:r>
      <w:r>
        <w:rPr>
          <w:rFonts w:ascii="Times New Roman" w:hAnsi="Times New Roman"/>
        </w:rPr>
        <w:t>;</w:t>
      </w:r>
    </w:p>
    <w:p w:rsidR="00782188" w:rsidRPr="00675535" w:rsidRDefault="00782188" w:rsidP="00980876">
      <w:pPr>
        <w:pStyle w:val="Listaszerbekezds"/>
        <w:numPr>
          <w:ilvl w:val="0"/>
          <w:numId w:val="509"/>
        </w:numPr>
        <w:jc w:val="both"/>
        <w:rPr>
          <w:rFonts w:ascii="Times New Roman" w:hAnsi="Times New Roman"/>
        </w:rPr>
      </w:pPr>
      <w:r w:rsidRPr="00C51058">
        <w:rPr>
          <w:rFonts w:ascii="Times New Roman" w:hAnsi="Times New Roman"/>
        </w:rPr>
        <w:t>Képes beosztott</w:t>
      </w:r>
      <w:r>
        <w:rPr>
          <w:rFonts w:ascii="Times New Roman" w:hAnsi="Times New Roman"/>
        </w:rPr>
        <w:t>j</w:t>
      </w:r>
      <w:r w:rsidRPr="00C51058">
        <w:rPr>
          <w:rFonts w:ascii="Times New Roman" w:hAnsi="Times New Roman"/>
        </w:rPr>
        <w:t>ai</w:t>
      </w:r>
      <w:r>
        <w:rPr>
          <w:rFonts w:ascii="Times New Roman" w:hAnsi="Times New Roman"/>
        </w:rPr>
        <w:t>nak</w:t>
      </w:r>
      <w:r w:rsidRPr="00C51058">
        <w:rPr>
          <w:rFonts w:ascii="Times New Roman" w:hAnsi="Times New Roman"/>
        </w:rPr>
        <w:t xml:space="preserve"> </w:t>
      </w:r>
      <w:r>
        <w:rPr>
          <w:rFonts w:ascii="Times New Roman" w:hAnsi="Times New Roman"/>
        </w:rPr>
        <w:t>elégedettségét mérni</w:t>
      </w:r>
      <w:r w:rsidRPr="00C51058">
        <w:rPr>
          <w:rFonts w:ascii="Times New Roman" w:hAnsi="Times New Roman"/>
        </w:rPr>
        <w:t>,</w:t>
      </w:r>
      <w:r>
        <w:rPr>
          <w:rFonts w:ascii="Times New Roman" w:hAnsi="Times New Roman"/>
        </w:rPr>
        <w:t xml:space="preserve"> a teljesítményértékelésnél, a minősítésnél, a motivációs beszélgetésen visszacsatolni</w:t>
      </w:r>
      <w:r w:rsidRPr="00C51058">
        <w:rPr>
          <w:rFonts w:ascii="Times New Roman" w:hAnsi="Times New Roman"/>
        </w:rPr>
        <w:t>.</w:t>
      </w:r>
    </w:p>
    <w:p w:rsidR="00782188" w:rsidRPr="00675535" w:rsidRDefault="00782188" w:rsidP="00782188">
      <w:pPr>
        <w:widowControl w:val="0"/>
        <w:spacing w:before="120" w:after="120" w:line="240" w:lineRule="auto"/>
        <w:ind w:left="426"/>
        <w:jc w:val="both"/>
        <w:rPr>
          <w:rFonts w:ascii="Times New Roman" w:eastAsia="Times New Roman" w:hAnsi="Times New Roman"/>
          <w:bCs/>
        </w:rPr>
      </w:pPr>
      <w:r w:rsidRPr="00675535">
        <w:rPr>
          <w:rFonts w:ascii="Times New Roman" w:eastAsia="Times New Roman" w:hAnsi="Times New Roman"/>
          <w:b/>
          <w:bCs/>
        </w:rPr>
        <w:t>Attitűdje:</w:t>
      </w:r>
    </w:p>
    <w:p w:rsidR="00782188" w:rsidRDefault="00782188" w:rsidP="00980876">
      <w:pPr>
        <w:pStyle w:val="Listaszerbekezds"/>
        <w:numPr>
          <w:ilvl w:val="0"/>
          <w:numId w:val="509"/>
        </w:numPr>
        <w:jc w:val="both"/>
        <w:rPr>
          <w:rFonts w:ascii="Times New Roman" w:hAnsi="Times New Roman"/>
        </w:rPr>
      </w:pPr>
      <w:r w:rsidRPr="00C51058">
        <w:rPr>
          <w:rFonts w:ascii="Times New Roman" w:hAnsi="Times New Roman"/>
        </w:rPr>
        <w:t>Nyitott az új ismeretek</w:t>
      </w:r>
      <w:r>
        <w:rPr>
          <w:rFonts w:ascii="Times New Roman" w:hAnsi="Times New Roman"/>
        </w:rPr>
        <w:t xml:space="preserve"> befogadására</w:t>
      </w:r>
      <w:r w:rsidRPr="00C51058">
        <w:rPr>
          <w:rFonts w:ascii="Times New Roman" w:hAnsi="Times New Roman"/>
        </w:rPr>
        <w:t>, illetve tudása gyarapítása</w:t>
      </w:r>
      <w:r>
        <w:rPr>
          <w:rFonts w:ascii="Times New Roman" w:hAnsi="Times New Roman"/>
        </w:rPr>
        <w:t>, elkötelezettje a tudás-bővítésnek, a tudás - karbantartásnak</w:t>
      </w:r>
      <w:r w:rsidRPr="00675535">
        <w:rPr>
          <w:rFonts w:ascii="Times New Roman" w:hAnsi="Times New Roman"/>
        </w:rPr>
        <w:t>;</w:t>
      </w:r>
    </w:p>
    <w:p w:rsidR="00782188" w:rsidRDefault="00782188" w:rsidP="00980876">
      <w:pPr>
        <w:pStyle w:val="Listaszerbekezds"/>
        <w:numPr>
          <w:ilvl w:val="0"/>
          <w:numId w:val="509"/>
        </w:numPr>
        <w:jc w:val="both"/>
        <w:rPr>
          <w:rFonts w:ascii="Times New Roman" w:hAnsi="Times New Roman"/>
        </w:rPr>
      </w:pPr>
      <w:r w:rsidRPr="00C51058">
        <w:rPr>
          <w:rFonts w:ascii="Times New Roman" w:hAnsi="Times New Roman"/>
        </w:rPr>
        <w:t>Feladatai ellátása során együttműködési készség</w:t>
      </w:r>
      <w:r>
        <w:rPr>
          <w:rFonts w:ascii="Times New Roman" w:hAnsi="Times New Roman"/>
        </w:rPr>
        <w:t xml:space="preserve"> </w:t>
      </w:r>
      <w:r w:rsidRPr="00C51058">
        <w:rPr>
          <w:rFonts w:ascii="Times New Roman" w:hAnsi="Times New Roman"/>
        </w:rPr>
        <w:t>jel</w:t>
      </w:r>
      <w:r>
        <w:rPr>
          <w:rFonts w:ascii="Times New Roman" w:hAnsi="Times New Roman"/>
        </w:rPr>
        <w:t>l</w:t>
      </w:r>
      <w:r w:rsidRPr="00C51058">
        <w:rPr>
          <w:rFonts w:ascii="Times New Roman" w:hAnsi="Times New Roman"/>
        </w:rPr>
        <w:t>emzi, törekszik a beosztottak bevonására a döntési folyamatokba.</w:t>
      </w:r>
      <w:r>
        <w:rPr>
          <w:rFonts w:ascii="Times New Roman" w:hAnsi="Times New Roman"/>
        </w:rPr>
        <w:t xml:space="preserve"> Igazi csapatjátékos. Tevékenységét, magasfokú asszertivitás jellemzi;</w:t>
      </w:r>
    </w:p>
    <w:p w:rsidR="00782188" w:rsidRDefault="00782188" w:rsidP="00980876">
      <w:pPr>
        <w:pStyle w:val="Listaszerbekezds"/>
        <w:numPr>
          <w:ilvl w:val="0"/>
          <w:numId w:val="509"/>
        </w:numPr>
        <w:jc w:val="both"/>
        <w:rPr>
          <w:rFonts w:ascii="Times New Roman" w:hAnsi="Times New Roman"/>
        </w:rPr>
      </w:pPr>
      <w:r w:rsidRPr="00C51058">
        <w:rPr>
          <w:rFonts w:ascii="Times New Roman" w:hAnsi="Times New Roman"/>
        </w:rPr>
        <w:t>Törekszik feladatellátása során a megfelelő önkontroll, tolerancia, empátia és az előítéletektől mentes gondolkodás és viselkedés tanúsítására.</w:t>
      </w:r>
      <w:r>
        <w:rPr>
          <w:rFonts w:ascii="Times New Roman" w:hAnsi="Times New Roman"/>
        </w:rPr>
        <w:t xml:space="preserve"> Kész és képes az érzelmi intelligenciája által a pozitív életszemlélet kialakítására;</w:t>
      </w:r>
    </w:p>
    <w:p w:rsidR="00782188" w:rsidRDefault="00782188" w:rsidP="00980876">
      <w:pPr>
        <w:pStyle w:val="Listaszerbekezds"/>
        <w:numPr>
          <w:ilvl w:val="0"/>
          <w:numId w:val="509"/>
        </w:numPr>
        <w:jc w:val="both"/>
        <w:rPr>
          <w:rFonts w:ascii="Times New Roman" w:hAnsi="Times New Roman"/>
        </w:rPr>
      </w:pPr>
      <w:r w:rsidRPr="00C51058">
        <w:rPr>
          <w:rFonts w:ascii="Times New Roman" w:hAnsi="Times New Roman"/>
        </w:rPr>
        <w:t xml:space="preserve">Munkájában és emberi kapcsolataiban </w:t>
      </w:r>
      <w:r>
        <w:rPr>
          <w:rFonts w:ascii="Times New Roman" w:hAnsi="Times New Roman"/>
        </w:rPr>
        <w:t xml:space="preserve">a korrektség, a </w:t>
      </w:r>
      <w:r w:rsidRPr="00C51058">
        <w:rPr>
          <w:rFonts w:ascii="Times New Roman" w:hAnsi="Times New Roman"/>
        </w:rPr>
        <w:t>megbízhatóság jellemzi</w:t>
      </w:r>
      <w:r>
        <w:rPr>
          <w:rFonts w:ascii="Times New Roman" w:hAnsi="Times New Roman"/>
        </w:rPr>
        <w:t>, nagy jelentőséget tulajdonít személyközi kapcsolataiban a bizalmi tőkének;</w:t>
      </w:r>
    </w:p>
    <w:p w:rsidR="00782188" w:rsidRDefault="00782188" w:rsidP="00980876">
      <w:pPr>
        <w:pStyle w:val="Listaszerbekezds"/>
        <w:numPr>
          <w:ilvl w:val="0"/>
          <w:numId w:val="509"/>
        </w:numPr>
        <w:jc w:val="both"/>
        <w:rPr>
          <w:rFonts w:ascii="Times New Roman" w:hAnsi="Times New Roman"/>
        </w:rPr>
      </w:pPr>
      <w:r w:rsidRPr="00C51058">
        <w:rPr>
          <w:rFonts w:ascii="Times New Roman" w:hAnsi="Times New Roman"/>
        </w:rPr>
        <w:t>Elkötelezett</w:t>
      </w:r>
      <w:r>
        <w:rPr>
          <w:rFonts w:ascii="Times New Roman" w:hAnsi="Times New Roman"/>
        </w:rPr>
        <w:t>je</w:t>
      </w:r>
      <w:r w:rsidRPr="00C51058">
        <w:rPr>
          <w:rFonts w:ascii="Times New Roman" w:hAnsi="Times New Roman"/>
        </w:rPr>
        <w:t xml:space="preserve"> a </w:t>
      </w:r>
      <w:r>
        <w:rPr>
          <w:rFonts w:ascii="Times New Roman" w:hAnsi="Times New Roman"/>
        </w:rPr>
        <w:t xml:space="preserve">szabálykövető és minőségközpontú magatartásnak. A </w:t>
      </w:r>
      <w:r w:rsidRPr="00C51058">
        <w:rPr>
          <w:rFonts w:ascii="Times New Roman" w:hAnsi="Times New Roman"/>
        </w:rPr>
        <w:t>szakmai munkavégzés</w:t>
      </w:r>
      <w:r>
        <w:rPr>
          <w:rFonts w:ascii="Times New Roman" w:hAnsi="Times New Roman"/>
        </w:rPr>
        <w:t>ét</w:t>
      </w:r>
      <w:r w:rsidRPr="00C51058">
        <w:rPr>
          <w:rFonts w:ascii="Times New Roman" w:hAnsi="Times New Roman"/>
        </w:rPr>
        <w:t xml:space="preserve"> a pontosság</w:t>
      </w:r>
      <w:r>
        <w:rPr>
          <w:rFonts w:ascii="Times New Roman" w:hAnsi="Times New Roman"/>
        </w:rPr>
        <w:t>, a folyamatosan fejlesztett időérzék jellemzi;</w:t>
      </w:r>
    </w:p>
    <w:p w:rsidR="00782188" w:rsidRDefault="00782188" w:rsidP="00980876">
      <w:pPr>
        <w:pStyle w:val="Listaszerbekezds"/>
        <w:numPr>
          <w:ilvl w:val="0"/>
          <w:numId w:val="509"/>
        </w:numPr>
        <w:jc w:val="both"/>
        <w:rPr>
          <w:rFonts w:ascii="Times New Roman" w:hAnsi="Times New Roman"/>
        </w:rPr>
      </w:pPr>
      <w:r w:rsidRPr="00C51058">
        <w:rPr>
          <w:rFonts w:ascii="Times New Roman" w:hAnsi="Times New Roman"/>
        </w:rPr>
        <w:t>Jó</w:t>
      </w:r>
      <w:r>
        <w:rPr>
          <w:rFonts w:ascii="Times New Roman" w:hAnsi="Times New Roman"/>
        </w:rPr>
        <w:t xml:space="preserve"> a</w:t>
      </w:r>
      <w:r w:rsidRPr="00C51058">
        <w:rPr>
          <w:rFonts w:ascii="Times New Roman" w:hAnsi="Times New Roman"/>
        </w:rPr>
        <w:t xml:space="preserve"> szervezőkészség</w:t>
      </w:r>
      <w:r>
        <w:rPr>
          <w:rFonts w:ascii="Times New Roman" w:hAnsi="Times New Roman"/>
        </w:rPr>
        <w:t>e;</w:t>
      </w:r>
    </w:p>
    <w:p w:rsidR="00782188" w:rsidRDefault="00782188" w:rsidP="00980876">
      <w:pPr>
        <w:pStyle w:val="Listaszerbekezds"/>
        <w:numPr>
          <w:ilvl w:val="0"/>
          <w:numId w:val="509"/>
        </w:numPr>
        <w:jc w:val="both"/>
        <w:rPr>
          <w:rFonts w:ascii="Times New Roman" w:hAnsi="Times New Roman"/>
        </w:rPr>
      </w:pPr>
      <w:r w:rsidRPr="00C51058">
        <w:rPr>
          <w:rFonts w:ascii="Times New Roman" w:hAnsi="Times New Roman"/>
        </w:rPr>
        <w:t>Jól kiismeri és otthonosan érzi magát a katonai hierarchiában</w:t>
      </w:r>
      <w:r>
        <w:rPr>
          <w:rFonts w:ascii="Times New Roman" w:hAnsi="Times New Roman"/>
        </w:rPr>
        <w:t>, a parancsuralmi rendszerben, jogkövető magatartás jellemzi;</w:t>
      </w:r>
    </w:p>
    <w:p w:rsidR="00782188" w:rsidRPr="00675535" w:rsidRDefault="00782188" w:rsidP="00980876">
      <w:pPr>
        <w:pStyle w:val="Listaszerbekezds"/>
        <w:numPr>
          <w:ilvl w:val="0"/>
          <w:numId w:val="509"/>
        </w:numPr>
        <w:jc w:val="both"/>
        <w:rPr>
          <w:rFonts w:ascii="Times New Roman" w:hAnsi="Times New Roman"/>
        </w:rPr>
      </w:pPr>
      <w:r w:rsidRPr="00C51058">
        <w:rPr>
          <w:rFonts w:ascii="Times New Roman" w:hAnsi="Times New Roman"/>
        </w:rPr>
        <w:t>Nyitott szakterülete új eredményei, innovációi iránt, törekszik azok megismerésére, megértésére és alkalmazására</w:t>
      </w:r>
      <w:r>
        <w:rPr>
          <w:rFonts w:ascii="Times New Roman" w:hAnsi="Times New Roman"/>
        </w:rPr>
        <w:t>. E</w:t>
      </w:r>
      <w:r w:rsidRPr="00C51058">
        <w:rPr>
          <w:rFonts w:ascii="Times New Roman" w:hAnsi="Times New Roman"/>
        </w:rPr>
        <w:t>lkötelezett önmaga folyamatos képzésére</w:t>
      </w:r>
      <w:r>
        <w:rPr>
          <w:rFonts w:ascii="Times New Roman" w:hAnsi="Times New Roman"/>
        </w:rPr>
        <w:t>, melyben az életpályamodellhez illeszthetően valósulhat meg karriertörekvése</w:t>
      </w:r>
      <w:r w:rsidRPr="00C51058">
        <w:rPr>
          <w:rFonts w:ascii="Times New Roman" w:hAnsi="Times New Roman"/>
        </w:rPr>
        <w:t>.</w:t>
      </w:r>
    </w:p>
    <w:p w:rsidR="00782188" w:rsidRPr="00675535" w:rsidRDefault="00782188" w:rsidP="00782188">
      <w:pPr>
        <w:widowControl w:val="0"/>
        <w:spacing w:before="120" w:after="120" w:line="240" w:lineRule="auto"/>
        <w:ind w:left="426"/>
        <w:jc w:val="both"/>
        <w:rPr>
          <w:rFonts w:ascii="Times New Roman" w:eastAsia="Times New Roman" w:hAnsi="Times New Roman"/>
          <w:bCs/>
        </w:rPr>
      </w:pPr>
      <w:r w:rsidRPr="00675535">
        <w:rPr>
          <w:rFonts w:ascii="Times New Roman" w:eastAsia="Times New Roman" w:hAnsi="Times New Roman"/>
          <w:b/>
          <w:bCs/>
        </w:rPr>
        <w:t>Autonómiája és felelőssége:</w:t>
      </w:r>
    </w:p>
    <w:p w:rsidR="00782188" w:rsidRDefault="00782188" w:rsidP="00980876">
      <w:pPr>
        <w:pStyle w:val="Listaszerbekezds"/>
        <w:numPr>
          <w:ilvl w:val="0"/>
          <w:numId w:val="509"/>
        </w:numPr>
        <w:jc w:val="both"/>
        <w:rPr>
          <w:rFonts w:ascii="Times New Roman" w:hAnsi="Times New Roman"/>
        </w:rPr>
      </w:pPr>
      <w:r w:rsidRPr="00C51058">
        <w:rPr>
          <w:rFonts w:ascii="Times New Roman" w:hAnsi="Times New Roman"/>
        </w:rPr>
        <w:t>Képes önállóan</w:t>
      </w:r>
      <w:r>
        <w:rPr>
          <w:rFonts w:ascii="Times New Roman" w:hAnsi="Times New Roman"/>
        </w:rPr>
        <w:t>,</w:t>
      </w:r>
      <w:r w:rsidRPr="00C51058">
        <w:rPr>
          <w:rFonts w:ascii="Times New Roman" w:hAnsi="Times New Roman"/>
        </w:rPr>
        <w:t xml:space="preserve"> </w:t>
      </w:r>
      <w:r>
        <w:rPr>
          <w:rFonts w:ascii="Times New Roman" w:hAnsi="Times New Roman"/>
        </w:rPr>
        <w:t xml:space="preserve">hatáskörébe illeszthetően, </w:t>
      </w:r>
      <w:r w:rsidRPr="00C51058">
        <w:rPr>
          <w:rFonts w:ascii="Times New Roman" w:hAnsi="Times New Roman"/>
        </w:rPr>
        <w:t>döntéseket hozni, azokat felelősséggel, a jogszabályi keretek figyelembevételével végrehajtani</w:t>
      </w:r>
      <w:r w:rsidRPr="00675535">
        <w:rPr>
          <w:rFonts w:ascii="Times New Roman" w:hAnsi="Times New Roman"/>
        </w:rPr>
        <w:t>;</w:t>
      </w:r>
    </w:p>
    <w:p w:rsidR="00782188" w:rsidRDefault="00782188" w:rsidP="00980876">
      <w:pPr>
        <w:pStyle w:val="Listaszerbekezds"/>
        <w:numPr>
          <w:ilvl w:val="0"/>
          <w:numId w:val="509"/>
        </w:numPr>
        <w:jc w:val="both"/>
        <w:rPr>
          <w:rFonts w:ascii="Times New Roman" w:hAnsi="Times New Roman"/>
        </w:rPr>
      </w:pPr>
      <w:r w:rsidRPr="00C51058">
        <w:rPr>
          <w:rFonts w:ascii="Times New Roman" w:hAnsi="Times New Roman"/>
        </w:rPr>
        <w:t>Tisztában van döntéseinek hatásaival,</w:t>
      </w:r>
      <w:r>
        <w:rPr>
          <w:rFonts w:ascii="Times New Roman" w:hAnsi="Times New Roman"/>
        </w:rPr>
        <w:t xml:space="preserve"> a humán kockázatelemzés, korszerű módszereivel;</w:t>
      </w:r>
    </w:p>
    <w:p w:rsidR="00782188" w:rsidRPr="00C14260" w:rsidRDefault="00782188" w:rsidP="00980876">
      <w:pPr>
        <w:pStyle w:val="Listaszerbekezds"/>
        <w:numPr>
          <w:ilvl w:val="0"/>
          <w:numId w:val="509"/>
        </w:numPr>
        <w:jc w:val="both"/>
        <w:rPr>
          <w:rFonts w:ascii="Times New Roman" w:hAnsi="Times New Roman"/>
        </w:rPr>
      </w:pPr>
      <w:r w:rsidRPr="00C51058">
        <w:rPr>
          <w:rFonts w:ascii="Times New Roman" w:hAnsi="Times New Roman"/>
        </w:rPr>
        <w:t>Felelősséget vállal a vezetése alatt álló beosztottjainak szakmai tevékenységéért</w:t>
      </w:r>
      <w:r>
        <w:rPr>
          <w:rFonts w:ascii="Times New Roman" w:hAnsi="Times New Roman"/>
        </w:rPr>
        <w:t>, teljesítményének értékeléséért, előmeneteléért.</w:t>
      </w:r>
    </w:p>
    <w:p w:rsidR="00782188" w:rsidRPr="005A23CD" w:rsidRDefault="00782188" w:rsidP="00782188">
      <w:pPr>
        <w:widowControl w:val="0"/>
        <w:spacing w:before="120" w:after="120" w:line="240" w:lineRule="auto"/>
        <w:ind w:left="426" w:firstLine="141"/>
        <w:jc w:val="both"/>
        <w:rPr>
          <w:rFonts w:ascii="Times New Roman" w:eastAsia="Times New Roman" w:hAnsi="Times New Roman"/>
          <w:b/>
          <w:bCs/>
          <w:lang w:val="en-AU"/>
        </w:rPr>
      </w:pPr>
      <w:r w:rsidRPr="00675535">
        <w:rPr>
          <w:rFonts w:ascii="Times New Roman" w:eastAsia="Times New Roman" w:hAnsi="Times New Roman"/>
          <w:b/>
          <w:bCs/>
        </w:rPr>
        <w:t>Elérendő kompetenciák (angolul) (</w:t>
      </w:r>
      <w:r w:rsidRPr="005A23CD">
        <w:rPr>
          <w:rFonts w:ascii="Times New Roman" w:eastAsia="Times New Roman" w:hAnsi="Times New Roman"/>
          <w:b/>
          <w:bCs/>
          <w:lang w:val="en-AU"/>
        </w:rPr>
        <w:t xml:space="preserve">Competences – English): </w:t>
      </w:r>
    </w:p>
    <w:p w:rsidR="00782188" w:rsidRPr="005A23CD" w:rsidRDefault="00782188" w:rsidP="00782188">
      <w:pPr>
        <w:widowControl w:val="0"/>
        <w:spacing w:before="120" w:after="120" w:line="240" w:lineRule="auto"/>
        <w:ind w:left="426"/>
        <w:jc w:val="both"/>
        <w:rPr>
          <w:rFonts w:ascii="Times New Roman" w:eastAsia="Times New Roman" w:hAnsi="Times New Roman"/>
          <w:lang w:val="en-AU"/>
        </w:rPr>
      </w:pPr>
      <w:r w:rsidRPr="005A23CD">
        <w:rPr>
          <w:rFonts w:ascii="Times New Roman" w:eastAsia="Times New Roman" w:hAnsi="Times New Roman"/>
          <w:b/>
          <w:lang w:val="en-AU"/>
        </w:rPr>
        <w:t>Knowledge</w:t>
      </w:r>
      <w:r w:rsidRPr="005A23CD">
        <w:rPr>
          <w:rFonts w:ascii="Times New Roman" w:eastAsia="Times New Roman" w:hAnsi="Times New Roman"/>
          <w:lang w:val="en-AU"/>
        </w:rPr>
        <w:t>:</w:t>
      </w:r>
    </w:p>
    <w:p w:rsidR="00782188" w:rsidRDefault="00782188" w:rsidP="00980876">
      <w:pPr>
        <w:pStyle w:val="Listaszerbekezds"/>
        <w:numPr>
          <w:ilvl w:val="0"/>
          <w:numId w:val="509"/>
        </w:numPr>
        <w:jc w:val="both"/>
        <w:rPr>
          <w:rFonts w:ascii="Times New Roman" w:hAnsi="Times New Roman"/>
          <w:lang w:val="en-AU"/>
        </w:rPr>
      </w:pPr>
      <w:r w:rsidRPr="00037CC4">
        <w:rPr>
          <w:rFonts w:ascii="Times New Roman" w:hAnsi="Times New Roman"/>
          <w:lang w:val="en-AU"/>
        </w:rPr>
        <w:t>Has basic HRM knowledge, understands employee/military base competences and the information needed for the human management of subordinates</w:t>
      </w:r>
      <w:r w:rsidRPr="005A23CD">
        <w:rPr>
          <w:rFonts w:ascii="Times New Roman" w:hAnsi="Times New Roman"/>
          <w:lang w:val="en-AU"/>
        </w:rPr>
        <w:t>;</w:t>
      </w:r>
    </w:p>
    <w:p w:rsidR="00782188" w:rsidRPr="005A23CD" w:rsidRDefault="00782188" w:rsidP="00980876">
      <w:pPr>
        <w:pStyle w:val="Listaszerbekezds"/>
        <w:numPr>
          <w:ilvl w:val="0"/>
          <w:numId w:val="509"/>
        </w:numPr>
        <w:jc w:val="both"/>
        <w:rPr>
          <w:rFonts w:ascii="Times New Roman" w:hAnsi="Times New Roman"/>
          <w:lang w:val="en-AU"/>
        </w:rPr>
      </w:pPr>
      <w:r>
        <w:rPr>
          <w:rFonts w:ascii="Times New Roman" w:hAnsi="Times New Roman"/>
          <w:lang w:val="en-AU"/>
        </w:rPr>
        <w:t>I</w:t>
      </w:r>
      <w:r w:rsidRPr="00037CC4">
        <w:rPr>
          <w:rFonts w:ascii="Times New Roman" w:hAnsi="Times New Roman"/>
          <w:lang w:val="en-AU"/>
        </w:rPr>
        <w:t>s familiar with the tasks of carrying out human activities arising from the basic purpose of the specialised units in peacetime, peace support and war activities.</w:t>
      </w:r>
    </w:p>
    <w:p w:rsidR="00782188" w:rsidRPr="005A23CD" w:rsidRDefault="00782188" w:rsidP="00782188">
      <w:pPr>
        <w:widowControl w:val="0"/>
        <w:spacing w:before="120" w:after="120" w:line="240" w:lineRule="auto"/>
        <w:ind w:left="426"/>
        <w:jc w:val="both"/>
        <w:rPr>
          <w:rFonts w:ascii="Times New Roman" w:eastAsia="Times New Roman" w:hAnsi="Times New Roman"/>
          <w:lang w:val="en-AU"/>
        </w:rPr>
      </w:pPr>
      <w:r w:rsidRPr="005A23CD">
        <w:rPr>
          <w:rFonts w:ascii="Times New Roman" w:eastAsia="Times New Roman" w:hAnsi="Times New Roman"/>
          <w:b/>
          <w:lang w:val="en-AU"/>
        </w:rPr>
        <w:t>Capabilities</w:t>
      </w:r>
      <w:r w:rsidRPr="005A23CD">
        <w:rPr>
          <w:rFonts w:ascii="Times New Roman" w:eastAsia="Times New Roman" w:hAnsi="Times New Roman"/>
          <w:lang w:val="en-AU"/>
        </w:rPr>
        <w:t>:</w:t>
      </w:r>
    </w:p>
    <w:p w:rsidR="00782188" w:rsidRDefault="00782188" w:rsidP="00980876">
      <w:pPr>
        <w:pStyle w:val="Listaszerbekezds"/>
        <w:numPr>
          <w:ilvl w:val="0"/>
          <w:numId w:val="509"/>
        </w:numPr>
        <w:jc w:val="both"/>
        <w:rPr>
          <w:rFonts w:ascii="Times New Roman" w:hAnsi="Times New Roman"/>
          <w:lang w:val="en-AU"/>
        </w:rPr>
      </w:pPr>
      <w:r>
        <w:rPr>
          <w:rFonts w:ascii="Times New Roman" w:hAnsi="Times New Roman"/>
          <w:lang w:val="en-AU"/>
        </w:rPr>
        <w:t>C</w:t>
      </w:r>
      <w:r w:rsidRPr="00037CC4">
        <w:rPr>
          <w:rFonts w:ascii="Times New Roman" w:hAnsi="Times New Roman"/>
          <w:lang w:val="en-AU"/>
        </w:rPr>
        <w:t>apable, by virtue of its competence, of the sub-</w:t>
      </w:r>
      <w:r>
        <w:rPr>
          <w:rFonts w:ascii="Times New Roman" w:hAnsi="Times New Roman"/>
          <w:lang w:val="en-AU"/>
        </w:rPr>
        <w:t>unit to carry out human tasks</w:t>
      </w:r>
      <w:r w:rsidRPr="00F54F69">
        <w:t xml:space="preserve"> </w:t>
      </w:r>
      <w:r w:rsidRPr="00F54F69">
        <w:rPr>
          <w:rFonts w:ascii="Times New Roman" w:hAnsi="Times New Roman"/>
          <w:lang w:val="en-AU"/>
        </w:rPr>
        <w:t>in peacetime</w:t>
      </w:r>
      <w:r w:rsidRPr="00037CC4">
        <w:rPr>
          <w:rFonts w:ascii="Times New Roman" w:hAnsi="Times New Roman"/>
          <w:lang w:val="en-AU"/>
        </w:rPr>
        <w:t xml:space="preserve"> </w:t>
      </w:r>
      <w:r>
        <w:rPr>
          <w:rFonts w:ascii="Times New Roman" w:hAnsi="Times New Roman"/>
          <w:lang w:val="en-AU"/>
        </w:rPr>
        <w:t xml:space="preserve">and in </w:t>
      </w:r>
      <w:r w:rsidRPr="00037CC4">
        <w:rPr>
          <w:rFonts w:ascii="Times New Roman" w:hAnsi="Times New Roman"/>
          <w:lang w:val="en-AU"/>
        </w:rPr>
        <w:t>circumstances other than peace</w:t>
      </w:r>
      <w:r w:rsidRPr="005A23CD">
        <w:rPr>
          <w:rFonts w:ascii="Times New Roman" w:hAnsi="Times New Roman"/>
          <w:lang w:val="en-AU"/>
        </w:rPr>
        <w:t>;</w:t>
      </w:r>
    </w:p>
    <w:p w:rsidR="00782188" w:rsidRDefault="00782188" w:rsidP="00980876">
      <w:pPr>
        <w:pStyle w:val="Listaszerbekezds"/>
        <w:numPr>
          <w:ilvl w:val="0"/>
          <w:numId w:val="509"/>
        </w:numPr>
        <w:jc w:val="both"/>
        <w:rPr>
          <w:rFonts w:ascii="Times New Roman" w:hAnsi="Times New Roman"/>
          <w:lang w:val="en-AU"/>
        </w:rPr>
      </w:pPr>
      <w:r>
        <w:rPr>
          <w:rFonts w:ascii="Times New Roman" w:hAnsi="Times New Roman"/>
          <w:lang w:val="en-AU"/>
        </w:rPr>
        <w:t>I</w:t>
      </w:r>
      <w:r w:rsidRPr="00037CC4">
        <w:rPr>
          <w:rFonts w:ascii="Times New Roman" w:hAnsi="Times New Roman"/>
          <w:lang w:val="en-AU"/>
        </w:rPr>
        <w:t>s able to acquire, apply, and transfer knowledge of resource-based human activity to its subordinates</w:t>
      </w:r>
      <w:r>
        <w:rPr>
          <w:rFonts w:ascii="Times New Roman" w:hAnsi="Times New Roman"/>
          <w:lang w:val="en-AU"/>
        </w:rPr>
        <w:t>;</w:t>
      </w:r>
    </w:p>
    <w:p w:rsidR="00782188" w:rsidRPr="005A23CD" w:rsidRDefault="00782188" w:rsidP="00980876">
      <w:pPr>
        <w:pStyle w:val="Listaszerbekezds"/>
        <w:numPr>
          <w:ilvl w:val="0"/>
          <w:numId w:val="509"/>
        </w:numPr>
        <w:jc w:val="both"/>
        <w:rPr>
          <w:rFonts w:ascii="Times New Roman" w:hAnsi="Times New Roman"/>
          <w:lang w:val="en-AU"/>
        </w:rPr>
      </w:pPr>
      <w:r>
        <w:rPr>
          <w:rFonts w:ascii="Times New Roman" w:hAnsi="Times New Roman"/>
          <w:lang w:val="en-AU"/>
        </w:rPr>
        <w:t>Able to</w:t>
      </w:r>
      <w:r w:rsidRPr="00037CC4">
        <w:rPr>
          <w:rFonts w:ascii="Times New Roman" w:hAnsi="Times New Roman"/>
          <w:lang w:val="en-AU"/>
        </w:rPr>
        <w:t xml:space="preserve"> measure the satisfaction of subordinates, reattach it in performance assessment, rating, motivational conversation.</w:t>
      </w:r>
    </w:p>
    <w:p w:rsidR="00976088" w:rsidRDefault="00976088">
      <w:pPr>
        <w:spacing w:after="200" w:line="276" w:lineRule="auto"/>
        <w:rPr>
          <w:rFonts w:ascii="Times New Roman" w:eastAsia="Times New Roman" w:hAnsi="Times New Roman"/>
          <w:b/>
          <w:lang w:val="en-AU"/>
        </w:rPr>
      </w:pPr>
      <w:r>
        <w:rPr>
          <w:rFonts w:ascii="Times New Roman" w:eastAsia="Times New Roman" w:hAnsi="Times New Roman"/>
          <w:b/>
          <w:lang w:val="en-AU"/>
        </w:rPr>
        <w:br w:type="page"/>
      </w:r>
    </w:p>
    <w:p w:rsidR="00782188" w:rsidRPr="005A23CD" w:rsidRDefault="00782188" w:rsidP="00782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b/>
          <w:lang w:val="en-AU"/>
        </w:rPr>
      </w:pPr>
      <w:r w:rsidRPr="005A23CD">
        <w:rPr>
          <w:rFonts w:ascii="Times New Roman" w:eastAsia="Times New Roman" w:hAnsi="Times New Roman"/>
          <w:b/>
          <w:lang w:val="en-AU"/>
        </w:rPr>
        <w:lastRenderedPageBreak/>
        <w:t>Attitude:</w:t>
      </w:r>
    </w:p>
    <w:p w:rsidR="00782188" w:rsidRDefault="00782188" w:rsidP="00980876">
      <w:pPr>
        <w:pStyle w:val="Listaszerbekezds"/>
        <w:numPr>
          <w:ilvl w:val="0"/>
          <w:numId w:val="509"/>
        </w:numPr>
        <w:jc w:val="both"/>
        <w:rPr>
          <w:rFonts w:ascii="Times New Roman" w:eastAsia="Times New Roman" w:hAnsi="Times New Roman"/>
          <w:lang w:val="en-AU"/>
        </w:rPr>
      </w:pPr>
      <w:r>
        <w:rPr>
          <w:rFonts w:ascii="Times New Roman" w:hAnsi="Times New Roman"/>
          <w:lang w:val="en-AU"/>
        </w:rPr>
        <w:t>O</w:t>
      </w:r>
      <w:r w:rsidRPr="00037CC4">
        <w:rPr>
          <w:rFonts w:ascii="Times New Roman" w:hAnsi="Times New Roman"/>
          <w:lang w:val="en-AU"/>
        </w:rPr>
        <w:t>pen to new knowledge and to increase its knowledge, committed to knowledge-building, knowledge maintenance</w:t>
      </w:r>
      <w:r w:rsidRPr="005A23CD">
        <w:rPr>
          <w:rFonts w:ascii="Times New Roman" w:eastAsia="Times New Roman" w:hAnsi="Times New Roman"/>
          <w:lang w:val="en-AU"/>
        </w:rPr>
        <w:t>;</w:t>
      </w:r>
    </w:p>
    <w:p w:rsidR="00782188" w:rsidRPr="00DE7FD4" w:rsidRDefault="00782188" w:rsidP="00980876">
      <w:pPr>
        <w:pStyle w:val="Listaszerbekezds"/>
        <w:numPr>
          <w:ilvl w:val="0"/>
          <w:numId w:val="509"/>
        </w:numPr>
        <w:jc w:val="both"/>
        <w:rPr>
          <w:rFonts w:ascii="Times New Roman" w:eastAsia="Times New Roman" w:hAnsi="Times New Roman"/>
          <w:lang w:val="en-AU"/>
        </w:rPr>
      </w:pPr>
      <w:r w:rsidRPr="00037CC4">
        <w:rPr>
          <w:rFonts w:ascii="Times New Roman" w:hAnsi="Times New Roman"/>
          <w:lang w:val="en-AU"/>
        </w:rPr>
        <w:t xml:space="preserve">In the performance of his duties, he is willing to cooperate, he or she strives to involve subordinates in decision-making processes. </w:t>
      </w:r>
      <w:r>
        <w:rPr>
          <w:rFonts w:ascii="Times New Roman" w:hAnsi="Times New Roman"/>
          <w:lang w:val="en-AU"/>
        </w:rPr>
        <w:t>A</w:t>
      </w:r>
      <w:r w:rsidRPr="00037CC4">
        <w:rPr>
          <w:rFonts w:ascii="Times New Roman" w:hAnsi="Times New Roman"/>
          <w:lang w:val="en-AU"/>
        </w:rPr>
        <w:t xml:space="preserve"> real team player. </w:t>
      </w:r>
      <w:r>
        <w:rPr>
          <w:rFonts w:ascii="Times New Roman" w:hAnsi="Times New Roman"/>
          <w:lang w:val="en-AU"/>
        </w:rPr>
        <w:t>A</w:t>
      </w:r>
      <w:r w:rsidRPr="00037CC4">
        <w:rPr>
          <w:rFonts w:ascii="Times New Roman" w:hAnsi="Times New Roman"/>
          <w:lang w:val="en-AU"/>
        </w:rPr>
        <w:t>ctivities are characterized by a high level of assertion</w:t>
      </w:r>
      <w:r>
        <w:rPr>
          <w:rFonts w:ascii="Times New Roman" w:hAnsi="Times New Roman"/>
          <w:lang w:val="en-AU"/>
        </w:rPr>
        <w:t>;</w:t>
      </w:r>
    </w:p>
    <w:p w:rsidR="00782188" w:rsidRPr="00DE7FD4" w:rsidRDefault="00782188" w:rsidP="00980876">
      <w:pPr>
        <w:pStyle w:val="Listaszerbekezds"/>
        <w:numPr>
          <w:ilvl w:val="0"/>
          <w:numId w:val="509"/>
        </w:numPr>
        <w:jc w:val="both"/>
        <w:rPr>
          <w:rFonts w:ascii="Times New Roman" w:eastAsia="Times New Roman" w:hAnsi="Times New Roman"/>
          <w:lang w:val="en-AU"/>
        </w:rPr>
      </w:pPr>
      <w:r>
        <w:rPr>
          <w:rFonts w:ascii="Times New Roman" w:hAnsi="Times New Roman"/>
          <w:lang w:val="en-AU"/>
        </w:rPr>
        <w:t>S</w:t>
      </w:r>
      <w:r w:rsidRPr="00037CC4">
        <w:rPr>
          <w:rFonts w:ascii="Times New Roman" w:hAnsi="Times New Roman"/>
          <w:lang w:val="en-AU"/>
        </w:rPr>
        <w:t>trives to demonstrate proper self-control, tolerance, empathy and prejudice-free thinking and behavio</w:t>
      </w:r>
      <w:r>
        <w:rPr>
          <w:rFonts w:ascii="Times New Roman" w:hAnsi="Times New Roman"/>
          <w:lang w:val="en-AU"/>
        </w:rPr>
        <w:t>u</w:t>
      </w:r>
      <w:r w:rsidRPr="00037CC4">
        <w:rPr>
          <w:rFonts w:ascii="Times New Roman" w:hAnsi="Times New Roman"/>
          <w:lang w:val="en-AU"/>
        </w:rPr>
        <w:t xml:space="preserve">r in duties. Ready and capable of developing a positive outlook on life </w:t>
      </w:r>
      <w:r>
        <w:rPr>
          <w:rFonts w:ascii="Times New Roman" w:hAnsi="Times New Roman"/>
          <w:lang w:val="en-AU"/>
        </w:rPr>
        <w:t>through "emotional intelligence</w:t>
      </w:r>
      <w:r w:rsidRPr="00037CC4">
        <w:rPr>
          <w:rFonts w:ascii="Times New Roman" w:hAnsi="Times New Roman"/>
          <w:lang w:val="en-AU"/>
        </w:rPr>
        <w:t>"</w:t>
      </w:r>
      <w:r>
        <w:rPr>
          <w:rFonts w:ascii="Times New Roman" w:hAnsi="Times New Roman"/>
          <w:lang w:val="en-AU"/>
        </w:rPr>
        <w:t>;</w:t>
      </w:r>
    </w:p>
    <w:p w:rsidR="00782188" w:rsidRPr="00DE7FD4" w:rsidRDefault="00782188" w:rsidP="00980876">
      <w:pPr>
        <w:pStyle w:val="Listaszerbekezds"/>
        <w:numPr>
          <w:ilvl w:val="0"/>
          <w:numId w:val="509"/>
        </w:numPr>
        <w:jc w:val="both"/>
        <w:rPr>
          <w:rFonts w:ascii="Times New Roman" w:eastAsia="Times New Roman" w:hAnsi="Times New Roman"/>
          <w:lang w:val="en-AU"/>
        </w:rPr>
      </w:pPr>
      <w:r w:rsidRPr="00037CC4">
        <w:rPr>
          <w:rFonts w:ascii="Times New Roman" w:hAnsi="Times New Roman"/>
          <w:lang w:val="en-AU"/>
        </w:rPr>
        <w:t>In his work and human relationships, he is characterized by fairness and reliability, and attaches great importance to trust in his interpersonal relationships</w:t>
      </w:r>
      <w:r>
        <w:rPr>
          <w:rFonts w:ascii="Times New Roman" w:hAnsi="Times New Roman"/>
          <w:lang w:val="en-AU"/>
        </w:rPr>
        <w:t>;</w:t>
      </w:r>
    </w:p>
    <w:p w:rsidR="00782188" w:rsidRPr="00DE7FD4" w:rsidRDefault="00782188" w:rsidP="00980876">
      <w:pPr>
        <w:pStyle w:val="Listaszerbekezds"/>
        <w:numPr>
          <w:ilvl w:val="0"/>
          <w:numId w:val="509"/>
        </w:numPr>
        <w:jc w:val="both"/>
        <w:rPr>
          <w:rFonts w:ascii="Times New Roman" w:eastAsia="Times New Roman" w:hAnsi="Times New Roman"/>
          <w:lang w:val="en-AU"/>
        </w:rPr>
      </w:pPr>
      <w:r w:rsidRPr="00037CC4">
        <w:rPr>
          <w:rFonts w:ascii="Times New Roman" w:hAnsi="Times New Roman"/>
          <w:lang w:val="en-AU"/>
        </w:rPr>
        <w:t>It is committed to the professional work of rule-tracking and quality-oriented behaviour punctuality, continuously improved sense of time</w:t>
      </w:r>
      <w:r>
        <w:rPr>
          <w:rFonts w:ascii="Times New Roman" w:hAnsi="Times New Roman"/>
          <w:lang w:val="en-AU"/>
        </w:rPr>
        <w:t>;</w:t>
      </w:r>
    </w:p>
    <w:p w:rsidR="00782188" w:rsidRPr="00DE7FD4" w:rsidRDefault="00782188" w:rsidP="00980876">
      <w:pPr>
        <w:pStyle w:val="Listaszerbekezds"/>
        <w:numPr>
          <w:ilvl w:val="0"/>
          <w:numId w:val="509"/>
        </w:numPr>
        <w:jc w:val="both"/>
        <w:rPr>
          <w:rFonts w:ascii="Times New Roman" w:eastAsia="Times New Roman" w:hAnsi="Times New Roman"/>
          <w:lang w:val="en-AU"/>
        </w:rPr>
      </w:pPr>
      <w:r>
        <w:rPr>
          <w:rFonts w:ascii="Times New Roman" w:hAnsi="Times New Roman"/>
          <w:lang w:val="en-AU"/>
        </w:rPr>
        <w:t>F</w:t>
      </w:r>
      <w:r w:rsidRPr="00037CC4">
        <w:rPr>
          <w:rFonts w:ascii="Times New Roman" w:hAnsi="Times New Roman"/>
          <w:lang w:val="en-AU"/>
        </w:rPr>
        <w:t>eels at home in the military hierarchy, in the command-domination system, characterized by law-abiding behavio</w:t>
      </w:r>
      <w:r>
        <w:rPr>
          <w:rFonts w:ascii="Times New Roman" w:hAnsi="Times New Roman"/>
          <w:lang w:val="en-AU"/>
        </w:rPr>
        <w:t>u</w:t>
      </w:r>
      <w:r w:rsidRPr="00037CC4">
        <w:rPr>
          <w:rFonts w:ascii="Times New Roman" w:hAnsi="Times New Roman"/>
          <w:lang w:val="en-AU"/>
        </w:rPr>
        <w:t>r</w:t>
      </w:r>
      <w:r>
        <w:rPr>
          <w:rFonts w:ascii="Times New Roman" w:hAnsi="Times New Roman"/>
          <w:lang w:val="en-AU"/>
        </w:rPr>
        <w:t>;</w:t>
      </w:r>
    </w:p>
    <w:p w:rsidR="00782188" w:rsidRPr="005A23CD" w:rsidRDefault="00782188" w:rsidP="00980876">
      <w:pPr>
        <w:pStyle w:val="Listaszerbekezds"/>
        <w:numPr>
          <w:ilvl w:val="0"/>
          <w:numId w:val="509"/>
        </w:numPr>
        <w:jc w:val="both"/>
        <w:rPr>
          <w:rFonts w:ascii="Times New Roman" w:eastAsia="Times New Roman" w:hAnsi="Times New Roman"/>
          <w:lang w:val="en-AU"/>
        </w:rPr>
      </w:pPr>
      <w:r>
        <w:rPr>
          <w:rFonts w:ascii="Times New Roman" w:hAnsi="Times New Roman"/>
          <w:lang w:val="en-AU"/>
        </w:rPr>
        <w:t>O</w:t>
      </w:r>
      <w:r w:rsidRPr="00037CC4">
        <w:rPr>
          <w:rFonts w:ascii="Times New Roman" w:hAnsi="Times New Roman"/>
          <w:lang w:val="en-AU"/>
        </w:rPr>
        <w:t>pen to new achievements and innovations in its open field, and strives to understand and apply them. He is committed to continuously training himself, in which his career ambition can be adapted to the career model.</w:t>
      </w:r>
    </w:p>
    <w:p w:rsidR="00782188" w:rsidRPr="005A23CD" w:rsidRDefault="00782188" w:rsidP="00782188">
      <w:pPr>
        <w:widowControl w:val="0"/>
        <w:spacing w:before="120" w:after="120" w:line="240" w:lineRule="auto"/>
        <w:ind w:left="426"/>
        <w:jc w:val="both"/>
        <w:rPr>
          <w:rFonts w:ascii="Times New Roman" w:eastAsia="Times New Roman" w:hAnsi="Times New Roman"/>
          <w:b/>
          <w:lang w:val="en-AU"/>
        </w:rPr>
      </w:pPr>
      <w:r w:rsidRPr="005A23CD">
        <w:rPr>
          <w:rFonts w:ascii="Times New Roman" w:eastAsia="Times New Roman" w:hAnsi="Times New Roman"/>
          <w:b/>
          <w:lang w:val="en-AU"/>
        </w:rPr>
        <w:t>Autonomy and responsibility:</w:t>
      </w:r>
    </w:p>
    <w:p w:rsidR="00782188" w:rsidRDefault="00782188" w:rsidP="00980876">
      <w:pPr>
        <w:pStyle w:val="Listaszerbekezds"/>
        <w:numPr>
          <w:ilvl w:val="0"/>
          <w:numId w:val="509"/>
        </w:numPr>
        <w:jc w:val="both"/>
        <w:rPr>
          <w:rFonts w:ascii="Times New Roman" w:eastAsia="Times New Roman" w:hAnsi="Times New Roman"/>
          <w:lang w:val="en-AU"/>
        </w:rPr>
      </w:pPr>
      <w:r>
        <w:rPr>
          <w:rFonts w:ascii="Times New Roman" w:hAnsi="Times New Roman"/>
          <w:lang w:val="en-AU"/>
        </w:rPr>
        <w:t>A</w:t>
      </w:r>
      <w:r w:rsidRPr="00037CC4">
        <w:rPr>
          <w:rFonts w:ascii="Times New Roman" w:hAnsi="Times New Roman"/>
          <w:lang w:val="en-AU"/>
        </w:rPr>
        <w:t>ble to take decisions independently, within the scope of its competence, to implement them with responsibility, taking into account the legal framework</w:t>
      </w:r>
      <w:r w:rsidRPr="005A23CD">
        <w:rPr>
          <w:rFonts w:ascii="Times New Roman" w:eastAsia="Times New Roman" w:hAnsi="Times New Roman"/>
          <w:lang w:val="en-AU"/>
        </w:rPr>
        <w:t>;</w:t>
      </w:r>
    </w:p>
    <w:p w:rsidR="00782188" w:rsidRPr="009A7018" w:rsidRDefault="00782188" w:rsidP="00980876">
      <w:pPr>
        <w:pStyle w:val="Listaszerbekezds"/>
        <w:numPr>
          <w:ilvl w:val="0"/>
          <w:numId w:val="509"/>
        </w:numPr>
        <w:jc w:val="both"/>
        <w:rPr>
          <w:rFonts w:ascii="Times New Roman" w:eastAsia="Times New Roman" w:hAnsi="Times New Roman"/>
          <w:lang w:val="en-AU"/>
        </w:rPr>
      </w:pPr>
      <w:r>
        <w:rPr>
          <w:rFonts w:ascii="Times New Roman" w:hAnsi="Times New Roman"/>
          <w:lang w:val="en-AU"/>
        </w:rPr>
        <w:t>I</w:t>
      </w:r>
      <w:r w:rsidRPr="00037CC4">
        <w:rPr>
          <w:rFonts w:ascii="Times New Roman" w:hAnsi="Times New Roman"/>
          <w:lang w:val="en-AU"/>
        </w:rPr>
        <w:t>s aware of the effects of his decisions, human risk analysis, modern methods</w:t>
      </w:r>
      <w:r>
        <w:rPr>
          <w:rFonts w:ascii="Times New Roman" w:hAnsi="Times New Roman"/>
          <w:lang w:val="en-AU"/>
        </w:rPr>
        <w:t>;</w:t>
      </w:r>
    </w:p>
    <w:p w:rsidR="00782188" w:rsidRPr="005A23CD" w:rsidRDefault="00782188" w:rsidP="00980876">
      <w:pPr>
        <w:pStyle w:val="Listaszerbekezds"/>
        <w:numPr>
          <w:ilvl w:val="0"/>
          <w:numId w:val="509"/>
        </w:numPr>
        <w:jc w:val="both"/>
        <w:rPr>
          <w:rFonts w:ascii="Times New Roman" w:eastAsia="Times New Roman" w:hAnsi="Times New Roman"/>
          <w:lang w:val="en-AU"/>
        </w:rPr>
      </w:pPr>
      <w:r w:rsidRPr="00037CC4">
        <w:rPr>
          <w:rFonts w:ascii="Times New Roman" w:hAnsi="Times New Roman"/>
          <w:lang w:val="en-AU"/>
        </w:rPr>
        <w:t>Responsible for the professional activities, performance assessment and career development of its subordinates under its management</w:t>
      </w:r>
      <w:r>
        <w:rPr>
          <w:rFonts w:ascii="Times New Roman" w:hAnsi="Times New Roman"/>
          <w:lang w:val="en-AU"/>
        </w:rPr>
        <w:t>.</w:t>
      </w:r>
    </w:p>
    <w:p w:rsidR="00782188" w:rsidRPr="00675535" w:rsidRDefault="00782188" w:rsidP="00980876">
      <w:pPr>
        <w:widowControl w:val="0"/>
        <w:numPr>
          <w:ilvl w:val="0"/>
          <w:numId w:val="512"/>
        </w:numPr>
        <w:tabs>
          <w:tab w:val="num" w:pos="567"/>
        </w:tabs>
        <w:spacing w:before="120" w:after="120" w:line="240" w:lineRule="auto"/>
        <w:ind w:left="426" w:hanging="142"/>
        <w:jc w:val="both"/>
        <w:rPr>
          <w:rFonts w:ascii="Times New Roman" w:eastAsia="Times New Roman" w:hAnsi="Times New Roman"/>
          <w:bCs/>
        </w:rPr>
      </w:pPr>
      <w:r w:rsidRPr="00675535">
        <w:rPr>
          <w:rFonts w:ascii="Times New Roman" w:eastAsia="Times New Roman" w:hAnsi="Times New Roman"/>
          <w:b/>
          <w:bCs/>
        </w:rPr>
        <w:t xml:space="preserve">Előtanulmányi követelmények: </w:t>
      </w:r>
      <w:r>
        <w:rPr>
          <w:rFonts w:ascii="Times New Roman" w:eastAsia="Times New Roman" w:hAnsi="Times New Roman"/>
          <w:bCs/>
        </w:rPr>
        <w:t>nincs</w:t>
      </w:r>
    </w:p>
    <w:p w:rsidR="00782188" w:rsidRPr="00675535" w:rsidRDefault="00782188" w:rsidP="00980876">
      <w:pPr>
        <w:widowControl w:val="0"/>
        <w:numPr>
          <w:ilvl w:val="0"/>
          <w:numId w:val="512"/>
        </w:numPr>
        <w:tabs>
          <w:tab w:val="num" w:pos="567"/>
        </w:tabs>
        <w:spacing w:before="120" w:after="120" w:line="240" w:lineRule="auto"/>
        <w:ind w:left="426" w:hanging="142"/>
        <w:jc w:val="both"/>
        <w:rPr>
          <w:rFonts w:ascii="Times New Roman" w:eastAsia="Times New Roman" w:hAnsi="Times New Roman"/>
          <w:b/>
          <w:bCs/>
        </w:rPr>
      </w:pPr>
      <w:r w:rsidRPr="00675535">
        <w:rPr>
          <w:rFonts w:ascii="Times New Roman" w:eastAsia="Times New Roman" w:hAnsi="Times New Roman"/>
          <w:b/>
          <w:bCs/>
        </w:rPr>
        <w:t xml:space="preserve">A tantárgy tananyagának leírása, tematika. Description of the subject, curriculum </w:t>
      </w:r>
    </w:p>
    <w:p w:rsidR="00782188" w:rsidRPr="00675535" w:rsidRDefault="00782188" w:rsidP="00782188">
      <w:pPr>
        <w:widowControl w:val="0"/>
        <w:spacing w:before="120" w:after="120" w:line="240" w:lineRule="auto"/>
        <w:ind w:left="426"/>
        <w:jc w:val="both"/>
        <w:rPr>
          <w:rFonts w:ascii="Times New Roman" w:eastAsia="Times New Roman" w:hAnsi="Times New Roman"/>
          <w:b/>
          <w:bCs/>
        </w:rPr>
      </w:pPr>
      <w:r w:rsidRPr="00675535">
        <w:rPr>
          <w:rFonts w:ascii="Times New Roman" w:eastAsia="Times New Roman" w:hAnsi="Times New Roman"/>
          <w:b/>
          <w:bCs/>
        </w:rPr>
        <w:t xml:space="preserve">(magyarul, angolul </w:t>
      </w:r>
      <w:r>
        <w:rPr>
          <w:rFonts w:ascii="Times New Roman" w:eastAsia="Times New Roman" w:hAnsi="Times New Roman"/>
          <w:b/>
          <w:bCs/>
        </w:rPr>
        <w:t>–</w:t>
      </w:r>
      <w:r w:rsidRPr="00675535">
        <w:rPr>
          <w:rFonts w:ascii="Times New Roman" w:eastAsia="Times New Roman" w:hAnsi="Times New Roman"/>
          <w:b/>
          <w:bCs/>
        </w:rPr>
        <w:t xml:space="preserve"> English):</w:t>
      </w:r>
    </w:p>
    <w:p w:rsidR="00782188" w:rsidRPr="00C506B1" w:rsidRDefault="00782188" w:rsidP="00980876">
      <w:pPr>
        <w:widowControl w:val="0"/>
        <w:numPr>
          <w:ilvl w:val="1"/>
          <w:numId w:val="512"/>
        </w:numPr>
        <w:shd w:val="clear" w:color="auto" w:fill="FFFFFF"/>
        <w:tabs>
          <w:tab w:val="clear" w:pos="3977"/>
          <w:tab w:val="num" w:pos="2069"/>
        </w:tabs>
        <w:spacing w:after="0" w:line="240" w:lineRule="auto"/>
        <w:ind w:left="992" w:hanging="567"/>
        <w:jc w:val="both"/>
        <w:rPr>
          <w:rFonts w:ascii="Times New Roman" w:eastAsia="Times New Roman" w:hAnsi="Times New Roman"/>
          <w:bCs/>
          <w:i/>
          <w:lang w:val="en-AU"/>
        </w:rPr>
      </w:pPr>
      <w:r w:rsidRPr="00C51058">
        <w:rPr>
          <w:rFonts w:ascii="Times New Roman" w:eastAsia="Times New Roman" w:hAnsi="Times New Roman"/>
          <w:bCs/>
        </w:rPr>
        <w:t xml:space="preserve">Bevezetés – követelmények – a </w:t>
      </w:r>
      <w:r>
        <w:rPr>
          <w:rFonts w:ascii="Times New Roman" w:eastAsia="Times New Roman" w:hAnsi="Times New Roman"/>
          <w:bCs/>
        </w:rPr>
        <w:t>HRM</w:t>
      </w:r>
      <w:r w:rsidRPr="00C51058">
        <w:rPr>
          <w:rFonts w:ascii="Times New Roman" w:eastAsia="Times New Roman" w:hAnsi="Times New Roman"/>
          <w:bCs/>
        </w:rPr>
        <w:t xml:space="preserve"> fogalmi rendszere, fejlődése </w:t>
      </w:r>
      <w:r>
        <w:rPr>
          <w:rFonts w:ascii="Times New Roman" w:eastAsia="Times New Roman" w:hAnsi="Times New Roman"/>
          <w:bCs/>
        </w:rPr>
        <w:t xml:space="preserve">a </w:t>
      </w:r>
      <w:r w:rsidRPr="00C51058">
        <w:rPr>
          <w:rFonts w:ascii="Times New Roman" w:eastAsia="Times New Roman" w:hAnsi="Times New Roman"/>
          <w:bCs/>
        </w:rPr>
        <w:t>20</w:t>
      </w:r>
      <w:r>
        <w:rPr>
          <w:rFonts w:ascii="Times New Roman" w:eastAsia="Times New Roman" w:hAnsi="Times New Roman"/>
          <w:bCs/>
        </w:rPr>
        <w:t>.</w:t>
      </w:r>
      <w:r w:rsidRPr="00C51058">
        <w:rPr>
          <w:rFonts w:ascii="Times New Roman" w:eastAsia="Times New Roman" w:hAnsi="Times New Roman"/>
          <w:bCs/>
        </w:rPr>
        <w:t xml:space="preserve"> századig</w:t>
      </w:r>
      <w:r>
        <w:rPr>
          <w:rFonts w:ascii="Times New Roman" w:eastAsia="Times New Roman" w:hAnsi="Times New Roman"/>
          <w:bCs/>
        </w:rPr>
        <w:t>.</w:t>
      </w:r>
      <w:r w:rsidRPr="00C51058">
        <w:rPr>
          <w:rFonts w:ascii="Times New Roman" w:eastAsia="Times New Roman" w:hAnsi="Times New Roman"/>
          <w:bCs/>
        </w:rPr>
        <w:t xml:space="preserve"> </w:t>
      </w:r>
      <w:r w:rsidRPr="00305626">
        <w:rPr>
          <w:rFonts w:ascii="Times New Roman" w:eastAsia="Times New Roman" w:hAnsi="Times New Roman"/>
          <w:bCs/>
          <w:i/>
        </w:rPr>
        <w:t>(</w:t>
      </w:r>
      <w:r w:rsidRPr="00305626">
        <w:rPr>
          <w:rFonts w:ascii="Times New Roman" w:eastAsia="Times New Roman" w:hAnsi="Times New Roman"/>
          <w:bCs/>
          <w:i/>
          <w:lang w:val="en"/>
        </w:rPr>
        <w:t>Introduction – requirements – the conceptual system of HRM and its development to the 20</w:t>
      </w:r>
      <w:r w:rsidRPr="00305626">
        <w:rPr>
          <w:rFonts w:ascii="Times New Roman" w:eastAsia="Times New Roman" w:hAnsi="Times New Roman"/>
          <w:bCs/>
          <w:i/>
          <w:vertAlign w:val="superscript"/>
          <w:lang w:val="en"/>
        </w:rPr>
        <w:t>th</w:t>
      </w:r>
      <w:r w:rsidRPr="00305626">
        <w:rPr>
          <w:rFonts w:ascii="Times New Roman" w:eastAsia="Times New Roman" w:hAnsi="Times New Roman"/>
          <w:bCs/>
          <w:i/>
          <w:lang w:val="en"/>
        </w:rPr>
        <w:t xml:space="preserve"> century</w:t>
      </w:r>
      <w:r>
        <w:rPr>
          <w:rFonts w:ascii="Times New Roman" w:eastAsia="Times New Roman" w:hAnsi="Times New Roman"/>
          <w:bCs/>
          <w:i/>
          <w:lang w:val="en"/>
        </w:rPr>
        <w:t>.</w:t>
      </w:r>
      <w:r w:rsidRPr="00305626">
        <w:rPr>
          <w:rFonts w:ascii="Times New Roman" w:eastAsia="Times New Roman" w:hAnsi="Times New Roman"/>
          <w:bCs/>
          <w:i/>
          <w:lang w:val="en"/>
        </w:rPr>
        <w:t>)</w:t>
      </w:r>
    </w:p>
    <w:p w:rsidR="00782188" w:rsidRPr="009A7018" w:rsidRDefault="00782188" w:rsidP="00980876">
      <w:pPr>
        <w:widowControl w:val="0"/>
        <w:numPr>
          <w:ilvl w:val="1"/>
          <w:numId w:val="512"/>
        </w:numPr>
        <w:shd w:val="clear" w:color="auto" w:fill="FFFFFF"/>
        <w:tabs>
          <w:tab w:val="clear" w:pos="3977"/>
          <w:tab w:val="num" w:pos="2069"/>
        </w:tabs>
        <w:spacing w:after="0" w:line="240" w:lineRule="auto"/>
        <w:ind w:left="992" w:hanging="567"/>
        <w:jc w:val="both"/>
        <w:rPr>
          <w:rFonts w:ascii="Times New Roman" w:eastAsia="Times New Roman" w:hAnsi="Times New Roman"/>
          <w:b/>
          <w:bCs/>
          <w:lang w:eastAsia="hu-HU"/>
        </w:rPr>
      </w:pPr>
      <w:r w:rsidRPr="00C51058">
        <w:rPr>
          <w:rFonts w:ascii="Times New Roman" w:eastAsia="Times New Roman" w:hAnsi="Times New Roman"/>
          <w:bCs/>
          <w:lang w:eastAsia="hu-HU"/>
        </w:rPr>
        <w:t xml:space="preserve">A </w:t>
      </w:r>
      <w:r>
        <w:rPr>
          <w:rFonts w:ascii="Times New Roman" w:eastAsia="Times New Roman" w:hAnsi="Times New Roman"/>
          <w:bCs/>
          <w:lang w:eastAsia="hu-HU"/>
        </w:rPr>
        <w:t>humán</w:t>
      </w:r>
      <w:r w:rsidRPr="00C51058">
        <w:rPr>
          <w:rFonts w:ascii="Times New Roman" w:eastAsia="Times New Roman" w:hAnsi="Times New Roman"/>
          <w:bCs/>
          <w:lang w:eastAsia="hu-HU"/>
        </w:rPr>
        <w:t xml:space="preserve"> </w:t>
      </w:r>
      <w:r>
        <w:rPr>
          <w:rFonts w:ascii="Times New Roman" w:eastAsia="Times New Roman" w:hAnsi="Times New Roman"/>
          <w:bCs/>
          <w:lang w:eastAsia="hu-HU"/>
        </w:rPr>
        <w:t>tevékenység</w:t>
      </w:r>
      <w:r w:rsidRPr="00C51058">
        <w:rPr>
          <w:rFonts w:ascii="Times New Roman" w:eastAsia="Times New Roman" w:hAnsi="Times New Roman"/>
          <w:bCs/>
          <w:lang w:eastAsia="hu-HU"/>
        </w:rPr>
        <w:t xml:space="preserve"> fejlődése napjainkig</w:t>
      </w:r>
      <w:r>
        <w:rPr>
          <w:rFonts w:ascii="Times New Roman" w:eastAsia="Times New Roman" w:hAnsi="Times New Roman"/>
          <w:bCs/>
          <w:lang w:eastAsia="hu-HU"/>
        </w:rPr>
        <w:t>.</w:t>
      </w:r>
      <w:r w:rsidRPr="00C51058">
        <w:rPr>
          <w:rFonts w:ascii="Times New Roman" w:eastAsia="Times New Roman" w:hAnsi="Times New Roman"/>
          <w:bCs/>
          <w:lang w:eastAsia="hu-HU"/>
        </w:rPr>
        <w:t xml:space="preserve"> </w:t>
      </w:r>
      <w:r w:rsidRPr="00305626">
        <w:rPr>
          <w:rFonts w:ascii="Times New Roman" w:eastAsia="Times New Roman" w:hAnsi="Times New Roman"/>
          <w:bCs/>
          <w:i/>
          <w:lang w:val="en-AU" w:eastAsia="hu-HU"/>
        </w:rPr>
        <w:t>(</w:t>
      </w:r>
      <w:r w:rsidRPr="00305626">
        <w:rPr>
          <w:rFonts w:ascii="Times New Roman" w:hAnsi="Times New Roman"/>
          <w:i/>
          <w:lang w:val="en"/>
        </w:rPr>
        <w:t>The development of human activity to date</w:t>
      </w:r>
      <w:r>
        <w:rPr>
          <w:rFonts w:ascii="Times New Roman" w:hAnsi="Times New Roman"/>
          <w:i/>
          <w:lang w:val="en"/>
        </w:rPr>
        <w:t>.</w:t>
      </w:r>
      <w:r w:rsidRPr="00305626">
        <w:rPr>
          <w:rFonts w:ascii="Times New Roman" w:eastAsia="Times New Roman" w:hAnsi="Times New Roman"/>
          <w:bCs/>
          <w:i/>
          <w:lang w:val="en" w:eastAsia="hu-HU"/>
        </w:rPr>
        <w:t>)</w:t>
      </w:r>
    </w:p>
    <w:p w:rsidR="00782188" w:rsidRPr="00305626" w:rsidRDefault="00782188" w:rsidP="00980876">
      <w:pPr>
        <w:widowControl w:val="0"/>
        <w:numPr>
          <w:ilvl w:val="1"/>
          <w:numId w:val="512"/>
        </w:numPr>
        <w:shd w:val="clear" w:color="auto" w:fill="FFFFFF"/>
        <w:tabs>
          <w:tab w:val="clear" w:pos="3977"/>
          <w:tab w:val="num" w:pos="2069"/>
        </w:tabs>
        <w:spacing w:after="0" w:line="240" w:lineRule="auto"/>
        <w:ind w:left="992" w:hanging="567"/>
        <w:jc w:val="both"/>
        <w:rPr>
          <w:rFonts w:ascii="Times New Roman" w:eastAsia="Times New Roman" w:hAnsi="Times New Roman"/>
          <w:b/>
          <w:bCs/>
          <w:i/>
          <w:lang w:eastAsia="hu-HU"/>
        </w:rPr>
      </w:pPr>
      <w:r>
        <w:rPr>
          <w:rFonts w:ascii="Times New Roman" w:eastAsia="Times New Roman" w:hAnsi="Times New Roman"/>
          <w:bCs/>
          <w:lang w:eastAsia="hu-HU"/>
        </w:rPr>
        <w:t xml:space="preserve">Toborzás, kiválasztás, beillesztés, mentorálás a katonai szervezetben. </w:t>
      </w:r>
      <w:r w:rsidRPr="00305626">
        <w:rPr>
          <w:rFonts w:ascii="Times New Roman" w:eastAsia="Times New Roman" w:hAnsi="Times New Roman"/>
          <w:bCs/>
          <w:i/>
          <w:lang w:eastAsia="hu-HU"/>
        </w:rPr>
        <w:t>(</w:t>
      </w:r>
      <w:r w:rsidRPr="00305626">
        <w:rPr>
          <w:rFonts w:ascii="Times New Roman" w:hAnsi="Times New Roman"/>
          <w:i/>
          <w:lang w:val="en"/>
        </w:rPr>
        <w:t>Recruitment, selection, pasting, mentoring in the military organization</w:t>
      </w:r>
      <w:r>
        <w:rPr>
          <w:rFonts w:ascii="Times New Roman" w:hAnsi="Times New Roman"/>
          <w:i/>
          <w:lang w:val="en"/>
        </w:rPr>
        <w:t>.</w:t>
      </w:r>
      <w:r w:rsidRPr="00305626">
        <w:rPr>
          <w:rFonts w:ascii="Times New Roman" w:eastAsia="Times New Roman" w:hAnsi="Times New Roman"/>
          <w:bCs/>
          <w:i/>
          <w:lang w:val="en" w:eastAsia="hu-HU"/>
        </w:rPr>
        <w:t>)</w:t>
      </w:r>
    </w:p>
    <w:p w:rsidR="00782188" w:rsidRPr="009A7018" w:rsidRDefault="00782188" w:rsidP="00980876">
      <w:pPr>
        <w:widowControl w:val="0"/>
        <w:numPr>
          <w:ilvl w:val="1"/>
          <w:numId w:val="512"/>
        </w:numPr>
        <w:shd w:val="clear" w:color="auto" w:fill="FFFFFF"/>
        <w:tabs>
          <w:tab w:val="clear" w:pos="3977"/>
          <w:tab w:val="num" w:pos="2069"/>
        </w:tabs>
        <w:spacing w:after="0" w:line="240" w:lineRule="auto"/>
        <w:ind w:left="992" w:hanging="567"/>
        <w:jc w:val="both"/>
        <w:rPr>
          <w:rFonts w:ascii="Times New Roman" w:eastAsia="Times New Roman" w:hAnsi="Times New Roman"/>
          <w:b/>
          <w:bCs/>
          <w:lang w:eastAsia="hu-HU"/>
        </w:rPr>
      </w:pPr>
      <w:r>
        <w:rPr>
          <w:rFonts w:ascii="Times New Roman" w:eastAsia="Times New Roman" w:hAnsi="Times New Roman"/>
          <w:bCs/>
          <w:lang w:eastAsia="hu-HU"/>
        </w:rPr>
        <w:t>Munkakörelemzés, munkaköri térkép, munkaköri leírás, munkaköri kompetencia regiszter.</w:t>
      </w:r>
      <w:r w:rsidRPr="00DE455F">
        <w:rPr>
          <w:lang w:val="en"/>
        </w:rPr>
        <w:t xml:space="preserve"> </w:t>
      </w:r>
      <w:r w:rsidRPr="00305626">
        <w:rPr>
          <w:i/>
          <w:lang w:val="en"/>
        </w:rPr>
        <w:t>(</w:t>
      </w:r>
      <w:r w:rsidRPr="00305626">
        <w:rPr>
          <w:rFonts w:ascii="Times New Roman" w:hAnsi="Times New Roman"/>
          <w:i/>
          <w:lang w:val="en"/>
        </w:rPr>
        <w:t>Job analysis, job map, job description, job, competency register</w:t>
      </w:r>
      <w:r>
        <w:rPr>
          <w:rFonts w:ascii="Times New Roman" w:hAnsi="Times New Roman"/>
          <w:i/>
          <w:lang w:val="en"/>
        </w:rPr>
        <w:t>.</w:t>
      </w:r>
      <w:r w:rsidRPr="00305626">
        <w:rPr>
          <w:rFonts w:ascii="Times New Roman" w:hAnsi="Times New Roman"/>
          <w:i/>
          <w:lang w:val="en"/>
        </w:rPr>
        <w:t>)</w:t>
      </w:r>
    </w:p>
    <w:p w:rsidR="00782188" w:rsidRPr="00305626" w:rsidRDefault="00782188" w:rsidP="00980876">
      <w:pPr>
        <w:widowControl w:val="0"/>
        <w:numPr>
          <w:ilvl w:val="1"/>
          <w:numId w:val="512"/>
        </w:numPr>
        <w:shd w:val="clear" w:color="auto" w:fill="FFFFFF"/>
        <w:tabs>
          <w:tab w:val="clear" w:pos="3977"/>
          <w:tab w:val="num" w:pos="2069"/>
        </w:tabs>
        <w:spacing w:after="0" w:line="240" w:lineRule="auto"/>
        <w:ind w:left="992" w:hanging="567"/>
        <w:jc w:val="both"/>
        <w:rPr>
          <w:rFonts w:ascii="Times New Roman" w:eastAsia="Times New Roman" w:hAnsi="Times New Roman"/>
          <w:b/>
          <w:bCs/>
          <w:i/>
          <w:lang w:eastAsia="hu-HU"/>
        </w:rPr>
      </w:pPr>
      <w:r w:rsidRPr="00DB5F5B">
        <w:rPr>
          <w:rFonts w:ascii="Times New Roman" w:eastAsia="Times New Roman" w:hAnsi="Times New Roman"/>
          <w:bCs/>
          <w:lang w:eastAsia="hu-HU"/>
        </w:rPr>
        <w:t>Katonai humán erőforrás fejlesztés, képzés, továbbképzés, tiszti és az altiszti állományban. Digitális transzformáció, a humán szervezet ezirán</w:t>
      </w:r>
      <w:r>
        <w:rPr>
          <w:rFonts w:ascii="Times New Roman" w:eastAsia="Times New Roman" w:hAnsi="Times New Roman"/>
          <w:bCs/>
          <w:lang w:eastAsia="hu-HU"/>
        </w:rPr>
        <w:t>yú tevékenységét megkönnyítendő.</w:t>
      </w:r>
      <w:r w:rsidRPr="00DB5F5B">
        <w:rPr>
          <w:rFonts w:ascii="Times New Roman" w:eastAsia="Times New Roman" w:hAnsi="Times New Roman"/>
          <w:bCs/>
          <w:lang w:eastAsia="hu-HU"/>
        </w:rPr>
        <w:t xml:space="preserve"> </w:t>
      </w:r>
      <w:r w:rsidRPr="00305626">
        <w:rPr>
          <w:rFonts w:ascii="Times New Roman" w:eastAsia="Times New Roman" w:hAnsi="Times New Roman"/>
          <w:bCs/>
          <w:i/>
          <w:lang w:eastAsia="hu-HU"/>
        </w:rPr>
        <w:t>(</w:t>
      </w:r>
      <w:r w:rsidRPr="00305626">
        <w:rPr>
          <w:rFonts w:ascii="Times New Roman" w:eastAsia="Times New Roman" w:hAnsi="Times New Roman"/>
          <w:bCs/>
          <w:i/>
          <w:lang w:val="en" w:eastAsia="hu-HU"/>
        </w:rPr>
        <w:t>Military human resources development, training, further training, officer and NCO personnel. Digital transformation to facilitate the human organization’s activities in this area.)</w:t>
      </w:r>
    </w:p>
    <w:p w:rsidR="00782188" w:rsidRPr="009A7018" w:rsidRDefault="00782188" w:rsidP="00980876">
      <w:pPr>
        <w:widowControl w:val="0"/>
        <w:numPr>
          <w:ilvl w:val="1"/>
          <w:numId w:val="512"/>
        </w:numPr>
        <w:shd w:val="clear" w:color="auto" w:fill="FFFFFF"/>
        <w:tabs>
          <w:tab w:val="clear" w:pos="3977"/>
          <w:tab w:val="num" w:pos="2069"/>
        </w:tabs>
        <w:spacing w:after="0" w:line="240" w:lineRule="auto"/>
        <w:ind w:left="992" w:hanging="567"/>
        <w:jc w:val="both"/>
        <w:rPr>
          <w:rFonts w:ascii="Times New Roman" w:eastAsia="Times New Roman" w:hAnsi="Times New Roman"/>
          <w:b/>
          <w:bCs/>
          <w:lang w:eastAsia="hu-HU"/>
        </w:rPr>
      </w:pPr>
      <w:r w:rsidRPr="00C51058">
        <w:rPr>
          <w:rFonts w:ascii="Times New Roman" w:eastAsia="Times New Roman" w:hAnsi="Times New Roman"/>
          <w:bCs/>
          <w:lang w:eastAsia="hu-HU"/>
        </w:rPr>
        <w:t>Szeminárium – kiselőadások</w:t>
      </w:r>
      <w:r>
        <w:rPr>
          <w:rFonts w:ascii="Times New Roman" w:eastAsia="Times New Roman" w:hAnsi="Times New Roman"/>
          <w:bCs/>
          <w:lang w:eastAsia="hu-HU"/>
        </w:rPr>
        <w:t>.</w:t>
      </w:r>
      <w:r w:rsidRPr="00C51058">
        <w:rPr>
          <w:rFonts w:ascii="Times New Roman" w:eastAsia="Times New Roman" w:hAnsi="Times New Roman"/>
          <w:bCs/>
          <w:lang w:eastAsia="hu-HU"/>
        </w:rPr>
        <w:t xml:space="preserve"> </w:t>
      </w:r>
      <w:r w:rsidRPr="00305626">
        <w:rPr>
          <w:rFonts w:ascii="Times New Roman" w:eastAsia="Times New Roman" w:hAnsi="Times New Roman"/>
          <w:bCs/>
          <w:i/>
          <w:lang w:eastAsia="hu-HU"/>
        </w:rPr>
        <w:t>(</w:t>
      </w:r>
      <w:r w:rsidRPr="00305626">
        <w:rPr>
          <w:rFonts w:ascii="Times New Roman" w:eastAsia="Times New Roman" w:hAnsi="Times New Roman"/>
          <w:bCs/>
          <w:i/>
          <w:lang w:val="en" w:eastAsia="hu-HU"/>
        </w:rPr>
        <w:t>Seminar – short presentations.)</w:t>
      </w:r>
    </w:p>
    <w:p w:rsidR="00782188" w:rsidRPr="00305626" w:rsidRDefault="00782188" w:rsidP="00980876">
      <w:pPr>
        <w:widowControl w:val="0"/>
        <w:numPr>
          <w:ilvl w:val="1"/>
          <w:numId w:val="512"/>
        </w:numPr>
        <w:shd w:val="clear" w:color="auto" w:fill="FFFFFF"/>
        <w:tabs>
          <w:tab w:val="clear" w:pos="3977"/>
          <w:tab w:val="num" w:pos="2069"/>
        </w:tabs>
        <w:spacing w:after="0" w:line="240" w:lineRule="auto"/>
        <w:ind w:left="992" w:hanging="567"/>
        <w:jc w:val="both"/>
        <w:rPr>
          <w:rFonts w:ascii="Times New Roman" w:eastAsia="Times New Roman" w:hAnsi="Times New Roman"/>
          <w:b/>
          <w:bCs/>
          <w:i/>
          <w:lang w:eastAsia="hu-HU"/>
        </w:rPr>
      </w:pPr>
      <w:r>
        <w:rPr>
          <w:rFonts w:ascii="Times New Roman" w:eastAsia="Times New Roman" w:hAnsi="Times New Roman"/>
          <w:bCs/>
          <w:lang w:eastAsia="hu-HU"/>
        </w:rPr>
        <w:t>Javadalmazás, ösztönzésmenedzsment a katonai szervezetekben.</w:t>
      </w:r>
      <w:r w:rsidRPr="00C51058">
        <w:rPr>
          <w:rFonts w:ascii="Times New Roman" w:eastAsia="Times New Roman" w:hAnsi="Times New Roman"/>
          <w:bCs/>
          <w:lang w:eastAsia="hu-HU"/>
        </w:rPr>
        <w:t xml:space="preserve"> </w:t>
      </w:r>
      <w:r w:rsidRPr="00305626">
        <w:rPr>
          <w:rFonts w:ascii="Times New Roman" w:eastAsia="Times New Roman" w:hAnsi="Times New Roman"/>
          <w:bCs/>
          <w:i/>
          <w:lang w:eastAsia="hu-HU"/>
        </w:rPr>
        <w:t>(</w:t>
      </w:r>
      <w:r w:rsidRPr="00305626">
        <w:rPr>
          <w:rFonts w:ascii="Times New Roman" w:eastAsia="Times New Roman" w:hAnsi="Times New Roman"/>
          <w:bCs/>
          <w:i/>
          <w:lang w:val="en" w:eastAsia="hu-HU"/>
        </w:rPr>
        <w:t>Remuneration, incentive management in military organizations.)</w:t>
      </w:r>
    </w:p>
    <w:p w:rsidR="00782188" w:rsidRPr="00305626" w:rsidRDefault="00782188" w:rsidP="00980876">
      <w:pPr>
        <w:widowControl w:val="0"/>
        <w:numPr>
          <w:ilvl w:val="1"/>
          <w:numId w:val="512"/>
        </w:numPr>
        <w:shd w:val="clear" w:color="auto" w:fill="FFFFFF"/>
        <w:tabs>
          <w:tab w:val="clear" w:pos="3977"/>
          <w:tab w:val="num" w:pos="2069"/>
        </w:tabs>
        <w:spacing w:after="0" w:line="240" w:lineRule="auto"/>
        <w:ind w:left="992" w:hanging="567"/>
        <w:jc w:val="both"/>
        <w:rPr>
          <w:rFonts w:ascii="Times New Roman" w:eastAsia="Times New Roman" w:hAnsi="Times New Roman"/>
          <w:b/>
          <w:bCs/>
          <w:i/>
          <w:lang w:eastAsia="hu-HU"/>
        </w:rPr>
      </w:pPr>
      <w:r w:rsidRPr="00C51058">
        <w:rPr>
          <w:rFonts w:ascii="Times New Roman" w:eastAsia="Times New Roman" w:hAnsi="Times New Roman"/>
          <w:bCs/>
          <w:lang w:eastAsia="hu-HU"/>
        </w:rPr>
        <w:t xml:space="preserve">A közszolgálati </w:t>
      </w:r>
      <w:r>
        <w:rPr>
          <w:rFonts w:ascii="Times New Roman" w:eastAsia="Times New Roman" w:hAnsi="Times New Roman"/>
          <w:bCs/>
          <w:lang w:eastAsia="hu-HU"/>
        </w:rPr>
        <w:t xml:space="preserve">HRM </w:t>
      </w:r>
      <w:r w:rsidRPr="00C51058">
        <w:rPr>
          <w:rFonts w:ascii="Times New Roman" w:eastAsia="Times New Roman" w:hAnsi="Times New Roman"/>
          <w:bCs/>
          <w:lang w:eastAsia="hu-HU"/>
        </w:rPr>
        <w:t>főbb jellemzői</w:t>
      </w:r>
      <w:r>
        <w:rPr>
          <w:rFonts w:ascii="Times New Roman" w:eastAsia="Times New Roman" w:hAnsi="Times New Roman"/>
          <w:bCs/>
          <w:lang w:eastAsia="hu-HU"/>
        </w:rPr>
        <w:t>, mobilitás a hazai munkaerőpiacon.</w:t>
      </w:r>
      <w:r w:rsidRPr="00C51058">
        <w:rPr>
          <w:rFonts w:ascii="Times New Roman" w:eastAsia="Times New Roman" w:hAnsi="Times New Roman"/>
          <w:bCs/>
          <w:lang w:eastAsia="hu-HU"/>
        </w:rPr>
        <w:t xml:space="preserve"> </w:t>
      </w:r>
      <w:r w:rsidRPr="00305626">
        <w:rPr>
          <w:rFonts w:ascii="Times New Roman" w:eastAsia="Times New Roman" w:hAnsi="Times New Roman"/>
          <w:bCs/>
          <w:i/>
          <w:lang w:eastAsia="hu-HU"/>
        </w:rPr>
        <w:t>(</w:t>
      </w:r>
      <w:r w:rsidRPr="00305626">
        <w:rPr>
          <w:rFonts w:ascii="Times New Roman" w:eastAsia="Times New Roman" w:hAnsi="Times New Roman"/>
          <w:bCs/>
          <w:i/>
          <w:lang w:val="en" w:eastAsia="hu-HU"/>
        </w:rPr>
        <w:t>Main features of the Public Service HRM, mobility in the domestic labour market.)</w:t>
      </w:r>
    </w:p>
    <w:p w:rsidR="00782188" w:rsidRPr="009A7018" w:rsidRDefault="00782188" w:rsidP="00980876">
      <w:pPr>
        <w:widowControl w:val="0"/>
        <w:numPr>
          <w:ilvl w:val="1"/>
          <w:numId w:val="512"/>
        </w:numPr>
        <w:shd w:val="clear" w:color="auto" w:fill="FFFFFF"/>
        <w:tabs>
          <w:tab w:val="clear" w:pos="3977"/>
          <w:tab w:val="num" w:pos="2069"/>
        </w:tabs>
        <w:spacing w:after="0" w:line="240" w:lineRule="auto"/>
        <w:ind w:left="992" w:hanging="567"/>
        <w:jc w:val="both"/>
        <w:rPr>
          <w:rFonts w:ascii="Times New Roman" w:eastAsia="Times New Roman" w:hAnsi="Times New Roman"/>
          <w:b/>
          <w:bCs/>
          <w:lang w:eastAsia="hu-HU"/>
        </w:rPr>
      </w:pPr>
      <w:r w:rsidRPr="00C51058">
        <w:rPr>
          <w:rFonts w:ascii="Times New Roman" w:eastAsia="Times New Roman" w:hAnsi="Times New Roman"/>
          <w:bCs/>
          <w:lang w:eastAsia="hu-HU"/>
        </w:rPr>
        <w:t>Szervezeti kultúra, az egyének és a csoportok a szervezetben, a szervezeti hatalom</w:t>
      </w:r>
      <w:r>
        <w:rPr>
          <w:rFonts w:ascii="Times New Roman" w:eastAsia="Times New Roman" w:hAnsi="Times New Roman"/>
          <w:bCs/>
          <w:lang w:eastAsia="hu-HU"/>
        </w:rPr>
        <w:t>.</w:t>
      </w:r>
      <w:r w:rsidRPr="00C51058">
        <w:rPr>
          <w:rFonts w:ascii="Times New Roman" w:eastAsia="Times New Roman" w:hAnsi="Times New Roman"/>
          <w:bCs/>
          <w:lang w:eastAsia="hu-HU"/>
        </w:rPr>
        <w:t xml:space="preserve"> </w:t>
      </w:r>
      <w:r w:rsidRPr="00305626">
        <w:rPr>
          <w:rFonts w:ascii="Times New Roman" w:eastAsia="Times New Roman" w:hAnsi="Times New Roman"/>
          <w:bCs/>
          <w:i/>
          <w:lang w:eastAsia="hu-HU"/>
        </w:rPr>
        <w:t>(</w:t>
      </w:r>
      <w:r w:rsidRPr="00305626">
        <w:rPr>
          <w:rFonts w:ascii="Times New Roman" w:eastAsia="Times New Roman" w:hAnsi="Times New Roman"/>
          <w:bCs/>
          <w:i/>
          <w:lang w:val="en" w:eastAsia="hu-HU"/>
        </w:rPr>
        <w:t>Organizational culture, individuals and groups within the organization, organizational power</w:t>
      </w:r>
      <w:r>
        <w:rPr>
          <w:rFonts w:ascii="Times New Roman" w:eastAsia="Times New Roman" w:hAnsi="Times New Roman"/>
          <w:bCs/>
          <w:i/>
          <w:lang w:val="en" w:eastAsia="hu-HU"/>
        </w:rPr>
        <w:t>.</w:t>
      </w:r>
      <w:r w:rsidRPr="00305626">
        <w:rPr>
          <w:rFonts w:ascii="Times New Roman" w:eastAsia="Times New Roman" w:hAnsi="Times New Roman"/>
          <w:bCs/>
          <w:i/>
          <w:lang w:val="en" w:eastAsia="hu-HU"/>
        </w:rPr>
        <w:t>)</w:t>
      </w:r>
    </w:p>
    <w:p w:rsidR="00782188" w:rsidRPr="009A7018" w:rsidRDefault="00782188" w:rsidP="00980876">
      <w:pPr>
        <w:widowControl w:val="0"/>
        <w:numPr>
          <w:ilvl w:val="1"/>
          <w:numId w:val="512"/>
        </w:numPr>
        <w:shd w:val="clear" w:color="auto" w:fill="FFFFFF"/>
        <w:tabs>
          <w:tab w:val="clear" w:pos="3977"/>
          <w:tab w:val="num" w:pos="2069"/>
        </w:tabs>
        <w:spacing w:after="0" w:line="240" w:lineRule="auto"/>
        <w:ind w:left="992" w:hanging="567"/>
        <w:jc w:val="both"/>
        <w:rPr>
          <w:rFonts w:ascii="Times New Roman" w:eastAsia="Times New Roman" w:hAnsi="Times New Roman"/>
          <w:b/>
          <w:bCs/>
          <w:lang w:eastAsia="hu-HU"/>
        </w:rPr>
      </w:pPr>
      <w:r>
        <w:rPr>
          <w:rFonts w:ascii="Times New Roman" w:eastAsia="Times New Roman" w:hAnsi="Times New Roman"/>
          <w:bCs/>
          <w:lang w:eastAsia="hu-HU"/>
        </w:rPr>
        <w:t xml:space="preserve"> </w:t>
      </w:r>
      <w:r w:rsidRPr="00C51058">
        <w:rPr>
          <w:rFonts w:ascii="Times New Roman" w:eastAsia="Times New Roman" w:hAnsi="Times New Roman"/>
          <w:bCs/>
          <w:lang w:eastAsia="hu-HU"/>
        </w:rPr>
        <w:t>Szeminárium – kiselőadások</w:t>
      </w:r>
      <w:r>
        <w:rPr>
          <w:rFonts w:ascii="Times New Roman" w:eastAsia="Times New Roman" w:hAnsi="Times New Roman"/>
          <w:bCs/>
          <w:lang w:eastAsia="hu-HU"/>
        </w:rPr>
        <w:t>.</w:t>
      </w:r>
      <w:r w:rsidRPr="00305626">
        <w:rPr>
          <w:rFonts w:ascii="Times New Roman" w:eastAsia="Times New Roman" w:hAnsi="Times New Roman"/>
          <w:bCs/>
          <w:i/>
          <w:lang w:eastAsia="hu-HU"/>
        </w:rPr>
        <w:t xml:space="preserve"> (</w:t>
      </w:r>
      <w:r w:rsidRPr="00305626">
        <w:rPr>
          <w:rFonts w:ascii="Times New Roman" w:eastAsia="Times New Roman" w:hAnsi="Times New Roman"/>
          <w:bCs/>
          <w:i/>
          <w:lang w:val="en" w:eastAsia="hu-HU"/>
        </w:rPr>
        <w:t>Seminar – short presentations.)</w:t>
      </w:r>
    </w:p>
    <w:p w:rsidR="00782188" w:rsidRPr="009A7018" w:rsidRDefault="00782188" w:rsidP="00980876">
      <w:pPr>
        <w:widowControl w:val="0"/>
        <w:numPr>
          <w:ilvl w:val="1"/>
          <w:numId w:val="512"/>
        </w:numPr>
        <w:shd w:val="clear" w:color="auto" w:fill="FFFFFF"/>
        <w:tabs>
          <w:tab w:val="clear" w:pos="3977"/>
          <w:tab w:val="num" w:pos="2069"/>
        </w:tabs>
        <w:spacing w:after="0" w:line="240" w:lineRule="auto"/>
        <w:ind w:left="992" w:hanging="567"/>
        <w:jc w:val="both"/>
        <w:rPr>
          <w:rFonts w:ascii="Times New Roman" w:eastAsia="Times New Roman" w:hAnsi="Times New Roman"/>
          <w:b/>
          <w:bCs/>
          <w:lang w:eastAsia="hu-HU"/>
        </w:rPr>
      </w:pPr>
      <w:r>
        <w:rPr>
          <w:rFonts w:ascii="Times New Roman" w:eastAsia="Times New Roman" w:hAnsi="Times New Roman"/>
          <w:bCs/>
          <w:lang w:eastAsia="hu-HU"/>
        </w:rPr>
        <w:t xml:space="preserve"> </w:t>
      </w:r>
      <w:r w:rsidRPr="00C51058">
        <w:rPr>
          <w:rFonts w:ascii="Times New Roman" w:eastAsia="Times New Roman" w:hAnsi="Times New Roman"/>
          <w:bCs/>
          <w:lang w:eastAsia="hu-HU"/>
        </w:rPr>
        <w:t>Szeminárium – kiselőadások</w:t>
      </w:r>
      <w:r>
        <w:rPr>
          <w:rFonts w:ascii="Times New Roman" w:eastAsia="Times New Roman" w:hAnsi="Times New Roman"/>
          <w:bCs/>
          <w:lang w:eastAsia="hu-HU"/>
        </w:rPr>
        <w:t>.</w:t>
      </w:r>
      <w:r w:rsidRPr="00C51058">
        <w:rPr>
          <w:rFonts w:ascii="Times New Roman" w:eastAsia="Times New Roman" w:hAnsi="Times New Roman"/>
          <w:bCs/>
          <w:lang w:eastAsia="hu-HU"/>
        </w:rPr>
        <w:t xml:space="preserve"> </w:t>
      </w:r>
      <w:r w:rsidRPr="00305626">
        <w:rPr>
          <w:rFonts w:ascii="Times New Roman" w:eastAsia="Times New Roman" w:hAnsi="Times New Roman"/>
          <w:bCs/>
          <w:i/>
          <w:lang w:eastAsia="hu-HU"/>
        </w:rPr>
        <w:t>(</w:t>
      </w:r>
      <w:r w:rsidRPr="00305626">
        <w:rPr>
          <w:rFonts w:ascii="Times New Roman" w:eastAsia="Times New Roman" w:hAnsi="Times New Roman"/>
          <w:bCs/>
          <w:i/>
          <w:lang w:val="en" w:eastAsia="hu-HU"/>
        </w:rPr>
        <w:t>Seminar – short presentations.)</w:t>
      </w:r>
    </w:p>
    <w:p w:rsidR="00782188" w:rsidRPr="00305626" w:rsidRDefault="00782188" w:rsidP="00980876">
      <w:pPr>
        <w:widowControl w:val="0"/>
        <w:numPr>
          <w:ilvl w:val="1"/>
          <w:numId w:val="512"/>
        </w:numPr>
        <w:shd w:val="clear" w:color="auto" w:fill="FFFFFF"/>
        <w:tabs>
          <w:tab w:val="clear" w:pos="3977"/>
          <w:tab w:val="num" w:pos="2069"/>
        </w:tabs>
        <w:spacing w:after="0" w:line="240" w:lineRule="auto"/>
        <w:ind w:left="992" w:hanging="567"/>
        <w:jc w:val="both"/>
        <w:rPr>
          <w:rFonts w:ascii="Times New Roman" w:eastAsia="Times New Roman" w:hAnsi="Times New Roman"/>
          <w:b/>
          <w:bCs/>
          <w:i/>
          <w:lang w:eastAsia="hu-HU"/>
        </w:rPr>
      </w:pPr>
      <w:r>
        <w:rPr>
          <w:rFonts w:ascii="Times New Roman" w:eastAsia="Times New Roman" w:hAnsi="Times New Roman"/>
          <w:bCs/>
          <w:lang w:eastAsia="hu-HU"/>
        </w:rPr>
        <w:lastRenderedPageBreak/>
        <w:t xml:space="preserve"> </w:t>
      </w:r>
      <w:r w:rsidRPr="00C51058">
        <w:rPr>
          <w:rFonts w:ascii="Times New Roman" w:eastAsia="Times New Roman" w:hAnsi="Times New Roman"/>
          <w:bCs/>
          <w:lang w:eastAsia="hu-HU"/>
        </w:rPr>
        <w:t>A</w:t>
      </w:r>
      <w:r>
        <w:rPr>
          <w:rFonts w:ascii="Times New Roman" w:eastAsia="Times New Roman" w:hAnsi="Times New Roman"/>
          <w:bCs/>
          <w:lang w:eastAsia="hu-HU"/>
        </w:rPr>
        <w:t xml:space="preserve"> teljesítményértékelés, motivációs beszélgetés</w:t>
      </w:r>
      <w:r w:rsidRPr="00305626">
        <w:rPr>
          <w:rFonts w:ascii="Times New Roman" w:eastAsia="Times New Roman" w:hAnsi="Times New Roman"/>
          <w:bCs/>
          <w:i/>
          <w:lang w:eastAsia="hu-HU"/>
        </w:rPr>
        <w:t>. (</w:t>
      </w:r>
      <w:r w:rsidRPr="00305626">
        <w:rPr>
          <w:rFonts w:ascii="Times New Roman" w:eastAsia="Times New Roman" w:hAnsi="Times New Roman"/>
          <w:bCs/>
          <w:i/>
          <w:lang w:val="en" w:eastAsia="hu-HU"/>
        </w:rPr>
        <w:t>Performance evaluation, motivational conversation.)</w:t>
      </w:r>
    </w:p>
    <w:p w:rsidR="00782188" w:rsidRPr="00305626" w:rsidRDefault="00782188" w:rsidP="00980876">
      <w:pPr>
        <w:widowControl w:val="0"/>
        <w:numPr>
          <w:ilvl w:val="1"/>
          <w:numId w:val="512"/>
        </w:numPr>
        <w:shd w:val="clear" w:color="auto" w:fill="FFFFFF"/>
        <w:tabs>
          <w:tab w:val="clear" w:pos="3977"/>
          <w:tab w:val="num" w:pos="2069"/>
        </w:tabs>
        <w:spacing w:after="0" w:line="240" w:lineRule="auto"/>
        <w:ind w:left="992" w:hanging="567"/>
        <w:jc w:val="both"/>
        <w:rPr>
          <w:rFonts w:ascii="Times New Roman" w:eastAsia="Times New Roman" w:hAnsi="Times New Roman"/>
          <w:b/>
          <w:bCs/>
          <w:i/>
          <w:lang w:eastAsia="hu-HU"/>
        </w:rPr>
      </w:pPr>
      <w:r>
        <w:rPr>
          <w:rFonts w:ascii="Times New Roman" w:eastAsia="Times New Roman" w:hAnsi="Times New Roman"/>
          <w:bCs/>
          <w:lang w:eastAsia="hu-HU"/>
        </w:rPr>
        <w:t xml:space="preserve"> Életpályamodell, előmenetel</w:t>
      </w:r>
      <w:r w:rsidRPr="00C51058">
        <w:rPr>
          <w:rFonts w:ascii="Times New Roman" w:eastAsia="Times New Roman" w:hAnsi="Times New Roman"/>
          <w:bCs/>
          <w:lang w:eastAsia="hu-HU"/>
        </w:rPr>
        <w:t xml:space="preserve"> és </w:t>
      </w:r>
      <w:r>
        <w:rPr>
          <w:rFonts w:ascii="Times New Roman" w:eastAsia="Times New Roman" w:hAnsi="Times New Roman"/>
          <w:bCs/>
          <w:lang w:eastAsia="hu-HU"/>
        </w:rPr>
        <w:t>karrierutak az MH szervezeti egységeiben.</w:t>
      </w:r>
      <w:r w:rsidRPr="00C51058">
        <w:rPr>
          <w:rFonts w:ascii="Times New Roman" w:eastAsia="Times New Roman" w:hAnsi="Times New Roman"/>
          <w:bCs/>
          <w:lang w:eastAsia="hu-HU"/>
        </w:rPr>
        <w:t xml:space="preserve"> </w:t>
      </w:r>
      <w:r w:rsidRPr="00305626">
        <w:rPr>
          <w:rFonts w:ascii="Times New Roman" w:eastAsia="Times New Roman" w:hAnsi="Times New Roman"/>
          <w:bCs/>
          <w:i/>
          <w:lang w:eastAsia="hu-HU"/>
        </w:rPr>
        <w:t>(</w:t>
      </w:r>
      <w:r w:rsidRPr="00305626">
        <w:rPr>
          <w:rFonts w:ascii="Times New Roman" w:eastAsia="Times New Roman" w:hAnsi="Times New Roman"/>
          <w:bCs/>
          <w:i/>
          <w:lang w:val="en" w:eastAsia="hu-HU"/>
        </w:rPr>
        <w:t>Career model, career and career paths in the HDF</w:t>
      </w:r>
      <w:r>
        <w:rPr>
          <w:rFonts w:ascii="Times New Roman" w:eastAsia="Times New Roman" w:hAnsi="Times New Roman"/>
          <w:bCs/>
          <w:i/>
          <w:lang w:val="en" w:eastAsia="hu-HU"/>
        </w:rPr>
        <w:t>.</w:t>
      </w:r>
      <w:r w:rsidRPr="00305626">
        <w:rPr>
          <w:rFonts w:ascii="Times New Roman" w:eastAsia="Times New Roman" w:hAnsi="Times New Roman"/>
          <w:bCs/>
          <w:i/>
          <w:lang w:val="en" w:eastAsia="hu-HU"/>
        </w:rPr>
        <w:t>)</w:t>
      </w:r>
    </w:p>
    <w:p w:rsidR="00782188" w:rsidRPr="00CE76F1" w:rsidRDefault="00782188" w:rsidP="00980876">
      <w:pPr>
        <w:widowControl w:val="0"/>
        <w:numPr>
          <w:ilvl w:val="1"/>
          <w:numId w:val="512"/>
        </w:numPr>
        <w:shd w:val="clear" w:color="auto" w:fill="FFFFFF"/>
        <w:tabs>
          <w:tab w:val="clear" w:pos="3977"/>
          <w:tab w:val="num" w:pos="2069"/>
        </w:tabs>
        <w:spacing w:after="0" w:line="240" w:lineRule="auto"/>
        <w:ind w:left="992" w:hanging="567"/>
        <w:jc w:val="both"/>
        <w:rPr>
          <w:rFonts w:ascii="Times New Roman" w:eastAsia="Times New Roman" w:hAnsi="Times New Roman"/>
          <w:b/>
          <w:bCs/>
          <w:lang w:eastAsia="hu-HU"/>
        </w:rPr>
      </w:pPr>
      <w:r>
        <w:rPr>
          <w:rFonts w:ascii="Times New Roman" w:eastAsia="Times New Roman" w:hAnsi="Times New Roman"/>
          <w:bCs/>
          <w:lang w:val="en" w:eastAsia="hu-HU"/>
        </w:rPr>
        <w:t xml:space="preserve"> </w:t>
      </w:r>
      <w:r w:rsidRPr="00C51058">
        <w:rPr>
          <w:rFonts w:ascii="Times New Roman" w:eastAsia="Times New Roman" w:hAnsi="Times New Roman"/>
          <w:bCs/>
          <w:lang w:eastAsia="hu-HU"/>
        </w:rPr>
        <w:t>Ellenőrző foglalkozás, írásbeli dolgozat</w:t>
      </w:r>
      <w:r>
        <w:rPr>
          <w:rFonts w:ascii="Times New Roman" w:eastAsia="Times New Roman" w:hAnsi="Times New Roman"/>
          <w:bCs/>
          <w:lang w:eastAsia="hu-HU"/>
        </w:rPr>
        <w:t>.</w:t>
      </w:r>
      <w:r w:rsidRPr="00C51058">
        <w:rPr>
          <w:rFonts w:ascii="Times New Roman" w:eastAsia="Times New Roman" w:hAnsi="Times New Roman"/>
          <w:bCs/>
          <w:lang w:eastAsia="hu-HU"/>
        </w:rPr>
        <w:t xml:space="preserve"> </w:t>
      </w:r>
      <w:r w:rsidRPr="00305626">
        <w:rPr>
          <w:rFonts w:ascii="Times New Roman" w:eastAsia="Times New Roman" w:hAnsi="Times New Roman"/>
          <w:bCs/>
          <w:i/>
          <w:lang w:eastAsia="hu-HU"/>
        </w:rPr>
        <w:t>(</w:t>
      </w:r>
      <w:r w:rsidRPr="00305626">
        <w:rPr>
          <w:rFonts w:ascii="Times New Roman" w:eastAsia="Times New Roman" w:hAnsi="Times New Roman"/>
          <w:bCs/>
          <w:i/>
          <w:lang w:val="en-AU" w:eastAsia="hu-HU"/>
        </w:rPr>
        <w:t>Final test.</w:t>
      </w:r>
      <w:r w:rsidRPr="00305626">
        <w:rPr>
          <w:rFonts w:ascii="Times New Roman" w:eastAsia="Times New Roman" w:hAnsi="Times New Roman"/>
          <w:bCs/>
          <w:i/>
          <w:lang w:eastAsia="hu-HU"/>
        </w:rPr>
        <w:t>)</w:t>
      </w:r>
    </w:p>
    <w:p w:rsidR="00782188" w:rsidRPr="00675535" w:rsidRDefault="00782188" w:rsidP="00980876">
      <w:pPr>
        <w:widowControl w:val="0"/>
        <w:numPr>
          <w:ilvl w:val="0"/>
          <w:numId w:val="512"/>
        </w:numPr>
        <w:tabs>
          <w:tab w:val="num" w:pos="360"/>
        </w:tabs>
        <w:spacing w:before="120" w:after="120" w:line="240" w:lineRule="auto"/>
        <w:ind w:left="426" w:hanging="142"/>
        <w:jc w:val="both"/>
        <w:rPr>
          <w:rFonts w:ascii="Times New Roman" w:eastAsia="Times New Roman" w:hAnsi="Times New Roman"/>
          <w:bCs/>
        </w:rPr>
      </w:pPr>
      <w:r w:rsidRPr="00675535">
        <w:rPr>
          <w:rFonts w:ascii="Times New Roman" w:eastAsia="Times New Roman" w:hAnsi="Times New Roman"/>
          <w:b/>
          <w:bCs/>
        </w:rPr>
        <w:t xml:space="preserve">A tantárgy meghirdetésének gyakorisága/a tantervben történő félévi elhelyezkedése: </w:t>
      </w:r>
    </w:p>
    <w:p w:rsidR="00782188" w:rsidRPr="00675535" w:rsidRDefault="00782188" w:rsidP="00782188">
      <w:pPr>
        <w:widowControl w:val="0"/>
        <w:spacing w:before="120" w:after="120" w:line="240" w:lineRule="auto"/>
        <w:ind w:left="426"/>
        <w:jc w:val="both"/>
        <w:rPr>
          <w:rFonts w:ascii="Times New Roman" w:eastAsia="Times New Roman" w:hAnsi="Times New Roman"/>
          <w:bCs/>
        </w:rPr>
      </w:pPr>
      <w:r w:rsidRPr="00913B2F">
        <w:rPr>
          <w:rFonts w:ascii="Times New Roman" w:eastAsia="Times New Roman" w:hAnsi="Times New Roman"/>
          <w:bCs/>
          <w:kern w:val="2"/>
        </w:rPr>
        <w:t>évente / 2. félév</w:t>
      </w:r>
      <w:r w:rsidRPr="00675535">
        <w:rPr>
          <w:rFonts w:ascii="Times New Roman" w:eastAsia="Times New Roman" w:hAnsi="Times New Roman"/>
          <w:b/>
          <w:bCs/>
        </w:rPr>
        <w:t xml:space="preserve"> </w:t>
      </w:r>
    </w:p>
    <w:p w:rsidR="00782188" w:rsidRPr="00675535" w:rsidRDefault="00782188" w:rsidP="00980876">
      <w:pPr>
        <w:widowControl w:val="0"/>
        <w:numPr>
          <w:ilvl w:val="0"/>
          <w:numId w:val="512"/>
        </w:numPr>
        <w:tabs>
          <w:tab w:val="num" w:pos="360"/>
        </w:tabs>
        <w:spacing w:before="120" w:after="120" w:line="240" w:lineRule="auto"/>
        <w:ind w:left="426" w:hanging="142"/>
        <w:jc w:val="both"/>
        <w:rPr>
          <w:rFonts w:ascii="Times New Roman" w:eastAsia="Times New Roman" w:hAnsi="Times New Roman"/>
          <w:bCs/>
        </w:rPr>
      </w:pPr>
      <w:r w:rsidRPr="00675535">
        <w:rPr>
          <w:rFonts w:ascii="Times New Roman" w:eastAsia="Times New Roman" w:hAnsi="Times New Roman"/>
          <w:b/>
          <w:bCs/>
        </w:rPr>
        <w:t>A tanórákon való részvétel követelményei, az elfogadható hiányzások mértéke, a távolmaradás pótlásának lehetősége:</w:t>
      </w:r>
    </w:p>
    <w:p w:rsidR="00782188" w:rsidRPr="00675535" w:rsidRDefault="00782188" w:rsidP="00782188">
      <w:pPr>
        <w:widowControl w:val="0"/>
        <w:tabs>
          <w:tab w:val="num" w:pos="360"/>
        </w:tabs>
        <w:spacing w:before="120" w:after="120" w:line="240" w:lineRule="auto"/>
        <w:ind w:left="426"/>
        <w:jc w:val="both"/>
        <w:rPr>
          <w:rFonts w:ascii="Times New Roman" w:eastAsia="Times New Roman" w:hAnsi="Times New Roman"/>
          <w:bCs/>
        </w:rPr>
      </w:pPr>
      <w:r w:rsidRPr="00B02D51">
        <w:rPr>
          <w:rFonts w:ascii="Times New Roman" w:eastAsia="Times New Roman" w:hAnsi="Times New Roman"/>
          <w:bCs/>
          <w:kern w:val="2"/>
        </w:rPr>
        <w:t xml:space="preserve">A </w:t>
      </w:r>
      <w:r w:rsidRPr="00647EF9">
        <w:rPr>
          <w:rFonts w:ascii="Times New Roman" w:eastAsia="Times New Roman" w:hAnsi="Times New Roman"/>
          <w:bCs/>
          <w:kern w:val="2"/>
        </w:rPr>
        <w:t>hallgató köteles a foglalkozások legalább 80%-án részt venni. Amennyiben a hallgató az elfogadható hiányzások mértékét túllépi, a részvétel az oktatóval való egyeztetetés alapján meghatározott témában beadott, legalább elégségesre értékelt, házidolgozattal pótolható.</w:t>
      </w:r>
    </w:p>
    <w:p w:rsidR="00782188" w:rsidRPr="00675535" w:rsidRDefault="00782188" w:rsidP="00980876">
      <w:pPr>
        <w:widowControl w:val="0"/>
        <w:numPr>
          <w:ilvl w:val="0"/>
          <w:numId w:val="512"/>
        </w:numPr>
        <w:tabs>
          <w:tab w:val="num" w:pos="360"/>
        </w:tabs>
        <w:spacing w:before="120" w:after="120" w:line="240" w:lineRule="auto"/>
        <w:ind w:left="426" w:hanging="142"/>
        <w:jc w:val="both"/>
        <w:rPr>
          <w:rFonts w:ascii="Times New Roman" w:eastAsia="Times New Roman" w:hAnsi="Times New Roman"/>
          <w:bCs/>
        </w:rPr>
      </w:pPr>
      <w:r w:rsidRPr="00675535">
        <w:rPr>
          <w:rFonts w:ascii="Times New Roman" w:eastAsia="Times New Roman" w:hAnsi="Times New Roman"/>
          <w:b/>
        </w:rPr>
        <w:t>Félévközi feladatok, ismeretek ellenőrzésének rendje:</w:t>
      </w:r>
    </w:p>
    <w:p w:rsidR="00782188" w:rsidRPr="00E32817" w:rsidRDefault="00782188" w:rsidP="00782188">
      <w:pPr>
        <w:widowControl w:val="0"/>
        <w:spacing w:before="120" w:after="120" w:line="240" w:lineRule="auto"/>
        <w:ind w:left="426"/>
        <w:jc w:val="both"/>
        <w:rPr>
          <w:rFonts w:ascii="Times New Roman" w:eastAsia="Times New Roman" w:hAnsi="Times New Roman"/>
          <w:lang w:eastAsia="hu-HU"/>
        </w:rPr>
      </w:pPr>
      <w:r w:rsidRPr="007A0B80">
        <w:rPr>
          <w:rFonts w:ascii="Times New Roman" w:eastAsia="Times New Roman" w:hAnsi="Times New Roman"/>
          <w:bCs/>
          <w:kern w:val="2"/>
        </w:rPr>
        <w:t xml:space="preserve">Az elsajátított elméleti ismeretanyag szintfelmérése a szorgalmi időszakban egy alkalommal (az utolsó foglalkozáson) zárthelyi </w:t>
      </w:r>
      <w:r>
        <w:rPr>
          <w:rFonts w:ascii="Times New Roman" w:eastAsia="Times New Roman" w:hAnsi="Times New Roman"/>
          <w:bCs/>
          <w:kern w:val="2"/>
        </w:rPr>
        <w:t>dolgozattal</w:t>
      </w:r>
      <w:r w:rsidRPr="007A0B80">
        <w:rPr>
          <w:rFonts w:ascii="Times New Roman" w:eastAsia="Times New Roman" w:hAnsi="Times New Roman"/>
          <w:bCs/>
          <w:kern w:val="2"/>
        </w:rPr>
        <w:t xml:space="preserve"> tör</w:t>
      </w:r>
      <w:r>
        <w:rPr>
          <w:rFonts w:ascii="Times New Roman" w:eastAsia="Times New Roman" w:hAnsi="Times New Roman"/>
          <w:bCs/>
          <w:kern w:val="2"/>
        </w:rPr>
        <w:t xml:space="preserve">ténik. </w:t>
      </w:r>
      <w:r w:rsidRPr="00091838">
        <w:rPr>
          <w:rFonts w:ascii="Times New Roman" w:eastAsia="Times New Roman" w:hAnsi="Times New Roman"/>
          <w:bCs/>
          <w:kern w:val="2"/>
        </w:rPr>
        <w:t xml:space="preserve">A zárthelyi dolgozatra kapott érdemjegy határozza meg </w:t>
      </w:r>
      <w:r>
        <w:rPr>
          <w:rFonts w:ascii="Times New Roman" w:eastAsia="Times New Roman" w:hAnsi="Times New Roman"/>
          <w:bCs/>
          <w:kern w:val="2"/>
        </w:rPr>
        <w:t>g</w:t>
      </w:r>
      <w:r w:rsidRPr="00091838">
        <w:rPr>
          <w:rFonts w:ascii="Times New Roman" w:eastAsia="Times New Roman" w:hAnsi="Times New Roman"/>
          <w:bCs/>
          <w:kern w:val="2"/>
        </w:rPr>
        <w:t>yakorlati jegy</w:t>
      </w:r>
      <w:r>
        <w:rPr>
          <w:rFonts w:ascii="Times New Roman" w:eastAsia="Times New Roman" w:hAnsi="Times New Roman"/>
          <w:bCs/>
          <w:kern w:val="2"/>
        </w:rPr>
        <w:t>et</w:t>
      </w:r>
      <w:r w:rsidRPr="00091838">
        <w:rPr>
          <w:rFonts w:ascii="Times New Roman" w:eastAsia="Times New Roman" w:hAnsi="Times New Roman"/>
          <w:bCs/>
          <w:kern w:val="2"/>
        </w:rPr>
        <w:t xml:space="preserve">. </w:t>
      </w:r>
      <w:r w:rsidRPr="00647EF9">
        <w:rPr>
          <w:rFonts w:ascii="Times New Roman" w:eastAsia="Times New Roman" w:hAnsi="Times New Roman"/>
          <w:bCs/>
          <w:kern w:val="2"/>
        </w:rPr>
        <w:t>A zárthelyi dolgozat értékelése ötfokozatú skálán történik (51%-tól elégséges, 70%-tól közepes, 80%-tól jó, 90%-tól jeles). A zárthelyi dolgozat témakörei a 12. pontban olvashatók. A félévközi feladat pótlása, kijavítása a szorgalmi időszak végéig legfeljebb két alkalommal lehetséges, az oktatóval egyeztett időpontban.</w:t>
      </w:r>
    </w:p>
    <w:p w:rsidR="00782188" w:rsidRPr="009939B6" w:rsidRDefault="00782188" w:rsidP="00980876">
      <w:pPr>
        <w:widowControl w:val="0"/>
        <w:numPr>
          <w:ilvl w:val="0"/>
          <w:numId w:val="512"/>
        </w:numPr>
        <w:tabs>
          <w:tab w:val="num" w:pos="360"/>
        </w:tabs>
        <w:spacing w:before="120" w:after="120" w:line="240" w:lineRule="auto"/>
        <w:ind w:left="426" w:hanging="142"/>
        <w:jc w:val="both"/>
        <w:rPr>
          <w:rFonts w:ascii="Times New Roman" w:eastAsia="Times New Roman" w:hAnsi="Times New Roman"/>
          <w:b/>
        </w:rPr>
      </w:pPr>
      <w:r w:rsidRPr="009939B6">
        <w:rPr>
          <w:rFonts w:ascii="Times New Roman" w:eastAsia="Times New Roman" w:hAnsi="Times New Roman"/>
          <w:b/>
        </w:rPr>
        <w:t xml:space="preserve">Az értékelés, az aláírás és a kreditek megszerzésének pontos feltételei: </w:t>
      </w:r>
    </w:p>
    <w:p w:rsidR="00782188" w:rsidRPr="00782188" w:rsidRDefault="00782188" w:rsidP="00980876">
      <w:pPr>
        <w:widowControl w:val="0"/>
        <w:numPr>
          <w:ilvl w:val="1"/>
          <w:numId w:val="512"/>
        </w:numPr>
        <w:tabs>
          <w:tab w:val="clear" w:pos="3977"/>
          <w:tab w:val="left" w:pos="709"/>
          <w:tab w:val="left" w:pos="993"/>
          <w:tab w:val="num" w:pos="1141"/>
          <w:tab w:val="num" w:pos="2069"/>
        </w:tabs>
        <w:spacing w:before="120" w:after="120" w:line="240" w:lineRule="auto"/>
        <w:ind w:left="426" w:firstLine="0"/>
        <w:jc w:val="both"/>
        <w:rPr>
          <w:rFonts w:ascii="Times New Roman" w:eastAsia="Times New Roman" w:hAnsi="Times New Roman"/>
          <w:lang w:eastAsia="hu-HU"/>
        </w:rPr>
      </w:pPr>
      <w:r w:rsidRPr="00782188">
        <w:rPr>
          <w:rFonts w:ascii="Times New Roman" w:eastAsia="Times New Roman" w:hAnsi="Times New Roman"/>
          <w:b/>
        </w:rPr>
        <w:t xml:space="preserve">Az aláírás megszerzésének feltételei: </w:t>
      </w:r>
      <w:r w:rsidRPr="00782188">
        <w:rPr>
          <w:rFonts w:ascii="Times New Roman" w:eastAsia="Times New Roman" w:hAnsi="Times New Roman"/>
          <w:bCs/>
          <w:kern w:val="2"/>
        </w:rPr>
        <w:t>Az aláírás megszerzésének feltétele a 14. pontban meghatározott arányú részvétel a foglalkozásokon és a 15. pontban meghatározott félévközi feladatok legalább elégséges teljesítése.</w:t>
      </w:r>
    </w:p>
    <w:p w:rsidR="00782188" w:rsidRPr="00782188" w:rsidRDefault="00782188" w:rsidP="00980876">
      <w:pPr>
        <w:widowControl w:val="0"/>
        <w:numPr>
          <w:ilvl w:val="1"/>
          <w:numId w:val="512"/>
        </w:numPr>
        <w:tabs>
          <w:tab w:val="clear" w:pos="3977"/>
          <w:tab w:val="num" w:pos="858"/>
          <w:tab w:val="left" w:pos="993"/>
          <w:tab w:val="num" w:pos="1141"/>
          <w:tab w:val="num" w:pos="2069"/>
        </w:tabs>
        <w:spacing w:before="120" w:after="120" w:line="240" w:lineRule="auto"/>
        <w:ind w:left="426" w:firstLine="0"/>
        <w:jc w:val="both"/>
        <w:rPr>
          <w:rFonts w:ascii="Times New Roman" w:eastAsia="Times New Roman" w:hAnsi="Times New Roman"/>
        </w:rPr>
      </w:pPr>
      <w:r w:rsidRPr="00782188">
        <w:rPr>
          <w:rFonts w:ascii="Times New Roman" w:eastAsia="Times New Roman" w:hAnsi="Times New Roman"/>
          <w:b/>
        </w:rPr>
        <w:t xml:space="preserve">Az értékelés: </w:t>
      </w:r>
      <w:r w:rsidRPr="00782188">
        <w:rPr>
          <w:rFonts w:ascii="Times New Roman" w:eastAsia="Times New Roman" w:hAnsi="Times New Roman"/>
          <w:b/>
          <w:bCs/>
          <w:i/>
          <w:lang w:eastAsia="hu-HU"/>
        </w:rPr>
        <w:t>Gyakorlati jegy</w:t>
      </w:r>
      <w:r w:rsidRPr="00782188">
        <w:rPr>
          <w:rFonts w:ascii="Times New Roman" w:eastAsia="Times New Roman" w:hAnsi="Times New Roman"/>
          <w:bCs/>
          <w:lang w:eastAsia="hu-HU"/>
        </w:rPr>
        <w:t xml:space="preserve"> (</w:t>
      </w:r>
      <w:r w:rsidRPr="00782188">
        <w:rPr>
          <w:rFonts w:ascii="Times New Roman" w:eastAsia="Times New Roman" w:hAnsi="Times New Roman"/>
          <w:bCs/>
        </w:rPr>
        <w:t>ötfokozatú) a 15. pontban meghatározottak szerint.</w:t>
      </w:r>
    </w:p>
    <w:p w:rsidR="00782188" w:rsidRPr="00782188" w:rsidRDefault="00782188" w:rsidP="00980876">
      <w:pPr>
        <w:widowControl w:val="0"/>
        <w:numPr>
          <w:ilvl w:val="1"/>
          <w:numId w:val="512"/>
        </w:numPr>
        <w:tabs>
          <w:tab w:val="clear" w:pos="3977"/>
          <w:tab w:val="num" w:pos="858"/>
          <w:tab w:val="left" w:pos="993"/>
          <w:tab w:val="num" w:pos="1141"/>
          <w:tab w:val="num" w:pos="2069"/>
        </w:tabs>
        <w:spacing w:before="120" w:after="120" w:line="240" w:lineRule="auto"/>
        <w:ind w:left="426" w:firstLine="0"/>
        <w:jc w:val="both"/>
        <w:rPr>
          <w:rFonts w:ascii="Times New Roman" w:eastAsia="Times New Roman" w:hAnsi="Times New Roman"/>
        </w:rPr>
      </w:pPr>
      <w:r w:rsidRPr="00782188">
        <w:rPr>
          <w:rFonts w:ascii="Times New Roman" w:eastAsia="Times New Roman" w:hAnsi="Times New Roman"/>
          <w:b/>
        </w:rPr>
        <w:t>A kreditek megszerzésének feltételei:</w:t>
      </w:r>
      <w:r w:rsidRPr="00782188">
        <w:rPr>
          <w:rFonts w:ascii="Times New Roman" w:eastAsia="Times New Roman" w:hAnsi="Times New Roman"/>
        </w:rPr>
        <w:t xml:space="preserve"> A kreditek megszerzésének feltétele az aláírás megszerzése és a legalább elégséges gyakorlati jegy. </w:t>
      </w:r>
    </w:p>
    <w:p w:rsidR="00782188" w:rsidRPr="00675535" w:rsidRDefault="00782188" w:rsidP="00980876">
      <w:pPr>
        <w:widowControl w:val="0"/>
        <w:numPr>
          <w:ilvl w:val="0"/>
          <w:numId w:val="512"/>
        </w:numPr>
        <w:tabs>
          <w:tab w:val="num" w:pos="360"/>
        </w:tabs>
        <w:spacing w:before="120" w:after="120" w:line="240" w:lineRule="auto"/>
        <w:ind w:left="426" w:hanging="142"/>
        <w:jc w:val="both"/>
        <w:rPr>
          <w:rFonts w:ascii="Times New Roman" w:eastAsia="Times New Roman" w:hAnsi="Times New Roman"/>
          <w:bCs/>
        </w:rPr>
      </w:pPr>
      <w:r w:rsidRPr="00675535">
        <w:rPr>
          <w:rFonts w:ascii="Times New Roman" w:eastAsia="Times New Roman" w:hAnsi="Times New Roman"/>
          <w:b/>
          <w:bCs/>
        </w:rPr>
        <w:t>Irodalomjegyzék:</w:t>
      </w:r>
    </w:p>
    <w:p w:rsidR="00782188" w:rsidRPr="00675535" w:rsidRDefault="00782188" w:rsidP="00980876">
      <w:pPr>
        <w:widowControl w:val="0"/>
        <w:numPr>
          <w:ilvl w:val="1"/>
          <w:numId w:val="512"/>
        </w:numPr>
        <w:tabs>
          <w:tab w:val="clear" w:pos="3977"/>
          <w:tab w:val="left" w:pos="567"/>
          <w:tab w:val="left" w:pos="851"/>
          <w:tab w:val="num" w:pos="1141"/>
          <w:tab w:val="num" w:pos="2069"/>
        </w:tabs>
        <w:spacing w:before="120" w:after="120" w:line="240" w:lineRule="auto"/>
        <w:ind w:left="426" w:hanging="142"/>
        <w:jc w:val="both"/>
        <w:rPr>
          <w:rFonts w:ascii="Times New Roman" w:eastAsia="Times New Roman" w:hAnsi="Times New Roman"/>
          <w:bCs/>
        </w:rPr>
      </w:pPr>
      <w:r w:rsidRPr="00675535">
        <w:rPr>
          <w:rFonts w:ascii="Times New Roman" w:eastAsia="Times New Roman" w:hAnsi="Times New Roman"/>
          <w:b/>
          <w:bCs/>
        </w:rPr>
        <w:t>Kötelező irodalom:</w:t>
      </w:r>
    </w:p>
    <w:p w:rsidR="00782188" w:rsidRPr="00675535" w:rsidRDefault="00782188" w:rsidP="00980876">
      <w:pPr>
        <w:pStyle w:val="Listaszerbekezds"/>
        <w:widowControl w:val="0"/>
        <w:numPr>
          <w:ilvl w:val="0"/>
          <w:numId w:val="510"/>
        </w:numPr>
        <w:tabs>
          <w:tab w:val="left" w:pos="709"/>
          <w:tab w:val="left" w:pos="851"/>
        </w:tabs>
        <w:spacing w:after="0" w:line="240" w:lineRule="auto"/>
        <w:ind w:left="720"/>
        <w:jc w:val="both"/>
        <w:rPr>
          <w:rFonts w:ascii="Times New Roman" w:eastAsia="Times New Roman" w:hAnsi="Times New Roman"/>
          <w:bCs/>
        </w:rPr>
      </w:pPr>
      <w:r w:rsidRPr="005E4BC8">
        <w:rPr>
          <w:rFonts w:ascii="Times New Roman" w:hAnsi="Times New Roman"/>
        </w:rPr>
        <w:t>B</w:t>
      </w:r>
      <w:r w:rsidRPr="00D976D7">
        <w:rPr>
          <w:rFonts w:ascii="Times New Roman" w:hAnsi="Times New Roman"/>
        </w:rPr>
        <w:t>akacsi Gyula</w:t>
      </w:r>
      <w:r w:rsidRPr="005E4BC8">
        <w:rPr>
          <w:rFonts w:ascii="Times New Roman" w:hAnsi="Times New Roman"/>
        </w:rPr>
        <w:t xml:space="preserve"> – B</w:t>
      </w:r>
      <w:r w:rsidRPr="00D976D7">
        <w:rPr>
          <w:rFonts w:ascii="Times New Roman" w:hAnsi="Times New Roman"/>
        </w:rPr>
        <w:t>okor Attila</w:t>
      </w:r>
      <w:r w:rsidRPr="005E4BC8">
        <w:rPr>
          <w:rFonts w:ascii="Times New Roman" w:hAnsi="Times New Roman"/>
        </w:rPr>
        <w:t xml:space="preserve"> – C</w:t>
      </w:r>
      <w:r w:rsidRPr="00D976D7">
        <w:rPr>
          <w:rFonts w:ascii="Times New Roman" w:hAnsi="Times New Roman"/>
        </w:rPr>
        <w:t>sászár Csaba</w:t>
      </w:r>
      <w:r w:rsidRPr="005E4BC8">
        <w:rPr>
          <w:rFonts w:ascii="Times New Roman" w:hAnsi="Times New Roman"/>
        </w:rPr>
        <w:t xml:space="preserve"> – G</w:t>
      </w:r>
      <w:r w:rsidRPr="00D976D7">
        <w:rPr>
          <w:rFonts w:ascii="Times New Roman" w:hAnsi="Times New Roman"/>
        </w:rPr>
        <w:t>elei András</w:t>
      </w:r>
      <w:r w:rsidRPr="005E4BC8">
        <w:rPr>
          <w:rFonts w:ascii="Times New Roman" w:hAnsi="Times New Roman"/>
        </w:rPr>
        <w:t xml:space="preserve"> – K</w:t>
      </w:r>
      <w:r w:rsidRPr="00D976D7">
        <w:rPr>
          <w:rFonts w:ascii="Times New Roman" w:hAnsi="Times New Roman"/>
        </w:rPr>
        <w:t>ováts Klaudia</w:t>
      </w:r>
      <w:r w:rsidRPr="005E4BC8">
        <w:rPr>
          <w:rFonts w:ascii="Times New Roman" w:hAnsi="Times New Roman"/>
        </w:rPr>
        <w:t xml:space="preserve"> – T</w:t>
      </w:r>
      <w:r w:rsidRPr="00D976D7">
        <w:rPr>
          <w:rFonts w:ascii="Times New Roman" w:hAnsi="Times New Roman"/>
        </w:rPr>
        <w:t>akács Sándor</w:t>
      </w:r>
      <w:r w:rsidRPr="005E4BC8">
        <w:rPr>
          <w:rFonts w:ascii="Times New Roman" w:hAnsi="Times New Roman"/>
        </w:rPr>
        <w:t xml:space="preserve">: Stratégiai </w:t>
      </w:r>
      <w:r w:rsidRPr="00DD3C1B">
        <w:rPr>
          <w:rFonts w:ascii="Times New Roman" w:hAnsi="Times New Roman"/>
        </w:rPr>
        <w:t>emberi erőforrás menedzsment</w:t>
      </w:r>
      <w:r w:rsidRPr="005E4BC8">
        <w:rPr>
          <w:rFonts w:ascii="Times New Roman" w:hAnsi="Times New Roman"/>
        </w:rPr>
        <w:t>. Akadémiai Kiadó, Budapest, 2006.</w:t>
      </w:r>
      <w:r w:rsidRPr="00D976D7">
        <w:rPr>
          <w:rFonts w:ascii="Times New Roman" w:eastAsia="Times New Roman" w:hAnsi="Times New Roman"/>
          <w:lang w:eastAsia="hu-HU"/>
        </w:rPr>
        <w:t xml:space="preserve"> </w:t>
      </w:r>
      <w:r w:rsidRPr="00893612">
        <w:rPr>
          <w:rFonts w:ascii="Times New Roman" w:eastAsia="Times New Roman" w:hAnsi="Times New Roman"/>
          <w:bCs/>
          <w:lang w:eastAsia="hu-HU"/>
        </w:rPr>
        <w:t>ISBN</w:t>
      </w:r>
      <w:r w:rsidRPr="00893612">
        <w:rPr>
          <w:rFonts w:ascii="Times New Roman" w:eastAsia="Times New Roman" w:hAnsi="Times New Roman"/>
          <w:lang w:eastAsia="hu-HU"/>
        </w:rPr>
        <w:t>: 9630583399</w:t>
      </w:r>
      <w:r w:rsidRPr="00675535">
        <w:rPr>
          <w:rFonts w:ascii="Times New Roman" w:eastAsia="Times New Roman" w:hAnsi="Times New Roman"/>
          <w:bCs/>
        </w:rPr>
        <w:t xml:space="preserve"> </w:t>
      </w:r>
    </w:p>
    <w:p w:rsidR="00782188" w:rsidRPr="00675535" w:rsidRDefault="00782188" w:rsidP="00980876">
      <w:pPr>
        <w:pStyle w:val="Listaszerbekezds"/>
        <w:widowControl w:val="0"/>
        <w:numPr>
          <w:ilvl w:val="0"/>
          <w:numId w:val="510"/>
        </w:numPr>
        <w:tabs>
          <w:tab w:val="left" w:pos="709"/>
          <w:tab w:val="left" w:pos="851"/>
        </w:tabs>
        <w:spacing w:after="0" w:line="240" w:lineRule="auto"/>
        <w:ind w:left="720"/>
        <w:jc w:val="both"/>
        <w:rPr>
          <w:rFonts w:ascii="Times New Roman" w:eastAsia="Times New Roman" w:hAnsi="Times New Roman"/>
          <w:bCs/>
        </w:rPr>
      </w:pPr>
      <w:r w:rsidRPr="00D976D7">
        <w:rPr>
          <w:rFonts w:ascii="Times New Roman" w:hAnsi="Times New Roman"/>
        </w:rPr>
        <w:t>Goleman</w:t>
      </w:r>
      <w:r>
        <w:rPr>
          <w:rFonts w:ascii="Times New Roman" w:hAnsi="Times New Roman"/>
        </w:rPr>
        <w:t>,</w:t>
      </w:r>
      <w:r w:rsidRPr="00DD3C1B">
        <w:t xml:space="preserve"> </w:t>
      </w:r>
      <w:r w:rsidRPr="00DD3C1B">
        <w:rPr>
          <w:rFonts w:ascii="Times New Roman" w:hAnsi="Times New Roman"/>
        </w:rPr>
        <w:t>Daniel</w:t>
      </w:r>
      <w:r w:rsidRPr="005E4BC8">
        <w:rPr>
          <w:rFonts w:ascii="Times New Roman" w:hAnsi="Times New Roman"/>
        </w:rPr>
        <w:t>: Érzelmi intelligencia a munkahelyen. E</w:t>
      </w:r>
      <w:r>
        <w:rPr>
          <w:rFonts w:ascii="Times New Roman" w:hAnsi="Times New Roman"/>
        </w:rPr>
        <w:t>dge</w:t>
      </w:r>
      <w:r w:rsidRPr="005E4BC8">
        <w:rPr>
          <w:rFonts w:ascii="Times New Roman" w:hAnsi="Times New Roman"/>
        </w:rPr>
        <w:t xml:space="preserve"> 2000 Kft., </w:t>
      </w:r>
      <w:r>
        <w:rPr>
          <w:rFonts w:ascii="Times New Roman" w:hAnsi="Times New Roman"/>
        </w:rPr>
        <w:t>Érd</w:t>
      </w:r>
      <w:r w:rsidRPr="005E4BC8">
        <w:rPr>
          <w:rFonts w:ascii="Times New Roman" w:hAnsi="Times New Roman"/>
        </w:rPr>
        <w:t>, 20</w:t>
      </w:r>
      <w:r>
        <w:rPr>
          <w:rFonts w:ascii="Times New Roman" w:hAnsi="Times New Roman"/>
        </w:rPr>
        <w:t>15</w:t>
      </w:r>
      <w:r w:rsidRPr="005E4BC8">
        <w:rPr>
          <w:rFonts w:ascii="Times New Roman" w:hAnsi="Times New Roman"/>
        </w:rPr>
        <w:t>.</w:t>
      </w:r>
      <w:r w:rsidRPr="00D976D7">
        <w:rPr>
          <w:rFonts w:ascii="Times New Roman" w:hAnsi="Times New Roman"/>
        </w:rPr>
        <w:t xml:space="preserve"> </w:t>
      </w:r>
      <w:r w:rsidRPr="00037CC4">
        <w:rPr>
          <w:rFonts w:ascii="Times New Roman" w:hAnsi="Times New Roman"/>
        </w:rPr>
        <w:t>I</w:t>
      </w:r>
      <w:r w:rsidRPr="00037CC4">
        <w:rPr>
          <w:rFonts w:ascii="Times New Roman" w:hAnsi="Times New Roman"/>
          <w:bCs/>
        </w:rPr>
        <w:t>SBN</w:t>
      </w:r>
      <w:r w:rsidRPr="00037CC4">
        <w:rPr>
          <w:rFonts w:ascii="Times New Roman" w:hAnsi="Times New Roman"/>
        </w:rPr>
        <w:t>:</w:t>
      </w:r>
      <w:r w:rsidRPr="00304973">
        <w:rPr>
          <w:rFonts w:ascii="Times New Roman" w:hAnsi="Times New Roman"/>
        </w:rPr>
        <w:t xml:space="preserve"> </w:t>
      </w:r>
      <w:r w:rsidRPr="00DD3C1B">
        <w:rPr>
          <w:rFonts w:ascii="Times New Roman" w:hAnsi="Times New Roman"/>
        </w:rPr>
        <w:t>9789639760288</w:t>
      </w:r>
    </w:p>
    <w:p w:rsidR="00782188" w:rsidRPr="00675535" w:rsidRDefault="00782188" w:rsidP="00980876">
      <w:pPr>
        <w:widowControl w:val="0"/>
        <w:numPr>
          <w:ilvl w:val="1"/>
          <w:numId w:val="512"/>
        </w:numPr>
        <w:tabs>
          <w:tab w:val="clear" w:pos="3977"/>
          <w:tab w:val="left" w:pos="567"/>
          <w:tab w:val="left" w:pos="851"/>
          <w:tab w:val="num" w:pos="1141"/>
          <w:tab w:val="num" w:pos="2069"/>
        </w:tabs>
        <w:spacing w:before="120" w:after="120" w:line="240" w:lineRule="auto"/>
        <w:ind w:left="426" w:hanging="142"/>
        <w:jc w:val="both"/>
        <w:rPr>
          <w:rFonts w:ascii="Times New Roman" w:eastAsia="Times New Roman" w:hAnsi="Times New Roman"/>
          <w:b/>
          <w:bCs/>
        </w:rPr>
      </w:pPr>
      <w:r w:rsidRPr="00675535">
        <w:rPr>
          <w:rFonts w:ascii="Times New Roman" w:eastAsia="Times New Roman" w:hAnsi="Times New Roman"/>
          <w:b/>
          <w:bCs/>
        </w:rPr>
        <w:t>Ajánlott irodalom:</w:t>
      </w:r>
    </w:p>
    <w:p w:rsidR="00782188" w:rsidRPr="00305626" w:rsidRDefault="00782188" w:rsidP="00980876">
      <w:pPr>
        <w:pStyle w:val="Listaszerbekezds"/>
        <w:widowControl w:val="0"/>
        <w:numPr>
          <w:ilvl w:val="0"/>
          <w:numId w:val="511"/>
        </w:numPr>
        <w:tabs>
          <w:tab w:val="left" w:pos="709"/>
          <w:tab w:val="left" w:pos="851"/>
        </w:tabs>
        <w:spacing w:after="0" w:line="240" w:lineRule="auto"/>
        <w:ind w:left="720"/>
        <w:jc w:val="both"/>
        <w:rPr>
          <w:rFonts w:ascii="Times New Roman" w:hAnsi="Times New Roman"/>
        </w:rPr>
      </w:pPr>
      <w:r w:rsidRPr="00B8052E">
        <w:rPr>
          <w:rFonts w:ascii="Times New Roman" w:hAnsi="Times New Roman"/>
        </w:rPr>
        <w:t xml:space="preserve">Hegedűs Henrik: A globalizáció, a humántőke gazdasági felértékelődése, fejlesztése és ennek katonai vetületei. Egyetemi </w:t>
      </w:r>
      <w:r>
        <w:rPr>
          <w:rFonts w:ascii="Times New Roman" w:hAnsi="Times New Roman"/>
        </w:rPr>
        <w:t>j</w:t>
      </w:r>
      <w:r w:rsidRPr="00B8052E">
        <w:rPr>
          <w:rFonts w:ascii="Times New Roman" w:hAnsi="Times New Roman"/>
        </w:rPr>
        <w:t>egyzet,</w:t>
      </w:r>
      <w:r w:rsidRPr="00305626">
        <w:rPr>
          <w:rFonts w:ascii="Times New Roman" w:hAnsi="Times New Roman"/>
        </w:rPr>
        <w:t xml:space="preserve"> </w:t>
      </w:r>
      <w:r w:rsidRPr="00037CC4">
        <w:rPr>
          <w:rFonts w:ascii="Times New Roman" w:hAnsi="Times New Roman"/>
        </w:rPr>
        <w:t xml:space="preserve">Zrínyi Miklós Nemzetvédelmi Egyetem, </w:t>
      </w:r>
      <w:r w:rsidRPr="00E26E17">
        <w:rPr>
          <w:rFonts w:ascii="Times New Roman" w:hAnsi="Times New Roman"/>
        </w:rPr>
        <w:t xml:space="preserve">Budapest, </w:t>
      </w:r>
      <w:r w:rsidRPr="00B8052E">
        <w:rPr>
          <w:rFonts w:ascii="Times New Roman" w:hAnsi="Times New Roman"/>
        </w:rPr>
        <w:t>2011. ISBN: 9789630831574</w:t>
      </w:r>
    </w:p>
    <w:p w:rsidR="00782188" w:rsidRPr="00305626" w:rsidRDefault="00782188" w:rsidP="00980876">
      <w:pPr>
        <w:pStyle w:val="Listaszerbekezds"/>
        <w:widowControl w:val="0"/>
        <w:numPr>
          <w:ilvl w:val="0"/>
          <w:numId w:val="511"/>
        </w:numPr>
        <w:tabs>
          <w:tab w:val="left" w:pos="709"/>
          <w:tab w:val="left" w:pos="851"/>
        </w:tabs>
        <w:spacing w:after="0" w:line="240" w:lineRule="auto"/>
        <w:ind w:left="720"/>
        <w:jc w:val="both"/>
        <w:rPr>
          <w:rFonts w:ascii="Times New Roman" w:hAnsi="Times New Roman"/>
        </w:rPr>
      </w:pPr>
      <w:r w:rsidRPr="00B8052E">
        <w:rPr>
          <w:rFonts w:ascii="Times New Roman" w:hAnsi="Times New Roman"/>
        </w:rPr>
        <w:t xml:space="preserve">Poór József </w:t>
      </w:r>
      <w:r>
        <w:rPr>
          <w:rFonts w:ascii="Times New Roman" w:hAnsi="Times New Roman"/>
        </w:rPr>
        <w:t>–</w:t>
      </w:r>
      <w:r w:rsidRPr="00B8052E">
        <w:rPr>
          <w:rFonts w:ascii="Times New Roman" w:hAnsi="Times New Roman"/>
        </w:rPr>
        <w:t xml:space="preserve"> Schottner Krisztina: Változások a Humánerőforrás Menedzsmentben a digitális transzformáció útján. Kutatási </w:t>
      </w:r>
      <w:r>
        <w:rPr>
          <w:rFonts w:ascii="Times New Roman" w:hAnsi="Times New Roman"/>
        </w:rPr>
        <w:t>z</w:t>
      </w:r>
      <w:r w:rsidRPr="00B8052E">
        <w:rPr>
          <w:rFonts w:ascii="Times New Roman" w:hAnsi="Times New Roman"/>
        </w:rPr>
        <w:t xml:space="preserve">árójelentés, </w:t>
      </w:r>
      <w:r w:rsidRPr="00E26E17">
        <w:rPr>
          <w:rFonts w:ascii="Times New Roman" w:hAnsi="Times New Roman"/>
        </w:rPr>
        <w:t xml:space="preserve">Budapest, </w:t>
      </w:r>
      <w:r w:rsidRPr="00B8052E">
        <w:rPr>
          <w:rFonts w:ascii="Times New Roman" w:hAnsi="Times New Roman"/>
        </w:rPr>
        <w:t>2018. ISBN: 9786150040448</w:t>
      </w:r>
      <w:r>
        <w:rPr>
          <w:rFonts w:ascii="Times New Roman" w:hAnsi="Times New Roman"/>
        </w:rPr>
        <w:t xml:space="preserve"> </w:t>
      </w:r>
    </w:p>
    <w:p w:rsidR="00782188" w:rsidRPr="00CE76F1" w:rsidRDefault="00782188" w:rsidP="00782188">
      <w:pPr>
        <w:spacing w:before="120"/>
        <w:ind w:left="643"/>
        <w:contextualSpacing/>
        <w:jc w:val="both"/>
        <w:rPr>
          <w:rFonts w:ascii="Times New Roman" w:eastAsia="Times New Roman" w:hAnsi="Times New Roman"/>
          <w:bCs/>
          <w:lang w:val="en-GB" w:eastAsia="hu-HU"/>
        </w:rPr>
      </w:pPr>
    </w:p>
    <w:p w:rsidR="00782188" w:rsidRPr="00675535" w:rsidRDefault="00782188" w:rsidP="00782188">
      <w:pPr>
        <w:widowControl w:val="0"/>
        <w:spacing w:before="120" w:after="120" w:line="240" w:lineRule="auto"/>
        <w:jc w:val="both"/>
        <w:rPr>
          <w:rFonts w:ascii="Times New Roman" w:eastAsia="Times New Roman" w:hAnsi="Times New Roman"/>
          <w:bCs/>
        </w:rPr>
      </w:pPr>
      <w:r w:rsidRPr="00037CC4">
        <w:rPr>
          <w:rFonts w:ascii="Times New Roman" w:eastAsia="Times New Roman" w:hAnsi="Times New Roman"/>
          <w:bCs/>
        </w:rPr>
        <w:t xml:space="preserve">Budapest, 2020. </w:t>
      </w:r>
      <w:r>
        <w:rPr>
          <w:rFonts w:ascii="Times New Roman" w:eastAsia="Times New Roman" w:hAnsi="Times New Roman"/>
          <w:bCs/>
        </w:rPr>
        <w:t>március 15-én</w:t>
      </w:r>
    </w:p>
    <w:p w:rsidR="00782188" w:rsidRPr="003E38D2" w:rsidRDefault="00782188" w:rsidP="00782188">
      <w:pPr>
        <w:widowControl w:val="0"/>
        <w:spacing w:before="120" w:after="120" w:line="240" w:lineRule="auto"/>
        <w:jc w:val="both"/>
        <w:rPr>
          <w:rFonts w:ascii="Times New Roman" w:eastAsia="Times New Roman" w:hAnsi="Times New Roman"/>
          <w:bCs/>
        </w:rPr>
      </w:pPr>
    </w:p>
    <w:p w:rsidR="00782188" w:rsidRPr="00782188" w:rsidRDefault="00782188" w:rsidP="00782188">
      <w:pPr>
        <w:spacing w:after="0" w:line="240" w:lineRule="auto"/>
        <w:ind w:left="2835" w:firstLine="1134"/>
        <w:jc w:val="center"/>
        <w:rPr>
          <w:rFonts w:ascii="Times New Roman" w:eastAsia="Times New Roman" w:hAnsi="Times New Roman"/>
          <w:b/>
          <w:bCs/>
          <w:lang w:eastAsia="hu-HU"/>
        </w:rPr>
      </w:pPr>
      <w:r w:rsidRPr="00782188">
        <w:rPr>
          <w:rFonts w:ascii="Times New Roman" w:eastAsia="Times New Roman" w:hAnsi="Times New Roman"/>
          <w:b/>
          <w:bCs/>
          <w:noProof/>
        </w:rPr>
        <w:t>Dr. Hegedűs Henrik, PhD s. k.</w:t>
      </w:r>
    </w:p>
    <w:p w:rsidR="00782188" w:rsidRPr="00A87A7D" w:rsidRDefault="00782188" w:rsidP="00782188">
      <w:pPr>
        <w:spacing w:after="0" w:line="240" w:lineRule="auto"/>
        <w:ind w:left="2835" w:firstLine="1134"/>
        <w:jc w:val="center"/>
        <w:rPr>
          <w:rFonts w:ascii="Times New Roman" w:eastAsia="Times New Roman" w:hAnsi="Times New Roman"/>
          <w:bCs/>
          <w:lang w:eastAsia="hu-HU"/>
        </w:rPr>
      </w:pPr>
      <w:r w:rsidRPr="00A87A7D">
        <w:rPr>
          <w:rFonts w:ascii="Times New Roman" w:eastAsia="Times New Roman" w:hAnsi="Times New Roman"/>
          <w:bCs/>
          <w:noProof/>
        </w:rPr>
        <w:t>tantárgyfelelős</w:t>
      </w:r>
    </w:p>
    <w:p w:rsidR="0027679A" w:rsidRDefault="0027679A">
      <w:pPr>
        <w:spacing w:after="200" w:line="276" w:lineRule="auto"/>
        <w:rPr>
          <w:rFonts w:ascii="Times New Roman" w:hAnsi="Times New Roman" w:cs="Times New Roman"/>
          <w:color w:val="FF0000"/>
          <w:sz w:val="24"/>
        </w:rPr>
      </w:pPr>
      <w:r>
        <w:rPr>
          <w:rFonts w:ascii="Times New Roman" w:hAnsi="Times New Roman" w:cs="Times New Roman"/>
          <w:color w:val="FF0000"/>
          <w:sz w:val="24"/>
        </w:rPr>
        <w:br w:type="page"/>
      </w:r>
    </w:p>
    <w:tbl>
      <w:tblPr>
        <w:tblW w:w="9072" w:type="dxa"/>
        <w:tblInd w:w="113" w:type="dxa"/>
        <w:tblLook w:val="01E0" w:firstRow="1" w:lastRow="1" w:firstColumn="1" w:lastColumn="1" w:noHBand="0" w:noVBand="0"/>
      </w:tblPr>
      <w:tblGrid>
        <w:gridCol w:w="4855"/>
        <w:gridCol w:w="1620"/>
        <w:gridCol w:w="2597"/>
      </w:tblGrid>
      <w:tr w:rsidR="001C3967" w:rsidRPr="006A233B" w:rsidTr="009F15D5">
        <w:tc>
          <w:tcPr>
            <w:tcW w:w="4855" w:type="dxa"/>
            <w:tcBorders>
              <w:bottom w:val="single" w:sz="4" w:space="0" w:color="auto"/>
            </w:tcBorders>
          </w:tcPr>
          <w:p w:rsidR="001C3967" w:rsidRPr="006A233B" w:rsidRDefault="001C3967" w:rsidP="009F15D5">
            <w:pPr>
              <w:spacing w:after="0" w:line="240" w:lineRule="auto"/>
              <w:jc w:val="center"/>
              <w:rPr>
                <w:rFonts w:ascii="Times New Roman" w:eastAsia="Times New Roman" w:hAnsi="Times New Roman" w:cs="Times New Roman"/>
                <w:b/>
                <w:smallCaps/>
                <w:lang w:eastAsia="hu-HU"/>
              </w:rPr>
            </w:pPr>
            <w:r w:rsidRPr="006A233B">
              <w:rPr>
                <w:rFonts w:ascii="Times New Roman" w:eastAsia="Times New Roman" w:hAnsi="Times New Roman" w:cs="Times New Roman"/>
                <w:b/>
                <w:smallCaps/>
                <w:lang w:eastAsia="hu-HU"/>
              </w:rPr>
              <w:lastRenderedPageBreak/>
              <w:t>Nemzeti Közszolgálati Egyetem</w:t>
            </w:r>
          </w:p>
        </w:tc>
        <w:tc>
          <w:tcPr>
            <w:tcW w:w="1620" w:type="dxa"/>
          </w:tcPr>
          <w:p w:rsidR="001C3967" w:rsidRPr="006A233B" w:rsidRDefault="001C3967" w:rsidP="009F15D5">
            <w:pPr>
              <w:spacing w:after="0" w:line="240" w:lineRule="auto"/>
              <w:jc w:val="both"/>
              <w:rPr>
                <w:rFonts w:ascii="Times New Roman" w:eastAsia="Times New Roman" w:hAnsi="Times New Roman" w:cs="Times New Roman"/>
                <w:lang w:eastAsia="hu-HU"/>
              </w:rPr>
            </w:pPr>
          </w:p>
        </w:tc>
        <w:tc>
          <w:tcPr>
            <w:tcW w:w="2597" w:type="dxa"/>
          </w:tcPr>
          <w:p w:rsidR="001C3967" w:rsidRPr="006A233B" w:rsidRDefault="001C3967" w:rsidP="009F15D5">
            <w:pPr>
              <w:spacing w:after="0" w:line="240" w:lineRule="auto"/>
              <w:jc w:val="right"/>
              <w:rPr>
                <w:rFonts w:ascii="Times New Roman" w:eastAsia="Times New Roman" w:hAnsi="Times New Roman" w:cs="Times New Roman"/>
                <w:lang w:eastAsia="hu-HU"/>
              </w:rPr>
            </w:pPr>
          </w:p>
        </w:tc>
      </w:tr>
      <w:tr w:rsidR="001C3967" w:rsidRPr="006A233B" w:rsidTr="009F15D5">
        <w:tc>
          <w:tcPr>
            <w:tcW w:w="4855" w:type="dxa"/>
            <w:tcBorders>
              <w:top w:val="single" w:sz="4" w:space="0" w:color="auto"/>
            </w:tcBorders>
          </w:tcPr>
          <w:p w:rsidR="001C3967" w:rsidRPr="006A233B" w:rsidRDefault="001C3967" w:rsidP="009F15D5">
            <w:pPr>
              <w:spacing w:after="0" w:line="240" w:lineRule="auto"/>
              <w:jc w:val="center"/>
              <w:rPr>
                <w:rFonts w:ascii="Times New Roman" w:eastAsia="Times New Roman" w:hAnsi="Times New Roman" w:cs="Times New Roman"/>
                <w:b/>
                <w:lang w:eastAsia="hu-HU"/>
              </w:rPr>
            </w:pPr>
            <w:r w:rsidRPr="006A233B">
              <w:rPr>
                <w:rFonts w:ascii="Times New Roman" w:eastAsia="Times New Roman" w:hAnsi="Times New Roman" w:cs="Times New Roman"/>
                <w:b/>
                <w:lang w:eastAsia="hu-HU"/>
              </w:rPr>
              <w:t>Hadtudományi és Honvédtisztképző Kar</w:t>
            </w:r>
          </w:p>
        </w:tc>
        <w:tc>
          <w:tcPr>
            <w:tcW w:w="1620" w:type="dxa"/>
          </w:tcPr>
          <w:p w:rsidR="001C3967" w:rsidRPr="006A233B" w:rsidRDefault="001C3967" w:rsidP="009F15D5">
            <w:pPr>
              <w:spacing w:after="0" w:line="240" w:lineRule="auto"/>
              <w:jc w:val="both"/>
              <w:rPr>
                <w:rFonts w:ascii="Times New Roman" w:eastAsia="Times New Roman" w:hAnsi="Times New Roman" w:cs="Times New Roman"/>
                <w:lang w:eastAsia="hu-HU"/>
              </w:rPr>
            </w:pPr>
          </w:p>
        </w:tc>
        <w:tc>
          <w:tcPr>
            <w:tcW w:w="2597" w:type="dxa"/>
          </w:tcPr>
          <w:p w:rsidR="001C3967" w:rsidRPr="006A233B" w:rsidRDefault="001C3967" w:rsidP="009F15D5">
            <w:pPr>
              <w:spacing w:after="0" w:line="240" w:lineRule="auto"/>
              <w:jc w:val="both"/>
              <w:rPr>
                <w:rFonts w:ascii="Times New Roman" w:eastAsia="Times New Roman" w:hAnsi="Times New Roman" w:cs="Times New Roman"/>
                <w:lang w:eastAsia="hu-HU"/>
              </w:rPr>
            </w:pPr>
          </w:p>
        </w:tc>
      </w:tr>
    </w:tbl>
    <w:p w:rsidR="001C3967" w:rsidRPr="006A233B" w:rsidRDefault="001C3967" w:rsidP="001C3967">
      <w:pPr>
        <w:widowControl w:val="0"/>
        <w:spacing w:before="120" w:after="120" w:line="240" w:lineRule="auto"/>
        <w:ind w:left="426" w:hanging="142"/>
        <w:jc w:val="center"/>
        <w:rPr>
          <w:rFonts w:ascii="Times New Roman" w:eastAsia="Times New Roman" w:hAnsi="Times New Roman" w:cs="Times New Roman"/>
          <w:b/>
          <w:bCs/>
        </w:rPr>
      </w:pPr>
    </w:p>
    <w:p w:rsidR="001C3967" w:rsidRPr="006A233B" w:rsidRDefault="001C3967" w:rsidP="001C3967">
      <w:pPr>
        <w:widowControl w:val="0"/>
        <w:spacing w:before="120" w:after="120" w:line="240" w:lineRule="auto"/>
        <w:ind w:left="426" w:hanging="142"/>
        <w:jc w:val="center"/>
        <w:rPr>
          <w:rFonts w:ascii="Times New Roman" w:eastAsia="Times New Roman" w:hAnsi="Times New Roman" w:cs="Times New Roman"/>
          <w:b/>
          <w:bCs/>
        </w:rPr>
      </w:pPr>
      <w:r w:rsidRPr="006A233B">
        <w:rPr>
          <w:rFonts w:ascii="Times New Roman" w:eastAsia="Times New Roman" w:hAnsi="Times New Roman" w:cs="Times New Roman"/>
          <w:b/>
          <w:bCs/>
        </w:rPr>
        <w:t>TANTÁRGYI PROGRAM</w:t>
      </w:r>
    </w:p>
    <w:p w:rsidR="001C3967" w:rsidRPr="00FD17B5" w:rsidRDefault="001C3967" w:rsidP="00980876">
      <w:pPr>
        <w:widowControl w:val="0"/>
        <w:numPr>
          <w:ilvl w:val="0"/>
          <w:numId w:val="497"/>
        </w:numPr>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bCs/>
        </w:rPr>
        <w:t xml:space="preserve">A tantárgy kódja: </w:t>
      </w:r>
      <w:r w:rsidRPr="00FD17B5">
        <w:rPr>
          <w:rFonts w:ascii="Times New Roman" w:hAnsi="Times New Roman" w:cs="Times New Roman"/>
          <w:bCs/>
        </w:rPr>
        <w:t>HKHPKA527</w:t>
      </w:r>
    </w:p>
    <w:p w:rsidR="001C3967" w:rsidRPr="006A233B" w:rsidRDefault="001C3967" w:rsidP="00980876">
      <w:pPr>
        <w:widowControl w:val="0"/>
        <w:numPr>
          <w:ilvl w:val="0"/>
          <w:numId w:val="497"/>
        </w:numPr>
        <w:spacing w:before="120" w:after="120" w:line="240" w:lineRule="auto"/>
        <w:ind w:left="426" w:hanging="142"/>
        <w:jc w:val="both"/>
        <w:rPr>
          <w:rFonts w:ascii="Times New Roman" w:eastAsia="Times New Roman" w:hAnsi="Times New Roman" w:cs="Times New Roman"/>
          <w:b/>
          <w:bCs/>
          <w:lang w:val="en-GB"/>
        </w:rPr>
      </w:pPr>
      <w:r w:rsidRPr="006A233B">
        <w:rPr>
          <w:rFonts w:ascii="Times New Roman" w:eastAsia="Times New Roman" w:hAnsi="Times New Roman" w:cs="Times New Roman"/>
          <w:b/>
          <w:bCs/>
        </w:rPr>
        <w:t>A tantárgy megnevezése (magyarul):</w:t>
      </w:r>
      <w:r w:rsidRPr="006A233B">
        <w:rPr>
          <w:rFonts w:ascii="Times New Roman" w:eastAsia="Times New Roman" w:hAnsi="Times New Roman" w:cs="Times New Roman"/>
          <w:bCs/>
        </w:rPr>
        <w:t xml:space="preserve"> </w:t>
      </w:r>
      <w:r>
        <w:rPr>
          <w:rFonts w:ascii="Times New Roman" w:eastAsia="Times New Roman" w:hAnsi="Times New Roman" w:cs="Times New Roman"/>
          <w:bCs/>
        </w:rPr>
        <w:t>Számvitel IV. (</w:t>
      </w:r>
      <w:r>
        <w:rPr>
          <w:rFonts w:ascii="Times New Roman" w:hAnsi="Times New Roman" w:cs="Times New Roman"/>
          <w:bCs/>
        </w:rPr>
        <w:t>Pénzügyi számvitel I.)</w:t>
      </w:r>
    </w:p>
    <w:p w:rsidR="001C3967" w:rsidRPr="006A233B" w:rsidRDefault="001C3967" w:rsidP="00980876">
      <w:pPr>
        <w:widowControl w:val="0"/>
        <w:numPr>
          <w:ilvl w:val="0"/>
          <w:numId w:val="497"/>
        </w:numPr>
        <w:tabs>
          <w:tab w:val="num" w:pos="567"/>
        </w:tabs>
        <w:spacing w:before="120" w:after="120" w:line="240" w:lineRule="auto"/>
        <w:ind w:left="426" w:hanging="142"/>
        <w:jc w:val="both"/>
        <w:rPr>
          <w:rFonts w:ascii="Times New Roman" w:eastAsia="Times New Roman" w:hAnsi="Times New Roman" w:cs="Times New Roman"/>
          <w:b/>
          <w:bCs/>
          <w:lang w:val="en-GB"/>
        </w:rPr>
      </w:pPr>
      <w:r w:rsidRPr="006A233B">
        <w:rPr>
          <w:rFonts w:ascii="Times New Roman" w:eastAsia="Times New Roman" w:hAnsi="Times New Roman" w:cs="Times New Roman"/>
          <w:b/>
          <w:bCs/>
        </w:rPr>
        <w:t xml:space="preserve">A tantárgy megnevezése (angolul): </w:t>
      </w:r>
      <w:r w:rsidRPr="00FD17B5">
        <w:rPr>
          <w:rFonts w:ascii="Times New Roman" w:eastAsia="Times New Roman" w:hAnsi="Times New Roman" w:cs="Times New Roman"/>
          <w:bCs/>
        </w:rPr>
        <w:t>Accounting IV. (Financial Accounting I.)</w:t>
      </w:r>
    </w:p>
    <w:p w:rsidR="001C3967" w:rsidRPr="006A233B" w:rsidRDefault="001C3967" w:rsidP="00980876">
      <w:pPr>
        <w:widowControl w:val="0"/>
        <w:numPr>
          <w:ilvl w:val="0"/>
          <w:numId w:val="497"/>
        </w:numPr>
        <w:tabs>
          <w:tab w:val="num" w:pos="567"/>
        </w:tabs>
        <w:spacing w:before="120" w:after="120" w:line="240" w:lineRule="auto"/>
        <w:ind w:left="426" w:hanging="142"/>
        <w:jc w:val="both"/>
        <w:rPr>
          <w:rFonts w:ascii="Times New Roman" w:eastAsia="Times New Roman" w:hAnsi="Times New Roman" w:cs="Times New Roman"/>
          <w:b/>
          <w:bCs/>
        </w:rPr>
      </w:pPr>
      <w:r w:rsidRPr="006A233B">
        <w:rPr>
          <w:rFonts w:ascii="Times New Roman" w:eastAsia="Times New Roman" w:hAnsi="Times New Roman" w:cs="Times New Roman"/>
          <w:b/>
          <w:bCs/>
        </w:rPr>
        <w:t xml:space="preserve">Kreditérték és képzési karakter: </w:t>
      </w:r>
    </w:p>
    <w:p w:rsidR="001C3967" w:rsidRPr="007B3286" w:rsidRDefault="001C3967" w:rsidP="00980876">
      <w:pPr>
        <w:pStyle w:val="Listaszerbekezds"/>
        <w:widowControl w:val="0"/>
        <w:numPr>
          <w:ilvl w:val="1"/>
          <w:numId w:val="497"/>
        </w:numPr>
        <w:tabs>
          <w:tab w:val="clear" w:pos="3977"/>
        </w:tabs>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2</w:t>
      </w:r>
      <w:r w:rsidRPr="007B3286">
        <w:rPr>
          <w:rFonts w:ascii="Times New Roman" w:eastAsia="Times New Roman" w:hAnsi="Times New Roman" w:cs="Times New Roman"/>
          <w:bCs/>
        </w:rPr>
        <w:t xml:space="preserve"> kredit</w:t>
      </w:r>
    </w:p>
    <w:p w:rsidR="001C3967" w:rsidRPr="006A233B" w:rsidRDefault="001C3967" w:rsidP="00980876">
      <w:pPr>
        <w:pStyle w:val="Listaszerbekezds"/>
        <w:widowControl w:val="0"/>
        <w:numPr>
          <w:ilvl w:val="1"/>
          <w:numId w:val="497"/>
        </w:numPr>
        <w:tabs>
          <w:tab w:val="clear" w:pos="3977"/>
        </w:tabs>
        <w:spacing w:before="120" w:after="120" w:line="240" w:lineRule="auto"/>
        <w:ind w:left="993" w:hanging="426"/>
        <w:jc w:val="both"/>
        <w:rPr>
          <w:rFonts w:ascii="Times New Roman" w:eastAsia="Times New Roman" w:hAnsi="Times New Roman" w:cs="Times New Roman"/>
          <w:b/>
          <w:bCs/>
        </w:rPr>
      </w:pPr>
      <w:r w:rsidRPr="006A233B">
        <w:rPr>
          <w:rFonts w:ascii="Times New Roman" w:eastAsia="Times New Roman" w:hAnsi="Times New Roman" w:cs="Times New Roman"/>
          <w:bCs/>
        </w:rPr>
        <w:t xml:space="preserve">a tantárgy elméleti vagy gyakorlati jellegének mértéke: </w:t>
      </w:r>
      <w:r>
        <w:rPr>
          <w:rFonts w:ascii="Times New Roman" w:eastAsia="Times New Roman" w:hAnsi="Times New Roman" w:cs="Times New Roman"/>
          <w:bCs/>
        </w:rPr>
        <w:t>50</w:t>
      </w:r>
      <w:r w:rsidRPr="006A233B">
        <w:rPr>
          <w:rFonts w:ascii="Times New Roman" w:eastAsia="Times New Roman" w:hAnsi="Times New Roman" w:cs="Times New Roman"/>
          <w:b/>
          <w:bCs/>
        </w:rPr>
        <w:t xml:space="preserve"> </w:t>
      </w:r>
      <w:r w:rsidRPr="006A233B">
        <w:rPr>
          <w:rFonts w:ascii="Times New Roman" w:eastAsia="Times New Roman" w:hAnsi="Times New Roman" w:cs="Times New Roman"/>
          <w:bCs/>
        </w:rPr>
        <w:t xml:space="preserve">% gyakorlat, </w:t>
      </w:r>
      <w:r>
        <w:rPr>
          <w:rFonts w:ascii="Times New Roman" w:eastAsia="Times New Roman" w:hAnsi="Times New Roman" w:cs="Times New Roman"/>
          <w:bCs/>
        </w:rPr>
        <w:t>50</w:t>
      </w:r>
      <w:r w:rsidRPr="006A233B">
        <w:rPr>
          <w:rFonts w:ascii="Times New Roman" w:eastAsia="Times New Roman" w:hAnsi="Times New Roman" w:cs="Times New Roman"/>
          <w:bCs/>
        </w:rPr>
        <w:t xml:space="preserve"> % elmélet</w:t>
      </w:r>
    </w:p>
    <w:p w:rsidR="001C3967" w:rsidRPr="006A233B" w:rsidRDefault="001C3967" w:rsidP="00980876">
      <w:pPr>
        <w:widowControl w:val="0"/>
        <w:numPr>
          <w:ilvl w:val="0"/>
          <w:numId w:val="497"/>
        </w:numPr>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bCs/>
        </w:rPr>
        <w:t>A szak(ok), szakirányok/specializációk megnevezése (ahol oktatják):</w:t>
      </w:r>
      <w:r w:rsidRPr="006A233B">
        <w:rPr>
          <w:rFonts w:ascii="Times New Roman" w:eastAsia="Times New Roman" w:hAnsi="Times New Roman" w:cs="Times New Roman"/>
          <w:bCs/>
        </w:rPr>
        <w:t xml:space="preserve"> </w:t>
      </w:r>
      <w:r>
        <w:rPr>
          <w:rFonts w:ascii="Times New Roman" w:hAnsi="Times New Roman" w:cs="Times New Roman"/>
          <w:bCs/>
        </w:rPr>
        <w:t>Katonai logisztika alapképzési szak, katonai pénzügyi specializáció</w:t>
      </w:r>
    </w:p>
    <w:p w:rsidR="001C3967" w:rsidRPr="006A233B" w:rsidRDefault="001C3967" w:rsidP="00980876">
      <w:pPr>
        <w:widowControl w:val="0"/>
        <w:numPr>
          <w:ilvl w:val="0"/>
          <w:numId w:val="497"/>
        </w:numPr>
        <w:tabs>
          <w:tab w:val="num" w:pos="567"/>
        </w:tabs>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bCs/>
        </w:rPr>
        <w:t xml:space="preserve">Az oktatásért felelős oktatási szervezeti egység megnevezése: </w:t>
      </w:r>
      <w:r w:rsidRPr="006A233B">
        <w:rPr>
          <w:rFonts w:ascii="Times New Roman" w:hAnsi="Times New Roman" w:cs="Times New Roman"/>
          <w:bCs/>
        </w:rPr>
        <w:t>NKE HHK Had</w:t>
      </w:r>
      <w:r>
        <w:rPr>
          <w:rFonts w:ascii="Times New Roman" w:hAnsi="Times New Roman" w:cs="Times New Roman"/>
          <w:bCs/>
        </w:rPr>
        <w:t>táp, Pénzügyi és Katonai Közlekedési Tanszék</w:t>
      </w:r>
    </w:p>
    <w:p w:rsidR="001C3967" w:rsidRPr="006A233B" w:rsidRDefault="001C3967" w:rsidP="00980876">
      <w:pPr>
        <w:widowControl w:val="0"/>
        <w:numPr>
          <w:ilvl w:val="0"/>
          <w:numId w:val="497"/>
        </w:numPr>
        <w:tabs>
          <w:tab w:val="num" w:pos="567"/>
        </w:tabs>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bCs/>
        </w:rPr>
        <w:t>A tantárgyfelelős oktató neve, beosztása, tudományos fokozata:</w:t>
      </w:r>
      <w:r w:rsidRPr="006A233B">
        <w:rPr>
          <w:rFonts w:ascii="Times New Roman" w:eastAsia="Times New Roman" w:hAnsi="Times New Roman" w:cs="Times New Roman"/>
          <w:bCs/>
        </w:rPr>
        <w:t xml:space="preserve"> </w:t>
      </w:r>
      <w:r>
        <w:rPr>
          <w:rFonts w:ascii="Times New Roman" w:hAnsi="Times New Roman" w:cs="Times New Roman"/>
          <w:bCs/>
        </w:rPr>
        <w:t>Dr. Pap Andrea, egyetemi docens, (PhD)</w:t>
      </w:r>
    </w:p>
    <w:p w:rsidR="001C3967" w:rsidRPr="006A233B" w:rsidRDefault="001C3967" w:rsidP="00980876">
      <w:pPr>
        <w:widowControl w:val="0"/>
        <w:numPr>
          <w:ilvl w:val="0"/>
          <w:numId w:val="497"/>
        </w:numPr>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bCs/>
        </w:rPr>
        <w:t>A tanórák száma és típusa</w:t>
      </w:r>
    </w:p>
    <w:p w:rsidR="001C3967" w:rsidRPr="007B3286" w:rsidRDefault="001C3967" w:rsidP="00980876">
      <w:pPr>
        <w:widowControl w:val="0"/>
        <w:numPr>
          <w:ilvl w:val="1"/>
          <w:numId w:val="497"/>
        </w:numPr>
        <w:tabs>
          <w:tab w:val="clear" w:pos="3977"/>
          <w:tab w:val="num" w:pos="709"/>
          <w:tab w:val="num" w:pos="2069"/>
        </w:tabs>
        <w:spacing w:before="120" w:after="120" w:line="240" w:lineRule="auto"/>
        <w:ind w:left="851" w:hanging="425"/>
        <w:jc w:val="both"/>
        <w:rPr>
          <w:rFonts w:ascii="Times New Roman" w:eastAsia="Times New Roman" w:hAnsi="Times New Roman" w:cs="Times New Roman"/>
          <w:bCs/>
        </w:rPr>
      </w:pPr>
      <w:r w:rsidRPr="006A233B">
        <w:rPr>
          <w:rFonts w:ascii="Times New Roman" w:eastAsia="Times New Roman" w:hAnsi="Times New Roman" w:cs="Times New Roman"/>
          <w:bCs/>
        </w:rPr>
        <w:t>össz óraszám/félév:</w:t>
      </w:r>
      <w:r>
        <w:rPr>
          <w:rFonts w:ascii="Times New Roman" w:eastAsia="Times New Roman" w:hAnsi="Times New Roman" w:cs="Times New Roman"/>
          <w:bCs/>
        </w:rPr>
        <w:t xml:space="preserve"> 28</w:t>
      </w:r>
    </w:p>
    <w:p w:rsidR="001C3967" w:rsidRPr="006A233B" w:rsidRDefault="001C3967" w:rsidP="00980876">
      <w:pPr>
        <w:widowControl w:val="0"/>
        <w:numPr>
          <w:ilvl w:val="2"/>
          <w:numId w:val="497"/>
        </w:numPr>
        <w:tabs>
          <w:tab w:val="num" w:pos="709"/>
          <w:tab w:val="num" w:pos="1134"/>
        </w:tabs>
        <w:spacing w:before="120" w:after="120" w:line="240" w:lineRule="auto"/>
        <w:ind w:left="993" w:hanging="425"/>
        <w:jc w:val="both"/>
        <w:rPr>
          <w:rFonts w:ascii="Times New Roman" w:eastAsia="Times New Roman" w:hAnsi="Times New Roman" w:cs="Times New Roman"/>
          <w:bCs/>
        </w:rPr>
      </w:pPr>
      <w:r w:rsidRPr="006A233B">
        <w:rPr>
          <w:rFonts w:ascii="Times New Roman" w:eastAsia="Times New Roman" w:hAnsi="Times New Roman" w:cs="Times New Roman"/>
          <w:bCs/>
        </w:rPr>
        <w:t xml:space="preserve">nappali munkarend: </w:t>
      </w:r>
      <w:r w:rsidRPr="007B3286">
        <w:rPr>
          <w:rFonts w:ascii="Times New Roman" w:eastAsia="Times New Roman" w:hAnsi="Times New Roman" w:cs="Times New Roman"/>
          <w:bCs/>
        </w:rPr>
        <w:t>(</w:t>
      </w:r>
      <w:r>
        <w:rPr>
          <w:rFonts w:ascii="Times New Roman" w:eastAsia="Times New Roman" w:hAnsi="Times New Roman" w:cs="Times New Roman"/>
          <w:bCs/>
        </w:rPr>
        <w:t xml:space="preserve">14 </w:t>
      </w:r>
      <w:r w:rsidRPr="007B3286">
        <w:rPr>
          <w:rFonts w:ascii="Times New Roman" w:eastAsia="Times New Roman" w:hAnsi="Times New Roman" w:cs="Times New Roman"/>
          <w:bCs/>
        </w:rPr>
        <w:t xml:space="preserve">EA + 0 SZ + </w:t>
      </w:r>
      <w:r>
        <w:rPr>
          <w:rFonts w:ascii="Times New Roman" w:eastAsia="Times New Roman" w:hAnsi="Times New Roman" w:cs="Times New Roman"/>
          <w:bCs/>
        </w:rPr>
        <w:t>14</w:t>
      </w:r>
      <w:r w:rsidRPr="007B3286">
        <w:rPr>
          <w:rFonts w:ascii="Times New Roman" w:eastAsia="Times New Roman" w:hAnsi="Times New Roman" w:cs="Times New Roman"/>
          <w:bCs/>
        </w:rPr>
        <w:t xml:space="preserve"> GY)</w:t>
      </w:r>
    </w:p>
    <w:p w:rsidR="001C3967" w:rsidRPr="006A233B" w:rsidRDefault="001C3967" w:rsidP="00980876">
      <w:pPr>
        <w:widowControl w:val="0"/>
        <w:numPr>
          <w:ilvl w:val="2"/>
          <w:numId w:val="497"/>
        </w:numPr>
        <w:tabs>
          <w:tab w:val="num" w:pos="709"/>
          <w:tab w:val="num" w:pos="1134"/>
        </w:tabs>
        <w:spacing w:before="120" w:after="120" w:line="240" w:lineRule="auto"/>
        <w:ind w:left="993" w:hanging="425"/>
        <w:jc w:val="both"/>
        <w:rPr>
          <w:rFonts w:ascii="Times New Roman" w:eastAsia="Times New Roman" w:hAnsi="Times New Roman" w:cs="Times New Roman"/>
          <w:bCs/>
        </w:rPr>
      </w:pPr>
      <w:r w:rsidRPr="006A233B">
        <w:rPr>
          <w:rFonts w:ascii="Times New Roman" w:eastAsia="Times New Roman" w:hAnsi="Times New Roman" w:cs="Times New Roman"/>
          <w:bCs/>
        </w:rPr>
        <w:t xml:space="preserve">levelező munkarend: </w:t>
      </w:r>
      <w:r>
        <w:rPr>
          <w:rFonts w:ascii="Times New Roman" w:eastAsia="Times New Roman" w:hAnsi="Times New Roman" w:cs="Times New Roman"/>
          <w:bCs/>
        </w:rPr>
        <w:t>-</w:t>
      </w:r>
    </w:p>
    <w:p w:rsidR="001C3967" w:rsidRPr="007B3286" w:rsidRDefault="001C3967" w:rsidP="00980876">
      <w:pPr>
        <w:widowControl w:val="0"/>
        <w:numPr>
          <w:ilvl w:val="1"/>
          <w:numId w:val="497"/>
        </w:numPr>
        <w:tabs>
          <w:tab w:val="clear" w:pos="3977"/>
          <w:tab w:val="num" w:pos="709"/>
          <w:tab w:val="num" w:pos="2069"/>
        </w:tabs>
        <w:spacing w:before="120" w:after="120" w:line="240" w:lineRule="auto"/>
        <w:ind w:left="851" w:hanging="425"/>
        <w:jc w:val="both"/>
        <w:rPr>
          <w:rFonts w:ascii="Times New Roman" w:eastAsia="Times New Roman" w:hAnsi="Times New Roman" w:cs="Times New Roman"/>
          <w:bCs/>
        </w:rPr>
      </w:pPr>
      <w:r w:rsidRPr="006A233B">
        <w:rPr>
          <w:rFonts w:ascii="Times New Roman" w:eastAsia="Times New Roman" w:hAnsi="Times New Roman" w:cs="Times New Roman"/>
          <w:bCs/>
        </w:rPr>
        <w:t xml:space="preserve">heti óraszám - nappali munkarend: </w:t>
      </w:r>
      <w:r>
        <w:rPr>
          <w:rFonts w:ascii="Times New Roman" w:eastAsia="Times New Roman" w:hAnsi="Times New Roman" w:cs="Times New Roman"/>
          <w:bCs/>
        </w:rPr>
        <w:t>2</w:t>
      </w:r>
    </w:p>
    <w:p w:rsidR="001C3967" w:rsidRPr="006A233B" w:rsidRDefault="001C3967" w:rsidP="00980876">
      <w:pPr>
        <w:widowControl w:val="0"/>
        <w:numPr>
          <w:ilvl w:val="1"/>
          <w:numId w:val="497"/>
        </w:numPr>
        <w:tabs>
          <w:tab w:val="clear" w:pos="3977"/>
          <w:tab w:val="num" w:pos="709"/>
          <w:tab w:val="num" w:pos="2069"/>
        </w:tabs>
        <w:spacing w:before="120" w:after="120" w:line="240" w:lineRule="auto"/>
        <w:ind w:left="851" w:hanging="425"/>
        <w:jc w:val="both"/>
        <w:rPr>
          <w:rFonts w:ascii="Times New Roman" w:eastAsia="Times New Roman" w:hAnsi="Times New Roman" w:cs="Times New Roman"/>
          <w:bCs/>
        </w:rPr>
      </w:pPr>
      <w:r w:rsidRPr="006A233B">
        <w:rPr>
          <w:rFonts w:ascii="Times New Roman" w:hAnsi="Times New Roman" w:cs="Times New Roman"/>
        </w:rPr>
        <w:t>Az ismeret átadásában alkalmazandó további sajátos módok, jellemzők:</w:t>
      </w:r>
      <w:r w:rsidRPr="006A233B">
        <w:rPr>
          <w:rFonts w:ascii="Times New Roman" w:hAnsi="Times New Roman" w:cs="Times New Roman"/>
          <w:i/>
        </w:rPr>
        <w:t xml:space="preserve"> –</w:t>
      </w:r>
    </w:p>
    <w:p w:rsidR="001C3967" w:rsidRPr="006A233B" w:rsidRDefault="001C3967" w:rsidP="00980876">
      <w:pPr>
        <w:widowControl w:val="0"/>
        <w:numPr>
          <w:ilvl w:val="0"/>
          <w:numId w:val="497"/>
        </w:numPr>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bCs/>
        </w:rPr>
        <w:t>A tantárgy szakmai tartalma (magyarul):</w:t>
      </w:r>
      <w:r w:rsidRPr="006A233B">
        <w:rPr>
          <w:rFonts w:ascii="Times New Roman" w:eastAsia="Times New Roman" w:hAnsi="Times New Roman" w:cs="Times New Roman"/>
          <w:bCs/>
        </w:rPr>
        <w:t xml:space="preserve"> </w:t>
      </w:r>
      <w:r>
        <w:rPr>
          <w:rFonts w:ascii="Times New Roman" w:eastAsia="Times New Roman" w:hAnsi="Times New Roman" w:cs="Times New Roman"/>
          <w:bCs/>
        </w:rPr>
        <w:t xml:space="preserve">Megismertetni a </w:t>
      </w:r>
      <w:r w:rsidRPr="00455106">
        <w:rPr>
          <w:rFonts w:ascii="Times New Roman" w:eastAsia="Times New Roman" w:hAnsi="Times New Roman" w:cs="Times New Roman"/>
          <w:bCs/>
        </w:rPr>
        <w:t xml:space="preserve">honvéd tisztjelöltekkel a </w:t>
      </w:r>
      <w:r>
        <w:rPr>
          <w:rFonts w:ascii="Times New Roman" w:eastAsia="Times New Roman" w:hAnsi="Times New Roman" w:cs="Times New Roman"/>
          <w:bCs/>
        </w:rPr>
        <w:t>befektetett eszközök számvitelét (immateriális javak, tárgyi eszközök)</w:t>
      </w:r>
      <w:r w:rsidRPr="00455106">
        <w:rPr>
          <w:rFonts w:ascii="Times New Roman" w:eastAsia="Times New Roman" w:hAnsi="Times New Roman" w:cs="Times New Roman"/>
          <w:bCs/>
        </w:rPr>
        <w:t>.</w:t>
      </w:r>
    </w:p>
    <w:p w:rsidR="001C3967" w:rsidRPr="006A233B" w:rsidRDefault="001C3967" w:rsidP="001C3967">
      <w:pPr>
        <w:widowControl w:val="0"/>
        <w:spacing w:before="120" w:after="120" w:line="240" w:lineRule="auto"/>
        <w:ind w:left="426"/>
        <w:jc w:val="both"/>
        <w:rPr>
          <w:rFonts w:ascii="Times New Roman" w:eastAsia="Times New Roman" w:hAnsi="Times New Roman" w:cs="Times New Roman"/>
          <w:bCs/>
          <w:lang w:val="en-GB"/>
        </w:rPr>
      </w:pPr>
      <w:r w:rsidRPr="006A233B">
        <w:rPr>
          <w:rFonts w:ascii="Times New Roman" w:eastAsia="Times New Roman" w:hAnsi="Times New Roman" w:cs="Times New Roman"/>
          <w:b/>
          <w:bCs/>
        </w:rPr>
        <w:t>A tantárgy szakmai tartalma (angolul) (</w:t>
      </w:r>
      <w:r w:rsidRPr="006A233B">
        <w:rPr>
          <w:rFonts w:ascii="Times New Roman" w:eastAsia="Times New Roman" w:hAnsi="Times New Roman" w:cs="Times New Roman"/>
          <w:b/>
          <w:bCs/>
          <w:lang w:val="en-US"/>
        </w:rPr>
        <w:t>Course description</w:t>
      </w:r>
      <w:r w:rsidRPr="006A233B">
        <w:rPr>
          <w:rFonts w:ascii="Times New Roman" w:eastAsia="Times New Roman" w:hAnsi="Times New Roman" w:cs="Times New Roman"/>
          <w:b/>
          <w:bCs/>
        </w:rPr>
        <w:t xml:space="preserve">): </w:t>
      </w:r>
    </w:p>
    <w:p w:rsidR="001C3967" w:rsidRPr="006A233B" w:rsidRDefault="001C3967" w:rsidP="00980876">
      <w:pPr>
        <w:pStyle w:val="Listaszerbekezds"/>
        <w:widowControl w:val="0"/>
        <w:numPr>
          <w:ilvl w:val="0"/>
          <w:numId w:val="497"/>
        </w:numPr>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bCs/>
        </w:rPr>
        <w:t>Elérendő kompetenciák (magyarul):</w:t>
      </w:r>
      <w:r w:rsidRPr="006A233B">
        <w:rPr>
          <w:rFonts w:ascii="Times New Roman" w:eastAsia="Times New Roman" w:hAnsi="Times New Roman" w:cs="Times New Roman"/>
          <w:bCs/>
        </w:rPr>
        <w:t xml:space="preserve"> </w:t>
      </w:r>
    </w:p>
    <w:p w:rsidR="001C3967" w:rsidRPr="00DC607B" w:rsidRDefault="001C3967" w:rsidP="001C3967">
      <w:pPr>
        <w:widowControl w:val="0"/>
        <w:spacing w:after="0" w:line="240" w:lineRule="auto"/>
        <w:ind w:left="425"/>
        <w:jc w:val="both"/>
        <w:rPr>
          <w:rFonts w:ascii="Times New Roman" w:eastAsia="Times New Roman" w:hAnsi="Times New Roman" w:cs="Times New Roman"/>
          <w:bCs/>
        </w:rPr>
      </w:pPr>
      <w:r w:rsidRPr="00DC607B">
        <w:rPr>
          <w:rFonts w:ascii="Times New Roman" w:eastAsia="Times New Roman" w:hAnsi="Times New Roman" w:cs="Times New Roman"/>
          <w:b/>
          <w:bCs/>
        </w:rPr>
        <w:t>Tudása:</w:t>
      </w:r>
    </w:p>
    <w:p w:rsidR="001C3967" w:rsidRPr="0030669E" w:rsidRDefault="001C3967" w:rsidP="001C3967">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r>
      <w:r w:rsidRPr="0030669E">
        <w:rPr>
          <w:rFonts w:ascii="Times New Roman" w:eastAsia="Times New Roman" w:hAnsi="Times New Roman"/>
          <w:bCs/>
        </w:rPr>
        <w:t>Ismeri a gazdaság és a piacok működésének alapjait, törvényszerűségeit.</w:t>
      </w:r>
    </w:p>
    <w:p w:rsidR="001C3967" w:rsidRPr="0030669E" w:rsidRDefault="001C3967" w:rsidP="001C3967">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r>
      <w:r w:rsidRPr="0030669E">
        <w:rPr>
          <w:rFonts w:ascii="Times New Roman" w:eastAsia="Times New Roman" w:hAnsi="Times New Roman"/>
          <w:bCs/>
        </w:rPr>
        <w:t>Ismeri a magyar számvitel rendszerét, alapelveit.</w:t>
      </w:r>
    </w:p>
    <w:p w:rsidR="001C3967" w:rsidRPr="0030669E" w:rsidRDefault="001C3967" w:rsidP="001C3967">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r>
      <w:r w:rsidRPr="0030669E">
        <w:rPr>
          <w:rFonts w:ascii="Times New Roman" w:eastAsia="Times New Roman" w:hAnsi="Times New Roman"/>
          <w:bCs/>
        </w:rPr>
        <w:t>Mélyrehatóan ismeri a gazdasági események könyvelésének és a könyvviteli elszámolásoknak a rendszerét.</w:t>
      </w:r>
    </w:p>
    <w:p w:rsidR="001C3967" w:rsidRPr="00DC607B" w:rsidRDefault="001C3967" w:rsidP="001C3967">
      <w:pPr>
        <w:widowControl w:val="0"/>
        <w:spacing w:before="120" w:after="0" w:line="240" w:lineRule="auto"/>
        <w:ind w:left="425"/>
        <w:jc w:val="both"/>
        <w:rPr>
          <w:rFonts w:ascii="Times New Roman" w:eastAsia="Times New Roman" w:hAnsi="Times New Roman" w:cs="Times New Roman"/>
          <w:bCs/>
        </w:rPr>
      </w:pPr>
      <w:r w:rsidRPr="00DC607B">
        <w:rPr>
          <w:rFonts w:ascii="Times New Roman" w:eastAsia="Times New Roman" w:hAnsi="Times New Roman" w:cs="Times New Roman"/>
          <w:b/>
          <w:bCs/>
        </w:rPr>
        <w:t>Képességei:</w:t>
      </w:r>
    </w:p>
    <w:p w:rsidR="001C3967" w:rsidRPr="0030669E" w:rsidRDefault="001C3967" w:rsidP="001C3967">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r>
      <w:r w:rsidRPr="0030669E">
        <w:rPr>
          <w:rFonts w:ascii="Times New Roman" w:eastAsia="Times New Roman" w:hAnsi="Times New Roman"/>
          <w:bCs/>
        </w:rPr>
        <w:t>Képes összeállítani a beszámoló részét képező mérleget és eredménykimutatást, valamint lekönyvelni az alapvető és az összetett gazdasági eseményeket.</w:t>
      </w:r>
    </w:p>
    <w:p w:rsidR="001C3967" w:rsidRPr="0030669E" w:rsidRDefault="001C3967" w:rsidP="001C3967">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r>
      <w:r w:rsidRPr="0030669E">
        <w:rPr>
          <w:rFonts w:ascii="Times New Roman" w:eastAsia="Times New Roman" w:hAnsi="Times New Roman"/>
          <w:bCs/>
        </w:rPr>
        <w:t>Képes valós és megbízható képet alkotni a gazdálkodó szervezetek vagyonáról, pénzügyi helyzetéről, gazdálkodásának szabályszerűségéről.</w:t>
      </w:r>
    </w:p>
    <w:p w:rsidR="001C3967" w:rsidRPr="00DC607B" w:rsidRDefault="001C3967" w:rsidP="001C3967">
      <w:pPr>
        <w:widowControl w:val="0"/>
        <w:spacing w:before="120" w:after="0" w:line="240" w:lineRule="auto"/>
        <w:ind w:left="425"/>
        <w:jc w:val="both"/>
        <w:rPr>
          <w:rFonts w:ascii="Times New Roman" w:eastAsia="Times New Roman" w:hAnsi="Times New Roman" w:cs="Times New Roman"/>
          <w:bCs/>
        </w:rPr>
      </w:pPr>
      <w:r w:rsidRPr="00DC607B">
        <w:rPr>
          <w:rFonts w:ascii="Times New Roman" w:eastAsia="Times New Roman" w:hAnsi="Times New Roman" w:cs="Times New Roman"/>
          <w:b/>
          <w:bCs/>
        </w:rPr>
        <w:t>Attitűdje:</w:t>
      </w:r>
      <w:r w:rsidRPr="00DC607B">
        <w:rPr>
          <w:rFonts w:ascii="Times New Roman" w:eastAsia="Times New Roman" w:hAnsi="Times New Roman" w:cs="Times New Roman"/>
          <w:bCs/>
        </w:rPr>
        <w:t xml:space="preserve"> </w:t>
      </w:r>
    </w:p>
    <w:p w:rsidR="001C3967" w:rsidRPr="0030669E" w:rsidRDefault="001C3967" w:rsidP="001C3967">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r>
      <w:r w:rsidRPr="0030669E">
        <w:rPr>
          <w:rFonts w:ascii="Times New Roman" w:eastAsia="Times New Roman" w:hAnsi="Times New Roman"/>
          <w:bCs/>
        </w:rPr>
        <w:t>Nyitott szakterülete új eredményei, innovációi iránt, törekszik azok megismerésére, megértésére és alkalmazására, elkötelezett önmaga folyamatos képzésére.</w:t>
      </w:r>
    </w:p>
    <w:p w:rsidR="001C3967" w:rsidRPr="0030669E" w:rsidRDefault="001C3967" w:rsidP="001C3967">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r>
      <w:r w:rsidRPr="0030669E">
        <w:rPr>
          <w:rFonts w:ascii="Times New Roman" w:eastAsia="Times New Roman" w:hAnsi="Times New Roman"/>
          <w:bCs/>
        </w:rPr>
        <w:t>A minőségi szakmai munkavégzés iránt elkötelezett, azt a pontosságra való törekvés jellemzi.</w:t>
      </w:r>
    </w:p>
    <w:p w:rsidR="001C3967" w:rsidRPr="0030669E" w:rsidRDefault="001C3967" w:rsidP="001C3967">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r>
      <w:r w:rsidRPr="0030669E">
        <w:rPr>
          <w:rFonts w:ascii="Times New Roman" w:eastAsia="Times New Roman" w:hAnsi="Times New Roman"/>
          <w:bCs/>
        </w:rPr>
        <w:t>Felismeri a rendszerszintű tevékenységben rejlő értékeket, törekszik a logisztikai tevékenységek közötti kapcsolatok értelmezésére.</w:t>
      </w:r>
    </w:p>
    <w:p w:rsidR="001C3967" w:rsidRPr="006A233B" w:rsidRDefault="001C3967" w:rsidP="001C3967">
      <w:pPr>
        <w:widowControl w:val="0"/>
        <w:spacing w:before="120" w:after="0" w:line="240" w:lineRule="auto"/>
        <w:ind w:left="425"/>
        <w:jc w:val="both"/>
        <w:rPr>
          <w:rFonts w:ascii="Times New Roman" w:eastAsia="Times New Roman" w:hAnsi="Times New Roman" w:cs="Times New Roman"/>
          <w:bCs/>
        </w:rPr>
      </w:pPr>
      <w:r w:rsidRPr="006A233B">
        <w:rPr>
          <w:rFonts w:ascii="Times New Roman" w:eastAsia="Times New Roman" w:hAnsi="Times New Roman" w:cs="Times New Roman"/>
          <w:b/>
          <w:bCs/>
        </w:rPr>
        <w:t>Autonómiája és felelőssége:</w:t>
      </w:r>
    </w:p>
    <w:p w:rsidR="001C3967" w:rsidRPr="0030669E" w:rsidRDefault="001C3967" w:rsidP="001C3967">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r>
      <w:r w:rsidRPr="0030669E">
        <w:rPr>
          <w:rFonts w:ascii="Times New Roman" w:eastAsia="Times New Roman" w:hAnsi="Times New Roman"/>
          <w:bCs/>
        </w:rPr>
        <w:t>Felelősséget vállal számvetéseinek pontosságáért.</w:t>
      </w:r>
    </w:p>
    <w:p w:rsidR="001C3967" w:rsidRPr="00F05659" w:rsidRDefault="001C3967" w:rsidP="001C3967">
      <w:pPr>
        <w:widowControl w:val="0"/>
        <w:spacing w:before="120" w:after="0" w:line="240" w:lineRule="auto"/>
        <w:ind w:left="425"/>
        <w:jc w:val="both"/>
        <w:rPr>
          <w:rFonts w:ascii="Times New Roman" w:eastAsia="Times New Roman" w:hAnsi="Times New Roman" w:cs="Times New Roman"/>
          <w:b/>
          <w:bCs/>
          <w:lang w:val="en-US"/>
        </w:rPr>
      </w:pPr>
      <w:r w:rsidRPr="006A233B">
        <w:rPr>
          <w:rFonts w:ascii="Times New Roman" w:eastAsia="Times New Roman" w:hAnsi="Times New Roman" w:cs="Times New Roman"/>
          <w:b/>
          <w:bCs/>
        </w:rPr>
        <w:lastRenderedPageBreak/>
        <w:t>Elérendő kompetenciák (angolul) (</w:t>
      </w:r>
      <w:r w:rsidRPr="006A233B">
        <w:rPr>
          <w:rFonts w:ascii="Times New Roman" w:eastAsia="Times New Roman" w:hAnsi="Times New Roman" w:cs="Times New Roman"/>
          <w:b/>
          <w:bCs/>
          <w:lang w:val="en-US"/>
        </w:rPr>
        <w:t xml:space="preserve">Competences – English): </w:t>
      </w:r>
    </w:p>
    <w:p w:rsidR="001C3967" w:rsidRDefault="001C3967" w:rsidP="001C3967">
      <w:pPr>
        <w:widowControl w:val="0"/>
        <w:spacing w:before="120" w:after="0" w:line="240" w:lineRule="auto"/>
        <w:ind w:left="425"/>
        <w:jc w:val="both"/>
        <w:rPr>
          <w:rFonts w:ascii="Times New Roman" w:eastAsia="Times New Roman" w:hAnsi="Times New Roman" w:cs="Times New Roman"/>
          <w:lang w:val="en-GB"/>
        </w:rPr>
      </w:pPr>
      <w:r w:rsidRPr="006A233B">
        <w:rPr>
          <w:rFonts w:ascii="Times New Roman" w:eastAsia="Times New Roman" w:hAnsi="Times New Roman" w:cs="Times New Roman"/>
          <w:b/>
          <w:lang w:val="en-GB"/>
        </w:rPr>
        <w:t>Knowledge</w:t>
      </w:r>
      <w:r w:rsidRPr="006A233B">
        <w:rPr>
          <w:rFonts w:ascii="Times New Roman" w:eastAsia="Times New Roman" w:hAnsi="Times New Roman" w:cs="Times New Roman"/>
          <w:lang w:val="en-GB"/>
        </w:rPr>
        <w:t xml:space="preserve">: </w:t>
      </w:r>
    </w:p>
    <w:p w:rsidR="001C3967" w:rsidRPr="0030669E" w:rsidRDefault="001C3967" w:rsidP="001C3967">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r>
      <w:r w:rsidRPr="0030669E">
        <w:rPr>
          <w:rFonts w:ascii="Times New Roman" w:eastAsia="Times New Roman" w:hAnsi="Times New Roman"/>
          <w:bCs/>
        </w:rPr>
        <w:t>The student knows the basics of the operation of the economy and markets</w:t>
      </w:r>
      <w:r>
        <w:rPr>
          <w:rFonts w:ascii="Times New Roman" w:eastAsia="Times New Roman" w:hAnsi="Times New Roman"/>
          <w:bCs/>
        </w:rPr>
        <w:t>.</w:t>
      </w:r>
    </w:p>
    <w:p w:rsidR="001C3967" w:rsidRPr="0030669E" w:rsidRDefault="001C3967" w:rsidP="001C3967">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r>
      <w:r w:rsidRPr="0030669E">
        <w:rPr>
          <w:rFonts w:ascii="Times New Roman" w:eastAsia="Times New Roman" w:hAnsi="Times New Roman"/>
          <w:bCs/>
        </w:rPr>
        <w:t>Knows the system and principles of accounting in Hungary</w:t>
      </w:r>
      <w:r>
        <w:rPr>
          <w:rFonts w:ascii="Times New Roman" w:eastAsia="Times New Roman" w:hAnsi="Times New Roman"/>
          <w:bCs/>
        </w:rPr>
        <w:t>.</w:t>
      </w:r>
    </w:p>
    <w:p w:rsidR="001C3967" w:rsidRPr="0030669E" w:rsidRDefault="001C3967" w:rsidP="001C3967">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r>
      <w:r w:rsidRPr="0030669E">
        <w:rPr>
          <w:rFonts w:ascii="Times New Roman" w:eastAsia="Times New Roman" w:hAnsi="Times New Roman"/>
          <w:bCs/>
        </w:rPr>
        <w:t>He / She has an in-depth knowledge of the system of accounting for economic events</w:t>
      </w:r>
      <w:r>
        <w:rPr>
          <w:rFonts w:ascii="Times New Roman" w:eastAsia="Times New Roman" w:hAnsi="Times New Roman"/>
          <w:bCs/>
        </w:rPr>
        <w:t>.</w:t>
      </w:r>
    </w:p>
    <w:p w:rsidR="001C3967" w:rsidRDefault="001C3967" w:rsidP="001C3967">
      <w:pPr>
        <w:widowControl w:val="0"/>
        <w:spacing w:before="120" w:after="0" w:line="240" w:lineRule="auto"/>
        <w:ind w:left="425"/>
        <w:jc w:val="both"/>
        <w:rPr>
          <w:rFonts w:ascii="Times New Roman" w:eastAsia="Times New Roman" w:hAnsi="Times New Roman" w:cs="Times New Roman"/>
          <w:lang w:val="en-GB"/>
        </w:rPr>
      </w:pPr>
      <w:r w:rsidRPr="006A233B">
        <w:rPr>
          <w:rFonts w:ascii="Times New Roman" w:eastAsia="Times New Roman" w:hAnsi="Times New Roman" w:cs="Times New Roman"/>
          <w:b/>
          <w:lang w:val="en-GB"/>
        </w:rPr>
        <w:t>Capabilities</w:t>
      </w:r>
      <w:r w:rsidRPr="006A233B">
        <w:rPr>
          <w:rFonts w:ascii="Times New Roman" w:eastAsia="Times New Roman" w:hAnsi="Times New Roman" w:cs="Times New Roman"/>
          <w:lang w:val="en-GB"/>
        </w:rPr>
        <w:t xml:space="preserve">: </w:t>
      </w:r>
    </w:p>
    <w:p w:rsidR="001C3967" w:rsidRPr="0030669E" w:rsidRDefault="001C3967" w:rsidP="001C3967">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r>
      <w:r w:rsidRPr="0030669E">
        <w:rPr>
          <w:rFonts w:ascii="Times New Roman" w:eastAsia="Times New Roman" w:hAnsi="Times New Roman"/>
          <w:bCs/>
        </w:rPr>
        <w:t>He / She is able to prepare the balance sheet and profit and loss account that is part of the financial statements, and to record major and complex economic events</w:t>
      </w:r>
      <w:r>
        <w:rPr>
          <w:rFonts w:ascii="Times New Roman" w:eastAsia="Times New Roman" w:hAnsi="Times New Roman"/>
          <w:bCs/>
        </w:rPr>
        <w:t>.</w:t>
      </w:r>
    </w:p>
    <w:p w:rsidR="001C3967" w:rsidRPr="0030669E" w:rsidRDefault="001C3967" w:rsidP="001C3967">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r>
      <w:r w:rsidRPr="0030669E">
        <w:rPr>
          <w:rFonts w:ascii="Times New Roman" w:eastAsia="Times New Roman" w:hAnsi="Times New Roman"/>
          <w:bCs/>
        </w:rPr>
        <w:t>He / She is able to give a real and reliable picture of the assets, financial position and regularity of the business organizations.</w:t>
      </w:r>
    </w:p>
    <w:p w:rsidR="001C3967" w:rsidRDefault="001C3967" w:rsidP="001C39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425"/>
        <w:jc w:val="both"/>
        <w:rPr>
          <w:rFonts w:ascii="Times New Roman" w:eastAsia="Times New Roman" w:hAnsi="Times New Roman" w:cs="Times New Roman"/>
          <w:lang w:val="en-GB"/>
        </w:rPr>
      </w:pPr>
      <w:r w:rsidRPr="006A233B">
        <w:rPr>
          <w:rFonts w:ascii="Times New Roman" w:eastAsia="Times New Roman" w:hAnsi="Times New Roman" w:cs="Times New Roman"/>
          <w:b/>
          <w:lang w:val="en-GB"/>
        </w:rPr>
        <w:t>Attitude:</w:t>
      </w:r>
      <w:r w:rsidRPr="006A233B">
        <w:rPr>
          <w:rFonts w:ascii="Times New Roman" w:eastAsia="Times New Roman" w:hAnsi="Times New Roman" w:cs="Times New Roman"/>
          <w:lang w:val="en-GB"/>
        </w:rPr>
        <w:t xml:space="preserve"> </w:t>
      </w:r>
    </w:p>
    <w:p w:rsidR="001C3967" w:rsidRPr="0030669E" w:rsidRDefault="001C3967" w:rsidP="001C3967">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r>
      <w:r w:rsidRPr="0030669E">
        <w:rPr>
          <w:rFonts w:ascii="Times New Roman" w:eastAsia="Times New Roman" w:hAnsi="Times New Roman"/>
          <w:bCs/>
        </w:rPr>
        <w:t>In his/her specialization he/she is open to new achievements and innovations, strives to know, understand and apply them, and committed to continous self-education.</w:t>
      </w:r>
    </w:p>
    <w:p w:rsidR="001C3967" w:rsidRPr="0030669E" w:rsidRDefault="001C3967" w:rsidP="001C3967">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r>
      <w:r w:rsidRPr="0030669E">
        <w:rPr>
          <w:rFonts w:ascii="Times New Roman" w:eastAsia="Times New Roman" w:hAnsi="Times New Roman"/>
          <w:bCs/>
        </w:rPr>
        <w:t>His/Her professional work is characterized by high accuracy and quality.</w:t>
      </w:r>
    </w:p>
    <w:p w:rsidR="001C3967" w:rsidRPr="0030669E" w:rsidRDefault="001C3967" w:rsidP="001C3967">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r>
      <w:r w:rsidRPr="0030669E">
        <w:rPr>
          <w:rFonts w:ascii="Times New Roman" w:eastAsia="Times New Roman" w:hAnsi="Times New Roman"/>
          <w:bCs/>
        </w:rPr>
        <w:t>He/She recognizes the value of systemic activities and seeks to understand the relationships among logistics procedures.</w:t>
      </w:r>
    </w:p>
    <w:p w:rsidR="001C3967" w:rsidRDefault="001C3967" w:rsidP="001C3967">
      <w:pPr>
        <w:widowControl w:val="0"/>
        <w:spacing w:before="120" w:after="0" w:line="240" w:lineRule="auto"/>
        <w:ind w:left="425"/>
        <w:jc w:val="both"/>
        <w:rPr>
          <w:rFonts w:ascii="Times New Roman" w:eastAsia="Times New Roman" w:hAnsi="Times New Roman" w:cs="Times New Roman"/>
          <w:bCs/>
        </w:rPr>
      </w:pPr>
      <w:r w:rsidRPr="006A233B">
        <w:rPr>
          <w:rFonts w:ascii="Times New Roman" w:eastAsia="Times New Roman" w:hAnsi="Times New Roman" w:cs="Times New Roman"/>
          <w:b/>
          <w:lang w:val="en-GB"/>
        </w:rPr>
        <w:t xml:space="preserve">Autonomy and responsibility: </w:t>
      </w:r>
    </w:p>
    <w:p w:rsidR="001C3967" w:rsidRPr="000B572A" w:rsidRDefault="001C3967" w:rsidP="001C3967">
      <w:pPr>
        <w:widowControl w:val="0"/>
        <w:spacing w:before="120" w:after="120" w:line="240" w:lineRule="auto"/>
        <w:ind w:left="993" w:hanging="360"/>
        <w:contextualSpacing/>
        <w:jc w:val="both"/>
        <w:rPr>
          <w:rFonts w:ascii="Times New Roman" w:eastAsia="Times New Roman" w:hAnsi="Times New Roman" w:cs="Times New Roman"/>
          <w:bCs/>
          <w:lang w:val="en-US"/>
        </w:rPr>
      </w:pPr>
      <w:r>
        <w:rPr>
          <w:rFonts w:ascii="Times New Roman" w:eastAsia="Times New Roman" w:hAnsi="Times New Roman" w:cs="Times New Roman"/>
          <w:bCs/>
          <w:lang w:val="en-US"/>
        </w:rPr>
        <w:t>-</w:t>
      </w:r>
      <w:r>
        <w:rPr>
          <w:rFonts w:ascii="Times New Roman" w:eastAsia="Times New Roman" w:hAnsi="Times New Roman" w:cs="Times New Roman"/>
          <w:bCs/>
          <w:lang w:val="en-US"/>
        </w:rPr>
        <w:tab/>
      </w:r>
      <w:r w:rsidRPr="000B572A">
        <w:rPr>
          <w:rFonts w:ascii="Times New Roman" w:eastAsia="Times New Roman" w:hAnsi="Times New Roman" w:cs="Times New Roman"/>
          <w:bCs/>
          <w:lang w:val="en-US"/>
        </w:rPr>
        <w:t>He / She takes responsibility for the accuracy of his/her calculations.</w:t>
      </w:r>
    </w:p>
    <w:p w:rsidR="001C3967" w:rsidRPr="003F7029" w:rsidRDefault="001C3967" w:rsidP="00980876">
      <w:pPr>
        <w:widowControl w:val="0"/>
        <w:numPr>
          <w:ilvl w:val="0"/>
          <w:numId w:val="497"/>
        </w:numPr>
        <w:tabs>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Előtanulmányi követelmények:</w:t>
      </w:r>
      <w:r>
        <w:rPr>
          <w:rFonts w:ascii="Times New Roman" w:eastAsia="Times New Roman" w:hAnsi="Times New Roman" w:cs="Times New Roman"/>
          <w:bCs/>
        </w:rPr>
        <w:t xml:space="preserve"> –</w:t>
      </w:r>
    </w:p>
    <w:p w:rsidR="001C3967" w:rsidRPr="006A233B" w:rsidRDefault="001C3967" w:rsidP="00980876">
      <w:pPr>
        <w:widowControl w:val="0"/>
        <w:numPr>
          <w:ilvl w:val="0"/>
          <w:numId w:val="497"/>
        </w:numPr>
        <w:spacing w:before="120" w:after="120" w:line="240" w:lineRule="auto"/>
        <w:ind w:left="426" w:hanging="142"/>
        <w:jc w:val="both"/>
        <w:rPr>
          <w:rFonts w:ascii="Times New Roman" w:eastAsia="Times New Roman" w:hAnsi="Times New Roman" w:cs="Times New Roman"/>
          <w:b/>
          <w:bCs/>
        </w:rPr>
      </w:pPr>
      <w:r w:rsidRPr="006A233B">
        <w:rPr>
          <w:rFonts w:ascii="Times New Roman" w:eastAsia="Times New Roman" w:hAnsi="Times New Roman" w:cs="Times New Roman"/>
          <w:b/>
          <w:bCs/>
        </w:rPr>
        <w:t>A tantárgy tananyagának leírása, tematika. Description of the subject, curriculum (magyarul, angolul - English):</w:t>
      </w:r>
    </w:p>
    <w:p w:rsidR="001C3967" w:rsidRPr="0030669E" w:rsidRDefault="001C3967" w:rsidP="00980876">
      <w:pPr>
        <w:widowControl w:val="0"/>
        <w:numPr>
          <w:ilvl w:val="1"/>
          <w:numId w:val="497"/>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30669E">
        <w:rPr>
          <w:rFonts w:ascii="Times New Roman" w:eastAsia="Times New Roman" w:hAnsi="Times New Roman" w:cs="Times New Roman"/>
          <w:kern w:val="2"/>
        </w:rPr>
        <w:t>Az immateriális javakkal kapcsolatos általános ismeretek</w:t>
      </w:r>
      <w:r w:rsidRPr="0030669E">
        <w:rPr>
          <w:rFonts w:ascii="Times New Roman" w:eastAsia="Times New Roman" w:hAnsi="Times New Roman" w:cs="Times New Roman"/>
          <w:i/>
          <w:kern w:val="2"/>
        </w:rPr>
        <w:t>. (General knowledge of intangible assets.)</w:t>
      </w:r>
    </w:p>
    <w:p w:rsidR="001C3967" w:rsidRPr="0030669E" w:rsidRDefault="001C3967" w:rsidP="00980876">
      <w:pPr>
        <w:widowControl w:val="0"/>
        <w:numPr>
          <w:ilvl w:val="1"/>
          <w:numId w:val="497"/>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30669E">
        <w:rPr>
          <w:rFonts w:ascii="Times New Roman" w:eastAsia="Times New Roman" w:hAnsi="Times New Roman" w:cs="Times New Roman"/>
          <w:kern w:val="2"/>
        </w:rPr>
        <w:t xml:space="preserve">Vagyoni értékű jogok főkönyvi könyvelése. </w:t>
      </w:r>
      <w:r w:rsidRPr="0030669E">
        <w:rPr>
          <w:rFonts w:ascii="Times New Roman" w:eastAsia="Times New Roman" w:hAnsi="Times New Roman" w:cs="Times New Roman"/>
          <w:i/>
          <w:kern w:val="2"/>
        </w:rPr>
        <w:t>(General ledger accounting of property rights.)</w:t>
      </w:r>
    </w:p>
    <w:p w:rsidR="001C3967" w:rsidRPr="0030669E" w:rsidRDefault="001C3967" w:rsidP="00980876">
      <w:pPr>
        <w:widowControl w:val="0"/>
        <w:numPr>
          <w:ilvl w:val="1"/>
          <w:numId w:val="497"/>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30669E">
        <w:rPr>
          <w:rFonts w:ascii="Times New Roman" w:eastAsia="Times New Roman" w:hAnsi="Times New Roman" w:cs="Times New Roman"/>
          <w:kern w:val="2"/>
        </w:rPr>
        <w:t xml:space="preserve">Alapítás –átszervezés és a kísérleti fejlesztés aktivált értékének elszámolása. </w:t>
      </w:r>
      <w:r w:rsidRPr="0030669E">
        <w:rPr>
          <w:rFonts w:ascii="Times New Roman" w:eastAsia="Times New Roman" w:hAnsi="Times New Roman" w:cs="Times New Roman"/>
          <w:i/>
          <w:kern w:val="2"/>
        </w:rPr>
        <w:t>(Establishment - Reorganization and recognition of capitalized value of experimental development.)</w:t>
      </w:r>
    </w:p>
    <w:p w:rsidR="001C3967" w:rsidRPr="0030669E" w:rsidRDefault="001C3967" w:rsidP="00980876">
      <w:pPr>
        <w:widowControl w:val="0"/>
        <w:numPr>
          <w:ilvl w:val="1"/>
          <w:numId w:val="497"/>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30669E">
        <w:rPr>
          <w:rFonts w:ascii="Times New Roman" w:eastAsia="Times New Roman" w:hAnsi="Times New Roman" w:cs="Times New Roman"/>
          <w:kern w:val="2"/>
        </w:rPr>
        <w:t xml:space="preserve">Szellemi termékek és az üzleti vagy cégérték sajátosságai. </w:t>
      </w:r>
      <w:r w:rsidRPr="0030669E">
        <w:rPr>
          <w:rFonts w:ascii="Times New Roman" w:eastAsia="Times New Roman" w:hAnsi="Times New Roman" w:cs="Times New Roman"/>
          <w:i/>
          <w:kern w:val="2"/>
        </w:rPr>
        <w:t>(Intellectual property and characteristics of financial goodwill.)</w:t>
      </w:r>
    </w:p>
    <w:p w:rsidR="001C3967" w:rsidRPr="0030669E" w:rsidRDefault="001C3967" w:rsidP="00980876">
      <w:pPr>
        <w:widowControl w:val="0"/>
        <w:numPr>
          <w:ilvl w:val="1"/>
          <w:numId w:val="497"/>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30669E">
        <w:rPr>
          <w:rFonts w:ascii="Times New Roman" w:eastAsia="Times New Roman" w:hAnsi="Times New Roman" w:cs="Times New Roman"/>
          <w:kern w:val="2"/>
        </w:rPr>
        <w:t xml:space="preserve">Összevont feladatmegoldás az immateriális javak témakörben. </w:t>
      </w:r>
      <w:r w:rsidRPr="0030669E">
        <w:rPr>
          <w:rFonts w:ascii="Times New Roman" w:eastAsia="Times New Roman" w:hAnsi="Times New Roman" w:cs="Times New Roman"/>
          <w:i/>
          <w:kern w:val="2"/>
        </w:rPr>
        <w:t>(Practice problems regarding intangible assets.)</w:t>
      </w:r>
    </w:p>
    <w:p w:rsidR="001C3967" w:rsidRPr="0030669E" w:rsidRDefault="001C3967" w:rsidP="00980876">
      <w:pPr>
        <w:widowControl w:val="0"/>
        <w:numPr>
          <w:ilvl w:val="1"/>
          <w:numId w:val="497"/>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30669E">
        <w:rPr>
          <w:rFonts w:ascii="Times New Roman" w:eastAsia="Times New Roman" w:hAnsi="Times New Roman" w:cs="Times New Roman"/>
          <w:kern w:val="2"/>
        </w:rPr>
        <w:t xml:space="preserve">1. zh. megírása. </w:t>
      </w:r>
      <w:r w:rsidRPr="0030669E">
        <w:rPr>
          <w:rFonts w:ascii="Times New Roman" w:eastAsia="Times New Roman" w:hAnsi="Times New Roman" w:cs="Times New Roman"/>
          <w:i/>
          <w:kern w:val="2"/>
        </w:rPr>
        <w:t>(Written test.)</w:t>
      </w:r>
    </w:p>
    <w:p w:rsidR="001C3967" w:rsidRPr="0030669E" w:rsidRDefault="001C3967" w:rsidP="00980876">
      <w:pPr>
        <w:widowControl w:val="0"/>
        <w:numPr>
          <w:ilvl w:val="1"/>
          <w:numId w:val="497"/>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30669E">
        <w:rPr>
          <w:rFonts w:ascii="Times New Roman" w:eastAsia="Times New Roman" w:hAnsi="Times New Roman" w:cs="Times New Roman"/>
          <w:kern w:val="2"/>
        </w:rPr>
        <w:t xml:space="preserve">A tárgyi eszközökkel kapcsolatos általános ismeretek. </w:t>
      </w:r>
      <w:r w:rsidRPr="0030669E">
        <w:rPr>
          <w:rFonts w:ascii="Times New Roman" w:eastAsia="Times New Roman" w:hAnsi="Times New Roman" w:cs="Times New Roman"/>
          <w:i/>
          <w:kern w:val="2"/>
        </w:rPr>
        <w:t>(General knowledge about tangible assets.)</w:t>
      </w:r>
    </w:p>
    <w:p w:rsidR="001C3967" w:rsidRPr="0030669E" w:rsidRDefault="001C3967" w:rsidP="00980876">
      <w:pPr>
        <w:widowControl w:val="0"/>
        <w:numPr>
          <w:ilvl w:val="1"/>
          <w:numId w:val="497"/>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30669E">
        <w:rPr>
          <w:rFonts w:ascii="Times New Roman" w:eastAsia="Times New Roman" w:hAnsi="Times New Roman" w:cs="Times New Roman"/>
          <w:kern w:val="2"/>
        </w:rPr>
        <w:t xml:space="preserve">Tárgyi eszközök bekerülési értéke, az értékcsökkenés elszámolása. </w:t>
      </w:r>
      <w:r w:rsidRPr="0030669E">
        <w:rPr>
          <w:rFonts w:ascii="Times New Roman" w:eastAsia="Times New Roman" w:hAnsi="Times New Roman" w:cs="Times New Roman"/>
          <w:i/>
          <w:kern w:val="2"/>
        </w:rPr>
        <w:t>(Cost of tangible assets, depreciation.)</w:t>
      </w:r>
    </w:p>
    <w:p w:rsidR="001C3967" w:rsidRPr="0030669E" w:rsidRDefault="001C3967" w:rsidP="00980876">
      <w:pPr>
        <w:widowControl w:val="0"/>
        <w:numPr>
          <w:ilvl w:val="1"/>
          <w:numId w:val="497"/>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30669E">
        <w:rPr>
          <w:rFonts w:ascii="Times New Roman" w:eastAsia="Times New Roman" w:hAnsi="Times New Roman" w:cs="Times New Roman"/>
          <w:kern w:val="2"/>
        </w:rPr>
        <w:t>A tárgyi eszközök állománynövekedéseinek főkönyvi könyvelése.</w:t>
      </w:r>
      <w:r>
        <w:rPr>
          <w:rFonts w:ascii="Times New Roman" w:eastAsia="Times New Roman" w:hAnsi="Times New Roman" w:cs="Times New Roman"/>
          <w:kern w:val="2"/>
        </w:rPr>
        <w:t xml:space="preserve"> </w:t>
      </w:r>
      <w:r w:rsidRPr="0030669E">
        <w:rPr>
          <w:rFonts w:ascii="Times New Roman" w:eastAsia="Times New Roman" w:hAnsi="Times New Roman" w:cs="Times New Roman"/>
          <w:i/>
          <w:kern w:val="2"/>
        </w:rPr>
        <w:t>(General ledger accounting of tangible assets increases.)</w:t>
      </w:r>
    </w:p>
    <w:p w:rsidR="001C3967" w:rsidRPr="0030669E" w:rsidRDefault="001C3967" w:rsidP="00980876">
      <w:pPr>
        <w:widowControl w:val="0"/>
        <w:numPr>
          <w:ilvl w:val="1"/>
          <w:numId w:val="497"/>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30669E">
        <w:rPr>
          <w:rFonts w:ascii="Times New Roman" w:eastAsia="Times New Roman" w:hAnsi="Times New Roman" w:cs="Times New Roman"/>
          <w:kern w:val="2"/>
        </w:rPr>
        <w:t xml:space="preserve">A tárgyi eszközök állománycsökkenéseinek főkönyvi könyvelése. </w:t>
      </w:r>
      <w:r w:rsidRPr="0030669E">
        <w:rPr>
          <w:rFonts w:ascii="Times New Roman" w:eastAsia="Times New Roman" w:hAnsi="Times New Roman" w:cs="Times New Roman"/>
          <w:i/>
          <w:kern w:val="2"/>
        </w:rPr>
        <w:t>(General ledger accounting of tangible assets decreases.)</w:t>
      </w:r>
    </w:p>
    <w:p w:rsidR="001C3967" w:rsidRPr="0030669E" w:rsidRDefault="001C3967" w:rsidP="00980876">
      <w:pPr>
        <w:widowControl w:val="0"/>
        <w:numPr>
          <w:ilvl w:val="1"/>
          <w:numId w:val="497"/>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30669E">
        <w:rPr>
          <w:rFonts w:ascii="Times New Roman" w:eastAsia="Times New Roman" w:hAnsi="Times New Roman" w:cs="Times New Roman"/>
          <w:kern w:val="2"/>
        </w:rPr>
        <w:t xml:space="preserve">Beruházások főkönyvi könyvelése. </w:t>
      </w:r>
      <w:r w:rsidRPr="0030669E">
        <w:rPr>
          <w:rFonts w:ascii="Times New Roman" w:eastAsia="Times New Roman" w:hAnsi="Times New Roman" w:cs="Times New Roman"/>
          <w:i/>
          <w:kern w:val="2"/>
        </w:rPr>
        <w:t>(Accounting of investments.)</w:t>
      </w:r>
    </w:p>
    <w:p w:rsidR="001C3967" w:rsidRPr="0030669E" w:rsidRDefault="001C3967" w:rsidP="00980876">
      <w:pPr>
        <w:widowControl w:val="0"/>
        <w:numPr>
          <w:ilvl w:val="1"/>
          <w:numId w:val="497"/>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30669E">
        <w:rPr>
          <w:rFonts w:ascii="Times New Roman" w:eastAsia="Times New Roman" w:hAnsi="Times New Roman" w:cs="Times New Roman"/>
          <w:kern w:val="2"/>
        </w:rPr>
        <w:t xml:space="preserve">Tárgyi eszközök összevont példamegoldásai. </w:t>
      </w:r>
      <w:r w:rsidRPr="0030669E">
        <w:rPr>
          <w:rFonts w:ascii="Times New Roman" w:eastAsia="Times New Roman" w:hAnsi="Times New Roman" w:cs="Times New Roman"/>
          <w:i/>
          <w:kern w:val="2"/>
        </w:rPr>
        <w:t>(Practice problems regarding tangible assets.)</w:t>
      </w:r>
    </w:p>
    <w:p w:rsidR="001C3967" w:rsidRPr="0030669E" w:rsidRDefault="001C3967" w:rsidP="00980876">
      <w:pPr>
        <w:widowControl w:val="0"/>
        <w:numPr>
          <w:ilvl w:val="1"/>
          <w:numId w:val="497"/>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30669E">
        <w:rPr>
          <w:rFonts w:ascii="Times New Roman" w:eastAsia="Times New Roman" w:hAnsi="Times New Roman" w:cs="Times New Roman"/>
          <w:kern w:val="2"/>
        </w:rPr>
        <w:t xml:space="preserve">2. zh. megírása. </w:t>
      </w:r>
      <w:r w:rsidRPr="0030669E">
        <w:rPr>
          <w:rFonts w:ascii="Times New Roman" w:eastAsia="Times New Roman" w:hAnsi="Times New Roman" w:cs="Times New Roman"/>
          <w:i/>
          <w:kern w:val="2"/>
        </w:rPr>
        <w:t>(Written test.)</w:t>
      </w:r>
    </w:p>
    <w:p w:rsidR="001C3967" w:rsidRPr="0030669E" w:rsidRDefault="001C3967" w:rsidP="00980876">
      <w:pPr>
        <w:widowControl w:val="0"/>
        <w:numPr>
          <w:ilvl w:val="1"/>
          <w:numId w:val="497"/>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30669E">
        <w:rPr>
          <w:rFonts w:ascii="Times New Roman" w:eastAsia="Times New Roman" w:hAnsi="Times New Roman" w:cs="Times New Roman"/>
          <w:kern w:val="2"/>
        </w:rPr>
        <w:t xml:space="preserve">Összevont példamegoldás a félév teljes anyagából. </w:t>
      </w:r>
      <w:r w:rsidRPr="0030669E">
        <w:rPr>
          <w:rFonts w:ascii="Times New Roman" w:eastAsia="Times New Roman" w:hAnsi="Times New Roman" w:cs="Times New Roman"/>
          <w:i/>
          <w:kern w:val="2"/>
        </w:rPr>
        <w:t>(Solving problems regarding the semesters subject.)</w:t>
      </w:r>
    </w:p>
    <w:p w:rsidR="001C3967" w:rsidRPr="0000250A" w:rsidRDefault="001C3967" w:rsidP="00980876">
      <w:pPr>
        <w:widowControl w:val="0"/>
        <w:numPr>
          <w:ilvl w:val="0"/>
          <w:numId w:val="497"/>
        </w:numPr>
        <w:tabs>
          <w:tab w:val="num" w:pos="360"/>
        </w:tabs>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bCs/>
        </w:rPr>
        <w:t xml:space="preserve">A tantárgy meghirdetésének gyakorisága/a tantervben történő félévi elhelyezkedése: </w:t>
      </w:r>
      <w:r>
        <w:rPr>
          <w:rFonts w:ascii="Times New Roman" w:eastAsia="Times New Roman" w:hAnsi="Times New Roman" w:cs="Times New Roman"/>
          <w:bCs/>
        </w:rPr>
        <w:t xml:space="preserve">Minden </w:t>
      </w:r>
      <w:r w:rsidRPr="0000250A">
        <w:rPr>
          <w:rFonts w:ascii="Times New Roman" w:eastAsia="Times New Roman" w:hAnsi="Times New Roman" w:cs="Times New Roman"/>
          <w:bCs/>
        </w:rPr>
        <w:lastRenderedPageBreak/>
        <w:t>tavaszi szemeszterben / 6. félév</w:t>
      </w:r>
    </w:p>
    <w:p w:rsidR="001C3967" w:rsidRPr="00CE64DC" w:rsidRDefault="001C3967" w:rsidP="00980876">
      <w:pPr>
        <w:widowControl w:val="0"/>
        <w:numPr>
          <w:ilvl w:val="0"/>
          <w:numId w:val="497"/>
        </w:numPr>
        <w:tabs>
          <w:tab w:val="num" w:pos="360"/>
        </w:tabs>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bCs/>
        </w:rPr>
        <w:t>A tanórákon való részvétel követelményei, az elfogadható hiányzások mértéke, a távolmaradás pótlásának lehetősége:</w:t>
      </w:r>
      <w:r>
        <w:rPr>
          <w:rFonts w:ascii="Times New Roman" w:eastAsia="Times New Roman" w:hAnsi="Times New Roman" w:cs="Times New Roman"/>
          <w:bCs/>
        </w:rPr>
        <w:t xml:space="preserve"> </w:t>
      </w:r>
      <w:r w:rsidRPr="00CE64DC">
        <w:rPr>
          <w:rFonts w:ascii="Times New Roman" w:eastAsia="Times New Roman" w:hAnsi="Times New Roman" w:cs="Times New Roman"/>
          <w:bCs/>
        </w:rPr>
        <w:t>A tanórákon való részvétel kötelező.</w:t>
      </w:r>
      <w:r w:rsidRPr="00CE64DC">
        <w:rPr>
          <w:rFonts w:ascii="Times New Roman" w:eastAsia="Times New Roman" w:hAnsi="Times New Roman" w:cs="Times New Roman"/>
          <w:b/>
          <w:bCs/>
        </w:rPr>
        <w:t xml:space="preserve"> </w:t>
      </w:r>
      <w:r w:rsidRPr="00CE64DC">
        <w:rPr>
          <w:rFonts w:ascii="Times New Roman" w:eastAsia="Times New Roman" w:hAnsi="Times New Roman" w:cs="Times New Roman"/>
          <w:bCs/>
        </w:rPr>
        <w:t>A félév elfogadásána</w:t>
      </w:r>
      <w:r>
        <w:rPr>
          <w:rFonts w:ascii="Times New Roman" w:eastAsia="Times New Roman" w:hAnsi="Times New Roman" w:cs="Times New Roman"/>
          <w:bCs/>
        </w:rPr>
        <w:t>k feltétele a tanórák minimum 70</w:t>
      </w:r>
      <w:r w:rsidRPr="00CE64DC">
        <w:rPr>
          <w:rFonts w:ascii="Times New Roman" w:eastAsia="Times New Roman" w:hAnsi="Times New Roman" w:cs="Times New Roman"/>
          <w:bCs/>
        </w:rPr>
        <w:t>%-án való részvétel</w:t>
      </w:r>
      <w:r>
        <w:rPr>
          <w:rFonts w:ascii="Times New Roman" w:eastAsia="Times New Roman" w:hAnsi="Times New Roman" w:cs="Times New Roman"/>
          <w:bCs/>
        </w:rPr>
        <w:t xml:space="preserve">. </w:t>
      </w:r>
      <w:r w:rsidRPr="00D67043">
        <w:rPr>
          <w:rFonts w:ascii="Times New Roman" w:eastAsia="Times New Roman" w:hAnsi="Times New Roman" w:cs="Times New Roman"/>
          <w:bCs/>
        </w:rPr>
        <w:t>A hallgatónak a kimaradt tananyagot önképzés keretén belül kell elsajátítani. A kimaradt tananyag jobb megértése érdekében az oktató konzultációs lehetőséget biztosít</w:t>
      </w:r>
      <w:r>
        <w:rPr>
          <w:rFonts w:ascii="Times New Roman" w:eastAsia="Times New Roman" w:hAnsi="Times New Roman" w:cs="Times New Roman"/>
          <w:bCs/>
        </w:rPr>
        <w:t>hat</w:t>
      </w:r>
      <w:r w:rsidRPr="00D67043">
        <w:rPr>
          <w:rFonts w:ascii="Times New Roman" w:eastAsia="Times New Roman" w:hAnsi="Times New Roman" w:cs="Times New Roman"/>
          <w:bCs/>
        </w:rPr>
        <w:t>.</w:t>
      </w:r>
    </w:p>
    <w:p w:rsidR="001C3967" w:rsidRPr="006717DC" w:rsidRDefault="001C3967" w:rsidP="00980876">
      <w:pPr>
        <w:widowControl w:val="0"/>
        <w:numPr>
          <w:ilvl w:val="0"/>
          <w:numId w:val="497"/>
        </w:numPr>
        <w:tabs>
          <w:tab w:val="num" w:pos="360"/>
        </w:tabs>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rPr>
        <w:t xml:space="preserve">Félévközi feladatok, ismeretek ellenőrzésének rendje: </w:t>
      </w:r>
      <w:r w:rsidRPr="006717DC">
        <w:rPr>
          <w:rFonts w:ascii="Times New Roman" w:eastAsia="Times New Roman" w:hAnsi="Times New Roman" w:cs="Times New Roman"/>
        </w:rPr>
        <w:t xml:space="preserve">A félév során </w:t>
      </w:r>
      <w:r>
        <w:rPr>
          <w:rFonts w:ascii="Times New Roman" w:eastAsia="Times New Roman" w:hAnsi="Times New Roman" w:cs="Times New Roman"/>
        </w:rPr>
        <w:t>két zárthelyi dolgozat kerül megírásra a 12. pontban meghatározottak szerint.</w:t>
      </w:r>
    </w:p>
    <w:p w:rsidR="001C3967" w:rsidRPr="006A233B" w:rsidRDefault="001C3967" w:rsidP="00980876">
      <w:pPr>
        <w:widowControl w:val="0"/>
        <w:numPr>
          <w:ilvl w:val="0"/>
          <w:numId w:val="497"/>
        </w:numPr>
        <w:spacing w:before="120" w:after="120" w:line="240" w:lineRule="auto"/>
        <w:ind w:left="426" w:hanging="142"/>
        <w:jc w:val="both"/>
        <w:rPr>
          <w:rFonts w:ascii="Times New Roman" w:eastAsia="Times New Roman" w:hAnsi="Times New Roman" w:cs="Times New Roman"/>
          <w:b/>
          <w:bCs/>
        </w:rPr>
      </w:pPr>
      <w:r w:rsidRPr="006A233B">
        <w:rPr>
          <w:rFonts w:ascii="Times New Roman" w:eastAsia="Times New Roman" w:hAnsi="Times New Roman" w:cs="Times New Roman"/>
          <w:b/>
          <w:bCs/>
        </w:rPr>
        <w:t xml:space="preserve">Az értékelés, az aláírás és a kreditek megszerzésének pontos feltételei: </w:t>
      </w:r>
    </w:p>
    <w:p w:rsidR="001C3967" w:rsidRPr="006A233B" w:rsidRDefault="001C3967" w:rsidP="00980876">
      <w:pPr>
        <w:widowControl w:val="0"/>
        <w:numPr>
          <w:ilvl w:val="1"/>
          <w:numId w:val="497"/>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6A233B">
        <w:rPr>
          <w:rFonts w:ascii="Times New Roman" w:eastAsia="Times New Roman" w:hAnsi="Times New Roman" w:cs="Times New Roman"/>
          <w:b/>
        </w:rPr>
        <w:t>Az aláírás megszerzésének feltételei:</w:t>
      </w:r>
    </w:p>
    <w:p w:rsidR="001C3967" w:rsidRPr="006A233B" w:rsidRDefault="001C3967" w:rsidP="001C3967">
      <w:pPr>
        <w:widowControl w:val="0"/>
        <w:tabs>
          <w:tab w:val="left" w:pos="993"/>
        </w:tabs>
        <w:spacing w:before="120" w:after="120" w:line="240" w:lineRule="auto"/>
        <w:ind w:left="426"/>
        <w:jc w:val="both"/>
        <w:rPr>
          <w:rFonts w:ascii="Times New Roman" w:eastAsia="Times New Roman" w:hAnsi="Times New Roman" w:cs="Times New Roman"/>
        </w:rPr>
      </w:pPr>
      <w:r w:rsidRPr="007E215C">
        <w:rPr>
          <w:rFonts w:ascii="Times New Roman" w:eastAsia="Times New Roman" w:hAnsi="Times New Roman" w:cs="Times New Roman"/>
        </w:rPr>
        <w:t>Az aláírás feltétele a tanórákon történő – 1</w:t>
      </w:r>
      <w:r>
        <w:rPr>
          <w:rFonts w:ascii="Times New Roman" w:eastAsia="Times New Roman" w:hAnsi="Times New Roman" w:cs="Times New Roman"/>
        </w:rPr>
        <w:t>4</w:t>
      </w:r>
      <w:r w:rsidRPr="007E215C">
        <w:rPr>
          <w:rFonts w:ascii="Times New Roman" w:eastAsia="Times New Roman" w:hAnsi="Times New Roman" w:cs="Times New Roman"/>
        </w:rPr>
        <w:t xml:space="preserve">. pontban meghatározott – részvétel, </w:t>
      </w:r>
      <w:r>
        <w:rPr>
          <w:rFonts w:ascii="Times New Roman" w:eastAsia="Times New Roman" w:hAnsi="Times New Roman" w:cs="Times New Roman"/>
        </w:rPr>
        <w:t>valamint a zárthelyi dolgozatok sikeres megírása (elfogadáshoz dolgozatonként legalább az 51 % elérése).</w:t>
      </w:r>
    </w:p>
    <w:p w:rsidR="001C3967" w:rsidRPr="006A233B" w:rsidRDefault="001C3967" w:rsidP="00980876">
      <w:pPr>
        <w:widowControl w:val="0"/>
        <w:numPr>
          <w:ilvl w:val="1"/>
          <w:numId w:val="497"/>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6A233B">
        <w:rPr>
          <w:rFonts w:ascii="Times New Roman" w:eastAsia="Times New Roman" w:hAnsi="Times New Roman" w:cs="Times New Roman"/>
          <w:b/>
        </w:rPr>
        <w:t>Az értékelés:</w:t>
      </w:r>
    </w:p>
    <w:p w:rsidR="001C3967" w:rsidRPr="006A233B" w:rsidRDefault="001C3967" w:rsidP="001C3967">
      <w:pPr>
        <w:widowControl w:val="0"/>
        <w:tabs>
          <w:tab w:val="left" w:pos="993"/>
        </w:tabs>
        <w:spacing w:before="120" w:after="120" w:line="240" w:lineRule="auto"/>
        <w:ind w:left="426"/>
        <w:jc w:val="both"/>
        <w:rPr>
          <w:rFonts w:ascii="Times New Roman" w:eastAsia="Times New Roman" w:hAnsi="Times New Roman" w:cs="Times New Roman"/>
        </w:rPr>
      </w:pPr>
      <w:r w:rsidRPr="00995D59">
        <w:rPr>
          <w:rFonts w:ascii="Times New Roman" w:eastAsia="Times New Roman" w:hAnsi="Times New Roman" w:cs="Times New Roman"/>
        </w:rPr>
        <w:t>Az ötfokozatú évközi jegy a zárthelyi dolgozatok egyszerű számtani átlaga alapján kerül kialakításra, amelyek esetében az elégséges jegy elérése, dolgozatonként az 51%. A zárthelyi dolgozatok pótlására a szorgalmi időszakban egyszer van lehetőség.</w:t>
      </w:r>
    </w:p>
    <w:p w:rsidR="001C3967" w:rsidRPr="006A233B" w:rsidRDefault="001C3967" w:rsidP="00980876">
      <w:pPr>
        <w:widowControl w:val="0"/>
        <w:numPr>
          <w:ilvl w:val="1"/>
          <w:numId w:val="497"/>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6A233B">
        <w:rPr>
          <w:rFonts w:ascii="Times New Roman" w:eastAsia="Times New Roman" w:hAnsi="Times New Roman" w:cs="Times New Roman"/>
          <w:b/>
        </w:rPr>
        <w:t>A kreditek megszerzésének feltételei:</w:t>
      </w:r>
      <w:r w:rsidRPr="006A233B">
        <w:rPr>
          <w:rFonts w:ascii="Times New Roman" w:eastAsia="Times New Roman" w:hAnsi="Times New Roman" w:cs="Times New Roman"/>
        </w:rPr>
        <w:t xml:space="preserve"> </w:t>
      </w:r>
    </w:p>
    <w:p w:rsidR="001C3967" w:rsidRPr="006A233B" w:rsidRDefault="001C3967" w:rsidP="001C3967">
      <w:pPr>
        <w:widowControl w:val="0"/>
        <w:tabs>
          <w:tab w:val="left" w:pos="993"/>
        </w:tabs>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A kreditek megszerzésének feltétele az aláírás megszerzése és a legalább elégséges évközi jegy.</w:t>
      </w:r>
    </w:p>
    <w:p w:rsidR="001C3967" w:rsidRPr="006A233B" w:rsidRDefault="001C3967" w:rsidP="00980876">
      <w:pPr>
        <w:widowControl w:val="0"/>
        <w:numPr>
          <w:ilvl w:val="0"/>
          <w:numId w:val="497"/>
        </w:numPr>
        <w:tabs>
          <w:tab w:val="num" w:pos="360"/>
        </w:tabs>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bCs/>
        </w:rPr>
        <w:t>Irodalomjegyzék:</w:t>
      </w:r>
    </w:p>
    <w:p w:rsidR="001C3967" w:rsidRPr="006A233B" w:rsidRDefault="001C3967" w:rsidP="00980876">
      <w:pPr>
        <w:widowControl w:val="0"/>
        <w:numPr>
          <w:ilvl w:val="1"/>
          <w:numId w:val="497"/>
        </w:numPr>
        <w:tabs>
          <w:tab w:val="clear" w:pos="3977"/>
          <w:tab w:val="left" w:pos="567"/>
          <w:tab w:val="left" w:pos="851"/>
          <w:tab w:val="num" w:pos="2069"/>
        </w:tabs>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bCs/>
        </w:rPr>
        <w:t>Kötelező irodalom:</w:t>
      </w:r>
    </w:p>
    <w:p w:rsidR="001C3967" w:rsidRPr="0076112F" w:rsidRDefault="001C3967" w:rsidP="00980876">
      <w:pPr>
        <w:widowControl w:val="0"/>
        <w:numPr>
          <w:ilvl w:val="0"/>
          <w:numId w:val="498"/>
        </w:numPr>
        <w:spacing w:after="0" w:line="240" w:lineRule="auto"/>
        <w:jc w:val="both"/>
        <w:rPr>
          <w:rFonts w:ascii="Times New Roman" w:eastAsia="Times New Roman" w:hAnsi="Times New Roman" w:cs="Times New Roman"/>
        </w:rPr>
      </w:pPr>
      <w:r w:rsidRPr="00AA3206">
        <w:rPr>
          <w:rFonts w:ascii="Times New Roman" w:eastAsia="Times New Roman" w:hAnsi="Times New Roman" w:cs="Times New Roman"/>
        </w:rPr>
        <w:t>Dr. Kardos Barbara-Lukács László István-Miklósyné Ács Klára-Dr. Siklósi Ágnes-Dr. Simon Szilvia-Dr. Sisa Krisztina Andrea-Dr. Szekeres Bernadett-Dr. Veress Attila-Zatykó Zsuzsanna</w:t>
      </w:r>
      <w:r>
        <w:rPr>
          <w:rFonts w:ascii="Times New Roman" w:eastAsia="Times New Roman" w:hAnsi="Times New Roman" w:cs="Times New Roman"/>
        </w:rPr>
        <w:t xml:space="preserve">: Pénzügyi számvitel (Perfekt Zrt. 2018., Budapest, ISBN </w:t>
      </w:r>
      <w:r w:rsidRPr="00AA3206">
        <w:rPr>
          <w:rFonts w:ascii="Times New Roman" w:eastAsia="Times New Roman" w:hAnsi="Times New Roman" w:cs="Times New Roman"/>
          <w:bCs/>
        </w:rPr>
        <w:t>9789633948620</w:t>
      </w:r>
      <w:r>
        <w:rPr>
          <w:rFonts w:ascii="Times New Roman" w:eastAsia="Times New Roman" w:hAnsi="Times New Roman" w:cs="Times New Roman"/>
          <w:bCs/>
        </w:rPr>
        <w:t>)</w:t>
      </w:r>
    </w:p>
    <w:p w:rsidR="001C3967" w:rsidRPr="0076112F" w:rsidRDefault="001C3967" w:rsidP="00980876">
      <w:pPr>
        <w:widowControl w:val="0"/>
        <w:numPr>
          <w:ilvl w:val="0"/>
          <w:numId w:val="498"/>
        </w:numPr>
        <w:spacing w:after="0" w:line="240" w:lineRule="auto"/>
        <w:jc w:val="both"/>
        <w:rPr>
          <w:rFonts w:ascii="Times New Roman" w:eastAsia="Times New Roman" w:hAnsi="Times New Roman" w:cs="Times New Roman"/>
        </w:rPr>
      </w:pPr>
      <w:r w:rsidRPr="00AA3206">
        <w:rPr>
          <w:rFonts w:ascii="Times New Roman" w:eastAsia="Times New Roman" w:hAnsi="Times New Roman" w:cs="Times New Roman"/>
        </w:rPr>
        <w:t>Veress Attila, Siklósi Ágnes, Sisa Krisztina Andrea, Török Martin Zsófia</w:t>
      </w:r>
      <w:r>
        <w:rPr>
          <w:rFonts w:ascii="Times New Roman" w:eastAsia="Times New Roman" w:hAnsi="Times New Roman" w:cs="Times New Roman"/>
        </w:rPr>
        <w:t xml:space="preserve">: Pénzügyi számvitel példatár (Perfekt Zrt. 2018., Budapest, ISBN </w:t>
      </w:r>
      <w:r w:rsidRPr="00AA3206">
        <w:rPr>
          <w:rFonts w:ascii="Times New Roman" w:eastAsia="Times New Roman" w:hAnsi="Times New Roman" w:cs="Times New Roman"/>
          <w:bCs/>
        </w:rPr>
        <w:t>9789633948637</w:t>
      </w:r>
      <w:r>
        <w:rPr>
          <w:rFonts w:ascii="Times New Roman" w:eastAsia="Times New Roman" w:hAnsi="Times New Roman" w:cs="Times New Roman"/>
          <w:bCs/>
        </w:rPr>
        <w:t>)</w:t>
      </w:r>
    </w:p>
    <w:p w:rsidR="001C3967" w:rsidRPr="006A233B" w:rsidRDefault="001C3967" w:rsidP="00980876">
      <w:pPr>
        <w:widowControl w:val="0"/>
        <w:numPr>
          <w:ilvl w:val="1"/>
          <w:numId w:val="497"/>
        </w:numPr>
        <w:tabs>
          <w:tab w:val="clear" w:pos="3977"/>
          <w:tab w:val="num" w:pos="567"/>
          <w:tab w:val="num" w:pos="2069"/>
        </w:tabs>
        <w:spacing w:before="120" w:after="120" w:line="240" w:lineRule="auto"/>
        <w:ind w:left="993" w:hanging="709"/>
        <w:jc w:val="both"/>
        <w:rPr>
          <w:rFonts w:ascii="Times New Roman" w:eastAsia="Times New Roman" w:hAnsi="Times New Roman" w:cs="Times New Roman"/>
          <w:b/>
          <w:bCs/>
        </w:rPr>
      </w:pPr>
      <w:r w:rsidRPr="006A233B">
        <w:rPr>
          <w:rFonts w:ascii="Times New Roman" w:eastAsia="Times New Roman" w:hAnsi="Times New Roman" w:cs="Times New Roman"/>
          <w:b/>
          <w:bCs/>
        </w:rPr>
        <w:t>Ajánlott irodalom:</w:t>
      </w:r>
    </w:p>
    <w:p w:rsidR="001C3967" w:rsidRPr="0076112F" w:rsidRDefault="001C3967" w:rsidP="00980876">
      <w:pPr>
        <w:pStyle w:val="Listaszerbekezds"/>
        <w:widowControl w:val="0"/>
        <w:numPr>
          <w:ilvl w:val="0"/>
          <w:numId w:val="499"/>
        </w:numPr>
        <w:spacing w:after="0" w:line="240" w:lineRule="auto"/>
        <w:jc w:val="both"/>
        <w:rPr>
          <w:rFonts w:ascii="Times New Roman" w:eastAsia="Times New Roman" w:hAnsi="Times New Roman" w:cs="Times New Roman"/>
        </w:rPr>
      </w:pPr>
      <w:r w:rsidRPr="0076112F">
        <w:rPr>
          <w:rFonts w:ascii="Times New Roman" w:eastAsia="Times New Roman" w:hAnsi="Times New Roman" w:cs="Times New Roman"/>
        </w:rPr>
        <w:t xml:space="preserve">Kardos Péter – Dr. Szakács Imre – Tóth Mihály: A számvitel nagy kézikönyve 2019. (Wolters Kluwer (Complex) Kiadó 2019., </w:t>
      </w:r>
      <w:r>
        <w:rPr>
          <w:rFonts w:ascii="Times New Roman" w:eastAsia="Times New Roman" w:hAnsi="Times New Roman" w:cs="Times New Roman"/>
        </w:rPr>
        <w:t xml:space="preserve">Budapest, </w:t>
      </w:r>
      <w:r w:rsidRPr="0076112F">
        <w:rPr>
          <w:rFonts w:ascii="Times New Roman" w:eastAsia="Times New Roman" w:hAnsi="Times New Roman" w:cs="Times New Roman"/>
        </w:rPr>
        <w:t>ISBN 9789632957821)</w:t>
      </w:r>
    </w:p>
    <w:p w:rsidR="001C3967" w:rsidRPr="0076112F" w:rsidRDefault="001C3967" w:rsidP="001C3967">
      <w:pPr>
        <w:widowControl w:val="0"/>
        <w:spacing w:before="120" w:after="120" w:line="240" w:lineRule="auto"/>
        <w:jc w:val="both"/>
        <w:rPr>
          <w:rFonts w:ascii="Times New Roman" w:eastAsia="Times New Roman" w:hAnsi="Times New Roman" w:cs="Times New Roman"/>
          <w:bCs/>
        </w:rPr>
      </w:pPr>
    </w:p>
    <w:p w:rsidR="001C3967" w:rsidRPr="006A233B" w:rsidRDefault="001C3967" w:rsidP="001C3967">
      <w:pPr>
        <w:widowControl w:val="0"/>
        <w:spacing w:before="120" w:after="120" w:line="240" w:lineRule="auto"/>
        <w:jc w:val="both"/>
        <w:rPr>
          <w:rFonts w:ascii="Times New Roman" w:eastAsia="Times New Roman" w:hAnsi="Times New Roman" w:cs="Times New Roman"/>
          <w:bCs/>
        </w:rPr>
      </w:pPr>
      <w:r w:rsidRPr="006A233B">
        <w:rPr>
          <w:rFonts w:ascii="Times New Roman" w:eastAsia="Times New Roman" w:hAnsi="Times New Roman" w:cs="Times New Roman"/>
          <w:bCs/>
        </w:rPr>
        <w:t>Budapest, 20</w:t>
      </w:r>
      <w:r>
        <w:rPr>
          <w:rFonts w:ascii="Times New Roman" w:eastAsia="Times New Roman" w:hAnsi="Times New Roman" w:cs="Times New Roman"/>
          <w:bCs/>
        </w:rPr>
        <w:t>20</w:t>
      </w:r>
      <w:r w:rsidRPr="006A233B">
        <w:rPr>
          <w:rFonts w:ascii="Times New Roman" w:eastAsia="Times New Roman" w:hAnsi="Times New Roman" w:cs="Times New Roman"/>
          <w:bCs/>
        </w:rPr>
        <w:t xml:space="preserve">. </w:t>
      </w:r>
      <w:r>
        <w:rPr>
          <w:rFonts w:ascii="Times New Roman" w:eastAsia="Times New Roman" w:hAnsi="Times New Roman" w:cs="Times New Roman"/>
          <w:bCs/>
        </w:rPr>
        <w:t>január</w:t>
      </w:r>
      <w:r w:rsidRPr="006A233B">
        <w:rPr>
          <w:rFonts w:ascii="Times New Roman" w:eastAsia="Times New Roman" w:hAnsi="Times New Roman" w:cs="Times New Roman"/>
          <w:bCs/>
        </w:rPr>
        <w:t xml:space="preserve"> </w:t>
      </w:r>
      <w:r>
        <w:rPr>
          <w:rFonts w:ascii="Times New Roman" w:eastAsia="Times New Roman" w:hAnsi="Times New Roman" w:cs="Times New Roman"/>
          <w:bCs/>
        </w:rPr>
        <w:t>18</w:t>
      </w:r>
      <w:r w:rsidRPr="006A233B">
        <w:rPr>
          <w:rFonts w:ascii="Times New Roman" w:eastAsia="Times New Roman" w:hAnsi="Times New Roman" w:cs="Times New Roman"/>
          <w:bCs/>
        </w:rPr>
        <w:t>.</w:t>
      </w:r>
    </w:p>
    <w:p w:rsidR="001C3967" w:rsidRPr="006A233B" w:rsidRDefault="001C3967" w:rsidP="001C3967">
      <w:pPr>
        <w:widowControl w:val="0"/>
        <w:spacing w:before="120" w:after="120" w:line="240" w:lineRule="auto"/>
        <w:jc w:val="both"/>
        <w:rPr>
          <w:rFonts w:ascii="Times New Roman" w:eastAsia="Times New Roman" w:hAnsi="Times New Roman" w:cs="Times New Roman"/>
          <w:bCs/>
        </w:rPr>
      </w:pPr>
    </w:p>
    <w:p w:rsidR="001C3967" w:rsidRPr="00A1227C" w:rsidRDefault="001C3967" w:rsidP="001C3967">
      <w:pPr>
        <w:widowControl w:val="0"/>
        <w:spacing w:after="0" w:line="240" w:lineRule="auto"/>
        <w:ind w:left="4248" w:firstLine="708"/>
        <w:jc w:val="center"/>
        <w:rPr>
          <w:rFonts w:ascii="Times New Roman" w:hAnsi="Times New Roman" w:cs="Times New Roman"/>
          <w:b/>
          <w:bCs/>
        </w:rPr>
      </w:pPr>
      <w:r>
        <w:rPr>
          <w:rFonts w:ascii="Times New Roman" w:hAnsi="Times New Roman" w:cs="Times New Roman"/>
          <w:b/>
          <w:bCs/>
        </w:rPr>
        <w:t xml:space="preserve">          </w:t>
      </w:r>
      <w:r w:rsidRPr="00A1227C">
        <w:rPr>
          <w:rFonts w:ascii="Times New Roman" w:hAnsi="Times New Roman" w:cs="Times New Roman"/>
          <w:b/>
          <w:bCs/>
        </w:rPr>
        <w:t xml:space="preserve">Dr. </w:t>
      </w:r>
      <w:r>
        <w:rPr>
          <w:rFonts w:ascii="Times New Roman" w:hAnsi="Times New Roman" w:cs="Times New Roman"/>
          <w:b/>
          <w:bCs/>
        </w:rPr>
        <w:t>Pap Andrea</w:t>
      </w:r>
      <w:r w:rsidRPr="00A1227C">
        <w:rPr>
          <w:rFonts w:ascii="Times New Roman" w:hAnsi="Times New Roman" w:cs="Times New Roman"/>
          <w:b/>
          <w:bCs/>
        </w:rPr>
        <w:t xml:space="preserve"> </w:t>
      </w:r>
      <w:r>
        <w:rPr>
          <w:rFonts w:ascii="Times New Roman" w:hAnsi="Times New Roman" w:cs="Times New Roman"/>
          <w:b/>
          <w:bCs/>
        </w:rPr>
        <w:t>(</w:t>
      </w:r>
      <w:r w:rsidRPr="00A1227C">
        <w:rPr>
          <w:rFonts w:ascii="Times New Roman" w:hAnsi="Times New Roman" w:cs="Times New Roman"/>
          <w:b/>
          <w:bCs/>
        </w:rPr>
        <w:t>PhD</w:t>
      </w:r>
      <w:r>
        <w:rPr>
          <w:rFonts w:ascii="Times New Roman" w:hAnsi="Times New Roman" w:cs="Times New Roman"/>
          <w:b/>
          <w:bCs/>
        </w:rPr>
        <w:t>)</w:t>
      </w:r>
    </w:p>
    <w:p w:rsidR="001C3967" w:rsidRPr="00734E2C" w:rsidRDefault="001C3967" w:rsidP="001C3967">
      <w:pPr>
        <w:widowControl w:val="0"/>
        <w:spacing w:after="0" w:line="240" w:lineRule="auto"/>
        <w:ind w:left="5664"/>
        <w:jc w:val="both"/>
        <w:rPr>
          <w:rFonts w:ascii="Times New Roman" w:eastAsia="Times New Roman" w:hAnsi="Times New Roman" w:cs="Times New Roman"/>
          <w:bCs/>
        </w:rPr>
      </w:pPr>
      <w:r>
        <w:rPr>
          <w:rFonts w:ascii="Times New Roman" w:hAnsi="Times New Roman" w:cs="Times New Roman"/>
          <w:bCs/>
        </w:rPr>
        <w:t>tanszékvezető, egyetemi docens s.k.</w:t>
      </w:r>
    </w:p>
    <w:p w:rsidR="001C3967" w:rsidRPr="00734E2C" w:rsidRDefault="001C3967" w:rsidP="001C3967">
      <w:pPr>
        <w:rPr>
          <w:rFonts w:ascii="Times New Roman" w:hAnsi="Times New Roman" w:cs="Times New Roman"/>
        </w:rPr>
      </w:pPr>
    </w:p>
    <w:p w:rsidR="00AA298E" w:rsidRDefault="00AA298E">
      <w:pPr>
        <w:spacing w:after="200" w:line="276" w:lineRule="auto"/>
        <w:rPr>
          <w:rFonts w:ascii="Times New Roman" w:hAnsi="Times New Roman" w:cs="Times New Roman"/>
          <w:color w:val="FF0000"/>
          <w:sz w:val="24"/>
        </w:rPr>
      </w:pPr>
      <w:r>
        <w:rPr>
          <w:rFonts w:ascii="Times New Roman" w:hAnsi="Times New Roman" w:cs="Times New Roman"/>
          <w:color w:val="FF0000"/>
          <w:sz w:val="24"/>
        </w:rPr>
        <w:br w:type="page"/>
      </w:r>
    </w:p>
    <w:tbl>
      <w:tblPr>
        <w:tblW w:w="9072" w:type="dxa"/>
        <w:tblInd w:w="113" w:type="dxa"/>
        <w:tblLook w:val="01E0" w:firstRow="1" w:lastRow="1" w:firstColumn="1" w:lastColumn="1" w:noHBand="0" w:noVBand="0"/>
      </w:tblPr>
      <w:tblGrid>
        <w:gridCol w:w="4855"/>
        <w:gridCol w:w="1620"/>
        <w:gridCol w:w="2597"/>
      </w:tblGrid>
      <w:tr w:rsidR="00294A7E" w:rsidRPr="006A233B" w:rsidTr="009F15D5">
        <w:tc>
          <w:tcPr>
            <w:tcW w:w="4855" w:type="dxa"/>
            <w:tcBorders>
              <w:bottom w:val="single" w:sz="4" w:space="0" w:color="auto"/>
            </w:tcBorders>
          </w:tcPr>
          <w:p w:rsidR="00294A7E" w:rsidRPr="006A233B" w:rsidRDefault="00294A7E" w:rsidP="009F15D5">
            <w:pPr>
              <w:spacing w:after="0" w:line="240" w:lineRule="auto"/>
              <w:jc w:val="center"/>
              <w:rPr>
                <w:rFonts w:ascii="Times New Roman" w:eastAsia="Times New Roman" w:hAnsi="Times New Roman" w:cs="Times New Roman"/>
                <w:b/>
                <w:smallCaps/>
                <w:lang w:eastAsia="hu-HU"/>
              </w:rPr>
            </w:pPr>
            <w:r w:rsidRPr="006A233B">
              <w:rPr>
                <w:rFonts w:ascii="Times New Roman" w:eastAsia="Times New Roman" w:hAnsi="Times New Roman" w:cs="Times New Roman"/>
                <w:b/>
                <w:smallCaps/>
                <w:lang w:eastAsia="hu-HU"/>
              </w:rPr>
              <w:lastRenderedPageBreak/>
              <w:t>Nemzeti Közszolgálati Egyetem</w:t>
            </w:r>
          </w:p>
        </w:tc>
        <w:tc>
          <w:tcPr>
            <w:tcW w:w="1620" w:type="dxa"/>
          </w:tcPr>
          <w:p w:rsidR="00294A7E" w:rsidRPr="006A233B" w:rsidRDefault="00294A7E" w:rsidP="009F15D5">
            <w:pPr>
              <w:spacing w:after="0" w:line="240" w:lineRule="auto"/>
              <w:jc w:val="both"/>
              <w:rPr>
                <w:rFonts w:ascii="Times New Roman" w:eastAsia="Times New Roman" w:hAnsi="Times New Roman" w:cs="Times New Roman"/>
                <w:lang w:eastAsia="hu-HU"/>
              </w:rPr>
            </w:pPr>
          </w:p>
        </w:tc>
        <w:tc>
          <w:tcPr>
            <w:tcW w:w="2597" w:type="dxa"/>
          </w:tcPr>
          <w:p w:rsidR="00294A7E" w:rsidRPr="006A233B" w:rsidRDefault="00294A7E" w:rsidP="009F15D5">
            <w:pPr>
              <w:spacing w:after="0" w:line="240" w:lineRule="auto"/>
              <w:jc w:val="right"/>
              <w:rPr>
                <w:rFonts w:ascii="Times New Roman" w:eastAsia="Times New Roman" w:hAnsi="Times New Roman" w:cs="Times New Roman"/>
                <w:lang w:eastAsia="hu-HU"/>
              </w:rPr>
            </w:pPr>
          </w:p>
        </w:tc>
      </w:tr>
      <w:tr w:rsidR="00294A7E" w:rsidRPr="006A233B" w:rsidTr="009F15D5">
        <w:tc>
          <w:tcPr>
            <w:tcW w:w="4855" w:type="dxa"/>
            <w:tcBorders>
              <w:top w:val="single" w:sz="4" w:space="0" w:color="auto"/>
            </w:tcBorders>
          </w:tcPr>
          <w:p w:rsidR="00294A7E" w:rsidRPr="006A233B" w:rsidRDefault="00294A7E" w:rsidP="009F15D5">
            <w:pPr>
              <w:spacing w:after="0" w:line="240" w:lineRule="auto"/>
              <w:jc w:val="center"/>
              <w:rPr>
                <w:rFonts w:ascii="Times New Roman" w:eastAsia="Times New Roman" w:hAnsi="Times New Roman" w:cs="Times New Roman"/>
                <w:b/>
                <w:lang w:eastAsia="hu-HU"/>
              </w:rPr>
            </w:pPr>
            <w:r w:rsidRPr="006A233B">
              <w:rPr>
                <w:rFonts w:ascii="Times New Roman" w:eastAsia="Times New Roman" w:hAnsi="Times New Roman" w:cs="Times New Roman"/>
                <w:b/>
                <w:lang w:eastAsia="hu-HU"/>
              </w:rPr>
              <w:t>Hadtudományi és Honvédtisztképző Kar</w:t>
            </w:r>
          </w:p>
        </w:tc>
        <w:tc>
          <w:tcPr>
            <w:tcW w:w="1620" w:type="dxa"/>
          </w:tcPr>
          <w:p w:rsidR="00294A7E" w:rsidRPr="006A233B" w:rsidRDefault="00294A7E" w:rsidP="009F15D5">
            <w:pPr>
              <w:spacing w:after="0" w:line="240" w:lineRule="auto"/>
              <w:jc w:val="both"/>
              <w:rPr>
                <w:rFonts w:ascii="Times New Roman" w:eastAsia="Times New Roman" w:hAnsi="Times New Roman" w:cs="Times New Roman"/>
                <w:lang w:eastAsia="hu-HU"/>
              </w:rPr>
            </w:pPr>
          </w:p>
        </w:tc>
        <w:tc>
          <w:tcPr>
            <w:tcW w:w="2597" w:type="dxa"/>
          </w:tcPr>
          <w:p w:rsidR="00294A7E" w:rsidRPr="006A233B" w:rsidRDefault="00294A7E" w:rsidP="009F15D5">
            <w:pPr>
              <w:spacing w:after="0" w:line="240" w:lineRule="auto"/>
              <w:jc w:val="both"/>
              <w:rPr>
                <w:rFonts w:ascii="Times New Roman" w:eastAsia="Times New Roman" w:hAnsi="Times New Roman" w:cs="Times New Roman"/>
                <w:lang w:eastAsia="hu-HU"/>
              </w:rPr>
            </w:pPr>
          </w:p>
        </w:tc>
      </w:tr>
    </w:tbl>
    <w:p w:rsidR="00294A7E" w:rsidRPr="006A233B" w:rsidRDefault="00294A7E" w:rsidP="00294A7E">
      <w:pPr>
        <w:widowControl w:val="0"/>
        <w:spacing w:before="120" w:after="120" w:line="240" w:lineRule="auto"/>
        <w:ind w:left="426" w:hanging="142"/>
        <w:jc w:val="center"/>
        <w:rPr>
          <w:rFonts w:ascii="Times New Roman" w:eastAsia="Times New Roman" w:hAnsi="Times New Roman" w:cs="Times New Roman"/>
          <w:b/>
          <w:bCs/>
        </w:rPr>
      </w:pPr>
    </w:p>
    <w:p w:rsidR="00294A7E" w:rsidRPr="006A233B" w:rsidRDefault="00294A7E" w:rsidP="00294A7E">
      <w:pPr>
        <w:widowControl w:val="0"/>
        <w:spacing w:before="120" w:after="120" w:line="240" w:lineRule="auto"/>
        <w:ind w:left="426" w:hanging="142"/>
        <w:jc w:val="center"/>
        <w:rPr>
          <w:rFonts w:ascii="Times New Roman" w:eastAsia="Times New Roman" w:hAnsi="Times New Roman" w:cs="Times New Roman"/>
          <w:b/>
          <w:bCs/>
        </w:rPr>
      </w:pPr>
      <w:r w:rsidRPr="006A233B">
        <w:rPr>
          <w:rFonts w:ascii="Times New Roman" w:eastAsia="Times New Roman" w:hAnsi="Times New Roman" w:cs="Times New Roman"/>
          <w:b/>
          <w:bCs/>
        </w:rPr>
        <w:t>TANTÁRGYI PROGRAM</w:t>
      </w:r>
    </w:p>
    <w:p w:rsidR="00294A7E" w:rsidRPr="00F6062C" w:rsidRDefault="00294A7E" w:rsidP="00980876">
      <w:pPr>
        <w:widowControl w:val="0"/>
        <w:numPr>
          <w:ilvl w:val="0"/>
          <w:numId w:val="500"/>
        </w:numPr>
        <w:tabs>
          <w:tab w:val="clear" w:pos="720"/>
          <w:tab w:val="num" w:pos="426"/>
        </w:tabs>
        <w:spacing w:before="120" w:after="120" w:line="240" w:lineRule="auto"/>
        <w:ind w:left="641" w:hanging="357"/>
        <w:jc w:val="both"/>
        <w:rPr>
          <w:rFonts w:ascii="Times New Roman" w:eastAsia="Times New Roman" w:hAnsi="Times New Roman" w:cs="Times New Roman"/>
          <w:bCs/>
        </w:rPr>
      </w:pPr>
      <w:r w:rsidRPr="006A233B">
        <w:rPr>
          <w:rFonts w:ascii="Times New Roman" w:eastAsia="Times New Roman" w:hAnsi="Times New Roman" w:cs="Times New Roman"/>
          <w:b/>
          <w:bCs/>
        </w:rPr>
        <w:t xml:space="preserve">A tantárgy kódja: </w:t>
      </w:r>
      <w:r w:rsidRPr="00F6062C">
        <w:rPr>
          <w:rFonts w:ascii="Times New Roman" w:eastAsia="Times New Roman" w:hAnsi="Times New Roman" w:cs="Times New Roman"/>
          <w:bCs/>
        </w:rPr>
        <w:t>HKHPKA524</w:t>
      </w:r>
    </w:p>
    <w:p w:rsidR="00294A7E" w:rsidRPr="006A233B" w:rsidRDefault="00294A7E" w:rsidP="00980876">
      <w:pPr>
        <w:widowControl w:val="0"/>
        <w:numPr>
          <w:ilvl w:val="0"/>
          <w:numId w:val="500"/>
        </w:numPr>
        <w:tabs>
          <w:tab w:val="clear" w:pos="720"/>
          <w:tab w:val="num" w:pos="426"/>
        </w:tabs>
        <w:spacing w:before="120" w:after="120" w:line="240" w:lineRule="auto"/>
        <w:ind w:left="641" w:hanging="357"/>
        <w:jc w:val="both"/>
        <w:rPr>
          <w:rFonts w:ascii="Times New Roman" w:eastAsia="Times New Roman" w:hAnsi="Times New Roman" w:cs="Times New Roman"/>
          <w:b/>
          <w:bCs/>
          <w:lang w:val="en-GB"/>
        </w:rPr>
      </w:pPr>
      <w:r w:rsidRPr="006A233B">
        <w:rPr>
          <w:rFonts w:ascii="Times New Roman" w:eastAsia="Times New Roman" w:hAnsi="Times New Roman" w:cs="Times New Roman"/>
          <w:b/>
          <w:bCs/>
        </w:rPr>
        <w:t>A tantárgy megnevezése (magyarul):</w:t>
      </w:r>
      <w:r w:rsidRPr="006A233B">
        <w:rPr>
          <w:rFonts w:ascii="Times New Roman" w:eastAsia="Times New Roman" w:hAnsi="Times New Roman" w:cs="Times New Roman"/>
          <w:bCs/>
        </w:rPr>
        <w:t xml:space="preserve"> </w:t>
      </w:r>
      <w:r>
        <w:rPr>
          <w:rFonts w:ascii="Times New Roman" w:eastAsia="Times New Roman" w:hAnsi="Times New Roman" w:cs="Times New Roman"/>
          <w:bCs/>
        </w:rPr>
        <w:t>Pénzügyek II. (</w:t>
      </w:r>
      <w:r>
        <w:rPr>
          <w:rFonts w:ascii="Times New Roman" w:hAnsi="Times New Roman" w:cs="Times New Roman"/>
          <w:bCs/>
        </w:rPr>
        <w:t>Vállalati pénzügyek I.)</w:t>
      </w:r>
    </w:p>
    <w:p w:rsidR="00294A7E" w:rsidRPr="006A233B" w:rsidRDefault="00294A7E" w:rsidP="00980876">
      <w:pPr>
        <w:widowControl w:val="0"/>
        <w:numPr>
          <w:ilvl w:val="0"/>
          <w:numId w:val="500"/>
        </w:numPr>
        <w:tabs>
          <w:tab w:val="num" w:pos="567"/>
        </w:tabs>
        <w:spacing w:before="120" w:after="120" w:line="240" w:lineRule="auto"/>
        <w:ind w:left="426" w:hanging="142"/>
        <w:jc w:val="both"/>
        <w:rPr>
          <w:rFonts w:ascii="Times New Roman" w:eastAsia="Times New Roman" w:hAnsi="Times New Roman" w:cs="Times New Roman"/>
          <w:b/>
          <w:bCs/>
          <w:lang w:val="en-GB"/>
        </w:rPr>
      </w:pPr>
      <w:r w:rsidRPr="006A233B">
        <w:rPr>
          <w:rFonts w:ascii="Times New Roman" w:eastAsia="Times New Roman" w:hAnsi="Times New Roman" w:cs="Times New Roman"/>
          <w:b/>
          <w:bCs/>
        </w:rPr>
        <w:t xml:space="preserve">A tantárgy megnevezése (angolul): </w:t>
      </w:r>
      <w:r w:rsidRPr="00F6062C">
        <w:rPr>
          <w:rFonts w:ascii="Times New Roman" w:eastAsia="Times New Roman" w:hAnsi="Times New Roman" w:cs="Times New Roman"/>
          <w:bCs/>
        </w:rPr>
        <w:t>Finance II.</w:t>
      </w:r>
      <w:r>
        <w:rPr>
          <w:rFonts w:ascii="Times New Roman" w:eastAsia="Times New Roman" w:hAnsi="Times New Roman" w:cs="Times New Roman"/>
          <w:b/>
          <w:bCs/>
        </w:rPr>
        <w:t xml:space="preserve"> (</w:t>
      </w:r>
      <w:r>
        <w:rPr>
          <w:rFonts w:ascii="Times New Roman" w:hAnsi="Times New Roman" w:cs="Times New Roman"/>
          <w:bCs/>
        </w:rPr>
        <w:t>Corporate Finance I.)</w:t>
      </w:r>
    </w:p>
    <w:p w:rsidR="00294A7E" w:rsidRPr="006A233B" w:rsidRDefault="00294A7E" w:rsidP="00980876">
      <w:pPr>
        <w:widowControl w:val="0"/>
        <w:numPr>
          <w:ilvl w:val="0"/>
          <w:numId w:val="500"/>
        </w:numPr>
        <w:tabs>
          <w:tab w:val="num" w:pos="567"/>
        </w:tabs>
        <w:spacing w:before="120" w:after="120" w:line="240" w:lineRule="auto"/>
        <w:ind w:left="426" w:hanging="142"/>
        <w:jc w:val="both"/>
        <w:rPr>
          <w:rFonts w:ascii="Times New Roman" w:eastAsia="Times New Roman" w:hAnsi="Times New Roman" w:cs="Times New Roman"/>
          <w:b/>
          <w:bCs/>
        </w:rPr>
      </w:pPr>
      <w:r w:rsidRPr="006A233B">
        <w:rPr>
          <w:rFonts w:ascii="Times New Roman" w:eastAsia="Times New Roman" w:hAnsi="Times New Roman" w:cs="Times New Roman"/>
          <w:b/>
          <w:bCs/>
        </w:rPr>
        <w:t xml:space="preserve">Kreditérték és képzési karakter: </w:t>
      </w:r>
    </w:p>
    <w:p w:rsidR="00294A7E" w:rsidRPr="006A233B" w:rsidRDefault="00294A7E" w:rsidP="00980876">
      <w:pPr>
        <w:pStyle w:val="Listaszerbekezds"/>
        <w:widowControl w:val="0"/>
        <w:numPr>
          <w:ilvl w:val="1"/>
          <w:numId w:val="500"/>
        </w:numPr>
        <w:tabs>
          <w:tab w:val="clear" w:pos="3977"/>
        </w:tabs>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2</w:t>
      </w:r>
      <w:r w:rsidRPr="006A233B">
        <w:rPr>
          <w:rFonts w:ascii="Times New Roman" w:eastAsia="Times New Roman" w:hAnsi="Times New Roman" w:cs="Times New Roman"/>
          <w:bCs/>
        </w:rPr>
        <w:t xml:space="preserve"> kredit</w:t>
      </w:r>
    </w:p>
    <w:p w:rsidR="00294A7E" w:rsidRPr="006A233B" w:rsidRDefault="00294A7E" w:rsidP="00980876">
      <w:pPr>
        <w:pStyle w:val="Listaszerbekezds"/>
        <w:widowControl w:val="0"/>
        <w:numPr>
          <w:ilvl w:val="1"/>
          <w:numId w:val="500"/>
        </w:numPr>
        <w:tabs>
          <w:tab w:val="clear" w:pos="3977"/>
        </w:tabs>
        <w:spacing w:before="120" w:after="120" w:line="240" w:lineRule="auto"/>
        <w:ind w:left="993" w:hanging="426"/>
        <w:jc w:val="both"/>
        <w:rPr>
          <w:rFonts w:ascii="Times New Roman" w:eastAsia="Times New Roman" w:hAnsi="Times New Roman" w:cs="Times New Roman"/>
          <w:b/>
          <w:bCs/>
        </w:rPr>
      </w:pPr>
      <w:r w:rsidRPr="006A233B">
        <w:rPr>
          <w:rFonts w:ascii="Times New Roman" w:eastAsia="Times New Roman" w:hAnsi="Times New Roman" w:cs="Times New Roman"/>
          <w:bCs/>
        </w:rPr>
        <w:t xml:space="preserve">a tantárgy elméleti vagy gyakorlati jellegének mértéke: </w:t>
      </w:r>
      <w:r>
        <w:rPr>
          <w:rFonts w:ascii="Times New Roman" w:eastAsia="Times New Roman" w:hAnsi="Times New Roman" w:cs="Times New Roman"/>
          <w:bCs/>
        </w:rPr>
        <w:t>50</w:t>
      </w:r>
      <w:r w:rsidRPr="006A233B">
        <w:rPr>
          <w:rFonts w:ascii="Times New Roman" w:eastAsia="Times New Roman" w:hAnsi="Times New Roman" w:cs="Times New Roman"/>
          <w:b/>
          <w:bCs/>
        </w:rPr>
        <w:t xml:space="preserve"> </w:t>
      </w:r>
      <w:r w:rsidRPr="006A233B">
        <w:rPr>
          <w:rFonts w:ascii="Times New Roman" w:eastAsia="Times New Roman" w:hAnsi="Times New Roman" w:cs="Times New Roman"/>
          <w:bCs/>
        </w:rPr>
        <w:t xml:space="preserve">% gyakorlat, </w:t>
      </w:r>
      <w:r>
        <w:rPr>
          <w:rFonts w:ascii="Times New Roman" w:eastAsia="Times New Roman" w:hAnsi="Times New Roman" w:cs="Times New Roman"/>
          <w:bCs/>
        </w:rPr>
        <w:t>50</w:t>
      </w:r>
      <w:r w:rsidRPr="006A233B">
        <w:rPr>
          <w:rFonts w:ascii="Times New Roman" w:eastAsia="Times New Roman" w:hAnsi="Times New Roman" w:cs="Times New Roman"/>
          <w:bCs/>
        </w:rPr>
        <w:t xml:space="preserve"> % elmélet</w:t>
      </w:r>
    </w:p>
    <w:p w:rsidR="00294A7E" w:rsidRPr="006A233B" w:rsidRDefault="00294A7E" w:rsidP="00980876">
      <w:pPr>
        <w:widowControl w:val="0"/>
        <w:numPr>
          <w:ilvl w:val="0"/>
          <w:numId w:val="500"/>
        </w:numPr>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bCs/>
        </w:rPr>
        <w:t>A szak(ok), szakirányok/specializációk megnevezése (ahol oktatják):</w:t>
      </w:r>
      <w:r w:rsidRPr="006A233B">
        <w:rPr>
          <w:rFonts w:ascii="Times New Roman" w:eastAsia="Times New Roman" w:hAnsi="Times New Roman" w:cs="Times New Roman"/>
          <w:bCs/>
        </w:rPr>
        <w:t xml:space="preserve"> </w:t>
      </w:r>
      <w:r>
        <w:rPr>
          <w:rFonts w:ascii="Times New Roman" w:hAnsi="Times New Roman" w:cs="Times New Roman"/>
          <w:bCs/>
        </w:rPr>
        <w:t>Katonai logisztika alapképzési szak, Hadtáp, Katonai pénzügyi specializáció</w:t>
      </w:r>
    </w:p>
    <w:p w:rsidR="00294A7E" w:rsidRPr="006A233B" w:rsidRDefault="00294A7E" w:rsidP="00980876">
      <w:pPr>
        <w:widowControl w:val="0"/>
        <w:numPr>
          <w:ilvl w:val="0"/>
          <w:numId w:val="500"/>
        </w:numPr>
        <w:tabs>
          <w:tab w:val="num" w:pos="567"/>
        </w:tabs>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bCs/>
        </w:rPr>
        <w:t xml:space="preserve">Az oktatásért felelős oktatási szervezeti egység megnevezése: </w:t>
      </w:r>
      <w:r w:rsidRPr="006A233B">
        <w:rPr>
          <w:rFonts w:ascii="Times New Roman" w:hAnsi="Times New Roman" w:cs="Times New Roman"/>
          <w:bCs/>
        </w:rPr>
        <w:t>NKE HHK Had</w:t>
      </w:r>
      <w:r>
        <w:rPr>
          <w:rFonts w:ascii="Times New Roman" w:hAnsi="Times New Roman" w:cs="Times New Roman"/>
          <w:bCs/>
        </w:rPr>
        <w:t>táp, Pénzügyi és Katonai Közlekedési Tanszék</w:t>
      </w:r>
    </w:p>
    <w:p w:rsidR="00294A7E" w:rsidRPr="006A233B" w:rsidRDefault="00294A7E" w:rsidP="00980876">
      <w:pPr>
        <w:widowControl w:val="0"/>
        <w:numPr>
          <w:ilvl w:val="0"/>
          <w:numId w:val="500"/>
        </w:numPr>
        <w:tabs>
          <w:tab w:val="num" w:pos="567"/>
        </w:tabs>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bCs/>
        </w:rPr>
        <w:t>A tantárgyfelelős oktató neve, beosztása, tudományos fokozata:</w:t>
      </w:r>
      <w:r w:rsidRPr="006A233B">
        <w:rPr>
          <w:rFonts w:ascii="Times New Roman" w:eastAsia="Times New Roman" w:hAnsi="Times New Roman" w:cs="Times New Roman"/>
          <w:bCs/>
        </w:rPr>
        <w:t xml:space="preserve"> </w:t>
      </w:r>
      <w:r>
        <w:rPr>
          <w:rFonts w:ascii="Times New Roman" w:eastAsia="Times New Roman" w:hAnsi="Times New Roman" w:cs="Times New Roman"/>
          <w:bCs/>
        </w:rPr>
        <w:t>Dr. Kenessei Zsolt, gyakorlati oktató,</w:t>
      </w:r>
    </w:p>
    <w:p w:rsidR="00294A7E" w:rsidRPr="006A233B" w:rsidRDefault="00294A7E" w:rsidP="00980876">
      <w:pPr>
        <w:widowControl w:val="0"/>
        <w:numPr>
          <w:ilvl w:val="0"/>
          <w:numId w:val="500"/>
        </w:numPr>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bCs/>
        </w:rPr>
        <w:t>A tanórák száma és típusa</w:t>
      </w:r>
    </w:p>
    <w:p w:rsidR="00294A7E" w:rsidRPr="006A233B" w:rsidRDefault="00294A7E" w:rsidP="00980876">
      <w:pPr>
        <w:widowControl w:val="0"/>
        <w:numPr>
          <w:ilvl w:val="1"/>
          <w:numId w:val="500"/>
        </w:numPr>
        <w:tabs>
          <w:tab w:val="clear" w:pos="3977"/>
          <w:tab w:val="num" w:pos="709"/>
          <w:tab w:val="num" w:pos="2069"/>
        </w:tabs>
        <w:spacing w:before="120" w:after="120" w:line="240" w:lineRule="auto"/>
        <w:ind w:left="851" w:hanging="425"/>
        <w:jc w:val="both"/>
        <w:rPr>
          <w:rFonts w:ascii="Times New Roman" w:eastAsia="Times New Roman" w:hAnsi="Times New Roman" w:cs="Times New Roman"/>
          <w:bCs/>
        </w:rPr>
      </w:pPr>
      <w:r w:rsidRPr="006A233B">
        <w:rPr>
          <w:rFonts w:ascii="Times New Roman" w:eastAsia="Times New Roman" w:hAnsi="Times New Roman" w:cs="Times New Roman"/>
          <w:bCs/>
        </w:rPr>
        <w:t>össz óraszám/félév:</w:t>
      </w:r>
    </w:p>
    <w:p w:rsidR="00294A7E" w:rsidRPr="006A233B" w:rsidRDefault="00294A7E" w:rsidP="00980876">
      <w:pPr>
        <w:widowControl w:val="0"/>
        <w:numPr>
          <w:ilvl w:val="2"/>
          <w:numId w:val="500"/>
        </w:numPr>
        <w:tabs>
          <w:tab w:val="num" w:pos="709"/>
          <w:tab w:val="num" w:pos="1134"/>
        </w:tabs>
        <w:spacing w:before="120" w:after="120" w:line="240" w:lineRule="auto"/>
        <w:ind w:left="993" w:hanging="425"/>
        <w:jc w:val="both"/>
        <w:rPr>
          <w:rFonts w:ascii="Times New Roman" w:eastAsia="Times New Roman" w:hAnsi="Times New Roman" w:cs="Times New Roman"/>
          <w:bCs/>
        </w:rPr>
      </w:pPr>
      <w:r w:rsidRPr="006A233B">
        <w:rPr>
          <w:rFonts w:ascii="Times New Roman" w:eastAsia="Times New Roman" w:hAnsi="Times New Roman" w:cs="Times New Roman"/>
          <w:bCs/>
        </w:rPr>
        <w:t xml:space="preserve">nappali munkarend: </w:t>
      </w:r>
      <w:r>
        <w:rPr>
          <w:rFonts w:ascii="Times New Roman" w:eastAsia="Times New Roman" w:hAnsi="Times New Roman" w:cs="Times New Roman"/>
          <w:bCs/>
        </w:rPr>
        <w:t>28</w:t>
      </w:r>
      <w:r w:rsidRPr="006A233B">
        <w:rPr>
          <w:rFonts w:ascii="Times New Roman" w:eastAsia="Times New Roman" w:hAnsi="Times New Roman" w:cs="Times New Roman"/>
          <w:bCs/>
        </w:rPr>
        <w:t xml:space="preserve"> (</w:t>
      </w:r>
      <w:r>
        <w:rPr>
          <w:rFonts w:ascii="Times New Roman" w:eastAsia="Times New Roman" w:hAnsi="Times New Roman" w:cs="Times New Roman"/>
          <w:bCs/>
        </w:rPr>
        <w:t>14</w:t>
      </w:r>
      <w:r w:rsidRPr="006A233B">
        <w:rPr>
          <w:rFonts w:ascii="Times New Roman" w:eastAsia="Times New Roman" w:hAnsi="Times New Roman" w:cs="Times New Roman"/>
          <w:bCs/>
        </w:rPr>
        <w:t xml:space="preserve"> EA + 0 SZ + </w:t>
      </w:r>
      <w:r>
        <w:rPr>
          <w:rFonts w:ascii="Times New Roman" w:eastAsia="Times New Roman" w:hAnsi="Times New Roman" w:cs="Times New Roman"/>
          <w:bCs/>
        </w:rPr>
        <w:t>14</w:t>
      </w:r>
      <w:r w:rsidRPr="006A233B">
        <w:rPr>
          <w:rFonts w:ascii="Times New Roman" w:eastAsia="Times New Roman" w:hAnsi="Times New Roman" w:cs="Times New Roman"/>
          <w:bCs/>
        </w:rPr>
        <w:t xml:space="preserve"> GY)</w:t>
      </w:r>
    </w:p>
    <w:p w:rsidR="00294A7E" w:rsidRPr="006A233B" w:rsidRDefault="00294A7E" w:rsidP="00980876">
      <w:pPr>
        <w:widowControl w:val="0"/>
        <w:numPr>
          <w:ilvl w:val="2"/>
          <w:numId w:val="500"/>
        </w:numPr>
        <w:tabs>
          <w:tab w:val="num" w:pos="709"/>
          <w:tab w:val="num" w:pos="1134"/>
        </w:tabs>
        <w:spacing w:before="120" w:after="120" w:line="240" w:lineRule="auto"/>
        <w:ind w:left="993" w:hanging="425"/>
        <w:jc w:val="both"/>
        <w:rPr>
          <w:rFonts w:ascii="Times New Roman" w:eastAsia="Times New Roman" w:hAnsi="Times New Roman" w:cs="Times New Roman"/>
          <w:bCs/>
        </w:rPr>
      </w:pPr>
      <w:r w:rsidRPr="006A233B">
        <w:rPr>
          <w:rFonts w:ascii="Times New Roman" w:eastAsia="Times New Roman" w:hAnsi="Times New Roman" w:cs="Times New Roman"/>
          <w:bCs/>
        </w:rPr>
        <w:t xml:space="preserve">levelező munkarend: </w:t>
      </w:r>
      <w:r>
        <w:rPr>
          <w:rFonts w:ascii="Times New Roman" w:eastAsia="Times New Roman" w:hAnsi="Times New Roman" w:cs="Times New Roman"/>
          <w:bCs/>
        </w:rPr>
        <w:t>-</w:t>
      </w:r>
    </w:p>
    <w:p w:rsidR="00294A7E" w:rsidRPr="006A233B" w:rsidRDefault="00294A7E" w:rsidP="00980876">
      <w:pPr>
        <w:widowControl w:val="0"/>
        <w:numPr>
          <w:ilvl w:val="1"/>
          <w:numId w:val="500"/>
        </w:numPr>
        <w:tabs>
          <w:tab w:val="clear" w:pos="3977"/>
          <w:tab w:val="num" w:pos="709"/>
          <w:tab w:val="num" w:pos="2069"/>
        </w:tabs>
        <w:spacing w:before="120" w:after="120" w:line="240" w:lineRule="auto"/>
        <w:ind w:left="851" w:hanging="425"/>
        <w:jc w:val="both"/>
        <w:rPr>
          <w:rFonts w:ascii="Times New Roman" w:eastAsia="Times New Roman" w:hAnsi="Times New Roman" w:cs="Times New Roman"/>
          <w:bCs/>
        </w:rPr>
      </w:pPr>
      <w:r w:rsidRPr="006A233B">
        <w:rPr>
          <w:rFonts w:ascii="Times New Roman" w:eastAsia="Times New Roman" w:hAnsi="Times New Roman" w:cs="Times New Roman"/>
          <w:bCs/>
        </w:rPr>
        <w:t xml:space="preserve">heti óraszám - nappali munkarend: </w:t>
      </w:r>
      <w:r>
        <w:rPr>
          <w:rFonts w:ascii="Times New Roman" w:eastAsia="Times New Roman" w:hAnsi="Times New Roman" w:cs="Times New Roman"/>
          <w:bCs/>
        </w:rPr>
        <w:t>2</w:t>
      </w:r>
    </w:p>
    <w:p w:rsidR="00294A7E" w:rsidRPr="006A233B" w:rsidRDefault="00294A7E" w:rsidP="00980876">
      <w:pPr>
        <w:widowControl w:val="0"/>
        <w:numPr>
          <w:ilvl w:val="1"/>
          <w:numId w:val="500"/>
        </w:numPr>
        <w:tabs>
          <w:tab w:val="clear" w:pos="3977"/>
          <w:tab w:val="num" w:pos="709"/>
          <w:tab w:val="num" w:pos="2069"/>
        </w:tabs>
        <w:spacing w:before="120" w:after="120" w:line="240" w:lineRule="auto"/>
        <w:ind w:left="851" w:hanging="425"/>
        <w:jc w:val="both"/>
        <w:rPr>
          <w:rFonts w:ascii="Times New Roman" w:eastAsia="Times New Roman" w:hAnsi="Times New Roman" w:cs="Times New Roman"/>
          <w:bCs/>
        </w:rPr>
      </w:pPr>
      <w:r w:rsidRPr="006A233B">
        <w:rPr>
          <w:rFonts w:ascii="Times New Roman" w:hAnsi="Times New Roman" w:cs="Times New Roman"/>
        </w:rPr>
        <w:t>Az ismeret átadásában alkalmazandó további sajátos módok, jellemzők:</w:t>
      </w:r>
      <w:r w:rsidRPr="006A233B">
        <w:rPr>
          <w:rFonts w:ascii="Times New Roman" w:hAnsi="Times New Roman" w:cs="Times New Roman"/>
          <w:i/>
        </w:rPr>
        <w:t xml:space="preserve"> –</w:t>
      </w:r>
    </w:p>
    <w:p w:rsidR="00294A7E" w:rsidRPr="006A233B" w:rsidRDefault="00294A7E" w:rsidP="00980876">
      <w:pPr>
        <w:widowControl w:val="0"/>
        <w:numPr>
          <w:ilvl w:val="0"/>
          <w:numId w:val="500"/>
        </w:numPr>
        <w:tabs>
          <w:tab w:val="clear" w:pos="720"/>
        </w:tabs>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bCs/>
        </w:rPr>
        <w:t>A tantárgy szakmai tartalma (magyarul):</w:t>
      </w:r>
      <w:r w:rsidRPr="006A233B">
        <w:rPr>
          <w:rFonts w:ascii="Times New Roman" w:eastAsia="Times New Roman" w:hAnsi="Times New Roman" w:cs="Times New Roman"/>
          <w:bCs/>
        </w:rPr>
        <w:t xml:space="preserve"> </w:t>
      </w:r>
      <w:r w:rsidRPr="00E15171">
        <w:rPr>
          <w:rFonts w:ascii="Times New Roman" w:hAnsi="Times New Roman" w:cs="Times New Roman"/>
          <w:bCs/>
        </w:rPr>
        <w:t>A tantárgy a</w:t>
      </w:r>
      <w:r>
        <w:rPr>
          <w:rFonts w:ascii="Times New Roman" w:hAnsi="Times New Roman" w:cs="Times New Roman"/>
          <w:bCs/>
        </w:rPr>
        <w:t xml:space="preserve"> gazdálkodó szervezetek pénzügyi rendszerével foglalkozik (beruházási és likviditási döntések).</w:t>
      </w:r>
    </w:p>
    <w:p w:rsidR="00294A7E" w:rsidRPr="00E90621" w:rsidRDefault="00294A7E" w:rsidP="00294A7E">
      <w:pPr>
        <w:widowControl w:val="0"/>
        <w:spacing w:before="120" w:after="120" w:line="240" w:lineRule="auto"/>
        <w:ind w:left="426"/>
        <w:jc w:val="both"/>
        <w:rPr>
          <w:rFonts w:ascii="Times New Roman" w:hAnsi="Times New Roman" w:cs="Times New Roman"/>
          <w:bCs/>
          <w:lang w:val="en-US"/>
        </w:rPr>
      </w:pPr>
      <w:r w:rsidRPr="006A233B">
        <w:rPr>
          <w:rFonts w:ascii="Times New Roman" w:eastAsia="Times New Roman" w:hAnsi="Times New Roman" w:cs="Times New Roman"/>
          <w:b/>
          <w:bCs/>
        </w:rPr>
        <w:t>A tantárgy szakmai tartalma (angolul) (</w:t>
      </w:r>
      <w:r w:rsidRPr="006A233B">
        <w:rPr>
          <w:rFonts w:ascii="Times New Roman" w:eastAsia="Times New Roman" w:hAnsi="Times New Roman" w:cs="Times New Roman"/>
          <w:b/>
          <w:bCs/>
          <w:lang w:val="en-US"/>
        </w:rPr>
        <w:t>Course description</w:t>
      </w:r>
      <w:r w:rsidRPr="006A233B">
        <w:rPr>
          <w:rFonts w:ascii="Times New Roman" w:eastAsia="Times New Roman" w:hAnsi="Times New Roman" w:cs="Times New Roman"/>
          <w:b/>
          <w:bCs/>
        </w:rPr>
        <w:t xml:space="preserve">): </w:t>
      </w:r>
      <w:r w:rsidRPr="00E15171">
        <w:rPr>
          <w:rFonts w:ascii="Times New Roman" w:hAnsi="Times New Roman" w:cs="Times New Roman"/>
          <w:bCs/>
          <w:lang w:val="en-US"/>
        </w:rPr>
        <w:t xml:space="preserve">This subject deals with </w:t>
      </w:r>
      <w:r>
        <w:rPr>
          <w:rFonts w:ascii="Times New Roman" w:hAnsi="Times New Roman" w:cs="Times New Roman"/>
          <w:bCs/>
          <w:lang w:val="en-US"/>
        </w:rPr>
        <w:t>financial system of corporate (investment and liquidity decisions).</w:t>
      </w:r>
    </w:p>
    <w:p w:rsidR="00294A7E" w:rsidRPr="00E90621" w:rsidRDefault="00294A7E" w:rsidP="00980876">
      <w:pPr>
        <w:pStyle w:val="Listaszerbekezds"/>
        <w:widowControl w:val="0"/>
        <w:numPr>
          <w:ilvl w:val="0"/>
          <w:numId w:val="500"/>
        </w:numPr>
        <w:tabs>
          <w:tab w:val="clear" w:pos="720"/>
          <w:tab w:val="num" w:pos="426"/>
        </w:tabs>
        <w:spacing w:before="120" w:after="120" w:line="240" w:lineRule="auto"/>
        <w:jc w:val="both"/>
        <w:rPr>
          <w:rFonts w:ascii="Times New Roman" w:hAnsi="Times New Roman" w:cs="Times New Roman"/>
          <w:bCs/>
          <w:lang w:val="en-US"/>
        </w:rPr>
      </w:pPr>
      <w:r w:rsidRPr="00E90621">
        <w:rPr>
          <w:rFonts w:ascii="Times New Roman" w:eastAsia="Times New Roman" w:hAnsi="Times New Roman" w:cs="Times New Roman"/>
          <w:b/>
          <w:bCs/>
        </w:rPr>
        <w:t>Elérendő kompetenciák (magyarul):</w:t>
      </w:r>
      <w:r w:rsidRPr="00E90621">
        <w:rPr>
          <w:rFonts w:ascii="Times New Roman" w:eastAsia="Times New Roman" w:hAnsi="Times New Roman" w:cs="Times New Roman"/>
          <w:bCs/>
        </w:rPr>
        <w:t xml:space="preserve"> </w:t>
      </w:r>
    </w:p>
    <w:p w:rsidR="00294A7E" w:rsidRPr="00DC607B" w:rsidRDefault="00294A7E" w:rsidP="00294A7E">
      <w:pPr>
        <w:widowControl w:val="0"/>
        <w:spacing w:before="120" w:after="0" w:line="240" w:lineRule="auto"/>
        <w:ind w:left="425"/>
        <w:jc w:val="both"/>
        <w:rPr>
          <w:rFonts w:ascii="Times New Roman" w:eastAsia="Times New Roman" w:hAnsi="Times New Roman" w:cs="Times New Roman"/>
          <w:bCs/>
        </w:rPr>
      </w:pPr>
      <w:r w:rsidRPr="00DC607B">
        <w:rPr>
          <w:rFonts w:ascii="Times New Roman" w:eastAsia="Times New Roman" w:hAnsi="Times New Roman" w:cs="Times New Roman"/>
          <w:b/>
          <w:bCs/>
        </w:rPr>
        <w:t>Tudása:</w:t>
      </w:r>
    </w:p>
    <w:p w:rsidR="00294A7E" w:rsidRDefault="00294A7E" w:rsidP="00980876">
      <w:pPr>
        <w:pStyle w:val="Listaszerbekezds"/>
        <w:widowControl w:val="0"/>
        <w:numPr>
          <w:ilvl w:val="0"/>
          <w:numId w:val="483"/>
        </w:numPr>
        <w:spacing w:after="0" w:line="240" w:lineRule="auto"/>
        <w:ind w:left="992" w:hanging="357"/>
        <w:jc w:val="both"/>
        <w:rPr>
          <w:rFonts w:ascii="Times New Roman" w:hAnsi="Times New Roman" w:cs="Times New Roman"/>
        </w:rPr>
      </w:pPr>
      <w:r w:rsidRPr="00750966">
        <w:rPr>
          <w:rFonts w:ascii="Times New Roman" w:hAnsi="Times New Roman" w:cs="Times New Roman"/>
        </w:rPr>
        <w:t>Ismeri a gazdaság és a piacok működésének alapjait.</w:t>
      </w:r>
    </w:p>
    <w:p w:rsidR="00294A7E" w:rsidRPr="00AF54DA" w:rsidRDefault="00294A7E" w:rsidP="00980876">
      <w:pPr>
        <w:pStyle w:val="Listaszerbekezds"/>
        <w:widowControl w:val="0"/>
        <w:numPr>
          <w:ilvl w:val="0"/>
          <w:numId w:val="483"/>
        </w:numPr>
        <w:spacing w:after="0" w:line="240" w:lineRule="auto"/>
        <w:ind w:left="992" w:hanging="357"/>
        <w:jc w:val="both"/>
        <w:rPr>
          <w:rFonts w:ascii="Times New Roman" w:hAnsi="Times New Roman" w:cs="Times New Roman"/>
        </w:rPr>
      </w:pPr>
      <w:r w:rsidRPr="00AF54DA">
        <w:rPr>
          <w:rFonts w:ascii="Times New Roman" w:hAnsi="Times New Roman" w:cs="Times New Roman"/>
        </w:rPr>
        <w:t>Ismeri a vállalkozások pénzügyi rendszerének alapjait.</w:t>
      </w:r>
    </w:p>
    <w:p w:rsidR="00294A7E" w:rsidRPr="00DC607B" w:rsidRDefault="00294A7E" w:rsidP="00294A7E">
      <w:pPr>
        <w:widowControl w:val="0"/>
        <w:spacing w:before="120" w:after="0" w:line="240" w:lineRule="auto"/>
        <w:ind w:left="425"/>
        <w:jc w:val="both"/>
        <w:rPr>
          <w:rFonts w:ascii="Times New Roman" w:eastAsia="Times New Roman" w:hAnsi="Times New Roman" w:cs="Times New Roman"/>
          <w:bCs/>
        </w:rPr>
      </w:pPr>
      <w:r w:rsidRPr="00DC607B">
        <w:rPr>
          <w:rFonts w:ascii="Times New Roman" w:eastAsia="Times New Roman" w:hAnsi="Times New Roman" w:cs="Times New Roman"/>
          <w:b/>
          <w:bCs/>
        </w:rPr>
        <w:t>Képességei:</w:t>
      </w:r>
      <w:r w:rsidRPr="00DC607B">
        <w:rPr>
          <w:rFonts w:ascii="Times New Roman" w:eastAsia="Times New Roman" w:hAnsi="Times New Roman" w:cs="Times New Roman"/>
          <w:bCs/>
        </w:rPr>
        <w:t xml:space="preserve"> </w:t>
      </w:r>
    </w:p>
    <w:p w:rsidR="00294A7E" w:rsidRDefault="00294A7E" w:rsidP="00980876">
      <w:pPr>
        <w:pStyle w:val="Listaszerbekezds"/>
        <w:widowControl w:val="0"/>
        <w:numPr>
          <w:ilvl w:val="0"/>
          <w:numId w:val="484"/>
        </w:numPr>
        <w:spacing w:after="0" w:line="240" w:lineRule="auto"/>
        <w:ind w:left="992" w:hanging="357"/>
        <w:jc w:val="both"/>
        <w:rPr>
          <w:rFonts w:ascii="Times New Roman" w:hAnsi="Times New Roman" w:cs="Times New Roman"/>
        </w:rPr>
      </w:pPr>
      <w:r w:rsidRPr="00750966">
        <w:rPr>
          <w:rFonts w:ascii="Times New Roman" w:hAnsi="Times New Roman" w:cs="Times New Roman"/>
        </w:rPr>
        <w:t>Képes pontos és precíz logisztikai, illetve gazdálkodási számvetéseket készíteni.</w:t>
      </w:r>
    </w:p>
    <w:p w:rsidR="00294A7E" w:rsidRDefault="00294A7E" w:rsidP="00980876">
      <w:pPr>
        <w:pStyle w:val="Listaszerbekezds"/>
        <w:widowControl w:val="0"/>
        <w:numPr>
          <w:ilvl w:val="0"/>
          <w:numId w:val="484"/>
        </w:numPr>
        <w:spacing w:after="0" w:line="240" w:lineRule="auto"/>
        <w:ind w:left="992" w:hanging="357"/>
        <w:jc w:val="both"/>
        <w:rPr>
          <w:rFonts w:ascii="Times New Roman" w:hAnsi="Times New Roman" w:cs="Times New Roman"/>
        </w:rPr>
      </w:pPr>
      <w:r w:rsidRPr="00AF54DA">
        <w:rPr>
          <w:rFonts w:ascii="Times New Roman" w:hAnsi="Times New Roman" w:cs="Times New Roman"/>
        </w:rPr>
        <w:t>Képes gazdálkodási feladatok alapszintű tervezésére, szervezésére, irányítására és az ebből adódó tevékenységek gazdasági elemzésinek végrehajtására.</w:t>
      </w:r>
    </w:p>
    <w:p w:rsidR="00294A7E" w:rsidRPr="00AF54DA" w:rsidRDefault="00294A7E" w:rsidP="00980876">
      <w:pPr>
        <w:pStyle w:val="Listaszerbekezds"/>
        <w:widowControl w:val="0"/>
        <w:numPr>
          <w:ilvl w:val="0"/>
          <w:numId w:val="484"/>
        </w:numPr>
        <w:spacing w:after="0" w:line="240" w:lineRule="auto"/>
        <w:ind w:left="992" w:hanging="357"/>
        <w:jc w:val="both"/>
        <w:rPr>
          <w:rFonts w:ascii="Times New Roman" w:hAnsi="Times New Roman" w:cs="Times New Roman"/>
        </w:rPr>
      </w:pPr>
      <w:r w:rsidRPr="00AF54DA">
        <w:rPr>
          <w:rFonts w:ascii="Times New Roman" w:hAnsi="Times New Roman" w:cs="Times New Roman"/>
        </w:rPr>
        <w:t>Képes egység szintű közbeszerzéseket lefolytatni.</w:t>
      </w:r>
    </w:p>
    <w:p w:rsidR="00294A7E" w:rsidRPr="00DC607B" w:rsidRDefault="00294A7E" w:rsidP="00294A7E">
      <w:pPr>
        <w:widowControl w:val="0"/>
        <w:spacing w:before="120" w:after="0" w:line="240" w:lineRule="auto"/>
        <w:ind w:left="425"/>
        <w:jc w:val="both"/>
        <w:rPr>
          <w:rFonts w:ascii="Times New Roman" w:eastAsia="Times New Roman" w:hAnsi="Times New Roman" w:cs="Times New Roman"/>
          <w:bCs/>
        </w:rPr>
      </w:pPr>
      <w:r w:rsidRPr="00DC607B">
        <w:rPr>
          <w:rFonts w:ascii="Times New Roman" w:eastAsia="Times New Roman" w:hAnsi="Times New Roman" w:cs="Times New Roman"/>
          <w:b/>
          <w:bCs/>
        </w:rPr>
        <w:t>Attitűdje:</w:t>
      </w:r>
      <w:r w:rsidRPr="00DC607B">
        <w:rPr>
          <w:rFonts w:ascii="Times New Roman" w:eastAsia="Times New Roman" w:hAnsi="Times New Roman" w:cs="Times New Roman"/>
          <w:bCs/>
        </w:rPr>
        <w:t xml:space="preserve"> </w:t>
      </w:r>
    </w:p>
    <w:p w:rsidR="00294A7E" w:rsidRDefault="00294A7E" w:rsidP="00980876">
      <w:pPr>
        <w:pStyle w:val="Listaszerbekezds"/>
        <w:numPr>
          <w:ilvl w:val="0"/>
          <w:numId w:val="485"/>
        </w:numPr>
        <w:autoSpaceDE w:val="0"/>
        <w:autoSpaceDN w:val="0"/>
        <w:adjustRightInd w:val="0"/>
        <w:spacing w:after="0" w:line="240" w:lineRule="auto"/>
        <w:ind w:left="992" w:hanging="357"/>
        <w:jc w:val="both"/>
        <w:rPr>
          <w:rFonts w:ascii="Times New Roman" w:hAnsi="Times New Roman" w:cs="Times New Roman"/>
        </w:rPr>
      </w:pPr>
      <w:r w:rsidRPr="00750966">
        <w:rPr>
          <w:rFonts w:ascii="Times New Roman" w:hAnsi="Times New Roman" w:cs="Times New Roman"/>
        </w:rPr>
        <w:t>A minőségi szakmai munkavégzés iránt elkötelezett, azt a pontosságra való törekvés jellemzi.</w:t>
      </w:r>
    </w:p>
    <w:p w:rsidR="00294A7E" w:rsidRDefault="00294A7E" w:rsidP="00980876">
      <w:pPr>
        <w:pStyle w:val="Listaszerbekezds"/>
        <w:numPr>
          <w:ilvl w:val="0"/>
          <w:numId w:val="485"/>
        </w:numPr>
        <w:autoSpaceDE w:val="0"/>
        <w:autoSpaceDN w:val="0"/>
        <w:adjustRightInd w:val="0"/>
        <w:spacing w:after="0" w:line="240" w:lineRule="auto"/>
        <w:ind w:left="992" w:hanging="357"/>
        <w:jc w:val="both"/>
        <w:rPr>
          <w:rFonts w:ascii="Times New Roman" w:hAnsi="Times New Roman" w:cs="Times New Roman"/>
        </w:rPr>
      </w:pPr>
      <w:r w:rsidRPr="00AF54DA">
        <w:rPr>
          <w:rFonts w:ascii="Times New Roman" w:hAnsi="Times New Roman" w:cs="Times New Roman"/>
        </w:rPr>
        <w:t>Felismeri a rendszerszintű tevékenységben rejlő értékeket, törekszik a logisztikai tevékenységek közötti kapcsolatok értelmezésére.</w:t>
      </w:r>
    </w:p>
    <w:p w:rsidR="00294A7E" w:rsidRPr="00AF54DA" w:rsidRDefault="00294A7E" w:rsidP="00980876">
      <w:pPr>
        <w:pStyle w:val="Listaszerbekezds"/>
        <w:numPr>
          <w:ilvl w:val="0"/>
          <w:numId w:val="485"/>
        </w:numPr>
        <w:autoSpaceDE w:val="0"/>
        <w:autoSpaceDN w:val="0"/>
        <w:adjustRightInd w:val="0"/>
        <w:spacing w:after="0" w:line="240" w:lineRule="auto"/>
        <w:ind w:left="992" w:hanging="357"/>
        <w:jc w:val="both"/>
        <w:rPr>
          <w:rFonts w:ascii="Times New Roman" w:hAnsi="Times New Roman" w:cs="Times New Roman"/>
        </w:rPr>
      </w:pPr>
      <w:r w:rsidRPr="00AF54DA">
        <w:rPr>
          <w:rFonts w:ascii="Times New Roman" w:hAnsi="Times New Roman" w:cs="Times New Roman"/>
        </w:rPr>
        <w:t>Tevékenységét a hatékonyság központú szemlélet jellemzi.</w:t>
      </w:r>
    </w:p>
    <w:p w:rsidR="00294A7E" w:rsidRPr="006A233B" w:rsidRDefault="00294A7E" w:rsidP="00294A7E">
      <w:pPr>
        <w:widowControl w:val="0"/>
        <w:spacing w:before="120" w:after="0" w:line="240" w:lineRule="auto"/>
        <w:ind w:left="425"/>
        <w:jc w:val="both"/>
        <w:rPr>
          <w:rFonts w:ascii="Times New Roman" w:eastAsia="Times New Roman" w:hAnsi="Times New Roman" w:cs="Times New Roman"/>
          <w:bCs/>
        </w:rPr>
      </w:pPr>
      <w:r w:rsidRPr="006A233B">
        <w:rPr>
          <w:rFonts w:ascii="Times New Roman" w:eastAsia="Times New Roman" w:hAnsi="Times New Roman" w:cs="Times New Roman"/>
          <w:b/>
          <w:bCs/>
        </w:rPr>
        <w:t>Autonómiája és felelőssége:</w:t>
      </w:r>
    </w:p>
    <w:p w:rsidR="00294A7E" w:rsidRPr="00750966" w:rsidRDefault="00294A7E" w:rsidP="00980876">
      <w:pPr>
        <w:pStyle w:val="Listaszerbekezds"/>
        <w:widowControl w:val="0"/>
        <w:numPr>
          <w:ilvl w:val="0"/>
          <w:numId w:val="486"/>
        </w:numPr>
        <w:spacing w:after="0" w:line="240" w:lineRule="auto"/>
        <w:ind w:left="992" w:hanging="357"/>
        <w:jc w:val="both"/>
        <w:rPr>
          <w:rFonts w:ascii="Times New Roman" w:hAnsi="Times New Roman" w:cs="Times New Roman"/>
        </w:rPr>
      </w:pPr>
      <w:r w:rsidRPr="00750966">
        <w:rPr>
          <w:rFonts w:ascii="Times New Roman" w:hAnsi="Times New Roman" w:cs="Times New Roman"/>
        </w:rPr>
        <w:t>Felelősséget vállal számvetéseinek pontosságáért.</w:t>
      </w:r>
    </w:p>
    <w:p w:rsidR="00294A7E" w:rsidRPr="004A67AB" w:rsidRDefault="00294A7E" w:rsidP="00294A7E">
      <w:pPr>
        <w:widowControl w:val="0"/>
        <w:spacing w:before="120" w:after="0" w:line="240" w:lineRule="auto"/>
        <w:ind w:left="425"/>
        <w:jc w:val="both"/>
        <w:rPr>
          <w:rFonts w:ascii="Times New Roman" w:eastAsia="Times New Roman" w:hAnsi="Times New Roman" w:cs="Times New Roman"/>
          <w:b/>
          <w:bCs/>
          <w:lang w:val="en-US"/>
        </w:rPr>
      </w:pPr>
      <w:r w:rsidRPr="006A233B">
        <w:rPr>
          <w:rFonts w:ascii="Times New Roman" w:eastAsia="Times New Roman" w:hAnsi="Times New Roman" w:cs="Times New Roman"/>
          <w:b/>
          <w:bCs/>
        </w:rPr>
        <w:lastRenderedPageBreak/>
        <w:t>Elérendő kompetenciák (angolul) (</w:t>
      </w:r>
      <w:r w:rsidRPr="006A233B">
        <w:rPr>
          <w:rFonts w:ascii="Times New Roman" w:eastAsia="Times New Roman" w:hAnsi="Times New Roman" w:cs="Times New Roman"/>
          <w:b/>
          <w:bCs/>
          <w:lang w:val="en-US"/>
        </w:rPr>
        <w:t xml:space="preserve">Competences – English): </w:t>
      </w:r>
    </w:p>
    <w:p w:rsidR="00294A7E" w:rsidRDefault="00294A7E" w:rsidP="00294A7E">
      <w:pPr>
        <w:widowControl w:val="0"/>
        <w:spacing w:before="120" w:after="0" w:line="240" w:lineRule="auto"/>
        <w:ind w:left="425"/>
        <w:jc w:val="both"/>
        <w:rPr>
          <w:rFonts w:ascii="Times New Roman" w:eastAsia="Times New Roman" w:hAnsi="Times New Roman" w:cs="Times New Roman"/>
          <w:lang w:val="en-GB"/>
        </w:rPr>
      </w:pPr>
      <w:r w:rsidRPr="006A233B">
        <w:rPr>
          <w:rFonts w:ascii="Times New Roman" w:eastAsia="Times New Roman" w:hAnsi="Times New Roman" w:cs="Times New Roman"/>
          <w:b/>
          <w:lang w:val="en-GB"/>
        </w:rPr>
        <w:t>Knowledge</w:t>
      </w:r>
      <w:r w:rsidRPr="006A233B">
        <w:rPr>
          <w:rFonts w:ascii="Times New Roman" w:eastAsia="Times New Roman" w:hAnsi="Times New Roman" w:cs="Times New Roman"/>
          <w:lang w:val="en-GB"/>
        </w:rPr>
        <w:t xml:space="preserve">: </w:t>
      </w:r>
    </w:p>
    <w:p w:rsidR="00294A7E" w:rsidRDefault="00294A7E" w:rsidP="00980876">
      <w:pPr>
        <w:pStyle w:val="Listaszerbekezds"/>
        <w:widowControl w:val="0"/>
        <w:numPr>
          <w:ilvl w:val="0"/>
          <w:numId w:val="486"/>
        </w:numPr>
        <w:spacing w:after="0" w:line="240" w:lineRule="auto"/>
        <w:ind w:left="992" w:hanging="357"/>
        <w:jc w:val="both"/>
        <w:rPr>
          <w:rFonts w:ascii="Times New Roman" w:eastAsia="Times New Roman" w:hAnsi="Times New Roman" w:cs="Times New Roman"/>
          <w:lang w:val="en-GB"/>
        </w:rPr>
      </w:pPr>
      <w:r w:rsidRPr="00750966">
        <w:rPr>
          <w:rFonts w:ascii="Times New Roman" w:eastAsia="Times New Roman" w:hAnsi="Times New Roman" w:cs="Times New Roman"/>
          <w:lang w:val="en-GB"/>
        </w:rPr>
        <w:t>To be able to familiar with market mechanisms and the fundamentals of economics.</w:t>
      </w:r>
    </w:p>
    <w:p w:rsidR="00294A7E" w:rsidRPr="00AF54DA" w:rsidRDefault="00294A7E" w:rsidP="00980876">
      <w:pPr>
        <w:pStyle w:val="Listaszerbekezds"/>
        <w:widowControl w:val="0"/>
        <w:numPr>
          <w:ilvl w:val="0"/>
          <w:numId w:val="486"/>
        </w:numPr>
        <w:spacing w:after="0" w:line="240" w:lineRule="auto"/>
        <w:ind w:left="992" w:hanging="357"/>
        <w:jc w:val="both"/>
        <w:rPr>
          <w:rFonts w:ascii="Times New Roman" w:eastAsia="Times New Roman" w:hAnsi="Times New Roman" w:cs="Times New Roman"/>
          <w:lang w:val="en-GB"/>
        </w:rPr>
      </w:pPr>
      <w:r w:rsidRPr="00AF54DA">
        <w:rPr>
          <w:rFonts w:ascii="Times New Roman" w:eastAsia="Times New Roman" w:hAnsi="Times New Roman" w:cs="Times New Roman"/>
          <w:lang w:val="en-GB"/>
        </w:rPr>
        <w:t>To be able to familiar with the fundamentals of corporate finance system.</w:t>
      </w:r>
    </w:p>
    <w:p w:rsidR="00294A7E" w:rsidRDefault="00294A7E" w:rsidP="00294A7E">
      <w:pPr>
        <w:widowControl w:val="0"/>
        <w:spacing w:before="120" w:after="0" w:line="240" w:lineRule="auto"/>
        <w:ind w:left="425"/>
        <w:jc w:val="both"/>
        <w:rPr>
          <w:rFonts w:ascii="Times New Roman" w:eastAsia="Times New Roman" w:hAnsi="Times New Roman" w:cs="Times New Roman"/>
          <w:lang w:val="en-GB"/>
        </w:rPr>
      </w:pPr>
      <w:r w:rsidRPr="006A233B">
        <w:rPr>
          <w:rFonts w:ascii="Times New Roman" w:eastAsia="Times New Roman" w:hAnsi="Times New Roman" w:cs="Times New Roman"/>
          <w:b/>
          <w:lang w:val="en-GB"/>
        </w:rPr>
        <w:t>Capabilities</w:t>
      </w:r>
      <w:r w:rsidRPr="006A233B">
        <w:rPr>
          <w:rFonts w:ascii="Times New Roman" w:eastAsia="Times New Roman" w:hAnsi="Times New Roman" w:cs="Times New Roman"/>
          <w:lang w:val="en-GB"/>
        </w:rPr>
        <w:t xml:space="preserve">: </w:t>
      </w:r>
    </w:p>
    <w:p w:rsidR="00294A7E" w:rsidRDefault="00294A7E" w:rsidP="00980876">
      <w:pPr>
        <w:pStyle w:val="Listaszerbekezds"/>
        <w:widowControl w:val="0"/>
        <w:numPr>
          <w:ilvl w:val="0"/>
          <w:numId w:val="487"/>
        </w:numPr>
        <w:spacing w:after="0" w:line="240" w:lineRule="auto"/>
        <w:ind w:left="992" w:hanging="357"/>
        <w:jc w:val="both"/>
        <w:rPr>
          <w:rFonts w:ascii="Times New Roman" w:eastAsia="Times New Roman" w:hAnsi="Times New Roman" w:cs="Times New Roman"/>
          <w:lang w:val="en-GB"/>
        </w:rPr>
      </w:pPr>
      <w:r w:rsidRPr="00750966">
        <w:rPr>
          <w:rFonts w:ascii="Times New Roman" w:eastAsia="Times New Roman" w:hAnsi="Times New Roman" w:cs="Times New Roman"/>
          <w:lang w:val="en-GB"/>
        </w:rPr>
        <w:t>To have ability to make accurate logistical and economic calculations.</w:t>
      </w:r>
    </w:p>
    <w:p w:rsidR="00294A7E" w:rsidRDefault="00294A7E" w:rsidP="00980876">
      <w:pPr>
        <w:pStyle w:val="Listaszerbekezds"/>
        <w:widowControl w:val="0"/>
        <w:numPr>
          <w:ilvl w:val="0"/>
          <w:numId w:val="487"/>
        </w:numPr>
        <w:spacing w:after="0" w:line="240" w:lineRule="auto"/>
        <w:ind w:left="992" w:hanging="357"/>
        <w:jc w:val="both"/>
        <w:rPr>
          <w:rFonts w:ascii="Times New Roman" w:eastAsia="Times New Roman" w:hAnsi="Times New Roman" w:cs="Times New Roman"/>
          <w:lang w:val="en-GB"/>
        </w:rPr>
      </w:pPr>
      <w:r w:rsidRPr="00AF54DA">
        <w:rPr>
          <w:rFonts w:ascii="Times New Roman" w:eastAsia="Times New Roman" w:hAnsi="Times New Roman" w:cs="Times New Roman"/>
          <w:lang w:val="en-GB"/>
        </w:rPr>
        <w:t xml:space="preserve">To be able to plan, organise, control and evaluate management and financial tasks. </w:t>
      </w:r>
    </w:p>
    <w:p w:rsidR="00294A7E" w:rsidRPr="00AF54DA" w:rsidRDefault="00294A7E" w:rsidP="00980876">
      <w:pPr>
        <w:pStyle w:val="Listaszerbekezds"/>
        <w:widowControl w:val="0"/>
        <w:numPr>
          <w:ilvl w:val="0"/>
          <w:numId w:val="487"/>
        </w:numPr>
        <w:spacing w:after="0" w:line="240" w:lineRule="auto"/>
        <w:ind w:left="992" w:hanging="357"/>
        <w:jc w:val="both"/>
        <w:rPr>
          <w:rFonts w:ascii="Times New Roman" w:eastAsia="Times New Roman" w:hAnsi="Times New Roman" w:cs="Times New Roman"/>
          <w:lang w:val="en-GB"/>
        </w:rPr>
      </w:pPr>
      <w:r w:rsidRPr="00AF54DA">
        <w:rPr>
          <w:rFonts w:ascii="Times New Roman" w:eastAsia="Times New Roman" w:hAnsi="Times New Roman" w:cs="Times New Roman"/>
          <w:lang w:val="en-GB"/>
        </w:rPr>
        <w:t>To be able to execute public procurements on unit level.</w:t>
      </w:r>
    </w:p>
    <w:p w:rsidR="00294A7E" w:rsidRDefault="00294A7E" w:rsidP="00294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425"/>
        <w:jc w:val="both"/>
        <w:rPr>
          <w:rFonts w:ascii="Times New Roman" w:eastAsia="Times New Roman" w:hAnsi="Times New Roman" w:cs="Times New Roman"/>
          <w:lang w:val="en-GB"/>
        </w:rPr>
      </w:pPr>
      <w:r w:rsidRPr="006A233B">
        <w:rPr>
          <w:rFonts w:ascii="Times New Roman" w:eastAsia="Times New Roman" w:hAnsi="Times New Roman" w:cs="Times New Roman"/>
          <w:b/>
          <w:lang w:val="en-GB"/>
        </w:rPr>
        <w:t>Attitude:</w:t>
      </w:r>
      <w:r w:rsidRPr="006A233B">
        <w:rPr>
          <w:rFonts w:ascii="Times New Roman" w:eastAsia="Times New Roman" w:hAnsi="Times New Roman" w:cs="Times New Roman"/>
          <w:lang w:val="en-GB"/>
        </w:rPr>
        <w:t xml:space="preserve"> </w:t>
      </w:r>
    </w:p>
    <w:p w:rsidR="00294A7E" w:rsidRDefault="00294A7E" w:rsidP="00980876">
      <w:pPr>
        <w:pStyle w:val="Listaszerbekezds"/>
        <w:numPr>
          <w:ilvl w:val="0"/>
          <w:numId w:val="488"/>
        </w:numPr>
        <w:spacing w:after="0" w:line="240" w:lineRule="auto"/>
        <w:ind w:left="992" w:hanging="357"/>
        <w:jc w:val="both"/>
        <w:rPr>
          <w:rFonts w:ascii="Times New Roman" w:eastAsia="Times New Roman" w:hAnsi="Times New Roman" w:cs="Times New Roman"/>
          <w:lang w:val="en-GB"/>
        </w:rPr>
      </w:pPr>
      <w:r w:rsidRPr="00750966">
        <w:rPr>
          <w:rFonts w:ascii="Times New Roman" w:eastAsia="Times New Roman" w:hAnsi="Times New Roman" w:cs="Times New Roman"/>
          <w:lang w:val="en-GB"/>
        </w:rPr>
        <w:t>To be committed to high standard work and accuracy.</w:t>
      </w:r>
    </w:p>
    <w:p w:rsidR="00294A7E" w:rsidRDefault="00294A7E" w:rsidP="00980876">
      <w:pPr>
        <w:pStyle w:val="Listaszerbekezds"/>
        <w:numPr>
          <w:ilvl w:val="0"/>
          <w:numId w:val="488"/>
        </w:numPr>
        <w:spacing w:after="0" w:line="240" w:lineRule="auto"/>
        <w:ind w:left="992" w:hanging="357"/>
        <w:jc w:val="both"/>
        <w:rPr>
          <w:rFonts w:ascii="Times New Roman" w:eastAsia="Times New Roman" w:hAnsi="Times New Roman" w:cs="Times New Roman"/>
          <w:lang w:val="en-GB"/>
        </w:rPr>
      </w:pPr>
      <w:r w:rsidRPr="00AF54DA">
        <w:rPr>
          <w:rFonts w:ascii="Times New Roman" w:eastAsia="Times New Roman" w:hAnsi="Times New Roman" w:cs="Times New Roman"/>
          <w:lang w:val="en-GB"/>
        </w:rPr>
        <w:t>To be able to recognize the advantages and opportunities offered by well-structured activities and to be seeking to understand the logical connections among logistic activities.</w:t>
      </w:r>
    </w:p>
    <w:p w:rsidR="00294A7E" w:rsidRPr="00AF54DA" w:rsidRDefault="00294A7E" w:rsidP="00980876">
      <w:pPr>
        <w:pStyle w:val="Listaszerbekezds"/>
        <w:numPr>
          <w:ilvl w:val="0"/>
          <w:numId w:val="488"/>
        </w:numPr>
        <w:spacing w:after="0" w:line="240" w:lineRule="auto"/>
        <w:ind w:left="992" w:hanging="357"/>
        <w:jc w:val="both"/>
        <w:rPr>
          <w:rFonts w:ascii="Times New Roman" w:eastAsia="Times New Roman" w:hAnsi="Times New Roman" w:cs="Times New Roman"/>
          <w:lang w:val="en-GB"/>
        </w:rPr>
      </w:pPr>
      <w:r w:rsidRPr="00AF54DA">
        <w:rPr>
          <w:rFonts w:ascii="Times New Roman" w:eastAsia="Times New Roman" w:hAnsi="Times New Roman" w:cs="Times New Roman"/>
          <w:lang w:val="en-GB"/>
        </w:rPr>
        <w:t xml:space="preserve">To be characterized by efficiency-based attitude. </w:t>
      </w:r>
    </w:p>
    <w:p w:rsidR="00294A7E" w:rsidRDefault="00294A7E" w:rsidP="00294A7E">
      <w:pPr>
        <w:widowControl w:val="0"/>
        <w:spacing w:before="120" w:after="0" w:line="240" w:lineRule="auto"/>
        <w:ind w:left="425"/>
        <w:jc w:val="both"/>
        <w:rPr>
          <w:rFonts w:ascii="Times New Roman" w:eastAsia="Times New Roman" w:hAnsi="Times New Roman" w:cs="Times New Roman"/>
          <w:bCs/>
        </w:rPr>
      </w:pPr>
      <w:r w:rsidRPr="006A233B">
        <w:rPr>
          <w:rFonts w:ascii="Times New Roman" w:eastAsia="Times New Roman" w:hAnsi="Times New Roman" w:cs="Times New Roman"/>
          <w:b/>
          <w:lang w:val="en-GB"/>
        </w:rPr>
        <w:t xml:space="preserve">Autonomy and responsibility: </w:t>
      </w:r>
    </w:p>
    <w:p w:rsidR="00294A7E" w:rsidRPr="00750966" w:rsidRDefault="00294A7E" w:rsidP="00980876">
      <w:pPr>
        <w:pStyle w:val="Listaszerbekezds"/>
        <w:widowControl w:val="0"/>
        <w:numPr>
          <w:ilvl w:val="0"/>
          <w:numId w:val="489"/>
        </w:numPr>
        <w:spacing w:after="0" w:line="240" w:lineRule="auto"/>
        <w:ind w:left="992" w:hanging="357"/>
        <w:jc w:val="both"/>
        <w:rPr>
          <w:rFonts w:ascii="Times New Roman" w:eastAsia="Times New Roman" w:hAnsi="Times New Roman" w:cs="Times New Roman"/>
          <w:bCs/>
          <w:lang w:val="en-US"/>
        </w:rPr>
      </w:pPr>
      <w:r w:rsidRPr="00750966">
        <w:rPr>
          <w:rFonts w:ascii="Times New Roman" w:eastAsia="Times New Roman" w:hAnsi="Times New Roman" w:cs="Times New Roman"/>
          <w:bCs/>
          <w:lang w:val="en-US"/>
        </w:rPr>
        <w:t xml:space="preserve">Take responsibility for the accuracy of the calculations. </w:t>
      </w:r>
    </w:p>
    <w:p w:rsidR="00294A7E" w:rsidRPr="006A233B" w:rsidRDefault="00294A7E" w:rsidP="00980876">
      <w:pPr>
        <w:widowControl w:val="0"/>
        <w:numPr>
          <w:ilvl w:val="0"/>
          <w:numId w:val="500"/>
        </w:numPr>
        <w:tabs>
          <w:tab w:val="num" w:pos="567"/>
        </w:tabs>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bCs/>
        </w:rPr>
        <w:t xml:space="preserve">Előtanulmányi követelmények: </w:t>
      </w:r>
      <w:r>
        <w:rPr>
          <w:rFonts w:ascii="Times New Roman" w:eastAsia="Times New Roman" w:hAnsi="Times New Roman" w:cs="Times New Roman"/>
          <w:bCs/>
        </w:rPr>
        <w:t>nincs</w:t>
      </w:r>
    </w:p>
    <w:p w:rsidR="00294A7E" w:rsidRPr="006A233B" w:rsidRDefault="00294A7E" w:rsidP="00980876">
      <w:pPr>
        <w:widowControl w:val="0"/>
        <w:numPr>
          <w:ilvl w:val="0"/>
          <w:numId w:val="500"/>
        </w:numPr>
        <w:spacing w:before="120" w:after="120" w:line="240" w:lineRule="auto"/>
        <w:ind w:left="426" w:hanging="142"/>
        <w:jc w:val="both"/>
        <w:rPr>
          <w:rFonts w:ascii="Times New Roman" w:eastAsia="Times New Roman" w:hAnsi="Times New Roman" w:cs="Times New Roman"/>
          <w:b/>
          <w:bCs/>
        </w:rPr>
      </w:pPr>
      <w:r w:rsidRPr="006A233B">
        <w:rPr>
          <w:rFonts w:ascii="Times New Roman" w:eastAsia="Times New Roman" w:hAnsi="Times New Roman" w:cs="Times New Roman"/>
          <w:b/>
          <w:bCs/>
        </w:rPr>
        <w:t>A tantárgy tananyagának leírása, tematika. Description of the subject, curriculum (magyarul, angolul - English):</w:t>
      </w:r>
    </w:p>
    <w:p w:rsidR="00294A7E" w:rsidRPr="00DF209F" w:rsidRDefault="00294A7E" w:rsidP="00980876">
      <w:pPr>
        <w:widowControl w:val="0"/>
        <w:numPr>
          <w:ilvl w:val="1"/>
          <w:numId w:val="500"/>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b/>
          <w:lang w:val="en-US"/>
        </w:rPr>
      </w:pPr>
      <w:r>
        <w:rPr>
          <w:rFonts w:ascii="Times New Roman" w:hAnsi="Times New Roman"/>
          <w:bCs/>
          <w:lang w:val="en-US"/>
        </w:rPr>
        <w:t>A</w:t>
      </w:r>
      <w:r w:rsidRPr="009E2B79">
        <w:rPr>
          <w:rFonts w:ascii="Times New Roman" w:hAnsi="Times New Roman"/>
          <w:bCs/>
        </w:rPr>
        <w:t xml:space="preserve"> pénzügyek jelentősége</w:t>
      </w:r>
      <w:r>
        <w:rPr>
          <w:rFonts w:ascii="Times New Roman" w:hAnsi="Times New Roman"/>
          <w:bCs/>
          <w:lang w:val="en-US"/>
        </w:rPr>
        <w:t>, a</w:t>
      </w:r>
      <w:r w:rsidRPr="009E2B79">
        <w:rPr>
          <w:rFonts w:ascii="Times New Roman" w:hAnsi="Times New Roman"/>
          <w:bCs/>
        </w:rPr>
        <w:t xml:space="preserve"> pénzügyi döntések rendszere</w:t>
      </w:r>
      <w:r w:rsidRPr="00DF209F">
        <w:rPr>
          <w:rFonts w:ascii="Times New Roman" w:hAnsi="Times New Roman"/>
          <w:lang w:val="en-US"/>
        </w:rPr>
        <w:t>.</w:t>
      </w:r>
      <w:r>
        <w:rPr>
          <w:rFonts w:ascii="Times New Roman" w:hAnsi="Times New Roman"/>
          <w:lang w:val="en-US"/>
        </w:rPr>
        <w:t xml:space="preserve"> A</w:t>
      </w:r>
      <w:r w:rsidRPr="009E2B79">
        <w:rPr>
          <w:rFonts w:ascii="Times New Roman" w:hAnsi="Times New Roman"/>
        </w:rPr>
        <w:t xml:space="preserve"> jövőérték és</w:t>
      </w:r>
      <w:r>
        <w:rPr>
          <w:rFonts w:ascii="Times New Roman" w:hAnsi="Times New Roman"/>
          <w:lang w:val="en-US"/>
        </w:rPr>
        <w:t xml:space="preserve"> a</w:t>
      </w:r>
      <w:r w:rsidRPr="009E2B79">
        <w:rPr>
          <w:rFonts w:ascii="Times New Roman" w:hAnsi="Times New Roman"/>
        </w:rPr>
        <w:t xml:space="preserve"> nettó jelenérték számításai</w:t>
      </w:r>
      <w:r>
        <w:rPr>
          <w:rFonts w:ascii="Times New Roman" w:hAnsi="Times New Roman"/>
          <w:lang w:val="en-US"/>
        </w:rPr>
        <w:t xml:space="preserve">. </w:t>
      </w:r>
      <w:r w:rsidRPr="00DF209F">
        <w:rPr>
          <w:rFonts w:ascii="Times New Roman" w:eastAsia="Times New Roman" w:hAnsi="Times New Roman" w:cs="Times New Roman"/>
          <w:b/>
          <w:lang w:val="en-US"/>
        </w:rPr>
        <w:t>(</w:t>
      </w:r>
      <w:r w:rsidRPr="00750966">
        <w:rPr>
          <w:rFonts w:ascii="Times New Roman" w:eastAsia="Times New Roman" w:hAnsi="Times New Roman" w:cs="Times New Roman"/>
          <w:i/>
          <w:lang w:val="en-US"/>
        </w:rPr>
        <w:t>The importance of corporate finance, the system of financial decisions. Calculations of future value and net present value.)</w:t>
      </w:r>
    </w:p>
    <w:p w:rsidR="00294A7E" w:rsidRPr="00750966" w:rsidRDefault="00294A7E" w:rsidP="00980876">
      <w:pPr>
        <w:widowControl w:val="0"/>
        <w:numPr>
          <w:ilvl w:val="1"/>
          <w:numId w:val="500"/>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i/>
          <w:lang w:val="en-US"/>
        </w:rPr>
      </w:pPr>
      <w:r>
        <w:rPr>
          <w:rFonts w:ascii="Times New Roman" w:eastAsia="Times New Roman" w:hAnsi="Times New Roman" w:cs="Times New Roman"/>
          <w:bCs/>
        </w:rPr>
        <w:t xml:space="preserve">A hosszú távú befektetések értékelése: kockázat és hozam elemzése, kötvények és részvények értékelése. </w:t>
      </w:r>
      <w:r w:rsidRPr="00750966">
        <w:rPr>
          <w:rFonts w:ascii="Times New Roman" w:eastAsia="Times New Roman" w:hAnsi="Times New Roman" w:cs="Times New Roman"/>
          <w:bCs/>
          <w:i/>
          <w:lang w:val="en-GB"/>
        </w:rPr>
        <w:t>(Evaluation</w:t>
      </w:r>
      <w:r w:rsidRPr="00750966">
        <w:rPr>
          <w:rFonts w:ascii="Times New Roman" w:eastAsia="Times New Roman" w:hAnsi="Times New Roman" w:cs="Times New Roman"/>
          <w:bCs/>
          <w:i/>
        </w:rPr>
        <w:t xml:space="preserve"> of</w:t>
      </w:r>
      <w:r w:rsidRPr="00750966">
        <w:rPr>
          <w:rFonts w:ascii="Times New Roman" w:eastAsia="Times New Roman" w:hAnsi="Times New Roman" w:cs="Times New Roman"/>
          <w:bCs/>
          <w:i/>
          <w:lang w:val="en-GB"/>
        </w:rPr>
        <w:t xml:space="preserve"> long-term investment</w:t>
      </w:r>
      <w:r w:rsidRPr="00750966">
        <w:rPr>
          <w:rFonts w:ascii="Times New Roman" w:eastAsia="Times New Roman" w:hAnsi="Times New Roman" w:cs="Times New Roman"/>
          <w:bCs/>
          <w:i/>
          <w:lang w:val="en-US"/>
        </w:rPr>
        <w:t>: analysis of risk and yield, evaluation of bonds and shares.</w:t>
      </w:r>
      <w:r w:rsidRPr="00750966">
        <w:rPr>
          <w:rFonts w:ascii="Times New Roman" w:eastAsia="Times New Roman" w:hAnsi="Times New Roman" w:cs="Times New Roman"/>
          <w:bCs/>
          <w:i/>
        </w:rPr>
        <w:t>)</w:t>
      </w:r>
    </w:p>
    <w:p w:rsidR="00294A7E" w:rsidRPr="00DF209F" w:rsidRDefault="00294A7E" w:rsidP="00980876">
      <w:pPr>
        <w:widowControl w:val="0"/>
        <w:numPr>
          <w:ilvl w:val="1"/>
          <w:numId w:val="500"/>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lang w:val="en-US"/>
        </w:rPr>
      </w:pPr>
      <w:r>
        <w:rPr>
          <w:rFonts w:ascii="Times New Roman" w:hAnsi="Times New Roman" w:cs="Times New Roman"/>
          <w:bCs/>
        </w:rPr>
        <w:t xml:space="preserve">A hosszú távú finanszírozási döntések: beruházási döntések és tőkeköltségvetés, tőkeáttétel és kockázatelemzés, osztalékpolitika. </w:t>
      </w:r>
      <w:r w:rsidRPr="00750966">
        <w:rPr>
          <w:rFonts w:ascii="Times New Roman" w:eastAsia="Times New Roman" w:hAnsi="Times New Roman" w:cs="Times New Roman"/>
          <w:i/>
          <w:lang w:val="en-US"/>
        </w:rPr>
        <w:t>(The long-term financial decisions: investment decisions and capital budget, analysis of leverage and risk, the dividend policy</w:t>
      </w:r>
      <w:r w:rsidRPr="00750966">
        <w:rPr>
          <w:rFonts w:ascii="Times New Roman" w:eastAsia="Times New Roman" w:hAnsi="Times New Roman" w:cs="Times New Roman"/>
          <w:bCs/>
          <w:i/>
          <w:lang w:val="en-US"/>
        </w:rPr>
        <w:t>.</w:t>
      </w:r>
      <w:r w:rsidRPr="00750966">
        <w:rPr>
          <w:rFonts w:ascii="Times New Roman" w:eastAsia="Times New Roman" w:hAnsi="Times New Roman" w:cs="Times New Roman"/>
          <w:i/>
          <w:lang w:val="en-US"/>
        </w:rPr>
        <w:t>)</w:t>
      </w:r>
    </w:p>
    <w:p w:rsidR="00294A7E" w:rsidRPr="006A233B" w:rsidRDefault="00294A7E" w:rsidP="00980876">
      <w:pPr>
        <w:widowControl w:val="0"/>
        <w:numPr>
          <w:ilvl w:val="0"/>
          <w:numId w:val="500"/>
        </w:numPr>
        <w:tabs>
          <w:tab w:val="num" w:pos="360"/>
        </w:tabs>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bCs/>
        </w:rPr>
        <w:t xml:space="preserve">A tantárgy meghirdetésének gyakorisága/a tantervben történő félévi elhelyezkedése: </w:t>
      </w:r>
      <w:r>
        <w:rPr>
          <w:rFonts w:ascii="Times New Roman" w:eastAsia="Times New Roman" w:hAnsi="Times New Roman" w:cs="Times New Roman"/>
          <w:bCs/>
        </w:rPr>
        <w:t>Minden tavaszi szemeszterben / 6. félév</w:t>
      </w:r>
    </w:p>
    <w:p w:rsidR="00294A7E" w:rsidRPr="00CE64DC" w:rsidRDefault="00294A7E" w:rsidP="00980876">
      <w:pPr>
        <w:widowControl w:val="0"/>
        <w:numPr>
          <w:ilvl w:val="0"/>
          <w:numId w:val="500"/>
        </w:numPr>
        <w:tabs>
          <w:tab w:val="num" w:pos="360"/>
        </w:tabs>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bCs/>
        </w:rPr>
        <w:t>A tanórákon való részvétel követelményei, az elfogadható hiányzások mértéke, a távolmaradás pótlásának lehetősége:</w:t>
      </w:r>
      <w:r>
        <w:rPr>
          <w:rFonts w:ascii="Times New Roman" w:eastAsia="Times New Roman" w:hAnsi="Times New Roman" w:cs="Times New Roman"/>
          <w:bCs/>
        </w:rPr>
        <w:t xml:space="preserve"> </w:t>
      </w:r>
      <w:r w:rsidRPr="00CE64DC">
        <w:rPr>
          <w:rFonts w:ascii="Times New Roman" w:eastAsia="Times New Roman" w:hAnsi="Times New Roman" w:cs="Times New Roman"/>
          <w:bCs/>
        </w:rPr>
        <w:t>A tanórákon való részvétel kötelező.</w:t>
      </w:r>
      <w:r w:rsidRPr="00CE64DC">
        <w:rPr>
          <w:rFonts w:ascii="Times New Roman" w:eastAsia="Times New Roman" w:hAnsi="Times New Roman" w:cs="Times New Roman"/>
          <w:b/>
          <w:bCs/>
        </w:rPr>
        <w:t xml:space="preserve"> </w:t>
      </w:r>
      <w:r w:rsidRPr="00CE64DC">
        <w:rPr>
          <w:rFonts w:ascii="Times New Roman" w:eastAsia="Times New Roman" w:hAnsi="Times New Roman" w:cs="Times New Roman"/>
          <w:bCs/>
        </w:rPr>
        <w:t>A félév elfogadásána</w:t>
      </w:r>
      <w:r>
        <w:rPr>
          <w:rFonts w:ascii="Times New Roman" w:eastAsia="Times New Roman" w:hAnsi="Times New Roman" w:cs="Times New Roman"/>
          <w:bCs/>
        </w:rPr>
        <w:t>k feltétele a tanórák minimum 70</w:t>
      </w:r>
      <w:r w:rsidRPr="00CE64DC">
        <w:rPr>
          <w:rFonts w:ascii="Times New Roman" w:eastAsia="Times New Roman" w:hAnsi="Times New Roman" w:cs="Times New Roman"/>
          <w:bCs/>
        </w:rPr>
        <w:t>%-án való részvétel. Ennél magasabb mértékű távolmaradás pótlása az oktató engedélyével történhet.</w:t>
      </w:r>
    </w:p>
    <w:p w:rsidR="00294A7E" w:rsidRPr="00B67744" w:rsidRDefault="00294A7E" w:rsidP="00980876">
      <w:pPr>
        <w:widowControl w:val="0"/>
        <w:numPr>
          <w:ilvl w:val="0"/>
          <w:numId w:val="500"/>
        </w:numPr>
        <w:tabs>
          <w:tab w:val="num" w:pos="360"/>
        </w:tabs>
        <w:spacing w:before="120" w:after="120" w:line="240" w:lineRule="auto"/>
        <w:ind w:left="426" w:hanging="142"/>
        <w:jc w:val="both"/>
        <w:rPr>
          <w:rFonts w:ascii="Times New Roman" w:hAnsi="Times New Roman"/>
        </w:rPr>
      </w:pPr>
      <w:r w:rsidRPr="006A233B">
        <w:rPr>
          <w:rFonts w:ascii="Times New Roman" w:eastAsia="Times New Roman" w:hAnsi="Times New Roman" w:cs="Times New Roman"/>
          <w:b/>
        </w:rPr>
        <w:t xml:space="preserve">Félévközi feladatok, ismeretek ellenőrzésének rendje: </w:t>
      </w:r>
      <w:r w:rsidRPr="00B67744">
        <w:rPr>
          <w:rFonts w:ascii="Times New Roman" w:hAnsi="Times New Roman"/>
          <w:lang w:val="x-none"/>
        </w:rPr>
        <w:t>A</w:t>
      </w:r>
      <w:r w:rsidRPr="009E2B79">
        <w:rPr>
          <w:rFonts w:ascii="Times New Roman" w:hAnsi="Times New Roman"/>
        </w:rPr>
        <w:t xml:space="preserve"> félév során egy zárthelyi dolgozatot kel</w:t>
      </w:r>
      <w:r w:rsidRPr="00B67744">
        <w:rPr>
          <w:rFonts w:ascii="Times New Roman" w:hAnsi="Times New Roman"/>
          <w:lang w:val="x-none"/>
        </w:rPr>
        <w:t>l</w:t>
      </w:r>
      <w:r w:rsidRPr="009E2B79">
        <w:rPr>
          <w:rFonts w:ascii="Times New Roman" w:hAnsi="Times New Roman"/>
        </w:rPr>
        <w:t xml:space="preserve"> megírni</w:t>
      </w:r>
      <w:r w:rsidRPr="00B67744">
        <w:rPr>
          <w:rFonts w:ascii="Times New Roman" w:hAnsi="Times New Roman"/>
          <w:lang w:val="x-none"/>
        </w:rPr>
        <w:t xml:space="preserve">. </w:t>
      </w:r>
      <w:r w:rsidRPr="00B67744">
        <w:rPr>
          <w:rFonts w:ascii="Times New Roman" w:hAnsi="Times New Roman"/>
        </w:rPr>
        <w:t>A zárthelyi dolgozat ötfokozatú skálán értékelendő, 50%+1 pont elégséges, 60% közepes, 75% jó, 90% jeles.</w:t>
      </w:r>
      <w:r w:rsidRPr="009E2B79">
        <w:rPr>
          <w:rFonts w:ascii="Times New Roman" w:hAnsi="Times New Roman"/>
        </w:rPr>
        <w:t xml:space="preserve"> Az elégtelen osztályzatra értékelt dolgozatot</w:t>
      </w:r>
      <w:r w:rsidRPr="00B67744">
        <w:rPr>
          <w:rFonts w:ascii="Times New Roman" w:hAnsi="Times New Roman"/>
          <w:lang w:val="x-none"/>
        </w:rPr>
        <w:t xml:space="preserve"> a</w:t>
      </w:r>
      <w:r w:rsidRPr="009E2B79">
        <w:rPr>
          <w:rFonts w:ascii="Times New Roman" w:hAnsi="Times New Roman"/>
        </w:rPr>
        <w:t xml:space="preserve"> szorgalmi és</w:t>
      </w:r>
      <w:r w:rsidRPr="00B67744">
        <w:rPr>
          <w:rFonts w:ascii="Times New Roman" w:hAnsi="Times New Roman"/>
          <w:lang w:val="x-none"/>
        </w:rPr>
        <w:t xml:space="preserve"> a</w:t>
      </w:r>
      <w:r w:rsidRPr="009E2B79">
        <w:rPr>
          <w:rFonts w:ascii="Times New Roman" w:hAnsi="Times New Roman"/>
        </w:rPr>
        <w:t xml:space="preserve"> vizsgaidőszakban</w:t>
      </w:r>
      <w:r w:rsidRPr="00B67744">
        <w:rPr>
          <w:rFonts w:ascii="Times New Roman" w:hAnsi="Times New Roman"/>
          <w:lang w:val="x-none"/>
        </w:rPr>
        <w:t xml:space="preserve"> is</w:t>
      </w:r>
      <w:r w:rsidRPr="009E2B79">
        <w:rPr>
          <w:rFonts w:ascii="Times New Roman" w:hAnsi="Times New Roman"/>
        </w:rPr>
        <w:t xml:space="preserve"> egy-egy alkalommal lehet pótolni</w:t>
      </w:r>
      <w:r w:rsidRPr="00B67744">
        <w:rPr>
          <w:rFonts w:ascii="Times New Roman" w:hAnsi="Times New Roman"/>
          <w:lang w:val="x-none"/>
        </w:rPr>
        <w:t>.</w:t>
      </w:r>
      <w:r w:rsidRPr="00B67744">
        <w:rPr>
          <w:rFonts w:ascii="Times New Roman" w:hAnsi="Times New Roman"/>
        </w:rPr>
        <w:t xml:space="preserve"> </w:t>
      </w:r>
      <w:r>
        <w:rPr>
          <w:rFonts w:ascii="Times New Roman" w:hAnsi="Times New Roman"/>
        </w:rPr>
        <w:t>A zárthelyi dolgozatra</w:t>
      </w:r>
      <w:r w:rsidRPr="00B67744">
        <w:rPr>
          <w:rFonts w:ascii="Times New Roman" w:hAnsi="Times New Roman"/>
        </w:rPr>
        <w:t xml:space="preserve"> a hallgatók csak felkészülési témaköröket kapnak kézhez, melyek felölelik a félév teljes tananyagát.</w:t>
      </w:r>
    </w:p>
    <w:p w:rsidR="00294A7E" w:rsidRPr="004A67AB" w:rsidRDefault="00294A7E" w:rsidP="00980876">
      <w:pPr>
        <w:widowControl w:val="0"/>
        <w:numPr>
          <w:ilvl w:val="0"/>
          <w:numId w:val="500"/>
        </w:numPr>
        <w:spacing w:before="120" w:after="120" w:line="240" w:lineRule="auto"/>
        <w:ind w:left="426" w:hanging="142"/>
        <w:jc w:val="both"/>
        <w:rPr>
          <w:rFonts w:ascii="Times New Roman" w:eastAsia="Times New Roman" w:hAnsi="Times New Roman" w:cs="Times New Roman"/>
          <w:b/>
          <w:bCs/>
        </w:rPr>
      </w:pPr>
      <w:r w:rsidRPr="00B37153">
        <w:rPr>
          <w:rFonts w:ascii="Times New Roman" w:eastAsia="Times New Roman" w:hAnsi="Times New Roman" w:cs="Times New Roman"/>
          <w:b/>
          <w:bCs/>
        </w:rPr>
        <w:t xml:space="preserve">Az értékelés, az aláírás és a kreditek megszerzésének pontos feltételei: </w:t>
      </w:r>
    </w:p>
    <w:p w:rsidR="00294A7E" w:rsidRPr="00F50487" w:rsidRDefault="00294A7E" w:rsidP="00980876">
      <w:pPr>
        <w:widowControl w:val="0"/>
        <w:numPr>
          <w:ilvl w:val="1"/>
          <w:numId w:val="500"/>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F50487">
        <w:rPr>
          <w:rFonts w:ascii="Times New Roman" w:eastAsia="Times New Roman" w:hAnsi="Times New Roman" w:cs="Times New Roman"/>
          <w:b/>
        </w:rPr>
        <w:t>Az aláírás megszerzésének feltételei:</w:t>
      </w:r>
      <w:r w:rsidR="00F50487" w:rsidRPr="00F50487">
        <w:rPr>
          <w:rFonts w:ascii="Times New Roman" w:eastAsia="Times New Roman" w:hAnsi="Times New Roman" w:cs="Times New Roman"/>
          <w:b/>
        </w:rPr>
        <w:t xml:space="preserve"> </w:t>
      </w:r>
      <w:r w:rsidRPr="00F50487">
        <w:rPr>
          <w:rFonts w:ascii="Times New Roman" w:eastAsia="Times New Roman" w:hAnsi="Times New Roman" w:cs="Times New Roman"/>
        </w:rPr>
        <w:t>Az aláírás feltétele a tanórákon történő – 14. pontban meghatározott – részvétel, valamint a zárthelyi dolgozat sikeres megírása.</w:t>
      </w:r>
    </w:p>
    <w:p w:rsidR="00294A7E" w:rsidRPr="00F50487" w:rsidRDefault="00294A7E" w:rsidP="00980876">
      <w:pPr>
        <w:widowControl w:val="0"/>
        <w:numPr>
          <w:ilvl w:val="1"/>
          <w:numId w:val="500"/>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F50487">
        <w:rPr>
          <w:rFonts w:ascii="Times New Roman" w:eastAsia="Times New Roman" w:hAnsi="Times New Roman" w:cs="Times New Roman"/>
          <w:b/>
        </w:rPr>
        <w:t>Az értékelés:</w:t>
      </w:r>
      <w:r w:rsidR="00F50487" w:rsidRPr="00F50487">
        <w:rPr>
          <w:rFonts w:ascii="Times New Roman" w:eastAsia="Times New Roman" w:hAnsi="Times New Roman" w:cs="Times New Roman"/>
          <w:b/>
        </w:rPr>
        <w:t xml:space="preserve"> </w:t>
      </w:r>
      <w:r w:rsidRPr="00F50487">
        <w:rPr>
          <w:rFonts w:ascii="Times New Roman" w:eastAsia="Times New Roman" w:hAnsi="Times New Roman" w:cs="Times New Roman"/>
        </w:rPr>
        <w:t xml:space="preserve">Az ötfokozatú évközi jegy a zárthelyi dolgozat eredménye alapján kerül kialakításra. </w:t>
      </w:r>
    </w:p>
    <w:p w:rsidR="00294A7E" w:rsidRPr="006A233B" w:rsidRDefault="00294A7E" w:rsidP="00980876">
      <w:pPr>
        <w:widowControl w:val="0"/>
        <w:numPr>
          <w:ilvl w:val="1"/>
          <w:numId w:val="500"/>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6A233B">
        <w:rPr>
          <w:rFonts w:ascii="Times New Roman" w:eastAsia="Times New Roman" w:hAnsi="Times New Roman" w:cs="Times New Roman"/>
          <w:b/>
        </w:rPr>
        <w:t>A kreditek megszerzésének feltételei:</w:t>
      </w:r>
      <w:r w:rsidRPr="006A233B">
        <w:rPr>
          <w:rFonts w:ascii="Times New Roman" w:eastAsia="Times New Roman" w:hAnsi="Times New Roman" w:cs="Times New Roman"/>
        </w:rPr>
        <w:t xml:space="preserve"> </w:t>
      </w:r>
    </w:p>
    <w:p w:rsidR="00294A7E" w:rsidRPr="00E90621" w:rsidRDefault="00294A7E" w:rsidP="00294A7E">
      <w:pPr>
        <w:widowControl w:val="0"/>
        <w:tabs>
          <w:tab w:val="left" w:pos="993"/>
        </w:tabs>
        <w:spacing w:before="120" w:after="120" w:line="240" w:lineRule="auto"/>
        <w:ind w:left="426"/>
        <w:jc w:val="both"/>
        <w:rPr>
          <w:rFonts w:ascii="Times New Roman" w:eastAsia="Times New Roman" w:hAnsi="Times New Roman" w:cs="Times New Roman"/>
          <w:lang w:val="x-none" w:eastAsia="x-none"/>
        </w:rPr>
      </w:pPr>
      <w:r w:rsidRPr="00B67744">
        <w:rPr>
          <w:rFonts w:ascii="Times New Roman" w:eastAsia="Times New Roman" w:hAnsi="Times New Roman" w:cs="Times New Roman"/>
          <w:lang w:eastAsia="x-none"/>
        </w:rPr>
        <w:t>A kreditek megszerzésének feltétele az aláírás megszerzése és legalább elégséges</w:t>
      </w:r>
      <w:r>
        <w:rPr>
          <w:rFonts w:ascii="Times New Roman" w:eastAsia="Times New Roman" w:hAnsi="Times New Roman" w:cs="Times New Roman"/>
          <w:lang w:eastAsia="x-none"/>
        </w:rPr>
        <w:t xml:space="preserve"> zárthelyi dolgozat megírása</w:t>
      </w:r>
      <w:r w:rsidRPr="00B67744">
        <w:rPr>
          <w:rFonts w:ascii="Times New Roman" w:eastAsia="Times New Roman" w:hAnsi="Times New Roman" w:cs="Times New Roman"/>
          <w:lang w:eastAsia="x-none"/>
        </w:rPr>
        <w:t>.</w:t>
      </w:r>
    </w:p>
    <w:p w:rsidR="00294A7E" w:rsidRPr="006A233B" w:rsidRDefault="00294A7E" w:rsidP="00980876">
      <w:pPr>
        <w:widowControl w:val="0"/>
        <w:numPr>
          <w:ilvl w:val="0"/>
          <w:numId w:val="500"/>
        </w:numPr>
        <w:tabs>
          <w:tab w:val="num" w:pos="360"/>
        </w:tabs>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bCs/>
        </w:rPr>
        <w:lastRenderedPageBreak/>
        <w:t>Irodalomjegyzék:</w:t>
      </w:r>
    </w:p>
    <w:p w:rsidR="00294A7E" w:rsidRPr="006A233B" w:rsidRDefault="00294A7E" w:rsidP="00980876">
      <w:pPr>
        <w:widowControl w:val="0"/>
        <w:numPr>
          <w:ilvl w:val="1"/>
          <w:numId w:val="500"/>
        </w:numPr>
        <w:tabs>
          <w:tab w:val="clear" w:pos="3977"/>
          <w:tab w:val="left" w:pos="567"/>
          <w:tab w:val="left" w:pos="851"/>
          <w:tab w:val="num" w:pos="2069"/>
        </w:tabs>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bCs/>
        </w:rPr>
        <w:t>Kötelező irodalom:</w:t>
      </w:r>
    </w:p>
    <w:p w:rsidR="00294A7E" w:rsidRPr="009609AF" w:rsidRDefault="00294A7E" w:rsidP="00980876">
      <w:pPr>
        <w:widowControl w:val="0"/>
        <w:numPr>
          <w:ilvl w:val="0"/>
          <w:numId w:val="501"/>
        </w:numPr>
        <w:spacing w:after="0" w:line="240" w:lineRule="auto"/>
        <w:ind w:left="709"/>
        <w:jc w:val="both"/>
        <w:rPr>
          <w:rFonts w:ascii="Times New Roman" w:eastAsia="Times New Roman" w:hAnsi="Times New Roman" w:cs="Times New Roman"/>
          <w:bCs/>
          <w:lang w:eastAsia="x-none"/>
        </w:rPr>
      </w:pPr>
      <w:r>
        <w:rPr>
          <w:rFonts w:ascii="Times New Roman" w:eastAsia="Times New Roman" w:hAnsi="Times New Roman" w:cs="Times New Roman"/>
          <w:lang w:eastAsia="x-none"/>
        </w:rPr>
        <w:t>Brealy,</w:t>
      </w:r>
      <w:r w:rsidR="00F50487">
        <w:rPr>
          <w:rFonts w:ascii="Times New Roman" w:eastAsia="Times New Roman" w:hAnsi="Times New Roman" w:cs="Times New Roman"/>
          <w:lang w:eastAsia="x-none"/>
        </w:rPr>
        <w:t xml:space="preserve"> </w:t>
      </w:r>
      <w:r>
        <w:rPr>
          <w:rFonts w:ascii="Times New Roman" w:eastAsia="Times New Roman" w:hAnsi="Times New Roman" w:cs="Times New Roman"/>
          <w:lang w:eastAsia="x-none"/>
        </w:rPr>
        <w:t>Richard A. — Myers,</w:t>
      </w:r>
      <w:r w:rsidR="00F50487">
        <w:rPr>
          <w:rFonts w:ascii="Times New Roman" w:eastAsia="Times New Roman" w:hAnsi="Times New Roman" w:cs="Times New Roman"/>
          <w:lang w:eastAsia="x-none"/>
        </w:rPr>
        <w:t xml:space="preserve"> </w:t>
      </w:r>
      <w:r w:rsidRPr="009609AF">
        <w:rPr>
          <w:rFonts w:ascii="Times New Roman" w:eastAsia="Times New Roman" w:hAnsi="Times New Roman" w:cs="Times New Roman"/>
          <w:lang w:eastAsia="x-none"/>
        </w:rPr>
        <w:t>Stewart C.</w:t>
      </w:r>
      <w:r>
        <w:rPr>
          <w:rFonts w:ascii="Times New Roman" w:eastAsia="Times New Roman" w:hAnsi="Times New Roman" w:cs="Times New Roman"/>
          <w:lang w:eastAsia="x-none"/>
        </w:rPr>
        <w:t>: Modern vállalati pénzügyek,</w:t>
      </w:r>
      <w:r>
        <w:rPr>
          <w:rFonts w:ascii="Times New Roman" w:eastAsia="Times New Roman" w:hAnsi="Times New Roman" w:cs="Times New Roman"/>
          <w:bCs/>
          <w:lang w:eastAsia="x-none"/>
        </w:rPr>
        <w:t xml:space="preserve"> Saldo Kiadó, Budapest, 2011</w:t>
      </w:r>
      <w:r w:rsidRPr="009609AF">
        <w:rPr>
          <w:rFonts w:ascii="Times New Roman" w:eastAsia="Times New Roman" w:hAnsi="Times New Roman" w:cs="Times New Roman"/>
          <w:bCs/>
          <w:lang w:eastAsia="x-none"/>
        </w:rPr>
        <w:t xml:space="preserve"> ISBN: </w:t>
      </w:r>
      <w:r>
        <w:rPr>
          <w:rFonts w:ascii="Times New Roman" w:eastAsia="Times New Roman" w:hAnsi="Times New Roman" w:cs="Times New Roman"/>
          <w:bCs/>
          <w:lang w:eastAsia="x-none"/>
        </w:rPr>
        <w:t>978963545528</w:t>
      </w:r>
      <w:r w:rsidRPr="009609AF">
        <w:rPr>
          <w:rFonts w:ascii="Times New Roman" w:eastAsia="Times New Roman" w:hAnsi="Times New Roman" w:cs="Times New Roman"/>
          <w:bCs/>
          <w:lang w:eastAsia="x-none"/>
        </w:rPr>
        <w:t>7</w:t>
      </w:r>
    </w:p>
    <w:p w:rsidR="00294A7E" w:rsidRPr="009609AF" w:rsidRDefault="00294A7E" w:rsidP="00980876">
      <w:pPr>
        <w:widowControl w:val="0"/>
        <w:numPr>
          <w:ilvl w:val="0"/>
          <w:numId w:val="501"/>
        </w:numPr>
        <w:spacing w:after="0" w:line="240" w:lineRule="auto"/>
        <w:ind w:left="709"/>
        <w:jc w:val="both"/>
        <w:rPr>
          <w:rFonts w:ascii="Times New Roman" w:eastAsia="Times New Roman" w:hAnsi="Times New Roman" w:cs="Times New Roman"/>
        </w:rPr>
      </w:pPr>
      <w:r>
        <w:rPr>
          <w:rFonts w:ascii="Times New Roman" w:eastAsia="Times New Roman" w:hAnsi="Times New Roman" w:cs="Times New Roman"/>
          <w:lang w:eastAsia="x-none"/>
        </w:rPr>
        <w:t>Illés Ivánné: Vállalkozások pénzügyi alapjai, Saldo Kiadó, Budapest, 2009 ISBN: 978963638221</w:t>
      </w:r>
      <w:r w:rsidRPr="009609AF">
        <w:rPr>
          <w:rFonts w:ascii="Times New Roman" w:eastAsia="Times New Roman" w:hAnsi="Times New Roman" w:cs="Times New Roman"/>
          <w:lang w:eastAsia="x-none"/>
        </w:rPr>
        <w:t>6</w:t>
      </w:r>
      <w:r w:rsidRPr="009609AF">
        <w:rPr>
          <w:rFonts w:ascii="Times New Roman" w:eastAsia="Times New Roman" w:hAnsi="Times New Roman" w:cs="Times New Roman"/>
          <w:lang w:val="x-none" w:eastAsia="x-none"/>
        </w:rPr>
        <w:t>.</w:t>
      </w:r>
    </w:p>
    <w:p w:rsidR="00294A7E" w:rsidRPr="00E90621" w:rsidRDefault="00294A7E" w:rsidP="00980876">
      <w:pPr>
        <w:widowControl w:val="0"/>
        <w:numPr>
          <w:ilvl w:val="0"/>
          <w:numId w:val="501"/>
        </w:numPr>
        <w:spacing w:after="0" w:line="240" w:lineRule="auto"/>
        <w:ind w:left="709"/>
        <w:jc w:val="both"/>
        <w:rPr>
          <w:rFonts w:ascii="Times New Roman" w:eastAsia="Times New Roman" w:hAnsi="Times New Roman" w:cs="Times New Roman"/>
        </w:rPr>
      </w:pPr>
      <w:r>
        <w:rPr>
          <w:rFonts w:ascii="Times New Roman" w:eastAsia="Times New Roman" w:hAnsi="Times New Roman" w:cs="Times New Roman"/>
        </w:rPr>
        <w:t>Bélyácz Iván: A vállalati pénzügyek alapjai, Aula, Budapest, 2007 ISBN: 978963969813</w:t>
      </w:r>
      <w:r w:rsidRPr="00087B54">
        <w:rPr>
          <w:rFonts w:ascii="Times New Roman" w:eastAsia="Times New Roman" w:hAnsi="Times New Roman" w:cs="Times New Roman"/>
        </w:rPr>
        <w:t>0</w:t>
      </w:r>
      <w:r w:rsidRPr="00E90621">
        <w:rPr>
          <w:rFonts w:ascii="Times New Roman" w:eastAsia="Times New Roman" w:hAnsi="Times New Roman" w:cs="Times New Roman"/>
        </w:rPr>
        <w:t>.</w:t>
      </w:r>
    </w:p>
    <w:p w:rsidR="00294A7E" w:rsidRPr="00E90621" w:rsidRDefault="00294A7E" w:rsidP="00980876">
      <w:pPr>
        <w:widowControl w:val="0"/>
        <w:numPr>
          <w:ilvl w:val="0"/>
          <w:numId w:val="501"/>
        </w:numPr>
        <w:spacing w:after="0" w:line="240" w:lineRule="auto"/>
        <w:ind w:left="709"/>
        <w:jc w:val="both"/>
        <w:rPr>
          <w:rFonts w:ascii="Times New Roman" w:eastAsia="Times New Roman" w:hAnsi="Times New Roman" w:cs="Times New Roman"/>
        </w:rPr>
      </w:pPr>
      <w:r>
        <w:rPr>
          <w:rFonts w:ascii="Times New Roman" w:eastAsia="Times New Roman" w:hAnsi="Times New Roman" w:cs="Times New Roman"/>
        </w:rPr>
        <w:t xml:space="preserve">Jean Tirole: The Theory of Corporate Finance, </w:t>
      </w:r>
      <w:r w:rsidRPr="00076EFF">
        <w:rPr>
          <w:rFonts w:ascii="Times New Roman" w:eastAsia="Times New Roman" w:hAnsi="Times New Roman" w:cs="Times New Roman"/>
        </w:rPr>
        <w:t>Princeton University Press</w:t>
      </w:r>
      <w:r>
        <w:rPr>
          <w:rFonts w:ascii="Times New Roman" w:eastAsia="Times New Roman" w:hAnsi="Times New Roman" w:cs="Times New Roman"/>
        </w:rPr>
        <w:t xml:space="preserve"> 2010 ISBN: 978</w:t>
      </w:r>
      <w:r w:rsidRPr="00076EFF">
        <w:rPr>
          <w:rFonts w:ascii="Times New Roman" w:eastAsia="Times New Roman" w:hAnsi="Times New Roman" w:cs="Times New Roman"/>
        </w:rPr>
        <w:t>0691125565</w:t>
      </w:r>
    </w:p>
    <w:p w:rsidR="00294A7E" w:rsidRPr="006A233B" w:rsidRDefault="00294A7E" w:rsidP="00980876">
      <w:pPr>
        <w:widowControl w:val="0"/>
        <w:numPr>
          <w:ilvl w:val="1"/>
          <w:numId w:val="500"/>
        </w:numPr>
        <w:tabs>
          <w:tab w:val="clear" w:pos="3977"/>
          <w:tab w:val="num" w:pos="567"/>
          <w:tab w:val="num" w:pos="2069"/>
        </w:tabs>
        <w:spacing w:before="120" w:after="120" w:line="240" w:lineRule="auto"/>
        <w:ind w:left="993" w:hanging="709"/>
        <w:jc w:val="both"/>
        <w:rPr>
          <w:rFonts w:ascii="Times New Roman" w:eastAsia="Times New Roman" w:hAnsi="Times New Roman" w:cs="Times New Roman"/>
          <w:b/>
          <w:bCs/>
        </w:rPr>
      </w:pPr>
      <w:r w:rsidRPr="006A233B">
        <w:rPr>
          <w:rFonts w:ascii="Times New Roman" w:eastAsia="Times New Roman" w:hAnsi="Times New Roman" w:cs="Times New Roman"/>
          <w:b/>
          <w:bCs/>
        </w:rPr>
        <w:t>Ajánlott irodalom:</w:t>
      </w:r>
    </w:p>
    <w:p w:rsidR="00294A7E" w:rsidRPr="00076EFF" w:rsidRDefault="00294A7E" w:rsidP="00980876">
      <w:pPr>
        <w:pStyle w:val="Listaszerbekezds"/>
        <w:widowControl w:val="0"/>
        <w:numPr>
          <w:ilvl w:val="0"/>
          <w:numId w:val="502"/>
        </w:numPr>
        <w:spacing w:after="0" w:line="240" w:lineRule="auto"/>
        <w:jc w:val="both"/>
        <w:rPr>
          <w:rFonts w:ascii="Times New Roman" w:eastAsia="Times New Roman" w:hAnsi="Times New Roman" w:cs="Times New Roman"/>
        </w:rPr>
      </w:pPr>
      <w:r w:rsidRPr="00076EFF">
        <w:rPr>
          <w:rFonts w:ascii="Times New Roman" w:eastAsia="Times New Roman" w:hAnsi="Times New Roman" w:cs="Times New Roman"/>
          <w:bCs/>
        </w:rPr>
        <w:t>Fazekas G. (szerk.): Vállalati pénzügyek példatár Tanszék Kft., 2014</w:t>
      </w:r>
      <w:r>
        <w:rPr>
          <w:rFonts w:ascii="Times New Roman" w:eastAsia="Times New Roman" w:hAnsi="Times New Roman" w:cs="Times New Roman"/>
          <w:bCs/>
        </w:rPr>
        <w:t>.</w:t>
      </w:r>
    </w:p>
    <w:p w:rsidR="00294A7E" w:rsidRPr="00076EFF" w:rsidRDefault="00294A7E" w:rsidP="00980876">
      <w:pPr>
        <w:pStyle w:val="Listaszerbekezds"/>
        <w:widowControl w:val="0"/>
        <w:numPr>
          <w:ilvl w:val="0"/>
          <w:numId w:val="502"/>
        </w:numPr>
        <w:spacing w:after="0" w:line="240" w:lineRule="auto"/>
        <w:jc w:val="both"/>
        <w:rPr>
          <w:rFonts w:ascii="Times New Roman" w:eastAsia="Times New Roman" w:hAnsi="Times New Roman" w:cs="Times New Roman"/>
        </w:rPr>
      </w:pPr>
      <w:r w:rsidRPr="00076EFF">
        <w:rPr>
          <w:rFonts w:ascii="Times New Roman" w:eastAsia="Times New Roman" w:hAnsi="Times New Roman" w:cs="Times New Roman"/>
          <w:bCs/>
        </w:rPr>
        <w:t>Fazekas G. - Juhász P. - Kovács N. (szerk.): Képletgyűjtemény a tőkepiaci és vállalati pénzügyi ismeretekhez Tanszék Kft., 2014</w:t>
      </w:r>
      <w:r>
        <w:rPr>
          <w:rFonts w:ascii="Times New Roman" w:eastAsia="Times New Roman" w:hAnsi="Times New Roman" w:cs="Times New Roman"/>
          <w:bCs/>
        </w:rPr>
        <w:t>.</w:t>
      </w:r>
    </w:p>
    <w:p w:rsidR="00294A7E" w:rsidRDefault="00294A7E" w:rsidP="00294A7E">
      <w:pPr>
        <w:widowControl w:val="0"/>
        <w:spacing w:before="120" w:after="120" w:line="240" w:lineRule="auto"/>
        <w:jc w:val="both"/>
        <w:rPr>
          <w:rFonts w:ascii="Times New Roman" w:eastAsia="Times New Roman" w:hAnsi="Times New Roman" w:cs="Times New Roman"/>
          <w:bCs/>
        </w:rPr>
      </w:pPr>
    </w:p>
    <w:p w:rsidR="00294A7E" w:rsidRPr="006A233B" w:rsidRDefault="00294A7E" w:rsidP="00294A7E">
      <w:pPr>
        <w:widowControl w:val="0"/>
        <w:spacing w:before="120" w:after="120" w:line="240" w:lineRule="auto"/>
        <w:jc w:val="both"/>
        <w:rPr>
          <w:rFonts w:ascii="Times New Roman" w:eastAsia="Times New Roman" w:hAnsi="Times New Roman" w:cs="Times New Roman"/>
          <w:bCs/>
        </w:rPr>
      </w:pPr>
      <w:r w:rsidRPr="006A233B">
        <w:rPr>
          <w:rFonts w:ascii="Times New Roman" w:eastAsia="Times New Roman" w:hAnsi="Times New Roman" w:cs="Times New Roman"/>
          <w:bCs/>
        </w:rPr>
        <w:t>Budapest,</w:t>
      </w:r>
      <w:r>
        <w:rPr>
          <w:rFonts w:ascii="Times New Roman" w:eastAsia="Times New Roman" w:hAnsi="Times New Roman" w:cs="Times New Roman"/>
          <w:bCs/>
        </w:rPr>
        <w:t xml:space="preserve"> 2020</w:t>
      </w:r>
      <w:r w:rsidRPr="006A233B">
        <w:rPr>
          <w:rFonts w:ascii="Times New Roman" w:eastAsia="Times New Roman" w:hAnsi="Times New Roman" w:cs="Times New Roman"/>
          <w:bCs/>
        </w:rPr>
        <w:t xml:space="preserve">. </w:t>
      </w:r>
      <w:r>
        <w:rPr>
          <w:rFonts w:ascii="Times New Roman" w:eastAsia="Times New Roman" w:hAnsi="Times New Roman" w:cs="Times New Roman"/>
          <w:bCs/>
        </w:rPr>
        <w:t>február</w:t>
      </w:r>
      <w:r w:rsidRPr="006A233B">
        <w:rPr>
          <w:rFonts w:ascii="Times New Roman" w:eastAsia="Times New Roman" w:hAnsi="Times New Roman" w:cs="Times New Roman"/>
          <w:bCs/>
        </w:rPr>
        <w:t xml:space="preserve"> </w:t>
      </w:r>
      <w:r>
        <w:rPr>
          <w:rFonts w:ascii="Times New Roman" w:eastAsia="Times New Roman" w:hAnsi="Times New Roman" w:cs="Times New Roman"/>
          <w:bCs/>
        </w:rPr>
        <w:t>20</w:t>
      </w:r>
      <w:r w:rsidRPr="006A233B">
        <w:rPr>
          <w:rFonts w:ascii="Times New Roman" w:eastAsia="Times New Roman" w:hAnsi="Times New Roman" w:cs="Times New Roman"/>
          <w:bCs/>
        </w:rPr>
        <w:t>.</w:t>
      </w:r>
    </w:p>
    <w:p w:rsidR="00294A7E" w:rsidRPr="006A233B" w:rsidRDefault="00294A7E" w:rsidP="00294A7E">
      <w:pPr>
        <w:widowControl w:val="0"/>
        <w:spacing w:before="120" w:after="120" w:line="240" w:lineRule="auto"/>
        <w:jc w:val="both"/>
        <w:rPr>
          <w:rFonts w:ascii="Times New Roman" w:eastAsia="Times New Roman" w:hAnsi="Times New Roman" w:cs="Times New Roman"/>
          <w:bCs/>
        </w:rPr>
      </w:pPr>
    </w:p>
    <w:p w:rsidR="00294A7E" w:rsidRPr="00F50487" w:rsidRDefault="00294A7E" w:rsidP="00294A7E">
      <w:pPr>
        <w:widowControl w:val="0"/>
        <w:spacing w:after="0" w:line="240" w:lineRule="auto"/>
        <w:ind w:left="5664" w:firstLine="708"/>
        <w:jc w:val="center"/>
        <w:rPr>
          <w:rFonts w:ascii="Times New Roman" w:hAnsi="Times New Roman" w:cs="Times New Roman"/>
          <w:b/>
          <w:bCs/>
        </w:rPr>
      </w:pPr>
      <w:r w:rsidRPr="00F50487">
        <w:rPr>
          <w:rFonts w:ascii="Times New Roman" w:hAnsi="Times New Roman" w:cs="Times New Roman"/>
          <w:b/>
          <w:bCs/>
        </w:rPr>
        <w:t>Dr. Kenessei Zsolt</w:t>
      </w:r>
    </w:p>
    <w:p w:rsidR="00294A7E" w:rsidRPr="00734E2C" w:rsidRDefault="00294A7E" w:rsidP="00294A7E">
      <w:pPr>
        <w:widowControl w:val="0"/>
        <w:spacing w:after="0" w:line="240" w:lineRule="auto"/>
        <w:jc w:val="center"/>
        <w:rPr>
          <w:rFonts w:ascii="Times New Roman" w:eastAsia="Times New Roman" w:hAnsi="Times New Roman" w:cs="Times New Roman"/>
          <w:bCs/>
        </w:rPr>
      </w:pP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gyakorlati oktató</w:t>
      </w:r>
    </w:p>
    <w:p w:rsidR="00782188" w:rsidRDefault="00782188">
      <w:pPr>
        <w:spacing w:after="200" w:line="276" w:lineRule="auto"/>
        <w:rPr>
          <w:rFonts w:ascii="Times New Roman" w:hAnsi="Times New Roman" w:cs="Times New Roman"/>
          <w:color w:val="FF0000"/>
          <w:sz w:val="24"/>
        </w:rPr>
      </w:pPr>
      <w:r>
        <w:rPr>
          <w:rFonts w:ascii="Times New Roman" w:hAnsi="Times New Roman" w:cs="Times New Roman"/>
          <w:color w:val="FF0000"/>
          <w:sz w:val="24"/>
        </w:rPr>
        <w:br w:type="page"/>
      </w:r>
    </w:p>
    <w:tbl>
      <w:tblPr>
        <w:tblW w:w="9072" w:type="dxa"/>
        <w:tblInd w:w="113" w:type="dxa"/>
        <w:tblLook w:val="01E0" w:firstRow="1" w:lastRow="1" w:firstColumn="1" w:lastColumn="1" w:noHBand="0" w:noVBand="0"/>
      </w:tblPr>
      <w:tblGrid>
        <w:gridCol w:w="4855"/>
        <w:gridCol w:w="1620"/>
        <w:gridCol w:w="2597"/>
      </w:tblGrid>
      <w:tr w:rsidR="00782188" w:rsidRPr="006A233B" w:rsidTr="00F8748C">
        <w:tc>
          <w:tcPr>
            <w:tcW w:w="4855" w:type="dxa"/>
            <w:tcBorders>
              <w:bottom w:val="single" w:sz="4" w:space="0" w:color="auto"/>
            </w:tcBorders>
          </w:tcPr>
          <w:p w:rsidR="00782188" w:rsidRPr="006A233B" w:rsidRDefault="00782188" w:rsidP="00F8748C">
            <w:pPr>
              <w:spacing w:after="0" w:line="240" w:lineRule="auto"/>
              <w:jc w:val="center"/>
              <w:rPr>
                <w:rFonts w:ascii="Times New Roman" w:eastAsia="Times New Roman" w:hAnsi="Times New Roman" w:cs="Times New Roman"/>
                <w:b/>
                <w:smallCaps/>
                <w:lang w:eastAsia="hu-HU"/>
              </w:rPr>
            </w:pPr>
            <w:r w:rsidRPr="006A233B">
              <w:rPr>
                <w:rFonts w:ascii="Times New Roman" w:eastAsia="Times New Roman" w:hAnsi="Times New Roman" w:cs="Times New Roman"/>
                <w:b/>
                <w:smallCaps/>
                <w:lang w:eastAsia="hu-HU"/>
              </w:rPr>
              <w:lastRenderedPageBreak/>
              <w:t>Nemzeti Közszolgálati Egyetem</w:t>
            </w:r>
          </w:p>
        </w:tc>
        <w:tc>
          <w:tcPr>
            <w:tcW w:w="1620" w:type="dxa"/>
          </w:tcPr>
          <w:p w:rsidR="00782188" w:rsidRPr="006A233B" w:rsidRDefault="00782188" w:rsidP="00F8748C">
            <w:pPr>
              <w:spacing w:after="0" w:line="240" w:lineRule="auto"/>
              <w:jc w:val="both"/>
              <w:rPr>
                <w:rFonts w:ascii="Times New Roman" w:eastAsia="Times New Roman" w:hAnsi="Times New Roman" w:cs="Times New Roman"/>
                <w:lang w:eastAsia="hu-HU"/>
              </w:rPr>
            </w:pPr>
          </w:p>
        </w:tc>
        <w:tc>
          <w:tcPr>
            <w:tcW w:w="2597" w:type="dxa"/>
          </w:tcPr>
          <w:p w:rsidR="00782188" w:rsidRPr="006A233B" w:rsidRDefault="00782188" w:rsidP="00F8748C">
            <w:pPr>
              <w:spacing w:after="0" w:line="240" w:lineRule="auto"/>
              <w:jc w:val="right"/>
              <w:rPr>
                <w:rFonts w:ascii="Times New Roman" w:eastAsia="Times New Roman" w:hAnsi="Times New Roman" w:cs="Times New Roman"/>
                <w:lang w:eastAsia="hu-HU"/>
              </w:rPr>
            </w:pPr>
          </w:p>
        </w:tc>
      </w:tr>
      <w:tr w:rsidR="00782188" w:rsidRPr="006A233B" w:rsidTr="00F8748C">
        <w:tc>
          <w:tcPr>
            <w:tcW w:w="4855" w:type="dxa"/>
            <w:tcBorders>
              <w:top w:val="single" w:sz="4" w:space="0" w:color="auto"/>
            </w:tcBorders>
          </w:tcPr>
          <w:p w:rsidR="00782188" w:rsidRPr="006A233B" w:rsidRDefault="00782188" w:rsidP="00F8748C">
            <w:pPr>
              <w:spacing w:after="0" w:line="240" w:lineRule="auto"/>
              <w:jc w:val="center"/>
              <w:rPr>
                <w:rFonts w:ascii="Times New Roman" w:eastAsia="Times New Roman" w:hAnsi="Times New Roman" w:cs="Times New Roman"/>
                <w:b/>
                <w:lang w:eastAsia="hu-HU"/>
              </w:rPr>
            </w:pPr>
            <w:r w:rsidRPr="006A233B">
              <w:rPr>
                <w:rFonts w:ascii="Times New Roman" w:eastAsia="Times New Roman" w:hAnsi="Times New Roman" w:cs="Times New Roman"/>
                <w:b/>
                <w:lang w:eastAsia="hu-HU"/>
              </w:rPr>
              <w:t>Hadtudományi és Honvédtisztképző Kar</w:t>
            </w:r>
          </w:p>
        </w:tc>
        <w:tc>
          <w:tcPr>
            <w:tcW w:w="1620" w:type="dxa"/>
          </w:tcPr>
          <w:p w:rsidR="00782188" w:rsidRPr="006A233B" w:rsidRDefault="00782188" w:rsidP="00F8748C">
            <w:pPr>
              <w:spacing w:after="0" w:line="240" w:lineRule="auto"/>
              <w:jc w:val="both"/>
              <w:rPr>
                <w:rFonts w:ascii="Times New Roman" w:eastAsia="Times New Roman" w:hAnsi="Times New Roman" w:cs="Times New Roman"/>
                <w:lang w:eastAsia="hu-HU"/>
              </w:rPr>
            </w:pPr>
          </w:p>
        </w:tc>
        <w:tc>
          <w:tcPr>
            <w:tcW w:w="2597" w:type="dxa"/>
          </w:tcPr>
          <w:p w:rsidR="00782188" w:rsidRPr="006A233B" w:rsidRDefault="00782188" w:rsidP="00F8748C">
            <w:pPr>
              <w:spacing w:after="0" w:line="240" w:lineRule="auto"/>
              <w:jc w:val="both"/>
              <w:rPr>
                <w:rFonts w:ascii="Times New Roman" w:eastAsia="Times New Roman" w:hAnsi="Times New Roman" w:cs="Times New Roman"/>
                <w:lang w:eastAsia="hu-HU"/>
              </w:rPr>
            </w:pPr>
          </w:p>
        </w:tc>
      </w:tr>
    </w:tbl>
    <w:p w:rsidR="00782188" w:rsidRPr="006A233B" w:rsidRDefault="00782188" w:rsidP="00782188">
      <w:pPr>
        <w:widowControl w:val="0"/>
        <w:spacing w:before="120" w:after="120" w:line="240" w:lineRule="auto"/>
        <w:ind w:left="426" w:hanging="142"/>
        <w:jc w:val="center"/>
        <w:rPr>
          <w:rFonts w:ascii="Times New Roman" w:eastAsia="Times New Roman" w:hAnsi="Times New Roman" w:cs="Times New Roman"/>
          <w:b/>
          <w:bCs/>
        </w:rPr>
      </w:pPr>
    </w:p>
    <w:p w:rsidR="00782188" w:rsidRPr="006A233B" w:rsidRDefault="00782188" w:rsidP="00782188">
      <w:pPr>
        <w:widowControl w:val="0"/>
        <w:spacing w:before="120" w:after="120" w:line="240" w:lineRule="auto"/>
        <w:ind w:left="426" w:hanging="142"/>
        <w:jc w:val="center"/>
        <w:rPr>
          <w:rFonts w:ascii="Times New Roman" w:eastAsia="Times New Roman" w:hAnsi="Times New Roman" w:cs="Times New Roman"/>
          <w:b/>
          <w:bCs/>
        </w:rPr>
      </w:pPr>
      <w:r w:rsidRPr="006A233B">
        <w:rPr>
          <w:rFonts w:ascii="Times New Roman" w:eastAsia="Times New Roman" w:hAnsi="Times New Roman" w:cs="Times New Roman"/>
          <w:b/>
          <w:bCs/>
        </w:rPr>
        <w:t>TANTÁRGYI PROGRAM</w:t>
      </w:r>
    </w:p>
    <w:p w:rsidR="00782188" w:rsidRPr="006A233B" w:rsidRDefault="00782188" w:rsidP="00980876">
      <w:pPr>
        <w:widowControl w:val="0"/>
        <w:numPr>
          <w:ilvl w:val="0"/>
          <w:numId w:val="506"/>
        </w:numPr>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bCs/>
        </w:rPr>
        <w:t xml:space="preserve">A tantárgy kódja: </w:t>
      </w:r>
      <w:r w:rsidRPr="0049000C">
        <w:rPr>
          <w:rFonts w:ascii="Times New Roman" w:hAnsi="Times New Roman" w:cs="Times New Roman"/>
          <w:bCs/>
        </w:rPr>
        <w:t>HKHPKA529</w:t>
      </w:r>
    </w:p>
    <w:p w:rsidR="00782188" w:rsidRPr="006A233B" w:rsidRDefault="00782188" w:rsidP="00980876">
      <w:pPr>
        <w:widowControl w:val="0"/>
        <w:numPr>
          <w:ilvl w:val="0"/>
          <w:numId w:val="506"/>
        </w:numPr>
        <w:spacing w:before="120" w:after="120" w:line="240" w:lineRule="auto"/>
        <w:ind w:left="426" w:hanging="142"/>
        <w:jc w:val="both"/>
        <w:rPr>
          <w:rFonts w:ascii="Times New Roman" w:eastAsia="Times New Roman" w:hAnsi="Times New Roman" w:cs="Times New Roman"/>
          <w:b/>
          <w:bCs/>
          <w:lang w:val="en-GB"/>
        </w:rPr>
      </w:pPr>
      <w:r w:rsidRPr="006A233B">
        <w:rPr>
          <w:rFonts w:ascii="Times New Roman" w:eastAsia="Times New Roman" w:hAnsi="Times New Roman" w:cs="Times New Roman"/>
          <w:b/>
          <w:bCs/>
        </w:rPr>
        <w:t>A tantárgy megnevezése (magyarul):</w:t>
      </w:r>
      <w:r w:rsidRPr="006A233B">
        <w:rPr>
          <w:rFonts w:ascii="Times New Roman" w:eastAsia="Times New Roman" w:hAnsi="Times New Roman" w:cs="Times New Roman"/>
          <w:bCs/>
        </w:rPr>
        <w:t xml:space="preserve"> </w:t>
      </w:r>
      <w:r>
        <w:rPr>
          <w:rFonts w:ascii="Times New Roman" w:hAnsi="Times New Roman" w:cs="Times New Roman"/>
          <w:bCs/>
        </w:rPr>
        <w:t>Vállalati információs rendszerek</w:t>
      </w:r>
    </w:p>
    <w:p w:rsidR="00782188" w:rsidRPr="006A233B" w:rsidRDefault="00782188" w:rsidP="00980876">
      <w:pPr>
        <w:widowControl w:val="0"/>
        <w:numPr>
          <w:ilvl w:val="0"/>
          <w:numId w:val="506"/>
        </w:numPr>
        <w:tabs>
          <w:tab w:val="num" w:pos="567"/>
        </w:tabs>
        <w:spacing w:before="120" w:after="120" w:line="240" w:lineRule="auto"/>
        <w:ind w:left="426" w:hanging="142"/>
        <w:jc w:val="both"/>
        <w:rPr>
          <w:rFonts w:ascii="Times New Roman" w:eastAsia="Times New Roman" w:hAnsi="Times New Roman" w:cs="Times New Roman"/>
          <w:b/>
          <w:bCs/>
          <w:lang w:val="en-GB"/>
        </w:rPr>
      </w:pPr>
      <w:r w:rsidRPr="006A233B">
        <w:rPr>
          <w:rFonts w:ascii="Times New Roman" w:eastAsia="Times New Roman" w:hAnsi="Times New Roman" w:cs="Times New Roman"/>
          <w:b/>
          <w:bCs/>
        </w:rPr>
        <w:t xml:space="preserve">A tantárgy megnevezése (angolul): </w:t>
      </w:r>
      <w:r>
        <w:rPr>
          <w:rFonts w:ascii="Times New Roman" w:eastAsia="Times New Roman" w:hAnsi="Times New Roman" w:cs="Times New Roman"/>
          <w:bCs/>
        </w:rPr>
        <w:t>Enterprise Information Systems</w:t>
      </w:r>
    </w:p>
    <w:p w:rsidR="00782188" w:rsidRPr="006A233B" w:rsidRDefault="00782188" w:rsidP="00980876">
      <w:pPr>
        <w:widowControl w:val="0"/>
        <w:numPr>
          <w:ilvl w:val="0"/>
          <w:numId w:val="506"/>
        </w:numPr>
        <w:tabs>
          <w:tab w:val="num" w:pos="567"/>
        </w:tabs>
        <w:spacing w:before="120" w:after="120" w:line="240" w:lineRule="auto"/>
        <w:ind w:left="426" w:hanging="142"/>
        <w:jc w:val="both"/>
        <w:rPr>
          <w:rFonts w:ascii="Times New Roman" w:eastAsia="Times New Roman" w:hAnsi="Times New Roman" w:cs="Times New Roman"/>
          <w:b/>
          <w:bCs/>
        </w:rPr>
      </w:pPr>
      <w:r w:rsidRPr="006A233B">
        <w:rPr>
          <w:rFonts w:ascii="Times New Roman" w:eastAsia="Times New Roman" w:hAnsi="Times New Roman" w:cs="Times New Roman"/>
          <w:b/>
          <w:bCs/>
        </w:rPr>
        <w:t xml:space="preserve">Kreditérték és képzési karakter: </w:t>
      </w:r>
    </w:p>
    <w:p w:rsidR="00782188" w:rsidRPr="00716A4E" w:rsidRDefault="00782188" w:rsidP="00980876">
      <w:pPr>
        <w:pStyle w:val="Listaszerbekezds"/>
        <w:widowControl w:val="0"/>
        <w:numPr>
          <w:ilvl w:val="1"/>
          <w:numId w:val="506"/>
        </w:numPr>
        <w:tabs>
          <w:tab w:val="clear" w:pos="3977"/>
        </w:tabs>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2</w:t>
      </w:r>
      <w:r w:rsidRPr="00716A4E">
        <w:rPr>
          <w:rFonts w:ascii="Times New Roman" w:eastAsia="Times New Roman" w:hAnsi="Times New Roman" w:cs="Times New Roman"/>
          <w:bCs/>
        </w:rPr>
        <w:t xml:space="preserve"> kredit</w:t>
      </w:r>
    </w:p>
    <w:p w:rsidR="00782188" w:rsidRPr="006A233B" w:rsidRDefault="00782188" w:rsidP="00980876">
      <w:pPr>
        <w:pStyle w:val="Listaszerbekezds"/>
        <w:widowControl w:val="0"/>
        <w:numPr>
          <w:ilvl w:val="1"/>
          <w:numId w:val="506"/>
        </w:numPr>
        <w:tabs>
          <w:tab w:val="clear" w:pos="3977"/>
        </w:tabs>
        <w:spacing w:before="120" w:after="120" w:line="240" w:lineRule="auto"/>
        <w:ind w:left="993" w:hanging="426"/>
        <w:jc w:val="both"/>
        <w:rPr>
          <w:rFonts w:ascii="Times New Roman" w:eastAsia="Times New Roman" w:hAnsi="Times New Roman" w:cs="Times New Roman"/>
          <w:b/>
          <w:bCs/>
        </w:rPr>
      </w:pPr>
      <w:r w:rsidRPr="006A233B">
        <w:rPr>
          <w:rFonts w:ascii="Times New Roman" w:eastAsia="Times New Roman" w:hAnsi="Times New Roman" w:cs="Times New Roman"/>
          <w:bCs/>
        </w:rPr>
        <w:t xml:space="preserve">a tantárgy elméleti vagy gyakorlati jellegének mértéke: </w:t>
      </w:r>
      <w:r>
        <w:rPr>
          <w:rFonts w:ascii="Times New Roman" w:eastAsia="Times New Roman" w:hAnsi="Times New Roman" w:cs="Times New Roman"/>
          <w:bCs/>
        </w:rPr>
        <w:t>50</w:t>
      </w:r>
      <w:r w:rsidRPr="006A233B">
        <w:rPr>
          <w:rFonts w:ascii="Times New Roman" w:eastAsia="Times New Roman" w:hAnsi="Times New Roman" w:cs="Times New Roman"/>
          <w:b/>
          <w:bCs/>
        </w:rPr>
        <w:t xml:space="preserve"> </w:t>
      </w:r>
      <w:r w:rsidRPr="006A233B">
        <w:rPr>
          <w:rFonts w:ascii="Times New Roman" w:eastAsia="Times New Roman" w:hAnsi="Times New Roman" w:cs="Times New Roman"/>
          <w:bCs/>
        </w:rPr>
        <w:t xml:space="preserve">% gyakorlat, </w:t>
      </w:r>
      <w:r>
        <w:rPr>
          <w:rFonts w:ascii="Times New Roman" w:eastAsia="Times New Roman" w:hAnsi="Times New Roman" w:cs="Times New Roman"/>
          <w:bCs/>
        </w:rPr>
        <w:t>50</w:t>
      </w:r>
      <w:r w:rsidRPr="006A233B">
        <w:rPr>
          <w:rFonts w:ascii="Times New Roman" w:eastAsia="Times New Roman" w:hAnsi="Times New Roman" w:cs="Times New Roman"/>
          <w:bCs/>
        </w:rPr>
        <w:t xml:space="preserve"> % elmélet</w:t>
      </w:r>
    </w:p>
    <w:p w:rsidR="00782188" w:rsidRPr="006A233B" w:rsidRDefault="00782188" w:rsidP="00980876">
      <w:pPr>
        <w:widowControl w:val="0"/>
        <w:numPr>
          <w:ilvl w:val="0"/>
          <w:numId w:val="506"/>
        </w:numPr>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bCs/>
        </w:rPr>
        <w:t>A szak(ok), szakirányok/specializációk megnevezése (ahol oktatják):</w:t>
      </w:r>
      <w:r w:rsidRPr="006A233B">
        <w:rPr>
          <w:rFonts w:ascii="Times New Roman" w:eastAsia="Times New Roman" w:hAnsi="Times New Roman" w:cs="Times New Roman"/>
          <w:bCs/>
        </w:rPr>
        <w:t xml:space="preserve"> </w:t>
      </w:r>
      <w:r>
        <w:rPr>
          <w:rFonts w:ascii="Times New Roman" w:hAnsi="Times New Roman" w:cs="Times New Roman"/>
          <w:bCs/>
        </w:rPr>
        <w:t>Katonai logisztika alapképzési (</w:t>
      </w:r>
      <w:r w:rsidR="00137B8A">
        <w:rPr>
          <w:rFonts w:ascii="Times New Roman" w:hAnsi="Times New Roman" w:cs="Times New Roman"/>
          <w:bCs/>
        </w:rPr>
        <w:t>BSc</w:t>
      </w:r>
      <w:r>
        <w:rPr>
          <w:rFonts w:ascii="Times New Roman" w:hAnsi="Times New Roman" w:cs="Times New Roman"/>
          <w:bCs/>
        </w:rPr>
        <w:t>) szak, katonai pénzügyi specializáció</w:t>
      </w:r>
    </w:p>
    <w:p w:rsidR="00782188" w:rsidRPr="006A233B" w:rsidRDefault="00782188" w:rsidP="00980876">
      <w:pPr>
        <w:widowControl w:val="0"/>
        <w:numPr>
          <w:ilvl w:val="0"/>
          <w:numId w:val="506"/>
        </w:numPr>
        <w:tabs>
          <w:tab w:val="num" w:pos="567"/>
        </w:tabs>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bCs/>
        </w:rPr>
        <w:t xml:space="preserve">Az oktatásért felelős oktatási szervezeti egység megnevezése: </w:t>
      </w:r>
      <w:r w:rsidRPr="006A233B">
        <w:rPr>
          <w:rFonts w:ascii="Times New Roman" w:hAnsi="Times New Roman" w:cs="Times New Roman"/>
          <w:bCs/>
        </w:rPr>
        <w:t>NKE HHK Had</w:t>
      </w:r>
      <w:r>
        <w:rPr>
          <w:rFonts w:ascii="Times New Roman" w:hAnsi="Times New Roman" w:cs="Times New Roman"/>
          <w:bCs/>
        </w:rPr>
        <w:t>táp, Pénzügyi és Katonai Közlekedési Tanszék</w:t>
      </w:r>
    </w:p>
    <w:p w:rsidR="00782188" w:rsidRPr="006A233B" w:rsidRDefault="00782188" w:rsidP="00980876">
      <w:pPr>
        <w:widowControl w:val="0"/>
        <w:numPr>
          <w:ilvl w:val="0"/>
          <w:numId w:val="506"/>
        </w:numPr>
        <w:tabs>
          <w:tab w:val="num" w:pos="567"/>
        </w:tabs>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bCs/>
        </w:rPr>
        <w:t>A tantárgyfelelős oktató neve, beosztása, tudományos fokozata:</w:t>
      </w:r>
      <w:r w:rsidRPr="006A233B">
        <w:rPr>
          <w:rFonts w:ascii="Times New Roman" w:eastAsia="Times New Roman" w:hAnsi="Times New Roman" w:cs="Times New Roman"/>
          <w:bCs/>
        </w:rPr>
        <w:t xml:space="preserve"> </w:t>
      </w:r>
      <w:r>
        <w:rPr>
          <w:rFonts w:ascii="Times New Roman" w:hAnsi="Times New Roman" w:cs="Times New Roman"/>
          <w:bCs/>
        </w:rPr>
        <w:t>Dr. Pap Andrea, egyetemi docens, (PhD)</w:t>
      </w:r>
    </w:p>
    <w:p w:rsidR="00782188" w:rsidRPr="006A233B" w:rsidRDefault="00782188" w:rsidP="00980876">
      <w:pPr>
        <w:widowControl w:val="0"/>
        <w:numPr>
          <w:ilvl w:val="0"/>
          <w:numId w:val="506"/>
        </w:numPr>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bCs/>
        </w:rPr>
        <w:t>A tanórák száma és típusa</w:t>
      </w:r>
    </w:p>
    <w:p w:rsidR="00782188" w:rsidRPr="00843EB7" w:rsidRDefault="00782188" w:rsidP="00980876">
      <w:pPr>
        <w:widowControl w:val="0"/>
        <w:numPr>
          <w:ilvl w:val="1"/>
          <w:numId w:val="506"/>
        </w:numPr>
        <w:tabs>
          <w:tab w:val="clear" w:pos="3977"/>
          <w:tab w:val="num" w:pos="709"/>
          <w:tab w:val="num" w:pos="2069"/>
        </w:tabs>
        <w:spacing w:before="120" w:after="120" w:line="240" w:lineRule="auto"/>
        <w:ind w:left="851" w:hanging="425"/>
        <w:jc w:val="both"/>
        <w:rPr>
          <w:rFonts w:ascii="Times New Roman" w:eastAsia="Times New Roman" w:hAnsi="Times New Roman" w:cs="Times New Roman"/>
          <w:bCs/>
        </w:rPr>
      </w:pPr>
      <w:r w:rsidRPr="006A233B">
        <w:rPr>
          <w:rFonts w:ascii="Times New Roman" w:eastAsia="Times New Roman" w:hAnsi="Times New Roman" w:cs="Times New Roman"/>
          <w:bCs/>
        </w:rPr>
        <w:t>össz óraszám/félév:</w:t>
      </w:r>
      <w:r>
        <w:rPr>
          <w:rFonts w:ascii="Times New Roman" w:eastAsia="Times New Roman" w:hAnsi="Times New Roman" w:cs="Times New Roman"/>
          <w:bCs/>
        </w:rPr>
        <w:t xml:space="preserve"> 28</w:t>
      </w:r>
    </w:p>
    <w:p w:rsidR="00782188" w:rsidRPr="006A233B" w:rsidRDefault="00782188" w:rsidP="00980876">
      <w:pPr>
        <w:widowControl w:val="0"/>
        <w:numPr>
          <w:ilvl w:val="2"/>
          <w:numId w:val="506"/>
        </w:numPr>
        <w:tabs>
          <w:tab w:val="num" w:pos="709"/>
          <w:tab w:val="num" w:pos="1134"/>
        </w:tabs>
        <w:spacing w:before="120" w:after="120" w:line="240" w:lineRule="auto"/>
        <w:ind w:left="993" w:hanging="425"/>
        <w:jc w:val="both"/>
        <w:rPr>
          <w:rFonts w:ascii="Times New Roman" w:eastAsia="Times New Roman" w:hAnsi="Times New Roman" w:cs="Times New Roman"/>
          <w:bCs/>
        </w:rPr>
      </w:pPr>
      <w:r w:rsidRPr="006A233B">
        <w:rPr>
          <w:rFonts w:ascii="Times New Roman" w:eastAsia="Times New Roman" w:hAnsi="Times New Roman" w:cs="Times New Roman"/>
          <w:bCs/>
        </w:rPr>
        <w:t xml:space="preserve">nappali munkarend: </w:t>
      </w:r>
      <w:r w:rsidRPr="00843EB7">
        <w:rPr>
          <w:rFonts w:ascii="Times New Roman" w:eastAsia="Times New Roman" w:hAnsi="Times New Roman" w:cs="Times New Roman"/>
          <w:bCs/>
        </w:rPr>
        <w:t>(</w:t>
      </w:r>
      <w:r>
        <w:rPr>
          <w:rFonts w:ascii="Times New Roman" w:eastAsia="Times New Roman" w:hAnsi="Times New Roman" w:cs="Times New Roman"/>
          <w:bCs/>
        </w:rPr>
        <w:t>14</w:t>
      </w:r>
      <w:r w:rsidRPr="00843EB7">
        <w:rPr>
          <w:rFonts w:ascii="Times New Roman" w:eastAsia="Times New Roman" w:hAnsi="Times New Roman" w:cs="Times New Roman"/>
          <w:bCs/>
        </w:rPr>
        <w:t xml:space="preserve"> EA + 0 SZ + </w:t>
      </w:r>
      <w:r>
        <w:rPr>
          <w:rFonts w:ascii="Times New Roman" w:eastAsia="Times New Roman" w:hAnsi="Times New Roman" w:cs="Times New Roman"/>
          <w:bCs/>
        </w:rPr>
        <w:t>1</w:t>
      </w:r>
      <w:r w:rsidRPr="00843EB7">
        <w:rPr>
          <w:rFonts w:ascii="Times New Roman" w:eastAsia="Times New Roman" w:hAnsi="Times New Roman" w:cs="Times New Roman"/>
          <w:bCs/>
        </w:rPr>
        <w:t>4 GY)</w:t>
      </w:r>
    </w:p>
    <w:p w:rsidR="00782188" w:rsidRPr="006A233B" w:rsidRDefault="00782188" w:rsidP="00980876">
      <w:pPr>
        <w:widowControl w:val="0"/>
        <w:numPr>
          <w:ilvl w:val="2"/>
          <w:numId w:val="506"/>
        </w:numPr>
        <w:tabs>
          <w:tab w:val="num" w:pos="709"/>
          <w:tab w:val="num" w:pos="1134"/>
        </w:tabs>
        <w:spacing w:before="120" w:after="120" w:line="240" w:lineRule="auto"/>
        <w:ind w:left="993" w:hanging="425"/>
        <w:jc w:val="both"/>
        <w:rPr>
          <w:rFonts w:ascii="Times New Roman" w:eastAsia="Times New Roman" w:hAnsi="Times New Roman" w:cs="Times New Roman"/>
          <w:bCs/>
        </w:rPr>
      </w:pPr>
      <w:r w:rsidRPr="006A233B">
        <w:rPr>
          <w:rFonts w:ascii="Times New Roman" w:eastAsia="Times New Roman" w:hAnsi="Times New Roman" w:cs="Times New Roman"/>
          <w:bCs/>
        </w:rPr>
        <w:t xml:space="preserve">levelező munkarend: </w:t>
      </w:r>
      <w:r>
        <w:rPr>
          <w:rFonts w:ascii="Times New Roman" w:eastAsia="Times New Roman" w:hAnsi="Times New Roman" w:cs="Times New Roman"/>
          <w:bCs/>
        </w:rPr>
        <w:t>-</w:t>
      </w:r>
    </w:p>
    <w:p w:rsidR="00782188" w:rsidRPr="00843EB7" w:rsidRDefault="00782188" w:rsidP="00980876">
      <w:pPr>
        <w:widowControl w:val="0"/>
        <w:numPr>
          <w:ilvl w:val="1"/>
          <w:numId w:val="506"/>
        </w:numPr>
        <w:tabs>
          <w:tab w:val="clear" w:pos="3977"/>
          <w:tab w:val="num" w:pos="709"/>
          <w:tab w:val="num" w:pos="2069"/>
        </w:tabs>
        <w:spacing w:before="120" w:after="120" w:line="240" w:lineRule="auto"/>
        <w:ind w:left="851" w:hanging="425"/>
        <w:jc w:val="both"/>
        <w:rPr>
          <w:rFonts w:ascii="Times New Roman" w:eastAsia="Times New Roman" w:hAnsi="Times New Roman" w:cs="Times New Roman"/>
          <w:bCs/>
        </w:rPr>
      </w:pPr>
      <w:r w:rsidRPr="006A233B">
        <w:rPr>
          <w:rFonts w:ascii="Times New Roman" w:eastAsia="Times New Roman" w:hAnsi="Times New Roman" w:cs="Times New Roman"/>
          <w:bCs/>
        </w:rPr>
        <w:t xml:space="preserve">heti óraszám - nappali munkarend: </w:t>
      </w:r>
      <w:r>
        <w:rPr>
          <w:rFonts w:ascii="Times New Roman" w:eastAsia="Times New Roman" w:hAnsi="Times New Roman" w:cs="Times New Roman"/>
          <w:bCs/>
        </w:rPr>
        <w:t>2</w:t>
      </w:r>
    </w:p>
    <w:p w:rsidR="00782188" w:rsidRPr="00C810AF" w:rsidRDefault="00782188" w:rsidP="00980876">
      <w:pPr>
        <w:widowControl w:val="0"/>
        <w:numPr>
          <w:ilvl w:val="1"/>
          <w:numId w:val="506"/>
        </w:numPr>
        <w:tabs>
          <w:tab w:val="clear" w:pos="3977"/>
          <w:tab w:val="num" w:pos="709"/>
          <w:tab w:val="num" w:pos="2069"/>
        </w:tabs>
        <w:spacing w:before="120" w:after="120" w:line="240" w:lineRule="auto"/>
        <w:ind w:left="851" w:hanging="425"/>
        <w:jc w:val="both"/>
        <w:rPr>
          <w:rFonts w:ascii="Times New Roman" w:eastAsia="Times New Roman" w:hAnsi="Times New Roman" w:cs="Times New Roman"/>
          <w:bCs/>
        </w:rPr>
      </w:pPr>
      <w:r w:rsidRPr="006A233B">
        <w:rPr>
          <w:rFonts w:ascii="Times New Roman" w:hAnsi="Times New Roman" w:cs="Times New Roman"/>
        </w:rPr>
        <w:t>Az ismeret átadásában alkalmazandó további sajátos módok, jellemzők:</w:t>
      </w:r>
      <w:r>
        <w:rPr>
          <w:rFonts w:ascii="Times New Roman" w:hAnsi="Times New Roman" w:cs="Times New Roman"/>
          <w:i/>
        </w:rPr>
        <w:t xml:space="preserve"> </w:t>
      </w:r>
      <w:r w:rsidRPr="00C810AF">
        <w:rPr>
          <w:rFonts w:ascii="Times New Roman" w:hAnsi="Times New Roman" w:cs="Times New Roman"/>
        </w:rPr>
        <w:t>Az ismeretek feldolgozása vegyes tanulási program (blended learning) alapján történik.</w:t>
      </w:r>
    </w:p>
    <w:p w:rsidR="00782188" w:rsidRPr="006A233B" w:rsidRDefault="00782188" w:rsidP="00980876">
      <w:pPr>
        <w:widowControl w:val="0"/>
        <w:numPr>
          <w:ilvl w:val="0"/>
          <w:numId w:val="506"/>
        </w:numPr>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bCs/>
        </w:rPr>
        <w:t>A tantárgy szakmai tartalma (magyarul):</w:t>
      </w:r>
      <w:r w:rsidRPr="006A233B">
        <w:rPr>
          <w:rFonts w:ascii="Times New Roman" w:eastAsia="Times New Roman" w:hAnsi="Times New Roman" w:cs="Times New Roman"/>
          <w:bCs/>
        </w:rPr>
        <w:t xml:space="preserve"> </w:t>
      </w:r>
      <w:r w:rsidRPr="00E4413A">
        <w:rPr>
          <w:rFonts w:ascii="Times New Roman" w:eastAsia="Times New Roman" w:hAnsi="Times New Roman" w:cs="Times New Roman"/>
          <w:bCs/>
        </w:rPr>
        <w:t>Megismertetni a h</w:t>
      </w:r>
      <w:r>
        <w:rPr>
          <w:rFonts w:ascii="Times New Roman" w:eastAsia="Times New Roman" w:hAnsi="Times New Roman" w:cs="Times New Roman"/>
          <w:bCs/>
        </w:rPr>
        <w:t>onvéd tisztjelöltekkel a vállalatok működését támogató informatikai rendszereket, különös tekintettel azok értékteremtő folyamataira.</w:t>
      </w:r>
    </w:p>
    <w:p w:rsidR="00782188" w:rsidRPr="003A66CF" w:rsidRDefault="00782188" w:rsidP="00782188">
      <w:pPr>
        <w:widowControl w:val="0"/>
        <w:spacing w:before="120" w:after="120" w:line="240" w:lineRule="auto"/>
        <w:ind w:left="426"/>
        <w:jc w:val="both"/>
        <w:rPr>
          <w:rFonts w:ascii="Times New Roman" w:eastAsia="Times New Roman" w:hAnsi="Times New Roman" w:cs="Times New Roman"/>
          <w:bCs/>
          <w:lang w:val="en-GB"/>
        </w:rPr>
      </w:pPr>
      <w:r w:rsidRPr="006A233B">
        <w:rPr>
          <w:rFonts w:ascii="Times New Roman" w:eastAsia="Times New Roman" w:hAnsi="Times New Roman" w:cs="Times New Roman"/>
          <w:b/>
          <w:bCs/>
        </w:rPr>
        <w:t>A tantárgy szakmai tartalma (angolul) (</w:t>
      </w:r>
      <w:r w:rsidRPr="006A233B">
        <w:rPr>
          <w:rFonts w:ascii="Times New Roman" w:eastAsia="Times New Roman" w:hAnsi="Times New Roman" w:cs="Times New Roman"/>
          <w:b/>
          <w:bCs/>
          <w:lang w:val="en-US"/>
        </w:rPr>
        <w:t>Course description</w:t>
      </w:r>
      <w:r w:rsidRPr="006A233B">
        <w:rPr>
          <w:rFonts w:ascii="Times New Roman" w:eastAsia="Times New Roman" w:hAnsi="Times New Roman" w:cs="Times New Roman"/>
          <w:b/>
          <w:bCs/>
        </w:rPr>
        <w:t xml:space="preserve">): </w:t>
      </w:r>
      <w:r w:rsidRPr="00265024">
        <w:rPr>
          <w:rFonts w:ascii="Times New Roman" w:eastAsia="Times New Roman" w:hAnsi="Times New Roman" w:cs="Times New Roman"/>
          <w:bCs/>
        </w:rPr>
        <w:t>Introduce the IT systems supporting the companies operations to the officer cadets, especially their value creation processes.</w:t>
      </w:r>
    </w:p>
    <w:p w:rsidR="00782188" w:rsidRPr="006A233B" w:rsidRDefault="00782188" w:rsidP="00980876">
      <w:pPr>
        <w:pStyle w:val="Listaszerbekezds"/>
        <w:widowControl w:val="0"/>
        <w:numPr>
          <w:ilvl w:val="0"/>
          <w:numId w:val="506"/>
        </w:numPr>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bCs/>
        </w:rPr>
        <w:t>Elérendő kompetenciák (magyarul):</w:t>
      </w:r>
      <w:r w:rsidRPr="006A233B">
        <w:rPr>
          <w:rFonts w:ascii="Times New Roman" w:eastAsia="Times New Roman" w:hAnsi="Times New Roman" w:cs="Times New Roman"/>
          <w:bCs/>
        </w:rPr>
        <w:t xml:space="preserve"> </w:t>
      </w:r>
    </w:p>
    <w:p w:rsidR="00782188" w:rsidRPr="00DC607B" w:rsidRDefault="00782188" w:rsidP="00782188">
      <w:pPr>
        <w:widowControl w:val="0"/>
        <w:spacing w:after="0" w:line="240" w:lineRule="auto"/>
        <w:ind w:left="425"/>
        <w:jc w:val="both"/>
        <w:rPr>
          <w:rFonts w:ascii="Times New Roman" w:eastAsia="Times New Roman" w:hAnsi="Times New Roman" w:cs="Times New Roman"/>
          <w:bCs/>
        </w:rPr>
      </w:pPr>
      <w:r w:rsidRPr="00DC607B">
        <w:rPr>
          <w:rFonts w:ascii="Times New Roman" w:eastAsia="Times New Roman" w:hAnsi="Times New Roman" w:cs="Times New Roman"/>
          <w:b/>
          <w:bCs/>
        </w:rPr>
        <w:t>Tudása:</w:t>
      </w:r>
    </w:p>
    <w:p w:rsidR="00782188" w:rsidRPr="00BD79E9" w:rsidRDefault="00782188" w:rsidP="00782188">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r>
      <w:r w:rsidRPr="00BD79E9">
        <w:rPr>
          <w:rFonts w:ascii="Times New Roman" w:eastAsia="Times New Roman" w:hAnsi="Times New Roman"/>
          <w:bCs/>
        </w:rPr>
        <w:t>Ismeri a gazdaság és a piacok működésének alapjait, törvényszerűségeit.</w:t>
      </w:r>
    </w:p>
    <w:p w:rsidR="00782188" w:rsidRPr="00BD79E9" w:rsidRDefault="00782188" w:rsidP="00782188">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r>
      <w:r w:rsidRPr="00BD79E9">
        <w:rPr>
          <w:rFonts w:ascii="Times New Roman" w:eastAsia="Times New Roman" w:hAnsi="Times New Roman"/>
          <w:bCs/>
        </w:rPr>
        <w:t>Mélyrehatóan ismeri a katonai logisztikai gazdálkodás feladatait, valamint annak eszköz- és információs rendszerét.</w:t>
      </w:r>
    </w:p>
    <w:p w:rsidR="00782188" w:rsidRPr="00BD79E9" w:rsidRDefault="00782188" w:rsidP="00782188">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r>
      <w:r w:rsidRPr="00BD79E9">
        <w:rPr>
          <w:rFonts w:ascii="Times New Roman" w:eastAsia="Times New Roman" w:hAnsi="Times New Roman"/>
          <w:bCs/>
        </w:rPr>
        <w:t>Ismeri a pénzügyi és számviteli nyilvántartó rendszer működését.</w:t>
      </w:r>
    </w:p>
    <w:p w:rsidR="00782188" w:rsidRPr="00DC607B" w:rsidRDefault="00782188" w:rsidP="00782188">
      <w:pPr>
        <w:widowControl w:val="0"/>
        <w:spacing w:before="120" w:after="0" w:line="240" w:lineRule="auto"/>
        <w:ind w:left="425"/>
        <w:jc w:val="both"/>
        <w:rPr>
          <w:rFonts w:ascii="Times New Roman" w:eastAsia="Times New Roman" w:hAnsi="Times New Roman" w:cs="Times New Roman"/>
          <w:bCs/>
        </w:rPr>
      </w:pPr>
      <w:r w:rsidRPr="00DC607B">
        <w:rPr>
          <w:rFonts w:ascii="Times New Roman" w:eastAsia="Times New Roman" w:hAnsi="Times New Roman" w:cs="Times New Roman"/>
          <w:b/>
          <w:bCs/>
        </w:rPr>
        <w:t>Képességei:</w:t>
      </w:r>
    </w:p>
    <w:p w:rsidR="00782188" w:rsidRPr="00BD79E9" w:rsidRDefault="00782188" w:rsidP="00782188">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r>
      <w:r w:rsidRPr="00BD79E9">
        <w:rPr>
          <w:rFonts w:ascii="Times New Roman" w:eastAsia="Times New Roman" w:hAnsi="Times New Roman"/>
          <w:bCs/>
        </w:rPr>
        <w:t>Képes a szakterületén alkalmazott nyilvántartó és vezetéstámogató informatikai rendszerek használatára.</w:t>
      </w:r>
    </w:p>
    <w:p w:rsidR="00782188" w:rsidRPr="00BD79E9" w:rsidRDefault="00782188" w:rsidP="00782188">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r>
      <w:r w:rsidRPr="00BD79E9">
        <w:rPr>
          <w:rFonts w:ascii="Times New Roman" w:eastAsia="Times New Roman" w:hAnsi="Times New Roman"/>
          <w:bCs/>
        </w:rPr>
        <w:t>Képes pontos és precíz logisztikai, illetve gazdálkodási számvetéseket készíteni.</w:t>
      </w:r>
    </w:p>
    <w:p w:rsidR="00782188" w:rsidRPr="00BD79E9" w:rsidRDefault="00782188" w:rsidP="00782188">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r>
      <w:r w:rsidRPr="00BD79E9">
        <w:rPr>
          <w:rFonts w:ascii="Times New Roman" w:eastAsia="Times New Roman" w:hAnsi="Times New Roman"/>
          <w:bCs/>
        </w:rPr>
        <w:t>Képes a pénzügyi és számviteli nyilvántartó rendszer szakszerű kezelésére.</w:t>
      </w:r>
    </w:p>
    <w:p w:rsidR="00782188" w:rsidRPr="00BD79E9" w:rsidRDefault="00782188" w:rsidP="00782188">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r>
      <w:r w:rsidRPr="00BD79E9">
        <w:rPr>
          <w:rFonts w:ascii="Times New Roman" w:eastAsia="Times New Roman" w:hAnsi="Times New Roman"/>
          <w:bCs/>
        </w:rPr>
        <w:t>Képes szakterületén újító és innovatív ötletek megfogalmazására.</w:t>
      </w:r>
    </w:p>
    <w:p w:rsidR="00782188" w:rsidRPr="00DC607B" w:rsidRDefault="00782188" w:rsidP="00782188">
      <w:pPr>
        <w:widowControl w:val="0"/>
        <w:spacing w:before="120" w:after="0" w:line="240" w:lineRule="auto"/>
        <w:ind w:left="425"/>
        <w:jc w:val="both"/>
        <w:rPr>
          <w:rFonts w:ascii="Times New Roman" w:eastAsia="Times New Roman" w:hAnsi="Times New Roman" w:cs="Times New Roman"/>
          <w:bCs/>
        </w:rPr>
      </w:pPr>
      <w:r w:rsidRPr="00DC607B">
        <w:rPr>
          <w:rFonts w:ascii="Times New Roman" w:eastAsia="Times New Roman" w:hAnsi="Times New Roman" w:cs="Times New Roman"/>
          <w:b/>
          <w:bCs/>
        </w:rPr>
        <w:t>Attitűdje:</w:t>
      </w:r>
      <w:r w:rsidRPr="00DC607B">
        <w:rPr>
          <w:rFonts w:ascii="Times New Roman" w:eastAsia="Times New Roman" w:hAnsi="Times New Roman" w:cs="Times New Roman"/>
          <w:bCs/>
        </w:rPr>
        <w:t xml:space="preserve"> </w:t>
      </w:r>
    </w:p>
    <w:p w:rsidR="00782188" w:rsidRPr="00BD79E9" w:rsidRDefault="00782188" w:rsidP="00782188">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r>
      <w:r w:rsidRPr="00BD79E9">
        <w:rPr>
          <w:rFonts w:ascii="Times New Roman" w:eastAsia="Times New Roman" w:hAnsi="Times New Roman"/>
          <w:bCs/>
        </w:rPr>
        <w:t>Nyitott szakterülete új eredményei, innovációi iránt, törekszik azok megismerésére, megértésére és alkalmazására, elkötelezett önmaga folyamatos képzésére.</w:t>
      </w:r>
    </w:p>
    <w:p w:rsidR="00782188" w:rsidRPr="00BD79E9" w:rsidRDefault="00782188" w:rsidP="00782188">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r>
      <w:r w:rsidRPr="00BD79E9">
        <w:rPr>
          <w:rFonts w:ascii="Times New Roman" w:eastAsia="Times New Roman" w:hAnsi="Times New Roman"/>
          <w:bCs/>
        </w:rPr>
        <w:t xml:space="preserve">A minőségi szakmai munkavégzés iránt elkötelezett, azt a pontosságra való törekvés </w:t>
      </w:r>
      <w:r w:rsidRPr="00BD79E9">
        <w:rPr>
          <w:rFonts w:ascii="Times New Roman" w:eastAsia="Times New Roman" w:hAnsi="Times New Roman"/>
          <w:bCs/>
        </w:rPr>
        <w:lastRenderedPageBreak/>
        <w:t>jellemzi.</w:t>
      </w:r>
    </w:p>
    <w:p w:rsidR="00782188" w:rsidRPr="00BD79E9" w:rsidRDefault="00782188" w:rsidP="00782188">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r>
      <w:r w:rsidRPr="00BD79E9">
        <w:rPr>
          <w:rFonts w:ascii="Times New Roman" w:eastAsia="Times New Roman" w:hAnsi="Times New Roman"/>
          <w:bCs/>
        </w:rPr>
        <w:t>Felismeri a rendszerszintű tevékenységben rejlő értékeket, törekszik a logisztikai tevékenységek közötti kapcsolatok értelmezésére.</w:t>
      </w:r>
    </w:p>
    <w:p w:rsidR="00782188" w:rsidRPr="00BD79E9" w:rsidRDefault="00782188" w:rsidP="00782188">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r>
      <w:r w:rsidRPr="00BD79E9">
        <w:rPr>
          <w:rFonts w:ascii="Times New Roman" w:eastAsia="Times New Roman" w:hAnsi="Times New Roman"/>
          <w:bCs/>
        </w:rPr>
        <w:t>Nyitott a pénzügyeket és számvitelt érintő jelenségek, problémák iránt, elkötelezett a megoldásukat illetően.</w:t>
      </w:r>
    </w:p>
    <w:p w:rsidR="00782188" w:rsidRPr="006A233B" w:rsidRDefault="00782188" w:rsidP="00782188">
      <w:pPr>
        <w:widowControl w:val="0"/>
        <w:spacing w:before="120" w:after="0" w:line="240" w:lineRule="auto"/>
        <w:ind w:left="425"/>
        <w:jc w:val="both"/>
        <w:rPr>
          <w:rFonts w:ascii="Times New Roman" w:eastAsia="Times New Roman" w:hAnsi="Times New Roman" w:cs="Times New Roman"/>
          <w:bCs/>
        </w:rPr>
      </w:pPr>
      <w:r w:rsidRPr="006A233B">
        <w:rPr>
          <w:rFonts w:ascii="Times New Roman" w:eastAsia="Times New Roman" w:hAnsi="Times New Roman" w:cs="Times New Roman"/>
          <w:b/>
          <w:bCs/>
        </w:rPr>
        <w:t>Autonómiája és felelőssége:</w:t>
      </w:r>
    </w:p>
    <w:p w:rsidR="00782188" w:rsidRPr="00BD79E9" w:rsidRDefault="00782188" w:rsidP="00782188">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r>
      <w:r w:rsidRPr="00BD79E9">
        <w:rPr>
          <w:rFonts w:ascii="Times New Roman" w:eastAsia="Times New Roman" w:hAnsi="Times New Roman"/>
          <w:bCs/>
        </w:rPr>
        <w:t>Tisztában van döntéseinek, tevékenységének a műszaki eszközökre, illetve a gazdálkodási fegyelemre gyakorolt hatásaival, következményeivel.</w:t>
      </w:r>
    </w:p>
    <w:p w:rsidR="00782188" w:rsidRPr="00BD79E9" w:rsidRDefault="00782188" w:rsidP="00782188">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r>
      <w:r w:rsidRPr="00BD79E9">
        <w:rPr>
          <w:rFonts w:ascii="Times New Roman" w:eastAsia="Times New Roman" w:hAnsi="Times New Roman"/>
          <w:bCs/>
        </w:rPr>
        <w:t>A gazdálkodás támogató és pénzügyi ellátó referatúra feladatkörébe tartozó gazdálkodási kérdésekben önállóan döntéseket hoz.</w:t>
      </w:r>
    </w:p>
    <w:p w:rsidR="00782188" w:rsidRPr="00F05659" w:rsidRDefault="00782188" w:rsidP="00782188">
      <w:pPr>
        <w:widowControl w:val="0"/>
        <w:spacing w:before="120" w:after="0" w:line="240" w:lineRule="auto"/>
        <w:ind w:left="425"/>
        <w:jc w:val="both"/>
        <w:rPr>
          <w:rFonts w:ascii="Times New Roman" w:eastAsia="Times New Roman" w:hAnsi="Times New Roman" w:cs="Times New Roman"/>
          <w:b/>
          <w:bCs/>
          <w:lang w:val="en-US"/>
        </w:rPr>
      </w:pPr>
      <w:r w:rsidRPr="006A233B">
        <w:rPr>
          <w:rFonts w:ascii="Times New Roman" w:eastAsia="Times New Roman" w:hAnsi="Times New Roman" w:cs="Times New Roman"/>
          <w:b/>
          <w:bCs/>
        </w:rPr>
        <w:t>Elérendő kompetenciák (angolul) (</w:t>
      </w:r>
      <w:r w:rsidRPr="006A233B">
        <w:rPr>
          <w:rFonts w:ascii="Times New Roman" w:eastAsia="Times New Roman" w:hAnsi="Times New Roman" w:cs="Times New Roman"/>
          <w:b/>
          <w:bCs/>
          <w:lang w:val="en-US"/>
        </w:rPr>
        <w:t xml:space="preserve">Competences – English): </w:t>
      </w:r>
    </w:p>
    <w:p w:rsidR="00782188" w:rsidRDefault="00782188" w:rsidP="00782188">
      <w:pPr>
        <w:widowControl w:val="0"/>
        <w:spacing w:before="120" w:after="0" w:line="240" w:lineRule="auto"/>
        <w:ind w:left="425"/>
        <w:jc w:val="both"/>
        <w:rPr>
          <w:rFonts w:ascii="Times New Roman" w:eastAsia="Times New Roman" w:hAnsi="Times New Roman" w:cs="Times New Roman"/>
          <w:lang w:val="en-GB"/>
        </w:rPr>
      </w:pPr>
      <w:r w:rsidRPr="006A233B">
        <w:rPr>
          <w:rFonts w:ascii="Times New Roman" w:eastAsia="Times New Roman" w:hAnsi="Times New Roman" w:cs="Times New Roman"/>
          <w:b/>
          <w:lang w:val="en-GB"/>
        </w:rPr>
        <w:t>Knowledge</w:t>
      </w:r>
      <w:r w:rsidRPr="006A233B">
        <w:rPr>
          <w:rFonts w:ascii="Times New Roman" w:eastAsia="Times New Roman" w:hAnsi="Times New Roman" w:cs="Times New Roman"/>
          <w:lang w:val="en-GB"/>
        </w:rPr>
        <w:t xml:space="preserve">: </w:t>
      </w:r>
    </w:p>
    <w:p w:rsidR="00782188" w:rsidRPr="00BD79E9" w:rsidRDefault="00782188" w:rsidP="00782188">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r>
      <w:r w:rsidRPr="00BD79E9">
        <w:rPr>
          <w:rFonts w:ascii="Times New Roman" w:eastAsia="Times New Roman" w:hAnsi="Times New Roman"/>
          <w:bCs/>
        </w:rPr>
        <w:t>Knows the basics of the operation of the economy and the markets.</w:t>
      </w:r>
    </w:p>
    <w:p w:rsidR="00782188" w:rsidRPr="00BD79E9" w:rsidRDefault="00782188" w:rsidP="00782188">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r>
      <w:r w:rsidRPr="00BD79E9">
        <w:rPr>
          <w:rFonts w:ascii="Times New Roman" w:eastAsia="Times New Roman" w:hAnsi="Times New Roman"/>
          <w:bCs/>
        </w:rPr>
        <w:t>Has in-depth knowledge of the tasks of military logistics management and its asset and information system.</w:t>
      </w:r>
    </w:p>
    <w:p w:rsidR="00782188" w:rsidRPr="00BD79E9" w:rsidRDefault="00782188" w:rsidP="00782188">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r>
      <w:r w:rsidRPr="00BD79E9">
        <w:rPr>
          <w:rFonts w:ascii="Times New Roman" w:eastAsia="Times New Roman" w:hAnsi="Times New Roman"/>
          <w:bCs/>
        </w:rPr>
        <w:t>Knows the operation of the financial and accounting system.</w:t>
      </w:r>
    </w:p>
    <w:p w:rsidR="00782188" w:rsidRDefault="00782188" w:rsidP="00782188">
      <w:pPr>
        <w:widowControl w:val="0"/>
        <w:spacing w:before="120" w:after="0" w:line="240" w:lineRule="auto"/>
        <w:ind w:left="425"/>
        <w:jc w:val="both"/>
        <w:rPr>
          <w:rFonts w:ascii="Times New Roman" w:eastAsia="Times New Roman" w:hAnsi="Times New Roman" w:cs="Times New Roman"/>
          <w:lang w:val="en-GB"/>
        </w:rPr>
      </w:pPr>
      <w:r w:rsidRPr="006A233B">
        <w:rPr>
          <w:rFonts w:ascii="Times New Roman" w:eastAsia="Times New Roman" w:hAnsi="Times New Roman" w:cs="Times New Roman"/>
          <w:b/>
          <w:lang w:val="en-GB"/>
        </w:rPr>
        <w:t>Capabilities</w:t>
      </w:r>
      <w:r w:rsidRPr="006A233B">
        <w:rPr>
          <w:rFonts w:ascii="Times New Roman" w:eastAsia="Times New Roman" w:hAnsi="Times New Roman" w:cs="Times New Roman"/>
          <w:lang w:val="en-GB"/>
        </w:rPr>
        <w:t xml:space="preserve">: </w:t>
      </w:r>
    </w:p>
    <w:p w:rsidR="00782188" w:rsidRPr="00BD79E9" w:rsidRDefault="00782188" w:rsidP="00782188">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r>
      <w:r w:rsidRPr="00BD79E9">
        <w:rPr>
          <w:rFonts w:ascii="Times New Roman" w:eastAsia="Times New Roman" w:hAnsi="Times New Roman"/>
          <w:bCs/>
        </w:rPr>
        <w:t>Able to use the accounting and management information systems used in his/her professional area.</w:t>
      </w:r>
    </w:p>
    <w:p w:rsidR="00782188" w:rsidRPr="00BD79E9" w:rsidRDefault="00782188" w:rsidP="00782188">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r>
      <w:r w:rsidRPr="00BD79E9">
        <w:rPr>
          <w:rFonts w:ascii="Times New Roman" w:eastAsia="Times New Roman" w:hAnsi="Times New Roman"/>
          <w:bCs/>
        </w:rPr>
        <w:t>Able to make accurate logistic and management calculations.</w:t>
      </w:r>
    </w:p>
    <w:p w:rsidR="00782188" w:rsidRPr="00BD79E9" w:rsidRDefault="00782188" w:rsidP="00782188">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r>
      <w:r w:rsidRPr="00BD79E9">
        <w:rPr>
          <w:rFonts w:ascii="Times New Roman" w:eastAsia="Times New Roman" w:hAnsi="Times New Roman"/>
          <w:bCs/>
        </w:rPr>
        <w:t>Able to operate the financial and accounting system in a professional manner.</w:t>
      </w:r>
    </w:p>
    <w:p w:rsidR="00782188" w:rsidRPr="00BD79E9" w:rsidRDefault="00782188" w:rsidP="00782188">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r>
      <w:r w:rsidRPr="00BD79E9">
        <w:rPr>
          <w:rFonts w:ascii="Times New Roman" w:eastAsia="Times New Roman" w:hAnsi="Times New Roman"/>
          <w:bCs/>
        </w:rPr>
        <w:t>Able to formulate innovative and new ideas in his/her professional field.</w:t>
      </w:r>
    </w:p>
    <w:p w:rsidR="00782188" w:rsidRDefault="00782188" w:rsidP="00782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425"/>
        <w:jc w:val="both"/>
        <w:rPr>
          <w:rFonts w:ascii="Times New Roman" w:eastAsia="Times New Roman" w:hAnsi="Times New Roman" w:cs="Times New Roman"/>
          <w:lang w:val="en-GB"/>
        </w:rPr>
      </w:pPr>
      <w:r w:rsidRPr="006A233B">
        <w:rPr>
          <w:rFonts w:ascii="Times New Roman" w:eastAsia="Times New Roman" w:hAnsi="Times New Roman" w:cs="Times New Roman"/>
          <w:b/>
          <w:lang w:val="en-GB"/>
        </w:rPr>
        <w:t>Attitude:</w:t>
      </w:r>
      <w:r w:rsidRPr="006A233B">
        <w:rPr>
          <w:rFonts w:ascii="Times New Roman" w:eastAsia="Times New Roman" w:hAnsi="Times New Roman" w:cs="Times New Roman"/>
          <w:lang w:val="en-GB"/>
        </w:rPr>
        <w:t xml:space="preserve"> </w:t>
      </w:r>
    </w:p>
    <w:p w:rsidR="00782188" w:rsidRPr="00BD79E9" w:rsidRDefault="00782188" w:rsidP="00782188">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r>
      <w:r w:rsidRPr="00BD79E9">
        <w:rPr>
          <w:rFonts w:ascii="Times New Roman" w:eastAsia="Times New Roman" w:hAnsi="Times New Roman"/>
          <w:bCs/>
        </w:rPr>
        <w:t>In his/her specialization he/she is open to new achievements and innovations, strives to know, understand and apply them, and committed to continous self-education.</w:t>
      </w:r>
    </w:p>
    <w:p w:rsidR="00782188" w:rsidRPr="00BD79E9" w:rsidRDefault="00782188" w:rsidP="00782188">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r>
      <w:r w:rsidRPr="00BD79E9">
        <w:rPr>
          <w:rFonts w:ascii="Times New Roman" w:eastAsia="Times New Roman" w:hAnsi="Times New Roman"/>
          <w:bCs/>
        </w:rPr>
        <w:t>His/Her professional work is characterized by high accuracy and quality.</w:t>
      </w:r>
    </w:p>
    <w:p w:rsidR="00782188" w:rsidRPr="00BD79E9" w:rsidRDefault="00782188" w:rsidP="00782188">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r>
      <w:r w:rsidRPr="00BD79E9">
        <w:rPr>
          <w:rFonts w:ascii="Times New Roman" w:eastAsia="Times New Roman" w:hAnsi="Times New Roman"/>
          <w:bCs/>
        </w:rPr>
        <w:t>He/She recognizes the value of systemic activities and seeks to understand the relationships among logistics procedures.</w:t>
      </w:r>
    </w:p>
    <w:p w:rsidR="00782188" w:rsidRDefault="00782188" w:rsidP="00782188">
      <w:pPr>
        <w:widowControl w:val="0"/>
        <w:spacing w:before="120" w:after="0" w:line="240" w:lineRule="auto"/>
        <w:ind w:left="425"/>
        <w:jc w:val="both"/>
        <w:rPr>
          <w:rFonts w:ascii="Times New Roman" w:eastAsia="Times New Roman" w:hAnsi="Times New Roman" w:cs="Times New Roman"/>
          <w:b/>
          <w:lang w:val="en-GB"/>
        </w:rPr>
      </w:pPr>
      <w:r w:rsidRPr="006A233B">
        <w:rPr>
          <w:rFonts w:ascii="Times New Roman" w:eastAsia="Times New Roman" w:hAnsi="Times New Roman" w:cs="Times New Roman"/>
          <w:b/>
          <w:lang w:val="en-GB"/>
        </w:rPr>
        <w:t xml:space="preserve">Autonomy and responsibility: </w:t>
      </w:r>
    </w:p>
    <w:p w:rsidR="00782188" w:rsidRPr="00BD79E9" w:rsidRDefault="00782188" w:rsidP="00782188">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r>
      <w:r w:rsidRPr="00BD79E9">
        <w:rPr>
          <w:rFonts w:ascii="Times New Roman" w:eastAsia="Times New Roman" w:hAnsi="Times New Roman"/>
          <w:bCs/>
        </w:rPr>
        <w:t>He</w:t>
      </w:r>
      <w:r>
        <w:rPr>
          <w:rFonts w:ascii="Times New Roman" w:eastAsia="Times New Roman" w:hAnsi="Times New Roman"/>
          <w:bCs/>
        </w:rPr>
        <w:t xml:space="preserve"> </w:t>
      </w:r>
      <w:r w:rsidRPr="00BD79E9">
        <w:rPr>
          <w:rFonts w:ascii="Times New Roman" w:eastAsia="Times New Roman" w:hAnsi="Times New Roman"/>
          <w:bCs/>
        </w:rPr>
        <w:t>/</w:t>
      </w:r>
      <w:r>
        <w:rPr>
          <w:rFonts w:ascii="Times New Roman" w:eastAsia="Times New Roman" w:hAnsi="Times New Roman"/>
          <w:bCs/>
        </w:rPr>
        <w:t xml:space="preserve"> </w:t>
      </w:r>
      <w:r w:rsidRPr="00BD79E9">
        <w:rPr>
          <w:rFonts w:ascii="Times New Roman" w:eastAsia="Times New Roman" w:hAnsi="Times New Roman"/>
          <w:bCs/>
        </w:rPr>
        <w:t>She is aware of the effects and consequences of his / her decisions, activities on technical devices and business discipline.</w:t>
      </w:r>
    </w:p>
    <w:p w:rsidR="00782188" w:rsidRPr="00BD79E9" w:rsidRDefault="00782188" w:rsidP="00782188">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r>
      <w:r w:rsidRPr="00BD79E9">
        <w:rPr>
          <w:rFonts w:ascii="Times New Roman" w:eastAsia="Times New Roman" w:hAnsi="Times New Roman"/>
          <w:bCs/>
        </w:rPr>
        <w:t>He / she makes independent decisions on management issues within the scope of his / her financial management portfolio.</w:t>
      </w:r>
    </w:p>
    <w:p w:rsidR="00782188" w:rsidRPr="000545A2" w:rsidRDefault="00782188" w:rsidP="00980876">
      <w:pPr>
        <w:widowControl w:val="0"/>
        <w:numPr>
          <w:ilvl w:val="0"/>
          <w:numId w:val="506"/>
        </w:numPr>
        <w:tabs>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Előtanulmányi követelmények:</w:t>
      </w:r>
      <w:r>
        <w:rPr>
          <w:rFonts w:ascii="Times New Roman" w:eastAsia="Times New Roman" w:hAnsi="Times New Roman" w:cs="Times New Roman"/>
          <w:bCs/>
        </w:rPr>
        <w:t xml:space="preserve"> –</w:t>
      </w:r>
    </w:p>
    <w:p w:rsidR="00782188" w:rsidRPr="006A233B" w:rsidRDefault="00782188" w:rsidP="00980876">
      <w:pPr>
        <w:widowControl w:val="0"/>
        <w:numPr>
          <w:ilvl w:val="0"/>
          <w:numId w:val="506"/>
        </w:numPr>
        <w:spacing w:before="120" w:after="120" w:line="240" w:lineRule="auto"/>
        <w:ind w:left="426" w:hanging="142"/>
        <w:jc w:val="both"/>
        <w:rPr>
          <w:rFonts w:ascii="Times New Roman" w:eastAsia="Times New Roman" w:hAnsi="Times New Roman" w:cs="Times New Roman"/>
          <w:b/>
          <w:bCs/>
        </w:rPr>
      </w:pPr>
      <w:r w:rsidRPr="006A233B">
        <w:rPr>
          <w:rFonts w:ascii="Times New Roman" w:eastAsia="Times New Roman" w:hAnsi="Times New Roman" w:cs="Times New Roman"/>
          <w:b/>
          <w:bCs/>
        </w:rPr>
        <w:t>A tantárgy tananyagának leírása, tematika. Description of the subject, curriculum (magyarul, angolul - English):</w:t>
      </w:r>
    </w:p>
    <w:p w:rsidR="00782188" w:rsidRPr="00BD79E9" w:rsidRDefault="00782188" w:rsidP="00980876">
      <w:pPr>
        <w:widowControl w:val="0"/>
        <w:numPr>
          <w:ilvl w:val="1"/>
          <w:numId w:val="506"/>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BD79E9">
        <w:rPr>
          <w:rFonts w:ascii="Times New Roman" w:eastAsia="Times New Roman" w:hAnsi="Times New Roman" w:cs="Times New Roman"/>
          <w:kern w:val="2"/>
        </w:rPr>
        <w:t xml:space="preserve">Alapfogalmak (információfeldolgozás, rendszer, információs rendszer). </w:t>
      </w:r>
      <w:r w:rsidRPr="00BD79E9">
        <w:rPr>
          <w:rFonts w:ascii="Times New Roman" w:eastAsia="Times New Roman" w:hAnsi="Times New Roman" w:cs="Times New Roman"/>
          <w:i/>
          <w:kern w:val="2"/>
        </w:rPr>
        <w:t>(Basic concepts (information processing, system, information system.))</w:t>
      </w:r>
    </w:p>
    <w:p w:rsidR="00782188" w:rsidRPr="00BD79E9" w:rsidRDefault="00782188" w:rsidP="00980876">
      <w:pPr>
        <w:widowControl w:val="0"/>
        <w:numPr>
          <w:ilvl w:val="1"/>
          <w:numId w:val="506"/>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BD79E9">
        <w:rPr>
          <w:rFonts w:ascii="Times New Roman" w:eastAsia="Times New Roman" w:hAnsi="Times New Roman" w:cs="Times New Roman"/>
          <w:kern w:val="2"/>
        </w:rPr>
        <w:t xml:space="preserve">A vállalati információs rendszerek bemutatása és szerepük a modern vállalat működésében. </w:t>
      </w:r>
      <w:r w:rsidRPr="00BD79E9">
        <w:rPr>
          <w:rFonts w:ascii="Times New Roman" w:eastAsia="Times New Roman" w:hAnsi="Times New Roman" w:cs="Times New Roman"/>
          <w:i/>
          <w:kern w:val="2"/>
        </w:rPr>
        <w:t>(Introducing enterprise information systems and their role in the operation of a modern enterprise.)</w:t>
      </w:r>
    </w:p>
    <w:p w:rsidR="00782188" w:rsidRPr="00BD79E9" w:rsidRDefault="00782188" w:rsidP="00980876">
      <w:pPr>
        <w:widowControl w:val="0"/>
        <w:numPr>
          <w:ilvl w:val="1"/>
          <w:numId w:val="506"/>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BD79E9">
        <w:rPr>
          <w:rFonts w:ascii="Times New Roman" w:eastAsia="Times New Roman" w:hAnsi="Times New Roman" w:cs="Times New Roman"/>
          <w:kern w:val="2"/>
        </w:rPr>
        <w:t xml:space="preserve">A vállalati információs rendszerek típusai. </w:t>
      </w:r>
      <w:r w:rsidRPr="00BD79E9">
        <w:rPr>
          <w:rFonts w:ascii="Times New Roman" w:eastAsia="Times New Roman" w:hAnsi="Times New Roman" w:cs="Times New Roman"/>
          <w:i/>
          <w:kern w:val="2"/>
        </w:rPr>
        <w:t>(Types of enterprise information systems.)</w:t>
      </w:r>
    </w:p>
    <w:p w:rsidR="00782188" w:rsidRPr="00BD79E9" w:rsidRDefault="00782188" w:rsidP="00980876">
      <w:pPr>
        <w:widowControl w:val="0"/>
        <w:numPr>
          <w:ilvl w:val="1"/>
          <w:numId w:val="506"/>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BD79E9">
        <w:rPr>
          <w:rFonts w:ascii="Times New Roman" w:eastAsia="Times New Roman" w:hAnsi="Times New Roman" w:cs="Times New Roman"/>
          <w:kern w:val="2"/>
        </w:rPr>
        <w:t xml:space="preserve">A standard vállalatirányítási rendszerek fogalma, általános tulajdonságai, funkcionális moduljai. </w:t>
      </w:r>
      <w:r w:rsidRPr="00BD79E9">
        <w:rPr>
          <w:rFonts w:ascii="Times New Roman" w:eastAsia="Times New Roman" w:hAnsi="Times New Roman" w:cs="Times New Roman"/>
          <w:i/>
          <w:kern w:val="2"/>
        </w:rPr>
        <w:t>(Concept, general characteristics and functional modules of standard enterprise management systems.)</w:t>
      </w:r>
    </w:p>
    <w:p w:rsidR="00782188" w:rsidRPr="00BD79E9" w:rsidRDefault="00782188" w:rsidP="00980876">
      <w:pPr>
        <w:widowControl w:val="0"/>
        <w:numPr>
          <w:ilvl w:val="1"/>
          <w:numId w:val="506"/>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BD79E9">
        <w:rPr>
          <w:rFonts w:ascii="Times New Roman" w:eastAsia="Times New Roman" w:hAnsi="Times New Roman" w:cs="Times New Roman"/>
          <w:kern w:val="2"/>
        </w:rPr>
        <w:t xml:space="preserve">Terhelési-megosztási struktúrák. A standard vállalatirányítási rendszerek programozási alapelvei és üzleti objektumai. </w:t>
      </w:r>
      <w:r w:rsidRPr="00BD79E9">
        <w:rPr>
          <w:rFonts w:ascii="Times New Roman" w:eastAsia="Times New Roman" w:hAnsi="Times New Roman" w:cs="Times New Roman"/>
          <w:i/>
          <w:kern w:val="2"/>
        </w:rPr>
        <w:t>(Load-sharing structures. Programming principles and business objects of standard ERP systems.)</w:t>
      </w:r>
    </w:p>
    <w:p w:rsidR="00782188" w:rsidRPr="00BD79E9" w:rsidRDefault="00782188" w:rsidP="00980876">
      <w:pPr>
        <w:widowControl w:val="0"/>
        <w:numPr>
          <w:ilvl w:val="1"/>
          <w:numId w:val="506"/>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BD79E9">
        <w:rPr>
          <w:rFonts w:ascii="Times New Roman" w:eastAsia="Times New Roman" w:hAnsi="Times New Roman" w:cs="Times New Roman"/>
          <w:kern w:val="2"/>
        </w:rPr>
        <w:t xml:space="preserve">A vállalati informatikai alkalmazások kliensoldala. </w:t>
      </w:r>
      <w:r w:rsidRPr="00BD79E9">
        <w:rPr>
          <w:rFonts w:ascii="Times New Roman" w:eastAsia="Times New Roman" w:hAnsi="Times New Roman" w:cs="Times New Roman"/>
          <w:i/>
          <w:kern w:val="2"/>
        </w:rPr>
        <w:t>(Enterprise IT application client page.)</w:t>
      </w:r>
    </w:p>
    <w:p w:rsidR="00782188" w:rsidRPr="00BD79E9" w:rsidRDefault="00782188" w:rsidP="00980876">
      <w:pPr>
        <w:widowControl w:val="0"/>
        <w:numPr>
          <w:ilvl w:val="1"/>
          <w:numId w:val="506"/>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BD79E9">
        <w:rPr>
          <w:rFonts w:ascii="Times New Roman" w:eastAsia="Times New Roman" w:hAnsi="Times New Roman" w:cs="Times New Roman"/>
          <w:kern w:val="2"/>
        </w:rPr>
        <w:t xml:space="preserve">A bizonylatok és bizonylati elv bemutatása. </w:t>
      </w:r>
      <w:r w:rsidRPr="00BD79E9">
        <w:rPr>
          <w:rFonts w:ascii="Times New Roman" w:eastAsia="Times New Roman" w:hAnsi="Times New Roman" w:cs="Times New Roman"/>
          <w:i/>
          <w:kern w:val="2"/>
        </w:rPr>
        <w:t>(Presentation of vouchers and voucher principle.)</w:t>
      </w:r>
    </w:p>
    <w:p w:rsidR="00782188" w:rsidRPr="00BD79E9" w:rsidRDefault="00782188" w:rsidP="00980876">
      <w:pPr>
        <w:widowControl w:val="0"/>
        <w:numPr>
          <w:ilvl w:val="1"/>
          <w:numId w:val="506"/>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BD79E9">
        <w:rPr>
          <w:rFonts w:ascii="Times New Roman" w:eastAsia="Times New Roman" w:hAnsi="Times New Roman" w:cs="Times New Roman"/>
          <w:kern w:val="2"/>
        </w:rPr>
        <w:lastRenderedPageBreak/>
        <w:t xml:space="preserve">Az integrált vállalatirányítási rendszer bemutatása, az ebben szereplő üzleti modulok ismertetése. </w:t>
      </w:r>
      <w:r w:rsidRPr="00BD79E9">
        <w:rPr>
          <w:rFonts w:ascii="Times New Roman" w:eastAsia="Times New Roman" w:hAnsi="Times New Roman" w:cs="Times New Roman"/>
          <w:i/>
          <w:kern w:val="2"/>
        </w:rPr>
        <w:t>(Introduction of the integrated enterprise management system and the business modules included in it.)</w:t>
      </w:r>
    </w:p>
    <w:p w:rsidR="00782188" w:rsidRPr="00BD79E9" w:rsidRDefault="00782188" w:rsidP="00980876">
      <w:pPr>
        <w:widowControl w:val="0"/>
        <w:numPr>
          <w:ilvl w:val="1"/>
          <w:numId w:val="506"/>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BD79E9">
        <w:rPr>
          <w:rFonts w:ascii="Times New Roman" w:eastAsia="Times New Roman" w:hAnsi="Times New Roman" w:cs="Times New Roman"/>
          <w:kern w:val="2"/>
        </w:rPr>
        <w:t xml:space="preserve">Gyakorlati feladat megoldása. </w:t>
      </w:r>
      <w:r w:rsidRPr="00BD79E9">
        <w:rPr>
          <w:rFonts w:ascii="Times New Roman" w:eastAsia="Times New Roman" w:hAnsi="Times New Roman" w:cs="Times New Roman"/>
          <w:i/>
          <w:kern w:val="2"/>
        </w:rPr>
        <w:t>(Practice exercise.)</w:t>
      </w:r>
    </w:p>
    <w:p w:rsidR="00782188" w:rsidRPr="00BD79E9" w:rsidRDefault="00782188" w:rsidP="00980876">
      <w:pPr>
        <w:widowControl w:val="0"/>
        <w:numPr>
          <w:ilvl w:val="1"/>
          <w:numId w:val="506"/>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BD79E9">
        <w:rPr>
          <w:rFonts w:ascii="Times New Roman" w:eastAsia="Times New Roman" w:hAnsi="Times New Roman" w:cs="Times New Roman"/>
          <w:kern w:val="2"/>
        </w:rPr>
        <w:t xml:space="preserve">A megoldott gyakorlati feladat előadása. </w:t>
      </w:r>
      <w:r w:rsidRPr="00BD79E9">
        <w:rPr>
          <w:rFonts w:ascii="Times New Roman" w:eastAsia="Times New Roman" w:hAnsi="Times New Roman" w:cs="Times New Roman"/>
          <w:i/>
          <w:kern w:val="2"/>
        </w:rPr>
        <w:t>(Presentation of the practice exercise.)</w:t>
      </w:r>
    </w:p>
    <w:p w:rsidR="00782188" w:rsidRPr="00BD79E9" w:rsidRDefault="00782188" w:rsidP="00980876">
      <w:pPr>
        <w:widowControl w:val="0"/>
        <w:numPr>
          <w:ilvl w:val="1"/>
          <w:numId w:val="506"/>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BD79E9">
        <w:rPr>
          <w:rFonts w:ascii="Times New Roman" w:eastAsia="Times New Roman" w:hAnsi="Times New Roman" w:cs="Times New Roman"/>
          <w:kern w:val="2"/>
        </w:rPr>
        <w:t xml:space="preserve"> ZH. megírása. </w:t>
      </w:r>
      <w:r w:rsidRPr="00BD79E9">
        <w:rPr>
          <w:rFonts w:ascii="Times New Roman" w:eastAsia="Times New Roman" w:hAnsi="Times New Roman" w:cs="Times New Roman"/>
          <w:i/>
          <w:kern w:val="2"/>
        </w:rPr>
        <w:t>(Written test.)</w:t>
      </w:r>
    </w:p>
    <w:p w:rsidR="00782188" w:rsidRPr="006A233B" w:rsidRDefault="00782188" w:rsidP="00980876">
      <w:pPr>
        <w:widowControl w:val="0"/>
        <w:numPr>
          <w:ilvl w:val="0"/>
          <w:numId w:val="506"/>
        </w:numPr>
        <w:tabs>
          <w:tab w:val="num" w:pos="360"/>
        </w:tabs>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bCs/>
        </w:rPr>
        <w:t xml:space="preserve">A tantárgy meghirdetésének gyakorisága/a tantervben történő félévi elhelyezkedése: </w:t>
      </w:r>
      <w:r>
        <w:rPr>
          <w:rFonts w:ascii="Times New Roman" w:eastAsia="Times New Roman" w:hAnsi="Times New Roman" w:cs="Times New Roman"/>
          <w:bCs/>
        </w:rPr>
        <w:t>Minden tavaszi szemeszterben / 6. félév</w:t>
      </w:r>
    </w:p>
    <w:p w:rsidR="00782188" w:rsidRPr="00CE64DC" w:rsidRDefault="00782188" w:rsidP="00980876">
      <w:pPr>
        <w:widowControl w:val="0"/>
        <w:numPr>
          <w:ilvl w:val="0"/>
          <w:numId w:val="506"/>
        </w:numPr>
        <w:tabs>
          <w:tab w:val="num" w:pos="360"/>
        </w:tabs>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bCs/>
        </w:rPr>
        <w:t>A tanórákon való részvétel követelményei, az elfogadható hiányzások mértéke, a távolmaradás pótlásának lehetősége:</w:t>
      </w:r>
      <w:r>
        <w:rPr>
          <w:rFonts w:ascii="Times New Roman" w:eastAsia="Times New Roman" w:hAnsi="Times New Roman" w:cs="Times New Roman"/>
          <w:bCs/>
        </w:rPr>
        <w:t xml:space="preserve"> </w:t>
      </w:r>
      <w:r w:rsidRPr="00CE64DC">
        <w:rPr>
          <w:rFonts w:ascii="Times New Roman" w:eastAsia="Times New Roman" w:hAnsi="Times New Roman" w:cs="Times New Roman"/>
          <w:bCs/>
        </w:rPr>
        <w:t>A tanórákon való részvétel kötelező.</w:t>
      </w:r>
      <w:r w:rsidRPr="00CE64DC">
        <w:rPr>
          <w:rFonts w:ascii="Times New Roman" w:eastAsia="Times New Roman" w:hAnsi="Times New Roman" w:cs="Times New Roman"/>
          <w:b/>
          <w:bCs/>
        </w:rPr>
        <w:t xml:space="preserve"> </w:t>
      </w:r>
      <w:r w:rsidRPr="00CE64DC">
        <w:rPr>
          <w:rFonts w:ascii="Times New Roman" w:eastAsia="Times New Roman" w:hAnsi="Times New Roman" w:cs="Times New Roman"/>
          <w:bCs/>
        </w:rPr>
        <w:t>A félév elfogadásána</w:t>
      </w:r>
      <w:r>
        <w:rPr>
          <w:rFonts w:ascii="Times New Roman" w:eastAsia="Times New Roman" w:hAnsi="Times New Roman" w:cs="Times New Roman"/>
          <w:bCs/>
        </w:rPr>
        <w:t>k feltétele a tanórák minimum 80</w:t>
      </w:r>
      <w:r w:rsidRPr="00CE64DC">
        <w:rPr>
          <w:rFonts w:ascii="Times New Roman" w:eastAsia="Times New Roman" w:hAnsi="Times New Roman" w:cs="Times New Roman"/>
          <w:bCs/>
        </w:rPr>
        <w:t>%-án való részvétel. Ennél magasabb mértékű távolmaradás pótlása az oktató engedélyével történhet.</w:t>
      </w:r>
      <w:r>
        <w:rPr>
          <w:rFonts w:ascii="Times New Roman" w:eastAsia="Times New Roman" w:hAnsi="Times New Roman" w:cs="Times New Roman"/>
          <w:bCs/>
        </w:rPr>
        <w:t xml:space="preserve"> </w:t>
      </w:r>
      <w:r w:rsidRPr="003066B0">
        <w:rPr>
          <w:rFonts w:ascii="Times New Roman" w:eastAsia="Times New Roman" w:hAnsi="Times New Roman" w:cs="Times New Roman"/>
          <w:bCs/>
        </w:rPr>
        <w:t>A hallgatónak a kimaradt tananyagot önképzés keretén belül kell elsajátítani. A kimaradt tananyag jobb megértése érdekében az oktatók konzultációs lehetőséget biztosít</w:t>
      </w:r>
      <w:r>
        <w:rPr>
          <w:rFonts w:ascii="Times New Roman" w:eastAsia="Times New Roman" w:hAnsi="Times New Roman" w:cs="Times New Roman"/>
          <w:bCs/>
        </w:rPr>
        <w:t>h</w:t>
      </w:r>
      <w:r w:rsidRPr="003066B0">
        <w:rPr>
          <w:rFonts w:ascii="Times New Roman" w:eastAsia="Times New Roman" w:hAnsi="Times New Roman" w:cs="Times New Roman"/>
          <w:bCs/>
        </w:rPr>
        <w:t>a</w:t>
      </w:r>
      <w:r>
        <w:rPr>
          <w:rFonts w:ascii="Times New Roman" w:eastAsia="Times New Roman" w:hAnsi="Times New Roman" w:cs="Times New Roman"/>
          <w:bCs/>
        </w:rPr>
        <w:t>t</w:t>
      </w:r>
      <w:r w:rsidRPr="003066B0">
        <w:rPr>
          <w:rFonts w:ascii="Times New Roman" w:eastAsia="Times New Roman" w:hAnsi="Times New Roman" w:cs="Times New Roman"/>
          <w:bCs/>
        </w:rPr>
        <w:t>nak.</w:t>
      </w:r>
    </w:p>
    <w:p w:rsidR="00782188" w:rsidRPr="00CE64DC" w:rsidRDefault="00782188" w:rsidP="00980876">
      <w:pPr>
        <w:widowControl w:val="0"/>
        <w:numPr>
          <w:ilvl w:val="0"/>
          <w:numId w:val="506"/>
        </w:numPr>
        <w:tabs>
          <w:tab w:val="num" w:pos="360"/>
        </w:tabs>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rPr>
        <w:t xml:space="preserve">Félévközi feladatok, ismeretek ellenőrzésének rendje: </w:t>
      </w:r>
      <w:r w:rsidRPr="00CE64DC">
        <w:rPr>
          <w:rFonts w:ascii="Times New Roman" w:eastAsia="Times New Roman" w:hAnsi="Times New Roman" w:cs="Times New Roman"/>
        </w:rPr>
        <w:t>A honvéd tisztjelöltek</w:t>
      </w:r>
      <w:r>
        <w:rPr>
          <w:rFonts w:ascii="Times New Roman" w:eastAsia="Times New Roman" w:hAnsi="Times New Roman" w:cs="Times New Roman"/>
        </w:rPr>
        <w:t xml:space="preserve"> a félév elején a kiadott listából választanak egy gazdálkodó szerveztet, amelynek bemutatják a vállalati információs rendszerét és annak működését. Az előadás megtartására az utolsó órán kerül sor.</w:t>
      </w:r>
    </w:p>
    <w:p w:rsidR="00782188" w:rsidRPr="006A233B" w:rsidRDefault="00782188" w:rsidP="00980876">
      <w:pPr>
        <w:widowControl w:val="0"/>
        <w:numPr>
          <w:ilvl w:val="0"/>
          <w:numId w:val="506"/>
        </w:numPr>
        <w:spacing w:before="120" w:after="120" w:line="240" w:lineRule="auto"/>
        <w:ind w:left="426" w:hanging="142"/>
        <w:jc w:val="both"/>
        <w:rPr>
          <w:rFonts w:ascii="Times New Roman" w:eastAsia="Times New Roman" w:hAnsi="Times New Roman" w:cs="Times New Roman"/>
          <w:b/>
          <w:bCs/>
        </w:rPr>
      </w:pPr>
      <w:r w:rsidRPr="006A233B">
        <w:rPr>
          <w:rFonts w:ascii="Times New Roman" w:eastAsia="Times New Roman" w:hAnsi="Times New Roman" w:cs="Times New Roman"/>
          <w:b/>
          <w:bCs/>
        </w:rPr>
        <w:t xml:space="preserve">Az értékelés, az aláírás és a kreditek megszerzésének pontos feltételei: </w:t>
      </w:r>
    </w:p>
    <w:p w:rsidR="00782188" w:rsidRPr="006A233B" w:rsidRDefault="00782188" w:rsidP="00980876">
      <w:pPr>
        <w:widowControl w:val="0"/>
        <w:numPr>
          <w:ilvl w:val="1"/>
          <w:numId w:val="506"/>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6A233B">
        <w:rPr>
          <w:rFonts w:ascii="Times New Roman" w:eastAsia="Times New Roman" w:hAnsi="Times New Roman" w:cs="Times New Roman"/>
          <w:b/>
        </w:rPr>
        <w:t>Az aláírás megszerzésének feltételei:</w:t>
      </w:r>
    </w:p>
    <w:p w:rsidR="00782188" w:rsidRPr="006A233B" w:rsidRDefault="00782188" w:rsidP="00782188">
      <w:pPr>
        <w:widowControl w:val="0"/>
        <w:tabs>
          <w:tab w:val="left" w:pos="993"/>
        </w:tabs>
        <w:spacing w:before="120" w:after="120" w:line="240" w:lineRule="auto"/>
        <w:ind w:left="426"/>
        <w:jc w:val="both"/>
        <w:rPr>
          <w:rFonts w:ascii="Times New Roman" w:eastAsia="Times New Roman" w:hAnsi="Times New Roman" w:cs="Times New Roman"/>
        </w:rPr>
      </w:pPr>
      <w:r w:rsidRPr="007E215C">
        <w:rPr>
          <w:rFonts w:ascii="Times New Roman" w:eastAsia="Times New Roman" w:hAnsi="Times New Roman" w:cs="Times New Roman"/>
        </w:rPr>
        <w:t>Az aláírás feltétele a tanórákon történő – 1</w:t>
      </w:r>
      <w:r>
        <w:rPr>
          <w:rFonts w:ascii="Times New Roman" w:eastAsia="Times New Roman" w:hAnsi="Times New Roman" w:cs="Times New Roman"/>
        </w:rPr>
        <w:t>4</w:t>
      </w:r>
      <w:r w:rsidRPr="007E215C">
        <w:rPr>
          <w:rFonts w:ascii="Times New Roman" w:eastAsia="Times New Roman" w:hAnsi="Times New Roman" w:cs="Times New Roman"/>
        </w:rPr>
        <w:t xml:space="preserve">. pontban meghatározott – részvétel, </w:t>
      </w:r>
      <w:r>
        <w:rPr>
          <w:rFonts w:ascii="Times New Roman" w:eastAsia="Times New Roman" w:hAnsi="Times New Roman" w:cs="Times New Roman"/>
        </w:rPr>
        <w:t>valamint a zárthelyi dolgozat sikeres megírása, továbbá az előadás elkészítése és megtartása.</w:t>
      </w:r>
    </w:p>
    <w:p w:rsidR="00782188" w:rsidRPr="006A233B" w:rsidRDefault="00782188" w:rsidP="00980876">
      <w:pPr>
        <w:widowControl w:val="0"/>
        <w:numPr>
          <w:ilvl w:val="1"/>
          <w:numId w:val="506"/>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6A233B">
        <w:rPr>
          <w:rFonts w:ascii="Times New Roman" w:eastAsia="Times New Roman" w:hAnsi="Times New Roman" w:cs="Times New Roman"/>
          <w:b/>
        </w:rPr>
        <w:t>Az értékelés:</w:t>
      </w:r>
    </w:p>
    <w:p w:rsidR="00782188" w:rsidRPr="006A233B" w:rsidRDefault="00782188" w:rsidP="00782188">
      <w:pPr>
        <w:widowControl w:val="0"/>
        <w:tabs>
          <w:tab w:val="left" w:pos="993"/>
        </w:tabs>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Az ötfokozatú évközi jegy a zárthelyi dolgozat, az elkészített előadás és a bemutatás értékelésének egyszerű számtani átlaga alapján kerül kialakításra, amelyek esetében az elégséges jegy elérése a részenként legalább elégséges érdemjegy.</w:t>
      </w:r>
    </w:p>
    <w:p w:rsidR="00782188" w:rsidRPr="006A233B" w:rsidRDefault="00782188" w:rsidP="00980876">
      <w:pPr>
        <w:widowControl w:val="0"/>
        <w:numPr>
          <w:ilvl w:val="1"/>
          <w:numId w:val="506"/>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6A233B">
        <w:rPr>
          <w:rFonts w:ascii="Times New Roman" w:eastAsia="Times New Roman" w:hAnsi="Times New Roman" w:cs="Times New Roman"/>
          <w:b/>
        </w:rPr>
        <w:t>A kreditek megszerzésének feltételei:</w:t>
      </w:r>
      <w:r w:rsidRPr="006A233B">
        <w:rPr>
          <w:rFonts w:ascii="Times New Roman" w:eastAsia="Times New Roman" w:hAnsi="Times New Roman" w:cs="Times New Roman"/>
        </w:rPr>
        <w:t xml:space="preserve"> </w:t>
      </w:r>
    </w:p>
    <w:p w:rsidR="00782188" w:rsidRPr="006A233B" w:rsidRDefault="00782188" w:rsidP="00782188">
      <w:pPr>
        <w:widowControl w:val="0"/>
        <w:tabs>
          <w:tab w:val="left" w:pos="993"/>
        </w:tabs>
        <w:spacing w:before="120" w:after="120" w:line="240" w:lineRule="auto"/>
        <w:ind w:left="426"/>
        <w:jc w:val="both"/>
        <w:rPr>
          <w:rFonts w:ascii="Times New Roman" w:eastAsia="Times New Roman" w:hAnsi="Times New Roman" w:cs="Times New Roman"/>
        </w:rPr>
      </w:pPr>
      <w:r w:rsidRPr="006A233B">
        <w:rPr>
          <w:rFonts w:ascii="Times New Roman" w:eastAsia="Times New Roman" w:hAnsi="Times New Roman" w:cs="Times New Roman"/>
        </w:rPr>
        <w:t xml:space="preserve">A kreditek megszerzésének feltétele az aláírás megszerzése és </w:t>
      </w:r>
      <w:r>
        <w:rPr>
          <w:rFonts w:ascii="Times New Roman" w:eastAsia="Times New Roman" w:hAnsi="Times New Roman" w:cs="Times New Roman"/>
        </w:rPr>
        <w:t xml:space="preserve">a </w:t>
      </w:r>
      <w:r w:rsidRPr="006A233B">
        <w:rPr>
          <w:rFonts w:ascii="Times New Roman" w:eastAsia="Times New Roman" w:hAnsi="Times New Roman" w:cs="Times New Roman"/>
        </w:rPr>
        <w:t xml:space="preserve">legalább elégséges </w:t>
      </w:r>
      <w:r>
        <w:rPr>
          <w:rFonts w:ascii="Times New Roman" w:eastAsia="Times New Roman" w:hAnsi="Times New Roman" w:cs="Times New Roman"/>
        </w:rPr>
        <w:t>évközi jegy</w:t>
      </w:r>
      <w:r w:rsidRPr="006A233B">
        <w:rPr>
          <w:rFonts w:ascii="Times New Roman" w:eastAsia="Times New Roman" w:hAnsi="Times New Roman" w:cs="Times New Roman"/>
        </w:rPr>
        <w:t>.</w:t>
      </w:r>
    </w:p>
    <w:p w:rsidR="00782188" w:rsidRPr="006A233B" w:rsidRDefault="00782188" w:rsidP="00980876">
      <w:pPr>
        <w:widowControl w:val="0"/>
        <w:numPr>
          <w:ilvl w:val="0"/>
          <w:numId w:val="506"/>
        </w:numPr>
        <w:tabs>
          <w:tab w:val="num" w:pos="360"/>
        </w:tabs>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bCs/>
        </w:rPr>
        <w:t>Irodalomjegyzék:</w:t>
      </w:r>
    </w:p>
    <w:p w:rsidR="00782188" w:rsidRPr="006A233B" w:rsidRDefault="00782188" w:rsidP="00980876">
      <w:pPr>
        <w:widowControl w:val="0"/>
        <w:numPr>
          <w:ilvl w:val="1"/>
          <w:numId w:val="506"/>
        </w:numPr>
        <w:tabs>
          <w:tab w:val="clear" w:pos="3977"/>
          <w:tab w:val="left" w:pos="567"/>
          <w:tab w:val="left" w:pos="851"/>
          <w:tab w:val="num" w:pos="2069"/>
        </w:tabs>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bCs/>
        </w:rPr>
        <w:t>Kötelező irodalom:</w:t>
      </w:r>
    </w:p>
    <w:p w:rsidR="00782188" w:rsidRDefault="00782188" w:rsidP="00980876">
      <w:pPr>
        <w:widowControl w:val="0"/>
        <w:numPr>
          <w:ilvl w:val="0"/>
          <w:numId w:val="507"/>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Juhász Sándor: Vállalati információs rendszerek műszaki alapjai (Szak Kiadó Kft., 2011., ISBN </w:t>
      </w:r>
      <w:r w:rsidRPr="008B7266">
        <w:rPr>
          <w:rFonts w:ascii="Times New Roman" w:eastAsia="Times New Roman" w:hAnsi="Times New Roman" w:cs="Times New Roman"/>
        </w:rPr>
        <w:t>9789639863224</w:t>
      </w:r>
      <w:r>
        <w:rPr>
          <w:rFonts w:ascii="Times New Roman" w:eastAsia="Times New Roman" w:hAnsi="Times New Roman" w:cs="Times New Roman"/>
        </w:rPr>
        <w:t>)</w:t>
      </w:r>
    </w:p>
    <w:p w:rsidR="00782188" w:rsidRDefault="00782188" w:rsidP="00980876">
      <w:pPr>
        <w:widowControl w:val="0"/>
        <w:numPr>
          <w:ilvl w:val="0"/>
          <w:numId w:val="507"/>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Koloszár László: Vállalati információs rendszerek (</w:t>
      </w:r>
      <w:r w:rsidRPr="007D1756">
        <w:rPr>
          <w:rFonts w:ascii="Times New Roman" w:eastAsia="Times New Roman" w:hAnsi="Times New Roman" w:cs="Times New Roman"/>
        </w:rPr>
        <w:t>Nyugat-magyarországi Egyetem Kiadó</w:t>
      </w:r>
      <w:r>
        <w:rPr>
          <w:rFonts w:ascii="Times New Roman" w:eastAsia="Times New Roman" w:hAnsi="Times New Roman" w:cs="Times New Roman"/>
        </w:rPr>
        <w:t>, Sopron, 2013., ISBN 9789633341216)</w:t>
      </w:r>
    </w:p>
    <w:p w:rsidR="00782188" w:rsidRPr="008B7266" w:rsidRDefault="00782188" w:rsidP="00980876">
      <w:pPr>
        <w:widowControl w:val="0"/>
        <w:numPr>
          <w:ilvl w:val="0"/>
          <w:numId w:val="507"/>
        </w:numPr>
        <w:spacing w:line="240" w:lineRule="auto"/>
        <w:jc w:val="both"/>
        <w:rPr>
          <w:rFonts w:ascii="Times New Roman" w:eastAsia="Times New Roman" w:hAnsi="Times New Roman" w:cs="Times New Roman"/>
          <w:bCs/>
        </w:rPr>
      </w:pPr>
      <w:r>
        <w:rPr>
          <w:rFonts w:ascii="Times New Roman" w:eastAsia="Times New Roman" w:hAnsi="Times New Roman" w:cs="Times New Roman"/>
        </w:rPr>
        <w:t xml:space="preserve">Hetyei József: </w:t>
      </w:r>
      <w:r w:rsidRPr="008B7266">
        <w:rPr>
          <w:rFonts w:ascii="Times New Roman" w:eastAsia="Times New Roman" w:hAnsi="Times New Roman" w:cs="Times New Roman"/>
          <w:bCs/>
        </w:rPr>
        <w:t>ERP rendszerek Magyarországon a 21. században - 2. kiadás új rendszerekkel</w:t>
      </w:r>
      <w:r>
        <w:rPr>
          <w:rFonts w:ascii="Times New Roman" w:eastAsia="Times New Roman" w:hAnsi="Times New Roman" w:cs="Times New Roman"/>
          <w:bCs/>
        </w:rPr>
        <w:t xml:space="preserve"> (Computerbooks, 2009., ISBN </w:t>
      </w:r>
      <w:r w:rsidRPr="008B7266">
        <w:rPr>
          <w:rFonts w:ascii="Times New Roman" w:eastAsia="Times New Roman" w:hAnsi="Times New Roman" w:cs="Times New Roman"/>
          <w:bCs/>
        </w:rPr>
        <w:t>9789636183585</w:t>
      </w:r>
      <w:r>
        <w:rPr>
          <w:rFonts w:ascii="Times New Roman" w:eastAsia="Times New Roman" w:hAnsi="Times New Roman" w:cs="Times New Roman"/>
          <w:bCs/>
        </w:rPr>
        <w:t>)</w:t>
      </w:r>
    </w:p>
    <w:p w:rsidR="00782188" w:rsidRPr="006A233B" w:rsidRDefault="00782188" w:rsidP="00980876">
      <w:pPr>
        <w:widowControl w:val="0"/>
        <w:numPr>
          <w:ilvl w:val="1"/>
          <w:numId w:val="506"/>
        </w:numPr>
        <w:tabs>
          <w:tab w:val="clear" w:pos="3977"/>
          <w:tab w:val="num" w:pos="567"/>
          <w:tab w:val="num" w:pos="2069"/>
        </w:tabs>
        <w:spacing w:before="120" w:after="120" w:line="240" w:lineRule="auto"/>
        <w:ind w:left="993" w:hanging="709"/>
        <w:jc w:val="both"/>
        <w:rPr>
          <w:rFonts w:ascii="Times New Roman" w:eastAsia="Times New Roman" w:hAnsi="Times New Roman" w:cs="Times New Roman"/>
          <w:b/>
          <w:bCs/>
        </w:rPr>
      </w:pPr>
      <w:r w:rsidRPr="006A233B">
        <w:rPr>
          <w:rFonts w:ascii="Times New Roman" w:eastAsia="Times New Roman" w:hAnsi="Times New Roman" w:cs="Times New Roman"/>
          <w:b/>
          <w:bCs/>
        </w:rPr>
        <w:t>Ajánlott irodalom:</w:t>
      </w:r>
    </w:p>
    <w:p w:rsidR="00782188" w:rsidRPr="008B22F8" w:rsidRDefault="00782188" w:rsidP="00980876">
      <w:pPr>
        <w:pStyle w:val="Listaszerbekezds"/>
        <w:widowControl w:val="0"/>
        <w:numPr>
          <w:ilvl w:val="0"/>
          <w:numId w:val="508"/>
        </w:numPr>
        <w:spacing w:after="0" w:line="240" w:lineRule="auto"/>
        <w:jc w:val="both"/>
        <w:rPr>
          <w:rFonts w:ascii="Times New Roman" w:eastAsia="Times New Roman" w:hAnsi="Times New Roman" w:cs="Times New Roman"/>
        </w:rPr>
      </w:pPr>
      <w:r w:rsidRPr="00190174">
        <w:rPr>
          <w:rFonts w:ascii="Times New Roman" w:eastAsia="Times New Roman" w:hAnsi="Times New Roman" w:cs="Times New Roman"/>
        </w:rPr>
        <w:t>Michael H. Kremzar - Thomas F. Wallace</w:t>
      </w:r>
      <w:r>
        <w:rPr>
          <w:rFonts w:ascii="Times New Roman" w:eastAsia="Times New Roman" w:hAnsi="Times New Roman" w:cs="Times New Roman"/>
        </w:rPr>
        <w:t xml:space="preserve">: </w:t>
      </w:r>
      <w:r w:rsidRPr="00190174">
        <w:rPr>
          <w:rFonts w:ascii="Times New Roman" w:eastAsia="Times New Roman" w:hAnsi="Times New Roman" w:cs="Times New Roman"/>
        </w:rPr>
        <w:t>ERP - vállalatirányítási rendszerek</w:t>
      </w:r>
      <w:r>
        <w:rPr>
          <w:rFonts w:ascii="Times New Roman" w:eastAsia="Times New Roman" w:hAnsi="Times New Roman" w:cs="Times New Roman"/>
        </w:rPr>
        <w:t xml:space="preserve"> (HVG Könyvek Kiadó, 2006., ISBN </w:t>
      </w:r>
      <w:r w:rsidRPr="00190174">
        <w:rPr>
          <w:rFonts w:ascii="Times New Roman" w:eastAsia="Times New Roman" w:hAnsi="Times New Roman" w:cs="Times New Roman"/>
        </w:rPr>
        <w:t>9789637525933</w:t>
      </w:r>
      <w:r>
        <w:rPr>
          <w:rFonts w:ascii="Times New Roman" w:eastAsia="Times New Roman" w:hAnsi="Times New Roman" w:cs="Times New Roman"/>
        </w:rPr>
        <w:t>)</w:t>
      </w:r>
    </w:p>
    <w:p w:rsidR="00782188" w:rsidRDefault="00782188" w:rsidP="00782188">
      <w:pPr>
        <w:widowControl w:val="0"/>
        <w:spacing w:before="120" w:after="120" w:line="240" w:lineRule="auto"/>
        <w:jc w:val="both"/>
        <w:rPr>
          <w:rFonts w:ascii="Times New Roman" w:eastAsia="Times New Roman" w:hAnsi="Times New Roman" w:cs="Times New Roman"/>
          <w:bCs/>
        </w:rPr>
      </w:pPr>
    </w:p>
    <w:p w:rsidR="00782188" w:rsidRPr="006A233B" w:rsidRDefault="00782188" w:rsidP="00782188">
      <w:pPr>
        <w:widowControl w:val="0"/>
        <w:spacing w:before="120" w:after="120" w:line="240" w:lineRule="auto"/>
        <w:jc w:val="both"/>
        <w:rPr>
          <w:rFonts w:ascii="Times New Roman" w:eastAsia="Times New Roman" w:hAnsi="Times New Roman" w:cs="Times New Roman"/>
          <w:bCs/>
        </w:rPr>
      </w:pPr>
      <w:r w:rsidRPr="006A233B">
        <w:rPr>
          <w:rFonts w:ascii="Times New Roman" w:eastAsia="Times New Roman" w:hAnsi="Times New Roman" w:cs="Times New Roman"/>
          <w:bCs/>
        </w:rPr>
        <w:t>Budapest,</w:t>
      </w:r>
      <w:r>
        <w:rPr>
          <w:rFonts w:ascii="Times New Roman" w:eastAsia="Times New Roman" w:hAnsi="Times New Roman" w:cs="Times New Roman"/>
          <w:bCs/>
        </w:rPr>
        <w:t xml:space="preserve"> 2020</w:t>
      </w:r>
      <w:r w:rsidRPr="006A233B">
        <w:rPr>
          <w:rFonts w:ascii="Times New Roman" w:eastAsia="Times New Roman" w:hAnsi="Times New Roman" w:cs="Times New Roman"/>
          <w:bCs/>
        </w:rPr>
        <w:t xml:space="preserve">. </w:t>
      </w:r>
      <w:r>
        <w:rPr>
          <w:rFonts w:ascii="Times New Roman" w:eastAsia="Times New Roman" w:hAnsi="Times New Roman" w:cs="Times New Roman"/>
          <w:bCs/>
        </w:rPr>
        <w:t>március</w:t>
      </w:r>
      <w:r w:rsidRPr="006A233B">
        <w:rPr>
          <w:rFonts w:ascii="Times New Roman" w:eastAsia="Times New Roman" w:hAnsi="Times New Roman" w:cs="Times New Roman"/>
          <w:bCs/>
        </w:rPr>
        <w:t xml:space="preserve"> </w:t>
      </w:r>
      <w:r>
        <w:rPr>
          <w:rFonts w:ascii="Times New Roman" w:eastAsia="Times New Roman" w:hAnsi="Times New Roman" w:cs="Times New Roman"/>
          <w:bCs/>
        </w:rPr>
        <w:t>15</w:t>
      </w:r>
      <w:r w:rsidRPr="006A233B">
        <w:rPr>
          <w:rFonts w:ascii="Times New Roman" w:eastAsia="Times New Roman" w:hAnsi="Times New Roman" w:cs="Times New Roman"/>
          <w:bCs/>
        </w:rPr>
        <w:t>.</w:t>
      </w:r>
    </w:p>
    <w:p w:rsidR="00782188" w:rsidRPr="00A1227C" w:rsidRDefault="00782188" w:rsidP="00782188">
      <w:pPr>
        <w:widowControl w:val="0"/>
        <w:spacing w:after="0" w:line="240" w:lineRule="auto"/>
        <w:ind w:left="4248" w:firstLine="708"/>
        <w:jc w:val="center"/>
        <w:rPr>
          <w:rFonts w:ascii="Times New Roman" w:hAnsi="Times New Roman" w:cs="Times New Roman"/>
          <w:b/>
          <w:bCs/>
        </w:rPr>
      </w:pPr>
      <w:r>
        <w:rPr>
          <w:rFonts w:ascii="Times New Roman" w:hAnsi="Times New Roman" w:cs="Times New Roman"/>
          <w:b/>
          <w:bCs/>
        </w:rPr>
        <w:t xml:space="preserve">         </w:t>
      </w:r>
      <w:r w:rsidRPr="00A1227C">
        <w:rPr>
          <w:rFonts w:ascii="Times New Roman" w:hAnsi="Times New Roman" w:cs="Times New Roman"/>
          <w:b/>
          <w:bCs/>
        </w:rPr>
        <w:t xml:space="preserve">Dr. </w:t>
      </w:r>
      <w:r>
        <w:rPr>
          <w:rFonts w:ascii="Times New Roman" w:hAnsi="Times New Roman" w:cs="Times New Roman"/>
          <w:b/>
          <w:bCs/>
        </w:rPr>
        <w:t>Pap Andrea</w:t>
      </w:r>
      <w:r w:rsidRPr="00A1227C">
        <w:rPr>
          <w:rFonts w:ascii="Times New Roman" w:hAnsi="Times New Roman" w:cs="Times New Roman"/>
          <w:b/>
          <w:bCs/>
        </w:rPr>
        <w:t xml:space="preserve"> </w:t>
      </w:r>
      <w:r>
        <w:rPr>
          <w:rFonts w:ascii="Times New Roman" w:hAnsi="Times New Roman" w:cs="Times New Roman"/>
          <w:b/>
          <w:bCs/>
        </w:rPr>
        <w:t>(</w:t>
      </w:r>
      <w:r w:rsidRPr="00A1227C">
        <w:rPr>
          <w:rFonts w:ascii="Times New Roman" w:hAnsi="Times New Roman" w:cs="Times New Roman"/>
          <w:b/>
          <w:bCs/>
        </w:rPr>
        <w:t>PhD</w:t>
      </w:r>
      <w:r>
        <w:rPr>
          <w:rFonts w:ascii="Times New Roman" w:hAnsi="Times New Roman" w:cs="Times New Roman"/>
          <w:b/>
          <w:bCs/>
        </w:rPr>
        <w:t>)</w:t>
      </w:r>
    </w:p>
    <w:p w:rsidR="00782188" w:rsidRPr="00734E2C" w:rsidRDefault="00782188" w:rsidP="00782188">
      <w:pPr>
        <w:widowControl w:val="0"/>
        <w:spacing w:after="0" w:line="240" w:lineRule="auto"/>
        <w:ind w:left="5664"/>
        <w:jc w:val="both"/>
        <w:rPr>
          <w:rFonts w:ascii="Times New Roman" w:eastAsia="Times New Roman" w:hAnsi="Times New Roman" w:cs="Times New Roman"/>
          <w:bCs/>
        </w:rPr>
      </w:pPr>
      <w:r>
        <w:rPr>
          <w:rFonts w:ascii="Times New Roman" w:hAnsi="Times New Roman" w:cs="Times New Roman"/>
          <w:bCs/>
        </w:rPr>
        <w:t>tanszékvezető. egyetemi docens s.k.</w:t>
      </w:r>
    </w:p>
    <w:p w:rsidR="00782188" w:rsidRDefault="00782188">
      <w:pPr>
        <w:spacing w:after="200" w:line="276" w:lineRule="auto"/>
        <w:rPr>
          <w:rFonts w:ascii="Times New Roman" w:hAnsi="Times New Roman" w:cs="Times New Roman"/>
          <w:color w:val="FF0000"/>
          <w:sz w:val="24"/>
        </w:rPr>
      </w:pPr>
    </w:p>
    <w:p w:rsidR="00294A7E" w:rsidRDefault="00294A7E">
      <w:pPr>
        <w:spacing w:after="200" w:line="276" w:lineRule="auto"/>
        <w:rPr>
          <w:rFonts w:ascii="Times New Roman" w:hAnsi="Times New Roman" w:cs="Times New Roman"/>
          <w:color w:val="FF0000"/>
          <w:sz w:val="24"/>
        </w:rPr>
      </w:pPr>
      <w:r>
        <w:rPr>
          <w:rFonts w:ascii="Times New Roman" w:hAnsi="Times New Roman" w:cs="Times New Roman"/>
          <w:color w:val="FF0000"/>
          <w:sz w:val="24"/>
        </w:rPr>
        <w:br w:type="page"/>
      </w:r>
    </w:p>
    <w:tbl>
      <w:tblPr>
        <w:tblW w:w="9072" w:type="dxa"/>
        <w:tblInd w:w="113" w:type="dxa"/>
        <w:tblLook w:val="01E0" w:firstRow="1" w:lastRow="1" w:firstColumn="1" w:lastColumn="1" w:noHBand="0" w:noVBand="0"/>
      </w:tblPr>
      <w:tblGrid>
        <w:gridCol w:w="4855"/>
        <w:gridCol w:w="1620"/>
        <w:gridCol w:w="2597"/>
      </w:tblGrid>
      <w:tr w:rsidR="00294A7E" w:rsidRPr="006A233B" w:rsidTr="009F15D5">
        <w:tc>
          <w:tcPr>
            <w:tcW w:w="4855" w:type="dxa"/>
            <w:tcBorders>
              <w:bottom w:val="single" w:sz="4" w:space="0" w:color="auto"/>
            </w:tcBorders>
          </w:tcPr>
          <w:p w:rsidR="00294A7E" w:rsidRPr="006A233B" w:rsidRDefault="00294A7E" w:rsidP="009F15D5">
            <w:pPr>
              <w:spacing w:after="0" w:line="240" w:lineRule="auto"/>
              <w:jc w:val="center"/>
              <w:rPr>
                <w:rFonts w:ascii="Times New Roman" w:eastAsia="Times New Roman" w:hAnsi="Times New Roman" w:cs="Times New Roman"/>
                <w:b/>
                <w:smallCaps/>
                <w:lang w:eastAsia="hu-HU"/>
              </w:rPr>
            </w:pPr>
            <w:r w:rsidRPr="006A233B">
              <w:rPr>
                <w:rFonts w:ascii="Times New Roman" w:eastAsia="Times New Roman" w:hAnsi="Times New Roman" w:cs="Times New Roman"/>
                <w:b/>
                <w:smallCaps/>
                <w:lang w:eastAsia="hu-HU"/>
              </w:rPr>
              <w:lastRenderedPageBreak/>
              <w:t>Nemzeti Közszolgálati Egyetem</w:t>
            </w:r>
          </w:p>
        </w:tc>
        <w:tc>
          <w:tcPr>
            <w:tcW w:w="1620" w:type="dxa"/>
          </w:tcPr>
          <w:p w:rsidR="00294A7E" w:rsidRPr="006A233B" w:rsidRDefault="00294A7E" w:rsidP="009F15D5">
            <w:pPr>
              <w:spacing w:after="0" w:line="240" w:lineRule="auto"/>
              <w:jc w:val="both"/>
              <w:rPr>
                <w:rFonts w:ascii="Times New Roman" w:eastAsia="Times New Roman" w:hAnsi="Times New Roman" w:cs="Times New Roman"/>
                <w:lang w:eastAsia="hu-HU"/>
              </w:rPr>
            </w:pPr>
          </w:p>
        </w:tc>
        <w:tc>
          <w:tcPr>
            <w:tcW w:w="2597" w:type="dxa"/>
          </w:tcPr>
          <w:p w:rsidR="00294A7E" w:rsidRPr="006A233B" w:rsidRDefault="00294A7E" w:rsidP="009F15D5">
            <w:pPr>
              <w:spacing w:after="0" w:line="240" w:lineRule="auto"/>
              <w:jc w:val="right"/>
              <w:rPr>
                <w:rFonts w:ascii="Times New Roman" w:eastAsia="Times New Roman" w:hAnsi="Times New Roman" w:cs="Times New Roman"/>
                <w:lang w:eastAsia="hu-HU"/>
              </w:rPr>
            </w:pPr>
          </w:p>
        </w:tc>
      </w:tr>
      <w:tr w:rsidR="00294A7E" w:rsidRPr="006A233B" w:rsidTr="009F15D5">
        <w:tc>
          <w:tcPr>
            <w:tcW w:w="4855" w:type="dxa"/>
            <w:tcBorders>
              <w:top w:val="single" w:sz="4" w:space="0" w:color="auto"/>
            </w:tcBorders>
          </w:tcPr>
          <w:p w:rsidR="00294A7E" w:rsidRPr="006A233B" w:rsidRDefault="00294A7E" w:rsidP="009F15D5">
            <w:pPr>
              <w:spacing w:after="0" w:line="240" w:lineRule="auto"/>
              <w:jc w:val="center"/>
              <w:rPr>
                <w:rFonts w:ascii="Times New Roman" w:eastAsia="Times New Roman" w:hAnsi="Times New Roman" w:cs="Times New Roman"/>
                <w:b/>
                <w:lang w:eastAsia="hu-HU"/>
              </w:rPr>
            </w:pPr>
            <w:r w:rsidRPr="006A233B">
              <w:rPr>
                <w:rFonts w:ascii="Times New Roman" w:eastAsia="Times New Roman" w:hAnsi="Times New Roman" w:cs="Times New Roman"/>
                <w:b/>
                <w:lang w:eastAsia="hu-HU"/>
              </w:rPr>
              <w:t>Hadtudományi és Honvédtisztképző Kar</w:t>
            </w:r>
          </w:p>
        </w:tc>
        <w:tc>
          <w:tcPr>
            <w:tcW w:w="1620" w:type="dxa"/>
          </w:tcPr>
          <w:p w:rsidR="00294A7E" w:rsidRPr="006A233B" w:rsidRDefault="00294A7E" w:rsidP="009F15D5">
            <w:pPr>
              <w:spacing w:after="0" w:line="240" w:lineRule="auto"/>
              <w:jc w:val="both"/>
              <w:rPr>
                <w:rFonts w:ascii="Times New Roman" w:eastAsia="Times New Roman" w:hAnsi="Times New Roman" w:cs="Times New Roman"/>
                <w:lang w:eastAsia="hu-HU"/>
              </w:rPr>
            </w:pPr>
          </w:p>
        </w:tc>
        <w:tc>
          <w:tcPr>
            <w:tcW w:w="2597" w:type="dxa"/>
          </w:tcPr>
          <w:p w:rsidR="00294A7E" w:rsidRPr="006A233B" w:rsidRDefault="00294A7E" w:rsidP="009F15D5">
            <w:pPr>
              <w:spacing w:after="0" w:line="240" w:lineRule="auto"/>
              <w:jc w:val="both"/>
              <w:rPr>
                <w:rFonts w:ascii="Times New Roman" w:eastAsia="Times New Roman" w:hAnsi="Times New Roman" w:cs="Times New Roman"/>
                <w:lang w:eastAsia="hu-HU"/>
              </w:rPr>
            </w:pPr>
          </w:p>
        </w:tc>
      </w:tr>
    </w:tbl>
    <w:p w:rsidR="00294A7E" w:rsidRPr="006A233B" w:rsidRDefault="00294A7E" w:rsidP="00294A7E">
      <w:pPr>
        <w:widowControl w:val="0"/>
        <w:spacing w:before="120" w:after="120" w:line="240" w:lineRule="auto"/>
        <w:ind w:left="426" w:hanging="142"/>
        <w:jc w:val="center"/>
        <w:rPr>
          <w:rFonts w:ascii="Times New Roman" w:eastAsia="Times New Roman" w:hAnsi="Times New Roman" w:cs="Times New Roman"/>
          <w:b/>
          <w:bCs/>
        </w:rPr>
      </w:pPr>
    </w:p>
    <w:p w:rsidR="00294A7E" w:rsidRPr="006A233B" w:rsidRDefault="00294A7E" w:rsidP="00294A7E">
      <w:pPr>
        <w:widowControl w:val="0"/>
        <w:spacing w:before="120" w:after="120" w:line="240" w:lineRule="auto"/>
        <w:ind w:left="426" w:hanging="142"/>
        <w:jc w:val="center"/>
        <w:rPr>
          <w:rFonts w:ascii="Times New Roman" w:eastAsia="Times New Roman" w:hAnsi="Times New Roman" w:cs="Times New Roman"/>
          <w:b/>
          <w:bCs/>
        </w:rPr>
      </w:pPr>
      <w:r w:rsidRPr="006A233B">
        <w:rPr>
          <w:rFonts w:ascii="Times New Roman" w:eastAsia="Times New Roman" w:hAnsi="Times New Roman" w:cs="Times New Roman"/>
          <w:b/>
          <w:bCs/>
        </w:rPr>
        <w:t>TANTÁRGYI PROGRAM</w:t>
      </w:r>
    </w:p>
    <w:p w:rsidR="00294A7E" w:rsidRPr="008A1747" w:rsidRDefault="00294A7E" w:rsidP="00980876">
      <w:pPr>
        <w:widowControl w:val="0"/>
        <w:numPr>
          <w:ilvl w:val="0"/>
          <w:numId w:val="503"/>
        </w:numPr>
        <w:tabs>
          <w:tab w:val="clear" w:pos="720"/>
          <w:tab w:val="num" w:pos="426"/>
        </w:tabs>
        <w:spacing w:before="120" w:after="120" w:line="240" w:lineRule="auto"/>
        <w:ind w:left="641" w:hanging="357"/>
        <w:jc w:val="both"/>
        <w:rPr>
          <w:rFonts w:ascii="Times New Roman" w:eastAsia="Times New Roman" w:hAnsi="Times New Roman" w:cs="Times New Roman"/>
          <w:bCs/>
        </w:rPr>
      </w:pPr>
      <w:r w:rsidRPr="006A233B">
        <w:rPr>
          <w:rFonts w:ascii="Times New Roman" w:eastAsia="Times New Roman" w:hAnsi="Times New Roman" w:cs="Times New Roman"/>
          <w:b/>
          <w:bCs/>
        </w:rPr>
        <w:t xml:space="preserve">A tantárgy kódja: </w:t>
      </w:r>
      <w:r w:rsidRPr="008A1747">
        <w:rPr>
          <w:rFonts w:ascii="Times New Roman" w:eastAsia="Times New Roman" w:hAnsi="Times New Roman" w:cs="Times New Roman"/>
          <w:bCs/>
        </w:rPr>
        <w:t>HKHPKA525</w:t>
      </w:r>
    </w:p>
    <w:p w:rsidR="00294A7E" w:rsidRPr="008A1747" w:rsidRDefault="00294A7E" w:rsidP="00980876">
      <w:pPr>
        <w:widowControl w:val="0"/>
        <w:numPr>
          <w:ilvl w:val="0"/>
          <w:numId w:val="503"/>
        </w:numPr>
        <w:tabs>
          <w:tab w:val="clear" w:pos="720"/>
          <w:tab w:val="num" w:pos="426"/>
        </w:tabs>
        <w:spacing w:before="120" w:after="120" w:line="240" w:lineRule="auto"/>
        <w:ind w:left="641" w:hanging="357"/>
        <w:jc w:val="both"/>
        <w:rPr>
          <w:rFonts w:ascii="Times New Roman" w:eastAsia="Times New Roman" w:hAnsi="Times New Roman" w:cs="Times New Roman"/>
          <w:b/>
          <w:bCs/>
          <w:lang w:val="en-GB"/>
        </w:rPr>
      </w:pPr>
      <w:r w:rsidRPr="006A233B">
        <w:rPr>
          <w:rFonts w:ascii="Times New Roman" w:eastAsia="Times New Roman" w:hAnsi="Times New Roman" w:cs="Times New Roman"/>
          <w:b/>
          <w:bCs/>
        </w:rPr>
        <w:t>A tantárgy megnevezése (magyarul):</w:t>
      </w:r>
      <w:r w:rsidRPr="006A233B">
        <w:rPr>
          <w:rFonts w:ascii="Times New Roman" w:eastAsia="Times New Roman" w:hAnsi="Times New Roman" w:cs="Times New Roman"/>
          <w:bCs/>
        </w:rPr>
        <w:t xml:space="preserve"> </w:t>
      </w:r>
      <w:r>
        <w:rPr>
          <w:rFonts w:ascii="Times New Roman" w:eastAsia="Times New Roman" w:hAnsi="Times New Roman" w:cs="Times New Roman"/>
          <w:bCs/>
        </w:rPr>
        <w:t>Pénzügyek III. (</w:t>
      </w:r>
      <w:r>
        <w:rPr>
          <w:rFonts w:ascii="Times New Roman" w:hAnsi="Times New Roman" w:cs="Times New Roman"/>
          <w:bCs/>
        </w:rPr>
        <w:t>Vállalati pénzügyek II.)</w:t>
      </w:r>
    </w:p>
    <w:p w:rsidR="00294A7E" w:rsidRPr="006A233B" w:rsidRDefault="00294A7E" w:rsidP="00980876">
      <w:pPr>
        <w:widowControl w:val="0"/>
        <w:numPr>
          <w:ilvl w:val="0"/>
          <w:numId w:val="503"/>
        </w:numPr>
        <w:tabs>
          <w:tab w:val="num" w:pos="567"/>
        </w:tabs>
        <w:spacing w:before="120" w:after="120" w:line="240" w:lineRule="auto"/>
        <w:ind w:left="426" w:hanging="142"/>
        <w:jc w:val="both"/>
        <w:rPr>
          <w:rFonts w:ascii="Times New Roman" w:eastAsia="Times New Roman" w:hAnsi="Times New Roman" w:cs="Times New Roman"/>
          <w:b/>
          <w:bCs/>
          <w:lang w:val="en-GB"/>
        </w:rPr>
      </w:pPr>
      <w:r w:rsidRPr="006A233B">
        <w:rPr>
          <w:rFonts w:ascii="Times New Roman" w:eastAsia="Times New Roman" w:hAnsi="Times New Roman" w:cs="Times New Roman"/>
          <w:b/>
          <w:bCs/>
        </w:rPr>
        <w:t xml:space="preserve">A tantárgy megnevezése (angolul): </w:t>
      </w:r>
      <w:r w:rsidRPr="008A1747">
        <w:rPr>
          <w:rFonts w:ascii="Times New Roman" w:eastAsia="Times New Roman" w:hAnsi="Times New Roman" w:cs="Times New Roman"/>
          <w:bCs/>
        </w:rPr>
        <w:t>Finance III.</w:t>
      </w:r>
      <w:r>
        <w:rPr>
          <w:rFonts w:ascii="Times New Roman" w:eastAsia="Times New Roman" w:hAnsi="Times New Roman" w:cs="Times New Roman"/>
          <w:b/>
          <w:bCs/>
        </w:rPr>
        <w:t xml:space="preserve"> (</w:t>
      </w:r>
      <w:r>
        <w:rPr>
          <w:rFonts w:ascii="Times New Roman" w:hAnsi="Times New Roman" w:cs="Times New Roman"/>
          <w:bCs/>
        </w:rPr>
        <w:t>Corporate Finance II.)</w:t>
      </w:r>
    </w:p>
    <w:p w:rsidR="00294A7E" w:rsidRPr="006A233B" w:rsidRDefault="00294A7E" w:rsidP="00980876">
      <w:pPr>
        <w:widowControl w:val="0"/>
        <w:numPr>
          <w:ilvl w:val="0"/>
          <w:numId w:val="503"/>
        </w:numPr>
        <w:tabs>
          <w:tab w:val="num" w:pos="567"/>
        </w:tabs>
        <w:spacing w:before="120" w:after="120" w:line="240" w:lineRule="auto"/>
        <w:ind w:left="426" w:hanging="142"/>
        <w:jc w:val="both"/>
        <w:rPr>
          <w:rFonts w:ascii="Times New Roman" w:eastAsia="Times New Roman" w:hAnsi="Times New Roman" w:cs="Times New Roman"/>
          <w:b/>
          <w:bCs/>
        </w:rPr>
      </w:pPr>
      <w:r w:rsidRPr="006A233B">
        <w:rPr>
          <w:rFonts w:ascii="Times New Roman" w:eastAsia="Times New Roman" w:hAnsi="Times New Roman" w:cs="Times New Roman"/>
          <w:b/>
          <w:bCs/>
        </w:rPr>
        <w:t xml:space="preserve">Kreditérték és képzési karakter: </w:t>
      </w:r>
    </w:p>
    <w:p w:rsidR="00294A7E" w:rsidRPr="006A233B" w:rsidRDefault="00294A7E" w:rsidP="00980876">
      <w:pPr>
        <w:pStyle w:val="Listaszerbekezds"/>
        <w:widowControl w:val="0"/>
        <w:numPr>
          <w:ilvl w:val="1"/>
          <w:numId w:val="503"/>
        </w:numPr>
        <w:tabs>
          <w:tab w:val="clear" w:pos="3977"/>
        </w:tabs>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2</w:t>
      </w:r>
      <w:r w:rsidRPr="006A233B">
        <w:rPr>
          <w:rFonts w:ascii="Times New Roman" w:eastAsia="Times New Roman" w:hAnsi="Times New Roman" w:cs="Times New Roman"/>
          <w:bCs/>
        </w:rPr>
        <w:t xml:space="preserve"> kredit</w:t>
      </w:r>
    </w:p>
    <w:p w:rsidR="00294A7E" w:rsidRPr="006A233B" w:rsidRDefault="00294A7E" w:rsidP="00980876">
      <w:pPr>
        <w:pStyle w:val="Listaszerbekezds"/>
        <w:widowControl w:val="0"/>
        <w:numPr>
          <w:ilvl w:val="1"/>
          <w:numId w:val="503"/>
        </w:numPr>
        <w:tabs>
          <w:tab w:val="clear" w:pos="3977"/>
        </w:tabs>
        <w:spacing w:before="120" w:after="120" w:line="240" w:lineRule="auto"/>
        <w:ind w:left="993" w:hanging="426"/>
        <w:jc w:val="both"/>
        <w:rPr>
          <w:rFonts w:ascii="Times New Roman" w:eastAsia="Times New Roman" w:hAnsi="Times New Roman" w:cs="Times New Roman"/>
          <w:b/>
          <w:bCs/>
        </w:rPr>
      </w:pPr>
      <w:r w:rsidRPr="006A233B">
        <w:rPr>
          <w:rFonts w:ascii="Times New Roman" w:eastAsia="Times New Roman" w:hAnsi="Times New Roman" w:cs="Times New Roman"/>
          <w:bCs/>
        </w:rPr>
        <w:t xml:space="preserve">a tantárgy elméleti vagy gyakorlati jellegének mértéke: </w:t>
      </w:r>
      <w:r>
        <w:rPr>
          <w:rFonts w:ascii="Times New Roman" w:eastAsia="Times New Roman" w:hAnsi="Times New Roman" w:cs="Times New Roman"/>
          <w:bCs/>
        </w:rPr>
        <w:t>50</w:t>
      </w:r>
      <w:r w:rsidRPr="006A233B">
        <w:rPr>
          <w:rFonts w:ascii="Times New Roman" w:eastAsia="Times New Roman" w:hAnsi="Times New Roman" w:cs="Times New Roman"/>
          <w:b/>
          <w:bCs/>
        </w:rPr>
        <w:t xml:space="preserve"> </w:t>
      </w:r>
      <w:r w:rsidRPr="006A233B">
        <w:rPr>
          <w:rFonts w:ascii="Times New Roman" w:eastAsia="Times New Roman" w:hAnsi="Times New Roman" w:cs="Times New Roman"/>
          <w:bCs/>
        </w:rPr>
        <w:t xml:space="preserve">% gyakorlat, </w:t>
      </w:r>
      <w:r>
        <w:rPr>
          <w:rFonts w:ascii="Times New Roman" w:eastAsia="Times New Roman" w:hAnsi="Times New Roman" w:cs="Times New Roman"/>
          <w:bCs/>
        </w:rPr>
        <w:t>50</w:t>
      </w:r>
      <w:r w:rsidRPr="006A233B">
        <w:rPr>
          <w:rFonts w:ascii="Times New Roman" w:eastAsia="Times New Roman" w:hAnsi="Times New Roman" w:cs="Times New Roman"/>
          <w:bCs/>
        </w:rPr>
        <w:t xml:space="preserve"> % elmélet</w:t>
      </w:r>
    </w:p>
    <w:p w:rsidR="00294A7E" w:rsidRPr="006A233B" w:rsidRDefault="00294A7E" w:rsidP="00980876">
      <w:pPr>
        <w:widowControl w:val="0"/>
        <w:numPr>
          <w:ilvl w:val="0"/>
          <w:numId w:val="503"/>
        </w:numPr>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bCs/>
        </w:rPr>
        <w:t>A szak(ok), szakirányok/specializációk megnevezése (ahol oktatják):</w:t>
      </w:r>
      <w:r w:rsidRPr="006A233B">
        <w:rPr>
          <w:rFonts w:ascii="Times New Roman" w:eastAsia="Times New Roman" w:hAnsi="Times New Roman" w:cs="Times New Roman"/>
          <w:bCs/>
        </w:rPr>
        <w:t xml:space="preserve"> </w:t>
      </w:r>
      <w:r>
        <w:rPr>
          <w:rFonts w:ascii="Times New Roman" w:hAnsi="Times New Roman" w:cs="Times New Roman"/>
          <w:bCs/>
        </w:rPr>
        <w:t>Katonai logisztika alapképzési szak, Hadtáp, Katonai pénzügyi specializáció</w:t>
      </w:r>
    </w:p>
    <w:p w:rsidR="00294A7E" w:rsidRPr="006A233B" w:rsidRDefault="00294A7E" w:rsidP="00980876">
      <w:pPr>
        <w:widowControl w:val="0"/>
        <w:numPr>
          <w:ilvl w:val="0"/>
          <w:numId w:val="503"/>
        </w:numPr>
        <w:tabs>
          <w:tab w:val="num" w:pos="567"/>
        </w:tabs>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bCs/>
        </w:rPr>
        <w:t xml:space="preserve">Az oktatásért felelős oktatási szervezeti egység megnevezése: </w:t>
      </w:r>
      <w:r w:rsidRPr="006A233B">
        <w:rPr>
          <w:rFonts w:ascii="Times New Roman" w:hAnsi="Times New Roman" w:cs="Times New Roman"/>
          <w:bCs/>
        </w:rPr>
        <w:t>NKE HHK Had</w:t>
      </w:r>
      <w:r>
        <w:rPr>
          <w:rFonts w:ascii="Times New Roman" w:hAnsi="Times New Roman" w:cs="Times New Roman"/>
          <w:bCs/>
        </w:rPr>
        <w:t>táp, Pénzügyi és Katonai Közlekedési Tanszék</w:t>
      </w:r>
    </w:p>
    <w:p w:rsidR="00294A7E" w:rsidRPr="006A233B" w:rsidRDefault="00294A7E" w:rsidP="00980876">
      <w:pPr>
        <w:widowControl w:val="0"/>
        <w:numPr>
          <w:ilvl w:val="0"/>
          <w:numId w:val="503"/>
        </w:numPr>
        <w:tabs>
          <w:tab w:val="num" w:pos="567"/>
        </w:tabs>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bCs/>
        </w:rPr>
        <w:t>A tantárgyfelelős oktató neve, beosztása, tudományos fokozata:</w:t>
      </w:r>
      <w:r w:rsidRPr="006A233B">
        <w:rPr>
          <w:rFonts w:ascii="Times New Roman" w:eastAsia="Times New Roman" w:hAnsi="Times New Roman" w:cs="Times New Roman"/>
          <w:bCs/>
        </w:rPr>
        <w:t xml:space="preserve"> </w:t>
      </w:r>
      <w:r>
        <w:rPr>
          <w:rFonts w:ascii="Times New Roman" w:eastAsia="Times New Roman" w:hAnsi="Times New Roman" w:cs="Times New Roman"/>
          <w:bCs/>
        </w:rPr>
        <w:t>Dr. Kenessei Zsolt, gyakorlati oktató,</w:t>
      </w:r>
    </w:p>
    <w:p w:rsidR="00294A7E" w:rsidRPr="006A233B" w:rsidRDefault="00294A7E" w:rsidP="00980876">
      <w:pPr>
        <w:widowControl w:val="0"/>
        <w:numPr>
          <w:ilvl w:val="0"/>
          <w:numId w:val="503"/>
        </w:numPr>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bCs/>
        </w:rPr>
        <w:t>A tanórák száma és típusa</w:t>
      </w:r>
    </w:p>
    <w:p w:rsidR="00294A7E" w:rsidRPr="006A233B" w:rsidRDefault="00294A7E" w:rsidP="00980876">
      <w:pPr>
        <w:widowControl w:val="0"/>
        <w:numPr>
          <w:ilvl w:val="1"/>
          <w:numId w:val="503"/>
        </w:numPr>
        <w:tabs>
          <w:tab w:val="clear" w:pos="3977"/>
          <w:tab w:val="num" w:pos="709"/>
          <w:tab w:val="num" w:pos="2069"/>
        </w:tabs>
        <w:spacing w:before="120" w:after="120" w:line="240" w:lineRule="auto"/>
        <w:ind w:left="851" w:hanging="425"/>
        <w:jc w:val="both"/>
        <w:rPr>
          <w:rFonts w:ascii="Times New Roman" w:eastAsia="Times New Roman" w:hAnsi="Times New Roman" w:cs="Times New Roman"/>
          <w:bCs/>
        </w:rPr>
      </w:pPr>
      <w:r w:rsidRPr="006A233B">
        <w:rPr>
          <w:rFonts w:ascii="Times New Roman" w:eastAsia="Times New Roman" w:hAnsi="Times New Roman" w:cs="Times New Roman"/>
          <w:bCs/>
        </w:rPr>
        <w:t>össz óraszám/félév:</w:t>
      </w:r>
    </w:p>
    <w:p w:rsidR="00294A7E" w:rsidRPr="006A233B" w:rsidRDefault="00294A7E" w:rsidP="00980876">
      <w:pPr>
        <w:widowControl w:val="0"/>
        <w:numPr>
          <w:ilvl w:val="2"/>
          <w:numId w:val="503"/>
        </w:numPr>
        <w:tabs>
          <w:tab w:val="num" w:pos="709"/>
          <w:tab w:val="num" w:pos="1134"/>
        </w:tabs>
        <w:spacing w:before="120" w:after="120" w:line="240" w:lineRule="auto"/>
        <w:ind w:left="993" w:hanging="425"/>
        <w:jc w:val="both"/>
        <w:rPr>
          <w:rFonts w:ascii="Times New Roman" w:eastAsia="Times New Roman" w:hAnsi="Times New Roman" w:cs="Times New Roman"/>
          <w:bCs/>
        </w:rPr>
      </w:pPr>
      <w:r w:rsidRPr="006A233B">
        <w:rPr>
          <w:rFonts w:ascii="Times New Roman" w:eastAsia="Times New Roman" w:hAnsi="Times New Roman" w:cs="Times New Roman"/>
          <w:bCs/>
        </w:rPr>
        <w:t xml:space="preserve">nappali munkarend: </w:t>
      </w:r>
      <w:r>
        <w:rPr>
          <w:rFonts w:ascii="Times New Roman" w:eastAsia="Times New Roman" w:hAnsi="Times New Roman" w:cs="Times New Roman"/>
          <w:bCs/>
        </w:rPr>
        <w:t>28</w:t>
      </w:r>
      <w:r w:rsidRPr="006A233B">
        <w:rPr>
          <w:rFonts w:ascii="Times New Roman" w:eastAsia="Times New Roman" w:hAnsi="Times New Roman" w:cs="Times New Roman"/>
          <w:bCs/>
        </w:rPr>
        <w:t xml:space="preserve"> (</w:t>
      </w:r>
      <w:r>
        <w:rPr>
          <w:rFonts w:ascii="Times New Roman" w:eastAsia="Times New Roman" w:hAnsi="Times New Roman" w:cs="Times New Roman"/>
          <w:bCs/>
        </w:rPr>
        <w:t>14</w:t>
      </w:r>
      <w:r w:rsidRPr="006A233B">
        <w:rPr>
          <w:rFonts w:ascii="Times New Roman" w:eastAsia="Times New Roman" w:hAnsi="Times New Roman" w:cs="Times New Roman"/>
          <w:bCs/>
        </w:rPr>
        <w:t xml:space="preserve"> EA + 0 SZ + </w:t>
      </w:r>
      <w:r>
        <w:rPr>
          <w:rFonts w:ascii="Times New Roman" w:eastAsia="Times New Roman" w:hAnsi="Times New Roman" w:cs="Times New Roman"/>
          <w:bCs/>
        </w:rPr>
        <w:t>14</w:t>
      </w:r>
      <w:r w:rsidRPr="006A233B">
        <w:rPr>
          <w:rFonts w:ascii="Times New Roman" w:eastAsia="Times New Roman" w:hAnsi="Times New Roman" w:cs="Times New Roman"/>
          <w:bCs/>
        </w:rPr>
        <w:t xml:space="preserve"> GY)</w:t>
      </w:r>
    </w:p>
    <w:p w:rsidR="00294A7E" w:rsidRPr="006A233B" w:rsidRDefault="00294A7E" w:rsidP="00980876">
      <w:pPr>
        <w:widowControl w:val="0"/>
        <w:numPr>
          <w:ilvl w:val="2"/>
          <w:numId w:val="503"/>
        </w:numPr>
        <w:tabs>
          <w:tab w:val="num" w:pos="709"/>
          <w:tab w:val="num" w:pos="1134"/>
        </w:tabs>
        <w:spacing w:before="120" w:after="120" w:line="240" w:lineRule="auto"/>
        <w:ind w:left="993" w:hanging="425"/>
        <w:jc w:val="both"/>
        <w:rPr>
          <w:rFonts w:ascii="Times New Roman" w:eastAsia="Times New Roman" w:hAnsi="Times New Roman" w:cs="Times New Roman"/>
          <w:bCs/>
        </w:rPr>
      </w:pPr>
      <w:r w:rsidRPr="006A233B">
        <w:rPr>
          <w:rFonts w:ascii="Times New Roman" w:eastAsia="Times New Roman" w:hAnsi="Times New Roman" w:cs="Times New Roman"/>
          <w:bCs/>
        </w:rPr>
        <w:t xml:space="preserve">levelező munkarend: </w:t>
      </w:r>
      <w:r>
        <w:rPr>
          <w:rFonts w:ascii="Times New Roman" w:eastAsia="Times New Roman" w:hAnsi="Times New Roman" w:cs="Times New Roman"/>
          <w:bCs/>
        </w:rPr>
        <w:t>-</w:t>
      </w:r>
    </w:p>
    <w:p w:rsidR="00294A7E" w:rsidRPr="006A233B" w:rsidRDefault="00294A7E" w:rsidP="00980876">
      <w:pPr>
        <w:widowControl w:val="0"/>
        <w:numPr>
          <w:ilvl w:val="1"/>
          <w:numId w:val="503"/>
        </w:numPr>
        <w:tabs>
          <w:tab w:val="clear" w:pos="3977"/>
          <w:tab w:val="num" w:pos="709"/>
          <w:tab w:val="num" w:pos="2069"/>
        </w:tabs>
        <w:spacing w:before="120" w:after="120" w:line="240" w:lineRule="auto"/>
        <w:ind w:left="851" w:hanging="425"/>
        <w:jc w:val="both"/>
        <w:rPr>
          <w:rFonts w:ascii="Times New Roman" w:eastAsia="Times New Roman" w:hAnsi="Times New Roman" w:cs="Times New Roman"/>
          <w:bCs/>
        </w:rPr>
      </w:pPr>
      <w:r w:rsidRPr="006A233B">
        <w:rPr>
          <w:rFonts w:ascii="Times New Roman" w:eastAsia="Times New Roman" w:hAnsi="Times New Roman" w:cs="Times New Roman"/>
          <w:bCs/>
        </w:rPr>
        <w:t xml:space="preserve">heti óraszám - nappali munkarend: </w:t>
      </w:r>
      <w:r>
        <w:rPr>
          <w:rFonts w:ascii="Times New Roman" w:eastAsia="Times New Roman" w:hAnsi="Times New Roman" w:cs="Times New Roman"/>
          <w:bCs/>
        </w:rPr>
        <w:t>1</w:t>
      </w:r>
    </w:p>
    <w:p w:rsidR="00294A7E" w:rsidRPr="006A233B" w:rsidRDefault="00294A7E" w:rsidP="00980876">
      <w:pPr>
        <w:widowControl w:val="0"/>
        <w:numPr>
          <w:ilvl w:val="1"/>
          <w:numId w:val="503"/>
        </w:numPr>
        <w:tabs>
          <w:tab w:val="clear" w:pos="3977"/>
          <w:tab w:val="num" w:pos="709"/>
          <w:tab w:val="num" w:pos="2069"/>
        </w:tabs>
        <w:spacing w:before="120" w:after="120" w:line="240" w:lineRule="auto"/>
        <w:ind w:left="851" w:hanging="425"/>
        <w:jc w:val="both"/>
        <w:rPr>
          <w:rFonts w:ascii="Times New Roman" w:eastAsia="Times New Roman" w:hAnsi="Times New Roman" w:cs="Times New Roman"/>
          <w:bCs/>
        </w:rPr>
      </w:pPr>
      <w:r w:rsidRPr="006A233B">
        <w:rPr>
          <w:rFonts w:ascii="Times New Roman" w:hAnsi="Times New Roman" w:cs="Times New Roman"/>
        </w:rPr>
        <w:t>Az ismeret átadásában alkalmazandó további sajátos módok, jellemzők:</w:t>
      </w:r>
      <w:r w:rsidRPr="006A233B">
        <w:rPr>
          <w:rFonts w:ascii="Times New Roman" w:hAnsi="Times New Roman" w:cs="Times New Roman"/>
          <w:i/>
        </w:rPr>
        <w:t xml:space="preserve"> –</w:t>
      </w:r>
    </w:p>
    <w:p w:rsidR="00294A7E" w:rsidRPr="006A233B" w:rsidRDefault="00294A7E" w:rsidP="00980876">
      <w:pPr>
        <w:widowControl w:val="0"/>
        <w:numPr>
          <w:ilvl w:val="0"/>
          <w:numId w:val="503"/>
        </w:numPr>
        <w:tabs>
          <w:tab w:val="clear" w:pos="720"/>
        </w:tabs>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bCs/>
        </w:rPr>
        <w:t>A tantárgy szakmai tartalma (magyarul):</w:t>
      </w:r>
      <w:r w:rsidRPr="006A233B">
        <w:rPr>
          <w:rFonts w:ascii="Times New Roman" w:eastAsia="Times New Roman" w:hAnsi="Times New Roman" w:cs="Times New Roman"/>
          <w:bCs/>
        </w:rPr>
        <w:t xml:space="preserve"> </w:t>
      </w:r>
      <w:r w:rsidRPr="00E15171">
        <w:rPr>
          <w:rFonts w:ascii="Times New Roman" w:hAnsi="Times New Roman" w:cs="Times New Roman"/>
          <w:bCs/>
        </w:rPr>
        <w:t>A tantárgy a</w:t>
      </w:r>
      <w:r>
        <w:rPr>
          <w:rFonts w:ascii="Times New Roman" w:hAnsi="Times New Roman" w:cs="Times New Roman"/>
          <w:bCs/>
        </w:rPr>
        <w:t xml:space="preserve"> gazdálkodó szervezetek pénzügyi rendszerével foglalkozik (vállalatok pénzügyi tervezése).</w:t>
      </w:r>
    </w:p>
    <w:p w:rsidR="00294A7E" w:rsidRPr="00E90621" w:rsidRDefault="00294A7E" w:rsidP="00294A7E">
      <w:pPr>
        <w:widowControl w:val="0"/>
        <w:spacing w:before="120" w:after="120" w:line="240" w:lineRule="auto"/>
        <w:ind w:left="426"/>
        <w:jc w:val="both"/>
        <w:rPr>
          <w:rFonts w:ascii="Times New Roman" w:hAnsi="Times New Roman" w:cs="Times New Roman"/>
          <w:bCs/>
          <w:lang w:val="en-US"/>
        </w:rPr>
      </w:pPr>
      <w:r w:rsidRPr="006A233B">
        <w:rPr>
          <w:rFonts w:ascii="Times New Roman" w:eastAsia="Times New Roman" w:hAnsi="Times New Roman" w:cs="Times New Roman"/>
          <w:b/>
          <w:bCs/>
        </w:rPr>
        <w:t>A tantárgy szakmai tartalma (angolul) (</w:t>
      </w:r>
      <w:r w:rsidRPr="006A233B">
        <w:rPr>
          <w:rFonts w:ascii="Times New Roman" w:eastAsia="Times New Roman" w:hAnsi="Times New Roman" w:cs="Times New Roman"/>
          <w:b/>
          <w:bCs/>
          <w:lang w:val="en-US"/>
        </w:rPr>
        <w:t>Course description</w:t>
      </w:r>
      <w:r w:rsidRPr="006A233B">
        <w:rPr>
          <w:rFonts w:ascii="Times New Roman" w:eastAsia="Times New Roman" w:hAnsi="Times New Roman" w:cs="Times New Roman"/>
          <w:b/>
          <w:bCs/>
        </w:rPr>
        <w:t xml:space="preserve">): </w:t>
      </w:r>
      <w:r w:rsidRPr="00E15171">
        <w:rPr>
          <w:rFonts w:ascii="Times New Roman" w:hAnsi="Times New Roman" w:cs="Times New Roman"/>
          <w:bCs/>
          <w:lang w:val="en-US"/>
        </w:rPr>
        <w:t xml:space="preserve">This subject deals with </w:t>
      </w:r>
      <w:r>
        <w:rPr>
          <w:rFonts w:ascii="Times New Roman" w:hAnsi="Times New Roman" w:cs="Times New Roman"/>
          <w:bCs/>
          <w:lang w:val="en-US"/>
        </w:rPr>
        <w:t>financial system of corporate (corporate financial planning).</w:t>
      </w:r>
    </w:p>
    <w:p w:rsidR="00294A7E" w:rsidRPr="00E90621" w:rsidRDefault="00294A7E" w:rsidP="00980876">
      <w:pPr>
        <w:pStyle w:val="Listaszerbekezds"/>
        <w:widowControl w:val="0"/>
        <w:numPr>
          <w:ilvl w:val="0"/>
          <w:numId w:val="503"/>
        </w:numPr>
        <w:tabs>
          <w:tab w:val="clear" w:pos="720"/>
          <w:tab w:val="num" w:pos="426"/>
        </w:tabs>
        <w:spacing w:before="120" w:after="120" w:line="240" w:lineRule="auto"/>
        <w:jc w:val="both"/>
        <w:rPr>
          <w:rFonts w:ascii="Times New Roman" w:hAnsi="Times New Roman" w:cs="Times New Roman"/>
          <w:bCs/>
          <w:lang w:val="en-US"/>
        </w:rPr>
      </w:pPr>
      <w:r w:rsidRPr="00E90621">
        <w:rPr>
          <w:rFonts w:ascii="Times New Roman" w:eastAsia="Times New Roman" w:hAnsi="Times New Roman" w:cs="Times New Roman"/>
          <w:b/>
          <w:bCs/>
        </w:rPr>
        <w:t>Elérendő kompetenciák (magyarul):</w:t>
      </w:r>
      <w:r w:rsidRPr="00E90621">
        <w:rPr>
          <w:rFonts w:ascii="Times New Roman" w:eastAsia="Times New Roman" w:hAnsi="Times New Roman" w:cs="Times New Roman"/>
          <w:bCs/>
        </w:rPr>
        <w:t xml:space="preserve"> </w:t>
      </w:r>
    </w:p>
    <w:p w:rsidR="00294A7E" w:rsidRPr="00DC607B" w:rsidRDefault="00294A7E" w:rsidP="00294A7E">
      <w:pPr>
        <w:widowControl w:val="0"/>
        <w:spacing w:before="120" w:after="0" w:line="240" w:lineRule="auto"/>
        <w:ind w:left="425"/>
        <w:jc w:val="both"/>
        <w:rPr>
          <w:rFonts w:ascii="Times New Roman" w:eastAsia="Times New Roman" w:hAnsi="Times New Roman" w:cs="Times New Roman"/>
          <w:bCs/>
        </w:rPr>
      </w:pPr>
      <w:r w:rsidRPr="00DC607B">
        <w:rPr>
          <w:rFonts w:ascii="Times New Roman" w:eastAsia="Times New Roman" w:hAnsi="Times New Roman" w:cs="Times New Roman"/>
          <w:b/>
          <w:bCs/>
        </w:rPr>
        <w:t>Tudása:</w:t>
      </w:r>
    </w:p>
    <w:p w:rsidR="00294A7E" w:rsidRDefault="00294A7E" w:rsidP="00980876">
      <w:pPr>
        <w:pStyle w:val="Listaszerbekezds"/>
        <w:widowControl w:val="0"/>
        <w:numPr>
          <w:ilvl w:val="0"/>
          <w:numId w:val="490"/>
        </w:numPr>
        <w:spacing w:after="0" w:line="240" w:lineRule="auto"/>
        <w:ind w:left="992" w:hanging="357"/>
        <w:jc w:val="both"/>
        <w:rPr>
          <w:rFonts w:ascii="Times New Roman" w:hAnsi="Times New Roman" w:cs="Times New Roman"/>
        </w:rPr>
      </w:pPr>
      <w:r w:rsidRPr="00C45187">
        <w:rPr>
          <w:rFonts w:ascii="Times New Roman" w:hAnsi="Times New Roman" w:cs="Times New Roman"/>
        </w:rPr>
        <w:t>Ismeri a gazdaság és a piacok működésének alapjait.</w:t>
      </w:r>
    </w:p>
    <w:p w:rsidR="00294A7E" w:rsidRPr="00C45187" w:rsidRDefault="00294A7E" w:rsidP="00980876">
      <w:pPr>
        <w:pStyle w:val="Listaszerbekezds"/>
        <w:widowControl w:val="0"/>
        <w:numPr>
          <w:ilvl w:val="0"/>
          <w:numId w:val="490"/>
        </w:numPr>
        <w:spacing w:after="0" w:line="240" w:lineRule="auto"/>
        <w:ind w:left="992" w:hanging="357"/>
        <w:jc w:val="both"/>
        <w:rPr>
          <w:rFonts w:ascii="Times New Roman" w:hAnsi="Times New Roman" w:cs="Times New Roman"/>
        </w:rPr>
      </w:pPr>
      <w:r w:rsidRPr="00C45187">
        <w:rPr>
          <w:rFonts w:ascii="Times New Roman" w:hAnsi="Times New Roman" w:cs="Times New Roman"/>
        </w:rPr>
        <w:t>Ismeri a vállalkozások pénzügyi rendszerének alapjait.</w:t>
      </w:r>
    </w:p>
    <w:p w:rsidR="00294A7E" w:rsidRPr="00DC607B" w:rsidRDefault="00294A7E" w:rsidP="00294A7E">
      <w:pPr>
        <w:widowControl w:val="0"/>
        <w:spacing w:before="120" w:after="0" w:line="240" w:lineRule="auto"/>
        <w:ind w:left="425"/>
        <w:jc w:val="both"/>
        <w:rPr>
          <w:rFonts w:ascii="Times New Roman" w:eastAsia="Times New Roman" w:hAnsi="Times New Roman" w:cs="Times New Roman"/>
          <w:bCs/>
        </w:rPr>
      </w:pPr>
      <w:r w:rsidRPr="00DC607B">
        <w:rPr>
          <w:rFonts w:ascii="Times New Roman" w:eastAsia="Times New Roman" w:hAnsi="Times New Roman" w:cs="Times New Roman"/>
          <w:b/>
          <w:bCs/>
        </w:rPr>
        <w:t>Képességei:</w:t>
      </w:r>
      <w:r w:rsidRPr="00DC607B">
        <w:rPr>
          <w:rFonts w:ascii="Times New Roman" w:eastAsia="Times New Roman" w:hAnsi="Times New Roman" w:cs="Times New Roman"/>
          <w:bCs/>
        </w:rPr>
        <w:t xml:space="preserve"> </w:t>
      </w:r>
    </w:p>
    <w:p w:rsidR="00294A7E" w:rsidRDefault="00294A7E" w:rsidP="00980876">
      <w:pPr>
        <w:pStyle w:val="Listaszerbekezds"/>
        <w:widowControl w:val="0"/>
        <w:numPr>
          <w:ilvl w:val="0"/>
          <w:numId w:val="491"/>
        </w:numPr>
        <w:spacing w:after="0" w:line="240" w:lineRule="auto"/>
        <w:ind w:left="992" w:hanging="357"/>
        <w:jc w:val="both"/>
        <w:rPr>
          <w:rFonts w:ascii="Times New Roman" w:hAnsi="Times New Roman" w:cs="Times New Roman"/>
        </w:rPr>
      </w:pPr>
      <w:r w:rsidRPr="00C45187">
        <w:rPr>
          <w:rFonts w:ascii="Times New Roman" w:hAnsi="Times New Roman" w:cs="Times New Roman"/>
        </w:rPr>
        <w:t>Képes pontos és precíz logisztikai, illetve gazdálkodási számvetéseket készíteni.</w:t>
      </w:r>
    </w:p>
    <w:p w:rsidR="00294A7E" w:rsidRDefault="00294A7E" w:rsidP="00980876">
      <w:pPr>
        <w:pStyle w:val="Listaszerbekezds"/>
        <w:widowControl w:val="0"/>
        <w:numPr>
          <w:ilvl w:val="0"/>
          <w:numId w:val="491"/>
        </w:numPr>
        <w:spacing w:after="0" w:line="240" w:lineRule="auto"/>
        <w:ind w:left="992" w:hanging="357"/>
        <w:jc w:val="both"/>
        <w:rPr>
          <w:rFonts w:ascii="Times New Roman" w:hAnsi="Times New Roman" w:cs="Times New Roman"/>
        </w:rPr>
      </w:pPr>
      <w:r w:rsidRPr="00C45187">
        <w:rPr>
          <w:rFonts w:ascii="Times New Roman" w:hAnsi="Times New Roman" w:cs="Times New Roman"/>
        </w:rPr>
        <w:t>Képes gazdálkodási feladatok alapszintű tervezésére, szervezésére, irányítására és az ebből adódó tevékenységek gazdasági elemzésinek végrehajtására.</w:t>
      </w:r>
    </w:p>
    <w:p w:rsidR="00294A7E" w:rsidRPr="00C45187" w:rsidRDefault="00294A7E" w:rsidP="00980876">
      <w:pPr>
        <w:pStyle w:val="Listaszerbekezds"/>
        <w:widowControl w:val="0"/>
        <w:numPr>
          <w:ilvl w:val="0"/>
          <w:numId w:val="491"/>
        </w:numPr>
        <w:spacing w:after="0" w:line="240" w:lineRule="auto"/>
        <w:ind w:left="992" w:hanging="357"/>
        <w:jc w:val="both"/>
        <w:rPr>
          <w:rFonts w:ascii="Times New Roman" w:hAnsi="Times New Roman" w:cs="Times New Roman"/>
        </w:rPr>
      </w:pPr>
      <w:r w:rsidRPr="00C45187">
        <w:rPr>
          <w:rFonts w:ascii="Times New Roman" w:hAnsi="Times New Roman" w:cs="Times New Roman"/>
        </w:rPr>
        <w:t>Képes egység szintű közbeszerzéseket lefolytatni.</w:t>
      </w:r>
    </w:p>
    <w:p w:rsidR="00294A7E" w:rsidRPr="00DC607B" w:rsidRDefault="00294A7E" w:rsidP="00294A7E">
      <w:pPr>
        <w:widowControl w:val="0"/>
        <w:spacing w:before="120" w:after="0" w:line="240" w:lineRule="auto"/>
        <w:ind w:left="425"/>
        <w:jc w:val="both"/>
        <w:rPr>
          <w:rFonts w:ascii="Times New Roman" w:eastAsia="Times New Roman" w:hAnsi="Times New Roman" w:cs="Times New Roman"/>
          <w:bCs/>
        </w:rPr>
      </w:pPr>
      <w:r w:rsidRPr="00DC607B">
        <w:rPr>
          <w:rFonts w:ascii="Times New Roman" w:eastAsia="Times New Roman" w:hAnsi="Times New Roman" w:cs="Times New Roman"/>
          <w:b/>
          <w:bCs/>
        </w:rPr>
        <w:t>Attitűdje:</w:t>
      </w:r>
      <w:r w:rsidRPr="00DC607B">
        <w:rPr>
          <w:rFonts w:ascii="Times New Roman" w:eastAsia="Times New Roman" w:hAnsi="Times New Roman" w:cs="Times New Roman"/>
          <w:bCs/>
        </w:rPr>
        <w:t xml:space="preserve"> </w:t>
      </w:r>
    </w:p>
    <w:p w:rsidR="00294A7E" w:rsidRDefault="00294A7E" w:rsidP="00980876">
      <w:pPr>
        <w:pStyle w:val="Listaszerbekezds"/>
        <w:numPr>
          <w:ilvl w:val="0"/>
          <w:numId w:val="492"/>
        </w:numPr>
        <w:autoSpaceDE w:val="0"/>
        <w:autoSpaceDN w:val="0"/>
        <w:adjustRightInd w:val="0"/>
        <w:spacing w:after="0" w:line="240" w:lineRule="auto"/>
        <w:ind w:left="992" w:hanging="357"/>
        <w:jc w:val="both"/>
        <w:rPr>
          <w:rFonts w:ascii="Times New Roman" w:hAnsi="Times New Roman" w:cs="Times New Roman"/>
        </w:rPr>
      </w:pPr>
      <w:r w:rsidRPr="00C45187">
        <w:rPr>
          <w:rFonts w:ascii="Times New Roman" w:hAnsi="Times New Roman" w:cs="Times New Roman"/>
        </w:rPr>
        <w:t>A minőségi szakmai munkavégzés iránt elkötelezett, azt a pontosságra való törekvés jellemzi.</w:t>
      </w:r>
    </w:p>
    <w:p w:rsidR="00294A7E" w:rsidRDefault="00294A7E" w:rsidP="00980876">
      <w:pPr>
        <w:pStyle w:val="Listaszerbekezds"/>
        <w:numPr>
          <w:ilvl w:val="0"/>
          <w:numId w:val="492"/>
        </w:numPr>
        <w:autoSpaceDE w:val="0"/>
        <w:autoSpaceDN w:val="0"/>
        <w:adjustRightInd w:val="0"/>
        <w:spacing w:after="0" w:line="240" w:lineRule="auto"/>
        <w:ind w:left="992" w:hanging="357"/>
        <w:jc w:val="both"/>
        <w:rPr>
          <w:rFonts w:ascii="Times New Roman" w:hAnsi="Times New Roman" w:cs="Times New Roman"/>
        </w:rPr>
      </w:pPr>
      <w:r w:rsidRPr="00C45187">
        <w:rPr>
          <w:rFonts w:ascii="Times New Roman" w:hAnsi="Times New Roman" w:cs="Times New Roman"/>
        </w:rPr>
        <w:t>Felismeri a rendszerszintű tevékenységben rejlő értékeket, törekszik a logisztikai tevékenységek közötti kapcsolatok értelmezésére.</w:t>
      </w:r>
    </w:p>
    <w:p w:rsidR="00294A7E" w:rsidRPr="00C45187" w:rsidRDefault="00294A7E" w:rsidP="00980876">
      <w:pPr>
        <w:pStyle w:val="Listaszerbekezds"/>
        <w:numPr>
          <w:ilvl w:val="0"/>
          <w:numId w:val="492"/>
        </w:numPr>
        <w:autoSpaceDE w:val="0"/>
        <w:autoSpaceDN w:val="0"/>
        <w:adjustRightInd w:val="0"/>
        <w:spacing w:after="0" w:line="240" w:lineRule="auto"/>
        <w:ind w:left="992" w:hanging="357"/>
        <w:jc w:val="both"/>
        <w:rPr>
          <w:rFonts w:ascii="Times New Roman" w:hAnsi="Times New Roman" w:cs="Times New Roman"/>
        </w:rPr>
      </w:pPr>
      <w:r w:rsidRPr="00C45187">
        <w:rPr>
          <w:rFonts w:ascii="Times New Roman" w:hAnsi="Times New Roman" w:cs="Times New Roman"/>
        </w:rPr>
        <w:t>Tevékenységét a hatékonyság központú szemlélet jellemzi.</w:t>
      </w:r>
    </w:p>
    <w:p w:rsidR="00294A7E" w:rsidRPr="006A233B" w:rsidRDefault="00294A7E" w:rsidP="00294A7E">
      <w:pPr>
        <w:widowControl w:val="0"/>
        <w:spacing w:before="120" w:after="0" w:line="240" w:lineRule="auto"/>
        <w:ind w:left="425"/>
        <w:jc w:val="both"/>
        <w:rPr>
          <w:rFonts w:ascii="Times New Roman" w:eastAsia="Times New Roman" w:hAnsi="Times New Roman" w:cs="Times New Roman"/>
          <w:bCs/>
        </w:rPr>
      </w:pPr>
      <w:r w:rsidRPr="006A233B">
        <w:rPr>
          <w:rFonts w:ascii="Times New Roman" w:eastAsia="Times New Roman" w:hAnsi="Times New Roman" w:cs="Times New Roman"/>
          <w:b/>
          <w:bCs/>
        </w:rPr>
        <w:t>Autonómiája és felelőssége:</w:t>
      </w:r>
    </w:p>
    <w:p w:rsidR="00294A7E" w:rsidRPr="00C45187" w:rsidRDefault="00294A7E" w:rsidP="00980876">
      <w:pPr>
        <w:pStyle w:val="Listaszerbekezds"/>
        <w:widowControl w:val="0"/>
        <w:numPr>
          <w:ilvl w:val="0"/>
          <w:numId w:val="493"/>
        </w:numPr>
        <w:spacing w:after="0" w:line="240" w:lineRule="auto"/>
        <w:ind w:left="992" w:hanging="357"/>
        <w:jc w:val="both"/>
        <w:rPr>
          <w:rFonts w:ascii="Times New Roman" w:hAnsi="Times New Roman" w:cs="Times New Roman"/>
        </w:rPr>
      </w:pPr>
      <w:r w:rsidRPr="00C45187">
        <w:rPr>
          <w:rFonts w:ascii="Times New Roman" w:hAnsi="Times New Roman" w:cs="Times New Roman"/>
        </w:rPr>
        <w:t>Felelősséget vállal számvetéseinek pontosságáért.</w:t>
      </w:r>
    </w:p>
    <w:p w:rsidR="00294A7E" w:rsidRPr="004A67AB" w:rsidRDefault="00294A7E" w:rsidP="00294A7E">
      <w:pPr>
        <w:widowControl w:val="0"/>
        <w:spacing w:before="120" w:after="0" w:line="240" w:lineRule="auto"/>
        <w:ind w:left="425"/>
        <w:jc w:val="both"/>
        <w:rPr>
          <w:rFonts w:ascii="Times New Roman" w:eastAsia="Times New Roman" w:hAnsi="Times New Roman" w:cs="Times New Roman"/>
          <w:b/>
          <w:bCs/>
          <w:lang w:val="en-US"/>
        </w:rPr>
      </w:pPr>
      <w:r w:rsidRPr="006A233B">
        <w:rPr>
          <w:rFonts w:ascii="Times New Roman" w:eastAsia="Times New Roman" w:hAnsi="Times New Roman" w:cs="Times New Roman"/>
          <w:b/>
          <w:bCs/>
        </w:rPr>
        <w:lastRenderedPageBreak/>
        <w:t>Elérendő kompetenciák (angolul) (</w:t>
      </w:r>
      <w:r w:rsidRPr="006A233B">
        <w:rPr>
          <w:rFonts w:ascii="Times New Roman" w:eastAsia="Times New Roman" w:hAnsi="Times New Roman" w:cs="Times New Roman"/>
          <w:b/>
          <w:bCs/>
          <w:lang w:val="en-US"/>
        </w:rPr>
        <w:t xml:space="preserve">Competences – English): </w:t>
      </w:r>
    </w:p>
    <w:p w:rsidR="00294A7E" w:rsidRDefault="00294A7E" w:rsidP="00294A7E">
      <w:pPr>
        <w:widowControl w:val="0"/>
        <w:spacing w:before="120" w:after="0" w:line="240" w:lineRule="auto"/>
        <w:ind w:left="425"/>
        <w:jc w:val="both"/>
        <w:rPr>
          <w:rFonts w:ascii="Times New Roman" w:eastAsia="Times New Roman" w:hAnsi="Times New Roman" w:cs="Times New Roman"/>
          <w:lang w:val="en-GB"/>
        </w:rPr>
      </w:pPr>
      <w:r w:rsidRPr="006A233B">
        <w:rPr>
          <w:rFonts w:ascii="Times New Roman" w:eastAsia="Times New Roman" w:hAnsi="Times New Roman" w:cs="Times New Roman"/>
          <w:b/>
          <w:lang w:val="en-GB"/>
        </w:rPr>
        <w:t>Knowledge</w:t>
      </w:r>
      <w:r w:rsidRPr="006A233B">
        <w:rPr>
          <w:rFonts w:ascii="Times New Roman" w:eastAsia="Times New Roman" w:hAnsi="Times New Roman" w:cs="Times New Roman"/>
          <w:lang w:val="en-GB"/>
        </w:rPr>
        <w:t xml:space="preserve">: </w:t>
      </w:r>
    </w:p>
    <w:p w:rsidR="00294A7E" w:rsidRDefault="00294A7E" w:rsidP="00980876">
      <w:pPr>
        <w:pStyle w:val="Listaszerbekezds"/>
        <w:widowControl w:val="0"/>
        <w:numPr>
          <w:ilvl w:val="0"/>
          <w:numId w:val="493"/>
        </w:numPr>
        <w:spacing w:after="0" w:line="240" w:lineRule="auto"/>
        <w:ind w:left="992" w:hanging="357"/>
        <w:jc w:val="both"/>
        <w:rPr>
          <w:rFonts w:ascii="Times New Roman" w:eastAsia="Times New Roman" w:hAnsi="Times New Roman" w:cs="Times New Roman"/>
          <w:lang w:val="en-GB"/>
        </w:rPr>
      </w:pPr>
      <w:r w:rsidRPr="00C45187">
        <w:rPr>
          <w:rFonts w:ascii="Times New Roman" w:eastAsia="Times New Roman" w:hAnsi="Times New Roman" w:cs="Times New Roman"/>
          <w:lang w:val="en-GB"/>
        </w:rPr>
        <w:t>To be able to familiar with market mechanisms and the fundamentals of economics.</w:t>
      </w:r>
    </w:p>
    <w:p w:rsidR="00294A7E" w:rsidRPr="00C45187" w:rsidRDefault="00294A7E" w:rsidP="00980876">
      <w:pPr>
        <w:pStyle w:val="Listaszerbekezds"/>
        <w:widowControl w:val="0"/>
        <w:numPr>
          <w:ilvl w:val="0"/>
          <w:numId w:val="493"/>
        </w:numPr>
        <w:spacing w:after="0" w:line="240" w:lineRule="auto"/>
        <w:ind w:left="992" w:hanging="357"/>
        <w:jc w:val="both"/>
        <w:rPr>
          <w:rFonts w:ascii="Times New Roman" w:eastAsia="Times New Roman" w:hAnsi="Times New Roman" w:cs="Times New Roman"/>
          <w:lang w:val="en-GB"/>
        </w:rPr>
      </w:pPr>
      <w:r w:rsidRPr="00C45187">
        <w:rPr>
          <w:rFonts w:ascii="Times New Roman" w:eastAsia="Times New Roman" w:hAnsi="Times New Roman" w:cs="Times New Roman"/>
          <w:lang w:val="en-GB"/>
        </w:rPr>
        <w:t>To be able to familiar with the fundamentals of corporate finance system.</w:t>
      </w:r>
    </w:p>
    <w:p w:rsidR="00294A7E" w:rsidRDefault="00294A7E" w:rsidP="00294A7E">
      <w:pPr>
        <w:widowControl w:val="0"/>
        <w:spacing w:before="120" w:after="0" w:line="240" w:lineRule="auto"/>
        <w:ind w:left="425"/>
        <w:jc w:val="both"/>
        <w:rPr>
          <w:rFonts w:ascii="Times New Roman" w:eastAsia="Times New Roman" w:hAnsi="Times New Roman" w:cs="Times New Roman"/>
          <w:lang w:val="en-GB"/>
        </w:rPr>
      </w:pPr>
      <w:r w:rsidRPr="006A233B">
        <w:rPr>
          <w:rFonts w:ascii="Times New Roman" w:eastAsia="Times New Roman" w:hAnsi="Times New Roman" w:cs="Times New Roman"/>
          <w:b/>
          <w:lang w:val="en-GB"/>
        </w:rPr>
        <w:t>Capabilities</w:t>
      </w:r>
      <w:r w:rsidRPr="006A233B">
        <w:rPr>
          <w:rFonts w:ascii="Times New Roman" w:eastAsia="Times New Roman" w:hAnsi="Times New Roman" w:cs="Times New Roman"/>
          <w:lang w:val="en-GB"/>
        </w:rPr>
        <w:t xml:space="preserve">: </w:t>
      </w:r>
    </w:p>
    <w:p w:rsidR="00294A7E" w:rsidRDefault="00294A7E" w:rsidP="00980876">
      <w:pPr>
        <w:pStyle w:val="Listaszerbekezds"/>
        <w:widowControl w:val="0"/>
        <w:numPr>
          <w:ilvl w:val="0"/>
          <w:numId w:val="494"/>
        </w:numPr>
        <w:spacing w:after="0" w:line="240" w:lineRule="auto"/>
        <w:ind w:left="992" w:hanging="357"/>
        <w:jc w:val="both"/>
        <w:rPr>
          <w:rFonts w:ascii="Times New Roman" w:eastAsia="Times New Roman" w:hAnsi="Times New Roman" w:cs="Times New Roman"/>
          <w:lang w:val="en-GB"/>
        </w:rPr>
      </w:pPr>
      <w:r w:rsidRPr="00C45187">
        <w:rPr>
          <w:rFonts w:ascii="Times New Roman" w:eastAsia="Times New Roman" w:hAnsi="Times New Roman" w:cs="Times New Roman"/>
          <w:lang w:val="en-GB"/>
        </w:rPr>
        <w:t>To have ability to make accurate logistical and economic calculations.</w:t>
      </w:r>
    </w:p>
    <w:p w:rsidR="00294A7E" w:rsidRDefault="00294A7E" w:rsidP="00980876">
      <w:pPr>
        <w:pStyle w:val="Listaszerbekezds"/>
        <w:widowControl w:val="0"/>
        <w:numPr>
          <w:ilvl w:val="0"/>
          <w:numId w:val="494"/>
        </w:numPr>
        <w:spacing w:after="0" w:line="240" w:lineRule="auto"/>
        <w:ind w:left="992" w:hanging="357"/>
        <w:jc w:val="both"/>
        <w:rPr>
          <w:rFonts w:ascii="Times New Roman" w:eastAsia="Times New Roman" w:hAnsi="Times New Roman" w:cs="Times New Roman"/>
          <w:lang w:val="en-GB"/>
        </w:rPr>
      </w:pPr>
      <w:r w:rsidRPr="00C45187">
        <w:rPr>
          <w:rFonts w:ascii="Times New Roman" w:eastAsia="Times New Roman" w:hAnsi="Times New Roman" w:cs="Times New Roman"/>
          <w:lang w:val="en-GB"/>
        </w:rPr>
        <w:t xml:space="preserve">To be able to plan, organise, control and evaluate management and financial tasks. </w:t>
      </w:r>
    </w:p>
    <w:p w:rsidR="00294A7E" w:rsidRPr="00C45187" w:rsidRDefault="00294A7E" w:rsidP="00980876">
      <w:pPr>
        <w:pStyle w:val="Listaszerbekezds"/>
        <w:widowControl w:val="0"/>
        <w:numPr>
          <w:ilvl w:val="0"/>
          <w:numId w:val="494"/>
        </w:numPr>
        <w:spacing w:after="0" w:line="240" w:lineRule="auto"/>
        <w:ind w:left="992" w:hanging="357"/>
        <w:jc w:val="both"/>
        <w:rPr>
          <w:rFonts w:ascii="Times New Roman" w:eastAsia="Times New Roman" w:hAnsi="Times New Roman" w:cs="Times New Roman"/>
          <w:lang w:val="en-GB"/>
        </w:rPr>
      </w:pPr>
      <w:r w:rsidRPr="00C45187">
        <w:rPr>
          <w:rFonts w:ascii="Times New Roman" w:eastAsia="Times New Roman" w:hAnsi="Times New Roman" w:cs="Times New Roman"/>
          <w:lang w:val="en-GB"/>
        </w:rPr>
        <w:t>To be able to execute public procurements on unit level.</w:t>
      </w:r>
    </w:p>
    <w:p w:rsidR="00294A7E" w:rsidRDefault="00294A7E" w:rsidP="00294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425"/>
        <w:jc w:val="both"/>
        <w:rPr>
          <w:rFonts w:ascii="Times New Roman" w:eastAsia="Times New Roman" w:hAnsi="Times New Roman" w:cs="Times New Roman"/>
          <w:lang w:val="en-GB"/>
        </w:rPr>
      </w:pPr>
      <w:r w:rsidRPr="006A233B">
        <w:rPr>
          <w:rFonts w:ascii="Times New Roman" w:eastAsia="Times New Roman" w:hAnsi="Times New Roman" w:cs="Times New Roman"/>
          <w:b/>
          <w:lang w:val="en-GB"/>
        </w:rPr>
        <w:t>Attitude:</w:t>
      </w:r>
      <w:r w:rsidRPr="006A233B">
        <w:rPr>
          <w:rFonts w:ascii="Times New Roman" w:eastAsia="Times New Roman" w:hAnsi="Times New Roman" w:cs="Times New Roman"/>
          <w:lang w:val="en-GB"/>
        </w:rPr>
        <w:t xml:space="preserve"> </w:t>
      </w:r>
    </w:p>
    <w:p w:rsidR="00294A7E" w:rsidRDefault="00294A7E" w:rsidP="00980876">
      <w:pPr>
        <w:pStyle w:val="Listaszerbekezds"/>
        <w:numPr>
          <w:ilvl w:val="0"/>
          <w:numId w:val="495"/>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2" w:hanging="357"/>
        <w:jc w:val="both"/>
        <w:rPr>
          <w:rFonts w:ascii="Times New Roman" w:eastAsia="Times New Roman" w:hAnsi="Times New Roman" w:cs="Times New Roman"/>
          <w:lang w:val="en-GB"/>
        </w:rPr>
      </w:pPr>
      <w:r w:rsidRPr="00C45187">
        <w:rPr>
          <w:rFonts w:ascii="Times New Roman" w:eastAsia="Times New Roman" w:hAnsi="Times New Roman" w:cs="Times New Roman"/>
          <w:lang w:val="en-GB"/>
        </w:rPr>
        <w:t>To be committed to high standard work and accuracy.</w:t>
      </w:r>
    </w:p>
    <w:p w:rsidR="00294A7E" w:rsidRDefault="00294A7E" w:rsidP="00980876">
      <w:pPr>
        <w:pStyle w:val="Listaszerbekezds"/>
        <w:numPr>
          <w:ilvl w:val="0"/>
          <w:numId w:val="495"/>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2" w:hanging="357"/>
        <w:jc w:val="both"/>
        <w:rPr>
          <w:rFonts w:ascii="Times New Roman" w:eastAsia="Times New Roman" w:hAnsi="Times New Roman" w:cs="Times New Roman"/>
          <w:lang w:val="en-GB"/>
        </w:rPr>
      </w:pPr>
      <w:r w:rsidRPr="00C45187">
        <w:rPr>
          <w:rFonts w:ascii="Times New Roman" w:eastAsia="Times New Roman" w:hAnsi="Times New Roman" w:cs="Times New Roman"/>
          <w:lang w:val="en-GB"/>
        </w:rPr>
        <w:t>To be able to recognize the advantages and opportunities offered by well-structured activities and to be seeking to understand the logical connections among logistic activities.</w:t>
      </w:r>
    </w:p>
    <w:p w:rsidR="00294A7E" w:rsidRPr="00C45187" w:rsidRDefault="00294A7E" w:rsidP="00980876">
      <w:pPr>
        <w:pStyle w:val="Listaszerbekezds"/>
        <w:numPr>
          <w:ilvl w:val="0"/>
          <w:numId w:val="495"/>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2" w:hanging="357"/>
        <w:jc w:val="both"/>
        <w:rPr>
          <w:rFonts w:ascii="Times New Roman" w:eastAsia="Times New Roman" w:hAnsi="Times New Roman" w:cs="Times New Roman"/>
          <w:lang w:val="en-GB"/>
        </w:rPr>
      </w:pPr>
      <w:r w:rsidRPr="00C45187">
        <w:rPr>
          <w:rFonts w:ascii="Times New Roman" w:eastAsia="Times New Roman" w:hAnsi="Times New Roman" w:cs="Times New Roman"/>
          <w:lang w:val="en-GB"/>
        </w:rPr>
        <w:t xml:space="preserve">To be characterized by efficiency-based attitude. </w:t>
      </w:r>
    </w:p>
    <w:p w:rsidR="00294A7E" w:rsidRDefault="00294A7E" w:rsidP="00294A7E">
      <w:pPr>
        <w:widowControl w:val="0"/>
        <w:spacing w:before="120" w:after="0" w:line="240" w:lineRule="auto"/>
        <w:ind w:left="425"/>
        <w:jc w:val="both"/>
        <w:rPr>
          <w:rFonts w:ascii="Times New Roman" w:eastAsia="Times New Roman" w:hAnsi="Times New Roman" w:cs="Times New Roman"/>
          <w:bCs/>
        </w:rPr>
      </w:pPr>
      <w:r w:rsidRPr="006A233B">
        <w:rPr>
          <w:rFonts w:ascii="Times New Roman" w:eastAsia="Times New Roman" w:hAnsi="Times New Roman" w:cs="Times New Roman"/>
          <w:b/>
          <w:lang w:val="en-GB"/>
        </w:rPr>
        <w:t xml:space="preserve">Autonomy and responsibility: </w:t>
      </w:r>
    </w:p>
    <w:p w:rsidR="00294A7E" w:rsidRPr="00C45187" w:rsidRDefault="00294A7E" w:rsidP="00980876">
      <w:pPr>
        <w:pStyle w:val="Listaszerbekezds"/>
        <w:widowControl w:val="0"/>
        <w:numPr>
          <w:ilvl w:val="0"/>
          <w:numId w:val="496"/>
        </w:numPr>
        <w:spacing w:after="0" w:line="240" w:lineRule="auto"/>
        <w:ind w:left="992" w:hanging="357"/>
        <w:jc w:val="both"/>
        <w:rPr>
          <w:rFonts w:ascii="Times New Roman" w:eastAsia="Times New Roman" w:hAnsi="Times New Roman" w:cs="Times New Roman"/>
          <w:bCs/>
          <w:lang w:val="en-US"/>
        </w:rPr>
      </w:pPr>
      <w:r w:rsidRPr="00C45187">
        <w:rPr>
          <w:rFonts w:ascii="Times New Roman" w:eastAsia="Times New Roman" w:hAnsi="Times New Roman" w:cs="Times New Roman"/>
          <w:bCs/>
          <w:lang w:val="en-US"/>
        </w:rPr>
        <w:t xml:space="preserve">Take responsibility for the accuracy of the calculations. </w:t>
      </w:r>
    </w:p>
    <w:p w:rsidR="00294A7E" w:rsidRPr="006A233B" w:rsidRDefault="00294A7E" w:rsidP="00980876">
      <w:pPr>
        <w:widowControl w:val="0"/>
        <w:numPr>
          <w:ilvl w:val="0"/>
          <w:numId w:val="503"/>
        </w:numPr>
        <w:tabs>
          <w:tab w:val="num" w:pos="567"/>
        </w:tabs>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bCs/>
        </w:rPr>
        <w:t xml:space="preserve">Előtanulmányi követelmények: </w:t>
      </w:r>
      <w:r>
        <w:rPr>
          <w:rFonts w:ascii="Times New Roman" w:eastAsia="Times New Roman" w:hAnsi="Times New Roman" w:cs="Times New Roman"/>
          <w:bCs/>
        </w:rPr>
        <w:t>nincs</w:t>
      </w:r>
    </w:p>
    <w:p w:rsidR="00294A7E" w:rsidRPr="006A233B" w:rsidRDefault="00294A7E" w:rsidP="00980876">
      <w:pPr>
        <w:widowControl w:val="0"/>
        <w:numPr>
          <w:ilvl w:val="0"/>
          <w:numId w:val="503"/>
        </w:numPr>
        <w:spacing w:before="120" w:after="120" w:line="240" w:lineRule="auto"/>
        <w:ind w:left="426" w:hanging="142"/>
        <w:jc w:val="both"/>
        <w:rPr>
          <w:rFonts w:ascii="Times New Roman" w:eastAsia="Times New Roman" w:hAnsi="Times New Roman" w:cs="Times New Roman"/>
          <w:b/>
          <w:bCs/>
        </w:rPr>
      </w:pPr>
      <w:r w:rsidRPr="006A233B">
        <w:rPr>
          <w:rFonts w:ascii="Times New Roman" w:eastAsia="Times New Roman" w:hAnsi="Times New Roman" w:cs="Times New Roman"/>
          <w:b/>
          <w:bCs/>
        </w:rPr>
        <w:t>A tantárgy tananyagának leírása, tematika. Description of the subject, curriculum (magyarul, angolul - English):</w:t>
      </w:r>
    </w:p>
    <w:p w:rsidR="00294A7E" w:rsidRPr="00C45187" w:rsidRDefault="00294A7E" w:rsidP="00980876">
      <w:pPr>
        <w:widowControl w:val="0"/>
        <w:numPr>
          <w:ilvl w:val="1"/>
          <w:numId w:val="503"/>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lang w:val="en-US"/>
        </w:rPr>
      </w:pPr>
      <w:r>
        <w:rPr>
          <w:rFonts w:ascii="Times New Roman" w:hAnsi="Times New Roman"/>
          <w:bCs/>
          <w:lang w:val="en-US"/>
        </w:rPr>
        <w:t>A</w:t>
      </w:r>
      <w:r w:rsidRPr="007608D4">
        <w:rPr>
          <w:rFonts w:ascii="Times New Roman" w:hAnsi="Times New Roman"/>
          <w:bCs/>
        </w:rPr>
        <w:t xml:space="preserve"> pénzügyek jelentősége</w:t>
      </w:r>
      <w:r>
        <w:rPr>
          <w:rFonts w:ascii="Times New Roman" w:hAnsi="Times New Roman"/>
          <w:bCs/>
          <w:lang w:val="en-US"/>
        </w:rPr>
        <w:t>, a</w:t>
      </w:r>
      <w:r w:rsidRPr="007608D4">
        <w:rPr>
          <w:rFonts w:ascii="Times New Roman" w:hAnsi="Times New Roman"/>
          <w:bCs/>
        </w:rPr>
        <w:t xml:space="preserve"> pénzügyi döntések rendszere</w:t>
      </w:r>
      <w:r w:rsidRPr="00DF209F">
        <w:rPr>
          <w:rFonts w:ascii="Times New Roman" w:hAnsi="Times New Roman"/>
          <w:lang w:val="en-US"/>
        </w:rPr>
        <w:t>.</w:t>
      </w:r>
      <w:r>
        <w:rPr>
          <w:rFonts w:ascii="Times New Roman" w:hAnsi="Times New Roman"/>
          <w:lang w:val="en-US"/>
        </w:rPr>
        <w:t xml:space="preserve"> </w:t>
      </w:r>
      <w:r w:rsidRPr="00481AB4">
        <w:rPr>
          <w:rFonts w:ascii="Times New Roman" w:hAnsi="Times New Roman"/>
        </w:rPr>
        <w:t>A vállalatok pénzügyi tervezése</w:t>
      </w:r>
      <w:r>
        <w:rPr>
          <w:rFonts w:ascii="Times New Roman" w:hAnsi="Times New Roman"/>
          <w:lang w:val="en-US"/>
        </w:rPr>
        <w:t xml:space="preserve">. </w:t>
      </w:r>
      <w:r w:rsidRPr="00C45187">
        <w:rPr>
          <w:rFonts w:ascii="Times New Roman" w:eastAsia="Times New Roman" w:hAnsi="Times New Roman" w:cs="Times New Roman"/>
          <w:i/>
          <w:lang w:val="en-US"/>
        </w:rPr>
        <w:t>(The</w:t>
      </w:r>
      <w:r w:rsidRPr="00C45187">
        <w:rPr>
          <w:rFonts w:ascii="Times New Roman" w:eastAsia="Times New Roman" w:hAnsi="Times New Roman" w:cs="Times New Roman"/>
          <w:lang w:val="en-US"/>
        </w:rPr>
        <w:t xml:space="preserve"> </w:t>
      </w:r>
      <w:r w:rsidRPr="00C45187">
        <w:rPr>
          <w:rFonts w:ascii="Times New Roman" w:eastAsia="Times New Roman" w:hAnsi="Times New Roman" w:cs="Times New Roman"/>
          <w:i/>
          <w:lang w:val="en-US"/>
        </w:rPr>
        <w:t>importance</w:t>
      </w:r>
      <w:r w:rsidRPr="00C45187">
        <w:rPr>
          <w:rFonts w:ascii="Times New Roman" w:eastAsia="Times New Roman" w:hAnsi="Times New Roman" w:cs="Times New Roman"/>
          <w:lang w:val="en-US"/>
        </w:rPr>
        <w:t xml:space="preserve"> </w:t>
      </w:r>
      <w:r w:rsidRPr="00C45187">
        <w:rPr>
          <w:rFonts w:ascii="Times New Roman" w:eastAsia="Times New Roman" w:hAnsi="Times New Roman" w:cs="Times New Roman"/>
          <w:i/>
          <w:lang w:val="en-US"/>
        </w:rPr>
        <w:t>of corporate finance, the system of financial decisions. Corporate financial planning.)</w:t>
      </w:r>
    </w:p>
    <w:p w:rsidR="00294A7E" w:rsidRPr="00C45187" w:rsidRDefault="00294A7E" w:rsidP="00980876">
      <w:pPr>
        <w:widowControl w:val="0"/>
        <w:numPr>
          <w:ilvl w:val="1"/>
          <w:numId w:val="503"/>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i/>
          <w:lang w:val="en-US"/>
        </w:rPr>
      </w:pPr>
      <w:r>
        <w:rPr>
          <w:rFonts w:ascii="Times New Roman" w:hAnsi="Times New Roman" w:cs="Times New Roman"/>
          <w:bCs/>
        </w:rPr>
        <w:t xml:space="preserve">A hosszú távú finanszírozási döntések: beruházási döntések és tőkeköltségvetés, tőkeáttétel és kockázatelemzés, osztalékpolitika. </w:t>
      </w:r>
      <w:r w:rsidRPr="00C45187">
        <w:rPr>
          <w:rFonts w:ascii="Times New Roman" w:eastAsia="Times New Roman" w:hAnsi="Times New Roman" w:cs="Times New Roman"/>
          <w:i/>
          <w:lang w:val="en-US"/>
        </w:rPr>
        <w:t>(The long-term financial decisions: investment decisions and capital budget, analysis of leverage and risk, the dividend policy</w:t>
      </w:r>
      <w:r w:rsidRPr="00C45187">
        <w:rPr>
          <w:rFonts w:ascii="Times New Roman" w:eastAsia="Times New Roman" w:hAnsi="Times New Roman" w:cs="Times New Roman"/>
          <w:bCs/>
          <w:i/>
          <w:lang w:val="en-US"/>
        </w:rPr>
        <w:t>.</w:t>
      </w:r>
      <w:r w:rsidRPr="00C45187">
        <w:rPr>
          <w:rFonts w:ascii="Times New Roman" w:eastAsia="Times New Roman" w:hAnsi="Times New Roman" w:cs="Times New Roman"/>
          <w:i/>
          <w:lang w:val="en-US"/>
        </w:rPr>
        <w:t>)</w:t>
      </w:r>
    </w:p>
    <w:p w:rsidR="00294A7E" w:rsidRPr="00C45187" w:rsidRDefault="00294A7E" w:rsidP="00980876">
      <w:pPr>
        <w:widowControl w:val="0"/>
        <w:numPr>
          <w:ilvl w:val="1"/>
          <w:numId w:val="503"/>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i/>
          <w:lang w:val="en-US"/>
        </w:rPr>
      </w:pPr>
      <w:r>
        <w:rPr>
          <w:rFonts w:ascii="Times New Roman" w:hAnsi="Times New Roman" w:cs="Times New Roman"/>
          <w:bCs/>
        </w:rPr>
        <w:t>A rövid távú pénzügyi döntések:</w:t>
      </w:r>
      <w:r w:rsidRPr="007608D4">
        <w:rPr>
          <w:rFonts w:ascii="Times New Roman" w:eastAsia="Times New Roman" w:hAnsi="Times New Roman" w:cs="Times New Roman"/>
        </w:rPr>
        <w:t xml:space="preserve"> forgótőke menedzsment</w:t>
      </w:r>
      <w:r>
        <w:rPr>
          <w:rFonts w:ascii="Times New Roman" w:eastAsia="Times New Roman" w:hAnsi="Times New Roman" w:cs="Times New Roman"/>
          <w:lang w:val="en-US"/>
        </w:rPr>
        <w:t>, a</w:t>
      </w:r>
      <w:r w:rsidRPr="007608D4">
        <w:rPr>
          <w:rFonts w:ascii="Times New Roman" w:eastAsia="Times New Roman" w:hAnsi="Times New Roman" w:cs="Times New Roman"/>
        </w:rPr>
        <w:t xml:space="preserve"> vevőkkel szembeni követelések menedzselése</w:t>
      </w:r>
      <w:r>
        <w:rPr>
          <w:rFonts w:ascii="Times New Roman" w:eastAsia="Times New Roman" w:hAnsi="Times New Roman" w:cs="Times New Roman"/>
          <w:lang w:val="en-US"/>
        </w:rPr>
        <w:t>, a</w:t>
      </w:r>
      <w:r w:rsidRPr="007608D4">
        <w:rPr>
          <w:rFonts w:ascii="Times New Roman" w:eastAsia="Times New Roman" w:hAnsi="Times New Roman" w:cs="Times New Roman"/>
        </w:rPr>
        <w:t xml:space="preserve"> vállalatok pénzgazdálkodása</w:t>
      </w:r>
      <w:r>
        <w:rPr>
          <w:rFonts w:ascii="Times New Roman" w:eastAsia="Times New Roman" w:hAnsi="Times New Roman" w:cs="Times New Roman"/>
          <w:lang w:val="en-US"/>
        </w:rPr>
        <w:t xml:space="preserve">. </w:t>
      </w:r>
      <w:r w:rsidRPr="00C45187">
        <w:rPr>
          <w:rFonts w:ascii="Times New Roman" w:eastAsia="Times New Roman" w:hAnsi="Times New Roman" w:cs="Times New Roman"/>
          <w:i/>
          <w:lang w:val="en-US"/>
        </w:rPr>
        <w:t>(The short-time financial decisions</w:t>
      </w:r>
      <w:r w:rsidRPr="00C45187">
        <w:rPr>
          <w:rFonts w:ascii="Times New Roman" w:eastAsia="Times New Roman" w:hAnsi="Times New Roman" w:cs="Times New Roman"/>
          <w:bCs/>
          <w:i/>
          <w:lang w:val="en-US"/>
        </w:rPr>
        <w:t>: working capital management, trade debtors management, corporate financial management.</w:t>
      </w:r>
      <w:r w:rsidRPr="00C45187">
        <w:rPr>
          <w:rFonts w:ascii="Times New Roman" w:eastAsia="Times New Roman" w:hAnsi="Times New Roman" w:cs="Times New Roman"/>
          <w:i/>
          <w:lang w:val="en-US"/>
        </w:rPr>
        <w:t>)</w:t>
      </w:r>
    </w:p>
    <w:p w:rsidR="00294A7E" w:rsidRPr="006A233B" w:rsidRDefault="00294A7E" w:rsidP="00980876">
      <w:pPr>
        <w:widowControl w:val="0"/>
        <w:numPr>
          <w:ilvl w:val="0"/>
          <w:numId w:val="503"/>
        </w:numPr>
        <w:tabs>
          <w:tab w:val="num" w:pos="360"/>
        </w:tabs>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bCs/>
        </w:rPr>
        <w:t xml:space="preserve">A tantárgy meghirdetésének gyakorisága/a tantervben történő félévi elhelyezkedése: </w:t>
      </w:r>
      <w:r>
        <w:rPr>
          <w:rFonts w:ascii="Times New Roman" w:eastAsia="Times New Roman" w:hAnsi="Times New Roman" w:cs="Times New Roman"/>
          <w:bCs/>
        </w:rPr>
        <w:t>Minden tavaszi szemeszterben / 7. félév</w:t>
      </w:r>
    </w:p>
    <w:p w:rsidR="00294A7E" w:rsidRPr="00CE64DC" w:rsidRDefault="00294A7E" w:rsidP="00980876">
      <w:pPr>
        <w:widowControl w:val="0"/>
        <w:numPr>
          <w:ilvl w:val="0"/>
          <w:numId w:val="503"/>
        </w:numPr>
        <w:tabs>
          <w:tab w:val="num" w:pos="360"/>
        </w:tabs>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bCs/>
        </w:rPr>
        <w:t>A tanórákon való részvétel követelményei, az elfogadható hiányzások mértéke, a távolmaradás pótlásának lehetősége:</w:t>
      </w:r>
      <w:r>
        <w:rPr>
          <w:rFonts w:ascii="Times New Roman" w:eastAsia="Times New Roman" w:hAnsi="Times New Roman" w:cs="Times New Roman"/>
          <w:bCs/>
        </w:rPr>
        <w:t xml:space="preserve"> </w:t>
      </w:r>
      <w:r w:rsidRPr="00CE64DC">
        <w:rPr>
          <w:rFonts w:ascii="Times New Roman" w:eastAsia="Times New Roman" w:hAnsi="Times New Roman" w:cs="Times New Roman"/>
          <w:bCs/>
        </w:rPr>
        <w:t>A tanórákon való részvétel kötelező.</w:t>
      </w:r>
      <w:r w:rsidRPr="00CE64DC">
        <w:rPr>
          <w:rFonts w:ascii="Times New Roman" w:eastAsia="Times New Roman" w:hAnsi="Times New Roman" w:cs="Times New Roman"/>
          <w:b/>
          <w:bCs/>
        </w:rPr>
        <w:t xml:space="preserve"> </w:t>
      </w:r>
      <w:r w:rsidRPr="00CE64DC">
        <w:rPr>
          <w:rFonts w:ascii="Times New Roman" w:eastAsia="Times New Roman" w:hAnsi="Times New Roman" w:cs="Times New Roman"/>
          <w:bCs/>
        </w:rPr>
        <w:t>A félév elfogadásána</w:t>
      </w:r>
      <w:r>
        <w:rPr>
          <w:rFonts w:ascii="Times New Roman" w:eastAsia="Times New Roman" w:hAnsi="Times New Roman" w:cs="Times New Roman"/>
          <w:bCs/>
        </w:rPr>
        <w:t>k feltétele a tanórák minimum 70</w:t>
      </w:r>
      <w:r w:rsidRPr="00CE64DC">
        <w:rPr>
          <w:rFonts w:ascii="Times New Roman" w:eastAsia="Times New Roman" w:hAnsi="Times New Roman" w:cs="Times New Roman"/>
          <w:bCs/>
        </w:rPr>
        <w:t>%-án való részvétel. Ennél magasabb mértékű távolmaradás pótlása az oktató engedélyével történhet.</w:t>
      </w:r>
    </w:p>
    <w:p w:rsidR="00294A7E" w:rsidRPr="00B763D5" w:rsidRDefault="00294A7E" w:rsidP="00980876">
      <w:pPr>
        <w:widowControl w:val="0"/>
        <w:numPr>
          <w:ilvl w:val="0"/>
          <w:numId w:val="503"/>
        </w:numPr>
        <w:tabs>
          <w:tab w:val="num" w:pos="360"/>
        </w:tabs>
        <w:spacing w:before="120" w:after="120" w:line="240" w:lineRule="auto"/>
        <w:ind w:left="426" w:hanging="142"/>
        <w:jc w:val="both"/>
        <w:rPr>
          <w:rFonts w:ascii="Times New Roman" w:hAnsi="Times New Roman"/>
        </w:rPr>
      </w:pPr>
      <w:r w:rsidRPr="006A233B">
        <w:rPr>
          <w:rFonts w:ascii="Times New Roman" w:eastAsia="Times New Roman" w:hAnsi="Times New Roman" w:cs="Times New Roman"/>
          <w:b/>
        </w:rPr>
        <w:t xml:space="preserve">Félévközi feladatok, ismeretek ellenőrzésének rendje: </w:t>
      </w:r>
      <w:r w:rsidRPr="00B763D5">
        <w:rPr>
          <w:rFonts w:ascii="Times New Roman" w:hAnsi="Times New Roman"/>
          <w:lang w:val="x-none"/>
        </w:rPr>
        <w:t>A</w:t>
      </w:r>
      <w:r w:rsidRPr="007608D4">
        <w:rPr>
          <w:rFonts w:ascii="Times New Roman" w:hAnsi="Times New Roman"/>
        </w:rPr>
        <w:t xml:space="preserve"> félév során egy zárthelyi dolgozatot kel</w:t>
      </w:r>
      <w:r w:rsidRPr="00B763D5">
        <w:rPr>
          <w:rFonts w:ascii="Times New Roman" w:hAnsi="Times New Roman"/>
          <w:lang w:val="x-none"/>
        </w:rPr>
        <w:t>l</w:t>
      </w:r>
      <w:r w:rsidRPr="007608D4">
        <w:rPr>
          <w:rFonts w:ascii="Times New Roman" w:hAnsi="Times New Roman"/>
        </w:rPr>
        <w:t xml:space="preserve"> megírni</w:t>
      </w:r>
      <w:r w:rsidRPr="00B763D5">
        <w:rPr>
          <w:rFonts w:ascii="Times New Roman" w:hAnsi="Times New Roman"/>
          <w:lang w:val="x-none"/>
        </w:rPr>
        <w:t xml:space="preserve">. </w:t>
      </w:r>
      <w:r w:rsidRPr="00B763D5">
        <w:rPr>
          <w:rFonts w:ascii="Times New Roman" w:hAnsi="Times New Roman"/>
        </w:rPr>
        <w:t>A zárthelyi dolgozat ötfokozatú skálán értékelendő, 50%+1 pont elégséges, 60% közepes, 75% jó, 90% jeles.</w:t>
      </w:r>
      <w:r w:rsidRPr="007608D4">
        <w:rPr>
          <w:rFonts w:ascii="Times New Roman" w:hAnsi="Times New Roman"/>
        </w:rPr>
        <w:t xml:space="preserve"> Az elégtelen osztályzatra értékelt dolgozatot</w:t>
      </w:r>
      <w:r w:rsidRPr="00B763D5">
        <w:rPr>
          <w:rFonts w:ascii="Times New Roman" w:hAnsi="Times New Roman"/>
          <w:lang w:val="x-none"/>
        </w:rPr>
        <w:t xml:space="preserve"> a</w:t>
      </w:r>
      <w:r w:rsidRPr="007608D4">
        <w:rPr>
          <w:rFonts w:ascii="Times New Roman" w:hAnsi="Times New Roman"/>
        </w:rPr>
        <w:t xml:space="preserve"> szorgalmi és</w:t>
      </w:r>
      <w:r w:rsidRPr="00B763D5">
        <w:rPr>
          <w:rFonts w:ascii="Times New Roman" w:hAnsi="Times New Roman"/>
          <w:lang w:val="x-none"/>
        </w:rPr>
        <w:t xml:space="preserve"> a</w:t>
      </w:r>
      <w:r w:rsidRPr="007608D4">
        <w:rPr>
          <w:rFonts w:ascii="Times New Roman" w:hAnsi="Times New Roman"/>
        </w:rPr>
        <w:t xml:space="preserve"> vizsgaidőszakban</w:t>
      </w:r>
      <w:r w:rsidRPr="00B763D5">
        <w:rPr>
          <w:rFonts w:ascii="Times New Roman" w:hAnsi="Times New Roman"/>
          <w:lang w:val="x-none"/>
        </w:rPr>
        <w:t xml:space="preserve"> is</w:t>
      </w:r>
      <w:r w:rsidRPr="007608D4">
        <w:rPr>
          <w:rFonts w:ascii="Times New Roman" w:hAnsi="Times New Roman"/>
        </w:rPr>
        <w:t xml:space="preserve"> egy-egy alkalommal lehet pótolni</w:t>
      </w:r>
      <w:r w:rsidRPr="00B763D5">
        <w:rPr>
          <w:rFonts w:ascii="Times New Roman" w:hAnsi="Times New Roman"/>
          <w:lang w:val="x-none"/>
        </w:rPr>
        <w:t>.</w:t>
      </w:r>
      <w:r w:rsidRPr="00B763D5">
        <w:rPr>
          <w:rFonts w:ascii="Times New Roman" w:hAnsi="Times New Roman"/>
        </w:rPr>
        <w:t xml:space="preserve"> </w:t>
      </w:r>
    </w:p>
    <w:p w:rsidR="00294A7E" w:rsidRPr="004A67AB" w:rsidRDefault="00294A7E" w:rsidP="00980876">
      <w:pPr>
        <w:widowControl w:val="0"/>
        <w:numPr>
          <w:ilvl w:val="0"/>
          <w:numId w:val="503"/>
        </w:numPr>
        <w:spacing w:before="120" w:after="120" w:line="240" w:lineRule="auto"/>
        <w:ind w:left="426" w:hanging="142"/>
        <w:jc w:val="both"/>
        <w:rPr>
          <w:rFonts w:ascii="Times New Roman" w:eastAsia="Times New Roman" w:hAnsi="Times New Roman" w:cs="Times New Roman"/>
          <w:b/>
          <w:bCs/>
        </w:rPr>
      </w:pPr>
      <w:r w:rsidRPr="00B37153">
        <w:rPr>
          <w:rFonts w:ascii="Times New Roman" w:eastAsia="Times New Roman" w:hAnsi="Times New Roman" w:cs="Times New Roman"/>
          <w:b/>
          <w:bCs/>
        </w:rPr>
        <w:t xml:space="preserve">Az értékelés, az aláírás és a kreditek megszerzésének pontos feltételei: </w:t>
      </w:r>
    </w:p>
    <w:p w:rsidR="00294A7E" w:rsidRPr="006A233B" w:rsidRDefault="00294A7E" w:rsidP="00980876">
      <w:pPr>
        <w:widowControl w:val="0"/>
        <w:numPr>
          <w:ilvl w:val="1"/>
          <w:numId w:val="503"/>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6A233B">
        <w:rPr>
          <w:rFonts w:ascii="Times New Roman" w:eastAsia="Times New Roman" w:hAnsi="Times New Roman" w:cs="Times New Roman"/>
          <w:b/>
        </w:rPr>
        <w:t>Az aláírás megszerzésének feltételei:</w:t>
      </w:r>
    </w:p>
    <w:p w:rsidR="00294A7E" w:rsidRPr="006A233B" w:rsidRDefault="00294A7E" w:rsidP="00294A7E">
      <w:pPr>
        <w:widowControl w:val="0"/>
        <w:tabs>
          <w:tab w:val="left" w:pos="993"/>
        </w:tabs>
        <w:spacing w:before="120" w:after="120" w:line="240" w:lineRule="auto"/>
        <w:ind w:left="426"/>
        <w:jc w:val="both"/>
        <w:rPr>
          <w:rFonts w:ascii="Times New Roman" w:eastAsia="Times New Roman" w:hAnsi="Times New Roman" w:cs="Times New Roman"/>
        </w:rPr>
      </w:pPr>
      <w:r w:rsidRPr="007E215C">
        <w:rPr>
          <w:rFonts w:ascii="Times New Roman" w:eastAsia="Times New Roman" w:hAnsi="Times New Roman" w:cs="Times New Roman"/>
        </w:rPr>
        <w:t>Az aláírás feltétele a tanórákon történő – 1</w:t>
      </w:r>
      <w:r>
        <w:rPr>
          <w:rFonts w:ascii="Times New Roman" w:eastAsia="Times New Roman" w:hAnsi="Times New Roman" w:cs="Times New Roman"/>
        </w:rPr>
        <w:t>4</w:t>
      </w:r>
      <w:r w:rsidRPr="007E215C">
        <w:rPr>
          <w:rFonts w:ascii="Times New Roman" w:eastAsia="Times New Roman" w:hAnsi="Times New Roman" w:cs="Times New Roman"/>
        </w:rPr>
        <w:t xml:space="preserve">. pontban meghatározott – részvétel, </w:t>
      </w:r>
      <w:r>
        <w:rPr>
          <w:rFonts w:ascii="Times New Roman" w:eastAsia="Times New Roman" w:hAnsi="Times New Roman" w:cs="Times New Roman"/>
        </w:rPr>
        <w:t>valamint a zárthelyi dolgozat sikeres (50%+1 pont) megírása.</w:t>
      </w:r>
    </w:p>
    <w:p w:rsidR="00294A7E" w:rsidRPr="00B944EA" w:rsidRDefault="00294A7E" w:rsidP="00980876">
      <w:pPr>
        <w:widowControl w:val="0"/>
        <w:numPr>
          <w:ilvl w:val="1"/>
          <w:numId w:val="503"/>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B944EA">
        <w:rPr>
          <w:rFonts w:ascii="Times New Roman" w:eastAsia="Times New Roman" w:hAnsi="Times New Roman" w:cs="Times New Roman"/>
          <w:b/>
        </w:rPr>
        <w:t>Az értékelés:</w:t>
      </w:r>
      <w:r w:rsidR="00B944EA" w:rsidRPr="00B944EA">
        <w:rPr>
          <w:rFonts w:ascii="Times New Roman" w:eastAsia="Times New Roman" w:hAnsi="Times New Roman" w:cs="Times New Roman"/>
          <w:b/>
        </w:rPr>
        <w:t xml:space="preserve"> </w:t>
      </w:r>
      <w:r w:rsidRPr="00B944EA">
        <w:rPr>
          <w:rFonts w:ascii="Times New Roman" w:eastAsia="Times New Roman" w:hAnsi="Times New Roman" w:cs="Times New Roman"/>
        </w:rPr>
        <w:t xml:space="preserve">Az ötfokozatú évközi jegy a zárthelyi dolgozat eredménye alapján kerül kialakításra. </w:t>
      </w:r>
    </w:p>
    <w:p w:rsidR="00294A7E" w:rsidRPr="006A233B" w:rsidRDefault="00294A7E" w:rsidP="00980876">
      <w:pPr>
        <w:widowControl w:val="0"/>
        <w:numPr>
          <w:ilvl w:val="1"/>
          <w:numId w:val="503"/>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6A233B">
        <w:rPr>
          <w:rFonts w:ascii="Times New Roman" w:eastAsia="Times New Roman" w:hAnsi="Times New Roman" w:cs="Times New Roman"/>
          <w:b/>
        </w:rPr>
        <w:t>A kreditek megszerzésének feltételei:</w:t>
      </w:r>
      <w:r w:rsidRPr="006A233B">
        <w:rPr>
          <w:rFonts w:ascii="Times New Roman" w:eastAsia="Times New Roman" w:hAnsi="Times New Roman" w:cs="Times New Roman"/>
        </w:rPr>
        <w:t xml:space="preserve"> </w:t>
      </w:r>
    </w:p>
    <w:p w:rsidR="00294A7E" w:rsidRDefault="00294A7E" w:rsidP="00294A7E">
      <w:pPr>
        <w:widowControl w:val="0"/>
        <w:tabs>
          <w:tab w:val="left" w:pos="993"/>
        </w:tabs>
        <w:spacing w:before="120" w:after="120" w:line="240" w:lineRule="auto"/>
        <w:ind w:left="426"/>
        <w:jc w:val="both"/>
        <w:rPr>
          <w:rFonts w:ascii="Times New Roman" w:eastAsia="Times New Roman" w:hAnsi="Times New Roman" w:cs="Times New Roman"/>
          <w:lang w:val="x-none" w:eastAsia="x-none"/>
        </w:rPr>
      </w:pPr>
      <w:r w:rsidRPr="008373D4">
        <w:rPr>
          <w:rFonts w:ascii="Times New Roman" w:eastAsia="Times New Roman" w:hAnsi="Times New Roman" w:cs="Times New Roman"/>
          <w:lang w:eastAsia="x-none"/>
        </w:rPr>
        <w:t xml:space="preserve">A kreditek megszerzésének feltétele az aláírás megszerzése és legalább elégséges zárthelyi </w:t>
      </w:r>
      <w:r w:rsidRPr="008373D4">
        <w:rPr>
          <w:rFonts w:ascii="Times New Roman" w:eastAsia="Times New Roman" w:hAnsi="Times New Roman" w:cs="Times New Roman"/>
          <w:lang w:eastAsia="x-none"/>
        </w:rPr>
        <w:lastRenderedPageBreak/>
        <w:t>dolgozat megírása.</w:t>
      </w:r>
    </w:p>
    <w:p w:rsidR="00294A7E" w:rsidRPr="006A233B" w:rsidRDefault="00294A7E" w:rsidP="00980876">
      <w:pPr>
        <w:widowControl w:val="0"/>
        <w:numPr>
          <w:ilvl w:val="0"/>
          <w:numId w:val="503"/>
        </w:numPr>
        <w:tabs>
          <w:tab w:val="num" w:pos="360"/>
        </w:tabs>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bCs/>
        </w:rPr>
        <w:t>Irodalomjegyzék:</w:t>
      </w:r>
    </w:p>
    <w:p w:rsidR="00294A7E" w:rsidRPr="006A233B" w:rsidRDefault="00294A7E" w:rsidP="00980876">
      <w:pPr>
        <w:widowControl w:val="0"/>
        <w:numPr>
          <w:ilvl w:val="1"/>
          <w:numId w:val="503"/>
        </w:numPr>
        <w:tabs>
          <w:tab w:val="clear" w:pos="3977"/>
          <w:tab w:val="left" w:pos="567"/>
          <w:tab w:val="left" w:pos="851"/>
          <w:tab w:val="num" w:pos="2069"/>
        </w:tabs>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bCs/>
        </w:rPr>
        <w:t>Kötelező irodalom:</w:t>
      </w:r>
    </w:p>
    <w:p w:rsidR="00294A7E" w:rsidRPr="009609AF" w:rsidRDefault="00294A7E" w:rsidP="00980876">
      <w:pPr>
        <w:widowControl w:val="0"/>
        <w:numPr>
          <w:ilvl w:val="0"/>
          <w:numId w:val="504"/>
        </w:numPr>
        <w:spacing w:after="0" w:line="240" w:lineRule="auto"/>
        <w:ind w:left="709"/>
        <w:jc w:val="both"/>
        <w:rPr>
          <w:rFonts w:ascii="Times New Roman" w:eastAsia="Times New Roman" w:hAnsi="Times New Roman" w:cs="Times New Roman"/>
          <w:bCs/>
          <w:lang w:eastAsia="x-none"/>
        </w:rPr>
      </w:pPr>
      <w:r>
        <w:rPr>
          <w:rFonts w:ascii="Times New Roman" w:eastAsia="Times New Roman" w:hAnsi="Times New Roman" w:cs="Times New Roman"/>
          <w:lang w:eastAsia="x-none"/>
        </w:rPr>
        <w:t xml:space="preserve">Dr. Sinkovics Alfréd: Vállalati pénzügyi tervezés,Wolters Kluwer, Budapest, 2012 ISBN: </w:t>
      </w:r>
      <w:r w:rsidRPr="00FD3A44">
        <w:rPr>
          <w:rFonts w:ascii="Times New Roman" w:eastAsia="Times New Roman" w:hAnsi="Times New Roman" w:cs="Times New Roman"/>
          <w:lang w:eastAsia="x-none"/>
        </w:rPr>
        <w:t>9789632952048</w:t>
      </w:r>
    </w:p>
    <w:p w:rsidR="00294A7E" w:rsidRPr="009609AF" w:rsidRDefault="00294A7E" w:rsidP="00980876">
      <w:pPr>
        <w:widowControl w:val="0"/>
        <w:numPr>
          <w:ilvl w:val="0"/>
          <w:numId w:val="504"/>
        </w:numPr>
        <w:spacing w:after="0" w:line="240" w:lineRule="auto"/>
        <w:ind w:left="709"/>
        <w:jc w:val="both"/>
        <w:rPr>
          <w:rFonts w:ascii="Times New Roman" w:eastAsia="Times New Roman" w:hAnsi="Times New Roman" w:cs="Times New Roman"/>
        </w:rPr>
      </w:pPr>
      <w:r>
        <w:rPr>
          <w:rFonts w:ascii="Times New Roman" w:eastAsia="Times New Roman" w:hAnsi="Times New Roman" w:cs="Times New Roman"/>
          <w:lang w:eastAsia="x-none"/>
        </w:rPr>
        <w:t>Illés Ivánné: Vállalkozások pénzügyi alapjai, Saldo Kiadó, Budapest, 2009 ISBN: 978963638221</w:t>
      </w:r>
      <w:r w:rsidRPr="009609AF">
        <w:rPr>
          <w:rFonts w:ascii="Times New Roman" w:eastAsia="Times New Roman" w:hAnsi="Times New Roman" w:cs="Times New Roman"/>
          <w:lang w:eastAsia="x-none"/>
        </w:rPr>
        <w:t>6</w:t>
      </w:r>
    </w:p>
    <w:p w:rsidR="00294A7E" w:rsidRPr="00E90621" w:rsidRDefault="00294A7E" w:rsidP="00980876">
      <w:pPr>
        <w:widowControl w:val="0"/>
        <w:numPr>
          <w:ilvl w:val="0"/>
          <w:numId w:val="504"/>
        </w:numPr>
        <w:spacing w:after="0" w:line="240" w:lineRule="auto"/>
        <w:ind w:left="709"/>
        <w:jc w:val="both"/>
        <w:rPr>
          <w:rFonts w:ascii="Times New Roman" w:eastAsia="Times New Roman" w:hAnsi="Times New Roman" w:cs="Times New Roman"/>
        </w:rPr>
      </w:pPr>
      <w:r>
        <w:rPr>
          <w:rFonts w:ascii="Times New Roman" w:eastAsia="Times New Roman" w:hAnsi="Times New Roman" w:cs="Times New Roman"/>
        </w:rPr>
        <w:t xml:space="preserve">Gyulai László: Kis- és középvállalkozások üzletfinanszírozása, Saldo Kiadó, Budapest, 2011 ISBN: </w:t>
      </w:r>
      <w:r w:rsidRPr="00FD3A44">
        <w:rPr>
          <w:rFonts w:ascii="Times New Roman" w:eastAsia="Times New Roman" w:hAnsi="Times New Roman" w:cs="Times New Roman"/>
        </w:rPr>
        <w:t>9789636383800</w:t>
      </w:r>
    </w:p>
    <w:p w:rsidR="00294A7E" w:rsidRPr="00E90621" w:rsidRDefault="00294A7E" w:rsidP="00980876">
      <w:pPr>
        <w:widowControl w:val="0"/>
        <w:numPr>
          <w:ilvl w:val="0"/>
          <w:numId w:val="504"/>
        </w:numPr>
        <w:spacing w:after="0" w:line="240" w:lineRule="auto"/>
        <w:ind w:left="709"/>
        <w:jc w:val="both"/>
        <w:rPr>
          <w:rFonts w:ascii="Times New Roman" w:eastAsia="Times New Roman" w:hAnsi="Times New Roman" w:cs="Times New Roman"/>
        </w:rPr>
      </w:pPr>
      <w:r>
        <w:rPr>
          <w:rFonts w:ascii="Times New Roman" w:eastAsia="Times New Roman" w:hAnsi="Times New Roman" w:cs="Times New Roman"/>
        </w:rPr>
        <w:t xml:space="preserve">Jean Tirole: The Theory of Corporate Finance, </w:t>
      </w:r>
      <w:r w:rsidRPr="00076EFF">
        <w:rPr>
          <w:rFonts w:ascii="Times New Roman" w:eastAsia="Times New Roman" w:hAnsi="Times New Roman" w:cs="Times New Roman"/>
        </w:rPr>
        <w:t>Princeton University Press</w:t>
      </w:r>
      <w:r>
        <w:rPr>
          <w:rFonts w:ascii="Times New Roman" w:eastAsia="Times New Roman" w:hAnsi="Times New Roman" w:cs="Times New Roman"/>
        </w:rPr>
        <w:t>, Princeton, 2010 ISBN: 978</w:t>
      </w:r>
      <w:r w:rsidRPr="00076EFF">
        <w:rPr>
          <w:rFonts w:ascii="Times New Roman" w:eastAsia="Times New Roman" w:hAnsi="Times New Roman" w:cs="Times New Roman"/>
        </w:rPr>
        <w:t>0691125565</w:t>
      </w:r>
    </w:p>
    <w:p w:rsidR="00294A7E" w:rsidRPr="006A233B" w:rsidRDefault="00294A7E" w:rsidP="00980876">
      <w:pPr>
        <w:widowControl w:val="0"/>
        <w:numPr>
          <w:ilvl w:val="1"/>
          <w:numId w:val="503"/>
        </w:numPr>
        <w:tabs>
          <w:tab w:val="clear" w:pos="3977"/>
          <w:tab w:val="num" w:pos="567"/>
          <w:tab w:val="num" w:pos="2069"/>
        </w:tabs>
        <w:spacing w:before="120" w:after="120" w:line="240" w:lineRule="auto"/>
        <w:ind w:left="993" w:hanging="709"/>
        <w:jc w:val="both"/>
        <w:rPr>
          <w:rFonts w:ascii="Times New Roman" w:eastAsia="Times New Roman" w:hAnsi="Times New Roman" w:cs="Times New Roman"/>
          <w:b/>
          <w:bCs/>
        </w:rPr>
      </w:pPr>
      <w:r w:rsidRPr="006A233B">
        <w:rPr>
          <w:rFonts w:ascii="Times New Roman" w:eastAsia="Times New Roman" w:hAnsi="Times New Roman" w:cs="Times New Roman"/>
          <w:b/>
          <w:bCs/>
        </w:rPr>
        <w:t>Ajánlott irodalom:</w:t>
      </w:r>
    </w:p>
    <w:p w:rsidR="00294A7E" w:rsidRPr="00076EFF" w:rsidRDefault="00294A7E" w:rsidP="00980876">
      <w:pPr>
        <w:pStyle w:val="Listaszerbekezds"/>
        <w:widowControl w:val="0"/>
        <w:numPr>
          <w:ilvl w:val="0"/>
          <w:numId w:val="505"/>
        </w:numPr>
        <w:spacing w:after="0" w:line="240" w:lineRule="auto"/>
        <w:jc w:val="both"/>
        <w:rPr>
          <w:rFonts w:ascii="Times New Roman" w:eastAsia="Times New Roman" w:hAnsi="Times New Roman" w:cs="Times New Roman"/>
        </w:rPr>
      </w:pPr>
      <w:r w:rsidRPr="00076EFF">
        <w:rPr>
          <w:rFonts w:ascii="Times New Roman" w:eastAsia="Times New Roman" w:hAnsi="Times New Roman" w:cs="Times New Roman"/>
          <w:bCs/>
        </w:rPr>
        <w:t>Fazekas G. (szerk.): Vállalati pénzügyek példatár</w:t>
      </w:r>
      <w:r>
        <w:rPr>
          <w:rFonts w:ascii="Times New Roman" w:eastAsia="Times New Roman" w:hAnsi="Times New Roman" w:cs="Times New Roman"/>
          <w:bCs/>
        </w:rPr>
        <w:t>,</w:t>
      </w:r>
      <w:r w:rsidRPr="00076EFF">
        <w:rPr>
          <w:rFonts w:ascii="Times New Roman" w:eastAsia="Times New Roman" w:hAnsi="Times New Roman" w:cs="Times New Roman"/>
          <w:bCs/>
        </w:rPr>
        <w:t xml:space="preserve"> Tanszék Kft., 2014</w:t>
      </w:r>
    </w:p>
    <w:p w:rsidR="00294A7E" w:rsidRPr="00076EFF" w:rsidRDefault="00294A7E" w:rsidP="00980876">
      <w:pPr>
        <w:pStyle w:val="Listaszerbekezds"/>
        <w:widowControl w:val="0"/>
        <w:numPr>
          <w:ilvl w:val="0"/>
          <w:numId w:val="505"/>
        </w:numPr>
        <w:spacing w:after="0" w:line="240" w:lineRule="auto"/>
        <w:jc w:val="both"/>
        <w:rPr>
          <w:rFonts w:ascii="Times New Roman" w:eastAsia="Times New Roman" w:hAnsi="Times New Roman" w:cs="Times New Roman"/>
        </w:rPr>
      </w:pPr>
      <w:r w:rsidRPr="00076EFF">
        <w:rPr>
          <w:rFonts w:ascii="Times New Roman" w:eastAsia="Times New Roman" w:hAnsi="Times New Roman" w:cs="Times New Roman"/>
          <w:bCs/>
        </w:rPr>
        <w:t>Fazekas G. - Juhász P. - Kovács N. (szerk.): Képletgyűjtemény a tőkepiaci és vállalati pénzügyi ismeretekhez</w:t>
      </w:r>
      <w:r>
        <w:rPr>
          <w:rFonts w:ascii="Times New Roman" w:eastAsia="Times New Roman" w:hAnsi="Times New Roman" w:cs="Times New Roman"/>
          <w:bCs/>
        </w:rPr>
        <w:t>,</w:t>
      </w:r>
      <w:r w:rsidRPr="00076EFF">
        <w:rPr>
          <w:rFonts w:ascii="Times New Roman" w:eastAsia="Times New Roman" w:hAnsi="Times New Roman" w:cs="Times New Roman"/>
          <w:bCs/>
        </w:rPr>
        <w:t xml:space="preserve"> Tanszék Kft., 2014</w:t>
      </w:r>
    </w:p>
    <w:p w:rsidR="00294A7E" w:rsidRDefault="00294A7E" w:rsidP="00294A7E">
      <w:pPr>
        <w:widowControl w:val="0"/>
        <w:spacing w:before="120" w:after="120" w:line="240" w:lineRule="auto"/>
        <w:jc w:val="both"/>
        <w:rPr>
          <w:rFonts w:ascii="Times New Roman" w:eastAsia="Times New Roman" w:hAnsi="Times New Roman" w:cs="Times New Roman"/>
          <w:bCs/>
        </w:rPr>
      </w:pPr>
    </w:p>
    <w:p w:rsidR="00294A7E" w:rsidRPr="006A233B" w:rsidRDefault="00294A7E" w:rsidP="00294A7E">
      <w:pPr>
        <w:widowControl w:val="0"/>
        <w:spacing w:before="120" w:after="120" w:line="240" w:lineRule="auto"/>
        <w:jc w:val="both"/>
        <w:rPr>
          <w:rFonts w:ascii="Times New Roman" w:eastAsia="Times New Roman" w:hAnsi="Times New Roman" w:cs="Times New Roman"/>
          <w:bCs/>
        </w:rPr>
      </w:pPr>
      <w:r w:rsidRPr="006A233B">
        <w:rPr>
          <w:rFonts w:ascii="Times New Roman" w:eastAsia="Times New Roman" w:hAnsi="Times New Roman" w:cs="Times New Roman"/>
          <w:bCs/>
        </w:rPr>
        <w:t>Budapest,</w:t>
      </w:r>
      <w:r>
        <w:rPr>
          <w:rFonts w:ascii="Times New Roman" w:eastAsia="Times New Roman" w:hAnsi="Times New Roman" w:cs="Times New Roman"/>
          <w:bCs/>
        </w:rPr>
        <w:t xml:space="preserve"> 2020</w:t>
      </w:r>
      <w:r w:rsidRPr="006A233B">
        <w:rPr>
          <w:rFonts w:ascii="Times New Roman" w:eastAsia="Times New Roman" w:hAnsi="Times New Roman" w:cs="Times New Roman"/>
          <w:bCs/>
        </w:rPr>
        <w:t xml:space="preserve">. </w:t>
      </w:r>
      <w:r>
        <w:rPr>
          <w:rFonts w:ascii="Times New Roman" w:eastAsia="Times New Roman" w:hAnsi="Times New Roman" w:cs="Times New Roman"/>
          <w:bCs/>
        </w:rPr>
        <w:t>február</w:t>
      </w:r>
      <w:r w:rsidRPr="006A233B">
        <w:rPr>
          <w:rFonts w:ascii="Times New Roman" w:eastAsia="Times New Roman" w:hAnsi="Times New Roman" w:cs="Times New Roman"/>
          <w:bCs/>
        </w:rPr>
        <w:t xml:space="preserve"> </w:t>
      </w:r>
      <w:r>
        <w:rPr>
          <w:rFonts w:ascii="Times New Roman" w:eastAsia="Times New Roman" w:hAnsi="Times New Roman" w:cs="Times New Roman"/>
          <w:bCs/>
        </w:rPr>
        <w:t>20</w:t>
      </w:r>
      <w:r w:rsidRPr="006A233B">
        <w:rPr>
          <w:rFonts w:ascii="Times New Roman" w:eastAsia="Times New Roman" w:hAnsi="Times New Roman" w:cs="Times New Roman"/>
          <w:bCs/>
        </w:rPr>
        <w:t>.</w:t>
      </w:r>
    </w:p>
    <w:p w:rsidR="00294A7E" w:rsidRPr="00B944EA" w:rsidRDefault="00294A7E" w:rsidP="00294A7E">
      <w:pPr>
        <w:widowControl w:val="0"/>
        <w:spacing w:after="0" w:line="240" w:lineRule="auto"/>
        <w:ind w:left="5664" w:firstLine="708"/>
        <w:jc w:val="center"/>
        <w:rPr>
          <w:rFonts w:ascii="Times New Roman" w:hAnsi="Times New Roman" w:cs="Times New Roman"/>
          <w:b/>
          <w:bCs/>
        </w:rPr>
      </w:pPr>
      <w:r w:rsidRPr="00B944EA">
        <w:rPr>
          <w:rFonts w:ascii="Times New Roman" w:hAnsi="Times New Roman" w:cs="Times New Roman"/>
          <w:b/>
          <w:bCs/>
        </w:rPr>
        <w:t>Dr. Kenessei Zsolt</w:t>
      </w:r>
    </w:p>
    <w:p w:rsidR="00294A7E" w:rsidRPr="00734E2C" w:rsidRDefault="00294A7E" w:rsidP="00294A7E">
      <w:pPr>
        <w:widowControl w:val="0"/>
        <w:spacing w:after="0" w:line="240" w:lineRule="auto"/>
        <w:jc w:val="center"/>
        <w:rPr>
          <w:rFonts w:ascii="Times New Roman" w:eastAsia="Times New Roman" w:hAnsi="Times New Roman" w:cs="Times New Roman"/>
          <w:bCs/>
        </w:rPr>
      </w:pP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gyakorlati oktató</w:t>
      </w:r>
    </w:p>
    <w:p w:rsidR="001C3967" w:rsidRDefault="001C3967">
      <w:pPr>
        <w:spacing w:after="200" w:line="276" w:lineRule="auto"/>
        <w:rPr>
          <w:rFonts w:ascii="Times New Roman" w:hAnsi="Times New Roman" w:cs="Times New Roman"/>
          <w:color w:val="FF0000"/>
          <w:sz w:val="24"/>
        </w:rPr>
      </w:pPr>
      <w:r>
        <w:rPr>
          <w:rFonts w:ascii="Times New Roman" w:hAnsi="Times New Roman" w:cs="Times New Roman"/>
          <w:color w:val="FF0000"/>
          <w:sz w:val="24"/>
        </w:rPr>
        <w:br w:type="page"/>
      </w:r>
    </w:p>
    <w:tbl>
      <w:tblPr>
        <w:tblW w:w="9072" w:type="dxa"/>
        <w:tblInd w:w="113" w:type="dxa"/>
        <w:tblLook w:val="01E0" w:firstRow="1" w:lastRow="1" w:firstColumn="1" w:lastColumn="1" w:noHBand="0" w:noVBand="0"/>
      </w:tblPr>
      <w:tblGrid>
        <w:gridCol w:w="4855"/>
        <w:gridCol w:w="1620"/>
        <w:gridCol w:w="2597"/>
      </w:tblGrid>
      <w:tr w:rsidR="008414AA" w:rsidRPr="006A233B" w:rsidTr="00735996">
        <w:tc>
          <w:tcPr>
            <w:tcW w:w="4855" w:type="dxa"/>
            <w:tcBorders>
              <w:bottom w:val="single" w:sz="4" w:space="0" w:color="auto"/>
            </w:tcBorders>
          </w:tcPr>
          <w:p w:rsidR="008414AA" w:rsidRPr="006A233B" w:rsidRDefault="008414AA" w:rsidP="00735996">
            <w:pPr>
              <w:spacing w:after="0" w:line="240" w:lineRule="auto"/>
              <w:jc w:val="center"/>
              <w:rPr>
                <w:rFonts w:ascii="Times New Roman" w:eastAsia="Times New Roman" w:hAnsi="Times New Roman" w:cs="Times New Roman"/>
                <w:b/>
                <w:smallCaps/>
                <w:lang w:eastAsia="hu-HU"/>
              </w:rPr>
            </w:pPr>
            <w:r w:rsidRPr="006A233B">
              <w:rPr>
                <w:rFonts w:ascii="Times New Roman" w:eastAsia="Times New Roman" w:hAnsi="Times New Roman" w:cs="Times New Roman"/>
                <w:b/>
                <w:smallCaps/>
                <w:lang w:eastAsia="hu-HU"/>
              </w:rPr>
              <w:lastRenderedPageBreak/>
              <w:t>Nemzeti Közszolgálati Egyetem</w:t>
            </w:r>
          </w:p>
        </w:tc>
        <w:tc>
          <w:tcPr>
            <w:tcW w:w="1620" w:type="dxa"/>
          </w:tcPr>
          <w:p w:rsidR="008414AA" w:rsidRPr="006A233B" w:rsidRDefault="008414AA" w:rsidP="00735996">
            <w:pPr>
              <w:spacing w:after="0" w:line="240" w:lineRule="auto"/>
              <w:jc w:val="both"/>
              <w:rPr>
                <w:rFonts w:ascii="Times New Roman" w:eastAsia="Times New Roman" w:hAnsi="Times New Roman" w:cs="Times New Roman"/>
                <w:lang w:eastAsia="hu-HU"/>
              </w:rPr>
            </w:pPr>
          </w:p>
        </w:tc>
        <w:tc>
          <w:tcPr>
            <w:tcW w:w="2597" w:type="dxa"/>
          </w:tcPr>
          <w:p w:rsidR="008414AA" w:rsidRPr="006A233B" w:rsidRDefault="008414AA" w:rsidP="00735996">
            <w:pPr>
              <w:spacing w:after="0" w:line="240" w:lineRule="auto"/>
              <w:jc w:val="right"/>
              <w:rPr>
                <w:rFonts w:ascii="Times New Roman" w:eastAsia="Times New Roman" w:hAnsi="Times New Roman" w:cs="Times New Roman"/>
                <w:lang w:eastAsia="hu-HU"/>
              </w:rPr>
            </w:pPr>
          </w:p>
        </w:tc>
      </w:tr>
      <w:tr w:rsidR="008414AA" w:rsidRPr="006A233B" w:rsidTr="00735996">
        <w:tc>
          <w:tcPr>
            <w:tcW w:w="4855" w:type="dxa"/>
            <w:tcBorders>
              <w:top w:val="single" w:sz="4" w:space="0" w:color="auto"/>
            </w:tcBorders>
          </w:tcPr>
          <w:p w:rsidR="008414AA" w:rsidRPr="006A233B" w:rsidRDefault="008414AA" w:rsidP="00735996">
            <w:pPr>
              <w:spacing w:after="0" w:line="240" w:lineRule="auto"/>
              <w:jc w:val="center"/>
              <w:rPr>
                <w:rFonts w:ascii="Times New Roman" w:eastAsia="Times New Roman" w:hAnsi="Times New Roman" w:cs="Times New Roman"/>
                <w:b/>
                <w:lang w:eastAsia="hu-HU"/>
              </w:rPr>
            </w:pPr>
            <w:r w:rsidRPr="006A233B">
              <w:rPr>
                <w:rFonts w:ascii="Times New Roman" w:eastAsia="Times New Roman" w:hAnsi="Times New Roman" w:cs="Times New Roman"/>
                <w:b/>
                <w:lang w:eastAsia="hu-HU"/>
              </w:rPr>
              <w:t>Hadtudományi és Honvédtisztképző Kar</w:t>
            </w:r>
          </w:p>
        </w:tc>
        <w:tc>
          <w:tcPr>
            <w:tcW w:w="1620" w:type="dxa"/>
          </w:tcPr>
          <w:p w:rsidR="008414AA" w:rsidRPr="006A233B" w:rsidRDefault="008414AA" w:rsidP="00735996">
            <w:pPr>
              <w:spacing w:after="0" w:line="240" w:lineRule="auto"/>
              <w:jc w:val="both"/>
              <w:rPr>
                <w:rFonts w:ascii="Times New Roman" w:eastAsia="Times New Roman" w:hAnsi="Times New Roman" w:cs="Times New Roman"/>
                <w:lang w:eastAsia="hu-HU"/>
              </w:rPr>
            </w:pPr>
          </w:p>
        </w:tc>
        <w:tc>
          <w:tcPr>
            <w:tcW w:w="2597" w:type="dxa"/>
          </w:tcPr>
          <w:p w:rsidR="008414AA" w:rsidRPr="006A233B" w:rsidRDefault="008414AA" w:rsidP="00735996">
            <w:pPr>
              <w:spacing w:after="0" w:line="240" w:lineRule="auto"/>
              <w:jc w:val="both"/>
              <w:rPr>
                <w:rFonts w:ascii="Times New Roman" w:eastAsia="Times New Roman" w:hAnsi="Times New Roman" w:cs="Times New Roman"/>
                <w:lang w:eastAsia="hu-HU"/>
              </w:rPr>
            </w:pPr>
          </w:p>
        </w:tc>
      </w:tr>
    </w:tbl>
    <w:p w:rsidR="008414AA" w:rsidRPr="006A233B" w:rsidRDefault="008414AA" w:rsidP="008414AA">
      <w:pPr>
        <w:widowControl w:val="0"/>
        <w:spacing w:before="120" w:after="120" w:line="240" w:lineRule="auto"/>
        <w:ind w:left="426" w:hanging="142"/>
        <w:jc w:val="center"/>
        <w:rPr>
          <w:rFonts w:ascii="Times New Roman" w:eastAsia="Times New Roman" w:hAnsi="Times New Roman" w:cs="Times New Roman"/>
          <w:b/>
          <w:bCs/>
        </w:rPr>
      </w:pPr>
    </w:p>
    <w:p w:rsidR="008414AA" w:rsidRPr="006A233B" w:rsidRDefault="008414AA" w:rsidP="008414AA">
      <w:pPr>
        <w:widowControl w:val="0"/>
        <w:spacing w:before="120" w:after="120" w:line="240" w:lineRule="auto"/>
        <w:ind w:left="426" w:hanging="142"/>
        <w:jc w:val="center"/>
        <w:rPr>
          <w:rFonts w:ascii="Times New Roman" w:eastAsia="Times New Roman" w:hAnsi="Times New Roman" w:cs="Times New Roman"/>
          <w:b/>
          <w:bCs/>
        </w:rPr>
      </w:pPr>
      <w:r w:rsidRPr="006A233B">
        <w:rPr>
          <w:rFonts w:ascii="Times New Roman" w:eastAsia="Times New Roman" w:hAnsi="Times New Roman" w:cs="Times New Roman"/>
          <w:b/>
          <w:bCs/>
        </w:rPr>
        <w:t>TANTÁRGYI PROGRAM</w:t>
      </w:r>
    </w:p>
    <w:p w:rsidR="008414AA" w:rsidRPr="00154374" w:rsidRDefault="008414AA" w:rsidP="00980876">
      <w:pPr>
        <w:widowControl w:val="0"/>
        <w:numPr>
          <w:ilvl w:val="0"/>
          <w:numId w:val="516"/>
        </w:numPr>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bCs/>
        </w:rPr>
        <w:t xml:space="preserve">A tantárgy kódja: </w:t>
      </w:r>
      <w:r w:rsidRPr="00154374">
        <w:rPr>
          <w:rFonts w:ascii="Times New Roman" w:hAnsi="Times New Roman" w:cs="Times New Roman"/>
          <w:bCs/>
        </w:rPr>
        <w:t>HKHPKA528</w:t>
      </w:r>
    </w:p>
    <w:p w:rsidR="008414AA" w:rsidRPr="006A233B" w:rsidRDefault="008414AA" w:rsidP="00980876">
      <w:pPr>
        <w:widowControl w:val="0"/>
        <w:numPr>
          <w:ilvl w:val="0"/>
          <w:numId w:val="516"/>
        </w:numPr>
        <w:spacing w:before="120" w:after="120" w:line="240" w:lineRule="auto"/>
        <w:ind w:left="426" w:hanging="142"/>
        <w:jc w:val="both"/>
        <w:rPr>
          <w:rFonts w:ascii="Times New Roman" w:eastAsia="Times New Roman" w:hAnsi="Times New Roman" w:cs="Times New Roman"/>
          <w:b/>
          <w:bCs/>
          <w:lang w:val="en-GB"/>
        </w:rPr>
      </w:pPr>
      <w:r w:rsidRPr="006A233B">
        <w:rPr>
          <w:rFonts w:ascii="Times New Roman" w:eastAsia="Times New Roman" w:hAnsi="Times New Roman" w:cs="Times New Roman"/>
          <w:b/>
          <w:bCs/>
        </w:rPr>
        <w:t>A tantárgy megnevezése (magyarul):</w:t>
      </w:r>
      <w:r w:rsidRPr="006A233B">
        <w:rPr>
          <w:rFonts w:ascii="Times New Roman" w:eastAsia="Times New Roman" w:hAnsi="Times New Roman" w:cs="Times New Roman"/>
          <w:bCs/>
        </w:rPr>
        <w:t xml:space="preserve"> </w:t>
      </w:r>
      <w:r>
        <w:rPr>
          <w:rFonts w:ascii="Times New Roman" w:eastAsia="Times New Roman" w:hAnsi="Times New Roman" w:cs="Times New Roman"/>
          <w:bCs/>
        </w:rPr>
        <w:t>Számvitel V. (</w:t>
      </w:r>
      <w:r>
        <w:rPr>
          <w:rFonts w:ascii="Times New Roman" w:hAnsi="Times New Roman" w:cs="Times New Roman"/>
          <w:bCs/>
        </w:rPr>
        <w:t>Pénzügyi számvitel II.)</w:t>
      </w:r>
    </w:p>
    <w:p w:rsidR="008414AA" w:rsidRPr="006A233B" w:rsidRDefault="008414AA" w:rsidP="00980876">
      <w:pPr>
        <w:widowControl w:val="0"/>
        <w:numPr>
          <w:ilvl w:val="0"/>
          <w:numId w:val="516"/>
        </w:numPr>
        <w:tabs>
          <w:tab w:val="num" w:pos="567"/>
        </w:tabs>
        <w:spacing w:before="120" w:after="120" w:line="240" w:lineRule="auto"/>
        <w:ind w:left="426" w:hanging="142"/>
        <w:jc w:val="both"/>
        <w:rPr>
          <w:rFonts w:ascii="Times New Roman" w:eastAsia="Times New Roman" w:hAnsi="Times New Roman" w:cs="Times New Roman"/>
          <w:b/>
          <w:bCs/>
          <w:lang w:val="en-GB"/>
        </w:rPr>
      </w:pPr>
      <w:r w:rsidRPr="006A233B">
        <w:rPr>
          <w:rFonts w:ascii="Times New Roman" w:eastAsia="Times New Roman" w:hAnsi="Times New Roman" w:cs="Times New Roman"/>
          <w:b/>
          <w:bCs/>
        </w:rPr>
        <w:t xml:space="preserve">A tantárgy megnevezése (angolul): </w:t>
      </w:r>
      <w:r w:rsidRPr="00154374">
        <w:rPr>
          <w:rFonts w:ascii="Times New Roman" w:eastAsia="Times New Roman" w:hAnsi="Times New Roman" w:cs="Times New Roman"/>
          <w:bCs/>
        </w:rPr>
        <w:t>Accounting V. (Financial Accounting II.)</w:t>
      </w:r>
    </w:p>
    <w:p w:rsidR="008414AA" w:rsidRPr="006A233B" w:rsidRDefault="008414AA" w:rsidP="00980876">
      <w:pPr>
        <w:widowControl w:val="0"/>
        <w:numPr>
          <w:ilvl w:val="0"/>
          <w:numId w:val="516"/>
        </w:numPr>
        <w:tabs>
          <w:tab w:val="num" w:pos="567"/>
        </w:tabs>
        <w:spacing w:before="120" w:after="120" w:line="240" w:lineRule="auto"/>
        <w:ind w:left="426" w:hanging="142"/>
        <w:jc w:val="both"/>
        <w:rPr>
          <w:rFonts w:ascii="Times New Roman" w:eastAsia="Times New Roman" w:hAnsi="Times New Roman" w:cs="Times New Roman"/>
          <w:b/>
          <w:bCs/>
        </w:rPr>
      </w:pPr>
      <w:r w:rsidRPr="006A233B">
        <w:rPr>
          <w:rFonts w:ascii="Times New Roman" w:eastAsia="Times New Roman" w:hAnsi="Times New Roman" w:cs="Times New Roman"/>
          <w:b/>
          <w:bCs/>
        </w:rPr>
        <w:t xml:space="preserve">Kreditérték és képzési karakter: </w:t>
      </w:r>
    </w:p>
    <w:p w:rsidR="008414AA" w:rsidRPr="007B3286" w:rsidRDefault="008414AA" w:rsidP="00980876">
      <w:pPr>
        <w:pStyle w:val="Listaszerbekezds"/>
        <w:widowControl w:val="0"/>
        <w:numPr>
          <w:ilvl w:val="1"/>
          <w:numId w:val="516"/>
        </w:numPr>
        <w:tabs>
          <w:tab w:val="clear" w:pos="3977"/>
        </w:tabs>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2</w:t>
      </w:r>
      <w:r w:rsidRPr="007B3286">
        <w:rPr>
          <w:rFonts w:ascii="Times New Roman" w:eastAsia="Times New Roman" w:hAnsi="Times New Roman" w:cs="Times New Roman"/>
          <w:bCs/>
        </w:rPr>
        <w:t xml:space="preserve"> kredit</w:t>
      </w:r>
    </w:p>
    <w:p w:rsidR="008414AA" w:rsidRPr="006A233B" w:rsidRDefault="008414AA" w:rsidP="00980876">
      <w:pPr>
        <w:pStyle w:val="Listaszerbekezds"/>
        <w:widowControl w:val="0"/>
        <w:numPr>
          <w:ilvl w:val="1"/>
          <w:numId w:val="516"/>
        </w:numPr>
        <w:tabs>
          <w:tab w:val="clear" w:pos="3977"/>
        </w:tabs>
        <w:spacing w:before="120" w:after="120" w:line="240" w:lineRule="auto"/>
        <w:ind w:left="993" w:hanging="426"/>
        <w:jc w:val="both"/>
        <w:rPr>
          <w:rFonts w:ascii="Times New Roman" w:eastAsia="Times New Roman" w:hAnsi="Times New Roman" w:cs="Times New Roman"/>
          <w:b/>
          <w:bCs/>
        </w:rPr>
      </w:pPr>
      <w:r w:rsidRPr="006A233B">
        <w:rPr>
          <w:rFonts w:ascii="Times New Roman" w:eastAsia="Times New Roman" w:hAnsi="Times New Roman" w:cs="Times New Roman"/>
          <w:bCs/>
        </w:rPr>
        <w:t xml:space="preserve">a tantárgy elméleti vagy gyakorlati jellegének mértéke: </w:t>
      </w:r>
      <w:r>
        <w:rPr>
          <w:rFonts w:ascii="Times New Roman" w:eastAsia="Times New Roman" w:hAnsi="Times New Roman" w:cs="Times New Roman"/>
          <w:bCs/>
        </w:rPr>
        <w:t>50</w:t>
      </w:r>
      <w:r w:rsidRPr="006A233B">
        <w:rPr>
          <w:rFonts w:ascii="Times New Roman" w:eastAsia="Times New Roman" w:hAnsi="Times New Roman" w:cs="Times New Roman"/>
          <w:b/>
          <w:bCs/>
        </w:rPr>
        <w:t xml:space="preserve"> </w:t>
      </w:r>
      <w:r w:rsidRPr="006A233B">
        <w:rPr>
          <w:rFonts w:ascii="Times New Roman" w:eastAsia="Times New Roman" w:hAnsi="Times New Roman" w:cs="Times New Roman"/>
          <w:bCs/>
        </w:rPr>
        <w:t xml:space="preserve">% gyakorlat, </w:t>
      </w:r>
      <w:r>
        <w:rPr>
          <w:rFonts w:ascii="Times New Roman" w:eastAsia="Times New Roman" w:hAnsi="Times New Roman" w:cs="Times New Roman"/>
          <w:bCs/>
        </w:rPr>
        <w:t>50</w:t>
      </w:r>
      <w:r w:rsidRPr="006A233B">
        <w:rPr>
          <w:rFonts w:ascii="Times New Roman" w:eastAsia="Times New Roman" w:hAnsi="Times New Roman" w:cs="Times New Roman"/>
          <w:bCs/>
        </w:rPr>
        <w:t xml:space="preserve"> % elmélet</w:t>
      </w:r>
    </w:p>
    <w:p w:rsidR="008414AA" w:rsidRPr="006A233B" w:rsidRDefault="008414AA" w:rsidP="00980876">
      <w:pPr>
        <w:widowControl w:val="0"/>
        <w:numPr>
          <w:ilvl w:val="0"/>
          <w:numId w:val="516"/>
        </w:numPr>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bCs/>
        </w:rPr>
        <w:t>A szak(ok), szakirányok/specializációk megnevezése (ahol oktatják):</w:t>
      </w:r>
      <w:r w:rsidRPr="006A233B">
        <w:rPr>
          <w:rFonts w:ascii="Times New Roman" w:eastAsia="Times New Roman" w:hAnsi="Times New Roman" w:cs="Times New Roman"/>
          <w:bCs/>
        </w:rPr>
        <w:t xml:space="preserve"> </w:t>
      </w:r>
      <w:r>
        <w:rPr>
          <w:rFonts w:ascii="Times New Roman" w:hAnsi="Times New Roman" w:cs="Times New Roman"/>
          <w:bCs/>
        </w:rPr>
        <w:t>Katonai logisztika alapképzési szak, katonai pénzügyi specializáció</w:t>
      </w:r>
    </w:p>
    <w:p w:rsidR="008414AA" w:rsidRPr="006A233B" w:rsidRDefault="008414AA" w:rsidP="00980876">
      <w:pPr>
        <w:widowControl w:val="0"/>
        <w:numPr>
          <w:ilvl w:val="0"/>
          <w:numId w:val="516"/>
        </w:numPr>
        <w:tabs>
          <w:tab w:val="num" w:pos="567"/>
        </w:tabs>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bCs/>
        </w:rPr>
        <w:t xml:space="preserve">Az oktatásért felelős oktatási szervezeti egység megnevezése: </w:t>
      </w:r>
      <w:r w:rsidRPr="006A233B">
        <w:rPr>
          <w:rFonts w:ascii="Times New Roman" w:hAnsi="Times New Roman" w:cs="Times New Roman"/>
          <w:bCs/>
        </w:rPr>
        <w:t>NKE HHK Had</w:t>
      </w:r>
      <w:r>
        <w:rPr>
          <w:rFonts w:ascii="Times New Roman" w:hAnsi="Times New Roman" w:cs="Times New Roman"/>
          <w:bCs/>
        </w:rPr>
        <w:t>táp, Pénzügyi és Katonai Közlekedési Tanszék</w:t>
      </w:r>
    </w:p>
    <w:p w:rsidR="008414AA" w:rsidRPr="006A233B" w:rsidRDefault="008414AA" w:rsidP="00980876">
      <w:pPr>
        <w:widowControl w:val="0"/>
        <w:numPr>
          <w:ilvl w:val="0"/>
          <w:numId w:val="516"/>
        </w:numPr>
        <w:tabs>
          <w:tab w:val="num" w:pos="567"/>
        </w:tabs>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bCs/>
        </w:rPr>
        <w:t>A tantárgyfelelős oktató neve, beosztása, tudományos fokozata:</w:t>
      </w:r>
      <w:r w:rsidRPr="006A233B">
        <w:rPr>
          <w:rFonts w:ascii="Times New Roman" w:eastAsia="Times New Roman" w:hAnsi="Times New Roman" w:cs="Times New Roman"/>
          <w:bCs/>
        </w:rPr>
        <w:t xml:space="preserve"> </w:t>
      </w:r>
      <w:r>
        <w:rPr>
          <w:rFonts w:ascii="Times New Roman" w:hAnsi="Times New Roman" w:cs="Times New Roman"/>
          <w:bCs/>
        </w:rPr>
        <w:t>Dr. Pap Andrea, egyetemi docens, (PhD)</w:t>
      </w:r>
    </w:p>
    <w:p w:rsidR="008414AA" w:rsidRPr="006A233B" w:rsidRDefault="008414AA" w:rsidP="00980876">
      <w:pPr>
        <w:widowControl w:val="0"/>
        <w:numPr>
          <w:ilvl w:val="0"/>
          <w:numId w:val="516"/>
        </w:numPr>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bCs/>
        </w:rPr>
        <w:t>A tanórák száma és típusa</w:t>
      </w:r>
    </w:p>
    <w:p w:rsidR="008414AA" w:rsidRPr="007B3286" w:rsidRDefault="008414AA" w:rsidP="00980876">
      <w:pPr>
        <w:widowControl w:val="0"/>
        <w:numPr>
          <w:ilvl w:val="1"/>
          <w:numId w:val="516"/>
        </w:numPr>
        <w:tabs>
          <w:tab w:val="clear" w:pos="3977"/>
          <w:tab w:val="num" w:pos="709"/>
          <w:tab w:val="num" w:pos="2069"/>
        </w:tabs>
        <w:spacing w:before="120" w:after="120" w:line="240" w:lineRule="auto"/>
        <w:ind w:left="851" w:hanging="425"/>
        <w:jc w:val="both"/>
        <w:rPr>
          <w:rFonts w:ascii="Times New Roman" w:eastAsia="Times New Roman" w:hAnsi="Times New Roman" w:cs="Times New Roman"/>
          <w:bCs/>
        </w:rPr>
      </w:pPr>
      <w:r w:rsidRPr="006A233B">
        <w:rPr>
          <w:rFonts w:ascii="Times New Roman" w:eastAsia="Times New Roman" w:hAnsi="Times New Roman" w:cs="Times New Roman"/>
          <w:bCs/>
        </w:rPr>
        <w:t>össz óraszám/félév:</w:t>
      </w:r>
      <w:r>
        <w:rPr>
          <w:rFonts w:ascii="Times New Roman" w:eastAsia="Times New Roman" w:hAnsi="Times New Roman" w:cs="Times New Roman"/>
          <w:bCs/>
        </w:rPr>
        <w:t xml:space="preserve"> 28</w:t>
      </w:r>
    </w:p>
    <w:p w:rsidR="008414AA" w:rsidRPr="006A233B" w:rsidRDefault="008414AA" w:rsidP="00980876">
      <w:pPr>
        <w:widowControl w:val="0"/>
        <w:numPr>
          <w:ilvl w:val="2"/>
          <w:numId w:val="516"/>
        </w:numPr>
        <w:tabs>
          <w:tab w:val="num" w:pos="709"/>
          <w:tab w:val="num" w:pos="1134"/>
        </w:tabs>
        <w:spacing w:before="120" w:after="120" w:line="240" w:lineRule="auto"/>
        <w:ind w:left="993" w:hanging="425"/>
        <w:jc w:val="both"/>
        <w:rPr>
          <w:rFonts w:ascii="Times New Roman" w:eastAsia="Times New Roman" w:hAnsi="Times New Roman" w:cs="Times New Roman"/>
          <w:bCs/>
        </w:rPr>
      </w:pPr>
      <w:r w:rsidRPr="006A233B">
        <w:rPr>
          <w:rFonts w:ascii="Times New Roman" w:eastAsia="Times New Roman" w:hAnsi="Times New Roman" w:cs="Times New Roman"/>
          <w:bCs/>
        </w:rPr>
        <w:t xml:space="preserve">nappali munkarend: </w:t>
      </w:r>
      <w:r w:rsidRPr="007B3286">
        <w:rPr>
          <w:rFonts w:ascii="Times New Roman" w:eastAsia="Times New Roman" w:hAnsi="Times New Roman" w:cs="Times New Roman"/>
          <w:bCs/>
        </w:rPr>
        <w:t>(</w:t>
      </w:r>
      <w:r>
        <w:rPr>
          <w:rFonts w:ascii="Times New Roman" w:eastAsia="Times New Roman" w:hAnsi="Times New Roman" w:cs="Times New Roman"/>
          <w:bCs/>
        </w:rPr>
        <w:t xml:space="preserve">14 </w:t>
      </w:r>
      <w:r w:rsidRPr="007B3286">
        <w:rPr>
          <w:rFonts w:ascii="Times New Roman" w:eastAsia="Times New Roman" w:hAnsi="Times New Roman" w:cs="Times New Roman"/>
          <w:bCs/>
        </w:rPr>
        <w:t xml:space="preserve">EA + 0 SZ + </w:t>
      </w:r>
      <w:r>
        <w:rPr>
          <w:rFonts w:ascii="Times New Roman" w:eastAsia="Times New Roman" w:hAnsi="Times New Roman" w:cs="Times New Roman"/>
          <w:bCs/>
        </w:rPr>
        <w:t>14</w:t>
      </w:r>
      <w:r w:rsidRPr="007B3286">
        <w:rPr>
          <w:rFonts w:ascii="Times New Roman" w:eastAsia="Times New Roman" w:hAnsi="Times New Roman" w:cs="Times New Roman"/>
          <w:bCs/>
        </w:rPr>
        <w:t xml:space="preserve"> GY)</w:t>
      </w:r>
    </w:p>
    <w:p w:rsidR="008414AA" w:rsidRPr="006A233B" w:rsidRDefault="008414AA" w:rsidP="00980876">
      <w:pPr>
        <w:widowControl w:val="0"/>
        <w:numPr>
          <w:ilvl w:val="2"/>
          <w:numId w:val="516"/>
        </w:numPr>
        <w:tabs>
          <w:tab w:val="num" w:pos="709"/>
          <w:tab w:val="num" w:pos="1134"/>
        </w:tabs>
        <w:spacing w:before="120" w:after="120" w:line="240" w:lineRule="auto"/>
        <w:ind w:left="993" w:hanging="425"/>
        <w:jc w:val="both"/>
        <w:rPr>
          <w:rFonts w:ascii="Times New Roman" w:eastAsia="Times New Roman" w:hAnsi="Times New Roman" w:cs="Times New Roman"/>
          <w:bCs/>
        </w:rPr>
      </w:pPr>
      <w:r w:rsidRPr="006A233B">
        <w:rPr>
          <w:rFonts w:ascii="Times New Roman" w:eastAsia="Times New Roman" w:hAnsi="Times New Roman" w:cs="Times New Roman"/>
          <w:bCs/>
        </w:rPr>
        <w:t xml:space="preserve">levelező munkarend: </w:t>
      </w:r>
      <w:r>
        <w:rPr>
          <w:rFonts w:ascii="Times New Roman" w:eastAsia="Times New Roman" w:hAnsi="Times New Roman" w:cs="Times New Roman"/>
          <w:bCs/>
        </w:rPr>
        <w:t>-</w:t>
      </w:r>
    </w:p>
    <w:p w:rsidR="008414AA" w:rsidRPr="007B3286" w:rsidRDefault="008414AA" w:rsidP="00980876">
      <w:pPr>
        <w:widowControl w:val="0"/>
        <w:numPr>
          <w:ilvl w:val="1"/>
          <w:numId w:val="516"/>
        </w:numPr>
        <w:tabs>
          <w:tab w:val="clear" w:pos="3977"/>
          <w:tab w:val="num" w:pos="709"/>
          <w:tab w:val="num" w:pos="2069"/>
        </w:tabs>
        <w:spacing w:before="120" w:after="120" w:line="240" w:lineRule="auto"/>
        <w:ind w:left="851" w:hanging="425"/>
        <w:jc w:val="both"/>
        <w:rPr>
          <w:rFonts w:ascii="Times New Roman" w:eastAsia="Times New Roman" w:hAnsi="Times New Roman" w:cs="Times New Roman"/>
          <w:bCs/>
        </w:rPr>
      </w:pPr>
      <w:r w:rsidRPr="006A233B">
        <w:rPr>
          <w:rFonts w:ascii="Times New Roman" w:eastAsia="Times New Roman" w:hAnsi="Times New Roman" w:cs="Times New Roman"/>
          <w:bCs/>
        </w:rPr>
        <w:t xml:space="preserve">heti óraszám - nappali munkarend: </w:t>
      </w:r>
      <w:r>
        <w:rPr>
          <w:rFonts w:ascii="Times New Roman" w:eastAsia="Times New Roman" w:hAnsi="Times New Roman" w:cs="Times New Roman"/>
          <w:bCs/>
        </w:rPr>
        <w:t>2</w:t>
      </w:r>
    </w:p>
    <w:p w:rsidR="008414AA" w:rsidRPr="006A233B" w:rsidRDefault="008414AA" w:rsidP="00980876">
      <w:pPr>
        <w:widowControl w:val="0"/>
        <w:numPr>
          <w:ilvl w:val="1"/>
          <w:numId w:val="516"/>
        </w:numPr>
        <w:tabs>
          <w:tab w:val="clear" w:pos="3977"/>
          <w:tab w:val="num" w:pos="709"/>
          <w:tab w:val="num" w:pos="2069"/>
        </w:tabs>
        <w:spacing w:before="120" w:after="120" w:line="240" w:lineRule="auto"/>
        <w:ind w:left="851" w:hanging="425"/>
        <w:jc w:val="both"/>
        <w:rPr>
          <w:rFonts w:ascii="Times New Roman" w:eastAsia="Times New Roman" w:hAnsi="Times New Roman" w:cs="Times New Roman"/>
          <w:bCs/>
        </w:rPr>
      </w:pPr>
      <w:r w:rsidRPr="006A233B">
        <w:rPr>
          <w:rFonts w:ascii="Times New Roman" w:hAnsi="Times New Roman" w:cs="Times New Roman"/>
        </w:rPr>
        <w:t>Az ismeret átadásában alkalmazandó további sajátos módok, jellemzők:</w:t>
      </w:r>
      <w:r w:rsidRPr="006A233B">
        <w:rPr>
          <w:rFonts w:ascii="Times New Roman" w:hAnsi="Times New Roman" w:cs="Times New Roman"/>
          <w:i/>
        </w:rPr>
        <w:t xml:space="preserve"> –</w:t>
      </w:r>
    </w:p>
    <w:p w:rsidR="008414AA" w:rsidRPr="006A233B" w:rsidRDefault="008414AA" w:rsidP="00980876">
      <w:pPr>
        <w:widowControl w:val="0"/>
        <w:numPr>
          <w:ilvl w:val="0"/>
          <w:numId w:val="516"/>
        </w:numPr>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bCs/>
        </w:rPr>
        <w:t>A tantárgy szakmai tartalma (magyarul):</w:t>
      </w:r>
      <w:r w:rsidRPr="006A233B">
        <w:rPr>
          <w:rFonts w:ascii="Times New Roman" w:eastAsia="Times New Roman" w:hAnsi="Times New Roman" w:cs="Times New Roman"/>
          <w:bCs/>
        </w:rPr>
        <w:t xml:space="preserve"> </w:t>
      </w:r>
      <w:r>
        <w:rPr>
          <w:rFonts w:ascii="Times New Roman" w:eastAsia="Times New Roman" w:hAnsi="Times New Roman" w:cs="Times New Roman"/>
          <w:bCs/>
        </w:rPr>
        <w:t xml:space="preserve">Megismertetni a </w:t>
      </w:r>
      <w:r w:rsidRPr="00455106">
        <w:rPr>
          <w:rFonts w:ascii="Times New Roman" w:eastAsia="Times New Roman" w:hAnsi="Times New Roman" w:cs="Times New Roman"/>
          <w:bCs/>
        </w:rPr>
        <w:t xml:space="preserve">honvéd tisztjelöltekkel a </w:t>
      </w:r>
      <w:r>
        <w:rPr>
          <w:rFonts w:ascii="Times New Roman" w:eastAsia="Times New Roman" w:hAnsi="Times New Roman" w:cs="Times New Roman"/>
          <w:bCs/>
        </w:rPr>
        <w:t>befektetett eszközök (befektetett pénzügyi eszközök), forgóeszközök és a források számvitelét</w:t>
      </w:r>
      <w:r w:rsidRPr="00455106">
        <w:rPr>
          <w:rFonts w:ascii="Times New Roman" w:eastAsia="Times New Roman" w:hAnsi="Times New Roman" w:cs="Times New Roman"/>
          <w:bCs/>
        </w:rPr>
        <w:t>.</w:t>
      </w:r>
    </w:p>
    <w:p w:rsidR="008414AA" w:rsidRPr="006A233B" w:rsidRDefault="008414AA" w:rsidP="008414AA">
      <w:pPr>
        <w:widowControl w:val="0"/>
        <w:spacing w:before="120" w:after="120" w:line="240" w:lineRule="auto"/>
        <w:ind w:left="426"/>
        <w:jc w:val="both"/>
        <w:rPr>
          <w:rFonts w:ascii="Times New Roman" w:eastAsia="Times New Roman" w:hAnsi="Times New Roman" w:cs="Times New Roman"/>
          <w:bCs/>
          <w:lang w:val="en-GB"/>
        </w:rPr>
      </w:pPr>
      <w:r w:rsidRPr="006A233B">
        <w:rPr>
          <w:rFonts w:ascii="Times New Roman" w:eastAsia="Times New Roman" w:hAnsi="Times New Roman" w:cs="Times New Roman"/>
          <w:b/>
          <w:bCs/>
        </w:rPr>
        <w:t>A tantárgy szakmai tartalma (angolul) (</w:t>
      </w:r>
      <w:r w:rsidRPr="006A233B">
        <w:rPr>
          <w:rFonts w:ascii="Times New Roman" w:eastAsia="Times New Roman" w:hAnsi="Times New Roman" w:cs="Times New Roman"/>
          <w:b/>
          <w:bCs/>
          <w:lang w:val="en-US"/>
        </w:rPr>
        <w:t>Course description</w:t>
      </w:r>
      <w:r w:rsidRPr="006A233B">
        <w:rPr>
          <w:rFonts w:ascii="Times New Roman" w:eastAsia="Times New Roman" w:hAnsi="Times New Roman" w:cs="Times New Roman"/>
          <w:b/>
          <w:bCs/>
        </w:rPr>
        <w:t xml:space="preserve">): </w:t>
      </w:r>
      <w:r w:rsidRPr="002760DA">
        <w:rPr>
          <w:rFonts w:ascii="Times New Roman" w:eastAsia="Times New Roman" w:hAnsi="Times New Roman" w:cs="Times New Roman"/>
          <w:bCs/>
        </w:rPr>
        <w:t>To familiarize the cadets with the accounting of fixed assets (fixed financial assets), current assets and liabilities.</w:t>
      </w:r>
    </w:p>
    <w:p w:rsidR="008414AA" w:rsidRPr="006A233B" w:rsidRDefault="008414AA" w:rsidP="00980876">
      <w:pPr>
        <w:pStyle w:val="Listaszerbekezds"/>
        <w:widowControl w:val="0"/>
        <w:numPr>
          <w:ilvl w:val="0"/>
          <w:numId w:val="516"/>
        </w:numPr>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bCs/>
        </w:rPr>
        <w:t>Elérendő kompetenciák (magyarul):</w:t>
      </w:r>
      <w:r w:rsidRPr="006A233B">
        <w:rPr>
          <w:rFonts w:ascii="Times New Roman" w:eastAsia="Times New Roman" w:hAnsi="Times New Roman" w:cs="Times New Roman"/>
          <w:bCs/>
        </w:rPr>
        <w:t xml:space="preserve"> </w:t>
      </w:r>
    </w:p>
    <w:p w:rsidR="008414AA" w:rsidRPr="00DC607B" w:rsidRDefault="008414AA" w:rsidP="008414AA">
      <w:pPr>
        <w:widowControl w:val="0"/>
        <w:spacing w:after="0" w:line="240" w:lineRule="auto"/>
        <w:ind w:left="425"/>
        <w:jc w:val="both"/>
        <w:rPr>
          <w:rFonts w:ascii="Times New Roman" w:eastAsia="Times New Roman" w:hAnsi="Times New Roman" w:cs="Times New Roman"/>
          <w:bCs/>
        </w:rPr>
      </w:pPr>
      <w:r w:rsidRPr="00DC607B">
        <w:rPr>
          <w:rFonts w:ascii="Times New Roman" w:eastAsia="Times New Roman" w:hAnsi="Times New Roman" w:cs="Times New Roman"/>
          <w:b/>
          <w:bCs/>
        </w:rPr>
        <w:t>Tudása:</w:t>
      </w:r>
    </w:p>
    <w:p w:rsidR="008414AA" w:rsidRPr="00B34380" w:rsidRDefault="008414AA" w:rsidP="008414AA">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r>
      <w:r w:rsidRPr="00B34380">
        <w:rPr>
          <w:rFonts w:ascii="Times New Roman" w:eastAsia="Times New Roman" w:hAnsi="Times New Roman"/>
          <w:bCs/>
        </w:rPr>
        <w:t>Ismeri a gazdaság és a piacok működésének alapjait, törvényszerűségeit.</w:t>
      </w:r>
    </w:p>
    <w:p w:rsidR="008414AA" w:rsidRPr="00B34380" w:rsidRDefault="008414AA" w:rsidP="008414AA">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r>
      <w:r w:rsidRPr="00B34380">
        <w:rPr>
          <w:rFonts w:ascii="Times New Roman" w:eastAsia="Times New Roman" w:hAnsi="Times New Roman"/>
          <w:bCs/>
        </w:rPr>
        <w:t>Ismeri a magyar számvitel rendszerét, alapelveit.</w:t>
      </w:r>
    </w:p>
    <w:p w:rsidR="008414AA" w:rsidRPr="00B34380" w:rsidRDefault="008414AA" w:rsidP="008414AA">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r>
      <w:r w:rsidRPr="00B34380">
        <w:rPr>
          <w:rFonts w:ascii="Times New Roman" w:eastAsia="Times New Roman" w:hAnsi="Times New Roman"/>
          <w:bCs/>
        </w:rPr>
        <w:t>Mélyrehatóan ismeri a gazdasági események könyvelésének és a könyvviteli elszámolásoknak a rendszerét.</w:t>
      </w:r>
    </w:p>
    <w:p w:rsidR="008414AA" w:rsidRPr="00DC607B" w:rsidRDefault="008414AA" w:rsidP="008414AA">
      <w:pPr>
        <w:widowControl w:val="0"/>
        <w:spacing w:before="120" w:after="0" w:line="240" w:lineRule="auto"/>
        <w:ind w:left="425"/>
        <w:jc w:val="both"/>
        <w:rPr>
          <w:rFonts w:ascii="Times New Roman" w:eastAsia="Times New Roman" w:hAnsi="Times New Roman" w:cs="Times New Roman"/>
          <w:bCs/>
        </w:rPr>
      </w:pPr>
      <w:r w:rsidRPr="00DC607B">
        <w:rPr>
          <w:rFonts w:ascii="Times New Roman" w:eastAsia="Times New Roman" w:hAnsi="Times New Roman" w:cs="Times New Roman"/>
          <w:b/>
          <w:bCs/>
        </w:rPr>
        <w:t>Képességei:</w:t>
      </w:r>
    </w:p>
    <w:p w:rsidR="008414AA" w:rsidRPr="00B34380" w:rsidRDefault="008414AA" w:rsidP="008414AA">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r>
      <w:r w:rsidRPr="00B34380">
        <w:rPr>
          <w:rFonts w:ascii="Times New Roman" w:eastAsia="Times New Roman" w:hAnsi="Times New Roman"/>
          <w:bCs/>
        </w:rPr>
        <w:t>Képes összeállítani a beszámoló részét képező mérleget és eredménykimutatást, valamint lekönyvelni az alapvető és az összetett gazdasági eseményeket.</w:t>
      </w:r>
    </w:p>
    <w:p w:rsidR="008414AA" w:rsidRPr="00B34380" w:rsidRDefault="008414AA" w:rsidP="008414AA">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r>
      <w:r w:rsidRPr="00B34380">
        <w:rPr>
          <w:rFonts w:ascii="Times New Roman" w:eastAsia="Times New Roman" w:hAnsi="Times New Roman"/>
          <w:bCs/>
        </w:rPr>
        <w:t>Képes valós és megbízható képet alkotni a gazdálkodó szervezetek vagyonáról, pénzügyi helyzetéről, gazdálkodásának szabályszerűségéről.</w:t>
      </w:r>
    </w:p>
    <w:p w:rsidR="008414AA" w:rsidRPr="00DC607B" w:rsidRDefault="008414AA" w:rsidP="008414AA">
      <w:pPr>
        <w:widowControl w:val="0"/>
        <w:spacing w:before="120" w:after="0" w:line="240" w:lineRule="auto"/>
        <w:ind w:left="425"/>
        <w:jc w:val="both"/>
        <w:rPr>
          <w:rFonts w:ascii="Times New Roman" w:eastAsia="Times New Roman" w:hAnsi="Times New Roman" w:cs="Times New Roman"/>
          <w:bCs/>
        </w:rPr>
      </w:pPr>
      <w:r w:rsidRPr="00DC607B">
        <w:rPr>
          <w:rFonts w:ascii="Times New Roman" w:eastAsia="Times New Roman" w:hAnsi="Times New Roman" w:cs="Times New Roman"/>
          <w:b/>
          <w:bCs/>
        </w:rPr>
        <w:t>Attitűdje:</w:t>
      </w:r>
      <w:r w:rsidRPr="00DC607B">
        <w:rPr>
          <w:rFonts w:ascii="Times New Roman" w:eastAsia="Times New Roman" w:hAnsi="Times New Roman" w:cs="Times New Roman"/>
          <w:bCs/>
        </w:rPr>
        <w:t xml:space="preserve"> </w:t>
      </w:r>
    </w:p>
    <w:p w:rsidR="008414AA" w:rsidRPr="00B34380" w:rsidRDefault="008414AA" w:rsidP="008414AA">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r>
      <w:r w:rsidRPr="00B34380">
        <w:rPr>
          <w:rFonts w:ascii="Times New Roman" w:eastAsia="Times New Roman" w:hAnsi="Times New Roman"/>
          <w:bCs/>
        </w:rPr>
        <w:t>Nyitott szakterülete új eredményei, innovációi iránt, törekszik azok megismerésére, megértésére és alkalmazására, elkötelezett önmaga folyamatos képzésére.</w:t>
      </w:r>
    </w:p>
    <w:p w:rsidR="008414AA" w:rsidRPr="00B34380" w:rsidRDefault="008414AA" w:rsidP="008414AA">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r>
      <w:r w:rsidRPr="00B34380">
        <w:rPr>
          <w:rFonts w:ascii="Times New Roman" w:eastAsia="Times New Roman" w:hAnsi="Times New Roman"/>
          <w:bCs/>
        </w:rPr>
        <w:t>A minőségi szakmai munkavégzés iránt elkötelezett, azt a pontosságra való törekvés jellemzi.</w:t>
      </w:r>
    </w:p>
    <w:p w:rsidR="008414AA" w:rsidRPr="00B34380" w:rsidRDefault="008414AA" w:rsidP="008414AA">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r>
      <w:r w:rsidRPr="00B34380">
        <w:rPr>
          <w:rFonts w:ascii="Times New Roman" w:eastAsia="Times New Roman" w:hAnsi="Times New Roman"/>
          <w:bCs/>
        </w:rPr>
        <w:t>Felismeri a rendszerszintű tevékenységben rejlő értékeket, törekszik a logisztikai tevékenységek közötti kapcsolatok értelmezésére.</w:t>
      </w:r>
    </w:p>
    <w:p w:rsidR="008414AA" w:rsidRDefault="008414AA" w:rsidP="008414AA">
      <w:pPr>
        <w:widowControl w:val="0"/>
        <w:spacing w:before="120" w:after="0" w:line="240" w:lineRule="auto"/>
        <w:ind w:left="425"/>
        <w:jc w:val="both"/>
        <w:rPr>
          <w:rFonts w:ascii="Times New Roman" w:eastAsia="Times New Roman" w:hAnsi="Times New Roman" w:cs="Times New Roman"/>
          <w:b/>
          <w:bCs/>
        </w:rPr>
      </w:pPr>
    </w:p>
    <w:p w:rsidR="008414AA" w:rsidRPr="006A233B" w:rsidRDefault="008414AA" w:rsidP="008414AA">
      <w:pPr>
        <w:widowControl w:val="0"/>
        <w:spacing w:before="120" w:after="0" w:line="240" w:lineRule="auto"/>
        <w:ind w:left="425"/>
        <w:jc w:val="both"/>
        <w:rPr>
          <w:rFonts w:ascii="Times New Roman" w:eastAsia="Times New Roman" w:hAnsi="Times New Roman" w:cs="Times New Roman"/>
          <w:bCs/>
        </w:rPr>
      </w:pPr>
      <w:r w:rsidRPr="006A233B">
        <w:rPr>
          <w:rFonts w:ascii="Times New Roman" w:eastAsia="Times New Roman" w:hAnsi="Times New Roman" w:cs="Times New Roman"/>
          <w:b/>
          <w:bCs/>
        </w:rPr>
        <w:lastRenderedPageBreak/>
        <w:t>Autonómiája és felelőssége:</w:t>
      </w:r>
    </w:p>
    <w:p w:rsidR="008414AA" w:rsidRPr="00007F71" w:rsidRDefault="008414AA" w:rsidP="008414AA">
      <w:pPr>
        <w:widowControl w:val="0"/>
        <w:spacing w:before="120" w:after="120" w:line="240" w:lineRule="auto"/>
        <w:ind w:left="993" w:hanging="360"/>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r>
      <w:r w:rsidRPr="00174BB5">
        <w:rPr>
          <w:rFonts w:ascii="Times New Roman" w:hAnsi="Times New Roman" w:cs="Times New Roman"/>
        </w:rPr>
        <w:t>Felelősséget vállal számvetéseinek pontosságáért</w:t>
      </w:r>
      <w:r>
        <w:rPr>
          <w:rFonts w:ascii="Times New Roman" w:hAnsi="Times New Roman" w:cs="Times New Roman"/>
        </w:rPr>
        <w:t>.</w:t>
      </w:r>
    </w:p>
    <w:p w:rsidR="008414AA" w:rsidRPr="00F05659" w:rsidRDefault="008414AA" w:rsidP="008414AA">
      <w:pPr>
        <w:widowControl w:val="0"/>
        <w:spacing w:before="120" w:after="0" w:line="240" w:lineRule="auto"/>
        <w:ind w:left="425"/>
        <w:jc w:val="both"/>
        <w:rPr>
          <w:rFonts w:ascii="Times New Roman" w:eastAsia="Times New Roman" w:hAnsi="Times New Roman" w:cs="Times New Roman"/>
          <w:b/>
          <w:bCs/>
          <w:lang w:val="en-US"/>
        </w:rPr>
      </w:pPr>
      <w:r w:rsidRPr="006A233B">
        <w:rPr>
          <w:rFonts w:ascii="Times New Roman" w:eastAsia="Times New Roman" w:hAnsi="Times New Roman" w:cs="Times New Roman"/>
          <w:b/>
          <w:bCs/>
        </w:rPr>
        <w:t>Elérendő kompetenciák (angolul) (</w:t>
      </w:r>
      <w:r w:rsidRPr="006A233B">
        <w:rPr>
          <w:rFonts w:ascii="Times New Roman" w:eastAsia="Times New Roman" w:hAnsi="Times New Roman" w:cs="Times New Roman"/>
          <w:b/>
          <w:bCs/>
          <w:lang w:val="en-US"/>
        </w:rPr>
        <w:t xml:space="preserve">Competences – English): </w:t>
      </w:r>
    </w:p>
    <w:p w:rsidR="008414AA" w:rsidRDefault="008414AA" w:rsidP="008414AA">
      <w:pPr>
        <w:widowControl w:val="0"/>
        <w:spacing w:before="120" w:after="0" w:line="240" w:lineRule="auto"/>
        <w:ind w:left="425"/>
        <w:jc w:val="both"/>
        <w:rPr>
          <w:rFonts w:ascii="Times New Roman" w:eastAsia="Times New Roman" w:hAnsi="Times New Roman" w:cs="Times New Roman"/>
          <w:lang w:val="en-GB"/>
        </w:rPr>
      </w:pPr>
      <w:r w:rsidRPr="006A233B">
        <w:rPr>
          <w:rFonts w:ascii="Times New Roman" w:eastAsia="Times New Roman" w:hAnsi="Times New Roman" w:cs="Times New Roman"/>
          <w:b/>
          <w:lang w:val="en-GB"/>
        </w:rPr>
        <w:t>Knowledge</w:t>
      </w:r>
      <w:r w:rsidRPr="006A233B">
        <w:rPr>
          <w:rFonts w:ascii="Times New Roman" w:eastAsia="Times New Roman" w:hAnsi="Times New Roman" w:cs="Times New Roman"/>
          <w:lang w:val="en-GB"/>
        </w:rPr>
        <w:t xml:space="preserve">: </w:t>
      </w:r>
    </w:p>
    <w:p w:rsidR="008414AA" w:rsidRPr="00B34380" w:rsidRDefault="008414AA" w:rsidP="008414AA">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r>
      <w:r w:rsidRPr="00B34380">
        <w:rPr>
          <w:rFonts w:ascii="Times New Roman" w:eastAsia="Times New Roman" w:hAnsi="Times New Roman"/>
          <w:bCs/>
        </w:rPr>
        <w:t>The student knows the basics of the operation of the economy and markets.</w:t>
      </w:r>
    </w:p>
    <w:p w:rsidR="008414AA" w:rsidRPr="00B34380" w:rsidRDefault="008414AA" w:rsidP="008414AA">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r>
      <w:r w:rsidRPr="00B34380">
        <w:rPr>
          <w:rFonts w:ascii="Times New Roman" w:eastAsia="Times New Roman" w:hAnsi="Times New Roman"/>
          <w:bCs/>
        </w:rPr>
        <w:t>Knows the system and principles of accounting in Hungary.</w:t>
      </w:r>
    </w:p>
    <w:p w:rsidR="008414AA" w:rsidRPr="00B34380" w:rsidRDefault="008414AA" w:rsidP="008414AA">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r>
      <w:r w:rsidRPr="00B34380">
        <w:rPr>
          <w:rFonts w:ascii="Times New Roman" w:eastAsia="Times New Roman" w:hAnsi="Times New Roman"/>
          <w:bCs/>
        </w:rPr>
        <w:t>He / She has an in-depth knowledge of the system of accounting for economic events.</w:t>
      </w:r>
    </w:p>
    <w:p w:rsidR="008414AA" w:rsidRDefault="008414AA" w:rsidP="008414AA">
      <w:pPr>
        <w:widowControl w:val="0"/>
        <w:spacing w:before="120" w:after="0" w:line="240" w:lineRule="auto"/>
        <w:ind w:left="425"/>
        <w:jc w:val="both"/>
        <w:rPr>
          <w:rFonts w:ascii="Times New Roman" w:eastAsia="Times New Roman" w:hAnsi="Times New Roman" w:cs="Times New Roman"/>
          <w:lang w:val="en-GB"/>
        </w:rPr>
      </w:pPr>
      <w:r w:rsidRPr="006A233B">
        <w:rPr>
          <w:rFonts w:ascii="Times New Roman" w:eastAsia="Times New Roman" w:hAnsi="Times New Roman" w:cs="Times New Roman"/>
          <w:b/>
          <w:lang w:val="en-GB"/>
        </w:rPr>
        <w:t>Capabilities</w:t>
      </w:r>
      <w:r w:rsidRPr="006A233B">
        <w:rPr>
          <w:rFonts w:ascii="Times New Roman" w:eastAsia="Times New Roman" w:hAnsi="Times New Roman" w:cs="Times New Roman"/>
          <w:lang w:val="en-GB"/>
        </w:rPr>
        <w:t xml:space="preserve">: </w:t>
      </w:r>
    </w:p>
    <w:p w:rsidR="008414AA" w:rsidRPr="00B34380" w:rsidRDefault="008414AA" w:rsidP="008414AA">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r>
      <w:r w:rsidRPr="00B34380">
        <w:rPr>
          <w:rFonts w:ascii="Times New Roman" w:eastAsia="Times New Roman" w:hAnsi="Times New Roman"/>
          <w:bCs/>
        </w:rPr>
        <w:t>He / She is able to prepare the balance sheet and profit and loss account that is part of the financial statements, and to record major and complex economic events</w:t>
      </w:r>
      <w:r>
        <w:rPr>
          <w:rFonts w:ascii="Times New Roman" w:eastAsia="Times New Roman" w:hAnsi="Times New Roman"/>
          <w:bCs/>
        </w:rPr>
        <w:t>.</w:t>
      </w:r>
    </w:p>
    <w:p w:rsidR="008414AA" w:rsidRPr="00B34380" w:rsidRDefault="008414AA" w:rsidP="008414AA">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r>
      <w:r w:rsidRPr="00B34380">
        <w:rPr>
          <w:rFonts w:ascii="Times New Roman" w:eastAsia="Times New Roman" w:hAnsi="Times New Roman"/>
          <w:bCs/>
        </w:rPr>
        <w:t>He / She is able to give a real and reliable picture of the assets, financial position and regularity of the business organizations.</w:t>
      </w:r>
    </w:p>
    <w:p w:rsidR="008414AA" w:rsidRDefault="008414AA" w:rsidP="008414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425"/>
        <w:jc w:val="both"/>
        <w:rPr>
          <w:rFonts w:ascii="Times New Roman" w:eastAsia="Times New Roman" w:hAnsi="Times New Roman" w:cs="Times New Roman"/>
          <w:lang w:val="en-GB"/>
        </w:rPr>
      </w:pPr>
      <w:r w:rsidRPr="006A233B">
        <w:rPr>
          <w:rFonts w:ascii="Times New Roman" w:eastAsia="Times New Roman" w:hAnsi="Times New Roman" w:cs="Times New Roman"/>
          <w:b/>
          <w:lang w:val="en-GB"/>
        </w:rPr>
        <w:t>Attitude:</w:t>
      </w:r>
      <w:r w:rsidRPr="006A233B">
        <w:rPr>
          <w:rFonts w:ascii="Times New Roman" w:eastAsia="Times New Roman" w:hAnsi="Times New Roman" w:cs="Times New Roman"/>
          <w:lang w:val="en-GB"/>
        </w:rPr>
        <w:t xml:space="preserve"> </w:t>
      </w:r>
    </w:p>
    <w:p w:rsidR="008414AA" w:rsidRPr="00B34380" w:rsidRDefault="008414AA" w:rsidP="008414AA">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r>
      <w:r w:rsidRPr="00B34380">
        <w:rPr>
          <w:rFonts w:ascii="Times New Roman" w:eastAsia="Times New Roman" w:hAnsi="Times New Roman"/>
          <w:bCs/>
        </w:rPr>
        <w:t>In his/her specialization he/she is open to new achievements and innovations, strives to know, understand and apply them, and committed to continous self-education.</w:t>
      </w:r>
    </w:p>
    <w:p w:rsidR="008414AA" w:rsidRPr="00B34380" w:rsidRDefault="008414AA" w:rsidP="008414AA">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r>
      <w:r w:rsidRPr="00B34380">
        <w:rPr>
          <w:rFonts w:ascii="Times New Roman" w:eastAsia="Times New Roman" w:hAnsi="Times New Roman"/>
          <w:bCs/>
        </w:rPr>
        <w:t>His/Her professional work is characterized by high accuracy and quality.</w:t>
      </w:r>
    </w:p>
    <w:p w:rsidR="008414AA" w:rsidRPr="00B34380" w:rsidRDefault="008414AA" w:rsidP="008414AA">
      <w:pPr>
        <w:widowControl w:val="0"/>
        <w:spacing w:before="120" w:after="120" w:line="240" w:lineRule="auto"/>
        <w:ind w:left="993" w:hanging="360"/>
        <w:contextualSpacing/>
        <w:jc w:val="both"/>
        <w:rPr>
          <w:rFonts w:ascii="Times New Roman" w:eastAsia="Times New Roman" w:hAnsi="Times New Roman"/>
          <w:bCs/>
        </w:rPr>
      </w:pPr>
      <w:r>
        <w:rPr>
          <w:rFonts w:ascii="Times New Roman" w:eastAsia="Times New Roman" w:hAnsi="Times New Roman"/>
          <w:bCs/>
        </w:rPr>
        <w:t>-</w:t>
      </w:r>
      <w:r>
        <w:rPr>
          <w:rFonts w:ascii="Times New Roman" w:eastAsia="Times New Roman" w:hAnsi="Times New Roman"/>
          <w:bCs/>
        </w:rPr>
        <w:tab/>
      </w:r>
      <w:r w:rsidRPr="00B34380">
        <w:rPr>
          <w:rFonts w:ascii="Times New Roman" w:eastAsia="Times New Roman" w:hAnsi="Times New Roman"/>
          <w:bCs/>
        </w:rPr>
        <w:t>He/She recognizes the value of systemic activities and seeks to understand the relationships among logistics procedures.</w:t>
      </w:r>
    </w:p>
    <w:p w:rsidR="008414AA" w:rsidRDefault="008414AA" w:rsidP="008414AA">
      <w:pPr>
        <w:widowControl w:val="0"/>
        <w:spacing w:before="120" w:after="0" w:line="240" w:lineRule="auto"/>
        <w:ind w:left="425"/>
        <w:jc w:val="both"/>
        <w:rPr>
          <w:rFonts w:ascii="Times New Roman" w:eastAsia="Times New Roman" w:hAnsi="Times New Roman" w:cs="Times New Roman"/>
          <w:bCs/>
        </w:rPr>
      </w:pPr>
      <w:r w:rsidRPr="006A233B">
        <w:rPr>
          <w:rFonts w:ascii="Times New Roman" w:eastAsia="Times New Roman" w:hAnsi="Times New Roman" w:cs="Times New Roman"/>
          <w:b/>
          <w:lang w:val="en-GB"/>
        </w:rPr>
        <w:t xml:space="preserve">Autonomy and responsibility: </w:t>
      </w:r>
    </w:p>
    <w:p w:rsidR="008414AA" w:rsidRPr="00A46AB5" w:rsidRDefault="008414AA" w:rsidP="008414AA">
      <w:pPr>
        <w:widowControl w:val="0"/>
        <w:spacing w:before="120" w:after="120" w:line="240" w:lineRule="auto"/>
        <w:ind w:left="993" w:hanging="360"/>
        <w:contextualSpacing/>
        <w:jc w:val="both"/>
        <w:rPr>
          <w:rFonts w:ascii="Times New Roman" w:eastAsia="Times New Roman" w:hAnsi="Times New Roman" w:cs="Times New Roman"/>
          <w:bCs/>
          <w:lang w:val="en-US"/>
        </w:rPr>
      </w:pPr>
      <w:r>
        <w:rPr>
          <w:rFonts w:ascii="Times New Roman" w:eastAsia="Times New Roman" w:hAnsi="Times New Roman" w:cs="Times New Roman"/>
          <w:bCs/>
          <w:lang w:val="en-US"/>
        </w:rPr>
        <w:t>-</w:t>
      </w:r>
      <w:r>
        <w:rPr>
          <w:rFonts w:ascii="Times New Roman" w:eastAsia="Times New Roman" w:hAnsi="Times New Roman" w:cs="Times New Roman"/>
          <w:bCs/>
          <w:lang w:val="en-US"/>
        </w:rPr>
        <w:tab/>
      </w:r>
      <w:r w:rsidRPr="001D7665">
        <w:rPr>
          <w:rFonts w:ascii="Times New Roman" w:eastAsia="Times New Roman" w:hAnsi="Times New Roman" w:cs="Times New Roman"/>
          <w:bCs/>
          <w:lang w:val="en-US"/>
        </w:rPr>
        <w:t>He / She takes responsibility for the accuracy of his/her calculations.</w:t>
      </w:r>
    </w:p>
    <w:p w:rsidR="008414AA" w:rsidRPr="0006103E" w:rsidRDefault="008414AA" w:rsidP="00980876">
      <w:pPr>
        <w:widowControl w:val="0"/>
        <w:numPr>
          <w:ilvl w:val="0"/>
          <w:numId w:val="516"/>
        </w:numPr>
        <w:tabs>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Előtanulmányi követelmények:</w:t>
      </w:r>
      <w:r>
        <w:rPr>
          <w:rFonts w:ascii="Times New Roman" w:eastAsia="Times New Roman" w:hAnsi="Times New Roman" w:cs="Times New Roman"/>
          <w:bCs/>
        </w:rPr>
        <w:t xml:space="preserve"> –</w:t>
      </w:r>
    </w:p>
    <w:p w:rsidR="008414AA" w:rsidRPr="006A233B" w:rsidRDefault="008414AA" w:rsidP="00980876">
      <w:pPr>
        <w:widowControl w:val="0"/>
        <w:numPr>
          <w:ilvl w:val="0"/>
          <w:numId w:val="516"/>
        </w:numPr>
        <w:spacing w:before="120" w:after="120" w:line="240" w:lineRule="auto"/>
        <w:ind w:left="426" w:hanging="142"/>
        <w:jc w:val="both"/>
        <w:rPr>
          <w:rFonts w:ascii="Times New Roman" w:eastAsia="Times New Roman" w:hAnsi="Times New Roman" w:cs="Times New Roman"/>
          <w:b/>
          <w:bCs/>
        </w:rPr>
      </w:pPr>
      <w:r w:rsidRPr="006A233B">
        <w:rPr>
          <w:rFonts w:ascii="Times New Roman" w:eastAsia="Times New Roman" w:hAnsi="Times New Roman" w:cs="Times New Roman"/>
          <w:b/>
          <w:bCs/>
        </w:rPr>
        <w:t>A tantárgy tananyagának leírása, tematika. Description of the subject, curriculum (magyarul, angolul - English):</w:t>
      </w:r>
    </w:p>
    <w:p w:rsidR="008414AA" w:rsidRPr="00B34380" w:rsidRDefault="008414AA" w:rsidP="00980876">
      <w:pPr>
        <w:widowControl w:val="0"/>
        <w:numPr>
          <w:ilvl w:val="1"/>
          <w:numId w:val="516"/>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B34380">
        <w:rPr>
          <w:rFonts w:ascii="Times New Roman" w:eastAsia="Times New Roman" w:hAnsi="Times New Roman" w:cs="Times New Roman"/>
          <w:kern w:val="2"/>
        </w:rPr>
        <w:t>A vásárolt készletekkel kapcsolatos ismeretek és főkönyvi könyvelésük.</w:t>
      </w:r>
      <w:r>
        <w:rPr>
          <w:rFonts w:ascii="Times New Roman" w:eastAsia="Times New Roman" w:hAnsi="Times New Roman" w:cs="Times New Roman"/>
          <w:kern w:val="2"/>
        </w:rPr>
        <w:t xml:space="preserve"> </w:t>
      </w:r>
      <w:r w:rsidRPr="00B34380">
        <w:rPr>
          <w:rFonts w:ascii="Times New Roman" w:eastAsia="Times New Roman" w:hAnsi="Times New Roman" w:cs="Times New Roman"/>
          <w:i/>
          <w:kern w:val="2"/>
        </w:rPr>
        <w:t>(Purchased inventory and their general ledger accounting.)</w:t>
      </w:r>
    </w:p>
    <w:p w:rsidR="008414AA" w:rsidRPr="00B34380" w:rsidRDefault="008414AA" w:rsidP="00980876">
      <w:pPr>
        <w:widowControl w:val="0"/>
        <w:numPr>
          <w:ilvl w:val="1"/>
          <w:numId w:val="516"/>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B34380">
        <w:rPr>
          <w:rFonts w:ascii="Times New Roman" w:eastAsia="Times New Roman" w:hAnsi="Times New Roman" w:cs="Times New Roman"/>
          <w:kern w:val="2"/>
        </w:rPr>
        <w:t>Példamegoldás a vásárolt készletek főkönyvi könyvelésével kapcsolatban</w:t>
      </w:r>
      <w:r w:rsidRPr="00B34380">
        <w:rPr>
          <w:rFonts w:ascii="Times New Roman" w:eastAsia="Times New Roman" w:hAnsi="Times New Roman" w:cs="Times New Roman"/>
          <w:i/>
          <w:kern w:val="2"/>
        </w:rPr>
        <w:t>. (Practice about accounting of purchased inventory.)</w:t>
      </w:r>
    </w:p>
    <w:p w:rsidR="008414AA" w:rsidRPr="00B34380" w:rsidRDefault="008414AA" w:rsidP="00980876">
      <w:pPr>
        <w:widowControl w:val="0"/>
        <w:numPr>
          <w:ilvl w:val="1"/>
          <w:numId w:val="516"/>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B34380">
        <w:rPr>
          <w:rFonts w:ascii="Times New Roman" w:eastAsia="Times New Roman" w:hAnsi="Times New Roman" w:cs="Times New Roman"/>
          <w:kern w:val="2"/>
        </w:rPr>
        <w:t xml:space="preserve">A követelésekkel kapcsolatos ismeretek és főkönyvi elszámolásuk fő szabályai. </w:t>
      </w:r>
      <w:r w:rsidRPr="00B34380">
        <w:rPr>
          <w:rFonts w:ascii="Times New Roman" w:eastAsia="Times New Roman" w:hAnsi="Times New Roman" w:cs="Times New Roman"/>
          <w:i/>
          <w:kern w:val="2"/>
        </w:rPr>
        <w:t>(Claims and the main rules governing their entry in the general ledger.)</w:t>
      </w:r>
    </w:p>
    <w:p w:rsidR="008414AA" w:rsidRPr="00B34380" w:rsidRDefault="008414AA" w:rsidP="00980876">
      <w:pPr>
        <w:widowControl w:val="0"/>
        <w:numPr>
          <w:ilvl w:val="1"/>
          <w:numId w:val="516"/>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B34380">
        <w:rPr>
          <w:rFonts w:ascii="Times New Roman" w:eastAsia="Times New Roman" w:hAnsi="Times New Roman" w:cs="Times New Roman"/>
          <w:kern w:val="2"/>
        </w:rPr>
        <w:t xml:space="preserve">1. zh. megírása. </w:t>
      </w:r>
      <w:r w:rsidRPr="00B34380">
        <w:rPr>
          <w:rFonts w:ascii="Times New Roman" w:eastAsia="Times New Roman" w:hAnsi="Times New Roman" w:cs="Times New Roman"/>
          <w:i/>
          <w:kern w:val="2"/>
        </w:rPr>
        <w:t>(Written test.)</w:t>
      </w:r>
    </w:p>
    <w:p w:rsidR="008414AA" w:rsidRPr="00B34380" w:rsidRDefault="008414AA" w:rsidP="00980876">
      <w:pPr>
        <w:widowControl w:val="0"/>
        <w:numPr>
          <w:ilvl w:val="1"/>
          <w:numId w:val="516"/>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B34380">
        <w:rPr>
          <w:rFonts w:ascii="Times New Roman" w:eastAsia="Times New Roman" w:hAnsi="Times New Roman" w:cs="Times New Roman"/>
          <w:kern w:val="2"/>
        </w:rPr>
        <w:t xml:space="preserve">Értékpapírok számvitele. A váltó elszámolásának sajátosságai. </w:t>
      </w:r>
      <w:r w:rsidRPr="00B34380">
        <w:rPr>
          <w:rFonts w:ascii="Times New Roman" w:eastAsia="Times New Roman" w:hAnsi="Times New Roman" w:cs="Times New Roman"/>
          <w:i/>
          <w:kern w:val="2"/>
        </w:rPr>
        <w:t>(Accounting of securities. Special features of bill settlement.)</w:t>
      </w:r>
    </w:p>
    <w:p w:rsidR="008414AA" w:rsidRPr="00B34380" w:rsidRDefault="008414AA" w:rsidP="00980876">
      <w:pPr>
        <w:widowControl w:val="0"/>
        <w:numPr>
          <w:ilvl w:val="1"/>
          <w:numId w:val="516"/>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B34380">
        <w:rPr>
          <w:rFonts w:ascii="Times New Roman" w:eastAsia="Times New Roman" w:hAnsi="Times New Roman" w:cs="Times New Roman"/>
          <w:kern w:val="2"/>
        </w:rPr>
        <w:t xml:space="preserve">Befektetett pénzügyi eszközökkel kapcsolatos ismeretek. </w:t>
      </w:r>
      <w:r w:rsidRPr="00B34380">
        <w:rPr>
          <w:rFonts w:ascii="Times New Roman" w:eastAsia="Times New Roman" w:hAnsi="Times New Roman" w:cs="Times New Roman"/>
          <w:i/>
          <w:kern w:val="2"/>
        </w:rPr>
        <w:t>(Non-current assets.)</w:t>
      </w:r>
    </w:p>
    <w:p w:rsidR="008414AA" w:rsidRPr="00B34380" w:rsidRDefault="008414AA" w:rsidP="00980876">
      <w:pPr>
        <w:widowControl w:val="0"/>
        <w:numPr>
          <w:ilvl w:val="1"/>
          <w:numId w:val="516"/>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B34380">
        <w:rPr>
          <w:rFonts w:ascii="Times New Roman" w:eastAsia="Times New Roman" w:hAnsi="Times New Roman" w:cs="Times New Roman"/>
          <w:kern w:val="2"/>
        </w:rPr>
        <w:t xml:space="preserve">Pénzeszközök tartalma és számvitelük. </w:t>
      </w:r>
      <w:r w:rsidRPr="00B34380">
        <w:rPr>
          <w:rFonts w:ascii="Times New Roman" w:eastAsia="Times New Roman" w:hAnsi="Times New Roman" w:cs="Times New Roman"/>
          <w:i/>
          <w:kern w:val="2"/>
        </w:rPr>
        <w:t>(Content of funds and their acconting.)</w:t>
      </w:r>
    </w:p>
    <w:p w:rsidR="008414AA" w:rsidRPr="00B34380" w:rsidRDefault="008414AA" w:rsidP="00980876">
      <w:pPr>
        <w:widowControl w:val="0"/>
        <w:numPr>
          <w:ilvl w:val="1"/>
          <w:numId w:val="516"/>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B34380">
        <w:rPr>
          <w:rFonts w:ascii="Times New Roman" w:eastAsia="Times New Roman" w:hAnsi="Times New Roman" w:cs="Times New Roman"/>
          <w:kern w:val="2"/>
        </w:rPr>
        <w:t>2. zh. megírása.</w:t>
      </w:r>
      <w:r>
        <w:rPr>
          <w:rFonts w:ascii="Times New Roman" w:eastAsia="Times New Roman" w:hAnsi="Times New Roman" w:cs="Times New Roman"/>
          <w:kern w:val="2"/>
        </w:rPr>
        <w:t xml:space="preserve"> </w:t>
      </w:r>
      <w:r w:rsidRPr="00B34380">
        <w:rPr>
          <w:rFonts w:ascii="Times New Roman" w:eastAsia="Times New Roman" w:hAnsi="Times New Roman" w:cs="Times New Roman"/>
          <w:i/>
          <w:kern w:val="2"/>
        </w:rPr>
        <w:t>(Written test.)</w:t>
      </w:r>
    </w:p>
    <w:p w:rsidR="008414AA" w:rsidRPr="00B34380" w:rsidRDefault="008414AA" w:rsidP="00980876">
      <w:pPr>
        <w:widowControl w:val="0"/>
        <w:numPr>
          <w:ilvl w:val="1"/>
          <w:numId w:val="516"/>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i/>
          <w:kern w:val="2"/>
        </w:rPr>
      </w:pPr>
      <w:r w:rsidRPr="00B34380">
        <w:rPr>
          <w:rFonts w:ascii="Times New Roman" w:eastAsia="Times New Roman" w:hAnsi="Times New Roman" w:cs="Times New Roman"/>
          <w:kern w:val="2"/>
        </w:rPr>
        <w:t xml:space="preserve">A saját tőkével kapcsolatos ismeretek. </w:t>
      </w:r>
      <w:r w:rsidRPr="00B34380">
        <w:rPr>
          <w:rFonts w:ascii="Times New Roman" w:eastAsia="Times New Roman" w:hAnsi="Times New Roman" w:cs="Times New Roman"/>
          <w:i/>
          <w:kern w:val="2"/>
        </w:rPr>
        <w:t>(Equity.)</w:t>
      </w:r>
    </w:p>
    <w:p w:rsidR="008414AA" w:rsidRPr="00B34380" w:rsidRDefault="008414AA" w:rsidP="00980876">
      <w:pPr>
        <w:widowControl w:val="0"/>
        <w:numPr>
          <w:ilvl w:val="1"/>
          <w:numId w:val="516"/>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B34380">
        <w:rPr>
          <w:rFonts w:ascii="Times New Roman" w:eastAsia="Times New Roman" w:hAnsi="Times New Roman" w:cs="Times New Roman"/>
          <w:kern w:val="2"/>
        </w:rPr>
        <w:t xml:space="preserve">Kötelezettségekkel kapcsolatos ismeretek. </w:t>
      </w:r>
      <w:r w:rsidRPr="00B34380">
        <w:rPr>
          <w:rFonts w:ascii="Times New Roman" w:eastAsia="Times New Roman" w:hAnsi="Times New Roman" w:cs="Times New Roman"/>
          <w:i/>
          <w:kern w:val="2"/>
        </w:rPr>
        <w:t>(Liability.)</w:t>
      </w:r>
    </w:p>
    <w:p w:rsidR="008414AA" w:rsidRPr="00B34380" w:rsidRDefault="008414AA" w:rsidP="00980876">
      <w:pPr>
        <w:widowControl w:val="0"/>
        <w:numPr>
          <w:ilvl w:val="1"/>
          <w:numId w:val="516"/>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B34380">
        <w:rPr>
          <w:rFonts w:ascii="Times New Roman" w:eastAsia="Times New Roman" w:hAnsi="Times New Roman" w:cs="Times New Roman"/>
          <w:kern w:val="2"/>
        </w:rPr>
        <w:t xml:space="preserve">A személyi jövedelem tartalma, összetevői. A személyi jövedelmek főkönyvi elszámolása. </w:t>
      </w:r>
      <w:r w:rsidRPr="00B34380">
        <w:rPr>
          <w:rFonts w:ascii="Times New Roman" w:eastAsia="Times New Roman" w:hAnsi="Times New Roman" w:cs="Times New Roman"/>
          <w:i/>
          <w:kern w:val="2"/>
        </w:rPr>
        <w:t>(Content and components of personal income. Recording of personal income in the general ledger.)</w:t>
      </w:r>
    </w:p>
    <w:p w:rsidR="008414AA" w:rsidRPr="00B34380" w:rsidRDefault="008414AA" w:rsidP="00980876">
      <w:pPr>
        <w:widowControl w:val="0"/>
        <w:numPr>
          <w:ilvl w:val="1"/>
          <w:numId w:val="516"/>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B34380">
        <w:rPr>
          <w:rFonts w:ascii="Times New Roman" w:eastAsia="Times New Roman" w:hAnsi="Times New Roman" w:cs="Times New Roman"/>
          <w:kern w:val="2"/>
        </w:rPr>
        <w:t xml:space="preserve">Céltartalékok fogalma, tartalma és főkönyvi elszámolásuk. </w:t>
      </w:r>
      <w:r w:rsidRPr="00B34380">
        <w:rPr>
          <w:rFonts w:ascii="Times New Roman" w:eastAsia="Times New Roman" w:hAnsi="Times New Roman" w:cs="Times New Roman"/>
          <w:i/>
          <w:kern w:val="2"/>
        </w:rPr>
        <w:t>(Definition, content and accounting of provisions.)</w:t>
      </w:r>
    </w:p>
    <w:p w:rsidR="008414AA" w:rsidRPr="00B34380" w:rsidRDefault="008414AA" w:rsidP="00980876">
      <w:pPr>
        <w:widowControl w:val="0"/>
        <w:numPr>
          <w:ilvl w:val="1"/>
          <w:numId w:val="516"/>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B34380">
        <w:rPr>
          <w:rFonts w:ascii="Times New Roman" w:eastAsia="Times New Roman" w:hAnsi="Times New Roman" w:cs="Times New Roman"/>
          <w:kern w:val="2"/>
        </w:rPr>
        <w:t xml:space="preserve">Az időbeli elhatárolások sajátosságai. </w:t>
      </w:r>
      <w:r w:rsidRPr="00B34380">
        <w:rPr>
          <w:rFonts w:ascii="Times New Roman" w:eastAsia="Times New Roman" w:hAnsi="Times New Roman" w:cs="Times New Roman"/>
          <w:i/>
          <w:kern w:val="2"/>
        </w:rPr>
        <w:t>(Special features of accruals.)</w:t>
      </w:r>
    </w:p>
    <w:p w:rsidR="008414AA" w:rsidRPr="00B34380" w:rsidRDefault="008414AA" w:rsidP="00980876">
      <w:pPr>
        <w:widowControl w:val="0"/>
        <w:numPr>
          <w:ilvl w:val="1"/>
          <w:numId w:val="516"/>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B34380">
        <w:rPr>
          <w:rFonts w:ascii="Times New Roman" w:eastAsia="Times New Roman" w:hAnsi="Times New Roman" w:cs="Times New Roman"/>
          <w:kern w:val="2"/>
        </w:rPr>
        <w:t xml:space="preserve">Összevont példamegoldás a félév teljes anyagából. </w:t>
      </w:r>
      <w:r w:rsidRPr="00B34380">
        <w:rPr>
          <w:rFonts w:ascii="Times New Roman" w:eastAsia="Times New Roman" w:hAnsi="Times New Roman" w:cs="Times New Roman"/>
          <w:i/>
          <w:kern w:val="2"/>
        </w:rPr>
        <w:t>(Solving problems regarding the semesters subject.)</w:t>
      </w:r>
    </w:p>
    <w:p w:rsidR="008414AA" w:rsidRPr="007A49CB" w:rsidRDefault="008414AA" w:rsidP="00980876">
      <w:pPr>
        <w:widowControl w:val="0"/>
        <w:numPr>
          <w:ilvl w:val="0"/>
          <w:numId w:val="516"/>
        </w:numPr>
        <w:tabs>
          <w:tab w:val="num" w:pos="360"/>
        </w:tabs>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bCs/>
        </w:rPr>
        <w:t xml:space="preserve">A tantárgy meghirdetésének gyakorisága/a tantervben történő félévi elhelyezkedése: </w:t>
      </w:r>
      <w:r>
        <w:rPr>
          <w:rFonts w:ascii="Times New Roman" w:eastAsia="Times New Roman" w:hAnsi="Times New Roman" w:cs="Times New Roman"/>
          <w:bCs/>
        </w:rPr>
        <w:t xml:space="preserve">Minden </w:t>
      </w:r>
      <w:r w:rsidRPr="00154374">
        <w:rPr>
          <w:rFonts w:ascii="Times New Roman" w:eastAsia="Times New Roman" w:hAnsi="Times New Roman" w:cs="Times New Roman"/>
          <w:bCs/>
        </w:rPr>
        <w:t>őszi szemeszterben / 7. félév</w:t>
      </w:r>
    </w:p>
    <w:p w:rsidR="008414AA" w:rsidRPr="00CE64DC" w:rsidRDefault="008414AA" w:rsidP="00980876">
      <w:pPr>
        <w:widowControl w:val="0"/>
        <w:numPr>
          <w:ilvl w:val="0"/>
          <w:numId w:val="516"/>
        </w:numPr>
        <w:tabs>
          <w:tab w:val="num" w:pos="360"/>
        </w:tabs>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bCs/>
        </w:rPr>
        <w:lastRenderedPageBreak/>
        <w:t>A tanórákon való részvétel követelményei, az elfogadható hiányzások mértéke, a távolmaradás pótlásának lehetősége:</w:t>
      </w:r>
      <w:r>
        <w:rPr>
          <w:rFonts w:ascii="Times New Roman" w:eastAsia="Times New Roman" w:hAnsi="Times New Roman" w:cs="Times New Roman"/>
          <w:bCs/>
        </w:rPr>
        <w:t xml:space="preserve"> </w:t>
      </w:r>
      <w:r w:rsidRPr="00CE64DC">
        <w:rPr>
          <w:rFonts w:ascii="Times New Roman" w:eastAsia="Times New Roman" w:hAnsi="Times New Roman" w:cs="Times New Roman"/>
          <w:bCs/>
        </w:rPr>
        <w:t>A tanórákon való részvétel kötelező.</w:t>
      </w:r>
      <w:r w:rsidRPr="00CE64DC">
        <w:rPr>
          <w:rFonts w:ascii="Times New Roman" w:eastAsia="Times New Roman" w:hAnsi="Times New Roman" w:cs="Times New Roman"/>
          <w:b/>
          <w:bCs/>
        </w:rPr>
        <w:t xml:space="preserve"> </w:t>
      </w:r>
      <w:r w:rsidRPr="00CE64DC">
        <w:rPr>
          <w:rFonts w:ascii="Times New Roman" w:eastAsia="Times New Roman" w:hAnsi="Times New Roman" w:cs="Times New Roman"/>
          <w:bCs/>
        </w:rPr>
        <w:t>A félév elfogadásána</w:t>
      </w:r>
      <w:r>
        <w:rPr>
          <w:rFonts w:ascii="Times New Roman" w:eastAsia="Times New Roman" w:hAnsi="Times New Roman" w:cs="Times New Roman"/>
          <w:bCs/>
        </w:rPr>
        <w:t>k feltétele a tanórák minimum 70</w:t>
      </w:r>
      <w:r w:rsidRPr="00CE64DC">
        <w:rPr>
          <w:rFonts w:ascii="Times New Roman" w:eastAsia="Times New Roman" w:hAnsi="Times New Roman" w:cs="Times New Roman"/>
          <w:bCs/>
        </w:rPr>
        <w:t>%-án való részvétel</w:t>
      </w:r>
      <w:r>
        <w:rPr>
          <w:rFonts w:ascii="Times New Roman" w:eastAsia="Times New Roman" w:hAnsi="Times New Roman" w:cs="Times New Roman"/>
          <w:bCs/>
        </w:rPr>
        <w:t xml:space="preserve">. </w:t>
      </w:r>
      <w:r w:rsidRPr="00D67043">
        <w:rPr>
          <w:rFonts w:ascii="Times New Roman" w:eastAsia="Times New Roman" w:hAnsi="Times New Roman" w:cs="Times New Roman"/>
          <w:bCs/>
        </w:rPr>
        <w:t>A hallgatónak a kimaradt tananyagot önképzés keretén belül kell elsajátítani. A kimaradt tananyag jobb megértése érdekében az oktató konzultációs lehetőséget biztosít</w:t>
      </w:r>
      <w:r>
        <w:rPr>
          <w:rFonts w:ascii="Times New Roman" w:eastAsia="Times New Roman" w:hAnsi="Times New Roman" w:cs="Times New Roman"/>
          <w:bCs/>
        </w:rPr>
        <w:t>hat</w:t>
      </w:r>
      <w:r w:rsidRPr="00D67043">
        <w:rPr>
          <w:rFonts w:ascii="Times New Roman" w:eastAsia="Times New Roman" w:hAnsi="Times New Roman" w:cs="Times New Roman"/>
          <w:bCs/>
        </w:rPr>
        <w:t>.</w:t>
      </w:r>
    </w:p>
    <w:p w:rsidR="008414AA" w:rsidRPr="006717DC" w:rsidRDefault="008414AA" w:rsidP="00980876">
      <w:pPr>
        <w:widowControl w:val="0"/>
        <w:numPr>
          <w:ilvl w:val="0"/>
          <w:numId w:val="516"/>
        </w:numPr>
        <w:tabs>
          <w:tab w:val="num" w:pos="360"/>
        </w:tabs>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rPr>
        <w:t xml:space="preserve">Félévközi feladatok, ismeretek ellenőrzésének rendje: </w:t>
      </w:r>
      <w:r w:rsidRPr="006717DC">
        <w:rPr>
          <w:rFonts w:ascii="Times New Roman" w:eastAsia="Times New Roman" w:hAnsi="Times New Roman" w:cs="Times New Roman"/>
        </w:rPr>
        <w:t xml:space="preserve">A félév során </w:t>
      </w:r>
      <w:r>
        <w:rPr>
          <w:rFonts w:ascii="Times New Roman" w:eastAsia="Times New Roman" w:hAnsi="Times New Roman" w:cs="Times New Roman"/>
        </w:rPr>
        <w:t>két zárthelyi dolgozat kerül megírásra a 12. pontban meghatározottak szerint.</w:t>
      </w:r>
    </w:p>
    <w:p w:rsidR="008414AA" w:rsidRPr="006A233B" w:rsidRDefault="008414AA" w:rsidP="00980876">
      <w:pPr>
        <w:widowControl w:val="0"/>
        <w:numPr>
          <w:ilvl w:val="0"/>
          <w:numId w:val="516"/>
        </w:numPr>
        <w:spacing w:before="120" w:after="120" w:line="240" w:lineRule="auto"/>
        <w:ind w:left="426" w:hanging="142"/>
        <w:jc w:val="both"/>
        <w:rPr>
          <w:rFonts w:ascii="Times New Roman" w:eastAsia="Times New Roman" w:hAnsi="Times New Roman" w:cs="Times New Roman"/>
          <w:b/>
          <w:bCs/>
        </w:rPr>
      </w:pPr>
      <w:r w:rsidRPr="006A233B">
        <w:rPr>
          <w:rFonts w:ascii="Times New Roman" w:eastAsia="Times New Roman" w:hAnsi="Times New Roman" w:cs="Times New Roman"/>
          <w:b/>
          <w:bCs/>
        </w:rPr>
        <w:t xml:space="preserve">Az értékelés, az aláírás és a kreditek megszerzésének pontos feltételei: </w:t>
      </w:r>
    </w:p>
    <w:p w:rsidR="008414AA" w:rsidRPr="006A233B" w:rsidRDefault="008414AA" w:rsidP="00980876">
      <w:pPr>
        <w:widowControl w:val="0"/>
        <w:numPr>
          <w:ilvl w:val="1"/>
          <w:numId w:val="516"/>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6A233B">
        <w:rPr>
          <w:rFonts w:ascii="Times New Roman" w:eastAsia="Times New Roman" w:hAnsi="Times New Roman" w:cs="Times New Roman"/>
          <w:b/>
        </w:rPr>
        <w:t>Az aláírás megszerzésének feltételei:</w:t>
      </w:r>
    </w:p>
    <w:p w:rsidR="008414AA" w:rsidRPr="006A233B" w:rsidRDefault="008414AA" w:rsidP="008414AA">
      <w:pPr>
        <w:widowControl w:val="0"/>
        <w:tabs>
          <w:tab w:val="left" w:pos="993"/>
        </w:tabs>
        <w:spacing w:before="120" w:after="120" w:line="240" w:lineRule="auto"/>
        <w:ind w:left="426"/>
        <w:jc w:val="both"/>
        <w:rPr>
          <w:rFonts w:ascii="Times New Roman" w:eastAsia="Times New Roman" w:hAnsi="Times New Roman" w:cs="Times New Roman"/>
        </w:rPr>
      </w:pPr>
      <w:r w:rsidRPr="007E215C">
        <w:rPr>
          <w:rFonts w:ascii="Times New Roman" w:eastAsia="Times New Roman" w:hAnsi="Times New Roman" w:cs="Times New Roman"/>
        </w:rPr>
        <w:t>Az aláírás feltétele a tanórákon történő – 1</w:t>
      </w:r>
      <w:r>
        <w:rPr>
          <w:rFonts w:ascii="Times New Roman" w:eastAsia="Times New Roman" w:hAnsi="Times New Roman" w:cs="Times New Roman"/>
        </w:rPr>
        <w:t>4</w:t>
      </w:r>
      <w:r w:rsidRPr="007E215C">
        <w:rPr>
          <w:rFonts w:ascii="Times New Roman" w:eastAsia="Times New Roman" w:hAnsi="Times New Roman" w:cs="Times New Roman"/>
        </w:rPr>
        <w:t xml:space="preserve">. pontban meghatározott – részvétel, </w:t>
      </w:r>
      <w:r>
        <w:rPr>
          <w:rFonts w:ascii="Times New Roman" w:eastAsia="Times New Roman" w:hAnsi="Times New Roman" w:cs="Times New Roman"/>
        </w:rPr>
        <w:t>valamint a zárthelyi dolgozatok sikeres megírása (elfogadáshoz dolgozatonként legalább az 51 % elérése).</w:t>
      </w:r>
    </w:p>
    <w:p w:rsidR="008414AA" w:rsidRPr="006A233B" w:rsidRDefault="008414AA" w:rsidP="00980876">
      <w:pPr>
        <w:widowControl w:val="0"/>
        <w:numPr>
          <w:ilvl w:val="1"/>
          <w:numId w:val="516"/>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6A233B">
        <w:rPr>
          <w:rFonts w:ascii="Times New Roman" w:eastAsia="Times New Roman" w:hAnsi="Times New Roman" w:cs="Times New Roman"/>
          <w:b/>
        </w:rPr>
        <w:t>Az értékelés:</w:t>
      </w:r>
    </w:p>
    <w:p w:rsidR="008414AA" w:rsidRPr="006A233B" w:rsidRDefault="008414AA" w:rsidP="008414AA">
      <w:pPr>
        <w:widowControl w:val="0"/>
        <w:tabs>
          <w:tab w:val="left" w:pos="993"/>
        </w:tabs>
        <w:spacing w:before="120" w:after="120" w:line="240" w:lineRule="auto"/>
        <w:ind w:left="426"/>
        <w:jc w:val="both"/>
        <w:rPr>
          <w:rFonts w:ascii="Times New Roman" w:eastAsia="Times New Roman" w:hAnsi="Times New Roman" w:cs="Times New Roman"/>
        </w:rPr>
      </w:pPr>
      <w:r w:rsidRPr="0006103E">
        <w:rPr>
          <w:rFonts w:ascii="Times New Roman" w:eastAsia="Times New Roman" w:hAnsi="Times New Roman" w:cs="Times New Roman"/>
        </w:rPr>
        <w:t>Az ötfokozatú évközi jegy a zárthelyi dolgozatok egyszerű számtani átlaga alapján kerül kialakításra, amelyek esetében az elégséges jegy elérése, dolgozatonként az 51%. A dolgozat eredményébe beleszámít a házidolgozat elkészítésének minősége. A zárthelyi dolgozatok pótlására a szorgalmi időszakban egyszer van lehetőség.</w:t>
      </w:r>
    </w:p>
    <w:p w:rsidR="008414AA" w:rsidRPr="006A233B" w:rsidRDefault="008414AA" w:rsidP="00980876">
      <w:pPr>
        <w:widowControl w:val="0"/>
        <w:numPr>
          <w:ilvl w:val="1"/>
          <w:numId w:val="516"/>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6A233B">
        <w:rPr>
          <w:rFonts w:ascii="Times New Roman" w:eastAsia="Times New Roman" w:hAnsi="Times New Roman" w:cs="Times New Roman"/>
          <w:b/>
        </w:rPr>
        <w:t>A kreditek megszerzésének feltételei:</w:t>
      </w:r>
      <w:r w:rsidRPr="006A233B">
        <w:rPr>
          <w:rFonts w:ascii="Times New Roman" w:eastAsia="Times New Roman" w:hAnsi="Times New Roman" w:cs="Times New Roman"/>
        </w:rPr>
        <w:t xml:space="preserve"> </w:t>
      </w:r>
    </w:p>
    <w:p w:rsidR="008414AA" w:rsidRPr="006A233B" w:rsidRDefault="008414AA" w:rsidP="008414AA">
      <w:pPr>
        <w:widowControl w:val="0"/>
        <w:tabs>
          <w:tab w:val="left" w:pos="993"/>
        </w:tabs>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A kreditek megszerzésének feltétele az aláírás megszerzése és a legalább elégséges évközi jegy.</w:t>
      </w:r>
    </w:p>
    <w:p w:rsidR="008414AA" w:rsidRPr="006A233B" w:rsidRDefault="008414AA" w:rsidP="00980876">
      <w:pPr>
        <w:widowControl w:val="0"/>
        <w:numPr>
          <w:ilvl w:val="0"/>
          <w:numId w:val="516"/>
        </w:numPr>
        <w:tabs>
          <w:tab w:val="num" w:pos="360"/>
        </w:tabs>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bCs/>
        </w:rPr>
        <w:t>Irodalomjegyzék:</w:t>
      </w:r>
    </w:p>
    <w:p w:rsidR="008414AA" w:rsidRPr="006A233B" w:rsidRDefault="008414AA" w:rsidP="00980876">
      <w:pPr>
        <w:widowControl w:val="0"/>
        <w:numPr>
          <w:ilvl w:val="1"/>
          <w:numId w:val="516"/>
        </w:numPr>
        <w:tabs>
          <w:tab w:val="clear" w:pos="3977"/>
          <w:tab w:val="left" w:pos="567"/>
          <w:tab w:val="left" w:pos="851"/>
          <w:tab w:val="num" w:pos="2069"/>
        </w:tabs>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bCs/>
        </w:rPr>
        <w:t>Kötelező irodalom:</w:t>
      </w:r>
    </w:p>
    <w:p w:rsidR="008414AA" w:rsidRPr="0076112F" w:rsidRDefault="008414AA" w:rsidP="00980876">
      <w:pPr>
        <w:widowControl w:val="0"/>
        <w:numPr>
          <w:ilvl w:val="0"/>
          <w:numId w:val="517"/>
        </w:numPr>
        <w:spacing w:after="0" w:line="240" w:lineRule="auto"/>
        <w:jc w:val="both"/>
        <w:rPr>
          <w:rFonts w:ascii="Times New Roman" w:eastAsia="Times New Roman" w:hAnsi="Times New Roman" w:cs="Times New Roman"/>
        </w:rPr>
      </w:pPr>
      <w:r w:rsidRPr="00AA3206">
        <w:rPr>
          <w:rFonts w:ascii="Times New Roman" w:eastAsia="Times New Roman" w:hAnsi="Times New Roman" w:cs="Times New Roman"/>
        </w:rPr>
        <w:t>Dr. Kardos Barbara-Lukács László István-Miklósyné Ács Klára-Dr. Siklósi Ágnes-Dr. Simon Szilvia-Dr. Sisa Krisztina Andrea-Dr. Szekeres Bernadett-Dr. Veress Attila-Zatykó Zsuzsanna</w:t>
      </w:r>
      <w:r>
        <w:rPr>
          <w:rFonts w:ascii="Times New Roman" w:eastAsia="Times New Roman" w:hAnsi="Times New Roman" w:cs="Times New Roman"/>
        </w:rPr>
        <w:t xml:space="preserve">: Pénzügyi számvitel (Perfekt Zrt. 2018., Budapest, ISBN </w:t>
      </w:r>
      <w:r w:rsidRPr="00AA3206">
        <w:rPr>
          <w:rFonts w:ascii="Times New Roman" w:eastAsia="Times New Roman" w:hAnsi="Times New Roman" w:cs="Times New Roman"/>
          <w:bCs/>
        </w:rPr>
        <w:t>9789633948620</w:t>
      </w:r>
      <w:r>
        <w:rPr>
          <w:rFonts w:ascii="Times New Roman" w:eastAsia="Times New Roman" w:hAnsi="Times New Roman" w:cs="Times New Roman"/>
          <w:bCs/>
        </w:rPr>
        <w:t>)</w:t>
      </w:r>
    </w:p>
    <w:p w:rsidR="008414AA" w:rsidRPr="0076112F" w:rsidRDefault="008414AA" w:rsidP="00980876">
      <w:pPr>
        <w:widowControl w:val="0"/>
        <w:numPr>
          <w:ilvl w:val="0"/>
          <w:numId w:val="517"/>
        </w:numPr>
        <w:spacing w:after="0" w:line="240" w:lineRule="auto"/>
        <w:jc w:val="both"/>
        <w:rPr>
          <w:rFonts w:ascii="Times New Roman" w:eastAsia="Times New Roman" w:hAnsi="Times New Roman" w:cs="Times New Roman"/>
        </w:rPr>
      </w:pPr>
      <w:r w:rsidRPr="00AA3206">
        <w:rPr>
          <w:rFonts w:ascii="Times New Roman" w:eastAsia="Times New Roman" w:hAnsi="Times New Roman" w:cs="Times New Roman"/>
        </w:rPr>
        <w:t>Veress Attila, Siklósi Ágnes, Sisa Krisztina Andrea, Török Martin Zsófia</w:t>
      </w:r>
      <w:r>
        <w:rPr>
          <w:rFonts w:ascii="Times New Roman" w:eastAsia="Times New Roman" w:hAnsi="Times New Roman" w:cs="Times New Roman"/>
        </w:rPr>
        <w:t xml:space="preserve">: Pénzügyi számvitel példatár (Perfekt Zrt. 2018., Budapest, ISBN </w:t>
      </w:r>
      <w:r w:rsidRPr="00AA3206">
        <w:rPr>
          <w:rFonts w:ascii="Times New Roman" w:eastAsia="Times New Roman" w:hAnsi="Times New Roman" w:cs="Times New Roman"/>
          <w:bCs/>
        </w:rPr>
        <w:t>9789633948637</w:t>
      </w:r>
      <w:r>
        <w:rPr>
          <w:rFonts w:ascii="Times New Roman" w:eastAsia="Times New Roman" w:hAnsi="Times New Roman" w:cs="Times New Roman"/>
          <w:bCs/>
        </w:rPr>
        <w:t>)</w:t>
      </w:r>
    </w:p>
    <w:p w:rsidR="008414AA" w:rsidRPr="006A233B" w:rsidRDefault="008414AA" w:rsidP="00980876">
      <w:pPr>
        <w:widowControl w:val="0"/>
        <w:numPr>
          <w:ilvl w:val="1"/>
          <w:numId w:val="516"/>
        </w:numPr>
        <w:tabs>
          <w:tab w:val="clear" w:pos="3977"/>
          <w:tab w:val="num" w:pos="567"/>
          <w:tab w:val="num" w:pos="2069"/>
        </w:tabs>
        <w:spacing w:before="120" w:after="120" w:line="240" w:lineRule="auto"/>
        <w:ind w:left="993" w:hanging="709"/>
        <w:jc w:val="both"/>
        <w:rPr>
          <w:rFonts w:ascii="Times New Roman" w:eastAsia="Times New Roman" w:hAnsi="Times New Roman" w:cs="Times New Roman"/>
          <w:b/>
          <w:bCs/>
        </w:rPr>
      </w:pPr>
      <w:r w:rsidRPr="006A233B">
        <w:rPr>
          <w:rFonts w:ascii="Times New Roman" w:eastAsia="Times New Roman" w:hAnsi="Times New Roman" w:cs="Times New Roman"/>
          <w:b/>
          <w:bCs/>
        </w:rPr>
        <w:t>Ajánlott irodalom:</w:t>
      </w:r>
    </w:p>
    <w:p w:rsidR="008414AA" w:rsidRPr="0076112F" w:rsidRDefault="008414AA" w:rsidP="00980876">
      <w:pPr>
        <w:widowControl w:val="0"/>
        <w:numPr>
          <w:ilvl w:val="0"/>
          <w:numId w:val="518"/>
        </w:numPr>
        <w:spacing w:after="0" w:line="240" w:lineRule="auto"/>
        <w:jc w:val="both"/>
        <w:rPr>
          <w:rFonts w:ascii="Times New Roman" w:eastAsia="Times New Roman" w:hAnsi="Times New Roman" w:cs="Times New Roman"/>
        </w:rPr>
      </w:pPr>
      <w:r w:rsidRPr="0076112F">
        <w:rPr>
          <w:rFonts w:ascii="Times New Roman" w:eastAsia="Times New Roman" w:hAnsi="Times New Roman" w:cs="Times New Roman"/>
        </w:rPr>
        <w:t xml:space="preserve">Kardos Péter – Dr. Szakács Imre – Tóth Mihály: A számvitel nagy kézikönyve 2019. (Wolters Kluwer (Complex) Kiadó 2019., </w:t>
      </w:r>
      <w:r>
        <w:rPr>
          <w:rFonts w:ascii="Times New Roman" w:eastAsia="Times New Roman" w:hAnsi="Times New Roman" w:cs="Times New Roman"/>
        </w:rPr>
        <w:t xml:space="preserve">Budapest, </w:t>
      </w:r>
      <w:r w:rsidRPr="0076112F">
        <w:rPr>
          <w:rFonts w:ascii="Times New Roman" w:eastAsia="Times New Roman" w:hAnsi="Times New Roman" w:cs="Times New Roman"/>
        </w:rPr>
        <w:t>ISBN 9789632957821)</w:t>
      </w:r>
    </w:p>
    <w:p w:rsidR="008414AA" w:rsidRPr="0076112F" w:rsidRDefault="008414AA" w:rsidP="008414AA">
      <w:pPr>
        <w:widowControl w:val="0"/>
        <w:spacing w:before="120" w:after="120" w:line="240" w:lineRule="auto"/>
        <w:jc w:val="both"/>
        <w:rPr>
          <w:rFonts w:ascii="Times New Roman" w:eastAsia="Times New Roman" w:hAnsi="Times New Roman" w:cs="Times New Roman"/>
          <w:bCs/>
        </w:rPr>
      </w:pPr>
    </w:p>
    <w:p w:rsidR="008414AA" w:rsidRPr="006A233B" w:rsidRDefault="008414AA" w:rsidP="008414AA">
      <w:pPr>
        <w:widowControl w:val="0"/>
        <w:spacing w:before="120" w:after="120" w:line="240" w:lineRule="auto"/>
        <w:jc w:val="both"/>
        <w:rPr>
          <w:rFonts w:ascii="Times New Roman" w:eastAsia="Times New Roman" w:hAnsi="Times New Roman" w:cs="Times New Roman"/>
          <w:bCs/>
        </w:rPr>
      </w:pPr>
      <w:r w:rsidRPr="006A233B">
        <w:rPr>
          <w:rFonts w:ascii="Times New Roman" w:eastAsia="Times New Roman" w:hAnsi="Times New Roman" w:cs="Times New Roman"/>
          <w:bCs/>
        </w:rPr>
        <w:t>Budapest, 20</w:t>
      </w:r>
      <w:r>
        <w:rPr>
          <w:rFonts w:ascii="Times New Roman" w:eastAsia="Times New Roman" w:hAnsi="Times New Roman" w:cs="Times New Roman"/>
          <w:bCs/>
        </w:rPr>
        <w:t>20</w:t>
      </w:r>
      <w:r w:rsidRPr="006A233B">
        <w:rPr>
          <w:rFonts w:ascii="Times New Roman" w:eastAsia="Times New Roman" w:hAnsi="Times New Roman" w:cs="Times New Roman"/>
          <w:bCs/>
        </w:rPr>
        <w:t xml:space="preserve">. </w:t>
      </w:r>
      <w:r>
        <w:rPr>
          <w:rFonts w:ascii="Times New Roman" w:eastAsia="Times New Roman" w:hAnsi="Times New Roman" w:cs="Times New Roman"/>
          <w:bCs/>
        </w:rPr>
        <w:t>március</w:t>
      </w:r>
      <w:r w:rsidRPr="006A233B">
        <w:rPr>
          <w:rFonts w:ascii="Times New Roman" w:eastAsia="Times New Roman" w:hAnsi="Times New Roman" w:cs="Times New Roman"/>
          <w:bCs/>
        </w:rPr>
        <w:t xml:space="preserve"> </w:t>
      </w:r>
      <w:r>
        <w:rPr>
          <w:rFonts w:ascii="Times New Roman" w:eastAsia="Times New Roman" w:hAnsi="Times New Roman" w:cs="Times New Roman"/>
          <w:bCs/>
        </w:rPr>
        <w:t>15</w:t>
      </w:r>
      <w:r w:rsidRPr="006A233B">
        <w:rPr>
          <w:rFonts w:ascii="Times New Roman" w:eastAsia="Times New Roman" w:hAnsi="Times New Roman" w:cs="Times New Roman"/>
          <w:bCs/>
        </w:rPr>
        <w:t>.</w:t>
      </w:r>
    </w:p>
    <w:p w:rsidR="008414AA" w:rsidRPr="006A233B" w:rsidRDefault="008414AA" w:rsidP="008414AA">
      <w:pPr>
        <w:widowControl w:val="0"/>
        <w:spacing w:before="120" w:after="120" w:line="240" w:lineRule="auto"/>
        <w:jc w:val="both"/>
        <w:rPr>
          <w:rFonts w:ascii="Times New Roman" w:eastAsia="Times New Roman" w:hAnsi="Times New Roman" w:cs="Times New Roman"/>
          <w:bCs/>
        </w:rPr>
      </w:pPr>
    </w:p>
    <w:p w:rsidR="008414AA" w:rsidRPr="00A1227C" w:rsidRDefault="008414AA" w:rsidP="008414AA">
      <w:pPr>
        <w:widowControl w:val="0"/>
        <w:spacing w:after="0" w:line="240" w:lineRule="auto"/>
        <w:ind w:left="4956"/>
        <w:jc w:val="center"/>
        <w:rPr>
          <w:rFonts w:ascii="Times New Roman" w:hAnsi="Times New Roman" w:cs="Times New Roman"/>
          <w:b/>
          <w:bCs/>
        </w:rPr>
      </w:pPr>
      <w:r>
        <w:rPr>
          <w:rFonts w:ascii="Times New Roman" w:hAnsi="Times New Roman" w:cs="Times New Roman"/>
          <w:b/>
          <w:bCs/>
        </w:rPr>
        <w:t xml:space="preserve">         </w:t>
      </w:r>
      <w:r w:rsidRPr="00A1227C">
        <w:rPr>
          <w:rFonts w:ascii="Times New Roman" w:hAnsi="Times New Roman" w:cs="Times New Roman"/>
          <w:b/>
          <w:bCs/>
        </w:rPr>
        <w:t xml:space="preserve">Dr. </w:t>
      </w:r>
      <w:r>
        <w:rPr>
          <w:rFonts w:ascii="Times New Roman" w:hAnsi="Times New Roman" w:cs="Times New Roman"/>
          <w:b/>
          <w:bCs/>
        </w:rPr>
        <w:t>Pap Andrea</w:t>
      </w:r>
      <w:r w:rsidRPr="00A1227C">
        <w:rPr>
          <w:rFonts w:ascii="Times New Roman" w:hAnsi="Times New Roman" w:cs="Times New Roman"/>
          <w:b/>
          <w:bCs/>
        </w:rPr>
        <w:t xml:space="preserve"> </w:t>
      </w:r>
      <w:r>
        <w:rPr>
          <w:rFonts w:ascii="Times New Roman" w:hAnsi="Times New Roman" w:cs="Times New Roman"/>
          <w:b/>
          <w:bCs/>
        </w:rPr>
        <w:t>(</w:t>
      </w:r>
      <w:r w:rsidRPr="00A1227C">
        <w:rPr>
          <w:rFonts w:ascii="Times New Roman" w:hAnsi="Times New Roman" w:cs="Times New Roman"/>
          <w:b/>
          <w:bCs/>
        </w:rPr>
        <w:t>PhD</w:t>
      </w:r>
      <w:r>
        <w:rPr>
          <w:rFonts w:ascii="Times New Roman" w:hAnsi="Times New Roman" w:cs="Times New Roman"/>
          <w:b/>
          <w:bCs/>
        </w:rPr>
        <w:t>)</w:t>
      </w:r>
    </w:p>
    <w:p w:rsidR="008414AA" w:rsidRPr="00734E2C" w:rsidRDefault="008414AA" w:rsidP="008414AA">
      <w:pPr>
        <w:widowControl w:val="0"/>
        <w:spacing w:after="0" w:line="240" w:lineRule="auto"/>
        <w:ind w:left="5664"/>
        <w:jc w:val="both"/>
        <w:rPr>
          <w:rFonts w:ascii="Times New Roman" w:eastAsia="Times New Roman" w:hAnsi="Times New Roman" w:cs="Times New Roman"/>
          <w:bCs/>
        </w:rPr>
      </w:pPr>
      <w:r>
        <w:rPr>
          <w:rFonts w:ascii="Times New Roman" w:hAnsi="Times New Roman" w:cs="Times New Roman"/>
          <w:bCs/>
        </w:rPr>
        <w:t>tanszékvezető, egyetemi docens s.k.</w:t>
      </w:r>
    </w:p>
    <w:p w:rsidR="008414AA" w:rsidRPr="00734E2C" w:rsidRDefault="008414AA" w:rsidP="008414AA">
      <w:pPr>
        <w:rPr>
          <w:rFonts w:ascii="Times New Roman" w:hAnsi="Times New Roman" w:cs="Times New Roman"/>
        </w:rPr>
      </w:pPr>
    </w:p>
    <w:p w:rsidR="00782188" w:rsidRDefault="00782188">
      <w:pPr>
        <w:spacing w:after="200" w:line="276" w:lineRule="auto"/>
        <w:rPr>
          <w:rFonts w:ascii="Times New Roman" w:hAnsi="Times New Roman" w:cs="Times New Roman"/>
        </w:rPr>
      </w:pPr>
    </w:p>
    <w:p w:rsidR="008414AA" w:rsidRDefault="009F15D5">
      <w:pPr>
        <w:spacing w:after="200" w:line="276" w:lineRule="auto"/>
        <w:rPr>
          <w:rFonts w:ascii="Times New Roman" w:hAnsi="Times New Roman" w:cs="Times New Roman"/>
        </w:rPr>
      </w:pPr>
      <w:r>
        <w:rPr>
          <w:rFonts w:ascii="Times New Roman" w:hAnsi="Times New Roman" w:cs="Times New Roman"/>
        </w:rPr>
        <w:br w:type="page"/>
      </w:r>
    </w:p>
    <w:tbl>
      <w:tblPr>
        <w:tblW w:w="9072" w:type="dxa"/>
        <w:tblInd w:w="113" w:type="dxa"/>
        <w:tblLook w:val="01E0" w:firstRow="1" w:lastRow="1" w:firstColumn="1" w:lastColumn="1" w:noHBand="0" w:noVBand="0"/>
      </w:tblPr>
      <w:tblGrid>
        <w:gridCol w:w="4855"/>
        <w:gridCol w:w="1620"/>
        <w:gridCol w:w="2597"/>
      </w:tblGrid>
      <w:tr w:rsidR="008414AA" w:rsidRPr="008414AA" w:rsidTr="00735996">
        <w:tc>
          <w:tcPr>
            <w:tcW w:w="4855" w:type="dxa"/>
            <w:tcBorders>
              <w:bottom w:val="single" w:sz="4" w:space="0" w:color="auto"/>
            </w:tcBorders>
          </w:tcPr>
          <w:p w:rsidR="008414AA" w:rsidRPr="008414AA" w:rsidRDefault="008414AA" w:rsidP="008414AA">
            <w:pPr>
              <w:spacing w:after="0" w:line="240" w:lineRule="auto"/>
              <w:jc w:val="center"/>
              <w:rPr>
                <w:rFonts w:ascii="Times New Roman" w:eastAsia="Times New Roman" w:hAnsi="Times New Roman" w:cs="Times New Roman"/>
                <w:b/>
                <w:smallCaps/>
                <w:lang w:eastAsia="hu-HU"/>
              </w:rPr>
            </w:pPr>
            <w:r w:rsidRPr="008414AA">
              <w:rPr>
                <w:rFonts w:ascii="Times New Roman" w:eastAsia="Times New Roman" w:hAnsi="Times New Roman" w:cs="Times New Roman"/>
                <w:b/>
                <w:smallCaps/>
                <w:lang w:eastAsia="hu-HU"/>
              </w:rPr>
              <w:lastRenderedPageBreak/>
              <w:t>Nemzeti Közszolgálati Egyetem</w:t>
            </w:r>
          </w:p>
        </w:tc>
        <w:tc>
          <w:tcPr>
            <w:tcW w:w="1620" w:type="dxa"/>
          </w:tcPr>
          <w:p w:rsidR="008414AA" w:rsidRPr="008414AA" w:rsidRDefault="008414AA" w:rsidP="008414AA">
            <w:pPr>
              <w:spacing w:after="0" w:line="240" w:lineRule="auto"/>
              <w:jc w:val="both"/>
              <w:rPr>
                <w:rFonts w:ascii="Times New Roman" w:eastAsia="Times New Roman" w:hAnsi="Times New Roman" w:cs="Times New Roman"/>
                <w:lang w:eastAsia="hu-HU"/>
              </w:rPr>
            </w:pPr>
          </w:p>
        </w:tc>
        <w:tc>
          <w:tcPr>
            <w:tcW w:w="2597" w:type="dxa"/>
          </w:tcPr>
          <w:p w:rsidR="008414AA" w:rsidRPr="008414AA" w:rsidRDefault="008414AA" w:rsidP="008414AA">
            <w:pPr>
              <w:spacing w:after="0" w:line="240" w:lineRule="auto"/>
              <w:jc w:val="right"/>
              <w:rPr>
                <w:rFonts w:ascii="Times New Roman" w:eastAsia="Times New Roman" w:hAnsi="Times New Roman" w:cs="Times New Roman"/>
                <w:lang w:eastAsia="hu-HU"/>
              </w:rPr>
            </w:pPr>
          </w:p>
        </w:tc>
      </w:tr>
      <w:tr w:rsidR="008414AA" w:rsidRPr="008414AA" w:rsidTr="00735996">
        <w:tc>
          <w:tcPr>
            <w:tcW w:w="4855" w:type="dxa"/>
            <w:tcBorders>
              <w:top w:val="single" w:sz="4" w:space="0" w:color="auto"/>
            </w:tcBorders>
          </w:tcPr>
          <w:p w:rsidR="008414AA" w:rsidRPr="008414AA" w:rsidRDefault="008414AA" w:rsidP="008414AA">
            <w:pPr>
              <w:spacing w:after="0" w:line="240" w:lineRule="auto"/>
              <w:jc w:val="center"/>
              <w:rPr>
                <w:rFonts w:ascii="Times New Roman" w:eastAsia="Times New Roman" w:hAnsi="Times New Roman" w:cs="Times New Roman"/>
                <w:b/>
                <w:lang w:eastAsia="hu-HU"/>
              </w:rPr>
            </w:pPr>
            <w:r w:rsidRPr="008414AA">
              <w:rPr>
                <w:rFonts w:ascii="Times New Roman" w:eastAsia="Times New Roman" w:hAnsi="Times New Roman" w:cs="Times New Roman"/>
                <w:b/>
                <w:lang w:eastAsia="hu-HU"/>
              </w:rPr>
              <w:t>Hadtudományi és Honvédtisztképző Kar</w:t>
            </w:r>
          </w:p>
        </w:tc>
        <w:tc>
          <w:tcPr>
            <w:tcW w:w="1620" w:type="dxa"/>
          </w:tcPr>
          <w:p w:rsidR="008414AA" w:rsidRPr="008414AA" w:rsidRDefault="008414AA" w:rsidP="008414AA">
            <w:pPr>
              <w:spacing w:after="0" w:line="240" w:lineRule="auto"/>
              <w:jc w:val="both"/>
              <w:rPr>
                <w:rFonts w:ascii="Times New Roman" w:eastAsia="Times New Roman" w:hAnsi="Times New Roman" w:cs="Times New Roman"/>
                <w:lang w:eastAsia="hu-HU"/>
              </w:rPr>
            </w:pPr>
          </w:p>
        </w:tc>
        <w:tc>
          <w:tcPr>
            <w:tcW w:w="2597" w:type="dxa"/>
          </w:tcPr>
          <w:p w:rsidR="008414AA" w:rsidRPr="008414AA" w:rsidRDefault="008414AA" w:rsidP="008414AA">
            <w:pPr>
              <w:spacing w:after="0" w:line="240" w:lineRule="auto"/>
              <w:jc w:val="both"/>
              <w:rPr>
                <w:rFonts w:ascii="Times New Roman" w:eastAsia="Times New Roman" w:hAnsi="Times New Roman" w:cs="Times New Roman"/>
                <w:lang w:eastAsia="hu-HU"/>
              </w:rPr>
            </w:pPr>
          </w:p>
        </w:tc>
      </w:tr>
    </w:tbl>
    <w:p w:rsidR="008414AA" w:rsidRPr="008414AA" w:rsidRDefault="008414AA" w:rsidP="008414AA">
      <w:pPr>
        <w:widowControl w:val="0"/>
        <w:spacing w:before="120" w:after="120" w:line="240" w:lineRule="auto"/>
        <w:ind w:left="426" w:hanging="142"/>
        <w:jc w:val="center"/>
        <w:rPr>
          <w:rFonts w:ascii="Times New Roman" w:eastAsia="Times New Roman" w:hAnsi="Times New Roman" w:cs="Times New Roman"/>
          <w:b/>
          <w:bCs/>
        </w:rPr>
      </w:pPr>
    </w:p>
    <w:p w:rsidR="008414AA" w:rsidRPr="008414AA" w:rsidRDefault="008414AA" w:rsidP="008414AA">
      <w:pPr>
        <w:widowControl w:val="0"/>
        <w:spacing w:before="120" w:after="120" w:line="240" w:lineRule="auto"/>
        <w:ind w:left="426" w:hanging="142"/>
        <w:jc w:val="center"/>
        <w:rPr>
          <w:rFonts w:ascii="Times New Roman" w:eastAsia="Times New Roman" w:hAnsi="Times New Roman" w:cs="Times New Roman"/>
          <w:b/>
          <w:bCs/>
        </w:rPr>
      </w:pPr>
      <w:r w:rsidRPr="008414AA">
        <w:rPr>
          <w:rFonts w:ascii="Times New Roman" w:eastAsia="Times New Roman" w:hAnsi="Times New Roman" w:cs="Times New Roman"/>
          <w:b/>
          <w:bCs/>
        </w:rPr>
        <w:t>TANTÁRGYI PROGRAM</w:t>
      </w:r>
    </w:p>
    <w:p w:rsidR="008414AA" w:rsidRPr="008414AA" w:rsidRDefault="008414AA" w:rsidP="00980876">
      <w:pPr>
        <w:widowControl w:val="0"/>
        <w:numPr>
          <w:ilvl w:val="0"/>
          <w:numId w:val="519"/>
        </w:numPr>
        <w:spacing w:before="120" w:after="120" w:line="240" w:lineRule="auto"/>
        <w:ind w:left="426" w:hanging="142"/>
        <w:jc w:val="both"/>
        <w:rPr>
          <w:rFonts w:ascii="Times New Roman" w:eastAsia="Times New Roman" w:hAnsi="Times New Roman" w:cs="Times New Roman"/>
          <w:bCs/>
        </w:rPr>
      </w:pPr>
      <w:r w:rsidRPr="008414AA">
        <w:rPr>
          <w:rFonts w:ascii="Times New Roman" w:eastAsia="Times New Roman" w:hAnsi="Times New Roman" w:cs="Times New Roman"/>
          <w:b/>
          <w:bCs/>
        </w:rPr>
        <w:t xml:space="preserve">A tantárgy kódja: </w:t>
      </w:r>
      <w:r w:rsidRPr="008414AA">
        <w:rPr>
          <w:rFonts w:ascii="Times New Roman" w:eastAsia="Times New Roman" w:hAnsi="Times New Roman" w:cs="Times New Roman"/>
          <w:bCs/>
        </w:rPr>
        <w:t>HKISZLA314</w:t>
      </w:r>
    </w:p>
    <w:p w:rsidR="008414AA" w:rsidRPr="008414AA" w:rsidRDefault="008414AA" w:rsidP="00980876">
      <w:pPr>
        <w:widowControl w:val="0"/>
        <w:numPr>
          <w:ilvl w:val="0"/>
          <w:numId w:val="519"/>
        </w:numPr>
        <w:spacing w:before="120" w:after="120" w:line="240" w:lineRule="auto"/>
        <w:ind w:left="426" w:hanging="142"/>
        <w:jc w:val="both"/>
        <w:rPr>
          <w:rFonts w:ascii="Times New Roman" w:eastAsia="Times New Roman" w:hAnsi="Times New Roman" w:cs="Times New Roman"/>
          <w:b/>
          <w:bCs/>
          <w:lang w:val="en-GB"/>
        </w:rPr>
      </w:pPr>
      <w:r w:rsidRPr="008414AA">
        <w:rPr>
          <w:rFonts w:ascii="Times New Roman" w:eastAsia="Times New Roman" w:hAnsi="Times New Roman" w:cs="Times New Roman"/>
          <w:b/>
          <w:bCs/>
        </w:rPr>
        <w:t>A tantárgy megnevezése (magyarul):</w:t>
      </w:r>
      <w:r w:rsidRPr="008414AA">
        <w:rPr>
          <w:rFonts w:ascii="Times New Roman" w:eastAsia="Times New Roman" w:hAnsi="Times New Roman" w:cs="Times New Roman"/>
          <w:bCs/>
        </w:rPr>
        <w:t xml:space="preserve"> </w:t>
      </w:r>
      <w:r w:rsidR="00D34CF4">
        <w:rPr>
          <w:rFonts w:ascii="Times New Roman" w:eastAsia="Calibri" w:hAnsi="Times New Roman" w:cs="Times New Roman"/>
          <w:bCs/>
        </w:rPr>
        <w:t>Szakmai idegen nyelv</w:t>
      </w:r>
      <w:r w:rsidRPr="008414AA">
        <w:rPr>
          <w:rFonts w:ascii="Times New Roman" w:eastAsia="Calibri" w:hAnsi="Times New Roman" w:cs="Times New Roman"/>
          <w:bCs/>
        </w:rPr>
        <w:t xml:space="preserve"> </w:t>
      </w:r>
      <w:r w:rsidR="00D34CF4">
        <w:rPr>
          <w:rFonts w:ascii="Times New Roman" w:eastAsia="Calibri" w:hAnsi="Times New Roman" w:cs="Times New Roman"/>
          <w:bCs/>
        </w:rPr>
        <w:t>(</w:t>
      </w:r>
      <w:r w:rsidRPr="008414AA">
        <w:rPr>
          <w:rFonts w:ascii="Times New Roman" w:eastAsia="Calibri" w:hAnsi="Times New Roman" w:cs="Times New Roman"/>
          <w:bCs/>
        </w:rPr>
        <w:t>Logisztika</w:t>
      </w:r>
      <w:r w:rsidR="00D34CF4">
        <w:rPr>
          <w:rFonts w:ascii="Times New Roman" w:eastAsia="Calibri" w:hAnsi="Times New Roman" w:cs="Times New Roman"/>
          <w:bCs/>
        </w:rPr>
        <w:t>)</w:t>
      </w:r>
    </w:p>
    <w:p w:rsidR="008414AA" w:rsidRPr="008414AA" w:rsidRDefault="008414AA" w:rsidP="00980876">
      <w:pPr>
        <w:widowControl w:val="0"/>
        <w:numPr>
          <w:ilvl w:val="0"/>
          <w:numId w:val="519"/>
        </w:numPr>
        <w:tabs>
          <w:tab w:val="num" w:pos="567"/>
        </w:tabs>
        <w:spacing w:before="120" w:after="120" w:line="240" w:lineRule="auto"/>
        <w:ind w:left="426" w:hanging="142"/>
        <w:jc w:val="both"/>
        <w:rPr>
          <w:rFonts w:ascii="Times New Roman" w:eastAsia="Times New Roman" w:hAnsi="Times New Roman" w:cs="Times New Roman"/>
          <w:b/>
          <w:bCs/>
          <w:lang w:val="en-GB"/>
        </w:rPr>
      </w:pPr>
      <w:r w:rsidRPr="008414AA">
        <w:rPr>
          <w:rFonts w:ascii="Times New Roman" w:eastAsia="Times New Roman" w:hAnsi="Times New Roman" w:cs="Times New Roman"/>
          <w:b/>
          <w:bCs/>
        </w:rPr>
        <w:t xml:space="preserve">A tantárgy megnevezése (angolul): </w:t>
      </w:r>
      <w:r w:rsidR="00D34CF4">
        <w:rPr>
          <w:rFonts w:ascii="Times New Roman" w:eastAsia="Times New Roman" w:hAnsi="Times New Roman" w:cs="Times New Roman"/>
          <w:bCs/>
        </w:rPr>
        <w:t>Professional Foreign Language</w:t>
      </w:r>
      <w:r w:rsidRPr="008414AA">
        <w:rPr>
          <w:rFonts w:ascii="Times New Roman" w:eastAsia="Times New Roman" w:hAnsi="Times New Roman" w:cs="Times New Roman"/>
          <w:bCs/>
        </w:rPr>
        <w:t xml:space="preserve"> </w:t>
      </w:r>
      <w:r w:rsidR="00D34CF4">
        <w:rPr>
          <w:rFonts w:ascii="Times New Roman" w:eastAsia="Times New Roman" w:hAnsi="Times New Roman" w:cs="Times New Roman"/>
          <w:bCs/>
        </w:rPr>
        <w:t>(</w:t>
      </w:r>
      <w:r w:rsidRPr="008414AA">
        <w:rPr>
          <w:rFonts w:ascii="Times New Roman" w:eastAsia="Times New Roman" w:hAnsi="Times New Roman" w:cs="Times New Roman"/>
          <w:bCs/>
        </w:rPr>
        <w:t>Logistics</w:t>
      </w:r>
      <w:r w:rsidR="00D34CF4">
        <w:rPr>
          <w:rFonts w:ascii="Times New Roman" w:eastAsia="Times New Roman" w:hAnsi="Times New Roman" w:cs="Times New Roman"/>
          <w:bCs/>
        </w:rPr>
        <w:t>)</w:t>
      </w:r>
    </w:p>
    <w:p w:rsidR="008414AA" w:rsidRPr="008414AA" w:rsidRDefault="008414AA" w:rsidP="00980876">
      <w:pPr>
        <w:widowControl w:val="0"/>
        <w:numPr>
          <w:ilvl w:val="0"/>
          <w:numId w:val="519"/>
        </w:numPr>
        <w:tabs>
          <w:tab w:val="num" w:pos="567"/>
        </w:tabs>
        <w:spacing w:before="120" w:after="120" w:line="240" w:lineRule="auto"/>
        <w:ind w:left="426" w:hanging="142"/>
        <w:jc w:val="both"/>
        <w:rPr>
          <w:rFonts w:ascii="Times New Roman" w:eastAsia="Times New Roman" w:hAnsi="Times New Roman" w:cs="Times New Roman"/>
          <w:b/>
          <w:bCs/>
        </w:rPr>
      </w:pPr>
      <w:r w:rsidRPr="008414AA">
        <w:rPr>
          <w:rFonts w:ascii="Times New Roman" w:eastAsia="Times New Roman" w:hAnsi="Times New Roman" w:cs="Times New Roman"/>
          <w:b/>
          <w:bCs/>
        </w:rPr>
        <w:t xml:space="preserve">Kreditérték és képzési karakter: </w:t>
      </w:r>
    </w:p>
    <w:p w:rsidR="008414AA" w:rsidRPr="008414AA" w:rsidRDefault="008414AA" w:rsidP="00980876">
      <w:pPr>
        <w:widowControl w:val="0"/>
        <w:numPr>
          <w:ilvl w:val="1"/>
          <w:numId w:val="519"/>
        </w:numPr>
        <w:spacing w:before="120" w:after="120" w:line="240" w:lineRule="auto"/>
        <w:ind w:left="993" w:hanging="426"/>
        <w:contextualSpacing/>
        <w:jc w:val="both"/>
        <w:rPr>
          <w:rFonts w:ascii="Times New Roman" w:eastAsia="Times New Roman" w:hAnsi="Times New Roman" w:cs="Times New Roman"/>
          <w:b/>
          <w:bCs/>
        </w:rPr>
      </w:pPr>
      <w:r w:rsidRPr="008414AA">
        <w:rPr>
          <w:rFonts w:ascii="Times New Roman" w:eastAsia="Times New Roman" w:hAnsi="Times New Roman" w:cs="Times New Roman"/>
          <w:bCs/>
        </w:rPr>
        <w:t>2 kredit</w:t>
      </w:r>
    </w:p>
    <w:p w:rsidR="008414AA" w:rsidRPr="008414AA" w:rsidRDefault="008414AA" w:rsidP="00980876">
      <w:pPr>
        <w:widowControl w:val="0"/>
        <w:numPr>
          <w:ilvl w:val="1"/>
          <w:numId w:val="519"/>
        </w:numPr>
        <w:spacing w:before="120" w:after="120" w:line="240" w:lineRule="auto"/>
        <w:ind w:left="992" w:hanging="425"/>
        <w:contextualSpacing/>
        <w:rPr>
          <w:rFonts w:ascii="Times New Roman" w:eastAsia="Times New Roman" w:hAnsi="Times New Roman" w:cs="Times New Roman"/>
          <w:b/>
          <w:bCs/>
        </w:rPr>
      </w:pPr>
      <w:r w:rsidRPr="008414AA">
        <w:rPr>
          <w:rFonts w:ascii="Times New Roman" w:eastAsia="Times New Roman" w:hAnsi="Times New Roman" w:cs="Times New Roman"/>
          <w:bCs/>
        </w:rPr>
        <w:t>a tantárgy elméleti vagy gyakorlati jellegének mértéke: 50</w:t>
      </w:r>
      <w:r w:rsidRPr="008414AA">
        <w:rPr>
          <w:rFonts w:ascii="Times New Roman" w:eastAsia="Times New Roman" w:hAnsi="Times New Roman" w:cs="Times New Roman"/>
          <w:b/>
          <w:bCs/>
        </w:rPr>
        <w:t xml:space="preserve"> </w:t>
      </w:r>
      <w:r w:rsidRPr="008414AA">
        <w:rPr>
          <w:rFonts w:ascii="Times New Roman" w:eastAsia="Times New Roman" w:hAnsi="Times New Roman" w:cs="Times New Roman"/>
          <w:bCs/>
        </w:rPr>
        <w:t>% gyakorlat, 50 % elmélet</w:t>
      </w:r>
    </w:p>
    <w:p w:rsidR="008414AA" w:rsidRPr="008414AA" w:rsidRDefault="008414AA" w:rsidP="00980876">
      <w:pPr>
        <w:widowControl w:val="0"/>
        <w:numPr>
          <w:ilvl w:val="0"/>
          <w:numId w:val="519"/>
        </w:numPr>
        <w:spacing w:before="120" w:after="120" w:line="240" w:lineRule="auto"/>
        <w:ind w:left="426" w:hanging="142"/>
        <w:jc w:val="both"/>
        <w:rPr>
          <w:rFonts w:ascii="Times New Roman" w:eastAsia="Times New Roman" w:hAnsi="Times New Roman" w:cs="Times New Roman"/>
          <w:bCs/>
        </w:rPr>
      </w:pPr>
      <w:r w:rsidRPr="008414AA">
        <w:rPr>
          <w:rFonts w:ascii="Times New Roman" w:eastAsia="Times New Roman" w:hAnsi="Times New Roman" w:cs="Times New Roman"/>
          <w:b/>
          <w:bCs/>
        </w:rPr>
        <w:t>A szak(ok), szakirányok/specializációk megnevezése (ahol oktatják):</w:t>
      </w:r>
      <w:r w:rsidRPr="008414AA">
        <w:rPr>
          <w:rFonts w:ascii="Times New Roman" w:eastAsia="Times New Roman" w:hAnsi="Times New Roman" w:cs="Times New Roman"/>
          <w:bCs/>
        </w:rPr>
        <w:t xml:space="preserve"> </w:t>
      </w:r>
      <w:r w:rsidRPr="008414AA">
        <w:rPr>
          <w:rFonts w:ascii="Times New Roman" w:eastAsia="Calibri" w:hAnsi="Times New Roman" w:cs="Times New Roman"/>
          <w:bCs/>
        </w:rPr>
        <w:t>Katonai logisztika alapképzési szak, hadtáp specializáció, katonai pénzügyi specializáció</w:t>
      </w:r>
    </w:p>
    <w:p w:rsidR="008414AA" w:rsidRPr="008414AA" w:rsidRDefault="008414AA" w:rsidP="00980876">
      <w:pPr>
        <w:widowControl w:val="0"/>
        <w:numPr>
          <w:ilvl w:val="0"/>
          <w:numId w:val="519"/>
        </w:numPr>
        <w:tabs>
          <w:tab w:val="num" w:pos="567"/>
        </w:tabs>
        <w:spacing w:before="120" w:after="120" w:line="240" w:lineRule="auto"/>
        <w:ind w:left="426" w:hanging="142"/>
        <w:jc w:val="both"/>
        <w:rPr>
          <w:rFonts w:ascii="Times New Roman" w:eastAsia="Times New Roman" w:hAnsi="Times New Roman" w:cs="Times New Roman"/>
          <w:bCs/>
        </w:rPr>
      </w:pPr>
      <w:r w:rsidRPr="008414AA">
        <w:rPr>
          <w:rFonts w:ascii="Times New Roman" w:eastAsia="Times New Roman" w:hAnsi="Times New Roman" w:cs="Times New Roman"/>
          <w:b/>
          <w:bCs/>
        </w:rPr>
        <w:t xml:space="preserve">Az oktatásért felelős oktatási szervezeti egység megnevezése: </w:t>
      </w:r>
      <w:r w:rsidRPr="008414AA">
        <w:rPr>
          <w:rFonts w:ascii="Times New Roman" w:eastAsia="Calibri" w:hAnsi="Times New Roman" w:cs="Times New Roman"/>
          <w:bCs/>
        </w:rPr>
        <w:t>NKE HHK Idegennyelvi és Szaknyelvi Lektorátus</w:t>
      </w:r>
    </w:p>
    <w:p w:rsidR="008414AA" w:rsidRPr="008414AA" w:rsidRDefault="008414AA" w:rsidP="00980876">
      <w:pPr>
        <w:widowControl w:val="0"/>
        <w:numPr>
          <w:ilvl w:val="0"/>
          <w:numId w:val="519"/>
        </w:numPr>
        <w:tabs>
          <w:tab w:val="num" w:pos="567"/>
        </w:tabs>
        <w:spacing w:before="120" w:after="120" w:line="240" w:lineRule="auto"/>
        <w:ind w:left="426" w:hanging="142"/>
        <w:jc w:val="both"/>
        <w:rPr>
          <w:rFonts w:ascii="Times New Roman" w:eastAsia="Times New Roman" w:hAnsi="Times New Roman" w:cs="Times New Roman"/>
          <w:bCs/>
        </w:rPr>
      </w:pPr>
      <w:r w:rsidRPr="008414AA">
        <w:rPr>
          <w:rFonts w:ascii="Times New Roman" w:eastAsia="Times New Roman" w:hAnsi="Times New Roman" w:cs="Times New Roman"/>
          <w:b/>
          <w:bCs/>
        </w:rPr>
        <w:t>A tantárgyfelelős oktató neve, beosztása, tudományos fokozata:</w:t>
      </w:r>
      <w:r w:rsidRPr="008414AA">
        <w:rPr>
          <w:rFonts w:ascii="Times New Roman" w:eastAsia="Times New Roman" w:hAnsi="Times New Roman" w:cs="Times New Roman"/>
          <w:bCs/>
        </w:rPr>
        <w:t xml:space="preserve"> </w:t>
      </w:r>
      <w:r w:rsidRPr="008414AA">
        <w:rPr>
          <w:rFonts w:ascii="Times New Roman" w:eastAsia="Calibri" w:hAnsi="Times New Roman" w:cs="Times New Roman"/>
          <w:bCs/>
        </w:rPr>
        <w:t>Dr. Kiss Gabriella lektorátusvezető (PhD)</w:t>
      </w:r>
    </w:p>
    <w:p w:rsidR="008414AA" w:rsidRPr="008414AA" w:rsidRDefault="008414AA" w:rsidP="00980876">
      <w:pPr>
        <w:widowControl w:val="0"/>
        <w:numPr>
          <w:ilvl w:val="0"/>
          <w:numId w:val="519"/>
        </w:numPr>
        <w:spacing w:before="120" w:after="120" w:line="240" w:lineRule="auto"/>
        <w:ind w:left="426" w:hanging="142"/>
        <w:jc w:val="both"/>
        <w:rPr>
          <w:rFonts w:ascii="Times New Roman" w:eastAsia="Times New Roman" w:hAnsi="Times New Roman" w:cs="Times New Roman"/>
          <w:bCs/>
        </w:rPr>
      </w:pPr>
      <w:r w:rsidRPr="008414AA">
        <w:rPr>
          <w:rFonts w:ascii="Times New Roman" w:eastAsia="Times New Roman" w:hAnsi="Times New Roman" w:cs="Times New Roman"/>
          <w:b/>
          <w:bCs/>
        </w:rPr>
        <w:t>A tanórák száma és típusa</w:t>
      </w:r>
    </w:p>
    <w:p w:rsidR="008414AA" w:rsidRPr="008414AA" w:rsidRDefault="008414AA" w:rsidP="00980876">
      <w:pPr>
        <w:widowControl w:val="0"/>
        <w:numPr>
          <w:ilvl w:val="1"/>
          <w:numId w:val="519"/>
        </w:numPr>
        <w:tabs>
          <w:tab w:val="num" w:pos="709"/>
          <w:tab w:val="num" w:pos="2069"/>
        </w:tabs>
        <w:spacing w:before="120" w:after="120" w:line="240" w:lineRule="auto"/>
        <w:ind w:left="851" w:hanging="425"/>
        <w:jc w:val="both"/>
        <w:rPr>
          <w:rFonts w:ascii="Times New Roman" w:eastAsia="Times New Roman" w:hAnsi="Times New Roman" w:cs="Times New Roman"/>
          <w:bCs/>
        </w:rPr>
      </w:pPr>
      <w:r w:rsidRPr="008414AA">
        <w:rPr>
          <w:rFonts w:ascii="Times New Roman" w:eastAsia="Times New Roman" w:hAnsi="Times New Roman" w:cs="Times New Roman"/>
          <w:bCs/>
        </w:rPr>
        <w:t>össz óraszám/félév: 28</w:t>
      </w:r>
    </w:p>
    <w:p w:rsidR="008414AA" w:rsidRPr="008414AA" w:rsidRDefault="008414AA" w:rsidP="00980876">
      <w:pPr>
        <w:widowControl w:val="0"/>
        <w:numPr>
          <w:ilvl w:val="2"/>
          <w:numId w:val="519"/>
        </w:numPr>
        <w:tabs>
          <w:tab w:val="num" w:pos="709"/>
          <w:tab w:val="num" w:pos="1134"/>
        </w:tabs>
        <w:spacing w:before="120" w:after="120" w:line="240" w:lineRule="auto"/>
        <w:ind w:left="993" w:hanging="425"/>
        <w:jc w:val="both"/>
        <w:rPr>
          <w:rFonts w:ascii="Times New Roman" w:eastAsia="Times New Roman" w:hAnsi="Times New Roman" w:cs="Times New Roman"/>
          <w:bCs/>
        </w:rPr>
      </w:pPr>
      <w:r w:rsidRPr="008414AA">
        <w:rPr>
          <w:rFonts w:ascii="Times New Roman" w:eastAsia="Times New Roman" w:hAnsi="Times New Roman" w:cs="Times New Roman"/>
          <w:bCs/>
        </w:rPr>
        <w:t>nappali munkarend: (14 EA + 0 SZ + 14 GY)</w:t>
      </w:r>
    </w:p>
    <w:p w:rsidR="008414AA" w:rsidRPr="008414AA" w:rsidRDefault="008414AA" w:rsidP="00980876">
      <w:pPr>
        <w:widowControl w:val="0"/>
        <w:numPr>
          <w:ilvl w:val="2"/>
          <w:numId w:val="519"/>
        </w:numPr>
        <w:tabs>
          <w:tab w:val="num" w:pos="709"/>
          <w:tab w:val="num" w:pos="1134"/>
        </w:tabs>
        <w:spacing w:before="120" w:after="120" w:line="240" w:lineRule="auto"/>
        <w:ind w:left="993" w:hanging="425"/>
        <w:jc w:val="both"/>
        <w:rPr>
          <w:rFonts w:ascii="Times New Roman" w:eastAsia="Times New Roman" w:hAnsi="Times New Roman" w:cs="Times New Roman"/>
          <w:bCs/>
        </w:rPr>
      </w:pPr>
      <w:r w:rsidRPr="008414AA">
        <w:rPr>
          <w:rFonts w:ascii="Times New Roman" w:eastAsia="Times New Roman" w:hAnsi="Times New Roman" w:cs="Times New Roman"/>
          <w:bCs/>
        </w:rPr>
        <w:t>levelező munkarend: -</w:t>
      </w:r>
    </w:p>
    <w:p w:rsidR="008414AA" w:rsidRPr="008414AA" w:rsidRDefault="008414AA" w:rsidP="00980876">
      <w:pPr>
        <w:widowControl w:val="0"/>
        <w:numPr>
          <w:ilvl w:val="1"/>
          <w:numId w:val="519"/>
        </w:numPr>
        <w:tabs>
          <w:tab w:val="num" w:pos="709"/>
          <w:tab w:val="num" w:pos="2069"/>
        </w:tabs>
        <w:spacing w:before="120" w:after="120" w:line="240" w:lineRule="auto"/>
        <w:ind w:left="851" w:hanging="425"/>
        <w:jc w:val="both"/>
        <w:rPr>
          <w:rFonts w:ascii="Times New Roman" w:eastAsia="Times New Roman" w:hAnsi="Times New Roman" w:cs="Times New Roman"/>
          <w:bCs/>
        </w:rPr>
      </w:pPr>
      <w:r w:rsidRPr="008414AA">
        <w:rPr>
          <w:rFonts w:ascii="Times New Roman" w:eastAsia="Times New Roman" w:hAnsi="Times New Roman" w:cs="Times New Roman"/>
          <w:bCs/>
        </w:rPr>
        <w:t>heti óraszám - nappali munkarend: 2</w:t>
      </w:r>
    </w:p>
    <w:p w:rsidR="008414AA" w:rsidRPr="008414AA" w:rsidRDefault="008414AA" w:rsidP="00980876">
      <w:pPr>
        <w:widowControl w:val="0"/>
        <w:numPr>
          <w:ilvl w:val="1"/>
          <w:numId w:val="519"/>
        </w:numPr>
        <w:tabs>
          <w:tab w:val="num" w:pos="709"/>
          <w:tab w:val="num" w:pos="2069"/>
        </w:tabs>
        <w:spacing w:before="120" w:after="120" w:line="240" w:lineRule="auto"/>
        <w:ind w:left="851" w:hanging="425"/>
        <w:jc w:val="both"/>
        <w:rPr>
          <w:rFonts w:ascii="Times New Roman" w:eastAsia="Times New Roman" w:hAnsi="Times New Roman" w:cs="Times New Roman"/>
          <w:bCs/>
        </w:rPr>
      </w:pPr>
      <w:r w:rsidRPr="008414AA">
        <w:rPr>
          <w:rFonts w:ascii="Times New Roman" w:eastAsia="Calibri" w:hAnsi="Times New Roman" w:cs="Times New Roman"/>
        </w:rPr>
        <w:t>Az ismeret átadásában alkalmazandó további sajátos módok, jellemzők:</w:t>
      </w:r>
      <w:r w:rsidRPr="008414AA">
        <w:rPr>
          <w:rFonts w:ascii="Times New Roman" w:eastAsia="Calibri" w:hAnsi="Times New Roman" w:cs="Times New Roman"/>
          <w:i/>
        </w:rPr>
        <w:t xml:space="preserve"> –</w:t>
      </w:r>
    </w:p>
    <w:p w:rsidR="008414AA" w:rsidRPr="008414AA" w:rsidRDefault="008414AA" w:rsidP="00980876">
      <w:pPr>
        <w:widowControl w:val="0"/>
        <w:numPr>
          <w:ilvl w:val="0"/>
          <w:numId w:val="519"/>
        </w:numPr>
        <w:spacing w:before="120" w:after="120" w:line="240" w:lineRule="auto"/>
        <w:ind w:left="426" w:hanging="142"/>
        <w:jc w:val="both"/>
        <w:rPr>
          <w:rFonts w:ascii="Times New Roman" w:eastAsia="Times New Roman" w:hAnsi="Times New Roman" w:cs="Times New Roman"/>
          <w:bCs/>
        </w:rPr>
      </w:pPr>
      <w:r w:rsidRPr="008414AA">
        <w:rPr>
          <w:rFonts w:ascii="Times New Roman" w:eastAsia="Times New Roman" w:hAnsi="Times New Roman" w:cs="Times New Roman"/>
          <w:b/>
          <w:bCs/>
        </w:rPr>
        <w:t>A tantárgy szakmai tartalma (magyarul):</w:t>
      </w:r>
      <w:r w:rsidRPr="008414AA">
        <w:rPr>
          <w:rFonts w:ascii="Times New Roman" w:eastAsia="Times New Roman" w:hAnsi="Times New Roman" w:cs="Times New Roman"/>
          <w:bCs/>
        </w:rPr>
        <w:t xml:space="preserve"> A tantárgy a logisztikai alapfogalmakkal, a logisztikai alapelvek fejlődésével, a többnemzeti logisztikai támogatás formáival, a katonai döntéshozatali és tervező mechanizmus és a logisztikai tervezés lépéseivel, valamint a kockázat elemzés és kockázat kezelés feladataival foglalkozik.</w:t>
      </w:r>
    </w:p>
    <w:p w:rsidR="008414AA" w:rsidRPr="008414AA" w:rsidRDefault="008414AA" w:rsidP="008414AA">
      <w:pPr>
        <w:widowControl w:val="0"/>
        <w:spacing w:before="120" w:after="120" w:line="240" w:lineRule="auto"/>
        <w:ind w:left="426"/>
        <w:jc w:val="both"/>
        <w:rPr>
          <w:rFonts w:ascii="Times New Roman" w:eastAsia="Times New Roman" w:hAnsi="Times New Roman" w:cs="Times New Roman"/>
          <w:bCs/>
          <w:lang w:val="en-GB"/>
        </w:rPr>
      </w:pPr>
      <w:r w:rsidRPr="008414AA">
        <w:rPr>
          <w:rFonts w:ascii="Times New Roman" w:eastAsia="Times New Roman" w:hAnsi="Times New Roman" w:cs="Times New Roman"/>
          <w:b/>
          <w:bCs/>
        </w:rPr>
        <w:t>A tantárgy szakmai tartalma (angolul) (</w:t>
      </w:r>
      <w:r w:rsidRPr="008414AA">
        <w:rPr>
          <w:rFonts w:ascii="Times New Roman" w:eastAsia="Times New Roman" w:hAnsi="Times New Roman" w:cs="Times New Roman"/>
          <w:b/>
          <w:bCs/>
          <w:lang w:val="en-US"/>
        </w:rPr>
        <w:t>Course description</w:t>
      </w:r>
      <w:r w:rsidRPr="008414AA">
        <w:rPr>
          <w:rFonts w:ascii="Times New Roman" w:eastAsia="Times New Roman" w:hAnsi="Times New Roman" w:cs="Times New Roman"/>
          <w:b/>
          <w:bCs/>
        </w:rPr>
        <w:t xml:space="preserve">): </w:t>
      </w:r>
      <w:r w:rsidRPr="008414AA">
        <w:rPr>
          <w:rFonts w:ascii="Times New Roman" w:eastAsia="Times New Roman" w:hAnsi="Times New Roman" w:cs="Times New Roman"/>
          <w:bCs/>
        </w:rPr>
        <w:t>The subject deals with the basic logistic definitions, evolution of logistic principles, classes of supply, modes of multinational logistic procedures, structure of the NATO and the HDF’s Operational Support Chain as well as the Military Decision Making and Planning Process and the Logistic Estimate. Describes the basic procedures related to risk analysis and management during logistic operations.</w:t>
      </w:r>
    </w:p>
    <w:p w:rsidR="008414AA" w:rsidRPr="008414AA" w:rsidRDefault="008414AA" w:rsidP="00980876">
      <w:pPr>
        <w:widowControl w:val="0"/>
        <w:numPr>
          <w:ilvl w:val="0"/>
          <w:numId w:val="519"/>
        </w:numPr>
        <w:spacing w:before="120" w:after="120" w:line="240" w:lineRule="auto"/>
        <w:ind w:left="426" w:hanging="142"/>
        <w:contextualSpacing/>
        <w:jc w:val="both"/>
        <w:rPr>
          <w:rFonts w:ascii="Times New Roman" w:eastAsia="Times New Roman" w:hAnsi="Times New Roman" w:cs="Times New Roman"/>
          <w:bCs/>
        </w:rPr>
      </w:pPr>
      <w:r w:rsidRPr="008414AA">
        <w:rPr>
          <w:rFonts w:ascii="Times New Roman" w:eastAsia="Times New Roman" w:hAnsi="Times New Roman" w:cs="Times New Roman"/>
          <w:b/>
          <w:bCs/>
        </w:rPr>
        <w:t>Elérendő kompetenciák (magyarul):</w:t>
      </w:r>
      <w:r w:rsidRPr="008414AA">
        <w:rPr>
          <w:rFonts w:ascii="Times New Roman" w:eastAsia="Times New Roman" w:hAnsi="Times New Roman" w:cs="Times New Roman"/>
          <w:bCs/>
        </w:rPr>
        <w:t xml:space="preserve"> </w:t>
      </w:r>
    </w:p>
    <w:p w:rsidR="008414AA" w:rsidRPr="008414AA" w:rsidRDefault="008414AA" w:rsidP="008414AA">
      <w:pPr>
        <w:widowControl w:val="0"/>
        <w:spacing w:after="0" w:line="240" w:lineRule="auto"/>
        <w:ind w:left="425"/>
        <w:jc w:val="both"/>
        <w:rPr>
          <w:rFonts w:ascii="Times New Roman" w:eastAsia="Times New Roman" w:hAnsi="Times New Roman" w:cs="Times New Roman"/>
          <w:bCs/>
        </w:rPr>
      </w:pPr>
      <w:r w:rsidRPr="008414AA">
        <w:rPr>
          <w:rFonts w:ascii="Times New Roman" w:eastAsia="Times New Roman" w:hAnsi="Times New Roman" w:cs="Times New Roman"/>
          <w:b/>
          <w:bCs/>
        </w:rPr>
        <w:t>Tudása:</w:t>
      </w:r>
    </w:p>
    <w:p w:rsidR="008414AA" w:rsidRPr="008414AA" w:rsidRDefault="008414AA" w:rsidP="008414AA">
      <w:pPr>
        <w:widowControl w:val="0"/>
        <w:spacing w:before="120" w:after="120" w:line="240" w:lineRule="auto"/>
        <w:ind w:left="993" w:hanging="360"/>
        <w:contextualSpacing/>
        <w:jc w:val="both"/>
        <w:rPr>
          <w:rFonts w:ascii="Times New Roman" w:eastAsia="Times New Roman" w:hAnsi="Times New Roman" w:cs="Times New Roman"/>
          <w:bCs/>
        </w:rPr>
      </w:pPr>
      <w:r w:rsidRPr="008414AA">
        <w:rPr>
          <w:rFonts w:ascii="Times New Roman" w:eastAsia="Times New Roman" w:hAnsi="Times New Roman" w:cs="Times New Roman"/>
          <w:bCs/>
        </w:rPr>
        <w:t>-</w:t>
      </w:r>
      <w:r w:rsidRPr="008414AA">
        <w:rPr>
          <w:rFonts w:ascii="Times New Roman" w:eastAsia="Times New Roman" w:hAnsi="Times New Roman" w:cs="Times New Roman"/>
          <w:bCs/>
        </w:rPr>
        <w:tab/>
        <w:t>Megfelelően ismeri az általános logisztikai műveletek és folyamatok angol terminológiáját.</w:t>
      </w:r>
    </w:p>
    <w:p w:rsidR="008414AA" w:rsidRPr="008414AA" w:rsidRDefault="008414AA" w:rsidP="008414AA">
      <w:pPr>
        <w:widowControl w:val="0"/>
        <w:spacing w:before="120" w:after="0" w:line="240" w:lineRule="auto"/>
        <w:ind w:left="425"/>
        <w:jc w:val="both"/>
        <w:rPr>
          <w:rFonts w:ascii="Times New Roman" w:eastAsia="Times New Roman" w:hAnsi="Times New Roman" w:cs="Times New Roman"/>
          <w:bCs/>
        </w:rPr>
      </w:pPr>
      <w:r w:rsidRPr="008414AA">
        <w:rPr>
          <w:rFonts w:ascii="Times New Roman" w:eastAsia="Times New Roman" w:hAnsi="Times New Roman" w:cs="Times New Roman"/>
          <w:b/>
          <w:bCs/>
        </w:rPr>
        <w:t>Képességei:</w:t>
      </w:r>
    </w:p>
    <w:p w:rsidR="008414AA" w:rsidRPr="008414AA" w:rsidRDefault="008414AA" w:rsidP="008414AA">
      <w:pPr>
        <w:widowControl w:val="0"/>
        <w:spacing w:before="120" w:after="120" w:line="240" w:lineRule="auto"/>
        <w:ind w:left="993" w:hanging="360"/>
        <w:contextualSpacing/>
        <w:jc w:val="both"/>
        <w:rPr>
          <w:rFonts w:ascii="Times New Roman" w:eastAsia="Times New Roman" w:hAnsi="Times New Roman" w:cs="Times New Roman"/>
          <w:bCs/>
        </w:rPr>
      </w:pPr>
      <w:r w:rsidRPr="008414AA">
        <w:rPr>
          <w:rFonts w:ascii="Times New Roman" w:eastAsia="Times New Roman" w:hAnsi="Times New Roman" w:cs="Times New Roman"/>
          <w:bCs/>
        </w:rPr>
        <w:t>-</w:t>
      </w:r>
      <w:r w:rsidRPr="008414AA">
        <w:rPr>
          <w:rFonts w:ascii="Times New Roman" w:eastAsia="Times New Roman" w:hAnsi="Times New Roman" w:cs="Times New Roman"/>
          <w:bCs/>
        </w:rPr>
        <w:tab/>
        <w:t>Képes megérteni a szakterületével kapcsolatos NATO dokumentumokat.</w:t>
      </w:r>
    </w:p>
    <w:p w:rsidR="008414AA" w:rsidRPr="008414AA" w:rsidRDefault="008414AA" w:rsidP="008414AA">
      <w:pPr>
        <w:widowControl w:val="0"/>
        <w:spacing w:before="120" w:after="120" w:line="240" w:lineRule="auto"/>
        <w:ind w:left="993" w:hanging="360"/>
        <w:contextualSpacing/>
        <w:jc w:val="both"/>
        <w:rPr>
          <w:rFonts w:ascii="Times New Roman" w:eastAsia="Times New Roman" w:hAnsi="Times New Roman" w:cs="Times New Roman"/>
          <w:bCs/>
        </w:rPr>
      </w:pPr>
      <w:r w:rsidRPr="008414AA">
        <w:rPr>
          <w:rFonts w:ascii="Times New Roman" w:eastAsia="Times New Roman" w:hAnsi="Times New Roman" w:cs="Times New Roman"/>
          <w:bCs/>
        </w:rPr>
        <w:t>-</w:t>
      </w:r>
      <w:r w:rsidRPr="008414AA">
        <w:rPr>
          <w:rFonts w:ascii="Times New Roman" w:eastAsia="Times New Roman" w:hAnsi="Times New Roman" w:cs="Times New Roman"/>
          <w:bCs/>
        </w:rPr>
        <w:tab/>
        <w:t>Képes alkalmazni az angol szakmai terminológiát.</w:t>
      </w:r>
    </w:p>
    <w:p w:rsidR="008414AA" w:rsidRPr="008414AA" w:rsidRDefault="008414AA" w:rsidP="008414AA">
      <w:pPr>
        <w:widowControl w:val="0"/>
        <w:spacing w:before="120" w:after="120" w:line="240" w:lineRule="auto"/>
        <w:ind w:left="993" w:hanging="360"/>
        <w:contextualSpacing/>
        <w:jc w:val="both"/>
        <w:rPr>
          <w:rFonts w:ascii="Times New Roman" w:eastAsia="Times New Roman" w:hAnsi="Times New Roman" w:cs="Times New Roman"/>
          <w:bCs/>
        </w:rPr>
      </w:pPr>
      <w:r w:rsidRPr="008414AA">
        <w:rPr>
          <w:rFonts w:ascii="Times New Roman" w:eastAsia="Times New Roman" w:hAnsi="Times New Roman" w:cs="Times New Roman"/>
          <w:bCs/>
        </w:rPr>
        <w:t>-</w:t>
      </w:r>
      <w:r w:rsidRPr="008414AA">
        <w:rPr>
          <w:rFonts w:ascii="Times New Roman" w:eastAsia="Times New Roman" w:hAnsi="Times New Roman" w:cs="Times New Roman"/>
          <w:bCs/>
        </w:rPr>
        <w:tab/>
        <w:t>Képes szakmai vonatkozású kommunikációra angol nyelven mind szóban, mind írásban</w:t>
      </w:r>
    </w:p>
    <w:p w:rsidR="008414AA" w:rsidRPr="008414AA" w:rsidRDefault="008414AA" w:rsidP="008414AA">
      <w:pPr>
        <w:widowControl w:val="0"/>
        <w:spacing w:before="120" w:after="120" w:line="240" w:lineRule="auto"/>
        <w:ind w:left="993" w:hanging="360"/>
        <w:contextualSpacing/>
        <w:jc w:val="both"/>
        <w:rPr>
          <w:rFonts w:ascii="Times New Roman" w:eastAsia="Times New Roman" w:hAnsi="Times New Roman" w:cs="Times New Roman"/>
          <w:bCs/>
        </w:rPr>
      </w:pPr>
      <w:r w:rsidRPr="008414AA">
        <w:rPr>
          <w:rFonts w:ascii="Times New Roman" w:eastAsia="Times New Roman" w:hAnsi="Times New Roman" w:cs="Times New Roman"/>
          <w:bCs/>
        </w:rPr>
        <w:t>-</w:t>
      </w:r>
      <w:r w:rsidRPr="008414AA">
        <w:rPr>
          <w:rFonts w:ascii="Times New Roman" w:eastAsia="Times New Roman" w:hAnsi="Times New Roman" w:cs="Times New Roman"/>
          <w:bCs/>
        </w:rPr>
        <w:tab/>
        <w:t>Képes oly mértékben folyékonyan és spontánul kommunikálni anyanyelvi beszélőkkel, hogy az nem jelent megerőltetést semelyik fél számára.</w:t>
      </w:r>
    </w:p>
    <w:p w:rsidR="008414AA" w:rsidRPr="008414AA" w:rsidRDefault="008414AA" w:rsidP="008414AA">
      <w:pPr>
        <w:widowControl w:val="0"/>
        <w:spacing w:before="120" w:after="0" w:line="240" w:lineRule="auto"/>
        <w:ind w:left="425"/>
        <w:jc w:val="both"/>
        <w:rPr>
          <w:rFonts w:ascii="Times New Roman" w:eastAsia="Times New Roman" w:hAnsi="Times New Roman" w:cs="Times New Roman"/>
          <w:bCs/>
        </w:rPr>
      </w:pPr>
      <w:r w:rsidRPr="008414AA">
        <w:rPr>
          <w:rFonts w:ascii="Times New Roman" w:eastAsia="Times New Roman" w:hAnsi="Times New Roman" w:cs="Times New Roman"/>
          <w:b/>
          <w:bCs/>
        </w:rPr>
        <w:t>Attitűdje:</w:t>
      </w:r>
      <w:r w:rsidRPr="008414AA">
        <w:rPr>
          <w:rFonts w:ascii="Times New Roman" w:eastAsia="Times New Roman" w:hAnsi="Times New Roman" w:cs="Times New Roman"/>
          <w:bCs/>
        </w:rPr>
        <w:t xml:space="preserve"> </w:t>
      </w:r>
    </w:p>
    <w:p w:rsidR="008414AA" w:rsidRPr="008414AA" w:rsidRDefault="008414AA" w:rsidP="008414AA">
      <w:pPr>
        <w:widowControl w:val="0"/>
        <w:spacing w:before="120" w:after="120" w:line="240" w:lineRule="auto"/>
        <w:ind w:left="993" w:hanging="360"/>
        <w:contextualSpacing/>
        <w:jc w:val="both"/>
        <w:rPr>
          <w:rFonts w:ascii="Times New Roman" w:eastAsia="Times New Roman" w:hAnsi="Times New Roman" w:cs="Times New Roman"/>
          <w:bCs/>
        </w:rPr>
      </w:pPr>
      <w:r w:rsidRPr="008414AA">
        <w:rPr>
          <w:rFonts w:ascii="Times New Roman" w:eastAsia="Times New Roman" w:hAnsi="Times New Roman" w:cs="Times New Roman"/>
          <w:bCs/>
        </w:rPr>
        <w:t>-</w:t>
      </w:r>
      <w:r w:rsidRPr="008414AA">
        <w:rPr>
          <w:rFonts w:ascii="Times New Roman" w:eastAsia="Times New Roman" w:hAnsi="Times New Roman" w:cs="Times New Roman"/>
          <w:bCs/>
        </w:rPr>
        <w:tab/>
        <w:t>Hajlandó elsajátítani a szakterületéhez tartozó új terminológiát, igyekszik annak megértésére és használatára, és törekszik a saját szakterületén a folyamatos nyelvi vonatkozású önképzésre.</w:t>
      </w:r>
    </w:p>
    <w:p w:rsidR="008414AA" w:rsidRPr="008414AA" w:rsidRDefault="008414AA" w:rsidP="008414AA">
      <w:pPr>
        <w:widowControl w:val="0"/>
        <w:spacing w:before="120" w:after="120" w:line="240" w:lineRule="auto"/>
        <w:ind w:left="993" w:hanging="360"/>
        <w:contextualSpacing/>
        <w:jc w:val="both"/>
        <w:rPr>
          <w:rFonts w:ascii="Times New Roman" w:eastAsia="Times New Roman" w:hAnsi="Times New Roman" w:cs="Times New Roman"/>
          <w:bCs/>
        </w:rPr>
      </w:pPr>
      <w:r w:rsidRPr="008414AA">
        <w:rPr>
          <w:rFonts w:ascii="Times New Roman" w:eastAsia="Times New Roman" w:hAnsi="Times New Roman" w:cs="Times New Roman"/>
          <w:bCs/>
        </w:rPr>
        <w:t>-</w:t>
      </w:r>
      <w:r w:rsidRPr="008414AA">
        <w:rPr>
          <w:rFonts w:ascii="Times New Roman" w:eastAsia="Times New Roman" w:hAnsi="Times New Roman" w:cs="Times New Roman"/>
          <w:bCs/>
        </w:rPr>
        <w:tab/>
        <w:t>Az angol nyelv használata során pontosságra törekszik.</w:t>
      </w:r>
    </w:p>
    <w:p w:rsidR="008414AA" w:rsidRPr="008414AA" w:rsidRDefault="008414AA" w:rsidP="008414AA">
      <w:pPr>
        <w:widowControl w:val="0"/>
        <w:spacing w:before="120" w:after="120" w:line="240" w:lineRule="auto"/>
        <w:ind w:left="993" w:hanging="360"/>
        <w:contextualSpacing/>
        <w:jc w:val="both"/>
        <w:rPr>
          <w:rFonts w:ascii="Times New Roman" w:eastAsia="Times New Roman" w:hAnsi="Times New Roman" w:cs="Times New Roman"/>
          <w:bCs/>
        </w:rPr>
      </w:pPr>
      <w:r w:rsidRPr="008414AA">
        <w:rPr>
          <w:rFonts w:ascii="Times New Roman" w:eastAsia="Times New Roman" w:hAnsi="Times New Roman" w:cs="Times New Roman"/>
          <w:bCs/>
        </w:rPr>
        <w:t>-</w:t>
      </w:r>
      <w:r w:rsidRPr="008414AA">
        <w:rPr>
          <w:rFonts w:ascii="Times New Roman" w:eastAsia="Times New Roman" w:hAnsi="Times New Roman" w:cs="Times New Roman"/>
          <w:bCs/>
        </w:rPr>
        <w:tab/>
        <w:t xml:space="preserve">Nem fél vagy szégyell segítséget kérni abban az esetben, ha nehézségekkel szembesül a </w:t>
      </w:r>
      <w:r w:rsidRPr="008414AA">
        <w:rPr>
          <w:rFonts w:ascii="Times New Roman" w:eastAsia="Times New Roman" w:hAnsi="Times New Roman" w:cs="Times New Roman"/>
          <w:bCs/>
        </w:rPr>
        <w:lastRenderedPageBreak/>
        <w:t>nyelvhasználat során.</w:t>
      </w:r>
    </w:p>
    <w:p w:rsidR="008414AA" w:rsidRPr="008414AA" w:rsidRDefault="008414AA" w:rsidP="008414AA">
      <w:pPr>
        <w:widowControl w:val="0"/>
        <w:spacing w:before="120" w:after="120" w:line="240" w:lineRule="auto"/>
        <w:ind w:left="993" w:hanging="360"/>
        <w:contextualSpacing/>
        <w:jc w:val="both"/>
        <w:rPr>
          <w:rFonts w:ascii="Times New Roman" w:eastAsia="Times New Roman" w:hAnsi="Times New Roman" w:cs="Times New Roman"/>
          <w:bCs/>
        </w:rPr>
      </w:pPr>
      <w:r w:rsidRPr="008414AA">
        <w:rPr>
          <w:rFonts w:ascii="Times New Roman" w:eastAsia="Times New Roman" w:hAnsi="Times New Roman" w:cs="Times New Roman"/>
          <w:bCs/>
        </w:rPr>
        <w:t>-</w:t>
      </w:r>
      <w:r w:rsidRPr="008414AA">
        <w:rPr>
          <w:rFonts w:ascii="Times New Roman" w:eastAsia="Times New Roman" w:hAnsi="Times New Roman" w:cs="Times New Roman"/>
          <w:bCs/>
        </w:rPr>
        <w:tab/>
        <w:t>Minden alkalmat megragad nyelvi készségeinek fejlesztésére.</w:t>
      </w:r>
    </w:p>
    <w:p w:rsidR="008414AA" w:rsidRPr="008414AA" w:rsidRDefault="008414AA" w:rsidP="008414AA">
      <w:pPr>
        <w:widowControl w:val="0"/>
        <w:spacing w:before="120" w:after="0" w:line="240" w:lineRule="auto"/>
        <w:ind w:left="425"/>
        <w:jc w:val="both"/>
        <w:rPr>
          <w:rFonts w:ascii="Times New Roman" w:eastAsia="Times New Roman" w:hAnsi="Times New Roman" w:cs="Times New Roman"/>
          <w:bCs/>
        </w:rPr>
      </w:pPr>
      <w:r w:rsidRPr="008414AA">
        <w:rPr>
          <w:rFonts w:ascii="Times New Roman" w:eastAsia="Times New Roman" w:hAnsi="Times New Roman" w:cs="Times New Roman"/>
          <w:b/>
          <w:bCs/>
        </w:rPr>
        <w:t>Autonómiája és felelőssége:</w:t>
      </w:r>
    </w:p>
    <w:p w:rsidR="008414AA" w:rsidRPr="008414AA" w:rsidRDefault="008414AA" w:rsidP="008414AA">
      <w:pPr>
        <w:widowControl w:val="0"/>
        <w:spacing w:before="120" w:after="120" w:line="240" w:lineRule="auto"/>
        <w:ind w:left="993" w:hanging="360"/>
        <w:contextualSpacing/>
        <w:jc w:val="both"/>
        <w:rPr>
          <w:rFonts w:ascii="Times New Roman" w:eastAsia="Times New Roman" w:hAnsi="Times New Roman" w:cs="Times New Roman"/>
          <w:bCs/>
        </w:rPr>
      </w:pPr>
      <w:r w:rsidRPr="008414AA">
        <w:rPr>
          <w:rFonts w:ascii="Times New Roman" w:eastAsia="Times New Roman" w:hAnsi="Times New Roman" w:cs="Times New Roman"/>
          <w:bCs/>
        </w:rPr>
        <w:t>-</w:t>
      </w:r>
      <w:r w:rsidRPr="008414AA">
        <w:rPr>
          <w:rFonts w:ascii="Times New Roman" w:eastAsia="Times New Roman" w:hAnsi="Times New Roman" w:cs="Times New Roman"/>
          <w:bCs/>
        </w:rPr>
        <w:tab/>
        <w:t>Képes önállóan fejleszteni ismereteit a logisztikai szakterület terminológiájának területén.</w:t>
      </w:r>
    </w:p>
    <w:p w:rsidR="008414AA" w:rsidRPr="008414AA" w:rsidRDefault="008414AA" w:rsidP="008414AA">
      <w:pPr>
        <w:widowControl w:val="0"/>
        <w:spacing w:before="120" w:after="120" w:line="240" w:lineRule="auto"/>
        <w:ind w:left="993" w:hanging="360"/>
        <w:contextualSpacing/>
        <w:jc w:val="both"/>
        <w:rPr>
          <w:rFonts w:ascii="Times New Roman" w:eastAsia="Times New Roman" w:hAnsi="Times New Roman" w:cs="Times New Roman"/>
          <w:bCs/>
        </w:rPr>
      </w:pPr>
      <w:r w:rsidRPr="008414AA">
        <w:rPr>
          <w:rFonts w:ascii="Times New Roman" w:eastAsia="Times New Roman" w:hAnsi="Times New Roman" w:cs="Times New Roman"/>
          <w:bCs/>
        </w:rPr>
        <w:t>-</w:t>
      </w:r>
      <w:r w:rsidRPr="008414AA">
        <w:rPr>
          <w:rFonts w:ascii="Times New Roman" w:eastAsia="Times New Roman" w:hAnsi="Times New Roman" w:cs="Times New Roman"/>
          <w:bCs/>
        </w:rPr>
        <w:tab/>
        <w:t xml:space="preserve">Tisztában van az angol nyelven történő hatékony kommunikáció szükségességével többnemzeti környezetben. </w:t>
      </w:r>
    </w:p>
    <w:p w:rsidR="008414AA" w:rsidRPr="008414AA" w:rsidRDefault="008414AA" w:rsidP="008414AA">
      <w:pPr>
        <w:widowControl w:val="0"/>
        <w:spacing w:before="120" w:after="120" w:line="240" w:lineRule="auto"/>
        <w:ind w:left="993" w:hanging="360"/>
        <w:contextualSpacing/>
        <w:jc w:val="both"/>
        <w:rPr>
          <w:rFonts w:ascii="Times New Roman" w:eastAsia="Times New Roman" w:hAnsi="Times New Roman" w:cs="Times New Roman"/>
          <w:bCs/>
        </w:rPr>
      </w:pPr>
      <w:r w:rsidRPr="008414AA">
        <w:rPr>
          <w:rFonts w:ascii="Times New Roman" w:eastAsia="Times New Roman" w:hAnsi="Times New Roman" w:cs="Times New Roman"/>
          <w:bCs/>
        </w:rPr>
        <w:t>-</w:t>
      </w:r>
      <w:r w:rsidRPr="008414AA">
        <w:rPr>
          <w:rFonts w:ascii="Times New Roman" w:eastAsia="Times New Roman" w:hAnsi="Times New Roman" w:cs="Times New Roman"/>
          <w:bCs/>
        </w:rPr>
        <w:tab/>
        <w:t>Felelősséget vállal saját angol nyelvű szóbeli és írásbeli kommunikációjáért.</w:t>
      </w:r>
    </w:p>
    <w:p w:rsidR="008414AA" w:rsidRPr="008414AA" w:rsidRDefault="008414AA" w:rsidP="008414AA">
      <w:pPr>
        <w:widowControl w:val="0"/>
        <w:spacing w:before="120" w:after="0" w:line="240" w:lineRule="auto"/>
        <w:ind w:left="425"/>
        <w:jc w:val="both"/>
        <w:rPr>
          <w:rFonts w:ascii="Times New Roman" w:eastAsia="Times New Roman" w:hAnsi="Times New Roman" w:cs="Times New Roman"/>
          <w:b/>
          <w:bCs/>
          <w:lang w:val="en-US"/>
        </w:rPr>
      </w:pPr>
      <w:r w:rsidRPr="008414AA">
        <w:rPr>
          <w:rFonts w:ascii="Times New Roman" w:eastAsia="Times New Roman" w:hAnsi="Times New Roman" w:cs="Times New Roman"/>
          <w:b/>
          <w:bCs/>
        </w:rPr>
        <w:t>Elérendő kompetenciák (angolul) (</w:t>
      </w:r>
      <w:r w:rsidRPr="008414AA">
        <w:rPr>
          <w:rFonts w:ascii="Times New Roman" w:eastAsia="Times New Roman" w:hAnsi="Times New Roman" w:cs="Times New Roman"/>
          <w:b/>
          <w:bCs/>
          <w:lang w:val="en-US"/>
        </w:rPr>
        <w:t xml:space="preserve">Competences – English): </w:t>
      </w:r>
    </w:p>
    <w:p w:rsidR="008414AA" w:rsidRPr="008414AA" w:rsidRDefault="008414AA" w:rsidP="008414AA">
      <w:pPr>
        <w:widowControl w:val="0"/>
        <w:spacing w:before="120" w:after="0" w:line="240" w:lineRule="auto"/>
        <w:ind w:left="425"/>
        <w:jc w:val="both"/>
        <w:rPr>
          <w:rFonts w:ascii="Times New Roman" w:eastAsia="Times New Roman" w:hAnsi="Times New Roman" w:cs="Times New Roman"/>
          <w:lang w:val="en-GB"/>
        </w:rPr>
      </w:pPr>
      <w:r w:rsidRPr="008414AA">
        <w:rPr>
          <w:rFonts w:ascii="Times New Roman" w:eastAsia="Times New Roman" w:hAnsi="Times New Roman" w:cs="Times New Roman"/>
          <w:b/>
          <w:lang w:val="en-GB"/>
        </w:rPr>
        <w:t>Knowledge</w:t>
      </w:r>
      <w:r w:rsidRPr="008414AA">
        <w:rPr>
          <w:rFonts w:ascii="Times New Roman" w:eastAsia="Times New Roman" w:hAnsi="Times New Roman" w:cs="Times New Roman"/>
          <w:lang w:val="en-GB"/>
        </w:rPr>
        <w:t xml:space="preserve">: </w:t>
      </w:r>
    </w:p>
    <w:p w:rsidR="008414AA" w:rsidRPr="008414AA" w:rsidRDefault="008414AA" w:rsidP="008414AA">
      <w:pPr>
        <w:widowControl w:val="0"/>
        <w:spacing w:before="120" w:after="120" w:line="240" w:lineRule="auto"/>
        <w:ind w:left="993" w:hanging="360"/>
        <w:contextualSpacing/>
        <w:jc w:val="both"/>
        <w:rPr>
          <w:rFonts w:ascii="Times New Roman" w:eastAsia="Times New Roman" w:hAnsi="Times New Roman" w:cs="Times New Roman"/>
          <w:lang w:val="en-GB"/>
        </w:rPr>
      </w:pPr>
      <w:r w:rsidRPr="008414AA">
        <w:rPr>
          <w:rFonts w:ascii="Times New Roman" w:eastAsia="Times New Roman" w:hAnsi="Times New Roman" w:cs="Times New Roman"/>
        </w:rPr>
        <w:t>-</w:t>
      </w:r>
      <w:r w:rsidRPr="008414AA">
        <w:rPr>
          <w:rFonts w:ascii="Times New Roman" w:eastAsia="Times New Roman" w:hAnsi="Times New Roman" w:cs="Times New Roman"/>
        </w:rPr>
        <w:tab/>
        <w:t>Has an adequate knowledge of the English terminology of the general logistic operations and processes.</w:t>
      </w:r>
    </w:p>
    <w:p w:rsidR="008414AA" w:rsidRPr="008414AA" w:rsidRDefault="008414AA" w:rsidP="008414AA">
      <w:pPr>
        <w:widowControl w:val="0"/>
        <w:spacing w:before="120" w:after="0" w:line="240" w:lineRule="auto"/>
        <w:ind w:left="425"/>
        <w:jc w:val="both"/>
        <w:rPr>
          <w:rFonts w:ascii="Times New Roman" w:eastAsia="Times New Roman" w:hAnsi="Times New Roman" w:cs="Times New Roman"/>
          <w:lang w:val="en-GB"/>
        </w:rPr>
      </w:pPr>
      <w:r w:rsidRPr="008414AA">
        <w:rPr>
          <w:rFonts w:ascii="Times New Roman" w:eastAsia="Times New Roman" w:hAnsi="Times New Roman" w:cs="Times New Roman"/>
          <w:b/>
          <w:lang w:val="en-GB"/>
        </w:rPr>
        <w:t>Capabilities</w:t>
      </w:r>
      <w:r w:rsidRPr="008414AA">
        <w:rPr>
          <w:rFonts w:ascii="Times New Roman" w:eastAsia="Times New Roman" w:hAnsi="Times New Roman" w:cs="Times New Roman"/>
          <w:lang w:val="en-GB"/>
        </w:rPr>
        <w:t xml:space="preserve">: </w:t>
      </w:r>
    </w:p>
    <w:p w:rsidR="008414AA" w:rsidRPr="008414AA" w:rsidRDefault="008414AA" w:rsidP="008414AA">
      <w:pPr>
        <w:widowControl w:val="0"/>
        <w:spacing w:before="120" w:after="120" w:line="240" w:lineRule="auto"/>
        <w:ind w:left="993" w:hanging="360"/>
        <w:contextualSpacing/>
        <w:jc w:val="both"/>
        <w:rPr>
          <w:rFonts w:ascii="Times New Roman" w:eastAsia="Times New Roman" w:hAnsi="Times New Roman" w:cs="Times New Roman"/>
          <w:bCs/>
        </w:rPr>
      </w:pPr>
      <w:r w:rsidRPr="008414AA">
        <w:rPr>
          <w:rFonts w:ascii="Times New Roman" w:eastAsia="Times New Roman" w:hAnsi="Times New Roman" w:cs="Times New Roman"/>
          <w:bCs/>
        </w:rPr>
        <w:t>-</w:t>
      </w:r>
      <w:r w:rsidRPr="008414AA">
        <w:rPr>
          <w:rFonts w:ascii="Times New Roman" w:eastAsia="Times New Roman" w:hAnsi="Times New Roman" w:cs="Times New Roman"/>
          <w:bCs/>
        </w:rPr>
        <w:tab/>
        <w:t>Capable of understanding NATO documents related to his/her specialization</w:t>
      </w:r>
    </w:p>
    <w:p w:rsidR="008414AA" w:rsidRPr="008414AA" w:rsidRDefault="008414AA" w:rsidP="008414AA">
      <w:pPr>
        <w:widowControl w:val="0"/>
        <w:spacing w:before="120" w:after="120" w:line="240" w:lineRule="auto"/>
        <w:ind w:left="993" w:hanging="360"/>
        <w:contextualSpacing/>
        <w:jc w:val="both"/>
        <w:rPr>
          <w:rFonts w:ascii="Times New Roman" w:eastAsia="Times New Roman" w:hAnsi="Times New Roman" w:cs="Times New Roman"/>
          <w:bCs/>
        </w:rPr>
      </w:pPr>
      <w:r w:rsidRPr="008414AA">
        <w:rPr>
          <w:rFonts w:ascii="Times New Roman" w:eastAsia="Times New Roman" w:hAnsi="Times New Roman" w:cs="Times New Roman"/>
          <w:bCs/>
        </w:rPr>
        <w:t>-</w:t>
      </w:r>
      <w:r w:rsidRPr="008414AA">
        <w:rPr>
          <w:rFonts w:ascii="Times New Roman" w:eastAsia="Times New Roman" w:hAnsi="Times New Roman" w:cs="Times New Roman"/>
          <w:bCs/>
        </w:rPr>
        <w:tab/>
        <w:t>Capable of using the professional terminology in English.</w:t>
      </w:r>
    </w:p>
    <w:p w:rsidR="008414AA" w:rsidRPr="008414AA" w:rsidRDefault="008414AA" w:rsidP="008414AA">
      <w:pPr>
        <w:widowControl w:val="0"/>
        <w:spacing w:before="120" w:after="120" w:line="240" w:lineRule="auto"/>
        <w:ind w:left="993" w:hanging="360"/>
        <w:contextualSpacing/>
        <w:jc w:val="both"/>
        <w:rPr>
          <w:rFonts w:ascii="Times New Roman" w:eastAsia="Times New Roman" w:hAnsi="Times New Roman" w:cs="Times New Roman"/>
          <w:bCs/>
        </w:rPr>
      </w:pPr>
      <w:r w:rsidRPr="008414AA">
        <w:rPr>
          <w:rFonts w:ascii="Times New Roman" w:eastAsia="Times New Roman" w:hAnsi="Times New Roman" w:cs="Times New Roman"/>
          <w:bCs/>
        </w:rPr>
        <w:t>-</w:t>
      </w:r>
      <w:r w:rsidRPr="008414AA">
        <w:rPr>
          <w:rFonts w:ascii="Times New Roman" w:eastAsia="Times New Roman" w:hAnsi="Times New Roman" w:cs="Times New Roman"/>
          <w:bCs/>
        </w:rPr>
        <w:tab/>
        <w:t>Capable of verbal and written work-related communication in English</w:t>
      </w:r>
    </w:p>
    <w:p w:rsidR="008414AA" w:rsidRPr="008414AA" w:rsidRDefault="008414AA" w:rsidP="008414AA">
      <w:pPr>
        <w:widowControl w:val="0"/>
        <w:spacing w:before="120" w:after="120" w:line="240" w:lineRule="auto"/>
        <w:ind w:left="993" w:hanging="360"/>
        <w:contextualSpacing/>
        <w:jc w:val="both"/>
        <w:rPr>
          <w:rFonts w:ascii="Times New Roman" w:eastAsia="Times New Roman" w:hAnsi="Times New Roman" w:cs="Times New Roman"/>
          <w:bCs/>
        </w:rPr>
      </w:pPr>
      <w:r w:rsidRPr="008414AA">
        <w:rPr>
          <w:rFonts w:ascii="Times New Roman" w:eastAsia="Times New Roman" w:hAnsi="Times New Roman" w:cs="Times New Roman"/>
          <w:bCs/>
        </w:rPr>
        <w:t>-</w:t>
      </w:r>
      <w:r w:rsidRPr="008414AA">
        <w:rPr>
          <w:rFonts w:ascii="Times New Roman" w:eastAsia="Times New Roman" w:hAnsi="Times New Roman" w:cs="Times New Roman"/>
          <w:bCs/>
        </w:rPr>
        <w:tab/>
        <w:t>Capable of interacting with a degree of fluency and spontaneity that makes regular interaction with native speakers quite possible without strain for either party.</w:t>
      </w:r>
    </w:p>
    <w:p w:rsidR="008414AA" w:rsidRPr="008414AA" w:rsidRDefault="008414AA" w:rsidP="008414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425"/>
        <w:jc w:val="both"/>
        <w:rPr>
          <w:rFonts w:ascii="Times New Roman" w:eastAsia="Times New Roman" w:hAnsi="Times New Roman" w:cs="Times New Roman"/>
          <w:lang w:val="en-GB"/>
        </w:rPr>
      </w:pPr>
      <w:r w:rsidRPr="008414AA">
        <w:rPr>
          <w:rFonts w:ascii="Times New Roman" w:eastAsia="Times New Roman" w:hAnsi="Times New Roman" w:cs="Times New Roman"/>
          <w:b/>
          <w:lang w:val="en-GB"/>
        </w:rPr>
        <w:t>Attitude:</w:t>
      </w:r>
      <w:r w:rsidRPr="008414AA">
        <w:rPr>
          <w:rFonts w:ascii="Times New Roman" w:eastAsia="Times New Roman" w:hAnsi="Times New Roman" w:cs="Times New Roman"/>
          <w:lang w:val="en-GB"/>
        </w:rPr>
        <w:t xml:space="preserve"> </w:t>
      </w:r>
    </w:p>
    <w:p w:rsidR="008414AA" w:rsidRPr="008414AA" w:rsidRDefault="008414AA" w:rsidP="008414AA">
      <w:pPr>
        <w:widowControl w:val="0"/>
        <w:spacing w:before="120" w:after="120" w:line="240" w:lineRule="auto"/>
        <w:ind w:left="993" w:hanging="360"/>
        <w:contextualSpacing/>
        <w:jc w:val="both"/>
        <w:rPr>
          <w:rFonts w:ascii="Times New Roman" w:eastAsia="Times New Roman" w:hAnsi="Times New Roman" w:cs="Times New Roman"/>
          <w:bCs/>
        </w:rPr>
      </w:pPr>
      <w:r w:rsidRPr="008414AA">
        <w:rPr>
          <w:rFonts w:ascii="Times New Roman" w:eastAsia="Times New Roman" w:hAnsi="Times New Roman" w:cs="Times New Roman"/>
          <w:bCs/>
        </w:rPr>
        <w:t>-</w:t>
      </w:r>
      <w:r w:rsidRPr="008414AA">
        <w:rPr>
          <w:rFonts w:ascii="Times New Roman" w:eastAsia="Times New Roman" w:hAnsi="Times New Roman" w:cs="Times New Roman"/>
          <w:bCs/>
        </w:rPr>
        <w:tab/>
        <w:t>Is willing to learn the new terminology in his/her specialization, strives to understand and use it, and is committed to continuous self-education. In his/her specialization.</w:t>
      </w:r>
    </w:p>
    <w:p w:rsidR="008414AA" w:rsidRPr="008414AA" w:rsidRDefault="008414AA" w:rsidP="008414AA">
      <w:pPr>
        <w:widowControl w:val="0"/>
        <w:spacing w:before="120" w:after="120" w:line="240" w:lineRule="auto"/>
        <w:ind w:left="993" w:hanging="360"/>
        <w:contextualSpacing/>
        <w:jc w:val="both"/>
        <w:rPr>
          <w:rFonts w:ascii="Times New Roman" w:eastAsia="Times New Roman" w:hAnsi="Times New Roman" w:cs="Times New Roman"/>
          <w:bCs/>
        </w:rPr>
      </w:pPr>
      <w:r w:rsidRPr="008414AA">
        <w:rPr>
          <w:rFonts w:ascii="Times New Roman" w:eastAsia="Times New Roman" w:hAnsi="Times New Roman" w:cs="Times New Roman"/>
          <w:bCs/>
        </w:rPr>
        <w:t>-</w:t>
      </w:r>
      <w:r w:rsidRPr="008414AA">
        <w:rPr>
          <w:rFonts w:ascii="Times New Roman" w:eastAsia="Times New Roman" w:hAnsi="Times New Roman" w:cs="Times New Roman"/>
          <w:bCs/>
        </w:rPr>
        <w:tab/>
        <w:t>Is committed to accuracy when using the English language at work.</w:t>
      </w:r>
    </w:p>
    <w:p w:rsidR="008414AA" w:rsidRPr="008414AA" w:rsidRDefault="008414AA" w:rsidP="008414AA">
      <w:pPr>
        <w:widowControl w:val="0"/>
        <w:spacing w:before="120" w:after="120" w:line="240" w:lineRule="auto"/>
        <w:ind w:left="993" w:hanging="360"/>
        <w:contextualSpacing/>
        <w:jc w:val="both"/>
        <w:rPr>
          <w:rFonts w:ascii="Times New Roman" w:eastAsia="Times New Roman" w:hAnsi="Times New Roman" w:cs="Times New Roman"/>
          <w:bCs/>
        </w:rPr>
      </w:pPr>
      <w:r w:rsidRPr="008414AA">
        <w:rPr>
          <w:rFonts w:ascii="Times New Roman" w:eastAsia="Times New Roman" w:hAnsi="Times New Roman" w:cs="Times New Roman"/>
          <w:bCs/>
        </w:rPr>
        <w:t>-</w:t>
      </w:r>
      <w:r w:rsidRPr="008414AA">
        <w:rPr>
          <w:rFonts w:ascii="Times New Roman" w:eastAsia="Times New Roman" w:hAnsi="Times New Roman" w:cs="Times New Roman"/>
          <w:bCs/>
        </w:rPr>
        <w:tab/>
        <w:t>Is not afraid or embarrassed to seek help when he/she faces problems with the English language.</w:t>
      </w:r>
    </w:p>
    <w:p w:rsidR="008414AA" w:rsidRPr="008414AA" w:rsidRDefault="008414AA" w:rsidP="008414AA">
      <w:pPr>
        <w:widowControl w:val="0"/>
        <w:spacing w:before="120" w:after="120" w:line="240" w:lineRule="auto"/>
        <w:ind w:left="993" w:hanging="360"/>
        <w:contextualSpacing/>
        <w:jc w:val="both"/>
        <w:rPr>
          <w:rFonts w:ascii="Times New Roman" w:eastAsia="Times New Roman" w:hAnsi="Times New Roman" w:cs="Times New Roman"/>
          <w:bCs/>
        </w:rPr>
      </w:pPr>
      <w:r w:rsidRPr="008414AA">
        <w:rPr>
          <w:rFonts w:ascii="Times New Roman" w:eastAsia="Times New Roman" w:hAnsi="Times New Roman" w:cs="Times New Roman"/>
          <w:bCs/>
        </w:rPr>
        <w:t>-</w:t>
      </w:r>
      <w:r w:rsidRPr="008414AA">
        <w:rPr>
          <w:rFonts w:ascii="Times New Roman" w:eastAsia="Times New Roman" w:hAnsi="Times New Roman" w:cs="Times New Roman"/>
          <w:bCs/>
        </w:rPr>
        <w:tab/>
        <w:t>Takes every opportunity to improve his/her knowledge of English.</w:t>
      </w:r>
    </w:p>
    <w:p w:rsidR="008414AA" w:rsidRPr="008414AA" w:rsidRDefault="008414AA" w:rsidP="008414AA">
      <w:pPr>
        <w:widowControl w:val="0"/>
        <w:spacing w:before="120" w:after="0" w:line="240" w:lineRule="auto"/>
        <w:ind w:left="425"/>
        <w:jc w:val="both"/>
        <w:rPr>
          <w:rFonts w:ascii="Times New Roman" w:eastAsia="Times New Roman" w:hAnsi="Times New Roman" w:cs="Times New Roman"/>
          <w:bCs/>
        </w:rPr>
      </w:pPr>
      <w:r w:rsidRPr="008414AA">
        <w:rPr>
          <w:rFonts w:ascii="Times New Roman" w:eastAsia="Times New Roman" w:hAnsi="Times New Roman" w:cs="Times New Roman"/>
          <w:b/>
          <w:lang w:val="en-GB"/>
        </w:rPr>
        <w:t>Autonomy and responsibility:</w:t>
      </w:r>
    </w:p>
    <w:p w:rsidR="008414AA" w:rsidRPr="008414AA" w:rsidRDefault="008414AA" w:rsidP="008414AA">
      <w:pPr>
        <w:widowControl w:val="0"/>
        <w:spacing w:before="120" w:after="120" w:line="240" w:lineRule="auto"/>
        <w:ind w:left="993" w:hanging="360"/>
        <w:contextualSpacing/>
        <w:jc w:val="both"/>
        <w:rPr>
          <w:rFonts w:ascii="Times New Roman" w:eastAsia="Times New Roman" w:hAnsi="Times New Roman" w:cs="Times New Roman"/>
          <w:bCs/>
        </w:rPr>
      </w:pPr>
      <w:r w:rsidRPr="008414AA">
        <w:rPr>
          <w:rFonts w:ascii="Times New Roman" w:eastAsia="Times New Roman" w:hAnsi="Times New Roman" w:cs="Times New Roman"/>
          <w:bCs/>
        </w:rPr>
        <w:t>-</w:t>
      </w:r>
      <w:r w:rsidRPr="008414AA">
        <w:rPr>
          <w:rFonts w:ascii="Times New Roman" w:eastAsia="Times New Roman" w:hAnsi="Times New Roman" w:cs="Times New Roman"/>
          <w:bCs/>
        </w:rPr>
        <w:tab/>
        <w:t>Is able to autonomously improve his/her knowledge of the terminology of logistics.</w:t>
      </w:r>
    </w:p>
    <w:p w:rsidR="008414AA" w:rsidRPr="008414AA" w:rsidRDefault="008414AA" w:rsidP="008414AA">
      <w:pPr>
        <w:widowControl w:val="0"/>
        <w:spacing w:before="120" w:after="120" w:line="240" w:lineRule="auto"/>
        <w:ind w:left="993" w:hanging="360"/>
        <w:contextualSpacing/>
        <w:jc w:val="both"/>
        <w:rPr>
          <w:rFonts w:ascii="Times New Roman" w:eastAsia="Times New Roman" w:hAnsi="Times New Roman" w:cs="Times New Roman"/>
          <w:bCs/>
        </w:rPr>
      </w:pPr>
      <w:r w:rsidRPr="008414AA">
        <w:rPr>
          <w:rFonts w:ascii="Times New Roman" w:eastAsia="Times New Roman" w:hAnsi="Times New Roman" w:cs="Times New Roman"/>
          <w:bCs/>
        </w:rPr>
        <w:t>-</w:t>
      </w:r>
      <w:r w:rsidRPr="008414AA">
        <w:rPr>
          <w:rFonts w:ascii="Times New Roman" w:eastAsia="Times New Roman" w:hAnsi="Times New Roman" w:cs="Times New Roman"/>
          <w:bCs/>
        </w:rPr>
        <w:tab/>
        <w:t xml:space="preserve">Is aware of the importance of being able to effectively communicate in English in a multinational environment </w:t>
      </w:r>
    </w:p>
    <w:p w:rsidR="008414AA" w:rsidRPr="008414AA" w:rsidRDefault="008414AA" w:rsidP="008414AA">
      <w:pPr>
        <w:widowControl w:val="0"/>
        <w:spacing w:before="120" w:after="120" w:line="240" w:lineRule="auto"/>
        <w:ind w:left="993" w:hanging="360"/>
        <w:contextualSpacing/>
        <w:jc w:val="both"/>
        <w:rPr>
          <w:rFonts w:ascii="Times New Roman" w:eastAsia="Times New Roman" w:hAnsi="Times New Roman" w:cs="Times New Roman"/>
          <w:bCs/>
        </w:rPr>
      </w:pPr>
      <w:r w:rsidRPr="008414AA">
        <w:rPr>
          <w:rFonts w:ascii="Times New Roman" w:eastAsia="Times New Roman" w:hAnsi="Times New Roman" w:cs="Times New Roman"/>
          <w:bCs/>
        </w:rPr>
        <w:t>-</w:t>
      </w:r>
      <w:r w:rsidRPr="008414AA">
        <w:rPr>
          <w:rFonts w:ascii="Times New Roman" w:eastAsia="Times New Roman" w:hAnsi="Times New Roman" w:cs="Times New Roman"/>
          <w:bCs/>
        </w:rPr>
        <w:tab/>
        <w:t>Takes responsibility for his/her written/verbal communication in English.</w:t>
      </w:r>
    </w:p>
    <w:p w:rsidR="008414AA" w:rsidRPr="008414AA" w:rsidRDefault="008414AA" w:rsidP="00980876">
      <w:pPr>
        <w:widowControl w:val="0"/>
        <w:numPr>
          <w:ilvl w:val="0"/>
          <w:numId w:val="519"/>
        </w:numPr>
        <w:tabs>
          <w:tab w:val="num" w:pos="567"/>
        </w:tabs>
        <w:spacing w:before="120" w:after="120" w:line="240" w:lineRule="auto"/>
        <w:ind w:left="426" w:hanging="142"/>
        <w:jc w:val="both"/>
        <w:rPr>
          <w:rFonts w:ascii="Times New Roman" w:eastAsia="Times New Roman" w:hAnsi="Times New Roman" w:cs="Times New Roman"/>
          <w:bCs/>
        </w:rPr>
      </w:pPr>
      <w:r w:rsidRPr="008414AA">
        <w:rPr>
          <w:rFonts w:ascii="Times New Roman" w:eastAsia="Times New Roman" w:hAnsi="Times New Roman" w:cs="Times New Roman"/>
          <w:b/>
          <w:bCs/>
        </w:rPr>
        <w:t xml:space="preserve">Előtanulmányi követelmények: </w:t>
      </w:r>
      <w:r w:rsidRPr="008414AA">
        <w:rPr>
          <w:rFonts w:ascii="Times New Roman" w:eastAsia="Times New Roman" w:hAnsi="Times New Roman" w:cs="Times New Roman"/>
          <w:bCs/>
        </w:rPr>
        <w:t>Nincs</w:t>
      </w:r>
    </w:p>
    <w:p w:rsidR="008414AA" w:rsidRPr="008414AA" w:rsidRDefault="008414AA" w:rsidP="00980876">
      <w:pPr>
        <w:widowControl w:val="0"/>
        <w:numPr>
          <w:ilvl w:val="0"/>
          <w:numId w:val="519"/>
        </w:numPr>
        <w:spacing w:before="120" w:after="120" w:line="240" w:lineRule="auto"/>
        <w:ind w:left="426" w:hanging="142"/>
        <w:jc w:val="both"/>
        <w:rPr>
          <w:rFonts w:ascii="Times New Roman" w:eastAsia="Times New Roman" w:hAnsi="Times New Roman" w:cs="Times New Roman"/>
          <w:b/>
          <w:bCs/>
        </w:rPr>
      </w:pPr>
      <w:r w:rsidRPr="008414AA">
        <w:rPr>
          <w:rFonts w:ascii="Times New Roman" w:eastAsia="Times New Roman" w:hAnsi="Times New Roman" w:cs="Times New Roman"/>
          <w:b/>
          <w:bCs/>
        </w:rPr>
        <w:t>A tantárgy tananyagának leírása, tematika. Description of the subject, curriculum (magyarul, angolul - English):</w:t>
      </w:r>
    </w:p>
    <w:p w:rsidR="008414AA" w:rsidRPr="008414AA" w:rsidRDefault="008414AA" w:rsidP="00980876">
      <w:pPr>
        <w:widowControl w:val="0"/>
        <w:numPr>
          <w:ilvl w:val="1"/>
          <w:numId w:val="519"/>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8414AA">
        <w:rPr>
          <w:rFonts w:ascii="Times New Roman" w:eastAsia="Times New Roman" w:hAnsi="Times New Roman" w:cs="Times New Roman"/>
          <w:kern w:val="2"/>
        </w:rPr>
        <w:t xml:space="preserve">Alapvető meghatározások, a logisztika feladatai. </w:t>
      </w:r>
      <w:r w:rsidRPr="008414AA">
        <w:rPr>
          <w:rFonts w:ascii="Times New Roman" w:eastAsia="Times New Roman" w:hAnsi="Times New Roman" w:cs="Times New Roman"/>
          <w:i/>
          <w:kern w:val="2"/>
        </w:rPr>
        <w:t>(Basic Definitions, Logistic Functions.)</w:t>
      </w:r>
    </w:p>
    <w:p w:rsidR="008414AA" w:rsidRPr="008414AA" w:rsidRDefault="008414AA" w:rsidP="00980876">
      <w:pPr>
        <w:widowControl w:val="0"/>
        <w:numPr>
          <w:ilvl w:val="1"/>
          <w:numId w:val="519"/>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8414AA">
        <w:rPr>
          <w:rFonts w:ascii="Times New Roman" w:eastAsia="Times New Roman" w:hAnsi="Times New Roman" w:cs="Times New Roman"/>
          <w:kern w:val="2"/>
        </w:rPr>
        <w:t xml:space="preserve">A NATO logisztikai alapelveinek fejlődése. </w:t>
      </w:r>
      <w:r w:rsidRPr="008414AA">
        <w:rPr>
          <w:rFonts w:ascii="Times New Roman" w:eastAsia="Times New Roman" w:hAnsi="Times New Roman" w:cs="Times New Roman"/>
          <w:i/>
          <w:kern w:val="2"/>
        </w:rPr>
        <w:t>(Evolution of NATO Logistic Principles.)</w:t>
      </w:r>
    </w:p>
    <w:p w:rsidR="008414AA" w:rsidRPr="008414AA" w:rsidRDefault="008414AA" w:rsidP="00980876">
      <w:pPr>
        <w:widowControl w:val="0"/>
        <w:numPr>
          <w:ilvl w:val="1"/>
          <w:numId w:val="519"/>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8414AA">
        <w:rPr>
          <w:rFonts w:ascii="Times New Roman" w:eastAsia="Times New Roman" w:hAnsi="Times New Roman" w:cs="Times New Roman"/>
          <w:kern w:val="2"/>
        </w:rPr>
        <w:t xml:space="preserve">NATO anyagosztályok. </w:t>
      </w:r>
      <w:r w:rsidRPr="008414AA">
        <w:rPr>
          <w:rFonts w:ascii="Times New Roman" w:eastAsia="Times New Roman" w:hAnsi="Times New Roman" w:cs="Times New Roman"/>
          <w:i/>
          <w:kern w:val="2"/>
        </w:rPr>
        <w:t>(Classes of Supply Defined in NATO.)</w:t>
      </w:r>
    </w:p>
    <w:p w:rsidR="008414AA" w:rsidRPr="008414AA" w:rsidRDefault="008414AA" w:rsidP="00980876">
      <w:pPr>
        <w:widowControl w:val="0"/>
        <w:numPr>
          <w:ilvl w:val="1"/>
          <w:numId w:val="519"/>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8414AA">
        <w:rPr>
          <w:rFonts w:ascii="Times New Roman" w:eastAsia="Times New Roman" w:hAnsi="Times New Roman" w:cs="Times New Roman"/>
          <w:kern w:val="2"/>
        </w:rPr>
        <w:t xml:space="preserve">Többnemzeti Logisztika, a többnemzeti logisztikai támogatás végrehajtásának formái. </w:t>
      </w:r>
      <w:r w:rsidRPr="008414AA">
        <w:rPr>
          <w:rFonts w:ascii="Times New Roman" w:eastAsia="Times New Roman" w:hAnsi="Times New Roman" w:cs="Times New Roman"/>
          <w:i/>
          <w:kern w:val="2"/>
        </w:rPr>
        <w:t>(Multinational Logistics, Modes of Multinational Logistic Support.)</w:t>
      </w:r>
    </w:p>
    <w:p w:rsidR="008414AA" w:rsidRPr="008414AA" w:rsidRDefault="008414AA" w:rsidP="00980876">
      <w:pPr>
        <w:widowControl w:val="0"/>
        <w:numPr>
          <w:ilvl w:val="1"/>
          <w:numId w:val="519"/>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8414AA">
        <w:rPr>
          <w:rFonts w:ascii="Times New Roman" w:eastAsia="Times New Roman" w:hAnsi="Times New Roman" w:cs="Times New Roman"/>
          <w:kern w:val="2"/>
        </w:rPr>
        <w:t xml:space="preserve">A Többnemzeti Logisztikai Támogató Csoport feladatai a katonai műveletek végrehajtása során. </w:t>
      </w:r>
      <w:r w:rsidRPr="008414AA">
        <w:rPr>
          <w:rFonts w:ascii="Times New Roman" w:eastAsia="Times New Roman" w:hAnsi="Times New Roman" w:cs="Times New Roman"/>
          <w:i/>
          <w:kern w:val="2"/>
        </w:rPr>
        <w:t>(Role of Joint Logistic Support Group (JLSG) in Military Operations.)</w:t>
      </w:r>
    </w:p>
    <w:p w:rsidR="008414AA" w:rsidRPr="008414AA" w:rsidRDefault="008414AA" w:rsidP="00980876">
      <w:pPr>
        <w:widowControl w:val="0"/>
        <w:numPr>
          <w:ilvl w:val="1"/>
          <w:numId w:val="519"/>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8414AA">
        <w:rPr>
          <w:rFonts w:ascii="Times New Roman" w:eastAsia="Times New Roman" w:hAnsi="Times New Roman" w:cs="Times New Roman"/>
          <w:kern w:val="2"/>
        </w:rPr>
        <w:t xml:space="preserve">A NATO Műveleti Támogatási Lánc alapvető felépítése. </w:t>
      </w:r>
      <w:r w:rsidRPr="008414AA">
        <w:rPr>
          <w:rFonts w:ascii="Times New Roman" w:eastAsia="Times New Roman" w:hAnsi="Times New Roman" w:cs="Times New Roman"/>
          <w:i/>
          <w:kern w:val="2"/>
        </w:rPr>
        <w:t>(Basic Structure of the NATO Operational Support Chain (OSC).)</w:t>
      </w:r>
    </w:p>
    <w:p w:rsidR="008414AA" w:rsidRPr="008414AA" w:rsidRDefault="008414AA" w:rsidP="00980876">
      <w:pPr>
        <w:widowControl w:val="0"/>
        <w:numPr>
          <w:ilvl w:val="1"/>
          <w:numId w:val="519"/>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8414AA">
        <w:rPr>
          <w:rFonts w:ascii="Times New Roman" w:eastAsia="Times New Roman" w:hAnsi="Times New Roman" w:cs="Times New Roman"/>
          <w:kern w:val="2"/>
        </w:rPr>
        <w:t xml:space="preserve">A Magyar Honvédség műveleti támogatási láncának felépítése. </w:t>
      </w:r>
      <w:r w:rsidRPr="008414AA">
        <w:rPr>
          <w:rFonts w:ascii="Times New Roman" w:eastAsia="Times New Roman" w:hAnsi="Times New Roman" w:cs="Times New Roman"/>
          <w:i/>
          <w:kern w:val="2"/>
        </w:rPr>
        <w:t>(Structure of the HDF’s Operational Support Chain.)</w:t>
      </w:r>
    </w:p>
    <w:p w:rsidR="008414AA" w:rsidRPr="008414AA" w:rsidRDefault="008414AA" w:rsidP="00980876">
      <w:pPr>
        <w:widowControl w:val="0"/>
        <w:numPr>
          <w:ilvl w:val="1"/>
          <w:numId w:val="519"/>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8414AA">
        <w:rPr>
          <w:rFonts w:ascii="Times New Roman" w:eastAsia="Times New Roman" w:hAnsi="Times New Roman" w:cs="Times New Roman"/>
          <w:kern w:val="2"/>
        </w:rPr>
        <w:t xml:space="preserve">A Katonai Döntéshozatali és Tervezési Folyamat lépései. </w:t>
      </w:r>
      <w:r w:rsidRPr="008414AA">
        <w:rPr>
          <w:rFonts w:ascii="Times New Roman" w:eastAsia="Times New Roman" w:hAnsi="Times New Roman" w:cs="Times New Roman"/>
          <w:i/>
          <w:kern w:val="2"/>
        </w:rPr>
        <w:t>(Steps of the Military Decision Making and Planning Process (MDMP).)</w:t>
      </w:r>
    </w:p>
    <w:p w:rsidR="008414AA" w:rsidRPr="008414AA" w:rsidRDefault="008414AA" w:rsidP="00980876">
      <w:pPr>
        <w:widowControl w:val="0"/>
        <w:numPr>
          <w:ilvl w:val="1"/>
          <w:numId w:val="519"/>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8414AA">
        <w:rPr>
          <w:rFonts w:ascii="Times New Roman" w:eastAsia="Times New Roman" w:hAnsi="Times New Roman" w:cs="Times New Roman"/>
          <w:kern w:val="2"/>
        </w:rPr>
        <w:t xml:space="preserve">A Logisztikai Tervezés lépései. </w:t>
      </w:r>
      <w:r w:rsidRPr="008414AA">
        <w:rPr>
          <w:rFonts w:ascii="Times New Roman" w:eastAsia="Times New Roman" w:hAnsi="Times New Roman" w:cs="Times New Roman"/>
          <w:i/>
          <w:kern w:val="2"/>
        </w:rPr>
        <w:t>(Steps of the Logistic Estimate.)</w:t>
      </w:r>
    </w:p>
    <w:p w:rsidR="008414AA" w:rsidRPr="008414AA" w:rsidRDefault="008414AA" w:rsidP="00980876">
      <w:pPr>
        <w:widowControl w:val="0"/>
        <w:numPr>
          <w:ilvl w:val="1"/>
          <w:numId w:val="519"/>
        </w:numPr>
        <w:tabs>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8414AA">
        <w:rPr>
          <w:rFonts w:ascii="Times New Roman" w:eastAsia="Times New Roman" w:hAnsi="Times New Roman" w:cs="Times New Roman"/>
          <w:kern w:val="2"/>
        </w:rPr>
        <w:t xml:space="preserve">A kockázatok elemzése és kezelése a logisztikai műveletek végrehajtása során. Valószínűség-Hatás Diagram. </w:t>
      </w:r>
      <w:r w:rsidRPr="008414AA">
        <w:rPr>
          <w:rFonts w:ascii="Times New Roman" w:eastAsia="Times New Roman" w:hAnsi="Times New Roman" w:cs="Times New Roman"/>
          <w:i/>
          <w:kern w:val="2"/>
        </w:rPr>
        <w:t>(Risk Analysis and Management During Logistic Operations. Probability-Impact Graph.)</w:t>
      </w:r>
    </w:p>
    <w:p w:rsidR="008414AA" w:rsidRPr="008414AA" w:rsidRDefault="008414AA" w:rsidP="00980876">
      <w:pPr>
        <w:widowControl w:val="0"/>
        <w:numPr>
          <w:ilvl w:val="0"/>
          <w:numId w:val="519"/>
        </w:numPr>
        <w:tabs>
          <w:tab w:val="num" w:pos="360"/>
        </w:tabs>
        <w:spacing w:before="120" w:after="120" w:line="240" w:lineRule="auto"/>
        <w:ind w:left="426" w:hanging="142"/>
        <w:jc w:val="both"/>
        <w:rPr>
          <w:rFonts w:ascii="Times New Roman" w:eastAsia="Times New Roman" w:hAnsi="Times New Roman" w:cs="Times New Roman"/>
          <w:bCs/>
        </w:rPr>
      </w:pPr>
      <w:r w:rsidRPr="008414AA">
        <w:rPr>
          <w:rFonts w:ascii="Times New Roman" w:eastAsia="Times New Roman" w:hAnsi="Times New Roman" w:cs="Times New Roman"/>
          <w:b/>
          <w:bCs/>
        </w:rPr>
        <w:lastRenderedPageBreak/>
        <w:t xml:space="preserve">A tantárgy meghirdetésének gyakorisága/a tantervben történő félévi elhelyezkedése: </w:t>
      </w:r>
      <w:r w:rsidRPr="008414AA">
        <w:rPr>
          <w:rFonts w:ascii="Times New Roman" w:eastAsia="Times New Roman" w:hAnsi="Times New Roman" w:cs="Times New Roman"/>
          <w:bCs/>
        </w:rPr>
        <w:t>Minden őszi szemeszterben / 7. félév</w:t>
      </w:r>
    </w:p>
    <w:p w:rsidR="008414AA" w:rsidRPr="008414AA" w:rsidRDefault="008414AA" w:rsidP="00980876">
      <w:pPr>
        <w:widowControl w:val="0"/>
        <w:numPr>
          <w:ilvl w:val="0"/>
          <w:numId w:val="519"/>
        </w:numPr>
        <w:tabs>
          <w:tab w:val="num" w:pos="360"/>
        </w:tabs>
        <w:spacing w:before="120" w:after="120" w:line="240" w:lineRule="auto"/>
        <w:ind w:left="426" w:hanging="142"/>
        <w:jc w:val="both"/>
        <w:rPr>
          <w:rFonts w:ascii="Times New Roman" w:eastAsia="Times New Roman" w:hAnsi="Times New Roman" w:cs="Times New Roman"/>
          <w:bCs/>
        </w:rPr>
      </w:pPr>
      <w:r w:rsidRPr="008414AA">
        <w:rPr>
          <w:rFonts w:ascii="Times New Roman" w:eastAsia="Times New Roman" w:hAnsi="Times New Roman" w:cs="Times New Roman"/>
          <w:b/>
          <w:bCs/>
        </w:rPr>
        <w:t>A tanórákon való részvétel követelményei, az elfogadható hiányzások mértéke, a távolmaradás pótlásának lehetősége:</w:t>
      </w:r>
      <w:r w:rsidRPr="008414AA">
        <w:rPr>
          <w:rFonts w:ascii="Times New Roman" w:eastAsia="Times New Roman" w:hAnsi="Times New Roman" w:cs="Times New Roman"/>
          <w:bCs/>
        </w:rPr>
        <w:t xml:space="preserve"> A tanórákon való részvétel kötelező.</w:t>
      </w:r>
      <w:r w:rsidRPr="008414AA">
        <w:rPr>
          <w:rFonts w:ascii="Times New Roman" w:eastAsia="Times New Roman" w:hAnsi="Times New Roman" w:cs="Times New Roman"/>
          <w:b/>
          <w:bCs/>
        </w:rPr>
        <w:t xml:space="preserve"> </w:t>
      </w:r>
      <w:r w:rsidRPr="008414AA">
        <w:rPr>
          <w:rFonts w:ascii="Times New Roman" w:eastAsia="Times New Roman" w:hAnsi="Times New Roman" w:cs="Times New Roman"/>
          <w:bCs/>
        </w:rPr>
        <w:t>A félév elfogadásának feltétele a tanórák legalább 75%-án való részvétel. Ennél magasabb mértékű távolmaradás pótlása az oktató engedélyével történhet. A hallgató köteles az előadások anyagát beszerezni, abból önállóan felkészülni.</w:t>
      </w:r>
    </w:p>
    <w:p w:rsidR="008414AA" w:rsidRPr="008414AA" w:rsidRDefault="008414AA" w:rsidP="00980876">
      <w:pPr>
        <w:widowControl w:val="0"/>
        <w:numPr>
          <w:ilvl w:val="0"/>
          <w:numId w:val="519"/>
        </w:numPr>
        <w:tabs>
          <w:tab w:val="num" w:pos="360"/>
        </w:tabs>
        <w:spacing w:before="120" w:after="120" w:line="240" w:lineRule="auto"/>
        <w:ind w:left="426" w:hanging="142"/>
        <w:jc w:val="both"/>
        <w:rPr>
          <w:rFonts w:ascii="Times New Roman" w:eastAsia="Times New Roman" w:hAnsi="Times New Roman" w:cs="Times New Roman"/>
          <w:bCs/>
        </w:rPr>
      </w:pPr>
      <w:r w:rsidRPr="008414AA">
        <w:rPr>
          <w:rFonts w:ascii="Times New Roman" w:eastAsia="Times New Roman" w:hAnsi="Times New Roman" w:cs="Times New Roman"/>
          <w:b/>
        </w:rPr>
        <w:t xml:space="preserve">Félévközi feladatok, ismeretek ellenőrzésének rendje: </w:t>
      </w:r>
      <w:r w:rsidRPr="008414AA">
        <w:rPr>
          <w:rFonts w:ascii="Times New Roman" w:eastAsia="Times New Roman" w:hAnsi="Times New Roman" w:cs="Times New Roman"/>
        </w:rPr>
        <w:t>A foglakozás anyagainak és a kötelező irodalomnak a feldolgozása, 2 zárthelyi dolgozat megírása és egy szóbeli beszámoló legalább 60 %-os értékeléssel történ</w:t>
      </w:r>
      <w:r w:rsidRPr="008414AA">
        <w:rPr>
          <w:rFonts w:ascii="Times New Roman" w:eastAsia="Times New Roman" w:hAnsi="Times New Roman" w:cs="Times New Roman" w:hint="eastAsia"/>
        </w:rPr>
        <w:t>ő</w:t>
      </w:r>
      <w:r w:rsidRPr="008414AA">
        <w:rPr>
          <w:rFonts w:ascii="Times New Roman" w:eastAsia="Times New Roman" w:hAnsi="Times New Roman" w:cs="Times New Roman"/>
        </w:rPr>
        <w:t xml:space="preserve"> teljesítése a tanár el</w:t>
      </w:r>
      <w:r w:rsidRPr="008414AA">
        <w:rPr>
          <w:rFonts w:ascii="Times New Roman" w:eastAsia="Times New Roman" w:hAnsi="Times New Roman" w:cs="Times New Roman" w:hint="eastAsia"/>
        </w:rPr>
        <w:t>ő</w:t>
      </w:r>
      <w:r w:rsidRPr="008414AA">
        <w:rPr>
          <w:rFonts w:ascii="Times New Roman" w:eastAsia="Times New Roman" w:hAnsi="Times New Roman" w:cs="Times New Roman"/>
        </w:rPr>
        <w:t>zetes bejelentése alapján, a foglalkozások ismereteib</w:t>
      </w:r>
      <w:r w:rsidRPr="008414AA">
        <w:rPr>
          <w:rFonts w:ascii="Times New Roman" w:eastAsia="Times New Roman" w:hAnsi="Times New Roman" w:cs="Times New Roman" w:hint="eastAsia"/>
        </w:rPr>
        <w:t>ő</w:t>
      </w:r>
      <w:r w:rsidRPr="008414AA">
        <w:rPr>
          <w:rFonts w:ascii="Times New Roman" w:eastAsia="Times New Roman" w:hAnsi="Times New Roman" w:cs="Times New Roman"/>
        </w:rPr>
        <w:t>l.</w:t>
      </w:r>
    </w:p>
    <w:p w:rsidR="008414AA" w:rsidRPr="008414AA" w:rsidRDefault="008414AA" w:rsidP="00980876">
      <w:pPr>
        <w:widowControl w:val="0"/>
        <w:numPr>
          <w:ilvl w:val="0"/>
          <w:numId w:val="519"/>
        </w:numPr>
        <w:spacing w:before="120" w:after="120" w:line="240" w:lineRule="auto"/>
        <w:ind w:left="426" w:hanging="142"/>
        <w:jc w:val="both"/>
        <w:rPr>
          <w:rFonts w:ascii="Times New Roman" w:eastAsia="Times New Roman" w:hAnsi="Times New Roman" w:cs="Times New Roman"/>
          <w:b/>
          <w:bCs/>
        </w:rPr>
      </w:pPr>
      <w:r w:rsidRPr="008414AA">
        <w:rPr>
          <w:rFonts w:ascii="Times New Roman" w:eastAsia="Times New Roman" w:hAnsi="Times New Roman" w:cs="Times New Roman"/>
          <w:b/>
          <w:bCs/>
        </w:rPr>
        <w:t xml:space="preserve">Az értékelés, az aláírás és a kreditek megszerzésének pontos feltételei: </w:t>
      </w:r>
    </w:p>
    <w:p w:rsidR="008414AA" w:rsidRPr="008414AA" w:rsidRDefault="008414AA" w:rsidP="00980876">
      <w:pPr>
        <w:widowControl w:val="0"/>
        <w:numPr>
          <w:ilvl w:val="1"/>
          <w:numId w:val="519"/>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8414AA">
        <w:rPr>
          <w:rFonts w:ascii="Times New Roman" w:eastAsia="Times New Roman" w:hAnsi="Times New Roman" w:cs="Times New Roman"/>
          <w:b/>
        </w:rPr>
        <w:t>Az aláírás megszerzésének feltételei:</w:t>
      </w:r>
    </w:p>
    <w:p w:rsidR="008414AA" w:rsidRPr="008414AA" w:rsidRDefault="008414AA" w:rsidP="008414AA">
      <w:pPr>
        <w:widowControl w:val="0"/>
        <w:tabs>
          <w:tab w:val="left" w:pos="993"/>
        </w:tabs>
        <w:spacing w:before="120" w:after="120" w:line="240" w:lineRule="auto"/>
        <w:ind w:left="426"/>
        <w:jc w:val="both"/>
        <w:rPr>
          <w:rFonts w:ascii="Times New Roman" w:eastAsia="Times New Roman" w:hAnsi="Times New Roman" w:cs="Times New Roman"/>
        </w:rPr>
      </w:pPr>
      <w:r w:rsidRPr="008414AA">
        <w:rPr>
          <w:rFonts w:ascii="Times New Roman" w:eastAsia="Times New Roman" w:hAnsi="Times New Roman" w:cs="Times New Roman"/>
        </w:rPr>
        <w:t>Az aláírás feltétele a tanórákon történő – 14. pontban meghatározott – részvétel, valamint a 15. pontban meghatározott félévközi feladatok teljesítése.</w:t>
      </w:r>
    </w:p>
    <w:p w:rsidR="008414AA" w:rsidRPr="008414AA" w:rsidRDefault="008414AA" w:rsidP="00980876">
      <w:pPr>
        <w:widowControl w:val="0"/>
        <w:numPr>
          <w:ilvl w:val="1"/>
          <w:numId w:val="519"/>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8414AA">
        <w:rPr>
          <w:rFonts w:ascii="Times New Roman" w:eastAsia="Times New Roman" w:hAnsi="Times New Roman" w:cs="Times New Roman"/>
          <w:b/>
        </w:rPr>
        <w:t>Az értékelés:</w:t>
      </w:r>
    </w:p>
    <w:p w:rsidR="008414AA" w:rsidRPr="008414AA" w:rsidRDefault="008414AA" w:rsidP="008414AA">
      <w:pPr>
        <w:widowControl w:val="0"/>
        <w:tabs>
          <w:tab w:val="left" w:pos="993"/>
        </w:tabs>
        <w:spacing w:before="120" w:after="120" w:line="240" w:lineRule="auto"/>
        <w:ind w:left="426"/>
        <w:jc w:val="both"/>
        <w:rPr>
          <w:rFonts w:ascii="Times New Roman" w:eastAsia="Times New Roman" w:hAnsi="Times New Roman" w:cs="Times New Roman"/>
        </w:rPr>
      </w:pPr>
      <w:r w:rsidRPr="008414AA">
        <w:rPr>
          <w:rFonts w:ascii="Times New Roman" w:eastAsia="Times New Roman" w:hAnsi="Times New Roman" w:cs="Times New Roman"/>
        </w:rPr>
        <w:t>Az ötfokozatú évközi jegy a zárthelyi dolgozatok és a szóbeli beszámoló jegyeinek egyszerű számtani átlaga alapján kerül kialakításra.</w:t>
      </w:r>
    </w:p>
    <w:p w:rsidR="008414AA" w:rsidRPr="008414AA" w:rsidRDefault="008414AA" w:rsidP="00980876">
      <w:pPr>
        <w:widowControl w:val="0"/>
        <w:numPr>
          <w:ilvl w:val="1"/>
          <w:numId w:val="519"/>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8414AA">
        <w:rPr>
          <w:rFonts w:ascii="Times New Roman" w:eastAsia="Times New Roman" w:hAnsi="Times New Roman" w:cs="Times New Roman"/>
          <w:b/>
        </w:rPr>
        <w:t>A kreditek megszerzésének feltételei:</w:t>
      </w:r>
      <w:r w:rsidRPr="008414AA">
        <w:rPr>
          <w:rFonts w:ascii="Times New Roman" w:eastAsia="Times New Roman" w:hAnsi="Times New Roman" w:cs="Times New Roman"/>
        </w:rPr>
        <w:t xml:space="preserve"> </w:t>
      </w:r>
    </w:p>
    <w:p w:rsidR="008414AA" w:rsidRPr="008414AA" w:rsidRDefault="008414AA" w:rsidP="008414AA">
      <w:pPr>
        <w:widowControl w:val="0"/>
        <w:tabs>
          <w:tab w:val="left" w:pos="993"/>
        </w:tabs>
        <w:spacing w:before="120" w:after="120" w:line="240" w:lineRule="auto"/>
        <w:ind w:left="426"/>
        <w:jc w:val="both"/>
        <w:rPr>
          <w:rFonts w:ascii="Times New Roman" w:eastAsia="Times New Roman" w:hAnsi="Times New Roman" w:cs="Times New Roman"/>
        </w:rPr>
      </w:pPr>
      <w:r w:rsidRPr="008414AA">
        <w:rPr>
          <w:rFonts w:ascii="Times New Roman" w:eastAsia="Times New Roman" w:hAnsi="Times New Roman" w:cs="Times New Roman"/>
        </w:rPr>
        <w:t>A kreditek megszerzésének feltétele az aláírás megszerzése és a legalább elégséges évközi jegy.</w:t>
      </w:r>
    </w:p>
    <w:p w:rsidR="008414AA" w:rsidRPr="008414AA" w:rsidRDefault="008414AA" w:rsidP="00980876">
      <w:pPr>
        <w:widowControl w:val="0"/>
        <w:numPr>
          <w:ilvl w:val="0"/>
          <w:numId w:val="519"/>
        </w:numPr>
        <w:tabs>
          <w:tab w:val="num" w:pos="360"/>
        </w:tabs>
        <w:spacing w:before="120" w:after="120" w:line="240" w:lineRule="auto"/>
        <w:ind w:left="426" w:hanging="142"/>
        <w:jc w:val="both"/>
        <w:rPr>
          <w:rFonts w:ascii="Times New Roman" w:eastAsia="Times New Roman" w:hAnsi="Times New Roman" w:cs="Times New Roman"/>
          <w:bCs/>
        </w:rPr>
      </w:pPr>
      <w:r w:rsidRPr="008414AA">
        <w:rPr>
          <w:rFonts w:ascii="Times New Roman" w:eastAsia="Times New Roman" w:hAnsi="Times New Roman" w:cs="Times New Roman"/>
          <w:b/>
          <w:bCs/>
        </w:rPr>
        <w:t>Irodalomjegyzék:</w:t>
      </w:r>
    </w:p>
    <w:p w:rsidR="008414AA" w:rsidRPr="008414AA" w:rsidRDefault="008414AA" w:rsidP="00980876">
      <w:pPr>
        <w:widowControl w:val="0"/>
        <w:numPr>
          <w:ilvl w:val="1"/>
          <w:numId w:val="519"/>
        </w:numPr>
        <w:tabs>
          <w:tab w:val="left" w:pos="567"/>
          <w:tab w:val="left" w:pos="851"/>
          <w:tab w:val="num" w:pos="2069"/>
        </w:tabs>
        <w:spacing w:before="120" w:after="120" w:line="240" w:lineRule="auto"/>
        <w:ind w:left="426" w:hanging="142"/>
        <w:jc w:val="both"/>
        <w:rPr>
          <w:rFonts w:ascii="Times New Roman" w:eastAsia="Times New Roman" w:hAnsi="Times New Roman" w:cs="Times New Roman"/>
          <w:bCs/>
        </w:rPr>
      </w:pPr>
      <w:r w:rsidRPr="008414AA">
        <w:rPr>
          <w:rFonts w:ascii="Times New Roman" w:eastAsia="Times New Roman" w:hAnsi="Times New Roman" w:cs="Times New Roman"/>
          <w:b/>
          <w:bCs/>
        </w:rPr>
        <w:t>Kötelező irodalom:</w:t>
      </w:r>
    </w:p>
    <w:p w:rsidR="008414AA" w:rsidRPr="008414AA" w:rsidRDefault="008414AA" w:rsidP="00980876">
      <w:pPr>
        <w:widowControl w:val="0"/>
        <w:numPr>
          <w:ilvl w:val="0"/>
          <w:numId w:val="520"/>
        </w:numPr>
        <w:spacing w:after="0" w:line="240" w:lineRule="auto"/>
        <w:jc w:val="both"/>
        <w:rPr>
          <w:rFonts w:ascii="Times New Roman" w:eastAsia="Times New Roman" w:hAnsi="Times New Roman" w:cs="Times New Roman"/>
        </w:rPr>
      </w:pPr>
      <w:r w:rsidRPr="008414AA">
        <w:rPr>
          <w:rFonts w:ascii="Times New Roman" w:eastAsia="Times New Roman" w:hAnsi="Times New Roman" w:cs="Times New Roman"/>
          <w:bCs/>
        </w:rPr>
        <w:t>NATO Logistics Handbook, NATO Issue, 2012.</w:t>
      </w:r>
    </w:p>
    <w:p w:rsidR="008414AA" w:rsidRPr="008414AA" w:rsidRDefault="008414AA" w:rsidP="00980876">
      <w:pPr>
        <w:widowControl w:val="0"/>
        <w:numPr>
          <w:ilvl w:val="0"/>
          <w:numId w:val="520"/>
        </w:numPr>
        <w:spacing w:after="0" w:line="240" w:lineRule="auto"/>
        <w:jc w:val="both"/>
        <w:rPr>
          <w:rFonts w:ascii="Times New Roman" w:eastAsia="Times New Roman" w:hAnsi="Times New Roman" w:cs="Times New Roman"/>
        </w:rPr>
      </w:pPr>
      <w:r w:rsidRPr="008414AA">
        <w:rPr>
          <w:rFonts w:ascii="Times New Roman" w:eastAsia="Times New Roman" w:hAnsi="Times New Roman" w:cs="Times New Roman"/>
          <w:bCs/>
        </w:rPr>
        <w:t>Allied Joint Logistic Doctrine (AJP-4), NATO/EAPC Unclassified Publication, 2003.</w:t>
      </w:r>
    </w:p>
    <w:p w:rsidR="008414AA" w:rsidRPr="008414AA" w:rsidRDefault="008414AA" w:rsidP="00980876">
      <w:pPr>
        <w:widowControl w:val="0"/>
        <w:numPr>
          <w:ilvl w:val="1"/>
          <w:numId w:val="519"/>
        </w:numPr>
        <w:tabs>
          <w:tab w:val="num" w:pos="567"/>
          <w:tab w:val="num" w:pos="2069"/>
        </w:tabs>
        <w:spacing w:before="120" w:after="120" w:line="240" w:lineRule="auto"/>
        <w:ind w:left="993" w:hanging="709"/>
        <w:jc w:val="both"/>
        <w:rPr>
          <w:rFonts w:ascii="Times New Roman" w:eastAsia="Times New Roman" w:hAnsi="Times New Roman" w:cs="Times New Roman"/>
          <w:b/>
          <w:bCs/>
        </w:rPr>
      </w:pPr>
      <w:r w:rsidRPr="008414AA">
        <w:rPr>
          <w:rFonts w:ascii="Times New Roman" w:eastAsia="Times New Roman" w:hAnsi="Times New Roman" w:cs="Times New Roman"/>
          <w:b/>
          <w:bCs/>
        </w:rPr>
        <w:t>Ajánlott irodalom:</w:t>
      </w:r>
    </w:p>
    <w:p w:rsidR="008414AA" w:rsidRPr="008414AA" w:rsidRDefault="008414AA" w:rsidP="00980876">
      <w:pPr>
        <w:widowControl w:val="0"/>
        <w:numPr>
          <w:ilvl w:val="0"/>
          <w:numId w:val="521"/>
        </w:numPr>
        <w:spacing w:after="0" w:line="240" w:lineRule="auto"/>
        <w:jc w:val="both"/>
        <w:rPr>
          <w:rFonts w:ascii="Times New Roman" w:eastAsia="Times New Roman" w:hAnsi="Times New Roman" w:cs="Times New Roman"/>
          <w:bCs/>
        </w:rPr>
      </w:pPr>
      <w:r w:rsidRPr="008414AA">
        <w:rPr>
          <w:rFonts w:ascii="Times New Roman" w:eastAsia="Times New Roman" w:hAnsi="Times New Roman" w:cs="Times New Roman"/>
          <w:bCs/>
        </w:rPr>
        <w:t>Allied Joint Doctrine for Operation Level Planning (AJP-5/JDP-5) with UK National Elements, Ministry of Defence, UK, 2013.</w:t>
      </w:r>
    </w:p>
    <w:p w:rsidR="008414AA" w:rsidRPr="008414AA" w:rsidRDefault="008414AA" w:rsidP="008414AA">
      <w:pPr>
        <w:widowControl w:val="0"/>
        <w:spacing w:before="120" w:after="120" w:line="240" w:lineRule="auto"/>
        <w:jc w:val="both"/>
        <w:rPr>
          <w:rFonts w:ascii="Times New Roman" w:eastAsia="Times New Roman" w:hAnsi="Times New Roman" w:cs="Times New Roman"/>
          <w:bCs/>
        </w:rPr>
      </w:pPr>
    </w:p>
    <w:p w:rsidR="008414AA" w:rsidRPr="008414AA" w:rsidRDefault="008414AA" w:rsidP="008414AA">
      <w:pPr>
        <w:widowControl w:val="0"/>
        <w:spacing w:before="120" w:after="120" w:line="240" w:lineRule="auto"/>
        <w:jc w:val="both"/>
        <w:rPr>
          <w:rFonts w:ascii="Times New Roman" w:eastAsia="Times New Roman" w:hAnsi="Times New Roman" w:cs="Times New Roman"/>
          <w:bCs/>
        </w:rPr>
      </w:pPr>
      <w:r w:rsidRPr="008414AA">
        <w:rPr>
          <w:rFonts w:ascii="Times New Roman" w:eastAsia="Times New Roman" w:hAnsi="Times New Roman" w:cs="Times New Roman"/>
          <w:bCs/>
        </w:rPr>
        <w:t xml:space="preserve">Budapest, 2020. </w:t>
      </w:r>
      <w:r>
        <w:rPr>
          <w:rFonts w:ascii="Times New Roman" w:eastAsia="Times New Roman" w:hAnsi="Times New Roman" w:cs="Times New Roman"/>
          <w:bCs/>
        </w:rPr>
        <w:t>március</w:t>
      </w:r>
      <w:r w:rsidRPr="008414AA">
        <w:rPr>
          <w:rFonts w:ascii="Times New Roman" w:eastAsia="Times New Roman" w:hAnsi="Times New Roman" w:cs="Times New Roman"/>
          <w:bCs/>
        </w:rPr>
        <w:t xml:space="preserve"> 30.</w:t>
      </w:r>
    </w:p>
    <w:p w:rsidR="008414AA" w:rsidRPr="008414AA" w:rsidRDefault="008414AA" w:rsidP="008414AA">
      <w:pPr>
        <w:widowControl w:val="0"/>
        <w:spacing w:before="120" w:after="120" w:line="240" w:lineRule="auto"/>
        <w:jc w:val="both"/>
        <w:rPr>
          <w:rFonts w:ascii="Times New Roman" w:eastAsia="Times New Roman" w:hAnsi="Times New Roman" w:cs="Times New Roman"/>
          <w:bCs/>
        </w:rPr>
      </w:pPr>
    </w:p>
    <w:p w:rsidR="008414AA" w:rsidRPr="008414AA" w:rsidRDefault="008414AA" w:rsidP="008414AA">
      <w:pPr>
        <w:widowControl w:val="0"/>
        <w:spacing w:after="0" w:line="240" w:lineRule="auto"/>
        <w:ind w:left="5664" w:firstLine="708"/>
        <w:jc w:val="center"/>
        <w:rPr>
          <w:rFonts w:ascii="Times New Roman" w:eastAsia="Calibri" w:hAnsi="Times New Roman" w:cs="Times New Roman"/>
          <w:b/>
          <w:bCs/>
        </w:rPr>
      </w:pPr>
      <w:r w:rsidRPr="008414AA">
        <w:rPr>
          <w:rFonts w:ascii="Times New Roman" w:eastAsia="Calibri" w:hAnsi="Times New Roman" w:cs="Times New Roman"/>
          <w:b/>
          <w:bCs/>
        </w:rPr>
        <w:t>Dr. Kiss Gabriella (PhD)</w:t>
      </w:r>
    </w:p>
    <w:p w:rsidR="008414AA" w:rsidRPr="008414AA" w:rsidRDefault="008414AA" w:rsidP="008414AA">
      <w:pPr>
        <w:widowControl w:val="0"/>
        <w:spacing w:after="0" w:line="240" w:lineRule="auto"/>
        <w:ind w:left="6372"/>
        <w:jc w:val="both"/>
        <w:rPr>
          <w:rFonts w:ascii="Times New Roman" w:eastAsia="Times New Roman" w:hAnsi="Times New Roman" w:cs="Times New Roman"/>
          <w:bCs/>
        </w:rPr>
      </w:pPr>
      <w:r w:rsidRPr="008414AA">
        <w:rPr>
          <w:rFonts w:ascii="Times New Roman" w:eastAsia="Calibri" w:hAnsi="Times New Roman" w:cs="Times New Roman"/>
          <w:bCs/>
        </w:rPr>
        <w:t xml:space="preserve">         lektorátusvezető s.k.</w:t>
      </w:r>
    </w:p>
    <w:p w:rsidR="008414AA" w:rsidRDefault="008414AA">
      <w:pPr>
        <w:spacing w:after="200" w:line="276" w:lineRule="auto"/>
        <w:rPr>
          <w:rFonts w:ascii="Times New Roman" w:hAnsi="Times New Roman" w:cs="Times New Roman"/>
        </w:rPr>
      </w:pPr>
      <w:r>
        <w:rPr>
          <w:rFonts w:ascii="Times New Roman" w:hAnsi="Times New Roman" w:cs="Times New Roman"/>
        </w:rPr>
        <w:br w:type="page"/>
      </w:r>
    </w:p>
    <w:tbl>
      <w:tblPr>
        <w:tblW w:w="9072" w:type="dxa"/>
        <w:tblInd w:w="113" w:type="dxa"/>
        <w:tblLook w:val="01E0" w:firstRow="1" w:lastRow="1" w:firstColumn="1" w:lastColumn="1" w:noHBand="0" w:noVBand="0"/>
      </w:tblPr>
      <w:tblGrid>
        <w:gridCol w:w="4855"/>
        <w:gridCol w:w="1620"/>
        <w:gridCol w:w="2597"/>
      </w:tblGrid>
      <w:tr w:rsidR="007D5B6F" w:rsidRPr="00BC6E7B" w:rsidTr="00735996">
        <w:tc>
          <w:tcPr>
            <w:tcW w:w="4855" w:type="dxa"/>
            <w:tcBorders>
              <w:bottom w:val="single" w:sz="4" w:space="0" w:color="auto"/>
            </w:tcBorders>
          </w:tcPr>
          <w:p w:rsidR="007D5B6F" w:rsidRPr="00BC6E7B" w:rsidRDefault="007D5B6F" w:rsidP="00735996">
            <w:pPr>
              <w:spacing w:after="0" w:line="240" w:lineRule="auto"/>
              <w:jc w:val="center"/>
              <w:rPr>
                <w:rFonts w:ascii="Times New Roman" w:eastAsia="Times New Roman" w:hAnsi="Times New Roman" w:cs="Times New Roman"/>
                <w:b/>
                <w:smallCaps/>
                <w:lang w:eastAsia="hu-HU"/>
              </w:rPr>
            </w:pPr>
            <w:r w:rsidRPr="00BC6E7B">
              <w:rPr>
                <w:rFonts w:ascii="Times New Roman" w:eastAsia="Times New Roman" w:hAnsi="Times New Roman" w:cs="Times New Roman"/>
                <w:b/>
                <w:smallCaps/>
                <w:lang w:eastAsia="hu-HU"/>
              </w:rPr>
              <w:lastRenderedPageBreak/>
              <w:t>Nemzeti Közszolgálati Egyetem</w:t>
            </w:r>
          </w:p>
        </w:tc>
        <w:tc>
          <w:tcPr>
            <w:tcW w:w="1620" w:type="dxa"/>
          </w:tcPr>
          <w:p w:rsidR="007D5B6F" w:rsidRPr="00BC6E7B" w:rsidRDefault="007D5B6F" w:rsidP="00735996">
            <w:pPr>
              <w:spacing w:after="0" w:line="240" w:lineRule="auto"/>
              <w:jc w:val="both"/>
              <w:rPr>
                <w:rFonts w:ascii="Times New Roman" w:eastAsia="Times New Roman" w:hAnsi="Times New Roman" w:cs="Times New Roman"/>
                <w:lang w:eastAsia="hu-HU"/>
              </w:rPr>
            </w:pPr>
          </w:p>
        </w:tc>
        <w:tc>
          <w:tcPr>
            <w:tcW w:w="2597" w:type="dxa"/>
          </w:tcPr>
          <w:p w:rsidR="007D5B6F" w:rsidRPr="00BC6E7B" w:rsidRDefault="007D5B6F" w:rsidP="00735996">
            <w:pPr>
              <w:spacing w:after="0" w:line="240" w:lineRule="auto"/>
              <w:jc w:val="right"/>
              <w:rPr>
                <w:rFonts w:ascii="Times New Roman" w:eastAsia="Times New Roman" w:hAnsi="Times New Roman" w:cs="Times New Roman"/>
                <w:lang w:eastAsia="hu-HU"/>
              </w:rPr>
            </w:pPr>
          </w:p>
        </w:tc>
      </w:tr>
      <w:tr w:rsidR="007D5B6F" w:rsidTr="00735996">
        <w:tc>
          <w:tcPr>
            <w:tcW w:w="4855" w:type="dxa"/>
            <w:tcBorders>
              <w:top w:val="single" w:sz="4" w:space="0" w:color="auto"/>
              <w:left w:val="nil"/>
              <w:bottom w:val="nil"/>
              <w:right w:val="nil"/>
            </w:tcBorders>
            <w:hideMark/>
          </w:tcPr>
          <w:p w:rsidR="007D5B6F" w:rsidRPr="00F644B4" w:rsidRDefault="007D5B6F" w:rsidP="00735996">
            <w:pPr>
              <w:pStyle w:val="Szvegtrzs"/>
              <w:jc w:val="center"/>
              <w:rPr>
                <w:b/>
              </w:rPr>
            </w:pPr>
            <w:r>
              <w:rPr>
                <w:b/>
              </w:rPr>
              <w:t>Hadtudományi és Honvédtisztképző</w:t>
            </w:r>
            <w:r w:rsidRPr="00F644B4">
              <w:rPr>
                <w:b/>
              </w:rPr>
              <w:t xml:space="preserve"> Kar</w:t>
            </w:r>
          </w:p>
        </w:tc>
        <w:tc>
          <w:tcPr>
            <w:tcW w:w="1620" w:type="dxa"/>
          </w:tcPr>
          <w:p w:rsidR="007D5B6F" w:rsidRDefault="007D5B6F" w:rsidP="00735996">
            <w:pPr>
              <w:pStyle w:val="Szvegtrzs"/>
            </w:pPr>
          </w:p>
        </w:tc>
        <w:tc>
          <w:tcPr>
            <w:tcW w:w="2597" w:type="dxa"/>
          </w:tcPr>
          <w:p w:rsidR="007D5B6F" w:rsidRDefault="007D5B6F" w:rsidP="00735996">
            <w:pPr>
              <w:pStyle w:val="Szvegtrzs"/>
            </w:pPr>
          </w:p>
        </w:tc>
      </w:tr>
    </w:tbl>
    <w:p w:rsidR="007D5B6F" w:rsidRDefault="007D5B6F" w:rsidP="007D5B6F">
      <w:pPr>
        <w:widowControl w:val="0"/>
        <w:spacing w:before="120" w:after="120" w:line="240" w:lineRule="auto"/>
        <w:ind w:left="426" w:hanging="142"/>
        <w:jc w:val="center"/>
        <w:rPr>
          <w:rFonts w:ascii="Times New Roman" w:eastAsia="Times New Roman" w:hAnsi="Times New Roman" w:cs="Times New Roman"/>
          <w:b/>
          <w:bCs/>
        </w:rPr>
      </w:pPr>
    </w:p>
    <w:p w:rsidR="007D5B6F" w:rsidRPr="00BC6E7B" w:rsidRDefault="007D5B6F" w:rsidP="007D5B6F">
      <w:pPr>
        <w:widowControl w:val="0"/>
        <w:spacing w:before="120" w:after="120" w:line="240" w:lineRule="auto"/>
        <w:ind w:left="426" w:hanging="142"/>
        <w:jc w:val="center"/>
        <w:rPr>
          <w:rFonts w:ascii="Times New Roman" w:eastAsia="Times New Roman" w:hAnsi="Times New Roman" w:cs="Times New Roman"/>
          <w:b/>
          <w:bCs/>
        </w:rPr>
      </w:pPr>
      <w:r w:rsidRPr="00BC6E7B">
        <w:rPr>
          <w:rFonts w:ascii="Times New Roman" w:eastAsia="Times New Roman" w:hAnsi="Times New Roman" w:cs="Times New Roman"/>
          <w:b/>
          <w:bCs/>
        </w:rPr>
        <w:t>TANTÁRGYI PROGRAM</w:t>
      </w:r>
    </w:p>
    <w:p w:rsidR="007D5B6F" w:rsidRPr="00BC6E7B" w:rsidRDefault="007D5B6F" w:rsidP="00980876">
      <w:pPr>
        <w:widowControl w:val="0"/>
        <w:numPr>
          <w:ilvl w:val="0"/>
          <w:numId w:val="524"/>
        </w:numPr>
        <w:tabs>
          <w:tab w:val="clear" w:pos="720"/>
          <w:tab w:val="num" w:pos="643"/>
        </w:tabs>
        <w:spacing w:before="120" w:after="120" w:line="240" w:lineRule="auto"/>
        <w:ind w:left="426" w:hanging="142"/>
        <w:jc w:val="both"/>
        <w:rPr>
          <w:rFonts w:ascii="Times New Roman" w:eastAsia="Times New Roman" w:hAnsi="Times New Roman" w:cs="Times New Roman"/>
          <w:bCs/>
        </w:rPr>
      </w:pPr>
      <w:r w:rsidRPr="00BC6E7B">
        <w:rPr>
          <w:rFonts w:ascii="Times New Roman" w:eastAsia="Times New Roman" w:hAnsi="Times New Roman" w:cs="Times New Roman"/>
          <w:b/>
          <w:bCs/>
        </w:rPr>
        <w:t>A tantárgy kódja:</w:t>
      </w:r>
      <w:r>
        <w:rPr>
          <w:rFonts w:ascii="Times New Roman" w:eastAsia="Times New Roman" w:hAnsi="Times New Roman" w:cs="Times New Roman"/>
          <w:b/>
          <w:bCs/>
        </w:rPr>
        <w:t xml:space="preserve"> </w:t>
      </w:r>
      <w:r w:rsidRPr="00CE706A">
        <w:rPr>
          <w:rFonts w:ascii="Times New Roman" w:eastAsia="Times New Roman" w:hAnsi="Times New Roman" w:cs="Times New Roman"/>
          <w:bCs/>
        </w:rPr>
        <w:t>HKHPKA523</w:t>
      </w:r>
    </w:p>
    <w:p w:rsidR="007D5B6F" w:rsidRPr="00A6100B" w:rsidRDefault="007D5B6F" w:rsidP="00980876">
      <w:pPr>
        <w:widowControl w:val="0"/>
        <w:numPr>
          <w:ilvl w:val="0"/>
          <w:numId w:val="524"/>
        </w:numPr>
        <w:tabs>
          <w:tab w:val="clear" w:pos="720"/>
          <w:tab w:val="num" w:pos="643"/>
        </w:tabs>
        <w:spacing w:before="120" w:after="120" w:line="240" w:lineRule="auto"/>
        <w:ind w:left="426" w:hanging="142"/>
        <w:jc w:val="both"/>
        <w:rPr>
          <w:rFonts w:ascii="Times New Roman" w:eastAsia="Times New Roman" w:hAnsi="Times New Roman" w:cs="Times New Roman"/>
          <w:b/>
          <w:bCs/>
          <w:lang w:val="en-GB"/>
        </w:rPr>
      </w:pPr>
      <w:r w:rsidRPr="00A6100B">
        <w:rPr>
          <w:rFonts w:ascii="Times New Roman" w:eastAsia="Times New Roman" w:hAnsi="Times New Roman" w:cs="Times New Roman"/>
          <w:b/>
          <w:bCs/>
        </w:rPr>
        <w:t>A tantárgy megnevezése (magyarul):</w:t>
      </w:r>
      <w:r w:rsidRPr="00A6100B">
        <w:rPr>
          <w:bCs/>
        </w:rPr>
        <w:t xml:space="preserve"> </w:t>
      </w:r>
      <w:r w:rsidRPr="007F3EDE">
        <w:rPr>
          <w:rFonts w:ascii="Times New Roman" w:eastAsia="Times New Roman" w:hAnsi="Times New Roman" w:cs="Times New Roman"/>
          <w:bCs/>
        </w:rPr>
        <w:t>Gazdasági- és pénzügyi jog alapjai</w:t>
      </w:r>
    </w:p>
    <w:p w:rsidR="007D5B6F" w:rsidRPr="00A6100B" w:rsidRDefault="007D5B6F" w:rsidP="00980876">
      <w:pPr>
        <w:widowControl w:val="0"/>
        <w:numPr>
          <w:ilvl w:val="0"/>
          <w:numId w:val="524"/>
        </w:numPr>
        <w:tabs>
          <w:tab w:val="clear" w:pos="720"/>
          <w:tab w:val="num" w:pos="643"/>
        </w:tabs>
        <w:spacing w:before="120" w:after="120" w:line="240" w:lineRule="auto"/>
        <w:ind w:left="426" w:hanging="142"/>
        <w:jc w:val="both"/>
        <w:rPr>
          <w:rFonts w:ascii="Times New Roman" w:eastAsia="Times New Roman" w:hAnsi="Times New Roman" w:cs="Times New Roman"/>
          <w:b/>
          <w:bCs/>
          <w:lang w:val="en-GB"/>
        </w:rPr>
      </w:pPr>
      <w:r w:rsidRPr="00A6100B">
        <w:rPr>
          <w:rFonts w:ascii="Times New Roman" w:eastAsia="Times New Roman" w:hAnsi="Times New Roman" w:cs="Times New Roman"/>
          <w:b/>
          <w:bCs/>
        </w:rPr>
        <w:t>A tantárgy megnevezése (angolul):</w:t>
      </w:r>
      <w:r w:rsidRPr="00A6100B">
        <w:rPr>
          <w:bCs/>
        </w:rPr>
        <w:t xml:space="preserve"> </w:t>
      </w:r>
      <w:r w:rsidRPr="007F3EDE">
        <w:rPr>
          <w:rFonts w:ascii="Times New Roman" w:eastAsia="Times New Roman" w:hAnsi="Times New Roman" w:cs="Times New Roman"/>
          <w:bCs/>
        </w:rPr>
        <w:t>Basics of economic and financial law</w:t>
      </w:r>
    </w:p>
    <w:p w:rsidR="007D5B6F" w:rsidRDefault="007D5B6F" w:rsidP="00980876">
      <w:pPr>
        <w:widowControl w:val="0"/>
        <w:numPr>
          <w:ilvl w:val="0"/>
          <w:numId w:val="524"/>
        </w:numPr>
        <w:tabs>
          <w:tab w:val="clear" w:pos="720"/>
          <w:tab w:val="num" w:pos="567"/>
          <w:tab w:val="num" w:pos="643"/>
        </w:tabs>
        <w:spacing w:before="120" w:after="120" w:line="240" w:lineRule="auto"/>
        <w:ind w:left="426" w:hanging="142"/>
        <w:jc w:val="both"/>
        <w:rPr>
          <w:rFonts w:ascii="Times New Roman" w:eastAsia="Times New Roman" w:hAnsi="Times New Roman" w:cs="Times New Roman"/>
          <w:b/>
          <w:bCs/>
        </w:rPr>
      </w:pPr>
      <w:r w:rsidRPr="00BC6E7B">
        <w:rPr>
          <w:rFonts w:ascii="Times New Roman" w:eastAsia="Times New Roman" w:hAnsi="Times New Roman" w:cs="Times New Roman"/>
          <w:b/>
          <w:bCs/>
        </w:rPr>
        <w:t>Kreditérték</w:t>
      </w:r>
      <w:r>
        <w:rPr>
          <w:rFonts w:ascii="Times New Roman" w:eastAsia="Times New Roman" w:hAnsi="Times New Roman" w:cs="Times New Roman"/>
          <w:b/>
          <w:bCs/>
        </w:rPr>
        <w:t xml:space="preserve"> és képzési karakter</w:t>
      </w:r>
      <w:r w:rsidRPr="00BC6E7B">
        <w:rPr>
          <w:rFonts w:ascii="Times New Roman" w:eastAsia="Times New Roman" w:hAnsi="Times New Roman" w:cs="Times New Roman"/>
          <w:b/>
          <w:bCs/>
        </w:rPr>
        <w:t xml:space="preserve">: </w:t>
      </w:r>
    </w:p>
    <w:p w:rsidR="007D5B6F" w:rsidRPr="00740A68" w:rsidRDefault="007D5B6F" w:rsidP="00980876">
      <w:pPr>
        <w:pStyle w:val="Listaszerbekezds"/>
        <w:widowControl w:val="0"/>
        <w:numPr>
          <w:ilvl w:val="1"/>
          <w:numId w:val="524"/>
        </w:numPr>
        <w:tabs>
          <w:tab w:val="clear" w:pos="3977"/>
          <w:tab w:val="num" w:pos="999"/>
        </w:tabs>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2</w:t>
      </w:r>
      <w:r w:rsidRPr="00740A68">
        <w:rPr>
          <w:rFonts w:ascii="Times New Roman" w:eastAsia="Times New Roman" w:hAnsi="Times New Roman" w:cs="Times New Roman"/>
          <w:bCs/>
        </w:rPr>
        <w:t xml:space="preserve"> kredit</w:t>
      </w:r>
    </w:p>
    <w:p w:rsidR="007D5B6F" w:rsidRPr="00740A68" w:rsidRDefault="007D5B6F" w:rsidP="00980876">
      <w:pPr>
        <w:pStyle w:val="Listaszerbekezds"/>
        <w:widowControl w:val="0"/>
        <w:numPr>
          <w:ilvl w:val="1"/>
          <w:numId w:val="524"/>
        </w:numPr>
        <w:tabs>
          <w:tab w:val="clear" w:pos="3977"/>
          <w:tab w:val="num" w:pos="999"/>
        </w:tabs>
        <w:spacing w:before="120" w:after="120" w:line="240" w:lineRule="auto"/>
        <w:ind w:left="993" w:hanging="426"/>
        <w:jc w:val="both"/>
        <w:rPr>
          <w:rFonts w:ascii="Times New Roman" w:eastAsia="Times New Roman" w:hAnsi="Times New Roman" w:cs="Times New Roman"/>
          <w:b/>
          <w:bCs/>
        </w:rPr>
      </w:pPr>
      <w:r w:rsidRPr="00F37D21">
        <w:rPr>
          <w:rFonts w:ascii="Times New Roman" w:eastAsia="Times New Roman" w:hAnsi="Times New Roman" w:cs="Times New Roman"/>
          <w:bCs/>
        </w:rPr>
        <w:t>a tantárgy elméleti vagy gyakorlati jellegének mértéke</w:t>
      </w:r>
      <w:r w:rsidRPr="00740A68">
        <w:rPr>
          <w:rFonts w:ascii="Times New Roman" w:eastAsia="Times New Roman" w:hAnsi="Times New Roman" w:cs="Times New Roman"/>
          <w:bCs/>
        </w:rPr>
        <w:t xml:space="preserve">: </w:t>
      </w:r>
      <w:r>
        <w:rPr>
          <w:rFonts w:ascii="Times New Roman" w:eastAsia="Times New Roman" w:hAnsi="Times New Roman" w:cs="Times New Roman"/>
          <w:bCs/>
        </w:rPr>
        <w:t>50</w:t>
      </w:r>
      <w:r w:rsidRPr="00740A68">
        <w:rPr>
          <w:rFonts w:ascii="Times New Roman" w:eastAsia="Times New Roman" w:hAnsi="Times New Roman" w:cs="Times New Roman"/>
          <w:b/>
          <w:bCs/>
        </w:rPr>
        <w:t xml:space="preserve"> </w:t>
      </w:r>
      <w:r>
        <w:rPr>
          <w:rFonts w:ascii="Times New Roman" w:eastAsia="Times New Roman" w:hAnsi="Times New Roman" w:cs="Times New Roman"/>
          <w:bCs/>
        </w:rPr>
        <w:t>% gyakorlat, 50 % elmélet</w:t>
      </w:r>
    </w:p>
    <w:p w:rsidR="007D5B6F" w:rsidRPr="00BC6E7B" w:rsidRDefault="007D5B6F" w:rsidP="00980876">
      <w:pPr>
        <w:widowControl w:val="0"/>
        <w:numPr>
          <w:ilvl w:val="0"/>
          <w:numId w:val="524"/>
        </w:numPr>
        <w:tabs>
          <w:tab w:val="clear" w:pos="720"/>
          <w:tab w:val="num" w:pos="643"/>
        </w:tabs>
        <w:spacing w:before="120" w:after="120" w:line="240" w:lineRule="auto"/>
        <w:ind w:left="426" w:hanging="142"/>
        <w:jc w:val="both"/>
        <w:rPr>
          <w:rFonts w:ascii="Times New Roman" w:eastAsia="Times New Roman" w:hAnsi="Times New Roman" w:cs="Times New Roman"/>
          <w:bCs/>
        </w:rPr>
      </w:pPr>
      <w:r w:rsidRPr="00BC6E7B">
        <w:rPr>
          <w:rFonts w:ascii="Times New Roman" w:eastAsia="Times New Roman" w:hAnsi="Times New Roman" w:cs="Times New Roman"/>
          <w:b/>
          <w:bCs/>
        </w:rPr>
        <w:t xml:space="preserve">A szak(ok), </w:t>
      </w:r>
      <w:r w:rsidRPr="00CE706A">
        <w:rPr>
          <w:rFonts w:ascii="Times New Roman" w:eastAsia="Times New Roman" w:hAnsi="Times New Roman" w:cs="Times New Roman"/>
          <w:b/>
          <w:bCs/>
        </w:rPr>
        <w:t>szakirányok/specializációk</w:t>
      </w:r>
      <w:r w:rsidRPr="00BC6E7B">
        <w:rPr>
          <w:rFonts w:ascii="Times New Roman" w:eastAsia="Times New Roman" w:hAnsi="Times New Roman" w:cs="Times New Roman"/>
          <w:b/>
          <w:bCs/>
        </w:rPr>
        <w:t xml:space="preserve"> megnevezése (ahol oktatják):</w:t>
      </w:r>
      <w:r w:rsidRPr="00BC6E7B">
        <w:rPr>
          <w:rFonts w:ascii="Times New Roman" w:eastAsia="Times New Roman" w:hAnsi="Times New Roman" w:cs="Times New Roman"/>
          <w:bCs/>
        </w:rPr>
        <w:t xml:space="preserve"> </w:t>
      </w:r>
      <w:r w:rsidRPr="00B50509">
        <w:rPr>
          <w:rFonts w:ascii="Times New Roman" w:eastAsia="Times New Roman" w:hAnsi="Times New Roman" w:cs="Times New Roman"/>
          <w:bCs/>
        </w:rPr>
        <w:t>Katonai logisztika alapképzési szak, Hadtáp specializáció</w:t>
      </w:r>
      <w:r>
        <w:rPr>
          <w:rFonts w:ascii="Times New Roman" w:eastAsia="Times New Roman" w:hAnsi="Times New Roman" w:cs="Times New Roman"/>
          <w:bCs/>
        </w:rPr>
        <w:t>, Katonai pénzügyi specializáció</w:t>
      </w:r>
    </w:p>
    <w:p w:rsidR="007D5B6F" w:rsidRDefault="007D5B6F" w:rsidP="00980876">
      <w:pPr>
        <w:widowControl w:val="0"/>
        <w:numPr>
          <w:ilvl w:val="0"/>
          <w:numId w:val="524"/>
        </w:numPr>
        <w:tabs>
          <w:tab w:val="clear" w:pos="720"/>
          <w:tab w:val="num" w:pos="567"/>
          <w:tab w:val="num" w:pos="643"/>
        </w:tabs>
        <w:spacing w:before="120" w:after="120" w:line="240" w:lineRule="auto"/>
        <w:ind w:left="426" w:hanging="142"/>
        <w:jc w:val="both"/>
        <w:rPr>
          <w:rFonts w:ascii="Times New Roman" w:eastAsia="Times New Roman" w:hAnsi="Times New Roman" w:cs="Times New Roman"/>
          <w:bCs/>
        </w:rPr>
      </w:pPr>
      <w:r w:rsidRPr="00BC6E7B">
        <w:rPr>
          <w:rFonts w:ascii="Times New Roman" w:eastAsia="Times New Roman" w:hAnsi="Times New Roman" w:cs="Times New Roman"/>
          <w:b/>
          <w:bCs/>
        </w:rPr>
        <w:t>Az oktatásért felelős oktatási</w:t>
      </w:r>
      <w:r>
        <w:rPr>
          <w:rFonts w:ascii="Times New Roman" w:eastAsia="Times New Roman" w:hAnsi="Times New Roman" w:cs="Times New Roman"/>
          <w:b/>
          <w:bCs/>
        </w:rPr>
        <w:t xml:space="preserve"> szervezeti egység megnevezése:</w:t>
      </w:r>
      <w:r w:rsidRPr="0078259C">
        <w:rPr>
          <w:bCs/>
        </w:rPr>
        <w:t xml:space="preserve"> </w:t>
      </w:r>
      <w:r w:rsidRPr="00A6100B">
        <w:rPr>
          <w:rFonts w:ascii="Times New Roman" w:eastAsia="Times New Roman" w:hAnsi="Times New Roman" w:cs="Times New Roman"/>
          <w:bCs/>
        </w:rPr>
        <w:t>NKE Hadtudományi és Honvédtisztképző Kar, Hadtáp</w:t>
      </w:r>
      <w:r>
        <w:rPr>
          <w:rFonts w:ascii="Times New Roman" w:eastAsia="Times New Roman" w:hAnsi="Times New Roman" w:cs="Times New Roman"/>
          <w:bCs/>
        </w:rPr>
        <w:t>, Pénzügyi</w:t>
      </w:r>
      <w:r w:rsidRPr="00A6100B">
        <w:rPr>
          <w:rFonts w:ascii="Times New Roman" w:eastAsia="Times New Roman" w:hAnsi="Times New Roman" w:cs="Times New Roman"/>
          <w:bCs/>
        </w:rPr>
        <w:t xml:space="preserve"> és Katonai Közlekedési Tanszék </w:t>
      </w:r>
    </w:p>
    <w:p w:rsidR="007D5B6F" w:rsidRPr="00CE706A" w:rsidRDefault="007D5B6F" w:rsidP="00980876">
      <w:pPr>
        <w:widowControl w:val="0"/>
        <w:numPr>
          <w:ilvl w:val="0"/>
          <w:numId w:val="524"/>
        </w:numPr>
        <w:tabs>
          <w:tab w:val="clear" w:pos="720"/>
          <w:tab w:val="num" w:pos="567"/>
          <w:tab w:val="num" w:pos="643"/>
        </w:tabs>
        <w:spacing w:before="120" w:after="120" w:line="240" w:lineRule="auto"/>
        <w:ind w:left="426" w:hanging="142"/>
        <w:jc w:val="both"/>
        <w:rPr>
          <w:rFonts w:ascii="Times New Roman" w:eastAsia="Times New Roman" w:hAnsi="Times New Roman" w:cs="Times New Roman"/>
          <w:bCs/>
        </w:rPr>
      </w:pPr>
      <w:r w:rsidRPr="00CE706A">
        <w:rPr>
          <w:rFonts w:ascii="Times New Roman" w:eastAsia="Times New Roman" w:hAnsi="Times New Roman" w:cs="Times New Roman"/>
          <w:b/>
          <w:bCs/>
        </w:rPr>
        <w:t>A tantárgyfelelős oktató neve, beosztása, tudományos fokozata:</w:t>
      </w:r>
      <w:r w:rsidRPr="00CE706A">
        <w:rPr>
          <w:rFonts w:ascii="Times New Roman" w:eastAsia="Times New Roman" w:hAnsi="Times New Roman" w:cs="Times New Roman"/>
          <w:bCs/>
        </w:rPr>
        <w:t xml:space="preserve"> dr. </w:t>
      </w:r>
      <w:r>
        <w:rPr>
          <w:rFonts w:ascii="Times New Roman" w:eastAsia="Times New Roman" w:hAnsi="Times New Roman" w:cs="Times New Roman"/>
          <w:bCs/>
        </w:rPr>
        <w:t>Kenessei Zsolt</w:t>
      </w:r>
      <w:r w:rsidRPr="00CE706A">
        <w:rPr>
          <w:rFonts w:ascii="Times New Roman" w:eastAsia="Times New Roman" w:hAnsi="Times New Roman" w:cs="Times New Roman"/>
          <w:bCs/>
        </w:rPr>
        <w:t xml:space="preserve">, </w:t>
      </w:r>
      <w:r>
        <w:rPr>
          <w:rFonts w:ascii="Times New Roman" w:eastAsia="Times New Roman" w:hAnsi="Times New Roman" w:cs="Times New Roman"/>
          <w:bCs/>
        </w:rPr>
        <w:t>gyakorlati oktató</w:t>
      </w:r>
    </w:p>
    <w:p w:rsidR="007D5B6F" w:rsidRPr="00BC6E7B" w:rsidRDefault="007D5B6F" w:rsidP="00980876">
      <w:pPr>
        <w:widowControl w:val="0"/>
        <w:numPr>
          <w:ilvl w:val="0"/>
          <w:numId w:val="524"/>
        </w:numPr>
        <w:tabs>
          <w:tab w:val="clear" w:pos="720"/>
          <w:tab w:val="num" w:pos="643"/>
        </w:tabs>
        <w:spacing w:before="120" w:after="120" w:line="240" w:lineRule="auto"/>
        <w:ind w:left="426" w:hanging="142"/>
        <w:jc w:val="both"/>
        <w:rPr>
          <w:rFonts w:ascii="Times New Roman" w:eastAsia="Times New Roman" w:hAnsi="Times New Roman" w:cs="Times New Roman"/>
          <w:bCs/>
        </w:rPr>
      </w:pPr>
      <w:r w:rsidRPr="00BC6E7B">
        <w:rPr>
          <w:rFonts w:ascii="Times New Roman" w:eastAsia="Times New Roman" w:hAnsi="Times New Roman" w:cs="Times New Roman"/>
          <w:b/>
          <w:bCs/>
        </w:rPr>
        <w:t>A tanórák száma és típusa</w:t>
      </w:r>
    </w:p>
    <w:p w:rsidR="007D5B6F" w:rsidRDefault="007D5B6F" w:rsidP="00980876">
      <w:pPr>
        <w:widowControl w:val="0"/>
        <w:numPr>
          <w:ilvl w:val="1"/>
          <w:numId w:val="524"/>
        </w:numPr>
        <w:tabs>
          <w:tab w:val="clear" w:pos="3977"/>
          <w:tab w:val="num" w:pos="709"/>
          <w:tab w:val="num" w:pos="999"/>
          <w:tab w:val="num" w:pos="2069"/>
        </w:tabs>
        <w:spacing w:before="120" w:after="120" w:line="240" w:lineRule="auto"/>
        <w:ind w:left="851" w:hanging="425"/>
        <w:jc w:val="both"/>
        <w:rPr>
          <w:rFonts w:ascii="Times New Roman" w:eastAsia="Times New Roman" w:hAnsi="Times New Roman" w:cs="Times New Roman"/>
          <w:bCs/>
        </w:rPr>
      </w:pPr>
      <w:r w:rsidRPr="00BC6E7B">
        <w:rPr>
          <w:rFonts w:ascii="Times New Roman" w:eastAsia="Times New Roman" w:hAnsi="Times New Roman" w:cs="Times New Roman"/>
          <w:bCs/>
        </w:rPr>
        <w:t>össz óraszám/félév:</w:t>
      </w:r>
    </w:p>
    <w:p w:rsidR="007D5B6F" w:rsidRDefault="007D5B6F" w:rsidP="00980876">
      <w:pPr>
        <w:pStyle w:val="Listaszerbekezds"/>
        <w:widowControl w:val="0"/>
        <w:numPr>
          <w:ilvl w:val="2"/>
          <w:numId w:val="522"/>
        </w:numPr>
        <w:spacing w:before="120" w:after="120" w:line="240" w:lineRule="auto"/>
        <w:ind w:left="1276" w:hanging="718"/>
        <w:jc w:val="both"/>
        <w:rPr>
          <w:rFonts w:ascii="Times New Roman" w:eastAsia="Times New Roman" w:hAnsi="Times New Roman" w:cs="Times New Roman"/>
          <w:bCs/>
        </w:rPr>
      </w:pPr>
      <w:r w:rsidRPr="003C31F8">
        <w:rPr>
          <w:rFonts w:ascii="Times New Roman" w:eastAsia="Times New Roman" w:hAnsi="Times New Roman" w:cs="Times New Roman"/>
          <w:bCs/>
        </w:rPr>
        <w:t>nappali munkarend: 2</w:t>
      </w:r>
      <w:r w:rsidR="00946329">
        <w:rPr>
          <w:rFonts w:ascii="Times New Roman" w:eastAsia="Times New Roman" w:hAnsi="Times New Roman" w:cs="Times New Roman"/>
          <w:bCs/>
        </w:rPr>
        <w:t>8</w:t>
      </w:r>
      <w:r w:rsidRPr="003C31F8">
        <w:rPr>
          <w:rFonts w:ascii="Times New Roman" w:eastAsia="Times New Roman" w:hAnsi="Times New Roman" w:cs="Times New Roman"/>
          <w:bCs/>
        </w:rPr>
        <w:t xml:space="preserve"> (1</w:t>
      </w:r>
      <w:r w:rsidR="00946329">
        <w:rPr>
          <w:rFonts w:ascii="Times New Roman" w:eastAsia="Times New Roman" w:hAnsi="Times New Roman" w:cs="Times New Roman"/>
          <w:bCs/>
        </w:rPr>
        <w:t>4</w:t>
      </w:r>
      <w:r w:rsidRPr="003C31F8">
        <w:rPr>
          <w:rFonts w:ascii="Times New Roman" w:eastAsia="Times New Roman" w:hAnsi="Times New Roman" w:cs="Times New Roman"/>
          <w:bCs/>
        </w:rPr>
        <w:t xml:space="preserve"> EA + 0 SZ + 1</w:t>
      </w:r>
      <w:r w:rsidR="00946329">
        <w:rPr>
          <w:rFonts w:ascii="Times New Roman" w:eastAsia="Times New Roman" w:hAnsi="Times New Roman" w:cs="Times New Roman"/>
          <w:bCs/>
        </w:rPr>
        <w:t>4</w:t>
      </w:r>
      <w:r w:rsidRPr="003C31F8">
        <w:rPr>
          <w:rFonts w:ascii="Times New Roman" w:eastAsia="Times New Roman" w:hAnsi="Times New Roman" w:cs="Times New Roman"/>
          <w:bCs/>
        </w:rPr>
        <w:t xml:space="preserve"> GY)</w:t>
      </w:r>
    </w:p>
    <w:p w:rsidR="007D5B6F" w:rsidRPr="003C31F8" w:rsidRDefault="007D5B6F" w:rsidP="00980876">
      <w:pPr>
        <w:pStyle w:val="Listaszerbekezds"/>
        <w:widowControl w:val="0"/>
        <w:numPr>
          <w:ilvl w:val="2"/>
          <w:numId w:val="522"/>
        </w:numPr>
        <w:spacing w:before="120" w:after="120" w:line="240" w:lineRule="auto"/>
        <w:ind w:left="1276" w:hanging="718"/>
        <w:jc w:val="both"/>
        <w:rPr>
          <w:rFonts w:ascii="Times New Roman" w:eastAsia="Times New Roman" w:hAnsi="Times New Roman" w:cs="Times New Roman"/>
          <w:bCs/>
        </w:rPr>
      </w:pPr>
      <w:r w:rsidRPr="003C31F8">
        <w:rPr>
          <w:rFonts w:ascii="Times New Roman" w:eastAsia="Times New Roman" w:hAnsi="Times New Roman" w:cs="Times New Roman"/>
          <w:bCs/>
        </w:rPr>
        <w:t>levelező munkarend: - (- EA + - SZ + - GY)</w:t>
      </w:r>
    </w:p>
    <w:p w:rsidR="007D5B6F" w:rsidRDefault="007D5B6F" w:rsidP="00980876">
      <w:pPr>
        <w:widowControl w:val="0"/>
        <w:numPr>
          <w:ilvl w:val="1"/>
          <w:numId w:val="524"/>
        </w:numPr>
        <w:tabs>
          <w:tab w:val="clear" w:pos="3977"/>
          <w:tab w:val="num" w:pos="709"/>
          <w:tab w:val="num" w:pos="999"/>
          <w:tab w:val="num" w:pos="2069"/>
        </w:tabs>
        <w:spacing w:before="120" w:after="120" w:line="240" w:lineRule="auto"/>
        <w:ind w:left="851" w:hanging="425"/>
        <w:jc w:val="both"/>
        <w:rPr>
          <w:rFonts w:ascii="Times New Roman" w:eastAsia="Times New Roman" w:hAnsi="Times New Roman" w:cs="Times New Roman"/>
          <w:bCs/>
        </w:rPr>
      </w:pPr>
      <w:r w:rsidRPr="00BC6E7B">
        <w:rPr>
          <w:rFonts w:ascii="Times New Roman" w:eastAsia="Times New Roman" w:hAnsi="Times New Roman" w:cs="Times New Roman"/>
          <w:bCs/>
        </w:rPr>
        <w:t xml:space="preserve">heti óraszám - nappali munkarend: </w:t>
      </w:r>
      <w:r>
        <w:rPr>
          <w:rFonts w:ascii="Times New Roman" w:eastAsia="Times New Roman" w:hAnsi="Times New Roman" w:cs="Times New Roman"/>
          <w:bCs/>
        </w:rPr>
        <w:t>2</w:t>
      </w:r>
    </w:p>
    <w:p w:rsidR="007D5B6F" w:rsidRDefault="007D5B6F" w:rsidP="00980876">
      <w:pPr>
        <w:widowControl w:val="0"/>
        <w:numPr>
          <w:ilvl w:val="1"/>
          <w:numId w:val="524"/>
        </w:numPr>
        <w:tabs>
          <w:tab w:val="clear" w:pos="3977"/>
          <w:tab w:val="num" w:pos="709"/>
          <w:tab w:val="num" w:pos="999"/>
          <w:tab w:val="num" w:pos="2069"/>
        </w:tabs>
        <w:spacing w:before="120" w:after="120" w:line="240" w:lineRule="auto"/>
        <w:ind w:left="851" w:hanging="425"/>
        <w:jc w:val="both"/>
        <w:rPr>
          <w:rFonts w:ascii="Times New Roman" w:eastAsia="Times New Roman" w:hAnsi="Times New Roman" w:cs="Times New Roman"/>
          <w:bCs/>
        </w:rPr>
      </w:pPr>
      <w:r w:rsidRPr="00A16045">
        <w:rPr>
          <w:rFonts w:ascii="Times New Roman" w:hAnsi="Times New Roman" w:cs="Times New Roman"/>
        </w:rPr>
        <w:t>Az ismeret átadásában alkalmazandó további sajátos módok, jellemzők</w:t>
      </w:r>
      <w:r>
        <w:rPr>
          <w:rFonts w:ascii="Times New Roman" w:hAnsi="Times New Roman" w:cs="Times New Roman"/>
        </w:rPr>
        <w:t xml:space="preserve">: - </w:t>
      </w:r>
    </w:p>
    <w:p w:rsidR="007D5B6F" w:rsidRPr="00BC6E7B" w:rsidRDefault="007D5B6F" w:rsidP="00980876">
      <w:pPr>
        <w:widowControl w:val="0"/>
        <w:numPr>
          <w:ilvl w:val="0"/>
          <w:numId w:val="524"/>
        </w:numPr>
        <w:tabs>
          <w:tab w:val="clear" w:pos="720"/>
          <w:tab w:val="num" w:pos="643"/>
        </w:tabs>
        <w:spacing w:before="120" w:after="120" w:line="240" w:lineRule="auto"/>
        <w:ind w:left="426" w:hanging="142"/>
        <w:jc w:val="both"/>
        <w:rPr>
          <w:rFonts w:ascii="Times New Roman" w:eastAsia="Times New Roman" w:hAnsi="Times New Roman" w:cs="Times New Roman"/>
          <w:bCs/>
        </w:rPr>
      </w:pPr>
      <w:r w:rsidRPr="00BC6E7B">
        <w:rPr>
          <w:rFonts w:ascii="Times New Roman" w:eastAsia="Times New Roman" w:hAnsi="Times New Roman" w:cs="Times New Roman"/>
          <w:b/>
          <w:bCs/>
        </w:rPr>
        <w:t>A tantárgy szakmai tartalma (magyarul):</w:t>
      </w:r>
      <w:r w:rsidRPr="00A6100B">
        <w:rPr>
          <w:bCs/>
        </w:rPr>
        <w:t xml:space="preserve"> </w:t>
      </w:r>
      <w:r>
        <w:rPr>
          <w:rFonts w:ascii="Times New Roman" w:eastAsia="Times New Roman" w:hAnsi="Times New Roman" w:cs="Times New Roman"/>
          <w:bCs/>
        </w:rPr>
        <w:t>M</w:t>
      </w:r>
      <w:r w:rsidRPr="007F3EDE">
        <w:rPr>
          <w:rFonts w:ascii="Times New Roman" w:eastAsia="Times New Roman" w:hAnsi="Times New Roman" w:cs="Times New Roman"/>
          <w:bCs/>
        </w:rPr>
        <w:t>egismertetni a tisztjelöl</w:t>
      </w:r>
      <w:r>
        <w:rPr>
          <w:rFonts w:ascii="Times New Roman" w:eastAsia="Times New Roman" w:hAnsi="Times New Roman" w:cs="Times New Roman"/>
          <w:bCs/>
        </w:rPr>
        <w:t>tekkel a gazdasági jog alapjait, a Polgári Törvénykönyv rendszerét.</w:t>
      </w:r>
    </w:p>
    <w:p w:rsidR="007D5B6F" w:rsidRPr="00BC6E7B" w:rsidRDefault="007D5B6F" w:rsidP="007D5B6F">
      <w:pPr>
        <w:widowControl w:val="0"/>
        <w:spacing w:before="120" w:after="120" w:line="240" w:lineRule="auto"/>
        <w:ind w:left="426"/>
        <w:jc w:val="both"/>
        <w:rPr>
          <w:rFonts w:ascii="Times New Roman" w:eastAsia="Times New Roman" w:hAnsi="Times New Roman" w:cs="Times New Roman"/>
          <w:bCs/>
          <w:lang w:val="en-GB"/>
        </w:rPr>
      </w:pPr>
      <w:r w:rsidRPr="00BC6E7B">
        <w:rPr>
          <w:rFonts w:ascii="Times New Roman" w:eastAsia="Times New Roman" w:hAnsi="Times New Roman" w:cs="Times New Roman"/>
          <w:b/>
          <w:bCs/>
        </w:rPr>
        <w:t>A tantárgy szakmai tartalma (angolul) (</w:t>
      </w:r>
      <w:r w:rsidRPr="00BC6E7B">
        <w:rPr>
          <w:rFonts w:ascii="Times New Roman" w:eastAsia="Times New Roman" w:hAnsi="Times New Roman" w:cs="Times New Roman"/>
          <w:b/>
          <w:bCs/>
          <w:lang w:val="en-US"/>
        </w:rPr>
        <w:t>Course description</w:t>
      </w:r>
      <w:r w:rsidRPr="00BC6E7B">
        <w:rPr>
          <w:rFonts w:ascii="Times New Roman" w:eastAsia="Times New Roman" w:hAnsi="Times New Roman" w:cs="Times New Roman"/>
          <w:b/>
          <w:bCs/>
        </w:rPr>
        <w:t xml:space="preserve">): </w:t>
      </w:r>
      <w:r w:rsidRPr="007F3EDE">
        <w:rPr>
          <w:rFonts w:ascii="Times New Roman" w:eastAsia="Times New Roman" w:hAnsi="Times New Roman" w:cs="Times New Roman"/>
          <w:bCs/>
        </w:rPr>
        <w:t>to introduce the cadets to the basics of economic law and</w:t>
      </w:r>
      <w:r>
        <w:rPr>
          <w:rFonts w:ascii="Times New Roman" w:eastAsia="Times New Roman" w:hAnsi="Times New Roman" w:cs="Times New Roman"/>
          <w:bCs/>
        </w:rPr>
        <w:t xml:space="preserve"> the system of the Civil Code</w:t>
      </w:r>
      <w:r w:rsidRPr="007F3EDE">
        <w:rPr>
          <w:rFonts w:ascii="Times New Roman" w:eastAsia="Times New Roman" w:hAnsi="Times New Roman" w:cs="Times New Roman"/>
          <w:bCs/>
        </w:rPr>
        <w:t>.</w:t>
      </w:r>
    </w:p>
    <w:p w:rsidR="007D5B6F" w:rsidRPr="00740A68" w:rsidRDefault="007D5B6F" w:rsidP="00980876">
      <w:pPr>
        <w:widowControl w:val="0"/>
        <w:numPr>
          <w:ilvl w:val="0"/>
          <w:numId w:val="524"/>
        </w:numPr>
        <w:tabs>
          <w:tab w:val="clear" w:pos="720"/>
          <w:tab w:val="num" w:pos="643"/>
        </w:tabs>
        <w:spacing w:before="120" w:after="120" w:line="240" w:lineRule="auto"/>
        <w:ind w:left="426" w:hanging="142"/>
        <w:jc w:val="both"/>
        <w:rPr>
          <w:rFonts w:ascii="Times New Roman" w:eastAsia="Times New Roman" w:hAnsi="Times New Roman" w:cs="Times New Roman"/>
          <w:bCs/>
        </w:rPr>
      </w:pPr>
      <w:r w:rsidRPr="00740A68">
        <w:rPr>
          <w:rFonts w:ascii="Times New Roman" w:eastAsia="Times New Roman" w:hAnsi="Times New Roman" w:cs="Times New Roman"/>
          <w:b/>
          <w:bCs/>
        </w:rPr>
        <w:t xml:space="preserve">Elérendő kompetenciák (magyarul): </w:t>
      </w:r>
    </w:p>
    <w:p w:rsidR="007D5B6F" w:rsidRDefault="007D5B6F" w:rsidP="007D5B6F">
      <w:pPr>
        <w:widowControl w:val="0"/>
        <w:spacing w:before="120" w:after="120" w:line="240" w:lineRule="auto"/>
        <w:ind w:left="426"/>
        <w:jc w:val="both"/>
        <w:rPr>
          <w:rFonts w:ascii="Times New Roman" w:eastAsia="Times New Roman" w:hAnsi="Times New Roman" w:cs="Times New Roman"/>
          <w:bCs/>
        </w:rPr>
      </w:pPr>
      <w:r w:rsidRPr="00BC6E7B">
        <w:rPr>
          <w:rFonts w:ascii="Times New Roman" w:eastAsia="Times New Roman" w:hAnsi="Times New Roman" w:cs="Times New Roman"/>
          <w:b/>
          <w:bCs/>
        </w:rPr>
        <w:t>Tudása:</w:t>
      </w:r>
      <w:r>
        <w:rPr>
          <w:rFonts w:ascii="Times New Roman" w:eastAsia="Times New Roman" w:hAnsi="Times New Roman" w:cs="Times New Roman"/>
          <w:bCs/>
        </w:rPr>
        <w:t xml:space="preserve"> </w:t>
      </w:r>
    </w:p>
    <w:p w:rsidR="007D5B6F" w:rsidRPr="003C31F8" w:rsidRDefault="007D5B6F" w:rsidP="00980876">
      <w:pPr>
        <w:pStyle w:val="Listaszerbekezds"/>
        <w:widowControl w:val="0"/>
        <w:numPr>
          <w:ilvl w:val="0"/>
          <w:numId w:val="523"/>
        </w:numPr>
        <w:spacing w:before="120" w:after="120" w:line="240" w:lineRule="auto"/>
        <w:ind w:hanging="219"/>
        <w:jc w:val="both"/>
        <w:rPr>
          <w:rFonts w:ascii="Times New Roman" w:eastAsia="Times New Roman" w:hAnsi="Times New Roman" w:cs="Times New Roman"/>
          <w:bCs/>
        </w:rPr>
      </w:pPr>
      <w:r w:rsidRPr="003C31F8">
        <w:rPr>
          <w:rFonts w:ascii="Times New Roman" w:eastAsia="Times New Roman" w:hAnsi="Times New Roman" w:cs="Times New Roman"/>
          <w:bCs/>
        </w:rPr>
        <w:t>Ismeri a szakfeladatához kapcsolódó jogszabályokat, közjogi szervezetszabályozó eszközöket.</w:t>
      </w:r>
    </w:p>
    <w:p w:rsidR="007D5B6F" w:rsidRDefault="007D5B6F" w:rsidP="007D5B6F">
      <w:pPr>
        <w:widowControl w:val="0"/>
        <w:spacing w:before="120" w:after="120" w:line="240" w:lineRule="auto"/>
        <w:ind w:left="426"/>
        <w:jc w:val="both"/>
        <w:rPr>
          <w:rFonts w:ascii="Times New Roman" w:eastAsia="Times New Roman" w:hAnsi="Times New Roman" w:cs="Times New Roman"/>
          <w:bCs/>
        </w:rPr>
      </w:pPr>
      <w:r w:rsidRPr="00BC6E7B">
        <w:rPr>
          <w:rFonts w:ascii="Times New Roman" w:eastAsia="Times New Roman" w:hAnsi="Times New Roman" w:cs="Times New Roman"/>
          <w:b/>
          <w:bCs/>
        </w:rPr>
        <w:t>Képességei:</w:t>
      </w:r>
      <w:r>
        <w:rPr>
          <w:rFonts w:ascii="Times New Roman" w:eastAsia="Times New Roman" w:hAnsi="Times New Roman" w:cs="Times New Roman"/>
          <w:bCs/>
        </w:rPr>
        <w:t xml:space="preserve"> </w:t>
      </w:r>
    </w:p>
    <w:p w:rsidR="007D5B6F" w:rsidRPr="003C31F8" w:rsidRDefault="007D5B6F" w:rsidP="00980876">
      <w:pPr>
        <w:pStyle w:val="Listaszerbekezds"/>
        <w:widowControl w:val="0"/>
        <w:numPr>
          <w:ilvl w:val="0"/>
          <w:numId w:val="523"/>
        </w:numPr>
        <w:spacing w:before="120" w:after="120" w:line="240" w:lineRule="auto"/>
        <w:ind w:hanging="219"/>
        <w:jc w:val="both"/>
        <w:rPr>
          <w:rFonts w:ascii="Times New Roman" w:eastAsia="Times New Roman" w:hAnsi="Times New Roman" w:cs="Times New Roman"/>
          <w:bCs/>
        </w:rPr>
      </w:pPr>
      <w:r w:rsidRPr="003C31F8">
        <w:rPr>
          <w:rFonts w:ascii="Times New Roman" w:eastAsia="Times New Roman" w:hAnsi="Times New Roman" w:cs="Times New Roman"/>
          <w:bCs/>
        </w:rPr>
        <w:t>Képes a munkaköréhez és feladataihoz kapcsolódó jogszabályi háttér értelmezésére és gyakorlati alkalmazására.</w:t>
      </w:r>
    </w:p>
    <w:p w:rsidR="007D5B6F" w:rsidRDefault="007D5B6F" w:rsidP="007D5B6F">
      <w:pPr>
        <w:widowControl w:val="0"/>
        <w:spacing w:before="120" w:after="120" w:line="240" w:lineRule="auto"/>
        <w:ind w:left="426"/>
        <w:jc w:val="both"/>
        <w:rPr>
          <w:rFonts w:ascii="Times New Roman" w:eastAsia="Times New Roman" w:hAnsi="Times New Roman" w:cs="Times New Roman"/>
          <w:bCs/>
        </w:rPr>
      </w:pPr>
      <w:r w:rsidRPr="00BC6E7B">
        <w:rPr>
          <w:rFonts w:ascii="Times New Roman" w:eastAsia="Times New Roman" w:hAnsi="Times New Roman" w:cs="Times New Roman"/>
          <w:b/>
          <w:bCs/>
        </w:rPr>
        <w:t>Attitűdje:</w:t>
      </w:r>
      <w:r w:rsidRPr="00BC6E7B">
        <w:rPr>
          <w:rFonts w:ascii="Times New Roman" w:eastAsia="Times New Roman" w:hAnsi="Times New Roman" w:cs="Times New Roman"/>
          <w:bCs/>
        </w:rPr>
        <w:t xml:space="preserve"> </w:t>
      </w:r>
    </w:p>
    <w:p w:rsidR="007D5B6F" w:rsidRPr="003C31F8" w:rsidRDefault="007D5B6F" w:rsidP="00980876">
      <w:pPr>
        <w:pStyle w:val="Listaszerbekezds"/>
        <w:widowControl w:val="0"/>
        <w:numPr>
          <w:ilvl w:val="0"/>
          <w:numId w:val="523"/>
        </w:numPr>
        <w:spacing w:before="120" w:after="120" w:line="240" w:lineRule="auto"/>
        <w:ind w:hanging="219"/>
        <w:jc w:val="both"/>
        <w:rPr>
          <w:rFonts w:ascii="Times New Roman" w:eastAsia="Times New Roman" w:hAnsi="Times New Roman" w:cs="Times New Roman"/>
          <w:bCs/>
        </w:rPr>
      </w:pPr>
      <w:r w:rsidRPr="003C31F8">
        <w:rPr>
          <w:rFonts w:ascii="Times New Roman" w:eastAsia="Times New Roman" w:hAnsi="Times New Roman" w:cs="Times New Roman"/>
          <w:bCs/>
        </w:rPr>
        <w:t>A minőségi szakmai munkavégzés iránt elkötelezett, azt a pontosságra való törekvés jellemzi.</w:t>
      </w:r>
    </w:p>
    <w:p w:rsidR="007D5B6F" w:rsidRDefault="007D5B6F" w:rsidP="007D5B6F">
      <w:pPr>
        <w:widowControl w:val="0"/>
        <w:spacing w:before="120" w:after="120" w:line="240" w:lineRule="auto"/>
        <w:ind w:left="426"/>
        <w:jc w:val="both"/>
        <w:rPr>
          <w:rFonts w:ascii="Times New Roman" w:eastAsia="Times New Roman" w:hAnsi="Times New Roman" w:cs="Times New Roman"/>
          <w:bCs/>
        </w:rPr>
      </w:pPr>
      <w:r w:rsidRPr="00BC6E7B">
        <w:rPr>
          <w:rFonts w:ascii="Times New Roman" w:eastAsia="Times New Roman" w:hAnsi="Times New Roman" w:cs="Times New Roman"/>
          <w:b/>
          <w:bCs/>
        </w:rPr>
        <w:t>Autonómiája és felelőssége:</w:t>
      </w:r>
      <w:r w:rsidRPr="00BC6E7B">
        <w:rPr>
          <w:rFonts w:ascii="Times New Roman" w:eastAsia="Times New Roman" w:hAnsi="Times New Roman" w:cs="Times New Roman"/>
          <w:bCs/>
        </w:rPr>
        <w:t xml:space="preserve"> </w:t>
      </w:r>
    </w:p>
    <w:p w:rsidR="007D5B6F" w:rsidRPr="003C31F8" w:rsidRDefault="007D5B6F" w:rsidP="00980876">
      <w:pPr>
        <w:pStyle w:val="Listaszerbekezds"/>
        <w:widowControl w:val="0"/>
        <w:numPr>
          <w:ilvl w:val="0"/>
          <w:numId w:val="523"/>
        </w:numPr>
        <w:spacing w:before="120" w:after="120" w:line="240" w:lineRule="auto"/>
        <w:ind w:hanging="219"/>
        <w:jc w:val="both"/>
        <w:rPr>
          <w:rFonts w:ascii="Times New Roman" w:eastAsia="Times New Roman" w:hAnsi="Times New Roman" w:cs="Times New Roman"/>
          <w:bCs/>
        </w:rPr>
      </w:pPr>
      <w:r w:rsidRPr="003C31F8">
        <w:rPr>
          <w:rFonts w:ascii="Times New Roman" w:eastAsia="Times New Roman" w:hAnsi="Times New Roman" w:cs="Times New Roman"/>
          <w:bCs/>
        </w:rPr>
        <w:t>Az alegység, illetve egység szintű katonai logisztikai, valamint katonai gazdálkodási folyamatokban képes önállóan döntéseket hozni, azokat felelősséggel, a jogszabályi keretek figyelembevételével végrehajtani.</w:t>
      </w:r>
    </w:p>
    <w:p w:rsidR="00976088" w:rsidRDefault="00976088">
      <w:pPr>
        <w:spacing w:after="200" w:line="276" w:lineRule="auto"/>
        <w:rPr>
          <w:rFonts w:ascii="Times New Roman" w:eastAsia="Times New Roman" w:hAnsi="Times New Roman" w:cs="Times New Roman"/>
          <w:b/>
          <w:bCs/>
        </w:rPr>
      </w:pPr>
      <w:r>
        <w:rPr>
          <w:rFonts w:ascii="Times New Roman" w:eastAsia="Times New Roman" w:hAnsi="Times New Roman" w:cs="Times New Roman"/>
          <w:b/>
          <w:bCs/>
        </w:rPr>
        <w:br w:type="page"/>
      </w:r>
    </w:p>
    <w:p w:rsidR="007D5B6F" w:rsidRPr="00BC6E7B" w:rsidRDefault="007D5B6F" w:rsidP="007D5B6F">
      <w:pPr>
        <w:widowControl w:val="0"/>
        <w:spacing w:before="120" w:after="120" w:line="240" w:lineRule="auto"/>
        <w:ind w:left="426"/>
        <w:jc w:val="both"/>
        <w:rPr>
          <w:rFonts w:ascii="Times New Roman" w:eastAsia="Times New Roman" w:hAnsi="Times New Roman" w:cs="Times New Roman"/>
          <w:b/>
          <w:bCs/>
          <w:lang w:val="en-US"/>
        </w:rPr>
      </w:pPr>
      <w:r w:rsidRPr="00BC6E7B">
        <w:rPr>
          <w:rFonts w:ascii="Times New Roman" w:eastAsia="Times New Roman" w:hAnsi="Times New Roman" w:cs="Times New Roman"/>
          <w:b/>
          <w:bCs/>
        </w:rPr>
        <w:lastRenderedPageBreak/>
        <w:t>Elérendő kompetenciák (angolul) (</w:t>
      </w:r>
      <w:r w:rsidRPr="00BC6E7B">
        <w:rPr>
          <w:rFonts w:ascii="Times New Roman" w:eastAsia="Times New Roman" w:hAnsi="Times New Roman" w:cs="Times New Roman"/>
          <w:b/>
          <w:bCs/>
          <w:lang w:val="en-US"/>
        </w:rPr>
        <w:t xml:space="preserve">Competences – English): </w:t>
      </w:r>
    </w:p>
    <w:p w:rsidR="007D5B6F" w:rsidRDefault="007D5B6F" w:rsidP="007D5B6F">
      <w:pPr>
        <w:widowControl w:val="0"/>
        <w:spacing w:before="120" w:after="120" w:line="240" w:lineRule="auto"/>
        <w:ind w:left="426"/>
        <w:jc w:val="both"/>
      </w:pPr>
      <w:r w:rsidRPr="00BC6E7B">
        <w:rPr>
          <w:rFonts w:ascii="Times New Roman" w:eastAsia="Times New Roman" w:hAnsi="Times New Roman" w:cs="Times New Roman"/>
          <w:b/>
          <w:lang w:val="en-GB"/>
        </w:rPr>
        <w:t>Knowledge</w:t>
      </w:r>
      <w:r w:rsidRPr="00BC6E7B">
        <w:rPr>
          <w:rFonts w:ascii="Times New Roman" w:eastAsia="Times New Roman" w:hAnsi="Times New Roman" w:cs="Times New Roman"/>
          <w:lang w:val="en-GB"/>
        </w:rPr>
        <w:t>:</w:t>
      </w:r>
      <w:r w:rsidRPr="00F37D21">
        <w:t xml:space="preserve"> </w:t>
      </w:r>
    </w:p>
    <w:p w:rsidR="007D5B6F" w:rsidRPr="003C31F8" w:rsidRDefault="007D5B6F" w:rsidP="00980876">
      <w:pPr>
        <w:pStyle w:val="Listaszerbekezds"/>
        <w:widowControl w:val="0"/>
        <w:numPr>
          <w:ilvl w:val="0"/>
          <w:numId w:val="523"/>
        </w:numPr>
        <w:spacing w:before="120" w:after="120" w:line="240" w:lineRule="auto"/>
        <w:ind w:hanging="219"/>
        <w:jc w:val="both"/>
        <w:rPr>
          <w:rFonts w:ascii="Times New Roman" w:eastAsia="Times New Roman" w:hAnsi="Times New Roman" w:cs="Times New Roman"/>
          <w:lang w:val="en-GB"/>
        </w:rPr>
      </w:pPr>
      <w:r w:rsidRPr="003C31F8">
        <w:rPr>
          <w:rFonts w:ascii="Times New Roman" w:eastAsia="Times New Roman" w:hAnsi="Times New Roman" w:cs="Times New Roman"/>
          <w:lang w:val="en-GB"/>
        </w:rPr>
        <w:t>He/she knows the legislation related to his / her professional task and the tools of public organization regulation.</w:t>
      </w:r>
    </w:p>
    <w:p w:rsidR="007D5B6F" w:rsidRDefault="007D5B6F" w:rsidP="007D5B6F">
      <w:pPr>
        <w:widowControl w:val="0"/>
        <w:spacing w:before="120" w:after="120" w:line="240" w:lineRule="auto"/>
        <w:ind w:left="426"/>
        <w:jc w:val="both"/>
        <w:rPr>
          <w:rFonts w:ascii="Times New Roman" w:eastAsia="Times New Roman" w:hAnsi="Times New Roman" w:cs="Times New Roman"/>
          <w:b/>
          <w:lang w:val="en-GB"/>
        </w:rPr>
      </w:pPr>
      <w:r w:rsidRPr="00BC6E7B">
        <w:rPr>
          <w:rFonts w:ascii="Times New Roman" w:eastAsia="Times New Roman" w:hAnsi="Times New Roman" w:cs="Times New Roman"/>
          <w:b/>
          <w:lang w:val="en-GB"/>
        </w:rPr>
        <w:t>Capabilities</w:t>
      </w:r>
      <w:r w:rsidRPr="006331D3">
        <w:rPr>
          <w:rFonts w:ascii="Times New Roman" w:eastAsia="Times New Roman" w:hAnsi="Times New Roman" w:cs="Times New Roman"/>
          <w:b/>
          <w:lang w:val="en-GB"/>
        </w:rPr>
        <w:t xml:space="preserve">: </w:t>
      </w:r>
    </w:p>
    <w:p w:rsidR="007D5B6F" w:rsidRPr="003C31F8" w:rsidRDefault="007D5B6F" w:rsidP="00980876">
      <w:pPr>
        <w:pStyle w:val="Listaszerbekezds"/>
        <w:widowControl w:val="0"/>
        <w:numPr>
          <w:ilvl w:val="0"/>
          <w:numId w:val="523"/>
        </w:numPr>
        <w:spacing w:before="120" w:after="120" w:line="240" w:lineRule="auto"/>
        <w:ind w:hanging="219"/>
        <w:jc w:val="both"/>
        <w:rPr>
          <w:rFonts w:ascii="Times New Roman" w:eastAsia="Times New Roman" w:hAnsi="Times New Roman" w:cs="Times New Roman"/>
          <w:b/>
          <w:lang w:val="en-GB"/>
        </w:rPr>
      </w:pPr>
      <w:r w:rsidRPr="003C31F8">
        <w:rPr>
          <w:rFonts w:ascii="Times New Roman" w:eastAsia="Times New Roman" w:hAnsi="Times New Roman" w:cs="Times New Roman"/>
          <w:lang w:val="en-GB"/>
        </w:rPr>
        <w:t>He/she is able to interpret and apply in practice the legal background related to his / her job and duties.</w:t>
      </w:r>
    </w:p>
    <w:p w:rsidR="007D5B6F" w:rsidRDefault="007D5B6F" w:rsidP="007D5B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lang w:val="en-GB"/>
        </w:rPr>
      </w:pPr>
      <w:r w:rsidRPr="00BC6E7B">
        <w:rPr>
          <w:rFonts w:ascii="Times New Roman" w:eastAsia="Times New Roman" w:hAnsi="Times New Roman" w:cs="Times New Roman"/>
          <w:b/>
          <w:lang w:val="en-GB"/>
        </w:rPr>
        <w:t>Attitude:</w:t>
      </w:r>
      <w:r w:rsidRPr="00BC6E7B">
        <w:rPr>
          <w:rFonts w:ascii="Times New Roman" w:eastAsia="Times New Roman" w:hAnsi="Times New Roman" w:cs="Times New Roman"/>
          <w:lang w:val="en-GB"/>
        </w:rPr>
        <w:t xml:space="preserve"> </w:t>
      </w:r>
    </w:p>
    <w:p w:rsidR="007D5B6F" w:rsidRPr="003C31F8" w:rsidRDefault="007D5B6F" w:rsidP="00980876">
      <w:pPr>
        <w:pStyle w:val="Listaszerbekezds"/>
        <w:numPr>
          <w:ilvl w:val="0"/>
          <w:numId w:val="5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19"/>
        <w:jc w:val="both"/>
        <w:rPr>
          <w:rFonts w:ascii="Times New Roman" w:eastAsia="Times New Roman" w:hAnsi="Times New Roman" w:cs="Times New Roman"/>
          <w:lang w:val="en-GB"/>
        </w:rPr>
      </w:pPr>
      <w:r w:rsidRPr="003C31F8">
        <w:rPr>
          <w:rFonts w:ascii="Times New Roman" w:eastAsia="Times New Roman" w:hAnsi="Times New Roman" w:cs="Times New Roman"/>
          <w:lang w:val="en-GB"/>
        </w:rPr>
        <w:t>Committed to quality professional work, it is characterized by striving for accuracy.</w:t>
      </w:r>
    </w:p>
    <w:p w:rsidR="007D5B6F" w:rsidRDefault="007D5B6F" w:rsidP="007D5B6F">
      <w:pPr>
        <w:widowControl w:val="0"/>
        <w:spacing w:before="120" w:after="120" w:line="240" w:lineRule="auto"/>
        <w:ind w:left="426"/>
        <w:jc w:val="both"/>
        <w:rPr>
          <w:rFonts w:ascii="Times New Roman" w:eastAsia="Times New Roman" w:hAnsi="Times New Roman" w:cs="Times New Roman"/>
          <w:b/>
          <w:lang w:val="en-GB"/>
        </w:rPr>
      </w:pPr>
      <w:r w:rsidRPr="00BC6E7B">
        <w:rPr>
          <w:rFonts w:ascii="Times New Roman" w:eastAsia="Times New Roman" w:hAnsi="Times New Roman" w:cs="Times New Roman"/>
          <w:b/>
          <w:lang w:val="en-GB"/>
        </w:rPr>
        <w:t>Autonomy and responsibility:</w:t>
      </w:r>
    </w:p>
    <w:p w:rsidR="007D5B6F" w:rsidRPr="003C31F8" w:rsidRDefault="007D5B6F" w:rsidP="00980876">
      <w:pPr>
        <w:pStyle w:val="Listaszerbekezds"/>
        <w:widowControl w:val="0"/>
        <w:numPr>
          <w:ilvl w:val="0"/>
          <w:numId w:val="523"/>
        </w:numPr>
        <w:spacing w:before="120" w:after="120" w:line="240" w:lineRule="auto"/>
        <w:ind w:hanging="219"/>
        <w:jc w:val="both"/>
        <w:rPr>
          <w:rFonts w:ascii="Times New Roman" w:eastAsia="Times New Roman" w:hAnsi="Times New Roman" w:cs="Times New Roman"/>
          <w:lang w:val="en-GB"/>
        </w:rPr>
      </w:pPr>
      <w:r w:rsidRPr="00F37D21">
        <w:t xml:space="preserve"> </w:t>
      </w:r>
      <w:r w:rsidRPr="003C31F8">
        <w:rPr>
          <w:rFonts w:ascii="Times New Roman" w:eastAsia="Times New Roman" w:hAnsi="Times New Roman" w:cs="Times New Roman"/>
          <w:lang w:val="en-GB"/>
        </w:rPr>
        <w:t>He/she is able to make decisions in sub-unit and unit-level military logistics and military management processes, with responsibility and within the legal framework</w:t>
      </w:r>
    </w:p>
    <w:p w:rsidR="007D5B6F" w:rsidRPr="00BC6E7B" w:rsidRDefault="007D5B6F" w:rsidP="00980876">
      <w:pPr>
        <w:widowControl w:val="0"/>
        <w:numPr>
          <w:ilvl w:val="0"/>
          <w:numId w:val="524"/>
        </w:numPr>
        <w:tabs>
          <w:tab w:val="clear" w:pos="720"/>
          <w:tab w:val="num" w:pos="643"/>
        </w:tabs>
        <w:spacing w:before="120" w:after="120" w:line="240" w:lineRule="auto"/>
        <w:ind w:left="426" w:hanging="142"/>
        <w:jc w:val="both"/>
        <w:rPr>
          <w:rFonts w:ascii="Times New Roman" w:eastAsia="Times New Roman" w:hAnsi="Times New Roman" w:cs="Times New Roman"/>
          <w:bCs/>
        </w:rPr>
      </w:pPr>
      <w:r w:rsidRPr="00BC6E7B">
        <w:rPr>
          <w:rFonts w:ascii="Times New Roman" w:eastAsia="Times New Roman" w:hAnsi="Times New Roman" w:cs="Times New Roman"/>
          <w:b/>
          <w:bCs/>
        </w:rPr>
        <w:t xml:space="preserve">Előtanulmányi követelmények: </w:t>
      </w:r>
      <w:r>
        <w:rPr>
          <w:rFonts w:ascii="Times New Roman" w:eastAsia="Times New Roman" w:hAnsi="Times New Roman" w:cs="Times New Roman"/>
          <w:bCs/>
        </w:rPr>
        <w:t>-</w:t>
      </w:r>
    </w:p>
    <w:p w:rsidR="007D5B6F" w:rsidRPr="00BC6E7B" w:rsidRDefault="007D5B6F" w:rsidP="00980876">
      <w:pPr>
        <w:widowControl w:val="0"/>
        <w:numPr>
          <w:ilvl w:val="0"/>
          <w:numId w:val="524"/>
        </w:numPr>
        <w:tabs>
          <w:tab w:val="clear" w:pos="720"/>
          <w:tab w:val="num" w:pos="643"/>
        </w:tabs>
        <w:spacing w:before="120" w:after="120" w:line="240" w:lineRule="auto"/>
        <w:ind w:left="426" w:hanging="142"/>
        <w:jc w:val="both"/>
        <w:rPr>
          <w:rFonts w:ascii="Times New Roman" w:eastAsia="Times New Roman" w:hAnsi="Times New Roman" w:cs="Times New Roman"/>
          <w:b/>
          <w:bCs/>
        </w:rPr>
      </w:pPr>
      <w:r w:rsidRPr="00BC6E7B">
        <w:rPr>
          <w:rFonts w:ascii="Times New Roman" w:eastAsia="Times New Roman" w:hAnsi="Times New Roman" w:cs="Times New Roman"/>
          <w:b/>
          <w:bCs/>
        </w:rPr>
        <w:t>A tantárgy tananyagának leírása, tematika. Description of the subject, curriculum (magyarul, angolul - English):</w:t>
      </w:r>
    </w:p>
    <w:p w:rsidR="007D5B6F" w:rsidRPr="00B7509B" w:rsidRDefault="007D5B6F" w:rsidP="00980876">
      <w:pPr>
        <w:widowControl w:val="0"/>
        <w:numPr>
          <w:ilvl w:val="1"/>
          <w:numId w:val="524"/>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B7509B">
        <w:rPr>
          <w:rFonts w:ascii="Times New Roman" w:eastAsia="Times New Roman" w:hAnsi="Times New Roman" w:cs="Times New Roman"/>
          <w:kern w:val="2"/>
        </w:rPr>
        <w:t xml:space="preserve"> A magyar jogrendszer ismertetése </w:t>
      </w:r>
      <w:r w:rsidRPr="00B7509B">
        <w:rPr>
          <w:rFonts w:ascii="Times New Roman" w:eastAsia="Times New Roman" w:hAnsi="Times New Roman" w:cs="Times New Roman"/>
          <w:i/>
          <w:kern w:val="2"/>
        </w:rPr>
        <w:t>(Introduction to the Hungarian legal system</w:t>
      </w:r>
      <w:r w:rsidRPr="00B7509B">
        <w:rPr>
          <w:rFonts w:ascii="Times New Roman" w:eastAsia="Times New Roman" w:hAnsi="Times New Roman" w:cs="Times New Roman"/>
          <w:kern w:val="2"/>
        </w:rPr>
        <w:t>)</w:t>
      </w:r>
    </w:p>
    <w:p w:rsidR="007D5B6F" w:rsidRPr="00B7509B" w:rsidRDefault="007D5B6F" w:rsidP="00980876">
      <w:pPr>
        <w:widowControl w:val="0"/>
        <w:numPr>
          <w:ilvl w:val="1"/>
          <w:numId w:val="524"/>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B7509B">
        <w:rPr>
          <w:rFonts w:ascii="Times New Roman" w:eastAsia="Times New Roman" w:hAnsi="Times New Roman" w:cs="Times New Roman"/>
          <w:kern w:val="2"/>
        </w:rPr>
        <w:t>A Polgári Törvénykönyv rendszerének áttekintése (</w:t>
      </w:r>
      <w:r w:rsidRPr="00B7509B">
        <w:rPr>
          <w:rFonts w:ascii="Times New Roman" w:eastAsia="Times New Roman" w:hAnsi="Times New Roman" w:cs="Times New Roman"/>
          <w:i/>
          <w:kern w:val="2"/>
        </w:rPr>
        <w:t>Overview of the system of the Civil Code)</w:t>
      </w:r>
    </w:p>
    <w:p w:rsidR="007D5B6F" w:rsidRPr="00B7509B" w:rsidRDefault="007D5B6F" w:rsidP="00980876">
      <w:pPr>
        <w:widowControl w:val="0"/>
        <w:numPr>
          <w:ilvl w:val="1"/>
          <w:numId w:val="524"/>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B7509B">
        <w:rPr>
          <w:rFonts w:ascii="Times New Roman" w:eastAsia="Times New Roman" w:hAnsi="Times New Roman" w:cs="Times New Roman"/>
          <w:kern w:val="2"/>
        </w:rPr>
        <w:t xml:space="preserve">Gazdasági társaságok általános szabályai </w:t>
      </w:r>
      <w:r w:rsidRPr="00B7509B">
        <w:rPr>
          <w:rFonts w:ascii="Times New Roman" w:eastAsia="Times New Roman" w:hAnsi="Times New Roman" w:cs="Times New Roman"/>
          <w:i/>
          <w:kern w:val="2"/>
        </w:rPr>
        <w:t>(General legal rules of business companies)</w:t>
      </w:r>
    </w:p>
    <w:p w:rsidR="007D5B6F" w:rsidRPr="00B7509B" w:rsidRDefault="007D5B6F" w:rsidP="00980876">
      <w:pPr>
        <w:widowControl w:val="0"/>
        <w:numPr>
          <w:ilvl w:val="1"/>
          <w:numId w:val="524"/>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B7509B">
        <w:rPr>
          <w:rFonts w:ascii="Times New Roman" w:eastAsia="Times New Roman" w:hAnsi="Times New Roman" w:cs="Times New Roman"/>
          <w:kern w:val="2"/>
        </w:rPr>
        <w:t xml:space="preserve">A kötelmi jog alapjai </w:t>
      </w:r>
      <w:r w:rsidRPr="00B7509B">
        <w:rPr>
          <w:rFonts w:ascii="Times New Roman" w:eastAsia="Times New Roman" w:hAnsi="Times New Roman" w:cs="Times New Roman"/>
          <w:i/>
          <w:kern w:val="2"/>
        </w:rPr>
        <w:t>(Basics of contract law)</w:t>
      </w:r>
    </w:p>
    <w:p w:rsidR="007D5B6F" w:rsidRPr="00B7509B" w:rsidRDefault="007D5B6F" w:rsidP="00980876">
      <w:pPr>
        <w:widowControl w:val="0"/>
        <w:numPr>
          <w:ilvl w:val="1"/>
          <w:numId w:val="524"/>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B7509B">
        <w:rPr>
          <w:rFonts w:ascii="Times New Roman" w:eastAsia="Times New Roman" w:hAnsi="Times New Roman" w:cs="Times New Roman"/>
          <w:kern w:val="2"/>
        </w:rPr>
        <w:t xml:space="preserve">Szerződések kötelező tartalmi elemei </w:t>
      </w:r>
      <w:r w:rsidRPr="00B7509B">
        <w:rPr>
          <w:rFonts w:ascii="Times New Roman" w:eastAsia="Times New Roman" w:hAnsi="Times New Roman" w:cs="Times New Roman"/>
          <w:i/>
          <w:kern w:val="2"/>
        </w:rPr>
        <w:t>(Mandatory contents of contracts)</w:t>
      </w:r>
    </w:p>
    <w:p w:rsidR="007D5B6F" w:rsidRPr="00B7509B" w:rsidRDefault="007D5B6F" w:rsidP="00980876">
      <w:pPr>
        <w:widowControl w:val="0"/>
        <w:numPr>
          <w:ilvl w:val="1"/>
          <w:numId w:val="524"/>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kern w:val="2"/>
        </w:rPr>
      </w:pPr>
      <w:r w:rsidRPr="00B7509B">
        <w:rPr>
          <w:rFonts w:ascii="Times New Roman" w:eastAsia="Times New Roman" w:hAnsi="Times New Roman" w:cs="Times New Roman"/>
          <w:kern w:val="2"/>
        </w:rPr>
        <w:t xml:space="preserve">A gazdálkodási jogkörök a 47/2018. (XII.21.) HM utasítás </w:t>
      </w:r>
      <w:r w:rsidRPr="00B7509B">
        <w:rPr>
          <w:rFonts w:ascii="Times New Roman" w:eastAsia="Times New Roman" w:hAnsi="Times New Roman" w:cs="Times New Roman"/>
          <w:i/>
          <w:kern w:val="2"/>
        </w:rPr>
        <w:t>alapján (The management powers as governed by MoD Decree 47/2018. (XII.21.))</w:t>
      </w:r>
    </w:p>
    <w:p w:rsidR="007D5B6F" w:rsidRPr="006331D3" w:rsidRDefault="007D5B6F" w:rsidP="00980876">
      <w:pPr>
        <w:widowControl w:val="0"/>
        <w:numPr>
          <w:ilvl w:val="0"/>
          <w:numId w:val="524"/>
        </w:numPr>
        <w:tabs>
          <w:tab w:val="clear" w:pos="720"/>
          <w:tab w:val="num" w:pos="643"/>
        </w:tabs>
        <w:spacing w:before="120" w:after="120" w:line="240" w:lineRule="auto"/>
        <w:ind w:left="426" w:hanging="142"/>
        <w:jc w:val="both"/>
        <w:rPr>
          <w:rFonts w:ascii="Times New Roman" w:eastAsia="Times New Roman" w:hAnsi="Times New Roman" w:cs="Times New Roman"/>
          <w:bCs/>
        </w:rPr>
      </w:pPr>
      <w:r w:rsidRPr="006331D3">
        <w:rPr>
          <w:rFonts w:ascii="Times New Roman" w:eastAsia="Times New Roman" w:hAnsi="Times New Roman" w:cs="Times New Roman"/>
          <w:b/>
          <w:bCs/>
        </w:rPr>
        <w:t xml:space="preserve">A tantárgy meghirdetésének gyakorisága/a tantervben történő félévi elhelyezkedése: </w:t>
      </w:r>
      <w:r w:rsidRPr="006331D3">
        <w:rPr>
          <w:rFonts w:ascii="Times New Roman" w:eastAsia="Times New Roman" w:hAnsi="Times New Roman" w:cs="Times New Roman"/>
          <w:bCs/>
        </w:rPr>
        <w:t xml:space="preserve">a tanév </w:t>
      </w:r>
      <w:r>
        <w:rPr>
          <w:rFonts w:ascii="Times New Roman" w:eastAsia="Times New Roman" w:hAnsi="Times New Roman" w:cs="Times New Roman"/>
          <w:bCs/>
        </w:rPr>
        <w:t>2</w:t>
      </w:r>
      <w:r w:rsidRPr="006331D3">
        <w:rPr>
          <w:rFonts w:ascii="Times New Roman" w:eastAsia="Times New Roman" w:hAnsi="Times New Roman" w:cs="Times New Roman"/>
          <w:bCs/>
        </w:rPr>
        <w:t>. (</w:t>
      </w:r>
      <w:r>
        <w:rPr>
          <w:rFonts w:ascii="Times New Roman" w:eastAsia="Times New Roman" w:hAnsi="Times New Roman" w:cs="Times New Roman"/>
          <w:bCs/>
        </w:rPr>
        <w:t>tavaszi</w:t>
      </w:r>
      <w:r w:rsidRPr="006331D3">
        <w:rPr>
          <w:rFonts w:ascii="Times New Roman" w:eastAsia="Times New Roman" w:hAnsi="Times New Roman" w:cs="Times New Roman"/>
          <w:bCs/>
        </w:rPr>
        <w:t>) félévében.</w:t>
      </w:r>
    </w:p>
    <w:p w:rsidR="007D5B6F" w:rsidRDefault="007D5B6F" w:rsidP="00980876">
      <w:pPr>
        <w:widowControl w:val="0"/>
        <w:numPr>
          <w:ilvl w:val="0"/>
          <w:numId w:val="524"/>
        </w:numPr>
        <w:tabs>
          <w:tab w:val="clear" w:pos="720"/>
          <w:tab w:val="num" w:pos="643"/>
        </w:tabs>
        <w:spacing w:before="120" w:after="120" w:line="240" w:lineRule="auto"/>
        <w:ind w:left="426" w:hanging="142"/>
        <w:jc w:val="both"/>
        <w:rPr>
          <w:rFonts w:ascii="Times New Roman" w:eastAsia="Times New Roman" w:hAnsi="Times New Roman" w:cs="Times New Roman"/>
          <w:bCs/>
        </w:rPr>
      </w:pPr>
      <w:r w:rsidRPr="00BC6E7B">
        <w:rPr>
          <w:rFonts w:ascii="Times New Roman" w:eastAsia="Times New Roman" w:hAnsi="Times New Roman" w:cs="Times New Roman"/>
          <w:b/>
          <w:bCs/>
        </w:rPr>
        <w:t>A tanórákon való részvétel követelményei, az elfogadható hiányzások mértéke, a távolmaradás pótlásának lehetősége:</w:t>
      </w:r>
      <w:r>
        <w:rPr>
          <w:rFonts w:ascii="Times New Roman" w:eastAsia="Times New Roman" w:hAnsi="Times New Roman" w:cs="Times New Roman"/>
          <w:bCs/>
        </w:rPr>
        <w:t xml:space="preserve"> </w:t>
      </w:r>
      <w:r w:rsidRPr="00D0042F">
        <w:rPr>
          <w:rFonts w:ascii="Times New Roman" w:eastAsia="Times New Roman" w:hAnsi="Times New Roman" w:cs="Times New Roman"/>
          <w:bCs/>
        </w:rPr>
        <w:t>a tanórákon való jelenlét kötelező, az elfogadható és igazolt hiányzások száma maximum a tanórák 30%-áig terjedhet, az ismeretek pótlásáról a hallgató gondoskodik.</w:t>
      </w:r>
      <w:r>
        <w:rPr>
          <w:rFonts w:ascii="Times New Roman" w:eastAsia="Times New Roman" w:hAnsi="Times New Roman" w:cs="Times New Roman"/>
          <w:bCs/>
        </w:rPr>
        <w:t xml:space="preserve"> A hiányzások elfogadható mértékének túllépése az aláírás megtagadását vonja maga után.</w:t>
      </w:r>
    </w:p>
    <w:p w:rsidR="007D5B6F" w:rsidRPr="00735996" w:rsidRDefault="007D5B6F" w:rsidP="00980876">
      <w:pPr>
        <w:widowControl w:val="0"/>
        <w:numPr>
          <w:ilvl w:val="0"/>
          <w:numId w:val="524"/>
        </w:numPr>
        <w:tabs>
          <w:tab w:val="clear" w:pos="720"/>
          <w:tab w:val="num" w:pos="643"/>
        </w:tabs>
        <w:spacing w:before="120" w:after="120" w:line="240" w:lineRule="auto"/>
        <w:ind w:left="426" w:hanging="142"/>
        <w:jc w:val="both"/>
        <w:rPr>
          <w:rFonts w:ascii="Times New Roman" w:eastAsia="Times New Roman" w:hAnsi="Times New Roman" w:cs="Times New Roman"/>
          <w:bCs/>
        </w:rPr>
      </w:pPr>
      <w:r w:rsidRPr="00735996">
        <w:rPr>
          <w:rFonts w:ascii="Times New Roman" w:eastAsia="Times New Roman" w:hAnsi="Times New Roman" w:cs="Times New Roman"/>
          <w:b/>
        </w:rPr>
        <w:t xml:space="preserve">Félévközi </w:t>
      </w:r>
      <w:r w:rsidRPr="00735996">
        <w:rPr>
          <w:rFonts w:ascii="Times New Roman" w:eastAsia="Times New Roman" w:hAnsi="Times New Roman" w:cs="Times New Roman"/>
          <w:b/>
          <w:bCs/>
        </w:rPr>
        <w:t>feladatok</w:t>
      </w:r>
      <w:r w:rsidRPr="00735996">
        <w:rPr>
          <w:rFonts w:ascii="Times New Roman" w:eastAsia="Times New Roman" w:hAnsi="Times New Roman" w:cs="Times New Roman"/>
          <w:b/>
        </w:rPr>
        <w:t>, ismeretek ellenőrzésének rendje:</w:t>
      </w:r>
      <w:r w:rsidRPr="00735996">
        <w:rPr>
          <w:rFonts w:ascii="Times New Roman" w:eastAsia="Times New Roman" w:hAnsi="Times New Roman" w:cs="Times New Roman"/>
        </w:rPr>
        <w:t xml:space="preserve"> A hallgató a félév során egy az oktató által meghatározott téma önálló feldolgozását követően, abból előadást tart. A hallgató a félév egy zárthelyi dolgozatot ír. A zárthelyi dolgozatok értékelése ötfokozatú skála alapján történik (50 %-tól elégséges, 65 %-tól közepes, 75-tól % jó, 85 %-tól jeles). A zárthelyi dolgozat egyszer pótolható, illetve sikertelensége esetén javítható.</w:t>
      </w:r>
    </w:p>
    <w:p w:rsidR="007D5B6F" w:rsidRDefault="007D5B6F" w:rsidP="00980876">
      <w:pPr>
        <w:widowControl w:val="0"/>
        <w:numPr>
          <w:ilvl w:val="0"/>
          <w:numId w:val="524"/>
        </w:numPr>
        <w:tabs>
          <w:tab w:val="clear" w:pos="720"/>
          <w:tab w:val="num" w:pos="643"/>
        </w:tabs>
        <w:spacing w:before="120" w:after="120" w:line="240" w:lineRule="auto"/>
        <w:ind w:left="426" w:hanging="142"/>
        <w:jc w:val="both"/>
        <w:rPr>
          <w:rFonts w:ascii="Times New Roman" w:eastAsia="Times New Roman" w:hAnsi="Times New Roman" w:cs="Times New Roman"/>
          <w:b/>
          <w:bCs/>
        </w:rPr>
      </w:pPr>
      <w:r w:rsidRPr="00BC6E7B">
        <w:rPr>
          <w:rFonts w:ascii="Times New Roman" w:eastAsia="Times New Roman" w:hAnsi="Times New Roman" w:cs="Times New Roman"/>
          <w:b/>
          <w:bCs/>
        </w:rPr>
        <w:t xml:space="preserve">Az értékelés, az aláírás és a kreditek megszerzésének pontos feltételei: </w:t>
      </w:r>
    </w:p>
    <w:p w:rsidR="007D5B6F" w:rsidRPr="000D191A" w:rsidRDefault="007D5B6F" w:rsidP="00980876">
      <w:pPr>
        <w:widowControl w:val="0"/>
        <w:numPr>
          <w:ilvl w:val="1"/>
          <w:numId w:val="524"/>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0D191A">
        <w:rPr>
          <w:rFonts w:ascii="Times New Roman" w:eastAsia="Times New Roman" w:hAnsi="Times New Roman" w:cs="Times New Roman"/>
          <w:b/>
        </w:rPr>
        <w:t>Az aláírás megszerzésének feltételei:</w:t>
      </w:r>
      <w:r w:rsidRPr="000D191A">
        <w:rPr>
          <w:rFonts w:ascii="Times New Roman" w:eastAsia="Times New Roman" w:hAnsi="Times New Roman" w:cs="Times New Roman"/>
        </w:rPr>
        <w:t xml:space="preserve"> Az aláírás megszerzésének feltétele a 14. pontban meghatározott arányú részvétel a foglalkozásokon és a 15. pontban meghatározott félévközi feladatok legalább elégséges teljesítése</w:t>
      </w:r>
      <w:r>
        <w:rPr>
          <w:rFonts w:ascii="Times New Roman" w:eastAsia="Times New Roman" w:hAnsi="Times New Roman" w:cs="Times New Roman"/>
        </w:rPr>
        <w:t>.</w:t>
      </w:r>
    </w:p>
    <w:p w:rsidR="007D5B6F" w:rsidRDefault="007D5B6F" w:rsidP="00980876">
      <w:pPr>
        <w:widowControl w:val="0"/>
        <w:numPr>
          <w:ilvl w:val="1"/>
          <w:numId w:val="524"/>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BC6E7B">
        <w:rPr>
          <w:rFonts w:ascii="Times New Roman" w:eastAsia="Times New Roman" w:hAnsi="Times New Roman" w:cs="Times New Roman"/>
          <w:b/>
        </w:rPr>
        <w:t>Az értékelés:</w:t>
      </w:r>
      <w:r w:rsidRPr="00BC6E7B">
        <w:rPr>
          <w:rFonts w:ascii="Times New Roman" w:eastAsia="Times New Roman" w:hAnsi="Times New Roman" w:cs="Times New Roman"/>
        </w:rPr>
        <w:t xml:space="preserve"> </w:t>
      </w:r>
      <w:r>
        <w:rPr>
          <w:rFonts w:ascii="Times New Roman" w:eastAsia="Times New Roman" w:hAnsi="Times New Roman" w:cs="Times New Roman"/>
        </w:rPr>
        <w:t>Félévközi jegy</w:t>
      </w:r>
    </w:p>
    <w:p w:rsidR="007D5B6F" w:rsidRPr="005342EF" w:rsidRDefault="007D5B6F" w:rsidP="00980876">
      <w:pPr>
        <w:widowControl w:val="0"/>
        <w:numPr>
          <w:ilvl w:val="1"/>
          <w:numId w:val="524"/>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5342EF">
        <w:rPr>
          <w:rFonts w:ascii="Times New Roman" w:eastAsia="Times New Roman" w:hAnsi="Times New Roman" w:cs="Times New Roman"/>
          <w:b/>
        </w:rPr>
        <w:t>A kreditek megszerzésének feltételei:</w:t>
      </w:r>
      <w:r w:rsidRPr="005342EF">
        <w:rPr>
          <w:rFonts w:ascii="Times New Roman" w:eastAsia="Times New Roman" w:hAnsi="Times New Roman" w:cs="Times New Roman"/>
        </w:rPr>
        <w:t xml:space="preserve"> A kreditek megszerzésének feltétele az aláírás megszerzése és legalább elégséges félévközi jegy.</w:t>
      </w:r>
    </w:p>
    <w:p w:rsidR="00976088" w:rsidRDefault="00976088">
      <w:pPr>
        <w:spacing w:after="200" w:line="276" w:lineRule="auto"/>
        <w:rPr>
          <w:rFonts w:ascii="Times New Roman" w:eastAsia="Times New Roman" w:hAnsi="Times New Roman" w:cs="Times New Roman"/>
          <w:b/>
          <w:bCs/>
        </w:rPr>
      </w:pPr>
      <w:r>
        <w:rPr>
          <w:rFonts w:ascii="Times New Roman" w:eastAsia="Times New Roman" w:hAnsi="Times New Roman" w:cs="Times New Roman"/>
          <w:b/>
          <w:bCs/>
        </w:rPr>
        <w:br w:type="page"/>
      </w:r>
    </w:p>
    <w:p w:rsidR="007D5B6F" w:rsidRPr="0035461C" w:rsidRDefault="007D5B6F" w:rsidP="00980876">
      <w:pPr>
        <w:widowControl w:val="0"/>
        <w:numPr>
          <w:ilvl w:val="0"/>
          <w:numId w:val="524"/>
        </w:numPr>
        <w:tabs>
          <w:tab w:val="clear" w:pos="720"/>
          <w:tab w:val="num" w:pos="643"/>
        </w:tabs>
        <w:spacing w:before="120" w:after="120" w:line="240" w:lineRule="auto"/>
        <w:ind w:left="426" w:hanging="142"/>
        <w:jc w:val="both"/>
        <w:rPr>
          <w:rFonts w:ascii="Times New Roman" w:eastAsia="Times New Roman" w:hAnsi="Times New Roman" w:cs="Times New Roman"/>
          <w:bCs/>
        </w:rPr>
      </w:pPr>
      <w:r w:rsidRPr="00BC6E7B">
        <w:rPr>
          <w:rFonts w:ascii="Times New Roman" w:eastAsia="Times New Roman" w:hAnsi="Times New Roman" w:cs="Times New Roman"/>
          <w:b/>
          <w:bCs/>
        </w:rPr>
        <w:lastRenderedPageBreak/>
        <w:t>Irodalomjegyzék:</w:t>
      </w:r>
    </w:p>
    <w:p w:rsidR="007D5B6F" w:rsidRPr="0035461C" w:rsidRDefault="007D5B6F" w:rsidP="00980876">
      <w:pPr>
        <w:widowControl w:val="0"/>
        <w:numPr>
          <w:ilvl w:val="1"/>
          <w:numId w:val="524"/>
        </w:numPr>
        <w:tabs>
          <w:tab w:val="clear" w:pos="3977"/>
          <w:tab w:val="num" w:pos="567"/>
          <w:tab w:val="num" w:pos="999"/>
          <w:tab w:val="num" w:pos="2069"/>
        </w:tabs>
        <w:spacing w:before="120" w:after="120" w:line="240" w:lineRule="auto"/>
        <w:ind w:left="993" w:hanging="709"/>
        <w:jc w:val="both"/>
        <w:rPr>
          <w:rFonts w:ascii="Times New Roman" w:eastAsia="Times New Roman" w:hAnsi="Times New Roman" w:cs="Times New Roman"/>
          <w:b/>
          <w:bCs/>
        </w:rPr>
      </w:pPr>
      <w:r w:rsidRPr="0035461C">
        <w:rPr>
          <w:rFonts w:ascii="Times New Roman" w:eastAsia="Times New Roman" w:hAnsi="Times New Roman" w:cs="Times New Roman"/>
          <w:b/>
          <w:bCs/>
        </w:rPr>
        <w:t>Kötelező irodalom:</w:t>
      </w:r>
    </w:p>
    <w:p w:rsidR="007D5B6F" w:rsidRDefault="007D5B6F" w:rsidP="00980876">
      <w:pPr>
        <w:pStyle w:val="Listaszerbekezds"/>
        <w:widowControl w:val="0"/>
        <w:numPr>
          <w:ilvl w:val="0"/>
          <w:numId w:val="525"/>
        </w:numPr>
        <w:tabs>
          <w:tab w:val="left" w:pos="993"/>
        </w:tabs>
        <w:spacing w:before="120" w:after="120" w:line="240" w:lineRule="auto"/>
        <w:ind w:left="993"/>
        <w:jc w:val="both"/>
        <w:rPr>
          <w:rFonts w:ascii="Times New Roman" w:eastAsia="Times New Roman" w:hAnsi="Times New Roman" w:cs="Times New Roman"/>
        </w:rPr>
      </w:pPr>
      <w:r w:rsidRPr="00F774F3">
        <w:rPr>
          <w:rFonts w:ascii="Times New Roman" w:eastAsia="Times New Roman" w:hAnsi="Times New Roman" w:cs="Times New Roman"/>
        </w:rPr>
        <w:t>Bódi–Kádár</w:t>
      </w:r>
      <w:r w:rsidR="00976088">
        <w:rPr>
          <w:rFonts w:ascii="Times New Roman" w:eastAsia="Times New Roman" w:hAnsi="Times New Roman" w:cs="Times New Roman"/>
        </w:rPr>
        <w:t>–</w:t>
      </w:r>
      <w:r w:rsidRPr="00F774F3">
        <w:rPr>
          <w:rFonts w:ascii="Times New Roman" w:eastAsia="Times New Roman" w:hAnsi="Times New Roman" w:cs="Times New Roman"/>
        </w:rPr>
        <w:t>Petruska: Jogi alapismeretek honvéd tisztjelölteknek. Budapest, Nemzet</w:t>
      </w:r>
      <w:r>
        <w:rPr>
          <w:rFonts w:ascii="Times New Roman" w:eastAsia="Times New Roman" w:hAnsi="Times New Roman" w:cs="Times New Roman"/>
        </w:rPr>
        <w:t>i Közszolgálati Egyetem, 2013.</w:t>
      </w:r>
    </w:p>
    <w:p w:rsidR="007D5B6F" w:rsidRPr="00F774F3" w:rsidRDefault="007D5B6F" w:rsidP="00980876">
      <w:pPr>
        <w:pStyle w:val="Listaszerbekezds"/>
        <w:widowControl w:val="0"/>
        <w:numPr>
          <w:ilvl w:val="0"/>
          <w:numId w:val="525"/>
        </w:numPr>
        <w:tabs>
          <w:tab w:val="left" w:pos="993"/>
        </w:tabs>
        <w:spacing w:before="120" w:after="120" w:line="240" w:lineRule="auto"/>
        <w:ind w:left="993"/>
        <w:jc w:val="both"/>
        <w:rPr>
          <w:rFonts w:ascii="Times New Roman" w:eastAsia="Times New Roman" w:hAnsi="Times New Roman" w:cs="Times New Roman"/>
        </w:rPr>
      </w:pPr>
      <w:r w:rsidRPr="00F774F3">
        <w:rPr>
          <w:rFonts w:ascii="Times New Roman" w:eastAsia="Times New Roman" w:hAnsi="Times New Roman" w:cs="Times New Roman"/>
        </w:rPr>
        <w:t>Simon István: Pénzügyi jog. Budapest, Osiris Kiadó, 2007.</w:t>
      </w:r>
    </w:p>
    <w:p w:rsidR="007D5B6F" w:rsidRPr="00F774F3" w:rsidRDefault="007D5B6F" w:rsidP="00980876">
      <w:pPr>
        <w:pStyle w:val="Listaszerbekezds"/>
        <w:widowControl w:val="0"/>
        <w:numPr>
          <w:ilvl w:val="0"/>
          <w:numId w:val="525"/>
        </w:numPr>
        <w:tabs>
          <w:tab w:val="left" w:pos="993"/>
        </w:tabs>
        <w:spacing w:before="120" w:after="120" w:line="240" w:lineRule="auto"/>
        <w:ind w:left="993"/>
        <w:jc w:val="both"/>
        <w:rPr>
          <w:rFonts w:ascii="Times New Roman" w:eastAsia="Times New Roman" w:hAnsi="Times New Roman" w:cs="Times New Roman"/>
        </w:rPr>
      </w:pPr>
      <w:r w:rsidRPr="005342EF">
        <w:rPr>
          <w:rFonts w:ascii="Times New Roman" w:eastAsia="Times New Roman" w:hAnsi="Times New Roman" w:cs="Times New Roman"/>
        </w:rPr>
        <w:t>dr. Aszódi Ilona</w:t>
      </w:r>
      <w:r>
        <w:rPr>
          <w:rFonts w:ascii="Times New Roman" w:eastAsia="Times New Roman" w:hAnsi="Times New Roman" w:cs="Times New Roman"/>
        </w:rPr>
        <w:t xml:space="preserve"> -</w:t>
      </w:r>
      <w:r w:rsidRPr="005342EF">
        <w:rPr>
          <w:rFonts w:ascii="Times New Roman" w:eastAsia="Times New Roman" w:hAnsi="Times New Roman" w:cs="Times New Roman"/>
        </w:rPr>
        <w:t xml:space="preserve"> dr. Pőcze Tamás</w:t>
      </w:r>
      <w:r>
        <w:rPr>
          <w:rFonts w:ascii="Times New Roman" w:eastAsia="Times New Roman" w:hAnsi="Times New Roman" w:cs="Times New Roman"/>
        </w:rPr>
        <w:t xml:space="preserve">: </w:t>
      </w:r>
      <w:r w:rsidRPr="005342EF">
        <w:rPr>
          <w:rFonts w:ascii="Times New Roman" w:eastAsia="Times New Roman" w:hAnsi="Times New Roman" w:cs="Times New Roman"/>
        </w:rPr>
        <w:t>A gazdasági jog alapjai</w:t>
      </w:r>
      <w:r>
        <w:rPr>
          <w:rFonts w:ascii="Times New Roman" w:eastAsia="Times New Roman" w:hAnsi="Times New Roman" w:cs="Times New Roman"/>
        </w:rPr>
        <w:t xml:space="preserve">, Saldo, 2012, ISBN: </w:t>
      </w:r>
      <w:r w:rsidRPr="005342EF">
        <w:rPr>
          <w:rFonts w:ascii="Times New Roman" w:eastAsia="Times New Roman" w:hAnsi="Times New Roman" w:cs="Times New Roman"/>
        </w:rPr>
        <w:t>9789636384388</w:t>
      </w:r>
    </w:p>
    <w:p w:rsidR="007D5B6F" w:rsidRDefault="007D5B6F" w:rsidP="00980876">
      <w:pPr>
        <w:widowControl w:val="0"/>
        <w:numPr>
          <w:ilvl w:val="1"/>
          <w:numId w:val="524"/>
        </w:numPr>
        <w:tabs>
          <w:tab w:val="clear" w:pos="3977"/>
          <w:tab w:val="num" w:pos="567"/>
          <w:tab w:val="num" w:pos="999"/>
          <w:tab w:val="num" w:pos="2069"/>
        </w:tabs>
        <w:spacing w:before="120" w:after="120" w:line="240" w:lineRule="auto"/>
        <w:ind w:left="993" w:hanging="709"/>
        <w:jc w:val="both"/>
        <w:rPr>
          <w:rFonts w:ascii="Times New Roman" w:eastAsia="Times New Roman" w:hAnsi="Times New Roman" w:cs="Times New Roman"/>
          <w:b/>
          <w:bCs/>
        </w:rPr>
      </w:pPr>
      <w:r w:rsidRPr="00BC6E7B">
        <w:rPr>
          <w:rFonts w:ascii="Times New Roman" w:eastAsia="Times New Roman" w:hAnsi="Times New Roman" w:cs="Times New Roman"/>
          <w:b/>
          <w:bCs/>
        </w:rPr>
        <w:t>Ajánlott irodalom:</w:t>
      </w:r>
      <w:r>
        <w:rPr>
          <w:rFonts w:ascii="Times New Roman" w:eastAsia="Times New Roman" w:hAnsi="Times New Roman" w:cs="Times New Roman"/>
          <w:b/>
          <w:bCs/>
        </w:rPr>
        <w:t xml:space="preserve"> -</w:t>
      </w:r>
    </w:p>
    <w:p w:rsidR="007D5B6F" w:rsidRDefault="007D5B6F" w:rsidP="007D5B6F">
      <w:pPr>
        <w:widowControl w:val="0"/>
        <w:spacing w:before="120" w:after="120" w:line="240" w:lineRule="auto"/>
        <w:jc w:val="both"/>
        <w:rPr>
          <w:rFonts w:ascii="Times New Roman" w:eastAsia="Times New Roman" w:hAnsi="Times New Roman" w:cs="Times New Roman"/>
          <w:bCs/>
        </w:rPr>
      </w:pPr>
    </w:p>
    <w:p w:rsidR="007D5B6F" w:rsidRPr="00BC6E7B" w:rsidRDefault="007D5B6F" w:rsidP="007D5B6F">
      <w:pPr>
        <w:widowControl w:val="0"/>
        <w:spacing w:before="120" w:after="120" w:line="240" w:lineRule="auto"/>
        <w:ind w:firstLine="284"/>
        <w:jc w:val="both"/>
        <w:rPr>
          <w:rFonts w:ascii="Times New Roman" w:eastAsia="Times New Roman" w:hAnsi="Times New Roman" w:cs="Times New Roman"/>
          <w:bCs/>
        </w:rPr>
      </w:pPr>
      <w:r w:rsidRPr="0035461C">
        <w:rPr>
          <w:rFonts w:ascii="Times New Roman" w:eastAsia="Times New Roman" w:hAnsi="Times New Roman" w:cs="Times New Roman"/>
          <w:bCs/>
        </w:rPr>
        <w:t>Budapest, 20</w:t>
      </w:r>
      <w:r>
        <w:rPr>
          <w:rFonts w:ascii="Times New Roman" w:eastAsia="Times New Roman" w:hAnsi="Times New Roman" w:cs="Times New Roman"/>
          <w:bCs/>
        </w:rPr>
        <w:t>20</w:t>
      </w:r>
      <w:r w:rsidRPr="0035461C">
        <w:rPr>
          <w:rFonts w:ascii="Times New Roman" w:eastAsia="Times New Roman" w:hAnsi="Times New Roman" w:cs="Times New Roman"/>
          <w:bCs/>
        </w:rPr>
        <w:t>.</w:t>
      </w:r>
      <w:r>
        <w:rPr>
          <w:rFonts w:ascii="Times New Roman" w:eastAsia="Times New Roman" w:hAnsi="Times New Roman" w:cs="Times New Roman"/>
          <w:bCs/>
        </w:rPr>
        <w:t>03.30.</w:t>
      </w:r>
    </w:p>
    <w:p w:rsidR="007D5B6F" w:rsidRPr="00976088" w:rsidRDefault="007D5B6F" w:rsidP="007D5B6F">
      <w:pPr>
        <w:widowControl w:val="0"/>
        <w:spacing w:after="0" w:line="240" w:lineRule="auto"/>
        <w:ind w:left="5664" w:firstLine="708"/>
        <w:jc w:val="center"/>
        <w:rPr>
          <w:rFonts w:ascii="Times New Roman" w:eastAsia="Times New Roman" w:hAnsi="Times New Roman" w:cs="Times New Roman"/>
          <w:b/>
          <w:bCs/>
        </w:rPr>
      </w:pPr>
      <w:r w:rsidRPr="00976088">
        <w:rPr>
          <w:rFonts w:ascii="Times New Roman" w:eastAsia="Times New Roman" w:hAnsi="Times New Roman" w:cs="Times New Roman"/>
          <w:b/>
          <w:bCs/>
        </w:rPr>
        <w:t>dr. Kenessei Zsolt sk.</w:t>
      </w:r>
    </w:p>
    <w:p w:rsidR="00735996" w:rsidRDefault="00735996">
      <w:pPr>
        <w:spacing w:after="200" w:line="276" w:lineRule="auto"/>
        <w:rPr>
          <w:rFonts w:ascii="Times New Roman" w:hAnsi="Times New Roman" w:cs="Times New Roman"/>
        </w:rPr>
      </w:pPr>
      <w:r>
        <w:rPr>
          <w:rFonts w:ascii="Times New Roman" w:hAnsi="Times New Roman" w:cs="Times New Roman"/>
        </w:rPr>
        <w:br w:type="page"/>
      </w:r>
    </w:p>
    <w:tbl>
      <w:tblPr>
        <w:tblW w:w="9072" w:type="dxa"/>
        <w:tblInd w:w="113" w:type="dxa"/>
        <w:tblLook w:val="01E0" w:firstRow="1" w:lastRow="1" w:firstColumn="1" w:lastColumn="1" w:noHBand="0" w:noVBand="0"/>
      </w:tblPr>
      <w:tblGrid>
        <w:gridCol w:w="4855"/>
        <w:gridCol w:w="1620"/>
        <w:gridCol w:w="2597"/>
      </w:tblGrid>
      <w:tr w:rsidR="00BB3A81" w:rsidRPr="006A233B" w:rsidTr="00FC44E3">
        <w:tc>
          <w:tcPr>
            <w:tcW w:w="4855" w:type="dxa"/>
            <w:tcBorders>
              <w:bottom w:val="single" w:sz="4" w:space="0" w:color="auto"/>
            </w:tcBorders>
          </w:tcPr>
          <w:p w:rsidR="00BB3A81" w:rsidRPr="006A233B" w:rsidRDefault="00BB3A81" w:rsidP="00FC44E3">
            <w:pPr>
              <w:spacing w:after="0" w:line="240" w:lineRule="auto"/>
              <w:jc w:val="center"/>
              <w:rPr>
                <w:rFonts w:ascii="Times New Roman" w:eastAsia="Times New Roman" w:hAnsi="Times New Roman" w:cs="Times New Roman"/>
                <w:b/>
                <w:smallCaps/>
                <w:lang w:eastAsia="hu-HU"/>
              </w:rPr>
            </w:pPr>
            <w:r w:rsidRPr="006A233B">
              <w:rPr>
                <w:rFonts w:ascii="Times New Roman" w:eastAsia="Times New Roman" w:hAnsi="Times New Roman" w:cs="Times New Roman"/>
                <w:b/>
                <w:smallCaps/>
                <w:lang w:eastAsia="hu-HU"/>
              </w:rPr>
              <w:lastRenderedPageBreak/>
              <w:t>Nemzeti Közszolgálati Egyetem</w:t>
            </w:r>
          </w:p>
        </w:tc>
        <w:tc>
          <w:tcPr>
            <w:tcW w:w="1620" w:type="dxa"/>
          </w:tcPr>
          <w:p w:rsidR="00BB3A81" w:rsidRPr="006A233B" w:rsidRDefault="00BB3A81" w:rsidP="00FC44E3">
            <w:pPr>
              <w:spacing w:after="0" w:line="240" w:lineRule="auto"/>
              <w:jc w:val="both"/>
              <w:rPr>
                <w:rFonts w:ascii="Times New Roman" w:eastAsia="Times New Roman" w:hAnsi="Times New Roman" w:cs="Times New Roman"/>
                <w:lang w:eastAsia="hu-HU"/>
              </w:rPr>
            </w:pPr>
          </w:p>
        </w:tc>
        <w:tc>
          <w:tcPr>
            <w:tcW w:w="2597" w:type="dxa"/>
          </w:tcPr>
          <w:p w:rsidR="00BB3A81" w:rsidRPr="006A233B" w:rsidRDefault="00BB3A81" w:rsidP="00FC44E3">
            <w:pPr>
              <w:spacing w:after="0" w:line="240" w:lineRule="auto"/>
              <w:jc w:val="right"/>
              <w:rPr>
                <w:rFonts w:ascii="Times New Roman" w:eastAsia="Times New Roman" w:hAnsi="Times New Roman" w:cs="Times New Roman"/>
                <w:lang w:eastAsia="hu-HU"/>
              </w:rPr>
            </w:pPr>
          </w:p>
        </w:tc>
      </w:tr>
      <w:tr w:rsidR="00BB3A81" w:rsidRPr="006A233B" w:rsidTr="00FC44E3">
        <w:tc>
          <w:tcPr>
            <w:tcW w:w="4855" w:type="dxa"/>
            <w:tcBorders>
              <w:top w:val="single" w:sz="4" w:space="0" w:color="auto"/>
            </w:tcBorders>
          </w:tcPr>
          <w:p w:rsidR="00BB3A81" w:rsidRPr="006A233B" w:rsidRDefault="00BB3A81" w:rsidP="00FC44E3">
            <w:pPr>
              <w:spacing w:after="0" w:line="240" w:lineRule="auto"/>
              <w:jc w:val="center"/>
              <w:rPr>
                <w:rFonts w:ascii="Times New Roman" w:eastAsia="Times New Roman" w:hAnsi="Times New Roman" w:cs="Times New Roman"/>
                <w:b/>
                <w:lang w:eastAsia="hu-HU"/>
              </w:rPr>
            </w:pPr>
            <w:r w:rsidRPr="006A233B">
              <w:rPr>
                <w:rFonts w:ascii="Times New Roman" w:eastAsia="Times New Roman" w:hAnsi="Times New Roman" w:cs="Times New Roman"/>
                <w:b/>
                <w:lang w:eastAsia="hu-HU"/>
              </w:rPr>
              <w:t>Hadtudományi és Honvédtisztképző Kar</w:t>
            </w:r>
          </w:p>
        </w:tc>
        <w:tc>
          <w:tcPr>
            <w:tcW w:w="1620" w:type="dxa"/>
          </w:tcPr>
          <w:p w:rsidR="00BB3A81" w:rsidRPr="006A233B" w:rsidRDefault="00BB3A81" w:rsidP="00FC44E3">
            <w:pPr>
              <w:spacing w:after="0" w:line="240" w:lineRule="auto"/>
              <w:jc w:val="both"/>
              <w:rPr>
                <w:rFonts w:ascii="Times New Roman" w:eastAsia="Times New Roman" w:hAnsi="Times New Roman" w:cs="Times New Roman"/>
                <w:lang w:eastAsia="hu-HU"/>
              </w:rPr>
            </w:pPr>
          </w:p>
        </w:tc>
        <w:tc>
          <w:tcPr>
            <w:tcW w:w="2597" w:type="dxa"/>
          </w:tcPr>
          <w:p w:rsidR="00BB3A81" w:rsidRPr="006A233B" w:rsidRDefault="00BB3A81" w:rsidP="00FC44E3">
            <w:pPr>
              <w:spacing w:after="0" w:line="240" w:lineRule="auto"/>
              <w:jc w:val="both"/>
              <w:rPr>
                <w:rFonts w:ascii="Times New Roman" w:eastAsia="Times New Roman" w:hAnsi="Times New Roman" w:cs="Times New Roman"/>
                <w:lang w:eastAsia="hu-HU"/>
              </w:rPr>
            </w:pPr>
          </w:p>
        </w:tc>
      </w:tr>
    </w:tbl>
    <w:p w:rsidR="00BB3A81" w:rsidRPr="006A233B" w:rsidRDefault="00BB3A81" w:rsidP="00BB3A81">
      <w:pPr>
        <w:widowControl w:val="0"/>
        <w:spacing w:before="120" w:after="120" w:line="240" w:lineRule="auto"/>
        <w:ind w:left="426" w:hanging="142"/>
        <w:jc w:val="center"/>
        <w:rPr>
          <w:rFonts w:ascii="Times New Roman" w:eastAsia="Times New Roman" w:hAnsi="Times New Roman" w:cs="Times New Roman"/>
          <w:b/>
          <w:bCs/>
        </w:rPr>
      </w:pPr>
    </w:p>
    <w:p w:rsidR="00BB3A81" w:rsidRPr="006A233B" w:rsidRDefault="00BB3A81" w:rsidP="00BB3A81">
      <w:pPr>
        <w:widowControl w:val="0"/>
        <w:spacing w:before="120" w:after="120" w:line="240" w:lineRule="auto"/>
        <w:ind w:left="426" w:hanging="142"/>
        <w:jc w:val="center"/>
        <w:rPr>
          <w:rFonts w:ascii="Times New Roman" w:eastAsia="Times New Roman" w:hAnsi="Times New Roman" w:cs="Times New Roman"/>
          <w:b/>
          <w:bCs/>
        </w:rPr>
      </w:pPr>
      <w:r w:rsidRPr="006A233B">
        <w:rPr>
          <w:rFonts w:ascii="Times New Roman" w:eastAsia="Times New Roman" w:hAnsi="Times New Roman" w:cs="Times New Roman"/>
          <w:b/>
          <w:bCs/>
        </w:rPr>
        <w:t>TANTÁRGYI PROGRAM</w:t>
      </w:r>
    </w:p>
    <w:p w:rsidR="00BB3A81" w:rsidRPr="006A233B" w:rsidRDefault="00BB3A81" w:rsidP="00980876">
      <w:pPr>
        <w:widowControl w:val="0"/>
        <w:numPr>
          <w:ilvl w:val="0"/>
          <w:numId w:val="544"/>
        </w:numPr>
        <w:tabs>
          <w:tab w:val="clear" w:pos="720"/>
          <w:tab w:val="num" w:pos="426"/>
        </w:tabs>
        <w:spacing w:before="120" w:after="120" w:line="240" w:lineRule="auto"/>
        <w:ind w:left="641" w:hanging="357"/>
        <w:jc w:val="both"/>
        <w:rPr>
          <w:rFonts w:ascii="Times New Roman" w:eastAsia="Times New Roman" w:hAnsi="Times New Roman" w:cs="Times New Roman"/>
          <w:bCs/>
        </w:rPr>
      </w:pPr>
      <w:r w:rsidRPr="006A233B">
        <w:rPr>
          <w:rFonts w:ascii="Times New Roman" w:eastAsia="Times New Roman" w:hAnsi="Times New Roman" w:cs="Times New Roman"/>
          <w:b/>
          <w:bCs/>
        </w:rPr>
        <w:t xml:space="preserve">A tantárgy kódja: </w:t>
      </w:r>
      <w:r>
        <w:rPr>
          <w:rFonts w:ascii="Times New Roman" w:hAnsi="Times New Roman" w:cs="Times New Roman"/>
          <w:bCs/>
        </w:rPr>
        <w:t>HKHPKA526</w:t>
      </w:r>
    </w:p>
    <w:p w:rsidR="00BB3A81" w:rsidRPr="006A233B" w:rsidRDefault="00BB3A81" w:rsidP="00980876">
      <w:pPr>
        <w:widowControl w:val="0"/>
        <w:numPr>
          <w:ilvl w:val="0"/>
          <w:numId w:val="544"/>
        </w:numPr>
        <w:tabs>
          <w:tab w:val="clear" w:pos="720"/>
          <w:tab w:val="num" w:pos="426"/>
        </w:tabs>
        <w:spacing w:before="120" w:after="120" w:line="240" w:lineRule="auto"/>
        <w:ind w:left="641" w:hanging="357"/>
        <w:jc w:val="both"/>
        <w:rPr>
          <w:rFonts w:ascii="Times New Roman" w:eastAsia="Times New Roman" w:hAnsi="Times New Roman" w:cs="Times New Roman"/>
          <w:b/>
          <w:bCs/>
          <w:lang w:val="en-GB"/>
        </w:rPr>
      </w:pPr>
      <w:r w:rsidRPr="006A233B">
        <w:rPr>
          <w:rFonts w:ascii="Times New Roman" w:eastAsia="Times New Roman" w:hAnsi="Times New Roman" w:cs="Times New Roman"/>
          <w:b/>
          <w:bCs/>
        </w:rPr>
        <w:t>A tantárgy megnevezése (magyarul):</w:t>
      </w:r>
      <w:r w:rsidRPr="006A233B">
        <w:rPr>
          <w:rFonts w:ascii="Times New Roman" w:eastAsia="Times New Roman" w:hAnsi="Times New Roman" w:cs="Times New Roman"/>
          <w:bCs/>
        </w:rPr>
        <w:t xml:space="preserve"> </w:t>
      </w:r>
      <w:r>
        <w:rPr>
          <w:rFonts w:ascii="Times New Roman" w:hAnsi="Times New Roman" w:cs="Times New Roman"/>
          <w:bCs/>
        </w:rPr>
        <w:t>Pénzügyek IV. (Adózás, Társadalombiztosítás)</w:t>
      </w:r>
    </w:p>
    <w:p w:rsidR="00BB3A81" w:rsidRPr="006A233B" w:rsidRDefault="00BB3A81" w:rsidP="00980876">
      <w:pPr>
        <w:widowControl w:val="0"/>
        <w:numPr>
          <w:ilvl w:val="0"/>
          <w:numId w:val="544"/>
        </w:numPr>
        <w:tabs>
          <w:tab w:val="num" w:pos="567"/>
        </w:tabs>
        <w:spacing w:before="120" w:after="120" w:line="240" w:lineRule="auto"/>
        <w:ind w:left="426" w:hanging="142"/>
        <w:jc w:val="both"/>
        <w:rPr>
          <w:rFonts w:ascii="Times New Roman" w:eastAsia="Times New Roman" w:hAnsi="Times New Roman" w:cs="Times New Roman"/>
          <w:b/>
          <w:bCs/>
          <w:lang w:val="en-GB"/>
        </w:rPr>
      </w:pPr>
      <w:r w:rsidRPr="006A233B">
        <w:rPr>
          <w:rFonts w:ascii="Times New Roman" w:eastAsia="Times New Roman" w:hAnsi="Times New Roman" w:cs="Times New Roman"/>
          <w:b/>
          <w:bCs/>
        </w:rPr>
        <w:t xml:space="preserve">A tantárgy megnevezése (angolul): </w:t>
      </w:r>
      <w:r>
        <w:rPr>
          <w:rFonts w:ascii="Times New Roman" w:hAnsi="Times New Roman" w:cs="Times New Roman"/>
          <w:bCs/>
        </w:rPr>
        <w:t>Finances IV. (Taxation, social security)</w:t>
      </w:r>
    </w:p>
    <w:p w:rsidR="00BB3A81" w:rsidRPr="006A233B" w:rsidRDefault="00BB3A81" w:rsidP="00980876">
      <w:pPr>
        <w:widowControl w:val="0"/>
        <w:numPr>
          <w:ilvl w:val="0"/>
          <w:numId w:val="544"/>
        </w:numPr>
        <w:tabs>
          <w:tab w:val="num" w:pos="567"/>
        </w:tabs>
        <w:spacing w:before="120" w:after="120" w:line="240" w:lineRule="auto"/>
        <w:ind w:left="426" w:hanging="142"/>
        <w:jc w:val="both"/>
        <w:rPr>
          <w:rFonts w:ascii="Times New Roman" w:eastAsia="Times New Roman" w:hAnsi="Times New Roman" w:cs="Times New Roman"/>
          <w:b/>
          <w:bCs/>
        </w:rPr>
      </w:pPr>
      <w:r w:rsidRPr="006A233B">
        <w:rPr>
          <w:rFonts w:ascii="Times New Roman" w:eastAsia="Times New Roman" w:hAnsi="Times New Roman" w:cs="Times New Roman"/>
          <w:b/>
          <w:bCs/>
        </w:rPr>
        <w:t xml:space="preserve">Kreditérték és képzési karakter: </w:t>
      </w:r>
    </w:p>
    <w:p w:rsidR="00BB3A81" w:rsidRPr="006A233B" w:rsidRDefault="00BB3A81" w:rsidP="00980876">
      <w:pPr>
        <w:pStyle w:val="Listaszerbekezds"/>
        <w:widowControl w:val="0"/>
        <w:numPr>
          <w:ilvl w:val="1"/>
          <w:numId w:val="544"/>
        </w:numPr>
        <w:tabs>
          <w:tab w:val="clear" w:pos="3977"/>
        </w:tabs>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2</w:t>
      </w:r>
      <w:r w:rsidRPr="006A233B">
        <w:rPr>
          <w:rFonts w:ascii="Times New Roman" w:eastAsia="Times New Roman" w:hAnsi="Times New Roman" w:cs="Times New Roman"/>
          <w:bCs/>
        </w:rPr>
        <w:t xml:space="preserve"> kredit</w:t>
      </w:r>
    </w:p>
    <w:p w:rsidR="00BB3A81" w:rsidRPr="006A233B" w:rsidRDefault="00BB3A81" w:rsidP="00980876">
      <w:pPr>
        <w:pStyle w:val="Listaszerbekezds"/>
        <w:widowControl w:val="0"/>
        <w:numPr>
          <w:ilvl w:val="1"/>
          <w:numId w:val="544"/>
        </w:numPr>
        <w:tabs>
          <w:tab w:val="clear" w:pos="3977"/>
        </w:tabs>
        <w:spacing w:before="120" w:after="120" w:line="240" w:lineRule="auto"/>
        <w:ind w:left="993" w:hanging="426"/>
        <w:jc w:val="both"/>
        <w:rPr>
          <w:rFonts w:ascii="Times New Roman" w:eastAsia="Times New Roman" w:hAnsi="Times New Roman" w:cs="Times New Roman"/>
          <w:b/>
          <w:bCs/>
        </w:rPr>
      </w:pPr>
      <w:r w:rsidRPr="006A233B">
        <w:rPr>
          <w:rFonts w:ascii="Times New Roman" w:eastAsia="Times New Roman" w:hAnsi="Times New Roman" w:cs="Times New Roman"/>
          <w:bCs/>
        </w:rPr>
        <w:t xml:space="preserve">a tantárgy elméleti vagy gyakorlati jellegének mértéke: </w:t>
      </w:r>
      <w:r>
        <w:rPr>
          <w:rFonts w:ascii="Times New Roman" w:eastAsia="Times New Roman" w:hAnsi="Times New Roman" w:cs="Times New Roman"/>
          <w:bCs/>
        </w:rPr>
        <w:t>50</w:t>
      </w:r>
      <w:r w:rsidRPr="006A233B">
        <w:rPr>
          <w:rFonts w:ascii="Times New Roman" w:eastAsia="Times New Roman" w:hAnsi="Times New Roman" w:cs="Times New Roman"/>
          <w:b/>
          <w:bCs/>
        </w:rPr>
        <w:t xml:space="preserve"> </w:t>
      </w:r>
      <w:r w:rsidRPr="006A233B">
        <w:rPr>
          <w:rFonts w:ascii="Times New Roman" w:eastAsia="Times New Roman" w:hAnsi="Times New Roman" w:cs="Times New Roman"/>
          <w:bCs/>
        </w:rPr>
        <w:t xml:space="preserve">% gyakorlat, </w:t>
      </w:r>
      <w:r>
        <w:rPr>
          <w:rFonts w:ascii="Times New Roman" w:eastAsia="Times New Roman" w:hAnsi="Times New Roman" w:cs="Times New Roman"/>
          <w:bCs/>
        </w:rPr>
        <w:t>50</w:t>
      </w:r>
      <w:r w:rsidRPr="006A233B">
        <w:rPr>
          <w:rFonts w:ascii="Times New Roman" w:eastAsia="Times New Roman" w:hAnsi="Times New Roman" w:cs="Times New Roman"/>
          <w:bCs/>
        </w:rPr>
        <w:t xml:space="preserve"> % elmélet</w:t>
      </w:r>
    </w:p>
    <w:p w:rsidR="00BB3A81" w:rsidRPr="006A233B" w:rsidRDefault="00BB3A81" w:rsidP="00980876">
      <w:pPr>
        <w:widowControl w:val="0"/>
        <w:numPr>
          <w:ilvl w:val="0"/>
          <w:numId w:val="544"/>
        </w:numPr>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bCs/>
        </w:rPr>
        <w:t>A szak(ok), szakirányok/specializációk megnevezése (ahol oktatják):</w:t>
      </w:r>
      <w:r w:rsidRPr="006A233B">
        <w:rPr>
          <w:rFonts w:ascii="Times New Roman" w:eastAsia="Times New Roman" w:hAnsi="Times New Roman" w:cs="Times New Roman"/>
          <w:bCs/>
        </w:rPr>
        <w:t xml:space="preserve"> </w:t>
      </w:r>
      <w:r>
        <w:rPr>
          <w:rFonts w:ascii="Times New Roman" w:hAnsi="Times New Roman" w:cs="Times New Roman"/>
          <w:bCs/>
        </w:rPr>
        <w:t>Katonai logisztika alapképzési szak, Hadtáp specializáció</w:t>
      </w:r>
    </w:p>
    <w:p w:rsidR="00BB3A81" w:rsidRPr="006A233B" w:rsidRDefault="00BB3A81" w:rsidP="00980876">
      <w:pPr>
        <w:widowControl w:val="0"/>
        <w:numPr>
          <w:ilvl w:val="0"/>
          <w:numId w:val="544"/>
        </w:numPr>
        <w:tabs>
          <w:tab w:val="num" w:pos="567"/>
        </w:tabs>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bCs/>
        </w:rPr>
        <w:t xml:space="preserve">Az oktatásért felelős oktatási szervezeti egység megnevezése: </w:t>
      </w:r>
      <w:r w:rsidRPr="006A233B">
        <w:rPr>
          <w:rFonts w:ascii="Times New Roman" w:hAnsi="Times New Roman" w:cs="Times New Roman"/>
          <w:bCs/>
        </w:rPr>
        <w:t>NKE HHK Had</w:t>
      </w:r>
      <w:r>
        <w:rPr>
          <w:rFonts w:ascii="Times New Roman" w:hAnsi="Times New Roman" w:cs="Times New Roman"/>
          <w:bCs/>
        </w:rPr>
        <w:t>táp, Pénzügyi és Katonai Közlekedési Tanszék</w:t>
      </w:r>
    </w:p>
    <w:p w:rsidR="00BB3A81" w:rsidRPr="006A233B" w:rsidRDefault="00BB3A81" w:rsidP="00980876">
      <w:pPr>
        <w:widowControl w:val="0"/>
        <w:numPr>
          <w:ilvl w:val="0"/>
          <w:numId w:val="544"/>
        </w:numPr>
        <w:tabs>
          <w:tab w:val="num" w:pos="567"/>
        </w:tabs>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bCs/>
        </w:rPr>
        <w:t>A tantárgyfelelős oktató neve, beosztása, tudományos fokozata:</w:t>
      </w:r>
      <w:r w:rsidRPr="006A233B">
        <w:rPr>
          <w:rFonts w:ascii="Times New Roman" w:eastAsia="Times New Roman" w:hAnsi="Times New Roman" w:cs="Times New Roman"/>
          <w:bCs/>
        </w:rPr>
        <w:t xml:space="preserve"> </w:t>
      </w:r>
      <w:r>
        <w:rPr>
          <w:rFonts w:ascii="Times New Roman" w:eastAsia="Times New Roman" w:hAnsi="Times New Roman" w:cs="Times New Roman"/>
          <w:bCs/>
        </w:rPr>
        <w:t>dr. Kenessei Zsolt, tanársegéd</w:t>
      </w:r>
    </w:p>
    <w:p w:rsidR="00BB3A81" w:rsidRPr="006A233B" w:rsidRDefault="00BB3A81" w:rsidP="00980876">
      <w:pPr>
        <w:widowControl w:val="0"/>
        <w:numPr>
          <w:ilvl w:val="0"/>
          <w:numId w:val="544"/>
        </w:numPr>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bCs/>
        </w:rPr>
        <w:t>A tanórák száma és típusa</w:t>
      </w:r>
    </w:p>
    <w:p w:rsidR="00BB3A81" w:rsidRPr="006A233B" w:rsidRDefault="00BB3A81" w:rsidP="00980876">
      <w:pPr>
        <w:widowControl w:val="0"/>
        <w:numPr>
          <w:ilvl w:val="1"/>
          <w:numId w:val="544"/>
        </w:numPr>
        <w:tabs>
          <w:tab w:val="clear" w:pos="3977"/>
          <w:tab w:val="num" w:pos="709"/>
          <w:tab w:val="num" w:pos="2069"/>
        </w:tabs>
        <w:spacing w:before="120" w:after="120" w:line="240" w:lineRule="auto"/>
        <w:ind w:left="851" w:hanging="425"/>
        <w:jc w:val="both"/>
        <w:rPr>
          <w:rFonts w:ascii="Times New Roman" w:eastAsia="Times New Roman" w:hAnsi="Times New Roman" w:cs="Times New Roman"/>
          <w:bCs/>
        </w:rPr>
      </w:pPr>
      <w:r w:rsidRPr="006A233B">
        <w:rPr>
          <w:rFonts w:ascii="Times New Roman" w:eastAsia="Times New Roman" w:hAnsi="Times New Roman" w:cs="Times New Roman"/>
          <w:bCs/>
        </w:rPr>
        <w:t>össz óraszám/félév:</w:t>
      </w:r>
    </w:p>
    <w:p w:rsidR="00BB3A81" w:rsidRPr="006A233B" w:rsidRDefault="00BB3A81" w:rsidP="00980876">
      <w:pPr>
        <w:widowControl w:val="0"/>
        <w:numPr>
          <w:ilvl w:val="2"/>
          <w:numId w:val="544"/>
        </w:numPr>
        <w:tabs>
          <w:tab w:val="num" w:pos="709"/>
          <w:tab w:val="num" w:pos="1134"/>
        </w:tabs>
        <w:spacing w:before="120" w:after="120" w:line="240" w:lineRule="auto"/>
        <w:ind w:left="993" w:hanging="425"/>
        <w:jc w:val="both"/>
        <w:rPr>
          <w:rFonts w:ascii="Times New Roman" w:eastAsia="Times New Roman" w:hAnsi="Times New Roman" w:cs="Times New Roman"/>
          <w:bCs/>
        </w:rPr>
      </w:pPr>
      <w:r w:rsidRPr="006A233B">
        <w:rPr>
          <w:rFonts w:ascii="Times New Roman" w:eastAsia="Times New Roman" w:hAnsi="Times New Roman" w:cs="Times New Roman"/>
          <w:bCs/>
        </w:rPr>
        <w:t xml:space="preserve">nappali munkarend: </w:t>
      </w:r>
      <w:r>
        <w:rPr>
          <w:rFonts w:ascii="Times New Roman" w:eastAsia="Times New Roman" w:hAnsi="Times New Roman" w:cs="Times New Roman"/>
          <w:bCs/>
        </w:rPr>
        <w:t>28</w:t>
      </w:r>
      <w:r w:rsidRPr="006A233B">
        <w:rPr>
          <w:rFonts w:ascii="Times New Roman" w:eastAsia="Times New Roman" w:hAnsi="Times New Roman" w:cs="Times New Roman"/>
          <w:bCs/>
        </w:rPr>
        <w:t xml:space="preserve"> (</w:t>
      </w:r>
      <w:r>
        <w:rPr>
          <w:rFonts w:ascii="Times New Roman" w:eastAsia="Times New Roman" w:hAnsi="Times New Roman" w:cs="Times New Roman"/>
          <w:bCs/>
        </w:rPr>
        <w:t>14</w:t>
      </w:r>
      <w:r w:rsidRPr="006A233B">
        <w:rPr>
          <w:rFonts w:ascii="Times New Roman" w:eastAsia="Times New Roman" w:hAnsi="Times New Roman" w:cs="Times New Roman"/>
          <w:bCs/>
        </w:rPr>
        <w:t xml:space="preserve"> EA + 0 SZ + </w:t>
      </w:r>
      <w:r>
        <w:rPr>
          <w:rFonts w:ascii="Times New Roman" w:eastAsia="Times New Roman" w:hAnsi="Times New Roman" w:cs="Times New Roman"/>
          <w:bCs/>
        </w:rPr>
        <w:t>14</w:t>
      </w:r>
      <w:r w:rsidRPr="006A233B">
        <w:rPr>
          <w:rFonts w:ascii="Times New Roman" w:eastAsia="Times New Roman" w:hAnsi="Times New Roman" w:cs="Times New Roman"/>
          <w:bCs/>
        </w:rPr>
        <w:t xml:space="preserve"> GY)</w:t>
      </w:r>
    </w:p>
    <w:p w:rsidR="00BB3A81" w:rsidRPr="006A233B" w:rsidRDefault="00BB3A81" w:rsidP="00980876">
      <w:pPr>
        <w:widowControl w:val="0"/>
        <w:numPr>
          <w:ilvl w:val="2"/>
          <w:numId w:val="544"/>
        </w:numPr>
        <w:tabs>
          <w:tab w:val="num" w:pos="709"/>
          <w:tab w:val="num" w:pos="1134"/>
        </w:tabs>
        <w:spacing w:before="120" w:after="120" w:line="240" w:lineRule="auto"/>
        <w:ind w:left="993" w:hanging="425"/>
        <w:jc w:val="both"/>
        <w:rPr>
          <w:rFonts w:ascii="Times New Roman" w:eastAsia="Times New Roman" w:hAnsi="Times New Roman" w:cs="Times New Roman"/>
          <w:bCs/>
        </w:rPr>
      </w:pPr>
      <w:r w:rsidRPr="006A233B">
        <w:rPr>
          <w:rFonts w:ascii="Times New Roman" w:eastAsia="Times New Roman" w:hAnsi="Times New Roman" w:cs="Times New Roman"/>
          <w:bCs/>
        </w:rPr>
        <w:t xml:space="preserve">levelező munkarend: </w:t>
      </w:r>
      <w:r>
        <w:rPr>
          <w:rFonts w:ascii="Times New Roman" w:eastAsia="Times New Roman" w:hAnsi="Times New Roman" w:cs="Times New Roman"/>
          <w:bCs/>
        </w:rPr>
        <w:t>-</w:t>
      </w:r>
    </w:p>
    <w:p w:rsidR="00BB3A81" w:rsidRPr="006A233B" w:rsidRDefault="00BB3A81" w:rsidP="00980876">
      <w:pPr>
        <w:widowControl w:val="0"/>
        <w:numPr>
          <w:ilvl w:val="1"/>
          <w:numId w:val="544"/>
        </w:numPr>
        <w:tabs>
          <w:tab w:val="clear" w:pos="3977"/>
          <w:tab w:val="num" w:pos="709"/>
          <w:tab w:val="num" w:pos="2069"/>
        </w:tabs>
        <w:spacing w:before="120" w:after="120" w:line="240" w:lineRule="auto"/>
        <w:ind w:left="851" w:hanging="425"/>
        <w:jc w:val="both"/>
        <w:rPr>
          <w:rFonts w:ascii="Times New Roman" w:eastAsia="Times New Roman" w:hAnsi="Times New Roman" w:cs="Times New Roman"/>
          <w:bCs/>
        </w:rPr>
      </w:pPr>
      <w:r w:rsidRPr="006A233B">
        <w:rPr>
          <w:rFonts w:ascii="Times New Roman" w:eastAsia="Times New Roman" w:hAnsi="Times New Roman" w:cs="Times New Roman"/>
          <w:bCs/>
        </w:rPr>
        <w:t xml:space="preserve">heti óraszám - nappali munkarend: </w:t>
      </w:r>
      <w:r>
        <w:rPr>
          <w:rFonts w:ascii="Times New Roman" w:eastAsia="Times New Roman" w:hAnsi="Times New Roman" w:cs="Times New Roman"/>
          <w:bCs/>
        </w:rPr>
        <w:t>2</w:t>
      </w:r>
    </w:p>
    <w:p w:rsidR="00BB3A81" w:rsidRPr="006A233B" w:rsidRDefault="00BB3A81" w:rsidP="00980876">
      <w:pPr>
        <w:widowControl w:val="0"/>
        <w:numPr>
          <w:ilvl w:val="1"/>
          <w:numId w:val="544"/>
        </w:numPr>
        <w:tabs>
          <w:tab w:val="clear" w:pos="3977"/>
          <w:tab w:val="num" w:pos="709"/>
          <w:tab w:val="num" w:pos="2069"/>
        </w:tabs>
        <w:spacing w:before="120" w:after="120" w:line="240" w:lineRule="auto"/>
        <w:ind w:left="851" w:hanging="425"/>
        <w:jc w:val="both"/>
        <w:rPr>
          <w:rFonts w:ascii="Times New Roman" w:eastAsia="Times New Roman" w:hAnsi="Times New Roman" w:cs="Times New Roman"/>
          <w:bCs/>
        </w:rPr>
      </w:pPr>
      <w:r w:rsidRPr="006A233B">
        <w:rPr>
          <w:rFonts w:ascii="Times New Roman" w:hAnsi="Times New Roman" w:cs="Times New Roman"/>
        </w:rPr>
        <w:t>Az ismeret átadásában alkalmazandó további sajátos módok, jellemzők:</w:t>
      </w:r>
      <w:r w:rsidRPr="006A233B">
        <w:rPr>
          <w:rFonts w:ascii="Times New Roman" w:hAnsi="Times New Roman" w:cs="Times New Roman"/>
          <w:i/>
        </w:rPr>
        <w:t xml:space="preserve"> –</w:t>
      </w:r>
    </w:p>
    <w:p w:rsidR="00BB3A81" w:rsidRPr="006A233B" w:rsidRDefault="00BB3A81" w:rsidP="00980876">
      <w:pPr>
        <w:widowControl w:val="0"/>
        <w:numPr>
          <w:ilvl w:val="0"/>
          <w:numId w:val="544"/>
        </w:numPr>
        <w:tabs>
          <w:tab w:val="clear" w:pos="720"/>
        </w:tabs>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bCs/>
        </w:rPr>
        <w:t>A tantárgy szakmai tartalma (magyarul):</w:t>
      </w:r>
      <w:r w:rsidRPr="006A233B">
        <w:rPr>
          <w:rFonts w:ascii="Times New Roman" w:eastAsia="Times New Roman" w:hAnsi="Times New Roman" w:cs="Times New Roman"/>
          <w:bCs/>
        </w:rPr>
        <w:t xml:space="preserve"> </w:t>
      </w:r>
      <w:r w:rsidRPr="00E15171">
        <w:rPr>
          <w:rFonts w:ascii="Times New Roman" w:hAnsi="Times New Roman" w:cs="Times New Roman"/>
          <w:bCs/>
        </w:rPr>
        <w:t>A tantárgy a</w:t>
      </w:r>
      <w:r>
        <w:rPr>
          <w:rFonts w:ascii="Times New Roman" w:hAnsi="Times New Roman" w:cs="Times New Roman"/>
          <w:bCs/>
        </w:rPr>
        <w:t xml:space="preserve"> hazai adórendszerrel, a hazai adójogszabályok helyes értelmezésével foglalkozik. A tantárgy további témái, a</w:t>
      </w:r>
      <w:r>
        <w:rPr>
          <w:rFonts w:ascii="Times New Roman" w:eastAsia="Times New Roman" w:hAnsi="Times New Roman" w:cs="Times New Roman"/>
          <w:bCs/>
        </w:rPr>
        <w:t xml:space="preserve"> társadalombiztosítás alapfogalmai, rendszere, szerkezete, a társadalombiztosítási szervek működése, a társadalombiztosítás pénzügyi fedezete, finanszírozása, illetve egyes társadalombiztosítási ellátások</w:t>
      </w:r>
    </w:p>
    <w:p w:rsidR="00BB3A81" w:rsidRPr="00E90621" w:rsidRDefault="00BB3A81" w:rsidP="00BB3A81">
      <w:pPr>
        <w:widowControl w:val="0"/>
        <w:spacing w:before="120" w:after="120" w:line="240" w:lineRule="auto"/>
        <w:ind w:left="426"/>
        <w:jc w:val="both"/>
        <w:rPr>
          <w:rFonts w:ascii="Times New Roman" w:hAnsi="Times New Roman" w:cs="Times New Roman"/>
          <w:bCs/>
          <w:lang w:val="en-US"/>
        </w:rPr>
      </w:pPr>
      <w:r w:rsidRPr="006A233B">
        <w:rPr>
          <w:rFonts w:ascii="Times New Roman" w:eastAsia="Times New Roman" w:hAnsi="Times New Roman" w:cs="Times New Roman"/>
          <w:b/>
          <w:bCs/>
        </w:rPr>
        <w:t>A tantárgy szakmai tartalma (angolul) (</w:t>
      </w:r>
      <w:r w:rsidRPr="006A233B">
        <w:rPr>
          <w:rFonts w:ascii="Times New Roman" w:eastAsia="Times New Roman" w:hAnsi="Times New Roman" w:cs="Times New Roman"/>
          <w:b/>
          <w:bCs/>
          <w:lang w:val="en-US"/>
        </w:rPr>
        <w:t>Course description</w:t>
      </w:r>
      <w:r w:rsidRPr="006A233B">
        <w:rPr>
          <w:rFonts w:ascii="Times New Roman" w:eastAsia="Times New Roman" w:hAnsi="Times New Roman" w:cs="Times New Roman"/>
          <w:b/>
          <w:bCs/>
        </w:rPr>
        <w:t xml:space="preserve">): </w:t>
      </w:r>
      <w:r w:rsidRPr="00E15171">
        <w:rPr>
          <w:rFonts w:ascii="Times New Roman" w:hAnsi="Times New Roman" w:cs="Times New Roman"/>
          <w:bCs/>
          <w:lang w:val="en-US"/>
        </w:rPr>
        <w:t>This subject deals with</w:t>
      </w:r>
      <w:r>
        <w:rPr>
          <w:rFonts w:ascii="Times New Roman" w:hAnsi="Times New Roman" w:cs="Times New Roman"/>
          <w:bCs/>
          <w:lang w:val="en-US"/>
        </w:rPr>
        <w:t xml:space="preserve"> the hungarian</w:t>
      </w:r>
      <w:r w:rsidRPr="00E15171">
        <w:rPr>
          <w:rFonts w:ascii="Times New Roman" w:hAnsi="Times New Roman" w:cs="Times New Roman"/>
          <w:bCs/>
          <w:lang w:val="en-US"/>
        </w:rPr>
        <w:t xml:space="preserve"> </w:t>
      </w:r>
      <w:r>
        <w:rPr>
          <w:rFonts w:ascii="Times New Roman" w:hAnsi="Times New Roman" w:cs="Times New Roman"/>
          <w:bCs/>
          <w:lang w:val="en-US"/>
        </w:rPr>
        <w:t>tax system and the correct interpretation of tax legislations.Further topics of the subject are: b</w:t>
      </w:r>
      <w:r w:rsidRPr="00E766D1">
        <w:rPr>
          <w:rFonts w:ascii="Times New Roman" w:hAnsi="Times New Roman" w:cs="Times New Roman"/>
          <w:bCs/>
          <w:lang w:val="en-US"/>
        </w:rPr>
        <w:t>asic concepts, system and structure of social insurance</w:t>
      </w:r>
      <w:r>
        <w:rPr>
          <w:rFonts w:ascii="Times New Roman" w:hAnsi="Times New Roman" w:cs="Times New Roman"/>
          <w:bCs/>
          <w:lang w:val="en-US"/>
        </w:rPr>
        <w:t>,</w:t>
      </w:r>
      <w:r w:rsidRPr="00E766D1">
        <w:rPr>
          <w:rFonts w:ascii="Times New Roman" w:hAnsi="Times New Roman" w:cs="Times New Roman"/>
          <w:bCs/>
          <w:lang w:val="en-US"/>
        </w:rPr>
        <w:t xml:space="preserve"> </w:t>
      </w:r>
      <w:r>
        <w:rPr>
          <w:rFonts w:ascii="Times New Roman" w:hAnsi="Times New Roman" w:cs="Times New Roman"/>
          <w:bCs/>
          <w:lang w:val="en-US"/>
        </w:rPr>
        <w:t>o</w:t>
      </w:r>
      <w:r w:rsidRPr="00E766D1">
        <w:rPr>
          <w:rFonts w:ascii="Times New Roman" w:hAnsi="Times New Roman" w:cs="Times New Roman"/>
          <w:bCs/>
          <w:lang w:val="en-US"/>
        </w:rPr>
        <w:t>peration of social security institutions</w:t>
      </w:r>
      <w:r>
        <w:rPr>
          <w:rFonts w:ascii="Times New Roman" w:hAnsi="Times New Roman" w:cs="Times New Roman"/>
          <w:bCs/>
          <w:lang w:val="en-US"/>
        </w:rPr>
        <w:t>,</w:t>
      </w:r>
      <w:r w:rsidRPr="00E766D1">
        <w:rPr>
          <w:rFonts w:ascii="Times New Roman" w:hAnsi="Times New Roman" w:cs="Times New Roman"/>
          <w:bCs/>
          <w:lang w:val="en-US"/>
        </w:rPr>
        <w:t xml:space="preserve"> </w:t>
      </w:r>
      <w:r>
        <w:rPr>
          <w:rFonts w:ascii="Times New Roman" w:hAnsi="Times New Roman" w:cs="Times New Roman"/>
          <w:bCs/>
          <w:lang w:val="en-US"/>
        </w:rPr>
        <w:t>f</w:t>
      </w:r>
      <w:r w:rsidRPr="00E766D1">
        <w:rPr>
          <w:rFonts w:ascii="Times New Roman" w:hAnsi="Times New Roman" w:cs="Times New Roman"/>
          <w:bCs/>
          <w:lang w:val="en-US"/>
        </w:rPr>
        <w:t>inancial coverage and financing of social insurance</w:t>
      </w:r>
      <w:r>
        <w:rPr>
          <w:rFonts w:ascii="Times New Roman" w:hAnsi="Times New Roman" w:cs="Times New Roman"/>
          <w:bCs/>
          <w:lang w:val="en-US"/>
        </w:rPr>
        <w:t>, and c</w:t>
      </w:r>
      <w:r w:rsidRPr="00E766D1">
        <w:rPr>
          <w:rFonts w:ascii="Times New Roman" w:hAnsi="Times New Roman" w:cs="Times New Roman"/>
          <w:bCs/>
          <w:lang w:val="en-US"/>
        </w:rPr>
        <w:t>ertain social security benefits.</w:t>
      </w:r>
    </w:p>
    <w:p w:rsidR="00BB3A81" w:rsidRPr="00E90621" w:rsidRDefault="00BB3A81" w:rsidP="00980876">
      <w:pPr>
        <w:pStyle w:val="Listaszerbekezds"/>
        <w:widowControl w:val="0"/>
        <w:numPr>
          <w:ilvl w:val="0"/>
          <w:numId w:val="544"/>
        </w:numPr>
        <w:tabs>
          <w:tab w:val="clear" w:pos="720"/>
          <w:tab w:val="num" w:pos="426"/>
        </w:tabs>
        <w:spacing w:before="120" w:after="120" w:line="240" w:lineRule="auto"/>
        <w:jc w:val="both"/>
        <w:rPr>
          <w:rFonts w:ascii="Times New Roman" w:hAnsi="Times New Roman" w:cs="Times New Roman"/>
          <w:bCs/>
          <w:lang w:val="en-US"/>
        </w:rPr>
      </w:pPr>
      <w:r w:rsidRPr="00E90621">
        <w:rPr>
          <w:rFonts w:ascii="Times New Roman" w:eastAsia="Times New Roman" w:hAnsi="Times New Roman" w:cs="Times New Roman"/>
          <w:b/>
          <w:bCs/>
        </w:rPr>
        <w:t>Elérendő kompetenciák (magyarul):</w:t>
      </w:r>
      <w:r w:rsidRPr="00E90621">
        <w:rPr>
          <w:rFonts w:ascii="Times New Roman" w:eastAsia="Times New Roman" w:hAnsi="Times New Roman" w:cs="Times New Roman"/>
          <w:bCs/>
        </w:rPr>
        <w:t xml:space="preserve"> </w:t>
      </w:r>
    </w:p>
    <w:p w:rsidR="00BB3A81" w:rsidRPr="00DC607B" w:rsidRDefault="00BB3A81" w:rsidP="00BB3A81">
      <w:pPr>
        <w:widowControl w:val="0"/>
        <w:spacing w:before="120" w:after="0" w:line="240" w:lineRule="auto"/>
        <w:ind w:left="425"/>
        <w:jc w:val="both"/>
        <w:rPr>
          <w:rFonts w:ascii="Times New Roman" w:eastAsia="Times New Roman" w:hAnsi="Times New Roman" w:cs="Times New Roman"/>
          <w:bCs/>
        </w:rPr>
      </w:pPr>
      <w:r w:rsidRPr="00DC607B">
        <w:rPr>
          <w:rFonts w:ascii="Times New Roman" w:eastAsia="Times New Roman" w:hAnsi="Times New Roman" w:cs="Times New Roman"/>
          <w:b/>
          <w:bCs/>
        </w:rPr>
        <w:t>Tudása:</w:t>
      </w:r>
    </w:p>
    <w:p w:rsidR="00BB3A81" w:rsidRDefault="00BB3A81" w:rsidP="00980876">
      <w:pPr>
        <w:pStyle w:val="Listaszerbekezds"/>
        <w:widowControl w:val="0"/>
        <w:numPr>
          <w:ilvl w:val="0"/>
          <w:numId w:val="355"/>
        </w:numPr>
        <w:spacing w:after="0" w:line="240" w:lineRule="auto"/>
        <w:ind w:left="992" w:hanging="357"/>
        <w:jc w:val="both"/>
        <w:rPr>
          <w:rFonts w:ascii="Times New Roman" w:hAnsi="Times New Roman" w:cs="Times New Roman"/>
        </w:rPr>
      </w:pPr>
      <w:r w:rsidRPr="00587989">
        <w:rPr>
          <w:rFonts w:ascii="Times New Roman" w:hAnsi="Times New Roman" w:cs="Times New Roman"/>
        </w:rPr>
        <w:t>Ismeri a gazdaság és a piacok működésének alapjait.</w:t>
      </w:r>
    </w:p>
    <w:p w:rsidR="00BB3A81" w:rsidRPr="00587989" w:rsidRDefault="00BB3A81" w:rsidP="00980876">
      <w:pPr>
        <w:pStyle w:val="Listaszerbekezds"/>
        <w:widowControl w:val="0"/>
        <w:numPr>
          <w:ilvl w:val="0"/>
          <w:numId w:val="355"/>
        </w:numPr>
        <w:spacing w:after="0" w:line="240" w:lineRule="auto"/>
        <w:ind w:left="992" w:hanging="357"/>
        <w:jc w:val="both"/>
        <w:rPr>
          <w:rFonts w:ascii="Times New Roman" w:hAnsi="Times New Roman" w:cs="Times New Roman"/>
        </w:rPr>
      </w:pPr>
      <w:r w:rsidRPr="00587989">
        <w:rPr>
          <w:rFonts w:ascii="Times New Roman" w:hAnsi="Times New Roman" w:cs="Times New Roman"/>
        </w:rPr>
        <w:t>Ismeri az adózás rendszerének alapjait.</w:t>
      </w:r>
    </w:p>
    <w:p w:rsidR="00BB3A81" w:rsidRPr="00DC607B" w:rsidRDefault="00BB3A81" w:rsidP="00BB3A81">
      <w:pPr>
        <w:widowControl w:val="0"/>
        <w:spacing w:before="120" w:after="0" w:line="240" w:lineRule="auto"/>
        <w:ind w:left="425"/>
        <w:jc w:val="both"/>
        <w:rPr>
          <w:rFonts w:ascii="Times New Roman" w:eastAsia="Times New Roman" w:hAnsi="Times New Roman" w:cs="Times New Roman"/>
          <w:bCs/>
        </w:rPr>
      </w:pPr>
      <w:r w:rsidRPr="00DC607B">
        <w:rPr>
          <w:rFonts w:ascii="Times New Roman" w:eastAsia="Times New Roman" w:hAnsi="Times New Roman" w:cs="Times New Roman"/>
          <w:b/>
          <w:bCs/>
        </w:rPr>
        <w:t>Képességei:</w:t>
      </w:r>
      <w:r w:rsidRPr="00DC607B">
        <w:rPr>
          <w:rFonts w:ascii="Times New Roman" w:eastAsia="Times New Roman" w:hAnsi="Times New Roman" w:cs="Times New Roman"/>
          <w:bCs/>
        </w:rPr>
        <w:t xml:space="preserve"> </w:t>
      </w:r>
    </w:p>
    <w:p w:rsidR="00BB3A81" w:rsidRDefault="00BB3A81" w:rsidP="00980876">
      <w:pPr>
        <w:pStyle w:val="Listaszerbekezds"/>
        <w:widowControl w:val="0"/>
        <w:numPr>
          <w:ilvl w:val="0"/>
          <w:numId w:val="356"/>
        </w:numPr>
        <w:spacing w:after="0" w:line="240" w:lineRule="auto"/>
        <w:ind w:left="992" w:hanging="357"/>
        <w:jc w:val="both"/>
        <w:rPr>
          <w:rFonts w:ascii="Times New Roman" w:hAnsi="Times New Roman" w:cs="Times New Roman"/>
        </w:rPr>
      </w:pPr>
      <w:r w:rsidRPr="00587989">
        <w:rPr>
          <w:rFonts w:ascii="Times New Roman" w:hAnsi="Times New Roman" w:cs="Times New Roman"/>
        </w:rPr>
        <w:t>Képes pontos és precíz logisztikai, illetve gazdálkodási számvetéseket készíteni.</w:t>
      </w:r>
    </w:p>
    <w:p w:rsidR="00BB3A81" w:rsidRDefault="00BB3A81" w:rsidP="00980876">
      <w:pPr>
        <w:pStyle w:val="Listaszerbekezds"/>
        <w:widowControl w:val="0"/>
        <w:numPr>
          <w:ilvl w:val="0"/>
          <w:numId w:val="356"/>
        </w:numPr>
        <w:spacing w:after="0" w:line="240" w:lineRule="auto"/>
        <w:ind w:left="992" w:hanging="357"/>
        <w:jc w:val="both"/>
        <w:rPr>
          <w:rFonts w:ascii="Times New Roman" w:hAnsi="Times New Roman" w:cs="Times New Roman"/>
        </w:rPr>
      </w:pPr>
      <w:r w:rsidRPr="00587989">
        <w:rPr>
          <w:rFonts w:ascii="Times New Roman" w:hAnsi="Times New Roman" w:cs="Times New Roman"/>
        </w:rPr>
        <w:t>Képes gazdálkodási feladatok alapszintű tervezésére, szervezésére, irányítására és az ebből adódó tevékenységek gazdasági elemzésinek végrehajtására.</w:t>
      </w:r>
    </w:p>
    <w:p w:rsidR="00BB3A81" w:rsidRPr="00587989" w:rsidRDefault="00BB3A81" w:rsidP="00980876">
      <w:pPr>
        <w:pStyle w:val="Listaszerbekezds"/>
        <w:widowControl w:val="0"/>
        <w:numPr>
          <w:ilvl w:val="0"/>
          <w:numId w:val="356"/>
        </w:numPr>
        <w:spacing w:after="0" w:line="240" w:lineRule="auto"/>
        <w:ind w:left="992" w:hanging="357"/>
        <w:jc w:val="both"/>
        <w:rPr>
          <w:rFonts w:ascii="Times New Roman" w:hAnsi="Times New Roman" w:cs="Times New Roman"/>
        </w:rPr>
      </w:pPr>
      <w:r w:rsidRPr="00587989">
        <w:rPr>
          <w:rFonts w:ascii="Times New Roman" w:hAnsi="Times New Roman" w:cs="Times New Roman"/>
        </w:rPr>
        <w:t>Képes egység szintű közbeszerzéseket lefolytatni.</w:t>
      </w:r>
    </w:p>
    <w:p w:rsidR="00BB3A81" w:rsidRPr="00DC607B" w:rsidRDefault="00BB3A81" w:rsidP="00BB3A81">
      <w:pPr>
        <w:widowControl w:val="0"/>
        <w:spacing w:before="120" w:after="0" w:line="240" w:lineRule="auto"/>
        <w:ind w:left="425"/>
        <w:jc w:val="both"/>
        <w:rPr>
          <w:rFonts w:ascii="Times New Roman" w:eastAsia="Times New Roman" w:hAnsi="Times New Roman" w:cs="Times New Roman"/>
          <w:bCs/>
        </w:rPr>
      </w:pPr>
      <w:r w:rsidRPr="00DC607B">
        <w:rPr>
          <w:rFonts w:ascii="Times New Roman" w:eastAsia="Times New Roman" w:hAnsi="Times New Roman" w:cs="Times New Roman"/>
          <w:b/>
          <w:bCs/>
        </w:rPr>
        <w:t>Attitűdje:</w:t>
      </w:r>
      <w:r w:rsidRPr="00DC607B">
        <w:rPr>
          <w:rFonts w:ascii="Times New Roman" w:eastAsia="Times New Roman" w:hAnsi="Times New Roman" w:cs="Times New Roman"/>
          <w:bCs/>
        </w:rPr>
        <w:t xml:space="preserve"> </w:t>
      </w:r>
    </w:p>
    <w:p w:rsidR="00BB3A81" w:rsidRDefault="00BB3A81" w:rsidP="00980876">
      <w:pPr>
        <w:pStyle w:val="Listaszerbekezds"/>
        <w:numPr>
          <w:ilvl w:val="0"/>
          <w:numId w:val="357"/>
        </w:numPr>
        <w:autoSpaceDE w:val="0"/>
        <w:autoSpaceDN w:val="0"/>
        <w:adjustRightInd w:val="0"/>
        <w:spacing w:after="0" w:line="240" w:lineRule="auto"/>
        <w:ind w:left="992" w:hanging="357"/>
        <w:jc w:val="both"/>
        <w:rPr>
          <w:rFonts w:ascii="Times New Roman" w:hAnsi="Times New Roman" w:cs="Times New Roman"/>
        </w:rPr>
      </w:pPr>
      <w:r w:rsidRPr="00587989">
        <w:rPr>
          <w:rFonts w:ascii="Times New Roman" w:hAnsi="Times New Roman" w:cs="Times New Roman"/>
        </w:rPr>
        <w:t>A minőségi szakmai munkavégzés iránt elkötelezett, azt a pontosságra való törekvés jellemzi.</w:t>
      </w:r>
    </w:p>
    <w:p w:rsidR="00BB3A81" w:rsidRDefault="00BB3A81" w:rsidP="00980876">
      <w:pPr>
        <w:pStyle w:val="Listaszerbekezds"/>
        <w:numPr>
          <w:ilvl w:val="0"/>
          <w:numId w:val="357"/>
        </w:numPr>
        <w:autoSpaceDE w:val="0"/>
        <w:autoSpaceDN w:val="0"/>
        <w:adjustRightInd w:val="0"/>
        <w:spacing w:after="0" w:line="240" w:lineRule="auto"/>
        <w:ind w:left="992" w:hanging="357"/>
        <w:jc w:val="both"/>
        <w:rPr>
          <w:rFonts w:ascii="Times New Roman" w:hAnsi="Times New Roman" w:cs="Times New Roman"/>
        </w:rPr>
      </w:pPr>
      <w:r w:rsidRPr="00587989">
        <w:rPr>
          <w:rFonts w:ascii="Times New Roman" w:hAnsi="Times New Roman" w:cs="Times New Roman"/>
        </w:rPr>
        <w:lastRenderedPageBreak/>
        <w:t>Felismeri a rendszerszintű tevékenységben rejlő értékeket, törekszik a logisztikai tevékenységek közötti kapcsolatok értelmezésére.</w:t>
      </w:r>
    </w:p>
    <w:p w:rsidR="00BB3A81" w:rsidRPr="00587989" w:rsidRDefault="00BB3A81" w:rsidP="00980876">
      <w:pPr>
        <w:pStyle w:val="Listaszerbekezds"/>
        <w:numPr>
          <w:ilvl w:val="0"/>
          <w:numId w:val="357"/>
        </w:numPr>
        <w:autoSpaceDE w:val="0"/>
        <w:autoSpaceDN w:val="0"/>
        <w:adjustRightInd w:val="0"/>
        <w:spacing w:after="0" w:line="240" w:lineRule="auto"/>
        <w:ind w:left="992" w:hanging="357"/>
        <w:jc w:val="both"/>
        <w:rPr>
          <w:rFonts w:ascii="Times New Roman" w:hAnsi="Times New Roman" w:cs="Times New Roman"/>
        </w:rPr>
      </w:pPr>
      <w:r w:rsidRPr="00587989">
        <w:rPr>
          <w:rFonts w:ascii="Times New Roman" w:hAnsi="Times New Roman" w:cs="Times New Roman"/>
        </w:rPr>
        <w:t>Tevékenységét a hatékonyság központú szemlélet jellemzi.</w:t>
      </w:r>
    </w:p>
    <w:p w:rsidR="00BB3A81" w:rsidRPr="006A233B" w:rsidRDefault="00BB3A81" w:rsidP="00BB3A81">
      <w:pPr>
        <w:widowControl w:val="0"/>
        <w:spacing w:before="120" w:after="0" w:line="240" w:lineRule="auto"/>
        <w:ind w:left="425"/>
        <w:jc w:val="both"/>
        <w:rPr>
          <w:rFonts w:ascii="Times New Roman" w:eastAsia="Times New Roman" w:hAnsi="Times New Roman" w:cs="Times New Roman"/>
          <w:bCs/>
        </w:rPr>
      </w:pPr>
      <w:r w:rsidRPr="006A233B">
        <w:rPr>
          <w:rFonts w:ascii="Times New Roman" w:eastAsia="Times New Roman" w:hAnsi="Times New Roman" w:cs="Times New Roman"/>
          <w:b/>
          <w:bCs/>
        </w:rPr>
        <w:t>Autonómiája és felelőssége:</w:t>
      </w:r>
    </w:p>
    <w:p w:rsidR="00BB3A81" w:rsidRDefault="00BB3A81" w:rsidP="00980876">
      <w:pPr>
        <w:pStyle w:val="Listaszerbekezds"/>
        <w:widowControl w:val="0"/>
        <w:numPr>
          <w:ilvl w:val="0"/>
          <w:numId w:val="358"/>
        </w:numPr>
        <w:spacing w:after="0" w:line="240" w:lineRule="auto"/>
        <w:ind w:left="992" w:hanging="357"/>
        <w:jc w:val="both"/>
        <w:rPr>
          <w:rFonts w:ascii="Times New Roman" w:hAnsi="Times New Roman" w:cs="Times New Roman"/>
        </w:rPr>
      </w:pPr>
      <w:r w:rsidRPr="00587989">
        <w:rPr>
          <w:rFonts w:ascii="Times New Roman" w:hAnsi="Times New Roman" w:cs="Times New Roman"/>
        </w:rPr>
        <w:t>Felelősséget vállal számvetéseinek pontosságáért.</w:t>
      </w:r>
    </w:p>
    <w:p w:rsidR="00BB3A81" w:rsidRPr="00587989" w:rsidRDefault="00BB3A81" w:rsidP="00980876">
      <w:pPr>
        <w:pStyle w:val="Listaszerbekezds"/>
        <w:widowControl w:val="0"/>
        <w:numPr>
          <w:ilvl w:val="0"/>
          <w:numId w:val="358"/>
        </w:numPr>
        <w:spacing w:after="0" w:line="240" w:lineRule="auto"/>
        <w:ind w:left="992" w:hanging="357"/>
        <w:jc w:val="both"/>
        <w:rPr>
          <w:rFonts w:ascii="Times New Roman" w:hAnsi="Times New Roman" w:cs="Times New Roman"/>
        </w:rPr>
      </w:pPr>
      <w:r w:rsidRPr="00587989">
        <w:rPr>
          <w:rFonts w:ascii="Times New Roman" w:hAnsi="Times New Roman" w:cs="Times New Roman"/>
        </w:rPr>
        <w:t>Felelősséget vállal az általa készített dokumentumok szakmai, jogszabályoknak való maradéktalan megfelelőségért.</w:t>
      </w:r>
    </w:p>
    <w:p w:rsidR="00BB3A81" w:rsidRPr="004A67AB" w:rsidRDefault="00BB3A81" w:rsidP="00BB3A81">
      <w:pPr>
        <w:widowControl w:val="0"/>
        <w:spacing w:before="120" w:after="0" w:line="240" w:lineRule="auto"/>
        <w:ind w:left="425"/>
        <w:jc w:val="both"/>
        <w:rPr>
          <w:rFonts w:ascii="Times New Roman" w:eastAsia="Times New Roman" w:hAnsi="Times New Roman" w:cs="Times New Roman"/>
          <w:b/>
          <w:bCs/>
          <w:lang w:val="en-US"/>
        </w:rPr>
      </w:pPr>
      <w:r w:rsidRPr="006A233B">
        <w:rPr>
          <w:rFonts w:ascii="Times New Roman" w:eastAsia="Times New Roman" w:hAnsi="Times New Roman" w:cs="Times New Roman"/>
          <w:b/>
          <w:bCs/>
        </w:rPr>
        <w:t>Elérendő kompetenciák (angolul) (</w:t>
      </w:r>
      <w:r w:rsidRPr="006A233B">
        <w:rPr>
          <w:rFonts w:ascii="Times New Roman" w:eastAsia="Times New Roman" w:hAnsi="Times New Roman" w:cs="Times New Roman"/>
          <w:b/>
          <w:bCs/>
          <w:lang w:val="en-US"/>
        </w:rPr>
        <w:t xml:space="preserve">Competences – English): </w:t>
      </w:r>
    </w:p>
    <w:p w:rsidR="00BB3A81" w:rsidRDefault="00BB3A81" w:rsidP="00BB3A81">
      <w:pPr>
        <w:widowControl w:val="0"/>
        <w:spacing w:before="120" w:after="0" w:line="240" w:lineRule="auto"/>
        <w:ind w:left="425"/>
        <w:jc w:val="both"/>
        <w:rPr>
          <w:rFonts w:ascii="Times New Roman" w:eastAsia="Times New Roman" w:hAnsi="Times New Roman" w:cs="Times New Roman"/>
          <w:lang w:val="en-GB"/>
        </w:rPr>
      </w:pPr>
      <w:r w:rsidRPr="006A233B">
        <w:rPr>
          <w:rFonts w:ascii="Times New Roman" w:eastAsia="Times New Roman" w:hAnsi="Times New Roman" w:cs="Times New Roman"/>
          <w:b/>
          <w:lang w:val="en-GB"/>
        </w:rPr>
        <w:t>Knowledge</w:t>
      </w:r>
      <w:r w:rsidRPr="006A233B">
        <w:rPr>
          <w:rFonts w:ascii="Times New Roman" w:eastAsia="Times New Roman" w:hAnsi="Times New Roman" w:cs="Times New Roman"/>
          <w:lang w:val="en-GB"/>
        </w:rPr>
        <w:t xml:space="preserve">: </w:t>
      </w:r>
    </w:p>
    <w:p w:rsidR="00BB3A81" w:rsidRPr="00587989" w:rsidRDefault="00BB3A81" w:rsidP="00980876">
      <w:pPr>
        <w:pStyle w:val="Listaszerbekezds"/>
        <w:widowControl w:val="0"/>
        <w:numPr>
          <w:ilvl w:val="0"/>
          <w:numId w:val="359"/>
        </w:numPr>
        <w:spacing w:after="0" w:line="240" w:lineRule="auto"/>
        <w:ind w:left="992" w:hanging="357"/>
        <w:jc w:val="both"/>
        <w:rPr>
          <w:rFonts w:ascii="Times New Roman" w:eastAsia="Times New Roman" w:hAnsi="Times New Roman" w:cs="Times New Roman"/>
          <w:lang w:val="en-GB"/>
        </w:rPr>
      </w:pPr>
      <w:r w:rsidRPr="00587989">
        <w:rPr>
          <w:rFonts w:ascii="Times New Roman" w:eastAsia="Times New Roman" w:hAnsi="Times New Roman" w:cs="Times New Roman"/>
          <w:lang w:val="en-GB"/>
        </w:rPr>
        <w:t>To be able to familiar with market mechanisms and the fundamentals of economics.</w:t>
      </w:r>
    </w:p>
    <w:p w:rsidR="00BB3A81" w:rsidRPr="004A67AB" w:rsidRDefault="00BB3A81" w:rsidP="00BB3A81">
      <w:pPr>
        <w:widowControl w:val="0"/>
        <w:spacing w:after="0" w:line="240" w:lineRule="auto"/>
        <w:ind w:left="425"/>
        <w:jc w:val="both"/>
        <w:rPr>
          <w:rFonts w:ascii="Times New Roman" w:eastAsia="Times New Roman" w:hAnsi="Times New Roman" w:cs="Times New Roman"/>
          <w:lang w:val="en-GB"/>
        </w:rPr>
      </w:pPr>
      <w:r>
        <w:rPr>
          <w:rFonts w:ascii="Times New Roman" w:eastAsia="Times New Roman" w:hAnsi="Times New Roman" w:cs="Times New Roman"/>
          <w:lang w:val="en-GB"/>
        </w:rPr>
        <w:t>To be able to familiar with the fundamentals of system of taxation.</w:t>
      </w:r>
    </w:p>
    <w:p w:rsidR="00BB3A81" w:rsidRDefault="00BB3A81" w:rsidP="00BB3A81">
      <w:pPr>
        <w:widowControl w:val="0"/>
        <w:spacing w:before="120" w:after="0" w:line="240" w:lineRule="auto"/>
        <w:ind w:left="425"/>
        <w:jc w:val="both"/>
        <w:rPr>
          <w:rFonts w:ascii="Times New Roman" w:eastAsia="Times New Roman" w:hAnsi="Times New Roman" w:cs="Times New Roman"/>
          <w:lang w:val="en-GB"/>
        </w:rPr>
      </w:pPr>
      <w:r w:rsidRPr="006A233B">
        <w:rPr>
          <w:rFonts w:ascii="Times New Roman" w:eastAsia="Times New Roman" w:hAnsi="Times New Roman" w:cs="Times New Roman"/>
          <w:b/>
          <w:lang w:val="en-GB"/>
        </w:rPr>
        <w:t>Capabilities</w:t>
      </w:r>
      <w:r w:rsidRPr="006A233B">
        <w:rPr>
          <w:rFonts w:ascii="Times New Roman" w:eastAsia="Times New Roman" w:hAnsi="Times New Roman" w:cs="Times New Roman"/>
          <w:lang w:val="en-GB"/>
        </w:rPr>
        <w:t xml:space="preserve">: </w:t>
      </w:r>
    </w:p>
    <w:p w:rsidR="00BB3A81" w:rsidRDefault="00BB3A81" w:rsidP="00980876">
      <w:pPr>
        <w:pStyle w:val="Listaszerbekezds"/>
        <w:widowControl w:val="0"/>
        <w:numPr>
          <w:ilvl w:val="0"/>
          <w:numId w:val="359"/>
        </w:numPr>
        <w:spacing w:after="0" w:line="240" w:lineRule="auto"/>
        <w:ind w:left="992" w:hanging="357"/>
        <w:jc w:val="both"/>
        <w:rPr>
          <w:rFonts w:ascii="Times New Roman" w:eastAsia="Times New Roman" w:hAnsi="Times New Roman" w:cs="Times New Roman"/>
          <w:lang w:val="en-GB"/>
        </w:rPr>
      </w:pPr>
      <w:r w:rsidRPr="00587989">
        <w:rPr>
          <w:rFonts w:ascii="Times New Roman" w:eastAsia="Times New Roman" w:hAnsi="Times New Roman" w:cs="Times New Roman"/>
          <w:lang w:val="en-GB"/>
        </w:rPr>
        <w:t>To have ability to make accurate logistical and economic calculations.</w:t>
      </w:r>
    </w:p>
    <w:p w:rsidR="00BB3A81" w:rsidRDefault="00BB3A81" w:rsidP="00980876">
      <w:pPr>
        <w:pStyle w:val="Listaszerbekezds"/>
        <w:widowControl w:val="0"/>
        <w:numPr>
          <w:ilvl w:val="0"/>
          <w:numId w:val="359"/>
        </w:numPr>
        <w:spacing w:after="0" w:line="240" w:lineRule="auto"/>
        <w:ind w:left="992" w:hanging="357"/>
        <w:jc w:val="both"/>
        <w:rPr>
          <w:rFonts w:ascii="Times New Roman" w:eastAsia="Times New Roman" w:hAnsi="Times New Roman" w:cs="Times New Roman"/>
          <w:lang w:val="en-GB"/>
        </w:rPr>
      </w:pPr>
      <w:r w:rsidRPr="00587989">
        <w:rPr>
          <w:rFonts w:ascii="Times New Roman" w:eastAsia="Times New Roman" w:hAnsi="Times New Roman" w:cs="Times New Roman"/>
          <w:lang w:val="en-GB"/>
        </w:rPr>
        <w:t xml:space="preserve">To be able to plan, organise, control and evaluate management and financial tasks. </w:t>
      </w:r>
    </w:p>
    <w:p w:rsidR="00BB3A81" w:rsidRPr="00587989" w:rsidRDefault="00BB3A81" w:rsidP="00980876">
      <w:pPr>
        <w:pStyle w:val="Listaszerbekezds"/>
        <w:widowControl w:val="0"/>
        <w:numPr>
          <w:ilvl w:val="0"/>
          <w:numId w:val="359"/>
        </w:numPr>
        <w:spacing w:after="0" w:line="240" w:lineRule="auto"/>
        <w:ind w:left="992" w:hanging="357"/>
        <w:jc w:val="both"/>
        <w:rPr>
          <w:rFonts w:ascii="Times New Roman" w:eastAsia="Times New Roman" w:hAnsi="Times New Roman" w:cs="Times New Roman"/>
          <w:lang w:val="en-GB"/>
        </w:rPr>
      </w:pPr>
      <w:r w:rsidRPr="00587989">
        <w:rPr>
          <w:rFonts w:ascii="Times New Roman" w:eastAsia="Times New Roman" w:hAnsi="Times New Roman" w:cs="Times New Roman"/>
          <w:lang w:val="en-GB"/>
        </w:rPr>
        <w:t>To be able to execute public procurements on unit level.</w:t>
      </w:r>
    </w:p>
    <w:p w:rsidR="00BB3A81" w:rsidRDefault="00BB3A81" w:rsidP="00BB3A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425"/>
        <w:jc w:val="both"/>
        <w:rPr>
          <w:rFonts w:ascii="Times New Roman" w:eastAsia="Times New Roman" w:hAnsi="Times New Roman" w:cs="Times New Roman"/>
          <w:lang w:val="en-GB"/>
        </w:rPr>
      </w:pPr>
      <w:r w:rsidRPr="006A233B">
        <w:rPr>
          <w:rFonts w:ascii="Times New Roman" w:eastAsia="Times New Roman" w:hAnsi="Times New Roman" w:cs="Times New Roman"/>
          <w:b/>
          <w:lang w:val="en-GB"/>
        </w:rPr>
        <w:t>Attitude:</w:t>
      </w:r>
      <w:r w:rsidRPr="006A233B">
        <w:rPr>
          <w:rFonts w:ascii="Times New Roman" w:eastAsia="Times New Roman" w:hAnsi="Times New Roman" w:cs="Times New Roman"/>
          <w:lang w:val="en-GB"/>
        </w:rPr>
        <w:t xml:space="preserve"> </w:t>
      </w:r>
    </w:p>
    <w:p w:rsidR="00BB3A81" w:rsidRDefault="00BB3A81" w:rsidP="00980876">
      <w:pPr>
        <w:pStyle w:val="Listaszerbekezds"/>
        <w:numPr>
          <w:ilvl w:val="0"/>
          <w:numId w:val="3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2" w:hanging="357"/>
        <w:jc w:val="both"/>
        <w:rPr>
          <w:rFonts w:ascii="Times New Roman" w:eastAsia="Times New Roman" w:hAnsi="Times New Roman" w:cs="Times New Roman"/>
          <w:lang w:val="en-GB"/>
        </w:rPr>
      </w:pPr>
      <w:r w:rsidRPr="00587989">
        <w:rPr>
          <w:rFonts w:ascii="Times New Roman" w:eastAsia="Times New Roman" w:hAnsi="Times New Roman" w:cs="Times New Roman"/>
          <w:lang w:val="en-GB"/>
        </w:rPr>
        <w:t>To be committed to high standard work and accuracy.</w:t>
      </w:r>
    </w:p>
    <w:p w:rsidR="00BB3A81" w:rsidRDefault="00BB3A81" w:rsidP="00980876">
      <w:pPr>
        <w:pStyle w:val="Listaszerbekezds"/>
        <w:numPr>
          <w:ilvl w:val="0"/>
          <w:numId w:val="3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2" w:hanging="357"/>
        <w:jc w:val="both"/>
        <w:rPr>
          <w:rFonts w:ascii="Times New Roman" w:eastAsia="Times New Roman" w:hAnsi="Times New Roman" w:cs="Times New Roman"/>
          <w:lang w:val="en-GB"/>
        </w:rPr>
      </w:pPr>
      <w:r w:rsidRPr="00587989">
        <w:rPr>
          <w:rFonts w:ascii="Times New Roman" w:eastAsia="Times New Roman" w:hAnsi="Times New Roman" w:cs="Times New Roman"/>
          <w:lang w:val="en-GB"/>
        </w:rPr>
        <w:t>To be able to recognize the advantages and opportunities offered by well-structured activities and to be seeking to understand the logical connections among logistic activities.</w:t>
      </w:r>
    </w:p>
    <w:p w:rsidR="00BB3A81" w:rsidRPr="00587989" w:rsidRDefault="00BB3A81" w:rsidP="00980876">
      <w:pPr>
        <w:pStyle w:val="Listaszerbekezds"/>
        <w:numPr>
          <w:ilvl w:val="0"/>
          <w:numId w:val="3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2" w:hanging="357"/>
        <w:jc w:val="both"/>
        <w:rPr>
          <w:rFonts w:ascii="Times New Roman" w:eastAsia="Times New Roman" w:hAnsi="Times New Roman" w:cs="Times New Roman"/>
          <w:lang w:val="en-GB"/>
        </w:rPr>
      </w:pPr>
      <w:r w:rsidRPr="00587989">
        <w:rPr>
          <w:rFonts w:ascii="Times New Roman" w:eastAsia="Times New Roman" w:hAnsi="Times New Roman" w:cs="Times New Roman"/>
          <w:lang w:val="en-GB"/>
        </w:rPr>
        <w:t xml:space="preserve">To be characterized by efficiency-based attitude. </w:t>
      </w:r>
    </w:p>
    <w:p w:rsidR="00BB3A81" w:rsidRDefault="00BB3A81" w:rsidP="00BB3A81">
      <w:pPr>
        <w:widowControl w:val="0"/>
        <w:spacing w:before="120" w:after="0" w:line="240" w:lineRule="auto"/>
        <w:ind w:left="425"/>
        <w:jc w:val="both"/>
        <w:rPr>
          <w:rFonts w:ascii="Times New Roman" w:eastAsia="Times New Roman" w:hAnsi="Times New Roman" w:cs="Times New Roman"/>
          <w:bCs/>
        </w:rPr>
      </w:pPr>
      <w:r w:rsidRPr="006A233B">
        <w:rPr>
          <w:rFonts w:ascii="Times New Roman" w:eastAsia="Times New Roman" w:hAnsi="Times New Roman" w:cs="Times New Roman"/>
          <w:b/>
          <w:lang w:val="en-GB"/>
        </w:rPr>
        <w:t xml:space="preserve">Autonomy and responsibility: </w:t>
      </w:r>
    </w:p>
    <w:p w:rsidR="00BB3A81" w:rsidRDefault="00BB3A81" w:rsidP="00980876">
      <w:pPr>
        <w:pStyle w:val="Listaszerbekezds"/>
        <w:widowControl w:val="0"/>
        <w:numPr>
          <w:ilvl w:val="0"/>
          <w:numId w:val="361"/>
        </w:numPr>
        <w:spacing w:after="0" w:line="240" w:lineRule="auto"/>
        <w:ind w:left="992" w:hanging="357"/>
        <w:jc w:val="both"/>
        <w:rPr>
          <w:rFonts w:ascii="Times New Roman" w:eastAsia="Times New Roman" w:hAnsi="Times New Roman" w:cs="Times New Roman"/>
          <w:bCs/>
          <w:lang w:val="en-US"/>
        </w:rPr>
      </w:pPr>
      <w:r w:rsidRPr="00587989">
        <w:rPr>
          <w:rFonts w:ascii="Times New Roman" w:eastAsia="Times New Roman" w:hAnsi="Times New Roman" w:cs="Times New Roman"/>
          <w:bCs/>
          <w:lang w:val="en-US"/>
        </w:rPr>
        <w:t>Take responsibility for the accuracy of the calculations.</w:t>
      </w:r>
    </w:p>
    <w:p w:rsidR="00BB3A81" w:rsidRPr="00587989" w:rsidRDefault="00BB3A81" w:rsidP="00980876">
      <w:pPr>
        <w:pStyle w:val="Listaszerbekezds"/>
        <w:widowControl w:val="0"/>
        <w:numPr>
          <w:ilvl w:val="0"/>
          <w:numId w:val="361"/>
        </w:numPr>
        <w:spacing w:after="0" w:line="240" w:lineRule="auto"/>
        <w:ind w:left="992" w:hanging="357"/>
        <w:jc w:val="both"/>
        <w:rPr>
          <w:rFonts w:ascii="Times New Roman" w:eastAsia="Times New Roman" w:hAnsi="Times New Roman" w:cs="Times New Roman"/>
          <w:bCs/>
          <w:lang w:val="en-US"/>
        </w:rPr>
      </w:pPr>
      <w:r w:rsidRPr="00587989">
        <w:rPr>
          <w:rFonts w:ascii="Times New Roman" w:eastAsia="Times New Roman" w:hAnsi="Times New Roman" w:cs="Times New Roman"/>
          <w:bCs/>
          <w:lang w:val="en-US"/>
        </w:rPr>
        <w:t>Take responsibility for documents which comply with legislations and professional requirements.</w:t>
      </w:r>
    </w:p>
    <w:p w:rsidR="00BB3A81" w:rsidRPr="007A78B1" w:rsidRDefault="00BB3A81" w:rsidP="00980876">
      <w:pPr>
        <w:widowControl w:val="0"/>
        <w:numPr>
          <w:ilvl w:val="0"/>
          <w:numId w:val="544"/>
        </w:numPr>
        <w:tabs>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Előtanulmányi követelmények:</w:t>
      </w:r>
      <w:r>
        <w:rPr>
          <w:rFonts w:ascii="Times New Roman" w:eastAsia="Times New Roman" w:hAnsi="Times New Roman" w:cs="Times New Roman"/>
          <w:bCs/>
        </w:rPr>
        <w:t xml:space="preserve"> Nincs</w:t>
      </w:r>
    </w:p>
    <w:p w:rsidR="00BB3A81" w:rsidRPr="00913CF0" w:rsidRDefault="00BB3A81" w:rsidP="00980876">
      <w:pPr>
        <w:widowControl w:val="0"/>
        <w:numPr>
          <w:ilvl w:val="0"/>
          <w:numId w:val="544"/>
        </w:numPr>
        <w:spacing w:before="120" w:after="120" w:line="240" w:lineRule="auto"/>
        <w:ind w:left="426" w:hanging="142"/>
        <w:jc w:val="both"/>
        <w:rPr>
          <w:rFonts w:ascii="Times New Roman" w:eastAsia="Times New Roman" w:hAnsi="Times New Roman" w:cs="Times New Roman"/>
          <w:b/>
          <w:bCs/>
        </w:rPr>
      </w:pPr>
      <w:r w:rsidRPr="006A233B">
        <w:rPr>
          <w:rFonts w:ascii="Times New Roman" w:eastAsia="Times New Roman" w:hAnsi="Times New Roman" w:cs="Times New Roman"/>
          <w:b/>
          <w:bCs/>
        </w:rPr>
        <w:t>A tantárgy tananyagának leírása, tematika. Description of the subject, curriculum (magyarul, angolul - English):</w:t>
      </w:r>
    </w:p>
    <w:p w:rsidR="00BB3A81" w:rsidRPr="00E766D1" w:rsidRDefault="00BB3A81" w:rsidP="00980876">
      <w:pPr>
        <w:widowControl w:val="0"/>
        <w:numPr>
          <w:ilvl w:val="1"/>
          <w:numId w:val="544"/>
        </w:numPr>
        <w:tabs>
          <w:tab w:val="clear" w:pos="3977"/>
          <w:tab w:val="num" w:pos="2069"/>
        </w:tabs>
        <w:spacing w:before="120" w:after="120" w:line="240" w:lineRule="auto"/>
        <w:ind w:left="993" w:hanging="567"/>
        <w:jc w:val="both"/>
        <w:rPr>
          <w:rFonts w:ascii="Times New Roman" w:eastAsia="Times New Roman" w:hAnsi="Times New Roman" w:cs="Times New Roman"/>
        </w:rPr>
      </w:pPr>
      <w:r w:rsidRPr="00E766D1">
        <w:rPr>
          <w:rFonts w:ascii="Times New Roman" w:eastAsia="Times New Roman" w:hAnsi="Times New Roman" w:cs="Times New Roman"/>
        </w:rPr>
        <w:t xml:space="preserve">Forgalmi típusú adók: Általános forgalmi adó. Jövedéki adó. </w:t>
      </w:r>
      <w:r w:rsidRPr="00E766D1">
        <w:rPr>
          <w:rFonts w:ascii="Times New Roman" w:eastAsia="Times New Roman" w:hAnsi="Times New Roman" w:cs="Times New Roman"/>
          <w:i/>
          <w:iCs/>
        </w:rPr>
        <w:t>(Sales Tax: Value added taxes. Excise duty.</w:t>
      </w:r>
      <w:r w:rsidRPr="00E766D1">
        <w:rPr>
          <w:rFonts w:ascii="Times New Roman" w:eastAsia="Times New Roman" w:hAnsi="Times New Roman" w:cs="Times New Roman"/>
        </w:rPr>
        <w:t>)</w:t>
      </w:r>
    </w:p>
    <w:p w:rsidR="00BB3A81" w:rsidRPr="00913CF0" w:rsidRDefault="00BB3A81" w:rsidP="00980876">
      <w:pPr>
        <w:widowControl w:val="0"/>
        <w:numPr>
          <w:ilvl w:val="1"/>
          <w:numId w:val="544"/>
        </w:numPr>
        <w:tabs>
          <w:tab w:val="clear" w:pos="3977"/>
          <w:tab w:val="num" w:pos="2069"/>
        </w:tabs>
        <w:spacing w:before="120" w:after="120" w:line="240" w:lineRule="auto"/>
        <w:ind w:left="993" w:hanging="567"/>
        <w:jc w:val="both"/>
        <w:rPr>
          <w:rFonts w:ascii="Times New Roman" w:eastAsia="Times New Roman" w:hAnsi="Times New Roman" w:cs="Times New Roman"/>
        </w:rPr>
      </w:pPr>
      <w:r w:rsidRPr="00E766D1">
        <w:rPr>
          <w:rFonts w:ascii="Times New Roman" w:eastAsia="Times New Roman" w:hAnsi="Times New Roman" w:cs="Times New Roman"/>
        </w:rPr>
        <w:t xml:space="preserve">Jövedelem típusú adók: Személyi jövedelem adó. Társasági adó. </w:t>
      </w:r>
      <w:r w:rsidRPr="00E766D1">
        <w:rPr>
          <w:rFonts w:ascii="Times New Roman" w:eastAsia="Times New Roman" w:hAnsi="Times New Roman" w:cs="Times New Roman"/>
          <w:i/>
          <w:iCs/>
        </w:rPr>
        <w:t>(Income taxes: Personal income tax. Corporate tax.)</w:t>
      </w:r>
    </w:p>
    <w:p w:rsidR="00BB3A81" w:rsidRPr="00E766D1" w:rsidRDefault="00BB3A81" w:rsidP="00980876">
      <w:pPr>
        <w:widowControl w:val="0"/>
        <w:numPr>
          <w:ilvl w:val="1"/>
          <w:numId w:val="544"/>
        </w:numPr>
        <w:tabs>
          <w:tab w:val="clear" w:pos="3977"/>
          <w:tab w:val="num" w:pos="2069"/>
        </w:tabs>
        <w:spacing w:before="120" w:after="120" w:line="240" w:lineRule="auto"/>
        <w:ind w:left="993" w:hanging="567"/>
        <w:jc w:val="both"/>
        <w:rPr>
          <w:rFonts w:ascii="Times New Roman" w:eastAsia="Times New Roman" w:hAnsi="Times New Roman" w:cs="Times New Roman"/>
          <w:i/>
          <w:iCs/>
        </w:rPr>
      </w:pPr>
      <w:r w:rsidRPr="00913CF0">
        <w:rPr>
          <w:rFonts w:ascii="Times New Roman" w:eastAsia="Times New Roman" w:hAnsi="Times New Roman" w:cs="Times New Roman"/>
        </w:rPr>
        <w:t>Vagyoni típusú adók</w:t>
      </w:r>
      <w:r w:rsidRPr="00E766D1">
        <w:rPr>
          <w:rFonts w:ascii="Times New Roman" w:eastAsia="Times New Roman" w:hAnsi="Times New Roman" w:cs="Times New Roman"/>
        </w:rPr>
        <w:t>:</w:t>
      </w:r>
      <w:r w:rsidRPr="00913CF0">
        <w:rPr>
          <w:rFonts w:ascii="Times New Roman" w:eastAsia="Times New Roman" w:hAnsi="Times New Roman" w:cs="Times New Roman"/>
        </w:rPr>
        <w:t xml:space="preserve"> Helyi adók</w:t>
      </w:r>
      <w:r w:rsidRPr="00E766D1">
        <w:rPr>
          <w:rFonts w:ascii="Times New Roman" w:eastAsia="Times New Roman" w:hAnsi="Times New Roman" w:cs="Times New Roman"/>
          <w:i/>
          <w:iCs/>
        </w:rPr>
        <w:t>. (Regular taxes on wealth: Local taxes)</w:t>
      </w:r>
    </w:p>
    <w:p w:rsidR="00BB3A81" w:rsidRPr="00E766D1" w:rsidRDefault="00BB3A81" w:rsidP="00980876">
      <w:pPr>
        <w:widowControl w:val="0"/>
        <w:numPr>
          <w:ilvl w:val="1"/>
          <w:numId w:val="544"/>
        </w:numPr>
        <w:tabs>
          <w:tab w:val="clear" w:pos="3977"/>
          <w:tab w:val="num" w:pos="2069"/>
        </w:tabs>
        <w:spacing w:before="120" w:after="120" w:line="240" w:lineRule="auto"/>
        <w:ind w:left="993" w:hanging="567"/>
        <w:jc w:val="both"/>
        <w:rPr>
          <w:rFonts w:ascii="Times New Roman" w:eastAsia="Times New Roman" w:hAnsi="Times New Roman" w:cs="Times New Roman"/>
        </w:rPr>
      </w:pPr>
      <w:r w:rsidRPr="00913CF0">
        <w:rPr>
          <w:rFonts w:ascii="Times New Roman" w:eastAsia="Times New Roman" w:hAnsi="Times New Roman" w:cs="Times New Roman"/>
        </w:rPr>
        <w:t>Egyéb adók</w:t>
      </w:r>
      <w:r w:rsidRPr="00E766D1">
        <w:rPr>
          <w:rFonts w:ascii="Times New Roman" w:eastAsia="Times New Roman" w:hAnsi="Times New Roman" w:cs="Times New Roman"/>
        </w:rPr>
        <w:t>:</w:t>
      </w:r>
      <w:r w:rsidRPr="00913CF0">
        <w:rPr>
          <w:rFonts w:ascii="Times New Roman" w:eastAsia="Times New Roman" w:hAnsi="Times New Roman" w:cs="Times New Roman"/>
        </w:rPr>
        <w:t xml:space="preserve"> Illetékek</w:t>
      </w:r>
      <w:r w:rsidRPr="00E766D1">
        <w:rPr>
          <w:rFonts w:ascii="Times New Roman" w:eastAsia="Times New Roman" w:hAnsi="Times New Roman" w:cs="Times New Roman"/>
        </w:rPr>
        <w:t>.</w:t>
      </w:r>
      <w:r w:rsidRPr="00913CF0">
        <w:rPr>
          <w:rFonts w:ascii="Times New Roman" w:eastAsia="Times New Roman" w:hAnsi="Times New Roman" w:cs="Times New Roman"/>
        </w:rPr>
        <w:t xml:space="preserve"> Vámok</w:t>
      </w:r>
      <w:r w:rsidRPr="00E766D1">
        <w:rPr>
          <w:rFonts w:ascii="Times New Roman" w:eastAsia="Times New Roman" w:hAnsi="Times New Roman" w:cs="Times New Roman"/>
        </w:rPr>
        <w:t>. A</w:t>
      </w:r>
      <w:r w:rsidRPr="00913CF0">
        <w:rPr>
          <w:rFonts w:ascii="Times New Roman" w:eastAsia="Times New Roman" w:hAnsi="Times New Roman" w:cs="Times New Roman"/>
        </w:rPr>
        <w:t xml:space="preserve"> vámrendszer működése</w:t>
      </w:r>
      <w:r w:rsidRPr="00E766D1">
        <w:rPr>
          <w:rFonts w:ascii="Times New Roman" w:eastAsia="Times New Roman" w:hAnsi="Times New Roman" w:cs="Times New Roman"/>
        </w:rPr>
        <w:t xml:space="preserve">. </w:t>
      </w:r>
      <w:r w:rsidRPr="00E766D1">
        <w:rPr>
          <w:rFonts w:ascii="Times New Roman" w:eastAsia="Times New Roman" w:hAnsi="Times New Roman" w:cs="Times New Roman"/>
          <w:i/>
          <w:iCs/>
        </w:rPr>
        <w:t>(Other taxes: Charges. Duties. Working of the duty system.)</w:t>
      </w:r>
    </w:p>
    <w:p w:rsidR="00BB3A81" w:rsidRPr="00E766D1" w:rsidRDefault="00BB3A81" w:rsidP="00980876">
      <w:pPr>
        <w:widowControl w:val="0"/>
        <w:numPr>
          <w:ilvl w:val="1"/>
          <w:numId w:val="544"/>
        </w:numPr>
        <w:tabs>
          <w:tab w:val="clear" w:pos="3977"/>
          <w:tab w:val="num" w:pos="2069"/>
        </w:tabs>
        <w:spacing w:before="120" w:after="120" w:line="240" w:lineRule="auto"/>
        <w:ind w:left="993" w:hanging="567"/>
        <w:jc w:val="both"/>
        <w:rPr>
          <w:rFonts w:ascii="Times New Roman" w:eastAsia="Times New Roman" w:hAnsi="Times New Roman" w:cs="Times New Roman"/>
        </w:rPr>
      </w:pPr>
      <w:r w:rsidRPr="00E766D1">
        <w:rPr>
          <w:rFonts w:ascii="Times New Roman" w:eastAsia="Times New Roman" w:hAnsi="Times New Roman" w:cs="Times New Roman"/>
        </w:rPr>
        <w:t xml:space="preserve">A társadalombiztosítás hazai történetének áttekintése. </w:t>
      </w:r>
      <w:r w:rsidRPr="00E766D1">
        <w:rPr>
          <w:rFonts w:ascii="Times New Roman" w:eastAsia="Times New Roman" w:hAnsi="Times New Roman" w:cs="Times New Roman"/>
          <w:i/>
          <w:iCs/>
        </w:rPr>
        <w:t>(Overview of the history of social security in Hungary)</w:t>
      </w:r>
    </w:p>
    <w:p w:rsidR="00BB3A81" w:rsidRPr="00E766D1" w:rsidRDefault="00BB3A81" w:rsidP="00980876">
      <w:pPr>
        <w:widowControl w:val="0"/>
        <w:numPr>
          <w:ilvl w:val="1"/>
          <w:numId w:val="544"/>
        </w:numPr>
        <w:tabs>
          <w:tab w:val="clear" w:pos="3977"/>
          <w:tab w:val="num" w:pos="2069"/>
        </w:tabs>
        <w:spacing w:before="120" w:after="120" w:line="240" w:lineRule="auto"/>
        <w:ind w:left="993" w:hanging="567"/>
        <w:jc w:val="both"/>
        <w:rPr>
          <w:rFonts w:ascii="Times New Roman" w:eastAsia="Times New Roman" w:hAnsi="Times New Roman" w:cs="Times New Roman"/>
        </w:rPr>
      </w:pPr>
      <w:r w:rsidRPr="00E766D1">
        <w:rPr>
          <w:rFonts w:ascii="Times New Roman" w:eastAsia="Times New Roman" w:hAnsi="Times New Roman" w:cs="Times New Roman"/>
        </w:rPr>
        <w:t xml:space="preserve">A TB jogviszony alanyai, ellátások, biztosítottak. </w:t>
      </w:r>
      <w:r w:rsidRPr="00E766D1">
        <w:rPr>
          <w:rFonts w:ascii="Times New Roman" w:eastAsia="Times New Roman" w:hAnsi="Times New Roman" w:cs="Times New Roman"/>
          <w:i/>
          <w:iCs/>
        </w:rPr>
        <w:t>(Subjects of Social Security, benefits)</w:t>
      </w:r>
    </w:p>
    <w:p w:rsidR="00BB3A81" w:rsidRPr="00E766D1" w:rsidRDefault="00BB3A81" w:rsidP="00980876">
      <w:pPr>
        <w:widowControl w:val="0"/>
        <w:numPr>
          <w:ilvl w:val="1"/>
          <w:numId w:val="544"/>
        </w:numPr>
        <w:tabs>
          <w:tab w:val="clear" w:pos="3977"/>
          <w:tab w:val="num" w:pos="2069"/>
        </w:tabs>
        <w:spacing w:before="120" w:after="120" w:line="240" w:lineRule="auto"/>
        <w:ind w:left="993" w:hanging="567"/>
        <w:jc w:val="both"/>
        <w:rPr>
          <w:rFonts w:ascii="Times New Roman" w:eastAsia="Times New Roman" w:hAnsi="Times New Roman" w:cs="Times New Roman"/>
        </w:rPr>
      </w:pPr>
      <w:r w:rsidRPr="00E766D1">
        <w:rPr>
          <w:rFonts w:ascii="Times New Roman" w:eastAsia="Times New Roman" w:hAnsi="Times New Roman" w:cs="Times New Roman"/>
        </w:rPr>
        <w:t xml:space="preserve">A TB ellátások fedezete – a járulékfizetés rendje. </w:t>
      </w:r>
      <w:r w:rsidRPr="00E766D1">
        <w:rPr>
          <w:rFonts w:ascii="Times New Roman" w:eastAsia="Times New Roman" w:hAnsi="Times New Roman" w:cs="Times New Roman"/>
          <w:i/>
          <w:iCs/>
        </w:rPr>
        <w:t>(Cover for Social Security benefits - Contribution rules)</w:t>
      </w:r>
    </w:p>
    <w:p w:rsidR="00BB3A81" w:rsidRPr="00E766D1" w:rsidRDefault="00BB3A81" w:rsidP="00980876">
      <w:pPr>
        <w:widowControl w:val="0"/>
        <w:numPr>
          <w:ilvl w:val="1"/>
          <w:numId w:val="544"/>
        </w:numPr>
        <w:tabs>
          <w:tab w:val="clear" w:pos="3977"/>
          <w:tab w:val="num" w:pos="2069"/>
        </w:tabs>
        <w:spacing w:before="120" w:after="120" w:line="240" w:lineRule="auto"/>
        <w:ind w:left="993" w:hanging="567"/>
        <w:jc w:val="both"/>
        <w:rPr>
          <w:rFonts w:ascii="Times New Roman" w:eastAsia="Times New Roman" w:hAnsi="Times New Roman" w:cs="Times New Roman"/>
        </w:rPr>
      </w:pPr>
      <w:r w:rsidRPr="00E766D1">
        <w:rPr>
          <w:rFonts w:ascii="Times New Roman" w:eastAsia="Times New Roman" w:hAnsi="Times New Roman" w:cs="Times New Roman"/>
        </w:rPr>
        <w:t xml:space="preserve">Egészségügyi hozzájárulás. Egészségbiztosítási ellátások az EU-ban és az EU-n kívül. </w:t>
      </w:r>
      <w:r w:rsidRPr="00E766D1">
        <w:rPr>
          <w:rFonts w:ascii="Times New Roman" w:eastAsia="Times New Roman" w:hAnsi="Times New Roman" w:cs="Times New Roman"/>
          <w:i/>
          <w:iCs/>
        </w:rPr>
        <w:t>(Healthcare contribution. Health insurance benefits inside and outside the EU.)</w:t>
      </w:r>
    </w:p>
    <w:p w:rsidR="00BB3A81" w:rsidRPr="00E766D1" w:rsidRDefault="00BB3A81" w:rsidP="00980876">
      <w:pPr>
        <w:widowControl w:val="0"/>
        <w:numPr>
          <w:ilvl w:val="1"/>
          <w:numId w:val="544"/>
        </w:numPr>
        <w:tabs>
          <w:tab w:val="clear" w:pos="3977"/>
          <w:tab w:val="num" w:pos="2069"/>
        </w:tabs>
        <w:spacing w:before="120" w:after="120" w:line="240" w:lineRule="auto"/>
        <w:ind w:left="993" w:hanging="567"/>
        <w:jc w:val="both"/>
        <w:rPr>
          <w:rFonts w:ascii="Times New Roman" w:eastAsia="Times New Roman" w:hAnsi="Times New Roman" w:cs="Times New Roman"/>
        </w:rPr>
      </w:pPr>
      <w:r w:rsidRPr="00E766D1">
        <w:rPr>
          <w:rFonts w:ascii="Times New Roman" w:eastAsia="Times New Roman" w:hAnsi="Times New Roman" w:cs="Times New Roman"/>
        </w:rPr>
        <w:t xml:space="preserve">Táppénzszámítás szabályai. Gyermekápolási táppénz, baleseti táppénz. </w:t>
      </w:r>
      <w:r w:rsidRPr="00E766D1">
        <w:rPr>
          <w:rFonts w:ascii="Times New Roman" w:eastAsia="Times New Roman" w:hAnsi="Times New Roman" w:cs="Times New Roman"/>
          <w:i/>
          <w:iCs/>
        </w:rPr>
        <w:t>(Rules for calculating certain Social Security benefits. Childcare allowance)</w:t>
      </w:r>
    </w:p>
    <w:p w:rsidR="00BB3A81" w:rsidRPr="00E766D1" w:rsidRDefault="00BB3A81" w:rsidP="00980876">
      <w:pPr>
        <w:widowControl w:val="0"/>
        <w:numPr>
          <w:ilvl w:val="1"/>
          <w:numId w:val="544"/>
        </w:numPr>
        <w:tabs>
          <w:tab w:val="clear" w:pos="3977"/>
          <w:tab w:val="num" w:pos="2069"/>
        </w:tabs>
        <w:spacing w:before="120" w:after="120" w:line="240" w:lineRule="auto"/>
        <w:ind w:left="993" w:hanging="567"/>
        <w:jc w:val="both"/>
        <w:rPr>
          <w:rFonts w:ascii="Times New Roman" w:eastAsia="Times New Roman" w:hAnsi="Times New Roman" w:cs="Times New Roman"/>
        </w:rPr>
      </w:pPr>
      <w:r w:rsidRPr="00E766D1">
        <w:rPr>
          <w:rFonts w:ascii="Times New Roman" w:eastAsia="Times New Roman" w:hAnsi="Times New Roman" w:cs="Times New Roman"/>
        </w:rPr>
        <w:t xml:space="preserve">Csecsemőgondozási díj. Gyermekgondozási díj. </w:t>
      </w:r>
      <w:r w:rsidRPr="00E766D1">
        <w:rPr>
          <w:rFonts w:ascii="Times New Roman" w:eastAsia="Times New Roman" w:hAnsi="Times New Roman" w:cs="Times New Roman"/>
          <w:i/>
          <w:iCs/>
        </w:rPr>
        <w:t>(Baby care fee. Childcare fee.)</w:t>
      </w:r>
    </w:p>
    <w:p w:rsidR="00BB3A81" w:rsidRPr="00E766D1" w:rsidRDefault="00BB3A81" w:rsidP="00980876">
      <w:pPr>
        <w:widowControl w:val="0"/>
        <w:numPr>
          <w:ilvl w:val="1"/>
          <w:numId w:val="544"/>
        </w:numPr>
        <w:tabs>
          <w:tab w:val="clear" w:pos="3977"/>
          <w:tab w:val="num" w:pos="2069"/>
        </w:tabs>
        <w:spacing w:before="120" w:after="120" w:line="240" w:lineRule="auto"/>
        <w:ind w:left="993" w:hanging="567"/>
        <w:jc w:val="both"/>
        <w:rPr>
          <w:rFonts w:ascii="Times New Roman" w:eastAsia="Times New Roman" w:hAnsi="Times New Roman" w:cs="Times New Roman"/>
          <w:i/>
          <w:iCs/>
        </w:rPr>
      </w:pPr>
      <w:r w:rsidRPr="00E766D1">
        <w:rPr>
          <w:rFonts w:ascii="Times New Roman" w:eastAsia="Times New Roman" w:hAnsi="Times New Roman" w:cs="Times New Roman"/>
        </w:rPr>
        <w:t xml:space="preserve">A családtámogatás rendszere. </w:t>
      </w:r>
      <w:r w:rsidRPr="00E766D1">
        <w:rPr>
          <w:rFonts w:ascii="Times New Roman" w:eastAsia="Times New Roman" w:hAnsi="Times New Roman" w:cs="Times New Roman"/>
          <w:i/>
          <w:iCs/>
        </w:rPr>
        <w:t>(Family support system.)</w:t>
      </w:r>
    </w:p>
    <w:p w:rsidR="00BB3A81" w:rsidRPr="00E766D1" w:rsidRDefault="00BB3A81" w:rsidP="00980876">
      <w:pPr>
        <w:widowControl w:val="0"/>
        <w:numPr>
          <w:ilvl w:val="1"/>
          <w:numId w:val="544"/>
        </w:numPr>
        <w:tabs>
          <w:tab w:val="clear" w:pos="3977"/>
          <w:tab w:val="num" w:pos="2069"/>
        </w:tabs>
        <w:spacing w:before="120" w:after="120" w:line="240" w:lineRule="auto"/>
        <w:ind w:left="993" w:hanging="567"/>
        <w:jc w:val="both"/>
        <w:rPr>
          <w:rFonts w:ascii="Times New Roman" w:eastAsia="Times New Roman" w:hAnsi="Times New Roman" w:cs="Times New Roman"/>
        </w:rPr>
      </w:pPr>
      <w:r w:rsidRPr="00E766D1">
        <w:rPr>
          <w:rFonts w:ascii="Times New Roman" w:eastAsia="Times New Roman" w:hAnsi="Times New Roman" w:cs="Times New Roman"/>
        </w:rPr>
        <w:lastRenderedPageBreak/>
        <w:t xml:space="preserve">A TB kifizetőhelyek illetékessége és feladatai. </w:t>
      </w:r>
      <w:r w:rsidRPr="00E766D1">
        <w:rPr>
          <w:rFonts w:ascii="Times New Roman" w:eastAsia="Times New Roman" w:hAnsi="Times New Roman" w:cs="Times New Roman"/>
          <w:i/>
          <w:iCs/>
        </w:rPr>
        <w:t>(Competence and duties of Social Security paying agencies.)</w:t>
      </w:r>
    </w:p>
    <w:p w:rsidR="00BB3A81" w:rsidRPr="00E766D1" w:rsidRDefault="00BB3A81" w:rsidP="00980876">
      <w:pPr>
        <w:widowControl w:val="0"/>
        <w:numPr>
          <w:ilvl w:val="1"/>
          <w:numId w:val="544"/>
        </w:numPr>
        <w:tabs>
          <w:tab w:val="clear" w:pos="3977"/>
          <w:tab w:val="num" w:pos="2069"/>
        </w:tabs>
        <w:spacing w:before="120" w:after="120" w:line="240" w:lineRule="auto"/>
        <w:ind w:left="993" w:hanging="567"/>
        <w:jc w:val="both"/>
        <w:rPr>
          <w:rFonts w:ascii="Times New Roman" w:eastAsia="Times New Roman" w:hAnsi="Times New Roman" w:cs="Times New Roman"/>
        </w:rPr>
      </w:pPr>
      <w:r w:rsidRPr="00E766D1">
        <w:rPr>
          <w:rFonts w:ascii="Times New Roman" w:eastAsia="Times New Roman" w:hAnsi="Times New Roman" w:cs="Times New Roman"/>
        </w:rPr>
        <w:t xml:space="preserve">Nyugdíjbiztosítási ellátások. </w:t>
      </w:r>
      <w:r w:rsidRPr="00E766D1">
        <w:rPr>
          <w:rFonts w:ascii="Times New Roman" w:eastAsia="Times New Roman" w:hAnsi="Times New Roman" w:cs="Times New Roman"/>
          <w:i/>
          <w:iCs/>
        </w:rPr>
        <w:t>(Pension insurance benefits.)</w:t>
      </w:r>
    </w:p>
    <w:p w:rsidR="00BB3A81" w:rsidRPr="006A233B" w:rsidRDefault="00BB3A81" w:rsidP="00980876">
      <w:pPr>
        <w:widowControl w:val="0"/>
        <w:numPr>
          <w:ilvl w:val="0"/>
          <w:numId w:val="544"/>
        </w:numPr>
        <w:tabs>
          <w:tab w:val="num" w:pos="360"/>
        </w:tabs>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bCs/>
        </w:rPr>
        <w:t xml:space="preserve">A tantárgy meghirdetésének gyakorisága/a tantervben történő félévi elhelyezkedése: </w:t>
      </w:r>
      <w:r>
        <w:rPr>
          <w:rFonts w:ascii="Times New Roman" w:eastAsia="Times New Roman" w:hAnsi="Times New Roman" w:cs="Times New Roman"/>
          <w:bCs/>
        </w:rPr>
        <w:t>Minden tavaszi szemeszterben / 8. félév</w:t>
      </w:r>
    </w:p>
    <w:p w:rsidR="00BB3A81" w:rsidRPr="00CE64DC" w:rsidRDefault="00BB3A81" w:rsidP="00980876">
      <w:pPr>
        <w:widowControl w:val="0"/>
        <w:numPr>
          <w:ilvl w:val="0"/>
          <w:numId w:val="544"/>
        </w:numPr>
        <w:tabs>
          <w:tab w:val="num" w:pos="360"/>
        </w:tabs>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bCs/>
        </w:rPr>
        <w:t>A tanórákon való részvétel követelményei, az elfogadható hiányzások mértéke, a távolmaradás pótlásának lehetősége:</w:t>
      </w:r>
      <w:r>
        <w:rPr>
          <w:rFonts w:ascii="Times New Roman" w:eastAsia="Times New Roman" w:hAnsi="Times New Roman" w:cs="Times New Roman"/>
          <w:bCs/>
        </w:rPr>
        <w:t xml:space="preserve"> a tanórákon való jelenlét kötelező, az elfogadható és igazolt hiányzások száma maximum a tanórák 30%-áig terjedhet, az ismeretek pótlásáról a hallgató gondoskodik. A hiányzások elfogadható mértékének túllépése az aláírás megtagadását vonja maga után.</w:t>
      </w:r>
    </w:p>
    <w:p w:rsidR="00BB3A81" w:rsidRPr="00E16C3F" w:rsidRDefault="00BB3A81" w:rsidP="00980876">
      <w:pPr>
        <w:widowControl w:val="0"/>
        <w:numPr>
          <w:ilvl w:val="0"/>
          <w:numId w:val="544"/>
        </w:numPr>
        <w:tabs>
          <w:tab w:val="num" w:pos="360"/>
        </w:tabs>
        <w:spacing w:before="120" w:after="120" w:line="240" w:lineRule="auto"/>
        <w:ind w:left="426" w:hanging="142"/>
        <w:jc w:val="both"/>
        <w:rPr>
          <w:rFonts w:ascii="Times New Roman" w:hAnsi="Times New Roman"/>
        </w:rPr>
      </w:pPr>
      <w:r w:rsidRPr="006A233B">
        <w:rPr>
          <w:rFonts w:ascii="Times New Roman" w:eastAsia="Times New Roman" w:hAnsi="Times New Roman" w:cs="Times New Roman"/>
          <w:b/>
        </w:rPr>
        <w:t xml:space="preserve">Félévközi feladatok, ismeretek ellenőrzésének rendje: </w:t>
      </w:r>
      <w:r>
        <w:rPr>
          <w:rFonts w:ascii="Times New Roman" w:eastAsia="Times New Roman" w:hAnsi="Times New Roman" w:cs="Times New Roman"/>
        </w:rPr>
        <w:t>A hallgató a félév egy zárthelyi dolgozatot ír. A zárthelyi dolgozatok értékelése ötfokozatú skála alapján történik (50 %-tól elégséges, 65 %-tól közepes, 75-tól % jó, 85 %-tól jeles).</w:t>
      </w:r>
    </w:p>
    <w:p w:rsidR="00BB3A81" w:rsidRPr="00B763D5" w:rsidRDefault="00BB3A81" w:rsidP="00BB3A81">
      <w:pPr>
        <w:widowControl w:val="0"/>
        <w:spacing w:before="120" w:after="120" w:line="240" w:lineRule="auto"/>
        <w:ind w:left="426"/>
        <w:jc w:val="both"/>
        <w:rPr>
          <w:rFonts w:ascii="Times New Roman" w:hAnsi="Times New Roman"/>
        </w:rPr>
      </w:pPr>
      <w:r>
        <w:rPr>
          <w:rFonts w:ascii="Times New Roman" w:eastAsia="Times New Roman" w:hAnsi="Times New Roman" w:cs="Times New Roman"/>
        </w:rPr>
        <w:t>A zárthelyi dolgozat egyszer pótolható, illetve sikertelensége esetén javítható.</w:t>
      </w:r>
    </w:p>
    <w:p w:rsidR="00BB3A81" w:rsidRPr="004A67AB" w:rsidRDefault="00BB3A81" w:rsidP="00980876">
      <w:pPr>
        <w:widowControl w:val="0"/>
        <w:numPr>
          <w:ilvl w:val="0"/>
          <w:numId w:val="544"/>
        </w:numPr>
        <w:spacing w:before="120" w:after="120" w:line="240" w:lineRule="auto"/>
        <w:ind w:left="426" w:hanging="142"/>
        <w:jc w:val="both"/>
        <w:rPr>
          <w:rFonts w:ascii="Times New Roman" w:eastAsia="Times New Roman" w:hAnsi="Times New Roman" w:cs="Times New Roman"/>
          <w:b/>
          <w:bCs/>
        </w:rPr>
      </w:pPr>
      <w:r w:rsidRPr="00B37153">
        <w:rPr>
          <w:rFonts w:ascii="Times New Roman" w:eastAsia="Times New Roman" w:hAnsi="Times New Roman" w:cs="Times New Roman"/>
          <w:b/>
          <w:bCs/>
        </w:rPr>
        <w:t xml:space="preserve">Az értékelés, az aláírás és a kreditek megszerzésének pontos feltételei: </w:t>
      </w:r>
    </w:p>
    <w:p w:rsidR="00BB3A81" w:rsidRPr="006A233B" w:rsidRDefault="00BB3A81" w:rsidP="00980876">
      <w:pPr>
        <w:widowControl w:val="0"/>
        <w:numPr>
          <w:ilvl w:val="1"/>
          <w:numId w:val="544"/>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6A233B">
        <w:rPr>
          <w:rFonts w:ascii="Times New Roman" w:eastAsia="Times New Roman" w:hAnsi="Times New Roman" w:cs="Times New Roman"/>
          <w:b/>
        </w:rPr>
        <w:t>Az aláírás megszerzésének feltételei:</w:t>
      </w:r>
      <w:r w:rsidRPr="00E16C3F">
        <w:rPr>
          <w:rFonts w:ascii="Times New Roman" w:eastAsia="Times New Roman" w:hAnsi="Times New Roman" w:cs="Times New Roman"/>
        </w:rPr>
        <w:t xml:space="preserve"> </w:t>
      </w:r>
      <w:r>
        <w:rPr>
          <w:rFonts w:ascii="Times New Roman" w:eastAsia="Times New Roman" w:hAnsi="Times New Roman" w:cs="Times New Roman"/>
        </w:rPr>
        <w:t>Az aláírás megszerzésének feltétele a 14. pontban meghatározott arányú részvétel a foglalkozásokon és a 15. pontban meghatározott félévközi feladatok legalább elégséges teljesítése.</w:t>
      </w:r>
    </w:p>
    <w:p w:rsidR="00BB3A81" w:rsidRPr="006A233B" w:rsidRDefault="00BB3A81" w:rsidP="00980876">
      <w:pPr>
        <w:widowControl w:val="0"/>
        <w:numPr>
          <w:ilvl w:val="1"/>
          <w:numId w:val="544"/>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6A233B">
        <w:rPr>
          <w:rFonts w:ascii="Times New Roman" w:eastAsia="Times New Roman" w:hAnsi="Times New Roman" w:cs="Times New Roman"/>
          <w:b/>
        </w:rPr>
        <w:t>Az értékelés:</w:t>
      </w:r>
      <w:r>
        <w:rPr>
          <w:rFonts w:ascii="Times New Roman" w:eastAsia="Times New Roman" w:hAnsi="Times New Roman" w:cs="Times New Roman"/>
          <w:b/>
        </w:rPr>
        <w:t xml:space="preserve"> </w:t>
      </w:r>
      <w:r w:rsidRPr="00E16C3F">
        <w:rPr>
          <w:rFonts w:ascii="Times New Roman" w:eastAsia="Times New Roman" w:hAnsi="Times New Roman" w:cs="Times New Roman"/>
          <w:bCs/>
        </w:rPr>
        <w:t>Évközi értékelés</w:t>
      </w:r>
      <w:r>
        <w:rPr>
          <w:rFonts w:ascii="Times New Roman" w:eastAsia="Times New Roman" w:hAnsi="Times New Roman" w:cs="Times New Roman"/>
          <w:bCs/>
        </w:rPr>
        <w:t xml:space="preserve"> – a tanulmányi munka értékelésének módja a félévet lezáró zárthelyi dolgozat.</w:t>
      </w:r>
    </w:p>
    <w:p w:rsidR="00BB3A81" w:rsidRPr="006A233B" w:rsidRDefault="00BB3A81" w:rsidP="00980876">
      <w:pPr>
        <w:widowControl w:val="0"/>
        <w:numPr>
          <w:ilvl w:val="1"/>
          <w:numId w:val="544"/>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6A233B">
        <w:rPr>
          <w:rFonts w:ascii="Times New Roman" w:eastAsia="Times New Roman" w:hAnsi="Times New Roman" w:cs="Times New Roman"/>
          <w:b/>
        </w:rPr>
        <w:t>A kreditek megszerzésének feltételei:</w:t>
      </w:r>
      <w:r w:rsidRPr="006A233B">
        <w:rPr>
          <w:rFonts w:ascii="Times New Roman" w:eastAsia="Times New Roman" w:hAnsi="Times New Roman" w:cs="Times New Roman"/>
        </w:rPr>
        <w:t xml:space="preserve"> </w:t>
      </w:r>
    </w:p>
    <w:p w:rsidR="00BB3A81" w:rsidRPr="00FD404B" w:rsidRDefault="00BB3A81" w:rsidP="00BB3A81">
      <w:pPr>
        <w:widowControl w:val="0"/>
        <w:tabs>
          <w:tab w:val="left" w:pos="993"/>
        </w:tabs>
        <w:spacing w:before="120" w:after="120" w:line="240" w:lineRule="auto"/>
        <w:ind w:left="426"/>
        <w:jc w:val="both"/>
        <w:rPr>
          <w:rFonts w:ascii="Times New Roman" w:eastAsia="Times New Roman" w:hAnsi="Times New Roman" w:cs="Times New Roman"/>
          <w:lang w:eastAsia="x-none"/>
        </w:rPr>
      </w:pPr>
      <w:r w:rsidRPr="00FD404B">
        <w:rPr>
          <w:rFonts w:ascii="Times New Roman" w:eastAsia="Times New Roman" w:hAnsi="Times New Roman" w:cs="Times New Roman"/>
          <w:lang w:eastAsia="x-none"/>
        </w:rPr>
        <w:t>A kreditek megszerzésének feltétele</w:t>
      </w:r>
      <w:r>
        <w:rPr>
          <w:rFonts w:ascii="Times New Roman" w:eastAsia="Times New Roman" w:hAnsi="Times New Roman" w:cs="Times New Roman"/>
          <w:lang w:eastAsia="x-none"/>
        </w:rPr>
        <w:t>i</w:t>
      </w:r>
      <w:r w:rsidRPr="00FD404B">
        <w:rPr>
          <w:rFonts w:ascii="Times New Roman" w:eastAsia="Times New Roman" w:hAnsi="Times New Roman" w:cs="Times New Roman"/>
          <w:lang w:eastAsia="x-none"/>
        </w:rPr>
        <w:t xml:space="preserve"> az aláírás megszerzése és legalább elégséges </w:t>
      </w:r>
      <w:r>
        <w:rPr>
          <w:rFonts w:ascii="Times New Roman" w:eastAsia="Times New Roman" w:hAnsi="Times New Roman" w:cs="Times New Roman"/>
          <w:lang w:eastAsia="x-none"/>
        </w:rPr>
        <w:t>évközi értékelés</w:t>
      </w:r>
      <w:r w:rsidRPr="00FD404B">
        <w:rPr>
          <w:rFonts w:ascii="Times New Roman" w:eastAsia="Times New Roman" w:hAnsi="Times New Roman" w:cs="Times New Roman"/>
          <w:lang w:eastAsia="x-none"/>
        </w:rPr>
        <w:t>.</w:t>
      </w:r>
    </w:p>
    <w:p w:rsidR="00BB3A81" w:rsidRPr="006A233B" w:rsidRDefault="00BB3A81" w:rsidP="00980876">
      <w:pPr>
        <w:widowControl w:val="0"/>
        <w:numPr>
          <w:ilvl w:val="0"/>
          <w:numId w:val="544"/>
        </w:numPr>
        <w:tabs>
          <w:tab w:val="num" w:pos="360"/>
        </w:tabs>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bCs/>
        </w:rPr>
        <w:t>Irodalomjegyzék:</w:t>
      </w:r>
    </w:p>
    <w:p w:rsidR="00BB3A81" w:rsidRPr="006A233B" w:rsidRDefault="00BB3A81" w:rsidP="00980876">
      <w:pPr>
        <w:widowControl w:val="0"/>
        <w:numPr>
          <w:ilvl w:val="1"/>
          <w:numId w:val="544"/>
        </w:numPr>
        <w:tabs>
          <w:tab w:val="clear" w:pos="3977"/>
          <w:tab w:val="left" w:pos="567"/>
          <w:tab w:val="left" w:pos="851"/>
          <w:tab w:val="num" w:pos="2069"/>
        </w:tabs>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bCs/>
        </w:rPr>
        <w:t>Kötelező irodalom:</w:t>
      </w:r>
    </w:p>
    <w:p w:rsidR="00BB3A81" w:rsidRPr="009609AF" w:rsidRDefault="00BB3A81" w:rsidP="00980876">
      <w:pPr>
        <w:widowControl w:val="0"/>
        <w:numPr>
          <w:ilvl w:val="0"/>
          <w:numId w:val="545"/>
        </w:numPr>
        <w:spacing w:after="0" w:line="240" w:lineRule="auto"/>
        <w:jc w:val="both"/>
        <w:rPr>
          <w:rFonts w:ascii="Times New Roman" w:eastAsia="Times New Roman" w:hAnsi="Times New Roman" w:cs="Times New Roman"/>
          <w:bCs/>
          <w:lang w:eastAsia="x-none"/>
        </w:rPr>
      </w:pPr>
      <w:r>
        <w:rPr>
          <w:rFonts w:ascii="Times New Roman" w:eastAsia="Times New Roman" w:hAnsi="Times New Roman" w:cs="Times New Roman"/>
          <w:lang w:eastAsia="x-none"/>
        </w:rPr>
        <w:t xml:space="preserve">Dr. Herich György: Adótan, Penta Unio Oktatási Centrum, Pécs 2019 ISBN: </w:t>
      </w:r>
      <w:r w:rsidRPr="000254D3">
        <w:rPr>
          <w:rFonts w:ascii="Times New Roman" w:eastAsia="Times New Roman" w:hAnsi="Times New Roman" w:cs="Times New Roman"/>
          <w:lang w:eastAsia="x-none"/>
        </w:rPr>
        <w:t>9786155249693</w:t>
      </w:r>
    </w:p>
    <w:p w:rsidR="00BB3A81" w:rsidRPr="009609AF" w:rsidRDefault="00BB3A81" w:rsidP="00980876">
      <w:pPr>
        <w:widowControl w:val="0"/>
        <w:numPr>
          <w:ilvl w:val="0"/>
          <w:numId w:val="545"/>
        </w:numPr>
        <w:spacing w:after="0" w:line="240" w:lineRule="auto"/>
        <w:jc w:val="both"/>
        <w:rPr>
          <w:rFonts w:ascii="Times New Roman" w:eastAsia="Times New Roman" w:hAnsi="Times New Roman" w:cs="Times New Roman"/>
        </w:rPr>
      </w:pPr>
      <w:r>
        <w:rPr>
          <w:rFonts w:ascii="Times New Roman" w:eastAsia="Times New Roman" w:hAnsi="Times New Roman" w:cs="Times New Roman"/>
          <w:lang w:eastAsia="x-none"/>
        </w:rPr>
        <w:t xml:space="preserve">Sándorné Új Éva: Adózási ismeretek alkalmazása, Penta Unio Oktatási Centrum, Pécs, 2016 ISBN: </w:t>
      </w:r>
      <w:r w:rsidRPr="000254D3">
        <w:rPr>
          <w:rFonts w:ascii="Times New Roman" w:eastAsia="Times New Roman" w:hAnsi="Times New Roman" w:cs="Times New Roman"/>
          <w:lang w:eastAsia="x-none"/>
        </w:rPr>
        <w:t>9786155249013</w:t>
      </w:r>
    </w:p>
    <w:p w:rsidR="00BB3A81" w:rsidRDefault="00BB3A81" w:rsidP="00980876">
      <w:pPr>
        <w:widowControl w:val="0"/>
        <w:numPr>
          <w:ilvl w:val="0"/>
          <w:numId w:val="545"/>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Juhászné Koppány Márta: Adózási alapismeretek, Műszaki, Budapest, 2016 ISBN: </w:t>
      </w:r>
      <w:r w:rsidRPr="000254D3">
        <w:rPr>
          <w:rFonts w:ascii="Times New Roman" w:eastAsia="Times New Roman" w:hAnsi="Times New Roman" w:cs="Times New Roman"/>
        </w:rPr>
        <w:t>9789631665871</w:t>
      </w:r>
    </w:p>
    <w:p w:rsidR="00BB3A81" w:rsidRPr="00E90621" w:rsidRDefault="00BB3A81" w:rsidP="00980876">
      <w:pPr>
        <w:widowControl w:val="0"/>
        <w:numPr>
          <w:ilvl w:val="0"/>
          <w:numId w:val="545"/>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Farkasné Gondos Krisztina, Dr. Futó Gábor: Társadalombiztosítás 2019, Saldo 2019, ISBN: 9786155085673</w:t>
      </w:r>
    </w:p>
    <w:p w:rsidR="00BB3A81" w:rsidRPr="006A233B" w:rsidRDefault="00BB3A81" w:rsidP="00980876">
      <w:pPr>
        <w:widowControl w:val="0"/>
        <w:numPr>
          <w:ilvl w:val="1"/>
          <w:numId w:val="544"/>
        </w:numPr>
        <w:tabs>
          <w:tab w:val="clear" w:pos="3977"/>
          <w:tab w:val="num" w:pos="567"/>
          <w:tab w:val="num" w:pos="2069"/>
        </w:tabs>
        <w:spacing w:before="120" w:after="120" w:line="240" w:lineRule="auto"/>
        <w:ind w:left="851" w:hanging="567"/>
        <w:jc w:val="both"/>
        <w:rPr>
          <w:rFonts w:ascii="Times New Roman" w:eastAsia="Times New Roman" w:hAnsi="Times New Roman" w:cs="Times New Roman"/>
          <w:b/>
          <w:bCs/>
        </w:rPr>
      </w:pPr>
      <w:r w:rsidRPr="006A233B">
        <w:rPr>
          <w:rFonts w:ascii="Times New Roman" w:eastAsia="Times New Roman" w:hAnsi="Times New Roman" w:cs="Times New Roman"/>
          <w:b/>
          <w:bCs/>
        </w:rPr>
        <w:t>Ajánlott irodalom:</w:t>
      </w:r>
    </w:p>
    <w:p w:rsidR="00BB3A81" w:rsidRPr="00076EFF" w:rsidRDefault="00BB3A81" w:rsidP="00980876">
      <w:pPr>
        <w:pStyle w:val="Listaszerbekezds"/>
        <w:numPr>
          <w:ilvl w:val="0"/>
          <w:numId w:val="546"/>
        </w:numPr>
        <w:ind w:left="709" w:hanging="425"/>
        <w:rPr>
          <w:rFonts w:ascii="Times New Roman" w:eastAsia="Times New Roman" w:hAnsi="Times New Roman" w:cs="Times New Roman"/>
        </w:rPr>
      </w:pPr>
      <w:r>
        <w:rPr>
          <w:rFonts w:ascii="Times New Roman" w:eastAsia="Times New Roman" w:hAnsi="Times New Roman" w:cs="Times New Roman"/>
        </w:rPr>
        <w:t xml:space="preserve">Barna É. - Fellegi M. - Galántainé Zs. - Kovácsné Á.: Adózási feladatgyűjtemény, Saldo Kiadó, Budapest, 2019 ISBN: </w:t>
      </w:r>
      <w:r w:rsidRPr="008C399D">
        <w:rPr>
          <w:rFonts w:ascii="Times New Roman" w:eastAsia="Times New Roman" w:hAnsi="Times New Roman" w:cs="Times New Roman"/>
        </w:rPr>
        <w:t>9789636385774</w:t>
      </w:r>
    </w:p>
    <w:p w:rsidR="00BB3A81" w:rsidRDefault="00BB3A81" w:rsidP="00980876">
      <w:pPr>
        <w:pStyle w:val="Listaszerbekezds"/>
        <w:numPr>
          <w:ilvl w:val="0"/>
          <w:numId w:val="546"/>
        </w:numPr>
        <w:ind w:left="709" w:hanging="425"/>
        <w:rPr>
          <w:rFonts w:ascii="Times New Roman" w:eastAsia="Times New Roman" w:hAnsi="Times New Roman" w:cs="Times New Roman"/>
          <w:bCs/>
        </w:rPr>
      </w:pPr>
      <w:r w:rsidRPr="001E3A42">
        <w:rPr>
          <w:rFonts w:ascii="Times New Roman" w:eastAsia="Times New Roman" w:hAnsi="Times New Roman" w:cs="Times New Roman"/>
          <w:bCs/>
        </w:rPr>
        <w:t xml:space="preserve">Dr. Herich György: </w:t>
      </w:r>
      <w:r>
        <w:rPr>
          <w:rFonts w:ascii="Times New Roman" w:eastAsia="Times New Roman" w:hAnsi="Times New Roman" w:cs="Times New Roman"/>
          <w:bCs/>
        </w:rPr>
        <w:t>Adó 2019 Teszt és példatár</w:t>
      </w:r>
      <w:r w:rsidRPr="001E3A42">
        <w:rPr>
          <w:rFonts w:ascii="Times New Roman" w:eastAsia="Times New Roman" w:hAnsi="Times New Roman" w:cs="Times New Roman"/>
          <w:bCs/>
        </w:rPr>
        <w:t>,</w:t>
      </w:r>
      <w:r>
        <w:rPr>
          <w:rFonts w:ascii="Times New Roman" w:eastAsia="Times New Roman" w:hAnsi="Times New Roman" w:cs="Times New Roman"/>
          <w:bCs/>
        </w:rPr>
        <w:t xml:space="preserve"> Saldo Kiadó, Budapest,</w:t>
      </w:r>
      <w:r w:rsidRPr="001E3A42">
        <w:rPr>
          <w:rFonts w:ascii="Times New Roman" w:eastAsia="Times New Roman" w:hAnsi="Times New Roman" w:cs="Times New Roman"/>
          <w:bCs/>
        </w:rPr>
        <w:t xml:space="preserve"> 2019 ISBN: </w:t>
      </w:r>
      <w:r w:rsidRPr="00E16C3F">
        <w:rPr>
          <w:rFonts w:ascii="Times New Roman" w:eastAsia="Times New Roman" w:hAnsi="Times New Roman" w:cs="Times New Roman"/>
          <w:bCs/>
        </w:rPr>
        <w:t>9786155249709</w:t>
      </w:r>
    </w:p>
    <w:p w:rsidR="00BB3A81" w:rsidRPr="00E16C3F" w:rsidRDefault="00BB3A81" w:rsidP="00980876">
      <w:pPr>
        <w:pStyle w:val="Listaszerbekezds"/>
        <w:numPr>
          <w:ilvl w:val="0"/>
          <w:numId w:val="546"/>
        </w:numPr>
        <w:ind w:left="709" w:hanging="425"/>
        <w:rPr>
          <w:rFonts w:ascii="Times New Roman" w:eastAsia="Times New Roman" w:hAnsi="Times New Roman" w:cs="Times New Roman"/>
          <w:bCs/>
        </w:rPr>
      </w:pPr>
      <w:r>
        <w:rPr>
          <w:rFonts w:ascii="Times New Roman" w:eastAsia="Times New Roman" w:hAnsi="Times New Roman" w:cs="Times New Roman"/>
        </w:rPr>
        <w:t>Heti Világgazdaság éves társadalombiztosítási különszáma</w:t>
      </w:r>
    </w:p>
    <w:p w:rsidR="00BB3A81" w:rsidRDefault="00BB3A81" w:rsidP="00BB3A81">
      <w:pPr>
        <w:widowControl w:val="0"/>
        <w:spacing w:before="120" w:after="120" w:line="240" w:lineRule="auto"/>
        <w:jc w:val="both"/>
        <w:rPr>
          <w:rFonts w:ascii="Times New Roman" w:eastAsia="Times New Roman" w:hAnsi="Times New Roman" w:cs="Times New Roman"/>
          <w:bCs/>
        </w:rPr>
      </w:pPr>
    </w:p>
    <w:p w:rsidR="00BB3A81" w:rsidRPr="006A233B" w:rsidRDefault="00BB3A81" w:rsidP="00BB3A81">
      <w:pPr>
        <w:widowControl w:val="0"/>
        <w:spacing w:before="120" w:after="120" w:line="240" w:lineRule="auto"/>
        <w:jc w:val="both"/>
        <w:rPr>
          <w:rFonts w:ascii="Times New Roman" w:eastAsia="Times New Roman" w:hAnsi="Times New Roman" w:cs="Times New Roman"/>
          <w:bCs/>
        </w:rPr>
      </w:pPr>
      <w:r w:rsidRPr="006A233B">
        <w:rPr>
          <w:rFonts w:ascii="Times New Roman" w:eastAsia="Times New Roman" w:hAnsi="Times New Roman" w:cs="Times New Roman"/>
          <w:bCs/>
        </w:rPr>
        <w:t>Budapest,</w:t>
      </w:r>
      <w:r>
        <w:rPr>
          <w:rFonts w:ascii="Times New Roman" w:eastAsia="Times New Roman" w:hAnsi="Times New Roman" w:cs="Times New Roman"/>
          <w:bCs/>
        </w:rPr>
        <w:t xml:space="preserve"> 2020</w:t>
      </w:r>
      <w:r w:rsidRPr="006A233B">
        <w:rPr>
          <w:rFonts w:ascii="Times New Roman" w:eastAsia="Times New Roman" w:hAnsi="Times New Roman" w:cs="Times New Roman"/>
          <w:bCs/>
        </w:rPr>
        <w:t xml:space="preserve">. </w:t>
      </w:r>
      <w:r>
        <w:rPr>
          <w:rFonts w:ascii="Times New Roman" w:eastAsia="Times New Roman" w:hAnsi="Times New Roman" w:cs="Times New Roman"/>
          <w:bCs/>
        </w:rPr>
        <w:t>március</w:t>
      </w:r>
      <w:r w:rsidRPr="006A233B">
        <w:rPr>
          <w:rFonts w:ascii="Times New Roman" w:eastAsia="Times New Roman" w:hAnsi="Times New Roman" w:cs="Times New Roman"/>
          <w:bCs/>
        </w:rPr>
        <w:t xml:space="preserve"> </w:t>
      </w:r>
      <w:r>
        <w:rPr>
          <w:rFonts w:ascii="Times New Roman" w:eastAsia="Times New Roman" w:hAnsi="Times New Roman" w:cs="Times New Roman"/>
          <w:bCs/>
        </w:rPr>
        <w:t>20</w:t>
      </w:r>
      <w:r w:rsidRPr="006A233B">
        <w:rPr>
          <w:rFonts w:ascii="Times New Roman" w:eastAsia="Times New Roman" w:hAnsi="Times New Roman" w:cs="Times New Roman"/>
          <w:bCs/>
        </w:rPr>
        <w:t>.</w:t>
      </w:r>
    </w:p>
    <w:p w:rsidR="00BB3A81" w:rsidRPr="00976088" w:rsidRDefault="00BB3A81" w:rsidP="00BB3A81">
      <w:pPr>
        <w:widowControl w:val="0"/>
        <w:spacing w:after="0" w:line="240" w:lineRule="auto"/>
        <w:ind w:left="5664" w:firstLine="708"/>
        <w:jc w:val="center"/>
        <w:rPr>
          <w:rFonts w:ascii="Times New Roman" w:hAnsi="Times New Roman" w:cs="Times New Roman"/>
          <w:b/>
          <w:bCs/>
        </w:rPr>
      </w:pPr>
      <w:r w:rsidRPr="00976088">
        <w:rPr>
          <w:rFonts w:ascii="Times New Roman" w:eastAsia="Times New Roman" w:hAnsi="Times New Roman" w:cs="Times New Roman"/>
          <w:b/>
          <w:bCs/>
        </w:rPr>
        <w:t>dr. Kenessei Zsolt</w:t>
      </w:r>
    </w:p>
    <w:p w:rsidR="00BB3A81" w:rsidRDefault="00BB3A81" w:rsidP="00BB3A81">
      <w:pPr>
        <w:widowControl w:val="0"/>
        <w:spacing w:after="0" w:line="240" w:lineRule="auto"/>
        <w:jc w:val="center"/>
        <w:rPr>
          <w:rFonts w:ascii="Times New Roman" w:hAnsi="Times New Roman" w:cs="Times New Roman"/>
          <w:bCs/>
        </w:rPr>
      </w:pP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tanársegéd s.k.</w:t>
      </w:r>
    </w:p>
    <w:p w:rsidR="008C0C24" w:rsidRDefault="008C0C24">
      <w:pPr>
        <w:spacing w:after="200" w:line="276" w:lineRule="auto"/>
        <w:rPr>
          <w:rFonts w:ascii="Times New Roman" w:hAnsi="Times New Roman" w:cs="Times New Roman"/>
        </w:rPr>
      </w:pPr>
      <w:r>
        <w:rPr>
          <w:rFonts w:ascii="Times New Roman" w:hAnsi="Times New Roman" w:cs="Times New Roman"/>
        </w:rPr>
        <w:br w:type="page"/>
      </w:r>
    </w:p>
    <w:tbl>
      <w:tblPr>
        <w:tblW w:w="9072" w:type="dxa"/>
        <w:tblInd w:w="113" w:type="dxa"/>
        <w:tblLook w:val="01E0" w:firstRow="1" w:lastRow="1" w:firstColumn="1" w:lastColumn="1" w:noHBand="0" w:noVBand="0"/>
      </w:tblPr>
      <w:tblGrid>
        <w:gridCol w:w="4855"/>
        <w:gridCol w:w="1620"/>
        <w:gridCol w:w="2597"/>
      </w:tblGrid>
      <w:tr w:rsidR="008C0C24" w:rsidRPr="006A233B" w:rsidTr="003F1765">
        <w:tc>
          <w:tcPr>
            <w:tcW w:w="4855" w:type="dxa"/>
            <w:tcBorders>
              <w:bottom w:val="single" w:sz="4" w:space="0" w:color="auto"/>
            </w:tcBorders>
          </w:tcPr>
          <w:p w:rsidR="008C0C24" w:rsidRPr="006A233B" w:rsidRDefault="008C0C24" w:rsidP="003F1765">
            <w:pPr>
              <w:spacing w:after="0" w:line="240" w:lineRule="auto"/>
              <w:jc w:val="center"/>
              <w:rPr>
                <w:rFonts w:ascii="Times New Roman" w:eastAsia="Times New Roman" w:hAnsi="Times New Roman" w:cs="Times New Roman"/>
                <w:b/>
                <w:smallCaps/>
                <w:lang w:eastAsia="hu-HU"/>
              </w:rPr>
            </w:pPr>
            <w:r w:rsidRPr="006A233B">
              <w:rPr>
                <w:rFonts w:ascii="Times New Roman" w:eastAsia="Times New Roman" w:hAnsi="Times New Roman" w:cs="Times New Roman"/>
                <w:b/>
                <w:smallCaps/>
                <w:lang w:eastAsia="hu-HU"/>
              </w:rPr>
              <w:lastRenderedPageBreak/>
              <w:t>Nemzeti Közszolgálati Egyetem</w:t>
            </w:r>
          </w:p>
        </w:tc>
        <w:tc>
          <w:tcPr>
            <w:tcW w:w="1620" w:type="dxa"/>
          </w:tcPr>
          <w:p w:rsidR="008C0C24" w:rsidRPr="006A233B" w:rsidRDefault="008C0C24" w:rsidP="003F1765">
            <w:pPr>
              <w:spacing w:after="0" w:line="240" w:lineRule="auto"/>
              <w:jc w:val="both"/>
              <w:rPr>
                <w:rFonts w:ascii="Times New Roman" w:eastAsia="Times New Roman" w:hAnsi="Times New Roman" w:cs="Times New Roman"/>
                <w:lang w:eastAsia="hu-HU"/>
              </w:rPr>
            </w:pPr>
          </w:p>
        </w:tc>
        <w:tc>
          <w:tcPr>
            <w:tcW w:w="2597" w:type="dxa"/>
          </w:tcPr>
          <w:p w:rsidR="008C0C24" w:rsidRPr="006A233B" w:rsidRDefault="008C0C24" w:rsidP="003F1765">
            <w:pPr>
              <w:spacing w:after="0" w:line="240" w:lineRule="auto"/>
              <w:jc w:val="right"/>
              <w:rPr>
                <w:rFonts w:ascii="Times New Roman" w:eastAsia="Times New Roman" w:hAnsi="Times New Roman" w:cs="Times New Roman"/>
                <w:lang w:eastAsia="hu-HU"/>
              </w:rPr>
            </w:pPr>
          </w:p>
        </w:tc>
      </w:tr>
      <w:tr w:rsidR="008C0C24" w:rsidRPr="006A233B" w:rsidTr="003F1765">
        <w:tc>
          <w:tcPr>
            <w:tcW w:w="4855" w:type="dxa"/>
            <w:tcBorders>
              <w:top w:val="single" w:sz="4" w:space="0" w:color="auto"/>
            </w:tcBorders>
          </w:tcPr>
          <w:p w:rsidR="008C0C24" w:rsidRPr="006A233B" w:rsidRDefault="008C0C24" w:rsidP="003F1765">
            <w:pPr>
              <w:spacing w:after="0" w:line="240" w:lineRule="auto"/>
              <w:jc w:val="center"/>
              <w:rPr>
                <w:rFonts w:ascii="Times New Roman" w:eastAsia="Times New Roman" w:hAnsi="Times New Roman" w:cs="Times New Roman"/>
                <w:b/>
                <w:lang w:eastAsia="hu-HU"/>
              </w:rPr>
            </w:pPr>
            <w:r w:rsidRPr="006A233B">
              <w:rPr>
                <w:rFonts w:ascii="Times New Roman" w:eastAsia="Times New Roman" w:hAnsi="Times New Roman" w:cs="Times New Roman"/>
                <w:b/>
                <w:lang w:eastAsia="hu-HU"/>
              </w:rPr>
              <w:t>Hadtudományi és Honvédtisztképző Kar</w:t>
            </w:r>
          </w:p>
        </w:tc>
        <w:tc>
          <w:tcPr>
            <w:tcW w:w="1620" w:type="dxa"/>
          </w:tcPr>
          <w:p w:rsidR="008C0C24" w:rsidRPr="006A233B" w:rsidRDefault="008C0C24" w:rsidP="003F1765">
            <w:pPr>
              <w:spacing w:after="0" w:line="240" w:lineRule="auto"/>
              <w:jc w:val="both"/>
              <w:rPr>
                <w:rFonts w:ascii="Times New Roman" w:eastAsia="Times New Roman" w:hAnsi="Times New Roman" w:cs="Times New Roman"/>
                <w:lang w:eastAsia="hu-HU"/>
              </w:rPr>
            </w:pPr>
          </w:p>
        </w:tc>
        <w:tc>
          <w:tcPr>
            <w:tcW w:w="2597" w:type="dxa"/>
          </w:tcPr>
          <w:p w:rsidR="008C0C24" w:rsidRPr="006A233B" w:rsidRDefault="008C0C24" w:rsidP="003F1765">
            <w:pPr>
              <w:spacing w:after="0" w:line="240" w:lineRule="auto"/>
              <w:jc w:val="both"/>
              <w:rPr>
                <w:rFonts w:ascii="Times New Roman" w:eastAsia="Times New Roman" w:hAnsi="Times New Roman" w:cs="Times New Roman"/>
                <w:lang w:eastAsia="hu-HU"/>
              </w:rPr>
            </w:pPr>
          </w:p>
        </w:tc>
      </w:tr>
    </w:tbl>
    <w:p w:rsidR="008C0C24" w:rsidRPr="006A233B" w:rsidRDefault="008C0C24" w:rsidP="008C0C24">
      <w:pPr>
        <w:widowControl w:val="0"/>
        <w:spacing w:before="120" w:after="120" w:line="240" w:lineRule="auto"/>
        <w:ind w:left="426" w:hanging="142"/>
        <w:jc w:val="center"/>
        <w:rPr>
          <w:rFonts w:ascii="Times New Roman" w:eastAsia="Times New Roman" w:hAnsi="Times New Roman" w:cs="Times New Roman"/>
          <w:b/>
          <w:bCs/>
        </w:rPr>
      </w:pPr>
    </w:p>
    <w:p w:rsidR="008C0C24" w:rsidRPr="006A233B" w:rsidRDefault="008C0C24" w:rsidP="008C0C24">
      <w:pPr>
        <w:widowControl w:val="0"/>
        <w:spacing w:before="120" w:after="120" w:line="240" w:lineRule="auto"/>
        <w:ind w:left="426" w:hanging="142"/>
        <w:jc w:val="center"/>
        <w:rPr>
          <w:rFonts w:ascii="Times New Roman" w:eastAsia="Times New Roman" w:hAnsi="Times New Roman" w:cs="Times New Roman"/>
          <w:b/>
          <w:bCs/>
        </w:rPr>
      </w:pPr>
      <w:r w:rsidRPr="006A233B">
        <w:rPr>
          <w:rFonts w:ascii="Times New Roman" w:eastAsia="Times New Roman" w:hAnsi="Times New Roman" w:cs="Times New Roman"/>
          <w:b/>
          <w:bCs/>
        </w:rPr>
        <w:t>TANTÁRGYI PROGRAM</w:t>
      </w:r>
    </w:p>
    <w:p w:rsidR="008C0C24" w:rsidRPr="006A233B" w:rsidRDefault="008C0C24" w:rsidP="00980876">
      <w:pPr>
        <w:widowControl w:val="0"/>
        <w:numPr>
          <w:ilvl w:val="0"/>
          <w:numId w:val="526"/>
        </w:numPr>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bCs/>
        </w:rPr>
        <w:t xml:space="preserve">A tantárgy kódja: </w:t>
      </w:r>
      <w:r>
        <w:rPr>
          <w:rFonts w:ascii="Times New Roman" w:hAnsi="Times New Roman" w:cs="Times New Roman"/>
          <w:bCs/>
        </w:rPr>
        <w:t>HKHPKA124</w:t>
      </w:r>
    </w:p>
    <w:p w:rsidR="008C0C24" w:rsidRPr="006A233B" w:rsidRDefault="008C0C24" w:rsidP="00980876">
      <w:pPr>
        <w:widowControl w:val="0"/>
        <w:numPr>
          <w:ilvl w:val="0"/>
          <w:numId w:val="526"/>
        </w:numPr>
        <w:spacing w:before="120" w:after="120" w:line="240" w:lineRule="auto"/>
        <w:ind w:left="426" w:hanging="142"/>
        <w:jc w:val="both"/>
        <w:rPr>
          <w:rFonts w:ascii="Times New Roman" w:eastAsia="Times New Roman" w:hAnsi="Times New Roman" w:cs="Times New Roman"/>
          <w:b/>
          <w:bCs/>
          <w:lang w:val="en-GB"/>
        </w:rPr>
      </w:pPr>
      <w:r w:rsidRPr="006A233B">
        <w:rPr>
          <w:rFonts w:ascii="Times New Roman" w:eastAsia="Times New Roman" w:hAnsi="Times New Roman" w:cs="Times New Roman"/>
          <w:b/>
          <w:bCs/>
        </w:rPr>
        <w:t>A tantárgy megnevezése (magyarul):</w:t>
      </w:r>
      <w:r w:rsidRPr="006A233B">
        <w:rPr>
          <w:rFonts w:ascii="Times New Roman" w:eastAsia="Times New Roman" w:hAnsi="Times New Roman" w:cs="Times New Roman"/>
          <w:bCs/>
        </w:rPr>
        <w:t xml:space="preserve"> </w:t>
      </w:r>
      <w:r w:rsidRPr="00A401DA">
        <w:rPr>
          <w:rFonts w:ascii="Times New Roman" w:hAnsi="Times New Roman" w:cs="Times New Roman"/>
          <w:bCs/>
        </w:rPr>
        <w:t>Világgazdaság rendszerének működési alapjai</w:t>
      </w:r>
    </w:p>
    <w:p w:rsidR="008C0C24" w:rsidRPr="006A233B" w:rsidRDefault="008C0C24" w:rsidP="00980876">
      <w:pPr>
        <w:widowControl w:val="0"/>
        <w:numPr>
          <w:ilvl w:val="0"/>
          <w:numId w:val="526"/>
        </w:numPr>
        <w:spacing w:before="120" w:after="120" w:line="240" w:lineRule="auto"/>
        <w:ind w:left="426" w:hanging="142"/>
        <w:jc w:val="both"/>
        <w:rPr>
          <w:rFonts w:ascii="Times New Roman" w:eastAsia="Times New Roman" w:hAnsi="Times New Roman" w:cs="Times New Roman"/>
          <w:b/>
          <w:bCs/>
          <w:lang w:val="en-GB"/>
        </w:rPr>
      </w:pPr>
      <w:r w:rsidRPr="006A233B">
        <w:rPr>
          <w:rFonts w:ascii="Times New Roman" w:eastAsia="Times New Roman" w:hAnsi="Times New Roman" w:cs="Times New Roman"/>
          <w:b/>
          <w:bCs/>
        </w:rPr>
        <w:t xml:space="preserve">A tantárgy megnevezése (angolul): </w:t>
      </w:r>
      <w:r>
        <w:rPr>
          <w:rFonts w:ascii="Times New Roman" w:hAnsi="Times New Roman" w:cs="Times New Roman"/>
          <w:bCs/>
        </w:rPr>
        <w:t>Basics K</w:t>
      </w:r>
      <w:r w:rsidRPr="00A401DA">
        <w:rPr>
          <w:rFonts w:ascii="Times New Roman" w:hAnsi="Times New Roman" w:cs="Times New Roman"/>
          <w:bCs/>
        </w:rPr>
        <w:t xml:space="preserve">nowledge of </w:t>
      </w:r>
      <w:r>
        <w:rPr>
          <w:rFonts w:ascii="Times New Roman" w:hAnsi="Times New Roman" w:cs="Times New Roman"/>
          <w:bCs/>
        </w:rPr>
        <w:t>Global Economic S</w:t>
      </w:r>
      <w:r w:rsidRPr="00A401DA">
        <w:rPr>
          <w:rFonts w:ascii="Times New Roman" w:hAnsi="Times New Roman" w:cs="Times New Roman"/>
          <w:bCs/>
        </w:rPr>
        <w:t>ystem</w:t>
      </w:r>
    </w:p>
    <w:p w:rsidR="008C0C24" w:rsidRPr="006A233B" w:rsidRDefault="008C0C24" w:rsidP="00980876">
      <w:pPr>
        <w:widowControl w:val="0"/>
        <w:numPr>
          <w:ilvl w:val="0"/>
          <w:numId w:val="526"/>
        </w:numPr>
        <w:tabs>
          <w:tab w:val="num" w:pos="567"/>
        </w:tabs>
        <w:spacing w:before="120" w:after="120" w:line="240" w:lineRule="auto"/>
        <w:ind w:left="426" w:hanging="142"/>
        <w:jc w:val="both"/>
        <w:rPr>
          <w:rFonts w:ascii="Times New Roman" w:eastAsia="Times New Roman" w:hAnsi="Times New Roman" w:cs="Times New Roman"/>
          <w:b/>
          <w:bCs/>
        </w:rPr>
      </w:pPr>
      <w:r w:rsidRPr="006A233B">
        <w:rPr>
          <w:rFonts w:ascii="Times New Roman" w:eastAsia="Times New Roman" w:hAnsi="Times New Roman" w:cs="Times New Roman"/>
          <w:b/>
          <w:bCs/>
        </w:rPr>
        <w:t xml:space="preserve">Kreditérték és képzési karakter: </w:t>
      </w:r>
    </w:p>
    <w:p w:rsidR="008C0C24" w:rsidRPr="006A233B" w:rsidRDefault="008C0C24" w:rsidP="00980876">
      <w:pPr>
        <w:pStyle w:val="Listaszerbekezds"/>
        <w:widowControl w:val="0"/>
        <w:numPr>
          <w:ilvl w:val="1"/>
          <w:numId w:val="526"/>
        </w:numPr>
        <w:tabs>
          <w:tab w:val="clear" w:pos="3977"/>
        </w:tabs>
        <w:spacing w:before="120" w:after="120" w:line="240" w:lineRule="auto"/>
        <w:ind w:left="993" w:hanging="426"/>
        <w:jc w:val="both"/>
        <w:rPr>
          <w:rFonts w:ascii="Times New Roman" w:eastAsia="Times New Roman" w:hAnsi="Times New Roman" w:cs="Times New Roman"/>
          <w:b/>
          <w:bCs/>
        </w:rPr>
      </w:pPr>
      <w:r>
        <w:rPr>
          <w:rFonts w:ascii="Times New Roman" w:eastAsia="Times New Roman" w:hAnsi="Times New Roman" w:cs="Times New Roman"/>
          <w:bCs/>
        </w:rPr>
        <w:t>2</w:t>
      </w:r>
      <w:r w:rsidRPr="006A233B">
        <w:rPr>
          <w:rFonts w:ascii="Times New Roman" w:eastAsia="Times New Roman" w:hAnsi="Times New Roman" w:cs="Times New Roman"/>
          <w:bCs/>
        </w:rPr>
        <w:t xml:space="preserve"> kredit</w:t>
      </w:r>
    </w:p>
    <w:p w:rsidR="008C0C24" w:rsidRPr="006A233B" w:rsidRDefault="008C0C24" w:rsidP="00980876">
      <w:pPr>
        <w:pStyle w:val="Listaszerbekezds"/>
        <w:widowControl w:val="0"/>
        <w:numPr>
          <w:ilvl w:val="1"/>
          <w:numId w:val="526"/>
        </w:numPr>
        <w:tabs>
          <w:tab w:val="clear" w:pos="3977"/>
        </w:tabs>
        <w:spacing w:before="120" w:after="120" w:line="240" w:lineRule="auto"/>
        <w:ind w:left="993" w:hanging="426"/>
        <w:jc w:val="both"/>
        <w:rPr>
          <w:rFonts w:ascii="Times New Roman" w:eastAsia="Times New Roman" w:hAnsi="Times New Roman" w:cs="Times New Roman"/>
          <w:b/>
          <w:bCs/>
        </w:rPr>
      </w:pPr>
      <w:r w:rsidRPr="006A233B">
        <w:rPr>
          <w:rFonts w:ascii="Times New Roman" w:eastAsia="Times New Roman" w:hAnsi="Times New Roman" w:cs="Times New Roman"/>
          <w:bCs/>
        </w:rPr>
        <w:t xml:space="preserve">a tantárgy elméleti vagy gyakorlati jellegének mértéke: </w:t>
      </w:r>
      <w:r>
        <w:rPr>
          <w:rFonts w:ascii="Times New Roman" w:eastAsia="Times New Roman" w:hAnsi="Times New Roman" w:cs="Times New Roman"/>
          <w:bCs/>
        </w:rPr>
        <w:t>50</w:t>
      </w:r>
      <w:r w:rsidRPr="006A233B">
        <w:rPr>
          <w:rFonts w:ascii="Times New Roman" w:eastAsia="Times New Roman" w:hAnsi="Times New Roman" w:cs="Times New Roman"/>
          <w:b/>
          <w:bCs/>
        </w:rPr>
        <w:t xml:space="preserve"> </w:t>
      </w:r>
      <w:r w:rsidRPr="006A233B">
        <w:rPr>
          <w:rFonts w:ascii="Times New Roman" w:eastAsia="Times New Roman" w:hAnsi="Times New Roman" w:cs="Times New Roman"/>
          <w:bCs/>
        </w:rPr>
        <w:t xml:space="preserve">% gyakorlat, </w:t>
      </w:r>
      <w:r>
        <w:rPr>
          <w:rFonts w:ascii="Times New Roman" w:eastAsia="Times New Roman" w:hAnsi="Times New Roman" w:cs="Times New Roman"/>
          <w:bCs/>
        </w:rPr>
        <w:t>50</w:t>
      </w:r>
      <w:r w:rsidRPr="006A233B">
        <w:rPr>
          <w:rFonts w:ascii="Times New Roman" w:eastAsia="Times New Roman" w:hAnsi="Times New Roman" w:cs="Times New Roman"/>
          <w:bCs/>
        </w:rPr>
        <w:t xml:space="preserve"> % elmélet</w:t>
      </w:r>
    </w:p>
    <w:p w:rsidR="008C0C24" w:rsidRPr="006A233B" w:rsidRDefault="008C0C24" w:rsidP="00980876">
      <w:pPr>
        <w:widowControl w:val="0"/>
        <w:numPr>
          <w:ilvl w:val="0"/>
          <w:numId w:val="526"/>
        </w:numPr>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bCs/>
        </w:rPr>
        <w:t>A szak(ok), szakirányok/specializációk megnevezése (ahol oktatják):</w:t>
      </w:r>
      <w:r w:rsidRPr="006A233B">
        <w:rPr>
          <w:rFonts w:ascii="Times New Roman" w:eastAsia="Times New Roman" w:hAnsi="Times New Roman" w:cs="Times New Roman"/>
          <w:bCs/>
        </w:rPr>
        <w:t xml:space="preserve"> </w:t>
      </w:r>
      <w:r>
        <w:rPr>
          <w:rFonts w:ascii="Times New Roman" w:hAnsi="Times New Roman" w:cs="Times New Roman"/>
          <w:bCs/>
        </w:rPr>
        <w:t>Katonai logisztika alapképzési (</w:t>
      </w:r>
      <w:r w:rsidR="00137B8A">
        <w:rPr>
          <w:rFonts w:ascii="Times New Roman" w:hAnsi="Times New Roman" w:cs="Times New Roman"/>
          <w:bCs/>
        </w:rPr>
        <w:t>BSc</w:t>
      </w:r>
      <w:r>
        <w:rPr>
          <w:rFonts w:ascii="Times New Roman" w:hAnsi="Times New Roman" w:cs="Times New Roman"/>
          <w:bCs/>
        </w:rPr>
        <w:t>) szak</w:t>
      </w:r>
    </w:p>
    <w:p w:rsidR="008C0C24" w:rsidRPr="006A233B" w:rsidRDefault="008C0C24" w:rsidP="00980876">
      <w:pPr>
        <w:widowControl w:val="0"/>
        <w:numPr>
          <w:ilvl w:val="0"/>
          <w:numId w:val="526"/>
        </w:numPr>
        <w:tabs>
          <w:tab w:val="num" w:pos="567"/>
        </w:tabs>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bCs/>
        </w:rPr>
        <w:t xml:space="preserve">Az oktatásért felelős oktatási szervezeti egység megnevezése: </w:t>
      </w:r>
      <w:r w:rsidRPr="006A233B">
        <w:rPr>
          <w:rFonts w:ascii="Times New Roman" w:hAnsi="Times New Roman" w:cs="Times New Roman"/>
          <w:bCs/>
        </w:rPr>
        <w:t>NKE HHK Had</w:t>
      </w:r>
      <w:r>
        <w:rPr>
          <w:rFonts w:ascii="Times New Roman" w:hAnsi="Times New Roman" w:cs="Times New Roman"/>
          <w:bCs/>
        </w:rPr>
        <w:t>táp, Pénzügyi és Katonai Közlekedési Tanszék</w:t>
      </w:r>
    </w:p>
    <w:p w:rsidR="008C0C24" w:rsidRPr="006A233B" w:rsidRDefault="008C0C24" w:rsidP="00980876">
      <w:pPr>
        <w:widowControl w:val="0"/>
        <w:numPr>
          <w:ilvl w:val="0"/>
          <w:numId w:val="526"/>
        </w:numPr>
        <w:tabs>
          <w:tab w:val="num" w:pos="567"/>
        </w:tabs>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bCs/>
        </w:rPr>
        <w:t>A tantárgyfelelős oktató neve, beosztása, tudományos fokozata:</w:t>
      </w:r>
      <w:r w:rsidRPr="006A233B">
        <w:rPr>
          <w:rFonts w:ascii="Times New Roman" w:eastAsia="Times New Roman" w:hAnsi="Times New Roman" w:cs="Times New Roman"/>
          <w:bCs/>
        </w:rPr>
        <w:t xml:space="preserve"> </w:t>
      </w:r>
      <w:r w:rsidRPr="00566430">
        <w:rPr>
          <w:rFonts w:ascii="Times New Roman" w:hAnsi="Times New Roman" w:cs="Times New Roman"/>
          <w:bCs/>
        </w:rPr>
        <w:t xml:space="preserve">Dr. </w:t>
      </w:r>
      <w:r>
        <w:rPr>
          <w:rFonts w:ascii="Times New Roman" w:hAnsi="Times New Roman" w:cs="Times New Roman"/>
          <w:bCs/>
        </w:rPr>
        <w:t>Taksás Balázs százados</w:t>
      </w:r>
      <w:r w:rsidRPr="00566430">
        <w:rPr>
          <w:rFonts w:ascii="Times New Roman" w:hAnsi="Times New Roman" w:cs="Times New Roman"/>
          <w:bCs/>
        </w:rPr>
        <w:t xml:space="preserve">, </w:t>
      </w:r>
      <w:r>
        <w:rPr>
          <w:rFonts w:ascii="Times New Roman" w:hAnsi="Times New Roman" w:cs="Times New Roman"/>
          <w:bCs/>
        </w:rPr>
        <w:t xml:space="preserve">egyetemi docens, </w:t>
      </w:r>
      <w:r w:rsidRPr="00566430">
        <w:rPr>
          <w:rFonts w:ascii="Times New Roman" w:hAnsi="Times New Roman" w:cs="Times New Roman"/>
          <w:bCs/>
        </w:rPr>
        <w:t>PhD</w:t>
      </w:r>
    </w:p>
    <w:p w:rsidR="008C0C24" w:rsidRPr="006A233B" w:rsidRDefault="008C0C24" w:rsidP="00980876">
      <w:pPr>
        <w:widowControl w:val="0"/>
        <w:numPr>
          <w:ilvl w:val="0"/>
          <w:numId w:val="526"/>
        </w:numPr>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bCs/>
        </w:rPr>
        <w:t>A tanórák száma és típusa</w:t>
      </w:r>
    </w:p>
    <w:p w:rsidR="008C0C24" w:rsidRPr="006A233B" w:rsidRDefault="008C0C24" w:rsidP="00980876">
      <w:pPr>
        <w:widowControl w:val="0"/>
        <w:numPr>
          <w:ilvl w:val="1"/>
          <w:numId w:val="526"/>
        </w:numPr>
        <w:tabs>
          <w:tab w:val="clear" w:pos="3977"/>
          <w:tab w:val="num" w:pos="709"/>
          <w:tab w:val="num" w:pos="2069"/>
        </w:tabs>
        <w:spacing w:before="120" w:after="120" w:line="240" w:lineRule="auto"/>
        <w:ind w:left="851" w:hanging="425"/>
        <w:jc w:val="both"/>
        <w:rPr>
          <w:rFonts w:ascii="Times New Roman" w:eastAsia="Times New Roman" w:hAnsi="Times New Roman" w:cs="Times New Roman"/>
          <w:bCs/>
        </w:rPr>
      </w:pPr>
      <w:r w:rsidRPr="006A233B">
        <w:rPr>
          <w:rFonts w:ascii="Times New Roman" w:eastAsia="Times New Roman" w:hAnsi="Times New Roman" w:cs="Times New Roman"/>
          <w:bCs/>
        </w:rPr>
        <w:t>össz óraszám/félév:</w:t>
      </w:r>
    </w:p>
    <w:p w:rsidR="008C0C24" w:rsidRPr="006A233B" w:rsidRDefault="008C0C24" w:rsidP="00980876">
      <w:pPr>
        <w:widowControl w:val="0"/>
        <w:numPr>
          <w:ilvl w:val="2"/>
          <w:numId w:val="526"/>
        </w:numPr>
        <w:tabs>
          <w:tab w:val="num" w:pos="709"/>
          <w:tab w:val="num" w:pos="1134"/>
        </w:tabs>
        <w:spacing w:before="120" w:after="120" w:line="240" w:lineRule="auto"/>
        <w:ind w:left="993" w:hanging="425"/>
        <w:jc w:val="both"/>
        <w:rPr>
          <w:rFonts w:ascii="Times New Roman" w:eastAsia="Times New Roman" w:hAnsi="Times New Roman" w:cs="Times New Roman"/>
          <w:bCs/>
        </w:rPr>
      </w:pPr>
      <w:r w:rsidRPr="006A233B">
        <w:rPr>
          <w:rFonts w:ascii="Times New Roman" w:eastAsia="Times New Roman" w:hAnsi="Times New Roman" w:cs="Times New Roman"/>
          <w:bCs/>
        </w:rPr>
        <w:t xml:space="preserve">nappali munkarend: </w:t>
      </w:r>
      <w:r>
        <w:rPr>
          <w:rFonts w:ascii="Times New Roman" w:eastAsia="Times New Roman" w:hAnsi="Times New Roman" w:cs="Times New Roman"/>
          <w:bCs/>
        </w:rPr>
        <w:t>28</w:t>
      </w:r>
      <w:r w:rsidRPr="006A233B">
        <w:rPr>
          <w:rFonts w:ascii="Times New Roman" w:eastAsia="Times New Roman" w:hAnsi="Times New Roman" w:cs="Times New Roman"/>
          <w:bCs/>
        </w:rPr>
        <w:t xml:space="preserve"> (</w:t>
      </w:r>
      <w:r>
        <w:rPr>
          <w:rFonts w:ascii="Times New Roman" w:eastAsia="Times New Roman" w:hAnsi="Times New Roman" w:cs="Times New Roman"/>
          <w:bCs/>
        </w:rPr>
        <w:t>14</w:t>
      </w:r>
      <w:r w:rsidRPr="006A233B">
        <w:rPr>
          <w:rFonts w:ascii="Times New Roman" w:eastAsia="Times New Roman" w:hAnsi="Times New Roman" w:cs="Times New Roman"/>
          <w:bCs/>
        </w:rPr>
        <w:t xml:space="preserve"> EA + 0 SZ + </w:t>
      </w:r>
      <w:r>
        <w:rPr>
          <w:rFonts w:ascii="Times New Roman" w:eastAsia="Times New Roman" w:hAnsi="Times New Roman" w:cs="Times New Roman"/>
          <w:bCs/>
        </w:rPr>
        <w:t>14</w:t>
      </w:r>
      <w:r w:rsidRPr="006A233B">
        <w:rPr>
          <w:rFonts w:ascii="Times New Roman" w:eastAsia="Times New Roman" w:hAnsi="Times New Roman" w:cs="Times New Roman"/>
          <w:bCs/>
        </w:rPr>
        <w:t xml:space="preserve"> GY)</w:t>
      </w:r>
    </w:p>
    <w:p w:rsidR="008C0C24" w:rsidRPr="006A233B" w:rsidRDefault="008C0C24" w:rsidP="00980876">
      <w:pPr>
        <w:widowControl w:val="0"/>
        <w:numPr>
          <w:ilvl w:val="2"/>
          <w:numId w:val="526"/>
        </w:numPr>
        <w:tabs>
          <w:tab w:val="num" w:pos="709"/>
          <w:tab w:val="num" w:pos="1134"/>
        </w:tabs>
        <w:spacing w:before="120" w:after="120" w:line="240" w:lineRule="auto"/>
        <w:ind w:left="993" w:hanging="425"/>
        <w:jc w:val="both"/>
        <w:rPr>
          <w:rFonts w:ascii="Times New Roman" w:eastAsia="Times New Roman" w:hAnsi="Times New Roman" w:cs="Times New Roman"/>
          <w:bCs/>
        </w:rPr>
      </w:pPr>
      <w:r w:rsidRPr="006A233B">
        <w:rPr>
          <w:rFonts w:ascii="Times New Roman" w:eastAsia="Times New Roman" w:hAnsi="Times New Roman" w:cs="Times New Roman"/>
          <w:bCs/>
        </w:rPr>
        <w:t xml:space="preserve">levelező munkarend: </w:t>
      </w:r>
      <w:r>
        <w:rPr>
          <w:rFonts w:ascii="Times New Roman" w:eastAsia="Times New Roman" w:hAnsi="Times New Roman" w:cs="Times New Roman"/>
          <w:bCs/>
        </w:rPr>
        <w:t>-</w:t>
      </w:r>
    </w:p>
    <w:p w:rsidR="008C0C24" w:rsidRPr="006A233B" w:rsidRDefault="008C0C24" w:rsidP="00980876">
      <w:pPr>
        <w:widowControl w:val="0"/>
        <w:numPr>
          <w:ilvl w:val="1"/>
          <w:numId w:val="526"/>
        </w:numPr>
        <w:tabs>
          <w:tab w:val="clear" w:pos="3977"/>
          <w:tab w:val="num" w:pos="709"/>
          <w:tab w:val="num" w:pos="2069"/>
        </w:tabs>
        <w:spacing w:before="120" w:after="120" w:line="240" w:lineRule="auto"/>
        <w:ind w:left="851" w:hanging="425"/>
        <w:jc w:val="both"/>
        <w:rPr>
          <w:rFonts w:ascii="Times New Roman" w:eastAsia="Times New Roman" w:hAnsi="Times New Roman" w:cs="Times New Roman"/>
          <w:bCs/>
        </w:rPr>
      </w:pPr>
      <w:r w:rsidRPr="006A233B">
        <w:rPr>
          <w:rFonts w:ascii="Times New Roman" w:eastAsia="Times New Roman" w:hAnsi="Times New Roman" w:cs="Times New Roman"/>
          <w:bCs/>
        </w:rPr>
        <w:t xml:space="preserve">heti óraszám - nappali munkarend: </w:t>
      </w:r>
      <w:r>
        <w:rPr>
          <w:rFonts w:ascii="Times New Roman" w:eastAsia="Times New Roman" w:hAnsi="Times New Roman" w:cs="Times New Roman"/>
          <w:bCs/>
        </w:rPr>
        <w:t>2</w:t>
      </w:r>
    </w:p>
    <w:p w:rsidR="008C0C24" w:rsidRPr="006A233B" w:rsidRDefault="008C0C24" w:rsidP="00980876">
      <w:pPr>
        <w:widowControl w:val="0"/>
        <w:numPr>
          <w:ilvl w:val="1"/>
          <w:numId w:val="526"/>
        </w:numPr>
        <w:tabs>
          <w:tab w:val="clear" w:pos="3977"/>
          <w:tab w:val="num" w:pos="709"/>
          <w:tab w:val="num" w:pos="2069"/>
        </w:tabs>
        <w:spacing w:before="120" w:after="120" w:line="240" w:lineRule="auto"/>
        <w:ind w:left="851" w:hanging="425"/>
        <w:jc w:val="both"/>
        <w:rPr>
          <w:rFonts w:ascii="Times New Roman" w:eastAsia="Times New Roman" w:hAnsi="Times New Roman" w:cs="Times New Roman"/>
          <w:bCs/>
        </w:rPr>
      </w:pPr>
      <w:r w:rsidRPr="006A233B">
        <w:rPr>
          <w:rFonts w:ascii="Times New Roman" w:hAnsi="Times New Roman" w:cs="Times New Roman"/>
        </w:rPr>
        <w:t>Az ismeret átadásában alkalmazandó további sajátos módok, jellemzők:</w:t>
      </w:r>
      <w:r w:rsidRPr="006A233B">
        <w:rPr>
          <w:rFonts w:ascii="Times New Roman" w:hAnsi="Times New Roman" w:cs="Times New Roman"/>
          <w:i/>
        </w:rPr>
        <w:t xml:space="preserve"> –</w:t>
      </w:r>
    </w:p>
    <w:p w:rsidR="008C0C24" w:rsidRPr="006A233B" w:rsidRDefault="008C0C24" w:rsidP="00980876">
      <w:pPr>
        <w:widowControl w:val="0"/>
        <w:numPr>
          <w:ilvl w:val="0"/>
          <w:numId w:val="526"/>
        </w:numPr>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bCs/>
        </w:rPr>
        <w:t>A tantárgy szakmai tartalma (magyarul):</w:t>
      </w:r>
      <w:r w:rsidRPr="006A233B">
        <w:rPr>
          <w:rFonts w:ascii="Times New Roman" w:eastAsia="Times New Roman" w:hAnsi="Times New Roman" w:cs="Times New Roman"/>
          <w:bCs/>
        </w:rPr>
        <w:t xml:space="preserve"> </w:t>
      </w:r>
      <w:r w:rsidRPr="00A401DA">
        <w:rPr>
          <w:rFonts w:ascii="Times New Roman" w:hAnsi="Times New Roman" w:cs="Times New Roman"/>
          <w:bCs/>
        </w:rPr>
        <w:t>A tantárgy napjaink globalizált világgazdaságának működésével foglalkozik. Bemutatja a globalizációs folyamatokat, a nemzetgazdaságok kapcsolatrendszerét, kölcsönhatásait, egymásrautaltságát, a szupranacionális intézmények működését</w:t>
      </w:r>
      <w:r w:rsidRPr="006A233B">
        <w:rPr>
          <w:rFonts w:ascii="Times New Roman" w:hAnsi="Times New Roman" w:cs="Times New Roman"/>
          <w:bCs/>
        </w:rPr>
        <w:t>.</w:t>
      </w:r>
    </w:p>
    <w:p w:rsidR="008C0C24" w:rsidRPr="006A233B" w:rsidRDefault="008C0C24" w:rsidP="008C0C24">
      <w:pPr>
        <w:widowControl w:val="0"/>
        <w:spacing w:before="120" w:after="120" w:line="240" w:lineRule="auto"/>
        <w:ind w:left="426"/>
        <w:jc w:val="both"/>
        <w:rPr>
          <w:rFonts w:ascii="Times New Roman" w:eastAsia="Times New Roman" w:hAnsi="Times New Roman" w:cs="Times New Roman"/>
          <w:bCs/>
          <w:lang w:val="en-GB"/>
        </w:rPr>
      </w:pPr>
      <w:r w:rsidRPr="006A233B">
        <w:rPr>
          <w:rFonts w:ascii="Times New Roman" w:eastAsia="Times New Roman" w:hAnsi="Times New Roman" w:cs="Times New Roman"/>
          <w:b/>
          <w:bCs/>
        </w:rPr>
        <w:t>A tantárgy szakmai tartalma (angolul) (</w:t>
      </w:r>
      <w:r w:rsidRPr="006A233B">
        <w:rPr>
          <w:rFonts w:ascii="Times New Roman" w:eastAsia="Times New Roman" w:hAnsi="Times New Roman" w:cs="Times New Roman"/>
          <w:b/>
          <w:bCs/>
          <w:lang w:val="en-US"/>
        </w:rPr>
        <w:t>Course description</w:t>
      </w:r>
      <w:r w:rsidRPr="006A233B">
        <w:rPr>
          <w:rFonts w:ascii="Times New Roman" w:eastAsia="Times New Roman" w:hAnsi="Times New Roman" w:cs="Times New Roman"/>
          <w:b/>
          <w:bCs/>
        </w:rPr>
        <w:t xml:space="preserve">): </w:t>
      </w:r>
      <w:r>
        <w:rPr>
          <w:rFonts w:ascii="Times New Roman" w:hAnsi="Times New Roman" w:cs="Times New Roman"/>
          <w:bCs/>
          <w:lang w:val="en-US"/>
        </w:rPr>
        <w:t>This subject deals with the functioning of the global economic system</w:t>
      </w:r>
      <w:r w:rsidRPr="003B60DE">
        <w:rPr>
          <w:rFonts w:ascii="Times New Roman" w:hAnsi="Times New Roman" w:cs="Times New Roman"/>
          <w:bCs/>
          <w:lang w:val="en-US"/>
        </w:rPr>
        <w:t>.</w:t>
      </w:r>
      <w:r>
        <w:rPr>
          <w:rFonts w:ascii="Times New Roman" w:hAnsi="Times New Roman" w:cs="Times New Roman"/>
          <w:bCs/>
          <w:lang w:val="en-US"/>
        </w:rPr>
        <w:t xml:space="preserve"> It shows the processes of globalization, the interconnections and interdependencies of national economies, the tasks of the supranational institutions.  </w:t>
      </w:r>
    </w:p>
    <w:p w:rsidR="008C0C24" w:rsidRPr="006A233B" w:rsidRDefault="008C0C24" w:rsidP="00980876">
      <w:pPr>
        <w:pStyle w:val="Listaszerbekezds"/>
        <w:widowControl w:val="0"/>
        <w:numPr>
          <w:ilvl w:val="0"/>
          <w:numId w:val="526"/>
        </w:numPr>
        <w:spacing w:before="120" w:after="120" w:line="240" w:lineRule="auto"/>
        <w:ind w:left="499" w:hanging="142"/>
        <w:jc w:val="both"/>
        <w:rPr>
          <w:rFonts w:ascii="Times New Roman" w:eastAsia="Times New Roman" w:hAnsi="Times New Roman" w:cs="Times New Roman"/>
          <w:bCs/>
        </w:rPr>
      </w:pPr>
      <w:r w:rsidRPr="006A233B">
        <w:rPr>
          <w:rFonts w:ascii="Times New Roman" w:eastAsia="Times New Roman" w:hAnsi="Times New Roman" w:cs="Times New Roman"/>
          <w:b/>
          <w:bCs/>
        </w:rPr>
        <w:t>Elérendő kompetenciák (magyarul):</w:t>
      </w:r>
      <w:r w:rsidRPr="006A233B">
        <w:rPr>
          <w:rFonts w:ascii="Times New Roman" w:eastAsia="Times New Roman" w:hAnsi="Times New Roman" w:cs="Times New Roman"/>
          <w:bCs/>
        </w:rPr>
        <w:t xml:space="preserve"> </w:t>
      </w:r>
    </w:p>
    <w:p w:rsidR="008C0C24" w:rsidRPr="00E22FDF" w:rsidRDefault="008C0C24" w:rsidP="008C0C24">
      <w:pPr>
        <w:widowControl w:val="0"/>
        <w:spacing w:after="0" w:line="240" w:lineRule="auto"/>
        <w:ind w:left="425"/>
        <w:jc w:val="both"/>
        <w:rPr>
          <w:rFonts w:ascii="Times New Roman" w:eastAsia="Times New Roman" w:hAnsi="Times New Roman" w:cs="Times New Roman"/>
          <w:bCs/>
        </w:rPr>
      </w:pPr>
      <w:r w:rsidRPr="00E22FDF">
        <w:rPr>
          <w:rFonts w:ascii="Times New Roman" w:eastAsia="Times New Roman" w:hAnsi="Times New Roman" w:cs="Times New Roman"/>
          <w:b/>
          <w:bCs/>
        </w:rPr>
        <w:t>Tudása:</w:t>
      </w:r>
    </w:p>
    <w:p w:rsidR="008C0C24" w:rsidRPr="008C0C24" w:rsidRDefault="008C0C24" w:rsidP="00980876">
      <w:pPr>
        <w:pStyle w:val="Listaszerbekezds"/>
        <w:widowControl w:val="0"/>
        <w:numPr>
          <w:ilvl w:val="0"/>
          <w:numId w:val="527"/>
        </w:numPr>
        <w:spacing w:after="0" w:line="240" w:lineRule="auto"/>
        <w:ind w:hanging="218"/>
        <w:jc w:val="both"/>
        <w:rPr>
          <w:rFonts w:ascii="Times New Roman" w:hAnsi="Times New Roman" w:cs="Times New Roman"/>
        </w:rPr>
      </w:pPr>
      <w:r w:rsidRPr="008C0C24">
        <w:rPr>
          <w:rFonts w:ascii="Times New Roman" w:hAnsi="Times New Roman" w:cs="Times New Roman"/>
        </w:rPr>
        <w:t>Ismeri a gazdaság és a piacok működésének alapjait, a nemzetgazdaság és a honvédelem kapcsolatrendszerét, a hadiipar működésének törvényszerűségeit.</w:t>
      </w:r>
    </w:p>
    <w:p w:rsidR="008C0C24" w:rsidRPr="00E22FDF" w:rsidRDefault="008C0C24" w:rsidP="008C0C24">
      <w:pPr>
        <w:widowControl w:val="0"/>
        <w:spacing w:before="120" w:after="0" w:line="240" w:lineRule="auto"/>
        <w:ind w:left="425"/>
        <w:jc w:val="both"/>
        <w:rPr>
          <w:rFonts w:ascii="Times New Roman" w:eastAsia="Times New Roman" w:hAnsi="Times New Roman" w:cs="Times New Roman"/>
          <w:bCs/>
        </w:rPr>
      </w:pPr>
      <w:r w:rsidRPr="00E22FDF">
        <w:rPr>
          <w:rFonts w:ascii="Times New Roman" w:eastAsia="Times New Roman" w:hAnsi="Times New Roman" w:cs="Times New Roman"/>
          <w:b/>
          <w:bCs/>
        </w:rPr>
        <w:t>Képességei:</w:t>
      </w:r>
      <w:r w:rsidRPr="00E22FDF">
        <w:rPr>
          <w:rFonts w:ascii="Times New Roman" w:eastAsia="Times New Roman" w:hAnsi="Times New Roman" w:cs="Times New Roman"/>
          <w:bCs/>
        </w:rPr>
        <w:t xml:space="preserve"> </w:t>
      </w:r>
    </w:p>
    <w:p w:rsidR="008C0C24" w:rsidRPr="008C0C24" w:rsidRDefault="008C0C24" w:rsidP="00980876">
      <w:pPr>
        <w:pStyle w:val="Listaszerbekezds"/>
        <w:widowControl w:val="0"/>
        <w:numPr>
          <w:ilvl w:val="0"/>
          <w:numId w:val="527"/>
        </w:numPr>
        <w:spacing w:after="0" w:line="240" w:lineRule="auto"/>
        <w:ind w:hanging="218"/>
        <w:jc w:val="both"/>
        <w:rPr>
          <w:rFonts w:ascii="Times New Roman" w:hAnsi="Times New Roman" w:cs="Times New Roman"/>
        </w:rPr>
      </w:pPr>
      <w:r w:rsidRPr="008C0C24">
        <w:rPr>
          <w:rFonts w:ascii="Times New Roman" w:hAnsi="Times New Roman" w:cs="Times New Roman"/>
        </w:rPr>
        <w:t>Képes a logisztikai folyamatok és a Magyar Honvédség logisztikai rendszere közötti kapcsolatok, illetve összefüggések értelmezésére.</w:t>
      </w:r>
    </w:p>
    <w:p w:rsidR="008C0C24" w:rsidRPr="008C0C24" w:rsidRDefault="008C0C24" w:rsidP="00980876">
      <w:pPr>
        <w:pStyle w:val="Listaszerbekezds"/>
        <w:widowControl w:val="0"/>
        <w:numPr>
          <w:ilvl w:val="0"/>
          <w:numId w:val="527"/>
        </w:numPr>
        <w:spacing w:after="0" w:line="240" w:lineRule="auto"/>
        <w:ind w:hanging="218"/>
        <w:jc w:val="both"/>
        <w:rPr>
          <w:rFonts w:ascii="Times New Roman" w:hAnsi="Times New Roman" w:cs="Times New Roman"/>
        </w:rPr>
      </w:pPr>
      <w:r w:rsidRPr="008C0C24">
        <w:rPr>
          <w:rFonts w:ascii="Times New Roman" w:hAnsi="Times New Roman" w:cs="Times New Roman"/>
        </w:rPr>
        <w:t>Képes szakterületén újító és innovatív ötletek megfogalmazására.</w:t>
      </w:r>
    </w:p>
    <w:p w:rsidR="008C0C24" w:rsidRPr="00E22FDF" w:rsidRDefault="008C0C24" w:rsidP="008C0C24">
      <w:pPr>
        <w:widowControl w:val="0"/>
        <w:spacing w:before="120" w:after="0" w:line="240" w:lineRule="auto"/>
        <w:ind w:left="425"/>
        <w:jc w:val="both"/>
        <w:rPr>
          <w:rFonts w:ascii="Times New Roman" w:eastAsia="Times New Roman" w:hAnsi="Times New Roman" w:cs="Times New Roman"/>
          <w:bCs/>
        </w:rPr>
      </w:pPr>
      <w:r w:rsidRPr="00E22FDF">
        <w:rPr>
          <w:rFonts w:ascii="Times New Roman" w:eastAsia="Times New Roman" w:hAnsi="Times New Roman" w:cs="Times New Roman"/>
          <w:b/>
          <w:bCs/>
        </w:rPr>
        <w:t>Attitűdje:</w:t>
      </w:r>
      <w:r w:rsidRPr="00E22FDF">
        <w:rPr>
          <w:rFonts w:ascii="Times New Roman" w:eastAsia="Times New Roman" w:hAnsi="Times New Roman" w:cs="Times New Roman"/>
          <w:bCs/>
        </w:rPr>
        <w:t xml:space="preserve"> </w:t>
      </w:r>
    </w:p>
    <w:p w:rsidR="008C0C24" w:rsidRPr="00E22FDF" w:rsidRDefault="008C0C24" w:rsidP="00980876">
      <w:pPr>
        <w:pStyle w:val="Listaszerbekezds"/>
        <w:widowControl w:val="0"/>
        <w:numPr>
          <w:ilvl w:val="0"/>
          <w:numId w:val="527"/>
        </w:numPr>
        <w:spacing w:after="0" w:line="240" w:lineRule="auto"/>
        <w:ind w:hanging="218"/>
        <w:jc w:val="both"/>
        <w:rPr>
          <w:rFonts w:ascii="Times New Roman" w:hAnsi="Times New Roman" w:cs="Times New Roman"/>
        </w:rPr>
      </w:pPr>
      <w:r w:rsidRPr="00E22FDF">
        <w:rPr>
          <w:rFonts w:ascii="Times New Roman" w:hAnsi="Times New Roman" w:cs="Times New Roman"/>
        </w:rPr>
        <w:t>A minőségi szakmai munkavégzés iránt elkötelezett, azt a pontosságra való törekvés jellemzi.</w:t>
      </w:r>
    </w:p>
    <w:p w:rsidR="008C0C24" w:rsidRPr="00E22FDF" w:rsidRDefault="008C0C24" w:rsidP="00980876">
      <w:pPr>
        <w:pStyle w:val="Listaszerbekezds"/>
        <w:widowControl w:val="0"/>
        <w:numPr>
          <w:ilvl w:val="0"/>
          <w:numId w:val="527"/>
        </w:numPr>
        <w:spacing w:after="0" w:line="240" w:lineRule="auto"/>
        <w:ind w:hanging="218"/>
        <w:jc w:val="both"/>
        <w:rPr>
          <w:rFonts w:ascii="Times New Roman" w:hAnsi="Times New Roman" w:cs="Times New Roman"/>
        </w:rPr>
      </w:pPr>
      <w:r w:rsidRPr="00E22FDF">
        <w:rPr>
          <w:rFonts w:ascii="Times New Roman" w:hAnsi="Times New Roman" w:cs="Times New Roman"/>
        </w:rPr>
        <w:t>Felismeri a rendszerszintű tevékenységben rejlő értékeket, törekszik a logisztikai tevékenységek közötti kapcsolatok értelmezésére.</w:t>
      </w:r>
    </w:p>
    <w:p w:rsidR="008C0C24" w:rsidRPr="00E22FDF" w:rsidRDefault="008C0C24" w:rsidP="00980876">
      <w:pPr>
        <w:pStyle w:val="Listaszerbekezds"/>
        <w:widowControl w:val="0"/>
        <w:numPr>
          <w:ilvl w:val="0"/>
          <w:numId w:val="527"/>
        </w:numPr>
        <w:spacing w:after="0" w:line="240" w:lineRule="auto"/>
        <w:ind w:hanging="218"/>
        <w:jc w:val="both"/>
        <w:rPr>
          <w:rFonts w:ascii="Times New Roman" w:hAnsi="Times New Roman" w:cs="Times New Roman"/>
        </w:rPr>
      </w:pPr>
      <w:r w:rsidRPr="00E22FDF">
        <w:rPr>
          <w:rFonts w:ascii="Times New Roman" w:hAnsi="Times New Roman" w:cs="Times New Roman"/>
        </w:rPr>
        <w:t>Tevékenységét a hatékonyság központú szemlélet jellemzi.</w:t>
      </w:r>
    </w:p>
    <w:p w:rsidR="00976088" w:rsidRDefault="00976088" w:rsidP="008C0C24">
      <w:pPr>
        <w:widowControl w:val="0"/>
        <w:spacing w:before="120" w:after="0" w:line="240" w:lineRule="auto"/>
        <w:ind w:left="425"/>
        <w:jc w:val="both"/>
        <w:rPr>
          <w:rFonts w:ascii="Times New Roman" w:eastAsia="Times New Roman" w:hAnsi="Times New Roman" w:cs="Times New Roman"/>
          <w:b/>
          <w:bCs/>
        </w:rPr>
      </w:pPr>
    </w:p>
    <w:p w:rsidR="008C0C24" w:rsidRPr="00E22FDF" w:rsidRDefault="008C0C24" w:rsidP="008C0C24">
      <w:pPr>
        <w:widowControl w:val="0"/>
        <w:spacing w:before="120" w:after="0" w:line="240" w:lineRule="auto"/>
        <w:ind w:left="425"/>
        <w:jc w:val="both"/>
        <w:rPr>
          <w:rFonts w:ascii="Times New Roman" w:eastAsia="Times New Roman" w:hAnsi="Times New Roman" w:cs="Times New Roman"/>
          <w:bCs/>
        </w:rPr>
      </w:pPr>
      <w:r w:rsidRPr="00E22FDF">
        <w:rPr>
          <w:rFonts w:ascii="Times New Roman" w:eastAsia="Times New Roman" w:hAnsi="Times New Roman" w:cs="Times New Roman"/>
          <w:b/>
          <w:bCs/>
        </w:rPr>
        <w:lastRenderedPageBreak/>
        <w:t>Autonómiája és felelőssége:</w:t>
      </w:r>
    </w:p>
    <w:p w:rsidR="008C0C24" w:rsidRDefault="008C0C24" w:rsidP="00980876">
      <w:pPr>
        <w:pStyle w:val="Listaszerbekezds"/>
        <w:widowControl w:val="0"/>
        <w:numPr>
          <w:ilvl w:val="0"/>
          <w:numId w:val="527"/>
        </w:numPr>
        <w:spacing w:after="0" w:line="240" w:lineRule="auto"/>
        <w:ind w:hanging="218"/>
        <w:jc w:val="both"/>
        <w:rPr>
          <w:rFonts w:ascii="Times New Roman" w:hAnsi="Times New Roman" w:cs="Times New Roman"/>
        </w:rPr>
      </w:pPr>
      <w:r w:rsidRPr="00832C9F">
        <w:rPr>
          <w:rFonts w:ascii="Times New Roman" w:hAnsi="Times New Roman" w:cs="Times New Roman"/>
        </w:rPr>
        <w:t>Szakmai feladatainak elvégzése során felelősségteljesen együttműködik más szakterület képzett szakembereivel is.</w:t>
      </w:r>
    </w:p>
    <w:p w:rsidR="008C0C24" w:rsidRPr="000F41AC" w:rsidRDefault="008C0C24" w:rsidP="00980876">
      <w:pPr>
        <w:pStyle w:val="Listaszerbekezds"/>
        <w:widowControl w:val="0"/>
        <w:numPr>
          <w:ilvl w:val="0"/>
          <w:numId w:val="527"/>
        </w:numPr>
        <w:spacing w:after="0" w:line="240" w:lineRule="auto"/>
        <w:ind w:hanging="218"/>
        <w:jc w:val="both"/>
        <w:rPr>
          <w:rFonts w:ascii="Times New Roman" w:hAnsi="Times New Roman" w:cs="Times New Roman"/>
        </w:rPr>
      </w:pPr>
      <w:r w:rsidRPr="00832C9F">
        <w:rPr>
          <w:rFonts w:ascii="Times New Roman" w:hAnsi="Times New Roman" w:cs="Times New Roman"/>
        </w:rPr>
        <w:t>Szakterületén belül képes rendszer-szemléletűen gondolkodni.</w:t>
      </w:r>
    </w:p>
    <w:p w:rsidR="008C0C24" w:rsidRPr="000F41AC" w:rsidRDefault="008C0C24" w:rsidP="008C0C24">
      <w:pPr>
        <w:widowControl w:val="0"/>
        <w:spacing w:before="120" w:after="0" w:line="240" w:lineRule="auto"/>
        <w:ind w:left="425"/>
        <w:jc w:val="both"/>
        <w:rPr>
          <w:rFonts w:ascii="Times New Roman" w:eastAsia="Times New Roman" w:hAnsi="Times New Roman" w:cs="Times New Roman"/>
          <w:b/>
          <w:bCs/>
          <w:lang w:val="en-US"/>
        </w:rPr>
      </w:pPr>
      <w:r w:rsidRPr="00E22FDF">
        <w:rPr>
          <w:rFonts w:ascii="Times New Roman" w:eastAsia="Times New Roman" w:hAnsi="Times New Roman" w:cs="Times New Roman"/>
          <w:b/>
          <w:bCs/>
        </w:rPr>
        <w:t>Elérendő kompetenciák (angolul) (</w:t>
      </w:r>
      <w:r w:rsidRPr="00E22FDF">
        <w:rPr>
          <w:rFonts w:ascii="Times New Roman" w:eastAsia="Times New Roman" w:hAnsi="Times New Roman" w:cs="Times New Roman"/>
          <w:b/>
          <w:bCs/>
          <w:lang w:val="en-US"/>
        </w:rPr>
        <w:t xml:space="preserve">Competences – English): </w:t>
      </w:r>
    </w:p>
    <w:p w:rsidR="008C0C24" w:rsidRPr="00E22FDF" w:rsidRDefault="008C0C24" w:rsidP="008C0C24">
      <w:pPr>
        <w:widowControl w:val="0"/>
        <w:spacing w:before="120" w:after="0" w:line="240" w:lineRule="auto"/>
        <w:ind w:left="425"/>
        <w:jc w:val="both"/>
        <w:rPr>
          <w:rFonts w:ascii="Times New Roman" w:eastAsia="Times New Roman" w:hAnsi="Times New Roman" w:cs="Times New Roman"/>
          <w:lang w:val="en-GB"/>
        </w:rPr>
      </w:pPr>
      <w:r w:rsidRPr="00E22FDF">
        <w:rPr>
          <w:rFonts w:ascii="Times New Roman" w:eastAsia="Times New Roman" w:hAnsi="Times New Roman" w:cs="Times New Roman"/>
          <w:b/>
          <w:lang w:val="en-GB"/>
        </w:rPr>
        <w:t>Knowledge</w:t>
      </w:r>
      <w:r w:rsidRPr="00E22FDF">
        <w:rPr>
          <w:rFonts w:ascii="Times New Roman" w:eastAsia="Times New Roman" w:hAnsi="Times New Roman" w:cs="Times New Roman"/>
          <w:lang w:val="en-GB"/>
        </w:rPr>
        <w:t xml:space="preserve">: </w:t>
      </w:r>
    </w:p>
    <w:p w:rsidR="008C0C24" w:rsidRPr="00123276" w:rsidRDefault="008C0C24" w:rsidP="00980876">
      <w:pPr>
        <w:pStyle w:val="Listaszerbekezds"/>
        <w:widowControl w:val="0"/>
        <w:numPr>
          <w:ilvl w:val="0"/>
          <w:numId w:val="527"/>
        </w:numPr>
        <w:spacing w:after="0" w:line="240" w:lineRule="auto"/>
        <w:ind w:hanging="218"/>
        <w:jc w:val="both"/>
        <w:rPr>
          <w:rFonts w:ascii="Times New Roman" w:eastAsia="Times New Roman" w:hAnsi="Times New Roman" w:cs="Times New Roman"/>
          <w:lang w:val="en-GB"/>
        </w:rPr>
      </w:pPr>
      <w:r w:rsidRPr="00123276">
        <w:rPr>
          <w:rFonts w:ascii="Times New Roman" w:eastAsia="Times New Roman" w:hAnsi="Times New Roman" w:cs="Times New Roman"/>
          <w:lang w:val="en-GB"/>
        </w:rPr>
        <w:t xml:space="preserve">To be </w:t>
      </w:r>
      <w:r w:rsidRPr="008C0C24">
        <w:rPr>
          <w:rFonts w:ascii="Times New Roman" w:hAnsi="Times New Roman" w:cs="Times New Roman"/>
        </w:rPr>
        <w:t>familiar with market mechanisms, the principles of economics, the relation between national economy and</w:t>
      </w:r>
      <w:r w:rsidRPr="00123276">
        <w:rPr>
          <w:rFonts w:ascii="Times New Roman" w:eastAsia="Times New Roman" w:hAnsi="Times New Roman" w:cs="Times New Roman"/>
          <w:lang w:val="en-GB"/>
        </w:rPr>
        <w:t xml:space="preserve"> defense and the functioning of defense industry. </w:t>
      </w:r>
    </w:p>
    <w:p w:rsidR="008C0C24" w:rsidRPr="00E22FDF" w:rsidRDefault="008C0C24" w:rsidP="008C0C24">
      <w:pPr>
        <w:widowControl w:val="0"/>
        <w:spacing w:before="120" w:after="0" w:line="240" w:lineRule="auto"/>
        <w:ind w:left="425"/>
        <w:jc w:val="both"/>
        <w:rPr>
          <w:rFonts w:ascii="Times New Roman" w:eastAsia="Times New Roman" w:hAnsi="Times New Roman" w:cs="Times New Roman"/>
          <w:lang w:val="en-GB"/>
        </w:rPr>
      </w:pPr>
      <w:r w:rsidRPr="00E22FDF">
        <w:rPr>
          <w:rFonts w:ascii="Times New Roman" w:eastAsia="Times New Roman" w:hAnsi="Times New Roman" w:cs="Times New Roman"/>
          <w:b/>
          <w:lang w:val="en-GB"/>
        </w:rPr>
        <w:t>Capabilities</w:t>
      </w:r>
      <w:r w:rsidRPr="00E22FDF">
        <w:rPr>
          <w:rFonts w:ascii="Times New Roman" w:eastAsia="Times New Roman" w:hAnsi="Times New Roman" w:cs="Times New Roman"/>
          <w:lang w:val="en-GB"/>
        </w:rPr>
        <w:t xml:space="preserve">: </w:t>
      </w:r>
    </w:p>
    <w:p w:rsidR="008C0C24" w:rsidRPr="008C0C24" w:rsidRDefault="008C0C24" w:rsidP="00980876">
      <w:pPr>
        <w:pStyle w:val="Listaszerbekezds"/>
        <w:widowControl w:val="0"/>
        <w:numPr>
          <w:ilvl w:val="0"/>
          <w:numId w:val="527"/>
        </w:numPr>
        <w:spacing w:after="0" w:line="240" w:lineRule="auto"/>
        <w:ind w:hanging="218"/>
        <w:jc w:val="both"/>
        <w:rPr>
          <w:rFonts w:ascii="Times New Roman" w:hAnsi="Times New Roman" w:cs="Times New Roman"/>
        </w:rPr>
      </w:pPr>
      <w:r w:rsidRPr="00E22FDF">
        <w:rPr>
          <w:rFonts w:ascii="Times New Roman" w:eastAsia="Times New Roman" w:hAnsi="Times New Roman" w:cs="Times New Roman"/>
          <w:lang w:val="en-GB"/>
        </w:rPr>
        <w:t xml:space="preserve">To be able to </w:t>
      </w:r>
      <w:r w:rsidRPr="008C0C24">
        <w:rPr>
          <w:rFonts w:ascii="Times New Roman" w:hAnsi="Times New Roman" w:cs="Times New Roman"/>
        </w:rPr>
        <w:t xml:space="preserve">understand the connections in logistic field between the national economy and the HDF. </w:t>
      </w:r>
    </w:p>
    <w:p w:rsidR="008C0C24" w:rsidRDefault="008C0C24" w:rsidP="00980876">
      <w:pPr>
        <w:pStyle w:val="Listaszerbekezds"/>
        <w:widowControl w:val="0"/>
        <w:numPr>
          <w:ilvl w:val="0"/>
          <w:numId w:val="527"/>
        </w:numPr>
        <w:spacing w:after="0" w:line="240" w:lineRule="auto"/>
        <w:ind w:hanging="218"/>
        <w:jc w:val="both"/>
        <w:rPr>
          <w:rFonts w:ascii="Times New Roman" w:eastAsia="Times New Roman" w:hAnsi="Times New Roman" w:cs="Times New Roman"/>
          <w:lang w:val="en-GB"/>
        </w:rPr>
      </w:pPr>
      <w:r w:rsidRPr="008C0C24">
        <w:rPr>
          <w:rFonts w:ascii="Times New Roman" w:hAnsi="Times New Roman" w:cs="Times New Roman"/>
        </w:rPr>
        <w:t>To have ability to create</w:t>
      </w:r>
      <w:r>
        <w:rPr>
          <w:rFonts w:ascii="Times New Roman" w:eastAsia="Times New Roman" w:hAnsi="Times New Roman" w:cs="Times New Roman"/>
          <w:lang w:val="en-GB"/>
        </w:rPr>
        <w:t xml:space="preserve"> new, innovative ideas in the given profession and post. </w:t>
      </w:r>
    </w:p>
    <w:p w:rsidR="008C0C24" w:rsidRPr="00E22FDF" w:rsidRDefault="008C0C24" w:rsidP="008C0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425"/>
        <w:jc w:val="both"/>
        <w:rPr>
          <w:rFonts w:ascii="Times New Roman" w:eastAsia="Times New Roman" w:hAnsi="Times New Roman" w:cs="Times New Roman"/>
          <w:lang w:val="en-GB"/>
        </w:rPr>
      </w:pPr>
      <w:r w:rsidRPr="00E22FDF">
        <w:rPr>
          <w:rFonts w:ascii="Times New Roman" w:eastAsia="Times New Roman" w:hAnsi="Times New Roman" w:cs="Times New Roman"/>
          <w:b/>
          <w:lang w:val="en-GB"/>
        </w:rPr>
        <w:t>Attitude:</w:t>
      </w:r>
      <w:r w:rsidRPr="00E22FDF">
        <w:rPr>
          <w:rFonts w:ascii="Times New Roman" w:eastAsia="Times New Roman" w:hAnsi="Times New Roman" w:cs="Times New Roman"/>
          <w:lang w:val="en-GB"/>
        </w:rPr>
        <w:t xml:space="preserve"> </w:t>
      </w:r>
    </w:p>
    <w:p w:rsidR="008C0C24" w:rsidRPr="008C0C24" w:rsidRDefault="008C0C24" w:rsidP="00980876">
      <w:pPr>
        <w:pStyle w:val="Listaszerbekezds"/>
        <w:widowControl w:val="0"/>
        <w:numPr>
          <w:ilvl w:val="0"/>
          <w:numId w:val="527"/>
        </w:numPr>
        <w:spacing w:after="0" w:line="240" w:lineRule="auto"/>
        <w:ind w:hanging="218"/>
        <w:jc w:val="both"/>
        <w:rPr>
          <w:rFonts w:ascii="Times New Roman" w:hAnsi="Times New Roman" w:cs="Times New Roman"/>
        </w:rPr>
      </w:pPr>
      <w:r w:rsidRPr="00E22FDF">
        <w:rPr>
          <w:rFonts w:ascii="Times New Roman" w:eastAsia="Times New Roman" w:hAnsi="Times New Roman" w:cs="Times New Roman"/>
          <w:lang w:val="en-GB"/>
        </w:rPr>
        <w:t xml:space="preserve">To be </w:t>
      </w:r>
      <w:r w:rsidRPr="008C0C24">
        <w:rPr>
          <w:rFonts w:ascii="Times New Roman" w:hAnsi="Times New Roman" w:cs="Times New Roman"/>
        </w:rPr>
        <w:t>committed to high standard work and accuracy.</w:t>
      </w:r>
    </w:p>
    <w:p w:rsidR="008C0C24" w:rsidRPr="008C0C24" w:rsidRDefault="008C0C24" w:rsidP="00980876">
      <w:pPr>
        <w:pStyle w:val="Listaszerbekezds"/>
        <w:widowControl w:val="0"/>
        <w:numPr>
          <w:ilvl w:val="0"/>
          <w:numId w:val="527"/>
        </w:numPr>
        <w:spacing w:after="0" w:line="240" w:lineRule="auto"/>
        <w:ind w:hanging="218"/>
        <w:jc w:val="both"/>
        <w:rPr>
          <w:rFonts w:ascii="Times New Roman" w:hAnsi="Times New Roman" w:cs="Times New Roman"/>
        </w:rPr>
      </w:pPr>
      <w:r w:rsidRPr="008C0C24">
        <w:rPr>
          <w:rFonts w:ascii="Times New Roman" w:hAnsi="Times New Roman" w:cs="Times New Roman"/>
        </w:rPr>
        <w:t>To be able to recognize the advantages and opportunities offered by well-structured activities and to be seeking to understand the logical connections among logistic activities.</w:t>
      </w:r>
    </w:p>
    <w:p w:rsidR="008C0C24" w:rsidRPr="00E22FDF" w:rsidRDefault="008C0C24" w:rsidP="00980876">
      <w:pPr>
        <w:pStyle w:val="Listaszerbekezds"/>
        <w:widowControl w:val="0"/>
        <w:numPr>
          <w:ilvl w:val="0"/>
          <w:numId w:val="527"/>
        </w:numPr>
        <w:spacing w:after="0" w:line="240" w:lineRule="auto"/>
        <w:ind w:hanging="218"/>
        <w:jc w:val="both"/>
        <w:rPr>
          <w:rFonts w:ascii="Times New Roman" w:eastAsia="Times New Roman" w:hAnsi="Times New Roman" w:cs="Times New Roman"/>
          <w:lang w:val="en-GB"/>
        </w:rPr>
      </w:pPr>
      <w:r w:rsidRPr="008C0C24">
        <w:rPr>
          <w:rFonts w:ascii="Times New Roman" w:hAnsi="Times New Roman" w:cs="Times New Roman"/>
        </w:rPr>
        <w:t>To be characterized</w:t>
      </w:r>
      <w:r w:rsidRPr="00E22FDF">
        <w:rPr>
          <w:rFonts w:ascii="Times New Roman" w:eastAsia="Times New Roman" w:hAnsi="Times New Roman" w:cs="Times New Roman"/>
          <w:lang w:val="en-GB"/>
        </w:rPr>
        <w:t xml:space="preserve"> by efficiency-based attitude.    </w:t>
      </w:r>
    </w:p>
    <w:p w:rsidR="008C0C24" w:rsidRPr="00E22FDF" w:rsidRDefault="008C0C24" w:rsidP="008C0C24">
      <w:pPr>
        <w:widowControl w:val="0"/>
        <w:spacing w:before="120" w:after="0" w:line="240" w:lineRule="auto"/>
        <w:ind w:left="425"/>
        <w:jc w:val="both"/>
        <w:rPr>
          <w:rFonts w:ascii="Times New Roman" w:eastAsia="Times New Roman" w:hAnsi="Times New Roman" w:cs="Times New Roman"/>
          <w:bCs/>
        </w:rPr>
      </w:pPr>
      <w:r w:rsidRPr="00E22FDF">
        <w:rPr>
          <w:rFonts w:ascii="Times New Roman" w:eastAsia="Times New Roman" w:hAnsi="Times New Roman" w:cs="Times New Roman"/>
          <w:b/>
          <w:lang w:val="en-GB"/>
        </w:rPr>
        <w:t xml:space="preserve">Autonomy and responsibility: </w:t>
      </w:r>
    </w:p>
    <w:p w:rsidR="008C0C24" w:rsidRPr="008C0C24" w:rsidRDefault="008C0C24" w:rsidP="00980876">
      <w:pPr>
        <w:pStyle w:val="Listaszerbekezds"/>
        <w:widowControl w:val="0"/>
        <w:numPr>
          <w:ilvl w:val="0"/>
          <w:numId w:val="527"/>
        </w:numPr>
        <w:spacing w:after="0" w:line="240" w:lineRule="auto"/>
        <w:ind w:hanging="218"/>
        <w:jc w:val="both"/>
        <w:rPr>
          <w:rFonts w:ascii="Times New Roman" w:hAnsi="Times New Roman" w:cs="Times New Roman"/>
        </w:rPr>
      </w:pPr>
      <w:r>
        <w:rPr>
          <w:rFonts w:ascii="Times New Roman" w:eastAsia="Times New Roman" w:hAnsi="Times New Roman" w:cs="Times New Roman"/>
          <w:bCs/>
          <w:lang w:val="en-US"/>
        </w:rPr>
        <w:t xml:space="preserve">To have </w:t>
      </w:r>
      <w:r w:rsidRPr="008C0C24">
        <w:rPr>
          <w:rFonts w:ascii="Times New Roman" w:hAnsi="Times New Roman" w:cs="Times New Roman"/>
        </w:rPr>
        <w:t>intention to cooperate and coordinate with other professions in the daily tasks.</w:t>
      </w:r>
    </w:p>
    <w:p w:rsidR="008C0C24" w:rsidRPr="006C2454" w:rsidRDefault="008C0C24" w:rsidP="00980876">
      <w:pPr>
        <w:pStyle w:val="Listaszerbekezds"/>
        <w:widowControl w:val="0"/>
        <w:numPr>
          <w:ilvl w:val="0"/>
          <w:numId w:val="527"/>
        </w:numPr>
        <w:spacing w:after="0" w:line="240" w:lineRule="auto"/>
        <w:ind w:hanging="218"/>
        <w:jc w:val="both"/>
        <w:rPr>
          <w:rFonts w:ascii="Times New Roman" w:eastAsia="Times New Roman" w:hAnsi="Times New Roman" w:cs="Times New Roman"/>
          <w:bCs/>
          <w:lang w:val="en-US"/>
        </w:rPr>
      </w:pPr>
      <w:r w:rsidRPr="008C0C24">
        <w:rPr>
          <w:rFonts w:ascii="Times New Roman" w:hAnsi="Times New Roman" w:cs="Times New Roman"/>
        </w:rPr>
        <w:t>To possess sy</w:t>
      </w:r>
      <w:r>
        <w:rPr>
          <w:rFonts w:ascii="Times New Roman" w:eastAsia="Times New Roman" w:hAnsi="Times New Roman" w:cs="Times New Roman"/>
          <w:bCs/>
          <w:lang w:val="en-US"/>
        </w:rPr>
        <w:t xml:space="preserve">stem-based approach towards professional tasks and challenges. </w:t>
      </w:r>
    </w:p>
    <w:p w:rsidR="008C0C24" w:rsidRPr="006A233B" w:rsidRDefault="008C0C24" w:rsidP="00980876">
      <w:pPr>
        <w:widowControl w:val="0"/>
        <w:numPr>
          <w:ilvl w:val="0"/>
          <w:numId w:val="526"/>
        </w:numPr>
        <w:tabs>
          <w:tab w:val="num" w:pos="567"/>
        </w:tabs>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bCs/>
        </w:rPr>
        <w:t xml:space="preserve">Előtanulmányi követelmények: </w:t>
      </w:r>
      <w:r>
        <w:rPr>
          <w:rFonts w:ascii="Times New Roman" w:eastAsia="Times New Roman" w:hAnsi="Times New Roman" w:cs="Times New Roman"/>
          <w:bCs/>
        </w:rPr>
        <w:t>nincsen</w:t>
      </w:r>
    </w:p>
    <w:p w:rsidR="008C0C24" w:rsidRPr="00662B7D" w:rsidRDefault="008C0C24" w:rsidP="00980876">
      <w:pPr>
        <w:widowControl w:val="0"/>
        <w:numPr>
          <w:ilvl w:val="0"/>
          <w:numId w:val="526"/>
        </w:numPr>
        <w:spacing w:before="120" w:after="120" w:line="240" w:lineRule="auto"/>
        <w:ind w:left="426" w:hanging="142"/>
        <w:jc w:val="both"/>
        <w:rPr>
          <w:rFonts w:ascii="Times New Roman" w:eastAsia="Times New Roman" w:hAnsi="Times New Roman" w:cs="Times New Roman"/>
          <w:b/>
          <w:bCs/>
          <w:lang w:val="en-US"/>
        </w:rPr>
      </w:pPr>
      <w:r w:rsidRPr="00662B7D">
        <w:rPr>
          <w:rFonts w:ascii="Times New Roman" w:eastAsia="Times New Roman" w:hAnsi="Times New Roman" w:cs="Times New Roman"/>
          <w:b/>
          <w:bCs/>
          <w:lang w:val="en-US"/>
        </w:rPr>
        <w:t>A tantárgy tananyagának leírása, tematika. Description of the subject, curriculum (magyarul, angolul - English):</w:t>
      </w:r>
    </w:p>
    <w:p w:rsidR="008C0C24" w:rsidRPr="008C0C24" w:rsidRDefault="008C0C24" w:rsidP="00980876">
      <w:pPr>
        <w:widowControl w:val="0"/>
        <w:numPr>
          <w:ilvl w:val="1"/>
          <w:numId w:val="526"/>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i/>
          <w:lang w:val="en-US"/>
        </w:rPr>
      </w:pPr>
      <w:r w:rsidRPr="00790A51">
        <w:rPr>
          <w:rFonts w:ascii="Times New Roman" w:hAnsi="Times New Roman"/>
          <w:bCs/>
        </w:rPr>
        <w:t xml:space="preserve">A világgazdaságot jellemző fő folyamatok. A globalizáció hatásai. </w:t>
      </w:r>
      <w:r w:rsidRPr="008C0C24">
        <w:rPr>
          <w:rFonts w:ascii="Times New Roman" w:eastAsia="Times New Roman" w:hAnsi="Times New Roman" w:cs="Times New Roman"/>
          <w:i/>
          <w:lang w:val="en-US"/>
        </w:rPr>
        <w:t>(Processes and effects of globalization.)</w:t>
      </w:r>
    </w:p>
    <w:p w:rsidR="008C0C24" w:rsidRPr="00790A51" w:rsidRDefault="008C0C24" w:rsidP="00980876">
      <w:pPr>
        <w:widowControl w:val="0"/>
        <w:numPr>
          <w:ilvl w:val="1"/>
          <w:numId w:val="526"/>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lang w:val="en-US"/>
        </w:rPr>
      </w:pPr>
      <w:r w:rsidRPr="00790A51">
        <w:rPr>
          <w:rFonts w:ascii="Times New Roman" w:hAnsi="Times New Roman"/>
          <w:bCs/>
        </w:rPr>
        <w:t>Nemzetgazdaságok kapcsolatrendszere.</w:t>
      </w:r>
      <w:r w:rsidRPr="00790A51">
        <w:rPr>
          <w:rFonts w:ascii="Times New Roman" w:eastAsia="Times New Roman" w:hAnsi="Times New Roman" w:cs="Times New Roman"/>
          <w:lang w:val="en-US"/>
        </w:rPr>
        <w:t xml:space="preserve"> Fizetési mérleg, kereskedelem, termelési tényezők és technológia-áramlás. </w:t>
      </w:r>
      <w:r w:rsidRPr="008C0C24">
        <w:rPr>
          <w:rFonts w:ascii="Times New Roman" w:eastAsia="Times New Roman" w:hAnsi="Times New Roman" w:cs="Times New Roman"/>
          <w:i/>
          <w:lang w:val="en-US"/>
        </w:rPr>
        <w:t>(Interconnections among national economies. Balance of payment, trade of goods and services, flow of production factors and technology.)</w:t>
      </w:r>
    </w:p>
    <w:p w:rsidR="008C0C24" w:rsidRPr="00790A51" w:rsidRDefault="008C0C24" w:rsidP="00980876">
      <w:pPr>
        <w:widowControl w:val="0"/>
        <w:numPr>
          <w:ilvl w:val="1"/>
          <w:numId w:val="526"/>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lang w:val="en-US"/>
        </w:rPr>
      </w:pPr>
      <w:r w:rsidRPr="00790A51">
        <w:rPr>
          <w:rFonts w:ascii="Times New Roman" w:eastAsia="Times New Roman" w:hAnsi="Times New Roman" w:cs="Times New Roman"/>
          <w:bCs/>
        </w:rPr>
        <w:t>Világgazdaság intézményrendszere. Szupranacionális intézmények és feladataik</w:t>
      </w:r>
      <w:r w:rsidRPr="00790A51">
        <w:rPr>
          <w:rFonts w:ascii="Times New Roman" w:eastAsia="Times New Roman" w:hAnsi="Times New Roman" w:cs="Times New Roman"/>
          <w:bCs/>
          <w:lang w:val="en-US"/>
        </w:rPr>
        <w:t xml:space="preserve">. </w:t>
      </w:r>
      <w:r w:rsidRPr="008C0C24">
        <w:rPr>
          <w:rFonts w:ascii="Times New Roman" w:eastAsia="Times New Roman" w:hAnsi="Times New Roman" w:cs="Times New Roman"/>
          <w:i/>
          <w:lang w:val="en-US"/>
        </w:rPr>
        <w:t>(Supranational institutions in the global economic system and their tasks.)</w:t>
      </w:r>
    </w:p>
    <w:p w:rsidR="008C0C24" w:rsidRPr="00790A51" w:rsidRDefault="008C0C24" w:rsidP="00980876">
      <w:pPr>
        <w:widowControl w:val="0"/>
        <w:numPr>
          <w:ilvl w:val="1"/>
          <w:numId w:val="526"/>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lang w:val="en-US"/>
        </w:rPr>
      </w:pPr>
      <w:r w:rsidRPr="00790A51">
        <w:rPr>
          <w:rFonts w:ascii="Times New Roman" w:eastAsia="Times New Roman" w:hAnsi="Times New Roman" w:cs="Times New Roman"/>
          <w:sz w:val="24"/>
          <w:szCs w:val="24"/>
          <w:lang w:eastAsia="hu-HU"/>
        </w:rPr>
        <w:t>Az országok világgazdaságban elfoglalt helye – centrumok, félperifériák, perifériák. Fejlődési egyenlőtlenségek okai, aszimmetriák és interdependenciák</w:t>
      </w:r>
      <w:r w:rsidRPr="00790A51">
        <w:rPr>
          <w:rFonts w:ascii="Times New Roman" w:hAnsi="Times New Roman" w:cs="Times New Roman"/>
          <w:bCs/>
          <w:lang w:val="en-US"/>
        </w:rPr>
        <w:t>.</w:t>
      </w:r>
      <w:r w:rsidRPr="00790A51">
        <w:rPr>
          <w:rFonts w:ascii="Times New Roman" w:hAnsi="Times New Roman" w:cs="Times New Roman"/>
          <w:lang w:val="en-US"/>
        </w:rPr>
        <w:t xml:space="preserve"> </w:t>
      </w:r>
      <w:r w:rsidRPr="008C0C24">
        <w:rPr>
          <w:rFonts w:ascii="Times New Roman" w:eastAsia="Times New Roman" w:hAnsi="Times New Roman" w:cs="Times New Roman"/>
          <w:i/>
          <w:lang w:val="en-US"/>
        </w:rPr>
        <w:t>(Development inequalities, asymmetries, interdependencies.)</w:t>
      </w:r>
    </w:p>
    <w:p w:rsidR="008C0C24" w:rsidRPr="008C0C24" w:rsidRDefault="008C0C24" w:rsidP="00980876">
      <w:pPr>
        <w:widowControl w:val="0"/>
        <w:numPr>
          <w:ilvl w:val="1"/>
          <w:numId w:val="526"/>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i/>
          <w:lang w:val="en-US"/>
        </w:rPr>
      </w:pPr>
      <w:r w:rsidRPr="00790A51">
        <w:rPr>
          <w:rFonts w:ascii="Times New Roman" w:hAnsi="Times New Roman" w:cs="Times New Roman"/>
        </w:rPr>
        <w:t>A regionális integráció elméleti kérdései és gyakorlati megvalósulása. Regionális integráció típusok. Az európai integráció kérdései</w:t>
      </w:r>
      <w:r w:rsidRPr="00790A51">
        <w:rPr>
          <w:rFonts w:ascii="Times New Roman" w:hAnsi="Times New Roman" w:cs="Times New Roman"/>
          <w:lang w:val="en-US"/>
        </w:rPr>
        <w:t xml:space="preserve">. </w:t>
      </w:r>
      <w:r w:rsidRPr="008C0C24">
        <w:rPr>
          <w:rFonts w:ascii="Times New Roman" w:eastAsia="Times New Roman" w:hAnsi="Times New Roman" w:cs="Times New Roman"/>
          <w:i/>
          <w:lang w:val="en-US"/>
        </w:rPr>
        <w:t>(Integration economics. Types and levels of regional economic integrations. The questions and problems of the European integration.)</w:t>
      </w:r>
    </w:p>
    <w:p w:rsidR="008C0C24" w:rsidRPr="006A233B" w:rsidRDefault="008C0C24" w:rsidP="00980876">
      <w:pPr>
        <w:widowControl w:val="0"/>
        <w:numPr>
          <w:ilvl w:val="0"/>
          <w:numId w:val="526"/>
        </w:numPr>
        <w:tabs>
          <w:tab w:val="num" w:pos="360"/>
        </w:tabs>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bCs/>
        </w:rPr>
        <w:t xml:space="preserve">A tantárgy meghirdetésének gyakorisága/a tantervben történő félévi elhelyezkedése: </w:t>
      </w:r>
      <w:r w:rsidRPr="00A401DA">
        <w:rPr>
          <w:rFonts w:ascii="Times New Roman" w:eastAsia="Times New Roman" w:hAnsi="Times New Roman" w:cs="Times New Roman"/>
          <w:bCs/>
        </w:rPr>
        <w:t xml:space="preserve">Szabadon választható </w:t>
      </w:r>
    </w:p>
    <w:p w:rsidR="008C0C24" w:rsidRPr="00662B7D" w:rsidRDefault="008C0C24" w:rsidP="00980876">
      <w:pPr>
        <w:widowControl w:val="0"/>
        <w:numPr>
          <w:ilvl w:val="0"/>
          <w:numId w:val="526"/>
        </w:numPr>
        <w:tabs>
          <w:tab w:val="num" w:pos="360"/>
        </w:tabs>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bCs/>
        </w:rPr>
        <w:t>A tanórákon való részvétel követelményei, az elfogadható hiányzások mértéke, a távolmaradás pótlásának lehetősége:</w:t>
      </w:r>
      <w:r>
        <w:rPr>
          <w:rFonts w:ascii="Times New Roman" w:eastAsia="Times New Roman" w:hAnsi="Times New Roman" w:cs="Times New Roman"/>
          <w:bCs/>
        </w:rPr>
        <w:t xml:space="preserve"> </w:t>
      </w:r>
      <w:r w:rsidRPr="00662B7D">
        <w:rPr>
          <w:rFonts w:ascii="Times New Roman" w:eastAsia="Times New Roman" w:hAnsi="Times New Roman" w:cs="Times New Roman"/>
          <w:bCs/>
        </w:rPr>
        <w:t xml:space="preserve">A tanórákon való részvétel </w:t>
      </w:r>
      <w:r>
        <w:rPr>
          <w:rFonts w:ascii="Times New Roman" w:eastAsia="Times New Roman" w:hAnsi="Times New Roman" w:cs="Times New Roman"/>
          <w:bCs/>
        </w:rPr>
        <w:t>ajánlott</w:t>
      </w:r>
      <w:r w:rsidRPr="00662B7D">
        <w:rPr>
          <w:rFonts w:ascii="Times New Roman" w:eastAsia="Times New Roman" w:hAnsi="Times New Roman" w:cs="Times New Roman"/>
          <w:bCs/>
        </w:rPr>
        <w:t>.</w:t>
      </w:r>
      <w:r w:rsidRPr="00662B7D">
        <w:rPr>
          <w:rFonts w:ascii="Times New Roman" w:eastAsia="Times New Roman" w:hAnsi="Times New Roman" w:cs="Times New Roman"/>
          <w:b/>
          <w:bCs/>
        </w:rPr>
        <w:t xml:space="preserve"> </w:t>
      </w:r>
    </w:p>
    <w:p w:rsidR="008C0C24" w:rsidRDefault="008C0C24" w:rsidP="00980876">
      <w:pPr>
        <w:widowControl w:val="0"/>
        <w:numPr>
          <w:ilvl w:val="0"/>
          <w:numId w:val="526"/>
        </w:numPr>
        <w:tabs>
          <w:tab w:val="num" w:pos="360"/>
        </w:tabs>
        <w:spacing w:before="120" w:after="120" w:line="240" w:lineRule="auto"/>
        <w:ind w:left="426" w:hanging="142"/>
        <w:jc w:val="both"/>
        <w:rPr>
          <w:rFonts w:ascii="Times New Roman" w:hAnsi="Times New Roman"/>
          <w:sz w:val="24"/>
        </w:rPr>
      </w:pPr>
      <w:r w:rsidRPr="008C0C24">
        <w:rPr>
          <w:rFonts w:ascii="Times New Roman" w:eastAsia="Times New Roman" w:hAnsi="Times New Roman" w:cs="Times New Roman"/>
          <w:b/>
        </w:rPr>
        <w:t xml:space="preserve">Félévközi feladatok, ismeretek ellenőrzésének rendje: </w:t>
      </w:r>
      <w:r w:rsidRPr="008C0C24">
        <w:rPr>
          <w:rFonts w:ascii="Times New Roman" w:hAnsi="Times New Roman"/>
          <w:sz w:val="24"/>
        </w:rPr>
        <w:t>A hallgatók a tananyaghoz kapcsolódó aktuális világgazdasági témákat eseményeket kapnak feldolgozásra. Ezen feldolgozott témák kapcsán vitákban kell kifejteniük véleményüket. A félév során egy zárthelyi dolgozatot is írni kell. A zárthelyi dolgozat értékelése: ötfokozatú értékelés – (a helyes válaszok aránya 0-60% elégtelen; 61-70% elégséges; 71-80% közepes; 81-90% jó; 91-100% jeles osztályzat). Eredménytelen zárthelyi dolgozat kétszer javítható.</w:t>
      </w:r>
    </w:p>
    <w:p w:rsidR="008C0C24" w:rsidRPr="008C0C24" w:rsidRDefault="008C0C24" w:rsidP="008C0C24">
      <w:pPr>
        <w:widowControl w:val="0"/>
        <w:tabs>
          <w:tab w:val="num" w:pos="360"/>
        </w:tabs>
        <w:spacing w:before="120" w:after="120" w:line="240" w:lineRule="auto"/>
        <w:ind w:left="426"/>
        <w:jc w:val="both"/>
        <w:rPr>
          <w:rFonts w:ascii="Times New Roman" w:hAnsi="Times New Roman"/>
          <w:sz w:val="24"/>
        </w:rPr>
      </w:pPr>
    </w:p>
    <w:p w:rsidR="008C0C24" w:rsidRPr="006A233B" w:rsidRDefault="008C0C24" w:rsidP="00980876">
      <w:pPr>
        <w:widowControl w:val="0"/>
        <w:numPr>
          <w:ilvl w:val="0"/>
          <w:numId w:val="526"/>
        </w:numPr>
        <w:spacing w:before="120" w:after="120" w:line="240" w:lineRule="auto"/>
        <w:ind w:left="426" w:hanging="142"/>
        <w:jc w:val="both"/>
        <w:rPr>
          <w:rFonts w:ascii="Times New Roman" w:eastAsia="Times New Roman" w:hAnsi="Times New Roman" w:cs="Times New Roman"/>
          <w:b/>
          <w:bCs/>
        </w:rPr>
      </w:pPr>
      <w:r w:rsidRPr="006A233B">
        <w:rPr>
          <w:rFonts w:ascii="Times New Roman" w:eastAsia="Times New Roman" w:hAnsi="Times New Roman" w:cs="Times New Roman"/>
          <w:b/>
          <w:bCs/>
        </w:rPr>
        <w:t xml:space="preserve">Az értékelés, az aláírás és a kreditek megszerzésének pontos feltételei: </w:t>
      </w:r>
    </w:p>
    <w:p w:rsidR="008C0C24" w:rsidRPr="008C0C24" w:rsidRDefault="008C0C24" w:rsidP="00980876">
      <w:pPr>
        <w:widowControl w:val="0"/>
        <w:numPr>
          <w:ilvl w:val="1"/>
          <w:numId w:val="526"/>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8C0C24">
        <w:rPr>
          <w:rFonts w:ascii="Times New Roman" w:eastAsia="Times New Roman" w:hAnsi="Times New Roman" w:cs="Times New Roman"/>
          <w:b/>
        </w:rPr>
        <w:t xml:space="preserve">Az aláírás megszerzésének feltételei: </w:t>
      </w:r>
      <w:r w:rsidRPr="008C0C24">
        <w:rPr>
          <w:rFonts w:ascii="Times New Roman" w:eastAsia="Times New Roman" w:hAnsi="Times New Roman" w:cs="Times New Roman"/>
        </w:rPr>
        <w:t>Az aláírás feltétele a kiadott témakörök feldolgozása, és a zárthelyi dolgozat sikeres megírása.</w:t>
      </w:r>
    </w:p>
    <w:p w:rsidR="008C0C24" w:rsidRPr="006A233B" w:rsidRDefault="008C0C24" w:rsidP="00980876">
      <w:pPr>
        <w:widowControl w:val="0"/>
        <w:numPr>
          <w:ilvl w:val="1"/>
          <w:numId w:val="526"/>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6A233B">
        <w:rPr>
          <w:rFonts w:ascii="Times New Roman" w:eastAsia="Times New Roman" w:hAnsi="Times New Roman" w:cs="Times New Roman"/>
          <w:b/>
        </w:rPr>
        <w:t>Az értékelés:</w:t>
      </w:r>
    </w:p>
    <w:p w:rsidR="008C0C24" w:rsidRPr="006A233B" w:rsidRDefault="008C0C24" w:rsidP="008C0C24">
      <w:pPr>
        <w:widowControl w:val="0"/>
        <w:tabs>
          <w:tab w:val="left" w:pos="993"/>
        </w:tabs>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Az értékelés ötfokozatú skálán történik, amibe beleszámít a zárthelyin elért pontszám, plusz a kiadott témák feldolgozásának és előadásának színvonala.</w:t>
      </w:r>
    </w:p>
    <w:p w:rsidR="008C0C24" w:rsidRPr="006A233B" w:rsidRDefault="008C0C24" w:rsidP="00980876">
      <w:pPr>
        <w:widowControl w:val="0"/>
        <w:numPr>
          <w:ilvl w:val="1"/>
          <w:numId w:val="526"/>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6A233B">
        <w:rPr>
          <w:rFonts w:ascii="Times New Roman" w:eastAsia="Times New Roman" w:hAnsi="Times New Roman" w:cs="Times New Roman"/>
          <w:b/>
        </w:rPr>
        <w:t>A kreditek megszerzésének feltételei:</w:t>
      </w:r>
      <w:r w:rsidRPr="006A233B">
        <w:rPr>
          <w:rFonts w:ascii="Times New Roman" w:eastAsia="Times New Roman" w:hAnsi="Times New Roman" w:cs="Times New Roman"/>
        </w:rPr>
        <w:t xml:space="preserve"> </w:t>
      </w:r>
    </w:p>
    <w:p w:rsidR="008C0C24" w:rsidRPr="006A233B" w:rsidRDefault="008C0C24" w:rsidP="008C0C24">
      <w:pPr>
        <w:widowControl w:val="0"/>
        <w:tabs>
          <w:tab w:val="left" w:pos="993"/>
        </w:tabs>
        <w:spacing w:before="120" w:after="120" w:line="240" w:lineRule="auto"/>
        <w:ind w:left="426"/>
        <w:jc w:val="both"/>
        <w:rPr>
          <w:rFonts w:ascii="Times New Roman" w:eastAsia="Times New Roman" w:hAnsi="Times New Roman" w:cs="Times New Roman"/>
        </w:rPr>
      </w:pPr>
      <w:r w:rsidRPr="006A233B">
        <w:rPr>
          <w:rFonts w:ascii="Times New Roman" w:eastAsia="Times New Roman" w:hAnsi="Times New Roman" w:cs="Times New Roman"/>
        </w:rPr>
        <w:t xml:space="preserve">A </w:t>
      </w:r>
      <w:r>
        <w:rPr>
          <w:rFonts w:ascii="Times New Roman" w:eastAsia="Times New Roman" w:hAnsi="Times New Roman" w:cs="Times New Roman"/>
        </w:rPr>
        <w:t>zárthelyi dolgozat sikeres megírása, a kiadott témák feldolgozása, a megbeszéléseken, vitákon való részvétel.</w:t>
      </w:r>
    </w:p>
    <w:p w:rsidR="008C0C24" w:rsidRPr="006A233B" w:rsidRDefault="008C0C24" w:rsidP="00980876">
      <w:pPr>
        <w:widowControl w:val="0"/>
        <w:numPr>
          <w:ilvl w:val="0"/>
          <w:numId w:val="526"/>
        </w:numPr>
        <w:tabs>
          <w:tab w:val="num" w:pos="360"/>
        </w:tabs>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bCs/>
        </w:rPr>
        <w:t>Irodalomjegyzék:</w:t>
      </w:r>
    </w:p>
    <w:p w:rsidR="008C0C24" w:rsidRPr="006A233B" w:rsidRDefault="008C0C24" w:rsidP="00980876">
      <w:pPr>
        <w:widowControl w:val="0"/>
        <w:numPr>
          <w:ilvl w:val="1"/>
          <w:numId w:val="526"/>
        </w:numPr>
        <w:tabs>
          <w:tab w:val="clear" w:pos="3977"/>
          <w:tab w:val="left" w:pos="567"/>
          <w:tab w:val="left" w:pos="851"/>
          <w:tab w:val="num" w:pos="2069"/>
        </w:tabs>
        <w:spacing w:before="120" w:after="120" w:line="240" w:lineRule="auto"/>
        <w:ind w:left="426" w:hanging="142"/>
        <w:jc w:val="both"/>
        <w:rPr>
          <w:rFonts w:ascii="Times New Roman" w:eastAsia="Times New Roman" w:hAnsi="Times New Roman" w:cs="Times New Roman"/>
          <w:bCs/>
        </w:rPr>
      </w:pPr>
      <w:r w:rsidRPr="006A233B">
        <w:rPr>
          <w:rFonts w:ascii="Times New Roman" w:eastAsia="Times New Roman" w:hAnsi="Times New Roman" w:cs="Times New Roman"/>
          <w:b/>
          <w:bCs/>
        </w:rPr>
        <w:t>Kötelező irodalom:</w:t>
      </w:r>
    </w:p>
    <w:p w:rsidR="008C0C24" w:rsidRPr="002255D7" w:rsidRDefault="008C0C24" w:rsidP="00980876">
      <w:pPr>
        <w:widowControl w:val="0"/>
        <w:numPr>
          <w:ilvl w:val="0"/>
          <w:numId w:val="528"/>
        </w:numPr>
        <w:spacing w:after="0" w:line="240" w:lineRule="auto"/>
        <w:jc w:val="both"/>
        <w:rPr>
          <w:rFonts w:ascii="Times New Roman" w:eastAsia="Times New Roman" w:hAnsi="Times New Roman" w:cs="Times New Roman"/>
          <w:b/>
          <w:bCs/>
        </w:rPr>
      </w:pPr>
      <w:r w:rsidRPr="008C0C24">
        <w:rPr>
          <w:rFonts w:ascii="Times New Roman" w:eastAsia="Times New Roman" w:hAnsi="Times New Roman" w:cs="Times New Roman"/>
          <w:bCs/>
        </w:rPr>
        <w:t>Szentes</w:t>
      </w:r>
      <w:r w:rsidRPr="002255D7">
        <w:rPr>
          <w:rFonts w:ascii="Times New Roman" w:hAnsi="Times New Roman" w:cs="Times New Roman"/>
          <w:bCs/>
        </w:rPr>
        <w:t xml:space="preserve"> Tamás: Világgazdaságtan Aula Kiadó Kft. Budapest 2005. ISBN: 963921535X</w:t>
      </w:r>
    </w:p>
    <w:p w:rsidR="008C0C24" w:rsidRPr="002255D7" w:rsidRDefault="008C0C24" w:rsidP="00980876">
      <w:pPr>
        <w:widowControl w:val="0"/>
        <w:numPr>
          <w:ilvl w:val="0"/>
          <w:numId w:val="528"/>
        </w:numPr>
        <w:spacing w:after="0" w:line="240" w:lineRule="auto"/>
        <w:jc w:val="both"/>
        <w:rPr>
          <w:rFonts w:ascii="Times New Roman" w:eastAsia="Times New Roman" w:hAnsi="Times New Roman" w:cs="Times New Roman"/>
          <w:bCs/>
        </w:rPr>
      </w:pPr>
      <w:r w:rsidRPr="002255D7">
        <w:rPr>
          <w:rFonts w:ascii="Times New Roman" w:eastAsia="Times New Roman" w:hAnsi="Times New Roman" w:cs="Times New Roman"/>
          <w:bCs/>
        </w:rPr>
        <w:t>Benczés István-Csáki György-Szentes Tamás: Nemzetközi gazdaságtan Akadémia Kiadó Zrt. Budapest 2009. ISBN: 9789630587112</w:t>
      </w:r>
    </w:p>
    <w:p w:rsidR="008C0C24" w:rsidRPr="002255D7" w:rsidRDefault="008C0C24" w:rsidP="00980876">
      <w:pPr>
        <w:widowControl w:val="0"/>
        <w:numPr>
          <w:ilvl w:val="1"/>
          <w:numId w:val="526"/>
        </w:numPr>
        <w:tabs>
          <w:tab w:val="clear" w:pos="3977"/>
          <w:tab w:val="num" w:pos="567"/>
          <w:tab w:val="num" w:pos="2069"/>
        </w:tabs>
        <w:spacing w:before="120" w:after="120" w:line="240" w:lineRule="auto"/>
        <w:ind w:left="993" w:hanging="709"/>
        <w:jc w:val="both"/>
        <w:rPr>
          <w:rFonts w:ascii="Times New Roman" w:eastAsia="Times New Roman" w:hAnsi="Times New Roman" w:cs="Times New Roman"/>
          <w:b/>
          <w:bCs/>
        </w:rPr>
      </w:pPr>
      <w:r w:rsidRPr="002255D7">
        <w:rPr>
          <w:rFonts w:ascii="Times New Roman" w:eastAsia="Times New Roman" w:hAnsi="Times New Roman" w:cs="Times New Roman"/>
          <w:b/>
          <w:bCs/>
        </w:rPr>
        <w:t xml:space="preserve"> Ajánlott irodalom:</w:t>
      </w:r>
    </w:p>
    <w:p w:rsidR="008C0C24" w:rsidRPr="002255D7" w:rsidRDefault="008C0C24" w:rsidP="00980876">
      <w:pPr>
        <w:widowControl w:val="0"/>
        <w:numPr>
          <w:ilvl w:val="0"/>
          <w:numId w:val="529"/>
        </w:numPr>
        <w:spacing w:after="0" w:line="240" w:lineRule="auto"/>
        <w:jc w:val="both"/>
        <w:rPr>
          <w:rFonts w:ascii="Times New Roman" w:eastAsia="Times New Roman" w:hAnsi="Times New Roman" w:cs="Times New Roman"/>
          <w:bCs/>
        </w:rPr>
      </w:pPr>
      <w:r w:rsidRPr="002255D7">
        <w:rPr>
          <w:rFonts w:ascii="Times New Roman" w:hAnsi="Times New Roman" w:cs="Times New Roman"/>
        </w:rPr>
        <w:t>Krugman–</w:t>
      </w:r>
      <w:r w:rsidRPr="008C0C24">
        <w:rPr>
          <w:rFonts w:ascii="Times New Roman" w:eastAsia="Times New Roman" w:hAnsi="Times New Roman" w:cs="Times New Roman"/>
          <w:bCs/>
        </w:rPr>
        <w:t>Obstfeld: Nemzetközi gazdaságtan Panem Kft. Budapest 2003. ISBN: 9789635453399</w:t>
      </w:r>
    </w:p>
    <w:p w:rsidR="008C0C24" w:rsidRPr="002255D7" w:rsidRDefault="008C0C24" w:rsidP="00980876">
      <w:pPr>
        <w:widowControl w:val="0"/>
        <w:numPr>
          <w:ilvl w:val="0"/>
          <w:numId w:val="529"/>
        </w:numPr>
        <w:spacing w:after="0" w:line="240" w:lineRule="auto"/>
        <w:jc w:val="both"/>
        <w:rPr>
          <w:rFonts w:ascii="Times New Roman" w:eastAsia="Times New Roman" w:hAnsi="Times New Roman" w:cs="Times New Roman"/>
          <w:bCs/>
        </w:rPr>
      </w:pPr>
      <w:r w:rsidRPr="008C0C24">
        <w:rPr>
          <w:rFonts w:ascii="Times New Roman" w:eastAsia="Times New Roman" w:hAnsi="Times New Roman" w:cs="Times New Roman"/>
          <w:bCs/>
        </w:rPr>
        <w:t>Kocziszky György: Regionális integrációk gazdaságtana Bíbor Kiadó Miskolc 2000.</w:t>
      </w:r>
    </w:p>
    <w:p w:rsidR="008C0C24" w:rsidRPr="002255D7" w:rsidRDefault="008C0C24" w:rsidP="00980876">
      <w:pPr>
        <w:widowControl w:val="0"/>
        <w:numPr>
          <w:ilvl w:val="0"/>
          <w:numId w:val="529"/>
        </w:numPr>
        <w:spacing w:after="0" w:line="240" w:lineRule="auto"/>
        <w:jc w:val="both"/>
        <w:rPr>
          <w:rFonts w:ascii="Times New Roman" w:eastAsia="Times New Roman" w:hAnsi="Times New Roman" w:cs="Times New Roman"/>
          <w:bCs/>
        </w:rPr>
      </w:pPr>
      <w:r w:rsidRPr="002255D7">
        <w:rPr>
          <w:rFonts w:ascii="Times New Roman" w:eastAsia="Times New Roman" w:hAnsi="Times New Roman" w:cs="Times New Roman"/>
          <w:bCs/>
        </w:rPr>
        <w:t>Jaksity György: A pénz természete Ali</w:t>
      </w:r>
      <w:r>
        <w:rPr>
          <w:rFonts w:ascii="Times New Roman" w:eastAsia="Times New Roman" w:hAnsi="Times New Roman" w:cs="Times New Roman"/>
          <w:bCs/>
        </w:rPr>
        <w:t xml:space="preserve">nea Kiadó Budapest 2003. ISBN: </w:t>
      </w:r>
      <w:r w:rsidRPr="002255D7">
        <w:rPr>
          <w:rFonts w:ascii="Times New Roman" w:eastAsia="Times New Roman" w:hAnsi="Times New Roman" w:cs="Times New Roman"/>
          <w:bCs/>
        </w:rPr>
        <w:t>9638630655</w:t>
      </w:r>
    </w:p>
    <w:p w:rsidR="00976088" w:rsidRDefault="00976088" w:rsidP="008C0C24">
      <w:pPr>
        <w:widowControl w:val="0"/>
        <w:spacing w:before="120" w:after="120" w:line="240" w:lineRule="auto"/>
        <w:jc w:val="both"/>
        <w:rPr>
          <w:rFonts w:ascii="Times New Roman" w:eastAsia="Times New Roman" w:hAnsi="Times New Roman" w:cs="Times New Roman"/>
          <w:bCs/>
        </w:rPr>
      </w:pPr>
    </w:p>
    <w:p w:rsidR="008C0C24" w:rsidRPr="006A233B" w:rsidRDefault="008C0C24" w:rsidP="008C0C24">
      <w:pPr>
        <w:widowControl w:val="0"/>
        <w:spacing w:before="120" w:after="120" w:line="240" w:lineRule="auto"/>
        <w:jc w:val="both"/>
        <w:rPr>
          <w:rFonts w:ascii="Times New Roman" w:eastAsia="Times New Roman" w:hAnsi="Times New Roman" w:cs="Times New Roman"/>
          <w:bCs/>
        </w:rPr>
      </w:pPr>
      <w:r w:rsidRPr="006A233B">
        <w:rPr>
          <w:rFonts w:ascii="Times New Roman" w:eastAsia="Times New Roman" w:hAnsi="Times New Roman" w:cs="Times New Roman"/>
          <w:bCs/>
        </w:rPr>
        <w:t>Budapest, 20</w:t>
      </w:r>
      <w:r>
        <w:rPr>
          <w:rFonts w:ascii="Times New Roman" w:eastAsia="Times New Roman" w:hAnsi="Times New Roman" w:cs="Times New Roman"/>
          <w:bCs/>
        </w:rPr>
        <w:t>20</w:t>
      </w:r>
      <w:r w:rsidRPr="006A233B">
        <w:rPr>
          <w:rFonts w:ascii="Times New Roman" w:eastAsia="Times New Roman" w:hAnsi="Times New Roman" w:cs="Times New Roman"/>
          <w:bCs/>
        </w:rPr>
        <w:t xml:space="preserve">. </w:t>
      </w:r>
      <w:r>
        <w:rPr>
          <w:rFonts w:ascii="Times New Roman" w:eastAsia="Times New Roman" w:hAnsi="Times New Roman" w:cs="Times New Roman"/>
          <w:bCs/>
        </w:rPr>
        <w:t>február</w:t>
      </w:r>
      <w:r w:rsidRPr="006A233B">
        <w:rPr>
          <w:rFonts w:ascii="Times New Roman" w:eastAsia="Times New Roman" w:hAnsi="Times New Roman" w:cs="Times New Roman"/>
          <w:bCs/>
        </w:rPr>
        <w:t xml:space="preserve"> </w:t>
      </w:r>
      <w:r>
        <w:rPr>
          <w:rFonts w:ascii="Times New Roman" w:eastAsia="Times New Roman" w:hAnsi="Times New Roman" w:cs="Times New Roman"/>
          <w:bCs/>
        </w:rPr>
        <w:t>20</w:t>
      </w:r>
      <w:r w:rsidRPr="006A233B">
        <w:rPr>
          <w:rFonts w:ascii="Times New Roman" w:eastAsia="Times New Roman" w:hAnsi="Times New Roman" w:cs="Times New Roman"/>
          <w:bCs/>
        </w:rPr>
        <w:t>.</w:t>
      </w:r>
    </w:p>
    <w:p w:rsidR="008C0C24" w:rsidRPr="006A233B" w:rsidRDefault="008C0C24" w:rsidP="008C0C24">
      <w:pPr>
        <w:widowControl w:val="0"/>
        <w:spacing w:before="120" w:after="120" w:line="240" w:lineRule="auto"/>
        <w:jc w:val="both"/>
        <w:rPr>
          <w:rFonts w:ascii="Times New Roman" w:eastAsia="Times New Roman" w:hAnsi="Times New Roman" w:cs="Times New Roman"/>
          <w:bCs/>
        </w:rPr>
      </w:pPr>
    </w:p>
    <w:p w:rsidR="008C0C24" w:rsidRPr="006C2D9C" w:rsidRDefault="008C0C24" w:rsidP="008C0C24">
      <w:pPr>
        <w:widowControl w:val="0"/>
        <w:spacing w:after="0" w:line="240" w:lineRule="auto"/>
        <w:jc w:val="right"/>
        <w:rPr>
          <w:rFonts w:ascii="Times New Roman" w:hAnsi="Times New Roman" w:cs="Times New Roman"/>
          <w:b/>
          <w:bCs/>
        </w:rPr>
      </w:pPr>
      <w:r w:rsidRPr="006C2D9C">
        <w:rPr>
          <w:rFonts w:ascii="Times New Roman" w:hAnsi="Times New Roman" w:cs="Times New Roman"/>
          <w:b/>
          <w:bCs/>
        </w:rPr>
        <w:t>Dr. Taksás Balázs (PhD)</w:t>
      </w:r>
    </w:p>
    <w:p w:rsidR="008C0C24" w:rsidRPr="00734E2C" w:rsidRDefault="008C0C24" w:rsidP="008C0C24">
      <w:pPr>
        <w:widowControl w:val="0"/>
        <w:spacing w:after="0" w:line="240" w:lineRule="auto"/>
        <w:jc w:val="center"/>
        <w:rPr>
          <w:rFonts w:ascii="Times New Roman" w:eastAsia="Times New Roman" w:hAnsi="Times New Roman" w:cs="Times New Roman"/>
          <w:bCs/>
        </w:rPr>
      </w:pPr>
      <w:r>
        <w:rPr>
          <w:rFonts w:ascii="Times New Roman" w:hAnsi="Times New Roman" w:cs="Times New Roman"/>
          <w:bCs/>
        </w:rPr>
        <w:t xml:space="preserve">                                                                                                                            egyetemi docens s.k.</w:t>
      </w:r>
    </w:p>
    <w:p w:rsidR="003F1765" w:rsidRDefault="003F1765">
      <w:pPr>
        <w:spacing w:after="200" w:line="276" w:lineRule="auto"/>
        <w:rPr>
          <w:rFonts w:ascii="Times New Roman" w:hAnsi="Times New Roman" w:cs="Times New Roman"/>
        </w:rPr>
      </w:pPr>
      <w:r>
        <w:rPr>
          <w:rFonts w:ascii="Times New Roman" w:hAnsi="Times New Roman" w:cs="Times New Roman"/>
        </w:rPr>
        <w:br w:type="page"/>
      </w:r>
    </w:p>
    <w:tbl>
      <w:tblPr>
        <w:tblW w:w="9072" w:type="dxa"/>
        <w:tblInd w:w="113" w:type="dxa"/>
        <w:tblLook w:val="01E0" w:firstRow="1" w:lastRow="1" w:firstColumn="1" w:lastColumn="1" w:noHBand="0" w:noVBand="0"/>
      </w:tblPr>
      <w:tblGrid>
        <w:gridCol w:w="4855"/>
        <w:gridCol w:w="1620"/>
        <w:gridCol w:w="2597"/>
      </w:tblGrid>
      <w:tr w:rsidR="003F1765" w:rsidRPr="003F1765" w:rsidTr="003F1765">
        <w:tc>
          <w:tcPr>
            <w:tcW w:w="4855" w:type="dxa"/>
            <w:tcBorders>
              <w:bottom w:val="single" w:sz="4" w:space="0" w:color="auto"/>
            </w:tcBorders>
          </w:tcPr>
          <w:p w:rsidR="003F1765" w:rsidRPr="003F1765" w:rsidRDefault="003F1765" w:rsidP="003F1765">
            <w:pPr>
              <w:spacing w:after="0" w:line="240" w:lineRule="auto"/>
              <w:jc w:val="center"/>
              <w:rPr>
                <w:rFonts w:ascii="Times New Roman" w:eastAsia="Times New Roman" w:hAnsi="Times New Roman" w:cs="Times New Roman"/>
                <w:b/>
                <w:smallCaps/>
                <w:lang w:eastAsia="hu-HU"/>
              </w:rPr>
            </w:pPr>
            <w:r w:rsidRPr="003F1765">
              <w:rPr>
                <w:rFonts w:ascii="Times New Roman" w:eastAsia="Times New Roman" w:hAnsi="Times New Roman" w:cs="Times New Roman"/>
                <w:b/>
                <w:smallCaps/>
                <w:lang w:eastAsia="hu-HU"/>
              </w:rPr>
              <w:lastRenderedPageBreak/>
              <w:t>Nemzeti Közszolgálati Egyetem</w:t>
            </w:r>
          </w:p>
        </w:tc>
        <w:tc>
          <w:tcPr>
            <w:tcW w:w="1620" w:type="dxa"/>
          </w:tcPr>
          <w:p w:rsidR="003F1765" w:rsidRPr="003F1765" w:rsidRDefault="003F1765" w:rsidP="003F1765">
            <w:pPr>
              <w:spacing w:after="0" w:line="240" w:lineRule="auto"/>
              <w:jc w:val="both"/>
              <w:rPr>
                <w:rFonts w:ascii="Times New Roman" w:eastAsia="Times New Roman" w:hAnsi="Times New Roman" w:cs="Times New Roman"/>
                <w:lang w:eastAsia="hu-HU"/>
              </w:rPr>
            </w:pPr>
          </w:p>
        </w:tc>
        <w:tc>
          <w:tcPr>
            <w:tcW w:w="2597" w:type="dxa"/>
          </w:tcPr>
          <w:p w:rsidR="003F1765" w:rsidRPr="003F1765" w:rsidRDefault="003F1765" w:rsidP="003F1765">
            <w:pPr>
              <w:spacing w:after="0" w:line="240" w:lineRule="auto"/>
              <w:jc w:val="right"/>
              <w:rPr>
                <w:rFonts w:ascii="Times New Roman" w:eastAsia="Times New Roman" w:hAnsi="Times New Roman" w:cs="Times New Roman"/>
                <w:lang w:eastAsia="hu-HU"/>
              </w:rPr>
            </w:pPr>
          </w:p>
        </w:tc>
      </w:tr>
      <w:tr w:rsidR="003F1765" w:rsidRPr="003F1765" w:rsidTr="003F1765">
        <w:tc>
          <w:tcPr>
            <w:tcW w:w="4855" w:type="dxa"/>
            <w:tcBorders>
              <w:top w:val="single" w:sz="4" w:space="0" w:color="auto"/>
            </w:tcBorders>
          </w:tcPr>
          <w:p w:rsidR="003F1765" w:rsidRPr="003F1765" w:rsidRDefault="003F1765" w:rsidP="003F1765">
            <w:pPr>
              <w:spacing w:after="0" w:line="240" w:lineRule="auto"/>
              <w:jc w:val="center"/>
              <w:rPr>
                <w:rFonts w:ascii="Times New Roman" w:eastAsia="Times New Roman" w:hAnsi="Times New Roman" w:cs="Times New Roman"/>
                <w:b/>
                <w:lang w:eastAsia="hu-HU"/>
              </w:rPr>
            </w:pPr>
            <w:r w:rsidRPr="003F1765">
              <w:rPr>
                <w:rFonts w:ascii="Times New Roman" w:eastAsia="Times New Roman" w:hAnsi="Times New Roman" w:cs="Times New Roman"/>
                <w:b/>
                <w:lang w:eastAsia="hu-HU"/>
              </w:rPr>
              <w:t>Hadtudományi és Honvédtisztképző Kar</w:t>
            </w:r>
          </w:p>
        </w:tc>
        <w:tc>
          <w:tcPr>
            <w:tcW w:w="1620" w:type="dxa"/>
          </w:tcPr>
          <w:p w:rsidR="003F1765" w:rsidRPr="003F1765" w:rsidRDefault="003F1765" w:rsidP="003F1765">
            <w:pPr>
              <w:spacing w:after="0" w:line="240" w:lineRule="auto"/>
              <w:jc w:val="both"/>
              <w:rPr>
                <w:rFonts w:ascii="Times New Roman" w:eastAsia="Times New Roman" w:hAnsi="Times New Roman" w:cs="Times New Roman"/>
                <w:lang w:eastAsia="hu-HU"/>
              </w:rPr>
            </w:pPr>
          </w:p>
        </w:tc>
        <w:tc>
          <w:tcPr>
            <w:tcW w:w="2597" w:type="dxa"/>
          </w:tcPr>
          <w:p w:rsidR="003F1765" w:rsidRPr="003F1765" w:rsidRDefault="003F1765" w:rsidP="003F1765">
            <w:pPr>
              <w:spacing w:after="0" w:line="240" w:lineRule="auto"/>
              <w:jc w:val="both"/>
              <w:rPr>
                <w:rFonts w:ascii="Times New Roman" w:eastAsia="Times New Roman" w:hAnsi="Times New Roman" w:cs="Times New Roman"/>
                <w:lang w:eastAsia="hu-HU"/>
              </w:rPr>
            </w:pPr>
          </w:p>
        </w:tc>
      </w:tr>
    </w:tbl>
    <w:p w:rsidR="003F1765" w:rsidRPr="003F1765" w:rsidRDefault="003F1765" w:rsidP="003F1765">
      <w:pPr>
        <w:widowControl w:val="0"/>
        <w:spacing w:before="120" w:after="120" w:line="240" w:lineRule="auto"/>
        <w:ind w:left="426" w:hanging="142"/>
        <w:jc w:val="center"/>
        <w:rPr>
          <w:rFonts w:ascii="Times New Roman" w:eastAsia="Times New Roman" w:hAnsi="Times New Roman" w:cs="Times New Roman"/>
          <w:b/>
          <w:bCs/>
        </w:rPr>
      </w:pPr>
    </w:p>
    <w:p w:rsidR="003F1765" w:rsidRPr="003F1765" w:rsidRDefault="003F1765" w:rsidP="003F1765">
      <w:pPr>
        <w:widowControl w:val="0"/>
        <w:spacing w:before="120" w:after="120" w:line="240" w:lineRule="auto"/>
        <w:ind w:left="426" w:hanging="142"/>
        <w:jc w:val="center"/>
        <w:rPr>
          <w:rFonts w:ascii="Times New Roman" w:eastAsia="Times New Roman" w:hAnsi="Times New Roman" w:cs="Times New Roman"/>
          <w:b/>
          <w:bCs/>
        </w:rPr>
      </w:pPr>
      <w:r w:rsidRPr="003F1765">
        <w:rPr>
          <w:rFonts w:ascii="Times New Roman" w:eastAsia="Times New Roman" w:hAnsi="Times New Roman" w:cs="Times New Roman"/>
          <w:b/>
          <w:bCs/>
        </w:rPr>
        <w:t>TANTÁRGYI PROGRAM</w:t>
      </w:r>
    </w:p>
    <w:p w:rsidR="003F1765" w:rsidRPr="003F1765" w:rsidRDefault="003F1765" w:rsidP="00980876">
      <w:pPr>
        <w:widowControl w:val="0"/>
        <w:numPr>
          <w:ilvl w:val="0"/>
          <w:numId w:val="530"/>
        </w:numPr>
        <w:tabs>
          <w:tab w:val="num" w:pos="567"/>
        </w:tabs>
        <w:spacing w:before="120" w:after="120" w:line="240" w:lineRule="auto"/>
        <w:ind w:left="426" w:hanging="142"/>
        <w:jc w:val="both"/>
        <w:rPr>
          <w:rFonts w:ascii="Times New Roman" w:eastAsia="Times New Roman" w:hAnsi="Times New Roman" w:cs="Times New Roman"/>
          <w:b/>
          <w:bCs/>
        </w:rPr>
      </w:pPr>
      <w:r w:rsidRPr="003F1765">
        <w:rPr>
          <w:rFonts w:ascii="Times New Roman" w:eastAsia="Times New Roman" w:hAnsi="Times New Roman" w:cs="Times New Roman"/>
          <w:b/>
          <w:bCs/>
        </w:rPr>
        <w:t xml:space="preserve">A tantárgy kódja: </w:t>
      </w:r>
      <w:r w:rsidRPr="003F1765">
        <w:rPr>
          <w:rFonts w:ascii="Times New Roman" w:eastAsia="Times New Roman" w:hAnsi="Times New Roman" w:cs="Times New Roman"/>
          <w:bCs/>
        </w:rPr>
        <w:t>HKHPKA380</w:t>
      </w:r>
    </w:p>
    <w:p w:rsidR="003F1765" w:rsidRPr="003F1765" w:rsidRDefault="003F1765" w:rsidP="00980876">
      <w:pPr>
        <w:widowControl w:val="0"/>
        <w:numPr>
          <w:ilvl w:val="0"/>
          <w:numId w:val="530"/>
        </w:numPr>
        <w:tabs>
          <w:tab w:val="num" w:pos="567"/>
        </w:tabs>
        <w:spacing w:before="120" w:after="120" w:line="240" w:lineRule="auto"/>
        <w:ind w:left="426" w:hanging="142"/>
        <w:jc w:val="both"/>
        <w:rPr>
          <w:rFonts w:ascii="Times New Roman" w:eastAsia="Times New Roman" w:hAnsi="Times New Roman" w:cs="Times New Roman"/>
          <w:b/>
          <w:bCs/>
          <w:lang w:val="en-GB"/>
        </w:rPr>
      </w:pPr>
      <w:r w:rsidRPr="003F1765">
        <w:rPr>
          <w:rFonts w:ascii="Times New Roman" w:eastAsia="Times New Roman" w:hAnsi="Times New Roman" w:cs="Times New Roman"/>
          <w:b/>
          <w:bCs/>
        </w:rPr>
        <w:t>A tantárgy megnevezése (magyarul):</w:t>
      </w:r>
      <w:r w:rsidRPr="003F1765">
        <w:rPr>
          <w:rFonts w:ascii="Times New Roman" w:eastAsia="Times New Roman" w:hAnsi="Times New Roman" w:cs="Times New Roman"/>
          <w:bCs/>
        </w:rPr>
        <w:t xml:space="preserve"> </w:t>
      </w:r>
      <w:r w:rsidRPr="003F1765">
        <w:rPr>
          <w:rFonts w:ascii="Times New Roman" w:eastAsia="Calibri" w:hAnsi="Times New Roman" w:cs="Calibri"/>
        </w:rPr>
        <w:t>Közlekedésbiztonság</w:t>
      </w:r>
    </w:p>
    <w:p w:rsidR="003F1765" w:rsidRPr="003F1765" w:rsidRDefault="003F1765" w:rsidP="00980876">
      <w:pPr>
        <w:widowControl w:val="0"/>
        <w:numPr>
          <w:ilvl w:val="0"/>
          <w:numId w:val="530"/>
        </w:numPr>
        <w:tabs>
          <w:tab w:val="num" w:pos="567"/>
        </w:tabs>
        <w:spacing w:before="120" w:after="120" w:line="240" w:lineRule="auto"/>
        <w:ind w:left="426" w:hanging="142"/>
        <w:jc w:val="both"/>
        <w:rPr>
          <w:rFonts w:ascii="Times New Roman" w:eastAsia="Times New Roman" w:hAnsi="Times New Roman" w:cs="Times New Roman"/>
          <w:b/>
          <w:bCs/>
          <w:lang w:val="en-GB"/>
        </w:rPr>
      </w:pPr>
      <w:r w:rsidRPr="003F1765">
        <w:rPr>
          <w:rFonts w:ascii="Times New Roman" w:eastAsia="Times New Roman" w:hAnsi="Times New Roman" w:cs="Times New Roman"/>
          <w:b/>
          <w:bCs/>
        </w:rPr>
        <w:t xml:space="preserve">A tantárgy megnevezése (angolul): </w:t>
      </w:r>
      <w:r w:rsidRPr="003F1765">
        <w:rPr>
          <w:rFonts w:ascii="Times New Roman" w:eastAsia="Calibri" w:hAnsi="Times New Roman" w:cs="Calibri"/>
        </w:rPr>
        <w:t>Traffic Safety</w:t>
      </w:r>
    </w:p>
    <w:p w:rsidR="003F1765" w:rsidRPr="003F1765" w:rsidRDefault="003F1765" w:rsidP="00980876">
      <w:pPr>
        <w:widowControl w:val="0"/>
        <w:numPr>
          <w:ilvl w:val="0"/>
          <w:numId w:val="530"/>
        </w:numPr>
        <w:tabs>
          <w:tab w:val="num" w:pos="567"/>
        </w:tabs>
        <w:spacing w:before="120" w:after="120" w:line="240" w:lineRule="auto"/>
        <w:ind w:left="426" w:hanging="142"/>
        <w:jc w:val="both"/>
        <w:rPr>
          <w:rFonts w:ascii="Times New Roman" w:eastAsia="Times New Roman" w:hAnsi="Times New Roman" w:cs="Times New Roman"/>
          <w:b/>
          <w:bCs/>
        </w:rPr>
      </w:pPr>
      <w:r w:rsidRPr="003F1765">
        <w:rPr>
          <w:rFonts w:ascii="Times New Roman" w:eastAsia="Times New Roman" w:hAnsi="Times New Roman" w:cs="Times New Roman"/>
          <w:b/>
          <w:bCs/>
        </w:rPr>
        <w:t xml:space="preserve">Kreditérték és képzési karakter: </w:t>
      </w:r>
    </w:p>
    <w:p w:rsidR="003F1765" w:rsidRPr="003F1765" w:rsidRDefault="003F1765" w:rsidP="00980876">
      <w:pPr>
        <w:widowControl w:val="0"/>
        <w:numPr>
          <w:ilvl w:val="1"/>
          <w:numId w:val="530"/>
        </w:numPr>
        <w:spacing w:before="120" w:after="120" w:line="240" w:lineRule="auto"/>
        <w:ind w:left="993" w:hanging="426"/>
        <w:contextualSpacing/>
        <w:jc w:val="both"/>
        <w:rPr>
          <w:rFonts w:ascii="Times New Roman" w:eastAsia="Times New Roman" w:hAnsi="Times New Roman" w:cs="Times New Roman"/>
          <w:b/>
          <w:bCs/>
        </w:rPr>
      </w:pPr>
      <w:r w:rsidRPr="003F1765">
        <w:rPr>
          <w:rFonts w:ascii="Times New Roman" w:eastAsia="Times New Roman" w:hAnsi="Times New Roman" w:cs="Times New Roman"/>
          <w:bCs/>
        </w:rPr>
        <w:t>2 kredit</w:t>
      </w:r>
    </w:p>
    <w:p w:rsidR="003F1765" w:rsidRPr="003F1765" w:rsidRDefault="003F1765" w:rsidP="00980876">
      <w:pPr>
        <w:widowControl w:val="0"/>
        <w:numPr>
          <w:ilvl w:val="1"/>
          <w:numId w:val="530"/>
        </w:numPr>
        <w:spacing w:before="120" w:after="120" w:line="240" w:lineRule="auto"/>
        <w:ind w:left="993" w:hanging="426"/>
        <w:contextualSpacing/>
        <w:rPr>
          <w:rFonts w:ascii="Times New Roman" w:eastAsia="Times New Roman" w:hAnsi="Times New Roman" w:cs="Times New Roman"/>
          <w:b/>
          <w:bCs/>
        </w:rPr>
      </w:pPr>
      <w:r w:rsidRPr="003F1765">
        <w:rPr>
          <w:rFonts w:ascii="Times New Roman" w:eastAsia="Times New Roman" w:hAnsi="Times New Roman" w:cs="Times New Roman"/>
          <w:bCs/>
        </w:rPr>
        <w:t>a tantárgy elméleti vagy gyakorlati jellegének mértéke: 50</w:t>
      </w:r>
      <w:r w:rsidRPr="003F1765">
        <w:rPr>
          <w:rFonts w:ascii="Times New Roman" w:eastAsia="Times New Roman" w:hAnsi="Times New Roman" w:cs="Times New Roman"/>
          <w:b/>
          <w:bCs/>
        </w:rPr>
        <w:t xml:space="preserve"> </w:t>
      </w:r>
      <w:r w:rsidRPr="003F1765">
        <w:rPr>
          <w:rFonts w:ascii="Times New Roman" w:eastAsia="Times New Roman" w:hAnsi="Times New Roman" w:cs="Times New Roman"/>
          <w:bCs/>
        </w:rPr>
        <w:t>% gyakorlat, 50 % elmélet</w:t>
      </w:r>
    </w:p>
    <w:p w:rsidR="003F1765" w:rsidRPr="003F1765" w:rsidRDefault="003F1765" w:rsidP="003F1765">
      <w:pPr>
        <w:widowControl w:val="0"/>
        <w:spacing w:before="120" w:after="120" w:line="240" w:lineRule="auto"/>
        <w:ind w:left="993"/>
        <w:contextualSpacing/>
        <w:rPr>
          <w:rFonts w:ascii="Times New Roman" w:eastAsia="Times New Roman" w:hAnsi="Times New Roman" w:cs="Times New Roman"/>
          <w:b/>
          <w:bCs/>
          <w:sz w:val="6"/>
        </w:rPr>
      </w:pPr>
    </w:p>
    <w:p w:rsidR="003F1765" w:rsidRPr="003F1765" w:rsidRDefault="003F1765" w:rsidP="00980876">
      <w:pPr>
        <w:widowControl w:val="0"/>
        <w:numPr>
          <w:ilvl w:val="0"/>
          <w:numId w:val="530"/>
        </w:numPr>
        <w:tabs>
          <w:tab w:val="num" w:pos="567"/>
        </w:tabs>
        <w:spacing w:before="120" w:after="120" w:line="240" w:lineRule="auto"/>
        <w:ind w:left="426" w:hanging="142"/>
        <w:jc w:val="both"/>
        <w:rPr>
          <w:rFonts w:ascii="Times New Roman" w:eastAsia="Times New Roman" w:hAnsi="Times New Roman" w:cs="Times New Roman"/>
          <w:bCs/>
        </w:rPr>
      </w:pPr>
      <w:r w:rsidRPr="003F1765">
        <w:rPr>
          <w:rFonts w:ascii="Times New Roman" w:eastAsia="Times New Roman" w:hAnsi="Times New Roman" w:cs="Times New Roman"/>
          <w:b/>
          <w:bCs/>
        </w:rPr>
        <w:t>A szak(ok), szakirányok/specializációk megnevezése (ahol oktatják):</w:t>
      </w:r>
      <w:r w:rsidRPr="003F1765">
        <w:rPr>
          <w:rFonts w:ascii="Times New Roman" w:eastAsia="Times New Roman" w:hAnsi="Times New Roman" w:cs="Times New Roman"/>
          <w:bCs/>
        </w:rPr>
        <w:t xml:space="preserve"> Katonai logisztika alapképzési szak, Katonai közlekedési specializáció</w:t>
      </w:r>
    </w:p>
    <w:p w:rsidR="003F1765" w:rsidRPr="003F1765" w:rsidRDefault="003F1765" w:rsidP="00980876">
      <w:pPr>
        <w:widowControl w:val="0"/>
        <w:numPr>
          <w:ilvl w:val="0"/>
          <w:numId w:val="530"/>
        </w:numPr>
        <w:tabs>
          <w:tab w:val="num" w:pos="567"/>
        </w:tabs>
        <w:spacing w:before="120" w:after="120" w:line="240" w:lineRule="auto"/>
        <w:ind w:left="426" w:hanging="142"/>
        <w:jc w:val="both"/>
        <w:rPr>
          <w:rFonts w:ascii="Times New Roman" w:eastAsia="Times New Roman" w:hAnsi="Times New Roman" w:cs="Times New Roman"/>
          <w:bCs/>
        </w:rPr>
      </w:pPr>
      <w:r w:rsidRPr="003F1765">
        <w:rPr>
          <w:rFonts w:ascii="Times New Roman" w:eastAsia="Times New Roman" w:hAnsi="Times New Roman" w:cs="Times New Roman"/>
          <w:b/>
          <w:bCs/>
        </w:rPr>
        <w:t xml:space="preserve">Az oktatásért felelős oktatási szervezeti egység megnevezése: </w:t>
      </w:r>
      <w:r w:rsidRPr="003F1765">
        <w:rPr>
          <w:rFonts w:ascii="Times New Roman" w:eastAsia="Times New Roman" w:hAnsi="Times New Roman" w:cs="Times New Roman"/>
          <w:bCs/>
        </w:rPr>
        <w:t>NKE HHK, Hadtáp, Pénzügyi és Katonai Közlekedési Tanszék</w:t>
      </w:r>
    </w:p>
    <w:p w:rsidR="003F1765" w:rsidRPr="003F1765" w:rsidRDefault="003F1765" w:rsidP="00980876">
      <w:pPr>
        <w:widowControl w:val="0"/>
        <w:numPr>
          <w:ilvl w:val="0"/>
          <w:numId w:val="530"/>
        </w:numPr>
        <w:tabs>
          <w:tab w:val="num" w:pos="567"/>
        </w:tabs>
        <w:spacing w:before="120" w:after="120" w:line="240" w:lineRule="auto"/>
        <w:ind w:left="426" w:hanging="142"/>
        <w:jc w:val="both"/>
        <w:rPr>
          <w:rFonts w:ascii="Times New Roman" w:eastAsia="Times New Roman" w:hAnsi="Times New Roman" w:cs="Times New Roman"/>
          <w:bCs/>
        </w:rPr>
      </w:pPr>
      <w:r w:rsidRPr="003F1765">
        <w:rPr>
          <w:rFonts w:ascii="Times New Roman" w:eastAsia="Times New Roman" w:hAnsi="Times New Roman" w:cs="Times New Roman"/>
          <w:b/>
          <w:bCs/>
        </w:rPr>
        <w:t>A tantárgyfelelős oktató neve, beosztása, tudományos fokozata:</w:t>
      </w:r>
      <w:r w:rsidRPr="003F1765">
        <w:rPr>
          <w:rFonts w:ascii="Times New Roman" w:eastAsia="Times New Roman" w:hAnsi="Times New Roman" w:cs="Times New Roman"/>
          <w:bCs/>
        </w:rPr>
        <w:t xml:space="preserve"> Dr. Fábos Róbert, PhD, adjunktus</w:t>
      </w:r>
    </w:p>
    <w:p w:rsidR="003F1765" w:rsidRPr="003F1765" w:rsidRDefault="003F1765" w:rsidP="00980876">
      <w:pPr>
        <w:widowControl w:val="0"/>
        <w:numPr>
          <w:ilvl w:val="0"/>
          <w:numId w:val="530"/>
        </w:numPr>
        <w:spacing w:before="120" w:after="120" w:line="240" w:lineRule="auto"/>
        <w:ind w:left="426" w:hanging="142"/>
        <w:jc w:val="both"/>
        <w:rPr>
          <w:rFonts w:ascii="Times New Roman" w:eastAsia="Times New Roman" w:hAnsi="Times New Roman" w:cs="Times New Roman"/>
          <w:bCs/>
        </w:rPr>
      </w:pPr>
      <w:r w:rsidRPr="003F1765">
        <w:rPr>
          <w:rFonts w:ascii="Times New Roman" w:eastAsia="Times New Roman" w:hAnsi="Times New Roman" w:cs="Times New Roman"/>
          <w:b/>
          <w:bCs/>
        </w:rPr>
        <w:t>A tanórák száma és típusa</w:t>
      </w:r>
    </w:p>
    <w:p w:rsidR="003F1765" w:rsidRPr="003F1765" w:rsidRDefault="003F1765" w:rsidP="00980876">
      <w:pPr>
        <w:widowControl w:val="0"/>
        <w:numPr>
          <w:ilvl w:val="1"/>
          <w:numId w:val="530"/>
        </w:numPr>
        <w:tabs>
          <w:tab w:val="num" w:pos="709"/>
          <w:tab w:val="num" w:pos="2069"/>
        </w:tabs>
        <w:spacing w:after="0" w:line="240" w:lineRule="auto"/>
        <w:ind w:left="851" w:hanging="425"/>
        <w:jc w:val="both"/>
        <w:rPr>
          <w:rFonts w:ascii="Times New Roman" w:eastAsia="Times New Roman" w:hAnsi="Times New Roman" w:cs="Times New Roman"/>
          <w:bCs/>
        </w:rPr>
      </w:pPr>
      <w:r w:rsidRPr="003F1765">
        <w:rPr>
          <w:rFonts w:ascii="Times New Roman" w:eastAsia="Times New Roman" w:hAnsi="Times New Roman" w:cs="Times New Roman"/>
          <w:bCs/>
        </w:rPr>
        <w:t>össz óraszám/félév: 28</w:t>
      </w:r>
    </w:p>
    <w:p w:rsidR="003F1765" w:rsidRPr="003F1765" w:rsidRDefault="003F1765" w:rsidP="00980876">
      <w:pPr>
        <w:widowControl w:val="0"/>
        <w:numPr>
          <w:ilvl w:val="2"/>
          <w:numId w:val="530"/>
        </w:numPr>
        <w:tabs>
          <w:tab w:val="num" w:pos="709"/>
          <w:tab w:val="num" w:pos="1134"/>
        </w:tabs>
        <w:spacing w:after="0" w:line="240" w:lineRule="auto"/>
        <w:ind w:left="993" w:hanging="425"/>
        <w:jc w:val="both"/>
        <w:rPr>
          <w:rFonts w:ascii="Times New Roman" w:eastAsia="Times New Roman" w:hAnsi="Times New Roman" w:cs="Times New Roman"/>
          <w:bCs/>
        </w:rPr>
      </w:pPr>
      <w:r w:rsidRPr="003F1765">
        <w:rPr>
          <w:rFonts w:ascii="Times New Roman" w:eastAsia="Times New Roman" w:hAnsi="Times New Roman" w:cs="Times New Roman"/>
          <w:bCs/>
        </w:rPr>
        <w:t>nappali munkarend: 28 (14 EA + 0 SZ + 14 GY)</w:t>
      </w:r>
    </w:p>
    <w:p w:rsidR="003F1765" w:rsidRPr="003F1765" w:rsidRDefault="003F1765" w:rsidP="00980876">
      <w:pPr>
        <w:widowControl w:val="0"/>
        <w:numPr>
          <w:ilvl w:val="2"/>
          <w:numId w:val="530"/>
        </w:numPr>
        <w:tabs>
          <w:tab w:val="num" w:pos="709"/>
          <w:tab w:val="num" w:pos="1134"/>
        </w:tabs>
        <w:spacing w:after="0" w:line="240" w:lineRule="auto"/>
        <w:ind w:left="993" w:hanging="425"/>
        <w:jc w:val="both"/>
        <w:rPr>
          <w:rFonts w:ascii="Times New Roman" w:eastAsia="Times New Roman" w:hAnsi="Times New Roman" w:cs="Times New Roman"/>
          <w:bCs/>
        </w:rPr>
      </w:pPr>
      <w:r w:rsidRPr="003F1765">
        <w:rPr>
          <w:rFonts w:ascii="Times New Roman" w:eastAsia="Times New Roman" w:hAnsi="Times New Roman" w:cs="Times New Roman"/>
          <w:bCs/>
        </w:rPr>
        <w:t>levelező munkarend: 0 (0 EA + 0 SZ + 0 GY)</w:t>
      </w:r>
    </w:p>
    <w:p w:rsidR="003F1765" w:rsidRPr="003F1765" w:rsidRDefault="003F1765" w:rsidP="00980876">
      <w:pPr>
        <w:widowControl w:val="0"/>
        <w:numPr>
          <w:ilvl w:val="1"/>
          <w:numId w:val="530"/>
        </w:numPr>
        <w:tabs>
          <w:tab w:val="num" w:pos="709"/>
          <w:tab w:val="num" w:pos="2069"/>
        </w:tabs>
        <w:spacing w:before="120" w:after="120" w:line="240" w:lineRule="auto"/>
        <w:ind w:left="850" w:hanging="425"/>
        <w:jc w:val="both"/>
        <w:rPr>
          <w:rFonts w:ascii="Times New Roman" w:eastAsia="Times New Roman" w:hAnsi="Times New Roman" w:cs="Times New Roman"/>
          <w:bCs/>
        </w:rPr>
      </w:pPr>
      <w:r w:rsidRPr="003F1765">
        <w:rPr>
          <w:rFonts w:ascii="Times New Roman" w:eastAsia="Times New Roman" w:hAnsi="Times New Roman" w:cs="Times New Roman"/>
          <w:bCs/>
        </w:rPr>
        <w:t>heti óraszám - nappali munkarend: 2</w:t>
      </w:r>
    </w:p>
    <w:p w:rsidR="003F1765" w:rsidRPr="003F1765" w:rsidRDefault="003F1765" w:rsidP="00980876">
      <w:pPr>
        <w:widowControl w:val="0"/>
        <w:numPr>
          <w:ilvl w:val="1"/>
          <w:numId w:val="530"/>
        </w:numPr>
        <w:tabs>
          <w:tab w:val="num" w:pos="709"/>
          <w:tab w:val="num" w:pos="2069"/>
        </w:tabs>
        <w:spacing w:before="120" w:after="120" w:line="240" w:lineRule="auto"/>
        <w:ind w:left="851" w:hanging="425"/>
        <w:jc w:val="both"/>
        <w:rPr>
          <w:rFonts w:ascii="Times New Roman" w:eastAsia="Times New Roman" w:hAnsi="Times New Roman" w:cs="Times New Roman"/>
          <w:bCs/>
        </w:rPr>
      </w:pPr>
      <w:r w:rsidRPr="003F1765">
        <w:rPr>
          <w:rFonts w:ascii="Times New Roman" w:eastAsia="Calibri" w:hAnsi="Times New Roman" w:cs="Times New Roman"/>
        </w:rPr>
        <w:t>Az ismeret átadásában alkalmazandó további sajátos módok, jellemzők: -</w:t>
      </w:r>
    </w:p>
    <w:p w:rsidR="003F1765" w:rsidRPr="003F1765" w:rsidRDefault="003F1765" w:rsidP="00980876">
      <w:pPr>
        <w:widowControl w:val="0"/>
        <w:numPr>
          <w:ilvl w:val="0"/>
          <w:numId w:val="530"/>
        </w:numPr>
        <w:spacing w:before="120" w:after="120" w:line="240" w:lineRule="auto"/>
        <w:ind w:left="426" w:hanging="142"/>
        <w:jc w:val="both"/>
        <w:rPr>
          <w:rFonts w:ascii="Times New Roman" w:eastAsia="Times New Roman" w:hAnsi="Times New Roman" w:cs="Times New Roman"/>
          <w:bCs/>
        </w:rPr>
      </w:pPr>
      <w:r w:rsidRPr="003F1765">
        <w:rPr>
          <w:rFonts w:ascii="Times New Roman" w:eastAsia="Times New Roman" w:hAnsi="Times New Roman" w:cs="Times New Roman"/>
          <w:b/>
          <w:bCs/>
        </w:rPr>
        <w:t>A tantárgy szakmai tartalma (magyarul):</w:t>
      </w:r>
      <w:r w:rsidRPr="003F1765">
        <w:rPr>
          <w:rFonts w:ascii="Times New Roman" w:eastAsia="Times New Roman" w:hAnsi="Times New Roman" w:cs="Times New Roman"/>
          <w:bCs/>
        </w:rPr>
        <w:t xml:space="preserve"> </w:t>
      </w:r>
      <w:r w:rsidRPr="003F1765">
        <w:rPr>
          <w:rFonts w:ascii="Times New Roman" w:eastAsia="Calibri" w:hAnsi="Times New Roman" w:cs="Calibri"/>
        </w:rPr>
        <w:t>A közlekedésbiztonság komplex rendszere. Alapfogalmak. Baleseti helyzetkép bemutatása. Veszélyeztetett közlekedők. Különböző típusú balesetek jellemzői. Emberi tényezők. Közúti gépjárművek külső, belső, aktív és passzív biztonsága. Intelligens járműrendszerek szerepe a közlekedésbiztonságban. Gyalogosok, kerékpárosok védelme. Közlekedési pálya állapotának hatása a közlekedésbiztonságra. Az emberi tényező szerepe a közlekedésbiztonságban, balesetmegelőzés.</w:t>
      </w:r>
    </w:p>
    <w:p w:rsidR="003F1765" w:rsidRPr="003F1765" w:rsidRDefault="003F1765" w:rsidP="003F1765">
      <w:pPr>
        <w:widowControl w:val="0"/>
        <w:spacing w:before="120" w:after="120" w:line="240" w:lineRule="auto"/>
        <w:ind w:left="426"/>
        <w:jc w:val="both"/>
        <w:rPr>
          <w:rFonts w:ascii="Times New Roman" w:eastAsia="Times New Roman" w:hAnsi="Times New Roman" w:cs="Times New Roman"/>
          <w:bCs/>
          <w:lang w:val="en-GB"/>
        </w:rPr>
      </w:pPr>
      <w:r w:rsidRPr="003F1765">
        <w:rPr>
          <w:rFonts w:ascii="Times New Roman" w:eastAsia="Times New Roman" w:hAnsi="Times New Roman" w:cs="Times New Roman"/>
          <w:b/>
          <w:bCs/>
        </w:rPr>
        <w:t>A tantárgy szakmai tartalma (angolul) (</w:t>
      </w:r>
      <w:r w:rsidRPr="003F1765">
        <w:rPr>
          <w:rFonts w:ascii="Times New Roman" w:eastAsia="Times New Roman" w:hAnsi="Times New Roman" w:cs="Times New Roman"/>
          <w:b/>
          <w:bCs/>
          <w:lang w:val="en-US"/>
        </w:rPr>
        <w:t>Course description</w:t>
      </w:r>
      <w:r w:rsidRPr="003F1765">
        <w:rPr>
          <w:rFonts w:ascii="Times New Roman" w:eastAsia="Times New Roman" w:hAnsi="Times New Roman" w:cs="Times New Roman"/>
          <w:b/>
          <w:bCs/>
        </w:rPr>
        <w:t xml:space="preserve">): </w:t>
      </w:r>
      <w:r w:rsidRPr="003F1765">
        <w:rPr>
          <w:rFonts w:ascii="Times New Roman" w:eastAsia="Calibri" w:hAnsi="Times New Roman" w:cs="Calibri"/>
          <w:bCs/>
        </w:rPr>
        <w:t>The complex system of traffic safety. Rudiments. Presentation of accident survey. Exposed participants of transportation. Characteristics of the different types of accidents. Human factor. External, internal, active and passive safety of the vehicle. The role of the intelligent vehicle system in traffic safety. Protection of the predestrians and cyclist. The impact of the condition of the tansport path on traffic safety. The role of the human factor in traffic safety and accident prevention.</w:t>
      </w:r>
    </w:p>
    <w:p w:rsidR="003F1765" w:rsidRPr="003F1765" w:rsidRDefault="003F1765" w:rsidP="00980876">
      <w:pPr>
        <w:widowControl w:val="0"/>
        <w:numPr>
          <w:ilvl w:val="0"/>
          <w:numId w:val="530"/>
        </w:numPr>
        <w:tabs>
          <w:tab w:val="num" w:pos="567"/>
        </w:tabs>
        <w:spacing w:before="120" w:after="120" w:line="240" w:lineRule="auto"/>
        <w:ind w:left="426" w:hanging="142"/>
        <w:jc w:val="both"/>
        <w:rPr>
          <w:rFonts w:ascii="Times New Roman" w:eastAsia="Times New Roman" w:hAnsi="Times New Roman" w:cs="Times New Roman"/>
          <w:bCs/>
        </w:rPr>
      </w:pPr>
      <w:r w:rsidRPr="003F1765">
        <w:rPr>
          <w:rFonts w:ascii="Times New Roman" w:eastAsia="Times New Roman" w:hAnsi="Times New Roman" w:cs="Times New Roman"/>
          <w:b/>
          <w:bCs/>
        </w:rPr>
        <w:t xml:space="preserve">Elérendő kompetenciák (magyarul): </w:t>
      </w:r>
    </w:p>
    <w:p w:rsidR="003F1765" w:rsidRPr="003F1765" w:rsidRDefault="003F1765" w:rsidP="003F1765">
      <w:pPr>
        <w:autoSpaceDE w:val="0"/>
        <w:autoSpaceDN w:val="0"/>
        <w:adjustRightInd w:val="0"/>
        <w:spacing w:before="120" w:after="0" w:line="240" w:lineRule="auto"/>
        <w:ind w:left="425"/>
        <w:jc w:val="both"/>
        <w:rPr>
          <w:rFonts w:ascii="Times New Roman" w:eastAsia="Times New Roman" w:hAnsi="Times New Roman" w:cs="Times New Roman"/>
          <w:b/>
          <w:bCs/>
        </w:rPr>
      </w:pPr>
      <w:r w:rsidRPr="003F1765">
        <w:rPr>
          <w:rFonts w:ascii="Times New Roman" w:eastAsia="Times New Roman" w:hAnsi="Times New Roman" w:cs="Times New Roman"/>
          <w:b/>
          <w:bCs/>
        </w:rPr>
        <w:t xml:space="preserve">Tudása: </w:t>
      </w:r>
    </w:p>
    <w:p w:rsidR="003F1765" w:rsidRPr="003F1765" w:rsidRDefault="003F1765"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3F1765">
        <w:rPr>
          <w:rFonts w:ascii="Times New Roman" w:eastAsia="Calibri" w:hAnsi="Times New Roman" w:cs="Times New Roman"/>
        </w:rPr>
        <w:t>Ismeri a katonai közlekedési szakterület szaktechnikai eszközeit, a közlekedési pályákat és létesítményeiket, azok igénybevételének és üzemeltetésének szabályait.</w:t>
      </w:r>
    </w:p>
    <w:p w:rsidR="003F1765" w:rsidRPr="003F1765" w:rsidRDefault="003F1765"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3F1765">
        <w:rPr>
          <w:rFonts w:ascii="Times New Roman" w:eastAsia="Calibri" w:hAnsi="Times New Roman" w:cs="Times New Roman"/>
        </w:rPr>
        <w:t>Mélyrehatóan ismeri a katonai közlekedési szakterület szakmai feladatait, a közlekedési szakfeladatok rendszerét, az egyes feladatok végrehajtásának sajátosságait.</w:t>
      </w:r>
    </w:p>
    <w:p w:rsidR="003F1765" w:rsidRPr="003F1765" w:rsidRDefault="003F1765"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3F1765">
        <w:rPr>
          <w:rFonts w:ascii="Times New Roman" w:eastAsia="Calibri" w:hAnsi="Times New Roman" w:cs="Times New Roman"/>
        </w:rPr>
        <w:t>Ismeri a katonai közlekedési igények felmérésének módszereit és megvalósítási lehetőségeit, gyakorlatát.</w:t>
      </w:r>
    </w:p>
    <w:p w:rsidR="003F1765" w:rsidRPr="003F1765" w:rsidRDefault="003F1765" w:rsidP="003F1765">
      <w:pPr>
        <w:autoSpaceDE w:val="0"/>
        <w:autoSpaceDN w:val="0"/>
        <w:adjustRightInd w:val="0"/>
        <w:spacing w:before="120" w:after="0" w:line="240" w:lineRule="auto"/>
        <w:ind w:left="425"/>
        <w:jc w:val="both"/>
        <w:rPr>
          <w:rFonts w:ascii="Times New Roman" w:eastAsia="Times New Roman" w:hAnsi="Times New Roman" w:cs="Times New Roman"/>
          <w:bCs/>
        </w:rPr>
      </w:pPr>
      <w:r w:rsidRPr="003F1765">
        <w:rPr>
          <w:rFonts w:ascii="Times New Roman" w:eastAsia="Times New Roman" w:hAnsi="Times New Roman" w:cs="Times New Roman"/>
          <w:b/>
          <w:bCs/>
        </w:rPr>
        <w:t>Képességei:</w:t>
      </w:r>
      <w:r w:rsidRPr="003F1765">
        <w:rPr>
          <w:rFonts w:ascii="Times New Roman" w:eastAsia="Times New Roman" w:hAnsi="Times New Roman" w:cs="Times New Roman"/>
          <w:bCs/>
        </w:rPr>
        <w:t xml:space="preserve"> </w:t>
      </w:r>
    </w:p>
    <w:p w:rsidR="003F1765" w:rsidRPr="003F1765" w:rsidRDefault="003F1765"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3F1765">
        <w:rPr>
          <w:rFonts w:ascii="Times New Roman" w:eastAsia="Calibri" w:hAnsi="Times New Roman" w:cs="Times New Roman"/>
        </w:rPr>
        <w:t>Az általános és specifikus katonai ismeretei és készségei birtokában képes a katonai közlekedési, mozgatási, szállítási feladatok tervezésére, szervezésére és vezetésére.</w:t>
      </w:r>
    </w:p>
    <w:p w:rsidR="003F1765" w:rsidRPr="003F1765" w:rsidRDefault="003F1765"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3F1765">
        <w:rPr>
          <w:rFonts w:ascii="Times New Roman" w:eastAsia="Calibri" w:hAnsi="Times New Roman" w:cs="Times New Roman"/>
        </w:rPr>
        <w:lastRenderedPageBreak/>
        <w:t>Képes a közlekedési hálózatok katonai célú alkalmazásának tervezésére, szervezésére és végrehajtására.</w:t>
      </w:r>
    </w:p>
    <w:p w:rsidR="003F1765" w:rsidRPr="003F1765" w:rsidRDefault="003F1765"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3F1765">
        <w:rPr>
          <w:rFonts w:ascii="Times New Roman" w:eastAsia="Calibri" w:hAnsi="Times New Roman" w:cs="Times New Roman"/>
        </w:rPr>
        <w:t>Képes a közlekedési folyamatokat támogató közlekedésinformatikai rendszerek alkalmazására, az azokkal kapcsolatos felhasználói alapkövetelmények megfogalmazására.</w:t>
      </w:r>
    </w:p>
    <w:p w:rsidR="003F1765" w:rsidRPr="003F1765" w:rsidRDefault="003F1765" w:rsidP="003F1765">
      <w:pPr>
        <w:autoSpaceDE w:val="0"/>
        <w:autoSpaceDN w:val="0"/>
        <w:adjustRightInd w:val="0"/>
        <w:spacing w:before="120" w:after="0" w:line="240" w:lineRule="auto"/>
        <w:ind w:left="425"/>
        <w:jc w:val="both"/>
        <w:rPr>
          <w:rFonts w:ascii="Times New Roman" w:eastAsia="Times New Roman" w:hAnsi="Times New Roman" w:cs="Times New Roman"/>
          <w:b/>
          <w:bCs/>
        </w:rPr>
      </w:pPr>
      <w:r w:rsidRPr="003F1765">
        <w:rPr>
          <w:rFonts w:ascii="Times New Roman" w:eastAsia="Times New Roman" w:hAnsi="Times New Roman" w:cs="Times New Roman"/>
          <w:b/>
          <w:bCs/>
        </w:rPr>
        <w:t xml:space="preserve">Attitűdje: </w:t>
      </w:r>
    </w:p>
    <w:p w:rsidR="003F1765" w:rsidRPr="003F1765" w:rsidRDefault="003F1765"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3F1765">
        <w:rPr>
          <w:rFonts w:ascii="Times New Roman" w:eastAsia="Calibri" w:hAnsi="Times New Roman" w:cs="Times New Roman"/>
        </w:rPr>
        <w:t>Nyitott a katonai közlekedési szakterületen zajló szakmai, technológiai fejlesztés és innováció megismerésére és elfogadására, hiteles közvetítésére és azok mindennapi munkájába való beillesztésére.</w:t>
      </w:r>
    </w:p>
    <w:p w:rsidR="003F1765" w:rsidRPr="003F1765" w:rsidRDefault="003F1765"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3F1765">
        <w:rPr>
          <w:rFonts w:ascii="Times New Roman" w:eastAsia="Calibri" w:hAnsi="Times New Roman" w:cs="Times New Roman"/>
        </w:rPr>
        <w:t>Törekszik arra, hogy önképzése a katonai közlekedési szakterületen folyamatos és szakmai céljaival megegyező legyen.</w:t>
      </w:r>
    </w:p>
    <w:p w:rsidR="003F1765" w:rsidRPr="003F1765" w:rsidRDefault="003F1765"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3F1765">
        <w:rPr>
          <w:rFonts w:ascii="Times New Roman" w:eastAsia="Calibri" w:hAnsi="Times New Roman" w:cs="Times New Roman"/>
        </w:rPr>
        <w:t>Elkötelezett a minőségi szakmai munkavégzés iránt, különös tekintettel a közlekedési, szállítási feladatok és folyamatok biztonságos végrehajtására.</w:t>
      </w:r>
    </w:p>
    <w:p w:rsidR="003F1765" w:rsidRPr="003F1765" w:rsidRDefault="003F1765"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3F1765">
        <w:rPr>
          <w:rFonts w:ascii="Times New Roman" w:eastAsia="Calibri" w:hAnsi="Times New Roman" w:cs="Times New Roman"/>
        </w:rPr>
        <w:t>Figyel beosztottjai szakmai fejlődésének előmozdítására, ilyen irányú törekvéseik kezelésére és segítésére.</w:t>
      </w:r>
    </w:p>
    <w:p w:rsidR="003F1765" w:rsidRPr="003F1765" w:rsidRDefault="003F1765"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3F1765">
        <w:rPr>
          <w:rFonts w:ascii="Times New Roman" w:eastAsia="Calibri" w:hAnsi="Times New Roman" w:cs="Times New Roman"/>
        </w:rPr>
        <w:t>Megosztja tapasztalatait munkatársaival, így segítve fejlődésüket.</w:t>
      </w:r>
    </w:p>
    <w:p w:rsidR="003F1765" w:rsidRPr="003F1765" w:rsidRDefault="003F1765" w:rsidP="003F1765">
      <w:pPr>
        <w:autoSpaceDE w:val="0"/>
        <w:autoSpaceDN w:val="0"/>
        <w:adjustRightInd w:val="0"/>
        <w:spacing w:before="120" w:after="0" w:line="240" w:lineRule="auto"/>
        <w:ind w:left="425"/>
        <w:jc w:val="both"/>
        <w:rPr>
          <w:rFonts w:ascii="Times New Roman" w:eastAsia="Times New Roman" w:hAnsi="Times New Roman" w:cs="Times New Roman"/>
          <w:b/>
          <w:bCs/>
        </w:rPr>
      </w:pPr>
      <w:r w:rsidRPr="003F1765">
        <w:rPr>
          <w:rFonts w:ascii="Times New Roman" w:eastAsia="Times New Roman" w:hAnsi="Times New Roman" w:cs="Times New Roman"/>
          <w:b/>
          <w:bCs/>
        </w:rPr>
        <w:t xml:space="preserve">Autonómiája és felelőssége: </w:t>
      </w:r>
    </w:p>
    <w:p w:rsidR="003F1765" w:rsidRPr="003F1765" w:rsidRDefault="003F1765"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3F1765">
        <w:rPr>
          <w:rFonts w:ascii="Times New Roman" w:eastAsia="Calibri" w:hAnsi="Times New Roman" w:cs="Times New Roman"/>
        </w:rPr>
        <w:t>A katonai közlekedés szakterületén megjelenő folyamatokban képes önállóan döntéseket hozni, azokat felelősséggel, a jogszabályi keretek figyelembevételével végrehajtani.</w:t>
      </w:r>
    </w:p>
    <w:p w:rsidR="003F1765" w:rsidRPr="003F1765" w:rsidRDefault="003F1765"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3F1765">
        <w:rPr>
          <w:rFonts w:ascii="Times New Roman" w:eastAsia="Calibri" w:hAnsi="Times New Roman" w:cs="Times New Roman"/>
        </w:rPr>
        <w:t>Tisztában van döntéseinek, tevékenységének a katonai logisztikai folyamatok egészére gyakorolt hatásaival, következményeivel.</w:t>
      </w:r>
    </w:p>
    <w:p w:rsidR="003F1765" w:rsidRPr="003F1765" w:rsidRDefault="003F1765"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3F1765">
        <w:rPr>
          <w:rFonts w:ascii="Times New Roman" w:eastAsia="Calibri" w:hAnsi="Times New Roman" w:cs="Times New Roman"/>
        </w:rPr>
        <w:t>Szakmai feladatainak elvégzése során felelősségteljesen együttműködik más szakterület képzett szakembereivel is.</w:t>
      </w:r>
    </w:p>
    <w:p w:rsidR="003F1765" w:rsidRPr="003F1765" w:rsidRDefault="003F1765"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3F1765">
        <w:rPr>
          <w:rFonts w:ascii="Times New Roman" w:eastAsia="Calibri" w:hAnsi="Times New Roman" w:cs="Times New Roman"/>
        </w:rPr>
        <w:t>Feltárja az alkalmazott technológiák hiányosságait, a folyamatok kockázatait és kezdeményezi az ezeket csökkentő intézkedések megtételét.</w:t>
      </w:r>
    </w:p>
    <w:p w:rsidR="003F1765" w:rsidRPr="003F1765" w:rsidRDefault="003F1765"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3F1765">
        <w:rPr>
          <w:rFonts w:ascii="Times New Roman" w:eastAsia="Calibri" w:hAnsi="Times New Roman" w:cs="Times New Roman"/>
        </w:rPr>
        <w:t>Parancsnokának útmutatása alapján irányítja a rábízott személyi állomány munkavégzését, felügyeli a közlekedési, szállítási folyamatok tervezését, szervezését, végrehajtását, a közlekedési szaktechnikai eszközök üzemeltetését.</w:t>
      </w:r>
    </w:p>
    <w:p w:rsidR="003F1765" w:rsidRPr="003F1765" w:rsidRDefault="003F1765"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3F1765">
        <w:rPr>
          <w:rFonts w:ascii="Times New Roman" w:eastAsia="Calibri" w:hAnsi="Times New Roman" w:cs="Times New Roman"/>
        </w:rPr>
        <w:t>Értékeli a beosztottak munkavégzésének hatékonyságát, eredményességét.</w:t>
      </w:r>
    </w:p>
    <w:p w:rsidR="003F1765" w:rsidRPr="003F1765" w:rsidRDefault="003F1765" w:rsidP="003F1765">
      <w:pPr>
        <w:widowControl w:val="0"/>
        <w:spacing w:before="120" w:after="120" w:line="240" w:lineRule="auto"/>
        <w:ind w:left="426"/>
        <w:jc w:val="both"/>
        <w:rPr>
          <w:rFonts w:ascii="Times New Roman" w:eastAsia="Times New Roman" w:hAnsi="Times New Roman" w:cs="Times New Roman"/>
          <w:b/>
          <w:bCs/>
          <w:lang w:val="en-US"/>
        </w:rPr>
      </w:pPr>
      <w:r w:rsidRPr="003F1765">
        <w:rPr>
          <w:rFonts w:ascii="Times New Roman" w:eastAsia="Times New Roman" w:hAnsi="Times New Roman" w:cs="Times New Roman"/>
          <w:b/>
          <w:bCs/>
        </w:rPr>
        <w:t>Elérendő kompetenciák (angolul) (</w:t>
      </w:r>
      <w:r w:rsidRPr="003F1765">
        <w:rPr>
          <w:rFonts w:ascii="Times New Roman" w:eastAsia="Times New Roman" w:hAnsi="Times New Roman" w:cs="Times New Roman"/>
          <w:b/>
          <w:bCs/>
          <w:lang w:val="en-US"/>
        </w:rPr>
        <w:t xml:space="preserve">Competences – English): </w:t>
      </w:r>
    </w:p>
    <w:p w:rsidR="003F1765" w:rsidRPr="003F1765" w:rsidRDefault="003F1765" w:rsidP="003F1765">
      <w:pPr>
        <w:widowControl w:val="0"/>
        <w:spacing w:before="120" w:after="120" w:line="240" w:lineRule="auto"/>
        <w:ind w:left="426"/>
        <w:jc w:val="both"/>
        <w:rPr>
          <w:rFonts w:ascii="Times New Roman" w:eastAsia="Times New Roman" w:hAnsi="Times New Roman" w:cs="Times New Roman"/>
          <w:lang w:val="en-GB"/>
        </w:rPr>
      </w:pPr>
      <w:r w:rsidRPr="003F1765">
        <w:rPr>
          <w:rFonts w:ascii="Times New Roman" w:eastAsia="Times New Roman" w:hAnsi="Times New Roman" w:cs="Times New Roman"/>
          <w:b/>
          <w:lang w:val="en-GB"/>
        </w:rPr>
        <w:t>Knowledge</w:t>
      </w:r>
      <w:r w:rsidRPr="003F1765">
        <w:rPr>
          <w:rFonts w:ascii="Times New Roman" w:eastAsia="Times New Roman" w:hAnsi="Times New Roman" w:cs="Times New Roman"/>
          <w:lang w:val="en-GB"/>
        </w:rPr>
        <w:t xml:space="preserve">: </w:t>
      </w:r>
    </w:p>
    <w:p w:rsidR="003F1765" w:rsidRPr="003F1765" w:rsidRDefault="003F1765"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3F1765">
        <w:rPr>
          <w:rFonts w:ascii="Times New Roman" w:eastAsia="Calibri" w:hAnsi="Times New Roman" w:cs="Times New Roman"/>
        </w:rPr>
        <w:t>Is familiar with the technical equipment used in military transportation, the transportation modes and facilities, and the rules of their use and operation.</w:t>
      </w:r>
    </w:p>
    <w:p w:rsidR="003F1765" w:rsidRPr="003F1765" w:rsidRDefault="003F1765"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3F1765">
        <w:rPr>
          <w:rFonts w:ascii="Times New Roman" w:eastAsia="Calibri" w:hAnsi="Times New Roman" w:cs="Times New Roman"/>
        </w:rPr>
        <w:t>Has a profound knowledge of the tasks and the system of military transportation and the unique characteristics of performing each task.</w:t>
      </w:r>
    </w:p>
    <w:p w:rsidR="003F1765" w:rsidRPr="003F1765" w:rsidRDefault="003F1765"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3F1765">
        <w:rPr>
          <w:rFonts w:ascii="Times New Roman" w:eastAsia="Calibri" w:hAnsi="Times New Roman" w:cs="Times New Roman"/>
        </w:rPr>
        <w:t>Is familiar with the methods of assessing the requirements of military transportation and its feasibility and practical implementation.</w:t>
      </w:r>
    </w:p>
    <w:p w:rsidR="003F1765" w:rsidRPr="003F1765" w:rsidRDefault="003F1765" w:rsidP="003F1765">
      <w:pPr>
        <w:widowControl w:val="0"/>
        <w:spacing w:before="120" w:after="120" w:line="240" w:lineRule="auto"/>
        <w:ind w:left="426"/>
        <w:jc w:val="both"/>
        <w:rPr>
          <w:rFonts w:ascii="Times New Roman" w:eastAsia="Times New Roman" w:hAnsi="Times New Roman" w:cs="Times New Roman"/>
          <w:lang w:val="en-GB"/>
        </w:rPr>
      </w:pPr>
      <w:r w:rsidRPr="003F1765">
        <w:rPr>
          <w:rFonts w:ascii="Times New Roman" w:eastAsia="Times New Roman" w:hAnsi="Times New Roman" w:cs="Times New Roman"/>
          <w:b/>
          <w:lang w:val="en-GB"/>
        </w:rPr>
        <w:t>Capabilities</w:t>
      </w:r>
      <w:r w:rsidRPr="003F1765">
        <w:rPr>
          <w:rFonts w:ascii="Times New Roman" w:eastAsia="Times New Roman" w:hAnsi="Times New Roman" w:cs="Times New Roman"/>
          <w:lang w:val="en-GB"/>
        </w:rPr>
        <w:t>:</w:t>
      </w:r>
    </w:p>
    <w:p w:rsidR="003F1765" w:rsidRPr="003F1765" w:rsidRDefault="003F1765"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3F1765">
        <w:rPr>
          <w:rFonts w:ascii="Times New Roman" w:eastAsia="Calibri" w:hAnsi="Times New Roman" w:cs="Times New Roman"/>
        </w:rPr>
        <w:t>Using his/her general and specialized military knowledge and skills, he/she is capable of planning, organizing, and conducting military transport, movement, and transportation tasks.</w:t>
      </w:r>
    </w:p>
    <w:p w:rsidR="003F1765" w:rsidRPr="003F1765" w:rsidRDefault="003F1765"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3F1765">
        <w:rPr>
          <w:rFonts w:ascii="Times New Roman" w:eastAsia="Calibri" w:hAnsi="Times New Roman" w:cs="Times New Roman"/>
        </w:rPr>
        <w:t>Is capable of planning, organizing and executing the tasks related to the application of traffic networks for military purposes.</w:t>
      </w:r>
    </w:p>
    <w:p w:rsidR="003F1765" w:rsidRPr="003F1765" w:rsidRDefault="003F1765"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3F1765">
        <w:rPr>
          <w:rFonts w:ascii="Times New Roman" w:eastAsia="Calibri" w:hAnsi="Times New Roman" w:cs="Times New Roman"/>
        </w:rPr>
        <w:t>Is capable of applying traffic information systems to support transportation processes and formulating the basic user requirements related to them.</w:t>
      </w:r>
    </w:p>
    <w:p w:rsidR="003F1765" w:rsidRPr="003F1765" w:rsidRDefault="003F1765" w:rsidP="003F17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lang w:val="en-GB"/>
        </w:rPr>
      </w:pPr>
      <w:r w:rsidRPr="003F1765">
        <w:rPr>
          <w:rFonts w:ascii="Times New Roman" w:eastAsia="Times New Roman" w:hAnsi="Times New Roman" w:cs="Times New Roman"/>
          <w:b/>
          <w:lang w:val="en-GB"/>
        </w:rPr>
        <w:t>Attitude:</w:t>
      </w:r>
    </w:p>
    <w:p w:rsidR="003F1765" w:rsidRPr="003F1765" w:rsidRDefault="003F1765"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3F1765">
        <w:rPr>
          <w:rFonts w:ascii="Times New Roman" w:eastAsia="Calibri" w:hAnsi="Times New Roman" w:cs="Times New Roman"/>
        </w:rPr>
        <w:t>He/She is ready to become familiar with and adopt the professional and technological development and innovation in the field of military transportation, and also to pass it on and integrate it into his daily work.</w:t>
      </w:r>
    </w:p>
    <w:p w:rsidR="003F1765" w:rsidRPr="003F1765" w:rsidRDefault="003F1765"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3F1765">
        <w:rPr>
          <w:rFonts w:ascii="Times New Roman" w:eastAsia="Calibri" w:hAnsi="Times New Roman" w:cs="Times New Roman"/>
        </w:rPr>
        <w:t>He/She strives for continuous self-education in the field of military transportation which is consistent with his/her professional goals.</w:t>
      </w:r>
    </w:p>
    <w:p w:rsidR="003F1765" w:rsidRPr="003F1765" w:rsidRDefault="003F1765"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3F1765">
        <w:rPr>
          <w:rFonts w:ascii="Times New Roman" w:eastAsia="Calibri" w:hAnsi="Times New Roman" w:cs="Times New Roman"/>
        </w:rPr>
        <w:t>He/She is committed to high quality in his/her professional work, with special emphasis on the safe execution of the transportation tasks and processes.</w:t>
      </w:r>
    </w:p>
    <w:p w:rsidR="003F1765" w:rsidRPr="003F1765" w:rsidRDefault="003F1765"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3F1765">
        <w:rPr>
          <w:rFonts w:ascii="Times New Roman" w:eastAsia="Calibri" w:hAnsi="Times New Roman" w:cs="Times New Roman"/>
        </w:rPr>
        <w:lastRenderedPageBreak/>
        <w:t>He/She is interested in promoting the professional development of his/her subordinates, and provides assistance in their efforts.</w:t>
      </w:r>
    </w:p>
    <w:p w:rsidR="003F1765" w:rsidRPr="003F1765" w:rsidRDefault="003F1765"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3F1765">
        <w:rPr>
          <w:rFonts w:ascii="Times New Roman" w:eastAsia="Calibri" w:hAnsi="Times New Roman" w:cs="Times New Roman"/>
        </w:rPr>
        <w:t>He/she is willing to share his/her experience with his/her colleagues to further their professional development.</w:t>
      </w:r>
    </w:p>
    <w:p w:rsidR="003F1765" w:rsidRPr="003F1765" w:rsidRDefault="003F1765" w:rsidP="003F1765">
      <w:pPr>
        <w:widowControl w:val="0"/>
        <w:spacing w:before="120" w:after="120" w:line="240" w:lineRule="auto"/>
        <w:ind w:left="426"/>
        <w:jc w:val="both"/>
        <w:rPr>
          <w:rFonts w:ascii="Times New Roman" w:eastAsia="Times New Roman" w:hAnsi="Times New Roman" w:cs="Times New Roman"/>
          <w:b/>
          <w:lang w:val="en-GB"/>
        </w:rPr>
      </w:pPr>
      <w:r w:rsidRPr="003F1765">
        <w:rPr>
          <w:rFonts w:ascii="Times New Roman" w:eastAsia="Times New Roman" w:hAnsi="Times New Roman" w:cs="Times New Roman"/>
          <w:b/>
          <w:lang w:val="en-GB"/>
        </w:rPr>
        <w:t xml:space="preserve">Autonomy and responsibility: </w:t>
      </w:r>
    </w:p>
    <w:p w:rsidR="003F1765" w:rsidRPr="003F1765" w:rsidRDefault="003F1765"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3F1765">
        <w:rPr>
          <w:rFonts w:ascii="Times New Roman" w:eastAsia="Calibri" w:hAnsi="Times New Roman" w:cs="Times New Roman"/>
        </w:rPr>
        <w:t>He/She is able to make decisions independently in the processes arising in the field of military transportation, and to implement them with responsibility and within the legal framework.</w:t>
      </w:r>
    </w:p>
    <w:p w:rsidR="003F1765" w:rsidRPr="003F1765" w:rsidRDefault="003F1765"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3F1765">
        <w:rPr>
          <w:rFonts w:ascii="Times New Roman" w:eastAsia="Calibri" w:hAnsi="Times New Roman" w:cs="Times New Roman"/>
        </w:rPr>
        <w:t>He/She is aware of the effects and consequences of his decisions and activities on the military logistic processes as a whole.</w:t>
      </w:r>
    </w:p>
    <w:p w:rsidR="003F1765" w:rsidRPr="003F1765" w:rsidRDefault="003F1765"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3F1765">
        <w:rPr>
          <w:rFonts w:ascii="Times New Roman" w:eastAsia="Calibri" w:hAnsi="Times New Roman" w:cs="Times New Roman"/>
        </w:rPr>
        <w:t xml:space="preserve">During his/her professional duties, he/she is willing to responsibly cooperate with specialists of other areas. </w:t>
      </w:r>
    </w:p>
    <w:p w:rsidR="003F1765" w:rsidRPr="003F1765" w:rsidRDefault="003F1765"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3F1765">
        <w:rPr>
          <w:rFonts w:ascii="Times New Roman" w:eastAsia="Calibri" w:hAnsi="Times New Roman" w:cs="Times New Roman"/>
        </w:rPr>
        <w:t>He/She can identify the deficiencies and risks in the applied technologies and initiates taking measures to reduce their impact.</w:t>
      </w:r>
    </w:p>
    <w:p w:rsidR="003F1765" w:rsidRPr="003F1765" w:rsidRDefault="003F1765"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3F1765">
        <w:rPr>
          <w:rFonts w:ascii="Times New Roman" w:eastAsia="Calibri" w:hAnsi="Times New Roman" w:cs="Times New Roman"/>
        </w:rPr>
        <w:t>Under the guidance of his/her commander, he/she controls the work of the personnel under his/her command and supervises the planning, organization and implementation of the transport and transportation processes, and also the operation of the technical equipment used in military transportation.</w:t>
      </w:r>
    </w:p>
    <w:p w:rsidR="003F1765" w:rsidRPr="003F1765" w:rsidRDefault="003F1765"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3F1765">
        <w:rPr>
          <w:rFonts w:ascii="Times New Roman" w:eastAsia="Calibri" w:hAnsi="Times New Roman" w:cs="Times New Roman"/>
        </w:rPr>
        <w:t>He/She continuously evaluates the efficiency and effectiveness of his/her subordinates' work.</w:t>
      </w:r>
    </w:p>
    <w:p w:rsidR="003F1765" w:rsidRPr="003F1765" w:rsidRDefault="003F1765" w:rsidP="00980876">
      <w:pPr>
        <w:widowControl w:val="0"/>
        <w:numPr>
          <w:ilvl w:val="0"/>
          <w:numId w:val="530"/>
        </w:numPr>
        <w:tabs>
          <w:tab w:val="num" w:pos="567"/>
        </w:tabs>
        <w:spacing w:before="120" w:after="120" w:line="240" w:lineRule="auto"/>
        <w:ind w:left="426" w:hanging="142"/>
        <w:jc w:val="both"/>
        <w:rPr>
          <w:rFonts w:ascii="Times New Roman" w:eastAsia="Times New Roman" w:hAnsi="Times New Roman" w:cs="Times New Roman"/>
          <w:bCs/>
        </w:rPr>
      </w:pPr>
      <w:r w:rsidRPr="003F1765">
        <w:rPr>
          <w:rFonts w:ascii="Times New Roman" w:eastAsia="Times New Roman" w:hAnsi="Times New Roman" w:cs="Times New Roman"/>
          <w:b/>
          <w:bCs/>
        </w:rPr>
        <w:t xml:space="preserve">Előtanulmányi követelmények: </w:t>
      </w:r>
      <w:r w:rsidRPr="003F1765">
        <w:rPr>
          <w:rFonts w:ascii="Times New Roman" w:eastAsia="Calibri" w:hAnsi="Times New Roman" w:cs="Calibri"/>
        </w:rPr>
        <w:t>Nincs</w:t>
      </w:r>
    </w:p>
    <w:p w:rsidR="003F1765" w:rsidRPr="003F1765" w:rsidRDefault="003F1765" w:rsidP="00980876">
      <w:pPr>
        <w:widowControl w:val="0"/>
        <w:numPr>
          <w:ilvl w:val="0"/>
          <w:numId w:val="530"/>
        </w:numPr>
        <w:tabs>
          <w:tab w:val="clear" w:pos="720"/>
        </w:tabs>
        <w:spacing w:before="120" w:after="120" w:line="240" w:lineRule="auto"/>
        <w:ind w:left="426" w:hanging="142"/>
        <w:jc w:val="both"/>
        <w:rPr>
          <w:rFonts w:ascii="Times New Roman" w:eastAsia="Times New Roman" w:hAnsi="Times New Roman" w:cs="Times New Roman"/>
          <w:b/>
          <w:bCs/>
        </w:rPr>
      </w:pPr>
      <w:r w:rsidRPr="003F1765">
        <w:rPr>
          <w:rFonts w:ascii="Times New Roman" w:eastAsia="Times New Roman" w:hAnsi="Times New Roman" w:cs="Times New Roman"/>
          <w:b/>
          <w:bCs/>
        </w:rPr>
        <w:t>A tantárgy tananyagának leírása, tematika. Description of the subject, curriculum (magyarul, angolul - English):</w:t>
      </w:r>
    </w:p>
    <w:p w:rsidR="003F1765" w:rsidRPr="003D34C5" w:rsidRDefault="003F1765" w:rsidP="00980876">
      <w:pPr>
        <w:numPr>
          <w:ilvl w:val="1"/>
          <w:numId w:val="530"/>
        </w:numPr>
        <w:tabs>
          <w:tab w:val="clear" w:pos="3977"/>
        </w:tabs>
        <w:spacing w:before="60" w:after="0" w:line="240" w:lineRule="auto"/>
        <w:ind w:left="1276"/>
        <w:jc w:val="both"/>
        <w:rPr>
          <w:rFonts w:ascii="Times New Roman" w:eastAsia="Calibri" w:hAnsi="Times New Roman" w:cs="Calibri"/>
          <w:i/>
        </w:rPr>
      </w:pPr>
      <w:r w:rsidRPr="003F1765">
        <w:rPr>
          <w:rFonts w:ascii="Times New Roman" w:eastAsia="Calibri" w:hAnsi="Times New Roman" w:cs="Calibri"/>
        </w:rPr>
        <w:t xml:space="preserve">Közlekedésbiztonság alakulása Magyarországon. </w:t>
      </w:r>
      <w:r w:rsidRPr="003D34C5">
        <w:rPr>
          <w:rFonts w:ascii="Times New Roman" w:eastAsia="Calibri" w:hAnsi="Times New Roman" w:cs="Calibri"/>
          <w:i/>
        </w:rPr>
        <w:t>(</w:t>
      </w:r>
      <w:r w:rsidRPr="003D34C5">
        <w:rPr>
          <w:rFonts w:ascii="Times New Roman" w:eastAsia="Calibri" w:hAnsi="Times New Roman" w:cs="Calibri"/>
          <w:i/>
          <w:lang w:val="en"/>
        </w:rPr>
        <w:t>Evolution of road safety in Hungary.)</w:t>
      </w:r>
    </w:p>
    <w:p w:rsidR="003F1765" w:rsidRPr="003D34C5" w:rsidRDefault="003F1765" w:rsidP="00980876">
      <w:pPr>
        <w:numPr>
          <w:ilvl w:val="1"/>
          <w:numId w:val="530"/>
        </w:numPr>
        <w:tabs>
          <w:tab w:val="clear" w:pos="3977"/>
        </w:tabs>
        <w:spacing w:before="60" w:after="0" w:line="240" w:lineRule="auto"/>
        <w:ind w:left="1276"/>
        <w:jc w:val="both"/>
        <w:rPr>
          <w:rFonts w:ascii="Times New Roman" w:eastAsia="Calibri" w:hAnsi="Times New Roman" w:cs="Calibri"/>
          <w:i/>
          <w:lang w:val="en"/>
        </w:rPr>
      </w:pPr>
      <w:r w:rsidRPr="003F1765">
        <w:rPr>
          <w:rFonts w:ascii="Times New Roman" w:eastAsia="Calibri" w:hAnsi="Times New Roman" w:cs="Calibri"/>
        </w:rPr>
        <w:t xml:space="preserve">A közlekedésbiztonság mérése, elemzése. </w:t>
      </w:r>
      <w:r w:rsidRPr="003D34C5">
        <w:rPr>
          <w:rFonts w:ascii="Times New Roman" w:eastAsia="Calibri" w:hAnsi="Times New Roman" w:cs="Calibri"/>
          <w:i/>
          <w:lang w:val="en"/>
        </w:rPr>
        <w:t>(Measuring and analyzing traffic safety.)</w:t>
      </w:r>
    </w:p>
    <w:p w:rsidR="003F1765" w:rsidRPr="003D34C5" w:rsidRDefault="003F1765" w:rsidP="00980876">
      <w:pPr>
        <w:numPr>
          <w:ilvl w:val="1"/>
          <w:numId w:val="530"/>
        </w:numPr>
        <w:tabs>
          <w:tab w:val="clear" w:pos="3977"/>
        </w:tabs>
        <w:spacing w:before="60" w:after="0" w:line="240" w:lineRule="auto"/>
        <w:ind w:left="1276"/>
        <w:jc w:val="both"/>
        <w:rPr>
          <w:rFonts w:ascii="Times New Roman" w:eastAsia="Calibri" w:hAnsi="Times New Roman" w:cs="Calibri"/>
          <w:i/>
          <w:lang w:val="en"/>
        </w:rPr>
      </w:pPr>
      <w:r w:rsidRPr="003F1765">
        <w:rPr>
          <w:rFonts w:ascii="Times New Roman" w:eastAsia="Calibri" w:hAnsi="Times New Roman" w:cs="Calibri"/>
        </w:rPr>
        <w:t xml:space="preserve">Járművek aktív és passzív biztonsági rendszerei. </w:t>
      </w:r>
      <w:r w:rsidRPr="003D34C5">
        <w:rPr>
          <w:rFonts w:ascii="Times New Roman" w:eastAsia="Calibri" w:hAnsi="Times New Roman" w:cs="Calibri"/>
          <w:i/>
          <w:lang w:val="en"/>
        </w:rPr>
        <w:t>(Vehicle active and passive safety systems.)</w:t>
      </w:r>
    </w:p>
    <w:p w:rsidR="003F1765" w:rsidRPr="003D34C5" w:rsidRDefault="003F1765" w:rsidP="00980876">
      <w:pPr>
        <w:numPr>
          <w:ilvl w:val="1"/>
          <w:numId w:val="530"/>
        </w:numPr>
        <w:tabs>
          <w:tab w:val="clear" w:pos="3977"/>
        </w:tabs>
        <w:spacing w:before="60" w:after="0" w:line="240" w:lineRule="auto"/>
        <w:ind w:left="1276"/>
        <w:jc w:val="both"/>
        <w:rPr>
          <w:rFonts w:ascii="Times New Roman" w:eastAsia="Calibri" w:hAnsi="Times New Roman" w:cs="Calibri"/>
          <w:i/>
          <w:lang w:val="en"/>
        </w:rPr>
      </w:pPr>
      <w:r w:rsidRPr="003F1765">
        <w:rPr>
          <w:rFonts w:ascii="Times New Roman" w:eastAsia="Calibri" w:hAnsi="Times New Roman" w:cs="Calibri"/>
        </w:rPr>
        <w:t xml:space="preserve">Az intelligens járműrendszerek szerepe a közlekedésbiztonságban. </w:t>
      </w:r>
      <w:r w:rsidRPr="003D34C5">
        <w:rPr>
          <w:rFonts w:ascii="Times New Roman" w:eastAsia="Calibri" w:hAnsi="Times New Roman" w:cs="Calibri"/>
          <w:i/>
          <w:lang w:val="en"/>
        </w:rPr>
        <w:t>(The role of intelligent vehicle systems in road safety.)</w:t>
      </w:r>
    </w:p>
    <w:p w:rsidR="003F1765" w:rsidRPr="003D34C5" w:rsidRDefault="003F1765" w:rsidP="00980876">
      <w:pPr>
        <w:numPr>
          <w:ilvl w:val="1"/>
          <w:numId w:val="530"/>
        </w:numPr>
        <w:tabs>
          <w:tab w:val="clear" w:pos="3977"/>
        </w:tabs>
        <w:spacing w:before="60" w:after="0" w:line="240" w:lineRule="auto"/>
        <w:ind w:left="1276"/>
        <w:jc w:val="both"/>
        <w:rPr>
          <w:rFonts w:ascii="Times New Roman" w:eastAsia="Calibri" w:hAnsi="Times New Roman" w:cs="Calibri"/>
          <w:i/>
          <w:lang w:val="en"/>
        </w:rPr>
      </w:pPr>
      <w:r w:rsidRPr="003F1765">
        <w:rPr>
          <w:rFonts w:ascii="Times New Roman" w:eastAsia="Calibri" w:hAnsi="Times New Roman" w:cs="Calibri"/>
        </w:rPr>
        <w:t xml:space="preserve">Közlekedési infrastruktúra biztonsága. </w:t>
      </w:r>
      <w:r w:rsidRPr="003D34C5">
        <w:rPr>
          <w:rFonts w:ascii="Times New Roman" w:eastAsia="Calibri" w:hAnsi="Times New Roman" w:cs="Calibri"/>
          <w:i/>
          <w:lang w:val="en"/>
        </w:rPr>
        <w:t>(Security of transport infrastructure.)</w:t>
      </w:r>
    </w:p>
    <w:p w:rsidR="003F1765" w:rsidRPr="003F1765" w:rsidRDefault="003F1765" w:rsidP="00980876">
      <w:pPr>
        <w:numPr>
          <w:ilvl w:val="1"/>
          <w:numId w:val="530"/>
        </w:numPr>
        <w:tabs>
          <w:tab w:val="clear" w:pos="3977"/>
        </w:tabs>
        <w:spacing w:before="60" w:after="0" w:line="240" w:lineRule="auto"/>
        <w:ind w:left="1276"/>
        <w:jc w:val="both"/>
        <w:rPr>
          <w:rFonts w:ascii="Times New Roman" w:eastAsia="Calibri" w:hAnsi="Times New Roman" w:cs="Calibri"/>
        </w:rPr>
      </w:pPr>
      <w:r w:rsidRPr="003F1765">
        <w:rPr>
          <w:rFonts w:ascii="Times New Roman" w:eastAsia="Calibri" w:hAnsi="Times New Roman" w:cs="Calibri"/>
        </w:rPr>
        <w:t xml:space="preserve">Kerékpárosok, gyalogosok védelme. </w:t>
      </w:r>
      <w:r w:rsidRPr="003D34C5">
        <w:rPr>
          <w:rFonts w:ascii="Times New Roman" w:eastAsia="Calibri" w:hAnsi="Times New Roman" w:cs="Calibri"/>
          <w:i/>
          <w:lang w:val="en"/>
        </w:rPr>
        <w:t>(Protecting cyclists and pedestrians.)</w:t>
      </w:r>
    </w:p>
    <w:p w:rsidR="003F1765" w:rsidRPr="003D34C5" w:rsidRDefault="003F1765" w:rsidP="00980876">
      <w:pPr>
        <w:numPr>
          <w:ilvl w:val="1"/>
          <w:numId w:val="530"/>
        </w:numPr>
        <w:tabs>
          <w:tab w:val="clear" w:pos="3977"/>
        </w:tabs>
        <w:spacing w:before="60" w:after="0" w:line="240" w:lineRule="auto"/>
        <w:ind w:left="1276"/>
        <w:jc w:val="both"/>
        <w:rPr>
          <w:rFonts w:ascii="Times New Roman" w:eastAsia="Calibri" w:hAnsi="Times New Roman" w:cs="Calibri"/>
          <w:i/>
          <w:lang w:val="en"/>
        </w:rPr>
      </w:pPr>
      <w:r w:rsidRPr="003F1765">
        <w:rPr>
          <w:rFonts w:ascii="Times New Roman" w:eastAsia="Calibri" w:hAnsi="Times New Roman" w:cs="Calibri"/>
        </w:rPr>
        <w:t xml:space="preserve">Az ember és közlekedésbiztonság kapcsolatrendszere. </w:t>
      </w:r>
      <w:r w:rsidRPr="003D34C5">
        <w:rPr>
          <w:rFonts w:ascii="Times New Roman" w:eastAsia="Calibri" w:hAnsi="Times New Roman" w:cs="Calibri"/>
          <w:i/>
          <w:lang w:val="en"/>
        </w:rPr>
        <w:t>(Relationship between man and road safety.)</w:t>
      </w:r>
    </w:p>
    <w:p w:rsidR="003F1765" w:rsidRPr="003F1765" w:rsidRDefault="003F1765" w:rsidP="00980876">
      <w:pPr>
        <w:widowControl w:val="0"/>
        <w:numPr>
          <w:ilvl w:val="0"/>
          <w:numId w:val="530"/>
        </w:numPr>
        <w:tabs>
          <w:tab w:val="num" w:pos="360"/>
        </w:tabs>
        <w:spacing w:before="120" w:after="120" w:line="240" w:lineRule="auto"/>
        <w:ind w:left="426" w:hanging="142"/>
        <w:jc w:val="both"/>
        <w:rPr>
          <w:rFonts w:ascii="Times New Roman" w:eastAsia="Times New Roman" w:hAnsi="Times New Roman" w:cs="Times New Roman"/>
          <w:bCs/>
        </w:rPr>
      </w:pPr>
      <w:r w:rsidRPr="003F1765">
        <w:rPr>
          <w:rFonts w:ascii="Times New Roman" w:eastAsia="Times New Roman" w:hAnsi="Times New Roman" w:cs="Times New Roman"/>
          <w:b/>
          <w:bCs/>
        </w:rPr>
        <w:t xml:space="preserve">A tantárgy meghirdetésének gyakorisága/a tantervben történő félévi elhelyezkedése: </w:t>
      </w:r>
      <w:r w:rsidRPr="003F1765">
        <w:rPr>
          <w:rFonts w:ascii="Times New Roman" w:eastAsia="Times New Roman" w:hAnsi="Times New Roman" w:cs="Times New Roman"/>
          <w:bCs/>
        </w:rPr>
        <w:t>5. félév</w:t>
      </w:r>
    </w:p>
    <w:p w:rsidR="003F1765" w:rsidRPr="003F1765" w:rsidRDefault="003F1765" w:rsidP="00980876">
      <w:pPr>
        <w:widowControl w:val="0"/>
        <w:numPr>
          <w:ilvl w:val="0"/>
          <w:numId w:val="530"/>
        </w:numPr>
        <w:tabs>
          <w:tab w:val="num" w:pos="360"/>
        </w:tabs>
        <w:spacing w:before="120" w:after="120" w:line="240" w:lineRule="auto"/>
        <w:ind w:left="426" w:hanging="142"/>
        <w:jc w:val="both"/>
        <w:rPr>
          <w:rFonts w:ascii="Times New Roman" w:eastAsia="Times New Roman" w:hAnsi="Times New Roman" w:cs="Times New Roman"/>
          <w:bCs/>
        </w:rPr>
      </w:pPr>
      <w:r w:rsidRPr="003F1765">
        <w:rPr>
          <w:rFonts w:ascii="Times New Roman" w:eastAsia="Times New Roman" w:hAnsi="Times New Roman" w:cs="Times New Roman"/>
          <w:b/>
          <w:bCs/>
        </w:rPr>
        <w:t>A tanórákon való részvétel követelményei, az elfogadható hiányzások mértéke, a távolmaradás pótlásának lehetősége:</w:t>
      </w:r>
      <w:r w:rsidRPr="003F1765">
        <w:rPr>
          <w:rFonts w:ascii="Times New Roman" w:eastAsia="Times New Roman" w:hAnsi="Times New Roman" w:cs="Times New Roman"/>
          <w:bCs/>
        </w:rPr>
        <w:t xml:space="preserve"> </w:t>
      </w:r>
    </w:p>
    <w:p w:rsidR="003F1765" w:rsidRPr="003F1765" w:rsidRDefault="003D34C5" w:rsidP="003F1765">
      <w:pPr>
        <w:widowControl w:val="0"/>
        <w:spacing w:before="120" w:after="120" w:line="240" w:lineRule="auto"/>
        <w:ind w:left="426"/>
        <w:jc w:val="both"/>
        <w:rPr>
          <w:rFonts w:ascii="Times New Roman" w:eastAsia="Times New Roman" w:hAnsi="Times New Roman" w:cs="Times New Roman"/>
          <w:bCs/>
          <w:highlight w:val="lightGray"/>
        </w:rPr>
      </w:pPr>
      <w:r w:rsidRPr="003D34C5">
        <w:rPr>
          <w:rFonts w:ascii="Times New Roman" w:eastAsia="Times New Roman" w:hAnsi="Times New Roman" w:cs="Times New Roman"/>
          <w:bCs/>
          <w:sz w:val="24"/>
          <w:szCs w:val="24"/>
          <w:lang w:eastAsia="hu-HU"/>
        </w:rPr>
        <w:t>A tanórán a részvétel kötelező, a hallgató hiányzása a tanegység óraszámának 2</w:t>
      </w:r>
      <w:r>
        <w:rPr>
          <w:rFonts w:ascii="Times New Roman" w:eastAsia="Times New Roman" w:hAnsi="Times New Roman" w:cs="Times New Roman"/>
          <w:bCs/>
          <w:sz w:val="24"/>
          <w:szCs w:val="24"/>
          <w:lang w:eastAsia="hu-HU"/>
        </w:rPr>
        <w:t>5</w:t>
      </w:r>
      <w:r w:rsidRPr="003D34C5">
        <w:rPr>
          <w:rFonts w:ascii="Times New Roman" w:eastAsia="Times New Roman" w:hAnsi="Times New Roman" w:cs="Times New Roman"/>
          <w:bCs/>
          <w:sz w:val="24"/>
          <w:szCs w:val="24"/>
          <w:lang w:eastAsia="hu-HU"/>
        </w:rPr>
        <w:t>%-át nem haladhatja meg. A hallgató köteles az előadás és a gyakorlat anyagát beszerezni, abból önállóan felkészülni.</w:t>
      </w:r>
      <w:r w:rsidR="003F1765" w:rsidRPr="003F1765">
        <w:rPr>
          <w:rFonts w:ascii="Times New Roman" w:eastAsia="Times New Roman" w:hAnsi="Times New Roman" w:cs="Times New Roman"/>
          <w:bCs/>
          <w:sz w:val="24"/>
          <w:szCs w:val="24"/>
          <w:lang w:eastAsia="hu-HU"/>
        </w:rPr>
        <w:t xml:space="preserve"> A 25%-ot meghaladó hiányzás az aláírás megtagadását vonja maga után.</w:t>
      </w:r>
    </w:p>
    <w:p w:rsidR="003F1765" w:rsidRPr="003F1765" w:rsidRDefault="003F1765" w:rsidP="00980876">
      <w:pPr>
        <w:widowControl w:val="0"/>
        <w:numPr>
          <w:ilvl w:val="0"/>
          <w:numId w:val="530"/>
        </w:numPr>
        <w:tabs>
          <w:tab w:val="num" w:pos="360"/>
        </w:tabs>
        <w:spacing w:before="120" w:after="120" w:line="240" w:lineRule="auto"/>
        <w:ind w:left="426" w:hanging="142"/>
        <w:jc w:val="both"/>
        <w:rPr>
          <w:rFonts w:ascii="Times New Roman" w:eastAsia="Times New Roman" w:hAnsi="Times New Roman" w:cs="Times New Roman"/>
          <w:bCs/>
        </w:rPr>
      </w:pPr>
      <w:r w:rsidRPr="003F1765">
        <w:rPr>
          <w:rFonts w:ascii="Times New Roman" w:eastAsia="Times New Roman" w:hAnsi="Times New Roman" w:cs="Times New Roman"/>
          <w:b/>
        </w:rPr>
        <w:t>Félévközi feladatok, ismeretek ellenőrzésének rendje:</w:t>
      </w:r>
      <w:r w:rsidRPr="003F1765">
        <w:rPr>
          <w:rFonts w:ascii="Times New Roman" w:eastAsia="Times New Roman" w:hAnsi="Times New Roman" w:cs="Times New Roman"/>
          <w:bCs/>
        </w:rPr>
        <w:t xml:space="preserve"> </w:t>
      </w:r>
    </w:p>
    <w:p w:rsidR="003F1765" w:rsidRPr="003F1765" w:rsidRDefault="003F1765" w:rsidP="003F1765">
      <w:pPr>
        <w:widowControl w:val="0"/>
        <w:spacing w:before="120" w:after="120" w:line="240" w:lineRule="auto"/>
        <w:ind w:left="426"/>
        <w:jc w:val="both"/>
        <w:rPr>
          <w:rFonts w:ascii="Times New Roman" w:eastAsia="Calibri" w:hAnsi="Times New Roman" w:cs="Calibri"/>
          <w:lang w:val="x-none" w:eastAsia="x-none"/>
        </w:rPr>
      </w:pPr>
      <w:r w:rsidRPr="003F1765">
        <w:rPr>
          <w:rFonts w:ascii="Times New Roman" w:eastAsia="Calibri" w:hAnsi="Times New Roman" w:cs="Calibri"/>
          <w:lang w:val="x-none" w:eastAsia="x-none"/>
        </w:rPr>
        <w:t xml:space="preserve">A félév során </w:t>
      </w:r>
      <w:r w:rsidRPr="003F1765">
        <w:rPr>
          <w:rFonts w:ascii="Times New Roman" w:eastAsia="Calibri" w:hAnsi="Times New Roman" w:cs="Calibri"/>
          <w:lang w:eastAsia="x-none"/>
        </w:rPr>
        <w:t>egy</w:t>
      </w:r>
      <w:r w:rsidRPr="003F1765">
        <w:rPr>
          <w:rFonts w:ascii="Times New Roman" w:eastAsia="Calibri" w:hAnsi="Times New Roman" w:cs="Calibri"/>
          <w:lang w:val="x-none" w:eastAsia="x-none"/>
        </w:rPr>
        <w:t xml:space="preserve"> házi feladatot kell elkészíteni minimálisan 10 oldal</w:t>
      </w:r>
      <w:r w:rsidRPr="003F1765">
        <w:rPr>
          <w:rFonts w:ascii="Times New Roman" w:eastAsia="Calibri" w:hAnsi="Times New Roman" w:cs="Calibri"/>
          <w:b/>
          <w:lang w:val="x-none" w:eastAsia="x-none"/>
        </w:rPr>
        <w:t xml:space="preserve"> </w:t>
      </w:r>
      <w:r w:rsidRPr="003F1765">
        <w:rPr>
          <w:rFonts w:ascii="Times New Roman" w:eastAsia="Calibri" w:hAnsi="Times New Roman" w:cs="Calibri"/>
          <w:lang w:val="x-none" w:eastAsia="x-none"/>
        </w:rPr>
        <w:t>terjedelemben, a szakdolgozatnak megfelelő formai követelményekkel</w:t>
      </w:r>
      <w:r w:rsidRPr="003F1765">
        <w:rPr>
          <w:rFonts w:ascii="Times New Roman" w:eastAsia="Calibri" w:hAnsi="Times New Roman" w:cs="Calibri"/>
          <w:lang w:eastAsia="x-none"/>
        </w:rPr>
        <w:t xml:space="preserve"> </w:t>
      </w:r>
      <w:r w:rsidRPr="003F1765">
        <w:rPr>
          <w:rFonts w:ascii="Times New Roman" w:eastAsia="Calibri" w:hAnsi="Times New Roman" w:cs="Calibri"/>
        </w:rPr>
        <w:t>(TVSZ 5. melléklet)</w:t>
      </w:r>
      <w:r w:rsidRPr="003F1765">
        <w:rPr>
          <w:rFonts w:ascii="Times New Roman" w:eastAsia="Calibri" w:hAnsi="Times New Roman" w:cs="Calibri"/>
          <w:lang w:val="x-none" w:eastAsia="x-none"/>
        </w:rPr>
        <w:t xml:space="preserve">. </w:t>
      </w:r>
      <w:r w:rsidRPr="003F1765">
        <w:rPr>
          <w:rFonts w:ascii="Times New Roman" w:eastAsia="Calibri" w:hAnsi="Times New Roman" w:cs="Calibri"/>
          <w:lang w:eastAsia="x-none"/>
        </w:rPr>
        <w:t xml:space="preserve">A 10 oldal terjedelembe a bevezető, a fő rész és a befejezés tartozik csak. </w:t>
      </w:r>
      <w:r w:rsidRPr="003F1765">
        <w:rPr>
          <w:rFonts w:ascii="Times New Roman" w:eastAsia="Calibri" w:hAnsi="Times New Roman" w:cs="Calibri"/>
          <w:lang w:val="x-none" w:eastAsia="x-none"/>
        </w:rPr>
        <w:t>Az írásbeli munka témáját a hallgató választja</w:t>
      </w:r>
      <w:r w:rsidRPr="003F1765">
        <w:rPr>
          <w:rFonts w:ascii="Times New Roman" w:eastAsia="Calibri" w:hAnsi="Times New Roman" w:cs="Calibri"/>
          <w:lang w:eastAsia="x-none"/>
        </w:rPr>
        <w:t>,</w:t>
      </w:r>
      <w:r w:rsidRPr="003F1765">
        <w:rPr>
          <w:rFonts w:ascii="Times New Roman" w:eastAsia="Calibri" w:hAnsi="Times New Roman" w:cs="Calibri"/>
          <w:lang w:val="x-none" w:eastAsia="x-none"/>
        </w:rPr>
        <w:t xml:space="preserve"> a kurzus oktatója </w:t>
      </w:r>
      <w:r w:rsidRPr="003F1765">
        <w:rPr>
          <w:rFonts w:ascii="Times New Roman" w:eastAsia="Calibri" w:hAnsi="Times New Roman" w:cs="Calibri"/>
          <w:lang w:eastAsia="x-none"/>
        </w:rPr>
        <w:t>jóváhagyja</w:t>
      </w:r>
      <w:r w:rsidRPr="003F1765">
        <w:rPr>
          <w:rFonts w:ascii="Times New Roman" w:eastAsia="Calibri" w:hAnsi="Times New Roman" w:cs="Calibri"/>
          <w:lang w:val="x-none" w:eastAsia="x-none"/>
        </w:rPr>
        <w:t xml:space="preserve">. A szorgalmi időszakban a beadási határidőig leadott feladat </w:t>
      </w:r>
      <w:r w:rsidRPr="003F1765">
        <w:rPr>
          <w:rFonts w:ascii="Times New Roman" w:eastAsia="Calibri" w:hAnsi="Times New Roman" w:cs="Calibri"/>
          <w:lang w:eastAsia="x-none"/>
        </w:rPr>
        <w:t>ötfokozatú skálán értékelendő</w:t>
      </w:r>
      <w:r w:rsidRPr="003F1765">
        <w:rPr>
          <w:rFonts w:ascii="Times New Roman" w:eastAsia="Calibri" w:hAnsi="Times New Roman" w:cs="Calibri"/>
          <w:lang w:val="x-none" w:eastAsia="x-none"/>
        </w:rPr>
        <w:t>, azt javítani a vizsgaidőszak első hetén egy alkalommal lehet.</w:t>
      </w:r>
    </w:p>
    <w:p w:rsidR="003F1765" w:rsidRPr="003F1765" w:rsidRDefault="003F1765" w:rsidP="003F1765">
      <w:pPr>
        <w:widowControl w:val="0"/>
        <w:spacing w:before="120" w:after="120" w:line="240" w:lineRule="auto"/>
        <w:ind w:left="426"/>
        <w:jc w:val="both"/>
        <w:rPr>
          <w:rFonts w:ascii="Calibri" w:eastAsia="Times New Roman" w:hAnsi="Calibri" w:cs="Times New Roman"/>
          <w:lang w:eastAsia="x-none"/>
        </w:rPr>
      </w:pPr>
      <w:r w:rsidRPr="003F1765">
        <w:rPr>
          <w:rFonts w:ascii="Times New Roman" w:eastAsia="Calibri" w:hAnsi="Times New Roman" w:cs="Calibri"/>
        </w:rPr>
        <w:t xml:space="preserve">A félév során a hallgatónak egy előadást kell megtartania a hallgató által választott, az oktató által </w:t>
      </w:r>
      <w:r w:rsidRPr="003F1765">
        <w:rPr>
          <w:rFonts w:ascii="Times New Roman" w:eastAsia="Calibri" w:hAnsi="Times New Roman" w:cs="Calibri"/>
        </w:rPr>
        <w:lastRenderedPageBreak/>
        <w:t>jóváhagyott témában és az általa meghatározott időpontban. Az előadás hossza kb. 25-30 perc, amelyet az oktató érdemjeggyel (öt fokozatú értékelés) értékel. Az elmaradt kiselőadást pótolni csak a hallgató igazolt távolmaradása esetén lehet egy alkalommal az oktató által kijelölt új időpontban, ami nem eshet a szorgalmi időszakon kívülre</w:t>
      </w:r>
      <w:r w:rsidRPr="003F1765">
        <w:rPr>
          <w:rFonts w:ascii="Times New Roman" w:eastAsia="Calibri" w:hAnsi="Times New Roman" w:cs="Times New Roman"/>
        </w:rPr>
        <w:t>.</w:t>
      </w:r>
      <w:r w:rsidRPr="003F1765">
        <w:rPr>
          <w:rFonts w:ascii="Times New Roman" w:eastAsia="Times New Roman" w:hAnsi="Times New Roman" w:cs="Times New Roman"/>
          <w:lang w:eastAsia="x-none"/>
        </w:rPr>
        <w:t xml:space="preserve"> A nem megfelelő színvonalon megtartott előadás nem pótolható.</w:t>
      </w:r>
    </w:p>
    <w:p w:rsidR="003F1765" w:rsidRPr="003F1765" w:rsidRDefault="003F1765" w:rsidP="00980876">
      <w:pPr>
        <w:widowControl w:val="0"/>
        <w:numPr>
          <w:ilvl w:val="0"/>
          <w:numId w:val="530"/>
        </w:numPr>
        <w:spacing w:before="120" w:after="120" w:line="240" w:lineRule="auto"/>
        <w:ind w:left="426" w:hanging="142"/>
        <w:jc w:val="both"/>
        <w:rPr>
          <w:rFonts w:ascii="Times New Roman" w:eastAsia="Times New Roman" w:hAnsi="Times New Roman" w:cs="Times New Roman"/>
          <w:b/>
          <w:bCs/>
        </w:rPr>
      </w:pPr>
      <w:r w:rsidRPr="003F1765">
        <w:rPr>
          <w:rFonts w:ascii="Times New Roman" w:eastAsia="Times New Roman" w:hAnsi="Times New Roman" w:cs="Times New Roman"/>
          <w:b/>
          <w:bCs/>
        </w:rPr>
        <w:t xml:space="preserve">Az értékelés, az aláírás és a kreditek megszerzésének pontos feltételei: </w:t>
      </w:r>
    </w:p>
    <w:p w:rsidR="003F1765" w:rsidRPr="003F1765" w:rsidRDefault="003F1765" w:rsidP="00980876">
      <w:pPr>
        <w:widowControl w:val="0"/>
        <w:numPr>
          <w:ilvl w:val="1"/>
          <w:numId w:val="530"/>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3F1765">
        <w:rPr>
          <w:rFonts w:ascii="Times New Roman" w:eastAsia="Times New Roman" w:hAnsi="Times New Roman" w:cs="Times New Roman"/>
          <w:b/>
        </w:rPr>
        <w:t>Az aláírás megszerzésének feltételei:</w:t>
      </w:r>
      <w:r w:rsidRPr="003F1765">
        <w:rPr>
          <w:rFonts w:ascii="Times New Roman" w:eastAsia="Times New Roman" w:hAnsi="Times New Roman" w:cs="Times New Roman"/>
        </w:rPr>
        <w:t xml:space="preserve"> </w:t>
      </w:r>
    </w:p>
    <w:p w:rsidR="003F1765" w:rsidRPr="003F1765" w:rsidRDefault="003F1765" w:rsidP="003F1765">
      <w:pPr>
        <w:spacing w:before="120"/>
        <w:ind w:left="426"/>
        <w:jc w:val="both"/>
        <w:rPr>
          <w:rFonts w:ascii="Times New Roman" w:eastAsia="Calibri" w:hAnsi="Times New Roman" w:cs="Calibri"/>
        </w:rPr>
      </w:pPr>
      <w:r w:rsidRPr="003F1765">
        <w:rPr>
          <w:rFonts w:ascii="Times New Roman" w:eastAsia="Calibri" w:hAnsi="Times New Roman" w:cs="Calibri"/>
        </w:rPr>
        <w:t>Az aláírás megszerzésnek feltétele a beadandó házi feladat legalább elégséges szintű teljesítése, a kiselőadás határidőn belül történő és minimálisan elégséges szintű megtartása, illetve a tanórák legalább 75%-án való megjelenés.</w:t>
      </w:r>
    </w:p>
    <w:p w:rsidR="003F1765" w:rsidRPr="003D34C5" w:rsidRDefault="003F1765" w:rsidP="00980876">
      <w:pPr>
        <w:widowControl w:val="0"/>
        <w:numPr>
          <w:ilvl w:val="1"/>
          <w:numId w:val="530"/>
        </w:numPr>
        <w:tabs>
          <w:tab w:val="left" w:pos="709"/>
          <w:tab w:val="left" w:pos="993"/>
          <w:tab w:val="num" w:pos="2069"/>
        </w:tabs>
        <w:spacing w:before="120" w:after="120" w:line="240" w:lineRule="auto"/>
        <w:ind w:left="426" w:firstLine="0"/>
        <w:jc w:val="both"/>
        <w:rPr>
          <w:rFonts w:ascii="Times New Roman" w:eastAsia="Calibri" w:hAnsi="Times New Roman" w:cs="Times New Roman"/>
          <w:b/>
        </w:rPr>
      </w:pPr>
      <w:r w:rsidRPr="003D34C5">
        <w:rPr>
          <w:rFonts w:ascii="Times New Roman" w:eastAsia="Times New Roman" w:hAnsi="Times New Roman" w:cs="Times New Roman"/>
          <w:b/>
        </w:rPr>
        <w:t>Az értékelés:</w:t>
      </w:r>
      <w:r w:rsidRPr="003D34C5">
        <w:rPr>
          <w:rFonts w:ascii="Times New Roman" w:eastAsia="Times New Roman" w:hAnsi="Times New Roman" w:cs="Times New Roman"/>
        </w:rPr>
        <w:t xml:space="preserve"> </w:t>
      </w:r>
      <w:r w:rsidRPr="003D34C5">
        <w:rPr>
          <w:rFonts w:ascii="Times New Roman" w:eastAsia="Calibri" w:hAnsi="Times New Roman" w:cs="Calibri"/>
        </w:rPr>
        <w:t xml:space="preserve">A tantárgy </w:t>
      </w:r>
      <w:r w:rsidRPr="003D34C5">
        <w:rPr>
          <w:rFonts w:ascii="Times New Roman" w:eastAsia="Calibri" w:hAnsi="Times New Roman" w:cs="Calibri"/>
          <w:b/>
        </w:rPr>
        <w:t>félévközi jeggyel</w:t>
      </w:r>
      <w:r w:rsidRPr="003D34C5">
        <w:rPr>
          <w:rFonts w:ascii="Times New Roman" w:eastAsia="Calibri" w:hAnsi="Times New Roman" w:cs="Calibri"/>
        </w:rPr>
        <w:t xml:space="preserve"> zárul, amely a beadott házi feladatra és az előadásra kapott osztályzat alapján kerül meghatározásra. Kétes jegy esetén (pl. 3,5) a kiselőadás jegyét súlyozottan kell beszámítani. Ha a beadandó feladat pótlás után is elégtelen, vagy a hallgató az előírt időpontban az előadását önhibájából nem tudja megtartani, illetve az előadás színvonala nem megfelelő, akkor a tantárgyat nem teljesítettnek kell tekinteni.</w:t>
      </w:r>
    </w:p>
    <w:p w:rsidR="003F1765" w:rsidRPr="003F1765" w:rsidRDefault="003F1765" w:rsidP="00980876">
      <w:pPr>
        <w:widowControl w:val="0"/>
        <w:numPr>
          <w:ilvl w:val="1"/>
          <w:numId w:val="530"/>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3F1765">
        <w:rPr>
          <w:rFonts w:ascii="Times New Roman" w:eastAsia="Times New Roman" w:hAnsi="Times New Roman" w:cs="Times New Roman"/>
          <w:b/>
        </w:rPr>
        <w:t>A kreditek megszerzésének feltételei:</w:t>
      </w:r>
      <w:r w:rsidRPr="003F1765">
        <w:rPr>
          <w:rFonts w:ascii="Times New Roman" w:eastAsia="Times New Roman" w:hAnsi="Times New Roman" w:cs="Times New Roman"/>
        </w:rPr>
        <w:t xml:space="preserve"> </w:t>
      </w:r>
    </w:p>
    <w:p w:rsidR="003F1765" w:rsidRPr="003F1765" w:rsidRDefault="003F1765" w:rsidP="003F1765">
      <w:pPr>
        <w:widowControl w:val="0"/>
        <w:tabs>
          <w:tab w:val="left" w:pos="993"/>
        </w:tabs>
        <w:spacing w:before="120" w:after="120" w:line="240" w:lineRule="auto"/>
        <w:ind w:left="426"/>
        <w:jc w:val="both"/>
        <w:rPr>
          <w:rFonts w:ascii="Times New Roman" w:eastAsia="Times New Roman" w:hAnsi="Times New Roman" w:cs="Times New Roman"/>
        </w:rPr>
      </w:pPr>
      <w:r w:rsidRPr="003F1765">
        <w:rPr>
          <w:rFonts w:ascii="Times New Roman" w:eastAsia="Times New Roman" w:hAnsi="Times New Roman" w:cs="Times New Roman"/>
        </w:rPr>
        <w:t>A kreditek megszerzésének feltétele az aláírás megszerzése és legalább elégséges félévközi jegy.</w:t>
      </w:r>
    </w:p>
    <w:p w:rsidR="003F1765" w:rsidRPr="003F1765" w:rsidRDefault="003F1765" w:rsidP="00980876">
      <w:pPr>
        <w:widowControl w:val="0"/>
        <w:numPr>
          <w:ilvl w:val="0"/>
          <w:numId w:val="530"/>
        </w:numPr>
        <w:tabs>
          <w:tab w:val="num" w:pos="360"/>
        </w:tabs>
        <w:spacing w:before="120" w:after="120" w:line="240" w:lineRule="auto"/>
        <w:ind w:left="426" w:hanging="142"/>
        <w:jc w:val="both"/>
        <w:rPr>
          <w:rFonts w:ascii="Times New Roman" w:eastAsia="Times New Roman" w:hAnsi="Times New Roman" w:cs="Times New Roman"/>
          <w:bCs/>
        </w:rPr>
      </w:pPr>
      <w:r w:rsidRPr="003F1765">
        <w:rPr>
          <w:rFonts w:ascii="Times New Roman" w:eastAsia="Times New Roman" w:hAnsi="Times New Roman" w:cs="Times New Roman"/>
          <w:b/>
          <w:bCs/>
        </w:rPr>
        <w:t>Irodalomjegyzék:</w:t>
      </w:r>
    </w:p>
    <w:p w:rsidR="003F1765" w:rsidRPr="003F1765" w:rsidRDefault="003F1765" w:rsidP="00980876">
      <w:pPr>
        <w:widowControl w:val="0"/>
        <w:numPr>
          <w:ilvl w:val="1"/>
          <w:numId w:val="530"/>
        </w:numPr>
        <w:tabs>
          <w:tab w:val="left" w:pos="567"/>
          <w:tab w:val="left" w:pos="851"/>
          <w:tab w:val="num" w:pos="2069"/>
        </w:tabs>
        <w:spacing w:before="120" w:after="120" w:line="240" w:lineRule="auto"/>
        <w:ind w:left="426" w:hanging="142"/>
        <w:jc w:val="both"/>
        <w:rPr>
          <w:rFonts w:ascii="Times New Roman" w:eastAsia="Times New Roman" w:hAnsi="Times New Roman" w:cs="Times New Roman"/>
          <w:bCs/>
        </w:rPr>
      </w:pPr>
      <w:r w:rsidRPr="003F1765">
        <w:rPr>
          <w:rFonts w:ascii="Times New Roman" w:eastAsia="Times New Roman" w:hAnsi="Times New Roman" w:cs="Times New Roman"/>
          <w:b/>
          <w:bCs/>
        </w:rPr>
        <w:t>Kötelező irodalom:</w:t>
      </w:r>
    </w:p>
    <w:p w:rsidR="00977418" w:rsidRPr="003F1765" w:rsidRDefault="00977418" w:rsidP="00980876">
      <w:pPr>
        <w:numPr>
          <w:ilvl w:val="0"/>
          <w:numId w:val="799"/>
        </w:numPr>
        <w:spacing w:after="0" w:line="240" w:lineRule="auto"/>
        <w:contextualSpacing/>
        <w:jc w:val="both"/>
        <w:rPr>
          <w:rFonts w:ascii="Times New Roman" w:eastAsia="Calibri" w:hAnsi="Times New Roman" w:cs="Times New Roman"/>
        </w:rPr>
      </w:pPr>
      <w:r w:rsidRPr="003F1765">
        <w:rPr>
          <w:rFonts w:ascii="Times New Roman" w:eastAsia="Calibri" w:hAnsi="Times New Roman" w:cs="Times New Roman"/>
        </w:rPr>
        <w:t>Kőfalusi Pál – Dr. Kőfalvi Gyula: Gépjárművek passzív biztonsága (Maróti-Godai Könyvkiadó Kft., Budapest 2000.)</w:t>
      </w:r>
    </w:p>
    <w:p w:rsidR="003F1765" w:rsidRPr="003F1765" w:rsidRDefault="003F1765" w:rsidP="00980876">
      <w:pPr>
        <w:numPr>
          <w:ilvl w:val="0"/>
          <w:numId w:val="799"/>
        </w:numPr>
        <w:spacing w:after="0" w:line="240" w:lineRule="auto"/>
        <w:contextualSpacing/>
        <w:jc w:val="both"/>
        <w:rPr>
          <w:rFonts w:ascii="Times New Roman" w:eastAsia="Calibri" w:hAnsi="Times New Roman" w:cs="Times New Roman"/>
        </w:rPr>
      </w:pPr>
      <w:r w:rsidRPr="003F1765">
        <w:rPr>
          <w:rFonts w:ascii="Times New Roman" w:eastAsia="Calibri" w:hAnsi="Times New Roman" w:cs="Times New Roman"/>
        </w:rPr>
        <w:t>Dr. Jankó Domonkos: Közúti közlekedésbiztonság (NOVODAT, Győr, 1997.)</w:t>
      </w:r>
    </w:p>
    <w:p w:rsidR="003F1765" w:rsidRPr="003F1765" w:rsidRDefault="003F1765" w:rsidP="00980876">
      <w:pPr>
        <w:widowControl w:val="0"/>
        <w:numPr>
          <w:ilvl w:val="1"/>
          <w:numId w:val="530"/>
        </w:numPr>
        <w:tabs>
          <w:tab w:val="num" w:pos="567"/>
          <w:tab w:val="num" w:pos="2069"/>
        </w:tabs>
        <w:spacing w:before="120" w:after="120" w:line="240" w:lineRule="auto"/>
        <w:ind w:left="993" w:hanging="709"/>
        <w:jc w:val="both"/>
        <w:rPr>
          <w:rFonts w:ascii="Times New Roman" w:eastAsia="Times New Roman" w:hAnsi="Times New Roman" w:cs="Times New Roman"/>
          <w:b/>
          <w:bCs/>
        </w:rPr>
      </w:pPr>
      <w:r w:rsidRPr="003F1765">
        <w:rPr>
          <w:rFonts w:ascii="Times New Roman" w:eastAsia="Times New Roman" w:hAnsi="Times New Roman" w:cs="Times New Roman"/>
          <w:b/>
          <w:bCs/>
        </w:rPr>
        <w:t>Ajánlott irodalom:</w:t>
      </w:r>
    </w:p>
    <w:p w:rsidR="003F1765" w:rsidRPr="003F1765" w:rsidRDefault="003F1765" w:rsidP="00980876">
      <w:pPr>
        <w:numPr>
          <w:ilvl w:val="0"/>
          <w:numId w:val="800"/>
        </w:numPr>
        <w:spacing w:after="0" w:line="240" w:lineRule="auto"/>
        <w:contextualSpacing/>
        <w:jc w:val="both"/>
        <w:rPr>
          <w:rFonts w:ascii="Times New Roman" w:eastAsia="Calibri" w:hAnsi="Times New Roman" w:cs="Times New Roman"/>
        </w:rPr>
      </w:pPr>
      <w:r w:rsidRPr="003F1765">
        <w:rPr>
          <w:rFonts w:ascii="Times New Roman" w:eastAsia="Calibri" w:hAnsi="Times New Roman" w:cs="Times New Roman"/>
        </w:rPr>
        <w:t>Irk Ferenc: Közlekedés-biztonság és bűnözés (KJK Kerszöv, Budapest, 2003.)</w:t>
      </w:r>
    </w:p>
    <w:p w:rsidR="003F1765" w:rsidRPr="003F1765" w:rsidRDefault="003F1765" w:rsidP="003F1765">
      <w:pPr>
        <w:widowControl w:val="0"/>
        <w:spacing w:after="0" w:line="240" w:lineRule="auto"/>
        <w:ind w:left="720"/>
        <w:contextualSpacing/>
        <w:jc w:val="both"/>
        <w:rPr>
          <w:rFonts w:ascii="Times New Roman" w:eastAsia="Times New Roman" w:hAnsi="Times New Roman" w:cs="Times New Roman"/>
          <w:highlight w:val="lightGray"/>
        </w:rPr>
      </w:pPr>
    </w:p>
    <w:p w:rsidR="003F1765" w:rsidRPr="003F1765" w:rsidRDefault="003D34C5" w:rsidP="003D34C5">
      <w:pPr>
        <w:widowControl w:val="0"/>
        <w:spacing w:before="120" w:after="120" w:line="240" w:lineRule="auto"/>
        <w:ind w:firstLine="349"/>
        <w:jc w:val="both"/>
        <w:rPr>
          <w:rFonts w:ascii="Times New Roman" w:eastAsia="Times New Roman" w:hAnsi="Times New Roman" w:cs="Times New Roman"/>
          <w:bCs/>
        </w:rPr>
      </w:pPr>
      <w:r>
        <w:rPr>
          <w:rFonts w:ascii="Times New Roman" w:eastAsia="Times New Roman" w:hAnsi="Times New Roman" w:cs="Times New Roman"/>
          <w:bCs/>
        </w:rPr>
        <w:t>Budapest, 2020. március 30.</w:t>
      </w:r>
    </w:p>
    <w:p w:rsidR="003F1765" w:rsidRPr="003F1765" w:rsidRDefault="003F1765" w:rsidP="003F1765">
      <w:pPr>
        <w:tabs>
          <w:tab w:val="right" w:pos="900"/>
        </w:tabs>
        <w:spacing w:before="120"/>
        <w:ind w:left="1985" w:hanging="1980"/>
        <w:jc w:val="both"/>
        <w:rPr>
          <w:rFonts w:ascii="Times New Roman" w:eastAsia="Calibri" w:hAnsi="Times New Roman" w:cs="Times New Roman"/>
          <w:bCs/>
          <w:lang w:eastAsia="x-none"/>
        </w:rPr>
      </w:pPr>
    </w:p>
    <w:p w:rsidR="003F1765" w:rsidRPr="003F1765" w:rsidRDefault="003F1765" w:rsidP="003F1765">
      <w:pPr>
        <w:tabs>
          <w:tab w:val="right" w:pos="900"/>
        </w:tabs>
        <w:spacing w:after="0"/>
        <w:rPr>
          <w:rFonts w:ascii="Times New Roman" w:eastAsia="Calibri" w:hAnsi="Times New Roman" w:cs="Times New Roman"/>
          <w:bCs/>
          <w:lang w:val="x-none" w:eastAsia="x-none"/>
        </w:rPr>
      </w:pPr>
      <w:r w:rsidRPr="003F1765">
        <w:rPr>
          <w:rFonts w:ascii="Times New Roman" w:eastAsia="Calibri" w:hAnsi="Times New Roman" w:cs="Times New Roman"/>
          <w:b/>
          <w:lang w:eastAsia="x-none"/>
        </w:rPr>
        <w:tab/>
      </w:r>
      <w:r w:rsidRPr="003F1765">
        <w:rPr>
          <w:rFonts w:ascii="Times New Roman" w:eastAsia="Calibri" w:hAnsi="Times New Roman" w:cs="Times New Roman"/>
          <w:b/>
          <w:lang w:eastAsia="x-none"/>
        </w:rPr>
        <w:tab/>
      </w:r>
      <w:r w:rsidRPr="003F1765">
        <w:rPr>
          <w:rFonts w:ascii="Times New Roman" w:eastAsia="Calibri" w:hAnsi="Times New Roman" w:cs="Times New Roman"/>
          <w:b/>
          <w:lang w:eastAsia="x-none"/>
        </w:rPr>
        <w:tab/>
      </w:r>
      <w:r w:rsidRPr="003F1765">
        <w:rPr>
          <w:rFonts w:ascii="Times New Roman" w:eastAsia="Calibri" w:hAnsi="Times New Roman" w:cs="Times New Roman"/>
          <w:b/>
          <w:lang w:eastAsia="x-none"/>
        </w:rPr>
        <w:tab/>
      </w:r>
      <w:r w:rsidRPr="003F1765">
        <w:rPr>
          <w:rFonts w:ascii="Times New Roman" w:eastAsia="Calibri" w:hAnsi="Times New Roman" w:cs="Times New Roman"/>
          <w:b/>
          <w:lang w:eastAsia="x-none"/>
        </w:rPr>
        <w:tab/>
      </w:r>
      <w:r w:rsidRPr="003F1765">
        <w:rPr>
          <w:rFonts w:ascii="Times New Roman" w:eastAsia="Calibri" w:hAnsi="Times New Roman" w:cs="Times New Roman"/>
          <w:b/>
          <w:lang w:eastAsia="x-none"/>
        </w:rPr>
        <w:tab/>
        <w:t xml:space="preserve">  </w:t>
      </w:r>
      <w:r w:rsidRPr="003F1765">
        <w:rPr>
          <w:rFonts w:ascii="Times New Roman" w:eastAsia="Calibri" w:hAnsi="Times New Roman" w:cs="Times New Roman"/>
          <w:b/>
          <w:lang w:eastAsia="x-none"/>
        </w:rPr>
        <w:tab/>
        <w:t xml:space="preserve">         Dr. Fábos Róbert adjunktus, PhD</w:t>
      </w:r>
    </w:p>
    <w:p w:rsidR="003F1765" w:rsidRPr="003F1765" w:rsidRDefault="003F1765" w:rsidP="003F1765">
      <w:pPr>
        <w:spacing w:after="0"/>
        <w:ind w:left="5672" w:firstLine="709"/>
        <w:rPr>
          <w:rFonts w:ascii="Times New Roman" w:eastAsia="Calibri" w:hAnsi="Times New Roman" w:cs="Calibri"/>
        </w:rPr>
      </w:pPr>
      <w:r w:rsidRPr="003F1765">
        <w:rPr>
          <w:rFonts w:ascii="Times New Roman" w:eastAsia="Calibri" w:hAnsi="Times New Roman" w:cs="Times New Roman"/>
          <w:bCs/>
        </w:rPr>
        <w:t>tantárgyfelelős</w:t>
      </w:r>
    </w:p>
    <w:p w:rsidR="00D728F2" w:rsidRDefault="00D728F2">
      <w:pPr>
        <w:spacing w:after="200" w:line="276" w:lineRule="auto"/>
        <w:rPr>
          <w:rFonts w:ascii="Times New Roman" w:hAnsi="Times New Roman" w:cs="Times New Roman"/>
        </w:rPr>
      </w:pPr>
      <w:r>
        <w:rPr>
          <w:rFonts w:ascii="Times New Roman" w:hAnsi="Times New Roman" w:cs="Times New Roman"/>
        </w:rPr>
        <w:br w:type="page"/>
      </w:r>
    </w:p>
    <w:tbl>
      <w:tblPr>
        <w:tblW w:w="9072" w:type="dxa"/>
        <w:tblInd w:w="113" w:type="dxa"/>
        <w:tblLook w:val="01E0" w:firstRow="1" w:lastRow="1" w:firstColumn="1" w:lastColumn="1" w:noHBand="0" w:noVBand="0"/>
      </w:tblPr>
      <w:tblGrid>
        <w:gridCol w:w="5382"/>
        <w:gridCol w:w="1093"/>
        <w:gridCol w:w="2597"/>
      </w:tblGrid>
      <w:tr w:rsidR="00F4396F" w:rsidRPr="006D166A" w:rsidTr="00C62596">
        <w:tc>
          <w:tcPr>
            <w:tcW w:w="5382" w:type="dxa"/>
            <w:tcBorders>
              <w:bottom w:val="single" w:sz="4" w:space="0" w:color="auto"/>
            </w:tcBorders>
          </w:tcPr>
          <w:p w:rsidR="00F4396F" w:rsidRPr="006D166A" w:rsidRDefault="00F4396F" w:rsidP="00C62596">
            <w:pPr>
              <w:spacing w:after="0" w:line="240" w:lineRule="auto"/>
              <w:jc w:val="center"/>
              <w:rPr>
                <w:rFonts w:ascii="Times New Roman" w:hAnsi="Times New Roman"/>
                <w:b/>
                <w:smallCaps/>
                <w:lang w:eastAsia="hu-HU"/>
              </w:rPr>
            </w:pPr>
            <w:r w:rsidRPr="006D166A">
              <w:rPr>
                <w:rFonts w:ascii="Times New Roman" w:hAnsi="Times New Roman"/>
                <w:b/>
                <w:smallCaps/>
                <w:lang w:eastAsia="hu-HU"/>
              </w:rPr>
              <w:lastRenderedPageBreak/>
              <w:t>Nemzeti Közszolgálati Egyetem</w:t>
            </w:r>
          </w:p>
        </w:tc>
        <w:tc>
          <w:tcPr>
            <w:tcW w:w="1093" w:type="dxa"/>
          </w:tcPr>
          <w:p w:rsidR="00F4396F" w:rsidRPr="006D166A" w:rsidRDefault="00F4396F" w:rsidP="00C62596">
            <w:pPr>
              <w:spacing w:after="0" w:line="240" w:lineRule="auto"/>
              <w:jc w:val="both"/>
              <w:rPr>
                <w:rFonts w:ascii="Times New Roman" w:hAnsi="Times New Roman"/>
                <w:lang w:eastAsia="hu-HU"/>
              </w:rPr>
            </w:pPr>
          </w:p>
        </w:tc>
        <w:tc>
          <w:tcPr>
            <w:tcW w:w="2597" w:type="dxa"/>
          </w:tcPr>
          <w:p w:rsidR="00F4396F" w:rsidRPr="006D166A" w:rsidRDefault="00F4396F" w:rsidP="00C62596">
            <w:pPr>
              <w:spacing w:after="0" w:line="240" w:lineRule="auto"/>
              <w:jc w:val="right"/>
              <w:rPr>
                <w:rFonts w:ascii="Times New Roman" w:hAnsi="Times New Roman"/>
                <w:lang w:eastAsia="hu-HU"/>
              </w:rPr>
            </w:pPr>
            <w:r w:rsidRPr="006D166A">
              <w:rPr>
                <w:rFonts w:ascii="Times New Roman" w:hAnsi="Times New Roman"/>
                <w:lang w:eastAsia="hu-HU"/>
              </w:rPr>
              <w:t xml:space="preserve"> </w:t>
            </w:r>
          </w:p>
        </w:tc>
      </w:tr>
      <w:tr w:rsidR="00F4396F" w:rsidRPr="006D166A" w:rsidTr="00C62596">
        <w:tc>
          <w:tcPr>
            <w:tcW w:w="5382" w:type="dxa"/>
            <w:tcBorders>
              <w:top w:val="single" w:sz="4" w:space="0" w:color="auto"/>
            </w:tcBorders>
          </w:tcPr>
          <w:p w:rsidR="00F4396F" w:rsidRPr="006D166A" w:rsidRDefault="00F4396F" w:rsidP="00C62596">
            <w:pPr>
              <w:spacing w:after="0" w:line="240" w:lineRule="auto"/>
              <w:jc w:val="center"/>
              <w:rPr>
                <w:rFonts w:ascii="Times New Roman" w:hAnsi="Times New Roman"/>
                <w:b/>
                <w:lang w:eastAsia="hu-HU"/>
              </w:rPr>
            </w:pPr>
            <w:r w:rsidRPr="006D166A">
              <w:rPr>
                <w:rFonts w:ascii="Times New Roman" w:hAnsi="Times New Roman"/>
                <w:b/>
                <w:lang w:eastAsia="hu-HU"/>
              </w:rPr>
              <w:t>Hadtudományi és Honvédtisztképző Kar</w:t>
            </w:r>
          </w:p>
        </w:tc>
        <w:tc>
          <w:tcPr>
            <w:tcW w:w="1093" w:type="dxa"/>
          </w:tcPr>
          <w:p w:rsidR="00F4396F" w:rsidRPr="006D166A" w:rsidRDefault="00F4396F" w:rsidP="00C62596">
            <w:pPr>
              <w:spacing w:after="0" w:line="240" w:lineRule="auto"/>
              <w:jc w:val="both"/>
              <w:rPr>
                <w:rFonts w:ascii="Times New Roman" w:hAnsi="Times New Roman"/>
                <w:lang w:eastAsia="hu-HU"/>
              </w:rPr>
            </w:pPr>
          </w:p>
        </w:tc>
        <w:tc>
          <w:tcPr>
            <w:tcW w:w="2597" w:type="dxa"/>
          </w:tcPr>
          <w:p w:rsidR="00F4396F" w:rsidRPr="006D166A" w:rsidRDefault="00F4396F" w:rsidP="00C62596">
            <w:pPr>
              <w:spacing w:after="0" w:line="240" w:lineRule="auto"/>
              <w:jc w:val="both"/>
              <w:rPr>
                <w:rFonts w:ascii="Times New Roman" w:hAnsi="Times New Roman"/>
                <w:lang w:eastAsia="hu-HU"/>
              </w:rPr>
            </w:pPr>
          </w:p>
        </w:tc>
      </w:tr>
    </w:tbl>
    <w:p w:rsidR="00F4396F" w:rsidRPr="006D166A" w:rsidRDefault="00F4396F" w:rsidP="00F4396F">
      <w:pPr>
        <w:spacing w:before="120" w:after="0" w:line="240" w:lineRule="auto"/>
        <w:rPr>
          <w:rFonts w:ascii="Times New Roman" w:hAnsi="Times New Roman"/>
          <w:b/>
          <w:bCs/>
          <w:lang w:eastAsia="hu-HU"/>
        </w:rPr>
      </w:pPr>
    </w:p>
    <w:p w:rsidR="00F4396F" w:rsidRPr="006D166A" w:rsidRDefault="00F4396F" w:rsidP="00F4396F">
      <w:pPr>
        <w:spacing w:before="120" w:after="0" w:line="240" w:lineRule="auto"/>
        <w:jc w:val="center"/>
        <w:rPr>
          <w:rFonts w:ascii="Times New Roman" w:hAnsi="Times New Roman"/>
          <w:b/>
          <w:bCs/>
          <w:lang w:eastAsia="hu-HU"/>
        </w:rPr>
      </w:pPr>
      <w:r w:rsidRPr="006D166A">
        <w:rPr>
          <w:rFonts w:ascii="Times New Roman" w:hAnsi="Times New Roman"/>
          <w:b/>
          <w:bCs/>
          <w:lang w:eastAsia="hu-HU"/>
        </w:rPr>
        <w:t>TANTÁRGYI PROGRAM</w:t>
      </w:r>
    </w:p>
    <w:p w:rsidR="00F4396F" w:rsidRPr="006D166A" w:rsidRDefault="00F4396F" w:rsidP="00980876">
      <w:pPr>
        <w:numPr>
          <w:ilvl w:val="0"/>
          <w:numId w:val="531"/>
        </w:numPr>
        <w:tabs>
          <w:tab w:val="right" w:pos="900"/>
        </w:tabs>
        <w:spacing w:before="120" w:after="0" w:line="240" w:lineRule="auto"/>
        <w:jc w:val="both"/>
        <w:rPr>
          <w:rFonts w:ascii="Times New Roman" w:hAnsi="Times New Roman"/>
          <w:bCs/>
          <w:lang w:eastAsia="hu-HU"/>
        </w:rPr>
      </w:pPr>
      <w:r w:rsidRPr="006D166A">
        <w:rPr>
          <w:rFonts w:ascii="Times New Roman" w:hAnsi="Times New Roman"/>
          <w:b/>
          <w:bCs/>
          <w:lang w:eastAsia="hu-HU"/>
        </w:rPr>
        <w:t xml:space="preserve">A tantárgy kódja: </w:t>
      </w:r>
      <w:r w:rsidRPr="006D166A">
        <w:rPr>
          <w:rFonts w:ascii="Times New Roman" w:hAnsi="Times New Roman"/>
          <w:lang w:eastAsia="hu-HU"/>
        </w:rPr>
        <w:t>HKHPKA381</w:t>
      </w:r>
    </w:p>
    <w:p w:rsidR="00F4396F" w:rsidRPr="006D166A" w:rsidRDefault="00F4396F" w:rsidP="00980876">
      <w:pPr>
        <w:numPr>
          <w:ilvl w:val="0"/>
          <w:numId w:val="531"/>
        </w:numPr>
        <w:tabs>
          <w:tab w:val="right" w:pos="900"/>
        </w:tabs>
        <w:spacing w:before="120" w:after="0" w:line="240" w:lineRule="auto"/>
        <w:ind w:left="357" w:hanging="357"/>
        <w:jc w:val="both"/>
        <w:rPr>
          <w:rFonts w:ascii="Times New Roman" w:hAnsi="Times New Roman"/>
          <w:bCs/>
          <w:lang w:eastAsia="hu-HU"/>
        </w:rPr>
      </w:pPr>
      <w:r w:rsidRPr="006D166A">
        <w:rPr>
          <w:rFonts w:ascii="Times New Roman" w:hAnsi="Times New Roman"/>
          <w:b/>
          <w:bCs/>
          <w:lang w:eastAsia="hu-HU"/>
        </w:rPr>
        <w:t>A tantárgy megnevezése (magyarul):</w:t>
      </w:r>
      <w:r w:rsidRPr="006D166A">
        <w:rPr>
          <w:rFonts w:ascii="Times New Roman" w:hAnsi="Times New Roman"/>
          <w:bCs/>
          <w:lang w:eastAsia="hu-HU"/>
        </w:rPr>
        <w:t xml:space="preserve"> Fenntarthatóság a katonai logisztikában</w:t>
      </w:r>
    </w:p>
    <w:p w:rsidR="00F4396F" w:rsidRPr="006D166A" w:rsidRDefault="00F4396F" w:rsidP="00980876">
      <w:pPr>
        <w:numPr>
          <w:ilvl w:val="0"/>
          <w:numId w:val="531"/>
        </w:numPr>
        <w:tabs>
          <w:tab w:val="right" w:pos="900"/>
        </w:tabs>
        <w:spacing w:before="120" w:after="0" w:line="240" w:lineRule="auto"/>
        <w:ind w:left="357" w:hanging="357"/>
        <w:jc w:val="both"/>
        <w:rPr>
          <w:rFonts w:ascii="Times New Roman" w:hAnsi="Times New Roman"/>
          <w:bCs/>
          <w:lang w:eastAsia="hu-HU"/>
        </w:rPr>
      </w:pPr>
      <w:r w:rsidRPr="006D166A">
        <w:rPr>
          <w:rFonts w:ascii="Times New Roman" w:hAnsi="Times New Roman"/>
          <w:b/>
          <w:bCs/>
          <w:lang w:eastAsia="hu-HU"/>
        </w:rPr>
        <w:t>A tantárgy megnevezése (angolul):</w:t>
      </w:r>
      <w:r w:rsidRPr="006D166A">
        <w:rPr>
          <w:rFonts w:ascii="Times New Roman" w:hAnsi="Times New Roman"/>
          <w:bCs/>
          <w:lang w:eastAsia="hu-HU"/>
        </w:rPr>
        <w:t xml:space="preserve"> Sustainability in the Military Logistics</w:t>
      </w:r>
    </w:p>
    <w:p w:rsidR="00F4396F" w:rsidRPr="006D166A" w:rsidRDefault="00F4396F" w:rsidP="00980876">
      <w:pPr>
        <w:numPr>
          <w:ilvl w:val="0"/>
          <w:numId w:val="531"/>
        </w:numPr>
        <w:tabs>
          <w:tab w:val="right" w:pos="900"/>
        </w:tabs>
        <w:spacing w:before="120" w:after="0" w:line="240" w:lineRule="auto"/>
        <w:ind w:left="357" w:hanging="357"/>
        <w:jc w:val="both"/>
        <w:rPr>
          <w:rFonts w:ascii="Times New Roman" w:hAnsi="Times New Roman"/>
          <w:bCs/>
          <w:lang w:eastAsia="hu-HU"/>
        </w:rPr>
      </w:pPr>
      <w:r w:rsidRPr="006D166A">
        <w:rPr>
          <w:rFonts w:ascii="Times New Roman" w:hAnsi="Times New Roman"/>
          <w:b/>
          <w:bCs/>
          <w:lang w:eastAsia="hu-HU"/>
        </w:rPr>
        <w:t>Kreditérték és képzési karakter:</w:t>
      </w:r>
      <w:r w:rsidRPr="006D166A">
        <w:rPr>
          <w:rFonts w:ascii="Times New Roman" w:hAnsi="Times New Roman"/>
          <w:bCs/>
          <w:lang w:eastAsia="hu-HU"/>
        </w:rPr>
        <w:t xml:space="preserve"> </w:t>
      </w:r>
    </w:p>
    <w:p w:rsidR="00F4396F" w:rsidRPr="006D166A" w:rsidRDefault="00F4396F" w:rsidP="00980876">
      <w:pPr>
        <w:pStyle w:val="Listaszerbekezds"/>
        <w:numPr>
          <w:ilvl w:val="1"/>
          <w:numId w:val="531"/>
        </w:numPr>
        <w:tabs>
          <w:tab w:val="right" w:pos="900"/>
        </w:tabs>
        <w:spacing w:before="120" w:after="0" w:line="240" w:lineRule="auto"/>
        <w:jc w:val="both"/>
        <w:rPr>
          <w:rFonts w:ascii="Times New Roman" w:hAnsi="Times New Roman"/>
          <w:bCs/>
          <w:lang w:eastAsia="hu-HU"/>
        </w:rPr>
      </w:pPr>
      <w:r w:rsidRPr="006D166A">
        <w:rPr>
          <w:rFonts w:ascii="Times New Roman" w:hAnsi="Times New Roman"/>
          <w:bCs/>
          <w:lang w:eastAsia="hu-HU"/>
        </w:rPr>
        <w:t>2 kredit</w:t>
      </w:r>
    </w:p>
    <w:p w:rsidR="00F4396F" w:rsidRPr="006D166A" w:rsidRDefault="00F4396F" w:rsidP="00980876">
      <w:pPr>
        <w:pStyle w:val="Listaszerbekezds"/>
        <w:widowControl w:val="0"/>
        <w:numPr>
          <w:ilvl w:val="1"/>
          <w:numId w:val="531"/>
        </w:numPr>
        <w:spacing w:before="120" w:after="120" w:line="240" w:lineRule="auto"/>
        <w:ind w:left="788" w:hanging="431"/>
        <w:contextualSpacing w:val="0"/>
        <w:jc w:val="both"/>
        <w:rPr>
          <w:rFonts w:ascii="Times New Roman" w:hAnsi="Times New Roman"/>
          <w:b/>
          <w:bCs/>
        </w:rPr>
      </w:pPr>
      <w:r w:rsidRPr="006D166A">
        <w:rPr>
          <w:rFonts w:ascii="Times New Roman" w:hAnsi="Times New Roman"/>
          <w:bCs/>
        </w:rPr>
        <w:t>a tantárgy elméleti vagy gyakorlati jellegének mértéke: 50</w:t>
      </w:r>
      <w:r w:rsidRPr="006D166A">
        <w:rPr>
          <w:rFonts w:ascii="Times New Roman" w:hAnsi="Times New Roman"/>
          <w:b/>
          <w:bCs/>
        </w:rPr>
        <w:t xml:space="preserve"> </w:t>
      </w:r>
      <w:r w:rsidRPr="006D166A">
        <w:rPr>
          <w:rFonts w:ascii="Times New Roman" w:hAnsi="Times New Roman"/>
          <w:bCs/>
        </w:rPr>
        <w:t>% gyakorlat, 50 % elmélet</w:t>
      </w:r>
    </w:p>
    <w:p w:rsidR="00F4396F" w:rsidRPr="006D166A" w:rsidRDefault="00F4396F" w:rsidP="00980876">
      <w:pPr>
        <w:numPr>
          <w:ilvl w:val="0"/>
          <w:numId w:val="531"/>
        </w:numPr>
        <w:tabs>
          <w:tab w:val="right" w:pos="900"/>
        </w:tabs>
        <w:spacing w:before="120" w:after="0" w:line="240" w:lineRule="auto"/>
        <w:jc w:val="both"/>
        <w:rPr>
          <w:rFonts w:ascii="Times New Roman" w:hAnsi="Times New Roman"/>
          <w:bCs/>
          <w:lang w:eastAsia="hu-HU"/>
        </w:rPr>
      </w:pPr>
      <w:r w:rsidRPr="006D166A">
        <w:rPr>
          <w:rFonts w:ascii="Times New Roman" w:hAnsi="Times New Roman"/>
          <w:b/>
          <w:bCs/>
          <w:lang w:eastAsia="hu-HU"/>
        </w:rPr>
        <w:t>A szak(ok), szakirányok megnevezése:</w:t>
      </w:r>
      <w:r w:rsidRPr="006D166A">
        <w:rPr>
          <w:rFonts w:ascii="Times New Roman" w:hAnsi="Times New Roman"/>
          <w:bCs/>
          <w:lang w:eastAsia="hu-HU"/>
        </w:rPr>
        <w:t xml:space="preserve"> katonai logisztikai alapképzési szak, katonai közlekedési specializáció</w:t>
      </w:r>
    </w:p>
    <w:p w:rsidR="00F4396F" w:rsidRPr="006D166A" w:rsidRDefault="00F4396F" w:rsidP="00980876">
      <w:pPr>
        <w:pStyle w:val="Listaszerbekezds"/>
        <w:numPr>
          <w:ilvl w:val="0"/>
          <w:numId w:val="531"/>
        </w:numPr>
        <w:spacing w:before="120" w:after="200" w:line="240" w:lineRule="auto"/>
        <w:jc w:val="both"/>
        <w:rPr>
          <w:rFonts w:ascii="Times New Roman" w:hAnsi="Times New Roman"/>
          <w:b/>
          <w:bCs/>
          <w:lang w:eastAsia="hu-HU"/>
        </w:rPr>
      </w:pPr>
      <w:r w:rsidRPr="006D166A">
        <w:rPr>
          <w:rFonts w:ascii="Times New Roman" w:hAnsi="Times New Roman"/>
          <w:b/>
          <w:bCs/>
        </w:rPr>
        <w:t xml:space="preserve">Az oktatásért felelős oktatási szervezeti egység megnevezése: </w:t>
      </w:r>
      <w:r w:rsidRPr="006D166A">
        <w:rPr>
          <w:rFonts w:ascii="Times New Roman" w:hAnsi="Times New Roman"/>
          <w:bCs/>
        </w:rPr>
        <w:t>NKE</w:t>
      </w:r>
      <w:r w:rsidRPr="006D166A">
        <w:rPr>
          <w:rFonts w:ascii="Times New Roman" w:hAnsi="Times New Roman"/>
          <w:b/>
          <w:bCs/>
        </w:rPr>
        <w:t xml:space="preserve"> </w:t>
      </w:r>
      <w:r w:rsidRPr="006D166A">
        <w:rPr>
          <w:rFonts w:ascii="Times New Roman" w:hAnsi="Times New Roman"/>
          <w:bCs/>
          <w:lang w:eastAsia="hu-HU"/>
        </w:rPr>
        <w:t>Hadtudományi és Honvédtisztképző Kar, Hadtáp, Pénzügyi és Katonai Közlekedési Tanszék</w:t>
      </w:r>
    </w:p>
    <w:p w:rsidR="00F4396F" w:rsidRPr="006D166A" w:rsidRDefault="00F4396F" w:rsidP="00980876">
      <w:pPr>
        <w:numPr>
          <w:ilvl w:val="0"/>
          <w:numId w:val="531"/>
        </w:numPr>
        <w:tabs>
          <w:tab w:val="right" w:pos="900"/>
        </w:tabs>
        <w:spacing w:before="120" w:after="0" w:line="240" w:lineRule="auto"/>
        <w:jc w:val="both"/>
        <w:rPr>
          <w:rFonts w:ascii="Times New Roman" w:hAnsi="Times New Roman"/>
          <w:bCs/>
          <w:lang w:eastAsia="hu-HU"/>
        </w:rPr>
      </w:pPr>
      <w:r w:rsidRPr="006D166A">
        <w:rPr>
          <w:rFonts w:ascii="Times New Roman" w:hAnsi="Times New Roman"/>
          <w:b/>
          <w:bCs/>
          <w:lang w:eastAsia="hu-HU"/>
        </w:rPr>
        <w:t xml:space="preserve">A tantárgyfelelős oktató neve, beosztása, tudományos fokozata: </w:t>
      </w:r>
      <w:r w:rsidRPr="006D166A">
        <w:rPr>
          <w:rFonts w:ascii="Times New Roman" w:hAnsi="Times New Roman"/>
          <w:bCs/>
          <w:lang w:eastAsia="hu-HU"/>
        </w:rPr>
        <w:t>Nyitrai Mihály alezredes, egyetemi tanársegéd</w:t>
      </w:r>
    </w:p>
    <w:p w:rsidR="00F4396F" w:rsidRPr="006D166A" w:rsidRDefault="00F4396F" w:rsidP="00980876">
      <w:pPr>
        <w:numPr>
          <w:ilvl w:val="0"/>
          <w:numId w:val="531"/>
        </w:numPr>
        <w:tabs>
          <w:tab w:val="right" w:pos="900"/>
        </w:tabs>
        <w:spacing w:before="120" w:after="0" w:line="240" w:lineRule="auto"/>
        <w:jc w:val="both"/>
        <w:rPr>
          <w:rFonts w:ascii="Times New Roman" w:hAnsi="Times New Roman"/>
          <w:bCs/>
          <w:lang w:eastAsia="hu-HU"/>
        </w:rPr>
      </w:pPr>
      <w:r w:rsidRPr="006D166A">
        <w:rPr>
          <w:rFonts w:ascii="Times New Roman" w:hAnsi="Times New Roman"/>
          <w:b/>
          <w:bCs/>
          <w:lang w:eastAsia="hu-HU"/>
        </w:rPr>
        <w:t xml:space="preserve">A tanórák száma és típusa </w:t>
      </w:r>
      <w:r w:rsidRPr="006D166A">
        <w:rPr>
          <w:rFonts w:ascii="Times New Roman" w:hAnsi="Times New Roman"/>
          <w:b/>
          <w:bCs/>
          <w:i/>
          <w:lang w:eastAsia="hu-HU"/>
        </w:rPr>
        <w:t>(előadás + szeminárium + gyakorlat):</w:t>
      </w:r>
    </w:p>
    <w:p w:rsidR="00F4396F" w:rsidRPr="006D166A" w:rsidRDefault="00F4396F" w:rsidP="00980876">
      <w:pPr>
        <w:numPr>
          <w:ilvl w:val="1"/>
          <w:numId w:val="531"/>
        </w:numPr>
        <w:tabs>
          <w:tab w:val="right" w:pos="900"/>
        </w:tabs>
        <w:spacing w:before="120" w:after="0" w:line="240" w:lineRule="auto"/>
        <w:jc w:val="both"/>
        <w:rPr>
          <w:rFonts w:ascii="Times New Roman" w:hAnsi="Times New Roman"/>
          <w:bCs/>
          <w:lang w:eastAsia="hu-HU"/>
        </w:rPr>
      </w:pPr>
      <w:r w:rsidRPr="006D166A">
        <w:rPr>
          <w:rFonts w:ascii="Times New Roman" w:hAnsi="Times New Roman"/>
          <w:bCs/>
          <w:lang w:eastAsia="hu-HU"/>
        </w:rPr>
        <w:t>összóraszám/félév: 28</w:t>
      </w:r>
    </w:p>
    <w:p w:rsidR="00F4396F" w:rsidRPr="006D166A" w:rsidRDefault="00F4396F" w:rsidP="00980876">
      <w:pPr>
        <w:numPr>
          <w:ilvl w:val="2"/>
          <w:numId w:val="531"/>
        </w:numPr>
        <w:tabs>
          <w:tab w:val="right" w:pos="900"/>
        </w:tabs>
        <w:spacing w:before="120" w:after="0" w:line="240" w:lineRule="auto"/>
        <w:jc w:val="both"/>
        <w:rPr>
          <w:rFonts w:ascii="Times New Roman" w:hAnsi="Times New Roman"/>
          <w:bCs/>
          <w:lang w:eastAsia="hu-HU"/>
        </w:rPr>
      </w:pPr>
      <w:r w:rsidRPr="006D166A">
        <w:rPr>
          <w:rFonts w:ascii="Times New Roman" w:hAnsi="Times New Roman"/>
          <w:bCs/>
          <w:lang w:eastAsia="hu-HU"/>
        </w:rPr>
        <w:t>Nappali munkarend: 28 (14 EA + 0 SZ + 14 GY)</w:t>
      </w:r>
    </w:p>
    <w:p w:rsidR="00F4396F" w:rsidRPr="006D166A" w:rsidRDefault="00F4396F" w:rsidP="00980876">
      <w:pPr>
        <w:numPr>
          <w:ilvl w:val="2"/>
          <w:numId w:val="531"/>
        </w:numPr>
        <w:tabs>
          <w:tab w:val="right" w:pos="900"/>
        </w:tabs>
        <w:spacing w:before="120" w:after="0" w:line="240" w:lineRule="auto"/>
        <w:jc w:val="both"/>
        <w:rPr>
          <w:rFonts w:ascii="Times New Roman" w:hAnsi="Times New Roman"/>
          <w:bCs/>
          <w:lang w:eastAsia="hu-HU"/>
        </w:rPr>
      </w:pPr>
      <w:r w:rsidRPr="006D166A">
        <w:rPr>
          <w:rFonts w:ascii="Times New Roman" w:hAnsi="Times New Roman"/>
          <w:bCs/>
          <w:lang w:eastAsia="hu-HU"/>
        </w:rPr>
        <w:t>Levelező munkarend:</w:t>
      </w:r>
      <w:r>
        <w:rPr>
          <w:rFonts w:ascii="Times New Roman" w:hAnsi="Times New Roman"/>
          <w:bCs/>
          <w:lang w:eastAsia="hu-HU"/>
        </w:rPr>
        <w:t xml:space="preserve"> -</w:t>
      </w:r>
      <w:r w:rsidRPr="006D166A">
        <w:rPr>
          <w:rFonts w:ascii="Times New Roman" w:hAnsi="Times New Roman"/>
          <w:bCs/>
          <w:lang w:eastAsia="hu-HU"/>
        </w:rPr>
        <w:t xml:space="preserve"> (</w:t>
      </w:r>
      <w:r>
        <w:rPr>
          <w:rFonts w:ascii="Times New Roman" w:hAnsi="Times New Roman"/>
          <w:bCs/>
          <w:lang w:eastAsia="hu-HU"/>
        </w:rPr>
        <w:t>0</w:t>
      </w:r>
      <w:r w:rsidRPr="006D166A">
        <w:rPr>
          <w:rFonts w:ascii="Times New Roman" w:hAnsi="Times New Roman"/>
          <w:bCs/>
          <w:lang w:eastAsia="hu-HU"/>
        </w:rPr>
        <w:t xml:space="preserve"> EA + 0 SZ + </w:t>
      </w:r>
      <w:r>
        <w:rPr>
          <w:rFonts w:ascii="Times New Roman" w:hAnsi="Times New Roman"/>
          <w:bCs/>
          <w:lang w:eastAsia="hu-HU"/>
        </w:rPr>
        <w:t>0</w:t>
      </w:r>
      <w:r w:rsidRPr="006D166A">
        <w:rPr>
          <w:rFonts w:ascii="Times New Roman" w:hAnsi="Times New Roman"/>
          <w:bCs/>
          <w:lang w:eastAsia="hu-HU"/>
        </w:rPr>
        <w:t xml:space="preserve"> GY)</w:t>
      </w:r>
    </w:p>
    <w:p w:rsidR="00F4396F" w:rsidRPr="006D166A" w:rsidRDefault="00F4396F" w:rsidP="00980876">
      <w:pPr>
        <w:numPr>
          <w:ilvl w:val="1"/>
          <w:numId w:val="531"/>
        </w:numPr>
        <w:tabs>
          <w:tab w:val="right" w:pos="900"/>
        </w:tabs>
        <w:spacing w:before="120" w:after="0" w:line="240" w:lineRule="auto"/>
        <w:jc w:val="both"/>
        <w:rPr>
          <w:rFonts w:ascii="Times New Roman" w:hAnsi="Times New Roman"/>
          <w:bCs/>
          <w:lang w:eastAsia="hu-HU"/>
        </w:rPr>
      </w:pPr>
      <w:r w:rsidRPr="006D166A">
        <w:rPr>
          <w:rFonts w:ascii="Times New Roman" w:hAnsi="Times New Roman"/>
          <w:bCs/>
          <w:lang w:eastAsia="hu-HU"/>
        </w:rPr>
        <w:t>heti óraszám nappali munkarend: 2</w:t>
      </w:r>
      <w:r>
        <w:rPr>
          <w:rFonts w:ascii="Times New Roman" w:hAnsi="Times New Roman"/>
          <w:bCs/>
          <w:lang w:eastAsia="hu-HU"/>
        </w:rPr>
        <w:t xml:space="preserve"> (1+1)</w:t>
      </w:r>
    </w:p>
    <w:p w:rsidR="00F4396F" w:rsidRPr="006D166A" w:rsidRDefault="00F4396F" w:rsidP="00980876">
      <w:pPr>
        <w:numPr>
          <w:ilvl w:val="1"/>
          <w:numId w:val="531"/>
        </w:numPr>
        <w:tabs>
          <w:tab w:val="right" w:pos="900"/>
        </w:tabs>
        <w:spacing w:before="120" w:after="0" w:line="240" w:lineRule="auto"/>
        <w:jc w:val="both"/>
        <w:rPr>
          <w:rFonts w:ascii="Times New Roman" w:hAnsi="Times New Roman"/>
          <w:bCs/>
          <w:lang w:eastAsia="hu-HU"/>
        </w:rPr>
      </w:pPr>
      <w:r w:rsidRPr="006D166A">
        <w:rPr>
          <w:rFonts w:ascii="Times New Roman" w:hAnsi="Times New Roman"/>
        </w:rPr>
        <w:t>Az ismeret átadásában alkalmazandó további sajátos módok, jellemzők: -</w:t>
      </w:r>
    </w:p>
    <w:p w:rsidR="00F4396F" w:rsidRPr="006D166A" w:rsidRDefault="00F4396F" w:rsidP="00980876">
      <w:pPr>
        <w:numPr>
          <w:ilvl w:val="0"/>
          <w:numId w:val="531"/>
        </w:numPr>
        <w:tabs>
          <w:tab w:val="right" w:pos="900"/>
          <w:tab w:val="center" w:pos="4536"/>
          <w:tab w:val="right" w:pos="9072"/>
        </w:tabs>
        <w:spacing w:before="120" w:after="0" w:line="240" w:lineRule="auto"/>
        <w:jc w:val="both"/>
        <w:rPr>
          <w:rFonts w:ascii="Times New Roman" w:hAnsi="Times New Roman"/>
          <w:bCs/>
          <w:lang w:eastAsia="hu-HU"/>
        </w:rPr>
      </w:pPr>
      <w:r w:rsidRPr="006D166A">
        <w:rPr>
          <w:rFonts w:ascii="Times New Roman" w:hAnsi="Times New Roman"/>
          <w:b/>
          <w:bCs/>
          <w:lang w:eastAsia="hu-HU"/>
        </w:rPr>
        <w:t xml:space="preserve">A tantárgy szakmai tartalma (magyarul): </w:t>
      </w:r>
      <w:r w:rsidRPr="006D166A">
        <w:rPr>
          <w:rFonts w:ascii="Times New Roman" w:hAnsi="Times New Roman"/>
          <w:bCs/>
          <w:lang w:eastAsia="hu-HU"/>
        </w:rPr>
        <w:t>A katonai logisztikai folyamatok és a környezetvédelem kapcsolatának vizsgálata. Alapfogalmak, mutatók és folyamatok áttekintése a környezetvédelemben. A műveleti logisztika és a karbon lábnyom összefüggéseinek feltárása, a katonai tevékenységek karbon lábnyom vizsgálata. A fenntarthatóság vizsgálata a műveleti ellátási lánc működésében, trendek és projektek. A katonai hulladékgazdálkodás lehetőségeinek feltárása.</w:t>
      </w:r>
    </w:p>
    <w:p w:rsidR="00F4396F" w:rsidRPr="006D166A" w:rsidRDefault="00F4396F" w:rsidP="00F4396F">
      <w:pPr>
        <w:pStyle w:val="Listaszerbekezds"/>
        <w:spacing w:before="120" w:after="0" w:line="240" w:lineRule="auto"/>
        <w:ind w:left="357"/>
        <w:jc w:val="both"/>
        <w:rPr>
          <w:rFonts w:ascii="Times New Roman" w:hAnsi="Times New Roman"/>
          <w:bCs/>
          <w:lang w:eastAsia="hu-HU"/>
        </w:rPr>
      </w:pPr>
      <w:r w:rsidRPr="006D166A">
        <w:rPr>
          <w:rFonts w:ascii="Times New Roman" w:hAnsi="Times New Roman"/>
          <w:b/>
          <w:bCs/>
          <w:lang w:eastAsia="hu-HU"/>
        </w:rPr>
        <w:t>A tantárgy szakmai tartalma (angolul):</w:t>
      </w:r>
      <w:r w:rsidRPr="006D166A">
        <w:rPr>
          <w:rFonts w:ascii="Times New Roman" w:hAnsi="Times New Roman"/>
          <w:bCs/>
          <w:lang w:eastAsia="hu-HU"/>
        </w:rPr>
        <w:t xml:space="preserve"> Investigation of the connection between military logistic processes and environmental protection. Overview of basic concepts, indicators and processes in environmental protection. Exploring the relationship between operational logistics and the carbon footprint, and examining the carbon footprint of military operations. Investigating sustainability in the military operational supply chain, trends and projects. Exploring the possibilities of military waste management.</w:t>
      </w:r>
    </w:p>
    <w:p w:rsidR="00F4396F" w:rsidRPr="00517A8E" w:rsidRDefault="00F4396F" w:rsidP="00980876">
      <w:pPr>
        <w:numPr>
          <w:ilvl w:val="0"/>
          <w:numId w:val="531"/>
        </w:numPr>
        <w:tabs>
          <w:tab w:val="right" w:pos="900"/>
        </w:tabs>
        <w:spacing w:before="120" w:after="0" w:line="240" w:lineRule="auto"/>
        <w:ind w:left="357" w:hanging="357"/>
        <w:jc w:val="both"/>
        <w:rPr>
          <w:rFonts w:ascii="Times New Roman" w:hAnsi="Times New Roman"/>
          <w:bCs/>
          <w:lang w:eastAsia="hu-HU"/>
        </w:rPr>
      </w:pPr>
      <w:r w:rsidRPr="00517A8E">
        <w:rPr>
          <w:rFonts w:ascii="Times New Roman" w:hAnsi="Times New Roman"/>
          <w:b/>
          <w:bCs/>
          <w:lang w:eastAsia="hu-HU"/>
        </w:rPr>
        <w:t>Elérendő kompetenciák (magyarul):</w:t>
      </w:r>
    </w:p>
    <w:p w:rsidR="00F4396F" w:rsidRPr="00517A8E" w:rsidRDefault="00F4396F" w:rsidP="00F4396F">
      <w:pPr>
        <w:tabs>
          <w:tab w:val="right" w:pos="900"/>
        </w:tabs>
        <w:spacing w:before="120" w:after="0" w:line="240" w:lineRule="auto"/>
        <w:ind w:left="284"/>
        <w:jc w:val="both"/>
        <w:rPr>
          <w:rFonts w:ascii="Times New Roman" w:hAnsi="Times New Roman"/>
          <w:b/>
          <w:bCs/>
          <w:lang w:eastAsia="hu-HU"/>
        </w:rPr>
      </w:pPr>
      <w:r w:rsidRPr="00517A8E">
        <w:rPr>
          <w:rFonts w:ascii="Times New Roman" w:hAnsi="Times New Roman"/>
          <w:b/>
          <w:bCs/>
          <w:lang w:eastAsia="hu-HU"/>
        </w:rPr>
        <w:t>Tudása:</w:t>
      </w:r>
    </w:p>
    <w:p w:rsidR="00F4396F" w:rsidRPr="00517A8E" w:rsidRDefault="00F4396F" w:rsidP="00980876">
      <w:pPr>
        <w:widowControl w:val="0"/>
        <w:numPr>
          <w:ilvl w:val="0"/>
          <w:numId w:val="534"/>
        </w:numPr>
        <w:spacing w:after="120" w:line="240" w:lineRule="auto"/>
        <w:ind w:left="992" w:hanging="357"/>
        <w:jc w:val="both"/>
        <w:rPr>
          <w:rFonts w:ascii="Times New Roman" w:hAnsi="Times New Roman"/>
          <w:bCs/>
          <w:lang w:eastAsia="hu-HU"/>
        </w:rPr>
      </w:pPr>
      <w:r w:rsidRPr="00517A8E">
        <w:rPr>
          <w:rFonts w:ascii="Times New Roman" w:hAnsi="Times New Roman"/>
          <w:bCs/>
          <w:lang w:eastAsia="hu-HU"/>
        </w:rPr>
        <w:t>Ismeri a katonai közlekedési szakterülethez szervesen kapcsolódó logisztikai, menedzsment, környezetvédelmi, minőségbiztosítási, információtechnológiai, jogi, közgazdasági szakterületek alapjait és követelményeit.</w:t>
      </w:r>
    </w:p>
    <w:p w:rsidR="00F4396F" w:rsidRPr="00517A8E" w:rsidRDefault="00F4396F" w:rsidP="00F4396F">
      <w:pPr>
        <w:tabs>
          <w:tab w:val="right" w:pos="900"/>
        </w:tabs>
        <w:spacing w:before="120" w:after="0" w:line="240" w:lineRule="auto"/>
        <w:ind w:left="284"/>
        <w:jc w:val="both"/>
        <w:rPr>
          <w:rFonts w:ascii="Times New Roman" w:hAnsi="Times New Roman"/>
          <w:bCs/>
          <w:lang w:eastAsia="hu-HU"/>
        </w:rPr>
      </w:pPr>
      <w:r w:rsidRPr="00517A8E">
        <w:rPr>
          <w:rFonts w:ascii="Times New Roman" w:hAnsi="Times New Roman"/>
          <w:b/>
          <w:bCs/>
          <w:lang w:eastAsia="hu-HU"/>
        </w:rPr>
        <w:t>Képességei:</w:t>
      </w:r>
    </w:p>
    <w:p w:rsidR="00F4396F" w:rsidRPr="00517A8E" w:rsidRDefault="00F4396F" w:rsidP="00980876">
      <w:pPr>
        <w:widowControl w:val="0"/>
        <w:numPr>
          <w:ilvl w:val="0"/>
          <w:numId w:val="534"/>
        </w:numPr>
        <w:spacing w:after="0" w:line="240" w:lineRule="auto"/>
        <w:ind w:left="992" w:hanging="357"/>
        <w:jc w:val="both"/>
        <w:rPr>
          <w:rFonts w:ascii="Times New Roman" w:hAnsi="Times New Roman"/>
          <w:bCs/>
          <w:lang w:eastAsia="hu-HU"/>
        </w:rPr>
      </w:pPr>
      <w:r w:rsidRPr="00517A8E">
        <w:rPr>
          <w:rFonts w:ascii="Times New Roman" w:hAnsi="Times New Roman"/>
          <w:bCs/>
          <w:lang w:eastAsia="hu-HU"/>
        </w:rPr>
        <w:t>Képes békeidőszakban, válságkezelő, katasztrófa-elhárítási, béketámogató és háborús műveletekben, nemzeti és többnemzeti környezetben a szállító szakalegységek alaprendeltetéséből fakadó feladatai végrehajtásának vezetésére.</w:t>
      </w:r>
    </w:p>
    <w:p w:rsidR="00F4396F" w:rsidRPr="00517A8E" w:rsidRDefault="00F4396F" w:rsidP="00980876">
      <w:pPr>
        <w:widowControl w:val="0"/>
        <w:numPr>
          <w:ilvl w:val="0"/>
          <w:numId w:val="534"/>
        </w:numPr>
        <w:spacing w:after="0" w:line="240" w:lineRule="auto"/>
        <w:ind w:left="992" w:hanging="357"/>
        <w:jc w:val="both"/>
        <w:rPr>
          <w:rFonts w:ascii="Times New Roman" w:hAnsi="Times New Roman"/>
          <w:bCs/>
          <w:lang w:eastAsia="hu-HU"/>
        </w:rPr>
      </w:pPr>
      <w:r w:rsidRPr="00517A8E">
        <w:rPr>
          <w:rFonts w:ascii="Times New Roman" w:hAnsi="Times New Roman"/>
          <w:bCs/>
          <w:lang w:eastAsia="hu-HU"/>
        </w:rPr>
        <w:t>Képes a közlekedési hálózatok katonai célú alkalmazásának tervezésére, szervezésére és végrehajtására.</w:t>
      </w:r>
    </w:p>
    <w:p w:rsidR="00F4396F" w:rsidRPr="00517A8E" w:rsidRDefault="00F4396F" w:rsidP="00F4396F">
      <w:pPr>
        <w:tabs>
          <w:tab w:val="right" w:pos="900"/>
        </w:tabs>
        <w:spacing w:before="120" w:after="0" w:line="240" w:lineRule="auto"/>
        <w:ind w:left="284"/>
        <w:jc w:val="both"/>
        <w:rPr>
          <w:rFonts w:ascii="Times New Roman" w:hAnsi="Times New Roman"/>
          <w:b/>
          <w:bCs/>
          <w:lang w:eastAsia="hu-HU"/>
        </w:rPr>
      </w:pPr>
      <w:r w:rsidRPr="00517A8E">
        <w:rPr>
          <w:rFonts w:ascii="Times New Roman" w:hAnsi="Times New Roman"/>
          <w:b/>
          <w:bCs/>
          <w:lang w:eastAsia="hu-HU"/>
        </w:rPr>
        <w:lastRenderedPageBreak/>
        <w:t>Attitüdje:</w:t>
      </w:r>
    </w:p>
    <w:p w:rsidR="00F4396F" w:rsidRPr="00517A8E" w:rsidRDefault="00F4396F" w:rsidP="00980876">
      <w:pPr>
        <w:widowControl w:val="0"/>
        <w:numPr>
          <w:ilvl w:val="0"/>
          <w:numId w:val="534"/>
        </w:numPr>
        <w:spacing w:after="0" w:line="240" w:lineRule="auto"/>
        <w:ind w:left="992" w:hanging="357"/>
        <w:jc w:val="both"/>
        <w:rPr>
          <w:rFonts w:ascii="Times New Roman" w:hAnsi="Times New Roman"/>
          <w:bCs/>
          <w:color w:val="000000" w:themeColor="text1"/>
          <w:lang w:eastAsia="hu-HU"/>
        </w:rPr>
      </w:pPr>
      <w:r w:rsidRPr="00517A8E">
        <w:rPr>
          <w:rFonts w:ascii="Times New Roman" w:hAnsi="Times New Roman"/>
          <w:bCs/>
          <w:color w:val="000000" w:themeColor="text1"/>
          <w:lang w:eastAsia="hu-HU"/>
        </w:rPr>
        <w:t>Nyitott a katonai közlekedési szakterületen zajló szakmai, technológiai fejlesztés és innováció megismerésére és elfogadására, hiteles közvetítésére és azok mindennapi munkájába való beillesztésére.</w:t>
      </w:r>
    </w:p>
    <w:p w:rsidR="00F4396F" w:rsidRPr="00517A8E" w:rsidRDefault="00F4396F" w:rsidP="00980876">
      <w:pPr>
        <w:widowControl w:val="0"/>
        <w:numPr>
          <w:ilvl w:val="0"/>
          <w:numId w:val="534"/>
        </w:numPr>
        <w:spacing w:after="0" w:line="240" w:lineRule="auto"/>
        <w:ind w:left="992" w:hanging="357"/>
        <w:jc w:val="both"/>
        <w:rPr>
          <w:rFonts w:ascii="Times New Roman" w:hAnsi="Times New Roman"/>
          <w:bCs/>
          <w:color w:val="000000" w:themeColor="text1"/>
          <w:lang w:eastAsia="hu-HU"/>
        </w:rPr>
      </w:pPr>
      <w:r w:rsidRPr="00517A8E">
        <w:rPr>
          <w:rFonts w:ascii="Times New Roman" w:hAnsi="Times New Roman"/>
          <w:bCs/>
          <w:color w:val="000000" w:themeColor="text1"/>
          <w:lang w:eastAsia="hu-HU"/>
        </w:rPr>
        <w:t>Törekszik arra, hogy önképzése a katonai közlekedési szakterületen folyamatos és szakmai céljaival megegyező legyen.</w:t>
      </w:r>
    </w:p>
    <w:p w:rsidR="00F4396F" w:rsidRPr="00517A8E" w:rsidRDefault="00F4396F" w:rsidP="00980876">
      <w:pPr>
        <w:widowControl w:val="0"/>
        <w:numPr>
          <w:ilvl w:val="0"/>
          <w:numId w:val="534"/>
        </w:numPr>
        <w:spacing w:after="0" w:line="240" w:lineRule="auto"/>
        <w:ind w:left="992" w:hanging="357"/>
        <w:jc w:val="both"/>
        <w:rPr>
          <w:rFonts w:ascii="Times New Roman" w:hAnsi="Times New Roman"/>
          <w:bCs/>
          <w:color w:val="000000" w:themeColor="text1"/>
          <w:lang w:eastAsia="hu-HU"/>
        </w:rPr>
      </w:pPr>
      <w:r w:rsidRPr="00517A8E">
        <w:rPr>
          <w:rFonts w:ascii="Times New Roman" w:hAnsi="Times New Roman"/>
          <w:bCs/>
          <w:color w:val="000000" w:themeColor="text1"/>
          <w:lang w:eastAsia="hu-HU"/>
        </w:rPr>
        <w:t>Elkötelezett a minőségi szakmai munkavégzés iránt, különös tekintettel a közlekedési, szállítási feladatok és folyamatok biztonságos végrehajtására.</w:t>
      </w:r>
    </w:p>
    <w:p w:rsidR="00F4396F" w:rsidRPr="00517A8E" w:rsidRDefault="00F4396F" w:rsidP="00F4396F">
      <w:pPr>
        <w:tabs>
          <w:tab w:val="right" w:pos="900"/>
        </w:tabs>
        <w:spacing w:before="120" w:after="0" w:line="240" w:lineRule="auto"/>
        <w:ind w:left="284"/>
        <w:jc w:val="both"/>
        <w:rPr>
          <w:rFonts w:ascii="Times New Roman" w:hAnsi="Times New Roman"/>
          <w:b/>
          <w:bCs/>
          <w:lang w:eastAsia="hu-HU"/>
        </w:rPr>
      </w:pPr>
      <w:r w:rsidRPr="00517A8E">
        <w:rPr>
          <w:rFonts w:ascii="Times New Roman" w:hAnsi="Times New Roman"/>
          <w:b/>
          <w:bCs/>
          <w:lang w:eastAsia="hu-HU"/>
        </w:rPr>
        <w:t>Autonómiája és felelőssége:</w:t>
      </w:r>
    </w:p>
    <w:p w:rsidR="00F4396F" w:rsidRPr="00517A8E" w:rsidRDefault="00F4396F" w:rsidP="00980876">
      <w:pPr>
        <w:widowControl w:val="0"/>
        <w:numPr>
          <w:ilvl w:val="0"/>
          <w:numId w:val="534"/>
        </w:numPr>
        <w:spacing w:after="0" w:line="240" w:lineRule="auto"/>
        <w:ind w:left="992" w:hanging="357"/>
        <w:jc w:val="both"/>
        <w:rPr>
          <w:rFonts w:ascii="Times New Roman" w:hAnsi="Times New Roman"/>
          <w:bCs/>
          <w:color w:val="000000" w:themeColor="text1"/>
          <w:lang w:eastAsia="hu-HU"/>
        </w:rPr>
      </w:pPr>
      <w:r w:rsidRPr="00517A8E">
        <w:rPr>
          <w:rFonts w:ascii="Times New Roman" w:hAnsi="Times New Roman"/>
          <w:bCs/>
          <w:color w:val="000000" w:themeColor="text1"/>
          <w:lang w:eastAsia="hu-HU"/>
        </w:rPr>
        <w:t>Tisztában van döntéseinek, tevékenységének a katonai logisztikai folyamatok egészére gyakorolt hatásaival, következményeivel.</w:t>
      </w:r>
    </w:p>
    <w:p w:rsidR="00F4396F" w:rsidRPr="00517A8E" w:rsidRDefault="00F4396F" w:rsidP="00980876">
      <w:pPr>
        <w:widowControl w:val="0"/>
        <w:numPr>
          <w:ilvl w:val="0"/>
          <w:numId w:val="534"/>
        </w:numPr>
        <w:spacing w:after="0" w:line="240" w:lineRule="auto"/>
        <w:ind w:left="992" w:hanging="357"/>
        <w:jc w:val="both"/>
        <w:rPr>
          <w:rFonts w:ascii="Times New Roman" w:hAnsi="Times New Roman"/>
          <w:bCs/>
          <w:color w:val="000000" w:themeColor="text1"/>
          <w:lang w:eastAsia="hu-HU"/>
        </w:rPr>
      </w:pPr>
      <w:r w:rsidRPr="00517A8E">
        <w:rPr>
          <w:rFonts w:ascii="Times New Roman" w:hAnsi="Times New Roman"/>
          <w:bCs/>
          <w:lang w:eastAsia="hu-HU"/>
        </w:rPr>
        <w:t>Szakmai</w:t>
      </w:r>
      <w:r w:rsidRPr="00517A8E">
        <w:rPr>
          <w:rFonts w:ascii="Times New Roman" w:hAnsi="Times New Roman"/>
          <w:bCs/>
          <w:color w:val="000000" w:themeColor="text1"/>
          <w:lang w:eastAsia="hu-HU"/>
        </w:rPr>
        <w:t xml:space="preserve"> feladatainak elvégzése során felelősségteljesen együttműködik más szakterület képzett szakembereivel is.</w:t>
      </w:r>
    </w:p>
    <w:p w:rsidR="00F4396F" w:rsidRPr="00517A8E" w:rsidRDefault="00F4396F" w:rsidP="00980876">
      <w:pPr>
        <w:widowControl w:val="0"/>
        <w:numPr>
          <w:ilvl w:val="0"/>
          <w:numId w:val="534"/>
        </w:numPr>
        <w:spacing w:after="0" w:line="240" w:lineRule="auto"/>
        <w:ind w:left="992" w:hanging="357"/>
        <w:jc w:val="both"/>
        <w:rPr>
          <w:rFonts w:ascii="Times New Roman" w:hAnsi="Times New Roman"/>
          <w:bCs/>
          <w:color w:val="000000" w:themeColor="text1"/>
          <w:lang w:eastAsia="hu-HU"/>
        </w:rPr>
      </w:pPr>
      <w:r w:rsidRPr="00517A8E">
        <w:rPr>
          <w:rFonts w:ascii="Times New Roman" w:hAnsi="Times New Roman"/>
          <w:bCs/>
          <w:lang w:eastAsia="hu-HU"/>
        </w:rPr>
        <w:t>Feltárja</w:t>
      </w:r>
      <w:r w:rsidRPr="00517A8E">
        <w:rPr>
          <w:rFonts w:ascii="Times New Roman" w:hAnsi="Times New Roman"/>
          <w:bCs/>
          <w:color w:val="000000" w:themeColor="text1"/>
          <w:lang w:eastAsia="hu-HU"/>
        </w:rPr>
        <w:t xml:space="preserve"> az alkalmazott technológiák hiányosságait, a folyamatok kockázatait és kezdeményezi az ezeket csökkentő intézkedések megtételét.</w:t>
      </w:r>
    </w:p>
    <w:p w:rsidR="00F4396F" w:rsidRPr="00517A8E" w:rsidRDefault="00F4396F" w:rsidP="00F4396F">
      <w:pPr>
        <w:tabs>
          <w:tab w:val="right" w:pos="900"/>
        </w:tabs>
        <w:spacing w:before="120" w:after="0" w:line="240" w:lineRule="auto"/>
        <w:ind w:left="284"/>
        <w:jc w:val="both"/>
        <w:rPr>
          <w:rFonts w:ascii="Times New Roman" w:hAnsi="Times New Roman"/>
          <w:bCs/>
          <w:lang w:eastAsia="hu-HU"/>
        </w:rPr>
      </w:pPr>
      <w:r w:rsidRPr="00517A8E">
        <w:rPr>
          <w:rFonts w:ascii="Times New Roman" w:hAnsi="Times New Roman"/>
          <w:b/>
          <w:bCs/>
          <w:lang w:eastAsia="hu-HU"/>
        </w:rPr>
        <w:t>Elérendő kompetenciák (angolul):</w:t>
      </w:r>
    </w:p>
    <w:p w:rsidR="00F4396F" w:rsidRPr="00517A8E" w:rsidRDefault="00F4396F" w:rsidP="00F4396F">
      <w:pPr>
        <w:tabs>
          <w:tab w:val="right" w:pos="900"/>
        </w:tabs>
        <w:spacing w:before="120" w:after="0" w:line="240" w:lineRule="auto"/>
        <w:ind w:left="284"/>
        <w:jc w:val="both"/>
        <w:rPr>
          <w:rFonts w:ascii="Times New Roman" w:hAnsi="Times New Roman"/>
          <w:b/>
          <w:bCs/>
          <w:lang w:eastAsia="hu-HU"/>
        </w:rPr>
      </w:pPr>
      <w:r w:rsidRPr="00517A8E">
        <w:rPr>
          <w:rFonts w:ascii="Times New Roman" w:hAnsi="Times New Roman"/>
          <w:b/>
          <w:bCs/>
          <w:lang w:eastAsia="hu-HU"/>
        </w:rPr>
        <w:t>Knowledge:</w:t>
      </w:r>
    </w:p>
    <w:p w:rsidR="00F4396F" w:rsidRPr="00517A8E" w:rsidRDefault="00F4396F" w:rsidP="00980876">
      <w:pPr>
        <w:widowControl w:val="0"/>
        <w:numPr>
          <w:ilvl w:val="0"/>
          <w:numId w:val="534"/>
        </w:numPr>
        <w:spacing w:after="120" w:line="240" w:lineRule="auto"/>
        <w:ind w:left="992" w:hanging="357"/>
        <w:jc w:val="both"/>
        <w:rPr>
          <w:rFonts w:ascii="Times New Roman" w:hAnsi="Times New Roman"/>
          <w:bCs/>
          <w:lang w:eastAsia="hu-HU"/>
        </w:rPr>
      </w:pPr>
      <w:r w:rsidRPr="00517A8E">
        <w:rPr>
          <w:rFonts w:ascii="Times New Roman" w:hAnsi="Times New Roman"/>
          <w:bCs/>
          <w:lang w:eastAsia="hu-HU"/>
        </w:rPr>
        <w:t>Having knowledge elements on Basics and Requirements of Logistics, Management, Environmental Protection, Quality Assurance, Information Technology, Law and Economics related to Military Transportation.</w:t>
      </w:r>
    </w:p>
    <w:p w:rsidR="00F4396F" w:rsidRPr="00517A8E" w:rsidRDefault="00F4396F" w:rsidP="00F4396F">
      <w:pPr>
        <w:tabs>
          <w:tab w:val="right" w:pos="900"/>
        </w:tabs>
        <w:spacing w:before="120" w:after="0" w:line="240" w:lineRule="auto"/>
        <w:ind w:left="284"/>
        <w:jc w:val="both"/>
        <w:rPr>
          <w:rFonts w:ascii="Times New Roman" w:hAnsi="Times New Roman"/>
          <w:b/>
          <w:bCs/>
          <w:lang w:eastAsia="hu-HU"/>
        </w:rPr>
      </w:pPr>
      <w:r w:rsidRPr="00517A8E">
        <w:rPr>
          <w:rFonts w:ascii="Times New Roman" w:hAnsi="Times New Roman"/>
          <w:b/>
          <w:bCs/>
          <w:lang w:eastAsia="hu-HU"/>
        </w:rPr>
        <w:t>Abilities:</w:t>
      </w:r>
    </w:p>
    <w:p w:rsidR="00F4396F" w:rsidRPr="00517A8E" w:rsidRDefault="00F4396F" w:rsidP="00980876">
      <w:pPr>
        <w:widowControl w:val="0"/>
        <w:numPr>
          <w:ilvl w:val="0"/>
          <w:numId w:val="534"/>
        </w:numPr>
        <w:spacing w:after="0" w:line="240" w:lineRule="auto"/>
        <w:ind w:left="992" w:hanging="357"/>
        <w:jc w:val="both"/>
        <w:rPr>
          <w:rFonts w:ascii="Times New Roman" w:hAnsi="Times New Roman"/>
          <w:bCs/>
          <w:lang w:eastAsia="hu-HU"/>
        </w:rPr>
      </w:pPr>
      <w:r w:rsidRPr="00517A8E">
        <w:rPr>
          <w:rFonts w:ascii="Times New Roman" w:hAnsi="Times New Roman"/>
          <w:bCs/>
          <w:lang w:eastAsia="hu-HU"/>
        </w:rPr>
        <w:t xml:space="preserve">able to </w:t>
      </w:r>
      <w:r w:rsidRPr="00517A8E">
        <w:rPr>
          <w:rFonts w:ascii="Times New Roman" w:hAnsi="Times New Roman"/>
          <w:bCs/>
          <w:color w:val="000000" w:themeColor="text1"/>
          <w:lang w:eastAsia="hu-HU"/>
        </w:rPr>
        <w:t>conduct</w:t>
      </w:r>
      <w:r w:rsidRPr="00517A8E">
        <w:rPr>
          <w:rFonts w:ascii="Times New Roman" w:hAnsi="Times New Roman"/>
          <w:bCs/>
          <w:lang w:eastAsia="hu-HU"/>
        </w:rPr>
        <w:t xml:space="preserve"> core tasks of the transport specialized units in peacetime, crisis management, disaster relief, peace support and war time operations, national and multi</w:t>
      </w:r>
      <w:r>
        <w:rPr>
          <w:rFonts w:ascii="Times New Roman" w:hAnsi="Times New Roman"/>
          <w:bCs/>
          <w:lang w:eastAsia="hu-HU"/>
        </w:rPr>
        <w:t>national environments;</w:t>
      </w:r>
    </w:p>
    <w:p w:rsidR="00F4396F" w:rsidRPr="00517A8E" w:rsidRDefault="00F4396F" w:rsidP="00980876">
      <w:pPr>
        <w:widowControl w:val="0"/>
        <w:numPr>
          <w:ilvl w:val="0"/>
          <w:numId w:val="534"/>
        </w:numPr>
        <w:spacing w:after="0" w:line="240" w:lineRule="auto"/>
        <w:ind w:left="992" w:hanging="357"/>
        <w:jc w:val="both"/>
        <w:rPr>
          <w:rFonts w:ascii="Times New Roman" w:hAnsi="Times New Roman"/>
          <w:bCs/>
          <w:lang w:eastAsia="hu-HU"/>
        </w:rPr>
      </w:pPr>
      <w:r w:rsidRPr="00517A8E">
        <w:rPr>
          <w:rFonts w:ascii="Times New Roman" w:hAnsi="Times New Roman"/>
          <w:bCs/>
          <w:lang w:eastAsia="hu-HU"/>
        </w:rPr>
        <w:t>capable of planning, organizing and executing military applications of transport networks.</w:t>
      </w:r>
    </w:p>
    <w:p w:rsidR="00F4396F" w:rsidRPr="00517A8E" w:rsidRDefault="00F4396F" w:rsidP="00F4396F">
      <w:pPr>
        <w:tabs>
          <w:tab w:val="right" w:pos="900"/>
        </w:tabs>
        <w:spacing w:before="120" w:after="0" w:line="240" w:lineRule="auto"/>
        <w:ind w:left="284"/>
        <w:jc w:val="both"/>
        <w:rPr>
          <w:rFonts w:ascii="Times New Roman" w:hAnsi="Times New Roman"/>
          <w:bCs/>
          <w:lang w:eastAsia="hu-HU"/>
        </w:rPr>
      </w:pPr>
      <w:r w:rsidRPr="00517A8E">
        <w:rPr>
          <w:rFonts w:ascii="Times New Roman" w:hAnsi="Times New Roman"/>
          <w:b/>
          <w:bCs/>
          <w:lang w:eastAsia="hu-HU"/>
        </w:rPr>
        <w:t>Attitude:</w:t>
      </w:r>
    </w:p>
    <w:p w:rsidR="00F4396F" w:rsidRPr="00517A8E" w:rsidRDefault="00F4396F" w:rsidP="00980876">
      <w:pPr>
        <w:widowControl w:val="0"/>
        <w:numPr>
          <w:ilvl w:val="0"/>
          <w:numId w:val="534"/>
        </w:numPr>
        <w:spacing w:after="0" w:line="240" w:lineRule="auto"/>
        <w:ind w:left="992" w:hanging="357"/>
        <w:jc w:val="both"/>
        <w:rPr>
          <w:rFonts w:ascii="Times New Roman" w:hAnsi="Times New Roman"/>
          <w:bCs/>
          <w:lang w:eastAsia="hu-HU"/>
        </w:rPr>
      </w:pPr>
      <w:r w:rsidRPr="00517A8E">
        <w:rPr>
          <w:rFonts w:ascii="Times New Roman" w:hAnsi="Times New Roman"/>
          <w:bCs/>
          <w:lang w:eastAsia="hu-HU"/>
        </w:rPr>
        <w:t>open minded to knowledge and accept professional, technological development and innovation in the field of military transport, to provide credible mediation and to integrate them into daily work.</w:t>
      </w:r>
    </w:p>
    <w:p w:rsidR="00F4396F" w:rsidRPr="00517A8E" w:rsidRDefault="00F4396F" w:rsidP="00980876">
      <w:pPr>
        <w:widowControl w:val="0"/>
        <w:numPr>
          <w:ilvl w:val="0"/>
          <w:numId w:val="534"/>
        </w:numPr>
        <w:spacing w:after="0" w:line="240" w:lineRule="auto"/>
        <w:ind w:left="992" w:hanging="357"/>
        <w:jc w:val="both"/>
        <w:rPr>
          <w:rFonts w:ascii="Times New Roman" w:hAnsi="Times New Roman"/>
          <w:bCs/>
          <w:lang w:eastAsia="hu-HU"/>
        </w:rPr>
      </w:pPr>
      <w:r w:rsidRPr="00517A8E">
        <w:rPr>
          <w:rFonts w:ascii="Times New Roman" w:hAnsi="Times New Roman"/>
          <w:bCs/>
          <w:lang w:eastAsia="hu-HU"/>
        </w:rPr>
        <w:t>he/she strives to ensure that self-education in the field of military transport is consistent and professional.</w:t>
      </w:r>
    </w:p>
    <w:p w:rsidR="00F4396F" w:rsidRPr="00517A8E" w:rsidRDefault="00F4396F" w:rsidP="00980876">
      <w:pPr>
        <w:widowControl w:val="0"/>
        <w:numPr>
          <w:ilvl w:val="0"/>
          <w:numId w:val="534"/>
        </w:numPr>
        <w:spacing w:after="0" w:line="240" w:lineRule="auto"/>
        <w:ind w:left="992" w:hanging="357"/>
        <w:jc w:val="both"/>
        <w:rPr>
          <w:rFonts w:ascii="Times New Roman" w:hAnsi="Times New Roman"/>
          <w:bCs/>
          <w:lang w:eastAsia="hu-HU"/>
        </w:rPr>
      </w:pPr>
      <w:r w:rsidRPr="00517A8E">
        <w:rPr>
          <w:rFonts w:ascii="Times New Roman" w:hAnsi="Times New Roman"/>
          <w:bCs/>
          <w:lang w:eastAsia="hu-HU"/>
        </w:rPr>
        <w:t>being committed to quality professional work, with particular emphasis on the safe execution of transportation, transportation tasks and processes.</w:t>
      </w:r>
    </w:p>
    <w:p w:rsidR="00F4396F" w:rsidRPr="00517A8E" w:rsidRDefault="00F4396F" w:rsidP="00F4396F">
      <w:pPr>
        <w:tabs>
          <w:tab w:val="right" w:pos="900"/>
        </w:tabs>
        <w:spacing w:before="120" w:after="0" w:line="240" w:lineRule="auto"/>
        <w:ind w:left="284"/>
        <w:jc w:val="both"/>
        <w:rPr>
          <w:rFonts w:ascii="Times New Roman" w:hAnsi="Times New Roman"/>
          <w:bCs/>
          <w:lang w:eastAsia="hu-HU"/>
        </w:rPr>
      </w:pPr>
      <w:r w:rsidRPr="00517A8E">
        <w:rPr>
          <w:rFonts w:ascii="Times New Roman" w:hAnsi="Times New Roman"/>
          <w:b/>
          <w:bCs/>
          <w:lang w:eastAsia="hu-HU"/>
        </w:rPr>
        <w:t>Autonomy and responsibility:</w:t>
      </w:r>
    </w:p>
    <w:p w:rsidR="00F4396F" w:rsidRPr="00517A8E" w:rsidRDefault="00F4396F" w:rsidP="00980876">
      <w:pPr>
        <w:widowControl w:val="0"/>
        <w:numPr>
          <w:ilvl w:val="0"/>
          <w:numId w:val="534"/>
        </w:numPr>
        <w:spacing w:after="0" w:line="240" w:lineRule="auto"/>
        <w:ind w:left="992" w:hanging="357"/>
        <w:jc w:val="both"/>
        <w:rPr>
          <w:rFonts w:ascii="Times New Roman" w:hAnsi="Times New Roman"/>
          <w:bCs/>
          <w:lang w:eastAsia="hu-HU"/>
        </w:rPr>
      </w:pPr>
      <w:r w:rsidRPr="00517A8E">
        <w:rPr>
          <w:rFonts w:ascii="Times New Roman" w:hAnsi="Times New Roman"/>
          <w:bCs/>
          <w:lang w:eastAsia="hu-HU"/>
        </w:rPr>
        <w:t>aware of the effects and consequences of his decisions and activities on the military logistics process as a whole.</w:t>
      </w:r>
    </w:p>
    <w:p w:rsidR="00F4396F" w:rsidRPr="00517A8E" w:rsidRDefault="00F4396F" w:rsidP="00980876">
      <w:pPr>
        <w:widowControl w:val="0"/>
        <w:numPr>
          <w:ilvl w:val="0"/>
          <w:numId w:val="534"/>
        </w:numPr>
        <w:spacing w:after="0" w:line="240" w:lineRule="auto"/>
        <w:ind w:left="992" w:hanging="357"/>
        <w:jc w:val="both"/>
        <w:rPr>
          <w:rFonts w:ascii="Times New Roman" w:hAnsi="Times New Roman"/>
          <w:bCs/>
          <w:lang w:eastAsia="hu-HU"/>
        </w:rPr>
      </w:pPr>
      <w:r w:rsidRPr="00517A8E">
        <w:rPr>
          <w:rFonts w:ascii="Times New Roman" w:hAnsi="Times New Roman"/>
          <w:bCs/>
          <w:lang w:eastAsia="hu-HU"/>
        </w:rPr>
        <w:t>in the performance of his/her professional duties, he/she also cooperates responsibly with qualified professionals from other fields.</w:t>
      </w:r>
    </w:p>
    <w:p w:rsidR="00F4396F" w:rsidRPr="00517A8E" w:rsidRDefault="00F4396F" w:rsidP="00980876">
      <w:pPr>
        <w:widowControl w:val="0"/>
        <w:numPr>
          <w:ilvl w:val="0"/>
          <w:numId w:val="534"/>
        </w:numPr>
        <w:spacing w:after="0" w:line="240" w:lineRule="auto"/>
        <w:ind w:left="992" w:hanging="357"/>
        <w:jc w:val="both"/>
        <w:rPr>
          <w:rFonts w:ascii="Times New Roman" w:hAnsi="Times New Roman"/>
          <w:bCs/>
          <w:lang w:eastAsia="hu-HU"/>
        </w:rPr>
      </w:pPr>
      <w:r w:rsidRPr="00517A8E">
        <w:rPr>
          <w:rFonts w:ascii="Times New Roman" w:hAnsi="Times New Roman"/>
          <w:bCs/>
          <w:lang w:eastAsia="hu-HU"/>
        </w:rPr>
        <w:t>identifies flaws in the technologies used, the risks of the processes and initiates measures to reduce them.</w:t>
      </w:r>
    </w:p>
    <w:p w:rsidR="00F4396F" w:rsidRPr="00517A8E" w:rsidRDefault="00F4396F" w:rsidP="00980876">
      <w:pPr>
        <w:pStyle w:val="Listaszerbekezds"/>
        <w:numPr>
          <w:ilvl w:val="0"/>
          <w:numId w:val="531"/>
        </w:numPr>
        <w:spacing w:before="120" w:after="0" w:line="240" w:lineRule="auto"/>
        <w:ind w:left="357" w:hanging="357"/>
        <w:contextualSpacing w:val="0"/>
        <w:jc w:val="both"/>
        <w:rPr>
          <w:rFonts w:ascii="Times New Roman" w:hAnsi="Times New Roman"/>
          <w:bCs/>
          <w:lang w:eastAsia="hu-HU"/>
        </w:rPr>
      </w:pPr>
      <w:r w:rsidRPr="00517A8E">
        <w:rPr>
          <w:rFonts w:ascii="Times New Roman" w:hAnsi="Times New Roman"/>
          <w:b/>
          <w:bCs/>
          <w:lang w:eastAsia="hu-HU"/>
        </w:rPr>
        <w:t>Előtanulmányi kötelezettségek:</w:t>
      </w:r>
      <w:r w:rsidRPr="00517A8E">
        <w:rPr>
          <w:rFonts w:ascii="Times New Roman" w:hAnsi="Times New Roman"/>
          <w:bCs/>
          <w:lang w:eastAsia="hu-HU"/>
        </w:rPr>
        <w:t xml:space="preserve"> nincs</w:t>
      </w:r>
    </w:p>
    <w:p w:rsidR="00F4396F" w:rsidRPr="00517A8E" w:rsidRDefault="00F4396F" w:rsidP="00980876">
      <w:pPr>
        <w:pStyle w:val="Listaszerbekezds"/>
        <w:numPr>
          <w:ilvl w:val="0"/>
          <w:numId w:val="531"/>
        </w:numPr>
        <w:spacing w:before="120" w:after="0" w:line="240" w:lineRule="auto"/>
        <w:ind w:left="357" w:hanging="357"/>
        <w:contextualSpacing w:val="0"/>
        <w:jc w:val="both"/>
        <w:rPr>
          <w:rFonts w:ascii="Times New Roman" w:hAnsi="Times New Roman"/>
          <w:bCs/>
          <w:lang w:eastAsia="hu-HU"/>
        </w:rPr>
      </w:pPr>
      <w:r w:rsidRPr="00517A8E">
        <w:rPr>
          <w:rFonts w:ascii="Times New Roman" w:hAnsi="Times New Roman"/>
          <w:b/>
          <w:bCs/>
          <w:lang w:eastAsia="hu-HU"/>
        </w:rPr>
        <w:t>A tantárgy tananyagának leírása, tematika.</w:t>
      </w:r>
      <w:r w:rsidRPr="00517A8E">
        <w:rPr>
          <w:rFonts w:ascii="Times New Roman" w:hAnsi="Times New Roman"/>
          <w:b/>
          <w:bCs/>
        </w:rPr>
        <w:t xml:space="preserve"> Description of the subject, curriculum (magyarul, angolul - English):</w:t>
      </w:r>
    </w:p>
    <w:p w:rsidR="00F4396F" w:rsidRPr="00517A8E" w:rsidRDefault="00F4396F" w:rsidP="00980876">
      <w:pPr>
        <w:numPr>
          <w:ilvl w:val="1"/>
          <w:numId w:val="531"/>
        </w:numPr>
        <w:tabs>
          <w:tab w:val="clear" w:pos="792"/>
          <w:tab w:val="num" w:pos="993"/>
        </w:tabs>
        <w:spacing w:after="0" w:line="240" w:lineRule="auto"/>
        <w:ind w:left="993" w:hanging="636"/>
        <w:jc w:val="both"/>
        <w:rPr>
          <w:rFonts w:ascii="Times New Roman" w:hAnsi="Times New Roman"/>
          <w:b/>
          <w:lang w:eastAsia="hu-HU"/>
        </w:rPr>
      </w:pPr>
      <w:r w:rsidRPr="00517A8E">
        <w:rPr>
          <w:rFonts w:ascii="Times New Roman" w:hAnsi="Times New Roman"/>
          <w:lang w:eastAsia="hu-HU"/>
        </w:rPr>
        <w:t xml:space="preserve">A globalizáció és a globális felmelegedés problémái, gazdasági és társadalmi-politikai következményei, a globális prioritások átértékelődése. </w:t>
      </w:r>
      <w:r w:rsidRPr="00517A8E">
        <w:rPr>
          <w:rFonts w:ascii="Times New Roman" w:hAnsi="Times New Roman"/>
          <w:i/>
          <w:lang w:eastAsia="hu-HU"/>
        </w:rPr>
        <w:t>(Problems of the Globalization and Global Warming, their economic and socio-political consequences, reassessing Global Priorities).</w:t>
      </w:r>
    </w:p>
    <w:p w:rsidR="00F4396F" w:rsidRPr="00517A8E" w:rsidRDefault="00F4396F" w:rsidP="00980876">
      <w:pPr>
        <w:numPr>
          <w:ilvl w:val="1"/>
          <w:numId w:val="531"/>
        </w:numPr>
        <w:tabs>
          <w:tab w:val="clear" w:pos="792"/>
          <w:tab w:val="num" w:pos="993"/>
        </w:tabs>
        <w:spacing w:after="0" w:line="240" w:lineRule="auto"/>
        <w:ind w:left="993" w:hanging="636"/>
        <w:jc w:val="both"/>
        <w:rPr>
          <w:rFonts w:ascii="Times New Roman" w:hAnsi="Times New Roman"/>
          <w:b/>
          <w:lang w:eastAsia="hu-HU"/>
        </w:rPr>
      </w:pPr>
      <w:r w:rsidRPr="00517A8E">
        <w:rPr>
          <w:rFonts w:ascii="Times New Roman" w:hAnsi="Times New Roman"/>
          <w:lang w:eastAsia="hu-HU"/>
        </w:rPr>
        <w:t xml:space="preserve">A fenntartható fejlődés állami feladatai. </w:t>
      </w:r>
      <w:r w:rsidRPr="00517A8E">
        <w:rPr>
          <w:rFonts w:ascii="Times New Roman" w:hAnsi="Times New Roman"/>
        </w:rPr>
        <w:t>Kihívások</w:t>
      </w:r>
      <w:r w:rsidRPr="00517A8E">
        <w:rPr>
          <w:rFonts w:ascii="Times New Roman" w:hAnsi="Times New Roman"/>
          <w:lang w:eastAsia="hu-HU"/>
        </w:rPr>
        <w:t xml:space="preserve"> és megatrendek a XXI. században. Kiotói Jegyzőkönyv, Európai Unió közlekedésről szóló fehér könyv, ENSZ és a fenntartható fejlődés</w:t>
      </w:r>
      <w:r w:rsidRPr="00517A8E">
        <w:rPr>
          <w:rFonts w:ascii="Times New Roman" w:hAnsi="Times New Roman"/>
          <w:i/>
          <w:lang w:eastAsia="hu-HU"/>
        </w:rPr>
        <w:t xml:space="preserve"> (State Responsibilities for the Sustainable Development. Challenges </w:t>
      </w:r>
      <w:r w:rsidRPr="00517A8E">
        <w:rPr>
          <w:rFonts w:ascii="Times New Roman" w:hAnsi="Times New Roman"/>
          <w:i/>
          <w:lang w:eastAsia="hu-HU"/>
        </w:rPr>
        <w:lastRenderedPageBreak/>
        <w:t>and Megatrends in the 21st century. Kyoto Protocol, EU Transport White Paper, United Nations and Sustainable Development.)</w:t>
      </w:r>
      <w:r w:rsidRPr="00517A8E">
        <w:rPr>
          <w:rFonts w:ascii="Times New Roman" w:hAnsi="Times New Roman"/>
          <w:lang w:eastAsia="hu-HU"/>
        </w:rPr>
        <w:t>.</w:t>
      </w:r>
    </w:p>
    <w:p w:rsidR="00F4396F" w:rsidRPr="00517A8E" w:rsidRDefault="00F4396F" w:rsidP="00980876">
      <w:pPr>
        <w:numPr>
          <w:ilvl w:val="1"/>
          <w:numId w:val="531"/>
        </w:numPr>
        <w:tabs>
          <w:tab w:val="clear" w:pos="792"/>
          <w:tab w:val="num" w:pos="993"/>
        </w:tabs>
        <w:spacing w:after="0" w:line="240" w:lineRule="auto"/>
        <w:ind w:left="993" w:hanging="636"/>
        <w:jc w:val="both"/>
        <w:rPr>
          <w:rFonts w:ascii="Times New Roman" w:hAnsi="Times New Roman"/>
          <w:b/>
          <w:lang w:eastAsia="hu-HU"/>
        </w:rPr>
      </w:pPr>
      <w:r w:rsidRPr="00517A8E">
        <w:rPr>
          <w:rFonts w:ascii="Times New Roman" w:hAnsi="Times New Roman"/>
        </w:rPr>
        <w:t>Az ellátási lánc és a fenntarthatóság kapcsolata</w:t>
      </w:r>
      <w:r w:rsidRPr="00517A8E">
        <w:rPr>
          <w:rFonts w:ascii="Times New Roman" w:hAnsi="Times New Roman"/>
          <w:lang w:eastAsia="hu-HU"/>
        </w:rPr>
        <w:t xml:space="preserve">. </w:t>
      </w:r>
      <w:r w:rsidRPr="00517A8E">
        <w:rPr>
          <w:rFonts w:ascii="Times New Roman" w:hAnsi="Times New Roman"/>
          <w:i/>
          <w:lang w:eastAsia="hu-HU"/>
        </w:rPr>
        <w:t>(Link between the Supply Chain and Sustainability)</w:t>
      </w:r>
      <w:r w:rsidRPr="00517A8E">
        <w:rPr>
          <w:rFonts w:ascii="Times New Roman" w:hAnsi="Times New Roman"/>
          <w:lang w:eastAsia="hu-HU"/>
        </w:rPr>
        <w:t>.</w:t>
      </w:r>
    </w:p>
    <w:p w:rsidR="00F4396F" w:rsidRPr="00517A8E" w:rsidRDefault="00F4396F" w:rsidP="00980876">
      <w:pPr>
        <w:numPr>
          <w:ilvl w:val="1"/>
          <w:numId w:val="531"/>
        </w:numPr>
        <w:tabs>
          <w:tab w:val="clear" w:pos="792"/>
          <w:tab w:val="num" w:pos="993"/>
        </w:tabs>
        <w:spacing w:after="0" w:line="240" w:lineRule="auto"/>
        <w:ind w:left="993" w:hanging="636"/>
        <w:jc w:val="both"/>
        <w:rPr>
          <w:rFonts w:ascii="Times New Roman" w:hAnsi="Times New Roman"/>
          <w:b/>
          <w:lang w:eastAsia="hu-HU"/>
        </w:rPr>
      </w:pPr>
      <w:r w:rsidRPr="00517A8E">
        <w:rPr>
          <w:rFonts w:ascii="Times New Roman" w:hAnsi="Times New Roman"/>
        </w:rPr>
        <w:t>Közlekedés és a karbon lábnyom, bevezetés a fenntartható szállításba</w:t>
      </w:r>
      <w:r w:rsidRPr="00517A8E">
        <w:rPr>
          <w:rFonts w:ascii="Times New Roman" w:hAnsi="Times New Roman"/>
          <w:lang w:eastAsia="hu-HU"/>
        </w:rPr>
        <w:t xml:space="preserve">. </w:t>
      </w:r>
      <w:r w:rsidRPr="00517A8E">
        <w:rPr>
          <w:rFonts w:ascii="Times New Roman" w:hAnsi="Times New Roman"/>
          <w:i/>
          <w:lang w:eastAsia="hu-HU"/>
        </w:rPr>
        <w:t>(Transportation and the Carbon Footprint, Introduction to Sustainable Transportation)</w:t>
      </w:r>
      <w:r w:rsidRPr="00517A8E">
        <w:rPr>
          <w:rFonts w:ascii="Times New Roman" w:hAnsi="Times New Roman"/>
          <w:lang w:eastAsia="hu-HU"/>
        </w:rPr>
        <w:t>.</w:t>
      </w:r>
    </w:p>
    <w:p w:rsidR="00F4396F" w:rsidRPr="00517A8E" w:rsidRDefault="00F4396F" w:rsidP="00980876">
      <w:pPr>
        <w:numPr>
          <w:ilvl w:val="1"/>
          <w:numId w:val="531"/>
        </w:numPr>
        <w:tabs>
          <w:tab w:val="clear" w:pos="792"/>
          <w:tab w:val="num" w:pos="993"/>
        </w:tabs>
        <w:spacing w:after="0" w:line="240" w:lineRule="auto"/>
        <w:ind w:left="993" w:hanging="636"/>
        <w:jc w:val="both"/>
        <w:rPr>
          <w:rFonts w:ascii="Times New Roman" w:hAnsi="Times New Roman"/>
          <w:lang w:eastAsia="hu-HU"/>
        </w:rPr>
      </w:pPr>
      <w:r w:rsidRPr="00517A8E">
        <w:rPr>
          <w:rFonts w:ascii="Times New Roman" w:hAnsi="Times New Roman"/>
          <w:lang w:eastAsia="hu-HU"/>
        </w:rPr>
        <w:t xml:space="preserve">A szállítás-mozgatás fenntarthatósági irányai. </w:t>
      </w:r>
      <w:r w:rsidRPr="00517A8E">
        <w:rPr>
          <w:rFonts w:ascii="Times New Roman" w:hAnsi="Times New Roman"/>
          <w:i/>
          <w:lang w:eastAsia="hu-HU"/>
        </w:rPr>
        <w:t>(Directions of the Sustainability in the Transportation and Movement).</w:t>
      </w:r>
    </w:p>
    <w:p w:rsidR="00F4396F" w:rsidRPr="00517A8E" w:rsidRDefault="00F4396F" w:rsidP="00980876">
      <w:pPr>
        <w:numPr>
          <w:ilvl w:val="1"/>
          <w:numId w:val="531"/>
        </w:numPr>
        <w:tabs>
          <w:tab w:val="clear" w:pos="792"/>
          <w:tab w:val="num" w:pos="993"/>
        </w:tabs>
        <w:spacing w:after="0" w:line="240" w:lineRule="auto"/>
        <w:ind w:left="993" w:hanging="636"/>
        <w:jc w:val="both"/>
        <w:rPr>
          <w:rFonts w:ascii="Times New Roman" w:hAnsi="Times New Roman"/>
          <w:b/>
          <w:lang w:eastAsia="hu-HU"/>
        </w:rPr>
      </w:pPr>
      <w:r w:rsidRPr="00517A8E">
        <w:rPr>
          <w:rFonts w:ascii="Times New Roman" w:hAnsi="Times New Roman"/>
        </w:rPr>
        <w:t>Környezetvédelem a katonai műveletekben</w:t>
      </w:r>
      <w:r w:rsidRPr="00517A8E">
        <w:rPr>
          <w:rFonts w:ascii="Times New Roman" w:hAnsi="Times New Roman"/>
          <w:lang w:eastAsia="hu-HU"/>
        </w:rPr>
        <w:t xml:space="preserve">. </w:t>
      </w:r>
      <w:r w:rsidRPr="00517A8E">
        <w:rPr>
          <w:rFonts w:ascii="Times New Roman" w:hAnsi="Times New Roman"/>
          <w:i/>
          <w:lang w:eastAsia="hu-HU"/>
        </w:rPr>
        <w:t>(Environmental Protection in Military Operations)</w:t>
      </w:r>
      <w:r w:rsidRPr="00517A8E">
        <w:rPr>
          <w:rFonts w:ascii="Times New Roman" w:hAnsi="Times New Roman"/>
          <w:lang w:eastAsia="hu-HU"/>
        </w:rPr>
        <w:t>.</w:t>
      </w:r>
    </w:p>
    <w:p w:rsidR="00F4396F" w:rsidRPr="00517A8E" w:rsidRDefault="00F4396F" w:rsidP="00980876">
      <w:pPr>
        <w:numPr>
          <w:ilvl w:val="1"/>
          <w:numId w:val="531"/>
        </w:numPr>
        <w:tabs>
          <w:tab w:val="clear" w:pos="792"/>
          <w:tab w:val="num" w:pos="993"/>
        </w:tabs>
        <w:spacing w:after="0" w:line="240" w:lineRule="auto"/>
        <w:ind w:left="993" w:hanging="636"/>
        <w:jc w:val="both"/>
        <w:rPr>
          <w:rFonts w:ascii="Times New Roman" w:hAnsi="Times New Roman"/>
          <w:b/>
          <w:lang w:eastAsia="hu-HU"/>
        </w:rPr>
      </w:pPr>
      <w:r w:rsidRPr="00517A8E">
        <w:rPr>
          <w:rFonts w:ascii="Times New Roman" w:hAnsi="Times New Roman"/>
          <w:lang w:eastAsia="hu-HU"/>
        </w:rPr>
        <w:t xml:space="preserve">A katonai műveletek fenntarthatósági aspektusai. </w:t>
      </w:r>
      <w:r w:rsidRPr="00517A8E">
        <w:rPr>
          <w:rFonts w:ascii="Times New Roman" w:hAnsi="Times New Roman"/>
          <w:i/>
          <w:lang w:eastAsia="hu-HU"/>
        </w:rPr>
        <w:t>(Aspects of Sustanability in the Military Operations).</w:t>
      </w:r>
    </w:p>
    <w:p w:rsidR="00F4396F" w:rsidRPr="00517A8E" w:rsidRDefault="00F4396F" w:rsidP="00980876">
      <w:pPr>
        <w:numPr>
          <w:ilvl w:val="1"/>
          <w:numId w:val="531"/>
        </w:numPr>
        <w:tabs>
          <w:tab w:val="clear" w:pos="792"/>
          <w:tab w:val="num" w:pos="993"/>
        </w:tabs>
        <w:spacing w:after="0" w:line="240" w:lineRule="auto"/>
        <w:ind w:left="788" w:hanging="431"/>
        <w:jc w:val="both"/>
        <w:rPr>
          <w:rFonts w:ascii="Times New Roman" w:hAnsi="Times New Roman"/>
          <w:b/>
          <w:lang w:eastAsia="hu-HU"/>
        </w:rPr>
      </w:pPr>
      <w:r w:rsidRPr="00517A8E">
        <w:rPr>
          <w:rFonts w:ascii="Times New Roman" w:hAnsi="Times New Roman"/>
        </w:rPr>
        <w:t>Haderők a karbon lábnyomában</w:t>
      </w:r>
      <w:r w:rsidRPr="00517A8E">
        <w:rPr>
          <w:rFonts w:ascii="Times New Roman" w:hAnsi="Times New Roman"/>
          <w:lang w:eastAsia="hu-HU"/>
        </w:rPr>
        <w:t xml:space="preserve">. </w:t>
      </w:r>
      <w:r w:rsidRPr="00517A8E">
        <w:rPr>
          <w:rFonts w:ascii="Times New Roman" w:hAnsi="Times New Roman"/>
          <w:i/>
          <w:lang w:eastAsia="hu-HU"/>
        </w:rPr>
        <w:t>(Carbon Footprint in the Military Forces)</w:t>
      </w:r>
      <w:r w:rsidRPr="00517A8E">
        <w:rPr>
          <w:rFonts w:ascii="Times New Roman" w:hAnsi="Times New Roman"/>
          <w:lang w:eastAsia="hu-HU"/>
        </w:rPr>
        <w:t>.</w:t>
      </w:r>
    </w:p>
    <w:p w:rsidR="00F4396F" w:rsidRPr="00517A8E" w:rsidRDefault="00F4396F" w:rsidP="00980876">
      <w:pPr>
        <w:numPr>
          <w:ilvl w:val="1"/>
          <w:numId w:val="531"/>
        </w:numPr>
        <w:tabs>
          <w:tab w:val="clear" w:pos="792"/>
          <w:tab w:val="num" w:pos="993"/>
        </w:tabs>
        <w:spacing w:after="0" w:line="240" w:lineRule="auto"/>
        <w:ind w:left="993" w:hanging="636"/>
        <w:jc w:val="both"/>
        <w:rPr>
          <w:rFonts w:ascii="Times New Roman" w:hAnsi="Times New Roman"/>
          <w:b/>
          <w:lang w:eastAsia="hu-HU"/>
        </w:rPr>
      </w:pPr>
      <w:r w:rsidRPr="00517A8E">
        <w:rPr>
          <w:rFonts w:ascii="Times New Roman" w:hAnsi="Times New Roman"/>
        </w:rPr>
        <w:t xml:space="preserve">A katonai műveleti logisztika karbon lábnyoma </w:t>
      </w:r>
      <w:r w:rsidRPr="00517A8E">
        <w:rPr>
          <w:rFonts w:ascii="Times New Roman" w:hAnsi="Times New Roman"/>
          <w:i/>
          <w:lang w:eastAsia="hu-HU"/>
        </w:rPr>
        <w:t>(Carbon Footprint in Military Operational Logistics)</w:t>
      </w:r>
    </w:p>
    <w:p w:rsidR="00F4396F" w:rsidRPr="00517A8E" w:rsidRDefault="00F4396F" w:rsidP="00980876">
      <w:pPr>
        <w:numPr>
          <w:ilvl w:val="1"/>
          <w:numId w:val="531"/>
        </w:numPr>
        <w:tabs>
          <w:tab w:val="clear" w:pos="792"/>
          <w:tab w:val="num" w:pos="993"/>
        </w:tabs>
        <w:spacing w:after="0" w:line="240" w:lineRule="auto"/>
        <w:ind w:left="993" w:hanging="636"/>
        <w:jc w:val="both"/>
        <w:rPr>
          <w:rFonts w:ascii="Times New Roman" w:hAnsi="Times New Roman"/>
          <w:lang w:eastAsia="hu-HU"/>
        </w:rPr>
      </w:pPr>
      <w:r w:rsidRPr="00517A8E">
        <w:rPr>
          <w:rFonts w:ascii="Times New Roman" w:hAnsi="Times New Roman"/>
        </w:rPr>
        <w:t>A katonai hulladékgazdálkodás, veszélyes anyagok kezelése</w:t>
      </w:r>
      <w:r w:rsidRPr="00517A8E">
        <w:rPr>
          <w:rFonts w:ascii="Times New Roman" w:hAnsi="Times New Roman"/>
          <w:lang w:eastAsia="hu-HU"/>
        </w:rPr>
        <w:t xml:space="preserve">. </w:t>
      </w:r>
      <w:r w:rsidRPr="00517A8E">
        <w:rPr>
          <w:rFonts w:ascii="Times New Roman" w:hAnsi="Times New Roman"/>
          <w:i/>
          <w:lang w:eastAsia="hu-HU"/>
        </w:rPr>
        <w:t>(Military Waste Management, Treatment of Hazardous Materials)</w:t>
      </w:r>
      <w:r w:rsidRPr="00517A8E">
        <w:rPr>
          <w:rFonts w:ascii="Times New Roman" w:hAnsi="Times New Roman"/>
          <w:lang w:eastAsia="hu-HU"/>
        </w:rPr>
        <w:t>.</w:t>
      </w:r>
    </w:p>
    <w:p w:rsidR="00F4396F" w:rsidRPr="00517A8E" w:rsidRDefault="00F4396F" w:rsidP="00980876">
      <w:pPr>
        <w:numPr>
          <w:ilvl w:val="1"/>
          <w:numId w:val="531"/>
        </w:numPr>
        <w:tabs>
          <w:tab w:val="clear" w:pos="792"/>
          <w:tab w:val="num" w:pos="993"/>
        </w:tabs>
        <w:spacing w:after="0" w:line="240" w:lineRule="auto"/>
        <w:ind w:left="993" w:hanging="636"/>
        <w:jc w:val="both"/>
        <w:rPr>
          <w:rFonts w:ascii="Times New Roman" w:hAnsi="Times New Roman"/>
          <w:lang w:eastAsia="hu-HU"/>
        </w:rPr>
      </w:pPr>
      <w:r w:rsidRPr="00517A8E">
        <w:rPr>
          <w:rFonts w:ascii="Times New Roman" w:hAnsi="Times New Roman"/>
        </w:rPr>
        <w:t xml:space="preserve">A megújuló </w:t>
      </w:r>
      <w:r w:rsidRPr="00517A8E">
        <w:rPr>
          <w:rFonts w:ascii="Times New Roman" w:hAnsi="Times New Roman"/>
          <w:lang w:eastAsia="hu-HU"/>
        </w:rPr>
        <w:t>energia</w:t>
      </w:r>
      <w:r w:rsidRPr="00517A8E">
        <w:rPr>
          <w:rFonts w:ascii="Times New Roman" w:hAnsi="Times New Roman"/>
        </w:rPr>
        <w:t xml:space="preserve"> és alternatív üzemanyagok megjelenése a haderőkben</w:t>
      </w:r>
      <w:r w:rsidRPr="00517A8E">
        <w:rPr>
          <w:rFonts w:ascii="Times New Roman" w:hAnsi="Times New Roman"/>
          <w:lang w:eastAsia="hu-HU"/>
        </w:rPr>
        <w:t xml:space="preserve">. </w:t>
      </w:r>
      <w:r w:rsidRPr="00517A8E">
        <w:rPr>
          <w:rFonts w:ascii="Times New Roman" w:hAnsi="Times New Roman"/>
          <w:i/>
          <w:lang w:eastAsia="hu-HU"/>
        </w:rPr>
        <w:t>(Military Use of Renewable Energy and Alternative Fuels)</w:t>
      </w:r>
      <w:r w:rsidRPr="00517A8E">
        <w:rPr>
          <w:rFonts w:ascii="Times New Roman" w:hAnsi="Times New Roman"/>
          <w:lang w:eastAsia="hu-HU"/>
        </w:rPr>
        <w:t>.</w:t>
      </w:r>
    </w:p>
    <w:p w:rsidR="00F4396F" w:rsidRPr="00517A8E" w:rsidRDefault="00F4396F" w:rsidP="00980876">
      <w:pPr>
        <w:numPr>
          <w:ilvl w:val="1"/>
          <w:numId w:val="531"/>
        </w:numPr>
        <w:tabs>
          <w:tab w:val="clear" w:pos="792"/>
          <w:tab w:val="num" w:pos="993"/>
        </w:tabs>
        <w:spacing w:after="0" w:line="240" w:lineRule="auto"/>
        <w:ind w:left="993" w:hanging="636"/>
        <w:jc w:val="both"/>
        <w:rPr>
          <w:rFonts w:ascii="Times New Roman" w:hAnsi="Times New Roman"/>
          <w:lang w:eastAsia="hu-HU"/>
        </w:rPr>
      </w:pPr>
      <w:r w:rsidRPr="00517A8E">
        <w:rPr>
          <w:rFonts w:ascii="Times New Roman" w:hAnsi="Times New Roman"/>
        </w:rPr>
        <w:t>A honvédelmi ágazati katasztrófavédelem karbon lábnyoma</w:t>
      </w:r>
      <w:r w:rsidRPr="00517A8E">
        <w:rPr>
          <w:rFonts w:ascii="Times New Roman" w:hAnsi="Times New Roman"/>
          <w:lang w:eastAsia="hu-HU"/>
        </w:rPr>
        <w:t xml:space="preserve">. </w:t>
      </w:r>
      <w:r w:rsidRPr="00517A8E">
        <w:rPr>
          <w:rFonts w:ascii="Times New Roman" w:hAnsi="Times New Roman"/>
          <w:i/>
          <w:lang w:eastAsia="hu-HU"/>
        </w:rPr>
        <w:t>(Carbon Footprint of Military Disaster Management Operations and Defense Industry)</w:t>
      </w:r>
      <w:r w:rsidRPr="00517A8E">
        <w:rPr>
          <w:rFonts w:ascii="Times New Roman" w:hAnsi="Times New Roman"/>
          <w:lang w:eastAsia="hu-HU"/>
        </w:rPr>
        <w:t>.</w:t>
      </w:r>
    </w:p>
    <w:p w:rsidR="00F4396F" w:rsidRPr="00517A8E" w:rsidRDefault="00F4396F" w:rsidP="00980876">
      <w:pPr>
        <w:numPr>
          <w:ilvl w:val="1"/>
          <w:numId w:val="531"/>
        </w:numPr>
        <w:tabs>
          <w:tab w:val="clear" w:pos="792"/>
          <w:tab w:val="num" w:pos="993"/>
        </w:tabs>
        <w:spacing w:after="0" w:line="240" w:lineRule="auto"/>
        <w:ind w:left="993" w:hanging="636"/>
        <w:jc w:val="both"/>
        <w:rPr>
          <w:rFonts w:ascii="Times New Roman" w:hAnsi="Times New Roman"/>
          <w:lang w:eastAsia="hu-HU"/>
        </w:rPr>
      </w:pPr>
      <w:r w:rsidRPr="00517A8E">
        <w:rPr>
          <w:rFonts w:ascii="Times New Roman" w:hAnsi="Times New Roman"/>
        </w:rPr>
        <w:t>Esettanulmányok és bevett gyakorlatok a katonai környezetvédelemben és fenntarthatóságban</w:t>
      </w:r>
      <w:r w:rsidRPr="00517A8E">
        <w:rPr>
          <w:rFonts w:ascii="Times New Roman" w:hAnsi="Times New Roman"/>
          <w:lang w:eastAsia="hu-HU"/>
        </w:rPr>
        <w:t xml:space="preserve">. </w:t>
      </w:r>
      <w:r w:rsidRPr="00517A8E">
        <w:rPr>
          <w:rFonts w:ascii="Times New Roman" w:hAnsi="Times New Roman"/>
          <w:i/>
          <w:lang w:eastAsia="hu-HU"/>
        </w:rPr>
        <w:t>(Case Studies and Best Practices in military Environmental Protection and Sustainability)</w:t>
      </w:r>
      <w:r w:rsidRPr="00517A8E">
        <w:rPr>
          <w:rFonts w:ascii="Times New Roman" w:hAnsi="Times New Roman"/>
          <w:lang w:eastAsia="hu-HU"/>
        </w:rPr>
        <w:t>.</w:t>
      </w:r>
    </w:p>
    <w:p w:rsidR="00F4396F" w:rsidRPr="00517A8E" w:rsidRDefault="00F4396F" w:rsidP="00980876">
      <w:pPr>
        <w:pStyle w:val="lfej"/>
        <w:numPr>
          <w:ilvl w:val="0"/>
          <w:numId w:val="531"/>
        </w:numPr>
        <w:tabs>
          <w:tab w:val="clear" w:pos="4536"/>
          <w:tab w:val="clear" w:pos="9072"/>
          <w:tab w:val="right" w:pos="900"/>
        </w:tabs>
        <w:spacing w:before="120"/>
        <w:jc w:val="both"/>
        <w:rPr>
          <w:rFonts w:ascii="Times New Roman" w:hAnsi="Times New Roman"/>
          <w:bCs/>
        </w:rPr>
      </w:pPr>
      <w:r w:rsidRPr="00517A8E">
        <w:rPr>
          <w:rFonts w:ascii="Times New Roman" w:hAnsi="Times New Roman"/>
          <w:b/>
          <w:bCs/>
        </w:rPr>
        <w:t>A tantárgy meghirdetésének gyakorisága/a tantervben történő félévi elhelyezkedése: évente/</w:t>
      </w:r>
      <w:r w:rsidRPr="00517A8E">
        <w:rPr>
          <w:rFonts w:ascii="Times New Roman" w:hAnsi="Times New Roman"/>
          <w:bCs/>
        </w:rPr>
        <w:t>2. szemeszter</w:t>
      </w:r>
    </w:p>
    <w:p w:rsidR="00F4396F" w:rsidRPr="00517A8E" w:rsidRDefault="00F4396F" w:rsidP="00980876">
      <w:pPr>
        <w:pStyle w:val="lfej"/>
        <w:numPr>
          <w:ilvl w:val="0"/>
          <w:numId w:val="531"/>
        </w:numPr>
        <w:tabs>
          <w:tab w:val="clear" w:pos="4536"/>
          <w:tab w:val="clear" w:pos="9072"/>
          <w:tab w:val="right" w:pos="900"/>
        </w:tabs>
        <w:spacing w:before="120"/>
        <w:jc w:val="both"/>
        <w:rPr>
          <w:rFonts w:ascii="Times New Roman" w:hAnsi="Times New Roman"/>
          <w:bCs/>
        </w:rPr>
      </w:pPr>
      <w:r w:rsidRPr="00517A8E">
        <w:rPr>
          <w:rFonts w:ascii="Times New Roman" w:hAnsi="Times New Roman"/>
          <w:b/>
          <w:bCs/>
        </w:rPr>
        <w:t>A foglalkozásokon való részvétel követelményei, elfogadható hiányzások mértéke, távolmaradás pótlásának lehetősége:</w:t>
      </w:r>
      <w:r w:rsidRPr="00517A8E">
        <w:rPr>
          <w:rFonts w:ascii="Times New Roman" w:hAnsi="Times New Roman"/>
          <w:bCs/>
        </w:rPr>
        <w:t xml:space="preserve"> A hallgató köteles az elméleti foglalkozások 70%-án részt venni. A hiányzás mértékének túllépése az aláírás megtagadásával jár. Az igazolt hiányzás következtében elmaradt foglalkozások oktatóval egyezetetett időpontokban csoportosan pótolhatók.</w:t>
      </w:r>
    </w:p>
    <w:p w:rsidR="00F4396F" w:rsidRPr="00517A8E" w:rsidRDefault="00F4396F" w:rsidP="00980876">
      <w:pPr>
        <w:pStyle w:val="lfej"/>
        <w:numPr>
          <w:ilvl w:val="0"/>
          <w:numId w:val="531"/>
        </w:numPr>
        <w:tabs>
          <w:tab w:val="clear" w:pos="4536"/>
          <w:tab w:val="clear" w:pos="9072"/>
          <w:tab w:val="right" w:pos="900"/>
        </w:tabs>
        <w:spacing w:before="120"/>
        <w:jc w:val="both"/>
        <w:rPr>
          <w:rFonts w:ascii="Times New Roman" w:hAnsi="Times New Roman"/>
          <w:bCs/>
        </w:rPr>
      </w:pPr>
      <w:r w:rsidRPr="00517A8E">
        <w:rPr>
          <w:rFonts w:ascii="Times New Roman" w:hAnsi="Times New Roman"/>
          <w:b/>
        </w:rPr>
        <w:t>Félévközi feladatok, ismeretek ellenőrzésének rendje:</w:t>
      </w:r>
      <w:r w:rsidRPr="00517A8E">
        <w:rPr>
          <w:rFonts w:ascii="Times New Roman" w:hAnsi="Times New Roman"/>
          <w:bCs/>
        </w:rPr>
        <w:t xml:space="preserve"> A félév során a hallgató </w:t>
      </w:r>
      <w:r w:rsidRPr="00517A8E">
        <w:rPr>
          <w:rFonts w:ascii="Times New Roman" w:hAnsi="Times New Roman"/>
        </w:rPr>
        <w:t>egy zárthelyi dolgozatot ír (ötfokozatú skála: 50%+1 pont elégséges, 60% közepes, 75% jó, 90% jeles) és egy beadandót készít (ötfokozatú skála: 50%+1 pont elégséges, 60% közepes, 75% jó, 90% jeles) a 12. pontban foglalt tárgykörökből. Az elégtelen osztályzatra értékelt vagy elmaradt zárthelyi dolgozat, beadandó a szorgalmi időszak végéig egy alkalommal javítható, illetve pótolható</w:t>
      </w:r>
    </w:p>
    <w:p w:rsidR="00F4396F" w:rsidRPr="00517A8E" w:rsidRDefault="00F4396F" w:rsidP="00980876">
      <w:pPr>
        <w:pStyle w:val="lfej"/>
        <w:numPr>
          <w:ilvl w:val="0"/>
          <w:numId w:val="531"/>
        </w:numPr>
        <w:tabs>
          <w:tab w:val="clear" w:pos="4536"/>
          <w:tab w:val="clear" w:pos="9072"/>
          <w:tab w:val="right" w:pos="900"/>
        </w:tabs>
        <w:spacing w:before="120"/>
        <w:jc w:val="both"/>
        <w:rPr>
          <w:rFonts w:ascii="Times New Roman" w:hAnsi="Times New Roman"/>
          <w:bCs/>
        </w:rPr>
      </w:pPr>
      <w:r w:rsidRPr="00517A8E">
        <w:rPr>
          <w:rFonts w:ascii="Times New Roman" w:hAnsi="Times New Roman"/>
          <w:b/>
          <w:bCs/>
        </w:rPr>
        <w:t xml:space="preserve">Az értékelés az aláírás és a kreditek megszerzésének pontos feltételei </w:t>
      </w:r>
    </w:p>
    <w:p w:rsidR="00F4396F" w:rsidRPr="00517A8E" w:rsidRDefault="00F4396F" w:rsidP="00980876">
      <w:pPr>
        <w:pStyle w:val="lfej"/>
        <w:numPr>
          <w:ilvl w:val="1"/>
          <w:numId w:val="531"/>
        </w:numPr>
        <w:tabs>
          <w:tab w:val="clear" w:pos="4536"/>
          <w:tab w:val="clear" w:pos="9072"/>
          <w:tab w:val="right" w:pos="900"/>
        </w:tabs>
        <w:spacing w:before="120"/>
        <w:jc w:val="both"/>
        <w:rPr>
          <w:rFonts w:ascii="Times New Roman" w:hAnsi="Times New Roman"/>
          <w:bCs/>
        </w:rPr>
      </w:pPr>
      <w:r w:rsidRPr="00517A8E">
        <w:rPr>
          <w:rFonts w:ascii="Times New Roman" w:hAnsi="Times New Roman"/>
          <w:b/>
        </w:rPr>
        <w:t xml:space="preserve">Az aláírás megszerzésének feltételei: </w:t>
      </w:r>
      <w:r w:rsidRPr="00517A8E">
        <w:rPr>
          <w:rFonts w:ascii="Times New Roman" w:hAnsi="Times New Roman"/>
        </w:rPr>
        <w:t>tanórákon való részvétel a 14. pontban meghatározottak szerint, illetve a zárthelyi dolgozat és a beadandó teljesítése legalább elégséges értékeléssel.</w:t>
      </w:r>
    </w:p>
    <w:p w:rsidR="00F4396F" w:rsidRPr="00517A8E" w:rsidRDefault="00F4396F" w:rsidP="00980876">
      <w:pPr>
        <w:pStyle w:val="lfej"/>
        <w:numPr>
          <w:ilvl w:val="1"/>
          <w:numId w:val="531"/>
        </w:numPr>
        <w:tabs>
          <w:tab w:val="clear" w:pos="4536"/>
          <w:tab w:val="clear" w:pos="9072"/>
          <w:tab w:val="right" w:pos="900"/>
        </w:tabs>
        <w:spacing w:before="120"/>
        <w:jc w:val="both"/>
        <w:rPr>
          <w:rFonts w:ascii="Times New Roman" w:hAnsi="Times New Roman"/>
          <w:bCs/>
        </w:rPr>
      </w:pPr>
      <w:r w:rsidRPr="00517A8E">
        <w:rPr>
          <w:rFonts w:ascii="Times New Roman" w:hAnsi="Times New Roman"/>
          <w:b/>
        </w:rPr>
        <w:t>Az értékelés</w:t>
      </w:r>
      <w:r w:rsidRPr="00517A8E">
        <w:rPr>
          <w:rFonts w:ascii="Times New Roman" w:hAnsi="Times New Roman"/>
        </w:rPr>
        <w:t xml:space="preserve"> évközi értékelés (</w:t>
      </w:r>
      <w:r w:rsidRPr="00517A8E">
        <w:rPr>
          <w:rFonts w:ascii="Times New Roman" w:hAnsi="Times New Roman"/>
          <w:bCs/>
        </w:rPr>
        <w:t>ötfokozatú értékelés a zárthelyi dolgozat és a beadandó eredményeinek kerekített számtani átlaga alapján)</w:t>
      </w:r>
      <w:r w:rsidRPr="00517A8E">
        <w:rPr>
          <w:rFonts w:ascii="Times New Roman" w:hAnsi="Times New Roman"/>
          <w:bCs/>
          <w:i/>
        </w:rPr>
        <w:t>.</w:t>
      </w:r>
    </w:p>
    <w:p w:rsidR="00F4396F" w:rsidRPr="00517A8E" w:rsidRDefault="00F4396F" w:rsidP="00980876">
      <w:pPr>
        <w:pStyle w:val="lfej"/>
        <w:numPr>
          <w:ilvl w:val="1"/>
          <w:numId w:val="531"/>
        </w:numPr>
        <w:tabs>
          <w:tab w:val="clear" w:pos="4536"/>
          <w:tab w:val="clear" w:pos="9072"/>
          <w:tab w:val="right" w:pos="900"/>
        </w:tabs>
        <w:spacing w:before="120"/>
        <w:jc w:val="both"/>
        <w:rPr>
          <w:rFonts w:ascii="Times New Roman" w:hAnsi="Times New Roman"/>
          <w:bCs/>
        </w:rPr>
      </w:pPr>
      <w:r w:rsidRPr="00517A8E">
        <w:rPr>
          <w:rFonts w:ascii="Times New Roman" w:hAnsi="Times New Roman"/>
          <w:b/>
        </w:rPr>
        <w:t xml:space="preserve">A kreditek megszerzésének feltételei: </w:t>
      </w:r>
      <w:r w:rsidRPr="00517A8E">
        <w:rPr>
          <w:rFonts w:ascii="Times New Roman" w:hAnsi="Times New Roman"/>
        </w:rPr>
        <w:t>az aláírás megszerzése és legalább elégséges évközi értékelés.</w:t>
      </w:r>
    </w:p>
    <w:p w:rsidR="00F4396F" w:rsidRPr="00517A8E" w:rsidRDefault="00F4396F" w:rsidP="00980876">
      <w:pPr>
        <w:numPr>
          <w:ilvl w:val="0"/>
          <w:numId w:val="531"/>
        </w:numPr>
        <w:tabs>
          <w:tab w:val="right" w:pos="900"/>
        </w:tabs>
        <w:spacing w:before="120" w:after="0" w:line="240" w:lineRule="auto"/>
        <w:jc w:val="both"/>
        <w:rPr>
          <w:rFonts w:ascii="Times New Roman" w:hAnsi="Times New Roman"/>
          <w:bCs/>
          <w:lang w:eastAsia="hu-HU"/>
        </w:rPr>
      </w:pPr>
      <w:r w:rsidRPr="00517A8E">
        <w:rPr>
          <w:rFonts w:ascii="Times New Roman" w:hAnsi="Times New Roman"/>
          <w:b/>
          <w:bCs/>
          <w:lang w:eastAsia="hu-HU"/>
        </w:rPr>
        <w:t>Irodalomjegyzék:</w:t>
      </w:r>
    </w:p>
    <w:p w:rsidR="00F4396F" w:rsidRPr="00977418" w:rsidRDefault="00F4396F" w:rsidP="00980876">
      <w:pPr>
        <w:numPr>
          <w:ilvl w:val="1"/>
          <w:numId w:val="531"/>
        </w:numPr>
        <w:tabs>
          <w:tab w:val="right" w:pos="900"/>
          <w:tab w:val="center" w:pos="4536"/>
          <w:tab w:val="right" w:pos="9072"/>
        </w:tabs>
        <w:spacing w:before="120" w:after="0" w:line="240" w:lineRule="auto"/>
        <w:jc w:val="both"/>
        <w:rPr>
          <w:rFonts w:ascii="Times New Roman" w:hAnsi="Times New Roman"/>
          <w:b/>
          <w:bCs/>
          <w:lang w:eastAsia="hu-HU"/>
        </w:rPr>
      </w:pPr>
      <w:r w:rsidRPr="00977418">
        <w:rPr>
          <w:rFonts w:ascii="Times New Roman" w:hAnsi="Times New Roman"/>
          <w:b/>
          <w:bCs/>
          <w:lang w:eastAsia="hu-HU"/>
        </w:rPr>
        <w:t>Kötelező irodalom:</w:t>
      </w:r>
    </w:p>
    <w:p w:rsidR="00F4396F" w:rsidRPr="00977418" w:rsidRDefault="00F4396F" w:rsidP="00980876">
      <w:pPr>
        <w:pStyle w:val="Listaszerbekezds"/>
        <w:numPr>
          <w:ilvl w:val="0"/>
          <w:numId w:val="532"/>
        </w:numPr>
        <w:tabs>
          <w:tab w:val="right" w:pos="993"/>
        </w:tabs>
        <w:spacing w:after="0" w:line="240" w:lineRule="auto"/>
        <w:ind w:left="993" w:hanging="426"/>
        <w:jc w:val="both"/>
        <w:rPr>
          <w:rFonts w:ascii="Times New Roman" w:hAnsi="Times New Roman"/>
          <w:highlight w:val="yellow"/>
          <w:lang w:eastAsia="hu-HU"/>
        </w:rPr>
      </w:pPr>
      <w:r w:rsidRPr="00977418">
        <w:rPr>
          <w:rFonts w:ascii="Times New Roman" w:hAnsi="Times New Roman"/>
          <w:highlight w:val="yellow"/>
          <w:lang w:eastAsia="hu-HU"/>
        </w:rPr>
        <w:t>Knoll P., Lakatos P.: Közszolgálat és fenntarthatóság, Budapest, Nemzeti Közszolgálati Egyetem, ISBN 978-615-5491-64-1, 2014</w:t>
      </w:r>
    </w:p>
    <w:p w:rsidR="00F4396F" w:rsidRPr="00517A8E" w:rsidRDefault="00F4396F" w:rsidP="00980876">
      <w:pPr>
        <w:pStyle w:val="Listaszerbekezds"/>
        <w:numPr>
          <w:ilvl w:val="0"/>
          <w:numId w:val="532"/>
        </w:numPr>
        <w:tabs>
          <w:tab w:val="right" w:pos="993"/>
        </w:tabs>
        <w:spacing w:after="0" w:line="240" w:lineRule="auto"/>
        <w:ind w:left="993" w:hanging="426"/>
        <w:jc w:val="both"/>
        <w:rPr>
          <w:rFonts w:ascii="Times New Roman" w:hAnsi="Times New Roman"/>
          <w:lang w:eastAsia="hu-HU"/>
        </w:rPr>
      </w:pPr>
      <w:r w:rsidRPr="00517A8E">
        <w:rPr>
          <w:rFonts w:ascii="Times New Roman" w:hAnsi="Times New Roman"/>
          <w:lang w:eastAsia="hu-HU"/>
        </w:rPr>
        <w:t xml:space="preserve">Baranyai G., </w:t>
      </w:r>
      <w:r w:rsidR="00977418">
        <w:rPr>
          <w:rFonts w:ascii="Times New Roman" w:hAnsi="Times New Roman"/>
          <w:lang w:eastAsia="hu-HU"/>
        </w:rPr>
        <w:t xml:space="preserve">- </w:t>
      </w:r>
      <w:r w:rsidRPr="00517A8E">
        <w:rPr>
          <w:rFonts w:ascii="Times New Roman" w:hAnsi="Times New Roman"/>
          <w:lang w:eastAsia="hu-HU"/>
        </w:rPr>
        <w:t>Csernus D.I.: A fenntartható fejlődés és az állam feladatai, Dialóg Campus, ISBN 978-615-5889-99-8, 2018</w:t>
      </w:r>
    </w:p>
    <w:p w:rsidR="00F4396F" w:rsidRPr="00977418" w:rsidRDefault="00F4396F" w:rsidP="00980876">
      <w:pPr>
        <w:numPr>
          <w:ilvl w:val="1"/>
          <w:numId w:val="531"/>
        </w:numPr>
        <w:tabs>
          <w:tab w:val="right" w:pos="900"/>
          <w:tab w:val="center" w:pos="4536"/>
          <w:tab w:val="right" w:pos="9072"/>
        </w:tabs>
        <w:spacing w:before="120" w:after="120" w:line="240" w:lineRule="auto"/>
        <w:ind w:left="788" w:hanging="431"/>
        <w:jc w:val="both"/>
        <w:rPr>
          <w:rFonts w:ascii="Times New Roman" w:hAnsi="Times New Roman"/>
          <w:b/>
          <w:bCs/>
          <w:lang w:eastAsia="hu-HU"/>
        </w:rPr>
      </w:pPr>
      <w:r w:rsidRPr="00977418">
        <w:rPr>
          <w:rFonts w:ascii="Times New Roman" w:hAnsi="Times New Roman"/>
          <w:b/>
          <w:bCs/>
          <w:lang w:eastAsia="hu-HU"/>
        </w:rPr>
        <w:lastRenderedPageBreak/>
        <w:t>Ajánlott irodalom:</w:t>
      </w:r>
    </w:p>
    <w:p w:rsidR="00F4396F" w:rsidRPr="00977418" w:rsidRDefault="00F4396F" w:rsidP="00980876">
      <w:pPr>
        <w:pStyle w:val="Listaszerbekezds"/>
        <w:numPr>
          <w:ilvl w:val="0"/>
          <w:numId w:val="533"/>
        </w:numPr>
        <w:tabs>
          <w:tab w:val="right" w:pos="993"/>
        </w:tabs>
        <w:spacing w:after="0" w:line="240" w:lineRule="auto"/>
        <w:ind w:left="993" w:hanging="426"/>
        <w:jc w:val="both"/>
        <w:rPr>
          <w:rFonts w:ascii="Times New Roman" w:hAnsi="Times New Roman"/>
          <w:highlight w:val="yellow"/>
          <w:lang w:eastAsia="hu-HU"/>
        </w:rPr>
      </w:pPr>
      <w:r w:rsidRPr="00977418">
        <w:rPr>
          <w:rFonts w:ascii="Times New Roman" w:hAnsi="Times New Roman"/>
          <w:highlight w:val="yellow"/>
          <w:lang w:eastAsia="hu-HU"/>
        </w:rPr>
        <w:t>Environmental Management System in NATO Operations (AJEPP-3)</w:t>
      </w:r>
    </w:p>
    <w:p w:rsidR="00F4396F" w:rsidRPr="00977418" w:rsidRDefault="00F4396F" w:rsidP="00980876">
      <w:pPr>
        <w:pStyle w:val="Listaszerbekezds"/>
        <w:numPr>
          <w:ilvl w:val="0"/>
          <w:numId w:val="533"/>
        </w:numPr>
        <w:tabs>
          <w:tab w:val="right" w:pos="993"/>
        </w:tabs>
        <w:spacing w:after="0" w:line="240" w:lineRule="auto"/>
        <w:ind w:left="993" w:hanging="426"/>
        <w:jc w:val="both"/>
        <w:rPr>
          <w:rFonts w:ascii="Times New Roman" w:hAnsi="Times New Roman"/>
          <w:highlight w:val="yellow"/>
          <w:lang w:eastAsia="hu-HU"/>
        </w:rPr>
      </w:pPr>
      <w:r w:rsidRPr="00977418">
        <w:rPr>
          <w:rFonts w:ascii="Times New Roman" w:hAnsi="Times New Roman"/>
          <w:highlight w:val="yellow"/>
          <w:lang w:eastAsia="hu-HU"/>
        </w:rPr>
        <w:t>NATO ENSEC COE: Energy Security: Operational Highlights, Vilnius, ISSN 2335-7975, 2019</w:t>
      </w:r>
    </w:p>
    <w:p w:rsidR="00F4396F" w:rsidRPr="00977418" w:rsidRDefault="00F4396F" w:rsidP="00980876">
      <w:pPr>
        <w:pStyle w:val="Listaszerbekezds"/>
        <w:numPr>
          <w:ilvl w:val="0"/>
          <w:numId w:val="533"/>
        </w:numPr>
        <w:tabs>
          <w:tab w:val="right" w:pos="993"/>
        </w:tabs>
        <w:spacing w:after="0" w:line="240" w:lineRule="auto"/>
        <w:ind w:left="993" w:hanging="426"/>
        <w:jc w:val="both"/>
        <w:rPr>
          <w:rFonts w:ascii="Times New Roman" w:hAnsi="Times New Roman"/>
          <w:highlight w:val="yellow"/>
          <w:lang w:eastAsia="hu-HU"/>
        </w:rPr>
      </w:pPr>
      <w:r w:rsidRPr="00977418">
        <w:rPr>
          <w:rFonts w:ascii="Times New Roman" w:hAnsi="Times New Roman"/>
          <w:highlight w:val="yellow"/>
          <w:lang w:eastAsia="hu-HU"/>
        </w:rPr>
        <w:t>Gudmundsson H., Hall R. P., Marsden G., Zeitsman j.: Sustainable Transportation, Indicators, Frameworks and Performance Management; Springer, ISSN 2192-4341, ISBN 978-3-662-46924-8, 2016</w:t>
      </w:r>
    </w:p>
    <w:p w:rsidR="00F4396F" w:rsidRPr="00977418" w:rsidRDefault="00F4396F" w:rsidP="00980876">
      <w:pPr>
        <w:pStyle w:val="Listaszerbekezds"/>
        <w:numPr>
          <w:ilvl w:val="0"/>
          <w:numId w:val="533"/>
        </w:numPr>
        <w:tabs>
          <w:tab w:val="right" w:pos="993"/>
        </w:tabs>
        <w:spacing w:after="0" w:line="240" w:lineRule="auto"/>
        <w:ind w:left="993" w:hanging="426"/>
        <w:jc w:val="both"/>
        <w:rPr>
          <w:rFonts w:ascii="Times New Roman" w:hAnsi="Times New Roman"/>
          <w:highlight w:val="yellow"/>
          <w:lang w:eastAsia="hu-HU"/>
        </w:rPr>
      </w:pPr>
      <w:r w:rsidRPr="00977418">
        <w:rPr>
          <w:rFonts w:ascii="Times New Roman" w:hAnsi="Times New Roman"/>
          <w:highlight w:val="yellow"/>
          <w:lang w:eastAsia="hu-HU"/>
        </w:rPr>
        <w:t>EC COM(2018) 773: Tiszta bolygót mindenkinek, Európai hosszú távú stratégiai jövőkép egy virágzó, modern, versenyképes és klímasemleges gazdaságról, Brüsszel, 2018.</w:t>
      </w:r>
    </w:p>
    <w:p w:rsidR="00977418" w:rsidRPr="00977418" w:rsidRDefault="00977418" w:rsidP="00980876">
      <w:pPr>
        <w:pStyle w:val="Listaszerbekezds"/>
        <w:numPr>
          <w:ilvl w:val="0"/>
          <w:numId w:val="533"/>
        </w:numPr>
        <w:tabs>
          <w:tab w:val="right" w:pos="993"/>
        </w:tabs>
        <w:spacing w:after="0" w:line="240" w:lineRule="auto"/>
        <w:ind w:left="993" w:hanging="426"/>
        <w:jc w:val="both"/>
        <w:rPr>
          <w:rFonts w:ascii="Times New Roman" w:hAnsi="Times New Roman"/>
          <w:highlight w:val="yellow"/>
          <w:lang w:eastAsia="hu-HU"/>
        </w:rPr>
      </w:pPr>
      <w:r w:rsidRPr="00977418">
        <w:rPr>
          <w:rFonts w:ascii="Times New Roman" w:hAnsi="Times New Roman"/>
          <w:highlight w:val="yellow"/>
          <w:lang w:eastAsia="hu-HU"/>
        </w:rPr>
        <w:t>Joint NATO Doctrine for Environmental Protection during NATO-led Activities (AJEPP-4)</w:t>
      </w:r>
    </w:p>
    <w:p w:rsidR="00F4396F" w:rsidRDefault="00F4396F" w:rsidP="00F4396F">
      <w:pPr>
        <w:pStyle w:val="lfej"/>
        <w:tabs>
          <w:tab w:val="clear" w:pos="4536"/>
          <w:tab w:val="clear" w:pos="9072"/>
          <w:tab w:val="right" w:pos="900"/>
        </w:tabs>
        <w:spacing w:before="120"/>
        <w:jc w:val="both"/>
        <w:rPr>
          <w:rFonts w:ascii="Times New Roman" w:hAnsi="Times New Roman"/>
          <w:bCs/>
        </w:rPr>
      </w:pPr>
    </w:p>
    <w:p w:rsidR="00F4396F" w:rsidRPr="00517A8E" w:rsidRDefault="00F4396F" w:rsidP="00F4396F">
      <w:pPr>
        <w:pStyle w:val="lfej"/>
        <w:tabs>
          <w:tab w:val="clear" w:pos="4536"/>
          <w:tab w:val="clear" w:pos="9072"/>
          <w:tab w:val="right" w:pos="900"/>
        </w:tabs>
        <w:spacing w:before="120"/>
        <w:jc w:val="both"/>
        <w:rPr>
          <w:rFonts w:ascii="Times New Roman" w:hAnsi="Times New Roman"/>
          <w:bCs/>
          <w:lang w:eastAsia="hu-HU"/>
        </w:rPr>
      </w:pPr>
      <w:r w:rsidRPr="00517A8E">
        <w:rPr>
          <w:rFonts w:ascii="Times New Roman" w:hAnsi="Times New Roman"/>
          <w:bCs/>
        </w:rPr>
        <w:t>Budapest, 2020. március 10.</w:t>
      </w:r>
    </w:p>
    <w:p w:rsidR="00F4396F" w:rsidRPr="0033760F" w:rsidRDefault="00F4396F" w:rsidP="00F4396F">
      <w:pPr>
        <w:pStyle w:val="lfej"/>
        <w:tabs>
          <w:tab w:val="clear" w:pos="4536"/>
          <w:tab w:val="clear" w:pos="9072"/>
          <w:tab w:val="right" w:pos="900"/>
        </w:tabs>
        <w:spacing w:before="120"/>
        <w:ind w:firstLine="6663"/>
        <w:jc w:val="both"/>
        <w:rPr>
          <w:rFonts w:ascii="Times New Roman" w:hAnsi="Times New Roman"/>
          <w:b/>
          <w:bCs/>
        </w:rPr>
      </w:pPr>
      <w:r w:rsidRPr="0033760F">
        <w:rPr>
          <w:rFonts w:ascii="Times New Roman" w:hAnsi="Times New Roman"/>
          <w:b/>
        </w:rPr>
        <w:t>Nyitrai Mihály alezredes</w:t>
      </w:r>
    </w:p>
    <w:p w:rsidR="00F4396F" w:rsidRPr="00517A8E" w:rsidRDefault="00F4396F" w:rsidP="00F4396F">
      <w:pPr>
        <w:ind w:firstLine="7371"/>
        <w:jc w:val="both"/>
        <w:rPr>
          <w:rFonts w:ascii="Times New Roman" w:hAnsi="Times New Roman"/>
        </w:rPr>
      </w:pPr>
      <w:r w:rsidRPr="00517A8E">
        <w:rPr>
          <w:rFonts w:ascii="Times New Roman" w:hAnsi="Times New Roman"/>
        </w:rPr>
        <w:t>tanársegéd</w:t>
      </w:r>
    </w:p>
    <w:p w:rsidR="00F4396F" w:rsidRDefault="00F4396F">
      <w:pPr>
        <w:spacing w:after="200" w:line="276" w:lineRule="auto"/>
        <w:rPr>
          <w:rFonts w:ascii="Times New Roman" w:hAnsi="Times New Roman" w:cs="Times New Roman"/>
        </w:rPr>
      </w:pPr>
      <w:r>
        <w:rPr>
          <w:rFonts w:ascii="Times New Roman" w:hAnsi="Times New Roman" w:cs="Times New Roman"/>
        </w:rPr>
        <w:br w:type="page"/>
      </w:r>
    </w:p>
    <w:tbl>
      <w:tblPr>
        <w:tblW w:w="9072" w:type="dxa"/>
        <w:tblInd w:w="113" w:type="dxa"/>
        <w:tblLook w:val="01E0" w:firstRow="1" w:lastRow="1" w:firstColumn="1" w:lastColumn="1" w:noHBand="0" w:noVBand="0"/>
      </w:tblPr>
      <w:tblGrid>
        <w:gridCol w:w="4855"/>
        <w:gridCol w:w="1620"/>
        <w:gridCol w:w="2597"/>
      </w:tblGrid>
      <w:tr w:rsidR="00A84A0E" w:rsidRPr="00A84A0E" w:rsidTr="00A84A0E">
        <w:tc>
          <w:tcPr>
            <w:tcW w:w="4855" w:type="dxa"/>
            <w:tcBorders>
              <w:bottom w:val="single" w:sz="4" w:space="0" w:color="auto"/>
            </w:tcBorders>
          </w:tcPr>
          <w:p w:rsidR="00A84A0E" w:rsidRPr="00A84A0E" w:rsidRDefault="00A84A0E" w:rsidP="00A84A0E">
            <w:pPr>
              <w:spacing w:after="0" w:line="240" w:lineRule="auto"/>
              <w:jc w:val="center"/>
              <w:rPr>
                <w:rFonts w:ascii="Times New Roman" w:eastAsia="Times New Roman" w:hAnsi="Times New Roman" w:cs="Times New Roman"/>
                <w:b/>
                <w:smallCaps/>
                <w:lang w:eastAsia="hu-HU"/>
              </w:rPr>
            </w:pPr>
            <w:r w:rsidRPr="00A84A0E">
              <w:rPr>
                <w:rFonts w:ascii="Times New Roman" w:eastAsia="Times New Roman" w:hAnsi="Times New Roman" w:cs="Times New Roman"/>
                <w:b/>
                <w:smallCaps/>
                <w:lang w:eastAsia="hu-HU"/>
              </w:rPr>
              <w:lastRenderedPageBreak/>
              <w:t>Nemzeti Közszolgálati Egyetem</w:t>
            </w:r>
          </w:p>
        </w:tc>
        <w:tc>
          <w:tcPr>
            <w:tcW w:w="1620" w:type="dxa"/>
          </w:tcPr>
          <w:p w:rsidR="00A84A0E" w:rsidRPr="00A84A0E" w:rsidRDefault="00A84A0E" w:rsidP="00A84A0E">
            <w:pPr>
              <w:spacing w:after="0" w:line="240" w:lineRule="auto"/>
              <w:jc w:val="both"/>
              <w:rPr>
                <w:rFonts w:ascii="Times New Roman" w:eastAsia="Times New Roman" w:hAnsi="Times New Roman" w:cs="Times New Roman"/>
                <w:lang w:eastAsia="hu-HU"/>
              </w:rPr>
            </w:pPr>
          </w:p>
        </w:tc>
        <w:tc>
          <w:tcPr>
            <w:tcW w:w="2597" w:type="dxa"/>
          </w:tcPr>
          <w:p w:rsidR="00A84A0E" w:rsidRPr="00A84A0E" w:rsidRDefault="00A84A0E" w:rsidP="00A84A0E">
            <w:pPr>
              <w:spacing w:after="0" w:line="240" w:lineRule="auto"/>
              <w:jc w:val="right"/>
              <w:rPr>
                <w:rFonts w:ascii="Times New Roman" w:eastAsia="Times New Roman" w:hAnsi="Times New Roman" w:cs="Times New Roman"/>
                <w:lang w:eastAsia="hu-HU"/>
              </w:rPr>
            </w:pPr>
          </w:p>
        </w:tc>
      </w:tr>
      <w:tr w:rsidR="00A84A0E" w:rsidRPr="00A84A0E" w:rsidTr="00A84A0E">
        <w:tc>
          <w:tcPr>
            <w:tcW w:w="4855" w:type="dxa"/>
            <w:tcBorders>
              <w:top w:val="single" w:sz="4" w:space="0" w:color="auto"/>
            </w:tcBorders>
          </w:tcPr>
          <w:p w:rsidR="00A84A0E" w:rsidRPr="00A84A0E" w:rsidRDefault="00A84A0E" w:rsidP="00A84A0E">
            <w:pPr>
              <w:spacing w:after="0" w:line="240" w:lineRule="auto"/>
              <w:jc w:val="center"/>
              <w:rPr>
                <w:rFonts w:ascii="Times New Roman" w:eastAsia="Times New Roman" w:hAnsi="Times New Roman" w:cs="Times New Roman"/>
                <w:b/>
                <w:lang w:eastAsia="hu-HU"/>
              </w:rPr>
            </w:pPr>
            <w:r w:rsidRPr="00A84A0E">
              <w:rPr>
                <w:rFonts w:ascii="Times New Roman" w:eastAsia="Times New Roman" w:hAnsi="Times New Roman" w:cs="Times New Roman"/>
                <w:b/>
                <w:lang w:eastAsia="hu-HU"/>
              </w:rPr>
              <w:t>Hadtudományi és Honvédtisztképző Kar</w:t>
            </w:r>
          </w:p>
        </w:tc>
        <w:tc>
          <w:tcPr>
            <w:tcW w:w="1620" w:type="dxa"/>
          </w:tcPr>
          <w:p w:rsidR="00A84A0E" w:rsidRPr="00A84A0E" w:rsidRDefault="00A84A0E" w:rsidP="00A84A0E">
            <w:pPr>
              <w:spacing w:after="0" w:line="240" w:lineRule="auto"/>
              <w:jc w:val="both"/>
              <w:rPr>
                <w:rFonts w:ascii="Times New Roman" w:eastAsia="Times New Roman" w:hAnsi="Times New Roman" w:cs="Times New Roman"/>
                <w:lang w:eastAsia="hu-HU"/>
              </w:rPr>
            </w:pPr>
          </w:p>
        </w:tc>
        <w:tc>
          <w:tcPr>
            <w:tcW w:w="2597" w:type="dxa"/>
          </w:tcPr>
          <w:p w:rsidR="00A84A0E" w:rsidRPr="00A84A0E" w:rsidRDefault="00A84A0E" w:rsidP="00A84A0E">
            <w:pPr>
              <w:spacing w:after="0" w:line="240" w:lineRule="auto"/>
              <w:jc w:val="both"/>
              <w:rPr>
                <w:rFonts w:ascii="Times New Roman" w:eastAsia="Times New Roman" w:hAnsi="Times New Roman" w:cs="Times New Roman"/>
                <w:lang w:eastAsia="hu-HU"/>
              </w:rPr>
            </w:pPr>
          </w:p>
        </w:tc>
      </w:tr>
    </w:tbl>
    <w:p w:rsidR="00A84A0E" w:rsidRPr="00A84A0E" w:rsidRDefault="00A84A0E" w:rsidP="00A84A0E">
      <w:pPr>
        <w:widowControl w:val="0"/>
        <w:spacing w:before="120" w:after="120" w:line="240" w:lineRule="auto"/>
        <w:ind w:left="426" w:hanging="142"/>
        <w:jc w:val="center"/>
        <w:rPr>
          <w:rFonts w:ascii="Times New Roman" w:eastAsia="Times New Roman" w:hAnsi="Times New Roman" w:cs="Times New Roman"/>
          <w:b/>
          <w:bCs/>
        </w:rPr>
      </w:pPr>
    </w:p>
    <w:p w:rsidR="00A84A0E" w:rsidRPr="00A84A0E" w:rsidRDefault="00A84A0E" w:rsidP="00A84A0E">
      <w:pPr>
        <w:widowControl w:val="0"/>
        <w:spacing w:before="120" w:after="120" w:line="240" w:lineRule="auto"/>
        <w:ind w:left="426" w:hanging="142"/>
        <w:jc w:val="center"/>
        <w:rPr>
          <w:rFonts w:ascii="Times New Roman" w:eastAsia="Times New Roman" w:hAnsi="Times New Roman" w:cs="Times New Roman"/>
          <w:b/>
          <w:bCs/>
        </w:rPr>
      </w:pPr>
      <w:r w:rsidRPr="00A84A0E">
        <w:rPr>
          <w:rFonts w:ascii="Times New Roman" w:eastAsia="Times New Roman" w:hAnsi="Times New Roman" w:cs="Times New Roman"/>
          <w:b/>
          <w:bCs/>
        </w:rPr>
        <w:t>TANTÁRGYI PROGRAM</w:t>
      </w:r>
    </w:p>
    <w:p w:rsidR="00A84A0E" w:rsidRPr="00A84A0E" w:rsidRDefault="00A84A0E" w:rsidP="00980876">
      <w:pPr>
        <w:widowControl w:val="0"/>
        <w:numPr>
          <w:ilvl w:val="0"/>
          <w:numId w:val="807"/>
        </w:numPr>
        <w:spacing w:before="120" w:after="120" w:line="240" w:lineRule="auto"/>
        <w:ind w:left="426" w:hanging="142"/>
        <w:jc w:val="both"/>
        <w:rPr>
          <w:rFonts w:ascii="Times New Roman" w:eastAsia="Times New Roman" w:hAnsi="Times New Roman" w:cs="Times New Roman"/>
          <w:bCs/>
        </w:rPr>
      </w:pPr>
      <w:r w:rsidRPr="00A84A0E">
        <w:rPr>
          <w:rFonts w:ascii="Times New Roman" w:eastAsia="Times New Roman" w:hAnsi="Times New Roman" w:cs="Times New Roman"/>
          <w:b/>
          <w:bCs/>
        </w:rPr>
        <w:t xml:space="preserve">A tantárgy kódja: </w:t>
      </w:r>
      <w:r w:rsidRPr="00A84A0E">
        <w:rPr>
          <w:rFonts w:ascii="Times New Roman" w:eastAsia="Times New Roman" w:hAnsi="Times New Roman" w:cs="Times New Roman"/>
          <w:lang w:eastAsia="hu-HU"/>
        </w:rPr>
        <w:t>HKHPKA382</w:t>
      </w:r>
    </w:p>
    <w:p w:rsidR="00A84A0E" w:rsidRPr="00A84A0E" w:rsidRDefault="00A84A0E" w:rsidP="00980876">
      <w:pPr>
        <w:widowControl w:val="0"/>
        <w:numPr>
          <w:ilvl w:val="0"/>
          <w:numId w:val="807"/>
        </w:numPr>
        <w:spacing w:before="120" w:after="120" w:line="240" w:lineRule="auto"/>
        <w:ind w:left="426" w:hanging="142"/>
        <w:jc w:val="both"/>
        <w:rPr>
          <w:rFonts w:ascii="Times New Roman" w:eastAsia="Times New Roman" w:hAnsi="Times New Roman" w:cs="Times New Roman"/>
          <w:b/>
          <w:bCs/>
          <w:lang w:val="en-GB"/>
        </w:rPr>
      </w:pPr>
      <w:r w:rsidRPr="00A84A0E">
        <w:rPr>
          <w:rFonts w:ascii="Times New Roman" w:eastAsia="Times New Roman" w:hAnsi="Times New Roman" w:cs="Times New Roman"/>
          <w:b/>
          <w:bCs/>
        </w:rPr>
        <w:t>A tantárgy megnevezése (magyarul):</w:t>
      </w:r>
      <w:r w:rsidRPr="00A84A0E">
        <w:rPr>
          <w:rFonts w:ascii="Times New Roman" w:eastAsia="Times New Roman" w:hAnsi="Times New Roman" w:cs="Times New Roman"/>
          <w:bCs/>
        </w:rPr>
        <w:t xml:space="preserve"> </w:t>
      </w:r>
      <w:r w:rsidRPr="00A84A0E">
        <w:rPr>
          <w:rFonts w:ascii="Times New Roman" w:eastAsia="Times New Roman" w:hAnsi="Times New Roman" w:cs="Times New Roman"/>
          <w:lang w:eastAsia="hu-HU"/>
        </w:rPr>
        <w:t>Közlekedéspolitika</w:t>
      </w:r>
    </w:p>
    <w:p w:rsidR="00A84A0E" w:rsidRPr="00A84A0E" w:rsidRDefault="00A84A0E" w:rsidP="00980876">
      <w:pPr>
        <w:widowControl w:val="0"/>
        <w:numPr>
          <w:ilvl w:val="0"/>
          <w:numId w:val="807"/>
        </w:numPr>
        <w:spacing w:before="120" w:after="120" w:line="240" w:lineRule="auto"/>
        <w:ind w:left="426" w:hanging="142"/>
        <w:jc w:val="both"/>
        <w:rPr>
          <w:rFonts w:ascii="Times New Roman" w:eastAsia="Times New Roman" w:hAnsi="Times New Roman" w:cs="Times New Roman"/>
          <w:b/>
          <w:bCs/>
          <w:lang w:val="en-GB"/>
        </w:rPr>
      </w:pPr>
      <w:r w:rsidRPr="00A84A0E">
        <w:rPr>
          <w:rFonts w:ascii="Times New Roman" w:eastAsia="Times New Roman" w:hAnsi="Times New Roman" w:cs="Times New Roman"/>
          <w:b/>
          <w:bCs/>
        </w:rPr>
        <w:t xml:space="preserve">A tantárgy megnevezése (angolul): </w:t>
      </w:r>
      <w:r w:rsidRPr="00A84A0E">
        <w:rPr>
          <w:rStyle w:val="tlid-translation"/>
          <w:rFonts w:ascii="Times New Roman" w:hAnsi="Times New Roman" w:cs="Times New Roman"/>
          <w:lang w:val="en"/>
        </w:rPr>
        <w:t>Transport policy</w:t>
      </w:r>
    </w:p>
    <w:p w:rsidR="00A84A0E" w:rsidRPr="00A84A0E" w:rsidRDefault="00A84A0E" w:rsidP="00980876">
      <w:pPr>
        <w:widowControl w:val="0"/>
        <w:numPr>
          <w:ilvl w:val="0"/>
          <w:numId w:val="807"/>
        </w:numPr>
        <w:spacing w:before="120" w:after="120" w:line="240" w:lineRule="auto"/>
        <w:ind w:left="426" w:hanging="142"/>
        <w:jc w:val="both"/>
        <w:rPr>
          <w:rFonts w:ascii="Times New Roman" w:eastAsia="Times New Roman" w:hAnsi="Times New Roman" w:cs="Times New Roman"/>
          <w:b/>
          <w:bCs/>
        </w:rPr>
      </w:pPr>
      <w:r w:rsidRPr="00A84A0E">
        <w:rPr>
          <w:rFonts w:ascii="Times New Roman" w:eastAsia="Times New Roman" w:hAnsi="Times New Roman" w:cs="Times New Roman"/>
          <w:b/>
          <w:bCs/>
        </w:rPr>
        <w:t xml:space="preserve">Kreditérték és képzési karakter: </w:t>
      </w:r>
    </w:p>
    <w:p w:rsidR="00A84A0E" w:rsidRPr="00A84A0E" w:rsidRDefault="00A84A0E" w:rsidP="00980876">
      <w:pPr>
        <w:pStyle w:val="Listaszerbekezds"/>
        <w:widowControl w:val="0"/>
        <w:numPr>
          <w:ilvl w:val="1"/>
          <w:numId w:val="807"/>
        </w:numPr>
        <w:spacing w:before="120" w:after="120" w:line="240" w:lineRule="auto"/>
        <w:ind w:left="993" w:hanging="426"/>
        <w:jc w:val="both"/>
        <w:rPr>
          <w:rFonts w:ascii="Times New Roman" w:eastAsia="Times New Roman" w:hAnsi="Times New Roman" w:cs="Times New Roman"/>
          <w:b/>
          <w:bCs/>
        </w:rPr>
      </w:pPr>
      <w:r w:rsidRPr="00A84A0E">
        <w:rPr>
          <w:rFonts w:ascii="Times New Roman" w:eastAsia="Times New Roman" w:hAnsi="Times New Roman" w:cs="Times New Roman"/>
          <w:bCs/>
        </w:rPr>
        <w:t>2 kredit</w:t>
      </w:r>
    </w:p>
    <w:p w:rsidR="00A84A0E" w:rsidRPr="00A84A0E" w:rsidRDefault="00A84A0E" w:rsidP="00980876">
      <w:pPr>
        <w:pStyle w:val="Listaszerbekezds"/>
        <w:widowControl w:val="0"/>
        <w:numPr>
          <w:ilvl w:val="1"/>
          <w:numId w:val="807"/>
        </w:numPr>
        <w:spacing w:before="120" w:after="120" w:line="240" w:lineRule="auto"/>
        <w:ind w:left="993" w:hanging="426"/>
        <w:jc w:val="both"/>
        <w:rPr>
          <w:rFonts w:ascii="Times New Roman" w:eastAsia="Times New Roman" w:hAnsi="Times New Roman" w:cs="Times New Roman"/>
          <w:b/>
          <w:bCs/>
        </w:rPr>
      </w:pPr>
      <w:r w:rsidRPr="00A84A0E">
        <w:rPr>
          <w:rFonts w:ascii="Times New Roman" w:eastAsia="Times New Roman" w:hAnsi="Times New Roman" w:cs="Times New Roman"/>
          <w:bCs/>
        </w:rPr>
        <w:t>a tantárgy elméleti vagy gyakorlati jellegének mértéke: 50</w:t>
      </w:r>
      <w:r w:rsidRPr="00A84A0E">
        <w:rPr>
          <w:rFonts w:ascii="Times New Roman" w:eastAsia="Times New Roman" w:hAnsi="Times New Roman" w:cs="Times New Roman"/>
          <w:b/>
          <w:bCs/>
        </w:rPr>
        <w:t xml:space="preserve"> </w:t>
      </w:r>
      <w:r w:rsidRPr="00A84A0E">
        <w:rPr>
          <w:rFonts w:ascii="Times New Roman" w:eastAsia="Times New Roman" w:hAnsi="Times New Roman" w:cs="Times New Roman"/>
          <w:bCs/>
        </w:rPr>
        <w:t>% gyakorlat, 50 % elmélet</w:t>
      </w:r>
    </w:p>
    <w:p w:rsidR="00A84A0E" w:rsidRPr="00A84A0E" w:rsidRDefault="00A84A0E" w:rsidP="00980876">
      <w:pPr>
        <w:widowControl w:val="0"/>
        <w:numPr>
          <w:ilvl w:val="0"/>
          <w:numId w:val="807"/>
        </w:numPr>
        <w:spacing w:before="120" w:after="120" w:line="240" w:lineRule="auto"/>
        <w:ind w:left="426" w:hanging="142"/>
        <w:jc w:val="both"/>
        <w:rPr>
          <w:rFonts w:ascii="Times New Roman" w:eastAsia="Times New Roman" w:hAnsi="Times New Roman" w:cs="Times New Roman"/>
          <w:bCs/>
        </w:rPr>
      </w:pPr>
      <w:r w:rsidRPr="00A84A0E">
        <w:rPr>
          <w:rFonts w:ascii="Times New Roman" w:eastAsia="Times New Roman" w:hAnsi="Times New Roman" w:cs="Times New Roman"/>
          <w:b/>
          <w:bCs/>
        </w:rPr>
        <w:t>A szak(ok), szakirányok/specializációk megnevezése (ahol oktatják):</w:t>
      </w:r>
      <w:r w:rsidRPr="00A84A0E">
        <w:rPr>
          <w:rFonts w:ascii="Times New Roman" w:eastAsia="Times New Roman" w:hAnsi="Times New Roman" w:cs="Times New Roman"/>
          <w:bCs/>
        </w:rPr>
        <w:t xml:space="preserve"> Katonai logisztika alapképzési szak, Katonai közlekedési specializáció</w:t>
      </w:r>
    </w:p>
    <w:p w:rsidR="00A84A0E" w:rsidRPr="00A84A0E" w:rsidRDefault="00A84A0E" w:rsidP="00980876">
      <w:pPr>
        <w:widowControl w:val="0"/>
        <w:numPr>
          <w:ilvl w:val="0"/>
          <w:numId w:val="807"/>
        </w:numPr>
        <w:spacing w:before="120" w:after="120" w:line="240" w:lineRule="auto"/>
        <w:ind w:left="426" w:hanging="142"/>
        <w:jc w:val="both"/>
        <w:rPr>
          <w:rFonts w:ascii="Times New Roman" w:eastAsia="Times New Roman" w:hAnsi="Times New Roman" w:cs="Times New Roman"/>
          <w:bCs/>
        </w:rPr>
      </w:pPr>
      <w:r w:rsidRPr="00A84A0E">
        <w:rPr>
          <w:rFonts w:ascii="Times New Roman" w:eastAsia="Times New Roman" w:hAnsi="Times New Roman" w:cs="Times New Roman"/>
          <w:b/>
          <w:bCs/>
        </w:rPr>
        <w:t xml:space="preserve">Az oktatásért felelős oktatási szervezeti egység megnevezése: </w:t>
      </w:r>
      <w:r w:rsidRPr="00A84A0E">
        <w:rPr>
          <w:rFonts w:ascii="Times New Roman" w:eastAsia="Times New Roman" w:hAnsi="Times New Roman" w:cs="Times New Roman"/>
          <w:bCs/>
        </w:rPr>
        <w:t>NKE HHK, Hadtáp, Pénzügyi és Katonai Közlekedési Tanszék</w:t>
      </w:r>
    </w:p>
    <w:p w:rsidR="00A84A0E" w:rsidRPr="00A84A0E" w:rsidRDefault="00A84A0E" w:rsidP="00980876">
      <w:pPr>
        <w:widowControl w:val="0"/>
        <w:numPr>
          <w:ilvl w:val="0"/>
          <w:numId w:val="807"/>
        </w:numPr>
        <w:spacing w:before="120" w:after="120" w:line="240" w:lineRule="auto"/>
        <w:ind w:left="426" w:hanging="142"/>
        <w:jc w:val="both"/>
        <w:rPr>
          <w:rFonts w:ascii="Times New Roman" w:eastAsia="Times New Roman" w:hAnsi="Times New Roman" w:cs="Times New Roman"/>
          <w:bCs/>
        </w:rPr>
      </w:pPr>
      <w:r w:rsidRPr="00A84A0E">
        <w:rPr>
          <w:rFonts w:ascii="Times New Roman" w:eastAsia="Times New Roman" w:hAnsi="Times New Roman" w:cs="Times New Roman"/>
          <w:b/>
          <w:bCs/>
        </w:rPr>
        <w:t>A tantárgyfelelős oktató neve, beosztása, tudományos fokozata:</w:t>
      </w:r>
      <w:r w:rsidRPr="00A84A0E">
        <w:rPr>
          <w:rFonts w:ascii="Times New Roman" w:eastAsia="Times New Roman" w:hAnsi="Times New Roman" w:cs="Times New Roman"/>
          <w:bCs/>
        </w:rPr>
        <w:t xml:space="preserve"> </w:t>
      </w:r>
      <w:r w:rsidRPr="00A84A0E">
        <w:rPr>
          <w:rFonts w:ascii="Times New Roman" w:hAnsi="Times New Roman" w:cs="Times New Roman"/>
          <w:lang w:eastAsia="x-none"/>
        </w:rPr>
        <w:t>Dr. Szászi Gábor egyetemi docens, PhD</w:t>
      </w:r>
      <w:r w:rsidRPr="00A84A0E">
        <w:rPr>
          <w:rFonts w:ascii="Times New Roman" w:eastAsia="Times New Roman" w:hAnsi="Times New Roman" w:cs="Times New Roman"/>
          <w:bCs/>
        </w:rPr>
        <w:t xml:space="preserve"> </w:t>
      </w:r>
    </w:p>
    <w:p w:rsidR="00A84A0E" w:rsidRPr="00A84A0E" w:rsidRDefault="00A84A0E" w:rsidP="00980876">
      <w:pPr>
        <w:widowControl w:val="0"/>
        <w:numPr>
          <w:ilvl w:val="0"/>
          <w:numId w:val="807"/>
        </w:numPr>
        <w:spacing w:before="120" w:after="120" w:line="240" w:lineRule="auto"/>
        <w:ind w:left="426" w:hanging="142"/>
        <w:jc w:val="both"/>
        <w:rPr>
          <w:rFonts w:ascii="Times New Roman" w:eastAsia="Times New Roman" w:hAnsi="Times New Roman" w:cs="Times New Roman"/>
          <w:bCs/>
        </w:rPr>
      </w:pPr>
      <w:r w:rsidRPr="00A84A0E">
        <w:rPr>
          <w:rFonts w:ascii="Times New Roman" w:eastAsia="Times New Roman" w:hAnsi="Times New Roman" w:cs="Times New Roman"/>
          <w:b/>
          <w:bCs/>
        </w:rPr>
        <w:t>A tanórák száma és típusa</w:t>
      </w:r>
    </w:p>
    <w:p w:rsidR="00A84A0E" w:rsidRPr="00A84A0E" w:rsidRDefault="00A84A0E" w:rsidP="00980876">
      <w:pPr>
        <w:widowControl w:val="0"/>
        <w:numPr>
          <w:ilvl w:val="1"/>
          <w:numId w:val="807"/>
        </w:numPr>
        <w:tabs>
          <w:tab w:val="num" w:pos="2069"/>
        </w:tabs>
        <w:spacing w:before="120" w:after="120" w:line="240" w:lineRule="auto"/>
        <w:ind w:left="851" w:hanging="425"/>
        <w:jc w:val="both"/>
        <w:rPr>
          <w:rFonts w:ascii="Times New Roman" w:eastAsia="Times New Roman" w:hAnsi="Times New Roman" w:cs="Times New Roman"/>
          <w:bCs/>
        </w:rPr>
      </w:pPr>
      <w:r w:rsidRPr="00A84A0E">
        <w:rPr>
          <w:rFonts w:ascii="Times New Roman" w:eastAsia="Times New Roman" w:hAnsi="Times New Roman" w:cs="Times New Roman"/>
          <w:bCs/>
        </w:rPr>
        <w:t>össz óraszám/félév: 28</w:t>
      </w:r>
    </w:p>
    <w:p w:rsidR="00A84A0E" w:rsidRPr="00A84A0E" w:rsidRDefault="00A84A0E" w:rsidP="00980876">
      <w:pPr>
        <w:widowControl w:val="0"/>
        <w:numPr>
          <w:ilvl w:val="2"/>
          <w:numId w:val="807"/>
        </w:numPr>
        <w:tabs>
          <w:tab w:val="num" w:pos="1134"/>
        </w:tabs>
        <w:spacing w:before="120" w:after="120" w:line="240" w:lineRule="auto"/>
        <w:ind w:left="993" w:hanging="425"/>
        <w:jc w:val="both"/>
        <w:rPr>
          <w:rFonts w:ascii="Times New Roman" w:eastAsia="Times New Roman" w:hAnsi="Times New Roman" w:cs="Times New Roman"/>
          <w:bCs/>
        </w:rPr>
      </w:pPr>
      <w:r w:rsidRPr="00A84A0E">
        <w:rPr>
          <w:rFonts w:ascii="Times New Roman" w:eastAsia="Times New Roman" w:hAnsi="Times New Roman" w:cs="Times New Roman"/>
          <w:bCs/>
        </w:rPr>
        <w:t>nappali munkarend: 28 (14 EA + 14 SZ + 0 GY)</w:t>
      </w:r>
    </w:p>
    <w:p w:rsidR="00A84A0E" w:rsidRPr="00A84A0E" w:rsidRDefault="00A84A0E" w:rsidP="00980876">
      <w:pPr>
        <w:widowControl w:val="0"/>
        <w:numPr>
          <w:ilvl w:val="2"/>
          <w:numId w:val="807"/>
        </w:numPr>
        <w:tabs>
          <w:tab w:val="num" w:pos="1134"/>
        </w:tabs>
        <w:spacing w:before="120" w:after="120" w:line="240" w:lineRule="auto"/>
        <w:ind w:left="993" w:hanging="425"/>
        <w:jc w:val="both"/>
        <w:rPr>
          <w:rFonts w:ascii="Times New Roman" w:eastAsia="Times New Roman" w:hAnsi="Times New Roman" w:cs="Times New Roman"/>
          <w:bCs/>
        </w:rPr>
      </w:pPr>
      <w:r w:rsidRPr="00A84A0E">
        <w:rPr>
          <w:rFonts w:ascii="Times New Roman" w:eastAsia="Times New Roman" w:hAnsi="Times New Roman" w:cs="Times New Roman"/>
          <w:bCs/>
        </w:rPr>
        <w:t>levelező munkarend: 0 (0 EA + 0 SZ + 0 GY)</w:t>
      </w:r>
    </w:p>
    <w:p w:rsidR="00A84A0E" w:rsidRPr="00A84A0E" w:rsidRDefault="00A84A0E" w:rsidP="00980876">
      <w:pPr>
        <w:widowControl w:val="0"/>
        <w:numPr>
          <w:ilvl w:val="1"/>
          <w:numId w:val="807"/>
        </w:numPr>
        <w:tabs>
          <w:tab w:val="num" w:pos="2069"/>
        </w:tabs>
        <w:spacing w:before="120" w:after="120" w:line="240" w:lineRule="auto"/>
        <w:ind w:left="851" w:hanging="425"/>
        <w:jc w:val="both"/>
        <w:rPr>
          <w:rFonts w:ascii="Times New Roman" w:eastAsia="Times New Roman" w:hAnsi="Times New Roman" w:cs="Times New Roman"/>
          <w:bCs/>
        </w:rPr>
      </w:pPr>
      <w:r w:rsidRPr="00A84A0E">
        <w:rPr>
          <w:rFonts w:ascii="Times New Roman" w:eastAsia="Times New Roman" w:hAnsi="Times New Roman" w:cs="Times New Roman"/>
          <w:bCs/>
        </w:rPr>
        <w:t>heti óraszám - nappali munkarend: 2</w:t>
      </w:r>
    </w:p>
    <w:p w:rsidR="00A84A0E" w:rsidRPr="00A84A0E" w:rsidRDefault="00A84A0E" w:rsidP="00980876">
      <w:pPr>
        <w:widowControl w:val="0"/>
        <w:numPr>
          <w:ilvl w:val="1"/>
          <w:numId w:val="807"/>
        </w:numPr>
        <w:tabs>
          <w:tab w:val="num" w:pos="2069"/>
        </w:tabs>
        <w:spacing w:before="120" w:after="120" w:line="240" w:lineRule="auto"/>
        <w:ind w:left="851" w:hanging="425"/>
        <w:jc w:val="both"/>
        <w:rPr>
          <w:rFonts w:ascii="Times New Roman" w:hAnsi="Times New Roman" w:cs="Times New Roman"/>
        </w:rPr>
      </w:pPr>
      <w:r w:rsidRPr="00A84A0E">
        <w:rPr>
          <w:rFonts w:ascii="Times New Roman" w:hAnsi="Times New Roman" w:cs="Times New Roman"/>
        </w:rPr>
        <w:t xml:space="preserve">Az ismeret </w:t>
      </w:r>
      <w:r w:rsidRPr="00A84A0E">
        <w:rPr>
          <w:rFonts w:ascii="Times New Roman" w:eastAsia="Times New Roman" w:hAnsi="Times New Roman" w:cs="Times New Roman"/>
          <w:bCs/>
        </w:rPr>
        <w:t>átadásában</w:t>
      </w:r>
      <w:r w:rsidRPr="00A84A0E">
        <w:rPr>
          <w:rFonts w:ascii="Times New Roman" w:hAnsi="Times New Roman" w:cs="Times New Roman"/>
        </w:rPr>
        <w:t xml:space="preserve"> alkalmazandó további sajátos módok, jellemzők: az ismeretek feldolgozása vegyes tanulási program (blended learning) alapján történik.</w:t>
      </w:r>
    </w:p>
    <w:p w:rsidR="00A84A0E" w:rsidRPr="00885E3E" w:rsidRDefault="00A84A0E" w:rsidP="00980876">
      <w:pPr>
        <w:widowControl w:val="0"/>
        <w:numPr>
          <w:ilvl w:val="0"/>
          <w:numId w:val="807"/>
        </w:numPr>
        <w:spacing w:before="120" w:after="120" w:line="240" w:lineRule="auto"/>
        <w:ind w:left="426" w:hanging="142"/>
        <w:jc w:val="both"/>
        <w:rPr>
          <w:rFonts w:ascii="Times New Roman" w:eastAsia="Times New Roman" w:hAnsi="Times New Roman" w:cs="Times New Roman"/>
          <w:bCs/>
        </w:rPr>
      </w:pPr>
      <w:r w:rsidRPr="00885E3E">
        <w:rPr>
          <w:rFonts w:ascii="Times New Roman" w:eastAsia="Times New Roman" w:hAnsi="Times New Roman" w:cs="Times New Roman"/>
          <w:b/>
          <w:bCs/>
        </w:rPr>
        <w:t xml:space="preserve">A tantárgy szakmai tartalma (magyarul): </w:t>
      </w:r>
      <w:r w:rsidRPr="00885E3E">
        <w:rPr>
          <w:rFonts w:ascii="Times New Roman" w:hAnsi="Times New Roman" w:cs="Times New Roman"/>
        </w:rPr>
        <w:t>A közlekedéspolitika értelmezése, jelentőségének bemutatása. A közlekedéspolitika fejlődésének szakaszai. Magyarországon. Az Európai Unió közlekedéspolitikája.  Az Európai Unió közlekedéspolitikájának fő irányai, a megvalósítás feltételei.</w:t>
      </w:r>
    </w:p>
    <w:p w:rsidR="00885E3E" w:rsidRPr="00885E3E" w:rsidRDefault="00A84A0E" w:rsidP="00885E3E">
      <w:pPr>
        <w:widowControl w:val="0"/>
        <w:spacing w:before="120" w:after="120" w:line="240" w:lineRule="auto"/>
        <w:ind w:left="426"/>
        <w:jc w:val="both"/>
      </w:pPr>
      <w:r w:rsidRPr="00885E3E">
        <w:rPr>
          <w:rFonts w:ascii="Times New Roman" w:eastAsia="Times New Roman" w:hAnsi="Times New Roman" w:cs="Times New Roman"/>
          <w:b/>
          <w:bCs/>
        </w:rPr>
        <w:t>A tantárgy szakmai tartalma (angolul) (</w:t>
      </w:r>
      <w:r w:rsidRPr="00885E3E">
        <w:rPr>
          <w:rFonts w:ascii="Times New Roman" w:eastAsia="Times New Roman" w:hAnsi="Times New Roman" w:cs="Times New Roman"/>
          <w:b/>
          <w:bCs/>
          <w:lang w:val="en-US"/>
        </w:rPr>
        <w:t>Course description</w:t>
      </w:r>
      <w:r w:rsidRPr="00885E3E">
        <w:rPr>
          <w:rFonts w:ascii="Times New Roman" w:eastAsia="Times New Roman" w:hAnsi="Times New Roman" w:cs="Times New Roman"/>
          <w:b/>
          <w:bCs/>
        </w:rPr>
        <w:t xml:space="preserve">): </w:t>
      </w:r>
      <w:r w:rsidR="00885E3E" w:rsidRPr="00885E3E">
        <w:rPr>
          <w:rFonts w:ascii="Times New Roman" w:hAnsi="Times New Roman" w:cs="Times New Roman"/>
        </w:rPr>
        <w:t>The interpretation of transport policy and the presentation of its significance. The stages of the development of transport policy in Hungary. The transport policy of the European Union. The main directions of the European Union’s transport policy, the conditions of implementation.</w:t>
      </w:r>
    </w:p>
    <w:p w:rsidR="00A84A0E" w:rsidRPr="00A84A0E" w:rsidRDefault="00A84A0E" w:rsidP="00980876">
      <w:pPr>
        <w:widowControl w:val="0"/>
        <w:numPr>
          <w:ilvl w:val="0"/>
          <w:numId w:val="807"/>
        </w:numPr>
        <w:spacing w:before="120" w:after="120" w:line="240" w:lineRule="auto"/>
        <w:ind w:left="426" w:hanging="142"/>
        <w:jc w:val="both"/>
        <w:rPr>
          <w:rFonts w:ascii="Times New Roman" w:eastAsia="Times New Roman" w:hAnsi="Times New Roman" w:cs="Times New Roman"/>
          <w:bCs/>
        </w:rPr>
      </w:pPr>
      <w:r w:rsidRPr="00A84A0E">
        <w:rPr>
          <w:rFonts w:ascii="Times New Roman" w:eastAsia="Times New Roman" w:hAnsi="Times New Roman" w:cs="Times New Roman"/>
          <w:b/>
          <w:bCs/>
        </w:rPr>
        <w:t xml:space="preserve">Elérendő kompetenciák (magyarul): </w:t>
      </w:r>
    </w:p>
    <w:p w:rsidR="00A84A0E" w:rsidRPr="00A84A0E" w:rsidRDefault="00A84A0E" w:rsidP="00A84A0E">
      <w:pPr>
        <w:autoSpaceDE w:val="0"/>
        <w:autoSpaceDN w:val="0"/>
        <w:adjustRightInd w:val="0"/>
        <w:spacing w:before="120" w:after="0" w:line="240" w:lineRule="auto"/>
        <w:ind w:left="425"/>
        <w:jc w:val="both"/>
        <w:rPr>
          <w:rFonts w:ascii="Times New Roman" w:eastAsia="Times New Roman" w:hAnsi="Times New Roman" w:cs="Times New Roman"/>
          <w:b/>
          <w:bCs/>
        </w:rPr>
      </w:pPr>
      <w:r w:rsidRPr="00A84A0E">
        <w:rPr>
          <w:rFonts w:ascii="Times New Roman" w:eastAsia="Times New Roman" w:hAnsi="Times New Roman" w:cs="Times New Roman"/>
          <w:b/>
          <w:bCs/>
        </w:rPr>
        <w:t xml:space="preserve">Tudása: </w:t>
      </w:r>
    </w:p>
    <w:p w:rsidR="00A84A0E" w:rsidRPr="00A84A0E" w:rsidRDefault="00A84A0E"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84A0E">
        <w:rPr>
          <w:rFonts w:ascii="Times New Roman" w:hAnsi="Times New Roman" w:cs="Times New Roman"/>
        </w:rPr>
        <w:t>Ismeri a katonai közlekedési szakterülethez szervesen kapcsolódó logisztikai, menedzsment, környezetvédelmi, minőségbiztosítási, információtechnológiai, jogi, közgazdasági szakterületek alapjait és követelményeit.</w:t>
      </w:r>
    </w:p>
    <w:p w:rsidR="00A84A0E" w:rsidRPr="00A84A0E" w:rsidRDefault="00A84A0E"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84A0E">
        <w:rPr>
          <w:rFonts w:ascii="Times New Roman" w:hAnsi="Times New Roman" w:cs="Times New Roman"/>
        </w:rPr>
        <w:t>Ismeri a katonai közlekedési szakterület szaktechnikai eszközeit, a közlekedési pályákat és létesítményeiket, azok igénybevételének és üzemeltetésének szabályait.</w:t>
      </w:r>
    </w:p>
    <w:p w:rsidR="00A84A0E" w:rsidRPr="00A84A0E" w:rsidRDefault="00A84A0E"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84A0E">
        <w:rPr>
          <w:rFonts w:ascii="Times New Roman" w:hAnsi="Times New Roman" w:cs="Times New Roman"/>
        </w:rPr>
        <w:t>Ismeri a katonai közlekedési igények felmérésének módszereit és megvalósítási lehetőségeit, gyakorlatát.</w:t>
      </w:r>
    </w:p>
    <w:p w:rsidR="00A84A0E" w:rsidRPr="00A84A0E" w:rsidRDefault="00A84A0E" w:rsidP="00A84A0E">
      <w:pPr>
        <w:autoSpaceDE w:val="0"/>
        <w:autoSpaceDN w:val="0"/>
        <w:adjustRightInd w:val="0"/>
        <w:spacing w:before="120" w:after="0" w:line="240" w:lineRule="auto"/>
        <w:ind w:left="425"/>
        <w:jc w:val="both"/>
        <w:rPr>
          <w:rFonts w:ascii="Times New Roman" w:eastAsia="Times New Roman" w:hAnsi="Times New Roman" w:cs="Times New Roman"/>
          <w:bCs/>
        </w:rPr>
      </w:pPr>
      <w:r w:rsidRPr="00A84A0E">
        <w:rPr>
          <w:rFonts w:ascii="Times New Roman" w:eastAsia="Times New Roman" w:hAnsi="Times New Roman" w:cs="Times New Roman"/>
          <w:b/>
          <w:bCs/>
        </w:rPr>
        <w:t>Képességei:</w:t>
      </w:r>
      <w:r w:rsidRPr="00A84A0E">
        <w:rPr>
          <w:rFonts w:ascii="Times New Roman" w:eastAsia="Times New Roman" w:hAnsi="Times New Roman" w:cs="Times New Roman"/>
          <w:bCs/>
        </w:rPr>
        <w:t xml:space="preserve"> </w:t>
      </w:r>
    </w:p>
    <w:p w:rsidR="00A84A0E" w:rsidRPr="00A84A0E" w:rsidRDefault="00A84A0E"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84A0E">
        <w:rPr>
          <w:rFonts w:ascii="Times New Roman" w:hAnsi="Times New Roman" w:cs="Times New Roman"/>
        </w:rPr>
        <w:t>Az általános és specifikus katonai ismeretei és készségei birtokában képes a katonai közlekedési, mozgatási, szállítási feladatok tervezésére, szervezésére és vezetésére.</w:t>
      </w:r>
    </w:p>
    <w:p w:rsidR="00A84A0E" w:rsidRPr="00A84A0E" w:rsidRDefault="00A84A0E"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84A0E">
        <w:rPr>
          <w:rFonts w:ascii="Times New Roman" w:hAnsi="Times New Roman" w:cs="Times New Roman"/>
        </w:rPr>
        <w:lastRenderedPageBreak/>
        <w:t>Képes békeidőszakban, válságkezelő, katasztrófa-elhárítási, béketámogató és háborús műveletekben, nemzeti és többnemzeti környezetben a szállító szakalegységek alaprendeltetéséből fakadó feladatai végrehajtásának vezetésére.</w:t>
      </w:r>
    </w:p>
    <w:p w:rsidR="00A84A0E" w:rsidRPr="00A84A0E" w:rsidRDefault="00A84A0E"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84A0E">
        <w:rPr>
          <w:rFonts w:ascii="Times New Roman" w:hAnsi="Times New Roman" w:cs="Times New Roman"/>
        </w:rPr>
        <w:t>Képes a közlekedési hálózatok katonai célú alkalmazásának tervezésére, szervezésére és végrehajtására.</w:t>
      </w:r>
    </w:p>
    <w:p w:rsidR="00A84A0E" w:rsidRPr="00A84A0E" w:rsidRDefault="00A84A0E" w:rsidP="00A84A0E">
      <w:pPr>
        <w:autoSpaceDE w:val="0"/>
        <w:autoSpaceDN w:val="0"/>
        <w:adjustRightInd w:val="0"/>
        <w:spacing w:before="120" w:after="0" w:line="240" w:lineRule="auto"/>
        <w:ind w:left="425"/>
        <w:jc w:val="both"/>
        <w:rPr>
          <w:rFonts w:ascii="Times New Roman" w:eastAsia="Times New Roman" w:hAnsi="Times New Roman" w:cs="Times New Roman"/>
          <w:b/>
          <w:bCs/>
        </w:rPr>
      </w:pPr>
      <w:r w:rsidRPr="00A84A0E">
        <w:rPr>
          <w:rFonts w:ascii="Times New Roman" w:eastAsia="Times New Roman" w:hAnsi="Times New Roman" w:cs="Times New Roman"/>
          <w:b/>
          <w:bCs/>
        </w:rPr>
        <w:t xml:space="preserve">Attitűdje: </w:t>
      </w:r>
    </w:p>
    <w:p w:rsidR="00A84A0E" w:rsidRPr="00A84A0E" w:rsidRDefault="00A84A0E"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84A0E">
        <w:rPr>
          <w:rFonts w:ascii="Times New Roman" w:hAnsi="Times New Roman" w:cs="Times New Roman"/>
        </w:rPr>
        <w:t>Nyitott a katonai közlekedési szakterületen zajló szakmai, technológiai fejlesztés és innováció megismerésére és elfogadására, hiteles közvetítésére és azok mindennapi munkájába való beillesztésére.</w:t>
      </w:r>
    </w:p>
    <w:p w:rsidR="00A84A0E" w:rsidRPr="00A84A0E" w:rsidRDefault="00A84A0E"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84A0E">
        <w:rPr>
          <w:rFonts w:ascii="Times New Roman" w:hAnsi="Times New Roman" w:cs="Times New Roman"/>
        </w:rPr>
        <w:t>Törekszik arra, hogy önképzése a katonai közlekedési szakterületen folyamatos és szakmai céljaival megegyező legyen.</w:t>
      </w:r>
    </w:p>
    <w:p w:rsidR="00A84A0E" w:rsidRPr="00A84A0E" w:rsidRDefault="00A84A0E"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84A0E">
        <w:rPr>
          <w:rFonts w:ascii="Times New Roman" w:hAnsi="Times New Roman" w:cs="Times New Roman"/>
        </w:rPr>
        <w:t>Elkötelezett a minőségi szakmai munkavégzés iránt, különös tekintettel a közlekedési, szállítási feladatok és folyamatok biztonságos végrehajtására.</w:t>
      </w:r>
    </w:p>
    <w:p w:rsidR="00A84A0E" w:rsidRPr="00A84A0E" w:rsidRDefault="00A84A0E"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84A0E">
        <w:rPr>
          <w:rFonts w:ascii="Times New Roman" w:hAnsi="Times New Roman" w:cs="Times New Roman"/>
        </w:rPr>
        <w:t>Figyel beosztottjai szakmai fejlődésének előmozdítására, ilyen irányú törekvéseik kezelésére és segítésére.</w:t>
      </w:r>
    </w:p>
    <w:p w:rsidR="00A84A0E" w:rsidRPr="00A84A0E" w:rsidRDefault="00A84A0E"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84A0E">
        <w:rPr>
          <w:rFonts w:ascii="Times New Roman" w:hAnsi="Times New Roman" w:cs="Times New Roman"/>
        </w:rPr>
        <w:t>Megosztja tapasztalatait munkatársaival, így segítve fejlődésüket.</w:t>
      </w:r>
    </w:p>
    <w:p w:rsidR="00A84A0E" w:rsidRPr="00A84A0E" w:rsidRDefault="00A84A0E" w:rsidP="00A84A0E">
      <w:pPr>
        <w:autoSpaceDE w:val="0"/>
        <w:autoSpaceDN w:val="0"/>
        <w:adjustRightInd w:val="0"/>
        <w:spacing w:before="120" w:after="0" w:line="240" w:lineRule="auto"/>
        <w:ind w:left="425"/>
        <w:jc w:val="both"/>
        <w:rPr>
          <w:rFonts w:ascii="Times New Roman" w:eastAsia="Times New Roman" w:hAnsi="Times New Roman" w:cs="Times New Roman"/>
          <w:b/>
          <w:bCs/>
        </w:rPr>
      </w:pPr>
      <w:r w:rsidRPr="00A84A0E">
        <w:rPr>
          <w:rFonts w:ascii="Times New Roman" w:eastAsia="Times New Roman" w:hAnsi="Times New Roman" w:cs="Times New Roman"/>
          <w:b/>
          <w:bCs/>
        </w:rPr>
        <w:t xml:space="preserve">Autonómiája és felelőssége: </w:t>
      </w:r>
    </w:p>
    <w:p w:rsidR="00A84A0E" w:rsidRPr="00A84A0E" w:rsidRDefault="00A84A0E"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84A0E">
        <w:rPr>
          <w:rFonts w:ascii="Times New Roman" w:hAnsi="Times New Roman" w:cs="Times New Roman"/>
        </w:rPr>
        <w:t>A katonai közlekedés szakterületén megjelenő folyamatokban képes önállóan döntéseket hozni, azokat felelősséggel, a jogszabályi keretek figyelembevételével végrehajtani.</w:t>
      </w:r>
    </w:p>
    <w:p w:rsidR="00A84A0E" w:rsidRPr="00A84A0E" w:rsidRDefault="00A84A0E"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84A0E">
        <w:rPr>
          <w:rFonts w:ascii="Times New Roman" w:hAnsi="Times New Roman" w:cs="Times New Roman"/>
        </w:rPr>
        <w:t>Tisztában van döntéseinek, tevékenységének a katonai logisztikai folyamatok egészére gyakorolt hatásaival, következményeivel.</w:t>
      </w:r>
    </w:p>
    <w:p w:rsidR="00A84A0E" w:rsidRPr="00A84A0E" w:rsidRDefault="00A84A0E"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84A0E">
        <w:rPr>
          <w:rFonts w:ascii="Times New Roman" w:hAnsi="Times New Roman" w:cs="Times New Roman"/>
        </w:rPr>
        <w:t>Szakmai feladatainak elvégzése során felelősségteljesen együttműködik más szakterület képzett szakembereivel is.</w:t>
      </w:r>
    </w:p>
    <w:p w:rsidR="00A84A0E" w:rsidRPr="00A84A0E" w:rsidRDefault="00A84A0E"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84A0E">
        <w:rPr>
          <w:rFonts w:ascii="Times New Roman" w:hAnsi="Times New Roman" w:cs="Times New Roman"/>
        </w:rPr>
        <w:t>Feltárja az alkalmazott technológiák hiányosságait, a folyamatok kockázatait és kezdeményezi az ezeket csökkentő intézkedések megtételét.</w:t>
      </w:r>
    </w:p>
    <w:p w:rsidR="00A84A0E" w:rsidRPr="00A84A0E" w:rsidRDefault="00A84A0E" w:rsidP="00A84A0E">
      <w:pPr>
        <w:widowControl w:val="0"/>
        <w:spacing w:before="120" w:after="120" w:line="240" w:lineRule="auto"/>
        <w:ind w:left="426"/>
        <w:jc w:val="both"/>
        <w:rPr>
          <w:rFonts w:ascii="Times New Roman" w:eastAsia="Times New Roman" w:hAnsi="Times New Roman" w:cs="Times New Roman"/>
          <w:b/>
          <w:bCs/>
          <w:lang w:val="en-US"/>
        </w:rPr>
      </w:pPr>
      <w:r w:rsidRPr="00A84A0E">
        <w:rPr>
          <w:rFonts w:ascii="Times New Roman" w:eastAsia="Times New Roman" w:hAnsi="Times New Roman" w:cs="Times New Roman"/>
          <w:b/>
          <w:bCs/>
        </w:rPr>
        <w:t>Elérendő kompetenciák (angolul) (</w:t>
      </w:r>
      <w:r w:rsidRPr="00A84A0E">
        <w:rPr>
          <w:rFonts w:ascii="Times New Roman" w:eastAsia="Times New Roman" w:hAnsi="Times New Roman" w:cs="Times New Roman"/>
          <w:b/>
          <w:bCs/>
          <w:lang w:val="en-US"/>
        </w:rPr>
        <w:t xml:space="preserve">Competences – English): </w:t>
      </w:r>
    </w:p>
    <w:p w:rsidR="00A84A0E" w:rsidRPr="00A84A0E" w:rsidRDefault="00A84A0E" w:rsidP="00A84A0E">
      <w:pPr>
        <w:widowControl w:val="0"/>
        <w:spacing w:before="120" w:after="120" w:line="240" w:lineRule="auto"/>
        <w:ind w:left="426"/>
        <w:jc w:val="both"/>
        <w:rPr>
          <w:rFonts w:ascii="Times New Roman" w:eastAsia="Times New Roman" w:hAnsi="Times New Roman" w:cs="Times New Roman"/>
          <w:lang w:val="en-GB"/>
        </w:rPr>
      </w:pPr>
      <w:r w:rsidRPr="00A84A0E">
        <w:rPr>
          <w:rFonts w:ascii="Times New Roman" w:eastAsia="Times New Roman" w:hAnsi="Times New Roman" w:cs="Times New Roman"/>
          <w:b/>
          <w:lang w:val="en-GB"/>
        </w:rPr>
        <w:t>Knowledge</w:t>
      </w:r>
      <w:r w:rsidRPr="00A84A0E">
        <w:rPr>
          <w:rFonts w:ascii="Times New Roman" w:eastAsia="Times New Roman" w:hAnsi="Times New Roman" w:cs="Times New Roman"/>
          <w:lang w:val="en-GB"/>
        </w:rPr>
        <w:t xml:space="preserve">: </w:t>
      </w:r>
    </w:p>
    <w:p w:rsidR="00A84A0E" w:rsidRPr="00A84A0E" w:rsidRDefault="00A84A0E"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84A0E">
        <w:rPr>
          <w:rFonts w:ascii="Times New Roman" w:hAnsi="Times New Roman" w:cs="Times New Roman"/>
        </w:rPr>
        <w:t>Knows the basics and requirements of logistics, management, environmental protection, quality assurance, information technology, law and economics, connected to the field of military transportation.</w:t>
      </w:r>
    </w:p>
    <w:p w:rsidR="00A84A0E" w:rsidRPr="00A84A0E" w:rsidRDefault="00A84A0E"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84A0E">
        <w:rPr>
          <w:rFonts w:ascii="Times New Roman" w:hAnsi="Times New Roman" w:cs="Times New Roman"/>
        </w:rPr>
        <w:t>Is familiar with the technical equipment used in military transportation, the transportation modes and facilities, and the rules of their use and operation.</w:t>
      </w:r>
    </w:p>
    <w:p w:rsidR="00A84A0E" w:rsidRPr="00A84A0E" w:rsidRDefault="00A84A0E"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84A0E">
        <w:rPr>
          <w:rFonts w:ascii="Times New Roman" w:hAnsi="Times New Roman" w:cs="Times New Roman"/>
        </w:rPr>
        <w:t>Is familiar with the methods of assessing the requirements of military transportation and its feasibility and practical implementation.</w:t>
      </w:r>
    </w:p>
    <w:p w:rsidR="00A84A0E" w:rsidRPr="00A84A0E" w:rsidRDefault="00A84A0E" w:rsidP="00A84A0E">
      <w:pPr>
        <w:widowControl w:val="0"/>
        <w:spacing w:before="120" w:after="120" w:line="240" w:lineRule="auto"/>
        <w:ind w:left="426"/>
        <w:jc w:val="both"/>
        <w:rPr>
          <w:rFonts w:ascii="Times New Roman" w:eastAsia="Times New Roman" w:hAnsi="Times New Roman" w:cs="Times New Roman"/>
          <w:lang w:val="en-GB"/>
        </w:rPr>
      </w:pPr>
      <w:r w:rsidRPr="00A84A0E">
        <w:rPr>
          <w:rFonts w:ascii="Times New Roman" w:eastAsia="Times New Roman" w:hAnsi="Times New Roman" w:cs="Times New Roman"/>
          <w:b/>
          <w:lang w:val="en-GB"/>
        </w:rPr>
        <w:t>Capabilities</w:t>
      </w:r>
      <w:r w:rsidRPr="00A84A0E">
        <w:rPr>
          <w:rFonts w:ascii="Times New Roman" w:eastAsia="Times New Roman" w:hAnsi="Times New Roman" w:cs="Times New Roman"/>
          <w:lang w:val="en-GB"/>
        </w:rPr>
        <w:t>:</w:t>
      </w:r>
    </w:p>
    <w:p w:rsidR="00A84A0E" w:rsidRPr="00A84A0E" w:rsidRDefault="00A84A0E"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84A0E">
        <w:rPr>
          <w:rFonts w:ascii="Times New Roman" w:hAnsi="Times New Roman" w:cs="Times New Roman"/>
        </w:rPr>
        <w:t>Using his/her general and specialized military knowledge and skills, he/she is capable of planning, organizing, and conducting military transport, movement, and transportation tasks.</w:t>
      </w:r>
    </w:p>
    <w:p w:rsidR="00A84A0E" w:rsidRPr="00A84A0E" w:rsidRDefault="00A84A0E"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84A0E">
        <w:rPr>
          <w:rFonts w:ascii="Times New Roman" w:hAnsi="Times New Roman" w:cs="Times New Roman"/>
        </w:rPr>
        <w:t>Is capable of leading the execution of the tasks of a military transportation subunit in peace time and in crisis response, disaster relief, peace support and combat operations both in a national and a multinational environment.</w:t>
      </w:r>
    </w:p>
    <w:p w:rsidR="00A84A0E" w:rsidRPr="00A84A0E" w:rsidRDefault="00A84A0E"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84A0E">
        <w:rPr>
          <w:rFonts w:ascii="Times New Roman" w:hAnsi="Times New Roman" w:cs="Times New Roman"/>
        </w:rPr>
        <w:t>Is capable of planning, organizing and executing the tasks related to the application of traffic networks for military purposes.</w:t>
      </w:r>
    </w:p>
    <w:p w:rsidR="00A84A0E" w:rsidRPr="00A84A0E" w:rsidRDefault="00A84A0E" w:rsidP="00A84A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lang w:val="en-GB"/>
        </w:rPr>
      </w:pPr>
      <w:r w:rsidRPr="00A84A0E">
        <w:rPr>
          <w:rFonts w:ascii="Times New Roman" w:eastAsia="Times New Roman" w:hAnsi="Times New Roman" w:cs="Times New Roman"/>
          <w:b/>
          <w:lang w:val="en-GB"/>
        </w:rPr>
        <w:t>Attitude:</w:t>
      </w:r>
    </w:p>
    <w:p w:rsidR="00A84A0E" w:rsidRPr="00A84A0E" w:rsidRDefault="00A84A0E"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84A0E">
        <w:rPr>
          <w:rFonts w:ascii="Times New Roman" w:hAnsi="Times New Roman" w:cs="Times New Roman"/>
        </w:rPr>
        <w:t>He/She is ready to become familiar with and adopt the professional and technological development and innovation in the field of military transportation, and also to pass it on and integrate it into his daily work.</w:t>
      </w:r>
    </w:p>
    <w:p w:rsidR="00A84A0E" w:rsidRPr="00A84A0E" w:rsidRDefault="00A84A0E"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84A0E">
        <w:rPr>
          <w:rFonts w:ascii="Times New Roman" w:hAnsi="Times New Roman" w:cs="Times New Roman"/>
        </w:rPr>
        <w:t>He/She strives for continuous self-education in the field of military transportation which is consistent with his/her professional goals.</w:t>
      </w:r>
    </w:p>
    <w:p w:rsidR="00A84A0E" w:rsidRPr="00A84A0E" w:rsidRDefault="00A84A0E"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84A0E">
        <w:rPr>
          <w:rFonts w:ascii="Times New Roman" w:hAnsi="Times New Roman" w:cs="Times New Roman"/>
        </w:rPr>
        <w:t>He/She is committed to high quality in his/her professional work, with special emphasis on the safe execution of the transportation tasks and processes.</w:t>
      </w:r>
    </w:p>
    <w:p w:rsidR="00A84A0E" w:rsidRPr="00A84A0E" w:rsidRDefault="00A84A0E"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84A0E">
        <w:rPr>
          <w:rFonts w:ascii="Times New Roman" w:hAnsi="Times New Roman" w:cs="Times New Roman"/>
        </w:rPr>
        <w:t>He/She is interested in promoting the professional development of his/her subordinates, and provides assistance in their efforts.</w:t>
      </w:r>
    </w:p>
    <w:p w:rsidR="00A84A0E" w:rsidRPr="00A84A0E" w:rsidRDefault="00A84A0E"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84A0E">
        <w:rPr>
          <w:rFonts w:ascii="Times New Roman" w:hAnsi="Times New Roman" w:cs="Times New Roman"/>
        </w:rPr>
        <w:lastRenderedPageBreak/>
        <w:t>He/she is willing to share his/her experience with his/her colleagues to further their professional development.</w:t>
      </w:r>
    </w:p>
    <w:p w:rsidR="00A84A0E" w:rsidRPr="00A84A0E" w:rsidRDefault="00A84A0E" w:rsidP="00A84A0E">
      <w:pPr>
        <w:widowControl w:val="0"/>
        <w:spacing w:before="120" w:after="120" w:line="240" w:lineRule="auto"/>
        <w:ind w:left="426"/>
        <w:jc w:val="both"/>
        <w:rPr>
          <w:rFonts w:ascii="Times New Roman" w:eastAsia="Times New Roman" w:hAnsi="Times New Roman" w:cs="Times New Roman"/>
          <w:b/>
          <w:lang w:val="en-GB"/>
        </w:rPr>
      </w:pPr>
      <w:r w:rsidRPr="00A84A0E">
        <w:rPr>
          <w:rFonts w:ascii="Times New Roman" w:eastAsia="Times New Roman" w:hAnsi="Times New Roman" w:cs="Times New Roman"/>
          <w:b/>
          <w:lang w:val="en-GB"/>
        </w:rPr>
        <w:t xml:space="preserve">Autonomy and responsibility: </w:t>
      </w:r>
    </w:p>
    <w:p w:rsidR="00A84A0E" w:rsidRPr="00A84A0E" w:rsidRDefault="00A84A0E"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84A0E">
        <w:rPr>
          <w:rFonts w:ascii="Times New Roman" w:hAnsi="Times New Roman" w:cs="Times New Roman"/>
        </w:rPr>
        <w:t>He/She is able to make decisions independently in the processes arising in the field of military transportation, and to implement them with responsibility and within the legal framework.</w:t>
      </w:r>
    </w:p>
    <w:p w:rsidR="00A84A0E" w:rsidRPr="00A84A0E" w:rsidRDefault="00A84A0E"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84A0E">
        <w:rPr>
          <w:rFonts w:ascii="Times New Roman" w:hAnsi="Times New Roman" w:cs="Times New Roman"/>
        </w:rPr>
        <w:t>He/She is aware of the effects and consequences of his decisions and activities on the military logistic processes as a whole.</w:t>
      </w:r>
    </w:p>
    <w:p w:rsidR="00A84A0E" w:rsidRPr="00A84A0E" w:rsidRDefault="00A84A0E"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84A0E">
        <w:rPr>
          <w:rFonts w:ascii="Times New Roman" w:hAnsi="Times New Roman" w:cs="Times New Roman"/>
        </w:rPr>
        <w:t xml:space="preserve">During his/her professional duties, he/she is willing to responsibly cooperate with specialists of other areas. </w:t>
      </w:r>
    </w:p>
    <w:p w:rsidR="00A84A0E" w:rsidRPr="00A84A0E" w:rsidRDefault="00A84A0E" w:rsidP="00666335">
      <w:pPr>
        <w:pStyle w:val="Listaszerbekezds"/>
        <w:numPr>
          <w:ilvl w:val="0"/>
          <w:numId w:val="37"/>
        </w:numPr>
        <w:autoSpaceDE w:val="0"/>
        <w:autoSpaceDN w:val="0"/>
        <w:adjustRightInd w:val="0"/>
        <w:spacing w:after="0" w:line="240" w:lineRule="auto"/>
        <w:jc w:val="both"/>
        <w:rPr>
          <w:rFonts w:ascii="Times New Roman" w:hAnsi="Times New Roman" w:cs="Times New Roman"/>
        </w:rPr>
      </w:pPr>
      <w:r w:rsidRPr="00A84A0E">
        <w:rPr>
          <w:rFonts w:ascii="Times New Roman" w:hAnsi="Times New Roman" w:cs="Times New Roman"/>
        </w:rPr>
        <w:t>He/She can identify the deficiencies and risks in the applied technologies and initiates taking measures to reduce their impact.</w:t>
      </w:r>
    </w:p>
    <w:p w:rsidR="00A84A0E" w:rsidRPr="00A84A0E" w:rsidRDefault="00A84A0E" w:rsidP="00980876">
      <w:pPr>
        <w:widowControl w:val="0"/>
        <w:numPr>
          <w:ilvl w:val="0"/>
          <w:numId w:val="807"/>
        </w:numPr>
        <w:spacing w:before="120" w:after="120" w:line="240" w:lineRule="auto"/>
        <w:ind w:left="426" w:hanging="142"/>
        <w:jc w:val="both"/>
        <w:rPr>
          <w:rFonts w:ascii="Times New Roman" w:eastAsia="Times New Roman" w:hAnsi="Times New Roman" w:cs="Times New Roman"/>
          <w:bCs/>
        </w:rPr>
      </w:pPr>
      <w:r w:rsidRPr="00A84A0E">
        <w:rPr>
          <w:rFonts w:ascii="Times New Roman" w:eastAsia="Times New Roman" w:hAnsi="Times New Roman" w:cs="Times New Roman"/>
          <w:b/>
          <w:bCs/>
        </w:rPr>
        <w:t xml:space="preserve">Előtanulmányi követelmények: </w:t>
      </w:r>
      <w:r w:rsidRPr="00A84A0E">
        <w:rPr>
          <w:rFonts w:ascii="Times New Roman" w:hAnsi="Times New Roman" w:cs="Times New Roman"/>
        </w:rPr>
        <w:t>Nincs</w:t>
      </w:r>
    </w:p>
    <w:p w:rsidR="00A84A0E" w:rsidRPr="00A84A0E" w:rsidRDefault="00A84A0E" w:rsidP="00980876">
      <w:pPr>
        <w:widowControl w:val="0"/>
        <w:numPr>
          <w:ilvl w:val="0"/>
          <w:numId w:val="807"/>
        </w:numPr>
        <w:spacing w:before="120" w:after="120" w:line="240" w:lineRule="auto"/>
        <w:ind w:left="426" w:hanging="142"/>
        <w:jc w:val="both"/>
        <w:rPr>
          <w:rFonts w:ascii="Times New Roman" w:eastAsia="Times New Roman" w:hAnsi="Times New Roman" w:cs="Times New Roman"/>
          <w:b/>
          <w:bCs/>
        </w:rPr>
      </w:pPr>
      <w:r w:rsidRPr="00A84A0E">
        <w:rPr>
          <w:rFonts w:ascii="Times New Roman" w:eastAsia="Times New Roman" w:hAnsi="Times New Roman" w:cs="Times New Roman"/>
          <w:b/>
          <w:bCs/>
        </w:rPr>
        <w:t>A tantárgy tananyagának leírása, tematika. Description of the subject, curriculum (magyarul, angolul - English):</w:t>
      </w:r>
    </w:p>
    <w:p w:rsidR="00A84A0E" w:rsidRPr="00885E3E" w:rsidRDefault="00A84A0E" w:rsidP="00980876">
      <w:pPr>
        <w:pStyle w:val="lfej"/>
        <w:numPr>
          <w:ilvl w:val="1"/>
          <w:numId w:val="807"/>
        </w:numPr>
        <w:tabs>
          <w:tab w:val="clear" w:pos="4536"/>
          <w:tab w:val="clear" w:pos="9072"/>
        </w:tabs>
        <w:spacing w:after="60"/>
        <w:ind w:left="1134" w:hanging="573"/>
        <w:jc w:val="both"/>
        <w:rPr>
          <w:rStyle w:val="tlid-translation"/>
          <w:rFonts w:ascii="Times New Roman" w:hAnsi="Times New Roman" w:cs="Times New Roman"/>
          <w:lang w:val="en"/>
        </w:rPr>
      </w:pPr>
      <w:r w:rsidRPr="00885E3E">
        <w:rPr>
          <w:rFonts w:ascii="Times New Roman" w:hAnsi="Times New Roman" w:cs="Times New Roman"/>
        </w:rPr>
        <w:t xml:space="preserve">A közlekedéspolitika értelmezése. </w:t>
      </w:r>
      <w:r w:rsidRPr="00885E3E">
        <w:rPr>
          <w:rFonts w:ascii="Times New Roman" w:hAnsi="Times New Roman" w:cs="Times New Roman"/>
          <w:i/>
        </w:rPr>
        <w:t>(</w:t>
      </w:r>
      <w:r w:rsidRPr="00885E3E">
        <w:rPr>
          <w:rStyle w:val="tlid-translation"/>
          <w:rFonts w:ascii="Times New Roman" w:hAnsi="Times New Roman" w:cs="Times New Roman"/>
          <w:i/>
          <w:lang w:val="en"/>
        </w:rPr>
        <w:t>Interpretation of transport policy)</w:t>
      </w:r>
    </w:p>
    <w:p w:rsidR="00A84A0E" w:rsidRPr="00885E3E" w:rsidRDefault="00A84A0E" w:rsidP="00980876">
      <w:pPr>
        <w:pStyle w:val="lfej"/>
        <w:numPr>
          <w:ilvl w:val="1"/>
          <w:numId w:val="807"/>
        </w:numPr>
        <w:tabs>
          <w:tab w:val="clear" w:pos="4536"/>
          <w:tab w:val="clear" w:pos="9072"/>
        </w:tabs>
        <w:spacing w:after="60"/>
        <w:ind w:left="1134" w:hanging="573"/>
        <w:jc w:val="both"/>
        <w:rPr>
          <w:rFonts w:ascii="Times New Roman" w:hAnsi="Times New Roman" w:cs="Times New Roman"/>
        </w:rPr>
      </w:pPr>
      <w:r w:rsidRPr="00885E3E">
        <w:rPr>
          <w:rFonts w:ascii="Times New Roman" w:hAnsi="Times New Roman" w:cs="Times New Roman"/>
        </w:rPr>
        <w:t>A közlekedés szerepe, jelentősége. (</w:t>
      </w:r>
      <w:r w:rsidRPr="00885E3E">
        <w:rPr>
          <w:rStyle w:val="tlid-translation"/>
          <w:rFonts w:ascii="Times New Roman" w:hAnsi="Times New Roman" w:cs="Times New Roman"/>
          <w:i/>
          <w:lang w:val="en"/>
        </w:rPr>
        <w:t>The role and significance of transport)</w:t>
      </w:r>
    </w:p>
    <w:p w:rsidR="00A84A0E" w:rsidRPr="00885E3E" w:rsidRDefault="00A84A0E" w:rsidP="00980876">
      <w:pPr>
        <w:pStyle w:val="lfej"/>
        <w:numPr>
          <w:ilvl w:val="1"/>
          <w:numId w:val="807"/>
        </w:numPr>
        <w:tabs>
          <w:tab w:val="clear" w:pos="4536"/>
          <w:tab w:val="clear" w:pos="9072"/>
        </w:tabs>
        <w:spacing w:after="60"/>
        <w:ind w:left="1134" w:hanging="573"/>
        <w:jc w:val="both"/>
        <w:rPr>
          <w:rFonts w:ascii="Times New Roman" w:hAnsi="Times New Roman" w:cs="Times New Roman"/>
        </w:rPr>
      </w:pPr>
      <w:r w:rsidRPr="00885E3E">
        <w:rPr>
          <w:rFonts w:ascii="Times New Roman" w:hAnsi="Times New Roman" w:cs="Times New Roman"/>
        </w:rPr>
        <w:t>A rendszerváltás előtti időszak</w:t>
      </w:r>
      <w:r w:rsidRPr="00885E3E">
        <w:rPr>
          <w:rFonts w:ascii="Times New Roman" w:hAnsi="Times New Roman" w:cs="Times New Roman"/>
          <w:i/>
        </w:rPr>
        <w:t>.  (</w:t>
      </w:r>
      <w:r w:rsidRPr="00885E3E">
        <w:rPr>
          <w:rStyle w:val="tlid-translation"/>
          <w:rFonts w:ascii="Times New Roman" w:hAnsi="Times New Roman" w:cs="Times New Roman"/>
          <w:i/>
          <w:lang w:val="en"/>
        </w:rPr>
        <w:t>The period before the change of regime)</w:t>
      </w:r>
    </w:p>
    <w:p w:rsidR="00A84A0E" w:rsidRPr="00885E3E" w:rsidRDefault="00A84A0E" w:rsidP="00980876">
      <w:pPr>
        <w:pStyle w:val="lfej"/>
        <w:numPr>
          <w:ilvl w:val="1"/>
          <w:numId w:val="807"/>
        </w:numPr>
        <w:tabs>
          <w:tab w:val="clear" w:pos="4536"/>
          <w:tab w:val="clear" w:pos="9072"/>
        </w:tabs>
        <w:spacing w:after="60"/>
        <w:ind w:left="1134" w:hanging="573"/>
        <w:jc w:val="both"/>
        <w:rPr>
          <w:rStyle w:val="tlid-translation"/>
          <w:rFonts w:ascii="Times New Roman" w:hAnsi="Times New Roman" w:cs="Times New Roman"/>
          <w:lang w:val="en"/>
        </w:rPr>
      </w:pPr>
      <w:r w:rsidRPr="00885E3E">
        <w:rPr>
          <w:rFonts w:ascii="Times New Roman" w:hAnsi="Times New Roman" w:cs="Times New Roman"/>
        </w:rPr>
        <w:t xml:space="preserve">A rendszerváltás utáni időszak.  </w:t>
      </w:r>
      <w:r w:rsidRPr="00885E3E">
        <w:rPr>
          <w:rStyle w:val="tlid-translation"/>
          <w:rFonts w:ascii="Times New Roman" w:hAnsi="Times New Roman" w:cs="Times New Roman"/>
          <w:i/>
          <w:lang w:val="en"/>
        </w:rPr>
        <w:t>The period after the change of regime</w:t>
      </w:r>
    </w:p>
    <w:p w:rsidR="00A84A0E" w:rsidRPr="00885E3E" w:rsidRDefault="00A84A0E" w:rsidP="00980876">
      <w:pPr>
        <w:pStyle w:val="lfej"/>
        <w:numPr>
          <w:ilvl w:val="1"/>
          <w:numId w:val="807"/>
        </w:numPr>
        <w:tabs>
          <w:tab w:val="clear" w:pos="4536"/>
          <w:tab w:val="clear" w:pos="9072"/>
        </w:tabs>
        <w:spacing w:after="60"/>
        <w:ind w:left="1134" w:hanging="573"/>
        <w:jc w:val="both"/>
        <w:rPr>
          <w:rStyle w:val="tlid-translation"/>
          <w:rFonts w:ascii="Times New Roman" w:hAnsi="Times New Roman" w:cs="Times New Roman"/>
          <w:lang w:val="en"/>
        </w:rPr>
      </w:pPr>
      <w:r w:rsidRPr="00885E3E">
        <w:rPr>
          <w:rFonts w:ascii="Times New Roman" w:hAnsi="Times New Roman" w:cs="Times New Roman"/>
        </w:rPr>
        <w:t xml:space="preserve">A közösségi közlekedéspolitika.  </w:t>
      </w:r>
      <w:r w:rsidRPr="00885E3E">
        <w:rPr>
          <w:rStyle w:val="tlid-translation"/>
          <w:rFonts w:ascii="Times New Roman" w:hAnsi="Times New Roman" w:cs="Times New Roman"/>
          <w:lang w:val="en"/>
        </w:rPr>
        <w:t>Community transport policy</w:t>
      </w:r>
    </w:p>
    <w:p w:rsidR="00A84A0E" w:rsidRPr="00885E3E" w:rsidRDefault="00A84A0E" w:rsidP="00980876">
      <w:pPr>
        <w:pStyle w:val="lfej"/>
        <w:numPr>
          <w:ilvl w:val="1"/>
          <w:numId w:val="807"/>
        </w:numPr>
        <w:tabs>
          <w:tab w:val="clear" w:pos="4536"/>
          <w:tab w:val="clear" w:pos="9072"/>
        </w:tabs>
        <w:spacing w:after="60"/>
        <w:ind w:left="1134" w:hanging="573"/>
        <w:jc w:val="both"/>
        <w:rPr>
          <w:rStyle w:val="tlid-translation"/>
          <w:rFonts w:ascii="Times New Roman" w:hAnsi="Times New Roman" w:cs="Times New Roman"/>
          <w:lang w:val="en"/>
        </w:rPr>
      </w:pPr>
      <w:r w:rsidRPr="00885E3E">
        <w:rPr>
          <w:rFonts w:ascii="Times New Roman" w:hAnsi="Times New Roman" w:cs="Times New Roman"/>
        </w:rPr>
        <w:t>A közúti alágazat jellemzői. (</w:t>
      </w:r>
      <w:r w:rsidRPr="00885E3E">
        <w:rPr>
          <w:rStyle w:val="tlid-translation"/>
          <w:rFonts w:ascii="Times New Roman" w:hAnsi="Times New Roman" w:cs="Times New Roman"/>
          <w:lang w:val="en"/>
        </w:rPr>
        <w:t>Characteristics of the road subsector)</w:t>
      </w:r>
    </w:p>
    <w:p w:rsidR="00A84A0E" w:rsidRPr="00885E3E" w:rsidRDefault="00A84A0E" w:rsidP="00980876">
      <w:pPr>
        <w:pStyle w:val="lfej"/>
        <w:numPr>
          <w:ilvl w:val="1"/>
          <w:numId w:val="807"/>
        </w:numPr>
        <w:tabs>
          <w:tab w:val="clear" w:pos="4536"/>
          <w:tab w:val="clear" w:pos="9072"/>
        </w:tabs>
        <w:spacing w:after="60"/>
        <w:ind w:left="1134" w:hanging="573"/>
        <w:jc w:val="both"/>
        <w:rPr>
          <w:rStyle w:val="tlid-translation"/>
          <w:rFonts w:ascii="Times New Roman" w:hAnsi="Times New Roman" w:cs="Times New Roman"/>
          <w:lang w:val="en"/>
        </w:rPr>
      </w:pPr>
      <w:r w:rsidRPr="00885E3E">
        <w:rPr>
          <w:rFonts w:ascii="Times New Roman" w:hAnsi="Times New Roman" w:cs="Times New Roman"/>
        </w:rPr>
        <w:t>Vasútpolitika.</w:t>
      </w:r>
      <w:r w:rsidRPr="00885E3E">
        <w:rPr>
          <w:rStyle w:val="tlid-translation"/>
          <w:rFonts w:ascii="Times New Roman" w:hAnsi="Times New Roman" w:cs="Times New Roman"/>
          <w:lang w:val="en"/>
        </w:rPr>
        <w:t xml:space="preserve">  (</w:t>
      </w:r>
      <w:r w:rsidRPr="00885E3E">
        <w:rPr>
          <w:rStyle w:val="tlid-translation"/>
          <w:rFonts w:ascii="Times New Roman" w:hAnsi="Times New Roman" w:cs="Times New Roman"/>
          <w:i/>
          <w:lang w:val="en"/>
        </w:rPr>
        <w:t>Railway policy</w:t>
      </w:r>
      <w:r w:rsidRPr="00885E3E">
        <w:rPr>
          <w:rStyle w:val="tlid-translation"/>
          <w:rFonts w:ascii="Times New Roman" w:hAnsi="Times New Roman" w:cs="Times New Roman"/>
          <w:lang w:val="en"/>
        </w:rPr>
        <w:t xml:space="preserve">) </w:t>
      </w:r>
    </w:p>
    <w:p w:rsidR="00A84A0E" w:rsidRPr="00885E3E" w:rsidRDefault="00A84A0E" w:rsidP="00980876">
      <w:pPr>
        <w:pStyle w:val="lfej"/>
        <w:numPr>
          <w:ilvl w:val="1"/>
          <w:numId w:val="807"/>
        </w:numPr>
        <w:tabs>
          <w:tab w:val="clear" w:pos="4536"/>
          <w:tab w:val="clear" w:pos="9072"/>
        </w:tabs>
        <w:spacing w:after="60"/>
        <w:ind w:left="1134" w:hanging="573"/>
        <w:jc w:val="both"/>
        <w:rPr>
          <w:rFonts w:ascii="Times New Roman" w:hAnsi="Times New Roman" w:cs="Times New Roman"/>
        </w:rPr>
      </w:pPr>
      <w:r w:rsidRPr="00885E3E">
        <w:rPr>
          <w:rStyle w:val="tlid-translation"/>
          <w:rFonts w:ascii="Times New Roman" w:hAnsi="Times New Roman" w:cs="Times New Roman"/>
          <w:lang w:val="en"/>
        </w:rPr>
        <w:t>Hajózási ágazati politika. (</w:t>
      </w:r>
      <w:r w:rsidRPr="00885E3E">
        <w:rPr>
          <w:rStyle w:val="tlid-translation"/>
          <w:rFonts w:ascii="Times New Roman" w:hAnsi="Times New Roman" w:cs="Times New Roman"/>
          <w:i/>
          <w:lang w:val="en"/>
        </w:rPr>
        <w:t>Maritime sectoral policy)</w:t>
      </w:r>
    </w:p>
    <w:p w:rsidR="00A84A0E" w:rsidRPr="00885E3E" w:rsidRDefault="00A84A0E" w:rsidP="00980876">
      <w:pPr>
        <w:pStyle w:val="lfej"/>
        <w:numPr>
          <w:ilvl w:val="1"/>
          <w:numId w:val="807"/>
        </w:numPr>
        <w:tabs>
          <w:tab w:val="clear" w:pos="4536"/>
          <w:tab w:val="clear" w:pos="9072"/>
        </w:tabs>
        <w:spacing w:after="60"/>
        <w:ind w:left="1134" w:hanging="573"/>
        <w:jc w:val="both"/>
        <w:rPr>
          <w:rStyle w:val="tlid-translation"/>
          <w:rFonts w:ascii="Times New Roman" w:hAnsi="Times New Roman" w:cs="Times New Roman"/>
          <w:b/>
        </w:rPr>
      </w:pPr>
      <w:r w:rsidRPr="00885E3E">
        <w:rPr>
          <w:rStyle w:val="tlid-translation"/>
          <w:rFonts w:ascii="Times New Roman" w:hAnsi="Times New Roman" w:cs="Times New Roman"/>
          <w:lang w:val="en"/>
        </w:rPr>
        <w:t>Zárthelyi</w:t>
      </w:r>
      <w:r w:rsidRPr="00885E3E">
        <w:rPr>
          <w:rFonts w:ascii="Times New Roman" w:hAnsi="Times New Roman" w:cs="Times New Roman"/>
        </w:rPr>
        <w:t xml:space="preserve"> dolgozat.</w:t>
      </w:r>
      <w:r w:rsidRPr="00885E3E">
        <w:rPr>
          <w:rStyle w:val="tlid-translation"/>
          <w:rFonts w:ascii="Times New Roman" w:hAnsi="Times New Roman" w:cs="Times New Roman"/>
          <w:lang w:val="en"/>
        </w:rPr>
        <w:t xml:space="preserve"> </w:t>
      </w:r>
      <w:r w:rsidRPr="00885E3E">
        <w:rPr>
          <w:rStyle w:val="tlid-translation"/>
          <w:rFonts w:ascii="Times New Roman" w:hAnsi="Times New Roman" w:cs="Times New Roman"/>
          <w:i/>
          <w:lang w:val="en"/>
        </w:rPr>
        <w:t>(Closed thesis.)</w:t>
      </w:r>
    </w:p>
    <w:p w:rsidR="00A84A0E" w:rsidRPr="00A84A0E" w:rsidRDefault="00A84A0E" w:rsidP="00980876">
      <w:pPr>
        <w:widowControl w:val="0"/>
        <w:numPr>
          <w:ilvl w:val="0"/>
          <w:numId w:val="807"/>
        </w:numPr>
        <w:spacing w:before="120" w:after="120" w:line="240" w:lineRule="auto"/>
        <w:ind w:left="426" w:hanging="142"/>
        <w:jc w:val="both"/>
        <w:rPr>
          <w:rFonts w:ascii="Times New Roman" w:eastAsia="Times New Roman" w:hAnsi="Times New Roman" w:cs="Times New Roman"/>
          <w:bCs/>
        </w:rPr>
      </w:pPr>
      <w:r w:rsidRPr="00A84A0E">
        <w:rPr>
          <w:rFonts w:ascii="Times New Roman" w:eastAsia="Times New Roman" w:hAnsi="Times New Roman" w:cs="Times New Roman"/>
          <w:b/>
          <w:bCs/>
        </w:rPr>
        <w:t xml:space="preserve">A tantárgy meghirdetésének gyakorisága/a tantervben történő félévi elhelyezkedése: </w:t>
      </w:r>
      <w:r w:rsidRPr="00A84A0E">
        <w:rPr>
          <w:rFonts w:ascii="Times New Roman" w:eastAsia="Times New Roman" w:hAnsi="Times New Roman" w:cs="Times New Roman"/>
          <w:bCs/>
        </w:rPr>
        <w:t>6. félév</w:t>
      </w:r>
    </w:p>
    <w:p w:rsidR="00A84A0E" w:rsidRPr="00A84A0E" w:rsidRDefault="00A84A0E" w:rsidP="00980876">
      <w:pPr>
        <w:widowControl w:val="0"/>
        <w:numPr>
          <w:ilvl w:val="0"/>
          <w:numId w:val="807"/>
        </w:numPr>
        <w:spacing w:before="120" w:after="120" w:line="240" w:lineRule="auto"/>
        <w:ind w:left="426" w:hanging="142"/>
        <w:jc w:val="both"/>
        <w:rPr>
          <w:rFonts w:ascii="Times New Roman" w:eastAsia="Times New Roman" w:hAnsi="Times New Roman" w:cs="Times New Roman"/>
          <w:bCs/>
        </w:rPr>
      </w:pPr>
      <w:r w:rsidRPr="00A84A0E">
        <w:rPr>
          <w:rFonts w:ascii="Times New Roman" w:eastAsia="Times New Roman" w:hAnsi="Times New Roman" w:cs="Times New Roman"/>
          <w:b/>
          <w:bCs/>
        </w:rPr>
        <w:t>A tanórákon való részvétel követelményei, az elfogadható hiányzások mértéke, a távolmaradás pótlásának lehetősége:</w:t>
      </w:r>
      <w:r w:rsidRPr="00A84A0E">
        <w:rPr>
          <w:rFonts w:ascii="Times New Roman" w:eastAsia="Times New Roman" w:hAnsi="Times New Roman" w:cs="Times New Roman"/>
          <w:bCs/>
        </w:rPr>
        <w:t xml:space="preserve"> </w:t>
      </w:r>
    </w:p>
    <w:p w:rsidR="00A84A0E" w:rsidRPr="00A84A0E" w:rsidRDefault="00A84A0E" w:rsidP="00A84A0E">
      <w:pPr>
        <w:widowControl w:val="0"/>
        <w:spacing w:before="120" w:after="120" w:line="240" w:lineRule="auto"/>
        <w:ind w:left="426"/>
        <w:jc w:val="both"/>
        <w:rPr>
          <w:rFonts w:ascii="Times New Roman" w:eastAsia="Times New Roman" w:hAnsi="Times New Roman" w:cs="Times New Roman"/>
          <w:bCs/>
          <w:highlight w:val="lightGray"/>
        </w:rPr>
      </w:pPr>
      <w:r w:rsidRPr="00A84A0E">
        <w:rPr>
          <w:rFonts w:ascii="Times New Roman" w:eastAsia="Times New Roman" w:hAnsi="Times New Roman" w:cs="Times New Roman"/>
          <w:bCs/>
          <w:lang w:eastAsia="hu-HU"/>
        </w:rPr>
        <w:t>A tanórákon való részvétel kötelező, megengedett hiányzás mértéke 25%. Hiányzás esetén órapótlásra nincs lehetőség, a hallgató az előadás anyagát önállóan pótolja. A 25%-ot meghaladó hiányzás az aláírás megtagadását vonja maga után.</w:t>
      </w:r>
    </w:p>
    <w:p w:rsidR="00A84A0E" w:rsidRPr="00A84A0E" w:rsidRDefault="00A84A0E" w:rsidP="00980876">
      <w:pPr>
        <w:widowControl w:val="0"/>
        <w:numPr>
          <w:ilvl w:val="0"/>
          <w:numId w:val="807"/>
        </w:numPr>
        <w:spacing w:before="120" w:after="120" w:line="240" w:lineRule="auto"/>
        <w:ind w:left="426" w:hanging="142"/>
        <w:jc w:val="both"/>
        <w:rPr>
          <w:rFonts w:ascii="Times New Roman" w:eastAsia="Times New Roman" w:hAnsi="Times New Roman" w:cs="Times New Roman"/>
          <w:bCs/>
        </w:rPr>
      </w:pPr>
      <w:r w:rsidRPr="00A84A0E">
        <w:rPr>
          <w:rFonts w:ascii="Times New Roman" w:eastAsia="Times New Roman" w:hAnsi="Times New Roman" w:cs="Times New Roman"/>
          <w:b/>
        </w:rPr>
        <w:t>Félévközi feladatok, ismeretek ellenőrzésének rendje:</w:t>
      </w:r>
      <w:r w:rsidRPr="00A84A0E">
        <w:rPr>
          <w:rFonts w:ascii="Times New Roman" w:eastAsia="Times New Roman" w:hAnsi="Times New Roman" w:cs="Times New Roman"/>
          <w:bCs/>
        </w:rPr>
        <w:t xml:space="preserve"> </w:t>
      </w:r>
    </w:p>
    <w:p w:rsidR="00A84A0E" w:rsidRPr="00A84A0E" w:rsidRDefault="00A84A0E" w:rsidP="00A84A0E">
      <w:pPr>
        <w:widowControl w:val="0"/>
        <w:spacing w:before="120" w:after="120" w:line="240" w:lineRule="auto"/>
        <w:ind w:left="360"/>
        <w:jc w:val="both"/>
        <w:rPr>
          <w:rFonts w:ascii="Times New Roman" w:eastAsia="Times New Roman" w:hAnsi="Times New Roman" w:cs="Times New Roman"/>
          <w:lang w:eastAsia="x-none"/>
        </w:rPr>
      </w:pPr>
      <w:r w:rsidRPr="00A84A0E">
        <w:rPr>
          <w:rFonts w:ascii="Times New Roman" w:eastAsia="Times New Roman" w:hAnsi="Times New Roman" w:cs="Times New Roman"/>
          <w:lang w:val="x-none" w:eastAsia="x-none"/>
        </w:rPr>
        <w:t>A félév során egy zárthelyi dolgozatot ke</w:t>
      </w:r>
      <w:r w:rsidRPr="00A84A0E">
        <w:rPr>
          <w:rFonts w:ascii="Times New Roman" w:eastAsia="Times New Roman" w:hAnsi="Times New Roman" w:cs="Times New Roman"/>
          <w:lang w:eastAsia="x-none"/>
        </w:rPr>
        <w:t>l</w:t>
      </w:r>
      <w:r w:rsidRPr="00A84A0E">
        <w:rPr>
          <w:rFonts w:ascii="Times New Roman" w:eastAsia="Times New Roman" w:hAnsi="Times New Roman" w:cs="Times New Roman"/>
          <w:lang w:val="x-none" w:eastAsia="x-none"/>
        </w:rPr>
        <w:t>l megír</w:t>
      </w:r>
      <w:r w:rsidRPr="00A84A0E">
        <w:rPr>
          <w:rFonts w:ascii="Times New Roman" w:eastAsia="Times New Roman" w:hAnsi="Times New Roman" w:cs="Times New Roman"/>
          <w:lang w:eastAsia="x-none"/>
        </w:rPr>
        <w:t>ni</w:t>
      </w:r>
      <w:r w:rsidRPr="00A84A0E">
        <w:rPr>
          <w:rFonts w:ascii="Times New Roman" w:eastAsia="Times New Roman" w:hAnsi="Times New Roman" w:cs="Times New Roman"/>
          <w:lang w:val="x-none" w:eastAsia="x-none"/>
        </w:rPr>
        <w:t xml:space="preserve">. </w:t>
      </w:r>
      <w:r w:rsidRPr="00A84A0E">
        <w:rPr>
          <w:rFonts w:ascii="Times New Roman" w:eastAsia="Times New Roman" w:hAnsi="Times New Roman" w:cs="Times New Roman"/>
          <w:lang w:eastAsia="x-none"/>
        </w:rPr>
        <w:t xml:space="preserve">A zárthelyi dolgozat ötfokozatú skálán értékelendő, 50%+1 pont elégséges, 60% közepes, 75% jó, 90% jeles. </w:t>
      </w:r>
      <w:r w:rsidRPr="00A84A0E">
        <w:rPr>
          <w:rFonts w:ascii="Times New Roman" w:eastAsia="Times New Roman" w:hAnsi="Times New Roman" w:cs="Times New Roman"/>
          <w:lang w:val="x-none" w:eastAsia="x-none"/>
        </w:rPr>
        <w:t>Az elégtelen osztályzatra értékelt dolgozatot a szorgalmi és a vizsgaidőszakban is egy-egy alkalommal lehet pótolni.</w:t>
      </w:r>
      <w:r w:rsidRPr="00A84A0E">
        <w:rPr>
          <w:rFonts w:ascii="Times New Roman" w:eastAsia="Times New Roman" w:hAnsi="Times New Roman" w:cs="Times New Roman"/>
          <w:lang w:eastAsia="x-none"/>
        </w:rPr>
        <w:t xml:space="preserve"> </w:t>
      </w:r>
    </w:p>
    <w:p w:rsidR="00A84A0E" w:rsidRPr="00A84A0E" w:rsidRDefault="00A84A0E" w:rsidP="00A84A0E">
      <w:pPr>
        <w:widowControl w:val="0"/>
        <w:spacing w:before="120" w:after="120" w:line="240" w:lineRule="auto"/>
        <w:ind w:left="360"/>
        <w:jc w:val="both"/>
        <w:rPr>
          <w:rFonts w:ascii="Times New Roman" w:hAnsi="Times New Roman" w:cs="Times New Roman"/>
          <w:lang w:val="x-none" w:eastAsia="x-none"/>
        </w:rPr>
      </w:pPr>
      <w:r w:rsidRPr="00A84A0E">
        <w:rPr>
          <w:rFonts w:ascii="Times New Roman" w:hAnsi="Times New Roman" w:cs="Times New Roman"/>
          <w:lang w:val="x-none" w:eastAsia="x-none"/>
        </w:rPr>
        <w:t xml:space="preserve">A félév során </w:t>
      </w:r>
      <w:r w:rsidRPr="00A84A0E">
        <w:rPr>
          <w:rFonts w:ascii="Times New Roman" w:hAnsi="Times New Roman" w:cs="Times New Roman"/>
          <w:lang w:eastAsia="x-none"/>
        </w:rPr>
        <w:t>egy</w:t>
      </w:r>
      <w:r w:rsidRPr="00A84A0E">
        <w:rPr>
          <w:rFonts w:ascii="Times New Roman" w:hAnsi="Times New Roman" w:cs="Times New Roman"/>
          <w:lang w:val="x-none" w:eastAsia="x-none"/>
        </w:rPr>
        <w:t xml:space="preserve"> házi feladatot kell elkészíteni minimálisan 1</w:t>
      </w:r>
      <w:r w:rsidRPr="00A84A0E">
        <w:rPr>
          <w:rFonts w:ascii="Times New Roman" w:hAnsi="Times New Roman" w:cs="Times New Roman"/>
          <w:lang w:eastAsia="x-none"/>
        </w:rPr>
        <w:t>5</w:t>
      </w:r>
      <w:r w:rsidRPr="00A84A0E">
        <w:rPr>
          <w:rFonts w:ascii="Times New Roman" w:hAnsi="Times New Roman" w:cs="Times New Roman"/>
          <w:lang w:val="x-none" w:eastAsia="x-none"/>
        </w:rPr>
        <w:t xml:space="preserve"> oldal</w:t>
      </w:r>
      <w:r w:rsidRPr="00A84A0E">
        <w:rPr>
          <w:rFonts w:ascii="Times New Roman" w:hAnsi="Times New Roman" w:cs="Times New Roman"/>
          <w:b/>
          <w:lang w:val="x-none" w:eastAsia="x-none"/>
        </w:rPr>
        <w:t xml:space="preserve"> </w:t>
      </w:r>
      <w:r w:rsidRPr="00A84A0E">
        <w:rPr>
          <w:rFonts w:ascii="Times New Roman" w:hAnsi="Times New Roman" w:cs="Times New Roman"/>
          <w:lang w:val="x-none" w:eastAsia="x-none"/>
        </w:rPr>
        <w:t>terjedelemben, a szakdolgozatnak megfelelő formai követelményekkel</w:t>
      </w:r>
      <w:r w:rsidRPr="00A84A0E">
        <w:rPr>
          <w:rFonts w:ascii="Times New Roman" w:hAnsi="Times New Roman" w:cs="Times New Roman"/>
          <w:lang w:eastAsia="x-none"/>
        </w:rPr>
        <w:t xml:space="preserve"> </w:t>
      </w:r>
      <w:r w:rsidRPr="00A84A0E">
        <w:rPr>
          <w:rFonts w:ascii="Times New Roman" w:hAnsi="Times New Roman" w:cs="Times New Roman"/>
        </w:rPr>
        <w:t>(TVSZ 5. melléklet)</w:t>
      </w:r>
      <w:r w:rsidRPr="00A84A0E">
        <w:rPr>
          <w:rFonts w:ascii="Times New Roman" w:hAnsi="Times New Roman" w:cs="Times New Roman"/>
          <w:lang w:val="x-none" w:eastAsia="x-none"/>
        </w:rPr>
        <w:t xml:space="preserve">. </w:t>
      </w:r>
      <w:r w:rsidRPr="00A84A0E">
        <w:rPr>
          <w:rFonts w:ascii="Times New Roman" w:hAnsi="Times New Roman" w:cs="Times New Roman"/>
          <w:lang w:eastAsia="x-none"/>
        </w:rPr>
        <w:t xml:space="preserve">A 15 oldal terjedelembe a bevezető, a fő rész és a befejezés tartozik csak. </w:t>
      </w:r>
      <w:r w:rsidRPr="00A84A0E">
        <w:rPr>
          <w:rFonts w:ascii="Times New Roman" w:hAnsi="Times New Roman" w:cs="Times New Roman"/>
          <w:lang w:val="x-none" w:eastAsia="x-none"/>
        </w:rPr>
        <w:t>Az írásbeli munka témáját a hallgató választja</w:t>
      </w:r>
      <w:r w:rsidRPr="00A84A0E">
        <w:rPr>
          <w:rFonts w:ascii="Times New Roman" w:hAnsi="Times New Roman" w:cs="Times New Roman"/>
          <w:lang w:eastAsia="x-none"/>
        </w:rPr>
        <w:t>,</w:t>
      </w:r>
      <w:r w:rsidRPr="00A84A0E">
        <w:rPr>
          <w:rFonts w:ascii="Times New Roman" w:hAnsi="Times New Roman" w:cs="Times New Roman"/>
          <w:lang w:val="x-none" w:eastAsia="x-none"/>
        </w:rPr>
        <w:t xml:space="preserve"> a kurzus oktatója </w:t>
      </w:r>
      <w:r w:rsidRPr="00A84A0E">
        <w:rPr>
          <w:rFonts w:ascii="Times New Roman" w:hAnsi="Times New Roman" w:cs="Times New Roman"/>
          <w:lang w:eastAsia="x-none"/>
        </w:rPr>
        <w:t>jóváhagyja</w:t>
      </w:r>
      <w:r w:rsidRPr="00A84A0E">
        <w:rPr>
          <w:rFonts w:ascii="Times New Roman" w:hAnsi="Times New Roman" w:cs="Times New Roman"/>
          <w:lang w:val="x-none" w:eastAsia="x-none"/>
        </w:rPr>
        <w:t xml:space="preserve">. A szorgalmi időszakban a beadási határidőig leadott feladat </w:t>
      </w:r>
      <w:r w:rsidRPr="00A84A0E">
        <w:rPr>
          <w:rFonts w:ascii="Times New Roman" w:hAnsi="Times New Roman" w:cs="Times New Roman"/>
          <w:lang w:eastAsia="x-none"/>
        </w:rPr>
        <w:t>ötfokozatú skálán értékelendő</w:t>
      </w:r>
      <w:r w:rsidRPr="00A84A0E">
        <w:rPr>
          <w:rFonts w:ascii="Times New Roman" w:hAnsi="Times New Roman" w:cs="Times New Roman"/>
          <w:lang w:val="x-none" w:eastAsia="x-none"/>
        </w:rPr>
        <w:t>, azt javítani a vizsgaidőszak első hetén egy alkalommal lehet.</w:t>
      </w:r>
    </w:p>
    <w:p w:rsidR="00A84A0E" w:rsidRPr="00A84A0E" w:rsidRDefault="00A84A0E" w:rsidP="00A84A0E">
      <w:pPr>
        <w:widowControl w:val="0"/>
        <w:spacing w:before="120" w:after="120" w:line="240" w:lineRule="auto"/>
        <w:ind w:left="360"/>
        <w:jc w:val="both"/>
        <w:rPr>
          <w:rFonts w:ascii="Times New Roman" w:eastAsia="Times New Roman" w:hAnsi="Times New Roman" w:cs="Times New Roman"/>
          <w:lang w:eastAsia="x-none"/>
        </w:rPr>
      </w:pPr>
      <w:r w:rsidRPr="00A84A0E">
        <w:rPr>
          <w:rFonts w:ascii="Times New Roman" w:hAnsi="Times New Roman" w:cs="Times New Roman"/>
          <w:lang w:eastAsia="x-none"/>
        </w:rPr>
        <w:t>A minden hallgató egy választott témakörben szemináriumi vizaindító előadást tart, amit az oktató ötfokozatú skálán értékel.</w:t>
      </w:r>
    </w:p>
    <w:p w:rsidR="00A84A0E" w:rsidRPr="00A84A0E" w:rsidRDefault="00A84A0E" w:rsidP="00980876">
      <w:pPr>
        <w:widowControl w:val="0"/>
        <w:numPr>
          <w:ilvl w:val="0"/>
          <w:numId w:val="807"/>
        </w:numPr>
        <w:spacing w:before="120" w:after="120" w:line="240" w:lineRule="auto"/>
        <w:ind w:left="426" w:hanging="142"/>
        <w:jc w:val="both"/>
        <w:rPr>
          <w:rFonts w:ascii="Times New Roman" w:eastAsia="Times New Roman" w:hAnsi="Times New Roman" w:cs="Times New Roman"/>
          <w:b/>
          <w:bCs/>
        </w:rPr>
      </w:pPr>
      <w:r w:rsidRPr="00A84A0E">
        <w:rPr>
          <w:rFonts w:ascii="Times New Roman" w:eastAsia="Times New Roman" w:hAnsi="Times New Roman" w:cs="Times New Roman"/>
          <w:b/>
          <w:bCs/>
        </w:rPr>
        <w:t xml:space="preserve">Az értékelés, az aláírás és a kreditek megszerzésének pontos feltételei: </w:t>
      </w:r>
    </w:p>
    <w:p w:rsidR="00A84A0E" w:rsidRPr="00A84A0E" w:rsidRDefault="00A84A0E" w:rsidP="00980876">
      <w:pPr>
        <w:widowControl w:val="0"/>
        <w:numPr>
          <w:ilvl w:val="1"/>
          <w:numId w:val="807"/>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A84A0E">
        <w:rPr>
          <w:rFonts w:ascii="Times New Roman" w:eastAsia="Times New Roman" w:hAnsi="Times New Roman" w:cs="Times New Roman"/>
          <w:b/>
        </w:rPr>
        <w:t>Az aláírás megszerzésének feltételei:</w:t>
      </w:r>
      <w:r w:rsidRPr="00A84A0E">
        <w:rPr>
          <w:rFonts w:ascii="Times New Roman" w:eastAsia="Times New Roman" w:hAnsi="Times New Roman" w:cs="Times New Roman"/>
        </w:rPr>
        <w:t xml:space="preserve"> </w:t>
      </w:r>
    </w:p>
    <w:p w:rsidR="00A84A0E" w:rsidRPr="00A84A0E" w:rsidRDefault="00A84A0E" w:rsidP="00A84A0E">
      <w:pPr>
        <w:spacing w:before="120"/>
        <w:ind w:left="426"/>
        <w:jc w:val="both"/>
        <w:rPr>
          <w:rFonts w:ascii="Times New Roman" w:hAnsi="Times New Roman" w:cs="Times New Roman"/>
        </w:rPr>
      </w:pPr>
      <w:r w:rsidRPr="00A84A0E">
        <w:rPr>
          <w:rFonts w:ascii="Times New Roman" w:hAnsi="Times New Roman" w:cs="Times New Roman"/>
        </w:rPr>
        <w:t xml:space="preserve">Az aláírás megszerzésnek feltétele a zárthelyi dolgozat legalább elégséges szinten történő teljesítése (min </w:t>
      </w:r>
      <w:r w:rsidRPr="00A84A0E">
        <w:rPr>
          <w:rFonts w:ascii="Times New Roman" w:eastAsia="Times New Roman" w:hAnsi="Times New Roman" w:cs="Times New Roman"/>
          <w:lang w:eastAsia="x-none"/>
        </w:rPr>
        <w:t>50%+1 pont</w:t>
      </w:r>
      <w:r w:rsidRPr="00A84A0E">
        <w:rPr>
          <w:rFonts w:ascii="Times New Roman" w:hAnsi="Times New Roman" w:cs="Times New Roman"/>
        </w:rPr>
        <w:t xml:space="preserve">), a kapott féléves feladat határidőre történő leadása és minimálisan </w:t>
      </w:r>
      <w:r w:rsidRPr="00A84A0E">
        <w:rPr>
          <w:rFonts w:ascii="Times New Roman" w:hAnsi="Times New Roman" w:cs="Times New Roman"/>
        </w:rPr>
        <w:lastRenderedPageBreak/>
        <w:t>elégséges szintű teljesítése, a vitaindító előadás minimálisan elégséges szintű értékelése, illetve a tanórák legalább 75%-án való megjelenés.</w:t>
      </w:r>
    </w:p>
    <w:p w:rsidR="00A84A0E" w:rsidRPr="00A84A0E" w:rsidRDefault="00A84A0E" w:rsidP="00980876">
      <w:pPr>
        <w:widowControl w:val="0"/>
        <w:numPr>
          <w:ilvl w:val="1"/>
          <w:numId w:val="807"/>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A84A0E">
        <w:rPr>
          <w:rFonts w:ascii="Times New Roman" w:eastAsia="Times New Roman" w:hAnsi="Times New Roman" w:cs="Times New Roman"/>
          <w:b/>
        </w:rPr>
        <w:t>Az értékelés:</w:t>
      </w:r>
      <w:r w:rsidRPr="00A84A0E">
        <w:rPr>
          <w:rFonts w:ascii="Times New Roman" w:eastAsia="Times New Roman" w:hAnsi="Times New Roman" w:cs="Times New Roman"/>
        </w:rPr>
        <w:t xml:space="preserve"> </w:t>
      </w:r>
    </w:p>
    <w:p w:rsidR="00A84A0E" w:rsidRPr="00A84A0E" w:rsidRDefault="00A84A0E" w:rsidP="00A84A0E">
      <w:pPr>
        <w:spacing w:before="120"/>
        <w:ind w:left="426"/>
        <w:jc w:val="both"/>
        <w:rPr>
          <w:rFonts w:ascii="Times New Roman" w:hAnsi="Times New Roman" w:cs="Times New Roman"/>
          <w:b/>
        </w:rPr>
      </w:pPr>
      <w:r w:rsidRPr="00A84A0E">
        <w:rPr>
          <w:rFonts w:ascii="Times New Roman" w:hAnsi="Times New Roman" w:cs="Times New Roman"/>
          <w:lang w:val="x-none" w:eastAsia="x-none"/>
        </w:rPr>
        <w:t xml:space="preserve">A tantárgy </w:t>
      </w:r>
      <w:r w:rsidRPr="00A84A0E">
        <w:rPr>
          <w:rFonts w:ascii="Times New Roman" w:hAnsi="Times New Roman" w:cs="Times New Roman"/>
          <w:b/>
          <w:lang w:val="x-none" w:eastAsia="x-none"/>
        </w:rPr>
        <w:t>félévközi jeggyel</w:t>
      </w:r>
      <w:r w:rsidRPr="00A84A0E">
        <w:rPr>
          <w:rFonts w:ascii="Times New Roman" w:hAnsi="Times New Roman" w:cs="Times New Roman"/>
          <w:lang w:val="x-none" w:eastAsia="x-none"/>
        </w:rPr>
        <w:t xml:space="preserve"> zárul, </w:t>
      </w:r>
      <w:r w:rsidRPr="00A84A0E">
        <w:rPr>
          <w:rFonts w:ascii="Times New Roman" w:hAnsi="Times New Roman" w:cs="Times New Roman"/>
          <w:lang w:eastAsia="x-none"/>
        </w:rPr>
        <w:t>a</w:t>
      </w:r>
      <w:r w:rsidRPr="00A84A0E">
        <w:rPr>
          <w:rFonts w:ascii="Times New Roman" w:hAnsi="Times New Roman" w:cs="Times New Roman"/>
          <w:lang w:val="x-none" w:eastAsia="x-none"/>
        </w:rPr>
        <w:t>mely a zárthelyi dolgozatra</w:t>
      </w:r>
      <w:r w:rsidRPr="00A84A0E">
        <w:rPr>
          <w:rFonts w:ascii="Times New Roman" w:hAnsi="Times New Roman" w:cs="Times New Roman"/>
          <w:lang w:eastAsia="x-none"/>
        </w:rPr>
        <w:t>,</w:t>
      </w:r>
      <w:r w:rsidRPr="00A84A0E">
        <w:rPr>
          <w:rFonts w:ascii="Times New Roman" w:hAnsi="Times New Roman" w:cs="Times New Roman"/>
          <w:lang w:val="x-none" w:eastAsia="x-none"/>
        </w:rPr>
        <w:t xml:space="preserve"> a beadott házi feladatra</w:t>
      </w:r>
      <w:r w:rsidRPr="00A84A0E">
        <w:rPr>
          <w:rFonts w:ascii="Times New Roman" w:hAnsi="Times New Roman" w:cs="Times New Roman"/>
          <w:lang w:eastAsia="x-none"/>
        </w:rPr>
        <w:t xml:space="preserve"> és a vitaindító előadásra</w:t>
      </w:r>
      <w:r w:rsidRPr="00A84A0E">
        <w:rPr>
          <w:rFonts w:ascii="Times New Roman" w:hAnsi="Times New Roman" w:cs="Times New Roman"/>
          <w:lang w:val="x-none" w:eastAsia="x-none"/>
        </w:rPr>
        <w:t xml:space="preserve"> kapott osztályzatok alapján kerül meghatározásra egyszerű számtani átlaggal.</w:t>
      </w:r>
      <w:r w:rsidRPr="00A84A0E">
        <w:rPr>
          <w:rFonts w:ascii="Times New Roman" w:hAnsi="Times New Roman" w:cs="Times New Roman"/>
        </w:rPr>
        <w:t xml:space="preserve"> Kétes jegy esetén (pl. 3,5) a zárthelyi jegyét súlyozottan kell beszámítani.</w:t>
      </w:r>
    </w:p>
    <w:p w:rsidR="00A84A0E" w:rsidRPr="00A84A0E" w:rsidRDefault="00A84A0E" w:rsidP="00980876">
      <w:pPr>
        <w:widowControl w:val="0"/>
        <w:numPr>
          <w:ilvl w:val="1"/>
          <w:numId w:val="807"/>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A84A0E">
        <w:rPr>
          <w:rFonts w:ascii="Times New Roman" w:eastAsia="Times New Roman" w:hAnsi="Times New Roman" w:cs="Times New Roman"/>
          <w:b/>
        </w:rPr>
        <w:t>A kreditek megszerzésének feltételei:</w:t>
      </w:r>
      <w:r w:rsidRPr="00A84A0E">
        <w:rPr>
          <w:rFonts w:ascii="Times New Roman" w:eastAsia="Times New Roman" w:hAnsi="Times New Roman" w:cs="Times New Roman"/>
        </w:rPr>
        <w:t xml:space="preserve"> </w:t>
      </w:r>
    </w:p>
    <w:p w:rsidR="00A84A0E" w:rsidRPr="00A84A0E" w:rsidRDefault="00A84A0E" w:rsidP="00A84A0E">
      <w:pPr>
        <w:widowControl w:val="0"/>
        <w:tabs>
          <w:tab w:val="left" w:pos="993"/>
        </w:tabs>
        <w:spacing w:before="120" w:after="120" w:line="240" w:lineRule="auto"/>
        <w:ind w:left="426"/>
        <w:jc w:val="both"/>
        <w:rPr>
          <w:rFonts w:ascii="Times New Roman" w:eastAsia="Times New Roman" w:hAnsi="Times New Roman" w:cs="Times New Roman"/>
        </w:rPr>
      </w:pPr>
      <w:r w:rsidRPr="00A84A0E">
        <w:rPr>
          <w:rFonts w:ascii="Times New Roman" w:eastAsia="Times New Roman" w:hAnsi="Times New Roman" w:cs="Times New Roman"/>
        </w:rPr>
        <w:t>A kreditek megszerzésének feltétele az aláírás megszerzése és legalább elégséges félévközi jegy.</w:t>
      </w:r>
    </w:p>
    <w:p w:rsidR="00A84A0E" w:rsidRPr="00A84A0E" w:rsidRDefault="00A84A0E" w:rsidP="00980876">
      <w:pPr>
        <w:widowControl w:val="0"/>
        <w:numPr>
          <w:ilvl w:val="0"/>
          <w:numId w:val="807"/>
        </w:numPr>
        <w:spacing w:before="120" w:after="120" w:line="240" w:lineRule="auto"/>
        <w:ind w:left="426" w:hanging="142"/>
        <w:jc w:val="both"/>
        <w:rPr>
          <w:rFonts w:ascii="Times New Roman" w:eastAsia="Times New Roman" w:hAnsi="Times New Roman" w:cs="Times New Roman"/>
          <w:bCs/>
        </w:rPr>
      </w:pPr>
      <w:r w:rsidRPr="00A84A0E">
        <w:rPr>
          <w:rFonts w:ascii="Times New Roman" w:eastAsia="Times New Roman" w:hAnsi="Times New Roman" w:cs="Times New Roman"/>
          <w:b/>
          <w:bCs/>
        </w:rPr>
        <w:t>Irodalomjegyzék:</w:t>
      </w:r>
    </w:p>
    <w:p w:rsidR="00A84A0E" w:rsidRPr="00A84A0E" w:rsidRDefault="00A84A0E" w:rsidP="00980876">
      <w:pPr>
        <w:widowControl w:val="0"/>
        <w:numPr>
          <w:ilvl w:val="1"/>
          <w:numId w:val="807"/>
        </w:numPr>
        <w:tabs>
          <w:tab w:val="left" w:pos="567"/>
          <w:tab w:val="left" w:pos="851"/>
        </w:tabs>
        <w:spacing w:before="120" w:after="120" w:line="240" w:lineRule="auto"/>
        <w:ind w:left="426" w:hanging="142"/>
        <w:jc w:val="both"/>
        <w:rPr>
          <w:rFonts w:ascii="Times New Roman" w:eastAsia="Times New Roman" w:hAnsi="Times New Roman" w:cs="Times New Roman"/>
          <w:bCs/>
        </w:rPr>
      </w:pPr>
      <w:r w:rsidRPr="00A84A0E">
        <w:rPr>
          <w:rFonts w:ascii="Times New Roman" w:eastAsia="Times New Roman" w:hAnsi="Times New Roman" w:cs="Times New Roman"/>
          <w:b/>
          <w:bCs/>
        </w:rPr>
        <w:t>Kötelező irodalom:</w:t>
      </w:r>
    </w:p>
    <w:p w:rsidR="00A84A0E" w:rsidRPr="00A84A0E" w:rsidRDefault="00A84A0E" w:rsidP="00980876">
      <w:pPr>
        <w:pStyle w:val="Listaszerbekezds"/>
        <w:numPr>
          <w:ilvl w:val="0"/>
          <w:numId w:val="805"/>
        </w:numPr>
        <w:spacing w:after="0" w:line="240" w:lineRule="auto"/>
        <w:jc w:val="both"/>
        <w:rPr>
          <w:rFonts w:ascii="Times New Roman" w:hAnsi="Times New Roman" w:cs="Times New Roman"/>
        </w:rPr>
      </w:pPr>
      <w:r w:rsidRPr="00A84A0E">
        <w:rPr>
          <w:rFonts w:ascii="Times New Roman" w:hAnsi="Times New Roman" w:cs="Times New Roman"/>
        </w:rPr>
        <w:t>Potóczki György: Közlekedéspolitika. Dialóg Campus Kiadó, Budapest, 2017. p.49, ISBN 978-615-5764-01-1 (PDF)</w:t>
      </w:r>
    </w:p>
    <w:p w:rsidR="00A84A0E" w:rsidRPr="00A84A0E" w:rsidRDefault="00A84A0E" w:rsidP="00980876">
      <w:pPr>
        <w:pStyle w:val="Listaszerbekezds"/>
        <w:numPr>
          <w:ilvl w:val="0"/>
          <w:numId w:val="805"/>
        </w:numPr>
        <w:spacing w:after="0" w:line="240" w:lineRule="auto"/>
        <w:jc w:val="both"/>
        <w:rPr>
          <w:rFonts w:ascii="Times New Roman" w:hAnsi="Times New Roman" w:cs="Times New Roman"/>
        </w:rPr>
      </w:pPr>
      <w:r w:rsidRPr="00A84A0E">
        <w:rPr>
          <w:rFonts w:ascii="Times New Roman" w:hAnsi="Times New Roman" w:cs="Times New Roman"/>
        </w:rPr>
        <w:t xml:space="preserve">Dr. Molnár É. – Zsolnay T.: Az Európai Unió közlekedési rendszere. ITD Hungary, Budapest 1995. p.86, </w:t>
      </w:r>
    </w:p>
    <w:p w:rsidR="00A84A0E" w:rsidRPr="00A84A0E" w:rsidRDefault="00A84A0E" w:rsidP="00980876">
      <w:pPr>
        <w:widowControl w:val="0"/>
        <w:numPr>
          <w:ilvl w:val="1"/>
          <w:numId w:val="807"/>
        </w:numPr>
        <w:tabs>
          <w:tab w:val="num" w:pos="2069"/>
        </w:tabs>
        <w:spacing w:before="120" w:after="120" w:line="240" w:lineRule="auto"/>
        <w:ind w:left="993" w:hanging="709"/>
        <w:jc w:val="both"/>
        <w:rPr>
          <w:rFonts w:ascii="Times New Roman" w:eastAsia="Times New Roman" w:hAnsi="Times New Roman" w:cs="Times New Roman"/>
          <w:b/>
          <w:bCs/>
        </w:rPr>
      </w:pPr>
      <w:r w:rsidRPr="00A84A0E">
        <w:rPr>
          <w:rFonts w:ascii="Times New Roman" w:eastAsia="Times New Roman" w:hAnsi="Times New Roman" w:cs="Times New Roman"/>
          <w:b/>
          <w:bCs/>
        </w:rPr>
        <w:t>Ajánlott irodalom:</w:t>
      </w:r>
    </w:p>
    <w:p w:rsidR="00A84A0E" w:rsidRPr="00A84A0E" w:rsidRDefault="00A84A0E" w:rsidP="00980876">
      <w:pPr>
        <w:pStyle w:val="Listaszerbekezds"/>
        <w:numPr>
          <w:ilvl w:val="0"/>
          <w:numId w:val="806"/>
        </w:numPr>
        <w:spacing w:after="0" w:line="240" w:lineRule="auto"/>
        <w:jc w:val="both"/>
        <w:rPr>
          <w:rFonts w:ascii="Times New Roman" w:hAnsi="Times New Roman" w:cs="Times New Roman"/>
        </w:rPr>
      </w:pPr>
      <w:r w:rsidRPr="00A84A0E">
        <w:rPr>
          <w:rFonts w:ascii="Times New Roman" w:hAnsi="Times New Roman" w:cs="Times New Roman"/>
        </w:rPr>
        <w:t>Árva Zs. - Szabó T.: Közlekedéspolitika. Nemzeti Közszolgálati Egyetem, Vezető- és Továbbképző Intézet, Budapest, 2014. p.21, A tananyag az ÁROP-2.2.19-2013-2013-0001 Elektronikus képzési és távoktatási anyagok készítése című projekt keretében készült el.</w:t>
      </w:r>
    </w:p>
    <w:p w:rsidR="00A84A0E" w:rsidRPr="00A84A0E" w:rsidRDefault="00A84A0E" w:rsidP="00980876">
      <w:pPr>
        <w:pStyle w:val="Listaszerbekezds"/>
        <w:numPr>
          <w:ilvl w:val="0"/>
          <w:numId w:val="806"/>
        </w:numPr>
        <w:spacing w:after="0" w:line="240" w:lineRule="auto"/>
        <w:jc w:val="both"/>
        <w:rPr>
          <w:rFonts w:ascii="Times New Roman" w:hAnsi="Times New Roman" w:cs="Times New Roman"/>
        </w:rPr>
      </w:pPr>
      <w:r w:rsidRPr="00A84A0E">
        <w:rPr>
          <w:rFonts w:ascii="Times New Roman" w:hAnsi="Times New Roman" w:cs="Times New Roman"/>
        </w:rPr>
        <w:t xml:space="preserve">Erdősi F.: Európa közlekedése és regionális fejlődése, Dialóg Campus Kiadó, Budapest-Pécs, 2004. p.640, </w:t>
      </w:r>
      <w:r w:rsidRPr="00F21291">
        <w:rPr>
          <w:rFonts w:ascii="Times New Roman" w:hAnsi="Times New Roman" w:cs="Times New Roman"/>
        </w:rPr>
        <w:t xml:space="preserve">ISBN: 9639542288 </w:t>
      </w:r>
    </w:p>
    <w:p w:rsidR="00A84A0E" w:rsidRPr="00A84A0E" w:rsidRDefault="00A84A0E" w:rsidP="00A84A0E">
      <w:pPr>
        <w:pStyle w:val="Listaszerbekezds"/>
        <w:spacing w:after="0" w:line="240" w:lineRule="auto"/>
        <w:ind w:left="1080"/>
        <w:jc w:val="both"/>
        <w:rPr>
          <w:rFonts w:ascii="Times New Roman" w:hAnsi="Times New Roman" w:cs="Times New Roman"/>
        </w:rPr>
      </w:pPr>
    </w:p>
    <w:p w:rsidR="00A84A0E" w:rsidRPr="00A84A0E" w:rsidRDefault="00A84A0E" w:rsidP="00A84A0E">
      <w:pPr>
        <w:widowControl w:val="0"/>
        <w:spacing w:before="120" w:after="120" w:line="240" w:lineRule="auto"/>
        <w:jc w:val="both"/>
        <w:rPr>
          <w:rFonts w:ascii="Times New Roman" w:eastAsia="Times New Roman" w:hAnsi="Times New Roman" w:cs="Times New Roman"/>
          <w:bCs/>
        </w:rPr>
      </w:pPr>
      <w:r w:rsidRPr="00A84A0E">
        <w:rPr>
          <w:rFonts w:ascii="Times New Roman" w:eastAsia="Times New Roman" w:hAnsi="Times New Roman" w:cs="Times New Roman"/>
          <w:bCs/>
        </w:rPr>
        <w:t>Budapest, 2020. március 30.</w:t>
      </w:r>
    </w:p>
    <w:p w:rsidR="00A84A0E" w:rsidRPr="00A84A0E" w:rsidRDefault="00A84A0E" w:rsidP="00A84A0E">
      <w:pPr>
        <w:tabs>
          <w:tab w:val="right" w:pos="900"/>
        </w:tabs>
        <w:spacing w:before="120"/>
        <w:ind w:left="1985" w:hanging="1980"/>
        <w:jc w:val="both"/>
        <w:rPr>
          <w:rFonts w:ascii="Times New Roman" w:hAnsi="Times New Roman" w:cs="Times New Roman"/>
          <w:bCs/>
          <w:lang w:eastAsia="x-none"/>
        </w:rPr>
      </w:pPr>
    </w:p>
    <w:p w:rsidR="00A84A0E" w:rsidRPr="00A84A0E" w:rsidRDefault="00A84A0E" w:rsidP="00A84A0E">
      <w:pPr>
        <w:tabs>
          <w:tab w:val="right" w:pos="900"/>
        </w:tabs>
        <w:spacing w:after="0"/>
        <w:rPr>
          <w:rFonts w:ascii="Times New Roman" w:hAnsi="Times New Roman" w:cs="Times New Roman"/>
          <w:bCs/>
          <w:lang w:val="x-none" w:eastAsia="x-none"/>
        </w:rPr>
      </w:pPr>
      <w:r w:rsidRPr="00A84A0E">
        <w:rPr>
          <w:rFonts w:ascii="Times New Roman" w:hAnsi="Times New Roman" w:cs="Times New Roman"/>
          <w:b/>
          <w:lang w:eastAsia="x-none"/>
        </w:rPr>
        <w:tab/>
      </w:r>
      <w:r w:rsidRPr="00A84A0E">
        <w:rPr>
          <w:rFonts w:ascii="Times New Roman" w:hAnsi="Times New Roman" w:cs="Times New Roman"/>
          <w:b/>
          <w:lang w:eastAsia="x-none"/>
        </w:rPr>
        <w:tab/>
      </w:r>
      <w:r w:rsidRPr="00A84A0E">
        <w:rPr>
          <w:rFonts w:ascii="Times New Roman" w:hAnsi="Times New Roman" w:cs="Times New Roman"/>
          <w:b/>
          <w:lang w:eastAsia="x-none"/>
        </w:rPr>
        <w:tab/>
      </w:r>
      <w:r w:rsidRPr="00A84A0E">
        <w:rPr>
          <w:rFonts w:ascii="Times New Roman" w:hAnsi="Times New Roman" w:cs="Times New Roman"/>
          <w:b/>
          <w:lang w:eastAsia="x-none"/>
        </w:rPr>
        <w:tab/>
      </w:r>
      <w:r w:rsidRPr="00A84A0E">
        <w:rPr>
          <w:rFonts w:ascii="Times New Roman" w:hAnsi="Times New Roman" w:cs="Times New Roman"/>
          <w:b/>
          <w:lang w:eastAsia="x-none"/>
        </w:rPr>
        <w:tab/>
      </w:r>
      <w:r w:rsidRPr="00A84A0E">
        <w:rPr>
          <w:rFonts w:ascii="Times New Roman" w:hAnsi="Times New Roman" w:cs="Times New Roman"/>
          <w:b/>
          <w:lang w:eastAsia="x-none"/>
        </w:rPr>
        <w:tab/>
        <w:t xml:space="preserve">  </w:t>
      </w:r>
      <w:r w:rsidRPr="00A84A0E">
        <w:rPr>
          <w:rFonts w:ascii="Times New Roman" w:hAnsi="Times New Roman" w:cs="Times New Roman"/>
          <w:b/>
          <w:lang w:eastAsia="x-none"/>
        </w:rPr>
        <w:tab/>
        <w:t xml:space="preserve">      Dr. Szászi Gábor egyetemi docens, PhD</w:t>
      </w:r>
    </w:p>
    <w:p w:rsidR="00A84A0E" w:rsidRPr="00A84A0E" w:rsidRDefault="00A84A0E" w:rsidP="00A84A0E">
      <w:pPr>
        <w:spacing w:after="0"/>
        <w:ind w:left="5672" w:firstLine="709"/>
        <w:rPr>
          <w:rFonts w:ascii="Times New Roman" w:hAnsi="Times New Roman" w:cs="Times New Roman"/>
        </w:rPr>
      </w:pPr>
      <w:r w:rsidRPr="00A84A0E">
        <w:rPr>
          <w:rFonts w:ascii="Times New Roman" w:hAnsi="Times New Roman" w:cs="Times New Roman"/>
          <w:bCs/>
        </w:rPr>
        <w:t>tantárgyfelelős</w:t>
      </w:r>
    </w:p>
    <w:p w:rsidR="00A84A0E" w:rsidRDefault="00A84A0E">
      <w:r>
        <w:br w:type="page"/>
      </w:r>
    </w:p>
    <w:tbl>
      <w:tblPr>
        <w:tblW w:w="9072" w:type="dxa"/>
        <w:tblInd w:w="113" w:type="dxa"/>
        <w:tblLook w:val="01E0" w:firstRow="1" w:lastRow="1" w:firstColumn="1" w:lastColumn="1" w:noHBand="0" w:noVBand="0"/>
      </w:tblPr>
      <w:tblGrid>
        <w:gridCol w:w="4855"/>
        <w:gridCol w:w="1620"/>
        <w:gridCol w:w="2597"/>
      </w:tblGrid>
      <w:tr w:rsidR="00C62596" w:rsidRPr="00C62596" w:rsidTr="00C62596">
        <w:tc>
          <w:tcPr>
            <w:tcW w:w="4855" w:type="dxa"/>
            <w:tcBorders>
              <w:bottom w:val="single" w:sz="4" w:space="0" w:color="auto"/>
            </w:tcBorders>
          </w:tcPr>
          <w:p w:rsidR="00C62596" w:rsidRPr="00C62596" w:rsidRDefault="00C62596" w:rsidP="00C62596">
            <w:pPr>
              <w:spacing w:after="0" w:line="240" w:lineRule="auto"/>
              <w:jc w:val="center"/>
              <w:rPr>
                <w:rFonts w:ascii="Times New Roman" w:eastAsia="Times New Roman" w:hAnsi="Times New Roman" w:cs="Times New Roman"/>
                <w:b/>
                <w:smallCaps/>
                <w:lang w:eastAsia="hu-HU"/>
              </w:rPr>
            </w:pPr>
            <w:r w:rsidRPr="00C62596">
              <w:rPr>
                <w:rFonts w:ascii="Times New Roman" w:eastAsia="Times New Roman" w:hAnsi="Times New Roman" w:cs="Times New Roman"/>
                <w:b/>
                <w:smallCaps/>
                <w:lang w:eastAsia="hu-HU"/>
              </w:rPr>
              <w:lastRenderedPageBreak/>
              <w:t>Nemzeti Közszolgálati Egyetem</w:t>
            </w:r>
          </w:p>
        </w:tc>
        <w:tc>
          <w:tcPr>
            <w:tcW w:w="1620" w:type="dxa"/>
          </w:tcPr>
          <w:p w:rsidR="00C62596" w:rsidRPr="00C62596" w:rsidRDefault="00C62596" w:rsidP="00C62596">
            <w:pPr>
              <w:spacing w:after="0" w:line="240" w:lineRule="auto"/>
              <w:jc w:val="both"/>
              <w:rPr>
                <w:rFonts w:ascii="Times New Roman" w:eastAsia="Times New Roman" w:hAnsi="Times New Roman" w:cs="Times New Roman"/>
                <w:lang w:eastAsia="hu-HU"/>
              </w:rPr>
            </w:pPr>
          </w:p>
        </w:tc>
        <w:tc>
          <w:tcPr>
            <w:tcW w:w="2597" w:type="dxa"/>
          </w:tcPr>
          <w:p w:rsidR="00C62596" w:rsidRPr="00C62596" w:rsidRDefault="00C62596" w:rsidP="00C62596">
            <w:pPr>
              <w:spacing w:after="0" w:line="240" w:lineRule="auto"/>
              <w:jc w:val="right"/>
              <w:rPr>
                <w:rFonts w:ascii="Times New Roman" w:eastAsia="Times New Roman" w:hAnsi="Times New Roman" w:cs="Times New Roman"/>
                <w:lang w:eastAsia="hu-HU"/>
              </w:rPr>
            </w:pPr>
          </w:p>
        </w:tc>
      </w:tr>
      <w:tr w:rsidR="00C62596" w:rsidRPr="00C62596" w:rsidTr="00C62596">
        <w:tc>
          <w:tcPr>
            <w:tcW w:w="4855" w:type="dxa"/>
            <w:tcBorders>
              <w:top w:val="single" w:sz="4" w:space="0" w:color="auto"/>
            </w:tcBorders>
          </w:tcPr>
          <w:p w:rsidR="00C62596" w:rsidRPr="00C62596" w:rsidRDefault="00C62596" w:rsidP="00C62596">
            <w:pPr>
              <w:spacing w:after="0" w:line="240" w:lineRule="auto"/>
              <w:jc w:val="center"/>
              <w:rPr>
                <w:rFonts w:ascii="Times New Roman" w:eastAsia="Times New Roman" w:hAnsi="Times New Roman" w:cs="Times New Roman"/>
                <w:b/>
                <w:lang w:eastAsia="hu-HU"/>
              </w:rPr>
            </w:pPr>
            <w:r w:rsidRPr="00C62596">
              <w:rPr>
                <w:rFonts w:ascii="Times New Roman" w:eastAsia="Times New Roman" w:hAnsi="Times New Roman" w:cs="Times New Roman"/>
                <w:b/>
                <w:lang w:eastAsia="hu-HU"/>
              </w:rPr>
              <w:t>Hadtudományi és Honvédtisztképző Kar</w:t>
            </w:r>
          </w:p>
        </w:tc>
        <w:tc>
          <w:tcPr>
            <w:tcW w:w="1620" w:type="dxa"/>
          </w:tcPr>
          <w:p w:rsidR="00C62596" w:rsidRPr="00C62596" w:rsidRDefault="00C62596" w:rsidP="00C62596">
            <w:pPr>
              <w:spacing w:after="0" w:line="240" w:lineRule="auto"/>
              <w:jc w:val="both"/>
              <w:rPr>
                <w:rFonts w:ascii="Times New Roman" w:eastAsia="Times New Roman" w:hAnsi="Times New Roman" w:cs="Times New Roman"/>
                <w:lang w:eastAsia="hu-HU"/>
              </w:rPr>
            </w:pPr>
          </w:p>
        </w:tc>
        <w:tc>
          <w:tcPr>
            <w:tcW w:w="2597" w:type="dxa"/>
          </w:tcPr>
          <w:p w:rsidR="00C62596" w:rsidRPr="00C62596" w:rsidRDefault="00C62596" w:rsidP="00C62596">
            <w:pPr>
              <w:spacing w:after="0" w:line="240" w:lineRule="auto"/>
              <w:jc w:val="both"/>
              <w:rPr>
                <w:rFonts w:ascii="Times New Roman" w:eastAsia="Times New Roman" w:hAnsi="Times New Roman" w:cs="Times New Roman"/>
                <w:lang w:eastAsia="hu-HU"/>
              </w:rPr>
            </w:pPr>
          </w:p>
        </w:tc>
      </w:tr>
    </w:tbl>
    <w:p w:rsidR="00C62596" w:rsidRPr="00C62596" w:rsidRDefault="00C62596" w:rsidP="00C62596">
      <w:pPr>
        <w:widowControl w:val="0"/>
        <w:spacing w:before="120" w:after="120" w:line="240" w:lineRule="auto"/>
        <w:ind w:left="426" w:hanging="142"/>
        <w:jc w:val="center"/>
        <w:rPr>
          <w:rFonts w:ascii="Times New Roman" w:eastAsia="Times New Roman" w:hAnsi="Times New Roman" w:cs="Times New Roman"/>
          <w:b/>
          <w:bCs/>
        </w:rPr>
      </w:pPr>
    </w:p>
    <w:p w:rsidR="00C62596" w:rsidRPr="00C62596" w:rsidRDefault="00C62596" w:rsidP="00C62596">
      <w:pPr>
        <w:widowControl w:val="0"/>
        <w:spacing w:before="120" w:after="120" w:line="240" w:lineRule="auto"/>
        <w:ind w:left="426" w:hanging="142"/>
        <w:jc w:val="center"/>
        <w:rPr>
          <w:rFonts w:ascii="Times New Roman" w:eastAsia="Times New Roman" w:hAnsi="Times New Roman" w:cs="Times New Roman"/>
          <w:b/>
          <w:bCs/>
        </w:rPr>
      </w:pPr>
      <w:r w:rsidRPr="00C62596">
        <w:rPr>
          <w:rFonts w:ascii="Times New Roman" w:eastAsia="Times New Roman" w:hAnsi="Times New Roman" w:cs="Times New Roman"/>
          <w:b/>
          <w:bCs/>
        </w:rPr>
        <w:t>TANTÁRGYI PROGRAM</w:t>
      </w:r>
    </w:p>
    <w:p w:rsidR="00C62596" w:rsidRPr="00C62596" w:rsidRDefault="00C62596" w:rsidP="00980876">
      <w:pPr>
        <w:widowControl w:val="0"/>
        <w:numPr>
          <w:ilvl w:val="0"/>
          <w:numId w:val="536"/>
        </w:numPr>
        <w:tabs>
          <w:tab w:val="num" w:pos="567"/>
        </w:tabs>
        <w:spacing w:before="120" w:after="120" w:line="240" w:lineRule="auto"/>
        <w:ind w:left="426" w:hanging="142"/>
        <w:jc w:val="both"/>
        <w:rPr>
          <w:rFonts w:ascii="Times New Roman" w:eastAsia="Times New Roman" w:hAnsi="Times New Roman" w:cs="Times New Roman"/>
          <w:b/>
          <w:bCs/>
        </w:rPr>
      </w:pPr>
      <w:r w:rsidRPr="00C62596">
        <w:rPr>
          <w:rFonts w:ascii="Times New Roman" w:eastAsia="Times New Roman" w:hAnsi="Times New Roman" w:cs="Times New Roman"/>
          <w:b/>
          <w:bCs/>
        </w:rPr>
        <w:t xml:space="preserve">A tantárgy kódja: </w:t>
      </w:r>
      <w:r w:rsidRPr="00C62596">
        <w:rPr>
          <w:rFonts w:ascii="Times New Roman" w:eastAsia="Times New Roman" w:hAnsi="Times New Roman" w:cs="Times New Roman"/>
          <w:bCs/>
        </w:rPr>
        <w:t>HKHPKA383</w:t>
      </w:r>
    </w:p>
    <w:p w:rsidR="00C62596" w:rsidRPr="00C62596" w:rsidRDefault="00C62596" w:rsidP="00980876">
      <w:pPr>
        <w:widowControl w:val="0"/>
        <w:numPr>
          <w:ilvl w:val="0"/>
          <w:numId w:val="536"/>
        </w:numPr>
        <w:tabs>
          <w:tab w:val="num" w:pos="567"/>
        </w:tabs>
        <w:spacing w:before="120" w:after="120" w:line="240" w:lineRule="auto"/>
        <w:ind w:left="426" w:hanging="142"/>
        <w:jc w:val="both"/>
        <w:rPr>
          <w:rFonts w:ascii="Times New Roman" w:eastAsia="Times New Roman" w:hAnsi="Times New Roman" w:cs="Times New Roman"/>
          <w:b/>
          <w:bCs/>
          <w:lang w:val="en-GB"/>
        </w:rPr>
      </w:pPr>
      <w:r w:rsidRPr="00C62596">
        <w:rPr>
          <w:rFonts w:ascii="Times New Roman" w:eastAsia="Times New Roman" w:hAnsi="Times New Roman" w:cs="Times New Roman"/>
          <w:b/>
          <w:bCs/>
        </w:rPr>
        <w:t>A tantárgy megnevezése (magyarul):</w:t>
      </w:r>
      <w:r w:rsidRPr="00C62596">
        <w:rPr>
          <w:rFonts w:ascii="Times New Roman" w:eastAsia="Times New Roman" w:hAnsi="Times New Roman" w:cs="Times New Roman"/>
          <w:bCs/>
        </w:rPr>
        <w:t xml:space="preserve"> </w:t>
      </w:r>
      <w:r w:rsidRPr="00C62596">
        <w:rPr>
          <w:rFonts w:ascii="Times New Roman" w:eastAsia="Calibri" w:hAnsi="Times New Roman" w:cs="Calibri"/>
        </w:rPr>
        <w:t>Intelligens közlekedési rendszer</w:t>
      </w:r>
    </w:p>
    <w:p w:rsidR="00C62596" w:rsidRPr="00C62596" w:rsidRDefault="00C62596" w:rsidP="00980876">
      <w:pPr>
        <w:widowControl w:val="0"/>
        <w:numPr>
          <w:ilvl w:val="0"/>
          <w:numId w:val="536"/>
        </w:numPr>
        <w:tabs>
          <w:tab w:val="num" w:pos="567"/>
        </w:tabs>
        <w:spacing w:before="120" w:after="120" w:line="240" w:lineRule="auto"/>
        <w:ind w:left="426" w:hanging="142"/>
        <w:jc w:val="both"/>
        <w:rPr>
          <w:rFonts w:ascii="Times New Roman" w:eastAsia="Times New Roman" w:hAnsi="Times New Roman" w:cs="Times New Roman"/>
          <w:b/>
          <w:bCs/>
          <w:lang w:val="en-GB"/>
        </w:rPr>
      </w:pPr>
      <w:r w:rsidRPr="00C62596">
        <w:rPr>
          <w:rFonts w:ascii="Times New Roman" w:eastAsia="Times New Roman" w:hAnsi="Times New Roman" w:cs="Times New Roman"/>
          <w:b/>
          <w:bCs/>
        </w:rPr>
        <w:t xml:space="preserve">A tantárgy megnevezése (angolul): </w:t>
      </w:r>
      <w:r w:rsidRPr="00C62596">
        <w:rPr>
          <w:rFonts w:ascii="Times New Roman" w:eastAsia="Calibri" w:hAnsi="Times New Roman" w:cs="Calibri"/>
          <w:lang w:val="en"/>
        </w:rPr>
        <w:t>Intelligent Transport System</w:t>
      </w:r>
    </w:p>
    <w:p w:rsidR="00C62596" w:rsidRPr="00C62596" w:rsidRDefault="00C62596" w:rsidP="00980876">
      <w:pPr>
        <w:widowControl w:val="0"/>
        <w:numPr>
          <w:ilvl w:val="0"/>
          <w:numId w:val="536"/>
        </w:numPr>
        <w:tabs>
          <w:tab w:val="num" w:pos="567"/>
        </w:tabs>
        <w:spacing w:before="120" w:after="120" w:line="240" w:lineRule="auto"/>
        <w:ind w:left="426" w:hanging="142"/>
        <w:jc w:val="both"/>
        <w:rPr>
          <w:rFonts w:ascii="Times New Roman" w:eastAsia="Times New Roman" w:hAnsi="Times New Roman" w:cs="Times New Roman"/>
          <w:b/>
          <w:bCs/>
        </w:rPr>
      </w:pPr>
      <w:r w:rsidRPr="00C62596">
        <w:rPr>
          <w:rFonts w:ascii="Times New Roman" w:eastAsia="Times New Roman" w:hAnsi="Times New Roman" w:cs="Times New Roman"/>
          <w:b/>
          <w:bCs/>
        </w:rPr>
        <w:t xml:space="preserve">Kreditérték és képzési karakter: </w:t>
      </w:r>
    </w:p>
    <w:p w:rsidR="00C62596" w:rsidRPr="00C62596" w:rsidRDefault="00C62596" w:rsidP="00980876">
      <w:pPr>
        <w:widowControl w:val="0"/>
        <w:numPr>
          <w:ilvl w:val="1"/>
          <w:numId w:val="536"/>
        </w:numPr>
        <w:spacing w:before="120" w:after="120" w:line="240" w:lineRule="auto"/>
        <w:ind w:left="993" w:hanging="426"/>
        <w:contextualSpacing/>
        <w:jc w:val="both"/>
        <w:rPr>
          <w:rFonts w:ascii="Times New Roman" w:eastAsia="Times New Roman" w:hAnsi="Times New Roman" w:cs="Times New Roman"/>
          <w:b/>
          <w:bCs/>
        </w:rPr>
      </w:pPr>
      <w:r w:rsidRPr="00C62596">
        <w:rPr>
          <w:rFonts w:ascii="Times New Roman" w:eastAsia="Times New Roman" w:hAnsi="Times New Roman" w:cs="Times New Roman"/>
          <w:bCs/>
        </w:rPr>
        <w:t>2 kredit</w:t>
      </w:r>
    </w:p>
    <w:p w:rsidR="00C62596" w:rsidRPr="00C62596" w:rsidRDefault="00C62596" w:rsidP="00980876">
      <w:pPr>
        <w:widowControl w:val="0"/>
        <w:numPr>
          <w:ilvl w:val="1"/>
          <w:numId w:val="536"/>
        </w:numPr>
        <w:spacing w:before="120" w:after="120" w:line="240" w:lineRule="auto"/>
        <w:ind w:left="992" w:hanging="425"/>
        <w:contextualSpacing/>
        <w:rPr>
          <w:rFonts w:ascii="Times New Roman" w:eastAsia="Times New Roman" w:hAnsi="Times New Roman" w:cs="Times New Roman"/>
          <w:b/>
          <w:bCs/>
        </w:rPr>
      </w:pPr>
      <w:r w:rsidRPr="00C62596">
        <w:rPr>
          <w:rFonts w:ascii="Times New Roman" w:eastAsia="Times New Roman" w:hAnsi="Times New Roman" w:cs="Times New Roman"/>
          <w:bCs/>
        </w:rPr>
        <w:t>a tantárgy elméleti vagy gyakorlati jellegének mértéke: 50</w:t>
      </w:r>
      <w:r w:rsidRPr="00C62596">
        <w:rPr>
          <w:rFonts w:ascii="Times New Roman" w:eastAsia="Times New Roman" w:hAnsi="Times New Roman" w:cs="Times New Roman"/>
          <w:b/>
          <w:bCs/>
        </w:rPr>
        <w:t xml:space="preserve"> </w:t>
      </w:r>
      <w:r w:rsidRPr="00C62596">
        <w:rPr>
          <w:rFonts w:ascii="Times New Roman" w:eastAsia="Times New Roman" w:hAnsi="Times New Roman" w:cs="Times New Roman"/>
          <w:bCs/>
        </w:rPr>
        <w:t>% gyakorlat, 50 % elmélet</w:t>
      </w:r>
    </w:p>
    <w:p w:rsidR="00C62596" w:rsidRPr="00C62596" w:rsidRDefault="00C62596" w:rsidP="00980876">
      <w:pPr>
        <w:widowControl w:val="0"/>
        <w:numPr>
          <w:ilvl w:val="0"/>
          <w:numId w:val="536"/>
        </w:numPr>
        <w:spacing w:before="120" w:after="120" w:line="240" w:lineRule="auto"/>
        <w:ind w:left="426" w:hanging="142"/>
        <w:jc w:val="both"/>
        <w:rPr>
          <w:rFonts w:ascii="Times New Roman" w:eastAsia="Times New Roman" w:hAnsi="Times New Roman" w:cs="Times New Roman"/>
          <w:bCs/>
        </w:rPr>
      </w:pPr>
      <w:r w:rsidRPr="00C62596">
        <w:rPr>
          <w:rFonts w:ascii="Times New Roman" w:eastAsia="Times New Roman" w:hAnsi="Times New Roman" w:cs="Times New Roman"/>
          <w:b/>
          <w:bCs/>
        </w:rPr>
        <w:t>A szak(ok), szakirányok/specializációk megnevezése (ahol oktatják):</w:t>
      </w:r>
      <w:r w:rsidRPr="00C62596">
        <w:rPr>
          <w:rFonts w:ascii="Times New Roman" w:eastAsia="Times New Roman" w:hAnsi="Times New Roman" w:cs="Times New Roman"/>
          <w:bCs/>
        </w:rPr>
        <w:t xml:space="preserve"> Katonai logisztika alapképzési szak, Katonai közlekedési specializáció</w:t>
      </w:r>
    </w:p>
    <w:p w:rsidR="00C62596" w:rsidRPr="00C62596" w:rsidRDefault="00C62596" w:rsidP="00980876">
      <w:pPr>
        <w:widowControl w:val="0"/>
        <w:numPr>
          <w:ilvl w:val="0"/>
          <w:numId w:val="536"/>
        </w:numPr>
        <w:tabs>
          <w:tab w:val="num" w:pos="567"/>
        </w:tabs>
        <w:spacing w:before="120" w:after="120" w:line="240" w:lineRule="auto"/>
        <w:ind w:left="426" w:hanging="142"/>
        <w:jc w:val="both"/>
        <w:rPr>
          <w:rFonts w:ascii="Times New Roman" w:eastAsia="Times New Roman" w:hAnsi="Times New Roman" w:cs="Times New Roman"/>
          <w:bCs/>
        </w:rPr>
      </w:pPr>
      <w:r w:rsidRPr="00C62596">
        <w:rPr>
          <w:rFonts w:ascii="Times New Roman" w:eastAsia="Times New Roman" w:hAnsi="Times New Roman" w:cs="Times New Roman"/>
          <w:b/>
          <w:bCs/>
        </w:rPr>
        <w:t xml:space="preserve">Az oktatásért felelős oktatási szervezeti egység megnevezése: </w:t>
      </w:r>
      <w:r w:rsidRPr="00C62596">
        <w:rPr>
          <w:rFonts w:ascii="Times New Roman" w:eastAsia="Times New Roman" w:hAnsi="Times New Roman" w:cs="Times New Roman"/>
          <w:bCs/>
        </w:rPr>
        <w:t>NKE HHK, Hadtáp, Pénzügyi és Katonai Közlekedési Tanszék</w:t>
      </w:r>
    </w:p>
    <w:p w:rsidR="00C62596" w:rsidRPr="00C62596" w:rsidRDefault="00C62596" w:rsidP="00980876">
      <w:pPr>
        <w:widowControl w:val="0"/>
        <w:numPr>
          <w:ilvl w:val="0"/>
          <w:numId w:val="536"/>
        </w:numPr>
        <w:tabs>
          <w:tab w:val="num" w:pos="567"/>
        </w:tabs>
        <w:spacing w:before="120" w:after="120" w:line="240" w:lineRule="auto"/>
        <w:ind w:left="426" w:hanging="142"/>
        <w:jc w:val="both"/>
        <w:rPr>
          <w:rFonts w:ascii="Times New Roman" w:eastAsia="Times New Roman" w:hAnsi="Times New Roman" w:cs="Times New Roman"/>
          <w:bCs/>
        </w:rPr>
      </w:pPr>
      <w:r w:rsidRPr="00C62596">
        <w:rPr>
          <w:rFonts w:ascii="Times New Roman" w:eastAsia="Times New Roman" w:hAnsi="Times New Roman" w:cs="Times New Roman"/>
          <w:b/>
          <w:bCs/>
        </w:rPr>
        <w:t>A tantárgyfelelős oktató neve, beosztása, tudományos fokozata:</w:t>
      </w:r>
      <w:r w:rsidRPr="00C62596">
        <w:rPr>
          <w:rFonts w:ascii="Times New Roman" w:eastAsia="Times New Roman" w:hAnsi="Times New Roman" w:cs="Times New Roman"/>
          <w:bCs/>
        </w:rPr>
        <w:t xml:space="preserve"> Dr. Fábos Róbert, PhD, adjunktus</w:t>
      </w:r>
    </w:p>
    <w:p w:rsidR="00C62596" w:rsidRPr="00C62596" w:rsidRDefault="00C62596" w:rsidP="00980876">
      <w:pPr>
        <w:widowControl w:val="0"/>
        <w:numPr>
          <w:ilvl w:val="0"/>
          <w:numId w:val="536"/>
        </w:numPr>
        <w:spacing w:before="120" w:after="120" w:line="240" w:lineRule="auto"/>
        <w:ind w:left="426" w:hanging="142"/>
        <w:jc w:val="both"/>
        <w:rPr>
          <w:rFonts w:ascii="Times New Roman" w:eastAsia="Times New Roman" w:hAnsi="Times New Roman" w:cs="Times New Roman"/>
          <w:bCs/>
        </w:rPr>
      </w:pPr>
      <w:r w:rsidRPr="00C62596">
        <w:rPr>
          <w:rFonts w:ascii="Times New Roman" w:eastAsia="Times New Roman" w:hAnsi="Times New Roman" w:cs="Times New Roman"/>
          <w:b/>
          <w:bCs/>
        </w:rPr>
        <w:t>A tanórák száma és típusa</w:t>
      </w:r>
    </w:p>
    <w:p w:rsidR="00C62596" w:rsidRPr="00C62596" w:rsidRDefault="00C62596" w:rsidP="00980876">
      <w:pPr>
        <w:widowControl w:val="0"/>
        <w:numPr>
          <w:ilvl w:val="1"/>
          <w:numId w:val="536"/>
        </w:numPr>
        <w:tabs>
          <w:tab w:val="num" w:pos="709"/>
          <w:tab w:val="num" w:pos="2069"/>
        </w:tabs>
        <w:spacing w:before="120" w:after="120" w:line="240" w:lineRule="auto"/>
        <w:ind w:left="851" w:hanging="425"/>
        <w:jc w:val="both"/>
        <w:rPr>
          <w:rFonts w:ascii="Times New Roman" w:eastAsia="Times New Roman" w:hAnsi="Times New Roman" w:cs="Times New Roman"/>
          <w:bCs/>
        </w:rPr>
      </w:pPr>
      <w:r w:rsidRPr="00C62596">
        <w:rPr>
          <w:rFonts w:ascii="Times New Roman" w:eastAsia="Times New Roman" w:hAnsi="Times New Roman" w:cs="Times New Roman"/>
          <w:bCs/>
        </w:rPr>
        <w:t>össz óraszám/félév: 28</w:t>
      </w:r>
    </w:p>
    <w:p w:rsidR="00C62596" w:rsidRPr="00C62596" w:rsidRDefault="00C62596" w:rsidP="00980876">
      <w:pPr>
        <w:widowControl w:val="0"/>
        <w:numPr>
          <w:ilvl w:val="2"/>
          <w:numId w:val="536"/>
        </w:numPr>
        <w:tabs>
          <w:tab w:val="num" w:pos="709"/>
          <w:tab w:val="num" w:pos="1134"/>
        </w:tabs>
        <w:spacing w:after="0" w:line="240" w:lineRule="auto"/>
        <w:ind w:left="992" w:hanging="425"/>
        <w:jc w:val="both"/>
        <w:rPr>
          <w:rFonts w:ascii="Times New Roman" w:eastAsia="Times New Roman" w:hAnsi="Times New Roman" w:cs="Times New Roman"/>
          <w:bCs/>
        </w:rPr>
      </w:pPr>
      <w:r w:rsidRPr="00C62596">
        <w:rPr>
          <w:rFonts w:ascii="Times New Roman" w:eastAsia="Times New Roman" w:hAnsi="Times New Roman" w:cs="Times New Roman"/>
          <w:bCs/>
        </w:rPr>
        <w:t>nappali munkarend: 28 (14 EA + 0 SZ + 14 GY)</w:t>
      </w:r>
    </w:p>
    <w:p w:rsidR="00C62596" w:rsidRPr="00C62596" w:rsidRDefault="00C62596" w:rsidP="00980876">
      <w:pPr>
        <w:widowControl w:val="0"/>
        <w:numPr>
          <w:ilvl w:val="2"/>
          <w:numId w:val="536"/>
        </w:numPr>
        <w:tabs>
          <w:tab w:val="num" w:pos="709"/>
          <w:tab w:val="num" w:pos="1134"/>
        </w:tabs>
        <w:spacing w:after="0" w:line="240" w:lineRule="auto"/>
        <w:ind w:left="992" w:hanging="425"/>
        <w:jc w:val="both"/>
        <w:rPr>
          <w:rFonts w:ascii="Times New Roman" w:eastAsia="Times New Roman" w:hAnsi="Times New Roman" w:cs="Times New Roman"/>
          <w:bCs/>
        </w:rPr>
      </w:pPr>
      <w:r w:rsidRPr="00C62596">
        <w:rPr>
          <w:rFonts w:ascii="Times New Roman" w:eastAsia="Times New Roman" w:hAnsi="Times New Roman" w:cs="Times New Roman"/>
          <w:bCs/>
        </w:rPr>
        <w:t>levelező munkarend: 0 (0 EA + 0 SZ + 0 GY)</w:t>
      </w:r>
    </w:p>
    <w:p w:rsidR="00C62596" w:rsidRPr="00C62596" w:rsidRDefault="00C62596" w:rsidP="00980876">
      <w:pPr>
        <w:widowControl w:val="0"/>
        <w:numPr>
          <w:ilvl w:val="1"/>
          <w:numId w:val="536"/>
        </w:numPr>
        <w:tabs>
          <w:tab w:val="num" w:pos="709"/>
          <w:tab w:val="num" w:pos="2069"/>
        </w:tabs>
        <w:spacing w:before="120" w:after="120" w:line="240" w:lineRule="auto"/>
        <w:ind w:left="851" w:hanging="425"/>
        <w:jc w:val="both"/>
        <w:rPr>
          <w:rFonts w:ascii="Times New Roman" w:eastAsia="Times New Roman" w:hAnsi="Times New Roman" w:cs="Times New Roman"/>
          <w:bCs/>
        </w:rPr>
      </w:pPr>
      <w:r w:rsidRPr="00C62596">
        <w:rPr>
          <w:rFonts w:ascii="Times New Roman" w:eastAsia="Times New Roman" w:hAnsi="Times New Roman" w:cs="Times New Roman"/>
          <w:bCs/>
        </w:rPr>
        <w:t>heti óraszám - nappali munkarend: 2</w:t>
      </w:r>
    </w:p>
    <w:p w:rsidR="00C62596" w:rsidRPr="00C62596" w:rsidRDefault="00C62596" w:rsidP="00980876">
      <w:pPr>
        <w:widowControl w:val="0"/>
        <w:numPr>
          <w:ilvl w:val="1"/>
          <w:numId w:val="536"/>
        </w:numPr>
        <w:tabs>
          <w:tab w:val="num" w:pos="709"/>
          <w:tab w:val="num" w:pos="2069"/>
        </w:tabs>
        <w:spacing w:before="120" w:after="120" w:line="240" w:lineRule="auto"/>
        <w:ind w:left="851" w:hanging="425"/>
        <w:jc w:val="both"/>
        <w:rPr>
          <w:rFonts w:ascii="Times New Roman" w:eastAsia="Times New Roman" w:hAnsi="Times New Roman" w:cs="Times New Roman"/>
          <w:bCs/>
        </w:rPr>
      </w:pPr>
      <w:r w:rsidRPr="00C62596">
        <w:rPr>
          <w:rFonts w:ascii="Times New Roman" w:eastAsia="Calibri" w:hAnsi="Times New Roman" w:cs="Times New Roman"/>
        </w:rPr>
        <w:t>Az ismeret átadásában alkalmazandó további sajátos módok, jellemzők: -</w:t>
      </w:r>
    </w:p>
    <w:p w:rsidR="00C62596" w:rsidRPr="00C62596" w:rsidRDefault="00C62596" w:rsidP="00980876">
      <w:pPr>
        <w:widowControl w:val="0"/>
        <w:numPr>
          <w:ilvl w:val="0"/>
          <w:numId w:val="536"/>
        </w:numPr>
        <w:spacing w:before="120" w:after="120" w:line="240" w:lineRule="auto"/>
        <w:ind w:left="426" w:hanging="142"/>
        <w:jc w:val="both"/>
        <w:rPr>
          <w:rFonts w:ascii="Times New Roman" w:eastAsia="Times New Roman" w:hAnsi="Times New Roman" w:cs="Times New Roman"/>
          <w:bCs/>
        </w:rPr>
      </w:pPr>
      <w:r w:rsidRPr="00C62596">
        <w:rPr>
          <w:rFonts w:ascii="Times New Roman" w:eastAsia="Times New Roman" w:hAnsi="Times New Roman" w:cs="Times New Roman"/>
          <w:b/>
          <w:bCs/>
        </w:rPr>
        <w:t>A tantárgy szakmai tartalma (magyarul):</w:t>
      </w:r>
      <w:r w:rsidRPr="00C62596">
        <w:rPr>
          <w:rFonts w:ascii="Times New Roman" w:eastAsia="Times New Roman" w:hAnsi="Times New Roman" w:cs="Times New Roman"/>
          <w:bCs/>
        </w:rPr>
        <w:t xml:space="preserve"> Autonóm jármű meghatározása, az autonómia fejlettségi szintjei. Intelligens jármű rendszerek fajtái, jellemzőik. A járművek közötti kommunikációs lehetőségek, technológiák. Az intelligens közlekedési rendszer meghatározása, a jármű környezetében megtalálható rendszerek, azok jellemzése. Jármű és környezete közötti kommunikáció.</w:t>
      </w:r>
    </w:p>
    <w:p w:rsidR="00C62596" w:rsidRPr="00C62596" w:rsidRDefault="00C62596" w:rsidP="00C62596">
      <w:pPr>
        <w:widowControl w:val="0"/>
        <w:spacing w:before="120" w:after="120" w:line="240" w:lineRule="auto"/>
        <w:ind w:left="426"/>
        <w:jc w:val="both"/>
        <w:rPr>
          <w:rFonts w:ascii="Times New Roman" w:eastAsia="Times New Roman" w:hAnsi="Times New Roman" w:cs="Times New Roman"/>
          <w:bCs/>
          <w:lang w:val="en-GB"/>
        </w:rPr>
      </w:pPr>
      <w:r w:rsidRPr="00C62596">
        <w:rPr>
          <w:rFonts w:ascii="Times New Roman" w:eastAsia="Times New Roman" w:hAnsi="Times New Roman" w:cs="Times New Roman"/>
          <w:b/>
          <w:bCs/>
        </w:rPr>
        <w:t>A tantárgy szakmai tartalma (angolul) (</w:t>
      </w:r>
      <w:r w:rsidRPr="00C62596">
        <w:rPr>
          <w:rFonts w:ascii="Times New Roman" w:eastAsia="Times New Roman" w:hAnsi="Times New Roman" w:cs="Times New Roman"/>
          <w:b/>
          <w:bCs/>
          <w:lang w:val="en-US"/>
        </w:rPr>
        <w:t>Course description</w:t>
      </w:r>
      <w:r w:rsidRPr="00C62596">
        <w:rPr>
          <w:rFonts w:ascii="Times New Roman" w:eastAsia="Times New Roman" w:hAnsi="Times New Roman" w:cs="Times New Roman"/>
          <w:b/>
          <w:bCs/>
        </w:rPr>
        <w:t xml:space="preserve">): </w:t>
      </w:r>
      <w:r w:rsidRPr="00C62596">
        <w:rPr>
          <w:rFonts w:ascii="Times New Roman" w:eastAsia="Calibri" w:hAnsi="Times New Roman" w:cs="Calibri"/>
          <w:lang w:val="en"/>
        </w:rPr>
        <w:t>Definition of autonomous vehicle, levels of development of autonomy. Types and characteristics of intelligent vehicle systems. Vehicle communication capabilities, technologies. Definition of intelligent transport system, systems in the vehicle environment, their characterization. Communication between vehicle and its environment.</w:t>
      </w:r>
    </w:p>
    <w:p w:rsidR="00C62596" w:rsidRPr="00C62596" w:rsidRDefault="00C62596" w:rsidP="00980876">
      <w:pPr>
        <w:widowControl w:val="0"/>
        <w:numPr>
          <w:ilvl w:val="0"/>
          <w:numId w:val="536"/>
        </w:numPr>
        <w:spacing w:before="120" w:after="120" w:line="240" w:lineRule="auto"/>
        <w:contextualSpacing/>
        <w:jc w:val="both"/>
        <w:rPr>
          <w:rFonts w:ascii="Times New Roman" w:eastAsia="Times New Roman" w:hAnsi="Times New Roman" w:cs="Times New Roman"/>
          <w:bCs/>
        </w:rPr>
      </w:pPr>
      <w:r w:rsidRPr="00C62596">
        <w:rPr>
          <w:rFonts w:ascii="Times New Roman" w:eastAsia="Times New Roman" w:hAnsi="Times New Roman" w:cs="Times New Roman"/>
          <w:b/>
          <w:bCs/>
        </w:rPr>
        <w:t xml:space="preserve">Elérendő kompetenciák (magyarul): </w:t>
      </w:r>
    </w:p>
    <w:p w:rsidR="00C62596" w:rsidRPr="00C62596" w:rsidRDefault="00C62596" w:rsidP="00C62596">
      <w:pPr>
        <w:autoSpaceDE w:val="0"/>
        <w:autoSpaceDN w:val="0"/>
        <w:adjustRightInd w:val="0"/>
        <w:spacing w:before="120" w:after="0" w:line="240" w:lineRule="auto"/>
        <w:ind w:left="425"/>
        <w:jc w:val="both"/>
        <w:rPr>
          <w:rFonts w:ascii="Times New Roman" w:eastAsia="Times New Roman" w:hAnsi="Times New Roman" w:cs="Times New Roman"/>
          <w:b/>
          <w:bCs/>
        </w:rPr>
      </w:pPr>
      <w:r w:rsidRPr="00C62596">
        <w:rPr>
          <w:rFonts w:ascii="Times New Roman" w:eastAsia="Times New Roman" w:hAnsi="Times New Roman" w:cs="Times New Roman"/>
          <w:b/>
          <w:bCs/>
        </w:rPr>
        <w:t xml:space="preserve">Tudása: </w:t>
      </w:r>
    </w:p>
    <w:p w:rsidR="00C62596" w:rsidRPr="00C62596" w:rsidRDefault="00C62596"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C62596">
        <w:rPr>
          <w:rFonts w:ascii="Times New Roman" w:eastAsia="Calibri" w:hAnsi="Times New Roman" w:cs="Times New Roman"/>
        </w:rPr>
        <w:t>Ismeri a katonai közlekedési szakterülethez szervesen kapcsolódó logisztikai, menedzsment, környezetvédelmi, minőségbiztosítási, információtechnológiai, jogi, közgazdasági szakterületek alapjait és követelményeit.</w:t>
      </w:r>
    </w:p>
    <w:p w:rsidR="00C62596" w:rsidRPr="00C62596" w:rsidRDefault="00C62596"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C62596">
        <w:rPr>
          <w:rFonts w:ascii="Times New Roman" w:eastAsia="Calibri" w:hAnsi="Times New Roman" w:cs="Times New Roman"/>
        </w:rPr>
        <w:t>Ismeri a katonai közlekedési szakterület szaktechnikai eszközeit, a közlekedési pályákat és létesítményeiket, azok igénybevételének és üzemeltetésének szabályait.</w:t>
      </w:r>
    </w:p>
    <w:p w:rsidR="00C62596" w:rsidRPr="00C62596" w:rsidRDefault="00C62596"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C62596">
        <w:rPr>
          <w:rFonts w:ascii="Times New Roman" w:eastAsia="Calibri" w:hAnsi="Times New Roman" w:cs="Times New Roman"/>
        </w:rPr>
        <w:t>Ismeri a katonai közlekedési szakanyagok készletezésének, tárolásának, nyilvántartásának és leltározásának, valamint ezen folyamatok ellenőrzésének feladatait és kötelezettségeit.</w:t>
      </w:r>
    </w:p>
    <w:p w:rsidR="00C62596" w:rsidRPr="00C62596" w:rsidRDefault="00C62596"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C62596">
        <w:rPr>
          <w:rFonts w:ascii="Times New Roman" w:eastAsia="Calibri" w:hAnsi="Times New Roman" w:cs="Times New Roman"/>
        </w:rPr>
        <w:t>Mélyrehatóan ismeri a katonai közlekedési szakterület szakmai feladatait, a közlekedési szakfeladatok rendszerét, az egyes feladatok végrehajtásának sajátosságait.</w:t>
      </w:r>
    </w:p>
    <w:p w:rsidR="00C62596" w:rsidRPr="00C62596" w:rsidRDefault="00C62596"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C62596">
        <w:rPr>
          <w:rFonts w:ascii="Times New Roman" w:eastAsia="Calibri" w:hAnsi="Times New Roman" w:cs="Times New Roman"/>
        </w:rPr>
        <w:t>Ismeri a katonai közlekedési igények felmérésének módszereit és megvalósítási lehetőségeit, gyakorlatát.</w:t>
      </w:r>
    </w:p>
    <w:p w:rsidR="00176565" w:rsidRDefault="00176565" w:rsidP="00C62596">
      <w:pPr>
        <w:autoSpaceDE w:val="0"/>
        <w:autoSpaceDN w:val="0"/>
        <w:adjustRightInd w:val="0"/>
        <w:spacing w:before="120" w:after="0" w:line="240" w:lineRule="auto"/>
        <w:ind w:left="425"/>
        <w:jc w:val="both"/>
        <w:rPr>
          <w:rFonts w:ascii="Times New Roman" w:eastAsia="Times New Roman" w:hAnsi="Times New Roman" w:cs="Times New Roman"/>
          <w:b/>
          <w:bCs/>
        </w:rPr>
      </w:pPr>
    </w:p>
    <w:p w:rsidR="00C62596" w:rsidRPr="00C62596" w:rsidRDefault="00C62596" w:rsidP="00C62596">
      <w:pPr>
        <w:autoSpaceDE w:val="0"/>
        <w:autoSpaceDN w:val="0"/>
        <w:adjustRightInd w:val="0"/>
        <w:spacing w:before="120" w:after="0" w:line="240" w:lineRule="auto"/>
        <w:ind w:left="425"/>
        <w:jc w:val="both"/>
        <w:rPr>
          <w:rFonts w:ascii="Times New Roman" w:eastAsia="Times New Roman" w:hAnsi="Times New Roman" w:cs="Times New Roman"/>
          <w:bCs/>
        </w:rPr>
      </w:pPr>
      <w:r w:rsidRPr="00C62596">
        <w:rPr>
          <w:rFonts w:ascii="Times New Roman" w:eastAsia="Times New Roman" w:hAnsi="Times New Roman" w:cs="Times New Roman"/>
          <w:b/>
          <w:bCs/>
        </w:rPr>
        <w:lastRenderedPageBreak/>
        <w:t>Képességei:</w:t>
      </w:r>
      <w:r w:rsidRPr="00C62596">
        <w:rPr>
          <w:rFonts w:ascii="Times New Roman" w:eastAsia="Times New Roman" w:hAnsi="Times New Roman" w:cs="Times New Roman"/>
          <w:bCs/>
        </w:rPr>
        <w:t xml:space="preserve"> </w:t>
      </w:r>
    </w:p>
    <w:p w:rsidR="00C62596" w:rsidRPr="00C62596" w:rsidRDefault="00C62596"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C62596">
        <w:rPr>
          <w:rFonts w:ascii="Times New Roman" w:eastAsia="Calibri" w:hAnsi="Times New Roman" w:cs="Times New Roman"/>
        </w:rPr>
        <w:t>Az általános és specifikus katonai ismeretei és készségei birtokában képes a katonai közlekedési, mozgatási, szállítási feladatok tervezésére, szervezésére és vezetésére.</w:t>
      </w:r>
    </w:p>
    <w:p w:rsidR="00C62596" w:rsidRPr="00C62596" w:rsidRDefault="00C62596"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C62596">
        <w:rPr>
          <w:rFonts w:ascii="Times New Roman" w:eastAsia="Calibri" w:hAnsi="Times New Roman" w:cs="Times New Roman"/>
        </w:rPr>
        <w:t>Képes békeidőszakban, válságkezelő, katasztrófa-elhárítási, béketámogató és háborús műveletekben, nemzeti és többnemzeti környezetben a szállító szakalegységek alaprendeltetéséből fakadó feladatai végrehajtásának vezetésére.</w:t>
      </w:r>
    </w:p>
    <w:p w:rsidR="00C62596" w:rsidRPr="00C62596" w:rsidRDefault="00C62596"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C62596">
        <w:rPr>
          <w:rFonts w:ascii="Times New Roman" w:eastAsia="Calibri" w:hAnsi="Times New Roman" w:cs="Times New Roman"/>
        </w:rPr>
        <w:t>Képes a közlekedési hálózatok katonai célú alkalmazásának tervezésére, szervezésére és végrehajtására.</w:t>
      </w:r>
    </w:p>
    <w:p w:rsidR="00C62596" w:rsidRPr="00C62596" w:rsidRDefault="00C62596"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C62596">
        <w:rPr>
          <w:rFonts w:ascii="Times New Roman" w:eastAsia="Calibri" w:hAnsi="Times New Roman" w:cs="Times New Roman"/>
        </w:rPr>
        <w:t>Képes a közlekedési folyamatokat támogató közlekedésinformatikai rendszerek alkalmazására, az azokkal kapcsolatos felhasználói alapkövetelmények megfogalmazására.</w:t>
      </w:r>
    </w:p>
    <w:p w:rsidR="00C62596" w:rsidRPr="00C62596" w:rsidRDefault="00C62596" w:rsidP="00C62596">
      <w:pPr>
        <w:autoSpaceDE w:val="0"/>
        <w:autoSpaceDN w:val="0"/>
        <w:adjustRightInd w:val="0"/>
        <w:spacing w:before="120" w:after="0" w:line="240" w:lineRule="auto"/>
        <w:ind w:left="425"/>
        <w:jc w:val="both"/>
        <w:rPr>
          <w:rFonts w:ascii="Times New Roman" w:eastAsia="Times New Roman" w:hAnsi="Times New Roman" w:cs="Times New Roman"/>
          <w:b/>
          <w:bCs/>
        </w:rPr>
      </w:pPr>
      <w:r w:rsidRPr="00C62596">
        <w:rPr>
          <w:rFonts w:ascii="Times New Roman" w:eastAsia="Times New Roman" w:hAnsi="Times New Roman" w:cs="Times New Roman"/>
          <w:b/>
          <w:bCs/>
        </w:rPr>
        <w:t xml:space="preserve">Attitűdje: </w:t>
      </w:r>
    </w:p>
    <w:p w:rsidR="00C62596" w:rsidRPr="00C62596" w:rsidRDefault="00C62596"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C62596">
        <w:rPr>
          <w:rFonts w:ascii="Times New Roman" w:eastAsia="Calibri" w:hAnsi="Times New Roman" w:cs="Times New Roman"/>
        </w:rPr>
        <w:t>Nyitott a katonai közlekedési szakterületen zajló szakmai, technológiai fejlesztés és innováció megismerésére és elfogadására, hiteles közvetítésére és azok mindennapi munkájába való beillesztésére.</w:t>
      </w:r>
    </w:p>
    <w:p w:rsidR="00C62596" w:rsidRPr="00C62596" w:rsidRDefault="00C62596"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C62596">
        <w:rPr>
          <w:rFonts w:ascii="Times New Roman" w:eastAsia="Calibri" w:hAnsi="Times New Roman" w:cs="Times New Roman"/>
        </w:rPr>
        <w:t>Törekszik arra, hogy önképzése a katonai közlekedési szakterületen folyamatos és szakmai céljaival megegyező legyen.</w:t>
      </w:r>
    </w:p>
    <w:p w:rsidR="00C62596" w:rsidRPr="00C62596" w:rsidRDefault="00C62596"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C62596">
        <w:rPr>
          <w:rFonts w:ascii="Times New Roman" w:eastAsia="Calibri" w:hAnsi="Times New Roman" w:cs="Times New Roman"/>
        </w:rPr>
        <w:t>Elkötelezett a minőségi szakmai munkavégzés iránt, különös tekintettel a közlekedési, szállítási feladatok és folyamatok biztonságos végrehajtására.</w:t>
      </w:r>
    </w:p>
    <w:p w:rsidR="00C62596" w:rsidRPr="00C62596" w:rsidRDefault="00C62596"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C62596">
        <w:rPr>
          <w:rFonts w:ascii="Times New Roman" w:eastAsia="Calibri" w:hAnsi="Times New Roman" w:cs="Times New Roman"/>
        </w:rPr>
        <w:t>Figyel beosztottjai szakmai fejlődésének előmozdítására, ilyen irányú törekvéseik kezelésére és segítésére.</w:t>
      </w:r>
    </w:p>
    <w:p w:rsidR="00C62596" w:rsidRPr="00C62596" w:rsidRDefault="00C62596"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C62596">
        <w:rPr>
          <w:rFonts w:ascii="Times New Roman" w:eastAsia="Calibri" w:hAnsi="Times New Roman" w:cs="Times New Roman"/>
        </w:rPr>
        <w:t>Megosztja tapasztalatait munkatársaival, így segítve fejlődésüket.</w:t>
      </w:r>
    </w:p>
    <w:p w:rsidR="00C62596" w:rsidRPr="00C62596" w:rsidRDefault="00C62596" w:rsidP="00C62596">
      <w:pPr>
        <w:autoSpaceDE w:val="0"/>
        <w:autoSpaceDN w:val="0"/>
        <w:adjustRightInd w:val="0"/>
        <w:spacing w:before="120" w:after="0" w:line="240" w:lineRule="auto"/>
        <w:ind w:left="425"/>
        <w:jc w:val="both"/>
        <w:rPr>
          <w:rFonts w:ascii="Times New Roman" w:eastAsia="Times New Roman" w:hAnsi="Times New Roman" w:cs="Times New Roman"/>
          <w:b/>
          <w:bCs/>
        </w:rPr>
      </w:pPr>
      <w:r w:rsidRPr="00C62596">
        <w:rPr>
          <w:rFonts w:ascii="Times New Roman" w:eastAsia="Times New Roman" w:hAnsi="Times New Roman" w:cs="Times New Roman"/>
          <w:b/>
          <w:bCs/>
        </w:rPr>
        <w:t xml:space="preserve">Autonómiája és felelőssége: </w:t>
      </w:r>
    </w:p>
    <w:p w:rsidR="00C62596" w:rsidRPr="00C62596" w:rsidRDefault="00C62596"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C62596">
        <w:rPr>
          <w:rFonts w:ascii="Times New Roman" w:eastAsia="Calibri" w:hAnsi="Times New Roman" w:cs="Times New Roman"/>
        </w:rPr>
        <w:t>A katonai közlekedés szakterületén megjelenő folyamatokban képes önállóan döntéseket hozni, azokat felelősséggel, a jogszabályi keretek figyelembevételével végrehajtani.</w:t>
      </w:r>
    </w:p>
    <w:p w:rsidR="00C62596" w:rsidRPr="00C62596" w:rsidRDefault="00C62596"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C62596">
        <w:rPr>
          <w:rFonts w:ascii="Times New Roman" w:eastAsia="Calibri" w:hAnsi="Times New Roman" w:cs="Times New Roman"/>
        </w:rPr>
        <w:t>Tisztában van döntéseinek, tevékenységének a katonai logisztikai folyamatok egészére gyakorolt hatásaival, következményeivel.</w:t>
      </w:r>
    </w:p>
    <w:p w:rsidR="00C62596" w:rsidRPr="00C62596" w:rsidRDefault="00C62596"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C62596">
        <w:rPr>
          <w:rFonts w:ascii="Times New Roman" w:eastAsia="Calibri" w:hAnsi="Times New Roman" w:cs="Times New Roman"/>
        </w:rPr>
        <w:t>Szakmai feladatainak elvégzése során felelősségteljesen együttműködik más szakterület képzett szakembereivel is.</w:t>
      </w:r>
    </w:p>
    <w:p w:rsidR="00C62596" w:rsidRPr="00C62596" w:rsidRDefault="00C62596"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C62596">
        <w:rPr>
          <w:rFonts w:ascii="Times New Roman" w:eastAsia="Calibri" w:hAnsi="Times New Roman" w:cs="Times New Roman"/>
        </w:rPr>
        <w:t>Feltárja az alkalmazott technológiák hiányosságait, a folyamatok kockázatait és kezdeményezi az ezeket csökkentő intézkedések megtételét.</w:t>
      </w:r>
    </w:p>
    <w:p w:rsidR="00C62596" w:rsidRPr="00C62596" w:rsidRDefault="00C62596"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C62596">
        <w:rPr>
          <w:rFonts w:ascii="Times New Roman" w:eastAsia="Calibri" w:hAnsi="Times New Roman" w:cs="Times New Roman"/>
        </w:rPr>
        <w:t>Parancsnokának útmutatása alapján irányítja a rábízott személyi állomány munkavégzését, felügyeli a közlekedési, szállítási folyamatok tervezését, szervezését, végrehajtását, a közlekedési szaktechnikai eszközök üzemeltetését.</w:t>
      </w:r>
    </w:p>
    <w:p w:rsidR="00C62596" w:rsidRPr="00C62596" w:rsidRDefault="00C62596"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C62596">
        <w:rPr>
          <w:rFonts w:ascii="Times New Roman" w:eastAsia="Calibri" w:hAnsi="Times New Roman" w:cs="Times New Roman"/>
        </w:rPr>
        <w:t>Értékeli a beosztottak munkavégzésének hatékonyságát, eredményességét.</w:t>
      </w:r>
    </w:p>
    <w:p w:rsidR="00C62596" w:rsidRPr="00C62596" w:rsidRDefault="00C62596" w:rsidP="00C62596">
      <w:pPr>
        <w:widowControl w:val="0"/>
        <w:spacing w:before="120" w:after="120" w:line="240" w:lineRule="auto"/>
        <w:ind w:left="426"/>
        <w:jc w:val="both"/>
        <w:rPr>
          <w:rFonts w:ascii="Times New Roman" w:eastAsia="Times New Roman" w:hAnsi="Times New Roman" w:cs="Times New Roman"/>
          <w:b/>
          <w:bCs/>
          <w:lang w:val="en-US"/>
        </w:rPr>
      </w:pPr>
      <w:r w:rsidRPr="00C62596">
        <w:rPr>
          <w:rFonts w:ascii="Times New Roman" w:eastAsia="Times New Roman" w:hAnsi="Times New Roman" w:cs="Times New Roman"/>
          <w:b/>
          <w:bCs/>
        </w:rPr>
        <w:t>Elérendő kompetenciák (angolul) (</w:t>
      </w:r>
      <w:r w:rsidRPr="00C62596">
        <w:rPr>
          <w:rFonts w:ascii="Times New Roman" w:eastAsia="Times New Roman" w:hAnsi="Times New Roman" w:cs="Times New Roman"/>
          <w:b/>
          <w:bCs/>
          <w:lang w:val="en-US"/>
        </w:rPr>
        <w:t xml:space="preserve">Competences – English): </w:t>
      </w:r>
    </w:p>
    <w:p w:rsidR="00C62596" w:rsidRPr="00C62596" w:rsidRDefault="00C62596" w:rsidP="00C62596">
      <w:pPr>
        <w:widowControl w:val="0"/>
        <w:spacing w:before="120" w:after="120" w:line="240" w:lineRule="auto"/>
        <w:ind w:left="426"/>
        <w:jc w:val="both"/>
        <w:rPr>
          <w:rFonts w:ascii="Times New Roman" w:eastAsia="Times New Roman" w:hAnsi="Times New Roman" w:cs="Times New Roman"/>
          <w:lang w:val="en-GB"/>
        </w:rPr>
      </w:pPr>
      <w:r w:rsidRPr="00C62596">
        <w:rPr>
          <w:rFonts w:ascii="Times New Roman" w:eastAsia="Times New Roman" w:hAnsi="Times New Roman" w:cs="Times New Roman"/>
          <w:b/>
          <w:lang w:val="en-GB"/>
        </w:rPr>
        <w:t>Knowledge</w:t>
      </w:r>
      <w:r w:rsidRPr="00C62596">
        <w:rPr>
          <w:rFonts w:ascii="Times New Roman" w:eastAsia="Times New Roman" w:hAnsi="Times New Roman" w:cs="Times New Roman"/>
          <w:lang w:val="en-GB"/>
        </w:rPr>
        <w:t xml:space="preserve">: </w:t>
      </w:r>
    </w:p>
    <w:p w:rsidR="00C62596" w:rsidRPr="00C62596" w:rsidRDefault="00C62596"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C62596">
        <w:rPr>
          <w:rFonts w:ascii="Times New Roman" w:eastAsia="Calibri" w:hAnsi="Times New Roman" w:cs="Times New Roman"/>
        </w:rPr>
        <w:t>Knows the basics and requirements of logistics, management, environmental protection, quality assurance, information technology, law and economics, connected to the field of military transportation.</w:t>
      </w:r>
    </w:p>
    <w:p w:rsidR="00C62596" w:rsidRPr="00C62596" w:rsidRDefault="00C62596"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C62596">
        <w:rPr>
          <w:rFonts w:ascii="Times New Roman" w:eastAsia="Calibri" w:hAnsi="Times New Roman" w:cs="Times New Roman"/>
        </w:rPr>
        <w:t>Is familiar with the technical equipment used in military transportation, the transportation modes and facilities, and the rules of their use and operation.</w:t>
      </w:r>
    </w:p>
    <w:p w:rsidR="00C62596" w:rsidRPr="00C62596" w:rsidRDefault="00C62596"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C62596">
        <w:rPr>
          <w:rFonts w:ascii="Times New Roman" w:eastAsia="Calibri" w:hAnsi="Times New Roman" w:cs="Times New Roman"/>
        </w:rPr>
        <w:t>Is familiar with the tasks and responsibilities of stockpiling, storing, registering and inventorying of military transportation assets and is able to control these processes.</w:t>
      </w:r>
    </w:p>
    <w:p w:rsidR="00C62596" w:rsidRPr="00C62596" w:rsidRDefault="00C62596"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C62596">
        <w:rPr>
          <w:rFonts w:ascii="Times New Roman" w:eastAsia="Calibri" w:hAnsi="Times New Roman" w:cs="Times New Roman"/>
        </w:rPr>
        <w:t>Has a profound knowledge of the tasks and the system of military transportation and the unique characteristics of performing each task.</w:t>
      </w:r>
    </w:p>
    <w:p w:rsidR="00C62596" w:rsidRPr="00C62596" w:rsidRDefault="00C62596"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C62596">
        <w:rPr>
          <w:rFonts w:ascii="Times New Roman" w:eastAsia="Calibri" w:hAnsi="Times New Roman" w:cs="Times New Roman"/>
        </w:rPr>
        <w:t>Is familiar with the methods of assessing the requirements of military transportation and its feasibility and practical implementation.</w:t>
      </w:r>
    </w:p>
    <w:p w:rsidR="00C62596" w:rsidRPr="00C62596" w:rsidRDefault="00C62596" w:rsidP="00C62596">
      <w:pPr>
        <w:widowControl w:val="0"/>
        <w:spacing w:before="120" w:after="120" w:line="240" w:lineRule="auto"/>
        <w:ind w:left="426"/>
        <w:jc w:val="both"/>
        <w:rPr>
          <w:rFonts w:ascii="Times New Roman" w:eastAsia="Times New Roman" w:hAnsi="Times New Roman" w:cs="Times New Roman"/>
          <w:lang w:val="en-GB"/>
        </w:rPr>
      </w:pPr>
      <w:r w:rsidRPr="00C62596">
        <w:rPr>
          <w:rFonts w:ascii="Times New Roman" w:eastAsia="Times New Roman" w:hAnsi="Times New Roman" w:cs="Times New Roman"/>
          <w:b/>
          <w:lang w:val="en-GB"/>
        </w:rPr>
        <w:t>Capabilities</w:t>
      </w:r>
      <w:r w:rsidRPr="00C62596">
        <w:rPr>
          <w:rFonts w:ascii="Times New Roman" w:eastAsia="Times New Roman" w:hAnsi="Times New Roman" w:cs="Times New Roman"/>
          <w:lang w:val="en-GB"/>
        </w:rPr>
        <w:t>:</w:t>
      </w:r>
    </w:p>
    <w:p w:rsidR="00C62596" w:rsidRPr="00C62596" w:rsidRDefault="00C62596"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C62596">
        <w:rPr>
          <w:rFonts w:ascii="Times New Roman" w:eastAsia="Calibri" w:hAnsi="Times New Roman" w:cs="Times New Roman"/>
        </w:rPr>
        <w:t>Using his/her general and specialized military knowledge and skills, he/she is capable of planning, organizing, and conducting military transport, movement, and transportation tasks.</w:t>
      </w:r>
    </w:p>
    <w:p w:rsidR="00C62596" w:rsidRPr="00C62596" w:rsidRDefault="00C62596"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C62596">
        <w:rPr>
          <w:rFonts w:ascii="Times New Roman" w:eastAsia="Calibri" w:hAnsi="Times New Roman" w:cs="Times New Roman"/>
        </w:rPr>
        <w:lastRenderedPageBreak/>
        <w:t>Is capable of leading the execution of the tasks of a military transportation subunit in peace time and in crisis response, disaster relief, peace support and combat operations both in a national and a multinational environment.</w:t>
      </w:r>
    </w:p>
    <w:p w:rsidR="00C62596" w:rsidRPr="00C62596" w:rsidRDefault="00C62596"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C62596">
        <w:rPr>
          <w:rFonts w:ascii="Times New Roman" w:eastAsia="Calibri" w:hAnsi="Times New Roman" w:cs="Times New Roman"/>
        </w:rPr>
        <w:t>Is capable of planning, organizing and executing the tasks related to the application of traffic networks for military purposes.</w:t>
      </w:r>
    </w:p>
    <w:p w:rsidR="00C62596" w:rsidRPr="00C62596" w:rsidRDefault="00C62596"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C62596">
        <w:rPr>
          <w:rFonts w:ascii="Times New Roman" w:eastAsia="Calibri" w:hAnsi="Times New Roman" w:cs="Times New Roman"/>
        </w:rPr>
        <w:t>Is capable of applying traffic information systems to support transportation processes and formulating the basic user requirements related to them.</w:t>
      </w:r>
    </w:p>
    <w:p w:rsidR="00C62596" w:rsidRPr="00176565" w:rsidRDefault="00C62596" w:rsidP="00176565">
      <w:pPr>
        <w:widowControl w:val="0"/>
        <w:spacing w:before="120" w:after="120" w:line="240" w:lineRule="auto"/>
        <w:ind w:left="426"/>
        <w:jc w:val="both"/>
        <w:rPr>
          <w:rFonts w:ascii="Times New Roman" w:eastAsia="Times New Roman" w:hAnsi="Times New Roman" w:cs="Times New Roman"/>
          <w:b/>
          <w:lang w:val="en-GB"/>
        </w:rPr>
      </w:pPr>
      <w:r w:rsidRPr="00C62596">
        <w:rPr>
          <w:rFonts w:ascii="Times New Roman" w:eastAsia="Times New Roman" w:hAnsi="Times New Roman" w:cs="Times New Roman"/>
          <w:b/>
          <w:lang w:val="en-GB"/>
        </w:rPr>
        <w:t>Attitude:</w:t>
      </w:r>
    </w:p>
    <w:p w:rsidR="00C62596" w:rsidRPr="00C62596" w:rsidRDefault="00C62596"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C62596">
        <w:rPr>
          <w:rFonts w:ascii="Times New Roman" w:eastAsia="Calibri" w:hAnsi="Times New Roman" w:cs="Times New Roman"/>
        </w:rPr>
        <w:t>He/She is ready to become familiar with and adopt the professional and technological development and innovation in the field of military transportation, and also to pass it on and integrate it into his daily work.</w:t>
      </w:r>
    </w:p>
    <w:p w:rsidR="00C62596" w:rsidRPr="00C62596" w:rsidRDefault="00C62596"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C62596">
        <w:rPr>
          <w:rFonts w:ascii="Times New Roman" w:eastAsia="Calibri" w:hAnsi="Times New Roman" w:cs="Times New Roman"/>
        </w:rPr>
        <w:t>He/She strives for continuous self-education in the field of military transportation which is consistent with his/her professional goals.</w:t>
      </w:r>
    </w:p>
    <w:p w:rsidR="00C62596" w:rsidRPr="00C62596" w:rsidRDefault="00C62596"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C62596">
        <w:rPr>
          <w:rFonts w:ascii="Times New Roman" w:eastAsia="Calibri" w:hAnsi="Times New Roman" w:cs="Times New Roman"/>
        </w:rPr>
        <w:t>He/She is committed to high quality in his/her professional work, with special emphasis on the safe execution of the transportation tasks and processes.</w:t>
      </w:r>
    </w:p>
    <w:p w:rsidR="00C62596" w:rsidRPr="00C62596" w:rsidRDefault="00C62596"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C62596">
        <w:rPr>
          <w:rFonts w:ascii="Times New Roman" w:eastAsia="Calibri" w:hAnsi="Times New Roman" w:cs="Times New Roman"/>
        </w:rPr>
        <w:t>He/She is interested in promoting the professional development of his/her subordinates, and provides assistance in their efforts.</w:t>
      </w:r>
    </w:p>
    <w:p w:rsidR="00C62596" w:rsidRPr="00C62596" w:rsidRDefault="00C62596"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C62596">
        <w:rPr>
          <w:rFonts w:ascii="Times New Roman" w:eastAsia="Calibri" w:hAnsi="Times New Roman" w:cs="Times New Roman"/>
        </w:rPr>
        <w:t>He/she is willing to share his/her experience with his/her colleagues to further their professional development.</w:t>
      </w:r>
    </w:p>
    <w:p w:rsidR="00C62596" w:rsidRPr="00C62596" w:rsidRDefault="00C62596" w:rsidP="00C62596">
      <w:pPr>
        <w:widowControl w:val="0"/>
        <w:spacing w:before="120" w:after="120" w:line="240" w:lineRule="auto"/>
        <w:ind w:left="426"/>
        <w:jc w:val="both"/>
        <w:rPr>
          <w:rFonts w:ascii="Times New Roman" w:eastAsia="Times New Roman" w:hAnsi="Times New Roman" w:cs="Times New Roman"/>
          <w:b/>
          <w:lang w:val="en-GB"/>
        </w:rPr>
      </w:pPr>
      <w:r w:rsidRPr="00C62596">
        <w:rPr>
          <w:rFonts w:ascii="Times New Roman" w:eastAsia="Times New Roman" w:hAnsi="Times New Roman" w:cs="Times New Roman"/>
          <w:b/>
          <w:lang w:val="en-GB"/>
        </w:rPr>
        <w:t xml:space="preserve">Autonomy and responsibility: </w:t>
      </w:r>
    </w:p>
    <w:p w:rsidR="00C62596" w:rsidRPr="00C62596" w:rsidRDefault="00C62596"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C62596">
        <w:rPr>
          <w:rFonts w:ascii="Times New Roman" w:eastAsia="Calibri" w:hAnsi="Times New Roman" w:cs="Times New Roman"/>
        </w:rPr>
        <w:t>He/She is able to make decisions independently in the processes arising in the field of military transportation, and to implement them with responsibility and within the legal framework.</w:t>
      </w:r>
    </w:p>
    <w:p w:rsidR="00C62596" w:rsidRPr="00C62596" w:rsidRDefault="00C62596"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C62596">
        <w:rPr>
          <w:rFonts w:ascii="Times New Roman" w:eastAsia="Calibri" w:hAnsi="Times New Roman" w:cs="Times New Roman"/>
        </w:rPr>
        <w:t>He/She is aware of the effects and consequences of his decisions and activities on the military logistic processes as a whole.</w:t>
      </w:r>
    </w:p>
    <w:p w:rsidR="00C62596" w:rsidRPr="00C62596" w:rsidRDefault="00C62596"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C62596">
        <w:rPr>
          <w:rFonts w:ascii="Times New Roman" w:eastAsia="Calibri" w:hAnsi="Times New Roman" w:cs="Times New Roman"/>
        </w:rPr>
        <w:t xml:space="preserve">During his/her professional duties, he/she is willing to responsibly cooperate with specialists of other areas. </w:t>
      </w:r>
    </w:p>
    <w:p w:rsidR="00C62596" w:rsidRPr="00C62596" w:rsidRDefault="00C62596"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C62596">
        <w:rPr>
          <w:rFonts w:ascii="Times New Roman" w:eastAsia="Calibri" w:hAnsi="Times New Roman" w:cs="Times New Roman"/>
        </w:rPr>
        <w:t>He/She can identify the deficiencies and risks in the applied technologies and initiates taking measures to reduce their impact.</w:t>
      </w:r>
    </w:p>
    <w:p w:rsidR="00C62596" w:rsidRPr="00C62596" w:rsidRDefault="00C62596"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C62596">
        <w:rPr>
          <w:rFonts w:ascii="Times New Roman" w:eastAsia="Calibri" w:hAnsi="Times New Roman" w:cs="Times New Roman"/>
        </w:rPr>
        <w:t>Under the guidance of his/her commander, he/she controls the work of the personnel under his/her command and supervises the planning, organization and implementation of the transport and transportation processes, and also the operation of the technical equipment used in military transportation.</w:t>
      </w:r>
    </w:p>
    <w:p w:rsidR="00C62596" w:rsidRPr="00C62596" w:rsidRDefault="00C62596"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C62596">
        <w:rPr>
          <w:rFonts w:ascii="Times New Roman" w:eastAsia="Calibri" w:hAnsi="Times New Roman" w:cs="Times New Roman"/>
        </w:rPr>
        <w:t>He/She continuously evaluates the efficiency and effectiveness of his/her subordinates' work.</w:t>
      </w:r>
    </w:p>
    <w:p w:rsidR="00C62596" w:rsidRPr="00C62596" w:rsidRDefault="00C62596" w:rsidP="00980876">
      <w:pPr>
        <w:widowControl w:val="0"/>
        <w:numPr>
          <w:ilvl w:val="0"/>
          <w:numId w:val="536"/>
        </w:numPr>
        <w:tabs>
          <w:tab w:val="num" w:pos="567"/>
        </w:tabs>
        <w:spacing w:before="120" w:after="120" w:line="240" w:lineRule="auto"/>
        <w:ind w:left="426" w:hanging="142"/>
        <w:jc w:val="both"/>
        <w:rPr>
          <w:rFonts w:ascii="Times New Roman" w:eastAsia="Times New Roman" w:hAnsi="Times New Roman" w:cs="Times New Roman"/>
          <w:bCs/>
        </w:rPr>
      </w:pPr>
      <w:r w:rsidRPr="00C62596">
        <w:rPr>
          <w:rFonts w:ascii="Times New Roman" w:eastAsia="Times New Roman" w:hAnsi="Times New Roman" w:cs="Times New Roman"/>
          <w:b/>
          <w:bCs/>
        </w:rPr>
        <w:t xml:space="preserve">Előtanulmányi követelmények: </w:t>
      </w:r>
      <w:r w:rsidRPr="00C62596">
        <w:rPr>
          <w:rFonts w:ascii="Times New Roman" w:eastAsia="Calibri" w:hAnsi="Times New Roman" w:cs="Calibri"/>
        </w:rPr>
        <w:t>Nincs</w:t>
      </w:r>
    </w:p>
    <w:p w:rsidR="00C62596" w:rsidRPr="00C62596" w:rsidRDefault="00C62596" w:rsidP="00980876">
      <w:pPr>
        <w:widowControl w:val="0"/>
        <w:numPr>
          <w:ilvl w:val="0"/>
          <w:numId w:val="536"/>
        </w:numPr>
        <w:spacing w:before="120" w:after="120" w:line="240" w:lineRule="auto"/>
        <w:ind w:left="426" w:hanging="142"/>
        <w:jc w:val="both"/>
        <w:rPr>
          <w:rFonts w:ascii="Times New Roman" w:eastAsia="Times New Roman" w:hAnsi="Times New Roman" w:cs="Times New Roman"/>
          <w:b/>
          <w:bCs/>
        </w:rPr>
      </w:pPr>
      <w:r w:rsidRPr="00C62596">
        <w:rPr>
          <w:rFonts w:ascii="Times New Roman" w:eastAsia="Times New Roman" w:hAnsi="Times New Roman" w:cs="Times New Roman"/>
          <w:b/>
          <w:bCs/>
        </w:rPr>
        <w:t>A tantárgy tananyagának leírása, tematika. Description of the subject, curriculum (magyarul, angolul - English):</w:t>
      </w:r>
    </w:p>
    <w:p w:rsidR="00C62596" w:rsidRPr="00176565" w:rsidRDefault="00C62596" w:rsidP="00980876">
      <w:pPr>
        <w:widowControl w:val="0"/>
        <w:numPr>
          <w:ilvl w:val="1"/>
          <w:numId w:val="536"/>
        </w:numPr>
        <w:tabs>
          <w:tab w:val="clear" w:pos="3977"/>
        </w:tabs>
        <w:spacing w:before="120" w:after="120" w:line="240" w:lineRule="auto"/>
        <w:ind w:left="993" w:hanging="567"/>
        <w:jc w:val="both"/>
        <w:rPr>
          <w:rFonts w:ascii="Times New Roman" w:eastAsia="Times New Roman" w:hAnsi="Times New Roman" w:cs="Times New Roman"/>
          <w:bCs/>
          <w:i/>
        </w:rPr>
      </w:pPr>
      <w:r w:rsidRPr="00C62596">
        <w:rPr>
          <w:rFonts w:ascii="Times New Roman" w:eastAsia="Times New Roman" w:hAnsi="Times New Roman" w:cs="Times New Roman"/>
          <w:bCs/>
        </w:rPr>
        <w:t>Autonóm jármű meghatározása, az autonómia fejlettségi szintjei.</w:t>
      </w:r>
      <w:r w:rsidRPr="00C62596">
        <w:rPr>
          <w:rFonts w:ascii="Times New Roman" w:eastAsia="Times New Roman" w:hAnsi="Times New Roman" w:cs="Times New Roman"/>
          <w:b/>
          <w:bCs/>
        </w:rPr>
        <w:t xml:space="preserve"> </w:t>
      </w:r>
      <w:r w:rsidRPr="00176565">
        <w:rPr>
          <w:rFonts w:ascii="Times New Roman" w:eastAsia="Times New Roman" w:hAnsi="Times New Roman" w:cs="Times New Roman"/>
          <w:bCs/>
          <w:i/>
        </w:rPr>
        <w:t>(Definition of autonomous vehicle, levels of development of autonomy.)</w:t>
      </w:r>
    </w:p>
    <w:p w:rsidR="00C62596" w:rsidRPr="00176565" w:rsidRDefault="00C62596" w:rsidP="00980876">
      <w:pPr>
        <w:widowControl w:val="0"/>
        <w:numPr>
          <w:ilvl w:val="1"/>
          <w:numId w:val="536"/>
        </w:numPr>
        <w:tabs>
          <w:tab w:val="clear" w:pos="3977"/>
        </w:tabs>
        <w:spacing w:before="120" w:after="120" w:line="240" w:lineRule="auto"/>
        <w:ind w:left="993" w:hanging="567"/>
        <w:jc w:val="both"/>
        <w:rPr>
          <w:rFonts w:ascii="Times New Roman" w:eastAsia="Times New Roman" w:hAnsi="Times New Roman" w:cs="Times New Roman"/>
          <w:bCs/>
          <w:i/>
        </w:rPr>
      </w:pPr>
      <w:r w:rsidRPr="00C62596">
        <w:rPr>
          <w:rFonts w:ascii="Times New Roman" w:eastAsia="Times New Roman" w:hAnsi="Times New Roman" w:cs="Times New Roman"/>
          <w:bCs/>
        </w:rPr>
        <w:t>Intelligens jármű rendszerek fajtái, jellemzőik.</w:t>
      </w:r>
      <w:r w:rsidRPr="00C62596">
        <w:rPr>
          <w:rFonts w:ascii="Times New Roman" w:eastAsia="Times New Roman" w:hAnsi="Times New Roman" w:cs="Times New Roman"/>
          <w:b/>
          <w:bCs/>
        </w:rPr>
        <w:t xml:space="preserve"> </w:t>
      </w:r>
      <w:r w:rsidRPr="00176565">
        <w:rPr>
          <w:rFonts w:ascii="Times New Roman" w:eastAsia="Times New Roman" w:hAnsi="Times New Roman" w:cs="Times New Roman"/>
          <w:bCs/>
          <w:i/>
        </w:rPr>
        <w:t>(Types and characteristics of intelligent vehicle systems.)</w:t>
      </w:r>
    </w:p>
    <w:p w:rsidR="00C62596" w:rsidRPr="00176565" w:rsidRDefault="00C62596" w:rsidP="00980876">
      <w:pPr>
        <w:widowControl w:val="0"/>
        <w:numPr>
          <w:ilvl w:val="1"/>
          <w:numId w:val="536"/>
        </w:numPr>
        <w:tabs>
          <w:tab w:val="clear" w:pos="3977"/>
        </w:tabs>
        <w:spacing w:before="120" w:after="120" w:line="240" w:lineRule="auto"/>
        <w:ind w:left="993" w:hanging="567"/>
        <w:jc w:val="both"/>
        <w:rPr>
          <w:rFonts w:ascii="Times New Roman" w:eastAsia="Times New Roman" w:hAnsi="Times New Roman" w:cs="Times New Roman"/>
          <w:bCs/>
          <w:i/>
        </w:rPr>
      </w:pPr>
      <w:r w:rsidRPr="00C62596">
        <w:rPr>
          <w:rFonts w:ascii="Times New Roman" w:eastAsia="Times New Roman" w:hAnsi="Times New Roman" w:cs="Times New Roman"/>
          <w:bCs/>
        </w:rPr>
        <w:t>A járművek közötti kommunikációs lehetőségek, technológiák.</w:t>
      </w:r>
      <w:r w:rsidRPr="00C62596">
        <w:rPr>
          <w:rFonts w:ascii="Times New Roman" w:eastAsia="Times New Roman" w:hAnsi="Times New Roman" w:cs="Times New Roman"/>
          <w:b/>
          <w:bCs/>
        </w:rPr>
        <w:t xml:space="preserve"> </w:t>
      </w:r>
      <w:r w:rsidRPr="00176565">
        <w:rPr>
          <w:rFonts w:ascii="Times New Roman" w:eastAsia="Times New Roman" w:hAnsi="Times New Roman" w:cs="Times New Roman"/>
          <w:bCs/>
          <w:i/>
        </w:rPr>
        <w:t>(Vehicle communication capabilities, technologies.)</w:t>
      </w:r>
    </w:p>
    <w:p w:rsidR="00C62596" w:rsidRPr="00176565" w:rsidRDefault="00C62596" w:rsidP="00980876">
      <w:pPr>
        <w:widowControl w:val="0"/>
        <w:numPr>
          <w:ilvl w:val="1"/>
          <w:numId w:val="536"/>
        </w:numPr>
        <w:tabs>
          <w:tab w:val="clear" w:pos="3977"/>
        </w:tabs>
        <w:spacing w:before="120" w:after="120" w:line="240" w:lineRule="auto"/>
        <w:ind w:left="993" w:hanging="567"/>
        <w:jc w:val="both"/>
        <w:rPr>
          <w:rFonts w:ascii="Times New Roman" w:eastAsia="Times New Roman" w:hAnsi="Times New Roman" w:cs="Times New Roman"/>
          <w:bCs/>
          <w:i/>
        </w:rPr>
      </w:pPr>
      <w:r w:rsidRPr="00C62596">
        <w:rPr>
          <w:rFonts w:ascii="Times New Roman" w:eastAsia="Times New Roman" w:hAnsi="Times New Roman" w:cs="Times New Roman"/>
          <w:bCs/>
        </w:rPr>
        <w:t>Az intelligens közlekedési rendszer meghatározása, a jármű környezetében megtalálható rendszerek, azok jellemzése.</w:t>
      </w:r>
      <w:r w:rsidRPr="00C62596">
        <w:rPr>
          <w:rFonts w:ascii="Times New Roman" w:eastAsia="Times New Roman" w:hAnsi="Times New Roman" w:cs="Times New Roman"/>
          <w:b/>
          <w:bCs/>
        </w:rPr>
        <w:t xml:space="preserve"> </w:t>
      </w:r>
      <w:r w:rsidRPr="00176565">
        <w:rPr>
          <w:rFonts w:ascii="Times New Roman" w:eastAsia="Times New Roman" w:hAnsi="Times New Roman" w:cs="Times New Roman"/>
          <w:bCs/>
          <w:i/>
        </w:rPr>
        <w:t>(Definition of intelligent transport system, systems in the vehicle environment, their characterization.)</w:t>
      </w:r>
    </w:p>
    <w:p w:rsidR="00C62596" w:rsidRPr="00176565" w:rsidRDefault="00C62596" w:rsidP="00980876">
      <w:pPr>
        <w:widowControl w:val="0"/>
        <w:numPr>
          <w:ilvl w:val="1"/>
          <w:numId w:val="536"/>
        </w:numPr>
        <w:tabs>
          <w:tab w:val="clear" w:pos="3977"/>
        </w:tabs>
        <w:spacing w:before="120" w:after="120" w:line="240" w:lineRule="auto"/>
        <w:ind w:left="993" w:hanging="567"/>
        <w:jc w:val="both"/>
        <w:rPr>
          <w:rFonts w:ascii="Times New Roman" w:eastAsia="Times New Roman" w:hAnsi="Times New Roman" w:cs="Times New Roman"/>
          <w:bCs/>
          <w:i/>
        </w:rPr>
      </w:pPr>
      <w:r w:rsidRPr="00C62596">
        <w:rPr>
          <w:rFonts w:ascii="Times New Roman" w:eastAsia="Times New Roman" w:hAnsi="Times New Roman" w:cs="Times New Roman"/>
          <w:bCs/>
        </w:rPr>
        <w:t>Jármű és környezete közötti kommunikáció.</w:t>
      </w:r>
      <w:r w:rsidRPr="00C62596">
        <w:rPr>
          <w:rFonts w:ascii="Times New Roman" w:eastAsia="Times New Roman" w:hAnsi="Times New Roman" w:cs="Times New Roman"/>
          <w:b/>
          <w:bCs/>
        </w:rPr>
        <w:t xml:space="preserve"> </w:t>
      </w:r>
      <w:r w:rsidRPr="00176565">
        <w:rPr>
          <w:rFonts w:ascii="Times New Roman" w:eastAsia="Times New Roman" w:hAnsi="Times New Roman" w:cs="Times New Roman"/>
          <w:bCs/>
          <w:i/>
        </w:rPr>
        <w:t>(Communication between vehicle and its environment.)</w:t>
      </w:r>
    </w:p>
    <w:p w:rsidR="00C62596" w:rsidRPr="00C62596" w:rsidRDefault="00C62596" w:rsidP="00980876">
      <w:pPr>
        <w:widowControl w:val="0"/>
        <w:numPr>
          <w:ilvl w:val="0"/>
          <w:numId w:val="536"/>
        </w:numPr>
        <w:tabs>
          <w:tab w:val="num" w:pos="360"/>
        </w:tabs>
        <w:spacing w:before="120" w:after="120" w:line="240" w:lineRule="auto"/>
        <w:ind w:left="426" w:hanging="142"/>
        <w:jc w:val="both"/>
        <w:rPr>
          <w:rFonts w:ascii="Times New Roman" w:eastAsia="Times New Roman" w:hAnsi="Times New Roman" w:cs="Times New Roman"/>
          <w:bCs/>
        </w:rPr>
      </w:pPr>
      <w:r w:rsidRPr="00C62596">
        <w:rPr>
          <w:rFonts w:ascii="Times New Roman" w:eastAsia="Times New Roman" w:hAnsi="Times New Roman" w:cs="Times New Roman"/>
          <w:b/>
          <w:bCs/>
        </w:rPr>
        <w:t xml:space="preserve">A tantárgy meghirdetésének gyakorisága/a tantervben történő félévi elhelyezkedése: </w:t>
      </w:r>
      <w:r w:rsidRPr="00C62596">
        <w:rPr>
          <w:rFonts w:ascii="Times New Roman" w:eastAsia="Times New Roman" w:hAnsi="Times New Roman" w:cs="Times New Roman"/>
          <w:bCs/>
        </w:rPr>
        <w:t>7. félév</w:t>
      </w:r>
    </w:p>
    <w:p w:rsidR="00C62596" w:rsidRPr="00176565" w:rsidRDefault="00C62596" w:rsidP="00980876">
      <w:pPr>
        <w:widowControl w:val="0"/>
        <w:numPr>
          <w:ilvl w:val="0"/>
          <w:numId w:val="536"/>
        </w:numPr>
        <w:tabs>
          <w:tab w:val="num" w:pos="360"/>
        </w:tabs>
        <w:spacing w:before="120" w:after="120" w:line="240" w:lineRule="auto"/>
        <w:ind w:left="426" w:hanging="142"/>
        <w:jc w:val="both"/>
        <w:rPr>
          <w:rFonts w:ascii="Times New Roman" w:eastAsia="Times New Roman" w:hAnsi="Times New Roman" w:cs="Times New Roman"/>
          <w:bCs/>
          <w:highlight w:val="lightGray"/>
        </w:rPr>
      </w:pPr>
      <w:r w:rsidRPr="00176565">
        <w:rPr>
          <w:rFonts w:ascii="Times New Roman" w:eastAsia="Times New Roman" w:hAnsi="Times New Roman" w:cs="Times New Roman"/>
          <w:b/>
          <w:bCs/>
        </w:rPr>
        <w:lastRenderedPageBreak/>
        <w:t>A tanórákon való részvétel követelményei, az elfogadható hiányzások mértéke, a távolmaradás pótlásának lehetősége:</w:t>
      </w:r>
      <w:r w:rsidRPr="00176565">
        <w:rPr>
          <w:rFonts w:ascii="Times New Roman" w:eastAsia="Times New Roman" w:hAnsi="Times New Roman" w:cs="Times New Roman"/>
          <w:bCs/>
        </w:rPr>
        <w:t xml:space="preserve"> </w:t>
      </w:r>
      <w:r w:rsidRPr="00176565">
        <w:rPr>
          <w:rFonts w:ascii="Times New Roman" w:eastAsia="Times New Roman" w:hAnsi="Times New Roman" w:cs="Times New Roman"/>
          <w:bCs/>
          <w:sz w:val="24"/>
          <w:szCs w:val="24"/>
          <w:lang w:eastAsia="hu-HU"/>
        </w:rPr>
        <w:t>A tanórákon való részvétel kötelező, megengedett hiányzás mértéke 25%. Hiányzás esetén órapótlásra nincs lehetőség, a hallgató az előadás anyagát önállóan pótolja. A 25%-ot meghaladó hiányzás az aláírás megtagadását vonja maga után.</w:t>
      </w:r>
    </w:p>
    <w:p w:rsidR="00C62596" w:rsidRPr="00176565" w:rsidRDefault="00C62596" w:rsidP="00980876">
      <w:pPr>
        <w:widowControl w:val="0"/>
        <w:numPr>
          <w:ilvl w:val="0"/>
          <w:numId w:val="536"/>
        </w:numPr>
        <w:tabs>
          <w:tab w:val="num" w:pos="360"/>
        </w:tabs>
        <w:spacing w:before="120" w:after="120" w:line="240" w:lineRule="auto"/>
        <w:ind w:left="426" w:hanging="142"/>
        <w:jc w:val="both"/>
        <w:rPr>
          <w:rFonts w:ascii="Times New Roman" w:eastAsia="Calibri" w:hAnsi="Times New Roman" w:cs="Calibri"/>
          <w:lang w:val="x-none" w:eastAsia="x-none"/>
        </w:rPr>
      </w:pPr>
      <w:r w:rsidRPr="00176565">
        <w:rPr>
          <w:rFonts w:ascii="Times New Roman" w:eastAsia="Times New Roman" w:hAnsi="Times New Roman" w:cs="Times New Roman"/>
          <w:b/>
        </w:rPr>
        <w:t>Félévközi feladatok, ismeretek ellenőrzésének rendje:</w:t>
      </w:r>
      <w:r w:rsidRPr="00176565">
        <w:rPr>
          <w:rFonts w:ascii="Times New Roman" w:eastAsia="Times New Roman" w:hAnsi="Times New Roman" w:cs="Times New Roman"/>
          <w:bCs/>
        </w:rPr>
        <w:t xml:space="preserve"> </w:t>
      </w:r>
      <w:r w:rsidRPr="00176565">
        <w:rPr>
          <w:rFonts w:ascii="Times New Roman" w:eastAsia="Calibri" w:hAnsi="Times New Roman" w:cs="Calibri"/>
          <w:lang w:val="x-none" w:eastAsia="x-none"/>
        </w:rPr>
        <w:t xml:space="preserve">A félév során </w:t>
      </w:r>
      <w:r w:rsidRPr="00176565">
        <w:rPr>
          <w:rFonts w:ascii="Times New Roman" w:eastAsia="Calibri" w:hAnsi="Times New Roman" w:cs="Calibri"/>
          <w:lang w:eastAsia="x-none"/>
        </w:rPr>
        <w:t>egy</w:t>
      </w:r>
      <w:r w:rsidRPr="00176565">
        <w:rPr>
          <w:rFonts w:ascii="Times New Roman" w:eastAsia="Calibri" w:hAnsi="Times New Roman" w:cs="Calibri"/>
          <w:lang w:val="x-none" w:eastAsia="x-none"/>
        </w:rPr>
        <w:t xml:space="preserve"> házi feladatot kell elkészíteni minimálisan 10-10 oldal</w:t>
      </w:r>
      <w:r w:rsidRPr="00176565">
        <w:rPr>
          <w:rFonts w:ascii="Times New Roman" w:eastAsia="Calibri" w:hAnsi="Times New Roman" w:cs="Calibri"/>
          <w:b/>
          <w:lang w:val="x-none" w:eastAsia="x-none"/>
        </w:rPr>
        <w:t xml:space="preserve"> </w:t>
      </w:r>
      <w:r w:rsidRPr="00176565">
        <w:rPr>
          <w:rFonts w:ascii="Times New Roman" w:eastAsia="Calibri" w:hAnsi="Times New Roman" w:cs="Calibri"/>
          <w:lang w:val="x-none" w:eastAsia="x-none"/>
        </w:rPr>
        <w:t>terjedelemben, a szakdolgozatnak megfelelő formai követelményekkel</w:t>
      </w:r>
      <w:r w:rsidRPr="00176565">
        <w:rPr>
          <w:rFonts w:ascii="Times New Roman" w:eastAsia="Calibri" w:hAnsi="Times New Roman" w:cs="Calibri"/>
          <w:lang w:eastAsia="x-none"/>
        </w:rPr>
        <w:t xml:space="preserve"> </w:t>
      </w:r>
      <w:r w:rsidRPr="00176565">
        <w:rPr>
          <w:rFonts w:ascii="Times New Roman" w:eastAsia="Calibri" w:hAnsi="Times New Roman" w:cs="Calibri"/>
        </w:rPr>
        <w:t>(TVSZ 5. melléklet)</w:t>
      </w:r>
      <w:r w:rsidRPr="00176565">
        <w:rPr>
          <w:rFonts w:ascii="Times New Roman" w:eastAsia="Calibri" w:hAnsi="Times New Roman" w:cs="Calibri"/>
          <w:lang w:val="x-none" w:eastAsia="x-none"/>
        </w:rPr>
        <w:t xml:space="preserve">. </w:t>
      </w:r>
      <w:r w:rsidRPr="00176565">
        <w:rPr>
          <w:rFonts w:ascii="Times New Roman" w:eastAsia="Calibri" w:hAnsi="Times New Roman" w:cs="Calibri"/>
          <w:lang w:eastAsia="x-none"/>
        </w:rPr>
        <w:t xml:space="preserve">A 10 oldal terjedelembe a bevezető, a fő rész és a befejezés tartozik csak. </w:t>
      </w:r>
      <w:r w:rsidRPr="00176565">
        <w:rPr>
          <w:rFonts w:ascii="Times New Roman" w:eastAsia="Calibri" w:hAnsi="Times New Roman" w:cs="Calibri"/>
          <w:lang w:val="x-none" w:eastAsia="x-none"/>
        </w:rPr>
        <w:t>Az írásbeli munka témáját a hallgató választja</w:t>
      </w:r>
      <w:r w:rsidRPr="00176565">
        <w:rPr>
          <w:rFonts w:ascii="Times New Roman" w:eastAsia="Calibri" w:hAnsi="Times New Roman" w:cs="Calibri"/>
          <w:lang w:eastAsia="x-none"/>
        </w:rPr>
        <w:t>,</w:t>
      </w:r>
      <w:r w:rsidRPr="00176565">
        <w:rPr>
          <w:rFonts w:ascii="Times New Roman" w:eastAsia="Calibri" w:hAnsi="Times New Roman" w:cs="Calibri"/>
          <w:lang w:val="x-none" w:eastAsia="x-none"/>
        </w:rPr>
        <w:t xml:space="preserve"> a kurzus oktatója </w:t>
      </w:r>
      <w:r w:rsidRPr="00176565">
        <w:rPr>
          <w:rFonts w:ascii="Times New Roman" w:eastAsia="Calibri" w:hAnsi="Times New Roman" w:cs="Calibri"/>
          <w:lang w:eastAsia="x-none"/>
        </w:rPr>
        <w:t>jóváhagyja</w:t>
      </w:r>
      <w:r w:rsidRPr="00176565">
        <w:rPr>
          <w:rFonts w:ascii="Times New Roman" w:eastAsia="Calibri" w:hAnsi="Times New Roman" w:cs="Calibri"/>
          <w:lang w:val="x-none" w:eastAsia="x-none"/>
        </w:rPr>
        <w:t xml:space="preserve">. A szorgalmi időszakban a beadási határidőig leadott feladat </w:t>
      </w:r>
      <w:r w:rsidRPr="00176565">
        <w:rPr>
          <w:rFonts w:ascii="Times New Roman" w:eastAsia="Calibri" w:hAnsi="Times New Roman" w:cs="Calibri"/>
          <w:lang w:eastAsia="x-none"/>
        </w:rPr>
        <w:t>ötfokozatú skálán értékelendő</w:t>
      </w:r>
      <w:r w:rsidRPr="00176565">
        <w:rPr>
          <w:rFonts w:ascii="Times New Roman" w:eastAsia="Calibri" w:hAnsi="Times New Roman" w:cs="Calibri"/>
          <w:lang w:val="x-none" w:eastAsia="x-none"/>
        </w:rPr>
        <w:t>, azt javítani a vizsgaidőszak első hetén egy alkalommal lehet.</w:t>
      </w:r>
    </w:p>
    <w:p w:rsidR="00C62596" w:rsidRPr="00C62596" w:rsidRDefault="00C62596" w:rsidP="00C62596">
      <w:pPr>
        <w:widowControl w:val="0"/>
        <w:spacing w:before="120" w:after="120" w:line="240" w:lineRule="auto"/>
        <w:ind w:left="426"/>
        <w:jc w:val="both"/>
        <w:rPr>
          <w:rFonts w:ascii="Calibri" w:eastAsia="Times New Roman" w:hAnsi="Calibri" w:cs="Times New Roman"/>
          <w:lang w:eastAsia="x-none"/>
        </w:rPr>
      </w:pPr>
      <w:r w:rsidRPr="00C62596">
        <w:rPr>
          <w:rFonts w:ascii="Times New Roman" w:eastAsia="Calibri" w:hAnsi="Times New Roman" w:cs="Calibri"/>
        </w:rPr>
        <w:t>A félév során a hallgatónak egy előadást kell megtartania a hallgató által választott, az oktató által jóváhagyott témában és az általa meghatározott időpontban. Az előadás hossza kb. 25-30 perc, amelyet az oktató érdemjeggyel (öt fokozatú értékelés) értékel. Az elmaradt kiselőadást pótolni csak a hallgató igazolt távolmaradása esetén lehet egy alkalommal az oktató által kijelölt új időpontban, ami nem eshet a szorgalmi időszakon kívülre</w:t>
      </w:r>
      <w:r w:rsidRPr="00C62596">
        <w:rPr>
          <w:rFonts w:ascii="Times New Roman" w:eastAsia="Calibri" w:hAnsi="Times New Roman" w:cs="Times New Roman"/>
        </w:rPr>
        <w:t>.</w:t>
      </w:r>
      <w:r w:rsidRPr="00C62596">
        <w:rPr>
          <w:rFonts w:ascii="Times New Roman" w:eastAsia="Times New Roman" w:hAnsi="Times New Roman" w:cs="Times New Roman"/>
          <w:lang w:eastAsia="x-none"/>
        </w:rPr>
        <w:t xml:space="preserve"> A nem megfelelő színvonalon megtartott előadás nem pótolható.</w:t>
      </w:r>
    </w:p>
    <w:p w:rsidR="00C62596" w:rsidRPr="00C62596" w:rsidRDefault="00C62596" w:rsidP="00980876">
      <w:pPr>
        <w:widowControl w:val="0"/>
        <w:numPr>
          <w:ilvl w:val="0"/>
          <w:numId w:val="536"/>
        </w:numPr>
        <w:spacing w:before="120" w:after="120" w:line="240" w:lineRule="auto"/>
        <w:ind w:left="426" w:hanging="142"/>
        <w:jc w:val="both"/>
        <w:rPr>
          <w:rFonts w:ascii="Times New Roman" w:eastAsia="Times New Roman" w:hAnsi="Times New Roman" w:cs="Times New Roman"/>
          <w:b/>
          <w:bCs/>
        </w:rPr>
      </w:pPr>
      <w:r w:rsidRPr="00C62596">
        <w:rPr>
          <w:rFonts w:ascii="Times New Roman" w:eastAsia="Times New Roman" w:hAnsi="Times New Roman" w:cs="Times New Roman"/>
          <w:b/>
          <w:bCs/>
        </w:rPr>
        <w:t xml:space="preserve">Az értékelés, az aláírás és a kreditek megszerzésének pontos feltételei: </w:t>
      </w:r>
    </w:p>
    <w:p w:rsidR="00C62596" w:rsidRPr="00176565" w:rsidRDefault="00C62596" w:rsidP="00980876">
      <w:pPr>
        <w:widowControl w:val="0"/>
        <w:numPr>
          <w:ilvl w:val="1"/>
          <w:numId w:val="536"/>
        </w:numPr>
        <w:tabs>
          <w:tab w:val="left" w:pos="709"/>
          <w:tab w:val="left" w:pos="993"/>
          <w:tab w:val="num" w:pos="2069"/>
        </w:tabs>
        <w:spacing w:before="120" w:after="120" w:line="240" w:lineRule="auto"/>
        <w:ind w:left="426" w:firstLine="0"/>
        <w:jc w:val="both"/>
        <w:rPr>
          <w:rFonts w:ascii="Times New Roman" w:eastAsia="Calibri" w:hAnsi="Times New Roman" w:cs="Calibri"/>
        </w:rPr>
      </w:pPr>
      <w:r w:rsidRPr="00176565">
        <w:rPr>
          <w:rFonts w:ascii="Times New Roman" w:eastAsia="Times New Roman" w:hAnsi="Times New Roman" w:cs="Times New Roman"/>
          <w:b/>
        </w:rPr>
        <w:t>Az aláírás megszerzésének feltételei:</w:t>
      </w:r>
      <w:r w:rsidRPr="00176565">
        <w:rPr>
          <w:rFonts w:ascii="Times New Roman" w:eastAsia="Times New Roman" w:hAnsi="Times New Roman" w:cs="Times New Roman"/>
        </w:rPr>
        <w:t xml:space="preserve"> </w:t>
      </w:r>
      <w:r w:rsidRPr="00176565">
        <w:rPr>
          <w:rFonts w:ascii="Times New Roman" w:eastAsia="Calibri" w:hAnsi="Times New Roman" w:cs="Calibri"/>
        </w:rPr>
        <w:t>Az aláírás megszerzésnek feltétele a beadandó házi feladat legalább elégséges szintű teljesítése, a kiselőadás határidőn belül történő és minimálisan elégséges szintű megtartása, illetve a tanórák legalább 75%-án való megjelenés.</w:t>
      </w:r>
    </w:p>
    <w:p w:rsidR="00C62596" w:rsidRPr="00176565" w:rsidRDefault="00C62596" w:rsidP="00980876">
      <w:pPr>
        <w:widowControl w:val="0"/>
        <w:numPr>
          <w:ilvl w:val="1"/>
          <w:numId w:val="536"/>
        </w:numPr>
        <w:tabs>
          <w:tab w:val="left" w:pos="709"/>
          <w:tab w:val="left" w:pos="993"/>
          <w:tab w:val="num" w:pos="2069"/>
        </w:tabs>
        <w:spacing w:before="120" w:after="120" w:line="240" w:lineRule="auto"/>
        <w:ind w:left="426" w:firstLine="0"/>
        <w:jc w:val="both"/>
        <w:rPr>
          <w:rFonts w:ascii="Times New Roman" w:eastAsia="Calibri" w:hAnsi="Times New Roman" w:cs="Times New Roman"/>
          <w:b/>
        </w:rPr>
      </w:pPr>
      <w:r w:rsidRPr="00176565">
        <w:rPr>
          <w:rFonts w:ascii="Times New Roman" w:eastAsia="Times New Roman" w:hAnsi="Times New Roman" w:cs="Times New Roman"/>
          <w:b/>
        </w:rPr>
        <w:t>Az értékelés:</w:t>
      </w:r>
      <w:r w:rsidRPr="00176565">
        <w:rPr>
          <w:rFonts w:ascii="Times New Roman" w:eastAsia="Times New Roman" w:hAnsi="Times New Roman" w:cs="Times New Roman"/>
        </w:rPr>
        <w:t xml:space="preserve"> </w:t>
      </w:r>
      <w:r w:rsidRPr="00176565">
        <w:rPr>
          <w:rFonts w:ascii="Times New Roman" w:eastAsia="Calibri" w:hAnsi="Times New Roman" w:cs="Calibri"/>
        </w:rPr>
        <w:t xml:space="preserve">A tantárgy </w:t>
      </w:r>
      <w:r w:rsidRPr="00176565">
        <w:rPr>
          <w:rFonts w:ascii="Times New Roman" w:eastAsia="Calibri" w:hAnsi="Times New Roman" w:cs="Calibri"/>
          <w:b/>
        </w:rPr>
        <w:t>félévközi jeggyel</w:t>
      </w:r>
      <w:r w:rsidRPr="00176565">
        <w:rPr>
          <w:rFonts w:ascii="Times New Roman" w:eastAsia="Calibri" w:hAnsi="Times New Roman" w:cs="Calibri"/>
        </w:rPr>
        <w:t xml:space="preserve"> zárul, amely a beadott házi feladatra és az előadásra kapott osztályzat alapján kerül meghatározásra. Kétes jegy esetén (pl. 3,5) a kiselőadás jegyét súlyozottan kell beszámítani. Ha a beadandó feladat pótlás után is elégtelen, vagy a hallgató az előírt időpontban az előadását önhibájából nem tudja megtartani, illetve az előadás színvonala nem megfelelő, akkor a tantárgyat nem teljesítettnek kell tekinteni.</w:t>
      </w:r>
    </w:p>
    <w:p w:rsidR="00C62596" w:rsidRPr="00176565" w:rsidRDefault="00C62596" w:rsidP="00980876">
      <w:pPr>
        <w:widowControl w:val="0"/>
        <w:numPr>
          <w:ilvl w:val="1"/>
          <w:numId w:val="536"/>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176565">
        <w:rPr>
          <w:rFonts w:ascii="Times New Roman" w:eastAsia="Times New Roman" w:hAnsi="Times New Roman" w:cs="Times New Roman"/>
          <w:b/>
        </w:rPr>
        <w:t>A kreditek megszerzésének feltételei:</w:t>
      </w:r>
      <w:r w:rsidRPr="00176565">
        <w:rPr>
          <w:rFonts w:ascii="Times New Roman" w:eastAsia="Times New Roman" w:hAnsi="Times New Roman" w:cs="Times New Roman"/>
        </w:rPr>
        <w:t xml:space="preserve"> A kreditek megszerzésének feltétele az aláírás megszerzése és legalább elégséges félévközi jegy.</w:t>
      </w:r>
    </w:p>
    <w:p w:rsidR="00C62596" w:rsidRPr="00C62596" w:rsidRDefault="00C62596" w:rsidP="00980876">
      <w:pPr>
        <w:widowControl w:val="0"/>
        <w:numPr>
          <w:ilvl w:val="0"/>
          <w:numId w:val="536"/>
        </w:numPr>
        <w:tabs>
          <w:tab w:val="num" w:pos="360"/>
        </w:tabs>
        <w:spacing w:before="120" w:after="120" w:line="240" w:lineRule="auto"/>
        <w:ind w:left="426" w:hanging="142"/>
        <w:jc w:val="both"/>
        <w:rPr>
          <w:rFonts w:ascii="Times New Roman" w:eastAsia="Times New Roman" w:hAnsi="Times New Roman" w:cs="Times New Roman"/>
          <w:bCs/>
        </w:rPr>
      </w:pPr>
      <w:r w:rsidRPr="00C62596">
        <w:rPr>
          <w:rFonts w:ascii="Times New Roman" w:eastAsia="Times New Roman" w:hAnsi="Times New Roman" w:cs="Times New Roman"/>
          <w:b/>
          <w:bCs/>
        </w:rPr>
        <w:t>Irodalomjegyzék:</w:t>
      </w:r>
    </w:p>
    <w:p w:rsidR="00C62596" w:rsidRPr="00C62596" w:rsidRDefault="00C62596" w:rsidP="00980876">
      <w:pPr>
        <w:widowControl w:val="0"/>
        <w:numPr>
          <w:ilvl w:val="1"/>
          <w:numId w:val="536"/>
        </w:numPr>
        <w:tabs>
          <w:tab w:val="left" w:pos="567"/>
          <w:tab w:val="left" w:pos="851"/>
          <w:tab w:val="num" w:pos="2069"/>
        </w:tabs>
        <w:spacing w:before="120" w:after="120" w:line="240" w:lineRule="auto"/>
        <w:ind w:left="426" w:hanging="142"/>
        <w:jc w:val="both"/>
        <w:rPr>
          <w:rFonts w:ascii="Times New Roman" w:eastAsia="Times New Roman" w:hAnsi="Times New Roman" w:cs="Times New Roman"/>
          <w:bCs/>
        </w:rPr>
      </w:pPr>
      <w:r w:rsidRPr="00C62596">
        <w:rPr>
          <w:rFonts w:ascii="Times New Roman" w:eastAsia="Times New Roman" w:hAnsi="Times New Roman" w:cs="Times New Roman"/>
          <w:b/>
          <w:bCs/>
        </w:rPr>
        <w:t>Kötelező irodalom:</w:t>
      </w:r>
    </w:p>
    <w:p w:rsidR="00977418" w:rsidRPr="00977418" w:rsidRDefault="00977418" w:rsidP="00980876">
      <w:pPr>
        <w:numPr>
          <w:ilvl w:val="0"/>
          <w:numId w:val="537"/>
        </w:numPr>
        <w:spacing w:after="0" w:line="240" w:lineRule="auto"/>
        <w:ind w:left="709"/>
        <w:contextualSpacing/>
        <w:rPr>
          <w:rFonts w:ascii="Times New Roman" w:eastAsia="Times New Roman" w:hAnsi="Times New Roman" w:cs="Times New Roman"/>
          <w:lang w:eastAsia="hu-HU"/>
        </w:rPr>
      </w:pPr>
      <w:r w:rsidRPr="00977418">
        <w:rPr>
          <w:rFonts w:ascii="Times New Roman" w:eastAsia="Times New Roman" w:hAnsi="Times New Roman" w:cs="Times New Roman"/>
          <w:lang w:eastAsia="hu-HU"/>
        </w:rPr>
        <w:t>Csiszár, Cs.–Sándor, Zs. (2014) Közlekedési informatika, Budapesti Műszaki Egyetem (jegyzet).</w:t>
      </w:r>
    </w:p>
    <w:p w:rsidR="00C62596" w:rsidRPr="00977418" w:rsidRDefault="00C62596" w:rsidP="00980876">
      <w:pPr>
        <w:numPr>
          <w:ilvl w:val="0"/>
          <w:numId w:val="537"/>
        </w:numPr>
        <w:spacing w:after="0" w:line="240" w:lineRule="auto"/>
        <w:ind w:left="709"/>
        <w:contextualSpacing/>
        <w:jc w:val="both"/>
        <w:rPr>
          <w:rFonts w:ascii="Times New Roman" w:eastAsia="Calibri" w:hAnsi="Times New Roman" w:cs="Times New Roman"/>
        </w:rPr>
      </w:pPr>
      <w:r w:rsidRPr="00977418">
        <w:rPr>
          <w:rFonts w:ascii="Times New Roman" w:eastAsia="Calibri" w:hAnsi="Times New Roman" w:cs="Calibri"/>
        </w:rPr>
        <w:t>Oláh Ferenc: Járműazonosító és helymeghatározó rendszerek (SZIF-UNIVERSITAS Kft., Győr, 1999.)</w:t>
      </w:r>
    </w:p>
    <w:p w:rsidR="00C62596" w:rsidRPr="00977418" w:rsidRDefault="00C62596" w:rsidP="00980876">
      <w:pPr>
        <w:numPr>
          <w:ilvl w:val="0"/>
          <w:numId w:val="537"/>
        </w:numPr>
        <w:spacing w:after="0" w:line="240" w:lineRule="auto"/>
        <w:ind w:left="709"/>
        <w:contextualSpacing/>
        <w:jc w:val="both"/>
        <w:rPr>
          <w:rFonts w:ascii="Times New Roman" w:eastAsia="Calibri" w:hAnsi="Times New Roman" w:cs="Calibri"/>
          <w:highlight w:val="yellow"/>
        </w:rPr>
      </w:pPr>
      <w:r w:rsidRPr="00977418">
        <w:rPr>
          <w:rFonts w:ascii="Times New Roman" w:eastAsia="Calibri" w:hAnsi="Times New Roman" w:cs="Calibri"/>
          <w:highlight w:val="yellow"/>
        </w:rPr>
        <w:t>Csiszár Csaba, Földes Dávid, Csonka Bálint: Közl</w:t>
      </w:r>
      <w:r w:rsidR="00977418" w:rsidRPr="00977418">
        <w:rPr>
          <w:rFonts w:ascii="Times New Roman" w:eastAsia="Calibri" w:hAnsi="Times New Roman" w:cs="Calibri"/>
          <w:highlight w:val="yellow"/>
        </w:rPr>
        <w:t xml:space="preserve">ekedési információs rendszerek </w:t>
      </w:r>
      <w:r w:rsidR="00977418">
        <w:rPr>
          <w:rFonts w:ascii="Times New Roman" w:eastAsia="Calibri" w:hAnsi="Times New Roman" w:cs="Calibri"/>
          <w:highlight w:val="yellow"/>
        </w:rPr>
        <w:t>(digitális tankönyv)</w:t>
      </w:r>
    </w:p>
    <w:p w:rsidR="00C62596" w:rsidRPr="00977418" w:rsidRDefault="00C62596" w:rsidP="00980876">
      <w:pPr>
        <w:widowControl w:val="0"/>
        <w:numPr>
          <w:ilvl w:val="1"/>
          <w:numId w:val="536"/>
        </w:numPr>
        <w:tabs>
          <w:tab w:val="num" w:pos="567"/>
          <w:tab w:val="num" w:pos="2069"/>
        </w:tabs>
        <w:spacing w:before="120" w:after="120" w:line="240" w:lineRule="auto"/>
        <w:ind w:left="993" w:hanging="709"/>
        <w:jc w:val="both"/>
        <w:rPr>
          <w:rFonts w:ascii="Times New Roman" w:eastAsia="Times New Roman" w:hAnsi="Times New Roman" w:cs="Times New Roman"/>
          <w:b/>
          <w:bCs/>
        </w:rPr>
      </w:pPr>
      <w:r w:rsidRPr="00977418">
        <w:rPr>
          <w:rFonts w:ascii="Times New Roman" w:eastAsia="Times New Roman" w:hAnsi="Times New Roman" w:cs="Times New Roman"/>
          <w:b/>
          <w:bCs/>
        </w:rPr>
        <w:t>Ajánlott irodalom:</w:t>
      </w:r>
    </w:p>
    <w:p w:rsidR="00C62596" w:rsidRPr="00977418" w:rsidRDefault="00C62596" w:rsidP="00980876">
      <w:pPr>
        <w:numPr>
          <w:ilvl w:val="0"/>
          <w:numId w:val="535"/>
        </w:numPr>
        <w:spacing w:after="0" w:line="240" w:lineRule="auto"/>
        <w:ind w:left="709"/>
        <w:contextualSpacing/>
        <w:jc w:val="both"/>
        <w:rPr>
          <w:rFonts w:ascii="Times New Roman" w:eastAsia="Calibri" w:hAnsi="Times New Roman" w:cs="Times New Roman"/>
        </w:rPr>
      </w:pPr>
      <w:r w:rsidRPr="00977418">
        <w:rPr>
          <w:rFonts w:ascii="Times New Roman" w:eastAsia="Calibri" w:hAnsi="Times New Roman" w:cs="Times New Roman"/>
        </w:rPr>
        <w:t>A. L.C. Bazzan, F. Klügl, Introduction to Intelligent Systems in Traffic and Transportation, Morgan &amp; Claypool Pub., 2013.</w:t>
      </w:r>
    </w:p>
    <w:p w:rsidR="00C62596" w:rsidRPr="00977418" w:rsidRDefault="00C62596" w:rsidP="00980876">
      <w:pPr>
        <w:numPr>
          <w:ilvl w:val="0"/>
          <w:numId w:val="535"/>
        </w:numPr>
        <w:spacing w:after="0" w:line="240" w:lineRule="auto"/>
        <w:ind w:left="709"/>
        <w:contextualSpacing/>
        <w:jc w:val="both"/>
        <w:rPr>
          <w:rFonts w:ascii="Times New Roman" w:eastAsia="Calibri" w:hAnsi="Times New Roman" w:cs="Times New Roman"/>
        </w:rPr>
      </w:pPr>
      <w:r w:rsidRPr="00977418">
        <w:rPr>
          <w:rFonts w:ascii="Times New Roman" w:eastAsia="Calibri" w:hAnsi="Times New Roman" w:cs="Times New Roman"/>
        </w:rPr>
        <w:t>H. Zhu, M. Li, Studies on Urban Vehicular Ad-hoc Networks, Springer, 2013.</w:t>
      </w:r>
    </w:p>
    <w:p w:rsidR="00176565" w:rsidRDefault="00176565" w:rsidP="00C62596">
      <w:pPr>
        <w:widowControl w:val="0"/>
        <w:spacing w:before="120" w:after="120" w:line="240" w:lineRule="auto"/>
        <w:jc w:val="both"/>
        <w:rPr>
          <w:rFonts w:ascii="Times New Roman" w:eastAsia="Times New Roman" w:hAnsi="Times New Roman" w:cs="Times New Roman"/>
          <w:bCs/>
        </w:rPr>
      </w:pPr>
    </w:p>
    <w:p w:rsidR="00C62596" w:rsidRPr="00C62596" w:rsidRDefault="00176565" w:rsidP="00116CB6">
      <w:pPr>
        <w:widowControl w:val="0"/>
        <w:spacing w:before="120" w:after="120" w:line="240" w:lineRule="auto"/>
        <w:ind w:firstLine="349"/>
        <w:jc w:val="both"/>
        <w:rPr>
          <w:rFonts w:ascii="Times New Roman" w:eastAsia="Times New Roman" w:hAnsi="Times New Roman" w:cs="Times New Roman"/>
          <w:bCs/>
        </w:rPr>
      </w:pPr>
      <w:r>
        <w:rPr>
          <w:rFonts w:ascii="Times New Roman" w:eastAsia="Times New Roman" w:hAnsi="Times New Roman" w:cs="Times New Roman"/>
          <w:bCs/>
        </w:rPr>
        <w:t>Budapest, 2020. március 30.</w:t>
      </w:r>
    </w:p>
    <w:p w:rsidR="00C62596" w:rsidRPr="00C62596" w:rsidRDefault="00C62596" w:rsidP="00C62596">
      <w:pPr>
        <w:tabs>
          <w:tab w:val="right" w:pos="900"/>
        </w:tabs>
        <w:spacing w:before="120"/>
        <w:ind w:left="1985" w:hanging="1980"/>
        <w:jc w:val="both"/>
        <w:rPr>
          <w:rFonts w:ascii="Times New Roman" w:eastAsia="Calibri" w:hAnsi="Times New Roman" w:cs="Times New Roman"/>
          <w:bCs/>
          <w:lang w:eastAsia="x-none"/>
        </w:rPr>
      </w:pPr>
    </w:p>
    <w:p w:rsidR="00C62596" w:rsidRPr="00C62596" w:rsidRDefault="00C62596" w:rsidP="00116CB6">
      <w:pPr>
        <w:tabs>
          <w:tab w:val="right" w:pos="900"/>
        </w:tabs>
        <w:spacing w:after="0"/>
        <w:ind w:left="4820"/>
        <w:jc w:val="center"/>
        <w:rPr>
          <w:rFonts w:ascii="Times New Roman" w:eastAsia="Calibri" w:hAnsi="Times New Roman" w:cs="Times New Roman"/>
          <w:bCs/>
          <w:lang w:val="x-none" w:eastAsia="x-none"/>
        </w:rPr>
      </w:pPr>
      <w:r w:rsidRPr="00C62596">
        <w:rPr>
          <w:rFonts w:ascii="Times New Roman" w:eastAsia="Calibri" w:hAnsi="Times New Roman" w:cs="Times New Roman"/>
          <w:b/>
          <w:lang w:eastAsia="x-none"/>
        </w:rPr>
        <w:t>Dr. Fábos Róbert adjunktus, PhD</w:t>
      </w:r>
    </w:p>
    <w:p w:rsidR="00C62596" w:rsidRPr="00C62596" w:rsidRDefault="00C62596" w:rsidP="00116CB6">
      <w:pPr>
        <w:spacing w:after="0"/>
        <w:ind w:left="4820"/>
        <w:jc w:val="center"/>
        <w:rPr>
          <w:rFonts w:ascii="Times New Roman" w:eastAsia="Calibri" w:hAnsi="Times New Roman" w:cs="Calibri"/>
        </w:rPr>
      </w:pPr>
      <w:r w:rsidRPr="00C62596">
        <w:rPr>
          <w:rFonts w:ascii="Times New Roman" w:eastAsia="Calibri" w:hAnsi="Times New Roman" w:cs="Times New Roman"/>
          <w:bCs/>
        </w:rPr>
        <w:t>tantárgyfelelős</w:t>
      </w:r>
    </w:p>
    <w:p w:rsidR="00176565" w:rsidRDefault="00176565">
      <w:pPr>
        <w:spacing w:after="200" w:line="276" w:lineRule="auto"/>
        <w:rPr>
          <w:rFonts w:ascii="Times New Roman" w:hAnsi="Times New Roman" w:cs="Times New Roman"/>
        </w:rPr>
      </w:pPr>
      <w:r>
        <w:rPr>
          <w:rFonts w:ascii="Times New Roman" w:hAnsi="Times New Roman" w:cs="Times New Roman"/>
        </w:rPr>
        <w:br w:type="page"/>
      </w:r>
    </w:p>
    <w:tbl>
      <w:tblPr>
        <w:tblW w:w="9072" w:type="dxa"/>
        <w:tblInd w:w="113" w:type="dxa"/>
        <w:tblLook w:val="01E0" w:firstRow="1" w:lastRow="1" w:firstColumn="1" w:lastColumn="1" w:noHBand="0" w:noVBand="0"/>
      </w:tblPr>
      <w:tblGrid>
        <w:gridCol w:w="4855"/>
        <w:gridCol w:w="1620"/>
        <w:gridCol w:w="2597"/>
      </w:tblGrid>
      <w:tr w:rsidR="00CF20B5" w:rsidRPr="00CF20B5" w:rsidTr="00CF20B5">
        <w:tc>
          <w:tcPr>
            <w:tcW w:w="4855" w:type="dxa"/>
            <w:tcBorders>
              <w:bottom w:val="single" w:sz="4" w:space="0" w:color="auto"/>
            </w:tcBorders>
          </w:tcPr>
          <w:p w:rsidR="00CF20B5" w:rsidRPr="00CF20B5" w:rsidRDefault="00CF20B5" w:rsidP="00CF20B5">
            <w:pPr>
              <w:spacing w:after="0" w:line="240" w:lineRule="auto"/>
              <w:jc w:val="center"/>
              <w:rPr>
                <w:rFonts w:ascii="Times New Roman" w:eastAsia="Times New Roman" w:hAnsi="Times New Roman" w:cs="Times New Roman"/>
                <w:b/>
                <w:smallCaps/>
                <w:lang w:eastAsia="hu-HU"/>
              </w:rPr>
            </w:pPr>
            <w:r w:rsidRPr="00CF20B5">
              <w:rPr>
                <w:rFonts w:ascii="Times New Roman" w:eastAsia="Times New Roman" w:hAnsi="Times New Roman" w:cs="Times New Roman"/>
                <w:b/>
                <w:smallCaps/>
                <w:lang w:eastAsia="hu-HU"/>
              </w:rPr>
              <w:lastRenderedPageBreak/>
              <w:t>Nemzeti Közszolgálati Egyetem</w:t>
            </w:r>
          </w:p>
        </w:tc>
        <w:tc>
          <w:tcPr>
            <w:tcW w:w="1620" w:type="dxa"/>
          </w:tcPr>
          <w:p w:rsidR="00CF20B5" w:rsidRPr="00CF20B5" w:rsidRDefault="00CF20B5" w:rsidP="00CF20B5">
            <w:pPr>
              <w:spacing w:after="0" w:line="240" w:lineRule="auto"/>
              <w:jc w:val="both"/>
              <w:rPr>
                <w:rFonts w:ascii="Times New Roman" w:eastAsia="Times New Roman" w:hAnsi="Times New Roman" w:cs="Times New Roman"/>
                <w:lang w:eastAsia="hu-HU"/>
              </w:rPr>
            </w:pPr>
          </w:p>
        </w:tc>
        <w:tc>
          <w:tcPr>
            <w:tcW w:w="2597" w:type="dxa"/>
          </w:tcPr>
          <w:p w:rsidR="00CF20B5" w:rsidRPr="00CF20B5" w:rsidRDefault="00CF20B5" w:rsidP="00CF20B5">
            <w:pPr>
              <w:spacing w:after="0" w:line="240" w:lineRule="auto"/>
              <w:jc w:val="right"/>
              <w:rPr>
                <w:rFonts w:ascii="Times New Roman" w:eastAsia="Times New Roman" w:hAnsi="Times New Roman" w:cs="Times New Roman"/>
                <w:lang w:eastAsia="hu-HU"/>
              </w:rPr>
            </w:pPr>
          </w:p>
        </w:tc>
      </w:tr>
      <w:tr w:rsidR="00CF20B5" w:rsidRPr="00CF20B5" w:rsidTr="00CF20B5">
        <w:tc>
          <w:tcPr>
            <w:tcW w:w="4855" w:type="dxa"/>
            <w:tcBorders>
              <w:top w:val="single" w:sz="4" w:space="0" w:color="auto"/>
            </w:tcBorders>
          </w:tcPr>
          <w:p w:rsidR="00CF20B5" w:rsidRPr="00CF20B5" w:rsidRDefault="00CF20B5" w:rsidP="00CF20B5">
            <w:pPr>
              <w:spacing w:after="0" w:line="240" w:lineRule="auto"/>
              <w:jc w:val="center"/>
              <w:rPr>
                <w:rFonts w:ascii="Times New Roman" w:eastAsia="Times New Roman" w:hAnsi="Times New Roman" w:cs="Times New Roman"/>
                <w:b/>
                <w:lang w:eastAsia="hu-HU"/>
              </w:rPr>
            </w:pPr>
            <w:r w:rsidRPr="00CF20B5">
              <w:rPr>
                <w:rFonts w:ascii="Times New Roman" w:eastAsia="Times New Roman" w:hAnsi="Times New Roman" w:cs="Times New Roman"/>
                <w:b/>
                <w:lang w:eastAsia="hu-HU"/>
              </w:rPr>
              <w:t>Hadtudományi és Honvédtisztképző Kar</w:t>
            </w:r>
          </w:p>
        </w:tc>
        <w:tc>
          <w:tcPr>
            <w:tcW w:w="1620" w:type="dxa"/>
          </w:tcPr>
          <w:p w:rsidR="00CF20B5" w:rsidRPr="00CF20B5" w:rsidRDefault="00CF20B5" w:rsidP="00CF20B5">
            <w:pPr>
              <w:spacing w:after="0" w:line="240" w:lineRule="auto"/>
              <w:jc w:val="both"/>
              <w:rPr>
                <w:rFonts w:ascii="Times New Roman" w:eastAsia="Times New Roman" w:hAnsi="Times New Roman" w:cs="Times New Roman"/>
                <w:lang w:eastAsia="hu-HU"/>
              </w:rPr>
            </w:pPr>
          </w:p>
        </w:tc>
        <w:tc>
          <w:tcPr>
            <w:tcW w:w="2597" w:type="dxa"/>
          </w:tcPr>
          <w:p w:rsidR="00CF20B5" w:rsidRPr="00CF20B5" w:rsidRDefault="00CF20B5" w:rsidP="00CF20B5">
            <w:pPr>
              <w:spacing w:after="0" w:line="240" w:lineRule="auto"/>
              <w:jc w:val="both"/>
              <w:rPr>
                <w:rFonts w:ascii="Times New Roman" w:eastAsia="Times New Roman" w:hAnsi="Times New Roman" w:cs="Times New Roman"/>
                <w:lang w:eastAsia="hu-HU"/>
              </w:rPr>
            </w:pPr>
          </w:p>
        </w:tc>
      </w:tr>
    </w:tbl>
    <w:p w:rsidR="00CF20B5" w:rsidRPr="00CF20B5" w:rsidRDefault="00CF20B5" w:rsidP="00CF20B5">
      <w:pPr>
        <w:widowControl w:val="0"/>
        <w:spacing w:before="120" w:after="120" w:line="240" w:lineRule="auto"/>
        <w:ind w:left="426" w:hanging="142"/>
        <w:jc w:val="center"/>
        <w:rPr>
          <w:rFonts w:ascii="Times New Roman" w:eastAsia="Times New Roman" w:hAnsi="Times New Roman" w:cs="Times New Roman"/>
          <w:b/>
          <w:bCs/>
        </w:rPr>
      </w:pPr>
    </w:p>
    <w:p w:rsidR="00CF20B5" w:rsidRPr="00CF20B5" w:rsidRDefault="00CF20B5" w:rsidP="00CF20B5">
      <w:pPr>
        <w:widowControl w:val="0"/>
        <w:spacing w:before="120" w:after="120" w:line="240" w:lineRule="auto"/>
        <w:ind w:left="426" w:hanging="142"/>
        <w:jc w:val="center"/>
        <w:rPr>
          <w:rFonts w:ascii="Times New Roman" w:eastAsia="Times New Roman" w:hAnsi="Times New Roman" w:cs="Times New Roman"/>
          <w:b/>
          <w:bCs/>
        </w:rPr>
      </w:pPr>
      <w:r w:rsidRPr="00CF20B5">
        <w:rPr>
          <w:rFonts w:ascii="Times New Roman" w:eastAsia="Times New Roman" w:hAnsi="Times New Roman" w:cs="Times New Roman"/>
          <w:b/>
          <w:bCs/>
        </w:rPr>
        <w:t>TANTÁRGYI PROGRAM</w:t>
      </w:r>
    </w:p>
    <w:p w:rsidR="00CF20B5" w:rsidRPr="00CF20B5" w:rsidRDefault="00CF20B5" w:rsidP="00980876">
      <w:pPr>
        <w:widowControl w:val="0"/>
        <w:numPr>
          <w:ilvl w:val="0"/>
          <w:numId w:val="538"/>
        </w:numPr>
        <w:tabs>
          <w:tab w:val="num" w:pos="567"/>
        </w:tabs>
        <w:spacing w:before="120" w:after="120" w:line="240" w:lineRule="auto"/>
        <w:ind w:left="426" w:hanging="142"/>
        <w:jc w:val="both"/>
        <w:rPr>
          <w:rFonts w:ascii="Times New Roman" w:eastAsia="Times New Roman" w:hAnsi="Times New Roman" w:cs="Times New Roman"/>
          <w:b/>
          <w:bCs/>
        </w:rPr>
      </w:pPr>
      <w:r w:rsidRPr="00CF20B5">
        <w:rPr>
          <w:rFonts w:ascii="Times New Roman" w:eastAsia="Times New Roman" w:hAnsi="Times New Roman" w:cs="Times New Roman"/>
          <w:b/>
          <w:bCs/>
        </w:rPr>
        <w:t xml:space="preserve">A tantárgy kódja: </w:t>
      </w:r>
      <w:r w:rsidRPr="00CF20B5">
        <w:rPr>
          <w:rFonts w:ascii="Times New Roman" w:eastAsia="Times New Roman" w:hAnsi="Times New Roman" w:cs="Times New Roman"/>
          <w:bCs/>
        </w:rPr>
        <w:t>HKHPKA384</w:t>
      </w:r>
    </w:p>
    <w:p w:rsidR="00CF20B5" w:rsidRPr="00CF20B5" w:rsidRDefault="00CF20B5" w:rsidP="00980876">
      <w:pPr>
        <w:widowControl w:val="0"/>
        <w:numPr>
          <w:ilvl w:val="0"/>
          <w:numId w:val="538"/>
        </w:numPr>
        <w:tabs>
          <w:tab w:val="num" w:pos="567"/>
        </w:tabs>
        <w:spacing w:before="120" w:after="120" w:line="240" w:lineRule="auto"/>
        <w:ind w:left="426" w:hanging="142"/>
        <w:jc w:val="both"/>
        <w:rPr>
          <w:rFonts w:ascii="Times New Roman" w:eastAsia="Times New Roman" w:hAnsi="Times New Roman" w:cs="Times New Roman"/>
          <w:b/>
          <w:bCs/>
          <w:lang w:val="en-GB"/>
        </w:rPr>
      </w:pPr>
      <w:r w:rsidRPr="00CF20B5">
        <w:rPr>
          <w:rFonts w:ascii="Times New Roman" w:eastAsia="Times New Roman" w:hAnsi="Times New Roman" w:cs="Times New Roman"/>
          <w:b/>
          <w:bCs/>
        </w:rPr>
        <w:t>A tantárgy megnevezése (magyarul):</w:t>
      </w:r>
      <w:r w:rsidRPr="00CF20B5">
        <w:rPr>
          <w:rFonts w:ascii="Times New Roman" w:eastAsia="Times New Roman" w:hAnsi="Times New Roman" w:cs="Times New Roman"/>
          <w:bCs/>
        </w:rPr>
        <w:t xml:space="preserve"> </w:t>
      </w:r>
      <w:r w:rsidRPr="00CF20B5">
        <w:rPr>
          <w:rFonts w:ascii="Times New Roman" w:eastAsia="Calibri" w:hAnsi="Times New Roman" w:cs="Calibri"/>
        </w:rPr>
        <w:t>Logisztikai műveletek tervezése</w:t>
      </w:r>
    </w:p>
    <w:p w:rsidR="00CF20B5" w:rsidRPr="00CF20B5" w:rsidRDefault="00CF20B5" w:rsidP="00980876">
      <w:pPr>
        <w:widowControl w:val="0"/>
        <w:numPr>
          <w:ilvl w:val="0"/>
          <w:numId w:val="538"/>
        </w:numPr>
        <w:tabs>
          <w:tab w:val="num" w:pos="567"/>
        </w:tabs>
        <w:spacing w:before="120" w:after="120" w:line="240" w:lineRule="auto"/>
        <w:ind w:left="426" w:hanging="142"/>
        <w:jc w:val="both"/>
        <w:rPr>
          <w:rFonts w:ascii="Times New Roman" w:eastAsia="Times New Roman" w:hAnsi="Times New Roman" w:cs="Times New Roman"/>
          <w:b/>
          <w:bCs/>
          <w:lang w:val="en-GB"/>
        </w:rPr>
      </w:pPr>
      <w:r w:rsidRPr="00CF20B5">
        <w:rPr>
          <w:rFonts w:ascii="Times New Roman" w:eastAsia="Times New Roman" w:hAnsi="Times New Roman" w:cs="Times New Roman"/>
          <w:b/>
          <w:bCs/>
        </w:rPr>
        <w:t xml:space="preserve">A tantárgy megnevezése (angolul): </w:t>
      </w:r>
      <w:r w:rsidRPr="00CF20B5">
        <w:rPr>
          <w:rFonts w:ascii="Times New Roman" w:eastAsia="Calibri" w:hAnsi="Times New Roman" w:cs="Calibri"/>
          <w:lang w:val="en"/>
        </w:rPr>
        <w:t>Logistic operations planning</w:t>
      </w:r>
    </w:p>
    <w:p w:rsidR="00CF20B5" w:rsidRPr="00CF20B5" w:rsidRDefault="00CF20B5" w:rsidP="00980876">
      <w:pPr>
        <w:widowControl w:val="0"/>
        <w:numPr>
          <w:ilvl w:val="0"/>
          <w:numId w:val="538"/>
        </w:numPr>
        <w:tabs>
          <w:tab w:val="num" w:pos="567"/>
        </w:tabs>
        <w:spacing w:before="120" w:after="120" w:line="240" w:lineRule="auto"/>
        <w:ind w:left="426" w:hanging="142"/>
        <w:jc w:val="both"/>
        <w:rPr>
          <w:rFonts w:ascii="Times New Roman" w:eastAsia="Times New Roman" w:hAnsi="Times New Roman" w:cs="Times New Roman"/>
          <w:b/>
          <w:bCs/>
        </w:rPr>
      </w:pPr>
      <w:r w:rsidRPr="00CF20B5">
        <w:rPr>
          <w:rFonts w:ascii="Times New Roman" w:eastAsia="Times New Roman" w:hAnsi="Times New Roman" w:cs="Times New Roman"/>
          <w:b/>
          <w:bCs/>
        </w:rPr>
        <w:t xml:space="preserve">Kreditérték és képzési karakter: </w:t>
      </w:r>
    </w:p>
    <w:p w:rsidR="00CF20B5" w:rsidRPr="00CF20B5" w:rsidRDefault="00CF20B5" w:rsidP="00980876">
      <w:pPr>
        <w:widowControl w:val="0"/>
        <w:numPr>
          <w:ilvl w:val="1"/>
          <w:numId w:val="538"/>
        </w:numPr>
        <w:spacing w:before="120" w:after="120" w:line="240" w:lineRule="auto"/>
        <w:ind w:left="993" w:hanging="426"/>
        <w:contextualSpacing/>
        <w:jc w:val="both"/>
        <w:rPr>
          <w:rFonts w:ascii="Times New Roman" w:eastAsia="Times New Roman" w:hAnsi="Times New Roman" w:cs="Times New Roman"/>
          <w:b/>
          <w:bCs/>
        </w:rPr>
      </w:pPr>
      <w:r w:rsidRPr="00CF20B5">
        <w:rPr>
          <w:rFonts w:ascii="Times New Roman" w:eastAsia="Times New Roman" w:hAnsi="Times New Roman" w:cs="Times New Roman"/>
          <w:bCs/>
        </w:rPr>
        <w:t>2 kredit</w:t>
      </w:r>
    </w:p>
    <w:p w:rsidR="00CF20B5" w:rsidRPr="00CF20B5" w:rsidRDefault="00CF20B5" w:rsidP="00980876">
      <w:pPr>
        <w:widowControl w:val="0"/>
        <w:numPr>
          <w:ilvl w:val="1"/>
          <w:numId w:val="538"/>
        </w:numPr>
        <w:spacing w:before="120" w:after="120" w:line="240" w:lineRule="auto"/>
        <w:ind w:left="993" w:hanging="426"/>
        <w:contextualSpacing/>
        <w:rPr>
          <w:rFonts w:ascii="Times New Roman" w:eastAsia="Times New Roman" w:hAnsi="Times New Roman" w:cs="Times New Roman"/>
          <w:b/>
          <w:bCs/>
        </w:rPr>
      </w:pPr>
      <w:r w:rsidRPr="00CF20B5">
        <w:rPr>
          <w:rFonts w:ascii="Times New Roman" w:eastAsia="Times New Roman" w:hAnsi="Times New Roman" w:cs="Times New Roman"/>
          <w:bCs/>
        </w:rPr>
        <w:t>a tantárgy elméleti vagy gyakorlati jellegének mértéke: 50</w:t>
      </w:r>
      <w:r w:rsidRPr="00CF20B5">
        <w:rPr>
          <w:rFonts w:ascii="Times New Roman" w:eastAsia="Times New Roman" w:hAnsi="Times New Roman" w:cs="Times New Roman"/>
          <w:b/>
          <w:bCs/>
        </w:rPr>
        <w:t xml:space="preserve"> </w:t>
      </w:r>
      <w:r w:rsidRPr="00CF20B5">
        <w:rPr>
          <w:rFonts w:ascii="Times New Roman" w:eastAsia="Times New Roman" w:hAnsi="Times New Roman" w:cs="Times New Roman"/>
          <w:bCs/>
        </w:rPr>
        <w:t>% gyakorlat, 50 % elmélet</w:t>
      </w:r>
    </w:p>
    <w:p w:rsidR="00CF20B5" w:rsidRPr="00CF20B5" w:rsidRDefault="00CF20B5" w:rsidP="00980876">
      <w:pPr>
        <w:widowControl w:val="0"/>
        <w:numPr>
          <w:ilvl w:val="0"/>
          <w:numId w:val="538"/>
        </w:numPr>
        <w:tabs>
          <w:tab w:val="num" w:pos="567"/>
        </w:tabs>
        <w:spacing w:before="120" w:after="120" w:line="240" w:lineRule="auto"/>
        <w:ind w:left="426" w:hanging="142"/>
        <w:jc w:val="both"/>
        <w:rPr>
          <w:rFonts w:ascii="Times New Roman" w:eastAsia="Times New Roman" w:hAnsi="Times New Roman" w:cs="Times New Roman"/>
          <w:bCs/>
        </w:rPr>
      </w:pPr>
      <w:r w:rsidRPr="00CF20B5">
        <w:rPr>
          <w:rFonts w:ascii="Times New Roman" w:eastAsia="Times New Roman" w:hAnsi="Times New Roman" w:cs="Times New Roman"/>
          <w:b/>
          <w:bCs/>
        </w:rPr>
        <w:t>A szak(ok), szakirányok/specializációk megnevezése (ahol oktatják):</w:t>
      </w:r>
      <w:r w:rsidRPr="00CF20B5">
        <w:rPr>
          <w:rFonts w:ascii="Times New Roman" w:eastAsia="Times New Roman" w:hAnsi="Times New Roman" w:cs="Times New Roman"/>
          <w:bCs/>
        </w:rPr>
        <w:t xml:space="preserve"> Katonai logisztika alapképzési szak, Katonai közlekedési specializáció</w:t>
      </w:r>
    </w:p>
    <w:p w:rsidR="00CF20B5" w:rsidRPr="00CF20B5" w:rsidRDefault="00CF20B5" w:rsidP="00980876">
      <w:pPr>
        <w:widowControl w:val="0"/>
        <w:numPr>
          <w:ilvl w:val="0"/>
          <w:numId w:val="538"/>
        </w:numPr>
        <w:tabs>
          <w:tab w:val="num" w:pos="567"/>
        </w:tabs>
        <w:spacing w:before="120" w:after="120" w:line="240" w:lineRule="auto"/>
        <w:ind w:left="426" w:hanging="142"/>
        <w:jc w:val="both"/>
        <w:rPr>
          <w:rFonts w:ascii="Times New Roman" w:eastAsia="Times New Roman" w:hAnsi="Times New Roman" w:cs="Times New Roman"/>
          <w:bCs/>
        </w:rPr>
      </w:pPr>
      <w:r w:rsidRPr="00CF20B5">
        <w:rPr>
          <w:rFonts w:ascii="Times New Roman" w:eastAsia="Times New Roman" w:hAnsi="Times New Roman" w:cs="Times New Roman"/>
          <w:b/>
          <w:bCs/>
        </w:rPr>
        <w:t xml:space="preserve">Az oktatásért felelős oktatási szervezeti egység megnevezése: </w:t>
      </w:r>
      <w:r w:rsidRPr="00CF20B5">
        <w:rPr>
          <w:rFonts w:ascii="Times New Roman" w:eastAsia="Times New Roman" w:hAnsi="Times New Roman" w:cs="Times New Roman"/>
          <w:bCs/>
        </w:rPr>
        <w:t>NKE HHK, Hadtáp, Pénzügyi és Katonai Közlekedési Tanszék</w:t>
      </w:r>
    </w:p>
    <w:p w:rsidR="00CF20B5" w:rsidRPr="00CF20B5" w:rsidRDefault="00CF20B5" w:rsidP="00980876">
      <w:pPr>
        <w:widowControl w:val="0"/>
        <w:numPr>
          <w:ilvl w:val="0"/>
          <w:numId w:val="538"/>
        </w:numPr>
        <w:tabs>
          <w:tab w:val="num" w:pos="567"/>
        </w:tabs>
        <w:spacing w:before="120" w:after="120" w:line="240" w:lineRule="auto"/>
        <w:ind w:left="426" w:hanging="142"/>
        <w:jc w:val="both"/>
        <w:rPr>
          <w:rFonts w:ascii="Times New Roman" w:eastAsia="Times New Roman" w:hAnsi="Times New Roman" w:cs="Times New Roman"/>
          <w:bCs/>
        </w:rPr>
      </w:pPr>
      <w:r w:rsidRPr="00CF20B5">
        <w:rPr>
          <w:rFonts w:ascii="Times New Roman" w:eastAsia="Times New Roman" w:hAnsi="Times New Roman" w:cs="Times New Roman"/>
          <w:b/>
          <w:bCs/>
        </w:rPr>
        <w:t>A tantárgyfelelős oktató neve, beosztása, tudományos fokozata:</w:t>
      </w:r>
      <w:r w:rsidRPr="00CF20B5">
        <w:rPr>
          <w:rFonts w:ascii="Times New Roman" w:eastAsia="Times New Roman" w:hAnsi="Times New Roman" w:cs="Times New Roman"/>
          <w:bCs/>
        </w:rPr>
        <w:t xml:space="preserve"> Szajkó Gyula, tanársegéd</w:t>
      </w:r>
    </w:p>
    <w:p w:rsidR="00CF20B5" w:rsidRPr="00CF20B5" w:rsidRDefault="00CF20B5" w:rsidP="00980876">
      <w:pPr>
        <w:widowControl w:val="0"/>
        <w:numPr>
          <w:ilvl w:val="0"/>
          <w:numId w:val="538"/>
        </w:numPr>
        <w:spacing w:before="120" w:after="120" w:line="240" w:lineRule="auto"/>
        <w:ind w:left="426" w:hanging="142"/>
        <w:jc w:val="both"/>
        <w:rPr>
          <w:rFonts w:ascii="Times New Roman" w:eastAsia="Times New Roman" w:hAnsi="Times New Roman" w:cs="Times New Roman"/>
          <w:bCs/>
        </w:rPr>
      </w:pPr>
      <w:r w:rsidRPr="00CF20B5">
        <w:rPr>
          <w:rFonts w:ascii="Times New Roman" w:eastAsia="Times New Roman" w:hAnsi="Times New Roman" w:cs="Times New Roman"/>
          <w:b/>
          <w:bCs/>
        </w:rPr>
        <w:t>A tanórák száma és típusa</w:t>
      </w:r>
    </w:p>
    <w:p w:rsidR="00CF20B5" w:rsidRPr="00CF20B5" w:rsidRDefault="00CF20B5" w:rsidP="00980876">
      <w:pPr>
        <w:widowControl w:val="0"/>
        <w:numPr>
          <w:ilvl w:val="1"/>
          <w:numId w:val="538"/>
        </w:numPr>
        <w:tabs>
          <w:tab w:val="num" w:pos="709"/>
          <w:tab w:val="num" w:pos="2069"/>
        </w:tabs>
        <w:spacing w:before="120" w:after="120" w:line="240" w:lineRule="auto"/>
        <w:ind w:left="851" w:hanging="425"/>
        <w:jc w:val="both"/>
        <w:rPr>
          <w:rFonts w:ascii="Times New Roman" w:eastAsia="Times New Roman" w:hAnsi="Times New Roman" w:cs="Times New Roman"/>
          <w:bCs/>
        </w:rPr>
      </w:pPr>
      <w:r w:rsidRPr="00CF20B5">
        <w:rPr>
          <w:rFonts w:ascii="Times New Roman" w:eastAsia="Times New Roman" w:hAnsi="Times New Roman" w:cs="Times New Roman"/>
          <w:bCs/>
        </w:rPr>
        <w:t>össz óraszám/félév: 28</w:t>
      </w:r>
    </w:p>
    <w:p w:rsidR="00CF20B5" w:rsidRPr="00CF20B5" w:rsidRDefault="00CF20B5" w:rsidP="00980876">
      <w:pPr>
        <w:widowControl w:val="0"/>
        <w:numPr>
          <w:ilvl w:val="2"/>
          <w:numId w:val="538"/>
        </w:numPr>
        <w:tabs>
          <w:tab w:val="num" w:pos="709"/>
          <w:tab w:val="num" w:pos="1134"/>
        </w:tabs>
        <w:spacing w:after="0" w:line="240" w:lineRule="auto"/>
        <w:ind w:left="992" w:hanging="425"/>
        <w:jc w:val="both"/>
        <w:rPr>
          <w:rFonts w:ascii="Times New Roman" w:eastAsia="Times New Roman" w:hAnsi="Times New Roman" w:cs="Times New Roman"/>
          <w:bCs/>
        </w:rPr>
      </w:pPr>
      <w:r w:rsidRPr="00CF20B5">
        <w:rPr>
          <w:rFonts w:ascii="Times New Roman" w:eastAsia="Times New Roman" w:hAnsi="Times New Roman" w:cs="Times New Roman"/>
          <w:bCs/>
        </w:rPr>
        <w:t>nappali munkarend: 28 (14 EA + 0 SZ + 14 GY)</w:t>
      </w:r>
    </w:p>
    <w:p w:rsidR="00CF20B5" w:rsidRPr="00CF20B5" w:rsidRDefault="00CF20B5" w:rsidP="00980876">
      <w:pPr>
        <w:widowControl w:val="0"/>
        <w:numPr>
          <w:ilvl w:val="2"/>
          <w:numId w:val="538"/>
        </w:numPr>
        <w:tabs>
          <w:tab w:val="num" w:pos="709"/>
          <w:tab w:val="num" w:pos="1134"/>
        </w:tabs>
        <w:spacing w:after="0" w:line="240" w:lineRule="auto"/>
        <w:ind w:left="992" w:hanging="425"/>
        <w:jc w:val="both"/>
        <w:rPr>
          <w:rFonts w:ascii="Times New Roman" w:eastAsia="Times New Roman" w:hAnsi="Times New Roman" w:cs="Times New Roman"/>
          <w:bCs/>
        </w:rPr>
      </w:pPr>
      <w:r w:rsidRPr="00CF20B5">
        <w:rPr>
          <w:rFonts w:ascii="Times New Roman" w:eastAsia="Times New Roman" w:hAnsi="Times New Roman" w:cs="Times New Roman"/>
          <w:bCs/>
        </w:rPr>
        <w:t>levelező munkarend: 0 (0 EA + 0 SZ + 0 GY)</w:t>
      </w:r>
    </w:p>
    <w:p w:rsidR="00CF20B5" w:rsidRPr="00CF20B5" w:rsidRDefault="00CF20B5" w:rsidP="00980876">
      <w:pPr>
        <w:widowControl w:val="0"/>
        <w:numPr>
          <w:ilvl w:val="1"/>
          <w:numId w:val="538"/>
        </w:numPr>
        <w:tabs>
          <w:tab w:val="num" w:pos="709"/>
          <w:tab w:val="num" w:pos="2069"/>
        </w:tabs>
        <w:spacing w:before="120" w:after="120" w:line="240" w:lineRule="auto"/>
        <w:ind w:left="851" w:hanging="425"/>
        <w:jc w:val="both"/>
        <w:rPr>
          <w:rFonts w:ascii="Times New Roman" w:eastAsia="Times New Roman" w:hAnsi="Times New Roman" w:cs="Times New Roman"/>
          <w:bCs/>
        </w:rPr>
      </w:pPr>
      <w:r w:rsidRPr="00CF20B5">
        <w:rPr>
          <w:rFonts w:ascii="Times New Roman" w:eastAsia="Times New Roman" w:hAnsi="Times New Roman" w:cs="Times New Roman"/>
          <w:bCs/>
        </w:rPr>
        <w:t>heti óraszám - nappali munkarend: 2</w:t>
      </w:r>
    </w:p>
    <w:p w:rsidR="00CF20B5" w:rsidRPr="00CF20B5" w:rsidRDefault="00CF20B5" w:rsidP="00980876">
      <w:pPr>
        <w:widowControl w:val="0"/>
        <w:numPr>
          <w:ilvl w:val="1"/>
          <w:numId w:val="538"/>
        </w:numPr>
        <w:tabs>
          <w:tab w:val="num" w:pos="709"/>
          <w:tab w:val="num" w:pos="2069"/>
        </w:tabs>
        <w:spacing w:before="120" w:after="120" w:line="240" w:lineRule="auto"/>
        <w:ind w:left="851" w:hanging="425"/>
        <w:jc w:val="both"/>
        <w:rPr>
          <w:rFonts w:ascii="Times New Roman" w:eastAsia="Times New Roman" w:hAnsi="Times New Roman" w:cs="Times New Roman"/>
          <w:bCs/>
        </w:rPr>
      </w:pPr>
      <w:r w:rsidRPr="00CF20B5">
        <w:rPr>
          <w:rFonts w:ascii="Times New Roman" w:eastAsia="Calibri" w:hAnsi="Times New Roman" w:cs="Times New Roman"/>
        </w:rPr>
        <w:t>Az ismeret átadásában alkalmazandó további sajátos módok, jellemzők: -</w:t>
      </w:r>
    </w:p>
    <w:p w:rsidR="00CF20B5" w:rsidRPr="00CF20B5" w:rsidRDefault="00CF20B5" w:rsidP="00980876">
      <w:pPr>
        <w:widowControl w:val="0"/>
        <w:numPr>
          <w:ilvl w:val="0"/>
          <w:numId w:val="538"/>
        </w:numPr>
        <w:spacing w:before="120" w:after="120" w:line="240" w:lineRule="auto"/>
        <w:ind w:left="426" w:hanging="142"/>
        <w:jc w:val="both"/>
        <w:rPr>
          <w:rFonts w:ascii="Times New Roman" w:eastAsia="Times New Roman" w:hAnsi="Times New Roman" w:cs="Times New Roman"/>
          <w:bCs/>
        </w:rPr>
      </w:pPr>
      <w:r w:rsidRPr="00CF20B5">
        <w:rPr>
          <w:rFonts w:ascii="Times New Roman" w:eastAsia="Times New Roman" w:hAnsi="Times New Roman" w:cs="Times New Roman"/>
          <w:b/>
          <w:bCs/>
        </w:rPr>
        <w:t>A tantárgy szakmai tartalma (magyarul):</w:t>
      </w:r>
      <w:r w:rsidRPr="00CF20B5">
        <w:rPr>
          <w:rFonts w:ascii="Times New Roman" w:eastAsia="Times New Roman" w:hAnsi="Times New Roman" w:cs="Times New Roman"/>
          <w:bCs/>
        </w:rPr>
        <w:t xml:space="preserve"> A tantárgy a logisztikai művelettervezés folyamataival foglalkozik.</w:t>
      </w:r>
    </w:p>
    <w:p w:rsidR="00CF20B5" w:rsidRPr="00CF20B5" w:rsidRDefault="00CF20B5" w:rsidP="00CF20B5">
      <w:pPr>
        <w:widowControl w:val="0"/>
        <w:spacing w:before="120" w:after="120" w:line="240" w:lineRule="auto"/>
        <w:ind w:left="426"/>
        <w:jc w:val="both"/>
        <w:rPr>
          <w:rFonts w:ascii="Times New Roman" w:eastAsia="Times New Roman" w:hAnsi="Times New Roman" w:cs="Times New Roman"/>
          <w:bCs/>
          <w:lang w:val="en-GB"/>
        </w:rPr>
      </w:pPr>
      <w:r w:rsidRPr="00CF20B5">
        <w:rPr>
          <w:rFonts w:ascii="Times New Roman" w:eastAsia="Times New Roman" w:hAnsi="Times New Roman" w:cs="Times New Roman"/>
          <w:b/>
          <w:bCs/>
        </w:rPr>
        <w:t>A tantárgy szakmai tartalma (angolul) (</w:t>
      </w:r>
      <w:r w:rsidRPr="00CF20B5">
        <w:rPr>
          <w:rFonts w:ascii="Times New Roman" w:eastAsia="Times New Roman" w:hAnsi="Times New Roman" w:cs="Times New Roman"/>
          <w:b/>
          <w:bCs/>
          <w:lang w:val="en-US"/>
        </w:rPr>
        <w:t>Course description</w:t>
      </w:r>
      <w:r w:rsidRPr="00CF20B5">
        <w:rPr>
          <w:rFonts w:ascii="Times New Roman" w:eastAsia="Times New Roman" w:hAnsi="Times New Roman" w:cs="Times New Roman"/>
          <w:b/>
          <w:bCs/>
        </w:rPr>
        <w:t xml:space="preserve">): </w:t>
      </w:r>
      <w:r w:rsidRPr="00CF20B5">
        <w:rPr>
          <w:rFonts w:ascii="Times New Roman" w:eastAsia="Times New Roman" w:hAnsi="Times New Roman" w:cs="Times New Roman"/>
          <w:bCs/>
        </w:rPr>
        <w:t xml:space="preserve">This subject deals with logistic operations planning process. </w:t>
      </w:r>
    </w:p>
    <w:p w:rsidR="00CF20B5" w:rsidRPr="00CF20B5" w:rsidRDefault="00CF20B5" w:rsidP="00980876">
      <w:pPr>
        <w:widowControl w:val="0"/>
        <w:numPr>
          <w:ilvl w:val="0"/>
          <w:numId w:val="538"/>
        </w:numPr>
        <w:spacing w:before="120" w:after="120" w:line="240" w:lineRule="auto"/>
        <w:contextualSpacing/>
        <w:jc w:val="both"/>
        <w:rPr>
          <w:rFonts w:ascii="Times New Roman" w:eastAsia="Times New Roman" w:hAnsi="Times New Roman" w:cs="Times New Roman"/>
          <w:bCs/>
        </w:rPr>
      </w:pPr>
      <w:r w:rsidRPr="00CF20B5">
        <w:rPr>
          <w:rFonts w:ascii="Times New Roman" w:eastAsia="Times New Roman" w:hAnsi="Times New Roman" w:cs="Times New Roman"/>
          <w:b/>
          <w:bCs/>
        </w:rPr>
        <w:t xml:space="preserve">Elérendő kompetenciák (magyarul): </w:t>
      </w:r>
    </w:p>
    <w:p w:rsidR="00CF20B5" w:rsidRPr="00CF20B5" w:rsidRDefault="00CF20B5" w:rsidP="00CF20B5">
      <w:pPr>
        <w:autoSpaceDE w:val="0"/>
        <w:autoSpaceDN w:val="0"/>
        <w:adjustRightInd w:val="0"/>
        <w:spacing w:before="120" w:after="0" w:line="240" w:lineRule="auto"/>
        <w:ind w:left="425"/>
        <w:jc w:val="both"/>
        <w:rPr>
          <w:rFonts w:ascii="Times New Roman" w:eastAsia="Times New Roman" w:hAnsi="Times New Roman" w:cs="Times New Roman"/>
          <w:b/>
          <w:bCs/>
        </w:rPr>
      </w:pPr>
      <w:r w:rsidRPr="00CF20B5">
        <w:rPr>
          <w:rFonts w:ascii="Times New Roman" w:eastAsia="Times New Roman" w:hAnsi="Times New Roman" w:cs="Times New Roman"/>
          <w:b/>
          <w:bCs/>
        </w:rPr>
        <w:t xml:space="preserve">Tudása: </w:t>
      </w:r>
    </w:p>
    <w:p w:rsidR="00CF20B5" w:rsidRPr="00CF20B5" w:rsidRDefault="00CF20B5"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CF20B5">
        <w:rPr>
          <w:rFonts w:ascii="Times New Roman" w:eastAsia="Calibri" w:hAnsi="Times New Roman" w:cs="Times New Roman"/>
        </w:rPr>
        <w:t>Ismeri a katonai közlekedési szakterülethez szervesen kapcsolódó logisztikai, menedzsment, környezetvédelmi, minőségbiztosítási, információtechnológiai, jogi, közgazdasági szakterületek alapjait és követelményeit.</w:t>
      </w:r>
    </w:p>
    <w:p w:rsidR="00CF20B5" w:rsidRPr="00CF20B5" w:rsidRDefault="00CF20B5"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CF20B5">
        <w:rPr>
          <w:rFonts w:ascii="Times New Roman" w:eastAsia="Calibri" w:hAnsi="Times New Roman" w:cs="Times New Roman"/>
        </w:rPr>
        <w:t>Ismeri a katonai közlekedési szakterület szaktechnikai eszközeit, a közlekedési pályákat és létesítményeiket, azok igénybevételének és üzemeltetésének szabályait.</w:t>
      </w:r>
    </w:p>
    <w:p w:rsidR="00CF20B5" w:rsidRPr="00CF20B5" w:rsidRDefault="00CF20B5"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CF20B5">
        <w:rPr>
          <w:rFonts w:ascii="Times New Roman" w:eastAsia="Calibri" w:hAnsi="Times New Roman" w:cs="Times New Roman"/>
        </w:rPr>
        <w:t>Ismeri a katonai közlekedési szakanyagok készletezésének, tárolásának, nyilvántartásának és leltározásának, valamint ezen folyamatok ellenőrzésének feladatait és kötelezettségeit.</w:t>
      </w:r>
    </w:p>
    <w:p w:rsidR="00CF20B5" w:rsidRPr="00CF20B5" w:rsidRDefault="00CF20B5"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CF20B5">
        <w:rPr>
          <w:rFonts w:ascii="Times New Roman" w:eastAsia="Calibri" w:hAnsi="Times New Roman" w:cs="Times New Roman"/>
        </w:rPr>
        <w:t>Mélyrehatóan ismeri a katonai közlekedési szakterület szakmai feladatait, a közlekedési szakfeladatok rendszerét, az egyes feladatok végrehajtásának sajátosságait.</w:t>
      </w:r>
    </w:p>
    <w:p w:rsidR="00CF20B5" w:rsidRPr="00CF20B5" w:rsidRDefault="00CF20B5"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CF20B5">
        <w:rPr>
          <w:rFonts w:ascii="Times New Roman" w:eastAsia="Calibri" w:hAnsi="Times New Roman" w:cs="Times New Roman"/>
        </w:rPr>
        <w:t>Ismeri a katonai közlekedési igények felmérésének módszereit és megvalósítási lehetőségeit, gyakorlatát.</w:t>
      </w:r>
    </w:p>
    <w:p w:rsidR="00CF20B5" w:rsidRPr="00CF20B5" w:rsidRDefault="00CF20B5" w:rsidP="00CF20B5">
      <w:pPr>
        <w:autoSpaceDE w:val="0"/>
        <w:autoSpaceDN w:val="0"/>
        <w:adjustRightInd w:val="0"/>
        <w:spacing w:before="120" w:after="0" w:line="240" w:lineRule="auto"/>
        <w:ind w:left="425"/>
        <w:jc w:val="both"/>
        <w:rPr>
          <w:rFonts w:ascii="Times New Roman" w:eastAsia="Times New Roman" w:hAnsi="Times New Roman" w:cs="Times New Roman"/>
          <w:bCs/>
        </w:rPr>
      </w:pPr>
      <w:r w:rsidRPr="00CF20B5">
        <w:rPr>
          <w:rFonts w:ascii="Times New Roman" w:eastAsia="Times New Roman" w:hAnsi="Times New Roman" w:cs="Times New Roman"/>
          <w:b/>
          <w:bCs/>
        </w:rPr>
        <w:t>Képességei:</w:t>
      </w:r>
      <w:r w:rsidRPr="00CF20B5">
        <w:rPr>
          <w:rFonts w:ascii="Times New Roman" w:eastAsia="Times New Roman" w:hAnsi="Times New Roman" w:cs="Times New Roman"/>
          <w:bCs/>
        </w:rPr>
        <w:t xml:space="preserve"> </w:t>
      </w:r>
    </w:p>
    <w:p w:rsidR="00CF20B5" w:rsidRPr="00CF20B5" w:rsidRDefault="00CF20B5"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CF20B5">
        <w:rPr>
          <w:rFonts w:ascii="Times New Roman" w:eastAsia="Calibri" w:hAnsi="Times New Roman" w:cs="Times New Roman"/>
        </w:rPr>
        <w:t>Az általános és specifikus katonai ismeretei és készségei birtokában képes a katonai közlekedési, mozgatási, szállítási feladatok tervezésére, szervezésére és vezetésére.</w:t>
      </w:r>
    </w:p>
    <w:p w:rsidR="00CF20B5" w:rsidRPr="00CF20B5" w:rsidRDefault="00CF20B5"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CF20B5">
        <w:rPr>
          <w:rFonts w:ascii="Times New Roman" w:eastAsia="Calibri" w:hAnsi="Times New Roman" w:cs="Times New Roman"/>
        </w:rPr>
        <w:t>Képes békeidőszakban, válságkezelő, katasztrófa-elhárítási, béketámogató és háborús műveletekben, nemzeti és többnemzeti környezetben a szállító szakalegységek alaprendeltetéséből fakadó feladatai végrehajtásának vezetésére.</w:t>
      </w:r>
    </w:p>
    <w:p w:rsidR="00CF20B5" w:rsidRPr="00CF20B5" w:rsidRDefault="00CF20B5"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CF20B5">
        <w:rPr>
          <w:rFonts w:ascii="Times New Roman" w:eastAsia="Calibri" w:hAnsi="Times New Roman" w:cs="Times New Roman"/>
        </w:rPr>
        <w:t>Képes a közlekedési hálózatok katonai célú alkalmazásának tervezésére, szervezésére és végrehajtására.</w:t>
      </w:r>
    </w:p>
    <w:p w:rsidR="00CF20B5" w:rsidRPr="00CF20B5" w:rsidRDefault="00CF20B5"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CF20B5">
        <w:rPr>
          <w:rFonts w:ascii="Times New Roman" w:eastAsia="Calibri" w:hAnsi="Times New Roman" w:cs="Times New Roman"/>
        </w:rPr>
        <w:lastRenderedPageBreak/>
        <w:t>Képes a közlekedési folyamatokat támogató közlekedésinformatikai rendszerek alkalmazására, az azokkal kapcsolatos felhasználói alapkövetelmények megfogalmazására.</w:t>
      </w:r>
    </w:p>
    <w:p w:rsidR="00CF20B5" w:rsidRPr="00CF20B5" w:rsidRDefault="00CF20B5" w:rsidP="00CF20B5">
      <w:pPr>
        <w:autoSpaceDE w:val="0"/>
        <w:autoSpaceDN w:val="0"/>
        <w:adjustRightInd w:val="0"/>
        <w:spacing w:before="120" w:after="0" w:line="240" w:lineRule="auto"/>
        <w:ind w:left="425"/>
        <w:jc w:val="both"/>
        <w:rPr>
          <w:rFonts w:ascii="Times New Roman" w:eastAsia="Times New Roman" w:hAnsi="Times New Roman" w:cs="Times New Roman"/>
          <w:b/>
          <w:bCs/>
        </w:rPr>
      </w:pPr>
      <w:r w:rsidRPr="00CF20B5">
        <w:rPr>
          <w:rFonts w:ascii="Times New Roman" w:eastAsia="Times New Roman" w:hAnsi="Times New Roman" w:cs="Times New Roman"/>
          <w:b/>
          <w:bCs/>
        </w:rPr>
        <w:t xml:space="preserve">Attitűdje: </w:t>
      </w:r>
    </w:p>
    <w:p w:rsidR="00CF20B5" w:rsidRPr="00CF20B5" w:rsidRDefault="00CF20B5"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CF20B5">
        <w:rPr>
          <w:rFonts w:ascii="Times New Roman" w:eastAsia="Calibri" w:hAnsi="Times New Roman" w:cs="Times New Roman"/>
        </w:rPr>
        <w:t>Nyitott a katonai közlekedési szakterületen zajló szakmai, technológiai fejlesztés és innováció megismerésére és elfogadására, hiteles közvetítésére és azok mindennapi munkájába való beillesztésére.</w:t>
      </w:r>
    </w:p>
    <w:p w:rsidR="00CF20B5" w:rsidRPr="00CF20B5" w:rsidRDefault="00CF20B5"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CF20B5">
        <w:rPr>
          <w:rFonts w:ascii="Times New Roman" w:eastAsia="Calibri" w:hAnsi="Times New Roman" w:cs="Times New Roman"/>
        </w:rPr>
        <w:t>Törekszik arra, hogy önképzése a katonai közlekedési szakterületen folyamatos és szakmai céljaival megegyező legyen.</w:t>
      </w:r>
    </w:p>
    <w:p w:rsidR="00CF20B5" w:rsidRPr="00CF20B5" w:rsidRDefault="00CF20B5"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CF20B5">
        <w:rPr>
          <w:rFonts w:ascii="Times New Roman" w:eastAsia="Calibri" w:hAnsi="Times New Roman" w:cs="Times New Roman"/>
        </w:rPr>
        <w:t>Elkötelezett a minőségi szakmai munkavégzés iránt, különös tekintettel a közlekedési, szállítási feladatok és folyamatok biztonságos végrehajtására.</w:t>
      </w:r>
    </w:p>
    <w:p w:rsidR="00CF20B5" w:rsidRPr="00CF20B5" w:rsidRDefault="00CF20B5"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CF20B5">
        <w:rPr>
          <w:rFonts w:ascii="Times New Roman" w:eastAsia="Calibri" w:hAnsi="Times New Roman" w:cs="Times New Roman"/>
        </w:rPr>
        <w:t>Figyel beosztottjai szakmai fejlődésének előmozdítására, ilyen irányú törekvéseik kezelésére és segítésére.</w:t>
      </w:r>
    </w:p>
    <w:p w:rsidR="00CF20B5" w:rsidRPr="00CF20B5" w:rsidRDefault="00CF20B5"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CF20B5">
        <w:rPr>
          <w:rFonts w:ascii="Times New Roman" w:eastAsia="Calibri" w:hAnsi="Times New Roman" w:cs="Times New Roman"/>
        </w:rPr>
        <w:t>Megosztja tapasztalatait munkatársaival, így segítve fejlődésüket.</w:t>
      </w:r>
    </w:p>
    <w:p w:rsidR="00CF20B5" w:rsidRPr="00CF20B5" w:rsidRDefault="00CF20B5" w:rsidP="00CF20B5">
      <w:pPr>
        <w:autoSpaceDE w:val="0"/>
        <w:autoSpaceDN w:val="0"/>
        <w:adjustRightInd w:val="0"/>
        <w:spacing w:before="120" w:after="0" w:line="240" w:lineRule="auto"/>
        <w:ind w:left="425"/>
        <w:jc w:val="both"/>
        <w:rPr>
          <w:rFonts w:ascii="Times New Roman" w:eastAsia="Times New Roman" w:hAnsi="Times New Roman" w:cs="Times New Roman"/>
          <w:b/>
          <w:bCs/>
        </w:rPr>
      </w:pPr>
      <w:r w:rsidRPr="00CF20B5">
        <w:rPr>
          <w:rFonts w:ascii="Times New Roman" w:eastAsia="Times New Roman" w:hAnsi="Times New Roman" w:cs="Times New Roman"/>
          <w:b/>
          <w:bCs/>
        </w:rPr>
        <w:t xml:space="preserve">Autonómiája és felelőssége: </w:t>
      </w:r>
    </w:p>
    <w:p w:rsidR="00CF20B5" w:rsidRPr="00CF20B5" w:rsidRDefault="00CF20B5"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CF20B5">
        <w:rPr>
          <w:rFonts w:ascii="Times New Roman" w:eastAsia="Calibri" w:hAnsi="Times New Roman" w:cs="Times New Roman"/>
        </w:rPr>
        <w:t>A katonai közlekedés szakterületén megjelenő folyamatokban képes önállóan döntéseket hozni, azokat felelősséggel, a jogszabályi keretek figyelembevételével végrehajtani.</w:t>
      </w:r>
    </w:p>
    <w:p w:rsidR="00CF20B5" w:rsidRPr="00CF20B5" w:rsidRDefault="00CF20B5"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CF20B5">
        <w:rPr>
          <w:rFonts w:ascii="Times New Roman" w:eastAsia="Calibri" w:hAnsi="Times New Roman" w:cs="Times New Roman"/>
        </w:rPr>
        <w:t>Tisztában van döntéseinek, tevékenységének a katonai logisztikai folyamatok egészére gyakorolt hatásaival, következményeivel.</w:t>
      </w:r>
    </w:p>
    <w:p w:rsidR="00CF20B5" w:rsidRPr="00CF20B5" w:rsidRDefault="00CF20B5"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CF20B5">
        <w:rPr>
          <w:rFonts w:ascii="Times New Roman" w:eastAsia="Calibri" w:hAnsi="Times New Roman" w:cs="Times New Roman"/>
        </w:rPr>
        <w:t>Szakmai feladatainak elvégzése során felelősségteljesen együttműködik más szakterület képzett szakembereivel is.</w:t>
      </w:r>
    </w:p>
    <w:p w:rsidR="00CF20B5" w:rsidRPr="00CF20B5" w:rsidRDefault="00CF20B5"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CF20B5">
        <w:rPr>
          <w:rFonts w:ascii="Times New Roman" w:eastAsia="Calibri" w:hAnsi="Times New Roman" w:cs="Times New Roman"/>
        </w:rPr>
        <w:t>Feltárja az alkalmazott technológiák hiányosságait, a folyamatok kockázatait és kezdeményezi az ezeket csökkentő intézkedések megtételét.</w:t>
      </w:r>
    </w:p>
    <w:p w:rsidR="00CF20B5" w:rsidRPr="00CF20B5" w:rsidRDefault="00CF20B5"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CF20B5">
        <w:rPr>
          <w:rFonts w:ascii="Times New Roman" w:eastAsia="Calibri" w:hAnsi="Times New Roman" w:cs="Times New Roman"/>
        </w:rPr>
        <w:t>Parancsnokának útmutatása alapján irányítja a rábízott személyi állomány munkavégzését, felügyeli a közlekedési, szállítási folyamatok tervezését, szervezését, végrehajtását, a közlekedési szaktechnikai eszközök üzemeltetését.</w:t>
      </w:r>
    </w:p>
    <w:p w:rsidR="00CF20B5" w:rsidRPr="00CF20B5" w:rsidRDefault="00CF20B5"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CF20B5">
        <w:rPr>
          <w:rFonts w:ascii="Times New Roman" w:eastAsia="Calibri" w:hAnsi="Times New Roman" w:cs="Times New Roman"/>
        </w:rPr>
        <w:t>Értékeli a beosztottak munkavégzésének hatékonyságát, eredményességét.</w:t>
      </w:r>
    </w:p>
    <w:p w:rsidR="00CF20B5" w:rsidRPr="00CF20B5" w:rsidRDefault="00CF20B5" w:rsidP="00CF20B5">
      <w:pPr>
        <w:widowControl w:val="0"/>
        <w:spacing w:before="120" w:after="120" w:line="240" w:lineRule="auto"/>
        <w:ind w:left="426"/>
        <w:jc w:val="both"/>
        <w:rPr>
          <w:rFonts w:ascii="Times New Roman" w:eastAsia="Times New Roman" w:hAnsi="Times New Roman" w:cs="Times New Roman"/>
          <w:b/>
          <w:bCs/>
          <w:lang w:val="en-US"/>
        </w:rPr>
      </w:pPr>
      <w:r w:rsidRPr="00CF20B5">
        <w:rPr>
          <w:rFonts w:ascii="Times New Roman" w:eastAsia="Times New Roman" w:hAnsi="Times New Roman" w:cs="Times New Roman"/>
          <w:b/>
          <w:bCs/>
        </w:rPr>
        <w:t>Elérendő kompetenciák (angolul) (</w:t>
      </w:r>
      <w:r w:rsidRPr="00CF20B5">
        <w:rPr>
          <w:rFonts w:ascii="Times New Roman" w:eastAsia="Times New Roman" w:hAnsi="Times New Roman" w:cs="Times New Roman"/>
          <w:b/>
          <w:bCs/>
          <w:lang w:val="en-US"/>
        </w:rPr>
        <w:t xml:space="preserve">Competences – English): </w:t>
      </w:r>
    </w:p>
    <w:p w:rsidR="00CF20B5" w:rsidRPr="00CF20B5" w:rsidRDefault="00CF20B5" w:rsidP="00CF20B5">
      <w:pPr>
        <w:widowControl w:val="0"/>
        <w:spacing w:before="120" w:after="120" w:line="240" w:lineRule="auto"/>
        <w:ind w:left="426"/>
        <w:jc w:val="both"/>
        <w:rPr>
          <w:rFonts w:ascii="Times New Roman" w:eastAsia="Times New Roman" w:hAnsi="Times New Roman" w:cs="Times New Roman"/>
          <w:lang w:val="en-GB"/>
        </w:rPr>
      </w:pPr>
      <w:r w:rsidRPr="00CF20B5">
        <w:rPr>
          <w:rFonts w:ascii="Times New Roman" w:eastAsia="Times New Roman" w:hAnsi="Times New Roman" w:cs="Times New Roman"/>
          <w:b/>
          <w:lang w:val="en-GB"/>
        </w:rPr>
        <w:t>Knowledge</w:t>
      </w:r>
      <w:r w:rsidRPr="00CF20B5">
        <w:rPr>
          <w:rFonts w:ascii="Times New Roman" w:eastAsia="Times New Roman" w:hAnsi="Times New Roman" w:cs="Times New Roman"/>
          <w:lang w:val="en-GB"/>
        </w:rPr>
        <w:t xml:space="preserve">: </w:t>
      </w:r>
    </w:p>
    <w:p w:rsidR="00CF20B5" w:rsidRPr="00CF20B5" w:rsidRDefault="00CF20B5"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CF20B5">
        <w:rPr>
          <w:rFonts w:ascii="Times New Roman" w:eastAsia="Calibri" w:hAnsi="Times New Roman" w:cs="Times New Roman"/>
        </w:rPr>
        <w:t>Knows the basics and requirements of logistics, management, environmental protection, quality assurance, information technology, law and economics, connected to the field of military transportation.</w:t>
      </w:r>
    </w:p>
    <w:p w:rsidR="00CF20B5" w:rsidRPr="00CF20B5" w:rsidRDefault="00CF20B5"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CF20B5">
        <w:rPr>
          <w:rFonts w:ascii="Times New Roman" w:eastAsia="Calibri" w:hAnsi="Times New Roman" w:cs="Times New Roman"/>
        </w:rPr>
        <w:t>Is familiar with the technical equipment used in military transportation, the transportation modes and facilities, and the rules of their use and operation.</w:t>
      </w:r>
    </w:p>
    <w:p w:rsidR="00CF20B5" w:rsidRPr="00CF20B5" w:rsidRDefault="00CF20B5"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CF20B5">
        <w:rPr>
          <w:rFonts w:ascii="Times New Roman" w:eastAsia="Calibri" w:hAnsi="Times New Roman" w:cs="Times New Roman"/>
        </w:rPr>
        <w:t>Is familiar with the tasks and responsibilities of stockpiling, storing, registering and inventorying of military transportation assets and is able to control these processes.</w:t>
      </w:r>
    </w:p>
    <w:p w:rsidR="00CF20B5" w:rsidRPr="00CF20B5" w:rsidRDefault="00CF20B5"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CF20B5">
        <w:rPr>
          <w:rFonts w:ascii="Times New Roman" w:eastAsia="Calibri" w:hAnsi="Times New Roman" w:cs="Times New Roman"/>
        </w:rPr>
        <w:t>Has a profound knowledge of the tasks and the system of military transportation and the unique characteristics of performing each task.</w:t>
      </w:r>
    </w:p>
    <w:p w:rsidR="00CF20B5" w:rsidRPr="00CF20B5" w:rsidRDefault="00CF20B5"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CF20B5">
        <w:rPr>
          <w:rFonts w:ascii="Times New Roman" w:eastAsia="Calibri" w:hAnsi="Times New Roman" w:cs="Times New Roman"/>
        </w:rPr>
        <w:t>Is familiar with the methods of assessing the requirements of military transportation and its feasibility and practical implementation.</w:t>
      </w:r>
    </w:p>
    <w:p w:rsidR="00CF20B5" w:rsidRPr="00CF20B5" w:rsidRDefault="00CF20B5" w:rsidP="00CF20B5">
      <w:pPr>
        <w:widowControl w:val="0"/>
        <w:spacing w:before="120" w:after="120" w:line="240" w:lineRule="auto"/>
        <w:ind w:left="426"/>
        <w:jc w:val="both"/>
        <w:rPr>
          <w:rFonts w:ascii="Times New Roman" w:eastAsia="Times New Roman" w:hAnsi="Times New Roman" w:cs="Times New Roman"/>
          <w:lang w:val="en-GB"/>
        </w:rPr>
      </w:pPr>
      <w:r w:rsidRPr="00CF20B5">
        <w:rPr>
          <w:rFonts w:ascii="Times New Roman" w:eastAsia="Times New Roman" w:hAnsi="Times New Roman" w:cs="Times New Roman"/>
          <w:b/>
          <w:lang w:val="en-GB"/>
        </w:rPr>
        <w:t>Capabilities</w:t>
      </w:r>
      <w:r w:rsidRPr="00CF20B5">
        <w:rPr>
          <w:rFonts w:ascii="Times New Roman" w:eastAsia="Times New Roman" w:hAnsi="Times New Roman" w:cs="Times New Roman"/>
          <w:lang w:val="en-GB"/>
        </w:rPr>
        <w:t>:</w:t>
      </w:r>
    </w:p>
    <w:p w:rsidR="00CF20B5" w:rsidRPr="00CF20B5" w:rsidRDefault="00CF20B5"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CF20B5">
        <w:rPr>
          <w:rFonts w:ascii="Times New Roman" w:eastAsia="Calibri" w:hAnsi="Times New Roman" w:cs="Times New Roman"/>
        </w:rPr>
        <w:t>Using his/her general and specialized military knowledge and skills, he/she is capable of planning, organizing, and conducting military transport, movement, and transportation tasks.</w:t>
      </w:r>
    </w:p>
    <w:p w:rsidR="00CF20B5" w:rsidRPr="00CF20B5" w:rsidRDefault="00CF20B5"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CF20B5">
        <w:rPr>
          <w:rFonts w:ascii="Times New Roman" w:eastAsia="Calibri" w:hAnsi="Times New Roman" w:cs="Times New Roman"/>
        </w:rPr>
        <w:t>Is capable of leading the execution of the tasks of a military transportation subunit in peace time and in crisis response, disaster relief, peace support and combat operations both in a national and a multinational environment.</w:t>
      </w:r>
    </w:p>
    <w:p w:rsidR="00CF20B5" w:rsidRPr="00CF20B5" w:rsidRDefault="00CF20B5"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CF20B5">
        <w:rPr>
          <w:rFonts w:ascii="Times New Roman" w:eastAsia="Calibri" w:hAnsi="Times New Roman" w:cs="Times New Roman"/>
        </w:rPr>
        <w:t>Is capable of planning, organizing and executing the tasks related to the application of traffic networks for military purposes.</w:t>
      </w:r>
    </w:p>
    <w:p w:rsidR="00CF20B5" w:rsidRPr="00CF20B5" w:rsidRDefault="00CF20B5"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CF20B5">
        <w:rPr>
          <w:rFonts w:ascii="Times New Roman" w:eastAsia="Calibri" w:hAnsi="Times New Roman" w:cs="Times New Roman"/>
        </w:rPr>
        <w:t>Is capable of applying traffic information systems to support transportation processes and formulating the basic user requirements related to them.</w:t>
      </w:r>
    </w:p>
    <w:p w:rsidR="00CF20B5" w:rsidRDefault="00CF20B5">
      <w:pPr>
        <w:spacing w:after="200" w:line="276" w:lineRule="auto"/>
        <w:rPr>
          <w:rFonts w:ascii="Times New Roman" w:eastAsia="Times New Roman" w:hAnsi="Times New Roman" w:cs="Times New Roman"/>
          <w:b/>
          <w:lang w:val="en-GB"/>
        </w:rPr>
      </w:pPr>
      <w:r>
        <w:rPr>
          <w:rFonts w:ascii="Times New Roman" w:eastAsia="Times New Roman" w:hAnsi="Times New Roman" w:cs="Times New Roman"/>
          <w:b/>
          <w:lang w:val="en-GB"/>
        </w:rPr>
        <w:br w:type="page"/>
      </w:r>
    </w:p>
    <w:p w:rsidR="00CF20B5" w:rsidRPr="00CF20B5" w:rsidRDefault="00CF20B5" w:rsidP="00CF2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lang w:val="en-GB"/>
        </w:rPr>
      </w:pPr>
      <w:r w:rsidRPr="00CF20B5">
        <w:rPr>
          <w:rFonts w:ascii="Times New Roman" w:eastAsia="Times New Roman" w:hAnsi="Times New Roman" w:cs="Times New Roman"/>
          <w:b/>
          <w:lang w:val="en-GB"/>
        </w:rPr>
        <w:lastRenderedPageBreak/>
        <w:t>Attitude:</w:t>
      </w:r>
    </w:p>
    <w:p w:rsidR="00CF20B5" w:rsidRPr="00CF20B5" w:rsidRDefault="00CF20B5"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CF20B5">
        <w:rPr>
          <w:rFonts w:ascii="Times New Roman" w:eastAsia="Calibri" w:hAnsi="Times New Roman" w:cs="Times New Roman"/>
        </w:rPr>
        <w:t>He/She is ready to become familiar with and adopt the professional and technological development and innovation in the field of military transportation, and also to pass it on and integrate it into his daily work.</w:t>
      </w:r>
    </w:p>
    <w:p w:rsidR="00CF20B5" w:rsidRPr="00CF20B5" w:rsidRDefault="00CF20B5"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CF20B5">
        <w:rPr>
          <w:rFonts w:ascii="Times New Roman" w:eastAsia="Calibri" w:hAnsi="Times New Roman" w:cs="Times New Roman"/>
        </w:rPr>
        <w:t>He/She strives for continuous self-education in the field of military transportation which is consistent with his/her professional goals.</w:t>
      </w:r>
    </w:p>
    <w:p w:rsidR="00CF20B5" w:rsidRPr="00CF20B5" w:rsidRDefault="00CF20B5"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CF20B5">
        <w:rPr>
          <w:rFonts w:ascii="Times New Roman" w:eastAsia="Calibri" w:hAnsi="Times New Roman" w:cs="Times New Roman"/>
        </w:rPr>
        <w:t>He/She is committed to high quality in his/her professional work, with special emphasis on the safe execution of the transportation tasks and processes.</w:t>
      </w:r>
    </w:p>
    <w:p w:rsidR="00CF20B5" w:rsidRPr="00CF20B5" w:rsidRDefault="00CF20B5"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CF20B5">
        <w:rPr>
          <w:rFonts w:ascii="Times New Roman" w:eastAsia="Calibri" w:hAnsi="Times New Roman" w:cs="Times New Roman"/>
        </w:rPr>
        <w:t>He/She is interested in promoting the professional development of his/her subordinates, and provides assistance in their efforts.</w:t>
      </w:r>
    </w:p>
    <w:p w:rsidR="00CF20B5" w:rsidRPr="00CF20B5" w:rsidRDefault="00CF20B5"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CF20B5">
        <w:rPr>
          <w:rFonts w:ascii="Times New Roman" w:eastAsia="Calibri" w:hAnsi="Times New Roman" w:cs="Times New Roman"/>
        </w:rPr>
        <w:t>He/she is willing to share his/her experience with his/her colleagues to further their professional development.</w:t>
      </w:r>
    </w:p>
    <w:p w:rsidR="00CF20B5" w:rsidRPr="00CF20B5" w:rsidRDefault="00CF20B5" w:rsidP="00CF20B5">
      <w:pPr>
        <w:widowControl w:val="0"/>
        <w:spacing w:before="120" w:after="120" w:line="240" w:lineRule="auto"/>
        <w:ind w:left="426"/>
        <w:jc w:val="both"/>
        <w:rPr>
          <w:rFonts w:ascii="Times New Roman" w:eastAsia="Times New Roman" w:hAnsi="Times New Roman" w:cs="Times New Roman"/>
          <w:b/>
          <w:lang w:val="en-GB"/>
        </w:rPr>
      </w:pPr>
      <w:r w:rsidRPr="00CF20B5">
        <w:rPr>
          <w:rFonts w:ascii="Times New Roman" w:eastAsia="Times New Roman" w:hAnsi="Times New Roman" w:cs="Times New Roman"/>
          <w:b/>
          <w:lang w:val="en-GB"/>
        </w:rPr>
        <w:t xml:space="preserve">Autonomy and responsibility: </w:t>
      </w:r>
    </w:p>
    <w:p w:rsidR="00CF20B5" w:rsidRPr="00CF20B5" w:rsidRDefault="00CF20B5"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CF20B5">
        <w:rPr>
          <w:rFonts w:ascii="Times New Roman" w:eastAsia="Calibri" w:hAnsi="Times New Roman" w:cs="Times New Roman"/>
        </w:rPr>
        <w:t>He/She is able to make decisions independently in the processes arising in the field of military transportation, and to implement them with responsibility and within the legal framework.</w:t>
      </w:r>
    </w:p>
    <w:p w:rsidR="00CF20B5" w:rsidRPr="00CF20B5" w:rsidRDefault="00CF20B5"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CF20B5">
        <w:rPr>
          <w:rFonts w:ascii="Times New Roman" w:eastAsia="Calibri" w:hAnsi="Times New Roman" w:cs="Times New Roman"/>
        </w:rPr>
        <w:t>He/She is aware of the effects and consequences of his decisions and activities on the military logistic processes as a whole.</w:t>
      </w:r>
    </w:p>
    <w:p w:rsidR="00CF20B5" w:rsidRPr="00CF20B5" w:rsidRDefault="00CF20B5"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CF20B5">
        <w:rPr>
          <w:rFonts w:ascii="Times New Roman" w:eastAsia="Calibri" w:hAnsi="Times New Roman" w:cs="Times New Roman"/>
        </w:rPr>
        <w:t xml:space="preserve">During his/her professional duties, he/she is willing to responsibly cooperate with specialists of other areas. </w:t>
      </w:r>
    </w:p>
    <w:p w:rsidR="00CF20B5" w:rsidRPr="00CF20B5" w:rsidRDefault="00CF20B5"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CF20B5">
        <w:rPr>
          <w:rFonts w:ascii="Times New Roman" w:eastAsia="Calibri" w:hAnsi="Times New Roman" w:cs="Times New Roman"/>
        </w:rPr>
        <w:t>He/She can identify the deficiencies and risks in the applied technologies and initiates taking measures to reduce their impact.</w:t>
      </w:r>
    </w:p>
    <w:p w:rsidR="00CF20B5" w:rsidRPr="00CF20B5" w:rsidRDefault="00CF20B5"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CF20B5">
        <w:rPr>
          <w:rFonts w:ascii="Times New Roman" w:eastAsia="Calibri" w:hAnsi="Times New Roman" w:cs="Times New Roman"/>
        </w:rPr>
        <w:t>Under the guidance of his/her commander, he/she controls the work of the personnel under his/her command and supervises the planning, organization and implementation of the transport and transportation processes, and also the operation of the technical equipment used in military transportation.</w:t>
      </w:r>
    </w:p>
    <w:p w:rsidR="00CF20B5" w:rsidRPr="00CF20B5" w:rsidRDefault="00CF20B5"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CF20B5">
        <w:rPr>
          <w:rFonts w:ascii="Times New Roman" w:eastAsia="Calibri" w:hAnsi="Times New Roman" w:cs="Times New Roman"/>
        </w:rPr>
        <w:t>He/She continuously evaluates the efficiency and effectiveness of his/her subordinates' work.</w:t>
      </w:r>
    </w:p>
    <w:p w:rsidR="00CF20B5" w:rsidRPr="00CF20B5" w:rsidRDefault="00CF20B5" w:rsidP="00980876">
      <w:pPr>
        <w:widowControl w:val="0"/>
        <w:numPr>
          <w:ilvl w:val="0"/>
          <w:numId w:val="538"/>
        </w:numPr>
        <w:tabs>
          <w:tab w:val="num" w:pos="567"/>
        </w:tabs>
        <w:spacing w:before="120" w:after="120" w:line="240" w:lineRule="auto"/>
        <w:ind w:left="426" w:hanging="142"/>
        <w:jc w:val="both"/>
        <w:rPr>
          <w:rFonts w:ascii="Times New Roman" w:eastAsia="Times New Roman" w:hAnsi="Times New Roman" w:cs="Times New Roman"/>
          <w:bCs/>
        </w:rPr>
      </w:pPr>
      <w:r w:rsidRPr="00CF20B5">
        <w:rPr>
          <w:rFonts w:ascii="Times New Roman" w:eastAsia="Times New Roman" w:hAnsi="Times New Roman" w:cs="Times New Roman"/>
          <w:b/>
          <w:bCs/>
        </w:rPr>
        <w:t xml:space="preserve">Előtanulmányi követelmények: </w:t>
      </w:r>
      <w:r w:rsidRPr="00CF20B5">
        <w:rPr>
          <w:rFonts w:ascii="Times New Roman" w:eastAsia="Calibri" w:hAnsi="Times New Roman" w:cs="Calibri"/>
        </w:rPr>
        <w:t>Nincs</w:t>
      </w:r>
    </w:p>
    <w:p w:rsidR="00CF20B5" w:rsidRPr="00CF20B5" w:rsidRDefault="00CF20B5" w:rsidP="00980876">
      <w:pPr>
        <w:widowControl w:val="0"/>
        <w:numPr>
          <w:ilvl w:val="0"/>
          <w:numId w:val="538"/>
        </w:numPr>
        <w:spacing w:before="120" w:after="120" w:line="240" w:lineRule="auto"/>
        <w:ind w:left="426" w:hanging="142"/>
        <w:jc w:val="both"/>
        <w:rPr>
          <w:rFonts w:ascii="Times New Roman" w:eastAsia="Times New Roman" w:hAnsi="Times New Roman" w:cs="Times New Roman"/>
          <w:b/>
          <w:bCs/>
        </w:rPr>
      </w:pPr>
      <w:r w:rsidRPr="00CF20B5">
        <w:rPr>
          <w:rFonts w:ascii="Times New Roman" w:eastAsia="Times New Roman" w:hAnsi="Times New Roman" w:cs="Times New Roman"/>
          <w:b/>
          <w:bCs/>
        </w:rPr>
        <w:t>A tantárgy tananyagának leírása, tematika. Description of the subject, curriculum (magyarul, angolul - English):</w:t>
      </w:r>
    </w:p>
    <w:p w:rsidR="00CF20B5" w:rsidRPr="00CF20B5" w:rsidRDefault="00CF20B5" w:rsidP="00980876">
      <w:pPr>
        <w:numPr>
          <w:ilvl w:val="1"/>
          <w:numId w:val="538"/>
        </w:numPr>
        <w:tabs>
          <w:tab w:val="clear" w:pos="3977"/>
        </w:tabs>
        <w:spacing w:before="60" w:after="0" w:line="240" w:lineRule="auto"/>
        <w:ind w:left="1134" w:hanging="573"/>
        <w:jc w:val="both"/>
        <w:rPr>
          <w:rFonts w:ascii="Times New Roman" w:eastAsia="Calibri" w:hAnsi="Times New Roman" w:cs="Calibri"/>
          <w:i/>
        </w:rPr>
      </w:pPr>
      <w:r w:rsidRPr="00CF20B5">
        <w:rPr>
          <w:rFonts w:ascii="Times New Roman" w:eastAsia="Calibri" w:hAnsi="Times New Roman" w:cs="Calibri"/>
          <w:lang w:val="en"/>
        </w:rPr>
        <w:t xml:space="preserve">Műveletek logisztikai támogatása. </w:t>
      </w:r>
      <w:r w:rsidRPr="00CF20B5">
        <w:rPr>
          <w:rFonts w:ascii="Times New Roman" w:eastAsia="Calibri" w:hAnsi="Times New Roman" w:cs="Calibri"/>
          <w:i/>
          <w:lang w:val="en"/>
        </w:rPr>
        <w:t>(Operations logistic support)</w:t>
      </w:r>
    </w:p>
    <w:p w:rsidR="00CF20B5" w:rsidRPr="00CF20B5" w:rsidRDefault="00CF20B5" w:rsidP="00980876">
      <w:pPr>
        <w:numPr>
          <w:ilvl w:val="1"/>
          <w:numId w:val="538"/>
        </w:numPr>
        <w:tabs>
          <w:tab w:val="clear" w:pos="3977"/>
        </w:tabs>
        <w:spacing w:before="60" w:after="0" w:line="240" w:lineRule="auto"/>
        <w:ind w:left="1134" w:hanging="573"/>
        <w:jc w:val="both"/>
        <w:rPr>
          <w:rFonts w:ascii="Times New Roman" w:eastAsia="Calibri" w:hAnsi="Times New Roman" w:cs="Calibri"/>
          <w:i/>
          <w:lang w:val="en"/>
        </w:rPr>
      </w:pPr>
      <w:r w:rsidRPr="00CF20B5">
        <w:rPr>
          <w:rFonts w:ascii="Times New Roman" w:eastAsia="Calibri" w:hAnsi="Times New Roman" w:cs="Calibri"/>
          <w:lang w:val="en"/>
        </w:rPr>
        <w:t>Logisztikai művelettervezés</w:t>
      </w:r>
      <w:r w:rsidRPr="00CF20B5">
        <w:rPr>
          <w:rFonts w:ascii="Times New Roman" w:eastAsia="Calibri" w:hAnsi="Times New Roman" w:cs="Calibri"/>
          <w:b/>
          <w:lang w:val="en"/>
        </w:rPr>
        <w:t xml:space="preserve">. </w:t>
      </w:r>
      <w:r w:rsidRPr="00CF20B5">
        <w:rPr>
          <w:rFonts w:ascii="Times New Roman" w:eastAsia="Calibri" w:hAnsi="Times New Roman" w:cs="Calibri"/>
          <w:i/>
          <w:lang w:val="en"/>
        </w:rPr>
        <w:t>(Logistic operations planning)</w:t>
      </w:r>
    </w:p>
    <w:p w:rsidR="00CF20B5" w:rsidRPr="00CF20B5" w:rsidRDefault="00CF20B5" w:rsidP="00980876">
      <w:pPr>
        <w:numPr>
          <w:ilvl w:val="1"/>
          <w:numId w:val="538"/>
        </w:numPr>
        <w:tabs>
          <w:tab w:val="clear" w:pos="3977"/>
        </w:tabs>
        <w:spacing w:before="60" w:after="0" w:line="240" w:lineRule="auto"/>
        <w:ind w:left="1134" w:hanging="573"/>
        <w:jc w:val="both"/>
        <w:rPr>
          <w:rFonts w:ascii="Times New Roman" w:eastAsia="Calibri" w:hAnsi="Times New Roman" w:cs="Calibri"/>
          <w:i/>
          <w:lang w:val="en"/>
        </w:rPr>
      </w:pPr>
      <w:r w:rsidRPr="00CF20B5">
        <w:rPr>
          <w:rFonts w:ascii="Times New Roman" w:eastAsia="Calibri" w:hAnsi="Times New Roman" w:cs="Calibri"/>
        </w:rPr>
        <w:t xml:space="preserve">Az ellátási lánc tervezése. </w:t>
      </w:r>
      <w:r w:rsidRPr="00CF20B5">
        <w:rPr>
          <w:rFonts w:ascii="Times New Roman" w:eastAsia="Calibri" w:hAnsi="Times New Roman" w:cs="Calibri"/>
          <w:i/>
          <w:lang w:val="en"/>
        </w:rPr>
        <w:t>(Supply chain planning)</w:t>
      </w:r>
    </w:p>
    <w:p w:rsidR="00CF20B5" w:rsidRPr="00CF20B5" w:rsidRDefault="00CF20B5" w:rsidP="00980876">
      <w:pPr>
        <w:numPr>
          <w:ilvl w:val="1"/>
          <w:numId w:val="538"/>
        </w:numPr>
        <w:tabs>
          <w:tab w:val="clear" w:pos="3977"/>
        </w:tabs>
        <w:spacing w:before="60" w:after="0" w:line="240" w:lineRule="auto"/>
        <w:ind w:left="1134" w:hanging="573"/>
        <w:jc w:val="both"/>
        <w:rPr>
          <w:rFonts w:ascii="Times New Roman" w:eastAsia="Calibri" w:hAnsi="Times New Roman" w:cs="Calibri"/>
          <w:i/>
          <w:lang w:val="en"/>
        </w:rPr>
      </w:pPr>
      <w:r w:rsidRPr="00CF20B5">
        <w:rPr>
          <w:rFonts w:ascii="Times New Roman" w:eastAsia="Calibri" w:hAnsi="Times New Roman" w:cs="Calibri"/>
        </w:rPr>
        <w:t>A szükségletek tervezése</w:t>
      </w:r>
      <w:r w:rsidRPr="00CF20B5">
        <w:rPr>
          <w:rFonts w:ascii="Times New Roman" w:eastAsia="Calibri" w:hAnsi="Times New Roman" w:cs="Calibri"/>
          <w:b/>
        </w:rPr>
        <w:t xml:space="preserve">. </w:t>
      </w:r>
      <w:r w:rsidRPr="00CF20B5">
        <w:rPr>
          <w:rFonts w:ascii="Times New Roman" w:eastAsia="Calibri" w:hAnsi="Times New Roman" w:cs="Calibri"/>
          <w:i/>
          <w:lang w:val="en"/>
        </w:rPr>
        <w:t>(Demand planning)</w:t>
      </w:r>
    </w:p>
    <w:p w:rsidR="00CF20B5" w:rsidRPr="00CF20B5" w:rsidRDefault="00CF20B5" w:rsidP="00980876">
      <w:pPr>
        <w:numPr>
          <w:ilvl w:val="1"/>
          <w:numId w:val="538"/>
        </w:numPr>
        <w:tabs>
          <w:tab w:val="clear" w:pos="3977"/>
        </w:tabs>
        <w:spacing w:before="60" w:after="0" w:line="240" w:lineRule="auto"/>
        <w:ind w:left="1134" w:hanging="573"/>
        <w:jc w:val="both"/>
        <w:rPr>
          <w:rFonts w:ascii="Times New Roman" w:eastAsia="Calibri" w:hAnsi="Times New Roman" w:cs="Calibri"/>
        </w:rPr>
      </w:pPr>
      <w:r w:rsidRPr="00CF20B5">
        <w:rPr>
          <w:rFonts w:ascii="Times New Roman" w:eastAsia="Calibri" w:hAnsi="Times New Roman" w:cs="Calibri"/>
          <w:lang w:val="en"/>
        </w:rPr>
        <w:t xml:space="preserve">Logisztikai felderítés. </w:t>
      </w:r>
      <w:r w:rsidRPr="00CF20B5">
        <w:rPr>
          <w:rFonts w:ascii="Times New Roman" w:eastAsia="Calibri" w:hAnsi="Times New Roman" w:cs="Calibri"/>
          <w:i/>
          <w:lang w:val="en"/>
        </w:rPr>
        <w:t>(Logistic reconnaissance)</w:t>
      </w:r>
    </w:p>
    <w:p w:rsidR="00CF20B5" w:rsidRPr="00CF20B5" w:rsidRDefault="00CF20B5" w:rsidP="00980876">
      <w:pPr>
        <w:numPr>
          <w:ilvl w:val="1"/>
          <w:numId w:val="538"/>
        </w:numPr>
        <w:tabs>
          <w:tab w:val="clear" w:pos="3977"/>
        </w:tabs>
        <w:spacing w:before="60" w:after="0" w:line="240" w:lineRule="auto"/>
        <w:ind w:left="1134" w:hanging="573"/>
        <w:jc w:val="both"/>
        <w:rPr>
          <w:rFonts w:ascii="Times New Roman" w:eastAsia="Calibri" w:hAnsi="Times New Roman" w:cs="Calibri"/>
          <w:i/>
          <w:lang w:val="en"/>
        </w:rPr>
      </w:pPr>
      <w:r w:rsidRPr="00CF20B5">
        <w:rPr>
          <w:rFonts w:ascii="Times New Roman" w:eastAsia="Calibri" w:hAnsi="Times New Roman" w:cs="Calibri"/>
          <w:lang w:val="en"/>
        </w:rPr>
        <w:t>Útak, úthálózatok felderítése.</w:t>
      </w:r>
      <w:r w:rsidRPr="00CF20B5">
        <w:rPr>
          <w:rFonts w:ascii="Times New Roman" w:eastAsia="Calibri" w:hAnsi="Times New Roman" w:cs="Calibri"/>
          <w:b/>
          <w:lang w:val="en"/>
        </w:rPr>
        <w:t xml:space="preserve"> </w:t>
      </w:r>
      <w:r w:rsidRPr="00CF20B5">
        <w:rPr>
          <w:rFonts w:ascii="Times New Roman" w:eastAsia="Calibri" w:hAnsi="Times New Roman" w:cs="Calibri"/>
          <w:i/>
          <w:lang w:val="en"/>
        </w:rPr>
        <w:t>(Recce of roads and roads network)</w:t>
      </w:r>
    </w:p>
    <w:p w:rsidR="00CF20B5" w:rsidRPr="00CF20B5" w:rsidRDefault="00CF20B5" w:rsidP="00980876">
      <w:pPr>
        <w:numPr>
          <w:ilvl w:val="1"/>
          <w:numId w:val="538"/>
        </w:numPr>
        <w:tabs>
          <w:tab w:val="clear" w:pos="3977"/>
        </w:tabs>
        <w:spacing w:before="60" w:after="0" w:line="240" w:lineRule="auto"/>
        <w:ind w:left="1134" w:hanging="573"/>
        <w:jc w:val="both"/>
        <w:rPr>
          <w:rFonts w:ascii="Times New Roman" w:eastAsia="Calibri" w:hAnsi="Times New Roman" w:cs="Calibri"/>
          <w:i/>
          <w:lang w:val="en"/>
        </w:rPr>
      </w:pPr>
      <w:r w:rsidRPr="00CF20B5">
        <w:rPr>
          <w:rFonts w:ascii="Times New Roman" w:eastAsia="Calibri" w:hAnsi="Times New Roman" w:cs="Calibri"/>
          <w:lang w:val="en"/>
        </w:rPr>
        <w:t>Vasúthálózatok felderítése</w:t>
      </w:r>
      <w:r w:rsidRPr="00CF20B5">
        <w:rPr>
          <w:rFonts w:ascii="Times New Roman" w:eastAsia="Calibri" w:hAnsi="Times New Roman" w:cs="Calibri"/>
          <w:b/>
          <w:lang w:val="en"/>
        </w:rPr>
        <w:t xml:space="preserve"> </w:t>
      </w:r>
      <w:r w:rsidRPr="00CF20B5">
        <w:rPr>
          <w:rFonts w:ascii="Times New Roman" w:eastAsia="Calibri" w:hAnsi="Times New Roman" w:cs="Calibri"/>
          <w:i/>
          <w:lang w:val="en"/>
        </w:rPr>
        <w:t>(Recce of railway network.)</w:t>
      </w:r>
    </w:p>
    <w:p w:rsidR="00CF20B5" w:rsidRPr="00CF20B5" w:rsidRDefault="00CF20B5" w:rsidP="00980876">
      <w:pPr>
        <w:widowControl w:val="0"/>
        <w:numPr>
          <w:ilvl w:val="0"/>
          <w:numId w:val="538"/>
        </w:numPr>
        <w:tabs>
          <w:tab w:val="num" w:pos="360"/>
        </w:tabs>
        <w:spacing w:before="120" w:after="120" w:line="240" w:lineRule="auto"/>
        <w:ind w:left="426" w:hanging="142"/>
        <w:jc w:val="both"/>
        <w:rPr>
          <w:rFonts w:ascii="Times New Roman" w:eastAsia="Times New Roman" w:hAnsi="Times New Roman" w:cs="Times New Roman"/>
          <w:bCs/>
        </w:rPr>
      </w:pPr>
      <w:r w:rsidRPr="00CF20B5">
        <w:rPr>
          <w:rFonts w:ascii="Times New Roman" w:eastAsia="Times New Roman" w:hAnsi="Times New Roman" w:cs="Times New Roman"/>
          <w:b/>
          <w:bCs/>
        </w:rPr>
        <w:t xml:space="preserve">A tantárgy meghirdetésének gyakorisága/a tantervben történő félévi elhelyezkedése: </w:t>
      </w:r>
      <w:r w:rsidRPr="00CF20B5">
        <w:rPr>
          <w:rFonts w:ascii="Times New Roman" w:eastAsia="Times New Roman" w:hAnsi="Times New Roman" w:cs="Times New Roman"/>
          <w:bCs/>
        </w:rPr>
        <w:t>7. félév</w:t>
      </w:r>
    </w:p>
    <w:p w:rsidR="00CF20B5" w:rsidRPr="00CF20B5" w:rsidRDefault="00CF20B5" w:rsidP="00980876">
      <w:pPr>
        <w:widowControl w:val="0"/>
        <w:numPr>
          <w:ilvl w:val="0"/>
          <w:numId w:val="538"/>
        </w:numPr>
        <w:tabs>
          <w:tab w:val="num" w:pos="360"/>
        </w:tabs>
        <w:spacing w:before="120" w:after="120" w:line="240" w:lineRule="auto"/>
        <w:ind w:left="426" w:hanging="142"/>
        <w:jc w:val="both"/>
        <w:rPr>
          <w:rFonts w:ascii="Times New Roman" w:eastAsia="Times New Roman" w:hAnsi="Times New Roman" w:cs="Times New Roman"/>
          <w:bCs/>
        </w:rPr>
      </w:pPr>
      <w:r w:rsidRPr="00CF20B5">
        <w:rPr>
          <w:rFonts w:ascii="Times New Roman" w:eastAsia="Times New Roman" w:hAnsi="Times New Roman" w:cs="Times New Roman"/>
          <w:b/>
          <w:bCs/>
        </w:rPr>
        <w:t>A tanórákon való részvétel követelményei, az elfogadható hiányzások mértéke, a távolmaradás pótlásának lehetősége:</w:t>
      </w:r>
      <w:r w:rsidRPr="00CF20B5">
        <w:rPr>
          <w:rFonts w:ascii="Times New Roman" w:eastAsia="Times New Roman" w:hAnsi="Times New Roman" w:cs="Times New Roman"/>
          <w:bCs/>
        </w:rPr>
        <w:t xml:space="preserve"> </w:t>
      </w:r>
    </w:p>
    <w:p w:rsidR="00CF20B5" w:rsidRPr="00CF20B5" w:rsidRDefault="00CF20B5" w:rsidP="00CF20B5">
      <w:pPr>
        <w:widowControl w:val="0"/>
        <w:spacing w:before="120" w:after="120" w:line="240" w:lineRule="auto"/>
        <w:ind w:left="426"/>
        <w:jc w:val="both"/>
        <w:rPr>
          <w:rFonts w:ascii="Times New Roman" w:eastAsia="Times New Roman" w:hAnsi="Times New Roman" w:cs="Times New Roman"/>
          <w:bCs/>
          <w:highlight w:val="lightGray"/>
        </w:rPr>
      </w:pPr>
      <w:r w:rsidRPr="00CF20B5">
        <w:rPr>
          <w:rFonts w:ascii="Times New Roman" w:eastAsia="Times New Roman" w:hAnsi="Times New Roman" w:cs="Times New Roman"/>
          <w:bCs/>
          <w:sz w:val="24"/>
          <w:szCs w:val="24"/>
          <w:lang w:eastAsia="hu-HU"/>
        </w:rPr>
        <w:t>A tanórákon való részvétel kötelező, megengedett hiányzás mértéke 25%. Hiányzás esetén órapótlásra nincs lehetőség, a hallgató az előadás anyagát önállóan pótolja. A 25%-ot meghaladó hiányzás az aláírás megtagadását vonja maga után.</w:t>
      </w:r>
    </w:p>
    <w:p w:rsidR="00CF20B5" w:rsidRPr="00CF20B5" w:rsidRDefault="00CF20B5" w:rsidP="00980876">
      <w:pPr>
        <w:widowControl w:val="0"/>
        <w:numPr>
          <w:ilvl w:val="0"/>
          <w:numId w:val="538"/>
        </w:numPr>
        <w:tabs>
          <w:tab w:val="num" w:pos="360"/>
        </w:tabs>
        <w:spacing w:before="120" w:after="120" w:line="240" w:lineRule="auto"/>
        <w:ind w:left="426" w:hanging="142"/>
        <w:jc w:val="both"/>
        <w:rPr>
          <w:rFonts w:ascii="Times New Roman" w:eastAsia="Times New Roman" w:hAnsi="Times New Roman" w:cs="Times New Roman"/>
          <w:bCs/>
        </w:rPr>
      </w:pPr>
      <w:r w:rsidRPr="00CF20B5">
        <w:rPr>
          <w:rFonts w:ascii="Times New Roman" w:eastAsia="Times New Roman" w:hAnsi="Times New Roman" w:cs="Times New Roman"/>
          <w:b/>
        </w:rPr>
        <w:t>Félévközi feladatok, ismeretek ellenőrzésének rendje:</w:t>
      </w:r>
      <w:r w:rsidRPr="00CF20B5">
        <w:rPr>
          <w:rFonts w:ascii="Times New Roman" w:eastAsia="Times New Roman" w:hAnsi="Times New Roman" w:cs="Times New Roman"/>
          <w:bCs/>
        </w:rPr>
        <w:t xml:space="preserve"> </w:t>
      </w:r>
    </w:p>
    <w:p w:rsidR="00CF20B5" w:rsidRPr="00CF20B5" w:rsidRDefault="00CF20B5" w:rsidP="00CF20B5">
      <w:pPr>
        <w:widowControl w:val="0"/>
        <w:spacing w:before="120" w:after="120" w:line="240" w:lineRule="auto"/>
        <w:ind w:left="426"/>
        <w:jc w:val="both"/>
        <w:rPr>
          <w:rFonts w:ascii="Times New Roman" w:eastAsia="Calibri" w:hAnsi="Times New Roman" w:cs="Calibri"/>
          <w:lang w:val="x-none" w:eastAsia="x-none"/>
        </w:rPr>
      </w:pPr>
      <w:r w:rsidRPr="00CF20B5">
        <w:rPr>
          <w:rFonts w:ascii="Times New Roman" w:eastAsia="Calibri" w:hAnsi="Times New Roman" w:cs="Calibri"/>
          <w:lang w:val="x-none" w:eastAsia="x-none"/>
        </w:rPr>
        <w:t xml:space="preserve">A félév során </w:t>
      </w:r>
      <w:r w:rsidRPr="00CF20B5">
        <w:rPr>
          <w:rFonts w:ascii="Times New Roman" w:eastAsia="Calibri" w:hAnsi="Times New Roman" w:cs="Calibri"/>
          <w:lang w:eastAsia="x-none"/>
        </w:rPr>
        <w:t>egy</w:t>
      </w:r>
      <w:r w:rsidRPr="00CF20B5">
        <w:rPr>
          <w:rFonts w:ascii="Times New Roman" w:eastAsia="Calibri" w:hAnsi="Times New Roman" w:cs="Calibri"/>
          <w:lang w:val="x-none" w:eastAsia="x-none"/>
        </w:rPr>
        <w:t xml:space="preserve"> házi feladatot kell elkészíteni minimálisan 10 oldal</w:t>
      </w:r>
      <w:r w:rsidRPr="00CF20B5">
        <w:rPr>
          <w:rFonts w:ascii="Times New Roman" w:eastAsia="Calibri" w:hAnsi="Times New Roman" w:cs="Calibri"/>
          <w:b/>
          <w:lang w:val="x-none" w:eastAsia="x-none"/>
        </w:rPr>
        <w:t xml:space="preserve"> </w:t>
      </w:r>
      <w:r w:rsidRPr="00CF20B5">
        <w:rPr>
          <w:rFonts w:ascii="Times New Roman" w:eastAsia="Calibri" w:hAnsi="Times New Roman" w:cs="Calibri"/>
          <w:lang w:val="x-none" w:eastAsia="x-none"/>
        </w:rPr>
        <w:t>terjedelemben, a szakdolgozatnak megfelelő formai követelményekkel</w:t>
      </w:r>
      <w:r w:rsidRPr="00CF20B5">
        <w:rPr>
          <w:rFonts w:ascii="Times New Roman" w:eastAsia="Calibri" w:hAnsi="Times New Roman" w:cs="Calibri"/>
          <w:lang w:eastAsia="x-none"/>
        </w:rPr>
        <w:t xml:space="preserve"> </w:t>
      </w:r>
      <w:r w:rsidRPr="00CF20B5">
        <w:rPr>
          <w:rFonts w:ascii="Times New Roman" w:eastAsia="Calibri" w:hAnsi="Times New Roman" w:cs="Calibri"/>
        </w:rPr>
        <w:t>(TVSZ 5. melléklet)</w:t>
      </w:r>
      <w:r w:rsidRPr="00CF20B5">
        <w:rPr>
          <w:rFonts w:ascii="Times New Roman" w:eastAsia="Calibri" w:hAnsi="Times New Roman" w:cs="Calibri"/>
          <w:lang w:val="x-none" w:eastAsia="x-none"/>
        </w:rPr>
        <w:t xml:space="preserve">. </w:t>
      </w:r>
      <w:r w:rsidRPr="00CF20B5">
        <w:rPr>
          <w:rFonts w:ascii="Times New Roman" w:eastAsia="Calibri" w:hAnsi="Times New Roman" w:cs="Calibri"/>
          <w:lang w:eastAsia="x-none"/>
        </w:rPr>
        <w:t xml:space="preserve">A 10 oldal terjedelembe a bevezető, a fő rész és a befejezés tartozik csak. </w:t>
      </w:r>
      <w:r w:rsidRPr="00CF20B5">
        <w:rPr>
          <w:rFonts w:ascii="Times New Roman" w:eastAsia="Calibri" w:hAnsi="Times New Roman" w:cs="Calibri"/>
          <w:lang w:val="x-none" w:eastAsia="x-none"/>
        </w:rPr>
        <w:t>Az írásbeli munka témáját a hallgató választja</w:t>
      </w:r>
      <w:r w:rsidRPr="00CF20B5">
        <w:rPr>
          <w:rFonts w:ascii="Times New Roman" w:eastAsia="Calibri" w:hAnsi="Times New Roman" w:cs="Calibri"/>
          <w:lang w:eastAsia="x-none"/>
        </w:rPr>
        <w:t>,</w:t>
      </w:r>
      <w:r w:rsidRPr="00CF20B5">
        <w:rPr>
          <w:rFonts w:ascii="Times New Roman" w:eastAsia="Calibri" w:hAnsi="Times New Roman" w:cs="Calibri"/>
          <w:lang w:val="x-none" w:eastAsia="x-none"/>
        </w:rPr>
        <w:t xml:space="preserve"> a kurzus oktatója </w:t>
      </w:r>
      <w:r w:rsidRPr="00CF20B5">
        <w:rPr>
          <w:rFonts w:ascii="Times New Roman" w:eastAsia="Calibri" w:hAnsi="Times New Roman" w:cs="Calibri"/>
          <w:lang w:eastAsia="x-none"/>
        </w:rPr>
        <w:t>jóváhagyja</w:t>
      </w:r>
      <w:r w:rsidRPr="00CF20B5">
        <w:rPr>
          <w:rFonts w:ascii="Times New Roman" w:eastAsia="Calibri" w:hAnsi="Times New Roman" w:cs="Calibri"/>
          <w:lang w:val="x-none" w:eastAsia="x-none"/>
        </w:rPr>
        <w:t xml:space="preserve">. A szorgalmi időszakban a beadási határidőig </w:t>
      </w:r>
      <w:r w:rsidRPr="00CF20B5">
        <w:rPr>
          <w:rFonts w:ascii="Times New Roman" w:eastAsia="Calibri" w:hAnsi="Times New Roman" w:cs="Calibri"/>
          <w:lang w:val="x-none" w:eastAsia="x-none"/>
        </w:rPr>
        <w:lastRenderedPageBreak/>
        <w:t xml:space="preserve">leadott feladat </w:t>
      </w:r>
      <w:r w:rsidRPr="00CF20B5">
        <w:rPr>
          <w:rFonts w:ascii="Times New Roman" w:eastAsia="Calibri" w:hAnsi="Times New Roman" w:cs="Calibri"/>
          <w:lang w:eastAsia="x-none"/>
        </w:rPr>
        <w:t>ötfokozatú skálán értékelendő</w:t>
      </w:r>
      <w:r w:rsidRPr="00CF20B5">
        <w:rPr>
          <w:rFonts w:ascii="Times New Roman" w:eastAsia="Calibri" w:hAnsi="Times New Roman" w:cs="Calibri"/>
          <w:lang w:val="x-none" w:eastAsia="x-none"/>
        </w:rPr>
        <w:t>, azt javítani a vizsgaidőszak első hetén egy alkalommal lehet.</w:t>
      </w:r>
    </w:p>
    <w:p w:rsidR="00CF20B5" w:rsidRPr="00CF20B5" w:rsidRDefault="00CF20B5" w:rsidP="00CF20B5">
      <w:pPr>
        <w:widowControl w:val="0"/>
        <w:spacing w:before="120" w:after="120" w:line="240" w:lineRule="auto"/>
        <w:ind w:left="426"/>
        <w:jc w:val="both"/>
        <w:rPr>
          <w:rFonts w:ascii="Calibri" w:eastAsia="Times New Roman" w:hAnsi="Calibri" w:cs="Times New Roman"/>
          <w:lang w:eastAsia="x-none"/>
        </w:rPr>
      </w:pPr>
      <w:r w:rsidRPr="00CF20B5">
        <w:rPr>
          <w:rFonts w:ascii="Times New Roman" w:eastAsia="Calibri" w:hAnsi="Times New Roman" w:cs="Calibri"/>
        </w:rPr>
        <w:t>A félév során a hallgatónak egy előadást kell megtartania a hallgató által választott, az oktató által jóváhagyott témában és az általa meghatározott időpontban. Az előadás hossza kb. 25-30 perc, amelyet az oktató érdemjeggyel (öt fokozatú értékelés) értékel. Az elmaradt kiselőadást pótolni csak a hallgató igazolt távolmaradása esetén lehet egy alkalommal az oktató által kijelölt új időpontban, ami nem eshet a szorgalmi időszakon kívülre</w:t>
      </w:r>
      <w:r w:rsidRPr="00CF20B5">
        <w:rPr>
          <w:rFonts w:ascii="Times New Roman" w:eastAsia="Calibri" w:hAnsi="Times New Roman" w:cs="Times New Roman"/>
        </w:rPr>
        <w:t>.</w:t>
      </w:r>
      <w:r w:rsidRPr="00CF20B5">
        <w:rPr>
          <w:rFonts w:ascii="Times New Roman" w:eastAsia="Times New Roman" w:hAnsi="Times New Roman" w:cs="Times New Roman"/>
          <w:lang w:eastAsia="x-none"/>
        </w:rPr>
        <w:t xml:space="preserve"> A nem megfelelő színvonalon megtartott előadás nem pótolható.</w:t>
      </w:r>
    </w:p>
    <w:p w:rsidR="00CF20B5" w:rsidRPr="00CF20B5" w:rsidRDefault="00CF20B5" w:rsidP="00980876">
      <w:pPr>
        <w:widowControl w:val="0"/>
        <w:numPr>
          <w:ilvl w:val="0"/>
          <w:numId w:val="538"/>
        </w:numPr>
        <w:spacing w:before="120" w:after="120" w:line="240" w:lineRule="auto"/>
        <w:ind w:left="426" w:hanging="142"/>
        <w:jc w:val="both"/>
        <w:rPr>
          <w:rFonts w:ascii="Times New Roman" w:eastAsia="Times New Roman" w:hAnsi="Times New Roman" w:cs="Times New Roman"/>
          <w:b/>
          <w:bCs/>
        </w:rPr>
      </w:pPr>
      <w:r w:rsidRPr="00CF20B5">
        <w:rPr>
          <w:rFonts w:ascii="Times New Roman" w:eastAsia="Times New Roman" w:hAnsi="Times New Roman" w:cs="Times New Roman"/>
          <w:b/>
          <w:bCs/>
        </w:rPr>
        <w:t xml:space="preserve">Az értékelés, az aláírás és a kreditek megszerzésének pontos feltételei: </w:t>
      </w:r>
    </w:p>
    <w:p w:rsidR="00CF20B5" w:rsidRPr="00CF20B5" w:rsidRDefault="00CF20B5" w:rsidP="00980876">
      <w:pPr>
        <w:widowControl w:val="0"/>
        <w:numPr>
          <w:ilvl w:val="1"/>
          <w:numId w:val="538"/>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CF20B5">
        <w:rPr>
          <w:rFonts w:ascii="Times New Roman" w:eastAsia="Times New Roman" w:hAnsi="Times New Roman" w:cs="Times New Roman"/>
          <w:b/>
        </w:rPr>
        <w:t>Az aláírás megszerzésének feltételei:</w:t>
      </w:r>
      <w:r w:rsidRPr="00CF20B5">
        <w:rPr>
          <w:rFonts w:ascii="Times New Roman" w:eastAsia="Times New Roman" w:hAnsi="Times New Roman" w:cs="Times New Roman"/>
        </w:rPr>
        <w:t xml:space="preserve"> </w:t>
      </w:r>
    </w:p>
    <w:p w:rsidR="00CF20B5" w:rsidRPr="00CF20B5" w:rsidRDefault="00CF20B5" w:rsidP="00CF20B5">
      <w:pPr>
        <w:spacing w:before="120"/>
        <w:ind w:left="426"/>
        <w:jc w:val="both"/>
        <w:rPr>
          <w:rFonts w:ascii="Times New Roman" w:eastAsia="Calibri" w:hAnsi="Times New Roman" w:cs="Calibri"/>
        </w:rPr>
      </w:pPr>
      <w:r w:rsidRPr="00CF20B5">
        <w:rPr>
          <w:rFonts w:ascii="Times New Roman" w:eastAsia="Calibri" w:hAnsi="Times New Roman" w:cs="Calibri"/>
        </w:rPr>
        <w:t>Az aláírás megszerzésnek feltétele a beadandó házi feladat legalább elégséges szintű teljesítése, a kiselőadás határidőn belül történő és minimálisan elégséges szintű megtartása, illetve a tanórák legalább 75%-án való megjelenés.</w:t>
      </w:r>
    </w:p>
    <w:p w:rsidR="00CF20B5" w:rsidRPr="00CF20B5" w:rsidRDefault="00CF20B5" w:rsidP="00980876">
      <w:pPr>
        <w:widowControl w:val="0"/>
        <w:numPr>
          <w:ilvl w:val="1"/>
          <w:numId w:val="538"/>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CF20B5">
        <w:rPr>
          <w:rFonts w:ascii="Times New Roman" w:eastAsia="Times New Roman" w:hAnsi="Times New Roman" w:cs="Times New Roman"/>
          <w:b/>
        </w:rPr>
        <w:t>Az értékelés:</w:t>
      </w:r>
      <w:r w:rsidRPr="00CF20B5">
        <w:rPr>
          <w:rFonts w:ascii="Times New Roman" w:eastAsia="Times New Roman" w:hAnsi="Times New Roman" w:cs="Times New Roman"/>
        </w:rPr>
        <w:t xml:space="preserve"> </w:t>
      </w:r>
    </w:p>
    <w:p w:rsidR="00CF20B5" w:rsidRPr="00CF20B5" w:rsidRDefault="00CF20B5" w:rsidP="00CF20B5">
      <w:pPr>
        <w:spacing w:before="120"/>
        <w:ind w:left="426"/>
        <w:jc w:val="both"/>
        <w:rPr>
          <w:rFonts w:ascii="Times New Roman" w:eastAsia="Calibri" w:hAnsi="Times New Roman" w:cs="Times New Roman"/>
          <w:b/>
        </w:rPr>
      </w:pPr>
      <w:r w:rsidRPr="00CF20B5">
        <w:rPr>
          <w:rFonts w:ascii="Times New Roman" w:eastAsia="Calibri" w:hAnsi="Times New Roman" w:cs="Calibri"/>
        </w:rPr>
        <w:t xml:space="preserve">A tantárgy </w:t>
      </w:r>
      <w:r w:rsidRPr="00CF20B5">
        <w:rPr>
          <w:rFonts w:ascii="Times New Roman" w:eastAsia="Calibri" w:hAnsi="Times New Roman" w:cs="Calibri"/>
          <w:b/>
        </w:rPr>
        <w:t>évközi értékeléssel</w:t>
      </w:r>
      <w:r w:rsidRPr="00CF20B5">
        <w:rPr>
          <w:rFonts w:ascii="Times New Roman" w:eastAsia="Calibri" w:hAnsi="Times New Roman" w:cs="Calibri"/>
        </w:rPr>
        <w:t xml:space="preserve"> zárul, amely a beadott házi feladatra és az előadásra kapott osztályzat alapján kerül meghatározásra. Kétes jegy esetén (pl. 3,5) a kiselőadás jegyét súlyozottan kell beszámítani. Ha a beadandó feladat pótlás után is elégtelen, vagy a hallgató az előírt időpontban az előadását önhibájából nem tudja megtartani, illetve az előadás színvonala nem megfelelő, akkor a tantárgyat nem teljesítettnek kell tekinteni.</w:t>
      </w:r>
    </w:p>
    <w:p w:rsidR="00CF20B5" w:rsidRPr="00CF20B5" w:rsidRDefault="00CF20B5" w:rsidP="00980876">
      <w:pPr>
        <w:widowControl w:val="0"/>
        <w:numPr>
          <w:ilvl w:val="1"/>
          <w:numId w:val="538"/>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CF20B5">
        <w:rPr>
          <w:rFonts w:ascii="Times New Roman" w:eastAsia="Times New Roman" w:hAnsi="Times New Roman" w:cs="Times New Roman"/>
          <w:b/>
        </w:rPr>
        <w:t>A kreditek megszerzésének feltételei:</w:t>
      </w:r>
      <w:r w:rsidRPr="00CF20B5">
        <w:rPr>
          <w:rFonts w:ascii="Times New Roman" w:eastAsia="Times New Roman" w:hAnsi="Times New Roman" w:cs="Times New Roman"/>
        </w:rPr>
        <w:t xml:space="preserve"> </w:t>
      </w:r>
    </w:p>
    <w:p w:rsidR="00CF20B5" w:rsidRPr="00CF20B5" w:rsidRDefault="00CF20B5" w:rsidP="00CF20B5">
      <w:pPr>
        <w:widowControl w:val="0"/>
        <w:tabs>
          <w:tab w:val="left" w:pos="993"/>
        </w:tabs>
        <w:spacing w:before="120" w:after="120" w:line="240" w:lineRule="auto"/>
        <w:ind w:left="426"/>
        <w:jc w:val="both"/>
        <w:rPr>
          <w:rFonts w:ascii="Times New Roman" w:eastAsia="Times New Roman" w:hAnsi="Times New Roman" w:cs="Times New Roman"/>
        </w:rPr>
      </w:pPr>
      <w:r w:rsidRPr="00CF20B5">
        <w:rPr>
          <w:rFonts w:ascii="Times New Roman" w:eastAsia="Times New Roman" w:hAnsi="Times New Roman" w:cs="Times New Roman"/>
        </w:rPr>
        <w:t>A kreditek megszerzésének feltétele az aláírás megszerzése és legalább elégséges évközi értékelés.</w:t>
      </w:r>
    </w:p>
    <w:p w:rsidR="00CF20B5" w:rsidRPr="00CF20B5" w:rsidRDefault="00CF20B5" w:rsidP="00980876">
      <w:pPr>
        <w:widowControl w:val="0"/>
        <w:numPr>
          <w:ilvl w:val="0"/>
          <w:numId w:val="538"/>
        </w:numPr>
        <w:tabs>
          <w:tab w:val="num" w:pos="360"/>
        </w:tabs>
        <w:spacing w:before="120" w:after="120" w:line="240" w:lineRule="auto"/>
        <w:ind w:left="426" w:hanging="142"/>
        <w:jc w:val="both"/>
        <w:rPr>
          <w:rFonts w:ascii="Times New Roman" w:eastAsia="Times New Roman" w:hAnsi="Times New Roman" w:cs="Times New Roman"/>
          <w:bCs/>
        </w:rPr>
      </w:pPr>
      <w:r w:rsidRPr="00CF20B5">
        <w:rPr>
          <w:rFonts w:ascii="Times New Roman" w:eastAsia="Times New Roman" w:hAnsi="Times New Roman" w:cs="Times New Roman"/>
          <w:b/>
          <w:bCs/>
        </w:rPr>
        <w:t>Irodalomjegyzék:</w:t>
      </w:r>
    </w:p>
    <w:p w:rsidR="00CF20B5" w:rsidRPr="00CF20B5" w:rsidRDefault="00CF20B5" w:rsidP="00980876">
      <w:pPr>
        <w:widowControl w:val="0"/>
        <w:numPr>
          <w:ilvl w:val="1"/>
          <w:numId w:val="538"/>
        </w:numPr>
        <w:tabs>
          <w:tab w:val="left" w:pos="567"/>
          <w:tab w:val="left" w:pos="851"/>
          <w:tab w:val="num" w:pos="2069"/>
        </w:tabs>
        <w:spacing w:before="120" w:after="120" w:line="240" w:lineRule="auto"/>
        <w:ind w:left="426" w:hanging="142"/>
        <w:jc w:val="both"/>
        <w:rPr>
          <w:rFonts w:ascii="Times New Roman" w:eastAsia="Times New Roman" w:hAnsi="Times New Roman" w:cs="Times New Roman"/>
          <w:bCs/>
        </w:rPr>
      </w:pPr>
      <w:r w:rsidRPr="00CF20B5">
        <w:rPr>
          <w:rFonts w:ascii="Times New Roman" w:eastAsia="Times New Roman" w:hAnsi="Times New Roman" w:cs="Times New Roman"/>
          <w:b/>
          <w:bCs/>
        </w:rPr>
        <w:t>Kötelező irodalom:</w:t>
      </w:r>
    </w:p>
    <w:p w:rsidR="00CF20B5" w:rsidRPr="00CF20B5" w:rsidRDefault="00CF20B5" w:rsidP="00980876">
      <w:pPr>
        <w:numPr>
          <w:ilvl w:val="0"/>
          <w:numId w:val="539"/>
        </w:numPr>
        <w:spacing w:after="0" w:line="240" w:lineRule="auto"/>
        <w:contextualSpacing/>
        <w:jc w:val="both"/>
        <w:rPr>
          <w:rFonts w:ascii="Times New Roman" w:eastAsia="Calibri" w:hAnsi="Times New Roman" w:cs="Times New Roman"/>
        </w:rPr>
      </w:pPr>
      <w:r w:rsidRPr="00CF20B5">
        <w:rPr>
          <w:rFonts w:ascii="Times New Roman" w:eastAsia="Calibri" w:hAnsi="Times New Roman" w:cs="Times New Roman"/>
        </w:rPr>
        <w:t xml:space="preserve">Magyar Honvédség Összhaderőnemi Logisztikai Támogatás Doktrína (3. kiadás), Budapest, Magyar Honvédség, 2015. </w:t>
      </w:r>
    </w:p>
    <w:p w:rsidR="00CF20B5" w:rsidRPr="00CF20B5" w:rsidRDefault="00CF20B5" w:rsidP="00980876">
      <w:pPr>
        <w:numPr>
          <w:ilvl w:val="0"/>
          <w:numId w:val="539"/>
        </w:numPr>
        <w:spacing w:after="0" w:line="240" w:lineRule="auto"/>
        <w:contextualSpacing/>
        <w:jc w:val="both"/>
        <w:rPr>
          <w:rFonts w:ascii="Times New Roman" w:eastAsia="Calibri" w:hAnsi="Times New Roman" w:cs="Times New Roman"/>
        </w:rPr>
      </w:pPr>
      <w:r w:rsidRPr="00CF20B5">
        <w:rPr>
          <w:rFonts w:ascii="Times New Roman" w:eastAsia="Calibri" w:hAnsi="Times New Roman" w:cs="Times New Roman"/>
        </w:rPr>
        <w:t>Magyar Honvédség Törzsszolgálati Szakutasítása II. rész Doktrína, Budapest, Magyar Honvédség, 2015.</w:t>
      </w:r>
    </w:p>
    <w:p w:rsidR="00CF20B5" w:rsidRPr="00CF20B5" w:rsidRDefault="00CF20B5" w:rsidP="00980876">
      <w:pPr>
        <w:widowControl w:val="0"/>
        <w:numPr>
          <w:ilvl w:val="1"/>
          <w:numId w:val="538"/>
        </w:numPr>
        <w:tabs>
          <w:tab w:val="num" w:pos="567"/>
          <w:tab w:val="num" w:pos="2069"/>
        </w:tabs>
        <w:spacing w:before="120" w:after="120" w:line="240" w:lineRule="auto"/>
        <w:ind w:left="993" w:hanging="709"/>
        <w:jc w:val="both"/>
        <w:rPr>
          <w:rFonts w:ascii="Times New Roman" w:eastAsia="Times New Roman" w:hAnsi="Times New Roman" w:cs="Times New Roman"/>
          <w:b/>
          <w:bCs/>
        </w:rPr>
      </w:pPr>
      <w:r w:rsidRPr="00CF20B5">
        <w:rPr>
          <w:rFonts w:ascii="Times New Roman" w:eastAsia="Times New Roman" w:hAnsi="Times New Roman" w:cs="Times New Roman"/>
          <w:b/>
          <w:bCs/>
        </w:rPr>
        <w:t>Ajánlott irodalom:</w:t>
      </w:r>
    </w:p>
    <w:p w:rsidR="00CF20B5" w:rsidRPr="00CF20B5" w:rsidRDefault="00CF20B5" w:rsidP="00980876">
      <w:pPr>
        <w:numPr>
          <w:ilvl w:val="0"/>
          <w:numId w:val="540"/>
        </w:numPr>
        <w:spacing w:after="0" w:line="240" w:lineRule="auto"/>
        <w:contextualSpacing/>
        <w:jc w:val="both"/>
        <w:rPr>
          <w:rFonts w:ascii="Times New Roman" w:eastAsia="Times New Roman" w:hAnsi="Times New Roman" w:cs="Times New Roman"/>
        </w:rPr>
      </w:pPr>
      <w:r w:rsidRPr="00C21904">
        <w:rPr>
          <w:rFonts w:ascii="Times New Roman" w:eastAsia="Calibri" w:hAnsi="Times New Roman" w:cs="Times New Roman"/>
        </w:rPr>
        <w:t>BÁRÁNY</w:t>
      </w:r>
      <w:r w:rsidRPr="00CF20B5">
        <w:rPr>
          <w:rFonts w:ascii="Times New Roman" w:eastAsia="Times New Roman" w:hAnsi="Times New Roman" w:cs="Times New Roman"/>
        </w:rPr>
        <w:t xml:space="preserve"> Z.: A hadműveleti szinten végrehajtott művelettervezés folyamata, Honvédségi szemle 142. évfolyam 2014./2 52-68. o.</w:t>
      </w:r>
    </w:p>
    <w:p w:rsidR="00CF20B5" w:rsidRPr="00CF20B5" w:rsidRDefault="00CF20B5" w:rsidP="00CF20B5">
      <w:pPr>
        <w:ind w:left="709"/>
        <w:contextualSpacing/>
        <w:rPr>
          <w:rFonts w:ascii="Times New Roman" w:eastAsia="Times New Roman" w:hAnsi="Times New Roman" w:cs="Times New Roman"/>
        </w:rPr>
      </w:pPr>
    </w:p>
    <w:p w:rsidR="00CF20B5" w:rsidRPr="00CF20B5" w:rsidRDefault="00CF20B5" w:rsidP="00CF20B5">
      <w:pPr>
        <w:widowControl w:val="0"/>
        <w:spacing w:before="120" w:after="120" w:line="240" w:lineRule="auto"/>
        <w:jc w:val="both"/>
        <w:rPr>
          <w:rFonts w:ascii="Times New Roman" w:eastAsia="Times New Roman" w:hAnsi="Times New Roman" w:cs="Times New Roman"/>
          <w:bCs/>
        </w:rPr>
      </w:pPr>
      <w:r w:rsidRPr="00CF20B5">
        <w:rPr>
          <w:rFonts w:ascii="Times New Roman" w:eastAsia="Times New Roman" w:hAnsi="Times New Roman" w:cs="Times New Roman"/>
          <w:bCs/>
        </w:rPr>
        <w:t xml:space="preserve">Budapest,2020. </w:t>
      </w:r>
      <w:r w:rsidR="00C21904">
        <w:rPr>
          <w:rFonts w:ascii="Times New Roman" w:eastAsia="Times New Roman" w:hAnsi="Times New Roman" w:cs="Times New Roman"/>
          <w:bCs/>
        </w:rPr>
        <w:t>március</w:t>
      </w:r>
      <w:r w:rsidRPr="00CF20B5">
        <w:rPr>
          <w:rFonts w:ascii="Times New Roman" w:eastAsia="Times New Roman" w:hAnsi="Times New Roman" w:cs="Times New Roman"/>
          <w:bCs/>
        </w:rPr>
        <w:t xml:space="preserve"> 20.</w:t>
      </w:r>
    </w:p>
    <w:p w:rsidR="00CF20B5" w:rsidRPr="00CF20B5" w:rsidRDefault="00CF20B5" w:rsidP="00CF20B5">
      <w:pPr>
        <w:tabs>
          <w:tab w:val="right" w:pos="900"/>
        </w:tabs>
        <w:spacing w:before="120"/>
        <w:ind w:left="1985" w:hanging="1980"/>
        <w:jc w:val="both"/>
        <w:rPr>
          <w:rFonts w:ascii="Times New Roman" w:eastAsia="Calibri" w:hAnsi="Times New Roman" w:cs="Times New Roman"/>
          <w:bCs/>
          <w:lang w:eastAsia="x-none"/>
        </w:rPr>
      </w:pPr>
    </w:p>
    <w:p w:rsidR="00CF20B5" w:rsidRPr="00CF20B5" w:rsidRDefault="00CF20B5" w:rsidP="00CF20B5">
      <w:pPr>
        <w:tabs>
          <w:tab w:val="right" w:pos="900"/>
        </w:tabs>
        <w:spacing w:after="0"/>
        <w:rPr>
          <w:rFonts w:ascii="Times New Roman" w:eastAsia="Calibri" w:hAnsi="Times New Roman" w:cs="Times New Roman"/>
          <w:b/>
          <w:lang w:eastAsia="x-none"/>
        </w:rPr>
      </w:pPr>
      <w:r w:rsidRPr="00CF20B5">
        <w:rPr>
          <w:rFonts w:ascii="Times New Roman" w:eastAsia="Calibri" w:hAnsi="Times New Roman" w:cs="Times New Roman"/>
          <w:b/>
          <w:lang w:eastAsia="x-none"/>
        </w:rPr>
        <w:tab/>
      </w:r>
      <w:r w:rsidRPr="00CF20B5">
        <w:rPr>
          <w:rFonts w:ascii="Times New Roman" w:eastAsia="Calibri" w:hAnsi="Times New Roman" w:cs="Times New Roman"/>
          <w:b/>
          <w:lang w:eastAsia="x-none"/>
        </w:rPr>
        <w:tab/>
      </w:r>
      <w:r w:rsidRPr="00CF20B5">
        <w:rPr>
          <w:rFonts w:ascii="Times New Roman" w:eastAsia="Calibri" w:hAnsi="Times New Roman" w:cs="Times New Roman"/>
          <w:b/>
          <w:lang w:eastAsia="x-none"/>
        </w:rPr>
        <w:tab/>
      </w:r>
      <w:r w:rsidRPr="00CF20B5">
        <w:rPr>
          <w:rFonts w:ascii="Times New Roman" w:eastAsia="Calibri" w:hAnsi="Times New Roman" w:cs="Times New Roman"/>
          <w:b/>
          <w:lang w:eastAsia="x-none"/>
        </w:rPr>
        <w:tab/>
      </w:r>
      <w:r w:rsidRPr="00CF20B5">
        <w:rPr>
          <w:rFonts w:ascii="Times New Roman" w:eastAsia="Calibri" w:hAnsi="Times New Roman" w:cs="Times New Roman"/>
          <w:b/>
          <w:lang w:eastAsia="x-none"/>
        </w:rPr>
        <w:tab/>
      </w:r>
      <w:r w:rsidRPr="00CF20B5">
        <w:rPr>
          <w:rFonts w:ascii="Times New Roman" w:eastAsia="Calibri" w:hAnsi="Times New Roman" w:cs="Times New Roman"/>
          <w:b/>
          <w:lang w:eastAsia="x-none"/>
        </w:rPr>
        <w:tab/>
        <w:t xml:space="preserve">  </w:t>
      </w:r>
      <w:r w:rsidRPr="00CF20B5">
        <w:rPr>
          <w:rFonts w:ascii="Times New Roman" w:eastAsia="Calibri" w:hAnsi="Times New Roman" w:cs="Times New Roman"/>
          <w:b/>
          <w:lang w:eastAsia="x-none"/>
        </w:rPr>
        <w:tab/>
        <w:t xml:space="preserve">                Szajkó Gyula tanársegéd</w:t>
      </w:r>
    </w:p>
    <w:p w:rsidR="00CF20B5" w:rsidRPr="00CF20B5" w:rsidRDefault="00CF20B5" w:rsidP="00CF20B5">
      <w:pPr>
        <w:tabs>
          <w:tab w:val="right" w:pos="900"/>
        </w:tabs>
        <w:spacing w:after="0"/>
        <w:rPr>
          <w:rFonts w:ascii="Times New Roman" w:eastAsia="Calibri" w:hAnsi="Times New Roman" w:cs="Calibri"/>
        </w:rPr>
      </w:pPr>
      <w:r w:rsidRPr="00CF20B5">
        <w:rPr>
          <w:rFonts w:ascii="Times New Roman" w:eastAsia="Calibri" w:hAnsi="Times New Roman" w:cs="Times New Roman"/>
          <w:b/>
          <w:lang w:eastAsia="x-none"/>
        </w:rPr>
        <w:tab/>
      </w:r>
      <w:r w:rsidRPr="00CF20B5">
        <w:rPr>
          <w:rFonts w:ascii="Times New Roman" w:eastAsia="Calibri" w:hAnsi="Times New Roman" w:cs="Times New Roman"/>
          <w:b/>
          <w:lang w:eastAsia="x-none"/>
        </w:rPr>
        <w:tab/>
      </w:r>
      <w:r w:rsidRPr="00CF20B5">
        <w:rPr>
          <w:rFonts w:ascii="Times New Roman" w:eastAsia="Calibri" w:hAnsi="Times New Roman" w:cs="Times New Roman"/>
          <w:b/>
          <w:lang w:eastAsia="x-none"/>
        </w:rPr>
        <w:tab/>
      </w:r>
      <w:r w:rsidRPr="00CF20B5">
        <w:rPr>
          <w:rFonts w:ascii="Times New Roman" w:eastAsia="Calibri" w:hAnsi="Times New Roman" w:cs="Times New Roman"/>
          <w:b/>
          <w:lang w:eastAsia="x-none"/>
        </w:rPr>
        <w:tab/>
      </w:r>
      <w:r w:rsidRPr="00CF20B5">
        <w:rPr>
          <w:rFonts w:ascii="Times New Roman" w:eastAsia="Calibri" w:hAnsi="Times New Roman" w:cs="Times New Roman"/>
          <w:b/>
          <w:lang w:eastAsia="x-none"/>
        </w:rPr>
        <w:tab/>
      </w:r>
      <w:r w:rsidRPr="00CF20B5">
        <w:rPr>
          <w:rFonts w:ascii="Times New Roman" w:eastAsia="Calibri" w:hAnsi="Times New Roman" w:cs="Times New Roman"/>
          <w:b/>
          <w:lang w:eastAsia="x-none"/>
        </w:rPr>
        <w:tab/>
      </w:r>
      <w:r w:rsidRPr="00CF20B5">
        <w:rPr>
          <w:rFonts w:ascii="Times New Roman" w:eastAsia="Calibri" w:hAnsi="Times New Roman" w:cs="Times New Roman"/>
          <w:b/>
          <w:lang w:eastAsia="x-none"/>
        </w:rPr>
        <w:tab/>
      </w:r>
      <w:r w:rsidRPr="00CF20B5">
        <w:rPr>
          <w:rFonts w:ascii="Times New Roman" w:eastAsia="Calibri" w:hAnsi="Times New Roman" w:cs="Times New Roman"/>
          <w:b/>
          <w:lang w:eastAsia="x-none"/>
        </w:rPr>
        <w:tab/>
      </w:r>
      <w:r w:rsidRPr="00CF20B5">
        <w:rPr>
          <w:rFonts w:ascii="Times New Roman" w:eastAsia="Calibri" w:hAnsi="Times New Roman" w:cs="Times New Roman"/>
          <w:b/>
          <w:lang w:eastAsia="x-none"/>
        </w:rPr>
        <w:tab/>
      </w:r>
      <w:r w:rsidRPr="00CF20B5">
        <w:rPr>
          <w:rFonts w:ascii="Times New Roman" w:eastAsia="Calibri" w:hAnsi="Times New Roman" w:cs="Times New Roman"/>
          <w:bCs/>
        </w:rPr>
        <w:t>tantárgyfelelős</w:t>
      </w:r>
    </w:p>
    <w:p w:rsidR="001367D0" w:rsidRDefault="001367D0">
      <w:pPr>
        <w:spacing w:after="200" w:line="276" w:lineRule="auto"/>
        <w:rPr>
          <w:rFonts w:ascii="Times New Roman" w:hAnsi="Times New Roman" w:cs="Times New Roman"/>
        </w:rPr>
      </w:pPr>
      <w:r>
        <w:rPr>
          <w:rFonts w:ascii="Times New Roman" w:hAnsi="Times New Roman" w:cs="Times New Roman"/>
        </w:rPr>
        <w:br w:type="page"/>
      </w:r>
    </w:p>
    <w:tbl>
      <w:tblPr>
        <w:tblW w:w="9072" w:type="dxa"/>
        <w:tblInd w:w="113" w:type="dxa"/>
        <w:tblLook w:val="01E0" w:firstRow="1" w:lastRow="1" w:firstColumn="1" w:lastColumn="1" w:noHBand="0" w:noVBand="0"/>
      </w:tblPr>
      <w:tblGrid>
        <w:gridCol w:w="4855"/>
        <w:gridCol w:w="1620"/>
        <w:gridCol w:w="2597"/>
      </w:tblGrid>
      <w:tr w:rsidR="001367D0" w:rsidRPr="001367D0" w:rsidTr="00FC44E3">
        <w:tc>
          <w:tcPr>
            <w:tcW w:w="4855" w:type="dxa"/>
            <w:tcBorders>
              <w:bottom w:val="single" w:sz="4" w:space="0" w:color="auto"/>
            </w:tcBorders>
          </w:tcPr>
          <w:p w:rsidR="001367D0" w:rsidRPr="001367D0" w:rsidRDefault="001367D0" w:rsidP="001367D0">
            <w:pPr>
              <w:spacing w:after="0" w:line="240" w:lineRule="auto"/>
              <w:jc w:val="center"/>
              <w:rPr>
                <w:rFonts w:ascii="Times New Roman" w:eastAsia="Times New Roman" w:hAnsi="Times New Roman" w:cs="Times New Roman"/>
                <w:b/>
                <w:smallCaps/>
                <w:lang w:eastAsia="hu-HU"/>
              </w:rPr>
            </w:pPr>
            <w:r w:rsidRPr="001367D0">
              <w:rPr>
                <w:rFonts w:ascii="Times New Roman" w:eastAsia="Times New Roman" w:hAnsi="Times New Roman" w:cs="Times New Roman"/>
                <w:b/>
                <w:smallCaps/>
                <w:lang w:eastAsia="hu-HU"/>
              </w:rPr>
              <w:lastRenderedPageBreak/>
              <w:t>Nemzeti Közszolgálati Egyetem</w:t>
            </w:r>
          </w:p>
        </w:tc>
        <w:tc>
          <w:tcPr>
            <w:tcW w:w="1620" w:type="dxa"/>
          </w:tcPr>
          <w:p w:rsidR="001367D0" w:rsidRPr="001367D0" w:rsidRDefault="001367D0" w:rsidP="001367D0">
            <w:pPr>
              <w:spacing w:after="0" w:line="240" w:lineRule="auto"/>
              <w:jc w:val="both"/>
              <w:rPr>
                <w:rFonts w:ascii="Times New Roman" w:eastAsia="Times New Roman" w:hAnsi="Times New Roman" w:cs="Times New Roman"/>
                <w:lang w:eastAsia="hu-HU"/>
              </w:rPr>
            </w:pPr>
          </w:p>
        </w:tc>
        <w:tc>
          <w:tcPr>
            <w:tcW w:w="2597" w:type="dxa"/>
          </w:tcPr>
          <w:p w:rsidR="001367D0" w:rsidRPr="001367D0" w:rsidRDefault="001367D0" w:rsidP="001367D0">
            <w:pPr>
              <w:spacing w:after="0" w:line="240" w:lineRule="auto"/>
              <w:jc w:val="right"/>
              <w:rPr>
                <w:rFonts w:ascii="Times New Roman" w:eastAsia="Times New Roman" w:hAnsi="Times New Roman" w:cs="Times New Roman"/>
                <w:lang w:eastAsia="hu-HU"/>
              </w:rPr>
            </w:pPr>
          </w:p>
        </w:tc>
      </w:tr>
      <w:tr w:rsidR="001367D0" w:rsidRPr="001367D0" w:rsidTr="00FC44E3">
        <w:tc>
          <w:tcPr>
            <w:tcW w:w="4855" w:type="dxa"/>
            <w:tcBorders>
              <w:top w:val="single" w:sz="4" w:space="0" w:color="auto"/>
            </w:tcBorders>
          </w:tcPr>
          <w:p w:rsidR="001367D0" w:rsidRPr="001367D0" w:rsidRDefault="001367D0" w:rsidP="001367D0">
            <w:pPr>
              <w:spacing w:after="0" w:line="240" w:lineRule="auto"/>
              <w:jc w:val="center"/>
              <w:rPr>
                <w:rFonts w:ascii="Times New Roman" w:eastAsia="Times New Roman" w:hAnsi="Times New Roman" w:cs="Times New Roman"/>
                <w:b/>
                <w:lang w:eastAsia="hu-HU"/>
              </w:rPr>
            </w:pPr>
            <w:r w:rsidRPr="001367D0">
              <w:rPr>
                <w:rFonts w:ascii="Times New Roman" w:eastAsia="Times New Roman" w:hAnsi="Times New Roman" w:cs="Times New Roman"/>
                <w:b/>
                <w:lang w:eastAsia="hu-HU"/>
              </w:rPr>
              <w:t>Hadtudományi és Honvédtisztképző Kar</w:t>
            </w:r>
          </w:p>
        </w:tc>
        <w:tc>
          <w:tcPr>
            <w:tcW w:w="1620" w:type="dxa"/>
          </w:tcPr>
          <w:p w:rsidR="001367D0" w:rsidRPr="001367D0" w:rsidRDefault="001367D0" w:rsidP="001367D0">
            <w:pPr>
              <w:spacing w:after="0" w:line="240" w:lineRule="auto"/>
              <w:jc w:val="both"/>
              <w:rPr>
                <w:rFonts w:ascii="Times New Roman" w:eastAsia="Times New Roman" w:hAnsi="Times New Roman" w:cs="Times New Roman"/>
                <w:lang w:eastAsia="hu-HU"/>
              </w:rPr>
            </w:pPr>
          </w:p>
        </w:tc>
        <w:tc>
          <w:tcPr>
            <w:tcW w:w="2597" w:type="dxa"/>
          </w:tcPr>
          <w:p w:rsidR="001367D0" w:rsidRPr="001367D0" w:rsidRDefault="001367D0" w:rsidP="001367D0">
            <w:pPr>
              <w:spacing w:after="0" w:line="240" w:lineRule="auto"/>
              <w:jc w:val="both"/>
              <w:rPr>
                <w:rFonts w:ascii="Times New Roman" w:eastAsia="Times New Roman" w:hAnsi="Times New Roman" w:cs="Times New Roman"/>
                <w:lang w:eastAsia="hu-HU"/>
              </w:rPr>
            </w:pPr>
          </w:p>
        </w:tc>
      </w:tr>
    </w:tbl>
    <w:p w:rsidR="001367D0" w:rsidRPr="001367D0" w:rsidRDefault="001367D0" w:rsidP="001367D0">
      <w:pPr>
        <w:widowControl w:val="0"/>
        <w:spacing w:before="120" w:after="120" w:line="240" w:lineRule="auto"/>
        <w:ind w:left="426" w:hanging="142"/>
        <w:jc w:val="center"/>
        <w:rPr>
          <w:rFonts w:ascii="Times New Roman" w:eastAsia="Times New Roman" w:hAnsi="Times New Roman" w:cs="Times New Roman"/>
          <w:b/>
          <w:bCs/>
        </w:rPr>
      </w:pPr>
    </w:p>
    <w:p w:rsidR="001367D0" w:rsidRPr="001367D0" w:rsidRDefault="001367D0" w:rsidP="001367D0">
      <w:pPr>
        <w:widowControl w:val="0"/>
        <w:spacing w:before="120" w:after="120" w:line="240" w:lineRule="auto"/>
        <w:ind w:left="426" w:hanging="142"/>
        <w:jc w:val="center"/>
        <w:rPr>
          <w:rFonts w:ascii="Times New Roman" w:eastAsia="Times New Roman" w:hAnsi="Times New Roman" w:cs="Times New Roman"/>
          <w:b/>
          <w:bCs/>
        </w:rPr>
      </w:pPr>
      <w:r w:rsidRPr="001367D0">
        <w:rPr>
          <w:rFonts w:ascii="Times New Roman" w:eastAsia="Times New Roman" w:hAnsi="Times New Roman" w:cs="Times New Roman"/>
          <w:b/>
          <w:bCs/>
        </w:rPr>
        <w:t>TANTÁRGYI PROGRAM</w:t>
      </w:r>
    </w:p>
    <w:p w:rsidR="001367D0" w:rsidRPr="001367D0" w:rsidRDefault="001367D0" w:rsidP="00980876">
      <w:pPr>
        <w:widowControl w:val="0"/>
        <w:numPr>
          <w:ilvl w:val="0"/>
          <w:numId w:val="542"/>
        </w:numPr>
        <w:tabs>
          <w:tab w:val="num" w:pos="567"/>
        </w:tabs>
        <w:spacing w:before="120" w:after="120" w:line="240" w:lineRule="auto"/>
        <w:ind w:left="426" w:hanging="142"/>
        <w:jc w:val="both"/>
        <w:rPr>
          <w:rFonts w:ascii="Times New Roman" w:eastAsia="Times New Roman" w:hAnsi="Times New Roman" w:cs="Times New Roman"/>
          <w:b/>
          <w:bCs/>
        </w:rPr>
      </w:pPr>
      <w:r w:rsidRPr="001367D0">
        <w:rPr>
          <w:rFonts w:ascii="Times New Roman" w:eastAsia="Times New Roman" w:hAnsi="Times New Roman" w:cs="Times New Roman"/>
          <w:b/>
          <w:bCs/>
        </w:rPr>
        <w:t xml:space="preserve">A tantárgy kódja: </w:t>
      </w:r>
      <w:r w:rsidRPr="001367D0">
        <w:rPr>
          <w:rFonts w:ascii="Times New Roman" w:eastAsia="Times New Roman" w:hAnsi="Times New Roman" w:cs="Times New Roman"/>
          <w:bCs/>
        </w:rPr>
        <w:t>HKHPKA385</w:t>
      </w:r>
    </w:p>
    <w:p w:rsidR="001367D0" w:rsidRPr="001367D0" w:rsidRDefault="001367D0" w:rsidP="00980876">
      <w:pPr>
        <w:widowControl w:val="0"/>
        <w:numPr>
          <w:ilvl w:val="0"/>
          <w:numId w:val="542"/>
        </w:numPr>
        <w:tabs>
          <w:tab w:val="num" w:pos="567"/>
        </w:tabs>
        <w:spacing w:before="120" w:after="120" w:line="240" w:lineRule="auto"/>
        <w:ind w:left="426" w:hanging="142"/>
        <w:jc w:val="both"/>
        <w:rPr>
          <w:rFonts w:ascii="Times New Roman" w:eastAsia="Times New Roman" w:hAnsi="Times New Roman" w:cs="Times New Roman"/>
          <w:b/>
          <w:bCs/>
          <w:lang w:val="en-GB"/>
        </w:rPr>
      </w:pPr>
      <w:r w:rsidRPr="001367D0">
        <w:rPr>
          <w:rFonts w:ascii="Times New Roman" w:eastAsia="Times New Roman" w:hAnsi="Times New Roman" w:cs="Times New Roman"/>
          <w:b/>
          <w:bCs/>
        </w:rPr>
        <w:t>A tantárgy megnevezése (magyarul):</w:t>
      </w:r>
      <w:r w:rsidRPr="001367D0">
        <w:rPr>
          <w:rFonts w:ascii="Times New Roman" w:eastAsia="Times New Roman" w:hAnsi="Times New Roman" w:cs="Times New Roman"/>
          <w:bCs/>
        </w:rPr>
        <w:t xml:space="preserve"> </w:t>
      </w:r>
      <w:r w:rsidRPr="001367D0">
        <w:rPr>
          <w:rFonts w:ascii="Times New Roman" w:eastAsia="Calibri" w:hAnsi="Times New Roman" w:cs="Calibri"/>
        </w:rPr>
        <w:t>NATO informatikai rendszerek</w:t>
      </w:r>
    </w:p>
    <w:p w:rsidR="001367D0" w:rsidRPr="001367D0" w:rsidRDefault="001367D0" w:rsidP="00980876">
      <w:pPr>
        <w:widowControl w:val="0"/>
        <w:numPr>
          <w:ilvl w:val="0"/>
          <w:numId w:val="542"/>
        </w:numPr>
        <w:tabs>
          <w:tab w:val="num" w:pos="567"/>
        </w:tabs>
        <w:spacing w:before="120" w:after="120" w:line="240" w:lineRule="auto"/>
        <w:ind w:left="426" w:hanging="142"/>
        <w:jc w:val="both"/>
        <w:rPr>
          <w:rFonts w:ascii="Times New Roman" w:eastAsia="Times New Roman" w:hAnsi="Times New Roman" w:cs="Times New Roman"/>
          <w:b/>
          <w:bCs/>
          <w:lang w:val="en-GB"/>
        </w:rPr>
      </w:pPr>
      <w:r w:rsidRPr="001367D0">
        <w:rPr>
          <w:rFonts w:ascii="Times New Roman" w:eastAsia="Times New Roman" w:hAnsi="Times New Roman" w:cs="Times New Roman"/>
          <w:b/>
          <w:bCs/>
        </w:rPr>
        <w:t xml:space="preserve">A tantárgy megnevezése (angolul): </w:t>
      </w:r>
      <w:r w:rsidRPr="001367D0">
        <w:rPr>
          <w:rFonts w:ascii="Times New Roman" w:eastAsia="Calibri" w:hAnsi="Times New Roman" w:cs="Calibri"/>
          <w:lang w:val="en"/>
        </w:rPr>
        <w:t xml:space="preserve">NATO logistics </w:t>
      </w:r>
      <w:r w:rsidRPr="001367D0">
        <w:rPr>
          <w:rFonts w:ascii="Times New Roman" w:eastAsia="Calibri" w:hAnsi="Times New Roman" w:cs="Calibri"/>
        </w:rPr>
        <w:t>Informatics</w:t>
      </w:r>
      <w:r w:rsidRPr="001367D0">
        <w:rPr>
          <w:rFonts w:ascii="Times New Roman" w:eastAsia="Calibri" w:hAnsi="Times New Roman" w:cs="Calibri"/>
          <w:lang w:val="en"/>
        </w:rPr>
        <w:t xml:space="preserve"> systems</w:t>
      </w:r>
    </w:p>
    <w:p w:rsidR="001367D0" w:rsidRPr="001367D0" w:rsidRDefault="001367D0" w:rsidP="00980876">
      <w:pPr>
        <w:widowControl w:val="0"/>
        <w:numPr>
          <w:ilvl w:val="0"/>
          <w:numId w:val="542"/>
        </w:numPr>
        <w:tabs>
          <w:tab w:val="num" w:pos="567"/>
        </w:tabs>
        <w:spacing w:before="120" w:after="120" w:line="240" w:lineRule="auto"/>
        <w:ind w:left="426" w:hanging="142"/>
        <w:jc w:val="both"/>
        <w:rPr>
          <w:rFonts w:ascii="Times New Roman" w:eastAsia="Times New Roman" w:hAnsi="Times New Roman" w:cs="Times New Roman"/>
          <w:b/>
          <w:bCs/>
        </w:rPr>
      </w:pPr>
      <w:r w:rsidRPr="001367D0">
        <w:rPr>
          <w:rFonts w:ascii="Times New Roman" w:eastAsia="Times New Roman" w:hAnsi="Times New Roman" w:cs="Times New Roman"/>
          <w:b/>
          <w:bCs/>
        </w:rPr>
        <w:t xml:space="preserve">Kreditérték és képzési karakter: </w:t>
      </w:r>
    </w:p>
    <w:p w:rsidR="001367D0" w:rsidRPr="001367D0" w:rsidRDefault="001367D0" w:rsidP="00980876">
      <w:pPr>
        <w:widowControl w:val="0"/>
        <w:numPr>
          <w:ilvl w:val="1"/>
          <w:numId w:val="542"/>
        </w:numPr>
        <w:spacing w:before="120" w:after="120" w:line="240" w:lineRule="auto"/>
        <w:ind w:left="993" w:hanging="426"/>
        <w:contextualSpacing/>
        <w:jc w:val="both"/>
        <w:rPr>
          <w:rFonts w:ascii="Times New Roman" w:eastAsia="Times New Roman" w:hAnsi="Times New Roman" w:cs="Times New Roman"/>
          <w:b/>
          <w:bCs/>
        </w:rPr>
      </w:pPr>
      <w:r w:rsidRPr="001367D0">
        <w:rPr>
          <w:rFonts w:ascii="Times New Roman" w:eastAsia="Times New Roman" w:hAnsi="Times New Roman" w:cs="Times New Roman"/>
          <w:bCs/>
        </w:rPr>
        <w:t>2 kredit</w:t>
      </w:r>
    </w:p>
    <w:p w:rsidR="001367D0" w:rsidRPr="001367D0" w:rsidRDefault="001367D0" w:rsidP="00980876">
      <w:pPr>
        <w:widowControl w:val="0"/>
        <w:numPr>
          <w:ilvl w:val="1"/>
          <w:numId w:val="542"/>
        </w:numPr>
        <w:spacing w:before="120" w:after="120" w:line="240" w:lineRule="auto"/>
        <w:ind w:left="993" w:hanging="426"/>
        <w:contextualSpacing/>
        <w:rPr>
          <w:rFonts w:ascii="Times New Roman" w:eastAsia="Times New Roman" w:hAnsi="Times New Roman" w:cs="Times New Roman"/>
          <w:b/>
          <w:bCs/>
        </w:rPr>
      </w:pPr>
      <w:r w:rsidRPr="001367D0">
        <w:rPr>
          <w:rFonts w:ascii="Times New Roman" w:eastAsia="Times New Roman" w:hAnsi="Times New Roman" w:cs="Times New Roman"/>
          <w:bCs/>
        </w:rPr>
        <w:t>a tantárgy elméleti vagy gyakorlati jellegének mértéke: 50</w:t>
      </w:r>
      <w:r w:rsidRPr="001367D0">
        <w:rPr>
          <w:rFonts w:ascii="Times New Roman" w:eastAsia="Times New Roman" w:hAnsi="Times New Roman" w:cs="Times New Roman"/>
          <w:b/>
          <w:bCs/>
        </w:rPr>
        <w:t xml:space="preserve"> </w:t>
      </w:r>
      <w:r w:rsidRPr="001367D0">
        <w:rPr>
          <w:rFonts w:ascii="Times New Roman" w:eastAsia="Times New Roman" w:hAnsi="Times New Roman" w:cs="Times New Roman"/>
          <w:bCs/>
        </w:rPr>
        <w:t>% gyakorlat, 50 % elmélet</w:t>
      </w:r>
    </w:p>
    <w:p w:rsidR="001367D0" w:rsidRPr="001367D0" w:rsidRDefault="001367D0" w:rsidP="00980876">
      <w:pPr>
        <w:widowControl w:val="0"/>
        <w:numPr>
          <w:ilvl w:val="0"/>
          <w:numId w:val="542"/>
        </w:numPr>
        <w:spacing w:before="120" w:after="120" w:line="240" w:lineRule="auto"/>
        <w:ind w:left="426" w:hanging="142"/>
        <w:jc w:val="both"/>
        <w:rPr>
          <w:rFonts w:ascii="Times New Roman" w:eastAsia="Times New Roman" w:hAnsi="Times New Roman" w:cs="Times New Roman"/>
          <w:bCs/>
        </w:rPr>
      </w:pPr>
      <w:r w:rsidRPr="001367D0">
        <w:rPr>
          <w:rFonts w:ascii="Times New Roman" w:eastAsia="Times New Roman" w:hAnsi="Times New Roman" w:cs="Times New Roman"/>
          <w:b/>
          <w:bCs/>
        </w:rPr>
        <w:t>A szak(ok), szakirányok/specializációk megnevezése (ahol oktatják):</w:t>
      </w:r>
      <w:r w:rsidRPr="001367D0">
        <w:rPr>
          <w:rFonts w:ascii="Times New Roman" w:eastAsia="Times New Roman" w:hAnsi="Times New Roman" w:cs="Times New Roman"/>
          <w:bCs/>
        </w:rPr>
        <w:t xml:space="preserve"> Katonai logisztika alapképzési szak, Katonai közlekedési specializáció</w:t>
      </w:r>
    </w:p>
    <w:p w:rsidR="001367D0" w:rsidRPr="001367D0" w:rsidRDefault="001367D0" w:rsidP="00980876">
      <w:pPr>
        <w:widowControl w:val="0"/>
        <w:numPr>
          <w:ilvl w:val="0"/>
          <w:numId w:val="542"/>
        </w:numPr>
        <w:tabs>
          <w:tab w:val="num" w:pos="567"/>
        </w:tabs>
        <w:spacing w:before="120" w:after="120" w:line="240" w:lineRule="auto"/>
        <w:ind w:left="426" w:hanging="142"/>
        <w:jc w:val="both"/>
        <w:rPr>
          <w:rFonts w:ascii="Times New Roman" w:eastAsia="Times New Roman" w:hAnsi="Times New Roman" w:cs="Times New Roman"/>
          <w:bCs/>
        </w:rPr>
      </w:pPr>
      <w:r w:rsidRPr="001367D0">
        <w:rPr>
          <w:rFonts w:ascii="Times New Roman" w:eastAsia="Times New Roman" w:hAnsi="Times New Roman" w:cs="Times New Roman"/>
          <w:b/>
          <w:bCs/>
        </w:rPr>
        <w:t xml:space="preserve">Az oktatásért felelős oktatási szervezeti egység megnevezése: </w:t>
      </w:r>
      <w:r w:rsidRPr="001367D0">
        <w:rPr>
          <w:rFonts w:ascii="Times New Roman" w:eastAsia="Times New Roman" w:hAnsi="Times New Roman" w:cs="Times New Roman"/>
          <w:bCs/>
        </w:rPr>
        <w:t>NKE HHK, Hadtáp, Pénzügyi és Katonai Közlekedési Tanszék</w:t>
      </w:r>
    </w:p>
    <w:p w:rsidR="001367D0" w:rsidRPr="001367D0" w:rsidRDefault="001367D0" w:rsidP="00980876">
      <w:pPr>
        <w:widowControl w:val="0"/>
        <w:numPr>
          <w:ilvl w:val="0"/>
          <w:numId w:val="542"/>
        </w:numPr>
        <w:tabs>
          <w:tab w:val="num" w:pos="567"/>
        </w:tabs>
        <w:spacing w:before="120" w:after="120" w:line="240" w:lineRule="auto"/>
        <w:ind w:left="426" w:hanging="142"/>
        <w:jc w:val="both"/>
        <w:rPr>
          <w:rFonts w:ascii="Times New Roman" w:eastAsia="Times New Roman" w:hAnsi="Times New Roman" w:cs="Times New Roman"/>
          <w:bCs/>
        </w:rPr>
      </w:pPr>
      <w:r w:rsidRPr="001367D0">
        <w:rPr>
          <w:rFonts w:ascii="Times New Roman" w:eastAsia="Times New Roman" w:hAnsi="Times New Roman" w:cs="Times New Roman"/>
          <w:b/>
          <w:bCs/>
        </w:rPr>
        <w:t>A tantárgyfelelős oktató neve, beosztása, tudományos fokozata:</w:t>
      </w:r>
      <w:r w:rsidRPr="001367D0">
        <w:rPr>
          <w:rFonts w:ascii="Times New Roman" w:eastAsia="Times New Roman" w:hAnsi="Times New Roman" w:cs="Times New Roman"/>
          <w:bCs/>
        </w:rPr>
        <w:t xml:space="preserve"> Dr. Fábos Róbert, PhD, adjunktus</w:t>
      </w:r>
    </w:p>
    <w:p w:rsidR="001367D0" w:rsidRPr="001367D0" w:rsidRDefault="001367D0" w:rsidP="00980876">
      <w:pPr>
        <w:widowControl w:val="0"/>
        <w:numPr>
          <w:ilvl w:val="0"/>
          <w:numId w:val="542"/>
        </w:numPr>
        <w:spacing w:before="120" w:after="120" w:line="240" w:lineRule="auto"/>
        <w:ind w:left="426" w:hanging="142"/>
        <w:jc w:val="both"/>
        <w:rPr>
          <w:rFonts w:ascii="Times New Roman" w:eastAsia="Times New Roman" w:hAnsi="Times New Roman" w:cs="Times New Roman"/>
          <w:bCs/>
        </w:rPr>
      </w:pPr>
      <w:r w:rsidRPr="001367D0">
        <w:rPr>
          <w:rFonts w:ascii="Times New Roman" w:eastAsia="Times New Roman" w:hAnsi="Times New Roman" w:cs="Times New Roman"/>
          <w:b/>
          <w:bCs/>
        </w:rPr>
        <w:t>A tanórák száma és típusa</w:t>
      </w:r>
    </w:p>
    <w:p w:rsidR="001367D0" w:rsidRPr="001367D0" w:rsidRDefault="001367D0" w:rsidP="00980876">
      <w:pPr>
        <w:widowControl w:val="0"/>
        <w:numPr>
          <w:ilvl w:val="1"/>
          <w:numId w:val="542"/>
        </w:numPr>
        <w:tabs>
          <w:tab w:val="num" w:pos="709"/>
          <w:tab w:val="num" w:pos="2069"/>
        </w:tabs>
        <w:spacing w:before="120" w:after="120" w:line="240" w:lineRule="auto"/>
        <w:ind w:left="851" w:hanging="425"/>
        <w:jc w:val="both"/>
        <w:rPr>
          <w:rFonts w:ascii="Times New Roman" w:eastAsia="Times New Roman" w:hAnsi="Times New Roman" w:cs="Times New Roman"/>
          <w:bCs/>
        </w:rPr>
      </w:pPr>
      <w:r w:rsidRPr="001367D0">
        <w:rPr>
          <w:rFonts w:ascii="Times New Roman" w:eastAsia="Times New Roman" w:hAnsi="Times New Roman" w:cs="Times New Roman"/>
          <w:bCs/>
        </w:rPr>
        <w:t>össz óraszám/félév: 28</w:t>
      </w:r>
    </w:p>
    <w:p w:rsidR="001367D0" w:rsidRPr="001367D0" w:rsidRDefault="001367D0" w:rsidP="00980876">
      <w:pPr>
        <w:widowControl w:val="0"/>
        <w:numPr>
          <w:ilvl w:val="2"/>
          <w:numId w:val="542"/>
        </w:numPr>
        <w:tabs>
          <w:tab w:val="num" w:pos="709"/>
          <w:tab w:val="num" w:pos="1134"/>
        </w:tabs>
        <w:spacing w:after="0" w:line="240" w:lineRule="auto"/>
        <w:ind w:left="992" w:hanging="425"/>
        <w:jc w:val="both"/>
        <w:rPr>
          <w:rFonts w:ascii="Times New Roman" w:eastAsia="Times New Roman" w:hAnsi="Times New Roman" w:cs="Times New Roman"/>
          <w:bCs/>
        </w:rPr>
      </w:pPr>
      <w:r w:rsidRPr="001367D0">
        <w:rPr>
          <w:rFonts w:ascii="Times New Roman" w:eastAsia="Times New Roman" w:hAnsi="Times New Roman" w:cs="Times New Roman"/>
          <w:bCs/>
        </w:rPr>
        <w:t>nappali munkarend: 28 (14 EA + 0 SZ + 14 GY)</w:t>
      </w:r>
    </w:p>
    <w:p w:rsidR="001367D0" w:rsidRPr="001367D0" w:rsidRDefault="001367D0" w:rsidP="00980876">
      <w:pPr>
        <w:widowControl w:val="0"/>
        <w:numPr>
          <w:ilvl w:val="2"/>
          <w:numId w:val="542"/>
        </w:numPr>
        <w:tabs>
          <w:tab w:val="num" w:pos="709"/>
          <w:tab w:val="num" w:pos="1134"/>
        </w:tabs>
        <w:spacing w:after="0" w:line="240" w:lineRule="auto"/>
        <w:ind w:left="992" w:hanging="425"/>
        <w:jc w:val="both"/>
        <w:rPr>
          <w:rFonts w:ascii="Times New Roman" w:eastAsia="Times New Roman" w:hAnsi="Times New Roman" w:cs="Times New Roman"/>
          <w:bCs/>
        </w:rPr>
      </w:pPr>
      <w:r w:rsidRPr="001367D0">
        <w:rPr>
          <w:rFonts w:ascii="Times New Roman" w:eastAsia="Times New Roman" w:hAnsi="Times New Roman" w:cs="Times New Roman"/>
          <w:bCs/>
        </w:rPr>
        <w:t>levelező munkarend: 0 (0 EA + 0 SZ + 0 GY)</w:t>
      </w:r>
    </w:p>
    <w:p w:rsidR="001367D0" w:rsidRPr="001367D0" w:rsidRDefault="001367D0" w:rsidP="00980876">
      <w:pPr>
        <w:widowControl w:val="0"/>
        <w:numPr>
          <w:ilvl w:val="1"/>
          <w:numId w:val="542"/>
        </w:numPr>
        <w:tabs>
          <w:tab w:val="num" w:pos="709"/>
          <w:tab w:val="num" w:pos="2069"/>
        </w:tabs>
        <w:spacing w:before="120" w:after="120" w:line="240" w:lineRule="auto"/>
        <w:ind w:left="851" w:hanging="425"/>
        <w:jc w:val="both"/>
        <w:rPr>
          <w:rFonts w:ascii="Times New Roman" w:eastAsia="Times New Roman" w:hAnsi="Times New Roman" w:cs="Times New Roman"/>
          <w:bCs/>
        </w:rPr>
      </w:pPr>
      <w:r w:rsidRPr="001367D0">
        <w:rPr>
          <w:rFonts w:ascii="Times New Roman" w:eastAsia="Times New Roman" w:hAnsi="Times New Roman" w:cs="Times New Roman"/>
          <w:bCs/>
        </w:rPr>
        <w:t>heti óraszám - nappali munkarend: 2</w:t>
      </w:r>
      <w:r>
        <w:rPr>
          <w:rFonts w:ascii="Times New Roman" w:eastAsia="Times New Roman" w:hAnsi="Times New Roman" w:cs="Times New Roman"/>
          <w:bCs/>
        </w:rPr>
        <w:t xml:space="preserve"> (1+1)</w:t>
      </w:r>
    </w:p>
    <w:p w:rsidR="001367D0" w:rsidRPr="001367D0" w:rsidRDefault="001367D0" w:rsidP="00980876">
      <w:pPr>
        <w:widowControl w:val="0"/>
        <w:numPr>
          <w:ilvl w:val="1"/>
          <w:numId w:val="542"/>
        </w:numPr>
        <w:tabs>
          <w:tab w:val="num" w:pos="709"/>
          <w:tab w:val="num" w:pos="2069"/>
        </w:tabs>
        <w:spacing w:before="120" w:after="120" w:line="240" w:lineRule="auto"/>
        <w:ind w:left="851" w:hanging="425"/>
        <w:jc w:val="both"/>
        <w:rPr>
          <w:rFonts w:ascii="Times New Roman" w:eastAsia="Times New Roman" w:hAnsi="Times New Roman" w:cs="Times New Roman"/>
          <w:bCs/>
        </w:rPr>
      </w:pPr>
      <w:r w:rsidRPr="001367D0">
        <w:rPr>
          <w:rFonts w:ascii="Times New Roman" w:eastAsia="Calibri" w:hAnsi="Times New Roman" w:cs="Times New Roman"/>
        </w:rPr>
        <w:t>Az ismeret átadásában alkalmazandó további sajátos módok, jellemzők: -</w:t>
      </w:r>
    </w:p>
    <w:p w:rsidR="001367D0" w:rsidRPr="001367D0" w:rsidRDefault="001367D0" w:rsidP="00980876">
      <w:pPr>
        <w:widowControl w:val="0"/>
        <w:numPr>
          <w:ilvl w:val="0"/>
          <w:numId w:val="542"/>
        </w:numPr>
        <w:spacing w:before="120" w:after="120" w:line="240" w:lineRule="auto"/>
        <w:ind w:left="426" w:hanging="142"/>
        <w:jc w:val="both"/>
        <w:rPr>
          <w:rFonts w:ascii="Times New Roman" w:eastAsia="Times New Roman" w:hAnsi="Times New Roman" w:cs="Times New Roman"/>
          <w:bCs/>
        </w:rPr>
      </w:pPr>
      <w:r w:rsidRPr="001367D0">
        <w:rPr>
          <w:rFonts w:ascii="Times New Roman" w:eastAsia="Times New Roman" w:hAnsi="Times New Roman" w:cs="Times New Roman"/>
          <w:b/>
          <w:bCs/>
        </w:rPr>
        <w:t>A tantárgy szakmai tartalma (magyarul):</w:t>
      </w:r>
      <w:r w:rsidRPr="001367D0">
        <w:rPr>
          <w:rFonts w:ascii="Times New Roman" w:eastAsia="Times New Roman" w:hAnsi="Times New Roman" w:cs="Times New Roman"/>
          <w:bCs/>
        </w:rPr>
        <w:t xml:space="preserve"> </w:t>
      </w:r>
      <w:r w:rsidRPr="001367D0">
        <w:rPr>
          <w:rFonts w:ascii="Times New Roman" w:eastAsia="Calibri" w:hAnsi="Times New Roman" w:cs="Calibri"/>
          <w:bCs/>
        </w:rPr>
        <w:t>A LOGFAS rendszer szerepe a logisztikai műveletek végrehajtása során. A Logisztikai Adat Menedzser modul felépítése, használata. Feladattervek, diszpozíciós listák létrehozása. Földrajzi menedzser modul felépítése, használata. Szállítástervező modul felépítése és használata. Részletes telepítési, áttelepítési tervek létrehozása.</w:t>
      </w:r>
    </w:p>
    <w:p w:rsidR="001367D0" w:rsidRPr="001367D0" w:rsidRDefault="001367D0" w:rsidP="001367D0">
      <w:pPr>
        <w:widowControl w:val="0"/>
        <w:spacing w:before="120" w:after="120" w:line="240" w:lineRule="auto"/>
        <w:ind w:left="426"/>
        <w:jc w:val="both"/>
        <w:rPr>
          <w:rFonts w:ascii="Times New Roman" w:eastAsia="Times New Roman" w:hAnsi="Times New Roman" w:cs="Times New Roman"/>
          <w:bCs/>
          <w:lang w:val="en-GB"/>
        </w:rPr>
      </w:pPr>
      <w:r w:rsidRPr="001367D0">
        <w:rPr>
          <w:rFonts w:ascii="Times New Roman" w:eastAsia="Times New Roman" w:hAnsi="Times New Roman" w:cs="Times New Roman"/>
          <w:b/>
          <w:bCs/>
        </w:rPr>
        <w:t>A tantárgy szakmai tartalma (angolul) (</w:t>
      </w:r>
      <w:r w:rsidRPr="001367D0">
        <w:rPr>
          <w:rFonts w:ascii="Times New Roman" w:eastAsia="Times New Roman" w:hAnsi="Times New Roman" w:cs="Times New Roman"/>
          <w:b/>
          <w:bCs/>
          <w:lang w:val="en-US"/>
        </w:rPr>
        <w:t>Course description</w:t>
      </w:r>
      <w:r w:rsidRPr="001367D0">
        <w:rPr>
          <w:rFonts w:ascii="Times New Roman" w:eastAsia="Times New Roman" w:hAnsi="Times New Roman" w:cs="Times New Roman"/>
          <w:b/>
          <w:bCs/>
        </w:rPr>
        <w:t xml:space="preserve">): </w:t>
      </w:r>
      <w:r w:rsidRPr="001367D0">
        <w:rPr>
          <w:rFonts w:ascii="Times New Roman" w:eastAsia="Calibri" w:hAnsi="Times New Roman" w:cs="Calibri"/>
          <w:bCs/>
        </w:rPr>
        <w:t>The role of the LOGFAS system in implementation Design and use of the Logistics Data Manager module. Creating Task Schedules and Disposition Lists. Design and use of the geographic menu module. Design and use of the Shipping Design module. Creating detailed deployment and displacement plans.</w:t>
      </w:r>
    </w:p>
    <w:p w:rsidR="001367D0" w:rsidRPr="001367D0" w:rsidRDefault="001367D0" w:rsidP="00980876">
      <w:pPr>
        <w:widowControl w:val="0"/>
        <w:numPr>
          <w:ilvl w:val="0"/>
          <w:numId w:val="542"/>
        </w:numPr>
        <w:spacing w:before="120" w:after="120" w:line="240" w:lineRule="auto"/>
        <w:contextualSpacing/>
        <w:jc w:val="both"/>
        <w:rPr>
          <w:rFonts w:ascii="Times New Roman" w:eastAsia="Times New Roman" w:hAnsi="Times New Roman" w:cs="Times New Roman"/>
          <w:bCs/>
        </w:rPr>
      </w:pPr>
      <w:r w:rsidRPr="001367D0">
        <w:rPr>
          <w:rFonts w:ascii="Times New Roman" w:eastAsia="Times New Roman" w:hAnsi="Times New Roman" w:cs="Times New Roman"/>
          <w:b/>
          <w:bCs/>
        </w:rPr>
        <w:t xml:space="preserve">Elérendő kompetenciák (magyarul): </w:t>
      </w:r>
    </w:p>
    <w:p w:rsidR="001367D0" w:rsidRPr="001367D0" w:rsidRDefault="001367D0" w:rsidP="001367D0">
      <w:pPr>
        <w:autoSpaceDE w:val="0"/>
        <w:autoSpaceDN w:val="0"/>
        <w:adjustRightInd w:val="0"/>
        <w:spacing w:before="120" w:after="0" w:line="240" w:lineRule="auto"/>
        <w:ind w:left="425"/>
        <w:jc w:val="both"/>
        <w:rPr>
          <w:rFonts w:ascii="Times New Roman" w:eastAsia="Times New Roman" w:hAnsi="Times New Roman" w:cs="Times New Roman"/>
          <w:b/>
          <w:bCs/>
        </w:rPr>
      </w:pPr>
      <w:r w:rsidRPr="001367D0">
        <w:rPr>
          <w:rFonts w:ascii="Times New Roman" w:eastAsia="Times New Roman" w:hAnsi="Times New Roman" w:cs="Times New Roman"/>
          <w:b/>
          <w:bCs/>
        </w:rPr>
        <w:t xml:space="preserve">Tudása: </w:t>
      </w:r>
    </w:p>
    <w:p w:rsidR="001367D0" w:rsidRPr="001367D0" w:rsidRDefault="001367D0"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1367D0">
        <w:rPr>
          <w:rFonts w:ascii="Times New Roman" w:eastAsia="Calibri" w:hAnsi="Times New Roman" w:cs="Times New Roman"/>
        </w:rPr>
        <w:t>Ismeri a katonai közlekedési szakterülethez szervesen kapcsolódó logisztikai, menedzsment, környezetvédelmi, minőségbiztosítási, információtechnológiai, jogi, közgazdasági szakterületek alapjait és követelményeit.</w:t>
      </w:r>
    </w:p>
    <w:p w:rsidR="001367D0" w:rsidRPr="001367D0" w:rsidRDefault="001367D0"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1367D0">
        <w:rPr>
          <w:rFonts w:ascii="Times New Roman" w:eastAsia="Calibri" w:hAnsi="Times New Roman" w:cs="Times New Roman"/>
        </w:rPr>
        <w:t>Ismeri a katonai közlekedési szakterület szaktechnikai eszközeit, a közlekedési pályákat és létesítményeiket, azok igénybevételének és üzemeltetésének szabályait.</w:t>
      </w:r>
    </w:p>
    <w:p w:rsidR="001367D0" w:rsidRPr="001367D0" w:rsidRDefault="001367D0"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1367D0">
        <w:rPr>
          <w:rFonts w:ascii="Times New Roman" w:eastAsia="Calibri" w:hAnsi="Times New Roman" w:cs="Times New Roman"/>
        </w:rPr>
        <w:t>Ismeri a katonai közlekedési szakanyagok készletezésének, tárolásának, nyilvántartásának és leltározásának, valamint ezen folyamatok ellenőrzésének feladatait és kötelezettségeit.</w:t>
      </w:r>
    </w:p>
    <w:p w:rsidR="001367D0" w:rsidRPr="001367D0" w:rsidRDefault="001367D0"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1367D0">
        <w:rPr>
          <w:rFonts w:ascii="Times New Roman" w:eastAsia="Calibri" w:hAnsi="Times New Roman" w:cs="Times New Roman"/>
        </w:rPr>
        <w:t>Mélyrehatóan ismeri a katonai közlekedési szakterület szakmai feladatait, a közlekedési szakfeladatok rendszerét, az egyes feladatok végrehajtásának sajátosságait.</w:t>
      </w:r>
    </w:p>
    <w:p w:rsidR="001367D0" w:rsidRPr="001367D0" w:rsidRDefault="001367D0"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1367D0">
        <w:rPr>
          <w:rFonts w:ascii="Times New Roman" w:eastAsia="Calibri" w:hAnsi="Times New Roman" w:cs="Times New Roman"/>
        </w:rPr>
        <w:t>Ismeri a katonai közlekedési igények felmérésének módszereit és megvalósítási lehetőségeit, gyakorlatát.</w:t>
      </w:r>
    </w:p>
    <w:p w:rsidR="001367D0" w:rsidRPr="001367D0" w:rsidRDefault="001367D0" w:rsidP="001367D0">
      <w:pPr>
        <w:autoSpaceDE w:val="0"/>
        <w:autoSpaceDN w:val="0"/>
        <w:adjustRightInd w:val="0"/>
        <w:spacing w:before="120" w:after="0" w:line="240" w:lineRule="auto"/>
        <w:ind w:left="425"/>
        <w:jc w:val="both"/>
        <w:rPr>
          <w:rFonts w:ascii="Times New Roman" w:eastAsia="Times New Roman" w:hAnsi="Times New Roman" w:cs="Times New Roman"/>
          <w:bCs/>
        </w:rPr>
      </w:pPr>
      <w:r w:rsidRPr="001367D0">
        <w:rPr>
          <w:rFonts w:ascii="Times New Roman" w:eastAsia="Times New Roman" w:hAnsi="Times New Roman" w:cs="Times New Roman"/>
          <w:b/>
          <w:bCs/>
        </w:rPr>
        <w:t>Képességei:</w:t>
      </w:r>
      <w:r w:rsidRPr="001367D0">
        <w:rPr>
          <w:rFonts w:ascii="Times New Roman" w:eastAsia="Times New Roman" w:hAnsi="Times New Roman" w:cs="Times New Roman"/>
          <w:bCs/>
        </w:rPr>
        <w:t xml:space="preserve"> </w:t>
      </w:r>
    </w:p>
    <w:p w:rsidR="001367D0" w:rsidRPr="001367D0" w:rsidRDefault="001367D0"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1367D0">
        <w:rPr>
          <w:rFonts w:ascii="Times New Roman" w:eastAsia="Calibri" w:hAnsi="Times New Roman" w:cs="Times New Roman"/>
        </w:rPr>
        <w:t>Az általános és specifikus katonai ismeretei és készségei birtokában képes a katonai közlekedési, mozgatási, szállítási feladatok tervezésére, szervezésére és vezetésére.</w:t>
      </w:r>
    </w:p>
    <w:p w:rsidR="001367D0" w:rsidRPr="001367D0" w:rsidRDefault="001367D0"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1367D0">
        <w:rPr>
          <w:rFonts w:ascii="Times New Roman" w:eastAsia="Calibri" w:hAnsi="Times New Roman" w:cs="Times New Roman"/>
        </w:rPr>
        <w:lastRenderedPageBreak/>
        <w:t>Képes békeidőszakban, válságkezelő, katasztrófa-elhárítási, béketámogató és háborús műveletekben, nemzeti és többnemzeti környezetben a szállító szakalegységek alaprendeltetéséből fakadó feladatai végrehajtásának vezetésére.</w:t>
      </w:r>
    </w:p>
    <w:p w:rsidR="001367D0" w:rsidRPr="001367D0" w:rsidRDefault="001367D0"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1367D0">
        <w:rPr>
          <w:rFonts w:ascii="Times New Roman" w:eastAsia="Calibri" w:hAnsi="Times New Roman" w:cs="Times New Roman"/>
        </w:rPr>
        <w:t>Képes a közlekedési hálózatok katonai célú alkalmazásának tervezésére, szervezésére és végrehajtására.</w:t>
      </w:r>
    </w:p>
    <w:p w:rsidR="001367D0" w:rsidRPr="001367D0" w:rsidRDefault="001367D0"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1367D0">
        <w:rPr>
          <w:rFonts w:ascii="Times New Roman" w:eastAsia="Calibri" w:hAnsi="Times New Roman" w:cs="Times New Roman"/>
        </w:rPr>
        <w:t>Képes a közlekedési folyamatokat támogató közlekedésinformatikai rendszerek alkalmazására, az azokkal kapcsolatos felhasználói alapkövetelmények megfogalmazására.</w:t>
      </w:r>
    </w:p>
    <w:p w:rsidR="001367D0" w:rsidRPr="001367D0" w:rsidRDefault="001367D0" w:rsidP="001367D0">
      <w:pPr>
        <w:autoSpaceDE w:val="0"/>
        <w:autoSpaceDN w:val="0"/>
        <w:adjustRightInd w:val="0"/>
        <w:spacing w:before="120" w:after="0" w:line="240" w:lineRule="auto"/>
        <w:ind w:left="425"/>
        <w:jc w:val="both"/>
        <w:rPr>
          <w:rFonts w:ascii="Times New Roman" w:eastAsia="Times New Roman" w:hAnsi="Times New Roman" w:cs="Times New Roman"/>
          <w:b/>
          <w:bCs/>
        </w:rPr>
      </w:pPr>
      <w:r w:rsidRPr="001367D0">
        <w:rPr>
          <w:rFonts w:ascii="Times New Roman" w:eastAsia="Times New Roman" w:hAnsi="Times New Roman" w:cs="Times New Roman"/>
          <w:b/>
          <w:bCs/>
        </w:rPr>
        <w:t xml:space="preserve">Attitűdje: </w:t>
      </w:r>
    </w:p>
    <w:p w:rsidR="001367D0" w:rsidRPr="001367D0" w:rsidRDefault="001367D0"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1367D0">
        <w:rPr>
          <w:rFonts w:ascii="Times New Roman" w:eastAsia="Calibri" w:hAnsi="Times New Roman" w:cs="Times New Roman"/>
        </w:rPr>
        <w:t>Nyitott a katonai közlekedési szakterületen zajló szakmai, technológiai fejlesztés és innováció megismerésére és elfogadására, hiteles közvetítésére és azok mindennapi munkájába való beillesztésére.</w:t>
      </w:r>
    </w:p>
    <w:p w:rsidR="001367D0" w:rsidRPr="001367D0" w:rsidRDefault="001367D0"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1367D0">
        <w:rPr>
          <w:rFonts w:ascii="Times New Roman" w:eastAsia="Calibri" w:hAnsi="Times New Roman" w:cs="Times New Roman"/>
        </w:rPr>
        <w:t>Törekszik arra, hogy önképzése a katonai közlekedési szakterületen folyamatos és szakmai céljaival megegyező legyen.</w:t>
      </w:r>
    </w:p>
    <w:p w:rsidR="001367D0" w:rsidRPr="001367D0" w:rsidRDefault="001367D0"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1367D0">
        <w:rPr>
          <w:rFonts w:ascii="Times New Roman" w:eastAsia="Calibri" w:hAnsi="Times New Roman" w:cs="Times New Roman"/>
        </w:rPr>
        <w:t>Elkötelezett a minőségi szakmai munkavégzés iránt, különös tekintettel a közlekedési, szállítási feladatok és folyamatok biztonságos végrehajtására.</w:t>
      </w:r>
    </w:p>
    <w:p w:rsidR="001367D0" w:rsidRPr="001367D0" w:rsidRDefault="001367D0"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1367D0">
        <w:rPr>
          <w:rFonts w:ascii="Times New Roman" w:eastAsia="Calibri" w:hAnsi="Times New Roman" w:cs="Times New Roman"/>
        </w:rPr>
        <w:t>Figyel beosztottjai szakmai fejlődésének előmozdítására, ilyen irányú törekvéseik kezelésére és segítésére.</w:t>
      </w:r>
    </w:p>
    <w:p w:rsidR="001367D0" w:rsidRPr="001367D0" w:rsidRDefault="001367D0"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1367D0">
        <w:rPr>
          <w:rFonts w:ascii="Times New Roman" w:eastAsia="Calibri" w:hAnsi="Times New Roman" w:cs="Times New Roman"/>
        </w:rPr>
        <w:t>Megosztja tapasztalatait munkatársaival, így segítve fejlődésüket.</w:t>
      </w:r>
    </w:p>
    <w:p w:rsidR="001367D0" w:rsidRPr="001367D0" w:rsidRDefault="001367D0" w:rsidP="001367D0">
      <w:pPr>
        <w:autoSpaceDE w:val="0"/>
        <w:autoSpaceDN w:val="0"/>
        <w:adjustRightInd w:val="0"/>
        <w:spacing w:before="120" w:after="0" w:line="240" w:lineRule="auto"/>
        <w:ind w:left="425"/>
        <w:jc w:val="both"/>
        <w:rPr>
          <w:rFonts w:ascii="Times New Roman" w:eastAsia="Times New Roman" w:hAnsi="Times New Roman" w:cs="Times New Roman"/>
          <w:b/>
          <w:bCs/>
        </w:rPr>
      </w:pPr>
      <w:r w:rsidRPr="001367D0">
        <w:rPr>
          <w:rFonts w:ascii="Times New Roman" w:eastAsia="Times New Roman" w:hAnsi="Times New Roman" w:cs="Times New Roman"/>
          <w:b/>
          <w:bCs/>
        </w:rPr>
        <w:t xml:space="preserve">Autonómiája és felelőssége: </w:t>
      </w:r>
    </w:p>
    <w:p w:rsidR="001367D0" w:rsidRPr="001367D0" w:rsidRDefault="001367D0"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1367D0">
        <w:rPr>
          <w:rFonts w:ascii="Times New Roman" w:eastAsia="Calibri" w:hAnsi="Times New Roman" w:cs="Times New Roman"/>
        </w:rPr>
        <w:t>A katonai közlekedés szakterületén megjelenő folyamatokban képes önállóan döntéseket hozni, azokat felelősséggel, a jogszabályi keretek figyelembevételével végrehajtani.</w:t>
      </w:r>
    </w:p>
    <w:p w:rsidR="001367D0" w:rsidRPr="001367D0" w:rsidRDefault="001367D0"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1367D0">
        <w:rPr>
          <w:rFonts w:ascii="Times New Roman" w:eastAsia="Calibri" w:hAnsi="Times New Roman" w:cs="Times New Roman"/>
        </w:rPr>
        <w:t>Tisztában van döntéseinek, tevékenységének a katonai logisztikai folyamatok egészére gyakorolt hatásaival, következményeivel.</w:t>
      </w:r>
    </w:p>
    <w:p w:rsidR="001367D0" w:rsidRPr="001367D0" w:rsidRDefault="001367D0"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1367D0">
        <w:rPr>
          <w:rFonts w:ascii="Times New Roman" w:eastAsia="Calibri" w:hAnsi="Times New Roman" w:cs="Times New Roman"/>
        </w:rPr>
        <w:t>Szakmai feladatainak elvégzése során felelősségteljesen együttműködik más szakterület képzett szakembereivel is.</w:t>
      </w:r>
    </w:p>
    <w:p w:rsidR="001367D0" w:rsidRPr="001367D0" w:rsidRDefault="001367D0"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1367D0">
        <w:rPr>
          <w:rFonts w:ascii="Times New Roman" w:eastAsia="Calibri" w:hAnsi="Times New Roman" w:cs="Times New Roman"/>
        </w:rPr>
        <w:t>Feltárja az alkalmazott technológiák hiányosságait, a folyamatok kockázatait és kezdeményezi az ezeket csökkentő intézkedések megtételét.</w:t>
      </w:r>
    </w:p>
    <w:p w:rsidR="001367D0" w:rsidRPr="001367D0" w:rsidRDefault="001367D0"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1367D0">
        <w:rPr>
          <w:rFonts w:ascii="Times New Roman" w:eastAsia="Calibri" w:hAnsi="Times New Roman" w:cs="Times New Roman"/>
        </w:rPr>
        <w:t>Parancsnokának útmutatása alapján irányítja a rábízott személyi állomány munkavégzését, felügyeli a közlekedési, szállítási folyamatok tervezését, szervezését, végrehajtását, a közlekedési szaktechnikai eszközök üzemeltetését.</w:t>
      </w:r>
    </w:p>
    <w:p w:rsidR="001367D0" w:rsidRPr="001367D0" w:rsidRDefault="001367D0"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1367D0">
        <w:rPr>
          <w:rFonts w:ascii="Times New Roman" w:eastAsia="Calibri" w:hAnsi="Times New Roman" w:cs="Times New Roman"/>
        </w:rPr>
        <w:t>Értékeli a beosztottak munkavégzésének hatékonyságát, eredményességét.</w:t>
      </w:r>
    </w:p>
    <w:p w:rsidR="001367D0" w:rsidRPr="001367D0" w:rsidRDefault="001367D0" w:rsidP="001367D0">
      <w:pPr>
        <w:widowControl w:val="0"/>
        <w:spacing w:before="120" w:after="120" w:line="240" w:lineRule="auto"/>
        <w:ind w:left="426"/>
        <w:jc w:val="both"/>
        <w:rPr>
          <w:rFonts w:ascii="Times New Roman" w:eastAsia="Times New Roman" w:hAnsi="Times New Roman" w:cs="Times New Roman"/>
          <w:b/>
          <w:bCs/>
          <w:lang w:val="en-US"/>
        </w:rPr>
      </w:pPr>
      <w:r w:rsidRPr="001367D0">
        <w:rPr>
          <w:rFonts w:ascii="Times New Roman" w:eastAsia="Times New Roman" w:hAnsi="Times New Roman" w:cs="Times New Roman"/>
          <w:b/>
          <w:bCs/>
        </w:rPr>
        <w:t>Elérendő kompetenciák (angolul) (</w:t>
      </w:r>
      <w:r w:rsidRPr="001367D0">
        <w:rPr>
          <w:rFonts w:ascii="Times New Roman" w:eastAsia="Times New Roman" w:hAnsi="Times New Roman" w:cs="Times New Roman"/>
          <w:b/>
          <w:bCs/>
          <w:lang w:val="en-US"/>
        </w:rPr>
        <w:t xml:space="preserve">Competences – English): </w:t>
      </w:r>
    </w:p>
    <w:p w:rsidR="001367D0" w:rsidRPr="001367D0" w:rsidRDefault="001367D0" w:rsidP="001367D0">
      <w:pPr>
        <w:widowControl w:val="0"/>
        <w:spacing w:before="120" w:after="120" w:line="240" w:lineRule="auto"/>
        <w:ind w:left="426"/>
        <w:jc w:val="both"/>
        <w:rPr>
          <w:rFonts w:ascii="Times New Roman" w:eastAsia="Times New Roman" w:hAnsi="Times New Roman" w:cs="Times New Roman"/>
          <w:lang w:val="en-GB"/>
        </w:rPr>
      </w:pPr>
      <w:r w:rsidRPr="001367D0">
        <w:rPr>
          <w:rFonts w:ascii="Times New Roman" w:eastAsia="Times New Roman" w:hAnsi="Times New Roman" w:cs="Times New Roman"/>
          <w:b/>
          <w:lang w:val="en-GB"/>
        </w:rPr>
        <w:t>Knowledge</w:t>
      </w:r>
      <w:r w:rsidRPr="001367D0">
        <w:rPr>
          <w:rFonts w:ascii="Times New Roman" w:eastAsia="Times New Roman" w:hAnsi="Times New Roman" w:cs="Times New Roman"/>
          <w:lang w:val="en-GB"/>
        </w:rPr>
        <w:t xml:space="preserve">: </w:t>
      </w:r>
    </w:p>
    <w:p w:rsidR="001367D0" w:rsidRPr="001367D0" w:rsidRDefault="001367D0"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1367D0">
        <w:rPr>
          <w:rFonts w:ascii="Times New Roman" w:eastAsia="Calibri" w:hAnsi="Times New Roman" w:cs="Times New Roman"/>
        </w:rPr>
        <w:t>Knows the basics and requirements of logistics, management, environmental protection, quality assurance, information technology, law and economics, connected to the field of military transportation.</w:t>
      </w:r>
    </w:p>
    <w:p w:rsidR="001367D0" w:rsidRPr="001367D0" w:rsidRDefault="001367D0"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1367D0">
        <w:rPr>
          <w:rFonts w:ascii="Times New Roman" w:eastAsia="Calibri" w:hAnsi="Times New Roman" w:cs="Times New Roman"/>
        </w:rPr>
        <w:t>Is familiar with the technical equipment used in military transportation, the transportation modes and facilities, and the rules of their use and operation.</w:t>
      </w:r>
    </w:p>
    <w:p w:rsidR="001367D0" w:rsidRPr="001367D0" w:rsidRDefault="001367D0"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1367D0">
        <w:rPr>
          <w:rFonts w:ascii="Times New Roman" w:eastAsia="Calibri" w:hAnsi="Times New Roman" w:cs="Times New Roman"/>
        </w:rPr>
        <w:t>Is familiar with the tasks and responsibilities of stockpiling, storing, registering and inventorying of military transportation assets and is able to control these processes.</w:t>
      </w:r>
    </w:p>
    <w:p w:rsidR="001367D0" w:rsidRPr="001367D0" w:rsidRDefault="001367D0"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1367D0">
        <w:rPr>
          <w:rFonts w:ascii="Times New Roman" w:eastAsia="Calibri" w:hAnsi="Times New Roman" w:cs="Times New Roman"/>
        </w:rPr>
        <w:t>Has a profound knowledge of the tasks and the system of military transportation and the unique characteristics of performing each task.</w:t>
      </w:r>
    </w:p>
    <w:p w:rsidR="001367D0" w:rsidRPr="001367D0" w:rsidRDefault="001367D0"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1367D0">
        <w:rPr>
          <w:rFonts w:ascii="Times New Roman" w:eastAsia="Calibri" w:hAnsi="Times New Roman" w:cs="Times New Roman"/>
        </w:rPr>
        <w:t>Is familiar with the methods of assessing the requirements of military transportation and its feasibility and practical implementation.</w:t>
      </w:r>
    </w:p>
    <w:p w:rsidR="001367D0" w:rsidRPr="001367D0" w:rsidRDefault="001367D0" w:rsidP="001367D0">
      <w:pPr>
        <w:widowControl w:val="0"/>
        <w:spacing w:before="120" w:after="120" w:line="240" w:lineRule="auto"/>
        <w:ind w:left="426"/>
        <w:jc w:val="both"/>
        <w:rPr>
          <w:rFonts w:ascii="Times New Roman" w:eastAsia="Times New Roman" w:hAnsi="Times New Roman" w:cs="Times New Roman"/>
          <w:lang w:val="en-GB"/>
        </w:rPr>
      </w:pPr>
      <w:r w:rsidRPr="001367D0">
        <w:rPr>
          <w:rFonts w:ascii="Times New Roman" w:eastAsia="Times New Roman" w:hAnsi="Times New Roman" w:cs="Times New Roman"/>
          <w:b/>
          <w:lang w:val="en-GB"/>
        </w:rPr>
        <w:t>Capabilities</w:t>
      </w:r>
      <w:r w:rsidRPr="001367D0">
        <w:rPr>
          <w:rFonts w:ascii="Times New Roman" w:eastAsia="Times New Roman" w:hAnsi="Times New Roman" w:cs="Times New Roman"/>
          <w:lang w:val="en-GB"/>
        </w:rPr>
        <w:t>:</w:t>
      </w:r>
    </w:p>
    <w:p w:rsidR="001367D0" w:rsidRPr="001367D0" w:rsidRDefault="001367D0"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1367D0">
        <w:rPr>
          <w:rFonts w:ascii="Times New Roman" w:eastAsia="Calibri" w:hAnsi="Times New Roman" w:cs="Times New Roman"/>
        </w:rPr>
        <w:t>Using his/her general and specialized military knowledge and skills, he/she is capable of planning, organizing, and conducting military transport, movement, and transportation tasks.</w:t>
      </w:r>
    </w:p>
    <w:p w:rsidR="001367D0" w:rsidRPr="001367D0" w:rsidRDefault="001367D0"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1367D0">
        <w:rPr>
          <w:rFonts w:ascii="Times New Roman" w:eastAsia="Calibri" w:hAnsi="Times New Roman" w:cs="Times New Roman"/>
        </w:rPr>
        <w:t>Is capable of leading the execution of the tasks of a military transportation subunit in peace time and in crisis response, disaster relief, peace support and combat operations both in a national and a multinational environment.</w:t>
      </w:r>
    </w:p>
    <w:p w:rsidR="001367D0" w:rsidRPr="001367D0" w:rsidRDefault="001367D0"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1367D0">
        <w:rPr>
          <w:rFonts w:ascii="Times New Roman" w:eastAsia="Calibri" w:hAnsi="Times New Roman" w:cs="Times New Roman"/>
        </w:rPr>
        <w:t>Is capable of planning, organizing and executing the tasks related to the application of traffic networks for military purposes.</w:t>
      </w:r>
    </w:p>
    <w:p w:rsidR="001367D0" w:rsidRPr="001367D0" w:rsidRDefault="001367D0"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1367D0">
        <w:rPr>
          <w:rFonts w:ascii="Times New Roman" w:eastAsia="Calibri" w:hAnsi="Times New Roman" w:cs="Times New Roman"/>
        </w:rPr>
        <w:lastRenderedPageBreak/>
        <w:t>Is capable of applying traffic information systems to support transportation processes and formulating the basic user requirements related to them.</w:t>
      </w:r>
    </w:p>
    <w:p w:rsidR="001367D0" w:rsidRPr="001367D0" w:rsidRDefault="001367D0" w:rsidP="001367D0">
      <w:pPr>
        <w:widowControl w:val="0"/>
        <w:spacing w:before="120" w:after="120" w:line="240" w:lineRule="auto"/>
        <w:ind w:left="426"/>
        <w:jc w:val="both"/>
        <w:rPr>
          <w:rFonts w:ascii="Times New Roman" w:eastAsia="Times New Roman" w:hAnsi="Times New Roman" w:cs="Times New Roman"/>
          <w:b/>
          <w:lang w:val="en-GB"/>
        </w:rPr>
      </w:pPr>
      <w:r w:rsidRPr="001367D0">
        <w:rPr>
          <w:rFonts w:ascii="Times New Roman" w:eastAsia="Times New Roman" w:hAnsi="Times New Roman" w:cs="Times New Roman"/>
          <w:b/>
          <w:lang w:val="en-GB"/>
        </w:rPr>
        <w:t>Attitude:</w:t>
      </w:r>
    </w:p>
    <w:p w:rsidR="001367D0" w:rsidRPr="001367D0" w:rsidRDefault="001367D0"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1367D0">
        <w:rPr>
          <w:rFonts w:ascii="Times New Roman" w:eastAsia="Calibri" w:hAnsi="Times New Roman" w:cs="Times New Roman"/>
        </w:rPr>
        <w:t>He/She is ready to become familiar with and adopt the professional and technological development and innovation in the field of military transportation, and also to pass it on and integrate it into his daily work.</w:t>
      </w:r>
    </w:p>
    <w:p w:rsidR="001367D0" w:rsidRPr="001367D0" w:rsidRDefault="001367D0"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1367D0">
        <w:rPr>
          <w:rFonts w:ascii="Times New Roman" w:eastAsia="Calibri" w:hAnsi="Times New Roman" w:cs="Times New Roman"/>
        </w:rPr>
        <w:t>He/She strives for continuous self-education in the field of military transportation which is consistent with his/her professional goals.</w:t>
      </w:r>
    </w:p>
    <w:p w:rsidR="001367D0" w:rsidRPr="001367D0" w:rsidRDefault="001367D0"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1367D0">
        <w:rPr>
          <w:rFonts w:ascii="Times New Roman" w:eastAsia="Calibri" w:hAnsi="Times New Roman" w:cs="Times New Roman"/>
        </w:rPr>
        <w:t>He/She is committed to high quality in his/her professional work, with special emphasis on the safe execution of the transportation tasks and processes.</w:t>
      </w:r>
    </w:p>
    <w:p w:rsidR="001367D0" w:rsidRPr="001367D0" w:rsidRDefault="001367D0"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1367D0">
        <w:rPr>
          <w:rFonts w:ascii="Times New Roman" w:eastAsia="Calibri" w:hAnsi="Times New Roman" w:cs="Times New Roman"/>
        </w:rPr>
        <w:t>He/She is interested in promoting the professional development of his/her subordinates, and provides assistance in their efforts.</w:t>
      </w:r>
    </w:p>
    <w:p w:rsidR="001367D0" w:rsidRPr="001367D0" w:rsidRDefault="001367D0"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1367D0">
        <w:rPr>
          <w:rFonts w:ascii="Times New Roman" w:eastAsia="Calibri" w:hAnsi="Times New Roman" w:cs="Times New Roman"/>
        </w:rPr>
        <w:t>He/she is willing to share his/her experience with his/her colleagues to further their professional development.</w:t>
      </w:r>
    </w:p>
    <w:p w:rsidR="001367D0" w:rsidRPr="001367D0" w:rsidRDefault="001367D0" w:rsidP="001367D0">
      <w:pPr>
        <w:widowControl w:val="0"/>
        <w:spacing w:before="120" w:after="120" w:line="240" w:lineRule="auto"/>
        <w:ind w:left="426"/>
        <w:jc w:val="both"/>
        <w:rPr>
          <w:rFonts w:ascii="Times New Roman" w:eastAsia="Times New Roman" w:hAnsi="Times New Roman" w:cs="Times New Roman"/>
          <w:b/>
          <w:lang w:val="en-GB"/>
        </w:rPr>
      </w:pPr>
      <w:r w:rsidRPr="001367D0">
        <w:rPr>
          <w:rFonts w:ascii="Times New Roman" w:eastAsia="Times New Roman" w:hAnsi="Times New Roman" w:cs="Times New Roman"/>
          <w:b/>
          <w:lang w:val="en-GB"/>
        </w:rPr>
        <w:t xml:space="preserve">Autonomy and responsibility: </w:t>
      </w:r>
    </w:p>
    <w:p w:rsidR="001367D0" w:rsidRPr="001367D0" w:rsidRDefault="001367D0"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1367D0">
        <w:rPr>
          <w:rFonts w:ascii="Times New Roman" w:eastAsia="Calibri" w:hAnsi="Times New Roman" w:cs="Times New Roman"/>
        </w:rPr>
        <w:t>He/She is able to make decisions independently in the processes arising in the field of military transportation, and to implement them with responsibility and within the legal framework.</w:t>
      </w:r>
    </w:p>
    <w:p w:rsidR="001367D0" w:rsidRPr="001367D0" w:rsidRDefault="001367D0"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1367D0">
        <w:rPr>
          <w:rFonts w:ascii="Times New Roman" w:eastAsia="Calibri" w:hAnsi="Times New Roman" w:cs="Times New Roman"/>
        </w:rPr>
        <w:t>He/She is aware of the effects and consequences of his decisions and activities on the military logistic processes as a whole.</w:t>
      </w:r>
    </w:p>
    <w:p w:rsidR="001367D0" w:rsidRPr="001367D0" w:rsidRDefault="001367D0"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1367D0">
        <w:rPr>
          <w:rFonts w:ascii="Times New Roman" w:eastAsia="Calibri" w:hAnsi="Times New Roman" w:cs="Times New Roman"/>
        </w:rPr>
        <w:t xml:space="preserve">During his/her professional duties, he/she is willing to responsibly cooperate with specialists of other areas. </w:t>
      </w:r>
    </w:p>
    <w:p w:rsidR="001367D0" w:rsidRPr="001367D0" w:rsidRDefault="001367D0"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1367D0">
        <w:rPr>
          <w:rFonts w:ascii="Times New Roman" w:eastAsia="Calibri" w:hAnsi="Times New Roman" w:cs="Times New Roman"/>
        </w:rPr>
        <w:t>He/She can identify the deficiencies and risks in the applied technologies and initiates taking measures to reduce their impact.</w:t>
      </w:r>
    </w:p>
    <w:p w:rsidR="001367D0" w:rsidRPr="001367D0" w:rsidRDefault="001367D0"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1367D0">
        <w:rPr>
          <w:rFonts w:ascii="Times New Roman" w:eastAsia="Calibri" w:hAnsi="Times New Roman" w:cs="Times New Roman"/>
        </w:rPr>
        <w:t>Under the guidance of his/her commander, he/she controls the work of the personnel under his/her command and supervises the planning, organization and implementation of the transport and transportation processes, and also the operation of the technical equipment used in military transportation.</w:t>
      </w:r>
    </w:p>
    <w:p w:rsidR="001367D0" w:rsidRPr="001367D0" w:rsidRDefault="001367D0" w:rsidP="00666335">
      <w:pPr>
        <w:numPr>
          <w:ilvl w:val="0"/>
          <w:numId w:val="37"/>
        </w:numPr>
        <w:autoSpaceDE w:val="0"/>
        <w:autoSpaceDN w:val="0"/>
        <w:adjustRightInd w:val="0"/>
        <w:spacing w:after="0" w:line="240" w:lineRule="auto"/>
        <w:contextualSpacing/>
        <w:jc w:val="both"/>
        <w:rPr>
          <w:rFonts w:ascii="Times New Roman" w:eastAsia="Calibri" w:hAnsi="Times New Roman" w:cs="Times New Roman"/>
        </w:rPr>
      </w:pPr>
      <w:r w:rsidRPr="001367D0">
        <w:rPr>
          <w:rFonts w:ascii="Times New Roman" w:eastAsia="Calibri" w:hAnsi="Times New Roman" w:cs="Times New Roman"/>
        </w:rPr>
        <w:t>He/She continuously evaluates the efficiency and effectiveness of his/her subordinates' work.</w:t>
      </w:r>
    </w:p>
    <w:p w:rsidR="001367D0" w:rsidRPr="001367D0" w:rsidRDefault="001367D0" w:rsidP="00980876">
      <w:pPr>
        <w:widowControl w:val="0"/>
        <w:numPr>
          <w:ilvl w:val="0"/>
          <w:numId w:val="542"/>
        </w:numPr>
        <w:tabs>
          <w:tab w:val="num" w:pos="567"/>
        </w:tabs>
        <w:spacing w:before="120" w:after="120" w:line="240" w:lineRule="auto"/>
        <w:ind w:left="426" w:hanging="142"/>
        <w:jc w:val="both"/>
        <w:rPr>
          <w:rFonts w:ascii="Times New Roman" w:eastAsia="Times New Roman" w:hAnsi="Times New Roman" w:cs="Times New Roman"/>
          <w:bCs/>
        </w:rPr>
      </w:pPr>
      <w:r w:rsidRPr="001367D0">
        <w:rPr>
          <w:rFonts w:ascii="Times New Roman" w:eastAsia="Times New Roman" w:hAnsi="Times New Roman" w:cs="Times New Roman"/>
          <w:b/>
          <w:bCs/>
        </w:rPr>
        <w:t xml:space="preserve">Előtanulmányi követelmények: </w:t>
      </w:r>
      <w:r w:rsidRPr="001367D0">
        <w:rPr>
          <w:rFonts w:ascii="Times New Roman" w:eastAsia="Calibri" w:hAnsi="Times New Roman" w:cs="Calibri"/>
        </w:rPr>
        <w:t>Nincs</w:t>
      </w:r>
    </w:p>
    <w:p w:rsidR="001367D0" w:rsidRPr="001367D0" w:rsidRDefault="001367D0" w:rsidP="00980876">
      <w:pPr>
        <w:widowControl w:val="0"/>
        <w:numPr>
          <w:ilvl w:val="0"/>
          <w:numId w:val="542"/>
        </w:numPr>
        <w:spacing w:before="120" w:after="120" w:line="240" w:lineRule="auto"/>
        <w:ind w:left="426" w:hanging="142"/>
        <w:jc w:val="both"/>
        <w:rPr>
          <w:rFonts w:ascii="Times New Roman" w:eastAsia="Times New Roman" w:hAnsi="Times New Roman" w:cs="Times New Roman"/>
          <w:b/>
          <w:bCs/>
        </w:rPr>
      </w:pPr>
      <w:r w:rsidRPr="001367D0">
        <w:rPr>
          <w:rFonts w:ascii="Times New Roman" w:eastAsia="Times New Roman" w:hAnsi="Times New Roman" w:cs="Times New Roman"/>
          <w:b/>
          <w:bCs/>
        </w:rPr>
        <w:t>A tantárgy tananyagának leírása, tematika. Description of the subject, curriculum (magyarul, angolul - English):</w:t>
      </w:r>
    </w:p>
    <w:p w:rsidR="001367D0" w:rsidRPr="001367D0" w:rsidRDefault="001367D0" w:rsidP="00980876">
      <w:pPr>
        <w:numPr>
          <w:ilvl w:val="1"/>
          <w:numId w:val="542"/>
        </w:numPr>
        <w:tabs>
          <w:tab w:val="clear" w:pos="3977"/>
        </w:tabs>
        <w:spacing w:before="60" w:after="0" w:line="240" w:lineRule="auto"/>
        <w:ind w:left="1276" w:hanging="709"/>
        <w:jc w:val="both"/>
        <w:rPr>
          <w:rFonts w:ascii="Times New Roman" w:eastAsia="Calibri" w:hAnsi="Times New Roman" w:cs="Calibri"/>
          <w:i/>
        </w:rPr>
      </w:pPr>
      <w:r w:rsidRPr="001367D0">
        <w:rPr>
          <w:rFonts w:ascii="Times New Roman" w:eastAsia="Calibri" w:hAnsi="Times New Roman" w:cs="Calibri"/>
        </w:rPr>
        <w:t>A Logisztikai Adat Menedzser modul felépítése, használata.</w:t>
      </w:r>
      <w:r w:rsidRPr="001367D0">
        <w:rPr>
          <w:rFonts w:ascii="Times New Roman" w:eastAsia="Calibri" w:hAnsi="Times New Roman" w:cs="Calibri"/>
          <w:lang w:val="en"/>
        </w:rPr>
        <w:t xml:space="preserve"> </w:t>
      </w:r>
      <w:r w:rsidRPr="001367D0">
        <w:rPr>
          <w:rFonts w:ascii="Times New Roman" w:eastAsia="Calibri" w:hAnsi="Times New Roman" w:cs="Calibri"/>
          <w:i/>
          <w:lang w:val="en"/>
        </w:rPr>
        <w:t>(Structure of the Logistics Data Manager module, utilized.)</w:t>
      </w:r>
    </w:p>
    <w:p w:rsidR="001367D0" w:rsidRPr="001367D0" w:rsidRDefault="001367D0" w:rsidP="00980876">
      <w:pPr>
        <w:numPr>
          <w:ilvl w:val="1"/>
          <w:numId w:val="542"/>
        </w:numPr>
        <w:tabs>
          <w:tab w:val="clear" w:pos="3977"/>
        </w:tabs>
        <w:spacing w:before="60" w:after="0" w:line="240" w:lineRule="auto"/>
        <w:ind w:left="1276" w:hanging="709"/>
        <w:jc w:val="both"/>
        <w:rPr>
          <w:rFonts w:ascii="Times New Roman" w:eastAsia="Calibri" w:hAnsi="Times New Roman" w:cs="Calibri"/>
          <w:i/>
          <w:lang w:val="en"/>
        </w:rPr>
      </w:pPr>
      <w:r w:rsidRPr="001367D0">
        <w:rPr>
          <w:rFonts w:ascii="Times New Roman" w:eastAsia="Calibri" w:hAnsi="Times New Roman" w:cs="Calibri"/>
        </w:rPr>
        <w:t xml:space="preserve">Földrajzi Menedzser modul felépítése, használata. </w:t>
      </w:r>
      <w:r w:rsidRPr="001367D0">
        <w:rPr>
          <w:rFonts w:ascii="Times New Roman" w:eastAsia="Calibri" w:hAnsi="Times New Roman" w:cs="Calibri"/>
          <w:i/>
          <w:lang w:val="en"/>
        </w:rPr>
        <w:t>(Structure of Geographic Manager module, utilized.)</w:t>
      </w:r>
    </w:p>
    <w:p w:rsidR="001367D0" w:rsidRPr="001367D0" w:rsidRDefault="001367D0" w:rsidP="00980876">
      <w:pPr>
        <w:numPr>
          <w:ilvl w:val="1"/>
          <w:numId w:val="542"/>
        </w:numPr>
        <w:tabs>
          <w:tab w:val="clear" w:pos="3977"/>
        </w:tabs>
        <w:spacing w:before="60" w:after="0" w:line="240" w:lineRule="auto"/>
        <w:ind w:left="1276" w:hanging="709"/>
        <w:jc w:val="both"/>
        <w:rPr>
          <w:rFonts w:ascii="Times New Roman" w:eastAsia="Calibri" w:hAnsi="Times New Roman" w:cs="Calibri"/>
          <w:i/>
          <w:lang w:val="en"/>
        </w:rPr>
      </w:pPr>
      <w:r w:rsidRPr="001367D0">
        <w:rPr>
          <w:rFonts w:ascii="Times New Roman" w:eastAsia="Calibri" w:hAnsi="Times New Roman" w:cs="Calibri"/>
        </w:rPr>
        <w:t xml:space="preserve">Mozgatás és szállítástervező modul felépítése és használata. </w:t>
      </w:r>
      <w:r w:rsidRPr="001367D0">
        <w:rPr>
          <w:rFonts w:ascii="Times New Roman" w:eastAsia="Calibri" w:hAnsi="Times New Roman" w:cs="Calibri"/>
          <w:i/>
          <w:lang w:val="en"/>
        </w:rPr>
        <w:t>(Structure and use of the Movement and Transport Planning module.)</w:t>
      </w:r>
    </w:p>
    <w:p w:rsidR="001367D0" w:rsidRPr="001367D0" w:rsidRDefault="001367D0" w:rsidP="00980876">
      <w:pPr>
        <w:widowControl w:val="0"/>
        <w:numPr>
          <w:ilvl w:val="0"/>
          <w:numId w:val="542"/>
        </w:numPr>
        <w:tabs>
          <w:tab w:val="num" w:pos="360"/>
        </w:tabs>
        <w:spacing w:before="120" w:after="120" w:line="240" w:lineRule="auto"/>
        <w:ind w:left="426" w:hanging="142"/>
        <w:jc w:val="both"/>
        <w:rPr>
          <w:rFonts w:ascii="Times New Roman" w:eastAsia="Times New Roman" w:hAnsi="Times New Roman" w:cs="Times New Roman"/>
          <w:bCs/>
        </w:rPr>
      </w:pPr>
      <w:r w:rsidRPr="001367D0">
        <w:rPr>
          <w:rFonts w:ascii="Times New Roman" w:eastAsia="Times New Roman" w:hAnsi="Times New Roman" w:cs="Times New Roman"/>
          <w:b/>
          <w:bCs/>
        </w:rPr>
        <w:t xml:space="preserve">A tantárgy meghirdetésének gyakorisága/a tantervben történő félévi elhelyezkedése: </w:t>
      </w:r>
      <w:r w:rsidRPr="001367D0">
        <w:rPr>
          <w:rFonts w:ascii="Times New Roman" w:eastAsia="Times New Roman" w:hAnsi="Times New Roman" w:cs="Times New Roman"/>
          <w:bCs/>
        </w:rPr>
        <w:t>8. félév</w:t>
      </w:r>
    </w:p>
    <w:p w:rsidR="001367D0" w:rsidRPr="001367D0" w:rsidRDefault="001367D0" w:rsidP="00980876">
      <w:pPr>
        <w:widowControl w:val="0"/>
        <w:numPr>
          <w:ilvl w:val="0"/>
          <w:numId w:val="542"/>
        </w:numPr>
        <w:tabs>
          <w:tab w:val="num" w:pos="360"/>
        </w:tabs>
        <w:spacing w:before="120" w:after="120" w:line="240" w:lineRule="auto"/>
        <w:ind w:left="426" w:hanging="142"/>
        <w:jc w:val="both"/>
        <w:rPr>
          <w:rFonts w:ascii="Times New Roman" w:eastAsia="Times New Roman" w:hAnsi="Times New Roman" w:cs="Times New Roman"/>
          <w:bCs/>
          <w:highlight w:val="lightGray"/>
        </w:rPr>
      </w:pPr>
      <w:r w:rsidRPr="001367D0">
        <w:rPr>
          <w:rFonts w:ascii="Times New Roman" w:eastAsia="Times New Roman" w:hAnsi="Times New Roman" w:cs="Times New Roman"/>
          <w:b/>
          <w:bCs/>
        </w:rPr>
        <w:t xml:space="preserve">A </w:t>
      </w:r>
      <w:r w:rsidRPr="001367D0">
        <w:rPr>
          <w:rFonts w:ascii="Times New Roman" w:eastAsia="Times New Roman" w:hAnsi="Times New Roman" w:cs="Times New Roman"/>
          <w:b/>
        </w:rPr>
        <w:t>tanórákon</w:t>
      </w:r>
      <w:r w:rsidRPr="001367D0">
        <w:rPr>
          <w:rFonts w:ascii="Times New Roman" w:eastAsia="Times New Roman" w:hAnsi="Times New Roman" w:cs="Times New Roman"/>
          <w:b/>
          <w:bCs/>
        </w:rPr>
        <w:t xml:space="preserve"> való részvétel követelményei, az elfogadható hiányzások mértéke, a távolmaradás pótlásának lehetősége:</w:t>
      </w:r>
      <w:r w:rsidRPr="001367D0">
        <w:rPr>
          <w:rFonts w:ascii="Times New Roman" w:eastAsia="Times New Roman" w:hAnsi="Times New Roman" w:cs="Times New Roman"/>
          <w:bCs/>
        </w:rPr>
        <w:t xml:space="preserve"> </w:t>
      </w:r>
      <w:r w:rsidRPr="001367D0">
        <w:rPr>
          <w:rFonts w:ascii="Times New Roman" w:eastAsia="Times New Roman" w:hAnsi="Times New Roman" w:cs="Times New Roman"/>
          <w:bCs/>
          <w:sz w:val="24"/>
          <w:szCs w:val="24"/>
          <w:lang w:eastAsia="hu-HU"/>
        </w:rPr>
        <w:t>A tanórákon való részvétel kötelező, megengedett hiányzás mértéke 25%. Hiányzás esetén órapótlásra nincs lehetőség, a hallgató az előadás anyagát önállóan pótolja. A 25%-ot meghaladó hiányzás az aláírás megtagadását vonja maga után.</w:t>
      </w:r>
    </w:p>
    <w:p w:rsidR="001367D0" w:rsidRPr="001367D0" w:rsidRDefault="001367D0" w:rsidP="00980876">
      <w:pPr>
        <w:widowControl w:val="0"/>
        <w:numPr>
          <w:ilvl w:val="0"/>
          <w:numId w:val="542"/>
        </w:numPr>
        <w:tabs>
          <w:tab w:val="num" w:pos="360"/>
        </w:tabs>
        <w:spacing w:before="120" w:after="120" w:line="240" w:lineRule="auto"/>
        <w:ind w:left="426" w:hanging="142"/>
        <w:jc w:val="both"/>
        <w:rPr>
          <w:rFonts w:ascii="Times New Roman" w:eastAsia="Calibri" w:hAnsi="Times New Roman" w:cs="Calibri"/>
          <w:lang w:val="x-none" w:eastAsia="x-none"/>
        </w:rPr>
      </w:pPr>
      <w:r w:rsidRPr="001367D0">
        <w:rPr>
          <w:rFonts w:ascii="Times New Roman" w:eastAsia="Times New Roman" w:hAnsi="Times New Roman" w:cs="Times New Roman"/>
          <w:b/>
        </w:rPr>
        <w:t>Félévközi feladatok, ismeretek ellenőrzésének rendje:</w:t>
      </w:r>
      <w:r w:rsidRPr="001367D0">
        <w:rPr>
          <w:rFonts w:ascii="Times New Roman" w:eastAsia="Times New Roman" w:hAnsi="Times New Roman" w:cs="Times New Roman"/>
          <w:bCs/>
        </w:rPr>
        <w:t xml:space="preserve"> </w:t>
      </w:r>
      <w:r w:rsidRPr="001367D0">
        <w:rPr>
          <w:rFonts w:ascii="Times New Roman" w:eastAsia="Calibri" w:hAnsi="Times New Roman" w:cs="Calibri"/>
          <w:lang w:val="x-none" w:eastAsia="x-none"/>
        </w:rPr>
        <w:t xml:space="preserve">A félév során </w:t>
      </w:r>
      <w:r w:rsidRPr="001367D0">
        <w:rPr>
          <w:rFonts w:ascii="Times New Roman" w:eastAsia="Calibri" w:hAnsi="Times New Roman" w:cs="Calibri"/>
          <w:lang w:eastAsia="x-none"/>
        </w:rPr>
        <w:t>egy</w:t>
      </w:r>
      <w:r w:rsidRPr="001367D0">
        <w:rPr>
          <w:rFonts w:ascii="Times New Roman" w:eastAsia="Calibri" w:hAnsi="Times New Roman" w:cs="Calibri"/>
          <w:lang w:val="x-none" w:eastAsia="x-none"/>
        </w:rPr>
        <w:t xml:space="preserve"> házi feladatot kell elkészíteni minimálisan 10 oldal</w:t>
      </w:r>
      <w:r w:rsidRPr="001367D0">
        <w:rPr>
          <w:rFonts w:ascii="Times New Roman" w:eastAsia="Calibri" w:hAnsi="Times New Roman" w:cs="Calibri"/>
          <w:b/>
          <w:lang w:val="x-none" w:eastAsia="x-none"/>
        </w:rPr>
        <w:t xml:space="preserve"> </w:t>
      </w:r>
      <w:r w:rsidRPr="001367D0">
        <w:rPr>
          <w:rFonts w:ascii="Times New Roman" w:eastAsia="Calibri" w:hAnsi="Times New Roman" w:cs="Calibri"/>
          <w:lang w:val="x-none" w:eastAsia="x-none"/>
        </w:rPr>
        <w:t>terjedelemben, a szakdolgozatnak megfelelő formai követelményekkel</w:t>
      </w:r>
      <w:r w:rsidRPr="001367D0">
        <w:rPr>
          <w:rFonts w:ascii="Times New Roman" w:eastAsia="Calibri" w:hAnsi="Times New Roman" w:cs="Calibri"/>
          <w:lang w:eastAsia="x-none"/>
        </w:rPr>
        <w:t xml:space="preserve"> </w:t>
      </w:r>
      <w:r w:rsidRPr="001367D0">
        <w:rPr>
          <w:rFonts w:ascii="Times New Roman" w:eastAsia="Calibri" w:hAnsi="Times New Roman" w:cs="Calibri"/>
        </w:rPr>
        <w:t>(TVSZ 5. melléklet)</w:t>
      </w:r>
      <w:r w:rsidRPr="001367D0">
        <w:rPr>
          <w:rFonts w:ascii="Times New Roman" w:eastAsia="Calibri" w:hAnsi="Times New Roman" w:cs="Calibri"/>
          <w:lang w:val="x-none" w:eastAsia="x-none"/>
        </w:rPr>
        <w:t xml:space="preserve">. </w:t>
      </w:r>
      <w:r w:rsidRPr="001367D0">
        <w:rPr>
          <w:rFonts w:ascii="Times New Roman" w:eastAsia="Calibri" w:hAnsi="Times New Roman" w:cs="Calibri"/>
          <w:lang w:eastAsia="x-none"/>
        </w:rPr>
        <w:t xml:space="preserve">A 10 oldal terjedelembe a bevezető, a fő rész és a befejezés tartozik csak. </w:t>
      </w:r>
      <w:r w:rsidRPr="001367D0">
        <w:rPr>
          <w:rFonts w:ascii="Times New Roman" w:eastAsia="Calibri" w:hAnsi="Times New Roman" w:cs="Calibri"/>
          <w:lang w:val="x-none" w:eastAsia="x-none"/>
        </w:rPr>
        <w:t>Az írásbeli munka témáját a hallgató választja</w:t>
      </w:r>
      <w:r w:rsidRPr="001367D0">
        <w:rPr>
          <w:rFonts w:ascii="Times New Roman" w:eastAsia="Calibri" w:hAnsi="Times New Roman" w:cs="Calibri"/>
          <w:lang w:eastAsia="x-none"/>
        </w:rPr>
        <w:t>,</w:t>
      </w:r>
      <w:r w:rsidRPr="001367D0">
        <w:rPr>
          <w:rFonts w:ascii="Times New Roman" w:eastAsia="Calibri" w:hAnsi="Times New Roman" w:cs="Calibri"/>
          <w:lang w:val="x-none" w:eastAsia="x-none"/>
        </w:rPr>
        <w:t xml:space="preserve"> a kurzus oktatója </w:t>
      </w:r>
      <w:r w:rsidRPr="001367D0">
        <w:rPr>
          <w:rFonts w:ascii="Times New Roman" w:eastAsia="Calibri" w:hAnsi="Times New Roman" w:cs="Calibri"/>
          <w:lang w:eastAsia="x-none"/>
        </w:rPr>
        <w:t>jóváhagyja</w:t>
      </w:r>
      <w:r w:rsidRPr="001367D0">
        <w:rPr>
          <w:rFonts w:ascii="Times New Roman" w:eastAsia="Calibri" w:hAnsi="Times New Roman" w:cs="Calibri"/>
          <w:lang w:val="x-none" w:eastAsia="x-none"/>
        </w:rPr>
        <w:t xml:space="preserve">. A szorgalmi időszakban a beadási határidőig leadott feladat </w:t>
      </w:r>
      <w:r w:rsidRPr="001367D0">
        <w:rPr>
          <w:rFonts w:ascii="Times New Roman" w:eastAsia="Calibri" w:hAnsi="Times New Roman" w:cs="Calibri"/>
          <w:lang w:eastAsia="x-none"/>
        </w:rPr>
        <w:t xml:space="preserve">ötfokozatú skálán </w:t>
      </w:r>
      <w:r w:rsidRPr="001367D0">
        <w:rPr>
          <w:rFonts w:ascii="Times New Roman" w:eastAsia="Calibri" w:hAnsi="Times New Roman" w:cs="Calibri"/>
          <w:lang w:eastAsia="x-none"/>
        </w:rPr>
        <w:lastRenderedPageBreak/>
        <w:t>értékelendő</w:t>
      </w:r>
      <w:r w:rsidRPr="001367D0">
        <w:rPr>
          <w:rFonts w:ascii="Times New Roman" w:eastAsia="Calibri" w:hAnsi="Times New Roman" w:cs="Calibri"/>
          <w:lang w:val="x-none" w:eastAsia="x-none"/>
        </w:rPr>
        <w:t>, azt javítani a vizsgaidőszak első hetén egy alkalommal lehet.</w:t>
      </w:r>
    </w:p>
    <w:p w:rsidR="001367D0" w:rsidRPr="001367D0" w:rsidRDefault="001367D0" w:rsidP="00980876">
      <w:pPr>
        <w:widowControl w:val="0"/>
        <w:numPr>
          <w:ilvl w:val="0"/>
          <w:numId w:val="542"/>
        </w:numPr>
        <w:spacing w:before="120" w:after="120" w:line="240" w:lineRule="auto"/>
        <w:ind w:left="426" w:hanging="142"/>
        <w:jc w:val="both"/>
        <w:rPr>
          <w:rFonts w:ascii="Times New Roman" w:eastAsia="Times New Roman" w:hAnsi="Times New Roman" w:cs="Times New Roman"/>
          <w:b/>
          <w:bCs/>
        </w:rPr>
      </w:pPr>
      <w:r w:rsidRPr="001367D0">
        <w:rPr>
          <w:rFonts w:ascii="Times New Roman" w:eastAsia="Times New Roman" w:hAnsi="Times New Roman" w:cs="Times New Roman"/>
          <w:b/>
          <w:bCs/>
        </w:rPr>
        <w:t xml:space="preserve">Az értékelés, az aláírás és a kreditek megszerzésének pontos feltételei: </w:t>
      </w:r>
    </w:p>
    <w:p w:rsidR="001367D0" w:rsidRPr="001367D0" w:rsidRDefault="001367D0" w:rsidP="00980876">
      <w:pPr>
        <w:widowControl w:val="0"/>
        <w:numPr>
          <w:ilvl w:val="1"/>
          <w:numId w:val="542"/>
        </w:numPr>
        <w:tabs>
          <w:tab w:val="left" w:pos="709"/>
          <w:tab w:val="left" w:pos="993"/>
          <w:tab w:val="num" w:pos="2069"/>
        </w:tabs>
        <w:spacing w:before="120" w:after="120" w:line="240" w:lineRule="auto"/>
        <w:ind w:left="426" w:firstLine="0"/>
        <w:jc w:val="both"/>
        <w:rPr>
          <w:rFonts w:ascii="Times New Roman" w:eastAsia="Calibri" w:hAnsi="Times New Roman" w:cs="Calibri"/>
        </w:rPr>
      </w:pPr>
      <w:r w:rsidRPr="001367D0">
        <w:rPr>
          <w:rFonts w:ascii="Times New Roman" w:eastAsia="Times New Roman" w:hAnsi="Times New Roman" w:cs="Times New Roman"/>
          <w:b/>
        </w:rPr>
        <w:t>Az aláírás megszerzésének feltételei:</w:t>
      </w:r>
      <w:r w:rsidRPr="001367D0">
        <w:rPr>
          <w:rFonts w:ascii="Times New Roman" w:eastAsia="Times New Roman" w:hAnsi="Times New Roman" w:cs="Times New Roman"/>
        </w:rPr>
        <w:t xml:space="preserve"> </w:t>
      </w:r>
      <w:r w:rsidRPr="001367D0">
        <w:rPr>
          <w:rFonts w:ascii="Times New Roman" w:eastAsia="Calibri" w:hAnsi="Times New Roman" w:cs="Calibri"/>
        </w:rPr>
        <w:t>Az aláírás megszerzésnek feltétele a beadandó házi feladat legalább elégséges szintű teljesítése, és a tanórák legalább 75%-án való megjelenés.</w:t>
      </w:r>
    </w:p>
    <w:p w:rsidR="001367D0" w:rsidRPr="001367D0" w:rsidRDefault="001367D0" w:rsidP="00980876">
      <w:pPr>
        <w:widowControl w:val="0"/>
        <w:numPr>
          <w:ilvl w:val="1"/>
          <w:numId w:val="542"/>
        </w:numPr>
        <w:tabs>
          <w:tab w:val="left" w:pos="709"/>
          <w:tab w:val="left" w:pos="993"/>
          <w:tab w:val="num" w:pos="2069"/>
        </w:tabs>
        <w:spacing w:before="120" w:after="120" w:line="240" w:lineRule="auto"/>
        <w:ind w:left="426" w:firstLine="0"/>
        <w:jc w:val="both"/>
        <w:rPr>
          <w:rFonts w:ascii="Times New Roman" w:eastAsia="Calibri" w:hAnsi="Times New Roman" w:cs="Times New Roman"/>
          <w:b/>
        </w:rPr>
      </w:pPr>
      <w:r w:rsidRPr="001367D0">
        <w:rPr>
          <w:rFonts w:ascii="Times New Roman" w:eastAsia="Times New Roman" w:hAnsi="Times New Roman" w:cs="Times New Roman"/>
          <w:b/>
        </w:rPr>
        <w:t>Az értékelés:</w:t>
      </w:r>
      <w:r w:rsidRPr="001367D0">
        <w:rPr>
          <w:rFonts w:ascii="Times New Roman" w:eastAsia="Times New Roman" w:hAnsi="Times New Roman" w:cs="Times New Roman"/>
        </w:rPr>
        <w:t xml:space="preserve"> </w:t>
      </w:r>
      <w:r w:rsidRPr="001367D0">
        <w:rPr>
          <w:rFonts w:ascii="Times New Roman" w:eastAsia="Calibri" w:hAnsi="Times New Roman" w:cs="Calibri"/>
        </w:rPr>
        <w:t xml:space="preserve">A tantárgy </w:t>
      </w:r>
      <w:r w:rsidRPr="001367D0">
        <w:rPr>
          <w:rFonts w:ascii="Times New Roman" w:eastAsia="Calibri" w:hAnsi="Times New Roman" w:cs="Calibri"/>
          <w:b/>
        </w:rPr>
        <w:t>félévközi jeggyel</w:t>
      </w:r>
      <w:r w:rsidRPr="001367D0">
        <w:rPr>
          <w:rFonts w:ascii="Times New Roman" w:eastAsia="Calibri" w:hAnsi="Times New Roman" w:cs="Calibri"/>
        </w:rPr>
        <w:t xml:space="preserve"> zárul, amely a beadott házi feladatra és az órákon való aktivitásra kapott osztályzat alapján kerül meghatározásra. Kétes jegy esetén (pl. 3,5) az órai munka jegyét súlyozottan kell beszámítani. Ha a beadandó feladat pótlás után is elégtelen, vagy az órai aktivitás színvonala nem megfelelő, akkor a tantárgyat nem teljesítettnek kell tekinteni.</w:t>
      </w:r>
    </w:p>
    <w:p w:rsidR="001367D0" w:rsidRPr="001367D0" w:rsidRDefault="001367D0" w:rsidP="00980876">
      <w:pPr>
        <w:widowControl w:val="0"/>
        <w:numPr>
          <w:ilvl w:val="1"/>
          <w:numId w:val="542"/>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1367D0">
        <w:rPr>
          <w:rFonts w:ascii="Times New Roman" w:eastAsia="Times New Roman" w:hAnsi="Times New Roman" w:cs="Times New Roman"/>
          <w:b/>
        </w:rPr>
        <w:t>A kreditek megszerzésének feltételei:</w:t>
      </w:r>
      <w:r w:rsidRPr="001367D0">
        <w:rPr>
          <w:rFonts w:ascii="Times New Roman" w:eastAsia="Times New Roman" w:hAnsi="Times New Roman" w:cs="Times New Roman"/>
        </w:rPr>
        <w:t xml:space="preserve"> A kreditek megszerzésének feltétele az aláírás megszerzése és legalább elégséges félévközi jegy.</w:t>
      </w:r>
    </w:p>
    <w:p w:rsidR="001367D0" w:rsidRPr="001367D0" w:rsidRDefault="001367D0" w:rsidP="00980876">
      <w:pPr>
        <w:widowControl w:val="0"/>
        <w:numPr>
          <w:ilvl w:val="0"/>
          <w:numId w:val="542"/>
        </w:numPr>
        <w:tabs>
          <w:tab w:val="num" w:pos="360"/>
        </w:tabs>
        <w:spacing w:before="120" w:after="120" w:line="240" w:lineRule="auto"/>
        <w:ind w:left="426" w:hanging="142"/>
        <w:jc w:val="both"/>
        <w:rPr>
          <w:rFonts w:ascii="Times New Roman" w:eastAsia="Times New Roman" w:hAnsi="Times New Roman" w:cs="Times New Roman"/>
          <w:bCs/>
        </w:rPr>
      </w:pPr>
      <w:r w:rsidRPr="001367D0">
        <w:rPr>
          <w:rFonts w:ascii="Times New Roman" w:eastAsia="Times New Roman" w:hAnsi="Times New Roman" w:cs="Times New Roman"/>
          <w:b/>
          <w:bCs/>
        </w:rPr>
        <w:t>Irodalomjegyzék:</w:t>
      </w:r>
    </w:p>
    <w:p w:rsidR="001367D0" w:rsidRPr="001367D0" w:rsidRDefault="001367D0" w:rsidP="00980876">
      <w:pPr>
        <w:widowControl w:val="0"/>
        <w:numPr>
          <w:ilvl w:val="1"/>
          <w:numId w:val="542"/>
        </w:numPr>
        <w:tabs>
          <w:tab w:val="left" w:pos="567"/>
          <w:tab w:val="left" w:pos="851"/>
          <w:tab w:val="num" w:pos="2069"/>
        </w:tabs>
        <w:spacing w:before="120" w:after="120" w:line="240" w:lineRule="auto"/>
        <w:ind w:left="426" w:hanging="142"/>
        <w:jc w:val="both"/>
        <w:rPr>
          <w:rFonts w:ascii="Times New Roman" w:eastAsia="Times New Roman" w:hAnsi="Times New Roman" w:cs="Times New Roman"/>
          <w:bCs/>
        </w:rPr>
      </w:pPr>
      <w:r w:rsidRPr="001367D0">
        <w:rPr>
          <w:rFonts w:ascii="Times New Roman" w:eastAsia="Times New Roman" w:hAnsi="Times New Roman" w:cs="Times New Roman"/>
          <w:b/>
          <w:bCs/>
        </w:rPr>
        <w:t>Kötelező irodalom:</w:t>
      </w:r>
    </w:p>
    <w:p w:rsidR="00977418" w:rsidRPr="001367D0" w:rsidRDefault="00977418" w:rsidP="00980876">
      <w:pPr>
        <w:numPr>
          <w:ilvl w:val="0"/>
          <w:numId w:val="541"/>
        </w:numPr>
        <w:spacing w:after="0" w:line="240" w:lineRule="auto"/>
        <w:ind w:left="993"/>
        <w:contextualSpacing/>
        <w:jc w:val="both"/>
        <w:rPr>
          <w:rFonts w:ascii="Times New Roman" w:eastAsia="Calibri" w:hAnsi="Times New Roman" w:cs="Times New Roman"/>
        </w:rPr>
      </w:pPr>
      <w:r w:rsidRPr="001367D0">
        <w:rPr>
          <w:rFonts w:ascii="Times New Roman" w:eastAsia="Calibri" w:hAnsi="Times New Roman" w:cs="Times New Roman"/>
        </w:rPr>
        <w:t>ADAMS rendszerleírás (HM kiadvány az aktuális rendszerverzióhoz)</w:t>
      </w:r>
    </w:p>
    <w:p w:rsidR="001367D0" w:rsidRPr="001367D0" w:rsidRDefault="001367D0" w:rsidP="00980876">
      <w:pPr>
        <w:numPr>
          <w:ilvl w:val="0"/>
          <w:numId w:val="541"/>
        </w:numPr>
        <w:spacing w:after="0" w:line="240" w:lineRule="auto"/>
        <w:ind w:left="993"/>
        <w:contextualSpacing/>
        <w:jc w:val="both"/>
        <w:rPr>
          <w:rFonts w:ascii="Times New Roman" w:eastAsia="Calibri" w:hAnsi="Times New Roman" w:cs="Times New Roman"/>
        </w:rPr>
      </w:pPr>
      <w:r w:rsidRPr="001367D0">
        <w:rPr>
          <w:rFonts w:ascii="Times New Roman" w:eastAsia="Calibri" w:hAnsi="Times New Roman" w:cs="Times New Roman"/>
        </w:rPr>
        <w:t>Logistics Functional Area Services (LOGFAS) ver. 5.1, 6.1 Tutorial, NATO issue, Draft 1, 2007 Pdf.;</w:t>
      </w:r>
    </w:p>
    <w:p w:rsidR="001367D0" w:rsidRPr="001367D0" w:rsidRDefault="001367D0" w:rsidP="00980876">
      <w:pPr>
        <w:widowControl w:val="0"/>
        <w:numPr>
          <w:ilvl w:val="1"/>
          <w:numId w:val="542"/>
        </w:numPr>
        <w:tabs>
          <w:tab w:val="num" w:pos="567"/>
          <w:tab w:val="num" w:pos="2069"/>
        </w:tabs>
        <w:spacing w:before="120" w:after="120" w:line="240" w:lineRule="auto"/>
        <w:ind w:left="993" w:hanging="709"/>
        <w:jc w:val="both"/>
        <w:rPr>
          <w:rFonts w:ascii="Times New Roman" w:eastAsia="Times New Roman" w:hAnsi="Times New Roman" w:cs="Times New Roman"/>
          <w:b/>
          <w:bCs/>
        </w:rPr>
      </w:pPr>
      <w:r w:rsidRPr="001367D0">
        <w:rPr>
          <w:rFonts w:ascii="Times New Roman" w:eastAsia="Times New Roman" w:hAnsi="Times New Roman" w:cs="Times New Roman"/>
          <w:b/>
          <w:bCs/>
        </w:rPr>
        <w:t>Ajánlott irodalom:</w:t>
      </w:r>
    </w:p>
    <w:p w:rsidR="001367D0" w:rsidRPr="001367D0" w:rsidRDefault="001367D0" w:rsidP="00980876">
      <w:pPr>
        <w:numPr>
          <w:ilvl w:val="0"/>
          <w:numId w:val="543"/>
        </w:numPr>
        <w:spacing w:after="0" w:line="240" w:lineRule="auto"/>
        <w:ind w:left="993"/>
        <w:contextualSpacing/>
        <w:jc w:val="both"/>
        <w:rPr>
          <w:rFonts w:ascii="Times New Roman" w:eastAsia="Calibri" w:hAnsi="Times New Roman" w:cs="Times New Roman"/>
        </w:rPr>
      </w:pPr>
      <w:r w:rsidRPr="001367D0">
        <w:rPr>
          <w:rFonts w:ascii="Times New Roman" w:eastAsia="Calibri" w:hAnsi="Times New Roman" w:cs="Times New Roman"/>
        </w:rPr>
        <w:t>AMovP-1(A) Road Movements and Movement Control, Published by the NATO Standardization Agency, December 2004.</w:t>
      </w:r>
    </w:p>
    <w:p w:rsidR="001367D0" w:rsidRPr="001367D0" w:rsidRDefault="001367D0" w:rsidP="00980876">
      <w:pPr>
        <w:numPr>
          <w:ilvl w:val="0"/>
          <w:numId w:val="543"/>
        </w:numPr>
        <w:spacing w:after="0" w:line="240" w:lineRule="auto"/>
        <w:ind w:left="993"/>
        <w:contextualSpacing/>
        <w:jc w:val="both"/>
        <w:rPr>
          <w:rFonts w:ascii="Times New Roman" w:eastAsia="Calibri" w:hAnsi="Times New Roman" w:cs="Times New Roman"/>
        </w:rPr>
      </w:pPr>
      <w:r w:rsidRPr="001367D0">
        <w:rPr>
          <w:rFonts w:ascii="Times New Roman" w:eastAsia="Calibri" w:hAnsi="Times New Roman" w:cs="Times New Roman"/>
        </w:rPr>
        <w:t>AMovP-2(B) Procedures for Surface Movements Across National Frontiers, Published by the NATO Standardization Agency, June 2011.</w:t>
      </w:r>
    </w:p>
    <w:p w:rsidR="001367D0" w:rsidRPr="001367D0" w:rsidRDefault="001367D0" w:rsidP="00980876">
      <w:pPr>
        <w:numPr>
          <w:ilvl w:val="0"/>
          <w:numId w:val="543"/>
        </w:numPr>
        <w:spacing w:after="0" w:line="240" w:lineRule="auto"/>
        <w:ind w:left="993"/>
        <w:contextualSpacing/>
        <w:jc w:val="both"/>
        <w:rPr>
          <w:rFonts w:ascii="Times New Roman" w:eastAsia="Calibri" w:hAnsi="Times New Roman" w:cs="Times New Roman"/>
        </w:rPr>
      </w:pPr>
      <w:r w:rsidRPr="001367D0">
        <w:rPr>
          <w:rFonts w:ascii="Times New Roman" w:eastAsia="Calibri" w:hAnsi="Times New Roman" w:cs="Times New Roman"/>
        </w:rPr>
        <w:t>AMovP-4(A) Technical Aspects of the Transport of Military Materials by Railroad, Published by the NATO Standardization Agency, April 2011.</w:t>
      </w:r>
    </w:p>
    <w:p w:rsidR="001367D0" w:rsidRPr="001367D0" w:rsidRDefault="001367D0" w:rsidP="00980876">
      <w:pPr>
        <w:numPr>
          <w:ilvl w:val="0"/>
          <w:numId w:val="543"/>
        </w:numPr>
        <w:spacing w:after="0" w:line="240" w:lineRule="auto"/>
        <w:ind w:left="993"/>
        <w:contextualSpacing/>
        <w:jc w:val="both"/>
        <w:rPr>
          <w:rFonts w:ascii="Times New Roman" w:eastAsia="Calibri" w:hAnsi="Times New Roman" w:cs="Times New Roman"/>
        </w:rPr>
      </w:pPr>
      <w:r w:rsidRPr="001367D0">
        <w:rPr>
          <w:rFonts w:ascii="Times New Roman" w:eastAsia="Calibri" w:hAnsi="Times New Roman" w:cs="Times New Roman"/>
        </w:rPr>
        <w:t>NATO Movements Handbook (Procedures for Movements Across National Frontiers), Published by the NATO Standardization Agency, May 2017.</w:t>
      </w:r>
    </w:p>
    <w:p w:rsidR="001367D0" w:rsidRPr="001367D0" w:rsidRDefault="001367D0" w:rsidP="001367D0">
      <w:pPr>
        <w:widowControl w:val="0"/>
        <w:spacing w:after="0" w:line="240" w:lineRule="auto"/>
        <w:ind w:left="720"/>
        <w:contextualSpacing/>
        <w:jc w:val="both"/>
        <w:rPr>
          <w:rFonts w:ascii="Times New Roman" w:eastAsia="Times New Roman" w:hAnsi="Times New Roman" w:cs="Times New Roman"/>
          <w:highlight w:val="lightGray"/>
        </w:rPr>
      </w:pPr>
    </w:p>
    <w:p w:rsidR="001367D0" w:rsidRPr="001367D0" w:rsidRDefault="001367D0" w:rsidP="001367D0">
      <w:pPr>
        <w:widowControl w:val="0"/>
        <w:spacing w:before="120" w:after="120" w:line="240" w:lineRule="auto"/>
        <w:jc w:val="both"/>
        <w:rPr>
          <w:rFonts w:ascii="Times New Roman" w:eastAsia="Times New Roman" w:hAnsi="Times New Roman" w:cs="Times New Roman"/>
          <w:bCs/>
        </w:rPr>
      </w:pPr>
      <w:r>
        <w:rPr>
          <w:rFonts w:ascii="Times New Roman" w:eastAsia="Times New Roman" w:hAnsi="Times New Roman" w:cs="Times New Roman"/>
          <w:bCs/>
        </w:rPr>
        <w:t>Budapest, 2020. március 30.</w:t>
      </w:r>
    </w:p>
    <w:p w:rsidR="001367D0" w:rsidRPr="001367D0" w:rsidRDefault="001367D0" w:rsidP="001367D0">
      <w:pPr>
        <w:tabs>
          <w:tab w:val="right" w:pos="900"/>
        </w:tabs>
        <w:spacing w:after="0"/>
        <w:rPr>
          <w:rFonts w:ascii="Times New Roman" w:eastAsia="Calibri" w:hAnsi="Times New Roman" w:cs="Times New Roman"/>
          <w:bCs/>
          <w:lang w:val="x-none" w:eastAsia="x-none"/>
        </w:rPr>
      </w:pPr>
      <w:r w:rsidRPr="001367D0">
        <w:rPr>
          <w:rFonts w:ascii="Times New Roman" w:eastAsia="Calibri" w:hAnsi="Times New Roman" w:cs="Times New Roman"/>
          <w:b/>
          <w:lang w:eastAsia="x-none"/>
        </w:rPr>
        <w:tab/>
      </w:r>
      <w:r w:rsidRPr="001367D0">
        <w:rPr>
          <w:rFonts w:ascii="Times New Roman" w:eastAsia="Calibri" w:hAnsi="Times New Roman" w:cs="Times New Roman"/>
          <w:b/>
          <w:lang w:eastAsia="x-none"/>
        </w:rPr>
        <w:tab/>
      </w:r>
      <w:r w:rsidRPr="001367D0">
        <w:rPr>
          <w:rFonts w:ascii="Times New Roman" w:eastAsia="Calibri" w:hAnsi="Times New Roman" w:cs="Times New Roman"/>
          <w:b/>
          <w:lang w:eastAsia="x-none"/>
        </w:rPr>
        <w:tab/>
      </w:r>
      <w:r w:rsidRPr="001367D0">
        <w:rPr>
          <w:rFonts w:ascii="Times New Roman" w:eastAsia="Calibri" w:hAnsi="Times New Roman" w:cs="Times New Roman"/>
          <w:b/>
          <w:lang w:eastAsia="x-none"/>
        </w:rPr>
        <w:tab/>
      </w:r>
      <w:r w:rsidRPr="001367D0">
        <w:rPr>
          <w:rFonts w:ascii="Times New Roman" w:eastAsia="Calibri" w:hAnsi="Times New Roman" w:cs="Times New Roman"/>
          <w:b/>
          <w:lang w:eastAsia="x-none"/>
        </w:rPr>
        <w:tab/>
      </w:r>
      <w:r w:rsidRPr="001367D0">
        <w:rPr>
          <w:rFonts w:ascii="Times New Roman" w:eastAsia="Calibri" w:hAnsi="Times New Roman" w:cs="Times New Roman"/>
          <w:b/>
          <w:lang w:eastAsia="x-none"/>
        </w:rPr>
        <w:tab/>
        <w:t xml:space="preserve">  </w:t>
      </w:r>
      <w:r w:rsidRPr="001367D0">
        <w:rPr>
          <w:rFonts w:ascii="Times New Roman" w:eastAsia="Calibri" w:hAnsi="Times New Roman" w:cs="Times New Roman"/>
          <w:b/>
          <w:lang w:eastAsia="x-none"/>
        </w:rPr>
        <w:tab/>
        <w:t xml:space="preserve">         Dr. Fábos Róbert adjunktus, PhD</w:t>
      </w:r>
    </w:p>
    <w:p w:rsidR="001367D0" w:rsidRPr="001367D0" w:rsidRDefault="001367D0" w:rsidP="001367D0">
      <w:pPr>
        <w:spacing w:after="0"/>
        <w:ind w:left="5672" w:firstLine="709"/>
        <w:rPr>
          <w:rFonts w:ascii="Times New Roman" w:eastAsia="Calibri" w:hAnsi="Times New Roman" w:cs="Calibri"/>
        </w:rPr>
      </w:pPr>
      <w:r w:rsidRPr="001367D0">
        <w:rPr>
          <w:rFonts w:ascii="Times New Roman" w:eastAsia="Calibri" w:hAnsi="Times New Roman" w:cs="Times New Roman"/>
          <w:bCs/>
        </w:rPr>
        <w:t>tantárgyfelelős</w:t>
      </w:r>
    </w:p>
    <w:p w:rsidR="0034753B" w:rsidRDefault="0034753B">
      <w:pPr>
        <w:spacing w:after="200" w:line="276" w:lineRule="auto"/>
        <w:rPr>
          <w:rFonts w:ascii="Times New Roman" w:hAnsi="Times New Roman" w:cs="Times New Roman"/>
        </w:rPr>
      </w:pPr>
      <w:r>
        <w:rPr>
          <w:rFonts w:ascii="Times New Roman" w:hAnsi="Times New Roman" w:cs="Times New Roman"/>
        </w:rPr>
        <w:br w:type="page"/>
      </w:r>
    </w:p>
    <w:tbl>
      <w:tblPr>
        <w:tblW w:w="9072" w:type="dxa"/>
        <w:tblInd w:w="113" w:type="dxa"/>
        <w:tblLook w:val="01E0" w:firstRow="1" w:lastRow="1" w:firstColumn="1" w:lastColumn="1" w:noHBand="0" w:noVBand="0"/>
      </w:tblPr>
      <w:tblGrid>
        <w:gridCol w:w="4855"/>
        <w:gridCol w:w="1620"/>
        <w:gridCol w:w="2597"/>
      </w:tblGrid>
      <w:tr w:rsidR="00AD1443" w:rsidRPr="00E9735E" w:rsidTr="00FC44E3">
        <w:tc>
          <w:tcPr>
            <w:tcW w:w="4855" w:type="dxa"/>
            <w:tcBorders>
              <w:bottom w:val="single" w:sz="4" w:space="0" w:color="auto"/>
            </w:tcBorders>
          </w:tcPr>
          <w:p w:rsidR="00AD1443" w:rsidRPr="00E9735E" w:rsidRDefault="00AD1443" w:rsidP="00FC44E3">
            <w:pPr>
              <w:spacing w:after="0" w:line="240" w:lineRule="auto"/>
              <w:jc w:val="center"/>
              <w:rPr>
                <w:rFonts w:ascii="Times New Roman" w:eastAsia="Times New Roman" w:hAnsi="Times New Roman" w:cs="Times New Roman"/>
                <w:b/>
                <w:smallCaps/>
                <w:lang w:eastAsia="hu-HU"/>
              </w:rPr>
            </w:pPr>
            <w:r w:rsidRPr="00E9735E">
              <w:rPr>
                <w:rFonts w:ascii="Times New Roman" w:eastAsia="Times New Roman" w:hAnsi="Times New Roman" w:cs="Times New Roman"/>
                <w:b/>
                <w:smallCaps/>
                <w:lang w:eastAsia="hu-HU"/>
              </w:rPr>
              <w:lastRenderedPageBreak/>
              <w:t>Nemzeti Közszolgálati Egyetem</w:t>
            </w:r>
          </w:p>
        </w:tc>
        <w:tc>
          <w:tcPr>
            <w:tcW w:w="1620" w:type="dxa"/>
          </w:tcPr>
          <w:p w:rsidR="00AD1443" w:rsidRPr="00E9735E" w:rsidRDefault="00AD1443" w:rsidP="00FC44E3">
            <w:pPr>
              <w:spacing w:after="0" w:line="240" w:lineRule="auto"/>
              <w:jc w:val="both"/>
              <w:rPr>
                <w:rFonts w:ascii="Times New Roman" w:eastAsia="Times New Roman" w:hAnsi="Times New Roman" w:cs="Times New Roman"/>
                <w:lang w:eastAsia="hu-HU"/>
              </w:rPr>
            </w:pPr>
          </w:p>
        </w:tc>
        <w:tc>
          <w:tcPr>
            <w:tcW w:w="2597" w:type="dxa"/>
          </w:tcPr>
          <w:p w:rsidR="00AD1443" w:rsidRPr="00E9735E" w:rsidRDefault="00AD1443" w:rsidP="00FC44E3">
            <w:pPr>
              <w:spacing w:after="0" w:line="240" w:lineRule="auto"/>
              <w:jc w:val="right"/>
              <w:rPr>
                <w:rFonts w:ascii="Times New Roman" w:eastAsia="Times New Roman" w:hAnsi="Times New Roman" w:cs="Times New Roman"/>
                <w:lang w:eastAsia="hu-HU"/>
              </w:rPr>
            </w:pPr>
          </w:p>
        </w:tc>
      </w:tr>
      <w:tr w:rsidR="00AD1443" w:rsidRPr="00E9735E" w:rsidTr="00FC44E3">
        <w:tc>
          <w:tcPr>
            <w:tcW w:w="4855" w:type="dxa"/>
            <w:tcBorders>
              <w:top w:val="single" w:sz="4" w:space="0" w:color="auto"/>
            </w:tcBorders>
          </w:tcPr>
          <w:p w:rsidR="00AD1443" w:rsidRPr="00E9735E" w:rsidRDefault="00AD1443" w:rsidP="00FC44E3">
            <w:pPr>
              <w:spacing w:after="0" w:line="240" w:lineRule="auto"/>
              <w:jc w:val="center"/>
              <w:rPr>
                <w:rFonts w:ascii="Times New Roman" w:eastAsia="Times New Roman" w:hAnsi="Times New Roman" w:cs="Times New Roman"/>
                <w:b/>
                <w:lang w:eastAsia="hu-HU"/>
              </w:rPr>
            </w:pPr>
            <w:r w:rsidRPr="00E9735E">
              <w:rPr>
                <w:rFonts w:ascii="Times New Roman" w:eastAsia="Times New Roman" w:hAnsi="Times New Roman" w:cs="Times New Roman"/>
                <w:b/>
                <w:lang w:eastAsia="hu-HU"/>
              </w:rPr>
              <w:t>Hadtudományi és Honvédtisztképző Kar</w:t>
            </w:r>
          </w:p>
        </w:tc>
        <w:tc>
          <w:tcPr>
            <w:tcW w:w="1620" w:type="dxa"/>
          </w:tcPr>
          <w:p w:rsidR="00AD1443" w:rsidRPr="00E9735E" w:rsidRDefault="00AD1443" w:rsidP="00FC44E3">
            <w:pPr>
              <w:spacing w:after="0" w:line="240" w:lineRule="auto"/>
              <w:jc w:val="both"/>
              <w:rPr>
                <w:rFonts w:ascii="Times New Roman" w:eastAsia="Times New Roman" w:hAnsi="Times New Roman" w:cs="Times New Roman"/>
                <w:lang w:eastAsia="hu-HU"/>
              </w:rPr>
            </w:pPr>
          </w:p>
        </w:tc>
        <w:tc>
          <w:tcPr>
            <w:tcW w:w="2597" w:type="dxa"/>
          </w:tcPr>
          <w:p w:rsidR="00AD1443" w:rsidRPr="00E9735E" w:rsidRDefault="00AD1443" w:rsidP="00FC44E3">
            <w:pPr>
              <w:spacing w:after="0" w:line="240" w:lineRule="auto"/>
              <w:jc w:val="both"/>
              <w:rPr>
                <w:rFonts w:ascii="Times New Roman" w:eastAsia="Times New Roman" w:hAnsi="Times New Roman" w:cs="Times New Roman"/>
                <w:lang w:eastAsia="hu-HU"/>
              </w:rPr>
            </w:pPr>
          </w:p>
        </w:tc>
      </w:tr>
    </w:tbl>
    <w:p w:rsidR="00AD1443" w:rsidRPr="00E9735E" w:rsidRDefault="00AD1443" w:rsidP="00AD1443">
      <w:pPr>
        <w:widowControl w:val="0"/>
        <w:spacing w:before="120" w:after="120" w:line="240" w:lineRule="auto"/>
        <w:ind w:left="426" w:hanging="142"/>
        <w:jc w:val="center"/>
        <w:rPr>
          <w:rFonts w:ascii="Times New Roman" w:eastAsia="Times New Roman" w:hAnsi="Times New Roman" w:cs="Times New Roman"/>
          <w:b/>
          <w:bCs/>
        </w:rPr>
      </w:pPr>
    </w:p>
    <w:p w:rsidR="00AD1443" w:rsidRPr="00E9735E" w:rsidRDefault="00AD1443" w:rsidP="00AD1443">
      <w:pPr>
        <w:widowControl w:val="0"/>
        <w:spacing w:before="120" w:after="120" w:line="240" w:lineRule="auto"/>
        <w:ind w:left="426" w:hanging="142"/>
        <w:jc w:val="center"/>
        <w:rPr>
          <w:rFonts w:ascii="Times New Roman" w:eastAsia="Times New Roman" w:hAnsi="Times New Roman" w:cs="Times New Roman"/>
          <w:b/>
          <w:bCs/>
        </w:rPr>
      </w:pPr>
      <w:r w:rsidRPr="00E9735E">
        <w:rPr>
          <w:rFonts w:ascii="Times New Roman" w:eastAsia="Times New Roman" w:hAnsi="Times New Roman" w:cs="Times New Roman"/>
          <w:b/>
          <w:bCs/>
        </w:rPr>
        <w:t>TANTÁRGYI PROGRAM</w:t>
      </w:r>
    </w:p>
    <w:p w:rsidR="00AD1443" w:rsidRPr="00E9735E" w:rsidRDefault="00AD1443" w:rsidP="00980876">
      <w:pPr>
        <w:widowControl w:val="0"/>
        <w:numPr>
          <w:ilvl w:val="0"/>
          <w:numId w:val="547"/>
        </w:numPr>
        <w:tabs>
          <w:tab w:val="clear" w:pos="720"/>
          <w:tab w:val="num" w:pos="502"/>
          <w:tab w:val="num" w:pos="567"/>
        </w:tabs>
        <w:spacing w:before="120" w:after="120" w:line="240" w:lineRule="auto"/>
        <w:ind w:left="426" w:hanging="142"/>
        <w:jc w:val="both"/>
        <w:rPr>
          <w:rFonts w:ascii="Times New Roman" w:eastAsia="Times New Roman" w:hAnsi="Times New Roman" w:cs="Times New Roman"/>
          <w:bCs/>
        </w:rPr>
      </w:pPr>
      <w:r w:rsidRPr="00E9735E">
        <w:rPr>
          <w:rFonts w:ascii="Times New Roman" w:eastAsia="Times New Roman" w:hAnsi="Times New Roman" w:cs="Times New Roman"/>
          <w:b/>
          <w:bCs/>
        </w:rPr>
        <w:t xml:space="preserve">A tantárgy kódja: </w:t>
      </w:r>
      <w:r w:rsidRPr="00E9735E">
        <w:rPr>
          <w:rFonts w:ascii="Times New Roman" w:eastAsia="Times New Roman" w:hAnsi="Times New Roman" w:cs="Times New Roman"/>
          <w:bCs/>
        </w:rPr>
        <w:t>H</w:t>
      </w:r>
      <w:r>
        <w:rPr>
          <w:rFonts w:ascii="Times New Roman" w:eastAsia="Times New Roman" w:hAnsi="Times New Roman" w:cs="Times New Roman"/>
          <w:bCs/>
        </w:rPr>
        <w:t>K</w:t>
      </w:r>
      <w:r w:rsidRPr="00E9735E">
        <w:rPr>
          <w:rFonts w:ascii="Times New Roman" w:eastAsia="Times New Roman" w:hAnsi="Times New Roman" w:cs="Times New Roman"/>
          <w:bCs/>
        </w:rPr>
        <w:t>925</w:t>
      </w:r>
      <w:r>
        <w:rPr>
          <w:rFonts w:ascii="Times New Roman" w:eastAsia="Times New Roman" w:hAnsi="Times New Roman" w:cs="Times New Roman"/>
          <w:bCs/>
        </w:rPr>
        <w:t>A190</w:t>
      </w:r>
    </w:p>
    <w:p w:rsidR="00AD1443" w:rsidRPr="00E9735E" w:rsidRDefault="00AD1443" w:rsidP="00980876">
      <w:pPr>
        <w:widowControl w:val="0"/>
        <w:numPr>
          <w:ilvl w:val="0"/>
          <w:numId w:val="547"/>
        </w:numPr>
        <w:tabs>
          <w:tab w:val="clear" w:pos="720"/>
          <w:tab w:val="num" w:pos="502"/>
          <w:tab w:val="num" w:pos="567"/>
        </w:tabs>
        <w:spacing w:before="120" w:after="120" w:line="240" w:lineRule="auto"/>
        <w:ind w:left="426" w:hanging="142"/>
        <w:jc w:val="both"/>
        <w:rPr>
          <w:rFonts w:ascii="Times New Roman" w:eastAsia="Times New Roman" w:hAnsi="Times New Roman" w:cs="Times New Roman"/>
          <w:b/>
          <w:bCs/>
          <w:lang w:val="en-GB"/>
        </w:rPr>
      </w:pPr>
      <w:r w:rsidRPr="00E9735E">
        <w:rPr>
          <w:rFonts w:ascii="Times New Roman" w:eastAsia="Times New Roman" w:hAnsi="Times New Roman" w:cs="Times New Roman"/>
          <w:b/>
          <w:bCs/>
        </w:rPr>
        <w:t>A tantárgy megnevezése (magyarul):</w:t>
      </w:r>
      <w:r w:rsidRPr="00E9735E">
        <w:rPr>
          <w:rFonts w:ascii="Times New Roman" w:eastAsia="Times New Roman" w:hAnsi="Times New Roman" w:cs="Times New Roman"/>
          <w:bCs/>
        </w:rPr>
        <w:t xml:space="preserve"> Döntéselőkészítés matematikai alapjai</w:t>
      </w:r>
      <w:r>
        <w:rPr>
          <w:rFonts w:ascii="Times New Roman" w:eastAsia="Times New Roman" w:hAnsi="Times New Roman" w:cs="Times New Roman"/>
          <w:bCs/>
        </w:rPr>
        <w:t xml:space="preserve"> LOG</w:t>
      </w:r>
    </w:p>
    <w:p w:rsidR="00AD1443" w:rsidRPr="00E9735E" w:rsidRDefault="00AD1443" w:rsidP="00980876">
      <w:pPr>
        <w:widowControl w:val="0"/>
        <w:numPr>
          <w:ilvl w:val="0"/>
          <w:numId w:val="547"/>
        </w:numPr>
        <w:tabs>
          <w:tab w:val="clear" w:pos="720"/>
          <w:tab w:val="num" w:pos="502"/>
          <w:tab w:val="num" w:pos="567"/>
        </w:tabs>
        <w:spacing w:before="120" w:after="120" w:line="240" w:lineRule="auto"/>
        <w:ind w:left="426" w:hanging="142"/>
        <w:jc w:val="both"/>
        <w:rPr>
          <w:rFonts w:ascii="Times New Roman" w:eastAsia="Times New Roman" w:hAnsi="Times New Roman" w:cs="Times New Roman"/>
          <w:b/>
          <w:bCs/>
          <w:lang w:val="en-GB"/>
        </w:rPr>
      </w:pPr>
      <w:r w:rsidRPr="00E9735E">
        <w:rPr>
          <w:rFonts w:ascii="Times New Roman" w:eastAsia="Times New Roman" w:hAnsi="Times New Roman" w:cs="Times New Roman"/>
          <w:b/>
          <w:bCs/>
        </w:rPr>
        <w:t>A tantárgy megnevezése (angolul):</w:t>
      </w:r>
      <w:r w:rsidRPr="00E9735E">
        <w:rPr>
          <w:rFonts w:ascii="Times New Roman" w:eastAsia="Times New Roman" w:hAnsi="Times New Roman" w:cs="Times New Roman"/>
          <w:bCs/>
        </w:rPr>
        <w:t xml:space="preserve"> Mathematical Fundamentals of Decision Theory</w:t>
      </w:r>
      <w:r>
        <w:rPr>
          <w:rFonts w:ascii="Times New Roman" w:eastAsia="Times New Roman" w:hAnsi="Times New Roman" w:cs="Times New Roman"/>
          <w:bCs/>
        </w:rPr>
        <w:t xml:space="preserve"> LOG</w:t>
      </w:r>
    </w:p>
    <w:p w:rsidR="00AD1443" w:rsidRPr="00E9735E" w:rsidRDefault="00AD1443" w:rsidP="00980876">
      <w:pPr>
        <w:widowControl w:val="0"/>
        <w:numPr>
          <w:ilvl w:val="0"/>
          <w:numId w:val="547"/>
        </w:numPr>
        <w:tabs>
          <w:tab w:val="clear" w:pos="720"/>
          <w:tab w:val="num" w:pos="502"/>
          <w:tab w:val="num" w:pos="567"/>
        </w:tabs>
        <w:spacing w:before="120" w:after="120" w:line="240" w:lineRule="auto"/>
        <w:ind w:left="426" w:hanging="142"/>
        <w:jc w:val="both"/>
        <w:rPr>
          <w:rFonts w:ascii="Times New Roman" w:eastAsia="Times New Roman" w:hAnsi="Times New Roman" w:cs="Times New Roman"/>
          <w:b/>
          <w:bCs/>
        </w:rPr>
      </w:pPr>
      <w:r w:rsidRPr="00E9735E">
        <w:rPr>
          <w:rFonts w:ascii="Times New Roman" w:eastAsia="Times New Roman" w:hAnsi="Times New Roman" w:cs="Times New Roman"/>
          <w:b/>
          <w:bCs/>
        </w:rPr>
        <w:t xml:space="preserve">Kreditérték és képzési karakter: </w:t>
      </w:r>
    </w:p>
    <w:p w:rsidR="00AD1443" w:rsidRPr="00E9735E" w:rsidRDefault="00AD1443" w:rsidP="00980876">
      <w:pPr>
        <w:pStyle w:val="Listaszerbekezds"/>
        <w:widowControl w:val="0"/>
        <w:numPr>
          <w:ilvl w:val="1"/>
          <w:numId w:val="547"/>
        </w:numPr>
        <w:tabs>
          <w:tab w:val="clear" w:pos="3977"/>
        </w:tabs>
        <w:spacing w:before="120" w:after="120" w:line="240" w:lineRule="auto"/>
        <w:ind w:left="993" w:hanging="426"/>
        <w:jc w:val="both"/>
        <w:rPr>
          <w:rFonts w:ascii="Times New Roman" w:eastAsia="Times New Roman" w:hAnsi="Times New Roman" w:cs="Times New Roman"/>
          <w:b/>
          <w:bCs/>
        </w:rPr>
      </w:pPr>
      <w:r w:rsidRPr="00E9735E">
        <w:rPr>
          <w:rFonts w:ascii="Times New Roman" w:eastAsia="Times New Roman" w:hAnsi="Times New Roman" w:cs="Times New Roman"/>
          <w:bCs/>
        </w:rPr>
        <w:t>2 kredit</w:t>
      </w:r>
    </w:p>
    <w:p w:rsidR="00AD1443" w:rsidRPr="00E9735E" w:rsidRDefault="00AD1443" w:rsidP="00980876">
      <w:pPr>
        <w:pStyle w:val="Listaszerbekezds"/>
        <w:widowControl w:val="0"/>
        <w:numPr>
          <w:ilvl w:val="1"/>
          <w:numId w:val="547"/>
        </w:numPr>
        <w:tabs>
          <w:tab w:val="clear" w:pos="3977"/>
        </w:tabs>
        <w:spacing w:before="120" w:after="120" w:line="240" w:lineRule="auto"/>
        <w:ind w:left="993" w:hanging="426"/>
        <w:jc w:val="both"/>
        <w:rPr>
          <w:rFonts w:ascii="Times New Roman" w:eastAsia="Times New Roman" w:hAnsi="Times New Roman" w:cs="Times New Roman"/>
          <w:b/>
          <w:bCs/>
        </w:rPr>
      </w:pPr>
      <w:r w:rsidRPr="00E9735E">
        <w:rPr>
          <w:rFonts w:ascii="Times New Roman" w:eastAsia="Times New Roman" w:hAnsi="Times New Roman" w:cs="Times New Roman"/>
          <w:bCs/>
        </w:rPr>
        <w:t xml:space="preserve">a tantárgy elméleti vagy gyakorlati jellegének mértéke: </w:t>
      </w:r>
      <w:r>
        <w:rPr>
          <w:rFonts w:ascii="Times New Roman" w:eastAsia="Times New Roman" w:hAnsi="Times New Roman" w:cs="Times New Roman"/>
          <w:bCs/>
        </w:rPr>
        <w:t>5</w:t>
      </w:r>
      <w:r w:rsidRPr="00E9735E">
        <w:rPr>
          <w:rFonts w:ascii="Times New Roman" w:eastAsia="Times New Roman" w:hAnsi="Times New Roman" w:cs="Times New Roman"/>
          <w:bCs/>
        </w:rPr>
        <w:t xml:space="preserve">0 % gyakorlat, </w:t>
      </w:r>
      <w:r>
        <w:rPr>
          <w:rFonts w:ascii="Times New Roman" w:eastAsia="Times New Roman" w:hAnsi="Times New Roman" w:cs="Times New Roman"/>
          <w:bCs/>
        </w:rPr>
        <w:t>5</w:t>
      </w:r>
      <w:r w:rsidRPr="00E9735E">
        <w:rPr>
          <w:rFonts w:ascii="Times New Roman" w:eastAsia="Times New Roman" w:hAnsi="Times New Roman" w:cs="Times New Roman"/>
          <w:bCs/>
        </w:rPr>
        <w:t>0 % elmélet</w:t>
      </w:r>
    </w:p>
    <w:p w:rsidR="00AD1443" w:rsidRPr="00E9735E" w:rsidRDefault="00AD1443" w:rsidP="00980876">
      <w:pPr>
        <w:widowControl w:val="0"/>
        <w:numPr>
          <w:ilvl w:val="0"/>
          <w:numId w:val="547"/>
        </w:numPr>
        <w:tabs>
          <w:tab w:val="clear" w:pos="720"/>
          <w:tab w:val="num" w:pos="502"/>
        </w:tabs>
        <w:spacing w:before="120" w:after="120" w:line="240" w:lineRule="auto"/>
        <w:ind w:left="426" w:hanging="142"/>
        <w:jc w:val="both"/>
        <w:rPr>
          <w:rFonts w:ascii="Times New Roman" w:eastAsia="Times New Roman" w:hAnsi="Times New Roman" w:cs="Times New Roman"/>
          <w:bCs/>
          <w:color w:val="92D050"/>
        </w:rPr>
      </w:pPr>
      <w:r w:rsidRPr="00E9735E">
        <w:rPr>
          <w:rFonts w:ascii="Times New Roman" w:eastAsia="Times New Roman" w:hAnsi="Times New Roman" w:cs="Times New Roman"/>
          <w:b/>
          <w:bCs/>
        </w:rPr>
        <w:t>A szak(ok), szakirányok/specializációk megnevezése (ahol oktatják):</w:t>
      </w:r>
      <w:r w:rsidRPr="00E9735E">
        <w:rPr>
          <w:rFonts w:ascii="Times New Roman" w:eastAsia="Times New Roman" w:hAnsi="Times New Roman" w:cs="Times New Roman"/>
          <w:bCs/>
        </w:rPr>
        <w:t xml:space="preserve"> Katonai logisztika alapszak</w:t>
      </w:r>
    </w:p>
    <w:p w:rsidR="00AD1443" w:rsidRPr="00E9735E" w:rsidRDefault="00AD1443" w:rsidP="00980876">
      <w:pPr>
        <w:widowControl w:val="0"/>
        <w:numPr>
          <w:ilvl w:val="0"/>
          <w:numId w:val="547"/>
        </w:numPr>
        <w:tabs>
          <w:tab w:val="clear" w:pos="720"/>
          <w:tab w:val="num" w:pos="502"/>
          <w:tab w:val="num" w:pos="567"/>
        </w:tabs>
        <w:spacing w:before="120" w:after="120" w:line="240" w:lineRule="auto"/>
        <w:ind w:left="426" w:hanging="142"/>
        <w:jc w:val="both"/>
        <w:rPr>
          <w:rFonts w:ascii="Times New Roman" w:eastAsia="Times New Roman" w:hAnsi="Times New Roman" w:cs="Times New Roman"/>
          <w:bCs/>
        </w:rPr>
      </w:pPr>
      <w:r w:rsidRPr="00E9735E">
        <w:rPr>
          <w:rFonts w:ascii="Times New Roman" w:eastAsia="Times New Roman" w:hAnsi="Times New Roman" w:cs="Times New Roman"/>
          <w:b/>
          <w:bCs/>
        </w:rPr>
        <w:t xml:space="preserve">Az oktatásért felelős oktatási szervezeti egység megnevezése: </w:t>
      </w:r>
      <w:r w:rsidRPr="00E9735E">
        <w:rPr>
          <w:rFonts w:ascii="Times New Roman" w:eastAsia="Times New Roman" w:hAnsi="Times New Roman" w:cs="Times New Roman"/>
          <w:bCs/>
        </w:rPr>
        <w:t>Természettudományi Tanszék</w:t>
      </w:r>
    </w:p>
    <w:p w:rsidR="00AD1443" w:rsidRPr="00E9735E" w:rsidRDefault="00AD1443" w:rsidP="00980876">
      <w:pPr>
        <w:widowControl w:val="0"/>
        <w:numPr>
          <w:ilvl w:val="0"/>
          <w:numId w:val="547"/>
        </w:numPr>
        <w:tabs>
          <w:tab w:val="clear" w:pos="720"/>
          <w:tab w:val="num" w:pos="502"/>
          <w:tab w:val="num" w:pos="567"/>
        </w:tabs>
        <w:spacing w:before="120" w:after="120" w:line="240" w:lineRule="auto"/>
        <w:ind w:left="426" w:hanging="142"/>
        <w:jc w:val="both"/>
        <w:rPr>
          <w:rFonts w:ascii="Times New Roman" w:eastAsia="Times New Roman" w:hAnsi="Times New Roman" w:cs="Times New Roman"/>
          <w:bCs/>
          <w:spacing w:val="-2"/>
        </w:rPr>
      </w:pPr>
      <w:r w:rsidRPr="00E9735E">
        <w:rPr>
          <w:rFonts w:ascii="Times New Roman" w:eastAsia="Times New Roman" w:hAnsi="Times New Roman" w:cs="Times New Roman"/>
          <w:b/>
          <w:bCs/>
          <w:spacing w:val="-2"/>
        </w:rPr>
        <w:t>A tantárgyfelelős oktató neve, beosztása, tudományos fokozata:</w:t>
      </w:r>
      <w:r w:rsidRPr="00E9735E">
        <w:rPr>
          <w:rFonts w:ascii="Times New Roman" w:eastAsia="Times New Roman" w:hAnsi="Times New Roman" w:cs="Times New Roman"/>
          <w:bCs/>
          <w:spacing w:val="-2"/>
        </w:rPr>
        <w:t xml:space="preserve"> Dr. Tóth Bence, adjunktus, PhD</w:t>
      </w:r>
    </w:p>
    <w:p w:rsidR="00AD1443" w:rsidRPr="00E9735E" w:rsidRDefault="00AD1443" w:rsidP="00980876">
      <w:pPr>
        <w:widowControl w:val="0"/>
        <w:numPr>
          <w:ilvl w:val="0"/>
          <w:numId w:val="547"/>
        </w:numPr>
        <w:tabs>
          <w:tab w:val="clear" w:pos="720"/>
          <w:tab w:val="num" w:pos="502"/>
        </w:tabs>
        <w:spacing w:before="120" w:after="120" w:line="240" w:lineRule="auto"/>
        <w:ind w:left="426" w:hanging="142"/>
        <w:jc w:val="both"/>
        <w:rPr>
          <w:rFonts w:ascii="Times New Roman" w:eastAsia="Times New Roman" w:hAnsi="Times New Roman" w:cs="Times New Roman"/>
          <w:bCs/>
        </w:rPr>
      </w:pPr>
      <w:r w:rsidRPr="00E9735E">
        <w:rPr>
          <w:rFonts w:ascii="Times New Roman" w:eastAsia="Times New Roman" w:hAnsi="Times New Roman" w:cs="Times New Roman"/>
          <w:b/>
          <w:bCs/>
        </w:rPr>
        <w:t>A tanórák száma és típusa</w:t>
      </w:r>
    </w:p>
    <w:p w:rsidR="00AD1443" w:rsidRPr="00E9735E" w:rsidRDefault="00AD1443" w:rsidP="00980876">
      <w:pPr>
        <w:widowControl w:val="0"/>
        <w:numPr>
          <w:ilvl w:val="1"/>
          <w:numId w:val="547"/>
        </w:numPr>
        <w:tabs>
          <w:tab w:val="clear" w:pos="3977"/>
          <w:tab w:val="num" w:pos="709"/>
          <w:tab w:val="num" w:pos="2069"/>
        </w:tabs>
        <w:spacing w:before="120" w:after="120" w:line="240" w:lineRule="auto"/>
        <w:ind w:left="851" w:hanging="425"/>
        <w:jc w:val="both"/>
        <w:rPr>
          <w:rFonts w:ascii="Times New Roman" w:eastAsia="Times New Roman" w:hAnsi="Times New Roman" w:cs="Times New Roman"/>
          <w:bCs/>
        </w:rPr>
      </w:pPr>
      <w:r w:rsidRPr="00E9735E">
        <w:rPr>
          <w:rFonts w:ascii="Times New Roman" w:eastAsia="Times New Roman" w:hAnsi="Times New Roman" w:cs="Times New Roman"/>
          <w:bCs/>
        </w:rPr>
        <w:t>össz óraszám/félév:</w:t>
      </w:r>
    </w:p>
    <w:p w:rsidR="00AD1443" w:rsidRPr="00E9735E" w:rsidRDefault="00AD1443" w:rsidP="00980876">
      <w:pPr>
        <w:widowControl w:val="0"/>
        <w:numPr>
          <w:ilvl w:val="2"/>
          <w:numId w:val="547"/>
        </w:numPr>
        <w:tabs>
          <w:tab w:val="num" w:pos="709"/>
          <w:tab w:val="num" w:pos="1134"/>
        </w:tabs>
        <w:spacing w:before="120" w:after="120" w:line="240" w:lineRule="auto"/>
        <w:ind w:left="993" w:hanging="425"/>
        <w:jc w:val="both"/>
        <w:rPr>
          <w:rFonts w:ascii="Times New Roman" w:eastAsia="Times New Roman" w:hAnsi="Times New Roman" w:cs="Times New Roman"/>
          <w:bCs/>
        </w:rPr>
      </w:pPr>
      <w:r w:rsidRPr="00E9735E">
        <w:rPr>
          <w:rFonts w:ascii="Times New Roman" w:eastAsia="Times New Roman" w:hAnsi="Times New Roman" w:cs="Times New Roman"/>
          <w:bCs/>
        </w:rPr>
        <w:t xml:space="preserve">nappali munkarend: </w:t>
      </w:r>
      <w:r>
        <w:rPr>
          <w:rFonts w:ascii="Times New Roman" w:eastAsia="Times New Roman" w:hAnsi="Times New Roman" w:cs="Times New Roman"/>
          <w:bCs/>
        </w:rPr>
        <w:t>28</w:t>
      </w:r>
      <w:r w:rsidRPr="00E9735E">
        <w:rPr>
          <w:rFonts w:ascii="Times New Roman" w:eastAsia="Times New Roman" w:hAnsi="Times New Roman" w:cs="Times New Roman"/>
          <w:bCs/>
        </w:rPr>
        <w:t xml:space="preserve"> (</w:t>
      </w:r>
      <w:r>
        <w:rPr>
          <w:rFonts w:ascii="Times New Roman" w:eastAsia="Times New Roman" w:hAnsi="Times New Roman" w:cs="Times New Roman"/>
          <w:bCs/>
        </w:rPr>
        <w:t>14</w:t>
      </w:r>
      <w:r w:rsidRPr="00E9735E">
        <w:rPr>
          <w:rFonts w:ascii="Times New Roman" w:eastAsia="Times New Roman" w:hAnsi="Times New Roman" w:cs="Times New Roman"/>
          <w:bCs/>
        </w:rPr>
        <w:t xml:space="preserve"> EA + 0 SZ + </w:t>
      </w:r>
      <w:r>
        <w:rPr>
          <w:rFonts w:ascii="Times New Roman" w:eastAsia="Times New Roman" w:hAnsi="Times New Roman" w:cs="Times New Roman"/>
          <w:bCs/>
        </w:rPr>
        <w:t>14</w:t>
      </w:r>
      <w:r w:rsidRPr="00E9735E">
        <w:rPr>
          <w:rFonts w:ascii="Times New Roman" w:eastAsia="Times New Roman" w:hAnsi="Times New Roman" w:cs="Times New Roman"/>
          <w:bCs/>
        </w:rPr>
        <w:t xml:space="preserve"> GY)</w:t>
      </w:r>
    </w:p>
    <w:p w:rsidR="00AD1443" w:rsidRPr="00E9735E" w:rsidRDefault="00AD1443" w:rsidP="00980876">
      <w:pPr>
        <w:widowControl w:val="0"/>
        <w:numPr>
          <w:ilvl w:val="2"/>
          <w:numId w:val="547"/>
        </w:numPr>
        <w:tabs>
          <w:tab w:val="num" w:pos="709"/>
          <w:tab w:val="num" w:pos="1134"/>
        </w:tabs>
        <w:spacing w:before="120" w:after="120" w:line="240" w:lineRule="auto"/>
        <w:ind w:left="993" w:hanging="425"/>
        <w:jc w:val="both"/>
        <w:rPr>
          <w:rFonts w:ascii="Times New Roman" w:eastAsia="Times New Roman" w:hAnsi="Times New Roman" w:cs="Times New Roman"/>
          <w:bCs/>
        </w:rPr>
      </w:pPr>
      <w:r w:rsidRPr="00E9735E">
        <w:rPr>
          <w:rFonts w:ascii="Times New Roman" w:eastAsia="Times New Roman" w:hAnsi="Times New Roman" w:cs="Times New Roman"/>
          <w:bCs/>
        </w:rPr>
        <w:t>levelező munkarend: 0 (0 EA + 0 SZ + 0 GY)</w:t>
      </w:r>
    </w:p>
    <w:p w:rsidR="00AD1443" w:rsidRPr="00E9735E" w:rsidRDefault="00AD1443" w:rsidP="00980876">
      <w:pPr>
        <w:widowControl w:val="0"/>
        <w:numPr>
          <w:ilvl w:val="1"/>
          <w:numId w:val="547"/>
        </w:numPr>
        <w:tabs>
          <w:tab w:val="clear" w:pos="3977"/>
          <w:tab w:val="num" w:pos="709"/>
          <w:tab w:val="num" w:pos="2069"/>
        </w:tabs>
        <w:spacing w:before="120" w:after="120" w:line="240" w:lineRule="auto"/>
        <w:ind w:left="851" w:hanging="425"/>
        <w:jc w:val="both"/>
        <w:rPr>
          <w:rFonts w:ascii="Times New Roman" w:eastAsia="Times New Roman" w:hAnsi="Times New Roman" w:cs="Times New Roman"/>
          <w:bCs/>
        </w:rPr>
      </w:pPr>
      <w:r w:rsidRPr="00E9735E">
        <w:rPr>
          <w:rFonts w:ascii="Times New Roman" w:eastAsia="Times New Roman" w:hAnsi="Times New Roman" w:cs="Times New Roman"/>
          <w:bCs/>
        </w:rPr>
        <w:t xml:space="preserve">heti óraszám - nappali munkarend: </w:t>
      </w:r>
      <w:r>
        <w:rPr>
          <w:rFonts w:ascii="Times New Roman" w:eastAsia="Times New Roman" w:hAnsi="Times New Roman" w:cs="Times New Roman"/>
          <w:bCs/>
        </w:rPr>
        <w:t xml:space="preserve">2(1 + </w:t>
      </w:r>
      <w:r w:rsidRPr="00E9735E">
        <w:rPr>
          <w:rFonts w:ascii="Times New Roman" w:eastAsia="Times New Roman" w:hAnsi="Times New Roman" w:cs="Times New Roman"/>
          <w:bCs/>
        </w:rPr>
        <w:t>1</w:t>
      </w:r>
      <w:r>
        <w:rPr>
          <w:rFonts w:ascii="Times New Roman" w:eastAsia="Times New Roman" w:hAnsi="Times New Roman" w:cs="Times New Roman"/>
          <w:bCs/>
        </w:rPr>
        <w:t>)</w:t>
      </w:r>
    </w:p>
    <w:p w:rsidR="00AD1443" w:rsidRPr="00E9735E" w:rsidRDefault="00AD1443" w:rsidP="00980876">
      <w:pPr>
        <w:widowControl w:val="0"/>
        <w:numPr>
          <w:ilvl w:val="1"/>
          <w:numId w:val="547"/>
        </w:numPr>
        <w:tabs>
          <w:tab w:val="clear" w:pos="3977"/>
          <w:tab w:val="num" w:pos="709"/>
          <w:tab w:val="num" w:pos="2069"/>
        </w:tabs>
        <w:spacing w:before="120" w:after="120" w:line="240" w:lineRule="auto"/>
        <w:ind w:left="851" w:hanging="425"/>
        <w:jc w:val="both"/>
        <w:rPr>
          <w:rFonts w:ascii="Times New Roman" w:eastAsia="Times New Roman" w:hAnsi="Times New Roman" w:cs="Times New Roman"/>
          <w:bCs/>
        </w:rPr>
      </w:pPr>
      <w:r w:rsidRPr="00E9735E">
        <w:rPr>
          <w:rFonts w:ascii="Times New Roman" w:hAnsi="Times New Roman" w:cs="Times New Roman"/>
        </w:rPr>
        <w:t>Az ismeret átadásában alkalmazandó további sajátos módok, jellemzők: nincsenek</w:t>
      </w:r>
    </w:p>
    <w:p w:rsidR="00AD1443" w:rsidRPr="00E9735E" w:rsidRDefault="00AD1443" w:rsidP="00980876">
      <w:pPr>
        <w:widowControl w:val="0"/>
        <w:numPr>
          <w:ilvl w:val="0"/>
          <w:numId w:val="547"/>
        </w:numPr>
        <w:tabs>
          <w:tab w:val="clear" w:pos="720"/>
          <w:tab w:val="num" w:pos="502"/>
        </w:tabs>
        <w:spacing w:before="120" w:after="120" w:line="240" w:lineRule="auto"/>
        <w:ind w:left="502"/>
        <w:jc w:val="both"/>
        <w:rPr>
          <w:rFonts w:ascii="Times New Roman" w:eastAsia="Times New Roman" w:hAnsi="Times New Roman" w:cs="Times New Roman"/>
          <w:bCs/>
        </w:rPr>
      </w:pPr>
      <w:r w:rsidRPr="00E9735E">
        <w:rPr>
          <w:rFonts w:ascii="Times New Roman" w:eastAsia="Times New Roman" w:hAnsi="Times New Roman" w:cs="Times New Roman"/>
          <w:b/>
          <w:bCs/>
        </w:rPr>
        <w:t>A tantárgy szakmai tartalma (magyarul):</w:t>
      </w:r>
      <w:r w:rsidRPr="00E9735E">
        <w:rPr>
          <w:rFonts w:ascii="Times New Roman" w:eastAsia="Times New Roman" w:hAnsi="Times New Roman" w:cs="Times New Roman"/>
          <w:bCs/>
        </w:rPr>
        <w:t xml:space="preserve"> </w:t>
      </w:r>
      <w:r w:rsidRPr="00166F56">
        <w:rPr>
          <w:rFonts w:ascii="Times New Roman" w:eastAsia="Times New Roman" w:hAnsi="Times New Roman" w:cs="Times New Roman"/>
          <w:bCs/>
        </w:rPr>
        <w:t>Lineáris tér, elemi bázistranszformáció és alkalmazásai. Mátrixinvertálás elemi bázistranszformációkkal. Mátrixdiag</w:t>
      </w:r>
      <w:r>
        <w:rPr>
          <w:rFonts w:ascii="Times New Roman" w:eastAsia="Times New Roman" w:hAnsi="Times New Roman" w:cs="Times New Roman"/>
          <w:bCs/>
        </w:rPr>
        <w:t>onalizálás. Gráfelméleti alapok</w:t>
      </w:r>
      <w:r w:rsidRPr="00E9735E">
        <w:rPr>
          <w:rFonts w:ascii="Times New Roman" w:eastAsia="Times New Roman" w:hAnsi="Times New Roman" w:cs="Times New Roman"/>
          <w:bCs/>
        </w:rPr>
        <w:t>.</w:t>
      </w:r>
    </w:p>
    <w:p w:rsidR="00AD1443" w:rsidRPr="00E9735E" w:rsidRDefault="00AD1443" w:rsidP="00AD1443">
      <w:pPr>
        <w:widowControl w:val="0"/>
        <w:spacing w:before="120" w:after="120" w:line="240" w:lineRule="auto"/>
        <w:ind w:left="426"/>
        <w:jc w:val="both"/>
        <w:rPr>
          <w:rFonts w:ascii="Times New Roman" w:eastAsia="Times New Roman" w:hAnsi="Times New Roman" w:cs="Times New Roman"/>
          <w:bCs/>
          <w:lang w:val="en-GB"/>
        </w:rPr>
      </w:pPr>
      <w:r w:rsidRPr="00E9735E">
        <w:rPr>
          <w:rFonts w:ascii="Times New Roman" w:eastAsia="Times New Roman" w:hAnsi="Times New Roman" w:cs="Times New Roman"/>
          <w:b/>
          <w:bCs/>
        </w:rPr>
        <w:t>A tantárgy szakmai tartalma (angolul) (</w:t>
      </w:r>
      <w:r w:rsidRPr="00E9735E">
        <w:rPr>
          <w:rFonts w:ascii="Times New Roman" w:eastAsia="Times New Roman" w:hAnsi="Times New Roman" w:cs="Times New Roman"/>
          <w:b/>
          <w:bCs/>
          <w:lang w:val="en-US"/>
        </w:rPr>
        <w:t>Course description</w:t>
      </w:r>
      <w:r w:rsidRPr="00E9735E">
        <w:rPr>
          <w:rFonts w:ascii="Times New Roman" w:eastAsia="Times New Roman" w:hAnsi="Times New Roman" w:cs="Times New Roman"/>
          <w:b/>
          <w:bCs/>
        </w:rPr>
        <w:t>):</w:t>
      </w:r>
      <w:r w:rsidRPr="00E9735E">
        <w:rPr>
          <w:rFonts w:ascii="Times New Roman" w:eastAsia="Times New Roman" w:hAnsi="Times New Roman" w:cs="Times New Roman"/>
          <w:bCs/>
          <w:lang w:val="en-GB"/>
        </w:rPr>
        <w:t xml:space="preserve"> </w:t>
      </w:r>
      <w:r w:rsidRPr="00166F56">
        <w:rPr>
          <w:rFonts w:ascii="Times New Roman" w:eastAsia="Times New Roman" w:hAnsi="Times New Roman" w:cs="Times New Roman"/>
          <w:bCs/>
          <w:lang w:val="en-GB"/>
        </w:rPr>
        <w:t>Linear space, base transformation and its applications. Calculating the inverse of a matrix using base transformations. Diagonal</w:t>
      </w:r>
      <w:r>
        <w:rPr>
          <w:rFonts w:ascii="Times New Roman" w:eastAsia="Times New Roman" w:hAnsi="Times New Roman" w:cs="Times New Roman"/>
          <w:bCs/>
          <w:lang w:val="en-GB"/>
        </w:rPr>
        <w:t>ization. Basics of graph theory</w:t>
      </w:r>
      <w:r w:rsidRPr="00E9735E">
        <w:rPr>
          <w:rFonts w:ascii="Times New Roman" w:eastAsia="Times New Roman" w:hAnsi="Times New Roman" w:cs="Times New Roman"/>
          <w:bCs/>
          <w:lang w:val="en-GB"/>
        </w:rPr>
        <w:t>.</w:t>
      </w:r>
    </w:p>
    <w:p w:rsidR="00AD1443" w:rsidRPr="00E9735E" w:rsidRDefault="00AD1443" w:rsidP="00980876">
      <w:pPr>
        <w:pStyle w:val="Listaszerbekezds"/>
        <w:widowControl w:val="0"/>
        <w:numPr>
          <w:ilvl w:val="0"/>
          <w:numId w:val="547"/>
        </w:numPr>
        <w:tabs>
          <w:tab w:val="clear" w:pos="720"/>
          <w:tab w:val="num" w:pos="426"/>
        </w:tabs>
        <w:spacing w:before="120" w:after="120" w:line="240" w:lineRule="auto"/>
        <w:ind w:left="426" w:hanging="142"/>
        <w:jc w:val="both"/>
        <w:rPr>
          <w:rFonts w:ascii="Times New Roman" w:eastAsia="Times New Roman" w:hAnsi="Times New Roman" w:cs="Times New Roman"/>
          <w:bCs/>
        </w:rPr>
      </w:pPr>
      <w:r w:rsidRPr="00E9735E">
        <w:rPr>
          <w:rFonts w:ascii="Times New Roman" w:eastAsia="Times New Roman" w:hAnsi="Times New Roman" w:cs="Times New Roman"/>
          <w:b/>
          <w:bCs/>
        </w:rPr>
        <w:t xml:space="preserve">Elérendő kompetenciák (magyarul): </w:t>
      </w:r>
    </w:p>
    <w:p w:rsidR="00AD1443" w:rsidRPr="00E9735E" w:rsidRDefault="00AD1443" w:rsidP="00AD1443">
      <w:pPr>
        <w:widowControl w:val="0"/>
        <w:spacing w:before="120" w:after="120" w:line="240" w:lineRule="auto"/>
        <w:ind w:left="426"/>
        <w:jc w:val="both"/>
        <w:rPr>
          <w:rFonts w:ascii="Times New Roman" w:eastAsia="Times New Roman" w:hAnsi="Times New Roman" w:cs="Times New Roman"/>
          <w:bCs/>
        </w:rPr>
      </w:pPr>
      <w:r w:rsidRPr="00E9735E">
        <w:rPr>
          <w:rFonts w:ascii="Times New Roman" w:eastAsia="Times New Roman" w:hAnsi="Times New Roman" w:cs="Times New Roman"/>
          <w:b/>
          <w:bCs/>
        </w:rPr>
        <w:t>Tudása:</w:t>
      </w:r>
      <w:r w:rsidRPr="00E9735E">
        <w:rPr>
          <w:rFonts w:ascii="Times New Roman" w:eastAsia="Times New Roman" w:hAnsi="Times New Roman" w:cs="Times New Roman"/>
          <w:bCs/>
        </w:rPr>
        <w:t xml:space="preserve"> </w:t>
      </w:r>
    </w:p>
    <w:p w:rsidR="00AD1443" w:rsidRPr="00E9735E" w:rsidRDefault="00AD1443" w:rsidP="00AD1443">
      <w:pPr>
        <w:widowControl w:val="0"/>
        <w:spacing w:before="120" w:after="120" w:line="240" w:lineRule="auto"/>
        <w:ind w:left="426"/>
        <w:jc w:val="both"/>
        <w:rPr>
          <w:rFonts w:ascii="Times New Roman" w:eastAsia="Times New Roman" w:hAnsi="Times New Roman" w:cs="Times New Roman"/>
          <w:bCs/>
        </w:rPr>
      </w:pPr>
      <w:r w:rsidRPr="00E9735E">
        <w:rPr>
          <w:rFonts w:ascii="Times New Roman" w:eastAsia="Times New Roman" w:hAnsi="Times New Roman" w:cs="Times New Roman"/>
          <w:bCs/>
        </w:rPr>
        <w:t>-</w:t>
      </w:r>
      <w:r w:rsidRPr="00E9735E">
        <w:rPr>
          <w:rFonts w:ascii="Times New Roman" w:eastAsia="Times New Roman" w:hAnsi="Times New Roman" w:cs="Times New Roman"/>
          <w:bCs/>
        </w:rPr>
        <w:tab/>
        <w:t>Ismeri a matematika és a mechanika törvényszerűségeit, rendelkezik műszaki alapismeretekkel.</w:t>
      </w:r>
    </w:p>
    <w:p w:rsidR="00AD1443" w:rsidRPr="00E9735E" w:rsidRDefault="00AD1443" w:rsidP="00AD1443">
      <w:pPr>
        <w:widowControl w:val="0"/>
        <w:spacing w:before="120" w:after="120" w:line="240" w:lineRule="auto"/>
        <w:ind w:left="426"/>
        <w:jc w:val="both"/>
        <w:rPr>
          <w:rFonts w:ascii="Times New Roman" w:eastAsia="Times New Roman" w:hAnsi="Times New Roman" w:cs="Times New Roman"/>
          <w:bCs/>
        </w:rPr>
      </w:pPr>
      <w:r w:rsidRPr="00E9735E">
        <w:rPr>
          <w:rFonts w:ascii="Times New Roman" w:eastAsia="Times New Roman" w:hAnsi="Times New Roman" w:cs="Times New Roman"/>
          <w:b/>
          <w:bCs/>
        </w:rPr>
        <w:t>Képességei:</w:t>
      </w:r>
      <w:r w:rsidRPr="00E9735E">
        <w:rPr>
          <w:rFonts w:ascii="Times New Roman" w:eastAsia="Times New Roman" w:hAnsi="Times New Roman" w:cs="Times New Roman"/>
          <w:bCs/>
        </w:rPr>
        <w:t xml:space="preserve"> </w:t>
      </w:r>
    </w:p>
    <w:p w:rsidR="00AD1443" w:rsidRPr="00E9735E" w:rsidRDefault="00AD1443" w:rsidP="00AD1443">
      <w:pPr>
        <w:widowControl w:val="0"/>
        <w:spacing w:before="120" w:after="120" w:line="240" w:lineRule="auto"/>
        <w:ind w:left="426"/>
        <w:jc w:val="both"/>
        <w:rPr>
          <w:rFonts w:ascii="Times New Roman" w:eastAsia="Times New Roman" w:hAnsi="Times New Roman" w:cs="Times New Roman"/>
          <w:bCs/>
        </w:rPr>
      </w:pPr>
      <w:r w:rsidRPr="00E9735E">
        <w:rPr>
          <w:rFonts w:ascii="Times New Roman" w:eastAsia="Times New Roman" w:hAnsi="Times New Roman" w:cs="Times New Roman"/>
          <w:bCs/>
        </w:rPr>
        <w:t>-</w:t>
      </w:r>
      <w:r w:rsidRPr="00E9735E">
        <w:rPr>
          <w:rFonts w:ascii="Times New Roman" w:eastAsia="Times New Roman" w:hAnsi="Times New Roman" w:cs="Times New Roman"/>
          <w:bCs/>
        </w:rPr>
        <w:tab/>
        <w:t>Képes szakterületén újító és innovatív ötletek megfogalmazására.</w:t>
      </w:r>
    </w:p>
    <w:p w:rsidR="00AD1443" w:rsidRPr="00E9735E" w:rsidRDefault="00AD1443" w:rsidP="00AD1443">
      <w:pPr>
        <w:widowControl w:val="0"/>
        <w:spacing w:before="120" w:after="120" w:line="240" w:lineRule="auto"/>
        <w:ind w:left="426"/>
        <w:jc w:val="both"/>
        <w:rPr>
          <w:rFonts w:ascii="Times New Roman" w:eastAsia="Times New Roman" w:hAnsi="Times New Roman" w:cs="Times New Roman"/>
          <w:bCs/>
        </w:rPr>
      </w:pPr>
      <w:r w:rsidRPr="00E9735E">
        <w:rPr>
          <w:rFonts w:ascii="Times New Roman" w:eastAsia="Times New Roman" w:hAnsi="Times New Roman" w:cs="Times New Roman"/>
          <w:b/>
          <w:bCs/>
        </w:rPr>
        <w:t>Attitűdje:</w:t>
      </w:r>
      <w:r w:rsidRPr="00E9735E">
        <w:rPr>
          <w:rFonts w:ascii="Times New Roman" w:eastAsia="Times New Roman" w:hAnsi="Times New Roman" w:cs="Times New Roman"/>
          <w:bCs/>
        </w:rPr>
        <w:t xml:space="preserve"> </w:t>
      </w:r>
    </w:p>
    <w:p w:rsidR="00AD1443" w:rsidRPr="00E9735E" w:rsidRDefault="00AD1443" w:rsidP="00AD1443">
      <w:pPr>
        <w:widowControl w:val="0"/>
        <w:spacing w:before="120" w:after="120" w:line="240" w:lineRule="auto"/>
        <w:ind w:left="426"/>
        <w:jc w:val="both"/>
        <w:rPr>
          <w:rFonts w:ascii="Times New Roman" w:eastAsia="Times New Roman" w:hAnsi="Times New Roman" w:cs="Times New Roman"/>
          <w:bCs/>
        </w:rPr>
      </w:pPr>
      <w:r w:rsidRPr="00E9735E">
        <w:rPr>
          <w:rFonts w:ascii="Times New Roman" w:eastAsia="Times New Roman" w:hAnsi="Times New Roman" w:cs="Times New Roman"/>
          <w:bCs/>
        </w:rPr>
        <w:t>-</w:t>
      </w:r>
      <w:r w:rsidRPr="00E9735E">
        <w:rPr>
          <w:rFonts w:ascii="Times New Roman" w:eastAsia="Times New Roman" w:hAnsi="Times New Roman" w:cs="Times New Roman"/>
          <w:bCs/>
        </w:rPr>
        <w:tab/>
        <w:t>Nyitott szakterülete új eredményei, innovációi iránt, törekszik azok megismerésére, megértésére és alkalmazására, elkötelezett önmaga folyamatos képzésére.</w:t>
      </w:r>
    </w:p>
    <w:p w:rsidR="00AD1443" w:rsidRPr="00E9735E" w:rsidRDefault="00AD1443" w:rsidP="00AD1443">
      <w:pPr>
        <w:widowControl w:val="0"/>
        <w:spacing w:before="120" w:after="120" w:line="240" w:lineRule="auto"/>
        <w:ind w:left="426"/>
        <w:jc w:val="both"/>
        <w:rPr>
          <w:rFonts w:ascii="Times New Roman" w:eastAsia="Times New Roman" w:hAnsi="Times New Roman" w:cs="Times New Roman"/>
          <w:bCs/>
        </w:rPr>
      </w:pPr>
      <w:r w:rsidRPr="00E9735E">
        <w:rPr>
          <w:rFonts w:ascii="Times New Roman" w:eastAsia="Times New Roman" w:hAnsi="Times New Roman" w:cs="Times New Roman"/>
          <w:b/>
          <w:bCs/>
        </w:rPr>
        <w:t>Autonómiája és felelőssége:</w:t>
      </w:r>
      <w:r w:rsidRPr="00E9735E">
        <w:rPr>
          <w:rFonts w:ascii="Times New Roman" w:eastAsia="Times New Roman" w:hAnsi="Times New Roman" w:cs="Times New Roman"/>
          <w:bCs/>
        </w:rPr>
        <w:t xml:space="preserve"> </w:t>
      </w:r>
    </w:p>
    <w:p w:rsidR="00AD1443" w:rsidRPr="00E9735E" w:rsidRDefault="00AD1443" w:rsidP="00AD1443">
      <w:pPr>
        <w:widowControl w:val="0"/>
        <w:spacing w:before="120" w:after="120" w:line="240" w:lineRule="auto"/>
        <w:ind w:left="426"/>
        <w:jc w:val="both"/>
        <w:rPr>
          <w:rFonts w:ascii="Times New Roman" w:eastAsia="Calibri" w:hAnsi="Times New Roman" w:cs="Times New Roman"/>
        </w:rPr>
      </w:pPr>
      <w:r w:rsidRPr="00E9735E">
        <w:rPr>
          <w:rFonts w:ascii="Times New Roman" w:eastAsia="Times New Roman" w:hAnsi="Times New Roman" w:cs="Times New Roman"/>
          <w:bCs/>
        </w:rPr>
        <w:t>-</w:t>
      </w:r>
      <w:r w:rsidRPr="00E9735E">
        <w:rPr>
          <w:rFonts w:ascii="Times New Roman" w:eastAsia="Times New Roman" w:hAnsi="Times New Roman" w:cs="Times New Roman"/>
          <w:bCs/>
        </w:rPr>
        <w:tab/>
        <w:t>Az alegység, illetve egység szintű katonai logisztikai, valamint katonai gazdálkodási folyamatokban képes önállóan döntéseket hozni, azokat felelősséggel, a jogszabályi keretek figyelembevételével végrehajtani.</w:t>
      </w:r>
    </w:p>
    <w:p w:rsidR="00977418" w:rsidRDefault="00977418">
      <w:pPr>
        <w:spacing w:after="200" w:line="276" w:lineRule="auto"/>
        <w:rPr>
          <w:rFonts w:ascii="Times New Roman" w:eastAsia="Times New Roman" w:hAnsi="Times New Roman" w:cs="Times New Roman"/>
          <w:b/>
          <w:bCs/>
        </w:rPr>
      </w:pPr>
      <w:r>
        <w:rPr>
          <w:rFonts w:ascii="Times New Roman" w:eastAsia="Times New Roman" w:hAnsi="Times New Roman" w:cs="Times New Roman"/>
          <w:b/>
          <w:bCs/>
        </w:rPr>
        <w:br w:type="page"/>
      </w:r>
    </w:p>
    <w:p w:rsidR="00AD1443" w:rsidRPr="00E9735E" w:rsidRDefault="00AD1443" w:rsidP="00AD1443">
      <w:pPr>
        <w:widowControl w:val="0"/>
        <w:spacing w:before="120" w:after="120" w:line="240" w:lineRule="auto"/>
        <w:ind w:left="426"/>
        <w:jc w:val="both"/>
        <w:rPr>
          <w:rFonts w:ascii="Times New Roman" w:eastAsia="Times New Roman" w:hAnsi="Times New Roman" w:cs="Times New Roman"/>
          <w:b/>
          <w:bCs/>
          <w:lang w:val="en-US"/>
        </w:rPr>
      </w:pPr>
      <w:r w:rsidRPr="00E9735E">
        <w:rPr>
          <w:rFonts w:ascii="Times New Roman" w:eastAsia="Times New Roman" w:hAnsi="Times New Roman" w:cs="Times New Roman"/>
          <w:b/>
          <w:bCs/>
        </w:rPr>
        <w:lastRenderedPageBreak/>
        <w:t>Elérendő kompetenciák (angolul) (</w:t>
      </w:r>
      <w:r w:rsidRPr="00E9735E">
        <w:rPr>
          <w:rFonts w:ascii="Times New Roman" w:eastAsia="Times New Roman" w:hAnsi="Times New Roman" w:cs="Times New Roman"/>
          <w:b/>
          <w:bCs/>
          <w:lang w:val="en-US"/>
        </w:rPr>
        <w:t xml:space="preserve">Competences – English): </w:t>
      </w:r>
    </w:p>
    <w:p w:rsidR="00AD1443" w:rsidRPr="00E9735E" w:rsidRDefault="00AD1443" w:rsidP="00AD1443">
      <w:pPr>
        <w:widowControl w:val="0"/>
        <w:spacing w:before="120" w:after="120" w:line="240" w:lineRule="auto"/>
        <w:ind w:left="426"/>
        <w:jc w:val="both"/>
        <w:rPr>
          <w:rFonts w:ascii="Times New Roman" w:eastAsia="Times New Roman" w:hAnsi="Times New Roman" w:cs="Times New Roman"/>
          <w:lang w:val="en-GB"/>
        </w:rPr>
      </w:pPr>
      <w:r w:rsidRPr="00E9735E">
        <w:rPr>
          <w:rFonts w:ascii="Times New Roman" w:eastAsia="Times New Roman" w:hAnsi="Times New Roman" w:cs="Times New Roman"/>
          <w:b/>
          <w:lang w:val="en-GB"/>
        </w:rPr>
        <w:t>Knowledge</w:t>
      </w:r>
      <w:r w:rsidRPr="00E9735E">
        <w:rPr>
          <w:rFonts w:ascii="Times New Roman" w:eastAsia="Times New Roman" w:hAnsi="Times New Roman" w:cs="Times New Roman"/>
          <w:lang w:val="en-GB"/>
        </w:rPr>
        <w:t xml:space="preserve">: </w:t>
      </w:r>
    </w:p>
    <w:p w:rsidR="00AD1443" w:rsidRPr="00E9735E" w:rsidRDefault="00AD1443" w:rsidP="00AD1443">
      <w:pPr>
        <w:widowControl w:val="0"/>
        <w:spacing w:before="120" w:after="120" w:line="240" w:lineRule="auto"/>
        <w:ind w:left="426"/>
        <w:jc w:val="both"/>
        <w:rPr>
          <w:rFonts w:ascii="Times New Roman" w:eastAsia="Calibri" w:hAnsi="Times New Roman" w:cs="Times New Roman"/>
        </w:rPr>
      </w:pPr>
      <w:r w:rsidRPr="00E9735E">
        <w:rPr>
          <w:rFonts w:ascii="Times New Roman" w:eastAsia="Times New Roman" w:hAnsi="Times New Roman" w:cs="Times New Roman"/>
          <w:bCs/>
        </w:rPr>
        <w:t>-</w:t>
      </w:r>
      <w:r w:rsidRPr="00E9735E">
        <w:rPr>
          <w:rFonts w:ascii="Times New Roman" w:eastAsia="Times New Roman" w:hAnsi="Times New Roman" w:cs="Times New Roman"/>
          <w:bCs/>
        </w:rPr>
        <w:tab/>
        <w:t>Knows the laws of mathematics and mechanics, has basic technical knowledge.</w:t>
      </w:r>
    </w:p>
    <w:p w:rsidR="00AD1443" w:rsidRPr="00E9735E" w:rsidRDefault="00AD1443" w:rsidP="00AD1443">
      <w:pPr>
        <w:widowControl w:val="0"/>
        <w:spacing w:before="120" w:after="120" w:line="240" w:lineRule="auto"/>
        <w:ind w:left="426"/>
        <w:jc w:val="both"/>
        <w:rPr>
          <w:rFonts w:ascii="Times New Roman" w:eastAsia="Times New Roman" w:hAnsi="Times New Roman" w:cs="Times New Roman"/>
          <w:lang w:val="en-GB"/>
        </w:rPr>
      </w:pPr>
      <w:r w:rsidRPr="00E9735E">
        <w:rPr>
          <w:rFonts w:ascii="Times New Roman" w:eastAsia="Times New Roman" w:hAnsi="Times New Roman" w:cs="Times New Roman"/>
          <w:b/>
          <w:lang w:val="en-GB"/>
        </w:rPr>
        <w:t>Capabilities</w:t>
      </w:r>
      <w:r w:rsidRPr="00E9735E">
        <w:rPr>
          <w:rFonts w:ascii="Times New Roman" w:eastAsia="Times New Roman" w:hAnsi="Times New Roman" w:cs="Times New Roman"/>
          <w:lang w:val="en-GB"/>
        </w:rPr>
        <w:t xml:space="preserve">: </w:t>
      </w:r>
    </w:p>
    <w:p w:rsidR="00AD1443" w:rsidRPr="00E9735E" w:rsidRDefault="00AD1443" w:rsidP="00AD1443">
      <w:pPr>
        <w:widowControl w:val="0"/>
        <w:spacing w:before="120" w:after="120" w:line="240" w:lineRule="auto"/>
        <w:ind w:left="426"/>
        <w:jc w:val="both"/>
        <w:rPr>
          <w:rFonts w:ascii="Times New Roman" w:eastAsia="Calibri" w:hAnsi="Times New Roman" w:cs="Times New Roman"/>
        </w:rPr>
      </w:pPr>
      <w:r w:rsidRPr="00E9735E">
        <w:rPr>
          <w:rFonts w:ascii="Times New Roman" w:eastAsia="Times New Roman" w:hAnsi="Times New Roman" w:cs="Times New Roman"/>
          <w:bCs/>
        </w:rPr>
        <w:t>-</w:t>
      </w:r>
      <w:r w:rsidRPr="00E9735E">
        <w:rPr>
          <w:rFonts w:ascii="Times New Roman" w:eastAsia="Times New Roman" w:hAnsi="Times New Roman" w:cs="Times New Roman"/>
          <w:bCs/>
        </w:rPr>
        <w:tab/>
        <w:t>Able to formulate innovative ideas in their field.</w:t>
      </w:r>
    </w:p>
    <w:p w:rsidR="00AD1443" w:rsidRPr="00E9735E" w:rsidRDefault="00AD1443" w:rsidP="00AD14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lang w:val="en-GB"/>
        </w:rPr>
      </w:pPr>
      <w:r w:rsidRPr="00E9735E">
        <w:rPr>
          <w:rFonts w:ascii="Times New Roman" w:eastAsia="Times New Roman" w:hAnsi="Times New Roman" w:cs="Times New Roman"/>
          <w:b/>
          <w:lang w:val="en-GB"/>
        </w:rPr>
        <w:t>Attitude:</w:t>
      </w:r>
      <w:r w:rsidRPr="00E9735E">
        <w:rPr>
          <w:rFonts w:ascii="Times New Roman" w:eastAsia="Times New Roman" w:hAnsi="Times New Roman" w:cs="Times New Roman"/>
          <w:lang w:val="en-GB"/>
        </w:rPr>
        <w:t xml:space="preserve"> </w:t>
      </w:r>
    </w:p>
    <w:p w:rsidR="00AD1443" w:rsidRPr="00E9735E" w:rsidRDefault="00AD1443" w:rsidP="00AD1443">
      <w:pPr>
        <w:widowControl w:val="0"/>
        <w:spacing w:before="120" w:after="120" w:line="240" w:lineRule="auto"/>
        <w:ind w:left="426"/>
        <w:jc w:val="both"/>
        <w:rPr>
          <w:rFonts w:ascii="Times New Roman" w:eastAsia="Calibri" w:hAnsi="Times New Roman" w:cs="Times New Roman"/>
        </w:rPr>
      </w:pPr>
      <w:r w:rsidRPr="00E9735E">
        <w:rPr>
          <w:rFonts w:ascii="Times New Roman" w:eastAsia="Times New Roman" w:hAnsi="Times New Roman" w:cs="Times New Roman"/>
          <w:bCs/>
        </w:rPr>
        <w:t>-</w:t>
      </w:r>
      <w:r w:rsidRPr="00E9735E">
        <w:rPr>
          <w:rFonts w:ascii="Times New Roman" w:eastAsia="Times New Roman" w:hAnsi="Times New Roman" w:cs="Times New Roman"/>
          <w:bCs/>
        </w:rPr>
        <w:tab/>
        <w:t>Open for the new achievements and innovations of their specialty, seeks to know, understand and apply them, and committed to continuous self-education.</w:t>
      </w:r>
    </w:p>
    <w:p w:rsidR="00AD1443" w:rsidRPr="00E9735E" w:rsidRDefault="00AD1443" w:rsidP="00AD1443">
      <w:pPr>
        <w:widowControl w:val="0"/>
        <w:spacing w:before="120" w:after="120" w:line="240" w:lineRule="auto"/>
        <w:ind w:left="426"/>
        <w:jc w:val="both"/>
        <w:rPr>
          <w:rFonts w:ascii="Times New Roman" w:eastAsia="Times New Roman" w:hAnsi="Times New Roman" w:cs="Times New Roman"/>
          <w:lang w:val="en-GB"/>
        </w:rPr>
      </w:pPr>
      <w:r w:rsidRPr="00E9735E">
        <w:rPr>
          <w:rFonts w:ascii="Times New Roman" w:eastAsia="Times New Roman" w:hAnsi="Times New Roman" w:cs="Times New Roman"/>
          <w:b/>
          <w:lang w:val="en-GB"/>
        </w:rPr>
        <w:t xml:space="preserve">Autonomy and responsibility: </w:t>
      </w:r>
    </w:p>
    <w:p w:rsidR="00AD1443" w:rsidRPr="00E9735E" w:rsidRDefault="00AD1443" w:rsidP="00AD1443">
      <w:pPr>
        <w:widowControl w:val="0"/>
        <w:spacing w:before="120" w:after="120" w:line="240" w:lineRule="auto"/>
        <w:ind w:left="426"/>
        <w:jc w:val="both"/>
        <w:rPr>
          <w:rFonts w:ascii="Times New Roman" w:eastAsia="Calibri" w:hAnsi="Times New Roman" w:cs="Times New Roman"/>
        </w:rPr>
      </w:pPr>
      <w:r w:rsidRPr="00E9735E">
        <w:rPr>
          <w:rFonts w:ascii="Times New Roman" w:eastAsia="Times New Roman" w:hAnsi="Times New Roman" w:cs="Times New Roman"/>
          <w:bCs/>
        </w:rPr>
        <w:t>-</w:t>
      </w:r>
      <w:r w:rsidRPr="00E9735E">
        <w:rPr>
          <w:rFonts w:ascii="Times New Roman" w:eastAsia="Times New Roman" w:hAnsi="Times New Roman" w:cs="Times New Roman"/>
          <w:bCs/>
        </w:rPr>
        <w:tab/>
        <w:t>At the subunit and unit level, it is able to make independent decisions in military logistics and military management processes, making them responsible and within the legal framework.</w:t>
      </w:r>
    </w:p>
    <w:p w:rsidR="00AD1443" w:rsidRPr="00E9735E" w:rsidRDefault="00AD1443" w:rsidP="00980876">
      <w:pPr>
        <w:widowControl w:val="0"/>
        <w:numPr>
          <w:ilvl w:val="0"/>
          <w:numId w:val="547"/>
        </w:numPr>
        <w:tabs>
          <w:tab w:val="clear" w:pos="720"/>
          <w:tab w:val="num" w:pos="502"/>
          <w:tab w:val="num" w:pos="567"/>
        </w:tabs>
        <w:spacing w:before="120" w:after="120" w:line="240" w:lineRule="auto"/>
        <w:ind w:left="426" w:hanging="142"/>
        <w:jc w:val="both"/>
        <w:rPr>
          <w:rFonts w:ascii="Times New Roman" w:eastAsia="Times New Roman" w:hAnsi="Times New Roman" w:cs="Times New Roman"/>
          <w:bCs/>
        </w:rPr>
      </w:pPr>
      <w:r w:rsidRPr="00E9735E">
        <w:rPr>
          <w:rFonts w:ascii="Times New Roman" w:eastAsia="Times New Roman" w:hAnsi="Times New Roman" w:cs="Times New Roman"/>
          <w:b/>
          <w:bCs/>
        </w:rPr>
        <w:t xml:space="preserve">Előtanulmányi követelmények: </w:t>
      </w:r>
      <w:r>
        <w:rPr>
          <w:rFonts w:ascii="Times New Roman" w:hAnsi="Times New Roman" w:cs="Times New Roman"/>
        </w:rPr>
        <w:t>none</w:t>
      </w:r>
    </w:p>
    <w:p w:rsidR="00AD1443" w:rsidRPr="00E9735E" w:rsidRDefault="00AD1443" w:rsidP="00980876">
      <w:pPr>
        <w:widowControl w:val="0"/>
        <w:numPr>
          <w:ilvl w:val="0"/>
          <w:numId w:val="547"/>
        </w:numPr>
        <w:tabs>
          <w:tab w:val="clear" w:pos="720"/>
          <w:tab w:val="num" w:pos="502"/>
        </w:tabs>
        <w:spacing w:before="120" w:after="120" w:line="240" w:lineRule="auto"/>
        <w:ind w:left="426" w:hanging="142"/>
        <w:jc w:val="both"/>
        <w:rPr>
          <w:rFonts w:ascii="Times New Roman" w:eastAsia="Times New Roman" w:hAnsi="Times New Roman" w:cs="Times New Roman"/>
          <w:b/>
          <w:bCs/>
        </w:rPr>
      </w:pPr>
      <w:r w:rsidRPr="00E9735E">
        <w:rPr>
          <w:rFonts w:ascii="Times New Roman" w:eastAsia="Times New Roman" w:hAnsi="Times New Roman" w:cs="Times New Roman"/>
          <w:b/>
          <w:bCs/>
        </w:rPr>
        <w:t>A tantárgy tananyagának leírása, tematika. Description of the subject, curriculum (magyarul, angolul - English):</w:t>
      </w:r>
    </w:p>
    <w:p w:rsidR="00AD1443" w:rsidRPr="00E9735E" w:rsidRDefault="00AD1443" w:rsidP="00980876">
      <w:pPr>
        <w:widowControl w:val="0"/>
        <w:numPr>
          <w:ilvl w:val="1"/>
          <w:numId w:val="547"/>
        </w:numPr>
        <w:tabs>
          <w:tab w:val="left" w:pos="709"/>
          <w:tab w:val="left" w:pos="993"/>
        </w:tabs>
        <w:spacing w:before="120" w:after="120" w:line="240" w:lineRule="auto"/>
        <w:ind w:left="426" w:firstLine="0"/>
        <w:jc w:val="both"/>
        <w:rPr>
          <w:rFonts w:ascii="Times New Roman" w:eastAsia="Times New Roman" w:hAnsi="Times New Roman" w:cs="Times New Roman"/>
          <w:b/>
        </w:rPr>
      </w:pPr>
      <w:r w:rsidRPr="00E9735E">
        <w:rPr>
          <w:rFonts w:ascii="Times New Roman" w:eastAsia="Times New Roman" w:hAnsi="Times New Roman" w:cs="Times New Roman"/>
          <w:bCs/>
          <w:lang w:val="en-GB"/>
        </w:rPr>
        <w:t>Lineáris tér, elemi bázistranszformáció és alkalmazásai. (</w:t>
      </w:r>
      <w:r w:rsidRPr="00295622">
        <w:rPr>
          <w:rFonts w:ascii="Times New Roman" w:eastAsia="Times New Roman" w:hAnsi="Times New Roman" w:cs="Times New Roman"/>
          <w:bCs/>
          <w:i/>
          <w:lang w:val="en-GB"/>
        </w:rPr>
        <w:t>Linear space, base transformation and its applications.</w:t>
      </w:r>
      <w:r w:rsidRPr="00E9735E">
        <w:rPr>
          <w:rFonts w:ascii="Times New Roman" w:eastAsia="Times New Roman" w:hAnsi="Times New Roman" w:cs="Times New Roman"/>
          <w:bCs/>
          <w:lang w:val="en-GB"/>
        </w:rPr>
        <w:t>)</w:t>
      </w:r>
    </w:p>
    <w:p w:rsidR="00AD1443" w:rsidRPr="00E9735E" w:rsidRDefault="00AD1443" w:rsidP="00980876">
      <w:pPr>
        <w:widowControl w:val="0"/>
        <w:numPr>
          <w:ilvl w:val="1"/>
          <w:numId w:val="547"/>
        </w:numPr>
        <w:tabs>
          <w:tab w:val="left" w:pos="709"/>
          <w:tab w:val="left" w:pos="993"/>
        </w:tabs>
        <w:spacing w:before="120" w:after="120" w:line="240" w:lineRule="auto"/>
        <w:ind w:left="426" w:firstLine="0"/>
        <w:jc w:val="both"/>
        <w:rPr>
          <w:rFonts w:ascii="Times New Roman" w:eastAsia="Times New Roman" w:hAnsi="Times New Roman" w:cs="Times New Roman"/>
          <w:b/>
        </w:rPr>
      </w:pPr>
      <w:r w:rsidRPr="00E9735E">
        <w:rPr>
          <w:rFonts w:ascii="Times New Roman" w:eastAsia="Times New Roman" w:hAnsi="Times New Roman" w:cs="Times New Roman"/>
          <w:bCs/>
          <w:lang w:val="en-GB"/>
        </w:rPr>
        <w:t>Mátrixinvertálás elemi bázistranszformációkkal. (</w:t>
      </w:r>
      <w:r w:rsidRPr="00295622">
        <w:rPr>
          <w:rFonts w:ascii="Times New Roman" w:eastAsia="Times New Roman" w:hAnsi="Times New Roman" w:cs="Times New Roman"/>
          <w:bCs/>
          <w:i/>
          <w:lang w:val="en-GB"/>
        </w:rPr>
        <w:t>Calculating the inverse of a matrix using base transformations.</w:t>
      </w:r>
      <w:r w:rsidRPr="00E9735E">
        <w:rPr>
          <w:rFonts w:ascii="Times New Roman" w:eastAsia="Times New Roman" w:hAnsi="Times New Roman" w:cs="Times New Roman"/>
          <w:bCs/>
          <w:lang w:val="en-GB"/>
        </w:rPr>
        <w:t>)</w:t>
      </w:r>
    </w:p>
    <w:p w:rsidR="00AD1443" w:rsidRPr="00EE7AC2" w:rsidRDefault="00AD1443" w:rsidP="00980876">
      <w:pPr>
        <w:widowControl w:val="0"/>
        <w:numPr>
          <w:ilvl w:val="1"/>
          <w:numId w:val="547"/>
        </w:numPr>
        <w:tabs>
          <w:tab w:val="left" w:pos="709"/>
          <w:tab w:val="left" w:pos="993"/>
        </w:tabs>
        <w:spacing w:before="120" w:after="120" w:line="240" w:lineRule="auto"/>
        <w:ind w:left="426" w:firstLine="0"/>
        <w:jc w:val="both"/>
        <w:rPr>
          <w:rFonts w:ascii="Times New Roman" w:eastAsia="Times New Roman" w:hAnsi="Times New Roman" w:cs="Times New Roman"/>
          <w:b/>
        </w:rPr>
      </w:pPr>
      <w:r>
        <w:rPr>
          <w:rFonts w:ascii="Times New Roman" w:eastAsia="Times New Roman" w:hAnsi="Times New Roman" w:cs="Times New Roman"/>
          <w:bCs/>
          <w:lang w:val="en-GB"/>
        </w:rPr>
        <w:t>Mátrixdiagonalizálás</w:t>
      </w:r>
      <w:r w:rsidRPr="00E9735E">
        <w:rPr>
          <w:rFonts w:ascii="Times New Roman" w:eastAsia="Times New Roman" w:hAnsi="Times New Roman" w:cs="Times New Roman"/>
          <w:bCs/>
          <w:lang w:val="en-GB"/>
        </w:rPr>
        <w:t>. (</w:t>
      </w:r>
      <w:r w:rsidRPr="00295622">
        <w:rPr>
          <w:rFonts w:ascii="Times New Roman" w:eastAsia="Times New Roman" w:hAnsi="Times New Roman" w:cs="Times New Roman"/>
          <w:bCs/>
          <w:i/>
          <w:lang w:val="en-GB"/>
        </w:rPr>
        <w:t>Diagonalization.</w:t>
      </w:r>
      <w:r w:rsidRPr="00E9735E">
        <w:rPr>
          <w:rFonts w:ascii="Times New Roman" w:eastAsia="Times New Roman" w:hAnsi="Times New Roman" w:cs="Times New Roman"/>
          <w:bCs/>
          <w:lang w:val="en-GB"/>
        </w:rPr>
        <w:t>)</w:t>
      </w:r>
    </w:p>
    <w:p w:rsidR="00AD1443" w:rsidRPr="00E9735E" w:rsidRDefault="00AD1443" w:rsidP="00980876">
      <w:pPr>
        <w:widowControl w:val="0"/>
        <w:numPr>
          <w:ilvl w:val="1"/>
          <w:numId w:val="547"/>
        </w:numPr>
        <w:tabs>
          <w:tab w:val="left" w:pos="709"/>
          <w:tab w:val="left" w:pos="993"/>
        </w:tabs>
        <w:spacing w:before="120" w:after="120" w:line="240" w:lineRule="auto"/>
        <w:ind w:left="426" w:firstLine="0"/>
        <w:jc w:val="both"/>
        <w:rPr>
          <w:rFonts w:ascii="Times New Roman" w:eastAsia="Times New Roman" w:hAnsi="Times New Roman" w:cs="Times New Roman"/>
          <w:b/>
        </w:rPr>
      </w:pPr>
      <w:r>
        <w:rPr>
          <w:rFonts w:ascii="Times New Roman" w:eastAsia="Times New Roman" w:hAnsi="Times New Roman" w:cs="Times New Roman"/>
          <w:bCs/>
          <w:lang w:val="en-GB"/>
        </w:rPr>
        <w:t>Gráfelméleti alapok. (</w:t>
      </w:r>
      <w:r w:rsidRPr="00295622">
        <w:rPr>
          <w:rFonts w:ascii="Times New Roman" w:eastAsia="Times New Roman" w:hAnsi="Times New Roman" w:cs="Times New Roman"/>
          <w:bCs/>
          <w:i/>
          <w:lang w:val="en-GB"/>
        </w:rPr>
        <w:t>Basics of graph theory.</w:t>
      </w:r>
      <w:r>
        <w:rPr>
          <w:rFonts w:ascii="Times New Roman" w:eastAsia="Times New Roman" w:hAnsi="Times New Roman" w:cs="Times New Roman"/>
          <w:bCs/>
          <w:lang w:val="en-GB"/>
        </w:rPr>
        <w:t>)</w:t>
      </w:r>
    </w:p>
    <w:p w:rsidR="00AD1443" w:rsidRPr="00E9735E" w:rsidRDefault="00AD1443" w:rsidP="00980876">
      <w:pPr>
        <w:widowControl w:val="0"/>
        <w:numPr>
          <w:ilvl w:val="0"/>
          <w:numId w:val="547"/>
        </w:numPr>
        <w:tabs>
          <w:tab w:val="clear" w:pos="720"/>
          <w:tab w:val="num" w:pos="360"/>
          <w:tab w:val="num" w:pos="502"/>
        </w:tabs>
        <w:spacing w:before="120" w:after="120" w:line="240" w:lineRule="auto"/>
        <w:ind w:left="426" w:hanging="142"/>
        <w:jc w:val="both"/>
        <w:rPr>
          <w:rFonts w:ascii="Times New Roman" w:eastAsia="Times New Roman" w:hAnsi="Times New Roman" w:cs="Times New Roman"/>
          <w:bCs/>
        </w:rPr>
      </w:pPr>
      <w:r w:rsidRPr="00E9735E">
        <w:rPr>
          <w:rFonts w:ascii="Times New Roman" w:eastAsia="Times New Roman" w:hAnsi="Times New Roman" w:cs="Times New Roman"/>
          <w:b/>
          <w:bCs/>
        </w:rPr>
        <w:t xml:space="preserve">A tantárgy meghirdetésének gyakorisága/a tantervben történő félévi elhelyezkedése: </w:t>
      </w:r>
      <w:r w:rsidRPr="00E9735E">
        <w:rPr>
          <w:rFonts w:ascii="Times New Roman" w:eastAsia="Times New Roman" w:hAnsi="Times New Roman" w:cs="Times New Roman"/>
          <w:b/>
          <w:bCs/>
        </w:rPr>
        <w:br/>
      </w:r>
      <w:r w:rsidRPr="00E9735E">
        <w:rPr>
          <w:rFonts w:ascii="Times New Roman" w:hAnsi="Times New Roman" w:cs="Times New Roman"/>
        </w:rPr>
        <w:t>évente / 4. félév</w:t>
      </w:r>
    </w:p>
    <w:p w:rsidR="00AD1443" w:rsidRPr="00E9735E" w:rsidRDefault="00AD1443" w:rsidP="00980876">
      <w:pPr>
        <w:widowControl w:val="0"/>
        <w:numPr>
          <w:ilvl w:val="0"/>
          <w:numId w:val="547"/>
        </w:numPr>
        <w:tabs>
          <w:tab w:val="clear" w:pos="720"/>
          <w:tab w:val="num" w:pos="502"/>
        </w:tabs>
        <w:spacing w:before="120" w:after="120" w:line="240" w:lineRule="auto"/>
        <w:ind w:left="426" w:hanging="142"/>
        <w:jc w:val="both"/>
        <w:rPr>
          <w:rFonts w:ascii="Times New Roman" w:eastAsia="Times New Roman" w:hAnsi="Times New Roman" w:cs="Times New Roman"/>
          <w:bCs/>
        </w:rPr>
      </w:pPr>
      <w:r w:rsidRPr="00E9735E">
        <w:rPr>
          <w:rFonts w:ascii="Times New Roman" w:eastAsia="Times New Roman" w:hAnsi="Times New Roman" w:cs="Times New Roman"/>
          <w:b/>
          <w:bCs/>
        </w:rPr>
        <w:t>A tanórákon való részvétel követelményei, az elfogadható hiányzások mértéke, a távolmaradás pótlásának lehetősége:</w:t>
      </w:r>
      <w:r w:rsidRPr="00E9735E">
        <w:rPr>
          <w:rFonts w:ascii="Times New Roman" w:eastAsia="Times New Roman" w:hAnsi="Times New Roman" w:cs="Times New Roman"/>
          <w:bCs/>
        </w:rPr>
        <w:t xml:space="preserve"> A tantárgy teljesítéséhez a tanórák legalább 70%-án jelen kell lennie a hallgatónak.</w:t>
      </w:r>
      <w:r>
        <w:rPr>
          <w:rFonts w:ascii="Times New Roman" w:eastAsia="Times New Roman" w:hAnsi="Times New Roman" w:cs="Times New Roman"/>
          <w:bCs/>
        </w:rPr>
        <w:t xml:space="preserve"> Az ezt meghaladó mértékű hiányzás a féléves aláírás megtagadását vonja maga után. </w:t>
      </w:r>
      <w:r w:rsidRPr="00E9735E">
        <w:rPr>
          <w:rFonts w:ascii="Times New Roman" w:eastAsia="Times New Roman" w:hAnsi="Times New Roman" w:cs="Times New Roman"/>
          <w:bCs/>
        </w:rPr>
        <w:t>A távollétet a hiányzást követő első foglalkozáson kell igazolnia. A hallgató köteles a mulasztott tanóra anyagát beszerezni, abból önállóan felkészülni.</w:t>
      </w:r>
    </w:p>
    <w:p w:rsidR="00AD1443" w:rsidRPr="00E9735E" w:rsidRDefault="00AD1443" w:rsidP="00980876">
      <w:pPr>
        <w:widowControl w:val="0"/>
        <w:numPr>
          <w:ilvl w:val="0"/>
          <w:numId w:val="547"/>
        </w:numPr>
        <w:tabs>
          <w:tab w:val="clear" w:pos="720"/>
          <w:tab w:val="num" w:pos="502"/>
        </w:tabs>
        <w:spacing w:before="120" w:after="120" w:line="240" w:lineRule="auto"/>
        <w:ind w:left="426" w:hanging="142"/>
        <w:jc w:val="both"/>
        <w:rPr>
          <w:rFonts w:ascii="Times New Roman" w:eastAsia="Times New Roman" w:hAnsi="Times New Roman" w:cs="Times New Roman"/>
          <w:bCs/>
        </w:rPr>
      </w:pPr>
      <w:r w:rsidRPr="00E9735E">
        <w:rPr>
          <w:rFonts w:ascii="Times New Roman" w:eastAsia="Times New Roman" w:hAnsi="Times New Roman" w:cs="Times New Roman"/>
          <w:b/>
        </w:rPr>
        <w:t>Félévközi feladatok, ismeretek ellenőrzésének rendje:</w:t>
      </w:r>
      <w:r w:rsidRPr="00E9735E">
        <w:rPr>
          <w:rFonts w:ascii="Times New Roman" w:eastAsia="Times New Roman" w:hAnsi="Times New Roman" w:cs="Times New Roman"/>
          <w:bCs/>
        </w:rPr>
        <w:t xml:space="preserve"> </w:t>
      </w:r>
    </w:p>
    <w:p w:rsidR="00AD1443" w:rsidRPr="00E9735E" w:rsidRDefault="00AD1443" w:rsidP="00AD1443">
      <w:pPr>
        <w:widowControl w:val="0"/>
        <w:spacing w:before="120" w:after="120" w:line="240" w:lineRule="auto"/>
        <w:ind w:left="426"/>
        <w:jc w:val="both"/>
        <w:rPr>
          <w:rFonts w:ascii="Times New Roman" w:eastAsia="Times New Roman" w:hAnsi="Times New Roman" w:cs="Times New Roman"/>
        </w:rPr>
      </w:pPr>
      <w:r w:rsidRPr="00E9735E">
        <w:rPr>
          <w:rFonts w:ascii="Times New Roman" w:eastAsia="Times New Roman" w:hAnsi="Times New Roman" w:cs="Times New Roman"/>
          <w:bCs/>
        </w:rPr>
        <w:t>A számonkérés a félév során egy zárthelyi dolgozat keretében történik.</w:t>
      </w:r>
      <w:r w:rsidRPr="00E9735E">
        <w:rPr>
          <w:rFonts w:ascii="Times New Roman" w:eastAsia="Times New Roman" w:hAnsi="Times New Roman" w:cs="Times New Roman"/>
        </w:rPr>
        <w:t xml:space="preserve"> </w:t>
      </w:r>
    </w:p>
    <w:p w:rsidR="00AD1443" w:rsidRPr="00E9735E" w:rsidRDefault="00AD1443" w:rsidP="00AD1443">
      <w:pPr>
        <w:widowControl w:val="0"/>
        <w:spacing w:before="120" w:after="120" w:line="240" w:lineRule="auto"/>
        <w:ind w:left="426"/>
        <w:jc w:val="both"/>
        <w:rPr>
          <w:rFonts w:ascii="Times New Roman" w:eastAsia="Times New Roman" w:hAnsi="Times New Roman" w:cs="Times New Roman"/>
        </w:rPr>
      </w:pPr>
      <w:r w:rsidRPr="00E9735E">
        <w:rPr>
          <w:rFonts w:ascii="Times New Roman" w:eastAsia="Times New Roman" w:hAnsi="Times New Roman" w:cs="Times New Roman"/>
          <w:bCs/>
        </w:rPr>
        <w:t>A dolgozat pótlására, javítására egyszer van lehetőség egy pótdolgozat keretében.</w:t>
      </w:r>
    </w:p>
    <w:p w:rsidR="00AD1443" w:rsidRPr="00E9735E" w:rsidRDefault="00AD1443" w:rsidP="00AD1443">
      <w:pPr>
        <w:widowControl w:val="0"/>
        <w:spacing w:before="120" w:after="120" w:line="240" w:lineRule="auto"/>
        <w:ind w:left="426"/>
        <w:jc w:val="both"/>
        <w:rPr>
          <w:rFonts w:ascii="Times New Roman" w:eastAsia="Times New Roman" w:hAnsi="Times New Roman" w:cs="Times New Roman"/>
        </w:rPr>
      </w:pPr>
      <w:r w:rsidRPr="00E9735E">
        <w:rPr>
          <w:rFonts w:ascii="Times New Roman" w:eastAsia="Times New Roman" w:hAnsi="Times New Roman" w:cs="Times New Roman"/>
        </w:rPr>
        <w:t>Az érdemjegy megszerzéséhez a zárthelyi dolgozat pontszámának vagy a pótdolgozat pontszámának több mint 50%-a szükséges. Az elégséges érdemjegyhez a zárthelyi dolgozat pontszámának 51-60% szükséges, közepeshez 61-75%, jóhoz 76-90%, jeleshez 91-100%.</w:t>
      </w:r>
    </w:p>
    <w:p w:rsidR="00AD1443" w:rsidRPr="00E9735E" w:rsidRDefault="00AD1443" w:rsidP="00980876">
      <w:pPr>
        <w:widowControl w:val="0"/>
        <w:numPr>
          <w:ilvl w:val="0"/>
          <w:numId w:val="547"/>
        </w:numPr>
        <w:tabs>
          <w:tab w:val="clear" w:pos="720"/>
          <w:tab w:val="num" w:pos="502"/>
        </w:tabs>
        <w:spacing w:before="120" w:after="120" w:line="240" w:lineRule="auto"/>
        <w:ind w:left="426" w:hanging="142"/>
        <w:jc w:val="both"/>
        <w:rPr>
          <w:rFonts w:ascii="Times New Roman" w:eastAsia="Times New Roman" w:hAnsi="Times New Roman" w:cs="Times New Roman"/>
          <w:b/>
          <w:bCs/>
        </w:rPr>
      </w:pPr>
      <w:r w:rsidRPr="00E9735E">
        <w:rPr>
          <w:rFonts w:ascii="Times New Roman" w:eastAsia="Times New Roman" w:hAnsi="Times New Roman" w:cs="Times New Roman"/>
          <w:b/>
          <w:bCs/>
        </w:rPr>
        <w:t xml:space="preserve">Az értékelés, az aláírás és a kreditek megszerzésének pontos feltételei: </w:t>
      </w:r>
    </w:p>
    <w:p w:rsidR="00AD1443" w:rsidRPr="00E9735E" w:rsidRDefault="00AD1443" w:rsidP="00980876">
      <w:pPr>
        <w:widowControl w:val="0"/>
        <w:numPr>
          <w:ilvl w:val="1"/>
          <w:numId w:val="547"/>
        </w:numPr>
        <w:tabs>
          <w:tab w:val="left" w:pos="709"/>
          <w:tab w:val="left" w:pos="993"/>
        </w:tabs>
        <w:spacing w:before="120" w:after="120" w:line="240" w:lineRule="auto"/>
        <w:ind w:left="425" w:firstLine="0"/>
        <w:jc w:val="both"/>
        <w:rPr>
          <w:rFonts w:ascii="Times New Roman" w:eastAsia="Times New Roman" w:hAnsi="Times New Roman" w:cs="Times New Roman"/>
        </w:rPr>
      </w:pPr>
      <w:r w:rsidRPr="00E9735E">
        <w:rPr>
          <w:rFonts w:ascii="Times New Roman" w:eastAsia="Times New Roman" w:hAnsi="Times New Roman" w:cs="Times New Roman"/>
          <w:b/>
        </w:rPr>
        <w:t>Az aláírás megszerzésének feltételei:</w:t>
      </w:r>
      <w:r w:rsidRPr="00E9735E">
        <w:rPr>
          <w:rFonts w:ascii="Times New Roman" w:eastAsia="Times New Roman" w:hAnsi="Times New Roman" w:cs="Times New Roman"/>
        </w:rPr>
        <w:t xml:space="preserve"> Az aláírás megszerzésének feltétele a 14. pontban meghatározott arányú részvétel a foglalkozásokon valamint a 15. pontban meghatározott félévközi feladatok legalább elégséges teljesítése.</w:t>
      </w:r>
    </w:p>
    <w:p w:rsidR="00AD1443" w:rsidRPr="00E9735E" w:rsidRDefault="00AD1443" w:rsidP="00980876">
      <w:pPr>
        <w:widowControl w:val="0"/>
        <w:numPr>
          <w:ilvl w:val="1"/>
          <w:numId w:val="547"/>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E9735E">
        <w:rPr>
          <w:rFonts w:ascii="Times New Roman" w:eastAsia="Times New Roman" w:hAnsi="Times New Roman" w:cs="Times New Roman"/>
          <w:b/>
        </w:rPr>
        <w:t>Az értékelés:</w:t>
      </w:r>
      <w:r w:rsidRPr="00E9735E">
        <w:rPr>
          <w:rFonts w:ascii="Times New Roman" w:eastAsia="Times New Roman" w:hAnsi="Times New Roman" w:cs="Times New Roman"/>
        </w:rPr>
        <w:t xml:space="preserve"> gyakorlati jegy</w:t>
      </w:r>
    </w:p>
    <w:p w:rsidR="00AD1443" w:rsidRPr="00BD523F" w:rsidRDefault="00AD1443" w:rsidP="00980876">
      <w:pPr>
        <w:widowControl w:val="0"/>
        <w:numPr>
          <w:ilvl w:val="1"/>
          <w:numId w:val="547"/>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BD523F">
        <w:rPr>
          <w:rFonts w:ascii="Times New Roman" w:eastAsia="Times New Roman" w:hAnsi="Times New Roman" w:cs="Times New Roman"/>
          <w:b/>
        </w:rPr>
        <w:t>A kreditek megszerzésének feltételei:</w:t>
      </w:r>
      <w:r w:rsidRPr="00BD523F">
        <w:rPr>
          <w:rFonts w:ascii="Times New Roman" w:eastAsia="Times New Roman" w:hAnsi="Times New Roman" w:cs="Times New Roman"/>
        </w:rPr>
        <w:t xml:space="preserve"> A kreditek megszerzésének feltétele az aláírás megszerzése és legalább elégséges érdemjegy.</w:t>
      </w:r>
    </w:p>
    <w:p w:rsidR="00977418" w:rsidRDefault="00977418">
      <w:pPr>
        <w:spacing w:after="200" w:line="276" w:lineRule="auto"/>
        <w:rPr>
          <w:rFonts w:ascii="Times New Roman" w:eastAsia="Times New Roman" w:hAnsi="Times New Roman" w:cs="Times New Roman"/>
          <w:b/>
          <w:bCs/>
        </w:rPr>
      </w:pPr>
      <w:r>
        <w:rPr>
          <w:rFonts w:ascii="Times New Roman" w:eastAsia="Times New Roman" w:hAnsi="Times New Roman" w:cs="Times New Roman"/>
          <w:b/>
          <w:bCs/>
        </w:rPr>
        <w:br w:type="page"/>
      </w:r>
    </w:p>
    <w:p w:rsidR="00AD1443" w:rsidRPr="00E9735E" w:rsidRDefault="00AD1443" w:rsidP="00980876">
      <w:pPr>
        <w:widowControl w:val="0"/>
        <w:numPr>
          <w:ilvl w:val="0"/>
          <w:numId w:val="547"/>
        </w:numPr>
        <w:tabs>
          <w:tab w:val="clear" w:pos="720"/>
          <w:tab w:val="num" w:pos="360"/>
          <w:tab w:val="num" w:pos="502"/>
        </w:tabs>
        <w:spacing w:before="120" w:after="120" w:line="240" w:lineRule="auto"/>
        <w:ind w:left="426" w:hanging="142"/>
        <w:jc w:val="both"/>
        <w:rPr>
          <w:rFonts w:ascii="Times New Roman" w:eastAsia="Times New Roman" w:hAnsi="Times New Roman" w:cs="Times New Roman"/>
          <w:bCs/>
        </w:rPr>
      </w:pPr>
      <w:r w:rsidRPr="00E9735E">
        <w:rPr>
          <w:rFonts w:ascii="Times New Roman" w:eastAsia="Times New Roman" w:hAnsi="Times New Roman" w:cs="Times New Roman"/>
          <w:b/>
          <w:bCs/>
        </w:rPr>
        <w:lastRenderedPageBreak/>
        <w:t>Irodalomjegyzék:</w:t>
      </w:r>
    </w:p>
    <w:p w:rsidR="00AD1443" w:rsidRPr="00E9735E" w:rsidRDefault="00AD1443" w:rsidP="00980876">
      <w:pPr>
        <w:widowControl w:val="0"/>
        <w:numPr>
          <w:ilvl w:val="1"/>
          <w:numId w:val="547"/>
        </w:numPr>
        <w:tabs>
          <w:tab w:val="clear" w:pos="3977"/>
          <w:tab w:val="left" w:pos="567"/>
          <w:tab w:val="left" w:pos="851"/>
          <w:tab w:val="num" w:pos="2069"/>
        </w:tabs>
        <w:spacing w:before="120" w:after="120" w:line="240" w:lineRule="auto"/>
        <w:ind w:left="426" w:hanging="142"/>
        <w:jc w:val="both"/>
        <w:rPr>
          <w:rFonts w:ascii="Times New Roman" w:eastAsia="Times New Roman" w:hAnsi="Times New Roman" w:cs="Times New Roman"/>
          <w:bCs/>
        </w:rPr>
      </w:pPr>
      <w:r w:rsidRPr="00E9735E">
        <w:rPr>
          <w:rFonts w:ascii="Times New Roman" w:eastAsia="Times New Roman" w:hAnsi="Times New Roman" w:cs="Times New Roman"/>
          <w:b/>
          <w:bCs/>
        </w:rPr>
        <w:t>Kötelező irodalom:</w:t>
      </w:r>
    </w:p>
    <w:p w:rsidR="00AD1443" w:rsidRPr="00E9735E" w:rsidRDefault="00AD1443" w:rsidP="00980876">
      <w:pPr>
        <w:widowControl w:val="0"/>
        <w:numPr>
          <w:ilvl w:val="0"/>
          <w:numId w:val="548"/>
        </w:numPr>
        <w:spacing w:after="0" w:line="240" w:lineRule="auto"/>
        <w:jc w:val="both"/>
        <w:rPr>
          <w:rFonts w:ascii="Times New Roman" w:eastAsia="Times New Roman" w:hAnsi="Times New Roman" w:cs="Times New Roman"/>
        </w:rPr>
      </w:pPr>
      <w:r w:rsidRPr="00E9735E">
        <w:rPr>
          <w:rFonts w:ascii="Times New Roman" w:eastAsia="Times New Roman" w:hAnsi="Times New Roman" w:cs="Times New Roman"/>
        </w:rPr>
        <w:t>Scharnitzky Viktor: Mátrixszámítás. Műszaki Könyvkiadó, Budapest, 2008. ISBN: 9789631630053</w:t>
      </w:r>
    </w:p>
    <w:p w:rsidR="00AD1443" w:rsidRDefault="00AD1443" w:rsidP="00980876">
      <w:pPr>
        <w:widowControl w:val="0"/>
        <w:numPr>
          <w:ilvl w:val="0"/>
          <w:numId w:val="548"/>
        </w:numPr>
        <w:spacing w:after="0" w:line="240" w:lineRule="auto"/>
        <w:jc w:val="both"/>
        <w:rPr>
          <w:rFonts w:ascii="Times New Roman" w:eastAsia="Times New Roman" w:hAnsi="Times New Roman" w:cs="Times New Roman"/>
        </w:rPr>
      </w:pPr>
      <w:r w:rsidRPr="00E9735E">
        <w:rPr>
          <w:rFonts w:ascii="Times New Roman" w:eastAsia="Times New Roman" w:hAnsi="Times New Roman" w:cs="Times New Roman"/>
        </w:rPr>
        <w:t>Scharnitzky Viktor: Matematikai feladatok. Nemzeti Tankönyvkiadó, 1998. ISBN: 9631911616</w:t>
      </w:r>
    </w:p>
    <w:p w:rsidR="00AD1443" w:rsidRPr="00E9735E" w:rsidRDefault="00AD1443" w:rsidP="00980876">
      <w:pPr>
        <w:widowControl w:val="0"/>
        <w:numPr>
          <w:ilvl w:val="1"/>
          <w:numId w:val="547"/>
        </w:numPr>
        <w:tabs>
          <w:tab w:val="clear" w:pos="3977"/>
          <w:tab w:val="num" w:pos="567"/>
          <w:tab w:val="num" w:pos="2069"/>
        </w:tabs>
        <w:spacing w:before="120" w:after="120" w:line="240" w:lineRule="auto"/>
        <w:ind w:left="993" w:hanging="709"/>
        <w:jc w:val="both"/>
        <w:rPr>
          <w:rFonts w:ascii="Times New Roman" w:eastAsia="Times New Roman" w:hAnsi="Times New Roman" w:cs="Times New Roman"/>
          <w:b/>
          <w:bCs/>
        </w:rPr>
      </w:pPr>
      <w:r w:rsidRPr="00E9735E">
        <w:rPr>
          <w:rFonts w:ascii="Times New Roman" w:eastAsia="Times New Roman" w:hAnsi="Times New Roman" w:cs="Times New Roman"/>
          <w:b/>
          <w:bCs/>
        </w:rPr>
        <w:t>Ajánlott irodalom:</w:t>
      </w:r>
    </w:p>
    <w:p w:rsidR="00AD1443" w:rsidRPr="00E9735E" w:rsidRDefault="00AD1443" w:rsidP="00980876">
      <w:pPr>
        <w:pStyle w:val="Listaszerbekezds"/>
        <w:widowControl w:val="0"/>
        <w:numPr>
          <w:ilvl w:val="0"/>
          <w:numId w:val="549"/>
        </w:numPr>
        <w:spacing w:after="0" w:line="240" w:lineRule="auto"/>
        <w:jc w:val="both"/>
        <w:rPr>
          <w:rFonts w:ascii="Times New Roman" w:eastAsia="Times New Roman" w:hAnsi="Times New Roman" w:cs="Times New Roman"/>
        </w:rPr>
      </w:pPr>
      <w:r w:rsidRPr="00E9735E">
        <w:rPr>
          <w:rFonts w:ascii="Times New Roman" w:eastAsia="Times New Roman" w:hAnsi="Times New Roman" w:cs="Times New Roman"/>
        </w:rPr>
        <w:t>Peter Hammond, Knut Sydsaeter: Matematika közgazdászoknak, Aula, Budapest, 2006. ISBN: 9789639478565</w:t>
      </w:r>
    </w:p>
    <w:p w:rsidR="00AD1443" w:rsidRPr="00E9735E" w:rsidRDefault="00AD1443" w:rsidP="00980876">
      <w:pPr>
        <w:pStyle w:val="Listaszerbekezds"/>
        <w:widowControl w:val="0"/>
        <w:numPr>
          <w:ilvl w:val="0"/>
          <w:numId w:val="549"/>
        </w:numPr>
        <w:spacing w:after="0" w:line="240" w:lineRule="auto"/>
        <w:jc w:val="both"/>
        <w:rPr>
          <w:rFonts w:ascii="Times New Roman" w:eastAsia="Times New Roman" w:hAnsi="Times New Roman" w:cs="Times New Roman"/>
        </w:rPr>
      </w:pPr>
      <w:r w:rsidRPr="00E9735E">
        <w:rPr>
          <w:rFonts w:ascii="Times New Roman" w:eastAsia="Times New Roman" w:hAnsi="Times New Roman" w:cs="Times New Roman"/>
        </w:rPr>
        <w:t>Szász Gábor, Matematika II. Nemzeti Tankönyvkiadó, Budapest, 2000. ISBN: 9631908704</w:t>
      </w:r>
    </w:p>
    <w:p w:rsidR="00AD1443" w:rsidRDefault="00AD1443" w:rsidP="00AD1443">
      <w:pPr>
        <w:widowControl w:val="0"/>
        <w:spacing w:before="120" w:after="120" w:line="240" w:lineRule="auto"/>
        <w:jc w:val="both"/>
        <w:rPr>
          <w:rFonts w:ascii="Times New Roman" w:eastAsia="Times New Roman" w:hAnsi="Times New Roman" w:cs="Times New Roman"/>
          <w:bCs/>
        </w:rPr>
      </w:pPr>
    </w:p>
    <w:p w:rsidR="00AD1443" w:rsidRPr="00E84448" w:rsidRDefault="00AD1443" w:rsidP="00AD1443">
      <w:pPr>
        <w:widowControl w:val="0"/>
        <w:spacing w:before="120" w:after="120" w:line="240" w:lineRule="auto"/>
        <w:ind w:firstLine="360"/>
        <w:jc w:val="both"/>
        <w:rPr>
          <w:rFonts w:ascii="Times New Roman" w:eastAsia="Times New Roman" w:hAnsi="Times New Roman" w:cs="Times New Roman"/>
          <w:bCs/>
        </w:rPr>
      </w:pPr>
      <w:r w:rsidRPr="00E84448">
        <w:rPr>
          <w:rFonts w:ascii="Times New Roman" w:eastAsia="Times New Roman" w:hAnsi="Times New Roman" w:cs="Times New Roman"/>
          <w:bCs/>
        </w:rPr>
        <w:t>Budapest, 20</w:t>
      </w:r>
      <w:r>
        <w:rPr>
          <w:rFonts w:ascii="Times New Roman" w:eastAsia="Times New Roman" w:hAnsi="Times New Roman" w:cs="Times New Roman"/>
          <w:bCs/>
        </w:rPr>
        <w:t>20</w:t>
      </w:r>
      <w:r w:rsidRPr="00E84448">
        <w:rPr>
          <w:rFonts w:ascii="Times New Roman" w:eastAsia="Times New Roman" w:hAnsi="Times New Roman" w:cs="Times New Roman"/>
          <w:bCs/>
        </w:rPr>
        <w:t xml:space="preserve">. </w:t>
      </w:r>
      <w:r>
        <w:rPr>
          <w:rFonts w:ascii="Times New Roman" w:eastAsia="Times New Roman" w:hAnsi="Times New Roman" w:cs="Times New Roman"/>
          <w:bCs/>
        </w:rPr>
        <w:t>január 31</w:t>
      </w:r>
      <w:r w:rsidRPr="00E84448">
        <w:rPr>
          <w:rFonts w:ascii="Times New Roman" w:eastAsia="Times New Roman" w:hAnsi="Times New Roman" w:cs="Times New Roman"/>
          <w:bCs/>
        </w:rPr>
        <w:t>.</w:t>
      </w:r>
    </w:p>
    <w:p w:rsidR="00AD1443" w:rsidRPr="00E9735E" w:rsidRDefault="00AD1443" w:rsidP="00AD1443">
      <w:pPr>
        <w:widowControl w:val="0"/>
        <w:spacing w:before="120" w:after="120" w:line="240" w:lineRule="auto"/>
        <w:jc w:val="both"/>
        <w:rPr>
          <w:rFonts w:ascii="Times New Roman" w:eastAsia="Times New Roman" w:hAnsi="Times New Roman" w:cs="Times New Roman"/>
          <w:bCs/>
        </w:rPr>
      </w:pPr>
    </w:p>
    <w:p w:rsidR="00AD1443" w:rsidRPr="0010255E" w:rsidRDefault="00AD1443" w:rsidP="00AD1443">
      <w:pPr>
        <w:widowControl w:val="0"/>
        <w:spacing w:after="0" w:line="240" w:lineRule="auto"/>
        <w:jc w:val="right"/>
        <w:rPr>
          <w:rFonts w:ascii="Times New Roman" w:eastAsia="Times New Roman" w:hAnsi="Times New Roman" w:cs="Times New Roman"/>
          <w:b/>
          <w:bCs/>
        </w:rPr>
      </w:pPr>
      <w:r w:rsidRPr="0010255E">
        <w:rPr>
          <w:rFonts w:ascii="Times New Roman" w:eastAsia="Times New Roman" w:hAnsi="Times New Roman" w:cs="Times New Roman"/>
          <w:b/>
          <w:bCs/>
        </w:rPr>
        <w:t xml:space="preserve">Dr. Tóth Bence, PhD </w:t>
      </w:r>
    </w:p>
    <w:p w:rsidR="00AD1443" w:rsidRPr="00E9735E" w:rsidRDefault="00AD1443" w:rsidP="00AD1443">
      <w:pPr>
        <w:widowControl w:val="0"/>
        <w:spacing w:after="0" w:line="240" w:lineRule="auto"/>
        <w:jc w:val="right"/>
        <w:rPr>
          <w:rFonts w:ascii="Times New Roman" w:eastAsia="Times New Roman" w:hAnsi="Times New Roman" w:cs="Times New Roman"/>
          <w:bCs/>
        </w:rPr>
      </w:pPr>
      <w:r w:rsidRPr="00E9735E">
        <w:rPr>
          <w:rFonts w:ascii="Times New Roman" w:eastAsia="Times New Roman" w:hAnsi="Times New Roman" w:cs="Times New Roman"/>
          <w:bCs/>
        </w:rPr>
        <w:t>adjunktus, sk.</w:t>
      </w:r>
    </w:p>
    <w:p w:rsidR="003E6BAE" w:rsidRDefault="003E6BAE">
      <w:pPr>
        <w:spacing w:after="200" w:line="276" w:lineRule="auto"/>
        <w:rPr>
          <w:rFonts w:ascii="Times New Roman" w:hAnsi="Times New Roman" w:cs="Times New Roman"/>
        </w:rPr>
      </w:pPr>
      <w:r>
        <w:rPr>
          <w:rFonts w:ascii="Times New Roman" w:hAnsi="Times New Roman" w:cs="Times New Roman"/>
        </w:rPr>
        <w:br w:type="page"/>
      </w:r>
    </w:p>
    <w:tbl>
      <w:tblPr>
        <w:tblW w:w="9072" w:type="dxa"/>
        <w:tblInd w:w="113" w:type="dxa"/>
        <w:tblLook w:val="01E0" w:firstRow="1" w:lastRow="1" w:firstColumn="1" w:lastColumn="1" w:noHBand="0" w:noVBand="0"/>
      </w:tblPr>
      <w:tblGrid>
        <w:gridCol w:w="4855"/>
        <w:gridCol w:w="1620"/>
        <w:gridCol w:w="2597"/>
      </w:tblGrid>
      <w:tr w:rsidR="003E6BAE" w:rsidRPr="00E84448" w:rsidTr="00FC44E3">
        <w:tc>
          <w:tcPr>
            <w:tcW w:w="4855" w:type="dxa"/>
            <w:tcBorders>
              <w:bottom w:val="single" w:sz="4" w:space="0" w:color="auto"/>
            </w:tcBorders>
          </w:tcPr>
          <w:p w:rsidR="003E6BAE" w:rsidRPr="00E84448" w:rsidRDefault="003E6BAE" w:rsidP="00FC44E3">
            <w:pPr>
              <w:spacing w:after="0" w:line="240" w:lineRule="auto"/>
              <w:jc w:val="center"/>
              <w:rPr>
                <w:rFonts w:ascii="Times New Roman" w:eastAsia="Times New Roman" w:hAnsi="Times New Roman" w:cs="Times New Roman"/>
                <w:b/>
                <w:smallCaps/>
                <w:lang w:eastAsia="hu-HU"/>
              </w:rPr>
            </w:pPr>
            <w:r w:rsidRPr="00E84448">
              <w:rPr>
                <w:rFonts w:ascii="Times New Roman" w:eastAsia="Times New Roman" w:hAnsi="Times New Roman" w:cs="Times New Roman"/>
                <w:b/>
                <w:smallCaps/>
                <w:lang w:eastAsia="hu-HU"/>
              </w:rPr>
              <w:lastRenderedPageBreak/>
              <w:t>National University of Public Service</w:t>
            </w:r>
          </w:p>
        </w:tc>
        <w:tc>
          <w:tcPr>
            <w:tcW w:w="1620" w:type="dxa"/>
          </w:tcPr>
          <w:p w:rsidR="003E6BAE" w:rsidRPr="00E84448" w:rsidRDefault="003E6BAE" w:rsidP="00FC44E3">
            <w:pPr>
              <w:spacing w:after="0" w:line="240" w:lineRule="auto"/>
              <w:jc w:val="both"/>
              <w:rPr>
                <w:rFonts w:ascii="Times New Roman" w:eastAsia="Times New Roman" w:hAnsi="Times New Roman" w:cs="Times New Roman"/>
                <w:lang w:eastAsia="hu-HU"/>
              </w:rPr>
            </w:pPr>
          </w:p>
        </w:tc>
        <w:tc>
          <w:tcPr>
            <w:tcW w:w="2597" w:type="dxa"/>
          </w:tcPr>
          <w:p w:rsidR="003E6BAE" w:rsidRPr="00E84448" w:rsidRDefault="003E6BAE" w:rsidP="00FC44E3">
            <w:pPr>
              <w:spacing w:after="0" w:line="240" w:lineRule="auto"/>
              <w:jc w:val="right"/>
              <w:rPr>
                <w:rFonts w:ascii="Times New Roman" w:eastAsia="Times New Roman" w:hAnsi="Times New Roman" w:cs="Times New Roman"/>
                <w:lang w:eastAsia="hu-HU"/>
              </w:rPr>
            </w:pPr>
          </w:p>
        </w:tc>
      </w:tr>
      <w:tr w:rsidR="003E6BAE" w:rsidRPr="00E84448" w:rsidTr="00FC44E3">
        <w:tc>
          <w:tcPr>
            <w:tcW w:w="4855" w:type="dxa"/>
            <w:tcBorders>
              <w:top w:val="single" w:sz="4" w:space="0" w:color="auto"/>
            </w:tcBorders>
          </w:tcPr>
          <w:p w:rsidR="003E6BAE" w:rsidRPr="00E84448" w:rsidRDefault="003E6BAE" w:rsidP="00FC44E3">
            <w:pPr>
              <w:spacing w:after="0" w:line="240" w:lineRule="auto"/>
              <w:jc w:val="center"/>
              <w:rPr>
                <w:rFonts w:ascii="Times New Roman" w:eastAsia="Times New Roman" w:hAnsi="Times New Roman" w:cs="Times New Roman"/>
                <w:b/>
                <w:lang w:eastAsia="hu-HU"/>
              </w:rPr>
            </w:pPr>
            <w:r w:rsidRPr="00E84448">
              <w:rPr>
                <w:rFonts w:ascii="Times New Roman" w:eastAsia="Times New Roman" w:hAnsi="Times New Roman" w:cs="Times New Roman"/>
                <w:b/>
                <w:lang w:eastAsia="hu-HU"/>
              </w:rPr>
              <w:t>Faculty of Military Science and Officer Training</w:t>
            </w:r>
          </w:p>
        </w:tc>
        <w:tc>
          <w:tcPr>
            <w:tcW w:w="1620" w:type="dxa"/>
          </w:tcPr>
          <w:p w:rsidR="003E6BAE" w:rsidRPr="00E84448" w:rsidRDefault="003E6BAE" w:rsidP="00FC44E3">
            <w:pPr>
              <w:spacing w:after="0" w:line="240" w:lineRule="auto"/>
              <w:jc w:val="both"/>
              <w:rPr>
                <w:rFonts w:ascii="Times New Roman" w:eastAsia="Times New Roman" w:hAnsi="Times New Roman" w:cs="Times New Roman"/>
                <w:lang w:eastAsia="hu-HU"/>
              </w:rPr>
            </w:pPr>
          </w:p>
        </w:tc>
        <w:tc>
          <w:tcPr>
            <w:tcW w:w="2597" w:type="dxa"/>
          </w:tcPr>
          <w:p w:rsidR="003E6BAE" w:rsidRPr="00E84448" w:rsidRDefault="003E6BAE" w:rsidP="00FC44E3">
            <w:pPr>
              <w:spacing w:after="0" w:line="240" w:lineRule="auto"/>
              <w:jc w:val="both"/>
              <w:rPr>
                <w:rFonts w:ascii="Times New Roman" w:eastAsia="Times New Roman" w:hAnsi="Times New Roman" w:cs="Times New Roman"/>
                <w:lang w:eastAsia="hu-HU"/>
              </w:rPr>
            </w:pPr>
          </w:p>
        </w:tc>
      </w:tr>
    </w:tbl>
    <w:p w:rsidR="003E6BAE" w:rsidRPr="00E84448" w:rsidRDefault="003E6BAE" w:rsidP="003E6BAE">
      <w:pPr>
        <w:widowControl w:val="0"/>
        <w:spacing w:before="120" w:after="120" w:line="240" w:lineRule="auto"/>
        <w:ind w:left="426" w:hanging="142"/>
        <w:jc w:val="center"/>
        <w:rPr>
          <w:rFonts w:ascii="Times New Roman" w:eastAsia="Times New Roman" w:hAnsi="Times New Roman" w:cs="Times New Roman"/>
          <w:b/>
          <w:bCs/>
        </w:rPr>
      </w:pPr>
    </w:p>
    <w:p w:rsidR="003E6BAE" w:rsidRPr="00E84448" w:rsidRDefault="003E6BAE" w:rsidP="003E6BAE">
      <w:pPr>
        <w:widowControl w:val="0"/>
        <w:spacing w:before="120" w:after="120" w:line="240" w:lineRule="auto"/>
        <w:ind w:left="426" w:hanging="142"/>
        <w:jc w:val="center"/>
        <w:rPr>
          <w:rFonts w:ascii="Times New Roman" w:eastAsia="Times New Roman" w:hAnsi="Times New Roman" w:cs="Times New Roman"/>
          <w:b/>
          <w:bCs/>
        </w:rPr>
      </w:pPr>
      <w:r>
        <w:rPr>
          <w:rFonts w:ascii="Times New Roman" w:eastAsia="Times New Roman" w:hAnsi="Times New Roman" w:cs="Times New Roman"/>
          <w:b/>
          <w:bCs/>
        </w:rPr>
        <w:t>CURRICULUM</w:t>
      </w:r>
    </w:p>
    <w:p w:rsidR="003E6BAE" w:rsidRPr="00E84448" w:rsidRDefault="003E6BAE" w:rsidP="00980876">
      <w:pPr>
        <w:widowControl w:val="0"/>
        <w:numPr>
          <w:ilvl w:val="0"/>
          <w:numId w:val="550"/>
        </w:numPr>
        <w:tabs>
          <w:tab w:val="clear" w:pos="720"/>
          <w:tab w:val="num" w:pos="502"/>
          <w:tab w:val="num" w:pos="567"/>
        </w:tabs>
        <w:spacing w:before="120" w:after="120" w:line="240" w:lineRule="auto"/>
        <w:ind w:left="426" w:hanging="142"/>
        <w:jc w:val="both"/>
        <w:rPr>
          <w:rFonts w:ascii="Times New Roman" w:eastAsia="Times New Roman" w:hAnsi="Times New Roman" w:cs="Times New Roman"/>
          <w:bCs/>
        </w:rPr>
      </w:pPr>
      <w:r w:rsidRPr="00E84448">
        <w:rPr>
          <w:rFonts w:ascii="Times New Roman" w:eastAsia="Times New Roman" w:hAnsi="Times New Roman" w:cs="Times New Roman"/>
          <w:b/>
          <w:bCs/>
        </w:rPr>
        <w:t xml:space="preserve">Code of subject: </w:t>
      </w:r>
      <w:r w:rsidRPr="00E84448">
        <w:rPr>
          <w:rFonts w:ascii="Times New Roman" w:eastAsia="Times New Roman" w:hAnsi="Times New Roman" w:cs="Times New Roman"/>
          <w:bCs/>
        </w:rPr>
        <w:t>H</w:t>
      </w:r>
      <w:r>
        <w:rPr>
          <w:rFonts w:ascii="Times New Roman" w:eastAsia="Times New Roman" w:hAnsi="Times New Roman" w:cs="Times New Roman"/>
          <w:bCs/>
        </w:rPr>
        <w:t>K925A191</w:t>
      </w:r>
    </w:p>
    <w:p w:rsidR="003E6BAE" w:rsidRPr="00E84448" w:rsidRDefault="003E6BAE" w:rsidP="00980876">
      <w:pPr>
        <w:widowControl w:val="0"/>
        <w:numPr>
          <w:ilvl w:val="0"/>
          <w:numId w:val="550"/>
        </w:numPr>
        <w:tabs>
          <w:tab w:val="clear" w:pos="720"/>
          <w:tab w:val="num" w:pos="502"/>
          <w:tab w:val="num" w:pos="567"/>
        </w:tabs>
        <w:spacing w:before="120" w:after="120" w:line="240" w:lineRule="auto"/>
        <w:ind w:left="426" w:hanging="142"/>
        <w:jc w:val="both"/>
        <w:rPr>
          <w:rFonts w:ascii="Times New Roman" w:eastAsia="Times New Roman" w:hAnsi="Times New Roman" w:cs="Times New Roman"/>
          <w:b/>
          <w:bCs/>
          <w:lang w:val="en-GB"/>
        </w:rPr>
      </w:pPr>
      <w:r>
        <w:rPr>
          <w:rFonts w:ascii="Times New Roman" w:eastAsia="Times New Roman" w:hAnsi="Times New Roman" w:cs="Times New Roman"/>
          <w:b/>
          <w:bCs/>
        </w:rPr>
        <w:t>S</w:t>
      </w:r>
      <w:r w:rsidRPr="00E84448">
        <w:rPr>
          <w:rFonts w:ascii="Times New Roman" w:eastAsia="Times New Roman" w:hAnsi="Times New Roman" w:cs="Times New Roman"/>
          <w:b/>
          <w:bCs/>
        </w:rPr>
        <w:t>ubject</w:t>
      </w:r>
      <w:r>
        <w:rPr>
          <w:rFonts w:ascii="Times New Roman" w:eastAsia="Times New Roman" w:hAnsi="Times New Roman" w:cs="Times New Roman"/>
          <w:b/>
          <w:bCs/>
        </w:rPr>
        <w:t xml:space="preserve"> title</w:t>
      </w:r>
      <w:r w:rsidRPr="00E84448">
        <w:rPr>
          <w:rFonts w:ascii="Times New Roman" w:eastAsia="Times New Roman" w:hAnsi="Times New Roman" w:cs="Times New Roman"/>
          <w:b/>
          <w:bCs/>
        </w:rPr>
        <w:t>:</w:t>
      </w:r>
      <w:r w:rsidRPr="00E84448">
        <w:rPr>
          <w:rFonts w:ascii="Times New Roman" w:eastAsia="Times New Roman" w:hAnsi="Times New Roman" w:cs="Times New Roman"/>
          <w:bCs/>
        </w:rPr>
        <w:t xml:space="preserve"> Mathematical Fundamentals of Decision Theory </w:t>
      </w:r>
      <w:r>
        <w:rPr>
          <w:rFonts w:ascii="Times New Roman" w:eastAsia="Times New Roman" w:hAnsi="Times New Roman" w:cs="Times New Roman"/>
          <w:bCs/>
        </w:rPr>
        <w:t>LOG</w:t>
      </w:r>
    </w:p>
    <w:p w:rsidR="003E6BAE" w:rsidRPr="00E84448" w:rsidRDefault="003E6BAE" w:rsidP="00980876">
      <w:pPr>
        <w:widowControl w:val="0"/>
        <w:numPr>
          <w:ilvl w:val="0"/>
          <w:numId w:val="550"/>
        </w:numPr>
        <w:tabs>
          <w:tab w:val="clear" w:pos="720"/>
          <w:tab w:val="num" w:pos="502"/>
          <w:tab w:val="num" w:pos="567"/>
        </w:tabs>
        <w:spacing w:before="120" w:after="120" w:line="240" w:lineRule="auto"/>
        <w:ind w:left="426" w:hanging="142"/>
        <w:jc w:val="both"/>
        <w:rPr>
          <w:rFonts w:ascii="Times New Roman" w:eastAsia="Times New Roman" w:hAnsi="Times New Roman" w:cs="Times New Roman"/>
          <w:b/>
          <w:bCs/>
        </w:rPr>
      </w:pPr>
      <w:r w:rsidRPr="00E84448">
        <w:rPr>
          <w:rFonts w:ascii="Times New Roman" w:eastAsia="Times New Roman" w:hAnsi="Times New Roman" w:cs="Times New Roman"/>
          <w:b/>
          <w:bCs/>
        </w:rPr>
        <w:t xml:space="preserve">Credit value and educational character: </w:t>
      </w:r>
    </w:p>
    <w:p w:rsidR="003E6BAE" w:rsidRPr="00E84448" w:rsidRDefault="003E6BAE" w:rsidP="00980876">
      <w:pPr>
        <w:pStyle w:val="Listaszerbekezds"/>
        <w:widowControl w:val="0"/>
        <w:numPr>
          <w:ilvl w:val="1"/>
          <w:numId w:val="550"/>
        </w:numPr>
        <w:tabs>
          <w:tab w:val="clear" w:pos="3977"/>
        </w:tabs>
        <w:spacing w:before="120" w:after="120" w:line="240" w:lineRule="auto"/>
        <w:ind w:left="993" w:hanging="426"/>
        <w:jc w:val="both"/>
        <w:rPr>
          <w:rFonts w:ascii="Times New Roman" w:eastAsia="Times New Roman" w:hAnsi="Times New Roman" w:cs="Times New Roman"/>
          <w:b/>
          <w:bCs/>
        </w:rPr>
      </w:pPr>
      <w:r w:rsidRPr="00E84448">
        <w:rPr>
          <w:rFonts w:ascii="Times New Roman" w:eastAsia="Times New Roman" w:hAnsi="Times New Roman" w:cs="Times New Roman"/>
          <w:bCs/>
        </w:rPr>
        <w:t>2 credits</w:t>
      </w:r>
    </w:p>
    <w:p w:rsidR="003E6BAE" w:rsidRPr="00E84448" w:rsidRDefault="003E6BAE" w:rsidP="00980876">
      <w:pPr>
        <w:pStyle w:val="Listaszerbekezds"/>
        <w:widowControl w:val="0"/>
        <w:numPr>
          <w:ilvl w:val="1"/>
          <w:numId w:val="550"/>
        </w:numPr>
        <w:tabs>
          <w:tab w:val="clear" w:pos="3977"/>
        </w:tabs>
        <w:spacing w:before="120" w:after="120" w:line="240" w:lineRule="auto"/>
        <w:ind w:left="993" w:hanging="426"/>
        <w:jc w:val="both"/>
        <w:rPr>
          <w:rFonts w:ascii="Times New Roman" w:eastAsia="Times New Roman" w:hAnsi="Times New Roman" w:cs="Times New Roman"/>
          <w:b/>
          <w:bCs/>
        </w:rPr>
      </w:pPr>
      <w:r w:rsidRPr="00E84448">
        <w:rPr>
          <w:rFonts w:ascii="Times New Roman" w:eastAsia="Times New Roman" w:hAnsi="Times New Roman" w:cs="Times New Roman"/>
          <w:bCs/>
        </w:rPr>
        <w:t xml:space="preserve">level of theoretical and/or practical character of subject: </w:t>
      </w:r>
      <w:r>
        <w:rPr>
          <w:rFonts w:ascii="Times New Roman" w:eastAsia="Times New Roman" w:hAnsi="Times New Roman" w:cs="Times New Roman"/>
          <w:bCs/>
        </w:rPr>
        <w:t>5</w:t>
      </w:r>
      <w:r w:rsidRPr="00E84448">
        <w:rPr>
          <w:rFonts w:ascii="Times New Roman" w:eastAsia="Times New Roman" w:hAnsi="Times New Roman" w:cs="Times New Roman"/>
          <w:bCs/>
        </w:rPr>
        <w:t xml:space="preserve">0 % practice, </w:t>
      </w:r>
      <w:r>
        <w:rPr>
          <w:rFonts w:ascii="Times New Roman" w:eastAsia="Times New Roman" w:hAnsi="Times New Roman" w:cs="Times New Roman"/>
          <w:bCs/>
        </w:rPr>
        <w:t>5</w:t>
      </w:r>
      <w:r w:rsidRPr="00E84448">
        <w:rPr>
          <w:rFonts w:ascii="Times New Roman" w:eastAsia="Times New Roman" w:hAnsi="Times New Roman" w:cs="Times New Roman"/>
          <w:bCs/>
        </w:rPr>
        <w:t>0 % theory</w:t>
      </w:r>
    </w:p>
    <w:p w:rsidR="003E6BAE" w:rsidRPr="00E84448" w:rsidRDefault="003E6BAE" w:rsidP="00980876">
      <w:pPr>
        <w:widowControl w:val="0"/>
        <w:numPr>
          <w:ilvl w:val="0"/>
          <w:numId w:val="550"/>
        </w:numPr>
        <w:tabs>
          <w:tab w:val="clear" w:pos="720"/>
          <w:tab w:val="num" w:pos="502"/>
        </w:tabs>
        <w:spacing w:before="120" w:after="120" w:line="240" w:lineRule="auto"/>
        <w:ind w:left="426" w:hanging="142"/>
        <w:jc w:val="both"/>
        <w:rPr>
          <w:rFonts w:ascii="Times New Roman" w:eastAsia="Times New Roman" w:hAnsi="Times New Roman" w:cs="Times New Roman"/>
          <w:bCs/>
          <w:color w:val="92D050"/>
        </w:rPr>
      </w:pPr>
      <w:r w:rsidRPr="00E84448">
        <w:rPr>
          <w:rFonts w:ascii="Times New Roman" w:eastAsia="Times New Roman" w:hAnsi="Times New Roman" w:cs="Times New Roman"/>
          <w:b/>
          <w:bCs/>
        </w:rPr>
        <w:t>Name(s) of programme(s), specialization(s)/module(s) (where taught):</w:t>
      </w:r>
      <w:r w:rsidRPr="00E84448">
        <w:rPr>
          <w:rFonts w:ascii="Times New Roman" w:eastAsia="Times New Roman" w:hAnsi="Times New Roman" w:cs="Times New Roman"/>
          <w:bCs/>
        </w:rPr>
        <w:t xml:space="preserve"> Military Logistics </w:t>
      </w:r>
      <w:r w:rsidR="00137B8A">
        <w:rPr>
          <w:rFonts w:ascii="Times New Roman" w:eastAsia="Times New Roman" w:hAnsi="Times New Roman" w:cs="Times New Roman"/>
          <w:bCs/>
        </w:rPr>
        <w:t>BSc</w:t>
      </w:r>
    </w:p>
    <w:p w:rsidR="003E6BAE" w:rsidRPr="00E84448" w:rsidRDefault="003E6BAE" w:rsidP="00980876">
      <w:pPr>
        <w:widowControl w:val="0"/>
        <w:numPr>
          <w:ilvl w:val="0"/>
          <w:numId w:val="550"/>
        </w:numPr>
        <w:tabs>
          <w:tab w:val="clear" w:pos="720"/>
          <w:tab w:val="num" w:pos="502"/>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O</w:t>
      </w:r>
      <w:r w:rsidRPr="00E84448">
        <w:rPr>
          <w:rFonts w:ascii="Times New Roman" w:eastAsia="Times New Roman" w:hAnsi="Times New Roman" w:cs="Times New Roman"/>
          <w:b/>
          <w:bCs/>
        </w:rPr>
        <w:t xml:space="preserve">rganizational unit responsible for its education: </w:t>
      </w:r>
      <w:r w:rsidRPr="00E84448">
        <w:rPr>
          <w:rFonts w:ascii="Times New Roman" w:eastAsia="Times New Roman" w:hAnsi="Times New Roman" w:cs="Times New Roman"/>
          <w:bCs/>
        </w:rPr>
        <w:t>Department of Natural Sciences</w:t>
      </w:r>
    </w:p>
    <w:p w:rsidR="003E6BAE" w:rsidRPr="00E84448" w:rsidRDefault="003E6BAE" w:rsidP="00980876">
      <w:pPr>
        <w:widowControl w:val="0"/>
        <w:numPr>
          <w:ilvl w:val="0"/>
          <w:numId w:val="550"/>
        </w:numPr>
        <w:tabs>
          <w:tab w:val="clear" w:pos="720"/>
          <w:tab w:val="num" w:pos="502"/>
          <w:tab w:val="num" w:pos="567"/>
        </w:tabs>
        <w:spacing w:before="120" w:after="120" w:line="240" w:lineRule="auto"/>
        <w:ind w:left="426" w:hanging="142"/>
        <w:jc w:val="both"/>
        <w:rPr>
          <w:rFonts w:ascii="Times New Roman" w:eastAsia="Times New Roman" w:hAnsi="Times New Roman" w:cs="Times New Roman"/>
          <w:bCs/>
          <w:spacing w:val="-2"/>
        </w:rPr>
      </w:pPr>
      <w:r w:rsidRPr="00E84448">
        <w:rPr>
          <w:rFonts w:ascii="Liberation Serif" w:hAnsi="Liberation Serif" w:cs="Liberation Serif"/>
          <w:b/>
          <w:bCs/>
          <w:lang w:val="en-US"/>
        </w:rPr>
        <w:t>Name, position, academic degree of tutor responsible for the curriculum</w:t>
      </w:r>
      <w:r w:rsidRPr="00E84448">
        <w:rPr>
          <w:rFonts w:ascii="Times New Roman" w:eastAsia="Times New Roman" w:hAnsi="Times New Roman" w:cs="Times New Roman"/>
          <w:b/>
          <w:bCs/>
          <w:spacing w:val="-2"/>
        </w:rPr>
        <w:t>:</w:t>
      </w:r>
      <w:r w:rsidRPr="00E84448">
        <w:rPr>
          <w:rFonts w:ascii="Times New Roman" w:eastAsia="Times New Roman" w:hAnsi="Times New Roman" w:cs="Times New Roman"/>
          <w:bCs/>
          <w:spacing w:val="-2"/>
        </w:rPr>
        <w:t xml:space="preserve"> Dr. Bence TÓTH, senior lecturer, PhD</w:t>
      </w:r>
    </w:p>
    <w:p w:rsidR="003E6BAE" w:rsidRPr="00E84448" w:rsidRDefault="003E6BAE" w:rsidP="00980876">
      <w:pPr>
        <w:widowControl w:val="0"/>
        <w:numPr>
          <w:ilvl w:val="0"/>
          <w:numId w:val="550"/>
        </w:numPr>
        <w:tabs>
          <w:tab w:val="clear" w:pos="720"/>
          <w:tab w:val="num" w:pos="502"/>
        </w:tabs>
        <w:spacing w:before="120" w:after="120" w:line="240" w:lineRule="auto"/>
        <w:ind w:left="426" w:hanging="142"/>
        <w:jc w:val="both"/>
        <w:rPr>
          <w:rFonts w:ascii="Times New Roman" w:eastAsia="Times New Roman" w:hAnsi="Times New Roman" w:cs="Times New Roman"/>
          <w:bCs/>
        </w:rPr>
      </w:pPr>
      <w:r w:rsidRPr="00E84448">
        <w:rPr>
          <w:rFonts w:ascii="Times New Roman" w:eastAsia="Times New Roman" w:hAnsi="Times New Roman" w:cs="Times New Roman"/>
          <w:b/>
          <w:bCs/>
        </w:rPr>
        <w:t>Number and type of classes</w:t>
      </w:r>
    </w:p>
    <w:p w:rsidR="003E6BAE" w:rsidRPr="00E84448" w:rsidRDefault="003E6BAE" w:rsidP="00980876">
      <w:pPr>
        <w:widowControl w:val="0"/>
        <w:numPr>
          <w:ilvl w:val="1"/>
          <w:numId w:val="550"/>
        </w:numPr>
        <w:tabs>
          <w:tab w:val="clear" w:pos="3977"/>
          <w:tab w:val="num" w:pos="709"/>
          <w:tab w:val="num" w:pos="2069"/>
        </w:tabs>
        <w:spacing w:before="120" w:after="120" w:line="240" w:lineRule="auto"/>
        <w:ind w:left="851" w:hanging="425"/>
        <w:jc w:val="both"/>
        <w:rPr>
          <w:rFonts w:ascii="Times New Roman" w:eastAsia="Times New Roman" w:hAnsi="Times New Roman" w:cs="Times New Roman"/>
          <w:bCs/>
        </w:rPr>
      </w:pPr>
      <w:r w:rsidRPr="00E84448">
        <w:rPr>
          <w:rFonts w:ascii="Times New Roman" w:eastAsia="Times New Roman" w:hAnsi="Times New Roman" w:cs="Times New Roman"/>
          <w:bCs/>
        </w:rPr>
        <w:t>total number of classes per term:</w:t>
      </w:r>
    </w:p>
    <w:p w:rsidR="003E6BAE" w:rsidRPr="00E84448" w:rsidRDefault="003E6BAE" w:rsidP="00980876">
      <w:pPr>
        <w:widowControl w:val="0"/>
        <w:numPr>
          <w:ilvl w:val="2"/>
          <w:numId w:val="550"/>
        </w:numPr>
        <w:tabs>
          <w:tab w:val="num" w:pos="709"/>
          <w:tab w:val="num" w:pos="1134"/>
        </w:tabs>
        <w:spacing w:before="120" w:after="120" w:line="240" w:lineRule="auto"/>
        <w:ind w:left="851" w:hanging="425"/>
        <w:jc w:val="both"/>
        <w:rPr>
          <w:rFonts w:ascii="Times New Roman" w:eastAsia="Times New Roman" w:hAnsi="Times New Roman" w:cs="Times New Roman"/>
          <w:bCs/>
        </w:rPr>
      </w:pPr>
      <w:r w:rsidRPr="00E84448">
        <w:rPr>
          <w:rFonts w:ascii="Times New Roman" w:eastAsia="Times New Roman" w:hAnsi="Times New Roman" w:cs="Times New Roman"/>
          <w:bCs/>
        </w:rPr>
        <w:t xml:space="preserve">full time training: </w:t>
      </w:r>
      <w:r>
        <w:rPr>
          <w:rFonts w:ascii="Times New Roman" w:eastAsia="Times New Roman" w:hAnsi="Times New Roman" w:cs="Times New Roman"/>
          <w:bCs/>
        </w:rPr>
        <w:t>28</w:t>
      </w:r>
      <w:r w:rsidRPr="00E84448">
        <w:rPr>
          <w:rFonts w:ascii="Times New Roman" w:eastAsia="Times New Roman" w:hAnsi="Times New Roman" w:cs="Times New Roman"/>
          <w:bCs/>
        </w:rPr>
        <w:t xml:space="preserve"> (</w:t>
      </w:r>
      <w:r>
        <w:rPr>
          <w:rFonts w:ascii="Times New Roman" w:eastAsia="Times New Roman" w:hAnsi="Times New Roman" w:cs="Times New Roman"/>
          <w:bCs/>
        </w:rPr>
        <w:t>14</w:t>
      </w:r>
      <w:r w:rsidRPr="00E84448">
        <w:rPr>
          <w:rFonts w:ascii="Times New Roman" w:eastAsia="Times New Roman" w:hAnsi="Times New Roman" w:cs="Times New Roman"/>
          <w:bCs/>
        </w:rPr>
        <w:t xml:space="preserve"> lecture + 0 seminar + </w:t>
      </w:r>
      <w:r>
        <w:rPr>
          <w:rFonts w:ascii="Times New Roman" w:eastAsia="Times New Roman" w:hAnsi="Times New Roman" w:cs="Times New Roman"/>
          <w:bCs/>
        </w:rPr>
        <w:t>14</w:t>
      </w:r>
      <w:r w:rsidRPr="00E84448">
        <w:rPr>
          <w:rFonts w:ascii="Times New Roman" w:eastAsia="Times New Roman" w:hAnsi="Times New Roman" w:cs="Times New Roman"/>
          <w:bCs/>
        </w:rPr>
        <w:t xml:space="preserve"> practice)</w:t>
      </w:r>
    </w:p>
    <w:p w:rsidR="003E6BAE" w:rsidRPr="00E84448" w:rsidRDefault="003E6BAE" w:rsidP="00980876">
      <w:pPr>
        <w:widowControl w:val="0"/>
        <w:numPr>
          <w:ilvl w:val="2"/>
          <w:numId w:val="550"/>
        </w:numPr>
        <w:tabs>
          <w:tab w:val="num" w:pos="709"/>
          <w:tab w:val="num" w:pos="1134"/>
        </w:tabs>
        <w:spacing w:before="120" w:after="120" w:line="240" w:lineRule="auto"/>
        <w:ind w:left="851" w:hanging="425"/>
        <w:jc w:val="both"/>
        <w:rPr>
          <w:rFonts w:ascii="Times New Roman" w:eastAsia="Times New Roman" w:hAnsi="Times New Roman" w:cs="Times New Roman"/>
          <w:bCs/>
        </w:rPr>
      </w:pPr>
      <w:r w:rsidRPr="00E84448">
        <w:rPr>
          <w:rFonts w:ascii="Times New Roman" w:eastAsia="Times New Roman" w:hAnsi="Times New Roman" w:cs="Times New Roman"/>
          <w:bCs/>
        </w:rPr>
        <w:t>correspondance training: 0 (0 lecture + 0 seminar + 0 practice)</w:t>
      </w:r>
    </w:p>
    <w:p w:rsidR="003E6BAE" w:rsidRPr="00E84448" w:rsidRDefault="003E6BAE" w:rsidP="00980876">
      <w:pPr>
        <w:widowControl w:val="0"/>
        <w:numPr>
          <w:ilvl w:val="1"/>
          <w:numId w:val="550"/>
        </w:numPr>
        <w:tabs>
          <w:tab w:val="clear" w:pos="3977"/>
          <w:tab w:val="num" w:pos="709"/>
          <w:tab w:val="num" w:pos="2069"/>
        </w:tabs>
        <w:spacing w:before="120" w:after="120" w:line="240" w:lineRule="auto"/>
        <w:ind w:left="851" w:hanging="425"/>
        <w:jc w:val="both"/>
        <w:rPr>
          <w:rFonts w:ascii="Times New Roman" w:eastAsia="Times New Roman" w:hAnsi="Times New Roman" w:cs="Times New Roman"/>
          <w:bCs/>
        </w:rPr>
      </w:pPr>
      <w:r w:rsidRPr="00E84448">
        <w:rPr>
          <w:rFonts w:ascii="Times New Roman" w:eastAsia="Times New Roman" w:hAnsi="Times New Roman" w:cs="Times New Roman"/>
          <w:bCs/>
        </w:rPr>
        <w:t xml:space="preserve">weekly number of classes - full time training: </w:t>
      </w:r>
      <w:r>
        <w:rPr>
          <w:rFonts w:ascii="Times New Roman" w:eastAsia="Times New Roman" w:hAnsi="Times New Roman" w:cs="Times New Roman"/>
          <w:bCs/>
        </w:rPr>
        <w:t xml:space="preserve">2(1 + </w:t>
      </w:r>
      <w:r w:rsidRPr="00E84448">
        <w:rPr>
          <w:rFonts w:ascii="Times New Roman" w:eastAsia="Times New Roman" w:hAnsi="Times New Roman" w:cs="Times New Roman"/>
          <w:bCs/>
        </w:rPr>
        <w:t>1</w:t>
      </w:r>
      <w:r>
        <w:rPr>
          <w:rFonts w:ascii="Times New Roman" w:eastAsia="Times New Roman" w:hAnsi="Times New Roman" w:cs="Times New Roman"/>
          <w:bCs/>
        </w:rPr>
        <w:t>)</w:t>
      </w:r>
    </w:p>
    <w:p w:rsidR="003E6BAE" w:rsidRPr="00E84448" w:rsidRDefault="003E6BAE" w:rsidP="00980876">
      <w:pPr>
        <w:widowControl w:val="0"/>
        <w:numPr>
          <w:ilvl w:val="1"/>
          <w:numId w:val="550"/>
        </w:numPr>
        <w:tabs>
          <w:tab w:val="clear" w:pos="3977"/>
          <w:tab w:val="num" w:pos="709"/>
          <w:tab w:val="num" w:pos="2069"/>
        </w:tabs>
        <w:spacing w:before="120" w:after="120" w:line="240" w:lineRule="auto"/>
        <w:ind w:left="851" w:hanging="425"/>
        <w:jc w:val="both"/>
        <w:rPr>
          <w:rFonts w:ascii="Times New Roman" w:eastAsia="Times New Roman" w:hAnsi="Times New Roman" w:cs="Times New Roman"/>
          <w:bCs/>
        </w:rPr>
      </w:pPr>
      <w:r w:rsidRPr="00E84448">
        <w:rPr>
          <w:rFonts w:ascii="Times New Roman" w:hAnsi="Times New Roman" w:cs="Times New Roman"/>
        </w:rPr>
        <w:t>Further special modes, characteristics in knowledge transfer: none</w:t>
      </w:r>
    </w:p>
    <w:p w:rsidR="003E6BAE" w:rsidRPr="00E84448" w:rsidRDefault="003E6BAE" w:rsidP="00980876">
      <w:pPr>
        <w:widowControl w:val="0"/>
        <w:numPr>
          <w:ilvl w:val="0"/>
          <w:numId w:val="550"/>
        </w:numPr>
        <w:tabs>
          <w:tab w:val="clear" w:pos="720"/>
          <w:tab w:val="num" w:pos="502"/>
        </w:tabs>
        <w:spacing w:before="120" w:after="120" w:line="240" w:lineRule="auto"/>
        <w:ind w:left="502"/>
        <w:jc w:val="both"/>
        <w:rPr>
          <w:rFonts w:ascii="Times New Roman" w:eastAsia="Times New Roman" w:hAnsi="Times New Roman" w:cs="Times New Roman"/>
          <w:bCs/>
        </w:rPr>
      </w:pPr>
      <w:r w:rsidRPr="00E84448">
        <w:rPr>
          <w:rFonts w:ascii="Times New Roman" w:eastAsia="Times New Roman" w:hAnsi="Times New Roman" w:cs="Times New Roman"/>
          <w:b/>
          <w:bCs/>
        </w:rPr>
        <w:t>Course</w:t>
      </w:r>
      <w:r w:rsidRPr="00E84448">
        <w:rPr>
          <w:rFonts w:ascii="Times New Roman" w:eastAsia="Times New Roman" w:hAnsi="Times New Roman" w:cs="Times New Roman"/>
          <w:b/>
          <w:bCs/>
          <w:lang w:val="en-US"/>
        </w:rPr>
        <w:t xml:space="preserve"> description</w:t>
      </w:r>
      <w:r w:rsidRPr="00E84448">
        <w:rPr>
          <w:rFonts w:ascii="Times New Roman" w:eastAsia="Times New Roman" w:hAnsi="Times New Roman" w:cs="Times New Roman"/>
          <w:b/>
          <w:bCs/>
        </w:rPr>
        <w:t>:</w:t>
      </w:r>
      <w:r w:rsidRPr="00E84448">
        <w:rPr>
          <w:rFonts w:ascii="Times New Roman" w:eastAsia="Times New Roman" w:hAnsi="Times New Roman" w:cs="Times New Roman"/>
          <w:bCs/>
          <w:lang w:val="en-GB"/>
        </w:rPr>
        <w:t xml:space="preserve"> </w:t>
      </w:r>
      <w:r w:rsidRPr="00E750AB">
        <w:rPr>
          <w:rFonts w:ascii="Times New Roman" w:eastAsia="Times New Roman" w:hAnsi="Times New Roman" w:cs="Times New Roman"/>
          <w:bCs/>
          <w:lang w:val="en-GB"/>
        </w:rPr>
        <w:t>Linear space, base transformation and its applications. Calculating the inverse of a matrix using base transformations. Diagonal</w:t>
      </w:r>
      <w:r>
        <w:rPr>
          <w:rFonts w:ascii="Times New Roman" w:eastAsia="Times New Roman" w:hAnsi="Times New Roman" w:cs="Times New Roman"/>
          <w:bCs/>
          <w:lang w:val="en-GB"/>
        </w:rPr>
        <w:t>ization. Basics of graph theory</w:t>
      </w:r>
      <w:r w:rsidRPr="00E84448">
        <w:rPr>
          <w:rFonts w:ascii="Times New Roman" w:eastAsia="Times New Roman" w:hAnsi="Times New Roman" w:cs="Times New Roman"/>
          <w:bCs/>
        </w:rPr>
        <w:t>.</w:t>
      </w:r>
    </w:p>
    <w:p w:rsidR="003E6BAE" w:rsidRPr="00E84448" w:rsidRDefault="003E6BAE" w:rsidP="00980876">
      <w:pPr>
        <w:pStyle w:val="Listaszerbekezds"/>
        <w:widowControl w:val="0"/>
        <w:numPr>
          <w:ilvl w:val="0"/>
          <w:numId w:val="550"/>
        </w:numPr>
        <w:tabs>
          <w:tab w:val="clear" w:pos="720"/>
          <w:tab w:val="num" w:pos="426"/>
        </w:tabs>
        <w:spacing w:before="120" w:after="120" w:line="240" w:lineRule="auto"/>
        <w:ind w:left="426" w:hanging="142"/>
        <w:jc w:val="both"/>
        <w:rPr>
          <w:rFonts w:ascii="Times New Roman" w:eastAsia="Times New Roman" w:hAnsi="Times New Roman" w:cs="Times New Roman"/>
          <w:bCs/>
        </w:rPr>
      </w:pPr>
      <w:r w:rsidRPr="00E84448">
        <w:rPr>
          <w:rFonts w:ascii="Times New Roman" w:eastAsia="Times New Roman" w:hAnsi="Times New Roman" w:cs="Times New Roman"/>
          <w:b/>
          <w:bCs/>
          <w:lang w:val="en-US"/>
        </w:rPr>
        <w:t xml:space="preserve">Competences: </w:t>
      </w:r>
    </w:p>
    <w:p w:rsidR="003E6BAE" w:rsidRPr="00E84448" w:rsidRDefault="003E6BAE" w:rsidP="003E6BAE">
      <w:pPr>
        <w:widowControl w:val="0"/>
        <w:spacing w:before="120" w:after="120" w:line="240" w:lineRule="auto"/>
        <w:ind w:left="426"/>
        <w:jc w:val="both"/>
        <w:rPr>
          <w:rFonts w:ascii="Times New Roman" w:eastAsia="Times New Roman" w:hAnsi="Times New Roman" w:cs="Times New Roman"/>
          <w:lang w:val="en-GB"/>
        </w:rPr>
      </w:pPr>
      <w:r w:rsidRPr="00E84448">
        <w:rPr>
          <w:rFonts w:ascii="Times New Roman" w:eastAsia="Times New Roman" w:hAnsi="Times New Roman" w:cs="Times New Roman"/>
          <w:b/>
          <w:lang w:val="en-GB"/>
        </w:rPr>
        <w:t>Knowledge</w:t>
      </w:r>
      <w:r w:rsidRPr="00E84448">
        <w:rPr>
          <w:rFonts w:ascii="Times New Roman" w:eastAsia="Times New Roman" w:hAnsi="Times New Roman" w:cs="Times New Roman"/>
          <w:lang w:val="en-GB"/>
        </w:rPr>
        <w:t xml:space="preserve">: </w:t>
      </w:r>
    </w:p>
    <w:p w:rsidR="003E6BAE" w:rsidRPr="00E84448" w:rsidRDefault="003E6BAE" w:rsidP="003E6BAE">
      <w:pPr>
        <w:widowControl w:val="0"/>
        <w:spacing w:before="120" w:after="120" w:line="240" w:lineRule="auto"/>
        <w:ind w:left="426"/>
        <w:jc w:val="both"/>
        <w:rPr>
          <w:rFonts w:ascii="Times New Roman" w:eastAsia="Calibri" w:hAnsi="Times New Roman" w:cs="Times New Roman"/>
        </w:rPr>
      </w:pPr>
      <w:r w:rsidRPr="00E84448">
        <w:rPr>
          <w:rFonts w:ascii="Times New Roman" w:eastAsia="Times New Roman" w:hAnsi="Times New Roman" w:cs="Times New Roman"/>
          <w:bCs/>
        </w:rPr>
        <w:t>-</w:t>
      </w:r>
      <w:r w:rsidRPr="00E84448">
        <w:rPr>
          <w:rFonts w:ascii="Times New Roman" w:eastAsia="Times New Roman" w:hAnsi="Times New Roman" w:cs="Times New Roman"/>
          <w:bCs/>
        </w:rPr>
        <w:tab/>
        <w:t>Knows the laws of mathematics and mechanics, has basic technical knowledge.</w:t>
      </w:r>
    </w:p>
    <w:p w:rsidR="003E6BAE" w:rsidRPr="00E84448" w:rsidRDefault="003E6BAE" w:rsidP="003E6BAE">
      <w:pPr>
        <w:widowControl w:val="0"/>
        <w:spacing w:before="120" w:after="120" w:line="240" w:lineRule="auto"/>
        <w:ind w:left="426"/>
        <w:jc w:val="both"/>
        <w:rPr>
          <w:rFonts w:ascii="Times New Roman" w:eastAsia="Times New Roman" w:hAnsi="Times New Roman" w:cs="Times New Roman"/>
          <w:lang w:val="en-GB"/>
        </w:rPr>
      </w:pPr>
      <w:r w:rsidRPr="00E84448">
        <w:rPr>
          <w:rFonts w:ascii="Times New Roman" w:eastAsia="Times New Roman" w:hAnsi="Times New Roman" w:cs="Times New Roman"/>
          <w:b/>
          <w:lang w:val="en-GB"/>
        </w:rPr>
        <w:t>Capabilities</w:t>
      </w:r>
      <w:r w:rsidRPr="00E84448">
        <w:rPr>
          <w:rFonts w:ascii="Times New Roman" w:eastAsia="Times New Roman" w:hAnsi="Times New Roman" w:cs="Times New Roman"/>
          <w:lang w:val="en-GB"/>
        </w:rPr>
        <w:t xml:space="preserve">: </w:t>
      </w:r>
    </w:p>
    <w:p w:rsidR="003E6BAE" w:rsidRPr="00E84448" w:rsidRDefault="003E6BAE" w:rsidP="003E6BAE">
      <w:pPr>
        <w:widowControl w:val="0"/>
        <w:spacing w:before="120" w:after="120" w:line="240" w:lineRule="auto"/>
        <w:ind w:left="426"/>
        <w:jc w:val="both"/>
        <w:rPr>
          <w:rFonts w:ascii="Times New Roman" w:eastAsia="Calibri" w:hAnsi="Times New Roman" w:cs="Times New Roman"/>
        </w:rPr>
      </w:pPr>
      <w:r w:rsidRPr="00E84448">
        <w:rPr>
          <w:rFonts w:ascii="Times New Roman" w:eastAsia="Times New Roman" w:hAnsi="Times New Roman" w:cs="Times New Roman"/>
          <w:bCs/>
        </w:rPr>
        <w:t>-</w:t>
      </w:r>
      <w:r w:rsidRPr="00E84448">
        <w:rPr>
          <w:rFonts w:ascii="Times New Roman" w:eastAsia="Times New Roman" w:hAnsi="Times New Roman" w:cs="Times New Roman"/>
          <w:bCs/>
        </w:rPr>
        <w:tab/>
        <w:t>Able to formulate innovative ideas in their field.</w:t>
      </w:r>
    </w:p>
    <w:p w:rsidR="003E6BAE" w:rsidRPr="00E84448" w:rsidRDefault="003E6BAE" w:rsidP="003E6B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lang w:val="en-GB"/>
        </w:rPr>
      </w:pPr>
      <w:r w:rsidRPr="00E84448">
        <w:rPr>
          <w:rFonts w:ascii="Times New Roman" w:eastAsia="Times New Roman" w:hAnsi="Times New Roman" w:cs="Times New Roman"/>
          <w:b/>
          <w:lang w:val="en-GB"/>
        </w:rPr>
        <w:t>Attitude:</w:t>
      </w:r>
      <w:r w:rsidRPr="00E84448">
        <w:rPr>
          <w:rFonts w:ascii="Times New Roman" w:eastAsia="Times New Roman" w:hAnsi="Times New Roman" w:cs="Times New Roman"/>
          <w:lang w:val="en-GB"/>
        </w:rPr>
        <w:t xml:space="preserve"> </w:t>
      </w:r>
    </w:p>
    <w:p w:rsidR="003E6BAE" w:rsidRPr="00E84448" w:rsidRDefault="003E6BAE" w:rsidP="003E6BAE">
      <w:pPr>
        <w:widowControl w:val="0"/>
        <w:spacing w:before="120" w:after="120" w:line="240" w:lineRule="auto"/>
        <w:ind w:left="426"/>
        <w:jc w:val="both"/>
        <w:rPr>
          <w:rFonts w:ascii="Times New Roman" w:eastAsia="Calibri" w:hAnsi="Times New Roman" w:cs="Times New Roman"/>
        </w:rPr>
      </w:pPr>
      <w:r w:rsidRPr="00E84448">
        <w:rPr>
          <w:rFonts w:ascii="Times New Roman" w:eastAsia="Times New Roman" w:hAnsi="Times New Roman" w:cs="Times New Roman"/>
          <w:bCs/>
        </w:rPr>
        <w:t>-</w:t>
      </w:r>
      <w:r w:rsidRPr="00E84448">
        <w:rPr>
          <w:rFonts w:ascii="Times New Roman" w:eastAsia="Times New Roman" w:hAnsi="Times New Roman" w:cs="Times New Roman"/>
          <w:bCs/>
        </w:rPr>
        <w:tab/>
        <w:t>Open for the new achievements and innovations of their specialty, seeks to know, understand and apply them, and committed to continuous self-education.</w:t>
      </w:r>
    </w:p>
    <w:p w:rsidR="003E6BAE" w:rsidRPr="00E84448" w:rsidRDefault="003E6BAE" w:rsidP="003E6BAE">
      <w:pPr>
        <w:widowControl w:val="0"/>
        <w:spacing w:before="120" w:after="120" w:line="240" w:lineRule="auto"/>
        <w:ind w:left="426"/>
        <w:jc w:val="both"/>
        <w:rPr>
          <w:rFonts w:ascii="Times New Roman" w:eastAsia="Times New Roman" w:hAnsi="Times New Roman" w:cs="Times New Roman"/>
          <w:lang w:val="en-GB"/>
        </w:rPr>
      </w:pPr>
      <w:r w:rsidRPr="00E84448">
        <w:rPr>
          <w:rFonts w:ascii="Times New Roman" w:eastAsia="Times New Roman" w:hAnsi="Times New Roman" w:cs="Times New Roman"/>
          <w:b/>
          <w:lang w:val="en-GB"/>
        </w:rPr>
        <w:t xml:space="preserve">Autonomy and responsibility: </w:t>
      </w:r>
    </w:p>
    <w:p w:rsidR="003E6BAE" w:rsidRPr="00E84448" w:rsidRDefault="003E6BAE" w:rsidP="003E6BAE">
      <w:pPr>
        <w:widowControl w:val="0"/>
        <w:spacing w:before="120" w:after="120" w:line="240" w:lineRule="auto"/>
        <w:ind w:left="426"/>
        <w:jc w:val="both"/>
        <w:rPr>
          <w:rFonts w:ascii="Times New Roman" w:eastAsia="Calibri" w:hAnsi="Times New Roman" w:cs="Times New Roman"/>
        </w:rPr>
      </w:pPr>
      <w:r w:rsidRPr="00E84448">
        <w:rPr>
          <w:rFonts w:ascii="Times New Roman" w:eastAsia="Times New Roman" w:hAnsi="Times New Roman" w:cs="Times New Roman"/>
          <w:bCs/>
        </w:rPr>
        <w:t>-</w:t>
      </w:r>
      <w:r w:rsidRPr="00E84448">
        <w:rPr>
          <w:rFonts w:ascii="Times New Roman" w:eastAsia="Times New Roman" w:hAnsi="Times New Roman" w:cs="Times New Roman"/>
          <w:bCs/>
        </w:rPr>
        <w:tab/>
        <w:t>At the subunit and unit level, it is able to make independent decisions in military logistics and military management processes, making them responsible and within the legal framework.</w:t>
      </w:r>
    </w:p>
    <w:p w:rsidR="003E6BAE" w:rsidRPr="00E84448" w:rsidRDefault="003E6BAE" w:rsidP="00980876">
      <w:pPr>
        <w:widowControl w:val="0"/>
        <w:numPr>
          <w:ilvl w:val="0"/>
          <w:numId w:val="550"/>
        </w:numPr>
        <w:tabs>
          <w:tab w:val="clear" w:pos="720"/>
          <w:tab w:val="num" w:pos="502"/>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Prer</w:t>
      </w:r>
      <w:r w:rsidRPr="00E84448">
        <w:rPr>
          <w:rFonts w:ascii="Times New Roman" w:eastAsia="Times New Roman" w:hAnsi="Times New Roman" w:cs="Times New Roman"/>
          <w:b/>
          <w:bCs/>
        </w:rPr>
        <w:t>equi</w:t>
      </w:r>
      <w:r>
        <w:rPr>
          <w:rFonts w:ascii="Times New Roman" w:eastAsia="Times New Roman" w:hAnsi="Times New Roman" w:cs="Times New Roman"/>
          <w:b/>
          <w:bCs/>
        </w:rPr>
        <w:t>sites</w:t>
      </w:r>
      <w:r w:rsidRPr="00E84448">
        <w:rPr>
          <w:rFonts w:ascii="Times New Roman" w:eastAsia="Times New Roman" w:hAnsi="Times New Roman" w:cs="Times New Roman"/>
          <w:b/>
          <w:bCs/>
        </w:rPr>
        <w:t xml:space="preserve">: </w:t>
      </w:r>
      <w:r>
        <w:rPr>
          <w:rFonts w:ascii="Times New Roman" w:hAnsi="Times New Roman" w:cs="Times New Roman"/>
        </w:rPr>
        <w:t>none</w:t>
      </w:r>
    </w:p>
    <w:p w:rsidR="003E6BAE" w:rsidRPr="00E84448" w:rsidRDefault="003E6BAE" w:rsidP="00980876">
      <w:pPr>
        <w:widowControl w:val="0"/>
        <w:numPr>
          <w:ilvl w:val="0"/>
          <w:numId w:val="550"/>
        </w:numPr>
        <w:tabs>
          <w:tab w:val="clear" w:pos="720"/>
          <w:tab w:val="num" w:pos="502"/>
        </w:tabs>
        <w:spacing w:before="120" w:after="120" w:line="240" w:lineRule="auto"/>
        <w:ind w:left="426" w:hanging="142"/>
        <w:jc w:val="both"/>
        <w:rPr>
          <w:rFonts w:ascii="Times New Roman" w:eastAsia="Times New Roman" w:hAnsi="Times New Roman" w:cs="Times New Roman"/>
          <w:b/>
          <w:bCs/>
        </w:rPr>
      </w:pPr>
      <w:r w:rsidRPr="00E84448">
        <w:rPr>
          <w:rFonts w:ascii="Times New Roman" w:eastAsia="Times New Roman" w:hAnsi="Times New Roman" w:cs="Times New Roman"/>
          <w:b/>
          <w:bCs/>
        </w:rPr>
        <w:t>Description of the subject, curriculum:</w:t>
      </w:r>
    </w:p>
    <w:p w:rsidR="003E6BAE" w:rsidRPr="00E9735E" w:rsidRDefault="003E6BAE" w:rsidP="00980876">
      <w:pPr>
        <w:widowControl w:val="0"/>
        <w:numPr>
          <w:ilvl w:val="1"/>
          <w:numId w:val="550"/>
        </w:numPr>
        <w:tabs>
          <w:tab w:val="left" w:pos="709"/>
          <w:tab w:val="left" w:pos="993"/>
        </w:tabs>
        <w:spacing w:before="120" w:after="120" w:line="240" w:lineRule="auto"/>
        <w:ind w:left="426" w:firstLine="0"/>
        <w:jc w:val="both"/>
        <w:rPr>
          <w:rFonts w:ascii="Times New Roman" w:eastAsia="Times New Roman" w:hAnsi="Times New Roman" w:cs="Times New Roman"/>
          <w:b/>
        </w:rPr>
      </w:pPr>
      <w:r w:rsidRPr="00E9735E">
        <w:rPr>
          <w:rFonts w:ascii="Times New Roman" w:eastAsia="Times New Roman" w:hAnsi="Times New Roman" w:cs="Times New Roman"/>
          <w:bCs/>
          <w:lang w:val="en-GB"/>
        </w:rPr>
        <w:t>Linear space, base trans</w:t>
      </w:r>
      <w:r>
        <w:rPr>
          <w:rFonts w:ascii="Times New Roman" w:eastAsia="Times New Roman" w:hAnsi="Times New Roman" w:cs="Times New Roman"/>
          <w:bCs/>
          <w:lang w:val="en-GB"/>
        </w:rPr>
        <w:t>formation and its applications.</w:t>
      </w:r>
    </w:p>
    <w:p w:rsidR="003E6BAE" w:rsidRPr="00E9735E" w:rsidRDefault="003E6BAE" w:rsidP="00980876">
      <w:pPr>
        <w:widowControl w:val="0"/>
        <w:numPr>
          <w:ilvl w:val="1"/>
          <w:numId w:val="550"/>
        </w:numPr>
        <w:tabs>
          <w:tab w:val="left" w:pos="709"/>
          <w:tab w:val="left" w:pos="993"/>
        </w:tabs>
        <w:spacing w:before="120" w:after="120" w:line="240" w:lineRule="auto"/>
        <w:ind w:left="426" w:firstLine="0"/>
        <w:jc w:val="both"/>
        <w:rPr>
          <w:rFonts w:ascii="Times New Roman" w:eastAsia="Times New Roman" w:hAnsi="Times New Roman" w:cs="Times New Roman"/>
          <w:b/>
        </w:rPr>
      </w:pPr>
      <w:r w:rsidRPr="00E9735E">
        <w:rPr>
          <w:rFonts w:ascii="Times New Roman" w:eastAsia="Times New Roman" w:hAnsi="Times New Roman" w:cs="Times New Roman"/>
          <w:bCs/>
          <w:lang w:val="en-GB"/>
        </w:rPr>
        <w:t>Calculating the inverse of a mat</w:t>
      </w:r>
      <w:r>
        <w:rPr>
          <w:rFonts w:ascii="Times New Roman" w:eastAsia="Times New Roman" w:hAnsi="Times New Roman" w:cs="Times New Roman"/>
          <w:bCs/>
          <w:lang w:val="en-GB"/>
        </w:rPr>
        <w:t>rix using base transformations.</w:t>
      </w:r>
    </w:p>
    <w:p w:rsidR="003E6BAE" w:rsidRPr="00EE7AC2" w:rsidRDefault="003E6BAE" w:rsidP="00980876">
      <w:pPr>
        <w:widowControl w:val="0"/>
        <w:numPr>
          <w:ilvl w:val="1"/>
          <w:numId w:val="550"/>
        </w:numPr>
        <w:tabs>
          <w:tab w:val="left" w:pos="709"/>
          <w:tab w:val="left" w:pos="993"/>
        </w:tabs>
        <w:spacing w:before="120" w:after="120" w:line="240" w:lineRule="auto"/>
        <w:ind w:left="426" w:firstLine="0"/>
        <w:jc w:val="both"/>
        <w:rPr>
          <w:rFonts w:ascii="Times New Roman" w:eastAsia="Times New Roman" w:hAnsi="Times New Roman" w:cs="Times New Roman"/>
          <w:b/>
        </w:rPr>
      </w:pPr>
      <w:r>
        <w:rPr>
          <w:rFonts w:ascii="Times New Roman" w:eastAsia="Times New Roman" w:hAnsi="Times New Roman" w:cs="Times New Roman"/>
          <w:bCs/>
          <w:lang w:val="en-GB"/>
        </w:rPr>
        <w:t>Diagonalization.</w:t>
      </w:r>
    </w:p>
    <w:p w:rsidR="003E6BAE" w:rsidRPr="00E9735E" w:rsidRDefault="003E6BAE" w:rsidP="00980876">
      <w:pPr>
        <w:widowControl w:val="0"/>
        <w:numPr>
          <w:ilvl w:val="1"/>
          <w:numId w:val="550"/>
        </w:numPr>
        <w:tabs>
          <w:tab w:val="left" w:pos="709"/>
          <w:tab w:val="left" w:pos="993"/>
        </w:tabs>
        <w:spacing w:before="120" w:after="120" w:line="240" w:lineRule="auto"/>
        <w:ind w:left="426" w:firstLine="0"/>
        <w:jc w:val="both"/>
        <w:rPr>
          <w:rFonts w:ascii="Times New Roman" w:eastAsia="Times New Roman" w:hAnsi="Times New Roman" w:cs="Times New Roman"/>
          <w:b/>
        </w:rPr>
      </w:pPr>
      <w:r>
        <w:rPr>
          <w:rFonts w:ascii="Times New Roman" w:eastAsia="Times New Roman" w:hAnsi="Times New Roman" w:cs="Times New Roman"/>
          <w:bCs/>
          <w:lang w:val="en-GB"/>
        </w:rPr>
        <w:t>Basics of graph theory.</w:t>
      </w:r>
    </w:p>
    <w:p w:rsidR="003E6BAE" w:rsidRPr="00E84448" w:rsidRDefault="003E6BAE" w:rsidP="00980876">
      <w:pPr>
        <w:widowControl w:val="0"/>
        <w:numPr>
          <w:ilvl w:val="0"/>
          <w:numId w:val="550"/>
        </w:numPr>
        <w:tabs>
          <w:tab w:val="clear" w:pos="720"/>
          <w:tab w:val="num" w:pos="360"/>
          <w:tab w:val="num" w:pos="502"/>
        </w:tabs>
        <w:spacing w:before="120" w:after="120" w:line="240" w:lineRule="auto"/>
        <w:ind w:left="426" w:hanging="142"/>
        <w:jc w:val="both"/>
        <w:rPr>
          <w:rFonts w:ascii="Times New Roman" w:eastAsia="Times New Roman" w:hAnsi="Times New Roman" w:cs="Times New Roman"/>
          <w:bCs/>
        </w:rPr>
      </w:pPr>
      <w:r w:rsidRPr="00E84448">
        <w:rPr>
          <w:rFonts w:ascii="Liberation Serif" w:hAnsi="Liberation Serif" w:cs="Liberation Serif"/>
          <w:b/>
          <w:bCs/>
          <w:lang w:val="en-US"/>
        </w:rPr>
        <w:t>The frequency of offering the subject/its position in the curriculum of the term</w:t>
      </w:r>
      <w:r w:rsidRPr="00E84448">
        <w:rPr>
          <w:rFonts w:ascii="Times New Roman" w:eastAsia="Times New Roman" w:hAnsi="Times New Roman" w:cs="Times New Roman"/>
          <w:b/>
          <w:bCs/>
        </w:rPr>
        <w:t xml:space="preserve">: </w:t>
      </w:r>
      <w:r w:rsidRPr="00E84448">
        <w:rPr>
          <w:rFonts w:ascii="Times New Roman" w:eastAsia="Times New Roman" w:hAnsi="Times New Roman" w:cs="Times New Roman"/>
          <w:b/>
          <w:bCs/>
        </w:rPr>
        <w:br/>
      </w:r>
      <w:r w:rsidRPr="00E84448">
        <w:rPr>
          <w:rFonts w:ascii="Times New Roman" w:hAnsi="Times New Roman" w:cs="Times New Roman"/>
        </w:rPr>
        <w:t>yearly / 4th term</w:t>
      </w:r>
    </w:p>
    <w:p w:rsidR="003E6BAE" w:rsidRPr="00E84448" w:rsidRDefault="003E6BAE" w:rsidP="00980876">
      <w:pPr>
        <w:widowControl w:val="0"/>
        <w:numPr>
          <w:ilvl w:val="0"/>
          <w:numId w:val="550"/>
        </w:numPr>
        <w:tabs>
          <w:tab w:val="clear" w:pos="720"/>
          <w:tab w:val="num" w:pos="502"/>
        </w:tabs>
        <w:spacing w:before="120" w:after="120" w:line="240" w:lineRule="auto"/>
        <w:ind w:left="426" w:hanging="142"/>
        <w:jc w:val="both"/>
        <w:rPr>
          <w:rFonts w:ascii="Times New Roman" w:eastAsia="Times New Roman" w:hAnsi="Times New Roman" w:cs="Times New Roman"/>
          <w:bCs/>
        </w:rPr>
      </w:pPr>
      <w:r w:rsidRPr="00E84448">
        <w:rPr>
          <w:rFonts w:ascii="Liberation Serif" w:hAnsi="Liberation Serif" w:cs="Liberation Serif"/>
          <w:b/>
          <w:bCs/>
          <w:lang w:val="en-US"/>
        </w:rPr>
        <w:lastRenderedPageBreak/>
        <w:t>Requirements of attendance, acceptable absence, opportunity for making up missed classes</w:t>
      </w:r>
      <w:r w:rsidRPr="00E84448">
        <w:rPr>
          <w:rFonts w:ascii="Times New Roman" w:eastAsia="Times New Roman" w:hAnsi="Times New Roman" w:cs="Times New Roman"/>
          <w:b/>
          <w:bCs/>
        </w:rPr>
        <w:t>:</w:t>
      </w:r>
      <w:r w:rsidRPr="00E84448">
        <w:rPr>
          <w:rFonts w:ascii="Times New Roman" w:eastAsia="Times New Roman" w:hAnsi="Times New Roman" w:cs="Times New Roman"/>
          <w:bCs/>
        </w:rPr>
        <w:t xml:space="preserve"> </w:t>
      </w:r>
      <w:r w:rsidRPr="00E84448">
        <w:rPr>
          <w:rFonts w:ascii="Liberation Serif" w:hAnsi="Liberation Serif" w:cs="Liberation Serif"/>
          <w:lang w:val="en-US"/>
        </w:rPr>
        <w:t xml:space="preserve">Students must be present at least 70% of the </w:t>
      </w:r>
      <w:r>
        <w:rPr>
          <w:rFonts w:ascii="Liberation Serif" w:hAnsi="Liberation Serif" w:cs="Liberation Serif"/>
          <w:lang w:val="en-US"/>
        </w:rPr>
        <w:t>classes</w:t>
      </w:r>
      <w:r w:rsidRPr="00E84448">
        <w:rPr>
          <w:rFonts w:ascii="Liberation Serif" w:hAnsi="Liberation Serif" w:cs="Liberation Serif"/>
          <w:lang w:val="en-US"/>
        </w:rPr>
        <w:t xml:space="preserve"> for acceptance of the subject.</w:t>
      </w:r>
      <w:r w:rsidRPr="00932FAB">
        <w:rPr>
          <w:rFonts w:ascii="Times New Roman" w:eastAsia="Times New Roman" w:hAnsi="Times New Roman" w:cs="Times New Roman"/>
          <w:bCs/>
        </w:rPr>
        <w:t xml:space="preserve"> </w:t>
      </w:r>
      <w:r>
        <w:rPr>
          <w:rFonts w:ascii="Times New Roman" w:eastAsia="Times New Roman" w:hAnsi="Times New Roman" w:cs="Times New Roman"/>
          <w:bCs/>
        </w:rPr>
        <w:t>If absence exceeds this limit the signature will be denied</w:t>
      </w:r>
      <w:r w:rsidRPr="005411A4">
        <w:rPr>
          <w:rFonts w:ascii="Times New Roman" w:eastAsia="Times New Roman" w:hAnsi="Times New Roman" w:cs="Times New Roman"/>
          <w:bCs/>
        </w:rPr>
        <w:t>.</w:t>
      </w:r>
      <w:r>
        <w:rPr>
          <w:rFonts w:ascii="Times New Roman" w:eastAsia="Times New Roman" w:hAnsi="Times New Roman" w:cs="Times New Roman"/>
          <w:bCs/>
        </w:rPr>
        <w:t xml:space="preserve"> </w:t>
      </w:r>
      <w:r w:rsidRPr="00E84448">
        <w:rPr>
          <w:rFonts w:ascii="Liberation Serif" w:hAnsi="Liberation Serif" w:cs="Liberation Serif"/>
          <w:lang w:val="en-US"/>
        </w:rPr>
        <w:t xml:space="preserve">Absence must be justified during the first </w:t>
      </w:r>
      <w:r>
        <w:rPr>
          <w:rFonts w:ascii="Liberation Serif" w:hAnsi="Liberation Serif" w:cs="Liberation Serif"/>
          <w:lang w:val="en-US"/>
        </w:rPr>
        <w:t>class</w:t>
      </w:r>
      <w:r w:rsidRPr="00E84448">
        <w:rPr>
          <w:rFonts w:ascii="Liberation Serif" w:hAnsi="Liberation Serif" w:cs="Liberation Serif"/>
          <w:lang w:val="en-US"/>
        </w:rPr>
        <w:t xml:space="preserve"> after the absence. The student is required to obtain the material of the lecture and to prepare for it independently.</w:t>
      </w:r>
    </w:p>
    <w:p w:rsidR="003E6BAE" w:rsidRPr="00E84448" w:rsidRDefault="003E6BAE" w:rsidP="00980876">
      <w:pPr>
        <w:widowControl w:val="0"/>
        <w:numPr>
          <w:ilvl w:val="0"/>
          <w:numId w:val="550"/>
        </w:numPr>
        <w:tabs>
          <w:tab w:val="clear" w:pos="720"/>
          <w:tab w:val="num" w:pos="502"/>
        </w:tabs>
        <w:spacing w:before="120" w:after="120" w:line="240" w:lineRule="auto"/>
        <w:ind w:left="426" w:hanging="142"/>
        <w:jc w:val="both"/>
        <w:rPr>
          <w:rFonts w:ascii="Times New Roman" w:eastAsia="Times New Roman" w:hAnsi="Times New Roman" w:cs="Times New Roman"/>
          <w:bCs/>
        </w:rPr>
      </w:pPr>
      <w:r w:rsidRPr="00E84448">
        <w:rPr>
          <w:rFonts w:ascii="Liberation Serif" w:hAnsi="Liberation Serif" w:cs="Liberation Serif"/>
          <w:b/>
          <w:bCs/>
          <w:lang w:val="en-US"/>
        </w:rPr>
        <w:t>Term assignments, testing knowledge</w:t>
      </w:r>
      <w:r w:rsidRPr="00E84448">
        <w:rPr>
          <w:rFonts w:ascii="Times New Roman" w:eastAsia="Times New Roman" w:hAnsi="Times New Roman" w:cs="Times New Roman"/>
          <w:b/>
        </w:rPr>
        <w:t>:</w:t>
      </w:r>
      <w:r w:rsidRPr="00E84448">
        <w:rPr>
          <w:rFonts w:ascii="Times New Roman" w:eastAsia="Times New Roman" w:hAnsi="Times New Roman" w:cs="Times New Roman"/>
          <w:bCs/>
        </w:rPr>
        <w:t xml:space="preserve"> </w:t>
      </w:r>
    </w:p>
    <w:p w:rsidR="003E6BAE" w:rsidRPr="00E84448" w:rsidRDefault="003E6BAE" w:rsidP="003E6BAE">
      <w:pPr>
        <w:widowControl w:val="0"/>
        <w:spacing w:before="120" w:after="120" w:line="240" w:lineRule="auto"/>
        <w:ind w:left="426"/>
        <w:jc w:val="both"/>
        <w:rPr>
          <w:rFonts w:ascii="Times New Roman" w:eastAsia="Times New Roman" w:hAnsi="Times New Roman" w:cs="Times New Roman"/>
        </w:rPr>
      </w:pPr>
      <w:r w:rsidRPr="00E84448">
        <w:rPr>
          <w:rFonts w:ascii="Times New Roman" w:eastAsia="Times New Roman" w:hAnsi="Times New Roman" w:cs="Times New Roman"/>
          <w:bCs/>
        </w:rPr>
        <w:t>One classroom test during the term-time.</w:t>
      </w:r>
    </w:p>
    <w:p w:rsidR="003E6BAE" w:rsidRPr="00E84448" w:rsidRDefault="003E6BAE" w:rsidP="003E6BAE">
      <w:pPr>
        <w:widowControl w:val="0"/>
        <w:spacing w:before="120" w:after="120" w:line="240" w:lineRule="auto"/>
        <w:ind w:left="426"/>
        <w:jc w:val="both"/>
        <w:rPr>
          <w:rFonts w:ascii="Times New Roman" w:eastAsia="Times New Roman" w:hAnsi="Times New Roman" w:cs="Times New Roman"/>
        </w:rPr>
      </w:pPr>
      <w:r w:rsidRPr="00E84448">
        <w:rPr>
          <w:rFonts w:ascii="Times New Roman" w:eastAsia="Times New Roman" w:hAnsi="Times New Roman" w:cs="Times New Roman"/>
          <w:bCs/>
        </w:rPr>
        <w:t xml:space="preserve">Re-taking the classroom test is allowed once in </w:t>
      </w:r>
      <w:r>
        <w:rPr>
          <w:rFonts w:ascii="Times New Roman" w:eastAsia="Times New Roman" w:hAnsi="Times New Roman" w:cs="Times New Roman"/>
          <w:bCs/>
        </w:rPr>
        <w:t>a</w:t>
      </w:r>
      <w:r w:rsidRPr="00E84448">
        <w:rPr>
          <w:rFonts w:ascii="Times New Roman" w:eastAsia="Times New Roman" w:hAnsi="Times New Roman" w:cs="Times New Roman"/>
          <w:bCs/>
        </w:rPr>
        <w:t xml:space="preserve"> term.</w:t>
      </w:r>
    </w:p>
    <w:p w:rsidR="003E6BAE" w:rsidRPr="00E84448" w:rsidRDefault="003E6BAE" w:rsidP="003E6BAE">
      <w:pPr>
        <w:widowControl w:val="0"/>
        <w:spacing w:before="120" w:after="120" w:line="240" w:lineRule="auto"/>
        <w:ind w:left="426"/>
        <w:jc w:val="both"/>
        <w:rPr>
          <w:rFonts w:ascii="Times New Roman" w:eastAsia="Times New Roman" w:hAnsi="Times New Roman" w:cs="Times New Roman"/>
        </w:rPr>
      </w:pPr>
      <w:r w:rsidRPr="00E84448">
        <w:rPr>
          <w:rFonts w:ascii="Times New Roman" w:eastAsia="Times New Roman" w:hAnsi="Times New Roman" w:cs="Times New Roman"/>
        </w:rPr>
        <w:t>To obtain the grade, more than 50% of the points of the classroom test or the re-taken classroom test is needed. For the pass grade (2) 51-60% of the classroom test is needed, for the satisfactory grade (3) 61-75%, for the good grade (4) 76-90%, for the excellent grade (5) 91-100%.</w:t>
      </w:r>
    </w:p>
    <w:p w:rsidR="003E6BAE" w:rsidRPr="00E84448" w:rsidRDefault="003E6BAE" w:rsidP="00980876">
      <w:pPr>
        <w:widowControl w:val="0"/>
        <w:numPr>
          <w:ilvl w:val="0"/>
          <w:numId w:val="550"/>
        </w:numPr>
        <w:tabs>
          <w:tab w:val="clear" w:pos="720"/>
          <w:tab w:val="num" w:pos="502"/>
        </w:tabs>
        <w:spacing w:before="120" w:after="120" w:line="240" w:lineRule="auto"/>
        <w:ind w:left="426" w:hanging="142"/>
        <w:jc w:val="both"/>
        <w:rPr>
          <w:rFonts w:ascii="Times New Roman" w:eastAsia="Times New Roman" w:hAnsi="Times New Roman" w:cs="Times New Roman"/>
          <w:b/>
          <w:bCs/>
        </w:rPr>
      </w:pPr>
      <w:r w:rsidRPr="00E84448">
        <w:rPr>
          <w:rFonts w:ascii="Liberation Serif" w:hAnsi="Liberation Serif" w:cs="Liberation Serif"/>
          <w:b/>
          <w:bCs/>
          <w:lang w:val="en-US"/>
        </w:rPr>
        <w:t xml:space="preserve">The exact conditions of obtaining signature </w:t>
      </w:r>
      <w:r>
        <w:rPr>
          <w:rFonts w:ascii="Liberation Serif" w:hAnsi="Liberation Serif" w:cs="Liberation Serif"/>
          <w:b/>
          <w:bCs/>
          <w:lang w:val="en-US"/>
        </w:rPr>
        <w:t>and</w:t>
      </w:r>
      <w:r w:rsidRPr="00E84448">
        <w:rPr>
          <w:rFonts w:ascii="Liberation Serif" w:hAnsi="Liberation Serif" w:cs="Liberation Serif"/>
          <w:b/>
          <w:bCs/>
          <w:lang w:val="en-US"/>
        </w:rPr>
        <w:t xml:space="preserve"> credits</w:t>
      </w:r>
      <w:r w:rsidRPr="00E84448">
        <w:rPr>
          <w:rFonts w:ascii="Times New Roman" w:eastAsia="Times New Roman" w:hAnsi="Times New Roman" w:cs="Times New Roman"/>
          <w:b/>
          <w:bCs/>
        </w:rPr>
        <w:t xml:space="preserve">: </w:t>
      </w:r>
    </w:p>
    <w:p w:rsidR="003E6BAE" w:rsidRPr="00E84448" w:rsidRDefault="003E6BAE" w:rsidP="00980876">
      <w:pPr>
        <w:widowControl w:val="0"/>
        <w:numPr>
          <w:ilvl w:val="1"/>
          <w:numId w:val="550"/>
        </w:numPr>
        <w:tabs>
          <w:tab w:val="left" w:pos="709"/>
          <w:tab w:val="left" w:pos="993"/>
        </w:tabs>
        <w:spacing w:before="120" w:after="120" w:line="240" w:lineRule="auto"/>
        <w:ind w:left="425" w:firstLine="0"/>
        <w:jc w:val="both"/>
        <w:rPr>
          <w:rFonts w:ascii="Times New Roman" w:eastAsia="Times New Roman" w:hAnsi="Times New Roman" w:cs="Times New Roman"/>
        </w:rPr>
      </w:pPr>
      <w:r>
        <w:rPr>
          <w:rFonts w:ascii="Times New Roman" w:eastAsia="Times New Roman" w:hAnsi="Times New Roman" w:cs="Times New Roman"/>
          <w:b/>
        </w:rPr>
        <w:t>Conditions of obtaining the signature</w:t>
      </w:r>
      <w:r w:rsidRPr="00E84448">
        <w:rPr>
          <w:rFonts w:ascii="Times New Roman" w:eastAsia="Times New Roman" w:hAnsi="Times New Roman" w:cs="Times New Roman"/>
          <w:b/>
        </w:rPr>
        <w:t>:</w:t>
      </w:r>
      <w:r w:rsidRPr="00E84448">
        <w:rPr>
          <w:rFonts w:ascii="Times New Roman" w:eastAsia="Times New Roman" w:hAnsi="Times New Roman" w:cs="Times New Roman"/>
        </w:rPr>
        <w:t xml:space="preserve"> </w:t>
      </w:r>
      <w:r>
        <w:rPr>
          <w:rFonts w:ascii="Times New Roman" w:eastAsia="Times New Roman" w:hAnsi="Times New Roman" w:cs="Times New Roman"/>
        </w:rPr>
        <w:t xml:space="preserve">The prerequisite to obtain the signature is to attend the classes specified in </w:t>
      </w:r>
      <w:r w:rsidRPr="00E84448">
        <w:rPr>
          <w:rFonts w:ascii="Times New Roman" w:eastAsia="Times New Roman" w:hAnsi="Times New Roman" w:cs="Times New Roman"/>
        </w:rPr>
        <w:t xml:space="preserve">14. </w:t>
      </w:r>
      <w:r>
        <w:rPr>
          <w:rFonts w:ascii="Times New Roman" w:eastAsia="Times New Roman" w:hAnsi="Times New Roman" w:cs="Times New Roman"/>
        </w:rPr>
        <w:t>and to complete the term-time assignments specified in 15 with at lest a pass grade</w:t>
      </w:r>
      <w:r w:rsidRPr="00E84448">
        <w:rPr>
          <w:rFonts w:ascii="Times New Roman" w:eastAsia="Times New Roman" w:hAnsi="Times New Roman" w:cs="Times New Roman"/>
        </w:rPr>
        <w:t>.</w:t>
      </w:r>
    </w:p>
    <w:p w:rsidR="003E6BAE" w:rsidRPr="00E84448" w:rsidRDefault="003E6BAE" w:rsidP="00980876">
      <w:pPr>
        <w:widowControl w:val="0"/>
        <w:numPr>
          <w:ilvl w:val="1"/>
          <w:numId w:val="550"/>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Rating</w:t>
      </w:r>
      <w:r w:rsidRPr="00E84448">
        <w:rPr>
          <w:rFonts w:ascii="Times New Roman" w:eastAsia="Times New Roman" w:hAnsi="Times New Roman" w:cs="Times New Roman"/>
          <w:b/>
        </w:rPr>
        <w:t>:</w:t>
      </w:r>
      <w:r w:rsidRPr="00E84448">
        <w:rPr>
          <w:rFonts w:ascii="Times New Roman" w:eastAsia="Times New Roman" w:hAnsi="Times New Roman" w:cs="Times New Roman"/>
        </w:rPr>
        <w:t xml:space="preserve"> </w:t>
      </w:r>
      <w:r>
        <w:rPr>
          <w:rFonts w:ascii="Times New Roman" w:eastAsia="Times New Roman" w:hAnsi="Times New Roman" w:cs="Times New Roman"/>
        </w:rPr>
        <w:t>term mark</w:t>
      </w:r>
    </w:p>
    <w:p w:rsidR="003E6BAE" w:rsidRPr="00213666" w:rsidRDefault="003E6BAE" w:rsidP="00980876">
      <w:pPr>
        <w:widowControl w:val="0"/>
        <w:numPr>
          <w:ilvl w:val="1"/>
          <w:numId w:val="550"/>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213666">
        <w:rPr>
          <w:rFonts w:ascii="Times New Roman" w:eastAsia="Times New Roman" w:hAnsi="Times New Roman" w:cs="Times New Roman"/>
          <w:b/>
        </w:rPr>
        <w:t>Conditions of obtaining the credits:</w:t>
      </w:r>
      <w:r w:rsidRPr="00213666">
        <w:rPr>
          <w:rFonts w:ascii="Times New Roman" w:eastAsia="Times New Roman" w:hAnsi="Times New Roman" w:cs="Times New Roman"/>
        </w:rPr>
        <w:t xml:space="preserve"> The prerequisite to obtain the credits is to obtain the signature and at least a pass grade.</w:t>
      </w:r>
    </w:p>
    <w:p w:rsidR="003E6BAE" w:rsidRPr="00E84448" w:rsidRDefault="003E6BAE" w:rsidP="00980876">
      <w:pPr>
        <w:widowControl w:val="0"/>
        <w:numPr>
          <w:ilvl w:val="0"/>
          <w:numId w:val="550"/>
        </w:numPr>
        <w:tabs>
          <w:tab w:val="clear" w:pos="720"/>
          <w:tab w:val="num" w:pos="360"/>
          <w:tab w:val="num" w:pos="502"/>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Bibliography</w:t>
      </w:r>
      <w:r w:rsidRPr="00E84448">
        <w:rPr>
          <w:rFonts w:ascii="Times New Roman" w:eastAsia="Times New Roman" w:hAnsi="Times New Roman" w:cs="Times New Roman"/>
          <w:b/>
          <w:bCs/>
        </w:rPr>
        <w:t>:</w:t>
      </w:r>
    </w:p>
    <w:p w:rsidR="003E6BAE" w:rsidRPr="00E84448" w:rsidRDefault="003E6BAE" w:rsidP="00980876">
      <w:pPr>
        <w:widowControl w:val="0"/>
        <w:numPr>
          <w:ilvl w:val="1"/>
          <w:numId w:val="550"/>
        </w:numPr>
        <w:tabs>
          <w:tab w:val="clear" w:pos="3977"/>
          <w:tab w:val="left" w:pos="567"/>
          <w:tab w:val="left" w:pos="851"/>
          <w:tab w:val="num" w:pos="2069"/>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Obligatory literature</w:t>
      </w:r>
      <w:r w:rsidRPr="00E84448">
        <w:rPr>
          <w:rFonts w:ascii="Times New Roman" w:eastAsia="Times New Roman" w:hAnsi="Times New Roman" w:cs="Times New Roman"/>
          <w:b/>
          <w:bCs/>
        </w:rPr>
        <w:t>:</w:t>
      </w:r>
    </w:p>
    <w:p w:rsidR="003E6BAE" w:rsidRPr="000B63E3" w:rsidRDefault="003E6BAE" w:rsidP="00980876">
      <w:pPr>
        <w:pStyle w:val="Listaszerbekezds"/>
        <w:widowControl w:val="0"/>
        <w:numPr>
          <w:ilvl w:val="0"/>
          <w:numId w:val="551"/>
        </w:numPr>
        <w:spacing w:after="0" w:line="240" w:lineRule="auto"/>
        <w:jc w:val="both"/>
        <w:rPr>
          <w:rFonts w:ascii="Times New Roman" w:eastAsia="Times New Roman" w:hAnsi="Times New Roman" w:cs="Times New Roman"/>
        </w:rPr>
      </w:pPr>
      <w:r w:rsidRPr="000B63E3">
        <w:rPr>
          <w:rFonts w:ascii="Times New Roman" w:eastAsia="Times New Roman" w:hAnsi="Times New Roman" w:cs="Times New Roman"/>
        </w:rPr>
        <w:t>Wayne L. Winston: Operations Research Applications and Algorithms, Brooks/Cole Thomson Learning, Belmont, CA, USA, 2003. ISBN: 9780534380588</w:t>
      </w:r>
    </w:p>
    <w:p w:rsidR="003E6BAE" w:rsidRPr="00E84448" w:rsidRDefault="003E6BAE" w:rsidP="00980876">
      <w:pPr>
        <w:widowControl w:val="0"/>
        <w:numPr>
          <w:ilvl w:val="1"/>
          <w:numId w:val="550"/>
        </w:numPr>
        <w:tabs>
          <w:tab w:val="clear" w:pos="3977"/>
          <w:tab w:val="num" w:pos="567"/>
          <w:tab w:val="num" w:pos="2069"/>
        </w:tabs>
        <w:spacing w:before="120" w:after="120" w:line="240" w:lineRule="auto"/>
        <w:ind w:left="993" w:hanging="709"/>
        <w:jc w:val="both"/>
        <w:rPr>
          <w:rFonts w:ascii="Times New Roman" w:eastAsia="Times New Roman" w:hAnsi="Times New Roman" w:cs="Times New Roman"/>
          <w:b/>
          <w:bCs/>
        </w:rPr>
      </w:pPr>
      <w:r>
        <w:rPr>
          <w:rFonts w:ascii="Times New Roman" w:eastAsia="Times New Roman" w:hAnsi="Times New Roman" w:cs="Times New Roman"/>
          <w:b/>
          <w:bCs/>
        </w:rPr>
        <w:t>Recommended literature</w:t>
      </w:r>
      <w:r w:rsidRPr="00E84448">
        <w:rPr>
          <w:rFonts w:ascii="Times New Roman" w:eastAsia="Times New Roman" w:hAnsi="Times New Roman" w:cs="Times New Roman"/>
          <w:b/>
          <w:bCs/>
        </w:rPr>
        <w:t>:</w:t>
      </w:r>
    </w:p>
    <w:p w:rsidR="003E6BAE" w:rsidRPr="0040625E" w:rsidRDefault="003E6BAE" w:rsidP="00980876">
      <w:pPr>
        <w:widowControl w:val="0"/>
        <w:numPr>
          <w:ilvl w:val="0"/>
          <w:numId w:val="552"/>
        </w:numPr>
        <w:spacing w:after="0" w:line="240" w:lineRule="auto"/>
        <w:jc w:val="both"/>
        <w:rPr>
          <w:rFonts w:ascii="Times New Roman" w:eastAsia="Times New Roman" w:hAnsi="Times New Roman" w:cs="Times New Roman"/>
        </w:rPr>
      </w:pPr>
      <w:r w:rsidRPr="0040625E">
        <w:rPr>
          <w:rFonts w:ascii="Times New Roman" w:eastAsia="Times New Roman" w:hAnsi="Times New Roman" w:cs="Times New Roman"/>
        </w:rPr>
        <w:t>Gilbert Strang: Linear Algebra and Its Applications. Wellesley-Cambridge Press,</w:t>
      </w:r>
      <w:r>
        <w:rPr>
          <w:rFonts w:ascii="Times New Roman" w:eastAsia="Times New Roman" w:hAnsi="Times New Roman" w:cs="Times New Roman"/>
        </w:rPr>
        <w:t xml:space="preserve"> </w:t>
      </w:r>
      <w:r w:rsidRPr="0040625E">
        <w:rPr>
          <w:rFonts w:ascii="Times New Roman" w:eastAsia="Times New Roman" w:hAnsi="Times New Roman" w:cs="Times New Roman"/>
        </w:rPr>
        <w:t xml:space="preserve">Wellesley </w:t>
      </w:r>
      <w:r>
        <w:rPr>
          <w:rFonts w:ascii="Times New Roman" w:eastAsia="Times New Roman" w:hAnsi="Times New Roman" w:cs="Times New Roman"/>
        </w:rPr>
        <w:t>MA USA,</w:t>
      </w:r>
      <w:r w:rsidRPr="0040625E">
        <w:rPr>
          <w:rFonts w:ascii="Times New Roman" w:eastAsia="Times New Roman" w:hAnsi="Times New Roman" w:cs="Times New Roman"/>
        </w:rPr>
        <w:t xml:space="preserve"> 20</w:t>
      </w:r>
      <w:r>
        <w:rPr>
          <w:rFonts w:ascii="Times New Roman" w:eastAsia="Times New Roman" w:hAnsi="Times New Roman" w:cs="Times New Roman"/>
        </w:rPr>
        <w:t>1</w:t>
      </w:r>
      <w:r w:rsidRPr="0040625E">
        <w:rPr>
          <w:rFonts w:ascii="Times New Roman" w:eastAsia="Times New Roman" w:hAnsi="Times New Roman" w:cs="Times New Roman"/>
        </w:rPr>
        <w:t xml:space="preserve">6. ISBN: </w:t>
      </w:r>
      <w:r>
        <w:rPr>
          <w:rFonts w:ascii="Times New Roman" w:eastAsia="Times New Roman" w:hAnsi="Times New Roman" w:cs="Times New Roman"/>
        </w:rPr>
        <w:t>978098023277</w:t>
      </w:r>
      <w:r w:rsidRPr="0040625E">
        <w:rPr>
          <w:rFonts w:ascii="Times New Roman" w:eastAsia="Times New Roman" w:hAnsi="Times New Roman" w:cs="Times New Roman"/>
        </w:rPr>
        <w:t>6</w:t>
      </w:r>
    </w:p>
    <w:p w:rsidR="003E6BAE" w:rsidRDefault="003E6BAE" w:rsidP="003E6BAE">
      <w:pPr>
        <w:widowControl w:val="0"/>
        <w:spacing w:before="120" w:after="120" w:line="240" w:lineRule="auto"/>
        <w:jc w:val="both"/>
        <w:rPr>
          <w:rFonts w:ascii="Times New Roman" w:eastAsia="Times New Roman" w:hAnsi="Times New Roman" w:cs="Times New Roman"/>
          <w:bCs/>
        </w:rPr>
      </w:pPr>
    </w:p>
    <w:p w:rsidR="003E6BAE" w:rsidRDefault="003E6BAE" w:rsidP="003E6BAE">
      <w:pPr>
        <w:widowControl w:val="0"/>
        <w:spacing w:before="120" w:after="120" w:line="240" w:lineRule="auto"/>
        <w:jc w:val="both"/>
        <w:rPr>
          <w:rFonts w:ascii="Times New Roman" w:eastAsia="Times New Roman" w:hAnsi="Times New Roman" w:cs="Times New Roman"/>
          <w:bCs/>
        </w:rPr>
      </w:pPr>
      <w:r>
        <w:rPr>
          <w:rFonts w:ascii="Times New Roman" w:eastAsia="Times New Roman" w:hAnsi="Times New Roman" w:cs="Times New Roman"/>
          <w:bCs/>
        </w:rPr>
        <w:t>Budapest, 31st January 2020.</w:t>
      </w:r>
    </w:p>
    <w:p w:rsidR="003E6BAE" w:rsidRPr="00E84448" w:rsidRDefault="003E6BAE" w:rsidP="003E6BAE">
      <w:pPr>
        <w:widowControl w:val="0"/>
        <w:spacing w:before="120" w:after="120" w:line="240" w:lineRule="auto"/>
        <w:jc w:val="both"/>
        <w:rPr>
          <w:rFonts w:ascii="Times New Roman" w:eastAsia="Times New Roman" w:hAnsi="Times New Roman" w:cs="Times New Roman"/>
          <w:bCs/>
        </w:rPr>
      </w:pPr>
    </w:p>
    <w:p w:rsidR="003E6BAE" w:rsidRPr="00E84448" w:rsidRDefault="003E6BAE" w:rsidP="003E6BAE">
      <w:pPr>
        <w:widowControl w:val="0"/>
        <w:spacing w:after="0" w:line="240" w:lineRule="auto"/>
        <w:jc w:val="right"/>
        <w:rPr>
          <w:rFonts w:ascii="Times New Roman" w:eastAsia="Times New Roman" w:hAnsi="Times New Roman" w:cs="Times New Roman"/>
          <w:bCs/>
        </w:rPr>
      </w:pPr>
      <w:r w:rsidRPr="00E84448">
        <w:rPr>
          <w:rFonts w:ascii="Times New Roman" w:eastAsia="Times New Roman" w:hAnsi="Times New Roman" w:cs="Times New Roman"/>
          <w:bCs/>
        </w:rPr>
        <w:t>Dr. Bence</w:t>
      </w:r>
      <w:r>
        <w:rPr>
          <w:rFonts w:ascii="Times New Roman" w:eastAsia="Times New Roman" w:hAnsi="Times New Roman" w:cs="Times New Roman"/>
          <w:bCs/>
        </w:rPr>
        <w:t xml:space="preserve"> TÓTH</w:t>
      </w:r>
      <w:r w:rsidRPr="00E84448">
        <w:rPr>
          <w:rFonts w:ascii="Times New Roman" w:eastAsia="Times New Roman" w:hAnsi="Times New Roman" w:cs="Times New Roman"/>
          <w:bCs/>
        </w:rPr>
        <w:t xml:space="preserve">, PhD </w:t>
      </w:r>
    </w:p>
    <w:p w:rsidR="003E6BAE" w:rsidRPr="00E84448" w:rsidRDefault="003E6BAE" w:rsidP="003E6BAE">
      <w:pPr>
        <w:widowControl w:val="0"/>
        <w:spacing w:after="0" w:line="240" w:lineRule="auto"/>
        <w:jc w:val="right"/>
        <w:rPr>
          <w:rFonts w:ascii="Times New Roman" w:eastAsia="Times New Roman" w:hAnsi="Times New Roman" w:cs="Times New Roman"/>
          <w:bCs/>
        </w:rPr>
      </w:pPr>
      <w:r>
        <w:rPr>
          <w:rFonts w:ascii="Times New Roman" w:eastAsia="Times New Roman" w:hAnsi="Times New Roman" w:cs="Times New Roman"/>
          <w:bCs/>
        </w:rPr>
        <w:t>senior lecturer</w:t>
      </w:r>
    </w:p>
    <w:p w:rsidR="00FC44E3" w:rsidRDefault="00FC44E3">
      <w:pPr>
        <w:spacing w:after="200" w:line="276" w:lineRule="auto"/>
        <w:rPr>
          <w:rFonts w:ascii="Times New Roman" w:hAnsi="Times New Roman" w:cs="Times New Roman"/>
        </w:rPr>
      </w:pPr>
      <w:r>
        <w:rPr>
          <w:rFonts w:ascii="Times New Roman" w:hAnsi="Times New Roman" w:cs="Times New Roman"/>
        </w:rPr>
        <w:br w:type="page"/>
      </w:r>
    </w:p>
    <w:tbl>
      <w:tblPr>
        <w:tblW w:w="9072" w:type="dxa"/>
        <w:tblInd w:w="113" w:type="dxa"/>
        <w:tblLook w:val="01E0" w:firstRow="1" w:lastRow="1" w:firstColumn="1" w:lastColumn="1" w:noHBand="0" w:noVBand="0"/>
      </w:tblPr>
      <w:tblGrid>
        <w:gridCol w:w="4855"/>
        <w:gridCol w:w="1620"/>
        <w:gridCol w:w="2597"/>
      </w:tblGrid>
      <w:tr w:rsidR="00FC44E3" w:rsidRPr="00A210B8" w:rsidTr="00FC44E3">
        <w:tc>
          <w:tcPr>
            <w:tcW w:w="4855" w:type="dxa"/>
            <w:tcBorders>
              <w:bottom w:val="single" w:sz="4" w:space="0" w:color="auto"/>
            </w:tcBorders>
          </w:tcPr>
          <w:p w:rsidR="00FC44E3" w:rsidRPr="00A210B8" w:rsidRDefault="00FC44E3" w:rsidP="00FC44E3">
            <w:pPr>
              <w:spacing w:after="0" w:line="240" w:lineRule="auto"/>
              <w:jc w:val="center"/>
              <w:rPr>
                <w:rFonts w:ascii="Times New Roman" w:eastAsia="Times New Roman" w:hAnsi="Times New Roman" w:cs="Times New Roman"/>
                <w:b/>
                <w:smallCaps/>
                <w:lang w:eastAsia="hu-HU"/>
              </w:rPr>
            </w:pPr>
            <w:r w:rsidRPr="00A210B8">
              <w:rPr>
                <w:rFonts w:ascii="Times New Roman" w:eastAsia="Times New Roman" w:hAnsi="Times New Roman" w:cs="Times New Roman"/>
                <w:b/>
                <w:smallCaps/>
                <w:lang w:eastAsia="hu-HU"/>
              </w:rPr>
              <w:lastRenderedPageBreak/>
              <w:t>Nemzeti Közszolgálati Egyetem</w:t>
            </w:r>
          </w:p>
        </w:tc>
        <w:tc>
          <w:tcPr>
            <w:tcW w:w="1620" w:type="dxa"/>
          </w:tcPr>
          <w:p w:rsidR="00FC44E3" w:rsidRPr="00A210B8" w:rsidRDefault="00FC44E3" w:rsidP="00FC44E3">
            <w:pPr>
              <w:spacing w:after="0" w:line="240" w:lineRule="auto"/>
              <w:jc w:val="both"/>
              <w:rPr>
                <w:rFonts w:ascii="Times New Roman" w:eastAsia="Times New Roman" w:hAnsi="Times New Roman" w:cs="Times New Roman"/>
                <w:lang w:eastAsia="hu-HU"/>
              </w:rPr>
            </w:pPr>
          </w:p>
        </w:tc>
        <w:tc>
          <w:tcPr>
            <w:tcW w:w="2597" w:type="dxa"/>
          </w:tcPr>
          <w:p w:rsidR="00FC44E3" w:rsidRPr="00A210B8" w:rsidRDefault="00FC44E3" w:rsidP="00FC44E3">
            <w:pPr>
              <w:spacing w:after="0" w:line="240" w:lineRule="auto"/>
              <w:jc w:val="right"/>
              <w:rPr>
                <w:rFonts w:ascii="Times New Roman" w:eastAsia="Times New Roman" w:hAnsi="Times New Roman" w:cs="Times New Roman"/>
                <w:lang w:eastAsia="hu-HU"/>
              </w:rPr>
            </w:pPr>
          </w:p>
        </w:tc>
      </w:tr>
      <w:tr w:rsidR="00FC44E3" w:rsidRPr="00A210B8" w:rsidTr="00FC44E3">
        <w:tc>
          <w:tcPr>
            <w:tcW w:w="4855" w:type="dxa"/>
            <w:tcBorders>
              <w:top w:val="single" w:sz="4" w:space="0" w:color="auto"/>
            </w:tcBorders>
          </w:tcPr>
          <w:p w:rsidR="00FC44E3" w:rsidRPr="00A210B8" w:rsidRDefault="00FC44E3" w:rsidP="00FC44E3">
            <w:pPr>
              <w:spacing w:after="0" w:line="240" w:lineRule="auto"/>
              <w:jc w:val="center"/>
              <w:rPr>
                <w:rFonts w:ascii="Times New Roman" w:eastAsia="Times New Roman" w:hAnsi="Times New Roman" w:cs="Times New Roman"/>
                <w:b/>
                <w:lang w:eastAsia="hu-HU"/>
              </w:rPr>
            </w:pPr>
            <w:r w:rsidRPr="00A210B8">
              <w:rPr>
                <w:rFonts w:ascii="Times New Roman" w:eastAsia="Times New Roman" w:hAnsi="Times New Roman" w:cs="Times New Roman"/>
                <w:b/>
                <w:lang w:eastAsia="hu-HU"/>
              </w:rPr>
              <w:t>Hadtudományi és Honvédtisztképző Kar</w:t>
            </w:r>
          </w:p>
        </w:tc>
        <w:tc>
          <w:tcPr>
            <w:tcW w:w="1620" w:type="dxa"/>
          </w:tcPr>
          <w:p w:rsidR="00FC44E3" w:rsidRPr="00A210B8" w:rsidRDefault="00FC44E3" w:rsidP="00FC44E3">
            <w:pPr>
              <w:spacing w:after="0" w:line="240" w:lineRule="auto"/>
              <w:jc w:val="both"/>
              <w:rPr>
                <w:rFonts w:ascii="Times New Roman" w:eastAsia="Times New Roman" w:hAnsi="Times New Roman" w:cs="Times New Roman"/>
                <w:lang w:eastAsia="hu-HU"/>
              </w:rPr>
            </w:pPr>
          </w:p>
        </w:tc>
        <w:tc>
          <w:tcPr>
            <w:tcW w:w="2597" w:type="dxa"/>
          </w:tcPr>
          <w:p w:rsidR="00FC44E3" w:rsidRPr="00A210B8" w:rsidRDefault="00FC44E3" w:rsidP="00FC44E3">
            <w:pPr>
              <w:spacing w:after="0" w:line="240" w:lineRule="auto"/>
              <w:jc w:val="both"/>
              <w:rPr>
                <w:rFonts w:ascii="Times New Roman" w:eastAsia="Times New Roman" w:hAnsi="Times New Roman" w:cs="Times New Roman"/>
                <w:lang w:eastAsia="hu-HU"/>
              </w:rPr>
            </w:pPr>
          </w:p>
        </w:tc>
      </w:tr>
    </w:tbl>
    <w:p w:rsidR="00FC44E3" w:rsidRPr="00A210B8" w:rsidRDefault="00FC44E3" w:rsidP="00FC44E3">
      <w:pPr>
        <w:widowControl w:val="0"/>
        <w:spacing w:before="120" w:after="120" w:line="240" w:lineRule="auto"/>
        <w:ind w:left="426" w:hanging="142"/>
        <w:jc w:val="center"/>
        <w:rPr>
          <w:rFonts w:ascii="Times New Roman" w:eastAsia="Times New Roman" w:hAnsi="Times New Roman" w:cs="Times New Roman"/>
          <w:b/>
          <w:bCs/>
        </w:rPr>
      </w:pPr>
    </w:p>
    <w:p w:rsidR="00FC44E3" w:rsidRPr="00A210B8" w:rsidRDefault="00FC44E3" w:rsidP="00FC44E3">
      <w:pPr>
        <w:widowControl w:val="0"/>
        <w:spacing w:before="120" w:after="120" w:line="240" w:lineRule="auto"/>
        <w:ind w:left="426" w:hanging="142"/>
        <w:jc w:val="center"/>
        <w:rPr>
          <w:rFonts w:ascii="Times New Roman" w:eastAsia="Times New Roman" w:hAnsi="Times New Roman" w:cs="Times New Roman"/>
          <w:b/>
          <w:bCs/>
        </w:rPr>
      </w:pPr>
      <w:r w:rsidRPr="00A210B8">
        <w:rPr>
          <w:rFonts w:ascii="Times New Roman" w:eastAsia="Times New Roman" w:hAnsi="Times New Roman" w:cs="Times New Roman"/>
          <w:b/>
          <w:bCs/>
        </w:rPr>
        <w:t>TANTÁRGYI PROGRAM</w:t>
      </w:r>
    </w:p>
    <w:p w:rsidR="00FC44E3" w:rsidRPr="00A210B8" w:rsidRDefault="00FC44E3" w:rsidP="00980876">
      <w:pPr>
        <w:widowControl w:val="0"/>
        <w:numPr>
          <w:ilvl w:val="0"/>
          <w:numId w:val="553"/>
        </w:numPr>
        <w:tabs>
          <w:tab w:val="clear" w:pos="720"/>
          <w:tab w:val="num" w:pos="502"/>
          <w:tab w:val="num" w:pos="567"/>
        </w:tabs>
        <w:spacing w:before="120" w:after="120" w:line="240" w:lineRule="auto"/>
        <w:ind w:left="426" w:hanging="142"/>
        <w:jc w:val="both"/>
        <w:rPr>
          <w:rFonts w:ascii="Times New Roman" w:eastAsia="Times New Roman" w:hAnsi="Times New Roman" w:cs="Times New Roman"/>
          <w:bCs/>
        </w:rPr>
      </w:pPr>
      <w:r w:rsidRPr="00A210B8">
        <w:rPr>
          <w:rFonts w:ascii="Times New Roman" w:eastAsia="Times New Roman" w:hAnsi="Times New Roman" w:cs="Times New Roman"/>
          <w:b/>
          <w:bCs/>
        </w:rPr>
        <w:t xml:space="preserve">A tantárgy kódja: </w:t>
      </w:r>
      <w:r w:rsidRPr="00A210B8">
        <w:rPr>
          <w:rFonts w:ascii="Times New Roman" w:eastAsia="Times New Roman" w:hAnsi="Times New Roman" w:cs="Times New Roman"/>
          <w:bCs/>
        </w:rPr>
        <w:t>H</w:t>
      </w:r>
      <w:r>
        <w:rPr>
          <w:rFonts w:ascii="Times New Roman" w:eastAsia="Times New Roman" w:hAnsi="Times New Roman" w:cs="Times New Roman"/>
          <w:bCs/>
        </w:rPr>
        <w:t>K</w:t>
      </w:r>
      <w:r w:rsidRPr="00A210B8">
        <w:rPr>
          <w:rFonts w:ascii="Times New Roman" w:eastAsia="Times New Roman" w:hAnsi="Times New Roman" w:cs="Times New Roman"/>
          <w:bCs/>
        </w:rPr>
        <w:t>925</w:t>
      </w:r>
      <w:r>
        <w:rPr>
          <w:rFonts w:ascii="Times New Roman" w:eastAsia="Times New Roman" w:hAnsi="Times New Roman" w:cs="Times New Roman"/>
          <w:bCs/>
        </w:rPr>
        <w:t>A192</w:t>
      </w:r>
    </w:p>
    <w:p w:rsidR="00FC44E3" w:rsidRPr="00A210B8" w:rsidRDefault="00FC44E3" w:rsidP="00980876">
      <w:pPr>
        <w:widowControl w:val="0"/>
        <w:numPr>
          <w:ilvl w:val="0"/>
          <w:numId w:val="553"/>
        </w:numPr>
        <w:tabs>
          <w:tab w:val="clear" w:pos="720"/>
          <w:tab w:val="num" w:pos="502"/>
          <w:tab w:val="num" w:pos="567"/>
        </w:tabs>
        <w:spacing w:before="120" w:after="120" w:line="240" w:lineRule="auto"/>
        <w:ind w:left="426" w:hanging="142"/>
        <w:jc w:val="both"/>
        <w:rPr>
          <w:rFonts w:ascii="Times New Roman" w:eastAsia="Times New Roman" w:hAnsi="Times New Roman" w:cs="Times New Roman"/>
          <w:b/>
          <w:bCs/>
          <w:lang w:val="en-GB"/>
        </w:rPr>
      </w:pPr>
      <w:r w:rsidRPr="00A210B8">
        <w:rPr>
          <w:rFonts w:ascii="Times New Roman" w:eastAsia="Times New Roman" w:hAnsi="Times New Roman" w:cs="Times New Roman"/>
          <w:b/>
          <w:bCs/>
        </w:rPr>
        <w:t>A tantárgy megnevezése (magyarul):</w:t>
      </w:r>
      <w:r w:rsidRPr="00A210B8">
        <w:rPr>
          <w:rFonts w:ascii="Times New Roman" w:eastAsia="Times New Roman" w:hAnsi="Times New Roman" w:cs="Times New Roman"/>
          <w:bCs/>
        </w:rPr>
        <w:t xml:space="preserve"> Számítógépes vizualizáció és problémamegoldás</w:t>
      </w:r>
      <w:r>
        <w:rPr>
          <w:rFonts w:ascii="Times New Roman" w:eastAsia="Times New Roman" w:hAnsi="Times New Roman" w:cs="Times New Roman"/>
          <w:bCs/>
        </w:rPr>
        <w:t xml:space="preserve"> LOG</w:t>
      </w:r>
    </w:p>
    <w:p w:rsidR="00FC44E3" w:rsidRPr="00A210B8" w:rsidRDefault="00FC44E3" w:rsidP="00980876">
      <w:pPr>
        <w:widowControl w:val="0"/>
        <w:numPr>
          <w:ilvl w:val="0"/>
          <w:numId w:val="553"/>
        </w:numPr>
        <w:tabs>
          <w:tab w:val="clear" w:pos="720"/>
          <w:tab w:val="num" w:pos="502"/>
          <w:tab w:val="num" w:pos="567"/>
        </w:tabs>
        <w:spacing w:before="120" w:after="120" w:line="240" w:lineRule="auto"/>
        <w:ind w:left="426" w:hanging="142"/>
        <w:jc w:val="both"/>
        <w:rPr>
          <w:rFonts w:ascii="Times New Roman" w:eastAsia="Times New Roman" w:hAnsi="Times New Roman" w:cs="Times New Roman"/>
          <w:b/>
          <w:bCs/>
          <w:lang w:val="en-GB"/>
        </w:rPr>
      </w:pPr>
      <w:r w:rsidRPr="00A210B8">
        <w:rPr>
          <w:rFonts w:ascii="Times New Roman" w:eastAsia="Times New Roman" w:hAnsi="Times New Roman" w:cs="Times New Roman"/>
          <w:b/>
          <w:bCs/>
        </w:rPr>
        <w:t>A tantárgy megnevezése (angolul):</w:t>
      </w:r>
      <w:r w:rsidRPr="00A210B8">
        <w:rPr>
          <w:rFonts w:ascii="Times New Roman" w:eastAsia="Times New Roman" w:hAnsi="Times New Roman" w:cs="Times New Roman"/>
          <w:bCs/>
        </w:rPr>
        <w:t xml:space="preserve"> Computer </w:t>
      </w:r>
      <w:r>
        <w:rPr>
          <w:rFonts w:ascii="Times New Roman" w:eastAsia="Times New Roman" w:hAnsi="Times New Roman" w:cs="Times New Roman"/>
          <w:bCs/>
        </w:rPr>
        <w:t>V</w:t>
      </w:r>
      <w:r w:rsidRPr="00A210B8">
        <w:rPr>
          <w:rFonts w:ascii="Times New Roman" w:eastAsia="Times New Roman" w:hAnsi="Times New Roman" w:cs="Times New Roman"/>
          <w:bCs/>
        </w:rPr>
        <w:t xml:space="preserve">isualization and </w:t>
      </w:r>
      <w:r>
        <w:rPr>
          <w:rFonts w:ascii="Times New Roman" w:eastAsia="Times New Roman" w:hAnsi="Times New Roman" w:cs="Times New Roman"/>
          <w:bCs/>
        </w:rPr>
        <w:t>P</w:t>
      </w:r>
      <w:r w:rsidRPr="00A210B8">
        <w:rPr>
          <w:rFonts w:ascii="Times New Roman" w:eastAsia="Times New Roman" w:hAnsi="Times New Roman" w:cs="Times New Roman"/>
          <w:bCs/>
        </w:rPr>
        <w:t xml:space="preserve">roblem </w:t>
      </w:r>
      <w:r>
        <w:rPr>
          <w:rFonts w:ascii="Times New Roman" w:eastAsia="Times New Roman" w:hAnsi="Times New Roman" w:cs="Times New Roman"/>
          <w:bCs/>
        </w:rPr>
        <w:t>S</w:t>
      </w:r>
      <w:r w:rsidRPr="00A210B8">
        <w:rPr>
          <w:rFonts w:ascii="Times New Roman" w:eastAsia="Times New Roman" w:hAnsi="Times New Roman" w:cs="Times New Roman"/>
          <w:bCs/>
        </w:rPr>
        <w:t>olving</w:t>
      </w:r>
      <w:r>
        <w:rPr>
          <w:rFonts w:ascii="Times New Roman" w:eastAsia="Times New Roman" w:hAnsi="Times New Roman" w:cs="Times New Roman"/>
          <w:bCs/>
        </w:rPr>
        <w:t xml:space="preserve"> LOG</w:t>
      </w:r>
    </w:p>
    <w:p w:rsidR="00FC44E3" w:rsidRPr="00A210B8" w:rsidRDefault="00FC44E3" w:rsidP="00980876">
      <w:pPr>
        <w:widowControl w:val="0"/>
        <w:numPr>
          <w:ilvl w:val="0"/>
          <w:numId w:val="553"/>
        </w:numPr>
        <w:tabs>
          <w:tab w:val="clear" w:pos="720"/>
          <w:tab w:val="num" w:pos="502"/>
          <w:tab w:val="num" w:pos="567"/>
        </w:tabs>
        <w:spacing w:before="120" w:after="120" w:line="240" w:lineRule="auto"/>
        <w:ind w:left="426" w:hanging="142"/>
        <w:jc w:val="both"/>
        <w:rPr>
          <w:rFonts w:ascii="Times New Roman" w:eastAsia="Times New Roman" w:hAnsi="Times New Roman" w:cs="Times New Roman"/>
          <w:b/>
          <w:bCs/>
        </w:rPr>
      </w:pPr>
      <w:r w:rsidRPr="00A210B8">
        <w:rPr>
          <w:rFonts w:ascii="Times New Roman" w:eastAsia="Times New Roman" w:hAnsi="Times New Roman" w:cs="Times New Roman"/>
          <w:b/>
          <w:bCs/>
        </w:rPr>
        <w:t xml:space="preserve">Kreditérték és képzési karakter: </w:t>
      </w:r>
    </w:p>
    <w:p w:rsidR="00FC44E3" w:rsidRPr="00A210B8" w:rsidRDefault="00FC44E3" w:rsidP="00980876">
      <w:pPr>
        <w:pStyle w:val="Listaszerbekezds"/>
        <w:widowControl w:val="0"/>
        <w:numPr>
          <w:ilvl w:val="1"/>
          <w:numId w:val="553"/>
        </w:numPr>
        <w:tabs>
          <w:tab w:val="clear" w:pos="3977"/>
        </w:tabs>
        <w:spacing w:before="120" w:after="120" w:line="240" w:lineRule="auto"/>
        <w:ind w:left="993" w:hanging="426"/>
        <w:jc w:val="both"/>
        <w:rPr>
          <w:rFonts w:ascii="Times New Roman" w:eastAsia="Times New Roman" w:hAnsi="Times New Roman" w:cs="Times New Roman"/>
          <w:b/>
          <w:bCs/>
        </w:rPr>
      </w:pPr>
      <w:r w:rsidRPr="00A210B8">
        <w:rPr>
          <w:rFonts w:ascii="Times New Roman" w:eastAsia="Times New Roman" w:hAnsi="Times New Roman" w:cs="Times New Roman"/>
          <w:bCs/>
        </w:rPr>
        <w:t>2 kredit</w:t>
      </w:r>
    </w:p>
    <w:p w:rsidR="00FC44E3" w:rsidRPr="00A210B8" w:rsidRDefault="00FC44E3" w:rsidP="00980876">
      <w:pPr>
        <w:pStyle w:val="Listaszerbekezds"/>
        <w:widowControl w:val="0"/>
        <w:numPr>
          <w:ilvl w:val="1"/>
          <w:numId w:val="553"/>
        </w:numPr>
        <w:tabs>
          <w:tab w:val="clear" w:pos="3977"/>
        </w:tabs>
        <w:spacing w:before="120" w:after="120" w:line="240" w:lineRule="auto"/>
        <w:ind w:left="993" w:hanging="426"/>
        <w:jc w:val="both"/>
        <w:rPr>
          <w:rFonts w:ascii="Times New Roman" w:eastAsia="Times New Roman" w:hAnsi="Times New Roman" w:cs="Times New Roman"/>
          <w:b/>
          <w:bCs/>
        </w:rPr>
      </w:pPr>
      <w:r w:rsidRPr="00A210B8">
        <w:rPr>
          <w:rFonts w:ascii="Times New Roman" w:eastAsia="Times New Roman" w:hAnsi="Times New Roman" w:cs="Times New Roman"/>
          <w:bCs/>
        </w:rPr>
        <w:t xml:space="preserve">a tantárgy elméleti vagy gyakorlati jellegének mértéke: </w:t>
      </w:r>
      <w:r>
        <w:rPr>
          <w:rFonts w:ascii="Times New Roman" w:eastAsia="Times New Roman" w:hAnsi="Times New Roman" w:cs="Times New Roman"/>
          <w:bCs/>
        </w:rPr>
        <w:t>5</w:t>
      </w:r>
      <w:r w:rsidRPr="00A210B8">
        <w:rPr>
          <w:rFonts w:ascii="Times New Roman" w:eastAsia="Times New Roman" w:hAnsi="Times New Roman" w:cs="Times New Roman"/>
          <w:bCs/>
        </w:rPr>
        <w:t xml:space="preserve">0 % gyakorlat, </w:t>
      </w:r>
      <w:r>
        <w:rPr>
          <w:rFonts w:ascii="Times New Roman" w:eastAsia="Times New Roman" w:hAnsi="Times New Roman" w:cs="Times New Roman"/>
          <w:bCs/>
        </w:rPr>
        <w:t>5</w:t>
      </w:r>
      <w:r w:rsidRPr="00A210B8">
        <w:rPr>
          <w:rFonts w:ascii="Times New Roman" w:eastAsia="Times New Roman" w:hAnsi="Times New Roman" w:cs="Times New Roman"/>
          <w:bCs/>
        </w:rPr>
        <w:t>0 % elmélet</w:t>
      </w:r>
    </w:p>
    <w:p w:rsidR="00FC44E3" w:rsidRPr="00A210B8" w:rsidRDefault="00FC44E3" w:rsidP="00980876">
      <w:pPr>
        <w:widowControl w:val="0"/>
        <w:numPr>
          <w:ilvl w:val="0"/>
          <w:numId w:val="553"/>
        </w:numPr>
        <w:tabs>
          <w:tab w:val="clear" w:pos="720"/>
          <w:tab w:val="num" w:pos="502"/>
        </w:tabs>
        <w:spacing w:before="120" w:after="120" w:line="240" w:lineRule="auto"/>
        <w:ind w:left="426" w:hanging="142"/>
        <w:jc w:val="both"/>
        <w:rPr>
          <w:rFonts w:ascii="Times New Roman" w:eastAsia="Times New Roman" w:hAnsi="Times New Roman" w:cs="Times New Roman"/>
          <w:bCs/>
          <w:color w:val="92D050"/>
        </w:rPr>
      </w:pPr>
      <w:r w:rsidRPr="00A210B8">
        <w:rPr>
          <w:rFonts w:ascii="Times New Roman" w:eastAsia="Times New Roman" w:hAnsi="Times New Roman" w:cs="Times New Roman"/>
          <w:b/>
          <w:bCs/>
        </w:rPr>
        <w:t>A szak(ok), szakirányok/specializációk megnevezése (ahol oktatják):</w:t>
      </w:r>
      <w:r w:rsidRPr="00A210B8">
        <w:rPr>
          <w:rFonts w:ascii="Times New Roman" w:eastAsia="Times New Roman" w:hAnsi="Times New Roman" w:cs="Times New Roman"/>
          <w:bCs/>
        </w:rPr>
        <w:t xml:space="preserve"> Katonai logisztika alapszak</w:t>
      </w:r>
    </w:p>
    <w:p w:rsidR="00FC44E3" w:rsidRPr="00A210B8" w:rsidRDefault="00FC44E3" w:rsidP="00980876">
      <w:pPr>
        <w:widowControl w:val="0"/>
        <w:numPr>
          <w:ilvl w:val="0"/>
          <w:numId w:val="553"/>
        </w:numPr>
        <w:tabs>
          <w:tab w:val="clear" w:pos="720"/>
          <w:tab w:val="num" w:pos="502"/>
          <w:tab w:val="num" w:pos="567"/>
        </w:tabs>
        <w:spacing w:before="120" w:after="120" w:line="240" w:lineRule="auto"/>
        <w:ind w:left="426" w:hanging="142"/>
        <w:jc w:val="both"/>
        <w:rPr>
          <w:rFonts w:ascii="Times New Roman" w:eastAsia="Times New Roman" w:hAnsi="Times New Roman" w:cs="Times New Roman"/>
          <w:bCs/>
        </w:rPr>
      </w:pPr>
      <w:r w:rsidRPr="00A210B8">
        <w:rPr>
          <w:rFonts w:ascii="Times New Roman" w:eastAsia="Times New Roman" w:hAnsi="Times New Roman" w:cs="Times New Roman"/>
          <w:b/>
          <w:bCs/>
        </w:rPr>
        <w:t xml:space="preserve">Az oktatásért felelős oktatási szervezeti egység megnevezése: </w:t>
      </w:r>
      <w:r w:rsidRPr="00A210B8">
        <w:rPr>
          <w:rFonts w:ascii="Times New Roman" w:eastAsia="Times New Roman" w:hAnsi="Times New Roman" w:cs="Times New Roman"/>
          <w:bCs/>
        </w:rPr>
        <w:t>Természettudományi Tanszék</w:t>
      </w:r>
    </w:p>
    <w:p w:rsidR="00FC44E3" w:rsidRPr="00A210B8" w:rsidRDefault="00FC44E3" w:rsidP="00980876">
      <w:pPr>
        <w:widowControl w:val="0"/>
        <w:numPr>
          <w:ilvl w:val="0"/>
          <w:numId w:val="553"/>
        </w:numPr>
        <w:tabs>
          <w:tab w:val="clear" w:pos="720"/>
          <w:tab w:val="num" w:pos="502"/>
          <w:tab w:val="num" w:pos="567"/>
        </w:tabs>
        <w:spacing w:before="120" w:after="120" w:line="240" w:lineRule="auto"/>
        <w:ind w:left="426" w:hanging="142"/>
        <w:jc w:val="both"/>
        <w:rPr>
          <w:rFonts w:ascii="Times New Roman" w:eastAsia="Times New Roman" w:hAnsi="Times New Roman" w:cs="Times New Roman"/>
          <w:bCs/>
          <w:spacing w:val="-2"/>
        </w:rPr>
      </w:pPr>
      <w:r w:rsidRPr="00A210B8">
        <w:rPr>
          <w:rFonts w:ascii="Times New Roman" w:eastAsia="Times New Roman" w:hAnsi="Times New Roman" w:cs="Times New Roman"/>
          <w:b/>
          <w:bCs/>
          <w:spacing w:val="-2"/>
        </w:rPr>
        <w:t>A tantárgyfelelős oktató neve, beosztása, tudományos fokozata:</w:t>
      </w:r>
      <w:r w:rsidRPr="00A210B8">
        <w:rPr>
          <w:rFonts w:ascii="Times New Roman" w:eastAsia="Times New Roman" w:hAnsi="Times New Roman" w:cs="Times New Roman"/>
          <w:bCs/>
          <w:spacing w:val="-2"/>
        </w:rPr>
        <w:t xml:space="preserve"> Dr. Tóth Bence, adjunktus, PhD</w:t>
      </w:r>
    </w:p>
    <w:p w:rsidR="00FC44E3" w:rsidRPr="00A210B8" w:rsidRDefault="00FC44E3" w:rsidP="00980876">
      <w:pPr>
        <w:widowControl w:val="0"/>
        <w:numPr>
          <w:ilvl w:val="0"/>
          <w:numId w:val="553"/>
        </w:numPr>
        <w:tabs>
          <w:tab w:val="clear" w:pos="720"/>
          <w:tab w:val="num" w:pos="502"/>
        </w:tabs>
        <w:spacing w:before="120" w:after="120" w:line="240" w:lineRule="auto"/>
        <w:ind w:left="426" w:hanging="142"/>
        <w:jc w:val="both"/>
        <w:rPr>
          <w:rFonts w:ascii="Times New Roman" w:eastAsia="Times New Roman" w:hAnsi="Times New Roman" w:cs="Times New Roman"/>
          <w:bCs/>
        </w:rPr>
      </w:pPr>
      <w:r w:rsidRPr="00A210B8">
        <w:rPr>
          <w:rFonts w:ascii="Times New Roman" w:eastAsia="Times New Roman" w:hAnsi="Times New Roman" w:cs="Times New Roman"/>
          <w:b/>
          <w:bCs/>
        </w:rPr>
        <w:t>A tanórák száma és típusa</w:t>
      </w:r>
    </w:p>
    <w:p w:rsidR="00FC44E3" w:rsidRPr="00A210B8" w:rsidRDefault="00FC44E3" w:rsidP="00980876">
      <w:pPr>
        <w:widowControl w:val="0"/>
        <w:numPr>
          <w:ilvl w:val="1"/>
          <w:numId w:val="553"/>
        </w:numPr>
        <w:tabs>
          <w:tab w:val="clear" w:pos="3977"/>
          <w:tab w:val="num" w:pos="709"/>
          <w:tab w:val="num" w:pos="2069"/>
        </w:tabs>
        <w:spacing w:before="120" w:after="120" w:line="240" w:lineRule="auto"/>
        <w:ind w:left="851" w:hanging="425"/>
        <w:jc w:val="both"/>
        <w:rPr>
          <w:rFonts w:ascii="Times New Roman" w:eastAsia="Times New Roman" w:hAnsi="Times New Roman" w:cs="Times New Roman"/>
          <w:bCs/>
        </w:rPr>
      </w:pPr>
      <w:r w:rsidRPr="00A210B8">
        <w:rPr>
          <w:rFonts w:ascii="Times New Roman" w:eastAsia="Times New Roman" w:hAnsi="Times New Roman" w:cs="Times New Roman"/>
          <w:bCs/>
        </w:rPr>
        <w:t>össz óraszám/félév:</w:t>
      </w:r>
    </w:p>
    <w:p w:rsidR="00FC44E3" w:rsidRPr="00A210B8" w:rsidRDefault="00FC44E3" w:rsidP="00980876">
      <w:pPr>
        <w:widowControl w:val="0"/>
        <w:numPr>
          <w:ilvl w:val="2"/>
          <w:numId w:val="553"/>
        </w:numPr>
        <w:tabs>
          <w:tab w:val="num" w:pos="709"/>
          <w:tab w:val="num" w:pos="1134"/>
        </w:tabs>
        <w:spacing w:before="120" w:after="120" w:line="240" w:lineRule="auto"/>
        <w:ind w:left="993" w:hanging="425"/>
        <w:jc w:val="both"/>
        <w:rPr>
          <w:rFonts w:ascii="Times New Roman" w:eastAsia="Times New Roman" w:hAnsi="Times New Roman" w:cs="Times New Roman"/>
          <w:bCs/>
        </w:rPr>
      </w:pPr>
      <w:r w:rsidRPr="00A210B8">
        <w:rPr>
          <w:rFonts w:ascii="Times New Roman" w:eastAsia="Times New Roman" w:hAnsi="Times New Roman" w:cs="Times New Roman"/>
          <w:bCs/>
        </w:rPr>
        <w:t xml:space="preserve">nappali munkarend: </w:t>
      </w:r>
      <w:r>
        <w:rPr>
          <w:rFonts w:ascii="Times New Roman" w:eastAsia="Times New Roman" w:hAnsi="Times New Roman" w:cs="Times New Roman"/>
          <w:bCs/>
        </w:rPr>
        <w:t>28</w:t>
      </w:r>
      <w:r w:rsidRPr="00A210B8">
        <w:rPr>
          <w:rFonts w:ascii="Times New Roman" w:eastAsia="Times New Roman" w:hAnsi="Times New Roman" w:cs="Times New Roman"/>
          <w:bCs/>
        </w:rPr>
        <w:t xml:space="preserve"> (</w:t>
      </w:r>
      <w:r>
        <w:rPr>
          <w:rFonts w:ascii="Times New Roman" w:eastAsia="Times New Roman" w:hAnsi="Times New Roman" w:cs="Times New Roman"/>
          <w:bCs/>
        </w:rPr>
        <w:t>14</w:t>
      </w:r>
      <w:r w:rsidRPr="00A210B8">
        <w:rPr>
          <w:rFonts w:ascii="Times New Roman" w:eastAsia="Times New Roman" w:hAnsi="Times New Roman" w:cs="Times New Roman"/>
          <w:bCs/>
        </w:rPr>
        <w:t xml:space="preserve"> EA + 0 SZ + </w:t>
      </w:r>
      <w:r>
        <w:rPr>
          <w:rFonts w:ascii="Times New Roman" w:eastAsia="Times New Roman" w:hAnsi="Times New Roman" w:cs="Times New Roman"/>
          <w:bCs/>
        </w:rPr>
        <w:t>14</w:t>
      </w:r>
      <w:r w:rsidRPr="00A210B8">
        <w:rPr>
          <w:rFonts w:ascii="Times New Roman" w:eastAsia="Times New Roman" w:hAnsi="Times New Roman" w:cs="Times New Roman"/>
          <w:bCs/>
        </w:rPr>
        <w:t xml:space="preserve"> GY)</w:t>
      </w:r>
    </w:p>
    <w:p w:rsidR="00FC44E3" w:rsidRPr="00A210B8" w:rsidRDefault="00FC44E3" w:rsidP="00980876">
      <w:pPr>
        <w:widowControl w:val="0"/>
        <w:numPr>
          <w:ilvl w:val="2"/>
          <w:numId w:val="553"/>
        </w:numPr>
        <w:tabs>
          <w:tab w:val="num" w:pos="709"/>
          <w:tab w:val="num" w:pos="1134"/>
        </w:tabs>
        <w:spacing w:before="120" w:after="120" w:line="240" w:lineRule="auto"/>
        <w:ind w:left="993" w:hanging="425"/>
        <w:jc w:val="both"/>
        <w:rPr>
          <w:rFonts w:ascii="Times New Roman" w:eastAsia="Times New Roman" w:hAnsi="Times New Roman" w:cs="Times New Roman"/>
          <w:bCs/>
        </w:rPr>
      </w:pPr>
      <w:r w:rsidRPr="00A210B8">
        <w:rPr>
          <w:rFonts w:ascii="Times New Roman" w:eastAsia="Times New Roman" w:hAnsi="Times New Roman" w:cs="Times New Roman"/>
          <w:bCs/>
        </w:rPr>
        <w:t>levelező munkarend: 0 (0 EA + 0 SZ + 0 GY)</w:t>
      </w:r>
    </w:p>
    <w:p w:rsidR="00FC44E3" w:rsidRPr="00A210B8" w:rsidRDefault="00FC44E3" w:rsidP="00980876">
      <w:pPr>
        <w:widowControl w:val="0"/>
        <w:numPr>
          <w:ilvl w:val="1"/>
          <w:numId w:val="553"/>
        </w:numPr>
        <w:tabs>
          <w:tab w:val="clear" w:pos="3977"/>
          <w:tab w:val="num" w:pos="709"/>
          <w:tab w:val="num" w:pos="2069"/>
        </w:tabs>
        <w:spacing w:before="120" w:after="120" w:line="240" w:lineRule="auto"/>
        <w:ind w:left="851" w:hanging="425"/>
        <w:jc w:val="both"/>
        <w:rPr>
          <w:rFonts w:ascii="Times New Roman" w:eastAsia="Times New Roman" w:hAnsi="Times New Roman" w:cs="Times New Roman"/>
          <w:bCs/>
        </w:rPr>
      </w:pPr>
      <w:r w:rsidRPr="00A210B8">
        <w:rPr>
          <w:rFonts w:ascii="Times New Roman" w:eastAsia="Times New Roman" w:hAnsi="Times New Roman" w:cs="Times New Roman"/>
          <w:bCs/>
        </w:rPr>
        <w:t xml:space="preserve">heti óraszám - nappali munkarend: </w:t>
      </w:r>
      <w:r>
        <w:rPr>
          <w:rFonts w:ascii="Times New Roman" w:eastAsia="Times New Roman" w:hAnsi="Times New Roman" w:cs="Times New Roman"/>
          <w:bCs/>
        </w:rPr>
        <w:t xml:space="preserve">1 + </w:t>
      </w:r>
      <w:r w:rsidRPr="00A210B8">
        <w:rPr>
          <w:rFonts w:ascii="Times New Roman" w:eastAsia="Times New Roman" w:hAnsi="Times New Roman" w:cs="Times New Roman"/>
          <w:bCs/>
        </w:rPr>
        <w:t>1</w:t>
      </w:r>
    </w:p>
    <w:p w:rsidR="00FC44E3" w:rsidRPr="00A210B8" w:rsidRDefault="00FC44E3" w:rsidP="00980876">
      <w:pPr>
        <w:widowControl w:val="0"/>
        <w:numPr>
          <w:ilvl w:val="1"/>
          <w:numId w:val="553"/>
        </w:numPr>
        <w:tabs>
          <w:tab w:val="clear" w:pos="3977"/>
          <w:tab w:val="num" w:pos="709"/>
          <w:tab w:val="num" w:pos="2069"/>
        </w:tabs>
        <w:spacing w:before="120" w:after="120" w:line="240" w:lineRule="auto"/>
        <w:ind w:left="851" w:hanging="425"/>
        <w:jc w:val="both"/>
        <w:rPr>
          <w:rFonts w:ascii="Times New Roman" w:eastAsia="Times New Roman" w:hAnsi="Times New Roman" w:cs="Times New Roman"/>
          <w:bCs/>
        </w:rPr>
      </w:pPr>
      <w:r w:rsidRPr="00A210B8">
        <w:rPr>
          <w:rFonts w:ascii="Times New Roman" w:hAnsi="Times New Roman" w:cs="Times New Roman"/>
        </w:rPr>
        <w:t>Az ismeret átadásában alkalmazandó további sajátos módok, jellemzők: nincsenek</w:t>
      </w:r>
    </w:p>
    <w:p w:rsidR="00FC44E3" w:rsidRPr="00A210B8" w:rsidRDefault="00FC44E3" w:rsidP="00980876">
      <w:pPr>
        <w:widowControl w:val="0"/>
        <w:numPr>
          <w:ilvl w:val="0"/>
          <w:numId w:val="553"/>
        </w:numPr>
        <w:tabs>
          <w:tab w:val="clear" w:pos="720"/>
          <w:tab w:val="num" w:pos="502"/>
        </w:tabs>
        <w:spacing w:before="120" w:after="120" w:line="240" w:lineRule="auto"/>
        <w:ind w:left="502"/>
        <w:jc w:val="both"/>
        <w:rPr>
          <w:rFonts w:ascii="Times New Roman" w:eastAsia="Times New Roman" w:hAnsi="Times New Roman" w:cs="Times New Roman"/>
          <w:bCs/>
        </w:rPr>
      </w:pPr>
      <w:r w:rsidRPr="00A210B8">
        <w:rPr>
          <w:rFonts w:ascii="Times New Roman" w:eastAsia="Times New Roman" w:hAnsi="Times New Roman" w:cs="Times New Roman"/>
          <w:b/>
          <w:bCs/>
        </w:rPr>
        <w:t>A tantárgy szakmai tartalma (magyarul):</w:t>
      </w:r>
      <w:r w:rsidRPr="00A210B8">
        <w:rPr>
          <w:rFonts w:ascii="Times New Roman" w:eastAsia="Times New Roman" w:hAnsi="Times New Roman" w:cs="Times New Roman"/>
          <w:bCs/>
        </w:rPr>
        <w:t xml:space="preserve"> A wxMaxima nyelv alapjai. Függvények definiálása, egyszerűsítés, egyenletek megoldása, differenciál és integrálszámítás, grafikus ábrázolások. Differenciálegyenletek kapcsolatos alapfogalmak. Differenciálegyenletek megoldása wxMaxima segítségével.</w:t>
      </w:r>
    </w:p>
    <w:p w:rsidR="00FC44E3" w:rsidRPr="00A210B8" w:rsidRDefault="00FC44E3" w:rsidP="00FC44E3">
      <w:pPr>
        <w:widowControl w:val="0"/>
        <w:spacing w:before="120" w:after="120" w:line="240" w:lineRule="auto"/>
        <w:ind w:left="426"/>
        <w:jc w:val="both"/>
        <w:rPr>
          <w:rFonts w:ascii="Times New Roman" w:eastAsia="Times New Roman" w:hAnsi="Times New Roman" w:cs="Times New Roman"/>
          <w:bCs/>
          <w:lang w:val="en-GB"/>
        </w:rPr>
      </w:pPr>
      <w:r w:rsidRPr="00A210B8">
        <w:rPr>
          <w:rFonts w:ascii="Times New Roman" w:eastAsia="Times New Roman" w:hAnsi="Times New Roman" w:cs="Times New Roman"/>
          <w:b/>
          <w:bCs/>
        </w:rPr>
        <w:t>A tantárgy szakmai tartalma (angolul) (</w:t>
      </w:r>
      <w:r w:rsidRPr="00A210B8">
        <w:rPr>
          <w:rFonts w:ascii="Times New Roman" w:eastAsia="Times New Roman" w:hAnsi="Times New Roman" w:cs="Times New Roman"/>
          <w:b/>
          <w:bCs/>
          <w:lang w:val="en-US"/>
        </w:rPr>
        <w:t>Course description</w:t>
      </w:r>
      <w:r w:rsidRPr="00A210B8">
        <w:rPr>
          <w:rFonts w:ascii="Times New Roman" w:eastAsia="Times New Roman" w:hAnsi="Times New Roman" w:cs="Times New Roman"/>
          <w:b/>
          <w:bCs/>
        </w:rPr>
        <w:t>):</w:t>
      </w:r>
      <w:r w:rsidRPr="00A210B8">
        <w:rPr>
          <w:rFonts w:ascii="Times New Roman" w:eastAsia="Times New Roman" w:hAnsi="Times New Roman" w:cs="Times New Roman"/>
          <w:bCs/>
          <w:lang w:val="en-GB"/>
        </w:rPr>
        <w:t xml:space="preserve"> Basics of the language wxMaxima. Definig fuctions, simplification, solving equations, differential and integral calculus, plotting. Differential equations, basic definitions. Solving differential equations using the software wxMaxima.</w:t>
      </w:r>
    </w:p>
    <w:p w:rsidR="00FC44E3" w:rsidRPr="00A210B8" w:rsidRDefault="00FC44E3" w:rsidP="00980876">
      <w:pPr>
        <w:pStyle w:val="Listaszerbekezds"/>
        <w:widowControl w:val="0"/>
        <w:numPr>
          <w:ilvl w:val="0"/>
          <w:numId w:val="553"/>
        </w:numPr>
        <w:tabs>
          <w:tab w:val="clear" w:pos="720"/>
          <w:tab w:val="num" w:pos="426"/>
        </w:tabs>
        <w:spacing w:before="120" w:after="120" w:line="240" w:lineRule="auto"/>
        <w:ind w:left="426" w:hanging="142"/>
        <w:jc w:val="both"/>
        <w:rPr>
          <w:rFonts w:ascii="Times New Roman" w:eastAsia="Times New Roman" w:hAnsi="Times New Roman" w:cs="Times New Roman"/>
          <w:bCs/>
        </w:rPr>
      </w:pPr>
      <w:r w:rsidRPr="00A210B8">
        <w:rPr>
          <w:rFonts w:ascii="Times New Roman" w:eastAsia="Times New Roman" w:hAnsi="Times New Roman" w:cs="Times New Roman"/>
          <w:b/>
          <w:bCs/>
        </w:rPr>
        <w:t xml:space="preserve">Elérendő kompetenciák (magyarul): </w:t>
      </w:r>
    </w:p>
    <w:p w:rsidR="00FC44E3" w:rsidRPr="00A210B8" w:rsidRDefault="00FC44E3" w:rsidP="00FC44E3">
      <w:pPr>
        <w:widowControl w:val="0"/>
        <w:spacing w:before="120" w:after="120" w:line="240" w:lineRule="auto"/>
        <w:ind w:left="426"/>
        <w:jc w:val="both"/>
        <w:rPr>
          <w:rFonts w:ascii="Times New Roman" w:eastAsia="Times New Roman" w:hAnsi="Times New Roman" w:cs="Times New Roman"/>
          <w:bCs/>
        </w:rPr>
      </w:pPr>
      <w:r w:rsidRPr="00A210B8">
        <w:rPr>
          <w:rFonts w:ascii="Times New Roman" w:eastAsia="Times New Roman" w:hAnsi="Times New Roman" w:cs="Times New Roman"/>
          <w:b/>
          <w:bCs/>
        </w:rPr>
        <w:t>Tudása:</w:t>
      </w:r>
      <w:r w:rsidRPr="00A210B8">
        <w:rPr>
          <w:rFonts w:ascii="Times New Roman" w:eastAsia="Times New Roman" w:hAnsi="Times New Roman" w:cs="Times New Roman"/>
          <w:bCs/>
        </w:rPr>
        <w:t xml:space="preserve"> </w:t>
      </w:r>
    </w:p>
    <w:p w:rsidR="00FC44E3" w:rsidRPr="00A210B8" w:rsidRDefault="00FC44E3" w:rsidP="00FC44E3">
      <w:pPr>
        <w:widowControl w:val="0"/>
        <w:spacing w:before="120" w:after="120" w:line="240" w:lineRule="auto"/>
        <w:ind w:left="426"/>
        <w:jc w:val="both"/>
        <w:rPr>
          <w:rFonts w:ascii="Times New Roman" w:eastAsia="Times New Roman" w:hAnsi="Times New Roman" w:cs="Times New Roman"/>
          <w:bCs/>
        </w:rPr>
      </w:pPr>
      <w:r w:rsidRPr="00A210B8">
        <w:rPr>
          <w:rFonts w:ascii="Times New Roman" w:eastAsia="Times New Roman" w:hAnsi="Times New Roman" w:cs="Times New Roman"/>
          <w:bCs/>
        </w:rPr>
        <w:t>-</w:t>
      </w:r>
      <w:r w:rsidRPr="00A210B8">
        <w:rPr>
          <w:rFonts w:ascii="Times New Roman" w:eastAsia="Times New Roman" w:hAnsi="Times New Roman" w:cs="Times New Roman"/>
          <w:bCs/>
        </w:rPr>
        <w:tab/>
        <w:t>Ismeri a matematika és a mechanika törvényszerűségeit, rendelkezik műszaki alapismeretekkel.</w:t>
      </w:r>
    </w:p>
    <w:p w:rsidR="00FC44E3" w:rsidRPr="00A210B8" w:rsidRDefault="00FC44E3" w:rsidP="00FC44E3">
      <w:pPr>
        <w:widowControl w:val="0"/>
        <w:spacing w:before="120" w:after="120" w:line="240" w:lineRule="auto"/>
        <w:ind w:left="426"/>
        <w:jc w:val="both"/>
        <w:rPr>
          <w:rFonts w:ascii="Times New Roman" w:eastAsia="Times New Roman" w:hAnsi="Times New Roman" w:cs="Times New Roman"/>
          <w:bCs/>
        </w:rPr>
      </w:pPr>
      <w:r w:rsidRPr="00A210B8">
        <w:rPr>
          <w:rFonts w:ascii="Times New Roman" w:eastAsia="Times New Roman" w:hAnsi="Times New Roman" w:cs="Times New Roman"/>
          <w:b/>
          <w:bCs/>
        </w:rPr>
        <w:t>Képességei:</w:t>
      </w:r>
      <w:r w:rsidRPr="00A210B8">
        <w:rPr>
          <w:rFonts w:ascii="Times New Roman" w:eastAsia="Times New Roman" w:hAnsi="Times New Roman" w:cs="Times New Roman"/>
          <w:bCs/>
        </w:rPr>
        <w:t xml:space="preserve"> </w:t>
      </w:r>
    </w:p>
    <w:p w:rsidR="00FC44E3" w:rsidRPr="00A210B8" w:rsidRDefault="00FC44E3" w:rsidP="00FC44E3">
      <w:pPr>
        <w:widowControl w:val="0"/>
        <w:spacing w:before="120" w:after="120" w:line="240" w:lineRule="auto"/>
        <w:ind w:left="426"/>
        <w:jc w:val="both"/>
        <w:rPr>
          <w:rFonts w:ascii="Times New Roman" w:eastAsia="Times New Roman" w:hAnsi="Times New Roman" w:cs="Times New Roman"/>
          <w:bCs/>
        </w:rPr>
      </w:pPr>
      <w:r w:rsidRPr="00A210B8">
        <w:rPr>
          <w:rFonts w:ascii="Times New Roman" w:eastAsia="Times New Roman" w:hAnsi="Times New Roman" w:cs="Times New Roman"/>
          <w:bCs/>
        </w:rPr>
        <w:t>-</w:t>
      </w:r>
      <w:r w:rsidRPr="00A210B8">
        <w:rPr>
          <w:rFonts w:ascii="Times New Roman" w:eastAsia="Times New Roman" w:hAnsi="Times New Roman" w:cs="Times New Roman"/>
          <w:bCs/>
        </w:rPr>
        <w:tab/>
        <w:t>Képes szakterületén újító és innovatív ötletek megfogalmazására.</w:t>
      </w:r>
    </w:p>
    <w:p w:rsidR="00FC44E3" w:rsidRPr="00A210B8" w:rsidRDefault="00FC44E3" w:rsidP="00FC44E3">
      <w:pPr>
        <w:widowControl w:val="0"/>
        <w:spacing w:before="120" w:after="120" w:line="240" w:lineRule="auto"/>
        <w:ind w:left="426"/>
        <w:jc w:val="both"/>
        <w:rPr>
          <w:rFonts w:ascii="Times New Roman" w:eastAsia="Times New Roman" w:hAnsi="Times New Roman" w:cs="Times New Roman"/>
          <w:bCs/>
        </w:rPr>
      </w:pPr>
      <w:r w:rsidRPr="00A210B8">
        <w:rPr>
          <w:rFonts w:ascii="Times New Roman" w:eastAsia="Times New Roman" w:hAnsi="Times New Roman" w:cs="Times New Roman"/>
          <w:b/>
          <w:bCs/>
        </w:rPr>
        <w:t>Attitűdje:</w:t>
      </w:r>
      <w:r w:rsidRPr="00A210B8">
        <w:rPr>
          <w:rFonts w:ascii="Times New Roman" w:eastAsia="Times New Roman" w:hAnsi="Times New Roman" w:cs="Times New Roman"/>
          <w:bCs/>
        </w:rPr>
        <w:t xml:space="preserve"> </w:t>
      </w:r>
    </w:p>
    <w:p w:rsidR="00FC44E3" w:rsidRPr="00A210B8" w:rsidRDefault="00FC44E3" w:rsidP="00FC44E3">
      <w:pPr>
        <w:widowControl w:val="0"/>
        <w:spacing w:before="120" w:after="120" w:line="240" w:lineRule="auto"/>
        <w:ind w:left="426"/>
        <w:jc w:val="both"/>
        <w:rPr>
          <w:rFonts w:ascii="Times New Roman" w:eastAsia="Times New Roman" w:hAnsi="Times New Roman" w:cs="Times New Roman"/>
          <w:bCs/>
        </w:rPr>
      </w:pPr>
      <w:r w:rsidRPr="00A210B8">
        <w:rPr>
          <w:rFonts w:ascii="Times New Roman" w:eastAsia="Times New Roman" w:hAnsi="Times New Roman" w:cs="Times New Roman"/>
          <w:bCs/>
        </w:rPr>
        <w:t>-</w:t>
      </w:r>
      <w:r w:rsidRPr="00A210B8">
        <w:rPr>
          <w:rFonts w:ascii="Times New Roman" w:eastAsia="Times New Roman" w:hAnsi="Times New Roman" w:cs="Times New Roman"/>
          <w:bCs/>
        </w:rPr>
        <w:tab/>
        <w:t>Nyitott szakterülete új eredményei, innovációi iránt, törekszik azok megismerésére, megértésére és alkalmazására, elkötelezett önmaga folyamatos képzésére.</w:t>
      </w:r>
    </w:p>
    <w:p w:rsidR="00FC44E3" w:rsidRPr="00A210B8" w:rsidRDefault="00FC44E3" w:rsidP="00FC44E3">
      <w:pPr>
        <w:widowControl w:val="0"/>
        <w:spacing w:before="120" w:after="120" w:line="240" w:lineRule="auto"/>
        <w:ind w:left="426"/>
        <w:jc w:val="both"/>
        <w:rPr>
          <w:rFonts w:ascii="Times New Roman" w:eastAsia="Times New Roman" w:hAnsi="Times New Roman" w:cs="Times New Roman"/>
          <w:bCs/>
        </w:rPr>
      </w:pPr>
      <w:r w:rsidRPr="00A210B8">
        <w:rPr>
          <w:rFonts w:ascii="Times New Roman" w:eastAsia="Times New Roman" w:hAnsi="Times New Roman" w:cs="Times New Roman"/>
          <w:b/>
          <w:bCs/>
        </w:rPr>
        <w:t>Autonómiája és felelőssége:</w:t>
      </w:r>
      <w:r w:rsidRPr="00A210B8">
        <w:rPr>
          <w:rFonts w:ascii="Times New Roman" w:eastAsia="Times New Roman" w:hAnsi="Times New Roman" w:cs="Times New Roman"/>
          <w:bCs/>
        </w:rPr>
        <w:t xml:space="preserve"> </w:t>
      </w:r>
    </w:p>
    <w:p w:rsidR="00FC44E3" w:rsidRPr="00A210B8" w:rsidRDefault="00FC44E3" w:rsidP="00FC44E3">
      <w:pPr>
        <w:widowControl w:val="0"/>
        <w:spacing w:before="120" w:after="120" w:line="240" w:lineRule="auto"/>
        <w:ind w:left="426"/>
        <w:jc w:val="both"/>
        <w:rPr>
          <w:rFonts w:ascii="Times New Roman" w:eastAsia="Calibri" w:hAnsi="Times New Roman" w:cs="Times New Roman"/>
        </w:rPr>
      </w:pPr>
      <w:r w:rsidRPr="00A210B8">
        <w:rPr>
          <w:rFonts w:ascii="Times New Roman" w:eastAsia="Times New Roman" w:hAnsi="Times New Roman" w:cs="Times New Roman"/>
          <w:bCs/>
        </w:rPr>
        <w:t>-</w:t>
      </w:r>
      <w:r w:rsidRPr="00A210B8">
        <w:rPr>
          <w:rFonts w:ascii="Times New Roman" w:eastAsia="Times New Roman" w:hAnsi="Times New Roman" w:cs="Times New Roman"/>
          <w:bCs/>
        </w:rPr>
        <w:tab/>
        <w:t>Az alegység, illetve egység szintű katonai logisztikai, valamint katonai gazdálkodási folyamatokban képes önállóan döntéseket hozni, azokat felelősséggel, a jogszabályi keretek figyelembevételével végrehajtani.</w:t>
      </w:r>
    </w:p>
    <w:p w:rsidR="00F25FE1" w:rsidRDefault="00F25FE1" w:rsidP="00FC44E3">
      <w:pPr>
        <w:widowControl w:val="0"/>
        <w:spacing w:before="120" w:after="120" w:line="240" w:lineRule="auto"/>
        <w:ind w:left="426"/>
        <w:jc w:val="both"/>
        <w:rPr>
          <w:rFonts w:ascii="Times New Roman" w:eastAsia="Times New Roman" w:hAnsi="Times New Roman" w:cs="Times New Roman"/>
          <w:b/>
          <w:bCs/>
        </w:rPr>
      </w:pPr>
    </w:p>
    <w:p w:rsidR="00FC44E3" w:rsidRPr="00A210B8" w:rsidRDefault="00FC44E3" w:rsidP="00FC44E3">
      <w:pPr>
        <w:widowControl w:val="0"/>
        <w:spacing w:before="120" w:after="120" w:line="240" w:lineRule="auto"/>
        <w:ind w:left="426"/>
        <w:jc w:val="both"/>
        <w:rPr>
          <w:rFonts w:ascii="Times New Roman" w:eastAsia="Times New Roman" w:hAnsi="Times New Roman" w:cs="Times New Roman"/>
          <w:b/>
          <w:bCs/>
          <w:lang w:val="en-US"/>
        </w:rPr>
      </w:pPr>
      <w:r w:rsidRPr="00A210B8">
        <w:rPr>
          <w:rFonts w:ascii="Times New Roman" w:eastAsia="Times New Roman" w:hAnsi="Times New Roman" w:cs="Times New Roman"/>
          <w:b/>
          <w:bCs/>
        </w:rPr>
        <w:lastRenderedPageBreak/>
        <w:t>Elérendő kompetenciák (angolul) (</w:t>
      </w:r>
      <w:r w:rsidRPr="00A210B8">
        <w:rPr>
          <w:rFonts w:ascii="Times New Roman" w:eastAsia="Times New Roman" w:hAnsi="Times New Roman" w:cs="Times New Roman"/>
          <w:b/>
          <w:bCs/>
          <w:lang w:val="en-US"/>
        </w:rPr>
        <w:t xml:space="preserve">Competences – English): </w:t>
      </w:r>
    </w:p>
    <w:p w:rsidR="00FC44E3" w:rsidRPr="00A210B8" w:rsidRDefault="00FC44E3" w:rsidP="00FC44E3">
      <w:pPr>
        <w:widowControl w:val="0"/>
        <w:spacing w:before="120" w:after="120" w:line="240" w:lineRule="auto"/>
        <w:ind w:left="426"/>
        <w:jc w:val="both"/>
        <w:rPr>
          <w:rFonts w:ascii="Times New Roman" w:eastAsia="Times New Roman" w:hAnsi="Times New Roman" w:cs="Times New Roman"/>
          <w:lang w:val="en-GB"/>
        </w:rPr>
      </w:pPr>
      <w:r w:rsidRPr="00A210B8">
        <w:rPr>
          <w:rFonts w:ascii="Times New Roman" w:eastAsia="Times New Roman" w:hAnsi="Times New Roman" w:cs="Times New Roman"/>
          <w:b/>
          <w:lang w:val="en-GB"/>
        </w:rPr>
        <w:t>Knowledge</w:t>
      </w:r>
      <w:r w:rsidRPr="00A210B8">
        <w:rPr>
          <w:rFonts w:ascii="Times New Roman" w:eastAsia="Times New Roman" w:hAnsi="Times New Roman" w:cs="Times New Roman"/>
          <w:lang w:val="en-GB"/>
        </w:rPr>
        <w:t xml:space="preserve">: </w:t>
      </w:r>
    </w:p>
    <w:p w:rsidR="00FC44E3" w:rsidRPr="00A210B8" w:rsidRDefault="00FC44E3" w:rsidP="00FC44E3">
      <w:pPr>
        <w:widowControl w:val="0"/>
        <w:spacing w:before="120" w:after="120" w:line="240" w:lineRule="auto"/>
        <w:ind w:left="426"/>
        <w:jc w:val="both"/>
        <w:rPr>
          <w:rFonts w:ascii="Times New Roman" w:eastAsia="Calibri" w:hAnsi="Times New Roman" w:cs="Times New Roman"/>
        </w:rPr>
      </w:pPr>
      <w:r w:rsidRPr="00A210B8">
        <w:rPr>
          <w:rFonts w:ascii="Times New Roman" w:eastAsia="Times New Roman" w:hAnsi="Times New Roman" w:cs="Times New Roman"/>
          <w:bCs/>
        </w:rPr>
        <w:t>-</w:t>
      </w:r>
      <w:r w:rsidRPr="00A210B8">
        <w:rPr>
          <w:rFonts w:ascii="Times New Roman" w:eastAsia="Times New Roman" w:hAnsi="Times New Roman" w:cs="Times New Roman"/>
          <w:bCs/>
        </w:rPr>
        <w:tab/>
        <w:t>Knows the laws of mathematics and mechanics, has basic technical knowledge.</w:t>
      </w:r>
    </w:p>
    <w:p w:rsidR="00FC44E3" w:rsidRPr="00A210B8" w:rsidRDefault="00FC44E3" w:rsidP="00FC44E3">
      <w:pPr>
        <w:widowControl w:val="0"/>
        <w:spacing w:before="120" w:after="120" w:line="240" w:lineRule="auto"/>
        <w:ind w:left="426"/>
        <w:jc w:val="both"/>
        <w:rPr>
          <w:rFonts w:ascii="Times New Roman" w:eastAsia="Times New Roman" w:hAnsi="Times New Roman" w:cs="Times New Roman"/>
          <w:lang w:val="en-GB"/>
        </w:rPr>
      </w:pPr>
      <w:r w:rsidRPr="00A210B8">
        <w:rPr>
          <w:rFonts w:ascii="Times New Roman" w:eastAsia="Times New Roman" w:hAnsi="Times New Roman" w:cs="Times New Roman"/>
          <w:b/>
          <w:lang w:val="en-GB"/>
        </w:rPr>
        <w:t>Capabilities</w:t>
      </w:r>
      <w:r w:rsidRPr="00A210B8">
        <w:rPr>
          <w:rFonts w:ascii="Times New Roman" w:eastAsia="Times New Roman" w:hAnsi="Times New Roman" w:cs="Times New Roman"/>
          <w:lang w:val="en-GB"/>
        </w:rPr>
        <w:t xml:space="preserve">: </w:t>
      </w:r>
    </w:p>
    <w:p w:rsidR="00FC44E3" w:rsidRPr="00A210B8" w:rsidRDefault="00FC44E3" w:rsidP="00FC44E3">
      <w:pPr>
        <w:widowControl w:val="0"/>
        <w:spacing w:before="120" w:after="120" w:line="240" w:lineRule="auto"/>
        <w:ind w:left="426"/>
        <w:jc w:val="both"/>
        <w:rPr>
          <w:rFonts w:ascii="Times New Roman" w:eastAsia="Calibri" w:hAnsi="Times New Roman" w:cs="Times New Roman"/>
        </w:rPr>
      </w:pPr>
      <w:r w:rsidRPr="00A210B8">
        <w:rPr>
          <w:rFonts w:ascii="Times New Roman" w:eastAsia="Times New Roman" w:hAnsi="Times New Roman" w:cs="Times New Roman"/>
          <w:bCs/>
        </w:rPr>
        <w:t>-</w:t>
      </w:r>
      <w:r w:rsidRPr="00A210B8">
        <w:rPr>
          <w:rFonts w:ascii="Times New Roman" w:eastAsia="Times New Roman" w:hAnsi="Times New Roman" w:cs="Times New Roman"/>
          <w:bCs/>
        </w:rPr>
        <w:tab/>
        <w:t>Able to formulate innovative ideas in their field.</w:t>
      </w:r>
    </w:p>
    <w:p w:rsidR="00FC44E3" w:rsidRPr="00A210B8" w:rsidRDefault="00FC44E3" w:rsidP="00FC44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lang w:val="en-GB"/>
        </w:rPr>
      </w:pPr>
      <w:r w:rsidRPr="00A210B8">
        <w:rPr>
          <w:rFonts w:ascii="Times New Roman" w:eastAsia="Times New Roman" w:hAnsi="Times New Roman" w:cs="Times New Roman"/>
          <w:b/>
          <w:lang w:val="en-GB"/>
        </w:rPr>
        <w:t>Attitude:</w:t>
      </w:r>
      <w:r w:rsidRPr="00A210B8">
        <w:rPr>
          <w:rFonts w:ascii="Times New Roman" w:eastAsia="Times New Roman" w:hAnsi="Times New Roman" w:cs="Times New Roman"/>
          <w:lang w:val="en-GB"/>
        </w:rPr>
        <w:t xml:space="preserve"> </w:t>
      </w:r>
    </w:p>
    <w:p w:rsidR="00FC44E3" w:rsidRPr="00A210B8" w:rsidRDefault="00FC44E3" w:rsidP="00FC44E3">
      <w:pPr>
        <w:widowControl w:val="0"/>
        <w:spacing w:before="120" w:after="120" w:line="240" w:lineRule="auto"/>
        <w:ind w:left="426"/>
        <w:jc w:val="both"/>
        <w:rPr>
          <w:rFonts w:ascii="Times New Roman" w:eastAsia="Calibri" w:hAnsi="Times New Roman" w:cs="Times New Roman"/>
        </w:rPr>
      </w:pPr>
      <w:r w:rsidRPr="00A210B8">
        <w:rPr>
          <w:rFonts w:ascii="Times New Roman" w:eastAsia="Times New Roman" w:hAnsi="Times New Roman" w:cs="Times New Roman"/>
          <w:bCs/>
        </w:rPr>
        <w:t>-</w:t>
      </w:r>
      <w:r w:rsidRPr="00A210B8">
        <w:rPr>
          <w:rFonts w:ascii="Times New Roman" w:eastAsia="Times New Roman" w:hAnsi="Times New Roman" w:cs="Times New Roman"/>
          <w:bCs/>
        </w:rPr>
        <w:tab/>
        <w:t>Open for the new achievements and innovations of their specialty, seeks to know, understand and apply them, and committed to continuous self-education.</w:t>
      </w:r>
    </w:p>
    <w:p w:rsidR="00FC44E3" w:rsidRPr="00A210B8" w:rsidRDefault="00FC44E3" w:rsidP="00FC44E3">
      <w:pPr>
        <w:widowControl w:val="0"/>
        <w:spacing w:before="120" w:after="120" w:line="240" w:lineRule="auto"/>
        <w:ind w:left="426"/>
        <w:jc w:val="both"/>
        <w:rPr>
          <w:rFonts w:ascii="Times New Roman" w:eastAsia="Times New Roman" w:hAnsi="Times New Roman" w:cs="Times New Roman"/>
          <w:lang w:val="en-GB"/>
        </w:rPr>
      </w:pPr>
      <w:r w:rsidRPr="00A210B8">
        <w:rPr>
          <w:rFonts w:ascii="Times New Roman" w:eastAsia="Times New Roman" w:hAnsi="Times New Roman" w:cs="Times New Roman"/>
          <w:b/>
          <w:lang w:val="en-GB"/>
        </w:rPr>
        <w:t xml:space="preserve">Autonomy and responsibility: </w:t>
      </w:r>
    </w:p>
    <w:p w:rsidR="00FC44E3" w:rsidRPr="00A210B8" w:rsidRDefault="00FC44E3" w:rsidP="00FC44E3">
      <w:pPr>
        <w:widowControl w:val="0"/>
        <w:spacing w:before="120" w:after="120" w:line="240" w:lineRule="auto"/>
        <w:ind w:left="426"/>
        <w:jc w:val="both"/>
        <w:rPr>
          <w:rFonts w:ascii="Times New Roman" w:eastAsia="Calibri" w:hAnsi="Times New Roman" w:cs="Times New Roman"/>
        </w:rPr>
      </w:pPr>
      <w:r w:rsidRPr="00A210B8">
        <w:rPr>
          <w:rFonts w:ascii="Times New Roman" w:eastAsia="Times New Roman" w:hAnsi="Times New Roman" w:cs="Times New Roman"/>
          <w:bCs/>
        </w:rPr>
        <w:t>-</w:t>
      </w:r>
      <w:r w:rsidRPr="00A210B8">
        <w:rPr>
          <w:rFonts w:ascii="Times New Roman" w:eastAsia="Times New Roman" w:hAnsi="Times New Roman" w:cs="Times New Roman"/>
          <w:bCs/>
        </w:rPr>
        <w:tab/>
        <w:t>At the subunit and unit level, it is able to make independent decisions in military logistics and military management processes, making them responsible and within the legal framework.</w:t>
      </w:r>
    </w:p>
    <w:p w:rsidR="00FC44E3" w:rsidRPr="00A210B8" w:rsidRDefault="00FC44E3" w:rsidP="00980876">
      <w:pPr>
        <w:widowControl w:val="0"/>
        <w:numPr>
          <w:ilvl w:val="0"/>
          <w:numId w:val="553"/>
        </w:numPr>
        <w:tabs>
          <w:tab w:val="clear" w:pos="720"/>
          <w:tab w:val="num" w:pos="502"/>
          <w:tab w:val="num" w:pos="567"/>
        </w:tabs>
        <w:spacing w:before="120" w:after="120" w:line="240" w:lineRule="auto"/>
        <w:ind w:left="426" w:hanging="142"/>
        <w:jc w:val="both"/>
        <w:rPr>
          <w:rFonts w:ascii="Times New Roman" w:eastAsia="Times New Roman" w:hAnsi="Times New Roman" w:cs="Times New Roman"/>
          <w:bCs/>
        </w:rPr>
      </w:pPr>
      <w:r w:rsidRPr="00A210B8">
        <w:rPr>
          <w:rFonts w:ascii="Times New Roman" w:eastAsia="Times New Roman" w:hAnsi="Times New Roman" w:cs="Times New Roman"/>
          <w:b/>
          <w:bCs/>
        </w:rPr>
        <w:t xml:space="preserve">Előtanulmányi követelmények: </w:t>
      </w:r>
      <w:r>
        <w:rPr>
          <w:rFonts w:ascii="Times New Roman" w:hAnsi="Times New Roman" w:cs="Times New Roman"/>
        </w:rPr>
        <w:t>nincs</w:t>
      </w:r>
    </w:p>
    <w:p w:rsidR="00FC44E3" w:rsidRPr="00A210B8" w:rsidRDefault="00FC44E3" w:rsidP="00980876">
      <w:pPr>
        <w:widowControl w:val="0"/>
        <w:numPr>
          <w:ilvl w:val="0"/>
          <w:numId w:val="553"/>
        </w:numPr>
        <w:tabs>
          <w:tab w:val="clear" w:pos="720"/>
          <w:tab w:val="num" w:pos="502"/>
        </w:tabs>
        <w:spacing w:before="120" w:after="120" w:line="240" w:lineRule="auto"/>
        <w:ind w:left="426" w:hanging="142"/>
        <w:jc w:val="both"/>
        <w:rPr>
          <w:rFonts w:ascii="Times New Roman" w:eastAsia="Times New Roman" w:hAnsi="Times New Roman" w:cs="Times New Roman"/>
          <w:b/>
          <w:bCs/>
        </w:rPr>
      </w:pPr>
      <w:r w:rsidRPr="00A210B8">
        <w:rPr>
          <w:rFonts w:ascii="Times New Roman" w:eastAsia="Times New Roman" w:hAnsi="Times New Roman" w:cs="Times New Roman"/>
          <w:b/>
          <w:bCs/>
        </w:rPr>
        <w:t>A tantárgy tananyagának leírása, tematika. Description of the subject, curriculum (magyarul, angolul - English):</w:t>
      </w:r>
    </w:p>
    <w:p w:rsidR="00FC44E3" w:rsidRPr="00A210B8" w:rsidRDefault="00FC44E3" w:rsidP="00980876">
      <w:pPr>
        <w:widowControl w:val="0"/>
        <w:numPr>
          <w:ilvl w:val="1"/>
          <w:numId w:val="553"/>
        </w:numPr>
        <w:tabs>
          <w:tab w:val="left" w:pos="709"/>
          <w:tab w:val="left" w:pos="993"/>
        </w:tabs>
        <w:spacing w:before="120" w:after="120" w:line="240" w:lineRule="auto"/>
        <w:ind w:left="993" w:hanging="567"/>
        <w:jc w:val="both"/>
        <w:rPr>
          <w:rFonts w:ascii="Times New Roman" w:eastAsia="Times New Roman" w:hAnsi="Times New Roman" w:cs="Times New Roman"/>
          <w:b/>
        </w:rPr>
      </w:pPr>
      <w:r w:rsidRPr="00A210B8">
        <w:rPr>
          <w:rFonts w:ascii="Times New Roman" w:eastAsia="Times New Roman" w:hAnsi="Times New Roman" w:cs="Times New Roman"/>
          <w:bCs/>
          <w:lang w:val="en-GB"/>
        </w:rPr>
        <w:t>A wxMaxima nyelv alapjai. (</w:t>
      </w:r>
      <w:r w:rsidRPr="00436642">
        <w:rPr>
          <w:rFonts w:ascii="Times New Roman" w:eastAsia="Times New Roman" w:hAnsi="Times New Roman" w:cs="Times New Roman"/>
          <w:bCs/>
          <w:i/>
          <w:lang w:val="en-GB"/>
        </w:rPr>
        <w:t>Basics of the language wxMaxima.</w:t>
      </w:r>
      <w:r w:rsidRPr="00A210B8">
        <w:rPr>
          <w:rFonts w:ascii="Times New Roman" w:eastAsia="Times New Roman" w:hAnsi="Times New Roman" w:cs="Times New Roman"/>
          <w:bCs/>
          <w:lang w:val="en-GB"/>
        </w:rPr>
        <w:t>)</w:t>
      </w:r>
    </w:p>
    <w:p w:rsidR="00FC44E3" w:rsidRPr="00A210B8" w:rsidRDefault="00FC44E3" w:rsidP="00980876">
      <w:pPr>
        <w:widowControl w:val="0"/>
        <w:numPr>
          <w:ilvl w:val="1"/>
          <w:numId w:val="553"/>
        </w:numPr>
        <w:tabs>
          <w:tab w:val="left" w:pos="709"/>
          <w:tab w:val="left" w:pos="993"/>
        </w:tabs>
        <w:spacing w:before="120" w:after="120" w:line="240" w:lineRule="auto"/>
        <w:ind w:left="993" w:hanging="567"/>
        <w:jc w:val="both"/>
        <w:rPr>
          <w:rFonts w:ascii="Times New Roman" w:eastAsia="Times New Roman" w:hAnsi="Times New Roman" w:cs="Times New Roman"/>
          <w:b/>
        </w:rPr>
      </w:pPr>
      <w:r w:rsidRPr="00A210B8">
        <w:rPr>
          <w:rFonts w:ascii="Times New Roman" w:eastAsia="Times New Roman" w:hAnsi="Times New Roman" w:cs="Times New Roman"/>
          <w:bCs/>
          <w:lang w:val="en-GB"/>
        </w:rPr>
        <w:t>Függvények definiálása, egyszerűsítés, egyenletek megoldása, differenciál és integrálszámítás, grafikus ábrázolások. (</w:t>
      </w:r>
      <w:r w:rsidRPr="00436642">
        <w:rPr>
          <w:rFonts w:ascii="Times New Roman" w:eastAsia="Times New Roman" w:hAnsi="Times New Roman" w:cs="Times New Roman"/>
          <w:bCs/>
          <w:i/>
          <w:lang w:val="en-GB"/>
        </w:rPr>
        <w:t>Definig fuctions, simplification, solving equations, differential and integral calculus, plotting.</w:t>
      </w:r>
      <w:r w:rsidRPr="00A210B8">
        <w:rPr>
          <w:rFonts w:ascii="Times New Roman" w:eastAsia="Times New Roman" w:hAnsi="Times New Roman" w:cs="Times New Roman"/>
          <w:bCs/>
          <w:lang w:val="en-GB"/>
        </w:rPr>
        <w:t>)</w:t>
      </w:r>
    </w:p>
    <w:p w:rsidR="00FC44E3" w:rsidRPr="00A210B8" w:rsidRDefault="00FC44E3" w:rsidP="00980876">
      <w:pPr>
        <w:widowControl w:val="0"/>
        <w:numPr>
          <w:ilvl w:val="1"/>
          <w:numId w:val="553"/>
        </w:numPr>
        <w:tabs>
          <w:tab w:val="left" w:pos="709"/>
          <w:tab w:val="left" w:pos="993"/>
        </w:tabs>
        <w:spacing w:before="120" w:after="120" w:line="240" w:lineRule="auto"/>
        <w:ind w:left="993" w:hanging="567"/>
        <w:jc w:val="both"/>
        <w:rPr>
          <w:rFonts w:ascii="Times New Roman" w:eastAsia="Times New Roman" w:hAnsi="Times New Roman" w:cs="Times New Roman"/>
          <w:bCs/>
          <w:lang w:val="en-GB"/>
        </w:rPr>
      </w:pPr>
      <w:r w:rsidRPr="00A210B8">
        <w:rPr>
          <w:rFonts w:ascii="Times New Roman" w:eastAsia="Times New Roman" w:hAnsi="Times New Roman" w:cs="Times New Roman"/>
          <w:bCs/>
          <w:lang w:val="en-GB"/>
        </w:rPr>
        <w:t>Differenciálegyenletek kapcsolatos alapfogalmak. (</w:t>
      </w:r>
      <w:r w:rsidRPr="00436642">
        <w:rPr>
          <w:rFonts w:ascii="Times New Roman" w:eastAsia="Times New Roman" w:hAnsi="Times New Roman" w:cs="Times New Roman"/>
          <w:bCs/>
          <w:i/>
          <w:lang w:val="en-GB"/>
        </w:rPr>
        <w:t>Differential equations, basic definitions.</w:t>
      </w:r>
      <w:r w:rsidRPr="00A210B8">
        <w:rPr>
          <w:rFonts w:ascii="Times New Roman" w:eastAsia="Times New Roman" w:hAnsi="Times New Roman" w:cs="Times New Roman"/>
          <w:bCs/>
          <w:lang w:val="en-GB"/>
        </w:rPr>
        <w:t>)</w:t>
      </w:r>
    </w:p>
    <w:p w:rsidR="00FC44E3" w:rsidRPr="00A210B8" w:rsidRDefault="00FC44E3" w:rsidP="00980876">
      <w:pPr>
        <w:widowControl w:val="0"/>
        <w:numPr>
          <w:ilvl w:val="1"/>
          <w:numId w:val="553"/>
        </w:numPr>
        <w:tabs>
          <w:tab w:val="left" w:pos="709"/>
          <w:tab w:val="left" w:pos="993"/>
        </w:tabs>
        <w:spacing w:before="120" w:after="120" w:line="240" w:lineRule="auto"/>
        <w:ind w:left="993" w:hanging="567"/>
        <w:jc w:val="both"/>
        <w:rPr>
          <w:rFonts w:ascii="Times New Roman" w:eastAsia="Times New Roman" w:hAnsi="Times New Roman" w:cs="Times New Roman"/>
          <w:bCs/>
          <w:lang w:val="en-GB"/>
        </w:rPr>
      </w:pPr>
      <w:r w:rsidRPr="00A210B8">
        <w:rPr>
          <w:rFonts w:ascii="Times New Roman" w:eastAsia="Times New Roman" w:hAnsi="Times New Roman" w:cs="Times New Roman"/>
          <w:bCs/>
          <w:lang w:val="en-GB"/>
        </w:rPr>
        <w:t>Differenciálegyenletek megoldása wxMaxima segítségével. (</w:t>
      </w:r>
      <w:r w:rsidRPr="00436642">
        <w:rPr>
          <w:rFonts w:ascii="Times New Roman" w:eastAsia="Times New Roman" w:hAnsi="Times New Roman" w:cs="Times New Roman"/>
          <w:bCs/>
          <w:i/>
          <w:lang w:val="en-GB"/>
        </w:rPr>
        <w:t>Solving differential equations using the software wxMaxima.</w:t>
      </w:r>
      <w:r w:rsidRPr="00A210B8">
        <w:rPr>
          <w:rFonts w:ascii="Times New Roman" w:eastAsia="Times New Roman" w:hAnsi="Times New Roman" w:cs="Times New Roman"/>
          <w:bCs/>
          <w:lang w:val="en-GB"/>
        </w:rPr>
        <w:t>)</w:t>
      </w:r>
    </w:p>
    <w:p w:rsidR="00FC44E3" w:rsidRPr="00A210B8" w:rsidRDefault="00FC44E3" w:rsidP="00980876">
      <w:pPr>
        <w:widowControl w:val="0"/>
        <w:numPr>
          <w:ilvl w:val="0"/>
          <w:numId w:val="553"/>
        </w:numPr>
        <w:tabs>
          <w:tab w:val="clear" w:pos="720"/>
          <w:tab w:val="num" w:pos="360"/>
          <w:tab w:val="num" w:pos="502"/>
        </w:tabs>
        <w:spacing w:before="120" w:after="120" w:line="240" w:lineRule="auto"/>
        <w:ind w:left="426" w:hanging="142"/>
        <w:jc w:val="both"/>
        <w:rPr>
          <w:rFonts w:ascii="Times New Roman" w:eastAsia="Times New Roman" w:hAnsi="Times New Roman" w:cs="Times New Roman"/>
          <w:bCs/>
        </w:rPr>
      </w:pPr>
      <w:r w:rsidRPr="00A210B8">
        <w:rPr>
          <w:rFonts w:ascii="Times New Roman" w:eastAsia="Times New Roman" w:hAnsi="Times New Roman" w:cs="Times New Roman"/>
          <w:b/>
          <w:bCs/>
        </w:rPr>
        <w:t xml:space="preserve">A tantárgy meghirdetésének gyakorisága/a tantervben történő félévi elhelyezkedése: </w:t>
      </w:r>
      <w:r w:rsidRPr="00A210B8">
        <w:rPr>
          <w:rFonts w:ascii="Times New Roman" w:eastAsia="Times New Roman" w:hAnsi="Times New Roman" w:cs="Times New Roman"/>
          <w:b/>
          <w:bCs/>
        </w:rPr>
        <w:br/>
      </w:r>
      <w:r w:rsidRPr="00A210B8">
        <w:rPr>
          <w:rFonts w:ascii="Times New Roman" w:hAnsi="Times New Roman" w:cs="Times New Roman"/>
        </w:rPr>
        <w:t>évente / 5. félév</w:t>
      </w:r>
    </w:p>
    <w:p w:rsidR="00FC44E3" w:rsidRPr="00A210B8" w:rsidRDefault="00FC44E3" w:rsidP="00980876">
      <w:pPr>
        <w:widowControl w:val="0"/>
        <w:numPr>
          <w:ilvl w:val="0"/>
          <w:numId w:val="553"/>
        </w:numPr>
        <w:tabs>
          <w:tab w:val="clear" w:pos="720"/>
          <w:tab w:val="num" w:pos="502"/>
        </w:tabs>
        <w:spacing w:before="120" w:after="120" w:line="240" w:lineRule="auto"/>
        <w:ind w:left="426" w:hanging="142"/>
        <w:jc w:val="both"/>
        <w:rPr>
          <w:rFonts w:ascii="Times New Roman" w:eastAsia="Times New Roman" w:hAnsi="Times New Roman" w:cs="Times New Roman"/>
          <w:bCs/>
        </w:rPr>
      </w:pPr>
      <w:r w:rsidRPr="00A210B8">
        <w:rPr>
          <w:rFonts w:ascii="Times New Roman" w:eastAsia="Times New Roman" w:hAnsi="Times New Roman" w:cs="Times New Roman"/>
          <w:b/>
          <w:bCs/>
        </w:rPr>
        <w:t>A tanórákon való részvétel követelményei, az elfogadható hiányzások mértéke, a távolmaradás pótlásának lehetősége:</w:t>
      </w:r>
      <w:r w:rsidRPr="00A210B8">
        <w:rPr>
          <w:rFonts w:ascii="Times New Roman" w:eastAsia="Times New Roman" w:hAnsi="Times New Roman" w:cs="Times New Roman"/>
          <w:bCs/>
        </w:rPr>
        <w:t xml:space="preserve"> A tantárgy teljesítéséhez a tanórák legalább 70%-án jelen kell lennie a hallgatónak.</w:t>
      </w:r>
      <w:r w:rsidRPr="00D901F2">
        <w:rPr>
          <w:rFonts w:ascii="Times New Roman" w:eastAsia="Times New Roman" w:hAnsi="Times New Roman" w:cs="Times New Roman"/>
          <w:bCs/>
        </w:rPr>
        <w:t xml:space="preserve"> </w:t>
      </w:r>
      <w:r w:rsidRPr="005411A4">
        <w:rPr>
          <w:rFonts w:ascii="Times New Roman" w:eastAsia="Times New Roman" w:hAnsi="Times New Roman" w:cs="Times New Roman"/>
          <w:bCs/>
        </w:rPr>
        <w:t>Az ezt meghaladó mértékű hiányzás a féléves aláírás megtagadását vonja maga után.</w:t>
      </w:r>
      <w:r>
        <w:rPr>
          <w:rFonts w:ascii="Times New Roman" w:eastAsia="Times New Roman" w:hAnsi="Times New Roman" w:cs="Times New Roman"/>
          <w:bCs/>
        </w:rPr>
        <w:t xml:space="preserve"> </w:t>
      </w:r>
      <w:r w:rsidRPr="00A210B8">
        <w:rPr>
          <w:rFonts w:ascii="Times New Roman" w:eastAsia="Times New Roman" w:hAnsi="Times New Roman" w:cs="Times New Roman"/>
          <w:bCs/>
        </w:rPr>
        <w:t>A távollétet a hiányzást követő első foglalkozáson kell igazolnia. A hallgató köteles a mulasztott tanóra anyagát beszerezni, abból önállóan felkészülni.</w:t>
      </w:r>
    </w:p>
    <w:p w:rsidR="00FC44E3" w:rsidRPr="00A210B8" w:rsidRDefault="00FC44E3" w:rsidP="00980876">
      <w:pPr>
        <w:widowControl w:val="0"/>
        <w:numPr>
          <w:ilvl w:val="0"/>
          <w:numId w:val="553"/>
        </w:numPr>
        <w:tabs>
          <w:tab w:val="clear" w:pos="720"/>
          <w:tab w:val="num" w:pos="502"/>
        </w:tabs>
        <w:spacing w:before="120" w:after="120" w:line="240" w:lineRule="auto"/>
        <w:ind w:left="426" w:hanging="142"/>
        <w:jc w:val="both"/>
        <w:rPr>
          <w:rFonts w:ascii="Times New Roman" w:eastAsia="Times New Roman" w:hAnsi="Times New Roman" w:cs="Times New Roman"/>
          <w:bCs/>
        </w:rPr>
      </w:pPr>
      <w:r w:rsidRPr="00A210B8">
        <w:rPr>
          <w:rFonts w:ascii="Times New Roman" w:eastAsia="Times New Roman" w:hAnsi="Times New Roman" w:cs="Times New Roman"/>
          <w:b/>
        </w:rPr>
        <w:t>Félévközi feladatok, ismeretek ellenőrzésének rendje:</w:t>
      </w:r>
      <w:r w:rsidRPr="00A210B8">
        <w:rPr>
          <w:rFonts w:ascii="Times New Roman" w:eastAsia="Times New Roman" w:hAnsi="Times New Roman" w:cs="Times New Roman"/>
          <w:bCs/>
        </w:rPr>
        <w:t xml:space="preserve"> </w:t>
      </w:r>
    </w:p>
    <w:p w:rsidR="00FC44E3" w:rsidRPr="00A210B8" w:rsidRDefault="00FC44E3" w:rsidP="00FC44E3">
      <w:pPr>
        <w:widowControl w:val="0"/>
        <w:spacing w:before="120" w:after="120" w:line="240" w:lineRule="auto"/>
        <w:ind w:left="426"/>
        <w:jc w:val="both"/>
        <w:rPr>
          <w:rFonts w:ascii="Times New Roman" w:eastAsia="Times New Roman" w:hAnsi="Times New Roman" w:cs="Times New Roman"/>
        </w:rPr>
      </w:pPr>
      <w:r w:rsidRPr="00A210B8">
        <w:rPr>
          <w:rFonts w:ascii="Times New Roman" w:eastAsia="Times New Roman" w:hAnsi="Times New Roman" w:cs="Times New Roman"/>
          <w:bCs/>
        </w:rPr>
        <w:t>A számonkérés a félév során egy zárthelyi dolgozat keretében történik.</w:t>
      </w:r>
      <w:r w:rsidR="00F25FE1">
        <w:rPr>
          <w:rFonts w:ascii="Times New Roman" w:eastAsia="Times New Roman" w:hAnsi="Times New Roman" w:cs="Times New Roman"/>
          <w:bCs/>
        </w:rPr>
        <w:t xml:space="preserve"> </w:t>
      </w:r>
      <w:r>
        <w:rPr>
          <w:rFonts w:ascii="Times New Roman" w:eastAsia="Times New Roman" w:hAnsi="Times New Roman" w:cs="Times New Roman"/>
          <w:bCs/>
        </w:rPr>
        <w:t>A dolgozat</w:t>
      </w:r>
      <w:r w:rsidRPr="00A210B8">
        <w:rPr>
          <w:rFonts w:ascii="Times New Roman" w:eastAsia="Times New Roman" w:hAnsi="Times New Roman" w:cs="Times New Roman"/>
          <w:bCs/>
        </w:rPr>
        <w:t xml:space="preserve"> pótlására, javítására egyszer van lehetőség egy pótdolgozat keretében.</w:t>
      </w:r>
      <w:r w:rsidR="00F25FE1">
        <w:rPr>
          <w:rFonts w:ascii="Times New Roman" w:eastAsia="Times New Roman" w:hAnsi="Times New Roman" w:cs="Times New Roman"/>
          <w:bCs/>
        </w:rPr>
        <w:t xml:space="preserve"> </w:t>
      </w:r>
      <w:r w:rsidRPr="00A210B8">
        <w:rPr>
          <w:rFonts w:ascii="Times New Roman" w:eastAsia="Times New Roman" w:hAnsi="Times New Roman" w:cs="Times New Roman"/>
        </w:rPr>
        <w:t>Az érdemjegy megszerzéséhez a zárthelyi dolgozat pontszámának vagy a pótdolgozat pontszámának több mint 50%-a szükséges. Az elégséges érdemjegyhez a zárthelyi dolgozat pontszámának 51-60% szükséges, közepeshez 61-75%, jóhoz 76-90%, jeleshez 91-100%.</w:t>
      </w:r>
    </w:p>
    <w:p w:rsidR="00FC44E3" w:rsidRPr="00A210B8" w:rsidRDefault="00FC44E3" w:rsidP="00980876">
      <w:pPr>
        <w:widowControl w:val="0"/>
        <w:numPr>
          <w:ilvl w:val="0"/>
          <w:numId w:val="553"/>
        </w:numPr>
        <w:tabs>
          <w:tab w:val="clear" w:pos="720"/>
          <w:tab w:val="num" w:pos="502"/>
        </w:tabs>
        <w:spacing w:before="120" w:after="120" w:line="240" w:lineRule="auto"/>
        <w:ind w:left="426" w:hanging="142"/>
        <w:jc w:val="both"/>
        <w:rPr>
          <w:rFonts w:ascii="Times New Roman" w:eastAsia="Times New Roman" w:hAnsi="Times New Roman" w:cs="Times New Roman"/>
          <w:b/>
          <w:bCs/>
        </w:rPr>
      </w:pPr>
      <w:r w:rsidRPr="00A210B8">
        <w:rPr>
          <w:rFonts w:ascii="Times New Roman" w:eastAsia="Times New Roman" w:hAnsi="Times New Roman" w:cs="Times New Roman"/>
          <w:b/>
          <w:bCs/>
        </w:rPr>
        <w:t xml:space="preserve">Az értékelés, az aláírás és a kreditek megszerzésének pontos feltételei: </w:t>
      </w:r>
    </w:p>
    <w:p w:rsidR="00FC44E3" w:rsidRPr="00A210B8" w:rsidRDefault="00FC44E3" w:rsidP="00980876">
      <w:pPr>
        <w:widowControl w:val="0"/>
        <w:numPr>
          <w:ilvl w:val="1"/>
          <w:numId w:val="553"/>
        </w:numPr>
        <w:tabs>
          <w:tab w:val="left" w:pos="709"/>
          <w:tab w:val="left" w:pos="993"/>
        </w:tabs>
        <w:spacing w:before="120" w:after="120" w:line="240" w:lineRule="auto"/>
        <w:ind w:left="425" w:firstLine="0"/>
        <w:jc w:val="both"/>
        <w:rPr>
          <w:rFonts w:ascii="Times New Roman" w:eastAsia="Times New Roman" w:hAnsi="Times New Roman" w:cs="Times New Roman"/>
        </w:rPr>
      </w:pPr>
      <w:r w:rsidRPr="00A210B8">
        <w:rPr>
          <w:rFonts w:ascii="Times New Roman" w:eastAsia="Times New Roman" w:hAnsi="Times New Roman" w:cs="Times New Roman"/>
          <w:b/>
        </w:rPr>
        <w:t>Az aláírás megszerzésének feltételei:</w:t>
      </w:r>
      <w:r w:rsidRPr="00A210B8">
        <w:rPr>
          <w:rFonts w:ascii="Times New Roman" w:eastAsia="Times New Roman" w:hAnsi="Times New Roman" w:cs="Times New Roman"/>
        </w:rPr>
        <w:t xml:space="preserve"> Az aláírás megszerzésének feltétele a 14. pontban meghatározott arányú részvétel a foglalkozásokon valamint a 15. pontban meghatározott félévközi feladatok legalább elégséges teljesítése.</w:t>
      </w:r>
    </w:p>
    <w:p w:rsidR="00FC44E3" w:rsidRPr="00A210B8" w:rsidRDefault="00FC44E3" w:rsidP="00980876">
      <w:pPr>
        <w:widowControl w:val="0"/>
        <w:numPr>
          <w:ilvl w:val="1"/>
          <w:numId w:val="553"/>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A210B8">
        <w:rPr>
          <w:rFonts w:ascii="Times New Roman" w:eastAsia="Times New Roman" w:hAnsi="Times New Roman" w:cs="Times New Roman"/>
          <w:b/>
        </w:rPr>
        <w:t>Az értékelés:</w:t>
      </w:r>
      <w:r w:rsidRPr="00A210B8">
        <w:rPr>
          <w:rFonts w:ascii="Times New Roman" w:eastAsia="Times New Roman" w:hAnsi="Times New Roman" w:cs="Times New Roman"/>
        </w:rPr>
        <w:t xml:space="preserve"> </w:t>
      </w:r>
      <w:r w:rsidR="00F25FE1" w:rsidRPr="00F25FE1">
        <w:rPr>
          <w:rFonts w:ascii="Times New Roman" w:eastAsia="Times New Roman" w:hAnsi="Times New Roman" w:cs="Times New Roman"/>
        </w:rPr>
        <w:t>gyakorlati jegy ötfokozatú értékelés. A gyakorlati jegyet a gyakorlaton végrehajtott feladatokra kapott osztályzatok átlaga adja.</w:t>
      </w:r>
      <w:r w:rsidR="00F25FE1">
        <w:rPr>
          <w:rFonts w:ascii="Times New Roman" w:eastAsia="Times New Roman" w:hAnsi="Times New Roman" w:cs="Times New Roman"/>
          <w:b/>
          <w:i/>
          <w:color w:val="FF0000"/>
        </w:rPr>
        <w:t xml:space="preserve">  </w:t>
      </w:r>
    </w:p>
    <w:p w:rsidR="00FC44E3" w:rsidRDefault="00FC44E3" w:rsidP="00980876">
      <w:pPr>
        <w:widowControl w:val="0"/>
        <w:numPr>
          <w:ilvl w:val="1"/>
          <w:numId w:val="553"/>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8811D1">
        <w:rPr>
          <w:rFonts w:ascii="Times New Roman" w:eastAsia="Times New Roman" w:hAnsi="Times New Roman" w:cs="Times New Roman"/>
          <w:b/>
        </w:rPr>
        <w:t>A kreditek megszerzésének feltételei:</w:t>
      </w:r>
      <w:r w:rsidRPr="008811D1">
        <w:rPr>
          <w:rFonts w:ascii="Times New Roman" w:eastAsia="Times New Roman" w:hAnsi="Times New Roman" w:cs="Times New Roman"/>
        </w:rPr>
        <w:t xml:space="preserve"> A kreditek megszerzésének feltétele az aláírás megszerzése és legalább elégséges érdemjegy.</w:t>
      </w:r>
    </w:p>
    <w:p w:rsidR="00F25FE1" w:rsidRDefault="00F25FE1">
      <w:pPr>
        <w:spacing w:after="200" w:line="276" w:lineRule="auto"/>
        <w:rPr>
          <w:rFonts w:ascii="Times New Roman" w:eastAsia="Times New Roman" w:hAnsi="Times New Roman" w:cs="Times New Roman"/>
          <w:b/>
          <w:bCs/>
        </w:rPr>
      </w:pPr>
      <w:r>
        <w:rPr>
          <w:rFonts w:ascii="Times New Roman" w:eastAsia="Times New Roman" w:hAnsi="Times New Roman" w:cs="Times New Roman"/>
          <w:b/>
          <w:bCs/>
        </w:rPr>
        <w:br w:type="page"/>
      </w:r>
    </w:p>
    <w:p w:rsidR="00FC44E3" w:rsidRPr="00A210B8" w:rsidRDefault="00FC44E3" w:rsidP="00980876">
      <w:pPr>
        <w:widowControl w:val="0"/>
        <w:numPr>
          <w:ilvl w:val="0"/>
          <w:numId w:val="553"/>
        </w:numPr>
        <w:tabs>
          <w:tab w:val="clear" w:pos="720"/>
          <w:tab w:val="num" w:pos="360"/>
          <w:tab w:val="num" w:pos="502"/>
        </w:tabs>
        <w:spacing w:before="120" w:after="120" w:line="240" w:lineRule="auto"/>
        <w:ind w:left="426" w:hanging="142"/>
        <w:jc w:val="both"/>
        <w:rPr>
          <w:rFonts w:ascii="Times New Roman" w:eastAsia="Times New Roman" w:hAnsi="Times New Roman" w:cs="Times New Roman"/>
          <w:bCs/>
        </w:rPr>
      </w:pPr>
      <w:r w:rsidRPr="00A210B8">
        <w:rPr>
          <w:rFonts w:ascii="Times New Roman" w:eastAsia="Times New Roman" w:hAnsi="Times New Roman" w:cs="Times New Roman"/>
          <w:b/>
          <w:bCs/>
        </w:rPr>
        <w:lastRenderedPageBreak/>
        <w:t>Irodalomjegyzék:</w:t>
      </w:r>
    </w:p>
    <w:p w:rsidR="00FC44E3" w:rsidRPr="00A210B8" w:rsidRDefault="00FC44E3" w:rsidP="00980876">
      <w:pPr>
        <w:widowControl w:val="0"/>
        <w:numPr>
          <w:ilvl w:val="1"/>
          <w:numId w:val="553"/>
        </w:numPr>
        <w:tabs>
          <w:tab w:val="clear" w:pos="3977"/>
          <w:tab w:val="left" w:pos="567"/>
          <w:tab w:val="left" w:pos="851"/>
          <w:tab w:val="num" w:pos="2069"/>
        </w:tabs>
        <w:spacing w:before="120" w:after="120" w:line="240" w:lineRule="auto"/>
        <w:ind w:left="426" w:hanging="142"/>
        <w:jc w:val="both"/>
        <w:rPr>
          <w:rFonts w:ascii="Times New Roman" w:eastAsia="Times New Roman" w:hAnsi="Times New Roman" w:cs="Times New Roman"/>
          <w:bCs/>
        </w:rPr>
      </w:pPr>
      <w:r w:rsidRPr="00A210B8">
        <w:rPr>
          <w:rFonts w:ascii="Times New Roman" w:eastAsia="Times New Roman" w:hAnsi="Times New Roman" w:cs="Times New Roman"/>
          <w:b/>
          <w:bCs/>
        </w:rPr>
        <w:t>Kötelező irodalom:</w:t>
      </w:r>
    </w:p>
    <w:p w:rsidR="00FC44E3" w:rsidRPr="00A210B8" w:rsidRDefault="00FC44E3" w:rsidP="00980876">
      <w:pPr>
        <w:widowControl w:val="0"/>
        <w:numPr>
          <w:ilvl w:val="1"/>
          <w:numId w:val="554"/>
        </w:numPr>
        <w:spacing w:after="0" w:line="240" w:lineRule="auto"/>
        <w:jc w:val="both"/>
        <w:rPr>
          <w:rFonts w:ascii="Times New Roman" w:eastAsia="Times New Roman" w:hAnsi="Times New Roman" w:cs="Times New Roman"/>
        </w:rPr>
      </w:pPr>
      <w:r w:rsidRPr="00A210B8">
        <w:rPr>
          <w:rFonts w:ascii="Times New Roman" w:eastAsia="Times New Roman" w:hAnsi="Times New Roman" w:cs="Times New Roman"/>
        </w:rPr>
        <w:t>Scharnitzky Viktor, Differenciálegyenletek. Műszaki Könyvkiadó, 2008. ISBN: 9789631630107</w:t>
      </w:r>
    </w:p>
    <w:p w:rsidR="00FC44E3" w:rsidRPr="00A210B8" w:rsidRDefault="00FC44E3" w:rsidP="00980876">
      <w:pPr>
        <w:widowControl w:val="0"/>
        <w:numPr>
          <w:ilvl w:val="1"/>
          <w:numId w:val="554"/>
        </w:numPr>
        <w:spacing w:after="0" w:line="240" w:lineRule="auto"/>
        <w:jc w:val="both"/>
        <w:rPr>
          <w:rFonts w:ascii="Times New Roman" w:eastAsia="Times New Roman" w:hAnsi="Times New Roman" w:cs="Times New Roman"/>
        </w:rPr>
      </w:pPr>
      <w:r w:rsidRPr="00A210B8">
        <w:rPr>
          <w:rFonts w:ascii="Times New Roman" w:eastAsia="Times New Roman" w:hAnsi="Times New Roman" w:cs="Times New Roman"/>
        </w:rPr>
        <w:t xml:space="preserve">Blahota István, Kalkulus és Maxima. Nyíregyháza, 2011. </w:t>
      </w:r>
      <w:r>
        <w:rPr>
          <w:rFonts w:ascii="Times New Roman" w:eastAsia="Times New Roman" w:hAnsi="Times New Roman" w:cs="Times New Roman"/>
        </w:rPr>
        <w:t>ISBN: 978963082415</w:t>
      </w:r>
      <w:r w:rsidRPr="00A210B8">
        <w:rPr>
          <w:rFonts w:ascii="Times New Roman" w:eastAsia="Times New Roman" w:hAnsi="Times New Roman" w:cs="Times New Roman"/>
        </w:rPr>
        <w:t>6</w:t>
      </w:r>
    </w:p>
    <w:p w:rsidR="00FC44E3" w:rsidRPr="00A210B8" w:rsidRDefault="00FC44E3" w:rsidP="00980876">
      <w:pPr>
        <w:widowControl w:val="0"/>
        <w:numPr>
          <w:ilvl w:val="1"/>
          <w:numId w:val="553"/>
        </w:numPr>
        <w:tabs>
          <w:tab w:val="clear" w:pos="3977"/>
          <w:tab w:val="num" w:pos="567"/>
          <w:tab w:val="num" w:pos="2069"/>
        </w:tabs>
        <w:spacing w:before="120" w:after="120" w:line="240" w:lineRule="auto"/>
        <w:ind w:left="993" w:hanging="709"/>
        <w:jc w:val="both"/>
        <w:rPr>
          <w:rFonts w:ascii="Times New Roman" w:eastAsia="Times New Roman" w:hAnsi="Times New Roman" w:cs="Times New Roman"/>
          <w:b/>
          <w:bCs/>
        </w:rPr>
      </w:pPr>
      <w:r w:rsidRPr="00A210B8">
        <w:rPr>
          <w:rFonts w:ascii="Times New Roman" w:eastAsia="Times New Roman" w:hAnsi="Times New Roman" w:cs="Times New Roman"/>
          <w:b/>
          <w:bCs/>
        </w:rPr>
        <w:t>Ajánlott irodalom:</w:t>
      </w:r>
    </w:p>
    <w:p w:rsidR="00FC44E3" w:rsidRPr="00A210B8" w:rsidRDefault="00FC44E3" w:rsidP="00980876">
      <w:pPr>
        <w:widowControl w:val="0"/>
        <w:numPr>
          <w:ilvl w:val="0"/>
          <w:numId w:val="555"/>
        </w:numPr>
        <w:spacing w:after="0" w:line="240" w:lineRule="auto"/>
        <w:jc w:val="both"/>
        <w:rPr>
          <w:rFonts w:ascii="Times New Roman" w:eastAsia="Times New Roman" w:hAnsi="Times New Roman" w:cs="Times New Roman"/>
        </w:rPr>
      </w:pPr>
      <w:r w:rsidRPr="00A210B8">
        <w:rPr>
          <w:rFonts w:ascii="Times New Roman" w:eastAsia="Times New Roman" w:hAnsi="Times New Roman" w:cs="Times New Roman"/>
        </w:rPr>
        <w:t>K</w:t>
      </w:r>
      <w:r>
        <w:rPr>
          <w:rFonts w:ascii="Times New Roman" w:eastAsia="Times New Roman" w:hAnsi="Times New Roman" w:cs="Times New Roman"/>
        </w:rPr>
        <w:t xml:space="preserve">. </w:t>
      </w:r>
      <w:r w:rsidRPr="00A210B8">
        <w:rPr>
          <w:rFonts w:ascii="Times New Roman" w:eastAsia="Times New Roman" w:hAnsi="Times New Roman" w:cs="Times New Roman"/>
        </w:rPr>
        <w:t>K</w:t>
      </w:r>
      <w:r>
        <w:rPr>
          <w:rFonts w:ascii="Times New Roman" w:eastAsia="Times New Roman" w:hAnsi="Times New Roman" w:cs="Times New Roman"/>
        </w:rPr>
        <w:t>.</w:t>
      </w:r>
      <w:r w:rsidRPr="00A210B8">
        <w:rPr>
          <w:rFonts w:ascii="Times New Roman" w:eastAsia="Times New Roman" w:hAnsi="Times New Roman" w:cs="Times New Roman"/>
        </w:rPr>
        <w:t xml:space="preserve"> Ponomarjov</w:t>
      </w:r>
      <w:r>
        <w:rPr>
          <w:rFonts w:ascii="Times New Roman" w:eastAsia="Times New Roman" w:hAnsi="Times New Roman" w:cs="Times New Roman"/>
        </w:rPr>
        <w:t>:</w:t>
      </w:r>
      <w:r w:rsidRPr="00A210B8">
        <w:rPr>
          <w:rFonts w:ascii="Times New Roman" w:eastAsia="Times New Roman" w:hAnsi="Times New Roman" w:cs="Times New Roman"/>
        </w:rPr>
        <w:t xml:space="preserve"> Differenciálegyenletek felállítása és megoldása.</w:t>
      </w:r>
      <w:r>
        <w:rPr>
          <w:rFonts w:ascii="Times New Roman" w:eastAsia="Times New Roman" w:hAnsi="Times New Roman" w:cs="Times New Roman"/>
        </w:rPr>
        <w:t xml:space="preserve"> Tankönyvkiadó, Budapest, 1969.</w:t>
      </w:r>
    </w:p>
    <w:p w:rsidR="00FC44E3" w:rsidRPr="00A210B8" w:rsidRDefault="00FC44E3" w:rsidP="00980876">
      <w:pPr>
        <w:widowControl w:val="0"/>
        <w:numPr>
          <w:ilvl w:val="0"/>
          <w:numId w:val="555"/>
        </w:numPr>
        <w:spacing w:after="0" w:line="240" w:lineRule="auto"/>
        <w:jc w:val="both"/>
        <w:rPr>
          <w:rFonts w:ascii="Times New Roman" w:eastAsia="Times New Roman" w:hAnsi="Times New Roman" w:cs="Times New Roman"/>
        </w:rPr>
      </w:pPr>
      <w:r w:rsidRPr="00A210B8">
        <w:rPr>
          <w:rFonts w:ascii="Times New Roman" w:eastAsia="Times New Roman" w:hAnsi="Times New Roman" w:cs="Times New Roman"/>
        </w:rPr>
        <w:t>G. Donald Allen, Tutorials for Mathematics Instructors and Students, http://www.math.tamu.edu/~dallen/Maple_Tutorial/index.htm</w:t>
      </w:r>
    </w:p>
    <w:p w:rsidR="00F25FE1" w:rsidRDefault="00F25FE1" w:rsidP="00FC44E3">
      <w:pPr>
        <w:widowControl w:val="0"/>
        <w:spacing w:before="120" w:after="120" w:line="240" w:lineRule="auto"/>
        <w:jc w:val="both"/>
        <w:rPr>
          <w:rFonts w:ascii="Times New Roman" w:eastAsia="Times New Roman" w:hAnsi="Times New Roman" w:cs="Times New Roman"/>
          <w:bCs/>
        </w:rPr>
      </w:pPr>
    </w:p>
    <w:p w:rsidR="00FC44E3" w:rsidRDefault="00FC44E3" w:rsidP="00F25FE1">
      <w:pPr>
        <w:widowControl w:val="0"/>
        <w:spacing w:before="120" w:after="120" w:line="240" w:lineRule="auto"/>
        <w:ind w:firstLine="360"/>
        <w:jc w:val="both"/>
        <w:rPr>
          <w:rFonts w:ascii="Times New Roman" w:eastAsia="Times New Roman" w:hAnsi="Times New Roman" w:cs="Times New Roman"/>
          <w:bCs/>
        </w:rPr>
      </w:pPr>
      <w:r>
        <w:rPr>
          <w:rFonts w:ascii="Times New Roman" w:eastAsia="Times New Roman" w:hAnsi="Times New Roman" w:cs="Times New Roman"/>
          <w:bCs/>
        </w:rPr>
        <w:t>Budapest, 2020. január 31.</w:t>
      </w:r>
    </w:p>
    <w:p w:rsidR="00FC44E3" w:rsidRPr="00A210B8" w:rsidRDefault="00FC44E3" w:rsidP="00FC44E3">
      <w:pPr>
        <w:widowControl w:val="0"/>
        <w:spacing w:before="120" w:after="120" w:line="240" w:lineRule="auto"/>
        <w:jc w:val="both"/>
        <w:rPr>
          <w:rFonts w:ascii="Times New Roman" w:eastAsia="Times New Roman" w:hAnsi="Times New Roman" w:cs="Times New Roman"/>
          <w:bCs/>
        </w:rPr>
      </w:pPr>
    </w:p>
    <w:p w:rsidR="00FC44E3" w:rsidRPr="00A210B8" w:rsidRDefault="00FC44E3" w:rsidP="00FC44E3">
      <w:pPr>
        <w:widowControl w:val="0"/>
        <w:spacing w:after="0" w:line="240" w:lineRule="auto"/>
        <w:jc w:val="right"/>
        <w:rPr>
          <w:rFonts w:ascii="Times New Roman" w:eastAsia="Times New Roman" w:hAnsi="Times New Roman" w:cs="Times New Roman"/>
          <w:bCs/>
        </w:rPr>
      </w:pPr>
      <w:r w:rsidRPr="00A210B8">
        <w:rPr>
          <w:rFonts w:ascii="Times New Roman" w:eastAsia="Times New Roman" w:hAnsi="Times New Roman" w:cs="Times New Roman"/>
          <w:bCs/>
        </w:rPr>
        <w:t xml:space="preserve">Dr. Tóth Bence, PhD </w:t>
      </w:r>
    </w:p>
    <w:p w:rsidR="00FC44E3" w:rsidRPr="00A210B8" w:rsidRDefault="00FC44E3" w:rsidP="00FC44E3">
      <w:pPr>
        <w:widowControl w:val="0"/>
        <w:spacing w:after="0" w:line="240" w:lineRule="auto"/>
        <w:jc w:val="right"/>
        <w:rPr>
          <w:rFonts w:ascii="Times New Roman" w:eastAsia="Times New Roman" w:hAnsi="Times New Roman" w:cs="Times New Roman"/>
          <w:bCs/>
        </w:rPr>
      </w:pPr>
      <w:r w:rsidRPr="00A210B8">
        <w:rPr>
          <w:rFonts w:ascii="Times New Roman" w:eastAsia="Times New Roman" w:hAnsi="Times New Roman" w:cs="Times New Roman"/>
          <w:bCs/>
        </w:rPr>
        <w:t>adjunktus, sk.</w:t>
      </w:r>
    </w:p>
    <w:p w:rsidR="00F25FE1" w:rsidRDefault="00F25FE1">
      <w:pPr>
        <w:spacing w:after="200" w:line="276" w:lineRule="auto"/>
        <w:rPr>
          <w:rFonts w:ascii="Times New Roman" w:hAnsi="Times New Roman" w:cs="Times New Roman"/>
        </w:rPr>
      </w:pPr>
      <w:r>
        <w:rPr>
          <w:rFonts w:ascii="Times New Roman" w:hAnsi="Times New Roman" w:cs="Times New Roman"/>
        </w:rPr>
        <w:br w:type="page"/>
      </w:r>
    </w:p>
    <w:tbl>
      <w:tblPr>
        <w:tblW w:w="9072" w:type="dxa"/>
        <w:tblInd w:w="113" w:type="dxa"/>
        <w:tblLook w:val="01E0" w:firstRow="1" w:lastRow="1" w:firstColumn="1" w:lastColumn="1" w:noHBand="0" w:noVBand="0"/>
      </w:tblPr>
      <w:tblGrid>
        <w:gridCol w:w="4855"/>
        <w:gridCol w:w="1620"/>
        <w:gridCol w:w="2597"/>
      </w:tblGrid>
      <w:tr w:rsidR="00D0344B" w:rsidRPr="00E84448" w:rsidTr="001752E6">
        <w:tc>
          <w:tcPr>
            <w:tcW w:w="4855" w:type="dxa"/>
            <w:tcBorders>
              <w:bottom w:val="single" w:sz="4" w:space="0" w:color="auto"/>
            </w:tcBorders>
          </w:tcPr>
          <w:p w:rsidR="00D0344B" w:rsidRPr="00E84448" w:rsidRDefault="00D0344B" w:rsidP="001752E6">
            <w:pPr>
              <w:spacing w:after="0" w:line="240" w:lineRule="auto"/>
              <w:jc w:val="center"/>
              <w:rPr>
                <w:rFonts w:ascii="Times New Roman" w:eastAsia="Times New Roman" w:hAnsi="Times New Roman" w:cs="Times New Roman"/>
                <w:b/>
                <w:smallCaps/>
                <w:lang w:eastAsia="hu-HU"/>
              </w:rPr>
            </w:pPr>
            <w:r w:rsidRPr="00E84448">
              <w:rPr>
                <w:rFonts w:ascii="Times New Roman" w:eastAsia="Times New Roman" w:hAnsi="Times New Roman" w:cs="Times New Roman"/>
                <w:b/>
                <w:smallCaps/>
                <w:lang w:eastAsia="hu-HU"/>
              </w:rPr>
              <w:lastRenderedPageBreak/>
              <w:t>National University of Public Service</w:t>
            </w:r>
          </w:p>
        </w:tc>
        <w:tc>
          <w:tcPr>
            <w:tcW w:w="1620" w:type="dxa"/>
          </w:tcPr>
          <w:p w:rsidR="00D0344B" w:rsidRPr="00E84448" w:rsidRDefault="00D0344B" w:rsidP="001752E6">
            <w:pPr>
              <w:spacing w:after="0" w:line="240" w:lineRule="auto"/>
              <w:jc w:val="both"/>
              <w:rPr>
                <w:rFonts w:ascii="Times New Roman" w:eastAsia="Times New Roman" w:hAnsi="Times New Roman" w:cs="Times New Roman"/>
                <w:lang w:eastAsia="hu-HU"/>
              </w:rPr>
            </w:pPr>
          </w:p>
        </w:tc>
        <w:tc>
          <w:tcPr>
            <w:tcW w:w="2597" w:type="dxa"/>
          </w:tcPr>
          <w:p w:rsidR="00D0344B" w:rsidRPr="00E84448" w:rsidRDefault="00D0344B" w:rsidP="001752E6">
            <w:pPr>
              <w:spacing w:after="0" w:line="240" w:lineRule="auto"/>
              <w:jc w:val="right"/>
              <w:rPr>
                <w:rFonts w:ascii="Times New Roman" w:eastAsia="Times New Roman" w:hAnsi="Times New Roman" w:cs="Times New Roman"/>
                <w:lang w:eastAsia="hu-HU"/>
              </w:rPr>
            </w:pPr>
          </w:p>
        </w:tc>
      </w:tr>
      <w:tr w:rsidR="00D0344B" w:rsidRPr="00E84448" w:rsidTr="001752E6">
        <w:tc>
          <w:tcPr>
            <w:tcW w:w="4855" w:type="dxa"/>
            <w:tcBorders>
              <w:top w:val="single" w:sz="4" w:space="0" w:color="auto"/>
            </w:tcBorders>
          </w:tcPr>
          <w:p w:rsidR="00D0344B" w:rsidRPr="00E84448" w:rsidRDefault="00D0344B" w:rsidP="001752E6">
            <w:pPr>
              <w:spacing w:after="0" w:line="240" w:lineRule="auto"/>
              <w:jc w:val="center"/>
              <w:rPr>
                <w:rFonts w:ascii="Times New Roman" w:eastAsia="Times New Roman" w:hAnsi="Times New Roman" w:cs="Times New Roman"/>
                <w:b/>
                <w:lang w:eastAsia="hu-HU"/>
              </w:rPr>
            </w:pPr>
            <w:r w:rsidRPr="00E84448">
              <w:rPr>
                <w:rFonts w:ascii="Times New Roman" w:eastAsia="Times New Roman" w:hAnsi="Times New Roman" w:cs="Times New Roman"/>
                <w:b/>
                <w:lang w:eastAsia="hu-HU"/>
              </w:rPr>
              <w:t>Faculty of Military Science and Officer Training</w:t>
            </w:r>
          </w:p>
        </w:tc>
        <w:tc>
          <w:tcPr>
            <w:tcW w:w="1620" w:type="dxa"/>
          </w:tcPr>
          <w:p w:rsidR="00D0344B" w:rsidRPr="00E84448" w:rsidRDefault="00D0344B" w:rsidP="001752E6">
            <w:pPr>
              <w:spacing w:after="0" w:line="240" w:lineRule="auto"/>
              <w:jc w:val="both"/>
              <w:rPr>
                <w:rFonts w:ascii="Times New Roman" w:eastAsia="Times New Roman" w:hAnsi="Times New Roman" w:cs="Times New Roman"/>
                <w:lang w:eastAsia="hu-HU"/>
              </w:rPr>
            </w:pPr>
          </w:p>
        </w:tc>
        <w:tc>
          <w:tcPr>
            <w:tcW w:w="2597" w:type="dxa"/>
          </w:tcPr>
          <w:p w:rsidR="00D0344B" w:rsidRPr="00E84448" w:rsidRDefault="00D0344B" w:rsidP="001752E6">
            <w:pPr>
              <w:spacing w:after="0" w:line="240" w:lineRule="auto"/>
              <w:jc w:val="both"/>
              <w:rPr>
                <w:rFonts w:ascii="Times New Roman" w:eastAsia="Times New Roman" w:hAnsi="Times New Roman" w:cs="Times New Roman"/>
                <w:lang w:eastAsia="hu-HU"/>
              </w:rPr>
            </w:pPr>
          </w:p>
        </w:tc>
      </w:tr>
    </w:tbl>
    <w:p w:rsidR="00D0344B" w:rsidRPr="00E84448" w:rsidRDefault="00D0344B" w:rsidP="00D0344B">
      <w:pPr>
        <w:widowControl w:val="0"/>
        <w:spacing w:before="120" w:after="120" w:line="240" w:lineRule="auto"/>
        <w:ind w:left="426" w:hanging="142"/>
        <w:jc w:val="center"/>
        <w:rPr>
          <w:rFonts w:ascii="Times New Roman" w:eastAsia="Times New Roman" w:hAnsi="Times New Roman" w:cs="Times New Roman"/>
          <w:b/>
          <w:bCs/>
        </w:rPr>
      </w:pPr>
    </w:p>
    <w:p w:rsidR="00D0344B" w:rsidRPr="00E84448" w:rsidRDefault="00D0344B" w:rsidP="00D0344B">
      <w:pPr>
        <w:widowControl w:val="0"/>
        <w:spacing w:before="120" w:after="120" w:line="240" w:lineRule="auto"/>
        <w:ind w:left="426" w:hanging="142"/>
        <w:jc w:val="center"/>
        <w:rPr>
          <w:rFonts w:ascii="Times New Roman" w:eastAsia="Times New Roman" w:hAnsi="Times New Roman" w:cs="Times New Roman"/>
          <w:b/>
          <w:bCs/>
        </w:rPr>
      </w:pPr>
      <w:r>
        <w:rPr>
          <w:rFonts w:ascii="Times New Roman" w:eastAsia="Times New Roman" w:hAnsi="Times New Roman" w:cs="Times New Roman"/>
          <w:b/>
          <w:bCs/>
        </w:rPr>
        <w:t>CURRICULUM</w:t>
      </w:r>
    </w:p>
    <w:p w:rsidR="00D0344B" w:rsidRPr="00E84448" w:rsidRDefault="00D0344B" w:rsidP="00980876">
      <w:pPr>
        <w:widowControl w:val="0"/>
        <w:numPr>
          <w:ilvl w:val="0"/>
          <w:numId w:val="556"/>
        </w:numPr>
        <w:tabs>
          <w:tab w:val="clear" w:pos="720"/>
          <w:tab w:val="num" w:pos="502"/>
          <w:tab w:val="num" w:pos="567"/>
        </w:tabs>
        <w:spacing w:before="120" w:after="120" w:line="240" w:lineRule="auto"/>
        <w:ind w:left="426" w:hanging="142"/>
        <w:jc w:val="both"/>
        <w:rPr>
          <w:rFonts w:ascii="Times New Roman" w:eastAsia="Times New Roman" w:hAnsi="Times New Roman" w:cs="Times New Roman"/>
          <w:bCs/>
        </w:rPr>
      </w:pPr>
      <w:r w:rsidRPr="00E84448">
        <w:rPr>
          <w:rFonts w:ascii="Times New Roman" w:eastAsia="Times New Roman" w:hAnsi="Times New Roman" w:cs="Times New Roman"/>
          <w:b/>
          <w:bCs/>
        </w:rPr>
        <w:t xml:space="preserve">Code of subject: </w:t>
      </w:r>
      <w:r w:rsidRPr="00A210B8">
        <w:rPr>
          <w:rFonts w:ascii="Times New Roman" w:eastAsia="Times New Roman" w:hAnsi="Times New Roman" w:cs="Times New Roman"/>
          <w:bCs/>
        </w:rPr>
        <w:t>H</w:t>
      </w:r>
      <w:r>
        <w:rPr>
          <w:rFonts w:ascii="Times New Roman" w:eastAsia="Times New Roman" w:hAnsi="Times New Roman" w:cs="Times New Roman"/>
          <w:bCs/>
        </w:rPr>
        <w:t>K</w:t>
      </w:r>
      <w:r w:rsidRPr="00A210B8">
        <w:rPr>
          <w:rFonts w:ascii="Times New Roman" w:eastAsia="Times New Roman" w:hAnsi="Times New Roman" w:cs="Times New Roman"/>
          <w:bCs/>
        </w:rPr>
        <w:t>925</w:t>
      </w:r>
      <w:r>
        <w:rPr>
          <w:rFonts w:ascii="Times New Roman" w:eastAsia="Times New Roman" w:hAnsi="Times New Roman" w:cs="Times New Roman"/>
          <w:bCs/>
        </w:rPr>
        <w:t>A193</w:t>
      </w:r>
    </w:p>
    <w:p w:rsidR="00D0344B" w:rsidRPr="00E84448" w:rsidRDefault="00D0344B" w:rsidP="00980876">
      <w:pPr>
        <w:widowControl w:val="0"/>
        <w:numPr>
          <w:ilvl w:val="0"/>
          <w:numId w:val="556"/>
        </w:numPr>
        <w:tabs>
          <w:tab w:val="clear" w:pos="720"/>
          <w:tab w:val="num" w:pos="502"/>
          <w:tab w:val="num" w:pos="567"/>
        </w:tabs>
        <w:spacing w:before="120" w:after="120" w:line="240" w:lineRule="auto"/>
        <w:ind w:left="426" w:hanging="142"/>
        <w:jc w:val="both"/>
        <w:rPr>
          <w:rFonts w:ascii="Times New Roman" w:eastAsia="Times New Roman" w:hAnsi="Times New Roman" w:cs="Times New Roman"/>
          <w:b/>
          <w:bCs/>
          <w:lang w:val="en-GB"/>
        </w:rPr>
      </w:pPr>
      <w:r>
        <w:rPr>
          <w:rFonts w:ascii="Times New Roman" w:eastAsia="Times New Roman" w:hAnsi="Times New Roman" w:cs="Times New Roman"/>
          <w:b/>
          <w:bCs/>
        </w:rPr>
        <w:t>S</w:t>
      </w:r>
      <w:r w:rsidRPr="00E84448">
        <w:rPr>
          <w:rFonts w:ascii="Times New Roman" w:eastAsia="Times New Roman" w:hAnsi="Times New Roman" w:cs="Times New Roman"/>
          <w:b/>
          <w:bCs/>
        </w:rPr>
        <w:t>ubject</w:t>
      </w:r>
      <w:r>
        <w:rPr>
          <w:rFonts w:ascii="Times New Roman" w:eastAsia="Times New Roman" w:hAnsi="Times New Roman" w:cs="Times New Roman"/>
          <w:b/>
          <w:bCs/>
        </w:rPr>
        <w:t xml:space="preserve"> title</w:t>
      </w:r>
      <w:r w:rsidRPr="00E84448">
        <w:rPr>
          <w:rFonts w:ascii="Times New Roman" w:eastAsia="Times New Roman" w:hAnsi="Times New Roman" w:cs="Times New Roman"/>
          <w:b/>
          <w:bCs/>
        </w:rPr>
        <w:t>:</w:t>
      </w:r>
      <w:r w:rsidRPr="00E84448">
        <w:rPr>
          <w:rFonts w:ascii="Times New Roman" w:eastAsia="Times New Roman" w:hAnsi="Times New Roman" w:cs="Times New Roman"/>
          <w:bCs/>
        </w:rPr>
        <w:t xml:space="preserve"> </w:t>
      </w:r>
      <w:r w:rsidRPr="00A210B8">
        <w:rPr>
          <w:rFonts w:ascii="Times New Roman" w:eastAsia="Times New Roman" w:hAnsi="Times New Roman" w:cs="Times New Roman"/>
          <w:bCs/>
        </w:rPr>
        <w:t xml:space="preserve">Computer </w:t>
      </w:r>
      <w:r>
        <w:rPr>
          <w:rFonts w:ascii="Times New Roman" w:eastAsia="Times New Roman" w:hAnsi="Times New Roman" w:cs="Times New Roman"/>
          <w:bCs/>
        </w:rPr>
        <w:t>V</w:t>
      </w:r>
      <w:r w:rsidRPr="00A210B8">
        <w:rPr>
          <w:rFonts w:ascii="Times New Roman" w:eastAsia="Times New Roman" w:hAnsi="Times New Roman" w:cs="Times New Roman"/>
          <w:bCs/>
        </w:rPr>
        <w:t xml:space="preserve">isualization and </w:t>
      </w:r>
      <w:r>
        <w:rPr>
          <w:rFonts w:ascii="Times New Roman" w:eastAsia="Times New Roman" w:hAnsi="Times New Roman" w:cs="Times New Roman"/>
          <w:bCs/>
        </w:rPr>
        <w:t>P</w:t>
      </w:r>
      <w:r w:rsidRPr="00A210B8">
        <w:rPr>
          <w:rFonts w:ascii="Times New Roman" w:eastAsia="Times New Roman" w:hAnsi="Times New Roman" w:cs="Times New Roman"/>
          <w:bCs/>
        </w:rPr>
        <w:t xml:space="preserve">roblem </w:t>
      </w:r>
      <w:r>
        <w:rPr>
          <w:rFonts w:ascii="Times New Roman" w:eastAsia="Times New Roman" w:hAnsi="Times New Roman" w:cs="Times New Roman"/>
          <w:bCs/>
        </w:rPr>
        <w:t>S</w:t>
      </w:r>
      <w:r w:rsidRPr="00A210B8">
        <w:rPr>
          <w:rFonts w:ascii="Times New Roman" w:eastAsia="Times New Roman" w:hAnsi="Times New Roman" w:cs="Times New Roman"/>
          <w:bCs/>
        </w:rPr>
        <w:t>olving</w:t>
      </w:r>
      <w:r w:rsidRPr="00E84448">
        <w:rPr>
          <w:rFonts w:ascii="Times New Roman" w:eastAsia="Times New Roman" w:hAnsi="Times New Roman" w:cs="Times New Roman"/>
          <w:bCs/>
        </w:rPr>
        <w:t xml:space="preserve"> </w:t>
      </w:r>
      <w:r>
        <w:rPr>
          <w:rFonts w:ascii="Times New Roman" w:eastAsia="Times New Roman" w:hAnsi="Times New Roman" w:cs="Times New Roman"/>
          <w:bCs/>
        </w:rPr>
        <w:t>LOG</w:t>
      </w:r>
    </w:p>
    <w:p w:rsidR="00D0344B" w:rsidRPr="00E84448" w:rsidRDefault="00D0344B" w:rsidP="00980876">
      <w:pPr>
        <w:widowControl w:val="0"/>
        <w:numPr>
          <w:ilvl w:val="0"/>
          <w:numId w:val="556"/>
        </w:numPr>
        <w:tabs>
          <w:tab w:val="clear" w:pos="720"/>
          <w:tab w:val="num" w:pos="502"/>
          <w:tab w:val="num" w:pos="567"/>
        </w:tabs>
        <w:spacing w:before="120" w:after="120" w:line="240" w:lineRule="auto"/>
        <w:ind w:left="426" w:hanging="142"/>
        <w:jc w:val="both"/>
        <w:rPr>
          <w:rFonts w:ascii="Times New Roman" w:eastAsia="Times New Roman" w:hAnsi="Times New Roman" w:cs="Times New Roman"/>
          <w:b/>
          <w:bCs/>
        </w:rPr>
      </w:pPr>
      <w:r w:rsidRPr="00E84448">
        <w:rPr>
          <w:rFonts w:ascii="Times New Roman" w:eastAsia="Times New Roman" w:hAnsi="Times New Roman" w:cs="Times New Roman"/>
          <w:b/>
          <w:bCs/>
        </w:rPr>
        <w:t xml:space="preserve">Credit value and educational character: </w:t>
      </w:r>
    </w:p>
    <w:p w:rsidR="00D0344B" w:rsidRPr="00E84448" w:rsidRDefault="00D0344B" w:rsidP="00980876">
      <w:pPr>
        <w:pStyle w:val="Listaszerbekezds"/>
        <w:widowControl w:val="0"/>
        <w:numPr>
          <w:ilvl w:val="1"/>
          <w:numId w:val="556"/>
        </w:numPr>
        <w:tabs>
          <w:tab w:val="clear" w:pos="3977"/>
        </w:tabs>
        <w:spacing w:before="120" w:after="120" w:line="240" w:lineRule="auto"/>
        <w:ind w:left="993" w:hanging="426"/>
        <w:jc w:val="both"/>
        <w:rPr>
          <w:rFonts w:ascii="Times New Roman" w:eastAsia="Times New Roman" w:hAnsi="Times New Roman" w:cs="Times New Roman"/>
          <w:b/>
          <w:bCs/>
        </w:rPr>
      </w:pPr>
      <w:r w:rsidRPr="00E84448">
        <w:rPr>
          <w:rFonts w:ascii="Times New Roman" w:eastAsia="Times New Roman" w:hAnsi="Times New Roman" w:cs="Times New Roman"/>
          <w:bCs/>
        </w:rPr>
        <w:t>2 credits</w:t>
      </w:r>
    </w:p>
    <w:p w:rsidR="00D0344B" w:rsidRPr="00E84448" w:rsidRDefault="00D0344B" w:rsidP="00980876">
      <w:pPr>
        <w:pStyle w:val="Listaszerbekezds"/>
        <w:widowControl w:val="0"/>
        <w:numPr>
          <w:ilvl w:val="1"/>
          <w:numId w:val="556"/>
        </w:numPr>
        <w:tabs>
          <w:tab w:val="clear" w:pos="3977"/>
        </w:tabs>
        <w:spacing w:before="120" w:after="120" w:line="240" w:lineRule="auto"/>
        <w:ind w:left="993" w:hanging="426"/>
        <w:jc w:val="both"/>
        <w:rPr>
          <w:rFonts w:ascii="Times New Roman" w:eastAsia="Times New Roman" w:hAnsi="Times New Roman" w:cs="Times New Roman"/>
          <w:b/>
          <w:bCs/>
        </w:rPr>
      </w:pPr>
      <w:r w:rsidRPr="00E84448">
        <w:rPr>
          <w:rFonts w:ascii="Times New Roman" w:eastAsia="Times New Roman" w:hAnsi="Times New Roman" w:cs="Times New Roman"/>
          <w:bCs/>
        </w:rPr>
        <w:t xml:space="preserve">level of theoretical and/or practical character of subject: </w:t>
      </w:r>
      <w:r>
        <w:rPr>
          <w:rFonts w:ascii="Times New Roman" w:eastAsia="Times New Roman" w:hAnsi="Times New Roman" w:cs="Times New Roman"/>
          <w:bCs/>
        </w:rPr>
        <w:t>5</w:t>
      </w:r>
      <w:r w:rsidRPr="00E84448">
        <w:rPr>
          <w:rFonts w:ascii="Times New Roman" w:eastAsia="Times New Roman" w:hAnsi="Times New Roman" w:cs="Times New Roman"/>
          <w:bCs/>
        </w:rPr>
        <w:t xml:space="preserve">0 % practice, </w:t>
      </w:r>
      <w:r>
        <w:rPr>
          <w:rFonts w:ascii="Times New Roman" w:eastAsia="Times New Roman" w:hAnsi="Times New Roman" w:cs="Times New Roman"/>
          <w:bCs/>
        </w:rPr>
        <w:t>5</w:t>
      </w:r>
      <w:r w:rsidRPr="00E84448">
        <w:rPr>
          <w:rFonts w:ascii="Times New Roman" w:eastAsia="Times New Roman" w:hAnsi="Times New Roman" w:cs="Times New Roman"/>
          <w:bCs/>
        </w:rPr>
        <w:t>0 % theory</w:t>
      </w:r>
    </w:p>
    <w:p w:rsidR="00D0344B" w:rsidRPr="00E84448" w:rsidRDefault="00D0344B" w:rsidP="00980876">
      <w:pPr>
        <w:widowControl w:val="0"/>
        <w:numPr>
          <w:ilvl w:val="0"/>
          <w:numId w:val="556"/>
        </w:numPr>
        <w:tabs>
          <w:tab w:val="clear" w:pos="720"/>
          <w:tab w:val="num" w:pos="502"/>
        </w:tabs>
        <w:spacing w:before="120" w:after="120" w:line="240" w:lineRule="auto"/>
        <w:ind w:left="426" w:hanging="142"/>
        <w:jc w:val="both"/>
        <w:rPr>
          <w:rFonts w:ascii="Times New Roman" w:eastAsia="Times New Roman" w:hAnsi="Times New Roman" w:cs="Times New Roman"/>
          <w:bCs/>
          <w:color w:val="92D050"/>
        </w:rPr>
      </w:pPr>
      <w:r w:rsidRPr="00E84448">
        <w:rPr>
          <w:rFonts w:ascii="Times New Roman" w:eastAsia="Times New Roman" w:hAnsi="Times New Roman" w:cs="Times New Roman"/>
          <w:b/>
          <w:bCs/>
        </w:rPr>
        <w:t>Name(s) of programme(s), specialization(s)/module(s) (where taught):</w:t>
      </w:r>
      <w:r w:rsidRPr="00E84448">
        <w:rPr>
          <w:rFonts w:ascii="Times New Roman" w:eastAsia="Times New Roman" w:hAnsi="Times New Roman" w:cs="Times New Roman"/>
          <w:bCs/>
        </w:rPr>
        <w:t xml:space="preserve"> Military Logistics </w:t>
      </w:r>
      <w:r w:rsidR="00137B8A">
        <w:rPr>
          <w:rFonts w:ascii="Times New Roman" w:eastAsia="Times New Roman" w:hAnsi="Times New Roman" w:cs="Times New Roman"/>
          <w:bCs/>
        </w:rPr>
        <w:t>BSc</w:t>
      </w:r>
    </w:p>
    <w:p w:rsidR="00D0344B" w:rsidRPr="00E84448" w:rsidRDefault="00D0344B" w:rsidP="00980876">
      <w:pPr>
        <w:widowControl w:val="0"/>
        <w:numPr>
          <w:ilvl w:val="0"/>
          <w:numId w:val="556"/>
        </w:numPr>
        <w:tabs>
          <w:tab w:val="clear" w:pos="720"/>
          <w:tab w:val="num" w:pos="502"/>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O</w:t>
      </w:r>
      <w:r w:rsidRPr="00E84448">
        <w:rPr>
          <w:rFonts w:ascii="Times New Roman" w:eastAsia="Times New Roman" w:hAnsi="Times New Roman" w:cs="Times New Roman"/>
          <w:b/>
          <w:bCs/>
        </w:rPr>
        <w:t xml:space="preserve">rganizational unit responsible for its education: </w:t>
      </w:r>
      <w:r w:rsidRPr="00E84448">
        <w:rPr>
          <w:rFonts w:ascii="Times New Roman" w:eastAsia="Times New Roman" w:hAnsi="Times New Roman" w:cs="Times New Roman"/>
          <w:bCs/>
        </w:rPr>
        <w:t>Department of Natural Sciences</w:t>
      </w:r>
    </w:p>
    <w:p w:rsidR="00D0344B" w:rsidRPr="00E84448" w:rsidRDefault="00D0344B" w:rsidP="00980876">
      <w:pPr>
        <w:widowControl w:val="0"/>
        <w:numPr>
          <w:ilvl w:val="0"/>
          <w:numId w:val="556"/>
        </w:numPr>
        <w:tabs>
          <w:tab w:val="clear" w:pos="720"/>
          <w:tab w:val="num" w:pos="502"/>
          <w:tab w:val="num" w:pos="567"/>
        </w:tabs>
        <w:spacing w:before="120" w:after="120" w:line="240" w:lineRule="auto"/>
        <w:ind w:left="426" w:hanging="142"/>
        <w:jc w:val="both"/>
        <w:rPr>
          <w:rFonts w:ascii="Times New Roman" w:eastAsia="Times New Roman" w:hAnsi="Times New Roman" w:cs="Times New Roman"/>
          <w:bCs/>
          <w:spacing w:val="-2"/>
        </w:rPr>
      </w:pPr>
      <w:r w:rsidRPr="00E84448">
        <w:rPr>
          <w:rFonts w:ascii="Liberation Serif" w:hAnsi="Liberation Serif" w:cs="Liberation Serif"/>
          <w:b/>
          <w:bCs/>
          <w:lang w:val="en-US"/>
        </w:rPr>
        <w:t>Name, position, academic degree of tutor responsible for the curriculum</w:t>
      </w:r>
      <w:r w:rsidRPr="00E84448">
        <w:rPr>
          <w:rFonts w:ascii="Times New Roman" w:eastAsia="Times New Roman" w:hAnsi="Times New Roman" w:cs="Times New Roman"/>
          <w:b/>
          <w:bCs/>
          <w:spacing w:val="-2"/>
        </w:rPr>
        <w:t>:</w:t>
      </w:r>
      <w:r w:rsidRPr="00E84448">
        <w:rPr>
          <w:rFonts w:ascii="Times New Roman" w:eastAsia="Times New Roman" w:hAnsi="Times New Roman" w:cs="Times New Roman"/>
          <w:bCs/>
          <w:spacing w:val="-2"/>
        </w:rPr>
        <w:t xml:space="preserve"> Dr. Bence TÓTH, senior lecturer, PhD</w:t>
      </w:r>
    </w:p>
    <w:p w:rsidR="00D0344B" w:rsidRPr="00E84448" w:rsidRDefault="00D0344B" w:rsidP="00980876">
      <w:pPr>
        <w:widowControl w:val="0"/>
        <w:numPr>
          <w:ilvl w:val="0"/>
          <w:numId w:val="556"/>
        </w:numPr>
        <w:tabs>
          <w:tab w:val="clear" w:pos="720"/>
          <w:tab w:val="num" w:pos="502"/>
        </w:tabs>
        <w:spacing w:before="120" w:after="120" w:line="240" w:lineRule="auto"/>
        <w:ind w:left="426" w:hanging="142"/>
        <w:jc w:val="both"/>
        <w:rPr>
          <w:rFonts w:ascii="Times New Roman" w:eastAsia="Times New Roman" w:hAnsi="Times New Roman" w:cs="Times New Roman"/>
          <w:bCs/>
        </w:rPr>
      </w:pPr>
      <w:r w:rsidRPr="00E84448">
        <w:rPr>
          <w:rFonts w:ascii="Times New Roman" w:eastAsia="Times New Roman" w:hAnsi="Times New Roman" w:cs="Times New Roman"/>
          <w:b/>
          <w:bCs/>
        </w:rPr>
        <w:t>Number and type of classes</w:t>
      </w:r>
    </w:p>
    <w:p w:rsidR="00D0344B" w:rsidRPr="00E84448" w:rsidRDefault="00D0344B" w:rsidP="00980876">
      <w:pPr>
        <w:widowControl w:val="0"/>
        <w:numPr>
          <w:ilvl w:val="1"/>
          <w:numId w:val="556"/>
        </w:numPr>
        <w:tabs>
          <w:tab w:val="clear" w:pos="3977"/>
          <w:tab w:val="num" w:pos="709"/>
          <w:tab w:val="num" w:pos="2069"/>
        </w:tabs>
        <w:spacing w:before="120" w:after="120" w:line="240" w:lineRule="auto"/>
        <w:ind w:left="851" w:hanging="425"/>
        <w:jc w:val="both"/>
        <w:rPr>
          <w:rFonts w:ascii="Times New Roman" w:eastAsia="Times New Roman" w:hAnsi="Times New Roman" w:cs="Times New Roman"/>
          <w:bCs/>
        </w:rPr>
      </w:pPr>
      <w:r w:rsidRPr="00E84448">
        <w:rPr>
          <w:rFonts w:ascii="Times New Roman" w:eastAsia="Times New Roman" w:hAnsi="Times New Roman" w:cs="Times New Roman"/>
          <w:bCs/>
        </w:rPr>
        <w:t>total number of classes per term:</w:t>
      </w:r>
    </w:p>
    <w:p w:rsidR="00D0344B" w:rsidRPr="00E84448" w:rsidRDefault="00D0344B" w:rsidP="00980876">
      <w:pPr>
        <w:widowControl w:val="0"/>
        <w:numPr>
          <w:ilvl w:val="2"/>
          <w:numId w:val="556"/>
        </w:numPr>
        <w:tabs>
          <w:tab w:val="num" w:pos="709"/>
          <w:tab w:val="num" w:pos="1134"/>
        </w:tabs>
        <w:spacing w:before="120" w:after="120" w:line="240" w:lineRule="auto"/>
        <w:ind w:left="993" w:hanging="425"/>
        <w:jc w:val="both"/>
        <w:rPr>
          <w:rFonts w:ascii="Times New Roman" w:eastAsia="Times New Roman" w:hAnsi="Times New Roman" w:cs="Times New Roman"/>
          <w:bCs/>
        </w:rPr>
      </w:pPr>
      <w:r w:rsidRPr="00E84448">
        <w:rPr>
          <w:rFonts w:ascii="Times New Roman" w:eastAsia="Times New Roman" w:hAnsi="Times New Roman" w:cs="Times New Roman"/>
          <w:bCs/>
        </w:rPr>
        <w:t xml:space="preserve">full time training: </w:t>
      </w:r>
      <w:r>
        <w:rPr>
          <w:rFonts w:ascii="Times New Roman" w:eastAsia="Times New Roman" w:hAnsi="Times New Roman" w:cs="Times New Roman"/>
          <w:bCs/>
        </w:rPr>
        <w:t>28</w:t>
      </w:r>
      <w:r w:rsidRPr="00E84448">
        <w:rPr>
          <w:rFonts w:ascii="Times New Roman" w:eastAsia="Times New Roman" w:hAnsi="Times New Roman" w:cs="Times New Roman"/>
          <w:bCs/>
        </w:rPr>
        <w:t xml:space="preserve"> (</w:t>
      </w:r>
      <w:r>
        <w:rPr>
          <w:rFonts w:ascii="Times New Roman" w:eastAsia="Times New Roman" w:hAnsi="Times New Roman" w:cs="Times New Roman"/>
          <w:bCs/>
        </w:rPr>
        <w:t>14</w:t>
      </w:r>
      <w:r w:rsidRPr="00E84448">
        <w:rPr>
          <w:rFonts w:ascii="Times New Roman" w:eastAsia="Times New Roman" w:hAnsi="Times New Roman" w:cs="Times New Roman"/>
          <w:bCs/>
        </w:rPr>
        <w:t xml:space="preserve"> lecture + 0 seminar + </w:t>
      </w:r>
      <w:r>
        <w:rPr>
          <w:rFonts w:ascii="Times New Roman" w:eastAsia="Times New Roman" w:hAnsi="Times New Roman" w:cs="Times New Roman"/>
          <w:bCs/>
        </w:rPr>
        <w:t>14</w:t>
      </w:r>
      <w:r w:rsidRPr="00E84448">
        <w:rPr>
          <w:rFonts w:ascii="Times New Roman" w:eastAsia="Times New Roman" w:hAnsi="Times New Roman" w:cs="Times New Roman"/>
          <w:bCs/>
        </w:rPr>
        <w:t xml:space="preserve"> practice)</w:t>
      </w:r>
    </w:p>
    <w:p w:rsidR="00D0344B" w:rsidRPr="00E84448" w:rsidRDefault="00D0344B" w:rsidP="00980876">
      <w:pPr>
        <w:widowControl w:val="0"/>
        <w:numPr>
          <w:ilvl w:val="2"/>
          <w:numId w:val="556"/>
        </w:numPr>
        <w:tabs>
          <w:tab w:val="num" w:pos="709"/>
          <w:tab w:val="num" w:pos="1134"/>
        </w:tabs>
        <w:spacing w:before="120" w:after="120" w:line="240" w:lineRule="auto"/>
        <w:ind w:left="993" w:hanging="425"/>
        <w:jc w:val="both"/>
        <w:rPr>
          <w:rFonts w:ascii="Times New Roman" w:eastAsia="Times New Roman" w:hAnsi="Times New Roman" w:cs="Times New Roman"/>
          <w:bCs/>
        </w:rPr>
      </w:pPr>
      <w:r w:rsidRPr="00E84448">
        <w:rPr>
          <w:rFonts w:ascii="Times New Roman" w:eastAsia="Times New Roman" w:hAnsi="Times New Roman" w:cs="Times New Roman"/>
          <w:bCs/>
        </w:rPr>
        <w:t>correspondance training: 0 (0 lecture + 0 seminar + 0 practice)</w:t>
      </w:r>
    </w:p>
    <w:p w:rsidR="00D0344B" w:rsidRPr="00E84448" w:rsidRDefault="00D0344B" w:rsidP="00980876">
      <w:pPr>
        <w:widowControl w:val="0"/>
        <w:numPr>
          <w:ilvl w:val="1"/>
          <w:numId w:val="556"/>
        </w:numPr>
        <w:tabs>
          <w:tab w:val="clear" w:pos="3977"/>
          <w:tab w:val="num" w:pos="709"/>
          <w:tab w:val="num" w:pos="2069"/>
        </w:tabs>
        <w:spacing w:before="120" w:after="120" w:line="240" w:lineRule="auto"/>
        <w:ind w:left="851" w:hanging="425"/>
        <w:jc w:val="both"/>
        <w:rPr>
          <w:rFonts w:ascii="Times New Roman" w:eastAsia="Times New Roman" w:hAnsi="Times New Roman" w:cs="Times New Roman"/>
          <w:bCs/>
        </w:rPr>
      </w:pPr>
      <w:r w:rsidRPr="00E84448">
        <w:rPr>
          <w:rFonts w:ascii="Times New Roman" w:eastAsia="Times New Roman" w:hAnsi="Times New Roman" w:cs="Times New Roman"/>
          <w:bCs/>
        </w:rPr>
        <w:t xml:space="preserve">weekly number of classes - full time training: </w:t>
      </w:r>
      <w:r>
        <w:rPr>
          <w:rFonts w:ascii="Times New Roman" w:eastAsia="Times New Roman" w:hAnsi="Times New Roman" w:cs="Times New Roman"/>
          <w:bCs/>
        </w:rPr>
        <w:t xml:space="preserve">1 + </w:t>
      </w:r>
      <w:r w:rsidRPr="00E84448">
        <w:rPr>
          <w:rFonts w:ascii="Times New Roman" w:eastAsia="Times New Roman" w:hAnsi="Times New Roman" w:cs="Times New Roman"/>
          <w:bCs/>
        </w:rPr>
        <w:t>1</w:t>
      </w:r>
    </w:p>
    <w:p w:rsidR="00D0344B" w:rsidRPr="00E84448" w:rsidRDefault="00D0344B" w:rsidP="00980876">
      <w:pPr>
        <w:widowControl w:val="0"/>
        <w:numPr>
          <w:ilvl w:val="1"/>
          <w:numId w:val="556"/>
        </w:numPr>
        <w:tabs>
          <w:tab w:val="clear" w:pos="3977"/>
          <w:tab w:val="num" w:pos="709"/>
          <w:tab w:val="num" w:pos="2069"/>
        </w:tabs>
        <w:spacing w:before="120" w:after="120" w:line="240" w:lineRule="auto"/>
        <w:ind w:left="851" w:hanging="425"/>
        <w:jc w:val="both"/>
        <w:rPr>
          <w:rFonts w:ascii="Times New Roman" w:eastAsia="Times New Roman" w:hAnsi="Times New Roman" w:cs="Times New Roman"/>
          <w:bCs/>
        </w:rPr>
      </w:pPr>
      <w:r w:rsidRPr="00E84448">
        <w:rPr>
          <w:rFonts w:ascii="Times New Roman" w:hAnsi="Times New Roman" w:cs="Times New Roman"/>
        </w:rPr>
        <w:t>Further special modes, characteristics in knowledge transfer: none</w:t>
      </w:r>
    </w:p>
    <w:p w:rsidR="00D0344B" w:rsidRPr="00E84448" w:rsidRDefault="00D0344B" w:rsidP="00980876">
      <w:pPr>
        <w:widowControl w:val="0"/>
        <w:numPr>
          <w:ilvl w:val="0"/>
          <w:numId w:val="556"/>
        </w:numPr>
        <w:tabs>
          <w:tab w:val="clear" w:pos="720"/>
          <w:tab w:val="num" w:pos="502"/>
        </w:tabs>
        <w:spacing w:before="120" w:after="120" w:line="240" w:lineRule="auto"/>
        <w:ind w:left="502"/>
        <w:jc w:val="both"/>
        <w:rPr>
          <w:rFonts w:ascii="Times New Roman" w:eastAsia="Times New Roman" w:hAnsi="Times New Roman" w:cs="Times New Roman"/>
          <w:bCs/>
        </w:rPr>
      </w:pPr>
      <w:r w:rsidRPr="00E84448">
        <w:rPr>
          <w:rFonts w:ascii="Times New Roman" w:eastAsia="Times New Roman" w:hAnsi="Times New Roman" w:cs="Times New Roman"/>
          <w:b/>
          <w:bCs/>
        </w:rPr>
        <w:t>Course</w:t>
      </w:r>
      <w:r w:rsidRPr="00E84448">
        <w:rPr>
          <w:rFonts w:ascii="Times New Roman" w:eastAsia="Times New Roman" w:hAnsi="Times New Roman" w:cs="Times New Roman"/>
          <w:b/>
          <w:bCs/>
          <w:lang w:val="en-US"/>
        </w:rPr>
        <w:t xml:space="preserve"> description</w:t>
      </w:r>
      <w:r w:rsidRPr="00E84448">
        <w:rPr>
          <w:rFonts w:ascii="Times New Roman" w:eastAsia="Times New Roman" w:hAnsi="Times New Roman" w:cs="Times New Roman"/>
          <w:b/>
          <w:bCs/>
        </w:rPr>
        <w:t>:</w:t>
      </w:r>
      <w:r w:rsidRPr="00E84448">
        <w:rPr>
          <w:rFonts w:ascii="Times New Roman" w:eastAsia="Times New Roman" w:hAnsi="Times New Roman" w:cs="Times New Roman"/>
          <w:bCs/>
          <w:lang w:val="en-GB"/>
        </w:rPr>
        <w:t xml:space="preserve"> </w:t>
      </w:r>
      <w:r w:rsidRPr="00A210B8">
        <w:rPr>
          <w:rFonts w:ascii="Times New Roman" w:eastAsia="Times New Roman" w:hAnsi="Times New Roman" w:cs="Times New Roman"/>
          <w:bCs/>
          <w:lang w:val="en-GB"/>
        </w:rPr>
        <w:t>Basics of the language wxMaxima. Definig fuctions, simplification, solving equations, differential and integral calculus, plotting. Differential equations, basic definitions. Solving differential equations using the software wxMaxima</w:t>
      </w:r>
      <w:r w:rsidRPr="00E84448">
        <w:rPr>
          <w:rFonts w:ascii="Times New Roman" w:eastAsia="Times New Roman" w:hAnsi="Times New Roman" w:cs="Times New Roman"/>
          <w:bCs/>
        </w:rPr>
        <w:t>.</w:t>
      </w:r>
    </w:p>
    <w:p w:rsidR="00D0344B" w:rsidRPr="00E84448" w:rsidRDefault="00D0344B" w:rsidP="00980876">
      <w:pPr>
        <w:pStyle w:val="Listaszerbekezds"/>
        <w:widowControl w:val="0"/>
        <w:numPr>
          <w:ilvl w:val="0"/>
          <w:numId w:val="556"/>
        </w:numPr>
        <w:tabs>
          <w:tab w:val="clear" w:pos="720"/>
          <w:tab w:val="num" w:pos="426"/>
        </w:tabs>
        <w:spacing w:before="120" w:after="120" w:line="240" w:lineRule="auto"/>
        <w:ind w:left="426" w:hanging="142"/>
        <w:jc w:val="both"/>
        <w:rPr>
          <w:rFonts w:ascii="Times New Roman" w:eastAsia="Times New Roman" w:hAnsi="Times New Roman" w:cs="Times New Roman"/>
          <w:bCs/>
        </w:rPr>
      </w:pPr>
      <w:r w:rsidRPr="00E84448">
        <w:rPr>
          <w:rFonts w:ascii="Times New Roman" w:eastAsia="Times New Roman" w:hAnsi="Times New Roman" w:cs="Times New Roman"/>
          <w:b/>
          <w:bCs/>
          <w:lang w:val="en-US"/>
        </w:rPr>
        <w:t xml:space="preserve">Competences: </w:t>
      </w:r>
    </w:p>
    <w:p w:rsidR="00D0344B" w:rsidRPr="00E84448" w:rsidRDefault="00D0344B" w:rsidP="00D0344B">
      <w:pPr>
        <w:widowControl w:val="0"/>
        <w:spacing w:before="120" w:after="120" w:line="240" w:lineRule="auto"/>
        <w:ind w:left="426"/>
        <w:jc w:val="both"/>
        <w:rPr>
          <w:rFonts w:ascii="Times New Roman" w:eastAsia="Times New Roman" w:hAnsi="Times New Roman" w:cs="Times New Roman"/>
          <w:lang w:val="en-GB"/>
        </w:rPr>
      </w:pPr>
      <w:r w:rsidRPr="00E84448">
        <w:rPr>
          <w:rFonts w:ascii="Times New Roman" w:eastAsia="Times New Roman" w:hAnsi="Times New Roman" w:cs="Times New Roman"/>
          <w:b/>
          <w:lang w:val="en-GB"/>
        </w:rPr>
        <w:t>Knowledge</w:t>
      </w:r>
      <w:r w:rsidRPr="00E84448">
        <w:rPr>
          <w:rFonts w:ascii="Times New Roman" w:eastAsia="Times New Roman" w:hAnsi="Times New Roman" w:cs="Times New Roman"/>
          <w:lang w:val="en-GB"/>
        </w:rPr>
        <w:t xml:space="preserve">: </w:t>
      </w:r>
    </w:p>
    <w:p w:rsidR="00D0344B" w:rsidRPr="00E84448" w:rsidRDefault="00D0344B" w:rsidP="00D0344B">
      <w:pPr>
        <w:widowControl w:val="0"/>
        <w:spacing w:before="120" w:after="120" w:line="240" w:lineRule="auto"/>
        <w:ind w:left="426"/>
        <w:jc w:val="both"/>
        <w:rPr>
          <w:rFonts w:ascii="Times New Roman" w:eastAsia="Calibri" w:hAnsi="Times New Roman" w:cs="Times New Roman"/>
        </w:rPr>
      </w:pPr>
      <w:r w:rsidRPr="00E84448">
        <w:rPr>
          <w:rFonts w:ascii="Times New Roman" w:eastAsia="Times New Roman" w:hAnsi="Times New Roman" w:cs="Times New Roman"/>
          <w:bCs/>
        </w:rPr>
        <w:t>-</w:t>
      </w:r>
      <w:r w:rsidRPr="00E84448">
        <w:rPr>
          <w:rFonts w:ascii="Times New Roman" w:eastAsia="Times New Roman" w:hAnsi="Times New Roman" w:cs="Times New Roman"/>
          <w:bCs/>
        </w:rPr>
        <w:tab/>
        <w:t>Knows the laws of mathematics and mechanics, has basic technical knowledge.</w:t>
      </w:r>
    </w:p>
    <w:p w:rsidR="00D0344B" w:rsidRPr="00E84448" w:rsidRDefault="00D0344B" w:rsidP="00D0344B">
      <w:pPr>
        <w:widowControl w:val="0"/>
        <w:spacing w:before="120" w:after="120" w:line="240" w:lineRule="auto"/>
        <w:ind w:left="426"/>
        <w:jc w:val="both"/>
        <w:rPr>
          <w:rFonts w:ascii="Times New Roman" w:eastAsia="Times New Roman" w:hAnsi="Times New Roman" w:cs="Times New Roman"/>
          <w:lang w:val="en-GB"/>
        </w:rPr>
      </w:pPr>
      <w:r w:rsidRPr="00E84448">
        <w:rPr>
          <w:rFonts w:ascii="Times New Roman" w:eastAsia="Times New Roman" w:hAnsi="Times New Roman" w:cs="Times New Roman"/>
          <w:b/>
          <w:lang w:val="en-GB"/>
        </w:rPr>
        <w:t>Capabilities</w:t>
      </w:r>
      <w:r w:rsidRPr="00E84448">
        <w:rPr>
          <w:rFonts w:ascii="Times New Roman" w:eastAsia="Times New Roman" w:hAnsi="Times New Roman" w:cs="Times New Roman"/>
          <w:lang w:val="en-GB"/>
        </w:rPr>
        <w:t xml:space="preserve">: </w:t>
      </w:r>
    </w:p>
    <w:p w:rsidR="00D0344B" w:rsidRPr="00E84448" w:rsidRDefault="00D0344B" w:rsidP="00D0344B">
      <w:pPr>
        <w:widowControl w:val="0"/>
        <w:spacing w:before="120" w:after="120" w:line="240" w:lineRule="auto"/>
        <w:ind w:left="426"/>
        <w:jc w:val="both"/>
        <w:rPr>
          <w:rFonts w:ascii="Times New Roman" w:eastAsia="Calibri" w:hAnsi="Times New Roman" w:cs="Times New Roman"/>
        </w:rPr>
      </w:pPr>
      <w:r w:rsidRPr="00E84448">
        <w:rPr>
          <w:rFonts w:ascii="Times New Roman" w:eastAsia="Times New Roman" w:hAnsi="Times New Roman" w:cs="Times New Roman"/>
          <w:bCs/>
        </w:rPr>
        <w:t>-</w:t>
      </w:r>
      <w:r w:rsidRPr="00E84448">
        <w:rPr>
          <w:rFonts w:ascii="Times New Roman" w:eastAsia="Times New Roman" w:hAnsi="Times New Roman" w:cs="Times New Roman"/>
          <w:bCs/>
        </w:rPr>
        <w:tab/>
        <w:t>Able to formulate innovative ideas in their field.</w:t>
      </w:r>
    </w:p>
    <w:p w:rsidR="00D0344B" w:rsidRPr="00E84448" w:rsidRDefault="00D0344B" w:rsidP="00D034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lang w:val="en-GB"/>
        </w:rPr>
      </w:pPr>
      <w:r w:rsidRPr="00E84448">
        <w:rPr>
          <w:rFonts w:ascii="Times New Roman" w:eastAsia="Times New Roman" w:hAnsi="Times New Roman" w:cs="Times New Roman"/>
          <w:b/>
          <w:lang w:val="en-GB"/>
        </w:rPr>
        <w:t>Attitude:</w:t>
      </w:r>
      <w:r w:rsidRPr="00E84448">
        <w:rPr>
          <w:rFonts w:ascii="Times New Roman" w:eastAsia="Times New Roman" w:hAnsi="Times New Roman" w:cs="Times New Roman"/>
          <w:lang w:val="en-GB"/>
        </w:rPr>
        <w:t xml:space="preserve"> </w:t>
      </w:r>
    </w:p>
    <w:p w:rsidR="00D0344B" w:rsidRPr="00E84448" w:rsidRDefault="00D0344B" w:rsidP="00D0344B">
      <w:pPr>
        <w:widowControl w:val="0"/>
        <w:spacing w:before="120" w:after="120" w:line="240" w:lineRule="auto"/>
        <w:ind w:left="426"/>
        <w:jc w:val="both"/>
        <w:rPr>
          <w:rFonts w:ascii="Times New Roman" w:eastAsia="Calibri" w:hAnsi="Times New Roman" w:cs="Times New Roman"/>
        </w:rPr>
      </w:pPr>
      <w:r w:rsidRPr="00E84448">
        <w:rPr>
          <w:rFonts w:ascii="Times New Roman" w:eastAsia="Times New Roman" w:hAnsi="Times New Roman" w:cs="Times New Roman"/>
          <w:bCs/>
        </w:rPr>
        <w:t>-</w:t>
      </w:r>
      <w:r w:rsidRPr="00E84448">
        <w:rPr>
          <w:rFonts w:ascii="Times New Roman" w:eastAsia="Times New Roman" w:hAnsi="Times New Roman" w:cs="Times New Roman"/>
          <w:bCs/>
        </w:rPr>
        <w:tab/>
        <w:t>Open for the new achievements and innovations of their specialty, seeks to know, understand and apply them, and committed to continuous self-education.</w:t>
      </w:r>
    </w:p>
    <w:p w:rsidR="00D0344B" w:rsidRPr="00E84448" w:rsidRDefault="00D0344B" w:rsidP="00D0344B">
      <w:pPr>
        <w:widowControl w:val="0"/>
        <w:spacing w:before="120" w:after="120" w:line="240" w:lineRule="auto"/>
        <w:ind w:left="426"/>
        <w:jc w:val="both"/>
        <w:rPr>
          <w:rFonts w:ascii="Times New Roman" w:eastAsia="Times New Roman" w:hAnsi="Times New Roman" w:cs="Times New Roman"/>
          <w:lang w:val="en-GB"/>
        </w:rPr>
      </w:pPr>
      <w:r w:rsidRPr="00E84448">
        <w:rPr>
          <w:rFonts w:ascii="Times New Roman" w:eastAsia="Times New Roman" w:hAnsi="Times New Roman" w:cs="Times New Roman"/>
          <w:b/>
          <w:lang w:val="en-GB"/>
        </w:rPr>
        <w:t xml:space="preserve">Autonomy and responsibility: </w:t>
      </w:r>
    </w:p>
    <w:p w:rsidR="00D0344B" w:rsidRPr="00E84448" w:rsidRDefault="00D0344B" w:rsidP="00D0344B">
      <w:pPr>
        <w:widowControl w:val="0"/>
        <w:spacing w:before="120" w:after="120" w:line="240" w:lineRule="auto"/>
        <w:ind w:left="426"/>
        <w:jc w:val="both"/>
        <w:rPr>
          <w:rFonts w:ascii="Times New Roman" w:eastAsia="Calibri" w:hAnsi="Times New Roman" w:cs="Times New Roman"/>
        </w:rPr>
      </w:pPr>
      <w:r w:rsidRPr="00E84448">
        <w:rPr>
          <w:rFonts w:ascii="Times New Roman" w:eastAsia="Times New Roman" w:hAnsi="Times New Roman" w:cs="Times New Roman"/>
          <w:bCs/>
        </w:rPr>
        <w:t>-</w:t>
      </w:r>
      <w:r w:rsidRPr="00E84448">
        <w:rPr>
          <w:rFonts w:ascii="Times New Roman" w:eastAsia="Times New Roman" w:hAnsi="Times New Roman" w:cs="Times New Roman"/>
          <w:bCs/>
        </w:rPr>
        <w:tab/>
        <w:t>At the subunit and unit level, it is able to make independent decisions in military logistics and military management processes, making them responsible and within the legal framework.</w:t>
      </w:r>
    </w:p>
    <w:p w:rsidR="00D0344B" w:rsidRPr="00E84448" w:rsidRDefault="00D0344B" w:rsidP="00980876">
      <w:pPr>
        <w:widowControl w:val="0"/>
        <w:numPr>
          <w:ilvl w:val="0"/>
          <w:numId w:val="556"/>
        </w:numPr>
        <w:tabs>
          <w:tab w:val="clear" w:pos="720"/>
          <w:tab w:val="num" w:pos="502"/>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Prer</w:t>
      </w:r>
      <w:r w:rsidRPr="00E84448">
        <w:rPr>
          <w:rFonts w:ascii="Times New Roman" w:eastAsia="Times New Roman" w:hAnsi="Times New Roman" w:cs="Times New Roman"/>
          <w:b/>
          <w:bCs/>
        </w:rPr>
        <w:t>equi</w:t>
      </w:r>
      <w:r>
        <w:rPr>
          <w:rFonts w:ascii="Times New Roman" w:eastAsia="Times New Roman" w:hAnsi="Times New Roman" w:cs="Times New Roman"/>
          <w:b/>
          <w:bCs/>
        </w:rPr>
        <w:t>sites</w:t>
      </w:r>
      <w:r w:rsidRPr="00E84448">
        <w:rPr>
          <w:rFonts w:ascii="Times New Roman" w:eastAsia="Times New Roman" w:hAnsi="Times New Roman" w:cs="Times New Roman"/>
          <w:b/>
          <w:bCs/>
        </w:rPr>
        <w:t xml:space="preserve">: </w:t>
      </w:r>
      <w:r>
        <w:rPr>
          <w:rFonts w:ascii="Times New Roman" w:hAnsi="Times New Roman" w:cs="Times New Roman"/>
        </w:rPr>
        <w:t>none</w:t>
      </w:r>
    </w:p>
    <w:p w:rsidR="00D0344B" w:rsidRPr="00E84448" w:rsidRDefault="00D0344B" w:rsidP="00980876">
      <w:pPr>
        <w:widowControl w:val="0"/>
        <w:numPr>
          <w:ilvl w:val="0"/>
          <w:numId w:val="556"/>
        </w:numPr>
        <w:tabs>
          <w:tab w:val="clear" w:pos="720"/>
          <w:tab w:val="num" w:pos="502"/>
        </w:tabs>
        <w:spacing w:before="120" w:after="120" w:line="240" w:lineRule="auto"/>
        <w:ind w:left="426" w:hanging="142"/>
        <w:jc w:val="both"/>
        <w:rPr>
          <w:rFonts w:ascii="Times New Roman" w:eastAsia="Times New Roman" w:hAnsi="Times New Roman" w:cs="Times New Roman"/>
          <w:b/>
          <w:bCs/>
        </w:rPr>
      </w:pPr>
      <w:r w:rsidRPr="00E84448">
        <w:rPr>
          <w:rFonts w:ascii="Times New Roman" w:eastAsia="Times New Roman" w:hAnsi="Times New Roman" w:cs="Times New Roman"/>
          <w:b/>
          <w:bCs/>
        </w:rPr>
        <w:t>Description of the subject, curriculum:</w:t>
      </w:r>
    </w:p>
    <w:p w:rsidR="00D0344B" w:rsidRPr="00A210B8" w:rsidRDefault="00D0344B" w:rsidP="00980876">
      <w:pPr>
        <w:widowControl w:val="0"/>
        <w:numPr>
          <w:ilvl w:val="1"/>
          <w:numId w:val="556"/>
        </w:numPr>
        <w:tabs>
          <w:tab w:val="left" w:pos="709"/>
          <w:tab w:val="left" w:pos="993"/>
        </w:tabs>
        <w:spacing w:before="120" w:after="120" w:line="240" w:lineRule="auto"/>
        <w:ind w:left="426" w:firstLine="0"/>
        <w:jc w:val="both"/>
        <w:rPr>
          <w:rFonts w:ascii="Times New Roman" w:eastAsia="Times New Roman" w:hAnsi="Times New Roman" w:cs="Times New Roman"/>
          <w:b/>
        </w:rPr>
      </w:pPr>
      <w:r w:rsidRPr="00A210B8">
        <w:rPr>
          <w:rFonts w:ascii="Times New Roman" w:eastAsia="Times New Roman" w:hAnsi="Times New Roman" w:cs="Times New Roman"/>
          <w:bCs/>
          <w:lang w:val="en-GB"/>
        </w:rPr>
        <w:t>B</w:t>
      </w:r>
      <w:r>
        <w:rPr>
          <w:rFonts w:ascii="Times New Roman" w:eastAsia="Times New Roman" w:hAnsi="Times New Roman" w:cs="Times New Roman"/>
          <w:bCs/>
          <w:lang w:val="en-GB"/>
        </w:rPr>
        <w:t>asics of the language wxMaxima.</w:t>
      </w:r>
    </w:p>
    <w:p w:rsidR="00D0344B" w:rsidRPr="00A210B8" w:rsidRDefault="00D0344B" w:rsidP="00980876">
      <w:pPr>
        <w:widowControl w:val="0"/>
        <w:numPr>
          <w:ilvl w:val="1"/>
          <w:numId w:val="556"/>
        </w:numPr>
        <w:tabs>
          <w:tab w:val="left" w:pos="709"/>
          <w:tab w:val="left" w:pos="993"/>
        </w:tabs>
        <w:spacing w:before="120" w:after="120" w:line="240" w:lineRule="auto"/>
        <w:ind w:left="426" w:firstLine="0"/>
        <w:jc w:val="both"/>
        <w:rPr>
          <w:rFonts w:ascii="Times New Roman" w:eastAsia="Times New Roman" w:hAnsi="Times New Roman" w:cs="Times New Roman"/>
          <w:b/>
        </w:rPr>
      </w:pPr>
      <w:r w:rsidRPr="00A210B8">
        <w:rPr>
          <w:rFonts w:ascii="Times New Roman" w:eastAsia="Times New Roman" w:hAnsi="Times New Roman" w:cs="Times New Roman"/>
          <w:bCs/>
          <w:lang w:val="en-GB"/>
        </w:rPr>
        <w:t>Definig fuctions, simplification, solving equations, differential a</w:t>
      </w:r>
      <w:r>
        <w:rPr>
          <w:rFonts w:ascii="Times New Roman" w:eastAsia="Times New Roman" w:hAnsi="Times New Roman" w:cs="Times New Roman"/>
          <w:bCs/>
          <w:lang w:val="en-GB"/>
        </w:rPr>
        <w:t>nd integral calculus, plotting.</w:t>
      </w:r>
    </w:p>
    <w:p w:rsidR="00D0344B" w:rsidRPr="00A210B8" w:rsidRDefault="00D0344B" w:rsidP="00980876">
      <w:pPr>
        <w:widowControl w:val="0"/>
        <w:numPr>
          <w:ilvl w:val="1"/>
          <w:numId w:val="556"/>
        </w:numPr>
        <w:tabs>
          <w:tab w:val="left" w:pos="709"/>
          <w:tab w:val="left" w:pos="993"/>
        </w:tabs>
        <w:spacing w:before="120" w:after="120" w:line="240" w:lineRule="auto"/>
        <w:ind w:left="426" w:firstLine="0"/>
        <w:jc w:val="both"/>
        <w:rPr>
          <w:rFonts w:ascii="Times New Roman" w:eastAsia="Times New Roman" w:hAnsi="Times New Roman" w:cs="Times New Roman"/>
          <w:bCs/>
          <w:lang w:val="en-GB"/>
        </w:rPr>
      </w:pPr>
      <w:r w:rsidRPr="00A210B8">
        <w:rPr>
          <w:rFonts w:ascii="Times New Roman" w:eastAsia="Times New Roman" w:hAnsi="Times New Roman" w:cs="Times New Roman"/>
          <w:bCs/>
          <w:lang w:val="en-GB"/>
        </w:rPr>
        <w:t>Differentia</w:t>
      </w:r>
      <w:r>
        <w:rPr>
          <w:rFonts w:ascii="Times New Roman" w:eastAsia="Times New Roman" w:hAnsi="Times New Roman" w:cs="Times New Roman"/>
          <w:bCs/>
          <w:lang w:val="en-GB"/>
        </w:rPr>
        <w:t>l equations, basic definitions.</w:t>
      </w:r>
    </w:p>
    <w:p w:rsidR="00D0344B" w:rsidRPr="00A210B8" w:rsidRDefault="00D0344B" w:rsidP="00980876">
      <w:pPr>
        <w:widowControl w:val="0"/>
        <w:numPr>
          <w:ilvl w:val="1"/>
          <w:numId w:val="556"/>
        </w:numPr>
        <w:tabs>
          <w:tab w:val="left" w:pos="709"/>
          <w:tab w:val="left" w:pos="993"/>
        </w:tabs>
        <w:spacing w:before="120" w:after="120" w:line="240" w:lineRule="auto"/>
        <w:ind w:left="426" w:firstLine="0"/>
        <w:jc w:val="both"/>
        <w:rPr>
          <w:rFonts w:ascii="Times New Roman" w:eastAsia="Times New Roman" w:hAnsi="Times New Roman" w:cs="Times New Roman"/>
          <w:bCs/>
          <w:lang w:val="en-GB"/>
        </w:rPr>
      </w:pPr>
      <w:r w:rsidRPr="00A210B8">
        <w:rPr>
          <w:rFonts w:ascii="Times New Roman" w:eastAsia="Times New Roman" w:hAnsi="Times New Roman" w:cs="Times New Roman"/>
          <w:bCs/>
          <w:lang w:val="en-GB"/>
        </w:rPr>
        <w:t>Solving differential equatio</w:t>
      </w:r>
      <w:r>
        <w:rPr>
          <w:rFonts w:ascii="Times New Roman" w:eastAsia="Times New Roman" w:hAnsi="Times New Roman" w:cs="Times New Roman"/>
          <w:bCs/>
          <w:lang w:val="en-GB"/>
        </w:rPr>
        <w:t>ns using the software wxMaxima.</w:t>
      </w:r>
    </w:p>
    <w:p w:rsidR="00D0344B" w:rsidRPr="00E84448" w:rsidRDefault="00D0344B" w:rsidP="00980876">
      <w:pPr>
        <w:widowControl w:val="0"/>
        <w:numPr>
          <w:ilvl w:val="0"/>
          <w:numId w:val="556"/>
        </w:numPr>
        <w:tabs>
          <w:tab w:val="clear" w:pos="720"/>
          <w:tab w:val="num" w:pos="360"/>
          <w:tab w:val="num" w:pos="502"/>
        </w:tabs>
        <w:spacing w:before="120" w:after="120" w:line="240" w:lineRule="auto"/>
        <w:ind w:left="426" w:hanging="142"/>
        <w:jc w:val="both"/>
        <w:rPr>
          <w:rFonts w:ascii="Times New Roman" w:eastAsia="Times New Roman" w:hAnsi="Times New Roman" w:cs="Times New Roman"/>
          <w:bCs/>
        </w:rPr>
      </w:pPr>
      <w:r w:rsidRPr="00E84448">
        <w:rPr>
          <w:rFonts w:ascii="Liberation Serif" w:hAnsi="Liberation Serif" w:cs="Liberation Serif"/>
          <w:b/>
          <w:bCs/>
          <w:lang w:val="en-US"/>
        </w:rPr>
        <w:lastRenderedPageBreak/>
        <w:t>The frequency of offering the subject/its position in the curriculum of the term</w:t>
      </w:r>
      <w:r w:rsidRPr="00E84448">
        <w:rPr>
          <w:rFonts w:ascii="Times New Roman" w:eastAsia="Times New Roman" w:hAnsi="Times New Roman" w:cs="Times New Roman"/>
          <w:b/>
          <w:bCs/>
        </w:rPr>
        <w:t xml:space="preserve">: </w:t>
      </w:r>
      <w:r w:rsidRPr="00E84448">
        <w:rPr>
          <w:rFonts w:ascii="Times New Roman" w:eastAsia="Times New Roman" w:hAnsi="Times New Roman" w:cs="Times New Roman"/>
          <w:b/>
          <w:bCs/>
        </w:rPr>
        <w:br/>
      </w:r>
      <w:r w:rsidRPr="00E84448">
        <w:rPr>
          <w:rFonts w:ascii="Times New Roman" w:hAnsi="Times New Roman" w:cs="Times New Roman"/>
        </w:rPr>
        <w:t xml:space="preserve">yearly / </w:t>
      </w:r>
      <w:r>
        <w:rPr>
          <w:rFonts w:ascii="Times New Roman" w:hAnsi="Times New Roman" w:cs="Times New Roman"/>
        </w:rPr>
        <w:t>5</w:t>
      </w:r>
      <w:r w:rsidRPr="00E84448">
        <w:rPr>
          <w:rFonts w:ascii="Times New Roman" w:hAnsi="Times New Roman" w:cs="Times New Roman"/>
        </w:rPr>
        <w:t>th term</w:t>
      </w:r>
    </w:p>
    <w:p w:rsidR="00D0344B" w:rsidRPr="00E84448" w:rsidRDefault="00D0344B" w:rsidP="00980876">
      <w:pPr>
        <w:widowControl w:val="0"/>
        <w:numPr>
          <w:ilvl w:val="0"/>
          <w:numId w:val="556"/>
        </w:numPr>
        <w:tabs>
          <w:tab w:val="clear" w:pos="720"/>
          <w:tab w:val="num" w:pos="502"/>
        </w:tabs>
        <w:spacing w:before="120" w:after="120" w:line="240" w:lineRule="auto"/>
        <w:ind w:left="426" w:hanging="142"/>
        <w:jc w:val="both"/>
        <w:rPr>
          <w:rFonts w:ascii="Times New Roman" w:eastAsia="Times New Roman" w:hAnsi="Times New Roman" w:cs="Times New Roman"/>
          <w:bCs/>
        </w:rPr>
      </w:pPr>
      <w:r w:rsidRPr="00E84448">
        <w:rPr>
          <w:rFonts w:ascii="Liberation Serif" w:hAnsi="Liberation Serif" w:cs="Liberation Serif"/>
          <w:b/>
          <w:bCs/>
          <w:lang w:val="en-US"/>
        </w:rPr>
        <w:t>Requirements of attendance, acceptable absence, opportunity for making up missed classes</w:t>
      </w:r>
      <w:r w:rsidRPr="00E84448">
        <w:rPr>
          <w:rFonts w:ascii="Times New Roman" w:eastAsia="Times New Roman" w:hAnsi="Times New Roman" w:cs="Times New Roman"/>
          <w:b/>
          <w:bCs/>
        </w:rPr>
        <w:t>:</w:t>
      </w:r>
      <w:r w:rsidRPr="00E84448">
        <w:rPr>
          <w:rFonts w:ascii="Times New Roman" w:eastAsia="Times New Roman" w:hAnsi="Times New Roman" w:cs="Times New Roman"/>
          <w:bCs/>
        </w:rPr>
        <w:t xml:space="preserve"> </w:t>
      </w:r>
      <w:r w:rsidRPr="00E84448">
        <w:rPr>
          <w:rFonts w:ascii="Liberation Serif" w:hAnsi="Liberation Serif" w:cs="Liberation Serif"/>
          <w:lang w:val="en-US"/>
        </w:rPr>
        <w:t xml:space="preserve">Students must be present at least 70% of the </w:t>
      </w:r>
      <w:r>
        <w:rPr>
          <w:rFonts w:ascii="Liberation Serif" w:hAnsi="Liberation Serif" w:cs="Liberation Serif"/>
          <w:lang w:val="en-US"/>
        </w:rPr>
        <w:t>classes</w:t>
      </w:r>
      <w:r w:rsidRPr="00E84448">
        <w:rPr>
          <w:rFonts w:ascii="Liberation Serif" w:hAnsi="Liberation Serif" w:cs="Liberation Serif"/>
          <w:lang w:val="en-US"/>
        </w:rPr>
        <w:t xml:space="preserve"> for acceptance of the subject.</w:t>
      </w:r>
      <w:r w:rsidRPr="00D901F2">
        <w:rPr>
          <w:rFonts w:ascii="Times New Roman" w:eastAsia="Times New Roman" w:hAnsi="Times New Roman" w:cs="Times New Roman"/>
          <w:bCs/>
        </w:rPr>
        <w:t xml:space="preserve"> </w:t>
      </w:r>
      <w:r>
        <w:rPr>
          <w:rFonts w:ascii="Times New Roman" w:eastAsia="Times New Roman" w:hAnsi="Times New Roman" w:cs="Times New Roman"/>
          <w:bCs/>
        </w:rPr>
        <w:t>If absence exceeds this limit the signature will be denied</w:t>
      </w:r>
      <w:r w:rsidRPr="005411A4">
        <w:rPr>
          <w:rFonts w:ascii="Times New Roman" w:eastAsia="Times New Roman" w:hAnsi="Times New Roman" w:cs="Times New Roman"/>
          <w:bCs/>
        </w:rPr>
        <w:t>.</w:t>
      </w:r>
      <w:r>
        <w:rPr>
          <w:rFonts w:ascii="Times New Roman" w:eastAsia="Times New Roman" w:hAnsi="Times New Roman" w:cs="Times New Roman"/>
          <w:bCs/>
        </w:rPr>
        <w:t xml:space="preserve"> </w:t>
      </w:r>
      <w:r w:rsidRPr="00E84448">
        <w:rPr>
          <w:rFonts w:ascii="Liberation Serif" w:hAnsi="Liberation Serif" w:cs="Liberation Serif"/>
          <w:lang w:val="en-US"/>
        </w:rPr>
        <w:t xml:space="preserve">Absence must be justified during the first </w:t>
      </w:r>
      <w:r>
        <w:rPr>
          <w:rFonts w:ascii="Liberation Serif" w:hAnsi="Liberation Serif" w:cs="Liberation Serif"/>
          <w:lang w:val="en-US"/>
        </w:rPr>
        <w:t>class</w:t>
      </w:r>
      <w:r w:rsidRPr="00E84448">
        <w:rPr>
          <w:rFonts w:ascii="Liberation Serif" w:hAnsi="Liberation Serif" w:cs="Liberation Serif"/>
          <w:lang w:val="en-US"/>
        </w:rPr>
        <w:t xml:space="preserve"> after the absence. The student is required to obtain the material of the lecture and to prepare for it independently.</w:t>
      </w:r>
    </w:p>
    <w:p w:rsidR="00D0344B" w:rsidRPr="00E84448" w:rsidRDefault="00D0344B" w:rsidP="00980876">
      <w:pPr>
        <w:widowControl w:val="0"/>
        <w:numPr>
          <w:ilvl w:val="0"/>
          <w:numId w:val="556"/>
        </w:numPr>
        <w:tabs>
          <w:tab w:val="clear" w:pos="720"/>
          <w:tab w:val="num" w:pos="502"/>
        </w:tabs>
        <w:spacing w:before="120" w:after="120" w:line="240" w:lineRule="auto"/>
        <w:ind w:left="426" w:hanging="142"/>
        <w:jc w:val="both"/>
        <w:rPr>
          <w:rFonts w:ascii="Times New Roman" w:eastAsia="Times New Roman" w:hAnsi="Times New Roman" w:cs="Times New Roman"/>
          <w:bCs/>
        </w:rPr>
      </w:pPr>
      <w:r w:rsidRPr="00E84448">
        <w:rPr>
          <w:rFonts w:ascii="Liberation Serif" w:hAnsi="Liberation Serif" w:cs="Liberation Serif"/>
          <w:b/>
          <w:bCs/>
          <w:lang w:val="en-US"/>
        </w:rPr>
        <w:t>Term assignments, testing knowledge</w:t>
      </w:r>
      <w:r w:rsidRPr="00E84448">
        <w:rPr>
          <w:rFonts w:ascii="Times New Roman" w:eastAsia="Times New Roman" w:hAnsi="Times New Roman" w:cs="Times New Roman"/>
          <w:b/>
        </w:rPr>
        <w:t>:</w:t>
      </w:r>
      <w:r w:rsidRPr="00E84448">
        <w:rPr>
          <w:rFonts w:ascii="Times New Roman" w:eastAsia="Times New Roman" w:hAnsi="Times New Roman" w:cs="Times New Roman"/>
          <w:bCs/>
        </w:rPr>
        <w:t xml:space="preserve"> </w:t>
      </w:r>
    </w:p>
    <w:p w:rsidR="00D0344B" w:rsidRPr="00E84448" w:rsidRDefault="00D0344B" w:rsidP="00D0344B">
      <w:pPr>
        <w:widowControl w:val="0"/>
        <w:spacing w:before="120" w:after="120" w:line="240" w:lineRule="auto"/>
        <w:ind w:left="426"/>
        <w:jc w:val="both"/>
        <w:rPr>
          <w:rFonts w:ascii="Times New Roman" w:eastAsia="Times New Roman" w:hAnsi="Times New Roman" w:cs="Times New Roman"/>
        </w:rPr>
      </w:pPr>
      <w:r w:rsidRPr="00E84448">
        <w:rPr>
          <w:rFonts w:ascii="Times New Roman" w:eastAsia="Times New Roman" w:hAnsi="Times New Roman" w:cs="Times New Roman"/>
          <w:bCs/>
        </w:rPr>
        <w:t>One classroom test during the term-time.</w:t>
      </w:r>
    </w:p>
    <w:p w:rsidR="00D0344B" w:rsidRPr="00E84448" w:rsidRDefault="00D0344B" w:rsidP="00D0344B">
      <w:pPr>
        <w:widowControl w:val="0"/>
        <w:spacing w:before="120" w:after="120" w:line="240" w:lineRule="auto"/>
        <w:ind w:left="426"/>
        <w:jc w:val="both"/>
        <w:rPr>
          <w:rFonts w:ascii="Times New Roman" w:eastAsia="Times New Roman" w:hAnsi="Times New Roman" w:cs="Times New Roman"/>
        </w:rPr>
      </w:pPr>
      <w:r w:rsidRPr="00E84448">
        <w:rPr>
          <w:rFonts w:ascii="Times New Roman" w:eastAsia="Times New Roman" w:hAnsi="Times New Roman" w:cs="Times New Roman"/>
          <w:bCs/>
        </w:rPr>
        <w:t xml:space="preserve">Re-taking the classroom test is allowed once in </w:t>
      </w:r>
      <w:r>
        <w:rPr>
          <w:rFonts w:ascii="Times New Roman" w:eastAsia="Times New Roman" w:hAnsi="Times New Roman" w:cs="Times New Roman"/>
          <w:bCs/>
        </w:rPr>
        <w:t>a</w:t>
      </w:r>
      <w:r w:rsidRPr="00E84448">
        <w:rPr>
          <w:rFonts w:ascii="Times New Roman" w:eastAsia="Times New Roman" w:hAnsi="Times New Roman" w:cs="Times New Roman"/>
          <w:bCs/>
        </w:rPr>
        <w:t xml:space="preserve"> term.</w:t>
      </w:r>
    </w:p>
    <w:p w:rsidR="00D0344B" w:rsidRPr="00E84448" w:rsidRDefault="00D0344B" w:rsidP="00D0344B">
      <w:pPr>
        <w:widowControl w:val="0"/>
        <w:spacing w:before="120" w:after="120" w:line="240" w:lineRule="auto"/>
        <w:ind w:left="426"/>
        <w:jc w:val="both"/>
        <w:rPr>
          <w:rFonts w:ascii="Times New Roman" w:eastAsia="Times New Roman" w:hAnsi="Times New Roman" w:cs="Times New Roman"/>
        </w:rPr>
      </w:pPr>
      <w:r w:rsidRPr="00E84448">
        <w:rPr>
          <w:rFonts w:ascii="Times New Roman" w:eastAsia="Times New Roman" w:hAnsi="Times New Roman" w:cs="Times New Roman"/>
        </w:rPr>
        <w:t>To obtain the grade, more than 50% of the points of the classroom test or the re-taken classroom test is needed. For the pass grade (2) 51-60% of the classroom test is needed, for the satisfactory grade (3) 61-75%, for the good grade (4) 76-90%, for the excellent grade (5) 91-100%.</w:t>
      </w:r>
    </w:p>
    <w:p w:rsidR="00D0344B" w:rsidRPr="00E84448" w:rsidRDefault="00D0344B" w:rsidP="00980876">
      <w:pPr>
        <w:widowControl w:val="0"/>
        <w:numPr>
          <w:ilvl w:val="0"/>
          <w:numId w:val="556"/>
        </w:numPr>
        <w:tabs>
          <w:tab w:val="clear" w:pos="720"/>
          <w:tab w:val="num" w:pos="502"/>
        </w:tabs>
        <w:spacing w:before="120" w:after="120" w:line="240" w:lineRule="auto"/>
        <w:ind w:left="426" w:hanging="142"/>
        <w:jc w:val="both"/>
        <w:rPr>
          <w:rFonts w:ascii="Times New Roman" w:eastAsia="Times New Roman" w:hAnsi="Times New Roman" w:cs="Times New Roman"/>
          <w:b/>
          <w:bCs/>
        </w:rPr>
      </w:pPr>
      <w:r w:rsidRPr="00E84448">
        <w:rPr>
          <w:rFonts w:ascii="Liberation Serif" w:hAnsi="Liberation Serif" w:cs="Liberation Serif"/>
          <w:b/>
          <w:bCs/>
          <w:lang w:val="en-US"/>
        </w:rPr>
        <w:t xml:space="preserve">The exact conditions of obtaining signature </w:t>
      </w:r>
      <w:r>
        <w:rPr>
          <w:rFonts w:ascii="Liberation Serif" w:hAnsi="Liberation Serif" w:cs="Liberation Serif"/>
          <w:b/>
          <w:bCs/>
          <w:lang w:val="en-US"/>
        </w:rPr>
        <w:t>and</w:t>
      </w:r>
      <w:r w:rsidRPr="00E84448">
        <w:rPr>
          <w:rFonts w:ascii="Liberation Serif" w:hAnsi="Liberation Serif" w:cs="Liberation Serif"/>
          <w:b/>
          <w:bCs/>
          <w:lang w:val="en-US"/>
        </w:rPr>
        <w:t xml:space="preserve"> credits</w:t>
      </w:r>
      <w:r w:rsidRPr="00E84448">
        <w:rPr>
          <w:rFonts w:ascii="Times New Roman" w:eastAsia="Times New Roman" w:hAnsi="Times New Roman" w:cs="Times New Roman"/>
          <w:b/>
          <w:bCs/>
        </w:rPr>
        <w:t xml:space="preserve">: </w:t>
      </w:r>
    </w:p>
    <w:p w:rsidR="00D0344B" w:rsidRPr="00E84448" w:rsidRDefault="00D0344B" w:rsidP="00980876">
      <w:pPr>
        <w:widowControl w:val="0"/>
        <w:numPr>
          <w:ilvl w:val="1"/>
          <w:numId w:val="556"/>
        </w:numPr>
        <w:tabs>
          <w:tab w:val="left" w:pos="709"/>
          <w:tab w:val="left" w:pos="993"/>
        </w:tabs>
        <w:spacing w:before="120" w:after="120" w:line="240" w:lineRule="auto"/>
        <w:ind w:left="425" w:firstLine="0"/>
        <w:jc w:val="both"/>
        <w:rPr>
          <w:rFonts w:ascii="Times New Roman" w:eastAsia="Times New Roman" w:hAnsi="Times New Roman" w:cs="Times New Roman"/>
        </w:rPr>
      </w:pPr>
      <w:r>
        <w:rPr>
          <w:rFonts w:ascii="Times New Roman" w:eastAsia="Times New Roman" w:hAnsi="Times New Roman" w:cs="Times New Roman"/>
          <w:b/>
        </w:rPr>
        <w:t>Conditions of obtaining the signature</w:t>
      </w:r>
      <w:r w:rsidRPr="00E84448">
        <w:rPr>
          <w:rFonts w:ascii="Times New Roman" w:eastAsia="Times New Roman" w:hAnsi="Times New Roman" w:cs="Times New Roman"/>
          <w:b/>
        </w:rPr>
        <w:t>:</w:t>
      </w:r>
      <w:r w:rsidRPr="00E84448">
        <w:rPr>
          <w:rFonts w:ascii="Times New Roman" w:eastAsia="Times New Roman" w:hAnsi="Times New Roman" w:cs="Times New Roman"/>
        </w:rPr>
        <w:t xml:space="preserve"> </w:t>
      </w:r>
      <w:r>
        <w:rPr>
          <w:rFonts w:ascii="Times New Roman" w:eastAsia="Times New Roman" w:hAnsi="Times New Roman" w:cs="Times New Roman"/>
        </w:rPr>
        <w:t xml:space="preserve">The prerequisite to obtain the signature is to attend the classes specified in </w:t>
      </w:r>
      <w:r w:rsidRPr="00E84448">
        <w:rPr>
          <w:rFonts w:ascii="Times New Roman" w:eastAsia="Times New Roman" w:hAnsi="Times New Roman" w:cs="Times New Roman"/>
        </w:rPr>
        <w:t xml:space="preserve">14. </w:t>
      </w:r>
      <w:r>
        <w:rPr>
          <w:rFonts w:ascii="Times New Roman" w:eastAsia="Times New Roman" w:hAnsi="Times New Roman" w:cs="Times New Roman"/>
        </w:rPr>
        <w:t>and to complete the term-time assignments specified in 15 with at lest a pass grade</w:t>
      </w:r>
      <w:r w:rsidRPr="00E84448">
        <w:rPr>
          <w:rFonts w:ascii="Times New Roman" w:eastAsia="Times New Roman" w:hAnsi="Times New Roman" w:cs="Times New Roman"/>
        </w:rPr>
        <w:t>.</w:t>
      </w:r>
    </w:p>
    <w:p w:rsidR="00D0344B" w:rsidRPr="00E84448" w:rsidRDefault="00D0344B" w:rsidP="00980876">
      <w:pPr>
        <w:widowControl w:val="0"/>
        <w:numPr>
          <w:ilvl w:val="1"/>
          <w:numId w:val="556"/>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Rating</w:t>
      </w:r>
      <w:r w:rsidRPr="00E84448">
        <w:rPr>
          <w:rFonts w:ascii="Times New Roman" w:eastAsia="Times New Roman" w:hAnsi="Times New Roman" w:cs="Times New Roman"/>
          <w:b/>
        </w:rPr>
        <w:t>:</w:t>
      </w:r>
      <w:r w:rsidRPr="00E84448">
        <w:rPr>
          <w:rFonts w:ascii="Times New Roman" w:eastAsia="Times New Roman" w:hAnsi="Times New Roman" w:cs="Times New Roman"/>
        </w:rPr>
        <w:t xml:space="preserve"> </w:t>
      </w:r>
      <w:r>
        <w:rPr>
          <w:rFonts w:ascii="Times New Roman" w:eastAsia="Times New Roman" w:hAnsi="Times New Roman" w:cs="Times New Roman"/>
        </w:rPr>
        <w:t>term mark</w:t>
      </w:r>
    </w:p>
    <w:p w:rsidR="00D0344B" w:rsidRPr="00213666" w:rsidRDefault="00D0344B" w:rsidP="00980876">
      <w:pPr>
        <w:widowControl w:val="0"/>
        <w:numPr>
          <w:ilvl w:val="1"/>
          <w:numId w:val="556"/>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213666">
        <w:rPr>
          <w:rFonts w:ascii="Times New Roman" w:eastAsia="Times New Roman" w:hAnsi="Times New Roman" w:cs="Times New Roman"/>
          <w:b/>
        </w:rPr>
        <w:t>Conditions of obtaining the credits:</w:t>
      </w:r>
      <w:r w:rsidRPr="00213666">
        <w:rPr>
          <w:rFonts w:ascii="Times New Roman" w:eastAsia="Times New Roman" w:hAnsi="Times New Roman" w:cs="Times New Roman"/>
        </w:rPr>
        <w:t xml:space="preserve"> The prerequisite to obtain the credits is to obtain the signature and at least a pass grade.</w:t>
      </w:r>
    </w:p>
    <w:p w:rsidR="00D0344B" w:rsidRPr="00E84448" w:rsidRDefault="00D0344B" w:rsidP="00980876">
      <w:pPr>
        <w:widowControl w:val="0"/>
        <w:numPr>
          <w:ilvl w:val="0"/>
          <w:numId w:val="556"/>
        </w:numPr>
        <w:tabs>
          <w:tab w:val="clear" w:pos="720"/>
          <w:tab w:val="num" w:pos="360"/>
          <w:tab w:val="num" w:pos="502"/>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Bibliography</w:t>
      </w:r>
      <w:r w:rsidRPr="00E84448">
        <w:rPr>
          <w:rFonts w:ascii="Times New Roman" w:eastAsia="Times New Roman" w:hAnsi="Times New Roman" w:cs="Times New Roman"/>
          <w:b/>
          <w:bCs/>
        </w:rPr>
        <w:t>:</w:t>
      </w:r>
    </w:p>
    <w:p w:rsidR="00D0344B" w:rsidRPr="00E84448" w:rsidRDefault="00D0344B" w:rsidP="00980876">
      <w:pPr>
        <w:widowControl w:val="0"/>
        <w:numPr>
          <w:ilvl w:val="1"/>
          <w:numId w:val="556"/>
        </w:numPr>
        <w:tabs>
          <w:tab w:val="clear" w:pos="3977"/>
          <w:tab w:val="left" w:pos="567"/>
          <w:tab w:val="left" w:pos="851"/>
          <w:tab w:val="num" w:pos="2069"/>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Obligatory literature</w:t>
      </w:r>
      <w:r w:rsidRPr="00E84448">
        <w:rPr>
          <w:rFonts w:ascii="Times New Roman" w:eastAsia="Times New Roman" w:hAnsi="Times New Roman" w:cs="Times New Roman"/>
          <w:b/>
          <w:bCs/>
        </w:rPr>
        <w:t>:</w:t>
      </w:r>
    </w:p>
    <w:p w:rsidR="00D0344B" w:rsidRPr="001B0C11" w:rsidRDefault="00D0344B" w:rsidP="00980876">
      <w:pPr>
        <w:widowControl w:val="0"/>
        <w:numPr>
          <w:ilvl w:val="0"/>
          <w:numId w:val="557"/>
        </w:numPr>
        <w:spacing w:after="0" w:line="240" w:lineRule="auto"/>
        <w:jc w:val="both"/>
        <w:rPr>
          <w:rFonts w:ascii="Times New Roman" w:eastAsia="Times New Roman" w:hAnsi="Times New Roman" w:cs="Times New Roman"/>
        </w:rPr>
      </w:pPr>
      <w:r w:rsidRPr="001B0C11">
        <w:rPr>
          <w:rFonts w:ascii="Times New Roman" w:eastAsia="Times New Roman" w:hAnsi="Times New Roman" w:cs="Times New Roman"/>
        </w:rPr>
        <w:t xml:space="preserve">Paul Blanchard, Robert L. Devaney, Glen R. Hall: Differential Equations. </w:t>
      </w:r>
      <w:r>
        <w:rPr>
          <w:rFonts w:ascii="Times New Roman" w:eastAsia="Times New Roman" w:hAnsi="Times New Roman" w:cs="Times New Roman"/>
        </w:rPr>
        <w:t>Brooks/Cole, Boston MA USA, 2012.</w:t>
      </w:r>
      <w:r w:rsidRPr="001B0C11">
        <w:rPr>
          <w:rFonts w:ascii="Times New Roman" w:eastAsia="Times New Roman" w:hAnsi="Times New Roman" w:cs="Times New Roman"/>
        </w:rPr>
        <w:t xml:space="preserve"> ISBN: 978</w:t>
      </w:r>
      <w:r>
        <w:rPr>
          <w:rFonts w:ascii="Times New Roman" w:eastAsia="Times New Roman" w:hAnsi="Times New Roman" w:cs="Times New Roman"/>
        </w:rPr>
        <w:t>0495561989</w:t>
      </w:r>
    </w:p>
    <w:p w:rsidR="00D0344B" w:rsidRPr="00A210B8" w:rsidRDefault="00D0344B" w:rsidP="00980876">
      <w:pPr>
        <w:widowControl w:val="0"/>
        <w:numPr>
          <w:ilvl w:val="1"/>
          <w:numId w:val="556"/>
        </w:numPr>
        <w:tabs>
          <w:tab w:val="clear" w:pos="3977"/>
          <w:tab w:val="num" w:pos="567"/>
          <w:tab w:val="num" w:pos="2069"/>
        </w:tabs>
        <w:spacing w:before="120" w:after="120" w:line="240" w:lineRule="auto"/>
        <w:ind w:left="993" w:hanging="709"/>
        <w:jc w:val="both"/>
        <w:rPr>
          <w:rFonts w:ascii="Times New Roman" w:eastAsia="Times New Roman" w:hAnsi="Times New Roman" w:cs="Times New Roman"/>
          <w:b/>
          <w:bCs/>
        </w:rPr>
      </w:pPr>
      <w:r>
        <w:rPr>
          <w:rFonts w:ascii="Times New Roman" w:eastAsia="Times New Roman" w:hAnsi="Times New Roman" w:cs="Times New Roman"/>
          <w:b/>
          <w:bCs/>
        </w:rPr>
        <w:t>Recommended literature</w:t>
      </w:r>
      <w:r w:rsidRPr="00A210B8">
        <w:rPr>
          <w:rFonts w:ascii="Times New Roman" w:eastAsia="Times New Roman" w:hAnsi="Times New Roman" w:cs="Times New Roman"/>
          <w:b/>
          <w:bCs/>
        </w:rPr>
        <w:t>:</w:t>
      </w:r>
    </w:p>
    <w:p w:rsidR="00D0344B" w:rsidRPr="00A210B8" w:rsidRDefault="00D0344B" w:rsidP="00980876">
      <w:pPr>
        <w:pStyle w:val="Listaszerbekezds"/>
        <w:widowControl w:val="0"/>
        <w:numPr>
          <w:ilvl w:val="0"/>
          <w:numId w:val="558"/>
        </w:numPr>
        <w:spacing w:after="0" w:line="240" w:lineRule="auto"/>
        <w:jc w:val="both"/>
        <w:rPr>
          <w:rFonts w:ascii="Times New Roman" w:eastAsia="Times New Roman" w:hAnsi="Times New Roman" w:cs="Times New Roman"/>
        </w:rPr>
      </w:pPr>
      <w:r w:rsidRPr="00A210B8">
        <w:rPr>
          <w:rFonts w:ascii="Times New Roman" w:eastAsia="Times New Roman" w:hAnsi="Times New Roman" w:cs="Times New Roman"/>
        </w:rPr>
        <w:t>G. Donald Allen, Tutorials for Mathematics Instructors and Students, http://www.math.tamu.edu/~dallen/Maple_Tutorial/index.htm</w:t>
      </w:r>
    </w:p>
    <w:p w:rsidR="00D0344B" w:rsidRDefault="00D0344B" w:rsidP="00D0344B">
      <w:pPr>
        <w:widowControl w:val="0"/>
        <w:spacing w:before="120" w:after="120" w:line="240" w:lineRule="auto"/>
        <w:jc w:val="both"/>
        <w:rPr>
          <w:rFonts w:ascii="Times New Roman" w:eastAsia="Times New Roman" w:hAnsi="Times New Roman" w:cs="Times New Roman"/>
          <w:bCs/>
        </w:rPr>
      </w:pPr>
    </w:p>
    <w:p w:rsidR="00D0344B" w:rsidRPr="00E84448" w:rsidRDefault="00D0344B" w:rsidP="00D0344B">
      <w:pPr>
        <w:widowControl w:val="0"/>
        <w:spacing w:before="120" w:after="120" w:line="240" w:lineRule="auto"/>
        <w:ind w:firstLine="360"/>
        <w:jc w:val="both"/>
        <w:rPr>
          <w:rFonts w:ascii="Times New Roman" w:eastAsia="Times New Roman" w:hAnsi="Times New Roman" w:cs="Times New Roman"/>
          <w:bCs/>
        </w:rPr>
      </w:pPr>
      <w:r w:rsidRPr="00E84448">
        <w:rPr>
          <w:rFonts w:ascii="Times New Roman" w:eastAsia="Times New Roman" w:hAnsi="Times New Roman" w:cs="Times New Roman"/>
          <w:bCs/>
        </w:rPr>
        <w:t xml:space="preserve">Budapest, </w:t>
      </w:r>
      <w:r>
        <w:rPr>
          <w:rFonts w:ascii="Times New Roman" w:eastAsia="Times New Roman" w:hAnsi="Times New Roman" w:cs="Times New Roman"/>
          <w:bCs/>
        </w:rPr>
        <w:t xml:space="preserve">31st January </w:t>
      </w:r>
      <w:r w:rsidRPr="00E84448">
        <w:rPr>
          <w:rFonts w:ascii="Times New Roman" w:eastAsia="Times New Roman" w:hAnsi="Times New Roman" w:cs="Times New Roman"/>
          <w:bCs/>
        </w:rPr>
        <w:t>20</w:t>
      </w:r>
      <w:r>
        <w:rPr>
          <w:rFonts w:ascii="Times New Roman" w:eastAsia="Times New Roman" w:hAnsi="Times New Roman" w:cs="Times New Roman"/>
          <w:bCs/>
        </w:rPr>
        <w:t>20</w:t>
      </w:r>
    </w:p>
    <w:p w:rsidR="00D0344B" w:rsidRPr="00E84448" w:rsidRDefault="00D0344B" w:rsidP="00D0344B">
      <w:pPr>
        <w:widowControl w:val="0"/>
        <w:spacing w:before="120" w:after="120" w:line="240" w:lineRule="auto"/>
        <w:jc w:val="both"/>
        <w:rPr>
          <w:rFonts w:ascii="Times New Roman" w:eastAsia="Times New Roman" w:hAnsi="Times New Roman" w:cs="Times New Roman"/>
          <w:bCs/>
        </w:rPr>
      </w:pPr>
    </w:p>
    <w:p w:rsidR="00D0344B" w:rsidRPr="00E84448" w:rsidRDefault="00D0344B" w:rsidP="00D0344B">
      <w:pPr>
        <w:widowControl w:val="0"/>
        <w:spacing w:after="0" w:line="240" w:lineRule="auto"/>
        <w:jc w:val="right"/>
        <w:rPr>
          <w:rFonts w:ascii="Times New Roman" w:eastAsia="Times New Roman" w:hAnsi="Times New Roman" w:cs="Times New Roman"/>
          <w:bCs/>
        </w:rPr>
      </w:pPr>
      <w:r w:rsidRPr="00E84448">
        <w:rPr>
          <w:rFonts w:ascii="Times New Roman" w:eastAsia="Times New Roman" w:hAnsi="Times New Roman" w:cs="Times New Roman"/>
          <w:bCs/>
        </w:rPr>
        <w:t>Dr. Bence</w:t>
      </w:r>
      <w:r>
        <w:rPr>
          <w:rFonts w:ascii="Times New Roman" w:eastAsia="Times New Roman" w:hAnsi="Times New Roman" w:cs="Times New Roman"/>
          <w:bCs/>
        </w:rPr>
        <w:t xml:space="preserve"> TÓTH</w:t>
      </w:r>
      <w:r w:rsidRPr="00E84448">
        <w:rPr>
          <w:rFonts w:ascii="Times New Roman" w:eastAsia="Times New Roman" w:hAnsi="Times New Roman" w:cs="Times New Roman"/>
          <w:bCs/>
        </w:rPr>
        <w:t xml:space="preserve">, PhD </w:t>
      </w:r>
    </w:p>
    <w:p w:rsidR="00D0344B" w:rsidRPr="00E84448" w:rsidRDefault="00D0344B" w:rsidP="00D0344B">
      <w:pPr>
        <w:widowControl w:val="0"/>
        <w:spacing w:after="0" w:line="240" w:lineRule="auto"/>
        <w:jc w:val="right"/>
        <w:rPr>
          <w:rFonts w:ascii="Times New Roman" w:eastAsia="Times New Roman" w:hAnsi="Times New Roman" w:cs="Times New Roman"/>
          <w:bCs/>
        </w:rPr>
      </w:pPr>
      <w:r>
        <w:rPr>
          <w:rFonts w:ascii="Times New Roman" w:eastAsia="Times New Roman" w:hAnsi="Times New Roman" w:cs="Times New Roman"/>
          <w:bCs/>
        </w:rPr>
        <w:t>senior lecturer</w:t>
      </w:r>
    </w:p>
    <w:p w:rsidR="00EF2F44" w:rsidRDefault="00EF2F44">
      <w:pPr>
        <w:spacing w:after="200" w:line="276" w:lineRule="auto"/>
        <w:rPr>
          <w:rFonts w:ascii="Times New Roman" w:hAnsi="Times New Roman" w:cs="Times New Roman"/>
        </w:rPr>
      </w:pPr>
      <w:r>
        <w:rPr>
          <w:rFonts w:ascii="Times New Roman" w:hAnsi="Times New Roman" w:cs="Times New Roman"/>
        </w:rPr>
        <w:br w:type="page"/>
      </w:r>
    </w:p>
    <w:tbl>
      <w:tblPr>
        <w:tblW w:w="9072" w:type="dxa"/>
        <w:tblInd w:w="113" w:type="dxa"/>
        <w:tblLook w:val="01E0" w:firstRow="1" w:lastRow="1" w:firstColumn="1" w:lastColumn="1" w:noHBand="0" w:noVBand="0"/>
      </w:tblPr>
      <w:tblGrid>
        <w:gridCol w:w="4855"/>
        <w:gridCol w:w="1620"/>
        <w:gridCol w:w="2597"/>
      </w:tblGrid>
      <w:tr w:rsidR="00EF2F44" w:rsidRPr="00E84448" w:rsidTr="001752E6">
        <w:tc>
          <w:tcPr>
            <w:tcW w:w="4855" w:type="dxa"/>
            <w:tcBorders>
              <w:bottom w:val="single" w:sz="4" w:space="0" w:color="auto"/>
            </w:tcBorders>
          </w:tcPr>
          <w:p w:rsidR="00EF2F44" w:rsidRPr="00E84448" w:rsidRDefault="00EF2F44" w:rsidP="001752E6">
            <w:pPr>
              <w:spacing w:after="0" w:line="240" w:lineRule="auto"/>
              <w:jc w:val="center"/>
              <w:rPr>
                <w:rFonts w:ascii="Times New Roman" w:eastAsia="Times New Roman" w:hAnsi="Times New Roman" w:cs="Times New Roman"/>
                <w:b/>
                <w:smallCaps/>
                <w:lang w:eastAsia="hu-HU"/>
              </w:rPr>
            </w:pPr>
            <w:r w:rsidRPr="00E84448">
              <w:rPr>
                <w:rFonts w:ascii="Times New Roman" w:eastAsia="Times New Roman" w:hAnsi="Times New Roman" w:cs="Times New Roman"/>
                <w:b/>
                <w:smallCaps/>
                <w:lang w:eastAsia="hu-HU"/>
              </w:rPr>
              <w:lastRenderedPageBreak/>
              <w:t>National University of Public Service</w:t>
            </w:r>
          </w:p>
        </w:tc>
        <w:tc>
          <w:tcPr>
            <w:tcW w:w="1620" w:type="dxa"/>
          </w:tcPr>
          <w:p w:rsidR="00EF2F44" w:rsidRPr="00E84448" w:rsidRDefault="00EF2F44" w:rsidP="001752E6">
            <w:pPr>
              <w:spacing w:after="0" w:line="240" w:lineRule="auto"/>
              <w:jc w:val="both"/>
              <w:rPr>
                <w:rFonts w:ascii="Times New Roman" w:eastAsia="Times New Roman" w:hAnsi="Times New Roman" w:cs="Times New Roman"/>
                <w:lang w:eastAsia="hu-HU"/>
              </w:rPr>
            </w:pPr>
          </w:p>
        </w:tc>
        <w:tc>
          <w:tcPr>
            <w:tcW w:w="2597" w:type="dxa"/>
          </w:tcPr>
          <w:p w:rsidR="00EF2F44" w:rsidRPr="00E84448" w:rsidRDefault="00EF2F44" w:rsidP="001752E6">
            <w:pPr>
              <w:spacing w:after="0" w:line="240" w:lineRule="auto"/>
              <w:jc w:val="right"/>
              <w:rPr>
                <w:rFonts w:ascii="Times New Roman" w:eastAsia="Times New Roman" w:hAnsi="Times New Roman" w:cs="Times New Roman"/>
                <w:lang w:eastAsia="hu-HU"/>
              </w:rPr>
            </w:pPr>
          </w:p>
        </w:tc>
      </w:tr>
      <w:tr w:rsidR="00EF2F44" w:rsidRPr="00E84448" w:rsidTr="001752E6">
        <w:tc>
          <w:tcPr>
            <w:tcW w:w="4855" w:type="dxa"/>
            <w:tcBorders>
              <w:top w:val="single" w:sz="4" w:space="0" w:color="auto"/>
            </w:tcBorders>
          </w:tcPr>
          <w:p w:rsidR="00EF2F44" w:rsidRPr="00E84448" w:rsidRDefault="00EF2F44" w:rsidP="001752E6">
            <w:pPr>
              <w:spacing w:after="0" w:line="240" w:lineRule="auto"/>
              <w:jc w:val="center"/>
              <w:rPr>
                <w:rFonts w:ascii="Times New Roman" w:eastAsia="Times New Roman" w:hAnsi="Times New Roman" w:cs="Times New Roman"/>
                <w:b/>
                <w:lang w:eastAsia="hu-HU"/>
              </w:rPr>
            </w:pPr>
            <w:r w:rsidRPr="00E84448">
              <w:rPr>
                <w:rFonts w:ascii="Times New Roman" w:eastAsia="Times New Roman" w:hAnsi="Times New Roman" w:cs="Times New Roman"/>
                <w:b/>
                <w:lang w:eastAsia="hu-HU"/>
              </w:rPr>
              <w:t>Faculty of Military Science and Officer Training</w:t>
            </w:r>
          </w:p>
        </w:tc>
        <w:tc>
          <w:tcPr>
            <w:tcW w:w="1620" w:type="dxa"/>
          </w:tcPr>
          <w:p w:rsidR="00EF2F44" w:rsidRPr="00E84448" w:rsidRDefault="00EF2F44" w:rsidP="001752E6">
            <w:pPr>
              <w:spacing w:after="0" w:line="240" w:lineRule="auto"/>
              <w:jc w:val="both"/>
              <w:rPr>
                <w:rFonts w:ascii="Times New Roman" w:eastAsia="Times New Roman" w:hAnsi="Times New Roman" w:cs="Times New Roman"/>
                <w:lang w:eastAsia="hu-HU"/>
              </w:rPr>
            </w:pPr>
          </w:p>
        </w:tc>
        <w:tc>
          <w:tcPr>
            <w:tcW w:w="2597" w:type="dxa"/>
          </w:tcPr>
          <w:p w:rsidR="00EF2F44" w:rsidRPr="00E84448" w:rsidRDefault="00EF2F44" w:rsidP="001752E6">
            <w:pPr>
              <w:spacing w:after="0" w:line="240" w:lineRule="auto"/>
              <w:jc w:val="both"/>
              <w:rPr>
                <w:rFonts w:ascii="Times New Roman" w:eastAsia="Times New Roman" w:hAnsi="Times New Roman" w:cs="Times New Roman"/>
                <w:lang w:eastAsia="hu-HU"/>
              </w:rPr>
            </w:pPr>
          </w:p>
        </w:tc>
      </w:tr>
    </w:tbl>
    <w:p w:rsidR="00EF2F44" w:rsidRPr="00E84448" w:rsidRDefault="00EF2F44" w:rsidP="00EF2F44">
      <w:pPr>
        <w:widowControl w:val="0"/>
        <w:spacing w:before="120" w:after="120" w:line="240" w:lineRule="auto"/>
        <w:ind w:left="426" w:hanging="142"/>
        <w:jc w:val="center"/>
        <w:rPr>
          <w:rFonts w:ascii="Times New Roman" w:eastAsia="Times New Roman" w:hAnsi="Times New Roman" w:cs="Times New Roman"/>
          <w:b/>
          <w:bCs/>
        </w:rPr>
      </w:pPr>
    </w:p>
    <w:p w:rsidR="00EF2F44" w:rsidRPr="00E84448" w:rsidRDefault="00EF2F44" w:rsidP="00EF2F44">
      <w:pPr>
        <w:widowControl w:val="0"/>
        <w:spacing w:before="120" w:after="120" w:line="240" w:lineRule="auto"/>
        <w:ind w:left="426" w:hanging="142"/>
        <w:jc w:val="center"/>
        <w:rPr>
          <w:rFonts w:ascii="Times New Roman" w:eastAsia="Times New Roman" w:hAnsi="Times New Roman" w:cs="Times New Roman"/>
          <w:b/>
          <w:bCs/>
        </w:rPr>
      </w:pPr>
      <w:r>
        <w:rPr>
          <w:rFonts w:ascii="Times New Roman" w:eastAsia="Times New Roman" w:hAnsi="Times New Roman" w:cs="Times New Roman"/>
          <w:b/>
          <w:bCs/>
        </w:rPr>
        <w:t>CURRICULUM</w:t>
      </w:r>
    </w:p>
    <w:p w:rsidR="00EF2F44" w:rsidRPr="00E84448" w:rsidRDefault="00EF2F44" w:rsidP="00980876">
      <w:pPr>
        <w:widowControl w:val="0"/>
        <w:numPr>
          <w:ilvl w:val="0"/>
          <w:numId w:val="559"/>
        </w:numPr>
        <w:tabs>
          <w:tab w:val="clear" w:pos="720"/>
          <w:tab w:val="num" w:pos="502"/>
          <w:tab w:val="num" w:pos="567"/>
        </w:tabs>
        <w:spacing w:before="120" w:after="120" w:line="240" w:lineRule="auto"/>
        <w:ind w:left="426" w:hanging="142"/>
        <w:jc w:val="both"/>
        <w:rPr>
          <w:rFonts w:ascii="Times New Roman" w:eastAsia="Times New Roman" w:hAnsi="Times New Roman" w:cs="Times New Roman"/>
          <w:bCs/>
        </w:rPr>
      </w:pPr>
      <w:r w:rsidRPr="00E84448">
        <w:rPr>
          <w:rFonts w:ascii="Times New Roman" w:eastAsia="Times New Roman" w:hAnsi="Times New Roman" w:cs="Times New Roman"/>
          <w:b/>
          <w:bCs/>
        </w:rPr>
        <w:t xml:space="preserve">Code of subject: </w:t>
      </w:r>
      <w:r w:rsidRPr="00AC740A">
        <w:rPr>
          <w:rFonts w:ascii="Times New Roman" w:eastAsia="Times New Roman" w:hAnsi="Times New Roman" w:cs="Times New Roman"/>
          <w:bCs/>
        </w:rPr>
        <w:t>H</w:t>
      </w:r>
      <w:r>
        <w:rPr>
          <w:rFonts w:ascii="Times New Roman" w:eastAsia="Times New Roman" w:hAnsi="Times New Roman" w:cs="Times New Roman"/>
          <w:bCs/>
        </w:rPr>
        <w:t>K</w:t>
      </w:r>
      <w:r w:rsidRPr="00AC740A">
        <w:rPr>
          <w:rFonts w:ascii="Times New Roman" w:eastAsia="Times New Roman" w:hAnsi="Times New Roman" w:cs="Times New Roman"/>
          <w:bCs/>
        </w:rPr>
        <w:t>925</w:t>
      </w:r>
      <w:r>
        <w:rPr>
          <w:rFonts w:ascii="Times New Roman" w:eastAsia="Times New Roman" w:hAnsi="Times New Roman" w:cs="Times New Roman"/>
          <w:bCs/>
        </w:rPr>
        <w:t>A195</w:t>
      </w:r>
    </w:p>
    <w:p w:rsidR="00EF2F44" w:rsidRPr="00E84448" w:rsidRDefault="00EF2F44" w:rsidP="00980876">
      <w:pPr>
        <w:widowControl w:val="0"/>
        <w:numPr>
          <w:ilvl w:val="0"/>
          <w:numId w:val="559"/>
        </w:numPr>
        <w:tabs>
          <w:tab w:val="clear" w:pos="720"/>
          <w:tab w:val="num" w:pos="502"/>
          <w:tab w:val="num" w:pos="567"/>
        </w:tabs>
        <w:spacing w:before="120" w:after="120" w:line="240" w:lineRule="auto"/>
        <w:ind w:left="426" w:hanging="142"/>
        <w:jc w:val="both"/>
        <w:rPr>
          <w:rFonts w:ascii="Times New Roman" w:eastAsia="Times New Roman" w:hAnsi="Times New Roman" w:cs="Times New Roman"/>
          <w:b/>
          <w:bCs/>
          <w:lang w:val="en-GB"/>
        </w:rPr>
      </w:pPr>
      <w:r>
        <w:rPr>
          <w:rFonts w:ascii="Times New Roman" w:eastAsia="Times New Roman" w:hAnsi="Times New Roman" w:cs="Times New Roman"/>
          <w:b/>
          <w:bCs/>
        </w:rPr>
        <w:t>S</w:t>
      </w:r>
      <w:r w:rsidRPr="00E84448">
        <w:rPr>
          <w:rFonts w:ascii="Times New Roman" w:eastAsia="Times New Roman" w:hAnsi="Times New Roman" w:cs="Times New Roman"/>
          <w:b/>
          <w:bCs/>
        </w:rPr>
        <w:t>ubject</w:t>
      </w:r>
      <w:r>
        <w:rPr>
          <w:rFonts w:ascii="Times New Roman" w:eastAsia="Times New Roman" w:hAnsi="Times New Roman" w:cs="Times New Roman"/>
          <w:b/>
          <w:bCs/>
        </w:rPr>
        <w:t xml:space="preserve"> title</w:t>
      </w:r>
      <w:r w:rsidRPr="00E84448">
        <w:rPr>
          <w:rFonts w:ascii="Times New Roman" w:eastAsia="Times New Roman" w:hAnsi="Times New Roman" w:cs="Times New Roman"/>
          <w:b/>
          <w:bCs/>
        </w:rPr>
        <w:t>:</w:t>
      </w:r>
      <w:r w:rsidRPr="00E84448">
        <w:rPr>
          <w:rFonts w:ascii="Times New Roman" w:eastAsia="Times New Roman" w:hAnsi="Times New Roman" w:cs="Times New Roman"/>
          <w:bCs/>
        </w:rPr>
        <w:t xml:space="preserve"> </w:t>
      </w:r>
      <w:r>
        <w:rPr>
          <w:rFonts w:ascii="Times New Roman" w:eastAsia="Times New Roman" w:hAnsi="Times New Roman" w:cs="Times New Roman"/>
          <w:bCs/>
        </w:rPr>
        <w:t>Probability Theory LOG</w:t>
      </w:r>
    </w:p>
    <w:p w:rsidR="00EF2F44" w:rsidRPr="00E84448" w:rsidRDefault="00EF2F44" w:rsidP="00980876">
      <w:pPr>
        <w:widowControl w:val="0"/>
        <w:numPr>
          <w:ilvl w:val="0"/>
          <w:numId w:val="559"/>
        </w:numPr>
        <w:tabs>
          <w:tab w:val="clear" w:pos="720"/>
          <w:tab w:val="num" w:pos="502"/>
          <w:tab w:val="num" w:pos="567"/>
        </w:tabs>
        <w:spacing w:before="120" w:after="120" w:line="240" w:lineRule="auto"/>
        <w:ind w:left="426" w:hanging="142"/>
        <w:jc w:val="both"/>
        <w:rPr>
          <w:rFonts w:ascii="Times New Roman" w:eastAsia="Times New Roman" w:hAnsi="Times New Roman" w:cs="Times New Roman"/>
          <w:b/>
          <w:bCs/>
        </w:rPr>
      </w:pPr>
      <w:r w:rsidRPr="00E84448">
        <w:rPr>
          <w:rFonts w:ascii="Times New Roman" w:eastAsia="Times New Roman" w:hAnsi="Times New Roman" w:cs="Times New Roman"/>
          <w:b/>
          <w:bCs/>
        </w:rPr>
        <w:t xml:space="preserve">Credit value and educational character: </w:t>
      </w:r>
    </w:p>
    <w:p w:rsidR="00EF2F44" w:rsidRPr="00E84448" w:rsidRDefault="00EF2F44" w:rsidP="00980876">
      <w:pPr>
        <w:pStyle w:val="Listaszerbekezds"/>
        <w:widowControl w:val="0"/>
        <w:numPr>
          <w:ilvl w:val="1"/>
          <w:numId w:val="559"/>
        </w:numPr>
        <w:tabs>
          <w:tab w:val="clear" w:pos="3977"/>
        </w:tabs>
        <w:spacing w:before="120" w:after="120" w:line="240" w:lineRule="auto"/>
        <w:ind w:left="993" w:hanging="426"/>
        <w:jc w:val="both"/>
        <w:rPr>
          <w:rFonts w:ascii="Times New Roman" w:eastAsia="Times New Roman" w:hAnsi="Times New Roman" w:cs="Times New Roman"/>
          <w:b/>
          <w:bCs/>
        </w:rPr>
      </w:pPr>
      <w:r w:rsidRPr="00E84448">
        <w:rPr>
          <w:rFonts w:ascii="Times New Roman" w:eastAsia="Times New Roman" w:hAnsi="Times New Roman" w:cs="Times New Roman"/>
          <w:bCs/>
        </w:rPr>
        <w:t>2 credits</w:t>
      </w:r>
    </w:p>
    <w:p w:rsidR="00EF2F44" w:rsidRPr="00E84448" w:rsidRDefault="00EF2F44" w:rsidP="00980876">
      <w:pPr>
        <w:pStyle w:val="Listaszerbekezds"/>
        <w:widowControl w:val="0"/>
        <w:numPr>
          <w:ilvl w:val="1"/>
          <w:numId w:val="559"/>
        </w:numPr>
        <w:tabs>
          <w:tab w:val="clear" w:pos="3977"/>
        </w:tabs>
        <w:spacing w:before="120" w:after="120" w:line="240" w:lineRule="auto"/>
        <w:ind w:left="993" w:hanging="426"/>
        <w:jc w:val="both"/>
        <w:rPr>
          <w:rFonts w:ascii="Times New Roman" w:eastAsia="Times New Roman" w:hAnsi="Times New Roman" w:cs="Times New Roman"/>
          <w:b/>
          <w:bCs/>
        </w:rPr>
      </w:pPr>
      <w:r w:rsidRPr="00E84448">
        <w:rPr>
          <w:rFonts w:ascii="Times New Roman" w:eastAsia="Times New Roman" w:hAnsi="Times New Roman" w:cs="Times New Roman"/>
          <w:bCs/>
        </w:rPr>
        <w:t xml:space="preserve">level of theoretical and/or practical character of subject: </w:t>
      </w:r>
      <w:r>
        <w:rPr>
          <w:rFonts w:ascii="Times New Roman" w:eastAsia="Times New Roman" w:hAnsi="Times New Roman" w:cs="Times New Roman"/>
          <w:bCs/>
        </w:rPr>
        <w:t>5</w:t>
      </w:r>
      <w:r w:rsidRPr="00E84448">
        <w:rPr>
          <w:rFonts w:ascii="Times New Roman" w:eastAsia="Times New Roman" w:hAnsi="Times New Roman" w:cs="Times New Roman"/>
          <w:bCs/>
        </w:rPr>
        <w:t xml:space="preserve">0 % practice, </w:t>
      </w:r>
      <w:r>
        <w:rPr>
          <w:rFonts w:ascii="Times New Roman" w:eastAsia="Times New Roman" w:hAnsi="Times New Roman" w:cs="Times New Roman"/>
          <w:bCs/>
        </w:rPr>
        <w:t>5</w:t>
      </w:r>
      <w:r w:rsidRPr="00E84448">
        <w:rPr>
          <w:rFonts w:ascii="Times New Roman" w:eastAsia="Times New Roman" w:hAnsi="Times New Roman" w:cs="Times New Roman"/>
          <w:bCs/>
        </w:rPr>
        <w:t>0 % theory</w:t>
      </w:r>
    </w:p>
    <w:p w:rsidR="00EF2F44" w:rsidRPr="00E84448" w:rsidRDefault="00EF2F44" w:rsidP="00980876">
      <w:pPr>
        <w:widowControl w:val="0"/>
        <w:numPr>
          <w:ilvl w:val="0"/>
          <w:numId w:val="559"/>
        </w:numPr>
        <w:tabs>
          <w:tab w:val="clear" w:pos="720"/>
          <w:tab w:val="num" w:pos="502"/>
        </w:tabs>
        <w:spacing w:before="120" w:after="120" w:line="240" w:lineRule="auto"/>
        <w:ind w:left="426" w:hanging="142"/>
        <w:jc w:val="both"/>
        <w:rPr>
          <w:rFonts w:ascii="Times New Roman" w:eastAsia="Times New Roman" w:hAnsi="Times New Roman" w:cs="Times New Roman"/>
          <w:bCs/>
          <w:color w:val="92D050"/>
        </w:rPr>
      </w:pPr>
      <w:r w:rsidRPr="00E84448">
        <w:rPr>
          <w:rFonts w:ascii="Times New Roman" w:eastAsia="Times New Roman" w:hAnsi="Times New Roman" w:cs="Times New Roman"/>
          <w:b/>
          <w:bCs/>
        </w:rPr>
        <w:t>Name(s) of programme(s), specialization(s)/module(s) (where taught):</w:t>
      </w:r>
      <w:r w:rsidRPr="00E84448">
        <w:rPr>
          <w:rFonts w:ascii="Times New Roman" w:eastAsia="Times New Roman" w:hAnsi="Times New Roman" w:cs="Times New Roman"/>
          <w:bCs/>
        </w:rPr>
        <w:t xml:space="preserve"> Military Logistics </w:t>
      </w:r>
      <w:r w:rsidR="00137B8A">
        <w:rPr>
          <w:rFonts w:ascii="Times New Roman" w:eastAsia="Times New Roman" w:hAnsi="Times New Roman" w:cs="Times New Roman"/>
          <w:bCs/>
        </w:rPr>
        <w:t>BSc</w:t>
      </w:r>
    </w:p>
    <w:p w:rsidR="00EF2F44" w:rsidRPr="00E84448" w:rsidRDefault="00EF2F44" w:rsidP="00980876">
      <w:pPr>
        <w:widowControl w:val="0"/>
        <w:numPr>
          <w:ilvl w:val="0"/>
          <w:numId w:val="559"/>
        </w:numPr>
        <w:tabs>
          <w:tab w:val="clear" w:pos="720"/>
          <w:tab w:val="num" w:pos="502"/>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O</w:t>
      </w:r>
      <w:r w:rsidRPr="00E84448">
        <w:rPr>
          <w:rFonts w:ascii="Times New Roman" w:eastAsia="Times New Roman" w:hAnsi="Times New Roman" w:cs="Times New Roman"/>
          <w:b/>
          <w:bCs/>
        </w:rPr>
        <w:t xml:space="preserve">rganizational unit responsible for its education: </w:t>
      </w:r>
      <w:r w:rsidRPr="00E84448">
        <w:rPr>
          <w:rFonts w:ascii="Times New Roman" w:eastAsia="Times New Roman" w:hAnsi="Times New Roman" w:cs="Times New Roman"/>
          <w:bCs/>
        </w:rPr>
        <w:t>Department of Natural Sciences</w:t>
      </w:r>
    </w:p>
    <w:p w:rsidR="00EF2F44" w:rsidRPr="00E84448" w:rsidRDefault="00EF2F44" w:rsidP="00980876">
      <w:pPr>
        <w:widowControl w:val="0"/>
        <w:numPr>
          <w:ilvl w:val="0"/>
          <w:numId w:val="559"/>
        </w:numPr>
        <w:tabs>
          <w:tab w:val="clear" w:pos="720"/>
          <w:tab w:val="num" w:pos="502"/>
          <w:tab w:val="num" w:pos="567"/>
        </w:tabs>
        <w:spacing w:before="120" w:after="120" w:line="240" w:lineRule="auto"/>
        <w:ind w:left="426" w:hanging="142"/>
        <w:jc w:val="both"/>
        <w:rPr>
          <w:rFonts w:ascii="Times New Roman" w:eastAsia="Times New Roman" w:hAnsi="Times New Roman" w:cs="Times New Roman"/>
          <w:bCs/>
          <w:spacing w:val="-2"/>
        </w:rPr>
      </w:pPr>
      <w:r w:rsidRPr="00E84448">
        <w:rPr>
          <w:rFonts w:ascii="Liberation Serif" w:hAnsi="Liberation Serif" w:cs="Liberation Serif"/>
          <w:b/>
          <w:bCs/>
          <w:lang w:val="en-US"/>
        </w:rPr>
        <w:t>Name, position, academic degree of tutor responsible for the curriculum</w:t>
      </w:r>
      <w:r w:rsidRPr="00E84448">
        <w:rPr>
          <w:rFonts w:ascii="Times New Roman" w:eastAsia="Times New Roman" w:hAnsi="Times New Roman" w:cs="Times New Roman"/>
          <w:b/>
          <w:bCs/>
          <w:spacing w:val="-2"/>
        </w:rPr>
        <w:t>:</w:t>
      </w:r>
      <w:r w:rsidRPr="00E84448">
        <w:rPr>
          <w:rFonts w:ascii="Times New Roman" w:eastAsia="Times New Roman" w:hAnsi="Times New Roman" w:cs="Times New Roman"/>
          <w:bCs/>
          <w:spacing w:val="-2"/>
        </w:rPr>
        <w:t xml:space="preserve"> Dr. Bence TÓTH, senior lecturer, PhD</w:t>
      </w:r>
    </w:p>
    <w:p w:rsidR="00EF2F44" w:rsidRPr="00E84448" w:rsidRDefault="00EF2F44" w:rsidP="00980876">
      <w:pPr>
        <w:widowControl w:val="0"/>
        <w:numPr>
          <w:ilvl w:val="0"/>
          <w:numId w:val="559"/>
        </w:numPr>
        <w:tabs>
          <w:tab w:val="clear" w:pos="720"/>
          <w:tab w:val="num" w:pos="502"/>
        </w:tabs>
        <w:spacing w:before="120" w:after="120" w:line="240" w:lineRule="auto"/>
        <w:ind w:left="426" w:hanging="142"/>
        <w:jc w:val="both"/>
        <w:rPr>
          <w:rFonts w:ascii="Times New Roman" w:eastAsia="Times New Roman" w:hAnsi="Times New Roman" w:cs="Times New Roman"/>
          <w:bCs/>
        </w:rPr>
      </w:pPr>
      <w:r w:rsidRPr="00E84448">
        <w:rPr>
          <w:rFonts w:ascii="Times New Roman" w:eastAsia="Times New Roman" w:hAnsi="Times New Roman" w:cs="Times New Roman"/>
          <w:b/>
          <w:bCs/>
        </w:rPr>
        <w:t>Number and type of classes</w:t>
      </w:r>
    </w:p>
    <w:p w:rsidR="00EF2F44" w:rsidRPr="00E84448" w:rsidRDefault="00EF2F44" w:rsidP="00980876">
      <w:pPr>
        <w:widowControl w:val="0"/>
        <w:numPr>
          <w:ilvl w:val="1"/>
          <w:numId w:val="559"/>
        </w:numPr>
        <w:tabs>
          <w:tab w:val="clear" w:pos="3977"/>
          <w:tab w:val="num" w:pos="709"/>
        </w:tabs>
        <w:spacing w:before="120" w:after="120" w:line="240" w:lineRule="auto"/>
        <w:ind w:left="993" w:hanging="567"/>
        <w:jc w:val="both"/>
        <w:rPr>
          <w:rFonts w:ascii="Times New Roman" w:eastAsia="Times New Roman" w:hAnsi="Times New Roman" w:cs="Times New Roman"/>
          <w:bCs/>
        </w:rPr>
      </w:pPr>
      <w:r w:rsidRPr="00E84448">
        <w:rPr>
          <w:rFonts w:ascii="Times New Roman" w:eastAsia="Times New Roman" w:hAnsi="Times New Roman" w:cs="Times New Roman"/>
          <w:bCs/>
        </w:rPr>
        <w:t>total number of classes per term:</w:t>
      </w:r>
    </w:p>
    <w:p w:rsidR="00EF2F44" w:rsidRPr="00E84448" w:rsidRDefault="00EF2F44" w:rsidP="00980876">
      <w:pPr>
        <w:widowControl w:val="0"/>
        <w:numPr>
          <w:ilvl w:val="2"/>
          <w:numId w:val="559"/>
        </w:numPr>
        <w:tabs>
          <w:tab w:val="clear" w:pos="1800"/>
          <w:tab w:val="num" w:pos="709"/>
        </w:tabs>
        <w:spacing w:before="120" w:after="120" w:line="240" w:lineRule="auto"/>
        <w:ind w:left="1134" w:hanging="567"/>
        <w:jc w:val="both"/>
        <w:rPr>
          <w:rFonts w:ascii="Times New Roman" w:eastAsia="Times New Roman" w:hAnsi="Times New Roman" w:cs="Times New Roman"/>
          <w:bCs/>
        </w:rPr>
      </w:pPr>
      <w:r w:rsidRPr="00E84448">
        <w:rPr>
          <w:rFonts w:ascii="Times New Roman" w:eastAsia="Times New Roman" w:hAnsi="Times New Roman" w:cs="Times New Roman"/>
          <w:bCs/>
        </w:rPr>
        <w:t xml:space="preserve">full time training: </w:t>
      </w:r>
      <w:r>
        <w:rPr>
          <w:rFonts w:ascii="Times New Roman" w:eastAsia="Times New Roman" w:hAnsi="Times New Roman" w:cs="Times New Roman"/>
          <w:bCs/>
        </w:rPr>
        <w:t>28</w:t>
      </w:r>
      <w:r w:rsidRPr="00E84448">
        <w:rPr>
          <w:rFonts w:ascii="Times New Roman" w:eastAsia="Times New Roman" w:hAnsi="Times New Roman" w:cs="Times New Roman"/>
          <w:bCs/>
        </w:rPr>
        <w:t xml:space="preserve"> (</w:t>
      </w:r>
      <w:r>
        <w:rPr>
          <w:rFonts w:ascii="Times New Roman" w:eastAsia="Times New Roman" w:hAnsi="Times New Roman" w:cs="Times New Roman"/>
          <w:bCs/>
        </w:rPr>
        <w:t>14</w:t>
      </w:r>
      <w:r w:rsidRPr="00E84448">
        <w:rPr>
          <w:rFonts w:ascii="Times New Roman" w:eastAsia="Times New Roman" w:hAnsi="Times New Roman" w:cs="Times New Roman"/>
          <w:bCs/>
        </w:rPr>
        <w:t xml:space="preserve"> lecture + 0 seminar + </w:t>
      </w:r>
      <w:r>
        <w:rPr>
          <w:rFonts w:ascii="Times New Roman" w:eastAsia="Times New Roman" w:hAnsi="Times New Roman" w:cs="Times New Roman"/>
          <w:bCs/>
        </w:rPr>
        <w:t>14</w:t>
      </w:r>
      <w:r w:rsidRPr="00E84448">
        <w:rPr>
          <w:rFonts w:ascii="Times New Roman" w:eastAsia="Times New Roman" w:hAnsi="Times New Roman" w:cs="Times New Roman"/>
          <w:bCs/>
        </w:rPr>
        <w:t xml:space="preserve"> practice)</w:t>
      </w:r>
    </w:p>
    <w:p w:rsidR="00EF2F44" w:rsidRPr="00E84448" w:rsidRDefault="00EF2F44" w:rsidP="00980876">
      <w:pPr>
        <w:widowControl w:val="0"/>
        <w:numPr>
          <w:ilvl w:val="2"/>
          <w:numId w:val="559"/>
        </w:numPr>
        <w:tabs>
          <w:tab w:val="clear" w:pos="1800"/>
          <w:tab w:val="num" w:pos="709"/>
        </w:tabs>
        <w:spacing w:before="120" w:after="120" w:line="240" w:lineRule="auto"/>
        <w:ind w:left="1134" w:hanging="567"/>
        <w:jc w:val="both"/>
        <w:rPr>
          <w:rFonts w:ascii="Times New Roman" w:eastAsia="Times New Roman" w:hAnsi="Times New Roman" w:cs="Times New Roman"/>
          <w:bCs/>
        </w:rPr>
      </w:pPr>
      <w:r w:rsidRPr="00E84448">
        <w:rPr>
          <w:rFonts w:ascii="Times New Roman" w:eastAsia="Times New Roman" w:hAnsi="Times New Roman" w:cs="Times New Roman"/>
          <w:bCs/>
        </w:rPr>
        <w:t>correspondance training: 0 (0 lecture + 0 seminar + 0 practice)</w:t>
      </w:r>
    </w:p>
    <w:p w:rsidR="00EF2F44" w:rsidRPr="00E84448" w:rsidRDefault="00EF2F44" w:rsidP="00980876">
      <w:pPr>
        <w:widowControl w:val="0"/>
        <w:numPr>
          <w:ilvl w:val="1"/>
          <w:numId w:val="559"/>
        </w:numPr>
        <w:tabs>
          <w:tab w:val="clear" w:pos="3977"/>
          <w:tab w:val="num" w:pos="709"/>
        </w:tabs>
        <w:spacing w:before="120" w:after="120" w:line="240" w:lineRule="auto"/>
        <w:ind w:left="993" w:hanging="567"/>
        <w:jc w:val="both"/>
        <w:rPr>
          <w:rFonts w:ascii="Times New Roman" w:eastAsia="Times New Roman" w:hAnsi="Times New Roman" w:cs="Times New Roman"/>
          <w:bCs/>
        </w:rPr>
      </w:pPr>
      <w:r w:rsidRPr="00E84448">
        <w:rPr>
          <w:rFonts w:ascii="Times New Roman" w:eastAsia="Times New Roman" w:hAnsi="Times New Roman" w:cs="Times New Roman"/>
          <w:bCs/>
        </w:rPr>
        <w:t xml:space="preserve">weekly number of classes - full time training: </w:t>
      </w:r>
      <w:r>
        <w:rPr>
          <w:rFonts w:ascii="Times New Roman" w:eastAsia="Times New Roman" w:hAnsi="Times New Roman" w:cs="Times New Roman"/>
          <w:bCs/>
        </w:rPr>
        <w:t xml:space="preserve">2(1 + </w:t>
      </w:r>
      <w:r w:rsidRPr="00E84448">
        <w:rPr>
          <w:rFonts w:ascii="Times New Roman" w:eastAsia="Times New Roman" w:hAnsi="Times New Roman" w:cs="Times New Roman"/>
          <w:bCs/>
        </w:rPr>
        <w:t>1</w:t>
      </w:r>
      <w:r>
        <w:rPr>
          <w:rFonts w:ascii="Times New Roman" w:eastAsia="Times New Roman" w:hAnsi="Times New Roman" w:cs="Times New Roman"/>
          <w:bCs/>
        </w:rPr>
        <w:t>)</w:t>
      </w:r>
    </w:p>
    <w:p w:rsidR="00EF2F44" w:rsidRPr="00E84448" w:rsidRDefault="00EF2F44" w:rsidP="00980876">
      <w:pPr>
        <w:widowControl w:val="0"/>
        <w:numPr>
          <w:ilvl w:val="1"/>
          <w:numId w:val="559"/>
        </w:numPr>
        <w:tabs>
          <w:tab w:val="clear" w:pos="3977"/>
          <w:tab w:val="num" w:pos="709"/>
        </w:tabs>
        <w:spacing w:before="120" w:after="120" w:line="240" w:lineRule="auto"/>
        <w:ind w:left="993" w:hanging="567"/>
        <w:jc w:val="both"/>
        <w:rPr>
          <w:rFonts w:ascii="Times New Roman" w:eastAsia="Times New Roman" w:hAnsi="Times New Roman" w:cs="Times New Roman"/>
          <w:bCs/>
        </w:rPr>
      </w:pPr>
      <w:r w:rsidRPr="00E84448">
        <w:rPr>
          <w:rFonts w:ascii="Times New Roman" w:hAnsi="Times New Roman" w:cs="Times New Roman"/>
        </w:rPr>
        <w:t>Further special modes, characteristics in knowledge transfer: none</w:t>
      </w:r>
    </w:p>
    <w:p w:rsidR="00EF2F44" w:rsidRPr="00E84448" w:rsidRDefault="00EF2F44" w:rsidP="00980876">
      <w:pPr>
        <w:widowControl w:val="0"/>
        <w:numPr>
          <w:ilvl w:val="0"/>
          <w:numId w:val="559"/>
        </w:numPr>
        <w:tabs>
          <w:tab w:val="clear" w:pos="720"/>
          <w:tab w:val="num" w:pos="502"/>
        </w:tabs>
        <w:spacing w:before="120" w:after="120" w:line="240" w:lineRule="auto"/>
        <w:ind w:left="502"/>
        <w:jc w:val="both"/>
        <w:rPr>
          <w:rFonts w:ascii="Times New Roman" w:eastAsia="Times New Roman" w:hAnsi="Times New Roman" w:cs="Times New Roman"/>
          <w:bCs/>
        </w:rPr>
      </w:pPr>
      <w:r w:rsidRPr="00E84448">
        <w:rPr>
          <w:rFonts w:ascii="Times New Roman" w:eastAsia="Times New Roman" w:hAnsi="Times New Roman" w:cs="Times New Roman"/>
          <w:b/>
          <w:bCs/>
        </w:rPr>
        <w:t>Course</w:t>
      </w:r>
      <w:r w:rsidRPr="00E84448">
        <w:rPr>
          <w:rFonts w:ascii="Times New Roman" w:eastAsia="Times New Roman" w:hAnsi="Times New Roman" w:cs="Times New Roman"/>
          <w:b/>
          <w:bCs/>
          <w:lang w:val="en-US"/>
        </w:rPr>
        <w:t xml:space="preserve"> description</w:t>
      </w:r>
      <w:r w:rsidRPr="00E84448">
        <w:rPr>
          <w:rFonts w:ascii="Times New Roman" w:eastAsia="Times New Roman" w:hAnsi="Times New Roman" w:cs="Times New Roman"/>
          <w:b/>
          <w:bCs/>
        </w:rPr>
        <w:t>:</w:t>
      </w:r>
      <w:r w:rsidRPr="00E84448">
        <w:rPr>
          <w:rFonts w:ascii="Times New Roman" w:eastAsia="Times New Roman" w:hAnsi="Times New Roman" w:cs="Times New Roman"/>
          <w:bCs/>
          <w:lang w:val="en-GB"/>
        </w:rPr>
        <w:t xml:space="preserve"> </w:t>
      </w:r>
      <w:r w:rsidRPr="00AC740A">
        <w:rPr>
          <w:rFonts w:ascii="Times New Roman" w:eastAsia="Times New Roman" w:hAnsi="Times New Roman" w:cs="Times New Roman"/>
          <w:bCs/>
          <w:lang w:val="en-GB"/>
        </w:rPr>
        <w:t>Events and operations with events. Geometric probability. Kolmogorov’s axioms. Classical probability. Sampling. Probability measure, definition and properties. Conditional probability. Mean and standard deviation. Some important probability distributions. Probabilistic inequalities</w:t>
      </w:r>
      <w:r w:rsidRPr="00E84448">
        <w:rPr>
          <w:rFonts w:ascii="Times New Roman" w:eastAsia="Times New Roman" w:hAnsi="Times New Roman" w:cs="Times New Roman"/>
          <w:bCs/>
        </w:rPr>
        <w:t>.</w:t>
      </w:r>
    </w:p>
    <w:p w:rsidR="00EF2F44" w:rsidRPr="00E84448" w:rsidRDefault="00EF2F44" w:rsidP="00980876">
      <w:pPr>
        <w:pStyle w:val="Listaszerbekezds"/>
        <w:widowControl w:val="0"/>
        <w:numPr>
          <w:ilvl w:val="0"/>
          <w:numId w:val="559"/>
        </w:numPr>
        <w:tabs>
          <w:tab w:val="clear" w:pos="720"/>
          <w:tab w:val="num" w:pos="426"/>
        </w:tabs>
        <w:spacing w:before="120" w:after="120" w:line="240" w:lineRule="auto"/>
        <w:ind w:left="426" w:hanging="142"/>
        <w:jc w:val="both"/>
        <w:rPr>
          <w:rFonts w:ascii="Times New Roman" w:eastAsia="Times New Roman" w:hAnsi="Times New Roman" w:cs="Times New Roman"/>
          <w:bCs/>
        </w:rPr>
      </w:pPr>
      <w:r w:rsidRPr="00E84448">
        <w:rPr>
          <w:rFonts w:ascii="Times New Roman" w:eastAsia="Times New Roman" w:hAnsi="Times New Roman" w:cs="Times New Roman"/>
          <w:b/>
          <w:bCs/>
          <w:lang w:val="en-US"/>
        </w:rPr>
        <w:t xml:space="preserve">Competences: </w:t>
      </w:r>
    </w:p>
    <w:p w:rsidR="00EF2F44" w:rsidRPr="00E84448" w:rsidRDefault="00EF2F44" w:rsidP="00EF2F44">
      <w:pPr>
        <w:widowControl w:val="0"/>
        <w:spacing w:before="120" w:after="120" w:line="240" w:lineRule="auto"/>
        <w:ind w:left="426"/>
        <w:jc w:val="both"/>
        <w:rPr>
          <w:rFonts w:ascii="Times New Roman" w:eastAsia="Times New Roman" w:hAnsi="Times New Roman" w:cs="Times New Roman"/>
          <w:lang w:val="en-GB"/>
        </w:rPr>
      </w:pPr>
      <w:r w:rsidRPr="00E84448">
        <w:rPr>
          <w:rFonts w:ascii="Times New Roman" w:eastAsia="Times New Roman" w:hAnsi="Times New Roman" w:cs="Times New Roman"/>
          <w:b/>
          <w:lang w:val="en-GB"/>
        </w:rPr>
        <w:t>Knowledge</w:t>
      </w:r>
      <w:r w:rsidRPr="00E84448">
        <w:rPr>
          <w:rFonts w:ascii="Times New Roman" w:eastAsia="Times New Roman" w:hAnsi="Times New Roman" w:cs="Times New Roman"/>
          <w:lang w:val="en-GB"/>
        </w:rPr>
        <w:t xml:space="preserve">: </w:t>
      </w:r>
    </w:p>
    <w:p w:rsidR="00EF2F44" w:rsidRPr="00E84448" w:rsidRDefault="00EF2F44" w:rsidP="00EF2F44">
      <w:pPr>
        <w:widowControl w:val="0"/>
        <w:spacing w:before="120" w:after="120" w:line="240" w:lineRule="auto"/>
        <w:ind w:left="426"/>
        <w:jc w:val="both"/>
        <w:rPr>
          <w:rFonts w:ascii="Times New Roman" w:eastAsia="Calibri" w:hAnsi="Times New Roman" w:cs="Times New Roman"/>
        </w:rPr>
      </w:pPr>
      <w:r w:rsidRPr="00E84448">
        <w:rPr>
          <w:rFonts w:ascii="Times New Roman" w:eastAsia="Times New Roman" w:hAnsi="Times New Roman" w:cs="Times New Roman"/>
          <w:bCs/>
        </w:rPr>
        <w:t>-</w:t>
      </w:r>
      <w:r w:rsidRPr="00E84448">
        <w:rPr>
          <w:rFonts w:ascii="Times New Roman" w:eastAsia="Times New Roman" w:hAnsi="Times New Roman" w:cs="Times New Roman"/>
          <w:bCs/>
        </w:rPr>
        <w:tab/>
        <w:t>Knows the laws of mathematics and mechanics, has basic technical knowledge.</w:t>
      </w:r>
    </w:p>
    <w:p w:rsidR="00EF2F44" w:rsidRPr="00E84448" w:rsidRDefault="00EF2F44" w:rsidP="00EF2F44">
      <w:pPr>
        <w:widowControl w:val="0"/>
        <w:spacing w:before="120" w:after="120" w:line="240" w:lineRule="auto"/>
        <w:ind w:left="426"/>
        <w:jc w:val="both"/>
        <w:rPr>
          <w:rFonts w:ascii="Times New Roman" w:eastAsia="Times New Roman" w:hAnsi="Times New Roman" w:cs="Times New Roman"/>
          <w:lang w:val="en-GB"/>
        </w:rPr>
      </w:pPr>
      <w:r w:rsidRPr="00E84448">
        <w:rPr>
          <w:rFonts w:ascii="Times New Roman" w:eastAsia="Times New Roman" w:hAnsi="Times New Roman" w:cs="Times New Roman"/>
          <w:b/>
          <w:lang w:val="en-GB"/>
        </w:rPr>
        <w:t>Capabilities</w:t>
      </w:r>
      <w:r w:rsidRPr="00E84448">
        <w:rPr>
          <w:rFonts w:ascii="Times New Roman" w:eastAsia="Times New Roman" w:hAnsi="Times New Roman" w:cs="Times New Roman"/>
          <w:lang w:val="en-GB"/>
        </w:rPr>
        <w:t xml:space="preserve">: </w:t>
      </w:r>
    </w:p>
    <w:p w:rsidR="00EF2F44" w:rsidRPr="00E84448" w:rsidRDefault="00EF2F44" w:rsidP="00EF2F44">
      <w:pPr>
        <w:widowControl w:val="0"/>
        <w:spacing w:before="120" w:after="120" w:line="240" w:lineRule="auto"/>
        <w:ind w:left="426"/>
        <w:jc w:val="both"/>
        <w:rPr>
          <w:rFonts w:ascii="Times New Roman" w:eastAsia="Calibri" w:hAnsi="Times New Roman" w:cs="Times New Roman"/>
        </w:rPr>
      </w:pPr>
      <w:r w:rsidRPr="00E84448">
        <w:rPr>
          <w:rFonts w:ascii="Times New Roman" w:eastAsia="Times New Roman" w:hAnsi="Times New Roman" w:cs="Times New Roman"/>
          <w:bCs/>
        </w:rPr>
        <w:t>-</w:t>
      </w:r>
      <w:r w:rsidRPr="00E84448">
        <w:rPr>
          <w:rFonts w:ascii="Times New Roman" w:eastAsia="Times New Roman" w:hAnsi="Times New Roman" w:cs="Times New Roman"/>
          <w:bCs/>
        </w:rPr>
        <w:tab/>
        <w:t>Able to formulate innovative ideas in their field.</w:t>
      </w:r>
    </w:p>
    <w:p w:rsidR="00EF2F44" w:rsidRPr="00E84448" w:rsidRDefault="00EF2F44" w:rsidP="00EF2F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lang w:val="en-GB"/>
        </w:rPr>
      </w:pPr>
      <w:r w:rsidRPr="00E84448">
        <w:rPr>
          <w:rFonts w:ascii="Times New Roman" w:eastAsia="Times New Roman" w:hAnsi="Times New Roman" w:cs="Times New Roman"/>
          <w:b/>
          <w:lang w:val="en-GB"/>
        </w:rPr>
        <w:t>Attitude:</w:t>
      </w:r>
      <w:r w:rsidRPr="00E84448">
        <w:rPr>
          <w:rFonts w:ascii="Times New Roman" w:eastAsia="Times New Roman" w:hAnsi="Times New Roman" w:cs="Times New Roman"/>
          <w:lang w:val="en-GB"/>
        </w:rPr>
        <w:t xml:space="preserve"> </w:t>
      </w:r>
    </w:p>
    <w:p w:rsidR="00EF2F44" w:rsidRPr="00E84448" w:rsidRDefault="00EF2F44" w:rsidP="00EF2F44">
      <w:pPr>
        <w:widowControl w:val="0"/>
        <w:spacing w:before="120" w:after="120" w:line="240" w:lineRule="auto"/>
        <w:ind w:left="426"/>
        <w:jc w:val="both"/>
        <w:rPr>
          <w:rFonts w:ascii="Times New Roman" w:eastAsia="Calibri" w:hAnsi="Times New Roman" w:cs="Times New Roman"/>
        </w:rPr>
      </w:pPr>
      <w:r w:rsidRPr="00E84448">
        <w:rPr>
          <w:rFonts w:ascii="Times New Roman" w:eastAsia="Times New Roman" w:hAnsi="Times New Roman" w:cs="Times New Roman"/>
          <w:bCs/>
        </w:rPr>
        <w:t>-</w:t>
      </w:r>
      <w:r w:rsidRPr="00E84448">
        <w:rPr>
          <w:rFonts w:ascii="Times New Roman" w:eastAsia="Times New Roman" w:hAnsi="Times New Roman" w:cs="Times New Roman"/>
          <w:bCs/>
        </w:rPr>
        <w:tab/>
        <w:t>Open for the new achievements and innovations of their specialty, seeks to know, understand and apply them, and committed to continuous self-education.</w:t>
      </w:r>
    </w:p>
    <w:p w:rsidR="00EF2F44" w:rsidRPr="00E84448" w:rsidRDefault="00EF2F44" w:rsidP="00EF2F44">
      <w:pPr>
        <w:widowControl w:val="0"/>
        <w:spacing w:before="120" w:after="120" w:line="240" w:lineRule="auto"/>
        <w:ind w:left="426"/>
        <w:jc w:val="both"/>
        <w:rPr>
          <w:rFonts w:ascii="Times New Roman" w:eastAsia="Times New Roman" w:hAnsi="Times New Roman" w:cs="Times New Roman"/>
          <w:lang w:val="en-GB"/>
        </w:rPr>
      </w:pPr>
      <w:r w:rsidRPr="00E84448">
        <w:rPr>
          <w:rFonts w:ascii="Times New Roman" w:eastAsia="Times New Roman" w:hAnsi="Times New Roman" w:cs="Times New Roman"/>
          <w:b/>
          <w:lang w:val="en-GB"/>
        </w:rPr>
        <w:t xml:space="preserve">Autonomy and responsibility: </w:t>
      </w:r>
    </w:p>
    <w:p w:rsidR="00EF2F44" w:rsidRPr="00E84448" w:rsidRDefault="00EF2F44" w:rsidP="00EF2F44">
      <w:pPr>
        <w:widowControl w:val="0"/>
        <w:spacing w:before="120" w:after="120" w:line="240" w:lineRule="auto"/>
        <w:ind w:left="426"/>
        <w:jc w:val="both"/>
        <w:rPr>
          <w:rFonts w:ascii="Times New Roman" w:eastAsia="Calibri" w:hAnsi="Times New Roman" w:cs="Times New Roman"/>
        </w:rPr>
      </w:pPr>
      <w:r w:rsidRPr="00E84448">
        <w:rPr>
          <w:rFonts w:ascii="Times New Roman" w:eastAsia="Times New Roman" w:hAnsi="Times New Roman" w:cs="Times New Roman"/>
          <w:bCs/>
        </w:rPr>
        <w:t>-</w:t>
      </w:r>
      <w:r w:rsidRPr="00E84448">
        <w:rPr>
          <w:rFonts w:ascii="Times New Roman" w:eastAsia="Times New Roman" w:hAnsi="Times New Roman" w:cs="Times New Roman"/>
          <w:bCs/>
        </w:rPr>
        <w:tab/>
        <w:t>At the subunit and unit level, it is able to make independent decisions in military logistics and military management processes, making them responsible and within the legal framework.</w:t>
      </w:r>
    </w:p>
    <w:p w:rsidR="00EF2F44" w:rsidRPr="00E84448" w:rsidRDefault="00EF2F44" w:rsidP="00980876">
      <w:pPr>
        <w:widowControl w:val="0"/>
        <w:numPr>
          <w:ilvl w:val="0"/>
          <w:numId w:val="559"/>
        </w:numPr>
        <w:tabs>
          <w:tab w:val="clear" w:pos="720"/>
          <w:tab w:val="num" w:pos="502"/>
          <w:tab w:val="num" w:pos="567"/>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Prer</w:t>
      </w:r>
      <w:r w:rsidRPr="00E84448">
        <w:rPr>
          <w:rFonts w:ascii="Times New Roman" w:eastAsia="Times New Roman" w:hAnsi="Times New Roman" w:cs="Times New Roman"/>
          <w:b/>
          <w:bCs/>
        </w:rPr>
        <w:t>equi</w:t>
      </w:r>
      <w:r>
        <w:rPr>
          <w:rFonts w:ascii="Times New Roman" w:eastAsia="Times New Roman" w:hAnsi="Times New Roman" w:cs="Times New Roman"/>
          <w:b/>
          <w:bCs/>
        </w:rPr>
        <w:t>sites</w:t>
      </w:r>
      <w:r w:rsidRPr="00E84448">
        <w:rPr>
          <w:rFonts w:ascii="Times New Roman" w:eastAsia="Times New Roman" w:hAnsi="Times New Roman" w:cs="Times New Roman"/>
          <w:b/>
          <w:bCs/>
        </w:rPr>
        <w:t xml:space="preserve">: </w:t>
      </w:r>
      <w:r>
        <w:rPr>
          <w:rFonts w:ascii="Times New Roman" w:hAnsi="Times New Roman" w:cs="Times New Roman"/>
        </w:rPr>
        <w:t>none</w:t>
      </w:r>
    </w:p>
    <w:p w:rsidR="00EF2F44" w:rsidRPr="00E84448" w:rsidRDefault="00EF2F44" w:rsidP="00980876">
      <w:pPr>
        <w:widowControl w:val="0"/>
        <w:numPr>
          <w:ilvl w:val="0"/>
          <w:numId w:val="559"/>
        </w:numPr>
        <w:tabs>
          <w:tab w:val="clear" w:pos="720"/>
          <w:tab w:val="num" w:pos="502"/>
        </w:tabs>
        <w:spacing w:before="120" w:after="120" w:line="240" w:lineRule="auto"/>
        <w:ind w:left="426" w:hanging="142"/>
        <w:jc w:val="both"/>
        <w:rPr>
          <w:rFonts w:ascii="Times New Roman" w:eastAsia="Times New Roman" w:hAnsi="Times New Roman" w:cs="Times New Roman"/>
          <w:b/>
          <w:bCs/>
        </w:rPr>
      </w:pPr>
      <w:r w:rsidRPr="00E84448">
        <w:rPr>
          <w:rFonts w:ascii="Times New Roman" w:eastAsia="Times New Roman" w:hAnsi="Times New Roman" w:cs="Times New Roman"/>
          <w:b/>
          <w:bCs/>
        </w:rPr>
        <w:t>Description of the subject, curriculum:</w:t>
      </w:r>
    </w:p>
    <w:p w:rsidR="00EF2F44" w:rsidRPr="00AC740A" w:rsidRDefault="00EF2F44" w:rsidP="00980876">
      <w:pPr>
        <w:widowControl w:val="0"/>
        <w:numPr>
          <w:ilvl w:val="1"/>
          <w:numId w:val="559"/>
        </w:numPr>
        <w:tabs>
          <w:tab w:val="left" w:pos="709"/>
          <w:tab w:val="left" w:pos="993"/>
        </w:tabs>
        <w:spacing w:before="120" w:after="120" w:line="240" w:lineRule="auto"/>
        <w:ind w:left="426" w:firstLine="0"/>
        <w:jc w:val="both"/>
        <w:rPr>
          <w:rFonts w:ascii="Times New Roman" w:eastAsia="Times New Roman" w:hAnsi="Times New Roman" w:cs="Times New Roman"/>
          <w:bCs/>
          <w:lang w:val="en-GB"/>
        </w:rPr>
      </w:pPr>
      <w:r w:rsidRPr="00AC740A">
        <w:rPr>
          <w:rFonts w:ascii="Times New Roman" w:eastAsia="Times New Roman" w:hAnsi="Times New Roman" w:cs="Times New Roman"/>
          <w:bCs/>
          <w:lang w:val="en-GB"/>
        </w:rPr>
        <w:t>Eve</w:t>
      </w:r>
      <w:r>
        <w:rPr>
          <w:rFonts w:ascii="Times New Roman" w:eastAsia="Times New Roman" w:hAnsi="Times New Roman" w:cs="Times New Roman"/>
          <w:bCs/>
          <w:lang w:val="en-GB"/>
        </w:rPr>
        <w:t>nts and operations with events.</w:t>
      </w:r>
    </w:p>
    <w:p w:rsidR="00EF2F44" w:rsidRPr="00AC740A" w:rsidRDefault="00EF2F44" w:rsidP="00980876">
      <w:pPr>
        <w:widowControl w:val="0"/>
        <w:numPr>
          <w:ilvl w:val="1"/>
          <w:numId w:val="559"/>
        </w:numPr>
        <w:tabs>
          <w:tab w:val="left" w:pos="709"/>
          <w:tab w:val="left" w:pos="993"/>
        </w:tabs>
        <w:spacing w:before="120" w:after="120" w:line="240" w:lineRule="auto"/>
        <w:ind w:left="426" w:firstLine="0"/>
        <w:jc w:val="both"/>
        <w:rPr>
          <w:rFonts w:ascii="Times New Roman" w:eastAsia="Times New Roman" w:hAnsi="Times New Roman" w:cs="Times New Roman"/>
          <w:bCs/>
          <w:lang w:val="en-GB"/>
        </w:rPr>
      </w:pPr>
      <w:r w:rsidRPr="00AC740A">
        <w:rPr>
          <w:rFonts w:ascii="Times New Roman" w:eastAsia="Times New Roman" w:hAnsi="Times New Roman" w:cs="Times New Roman"/>
          <w:bCs/>
          <w:lang w:val="en-GB"/>
        </w:rPr>
        <w:t>Geometric probability. Kolmogorov’s axioms. C</w:t>
      </w:r>
      <w:r>
        <w:rPr>
          <w:rFonts w:ascii="Times New Roman" w:eastAsia="Times New Roman" w:hAnsi="Times New Roman" w:cs="Times New Roman"/>
          <w:bCs/>
          <w:lang w:val="en-GB"/>
        </w:rPr>
        <w:t>lassical probability. Sampling.</w:t>
      </w:r>
    </w:p>
    <w:p w:rsidR="00EF2F44" w:rsidRPr="00AC740A" w:rsidRDefault="00EF2F44" w:rsidP="00980876">
      <w:pPr>
        <w:widowControl w:val="0"/>
        <w:numPr>
          <w:ilvl w:val="1"/>
          <w:numId w:val="559"/>
        </w:numPr>
        <w:tabs>
          <w:tab w:val="left" w:pos="709"/>
          <w:tab w:val="left" w:pos="993"/>
        </w:tabs>
        <w:spacing w:before="120" w:after="120" w:line="240" w:lineRule="auto"/>
        <w:ind w:left="426" w:firstLine="0"/>
        <w:jc w:val="both"/>
        <w:rPr>
          <w:rFonts w:ascii="Times New Roman" w:eastAsia="Times New Roman" w:hAnsi="Times New Roman" w:cs="Times New Roman"/>
          <w:bCs/>
          <w:lang w:val="en-GB"/>
        </w:rPr>
      </w:pPr>
      <w:r w:rsidRPr="00AC740A">
        <w:rPr>
          <w:rFonts w:ascii="Times New Roman" w:eastAsia="Times New Roman" w:hAnsi="Times New Roman" w:cs="Times New Roman"/>
          <w:bCs/>
          <w:lang w:val="en-GB"/>
        </w:rPr>
        <w:t>Probability measure, definition and prope</w:t>
      </w:r>
      <w:r>
        <w:rPr>
          <w:rFonts w:ascii="Times New Roman" w:eastAsia="Times New Roman" w:hAnsi="Times New Roman" w:cs="Times New Roman"/>
          <w:bCs/>
          <w:lang w:val="en-GB"/>
        </w:rPr>
        <w:t>rties. Conditional probability.</w:t>
      </w:r>
    </w:p>
    <w:p w:rsidR="00EF2F44" w:rsidRPr="00AC740A" w:rsidRDefault="00EF2F44" w:rsidP="00980876">
      <w:pPr>
        <w:widowControl w:val="0"/>
        <w:numPr>
          <w:ilvl w:val="1"/>
          <w:numId w:val="559"/>
        </w:numPr>
        <w:tabs>
          <w:tab w:val="left" w:pos="709"/>
          <w:tab w:val="left" w:pos="993"/>
        </w:tabs>
        <w:spacing w:before="120" w:after="120" w:line="240" w:lineRule="auto"/>
        <w:ind w:left="426" w:firstLine="0"/>
        <w:jc w:val="both"/>
        <w:rPr>
          <w:rFonts w:ascii="Times New Roman" w:eastAsia="Times New Roman" w:hAnsi="Times New Roman" w:cs="Times New Roman"/>
          <w:bCs/>
          <w:lang w:val="en-GB"/>
        </w:rPr>
      </w:pPr>
      <w:r w:rsidRPr="00AC740A">
        <w:rPr>
          <w:rFonts w:ascii="Times New Roman" w:eastAsia="Times New Roman" w:hAnsi="Times New Roman" w:cs="Times New Roman"/>
          <w:bCs/>
          <w:lang w:val="en-GB"/>
        </w:rPr>
        <w:t>Mean and standard deviation. Some impor</w:t>
      </w:r>
      <w:r>
        <w:rPr>
          <w:rFonts w:ascii="Times New Roman" w:eastAsia="Times New Roman" w:hAnsi="Times New Roman" w:cs="Times New Roman"/>
          <w:bCs/>
          <w:lang w:val="en-GB"/>
        </w:rPr>
        <w:t>tant probability distributions.</w:t>
      </w:r>
    </w:p>
    <w:p w:rsidR="00EF2F44" w:rsidRPr="00AC740A" w:rsidRDefault="00EF2F44" w:rsidP="00980876">
      <w:pPr>
        <w:widowControl w:val="0"/>
        <w:numPr>
          <w:ilvl w:val="1"/>
          <w:numId w:val="559"/>
        </w:numPr>
        <w:tabs>
          <w:tab w:val="left" w:pos="709"/>
          <w:tab w:val="left" w:pos="993"/>
        </w:tabs>
        <w:spacing w:before="120" w:after="120" w:line="240" w:lineRule="auto"/>
        <w:ind w:left="426" w:firstLine="0"/>
        <w:jc w:val="both"/>
        <w:rPr>
          <w:rFonts w:ascii="Times New Roman" w:eastAsia="Times New Roman" w:hAnsi="Times New Roman" w:cs="Times New Roman"/>
          <w:bCs/>
          <w:lang w:val="en-GB"/>
        </w:rPr>
      </w:pPr>
      <w:r>
        <w:rPr>
          <w:rFonts w:ascii="Times New Roman" w:eastAsia="Times New Roman" w:hAnsi="Times New Roman" w:cs="Times New Roman"/>
          <w:bCs/>
          <w:lang w:val="en-GB"/>
        </w:rPr>
        <w:lastRenderedPageBreak/>
        <w:t>Probabilistic inequalities.</w:t>
      </w:r>
    </w:p>
    <w:p w:rsidR="00EF2F44" w:rsidRPr="00E84448" w:rsidRDefault="00EF2F44" w:rsidP="00980876">
      <w:pPr>
        <w:widowControl w:val="0"/>
        <w:numPr>
          <w:ilvl w:val="0"/>
          <w:numId w:val="559"/>
        </w:numPr>
        <w:tabs>
          <w:tab w:val="clear" w:pos="720"/>
          <w:tab w:val="num" w:pos="360"/>
          <w:tab w:val="num" w:pos="502"/>
        </w:tabs>
        <w:spacing w:before="120" w:after="120" w:line="240" w:lineRule="auto"/>
        <w:ind w:left="426" w:hanging="142"/>
        <w:jc w:val="both"/>
        <w:rPr>
          <w:rFonts w:ascii="Times New Roman" w:eastAsia="Times New Roman" w:hAnsi="Times New Roman" w:cs="Times New Roman"/>
          <w:bCs/>
        </w:rPr>
      </w:pPr>
      <w:r w:rsidRPr="00E84448">
        <w:rPr>
          <w:rFonts w:ascii="Liberation Serif" w:hAnsi="Liberation Serif" w:cs="Liberation Serif"/>
          <w:b/>
          <w:bCs/>
          <w:lang w:val="en-US"/>
        </w:rPr>
        <w:t>The frequency of offering the subject/its position in the curriculum of the term</w:t>
      </w:r>
      <w:r w:rsidRPr="00E84448">
        <w:rPr>
          <w:rFonts w:ascii="Times New Roman" w:eastAsia="Times New Roman" w:hAnsi="Times New Roman" w:cs="Times New Roman"/>
          <w:b/>
          <w:bCs/>
        </w:rPr>
        <w:t xml:space="preserve">: </w:t>
      </w:r>
      <w:r w:rsidRPr="00E84448">
        <w:rPr>
          <w:rFonts w:ascii="Times New Roman" w:eastAsia="Times New Roman" w:hAnsi="Times New Roman" w:cs="Times New Roman"/>
          <w:b/>
          <w:bCs/>
        </w:rPr>
        <w:br/>
      </w:r>
      <w:r w:rsidRPr="00E84448">
        <w:rPr>
          <w:rFonts w:ascii="Times New Roman" w:hAnsi="Times New Roman" w:cs="Times New Roman"/>
        </w:rPr>
        <w:t xml:space="preserve">yearly / </w:t>
      </w:r>
      <w:r>
        <w:rPr>
          <w:rFonts w:ascii="Times New Roman" w:hAnsi="Times New Roman" w:cs="Times New Roman"/>
        </w:rPr>
        <w:t>5</w:t>
      </w:r>
      <w:r w:rsidRPr="00E84448">
        <w:rPr>
          <w:rFonts w:ascii="Times New Roman" w:hAnsi="Times New Roman" w:cs="Times New Roman"/>
        </w:rPr>
        <w:t>th term</w:t>
      </w:r>
    </w:p>
    <w:p w:rsidR="00EF2F44" w:rsidRPr="00E84448" w:rsidRDefault="00EF2F44" w:rsidP="00980876">
      <w:pPr>
        <w:widowControl w:val="0"/>
        <w:numPr>
          <w:ilvl w:val="0"/>
          <w:numId w:val="559"/>
        </w:numPr>
        <w:tabs>
          <w:tab w:val="clear" w:pos="720"/>
          <w:tab w:val="num" w:pos="502"/>
        </w:tabs>
        <w:spacing w:before="120" w:after="120" w:line="240" w:lineRule="auto"/>
        <w:ind w:left="426" w:hanging="142"/>
        <w:jc w:val="both"/>
        <w:rPr>
          <w:rFonts w:ascii="Times New Roman" w:eastAsia="Times New Roman" w:hAnsi="Times New Roman" w:cs="Times New Roman"/>
          <w:bCs/>
        </w:rPr>
      </w:pPr>
      <w:r w:rsidRPr="00E84448">
        <w:rPr>
          <w:rFonts w:ascii="Liberation Serif" w:hAnsi="Liberation Serif" w:cs="Liberation Serif"/>
          <w:b/>
          <w:bCs/>
          <w:lang w:val="en-US"/>
        </w:rPr>
        <w:t>Requirements of attendance, acceptable absence, opportunity for making up missed classes</w:t>
      </w:r>
      <w:r w:rsidRPr="00E84448">
        <w:rPr>
          <w:rFonts w:ascii="Times New Roman" w:eastAsia="Times New Roman" w:hAnsi="Times New Roman" w:cs="Times New Roman"/>
          <w:b/>
          <w:bCs/>
        </w:rPr>
        <w:t>:</w:t>
      </w:r>
      <w:r w:rsidRPr="00E84448">
        <w:rPr>
          <w:rFonts w:ascii="Times New Roman" w:eastAsia="Times New Roman" w:hAnsi="Times New Roman" w:cs="Times New Roman"/>
          <w:bCs/>
        </w:rPr>
        <w:t xml:space="preserve"> </w:t>
      </w:r>
      <w:r w:rsidRPr="00E84448">
        <w:rPr>
          <w:rFonts w:ascii="Liberation Serif" w:hAnsi="Liberation Serif" w:cs="Liberation Serif"/>
          <w:lang w:val="en-US"/>
        </w:rPr>
        <w:t xml:space="preserve">Students must be present at least 70% of the </w:t>
      </w:r>
      <w:r>
        <w:rPr>
          <w:rFonts w:ascii="Liberation Serif" w:hAnsi="Liberation Serif" w:cs="Liberation Serif"/>
          <w:lang w:val="en-US"/>
        </w:rPr>
        <w:t>classes</w:t>
      </w:r>
      <w:r w:rsidRPr="00E84448">
        <w:rPr>
          <w:rFonts w:ascii="Liberation Serif" w:hAnsi="Liberation Serif" w:cs="Liberation Serif"/>
          <w:lang w:val="en-US"/>
        </w:rPr>
        <w:t xml:space="preserve"> for acceptance of the subject.</w:t>
      </w:r>
      <w:r w:rsidRPr="00AC421A">
        <w:rPr>
          <w:rFonts w:ascii="Times New Roman" w:eastAsia="Times New Roman" w:hAnsi="Times New Roman" w:cs="Times New Roman"/>
          <w:bCs/>
        </w:rPr>
        <w:t xml:space="preserve"> </w:t>
      </w:r>
      <w:r>
        <w:rPr>
          <w:rFonts w:ascii="Times New Roman" w:eastAsia="Times New Roman" w:hAnsi="Times New Roman" w:cs="Times New Roman"/>
          <w:bCs/>
        </w:rPr>
        <w:t>If absence exceeds this limit the signature will be denied</w:t>
      </w:r>
      <w:r w:rsidRPr="005411A4">
        <w:rPr>
          <w:rFonts w:ascii="Times New Roman" w:eastAsia="Times New Roman" w:hAnsi="Times New Roman" w:cs="Times New Roman"/>
          <w:bCs/>
        </w:rPr>
        <w:t>.</w:t>
      </w:r>
      <w:r>
        <w:rPr>
          <w:rFonts w:ascii="Times New Roman" w:eastAsia="Times New Roman" w:hAnsi="Times New Roman" w:cs="Times New Roman"/>
          <w:bCs/>
        </w:rPr>
        <w:t xml:space="preserve"> </w:t>
      </w:r>
      <w:r w:rsidRPr="00E84448">
        <w:rPr>
          <w:rFonts w:ascii="Liberation Serif" w:hAnsi="Liberation Serif" w:cs="Liberation Serif"/>
          <w:lang w:val="en-US"/>
        </w:rPr>
        <w:t xml:space="preserve">Absence must be justified during the first </w:t>
      </w:r>
      <w:r>
        <w:rPr>
          <w:rFonts w:ascii="Liberation Serif" w:hAnsi="Liberation Serif" w:cs="Liberation Serif"/>
          <w:lang w:val="en-US"/>
        </w:rPr>
        <w:t>class</w:t>
      </w:r>
      <w:r w:rsidRPr="00E84448">
        <w:rPr>
          <w:rFonts w:ascii="Liberation Serif" w:hAnsi="Liberation Serif" w:cs="Liberation Serif"/>
          <w:lang w:val="en-US"/>
        </w:rPr>
        <w:t xml:space="preserve"> after the absence. The student is required to obtain the material of the lecture and to prepare for it independently.</w:t>
      </w:r>
    </w:p>
    <w:p w:rsidR="00EF2F44" w:rsidRPr="00E84448" w:rsidRDefault="00EF2F44" w:rsidP="00980876">
      <w:pPr>
        <w:widowControl w:val="0"/>
        <w:numPr>
          <w:ilvl w:val="0"/>
          <w:numId w:val="559"/>
        </w:numPr>
        <w:tabs>
          <w:tab w:val="clear" w:pos="720"/>
          <w:tab w:val="num" w:pos="502"/>
        </w:tabs>
        <w:spacing w:before="120" w:after="120" w:line="240" w:lineRule="auto"/>
        <w:ind w:left="426" w:hanging="142"/>
        <w:jc w:val="both"/>
        <w:rPr>
          <w:rFonts w:ascii="Times New Roman" w:eastAsia="Times New Roman" w:hAnsi="Times New Roman" w:cs="Times New Roman"/>
          <w:bCs/>
        </w:rPr>
      </w:pPr>
      <w:r w:rsidRPr="00E84448">
        <w:rPr>
          <w:rFonts w:ascii="Liberation Serif" w:hAnsi="Liberation Serif" w:cs="Liberation Serif"/>
          <w:b/>
          <w:bCs/>
          <w:lang w:val="en-US"/>
        </w:rPr>
        <w:t>Term assignments, testing knowledge</w:t>
      </w:r>
      <w:r w:rsidRPr="00E84448">
        <w:rPr>
          <w:rFonts w:ascii="Times New Roman" w:eastAsia="Times New Roman" w:hAnsi="Times New Roman" w:cs="Times New Roman"/>
          <w:b/>
        </w:rPr>
        <w:t>:</w:t>
      </w:r>
      <w:r w:rsidRPr="00E84448">
        <w:rPr>
          <w:rFonts w:ascii="Times New Roman" w:eastAsia="Times New Roman" w:hAnsi="Times New Roman" w:cs="Times New Roman"/>
          <w:bCs/>
        </w:rPr>
        <w:t xml:space="preserve"> </w:t>
      </w:r>
    </w:p>
    <w:p w:rsidR="00EF2F44" w:rsidRPr="00E84448" w:rsidRDefault="00EF2F44" w:rsidP="00EF2F44">
      <w:pPr>
        <w:widowControl w:val="0"/>
        <w:spacing w:before="120" w:after="120" w:line="240" w:lineRule="auto"/>
        <w:ind w:left="426"/>
        <w:jc w:val="both"/>
        <w:rPr>
          <w:rFonts w:ascii="Times New Roman" w:eastAsia="Times New Roman" w:hAnsi="Times New Roman" w:cs="Times New Roman"/>
        </w:rPr>
      </w:pPr>
      <w:r w:rsidRPr="00E84448">
        <w:rPr>
          <w:rFonts w:ascii="Times New Roman" w:eastAsia="Times New Roman" w:hAnsi="Times New Roman" w:cs="Times New Roman"/>
          <w:bCs/>
        </w:rPr>
        <w:t>One classroom test during the term-time.</w:t>
      </w:r>
    </w:p>
    <w:p w:rsidR="00EF2F44" w:rsidRPr="00E84448" w:rsidRDefault="00EF2F44" w:rsidP="00EF2F44">
      <w:pPr>
        <w:widowControl w:val="0"/>
        <w:spacing w:before="120" w:after="120" w:line="240" w:lineRule="auto"/>
        <w:ind w:left="426"/>
        <w:jc w:val="both"/>
        <w:rPr>
          <w:rFonts w:ascii="Times New Roman" w:eastAsia="Times New Roman" w:hAnsi="Times New Roman" w:cs="Times New Roman"/>
        </w:rPr>
      </w:pPr>
      <w:r w:rsidRPr="00E84448">
        <w:rPr>
          <w:rFonts w:ascii="Times New Roman" w:eastAsia="Times New Roman" w:hAnsi="Times New Roman" w:cs="Times New Roman"/>
          <w:bCs/>
        </w:rPr>
        <w:t xml:space="preserve">Re-taking the classroom test is allowed once in </w:t>
      </w:r>
      <w:r>
        <w:rPr>
          <w:rFonts w:ascii="Times New Roman" w:eastAsia="Times New Roman" w:hAnsi="Times New Roman" w:cs="Times New Roman"/>
          <w:bCs/>
        </w:rPr>
        <w:t>a</w:t>
      </w:r>
      <w:r w:rsidRPr="00E84448">
        <w:rPr>
          <w:rFonts w:ascii="Times New Roman" w:eastAsia="Times New Roman" w:hAnsi="Times New Roman" w:cs="Times New Roman"/>
          <w:bCs/>
        </w:rPr>
        <w:t xml:space="preserve"> term.</w:t>
      </w:r>
    </w:p>
    <w:p w:rsidR="00EF2F44" w:rsidRPr="00E84448" w:rsidRDefault="00EF2F44" w:rsidP="00EF2F44">
      <w:pPr>
        <w:widowControl w:val="0"/>
        <w:spacing w:before="120" w:after="120" w:line="240" w:lineRule="auto"/>
        <w:ind w:left="426"/>
        <w:jc w:val="both"/>
        <w:rPr>
          <w:rFonts w:ascii="Times New Roman" w:eastAsia="Times New Roman" w:hAnsi="Times New Roman" w:cs="Times New Roman"/>
        </w:rPr>
      </w:pPr>
      <w:r w:rsidRPr="00E84448">
        <w:rPr>
          <w:rFonts w:ascii="Times New Roman" w:eastAsia="Times New Roman" w:hAnsi="Times New Roman" w:cs="Times New Roman"/>
        </w:rPr>
        <w:t>To obtain the grade, more than 50% of the points of the classroom test or the re-taken classroom test is needed. For the pass grade (2) 51-60% of the classroom test is needed, for the satisfactory grade (3) 61-75%, for the good grade (4) 76-90%, for the excellent grade (5) 91-100%.</w:t>
      </w:r>
    </w:p>
    <w:p w:rsidR="00EF2F44" w:rsidRPr="00E84448" w:rsidRDefault="00EF2F44" w:rsidP="00980876">
      <w:pPr>
        <w:widowControl w:val="0"/>
        <w:numPr>
          <w:ilvl w:val="0"/>
          <w:numId w:val="559"/>
        </w:numPr>
        <w:tabs>
          <w:tab w:val="clear" w:pos="720"/>
          <w:tab w:val="num" w:pos="502"/>
        </w:tabs>
        <w:spacing w:before="120" w:after="120" w:line="240" w:lineRule="auto"/>
        <w:ind w:left="426" w:hanging="142"/>
        <w:jc w:val="both"/>
        <w:rPr>
          <w:rFonts w:ascii="Times New Roman" w:eastAsia="Times New Roman" w:hAnsi="Times New Roman" w:cs="Times New Roman"/>
          <w:b/>
          <w:bCs/>
        </w:rPr>
      </w:pPr>
      <w:r w:rsidRPr="00E84448">
        <w:rPr>
          <w:rFonts w:ascii="Liberation Serif" w:hAnsi="Liberation Serif" w:cs="Liberation Serif"/>
          <w:b/>
          <w:bCs/>
          <w:lang w:val="en-US"/>
        </w:rPr>
        <w:t xml:space="preserve">The exact conditions of obtaining signature </w:t>
      </w:r>
      <w:r>
        <w:rPr>
          <w:rFonts w:ascii="Liberation Serif" w:hAnsi="Liberation Serif" w:cs="Liberation Serif"/>
          <w:b/>
          <w:bCs/>
          <w:lang w:val="en-US"/>
        </w:rPr>
        <w:t>and</w:t>
      </w:r>
      <w:r w:rsidRPr="00E84448">
        <w:rPr>
          <w:rFonts w:ascii="Liberation Serif" w:hAnsi="Liberation Serif" w:cs="Liberation Serif"/>
          <w:b/>
          <w:bCs/>
          <w:lang w:val="en-US"/>
        </w:rPr>
        <w:t xml:space="preserve"> credits</w:t>
      </w:r>
      <w:r w:rsidRPr="00E84448">
        <w:rPr>
          <w:rFonts w:ascii="Times New Roman" w:eastAsia="Times New Roman" w:hAnsi="Times New Roman" w:cs="Times New Roman"/>
          <w:b/>
          <w:bCs/>
        </w:rPr>
        <w:t xml:space="preserve">: </w:t>
      </w:r>
    </w:p>
    <w:p w:rsidR="00EF2F44" w:rsidRPr="00E84448" w:rsidRDefault="00EF2F44" w:rsidP="00980876">
      <w:pPr>
        <w:widowControl w:val="0"/>
        <w:numPr>
          <w:ilvl w:val="1"/>
          <w:numId w:val="559"/>
        </w:numPr>
        <w:tabs>
          <w:tab w:val="left" w:pos="709"/>
          <w:tab w:val="left" w:pos="993"/>
        </w:tabs>
        <w:spacing w:before="120" w:after="120" w:line="240" w:lineRule="auto"/>
        <w:ind w:left="425" w:firstLine="0"/>
        <w:jc w:val="both"/>
        <w:rPr>
          <w:rFonts w:ascii="Times New Roman" w:eastAsia="Times New Roman" w:hAnsi="Times New Roman" w:cs="Times New Roman"/>
        </w:rPr>
      </w:pPr>
      <w:r>
        <w:rPr>
          <w:rFonts w:ascii="Times New Roman" w:eastAsia="Times New Roman" w:hAnsi="Times New Roman" w:cs="Times New Roman"/>
          <w:b/>
        </w:rPr>
        <w:t>Conditions of obtaining the signature</w:t>
      </w:r>
      <w:r w:rsidRPr="00E84448">
        <w:rPr>
          <w:rFonts w:ascii="Times New Roman" w:eastAsia="Times New Roman" w:hAnsi="Times New Roman" w:cs="Times New Roman"/>
          <w:b/>
        </w:rPr>
        <w:t>:</w:t>
      </w:r>
      <w:r w:rsidRPr="00E84448">
        <w:rPr>
          <w:rFonts w:ascii="Times New Roman" w:eastAsia="Times New Roman" w:hAnsi="Times New Roman" w:cs="Times New Roman"/>
        </w:rPr>
        <w:t xml:space="preserve"> </w:t>
      </w:r>
      <w:r>
        <w:rPr>
          <w:rFonts w:ascii="Times New Roman" w:eastAsia="Times New Roman" w:hAnsi="Times New Roman" w:cs="Times New Roman"/>
        </w:rPr>
        <w:t xml:space="preserve">The prerequisite to obtain the signature is to attend the classes specified in </w:t>
      </w:r>
      <w:r w:rsidRPr="00E84448">
        <w:rPr>
          <w:rFonts w:ascii="Times New Roman" w:eastAsia="Times New Roman" w:hAnsi="Times New Roman" w:cs="Times New Roman"/>
        </w:rPr>
        <w:t xml:space="preserve">14. </w:t>
      </w:r>
      <w:r>
        <w:rPr>
          <w:rFonts w:ascii="Times New Roman" w:eastAsia="Times New Roman" w:hAnsi="Times New Roman" w:cs="Times New Roman"/>
        </w:rPr>
        <w:t>and to complete the term-time assignments specified in 15 with at lest a pass grade</w:t>
      </w:r>
      <w:r w:rsidRPr="00E84448">
        <w:rPr>
          <w:rFonts w:ascii="Times New Roman" w:eastAsia="Times New Roman" w:hAnsi="Times New Roman" w:cs="Times New Roman"/>
        </w:rPr>
        <w:t>.</w:t>
      </w:r>
    </w:p>
    <w:p w:rsidR="00EF2F44" w:rsidRPr="00E84448" w:rsidRDefault="00EF2F44" w:rsidP="00980876">
      <w:pPr>
        <w:widowControl w:val="0"/>
        <w:numPr>
          <w:ilvl w:val="1"/>
          <w:numId w:val="559"/>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Pr>
          <w:rFonts w:ascii="Times New Roman" w:eastAsia="Times New Roman" w:hAnsi="Times New Roman" w:cs="Times New Roman"/>
          <w:b/>
        </w:rPr>
        <w:t>Rating</w:t>
      </w:r>
      <w:r w:rsidRPr="00E84448">
        <w:rPr>
          <w:rFonts w:ascii="Times New Roman" w:eastAsia="Times New Roman" w:hAnsi="Times New Roman" w:cs="Times New Roman"/>
          <w:b/>
        </w:rPr>
        <w:t>:</w:t>
      </w:r>
      <w:r w:rsidRPr="00E84448">
        <w:rPr>
          <w:rFonts w:ascii="Times New Roman" w:eastAsia="Times New Roman" w:hAnsi="Times New Roman" w:cs="Times New Roman"/>
        </w:rPr>
        <w:t xml:space="preserve"> </w:t>
      </w:r>
      <w:r>
        <w:rPr>
          <w:rFonts w:ascii="Times New Roman" w:eastAsia="Times New Roman" w:hAnsi="Times New Roman" w:cs="Times New Roman"/>
        </w:rPr>
        <w:t>term mark</w:t>
      </w:r>
    </w:p>
    <w:p w:rsidR="00EF2F44" w:rsidRPr="00213666" w:rsidRDefault="00EF2F44" w:rsidP="00980876">
      <w:pPr>
        <w:widowControl w:val="0"/>
        <w:numPr>
          <w:ilvl w:val="1"/>
          <w:numId w:val="559"/>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213666">
        <w:rPr>
          <w:rFonts w:ascii="Times New Roman" w:eastAsia="Times New Roman" w:hAnsi="Times New Roman" w:cs="Times New Roman"/>
          <w:b/>
        </w:rPr>
        <w:t>Conditions of obtaining the credits:</w:t>
      </w:r>
      <w:r w:rsidRPr="00213666">
        <w:rPr>
          <w:rFonts w:ascii="Times New Roman" w:eastAsia="Times New Roman" w:hAnsi="Times New Roman" w:cs="Times New Roman"/>
        </w:rPr>
        <w:t xml:space="preserve"> The prerequisite to obtain the credits is to obtain the signature and at least a pass grade.</w:t>
      </w:r>
    </w:p>
    <w:p w:rsidR="00EF2F44" w:rsidRPr="00E84448" w:rsidRDefault="00EF2F44" w:rsidP="00980876">
      <w:pPr>
        <w:widowControl w:val="0"/>
        <w:numPr>
          <w:ilvl w:val="0"/>
          <w:numId w:val="559"/>
        </w:numPr>
        <w:tabs>
          <w:tab w:val="clear" w:pos="720"/>
          <w:tab w:val="num" w:pos="360"/>
          <w:tab w:val="num" w:pos="502"/>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Bibliography</w:t>
      </w:r>
      <w:r w:rsidRPr="00E84448">
        <w:rPr>
          <w:rFonts w:ascii="Times New Roman" w:eastAsia="Times New Roman" w:hAnsi="Times New Roman" w:cs="Times New Roman"/>
          <w:b/>
          <w:bCs/>
        </w:rPr>
        <w:t>:</w:t>
      </w:r>
    </w:p>
    <w:p w:rsidR="00EF2F44" w:rsidRPr="00E84448" w:rsidRDefault="00EF2F44" w:rsidP="00980876">
      <w:pPr>
        <w:widowControl w:val="0"/>
        <w:numPr>
          <w:ilvl w:val="1"/>
          <w:numId w:val="559"/>
        </w:numPr>
        <w:tabs>
          <w:tab w:val="clear" w:pos="3977"/>
          <w:tab w:val="left" w:pos="567"/>
          <w:tab w:val="left" w:pos="851"/>
          <w:tab w:val="num" w:pos="2069"/>
        </w:tabs>
        <w:spacing w:before="120" w:after="120" w:line="240" w:lineRule="auto"/>
        <w:ind w:left="426" w:hanging="142"/>
        <w:jc w:val="both"/>
        <w:rPr>
          <w:rFonts w:ascii="Times New Roman" w:eastAsia="Times New Roman" w:hAnsi="Times New Roman" w:cs="Times New Roman"/>
          <w:bCs/>
        </w:rPr>
      </w:pPr>
      <w:r>
        <w:rPr>
          <w:rFonts w:ascii="Times New Roman" w:eastAsia="Times New Roman" w:hAnsi="Times New Roman" w:cs="Times New Roman"/>
          <w:b/>
          <w:bCs/>
        </w:rPr>
        <w:t>Obligatory literature</w:t>
      </w:r>
      <w:r w:rsidRPr="00E84448">
        <w:rPr>
          <w:rFonts w:ascii="Times New Roman" w:eastAsia="Times New Roman" w:hAnsi="Times New Roman" w:cs="Times New Roman"/>
          <w:b/>
          <w:bCs/>
        </w:rPr>
        <w:t>:</w:t>
      </w:r>
    </w:p>
    <w:p w:rsidR="00EF2F44" w:rsidRPr="00AC740A" w:rsidRDefault="00EF2F44" w:rsidP="00980876">
      <w:pPr>
        <w:widowControl w:val="0"/>
        <w:numPr>
          <w:ilvl w:val="0"/>
          <w:numId w:val="560"/>
        </w:numPr>
        <w:spacing w:after="0" w:line="240" w:lineRule="auto"/>
        <w:jc w:val="both"/>
        <w:rPr>
          <w:rFonts w:ascii="Times New Roman" w:eastAsia="Times New Roman" w:hAnsi="Times New Roman" w:cs="Times New Roman"/>
        </w:rPr>
      </w:pPr>
      <w:r w:rsidRPr="00B143AF">
        <w:rPr>
          <w:rFonts w:ascii="Times New Roman" w:eastAsia="Times New Roman" w:hAnsi="Times New Roman" w:cs="Times New Roman"/>
        </w:rPr>
        <w:t>Charles M. Grinstead, J. Laurie Snell: Introduction to Probability</w:t>
      </w:r>
      <w:r>
        <w:rPr>
          <w:rFonts w:ascii="Times New Roman" w:eastAsia="Times New Roman" w:hAnsi="Times New Roman" w:cs="Times New Roman"/>
        </w:rPr>
        <w:t xml:space="preserve">. </w:t>
      </w:r>
      <w:r w:rsidRPr="00B143AF">
        <w:rPr>
          <w:rFonts w:ascii="Times New Roman" w:eastAsia="Times New Roman" w:hAnsi="Times New Roman" w:cs="Times New Roman"/>
        </w:rPr>
        <w:t>American Mathematical Society</w:t>
      </w:r>
      <w:r w:rsidRPr="00AC740A">
        <w:rPr>
          <w:rFonts w:ascii="Times New Roman" w:eastAsia="Times New Roman" w:hAnsi="Times New Roman" w:cs="Times New Roman"/>
        </w:rPr>
        <w:t xml:space="preserve">, </w:t>
      </w:r>
      <w:r>
        <w:rPr>
          <w:rFonts w:ascii="Times New Roman" w:eastAsia="Times New Roman" w:hAnsi="Times New Roman" w:cs="Times New Roman"/>
        </w:rPr>
        <w:t>2012</w:t>
      </w:r>
      <w:r w:rsidRPr="00AC740A">
        <w:rPr>
          <w:rFonts w:ascii="Times New Roman" w:eastAsia="Times New Roman" w:hAnsi="Times New Roman" w:cs="Times New Roman"/>
        </w:rPr>
        <w:t xml:space="preserve">. ISBN: </w:t>
      </w:r>
      <w:r>
        <w:rPr>
          <w:rFonts w:ascii="Times New Roman" w:eastAsia="Times New Roman" w:hAnsi="Times New Roman" w:cs="Times New Roman"/>
        </w:rPr>
        <w:t>978</w:t>
      </w:r>
      <w:r w:rsidRPr="00B143AF">
        <w:rPr>
          <w:rFonts w:ascii="Times New Roman" w:eastAsia="Times New Roman" w:hAnsi="Times New Roman" w:cs="Times New Roman"/>
        </w:rPr>
        <w:t>0821894149</w:t>
      </w:r>
    </w:p>
    <w:p w:rsidR="00EF2F44" w:rsidRPr="00A210B8" w:rsidRDefault="00EF2F44" w:rsidP="00980876">
      <w:pPr>
        <w:widowControl w:val="0"/>
        <w:numPr>
          <w:ilvl w:val="1"/>
          <w:numId w:val="559"/>
        </w:numPr>
        <w:tabs>
          <w:tab w:val="clear" w:pos="3977"/>
          <w:tab w:val="num" w:pos="567"/>
          <w:tab w:val="num" w:pos="2069"/>
        </w:tabs>
        <w:spacing w:before="120" w:after="120" w:line="240" w:lineRule="auto"/>
        <w:ind w:left="993" w:hanging="709"/>
        <w:jc w:val="both"/>
        <w:rPr>
          <w:rFonts w:ascii="Times New Roman" w:eastAsia="Times New Roman" w:hAnsi="Times New Roman" w:cs="Times New Roman"/>
          <w:b/>
          <w:bCs/>
        </w:rPr>
      </w:pPr>
      <w:r>
        <w:rPr>
          <w:rFonts w:ascii="Times New Roman" w:eastAsia="Times New Roman" w:hAnsi="Times New Roman" w:cs="Times New Roman"/>
          <w:b/>
          <w:bCs/>
        </w:rPr>
        <w:t>Recommended literature</w:t>
      </w:r>
      <w:r w:rsidRPr="00A210B8">
        <w:rPr>
          <w:rFonts w:ascii="Times New Roman" w:eastAsia="Times New Roman" w:hAnsi="Times New Roman" w:cs="Times New Roman"/>
          <w:b/>
          <w:bCs/>
        </w:rPr>
        <w:t>:</w:t>
      </w:r>
    </w:p>
    <w:p w:rsidR="00EF2F44" w:rsidRPr="00A210B8" w:rsidRDefault="00EF2F44" w:rsidP="00980876">
      <w:pPr>
        <w:pStyle w:val="Listaszerbekezds"/>
        <w:widowControl w:val="0"/>
        <w:numPr>
          <w:ilvl w:val="0"/>
          <w:numId w:val="561"/>
        </w:numPr>
        <w:spacing w:after="0" w:line="240" w:lineRule="auto"/>
        <w:jc w:val="both"/>
        <w:rPr>
          <w:rFonts w:ascii="Times New Roman" w:eastAsia="Times New Roman" w:hAnsi="Times New Roman" w:cs="Times New Roman"/>
        </w:rPr>
      </w:pPr>
      <w:r w:rsidRPr="00EE03C8">
        <w:rPr>
          <w:rFonts w:ascii="Times New Roman" w:eastAsia="Times New Roman" w:hAnsi="Times New Roman" w:cs="Times New Roman"/>
        </w:rPr>
        <w:t>Ronald E. Walpole, Raymond H. Myers, Sharon L. Myers, Keying Ye: Probability &amp; Statistics. Prentice Hall, USA, 2011. ISBN: 9780321629111</w:t>
      </w:r>
    </w:p>
    <w:p w:rsidR="00EF2F44" w:rsidRDefault="00EF2F44" w:rsidP="00EF2F44">
      <w:pPr>
        <w:widowControl w:val="0"/>
        <w:spacing w:before="120" w:after="120" w:line="240" w:lineRule="auto"/>
        <w:jc w:val="both"/>
        <w:rPr>
          <w:rFonts w:ascii="Times New Roman" w:eastAsia="Times New Roman" w:hAnsi="Times New Roman" w:cs="Times New Roman"/>
          <w:bCs/>
        </w:rPr>
      </w:pPr>
    </w:p>
    <w:p w:rsidR="00EF2F44" w:rsidRDefault="00EF2F44" w:rsidP="00EF2F44">
      <w:pPr>
        <w:widowControl w:val="0"/>
        <w:spacing w:before="120" w:after="120" w:line="240" w:lineRule="auto"/>
        <w:ind w:firstLine="360"/>
        <w:jc w:val="both"/>
        <w:rPr>
          <w:rFonts w:ascii="Times New Roman" w:eastAsia="Times New Roman" w:hAnsi="Times New Roman" w:cs="Times New Roman"/>
          <w:bCs/>
        </w:rPr>
      </w:pPr>
      <w:r>
        <w:rPr>
          <w:rFonts w:ascii="Times New Roman" w:eastAsia="Times New Roman" w:hAnsi="Times New Roman" w:cs="Times New Roman"/>
          <w:bCs/>
        </w:rPr>
        <w:t>Budapest, 31st January 2020</w:t>
      </w:r>
    </w:p>
    <w:p w:rsidR="00EF2F44" w:rsidRPr="00E84448" w:rsidRDefault="00EF2F44" w:rsidP="00EF2F44">
      <w:pPr>
        <w:widowControl w:val="0"/>
        <w:spacing w:before="120" w:after="120" w:line="240" w:lineRule="auto"/>
        <w:jc w:val="both"/>
        <w:rPr>
          <w:rFonts w:ascii="Times New Roman" w:eastAsia="Times New Roman" w:hAnsi="Times New Roman" w:cs="Times New Roman"/>
          <w:bCs/>
        </w:rPr>
      </w:pPr>
    </w:p>
    <w:p w:rsidR="00EF2F44" w:rsidRPr="00E84448" w:rsidRDefault="00EF2F44" w:rsidP="00EF2F44">
      <w:pPr>
        <w:widowControl w:val="0"/>
        <w:spacing w:after="0" w:line="240" w:lineRule="auto"/>
        <w:jc w:val="right"/>
        <w:rPr>
          <w:rFonts w:ascii="Times New Roman" w:eastAsia="Times New Roman" w:hAnsi="Times New Roman" w:cs="Times New Roman"/>
          <w:bCs/>
        </w:rPr>
      </w:pPr>
      <w:r w:rsidRPr="00E84448">
        <w:rPr>
          <w:rFonts w:ascii="Times New Roman" w:eastAsia="Times New Roman" w:hAnsi="Times New Roman" w:cs="Times New Roman"/>
          <w:bCs/>
        </w:rPr>
        <w:t>Dr. Bence</w:t>
      </w:r>
      <w:r>
        <w:rPr>
          <w:rFonts w:ascii="Times New Roman" w:eastAsia="Times New Roman" w:hAnsi="Times New Roman" w:cs="Times New Roman"/>
          <w:bCs/>
        </w:rPr>
        <w:t xml:space="preserve"> TÓTH</w:t>
      </w:r>
      <w:r w:rsidRPr="00E84448">
        <w:rPr>
          <w:rFonts w:ascii="Times New Roman" w:eastAsia="Times New Roman" w:hAnsi="Times New Roman" w:cs="Times New Roman"/>
          <w:bCs/>
        </w:rPr>
        <w:t xml:space="preserve">, PhD </w:t>
      </w:r>
    </w:p>
    <w:p w:rsidR="00EF2F44" w:rsidRPr="00E84448" w:rsidRDefault="00EF2F44" w:rsidP="00EF2F44">
      <w:pPr>
        <w:widowControl w:val="0"/>
        <w:spacing w:after="0" w:line="240" w:lineRule="auto"/>
        <w:jc w:val="right"/>
        <w:rPr>
          <w:rFonts w:ascii="Times New Roman" w:eastAsia="Times New Roman" w:hAnsi="Times New Roman" w:cs="Times New Roman"/>
          <w:bCs/>
        </w:rPr>
      </w:pPr>
      <w:r>
        <w:rPr>
          <w:rFonts w:ascii="Times New Roman" w:eastAsia="Times New Roman" w:hAnsi="Times New Roman" w:cs="Times New Roman"/>
          <w:bCs/>
        </w:rPr>
        <w:t>senior lecturer</w:t>
      </w:r>
    </w:p>
    <w:p w:rsidR="001752E6" w:rsidRDefault="001752E6">
      <w:pPr>
        <w:spacing w:after="200" w:line="276" w:lineRule="auto"/>
        <w:rPr>
          <w:rFonts w:ascii="Times New Roman" w:hAnsi="Times New Roman" w:cs="Times New Roman"/>
        </w:rPr>
      </w:pPr>
      <w:r>
        <w:rPr>
          <w:rFonts w:ascii="Times New Roman" w:hAnsi="Times New Roman" w:cs="Times New Roman"/>
        </w:rPr>
        <w:br w:type="page"/>
      </w:r>
    </w:p>
    <w:tbl>
      <w:tblPr>
        <w:tblW w:w="9072" w:type="dxa"/>
        <w:tblInd w:w="113" w:type="dxa"/>
        <w:tblLook w:val="01E0" w:firstRow="1" w:lastRow="1" w:firstColumn="1" w:lastColumn="1" w:noHBand="0" w:noVBand="0"/>
      </w:tblPr>
      <w:tblGrid>
        <w:gridCol w:w="4855"/>
        <w:gridCol w:w="1620"/>
        <w:gridCol w:w="2597"/>
      </w:tblGrid>
      <w:tr w:rsidR="001752E6" w:rsidRPr="00850EC7" w:rsidTr="001752E6">
        <w:tc>
          <w:tcPr>
            <w:tcW w:w="4855" w:type="dxa"/>
            <w:tcBorders>
              <w:bottom w:val="single" w:sz="4" w:space="0" w:color="auto"/>
            </w:tcBorders>
          </w:tcPr>
          <w:p w:rsidR="001752E6" w:rsidRPr="00850EC7" w:rsidRDefault="001752E6" w:rsidP="001752E6">
            <w:pPr>
              <w:spacing w:after="0" w:line="240" w:lineRule="auto"/>
              <w:jc w:val="center"/>
              <w:rPr>
                <w:rFonts w:ascii="Times New Roman" w:eastAsia="Times New Roman" w:hAnsi="Times New Roman" w:cs="Times New Roman"/>
                <w:b/>
                <w:smallCaps/>
                <w:lang w:val="en-US" w:eastAsia="hu-HU"/>
              </w:rPr>
            </w:pPr>
            <w:r w:rsidRPr="00850EC7">
              <w:rPr>
                <w:rFonts w:ascii="Times New Roman" w:eastAsia="Times New Roman" w:hAnsi="Times New Roman" w:cs="Times New Roman"/>
                <w:b/>
                <w:smallCaps/>
                <w:lang w:val="en-US" w:eastAsia="hu-HU"/>
              </w:rPr>
              <w:lastRenderedPageBreak/>
              <w:t>UNIVERSITY OF PUBLIC SERVICE</w:t>
            </w:r>
          </w:p>
        </w:tc>
        <w:tc>
          <w:tcPr>
            <w:tcW w:w="1620" w:type="dxa"/>
          </w:tcPr>
          <w:p w:rsidR="001752E6" w:rsidRPr="00850EC7" w:rsidRDefault="001752E6" w:rsidP="001752E6">
            <w:pPr>
              <w:spacing w:after="0" w:line="240" w:lineRule="auto"/>
              <w:jc w:val="both"/>
              <w:rPr>
                <w:rFonts w:ascii="Times New Roman" w:eastAsia="Times New Roman" w:hAnsi="Times New Roman" w:cs="Times New Roman"/>
                <w:lang w:val="en-US" w:eastAsia="hu-HU"/>
              </w:rPr>
            </w:pPr>
          </w:p>
        </w:tc>
        <w:tc>
          <w:tcPr>
            <w:tcW w:w="2597" w:type="dxa"/>
          </w:tcPr>
          <w:p w:rsidR="001752E6" w:rsidRPr="00850EC7" w:rsidRDefault="001752E6" w:rsidP="001752E6">
            <w:pPr>
              <w:spacing w:after="0" w:line="240" w:lineRule="auto"/>
              <w:jc w:val="right"/>
              <w:rPr>
                <w:rFonts w:ascii="Times New Roman" w:eastAsia="Times New Roman" w:hAnsi="Times New Roman" w:cs="Times New Roman"/>
                <w:lang w:val="en-US" w:eastAsia="hu-HU"/>
              </w:rPr>
            </w:pPr>
          </w:p>
        </w:tc>
      </w:tr>
      <w:tr w:rsidR="001752E6" w:rsidRPr="00850EC7" w:rsidTr="001752E6">
        <w:tc>
          <w:tcPr>
            <w:tcW w:w="4855" w:type="dxa"/>
            <w:tcBorders>
              <w:top w:val="single" w:sz="4" w:space="0" w:color="auto"/>
            </w:tcBorders>
          </w:tcPr>
          <w:p w:rsidR="001752E6" w:rsidRPr="00850EC7" w:rsidRDefault="001752E6" w:rsidP="001752E6">
            <w:pPr>
              <w:spacing w:after="0" w:line="240" w:lineRule="auto"/>
              <w:jc w:val="center"/>
              <w:rPr>
                <w:rFonts w:ascii="Times New Roman" w:eastAsia="Times New Roman" w:hAnsi="Times New Roman" w:cs="Times New Roman"/>
                <w:b/>
                <w:lang w:val="en-US" w:eastAsia="hu-HU"/>
              </w:rPr>
            </w:pPr>
            <w:r w:rsidRPr="00850EC7">
              <w:rPr>
                <w:rFonts w:ascii="Times New Roman" w:eastAsia="Times New Roman" w:hAnsi="Times New Roman" w:cs="Times New Roman"/>
                <w:b/>
                <w:lang w:val="en-US" w:eastAsia="hu-HU"/>
              </w:rPr>
              <w:t>Faculty of Military Science and Officer Training</w:t>
            </w:r>
          </w:p>
        </w:tc>
        <w:tc>
          <w:tcPr>
            <w:tcW w:w="1620" w:type="dxa"/>
          </w:tcPr>
          <w:p w:rsidR="001752E6" w:rsidRPr="00850EC7" w:rsidRDefault="001752E6" w:rsidP="001752E6">
            <w:pPr>
              <w:spacing w:after="0" w:line="240" w:lineRule="auto"/>
              <w:jc w:val="both"/>
              <w:rPr>
                <w:rFonts w:ascii="Times New Roman" w:eastAsia="Times New Roman" w:hAnsi="Times New Roman" w:cs="Times New Roman"/>
                <w:lang w:val="en-US" w:eastAsia="hu-HU"/>
              </w:rPr>
            </w:pPr>
          </w:p>
        </w:tc>
        <w:tc>
          <w:tcPr>
            <w:tcW w:w="2597" w:type="dxa"/>
          </w:tcPr>
          <w:p w:rsidR="001752E6" w:rsidRPr="00850EC7" w:rsidRDefault="001752E6" w:rsidP="001752E6">
            <w:pPr>
              <w:spacing w:after="0" w:line="240" w:lineRule="auto"/>
              <w:jc w:val="both"/>
              <w:rPr>
                <w:rFonts w:ascii="Times New Roman" w:eastAsia="Times New Roman" w:hAnsi="Times New Roman" w:cs="Times New Roman"/>
                <w:lang w:val="en-US" w:eastAsia="hu-HU"/>
              </w:rPr>
            </w:pPr>
          </w:p>
        </w:tc>
      </w:tr>
    </w:tbl>
    <w:p w:rsidR="001752E6" w:rsidRPr="00850EC7" w:rsidRDefault="001752E6" w:rsidP="001752E6">
      <w:pPr>
        <w:widowControl w:val="0"/>
        <w:spacing w:before="120" w:after="120" w:line="240" w:lineRule="auto"/>
        <w:ind w:left="426" w:hanging="142"/>
        <w:jc w:val="center"/>
        <w:rPr>
          <w:rFonts w:ascii="Times New Roman" w:eastAsia="Times New Roman" w:hAnsi="Times New Roman" w:cs="Times New Roman"/>
          <w:b/>
          <w:bCs/>
          <w:lang w:val="en-US"/>
        </w:rPr>
      </w:pPr>
    </w:p>
    <w:p w:rsidR="001752E6" w:rsidRPr="00850EC7" w:rsidRDefault="001752E6" w:rsidP="001752E6">
      <w:pPr>
        <w:widowControl w:val="0"/>
        <w:spacing w:before="120" w:after="120" w:line="240" w:lineRule="auto"/>
        <w:ind w:left="426" w:hanging="142"/>
        <w:jc w:val="center"/>
        <w:rPr>
          <w:rFonts w:ascii="Times New Roman" w:eastAsia="Times New Roman" w:hAnsi="Times New Roman" w:cs="Times New Roman"/>
          <w:b/>
          <w:bCs/>
          <w:lang w:val="en-US"/>
        </w:rPr>
      </w:pPr>
      <w:r w:rsidRPr="00850EC7">
        <w:rPr>
          <w:rFonts w:ascii="Times New Roman" w:eastAsia="Times New Roman" w:hAnsi="Times New Roman" w:cs="Times New Roman"/>
          <w:b/>
          <w:bCs/>
          <w:lang w:val="en-US"/>
        </w:rPr>
        <w:t>CURRICULUM</w:t>
      </w:r>
    </w:p>
    <w:p w:rsidR="001752E6" w:rsidRPr="00850EC7" w:rsidRDefault="001752E6" w:rsidP="00980876">
      <w:pPr>
        <w:widowControl w:val="0"/>
        <w:numPr>
          <w:ilvl w:val="0"/>
          <w:numId w:val="562"/>
        </w:numPr>
        <w:spacing w:before="120" w:after="120" w:line="240" w:lineRule="auto"/>
        <w:ind w:left="426" w:hanging="142"/>
        <w:jc w:val="both"/>
        <w:rPr>
          <w:rFonts w:ascii="Times New Roman" w:eastAsia="Times New Roman" w:hAnsi="Times New Roman" w:cs="Times New Roman"/>
          <w:bCs/>
          <w:lang w:val="en-US"/>
        </w:rPr>
      </w:pPr>
      <w:r w:rsidRPr="00850EC7">
        <w:rPr>
          <w:rFonts w:ascii="Times New Roman" w:eastAsia="Times New Roman" w:hAnsi="Times New Roman" w:cs="Times New Roman"/>
          <w:b/>
          <w:bCs/>
          <w:lang w:val="en-US"/>
        </w:rPr>
        <w:t xml:space="preserve">Code of subject: </w:t>
      </w:r>
      <w:r w:rsidRPr="00850EC7">
        <w:rPr>
          <w:rFonts w:ascii="Times New Roman" w:hAnsi="Times New Roman" w:cs="Times New Roman"/>
          <w:color w:val="000000"/>
          <w:lang w:val="en-US" w:eastAsia="hu-HU"/>
        </w:rPr>
        <w:t>HKHPKA724</w:t>
      </w:r>
    </w:p>
    <w:p w:rsidR="001752E6" w:rsidRPr="00850EC7" w:rsidRDefault="001752E6" w:rsidP="00980876">
      <w:pPr>
        <w:widowControl w:val="0"/>
        <w:numPr>
          <w:ilvl w:val="0"/>
          <w:numId w:val="562"/>
        </w:numPr>
        <w:spacing w:before="120" w:after="120" w:line="240" w:lineRule="auto"/>
        <w:ind w:left="426" w:hanging="142"/>
        <w:jc w:val="both"/>
        <w:rPr>
          <w:rFonts w:ascii="Times New Roman" w:eastAsia="Times New Roman" w:hAnsi="Times New Roman" w:cs="Times New Roman"/>
          <w:b/>
          <w:bCs/>
          <w:lang w:val="en-US"/>
        </w:rPr>
      </w:pPr>
      <w:r w:rsidRPr="00850EC7">
        <w:rPr>
          <w:rFonts w:ascii="Times New Roman" w:eastAsia="Times New Roman" w:hAnsi="Times New Roman" w:cs="Times New Roman"/>
          <w:b/>
          <w:bCs/>
          <w:lang w:val="en-US"/>
        </w:rPr>
        <w:t xml:space="preserve">Name of subject: </w:t>
      </w:r>
      <w:r w:rsidRPr="00850EC7">
        <w:rPr>
          <w:rFonts w:ascii="Times New Roman" w:eastAsia="Times New Roman" w:hAnsi="Times New Roman" w:cs="Times New Roman"/>
          <w:bCs/>
          <w:lang w:val="en-US"/>
        </w:rPr>
        <w:t>Basic knowledge of world economic system</w:t>
      </w:r>
    </w:p>
    <w:p w:rsidR="001752E6" w:rsidRPr="00850EC7" w:rsidRDefault="001752E6" w:rsidP="00980876">
      <w:pPr>
        <w:widowControl w:val="0"/>
        <w:numPr>
          <w:ilvl w:val="0"/>
          <w:numId w:val="562"/>
        </w:numPr>
        <w:spacing w:before="120" w:after="120" w:line="240" w:lineRule="auto"/>
        <w:ind w:left="426" w:hanging="142"/>
        <w:jc w:val="both"/>
        <w:rPr>
          <w:rFonts w:ascii="Times New Roman" w:eastAsia="Times New Roman" w:hAnsi="Times New Roman" w:cs="Times New Roman"/>
          <w:b/>
          <w:bCs/>
          <w:lang w:val="en-US"/>
        </w:rPr>
      </w:pPr>
      <w:r w:rsidRPr="00850EC7">
        <w:rPr>
          <w:rFonts w:ascii="Times New Roman" w:eastAsia="Times New Roman" w:hAnsi="Times New Roman" w:cs="Times New Roman"/>
          <w:b/>
          <w:bCs/>
          <w:lang w:val="en-US"/>
        </w:rPr>
        <w:t xml:space="preserve">Credit value and course structure: </w:t>
      </w:r>
    </w:p>
    <w:p w:rsidR="001752E6" w:rsidRPr="00850EC7" w:rsidRDefault="001752E6" w:rsidP="00980876">
      <w:pPr>
        <w:widowControl w:val="0"/>
        <w:numPr>
          <w:ilvl w:val="1"/>
          <w:numId w:val="562"/>
        </w:numPr>
        <w:spacing w:before="120" w:after="120" w:line="240" w:lineRule="auto"/>
        <w:ind w:left="993" w:hanging="426"/>
        <w:contextualSpacing/>
        <w:jc w:val="both"/>
        <w:rPr>
          <w:rFonts w:ascii="Times New Roman" w:eastAsia="Times New Roman" w:hAnsi="Times New Roman" w:cs="Times New Roman"/>
          <w:b/>
          <w:bCs/>
          <w:lang w:val="en-US"/>
        </w:rPr>
      </w:pPr>
      <w:r w:rsidRPr="00850EC7">
        <w:rPr>
          <w:rFonts w:ascii="Times New Roman" w:eastAsia="Times New Roman" w:hAnsi="Times New Roman" w:cs="Times New Roman"/>
          <w:lang w:val="en-US" w:eastAsia="hu-HU"/>
        </w:rPr>
        <w:t>4</w:t>
      </w:r>
      <w:r w:rsidRPr="00850EC7">
        <w:rPr>
          <w:rFonts w:ascii="Times New Roman" w:eastAsia="Times New Roman" w:hAnsi="Times New Roman" w:cs="Times New Roman"/>
          <w:bCs/>
          <w:lang w:val="en-US"/>
        </w:rPr>
        <w:t xml:space="preserve"> credit</w:t>
      </w:r>
    </w:p>
    <w:p w:rsidR="001752E6" w:rsidRPr="00850EC7" w:rsidRDefault="001752E6" w:rsidP="00980876">
      <w:pPr>
        <w:widowControl w:val="0"/>
        <w:numPr>
          <w:ilvl w:val="1"/>
          <w:numId w:val="562"/>
        </w:numPr>
        <w:spacing w:before="120" w:after="120" w:line="240" w:lineRule="auto"/>
        <w:ind w:left="993" w:hanging="426"/>
        <w:contextualSpacing/>
        <w:jc w:val="both"/>
        <w:rPr>
          <w:rFonts w:ascii="Times New Roman" w:eastAsia="Times New Roman" w:hAnsi="Times New Roman" w:cs="Times New Roman"/>
          <w:b/>
          <w:bCs/>
          <w:lang w:val="en-US"/>
        </w:rPr>
      </w:pPr>
      <w:r w:rsidRPr="00850EC7">
        <w:rPr>
          <w:rFonts w:ascii="Times New Roman" w:eastAsia="Times New Roman" w:hAnsi="Times New Roman" w:cs="Times New Roman"/>
          <w:bCs/>
          <w:lang w:val="en-US"/>
        </w:rPr>
        <w:t xml:space="preserve">ratio of lectures and seminars: </w:t>
      </w:r>
      <w:r w:rsidRPr="00850EC7">
        <w:rPr>
          <w:rFonts w:ascii="Times New Roman" w:eastAsia="Times New Roman" w:hAnsi="Times New Roman" w:cs="Times New Roman"/>
          <w:lang w:val="en-US" w:eastAsia="hu-HU"/>
        </w:rPr>
        <w:t>50%</w:t>
      </w:r>
      <w:r w:rsidRPr="00850EC7">
        <w:rPr>
          <w:rFonts w:ascii="Times New Roman" w:eastAsia="Times New Roman" w:hAnsi="Times New Roman" w:cs="Times New Roman"/>
          <w:bCs/>
          <w:lang w:val="en-US"/>
        </w:rPr>
        <w:t xml:space="preserve"> </w:t>
      </w:r>
      <w:r>
        <w:rPr>
          <w:rFonts w:ascii="Times New Roman" w:eastAsia="Times New Roman" w:hAnsi="Times New Roman" w:cs="Times New Roman"/>
          <w:bCs/>
          <w:lang w:val="en-US"/>
        </w:rPr>
        <w:t>seminars</w:t>
      </w:r>
      <w:r w:rsidRPr="00850EC7">
        <w:rPr>
          <w:rFonts w:ascii="Times New Roman" w:eastAsia="Times New Roman" w:hAnsi="Times New Roman" w:cs="Times New Roman"/>
          <w:bCs/>
          <w:lang w:val="en-US"/>
        </w:rPr>
        <w:t xml:space="preserve">, </w:t>
      </w:r>
      <w:r w:rsidRPr="00850EC7">
        <w:rPr>
          <w:rFonts w:ascii="Times New Roman" w:eastAsia="Times New Roman" w:hAnsi="Times New Roman" w:cs="Times New Roman"/>
          <w:lang w:val="en-US" w:eastAsia="hu-HU"/>
        </w:rPr>
        <w:t>50%</w:t>
      </w:r>
      <w:r w:rsidRPr="00850EC7">
        <w:rPr>
          <w:rFonts w:ascii="Times New Roman" w:eastAsia="Times New Roman" w:hAnsi="Times New Roman" w:cs="Times New Roman"/>
          <w:bCs/>
          <w:lang w:val="en-US"/>
        </w:rPr>
        <w:t xml:space="preserve"> </w:t>
      </w:r>
      <w:r>
        <w:rPr>
          <w:rFonts w:ascii="Times New Roman" w:eastAsia="Times New Roman" w:hAnsi="Times New Roman" w:cs="Times New Roman"/>
          <w:bCs/>
          <w:lang w:val="en-US"/>
        </w:rPr>
        <w:t>lectures</w:t>
      </w:r>
    </w:p>
    <w:p w:rsidR="001752E6" w:rsidRPr="00850EC7" w:rsidRDefault="001752E6" w:rsidP="00980876">
      <w:pPr>
        <w:widowControl w:val="0"/>
        <w:numPr>
          <w:ilvl w:val="0"/>
          <w:numId w:val="562"/>
        </w:numPr>
        <w:spacing w:before="120" w:after="120" w:line="240" w:lineRule="auto"/>
        <w:ind w:left="426" w:hanging="142"/>
        <w:jc w:val="both"/>
        <w:rPr>
          <w:rFonts w:ascii="Times New Roman" w:eastAsia="Times New Roman" w:hAnsi="Times New Roman" w:cs="Times New Roman"/>
          <w:bCs/>
          <w:lang w:val="en-US"/>
        </w:rPr>
      </w:pPr>
      <w:r w:rsidRPr="00850EC7">
        <w:rPr>
          <w:rFonts w:ascii="Times New Roman" w:eastAsia="Times New Roman" w:hAnsi="Times New Roman" w:cs="Times New Roman"/>
          <w:b/>
          <w:bCs/>
          <w:lang w:val="en-US"/>
        </w:rPr>
        <w:t>Name of major(s), specializations (where it is taught):</w:t>
      </w:r>
      <w:r w:rsidRPr="00850EC7">
        <w:rPr>
          <w:rFonts w:ascii="Times New Roman" w:eastAsia="Times New Roman" w:hAnsi="Times New Roman" w:cs="Times New Roman"/>
          <w:bCs/>
          <w:lang w:val="en-US"/>
        </w:rPr>
        <w:t xml:space="preserve"> </w:t>
      </w:r>
      <w:r w:rsidRPr="00850EC7">
        <w:rPr>
          <w:rFonts w:ascii="Times New Roman" w:eastAsia="Times New Roman" w:hAnsi="Times New Roman" w:cs="Times New Roman"/>
          <w:lang w:val="en-US" w:eastAsia="hu-HU"/>
        </w:rPr>
        <w:t xml:space="preserve">Military Logistics </w:t>
      </w:r>
      <w:r w:rsidR="00137B8A">
        <w:rPr>
          <w:rFonts w:ascii="Times New Roman" w:eastAsia="Times New Roman" w:hAnsi="Times New Roman" w:cs="Times New Roman"/>
          <w:lang w:val="en-US" w:eastAsia="hu-HU"/>
        </w:rPr>
        <w:t>BSc</w:t>
      </w:r>
      <w:r w:rsidRPr="00850EC7">
        <w:rPr>
          <w:rFonts w:ascii="Times New Roman" w:eastAsia="Times New Roman" w:hAnsi="Times New Roman" w:cs="Times New Roman"/>
          <w:lang w:val="en-US" w:eastAsia="hu-HU"/>
        </w:rPr>
        <w:t xml:space="preserve"> </w:t>
      </w:r>
    </w:p>
    <w:p w:rsidR="001752E6" w:rsidRPr="00850EC7" w:rsidRDefault="001752E6" w:rsidP="00980876">
      <w:pPr>
        <w:widowControl w:val="0"/>
        <w:numPr>
          <w:ilvl w:val="0"/>
          <w:numId w:val="562"/>
        </w:numPr>
        <w:spacing w:before="120" w:after="120" w:line="240" w:lineRule="auto"/>
        <w:ind w:left="426" w:hanging="142"/>
        <w:jc w:val="both"/>
        <w:rPr>
          <w:rFonts w:ascii="Times New Roman" w:eastAsia="Times New Roman" w:hAnsi="Times New Roman" w:cs="Times New Roman"/>
          <w:bCs/>
          <w:lang w:val="en-US"/>
        </w:rPr>
      </w:pPr>
      <w:r w:rsidRPr="00850EC7">
        <w:rPr>
          <w:rFonts w:ascii="Times New Roman" w:eastAsia="Times New Roman" w:hAnsi="Times New Roman" w:cs="Times New Roman"/>
          <w:b/>
          <w:bCs/>
          <w:lang w:val="en-US"/>
        </w:rPr>
        <w:t xml:space="preserve">Name of organizational unit responsible for its education: </w:t>
      </w:r>
      <w:r w:rsidRPr="00850EC7">
        <w:rPr>
          <w:rFonts w:ascii="Times New Roman" w:eastAsia="Times New Roman" w:hAnsi="Times New Roman" w:cs="Times New Roman"/>
          <w:lang w:val="en-US" w:eastAsia="hu-HU"/>
        </w:rPr>
        <w:t>Department of Supply, Finance and Military Transportation</w:t>
      </w:r>
    </w:p>
    <w:p w:rsidR="001752E6" w:rsidRPr="00850EC7" w:rsidRDefault="001752E6" w:rsidP="00980876">
      <w:pPr>
        <w:widowControl w:val="0"/>
        <w:numPr>
          <w:ilvl w:val="0"/>
          <w:numId w:val="562"/>
        </w:numPr>
        <w:spacing w:before="120" w:after="120" w:line="240" w:lineRule="auto"/>
        <w:ind w:left="426" w:hanging="142"/>
        <w:jc w:val="both"/>
        <w:rPr>
          <w:rFonts w:ascii="Times New Roman" w:eastAsia="Times New Roman" w:hAnsi="Times New Roman" w:cs="Times New Roman"/>
          <w:bCs/>
          <w:lang w:val="en-US"/>
        </w:rPr>
      </w:pPr>
      <w:r w:rsidRPr="00850EC7">
        <w:rPr>
          <w:rFonts w:ascii="Times New Roman" w:eastAsia="Times New Roman" w:hAnsi="Times New Roman" w:cs="Times New Roman"/>
          <w:b/>
          <w:bCs/>
          <w:lang w:val="en-US"/>
        </w:rPr>
        <w:t>Name, position, academic degree of tutor responsible for the curriculum:</w:t>
      </w:r>
      <w:r w:rsidRPr="00850EC7">
        <w:rPr>
          <w:rFonts w:ascii="Times New Roman" w:eastAsia="Times New Roman" w:hAnsi="Times New Roman" w:cs="Times New Roman"/>
          <w:bCs/>
          <w:lang w:val="en-US"/>
        </w:rPr>
        <w:t xml:space="preserve"> Cpt. </w:t>
      </w:r>
      <w:r w:rsidRPr="00850EC7">
        <w:rPr>
          <w:rFonts w:ascii="Times New Roman" w:eastAsia="Times New Roman" w:hAnsi="Times New Roman" w:cs="Times New Roman"/>
          <w:lang w:val="en-US" w:eastAsia="hu-HU"/>
        </w:rPr>
        <w:t>Balázs Taksás (PhD) associate professor</w:t>
      </w:r>
    </w:p>
    <w:p w:rsidR="001752E6" w:rsidRPr="00850EC7" w:rsidRDefault="001752E6" w:rsidP="00980876">
      <w:pPr>
        <w:widowControl w:val="0"/>
        <w:numPr>
          <w:ilvl w:val="0"/>
          <w:numId w:val="562"/>
        </w:numPr>
        <w:spacing w:before="120" w:after="120" w:line="240" w:lineRule="auto"/>
        <w:ind w:left="426" w:hanging="142"/>
        <w:jc w:val="both"/>
        <w:rPr>
          <w:rFonts w:ascii="Times New Roman" w:eastAsia="Times New Roman" w:hAnsi="Times New Roman" w:cs="Times New Roman"/>
          <w:bCs/>
          <w:lang w:val="en-US"/>
        </w:rPr>
      </w:pPr>
      <w:r w:rsidRPr="00850EC7">
        <w:rPr>
          <w:rFonts w:ascii="Times New Roman" w:eastAsia="Times New Roman" w:hAnsi="Times New Roman" w:cs="Times New Roman"/>
          <w:b/>
          <w:bCs/>
          <w:lang w:val="en-US"/>
        </w:rPr>
        <w:t>Number and types of classes</w:t>
      </w:r>
    </w:p>
    <w:p w:rsidR="001752E6" w:rsidRPr="00850EC7" w:rsidRDefault="001752E6" w:rsidP="00980876">
      <w:pPr>
        <w:widowControl w:val="0"/>
        <w:numPr>
          <w:ilvl w:val="1"/>
          <w:numId w:val="562"/>
        </w:numPr>
        <w:tabs>
          <w:tab w:val="num" w:pos="2069"/>
        </w:tabs>
        <w:spacing w:before="120" w:after="120" w:line="240" w:lineRule="auto"/>
        <w:ind w:left="851" w:hanging="425"/>
        <w:jc w:val="both"/>
        <w:rPr>
          <w:rFonts w:ascii="Times New Roman" w:eastAsia="Times New Roman" w:hAnsi="Times New Roman" w:cs="Times New Roman"/>
          <w:bCs/>
          <w:lang w:val="en-US"/>
        </w:rPr>
      </w:pPr>
      <w:r w:rsidRPr="00850EC7">
        <w:rPr>
          <w:rFonts w:ascii="Times New Roman" w:eastAsia="Times New Roman" w:hAnsi="Times New Roman" w:cs="Times New Roman"/>
          <w:bCs/>
          <w:lang w:val="en-US"/>
        </w:rPr>
        <w:t>full number of classes/semester:</w:t>
      </w:r>
    </w:p>
    <w:p w:rsidR="001752E6" w:rsidRPr="00850EC7" w:rsidRDefault="001752E6" w:rsidP="00980876">
      <w:pPr>
        <w:widowControl w:val="0"/>
        <w:numPr>
          <w:ilvl w:val="2"/>
          <w:numId w:val="562"/>
        </w:numPr>
        <w:tabs>
          <w:tab w:val="num" w:pos="1134"/>
        </w:tabs>
        <w:spacing w:before="120" w:after="120" w:line="240" w:lineRule="auto"/>
        <w:ind w:left="993" w:hanging="425"/>
        <w:jc w:val="both"/>
        <w:rPr>
          <w:rFonts w:ascii="Times New Roman" w:eastAsia="Times New Roman" w:hAnsi="Times New Roman" w:cs="Times New Roman"/>
          <w:bCs/>
          <w:lang w:val="en-US"/>
        </w:rPr>
      </w:pPr>
      <w:r w:rsidRPr="00850EC7">
        <w:rPr>
          <w:rFonts w:ascii="Times New Roman" w:eastAsia="Times New Roman" w:hAnsi="Times New Roman" w:cs="Times New Roman"/>
          <w:bCs/>
          <w:lang w:val="en-US"/>
        </w:rPr>
        <w:t xml:space="preserve">Full time course: </w:t>
      </w:r>
      <w:r w:rsidRPr="00850EC7">
        <w:rPr>
          <w:rFonts w:ascii="Times New Roman" w:eastAsia="Times New Roman" w:hAnsi="Times New Roman" w:cs="Times New Roman"/>
          <w:lang w:val="en-US" w:eastAsia="hu-HU"/>
        </w:rPr>
        <w:t>28</w:t>
      </w:r>
      <w:r w:rsidRPr="00850EC7">
        <w:rPr>
          <w:rFonts w:ascii="Times New Roman" w:eastAsia="Times New Roman" w:hAnsi="Times New Roman" w:cs="Times New Roman"/>
          <w:bCs/>
          <w:lang w:val="en-US"/>
        </w:rPr>
        <w:t xml:space="preserve"> (14 LEC + </w:t>
      </w:r>
      <w:r w:rsidRPr="00850EC7">
        <w:rPr>
          <w:rFonts w:ascii="Times New Roman" w:eastAsia="Times New Roman" w:hAnsi="Times New Roman" w:cs="Times New Roman"/>
          <w:lang w:val="en-US" w:eastAsia="hu-HU"/>
        </w:rPr>
        <w:t>14</w:t>
      </w:r>
      <w:r w:rsidRPr="00850EC7">
        <w:rPr>
          <w:rFonts w:ascii="Times New Roman" w:eastAsia="Times New Roman" w:hAnsi="Times New Roman" w:cs="Times New Roman"/>
          <w:bCs/>
          <w:lang w:val="en-US"/>
        </w:rPr>
        <w:t xml:space="preserve"> SEM)</w:t>
      </w:r>
    </w:p>
    <w:p w:rsidR="001752E6" w:rsidRPr="00850EC7" w:rsidRDefault="001752E6" w:rsidP="00980876">
      <w:pPr>
        <w:widowControl w:val="0"/>
        <w:numPr>
          <w:ilvl w:val="2"/>
          <w:numId w:val="562"/>
        </w:numPr>
        <w:tabs>
          <w:tab w:val="num" w:pos="1134"/>
        </w:tabs>
        <w:spacing w:before="120" w:after="120" w:line="240" w:lineRule="auto"/>
        <w:ind w:left="993" w:hanging="425"/>
        <w:jc w:val="both"/>
        <w:rPr>
          <w:rFonts w:ascii="Times New Roman" w:eastAsia="Times New Roman" w:hAnsi="Times New Roman" w:cs="Times New Roman"/>
          <w:bCs/>
          <w:lang w:val="en-US"/>
        </w:rPr>
      </w:pPr>
      <w:r w:rsidRPr="00850EC7">
        <w:rPr>
          <w:rFonts w:ascii="Times New Roman" w:eastAsia="Times New Roman" w:hAnsi="Times New Roman" w:cs="Times New Roman"/>
          <w:bCs/>
          <w:lang w:val="en-US"/>
        </w:rPr>
        <w:t xml:space="preserve">Correspondence course: </w:t>
      </w:r>
      <w:r w:rsidRPr="00850EC7">
        <w:rPr>
          <w:rFonts w:ascii="Times New Roman" w:eastAsia="Times New Roman" w:hAnsi="Times New Roman" w:cs="Times New Roman"/>
          <w:lang w:val="en-US" w:eastAsia="hu-HU"/>
        </w:rPr>
        <w:t xml:space="preserve">- </w:t>
      </w:r>
      <w:r w:rsidRPr="00850EC7">
        <w:rPr>
          <w:rFonts w:ascii="Times New Roman" w:eastAsia="Times New Roman" w:hAnsi="Times New Roman" w:cs="Times New Roman"/>
          <w:bCs/>
          <w:lang w:val="en-US"/>
        </w:rPr>
        <w:t xml:space="preserve">(- LEC + </w:t>
      </w:r>
      <w:r w:rsidRPr="00850EC7">
        <w:rPr>
          <w:rFonts w:ascii="Times New Roman" w:eastAsia="Times New Roman" w:hAnsi="Times New Roman" w:cs="Times New Roman"/>
          <w:lang w:val="en-US" w:eastAsia="hu-HU"/>
        </w:rPr>
        <w:t>-</w:t>
      </w:r>
      <w:r w:rsidRPr="00850EC7">
        <w:rPr>
          <w:rFonts w:ascii="Times New Roman" w:eastAsia="Times New Roman" w:hAnsi="Times New Roman" w:cs="Times New Roman"/>
          <w:bCs/>
          <w:lang w:val="en-US"/>
        </w:rPr>
        <w:t xml:space="preserve"> SEM)</w:t>
      </w:r>
    </w:p>
    <w:p w:rsidR="001752E6" w:rsidRPr="00850EC7" w:rsidRDefault="001752E6" w:rsidP="00980876">
      <w:pPr>
        <w:widowControl w:val="0"/>
        <w:numPr>
          <w:ilvl w:val="1"/>
          <w:numId w:val="562"/>
        </w:numPr>
        <w:tabs>
          <w:tab w:val="num" w:pos="2069"/>
        </w:tabs>
        <w:spacing w:before="120" w:after="120" w:line="240" w:lineRule="auto"/>
        <w:ind w:left="851" w:hanging="425"/>
        <w:jc w:val="both"/>
        <w:rPr>
          <w:rFonts w:ascii="Times New Roman" w:eastAsia="Times New Roman" w:hAnsi="Times New Roman" w:cs="Times New Roman"/>
          <w:bCs/>
          <w:lang w:val="en-US"/>
        </w:rPr>
      </w:pPr>
      <w:r w:rsidRPr="00850EC7">
        <w:rPr>
          <w:rFonts w:ascii="Times New Roman" w:eastAsia="Times New Roman" w:hAnsi="Times New Roman" w:cs="Times New Roman"/>
          <w:bCs/>
          <w:lang w:val="en-US"/>
        </w:rPr>
        <w:t xml:space="preserve">weekly number of classes - full time course: </w:t>
      </w:r>
      <w:r w:rsidRPr="00850EC7">
        <w:rPr>
          <w:rFonts w:ascii="Times New Roman" w:eastAsia="Times New Roman" w:hAnsi="Times New Roman" w:cs="Times New Roman"/>
          <w:lang w:val="en-US" w:eastAsia="hu-HU"/>
        </w:rPr>
        <w:t>2</w:t>
      </w:r>
      <w:r w:rsidRPr="00850EC7">
        <w:rPr>
          <w:rFonts w:ascii="Times New Roman" w:eastAsia="Times New Roman" w:hAnsi="Times New Roman" w:cs="Times New Roman"/>
          <w:bCs/>
          <w:lang w:val="en-US"/>
        </w:rPr>
        <w:t xml:space="preserve"> (1 LEC + </w:t>
      </w:r>
      <w:r w:rsidRPr="00850EC7">
        <w:rPr>
          <w:rFonts w:ascii="Times New Roman" w:eastAsia="Times New Roman" w:hAnsi="Times New Roman" w:cs="Times New Roman"/>
          <w:lang w:val="en-US" w:eastAsia="hu-HU"/>
        </w:rPr>
        <w:t>1</w:t>
      </w:r>
      <w:r w:rsidRPr="00850EC7">
        <w:rPr>
          <w:rFonts w:ascii="Times New Roman" w:eastAsia="Times New Roman" w:hAnsi="Times New Roman" w:cs="Times New Roman"/>
          <w:bCs/>
          <w:lang w:val="en-US"/>
        </w:rPr>
        <w:t xml:space="preserve"> SEM)</w:t>
      </w:r>
    </w:p>
    <w:p w:rsidR="001752E6" w:rsidRPr="00850EC7" w:rsidRDefault="001752E6" w:rsidP="00980876">
      <w:pPr>
        <w:widowControl w:val="0"/>
        <w:numPr>
          <w:ilvl w:val="1"/>
          <w:numId w:val="562"/>
        </w:numPr>
        <w:tabs>
          <w:tab w:val="num" w:pos="2069"/>
        </w:tabs>
        <w:spacing w:before="120" w:after="120" w:line="240" w:lineRule="auto"/>
        <w:ind w:left="851" w:hanging="425"/>
        <w:jc w:val="both"/>
        <w:rPr>
          <w:rFonts w:ascii="Times New Roman" w:eastAsia="Times New Roman" w:hAnsi="Times New Roman" w:cs="Times New Roman"/>
          <w:bCs/>
          <w:lang w:val="en-US"/>
        </w:rPr>
      </w:pPr>
      <w:r w:rsidRPr="00850EC7">
        <w:rPr>
          <w:rFonts w:ascii="Times New Roman" w:eastAsia="Times New Roman" w:hAnsi="Times New Roman" w:cs="Times New Roman"/>
          <w:bCs/>
          <w:lang w:val="en-US"/>
        </w:rPr>
        <w:t>Further</w:t>
      </w:r>
      <w:r w:rsidRPr="00850EC7">
        <w:rPr>
          <w:rFonts w:ascii="Times New Roman" w:hAnsi="Times New Roman" w:cs="Times New Roman"/>
          <w:lang w:val="en-US"/>
        </w:rPr>
        <w:t xml:space="preserve"> special or unique methods applied throughout of the course: </w:t>
      </w:r>
      <w:r w:rsidRPr="00850EC7">
        <w:rPr>
          <w:rFonts w:ascii="Times New Roman" w:eastAsia="Times New Roman" w:hAnsi="Times New Roman" w:cs="Times New Roman"/>
          <w:lang w:val="en-US" w:eastAsia="hu-HU"/>
        </w:rPr>
        <w:t>-</w:t>
      </w:r>
    </w:p>
    <w:p w:rsidR="001752E6" w:rsidRPr="00850EC7" w:rsidRDefault="001752E6" w:rsidP="00980876">
      <w:pPr>
        <w:widowControl w:val="0"/>
        <w:numPr>
          <w:ilvl w:val="0"/>
          <w:numId w:val="562"/>
        </w:numPr>
        <w:spacing w:before="120" w:after="120" w:line="240" w:lineRule="auto"/>
        <w:ind w:left="426" w:hanging="142"/>
        <w:jc w:val="both"/>
        <w:rPr>
          <w:rFonts w:ascii="Times New Roman" w:eastAsia="Times New Roman" w:hAnsi="Times New Roman" w:cs="Times New Roman"/>
          <w:bCs/>
          <w:lang w:val="en-US"/>
        </w:rPr>
      </w:pPr>
      <w:r w:rsidRPr="00850EC7">
        <w:rPr>
          <w:rFonts w:ascii="Times New Roman" w:eastAsia="Times New Roman" w:hAnsi="Times New Roman" w:cs="Times New Roman"/>
          <w:b/>
          <w:bCs/>
          <w:lang w:val="en-US"/>
        </w:rPr>
        <w:t xml:space="preserve">The academic content of the subject: </w:t>
      </w:r>
      <w:r w:rsidRPr="00850EC7">
        <w:rPr>
          <w:rFonts w:ascii="Times New Roman" w:hAnsi="Times New Roman" w:cs="Times New Roman"/>
          <w:bCs/>
          <w:lang w:val="en-US"/>
        </w:rPr>
        <w:t>This subject deals with the functioning of the global economic system. It shows the processes of globalization, the interconnections and interdependencies of national economies, the tasks of the supranational institutions and the functioning of regional economic integrations.</w:t>
      </w:r>
    </w:p>
    <w:p w:rsidR="001752E6" w:rsidRPr="00850EC7" w:rsidRDefault="001752E6" w:rsidP="00980876">
      <w:pPr>
        <w:widowControl w:val="0"/>
        <w:numPr>
          <w:ilvl w:val="0"/>
          <w:numId w:val="562"/>
        </w:numPr>
        <w:spacing w:before="120" w:after="120" w:line="240" w:lineRule="auto"/>
        <w:ind w:left="426" w:hanging="142"/>
        <w:jc w:val="both"/>
        <w:rPr>
          <w:rFonts w:ascii="Times New Roman" w:eastAsia="Times New Roman" w:hAnsi="Times New Roman" w:cs="Times New Roman"/>
          <w:bCs/>
          <w:lang w:val="en-US"/>
        </w:rPr>
      </w:pPr>
      <w:r w:rsidRPr="00850EC7">
        <w:rPr>
          <w:rFonts w:ascii="Times New Roman" w:eastAsia="Times New Roman" w:hAnsi="Times New Roman" w:cs="Times New Roman"/>
          <w:b/>
          <w:bCs/>
          <w:lang w:val="en-US"/>
        </w:rPr>
        <w:t xml:space="preserve">Competences to be achieved: </w:t>
      </w:r>
    </w:p>
    <w:p w:rsidR="001752E6" w:rsidRPr="00850EC7" w:rsidRDefault="001752E6" w:rsidP="001752E6">
      <w:pPr>
        <w:widowControl w:val="0"/>
        <w:spacing w:before="120" w:after="120" w:line="240" w:lineRule="auto"/>
        <w:ind w:left="426"/>
        <w:jc w:val="both"/>
        <w:rPr>
          <w:rFonts w:ascii="Times New Roman" w:eastAsia="Times New Roman" w:hAnsi="Times New Roman" w:cs="Times New Roman"/>
          <w:lang w:val="en-US" w:eastAsia="hu-HU"/>
        </w:rPr>
      </w:pPr>
      <w:r w:rsidRPr="00850EC7">
        <w:rPr>
          <w:rFonts w:ascii="Times New Roman" w:eastAsia="Times New Roman" w:hAnsi="Times New Roman" w:cs="Times New Roman"/>
          <w:b/>
          <w:lang w:val="en-US"/>
        </w:rPr>
        <w:t>Knowledge</w:t>
      </w:r>
      <w:r w:rsidRPr="00850EC7">
        <w:rPr>
          <w:rFonts w:ascii="Times New Roman" w:eastAsia="Times New Roman" w:hAnsi="Times New Roman" w:cs="Times New Roman"/>
          <w:lang w:val="en-US"/>
        </w:rPr>
        <w:t xml:space="preserve">: </w:t>
      </w:r>
    </w:p>
    <w:p w:rsidR="001752E6" w:rsidRPr="00CF3FBC" w:rsidRDefault="001752E6" w:rsidP="00980876">
      <w:pPr>
        <w:pStyle w:val="Listaszerbekezds"/>
        <w:widowControl w:val="0"/>
        <w:numPr>
          <w:ilvl w:val="0"/>
          <w:numId w:val="563"/>
        </w:numPr>
        <w:spacing w:before="120" w:after="120" w:line="240" w:lineRule="auto"/>
        <w:jc w:val="both"/>
        <w:rPr>
          <w:rFonts w:ascii="Times New Roman" w:eastAsia="Times New Roman" w:hAnsi="Times New Roman" w:cs="Times New Roman"/>
          <w:lang w:val="en-US"/>
        </w:rPr>
      </w:pPr>
      <w:r w:rsidRPr="00CF3FBC">
        <w:rPr>
          <w:rFonts w:ascii="Times New Roman" w:eastAsia="Times New Roman" w:hAnsi="Times New Roman" w:cs="Times New Roman"/>
          <w:lang w:val="en-US"/>
        </w:rPr>
        <w:t>To be familiar with market mechanisms, the principles of economics, the relation between national economy and defense and the functioning of defense industry.</w:t>
      </w:r>
    </w:p>
    <w:p w:rsidR="001752E6" w:rsidRPr="00850EC7" w:rsidRDefault="001752E6" w:rsidP="001752E6">
      <w:pPr>
        <w:widowControl w:val="0"/>
        <w:spacing w:before="120" w:after="120" w:line="240" w:lineRule="auto"/>
        <w:ind w:left="426"/>
        <w:jc w:val="both"/>
        <w:rPr>
          <w:rFonts w:ascii="Times New Roman" w:eastAsia="Times New Roman" w:hAnsi="Times New Roman" w:cs="Times New Roman"/>
          <w:lang w:val="en-US" w:eastAsia="hu-HU"/>
        </w:rPr>
      </w:pPr>
      <w:r w:rsidRPr="00850EC7">
        <w:rPr>
          <w:rFonts w:ascii="Times New Roman" w:eastAsia="Times New Roman" w:hAnsi="Times New Roman" w:cs="Times New Roman"/>
          <w:b/>
          <w:lang w:val="en-US"/>
        </w:rPr>
        <w:t>Capabilities</w:t>
      </w:r>
      <w:r w:rsidRPr="00850EC7">
        <w:rPr>
          <w:rFonts w:ascii="Times New Roman" w:eastAsia="Times New Roman" w:hAnsi="Times New Roman" w:cs="Times New Roman"/>
          <w:lang w:val="en-US"/>
        </w:rPr>
        <w:t xml:space="preserve">: </w:t>
      </w:r>
    </w:p>
    <w:p w:rsidR="001752E6" w:rsidRPr="00850EC7" w:rsidRDefault="001752E6" w:rsidP="00980876">
      <w:pPr>
        <w:pStyle w:val="Listaszerbekezds"/>
        <w:widowControl w:val="0"/>
        <w:numPr>
          <w:ilvl w:val="0"/>
          <w:numId w:val="563"/>
        </w:numPr>
        <w:spacing w:before="120" w:after="120" w:line="240" w:lineRule="auto"/>
        <w:jc w:val="both"/>
        <w:rPr>
          <w:rFonts w:ascii="Times New Roman" w:eastAsia="Times New Roman" w:hAnsi="Times New Roman" w:cs="Times New Roman"/>
          <w:lang w:val="en-US"/>
        </w:rPr>
      </w:pPr>
      <w:r w:rsidRPr="00850EC7">
        <w:rPr>
          <w:rFonts w:ascii="Times New Roman" w:eastAsia="Times New Roman" w:hAnsi="Times New Roman" w:cs="Times New Roman"/>
          <w:lang w:val="en-US"/>
        </w:rPr>
        <w:t xml:space="preserve">To be able to understand the connections in logistic field between the national economy and the HDF. </w:t>
      </w:r>
    </w:p>
    <w:p w:rsidR="001752E6" w:rsidRPr="00850EC7" w:rsidRDefault="001752E6" w:rsidP="00980876">
      <w:pPr>
        <w:pStyle w:val="Listaszerbekezds"/>
        <w:widowControl w:val="0"/>
        <w:numPr>
          <w:ilvl w:val="0"/>
          <w:numId w:val="563"/>
        </w:numPr>
        <w:spacing w:before="120" w:after="120" w:line="240" w:lineRule="auto"/>
        <w:jc w:val="both"/>
        <w:rPr>
          <w:rFonts w:ascii="Times New Roman" w:eastAsia="Times New Roman" w:hAnsi="Times New Roman" w:cs="Times New Roman"/>
          <w:lang w:val="en-US"/>
        </w:rPr>
      </w:pPr>
      <w:r w:rsidRPr="00850EC7">
        <w:rPr>
          <w:rFonts w:ascii="Times New Roman" w:eastAsia="Times New Roman" w:hAnsi="Times New Roman" w:cs="Times New Roman"/>
          <w:lang w:val="en-US"/>
        </w:rPr>
        <w:t>To have ability to create new, innovative ideas in the given profession and post.</w:t>
      </w:r>
    </w:p>
    <w:p w:rsidR="001752E6" w:rsidRPr="00850EC7" w:rsidRDefault="001752E6" w:rsidP="001752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lang w:val="en-US" w:eastAsia="hu-HU"/>
        </w:rPr>
      </w:pPr>
      <w:r w:rsidRPr="00850EC7">
        <w:rPr>
          <w:rFonts w:ascii="Times New Roman" w:eastAsia="Times New Roman" w:hAnsi="Times New Roman" w:cs="Times New Roman"/>
          <w:b/>
          <w:lang w:val="en-US"/>
        </w:rPr>
        <w:t>Attitude:</w:t>
      </w:r>
      <w:r w:rsidRPr="00850EC7">
        <w:rPr>
          <w:rFonts w:ascii="Times New Roman" w:eastAsia="Times New Roman" w:hAnsi="Times New Roman" w:cs="Times New Roman"/>
          <w:lang w:val="en-US"/>
        </w:rPr>
        <w:t xml:space="preserve"> </w:t>
      </w:r>
    </w:p>
    <w:p w:rsidR="001752E6" w:rsidRPr="00850EC7" w:rsidRDefault="001752E6" w:rsidP="00980876">
      <w:pPr>
        <w:pStyle w:val="Listaszerbekezds"/>
        <w:widowControl w:val="0"/>
        <w:numPr>
          <w:ilvl w:val="0"/>
          <w:numId w:val="563"/>
        </w:numPr>
        <w:spacing w:before="120" w:after="120" w:line="240" w:lineRule="auto"/>
        <w:jc w:val="both"/>
        <w:rPr>
          <w:rFonts w:ascii="Times New Roman" w:eastAsia="Times New Roman" w:hAnsi="Times New Roman" w:cs="Times New Roman"/>
          <w:lang w:val="en-US"/>
        </w:rPr>
      </w:pPr>
      <w:r w:rsidRPr="00850EC7">
        <w:rPr>
          <w:rFonts w:ascii="Times New Roman" w:eastAsia="Times New Roman" w:hAnsi="Times New Roman" w:cs="Times New Roman"/>
          <w:lang w:val="en-US"/>
        </w:rPr>
        <w:t>To be committed to high standard work and accuracy.</w:t>
      </w:r>
    </w:p>
    <w:p w:rsidR="001752E6" w:rsidRPr="00850EC7" w:rsidRDefault="001752E6" w:rsidP="00980876">
      <w:pPr>
        <w:pStyle w:val="Listaszerbekezds"/>
        <w:widowControl w:val="0"/>
        <w:numPr>
          <w:ilvl w:val="0"/>
          <w:numId w:val="563"/>
        </w:numPr>
        <w:spacing w:before="120" w:after="120" w:line="240" w:lineRule="auto"/>
        <w:jc w:val="both"/>
        <w:rPr>
          <w:rFonts w:ascii="Times New Roman" w:eastAsia="Times New Roman" w:hAnsi="Times New Roman" w:cs="Times New Roman"/>
          <w:lang w:val="en-US"/>
        </w:rPr>
      </w:pPr>
      <w:r w:rsidRPr="00850EC7">
        <w:rPr>
          <w:rFonts w:ascii="Times New Roman" w:eastAsia="Times New Roman" w:hAnsi="Times New Roman" w:cs="Times New Roman"/>
          <w:lang w:val="en-US"/>
        </w:rPr>
        <w:t>To be able to recognize the advantages and opportunities offered by well-structured activities and to be seeking to understand the logical connections among logistic activities.</w:t>
      </w:r>
    </w:p>
    <w:p w:rsidR="001752E6" w:rsidRPr="00850EC7" w:rsidRDefault="001752E6" w:rsidP="00980876">
      <w:pPr>
        <w:pStyle w:val="Listaszerbekezds"/>
        <w:widowControl w:val="0"/>
        <w:numPr>
          <w:ilvl w:val="0"/>
          <w:numId w:val="563"/>
        </w:numPr>
        <w:spacing w:before="120" w:after="120" w:line="240" w:lineRule="auto"/>
        <w:jc w:val="both"/>
        <w:rPr>
          <w:rFonts w:ascii="Times New Roman" w:eastAsia="Times New Roman" w:hAnsi="Times New Roman" w:cs="Times New Roman"/>
          <w:lang w:val="en-US"/>
        </w:rPr>
      </w:pPr>
      <w:r w:rsidRPr="00850EC7">
        <w:rPr>
          <w:rFonts w:ascii="Times New Roman" w:eastAsia="Times New Roman" w:hAnsi="Times New Roman" w:cs="Times New Roman"/>
          <w:lang w:val="en-US"/>
        </w:rPr>
        <w:t>To be characterized by efficiency-based attitude.</w:t>
      </w:r>
    </w:p>
    <w:p w:rsidR="001752E6" w:rsidRPr="00850EC7" w:rsidRDefault="001752E6" w:rsidP="001752E6">
      <w:pPr>
        <w:widowControl w:val="0"/>
        <w:spacing w:before="120" w:after="120" w:line="240" w:lineRule="auto"/>
        <w:ind w:left="426"/>
        <w:jc w:val="both"/>
        <w:rPr>
          <w:rFonts w:ascii="Times New Roman" w:eastAsia="Times New Roman" w:hAnsi="Times New Roman" w:cs="Times New Roman"/>
          <w:lang w:val="en-US" w:eastAsia="hu-HU"/>
        </w:rPr>
      </w:pPr>
      <w:r w:rsidRPr="00850EC7">
        <w:rPr>
          <w:rFonts w:ascii="Times New Roman" w:eastAsia="Times New Roman" w:hAnsi="Times New Roman" w:cs="Times New Roman"/>
          <w:b/>
          <w:lang w:val="en-US"/>
        </w:rPr>
        <w:t xml:space="preserve">Autonomy and responsibility: </w:t>
      </w:r>
    </w:p>
    <w:p w:rsidR="001752E6" w:rsidRPr="00CF3FBC" w:rsidRDefault="001752E6" w:rsidP="00980876">
      <w:pPr>
        <w:pStyle w:val="Listaszerbekezds"/>
        <w:widowControl w:val="0"/>
        <w:numPr>
          <w:ilvl w:val="0"/>
          <w:numId w:val="563"/>
        </w:numPr>
        <w:spacing w:before="120" w:after="120" w:line="240" w:lineRule="auto"/>
        <w:jc w:val="both"/>
        <w:rPr>
          <w:rFonts w:ascii="Times New Roman" w:eastAsia="Times New Roman" w:hAnsi="Times New Roman" w:cs="Times New Roman"/>
          <w:lang w:val="en-US"/>
        </w:rPr>
      </w:pPr>
      <w:r w:rsidRPr="00850EC7">
        <w:rPr>
          <w:rFonts w:ascii="Times New Roman" w:eastAsia="Times New Roman" w:hAnsi="Times New Roman" w:cs="Times New Roman"/>
          <w:bCs/>
          <w:lang w:val="en-US"/>
        </w:rPr>
        <w:t xml:space="preserve">To </w:t>
      </w:r>
      <w:r w:rsidRPr="00CF3FBC">
        <w:rPr>
          <w:rFonts w:ascii="Times New Roman" w:eastAsia="Times New Roman" w:hAnsi="Times New Roman" w:cs="Times New Roman"/>
          <w:lang w:val="en-US"/>
        </w:rPr>
        <w:t>have intention to cooperate and coordinate with other professions in the daily tasks.</w:t>
      </w:r>
    </w:p>
    <w:p w:rsidR="001752E6" w:rsidRPr="00850EC7" w:rsidRDefault="001752E6" w:rsidP="00980876">
      <w:pPr>
        <w:pStyle w:val="Listaszerbekezds"/>
        <w:widowControl w:val="0"/>
        <w:numPr>
          <w:ilvl w:val="0"/>
          <w:numId w:val="563"/>
        </w:numPr>
        <w:spacing w:before="120" w:after="120" w:line="240" w:lineRule="auto"/>
        <w:jc w:val="both"/>
        <w:rPr>
          <w:rFonts w:ascii="Times New Roman" w:eastAsia="Times New Roman" w:hAnsi="Times New Roman" w:cs="Times New Roman"/>
          <w:lang w:val="en-US"/>
        </w:rPr>
      </w:pPr>
      <w:r w:rsidRPr="00CF3FBC">
        <w:rPr>
          <w:rFonts w:ascii="Times New Roman" w:eastAsia="Times New Roman" w:hAnsi="Times New Roman" w:cs="Times New Roman"/>
          <w:lang w:val="en-US"/>
        </w:rPr>
        <w:t>To po</w:t>
      </w:r>
      <w:r w:rsidRPr="00850EC7">
        <w:rPr>
          <w:rFonts w:ascii="Times New Roman" w:eastAsia="Times New Roman" w:hAnsi="Times New Roman" w:cs="Times New Roman"/>
          <w:bCs/>
          <w:lang w:val="en-US"/>
        </w:rPr>
        <w:t>ssess system-based approach towards professional tasks and challenges.</w:t>
      </w:r>
    </w:p>
    <w:p w:rsidR="001752E6" w:rsidRPr="00850EC7" w:rsidRDefault="001752E6" w:rsidP="00980876">
      <w:pPr>
        <w:widowControl w:val="0"/>
        <w:numPr>
          <w:ilvl w:val="0"/>
          <w:numId w:val="562"/>
        </w:numPr>
        <w:spacing w:before="120" w:after="120" w:line="240" w:lineRule="auto"/>
        <w:ind w:left="426" w:hanging="142"/>
        <w:jc w:val="both"/>
        <w:rPr>
          <w:rFonts w:ascii="Times New Roman" w:eastAsia="Times New Roman" w:hAnsi="Times New Roman" w:cs="Times New Roman"/>
          <w:bCs/>
          <w:lang w:val="en-US"/>
        </w:rPr>
      </w:pPr>
      <w:r w:rsidRPr="00850EC7">
        <w:rPr>
          <w:rFonts w:ascii="Times New Roman" w:eastAsia="Times New Roman" w:hAnsi="Times New Roman" w:cs="Times New Roman"/>
          <w:b/>
          <w:bCs/>
          <w:lang w:val="en-US"/>
        </w:rPr>
        <w:t xml:space="preserve">Required previous studies: </w:t>
      </w:r>
      <w:r w:rsidRPr="00850EC7">
        <w:rPr>
          <w:rFonts w:ascii="Times New Roman" w:eastAsia="Times New Roman" w:hAnsi="Times New Roman" w:cs="Times New Roman"/>
          <w:lang w:val="en-US" w:eastAsia="hu-HU"/>
        </w:rPr>
        <w:t>-</w:t>
      </w:r>
      <w:r w:rsidRPr="00850EC7">
        <w:rPr>
          <w:rFonts w:ascii="Times New Roman" w:eastAsia="Times New Roman" w:hAnsi="Times New Roman" w:cs="Times New Roman"/>
          <w:bCs/>
          <w:lang w:val="en-US"/>
        </w:rPr>
        <w:t xml:space="preserve"> </w:t>
      </w:r>
    </w:p>
    <w:p w:rsidR="00CF3FBC" w:rsidRDefault="00CF3FBC">
      <w:pPr>
        <w:spacing w:after="200" w:line="276" w:lineRule="auto"/>
        <w:rPr>
          <w:rFonts w:ascii="Times New Roman" w:eastAsia="Times New Roman" w:hAnsi="Times New Roman" w:cs="Times New Roman"/>
          <w:b/>
          <w:bCs/>
          <w:lang w:val="en-US"/>
        </w:rPr>
      </w:pPr>
      <w:r>
        <w:rPr>
          <w:rFonts w:ascii="Times New Roman" w:eastAsia="Times New Roman" w:hAnsi="Times New Roman" w:cs="Times New Roman"/>
          <w:b/>
          <w:bCs/>
          <w:lang w:val="en-US"/>
        </w:rPr>
        <w:br w:type="page"/>
      </w:r>
    </w:p>
    <w:p w:rsidR="001752E6" w:rsidRPr="00850EC7" w:rsidRDefault="001752E6" w:rsidP="00980876">
      <w:pPr>
        <w:widowControl w:val="0"/>
        <w:numPr>
          <w:ilvl w:val="0"/>
          <w:numId w:val="562"/>
        </w:numPr>
        <w:spacing w:before="120" w:after="120" w:line="240" w:lineRule="auto"/>
        <w:ind w:left="426" w:hanging="142"/>
        <w:jc w:val="both"/>
        <w:rPr>
          <w:rFonts w:ascii="Times New Roman" w:eastAsia="Times New Roman" w:hAnsi="Times New Roman" w:cs="Times New Roman"/>
          <w:b/>
          <w:bCs/>
          <w:lang w:val="en-US"/>
        </w:rPr>
      </w:pPr>
      <w:r w:rsidRPr="00850EC7">
        <w:rPr>
          <w:rFonts w:ascii="Times New Roman" w:eastAsia="Times New Roman" w:hAnsi="Times New Roman" w:cs="Times New Roman"/>
          <w:b/>
          <w:bCs/>
          <w:lang w:val="en-US"/>
        </w:rPr>
        <w:lastRenderedPageBreak/>
        <w:t>The syllabus of the subject:</w:t>
      </w:r>
    </w:p>
    <w:p w:rsidR="001752E6" w:rsidRPr="00850EC7" w:rsidRDefault="001752E6" w:rsidP="00980876">
      <w:pPr>
        <w:widowControl w:val="0"/>
        <w:numPr>
          <w:ilvl w:val="1"/>
          <w:numId w:val="562"/>
        </w:numPr>
        <w:tabs>
          <w:tab w:val="left" w:pos="709"/>
          <w:tab w:val="left" w:pos="993"/>
        </w:tabs>
        <w:spacing w:before="120" w:after="120" w:line="240" w:lineRule="auto"/>
        <w:ind w:left="993" w:hanging="567"/>
        <w:jc w:val="both"/>
        <w:rPr>
          <w:rFonts w:ascii="Times New Roman" w:eastAsia="Times New Roman" w:hAnsi="Times New Roman" w:cs="Times New Roman"/>
          <w:lang w:val="en-US"/>
        </w:rPr>
      </w:pPr>
      <w:r w:rsidRPr="00850EC7">
        <w:rPr>
          <w:rFonts w:ascii="Times New Roman" w:eastAsia="Times New Roman" w:hAnsi="Times New Roman" w:cs="Times New Roman"/>
          <w:lang w:val="en-US"/>
        </w:rPr>
        <w:t>Processes and effects of globalization.</w:t>
      </w:r>
    </w:p>
    <w:p w:rsidR="001752E6" w:rsidRPr="00850EC7" w:rsidRDefault="001752E6" w:rsidP="00980876">
      <w:pPr>
        <w:widowControl w:val="0"/>
        <w:numPr>
          <w:ilvl w:val="1"/>
          <w:numId w:val="562"/>
        </w:numPr>
        <w:tabs>
          <w:tab w:val="left" w:pos="709"/>
          <w:tab w:val="left" w:pos="993"/>
        </w:tabs>
        <w:spacing w:before="120" w:after="120" w:line="240" w:lineRule="auto"/>
        <w:ind w:left="993" w:hanging="567"/>
        <w:jc w:val="both"/>
        <w:rPr>
          <w:rFonts w:ascii="Times New Roman" w:eastAsia="Times New Roman" w:hAnsi="Times New Roman" w:cs="Times New Roman"/>
          <w:lang w:val="en-US"/>
        </w:rPr>
      </w:pPr>
      <w:r w:rsidRPr="00850EC7">
        <w:rPr>
          <w:rFonts w:ascii="Times New Roman" w:eastAsia="Times New Roman" w:hAnsi="Times New Roman" w:cs="Times New Roman"/>
          <w:lang w:val="en-US"/>
        </w:rPr>
        <w:t>Interconnections among national economies. Balance of payment, trade of goods and services, flow of production factors and technology.</w:t>
      </w:r>
    </w:p>
    <w:p w:rsidR="001752E6" w:rsidRPr="00850EC7" w:rsidRDefault="001752E6" w:rsidP="00980876">
      <w:pPr>
        <w:widowControl w:val="0"/>
        <w:numPr>
          <w:ilvl w:val="1"/>
          <w:numId w:val="562"/>
        </w:numPr>
        <w:tabs>
          <w:tab w:val="left" w:pos="709"/>
          <w:tab w:val="left" w:pos="993"/>
        </w:tabs>
        <w:spacing w:before="120" w:after="120" w:line="240" w:lineRule="auto"/>
        <w:ind w:left="993" w:hanging="567"/>
        <w:jc w:val="both"/>
        <w:rPr>
          <w:rFonts w:ascii="Times New Roman" w:eastAsia="Times New Roman" w:hAnsi="Times New Roman" w:cs="Times New Roman"/>
          <w:lang w:val="en-US"/>
        </w:rPr>
      </w:pPr>
      <w:r w:rsidRPr="00850EC7">
        <w:rPr>
          <w:rFonts w:ascii="Times New Roman" w:eastAsia="Times New Roman" w:hAnsi="Times New Roman" w:cs="Times New Roman"/>
          <w:bCs/>
          <w:lang w:val="en-US"/>
        </w:rPr>
        <w:t>Supranational institutions in the global economic system and their tasks.</w:t>
      </w:r>
    </w:p>
    <w:p w:rsidR="001752E6" w:rsidRPr="00850EC7" w:rsidRDefault="001752E6" w:rsidP="00980876">
      <w:pPr>
        <w:widowControl w:val="0"/>
        <w:numPr>
          <w:ilvl w:val="1"/>
          <w:numId w:val="562"/>
        </w:numPr>
        <w:tabs>
          <w:tab w:val="left" w:pos="709"/>
          <w:tab w:val="left" w:pos="993"/>
        </w:tabs>
        <w:spacing w:before="120" w:after="120" w:line="240" w:lineRule="auto"/>
        <w:ind w:left="993" w:hanging="567"/>
        <w:jc w:val="both"/>
        <w:rPr>
          <w:rFonts w:ascii="Times New Roman" w:eastAsia="Times New Roman" w:hAnsi="Times New Roman" w:cs="Times New Roman"/>
          <w:lang w:val="en-US"/>
        </w:rPr>
      </w:pPr>
      <w:r w:rsidRPr="00850EC7">
        <w:rPr>
          <w:rFonts w:ascii="Times New Roman" w:eastAsia="Times New Roman" w:hAnsi="Times New Roman" w:cs="Times New Roman"/>
          <w:bCs/>
          <w:lang w:val="en-US"/>
        </w:rPr>
        <w:t>Development inequalities, asymmetries, interdependencies.</w:t>
      </w:r>
    </w:p>
    <w:p w:rsidR="001752E6" w:rsidRPr="00850EC7" w:rsidRDefault="001752E6" w:rsidP="00980876">
      <w:pPr>
        <w:widowControl w:val="0"/>
        <w:numPr>
          <w:ilvl w:val="1"/>
          <w:numId w:val="562"/>
        </w:numPr>
        <w:tabs>
          <w:tab w:val="left" w:pos="709"/>
          <w:tab w:val="left" w:pos="993"/>
        </w:tabs>
        <w:spacing w:before="120" w:after="120" w:line="240" w:lineRule="auto"/>
        <w:ind w:left="993" w:hanging="567"/>
        <w:jc w:val="both"/>
        <w:rPr>
          <w:rFonts w:ascii="Times New Roman" w:eastAsia="Times New Roman" w:hAnsi="Times New Roman" w:cs="Times New Roman"/>
          <w:lang w:val="en-US"/>
        </w:rPr>
      </w:pPr>
      <w:r w:rsidRPr="00850EC7">
        <w:rPr>
          <w:rFonts w:ascii="Times New Roman" w:eastAsia="Times New Roman" w:hAnsi="Times New Roman" w:cs="Times New Roman"/>
          <w:lang w:val="en-US"/>
        </w:rPr>
        <w:t>Integration economics. Types and levels of regional economic integrations</w:t>
      </w:r>
      <w:r w:rsidRPr="00850EC7">
        <w:rPr>
          <w:rFonts w:ascii="Times New Roman" w:eastAsia="Times New Roman" w:hAnsi="Times New Roman" w:cs="Times New Roman"/>
          <w:bCs/>
          <w:lang w:val="en-US"/>
        </w:rPr>
        <w:t>. The questions and problems of the European integration.</w:t>
      </w:r>
    </w:p>
    <w:p w:rsidR="001752E6" w:rsidRPr="00850EC7" w:rsidRDefault="001752E6" w:rsidP="00980876">
      <w:pPr>
        <w:widowControl w:val="0"/>
        <w:numPr>
          <w:ilvl w:val="0"/>
          <w:numId w:val="562"/>
        </w:numPr>
        <w:spacing w:before="120" w:after="120" w:line="240" w:lineRule="auto"/>
        <w:ind w:left="426" w:hanging="142"/>
        <w:jc w:val="both"/>
        <w:rPr>
          <w:rFonts w:ascii="Times New Roman" w:eastAsia="Times New Roman" w:hAnsi="Times New Roman" w:cs="Times New Roman"/>
          <w:bCs/>
          <w:lang w:val="en-US"/>
        </w:rPr>
      </w:pPr>
      <w:r w:rsidRPr="00850EC7">
        <w:rPr>
          <w:rFonts w:ascii="Times New Roman" w:eastAsia="Times New Roman" w:hAnsi="Times New Roman" w:cs="Times New Roman"/>
          <w:b/>
          <w:bCs/>
          <w:lang w:val="en-US"/>
        </w:rPr>
        <w:t xml:space="preserve">The frequency of offering the subject/its position in the curriculum of the term: </w:t>
      </w:r>
      <w:r w:rsidRPr="00850EC7">
        <w:rPr>
          <w:rFonts w:ascii="Times New Roman" w:eastAsia="Times New Roman" w:hAnsi="Times New Roman" w:cs="Times New Roman"/>
          <w:lang w:val="en-US" w:eastAsia="hu-HU"/>
        </w:rPr>
        <w:t xml:space="preserve">in </w:t>
      </w:r>
      <w:r w:rsidRPr="00850EC7">
        <w:rPr>
          <w:rFonts w:ascii="Times New Roman" w:eastAsia="Times New Roman" w:hAnsi="Times New Roman" w:cs="Times New Roman"/>
          <w:bCs/>
          <w:lang w:val="en-US"/>
        </w:rPr>
        <w:t>autumn semester</w:t>
      </w:r>
    </w:p>
    <w:p w:rsidR="001752E6" w:rsidRPr="00850EC7" w:rsidRDefault="001752E6" w:rsidP="00980876">
      <w:pPr>
        <w:widowControl w:val="0"/>
        <w:numPr>
          <w:ilvl w:val="0"/>
          <w:numId w:val="562"/>
        </w:numPr>
        <w:spacing w:before="120" w:after="120" w:line="240" w:lineRule="auto"/>
        <w:ind w:left="426" w:hanging="142"/>
        <w:jc w:val="both"/>
        <w:rPr>
          <w:rFonts w:ascii="Times New Roman" w:eastAsia="Times New Roman" w:hAnsi="Times New Roman" w:cs="Times New Roman"/>
          <w:bCs/>
          <w:lang w:val="en-US"/>
        </w:rPr>
      </w:pPr>
      <w:r w:rsidRPr="00850EC7">
        <w:rPr>
          <w:rFonts w:ascii="Times New Roman" w:eastAsia="Times New Roman" w:hAnsi="Times New Roman" w:cs="Times New Roman"/>
          <w:b/>
          <w:bCs/>
          <w:lang w:val="en-US"/>
        </w:rPr>
        <w:t>Requirements of attendance, acceptable absence, opportunity for making up missed classes:</w:t>
      </w:r>
    </w:p>
    <w:p w:rsidR="001752E6" w:rsidRPr="00850EC7" w:rsidRDefault="001752E6" w:rsidP="001752E6">
      <w:pPr>
        <w:widowControl w:val="0"/>
        <w:spacing w:before="120" w:after="120" w:line="240" w:lineRule="auto"/>
        <w:ind w:left="426"/>
        <w:jc w:val="both"/>
        <w:rPr>
          <w:rFonts w:ascii="Times New Roman" w:eastAsia="Times New Roman" w:hAnsi="Times New Roman" w:cs="Times New Roman"/>
          <w:bCs/>
          <w:lang w:val="en-US"/>
        </w:rPr>
      </w:pPr>
      <w:r w:rsidRPr="00850EC7">
        <w:rPr>
          <w:rFonts w:ascii="Times New Roman" w:eastAsia="Times New Roman" w:hAnsi="Times New Roman" w:cs="Times New Roman"/>
          <w:lang w:val="en-US" w:eastAsia="hu-HU"/>
        </w:rPr>
        <w:t xml:space="preserve">Attendance is </w:t>
      </w:r>
      <w:r>
        <w:rPr>
          <w:rFonts w:ascii="Times New Roman" w:eastAsia="Times New Roman" w:hAnsi="Times New Roman" w:cs="Times New Roman"/>
          <w:lang w:val="en-US" w:eastAsia="hu-HU"/>
        </w:rPr>
        <w:t>suggested,</w:t>
      </w:r>
      <w:r w:rsidRPr="00850EC7">
        <w:rPr>
          <w:rFonts w:ascii="Times New Roman" w:eastAsia="Times New Roman" w:hAnsi="Times New Roman" w:cs="Times New Roman"/>
          <w:lang w:val="en-US" w:eastAsia="hu-HU"/>
        </w:rPr>
        <w:t xml:space="preserve"> but not compulsory, except of the seminar lessons. </w:t>
      </w:r>
    </w:p>
    <w:p w:rsidR="001752E6" w:rsidRPr="00850EC7" w:rsidRDefault="001752E6" w:rsidP="00980876">
      <w:pPr>
        <w:widowControl w:val="0"/>
        <w:numPr>
          <w:ilvl w:val="0"/>
          <w:numId w:val="562"/>
        </w:numPr>
        <w:spacing w:before="120" w:after="120" w:line="240" w:lineRule="auto"/>
        <w:ind w:left="426" w:hanging="142"/>
        <w:jc w:val="both"/>
        <w:rPr>
          <w:rFonts w:ascii="Times New Roman" w:eastAsia="Times New Roman" w:hAnsi="Times New Roman" w:cs="Times New Roman"/>
          <w:bCs/>
          <w:lang w:val="en-US"/>
        </w:rPr>
      </w:pPr>
      <w:r w:rsidRPr="00850EC7">
        <w:rPr>
          <w:rFonts w:ascii="Times New Roman" w:eastAsia="Times New Roman" w:hAnsi="Times New Roman" w:cs="Times New Roman"/>
          <w:b/>
          <w:lang w:val="en-US"/>
        </w:rPr>
        <w:t>Term assignments, testing knowledge:</w:t>
      </w:r>
    </w:p>
    <w:p w:rsidR="001752E6" w:rsidRPr="00EA636C" w:rsidRDefault="001752E6" w:rsidP="001752E6">
      <w:pPr>
        <w:pStyle w:val="Listaszerbekezds"/>
        <w:widowControl w:val="0"/>
        <w:tabs>
          <w:tab w:val="left" w:pos="993"/>
        </w:tabs>
        <w:spacing w:before="120" w:after="120" w:line="240" w:lineRule="auto"/>
        <w:ind w:left="426"/>
        <w:jc w:val="both"/>
        <w:rPr>
          <w:rFonts w:ascii="Times New Roman" w:eastAsia="Times New Roman" w:hAnsi="Times New Roman" w:cs="Times New Roman"/>
          <w:lang w:val="en-US"/>
        </w:rPr>
      </w:pPr>
      <w:r w:rsidRPr="00EA636C">
        <w:rPr>
          <w:rFonts w:ascii="Times New Roman" w:eastAsia="Times New Roman" w:hAnsi="Times New Roman" w:cs="Times New Roman"/>
          <w:lang w:val="en-US" w:eastAsia="hu-HU"/>
        </w:rPr>
        <w:t xml:space="preserve">Requirement is built upon three pillars: 1. Taking part in the seminar debates about actual world economic events, news. 2. Creating a PPT presentation about the home country’s situation with the help of competitiveness reports and the usage of national and international databases. </w:t>
      </w:r>
      <w:r w:rsidRPr="00EA636C">
        <w:rPr>
          <w:rFonts w:ascii="Times New Roman" w:eastAsia="Times New Roman" w:hAnsi="Times New Roman" w:cs="Times New Roman"/>
          <w:lang w:val="en-US"/>
        </w:rPr>
        <w:t>3. Writing a short written test.</w:t>
      </w:r>
    </w:p>
    <w:p w:rsidR="001752E6" w:rsidRPr="00850EC7" w:rsidRDefault="001752E6" w:rsidP="00980876">
      <w:pPr>
        <w:widowControl w:val="0"/>
        <w:numPr>
          <w:ilvl w:val="0"/>
          <w:numId w:val="562"/>
        </w:numPr>
        <w:spacing w:before="120" w:after="120" w:line="240" w:lineRule="auto"/>
        <w:ind w:left="426" w:hanging="142"/>
        <w:jc w:val="both"/>
        <w:rPr>
          <w:rFonts w:ascii="Times New Roman" w:eastAsia="Times New Roman" w:hAnsi="Times New Roman" w:cs="Times New Roman"/>
          <w:b/>
          <w:bCs/>
          <w:lang w:val="en-US"/>
        </w:rPr>
      </w:pPr>
      <w:r w:rsidRPr="00850EC7">
        <w:rPr>
          <w:rFonts w:ascii="Times New Roman" w:eastAsia="Times New Roman" w:hAnsi="Times New Roman" w:cs="Times New Roman"/>
          <w:b/>
          <w:bCs/>
          <w:lang w:val="en-US"/>
        </w:rPr>
        <w:t xml:space="preserve">The exact conditions of testing knowledge, obtaining signature or credits: </w:t>
      </w:r>
    </w:p>
    <w:p w:rsidR="001752E6" w:rsidRPr="00850EC7" w:rsidRDefault="001752E6" w:rsidP="00980876">
      <w:pPr>
        <w:widowControl w:val="0"/>
        <w:numPr>
          <w:ilvl w:val="1"/>
          <w:numId w:val="562"/>
        </w:numPr>
        <w:tabs>
          <w:tab w:val="left" w:pos="709"/>
          <w:tab w:val="left" w:pos="993"/>
        </w:tabs>
        <w:spacing w:before="120" w:after="120" w:line="240" w:lineRule="auto"/>
        <w:ind w:left="426" w:firstLine="0"/>
        <w:jc w:val="both"/>
        <w:rPr>
          <w:rFonts w:ascii="Times New Roman" w:eastAsia="Times New Roman" w:hAnsi="Times New Roman" w:cs="Times New Roman"/>
          <w:lang w:val="en-US"/>
        </w:rPr>
      </w:pPr>
      <w:r w:rsidRPr="00850EC7">
        <w:rPr>
          <w:rFonts w:ascii="Times New Roman" w:eastAsia="Times New Roman" w:hAnsi="Times New Roman" w:cs="Times New Roman"/>
          <w:b/>
          <w:lang w:val="en-US"/>
        </w:rPr>
        <w:t>The exact conditions of obtaining signature:</w:t>
      </w:r>
    </w:p>
    <w:p w:rsidR="001752E6" w:rsidRPr="00850EC7" w:rsidRDefault="001752E6" w:rsidP="001752E6">
      <w:pPr>
        <w:widowControl w:val="0"/>
        <w:tabs>
          <w:tab w:val="left" w:pos="993"/>
        </w:tabs>
        <w:spacing w:before="120" w:after="120" w:line="240" w:lineRule="auto"/>
        <w:ind w:left="426"/>
        <w:jc w:val="both"/>
        <w:rPr>
          <w:rFonts w:ascii="Times New Roman" w:eastAsia="Times New Roman" w:hAnsi="Times New Roman" w:cs="Times New Roman"/>
          <w:lang w:val="en-US"/>
        </w:rPr>
      </w:pPr>
      <w:r>
        <w:rPr>
          <w:rFonts w:ascii="Times New Roman" w:eastAsia="Times New Roman" w:hAnsi="Times New Roman" w:cs="Times New Roman"/>
          <w:lang w:val="en-US"/>
        </w:rPr>
        <w:t>Meeting with the requirements written in the point 14</w:t>
      </w:r>
      <w:r w:rsidRPr="00EA636C">
        <w:rPr>
          <w:rFonts w:ascii="Times New Roman" w:eastAsia="Times New Roman" w:hAnsi="Times New Roman" w:cs="Times New Roman"/>
          <w:vertAlign w:val="superscript"/>
          <w:lang w:val="en-US"/>
        </w:rPr>
        <w:t>th</w:t>
      </w:r>
      <w:r>
        <w:rPr>
          <w:rFonts w:ascii="Times New Roman" w:eastAsia="Times New Roman" w:hAnsi="Times New Roman" w:cs="Times New Roman"/>
          <w:lang w:val="en-US"/>
        </w:rPr>
        <w:t>.</w:t>
      </w:r>
    </w:p>
    <w:p w:rsidR="001752E6" w:rsidRPr="00850EC7" w:rsidRDefault="001752E6" w:rsidP="00980876">
      <w:pPr>
        <w:widowControl w:val="0"/>
        <w:numPr>
          <w:ilvl w:val="1"/>
          <w:numId w:val="562"/>
        </w:numPr>
        <w:tabs>
          <w:tab w:val="left" w:pos="709"/>
          <w:tab w:val="left" w:pos="993"/>
        </w:tabs>
        <w:spacing w:before="120" w:after="120" w:line="240" w:lineRule="auto"/>
        <w:ind w:left="426" w:firstLine="0"/>
        <w:jc w:val="both"/>
        <w:rPr>
          <w:rFonts w:ascii="Times New Roman" w:eastAsia="Times New Roman" w:hAnsi="Times New Roman" w:cs="Times New Roman"/>
          <w:lang w:val="en-US"/>
        </w:rPr>
      </w:pPr>
      <w:r w:rsidRPr="00850EC7">
        <w:rPr>
          <w:rFonts w:ascii="Times New Roman" w:eastAsia="Times New Roman" w:hAnsi="Times New Roman" w:cs="Times New Roman"/>
          <w:b/>
          <w:lang w:val="en-US"/>
        </w:rPr>
        <w:t>Evaluation:</w:t>
      </w:r>
    </w:p>
    <w:p w:rsidR="001752E6" w:rsidRPr="00850EC7" w:rsidRDefault="001752E6" w:rsidP="001752E6">
      <w:pPr>
        <w:widowControl w:val="0"/>
        <w:tabs>
          <w:tab w:val="left" w:pos="993"/>
          <w:tab w:val="num" w:pos="3977"/>
        </w:tabs>
        <w:spacing w:before="120" w:after="120" w:line="240" w:lineRule="auto"/>
        <w:ind w:left="426"/>
        <w:jc w:val="both"/>
        <w:rPr>
          <w:rFonts w:ascii="Times New Roman" w:eastAsia="Times New Roman" w:hAnsi="Times New Roman" w:cs="Times New Roman"/>
          <w:lang w:val="en-US"/>
        </w:rPr>
      </w:pPr>
      <w:r w:rsidRPr="00850EC7">
        <w:rPr>
          <w:rFonts w:ascii="Times New Roman" w:eastAsia="Times New Roman" w:hAnsi="Times New Roman" w:cs="Times New Roman"/>
          <w:lang w:val="en-US"/>
        </w:rPr>
        <w:t>Evaluation is in 5-point grading scale. Grading involves the quality of the presentation and the result of the written exam.</w:t>
      </w:r>
    </w:p>
    <w:p w:rsidR="001752E6" w:rsidRPr="00850EC7" w:rsidRDefault="001752E6" w:rsidP="00980876">
      <w:pPr>
        <w:widowControl w:val="0"/>
        <w:numPr>
          <w:ilvl w:val="1"/>
          <w:numId w:val="562"/>
        </w:numPr>
        <w:tabs>
          <w:tab w:val="left" w:pos="709"/>
          <w:tab w:val="left" w:pos="993"/>
        </w:tabs>
        <w:spacing w:before="120" w:after="120" w:line="240" w:lineRule="auto"/>
        <w:ind w:left="426" w:firstLine="0"/>
        <w:jc w:val="both"/>
        <w:rPr>
          <w:rFonts w:ascii="Times New Roman" w:eastAsia="Times New Roman" w:hAnsi="Times New Roman" w:cs="Times New Roman"/>
          <w:lang w:val="en-US"/>
        </w:rPr>
      </w:pPr>
      <w:r w:rsidRPr="00850EC7">
        <w:rPr>
          <w:rFonts w:ascii="Times New Roman" w:eastAsia="Times New Roman" w:hAnsi="Times New Roman" w:cs="Times New Roman"/>
          <w:b/>
          <w:lang w:val="en-US"/>
        </w:rPr>
        <w:t>The exact conditions of obtaining credits:</w:t>
      </w:r>
      <w:r w:rsidRPr="00850EC7">
        <w:rPr>
          <w:rFonts w:ascii="Times New Roman" w:eastAsia="Times New Roman" w:hAnsi="Times New Roman" w:cs="Times New Roman"/>
          <w:lang w:val="en-US"/>
        </w:rPr>
        <w:t xml:space="preserve"> </w:t>
      </w:r>
    </w:p>
    <w:p w:rsidR="001752E6" w:rsidRPr="00850EC7" w:rsidRDefault="001752E6" w:rsidP="001752E6">
      <w:pPr>
        <w:widowControl w:val="0"/>
        <w:tabs>
          <w:tab w:val="left" w:pos="993"/>
        </w:tabs>
        <w:spacing w:before="120" w:after="120" w:line="240" w:lineRule="auto"/>
        <w:ind w:left="426"/>
        <w:jc w:val="both"/>
        <w:rPr>
          <w:rFonts w:ascii="Times New Roman" w:eastAsia="Times New Roman" w:hAnsi="Times New Roman" w:cs="Times New Roman"/>
          <w:lang w:val="en-US"/>
        </w:rPr>
      </w:pPr>
      <w:r w:rsidRPr="00850EC7">
        <w:rPr>
          <w:rFonts w:ascii="Times New Roman" w:eastAsia="Times New Roman" w:hAnsi="Times New Roman" w:cs="Times New Roman"/>
          <w:lang w:val="en-US" w:eastAsia="hu-HU"/>
        </w:rPr>
        <w:t xml:space="preserve">Taking part on the seminars, presenting the homework and passing the written test. </w:t>
      </w:r>
    </w:p>
    <w:p w:rsidR="001752E6" w:rsidRPr="00850EC7" w:rsidRDefault="001752E6" w:rsidP="00980876">
      <w:pPr>
        <w:widowControl w:val="0"/>
        <w:numPr>
          <w:ilvl w:val="0"/>
          <w:numId w:val="562"/>
        </w:numPr>
        <w:spacing w:before="120" w:after="120" w:line="240" w:lineRule="auto"/>
        <w:ind w:left="426" w:hanging="142"/>
        <w:jc w:val="both"/>
        <w:rPr>
          <w:rFonts w:ascii="Times New Roman" w:eastAsia="Times New Roman" w:hAnsi="Times New Roman" w:cs="Times New Roman"/>
          <w:bCs/>
          <w:lang w:val="en-US"/>
        </w:rPr>
      </w:pPr>
      <w:r w:rsidRPr="00850EC7">
        <w:rPr>
          <w:rFonts w:ascii="Times New Roman" w:eastAsia="Times New Roman" w:hAnsi="Times New Roman" w:cs="Times New Roman"/>
          <w:b/>
          <w:bCs/>
          <w:lang w:val="en-US"/>
        </w:rPr>
        <w:t>Bibliography:</w:t>
      </w:r>
    </w:p>
    <w:p w:rsidR="001752E6" w:rsidRPr="00850EC7" w:rsidRDefault="001752E6" w:rsidP="00980876">
      <w:pPr>
        <w:widowControl w:val="0"/>
        <w:numPr>
          <w:ilvl w:val="1"/>
          <w:numId w:val="562"/>
        </w:numPr>
        <w:tabs>
          <w:tab w:val="left" w:pos="993"/>
        </w:tabs>
        <w:spacing w:before="120" w:after="120" w:line="240" w:lineRule="auto"/>
        <w:ind w:left="426" w:hanging="142"/>
        <w:jc w:val="both"/>
        <w:rPr>
          <w:rFonts w:ascii="Times New Roman" w:eastAsia="Times New Roman" w:hAnsi="Times New Roman" w:cs="Times New Roman"/>
          <w:bCs/>
          <w:lang w:val="en-US"/>
        </w:rPr>
      </w:pPr>
      <w:r w:rsidRPr="00850EC7">
        <w:rPr>
          <w:rFonts w:ascii="Times New Roman" w:eastAsia="Times New Roman" w:hAnsi="Times New Roman" w:cs="Times New Roman"/>
          <w:b/>
          <w:bCs/>
          <w:lang w:val="en-US"/>
        </w:rPr>
        <w:t>Compulsory readings:</w:t>
      </w:r>
    </w:p>
    <w:p w:rsidR="001752E6" w:rsidRPr="00CF3FBC" w:rsidRDefault="001752E6" w:rsidP="00980876">
      <w:pPr>
        <w:pStyle w:val="Listaszerbekezds"/>
        <w:widowControl w:val="0"/>
        <w:numPr>
          <w:ilvl w:val="0"/>
          <w:numId w:val="564"/>
        </w:numPr>
        <w:tabs>
          <w:tab w:val="left" w:pos="993"/>
          <w:tab w:val="num" w:pos="3977"/>
        </w:tabs>
        <w:spacing w:before="120" w:after="120" w:line="240" w:lineRule="auto"/>
        <w:jc w:val="both"/>
        <w:rPr>
          <w:rFonts w:ascii="Times New Roman" w:eastAsia="Times New Roman" w:hAnsi="Times New Roman" w:cs="Times New Roman"/>
          <w:bCs/>
          <w:lang w:val="en-US"/>
        </w:rPr>
      </w:pPr>
      <w:r w:rsidRPr="00CF3FBC">
        <w:rPr>
          <w:rFonts w:ascii="Times New Roman" w:eastAsia="Times New Roman" w:hAnsi="Times New Roman" w:cs="Times New Roman"/>
          <w:bCs/>
          <w:lang w:val="en-US"/>
        </w:rPr>
        <w:t xml:space="preserve">Balázs Taksás: </w:t>
      </w:r>
      <w:r w:rsidRPr="00CF3FBC">
        <w:rPr>
          <w:rFonts w:ascii="Times New Roman" w:eastAsia="Times New Roman" w:hAnsi="Times New Roman" w:cs="Times New Roman"/>
          <w:bCs/>
          <w:i/>
          <w:lang w:val="en-US"/>
        </w:rPr>
        <w:t>International Political Economy</w:t>
      </w:r>
      <w:r w:rsidRPr="00CF3FBC">
        <w:rPr>
          <w:rFonts w:ascii="Times New Roman" w:eastAsia="Times New Roman" w:hAnsi="Times New Roman" w:cs="Times New Roman"/>
          <w:bCs/>
          <w:lang w:val="en-US"/>
        </w:rPr>
        <w:t xml:space="preserve"> Electronic Teaching Material, University of Public Service</w:t>
      </w:r>
    </w:p>
    <w:p w:rsidR="001752E6" w:rsidRPr="00CF3FBC" w:rsidRDefault="001752E6" w:rsidP="00980876">
      <w:pPr>
        <w:pStyle w:val="Listaszerbekezds"/>
        <w:widowControl w:val="0"/>
        <w:numPr>
          <w:ilvl w:val="0"/>
          <w:numId w:val="564"/>
        </w:numPr>
        <w:tabs>
          <w:tab w:val="left" w:pos="993"/>
          <w:tab w:val="num" w:pos="3977"/>
        </w:tabs>
        <w:spacing w:before="120" w:after="120" w:line="240" w:lineRule="auto"/>
        <w:jc w:val="both"/>
        <w:rPr>
          <w:rFonts w:ascii="Times New Roman" w:eastAsia="Times New Roman" w:hAnsi="Times New Roman" w:cs="Times New Roman"/>
          <w:bCs/>
          <w:lang w:val="en-US"/>
        </w:rPr>
      </w:pPr>
      <w:r w:rsidRPr="00CF3FBC">
        <w:rPr>
          <w:rFonts w:ascii="Times New Roman" w:eastAsia="Times New Roman" w:hAnsi="Times New Roman" w:cs="Times New Roman"/>
          <w:bCs/>
          <w:lang w:val="en-US"/>
        </w:rPr>
        <w:t>Krugman, Paul R. - Obstfeld, Maurice: International Economics Pearson Education 8th Edition 2010. ISBN: 1408263661</w:t>
      </w:r>
    </w:p>
    <w:p w:rsidR="001752E6" w:rsidRPr="00850EC7" w:rsidRDefault="001752E6" w:rsidP="00980876">
      <w:pPr>
        <w:widowControl w:val="0"/>
        <w:numPr>
          <w:ilvl w:val="1"/>
          <w:numId w:val="562"/>
        </w:numPr>
        <w:tabs>
          <w:tab w:val="left" w:pos="993"/>
        </w:tabs>
        <w:spacing w:before="120" w:after="120" w:line="240" w:lineRule="auto"/>
        <w:ind w:left="426" w:hanging="142"/>
        <w:jc w:val="both"/>
        <w:rPr>
          <w:rFonts w:ascii="Times New Roman" w:eastAsia="Times New Roman" w:hAnsi="Times New Roman" w:cs="Times New Roman"/>
          <w:b/>
          <w:bCs/>
          <w:lang w:val="en-US"/>
        </w:rPr>
      </w:pPr>
      <w:r w:rsidRPr="00850EC7">
        <w:rPr>
          <w:rFonts w:ascii="Times New Roman" w:eastAsia="Times New Roman" w:hAnsi="Times New Roman" w:cs="Times New Roman"/>
          <w:b/>
          <w:bCs/>
          <w:lang w:val="en-US"/>
        </w:rPr>
        <w:t>Recommended readings:</w:t>
      </w:r>
    </w:p>
    <w:p w:rsidR="001752E6" w:rsidRPr="00CF3FBC" w:rsidRDefault="001752E6" w:rsidP="00980876">
      <w:pPr>
        <w:pStyle w:val="Listaszerbekezds"/>
        <w:widowControl w:val="0"/>
        <w:numPr>
          <w:ilvl w:val="0"/>
          <w:numId w:val="565"/>
        </w:numPr>
        <w:spacing w:before="120" w:after="120" w:line="240" w:lineRule="auto"/>
        <w:jc w:val="both"/>
        <w:rPr>
          <w:rFonts w:ascii="Times New Roman" w:eastAsia="Times New Roman" w:hAnsi="Times New Roman" w:cs="Times New Roman"/>
          <w:bCs/>
          <w:lang w:val="en-US"/>
        </w:rPr>
      </w:pPr>
      <w:r w:rsidRPr="00CF3FBC">
        <w:rPr>
          <w:rFonts w:ascii="Times New Roman" w:eastAsia="Times New Roman" w:hAnsi="Times New Roman" w:cs="Times New Roman"/>
          <w:lang w:val="en-US" w:eastAsia="hu-HU"/>
        </w:rPr>
        <w:t>Tamás Szentes: World economics 1-2. Akadémia Kiadó 2005. ISBN: 9630579677</w:t>
      </w:r>
    </w:p>
    <w:p w:rsidR="00CF3FBC" w:rsidRDefault="00CF3FBC" w:rsidP="001752E6">
      <w:pPr>
        <w:widowControl w:val="0"/>
        <w:spacing w:before="120" w:after="120" w:line="240" w:lineRule="auto"/>
        <w:jc w:val="both"/>
        <w:rPr>
          <w:rFonts w:ascii="Times New Roman" w:eastAsia="Times New Roman" w:hAnsi="Times New Roman" w:cs="Times New Roman"/>
          <w:bCs/>
          <w:lang w:val="en-US"/>
        </w:rPr>
      </w:pPr>
    </w:p>
    <w:p w:rsidR="001752E6" w:rsidRPr="00850EC7" w:rsidRDefault="001752E6" w:rsidP="00CF3FBC">
      <w:pPr>
        <w:widowControl w:val="0"/>
        <w:spacing w:before="120" w:after="120" w:line="240" w:lineRule="auto"/>
        <w:ind w:firstLine="426"/>
        <w:jc w:val="both"/>
        <w:rPr>
          <w:rFonts w:ascii="Times New Roman" w:eastAsia="Times New Roman" w:hAnsi="Times New Roman" w:cs="Times New Roman"/>
          <w:bCs/>
          <w:lang w:val="en-US"/>
        </w:rPr>
      </w:pPr>
      <w:r w:rsidRPr="00850EC7">
        <w:rPr>
          <w:rFonts w:ascii="Times New Roman" w:eastAsia="Times New Roman" w:hAnsi="Times New Roman" w:cs="Times New Roman"/>
          <w:bCs/>
          <w:lang w:val="en-US"/>
        </w:rPr>
        <w:t xml:space="preserve">Budapest, </w:t>
      </w:r>
      <w:r w:rsidRPr="00850EC7">
        <w:rPr>
          <w:rFonts w:ascii="Times New Roman" w:eastAsia="Times New Roman" w:hAnsi="Times New Roman" w:cs="Times New Roman"/>
          <w:lang w:val="en-US" w:eastAsia="hu-HU"/>
        </w:rPr>
        <w:t>09.03.2020.</w:t>
      </w:r>
    </w:p>
    <w:p w:rsidR="001752E6" w:rsidRPr="00850EC7" w:rsidRDefault="001752E6" w:rsidP="001752E6">
      <w:pPr>
        <w:widowControl w:val="0"/>
        <w:spacing w:before="120" w:after="120" w:line="240" w:lineRule="auto"/>
        <w:jc w:val="both"/>
        <w:rPr>
          <w:rFonts w:ascii="Times New Roman" w:eastAsia="Times New Roman" w:hAnsi="Times New Roman" w:cs="Times New Roman"/>
          <w:bCs/>
          <w:lang w:val="en-US"/>
        </w:rPr>
      </w:pPr>
    </w:p>
    <w:p w:rsidR="001752E6" w:rsidRPr="00850EC7" w:rsidRDefault="001752E6" w:rsidP="001752E6">
      <w:pPr>
        <w:widowControl w:val="0"/>
        <w:spacing w:after="0" w:line="240" w:lineRule="auto"/>
        <w:jc w:val="right"/>
        <w:rPr>
          <w:rFonts w:ascii="Times New Roman" w:hAnsi="Times New Roman" w:cs="Times New Roman"/>
          <w:bCs/>
          <w:lang w:val="en-US"/>
        </w:rPr>
      </w:pPr>
      <w:r w:rsidRPr="00850EC7">
        <w:rPr>
          <w:rFonts w:ascii="Times New Roman" w:hAnsi="Times New Roman" w:cs="Times New Roman"/>
          <w:bCs/>
          <w:lang w:val="en-US"/>
        </w:rPr>
        <w:t>Cpt. Balázs Taksás (PhD)</w:t>
      </w:r>
    </w:p>
    <w:p w:rsidR="001752E6" w:rsidRPr="00850EC7" w:rsidRDefault="001752E6" w:rsidP="001752E6">
      <w:pPr>
        <w:widowControl w:val="0"/>
        <w:spacing w:after="0" w:line="240" w:lineRule="auto"/>
        <w:jc w:val="center"/>
        <w:rPr>
          <w:rFonts w:ascii="Times New Roman" w:eastAsia="Times New Roman" w:hAnsi="Times New Roman" w:cs="Times New Roman"/>
          <w:bCs/>
          <w:lang w:val="en-US"/>
        </w:rPr>
      </w:pPr>
      <w:r w:rsidRPr="00850EC7">
        <w:rPr>
          <w:rFonts w:ascii="Times New Roman" w:hAnsi="Times New Roman" w:cs="Times New Roman"/>
          <w:bCs/>
          <w:lang w:val="en-US"/>
        </w:rPr>
        <w:t xml:space="preserve">                                                                                                                        associate professor</w:t>
      </w:r>
    </w:p>
    <w:p w:rsidR="001752E6" w:rsidRPr="00850EC7" w:rsidRDefault="001752E6" w:rsidP="001752E6">
      <w:pPr>
        <w:rPr>
          <w:lang w:val="en-US"/>
        </w:rPr>
      </w:pPr>
    </w:p>
    <w:p w:rsidR="00FB5F60" w:rsidRDefault="00FB5F60">
      <w:pPr>
        <w:spacing w:after="200" w:line="276" w:lineRule="auto"/>
        <w:rPr>
          <w:rFonts w:ascii="Times New Roman" w:hAnsi="Times New Roman" w:cs="Times New Roman"/>
        </w:rPr>
      </w:pPr>
      <w:r>
        <w:rPr>
          <w:rFonts w:ascii="Times New Roman" w:hAnsi="Times New Roman" w:cs="Times New Roman"/>
        </w:rPr>
        <w:br w:type="page"/>
      </w:r>
    </w:p>
    <w:tbl>
      <w:tblPr>
        <w:tblW w:w="9072" w:type="dxa"/>
        <w:tblInd w:w="113" w:type="dxa"/>
        <w:tblLook w:val="01E0" w:firstRow="1" w:lastRow="1" w:firstColumn="1" w:lastColumn="1" w:noHBand="0" w:noVBand="0"/>
      </w:tblPr>
      <w:tblGrid>
        <w:gridCol w:w="4855"/>
        <w:gridCol w:w="1620"/>
        <w:gridCol w:w="2597"/>
      </w:tblGrid>
      <w:tr w:rsidR="00FB5F60" w:rsidRPr="00850EC7" w:rsidTr="00E65CE8">
        <w:tc>
          <w:tcPr>
            <w:tcW w:w="4855" w:type="dxa"/>
            <w:tcBorders>
              <w:bottom w:val="single" w:sz="4" w:space="0" w:color="auto"/>
            </w:tcBorders>
          </w:tcPr>
          <w:p w:rsidR="00FB5F60" w:rsidRPr="00850EC7" w:rsidRDefault="00FB5F60" w:rsidP="00E65CE8">
            <w:pPr>
              <w:spacing w:after="0" w:line="240" w:lineRule="auto"/>
              <w:jc w:val="center"/>
              <w:rPr>
                <w:rFonts w:ascii="Times New Roman" w:eastAsia="Times New Roman" w:hAnsi="Times New Roman" w:cs="Times New Roman"/>
                <w:b/>
                <w:smallCaps/>
                <w:lang w:val="en-US" w:eastAsia="hu-HU"/>
              </w:rPr>
            </w:pPr>
            <w:r w:rsidRPr="00850EC7">
              <w:rPr>
                <w:rFonts w:ascii="Times New Roman" w:eastAsia="Times New Roman" w:hAnsi="Times New Roman" w:cs="Times New Roman"/>
                <w:b/>
                <w:smallCaps/>
                <w:lang w:val="en-US" w:eastAsia="hu-HU"/>
              </w:rPr>
              <w:lastRenderedPageBreak/>
              <w:t>UNIVERSITY OF PUBLIC SERVICE</w:t>
            </w:r>
          </w:p>
        </w:tc>
        <w:tc>
          <w:tcPr>
            <w:tcW w:w="1620" w:type="dxa"/>
          </w:tcPr>
          <w:p w:rsidR="00FB5F60" w:rsidRPr="00850EC7" w:rsidRDefault="00FB5F60" w:rsidP="00E65CE8">
            <w:pPr>
              <w:spacing w:after="0" w:line="240" w:lineRule="auto"/>
              <w:jc w:val="both"/>
              <w:rPr>
                <w:rFonts w:ascii="Times New Roman" w:eastAsia="Times New Roman" w:hAnsi="Times New Roman" w:cs="Times New Roman"/>
                <w:lang w:val="en-US" w:eastAsia="hu-HU"/>
              </w:rPr>
            </w:pPr>
          </w:p>
        </w:tc>
        <w:tc>
          <w:tcPr>
            <w:tcW w:w="2597" w:type="dxa"/>
          </w:tcPr>
          <w:p w:rsidR="00FB5F60" w:rsidRPr="00850EC7" w:rsidRDefault="00FB5F60" w:rsidP="00E65CE8">
            <w:pPr>
              <w:spacing w:after="0" w:line="240" w:lineRule="auto"/>
              <w:jc w:val="right"/>
              <w:rPr>
                <w:rFonts w:ascii="Times New Roman" w:eastAsia="Times New Roman" w:hAnsi="Times New Roman" w:cs="Times New Roman"/>
                <w:lang w:val="en-US" w:eastAsia="hu-HU"/>
              </w:rPr>
            </w:pPr>
          </w:p>
        </w:tc>
      </w:tr>
      <w:tr w:rsidR="00FB5F60" w:rsidRPr="00850EC7" w:rsidTr="00E65CE8">
        <w:tc>
          <w:tcPr>
            <w:tcW w:w="4855" w:type="dxa"/>
            <w:tcBorders>
              <w:top w:val="single" w:sz="4" w:space="0" w:color="auto"/>
            </w:tcBorders>
          </w:tcPr>
          <w:p w:rsidR="00FB5F60" w:rsidRPr="00850EC7" w:rsidRDefault="00FB5F60" w:rsidP="00E65CE8">
            <w:pPr>
              <w:spacing w:after="0" w:line="240" w:lineRule="auto"/>
              <w:jc w:val="center"/>
              <w:rPr>
                <w:rFonts w:ascii="Times New Roman" w:eastAsia="Times New Roman" w:hAnsi="Times New Roman" w:cs="Times New Roman"/>
                <w:b/>
                <w:lang w:val="en-US" w:eastAsia="hu-HU"/>
              </w:rPr>
            </w:pPr>
            <w:r w:rsidRPr="00850EC7">
              <w:rPr>
                <w:rFonts w:ascii="Times New Roman" w:eastAsia="Times New Roman" w:hAnsi="Times New Roman" w:cs="Times New Roman"/>
                <w:b/>
                <w:lang w:val="en-US" w:eastAsia="hu-HU"/>
              </w:rPr>
              <w:t>Faculty of Military Science and Officer Training</w:t>
            </w:r>
          </w:p>
        </w:tc>
        <w:tc>
          <w:tcPr>
            <w:tcW w:w="1620" w:type="dxa"/>
          </w:tcPr>
          <w:p w:rsidR="00FB5F60" w:rsidRPr="00850EC7" w:rsidRDefault="00FB5F60" w:rsidP="00E65CE8">
            <w:pPr>
              <w:spacing w:after="0" w:line="240" w:lineRule="auto"/>
              <w:jc w:val="both"/>
              <w:rPr>
                <w:rFonts w:ascii="Times New Roman" w:eastAsia="Times New Roman" w:hAnsi="Times New Roman" w:cs="Times New Roman"/>
                <w:lang w:val="en-US" w:eastAsia="hu-HU"/>
              </w:rPr>
            </w:pPr>
          </w:p>
        </w:tc>
        <w:tc>
          <w:tcPr>
            <w:tcW w:w="2597" w:type="dxa"/>
          </w:tcPr>
          <w:p w:rsidR="00FB5F60" w:rsidRPr="00850EC7" w:rsidRDefault="00FB5F60" w:rsidP="00E65CE8">
            <w:pPr>
              <w:spacing w:after="0" w:line="240" w:lineRule="auto"/>
              <w:jc w:val="both"/>
              <w:rPr>
                <w:rFonts w:ascii="Times New Roman" w:eastAsia="Times New Roman" w:hAnsi="Times New Roman" w:cs="Times New Roman"/>
                <w:lang w:val="en-US" w:eastAsia="hu-HU"/>
              </w:rPr>
            </w:pPr>
          </w:p>
        </w:tc>
      </w:tr>
    </w:tbl>
    <w:p w:rsidR="00FB5F60" w:rsidRPr="00850EC7" w:rsidRDefault="00FB5F60" w:rsidP="00FB5F60">
      <w:pPr>
        <w:widowControl w:val="0"/>
        <w:spacing w:before="120" w:after="120" w:line="240" w:lineRule="auto"/>
        <w:ind w:left="426" w:hanging="142"/>
        <w:jc w:val="center"/>
        <w:rPr>
          <w:rFonts w:ascii="Times New Roman" w:eastAsia="Times New Roman" w:hAnsi="Times New Roman" w:cs="Times New Roman"/>
          <w:b/>
          <w:bCs/>
          <w:lang w:val="en-US"/>
        </w:rPr>
      </w:pPr>
    </w:p>
    <w:p w:rsidR="00FB5F60" w:rsidRPr="00850EC7" w:rsidRDefault="00FB5F60" w:rsidP="00FB5F60">
      <w:pPr>
        <w:widowControl w:val="0"/>
        <w:spacing w:before="120" w:after="120" w:line="240" w:lineRule="auto"/>
        <w:ind w:left="426" w:hanging="142"/>
        <w:jc w:val="center"/>
        <w:rPr>
          <w:rFonts w:ascii="Times New Roman" w:eastAsia="Times New Roman" w:hAnsi="Times New Roman" w:cs="Times New Roman"/>
          <w:b/>
          <w:bCs/>
          <w:lang w:val="en-US"/>
        </w:rPr>
      </w:pPr>
      <w:r w:rsidRPr="00850EC7">
        <w:rPr>
          <w:rFonts w:ascii="Times New Roman" w:eastAsia="Times New Roman" w:hAnsi="Times New Roman" w:cs="Times New Roman"/>
          <w:b/>
          <w:bCs/>
          <w:lang w:val="en-US"/>
        </w:rPr>
        <w:t>CURRICULUM</w:t>
      </w:r>
    </w:p>
    <w:p w:rsidR="00FB5F60" w:rsidRPr="00850EC7" w:rsidRDefault="00FB5F60" w:rsidP="00980876">
      <w:pPr>
        <w:widowControl w:val="0"/>
        <w:numPr>
          <w:ilvl w:val="0"/>
          <w:numId w:val="566"/>
        </w:numPr>
        <w:tabs>
          <w:tab w:val="clear" w:pos="720"/>
          <w:tab w:val="num" w:pos="426"/>
        </w:tabs>
        <w:spacing w:before="120" w:after="120" w:line="240" w:lineRule="auto"/>
        <w:ind w:hanging="436"/>
        <w:jc w:val="both"/>
        <w:rPr>
          <w:rFonts w:ascii="Times New Roman" w:eastAsia="Times New Roman" w:hAnsi="Times New Roman" w:cs="Times New Roman"/>
          <w:bCs/>
          <w:lang w:val="en-US"/>
        </w:rPr>
      </w:pPr>
      <w:r w:rsidRPr="00850EC7">
        <w:rPr>
          <w:rFonts w:ascii="Times New Roman" w:eastAsia="Times New Roman" w:hAnsi="Times New Roman" w:cs="Times New Roman"/>
          <w:b/>
          <w:bCs/>
          <w:lang w:val="en-US"/>
        </w:rPr>
        <w:t xml:space="preserve">Code of subject: </w:t>
      </w:r>
      <w:r w:rsidRPr="006C11CA">
        <w:rPr>
          <w:rFonts w:ascii="Times New Roman" w:hAnsi="Times New Roman" w:cs="Times New Roman"/>
          <w:color w:val="000000"/>
          <w:lang w:val="en-US" w:eastAsia="hu-HU"/>
        </w:rPr>
        <w:t>HKHPKA703</w:t>
      </w:r>
    </w:p>
    <w:p w:rsidR="00FB5F60" w:rsidRPr="00850EC7" w:rsidRDefault="00FB5F60" w:rsidP="00980876">
      <w:pPr>
        <w:widowControl w:val="0"/>
        <w:numPr>
          <w:ilvl w:val="0"/>
          <w:numId w:val="566"/>
        </w:numPr>
        <w:tabs>
          <w:tab w:val="clear" w:pos="720"/>
          <w:tab w:val="num" w:pos="426"/>
        </w:tabs>
        <w:spacing w:before="120" w:after="120" w:line="240" w:lineRule="auto"/>
        <w:ind w:hanging="436"/>
        <w:jc w:val="both"/>
        <w:rPr>
          <w:rFonts w:ascii="Times New Roman" w:eastAsia="Times New Roman" w:hAnsi="Times New Roman" w:cs="Times New Roman"/>
          <w:b/>
          <w:bCs/>
          <w:lang w:val="en-US"/>
        </w:rPr>
      </w:pPr>
      <w:r w:rsidRPr="00850EC7">
        <w:rPr>
          <w:rFonts w:ascii="Times New Roman" w:eastAsia="Times New Roman" w:hAnsi="Times New Roman" w:cs="Times New Roman"/>
          <w:b/>
          <w:bCs/>
          <w:lang w:val="en-US"/>
        </w:rPr>
        <w:t xml:space="preserve">Name of subject: </w:t>
      </w:r>
      <w:r w:rsidRPr="006C11CA">
        <w:rPr>
          <w:rFonts w:ascii="Times New Roman" w:eastAsia="Times New Roman" w:hAnsi="Times New Roman" w:cs="Times New Roman"/>
          <w:bCs/>
          <w:lang w:val="en-US"/>
        </w:rPr>
        <w:t>Defense Economics</w:t>
      </w:r>
      <w:r>
        <w:rPr>
          <w:rFonts w:ascii="Times New Roman" w:eastAsia="Times New Roman" w:hAnsi="Times New Roman" w:cs="Times New Roman"/>
          <w:bCs/>
          <w:lang w:val="en-US"/>
        </w:rPr>
        <w:t xml:space="preserve"> </w:t>
      </w:r>
      <w:r>
        <w:rPr>
          <w:rFonts w:ascii="Times New Roman" w:hAnsi="Times New Roman" w:cs="Times New Roman"/>
          <w:bCs/>
        </w:rPr>
        <w:t>- BKL</w:t>
      </w:r>
    </w:p>
    <w:p w:rsidR="00FB5F60" w:rsidRPr="00850EC7" w:rsidRDefault="00FB5F60" w:rsidP="00980876">
      <w:pPr>
        <w:widowControl w:val="0"/>
        <w:numPr>
          <w:ilvl w:val="0"/>
          <w:numId w:val="566"/>
        </w:numPr>
        <w:tabs>
          <w:tab w:val="num" w:pos="567"/>
        </w:tabs>
        <w:spacing w:before="120" w:after="120" w:line="240" w:lineRule="auto"/>
        <w:ind w:left="426" w:hanging="142"/>
        <w:jc w:val="both"/>
        <w:rPr>
          <w:rFonts w:ascii="Times New Roman" w:eastAsia="Times New Roman" w:hAnsi="Times New Roman" w:cs="Times New Roman"/>
          <w:b/>
          <w:bCs/>
          <w:lang w:val="en-US"/>
        </w:rPr>
      </w:pPr>
      <w:r w:rsidRPr="00850EC7">
        <w:rPr>
          <w:rFonts w:ascii="Times New Roman" w:eastAsia="Times New Roman" w:hAnsi="Times New Roman" w:cs="Times New Roman"/>
          <w:b/>
          <w:bCs/>
          <w:lang w:val="en-US"/>
        </w:rPr>
        <w:t xml:space="preserve">Credit value and course structure: </w:t>
      </w:r>
    </w:p>
    <w:p w:rsidR="00FB5F60" w:rsidRPr="00850EC7" w:rsidRDefault="00FB5F60" w:rsidP="00980876">
      <w:pPr>
        <w:widowControl w:val="0"/>
        <w:numPr>
          <w:ilvl w:val="1"/>
          <w:numId w:val="566"/>
        </w:numPr>
        <w:spacing w:before="120" w:after="120" w:line="240" w:lineRule="auto"/>
        <w:ind w:left="993" w:hanging="426"/>
        <w:contextualSpacing/>
        <w:jc w:val="both"/>
        <w:rPr>
          <w:rFonts w:ascii="Times New Roman" w:eastAsia="Times New Roman" w:hAnsi="Times New Roman" w:cs="Times New Roman"/>
          <w:b/>
          <w:bCs/>
          <w:lang w:val="en-US"/>
        </w:rPr>
      </w:pPr>
      <w:r w:rsidRPr="00850EC7">
        <w:rPr>
          <w:rFonts w:ascii="Times New Roman" w:eastAsia="Times New Roman" w:hAnsi="Times New Roman" w:cs="Times New Roman"/>
          <w:lang w:val="en-US" w:eastAsia="hu-HU"/>
        </w:rPr>
        <w:t>4</w:t>
      </w:r>
      <w:r w:rsidRPr="00850EC7">
        <w:rPr>
          <w:rFonts w:ascii="Times New Roman" w:eastAsia="Times New Roman" w:hAnsi="Times New Roman" w:cs="Times New Roman"/>
          <w:bCs/>
          <w:lang w:val="en-US"/>
        </w:rPr>
        <w:t xml:space="preserve"> credit</w:t>
      </w:r>
    </w:p>
    <w:p w:rsidR="00FB5F60" w:rsidRPr="00850EC7" w:rsidRDefault="00FB5F60" w:rsidP="00980876">
      <w:pPr>
        <w:widowControl w:val="0"/>
        <w:numPr>
          <w:ilvl w:val="1"/>
          <w:numId w:val="566"/>
        </w:numPr>
        <w:spacing w:before="120" w:after="120" w:line="240" w:lineRule="auto"/>
        <w:ind w:left="993" w:hanging="426"/>
        <w:contextualSpacing/>
        <w:jc w:val="both"/>
        <w:rPr>
          <w:rFonts w:ascii="Times New Roman" w:eastAsia="Times New Roman" w:hAnsi="Times New Roman" w:cs="Times New Roman"/>
          <w:b/>
          <w:bCs/>
          <w:lang w:val="en-US"/>
        </w:rPr>
      </w:pPr>
      <w:r w:rsidRPr="00850EC7">
        <w:rPr>
          <w:rFonts w:ascii="Times New Roman" w:eastAsia="Times New Roman" w:hAnsi="Times New Roman" w:cs="Times New Roman"/>
          <w:bCs/>
          <w:lang w:val="en-US"/>
        </w:rPr>
        <w:t xml:space="preserve">ratio of lectures and seminars: </w:t>
      </w:r>
      <w:r w:rsidRPr="00850EC7">
        <w:rPr>
          <w:rFonts w:ascii="Times New Roman" w:eastAsia="Times New Roman" w:hAnsi="Times New Roman" w:cs="Times New Roman"/>
          <w:lang w:val="en-US" w:eastAsia="hu-HU"/>
        </w:rPr>
        <w:t>50%</w:t>
      </w:r>
      <w:r w:rsidRPr="00850EC7">
        <w:rPr>
          <w:rFonts w:ascii="Times New Roman" w:eastAsia="Times New Roman" w:hAnsi="Times New Roman" w:cs="Times New Roman"/>
          <w:bCs/>
          <w:lang w:val="en-US"/>
        </w:rPr>
        <w:t xml:space="preserve"> </w:t>
      </w:r>
      <w:r>
        <w:rPr>
          <w:rFonts w:ascii="Times New Roman" w:eastAsia="Times New Roman" w:hAnsi="Times New Roman" w:cs="Times New Roman"/>
          <w:bCs/>
          <w:lang w:val="en-US"/>
        </w:rPr>
        <w:t>seminars</w:t>
      </w:r>
      <w:r w:rsidRPr="00850EC7">
        <w:rPr>
          <w:rFonts w:ascii="Times New Roman" w:eastAsia="Times New Roman" w:hAnsi="Times New Roman" w:cs="Times New Roman"/>
          <w:bCs/>
          <w:lang w:val="en-US"/>
        </w:rPr>
        <w:t xml:space="preserve">, </w:t>
      </w:r>
      <w:r w:rsidRPr="00850EC7">
        <w:rPr>
          <w:rFonts w:ascii="Times New Roman" w:eastAsia="Times New Roman" w:hAnsi="Times New Roman" w:cs="Times New Roman"/>
          <w:lang w:val="en-US" w:eastAsia="hu-HU"/>
        </w:rPr>
        <w:t>50%</w:t>
      </w:r>
      <w:r w:rsidRPr="00850EC7">
        <w:rPr>
          <w:rFonts w:ascii="Times New Roman" w:eastAsia="Times New Roman" w:hAnsi="Times New Roman" w:cs="Times New Roman"/>
          <w:bCs/>
          <w:lang w:val="en-US"/>
        </w:rPr>
        <w:t xml:space="preserve"> </w:t>
      </w:r>
      <w:r>
        <w:rPr>
          <w:rFonts w:ascii="Times New Roman" w:eastAsia="Times New Roman" w:hAnsi="Times New Roman" w:cs="Times New Roman"/>
          <w:bCs/>
          <w:lang w:val="en-US"/>
        </w:rPr>
        <w:t>lectures</w:t>
      </w:r>
    </w:p>
    <w:p w:rsidR="00FB5F60" w:rsidRPr="00850EC7" w:rsidRDefault="00FB5F60" w:rsidP="00980876">
      <w:pPr>
        <w:widowControl w:val="0"/>
        <w:numPr>
          <w:ilvl w:val="0"/>
          <w:numId w:val="566"/>
        </w:numPr>
        <w:spacing w:before="120" w:after="120" w:line="240" w:lineRule="auto"/>
        <w:ind w:left="426" w:hanging="142"/>
        <w:jc w:val="both"/>
        <w:rPr>
          <w:rFonts w:ascii="Times New Roman" w:eastAsia="Times New Roman" w:hAnsi="Times New Roman" w:cs="Times New Roman"/>
          <w:bCs/>
          <w:lang w:val="en-US"/>
        </w:rPr>
      </w:pPr>
      <w:r w:rsidRPr="00850EC7">
        <w:rPr>
          <w:rFonts w:ascii="Times New Roman" w:eastAsia="Times New Roman" w:hAnsi="Times New Roman" w:cs="Times New Roman"/>
          <w:b/>
          <w:bCs/>
          <w:lang w:val="en-US"/>
        </w:rPr>
        <w:t>Name of major(s), specializations (where it is taught):</w:t>
      </w:r>
      <w:r w:rsidRPr="00850EC7">
        <w:rPr>
          <w:rFonts w:ascii="Times New Roman" w:eastAsia="Times New Roman" w:hAnsi="Times New Roman" w:cs="Times New Roman"/>
          <w:bCs/>
          <w:lang w:val="en-US"/>
        </w:rPr>
        <w:t xml:space="preserve"> </w:t>
      </w:r>
      <w:r w:rsidRPr="00850EC7">
        <w:rPr>
          <w:rFonts w:ascii="Times New Roman" w:eastAsia="Times New Roman" w:hAnsi="Times New Roman" w:cs="Times New Roman"/>
          <w:lang w:val="en-US" w:eastAsia="hu-HU"/>
        </w:rPr>
        <w:t xml:space="preserve">Military Logistics </w:t>
      </w:r>
      <w:r w:rsidR="00137B8A">
        <w:rPr>
          <w:rFonts w:ascii="Times New Roman" w:eastAsia="Times New Roman" w:hAnsi="Times New Roman" w:cs="Times New Roman"/>
          <w:lang w:val="en-US" w:eastAsia="hu-HU"/>
        </w:rPr>
        <w:t>BSc</w:t>
      </w:r>
      <w:r w:rsidRPr="00850EC7">
        <w:rPr>
          <w:rFonts w:ascii="Times New Roman" w:eastAsia="Times New Roman" w:hAnsi="Times New Roman" w:cs="Times New Roman"/>
          <w:lang w:val="en-US" w:eastAsia="hu-HU"/>
        </w:rPr>
        <w:t xml:space="preserve"> </w:t>
      </w:r>
    </w:p>
    <w:p w:rsidR="00FB5F60" w:rsidRPr="00850EC7" w:rsidRDefault="00FB5F60" w:rsidP="00980876">
      <w:pPr>
        <w:widowControl w:val="0"/>
        <w:numPr>
          <w:ilvl w:val="0"/>
          <w:numId w:val="566"/>
        </w:numPr>
        <w:tabs>
          <w:tab w:val="num" w:pos="567"/>
        </w:tabs>
        <w:spacing w:before="120" w:after="120" w:line="240" w:lineRule="auto"/>
        <w:ind w:left="426" w:hanging="142"/>
        <w:jc w:val="both"/>
        <w:rPr>
          <w:rFonts w:ascii="Times New Roman" w:eastAsia="Times New Roman" w:hAnsi="Times New Roman" w:cs="Times New Roman"/>
          <w:bCs/>
          <w:lang w:val="en-US"/>
        </w:rPr>
      </w:pPr>
      <w:r w:rsidRPr="00850EC7">
        <w:rPr>
          <w:rFonts w:ascii="Times New Roman" w:eastAsia="Times New Roman" w:hAnsi="Times New Roman" w:cs="Times New Roman"/>
          <w:b/>
          <w:bCs/>
          <w:lang w:val="en-US"/>
        </w:rPr>
        <w:t xml:space="preserve">Name of organizational unit responsible for its education: </w:t>
      </w:r>
      <w:r w:rsidRPr="00850EC7">
        <w:rPr>
          <w:rFonts w:ascii="Times New Roman" w:eastAsia="Times New Roman" w:hAnsi="Times New Roman" w:cs="Times New Roman"/>
          <w:lang w:val="en-US" w:eastAsia="hu-HU"/>
        </w:rPr>
        <w:t>Department of Supply, Finance and Military Transportation</w:t>
      </w:r>
    </w:p>
    <w:p w:rsidR="00FB5F60" w:rsidRPr="00850EC7" w:rsidRDefault="00FB5F60" w:rsidP="00980876">
      <w:pPr>
        <w:widowControl w:val="0"/>
        <w:numPr>
          <w:ilvl w:val="0"/>
          <w:numId w:val="566"/>
        </w:numPr>
        <w:tabs>
          <w:tab w:val="clear" w:pos="720"/>
          <w:tab w:val="num" w:pos="426"/>
        </w:tabs>
        <w:spacing w:before="120" w:after="120" w:line="240" w:lineRule="auto"/>
        <w:ind w:left="426" w:hanging="142"/>
        <w:jc w:val="both"/>
        <w:rPr>
          <w:rFonts w:ascii="Times New Roman" w:eastAsia="Times New Roman" w:hAnsi="Times New Roman" w:cs="Times New Roman"/>
          <w:bCs/>
          <w:lang w:val="en-US"/>
        </w:rPr>
      </w:pPr>
      <w:r w:rsidRPr="00850EC7">
        <w:rPr>
          <w:rFonts w:ascii="Times New Roman" w:eastAsia="Times New Roman" w:hAnsi="Times New Roman" w:cs="Times New Roman"/>
          <w:b/>
          <w:bCs/>
          <w:lang w:val="en-US"/>
        </w:rPr>
        <w:t>Name, position, academic degree of tutor responsible for the curriculum:</w:t>
      </w:r>
      <w:r w:rsidRPr="00850EC7">
        <w:rPr>
          <w:rFonts w:ascii="Times New Roman" w:eastAsia="Times New Roman" w:hAnsi="Times New Roman" w:cs="Times New Roman"/>
          <w:bCs/>
          <w:lang w:val="en-US"/>
        </w:rPr>
        <w:t xml:space="preserve"> Cpt. </w:t>
      </w:r>
      <w:r w:rsidRPr="00850EC7">
        <w:rPr>
          <w:rFonts w:ascii="Times New Roman" w:eastAsia="Times New Roman" w:hAnsi="Times New Roman" w:cs="Times New Roman"/>
          <w:lang w:val="en-US" w:eastAsia="hu-HU"/>
        </w:rPr>
        <w:t>Balázs Taksás (PhD) associate professor</w:t>
      </w:r>
    </w:p>
    <w:p w:rsidR="00FB5F60" w:rsidRPr="00850EC7" w:rsidRDefault="00FB5F60" w:rsidP="00980876">
      <w:pPr>
        <w:widowControl w:val="0"/>
        <w:numPr>
          <w:ilvl w:val="0"/>
          <w:numId w:val="566"/>
        </w:numPr>
        <w:spacing w:before="120" w:after="120" w:line="240" w:lineRule="auto"/>
        <w:ind w:left="426" w:hanging="142"/>
        <w:jc w:val="both"/>
        <w:rPr>
          <w:rFonts w:ascii="Times New Roman" w:eastAsia="Times New Roman" w:hAnsi="Times New Roman" w:cs="Times New Roman"/>
          <w:bCs/>
          <w:lang w:val="en-US"/>
        </w:rPr>
      </w:pPr>
      <w:r w:rsidRPr="00850EC7">
        <w:rPr>
          <w:rFonts w:ascii="Times New Roman" w:eastAsia="Times New Roman" w:hAnsi="Times New Roman" w:cs="Times New Roman"/>
          <w:b/>
          <w:bCs/>
          <w:lang w:val="en-US"/>
        </w:rPr>
        <w:t>Number and types of classes</w:t>
      </w:r>
    </w:p>
    <w:p w:rsidR="00FB5F60" w:rsidRPr="00850EC7" w:rsidRDefault="00FB5F60" w:rsidP="00980876">
      <w:pPr>
        <w:widowControl w:val="0"/>
        <w:numPr>
          <w:ilvl w:val="1"/>
          <w:numId w:val="566"/>
        </w:numPr>
        <w:tabs>
          <w:tab w:val="num" w:pos="709"/>
          <w:tab w:val="num" w:pos="2069"/>
        </w:tabs>
        <w:spacing w:before="120" w:after="120" w:line="240" w:lineRule="auto"/>
        <w:ind w:left="851" w:hanging="425"/>
        <w:jc w:val="both"/>
        <w:rPr>
          <w:rFonts w:ascii="Times New Roman" w:eastAsia="Times New Roman" w:hAnsi="Times New Roman" w:cs="Times New Roman"/>
          <w:bCs/>
          <w:lang w:val="en-US"/>
        </w:rPr>
      </w:pPr>
      <w:r w:rsidRPr="00850EC7">
        <w:rPr>
          <w:rFonts w:ascii="Times New Roman" w:eastAsia="Times New Roman" w:hAnsi="Times New Roman" w:cs="Times New Roman"/>
          <w:bCs/>
          <w:lang w:val="en-US"/>
        </w:rPr>
        <w:t>full number of classes/semester:</w:t>
      </w:r>
    </w:p>
    <w:p w:rsidR="00FB5F60" w:rsidRPr="00850EC7" w:rsidRDefault="00FB5F60" w:rsidP="00980876">
      <w:pPr>
        <w:widowControl w:val="0"/>
        <w:numPr>
          <w:ilvl w:val="2"/>
          <w:numId w:val="566"/>
        </w:numPr>
        <w:tabs>
          <w:tab w:val="num" w:pos="709"/>
          <w:tab w:val="num" w:pos="1134"/>
        </w:tabs>
        <w:spacing w:before="120" w:after="120" w:line="240" w:lineRule="auto"/>
        <w:ind w:left="993" w:hanging="425"/>
        <w:jc w:val="both"/>
        <w:rPr>
          <w:rFonts w:ascii="Times New Roman" w:eastAsia="Times New Roman" w:hAnsi="Times New Roman" w:cs="Times New Roman"/>
          <w:bCs/>
          <w:lang w:val="en-US"/>
        </w:rPr>
      </w:pPr>
      <w:r w:rsidRPr="00850EC7">
        <w:rPr>
          <w:rFonts w:ascii="Times New Roman" w:eastAsia="Times New Roman" w:hAnsi="Times New Roman" w:cs="Times New Roman"/>
          <w:bCs/>
          <w:lang w:val="en-US"/>
        </w:rPr>
        <w:t xml:space="preserve">Full time course: </w:t>
      </w:r>
      <w:r w:rsidRPr="00850EC7">
        <w:rPr>
          <w:rFonts w:ascii="Times New Roman" w:eastAsia="Times New Roman" w:hAnsi="Times New Roman" w:cs="Times New Roman"/>
          <w:lang w:val="en-US" w:eastAsia="hu-HU"/>
        </w:rPr>
        <w:t>28</w:t>
      </w:r>
      <w:r w:rsidRPr="00850EC7">
        <w:rPr>
          <w:rFonts w:ascii="Times New Roman" w:eastAsia="Times New Roman" w:hAnsi="Times New Roman" w:cs="Times New Roman"/>
          <w:bCs/>
          <w:lang w:val="en-US"/>
        </w:rPr>
        <w:t xml:space="preserve"> (14 LEC + </w:t>
      </w:r>
      <w:r w:rsidRPr="00850EC7">
        <w:rPr>
          <w:rFonts w:ascii="Times New Roman" w:eastAsia="Times New Roman" w:hAnsi="Times New Roman" w:cs="Times New Roman"/>
          <w:lang w:val="en-US" w:eastAsia="hu-HU"/>
        </w:rPr>
        <w:t>14</w:t>
      </w:r>
      <w:r w:rsidRPr="00850EC7">
        <w:rPr>
          <w:rFonts w:ascii="Times New Roman" w:eastAsia="Times New Roman" w:hAnsi="Times New Roman" w:cs="Times New Roman"/>
          <w:bCs/>
          <w:lang w:val="en-US"/>
        </w:rPr>
        <w:t xml:space="preserve"> SEM)</w:t>
      </w:r>
    </w:p>
    <w:p w:rsidR="00FB5F60" w:rsidRPr="00850EC7" w:rsidRDefault="00FB5F60" w:rsidP="00980876">
      <w:pPr>
        <w:widowControl w:val="0"/>
        <w:numPr>
          <w:ilvl w:val="2"/>
          <w:numId w:val="566"/>
        </w:numPr>
        <w:tabs>
          <w:tab w:val="num" w:pos="709"/>
          <w:tab w:val="num" w:pos="1134"/>
        </w:tabs>
        <w:spacing w:before="120" w:after="120" w:line="240" w:lineRule="auto"/>
        <w:ind w:left="993" w:hanging="425"/>
        <w:jc w:val="both"/>
        <w:rPr>
          <w:rFonts w:ascii="Times New Roman" w:eastAsia="Times New Roman" w:hAnsi="Times New Roman" w:cs="Times New Roman"/>
          <w:bCs/>
          <w:lang w:val="en-US"/>
        </w:rPr>
      </w:pPr>
      <w:r w:rsidRPr="00850EC7">
        <w:rPr>
          <w:rFonts w:ascii="Times New Roman" w:eastAsia="Times New Roman" w:hAnsi="Times New Roman" w:cs="Times New Roman"/>
          <w:bCs/>
          <w:lang w:val="en-US"/>
        </w:rPr>
        <w:t xml:space="preserve">Correspondence course: </w:t>
      </w:r>
      <w:r w:rsidRPr="00850EC7">
        <w:rPr>
          <w:rFonts w:ascii="Times New Roman" w:eastAsia="Times New Roman" w:hAnsi="Times New Roman" w:cs="Times New Roman"/>
          <w:lang w:val="en-US" w:eastAsia="hu-HU"/>
        </w:rPr>
        <w:t xml:space="preserve">- </w:t>
      </w:r>
      <w:r w:rsidRPr="00850EC7">
        <w:rPr>
          <w:rFonts w:ascii="Times New Roman" w:eastAsia="Times New Roman" w:hAnsi="Times New Roman" w:cs="Times New Roman"/>
          <w:bCs/>
          <w:lang w:val="en-US"/>
        </w:rPr>
        <w:t xml:space="preserve">(- LEC + </w:t>
      </w:r>
      <w:r w:rsidRPr="00850EC7">
        <w:rPr>
          <w:rFonts w:ascii="Times New Roman" w:eastAsia="Times New Roman" w:hAnsi="Times New Roman" w:cs="Times New Roman"/>
          <w:lang w:val="en-US" w:eastAsia="hu-HU"/>
        </w:rPr>
        <w:t>-</w:t>
      </w:r>
      <w:r w:rsidRPr="00850EC7">
        <w:rPr>
          <w:rFonts w:ascii="Times New Roman" w:eastAsia="Times New Roman" w:hAnsi="Times New Roman" w:cs="Times New Roman"/>
          <w:bCs/>
          <w:lang w:val="en-US"/>
        </w:rPr>
        <w:t xml:space="preserve"> SEM)</w:t>
      </w:r>
    </w:p>
    <w:p w:rsidR="00FB5F60" w:rsidRPr="00850EC7" w:rsidRDefault="00FB5F60" w:rsidP="00980876">
      <w:pPr>
        <w:widowControl w:val="0"/>
        <w:numPr>
          <w:ilvl w:val="1"/>
          <w:numId w:val="566"/>
        </w:numPr>
        <w:tabs>
          <w:tab w:val="num" w:pos="709"/>
          <w:tab w:val="num" w:pos="2069"/>
        </w:tabs>
        <w:spacing w:before="120" w:after="120" w:line="240" w:lineRule="auto"/>
        <w:ind w:left="851" w:hanging="425"/>
        <w:jc w:val="both"/>
        <w:rPr>
          <w:rFonts w:ascii="Times New Roman" w:eastAsia="Times New Roman" w:hAnsi="Times New Roman" w:cs="Times New Roman"/>
          <w:bCs/>
          <w:lang w:val="en-US"/>
        </w:rPr>
      </w:pPr>
      <w:r w:rsidRPr="00850EC7">
        <w:rPr>
          <w:rFonts w:ascii="Times New Roman" w:eastAsia="Times New Roman" w:hAnsi="Times New Roman" w:cs="Times New Roman"/>
          <w:bCs/>
          <w:lang w:val="en-US"/>
        </w:rPr>
        <w:t xml:space="preserve">weekly number of classes - full time course: </w:t>
      </w:r>
      <w:r w:rsidRPr="00850EC7">
        <w:rPr>
          <w:rFonts w:ascii="Times New Roman" w:eastAsia="Times New Roman" w:hAnsi="Times New Roman" w:cs="Times New Roman"/>
          <w:lang w:val="en-US" w:eastAsia="hu-HU"/>
        </w:rPr>
        <w:t>2</w:t>
      </w:r>
      <w:r w:rsidRPr="00850EC7">
        <w:rPr>
          <w:rFonts w:ascii="Times New Roman" w:eastAsia="Times New Roman" w:hAnsi="Times New Roman" w:cs="Times New Roman"/>
          <w:bCs/>
          <w:lang w:val="en-US"/>
        </w:rPr>
        <w:t xml:space="preserve"> (1 LEC + </w:t>
      </w:r>
      <w:r w:rsidRPr="00850EC7">
        <w:rPr>
          <w:rFonts w:ascii="Times New Roman" w:eastAsia="Times New Roman" w:hAnsi="Times New Roman" w:cs="Times New Roman"/>
          <w:lang w:val="en-US" w:eastAsia="hu-HU"/>
        </w:rPr>
        <w:t>1</w:t>
      </w:r>
      <w:r w:rsidRPr="00850EC7">
        <w:rPr>
          <w:rFonts w:ascii="Times New Roman" w:eastAsia="Times New Roman" w:hAnsi="Times New Roman" w:cs="Times New Roman"/>
          <w:bCs/>
          <w:lang w:val="en-US"/>
        </w:rPr>
        <w:t xml:space="preserve"> SEM)</w:t>
      </w:r>
    </w:p>
    <w:p w:rsidR="00FB5F60" w:rsidRPr="00850EC7" w:rsidRDefault="00FB5F60" w:rsidP="00980876">
      <w:pPr>
        <w:widowControl w:val="0"/>
        <w:numPr>
          <w:ilvl w:val="1"/>
          <w:numId w:val="566"/>
        </w:numPr>
        <w:tabs>
          <w:tab w:val="num" w:pos="709"/>
          <w:tab w:val="num" w:pos="2069"/>
        </w:tabs>
        <w:spacing w:before="120" w:after="120" w:line="240" w:lineRule="auto"/>
        <w:ind w:left="851" w:hanging="425"/>
        <w:jc w:val="both"/>
        <w:rPr>
          <w:rFonts w:ascii="Times New Roman" w:eastAsia="Times New Roman" w:hAnsi="Times New Roman" w:cs="Times New Roman"/>
          <w:bCs/>
          <w:lang w:val="en-US"/>
        </w:rPr>
      </w:pPr>
      <w:r w:rsidRPr="00850EC7">
        <w:rPr>
          <w:rFonts w:ascii="Times New Roman" w:eastAsia="Times New Roman" w:hAnsi="Times New Roman" w:cs="Times New Roman"/>
          <w:bCs/>
          <w:lang w:val="en-US"/>
        </w:rPr>
        <w:t>Further</w:t>
      </w:r>
      <w:r w:rsidRPr="00850EC7">
        <w:rPr>
          <w:rFonts w:ascii="Times New Roman" w:hAnsi="Times New Roman" w:cs="Times New Roman"/>
          <w:lang w:val="en-US"/>
        </w:rPr>
        <w:t xml:space="preserve"> special or unique methods applied throughout of the course: </w:t>
      </w:r>
      <w:r w:rsidRPr="00850EC7">
        <w:rPr>
          <w:rFonts w:ascii="Times New Roman" w:eastAsia="Times New Roman" w:hAnsi="Times New Roman" w:cs="Times New Roman"/>
          <w:lang w:val="en-US" w:eastAsia="hu-HU"/>
        </w:rPr>
        <w:t>-</w:t>
      </w:r>
    </w:p>
    <w:p w:rsidR="00FB5F60" w:rsidRPr="00850EC7" w:rsidRDefault="00FB5F60" w:rsidP="00980876">
      <w:pPr>
        <w:widowControl w:val="0"/>
        <w:numPr>
          <w:ilvl w:val="0"/>
          <w:numId w:val="566"/>
        </w:numPr>
        <w:spacing w:before="120" w:after="120" w:line="240" w:lineRule="auto"/>
        <w:ind w:left="426" w:hanging="142"/>
        <w:jc w:val="both"/>
        <w:rPr>
          <w:rFonts w:ascii="Times New Roman" w:eastAsia="Times New Roman" w:hAnsi="Times New Roman" w:cs="Times New Roman"/>
          <w:bCs/>
          <w:lang w:val="en-US"/>
        </w:rPr>
      </w:pPr>
      <w:r w:rsidRPr="00850EC7">
        <w:rPr>
          <w:rFonts w:ascii="Times New Roman" w:eastAsia="Times New Roman" w:hAnsi="Times New Roman" w:cs="Times New Roman"/>
          <w:b/>
          <w:bCs/>
          <w:lang w:val="en-US"/>
        </w:rPr>
        <w:t xml:space="preserve">The academic content of the subject: </w:t>
      </w:r>
      <w:r>
        <w:rPr>
          <w:rFonts w:ascii="Times New Roman" w:hAnsi="Times New Roman" w:cs="Times New Roman"/>
          <w:bCs/>
          <w:lang w:val="en-US"/>
        </w:rPr>
        <w:t xml:space="preserve">The economic dimension of security and its subsystems. </w:t>
      </w:r>
      <w:r w:rsidRPr="006B3AF1">
        <w:rPr>
          <w:rFonts w:ascii="Times New Roman" w:hAnsi="Times New Roman" w:cs="Times New Roman"/>
          <w:bCs/>
          <w:lang w:val="en-US"/>
        </w:rPr>
        <w:t>Newest trends in defense industry, defen</w:t>
      </w:r>
      <w:r>
        <w:rPr>
          <w:rFonts w:ascii="Times New Roman" w:hAnsi="Times New Roman" w:cs="Times New Roman"/>
          <w:bCs/>
          <w:lang w:val="en-US"/>
        </w:rPr>
        <w:t>s</w:t>
      </w:r>
      <w:r w:rsidRPr="006B3AF1">
        <w:rPr>
          <w:rFonts w:ascii="Times New Roman" w:hAnsi="Times New Roman" w:cs="Times New Roman"/>
          <w:bCs/>
          <w:lang w:val="en-US"/>
        </w:rPr>
        <w:t>e R&amp;D</w:t>
      </w:r>
      <w:r>
        <w:rPr>
          <w:rFonts w:ascii="Times New Roman" w:hAnsi="Times New Roman" w:cs="Times New Roman"/>
          <w:bCs/>
          <w:lang w:val="en-US"/>
        </w:rPr>
        <w:t>&amp;I</w:t>
      </w:r>
      <w:r w:rsidRPr="006B3AF1">
        <w:rPr>
          <w:rFonts w:ascii="Times New Roman" w:hAnsi="Times New Roman" w:cs="Times New Roman"/>
          <w:bCs/>
          <w:lang w:val="en-US"/>
        </w:rPr>
        <w:t xml:space="preserve"> and arms trade. </w:t>
      </w:r>
      <w:r>
        <w:rPr>
          <w:rFonts w:ascii="Times New Roman" w:hAnsi="Times New Roman" w:cs="Times New Roman"/>
          <w:bCs/>
          <w:lang w:val="en-US"/>
        </w:rPr>
        <w:t xml:space="preserve">Defense budget. Defense planning. </w:t>
      </w:r>
      <w:r w:rsidRPr="006B3AF1">
        <w:rPr>
          <w:rFonts w:ascii="Times New Roman" w:hAnsi="Times New Roman" w:cs="Times New Roman"/>
          <w:bCs/>
          <w:lang w:val="en-US"/>
        </w:rPr>
        <w:t xml:space="preserve">Methods of </w:t>
      </w:r>
      <w:r>
        <w:rPr>
          <w:rFonts w:ascii="Times New Roman" w:hAnsi="Times New Roman" w:cs="Times New Roman"/>
          <w:bCs/>
          <w:lang w:val="en-US"/>
        </w:rPr>
        <w:t>economic preparation</w:t>
      </w:r>
      <w:r w:rsidRPr="006B3AF1">
        <w:rPr>
          <w:rFonts w:ascii="Times New Roman" w:hAnsi="Times New Roman" w:cs="Times New Roman"/>
          <w:bCs/>
          <w:lang w:val="en-US"/>
        </w:rPr>
        <w:t xml:space="preserve"> for crisis periods (disasters, wars etc.) and the system of economic mobilization</w:t>
      </w:r>
      <w:r w:rsidRPr="00850EC7">
        <w:rPr>
          <w:rFonts w:ascii="Times New Roman" w:hAnsi="Times New Roman" w:cs="Times New Roman"/>
          <w:bCs/>
          <w:lang w:val="en-US"/>
        </w:rPr>
        <w:t>.</w:t>
      </w:r>
    </w:p>
    <w:p w:rsidR="00FB5F60" w:rsidRPr="00850EC7" w:rsidRDefault="00FB5F60" w:rsidP="00980876">
      <w:pPr>
        <w:widowControl w:val="0"/>
        <w:numPr>
          <w:ilvl w:val="0"/>
          <w:numId w:val="566"/>
        </w:numPr>
        <w:spacing w:before="120" w:after="120" w:line="240" w:lineRule="auto"/>
        <w:ind w:left="426" w:hanging="142"/>
        <w:jc w:val="both"/>
        <w:rPr>
          <w:rFonts w:ascii="Times New Roman" w:eastAsia="Times New Roman" w:hAnsi="Times New Roman" w:cs="Times New Roman"/>
          <w:bCs/>
          <w:lang w:val="en-US"/>
        </w:rPr>
      </w:pPr>
      <w:r w:rsidRPr="00850EC7">
        <w:rPr>
          <w:rFonts w:ascii="Times New Roman" w:eastAsia="Times New Roman" w:hAnsi="Times New Roman" w:cs="Times New Roman"/>
          <w:b/>
          <w:bCs/>
          <w:lang w:val="en-US"/>
        </w:rPr>
        <w:t xml:space="preserve">Competences to be achieved: </w:t>
      </w:r>
    </w:p>
    <w:p w:rsidR="00FB5F60" w:rsidRPr="00850EC7" w:rsidRDefault="00FB5F60" w:rsidP="00FB5F60">
      <w:pPr>
        <w:widowControl w:val="0"/>
        <w:spacing w:before="120" w:after="120" w:line="240" w:lineRule="auto"/>
        <w:ind w:left="426"/>
        <w:jc w:val="both"/>
        <w:rPr>
          <w:rFonts w:ascii="Times New Roman" w:eastAsia="Times New Roman" w:hAnsi="Times New Roman" w:cs="Times New Roman"/>
          <w:lang w:val="en-US" w:eastAsia="hu-HU"/>
        </w:rPr>
      </w:pPr>
      <w:r w:rsidRPr="00850EC7">
        <w:rPr>
          <w:rFonts w:ascii="Times New Roman" w:eastAsia="Times New Roman" w:hAnsi="Times New Roman" w:cs="Times New Roman"/>
          <w:b/>
          <w:lang w:val="en-US"/>
        </w:rPr>
        <w:t>Knowledge</w:t>
      </w:r>
      <w:r w:rsidRPr="00850EC7">
        <w:rPr>
          <w:rFonts w:ascii="Times New Roman" w:eastAsia="Times New Roman" w:hAnsi="Times New Roman" w:cs="Times New Roman"/>
          <w:lang w:val="en-US"/>
        </w:rPr>
        <w:t xml:space="preserve">: </w:t>
      </w:r>
    </w:p>
    <w:p w:rsidR="00FB5F60" w:rsidRPr="00FB5F60" w:rsidRDefault="00FB5F60" w:rsidP="00980876">
      <w:pPr>
        <w:pStyle w:val="Listaszerbekezds"/>
        <w:widowControl w:val="0"/>
        <w:numPr>
          <w:ilvl w:val="0"/>
          <w:numId w:val="567"/>
        </w:numPr>
        <w:spacing w:before="120" w:after="120" w:line="240" w:lineRule="auto"/>
        <w:jc w:val="both"/>
        <w:rPr>
          <w:rFonts w:ascii="Times New Roman" w:eastAsia="Times New Roman" w:hAnsi="Times New Roman" w:cs="Times New Roman"/>
          <w:lang w:val="en-US"/>
        </w:rPr>
      </w:pPr>
      <w:r w:rsidRPr="00FB5F60">
        <w:rPr>
          <w:rFonts w:ascii="Times New Roman" w:eastAsia="Times New Roman" w:hAnsi="Times New Roman" w:cs="Times New Roman"/>
          <w:lang w:val="en-US"/>
        </w:rPr>
        <w:t>To be familiar with market mechanisms, the principles of economics, the relation between national economy and defense and the functioning of defense industry.</w:t>
      </w:r>
    </w:p>
    <w:p w:rsidR="00FB5F60" w:rsidRPr="00850EC7" w:rsidRDefault="00FB5F60" w:rsidP="00FB5F60">
      <w:pPr>
        <w:widowControl w:val="0"/>
        <w:spacing w:before="120" w:after="120" w:line="240" w:lineRule="auto"/>
        <w:ind w:left="426"/>
        <w:jc w:val="both"/>
        <w:rPr>
          <w:rFonts w:ascii="Times New Roman" w:eastAsia="Times New Roman" w:hAnsi="Times New Roman" w:cs="Times New Roman"/>
          <w:lang w:val="en-US" w:eastAsia="hu-HU"/>
        </w:rPr>
      </w:pPr>
      <w:r w:rsidRPr="00850EC7">
        <w:rPr>
          <w:rFonts w:ascii="Times New Roman" w:eastAsia="Times New Roman" w:hAnsi="Times New Roman" w:cs="Times New Roman"/>
          <w:b/>
          <w:lang w:val="en-US"/>
        </w:rPr>
        <w:t>Capabilities</w:t>
      </w:r>
      <w:r w:rsidRPr="00850EC7">
        <w:rPr>
          <w:rFonts w:ascii="Times New Roman" w:eastAsia="Times New Roman" w:hAnsi="Times New Roman" w:cs="Times New Roman"/>
          <w:lang w:val="en-US"/>
        </w:rPr>
        <w:t xml:space="preserve">: </w:t>
      </w:r>
    </w:p>
    <w:p w:rsidR="00FB5F60" w:rsidRPr="00850EC7" w:rsidRDefault="00FB5F60" w:rsidP="00980876">
      <w:pPr>
        <w:pStyle w:val="Listaszerbekezds"/>
        <w:widowControl w:val="0"/>
        <w:numPr>
          <w:ilvl w:val="0"/>
          <w:numId w:val="567"/>
        </w:numPr>
        <w:spacing w:before="120" w:after="120" w:line="240" w:lineRule="auto"/>
        <w:jc w:val="both"/>
        <w:rPr>
          <w:rFonts w:ascii="Times New Roman" w:eastAsia="Times New Roman" w:hAnsi="Times New Roman" w:cs="Times New Roman"/>
          <w:lang w:val="en-US"/>
        </w:rPr>
      </w:pPr>
      <w:r w:rsidRPr="00850EC7">
        <w:rPr>
          <w:rFonts w:ascii="Times New Roman" w:eastAsia="Times New Roman" w:hAnsi="Times New Roman" w:cs="Times New Roman"/>
          <w:lang w:val="en-US"/>
        </w:rPr>
        <w:t xml:space="preserve">To be able to understand the connections in logistic field between the national economy and the HDF. </w:t>
      </w:r>
    </w:p>
    <w:p w:rsidR="00FB5F60" w:rsidRDefault="00FB5F60" w:rsidP="00980876">
      <w:pPr>
        <w:pStyle w:val="Listaszerbekezds"/>
        <w:widowControl w:val="0"/>
        <w:numPr>
          <w:ilvl w:val="0"/>
          <w:numId w:val="567"/>
        </w:numPr>
        <w:spacing w:before="120" w:after="120" w:line="240" w:lineRule="auto"/>
        <w:jc w:val="both"/>
        <w:rPr>
          <w:rFonts w:ascii="Times New Roman" w:eastAsia="Times New Roman" w:hAnsi="Times New Roman" w:cs="Times New Roman"/>
          <w:lang w:val="en-US"/>
        </w:rPr>
      </w:pPr>
      <w:r w:rsidRPr="00850EC7">
        <w:rPr>
          <w:rFonts w:ascii="Times New Roman" w:eastAsia="Times New Roman" w:hAnsi="Times New Roman" w:cs="Times New Roman"/>
          <w:lang w:val="en-US"/>
        </w:rPr>
        <w:t>To have ability to create new, innovative ideas in the given profession and post.</w:t>
      </w:r>
    </w:p>
    <w:p w:rsidR="00FB5F60" w:rsidRPr="00FB5F60" w:rsidRDefault="00FB5F60" w:rsidP="00980876">
      <w:pPr>
        <w:pStyle w:val="Listaszerbekezds"/>
        <w:widowControl w:val="0"/>
        <w:numPr>
          <w:ilvl w:val="0"/>
          <w:numId w:val="567"/>
        </w:numPr>
        <w:spacing w:before="120" w:after="120" w:line="240" w:lineRule="auto"/>
        <w:jc w:val="both"/>
        <w:rPr>
          <w:rFonts w:ascii="Times New Roman" w:eastAsia="Times New Roman" w:hAnsi="Times New Roman" w:cs="Times New Roman"/>
          <w:lang w:val="en-US"/>
        </w:rPr>
      </w:pPr>
      <w:r w:rsidRPr="00FB5F60">
        <w:rPr>
          <w:rFonts w:ascii="Times New Roman" w:eastAsia="Times New Roman" w:hAnsi="Times New Roman" w:cs="Times New Roman"/>
          <w:lang w:val="en-US"/>
        </w:rPr>
        <w:t>To have ability to lead and execute supply tasks both in peace and crisis time even in joint peace support operations.</w:t>
      </w:r>
    </w:p>
    <w:p w:rsidR="00FB5F60" w:rsidRPr="00002B61" w:rsidRDefault="00FB5F60" w:rsidP="00980876">
      <w:pPr>
        <w:pStyle w:val="Listaszerbekezds"/>
        <w:widowControl w:val="0"/>
        <w:numPr>
          <w:ilvl w:val="0"/>
          <w:numId w:val="567"/>
        </w:numPr>
        <w:spacing w:before="120" w:after="120" w:line="240" w:lineRule="auto"/>
        <w:jc w:val="both"/>
        <w:rPr>
          <w:rFonts w:ascii="Times New Roman" w:eastAsia="Times New Roman" w:hAnsi="Times New Roman" w:cs="Times New Roman"/>
          <w:lang w:val="en-GB"/>
        </w:rPr>
      </w:pPr>
      <w:r w:rsidRPr="00FB5F60">
        <w:rPr>
          <w:rFonts w:ascii="Times New Roman" w:eastAsia="Times New Roman" w:hAnsi="Times New Roman" w:cs="Times New Roman"/>
          <w:lang w:val="en-US"/>
        </w:rPr>
        <w:t>To have ability to</w:t>
      </w:r>
      <w:r>
        <w:rPr>
          <w:rFonts w:ascii="Times New Roman" w:eastAsia="Times New Roman" w:hAnsi="Times New Roman" w:cs="Times New Roman"/>
          <w:lang w:val="en-GB"/>
        </w:rPr>
        <w:t xml:space="preserve"> use the transportation infrastructure for military purposes.</w:t>
      </w:r>
    </w:p>
    <w:p w:rsidR="00FB5F60" w:rsidRPr="00850EC7" w:rsidRDefault="00FB5F60" w:rsidP="00FB5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425"/>
        <w:jc w:val="both"/>
        <w:rPr>
          <w:rFonts w:ascii="Times New Roman" w:eastAsia="Times New Roman" w:hAnsi="Times New Roman" w:cs="Times New Roman"/>
          <w:lang w:val="en-US" w:eastAsia="hu-HU"/>
        </w:rPr>
      </w:pPr>
      <w:r w:rsidRPr="00850EC7">
        <w:rPr>
          <w:rFonts w:ascii="Times New Roman" w:eastAsia="Times New Roman" w:hAnsi="Times New Roman" w:cs="Times New Roman"/>
          <w:b/>
          <w:lang w:val="en-US"/>
        </w:rPr>
        <w:t>Attitude:</w:t>
      </w:r>
      <w:r w:rsidRPr="00850EC7">
        <w:rPr>
          <w:rFonts w:ascii="Times New Roman" w:eastAsia="Times New Roman" w:hAnsi="Times New Roman" w:cs="Times New Roman"/>
          <w:lang w:val="en-US"/>
        </w:rPr>
        <w:t xml:space="preserve"> </w:t>
      </w:r>
    </w:p>
    <w:p w:rsidR="00FB5F60" w:rsidRPr="00850EC7" w:rsidRDefault="00FB5F60" w:rsidP="00980876">
      <w:pPr>
        <w:pStyle w:val="Listaszerbekezds"/>
        <w:widowControl w:val="0"/>
        <w:numPr>
          <w:ilvl w:val="0"/>
          <w:numId w:val="567"/>
        </w:numPr>
        <w:spacing w:before="120" w:after="120" w:line="240" w:lineRule="auto"/>
        <w:jc w:val="both"/>
        <w:rPr>
          <w:rFonts w:ascii="Times New Roman" w:eastAsia="Times New Roman" w:hAnsi="Times New Roman" w:cs="Times New Roman"/>
          <w:lang w:val="en-US"/>
        </w:rPr>
      </w:pPr>
      <w:r w:rsidRPr="00850EC7">
        <w:rPr>
          <w:rFonts w:ascii="Times New Roman" w:eastAsia="Times New Roman" w:hAnsi="Times New Roman" w:cs="Times New Roman"/>
          <w:lang w:val="en-US"/>
        </w:rPr>
        <w:t>To be committed to high standard work and accuracy.</w:t>
      </w:r>
    </w:p>
    <w:p w:rsidR="00FB5F60" w:rsidRPr="00850EC7" w:rsidRDefault="00FB5F60" w:rsidP="00980876">
      <w:pPr>
        <w:pStyle w:val="Listaszerbekezds"/>
        <w:widowControl w:val="0"/>
        <w:numPr>
          <w:ilvl w:val="0"/>
          <w:numId w:val="567"/>
        </w:numPr>
        <w:spacing w:before="120" w:after="120" w:line="240" w:lineRule="auto"/>
        <w:jc w:val="both"/>
        <w:rPr>
          <w:rFonts w:ascii="Times New Roman" w:eastAsia="Times New Roman" w:hAnsi="Times New Roman" w:cs="Times New Roman"/>
          <w:lang w:val="en-US"/>
        </w:rPr>
      </w:pPr>
      <w:r w:rsidRPr="00850EC7">
        <w:rPr>
          <w:rFonts w:ascii="Times New Roman" w:eastAsia="Times New Roman" w:hAnsi="Times New Roman" w:cs="Times New Roman"/>
          <w:lang w:val="en-US"/>
        </w:rPr>
        <w:t>To be able to recognize the advantages and opportunities offered by well-structured activities and to be seeking to understand the logical connections among logistic activities.</w:t>
      </w:r>
    </w:p>
    <w:p w:rsidR="00FB5F60" w:rsidRPr="00850EC7" w:rsidRDefault="00FB5F60" w:rsidP="00980876">
      <w:pPr>
        <w:pStyle w:val="Listaszerbekezds"/>
        <w:widowControl w:val="0"/>
        <w:numPr>
          <w:ilvl w:val="0"/>
          <w:numId w:val="567"/>
        </w:numPr>
        <w:spacing w:before="120" w:after="120" w:line="240" w:lineRule="auto"/>
        <w:jc w:val="both"/>
        <w:rPr>
          <w:rFonts w:ascii="Times New Roman" w:eastAsia="Times New Roman" w:hAnsi="Times New Roman" w:cs="Times New Roman"/>
          <w:lang w:val="en-US"/>
        </w:rPr>
      </w:pPr>
      <w:r w:rsidRPr="00850EC7">
        <w:rPr>
          <w:rFonts w:ascii="Times New Roman" w:eastAsia="Times New Roman" w:hAnsi="Times New Roman" w:cs="Times New Roman"/>
          <w:lang w:val="en-US"/>
        </w:rPr>
        <w:t>To be characterized by efficiency-based attitude.</w:t>
      </w:r>
    </w:p>
    <w:p w:rsidR="00FB5F60" w:rsidRPr="00850EC7" w:rsidRDefault="00FB5F60" w:rsidP="00FB5F60">
      <w:pPr>
        <w:widowControl w:val="0"/>
        <w:spacing w:before="120" w:after="120" w:line="240" w:lineRule="auto"/>
        <w:ind w:left="426"/>
        <w:jc w:val="both"/>
        <w:rPr>
          <w:rFonts w:ascii="Times New Roman" w:eastAsia="Times New Roman" w:hAnsi="Times New Roman" w:cs="Times New Roman"/>
          <w:lang w:val="en-US" w:eastAsia="hu-HU"/>
        </w:rPr>
      </w:pPr>
      <w:r w:rsidRPr="00850EC7">
        <w:rPr>
          <w:rFonts w:ascii="Times New Roman" w:eastAsia="Times New Roman" w:hAnsi="Times New Roman" w:cs="Times New Roman"/>
          <w:b/>
          <w:lang w:val="en-US"/>
        </w:rPr>
        <w:t xml:space="preserve">Autonomy and responsibility: </w:t>
      </w:r>
    </w:p>
    <w:p w:rsidR="00FB5F60" w:rsidRPr="00FB5F60" w:rsidRDefault="00FB5F60" w:rsidP="00980876">
      <w:pPr>
        <w:pStyle w:val="Listaszerbekezds"/>
        <w:widowControl w:val="0"/>
        <w:numPr>
          <w:ilvl w:val="0"/>
          <w:numId w:val="567"/>
        </w:numPr>
        <w:spacing w:before="120" w:after="120" w:line="240" w:lineRule="auto"/>
        <w:jc w:val="both"/>
        <w:rPr>
          <w:rFonts w:ascii="Times New Roman" w:eastAsia="Times New Roman" w:hAnsi="Times New Roman" w:cs="Times New Roman"/>
          <w:lang w:val="en-US"/>
        </w:rPr>
      </w:pPr>
      <w:r w:rsidRPr="00850EC7">
        <w:rPr>
          <w:rFonts w:ascii="Times New Roman" w:eastAsia="Times New Roman" w:hAnsi="Times New Roman" w:cs="Times New Roman"/>
          <w:bCs/>
          <w:lang w:val="en-US"/>
        </w:rPr>
        <w:t xml:space="preserve">To have </w:t>
      </w:r>
      <w:r w:rsidRPr="00FB5F60">
        <w:rPr>
          <w:rFonts w:ascii="Times New Roman" w:eastAsia="Times New Roman" w:hAnsi="Times New Roman" w:cs="Times New Roman"/>
          <w:lang w:val="en-US"/>
        </w:rPr>
        <w:t>intention to cooperate and coordinate with other professions in the daily tasks.</w:t>
      </w:r>
    </w:p>
    <w:p w:rsidR="00FB5F60" w:rsidRPr="00850EC7" w:rsidRDefault="00FB5F60" w:rsidP="00980876">
      <w:pPr>
        <w:pStyle w:val="Listaszerbekezds"/>
        <w:widowControl w:val="0"/>
        <w:numPr>
          <w:ilvl w:val="0"/>
          <w:numId w:val="567"/>
        </w:numPr>
        <w:spacing w:before="120" w:after="120" w:line="240" w:lineRule="auto"/>
        <w:jc w:val="both"/>
        <w:rPr>
          <w:rFonts w:ascii="Times New Roman" w:eastAsia="Times New Roman" w:hAnsi="Times New Roman" w:cs="Times New Roman"/>
          <w:lang w:val="en-US"/>
        </w:rPr>
      </w:pPr>
      <w:r w:rsidRPr="00FB5F60">
        <w:rPr>
          <w:rFonts w:ascii="Times New Roman" w:eastAsia="Times New Roman" w:hAnsi="Times New Roman" w:cs="Times New Roman"/>
          <w:lang w:val="en-US"/>
        </w:rPr>
        <w:t>To possess system</w:t>
      </w:r>
      <w:r w:rsidRPr="00850EC7">
        <w:rPr>
          <w:rFonts w:ascii="Times New Roman" w:eastAsia="Times New Roman" w:hAnsi="Times New Roman" w:cs="Times New Roman"/>
          <w:bCs/>
          <w:lang w:val="en-US"/>
        </w:rPr>
        <w:t>-based approach towards professional tasks and challenges.</w:t>
      </w:r>
    </w:p>
    <w:p w:rsidR="00FB5F60" w:rsidRPr="00850EC7" w:rsidRDefault="00FB5F60" w:rsidP="00980876">
      <w:pPr>
        <w:widowControl w:val="0"/>
        <w:numPr>
          <w:ilvl w:val="0"/>
          <w:numId w:val="566"/>
        </w:numPr>
        <w:tabs>
          <w:tab w:val="num" w:pos="567"/>
        </w:tabs>
        <w:spacing w:before="120" w:after="120" w:line="240" w:lineRule="auto"/>
        <w:ind w:left="426" w:hanging="142"/>
        <w:jc w:val="both"/>
        <w:rPr>
          <w:rFonts w:ascii="Times New Roman" w:eastAsia="Times New Roman" w:hAnsi="Times New Roman" w:cs="Times New Roman"/>
          <w:bCs/>
          <w:lang w:val="en-US"/>
        </w:rPr>
      </w:pPr>
      <w:r w:rsidRPr="00850EC7">
        <w:rPr>
          <w:rFonts w:ascii="Times New Roman" w:eastAsia="Times New Roman" w:hAnsi="Times New Roman" w:cs="Times New Roman"/>
          <w:b/>
          <w:bCs/>
          <w:lang w:val="en-US"/>
        </w:rPr>
        <w:lastRenderedPageBreak/>
        <w:t xml:space="preserve">Required previous studies: </w:t>
      </w:r>
      <w:r w:rsidRPr="00850EC7">
        <w:rPr>
          <w:rFonts w:ascii="Times New Roman" w:eastAsia="Times New Roman" w:hAnsi="Times New Roman" w:cs="Times New Roman"/>
          <w:lang w:val="en-US" w:eastAsia="hu-HU"/>
        </w:rPr>
        <w:t>-</w:t>
      </w:r>
      <w:r w:rsidRPr="00850EC7">
        <w:rPr>
          <w:rFonts w:ascii="Times New Roman" w:eastAsia="Times New Roman" w:hAnsi="Times New Roman" w:cs="Times New Roman"/>
          <w:bCs/>
          <w:lang w:val="en-US"/>
        </w:rPr>
        <w:t xml:space="preserve"> </w:t>
      </w:r>
    </w:p>
    <w:p w:rsidR="00FB5F60" w:rsidRPr="00850EC7" w:rsidRDefault="00FB5F60" w:rsidP="00980876">
      <w:pPr>
        <w:widowControl w:val="0"/>
        <w:numPr>
          <w:ilvl w:val="0"/>
          <w:numId w:val="566"/>
        </w:numPr>
        <w:spacing w:before="120" w:after="120" w:line="240" w:lineRule="auto"/>
        <w:ind w:left="426" w:hanging="142"/>
        <w:jc w:val="both"/>
        <w:rPr>
          <w:rFonts w:ascii="Times New Roman" w:eastAsia="Times New Roman" w:hAnsi="Times New Roman" w:cs="Times New Roman"/>
          <w:b/>
          <w:bCs/>
          <w:lang w:val="en-US"/>
        </w:rPr>
      </w:pPr>
      <w:r w:rsidRPr="00850EC7">
        <w:rPr>
          <w:rFonts w:ascii="Times New Roman" w:eastAsia="Times New Roman" w:hAnsi="Times New Roman" w:cs="Times New Roman"/>
          <w:b/>
          <w:bCs/>
          <w:lang w:val="en-US"/>
        </w:rPr>
        <w:t>The syllabus of the subject:</w:t>
      </w:r>
    </w:p>
    <w:p w:rsidR="00FB5F60" w:rsidRPr="00BA11FF" w:rsidRDefault="00FB5F60" w:rsidP="00980876">
      <w:pPr>
        <w:widowControl w:val="0"/>
        <w:numPr>
          <w:ilvl w:val="1"/>
          <w:numId w:val="566"/>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lang w:val="en-US"/>
        </w:rPr>
      </w:pPr>
      <w:r w:rsidRPr="00BA11FF">
        <w:rPr>
          <w:rFonts w:ascii="Times New Roman" w:eastAsia="Times New Roman" w:hAnsi="Times New Roman" w:cs="Times New Roman"/>
          <w:lang w:val="en-US"/>
        </w:rPr>
        <w:t>Relation between economy and defense.</w:t>
      </w:r>
    </w:p>
    <w:p w:rsidR="00FB5F60" w:rsidRPr="00BA11FF" w:rsidRDefault="00FB5F60" w:rsidP="00980876">
      <w:pPr>
        <w:widowControl w:val="0"/>
        <w:numPr>
          <w:ilvl w:val="1"/>
          <w:numId w:val="566"/>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lang w:val="en-US"/>
        </w:rPr>
      </w:pPr>
      <w:r w:rsidRPr="00BA11FF">
        <w:rPr>
          <w:rFonts w:ascii="Times New Roman" w:eastAsia="Times New Roman" w:hAnsi="Times New Roman" w:cs="Times New Roman"/>
          <w:bCs/>
          <w:lang w:val="en-US"/>
        </w:rPr>
        <w:t>Economic security and its subsystems.</w:t>
      </w:r>
    </w:p>
    <w:p w:rsidR="00FB5F60" w:rsidRPr="00BA11FF" w:rsidRDefault="00FB5F60" w:rsidP="00980876">
      <w:pPr>
        <w:widowControl w:val="0"/>
        <w:numPr>
          <w:ilvl w:val="1"/>
          <w:numId w:val="566"/>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lang w:val="en-US"/>
        </w:rPr>
      </w:pPr>
      <w:r w:rsidRPr="00BA11FF">
        <w:rPr>
          <w:rFonts w:ascii="Times New Roman" w:eastAsia="Times New Roman" w:hAnsi="Times New Roman" w:cs="Times New Roman"/>
          <w:bCs/>
          <w:lang w:val="en-US"/>
        </w:rPr>
        <w:t>Supply security, critical infrastructures.</w:t>
      </w:r>
    </w:p>
    <w:p w:rsidR="00FB5F60" w:rsidRPr="00BA11FF" w:rsidRDefault="00FB5F60" w:rsidP="00980876">
      <w:pPr>
        <w:widowControl w:val="0"/>
        <w:numPr>
          <w:ilvl w:val="1"/>
          <w:numId w:val="566"/>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lang w:val="en-US"/>
        </w:rPr>
      </w:pPr>
      <w:r w:rsidRPr="00BA11FF">
        <w:rPr>
          <w:rFonts w:ascii="Times New Roman" w:eastAsia="Times New Roman" w:hAnsi="Times New Roman" w:cs="Times New Roman"/>
          <w:lang w:val="en-US"/>
        </w:rPr>
        <w:t xml:space="preserve"> International economic and technological environment of defense</w:t>
      </w:r>
      <w:r>
        <w:rPr>
          <w:rFonts w:ascii="Times New Roman" w:eastAsia="Times New Roman" w:hAnsi="Times New Roman" w:cs="Times New Roman"/>
          <w:bCs/>
          <w:lang w:val="en-US"/>
        </w:rPr>
        <w:t>.</w:t>
      </w:r>
    </w:p>
    <w:p w:rsidR="00FB5F60" w:rsidRPr="00BA11FF" w:rsidRDefault="00FB5F60" w:rsidP="00980876">
      <w:pPr>
        <w:widowControl w:val="0"/>
        <w:numPr>
          <w:ilvl w:val="1"/>
          <w:numId w:val="566"/>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lang w:val="en-US"/>
        </w:rPr>
      </w:pPr>
      <w:r w:rsidRPr="00BA11FF">
        <w:rPr>
          <w:rFonts w:ascii="Times New Roman" w:eastAsia="Times New Roman" w:hAnsi="Times New Roman" w:cs="Times New Roman"/>
          <w:lang w:val="en-US"/>
        </w:rPr>
        <w:t>Defense industry, R+D+I, arms trade</w:t>
      </w:r>
      <w:r>
        <w:rPr>
          <w:rFonts w:ascii="Times New Roman" w:eastAsia="Times New Roman" w:hAnsi="Times New Roman" w:cs="Times New Roman"/>
          <w:lang w:val="en-US"/>
        </w:rPr>
        <w:t>.</w:t>
      </w:r>
    </w:p>
    <w:p w:rsidR="00FB5F60" w:rsidRPr="00BA11FF" w:rsidRDefault="00FB5F60" w:rsidP="00980876">
      <w:pPr>
        <w:widowControl w:val="0"/>
        <w:numPr>
          <w:ilvl w:val="1"/>
          <w:numId w:val="566"/>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lang w:val="en-US"/>
        </w:rPr>
      </w:pPr>
      <w:r w:rsidRPr="00BA11FF">
        <w:rPr>
          <w:rFonts w:ascii="Times New Roman" w:eastAsia="Times New Roman" w:hAnsi="Times New Roman" w:cs="Times New Roman"/>
          <w:lang w:val="en-US"/>
        </w:rPr>
        <w:t>Defense acquisition, defense inflation</w:t>
      </w:r>
      <w:r>
        <w:rPr>
          <w:rFonts w:ascii="Times New Roman" w:eastAsia="Times New Roman" w:hAnsi="Times New Roman" w:cs="Times New Roman"/>
          <w:lang w:val="en-US"/>
        </w:rPr>
        <w:t>.</w:t>
      </w:r>
    </w:p>
    <w:p w:rsidR="00FB5F60" w:rsidRPr="00BA11FF" w:rsidRDefault="00FB5F60" w:rsidP="00980876">
      <w:pPr>
        <w:widowControl w:val="0"/>
        <w:numPr>
          <w:ilvl w:val="1"/>
          <w:numId w:val="566"/>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lang w:val="en-US"/>
        </w:rPr>
      </w:pPr>
      <w:r w:rsidRPr="00BA11FF">
        <w:rPr>
          <w:rFonts w:ascii="Times New Roman" w:eastAsia="Times New Roman" w:hAnsi="Times New Roman" w:cs="Times New Roman"/>
          <w:lang w:val="en-US"/>
        </w:rPr>
        <w:t>Defense planning systems</w:t>
      </w:r>
      <w:r>
        <w:rPr>
          <w:rFonts w:ascii="Times New Roman" w:eastAsia="Times New Roman" w:hAnsi="Times New Roman" w:cs="Times New Roman"/>
          <w:lang w:val="en-US"/>
        </w:rPr>
        <w:t>.</w:t>
      </w:r>
    </w:p>
    <w:p w:rsidR="00FB5F60" w:rsidRPr="00BA11FF" w:rsidRDefault="00FB5F60" w:rsidP="00980876">
      <w:pPr>
        <w:widowControl w:val="0"/>
        <w:numPr>
          <w:ilvl w:val="1"/>
          <w:numId w:val="566"/>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lang w:val="en-US"/>
        </w:rPr>
      </w:pPr>
      <w:r w:rsidRPr="00BA11FF">
        <w:rPr>
          <w:rFonts w:ascii="Times New Roman" w:eastAsia="Times New Roman" w:hAnsi="Times New Roman" w:cs="Times New Roman"/>
          <w:lang w:val="en-US"/>
        </w:rPr>
        <w:t>Defense costs</w:t>
      </w:r>
      <w:r>
        <w:rPr>
          <w:rFonts w:ascii="Times New Roman" w:eastAsia="Times New Roman" w:hAnsi="Times New Roman" w:cs="Times New Roman"/>
          <w:lang w:val="en-US"/>
        </w:rPr>
        <w:t>.</w:t>
      </w:r>
    </w:p>
    <w:p w:rsidR="00FB5F60" w:rsidRPr="00BA11FF" w:rsidRDefault="00FB5F60" w:rsidP="00980876">
      <w:pPr>
        <w:widowControl w:val="0"/>
        <w:numPr>
          <w:ilvl w:val="1"/>
          <w:numId w:val="566"/>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lang w:val="en-US"/>
        </w:rPr>
      </w:pPr>
      <w:r>
        <w:rPr>
          <w:rFonts w:ascii="Times New Roman" w:eastAsia="Times New Roman" w:hAnsi="Times New Roman" w:cs="Times New Roman"/>
        </w:rPr>
        <w:t>Economic mobilization</w:t>
      </w:r>
    </w:p>
    <w:p w:rsidR="00FB5F60" w:rsidRPr="000278E9" w:rsidRDefault="00FB5F60" w:rsidP="00980876">
      <w:pPr>
        <w:widowControl w:val="0"/>
        <w:numPr>
          <w:ilvl w:val="1"/>
          <w:numId w:val="566"/>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bCs/>
          <w:lang w:val="en-US"/>
        </w:rPr>
      </w:pPr>
      <w:r w:rsidRPr="000278E9">
        <w:rPr>
          <w:rFonts w:ascii="Times New Roman" w:eastAsia="Times New Roman" w:hAnsi="Times New Roman" w:cs="Times New Roman"/>
        </w:rPr>
        <w:t xml:space="preserve"> </w:t>
      </w:r>
      <w:r>
        <w:rPr>
          <w:rFonts w:ascii="Times New Roman" w:eastAsia="Times New Roman" w:hAnsi="Times New Roman" w:cs="Times New Roman"/>
        </w:rPr>
        <w:t>Economics of peacebuilding.</w:t>
      </w:r>
    </w:p>
    <w:p w:rsidR="00FB5F60" w:rsidRPr="00850EC7" w:rsidRDefault="00FB5F60" w:rsidP="00980876">
      <w:pPr>
        <w:widowControl w:val="0"/>
        <w:numPr>
          <w:ilvl w:val="0"/>
          <w:numId w:val="566"/>
        </w:numPr>
        <w:spacing w:before="120" w:after="120" w:line="240" w:lineRule="auto"/>
        <w:ind w:left="426" w:hanging="142"/>
        <w:jc w:val="both"/>
        <w:rPr>
          <w:rFonts w:ascii="Times New Roman" w:eastAsia="Times New Roman" w:hAnsi="Times New Roman" w:cs="Times New Roman"/>
          <w:bCs/>
          <w:lang w:val="en-US"/>
        </w:rPr>
      </w:pPr>
      <w:r w:rsidRPr="00850EC7">
        <w:rPr>
          <w:rFonts w:ascii="Times New Roman" w:eastAsia="Times New Roman" w:hAnsi="Times New Roman" w:cs="Times New Roman"/>
          <w:b/>
          <w:bCs/>
          <w:lang w:val="en-US"/>
        </w:rPr>
        <w:t xml:space="preserve">The frequency of offering the subject/its position in the curriculum of the term: </w:t>
      </w:r>
      <w:r w:rsidRPr="00850EC7">
        <w:rPr>
          <w:rFonts w:ascii="Times New Roman" w:eastAsia="Times New Roman" w:hAnsi="Times New Roman" w:cs="Times New Roman"/>
          <w:lang w:val="en-US" w:eastAsia="hu-HU"/>
        </w:rPr>
        <w:t xml:space="preserve">in </w:t>
      </w:r>
      <w:r>
        <w:rPr>
          <w:rFonts w:ascii="Times New Roman" w:eastAsia="Times New Roman" w:hAnsi="Times New Roman" w:cs="Times New Roman"/>
          <w:bCs/>
          <w:lang w:val="en-US"/>
        </w:rPr>
        <w:t>spring</w:t>
      </w:r>
      <w:r w:rsidRPr="00850EC7">
        <w:rPr>
          <w:rFonts w:ascii="Times New Roman" w:eastAsia="Times New Roman" w:hAnsi="Times New Roman" w:cs="Times New Roman"/>
          <w:bCs/>
          <w:lang w:val="en-US"/>
        </w:rPr>
        <w:t xml:space="preserve"> semester</w:t>
      </w:r>
    </w:p>
    <w:p w:rsidR="00FB5F60" w:rsidRPr="00850EC7" w:rsidRDefault="00FB5F60" w:rsidP="00980876">
      <w:pPr>
        <w:widowControl w:val="0"/>
        <w:numPr>
          <w:ilvl w:val="0"/>
          <w:numId w:val="566"/>
        </w:numPr>
        <w:spacing w:before="120" w:after="120" w:line="240" w:lineRule="auto"/>
        <w:ind w:left="426" w:hanging="142"/>
        <w:jc w:val="both"/>
        <w:rPr>
          <w:rFonts w:ascii="Times New Roman" w:eastAsia="Times New Roman" w:hAnsi="Times New Roman" w:cs="Times New Roman"/>
          <w:bCs/>
          <w:lang w:val="en-US"/>
        </w:rPr>
      </w:pPr>
      <w:r w:rsidRPr="00850EC7">
        <w:rPr>
          <w:rFonts w:ascii="Times New Roman" w:eastAsia="Times New Roman" w:hAnsi="Times New Roman" w:cs="Times New Roman"/>
          <w:b/>
          <w:bCs/>
          <w:lang w:val="en-US"/>
        </w:rPr>
        <w:t>Requirements of attendance, acceptable absence, opportunity for making up missed classes:</w:t>
      </w:r>
    </w:p>
    <w:p w:rsidR="00FB5F60" w:rsidRPr="00850EC7" w:rsidRDefault="00FB5F60" w:rsidP="00FB5F60">
      <w:pPr>
        <w:widowControl w:val="0"/>
        <w:spacing w:before="120" w:after="120" w:line="240" w:lineRule="auto"/>
        <w:ind w:left="426"/>
        <w:jc w:val="both"/>
        <w:rPr>
          <w:rFonts w:ascii="Times New Roman" w:eastAsia="Times New Roman" w:hAnsi="Times New Roman" w:cs="Times New Roman"/>
          <w:bCs/>
          <w:lang w:val="en-US"/>
        </w:rPr>
      </w:pPr>
      <w:r w:rsidRPr="00850EC7">
        <w:rPr>
          <w:rFonts w:ascii="Times New Roman" w:eastAsia="Times New Roman" w:hAnsi="Times New Roman" w:cs="Times New Roman"/>
          <w:lang w:val="en-US" w:eastAsia="hu-HU"/>
        </w:rPr>
        <w:t xml:space="preserve">Attendance is </w:t>
      </w:r>
      <w:r>
        <w:rPr>
          <w:rFonts w:ascii="Times New Roman" w:eastAsia="Times New Roman" w:hAnsi="Times New Roman" w:cs="Times New Roman"/>
          <w:lang w:val="en-US" w:eastAsia="hu-HU"/>
        </w:rPr>
        <w:t>suggested,</w:t>
      </w:r>
      <w:r w:rsidRPr="00850EC7">
        <w:rPr>
          <w:rFonts w:ascii="Times New Roman" w:eastAsia="Times New Roman" w:hAnsi="Times New Roman" w:cs="Times New Roman"/>
          <w:lang w:val="en-US" w:eastAsia="hu-HU"/>
        </w:rPr>
        <w:t xml:space="preserve"> but not compulsory, except of the seminar lessons. </w:t>
      </w:r>
    </w:p>
    <w:p w:rsidR="00FB5F60" w:rsidRPr="00850EC7" w:rsidRDefault="00FB5F60" w:rsidP="00980876">
      <w:pPr>
        <w:widowControl w:val="0"/>
        <w:numPr>
          <w:ilvl w:val="0"/>
          <w:numId w:val="566"/>
        </w:numPr>
        <w:spacing w:before="120" w:after="120" w:line="240" w:lineRule="auto"/>
        <w:ind w:left="426" w:hanging="142"/>
        <w:jc w:val="both"/>
        <w:rPr>
          <w:rFonts w:ascii="Times New Roman" w:eastAsia="Times New Roman" w:hAnsi="Times New Roman" w:cs="Times New Roman"/>
          <w:bCs/>
          <w:lang w:val="en-US"/>
        </w:rPr>
      </w:pPr>
      <w:r w:rsidRPr="00850EC7">
        <w:rPr>
          <w:rFonts w:ascii="Times New Roman" w:eastAsia="Times New Roman" w:hAnsi="Times New Roman" w:cs="Times New Roman"/>
          <w:b/>
          <w:lang w:val="en-US"/>
        </w:rPr>
        <w:t>Term assignments, testing knowledge:</w:t>
      </w:r>
    </w:p>
    <w:p w:rsidR="00FB5F60" w:rsidRPr="00850EC7" w:rsidRDefault="00FB5F60" w:rsidP="00FB5F60">
      <w:pPr>
        <w:widowControl w:val="0"/>
        <w:spacing w:before="120" w:after="120" w:line="240" w:lineRule="auto"/>
        <w:ind w:left="426"/>
        <w:jc w:val="both"/>
        <w:rPr>
          <w:rFonts w:ascii="Times New Roman" w:eastAsia="Times New Roman" w:hAnsi="Times New Roman" w:cs="Times New Roman"/>
          <w:bCs/>
          <w:lang w:val="en-US"/>
        </w:rPr>
      </w:pPr>
      <w:r>
        <w:rPr>
          <w:rFonts w:ascii="Times New Roman" w:eastAsia="Times New Roman" w:hAnsi="Times New Roman" w:cs="Times New Roman"/>
          <w:lang w:val="en-US" w:eastAsia="hu-HU"/>
        </w:rPr>
        <w:t>Knowledge is testing on written test.</w:t>
      </w:r>
    </w:p>
    <w:p w:rsidR="00FB5F60" w:rsidRPr="00850EC7" w:rsidRDefault="00FB5F60" w:rsidP="00980876">
      <w:pPr>
        <w:widowControl w:val="0"/>
        <w:numPr>
          <w:ilvl w:val="0"/>
          <w:numId w:val="566"/>
        </w:numPr>
        <w:spacing w:before="120" w:after="120" w:line="240" w:lineRule="auto"/>
        <w:ind w:left="426" w:hanging="142"/>
        <w:jc w:val="both"/>
        <w:rPr>
          <w:rFonts w:ascii="Times New Roman" w:eastAsia="Times New Roman" w:hAnsi="Times New Roman" w:cs="Times New Roman"/>
          <w:b/>
          <w:bCs/>
          <w:lang w:val="en-US"/>
        </w:rPr>
      </w:pPr>
      <w:r w:rsidRPr="00850EC7">
        <w:rPr>
          <w:rFonts w:ascii="Times New Roman" w:eastAsia="Times New Roman" w:hAnsi="Times New Roman" w:cs="Times New Roman"/>
          <w:b/>
          <w:bCs/>
          <w:lang w:val="en-US"/>
        </w:rPr>
        <w:t xml:space="preserve">The exact conditions of testing knowledge, obtaining signature or credits: </w:t>
      </w:r>
    </w:p>
    <w:p w:rsidR="00FB5F60" w:rsidRPr="00850EC7" w:rsidRDefault="00FB5F60" w:rsidP="00980876">
      <w:pPr>
        <w:widowControl w:val="0"/>
        <w:numPr>
          <w:ilvl w:val="1"/>
          <w:numId w:val="566"/>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lang w:val="en-US"/>
        </w:rPr>
      </w:pPr>
      <w:r w:rsidRPr="00850EC7">
        <w:rPr>
          <w:rFonts w:ascii="Times New Roman" w:eastAsia="Times New Roman" w:hAnsi="Times New Roman" w:cs="Times New Roman"/>
          <w:b/>
          <w:lang w:val="en-US"/>
        </w:rPr>
        <w:t>The exact conditions of obtaining signature:</w:t>
      </w:r>
    </w:p>
    <w:p w:rsidR="00FB5F60" w:rsidRPr="00850EC7" w:rsidRDefault="00FB5F60" w:rsidP="00FB5F60">
      <w:pPr>
        <w:widowControl w:val="0"/>
        <w:tabs>
          <w:tab w:val="left" w:pos="993"/>
        </w:tabs>
        <w:spacing w:before="120" w:after="120" w:line="240" w:lineRule="auto"/>
        <w:ind w:left="426"/>
        <w:jc w:val="both"/>
        <w:rPr>
          <w:rFonts w:ascii="Times New Roman" w:eastAsia="Times New Roman" w:hAnsi="Times New Roman" w:cs="Times New Roman"/>
          <w:lang w:val="en-US"/>
        </w:rPr>
      </w:pPr>
      <w:r>
        <w:rPr>
          <w:rFonts w:ascii="Times New Roman" w:eastAsia="Times New Roman" w:hAnsi="Times New Roman" w:cs="Times New Roman"/>
          <w:lang w:val="en-US" w:eastAsia="hu-HU"/>
        </w:rPr>
        <w:t>Taking part on the seminar lessons and writing the test on the last lesson.</w:t>
      </w:r>
    </w:p>
    <w:p w:rsidR="00FB5F60" w:rsidRPr="00850EC7" w:rsidRDefault="00FB5F60" w:rsidP="00980876">
      <w:pPr>
        <w:widowControl w:val="0"/>
        <w:numPr>
          <w:ilvl w:val="1"/>
          <w:numId w:val="566"/>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lang w:val="en-US"/>
        </w:rPr>
      </w:pPr>
      <w:r w:rsidRPr="00850EC7">
        <w:rPr>
          <w:rFonts w:ascii="Times New Roman" w:eastAsia="Times New Roman" w:hAnsi="Times New Roman" w:cs="Times New Roman"/>
          <w:b/>
          <w:lang w:val="en-US"/>
        </w:rPr>
        <w:t>Evaluation:</w:t>
      </w:r>
    </w:p>
    <w:p w:rsidR="00FB5F60" w:rsidRPr="00850EC7" w:rsidRDefault="00FB5F60" w:rsidP="00FB5F60">
      <w:pPr>
        <w:widowControl w:val="0"/>
        <w:tabs>
          <w:tab w:val="left" w:pos="993"/>
          <w:tab w:val="num" w:pos="3977"/>
        </w:tabs>
        <w:spacing w:before="120" w:after="120" w:line="240" w:lineRule="auto"/>
        <w:ind w:left="426"/>
        <w:jc w:val="both"/>
        <w:rPr>
          <w:rFonts w:ascii="Times New Roman" w:eastAsia="Times New Roman" w:hAnsi="Times New Roman" w:cs="Times New Roman"/>
          <w:lang w:val="en-US"/>
        </w:rPr>
      </w:pPr>
      <w:r w:rsidRPr="00850EC7">
        <w:rPr>
          <w:rFonts w:ascii="Times New Roman" w:eastAsia="Times New Roman" w:hAnsi="Times New Roman" w:cs="Times New Roman"/>
          <w:lang w:val="en-US"/>
        </w:rPr>
        <w:t>Evaluation is in 5-point grading scale. Grading involves the quality of the presentation and the result of the written exam.</w:t>
      </w:r>
    </w:p>
    <w:p w:rsidR="00FB5F60" w:rsidRPr="00850EC7" w:rsidRDefault="00FB5F60" w:rsidP="00980876">
      <w:pPr>
        <w:widowControl w:val="0"/>
        <w:numPr>
          <w:ilvl w:val="1"/>
          <w:numId w:val="566"/>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lang w:val="en-US"/>
        </w:rPr>
      </w:pPr>
      <w:r w:rsidRPr="00850EC7">
        <w:rPr>
          <w:rFonts w:ascii="Times New Roman" w:eastAsia="Times New Roman" w:hAnsi="Times New Roman" w:cs="Times New Roman"/>
          <w:b/>
          <w:lang w:val="en-US"/>
        </w:rPr>
        <w:t>The exact conditions of obtaining credits:</w:t>
      </w:r>
      <w:r w:rsidRPr="00850EC7">
        <w:rPr>
          <w:rFonts w:ascii="Times New Roman" w:eastAsia="Times New Roman" w:hAnsi="Times New Roman" w:cs="Times New Roman"/>
          <w:lang w:val="en-US"/>
        </w:rPr>
        <w:t xml:space="preserve"> </w:t>
      </w:r>
    </w:p>
    <w:p w:rsidR="00FB5F60" w:rsidRPr="00850EC7" w:rsidRDefault="00FB5F60" w:rsidP="00FB5F60">
      <w:pPr>
        <w:widowControl w:val="0"/>
        <w:tabs>
          <w:tab w:val="left" w:pos="993"/>
        </w:tabs>
        <w:spacing w:before="120" w:after="120" w:line="240" w:lineRule="auto"/>
        <w:ind w:left="426"/>
        <w:jc w:val="both"/>
        <w:rPr>
          <w:rFonts w:ascii="Times New Roman" w:eastAsia="Times New Roman" w:hAnsi="Times New Roman" w:cs="Times New Roman"/>
          <w:lang w:val="en-US"/>
        </w:rPr>
      </w:pPr>
      <w:r w:rsidRPr="00850EC7">
        <w:rPr>
          <w:rFonts w:ascii="Times New Roman" w:eastAsia="Times New Roman" w:hAnsi="Times New Roman" w:cs="Times New Roman"/>
          <w:lang w:val="en-US" w:eastAsia="hu-HU"/>
        </w:rPr>
        <w:t xml:space="preserve">Taking part </w:t>
      </w:r>
      <w:r>
        <w:rPr>
          <w:rFonts w:ascii="Times New Roman" w:eastAsia="Times New Roman" w:hAnsi="Times New Roman" w:cs="Times New Roman"/>
          <w:lang w:val="en-US" w:eastAsia="hu-HU"/>
        </w:rPr>
        <w:t xml:space="preserve">on the seminars </w:t>
      </w:r>
      <w:r w:rsidRPr="00850EC7">
        <w:rPr>
          <w:rFonts w:ascii="Times New Roman" w:eastAsia="Times New Roman" w:hAnsi="Times New Roman" w:cs="Times New Roman"/>
          <w:lang w:val="en-US" w:eastAsia="hu-HU"/>
        </w:rPr>
        <w:t xml:space="preserve">and passing the written test. </w:t>
      </w:r>
    </w:p>
    <w:p w:rsidR="00FB5F60" w:rsidRPr="00850EC7" w:rsidRDefault="00FB5F60" w:rsidP="00980876">
      <w:pPr>
        <w:widowControl w:val="0"/>
        <w:numPr>
          <w:ilvl w:val="0"/>
          <w:numId w:val="566"/>
        </w:numPr>
        <w:spacing w:before="120" w:after="120" w:line="240" w:lineRule="auto"/>
        <w:ind w:left="426" w:hanging="142"/>
        <w:jc w:val="both"/>
        <w:rPr>
          <w:rFonts w:ascii="Times New Roman" w:eastAsia="Times New Roman" w:hAnsi="Times New Roman" w:cs="Times New Roman"/>
          <w:bCs/>
          <w:lang w:val="en-US"/>
        </w:rPr>
      </w:pPr>
      <w:r w:rsidRPr="00850EC7">
        <w:rPr>
          <w:rFonts w:ascii="Times New Roman" w:eastAsia="Times New Roman" w:hAnsi="Times New Roman" w:cs="Times New Roman"/>
          <w:b/>
          <w:bCs/>
          <w:lang w:val="en-US"/>
        </w:rPr>
        <w:t>Bibliography:</w:t>
      </w:r>
    </w:p>
    <w:p w:rsidR="00FB5F60" w:rsidRPr="00850EC7" w:rsidRDefault="00FB5F60" w:rsidP="00980876">
      <w:pPr>
        <w:widowControl w:val="0"/>
        <w:numPr>
          <w:ilvl w:val="1"/>
          <w:numId w:val="566"/>
        </w:numPr>
        <w:tabs>
          <w:tab w:val="left" w:pos="993"/>
          <w:tab w:val="num" w:pos="2069"/>
        </w:tabs>
        <w:spacing w:before="120" w:after="120" w:line="240" w:lineRule="auto"/>
        <w:ind w:left="426" w:hanging="142"/>
        <w:jc w:val="both"/>
        <w:rPr>
          <w:rFonts w:ascii="Times New Roman" w:eastAsia="Times New Roman" w:hAnsi="Times New Roman" w:cs="Times New Roman"/>
          <w:bCs/>
          <w:lang w:val="en-US"/>
        </w:rPr>
      </w:pPr>
      <w:r w:rsidRPr="00850EC7">
        <w:rPr>
          <w:rFonts w:ascii="Times New Roman" w:eastAsia="Times New Roman" w:hAnsi="Times New Roman" w:cs="Times New Roman"/>
          <w:b/>
          <w:bCs/>
          <w:lang w:val="en-US"/>
        </w:rPr>
        <w:t>Compulsory readings:</w:t>
      </w:r>
    </w:p>
    <w:p w:rsidR="00FB5F60" w:rsidRPr="00FB5F60" w:rsidRDefault="00FB5F60" w:rsidP="00980876">
      <w:pPr>
        <w:pStyle w:val="Listaszerbekezds"/>
        <w:widowControl w:val="0"/>
        <w:numPr>
          <w:ilvl w:val="0"/>
          <w:numId w:val="568"/>
        </w:numPr>
        <w:tabs>
          <w:tab w:val="left" w:pos="993"/>
          <w:tab w:val="num" w:pos="3977"/>
        </w:tabs>
        <w:spacing w:before="120" w:after="120" w:line="240" w:lineRule="auto"/>
        <w:jc w:val="both"/>
        <w:rPr>
          <w:rFonts w:ascii="Times New Roman" w:eastAsia="Times New Roman" w:hAnsi="Times New Roman" w:cs="Times New Roman"/>
          <w:bCs/>
          <w:lang w:val="en-US"/>
        </w:rPr>
      </w:pPr>
      <w:r w:rsidRPr="00FB5F60">
        <w:rPr>
          <w:rFonts w:ascii="Times New Roman" w:eastAsia="Times New Roman" w:hAnsi="Times New Roman" w:cs="Times New Roman"/>
          <w:bCs/>
          <w:lang w:val="en-US"/>
        </w:rPr>
        <w:t>Hartley, Keith: The Economics of Arms Agenda Publishing, 2017. ISBN 978-1-911116-23-3</w:t>
      </w:r>
    </w:p>
    <w:p w:rsidR="00FB5F60" w:rsidRPr="00FB5F60" w:rsidRDefault="00FB5F60" w:rsidP="00980876">
      <w:pPr>
        <w:pStyle w:val="Listaszerbekezds"/>
        <w:widowControl w:val="0"/>
        <w:numPr>
          <w:ilvl w:val="0"/>
          <w:numId w:val="568"/>
        </w:numPr>
        <w:tabs>
          <w:tab w:val="left" w:pos="993"/>
          <w:tab w:val="num" w:pos="3977"/>
        </w:tabs>
        <w:spacing w:before="120" w:after="120" w:line="240" w:lineRule="auto"/>
        <w:jc w:val="both"/>
        <w:rPr>
          <w:rFonts w:ascii="Times New Roman" w:eastAsia="Times New Roman" w:hAnsi="Times New Roman" w:cs="Times New Roman"/>
          <w:bCs/>
          <w:lang w:val="en-US"/>
        </w:rPr>
      </w:pPr>
      <w:r w:rsidRPr="00FB5F60">
        <w:rPr>
          <w:rFonts w:ascii="Times New Roman" w:eastAsia="Times New Roman" w:hAnsi="Times New Roman" w:cs="Times New Roman"/>
          <w:bCs/>
          <w:lang w:val="en-US"/>
        </w:rPr>
        <w:t>Gansler, Jacques S.: Democracy's Arsenal: Creating a Twenty-First-Century Defense Industry Cambridge, Mass: The MIT Press, 2011. ISBN: 9780262072991. 9780262525237. 9780262295260</w:t>
      </w:r>
    </w:p>
    <w:p w:rsidR="00FB5F60" w:rsidRPr="00850EC7" w:rsidRDefault="00FB5F60" w:rsidP="00980876">
      <w:pPr>
        <w:widowControl w:val="0"/>
        <w:numPr>
          <w:ilvl w:val="1"/>
          <w:numId w:val="566"/>
        </w:numPr>
        <w:tabs>
          <w:tab w:val="left" w:pos="993"/>
          <w:tab w:val="num" w:pos="2069"/>
        </w:tabs>
        <w:spacing w:before="120" w:after="120" w:line="240" w:lineRule="auto"/>
        <w:ind w:left="426" w:hanging="142"/>
        <w:jc w:val="both"/>
        <w:rPr>
          <w:rFonts w:ascii="Times New Roman" w:eastAsia="Times New Roman" w:hAnsi="Times New Roman" w:cs="Times New Roman"/>
          <w:b/>
          <w:bCs/>
          <w:lang w:val="en-US"/>
        </w:rPr>
      </w:pPr>
      <w:r w:rsidRPr="00850EC7">
        <w:rPr>
          <w:rFonts w:ascii="Times New Roman" w:eastAsia="Times New Roman" w:hAnsi="Times New Roman" w:cs="Times New Roman"/>
          <w:b/>
          <w:bCs/>
          <w:lang w:val="en-US"/>
        </w:rPr>
        <w:t>Recommended readings:</w:t>
      </w:r>
    </w:p>
    <w:p w:rsidR="00FB5F60" w:rsidRPr="00850EC7" w:rsidRDefault="00FB5F60" w:rsidP="00980876">
      <w:pPr>
        <w:pStyle w:val="Listaszerbekezds"/>
        <w:widowControl w:val="0"/>
        <w:numPr>
          <w:ilvl w:val="0"/>
          <w:numId w:val="569"/>
        </w:numPr>
        <w:tabs>
          <w:tab w:val="left" w:pos="993"/>
        </w:tabs>
        <w:spacing w:before="120" w:after="120" w:line="240" w:lineRule="auto"/>
        <w:jc w:val="both"/>
        <w:rPr>
          <w:rFonts w:ascii="Times New Roman" w:eastAsia="Times New Roman" w:hAnsi="Times New Roman" w:cs="Times New Roman"/>
          <w:bCs/>
          <w:lang w:val="en-US"/>
        </w:rPr>
      </w:pPr>
      <w:r w:rsidRPr="00FB5F60">
        <w:rPr>
          <w:rFonts w:ascii="Times New Roman" w:eastAsia="Times New Roman" w:hAnsi="Times New Roman" w:cs="Times New Roman"/>
          <w:bCs/>
          <w:lang w:val="en-US"/>
        </w:rPr>
        <w:t>Actual</w:t>
      </w:r>
      <w:r w:rsidRPr="00FE6075">
        <w:rPr>
          <w:rFonts w:ascii="Times New Roman" w:eastAsia="Times New Roman" w:hAnsi="Times New Roman" w:cs="Times New Roman"/>
          <w:lang w:val="en-US" w:eastAsia="hu-HU"/>
        </w:rPr>
        <w:t xml:space="preserve"> articles of the Defense News and other relevant defense journals and sites</w:t>
      </w:r>
    </w:p>
    <w:p w:rsidR="00FB5F60" w:rsidRDefault="00FB5F60" w:rsidP="00FB5F60">
      <w:pPr>
        <w:widowControl w:val="0"/>
        <w:spacing w:before="120" w:after="120" w:line="240" w:lineRule="auto"/>
        <w:ind w:firstLine="360"/>
        <w:jc w:val="both"/>
        <w:rPr>
          <w:rFonts w:ascii="Times New Roman" w:eastAsia="Times New Roman" w:hAnsi="Times New Roman" w:cs="Times New Roman"/>
          <w:bCs/>
          <w:lang w:val="en-US"/>
        </w:rPr>
      </w:pPr>
    </w:p>
    <w:p w:rsidR="00FB5F60" w:rsidRPr="00850EC7" w:rsidRDefault="00FB5F60" w:rsidP="00FB5F60">
      <w:pPr>
        <w:widowControl w:val="0"/>
        <w:spacing w:before="120" w:after="120" w:line="240" w:lineRule="auto"/>
        <w:ind w:firstLine="360"/>
        <w:jc w:val="both"/>
        <w:rPr>
          <w:rFonts w:ascii="Times New Roman" w:eastAsia="Times New Roman" w:hAnsi="Times New Roman" w:cs="Times New Roman"/>
          <w:bCs/>
          <w:lang w:val="en-US"/>
        </w:rPr>
      </w:pPr>
      <w:r w:rsidRPr="00850EC7">
        <w:rPr>
          <w:rFonts w:ascii="Times New Roman" w:eastAsia="Times New Roman" w:hAnsi="Times New Roman" w:cs="Times New Roman"/>
          <w:bCs/>
          <w:lang w:val="en-US"/>
        </w:rPr>
        <w:t xml:space="preserve">Budapest, </w:t>
      </w:r>
      <w:r w:rsidRPr="00850EC7">
        <w:rPr>
          <w:rFonts w:ascii="Times New Roman" w:eastAsia="Times New Roman" w:hAnsi="Times New Roman" w:cs="Times New Roman"/>
          <w:lang w:val="en-US" w:eastAsia="hu-HU"/>
        </w:rPr>
        <w:t>09.03.2020.</w:t>
      </w:r>
    </w:p>
    <w:p w:rsidR="00FB5F60" w:rsidRPr="00850EC7" w:rsidRDefault="00FB5F60" w:rsidP="00FB5F60">
      <w:pPr>
        <w:widowControl w:val="0"/>
        <w:spacing w:after="0" w:line="240" w:lineRule="auto"/>
        <w:jc w:val="right"/>
        <w:rPr>
          <w:rFonts w:ascii="Times New Roman" w:hAnsi="Times New Roman" w:cs="Times New Roman"/>
          <w:bCs/>
          <w:lang w:val="en-US"/>
        </w:rPr>
      </w:pPr>
      <w:r w:rsidRPr="00850EC7">
        <w:rPr>
          <w:rFonts w:ascii="Times New Roman" w:hAnsi="Times New Roman" w:cs="Times New Roman"/>
          <w:bCs/>
          <w:lang w:val="en-US"/>
        </w:rPr>
        <w:t>Cpt. Balázs Taksás (PhD)</w:t>
      </w:r>
    </w:p>
    <w:p w:rsidR="00FB5F60" w:rsidRPr="00FE6075" w:rsidRDefault="00FB5F60" w:rsidP="00FB5F60">
      <w:pPr>
        <w:widowControl w:val="0"/>
        <w:spacing w:after="0" w:line="240" w:lineRule="auto"/>
        <w:jc w:val="center"/>
        <w:rPr>
          <w:rFonts w:ascii="Times New Roman" w:eastAsia="Times New Roman" w:hAnsi="Times New Roman" w:cs="Times New Roman"/>
          <w:bCs/>
          <w:lang w:val="en-US"/>
        </w:rPr>
      </w:pPr>
      <w:r w:rsidRPr="00850EC7">
        <w:rPr>
          <w:rFonts w:ascii="Times New Roman" w:hAnsi="Times New Roman" w:cs="Times New Roman"/>
          <w:bCs/>
          <w:lang w:val="en-US"/>
        </w:rPr>
        <w:t xml:space="preserve">                                                                                                                        associate professor</w:t>
      </w:r>
    </w:p>
    <w:p w:rsidR="00903C65" w:rsidRDefault="00903C65">
      <w:pPr>
        <w:spacing w:after="200" w:line="276" w:lineRule="auto"/>
        <w:rPr>
          <w:rFonts w:ascii="Times New Roman" w:hAnsi="Times New Roman" w:cs="Times New Roman"/>
        </w:rPr>
      </w:pPr>
      <w:r>
        <w:rPr>
          <w:rFonts w:ascii="Times New Roman" w:hAnsi="Times New Roman" w:cs="Times New Roman"/>
        </w:rPr>
        <w:br w:type="page"/>
      </w:r>
    </w:p>
    <w:tbl>
      <w:tblPr>
        <w:tblW w:w="9072" w:type="dxa"/>
        <w:tblInd w:w="113" w:type="dxa"/>
        <w:tblLook w:val="01E0" w:firstRow="1" w:lastRow="1" w:firstColumn="1" w:lastColumn="1" w:noHBand="0" w:noVBand="0"/>
      </w:tblPr>
      <w:tblGrid>
        <w:gridCol w:w="4855"/>
        <w:gridCol w:w="1620"/>
        <w:gridCol w:w="2597"/>
      </w:tblGrid>
      <w:tr w:rsidR="00903C65" w:rsidRPr="00850EC7" w:rsidTr="00E65CE8">
        <w:tc>
          <w:tcPr>
            <w:tcW w:w="4855" w:type="dxa"/>
            <w:tcBorders>
              <w:bottom w:val="single" w:sz="4" w:space="0" w:color="auto"/>
            </w:tcBorders>
          </w:tcPr>
          <w:p w:rsidR="00903C65" w:rsidRPr="00850EC7" w:rsidRDefault="00903C65" w:rsidP="00E65CE8">
            <w:pPr>
              <w:spacing w:after="0" w:line="240" w:lineRule="auto"/>
              <w:jc w:val="center"/>
              <w:rPr>
                <w:rFonts w:ascii="Times New Roman" w:eastAsia="Times New Roman" w:hAnsi="Times New Roman" w:cs="Times New Roman"/>
                <w:b/>
                <w:smallCaps/>
                <w:lang w:val="en-US" w:eastAsia="hu-HU"/>
              </w:rPr>
            </w:pPr>
            <w:r w:rsidRPr="00850EC7">
              <w:rPr>
                <w:rFonts w:ascii="Times New Roman" w:eastAsia="Times New Roman" w:hAnsi="Times New Roman" w:cs="Times New Roman"/>
                <w:b/>
                <w:smallCaps/>
                <w:lang w:val="en-US" w:eastAsia="hu-HU"/>
              </w:rPr>
              <w:lastRenderedPageBreak/>
              <w:t>UNIVERSITY OF PUBLIC SERVICE</w:t>
            </w:r>
          </w:p>
        </w:tc>
        <w:tc>
          <w:tcPr>
            <w:tcW w:w="1620" w:type="dxa"/>
          </w:tcPr>
          <w:p w:rsidR="00903C65" w:rsidRPr="00850EC7" w:rsidRDefault="00903C65" w:rsidP="00E65CE8">
            <w:pPr>
              <w:spacing w:after="0" w:line="240" w:lineRule="auto"/>
              <w:jc w:val="both"/>
              <w:rPr>
                <w:rFonts w:ascii="Times New Roman" w:eastAsia="Times New Roman" w:hAnsi="Times New Roman" w:cs="Times New Roman"/>
                <w:lang w:val="en-US" w:eastAsia="hu-HU"/>
              </w:rPr>
            </w:pPr>
          </w:p>
        </w:tc>
        <w:tc>
          <w:tcPr>
            <w:tcW w:w="2597" w:type="dxa"/>
          </w:tcPr>
          <w:p w:rsidR="00903C65" w:rsidRPr="00850EC7" w:rsidRDefault="00903C65" w:rsidP="00E65CE8">
            <w:pPr>
              <w:spacing w:after="0" w:line="240" w:lineRule="auto"/>
              <w:jc w:val="right"/>
              <w:rPr>
                <w:rFonts w:ascii="Times New Roman" w:eastAsia="Times New Roman" w:hAnsi="Times New Roman" w:cs="Times New Roman"/>
                <w:lang w:val="en-US" w:eastAsia="hu-HU"/>
              </w:rPr>
            </w:pPr>
          </w:p>
        </w:tc>
      </w:tr>
      <w:tr w:rsidR="00903C65" w:rsidRPr="00850EC7" w:rsidTr="00E65CE8">
        <w:tc>
          <w:tcPr>
            <w:tcW w:w="4855" w:type="dxa"/>
            <w:tcBorders>
              <w:top w:val="single" w:sz="4" w:space="0" w:color="auto"/>
            </w:tcBorders>
          </w:tcPr>
          <w:p w:rsidR="00903C65" w:rsidRPr="00850EC7" w:rsidRDefault="00903C65" w:rsidP="00E65CE8">
            <w:pPr>
              <w:spacing w:after="0" w:line="240" w:lineRule="auto"/>
              <w:jc w:val="center"/>
              <w:rPr>
                <w:rFonts w:ascii="Times New Roman" w:eastAsia="Times New Roman" w:hAnsi="Times New Roman" w:cs="Times New Roman"/>
                <w:b/>
                <w:lang w:val="en-US" w:eastAsia="hu-HU"/>
              </w:rPr>
            </w:pPr>
            <w:r w:rsidRPr="00850EC7">
              <w:rPr>
                <w:rFonts w:ascii="Times New Roman" w:eastAsia="Times New Roman" w:hAnsi="Times New Roman" w:cs="Times New Roman"/>
                <w:b/>
                <w:lang w:val="en-US" w:eastAsia="hu-HU"/>
              </w:rPr>
              <w:t>Faculty of Military Science and Officer Training</w:t>
            </w:r>
          </w:p>
        </w:tc>
        <w:tc>
          <w:tcPr>
            <w:tcW w:w="1620" w:type="dxa"/>
          </w:tcPr>
          <w:p w:rsidR="00903C65" w:rsidRPr="00850EC7" w:rsidRDefault="00903C65" w:rsidP="00E65CE8">
            <w:pPr>
              <w:spacing w:after="0" w:line="240" w:lineRule="auto"/>
              <w:jc w:val="both"/>
              <w:rPr>
                <w:rFonts w:ascii="Times New Roman" w:eastAsia="Times New Roman" w:hAnsi="Times New Roman" w:cs="Times New Roman"/>
                <w:lang w:val="en-US" w:eastAsia="hu-HU"/>
              </w:rPr>
            </w:pPr>
          </w:p>
        </w:tc>
        <w:tc>
          <w:tcPr>
            <w:tcW w:w="2597" w:type="dxa"/>
          </w:tcPr>
          <w:p w:rsidR="00903C65" w:rsidRPr="00850EC7" w:rsidRDefault="00903C65" w:rsidP="00E65CE8">
            <w:pPr>
              <w:spacing w:after="0" w:line="240" w:lineRule="auto"/>
              <w:jc w:val="both"/>
              <w:rPr>
                <w:rFonts w:ascii="Times New Roman" w:eastAsia="Times New Roman" w:hAnsi="Times New Roman" w:cs="Times New Roman"/>
                <w:lang w:val="en-US" w:eastAsia="hu-HU"/>
              </w:rPr>
            </w:pPr>
          </w:p>
        </w:tc>
      </w:tr>
    </w:tbl>
    <w:p w:rsidR="00903C65" w:rsidRPr="00850EC7" w:rsidRDefault="00903C65" w:rsidP="00903C65">
      <w:pPr>
        <w:widowControl w:val="0"/>
        <w:spacing w:before="120" w:after="120" w:line="240" w:lineRule="auto"/>
        <w:ind w:left="426" w:hanging="142"/>
        <w:jc w:val="center"/>
        <w:rPr>
          <w:rFonts w:ascii="Times New Roman" w:eastAsia="Times New Roman" w:hAnsi="Times New Roman" w:cs="Times New Roman"/>
          <w:b/>
          <w:bCs/>
          <w:lang w:val="en-US"/>
        </w:rPr>
      </w:pPr>
    </w:p>
    <w:p w:rsidR="00903C65" w:rsidRPr="00850EC7" w:rsidRDefault="00903C65" w:rsidP="00903C65">
      <w:pPr>
        <w:widowControl w:val="0"/>
        <w:spacing w:before="120" w:after="120" w:line="240" w:lineRule="auto"/>
        <w:ind w:left="426" w:hanging="142"/>
        <w:jc w:val="center"/>
        <w:rPr>
          <w:rFonts w:ascii="Times New Roman" w:eastAsia="Times New Roman" w:hAnsi="Times New Roman" w:cs="Times New Roman"/>
          <w:b/>
          <w:bCs/>
          <w:lang w:val="en-US"/>
        </w:rPr>
      </w:pPr>
      <w:r w:rsidRPr="00850EC7">
        <w:rPr>
          <w:rFonts w:ascii="Times New Roman" w:eastAsia="Times New Roman" w:hAnsi="Times New Roman" w:cs="Times New Roman"/>
          <w:b/>
          <w:bCs/>
          <w:lang w:val="en-US"/>
        </w:rPr>
        <w:t>CURRICULUM</w:t>
      </w:r>
    </w:p>
    <w:p w:rsidR="00903C65" w:rsidRPr="00850EC7" w:rsidRDefault="00903C65" w:rsidP="00980876">
      <w:pPr>
        <w:widowControl w:val="0"/>
        <w:numPr>
          <w:ilvl w:val="0"/>
          <w:numId w:val="570"/>
        </w:numPr>
        <w:tabs>
          <w:tab w:val="clear" w:pos="720"/>
          <w:tab w:val="num" w:pos="426"/>
        </w:tabs>
        <w:spacing w:before="120" w:after="120" w:line="240" w:lineRule="auto"/>
        <w:ind w:hanging="436"/>
        <w:jc w:val="both"/>
        <w:rPr>
          <w:rFonts w:ascii="Times New Roman" w:eastAsia="Times New Roman" w:hAnsi="Times New Roman" w:cs="Times New Roman"/>
          <w:bCs/>
          <w:lang w:val="en-US"/>
        </w:rPr>
      </w:pPr>
      <w:r w:rsidRPr="00850EC7">
        <w:rPr>
          <w:rFonts w:ascii="Times New Roman" w:eastAsia="Times New Roman" w:hAnsi="Times New Roman" w:cs="Times New Roman"/>
          <w:b/>
          <w:bCs/>
          <w:lang w:val="en-US"/>
        </w:rPr>
        <w:t xml:space="preserve">Code of subject: </w:t>
      </w:r>
      <w:r w:rsidRPr="00850EC7">
        <w:rPr>
          <w:rFonts w:ascii="Times New Roman" w:hAnsi="Times New Roman" w:cs="Times New Roman"/>
          <w:color w:val="000000"/>
          <w:lang w:val="en-US" w:eastAsia="hu-HU"/>
        </w:rPr>
        <w:t>HKHPKA724</w:t>
      </w:r>
    </w:p>
    <w:p w:rsidR="00903C65" w:rsidRPr="00850EC7" w:rsidRDefault="00903C65" w:rsidP="00980876">
      <w:pPr>
        <w:widowControl w:val="0"/>
        <w:numPr>
          <w:ilvl w:val="0"/>
          <w:numId w:val="570"/>
        </w:numPr>
        <w:tabs>
          <w:tab w:val="clear" w:pos="720"/>
          <w:tab w:val="num" w:pos="426"/>
        </w:tabs>
        <w:spacing w:before="120" w:after="120" w:line="240" w:lineRule="auto"/>
        <w:ind w:hanging="436"/>
        <w:jc w:val="both"/>
        <w:rPr>
          <w:rFonts w:ascii="Times New Roman" w:eastAsia="Times New Roman" w:hAnsi="Times New Roman" w:cs="Times New Roman"/>
          <w:b/>
          <w:bCs/>
          <w:lang w:val="en-US"/>
        </w:rPr>
      </w:pPr>
      <w:r w:rsidRPr="00850EC7">
        <w:rPr>
          <w:rFonts w:ascii="Times New Roman" w:eastAsia="Times New Roman" w:hAnsi="Times New Roman" w:cs="Times New Roman"/>
          <w:b/>
          <w:bCs/>
          <w:lang w:val="en-US"/>
        </w:rPr>
        <w:t xml:space="preserve">Name of subject: </w:t>
      </w:r>
      <w:r w:rsidRPr="00850EC7">
        <w:rPr>
          <w:rFonts w:ascii="Times New Roman" w:eastAsia="Times New Roman" w:hAnsi="Times New Roman" w:cs="Times New Roman"/>
          <w:bCs/>
          <w:lang w:val="en-US"/>
        </w:rPr>
        <w:t>Basic knowledge of world economic system</w:t>
      </w:r>
    </w:p>
    <w:p w:rsidR="00903C65" w:rsidRPr="00850EC7" w:rsidRDefault="00903C65" w:rsidP="00980876">
      <w:pPr>
        <w:widowControl w:val="0"/>
        <w:numPr>
          <w:ilvl w:val="0"/>
          <w:numId w:val="570"/>
        </w:numPr>
        <w:tabs>
          <w:tab w:val="num" w:pos="567"/>
        </w:tabs>
        <w:spacing w:before="120" w:after="120" w:line="240" w:lineRule="auto"/>
        <w:ind w:left="426" w:hanging="142"/>
        <w:jc w:val="both"/>
        <w:rPr>
          <w:rFonts w:ascii="Times New Roman" w:eastAsia="Times New Roman" w:hAnsi="Times New Roman" w:cs="Times New Roman"/>
          <w:b/>
          <w:bCs/>
          <w:lang w:val="en-US"/>
        </w:rPr>
      </w:pPr>
      <w:r w:rsidRPr="00850EC7">
        <w:rPr>
          <w:rFonts w:ascii="Times New Roman" w:eastAsia="Times New Roman" w:hAnsi="Times New Roman" w:cs="Times New Roman"/>
          <w:b/>
          <w:bCs/>
          <w:lang w:val="en-US"/>
        </w:rPr>
        <w:t xml:space="preserve">Credit value and course structure: </w:t>
      </w:r>
    </w:p>
    <w:p w:rsidR="00903C65" w:rsidRPr="00850EC7" w:rsidRDefault="00903C65" w:rsidP="00980876">
      <w:pPr>
        <w:widowControl w:val="0"/>
        <w:numPr>
          <w:ilvl w:val="1"/>
          <w:numId w:val="570"/>
        </w:numPr>
        <w:spacing w:before="120" w:after="120" w:line="240" w:lineRule="auto"/>
        <w:ind w:left="993" w:hanging="426"/>
        <w:contextualSpacing/>
        <w:jc w:val="both"/>
        <w:rPr>
          <w:rFonts w:ascii="Times New Roman" w:eastAsia="Times New Roman" w:hAnsi="Times New Roman" w:cs="Times New Roman"/>
          <w:b/>
          <w:bCs/>
          <w:lang w:val="en-US"/>
        </w:rPr>
      </w:pPr>
      <w:r w:rsidRPr="00850EC7">
        <w:rPr>
          <w:rFonts w:ascii="Times New Roman" w:eastAsia="Times New Roman" w:hAnsi="Times New Roman" w:cs="Times New Roman"/>
          <w:lang w:val="en-US" w:eastAsia="hu-HU"/>
        </w:rPr>
        <w:t>4</w:t>
      </w:r>
      <w:r w:rsidRPr="00850EC7">
        <w:rPr>
          <w:rFonts w:ascii="Times New Roman" w:eastAsia="Times New Roman" w:hAnsi="Times New Roman" w:cs="Times New Roman"/>
          <w:bCs/>
          <w:lang w:val="en-US"/>
        </w:rPr>
        <w:t xml:space="preserve"> credit</w:t>
      </w:r>
    </w:p>
    <w:p w:rsidR="00903C65" w:rsidRPr="00850EC7" w:rsidRDefault="00903C65" w:rsidP="00980876">
      <w:pPr>
        <w:widowControl w:val="0"/>
        <w:numPr>
          <w:ilvl w:val="1"/>
          <w:numId w:val="570"/>
        </w:numPr>
        <w:spacing w:before="120" w:after="120" w:line="240" w:lineRule="auto"/>
        <w:ind w:left="993" w:hanging="426"/>
        <w:contextualSpacing/>
        <w:jc w:val="both"/>
        <w:rPr>
          <w:rFonts w:ascii="Times New Roman" w:eastAsia="Times New Roman" w:hAnsi="Times New Roman" w:cs="Times New Roman"/>
          <w:b/>
          <w:bCs/>
          <w:lang w:val="en-US"/>
        </w:rPr>
      </w:pPr>
      <w:r w:rsidRPr="00850EC7">
        <w:rPr>
          <w:rFonts w:ascii="Times New Roman" w:eastAsia="Times New Roman" w:hAnsi="Times New Roman" w:cs="Times New Roman"/>
          <w:bCs/>
          <w:lang w:val="en-US"/>
        </w:rPr>
        <w:t xml:space="preserve">ratio of lectures and seminars: </w:t>
      </w:r>
      <w:r w:rsidRPr="00850EC7">
        <w:rPr>
          <w:rFonts w:ascii="Times New Roman" w:eastAsia="Times New Roman" w:hAnsi="Times New Roman" w:cs="Times New Roman"/>
          <w:lang w:val="en-US" w:eastAsia="hu-HU"/>
        </w:rPr>
        <w:t>50%</w:t>
      </w:r>
      <w:r w:rsidRPr="00850EC7">
        <w:rPr>
          <w:rFonts w:ascii="Times New Roman" w:eastAsia="Times New Roman" w:hAnsi="Times New Roman" w:cs="Times New Roman"/>
          <w:bCs/>
          <w:lang w:val="en-US"/>
        </w:rPr>
        <w:t xml:space="preserve"> </w:t>
      </w:r>
      <w:r>
        <w:rPr>
          <w:rFonts w:ascii="Times New Roman" w:eastAsia="Times New Roman" w:hAnsi="Times New Roman" w:cs="Times New Roman"/>
          <w:bCs/>
          <w:lang w:val="en-US"/>
        </w:rPr>
        <w:t>seminars</w:t>
      </w:r>
      <w:r w:rsidRPr="00850EC7">
        <w:rPr>
          <w:rFonts w:ascii="Times New Roman" w:eastAsia="Times New Roman" w:hAnsi="Times New Roman" w:cs="Times New Roman"/>
          <w:bCs/>
          <w:lang w:val="en-US"/>
        </w:rPr>
        <w:t xml:space="preserve">, </w:t>
      </w:r>
      <w:r w:rsidRPr="00850EC7">
        <w:rPr>
          <w:rFonts w:ascii="Times New Roman" w:eastAsia="Times New Roman" w:hAnsi="Times New Roman" w:cs="Times New Roman"/>
          <w:lang w:val="en-US" w:eastAsia="hu-HU"/>
        </w:rPr>
        <w:t>50%</w:t>
      </w:r>
      <w:r w:rsidRPr="00850EC7">
        <w:rPr>
          <w:rFonts w:ascii="Times New Roman" w:eastAsia="Times New Roman" w:hAnsi="Times New Roman" w:cs="Times New Roman"/>
          <w:bCs/>
          <w:lang w:val="en-US"/>
        </w:rPr>
        <w:t xml:space="preserve"> </w:t>
      </w:r>
      <w:r>
        <w:rPr>
          <w:rFonts w:ascii="Times New Roman" w:eastAsia="Times New Roman" w:hAnsi="Times New Roman" w:cs="Times New Roman"/>
          <w:bCs/>
          <w:lang w:val="en-US"/>
        </w:rPr>
        <w:t>lectures</w:t>
      </w:r>
    </w:p>
    <w:p w:rsidR="00903C65" w:rsidRPr="00850EC7" w:rsidRDefault="00903C65" w:rsidP="00980876">
      <w:pPr>
        <w:widowControl w:val="0"/>
        <w:numPr>
          <w:ilvl w:val="0"/>
          <w:numId w:val="570"/>
        </w:numPr>
        <w:spacing w:before="120" w:after="120" w:line="240" w:lineRule="auto"/>
        <w:ind w:left="426" w:hanging="142"/>
        <w:jc w:val="both"/>
        <w:rPr>
          <w:rFonts w:ascii="Times New Roman" w:eastAsia="Times New Roman" w:hAnsi="Times New Roman" w:cs="Times New Roman"/>
          <w:bCs/>
          <w:lang w:val="en-US"/>
        </w:rPr>
      </w:pPr>
      <w:r w:rsidRPr="00850EC7">
        <w:rPr>
          <w:rFonts w:ascii="Times New Roman" w:eastAsia="Times New Roman" w:hAnsi="Times New Roman" w:cs="Times New Roman"/>
          <w:b/>
          <w:bCs/>
          <w:lang w:val="en-US"/>
        </w:rPr>
        <w:t>Name of major(s), specializations (where it is taught):</w:t>
      </w:r>
      <w:r w:rsidRPr="00850EC7">
        <w:rPr>
          <w:rFonts w:ascii="Times New Roman" w:eastAsia="Times New Roman" w:hAnsi="Times New Roman" w:cs="Times New Roman"/>
          <w:bCs/>
          <w:lang w:val="en-US"/>
        </w:rPr>
        <w:t xml:space="preserve"> </w:t>
      </w:r>
      <w:r w:rsidRPr="00850EC7">
        <w:rPr>
          <w:rFonts w:ascii="Times New Roman" w:eastAsia="Times New Roman" w:hAnsi="Times New Roman" w:cs="Times New Roman"/>
          <w:lang w:val="en-US" w:eastAsia="hu-HU"/>
        </w:rPr>
        <w:t xml:space="preserve">Military Logistics </w:t>
      </w:r>
      <w:r w:rsidR="00137B8A">
        <w:rPr>
          <w:rFonts w:ascii="Times New Roman" w:eastAsia="Times New Roman" w:hAnsi="Times New Roman" w:cs="Times New Roman"/>
          <w:lang w:val="en-US" w:eastAsia="hu-HU"/>
        </w:rPr>
        <w:t>BSc</w:t>
      </w:r>
      <w:r w:rsidRPr="00850EC7">
        <w:rPr>
          <w:rFonts w:ascii="Times New Roman" w:eastAsia="Times New Roman" w:hAnsi="Times New Roman" w:cs="Times New Roman"/>
          <w:lang w:val="en-US" w:eastAsia="hu-HU"/>
        </w:rPr>
        <w:t xml:space="preserve"> </w:t>
      </w:r>
    </w:p>
    <w:p w:rsidR="00903C65" w:rsidRPr="00850EC7" w:rsidRDefault="00903C65" w:rsidP="00980876">
      <w:pPr>
        <w:widowControl w:val="0"/>
        <w:numPr>
          <w:ilvl w:val="0"/>
          <w:numId w:val="570"/>
        </w:numPr>
        <w:tabs>
          <w:tab w:val="num" w:pos="567"/>
        </w:tabs>
        <w:spacing w:before="120" w:after="120" w:line="240" w:lineRule="auto"/>
        <w:ind w:left="426" w:hanging="142"/>
        <w:jc w:val="both"/>
        <w:rPr>
          <w:rFonts w:ascii="Times New Roman" w:eastAsia="Times New Roman" w:hAnsi="Times New Roman" w:cs="Times New Roman"/>
          <w:bCs/>
          <w:lang w:val="en-US"/>
        </w:rPr>
      </w:pPr>
      <w:r w:rsidRPr="00850EC7">
        <w:rPr>
          <w:rFonts w:ascii="Times New Roman" w:eastAsia="Times New Roman" w:hAnsi="Times New Roman" w:cs="Times New Roman"/>
          <w:b/>
          <w:bCs/>
          <w:lang w:val="en-US"/>
        </w:rPr>
        <w:t xml:space="preserve">Name of organizational unit responsible for its education: </w:t>
      </w:r>
      <w:r w:rsidRPr="00850EC7">
        <w:rPr>
          <w:rFonts w:ascii="Times New Roman" w:eastAsia="Times New Roman" w:hAnsi="Times New Roman" w:cs="Times New Roman"/>
          <w:lang w:val="en-US" w:eastAsia="hu-HU"/>
        </w:rPr>
        <w:t>Department of Supply, Finance and Military Transportation</w:t>
      </w:r>
    </w:p>
    <w:p w:rsidR="00903C65" w:rsidRPr="00850EC7" w:rsidRDefault="00903C65" w:rsidP="00980876">
      <w:pPr>
        <w:widowControl w:val="0"/>
        <w:numPr>
          <w:ilvl w:val="0"/>
          <w:numId w:val="570"/>
        </w:numPr>
        <w:tabs>
          <w:tab w:val="clear" w:pos="720"/>
          <w:tab w:val="num" w:pos="426"/>
        </w:tabs>
        <w:spacing w:before="120" w:after="120" w:line="240" w:lineRule="auto"/>
        <w:ind w:left="426" w:hanging="142"/>
        <w:jc w:val="both"/>
        <w:rPr>
          <w:rFonts w:ascii="Times New Roman" w:eastAsia="Times New Roman" w:hAnsi="Times New Roman" w:cs="Times New Roman"/>
          <w:bCs/>
          <w:lang w:val="en-US"/>
        </w:rPr>
      </w:pPr>
      <w:r w:rsidRPr="00850EC7">
        <w:rPr>
          <w:rFonts w:ascii="Times New Roman" w:eastAsia="Times New Roman" w:hAnsi="Times New Roman" w:cs="Times New Roman"/>
          <w:b/>
          <w:bCs/>
          <w:lang w:val="en-US"/>
        </w:rPr>
        <w:t>Name, position, academic degree of tutor responsible for the curriculum:</w:t>
      </w:r>
      <w:r w:rsidRPr="00850EC7">
        <w:rPr>
          <w:rFonts w:ascii="Times New Roman" w:eastAsia="Times New Roman" w:hAnsi="Times New Roman" w:cs="Times New Roman"/>
          <w:bCs/>
          <w:lang w:val="en-US"/>
        </w:rPr>
        <w:t xml:space="preserve"> Cpt. </w:t>
      </w:r>
      <w:r w:rsidRPr="00850EC7">
        <w:rPr>
          <w:rFonts w:ascii="Times New Roman" w:eastAsia="Times New Roman" w:hAnsi="Times New Roman" w:cs="Times New Roman"/>
          <w:lang w:val="en-US" w:eastAsia="hu-HU"/>
        </w:rPr>
        <w:t>Balázs Taksás (PhD) associate professor</w:t>
      </w:r>
    </w:p>
    <w:p w:rsidR="00903C65" w:rsidRPr="00850EC7" w:rsidRDefault="00903C65" w:rsidP="00980876">
      <w:pPr>
        <w:widowControl w:val="0"/>
        <w:numPr>
          <w:ilvl w:val="0"/>
          <w:numId w:val="570"/>
        </w:numPr>
        <w:spacing w:before="120" w:after="120" w:line="240" w:lineRule="auto"/>
        <w:ind w:left="426" w:hanging="142"/>
        <w:jc w:val="both"/>
        <w:rPr>
          <w:rFonts w:ascii="Times New Roman" w:eastAsia="Times New Roman" w:hAnsi="Times New Roman" w:cs="Times New Roman"/>
          <w:bCs/>
          <w:lang w:val="en-US"/>
        </w:rPr>
      </w:pPr>
      <w:r w:rsidRPr="00850EC7">
        <w:rPr>
          <w:rFonts w:ascii="Times New Roman" w:eastAsia="Times New Roman" w:hAnsi="Times New Roman" w:cs="Times New Roman"/>
          <w:b/>
          <w:bCs/>
          <w:lang w:val="en-US"/>
        </w:rPr>
        <w:t>Number and types of classes</w:t>
      </w:r>
    </w:p>
    <w:p w:rsidR="00903C65" w:rsidRPr="00850EC7" w:rsidRDefault="00903C65" w:rsidP="00980876">
      <w:pPr>
        <w:widowControl w:val="0"/>
        <w:numPr>
          <w:ilvl w:val="1"/>
          <w:numId w:val="570"/>
        </w:numPr>
        <w:tabs>
          <w:tab w:val="num" w:pos="709"/>
          <w:tab w:val="num" w:pos="2069"/>
        </w:tabs>
        <w:spacing w:before="120" w:after="120" w:line="240" w:lineRule="auto"/>
        <w:ind w:left="851" w:hanging="425"/>
        <w:jc w:val="both"/>
        <w:rPr>
          <w:rFonts w:ascii="Times New Roman" w:eastAsia="Times New Roman" w:hAnsi="Times New Roman" w:cs="Times New Roman"/>
          <w:bCs/>
          <w:lang w:val="en-US"/>
        </w:rPr>
      </w:pPr>
      <w:r w:rsidRPr="00850EC7">
        <w:rPr>
          <w:rFonts w:ascii="Times New Roman" w:eastAsia="Times New Roman" w:hAnsi="Times New Roman" w:cs="Times New Roman"/>
          <w:bCs/>
          <w:lang w:val="en-US"/>
        </w:rPr>
        <w:t>full number of classes/semester:</w:t>
      </w:r>
    </w:p>
    <w:p w:rsidR="00903C65" w:rsidRPr="00850EC7" w:rsidRDefault="00903C65" w:rsidP="00980876">
      <w:pPr>
        <w:widowControl w:val="0"/>
        <w:numPr>
          <w:ilvl w:val="2"/>
          <w:numId w:val="570"/>
        </w:numPr>
        <w:tabs>
          <w:tab w:val="num" w:pos="709"/>
          <w:tab w:val="num" w:pos="1134"/>
        </w:tabs>
        <w:spacing w:before="120" w:after="120" w:line="240" w:lineRule="auto"/>
        <w:ind w:left="993" w:hanging="425"/>
        <w:jc w:val="both"/>
        <w:rPr>
          <w:rFonts w:ascii="Times New Roman" w:eastAsia="Times New Roman" w:hAnsi="Times New Roman" w:cs="Times New Roman"/>
          <w:bCs/>
          <w:lang w:val="en-US"/>
        </w:rPr>
      </w:pPr>
      <w:r w:rsidRPr="00850EC7">
        <w:rPr>
          <w:rFonts w:ascii="Times New Roman" w:eastAsia="Times New Roman" w:hAnsi="Times New Roman" w:cs="Times New Roman"/>
          <w:bCs/>
          <w:lang w:val="en-US"/>
        </w:rPr>
        <w:t xml:space="preserve">Full time course: </w:t>
      </w:r>
      <w:r w:rsidRPr="00850EC7">
        <w:rPr>
          <w:rFonts w:ascii="Times New Roman" w:eastAsia="Times New Roman" w:hAnsi="Times New Roman" w:cs="Times New Roman"/>
          <w:lang w:val="en-US" w:eastAsia="hu-HU"/>
        </w:rPr>
        <w:t>28</w:t>
      </w:r>
      <w:r w:rsidRPr="00850EC7">
        <w:rPr>
          <w:rFonts w:ascii="Times New Roman" w:eastAsia="Times New Roman" w:hAnsi="Times New Roman" w:cs="Times New Roman"/>
          <w:bCs/>
          <w:lang w:val="en-US"/>
        </w:rPr>
        <w:t xml:space="preserve"> (14 LEC + </w:t>
      </w:r>
      <w:r w:rsidRPr="00850EC7">
        <w:rPr>
          <w:rFonts w:ascii="Times New Roman" w:eastAsia="Times New Roman" w:hAnsi="Times New Roman" w:cs="Times New Roman"/>
          <w:lang w:val="en-US" w:eastAsia="hu-HU"/>
        </w:rPr>
        <w:t>14</w:t>
      </w:r>
      <w:r w:rsidRPr="00850EC7">
        <w:rPr>
          <w:rFonts w:ascii="Times New Roman" w:eastAsia="Times New Roman" w:hAnsi="Times New Roman" w:cs="Times New Roman"/>
          <w:bCs/>
          <w:lang w:val="en-US"/>
        </w:rPr>
        <w:t xml:space="preserve"> SEM)</w:t>
      </w:r>
    </w:p>
    <w:p w:rsidR="00903C65" w:rsidRPr="00850EC7" w:rsidRDefault="00903C65" w:rsidP="00980876">
      <w:pPr>
        <w:widowControl w:val="0"/>
        <w:numPr>
          <w:ilvl w:val="2"/>
          <w:numId w:val="570"/>
        </w:numPr>
        <w:tabs>
          <w:tab w:val="num" w:pos="709"/>
          <w:tab w:val="num" w:pos="1134"/>
        </w:tabs>
        <w:spacing w:before="120" w:after="120" w:line="240" w:lineRule="auto"/>
        <w:ind w:left="993" w:hanging="425"/>
        <w:jc w:val="both"/>
        <w:rPr>
          <w:rFonts w:ascii="Times New Roman" w:eastAsia="Times New Roman" w:hAnsi="Times New Roman" w:cs="Times New Roman"/>
          <w:bCs/>
          <w:lang w:val="en-US"/>
        </w:rPr>
      </w:pPr>
      <w:r w:rsidRPr="00850EC7">
        <w:rPr>
          <w:rFonts w:ascii="Times New Roman" w:eastAsia="Times New Roman" w:hAnsi="Times New Roman" w:cs="Times New Roman"/>
          <w:bCs/>
          <w:lang w:val="en-US"/>
        </w:rPr>
        <w:t xml:space="preserve">Correspondence course: </w:t>
      </w:r>
      <w:r w:rsidRPr="00850EC7">
        <w:rPr>
          <w:rFonts w:ascii="Times New Roman" w:eastAsia="Times New Roman" w:hAnsi="Times New Roman" w:cs="Times New Roman"/>
          <w:lang w:val="en-US" w:eastAsia="hu-HU"/>
        </w:rPr>
        <w:t xml:space="preserve">- </w:t>
      </w:r>
      <w:r w:rsidRPr="00850EC7">
        <w:rPr>
          <w:rFonts w:ascii="Times New Roman" w:eastAsia="Times New Roman" w:hAnsi="Times New Roman" w:cs="Times New Roman"/>
          <w:bCs/>
          <w:lang w:val="en-US"/>
        </w:rPr>
        <w:t xml:space="preserve">(- LEC + </w:t>
      </w:r>
      <w:r w:rsidRPr="00850EC7">
        <w:rPr>
          <w:rFonts w:ascii="Times New Roman" w:eastAsia="Times New Roman" w:hAnsi="Times New Roman" w:cs="Times New Roman"/>
          <w:lang w:val="en-US" w:eastAsia="hu-HU"/>
        </w:rPr>
        <w:t>-</w:t>
      </w:r>
      <w:r w:rsidRPr="00850EC7">
        <w:rPr>
          <w:rFonts w:ascii="Times New Roman" w:eastAsia="Times New Roman" w:hAnsi="Times New Roman" w:cs="Times New Roman"/>
          <w:bCs/>
          <w:lang w:val="en-US"/>
        </w:rPr>
        <w:t xml:space="preserve"> SEM)</w:t>
      </w:r>
    </w:p>
    <w:p w:rsidR="00903C65" w:rsidRPr="00850EC7" w:rsidRDefault="00903C65" w:rsidP="00980876">
      <w:pPr>
        <w:widowControl w:val="0"/>
        <w:numPr>
          <w:ilvl w:val="1"/>
          <w:numId w:val="570"/>
        </w:numPr>
        <w:tabs>
          <w:tab w:val="num" w:pos="709"/>
          <w:tab w:val="num" w:pos="2069"/>
        </w:tabs>
        <w:spacing w:before="120" w:after="120" w:line="240" w:lineRule="auto"/>
        <w:ind w:left="851" w:hanging="425"/>
        <w:jc w:val="both"/>
        <w:rPr>
          <w:rFonts w:ascii="Times New Roman" w:eastAsia="Times New Roman" w:hAnsi="Times New Roman" w:cs="Times New Roman"/>
          <w:bCs/>
          <w:lang w:val="en-US"/>
        </w:rPr>
      </w:pPr>
      <w:r w:rsidRPr="00850EC7">
        <w:rPr>
          <w:rFonts w:ascii="Times New Roman" w:eastAsia="Times New Roman" w:hAnsi="Times New Roman" w:cs="Times New Roman"/>
          <w:bCs/>
          <w:lang w:val="en-US"/>
        </w:rPr>
        <w:t xml:space="preserve">weekly number of classes - full time course: </w:t>
      </w:r>
      <w:r w:rsidRPr="00850EC7">
        <w:rPr>
          <w:rFonts w:ascii="Times New Roman" w:eastAsia="Times New Roman" w:hAnsi="Times New Roman" w:cs="Times New Roman"/>
          <w:lang w:val="en-US" w:eastAsia="hu-HU"/>
        </w:rPr>
        <w:t>2</w:t>
      </w:r>
      <w:r w:rsidRPr="00850EC7">
        <w:rPr>
          <w:rFonts w:ascii="Times New Roman" w:eastAsia="Times New Roman" w:hAnsi="Times New Roman" w:cs="Times New Roman"/>
          <w:bCs/>
          <w:lang w:val="en-US"/>
        </w:rPr>
        <w:t xml:space="preserve"> (1 LEC + </w:t>
      </w:r>
      <w:r w:rsidRPr="00850EC7">
        <w:rPr>
          <w:rFonts w:ascii="Times New Roman" w:eastAsia="Times New Roman" w:hAnsi="Times New Roman" w:cs="Times New Roman"/>
          <w:lang w:val="en-US" w:eastAsia="hu-HU"/>
        </w:rPr>
        <w:t>1</w:t>
      </w:r>
      <w:r w:rsidRPr="00850EC7">
        <w:rPr>
          <w:rFonts w:ascii="Times New Roman" w:eastAsia="Times New Roman" w:hAnsi="Times New Roman" w:cs="Times New Roman"/>
          <w:bCs/>
          <w:lang w:val="en-US"/>
        </w:rPr>
        <w:t xml:space="preserve"> SEM)</w:t>
      </w:r>
    </w:p>
    <w:p w:rsidR="00903C65" w:rsidRPr="00850EC7" w:rsidRDefault="00903C65" w:rsidP="00980876">
      <w:pPr>
        <w:widowControl w:val="0"/>
        <w:numPr>
          <w:ilvl w:val="1"/>
          <w:numId w:val="570"/>
        </w:numPr>
        <w:tabs>
          <w:tab w:val="num" w:pos="709"/>
          <w:tab w:val="num" w:pos="2069"/>
        </w:tabs>
        <w:spacing w:before="120" w:after="120" w:line="240" w:lineRule="auto"/>
        <w:ind w:left="851" w:hanging="425"/>
        <w:jc w:val="both"/>
        <w:rPr>
          <w:rFonts w:ascii="Times New Roman" w:eastAsia="Times New Roman" w:hAnsi="Times New Roman" w:cs="Times New Roman"/>
          <w:bCs/>
          <w:lang w:val="en-US"/>
        </w:rPr>
      </w:pPr>
      <w:r w:rsidRPr="00850EC7">
        <w:rPr>
          <w:rFonts w:ascii="Times New Roman" w:eastAsia="Times New Roman" w:hAnsi="Times New Roman" w:cs="Times New Roman"/>
          <w:bCs/>
          <w:lang w:val="en-US"/>
        </w:rPr>
        <w:t>Further</w:t>
      </w:r>
      <w:r w:rsidRPr="00850EC7">
        <w:rPr>
          <w:rFonts w:ascii="Times New Roman" w:hAnsi="Times New Roman" w:cs="Times New Roman"/>
          <w:lang w:val="en-US"/>
        </w:rPr>
        <w:t xml:space="preserve"> special or unique methods applied throughout of the course: </w:t>
      </w:r>
      <w:r w:rsidRPr="00850EC7">
        <w:rPr>
          <w:rFonts w:ascii="Times New Roman" w:eastAsia="Times New Roman" w:hAnsi="Times New Roman" w:cs="Times New Roman"/>
          <w:lang w:val="en-US" w:eastAsia="hu-HU"/>
        </w:rPr>
        <w:t>-</w:t>
      </w:r>
    </w:p>
    <w:p w:rsidR="00903C65" w:rsidRPr="00850EC7" w:rsidRDefault="00903C65" w:rsidP="00980876">
      <w:pPr>
        <w:widowControl w:val="0"/>
        <w:numPr>
          <w:ilvl w:val="0"/>
          <w:numId w:val="570"/>
        </w:numPr>
        <w:spacing w:before="120" w:after="120" w:line="240" w:lineRule="auto"/>
        <w:ind w:left="426" w:hanging="142"/>
        <w:jc w:val="both"/>
        <w:rPr>
          <w:rFonts w:ascii="Times New Roman" w:eastAsia="Times New Roman" w:hAnsi="Times New Roman" w:cs="Times New Roman"/>
          <w:bCs/>
          <w:lang w:val="en-US"/>
        </w:rPr>
      </w:pPr>
      <w:r w:rsidRPr="00850EC7">
        <w:rPr>
          <w:rFonts w:ascii="Times New Roman" w:eastAsia="Times New Roman" w:hAnsi="Times New Roman" w:cs="Times New Roman"/>
          <w:b/>
          <w:bCs/>
          <w:lang w:val="en-US"/>
        </w:rPr>
        <w:t xml:space="preserve">The academic content of the subject: </w:t>
      </w:r>
      <w:r w:rsidRPr="00850EC7">
        <w:rPr>
          <w:rFonts w:ascii="Times New Roman" w:hAnsi="Times New Roman" w:cs="Times New Roman"/>
          <w:bCs/>
          <w:lang w:val="en-US"/>
        </w:rPr>
        <w:t>This subject deals with the functioning of the global economic system. It shows the processes of globalization, the interconnections and interdependencies of national economies, the tasks of the supranational institutions and the functioning of regional economic integrations.</w:t>
      </w:r>
    </w:p>
    <w:p w:rsidR="00903C65" w:rsidRPr="00850EC7" w:rsidRDefault="00903C65" w:rsidP="00980876">
      <w:pPr>
        <w:widowControl w:val="0"/>
        <w:numPr>
          <w:ilvl w:val="0"/>
          <w:numId w:val="570"/>
        </w:numPr>
        <w:spacing w:before="120" w:after="120" w:line="240" w:lineRule="auto"/>
        <w:ind w:left="426" w:hanging="142"/>
        <w:jc w:val="both"/>
        <w:rPr>
          <w:rFonts w:ascii="Times New Roman" w:eastAsia="Times New Roman" w:hAnsi="Times New Roman" w:cs="Times New Roman"/>
          <w:bCs/>
          <w:lang w:val="en-US"/>
        </w:rPr>
      </w:pPr>
      <w:r w:rsidRPr="00850EC7">
        <w:rPr>
          <w:rFonts w:ascii="Times New Roman" w:eastAsia="Times New Roman" w:hAnsi="Times New Roman" w:cs="Times New Roman"/>
          <w:b/>
          <w:bCs/>
          <w:lang w:val="en-US"/>
        </w:rPr>
        <w:t xml:space="preserve">Competences to be achieved: </w:t>
      </w:r>
    </w:p>
    <w:p w:rsidR="00903C65" w:rsidRPr="00850EC7" w:rsidRDefault="00903C65" w:rsidP="00903C65">
      <w:pPr>
        <w:widowControl w:val="0"/>
        <w:spacing w:before="120" w:after="120" w:line="240" w:lineRule="auto"/>
        <w:ind w:left="426"/>
        <w:jc w:val="both"/>
        <w:rPr>
          <w:rFonts w:ascii="Times New Roman" w:eastAsia="Times New Roman" w:hAnsi="Times New Roman" w:cs="Times New Roman"/>
          <w:lang w:val="en-US" w:eastAsia="hu-HU"/>
        </w:rPr>
      </w:pPr>
      <w:r w:rsidRPr="00850EC7">
        <w:rPr>
          <w:rFonts w:ascii="Times New Roman" w:eastAsia="Times New Roman" w:hAnsi="Times New Roman" w:cs="Times New Roman"/>
          <w:b/>
          <w:lang w:val="en-US"/>
        </w:rPr>
        <w:t>Knowledge</w:t>
      </w:r>
      <w:r w:rsidRPr="00850EC7">
        <w:rPr>
          <w:rFonts w:ascii="Times New Roman" w:eastAsia="Times New Roman" w:hAnsi="Times New Roman" w:cs="Times New Roman"/>
          <w:lang w:val="en-US"/>
        </w:rPr>
        <w:t xml:space="preserve">: </w:t>
      </w:r>
    </w:p>
    <w:p w:rsidR="00903C65" w:rsidRPr="00903C65" w:rsidRDefault="00903C65" w:rsidP="00980876">
      <w:pPr>
        <w:pStyle w:val="Listaszerbekezds"/>
        <w:widowControl w:val="0"/>
        <w:numPr>
          <w:ilvl w:val="0"/>
          <w:numId w:val="571"/>
        </w:numPr>
        <w:spacing w:before="120" w:after="120" w:line="240" w:lineRule="auto"/>
        <w:jc w:val="both"/>
        <w:rPr>
          <w:rFonts w:ascii="Times New Roman" w:eastAsia="Times New Roman" w:hAnsi="Times New Roman" w:cs="Times New Roman"/>
          <w:lang w:val="en-US"/>
        </w:rPr>
      </w:pPr>
      <w:r w:rsidRPr="00903C65">
        <w:rPr>
          <w:rFonts w:ascii="Times New Roman" w:eastAsia="Times New Roman" w:hAnsi="Times New Roman" w:cs="Times New Roman"/>
          <w:lang w:val="en-US"/>
        </w:rPr>
        <w:t>To be familiar with market mechanisms, the principles of economics, the relation between national economy and defense and the functioning of defense industry.</w:t>
      </w:r>
    </w:p>
    <w:p w:rsidR="00903C65" w:rsidRPr="00850EC7" w:rsidRDefault="00903C65" w:rsidP="00903C65">
      <w:pPr>
        <w:widowControl w:val="0"/>
        <w:spacing w:before="120" w:after="120" w:line="240" w:lineRule="auto"/>
        <w:ind w:left="426"/>
        <w:jc w:val="both"/>
        <w:rPr>
          <w:rFonts w:ascii="Times New Roman" w:eastAsia="Times New Roman" w:hAnsi="Times New Roman" w:cs="Times New Roman"/>
          <w:lang w:val="en-US" w:eastAsia="hu-HU"/>
        </w:rPr>
      </w:pPr>
      <w:r w:rsidRPr="00850EC7">
        <w:rPr>
          <w:rFonts w:ascii="Times New Roman" w:eastAsia="Times New Roman" w:hAnsi="Times New Roman" w:cs="Times New Roman"/>
          <w:b/>
          <w:lang w:val="en-US"/>
        </w:rPr>
        <w:t>Capabilities</w:t>
      </w:r>
      <w:r w:rsidRPr="00850EC7">
        <w:rPr>
          <w:rFonts w:ascii="Times New Roman" w:eastAsia="Times New Roman" w:hAnsi="Times New Roman" w:cs="Times New Roman"/>
          <w:lang w:val="en-US"/>
        </w:rPr>
        <w:t xml:space="preserve">: </w:t>
      </w:r>
    </w:p>
    <w:p w:rsidR="00903C65" w:rsidRPr="00850EC7" w:rsidRDefault="00903C65" w:rsidP="00980876">
      <w:pPr>
        <w:pStyle w:val="Listaszerbekezds"/>
        <w:widowControl w:val="0"/>
        <w:numPr>
          <w:ilvl w:val="0"/>
          <w:numId w:val="571"/>
        </w:numPr>
        <w:spacing w:before="120" w:after="120" w:line="240" w:lineRule="auto"/>
        <w:jc w:val="both"/>
        <w:rPr>
          <w:rFonts w:ascii="Times New Roman" w:eastAsia="Times New Roman" w:hAnsi="Times New Roman" w:cs="Times New Roman"/>
          <w:lang w:val="en-US"/>
        </w:rPr>
      </w:pPr>
      <w:r w:rsidRPr="00850EC7">
        <w:rPr>
          <w:rFonts w:ascii="Times New Roman" w:eastAsia="Times New Roman" w:hAnsi="Times New Roman" w:cs="Times New Roman"/>
          <w:lang w:val="en-US"/>
        </w:rPr>
        <w:t xml:space="preserve">To be able to understand the connections in logistic field between the national economy and the HDF. </w:t>
      </w:r>
    </w:p>
    <w:p w:rsidR="00903C65" w:rsidRPr="00850EC7" w:rsidRDefault="00903C65" w:rsidP="00980876">
      <w:pPr>
        <w:pStyle w:val="Listaszerbekezds"/>
        <w:widowControl w:val="0"/>
        <w:numPr>
          <w:ilvl w:val="0"/>
          <w:numId w:val="571"/>
        </w:numPr>
        <w:spacing w:before="120" w:after="120" w:line="240" w:lineRule="auto"/>
        <w:jc w:val="both"/>
        <w:rPr>
          <w:rFonts w:ascii="Times New Roman" w:eastAsia="Times New Roman" w:hAnsi="Times New Roman" w:cs="Times New Roman"/>
          <w:lang w:val="en-US"/>
        </w:rPr>
      </w:pPr>
      <w:r w:rsidRPr="00850EC7">
        <w:rPr>
          <w:rFonts w:ascii="Times New Roman" w:eastAsia="Times New Roman" w:hAnsi="Times New Roman" w:cs="Times New Roman"/>
          <w:lang w:val="en-US"/>
        </w:rPr>
        <w:t>To have ability to create new, innovative ideas in the given profession and post.</w:t>
      </w:r>
    </w:p>
    <w:p w:rsidR="00903C65" w:rsidRPr="00850EC7" w:rsidRDefault="00903C65" w:rsidP="00903C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lang w:val="en-US" w:eastAsia="hu-HU"/>
        </w:rPr>
      </w:pPr>
      <w:r w:rsidRPr="00850EC7">
        <w:rPr>
          <w:rFonts w:ascii="Times New Roman" w:eastAsia="Times New Roman" w:hAnsi="Times New Roman" w:cs="Times New Roman"/>
          <w:b/>
          <w:lang w:val="en-US"/>
        </w:rPr>
        <w:t>Attitude:</w:t>
      </w:r>
      <w:r w:rsidRPr="00850EC7">
        <w:rPr>
          <w:rFonts w:ascii="Times New Roman" w:eastAsia="Times New Roman" w:hAnsi="Times New Roman" w:cs="Times New Roman"/>
          <w:lang w:val="en-US"/>
        </w:rPr>
        <w:t xml:space="preserve"> </w:t>
      </w:r>
    </w:p>
    <w:p w:rsidR="00903C65" w:rsidRPr="00850EC7" w:rsidRDefault="00903C65" w:rsidP="00980876">
      <w:pPr>
        <w:pStyle w:val="Listaszerbekezds"/>
        <w:widowControl w:val="0"/>
        <w:numPr>
          <w:ilvl w:val="0"/>
          <w:numId w:val="571"/>
        </w:numPr>
        <w:spacing w:before="120" w:after="120" w:line="240" w:lineRule="auto"/>
        <w:jc w:val="both"/>
        <w:rPr>
          <w:rFonts w:ascii="Times New Roman" w:eastAsia="Times New Roman" w:hAnsi="Times New Roman" w:cs="Times New Roman"/>
          <w:lang w:val="en-US"/>
        </w:rPr>
      </w:pPr>
      <w:r w:rsidRPr="00850EC7">
        <w:rPr>
          <w:rFonts w:ascii="Times New Roman" w:eastAsia="Times New Roman" w:hAnsi="Times New Roman" w:cs="Times New Roman"/>
          <w:lang w:val="en-US"/>
        </w:rPr>
        <w:t>To be committed to high standard work and accuracy.</w:t>
      </w:r>
    </w:p>
    <w:p w:rsidR="00903C65" w:rsidRPr="00850EC7" w:rsidRDefault="00903C65" w:rsidP="00980876">
      <w:pPr>
        <w:pStyle w:val="Listaszerbekezds"/>
        <w:widowControl w:val="0"/>
        <w:numPr>
          <w:ilvl w:val="0"/>
          <w:numId w:val="571"/>
        </w:numPr>
        <w:spacing w:before="120" w:after="120" w:line="240" w:lineRule="auto"/>
        <w:jc w:val="both"/>
        <w:rPr>
          <w:rFonts w:ascii="Times New Roman" w:eastAsia="Times New Roman" w:hAnsi="Times New Roman" w:cs="Times New Roman"/>
          <w:lang w:val="en-US"/>
        </w:rPr>
      </w:pPr>
      <w:r w:rsidRPr="00850EC7">
        <w:rPr>
          <w:rFonts w:ascii="Times New Roman" w:eastAsia="Times New Roman" w:hAnsi="Times New Roman" w:cs="Times New Roman"/>
          <w:lang w:val="en-US"/>
        </w:rPr>
        <w:t>To be able to recognize the advantages and opportunities offered by well-structured activities and to be seeking to understand the logical connections among logistic activities.</w:t>
      </w:r>
    </w:p>
    <w:p w:rsidR="00903C65" w:rsidRPr="00850EC7" w:rsidRDefault="00903C65" w:rsidP="00980876">
      <w:pPr>
        <w:pStyle w:val="Listaszerbekezds"/>
        <w:widowControl w:val="0"/>
        <w:numPr>
          <w:ilvl w:val="0"/>
          <w:numId w:val="571"/>
        </w:numPr>
        <w:spacing w:before="120" w:after="120" w:line="240" w:lineRule="auto"/>
        <w:jc w:val="both"/>
        <w:rPr>
          <w:rFonts w:ascii="Times New Roman" w:eastAsia="Times New Roman" w:hAnsi="Times New Roman" w:cs="Times New Roman"/>
          <w:lang w:val="en-US"/>
        </w:rPr>
      </w:pPr>
      <w:r w:rsidRPr="00850EC7">
        <w:rPr>
          <w:rFonts w:ascii="Times New Roman" w:eastAsia="Times New Roman" w:hAnsi="Times New Roman" w:cs="Times New Roman"/>
          <w:lang w:val="en-US"/>
        </w:rPr>
        <w:t>To be characterized by efficiency-based attitude.</w:t>
      </w:r>
    </w:p>
    <w:p w:rsidR="00903C65" w:rsidRPr="00850EC7" w:rsidRDefault="00903C65" w:rsidP="00903C65">
      <w:pPr>
        <w:widowControl w:val="0"/>
        <w:spacing w:before="120" w:after="120" w:line="240" w:lineRule="auto"/>
        <w:ind w:left="426"/>
        <w:jc w:val="both"/>
        <w:rPr>
          <w:rFonts w:ascii="Times New Roman" w:eastAsia="Times New Roman" w:hAnsi="Times New Roman" w:cs="Times New Roman"/>
          <w:lang w:val="en-US" w:eastAsia="hu-HU"/>
        </w:rPr>
      </w:pPr>
      <w:r w:rsidRPr="00850EC7">
        <w:rPr>
          <w:rFonts w:ascii="Times New Roman" w:eastAsia="Times New Roman" w:hAnsi="Times New Roman" w:cs="Times New Roman"/>
          <w:b/>
          <w:lang w:val="en-US"/>
        </w:rPr>
        <w:t xml:space="preserve">Autonomy and responsibility: </w:t>
      </w:r>
    </w:p>
    <w:p w:rsidR="00903C65" w:rsidRPr="00903C65" w:rsidRDefault="00903C65" w:rsidP="00980876">
      <w:pPr>
        <w:pStyle w:val="Listaszerbekezds"/>
        <w:widowControl w:val="0"/>
        <w:numPr>
          <w:ilvl w:val="0"/>
          <w:numId w:val="571"/>
        </w:numPr>
        <w:spacing w:before="120" w:after="120" w:line="240" w:lineRule="auto"/>
        <w:jc w:val="both"/>
        <w:rPr>
          <w:rFonts w:ascii="Times New Roman" w:eastAsia="Times New Roman" w:hAnsi="Times New Roman" w:cs="Times New Roman"/>
          <w:lang w:val="en-US"/>
        </w:rPr>
      </w:pPr>
      <w:r w:rsidRPr="00850EC7">
        <w:rPr>
          <w:rFonts w:ascii="Times New Roman" w:eastAsia="Times New Roman" w:hAnsi="Times New Roman" w:cs="Times New Roman"/>
          <w:bCs/>
          <w:lang w:val="en-US"/>
        </w:rPr>
        <w:t xml:space="preserve">To have </w:t>
      </w:r>
      <w:r w:rsidRPr="00903C65">
        <w:rPr>
          <w:rFonts w:ascii="Times New Roman" w:eastAsia="Times New Roman" w:hAnsi="Times New Roman" w:cs="Times New Roman"/>
          <w:lang w:val="en-US"/>
        </w:rPr>
        <w:t>intention to cooperate and coordinate with other professions in the daily tasks.</w:t>
      </w:r>
    </w:p>
    <w:p w:rsidR="00903C65" w:rsidRPr="00850EC7" w:rsidRDefault="00903C65" w:rsidP="00980876">
      <w:pPr>
        <w:pStyle w:val="Listaszerbekezds"/>
        <w:widowControl w:val="0"/>
        <w:numPr>
          <w:ilvl w:val="0"/>
          <w:numId w:val="571"/>
        </w:numPr>
        <w:spacing w:before="120" w:after="120" w:line="240" w:lineRule="auto"/>
        <w:jc w:val="both"/>
        <w:rPr>
          <w:rFonts w:ascii="Times New Roman" w:eastAsia="Times New Roman" w:hAnsi="Times New Roman" w:cs="Times New Roman"/>
          <w:lang w:val="en-US"/>
        </w:rPr>
      </w:pPr>
      <w:r w:rsidRPr="00903C65">
        <w:rPr>
          <w:rFonts w:ascii="Times New Roman" w:eastAsia="Times New Roman" w:hAnsi="Times New Roman" w:cs="Times New Roman"/>
          <w:lang w:val="en-US"/>
        </w:rPr>
        <w:t>To possess sys</w:t>
      </w:r>
      <w:r w:rsidRPr="00850EC7">
        <w:rPr>
          <w:rFonts w:ascii="Times New Roman" w:eastAsia="Times New Roman" w:hAnsi="Times New Roman" w:cs="Times New Roman"/>
          <w:bCs/>
          <w:lang w:val="en-US"/>
        </w:rPr>
        <w:t>tem-based approach towards professional tasks and challenges.</w:t>
      </w:r>
    </w:p>
    <w:p w:rsidR="00903C65" w:rsidRPr="00850EC7" w:rsidRDefault="00903C65" w:rsidP="00980876">
      <w:pPr>
        <w:widowControl w:val="0"/>
        <w:numPr>
          <w:ilvl w:val="0"/>
          <w:numId w:val="570"/>
        </w:numPr>
        <w:tabs>
          <w:tab w:val="num" w:pos="567"/>
        </w:tabs>
        <w:spacing w:before="120" w:after="120" w:line="240" w:lineRule="auto"/>
        <w:ind w:left="426" w:hanging="142"/>
        <w:jc w:val="both"/>
        <w:rPr>
          <w:rFonts w:ascii="Times New Roman" w:eastAsia="Times New Roman" w:hAnsi="Times New Roman" w:cs="Times New Roman"/>
          <w:bCs/>
          <w:lang w:val="en-US"/>
        </w:rPr>
      </w:pPr>
      <w:r w:rsidRPr="00850EC7">
        <w:rPr>
          <w:rFonts w:ascii="Times New Roman" w:eastAsia="Times New Roman" w:hAnsi="Times New Roman" w:cs="Times New Roman"/>
          <w:b/>
          <w:bCs/>
          <w:lang w:val="en-US"/>
        </w:rPr>
        <w:t xml:space="preserve">Required previous studies: </w:t>
      </w:r>
      <w:r w:rsidRPr="00850EC7">
        <w:rPr>
          <w:rFonts w:ascii="Times New Roman" w:eastAsia="Times New Roman" w:hAnsi="Times New Roman" w:cs="Times New Roman"/>
          <w:lang w:val="en-US" w:eastAsia="hu-HU"/>
        </w:rPr>
        <w:t>-</w:t>
      </w:r>
      <w:r w:rsidRPr="00850EC7">
        <w:rPr>
          <w:rFonts w:ascii="Times New Roman" w:eastAsia="Times New Roman" w:hAnsi="Times New Roman" w:cs="Times New Roman"/>
          <w:bCs/>
          <w:lang w:val="en-US"/>
        </w:rPr>
        <w:t xml:space="preserve"> </w:t>
      </w:r>
    </w:p>
    <w:p w:rsidR="00903C65" w:rsidRDefault="00903C65">
      <w:pPr>
        <w:spacing w:after="200" w:line="276" w:lineRule="auto"/>
        <w:rPr>
          <w:rFonts w:ascii="Times New Roman" w:eastAsia="Times New Roman" w:hAnsi="Times New Roman" w:cs="Times New Roman"/>
          <w:b/>
          <w:bCs/>
          <w:lang w:val="en-US"/>
        </w:rPr>
      </w:pPr>
      <w:r>
        <w:rPr>
          <w:rFonts w:ascii="Times New Roman" w:eastAsia="Times New Roman" w:hAnsi="Times New Roman" w:cs="Times New Roman"/>
          <w:b/>
          <w:bCs/>
          <w:lang w:val="en-US"/>
        </w:rPr>
        <w:br w:type="page"/>
      </w:r>
    </w:p>
    <w:p w:rsidR="00903C65" w:rsidRPr="00850EC7" w:rsidRDefault="00903C65" w:rsidP="00980876">
      <w:pPr>
        <w:widowControl w:val="0"/>
        <w:numPr>
          <w:ilvl w:val="0"/>
          <w:numId w:val="570"/>
        </w:numPr>
        <w:spacing w:before="120" w:after="120" w:line="240" w:lineRule="auto"/>
        <w:ind w:left="426" w:hanging="142"/>
        <w:jc w:val="both"/>
        <w:rPr>
          <w:rFonts w:ascii="Times New Roman" w:eastAsia="Times New Roman" w:hAnsi="Times New Roman" w:cs="Times New Roman"/>
          <w:b/>
          <w:bCs/>
          <w:lang w:val="en-US"/>
        </w:rPr>
      </w:pPr>
      <w:r w:rsidRPr="00850EC7">
        <w:rPr>
          <w:rFonts w:ascii="Times New Roman" w:eastAsia="Times New Roman" w:hAnsi="Times New Roman" w:cs="Times New Roman"/>
          <w:b/>
          <w:bCs/>
          <w:lang w:val="en-US"/>
        </w:rPr>
        <w:lastRenderedPageBreak/>
        <w:t>The syllabus of the subject:</w:t>
      </w:r>
    </w:p>
    <w:p w:rsidR="00903C65" w:rsidRPr="00850EC7" w:rsidRDefault="00903C65" w:rsidP="00980876">
      <w:pPr>
        <w:widowControl w:val="0"/>
        <w:numPr>
          <w:ilvl w:val="1"/>
          <w:numId w:val="570"/>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lang w:val="en-US"/>
        </w:rPr>
      </w:pPr>
      <w:r w:rsidRPr="00850EC7">
        <w:rPr>
          <w:rFonts w:ascii="Times New Roman" w:eastAsia="Times New Roman" w:hAnsi="Times New Roman" w:cs="Times New Roman"/>
          <w:lang w:val="en-US"/>
        </w:rPr>
        <w:t>Processes and effects of globalization.</w:t>
      </w:r>
    </w:p>
    <w:p w:rsidR="00903C65" w:rsidRPr="00850EC7" w:rsidRDefault="00903C65" w:rsidP="00980876">
      <w:pPr>
        <w:widowControl w:val="0"/>
        <w:numPr>
          <w:ilvl w:val="1"/>
          <w:numId w:val="570"/>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lang w:val="en-US"/>
        </w:rPr>
      </w:pPr>
      <w:r w:rsidRPr="00850EC7">
        <w:rPr>
          <w:rFonts w:ascii="Times New Roman" w:eastAsia="Times New Roman" w:hAnsi="Times New Roman" w:cs="Times New Roman"/>
          <w:lang w:val="en-US"/>
        </w:rPr>
        <w:t>Interconnections among national economies. Balance of payment, trade of goods and services, flow of production factors and technology.</w:t>
      </w:r>
    </w:p>
    <w:p w:rsidR="00903C65" w:rsidRPr="00850EC7" w:rsidRDefault="00903C65" w:rsidP="00980876">
      <w:pPr>
        <w:widowControl w:val="0"/>
        <w:numPr>
          <w:ilvl w:val="1"/>
          <w:numId w:val="570"/>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lang w:val="en-US"/>
        </w:rPr>
      </w:pPr>
      <w:r w:rsidRPr="00850EC7">
        <w:rPr>
          <w:rFonts w:ascii="Times New Roman" w:eastAsia="Times New Roman" w:hAnsi="Times New Roman" w:cs="Times New Roman"/>
          <w:bCs/>
          <w:lang w:val="en-US"/>
        </w:rPr>
        <w:t>Supranational institutions in the global economic system and their tasks.</w:t>
      </w:r>
    </w:p>
    <w:p w:rsidR="00903C65" w:rsidRPr="00850EC7" w:rsidRDefault="00903C65" w:rsidP="00980876">
      <w:pPr>
        <w:widowControl w:val="0"/>
        <w:numPr>
          <w:ilvl w:val="1"/>
          <w:numId w:val="570"/>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lang w:val="en-US"/>
        </w:rPr>
      </w:pPr>
      <w:r w:rsidRPr="00850EC7">
        <w:rPr>
          <w:rFonts w:ascii="Times New Roman" w:eastAsia="Times New Roman" w:hAnsi="Times New Roman" w:cs="Times New Roman"/>
          <w:bCs/>
          <w:lang w:val="en-US"/>
        </w:rPr>
        <w:t>Development inequalities, asymmetries, interdependencies.</w:t>
      </w:r>
    </w:p>
    <w:p w:rsidR="00903C65" w:rsidRPr="00850EC7" w:rsidRDefault="00903C65" w:rsidP="00980876">
      <w:pPr>
        <w:widowControl w:val="0"/>
        <w:numPr>
          <w:ilvl w:val="1"/>
          <w:numId w:val="570"/>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lang w:val="en-US"/>
        </w:rPr>
      </w:pPr>
      <w:r w:rsidRPr="00850EC7">
        <w:rPr>
          <w:rFonts w:ascii="Times New Roman" w:eastAsia="Times New Roman" w:hAnsi="Times New Roman" w:cs="Times New Roman"/>
          <w:lang w:val="en-US"/>
        </w:rPr>
        <w:t>Integration economics. Types and levels of regional economic integrations</w:t>
      </w:r>
      <w:r w:rsidRPr="00850EC7">
        <w:rPr>
          <w:rFonts w:ascii="Times New Roman" w:eastAsia="Times New Roman" w:hAnsi="Times New Roman" w:cs="Times New Roman"/>
          <w:bCs/>
          <w:lang w:val="en-US"/>
        </w:rPr>
        <w:t>. The questions and problems of the European integration.</w:t>
      </w:r>
    </w:p>
    <w:p w:rsidR="00903C65" w:rsidRPr="00850EC7" w:rsidRDefault="00903C65" w:rsidP="00980876">
      <w:pPr>
        <w:widowControl w:val="0"/>
        <w:numPr>
          <w:ilvl w:val="0"/>
          <w:numId w:val="570"/>
        </w:numPr>
        <w:spacing w:before="120" w:after="120" w:line="240" w:lineRule="auto"/>
        <w:ind w:left="426" w:hanging="142"/>
        <w:jc w:val="both"/>
        <w:rPr>
          <w:rFonts w:ascii="Times New Roman" w:eastAsia="Times New Roman" w:hAnsi="Times New Roman" w:cs="Times New Roman"/>
          <w:bCs/>
          <w:lang w:val="en-US"/>
        </w:rPr>
      </w:pPr>
      <w:r w:rsidRPr="00850EC7">
        <w:rPr>
          <w:rFonts w:ascii="Times New Roman" w:eastAsia="Times New Roman" w:hAnsi="Times New Roman" w:cs="Times New Roman"/>
          <w:b/>
          <w:bCs/>
          <w:lang w:val="en-US"/>
        </w:rPr>
        <w:t xml:space="preserve">The frequency of offering the subject/its position in the curriculum of the term: </w:t>
      </w:r>
      <w:r w:rsidRPr="00850EC7">
        <w:rPr>
          <w:rFonts w:ascii="Times New Roman" w:eastAsia="Times New Roman" w:hAnsi="Times New Roman" w:cs="Times New Roman"/>
          <w:lang w:val="en-US" w:eastAsia="hu-HU"/>
        </w:rPr>
        <w:t xml:space="preserve">in </w:t>
      </w:r>
      <w:r w:rsidRPr="00850EC7">
        <w:rPr>
          <w:rFonts w:ascii="Times New Roman" w:eastAsia="Times New Roman" w:hAnsi="Times New Roman" w:cs="Times New Roman"/>
          <w:bCs/>
          <w:lang w:val="en-US"/>
        </w:rPr>
        <w:t>autumn semester</w:t>
      </w:r>
    </w:p>
    <w:p w:rsidR="00903C65" w:rsidRPr="00850EC7" w:rsidRDefault="00903C65" w:rsidP="00980876">
      <w:pPr>
        <w:widowControl w:val="0"/>
        <w:numPr>
          <w:ilvl w:val="0"/>
          <w:numId w:val="570"/>
        </w:numPr>
        <w:spacing w:before="120" w:after="120" w:line="240" w:lineRule="auto"/>
        <w:ind w:left="426" w:hanging="142"/>
        <w:jc w:val="both"/>
        <w:rPr>
          <w:rFonts w:ascii="Times New Roman" w:eastAsia="Times New Roman" w:hAnsi="Times New Roman" w:cs="Times New Roman"/>
          <w:bCs/>
          <w:lang w:val="en-US"/>
        </w:rPr>
      </w:pPr>
      <w:r w:rsidRPr="00850EC7">
        <w:rPr>
          <w:rFonts w:ascii="Times New Roman" w:eastAsia="Times New Roman" w:hAnsi="Times New Roman" w:cs="Times New Roman"/>
          <w:b/>
          <w:bCs/>
          <w:lang w:val="en-US"/>
        </w:rPr>
        <w:t>Requirements of attendance, acceptable absence, opportunity for making up missed classes:</w:t>
      </w:r>
    </w:p>
    <w:p w:rsidR="00903C65" w:rsidRPr="00850EC7" w:rsidRDefault="00903C65" w:rsidP="00903C65">
      <w:pPr>
        <w:widowControl w:val="0"/>
        <w:spacing w:before="120" w:after="120" w:line="240" w:lineRule="auto"/>
        <w:ind w:left="426"/>
        <w:jc w:val="both"/>
        <w:rPr>
          <w:rFonts w:ascii="Times New Roman" w:eastAsia="Times New Roman" w:hAnsi="Times New Roman" w:cs="Times New Roman"/>
          <w:bCs/>
          <w:lang w:val="en-US"/>
        </w:rPr>
      </w:pPr>
      <w:r w:rsidRPr="00850EC7">
        <w:rPr>
          <w:rFonts w:ascii="Times New Roman" w:eastAsia="Times New Roman" w:hAnsi="Times New Roman" w:cs="Times New Roman"/>
          <w:lang w:val="en-US" w:eastAsia="hu-HU"/>
        </w:rPr>
        <w:t xml:space="preserve">Attendance is </w:t>
      </w:r>
      <w:r>
        <w:rPr>
          <w:rFonts w:ascii="Times New Roman" w:eastAsia="Times New Roman" w:hAnsi="Times New Roman" w:cs="Times New Roman"/>
          <w:lang w:val="en-US" w:eastAsia="hu-HU"/>
        </w:rPr>
        <w:t>suggested,</w:t>
      </w:r>
      <w:r w:rsidRPr="00850EC7">
        <w:rPr>
          <w:rFonts w:ascii="Times New Roman" w:eastAsia="Times New Roman" w:hAnsi="Times New Roman" w:cs="Times New Roman"/>
          <w:lang w:val="en-US" w:eastAsia="hu-HU"/>
        </w:rPr>
        <w:t xml:space="preserve"> but not compulsory, except of the seminar lessons. </w:t>
      </w:r>
    </w:p>
    <w:p w:rsidR="00903C65" w:rsidRPr="00850EC7" w:rsidRDefault="00903C65" w:rsidP="00980876">
      <w:pPr>
        <w:widowControl w:val="0"/>
        <w:numPr>
          <w:ilvl w:val="0"/>
          <w:numId w:val="570"/>
        </w:numPr>
        <w:spacing w:before="120" w:after="120" w:line="240" w:lineRule="auto"/>
        <w:ind w:left="426" w:hanging="142"/>
        <w:jc w:val="both"/>
        <w:rPr>
          <w:rFonts w:ascii="Times New Roman" w:eastAsia="Times New Roman" w:hAnsi="Times New Roman" w:cs="Times New Roman"/>
          <w:bCs/>
          <w:lang w:val="en-US"/>
        </w:rPr>
      </w:pPr>
      <w:r w:rsidRPr="00850EC7">
        <w:rPr>
          <w:rFonts w:ascii="Times New Roman" w:eastAsia="Times New Roman" w:hAnsi="Times New Roman" w:cs="Times New Roman"/>
          <w:b/>
          <w:lang w:val="en-US"/>
        </w:rPr>
        <w:t>Term assignments, testing knowledge:</w:t>
      </w:r>
    </w:p>
    <w:p w:rsidR="00903C65" w:rsidRPr="00EA636C" w:rsidRDefault="00903C65" w:rsidP="00903C65">
      <w:pPr>
        <w:pStyle w:val="Listaszerbekezds"/>
        <w:widowControl w:val="0"/>
        <w:tabs>
          <w:tab w:val="left" w:pos="993"/>
        </w:tabs>
        <w:spacing w:before="120" w:after="120" w:line="240" w:lineRule="auto"/>
        <w:ind w:left="426"/>
        <w:jc w:val="both"/>
        <w:rPr>
          <w:rFonts w:ascii="Times New Roman" w:eastAsia="Times New Roman" w:hAnsi="Times New Roman" w:cs="Times New Roman"/>
          <w:lang w:val="en-US"/>
        </w:rPr>
      </w:pPr>
      <w:r w:rsidRPr="00EA636C">
        <w:rPr>
          <w:rFonts w:ascii="Times New Roman" w:eastAsia="Times New Roman" w:hAnsi="Times New Roman" w:cs="Times New Roman"/>
          <w:lang w:val="en-US" w:eastAsia="hu-HU"/>
        </w:rPr>
        <w:t xml:space="preserve">Requirement is built upon three pillars: 1. Taking part in the seminar debates about actual world economic events, news. 2. Creating a PPT presentation about the home country’s situation with the help of competitiveness reports and the usage of national and international databases. </w:t>
      </w:r>
      <w:r w:rsidRPr="00EA636C">
        <w:rPr>
          <w:rFonts w:ascii="Times New Roman" w:eastAsia="Times New Roman" w:hAnsi="Times New Roman" w:cs="Times New Roman"/>
          <w:lang w:val="en-US"/>
        </w:rPr>
        <w:t>3. Writing a short written test.</w:t>
      </w:r>
    </w:p>
    <w:p w:rsidR="00903C65" w:rsidRPr="00850EC7" w:rsidRDefault="00903C65" w:rsidP="00980876">
      <w:pPr>
        <w:widowControl w:val="0"/>
        <w:numPr>
          <w:ilvl w:val="0"/>
          <w:numId w:val="570"/>
        </w:numPr>
        <w:spacing w:before="120" w:after="120" w:line="240" w:lineRule="auto"/>
        <w:ind w:left="426" w:hanging="142"/>
        <w:jc w:val="both"/>
        <w:rPr>
          <w:rFonts w:ascii="Times New Roman" w:eastAsia="Times New Roman" w:hAnsi="Times New Roman" w:cs="Times New Roman"/>
          <w:b/>
          <w:bCs/>
          <w:lang w:val="en-US"/>
        </w:rPr>
      </w:pPr>
      <w:r w:rsidRPr="00850EC7">
        <w:rPr>
          <w:rFonts w:ascii="Times New Roman" w:eastAsia="Times New Roman" w:hAnsi="Times New Roman" w:cs="Times New Roman"/>
          <w:b/>
          <w:bCs/>
          <w:lang w:val="en-US"/>
        </w:rPr>
        <w:t xml:space="preserve">The exact conditions of testing knowledge, obtaining signature or credits: </w:t>
      </w:r>
    </w:p>
    <w:p w:rsidR="00903C65" w:rsidRPr="00850EC7" w:rsidRDefault="00903C65" w:rsidP="00980876">
      <w:pPr>
        <w:widowControl w:val="0"/>
        <w:numPr>
          <w:ilvl w:val="1"/>
          <w:numId w:val="570"/>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lang w:val="en-US"/>
        </w:rPr>
      </w:pPr>
      <w:r w:rsidRPr="00850EC7">
        <w:rPr>
          <w:rFonts w:ascii="Times New Roman" w:eastAsia="Times New Roman" w:hAnsi="Times New Roman" w:cs="Times New Roman"/>
          <w:b/>
          <w:lang w:val="en-US"/>
        </w:rPr>
        <w:t>The exact conditions of obtaining signature:</w:t>
      </w:r>
    </w:p>
    <w:p w:rsidR="00903C65" w:rsidRPr="00850EC7" w:rsidRDefault="00903C65" w:rsidP="00903C65">
      <w:pPr>
        <w:widowControl w:val="0"/>
        <w:tabs>
          <w:tab w:val="left" w:pos="993"/>
        </w:tabs>
        <w:spacing w:before="120" w:after="120" w:line="240" w:lineRule="auto"/>
        <w:ind w:left="426"/>
        <w:jc w:val="both"/>
        <w:rPr>
          <w:rFonts w:ascii="Times New Roman" w:eastAsia="Times New Roman" w:hAnsi="Times New Roman" w:cs="Times New Roman"/>
          <w:lang w:val="en-US"/>
        </w:rPr>
      </w:pPr>
      <w:r>
        <w:rPr>
          <w:rFonts w:ascii="Times New Roman" w:eastAsia="Times New Roman" w:hAnsi="Times New Roman" w:cs="Times New Roman"/>
          <w:lang w:val="en-US"/>
        </w:rPr>
        <w:t>Meeting with the requirements written in the point 14</w:t>
      </w:r>
      <w:r w:rsidRPr="00EA636C">
        <w:rPr>
          <w:rFonts w:ascii="Times New Roman" w:eastAsia="Times New Roman" w:hAnsi="Times New Roman" w:cs="Times New Roman"/>
          <w:vertAlign w:val="superscript"/>
          <w:lang w:val="en-US"/>
        </w:rPr>
        <w:t>th</w:t>
      </w:r>
      <w:r>
        <w:rPr>
          <w:rFonts w:ascii="Times New Roman" w:eastAsia="Times New Roman" w:hAnsi="Times New Roman" w:cs="Times New Roman"/>
          <w:lang w:val="en-US"/>
        </w:rPr>
        <w:t>.</w:t>
      </w:r>
    </w:p>
    <w:p w:rsidR="00903C65" w:rsidRPr="00850EC7" w:rsidRDefault="00903C65" w:rsidP="00980876">
      <w:pPr>
        <w:widowControl w:val="0"/>
        <w:numPr>
          <w:ilvl w:val="1"/>
          <w:numId w:val="570"/>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lang w:val="en-US"/>
        </w:rPr>
      </w:pPr>
      <w:r w:rsidRPr="00850EC7">
        <w:rPr>
          <w:rFonts w:ascii="Times New Roman" w:eastAsia="Times New Roman" w:hAnsi="Times New Roman" w:cs="Times New Roman"/>
          <w:b/>
          <w:lang w:val="en-US"/>
        </w:rPr>
        <w:t>Evaluation:</w:t>
      </w:r>
    </w:p>
    <w:p w:rsidR="00903C65" w:rsidRPr="00850EC7" w:rsidRDefault="00903C65" w:rsidP="00903C65">
      <w:pPr>
        <w:widowControl w:val="0"/>
        <w:tabs>
          <w:tab w:val="left" w:pos="993"/>
          <w:tab w:val="num" w:pos="3977"/>
        </w:tabs>
        <w:spacing w:before="120" w:after="120" w:line="240" w:lineRule="auto"/>
        <w:ind w:left="426"/>
        <w:jc w:val="both"/>
        <w:rPr>
          <w:rFonts w:ascii="Times New Roman" w:eastAsia="Times New Roman" w:hAnsi="Times New Roman" w:cs="Times New Roman"/>
          <w:lang w:val="en-US"/>
        </w:rPr>
      </w:pPr>
      <w:r w:rsidRPr="00850EC7">
        <w:rPr>
          <w:rFonts w:ascii="Times New Roman" w:eastAsia="Times New Roman" w:hAnsi="Times New Roman" w:cs="Times New Roman"/>
          <w:lang w:val="en-US"/>
        </w:rPr>
        <w:t>Evaluation is in 5-point grading scale. Grading involves the quality of the presentation and the result of the written exam.</w:t>
      </w:r>
    </w:p>
    <w:p w:rsidR="00903C65" w:rsidRPr="00850EC7" w:rsidRDefault="00903C65" w:rsidP="00980876">
      <w:pPr>
        <w:widowControl w:val="0"/>
        <w:numPr>
          <w:ilvl w:val="1"/>
          <w:numId w:val="570"/>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lang w:val="en-US"/>
        </w:rPr>
      </w:pPr>
      <w:r w:rsidRPr="00850EC7">
        <w:rPr>
          <w:rFonts w:ascii="Times New Roman" w:eastAsia="Times New Roman" w:hAnsi="Times New Roman" w:cs="Times New Roman"/>
          <w:b/>
          <w:lang w:val="en-US"/>
        </w:rPr>
        <w:t>The exact conditions of obtaining credits:</w:t>
      </w:r>
      <w:r w:rsidRPr="00850EC7">
        <w:rPr>
          <w:rFonts w:ascii="Times New Roman" w:eastAsia="Times New Roman" w:hAnsi="Times New Roman" w:cs="Times New Roman"/>
          <w:lang w:val="en-US"/>
        </w:rPr>
        <w:t xml:space="preserve"> </w:t>
      </w:r>
    </w:p>
    <w:p w:rsidR="00903C65" w:rsidRPr="00850EC7" w:rsidRDefault="00903C65" w:rsidP="00903C65">
      <w:pPr>
        <w:widowControl w:val="0"/>
        <w:tabs>
          <w:tab w:val="left" w:pos="993"/>
        </w:tabs>
        <w:spacing w:before="120" w:after="120" w:line="240" w:lineRule="auto"/>
        <w:ind w:left="426"/>
        <w:jc w:val="both"/>
        <w:rPr>
          <w:rFonts w:ascii="Times New Roman" w:eastAsia="Times New Roman" w:hAnsi="Times New Roman" w:cs="Times New Roman"/>
          <w:lang w:val="en-US"/>
        </w:rPr>
      </w:pPr>
      <w:r w:rsidRPr="00850EC7">
        <w:rPr>
          <w:rFonts w:ascii="Times New Roman" w:eastAsia="Times New Roman" w:hAnsi="Times New Roman" w:cs="Times New Roman"/>
          <w:lang w:val="en-US" w:eastAsia="hu-HU"/>
        </w:rPr>
        <w:t xml:space="preserve">Taking part on the seminars, presenting the homework and passing the written test. </w:t>
      </w:r>
    </w:p>
    <w:p w:rsidR="00903C65" w:rsidRPr="00850EC7" w:rsidRDefault="00903C65" w:rsidP="00980876">
      <w:pPr>
        <w:widowControl w:val="0"/>
        <w:numPr>
          <w:ilvl w:val="0"/>
          <w:numId w:val="570"/>
        </w:numPr>
        <w:spacing w:before="120" w:after="120" w:line="240" w:lineRule="auto"/>
        <w:ind w:left="426" w:hanging="142"/>
        <w:jc w:val="both"/>
        <w:rPr>
          <w:rFonts w:ascii="Times New Roman" w:eastAsia="Times New Roman" w:hAnsi="Times New Roman" w:cs="Times New Roman"/>
          <w:bCs/>
          <w:lang w:val="en-US"/>
        </w:rPr>
      </w:pPr>
      <w:r w:rsidRPr="00850EC7">
        <w:rPr>
          <w:rFonts w:ascii="Times New Roman" w:eastAsia="Times New Roman" w:hAnsi="Times New Roman" w:cs="Times New Roman"/>
          <w:b/>
          <w:bCs/>
          <w:lang w:val="en-US"/>
        </w:rPr>
        <w:t>Bibliography:</w:t>
      </w:r>
    </w:p>
    <w:p w:rsidR="00903C65" w:rsidRPr="00850EC7" w:rsidRDefault="00903C65" w:rsidP="00980876">
      <w:pPr>
        <w:widowControl w:val="0"/>
        <w:numPr>
          <w:ilvl w:val="1"/>
          <w:numId w:val="570"/>
        </w:numPr>
        <w:tabs>
          <w:tab w:val="left" w:pos="993"/>
          <w:tab w:val="num" w:pos="2069"/>
        </w:tabs>
        <w:spacing w:before="120" w:after="120" w:line="240" w:lineRule="auto"/>
        <w:ind w:left="426" w:hanging="142"/>
        <w:jc w:val="both"/>
        <w:rPr>
          <w:rFonts w:ascii="Times New Roman" w:eastAsia="Times New Roman" w:hAnsi="Times New Roman" w:cs="Times New Roman"/>
          <w:bCs/>
          <w:lang w:val="en-US"/>
        </w:rPr>
      </w:pPr>
      <w:r w:rsidRPr="00850EC7">
        <w:rPr>
          <w:rFonts w:ascii="Times New Roman" w:eastAsia="Times New Roman" w:hAnsi="Times New Roman" w:cs="Times New Roman"/>
          <w:b/>
          <w:bCs/>
          <w:lang w:val="en-US"/>
        </w:rPr>
        <w:t>Compulsory readings:</w:t>
      </w:r>
    </w:p>
    <w:p w:rsidR="00903C65" w:rsidRPr="00903C65" w:rsidRDefault="00903C65" w:rsidP="00980876">
      <w:pPr>
        <w:pStyle w:val="Listaszerbekezds"/>
        <w:widowControl w:val="0"/>
        <w:numPr>
          <w:ilvl w:val="0"/>
          <w:numId w:val="572"/>
        </w:numPr>
        <w:tabs>
          <w:tab w:val="left" w:pos="993"/>
          <w:tab w:val="num" w:pos="3977"/>
        </w:tabs>
        <w:spacing w:before="120" w:after="120" w:line="240" w:lineRule="auto"/>
        <w:jc w:val="both"/>
        <w:rPr>
          <w:rFonts w:ascii="Times New Roman" w:eastAsia="Times New Roman" w:hAnsi="Times New Roman" w:cs="Times New Roman"/>
          <w:bCs/>
          <w:lang w:val="en-US"/>
        </w:rPr>
      </w:pPr>
      <w:r w:rsidRPr="00903C65">
        <w:rPr>
          <w:rFonts w:ascii="Times New Roman" w:eastAsia="Times New Roman" w:hAnsi="Times New Roman" w:cs="Times New Roman"/>
          <w:bCs/>
          <w:lang w:val="en-US"/>
        </w:rPr>
        <w:t xml:space="preserve">Balázs Taksás: </w:t>
      </w:r>
      <w:r w:rsidRPr="00903C65">
        <w:rPr>
          <w:rFonts w:ascii="Times New Roman" w:eastAsia="Times New Roman" w:hAnsi="Times New Roman" w:cs="Times New Roman"/>
          <w:bCs/>
          <w:i/>
          <w:lang w:val="en-US"/>
        </w:rPr>
        <w:t>International Political Economy</w:t>
      </w:r>
      <w:r w:rsidRPr="00903C65">
        <w:rPr>
          <w:rFonts w:ascii="Times New Roman" w:eastAsia="Times New Roman" w:hAnsi="Times New Roman" w:cs="Times New Roman"/>
          <w:bCs/>
          <w:lang w:val="en-US"/>
        </w:rPr>
        <w:t xml:space="preserve"> Electronic Teaching Material, University of Public Service</w:t>
      </w:r>
    </w:p>
    <w:p w:rsidR="00903C65" w:rsidRPr="00903C65" w:rsidRDefault="00903C65" w:rsidP="00980876">
      <w:pPr>
        <w:pStyle w:val="Listaszerbekezds"/>
        <w:widowControl w:val="0"/>
        <w:numPr>
          <w:ilvl w:val="0"/>
          <w:numId w:val="572"/>
        </w:numPr>
        <w:tabs>
          <w:tab w:val="left" w:pos="993"/>
          <w:tab w:val="num" w:pos="3977"/>
        </w:tabs>
        <w:spacing w:before="120" w:after="120" w:line="240" w:lineRule="auto"/>
        <w:jc w:val="both"/>
        <w:rPr>
          <w:rFonts w:ascii="Times New Roman" w:eastAsia="Times New Roman" w:hAnsi="Times New Roman" w:cs="Times New Roman"/>
          <w:bCs/>
          <w:lang w:val="en-US"/>
        </w:rPr>
      </w:pPr>
      <w:r w:rsidRPr="00903C65">
        <w:rPr>
          <w:rFonts w:ascii="Times New Roman" w:eastAsia="Times New Roman" w:hAnsi="Times New Roman" w:cs="Times New Roman"/>
          <w:bCs/>
          <w:lang w:val="en-US"/>
        </w:rPr>
        <w:t>Krugman, Paul R. - Obstfeld, Maurice: International Economics Pearson Education 8th Edition 2010. ISBN: 1408263661</w:t>
      </w:r>
    </w:p>
    <w:p w:rsidR="00903C65" w:rsidRPr="00850EC7" w:rsidRDefault="00903C65" w:rsidP="00980876">
      <w:pPr>
        <w:widowControl w:val="0"/>
        <w:numPr>
          <w:ilvl w:val="1"/>
          <w:numId w:val="570"/>
        </w:numPr>
        <w:tabs>
          <w:tab w:val="left" w:pos="993"/>
          <w:tab w:val="num" w:pos="2069"/>
        </w:tabs>
        <w:spacing w:before="120" w:after="120" w:line="240" w:lineRule="auto"/>
        <w:ind w:left="426" w:hanging="142"/>
        <w:jc w:val="both"/>
        <w:rPr>
          <w:rFonts w:ascii="Times New Roman" w:eastAsia="Times New Roman" w:hAnsi="Times New Roman" w:cs="Times New Roman"/>
          <w:b/>
          <w:bCs/>
          <w:lang w:val="en-US"/>
        </w:rPr>
      </w:pPr>
      <w:r w:rsidRPr="00850EC7">
        <w:rPr>
          <w:rFonts w:ascii="Times New Roman" w:eastAsia="Times New Roman" w:hAnsi="Times New Roman" w:cs="Times New Roman"/>
          <w:b/>
          <w:bCs/>
          <w:lang w:val="en-US"/>
        </w:rPr>
        <w:t>Recommended readings:</w:t>
      </w:r>
    </w:p>
    <w:p w:rsidR="00903C65" w:rsidRPr="00903C65" w:rsidRDefault="00903C65" w:rsidP="00980876">
      <w:pPr>
        <w:pStyle w:val="Listaszerbekezds"/>
        <w:widowControl w:val="0"/>
        <w:numPr>
          <w:ilvl w:val="0"/>
          <w:numId w:val="573"/>
        </w:numPr>
        <w:tabs>
          <w:tab w:val="left" w:pos="993"/>
        </w:tabs>
        <w:spacing w:before="120" w:after="120" w:line="240" w:lineRule="auto"/>
        <w:jc w:val="both"/>
        <w:rPr>
          <w:rFonts w:ascii="Times New Roman" w:eastAsia="Times New Roman" w:hAnsi="Times New Roman" w:cs="Times New Roman"/>
          <w:bCs/>
          <w:lang w:val="en-US"/>
        </w:rPr>
      </w:pPr>
      <w:r w:rsidRPr="00903C65">
        <w:rPr>
          <w:rFonts w:ascii="Times New Roman" w:eastAsia="Times New Roman" w:hAnsi="Times New Roman" w:cs="Times New Roman"/>
          <w:bCs/>
          <w:lang w:val="en-US"/>
        </w:rPr>
        <w:t>Tamás</w:t>
      </w:r>
      <w:r w:rsidRPr="00903C65">
        <w:rPr>
          <w:rFonts w:ascii="Times New Roman" w:eastAsia="Times New Roman" w:hAnsi="Times New Roman" w:cs="Times New Roman"/>
          <w:lang w:val="en-US" w:eastAsia="hu-HU"/>
        </w:rPr>
        <w:t xml:space="preserve"> Szentes: World economics 1-2. Akadémia Kiadó 2005. ISBN: 9630579677</w:t>
      </w:r>
    </w:p>
    <w:p w:rsidR="00903C65" w:rsidRDefault="00903C65" w:rsidP="00903C65">
      <w:pPr>
        <w:widowControl w:val="0"/>
        <w:spacing w:before="120" w:after="120" w:line="240" w:lineRule="auto"/>
        <w:ind w:firstLine="360"/>
        <w:jc w:val="both"/>
        <w:rPr>
          <w:rFonts w:ascii="Times New Roman" w:eastAsia="Times New Roman" w:hAnsi="Times New Roman" w:cs="Times New Roman"/>
          <w:bCs/>
          <w:lang w:val="en-US"/>
        </w:rPr>
      </w:pPr>
    </w:p>
    <w:p w:rsidR="00903C65" w:rsidRPr="00850EC7" w:rsidRDefault="00903C65" w:rsidP="00903C65">
      <w:pPr>
        <w:widowControl w:val="0"/>
        <w:spacing w:before="120" w:after="120" w:line="240" w:lineRule="auto"/>
        <w:ind w:firstLine="360"/>
        <w:jc w:val="both"/>
        <w:rPr>
          <w:rFonts w:ascii="Times New Roman" w:eastAsia="Times New Roman" w:hAnsi="Times New Roman" w:cs="Times New Roman"/>
          <w:bCs/>
          <w:lang w:val="en-US"/>
        </w:rPr>
      </w:pPr>
      <w:r w:rsidRPr="00850EC7">
        <w:rPr>
          <w:rFonts w:ascii="Times New Roman" w:eastAsia="Times New Roman" w:hAnsi="Times New Roman" w:cs="Times New Roman"/>
          <w:bCs/>
          <w:lang w:val="en-US"/>
        </w:rPr>
        <w:t xml:space="preserve">Budapest, </w:t>
      </w:r>
      <w:r w:rsidRPr="00850EC7">
        <w:rPr>
          <w:rFonts w:ascii="Times New Roman" w:eastAsia="Times New Roman" w:hAnsi="Times New Roman" w:cs="Times New Roman"/>
          <w:lang w:val="en-US" w:eastAsia="hu-HU"/>
        </w:rPr>
        <w:t>09.03.2020.</w:t>
      </w:r>
    </w:p>
    <w:p w:rsidR="00903C65" w:rsidRPr="00850EC7" w:rsidRDefault="00903C65" w:rsidP="00903C65">
      <w:pPr>
        <w:widowControl w:val="0"/>
        <w:spacing w:before="120" w:after="120" w:line="240" w:lineRule="auto"/>
        <w:jc w:val="both"/>
        <w:rPr>
          <w:rFonts w:ascii="Times New Roman" w:eastAsia="Times New Roman" w:hAnsi="Times New Roman" w:cs="Times New Roman"/>
          <w:bCs/>
          <w:lang w:val="en-US"/>
        </w:rPr>
      </w:pPr>
    </w:p>
    <w:p w:rsidR="00903C65" w:rsidRPr="00850EC7" w:rsidRDefault="00903C65" w:rsidP="00903C65">
      <w:pPr>
        <w:widowControl w:val="0"/>
        <w:spacing w:after="0" w:line="240" w:lineRule="auto"/>
        <w:jc w:val="right"/>
        <w:rPr>
          <w:rFonts w:ascii="Times New Roman" w:hAnsi="Times New Roman" w:cs="Times New Roman"/>
          <w:bCs/>
          <w:lang w:val="en-US"/>
        </w:rPr>
      </w:pPr>
      <w:r w:rsidRPr="00850EC7">
        <w:rPr>
          <w:rFonts w:ascii="Times New Roman" w:hAnsi="Times New Roman" w:cs="Times New Roman"/>
          <w:bCs/>
          <w:lang w:val="en-US"/>
        </w:rPr>
        <w:t>Cpt. Balázs Taksás (PhD)</w:t>
      </w:r>
    </w:p>
    <w:p w:rsidR="00903C65" w:rsidRPr="00850EC7" w:rsidRDefault="00903C65" w:rsidP="00903C65">
      <w:pPr>
        <w:widowControl w:val="0"/>
        <w:spacing w:after="0" w:line="240" w:lineRule="auto"/>
        <w:jc w:val="center"/>
        <w:rPr>
          <w:rFonts w:ascii="Times New Roman" w:eastAsia="Times New Roman" w:hAnsi="Times New Roman" w:cs="Times New Roman"/>
          <w:bCs/>
          <w:lang w:val="en-US"/>
        </w:rPr>
      </w:pPr>
      <w:r w:rsidRPr="00850EC7">
        <w:rPr>
          <w:rFonts w:ascii="Times New Roman" w:hAnsi="Times New Roman" w:cs="Times New Roman"/>
          <w:bCs/>
          <w:lang w:val="en-US"/>
        </w:rPr>
        <w:t xml:space="preserve">                                                                                                                        associate professor</w:t>
      </w:r>
    </w:p>
    <w:p w:rsidR="00D537E1" w:rsidRDefault="00D537E1">
      <w:pPr>
        <w:spacing w:after="200" w:line="276" w:lineRule="auto"/>
        <w:rPr>
          <w:rFonts w:ascii="Times New Roman" w:hAnsi="Times New Roman" w:cs="Times New Roman"/>
        </w:rPr>
      </w:pPr>
      <w:r>
        <w:rPr>
          <w:rFonts w:ascii="Times New Roman" w:hAnsi="Times New Roman" w:cs="Times New Roman"/>
        </w:rPr>
        <w:br w:type="page"/>
      </w:r>
    </w:p>
    <w:tbl>
      <w:tblPr>
        <w:tblW w:w="9072" w:type="dxa"/>
        <w:tblInd w:w="113" w:type="dxa"/>
        <w:tblLook w:val="01E0" w:firstRow="1" w:lastRow="1" w:firstColumn="1" w:lastColumn="1" w:noHBand="0" w:noVBand="0"/>
      </w:tblPr>
      <w:tblGrid>
        <w:gridCol w:w="4855"/>
        <w:gridCol w:w="1620"/>
        <w:gridCol w:w="2597"/>
      </w:tblGrid>
      <w:tr w:rsidR="00D537E1" w:rsidRPr="00BC6E7B" w:rsidTr="00E65CE8">
        <w:tc>
          <w:tcPr>
            <w:tcW w:w="4855" w:type="dxa"/>
            <w:tcBorders>
              <w:bottom w:val="single" w:sz="4" w:space="0" w:color="auto"/>
            </w:tcBorders>
          </w:tcPr>
          <w:p w:rsidR="00D537E1" w:rsidRPr="00BC6E7B" w:rsidRDefault="00D537E1" w:rsidP="00E65CE8">
            <w:pPr>
              <w:spacing w:after="0" w:line="240" w:lineRule="auto"/>
              <w:jc w:val="center"/>
              <w:rPr>
                <w:rFonts w:ascii="Times New Roman" w:eastAsia="Times New Roman" w:hAnsi="Times New Roman" w:cs="Times New Roman"/>
                <w:b/>
                <w:smallCaps/>
                <w:lang w:eastAsia="hu-HU"/>
              </w:rPr>
            </w:pPr>
            <w:r w:rsidRPr="00BC6E7B">
              <w:rPr>
                <w:rFonts w:ascii="Times New Roman" w:eastAsia="Times New Roman" w:hAnsi="Times New Roman" w:cs="Times New Roman"/>
                <w:b/>
                <w:smallCaps/>
                <w:lang w:eastAsia="hu-HU"/>
              </w:rPr>
              <w:lastRenderedPageBreak/>
              <w:t>Nemzeti Közszolgálati Egyetem</w:t>
            </w:r>
          </w:p>
        </w:tc>
        <w:tc>
          <w:tcPr>
            <w:tcW w:w="1620" w:type="dxa"/>
          </w:tcPr>
          <w:p w:rsidR="00D537E1" w:rsidRPr="00BC6E7B" w:rsidRDefault="00D537E1" w:rsidP="00E65CE8">
            <w:pPr>
              <w:spacing w:after="0" w:line="240" w:lineRule="auto"/>
              <w:jc w:val="both"/>
              <w:rPr>
                <w:rFonts w:ascii="Times New Roman" w:eastAsia="Times New Roman" w:hAnsi="Times New Roman" w:cs="Times New Roman"/>
                <w:lang w:eastAsia="hu-HU"/>
              </w:rPr>
            </w:pPr>
          </w:p>
        </w:tc>
        <w:tc>
          <w:tcPr>
            <w:tcW w:w="2597" w:type="dxa"/>
          </w:tcPr>
          <w:p w:rsidR="00D537E1" w:rsidRPr="00BC6E7B" w:rsidRDefault="00D537E1" w:rsidP="00E65CE8">
            <w:pPr>
              <w:spacing w:after="0" w:line="240" w:lineRule="auto"/>
              <w:jc w:val="right"/>
              <w:rPr>
                <w:rFonts w:ascii="Times New Roman" w:eastAsia="Times New Roman" w:hAnsi="Times New Roman" w:cs="Times New Roman"/>
                <w:lang w:eastAsia="hu-HU"/>
              </w:rPr>
            </w:pPr>
          </w:p>
        </w:tc>
      </w:tr>
      <w:tr w:rsidR="00D537E1" w:rsidRPr="00BC6E7B" w:rsidTr="00E65CE8">
        <w:tc>
          <w:tcPr>
            <w:tcW w:w="4855" w:type="dxa"/>
            <w:tcBorders>
              <w:top w:val="single" w:sz="4" w:space="0" w:color="auto"/>
            </w:tcBorders>
          </w:tcPr>
          <w:p w:rsidR="00D537E1" w:rsidRPr="00BC6E7B" w:rsidRDefault="00D537E1" w:rsidP="00E65CE8">
            <w:pPr>
              <w:spacing w:after="0" w:line="240" w:lineRule="auto"/>
              <w:jc w:val="center"/>
              <w:rPr>
                <w:rFonts w:ascii="Times New Roman" w:eastAsia="Times New Roman" w:hAnsi="Times New Roman" w:cs="Times New Roman"/>
                <w:b/>
                <w:lang w:eastAsia="hu-HU"/>
              </w:rPr>
            </w:pPr>
            <w:r>
              <w:rPr>
                <w:rFonts w:ascii="Times New Roman" w:eastAsia="Times New Roman" w:hAnsi="Times New Roman" w:cs="Times New Roman"/>
                <w:b/>
                <w:lang w:eastAsia="hu-HU"/>
              </w:rPr>
              <w:t xml:space="preserve">Hadtudományi és Honvédtisztképző </w:t>
            </w:r>
            <w:r w:rsidRPr="00BC6E7B">
              <w:rPr>
                <w:rFonts w:ascii="Times New Roman" w:eastAsia="Times New Roman" w:hAnsi="Times New Roman" w:cs="Times New Roman"/>
                <w:b/>
                <w:lang w:eastAsia="hu-HU"/>
              </w:rPr>
              <w:t>Kar</w:t>
            </w:r>
          </w:p>
        </w:tc>
        <w:tc>
          <w:tcPr>
            <w:tcW w:w="1620" w:type="dxa"/>
          </w:tcPr>
          <w:p w:rsidR="00D537E1" w:rsidRPr="00BC6E7B" w:rsidRDefault="00D537E1" w:rsidP="00E65CE8">
            <w:pPr>
              <w:spacing w:after="0" w:line="240" w:lineRule="auto"/>
              <w:jc w:val="both"/>
              <w:rPr>
                <w:rFonts w:ascii="Times New Roman" w:eastAsia="Times New Roman" w:hAnsi="Times New Roman" w:cs="Times New Roman"/>
                <w:lang w:eastAsia="hu-HU"/>
              </w:rPr>
            </w:pPr>
          </w:p>
        </w:tc>
        <w:tc>
          <w:tcPr>
            <w:tcW w:w="2597" w:type="dxa"/>
          </w:tcPr>
          <w:p w:rsidR="00D537E1" w:rsidRPr="00BC6E7B" w:rsidRDefault="00D537E1" w:rsidP="00E65CE8">
            <w:pPr>
              <w:spacing w:after="0" w:line="240" w:lineRule="auto"/>
              <w:jc w:val="both"/>
              <w:rPr>
                <w:rFonts w:ascii="Times New Roman" w:eastAsia="Times New Roman" w:hAnsi="Times New Roman" w:cs="Times New Roman"/>
                <w:lang w:eastAsia="hu-HU"/>
              </w:rPr>
            </w:pPr>
          </w:p>
        </w:tc>
      </w:tr>
    </w:tbl>
    <w:p w:rsidR="00D537E1" w:rsidRDefault="00D537E1" w:rsidP="00D537E1">
      <w:pPr>
        <w:widowControl w:val="0"/>
        <w:spacing w:before="120" w:after="120" w:line="240" w:lineRule="auto"/>
        <w:ind w:left="426" w:hanging="142"/>
        <w:jc w:val="center"/>
        <w:rPr>
          <w:rFonts w:ascii="Times New Roman" w:eastAsia="Times New Roman" w:hAnsi="Times New Roman" w:cs="Times New Roman"/>
          <w:b/>
          <w:bCs/>
        </w:rPr>
      </w:pPr>
    </w:p>
    <w:p w:rsidR="00D537E1" w:rsidRPr="00BC6E7B" w:rsidRDefault="00D537E1" w:rsidP="00D537E1">
      <w:pPr>
        <w:widowControl w:val="0"/>
        <w:spacing w:before="120" w:after="120" w:line="240" w:lineRule="auto"/>
        <w:ind w:left="426" w:hanging="142"/>
        <w:jc w:val="center"/>
        <w:rPr>
          <w:rFonts w:ascii="Times New Roman" w:eastAsia="Times New Roman" w:hAnsi="Times New Roman" w:cs="Times New Roman"/>
          <w:b/>
          <w:bCs/>
        </w:rPr>
      </w:pPr>
      <w:r w:rsidRPr="00BC6E7B">
        <w:rPr>
          <w:rFonts w:ascii="Times New Roman" w:eastAsia="Times New Roman" w:hAnsi="Times New Roman" w:cs="Times New Roman"/>
          <w:b/>
          <w:bCs/>
        </w:rPr>
        <w:t>TANTÁRGYI PROGRAM</w:t>
      </w:r>
    </w:p>
    <w:p w:rsidR="00D537E1" w:rsidRPr="00942083" w:rsidRDefault="00D537E1" w:rsidP="00980876">
      <w:pPr>
        <w:widowControl w:val="0"/>
        <w:numPr>
          <w:ilvl w:val="0"/>
          <w:numId w:val="577"/>
        </w:numPr>
        <w:tabs>
          <w:tab w:val="num" w:pos="567"/>
        </w:tabs>
        <w:spacing w:before="120" w:after="120" w:line="240" w:lineRule="auto"/>
        <w:ind w:left="426" w:hanging="142"/>
        <w:jc w:val="both"/>
        <w:rPr>
          <w:rFonts w:ascii="Times New Roman" w:eastAsia="Times New Roman" w:hAnsi="Times New Roman" w:cs="Times New Roman"/>
          <w:b/>
          <w:bCs/>
        </w:rPr>
      </w:pPr>
      <w:r w:rsidRPr="00BC6E7B">
        <w:rPr>
          <w:rFonts w:ascii="Times New Roman" w:eastAsia="Times New Roman" w:hAnsi="Times New Roman" w:cs="Times New Roman"/>
          <w:b/>
          <w:bCs/>
        </w:rPr>
        <w:t>A tantárgy kódja:</w:t>
      </w:r>
      <w:r>
        <w:rPr>
          <w:rFonts w:ascii="Times New Roman" w:eastAsia="Times New Roman" w:hAnsi="Times New Roman" w:cs="Times New Roman"/>
          <w:b/>
          <w:bCs/>
        </w:rPr>
        <w:t xml:space="preserve"> </w:t>
      </w:r>
      <w:r w:rsidRPr="00A0154C">
        <w:rPr>
          <w:rFonts w:ascii="Times New Roman" w:eastAsia="Times New Roman" w:hAnsi="Times New Roman" w:cs="Times New Roman"/>
          <w:bCs/>
        </w:rPr>
        <w:t>HKHFKTA08</w:t>
      </w:r>
    </w:p>
    <w:p w:rsidR="00D537E1" w:rsidRPr="00BC6E7B" w:rsidRDefault="00D537E1" w:rsidP="00980876">
      <w:pPr>
        <w:widowControl w:val="0"/>
        <w:numPr>
          <w:ilvl w:val="0"/>
          <w:numId w:val="577"/>
        </w:numPr>
        <w:tabs>
          <w:tab w:val="num" w:pos="567"/>
        </w:tabs>
        <w:spacing w:before="120" w:after="120" w:line="240" w:lineRule="auto"/>
        <w:ind w:left="426" w:hanging="142"/>
        <w:jc w:val="both"/>
        <w:rPr>
          <w:rFonts w:ascii="Times New Roman" w:eastAsia="Times New Roman" w:hAnsi="Times New Roman" w:cs="Times New Roman"/>
          <w:b/>
          <w:bCs/>
          <w:lang w:val="en-GB"/>
        </w:rPr>
      </w:pPr>
      <w:r w:rsidRPr="00BC6E7B">
        <w:rPr>
          <w:rFonts w:ascii="Times New Roman" w:eastAsia="Times New Roman" w:hAnsi="Times New Roman" w:cs="Times New Roman"/>
          <w:b/>
          <w:bCs/>
        </w:rPr>
        <w:t>A tantárgy megnevezése (magyarul):</w:t>
      </w:r>
      <w:r>
        <w:rPr>
          <w:rFonts w:ascii="Times New Roman" w:eastAsia="Times New Roman" w:hAnsi="Times New Roman" w:cs="Times New Roman"/>
          <w:bCs/>
        </w:rPr>
        <w:t xml:space="preserve"> Ludovika Szabadegyetem</w:t>
      </w:r>
    </w:p>
    <w:p w:rsidR="00D537E1" w:rsidRPr="00BC6E7B" w:rsidRDefault="00D537E1" w:rsidP="00980876">
      <w:pPr>
        <w:widowControl w:val="0"/>
        <w:numPr>
          <w:ilvl w:val="0"/>
          <w:numId w:val="577"/>
        </w:numPr>
        <w:tabs>
          <w:tab w:val="num" w:pos="567"/>
        </w:tabs>
        <w:spacing w:before="120" w:after="120" w:line="240" w:lineRule="auto"/>
        <w:ind w:left="426" w:hanging="142"/>
        <w:jc w:val="both"/>
        <w:rPr>
          <w:rFonts w:ascii="Times New Roman" w:eastAsia="Times New Roman" w:hAnsi="Times New Roman" w:cs="Times New Roman"/>
          <w:b/>
          <w:bCs/>
          <w:lang w:val="en-GB"/>
        </w:rPr>
      </w:pPr>
      <w:r w:rsidRPr="00BC6E7B">
        <w:rPr>
          <w:rFonts w:ascii="Times New Roman" w:eastAsia="Times New Roman" w:hAnsi="Times New Roman" w:cs="Times New Roman"/>
          <w:b/>
          <w:bCs/>
        </w:rPr>
        <w:t xml:space="preserve">A tantárgy megnevezése (angolul): </w:t>
      </w:r>
      <w:r>
        <w:rPr>
          <w:rFonts w:ascii="Times New Roman" w:eastAsia="Times New Roman" w:hAnsi="Times New Roman" w:cs="Times New Roman"/>
          <w:bCs/>
        </w:rPr>
        <w:t>„Ludovika” - University Open Courses</w:t>
      </w:r>
    </w:p>
    <w:p w:rsidR="00D537E1" w:rsidRDefault="00D537E1" w:rsidP="00980876">
      <w:pPr>
        <w:widowControl w:val="0"/>
        <w:numPr>
          <w:ilvl w:val="0"/>
          <w:numId w:val="577"/>
        </w:numPr>
        <w:tabs>
          <w:tab w:val="num" w:pos="567"/>
        </w:tabs>
        <w:spacing w:before="120" w:after="120" w:line="240" w:lineRule="auto"/>
        <w:ind w:left="426" w:hanging="142"/>
        <w:jc w:val="both"/>
        <w:rPr>
          <w:rFonts w:ascii="Times New Roman" w:eastAsia="Times New Roman" w:hAnsi="Times New Roman" w:cs="Times New Roman"/>
          <w:b/>
          <w:bCs/>
        </w:rPr>
      </w:pPr>
      <w:r w:rsidRPr="00BC6E7B">
        <w:rPr>
          <w:rFonts w:ascii="Times New Roman" w:eastAsia="Times New Roman" w:hAnsi="Times New Roman" w:cs="Times New Roman"/>
          <w:b/>
          <w:bCs/>
        </w:rPr>
        <w:t>Kreditérték</w:t>
      </w:r>
      <w:r>
        <w:rPr>
          <w:rFonts w:ascii="Times New Roman" w:eastAsia="Times New Roman" w:hAnsi="Times New Roman" w:cs="Times New Roman"/>
          <w:b/>
          <w:bCs/>
        </w:rPr>
        <w:t xml:space="preserve">: </w:t>
      </w:r>
      <w:r w:rsidRPr="00A40502">
        <w:rPr>
          <w:rFonts w:ascii="Times New Roman" w:eastAsia="Times New Roman" w:hAnsi="Times New Roman" w:cs="Times New Roman"/>
          <w:bCs/>
        </w:rPr>
        <w:t>3</w:t>
      </w:r>
    </w:p>
    <w:p w:rsidR="00D537E1" w:rsidRPr="00427ABE" w:rsidRDefault="00D537E1" w:rsidP="00980876">
      <w:pPr>
        <w:widowControl w:val="0"/>
        <w:numPr>
          <w:ilvl w:val="0"/>
          <w:numId w:val="577"/>
        </w:numPr>
        <w:spacing w:before="120" w:after="120" w:line="240" w:lineRule="auto"/>
        <w:ind w:left="426" w:hanging="142"/>
        <w:jc w:val="both"/>
        <w:rPr>
          <w:rFonts w:ascii="Times New Roman" w:eastAsia="Times New Roman" w:hAnsi="Times New Roman" w:cs="Times New Roman"/>
          <w:bCs/>
        </w:rPr>
      </w:pPr>
      <w:r w:rsidRPr="00427ABE">
        <w:rPr>
          <w:rFonts w:ascii="Times New Roman" w:eastAsia="Times New Roman" w:hAnsi="Times New Roman" w:cs="Times New Roman"/>
          <w:b/>
          <w:bCs/>
        </w:rPr>
        <w:t>A szak(ok), szakirányok megnevezése (ahol oktatják):</w:t>
      </w:r>
      <w:r w:rsidRPr="00427ABE">
        <w:rPr>
          <w:rFonts w:ascii="Times New Roman" w:eastAsia="Times New Roman" w:hAnsi="Times New Roman" w:cs="Times New Roman"/>
          <w:bCs/>
        </w:rPr>
        <w:t xml:space="preserve"> </w:t>
      </w:r>
      <w:r>
        <w:rPr>
          <w:rFonts w:ascii="Times New Roman" w:hAnsi="Times New Roman" w:cs="Times New Roman"/>
        </w:rPr>
        <w:t>az egyetem minden alapképzési szakán</w:t>
      </w:r>
      <w:r w:rsidRPr="00427ABE">
        <w:rPr>
          <w:rFonts w:ascii="Times New Roman" w:hAnsi="Times New Roman" w:cs="Times New Roman"/>
        </w:rPr>
        <w:t xml:space="preserve"> (kivéve </w:t>
      </w:r>
      <w:r>
        <w:rPr>
          <w:rFonts w:ascii="Times New Roman" w:hAnsi="Times New Roman" w:cs="Times New Roman"/>
        </w:rPr>
        <w:t xml:space="preserve">a </w:t>
      </w:r>
      <w:r w:rsidRPr="00427ABE">
        <w:rPr>
          <w:rFonts w:ascii="Times New Roman" w:hAnsi="Times New Roman" w:cs="Times New Roman"/>
        </w:rPr>
        <w:t>V</w:t>
      </w:r>
      <w:r>
        <w:rPr>
          <w:rFonts w:ascii="Times New Roman" w:hAnsi="Times New Roman" w:cs="Times New Roman"/>
        </w:rPr>
        <w:t>íztudományi Karon)</w:t>
      </w:r>
    </w:p>
    <w:p w:rsidR="00D537E1" w:rsidRPr="00427ABE" w:rsidRDefault="00D537E1" w:rsidP="00980876">
      <w:pPr>
        <w:widowControl w:val="0"/>
        <w:numPr>
          <w:ilvl w:val="0"/>
          <w:numId w:val="577"/>
        </w:numPr>
        <w:tabs>
          <w:tab w:val="clear" w:pos="720"/>
        </w:tabs>
        <w:spacing w:before="120" w:after="120" w:line="240" w:lineRule="auto"/>
        <w:ind w:left="426" w:hanging="141"/>
        <w:jc w:val="both"/>
        <w:rPr>
          <w:rFonts w:ascii="Times New Roman" w:eastAsia="Times New Roman" w:hAnsi="Times New Roman" w:cs="Times New Roman"/>
          <w:bCs/>
        </w:rPr>
      </w:pPr>
      <w:r w:rsidRPr="00427ABE">
        <w:rPr>
          <w:rFonts w:ascii="Times New Roman" w:eastAsia="Times New Roman" w:hAnsi="Times New Roman" w:cs="Times New Roman"/>
          <w:b/>
          <w:bCs/>
        </w:rPr>
        <w:t xml:space="preserve">Az oktatásért felelős oktatási szervezeti egység megnevezése: </w:t>
      </w:r>
      <w:r w:rsidRPr="00427ABE">
        <w:rPr>
          <w:rFonts w:ascii="Times New Roman" w:eastAsia="Times New Roman" w:hAnsi="Times New Roman" w:cs="Times New Roman"/>
          <w:bCs/>
        </w:rPr>
        <w:t>NKE HHK Hadtörténelmi, Filozófiai és Kultúrtörténeti Tanszék</w:t>
      </w:r>
    </w:p>
    <w:p w:rsidR="00D537E1" w:rsidRPr="00427ABE" w:rsidRDefault="00D537E1" w:rsidP="00980876">
      <w:pPr>
        <w:widowControl w:val="0"/>
        <w:numPr>
          <w:ilvl w:val="0"/>
          <w:numId w:val="577"/>
        </w:numPr>
        <w:tabs>
          <w:tab w:val="clear" w:pos="720"/>
          <w:tab w:val="left" w:pos="567"/>
          <w:tab w:val="left" w:pos="709"/>
        </w:tabs>
        <w:spacing w:before="120" w:after="120" w:line="240" w:lineRule="auto"/>
        <w:ind w:left="426" w:hanging="141"/>
        <w:jc w:val="both"/>
        <w:rPr>
          <w:rFonts w:ascii="Times New Roman" w:eastAsia="Times New Roman" w:hAnsi="Times New Roman" w:cs="Times New Roman"/>
          <w:bCs/>
          <w:color w:val="FF0000"/>
        </w:rPr>
      </w:pPr>
      <w:r w:rsidRPr="00427ABE">
        <w:rPr>
          <w:rFonts w:ascii="Times New Roman" w:eastAsia="Times New Roman" w:hAnsi="Times New Roman" w:cs="Times New Roman"/>
          <w:b/>
          <w:bCs/>
        </w:rPr>
        <w:t>A tantárgyfelelős oktató neve, beosztása, tudományos fokozata:</w:t>
      </w:r>
      <w:r w:rsidRPr="00427ABE">
        <w:rPr>
          <w:rFonts w:ascii="Times New Roman" w:eastAsia="Times New Roman" w:hAnsi="Times New Roman" w:cs="Times New Roman"/>
          <w:bCs/>
        </w:rPr>
        <w:t xml:space="preserve"> </w:t>
      </w:r>
      <w:r w:rsidRPr="00DE61D5">
        <w:rPr>
          <w:rFonts w:ascii="Times New Roman" w:eastAsia="Times New Roman" w:hAnsi="Times New Roman" w:cs="Times New Roman"/>
          <w:bCs/>
        </w:rPr>
        <w:t>Dr. Csikány Tamás ezredes, egyetemi tanár, az MTA doktora</w:t>
      </w:r>
    </w:p>
    <w:p w:rsidR="00D537E1" w:rsidRPr="00BC6E7B" w:rsidRDefault="00D537E1" w:rsidP="00980876">
      <w:pPr>
        <w:widowControl w:val="0"/>
        <w:numPr>
          <w:ilvl w:val="0"/>
          <w:numId w:val="577"/>
        </w:numPr>
        <w:spacing w:before="120" w:after="120" w:line="240" w:lineRule="auto"/>
        <w:ind w:left="426" w:hanging="142"/>
        <w:jc w:val="both"/>
        <w:rPr>
          <w:rFonts w:ascii="Times New Roman" w:eastAsia="Times New Roman" w:hAnsi="Times New Roman" w:cs="Times New Roman"/>
          <w:bCs/>
        </w:rPr>
      </w:pPr>
      <w:r w:rsidRPr="00BC6E7B">
        <w:rPr>
          <w:rFonts w:ascii="Times New Roman" w:eastAsia="Times New Roman" w:hAnsi="Times New Roman" w:cs="Times New Roman"/>
          <w:b/>
          <w:bCs/>
        </w:rPr>
        <w:t>A</w:t>
      </w:r>
      <w:r>
        <w:rPr>
          <w:rFonts w:ascii="Times New Roman" w:eastAsia="Times New Roman" w:hAnsi="Times New Roman" w:cs="Times New Roman"/>
          <w:b/>
          <w:bCs/>
        </w:rPr>
        <w:t xml:space="preserve"> tanórák száma és típusa: </w:t>
      </w:r>
    </w:p>
    <w:p w:rsidR="00D537E1" w:rsidRPr="00BC6E7B" w:rsidRDefault="00D537E1" w:rsidP="00980876">
      <w:pPr>
        <w:widowControl w:val="0"/>
        <w:numPr>
          <w:ilvl w:val="1"/>
          <w:numId w:val="577"/>
        </w:numPr>
        <w:tabs>
          <w:tab w:val="clear" w:pos="3977"/>
          <w:tab w:val="num" w:pos="709"/>
          <w:tab w:val="num" w:pos="2069"/>
        </w:tabs>
        <w:spacing w:before="120" w:after="120" w:line="240" w:lineRule="auto"/>
        <w:ind w:left="851" w:hanging="425"/>
        <w:jc w:val="both"/>
        <w:rPr>
          <w:rFonts w:ascii="Times New Roman" w:eastAsia="Times New Roman" w:hAnsi="Times New Roman" w:cs="Times New Roman"/>
          <w:bCs/>
        </w:rPr>
      </w:pPr>
      <w:r w:rsidRPr="00BC6E7B">
        <w:rPr>
          <w:rFonts w:ascii="Times New Roman" w:eastAsia="Times New Roman" w:hAnsi="Times New Roman" w:cs="Times New Roman"/>
          <w:bCs/>
        </w:rPr>
        <w:t>össz óraszám/félév:</w:t>
      </w:r>
      <w:r>
        <w:rPr>
          <w:rFonts w:ascii="Times New Roman" w:eastAsia="Times New Roman" w:hAnsi="Times New Roman" w:cs="Times New Roman"/>
          <w:bCs/>
        </w:rPr>
        <w:t xml:space="preserve"> 30</w:t>
      </w:r>
    </w:p>
    <w:p w:rsidR="00D537E1" w:rsidRPr="00BC6E7B" w:rsidRDefault="00D537E1" w:rsidP="00980876">
      <w:pPr>
        <w:widowControl w:val="0"/>
        <w:numPr>
          <w:ilvl w:val="2"/>
          <w:numId w:val="577"/>
        </w:numPr>
        <w:tabs>
          <w:tab w:val="clear" w:pos="1800"/>
          <w:tab w:val="num" w:pos="709"/>
        </w:tabs>
        <w:spacing w:before="120" w:after="120" w:line="240" w:lineRule="auto"/>
        <w:ind w:left="1134" w:hanging="425"/>
        <w:jc w:val="both"/>
        <w:rPr>
          <w:rFonts w:ascii="Times New Roman" w:eastAsia="Times New Roman" w:hAnsi="Times New Roman" w:cs="Times New Roman"/>
          <w:bCs/>
        </w:rPr>
      </w:pPr>
      <w:r w:rsidRPr="00BC6E7B">
        <w:rPr>
          <w:rFonts w:ascii="Times New Roman" w:eastAsia="Times New Roman" w:hAnsi="Times New Roman" w:cs="Times New Roman"/>
          <w:bCs/>
        </w:rPr>
        <w:t xml:space="preserve">nappali munkarend: </w:t>
      </w:r>
      <w:r>
        <w:rPr>
          <w:rFonts w:ascii="Times New Roman" w:eastAsia="Times New Roman" w:hAnsi="Times New Roman" w:cs="Times New Roman"/>
          <w:bCs/>
        </w:rPr>
        <w:t>30</w:t>
      </w:r>
      <w:r w:rsidRPr="00BC6E7B">
        <w:rPr>
          <w:rFonts w:ascii="Times New Roman" w:eastAsia="Times New Roman" w:hAnsi="Times New Roman" w:cs="Times New Roman"/>
          <w:bCs/>
        </w:rPr>
        <w:t xml:space="preserve"> (</w:t>
      </w:r>
      <w:r>
        <w:rPr>
          <w:rFonts w:ascii="Times New Roman" w:eastAsia="Times New Roman" w:hAnsi="Times New Roman" w:cs="Times New Roman"/>
          <w:bCs/>
        </w:rPr>
        <w:t xml:space="preserve">30 </w:t>
      </w:r>
      <w:r w:rsidRPr="00BC6E7B">
        <w:rPr>
          <w:rFonts w:ascii="Times New Roman" w:eastAsia="Times New Roman" w:hAnsi="Times New Roman" w:cs="Times New Roman"/>
          <w:bCs/>
        </w:rPr>
        <w:t xml:space="preserve">EA + </w:t>
      </w:r>
      <w:r>
        <w:rPr>
          <w:rFonts w:ascii="Times New Roman" w:eastAsia="Times New Roman" w:hAnsi="Times New Roman" w:cs="Times New Roman"/>
          <w:bCs/>
        </w:rPr>
        <w:t xml:space="preserve">0 </w:t>
      </w:r>
      <w:r w:rsidRPr="00BC6E7B">
        <w:rPr>
          <w:rFonts w:ascii="Times New Roman" w:eastAsia="Times New Roman" w:hAnsi="Times New Roman" w:cs="Times New Roman"/>
          <w:bCs/>
        </w:rPr>
        <w:t xml:space="preserve">SZ + </w:t>
      </w:r>
      <w:r>
        <w:rPr>
          <w:rFonts w:ascii="Times New Roman" w:eastAsia="Times New Roman" w:hAnsi="Times New Roman" w:cs="Times New Roman"/>
          <w:bCs/>
        </w:rPr>
        <w:t xml:space="preserve">0 </w:t>
      </w:r>
      <w:r w:rsidRPr="00BC6E7B">
        <w:rPr>
          <w:rFonts w:ascii="Times New Roman" w:eastAsia="Times New Roman" w:hAnsi="Times New Roman" w:cs="Times New Roman"/>
          <w:bCs/>
        </w:rPr>
        <w:t>GY)</w:t>
      </w:r>
    </w:p>
    <w:p w:rsidR="00D537E1" w:rsidRDefault="00D537E1" w:rsidP="00980876">
      <w:pPr>
        <w:widowControl w:val="0"/>
        <w:numPr>
          <w:ilvl w:val="2"/>
          <w:numId w:val="577"/>
        </w:numPr>
        <w:tabs>
          <w:tab w:val="clear" w:pos="1800"/>
          <w:tab w:val="num" w:pos="709"/>
        </w:tabs>
        <w:spacing w:before="120" w:after="120" w:line="240" w:lineRule="auto"/>
        <w:ind w:left="1134" w:hanging="425"/>
        <w:jc w:val="both"/>
        <w:rPr>
          <w:rFonts w:ascii="Times New Roman" w:eastAsia="Times New Roman" w:hAnsi="Times New Roman" w:cs="Times New Roman"/>
          <w:bCs/>
        </w:rPr>
      </w:pPr>
      <w:r w:rsidRPr="00BC6E7B">
        <w:rPr>
          <w:rFonts w:ascii="Times New Roman" w:eastAsia="Times New Roman" w:hAnsi="Times New Roman" w:cs="Times New Roman"/>
          <w:bCs/>
        </w:rPr>
        <w:t xml:space="preserve">levelező munkarend: </w:t>
      </w:r>
      <w:r>
        <w:rPr>
          <w:rFonts w:ascii="Times New Roman" w:eastAsia="Times New Roman" w:hAnsi="Times New Roman" w:cs="Times New Roman"/>
          <w:bCs/>
        </w:rPr>
        <w:t xml:space="preserve">30 </w:t>
      </w:r>
      <w:r w:rsidRPr="00BC6E7B">
        <w:rPr>
          <w:rFonts w:ascii="Times New Roman" w:eastAsia="Times New Roman" w:hAnsi="Times New Roman" w:cs="Times New Roman"/>
          <w:bCs/>
        </w:rPr>
        <w:t>(</w:t>
      </w:r>
      <w:r>
        <w:rPr>
          <w:rFonts w:ascii="Times New Roman" w:eastAsia="Times New Roman" w:hAnsi="Times New Roman" w:cs="Times New Roman"/>
          <w:bCs/>
        </w:rPr>
        <w:t xml:space="preserve">30 </w:t>
      </w:r>
      <w:r w:rsidRPr="00BC6E7B">
        <w:rPr>
          <w:rFonts w:ascii="Times New Roman" w:eastAsia="Times New Roman" w:hAnsi="Times New Roman" w:cs="Times New Roman"/>
          <w:bCs/>
        </w:rPr>
        <w:t xml:space="preserve">EA + </w:t>
      </w:r>
      <w:r>
        <w:rPr>
          <w:rFonts w:ascii="Times New Roman" w:eastAsia="Times New Roman" w:hAnsi="Times New Roman" w:cs="Times New Roman"/>
          <w:bCs/>
        </w:rPr>
        <w:t xml:space="preserve">0 </w:t>
      </w:r>
      <w:r w:rsidRPr="00BC6E7B">
        <w:rPr>
          <w:rFonts w:ascii="Times New Roman" w:eastAsia="Times New Roman" w:hAnsi="Times New Roman" w:cs="Times New Roman"/>
          <w:bCs/>
        </w:rPr>
        <w:t xml:space="preserve">SZ + </w:t>
      </w:r>
      <w:r>
        <w:rPr>
          <w:rFonts w:ascii="Times New Roman" w:eastAsia="Times New Roman" w:hAnsi="Times New Roman" w:cs="Times New Roman"/>
          <w:bCs/>
        </w:rPr>
        <w:t xml:space="preserve">0 </w:t>
      </w:r>
      <w:r w:rsidRPr="00BC6E7B">
        <w:rPr>
          <w:rFonts w:ascii="Times New Roman" w:eastAsia="Times New Roman" w:hAnsi="Times New Roman" w:cs="Times New Roman"/>
          <w:bCs/>
        </w:rPr>
        <w:t>GY)</w:t>
      </w:r>
    </w:p>
    <w:p w:rsidR="00D537E1" w:rsidRDefault="00D537E1" w:rsidP="00980876">
      <w:pPr>
        <w:widowControl w:val="0"/>
        <w:numPr>
          <w:ilvl w:val="1"/>
          <w:numId w:val="577"/>
        </w:numPr>
        <w:tabs>
          <w:tab w:val="clear" w:pos="3977"/>
          <w:tab w:val="num" w:pos="709"/>
          <w:tab w:val="num" w:pos="2069"/>
        </w:tabs>
        <w:spacing w:before="120" w:after="120" w:line="240" w:lineRule="auto"/>
        <w:ind w:left="851" w:hanging="425"/>
        <w:jc w:val="both"/>
        <w:rPr>
          <w:rFonts w:ascii="Times New Roman" w:eastAsia="Times New Roman" w:hAnsi="Times New Roman" w:cs="Times New Roman"/>
          <w:bCs/>
        </w:rPr>
      </w:pPr>
      <w:r w:rsidRPr="00BC6E7B">
        <w:rPr>
          <w:rFonts w:ascii="Times New Roman" w:eastAsia="Times New Roman" w:hAnsi="Times New Roman" w:cs="Times New Roman"/>
          <w:bCs/>
        </w:rPr>
        <w:t xml:space="preserve">heti óraszám - nappali munkarend: </w:t>
      </w:r>
      <w:r>
        <w:rPr>
          <w:rFonts w:ascii="Times New Roman" w:eastAsia="Times New Roman" w:hAnsi="Times New Roman" w:cs="Times New Roman"/>
          <w:bCs/>
          <w:highlight w:val="lightGray"/>
        </w:rPr>
        <w:t>2</w:t>
      </w:r>
    </w:p>
    <w:p w:rsidR="00D537E1" w:rsidRPr="00A0154C" w:rsidRDefault="00D537E1" w:rsidP="00980876">
      <w:pPr>
        <w:widowControl w:val="0"/>
        <w:numPr>
          <w:ilvl w:val="1"/>
          <w:numId w:val="577"/>
        </w:numPr>
        <w:tabs>
          <w:tab w:val="clear" w:pos="3977"/>
          <w:tab w:val="num" w:pos="709"/>
          <w:tab w:val="num" w:pos="2069"/>
        </w:tabs>
        <w:spacing w:before="120" w:after="120" w:line="240" w:lineRule="auto"/>
        <w:ind w:left="851" w:hanging="425"/>
        <w:jc w:val="both"/>
        <w:rPr>
          <w:rFonts w:ascii="Times New Roman" w:eastAsia="Times New Roman" w:hAnsi="Times New Roman" w:cs="Times New Roman"/>
          <w:bCs/>
        </w:rPr>
      </w:pPr>
      <w:r w:rsidRPr="00A0154C">
        <w:rPr>
          <w:rFonts w:ascii="Times New Roman" w:eastAsia="Times New Roman" w:hAnsi="Times New Roman" w:cs="Times New Roman"/>
          <w:bCs/>
        </w:rPr>
        <w:t xml:space="preserve">Az ismeret átadásában alkalmazandó további sajátos módok, jellemzők: </w:t>
      </w:r>
      <w:r>
        <w:rPr>
          <w:rFonts w:ascii="Times New Roman" w:eastAsia="Times New Roman" w:hAnsi="Times New Roman" w:cs="Times New Roman"/>
          <w:bCs/>
        </w:rPr>
        <w:t>-</w:t>
      </w:r>
    </w:p>
    <w:p w:rsidR="00D537E1" w:rsidRPr="00BC6E7B" w:rsidRDefault="00D537E1" w:rsidP="00980876">
      <w:pPr>
        <w:widowControl w:val="0"/>
        <w:numPr>
          <w:ilvl w:val="0"/>
          <w:numId w:val="577"/>
        </w:numPr>
        <w:spacing w:before="120" w:after="120" w:line="240" w:lineRule="auto"/>
        <w:ind w:left="426" w:hanging="142"/>
        <w:jc w:val="both"/>
        <w:rPr>
          <w:rFonts w:ascii="Times New Roman" w:eastAsia="Times New Roman" w:hAnsi="Times New Roman" w:cs="Times New Roman"/>
          <w:bCs/>
        </w:rPr>
      </w:pPr>
      <w:r w:rsidRPr="00BC6E7B">
        <w:rPr>
          <w:rFonts w:ascii="Times New Roman" w:eastAsia="Times New Roman" w:hAnsi="Times New Roman" w:cs="Times New Roman"/>
          <w:b/>
          <w:bCs/>
        </w:rPr>
        <w:t>A tantárgy szakmai tartalma (magyarul):</w:t>
      </w:r>
      <w:r w:rsidRPr="00BC6E7B">
        <w:rPr>
          <w:rFonts w:ascii="Times New Roman" w:eastAsia="Times New Roman" w:hAnsi="Times New Roman" w:cs="Times New Roman"/>
          <w:bCs/>
        </w:rPr>
        <w:t xml:space="preserve"> </w:t>
      </w:r>
      <w:r w:rsidRPr="003B7E48">
        <w:rPr>
          <w:rFonts w:ascii="Times New Roman" w:eastAsia="Times New Roman" w:hAnsi="Times New Roman" w:cs="Times New Roman"/>
          <w:bCs/>
        </w:rPr>
        <w:t xml:space="preserve">Az NKE hagyományteremtő céllal indította útjára az érdeklődők (lakosság, egyetemi polgárok) számára nyitott rendezvénysorozatot, amellyel a hallgatók mellett a szélesebb közönségnek is áttekintést kíván adni az egyetemen folyó </w:t>
      </w:r>
      <w:r>
        <w:rPr>
          <w:rFonts w:ascii="Times New Roman" w:eastAsia="Times New Roman" w:hAnsi="Times New Roman" w:cs="Times New Roman"/>
          <w:bCs/>
        </w:rPr>
        <w:t xml:space="preserve">és külsős szakmai </w:t>
      </w:r>
      <w:r w:rsidRPr="003B7E48">
        <w:rPr>
          <w:rFonts w:ascii="Times New Roman" w:eastAsia="Times New Roman" w:hAnsi="Times New Roman" w:cs="Times New Roman"/>
          <w:bCs/>
        </w:rPr>
        <w:t>kutatásokról, a</w:t>
      </w:r>
      <w:r>
        <w:rPr>
          <w:rFonts w:ascii="Times New Roman" w:eastAsia="Times New Roman" w:hAnsi="Times New Roman" w:cs="Times New Roman"/>
          <w:bCs/>
        </w:rPr>
        <w:t>z egyetem</w:t>
      </w:r>
      <w:r w:rsidRPr="003B7E48">
        <w:rPr>
          <w:rFonts w:ascii="Times New Roman" w:eastAsia="Times New Roman" w:hAnsi="Times New Roman" w:cs="Times New Roman"/>
          <w:bCs/>
        </w:rPr>
        <w:t xml:space="preserve"> tudományos élet</w:t>
      </w:r>
      <w:r>
        <w:rPr>
          <w:rFonts w:ascii="Times New Roman" w:eastAsia="Times New Roman" w:hAnsi="Times New Roman" w:cs="Times New Roman"/>
          <w:bCs/>
        </w:rPr>
        <w:t>é</w:t>
      </w:r>
      <w:r w:rsidRPr="003B7E48">
        <w:rPr>
          <w:rFonts w:ascii="Times New Roman" w:eastAsia="Times New Roman" w:hAnsi="Times New Roman" w:cs="Times New Roman"/>
          <w:bCs/>
        </w:rPr>
        <w:t>ről, közérthető módon mutatva be az egyes hivatásrendek (karok) és intézetek specifikus és interdiszciplináris szakterületeit. A tantárgyat felvevő hallgatók automatikusan bekerülnek az előadásokat látogatók névjegyzékébe.</w:t>
      </w:r>
    </w:p>
    <w:p w:rsidR="00D537E1" w:rsidRPr="00BC6E7B" w:rsidRDefault="00D537E1" w:rsidP="00D537E1">
      <w:pPr>
        <w:widowControl w:val="0"/>
        <w:spacing w:before="120" w:after="120" w:line="240" w:lineRule="auto"/>
        <w:ind w:left="426"/>
        <w:jc w:val="both"/>
        <w:rPr>
          <w:rFonts w:ascii="Times New Roman" w:eastAsia="Times New Roman" w:hAnsi="Times New Roman" w:cs="Times New Roman"/>
          <w:bCs/>
          <w:lang w:val="en-GB"/>
        </w:rPr>
      </w:pPr>
      <w:r w:rsidRPr="008D41C9">
        <w:rPr>
          <w:rFonts w:ascii="Times New Roman" w:eastAsia="Times New Roman" w:hAnsi="Times New Roman" w:cs="Times New Roman"/>
          <w:b/>
          <w:bCs/>
        </w:rPr>
        <w:t>A tantárgy szakmai tartalma (angolul) (</w:t>
      </w:r>
      <w:r w:rsidRPr="008D41C9">
        <w:rPr>
          <w:rFonts w:ascii="Times New Roman" w:eastAsia="Times New Roman" w:hAnsi="Times New Roman" w:cs="Times New Roman"/>
          <w:b/>
          <w:bCs/>
          <w:lang w:val="en-US"/>
        </w:rPr>
        <w:t>Course description</w:t>
      </w:r>
      <w:r>
        <w:rPr>
          <w:rFonts w:ascii="Times New Roman" w:eastAsia="Times New Roman" w:hAnsi="Times New Roman" w:cs="Times New Roman"/>
          <w:b/>
          <w:bCs/>
        </w:rPr>
        <w:t xml:space="preserve">): </w:t>
      </w:r>
      <w:r>
        <w:rPr>
          <w:rFonts w:ascii="Times New Roman" w:eastAsia="Times New Roman" w:hAnsi="Times New Roman" w:cs="Times New Roman"/>
          <w:bCs/>
        </w:rPr>
        <w:t>The National University of Public Service</w:t>
      </w:r>
      <w:r w:rsidRPr="008D41C9">
        <w:rPr>
          <w:rFonts w:ascii="Times New Roman" w:eastAsia="Times New Roman" w:hAnsi="Times New Roman" w:cs="Times New Roman"/>
          <w:bCs/>
        </w:rPr>
        <w:t xml:space="preserve"> started a series of events for those who are interested (population, university citizens) in order to create a tradition, which introduce a summary to the students and the general public about the university's internal and external professional researches, the scientific life of the university, the specific and interdisciplinary areas of the university's </w:t>
      </w:r>
      <w:r>
        <w:rPr>
          <w:rFonts w:ascii="Times New Roman" w:eastAsia="Times New Roman" w:hAnsi="Times New Roman" w:cs="Times New Roman"/>
          <w:bCs/>
        </w:rPr>
        <w:t>faculties and institutes. S</w:t>
      </w:r>
      <w:r w:rsidRPr="008D41C9">
        <w:rPr>
          <w:rFonts w:ascii="Times New Roman" w:eastAsia="Times New Roman" w:hAnsi="Times New Roman" w:cs="Times New Roman"/>
          <w:bCs/>
        </w:rPr>
        <w:t>tudents</w:t>
      </w:r>
      <w:r>
        <w:rPr>
          <w:rFonts w:ascii="Times New Roman" w:eastAsia="Times New Roman" w:hAnsi="Times New Roman" w:cs="Times New Roman"/>
          <w:bCs/>
        </w:rPr>
        <w:t xml:space="preserve"> who</w:t>
      </w:r>
      <w:r w:rsidRPr="008D41C9">
        <w:rPr>
          <w:rFonts w:ascii="Times New Roman" w:eastAsia="Times New Roman" w:hAnsi="Times New Roman" w:cs="Times New Roman"/>
          <w:bCs/>
        </w:rPr>
        <w:t xml:space="preserve"> take up the </w:t>
      </w:r>
      <w:r>
        <w:rPr>
          <w:rFonts w:ascii="Times New Roman" w:eastAsia="Times New Roman" w:hAnsi="Times New Roman" w:cs="Times New Roman"/>
          <w:bCs/>
        </w:rPr>
        <w:t xml:space="preserve">course, </w:t>
      </w:r>
      <w:r w:rsidRPr="008D41C9">
        <w:rPr>
          <w:rFonts w:ascii="Times New Roman" w:eastAsia="Times New Roman" w:hAnsi="Times New Roman" w:cs="Times New Roman"/>
          <w:bCs/>
        </w:rPr>
        <w:t>are automatically added to the visitor list.</w:t>
      </w:r>
    </w:p>
    <w:p w:rsidR="00D537E1" w:rsidRPr="00740A68" w:rsidRDefault="00D537E1" w:rsidP="00980876">
      <w:pPr>
        <w:pStyle w:val="Listaszerbekezds"/>
        <w:widowControl w:val="0"/>
        <w:numPr>
          <w:ilvl w:val="0"/>
          <w:numId w:val="577"/>
        </w:numPr>
        <w:spacing w:before="120" w:after="120" w:line="240" w:lineRule="auto"/>
        <w:ind w:left="426" w:hanging="153"/>
        <w:jc w:val="both"/>
        <w:rPr>
          <w:rFonts w:ascii="Times New Roman" w:eastAsia="Times New Roman" w:hAnsi="Times New Roman" w:cs="Times New Roman"/>
          <w:bCs/>
        </w:rPr>
      </w:pPr>
      <w:r w:rsidRPr="00740A68">
        <w:rPr>
          <w:rFonts w:ascii="Times New Roman" w:eastAsia="Times New Roman" w:hAnsi="Times New Roman" w:cs="Times New Roman"/>
          <w:b/>
          <w:bCs/>
        </w:rPr>
        <w:t xml:space="preserve">Elérendő kompetenciák (magyarul): </w:t>
      </w:r>
    </w:p>
    <w:p w:rsidR="00D537E1" w:rsidRDefault="00D537E1" w:rsidP="00D537E1">
      <w:pPr>
        <w:widowControl w:val="0"/>
        <w:spacing w:before="120" w:after="120" w:line="240" w:lineRule="auto"/>
        <w:ind w:left="426"/>
        <w:jc w:val="both"/>
        <w:rPr>
          <w:rFonts w:ascii="Times New Roman" w:eastAsia="Times New Roman" w:hAnsi="Times New Roman" w:cs="Times New Roman"/>
          <w:b/>
          <w:bCs/>
        </w:rPr>
      </w:pPr>
      <w:r>
        <w:rPr>
          <w:rFonts w:ascii="Times New Roman" w:eastAsia="Times New Roman" w:hAnsi="Times New Roman" w:cs="Times New Roman"/>
          <w:b/>
          <w:bCs/>
        </w:rPr>
        <w:t xml:space="preserve">Tudása: </w:t>
      </w:r>
    </w:p>
    <w:p w:rsidR="00D537E1" w:rsidRPr="00A0154C" w:rsidRDefault="00D537E1" w:rsidP="00980876">
      <w:pPr>
        <w:pStyle w:val="Listaszerbekezds"/>
        <w:widowControl w:val="0"/>
        <w:numPr>
          <w:ilvl w:val="0"/>
          <w:numId w:val="575"/>
        </w:numPr>
        <w:spacing w:before="120" w:after="120" w:line="240" w:lineRule="auto"/>
        <w:jc w:val="both"/>
        <w:rPr>
          <w:rFonts w:ascii="Times New Roman" w:hAnsi="Times New Roman" w:cs="Times New Roman"/>
        </w:rPr>
      </w:pPr>
      <w:r w:rsidRPr="00A0154C">
        <w:rPr>
          <w:rFonts w:ascii="Times New Roman" w:hAnsi="Times New Roman" w:cs="Times New Roman"/>
        </w:rPr>
        <w:t xml:space="preserve">A hallgató a tantárgy elvégzésével megfelelő tudással rendelkezik a hadtudományi, a rendészettudományi, a közigazgatás-tudományi, az állam- és társadalomelméleti-, államtudományi kutatásokról, a nemzetbiztonsági munka sajátosságairól. </w:t>
      </w:r>
    </w:p>
    <w:p w:rsidR="00D537E1" w:rsidRPr="00A0154C" w:rsidRDefault="00D537E1" w:rsidP="00980876">
      <w:pPr>
        <w:pStyle w:val="Listaszerbekezds"/>
        <w:widowControl w:val="0"/>
        <w:numPr>
          <w:ilvl w:val="0"/>
          <w:numId w:val="575"/>
        </w:numPr>
        <w:spacing w:before="120" w:after="120" w:line="240" w:lineRule="auto"/>
        <w:jc w:val="both"/>
        <w:rPr>
          <w:rFonts w:ascii="Times New Roman" w:eastAsia="Times New Roman" w:hAnsi="Times New Roman" w:cs="Times New Roman"/>
          <w:bCs/>
        </w:rPr>
      </w:pPr>
      <w:r w:rsidRPr="00A0154C">
        <w:rPr>
          <w:rFonts w:ascii="Times New Roman" w:hAnsi="Times New Roman" w:cs="Times New Roman"/>
        </w:rPr>
        <w:t>Átfogóan ismeri a közszolgálat – hivatásrendjétől eltérő – további területeinek alapvető tudásanyagát, általános műveltsége erőteljesen bővül, megérti a különböző hátterű jelenségek kapcsolatát.</w:t>
      </w:r>
    </w:p>
    <w:p w:rsidR="00D537E1" w:rsidRDefault="00D537E1" w:rsidP="00D537E1">
      <w:pPr>
        <w:widowControl w:val="0"/>
        <w:spacing w:before="120" w:after="120" w:line="240" w:lineRule="auto"/>
        <w:ind w:left="426"/>
        <w:jc w:val="both"/>
        <w:rPr>
          <w:rFonts w:ascii="Times New Roman" w:eastAsia="Times New Roman" w:hAnsi="Times New Roman" w:cs="Times New Roman"/>
          <w:bCs/>
        </w:rPr>
      </w:pPr>
      <w:r w:rsidRPr="00BC6E7B">
        <w:rPr>
          <w:rFonts w:ascii="Times New Roman" w:eastAsia="Times New Roman" w:hAnsi="Times New Roman" w:cs="Times New Roman"/>
          <w:b/>
          <w:bCs/>
        </w:rPr>
        <w:t>Képességei:</w:t>
      </w:r>
      <w:r>
        <w:rPr>
          <w:rFonts w:ascii="Times New Roman" w:eastAsia="Times New Roman" w:hAnsi="Times New Roman" w:cs="Times New Roman"/>
          <w:bCs/>
        </w:rPr>
        <w:t xml:space="preserve"> </w:t>
      </w:r>
    </w:p>
    <w:p w:rsidR="00D537E1" w:rsidRDefault="00D537E1" w:rsidP="00980876">
      <w:pPr>
        <w:pStyle w:val="Listaszerbekezds"/>
        <w:widowControl w:val="0"/>
        <w:numPr>
          <w:ilvl w:val="0"/>
          <w:numId w:val="575"/>
        </w:numPr>
        <w:spacing w:before="120" w:after="120" w:line="240" w:lineRule="auto"/>
        <w:jc w:val="both"/>
        <w:rPr>
          <w:rFonts w:ascii="Times New Roman" w:hAnsi="Times New Roman" w:cs="Times New Roman"/>
        </w:rPr>
      </w:pPr>
      <w:r w:rsidRPr="00F75A18">
        <w:rPr>
          <w:rFonts w:ascii="Times New Roman" w:hAnsi="Times New Roman" w:cs="Times New Roman"/>
        </w:rPr>
        <w:t>Fejlődik a kritikai és elfogadási készsége, lojalitása és felelősségérzete, rend</w:t>
      </w:r>
      <w:r>
        <w:rPr>
          <w:rFonts w:ascii="Times New Roman" w:hAnsi="Times New Roman" w:cs="Times New Roman"/>
        </w:rPr>
        <w:t>szer</w:t>
      </w:r>
      <w:r w:rsidRPr="00F75A18">
        <w:rPr>
          <w:rFonts w:ascii="Times New Roman" w:hAnsi="Times New Roman" w:cs="Times New Roman"/>
        </w:rPr>
        <w:t xml:space="preserve">szintű szemléletet és átfogó megközelítést sajátít el.  </w:t>
      </w:r>
    </w:p>
    <w:p w:rsidR="00D537E1" w:rsidRDefault="00D537E1" w:rsidP="00980876">
      <w:pPr>
        <w:pStyle w:val="Listaszerbekezds"/>
        <w:widowControl w:val="0"/>
        <w:numPr>
          <w:ilvl w:val="0"/>
          <w:numId w:val="575"/>
        </w:numPr>
        <w:spacing w:before="120" w:after="120" w:line="240" w:lineRule="auto"/>
        <w:jc w:val="both"/>
        <w:rPr>
          <w:rFonts w:ascii="Times New Roman" w:eastAsia="Times New Roman" w:hAnsi="Times New Roman" w:cs="Times New Roman"/>
          <w:bCs/>
        </w:rPr>
      </w:pPr>
      <w:r w:rsidRPr="00F75A18">
        <w:rPr>
          <w:rFonts w:ascii="Times New Roman" w:hAnsi="Times New Roman" w:cs="Times New Roman"/>
        </w:rPr>
        <w:t>A megszerzett ismereteket alkalmazott tudásként kezeli. Képessé vál</w:t>
      </w:r>
      <w:r>
        <w:rPr>
          <w:rFonts w:ascii="Times New Roman" w:hAnsi="Times New Roman" w:cs="Times New Roman"/>
        </w:rPr>
        <w:t>i</w:t>
      </w:r>
      <w:r w:rsidRPr="00F75A18">
        <w:rPr>
          <w:rFonts w:ascii="Times New Roman" w:hAnsi="Times New Roman" w:cs="Times New Roman"/>
        </w:rPr>
        <w:t xml:space="preserve">k komplex problémák </w:t>
      </w:r>
      <w:r w:rsidRPr="00F75A18">
        <w:rPr>
          <w:rFonts w:ascii="Times New Roman" w:hAnsi="Times New Roman" w:cs="Times New Roman"/>
        </w:rPr>
        <w:lastRenderedPageBreak/>
        <w:t>megértésére, összefüggések észrevételére, következtetések megfogalmazására.</w:t>
      </w:r>
    </w:p>
    <w:p w:rsidR="00D537E1" w:rsidRDefault="00D537E1" w:rsidP="00D537E1">
      <w:pPr>
        <w:widowControl w:val="0"/>
        <w:spacing w:before="120" w:after="120" w:line="240" w:lineRule="auto"/>
        <w:ind w:left="426"/>
        <w:jc w:val="both"/>
        <w:rPr>
          <w:rFonts w:ascii="Times New Roman" w:eastAsia="Times New Roman" w:hAnsi="Times New Roman" w:cs="Times New Roman"/>
          <w:bCs/>
        </w:rPr>
      </w:pPr>
      <w:r w:rsidRPr="00BC6E7B">
        <w:rPr>
          <w:rFonts w:ascii="Times New Roman" w:eastAsia="Times New Roman" w:hAnsi="Times New Roman" w:cs="Times New Roman"/>
          <w:b/>
          <w:bCs/>
        </w:rPr>
        <w:t>Attitűdje:</w:t>
      </w:r>
      <w:r>
        <w:rPr>
          <w:rFonts w:ascii="Times New Roman" w:eastAsia="Times New Roman" w:hAnsi="Times New Roman" w:cs="Times New Roman"/>
          <w:bCs/>
        </w:rPr>
        <w:t xml:space="preserve"> </w:t>
      </w:r>
    </w:p>
    <w:p w:rsidR="00D537E1" w:rsidRPr="00A0154C" w:rsidRDefault="00D537E1" w:rsidP="00980876">
      <w:pPr>
        <w:pStyle w:val="Listaszerbekezds"/>
        <w:widowControl w:val="0"/>
        <w:numPr>
          <w:ilvl w:val="0"/>
          <w:numId w:val="575"/>
        </w:numPr>
        <w:spacing w:before="120" w:after="120" w:line="240" w:lineRule="auto"/>
        <w:jc w:val="both"/>
        <w:rPr>
          <w:rFonts w:ascii="Times New Roman" w:eastAsia="Times New Roman" w:hAnsi="Times New Roman" w:cs="Times New Roman"/>
          <w:bCs/>
        </w:rPr>
      </w:pPr>
      <w:r w:rsidRPr="00F75A18">
        <w:rPr>
          <w:rFonts w:ascii="Times New Roman" w:hAnsi="Times New Roman" w:cs="Times New Roman"/>
        </w:rPr>
        <w:t xml:space="preserve">A kurzus elvégzése után határozottabb világszemlélettel fog rendelkezni, közös közszolgálati érték- és fogalomkészlettel bír és nyitott a teljes közszolgálat egészére. </w:t>
      </w:r>
    </w:p>
    <w:p w:rsidR="00D537E1" w:rsidRPr="00BC6E7B" w:rsidRDefault="00D537E1" w:rsidP="00980876">
      <w:pPr>
        <w:pStyle w:val="Listaszerbekezds"/>
        <w:widowControl w:val="0"/>
        <w:numPr>
          <w:ilvl w:val="0"/>
          <w:numId w:val="575"/>
        </w:numPr>
        <w:spacing w:before="120" w:after="120" w:line="240" w:lineRule="auto"/>
        <w:jc w:val="both"/>
        <w:rPr>
          <w:rFonts w:ascii="Times New Roman" w:eastAsia="Times New Roman" w:hAnsi="Times New Roman" w:cs="Times New Roman"/>
          <w:bCs/>
        </w:rPr>
      </w:pPr>
      <w:r w:rsidRPr="00F75A18">
        <w:rPr>
          <w:rFonts w:ascii="Times New Roman" w:hAnsi="Times New Roman" w:cs="Times New Roman"/>
        </w:rPr>
        <w:t>Nyitott és kritikus gondolkodás, közszolgálati elkötelezettség, ambíció és kíváncsiság jellemzi. Érdeklődése megnő a szakterületével kapcsolatos újító és megőrző feladatok ellátására, a szakmai kihívások komplex szemléletű kezelésére.</w:t>
      </w:r>
    </w:p>
    <w:p w:rsidR="00D537E1" w:rsidRDefault="00D537E1" w:rsidP="00D537E1">
      <w:pPr>
        <w:widowControl w:val="0"/>
        <w:spacing w:before="120" w:after="120" w:line="240" w:lineRule="auto"/>
        <w:ind w:left="426"/>
        <w:jc w:val="both"/>
        <w:rPr>
          <w:rFonts w:ascii="Times New Roman" w:eastAsia="Times New Roman" w:hAnsi="Times New Roman" w:cs="Times New Roman"/>
          <w:b/>
          <w:bCs/>
        </w:rPr>
      </w:pPr>
      <w:r w:rsidRPr="00BC6E7B">
        <w:rPr>
          <w:rFonts w:ascii="Times New Roman" w:eastAsia="Times New Roman" w:hAnsi="Times New Roman" w:cs="Times New Roman"/>
          <w:b/>
          <w:bCs/>
        </w:rPr>
        <w:t>Autonómiája és felelőssége:</w:t>
      </w:r>
      <w:r>
        <w:rPr>
          <w:rFonts w:ascii="Times New Roman" w:eastAsia="Times New Roman" w:hAnsi="Times New Roman" w:cs="Times New Roman"/>
          <w:b/>
          <w:bCs/>
        </w:rPr>
        <w:t xml:space="preserve"> </w:t>
      </w:r>
    </w:p>
    <w:p w:rsidR="00D537E1" w:rsidRPr="00A0154C" w:rsidRDefault="00D537E1" w:rsidP="00980876">
      <w:pPr>
        <w:pStyle w:val="Listaszerbekezds"/>
        <w:widowControl w:val="0"/>
        <w:numPr>
          <w:ilvl w:val="0"/>
          <w:numId w:val="575"/>
        </w:numPr>
        <w:spacing w:before="120" w:after="120" w:line="240" w:lineRule="auto"/>
        <w:jc w:val="both"/>
        <w:rPr>
          <w:rFonts w:ascii="Times New Roman" w:eastAsia="Times New Roman" w:hAnsi="Times New Roman" w:cs="Times New Roman"/>
          <w:bCs/>
        </w:rPr>
      </w:pPr>
      <w:r w:rsidRPr="00F75A18">
        <w:rPr>
          <w:rFonts w:ascii="Times New Roman" w:hAnsi="Times New Roman" w:cs="Times New Roman"/>
        </w:rPr>
        <w:t xml:space="preserve">Nagyra értékeli a hivatástudatot és felismeri az egyéni hozzájárulás jelentőségét a közösség életében. </w:t>
      </w:r>
    </w:p>
    <w:p w:rsidR="00D537E1" w:rsidRPr="00A0154C" w:rsidRDefault="00D537E1" w:rsidP="00980876">
      <w:pPr>
        <w:pStyle w:val="Listaszerbekezds"/>
        <w:widowControl w:val="0"/>
        <w:numPr>
          <w:ilvl w:val="0"/>
          <w:numId w:val="575"/>
        </w:numPr>
        <w:spacing w:before="120" w:after="120" w:line="240" w:lineRule="auto"/>
        <w:jc w:val="both"/>
        <w:rPr>
          <w:rFonts w:ascii="Times New Roman" w:eastAsia="Times New Roman" w:hAnsi="Times New Roman" w:cs="Times New Roman"/>
          <w:bCs/>
        </w:rPr>
      </w:pPr>
      <w:r w:rsidRPr="00F75A18">
        <w:rPr>
          <w:rFonts w:ascii="Times New Roman" w:hAnsi="Times New Roman" w:cs="Times New Roman"/>
        </w:rPr>
        <w:t xml:space="preserve">Munkáját folyamatos tanulásnak tekinti, saját hibáiból tanul, képes tanácsot kérni és másokat meghallgatni. </w:t>
      </w:r>
    </w:p>
    <w:p w:rsidR="00D537E1" w:rsidRPr="00A0154C" w:rsidRDefault="00D537E1" w:rsidP="00980876">
      <w:pPr>
        <w:pStyle w:val="Listaszerbekezds"/>
        <w:widowControl w:val="0"/>
        <w:numPr>
          <w:ilvl w:val="0"/>
          <w:numId w:val="575"/>
        </w:numPr>
        <w:spacing w:before="120" w:after="120" w:line="240" w:lineRule="auto"/>
        <w:jc w:val="both"/>
        <w:rPr>
          <w:rFonts w:ascii="Times New Roman" w:eastAsia="Times New Roman" w:hAnsi="Times New Roman" w:cs="Times New Roman"/>
          <w:bCs/>
        </w:rPr>
      </w:pPr>
      <w:r w:rsidRPr="00F75A18">
        <w:rPr>
          <w:rFonts w:ascii="Times New Roman" w:hAnsi="Times New Roman" w:cs="Times New Roman"/>
        </w:rPr>
        <w:t>Önállóan végzi a problémák végig</w:t>
      </w:r>
      <w:r>
        <w:rPr>
          <w:rFonts w:ascii="Times New Roman" w:hAnsi="Times New Roman" w:cs="Times New Roman"/>
        </w:rPr>
        <w:t xml:space="preserve"> </w:t>
      </w:r>
      <w:r w:rsidRPr="00F75A18">
        <w:rPr>
          <w:rFonts w:ascii="Times New Roman" w:hAnsi="Times New Roman" w:cs="Times New Roman"/>
        </w:rPr>
        <w:t xml:space="preserve">gondolását és a rendelkezésre álló adatok objektív értékelését, elemzését. </w:t>
      </w:r>
    </w:p>
    <w:p w:rsidR="00D537E1" w:rsidRPr="00F75A18" w:rsidRDefault="00D537E1" w:rsidP="00980876">
      <w:pPr>
        <w:pStyle w:val="Listaszerbekezds"/>
        <w:widowControl w:val="0"/>
        <w:numPr>
          <w:ilvl w:val="0"/>
          <w:numId w:val="575"/>
        </w:numPr>
        <w:spacing w:before="120" w:after="120" w:line="240" w:lineRule="auto"/>
        <w:jc w:val="both"/>
        <w:rPr>
          <w:rFonts w:ascii="Times New Roman" w:eastAsia="Times New Roman" w:hAnsi="Times New Roman" w:cs="Times New Roman"/>
          <w:bCs/>
        </w:rPr>
      </w:pPr>
      <w:r w:rsidRPr="00F75A18">
        <w:rPr>
          <w:rFonts w:ascii="Times New Roman" w:hAnsi="Times New Roman" w:cs="Times New Roman"/>
        </w:rPr>
        <w:t>A szakterületéhez kapcsolódóan megfelelő áttekintő-, rendszerező-, valamint rendszerszemléletű képességgel rendelkezik.</w:t>
      </w:r>
    </w:p>
    <w:p w:rsidR="00D537E1" w:rsidRPr="00013C25" w:rsidRDefault="00D537E1" w:rsidP="00D537E1">
      <w:pPr>
        <w:widowControl w:val="0"/>
        <w:spacing w:before="120" w:after="120" w:line="240" w:lineRule="auto"/>
        <w:ind w:left="426"/>
        <w:jc w:val="both"/>
        <w:rPr>
          <w:rFonts w:ascii="Times New Roman" w:eastAsia="Times New Roman" w:hAnsi="Times New Roman" w:cs="Times New Roman"/>
          <w:b/>
          <w:bCs/>
          <w:lang w:val="en-US"/>
        </w:rPr>
      </w:pPr>
      <w:r w:rsidRPr="00013C25">
        <w:rPr>
          <w:rFonts w:ascii="Times New Roman" w:eastAsia="Times New Roman" w:hAnsi="Times New Roman" w:cs="Times New Roman"/>
          <w:b/>
          <w:bCs/>
        </w:rPr>
        <w:t>Elérendő kompetenciák (angolul) (</w:t>
      </w:r>
      <w:r w:rsidRPr="00013C25">
        <w:rPr>
          <w:rFonts w:ascii="Times New Roman" w:eastAsia="Times New Roman" w:hAnsi="Times New Roman" w:cs="Times New Roman"/>
          <w:b/>
          <w:bCs/>
          <w:lang w:val="en-US"/>
        </w:rPr>
        <w:t xml:space="preserve">Competences – English): </w:t>
      </w:r>
    </w:p>
    <w:p w:rsidR="00D537E1" w:rsidRDefault="00D537E1" w:rsidP="00D537E1">
      <w:pPr>
        <w:widowControl w:val="0"/>
        <w:spacing w:before="120" w:after="120" w:line="240" w:lineRule="auto"/>
        <w:ind w:left="426"/>
        <w:jc w:val="both"/>
      </w:pPr>
      <w:r w:rsidRPr="00013C25">
        <w:rPr>
          <w:rFonts w:ascii="Times New Roman" w:eastAsia="Times New Roman" w:hAnsi="Times New Roman" w:cs="Times New Roman"/>
          <w:b/>
          <w:lang w:val="en-GB"/>
        </w:rPr>
        <w:t>Knowledge</w:t>
      </w:r>
      <w:r w:rsidRPr="00013C25">
        <w:rPr>
          <w:rFonts w:ascii="Times New Roman" w:eastAsia="Times New Roman" w:hAnsi="Times New Roman" w:cs="Times New Roman"/>
          <w:lang w:val="en-GB"/>
        </w:rPr>
        <w:t>:</w:t>
      </w:r>
      <w:r w:rsidRPr="00013C25">
        <w:t xml:space="preserve"> </w:t>
      </w:r>
    </w:p>
    <w:p w:rsidR="00D537E1" w:rsidRDefault="00D537E1" w:rsidP="00980876">
      <w:pPr>
        <w:pStyle w:val="Listaszerbekezds"/>
        <w:widowControl w:val="0"/>
        <w:numPr>
          <w:ilvl w:val="0"/>
          <w:numId w:val="575"/>
        </w:numPr>
        <w:spacing w:before="120" w:after="120" w:line="24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 xml:space="preserve">With </w:t>
      </w:r>
      <w:r w:rsidRPr="00A0154C">
        <w:rPr>
          <w:rFonts w:ascii="Times New Roman" w:hAnsi="Times New Roman" w:cs="Times New Roman"/>
        </w:rPr>
        <w:t>completing</w:t>
      </w:r>
      <w:r w:rsidRPr="00013C25">
        <w:rPr>
          <w:rFonts w:ascii="Times New Roman" w:eastAsia="Times New Roman" w:hAnsi="Times New Roman" w:cs="Times New Roman"/>
          <w:lang w:val="en-GB"/>
        </w:rPr>
        <w:t xml:space="preserve"> the course, </w:t>
      </w:r>
      <w:r>
        <w:rPr>
          <w:rFonts w:ascii="Times New Roman" w:eastAsia="Times New Roman" w:hAnsi="Times New Roman" w:cs="Times New Roman"/>
          <w:lang w:val="en-GB"/>
        </w:rPr>
        <w:t xml:space="preserve">the </w:t>
      </w:r>
      <w:r w:rsidRPr="00013C25">
        <w:rPr>
          <w:rFonts w:ascii="Times New Roman" w:eastAsia="Times New Roman" w:hAnsi="Times New Roman" w:cs="Times New Roman"/>
          <w:lang w:val="en-GB"/>
        </w:rPr>
        <w:t>student</w:t>
      </w:r>
      <w:r>
        <w:rPr>
          <w:rFonts w:ascii="Times New Roman" w:eastAsia="Times New Roman" w:hAnsi="Times New Roman" w:cs="Times New Roman"/>
          <w:lang w:val="en-GB"/>
        </w:rPr>
        <w:t>s will</w:t>
      </w:r>
      <w:r w:rsidRPr="00013C25">
        <w:rPr>
          <w:rFonts w:ascii="Times New Roman" w:eastAsia="Times New Roman" w:hAnsi="Times New Roman" w:cs="Times New Roman"/>
          <w:lang w:val="en-GB"/>
        </w:rPr>
        <w:t xml:space="preserve"> have sufficient knowledge of military, law enforcement, public administration, national security work, social theory and state sc</w:t>
      </w:r>
      <w:r>
        <w:rPr>
          <w:rFonts w:ascii="Times New Roman" w:eastAsia="Times New Roman" w:hAnsi="Times New Roman" w:cs="Times New Roman"/>
          <w:lang w:val="en-GB"/>
        </w:rPr>
        <w:t xml:space="preserve">ience researches. </w:t>
      </w:r>
    </w:p>
    <w:p w:rsidR="00D537E1" w:rsidRDefault="00D537E1" w:rsidP="00980876">
      <w:pPr>
        <w:pStyle w:val="Listaszerbekezds"/>
        <w:widowControl w:val="0"/>
        <w:numPr>
          <w:ilvl w:val="0"/>
          <w:numId w:val="575"/>
        </w:numPr>
        <w:spacing w:before="120" w:after="120" w:line="24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In general, they know</w:t>
      </w:r>
      <w:r w:rsidRPr="00013C25">
        <w:rPr>
          <w:rFonts w:ascii="Times New Roman" w:eastAsia="Times New Roman" w:hAnsi="Times New Roman" w:cs="Times New Roman"/>
          <w:lang w:val="en-GB"/>
        </w:rPr>
        <w:t xml:space="preserve"> the basic knowledge of the </w:t>
      </w:r>
      <w:r>
        <w:rPr>
          <w:rFonts w:ascii="Times New Roman" w:eastAsia="Times New Roman" w:hAnsi="Times New Roman" w:cs="Times New Roman"/>
          <w:lang w:val="en-GB"/>
        </w:rPr>
        <w:t>public service - in their</w:t>
      </w:r>
      <w:r w:rsidRPr="00013C25">
        <w:rPr>
          <w:rFonts w:ascii="Times New Roman" w:eastAsia="Times New Roman" w:hAnsi="Times New Roman" w:cs="Times New Roman"/>
          <w:lang w:val="en-GB"/>
        </w:rPr>
        <w:t xml:space="preserve"> own, and different professional rules too. </w:t>
      </w:r>
    </w:p>
    <w:p w:rsidR="00D537E1" w:rsidRPr="00013C25" w:rsidRDefault="00D537E1" w:rsidP="00980876">
      <w:pPr>
        <w:pStyle w:val="Listaszerbekezds"/>
        <w:widowControl w:val="0"/>
        <w:numPr>
          <w:ilvl w:val="0"/>
          <w:numId w:val="575"/>
        </w:numPr>
        <w:spacing w:before="120" w:after="120" w:line="240" w:lineRule="auto"/>
        <w:jc w:val="both"/>
        <w:rPr>
          <w:rFonts w:ascii="Times New Roman" w:eastAsia="Times New Roman" w:hAnsi="Times New Roman" w:cs="Times New Roman"/>
          <w:lang w:val="en-GB"/>
        </w:rPr>
      </w:pPr>
      <w:r w:rsidRPr="00013C25">
        <w:rPr>
          <w:rFonts w:ascii="Times New Roman" w:eastAsia="Times New Roman" w:hAnsi="Times New Roman" w:cs="Times New Roman"/>
          <w:lang w:val="en-GB"/>
        </w:rPr>
        <w:t>His overall knowledge is expected to be broadened, so that he will be able to understand the complicated connections between different phenomena.</w:t>
      </w:r>
    </w:p>
    <w:p w:rsidR="00D537E1" w:rsidRDefault="00D537E1" w:rsidP="00D537E1">
      <w:pPr>
        <w:widowControl w:val="0"/>
        <w:spacing w:before="120" w:after="120" w:line="240" w:lineRule="auto"/>
        <w:ind w:left="426"/>
        <w:jc w:val="both"/>
        <w:rPr>
          <w:rFonts w:ascii="Times New Roman" w:eastAsia="Times New Roman" w:hAnsi="Times New Roman" w:cs="Times New Roman"/>
          <w:lang w:val="en-GB"/>
        </w:rPr>
      </w:pPr>
      <w:r w:rsidRPr="00013C25">
        <w:rPr>
          <w:rFonts w:ascii="Times New Roman" w:eastAsia="Times New Roman" w:hAnsi="Times New Roman" w:cs="Times New Roman"/>
          <w:b/>
          <w:lang w:val="en-GB"/>
        </w:rPr>
        <w:t>Capabilities</w:t>
      </w:r>
      <w:r w:rsidRPr="00013C25">
        <w:rPr>
          <w:rFonts w:ascii="Times New Roman" w:eastAsia="Times New Roman" w:hAnsi="Times New Roman" w:cs="Times New Roman"/>
          <w:lang w:val="en-GB"/>
        </w:rPr>
        <w:t xml:space="preserve">: </w:t>
      </w:r>
    </w:p>
    <w:p w:rsidR="00D537E1" w:rsidRPr="00A0154C" w:rsidRDefault="00D537E1" w:rsidP="00980876">
      <w:pPr>
        <w:pStyle w:val="Listaszerbekezds"/>
        <w:widowControl w:val="0"/>
        <w:numPr>
          <w:ilvl w:val="0"/>
          <w:numId w:val="575"/>
        </w:numPr>
        <w:spacing w:before="120" w:after="120" w:line="240" w:lineRule="auto"/>
        <w:jc w:val="both"/>
        <w:rPr>
          <w:rFonts w:ascii="Times New Roman" w:eastAsia="Times New Roman" w:hAnsi="Times New Roman" w:cs="Times New Roman"/>
          <w:lang w:val="en-GB"/>
        </w:rPr>
      </w:pPr>
      <w:r>
        <w:rPr>
          <w:rFonts w:ascii="Times New Roman" w:eastAsia="Times New Roman" w:hAnsi="Times New Roman" w:cs="Times New Roman"/>
          <w:bCs/>
        </w:rPr>
        <w:t>They</w:t>
      </w:r>
      <w:r w:rsidRPr="00013C25">
        <w:rPr>
          <w:rFonts w:ascii="Times New Roman" w:eastAsia="Times New Roman" w:hAnsi="Times New Roman" w:cs="Times New Roman"/>
          <w:bCs/>
        </w:rPr>
        <w:t xml:space="preserve"> will </w:t>
      </w:r>
      <w:r w:rsidRPr="00A0154C">
        <w:rPr>
          <w:rFonts w:ascii="Times New Roman" w:eastAsia="Times New Roman" w:hAnsi="Times New Roman" w:cs="Times New Roman"/>
          <w:lang w:val="en-GB"/>
        </w:rPr>
        <w:t>improve</w:t>
      </w:r>
      <w:r w:rsidRPr="00013C25">
        <w:rPr>
          <w:rFonts w:ascii="Times New Roman" w:eastAsia="Times New Roman" w:hAnsi="Times New Roman" w:cs="Times New Roman"/>
          <w:bCs/>
        </w:rPr>
        <w:t xml:space="preserve"> skills in critical thinking, acceptance, loyalty and sense of responsibility, a system-wide persp</w:t>
      </w:r>
      <w:r>
        <w:rPr>
          <w:rFonts w:ascii="Times New Roman" w:eastAsia="Times New Roman" w:hAnsi="Times New Roman" w:cs="Times New Roman"/>
          <w:bCs/>
        </w:rPr>
        <w:t xml:space="preserve">ective and holistic approach. </w:t>
      </w:r>
    </w:p>
    <w:p w:rsidR="00D537E1" w:rsidRPr="00A0154C" w:rsidRDefault="00D537E1" w:rsidP="00980876">
      <w:pPr>
        <w:pStyle w:val="Listaszerbekezds"/>
        <w:widowControl w:val="0"/>
        <w:numPr>
          <w:ilvl w:val="0"/>
          <w:numId w:val="575"/>
        </w:numPr>
        <w:spacing w:before="120" w:after="120" w:line="240" w:lineRule="auto"/>
        <w:jc w:val="both"/>
        <w:rPr>
          <w:rFonts w:ascii="Times New Roman" w:eastAsia="Times New Roman" w:hAnsi="Times New Roman" w:cs="Times New Roman"/>
          <w:lang w:val="en-GB"/>
        </w:rPr>
      </w:pPr>
      <w:r>
        <w:rPr>
          <w:rFonts w:ascii="Times New Roman" w:eastAsia="Times New Roman" w:hAnsi="Times New Roman" w:cs="Times New Roman"/>
          <w:bCs/>
        </w:rPr>
        <w:t>They</w:t>
      </w:r>
      <w:r w:rsidRPr="00013C25">
        <w:rPr>
          <w:rFonts w:ascii="Times New Roman" w:eastAsia="Times New Roman" w:hAnsi="Times New Roman" w:cs="Times New Roman"/>
          <w:bCs/>
        </w:rPr>
        <w:t xml:space="preserve"> will be able to use the learned thougts as part </w:t>
      </w:r>
      <w:r>
        <w:rPr>
          <w:rFonts w:ascii="Times New Roman" w:eastAsia="Times New Roman" w:hAnsi="Times New Roman" w:cs="Times New Roman"/>
          <w:bCs/>
        </w:rPr>
        <w:t xml:space="preserve">of their practical knowledge. </w:t>
      </w:r>
    </w:p>
    <w:p w:rsidR="00D537E1" w:rsidRPr="00013C25" w:rsidRDefault="00D537E1" w:rsidP="00980876">
      <w:pPr>
        <w:pStyle w:val="Listaszerbekezds"/>
        <w:widowControl w:val="0"/>
        <w:numPr>
          <w:ilvl w:val="0"/>
          <w:numId w:val="575"/>
        </w:numPr>
        <w:spacing w:before="120" w:after="120" w:line="240" w:lineRule="auto"/>
        <w:jc w:val="both"/>
        <w:rPr>
          <w:rFonts w:ascii="Times New Roman" w:eastAsia="Times New Roman" w:hAnsi="Times New Roman" w:cs="Times New Roman"/>
          <w:lang w:val="en-GB"/>
        </w:rPr>
      </w:pPr>
      <w:r>
        <w:rPr>
          <w:rFonts w:ascii="Times New Roman" w:eastAsia="Times New Roman" w:hAnsi="Times New Roman" w:cs="Times New Roman"/>
          <w:bCs/>
        </w:rPr>
        <w:t>They</w:t>
      </w:r>
      <w:r w:rsidRPr="00013C25">
        <w:rPr>
          <w:rFonts w:ascii="Times New Roman" w:eastAsia="Times New Roman" w:hAnsi="Times New Roman" w:cs="Times New Roman"/>
          <w:bCs/>
        </w:rPr>
        <w:t xml:space="preserve"> will be able to interpret complex issues, notice correlations and draw conclusions.</w:t>
      </w:r>
    </w:p>
    <w:p w:rsidR="00D537E1" w:rsidRDefault="00D537E1" w:rsidP="00D537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lang w:val="en-GB"/>
        </w:rPr>
      </w:pPr>
      <w:r w:rsidRPr="00013C25">
        <w:rPr>
          <w:rFonts w:ascii="Times New Roman" w:eastAsia="Times New Roman" w:hAnsi="Times New Roman" w:cs="Times New Roman"/>
          <w:b/>
          <w:lang w:val="en-GB"/>
        </w:rPr>
        <w:t>Attitude:</w:t>
      </w:r>
      <w:r w:rsidRPr="00013C25">
        <w:rPr>
          <w:rFonts w:ascii="Times New Roman" w:eastAsia="Times New Roman" w:hAnsi="Times New Roman" w:cs="Times New Roman"/>
          <w:lang w:val="en-GB"/>
        </w:rPr>
        <w:t xml:space="preserve"> </w:t>
      </w:r>
    </w:p>
    <w:p w:rsidR="00D537E1" w:rsidRPr="00A0154C" w:rsidRDefault="00D537E1" w:rsidP="00980876">
      <w:pPr>
        <w:pStyle w:val="Listaszerbekezds"/>
        <w:widowControl w:val="0"/>
        <w:numPr>
          <w:ilvl w:val="0"/>
          <w:numId w:val="575"/>
        </w:numPr>
        <w:spacing w:before="120" w:after="120" w:line="240" w:lineRule="auto"/>
        <w:jc w:val="both"/>
        <w:rPr>
          <w:rFonts w:ascii="Times New Roman" w:eastAsia="Times New Roman" w:hAnsi="Times New Roman" w:cs="Times New Roman"/>
          <w:lang w:val="en-GB"/>
        </w:rPr>
      </w:pPr>
      <w:r w:rsidRPr="00013C25">
        <w:rPr>
          <w:rFonts w:ascii="Times New Roman" w:eastAsia="Times New Roman" w:hAnsi="Times New Roman" w:cs="Times New Roman"/>
          <w:bCs/>
        </w:rPr>
        <w:t>After</w:t>
      </w:r>
      <w:r>
        <w:rPr>
          <w:rFonts w:ascii="Times New Roman" w:eastAsia="Times New Roman" w:hAnsi="Times New Roman" w:cs="Times New Roman"/>
          <w:bCs/>
        </w:rPr>
        <w:t xml:space="preserve"> completing the course, student</w:t>
      </w:r>
      <w:r w:rsidRPr="00013C25">
        <w:rPr>
          <w:rFonts w:ascii="Times New Roman" w:eastAsia="Times New Roman" w:hAnsi="Times New Roman" w:cs="Times New Roman"/>
          <w:bCs/>
        </w:rPr>
        <w:t>s</w:t>
      </w:r>
      <w:r>
        <w:rPr>
          <w:rFonts w:ascii="Times New Roman" w:eastAsia="Times New Roman" w:hAnsi="Times New Roman" w:cs="Times New Roman"/>
          <w:bCs/>
        </w:rPr>
        <w:t>’</w:t>
      </w:r>
      <w:r w:rsidRPr="00013C25">
        <w:rPr>
          <w:rFonts w:ascii="Times New Roman" w:eastAsia="Times New Roman" w:hAnsi="Times New Roman" w:cs="Times New Roman"/>
          <w:bCs/>
        </w:rPr>
        <w:t xml:space="preserve"> world vi</w:t>
      </w:r>
      <w:r>
        <w:rPr>
          <w:rFonts w:ascii="Times New Roman" w:eastAsia="Times New Roman" w:hAnsi="Times New Roman" w:cs="Times New Roman"/>
          <w:bCs/>
        </w:rPr>
        <w:t xml:space="preserve">ew becomes more well-defined. </w:t>
      </w:r>
    </w:p>
    <w:p w:rsidR="00D537E1" w:rsidRPr="00A0154C" w:rsidRDefault="00D537E1" w:rsidP="00980876">
      <w:pPr>
        <w:pStyle w:val="Listaszerbekezds"/>
        <w:widowControl w:val="0"/>
        <w:numPr>
          <w:ilvl w:val="0"/>
          <w:numId w:val="575"/>
        </w:numPr>
        <w:spacing w:before="120" w:after="120" w:line="240" w:lineRule="auto"/>
        <w:jc w:val="both"/>
        <w:rPr>
          <w:rFonts w:ascii="Times New Roman" w:eastAsia="Times New Roman" w:hAnsi="Times New Roman" w:cs="Times New Roman"/>
          <w:lang w:val="en-GB"/>
        </w:rPr>
      </w:pPr>
      <w:r>
        <w:rPr>
          <w:rFonts w:ascii="Times New Roman" w:eastAsia="Times New Roman" w:hAnsi="Times New Roman" w:cs="Times New Roman"/>
          <w:bCs/>
        </w:rPr>
        <w:t>They</w:t>
      </w:r>
      <w:r w:rsidRPr="00013C25">
        <w:rPr>
          <w:rFonts w:ascii="Times New Roman" w:eastAsia="Times New Roman" w:hAnsi="Times New Roman" w:cs="Times New Roman"/>
          <w:bCs/>
        </w:rPr>
        <w:t xml:space="preserve"> will boast a set of values closely associated with public service and will become ope</w:t>
      </w:r>
      <w:r>
        <w:rPr>
          <w:rFonts w:ascii="Times New Roman" w:eastAsia="Times New Roman" w:hAnsi="Times New Roman" w:cs="Times New Roman"/>
          <w:bCs/>
        </w:rPr>
        <w:t xml:space="preserve">n to the field as a whole. </w:t>
      </w:r>
    </w:p>
    <w:p w:rsidR="00D537E1" w:rsidRPr="00A0154C" w:rsidRDefault="00D537E1" w:rsidP="00980876">
      <w:pPr>
        <w:pStyle w:val="Listaszerbekezds"/>
        <w:widowControl w:val="0"/>
        <w:numPr>
          <w:ilvl w:val="0"/>
          <w:numId w:val="575"/>
        </w:numPr>
        <w:spacing w:before="120" w:after="120" w:line="240" w:lineRule="auto"/>
        <w:jc w:val="both"/>
        <w:rPr>
          <w:rFonts w:ascii="Times New Roman" w:eastAsia="Times New Roman" w:hAnsi="Times New Roman" w:cs="Times New Roman"/>
          <w:lang w:val="en-GB"/>
        </w:rPr>
      </w:pPr>
      <w:r>
        <w:rPr>
          <w:rFonts w:ascii="Times New Roman" w:eastAsia="Times New Roman" w:hAnsi="Times New Roman" w:cs="Times New Roman"/>
          <w:bCs/>
        </w:rPr>
        <w:t>They are</w:t>
      </w:r>
      <w:r w:rsidRPr="00013C25">
        <w:rPr>
          <w:rFonts w:ascii="Times New Roman" w:eastAsia="Times New Roman" w:hAnsi="Times New Roman" w:cs="Times New Roman"/>
          <w:bCs/>
        </w:rPr>
        <w:t xml:space="preserve"> characterized by open and critical thinking, public service commitm</w:t>
      </w:r>
      <w:r>
        <w:rPr>
          <w:rFonts w:ascii="Times New Roman" w:eastAsia="Times New Roman" w:hAnsi="Times New Roman" w:cs="Times New Roman"/>
          <w:bCs/>
        </w:rPr>
        <w:t xml:space="preserve">ent, ambition and curiosity. </w:t>
      </w:r>
    </w:p>
    <w:p w:rsidR="00D537E1" w:rsidRPr="00013C25" w:rsidRDefault="00D537E1" w:rsidP="00980876">
      <w:pPr>
        <w:pStyle w:val="Listaszerbekezds"/>
        <w:widowControl w:val="0"/>
        <w:numPr>
          <w:ilvl w:val="0"/>
          <w:numId w:val="575"/>
        </w:numPr>
        <w:spacing w:before="120" w:after="120" w:line="240" w:lineRule="auto"/>
        <w:jc w:val="both"/>
        <w:rPr>
          <w:rFonts w:ascii="Times New Roman" w:eastAsia="Times New Roman" w:hAnsi="Times New Roman" w:cs="Times New Roman"/>
          <w:lang w:val="en-GB"/>
        </w:rPr>
      </w:pPr>
      <w:r>
        <w:rPr>
          <w:rFonts w:ascii="Times New Roman" w:eastAsia="Times New Roman" w:hAnsi="Times New Roman" w:cs="Times New Roman"/>
          <w:bCs/>
        </w:rPr>
        <w:t>Their</w:t>
      </w:r>
      <w:r w:rsidRPr="00013C25">
        <w:rPr>
          <w:rFonts w:ascii="Times New Roman" w:eastAsia="Times New Roman" w:hAnsi="Times New Roman" w:cs="Times New Roman"/>
          <w:bCs/>
        </w:rPr>
        <w:t xml:space="preserve"> interest in developing their ow</w:t>
      </w:r>
      <w:r>
        <w:rPr>
          <w:rFonts w:ascii="Times New Roman" w:eastAsia="Times New Roman" w:hAnsi="Times New Roman" w:cs="Times New Roman"/>
          <w:bCs/>
        </w:rPr>
        <w:t>n profession increases and they are</w:t>
      </w:r>
      <w:r w:rsidRPr="00013C25">
        <w:rPr>
          <w:rFonts w:ascii="Times New Roman" w:eastAsia="Times New Roman" w:hAnsi="Times New Roman" w:cs="Times New Roman"/>
          <w:bCs/>
        </w:rPr>
        <w:t xml:space="preserve"> willing to learn an</w:t>
      </w:r>
      <w:r>
        <w:rPr>
          <w:rFonts w:ascii="Times New Roman" w:eastAsia="Times New Roman" w:hAnsi="Times New Roman" w:cs="Times New Roman"/>
          <w:bCs/>
        </w:rPr>
        <w:t>d acknowledge innovations in their</w:t>
      </w:r>
      <w:r w:rsidRPr="00013C25">
        <w:rPr>
          <w:rFonts w:ascii="Times New Roman" w:eastAsia="Times New Roman" w:hAnsi="Times New Roman" w:cs="Times New Roman"/>
          <w:bCs/>
        </w:rPr>
        <w:t xml:space="preserve"> fields.</w:t>
      </w:r>
    </w:p>
    <w:p w:rsidR="00D537E1" w:rsidRDefault="00D537E1" w:rsidP="00D537E1">
      <w:pPr>
        <w:widowControl w:val="0"/>
        <w:spacing w:before="120" w:after="120" w:line="240" w:lineRule="auto"/>
        <w:ind w:left="426"/>
        <w:jc w:val="both"/>
        <w:rPr>
          <w:rFonts w:ascii="Times New Roman" w:eastAsia="Times New Roman" w:hAnsi="Times New Roman" w:cs="Times New Roman"/>
          <w:b/>
          <w:lang w:val="en-GB"/>
        </w:rPr>
      </w:pPr>
      <w:r w:rsidRPr="00013C25">
        <w:rPr>
          <w:rFonts w:ascii="Times New Roman" w:eastAsia="Times New Roman" w:hAnsi="Times New Roman" w:cs="Times New Roman"/>
          <w:b/>
          <w:lang w:val="en-GB"/>
        </w:rPr>
        <w:t xml:space="preserve">Autonomy and responsibility: </w:t>
      </w:r>
    </w:p>
    <w:p w:rsidR="00D537E1" w:rsidRPr="00A0154C" w:rsidRDefault="00D537E1" w:rsidP="00980876">
      <w:pPr>
        <w:pStyle w:val="Listaszerbekezds"/>
        <w:widowControl w:val="0"/>
        <w:numPr>
          <w:ilvl w:val="0"/>
          <w:numId w:val="575"/>
        </w:numPr>
        <w:spacing w:before="120" w:after="120" w:line="240" w:lineRule="auto"/>
        <w:jc w:val="both"/>
        <w:rPr>
          <w:rFonts w:ascii="Times New Roman" w:eastAsia="Times New Roman" w:hAnsi="Times New Roman" w:cs="Times New Roman"/>
          <w:lang w:val="en-GB"/>
        </w:rPr>
      </w:pPr>
      <w:r>
        <w:rPr>
          <w:rFonts w:ascii="Times New Roman" w:eastAsia="Times New Roman" w:hAnsi="Times New Roman" w:cs="Times New Roman"/>
          <w:bCs/>
        </w:rPr>
        <w:t>They can value their</w:t>
      </w:r>
      <w:r w:rsidRPr="00013C25">
        <w:rPr>
          <w:rFonts w:ascii="Times New Roman" w:eastAsia="Times New Roman" w:hAnsi="Times New Roman" w:cs="Times New Roman"/>
          <w:bCs/>
        </w:rPr>
        <w:t xml:space="preserve"> vocation and see the need and importance of individual contri</w:t>
      </w:r>
      <w:r>
        <w:rPr>
          <w:rFonts w:ascii="Times New Roman" w:eastAsia="Times New Roman" w:hAnsi="Times New Roman" w:cs="Times New Roman"/>
          <w:bCs/>
        </w:rPr>
        <w:t xml:space="preserve">bution in the society. </w:t>
      </w:r>
    </w:p>
    <w:p w:rsidR="00D537E1" w:rsidRPr="00A0154C" w:rsidRDefault="00D537E1" w:rsidP="00980876">
      <w:pPr>
        <w:pStyle w:val="Listaszerbekezds"/>
        <w:widowControl w:val="0"/>
        <w:numPr>
          <w:ilvl w:val="0"/>
          <w:numId w:val="575"/>
        </w:numPr>
        <w:spacing w:before="120" w:after="120" w:line="240" w:lineRule="auto"/>
        <w:jc w:val="both"/>
        <w:rPr>
          <w:rFonts w:ascii="Times New Roman" w:eastAsia="Times New Roman" w:hAnsi="Times New Roman" w:cs="Times New Roman"/>
          <w:lang w:val="en-GB"/>
        </w:rPr>
      </w:pPr>
      <w:r>
        <w:rPr>
          <w:rFonts w:ascii="Times New Roman" w:eastAsia="Times New Roman" w:hAnsi="Times New Roman" w:cs="Times New Roman"/>
          <w:bCs/>
        </w:rPr>
        <w:t>Consider their</w:t>
      </w:r>
      <w:r w:rsidRPr="00013C25">
        <w:rPr>
          <w:rFonts w:ascii="Times New Roman" w:eastAsia="Times New Roman" w:hAnsi="Times New Roman" w:cs="Times New Roman"/>
          <w:bCs/>
        </w:rPr>
        <w:t xml:space="preserve"> own work a constant learning act, learns from </w:t>
      </w:r>
      <w:r>
        <w:rPr>
          <w:rFonts w:ascii="Times New Roman" w:eastAsia="Times New Roman" w:hAnsi="Times New Roman" w:cs="Times New Roman"/>
          <w:bCs/>
        </w:rPr>
        <w:t xml:space="preserve">their </w:t>
      </w:r>
      <w:r w:rsidRPr="00013C25">
        <w:rPr>
          <w:rFonts w:ascii="Times New Roman" w:eastAsia="Times New Roman" w:hAnsi="Times New Roman" w:cs="Times New Roman"/>
          <w:bCs/>
        </w:rPr>
        <w:t xml:space="preserve">own mistakes, able to aks for advice and listens to others. </w:t>
      </w:r>
    </w:p>
    <w:p w:rsidR="00D537E1" w:rsidRPr="00A0154C" w:rsidRDefault="00D537E1" w:rsidP="00980876">
      <w:pPr>
        <w:pStyle w:val="Listaszerbekezds"/>
        <w:widowControl w:val="0"/>
        <w:numPr>
          <w:ilvl w:val="0"/>
          <w:numId w:val="575"/>
        </w:numPr>
        <w:spacing w:before="120" w:after="120" w:line="240" w:lineRule="auto"/>
        <w:jc w:val="both"/>
        <w:rPr>
          <w:rFonts w:ascii="Times New Roman" w:eastAsia="Times New Roman" w:hAnsi="Times New Roman" w:cs="Times New Roman"/>
          <w:lang w:val="en-GB"/>
        </w:rPr>
      </w:pPr>
      <w:r w:rsidRPr="00013C25">
        <w:rPr>
          <w:rFonts w:ascii="Times New Roman" w:eastAsia="Times New Roman" w:hAnsi="Times New Roman" w:cs="Times New Roman"/>
          <w:bCs/>
        </w:rPr>
        <w:t>They are able to think about problems independently and they can study informa</w:t>
      </w:r>
      <w:r>
        <w:rPr>
          <w:rFonts w:ascii="Times New Roman" w:eastAsia="Times New Roman" w:hAnsi="Times New Roman" w:cs="Times New Roman"/>
          <w:bCs/>
        </w:rPr>
        <w:t xml:space="preserve">tion in an objective way. </w:t>
      </w:r>
    </w:p>
    <w:p w:rsidR="00D537E1" w:rsidRPr="00BC6E7B" w:rsidRDefault="00D537E1" w:rsidP="00980876">
      <w:pPr>
        <w:pStyle w:val="Listaszerbekezds"/>
        <w:widowControl w:val="0"/>
        <w:numPr>
          <w:ilvl w:val="0"/>
          <w:numId w:val="575"/>
        </w:numPr>
        <w:spacing w:before="120" w:after="120" w:line="240" w:lineRule="auto"/>
        <w:jc w:val="both"/>
        <w:rPr>
          <w:rFonts w:ascii="Times New Roman" w:eastAsia="Times New Roman" w:hAnsi="Times New Roman" w:cs="Times New Roman"/>
          <w:lang w:val="en-GB"/>
        </w:rPr>
      </w:pPr>
      <w:r>
        <w:rPr>
          <w:rFonts w:ascii="Times New Roman" w:eastAsia="Times New Roman" w:hAnsi="Times New Roman" w:cs="Times New Roman"/>
          <w:bCs/>
        </w:rPr>
        <w:t>They have</w:t>
      </w:r>
      <w:r w:rsidRPr="00013C25">
        <w:rPr>
          <w:rFonts w:ascii="Times New Roman" w:eastAsia="Times New Roman" w:hAnsi="Times New Roman" w:cs="Times New Roman"/>
          <w:bCs/>
        </w:rPr>
        <w:t xml:space="preserve"> a systematic and systemic ove</w:t>
      </w:r>
      <w:r>
        <w:rPr>
          <w:rFonts w:ascii="Times New Roman" w:eastAsia="Times New Roman" w:hAnsi="Times New Roman" w:cs="Times New Roman"/>
          <w:bCs/>
        </w:rPr>
        <w:t>rview ability in relation to their</w:t>
      </w:r>
      <w:r w:rsidRPr="00013C25">
        <w:rPr>
          <w:rFonts w:ascii="Times New Roman" w:eastAsia="Times New Roman" w:hAnsi="Times New Roman" w:cs="Times New Roman"/>
          <w:bCs/>
        </w:rPr>
        <w:t xml:space="preserve"> field.</w:t>
      </w:r>
    </w:p>
    <w:p w:rsidR="00D537E1" w:rsidRDefault="00D537E1" w:rsidP="00D537E1">
      <w:pPr>
        <w:rPr>
          <w:rFonts w:ascii="Times New Roman" w:eastAsia="Times New Roman" w:hAnsi="Times New Roman" w:cs="Times New Roman"/>
          <w:b/>
          <w:bCs/>
        </w:rPr>
      </w:pPr>
      <w:r>
        <w:rPr>
          <w:rFonts w:ascii="Times New Roman" w:eastAsia="Times New Roman" w:hAnsi="Times New Roman" w:cs="Times New Roman"/>
          <w:b/>
          <w:bCs/>
        </w:rPr>
        <w:br w:type="page"/>
      </w:r>
    </w:p>
    <w:p w:rsidR="00D537E1" w:rsidRPr="00BC6E7B" w:rsidRDefault="00D537E1" w:rsidP="00980876">
      <w:pPr>
        <w:widowControl w:val="0"/>
        <w:numPr>
          <w:ilvl w:val="0"/>
          <w:numId w:val="577"/>
        </w:numPr>
        <w:tabs>
          <w:tab w:val="num" w:pos="567"/>
        </w:tabs>
        <w:spacing w:before="120" w:after="120" w:line="240" w:lineRule="auto"/>
        <w:ind w:left="426" w:hanging="142"/>
        <w:jc w:val="both"/>
        <w:rPr>
          <w:rFonts w:ascii="Times New Roman" w:eastAsia="Times New Roman" w:hAnsi="Times New Roman" w:cs="Times New Roman"/>
          <w:bCs/>
        </w:rPr>
      </w:pPr>
      <w:r w:rsidRPr="00BC6E7B">
        <w:rPr>
          <w:rFonts w:ascii="Times New Roman" w:eastAsia="Times New Roman" w:hAnsi="Times New Roman" w:cs="Times New Roman"/>
          <w:b/>
          <w:bCs/>
        </w:rPr>
        <w:lastRenderedPageBreak/>
        <w:t xml:space="preserve">Előtanulmányi követelmények: </w:t>
      </w:r>
      <w:r>
        <w:rPr>
          <w:rFonts w:ascii="Times New Roman" w:eastAsia="Times New Roman" w:hAnsi="Times New Roman" w:cs="Times New Roman"/>
          <w:bCs/>
        </w:rPr>
        <w:t>nincsenek</w:t>
      </w:r>
    </w:p>
    <w:p w:rsidR="00D537E1" w:rsidRDefault="00D537E1" w:rsidP="00980876">
      <w:pPr>
        <w:widowControl w:val="0"/>
        <w:numPr>
          <w:ilvl w:val="0"/>
          <w:numId w:val="577"/>
        </w:numPr>
        <w:spacing w:before="120" w:after="120" w:line="240" w:lineRule="auto"/>
        <w:ind w:left="426" w:hanging="142"/>
        <w:jc w:val="both"/>
        <w:rPr>
          <w:rFonts w:ascii="Times New Roman" w:eastAsia="Times New Roman" w:hAnsi="Times New Roman" w:cs="Times New Roman"/>
          <w:b/>
          <w:bCs/>
        </w:rPr>
      </w:pPr>
      <w:r w:rsidRPr="00BC6E7B">
        <w:rPr>
          <w:rFonts w:ascii="Times New Roman" w:eastAsia="Times New Roman" w:hAnsi="Times New Roman" w:cs="Times New Roman"/>
          <w:b/>
          <w:bCs/>
        </w:rPr>
        <w:t xml:space="preserve">A tantárgy tananyagának leírása, tematika. </w:t>
      </w:r>
      <w:r w:rsidRPr="003E44F1">
        <w:rPr>
          <w:rFonts w:ascii="Times New Roman" w:eastAsia="Times New Roman" w:hAnsi="Times New Roman" w:cs="Times New Roman"/>
          <w:b/>
          <w:bCs/>
        </w:rPr>
        <w:t>Description of the subject, curriculum (magyarul, angolul - English):</w:t>
      </w:r>
    </w:p>
    <w:p w:rsidR="00D537E1" w:rsidRPr="00C670CE" w:rsidRDefault="00D537E1" w:rsidP="00D537E1">
      <w:pPr>
        <w:widowControl w:val="0"/>
        <w:spacing w:before="120" w:after="120" w:line="240" w:lineRule="auto"/>
        <w:ind w:left="426"/>
        <w:jc w:val="both"/>
        <w:rPr>
          <w:rFonts w:ascii="Times New Roman" w:eastAsia="Times New Roman" w:hAnsi="Times New Roman" w:cs="Times New Roman"/>
          <w:b/>
          <w:bCs/>
        </w:rPr>
      </w:pPr>
      <w:r w:rsidRPr="00C670CE">
        <w:rPr>
          <w:rFonts w:ascii="Times New Roman" w:eastAsia="Times New Roman" w:hAnsi="Times New Roman" w:cs="Times New Roman"/>
          <w:bCs/>
        </w:rPr>
        <w:t>A Szabadegyetem előadásainak témái szerteágazóak, szemeszterenként változóak, az alábbi főbb témakörökből választva</w:t>
      </w:r>
      <w:r>
        <w:rPr>
          <w:rFonts w:ascii="Times New Roman" w:eastAsia="Times New Roman" w:hAnsi="Times New Roman" w:cs="Times New Roman"/>
          <w:bCs/>
        </w:rPr>
        <w:t xml:space="preserve"> </w:t>
      </w:r>
      <w:r w:rsidRPr="00A0154C">
        <w:rPr>
          <w:rFonts w:ascii="Times New Roman" w:eastAsia="Times New Roman" w:hAnsi="Times New Roman" w:cs="Times New Roman"/>
          <w:bCs/>
          <w:i/>
        </w:rPr>
        <w:t>(The lecture topics of the „Ludovika” - University Open Courses are varied by semester, choosing from the following main topics):</w:t>
      </w:r>
    </w:p>
    <w:p w:rsidR="00D537E1" w:rsidRPr="001B4E52" w:rsidRDefault="00D537E1" w:rsidP="00980876">
      <w:pPr>
        <w:widowControl w:val="0"/>
        <w:numPr>
          <w:ilvl w:val="1"/>
          <w:numId w:val="577"/>
        </w:numPr>
        <w:tabs>
          <w:tab w:val="clear" w:pos="3977"/>
          <w:tab w:val="left" w:pos="993"/>
        </w:tabs>
        <w:spacing w:before="120" w:after="120" w:line="240" w:lineRule="auto"/>
        <w:ind w:left="993" w:hanging="567"/>
        <w:jc w:val="both"/>
        <w:rPr>
          <w:rFonts w:ascii="Times New Roman" w:eastAsia="Times New Roman" w:hAnsi="Times New Roman" w:cs="Times New Roman"/>
          <w:bCs/>
        </w:rPr>
      </w:pPr>
      <w:r w:rsidRPr="001B4E52">
        <w:rPr>
          <w:rFonts w:ascii="Times New Roman" w:eastAsia="Times New Roman" w:hAnsi="Times New Roman" w:cs="Times New Roman"/>
          <w:bCs/>
        </w:rPr>
        <w:t>Hadtudományi kutatások eredményeinek bemutatása, hivatásrendi ismeretek nyújtása.</w:t>
      </w:r>
      <w:r>
        <w:rPr>
          <w:rFonts w:ascii="Times New Roman" w:eastAsia="Times New Roman" w:hAnsi="Times New Roman" w:cs="Times New Roman"/>
          <w:bCs/>
        </w:rPr>
        <w:t xml:space="preserve"> </w:t>
      </w:r>
      <w:r w:rsidRPr="00A0154C">
        <w:rPr>
          <w:rFonts w:ascii="Times New Roman" w:eastAsia="Times New Roman" w:hAnsi="Times New Roman" w:cs="Times New Roman"/>
          <w:bCs/>
          <w:i/>
        </w:rPr>
        <w:t>(Presentation of the results of military researches, expound professional rules for army officers.)</w:t>
      </w:r>
    </w:p>
    <w:p w:rsidR="00D537E1" w:rsidRPr="00A0154C" w:rsidRDefault="00D537E1" w:rsidP="00980876">
      <w:pPr>
        <w:widowControl w:val="0"/>
        <w:numPr>
          <w:ilvl w:val="1"/>
          <w:numId w:val="577"/>
        </w:numPr>
        <w:tabs>
          <w:tab w:val="clear" w:pos="3977"/>
          <w:tab w:val="left" w:pos="993"/>
        </w:tabs>
        <w:spacing w:before="120" w:after="120" w:line="240" w:lineRule="auto"/>
        <w:ind w:left="993" w:hanging="567"/>
        <w:jc w:val="both"/>
        <w:rPr>
          <w:rFonts w:ascii="Times New Roman" w:eastAsia="Times New Roman" w:hAnsi="Times New Roman" w:cs="Times New Roman"/>
          <w:bCs/>
          <w:i/>
        </w:rPr>
      </w:pPr>
      <w:r w:rsidRPr="001B4E52">
        <w:rPr>
          <w:rFonts w:ascii="Times New Roman" w:eastAsia="Times New Roman" w:hAnsi="Times New Roman" w:cs="Times New Roman"/>
          <w:bCs/>
        </w:rPr>
        <w:t>Rendészettudományi kutatások eredményeinek bemutatása, hivatásrendi ismeretek nyújtása.</w:t>
      </w:r>
      <w:r>
        <w:rPr>
          <w:rFonts w:ascii="Times New Roman" w:eastAsia="Times New Roman" w:hAnsi="Times New Roman" w:cs="Times New Roman"/>
          <w:bCs/>
        </w:rPr>
        <w:t xml:space="preserve"> </w:t>
      </w:r>
      <w:r w:rsidRPr="00A0154C">
        <w:rPr>
          <w:rFonts w:ascii="Times New Roman" w:eastAsia="Times New Roman" w:hAnsi="Times New Roman" w:cs="Times New Roman"/>
          <w:bCs/>
          <w:i/>
        </w:rPr>
        <w:t>(Presentation of the results of law enforcement researches, expound professional rules for police officers. )</w:t>
      </w:r>
    </w:p>
    <w:p w:rsidR="00D537E1" w:rsidRPr="00A0154C" w:rsidRDefault="00D537E1" w:rsidP="00980876">
      <w:pPr>
        <w:widowControl w:val="0"/>
        <w:numPr>
          <w:ilvl w:val="1"/>
          <w:numId w:val="577"/>
        </w:numPr>
        <w:tabs>
          <w:tab w:val="clear" w:pos="3977"/>
          <w:tab w:val="left" w:pos="993"/>
        </w:tabs>
        <w:spacing w:before="120" w:after="120" w:line="240" w:lineRule="auto"/>
        <w:ind w:left="993" w:hanging="567"/>
        <w:jc w:val="both"/>
        <w:rPr>
          <w:rFonts w:ascii="Times New Roman" w:eastAsia="Times New Roman" w:hAnsi="Times New Roman" w:cs="Times New Roman"/>
          <w:bCs/>
          <w:i/>
        </w:rPr>
      </w:pPr>
      <w:r w:rsidRPr="001B4E52">
        <w:rPr>
          <w:rFonts w:ascii="Times New Roman" w:eastAsia="Times New Roman" w:hAnsi="Times New Roman" w:cs="Times New Roman"/>
          <w:bCs/>
        </w:rPr>
        <w:t>Közigazgatás-tudományi kutatások eredményeinek a bemutatása</w:t>
      </w:r>
      <w:r w:rsidRPr="00A0154C">
        <w:rPr>
          <w:rFonts w:ascii="Times New Roman" w:eastAsia="Times New Roman" w:hAnsi="Times New Roman" w:cs="Times New Roman"/>
          <w:bCs/>
          <w:i/>
        </w:rPr>
        <w:t>. (Presentation of the results of public administration researches.)</w:t>
      </w:r>
    </w:p>
    <w:p w:rsidR="00D537E1" w:rsidRPr="002D5BCA" w:rsidRDefault="00D537E1" w:rsidP="00980876">
      <w:pPr>
        <w:widowControl w:val="0"/>
        <w:numPr>
          <w:ilvl w:val="1"/>
          <w:numId w:val="577"/>
        </w:numPr>
        <w:tabs>
          <w:tab w:val="clear" w:pos="3977"/>
          <w:tab w:val="left" w:pos="993"/>
        </w:tabs>
        <w:spacing w:before="120" w:after="120" w:line="240" w:lineRule="auto"/>
        <w:ind w:left="993" w:hanging="567"/>
        <w:jc w:val="both"/>
        <w:rPr>
          <w:rFonts w:ascii="Times New Roman" w:eastAsia="Times New Roman" w:hAnsi="Times New Roman" w:cs="Times New Roman"/>
          <w:bCs/>
          <w:i/>
        </w:rPr>
      </w:pPr>
      <w:r w:rsidRPr="002D5BCA">
        <w:rPr>
          <w:rFonts w:ascii="Times New Roman" w:eastAsia="Times New Roman" w:hAnsi="Times New Roman" w:cs="Times New Roman"/>
          <w:bCs/>
        </w:rPr>
        <w:t xml:space="preserve">Nemzetbiztonsági munka sajátosságainak bemutatása. </w:t>
      </w:r>
      <w:r w:rsidRPr="002D5BCA">
        <w:rPr>
          <w:rFonts w:ascii="Times New Roman" w:eastAsia="Times New Roman" w:hAnsi="Times New Roman" w:cs="Times New Roman"/>
          <w:bCs/>
          <w:i/>
        </w:rPr>
        <w:t>(Presentation of the specialities of national security work.</w:t>
      </w:r>
      <w:r>
        <w:rPr>
          <w:rFonts w:ascii="Times New Roman" w:eastAsia="Times New Roman" w:hAnsi="Times New Roman" w:cs="Times New Roman"/>
          <w:bCs/>
          <w:i/>
        </w:rPr>
        <w:t>)</w:t>
      </w:r>
    </w:p>
    <w:p w:rsidR="00D537E1" w:rsidRPr="002D5BCA" w:rsidRDefault="00D537E1" w:rsidP="00980876">
      <w:pPr>
        <w:widowControl w:val="0"/>
        <w:numPr>
          <w:ilvl w:val="1"/>
          <w:numId w:val="577"/>
        </w:numPr>
        <w:tabs>
          <w:tab w:val="clear" w:pos="3977"/>
          <w:tab w:val="left" w:pos="993"/>
        </w:tabs>
        <w:spacing w:before="120" w:after="120" w:line="240" w:lineRule="auto"/>
        <w:ind w:left="993" w:hanging="567"/>
        <w:jc w:val="both"/>
        <w:rPr>
          <w:rFonts w:ascii="Times New Roman" w:eastAsia="Times New Roman" w:hAnsi="Times New Roman" w:cs="Times New Roman"/>
          <w:bCs/>
          <w:i/>
        </w:rPr>
      </w:pPr>
      <w:r w:rsidRPr="001B4E52">
        <w:rPr>
          <w:rFonts w:ascii="Times New Roman" w:eastAsia="Times New Roman" w:hAnsi="Times New Roman" w:cs="Times New Roman"/>
          <w:bCs/>
        </w:rPr>
        <w:t>Állam- és társadalomelméleti-, államtudományi kutatások eredményeinek a bemutatása.</w:t>
      </w:r>
      <w:r>
        <w:rPr>
          <w:rFonts w:ascii="Times New Roman" w:eastAsia="Times New Roman" w:hAnsi="Times New Roman" w:cs="Times New Roman"/>
          <w:bCs/>
        </w:rPr>
        <w:t xml:space="preserve"> </w:t>
      </w:r>
      <w:r w:rsidRPr="002D5BCA">
        <w:rPr>
          <w:rFonts w:ascii="Times New Roman" w:eastAsia="Times New Roman" w:hAnsi="Times New Roman" w:cs="Times New Roman"/>
          <w:bCs/>
          <w:i/>
        </w:rPr>
        <w:t>(Presentation of the results of state, social theory and political science researches.)</w:t>
      </w:r>
    </w:p>
    <w:p w:rsidR="00D537E1" w:rsidRPr="00C670CE" w:rsidRDefault="00D537E1" w:rsidP="00980876">
      <w:pPr>
        <w:widowControl w:val="0"/>
        <w:numPr>
          <w:ilvl w:val="1"/>
          <w:numId w:val="577"/>
        </w:numPr>
        <w:tabs>
          <w:tab w:val="clear" w:pos="3977"/>
          <w:tab w:val="left" w:pos="993"/>
        </w:tabs>
        <w:spacing w:before="120" w:after="120" w:line="240" w:lineRule="auto"/>
        <w:ind w:left="993" w:hanging="567"/>
        <w:jc w:val="both"/>
        <w:rPr>
          <w:rFonts w:ascii="Times New Roman" w:eastAsia="Times New Roman" w:hAnsi="Times New Roman" w:cs="Times New Roman"/>
          <w:bCs/>
        </w:rPr>
      </w:pPr>
      <w:r w:rsidRPr="00C670CE">
        <w:rPr>
          <w:rFonts w:ascii="Times New Roman" w:eastAsia="Times New Roman" w:hAnsi="Times New Roman" w:cs="Times New Roman"/>
          <w:bCs/>
        </w:rPr>
        <w:t xml:space="preserve">A Ludovika Szabadegyetemen az intézmény hallgatói, oktatói, kutatói és külsős szakemberek személyesen is találkozhatnak és közvetlenül megoszthatják </w:t>
      </w:r>
      <w:r>
        <w:rPr>
          <w:rFonts w:ascii="Times New Roman" w:eastAsia="Times New Roman" w:hAnsi="Times New Roman" w:cs="Times New Roman"/>
          <w:bCs/>
        </w:rPr>
        <w:t xml:space="preserve">legújabb kutatási eredményeiket </w:t>
      </w:r>
      <w:r w:rsidRPr="00A0154C">
        <w:rPr>
          <w:rFonts w:ascii="Times New Roman" w:eastAsia="Times New Roman" w:hAnsi="Times New Roman" w:cs="Times New Roman"/>
          <w:bCs/>
          <w:i/>
        </w:rPr>
        <w:t>(With the help of „Ludovika” - University Open Courses students, professors, researchers of the university and the outsider experts can meet personally and share their latest research results directly.)</w:t>
      </w:r>
    </w:p>
    <w:p w:rsidR="00D537E1" w:rsidRPr="00BC6E7B" w:rsidRDefault="00D537E1" w:rsidP="00980876">
      <w:pPr>
        <w:widowControl w:val="0"/>
        <w:numPr>
          <w:ilvl w:val="0"/>
          <w:numId w:val="577"/>
        </w:numPr>
        <w:tabs>
          <w:tab w:val="num" w:pos="360"/>
        </w:tabs>
        <w:spacing w:before="120" w:after="120" w:line="240" w:lineRule="auto"/>
        <w:ind w:left="426" w:hanging="142"/>
        <w:jc w:val="both"/>
        <w:rPr>
          <w:rFonts w:ascii="Times New Roman" w:eastAsia="Times New Roman" w:hAnsi="Times New Roman" w:cs="Times New Roman"/>
          <w:bCs/>
        </w:rPr>
      </w:pPr>
      <w:r w:rsidRPr="00BC6E7B">
        <w:rPr>
          <w:rFonts w:ascii="Times New Roman" w:eastAsia="Times New Roman" w:hAnsi="Times New Roman" w:cs="Times New Roman"/>
          <w:b/>
          <w:bCs/>
        </w:rPr>
        <w:t>A tantárgy meghirdetésének gyakorisága/a tantervben történő félévi elhelyezkedése:</w:t>
      </w:r>
      <w:r>
        <w:rPr>
          <w:rFonts w:ascii="Times New Roman" w:eastAsia="Times New Roman" w:hAnsi="Times New Roman" w:cs="Times New Roman"/>
          <w:bCs/>
        </w:rPr>
        <w:t xml:space="preserve"> minden félévben felvehető</w:t>
      </w:r>
    </w:p>
    <w:p w:rsidR="00D537E1" w:rsidRDefault="00D537E1" w:rsidP="00980876">
      <w:pPr>
        <w:widowControl w:val="0"/>
        <w:numPr>
          <w:ilvl w:val="0"/>
          <w:numId w:val="577"/>
        </w:numPr>
        <w:tabs>
          <w:tab w:val="clear" w:pos="720"/>
          <w:tab w:val="num" w:pos="851"/>
        </w:tabs>
        <w:spacing w:before="120" w:after="120" w:line="240" w:lineRule="auto"/>
        <w:ind w:left="426" w:hanging="141"/>
        <w:jc w:val="both"/>
        <w:rPr>
          <w:rFonts w:ascii="Times New Roman" w:eastAsia="Times New Roman" w:hAnsi="Times New Roman" w:cs="Times New Roman"/>
          <w:bCs/>
        </w:rPr>
      </w:pPr>
      <w:r w:rsidRPr="00BC6E7B">
        <w:rPr>
          <w:rFonts w:ascii="Times New Roman" w:eastAsia="Times New Roman" w:hAnsi="Times New Roman" w:cs="Times New Roman"/>
          <w:b/>
          <w:bCs/>
        </w:rPr>
        <w:t>A tanórákon való részvétel követelményei, az elfogadható hiányzások mértéke, a távolmaradás pótlásának lehetősége:</w:t>
      </w:r>
      <w:r>
        <w:rPr>
          <w:rFonts w:ascii="Times New Roman" w:eastAsia="Times New Roman" w:hAnsi="Times New Roman" w:cs="Times New Roman"/>
          <w:b/>
          <w:bCs/>
        </w:rPr>
        <w:t xml:space="preserve"> </w:t>
      </w:r>
    </w:p>
    <w:p w:rsidR="00D537E1" w:rsidRPr="009A0DAC" w:rsidRDefault="00D537E1" w:rsidP="00D537E1">
      <w:pPr>
        <w:widowControl w:val="0"/>
        <w:spacing w:before="120" w:after="120" w:line="240" w:lineRule="auto"/>
        <w:ind w:left="426"/>
        <w:jc w:val="both"/>
        <w:rPr>
          <w:rFonts w:ascii="Times New Roman" w:eastAsia="Times New Roman" w:hAnsi="Times New Roman" w:cs="Times New Roman"/>
          <w:bCs/>
        </w:rPr>
      </w:pPr>
      <w:r w:rsidRPr="009A0DAC">
        <w:rPr>
          <w:rFonts w:ascii="Times New Roman" w:eastAsia="Times New Roman" w:hAnsi="Times New Roman" w:cs="Times New Roman"/>
          <w:bCs/>
        </w:rPr>
        <w:t>A</w:t>
      </w:r>
      <w:r>
        <w:rPr>
          <w:rFonts w:ascii="Times New Roman" w:eastAsia="Times New Roman" w:hAnsi="Times New Roman" w:cs="Times New Roman"/>
          <w:bCs/>
        </w:rPr>
        <w:t xml:space="preserve"> tantárgy teljesítéséhez a</w:t>
      </w:r>
      <w:r w:rsidRPr="009A0DAC">
        <w:rPr>
          <w:rFonts w:ascii="Times New Roman" w:eastAsia="Times New Roman" w:hAnsi="Times New Roman" w:cs="Times New Roman"/>
          <w:bCs/>
        </w:rPr>
        <w:t xml:space="preserve"> hallgató köteles az előadások legalább 60%-án részt venni. </w:t>
      </w:r>
      <w:r>
        <w:rPr>
          <w:rFonts w:ascii="Times New Roman" w:eastAsia="Times New Roman" w:hAnsi="Times New Roman" w:cs="Times New Roman"/>
          <w:bCs/>
        </w:rPr>
        <w:t xml:space="preserve">A hallgatónak a hiányzások pótlására nincs lehetősége. </w:t>
      </w:r>
      <w:r w:rsidRPr="009A0DAC">
        <w:rPr>
          <w:rFonts w:ascii="Times New Roman" w:eastAsia="Times New Roman" w:hAnsi="Times New Roman" w:cs="Times New Roman"/>
          <w:bCs/>
        </w:rPr>
        <w:t>Amennyiben a hallgató az elfogadható hiányzások mértékét túllépi, az aláírás</w:t>
      </w:r>
      <w:r>
        <w:rPr>
          <w:rFonts w:ascii="Times New Roman" w:eastAsia="Times New Roman" w:hAnsi="Times New Roman" w:cs="Times New Roman"/>
          <w:bCs/>
        </w:rPr>
        <w:t>t</w:t>
      </w:r>
      <w:r w:rsidRPr="009A0DAC">
        <w:rPr>
          <w:rFonts w:ascii="Times New Roman" w:eastAsia="Times New Roman" w:hAnsi="Times New Roman" w:cs="Times New Roman"/>
          <w:bCs/>
        </w:rPr>
        <w:t xml:space="preserve"> </w:t>
      </w:r>
      <w:r>
        <w:rPr>
          <w:rFonts w:ascii="Times New Roman" w:eastAsia="Times New Roman" w:hAnsi="Times New Roman" w:cs="Times New Roman"/>
          <w:bCs/>
        </w:rPr>
        <w:t>meg kell tagadni.</w:t>
      </w:r>
      <w:r w:rsidRPr="009A0DAC">
        <w:rPr>
          <w:rFonts w:ascii="Times New Roman" w:eastAsia="Times New Roman" w:hAnsi="Times New Roman" w:cs="Times New Roman"/>
          <w:bCs/>
        </w:rPr>
        <w:t xml:space="preserve"> </w:t>
      </w:r>
    </w:p>
    <w:p w:rsidR="00D537E1" w:rsidRPr="00FE3FD8" w:rsidRDefault="00D537E1" w:rsidP="00980876">
      <w:pPr>
        <w:widowControl w:val="0"/>
        <w:numPr>
          <w:ilvl w:val="0"/>
          <w:numId w:val="577"/>
        </w:numPr>
        <w:tabs>
          <w:tab w:val="num" w:pos="360"/>
        </w:tabs>
        <w:spacing w:before="120" w:after="120" w:line="240" w:lineRule="auto"/>
        <w:ind w:left="426" w:hanging="142"/>
        <w:jc w:val="both"/>
        <w:rPr>
          <w:rFonts w:ascii="Times New Roman" w:eastAsia="Times New Roman" w:hAnsi="Times New Roman" w:cs="Times New Roman"/>
          <w:bCs/>
        </w:rPr>
      </w:pPr>
      <w:r w:rsidRPr="00BC6E7B">
        <w:rPr>
          <w:rFonts w:ascii="Times New Roman" w:eastAsia="Times New Roman" w:hAnsi="Times New Roman" w:cs="Times New Roman"/>
          <w:b/>
        </w:rPr>
        <w:t>Félévközi feladatok, ismeretek ellenőrzésének rendje:</w:t>
      </w:r>
    </w:p>
    <w:p w:rsidR="00D537E1" w:rsidRDefault="00D537E1" w:rsidP="00D537E1">
      <w:pPr>
        <w:widowControl w:val="0"/>
        <w:tabs>
          <w:tab w:val="left" w:pos="993"/>
        </w:tabs>
        <w:spacing w:before="120" w:after="120" w:line="240" w:lineRule="auto"/>
        <w:ind w:left="426"/>
        <w:jc w:val="both"/>
        <w:rPr>
          <w:rFonts w:ascii="Times New Roman" w:eastAsia="Times New Roman" w:hAnsi="Times New Roman" w:cs="Times New Roman"/>
        </w:rPr>
      </w:pPr>
      <w:r w:rsidRPr="00A8214D">
        <w:rPr>
          <w:rFonts w:ascii="Times New Roman" w:eastAsia="Times New Roman" w:hAnsi="Times New Roman" w:cs="Times New Roman"/>
        </w:rPr>
        <w:t xml:space="preserve">A hallgató a foglalkozások végén teszt kitöltésével igazolja a részvételét és számot ad az előadás releváns tudásanyagából. </w:t>
      </w:r>
      <w:r>
        <w:rPr>
          <w:rFonts w:ascii="Times New Roman" w:eastAsia="Times New Roman" w:hAnsi="Times New Roman" w:cs="Times New Roman"/>
        </w:rPr>
        <w:t xml:space="preserve">A tesztek során megszerzett pontszámok képezik a félévközi jegy alapját. </w:t>
      </w:r>
      <w:r w:rsidRPr="00A8214D">
        <w:rPr>
          <w:rFonts w:ascii="Times New Roman" w:eastAsia="Times New Roman" w:hAnsi="Times New Roman" w:cs="Times New Roman"/>
        </w:rPr>
        <w:t>A tantárgy teljesítéséhez szükséges aláírás akkor adható meg, ha a hallgató legalább az előadások 60%-án megjelent</w:t>
      </w:r>
      <w:r>
        <w:rPr>
          <w:rFonts w:ascii="Times New Roman" w:eastAsia="Times New Roman" w:hAnsi="Times New Roman" w:cs="Times New Roman"/>
        </w:rPr>
        <w:t>.</w:t>
      </w:r>
    </w:p>
    <w:p w:rsidR="00D537E1" w:rsidRDefault="00D537E1" w:rsidP="00980876">
      <w:pPr>
        <w:widowControl w:val="0"/>
        <w:numPr>
          <w:ilvl w:val="0"/>
          <w:numId w:val="577"/>
        </w:numPr>
        <w:spacing w:before="120" w:after="120" w:line="240" w:lineRule="auto"/>
        <w:ind w:left="426" w:hanging="142"/>
        <w:jc w:val="both"/>
        <w:rPr>
          <w:rFonts w:ascii="Times New Roman" w:eastAsia="Times New Roman" w:hAnsi="Times New Roman" w:cs="Times New Roman"/>
          <w:b/>
          <w:bCs/>
        </w:rPr>
      </w:pPr>
      <w:r w:rsidRPr="00BC6E7B">
        <w:rPr>
          <w:rFonts w:ascii="Times New Roman" w:eastAsia="Times New Roman" w:hAnsi="Times New Roman" w:cs="Times New Roman"/>
          <w:b/>
          <w:bCs/>
        </w:rPr>
        <w:t xml:space="preserve">Az értékelés, az aláírás és a kreditek megszerzésének pontos feltételei: </w:t>
      </w:r>
    </w:p>
    <w:p w:rsidR="00D537E1" w:rsidRDefault="00D537E1" w:rsidP="00980876">
      <w:pPr>
        <w:widowControl w:val="0"/>
        <w:numPr>
          <w:ilvl w:val="1"/>
          <w:numId w:val="577"/>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BC6E7B">
        <w:rPr>
          <w:rFonts w:ascii="Times New Roman" w:eastAsia="Times New Roman" w:hAnsi="Times New Roman" w:cs="Times New Roman"/>
          <w:b/>
        </w:rPr>
        <w:t>Az aláírás megszerzésének feltételei:</w:t>
      </w:r>
    </w:p>
    <w:p w:rsidR="00D537E1" w:rsidRDefault="00D537E1" w:rsidP="00D537E1">
      <w:pPr>
        <w:widowControl w:val="0"/>
        <w:tabs>
          <w:tab w:val="left" w:pos="993"/>
        </w:tabs>
        <w:spacing w:before="120" w:after="120" w:line="240" w:lineRule="auto"/>
        <w:ind w:left="426"/>
        <w:jc w:val="both"/>
        <w:rPr>
          <w:rFonts w:ascii="Times New Roman" w:eastAsia="Times New Roman" w:hAnsi="Times New Roman" w:cs="Times New Roman"/>
        </w:rPr>
      </w:pPr>
      <w:r w:rsidRPr="00A8214D">
        <w:rPr>
          <w:rFonts w:ascii="Times New Roman" w:eastAsia="Times New Roman" w:hAnsi="Times New Roman" w:cs="Times New Roman"/>
        </w:rPr>
        <w:t>A hallgató</w:t>
      </w:r>
      <w:r>
        <w:rPr>
          <w:rFonts w:ascii="Times New Roman" w:eastAsia="Times New Roman" w:hAnsi="Times New Roman" w:cs="Times New Roman"/>
        </w:rPr>
        <w:t xml:space="preserve"> számára az aláírás akkor adható meg, ha az előadások 60%-án megjelent. </w:t>
      </w:r>
    </w:p>
    <w:p w:rsidR="00D537E1" w:rsidRPr="00A8214D" w:rsidRDefault="00D537E1" w:rsidP="00980876">
      <w:pPr>
        <w:widowControl w:val="0"/>
        <w:numPr>
          <w:ilvl w:val="1"/>
          <w:numId w:val="577"/>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BC6E7B">
        <w:rPr>
          <w:rFonts w:ascii="Times New Roman" w:eastAsia="Times New Roman" w:hAnsi="Times New Roman" w:cs="Times New Roman"/>
          <w:b/>
        </w:rPr>
        <w:t>Az értékelés:</w:t>
      </w:r>
      <w:r w:rsidRPr="00BC6E7B">
        <w:rPr>
          <w:rFonts w:ascii="Times New Roman" w:eastAsia="Times New Roman" w:hAnsi="Times New Roman" w:cs="Times New Roman"/>
        </w:rPr>
        <w:t xml:space="preserve"> </w:t>
      </w:r>
      <w:r>
        <w:rPr>
          <w:rFonts w:ascii="Times New Roman" w:eastAsia="Times New Roman" w:hAnsi="Times New Roman" w:cs="Times New Roman"/>
        </w:rPr>
        <w:t>Évközi értékelés</w:t>
      </w:r>
      <w:r w:rsidR="00E65CE8">
        <w:rPr>
          <w:rFonts w:ascii="Times New Roman" w:eastAsia="Times New Roman" w:hAnsi="Times New Roman" w:cs="Times New Roman"/>
        </w:rPr>
        <w:t>.</w:t>
      </w:r>
    </w:p>
    <w:p w:rsidR="00D537E1" w:rsidRDefault="00D537E1" w:rsidP="00D537E1">
      <w:pPr>
        <w:widowControl w:val="0"/>
        <w:tabs>
          <w:tab w:val="left" w:pos="993"/>
        </w:tabs>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 xml:space="preserve">A hallgatók a foglalkozások végén egy feleletválasztós teszt kitöltésével adnak számot </w:t>
      </w:r>
      <w:r w:rsidRPr="005B3FCA">
        <w:rPr>
          <w:rFonts w:ascii="Times New Roman" w:eastAsia="Times New Roman" w:hAnsi="Times New Roman" w:cs="Times New Roman"/>
        </w:rPr>
        <w:t>az előadás releváns tudásanyagából</w:t>
      </w:r>
      <w:r>
        <w:rPr>
          <w:rFonts w:ascii="Times New Roman" w:eastAsia="Times New Roman" w:hAnsi="Times New Roman" w:cs="Times New Roman"/>
        </w:rPr>
        <w:t xml:space="preserve">. A tesztek során megszerzett pontszámok képezik a félévközi jegy alapját. A tantárgy teljesítésének minimum követelménye </w:t>
      </w:r>
      <w:r w:rsidRPr="00A1241E">
        <w:rPr>
          <w:rFonts w:ascii="Times New Roman" w:eastAsia="Times New Roman" w:hAnsi="Times New Roman" w:cs="Times New Roman"/>
        </w:rPr>
        <w:t>az elérhető pontok 60%-ának megszerzése</w:t>
      </w:r>
      <w:r>
        <w:rPr>
          <w:rFonts w:ascii="Times New Roman" w:eastAsia="Times New Roman" w:hAnsi="Times New Roman" w:cs="Times New Roman"/>
        </w:rPr>
        <w:t>.</w:t>
      </w:r>
      <w:r w:rsidRPr="00F62637">
        <w:rPr>
          <w:rFonts w:ascii="Times New Roman" w:eastAsia="Times New Roman" w:hAnsi="Times New Roman" w:cs="Times New Roman"/>
        </w:rPr>
        <w:t xml:space="preserve"> </w:t>
      </w:r>
      <w:r>
        <w:rPr>
          <w:rFonts w:ascii="Times New Roman" w:eastAsia="Times New Roman" w:hAnsi="Times New Roman" w:cs="Times New Roman"/>
        </w:rPr>
        <w:t>Az értékelés ponthatárai a következők:</w:t>
      </w:r>
      <w:r w:rsidRPr="00A1241E">
        <w:rPr>
          <w:rFonts w:ascii="Times New Roman" w:eastAsia="Times New Roman" w:hAnsi="Times New Roman" w:cs="Times New Roman"/>
        </w:rPr>
        <w:t xml:space="preserve"> </w:t>
      </w:r>
      <w:r>
        <w:rPr>
          <w:rFonts w:ascii="Times New Roman" w:eastAsia="Times New Roman" w:hAnsi="Times New Roman" w:cs="Times New Roman"/>
        </w:rPr>
        <w:t>elégtelen</w:t>
      </w:r>
      <w:r w:rsidRPr="00A1241E">
        <w:rPr>
          <w:rFonts w:ascii="Times New Roman" w:eastAsia="Times New Roman" w:hAnsi="Times New Roman" w:cs="Times New Roman"/>
        </w:rPr>
        <w:t xml:space="preserve"> 60%-ig, </w:t>
      </w:r>
      <w:r>
        <w:rPr>
          <w:rFonts w:ascii="Times New Roman" w:eastAsia="Times New Roman" w:hAnsi="Times New Roman" w:cs="Times New Roman"/>
        </w:rPr>
        <w:t>elégséges 70%-ig, közepes 80%-ig, jó 90%-ig, jeles</w:t>
      </w:r>
      <w:r w:rsidRPr="00A1241E">
        <w:rPr>
          <w:rFonts w:ascii="Times New Roman" w:eastAsia="Times New Roman" w:hAnsi="Times New Roman" w:cs="Times New Roman"/>
        </w:rPr>
        <w:t xml:space="preserve"> 91%-tól.</w:t>
      </w:r>
    </w:p>
    <w:p w:rsidR="00D537E1" w:rsidRDefault="00D537E1" w:rsidP="00D537E1">
      <w:pPr>
        <w:rPr>
          <w:rFonts w:ascii="Times New Roman" w:eastAsia="Times New Roman" w:hAnsi="Times New Roman" w:cs="Times New Roman"/>
          <w:b/>
        </w:rPr>
      </w:pPr>
    </w:p>
    <w:p w:rsidR="00D537E1" w:rsidRDefault="00D537E1" w:rsidP="00980876">
      <w:pPr>
        <w:widowControl w:val="0"/>
        <w:numPr>
          <w:ilvl w:val="1"/>
          <w:numId w:val="577"/>
        </w:numPr>
        <w:tabs>
          <w:tab w:val="clear" w:pos="3977"/>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BC6E7B">
        <w:rPr>
          <w:rFonts w:ascii="Times New Roman" w:eastAsia="Times New Roman" w:hAnsi="Times New Roman" w:cs="Times New Roman"/>
          <w:b/>
        </w:rPr>
        <w:lastRenderedPageBreak/>
        <w:t>A kreditek megszerzésének feltételei:</w:t>
      </w:r>
      <w:r w:rsidRPr="00BC6E7B">
        <w:rPr>
          <w:rFonts w:ascii="Times New Roman" w:eastAsia="Times New Roman" w:hAnsi="Times New Roman" w:cs="Times New Roman"/>
        </w:rPr>
        <w:t xml:space="preserve"> </w:t>
      </w:r>
    </w:p>
    <w:p w:rsidR="00D537E1" w:rsidRPr="00F62637" w:rsidRDefault="00D537E1" w:rsidP="00D537E1">
      <w:pPr>
        <w:widowControl w:val="0"/>
        <w:tabs>
          <w:tab w:val="left" w:pos="993"/>
        </w:tabs>
        <w:spacing w:before="120" w:after="120" w:line="240" w:lineRule="auto"/>
        <w:ind w:left="426"/>
        <w:jc w:val="both"/>
        <w:rPr>
          <w:rFonts w:ascii="Times New Roman" w:eastAsia="Times New Roman" w:hAnsi="Times New Roman" w:cs="Times New Roman"/>
        </w:rPr>
      </w:pPr>
      <w:r>
        <w:rPr>
          <w:rFonts w:ascii="Times New Roman" w:eastAsia="Times New Roman" w:hAnsi="Times New Roman" w:cs="Times New Roman"/>
        </w:rPr>
        <w:t xml:space="preserve">A kreditek megszerzésének feltétele az aláírás és a </w:t>
      </w:r>
      <w:r w:rsidRPr="006562B1">
        <w:rPr>
          <w:rFonts w:ascii="Times New Roman" w:eastAsia="Times New Roman" w:hAnsi="Times New Roman" w:cs="Times New Roman"/>
        </w:rPr>
        <w:t xml:space="preserve">legalább elégséges </w:t>
      </w:r>
      <w:r>
        <w:rPr>
          <w:rFonts w:ascii="Times New Roman" w:eastAsia="Times New Roman" w:hAnsi="Times New Roman" w:cs="Times New Roman"/>
        </w:rPr>
        <w:t xml:space="preserve">félévközi </w:t>
      </w:r>
      <w:r w:rsidRPr="006562B1">
        <w:rPr>
          <w:rFonts w:ascii="Times New Roman" w:eastAsia="Times New Roman" w:hAnsi="Times New Roman" w:cs="Times New Roman"/>
        </w:rPr>
        <w:t>jegy megszerzése</w:t>
      </w:r>
      <w:r>
        <w:rPr>
          <w:rFonts w:ascii="Times New Roman" w:eastAsia="Times New Roman" w:hAnsi="Times New Roman" w:cs="Times New Roman"/>
        </w:rPr>
        <w:t>.</w:t>
      </w:r>
    </w:p>
    <w:p w:rsidR="00D537E1" w:rsidRPr="002D5BCA" w:rsidRDefault="00D537E1" w:rsidP="00980876">
      <w:pPr>
        <w:widowControl w:val="0"/>
        <w:numPr>
          <w:ilvl w:val="0"/>
          <w:numId w:val="577"/>
        </w:numPr>
        <w:tabs>
          <w:tab w:val="num" w:pos="360"/>
        </w:tabs>
        <w:spacing w:before="120" w:after="120" w:line="240" w:lineRule="auto"/>
        <w:ind w:left="426" w:hanging="142"/>
        <w:jc w:val="both"/>
        <w:rPr>
          <w:rFonts w:ascii="Times New Roman" w:eastAsia="Times New Roman" w:hAnsi="Times New Roman" w:cs="Times New Roman"/>
          <w:bCs/>
        </w:rPr>
      </w:pPr>
      <w:r w:rsidRPr="00BC6E7B">
        <w:rPr>
          <w:rFonts w:ascii="Times New Roman" w:eastAsia="Times New Roman" w:hAnsi="Times New Roman" w:cs="Times New Roman"/>
          <w:b/>
          <w:bCs/>
        </w:rPr>
        <w:t>Irodalomjegyzék:</w:t>
      </w:r>
    </w:p>
    <w:p w:rsidR="00D537E1" w:rsidRDefault="00D537E1" w:rsidP="00980876">
      <w:pPr>
        <w:widowControl w:val="0"/>
        <w:numPr>
          <w:ilvl w:val="1"/>
          <w:numId w:val="577"/>
        </w:numPr>
        <w:tabs>
          <w:tab w:val="clear" w:pos="3977"/>
          <w:tab w:val="num" w:pos="567"/>
          <w:tab w:val="num" w:pos="2069"/>
        </w:tabs>
        <w:spacing w:before="120" w:after="120" w:line="240" w:lineRule="auto"/>
        <w:ind w:left="993" w:hanging="709"/>
        <w:jc w:val="both"/>
        <w:rPr>
          <w:rFonts w:ascii="Times New Roman" w:eastAsia="Times New Roman" w:hAnsi="Times New Roman" w:cs="Times New Roman"/>
          <w:b/>
          <w:bCs/>
        </w:rPr>
      </w:pPr>
      <w:r>
        <w:rPr>
          <w:rFonts w:ascii="Times New Roman" w:eastAsia="Times New Roman" w:hAnsi="Times New Roman" w:cs="Times New Roman"/>
          <w:b/>
          <w:bCs/>
        </w:rPr>
        <w:t>Kötelező</w:t>
      </w:r>
      <w:r w:rsidRPr="00BC6E7B">
        <w:rPr>
          <w:rFonts w:ascii="Times New Roman" w:eastAsia="Times New Roman" w:hAnsi="Times New Roman" w:cs="Times New Roman"/>
          <w:b/>
          <w:bCs/>
        </w:rPr>
        <w:t xml:space="preserve"> irodalom:</w:t>
      </w:r>
      <w:r>
        <w:rPr>
          <w:rFonts w:ascii="Times New Roman" w:eastAsia="Times New Roman" w:hAnsi="Times New Roman" w:cs="Times New Roman"/>
          <w:b/>
          <w:bCs/>
        </w:rPr>
        <w:t xml:space="preserve"> </w:t>
      </w:r>
    </w:p>
    <w:p w:rsidR="00D537E1" w:rsidRDefault="00D537E1" w:rsidP="00980876">
      <w:pPr>
        <w:pStyle w:val="Listaszerbekezds"/>
        <w:widowControl w:val="0"/>
        <w:numPr>
          <w:ilvl w:val="0"/>
          <w:numId w:val="574"/>
        </w:numPr>
        <w:spacing w:before="120" w:after="120" w:line="240" w:lineRule="auto"/>
        <w:ind w:left="851"/>
        <w:jc w:val="both"/>
        <w:rPr>
          <w:rFonts w:ascii="Times New Roman" w:eastAsia="Times New Roman" w:hAnsi="Times New Roman" w:cs="Times New Roman"/>
        </w:rPr>
      </w:pPr>
      <w:r w:rsidRPr="000676D4">
        <w:rPr>
          <w:rFonts w:ascii="Times New Roman" w:eastAsia="Times New Roman" w:hAnsi="Times New Roman" w:cs="Times New Roman"/>
        </w:rPr>
        <w:t xml:space="preserve">A Szabadegyetem jellegéből fakadóan előre nem meghatározható a </w:t>
      </w:r>
      <w:r>
        <w:rPr>
          <w:rFonts w:ascii="Times New Roman" w:eastAsia="Times New Roman" w:hAnsi="Times New Roman" w:cs="Times New Roman"/>
        </w:rPr>
        <w:t xml:space="preserve">kötelező </w:t>
      </w:r>
      <w:r w:rsidRPr="000676D4">
        <w:rPr>
          <w:rFonts w:ascii="Times New Roman" w:eastAsia="Times New Roman" w:hAnsi="Times New Roman" w:cs="Times New Roman"/>
        </w:rPr>
        <w:t>irodalom.</w:t>
      </w:r>
    </w:p>
    <w:p w:rsidR="00D537E1" w:rsidRDefault="00D537E1" w:rsidP="00980876">
      <w:pPr>
        <w:pStyle w:val="Listaszerbekezds"/>
        <w:widowControl w:val="0"/>
        <w:numPr>
          <w:ilvl w:val="0"/>
          <w:numId w:val="574"/>
        </w:numPr>
        <w:spacing w:before="120" w:after="120" w:line="240" w:lineRule="auto"/>
        <w:ind w:left="851"/>
        <w:jc w:val="both"/>
        <w:rPr>
          <w:rFonts w:ascii="Times New Roman" w:eastAsia="Times New Roman" w:hAnsi="Times New Roman" w:cs="Times New Roman"/>
        </w:rPr>
      </w:pPr>
      <w:r w:rsidRPr="00AF4D8C">
        <w:rPr>
          <w:rFonts w:ascii="Times New Roman" w:eastAsia="Times New Roman" w:hAnsi="Times New Roman" w:cs="Times New Roman"/>
        </w:rPr>
        <w:t>A tantárgy elsődleges szakirodalmát az előadásokon elhangzott ismeretanyag képezi. További irodalmat képezhetnek az előadások prezentációi, az előadásokról készített videóanyagok, amelyek a lehetőségek függvényében a rendelkezésre álló elektronikus felületre feltöltésre kerülnek.</w:t>
      </w:r>
    </w:p>
    <w:p w:rsidR="00D537E1" w:rsidRPr="00BC6E7B" w:rsidRDefault="00D537E1" w:rsidP="00980876">
      <w:pPr>
        <w:widowControl w:val="0"/>
        <w:numPr>
          <w:ilvl w:val="1"/>
          <w:numId w:val="577"/>
        </w:numPr>
        <w:tabs>
          <w:tab w:val="clear" w:pos="3977"/>
          <w:tab w:val="num" w:pos="567"/>
          <w:tab w:val="num" w:pos="2069"/>
        </w:tabs>
        <w:spacing w:before="120" w:after="120" w:line="240" w:lineRule="auto"/>
        <w:ind w:left="993" w:hanging="709"/>
        <w:jc w:val="both"/>
        <w:rPr>
          <w:rFonts w:ascii="Times New Roman" w:eastAsia="Times New Roman" w:hAnsi="Times New Roman" w:cs="Times New Roman"/>
          <w:b/>
          <w:bCs/>
        </w:rPr>
      </w:pPr>
      <w:r w:rsidRPr="00BC6E7B">
        <w:rPr>
          <w:rFonts w:ascii="Times New Roman" w:eastAsia="Times New Roman" w:hAnsi="Times New Roman" w:cs="Times New Roman"/>
          <w:b/>
          <w:bCs/>
        </w:rPr>
        <w:t>Ajánlott irodalom:</w:t>
      </w:r>
    </w:p>
    <w:p w:rsidR="00D537E1" w:rsidRDefault="00D537E1" w:rsidP="00980876">
      <w:pPr>
        <w:pStyle w:val="Listaszerbekezds"/>
        <w:widowControl w:val="0"/>
        <w:numPr>
          <w:ilvl w:val="0"/>
          <w:numId w:val="576"/>
        </w:numPr>
        <w:spacing w:before="120" w:after="120" w:line="240" w:lineRule="auto"/>
        <w:ind w:left="851"/>
        <w:jc w:val="both"/>
        <w:rPr>
          <w:rFonts w:ascii="Times New Roman" w:eastAsia="Times New Roman" w:hAnsi="Times New Roman" w:cs="Times New Roman"/>
        </w:rPr>
      </w:pPr>
      <w:r w:rsidRPr="000676D4">
        <w:rPr>
          <w:rFonts w:ascii="Times New Roman" w:eastAsia="Times New Roman" w:hAnsi="Times New Roman" w:cs="Times New Roman"/>
        </w:rPr>
        <w:t>A Szabadegyetem jellegéből fakadóan előre nem meghatározható a</w:t>
      </w:r>
      <w:r>
        <w:rPr>
          <w:rFonts w:ascii="Times New Roman" w:eastAsia="Times New Roman" w:hAnsi="Times New Roman" w:cs="Times New Roman"/>
        </w:rPr>
        <w:t>z ajánlott</w:t>
      </w:r>
      <w:r w:rsidRPr="000676D4">
        <w:rPr>
          <w:rFonts w:ascii="Times New Roman" w:eastAsia="Times New Roman" w:hAnsi="Times New Roman" w:cs="Times New Roman"/>
        </w:rPr>
        <w:t xml:space="preserve"> irodalom.</w:t>
      </w:r>
    </w:p>
    <w:p w:rsidR="00D537E1" w:rsidRDefault="00D537E1" w:rsidP="00980876">
      <w:pPr>
        <w:pStyle w:val="Listaszerbekezds"/>
        <w:widowControl w:val="0"/>
        <w:numPr>
          <w:ilvl w:val="0"/>
          <w:numId w:val="576"/>
        </w:numPr>
        <w:spacing w:before="120" w:after="120" w:line="240" w:lineRule="auto"/>
        <w:ind w:left="851"/>
        <w:jc w:val="both"/>
        <w:rPr>
          <w:rFonts w:ascii="Times New Roman" w:eastAsia="Times New Roman" w:hAnsi="Times New Roman" w:cs="Times New Roman"/>
        </w:rPr>
      </w:pPr>
      <w:r w:rsidRPr="00AF4D8C">
        <w:rPr>
          <w:rFonts w:ascii="Times New Roman" w:eastAsia="Times New Roman" w:hAnsi="Times New Roman" w:cs="Times New Roman"/>
        </w:rPr>
        <w:t>A tantárgy elsődleges szakirodalmát az előadásokon elhangzott ismeretanyag képezi. További irodalmat képezhetnek az előadások prezentációi, az előadásokról készített videóanyagok, amelyek a lehetőségek függvényében a rendelkezésre álló elektronikus felületre feltöltésre kerülnek.</w:t>
      </w:r>
    </w:p>
    <w:p w:rsidR="00D537E1" w:rsidRPr="000676D4" w:rsidRDefault="00D537E1" w:rsidP="00D537E1">
      <w:pPr>
        <w:pStyle w:val="Listaszerbekezds"/>
        <w:widowControl w:val="0"/>
        <w:spacing w:before="120" w:after="120" w:line="240" w:lineRule="auto"/>
        <w:ind w:left="851"/>
        <w:jc w:val="both"/>
        <w:rPr>
          <w:rFonts w:ascii="Times New Roman" w:eastAsia="Times New Roman" w:hAnsi="Times New Roman" w:cs="Times New Roman"/>
        </w:rPr>
      </w:pPr>
    </w:p>
    <w:p w:rsidR="00D537E1" w:rsidRPr="00BC6E7B" w:rsidRDefault="00D537E1" w:rsidP="00D537E1">
      <w:pPr>
        <w:widowControl w:val="0"/>
        <w:spacing w:before="120" w:after="120" w:line="240" w:lineRule="auto"/>
        <w:ind w:firstLine="491"/>
        <w:jc w:val="both"/>
        <w:rPr>
          <w:rFonts w:ascii="Times New Roman" w:eastAsia="Times New Roman" w:hAnsi="Times New Roman" w:cs="Times New Roman"/>
          <w:bCs/>
        </w:rPr>
      </w:pPr>
      <w:r w:rsidRPr="00AF4D8C">
        <w:rPr>
          <w:rFonts w:ascii="Times New Roman" w:eastAsia="Times New Roman" w:hAnsi="Times New Roman" w:cs="Times New Roman"/>
          <w:bCs/>
        </w:rPr>
        <w:t xml:space="preserve">Budapest, 2020. január </w:t>
      </w:r>
      <w:r>
        <w:rPr>
          <w:rFonts w:ascii="Times New Roman" w:eastAsia="Times New Roman" w:hAnsi="Times New Roman" w:cs="Times New Roman"/>
          <w:bCs/>
        </w:rPr>
        <w:t>31.</w:t>
      </w:r>
    </w:p>
    <w:p w:rsidR="00D537E1" w:rsidRPr="00BC6E7B" w:rsidRDefault="00D537E1" w:rsidP="00D537E1">
      <w:pPr>
        <w:widowControl w:val="0"/>
        <w:spacing w:before="120" w:after="120" w:line="240" w:lineRule="auto"/>
        <w:jc w:val="both"/>
        <w:rPr>
          <w:rFonts w:ascii="Times New Roman" w:eastAsia="Times New Roman" w:hAnsi="Times New Roman" w:cs="Times New Roman"/>
          <w:bCs/>
        </w:rPr>
      </w:pPr>
    </w:p>
    <w:p w:rsidR="00D537E1" w:rsidRPr="002D5BCA" w:rsidRDefault="00D537E1" w:rsidP="00D537E1">
      <w:pPr>
        <w:widowControl w:val="0"/>
        <w:spacing w:after="0" w:line="240" w:lineRule="auto"/>
        <w:ind w:right="567" w:firstLine="5103"/>
        <w:jc w:val="center"/>
        <w:rPr>
          <w:rFonts w:ascii="Times New Roman" w:eastAsia="Times New Roman" w:hAnsi="Times New Roman" w:cs="Times New Roman"/>
          <w:b/>
          <w:bCs/>
        </w:rPr>
      </w:pPr>
      <w:r w:rsidRPr="002D5BCA">
        <w:rPr>
          <w:rFonts w:ascii="Times New Roman" w:eastAsia="Times New Roman" w:hAnsi="Times New Roman" w:cs="Times New Roman"/>
          <w:b/>
          <w:bCs/>
        </w:rPr>
        <w:t>Dr. Csikány Tamás ezredes sk.</w:t>
      </w:r>
    </w:p>
    <w:p w:rsidR="00D537E1" w:rsidRPr="00BC6E7B" w:rsidRDefault="00D537E1" w:rsidP="00D537E1">
      <w:pPr>
        <w:widowControl w:val="0"/>
        <w:spacing w:after="0" w:line="240" w:lineRule="auto"/>
        <w:ind w:right="567" w:firstLine="5103"/>
        <w:jc w:val="center"/>
        <w:rPr>
          <w:rFonts w:ascii="Times New Roman" w:eastAsia="Times New Roman" w:hAnsi="Times New Roman" w:cs="Times New Roman"/>
          <w:bCs/>
        </w:rPr>
      </w:pPr>
      <w:r w:rsidRPr="000676D4">
        <w:rPr>
          <w:rFonts w:ascii="Times New Roman" w:eastAsia="Times New Roman" w:hAnsi="Times New Roman" w:cs="Times New Roman"/>
          <w:bCs/>
        </w:rPr>
        <w:t>tudományos rektorhelyettes</w:t>
      </w:r>
    </w:p>
    <w:p w:rsidR="00903171" w:rsidRDefault="00903171">
      <w:pPr>
        <w:spacing w:after="200" w:line="276" w:lineRule="auto"/>
        <w:rPr>
          <w:rFonts w:ascii="Times New Roman" w:hAnsi="Times New Roman" w:cs="Times New Roman"/>
        </w:rPr>
      </w:pPr>
      <w:r>
        <w:rPr>
          <w:rFonts w:ascii="Times New Roman" w:hAnsi="Times New Roman" w:cs="Times New Roman"/>
        </w:rPr>
        <w:br w:type="page"/>
      </w:r>
    </w:p>
    <w:tbl>
      <w:tblPr>
        <w:tblW w:w="9072" w:type="dxa"/>
        <w:tblInd w:w="113" w:type="dxa"/>
        <w:tblLook w:val="01E0" w:firstRow="1" w:lastRow="1" w:firstColumn="1" w:lastColumn="1" w:noHBand="0" w:noVBand="0"/>
      </w:tblPr>
      <w:tblGrid>
        <w:gridCol w:w="4855"/>
        <w:gridCol w:w="1620"/>
        <w:gridCol w:w="2597"/>
      </w:tblGrid>
      <w:tr w:rsidR="00903171" w:rsidRPr="00850EC7" w:rsidTr="00D9638D">
        <w:tc>
          <w:tcPr>
            <w:tcW w:w="4855" w:type="dxa"/>
            <w:tcBorders>
              <w:bottom w:val="single" w:sz="4" w:space="0" w:color="auto"/>
            </w:tcBorders>
          </w:tcPr>
          <w:p w:rsidR="00903171" w:rsidRPr="00850EC7" w:rsidRDefault="00903171" w:rsidP="00D9638D">
            <w:pPr>
              <w:spacing w:after="0" w:line="240" w:lineRule="auto"/>
              <w:jc w:val="center"/>
              <w:rPr>
                <w:rFonts w:ascii="Times New Roman" w:eastAsia="Times New Roman" w:hAnsi="Times New Roman" w:cs="Times New Roman"/>
                <w:b/>
                <w:smallCaps/>
                <w:lang w:val="en-US" w:eastAsia="hu-HU"/>
              </w:rPr>
            </w:pPr>
            <w:r w:rsidRPr="00850EC7">
              <w:rPr>
                <w:rFonts w:ascii="Times New Roman" w:eastAsia="Times New Roman" w:hAnsi="Times New Roman" w:cs="Times New Roman"/>
                <w:b/>
                <w:smallCaps/>
                <w:lang w:val="en-US" w:eastAsia="hu-HU"/>
              </w:rPr>
              <w:lastRenderedPageBreak/>
              <w:t>UNIVERSITY OF PUBLIC SERVICE</w:t>
            </w:r>
          </w:p>
        </w:tc>
        <w:tc>
          <w:tcPr>
            <w:tcW w:w="1620" w:type="dxa"/>
          </w:tcPr>
          <w:p w:rsidR="00903171" w:rsidRPr="00850EC7" w:rsidRDefault="00903171" w:rsidP="00D9638D">
            <w:pPr>
              <w:spacing w:after="0" w:line="240" w:lineRule="auto"/>
              <w:jc w:val="both"/>
              <w:rPr>
                <w:rFonts w:ascii="Times New Roman" w:eastAsia="Times New Roman" w:hAnsi="Times New Roman" w:cs="Times New Roman"/>
                <w:lang w:val="en-US" w:eastAsia="hu-HU"/>
              </w:rPr>
            </w:pPr>
          </w:p>
        </w:tc>
        <w:tc>
          <w:tcPr>
            <w:tcW w:w="2597" w:type="dxa"/>
          </w:tcPr>
          <w:p w:rsidR="00903171" w:rsidRPr="00850EC7" w:rsidRDefault="00903171" w:rsidP="00D9638D">
            <w:pPr>
              <w:spacing w:after="0" w:line="240" w:lineRule="auto"/>
              <w:jc w:val="right"/>
              <w:rPr>
                <w:rFonts w:ascii="Times New Roman" w:eastAsia="Times New Roman" w:hAnsi="Times New Roman" w:cs="Times New Roman"/>
                <w:lang w:val="en-US" w:eastAsia="hu-HU"/>
              </w:rPr>
            </w:pPr>
          </w:p>
        </w:tc>
      </w:tr>
      <w:tr w:rsidR="00903171" w:rsidRPr="00850EC7" w:rsidTr="00D9638D">
        <w:tc>
          <w:tcPr>
            <w:tcW w:w="4855" w:type="dxa"/>
            <w:tcBorders>
              <w:top w:val="single" w:sz="4" w:space="0" w:color="auto"/>
            </w:tcBorders>
          </w:tcPr>
          <w:p w:rsidR="00903171" w:rsidRPr="00850EC7" w:rsidRDefault="00903171" w:rsidP="00D9638D">
            <w:pPr>
              <w:spacing w:after="0" w:line="240" w:lineRule="auto"/>
              <w:jc w:val="center"/>
              <w:rPr>
                <w:rFonts w:ascii="Times New Roman" w:eastAsia="Times New Roman" w:hAnsi="Times New Roman" w:cs="Times New Roman"/>
                <w:b/>
                <w:lang w:val="en-US" w:eastAsia="hu-HU"/>
              </w:rPr>
            </w:pPr>
            <w:r w:rsidRPr="00850EC7">
              <w:rPr>
                <w:rFonts w:ascii="Times New Roman" w:eastAsia="Times New Roman" w:hAnsi="Times New Roman" w:cs="Times New Roman"/>
                <w:b/>
                <w:lang w:val="en-US" w:eastAsia="hu-HU"/>
              </w:rPr>
              <w:t>Faculty of Military Science and Officer Training</w:t>
            </w:r>
          </w:p>
        </w:tc>
        <w:tc>
          <w:tcPr>
            <w:tcW w:w="1620" w:type="dxa"/>
          </w:tcPr>
          <w:p w:rsidR="00903171" w:rsidRPr="00850EC7" w:rsidRDefault="00903171" w:rsidP="00D9638D">
            <w:pPr>
              <w:spacing w:after="0" w:line="240" w:lineRule="auto"/>
              <w:jc w:val="both"/>
              <w:rPr>
                <w:rFonts w:ascii="Times New Roman" w:eastAsia="Times New Roman" w:hAnsi="Times New Roman" w:cs="Times New Roman"/>
                <w:lang w:val="en-US" w:eastAsia="hu-HU"/>
              </w:rPr>
            </w:pPr>
          </w:p>
        </w:tc>
        <w:tc>
          <w:tcPr>
            <w:tcW w:w="2597" w:type="dxa"/>
          </w:tcPr>
          <w:p w:rsidR="00903171" w:rsidRPr="00850EC7" w:rsidRDefault="00903171" w:rsidP="00D9638D">
            <w:pPr>
              <w:spacing w:after="0" w:line="240" w:lineRule="auto"/>
              <w:jc w:val="both"/>
              <w:rPr>
                <w:rFonts w:ascii="Times New Roman" w:eastAsia="Times New Roman" w:hAnsi="Times New Roman" w:cs="Times New Roman"/>
                <w:lang w:val="en-US" w:eastAsia="hu-HU"/>
              </w:rPr>
            </w:pPr>
          </w:p>
        </w:tc>
      </w:tr>
    </w:tbl>
    <w:p w:rsidR="00903171" w:rsidRPr="00850EC7" w:rsidRDefault="00903171" w:rsidP="00903171">
      <w:pPr>
        <w:widowControl w:val="0"/>
        <w:spacing w:before="120" w:after="120" w:line="240" w:lineRule="auto"/>
        <w:ind w:left="426" w:hanging="142"/>
        <w:jc w:val="center"/>
        <w:rPr>
          <w:rFonts w:ascii="Times New Roman" w:eastAsia="Times New Roman" w:hAnsi="Times New Roman" w:cs="Times New Roman"/>
          <w:b/>
          <w:bCs/>
          <w:lang w:val="en-US"/>
        </w:rPr>
      </w:pPr>
    </w:p>
    <w:p w:rsidR="00903171" w:rsidRPr="00850EC7" w:rsidRDefault="00903171" w:rsidP="00903171">
      <w:pPr>
        <w:widowControl w:val="0"/>
        <w:spacing w:before="120" w:after="120" w:line="240" w:lineRule="auto"/>
        <w:ind w:left="426" w:hanging="142"/>
        <w:jc w:val="center"/>
        <w:rPr>
          <w:rFonts w:ascii="Times New Roman" w:eastAsia="Times New Roman" w:hAnsi="Times New Roman" w:cs="Times New Roman"/>
          <w:b/>
          <w:bCs/>
          <w:lang w:val="en-US"/>
        </w:rPr>
      </w:pPr>
      <w:r w:rsidRPr="00850EC7">
        <w:rPr>
          <w:rFonts w:ascii="Times New Roman" w:eastAsia="Times New Roman" w:hAnsi="Times New Roman" w:cs="Times New Roman"/>
          <w:b/>
          <w:bCs/>
          <w:lang w:val="en-US"/>
        </w:rPr>
        <w:t>CURRICULUM</w:t>
      </w:r>
    </w:p>
    <w:p w:rsidR="00903171" w:rsidRPr="00850EC7" w:rsidRDefault="00903171" w:rsidP="00980876">
      <w:pPr>
        <w:widowControl w:val="0"/>
        <w:numPr>
          <w:ilvl w:val="0"/>
          <w:numId w:val="598"/>
        </w:numPr>
        <w:tabs>
          <w:tab w:val="clear" w:pos="720"/>
          <w:tab w:val="num" w:pos="426"/>
        </w:tabs>
        <w:spacing w:before="120" w:after="120" w:line="240" w:lineRule="auto"/>
        <w:ind w:left="721" w:hanging="437"/>
        <w:jc w:val="both"/>
        <w:rPr>
          <w:rFonts w:ascii="Times New Roman" w:eastAsia="Times New Roman" w:hAnsi="Times New Roman" w:cs="Times New Roman"/>
          <w:bCs/>
          <w:lang w:val="en-US"/>
        </w:rPr>
      </w:pPr>
      <w:r w:rsidRPr="00850EC7">
        <w:rPr>
          <w:rFonts w:ascii="Times New Roman" w:eastAsia="Times New Roman" w:hAnsi="Times New Roman" w:cs="Times New Roman"/>
          <w:b/>
          <w:bCs/>
          <w:lang w:val="en-US"/>
        </w:rPr>
        <w:t xml:space="preserve">Code of subject: </w:t>
      </w:r>
      <w:r w:rsidRPr="004B666D">
        <w:rPr>
          <w:rFonts w:ascii="Times New Roman" w:eastAsia="Times New Roman" w:hAnsi="Times New Roman" w:cs="Times New Roman"/>
          <w:lang w:val="en-US"/>
        </w:rPr>
        <w:t>HKHPKA713</w:t>
      </w:r>
    </w:p>
    <w:p w:rsidR="00903171" w:rsidRPr="00850EC7" w:rsidRDefault="00903171" w:rsidP="00980876">
      <w:pPr>
        <w:widowControl w:val="0"/>
        <w:numPr>
          <w:ilvl w:val="0"/>
          <w:numId w:val="598"/>
        </w:numPr>
        <w:tabs>
          <w:tab w:val="clear" w:pos="720"/>
          <w:tab w:val="num" w:pos="426"/>
        </w:tabs>
        <w:spacing w:before="120" w:after="120" w:line="240" w:lineRule="auto"/>
        <w:ind w:left="721" w:hanging="437"/>
        <w:jc w:val="both"/>
        <w:rPr>
          <w:rFonts w:ascii="Times New Roman" w:eastAsia="Times New Roman" w:hAnsi="Times New Roman" w:cs="Times New Roman"/>
          <w:b/>
          <w:bCs/>
          <w:lang w:val="en-US"/>
        </w:rPr>
      </w:pPr>
      <w:r w:rsidRPr="00850EC7">
        <w:rPr>
          <w:rFonts w:ascii="Times New Roman" w:eastAsia="Times New Roman" w:hAnsi="Times New Roman" w:cs="Times New Roman"/>
          <w:b/>
          <w:bCs/>
          <w:lang w:val="en-US"/>
        </w:rPr>
        <w:t xml:space="preserve">Name of subject: </w:t>
      </w:r>
      <w:r>
        <w:rPr>
          <w:rFonts w:ascii="Times New Roman" w:eastAsia="Times New Roman" w:hAnsi="Times New Roman" w:cs="Times New Roman"/>
          <w:bCs/>
          <w:lang w:val="en-US"/>
        </w:rPr>
        <w:t>Military Logistics</w:t>
      </w:r>
    </w:p>
    <w:p w:rsidR="00903171" w:rsidRPr="00850EC7" w:rsidRDefault="00903171" w:rsidP="00980876">
      <w:pPr>
        <w:widowControl w:val="0"/>
        <w:numPr>
          <w:ilvl w:val="0"/>
          <w:numId w:val="598"/>
        </w:numPr>
        <w:tabs>
          <w:tab w:val="num" w:pos="567"/>
        </w:tabs>
        <w:spacing w:before="120" w:after="120" w:line="240" w:lineRule="auto"/>
        <w:ind w:left="426" w:hanging="142"/>
        <w:jc w:val="both"/>
        <w:rPr>
          <w:rFonts w:ascii="Times New Roman" w:eastAsia="Times New Roman" w:hAnsi="Times New Roman" w:cs="Times New Roman"/>
          <w:b/>
          <w:bCs/>
          <w:lang w:val="en-US"/>
        </w:rPr>
      </w:pPr>
      <w:r w:rsidRPr="00850EC7">
        <w:rPr>
          <w:rFonts w:ascii="Times New Roman" w:eastAsia="Times New Roman" w:hAnsi="Times New Roman" w:cs="Times New Roman"/>
          <w:b/>
          <w:bCs/>
          <w:lang w:val="en-US"/>
        </w:rPr>
        <w:t xml:space="preserve">Credit value and course structure: </w:t>
      </w:r>
    </w:p>
    <w:p w:rsidR="00903171" w:rsidRPr="00850EC7" w:rsidRDefault="00903171" w:rsidP="00980876">
      <w:pPr>
        <w:widowControl w:val="0"/>
        <w:numPr>
          <w:ilvl w:val="1"/>
          <w:numId w:val="598"/>
        </w:numPr>
        <w:spacing w:before="120" w:after="120" w:line="240" w:lineRule="auto"/>
        <w:ind w:left="993" w:hanging="426"/>
        <w:contextualSpacing/>
        <w:jc w:val="both"/>
        <w:rPr>
          <w:rFonts w:ascii="Times New Roman" w:eastAsia="Times New Roman" w:hAnsi="Times New Roman" w:cs="Times New Roman"/>
          <w:b/>
          <w:bCs/>
          <w:lang w:val="en-US"/>
        </w:rPr>
      </w:pPr>
      <w:r w:rsidRPr="00850EC7">
        <w:rPr>
          <w:rFonts w:ascii="Times New Roman" w:eastAsia="Times New Roman" w:hAnsi="Times New Roman" w:cs="Times New Roman"/>
          <w:lang w:val="en-US" w:eastAsia="hu-HU"/>
        </w:rPr>
        <w:t>4</w:t>
      </w:r>
      <w:r w:rsidRPr="00850EC7">
        <w:rPr>
          <w:rFonts w:ascii="Times New Roman" w:eastAsia="Times New Roman" w:hAnsi="Times New Roman" w:cs="Times New Roman"/>
          <w:bCs/>
          <w:lang w:val="en-US"/>
        </w:rPr>
        <w:t xml:space="preserve"> credit</w:t>
      </w:r>
    </w:p>
    <w:p w:rsidR="00903171" w:rsidRPr="00523F23" w:rsidRDefault="00903171" w:rsidP="00980876">
      <w:pPr>
        <w:widowControl w:val="0"/>
        <w:numPr>
          <w:ilvl w:val="1"/>
          <w:numId w:val="598"/>
        </w:numPr>
        <w:spacing w:before="120" w:after="240" w:line="240" w:lineRule="auto"/>
        <w:ind w:left="992" w:hanging="425"/>
        <w:contextualSpacing/>
        <w:jc w:val="both"/>
        <w:rPr>
          <w:rFonts w:ascii="Times New Roman" w:eastAsia="Times New Roman" w:hAnsi="Times New Roman" w:cs="Times New Roman"/>
          <w:b/>
          <w:bCs/>
          <w:lang w:val="en-US"/>
        </w:rPr>
      </w:pPr>
      <w:r w:rsidRPr="00850EC7">
        <w:rPr>
          <w:rFonts w:ascii="Times New Roman" w:eastAsia="Times New Roman" w:hAnsi="Times New Roman" w:cs="Times New Roman"/>
          <w:bCs/>
          <w:lang w:val="en-US"/>
        </w:rPr>
        <w:t xml:space="preserve">ratio of lectures and </w:t>
      </w:r>
      <w:r>
        <w:rPr>
          <w:rFonts w:ascii="Times New Roman" w:eastAsia="Times New Roman" w:hAnsi="Times New Roman" w:cs="Times New Roman"/>
          <w:bCs/>
          <w:lang w:val="en-US"/>
        </w:rPr>
        <w:t>practice</w:t>
      </w:r>
      <w:r w:rsidRPr="00850EC7">
        <w:rPr>
          <w:rFonts w:ascii="Times New Roman" w:eastAsia="Times New Roman" w:hAnsi="Times New Roman" w:cs="Times New Roman"/>
          <w:bCs/>
          <w:lang w:val="en-US"/>
        </w:rPr>
        <w:t xml:space="preserve">: </w:t>
      </w:r>
      <w:r w:rsidRPr="00850EC7">
        <w:rPr>
          <w:rFonts w:ascii="Times New Roman" w:eastAsia="Times New Roman" w:hAnsi="Times New Roman" w:cs="Times New Roman"/>
          <w:lang w:val="en-US" w:eastAsia="hu-HU"/>
        </w:rPr>
        <w:t>50%</w:t>
      </w:r>
      <w:r w:rsidRPr="00850EC7">
        <w:rPr>
          <w:rFonts w:ascii="Times New Roman" w:eastAsia="Times New Roman" w:hAnsi="Times New Roman" w:cs="Times New Roman"/>
          <w:bCs/>
          <w:lang w:val="en-US"/>
        </w:rPr>
        <w:t xml:space="preserve"> </w:t>
      </w:r>
      <w:r>
        <w:rPr>
          <w:rFonts w:ascii="Times New Roman" w:eastAsia="Times New Roman" w:hAnsi="Times New Roman" w:cs="Times New Roman"/>
          <w:bCs/>
          <w:lang w:val="en-US"/>
        </w:rPr>
        <w:t>lectures</w:t>
      </w:r>
      <w:r w:rsidRPr="00850EC7">
        <w:rPr>
          <w:rFonts w:ascii="Times New Roman" w:eastAsia="Times New Roman" w:hAnsi="Times New Roman" w:cs="Times New Roman"/>
          <w:bCs/>
          <w:lang w:val="en-US"/>
        </w:rPr>
        <w:t xml:space="preserve">, </w:t>
      </w:r>
      <w:r w:rsidRPr="00850EC7">
        <w:rPr>
          <w:rFonts w:ascii="Times New Roman" w:eastAsia="Times New Roman" w:hAnsi="Times New Roman" w:cs="Times New Roman"/>
          <w:lang w:val="en-US" w:eastAsia="hu-HU"/>
        </w:rPr>
        <w:t>50%</w:t>
      </w:r>
      <w:r w:rsidRPr="00850EC7">
        <w:rPr>
          <w:rFonts w:ascii="Times New Roman" w:eastAsia="Times New Roman" w:hAnsi="Times New Roman" w:cs="Times New Roman"/>
          <w:bCs/>
          <w:lang w:val="en-US"/>
        </w:rPr>
        <w:t xml:space="preserve"> </w:t>
      </w:r>
      <w:r>
        <w:rPr>
          <w:rFonts w:ascii="Times New Roman" w:eastAsia="Times New Roman" w:hAnsi="Times New Roman" w:cs="Times New Roman"/>
          <w:bCs/>
          <w:lang w:val="en-US"/>
        </w:rPr>
        <w:t>practical lessons</w:t>
      </w:r>
    </w:p>
    <w:p w:rsidR="00903171" w:rsidRPr="00850EC7" w:rsidRDefault="00903171" w:rsidP="00980876">
      <w:pPr>
        <w:widowControl w:val="0"/>
        <w:numPr>
          <w:ilvl w:val="0"/>
          <w:numId w:val="598"/>
        </w:numPr>
        <w:tabs>
          <w:tab w:val="clear" w:pos="720"/>
          <w:tab w:val="num" w:pos="426"/>
        </w:tabs>
        <w:spacing w:before="240" w:after="120" w:line="240" w:lineRule="auto"/>
        <w:ind w:left="721" w:hanging="437"/>
        <w:jc w:val="both"/>
        <w:rPr>
          <w:rFonts w:ascii="Times New Roman" w:eastAsia="Times New Roman" w:hAnsi="Times New Roman" w:cs="Times New Roman"/>
          <w:bCs/>
          <w:lang w:val="en-US"/>
        </w:rPr>
      </w:pPr>
      <w:r w:rsidRPr="00850EC7">
        <w:rPr>
          <w:rFonts w:ascii="Times New Roman" w:eastAsia="Times New Roman" w:hAnsi="Times New Roman" w:cs="Times New Roman"/>
          <w:b/>
          <w:bCs/>
          <w:lang w:val="en-US"/>
        </w:rPr>
        <w:t>Name of major(s), specializations (where it is taught):</w:t>
      </w:r>
      <w:r w:rsidRPr="00850EC7">
        <w:rPr>
          <w:rFonts w:ascii="Times New Roman" w:eastAsia="Times New Roman" w:hAnsi="Times New Roman" w:cs="Times New Roman"/>
          <w:bCs/>
          <w:lang w:val="en-US"/>
        </w:rPr>
        <w:t xml:space="preserve"> </w:t>
      </w:r>
      <w:r w:rsidRPr="00850EC7">
        <w:rPr>
          <w:rFonts w:ascii="Times New Roman" w:eastAsia="Times New Roman" w:hAnsi="Times New Roman" w:cs="Times New Roman"/>
          <w:lang w:val="en-US" w:eastAsia="hu-HU"/>
        </w:rPr>
        <w:t xml:space="preserve">Military Logistics </w:t>
      </w:r>
      <w:r w:rsidR="00137B8A">
        <w:rPr>
          <w:rFonts w:ascii="Times New Roman" w:eastAsia="Times New Roman" w:hAnsi="Times New Roman" w:cs="Times New Roman"/>
          <w:lang w:val="en-US" w:eastAsia="hu-HU"/>
        </w:rPr>
        <w:t>BSc</w:t>
      </w:r>
      <w:r w:rsidRPr="00850EC7">
        <w:rPr>
          <w:rFonts w:ascii="Times New Roman" w:eastAsia="Times New Roman" w:hAnsi="Times New Roman" w:cs="Times New Roman"/>
          <w:lang w:val="en-US" w:eastAsia="hu-HU"/>
        </w:rPr>
        <w:t xml:space="preserve"> </w:t>
      </w:r>
    </w:p>
    <w:p w:rsidR="00903171" w:rsidRPr="00850EC7" w:rsidRDefault="00903171" w:rsidP="00980876">
      <w:pPr>
        <w:widowControl w:val="0"/>
        <w:numPr>
          <w:ilvl w:val="0"/>
          <w:numId w:val="598"/>
        </w:numPr>
        <w:tabs>
          <w:tab w:val="num" w:pos="567"/>
        </w:tabs>
        <w:spacing w:before="120" w:after="120" w:line="240" w:lineRule="auto"/>
        <w:ind w:left="426" w:hanging="142"/>
        <w:jc w:val="both"/>
        <w:rPr>
          <w:rFonts w:ascii="Times New Roman" w:eastAsia="Times New Roman" w:hAnsi="Times New Roman" w:cs="Times New Roman"/>
          <w:bCs/>
          <w:lang w:val="en-US"/>
        </w:rPr>
      </w:pPr>
      <w:r w:rsidRPr="00850EC7">
        <w:rPr>
          <w:rFonts w:ascii="Times New Roman" w:eastAsia="Times New Roman" w:hAnsi="Times New Roman" w:cs="Times New Roman"/>
          <w:b/>
          <w:bCs/>
          <w:lang w:val="en-US"/>
        </w:rPr>
        <w:t xml:space="preserve">Name of organizational unit responsible for its education: </w:t>
      </w:r>
      <w:r w:rsidRPr="00850EC7">
        <w:rPr>
          <w:rFonts w:ascii="Times New Roman" w:eastAsia="Times New Roman" w:hAnsi="Times New Roman" w:cs="Times New Roman"/>
          <w:lang w:val="en-US" w:eastAsia="hu-HU"/>
        </w:rPr>
        <w:t>Department of Supply, Finance and Military Transportation</w:t>
      </w:r>
    </w:p>
    <w:p w:rsidR="00903171" w:rsidRPr="00850EC7" w:rsidRDefault="00903171" w:rsidP="00980876">
      <w:pPr>
        <w:widowControl w:val="0"/>
        <w:numPr>
          <w:ilvl w:val="0"/>
          <w:numId w:val="598"/>
        </w:numPr>
        <w:tabs>
          <w:tab w:val="clear" w:pos="720"/>
          <w:tab w:val="num" w:pos="426"/>
        </w:tabs>
        <w:spacing w:before="120" w:after="120" w:line="240" w:lineRule="auto"/>
        <w:ind w:left="426" w:hanging="142"/>
        <w:jc w:val="both"/>
        <w:rPr>
          <w:rFonts w:ascii="Times New Roman" w:eastAsia="Times New Roman" w:hAnsi="Times New Roman" w:cs="Times New Roman"/>
          <w:bCs/>
          <w:lang w:val="en-US"/>
        </w:rPr>
      </w:pPr>
      <w:r w:rsidRPr="00850EC7">
        <w:rPr>
          <w:rFonts w:ascii="Times New Roman" w:eastAsia="Times New Roman" w:hAnsi="Times New Roman" w:cs="Times New Roman"/>
          <w:b/>
          <w:bCs/>
          <w:lang w:val="en-US"/>
        </w:rPr>
        <w:t>Name, position, academic degree of tutor responsible for the curriculum:</w:t>
      </w:r>
      <w:r w:rsidRPr="00850EC7">
        <w:rPr>
          <w:rFonts w:ascii="Times New Roman" w:eastAsia="Times New Roman" w:hAnsi="Times New Roman" w:cs="Times New Roman"/>
          <w:bCs/>
          <w:lang w:val="en-US"/>
        </w:rPr>
        <w:t xml:space="preserve"> </w:t>
      </w:r>
      <w:r>
        <w:rPr>
          <w:rFonts w:ascii="Times New Roman" w:eastAsia="Times New Roman" w:hAnsi="Times New Roman" w:cs="Times New Roman"/>
          <w:bCs/>
          <w:lang w:val="en-US"/>
        </w:rPr>
        <w:t>József Venekei</w:t>
      </w:r>
      <w:r w:rsidRPr="00850EC7">
        <w:rPr>
          <w:rFonts w:ascii="Times New Roman" w:eastAsia="Times New Roman" w:hAnsi="Times New Roman" w:cs="Times New Roman"/>
          <w:lang w:val="en-US" w:eastAsia="hu-HU"/>
        </w:rPr>
        <w:t xml:space="preserve"> (PhD)</w:t>
      </w:r>
      <w:r>
        <w:rPr>
          <w:rFonts w:ascii="Times New Roman" w:eastAsia="Times New Roman" w:hAnsi="Times New Roman" w:cs="Times New Roman"/>
          <w:lang w:val="en-US" w:eastAsia="hu-HU"/>
        </w:rPr>
        <w:t>,</w:t>
      </w:r>
      <w:r w:rsidRPr="00850EC7">
        <w:rPr>
          <w:rFonts w:ascii="Times New Roman" w:eastAsia="Times New Roman" w:hAnsi="Times New Roman" w:cs="Times New Roman"/>
          <w:lang w:val="en-US" w:eastAsia="hu-HU"/>
        </w:rPr>
        <w:t xml:space="preserve"> associate professor</w:t>
      </w:r>
    </w:p>
    <w:p w:rsidR="00903171" w:rsidRPr="00850EC7" w:rsidRDefault="00903171" w:rsidP="00980876">
      <w:pPr>
        <w:widowControl w:val="0"/>
        <w:numPr>
          <w:ilvl w:val="0"/>
          <w:numId w:val="598"/>
        </w:numPr>
        <w:spacing w:before="120" w:after="120" w:line="240" w:lineRule="auto"/>
        <w:ind w:left="426" w:hanging="142"/>
        <w:jc w:val="both"/>
        <w:rPr>
          <w:rFonts w:ascii="Times New Roman" w:eastAsia="Times New Roman" w:hAnsi="Times New Roman" w:cs="Times New Roman"/>
          <w:bCs/>
          <w:lang w:val="en-US"/>
        </w:rPr>
      </w:pPr>
      <w:r w:rsidRPr="00850EC7">
        <w:rPr>
          <w:rFonts w:ascii="Times New Roman" w:eastAsia="Times New Roman" w:hAnsi="Times New Roman" w:cs="Times New Roman"/>
          <w:b/>
          <w:bCs/>
          <w:lang w:val="en-US"/>
        </w:rPr>
        <w:t>Number and types of classes</w:t>
      </w:r>
    </w:p>
    <w:p w:rsidR="00903171" w:rsidRPr="00850EC7" w:rsidRDefault="00903171" w:rsidP="00980876">
      <w:pPr>
        <w:widowControl w:val="0"/>
        <w:numPr>
          <w:ilvl w:val="1"/>
          <w:numId w:val="598"/>
        </w:numPr>
        <w:tabs>
          <w:tab w:val="num" w:pos="709"/>
          <w:tab w:val="num" w:pos="2069"/>
        </w:tabs>
        <w:spacing w:before="120" w:after="120" w:line="240" w:lineRule="auto"/>
        <w:ind w:left="851" w:hanging="425"/>
        <w:jc w:val="both"/>
        <w:rPr>
          <w:rFonts w:ascii="Times New Roman" w:eastAsia="Times New Roman" w:hAnsi="Times New Roman" w:cs="Times New Roman"/>
          <w:bCs/>
          <w:lang w:val="en-US"/>
        </w:rPr>
      </w:pPr>
      <w:r w:rsidRPr="00850EC7">
        <w:rPr>
          <w:rFonts w:ascii="Times New Roman" w:eastAsia="Times New Roman" w:hAnsi="Times New Roman" w:cs="Times New Roman"/>
          <w:bCs/>
          <w:lang w:val="en-US"/>
        </w:rPr>
        <w:t>full number of classes/semester:</w:t>
      </w:r>
    </w:p>
    <w:p w:rsidR="00903171" w:rsidRPr="00850EC7" w:rsidRDefault="00903171" w:rsidP="00980876">
      <w:pPr>
        <w:widowControl w:val="0"/>
        <w:numPr>
          <w:ilvl w:val="2"/>
          <w:numId w:val="598"/>
        </w:numPr>
        <w:tabs>
          <w:tab w:val="num" w:pos="709"/>
          <w:tab w:val="num" w:pos="1134"/>
        </w:tabs>
        <w:spacing w:before="120" w:after="120" w:line="240" w:lineRule="auto"/>
        <w:ind w:left="993" w:hanging="425"/>
        <w:jc w:val="both"/>
        <w:rPr>
          <w:rFonts w:ascii="Times New Roman" w:eastAsia="Times New Roman" w:hAnsi="Times New Roman" w:cs="Times New Roman"/>
          <w:bCs/>
          <w:lang w:val="en-US"/>
        </w:rPr>
      </w:pPr>
      <w:r w:rsidRPr="00850EC7">
        <w:rPr>
          <w:rFonts w:ascii="Times New Roman" w:eastAsia="Times New Roman" w:hAnsi="Times New Roman" w:cs="Times New Roman"/>
          <w:bCs/>
          <w:lang w:val="en-US"/>
        </w:rPr>
        <w:t xml:space="preserve">Full time course: </w:t>
      </w:r>
      <w:r w:rsidRPr="00850EC7">
        <w:rPr>
          <w:rFonts w:ascii="Times New Roman" w:eastAsia="Times New Roman" w:hAnsi="Times New Roman" w:cs="Times New Roman"/>
          <w:lang w:val="en-US" w:eastAsia="hu-HU"/>
        </w:rPr>
        <w:t>28</w:t>
      </w:r>
      <w:r w:rsidRPr="00850EC7">
        <w:rPr>
          <w:rFonts w:ascii="Times New Roman" w:eastAsia="Times New Roman" w:hAnsi="Times New Roman" w:cs="Times New Roman"/>
          <w:bCs/>
          <w:lang w:val="en-US"/>
        </w:rPr>
        <w:t xml:space="preserve"> (14 LEC + </w:t>
      </w:r>
      <w:r w:rsidRPr="00850EC7">
        <w:rPr>
          <w:rFonts w:ascii="Times New Roman" w:eastAsia="Times New Roman" w:hAnsi="Times New Roman" w:cs="Times New Roman"/>
          <w:lang w:val="en-US" w:eastAsia="hu-HU"/>
        </w:rPr>
        <w:t>14</w:t>
      </w:r>
      <w:r w:rsidRPr="00850EC7">
        <w:rPr>
          <w:rFonts w:ascii="Times New Roman" w:eastAsia="Times New Roman" w:hAnsi="Times New Roman" w:cs="Times New Roman"/>
          <w:bCs/>
          <w:lang w:val="en-US"/>
        </w:rPr>
        <w:t xml:space="preserve"> </w:t>
      </w:r>
      <w:r>
        <w:rPr>
          <w:rFonts w:ascii="Times New Roman" w:eastAsia="Times New Roman" w:hAnsi="Times New Roman" w:cs="Times New Roman"/>
          <w:bCs/>
          <w:lang w:val="en-US"/>
        </w:rPr>
        <w:t>PRT LSNs</w:t>
      </w:r>
      <w:r w:rsidRPr="00850EC7">
        <w:rPr>
          <w:rFonts w:ascii="Times New Roman" w:eastAsia="Times New Roman" w:hAnsi="Times New Roman" w:cs="Times New Roman"/>
          <w:bCs/>
          <w:lang w:val="en-US"/>
        </w:rPr>
        <w:t>)</w:t>
      </w:r>
    </w:p>
    <w:p w:rsidR="00903171" w:rsidRPr="00850EC7" w:rsidRDefault="00903171" w:rsidP="00980876">
      <w:pPr>
        <w:widowControl w:val="0"/>
        <w:numPr>
          <w:ilvl w:val="2"/>
          <w:numId w:val="598"/>
        </w:numPr>
        <w:tabs>
          <w:tab w:val="num" w:pos="709"/>
          <w:tab w:val="num" w:pos="1134"/>
        </w:tabs>
        <w:spacing w:before="120" w:after="120" w:line="240" w:lineRule="auto"/>
        <w:ind w:left="993" w:hanging="425"/>
        <w:jc w:val="both"/>
        <w:rPr>
          <w:rFonts w:ascii="Times New Roman" w:eastAsia="Times New Roman" w:hAnsi="Times New Roman" w:cs="Times New Roman"/>
          <w:bCs/>
          <w:lang w:val="en-US"/>
        </w:rPr>
      </w:pPr>
      <w:r w:rsidRPr="00850EC7">
        <w:rPr>
          <w:rFonts w:ascii="Times New Roman" w:eastAsia="Times New Roman" w:hAnsi="Times New Roman" w:cs="Times New Roman"/>
          <w:bCs/>
          <w:lang w:val="en-US"/>
        </w:rPr>
        <w:t xml:space="preserve">Correspondence course: </w:t>
      </w:r>
      <w:r w:rsidRPr="00850EC7">
        <w:rPr>
          <w:rFonts w:ascii="Times New Roman" w:eastAsia="Times New Roman" w:hAnsi="Times New Roman" w:cs="Times New Roman"/>
          <w:lang w:val="en-US" w:eastAsia="hu-HU"/>
        </w:rPr>
        <w:t xml:space="preserve">- </w:t>
      </w:r>
      <w:r w:rsidRPr="00850EC7">
        <w:rPr>
          <w:rFonts w:ascii="Times New Roman" w:eastAsia="Times New Roman" w:hAnsi="Times New Roman" w:cs="Times New Roman"/>
          <w:bCs/>
          <w:lang w:val="en-US"/>
        </w:rPr>
        <w:t xml:space="preserve">(- LEC + </w:t>
      </w:r>
      <w:r w:rsidRPr="00850EC7">
        <w:rPr>
          <w:rFonts w:ascii="Times New Roman" w:eastAsia="Times New Roman" w:hAnsi="Times New Roman" w:cs="Times New Roman"/>
          <w:lang w:val="en-US" w:eastAsia="hu-HU"/>
        </w:rPr>
        <w:t>-</w:t>
      </w:r>
      <w:r w:rsidRPr="00850EC7">
        <w:rPr>
          <w:rFonts w:ascii="Times New Roman" w:eastAsia="Times New Roman" w:hAnsi="Times New Roman" w:cs="Times New Roman"/>
          <w:bCs/>
          <w:lang w:val="en-US"/>
        </w:rPr>
        <w:t xml:space="preserve"> </w:t>
      </w:r>
      <w:r>
        <w:rPr>
          <w:rFonts w:ascii="Times New Roman" w:eastAsia="Times New Roman" w:hAnsi="Times New Roman" w:cs="Times New Roman"/>
          <w:bCs/>
          <w:lang w:val="en-US"/>
        </w:rPr>
        <w:t>PRT LSNs</w:t>
      </w:r>
      <w:r w:rsidRPr="00850EC7">
        <w:rPr>
          <w:rFonts w:ascii="Times New Roman" w:eastAsia="Times New Roman" w:hAnsi="Times New Roman" w:cs="Times New Roman"/>
          <w:bCs/>
          <w:lang w:val="en-US"/>
        </w:rPr>
        <w:t>)</w:t>
      </w:r>
    </w:p>
    <w:p w:rsidR="00903171" w:rsidRPr="00850EC7" w:rsidRDefault="00903171" w:rsidP="00980876">
      <w:pPr>
        <w:widowControl w:val="0"/>
        <w:numPr>
          <w:ilvl w:val="1"/>
          <w:numId w:val="598"/>
        </w:numPr>
        <w:tabs>
          <w:tab w:val="num" w:pos="709"/>
          <w:tab w:val="num" w:pos="2069"/>
        </w:tabs>
        <w:spacing w:before="120" w:after="120" w:line="240" w:lineRule="auto"/>
        <w:ind w:left="851" w:hanging="425"/>
        <w:jc w:val="both"/>
        <w:rPr>
          <w:rFonts w:ascii="Times New Roman" w:eastAsia="Times New Roman" w:hAnsi="Times New Roman" w:cs="Times New Roman"/>
          <w:bCs/>
          <w:lang w:val="en-US"/>
        </w:rPr>
      </w:pPr>
      <w:r w:rsidRPr="00850EC7">
        <w:rPr>
          <w:rFonts w:ascii="Times New Roman" w:eastAsia="Times New Roman" w:hAnsi="Times New Roman" w:cs="Times New Roman"/>
          <w:bCs/>
          <w:lang w:val="en-US"/>
        </w:rPr>
        <w:t xml:space="preserve">weekly number of classes - full time course: </w:t>
      </w:r>
      <w:r w:rsidRPr="00850EC7">
        <w:rPr>
          <w:rFonts w:ascii="Times New Roman" w:eastAsia="Times New Roman" w:hAnsi="Times New Roman" w:cs="Times New Roman"/>
          <w:lang w:val="en-US" w:eastAsia="hu-HU"/>
        </w:rPr>
        <w:t>2</w:t>
      </w:r>
      <w:r w:rsidRPr="00850EC7">
        <w:rPr>
          <w:rFonts w:ascii="Times New Roman" w:eastAsia="Times New Roman" w:hAnsi="Times New Roman" w:cs="Times New Roman"/>
          <w:bCs/>
          <w:lang w:val="en-US"/>
        </w:rPr>
        <w:t xml:space="preserve"> (1 LEC + </w:t>
      </w:r>
      <w:r w:rsidRPr="00850EC7">
        <w:rPr>
          <w:rFonts w:ascii="Times New Roman" w:eastAsia="Times New Roman" w:hAnsi="Times New Roman" w:cs="Times New Roman"/>
          <w:lang w:val="en-US" w:eastAsia="hu-HU"/>
        </w:rPr>
        <w:t>1</w:t>
      </w:r>
      <w:r w:rsidRPr="00850EC7">
        <w:rPr>
          <w:rFonts w:ascii="Times New Roman" w:eastAsia="Times New Roman" w:hAnsi="Times New Roman" w:cs="Times New Roman"/>
          <w:bCs/>
          <w:lang w:val="en-US"/>
        </w:rPr>
        <w:t xml:space="preserve"> </w:t>
      </w:r>
      <w:r>
        <w:rPr>
          <w:rFonts w:ascii="Times New Roman" w:eastAsia="Times New Roman" w:hAnsi="Times New Roman" w:cs="Times New Roman"/>
          <w:bCs/>
          <w:lang w:val="en-US"/>
        </w:rPr>
        <w:t>PRT LSN</w:t>
      </w:r>
      <w:r w:rsidRPr="00850EC7">
        <w:rPr>
          <w:rFonts w:ascii="Times New Roman" w:eastAsia="Times New Roman" w:hAnsi="Times New Roman" w:cs="Times New Roman"/>
          <w:bCs/>
          <w:lang w:val="en-US"/>
        </w:rPr>
        <w:t>)</w:t>
      </w:r>
    </w:p>
    <w:p w:rsidR="00903171" w:rsidRDefault="00903171" w:rsidP="00980876">
      <w:pPr>
        <w:widowControl w:val="0"/>
        <w:numPr>
          <w:ilvl w:val="1"/>
          <w:numId w:val="598"/>
        </w:numPr>
        <w:tabs>
          <w:tab w:val="num" w:pos="709"/>
          <w:tab w:val="num" w:pos="2069"/>
        </w:tabs>
        <w:spacing w:before="120" w:after="120" w:line="240" w:lineRule="auto"/>
        <w:ind w:left="851" w:hanging="425"/>
        <w:jc w:val="both"/>
        <w:rPr>
          <w:rFonts w:ascii="Times New Roman" w:eastAsia="Times New Roman" w:hAnsi="Times New Roman" w:cs="Times New Roman"/>
          <w:bCs/>
          <w:lang w:val="en-US"/>
        </w:rPr>
      </w:pPr>
      <w:r w:rsidRPr="00850EC7">
        <w:rPr>
          <w:rFonts w:ascii="Times New Roman" w:eastAsia="Times New Roman" w:hAnsi="Times New Roman" w:cs="Times New Roman"/>
          <w:bCs/>
          <w:lang w:val="en-US"/>
        </w:rPr>
        <w:t>Further</w:t>
      </w:r>
      <w:r w:rsidRPr="00850EC7">
        <w:rPr>
          <w:rFonts w:ascii="Times New Roman" w:hAnsi="Times New Roman" w:cs="Times New Roman"/>
          <w:lang w:val="en-US"/>
        </w:rPr>
        <w:t xml:space="preserve"> special or unique methods applied throughout of the course: </w:t>
      </w:r>
      <w:r w:rsidRPr="00850EC7">
        <w:rPr>
          <w:rFonts w:ascii="Times New Roman" w:eastAsia="Times New Roman" w:hAnsi="Times New Roman" w:cs="Times New Roman"/>
          <w:lang w:val="en-US" w:eastAsia="hu-HU"/>
        </w:rPr>
        <w:t>-</w:t>
      </w:r>
    </w:p>
    <w:p w:rsidR="00903171" w:rsidRPr="00F17373" w:rsidRDefault="00903171" w:rsidP="00980876">
      <w:pPr>
        <w:widowControl w:val="0"/>
        <w:numPr>
          <w:ilvl w:val="0"/>
          <w:numId w:val="598"/>
        </w:numPr>
        <w:tabs>
          <w:tab w:val="clear" w:pos="720"/>
          <w:tab w:val="num" w:pos="426"/>
        </w:tabs>
        <w:spacing w:before="120" w:after="120" w:line="240" w:lineRule="auto"/>
        <w:ind w:left="426" w:hanging="142"/>
        <w:jc w:val="both"/>
        <w:rPr>
          <w:rFonts w:ascii="Times New Roman" w:eastAsia="Times New Roman" w:hAnsi="Times New Roman" w:cs="Times New Roman"/>
          <w:bCs/>
          <w:lang w:val="en-US"/>
        </w:rPr>
      </w:pPr>
      <w:r w:rsidRPr="00F17373">
        <w:rPr>
          <w:rFonts w:ascii="Times New Roman" w:eastAsia="Times New Roman" w:hAnsi="Times New Roman" w:cs="Times New Roman"/>
          <w:b/>
          <w:bCs/>
          <w:lang w:val="en-US"/>
        </w:rPr>
        <w:t xml:space="preserve">The academic content of the subject: </w:t>
      </w:r>
      <w:r w:rsidRPr="00F17373">
        <w:rPr>
          <w:rFonts w:ascii="Times New Roman" w:eastAsia="Times New Roman" w:hAnsi="Times New Roman" w:cs="Times New Roman"/>
          <w:bCs/>
        </w:rPr>
        <w:t>The subject deals with the basic logistic definitions, evolution of logistic principles, classes of supply, modes of multinational logistic support, structure of the NATO and the HDF’s Operational Support Chain as well as the tactical level Military Decision Making and Planning Process and Logistic Estimate. Describes the basic procedures related to risk analysis and management during logistic operations. It also demonstrates the modules of NATO LOGFAS and its practical use during military operations.</w:t>
      </w:r>
    </w:p>
    <w:p w:rsidR="00903171" w:rsidRPr="00850EC7" w:rsidRDefault="00903171" w:rsidP="00980876">
      <w:pPr>
        <w:widowControl w:val="0"/>
        <w:numPr>
          <w:ilvl w:val="0"/>
          <w:numId w:val="598"/>
        </w:numPr>
        <w:spacing w:before="120" w:after="120" w:line="240" w:lineRule="auto"/>
        <w:ind w:left="426" w:hanging="142"/>
        <w:jc w:val="both"/>
        <w:rPr>
          <w:rFonts w:ascii="Times New Roman" w:eastAsia="Times New Roman" w:hAnsi="Times New Roman" w:cs="Times New Roman"/>
          <w:bCs/>
          <w:lang w:val="en-US"/>
        </w:rPr>
      </w:pPr>
      <w:r w:rsidRPr="00850EC7">
        <w:rPr>
          <w:rFonts w:ascii="Times New Roman" w:eastAsia="Times New Roman" w:hAnsi="Times New Roman" w:cs="Times New Roman"/>
          <w:b/>
          <w:bCs/>
          <w:lang w:val="en-US"/>
        </w:rPr>
        <w:t xml:space="preserve">Competences to be achieved: </w:t>
      </w:r>
    </w:p>
    <w:p w:rsidR="00903171" w:rsidRPr="00850EC7" w:rsidRDefault="00903171" w:rsidP="00903171">
      <w:pPr>
        <w:widowControl w:val="0"/>
        <w:spacing w:before="120" w:after="120" w:line="240" w:lineRule="auto"/>
        <w:ind w:left="426"/>
        <w:jc w:val="both"/>
        <w:rPr>
          <w:rFonts w:ascii="Times New Roman" w:eastAsia="Times New Roman" w:hAnsi="Times New Roman" w:cs="Times New Roman"/>
          <w:lang w:val="en-US" w:eastAsia="hu-HU"/>
        </w:rPr>
      </w:pPr>
      <w:r w:rsidRPr="00850EC7">
        <w:rPr>
          <w:rFonts w:ascii="Times New Roman" w:eastAsia="Times New Roman" w:hAnsi="Times New Roman" w:cs="Times New Roman"/>
          <w:b/>
          <w:lang w:val="en-US"/>
        </w:rPr>
        <w:t>Knowledge</w:t>
      </w:r>
      <w:r w:rsidRPr="00850EC7">
        <w:rPr>
          <w:rFonts w:ascii="Times New Roman" w:eastAsia="Times New Roman" w:hAnsi="Times New Roman" w:cs="Times New Roman"/>
          <w:lang w:val="en-US"/>
        </w:rPr>
        <w:t xml:space="preserve">: </w:t>
      </w:r>
    </w:p>
    <w:p w:rsidR="00903171" w:rsidRPr="00F24EFA" w:rsidRDefault="00903171" w:rsidP="00980876">
      <w:pPr>
        <w:pStyle w:val="Listaszerbekezds"/>
        <w:numPr>
          <w:ilvl w:val="0"/>
          <w:numId w:val="571"/>
        </w:numPr>
        <w:rPr>
          <w:rFonts w:ascii="Times New Roman" w:hAnsi="Times New Roman" w:cs="Times New Roman"/>
          <w:sz w:val="24"/>
          <w:szCs w:val="24"/>
          <w:lang w:val="en-GB"/>
        </w:rPr>
      </w:pPr>
      <w:r w:rsidRPr="00F24EFA">
        <w:rPr>
          <w:rFonts w:ascii="Times New Roman" w:hAnsi="Times New Roman" w:cs="Times New Roman"/>
          <w:sz w:val="24"/>
          <w:szCs w:val="24"/>
          <w:lang w:val="en-GB"/>
        </w:rPr>
        <w:t>Has a thorough knowledge of the general logistic operations and processes.</w:t>
      </w:r>
    </w:p>
    <w:p w:rsidR="00903171" w:rsidRPr="00F24EFA" w:rsidRDefault="00903171" w:rsidP="00980876">
      <w:pPr>
        <w:pStyle w:val="Listaszerbekezds"/>
        <w:numPr>
          <w:ilvl w:val="0"/>
          <w:numId w:val="571"/>
        </w:numPr>
        <w:rPr>
          <w:rFonts w:ascii="Times New Roman" w:hAnsi="Times New Roman" w:cs="Times New Roman"/>
          <w:sz w:val="24"/>
          <w:szCs w:val="24"/>
          <w:lang w:val="en-GB"/>
        </w:rPr>
      </w:pPr>
      <w:r w:rsidRPr="00F24EFA">
        <w:rPr>
          <w:rFonts w:ascii="Times New Roman" w:hAnsi="Times New Roman" w:cs="Times New Roman"/>
          <w:sz w:val="24"/>
          <w:szCs w:val="24"/>
          <w:lang w:val="en-GB"/>
        </w:rPr>
        <w:t>Has a profound knowledge of the tasks of military logistics management, its tools and information system.</w:t>
      </w:r>
    </w:p>
    <w:p w:rsidR="00903171" w:rsidRPr="00850EC7" w:rsidRDefault="00903171" w:rsidP="00903171">
      <w:pPr>
        <w:widowControl w:val="0"/>
        <w:spacing w:before="120" w:after="120" w:line="240" w:lineRule="auto"/>
        <w:ind w:left="426"/>
        <w:jc w:val="both"/>
        <w:rPr>
          <w:rFonts w:ascii="Times New Roman" w:eastAsia="Times New Roman" w:hAnsi="Times New Roman" w:cs="Times New Roman"/>
          <w:lang w:val="en-US" w:eastAsia="hu-HU"/>
        </w:rPr>
      </w:pPr>
      <w:r w:rsidRPr="00850EC7">
        <w:rPr>
          <w:rFonts w:ascii="Times New Roman" w:eastAsia="Times New Roman" w:hAnsi="Times New Roman" w:cs="Times New Roman"/>
          <w:b/>
          <w:lang w:val="en-US"/>
        </w:rPr>
        <w:t>Capabilities</w:t>
      </w:r>
      <w:r w:rsidRPr="00850EC7">
        <w:rPr>
          <w:rFonts w:ascii="Times New Roman" w:eastAsia="Times New Roman" w:hAnsi="Times New Roman" w:cs="Times New Roman"/>
          <w:lang w:val="en-US"/>
        </w:rPr>
        <w:t xml:space="preserve">: </w:t>
      </w:r>
    </w:p>
    <w:p w:rsidR="00903171" w:rsidRPr="00F24EFA" w:rsidRDefault="00903171" w:rsidP="00980876">
      <w:pPr>
        <w:pStyle w:val="Listaszerbekezds"/>
        <w:numPr>
          <w:ilvl w:val="0"/>
          <w:numId w:val="571"/>
        </w:numPr>
        <w:rPr>
          <w:rFonts w:ascii="Times New Roman" w:hAnsi="Times New Roman" w:cs="Times New Roman"/>
          <w:sz w:val="24"/>
          <w:szCs w:val="24"/>
          <w:lang w:val="en-GB"/>
        </w:rPr>
      </w:pPr>
      <w:r w:rsidRPr="00F24EFA">
        <w:rPr>
          <w:rFonts w:ascii="Times New Roman" w:hAnsi="Times New Roman" w:cs="Times New Roman"/>
          <w:sz w:val="24"/>
          <w:szCs w:val="24"/>
          <w:lang w:val="en-GB"/>
        </w:rPr>
        <w:t>is capable of making accurate and precise logistic and economic calculations.</w:t>
      </w:r>
    </w:p>
    <w:p w:rsidR="00903171" w:rsidRPr="00850EC7" w:rsidRDefault="00903171" w:rsidP="00980876">
      <w:pPr>
        <w:pStyle w:val="Listaszerbekezds"/>
        <w:widowControl w:val="0"/>
        <w:numPr>
          <w:ilvl w:val="0"/>
          <w:numId w:val="571"/>
        </w:numPr>
        <w:spacing w:before="120" w:after="120" w:line="24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 xml:space="preserve">is capable of </w:t>
      </w:r>
      <w:r w:rsidRPr="00850EC7">
        <w:rPr>
          <w:rFonts w:ascii="Times New Roman" w:eastAsia="Times New Roman" w:hAnsi="Times New Roman" w:cs="Times New Roman"/>
          <w:lang w:val="en-US"/>
        </w:rPr>
        <w:t>understand</w:t>
      </w:r>
      <w:r>
        <w:rPr>
          <w:rFonts w:ascii="Times New Roman" w:eastAsia="Times New Roman" w:hAnsi="Times New Roman" w:cs="Times New Roman"/>
          <w:lang w:val="en-US"/>
        </w:rPr>
        <w:t>ing</w:t>
      </w:r>
      <w:r w:rsidRPr="00850EC7">
        <w:rPr>
          <w:rFonts w:ascii="Times New Roman" w:eastAsia="Times New Roman" w:hAnsi="Times New Roman" w:cs="Times New Roman"/>
          <w:lang w:val="en-US"/>
        </w:rPr>
        <w:t xml:space="preserve"> the connections in logistic field between the national economy and the </w:t>
      </w:r>
      <w:r>
        <w:rPr>
          <w:rFonts w:ascii="Times New Roman" w:eastAsia="Times New Roman" w:hAnsi="Times New Roman" w:cs="Times New Roman"/>
          <w:lang w:val="en-US"/>
        </w:rPr>
        <w:t>Army</w:t>
      </w:r>
      <w:r w:rsidRPr="00850EC7">
        <w:rPr>
          <w:rFonts w:ascii="Times New Roman" w:eastAsia="Times New Roman" w:hAnsi="Times New Roman" w:cs="Times New Roman"/>
          <w:lang w:val="en-US"/>
        </w:rPr>
        <w:t xml:space="preserve">. </w:t>
      </w:r>
    </w:p>
    <w:p w:rsidR="00903171" w:rsidRPr="00F24EFA" w:rsidRDefault="00903171" w:rsidP="00980876">
      <w:pPr>
        <w:pStyle w:val="Listaszerbekezds"/>
        <w:numPr>
          <w:ilvl w:val="0"/>
          <w:numId w:val="571"/>
        </w:numPr>
        <w:rPr>
          <w:rFonts w:ascii="Times New Roman" w:hAnsi="Times New Roman" w:cs="Times New Roman"/>
          <w:sz w:val="24"/>
          <w:szCs w:val="24"/>
          <w:lang w:val="en-GB"/>
        </w:rPr>
      </w:pPr>
      <w:r w:rsidRPr="00F24EFA">
        <w:rPr>
          <w:rFonts w:ascii="Times New Roman" w:hAnsi="Times New Roman" w:cs="Times New Roman"/>
          <w:sz w:val="24"/>
          <w:szCs w:val="24"/>
          <w:lang w:val="en-GB"/>
        </w:rPr>
        <w:t xml:space="preserve">is capable of planning, organizing, managing and leading the </w:t>
      </w:r>
      <w:r>
        <w:rPr>
          <w:rFonts w:ascii="Times New Roman" w:hAnsi="Times New Roman" w:cs="Times New Roman"/>
          <w:sz w:val="24"/>
          <w:szCs w:val="24"/>
          <w:lang w:val="en-GB"/>
        </w:rPr>
        <w:t>logistics</w:t>
      </w:r>
      <w:r w:rsidRPr="00F24EFA">
        <w:rPr>
          <w:rFonts w:ascii="Times New Roman" w:hAnsi="Times New Roman" w:cs="Times New Roman"/>
          <w:sz w:val="24"/>
          <w:szCs w:val="24"/>
          <w:lang w:val="en-GB"/>
        </w:rPr>
        <w:t xml:space="preserve"> activities of a military unit.</w:t>
      </w:r>
    </w:p>
    <w:p w:rsidR="00903171" w:rsidRPr="00850EC7" w:rsidRDefault="00903171" w:rsidP="00903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425"/>
        <w:jc w:val="both"/>
        <w:rPr>
          <w:rFonts w:ascii="Times New Roman" w:eastAsia="Times New Roman" w:hAnsi="Times New Roman" w:cs="Times New Roman"/>
          <w:lang w:val="en-US" w:eastAsia="hu-HU"/>
        </w:rPr>
      </w:pPr>
      <w:r w:rsidRPr="00850EC7">
        <w:rPr>
          <w:rFonts w:ascii="Times New Roman" w:eastAsia="Times New Roman" w:hAnsi="Times New Roman" w:cs="Times New Roman"/>
          <w:b/>
          <w:lang w:val="en-US"/>
        </w:rPr>
        <w:t>Attitude:</w:t>
      </w:r>
      <w:r w:rsidRPr="00850EC7">
        <w:rPr>
          <w:rFonts w:ascii="Times New Roman" w:eastAsia="Times New Roman" w:hAnsi="Times New Roman" w:cs="Times New Roman"/>
          <w:lang w:val="en-US"/>
        </w:rPr>
        <w:t xml:space="preserve"> </w:t>
      </w:r>
    </w:p>
    <w:p w:rsidR="00903171" w:rsidRPr="00F24EFA" w:rsidRDefault="00903171" w:rsidP="00980876">
      <w:pPr>
        <w:pStyle w:val="Listaszerbekezds"/>
        <w:numPr>
          <w:ilvl w:val="0"/>
          <w:numId w:val="571"/>
        </w:numPr>
        <w:rPr>
          <w:rFonts w:ascii="Times New Roman" w:hAnsi="Times New Roman" w:cs="Times New Roman"/>
          <w:sz w:val="24"/>
          <w:szCs w:val="24"/>
          <w:lang w:val="en-GB"/>
        </w:rPr>
      </w:pPr>
      <w:r w:rsidRPr="00F24EFA">
        <w:rPr>
          <w:rFonts w:ascii="Times New Roman" w:hAnsi="Times New Roman" w:cs="Times New Roman"/>
          <w:sz w:val="24"/>
          <w:szCs w:val="24"/>
          <w:lang w:val="en-GB"/>
        </w:rPr>
        <w:t>While performing his/her duties he/she is characterized by a willingness to cooperate with his/her subordinates and strives to involve them in decision-making processes.</w:t>
      </w:r>
    </w:p>
    <w:p w:rsidR="00903171" w:rsidRPr="00F24EFA" w:rsidRDefault="00903171" w:rsidP="00980876">
      <w:pPr>
        <w:pStyle w:val="Listaszerbekezds"/>
        <w:numPr>
          <w:ilvl w:val="0"/>
          <w:numId w:val="571"/>
        </w:numPr>
        <w:rPr>
          <w:rFonts w:ascii="Times New Roman" w:hAnsi="Times New Roman" w:cs="Times New Roman"/>
          <w:sz w:val="24"/>
          <w:szCs w:val="24"/>
          <w:lang w:val="en-GB"/>
        </w:rPr>
      </w:pPr>
      <w:r w:rsidRPr="00F24EFA">
        <w:rPr>
          <w:rFonts w:ascii="Times New Roman" w:hAnsi="Times New Roman" w:cs="Times New Roman"/>
          <w:sz w:val="24"/>
          <w:szCs w:val="24"/>
          <w:lang w:val="en-GB"/>
        </w:rPr>
        <w:t>He/She is committed to accuracy and high quality at work.</w:t>
      </w:r>
    </w:p>
    <w:p w:rsidR="00903171" w:rsidRPr="00F24EFA" w:rsidRDefault="00903171" w:rsidP="00980876">
      <w:pPr>
        <w:pStyle w:val="Listaszerbekezds"/>
        <w:numPr>
          <w:ilvl w:val="0"/>
          <w:numId w:val="571"/>
        </w:numPr>
        <w:rPr>
          <w:rFonts w:ascii="Times New Roman" w:hAnsi="Times New Roman" w:cs="Times New Roman"/>
          <w:sz w:val="24"/>
          <w:szCs w:val="24"/>
          <w:lang w:val="en-GB"/>
        </w:rPr>
      </w:pPr>
      <w:r w:rsidRPr="00F24EFA">
        <w:rPr>
          <w:rFonts w:ascii="Times New Roman" w:hAnsi="Times New Roman" w:cs="Times New Roman"/>
          <w:sz w:val="24"/>
          <w:szCs w:val="24"/>
          <w:lang w:val="en-GB"/>
        </w:rPr>
        <w:lastRenderedPageBreak/>
        <w:t>He/She recognizes the value of systemic activities and seeks to understand the relationships among logistics procedures.</w:t>
      </w:r>
    </w:p>
    <w:p w:rsidR="00903171" w:rsidRPr="00850EC7" w:rsidRDefault="00903171" w:rsidP="00980876">
      <w:pPr>
        <w:pStyle w:val="Listaszerbekezds"/>
        <w:widowControl w:val="0"/>
        <w:numPr>
          <w:ilvl w:val="0"/>
          <w:numId w:val="571"/>
        </w:numPr>
        <w:spacing w:before="120" w:line="240" w:lineRule="auto"/>
        <w:ind w:left="782" w:hanging="357"/>
        <w:jc w:val="both"/>
        <w:rPr>
          <w:rFonts w:ascii="Times New Roman" w:eastAsia="Times New Roman" w:hAnsi="Times New Roman" w:cs="Times New Roman"/>
          <w:lang w:val="en-US"/>
        </w:rPr>
      </w:pPr>
      <w:r w:rsidRPr="00F17652">
        <w:rPr>
          <w:rFonts w:ascii="Times New Roman" w:hAnsi="Times New Roman" w:cs="Times New Roman"/>
          <w:sz w:val="24"/>
          <w:szCs w:val="24"/>
          <w:lang w:val="en-GB"/>
        </w:rPr>
        <w:t>He/She has good organizational skills.</w:t>
      </w:r>
    </w:p>
    <w:p w:rsidR="00903171" w:rsidRPr="00850EC7" w:rsidRDefault="00903171" w:rsidP="00903171">
      <w:pPr>
        <w:widowControl w:val="0"/>
        <w:spacing w:before="120" w:after="120" w:line="240" w:lineRule="auto"/>
        <w:ind w:left="426"/>
        <w:jc w:val="both"/>
        <w:rPr>
          <w:rFonts w:ascii="Times New Roman" w:eastAsia="Times New Roman" w:hAnsi="Times New Roman" w:cs="Times New Roman"/>
          <w:lang w:val="en-US" w:eastAsia="hu-HU"/>
        </w:rPr>
      </w:pPr>
      <w:r w:rsidRPr="00850EC7">
        <w:rPr>
          <w:rFonts w:ascii="Times New Roman" w:eastAsia="Times New Roman" w:hAnsi="Times New Roman" w:cs="Times New Roman"/>
          <w:b/>
          <w:lang w:val="en-US"/>
        </w:rPr>
        <w:t xml:space="preserve">Autonomy and responsibility: </w:t>
      </w:r>
    </w:p>
    <w:p w:rsidR="00903171" w:rsidRPr="00D960A5" w:rsidRDefault="00903171" w:rsidP="00980876">
      <w:pPr>
        <w:pStyle w:val="Listaszerbekezds"/>
        <w:numPr>
          <w:ilvl w:val="0"/>
          <w:numId w:val="571"/>
        </w:numPr>
        <w:rPr>
          <w:rFonts w:ascii="Times New Roman" w:hAnsi="Times New Roman" w:cs="Times New Roman"/>
          <w:sz w:val="24"/>
          <w:szCs w:val="24"/>
          <w:lang w:val="en-GB"/>
        </w:rPr>
      </w:pPr>
      <w:r w:rsidRPr="00D960A5">
        <w:rPr>
          <w:rFonts w:ascii="Times New Roman" w:hAnsi="Times New Roman" w:cs="Times New Roman"/>
          <w:sz w:val="24"/>
          <w:szCs w:val="24"/>
          <w:lang w:val="en-GB"/>
        </w:rPr>
        <w:t>He/She is able to make autonomous decisions in military logistics and military management processes at unit and subunit level, and implement them with responsibility and within the legal framework.</w:t>
      </w:r>
    </w:p>
    <w:p w:rsidR="00903171" w:rsidRPr="00D960A5" w:rsidRDefault="00903171" w:rsidP="00980876">
      <w:pPr>
        <w:pStyle w:val="Listaszerbekezds"/>
        <w:numPr>
          <w:ilvl w:val="0"/>
          <w:numId w:val="571"/>
        </w:numPr>
        <w:rPr>
          <w:rFonts w:ascii="Times New Roman" w:hAnsi="Times New Roman" w:cs="Times New Roman"/>
          <w:sz w:val="24"/>
          <w:szCs w:val="24"/>
          <w:lang w:val="en-GB"/>
        </w:rPr>
      </w:pPr>
      <w:r w:rsidRPr="00D960A5">
        <w:rPr>
          <w:rFonts w:ascii="Times New Roman" w:hAnsi="Times New Roman" w:cs="Times New Roman"/>
          <w:sz w:val="24"/>
          <w:szCs w:val="24"/>
          <w:lang w:val="en-GB"/>
        </w:rPr>
        <w:t>He/She is aware of the impact of his/her decisions and activities on technical equipment and business discipline.</w:t>
      </w:r>
    </w:p>
    <w:p w:rsidR="00903171" w:rsidRPr="00D960A5" w:rsidRDefault="00903171" w:rsidP="00980876">
      <w:pPr>
        <w:pStyle w:val="Listaszerbekezds"/>
        <w:numPr>
          <w:ilvl w:val="0"/>
          <w:numId w:val="571"/>
        </w:numPr>
        <w:rPr>
          <w:rFonts w:ascii="Times New Roman" w:hAnsi="Times New Roman" w:cs="Times New Roman"/>
          <w:sz w:val="24"/>
          <w:szCs w:val="24"/>
          <w:lang w:val="en-GB"/>
        </w:rPr>
      </w:pPr>
      <w:r w:rsidRPr="00D960A5">
        <w:rPr>
          <w:rFonts w:ascii="Times New Roman" w:hAnsi="Times New Roman" w:cs="Times New Roman"/>
          <w:sz w:val="24"/>
          <w:szCs w:val="24"/>
          <w:lang w:val="en-GB"/>
        </w:rPr>
        <w:t>He/She takes responsibility for the professional work of his/her subordinates.</w:t>
      </w:r>
    </w:p>
    <w:p w:rsidR="00903171" w:rsidRPr="008E6B62" w:rsidRDefault="00903171" w:rsidP="00980876">
      <w:pPr>
        <w:widowControl w:val="0"/>
        <w:numPr>
          <w:ilvl w:val="0"/>
          <w:numId w:val="598"/>
        </w:numPr>
        <w:tabs>
          <w:tab w:val="num" w:pos="567"/>
        </w:tabs>
        <w:spacing w:before="120" w:after="200" w:line="276" w:lineRule="auto"/>
        <w:ind w:left="426" w:hanging="142"/>
        <w:jc w:val="both"/>
        <w:rPr>
          <w:rFonts w:ascii="Times New Roman" w:eastAsia="Times New Roman" w:hAnsi="Times New Roman" w:cs="Times New Roman"/>
          <w:b/>
          <w:bCs/>
          <w:lang w:val="en-US"/>
        </w:rPr>
      </w:pPr>
      <w:r w:rsidRPr="008E6B62">
        <w:rPr>
          <w:rFonts w:ascii="Times New Roman" w:eastAsia="Times New Roman" w:hAnsi="Times New Roman" w:cs="Times New Roman"/>
          <w:b/>
          <w:bCs/>
          <w:lang w:val="en-US"/>
        </w:rPr>
        <w:t xml:space="preserve">Required previous studies: </w:t>
      </w:r>
      <w:r w:rsidRPr="008E6B62">
        <w:rPr>
          <w:rFonts w:ascii="Times New Roman" w:eastAsia="Times New Roman" w:hAnsi="Times New Roman" w:cs="Times New Roman"/>
          <w:lang w:val="en-US" w:eastAsia="hu-HU"/>
        </w:rPr>
        <w:t>-</w:t>
      </w:r>
      <w:r w:rsidRPr="008E6B62">
        <w:rPr>
          <w:rFonts w:ascii="Times New Roman" w:eastAsia="Times New Roman" w:hAnsi="Times New Roman" w:cs="Times New Roman"/>
          <w:bCs/>
          <w:lang w:val="en-US"/>
        </w:rPr>
        <w:t xml:space="preserve"> </w:t>
      </w:r>
    </w:p>
    <w:p w:rsidR="00903171" w:rsidRPr="00850EC7" w:rsidRDefault="00903171" w:rsidP="00980876">
      <w:pPr>
        <w:widowControl w:val="0"/>
        <w:numPr>
          <w:ilvl w:val="0"/>
          <w:numId w:val="598"/>
        </w:numPr>
        <w:spacing w:before="120" w:after="120" w:line="240" w:lineRule="auto"/>
        <w:ind w:left="426" w:hanging="142"/>
        <w:jc w:val="both"/>
        <w:rPr>
          <w:rFonts w:ascii="Times New Roman" w:eastAsia="Times New Roman" w:hAnsi="Times New Roman" w:cs="Times New Roman"/>
          <w:b/>
          <w:bCs/>
          <w:lang w:val="en-US"/>
        </w:rPr>
      </w:pPr>
      <w:r w:rsidRPr="00850EC7">
        <w:rPr>
          <w:rFonts w:ascii="Times New Roman" w:eastAsia="Times New Roman" w:hAnsi="Times New Roman" w:cs="Times New Roman"/>
          <w:b/>
          <w:bCs/>
          <w:lang w:val="en-US"/>
        </w:rPr>
        <w:t>The syllabus of the subject:</w:t>
      </w:r>
    </w:p>
    <w:p w:rsidR="00903171" w:rsidRPr="00850EC7" w:rsidRDefault="00903171" w:rsidP="00980876">
      <w:pPr>
        <w:widowControl w:val="0"/>
        <w:numPr>
          <w:ilvl w:val="1"/>
          <w:numId w:val="598"/>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lang w:val="en-US"/>
        </w:rPr>
      </w:pPr>
      <w:r w:rsidRPr="00D960A5">
        <w:rPr>
          <w:rFonts w:ascii="Times New Roman" w:eastAsia="Times New Roman" w:hAnsi="Times New Roman" w:cs="Times New Roman"/>
          <w:lang w:val="en-US"/>
        </w:rPr>
        <w:t>Basic Definitions, Logistic Functions</w:t>
      </w:r>
      <w:r>
        <w:rPr>
          <w:rFonts w:ascii="Times New Roman" w:eastAsia="Times New Roman" w:hAnsi="Times New Roman" w:cs="Times New Roman"/>
          <w:lang w:val="en-US"/>
        </w:rPr>
        <w:t>.</w:t>
      </w:r>
    </w:p>
    <w:p w:rsidR="00903171" w:rsidRDefault="00903171" w:rsidP="00980876">
      <w:pPr>
        <w:widowControl w:val="0"/>
        <w:numPr>
          <w:ilvl w:val="1"/>
          <w:numId w:val="598"/>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lang w:val="en-US"/>
        </w:rPr>
      </w:pPr>
      <w:r w:rsidRPr="00D960A5">
        <w:rPr>
          <w:rFonts w:ascii="Times New Roman" w:eastAsia="Times New Roman" w:hAnsi="Times New Roman" w:cs="Times New Roman"/>
          <w:lang w:val="en-US"/>
        </w:rPr>
        <w:t>Evolution of NATO Logistic Principles</w:t>
      </w:r>
      <w:r>
        <w:rPr>
          <w:rFonts w:ascii="Times New Roman" w:eastAsia="Times New Roman" w:hAnsi="Times New Roman" w:cs="Times New Roman"/>
          <w:lang w:val="en-US"/>
        </w:rPr>
        <w:t>.</w:t>
      </w:r>
    </w:p>
    <w:p w:rsidR="00903171" w:rsidRPr="00D960A5" w:rsidRDefault="00903171" w:rsidP="00980876">
      <w:pPr>
        <w:widowControl w:val="0"/>
        <w:numPr>
          <w:ilvl w:val="1"/>
          <w:numId w:val="598"/>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lang w:val="en-US"/>
        </w:rPr>
      </w:pPr>
      <w:r w:rsidRPr="00D960A5">
        <w:rPr>
          <w:rFonts w:ascii="Times New Roman" w:eastAsia="Times New Roman" w:hAnsi="Times New Roman" w:cs="Times New Roman"/>
          <w:bCs/>
          <w:lang w:val="en-US"/>
        </w:rPr>
        <w:t>Classes of Supply Defined in NATO</w:t>
      </w:r>
      <w:r>
        <w:rPr>
          <w:rFonts w:ascii="Times New Roman" w:eastAsia="Times New Roman" w:hAnsi="Times New Roman" w:cs="Times New Roman"/>
          <w:bCs/>
          <w:lang w:val="en-US"/>
        </w:rPr>
        <w:t>.</w:t>
      </w:r>
    </w:p>
    <w:p w:rsidR="00903171" w:rsidRPr="00850EC7" w:rsidRDefault="00903171" w:rsidP="00980876">
      <w:pPr>
        <w:widowControl w:val="0"/>
        <w:numPr>
          <w:ilvl w:val="1"/>
          <w:numId w:val="598"/>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lang w:val="en-US"/>
        </w:rPr>
      </w:pPr>
      <w:r w:rsidRPr="00D960A5">
        <w:rPr>
          <w:rFonts w:ascii="Times New Roman" w:eastAsia="Times New Roman" w:hAnsi="Times New Roman" w:cs="Times New Roman"/>
          <w:bCs/>
          <w:lang w:val="en-US"/>
        </w:rPr>
        <w:t>Multinational Logistics, Modes of Multinational Logistic Support.</w:t>
      </w:r>
    </w:p>
    <w:p w:rsidR="00903171" w:rsidRDefault="00903171" w:rsidP="00980876">
      <w:pPr>
        <w:widowControl w:val="0"/>
        <w:numPr>
          <w:ilvl w:val="1"/>
          <w:numId w:val="598"/>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lang w:val="en-US"/>
        </w:rPr>
      </w:pPr>
      <w:r w:rsidRPr="00D960A5">
        <w:rPr>
          <w:rFonts w:ascii="Times New Roman" w:eastAsia="Times New Roman" w:hAnsi="Times New Roman" w:cs="Times New Roman"/>
          <w:lang w:val="en-US"/>
        </w:rPr>
        <w:t xml:space="preserve">Role of </w:t>
      </w:r>
      <w:r>
        <w:rPr>
          <w:rFonts w:ascii="Times New Roman" w:eastAsia="Times New Roman" w:hAnsi="Times New Roman" w:cs="Times New Roman"/>
          <w:lang w:val="en-US"/>
        </w:rPr>
        <w:t>3</w:t>
      </w:r>
      <w:r w:rsidRPr="00D960A5">
        <w:rPr>
          <w:rFonts w:ascii="Times New Roman" w:eastAsia="Times New Roman" w:hAnsi="Times New Roman" w:cs="Times New Roman"/>
          <w:vertAlign w:val="superscript"/>
          <w:lang w:val="en-US"/>
        </w:rPr>
        <w:t>rd</w:t>
      </w:r>
      <w:r>
        <w:rPr>
          <w:rFonts w:ascii="Times New Roman" w:eastAsia="Times New Roman" w:hAnsi="Times New Roman" w:cs="Times New Roman"/>
          <w:lang w:val="en-US"/>
        </w:rPr>
        <w:t xml:space="preserve"> line logistic support organizations</w:t>
      </w:r>
      <w:r w:rsidRPr="00D960A5">
        <w:rPr>
          <w:rFonts w:ascii="Times New Roman" w:eastAsia="Times New Roman" w:hAnsi="Times New Roman" w:cs="Times New Roman"/>
          <w:lang w:val="en-US"/>
        </w:rPr>
        <w:t xml:space="preserve"> in Military Operations</w:t>
      </w:r>
      <w:r>
        <w:rPr>
          <w:rFonts w:ascii="Times New Roman" w:eastAsia="Times New Roman" w:hAnsi="Times New Roman" w:cs="Times New Roman"/>
          <w:lang w:val="en-US"/>
        </w:rPr>
        <w:t>.</w:t>
      </w:r>
    </w:p>
    <w:p w:rsidR="00903171" w:rsidRDefault="00903171" w:rsidP="00980876">
      <w:pPr>
        <w:widowControl w:val="0"/>
        <w:numPr>
          <w:ilvl w:val="1"/>
          <w:numId w:val="598"/>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lang w:val="en-US"/>
        </w:rPr>
      </w:pPr>
      <w:r>
        <w:rPr>
          <w:rFonts w:ascii="Times New Roman" w:eastAsia="Times New Roman" w:hAnsi="Times New Roman" w:cs="Times New Roman"/>
          <w:lang w:val="en-US"/>
        </w:rPr>
        <w:t>Role and specified tasks of National Support Element.</w:t>
      </w:r>
    </w:p>
    <w:p w:rsidR="00903171" w:rsidRDefault="00903171" w:rsidP="00980876">
      <w:pPr>
        <w:widowControl w:val="0"/>
        <w:numPr>
          <w:ilvl w:val="1"/>
          <w:numId w:val="598"/>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lang w:val="en-US"/>
        </w:rPr>
      </w:pPr>
      <w:r>
        <w:rPr>
          <w:rFonts w:ascii="Times New Roman" w:eastAsia="Times New Roman" w:hAnsi="Times New Roman" w:cs="Times New Roman"/>
          <w:lang w:val="en-US"/>
        </w:rPr>
        <w:t>Role and specified tasks of Operational Liaison and Reconnaissance Team and Joint Logistics Reconnaissance Team.</w:t>
      </w:r>
    </w:p>
    <w:p w:rsidR="00903171" w:rsidRDefault="00903171" w:rsidP="00980876">
      <w:pPr>
        <w:widowControl w:val="0"/>
        <w:numPr>
          <w:ilvl w:val="1"/>
          <w:numId w:val="598"/>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lang w:val="en-US"/>
        </w:rPr>
      </w:pPr>
      <w:r w:rsidRPr="00D960A5">
        <w:rPr>
          <w:rFonts w:ascii="Times New Roman" w:eastAsia="Times New Roman" w:hAnsi="Times New Roman" w:cs="Times New Roman"/>
          <w:lang w:val="en-US"/>
        </w:rPr>
        <w:t xml:space="preserve"> </w:t>
      </w:r>
      <w:r w:rsidRPr="005E5714">
        <w:rPr>
          <w:rFonts w:ascii="Times New Roman" w:eastAsia="Times New Roman" w:hAnsi="Times New Roman" w:cs="Times New Roman"/>
          <w:lang w:val="en-US"/>
        </w:rPr>
        <w:t>Basic Structure of the NATO Operational Support Chain (OSC).</w:t>
      </w:r>
    </w:p>
    <w:p w:rsidR="00903171" w:rsidRDefault="00903171" w:rsidP="00980876">
      <w:pPr>
        <w:widowControl w:val="0"/>
        <w:numPr>
          <w:ilvl w:val="1"/>
          <w:numId w:val="598"/>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lang w:val="en-US"/>
        </w:rPr>
      </w:pPr>
      <w:r w:rsidRPr="005E5714">
        <w:rPr>
          <w:rFonts w:ascii="Times New Roman" w:eastAsia="Times New Roman" w:hAnsi="Times New Roman" w:cs="Times New Roman"/>
          <w:lang w:val="en-US"/>
        </w:rPr>
        <w:t xml:space="preserve">Steps of </w:t>
      </w:r>
      <w:r>
        <w:rPr>
          <w:rFonts w:ascii="Times New Roman" w:eastAsia="Times New Roman" w:hAnsi="Times New Roman" w:cs="Times New Roman"/>
          <w:lang w:val="en-US"/>
        </w:rPr>
        <w:t>conducting</w:t>
      </w:r>
      <w:r w:rsidRPr="005E5714">
        <w:rPr>
          <w:rFonts w:ascii="Times New Roman" w:eastAsia="Times New Roman" w:hAnsi="Times New Roman" w:cs="Times New Roman"/>
          <w:lang w:val="en-US"/>
        </w:rPr>
        <w:t xml:space="preserve"> Logistic Estimate.</w:t>
      </w:r>
    </w:p>
    <w:p w:rsidR="00903171" w:rsidRDefault="00903171" w:rsidP="00980876">
      <w:pPr>
        <w:widowControl w:val="0"/>
        <w:numPr>
          <w:ilvl w:val="1"/>
          <w:numId w:val="598"/>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lang w:val="en-US"/>
        </w:rPr>
      </w:pPr>
      <w:r>
        <w:rPr>
          <w:rFonts w:ascii="Times New Roman" w:eastAsia="Times New Roman" w:hAnsi="Times New Roman" w:cs="Times New Roman"/>
          <w:lang w:val="en-US"/>
        </w:rPr>
        <w:t xml:space="preserve"> </w:t>
      </w:r>
      <w:r w:rsidRPr="005E5714">
        <w:rPr>
          <w:rFonts w:ascii="Times New Roman" w:eastAsia="Times New Roman" w:hAnsi="Times New Roman" w:cs="Times New Roman"/>
          <w:lang w:val="en-US"/>
        </w:rPr>
        <w:t>Risk Analysis and Management During Logistic Operations. Probability-Impact Grap</w:t>
      </w:r>
      <w:r>
        <w:rPr>
          <w:rFonts w:ascii="Times New Roman" w:eastAsia="Times New Roman" w:hAnsi="Times New Roman" w:cs="Times New Roman"/>
          <w:lang w:val="en-US"/>
        </w:rPr>
        <w:t>h.</w:t>
      </w:r>
    </w:p>
    <w:p w:rsidR="00903171" w:rsidRPr="00850EC7" w:rsidRDefault="00903171" w:rsidP="00980876">
      <w:pPr>
        <w:widowControl w:val="0"/>
        <w:numPr>
          <w:ilvl w:val="1"/>
          <w:numId w:val="598"/>
        </w:numPr>
        <w:tabs>
          <w:tab w:val="clear" w:pos="3977"/>
          <w:tab w:val="left" w:pos="709"/>
          <w:tab w:val="left" w:pos="993"/>
          <w:tab w:val="num" w:pos="2069"/>
        </w:tabs>
        <w:spacing w:before="120" w:after="120" w:line="240" w:lineRule="auto"/>
        <w:ind w:left="993" w:hanging="567"/>
        <w:jc w:val="both"/>
        <w:rPr>
          <w:rFonts w:ascii="Times New Roman" w:eastAsia="Times New Roman" w:hAnsi="Times New Roman" w:cs="Times New Roman"/>
          <w:lang w:val="en-US"/>
        </w:rPr>
      </w:pPr>
      <w:r>
        <w:rPr>
          <w:rFonts w:ascii="Times New Roman" w:eastAsia="Times New Roman" w:hAnsi="Times New Roman" w:cs="Times New Roman"/>
          <w:lang w:val="en-US"/>
        </w:rPr>
        <w:t xml:space="preserve"> Introduction of NATO LOGFAS.</w:t>
      </w:r>
    </w:p>
    <w:p w:rsidR="00903171" w:rsidRPr="00850EC7" w:rsidRDefault="00903171" w:rsidP="00980876">
      <w:pPr>
        <w:widowControl w:val="0"/>
        <w:numPr>
          <w:ilvl w:val="0"/>
          <w:numId w:val="598"/>
        </w:numPr>
        <w:spacing w:before="120" w:after="120" w:line="240" w:lineRule="auto"/>
        <w:ind w:left="426" w:hanging="142"/>
        <w:jc w:val="both"/>
        <w:rPr>
          <w:rFonts w:ascii="Times New Roman" w:eastAsia="Times New Roman" w:hAnsi="Times New Roman" w:cs="Times New Roman"/>
          <w:bCs/>
          <w:lang w:val="en-US"/>
        </w:rPr>
      </w:pPr>
      <w:r w:rsidRPr="00850EC7">
        <w:rPr>
          <w:rFonts w:ascii="Times New Roman" w:eastAsia="Times New Roman" w:hAnsi="Times New Roman" w:cs="Times New Roman"/>
          <w:b/>
          <w:bCs/>
          <w:lang w:val="en-US"/>
        </w:rPr>
        <w:t xml:space="preserve">The frequency of offering the subject/its position in the curriculum of the term: </w:t>
      </w:r>
      <w:r w:rsidRPr="00850EC7">
        <w:rPr>
          <w:rFonts w:ascii="Times New Roman" w:eastAsia="Times New Roman" w:hAnsi="Times New Roman" w:cs="Times New Roman"/>
          <w:lang w:val="en-US" w:eastAsia="hu-HU"/>
        </w:rPr>
        <w:t xml:space="preserve">in </w:t>
      </w:r>
      <w:r w:rsidRPr="00850EC7">
        <w:rPr>
          <w:rFonts w:ascii="Times New Roman" w:eastAsia="Times New Roman" w:hAnsi="Times New Roman" w:cs="Times New Roman"/>
          <w:bCs/>
          <w:lang w:val="en-US"/>
        </w:rPr>
        <w:t>autumn semester</w:t>
      </w:r>
    </w:p>
    <w:p w:rsidR="00903171" w:rsidRPr="00850EC7" w:rsidRDefault="00903171" w:rsidP="00980876">
      <w:pPr>
        <w:widowControl w:val="0"/>
        <w:numPr>
          <w:ilvl w:val="0"/>
          <w:numId w:val="598"/>
        </w:numPr>
        <w:spacing w:before="120" w:after="120" w:line="240" w:lineRule="auto"/>
        <w:ind w:left="426" w:hanging="142"/>
        <w:jc w:val="both"/>
        <w:rPr>
          <w:rFonts w:ascii="Times New Roman" w:eastAsia="Times New Roman" w:hAnsi="Times New Roman" w:cs="Times New Roman"/>
          <w:bCs/>
          <w:lang w:val="en-US"/>
        </w:rPr>
      </w:pPr>
      <w:r w:rsidRPr="00850EC7">
        <w:rPr>
          <w:rFonts w:ascii="Times New Roman" w:eastAsia="Times New Roman" w:hAnsi="Times New Roman" w:cs="Times New Roman"/>
          <w:b/>
          <w:bCs/>
          <w:lang w:val="en-US"/>
        </w:rPr>
        <w:t>Requirements of attendance, acceptable absence, opportunity for making up missed classes:</w:t>
      </w:r>
    </w:p>
    <w:p w:rsidR="00903171" w:rsidRPr="00850EC7" w:rsidRDefault="00903171" w:rsidP="00903171">
      <w:pPr>
        <w:widowControl w:val="0"/>
        <w:spacing w:before="120" w:after="120" w:line="240" w:lineRule="auto"/>
        <w:ind w:left="426"/>
        <w:jc w:val="both"/>
        <w:rPr>
          <w:rFonts w:ascii="Times New Roman" w:eastAsia="Times New Roman" w:hAnsi="Times New Roman" w:cs="Times New Roman"/>
          <w:bCs/>
          <w:lang w:val="en-US"/>
        </w:rPr>
      </w:pPr>
      <w:r w:rsidRPr="00850EC7">
        <w:rPr>
          <w:rFonts w:ascii="Times New Roman" w:eastAsia="Times New Roman" w:hAnsi="Times New Roman" w:cs="Times New Roman"/>
          <w:lang w:val="en-US" w:eastAsia="hu-HU"/>
        </w:rPr>
        <w:t xml:space="preserve">Attendance is </w:t>
      </w:r>
      <w:r>
        <w:rPr>
          <w:rFonts w:ascii="Times New Roman" w:eastAsia="Times New Roman" w:hAnsi="Times New Roman" w:cs="Times New Roman"/>
          <w:lang w:val="en-US" w:eastAsia="hu-HU"/>
        </w:rPr>
        <w:t>suggested,</w:t>
      </w:r>
      <w:r w:rsidRPr="00850EC7">
        <w:rPr>
          <w:rFonts w:ascii="Times New Roman" w:eastAsia="Times New Roman" w:hAnsi="Times New Roman" w:cs="Times New Roman"/>
          <w:lang w:val="en-US" w:eastAsia="hu-HU"/>
        </w:rPr>
        <w:t xml:space="preserve"> but not compulsory, except of the </w:t>
      </w:r>
      <w:r>
        <w:rPr>
          <w:rFonts w:ascii="Times New Roman" w:eastAsia="Times New Roman" w:hAnsi="Times New Roman" w:cs="Times New Roman"/>
          <w:lang w:val="en-US" w:eastAsia="hu-HU"/>
        </w:rPr>
        <w:t>practical lessons</w:t>
      </w:r>
      <w:r w:rsidRPr="00850EC7">
        <w:rPr>
          <w:rFonts w:ascii="Times New Roman" w:eastAsia="Times New Roman" w:hAnsi="Times New Roman" w:cs="Times New Roman"/>
          <w:lang w:val="en-US" w:eastAsia="hu-HU"/>
        </w:rPr>
        <w:t xml:space="preserve">. </w:t>
      </w:r>
    </w:p>
    <w:p w:rsidR="00903171" w:rsidRPr="00850EC7" w:rsidRDefault="00903171" w:rsidP="00980876">
      <w:pPr>
        <w:widowControl w:val="0"/>
        <w:numPr>
          <w:ilvl w:val="0"/>
          <w:numId w:val="598"/>
        </w:numPr>
        <w:spacing w:before="120" w:after="120" w:line="240" w:lineRule="auto"/>
        <w:ind w:left="426" w:hanging="142"/>
        <w:jc w:val="both"/>
        <w:rPr>
          <w:rFonts w:ascii="Times New Roman" w:eastAsia="Times New Roman" w:hAnsi="Times New Roman" w:cs="Times New Roman"/>
          <w:bCs/>
          <w:lang w:val="en-US"/>
        </w:rPr>
      </w:pPr>
      <w:r w:rsidRPr="00850EC7">
        <w:rPr>
          <w:rFonts w:ascii="Times New Roman" w:eastAsia="Times New Roman" w:hAnsi="Times New Roman" w:cs="Times New Roman"/>
          <w:b/>
          <w:lang w:val="en-US"/>
        </w:rPr>
        <w:t>Term assignments, testing knowledge:</w:t>
      </w:r>
    </w:p>
    <w:p w:rsidR="00903171" w:rsidRPr="00EA636C" w:rsidRDefault="00903171" w:rsidP="00903171">
      <w:pPr>
        <w:pStyle w:val="Listaszerbekezds"/>
        <w:widowControl w:val="0"/>
        <w:tabs>
          <w:tab w:val="left" w:pos="993"/>
        </w:tabs>
        <w:spacing w:before="120" w:after="120" w:line="240" w:lineRule="auto"/>
        <w:ind w:left="426"/>
        <w:jc w:val="both"/>
        <w:rPr>
          <w:rFonts w:ascii="Times New Roman" w:eastAsia="Times New Roman" w:hAnsi="Times New Roman" w:cs="Times New Roman"/>
          <w:lang w:val="en-US"/>
        </w:rPr>
      </w:pPr>
      <w:r>
        <w:rPr>
          <w:rFonts w:ascii="Times New Roman" w:eastAsia="Times New Roman" w:hAnsi="Times New Roman" w:cs="Times New Roman"/>
          <w:lang w:val="en-US" w:eastAsia="hu-HU"/>
        </w:rPr>
        <w:t>Students have to attend the practical lessons, that means their presesence on them is compulsory. At the end of the course they have to write a short test.</w:t>
      </w:r>
    </w:p>
    <w:p w:rsidR="00903171" w:rsidRPr="00850EC7" w:rsidRDefault="00903171" w:rsidP="00980876">
      <w:pPr>
        <w:widowControl w:val="0"/>
        <w:numPr>
          <w:ilvl w:val="0"/>
          <w:numId w:val="598"/>
        </w:numPr>
        <w:spacing w:before="120" w:after="120" w:line="240" w:lineRule="auto"/>
        <w:ind w:left="426" w:hanging="142"/>
        <w:jc w:val="both"/>
        <w:rPr>
          <w:rFonts w:ascii="Times New Roman" w:eastAsia="Times New Roman" w:hAnsi="Times New Roman" w:cs="Times New Roman"/>
          <w:b/>
          <w:bCs/>
          <w:lang w:val="en-US"/>
        </w:rPr>
      </w:pPr>
      <w:r w:rsidRPr="00850EC7">
        <w:rPr>
          <w:rFonts w:ascii="Times New Roman" w:eastAsia="Times New Roman" w:hAnsi="Times New Roman" w:cs="Times New Roman"/>
          <w:b/>
          <w:bCs/>
          <w:lang w:val="en-US"/>
        </w:rPr>
        <w:t xml:space="preserve">The exact conditions of testing knowledge, obtaining signature or credits: </w:t>
      </w:r>
    </w:p>
    <w:p w:rsidR="00903171" w:rsidRPr="00850EC7" w:rsidRDefault="00903171" w:rsidP="00980876">
      <w:pPr>
        <w:widowControl w:val="0"/>
        <w:numPr>
          <w:ilvl w:val="1"/>
          <w:numId w:val="598"/>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lang w:val="en-US"/>
        </w:rPr>
      </w:pPr>
      <w:r w:rsidRPr="00850EC7">
        <w:rPr>
          <w:rFonts w:ascii="Times New Roman" w:eastAsia="Times New Roman" w:hAnsi="Times New Roman" w:cs="Times New Roman"/>
          <w:b/>
          <w:lang w:val="en-US"/>
        </w:rPr>
        <w:t>The exact conditions of obtaining signature:</w:t>
      </w:r>
    </w:p>
    <w:p w:rsidR="00903171" w:rsidRPr="00850EC7" w:rsidRDefault="00903171" w:rsidP="00903171">
      <w:pPr>
        <w:widowControl w:val="0"/>
        <w:tabs>
          <w:tab w:val="left" w:pos="993"/>
        </w:tabs>
        <w:spacing w:before="120" w:after="120" w:line="240" w:lineRule="auto"/>
        <w:ind w:left="426"/>
        <w:jc w:val="both"/>
        <w:rPr>
          <w:rFonts w:ascii="Times New Roman" w:eastAsia="Times New Roman" w:hAnsi="Times New Roman" w:cs="Times New Roman"/>
          <w:lang w:val="en-US"/>
        </w:rPr>
      </w:pPr>
      <w:r>
        <w:rPr>
          <w:rFonts w:ascii="Times New Roman" w:eastAsia="Times New Roman" w:hAnsi="Times New Roman" w:cs="Times New Roman"/>
          <w:lang w:val="en-US"/>
        </w:rPr>
        <w:t>Meeting with the requirements written in the point 14</w:t>
      </w:r>
      <w:r w:rsidRPr="00EA636C">
        <w:rPr>
          <w:rFonts w:ascii="Times New Roman" w:eastAsia="Times New Roman" w:hAnsi="Times New Roman" w:cs="Times New Roman"/>
          <w:vertAlign w:val="superscript"/>
          <w:lang w:val="en-US"/>
        </w:rPr>
        <w:t>th</w:t>
      </w:r>
      <w:r>
        <w:rPr>
          <w:rFonts w:ascii="Times New Roman" w:eastAsia="Times New Roman" w:hAnsi="Times New Roman" w:cs="Times New Roman"/>
          <w:lang w:val="en-US"/>
        </w:rPr>
        <w:t>.</w:t>
      </w:r>
    </w:p>
    <w:p w:rsidR="00903171" w:rsidRPr="00850EC7" w:rsidRDefault="00903171" w:rsidP="00980876">
      <w:pPr>
        <w:widowControl w:val="0"/>
        <w:numPr>
          <w:ilvl w:val="1"/>
          <w:numId w:val="598"/>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lang w:val="en-US"/>
        </w:rPr>
      </w:pPr>
      <w:r w:rsidRPr="00850EC7">
        <w:rPr>
          <w:rFonts w:ascii="Times New Roman" w:eastAsia="Times New Roman" w:hAnsi="Times New Roman" w:cs="Times New Roman"/>
          <w:b/>
          <w:lang w:val="en-US"/>
        </w:rPr>
        <w:t>Evaluation:</w:t>
      </w:r>
    </w:p>
    <w:p w:rsidR="00903171" w:rsidRPr="00850EC7" w:rsidRDefault="00903171" w:rsidP="00903171">
      <w:pPr>
        <w:widowControl w:val="0"/>
        <w:tabs>
          <w:tab w:val="left" w:pos="993"/>
          <w:tab w:val="num" w:pos="3977"/>
        </w:tabs>
        <w:spacing w:before="120" w:after="120" w:line="240" w:lineRule="auto"/>
        <w:ind w:left="426"/>
        <w:jc w:val="both"/>
        <w:rPr>
          <w:rFonts w:ascii="Times New Roman" w:eastAsia="Times New Roman" w:hAnsi="Times New Roman" w:cs="Times New Roman"/>
          <w:lang w:val="en-US"/>
        </w:rPr>
      </w:pPr>
      <w:r>
        <w:rPr>
          <w:rFonts w:ascii="Times New Roman" w:eastAsia="Times New Roman" w:hAnsi="Times New Roman" w:cs="Times New Roman"/>
          <w:lang w:val="en-US"/>
        </w:rPr>
        <w:t xml:space="preserve">Form of the evaluation: End of Semester Grade. </w:t>
      </w:r>
      <w:r w:rsidRPr="00850EC7">
        <w:rPr>
          <w:rFonts w:ascii="Times New Roman" w:eastAsia="Times New Roman" w:hAnsi="Times New Roman" w:cs="Times New Roman"/>
          <w:lang w:val="en-US"/>
        </w:rPr>
        <w:t>Evaluation</w:t>
      </w:r>
      <w:r>
        <w:rPr>
          <w:rFonts w:ascii="Times New Roman" w:eastAsia="Times New Roman" w:hAnsi="Times New Roman" w:cs="Times New Roman"/>
          <w:lang w:val="en-US"/>
        </w:rPr>
        <w:t xml:space="preserve"> of students</w:t>
      </w:r>
      <w:r w:rsidRPr="00850EC7">
        <w:rPr>
          <w:rFonts w:ascii="Times New Roman" w:eastAsia="Times New Roman" w:hAnsi="Times New Roman" w:cs="Times New Roman"/>
          <w:lang w:val="en-US"/>
        </w:rPr>
        <w:t xml:space="preserve"> is in 5-point grading scale. Grading involves the</w:t>
      </w:r>
      <w:r>
        <w:rPr>
          <w:rFonts w:ascii="Times New Roman" w:eastAsia="Times New Roman" w:hAnsi="Times New Roman" w:cs="Times New Roman"/>
          <w:lang w:val="en-US"/>
        </w:rPr>
        <w:t>ir abilities during the practical lessons</w:t>
      </w:r>
      <w:r w:rsidRPr="00850EC7">
        <w:rPr>
          <w:rFonts w:ascii="Times New Roman" w:eastAsia="Times New Roman" w:hAnsi="Times New Roman" w:cs="Times New Roman"/>
          <w:lang w:val="en-US"/>
        </w:rPr>
        <w:t xml:space="preserve"> and the </w:t>
      </w:r>
      <w:r>
        <w:rPr>
          <w:rFonts w:ascii="Times New Roman" w:eastAsia="Times New Roman" w:hAnsi="Times New Roman" w:cs="Times New Roman"/>
          <w:lang w:val="en-US"/>
        </w:rPr>
        <w:t>grade gathered on the test</w:t>
      </w:r>
      <w:r w:rsidRPr="00850EC7">
        <w:rPr>
          <w:rFonts w:ascii="Times New Roman" w:eastAsia="Times New Roman" w:hAnsi="Times New Roman" w:cs="Times New Roman"/>
          <w:lang w:val="en-US"/>
        </w:rPr>
        <w:t>.</w:t>
      </w:r>
    </w:p>
    <w:p w:rsidR="00903171" w:rsidRPr="00850EC7" w:rsidRDefault="00903171" w:rsidP="00980876">
      <w:pPr>
        <w:widowControl w:val="0"/>
        <w:numPr>
          <w:ilvl w:val="1"/>
          <w:numId w:val="598"/>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lang w:val="en-US"/>
        </w:rPr>
      </w:pPr>
      <w:r w:rsidRPr="00850EC7">
        <w:rPr>
          <w:rFonts w:ascii="Times New Roman" w:eastAsia="Times New Roman" w:hAnsi="Times New Roman" w:cs="Times New Roman"/>
          <w:b/>
          <w:lang w:val="en-US"/>
        </w:rPr>
        <w:t>The exact conditions of obtaining credits:</w:t>
      </w:r>
      <w:r w:rsidRPr="00850EC7">
        <w:rPr>
          <w:rFonts w:ascii="Times New Roman" w:eastAsia="Times New Roman" w:hAnsi="Times New Roman" w:cs="Times New Roman"/>
          <w:lang w:val="en-US"/>
        </w:rPr>
        <w:t xml:space="preserve"> </w:t>
      </w:r>
    </w:p>
    <w:p w:rsidR="00903171" w:rsidRPr="00850EC7" w:rsidRDefault="00903171" w:rsidP="00903171">
      <w:pPr>
        <w:widowControl w:val="0"/>
        <w:tabs>
          <w:tab w:val="left" w:pos="993"/>
        </w:tabs>
        <w:spacing w:before="120" w:after="120" w:line="240" w:lineRule="auto"/>
        <w:ind w:left="426"/>
        <w:jc w:val="both"/>
        <w:rPr>
          <w:rFonts w:ascii="Times New Roman" w:eastAsia="Times New Roman" w:hAnsi="Times New Roman" w:cs="Times New Roman"/>
          <w:lang w:val="en-US"/>
        </w:rPr>
      </w:pPr>
      <w:r w:rsidRPr="00850EC7">
        <w:rPr>
          <w:rFonts w:ascii="Times New Roman" w:eastAsia="Times New Roman" w:hAnsi="Times New Roman" w:cs="Times New Roman"/>
          <w:lang w:val="en-US" w:eastAsia="hu-HU"/>
        </w:rPr>
        <w:t xml:space="preserve">Taking part </w:t>
      </w:r>
      <w:r>
        <w:rPr>
          <w:rFonts w:ascii="Times New Roman" w:eastAsia="Times New Roman" w:hAnsi="Times New Roman" w:cs="Times New Roman"/>
          <w:lang w:val="en-US" w:eastAsia="hu-HU"/>
        </w:rPr>
        <w:t>in practical lessons</w:t>
      </w:r>
      <w:r w:rsidRPr="00850EC7">
        <w:rPr>
          <w:rFonts w:ascii="Times New Roman" w:eastAsia="Times New Roman" w:hAnsi="Times New Roman" w:cs="Times New Roman"/>
          <w:lang w:val="en-US" w:eastAsia="hu-HU"/>
        </w:rPr>
        <w:t xml:space="preserve"> and passing the written test. </w:t>
      </w:r>
    </w:p>
    <w:p w:rsidR="00903171" w:rsidRPr="00850EC7" w:rsidRDefault="00903171" w:rsidP="00980876">
      <w:pPr>
        <w:widowControl w:val="0"/>
        <w:numPr>
          <w:ilvl w:val="0"/>
          <w:numId w:val="598"/>
        </w:numPr>
        <w:spacing w:before="120" w:after="120" w:line="240" w:lineRule="auto"/>
        <w:ind w:left="426" w:hanging="142"/>
        <w:jc w:val="both"/>
        <w:rPr>
          <w:rFonts w:ascii="Times New Roman" w:eastAsia="Times New Roman" w:hAnsi="Times New Roman" w:cs="Times New Roman"/>
          <w:bCs/>
          <w:lang w:val="en-US"/>
        </w:rPr>
      </w:pPr>
      <w:r w:rsidRPr="00850EC7">
        <w:rPr>
          <w:rFonts w:ascii="Times New Roman" w:eastAsia="Times New Roman" w:hAnsi="Times New Roman" w:cs="Times New Roman"/>
          <w:b/>
          <w:bCs/>
          <w:lang w:val="en-US"/>
        </w:rPr>
        <w:lastRenderedPageBreak/>
        <w:t>Bibliography:</w:t>
      </w:r>
    </w:p>
    <w:p w:rsidR="00903171" w:rsidRPr="00850EC7" w:rsidRDefault="00903171" w:rsidP="00980876">
      <w:pPr>
        <w:widowControl w:val="0"/>
        <w:numPr>
          <w:ilvl w:val="1"/>
          <w:numId w:val="598"/>
        </w:numPr>
        <w:tabs>
          <w:tab w:val="left" w:pos="993"/>
          <w:tab w:val="num" w:pos="2069"/>
        </w:tabs>
        <w:spacing w:before="120" w:after="120" w:line="240" w:lineRule="auto"/>
        <w:ind w:left="426" w:hanging="142"/>
        <w:jc w:val="both"/>
        <w:rPr>
          <w:rFonts w:ascii="Times New Roman" w:eastAsia="Times New Roman" w:hAnsi="Times New Roman" w:cs="Times New Roman"/>
          <w:bCs/>
          <w:lang w:val="en-US"/>
        </w:rPr>
      </w:pPr>
      <w:r w:rsidRPr="00850EC7">
        <w:rPr>
          <w:rFonts w:ascii="Times New Roman" w:eastAsia="Times New Roman" w:hAnsi="Times New Roman" w:cs="Times New Roman"/>
          <w:b/>
          <w:bCs/>
          <w:lang w:val="en-US"/>
        </w:rPr>
        <w:t>Compulsory readings:</w:t>
      </w:r>
    </w:p>
    <w:p w:rsidR="00903171" w:rsidRPr="004046FD" w:rsidRDefault="00903171" w:rsidP="00980876">
      <w:pPr>
        <w:pStyle w:val="Listaszerbekezds"/>
        <w:numPr>
          <w:ilvl w:val="0"/>
          <w:numId w:val="572"/>
        </w:numPr>
        <w:rPr>
          <w:rFonts w:ascii="Times New Roman" w:eastAsia="Times New Roman" w:hAnsi="Times New Roman" w:cs="Times New Roman"/>
          <w:bCs/>
          <w:lang w:val="en-US"/>
        </w:rPr>
      </w:pPr>
      <w:r w:rsidRPr="004046FD">
        <w:rPr>
          <w:rFonts w:ascii="Times New Roman" w:eastAsia="Times New Roman" w:hAnsi="Times New Roman" w:cs="Times New Roman"/>
          <w:bCs/>
          <w:lang w:val="en-US"/>
        </w:rPr>
        <w:t>NATO Logistics Handbook, NATO Issue, 2012.</w:t>
      </w:r>
    </w:p>
    <w:p w:rsidR="00903171" w:rsidRPr="004046FD" w:rsidRDefault="00903171" w:rsidP="00980876">
      <w:pPr>
        <w:pStyle w:val="Listaszerbekezds"/>
        <w:numPr>
          <w:ilvl w:val="0"/>
          <w:numId w:val="572"/>
        </w:numPr>
        <w:rPr>
          <w:rFonts w:ascii="Times New Roman" w:eastAsia="Times New Roman" w:hAnsi="Times New Roman" w:cs="Times New Roman"/>
          <w:bCs/>
          <w:lang w:val="en-US"/>
        </w:rPr>
      </w:pPr>
      <w:r w:rsidRPr="004046FD">
        <w:rPr>
          <w:rFonts w:ascii="Times New Roman" w:eastAsia="Times New Roman" w:hAnsi="Times New Roman" w:cs="Times New Roman"/>
          <w:bCs/>
          <w:lang w:val="en-US"/>
        </w:rPr>
        <w:t>Allied Joint Logistic Doctrine (AJP-4), NATO/EAPC Unclassified Publication, 2003.</w:t>
      </w:r>
    </w:p>
    <w:p w:rsidR="00903171" w:rsidRPr="00850EC7" w:rsidRDefault="00903171" w:rsidP="00980876">
      <w:pPr>
        <w:widowControl w:val="0"/>
        <w:numPr>
          <w:ilvl w:val="1"/>
          <w:numId w:val="598"/>
        </w:numPr>
        <w:tabs>
          <w:tab w:val="left" w:pos="993"/>
          <w:tab w:val="num" w:pos="2069"/>
        </w:tabs>
        <w:spacing w:before="120" w:after="120" w:line="240" w:lineRule="auto"/>
        <w:ind w:left="426" w:hanging="142"/>
        <w:jc w:val="both"/>
        <w:rPr>
          <w:rFonts w:ascii="Times New Roman" w:eastAsia="Times New Roman" w:hAnsi="Times New Roman" w:cs="Times New Roman"/>
          <w:b/>
          <w:bCs/>
          <w:lang w:val="en-US"/>
        </w:rPr>
      </w:pPr>
      <w:r w:rsidRPr="00850EC7">
        <w:rPr>
          <w:rFonts w:ascii="Times New Roman" w:eastAsia="Times New Roman" w:hAnsi="Times New Roman" w:cs="Times New Roman"/>
          <w:b/>
          <w:bCs/>
          <w:lang w:val="en-US"/>
        </w:rPr>
        <w:t>Recommended readings:</w:t>
      </w:r>
    </w:p>
    <w:p w:rsidR="00903171" w:rsidRDefault="00903171" w:rsidP="00980876">
      <w:pPr>
        <w:pStyle w:val="Listaszerbekezds"/>
        <w:widowControl w:val="0"/>
        <w:numPr>
          <w:ilvl w:val="0"/>
          <w:numId w:val="573"/>
        </w:numPr>
        <w:tabs>
          <w:tab w:val="left" w:pos="993"/>
        </w:tabs>
        <w:spacing w:before="120" w:after="120" w:line="240" w:lineRule="auto"/>
        <w:jc w:val="both"/>
        <w:rPr>
          <w:rFonts w:ascii="Times New Roman" w:eastAsia="Times New Roman" w:hAnsi="Times New Roman" w:cs="Times New Roman"/>
          <w:bCs/>
          <w:lang w:val="en-US"/>
        </w:rPr>
      </w:pPr>
      <w:r w:rsidRPr="004046FD">
        <w:rPr>
          <w:rFonts w:ascii="Times New Roman" w:eastAsia="Times New Roman" w:hAnsi="Times New Roman" w:cs="Times New Roman"/>
          <w:bCs/>
          <w:lang w:val="en-US"/>
        </w:rPr>
        <w:t>1.</w:t>
      </w:r>
      <w:r w:rsidRPr="004046FD">
        <w:rPr>
          <w:rFonts w:ascii="Times New Roman" w:eastAsia="Times New Roman" w:hAnsi="Times New Roman" w:cs="Times New Roman"/>
          <w:bCs/>
          <w:lang w:val="en-US"/>
        </w:rPr>
        <w:tab/>
        <w:t>Allied Joint Doctrine for Operation Level Planning (AJP-5/JDP-5) with UK National Elements, Ministry of Defence, UK, 2013.</w:t>
      </w:r>
      <w:r>
        <w:rPr>
          <w:rFonts w:ascii="Times New Roman" w:eastAsia="Times New Roman" w:hAnsi="Times New Roman" w:cs="Times New Roman"/>
          <w:bCs/>
          <w:lang w:val="en-US"/>
        </w:rPr>
        <w:t xml:space="preserve"> </w:t>
      </w:r>
    </w:p>
    <w:p w:rsidR="00903171" w:rsidRDefault="00903171" w:rsidP="00903171">
      <w:pPr>
        <w:widowControl w:val="0"/>
        <w:spacing w:before="120" w:after="120" w:line="240" w:lineRule="auto"/>
        <w:ind w:firstLine="360"/>
        <w:jc w:val="both"/>
        <w:rPr>
          <w:rFonts w:ascii="Times New Roman" w:eastAsia="Times New Roman" w:hAnsi="Times New Roman" w:cs="Times New Roman"/>
          <w:bCs/>
          <w:lang w:val="en-US"/>
        </w:rPr>
      </w:pPr>
    </w:p>
    <w:p w:rsidR="00903171" w:rsidRPr="00850EC7" w:rsidRDefault="00903171" w:rsidP="00903171">
      <w:pPr>
        <w:widowControl w:val="0"/>
        <w:spacing w:before="120" w:after="120" w:line="240" w:lineRule="auto"/>
        <w:ind w:firstLine="360"/>
        <w:jc w:val="both"/>
        <w:rPr>
          <w:rFonts w:ascii="Times New Roman" w:eastAsia="Times New Roman" w:hAnsi="Times New Roman" w:cs="Times New Roman"/>
          <w:bCs/>
          <w:lang w:val="en-US"/>
        </w:rPr>
      </w:pPr>
      <w:r w:rsidRPr="00850EC7">
        <w:rPr>
          <w:rFonts w:ascii="Times New Roman" w:eastAsia="Times New Roman" w:hAnsi="Times New Roman" w:cs="Times New Roman"/>
          <w:bCs/>
          <w:lang w:val="en-US"/>
        </w:rPr>
        <w:t xml:space="preserve">Budapest, </w:t>
      </w:r>
      <w:r>
        <w:rPr>
          <w:rFonts w:ascii="Times New Roman" w:eastAsia="Times New Roman" w:hAnsi="Times New Roman" w:cs="Times New Roman"/>
          <w:lang w:val="en-US" w:eastAsia="hu-HU"/>
        </w:rPr>
        <w:t>31</w:t>
      </w:r>
      <w:r w:rsidRPr="00850EC7">
        <w:rPr>
          <w:rFonts w:ascii="Times New Roman" w:eastAsia="Times New Roman" w:hAnsi="Times New Roman" w:cs="Times New Roman"/>
          <w:lang w:val="en-US" w:eastAsia="hu-HU"/>
        </w:rPr>
        <w:t>.03.2020.</w:t>
      </w:r>
    </w:p>
    <w:p w:rsidR="00903171" w:rsidRPr="00850EC7" w:rsidRDefault="00903171" w:rsidP="00903171">
      <w:pPr>
        <w:widowControl w:val="0"/>
        <w:spacing w:before="120" w:after="120" w:line="240" w:lineRule="auto"/>
        <w:jc w:val="both"/>
        <w:rPr>
          <w:rFonts w:ascii="Times New Roman" w:eastAsia="Times New Roman" w:hAnsi="Times New Roman" w:cs="Times New Roman"/>
          <w:bCs/>
          <w:lang w:val="en-US"/>
        </w:rPr>
      </w:pPr>
    </w:p>
    <w:p w:rsidR="00903171" w:rsidRPr="00027664" w:rsidRDefault="00903171" w:rsidP="00903171">
      <w:pPr>
        <w:widowControl w:val="0"/>
        <w:spacing w:after="0" w:line="240" w:lineRule="auto"/>
        <w:ind w:left="5664" w:firstLine="708"/>
        <w:jc w:val="center"/>
        <w:rPr>
          <w:rFonts w:ascii="Times New Roman" w:hAnsi="Times New Roman" w:cs="Times New Roman"/>
          <w:b/>
          <w:bCs/>
          <w:lang w:val="en-US"/>
        </w:rPr>
      </w:pPr>
      <w:r w:rsidRPr="00027664">
        <w:rPr>
          <w:rFonts w:ascii="Times New Roman" w:hAnsi="Times New Roman" w:cs="Times New Roman"/>
          <w:b/>
          <w:bCs/>
          <w:lang w:val="en-US"/>
        </w:rPr>
        <w:t>József Venekei (PhD)</w:t>
      </w:r>
    </w:p>
    <w:p w:rsidR="00903171" w:rsidRDefault="00903171" w:rsidP="00903171">
      <w:pPr>
        <w:widowControl w:val="0"/>
        <w:spacing w:after="0" w:line="240" w:lineRule="auto"/>
        <w:jc w:val="center"/>
        <w:rPr>
          <w:rFonts w:ascii="Times New Roman" w:hAnsi="Times New Roman" w:cs="Times New Roman"/>
          <w:bCs/>
          <w:lang w:val="en-US"/>
        </w:rPr>
      </w:pPr>
      <w:r w:rsidRPr="00850EC7">
        <w:rPr>
          <w:rFonts w:ascii="Times New Roman" w:hAnsi="Times New Roman" w:cs="Times New Roman"/>
          <w:bCs/>
          <w:lang w:val="en-US"/>
        </w:rPr>
        <w:t xml:space="preserve">                                                                                                                        associate professor</w:t>
      </w:r>
    </w:p>
    <w:p w:rsidR="00903171" w:rsidRPr="00850EC7" w:rsidRDefault="00903171" w:rsidP="00903171">
      <w:pPr>
        <w:widowControl w:val="0"/>
        <w:spacing w:after="0" w:line="240" w:lineRule="auto"/>
        <w:jc w:val="center"/>
        <w:rPr>
          <w:rFonts w:ascii="Times New Roman" w:eastAsia="Times New Roman" w:hAnsi="Times New Roman" w:cs="Times New Roman"/>
          <w:bCs/>
          <w:lang w:val="en-US"/>
        </w:rPr>
      </w:pPr>
      <w:r>
        <w:rPr>
          <w:rFonts w:ascii="Times New Roman" w:hAnsi="Times New Roman" w:cs="Times New Roman"/>
          <w:bCs/>
          <w:lang w:val="en-US"/>
        </w:rPr>
        <w:tab/>
      </w:r>
      <w:r>
        <w:rPr>
          <w:rFonts w:ascii="Times New Roman" w:hAnsi="Times New Roman" w:cs="Times New Roman"/>
          <w:bCs/>
          <w:lang w:val="en-US"/>
        </w:rPr>
        <w:tab/>
      </w:r>
      <w:r>
        <w:rPr>
          <w:rFonts w:ascii="Times New Roman" w:hAnsi="Times New Roman" w:cs="Times New Roman"/>
          <w:bCs/>
          <w:lang w:val="en-US"/>
        </w:rPr>
        <w:tab/>
      </w:r>
      <w:r>
        <w:rPr>
          <w:rFonts w:ascii="Times New Roman" w:hAnsi="Times New Roman" w:cs="Times New Roman"/>
          <w:bCs/>
          <w:lang w:val="en-US"/>
        </w:rPr>
        <w:tab/>
      </w:r>
      <w:r>
        <w:rPr>
          <w:rFonts w:ascii="Times New Roman" w:hAnsi="Times New Roman" w:cs="Times New Roman"/>
          <w:bCs/>
          <w:lang w:val="en-US"/>
        </w:rPr>
        <w:tab/>
      </w:r>
      <w:r>
        <w:rPr>
          <w:rFonts w:ascii="Times New Roman" w:hAnsi="Times New Roman" w:cs="Times New Roman"/>
          <w:bCs/>
          <w:lang w:val="en-US"/>
        </w:rPr>
        <w:tab/>
      </w:r>
      <w:r>
        <w:rPr>
          <w:rFonts w:ascii="Times New Roman" w:hAnsi="Times New Roman" w:cs="Times New Roman"/>
          <w:bCs/>
          <w:lang w:val="en-US"/>
        </w:rPr>
        <w:tab/>
      </w:r>
      <w:r>
        <w:rPr>
          <w:rFonts w:ascii="Times New Roman" w:hAnsi="Times New Roman" w:cs="Times New Roman"/>
          <w:bCs/>
          <w:lang w:val="en-US"/>
        </w:rPr>
        <w:tab/>
      </w:r>
      <w:r>
        <w:rPr>
          <w:rFonts w:ascii="Times New Roman" w:hAnsi="Times New Roman" w:cs="Times New Roman"/>
          <w:bCs/>
          <w:lang w:val="en-US"/>
        </w:rPr>
        <w:tab/>
        <w:t xml:space="preserve">   sgd.</w:t>
      </w:r>
    </w:p>
    <w:p w:rsidR="00E65CE8" w:rsidRDefault="00E65CE8">
      <w:pPr>
        <w:spacing w:after="200" w:line="276" w:lineRule="auto"/>
        <w:rPr>
          <w:rFonts w:ascii="Times New Roman" w:hAnsi="Times New Roman" w:cs="Times New Roman"/>
        </w:rPr>
      </w:pPr>
      <w:r>
        <w:rPr>
          <w:rFonts w:ascii="Times New Roman" w:hAnsi="Times New Roman" w:cs="Times New Roman"/>
        </w:rPr>
        <w:br w:type="page"/>
      </w:r>
    </w:p>
    <w:p w:rsidR="00685779" w:rsidRDefault="00685779" w:rsidP="00685779">
      <w:pPr>
        <w:pStyle w:val="lfej"/>
        <w:tabs>
          <w:tab w:val="clear" w:pos="9072"/>
        </w:tabs>
        <w:spacing w:before="2160"/>
        <w:jc w:val="center"/>
        <w:rPr>
          <w:rFonts w:ascii="Times New Roman" w:hAnsi="Times New Roman" w:cs="Times New Roman"/>
          <w:b/>
          <w:sz w:val="24"/>
        </w:rPr>
      </w:pPr>
    </w:p>
    <w:p w:rsidR="00E65CE8" w:rsidRPr="006E63E5" w:rsidRDefault="00E65CE8" w:rsidP="006E63E5">
      <w:pPr>
        <w:pStyle w:val="Cmsor1"/>
        <w:jc w:val="center"/>
        <w:rPr>
          <w:rFonts w:eastAsia="Calibri"/>
          <w:i w:val="0"/>
          <w:szCs w:val="22"/>
          <w:u w:val="none"/>
        </w:rPr>
      </w:pPr>
      <w:bookmarkStart w:id="94" w:name="_Toc37240856"/>
      <w:r w:rsidRPr="006E63E5">
        <w:rPr>
          <w:rFonts w:eastAsia="Calibri"/>
          <w:i w:val="0"/>
          <w:szCs w:val="22"/>
          <w:u w:val="none"/>
        </w:rPr>
        <w:t>VI. Kritériumkövetelmények</w:t>
      </w:r>
      <w:bookmarkEnd w:id="94"/>
    </w:p>
    <w:p w:rsidR="00E65CE8" w:rsidRDefault="00E65CE8">
      <w:pPr>
        <w:spacing w:after="200" w:line="276" w:lineRule="auto"/>
        <w:rPr>
          <w:rFonts w:ascii="Times New Roman" w:hAnsi="Times New Roman" w:cs="Times New Roman"/>
        </w:rPr>
      </w:pPr>
      <w:r>
        <w:rPr>
          <w:rFonts w:ascii="Times New Roman" w:hAnsi="Times New Roman" w:cs="Times New Roman"/>
        </w:rPr>
        <w:br w:type="page"/>
      </w:r>
    </w:p>
    <w:tbl>
      <w:tblPr>
        <w:tblW w:w="11669" w:type="dxa"/>
        <w:tblInd w:w="113" w:type="dxa"/>
        <w:tblLook w:val="01E0" w:firstRow="1" w:lastRow="1" w:firstColumn="1" w:lastColumn="1" w:noHBand="0" w:noVBand="0"/>
      </w:tblPr>
      <w:tblGrid>
        <w:gridCol w:w="4855"/>
        <w:gridCol w:w="1620"/>
        <w:gridCol w:w="2597"/>
        <w:gridCol w:w="2597"/>
      </w:tblGrid>
      <w:tr w:rsidR="00DB75F9" w:rsidRPr="00DB75F9" w:rsidTr="0039180E">
        <w:tc>
          <w:tcPr>
            <w:tcW w:w="4855" w:type="dxa"/>
            <w:tcBorders>
              <w:bottom w:val="single" w:sz="4" w:space="0" w:color="auto"/>
            </w:tcBorders>
          </w:tcPr>
          <w:p w:rsidR="00DB75F9" w:rsidRPr="00DB75F9" w:rsidRDefault="00DB75F9" w:rsidP="00DB75F9">
            <w:pPr>
              <w:spacing w:after="0" w:line="240" w:lineRule="auto"/>
              <w:jc w:val="center"/>
              <w:rPr>
                <w:rFonts w:ascii="Times New Roman" w:eastAsia="Times New Roman" w:hAnsi="Times New Roman" w:cs="Times New Roman"/>
                <w:b/>
                <w:smallCaps/>
                <w:lang w:eastAsia="hu-HU"/>
              </w:rPr>
            </w:pPr>
            <w:r w:rsidRPr="00DB75F9">
              <w:rPr>
                <w:rFonts w:ascii="Times New Roman" w:eastAsia="Times New Roman" w:hAnsi="Times New Roman" w:cs="Times New Roman"/>
                <w:b/>
                <w:smallCaps/>
                <w:lang w:eastAsia="hu-HU"/>
              </w:rPr>
              <w:lastRenderedPageBreak/>
              <w:t>Nemzeti Közszolgálati Egyetem</w:t>
            </w:r>
          </w:p>
        </w:tc>
        <w:tc>
          <w:tcPr>
            <w:tcW w:w="1620" w:type="dxa"/>
          </w:tcPr>
          <w:p w:rsidR="00DB75F9" w:rsidRPr="00DB75F9" w:rsidRDefault="00DB75F9" w:rsidP="00DB75F9">
            <w:pPr>
              <w:spacing w:after="0" w:line="240" w:lineRule="auto"/>
              <w:jc w:val="both"/>
              <w:rPr>
                <w:rFonts w:ascii="Times New Roman" w:eastAsia="Times New Roman" w:hAnsi="Times New Roman" w:cs="Times New Roman"/>
                <w:lang w:eastAsia="hu-HU"/>
              </w:rPr>
            </w:pPr>
          </w:p>
        </w:tc>
        <w:tc>
          <w:tcPr>
            <w:tcW w:w="2597" w:type="dxa"/>
          </w:tcPr>
          <w:p w:rsidR="00DB75F9" w:rsidRPr="00DB75F9" w:rsidRDefault="00DB75F9" w:rsidP="00DB75F9">
            <w:pPr>
              <w:spacing w:after="0" w:line="240" w:lineRule="auto"/>
              <w:jc w:val="right"/>
              <w:rPr>
                <w:rFonts w:ascii="Times New Roman" w:eastAsia="Times New Roman" w:hAnsi="Times New Roman" w:cs="Times New Roman"/>
                <w:lang w:eastAsia="hu-HU"/>
              </w:rPr>
            </w:pPr>
          </w:p>
        </w:tc>
        <w:tc>
          <w:tcPr>
            <w:tcW w:w="2597" w:type="dxa"/>
          </w:tcPr>
          <w:p w:rsidR="00DB75F9" w:rsidRPr="00DB75F9" w:rsidRDefault="00DB75F9" w:rsidP="00DB75F9">
            <w:pPr>
              <w:spacing w:after="0" w:line="240" w:lineRule="auto"/>
              <w:jc w:val="right"/>
              <w:rPr>
                <w:rFonts w:ascii="Times New Roman" w:eastAsia="Times New Roman" w:hAnsi="Times New Roman" w:cs="Times New Roman"/>
                <w:lang w:eastAsia="hu-HU"/>
              </w:rPr>
            </w:pPr>
          </w:p>
        </w:tc>
      </w:tr>
      <w:tr w:rsidR="00DB75F9" w:rsidRPr="00DB75F9" w:rsidTr="0039180E">
        <w:tc>
          <w:tcPr>
            <w:tcW w:w="4855" w:type="dxa"/>
            <w:tcBorders>
              <w:top w:val="single" w:sz="4" w:space="0" w:color="auto"/>
            </w:tcBorders>
          </w:tcPr>
          <w:p w:rsidR="00DB75F9" w:rsidRPr="00DB75F9" w:rsidRDefault="00DB75F9" w:rsidP="00DB75F9">
            <w:pPr>
              <w:spacing w:after="0" w:line="240" w:lineRule="auto"/>
              <w:jc w:val="center"/>
              <w:rPr>
                <w:rFonts w:ascii="Times New Roman" w:eastAsia="Times New Roman" w:hAnsi="Times New Roman" w:cs="Times New Roman"/>
                <w:b/>
                <w:lang w:eastAsia="hu-HU"/>
              </w:rPr>
            </w:pPr>
            <w:r w:rsidRPr="00DB75F9">
              <w:rPr>
                <w:rFonts w:ascii="Times New Roman" w:eastAsia="Calibri" w:hAnsi="Times New Roman" w:cs="Times New Roman"/>
                <w:b/>
              </w:rPr>
              <w:t>Hadtudományi és Honvédtisztképző Kar</w:t>
            </w:r>
          </w:p>
        </w:tc>
        <w:tc>
          <w:tcPr>
            <w:tcW w:w="1620" w:type="dxa"/>
          </w:tcPr>
          <w:p w:rsidR="00DB75F9" w:rsidRPr="00DB75F9" w:rsidRDefault="00DB75F9" w:rsidP="00DB75F9">
            <w:pPr>
              <w:spacing w:after="0" w:line="240" w:lineRule="auto"/>
              <w:jc w:val="both"/>
              <w:rPr>
                <w:rFonts w:ascii="Times New Roman" w:eastAsia="Times New Roman" w:hAnsi="Times New Roman" w:cs="Times New Roman"/>
                <w:lang w:eastAsia="hu-HU"/>
              </w:rPr>
            </w:pPr>
          </w:p>
        </w:tc>
        <w:tc>
          <w:tcPr>
            <w:tcW w:w="2597" w:type="dxa"/>
          </w:tcPr>
          <w:p w:rsidR="00DB75F9" w:rsidRPr="00DB75F9" w:rsidRDefault="00DB75F9" w:rsidP="00DB75F9">
            <w:pPr>
              <w:spacing w:after="0" w:line="240" w:lineRule="auto"/>
              <w:jc w:val="both"/>
              <w:rPr>
                <w:rFonts w:ascii="Times New Roman" w:eastAsia="Times New Roman" w:hAnsi="Times New Roman" w:cs="Times New Roman"/>
                <w:lang w:eastAsia="hu-HU"/>
              </w:rPr>
            </w:pPr>
          </w:p>
        </w:tc>
        <w:tc>
          <w:tcPr>
            <w:tcW w:w="2597" w:type="dxa"/>
          </w:tcPr>
          <w:p w:rsidR="00DB75F9" w:rsidRPr="00DB75F9" w:rsidRDefault="00DB75F9" w:rsidP="00DB75F9">
            <w:pPr>
              <w:spacing w:after="0" w:line="240" w:lineRule="auto"/>
              <w:jc w:val="both"/>
              <w:rPr>
                <w:rFonts w:ascii="Times New Roman" w:eastAsia="Times New Roman" w:hAnsi="Times New Roman" w:cs="Times New Roman"/>
                <w:lang w:eastAsia="hu-HU"/>
              </w:rPr>
            </w:pPr>
          </w:p>
        </w:tc>
      </w:tr>
    </w:tbl>
    <w:p w:rsidR="00DB75F9" w:rsidRPr="00DB75F9" w:rsidRDefault="00DB75F9" w:rsidP="00DB75F9">
      <w:pPr>
        <w:widowControl w:val="0"/>
        <w:spacing w:before="120" w:after="120" w:line="240" w:lineRule="auto"/>
        <w:ind w:left="426" w:hanging="142"/>
        <w:jc w:val="center"/>
        <w:rPr>
          <w:rFonts w:ascii="Times New Roman" w:eastAsia="Times New Roman" w:hAnsi="Times New Roman" w:cs="Times New Roman"/>
          <w:b/>
          <w:bCs/>
        </w:rPr>
      </w:pPr>
    </w:p>
    <w:p w:rsidR="00DB75F9" w:rsidRPr="00DB75F9" w:rsidRDefault="00DB75F9" w:rsidP="00DB75F9">
      <w:pPr>
        <w:widowControl w:val="0"/>
        <w:spacing w:before="120" w:after="120" w:line="240" w:lineRule="auto"/>
        <w:ind w:left="426" w:hanging="142"/>
        <w:jc w:val="center"/>
        <w:rPr>
          <w:rFonts w:ascii="Times New Roman" w:eastAsia="Times New Roman" w:hAnsi="Times New Roman" w:cs="Times New Roman"/>
          <w:b/>
          <w:bCs/>
        </w:rPr>
      </w:pPr>
      <w:r w:rsidRPr="00DB75F9">
        <w:rPr>
          <w:rFonts w:ascii="Times New Roman" w:eastAsia="Times New Roman" w:hAnsi="Times New Roman" w:cs="Times New Roman"/>
          <w:b/>
          <w:bCs/>
        </w:rPr>
        <w:t>TANTÁRGYI PROGRAM</w:t>
      </w:r>
    </w:p>
    <w:p w:rsidR="00DB75F9" w:rsidRPr="00DB75F9" w:rsidRDefault="00DB75F9" w:rsidP="00980876">
      <w:pPr>
        <w:widowControl w:val="0"/>
        <w:numPr>
          <w:ilvl w:val="0"/>
          <w:numId w:val="841"/>
        </w:numPr>
        <w:tabs>
          <w:tab w:val="num" w:pos="567"/>
        </w:tabs>
        <w:spacing w:before="120" w:after="120" w:line="240" w:lineRule="auto"/>
        <w:ind w:left="567" w:hanging="283"/>
        <w:rPr>
          <w:rFonts w:ascii="Times New Roman" w:eastAsia="Times New Roman" w:hAnsi="Times New Roman" w:cs="Times New Roman"/>
          <w:bCs/>
        </w:rPr>
      </w:pPr>
      <w:r w:rsidRPr="00DB75F9">
        <w:rPr>
          <w:rFonts w:ascii="Times New Roman" w:eastAsia="Times New Roman" w:hAnsi="Times New Roman" w:cs="Times New Roman"/>
          <w:b/>
          <w:bCs/>
        </w:rPr>
        <w:t xml:space="preserve">A tantárgy kódja: </w:t>
      </w:r>
      <w:r w:rsidRPr="00DB75F9">
        <w:rPr>
          <w:rFonts w:ascii="Times New Roman" w:eastAsia="Calibri" w:hAnsi="Times New Roman" w:cs="Times New Roman"/>
          <w:bCs/>
        </w:rPr>
        <w:t>HKTSKA08</w:t>
      </w:r>
    </w:p>
    <w:p w:rsidR="00DB75F9" w:rsidRPr="00DB75F9" w:rsidRDefault="00DB75F9" w:rsidP="00980876">
      <w:pPr>
        <w:widowControl w:val="0"/>
        <w:numPr>
          <w:ilvl w:val="0"/>
          <w:numId w:val="841"/>
        </w:numPr>
        <w:tabs>
          <w:tab w:val="num" w:pos="567"/>
        </w:tabs>
        <w:spacing w:before="120" w:after="120" w:line="240" w:lineRule="auto"/>
        <w:ind w:left="567" w:hanging="283"/>
        <w:rPr>
          <w:rFonts w:ascii="Times New Roman" w:eastAsia="Times New Roman" w:hAnsi="Times New Roman" w:cs="Times New Roman"/>
          <w:b/>
          <w:bCs/>
        </w:rPr>
      </w:pPr>
      <w:r w:rsidRPr="00DB75F9">
        <w:rPr>
          <w:rFonts w:ascii="Times New Roman" w:eastAsia="Times New Roman" w:hAnsi="Times New Roman" w:cs="Times New Roman"/>
          <w:b/>
          <w:bCs/>
        </w:rPr>
        <w:t xml:space="preserve">A tantárgy megnevezése (magyarul): </w:t>
      </w:r>
      <w:r w:rsidRPr="00DB75F9">
        <w:rPr>
          <w:rFonts w:ascii="Times New Roman" w:eastAsia="Calibri" w:hAnsi="Times New Roman" w:cs="Times New Roman"/>
          <w:bCs/>
        </w:rPr>
        <w:t xml:space="preserve">Katonai testnevelés VIII. </w:t>
      </w:r>
    </w:p>
    <w:p w:rsidR="00DB75F9" w:rsidRPr="00DB75F9" w:rsidRDefault="00DB75F9" w:rsidP="00980876">
      <w:pPr>
        <w:widowControl w:val="0"/>
        <w:numPr>
          <w:ilvl w:val="0"/>
          <w:numId w:val="841"/>
        </w:numPr>
        <w:tabs>
          <w:tab w:val="num" w:pos="567"/>
        </w:tabs>
        <w:spacing w:before="120" w:after="120" w:line="240" w:lineRule="auto"/>
        <w:ind w:left="567" w:hanging="283"/>
        <w:rPr>
          <w:rFonts w:ascii="Times New Roman" w:eastAsia="Times New Roman" w:hAnsi="Times New Roman" w:cs="Times New Roman"/>
          <w:b/>
          <w:bCs/>
          <w:lang w:val="en-GB"/>
        </w:rPr>
      </w:pPr>
      <w:r w:rsidRPr="00DB75F9">
        <w:rPr>
          <w:rFonts w:ascii="Times New Roman" w:eastAsia="Times New Roman" w:hAnsi="Times New Roman" w:cs="Times New Roman"/>
          <w:b/>
          <w:bCs/>
        </w:rPr>
        <w:t xml:space="preserve">A tantárgy megnevezése (angolul): </w:t>
      </w:r>
      <w:r w:rsidRPr="00DB75F9">
        <w:rPr>
          <w:rFonts w:ascii="Times New Roman" w:eastAsia="Calibri" w:hAnsi="Times New Roman" w:cs="Times New Roman"/>
          <w:bCs/>
        </w:rPr>
        <w:t>Military Physical Education VIII.</w:t>
      </w:r>
    </w:p>
    <w:p w:rsidR="00DB75F9" w:rsidRPr="00DB75F9" w:rsidRDefault="00DB75F9" w:rsidP="00980876">
      <w:pPr>
        <w:widowControl w:val="0"/>
        <w:numPr>
          <w:ilvl w:val="0"/>
          <w:numId w:val="841"/>
        </w:numPr>
        <w:tabs>
          <w:tab w:val="num" w:pos="567"/>
        </w:tabs>
        <w:spacing w:before="120" w:after="120" w:line="240" w:lineRule="auto"/>
        <w:ind w:left="567" w:hanging="283"/>
        <w:rPr>
          <w:rFonts w:ascii="Times New Roman" w:eastAsia="Times New Roman" w:hAnsi="Times New Roman" w:cs="Times New Roman"/>
          <w:b/>
          <w:bCs/>
        </w:rPr>
      </w:pPr>
      <w:r w:rsidRPr="00DB75F9">
        <w:rPr>
          <w:rFonts w:ascii="Times New Roman" w:eastAsia="Times New Roman" w:hAnsi="Times New Roman" w:cs="Times New Roman"/>
          <w:b/>
          <w:bCs/>
        </w:rPr>
        <w:t xml:space="preserve">Kreditérték és képzési karakter: </w:t>
      </w:r>
    </w:p>
    <w:p w:rsidR="00DB75F9" w:rsidRPr="00DB75F9" w:rsidRDefault="00DB75F9" w:rsidP="00980876">
      <w:pPr>
        <w:widowControl w:val="0"/>
        <w:numPr>
          <w:ilvl w:val="1"/>
          <w:numId w:val="841"/>
        </w:numPr>
        <w:spacing w:before="120" w:after="120" w:line="240" w:lineRule="auto"/>
        <w:ind w:left="1134" w:hanging="425"/>
        <w:contextualSpacing/>
        <w:rPr>
          <w:rFonts w:ascii="Times New Roman" w:eastAsia="Times New Roman" w:hAnsi="Times New Roman" w:cs="Times New Roman"/>
          <w:b/>
          <w:bCs/>
        </w:rPr>
      </w:pPr>
      <w:r w:rsidRPr="00DB75F9">
        <w:rPr>
          <w:rFonts w:ascii="Times New Roman" w:eastAsia="Times New Roman" w:hAnsi="Times New Roman" w:cs="Times New Roman"/>
          <w:bCs/>
        </w:rPr>
        <w:t>0 kredit</w:t>
      </w:r>
    </w:p>
    <w:p w:rsidR="00DB75F9" w:rsidRPr="00DB75F9" w:rsidRDefault="00DB75F9" w:rsidP="00980876">
      <w:pPr>
        <w:widowControl w:val="0"/>
        <w:numPr>
          <w:ilvl w:val="1"/>
          <w:numId w:val="841"/>
        </w:numPr>
        <w:spacing w:before="120" w:after="120" w:line="240" w:lineRule="auto"/>
        <w:ind w:left="1134" w:hanging="425"/>
        <w:contextualSpacing/>
        <w:rPr>
          <w:rFonts w:ascii="Times New Roman" w:eastAsia="Times New Roman" w:hAnsi="Times New Roman" w:cs="Times New Roman"/>
          <w:b/>
          <w:bCs/>
        </w:rPr>
      </w:pPr>
      <w:r w:rsidRPr="00DB75F9">
        <w:rPr>
          <w:rFonts w:ascii="Times New Roman" w:eastAsia="Times New Roman" w:hAnsi="Times New Roman" w:cs="Times New Roman"/>
          <w:bCs/>
        </w:rPr>
        <w:t>a tantárgy elméleti vagy gyakorlati jellegének mértéke: 100% gyakorlat,</w:t>
      </w:r>
    </w:p>
    <w:p w:rsidR="00DB75F9" w:rsidRPr="00DB75F9" w:rsidRDefault="00DB75F9" w:rsidP="00980876">
      <w:pPr>
        <w:widowControl w:val="0"/>
        <w:numPr>
          <w:ilvl w:val="0"/>
          <w:numId w:val="841"/>
        </w:numPr>
        <w:tabs>
          <w:tab w:val="num" w:pos="567"/>
        </w:tabs>
        <w:spacing w:before="120" w:after="120" w:line="240" w:lineRule="auto"/>
        <w:ind w:left="567" w:hanging="283"/>
        <w:rPr>
          <w:rFonts w:ascii="Times New Roman" w:eastAsia="Times New Roman" w:hAnsi="Times New Roman" w:cs="Times New Roman"/>
          <w:bCs/>
        </w:rPr>
      </w:pPr>
      <w:r w:rsidRPr="00DB75F9">
        <w:rPr>
          <w:rFonts w:ascii="Times New Roman" w:eastAsia="Times New Roman" w:hAnsi="Times New Roman" w:cs="Times New Roman"/>
          <w:b/>
          <w:bCs/>
        </w:rPr>
        <w:t>A szak(ok), szakirányok/specializációk megnevezése (ahol oktatják):</w:t>
      </w:r>
      <w:r w:rsidRPr="00DB75F9">
        <w:rPr>
          <w:rFonts w:ascii="Times New Roman" w:eastAsia="Calibri" w:hAnsi="Times New Roman" w:cs="Times New Roman"/>
          <w:bCs/>
        </w:rPr>
        <w:t>Katonai Vezető-, Katonai Üzemeltetés-, Katonai Logisztika, Állami Légiközlekedési alapképzési szak.</w:t>
      </w:r>
    </w:p>
    <w:p w:rsidR="00DB75F9" w:rsidRPr="00DB75F9" w:rsidRDefault="00DB75F9" w:rsidP="00980876">
      <w:pPr>
        <w:widowControl w:val="0"/>
        <w:numPr>
          <w:ilvl w:val="0"/>
          <w:numId w:val="841"/>
        </w:numPr>
        <w:tabs>
          <w:tab w:val="num" w:pos="567"/>
        </w:tabs>
        <w:spacing w:before="120" w:after="120" w:line="240" w:lineRule="auto"/>
        <w:ind w:left="567" w:hanging="283"/>
        <w:rPr>
          <w:rFonts w:ascii="Times New Roman" w:eastAsia="Calibri" w:hAnsi="Times New Roman" w:cs="Times New Roman"/>
          <w:bCs/>
        </w:rPr>
      </w:pPr>
      <w:r w:rsidRPr="00DB75F9">
        <w:rPr>
          <w:rFonts w:ascii="Times New Roman" w:eastAsia="Times New Roman" w:hAnsi="Times New Roman" w:cs="Times New Roman"/>
          <w:b/>
          <w:bCs/>
        </w:rPr>
        <w:t xml:space="preserve">Az oktatásért felelős oktatási szervezeti egység megnevezése: </w:t>
      </w:r>
      <w:r w:rsidRPr="00DB75F9">
        <w:rPr>
          <w:rFonts w:ascii="Times New Roman" w:eastAsia="Calibri" w:hAnsi="Times New Roman" w:cs="Times New Roman"/>
          <w:bCs/>
        </w:rPr>
        <w:t>Katonai Testnevelési és Sportközpont.</w:t>
      </w:r>
    </w:p>
    <w:p w:rsidR="00DB75F9" w:rsidRPr="00DB75F9" w:rsidRDefault="00DB75F9" w:rsidP="00980876">
      <w:pPr>
        <w:widowControl w:val="0"/>
        <w:numPr>
          <w:ilvl w:val="0"/>
          <w:numId w:val="841"/>
        </w:numPr>
        <w:tabs>
          <w:tab w:val="num" w:pos="567"/>
        </w:tabs>
        <w:spacing w:before="120" w:after="120" w:line="240" w:lineRule="auto"/>
        <w:ind w:left="567" w:hanging="283"/>
        <w:rPr>
          <w:rFonts w:ascii="Times New Roman" w:eastAsia="Calibri" w:hAnsi="Times New Roman" w:cs="Times New Roman"/>
          <w:bCs/>
        </w:rPr>
      </w:pPr>
      <w:r w:rsidRPr="00DB75F9">
        <w:rPr>
          <w:rFonts w:ascii="Times New Roman" w:eastAsia="Times New Roman" w:hAnsi="Times New Roman" w:cs="Times New Roman"/>
          <w:b/>
          <w:bCs/>
        </w:rPr>
        <w:t xml:space="preserve">A tantárgyfelelős oktató neve, beosztása, tudományos fokozata: </w:t>
      </w:r>
      <w:r w:rsidRPr="00DB75F9">
        <w:rPr>
          <w:rFonts w:ascii="Times New Roman" w:eastAsia="Calibri" w:hAnsi="Times New Roman" w:cs="Times New Roman"/>
          <w:bCs/>
        </w:rPr>
        <w:t xml:space="preserve">Dr. Prókainé dr. Kovács Tímea </w:t>
      </w:r>
      <w:r w:rsidRPr="00DB75F9">
        <w:rPr>
          <w:rFonts w:ascii="Times New Roman" w:eastAsia="Times New Roman" w:hAnsi="Times New Roman" w:cs="Times New Roman"/>
          <w:b/>
          <w:bCs/>
        </w:rPr>
        <w:t>alezredes</w:t>
      </w:r>
      <w:r w:rsidRPr="00DB75F9">
        <w:rPr>
          <w:rFonts w:ascii="Times New Roman" w:eastAsia="Calibri" w:hAnsi="Times New Roman" w:cs="Times New Roman"/>
          <w:bCs/>
        </w:rPr>
        <w:t xml:space="preserve"> Katonai Testnevelési és Sportközpont testnevelő tanár.</w:t>
      </w:r>
    </w:p>
    <w:p w:rsidR="00DB75F9" w:rsidRPr="00DB75F9" w:rsidRDefault="00DB75F9" w:rsidP="00980876">
      <w:pPr>
        <w:widowControl w:val="0"/>
        <w:numPr>
          <w:ilvl w:val="0"/>
          <w:numId w:val="841"/>
        </w:numPr>
        <w:tabs>
          <w:tab w:val="num" w:pos="567"/>
        </w:tabs>
        <w:spacing w:before="120" w:after="120" w:line="240" w:lineRule="auto"/>
        <w:ind w:left="567" w:hanging="283"/>
        <w:rPr>
          <w:rFonts w:ascii="Times New Roman" w:eastAsia="Times New Roman" w:hAnsi="Times New Roman" w:cs="Times New Roman"/>
          <w:bCs/>
        </w:rPr>
      </w:pPr>
      <w:r w:rsidRPr="00DB75F9">
        <w:rPr>
          <w:rFonts w:ascii="Times New Roman" w:eastAsia="Times New Roman" w:hAnsi="Times New Roman" w:cs="Times New Roman"/>
          <w:b/>
          <w:bCs/>
        </w:rPr>
        <w:t>A tanórák száma és típusa</w:t>
      </w:r>
    </w:p>
    <w:p w:rsidR="00DB75F9" w:rsidRPr="00DB75F9" w:rsidRDefault="00DB75F9" w:rsidP="00980876">
      <w:pPr>
        <w:widowControl w:val="0"/>
        <w:numPr>
          <w:ilvl w:val="1"/>
          <w:numId w:val="841"/>
        </w:numPr>
        <w:tabs>
          <w:tab w:val="num" w:pos="3977"/>
        </w:tabs>
        <w:spacing w:before="120" w:after="120" w:line="240" w:lineRule="auto"/>
        <w:ind w:left="1134" w:hanging="425"/>
        <w:rPr>
          <w:rFonts w:ascii="Times New Roman" w:eastAsia="Times New Roman" w:hAnsi="Times New Roman" w:cs="Times New Roman"/>
          <w:bCs/>
        </w:rPr>
      </w:pPr>
      <w:r w:rsidRPr="00DB75F9">
        <w:rPr>
          <w:rFonts w:ascii="Times New Roman" w:eastAsia="Times New Roman" w:hAnsi="Times New Roman" w:cs="Times New Roman"/>
          <w:bCs/>
        </w:rPr>
        <w:t>össz óraszám/félév: 28</w:t>
      </w:r>
    </w:p>
    <w:p w:rsidR="00DB75F9" w:rsidRPr="00DB75F9" w:rsidRDefault="00DB75F9" w:rsidP="00980876">
      <w:pPr>
        <w:widowControl w:val="0"/>
        <w:numPr>
          <w:ilvl w:val="2"/>
          <w:numId w:val="841"/>
        </w:numPr>
        <w:spacing w:before="120" w:after="120" w:line="240" w:lineRule="auto"/>
        <w:ind w:left="1701" w:hanging="646"/>
        <w:rPr>
          <w:rFonts w:ascii="Times New Roman" w:eastAsia="Times New Roman" w:hAnsi="Times New Roman" w:cs="Times New Roman"/>
          <w:bCs/>
        </w:rPr>
      </w:pPr>
      <w:r w:rsidRPr="00DB75F9">
        <w:rPr>
          <w:rFonts w:ascii="Times New Roman" w:eastAsia="Times New Roman" w:hAnsi="Times New Roman" w:cs="Times New Roman"/>
          <w:bCs/>
        </w:rPr>
        <w:t>nappali munkarend: 28 (0 EA + 0 SZ + 28 GY)</w:t>
      </w:r>
    </w:p>
    <w:p w:rsidR="00DB75F9" w:rsidRPr="00DB75F9" w:rsidRDefault="00DB75F9" w:rsidP="00980876">
      <w:pPr>
        <w:widowControl w:val="0"/>
        <w:numPr>
          <w:ilvl w:val="2"/>
          <w:numId w:val="841"/>
        </w:numPr>
        <w:spacing w:before="120" w:after="120" w:line="240" w:lineRule="auto"/>
        <w:ind w:left="1701" w:hanging="646"/>
        <w:rPr>
          <w:rFonts w:ascii="Times New Roman" w:eastAsia="Times New Roman" w:hAnsi="Times New Roman" w:cs="Times New Roman"/>
          <w:bCs/>
        </w:rPr>
      </w:pPr>
      <w:r w:rsidRPr="00DB75F9">
        <w:rPr>
          <w:rFonts w:ascii="Times New Roman" w:eastAsia="Times New Roman" w:hAnsi="Times New Roman" w:cs="Times New Roman"/>
          <w:bCs/>
        </w:rPr>
        <w:t>levelező munkarend: -</w:t>
      </w:r>
    </w:p>
    <w:p w:rsidR="00DB75F9" w:rsidRPr="00DB75F9" w:rsidRDefault="00DB75F9" w:rsidP="00980876">
      <w:pPr>
        <w:widowControl w:val="0"/>
        <w:numPr>
          <w:ilvl w:val="1"/>
          <w:numId w:val="841"/>
        </w:numPr>
        <w:tabs>
          <w:tab w:val="num" w:pos="3977"/>
        </w:tabs>
        <w:spacing w:before="120" w:after="120" w:line="240" w:lineRule="auto"/>
        <w:ind w:left="1134" w:hanging="425"/>
        <w:rPr>
          <w:rFonts w:ascii="Times New Roman" w:eastAsia="Times New Roman" w:hAnsi="Times New Roman" w:cs="Times New Roman"/>
          <w:bCs/>
        </w:rPr>
      </w:pPr>
      <w:r w:rsidRPr="00DB75F9">
        <w:rPr>
          <w:rFonts w:ascii="Times New Roman" w:eastAsia="Times New Roman" w:hAnsi="Times New Roman" w:cs="Times New Roman"/>
          <w:bCs/>
        </w:rPr>
        <w:t>heti óraszám - nappali munkarend: 2</w:t>
      </w:r>
    </w:p>
    <w:p w:rsidR="00DB75F9" w:rsidRPr="00DB75F9" w:rsidRDefault="00DB75F9" w:rsidP="00980876">
      <w:pPr>
        <w:widowControl w:val="0"/>
        <w:numPr>
          <w:ilvl w:val="1"/>
          <w:numId w:val="841"/>
        </w:numPr>
        <w:tabs>
          <w:tab w:val="num" w:pos="3977"/>
        </w:tabs>
        <w:spacing w:before="120" w:after="120" w:line="240" w:lineRule="auto"/>
        <w:ind w:left="1134" w:hanging="425"/>
        <w:rPr>
          <w:rFonts w:ascii="Times New Roman" w:eastAsia="Times New Roman" w:hAnsi="Times New Roman" w:cs="Times New Roman"/>
          <w:bCs/>
        </w:rPr>
      </w:pPr>
      <w:r w:rsidRPr="00DB75F9">
        <w:rPr>
          <w:rFonts w:ascii="Times New Roman" w:eastAsia="Calibri" w:hAnsi="Times New Roman" w:cs="Times New Roman"/>
        </w:rPr>
        <w:t>Az ismeret átadásában alkalmazandó további sajátos módok, jellemzők:-</w:t>
      </w:r>
    </w:p>
    <w:p w:rsidR="00DB75F9" w:rsidRPr="00DB75F9" w:rsidRDefault="00DB75F9" w:rsidP="00980876">
      <w:pPr>
        <w:widowControl w:val="0"/>
        <w:numPr>
          <w:ilvl w:val="0"/>
          <w:numId w:val="841"/>
        </w:numPr>
        <w:tabs>
          <w:tab w:val="num" w:pos="567"/>
        </w:tabs>
        <w:spacing w:before="120" w:after="120" w:line="240" w:lineRule="auto"/>
        <w:ind w:left="567" w:hanging="283"/>
        <w:jc w:val="both"/>
        <w:rPr>
          <w:rFonts w:ascii="Times New Roman" w:eastAsia="Times New Roman" w:hAnsi="Times New Roman" w:cs="Times New Roman"/>
          <w:bCs/>
        </w:rPr>
      </w:pPr>
      <w:r w:rsidRPr="00DB75F9">
        <w:rPr>
          <w:rFonts w:ascii="Times New Roman" w:eastAsia="Times New Roman" w:hAnsi="Times New Roman" w:cs="Times New Roman"/>
          <w:b/>
          <w:bCs/>
        </w:rPr>
        <w:t xml:space="preserve">A tantárgy szakmai tartalma (magyarul): </w:t>
      </w:r>
      <w:r w:rsidRPr="00DB75F9">
        <w:rPr>
          <w:rFonts w:ascii="Times New Roman" w:eastAsia="Calibri" w:hAnsi="Times New Roman" w:cs="Times New Roman"/>
          <w:bCs/>
        </w:rPr>
        <w:t>Az akadálypálya elemeinek versenyszerű leküzdése, a verseny technika elsajátítása. Akadályváltó, rajtkötelék verseny. Kondicionális képességek fejlesztése. Úszás.</w:t>
      </w:r>
    </w:p>
    <w:p w:rsidR="00DB75F9" w:rsidRPr="00DB75F9" w:rsidRDefault="00DB75F9" w:rsidP="00C4573F">
      <w:pPr>
        <w:widowControl w:val="0"/>
        <w:spacing w:before="120" w:after="120" w:line="240" w:lineRule="auto"/>
        <w:ind w:left="567"/>
        <w:jc w:val="both"/>
        <w:rPr>
          <w:rFonts w:ascii="Times New Roman" w:eastAsia="Calibri" w:hAnsi="Times New Roman" w:cs="Times New Roman"/>
          <w:lang w:val="en-GB"/>
        </w:rPr>
      </w:pPr>
      <w:r w:rsidRPr="00DB75F9">
        <w:rPr>
          <w:rFonts w:ascii="Times New Roman" w:eastAsia="Times New Roman" w:hAnsi="Times New Roman" w:cs="Times New Roman"/>
          <w:b/>
          <w:bCs/>
        </w:rPr>
        <w:t>A tantárgy szakmai tartalma (angolul) (</w:t>
      </w:r>
      <w:r w:rsidRPr="00DB75F9">
        <w:rPr>
          <w:rFonts w:ascii="Times New Roman" w:eastAsia="Times New Roman" w:hAnsi="Times New Roman" w:cs="Times New Roman"/>
          <w:b/>
          <w:bCs/>
          <w:lang w:val="en-US"/>
        </w:rPr>
        <w:t>Course description</w:t>
      </w:r>
      <w:r w:rsidRPr="00DB75F9">
        <w:rPr>
          <w:rFonts w:ascii="Times New Roman" w:eastAsia="Times New Roman" w:hAnsi="Times New Roman" w:cs="Times New Roman"/>
          <w:b/>
          <w:bCs/>
        </w:rPr>
        <w:t xml:space="preserve">): </w:t>
      </w:r>
      <w:r w:rsidRPr="00DB75F9">
        <w:rPr>
          <w:rFonts w:ascii="Times New Roman" w:eastAsia="Calibri" w:hAnsi="Times New Roman" w:cs="Times New Roman"/>
          <w:lang w:val="en-GB"/>
        </w:rPr>
        <w:t>Competitive overcoming of the elements of obstacle course, mastering the race technique. Obstacle relay, competition. Development of physical skills. Swimming.</w:t>
      </w:r>
    </w:p>
    <w:p w:rsidR="00DB75F9" w:rsidRPr="00DB75F9" w:rsidRDefault="00DB75F9" w:rsidP="00980876">
      <w:pPr>
        <w:widowControl w:val="0"/>
        <w:numPr>
          <w:ilvl w:val="0"/>
          <w:numId w:val="841"/>
        </w:numPr>
        <w:tabs>
          <w:tab w:val="num" w:pos="567"/>
        </w:tabs>
        <w:spacing w:before="120" w:after="120" w:line="240" w:lineRule="auto"/>
        <w:ind w:left="567" w:hanging="283"/>
        <w:rPr>
          <w:rFonts w:ascii="Times New Roman" w:eastAsia="Times New Roman" w:hAnsi="Times New Roman" w:cs="Times New Roman"/>
          <w:bCs/>
        </w:rPr>
      </w:pPr>
      <w:r w:rsidRPr="00DB75F9">
        <w:rPr>
          <w:rFonts w:ascii="Times New Roman" w:eastAsia="Times New Roman" w:hAnsi="Times New Roman" w:cs="Times New Roman"/>
          <w:b/>
          <w:bCs/>
        </w:rPr>
        <w:t>Elérendő kompetenciák (magyarul):</w:t>
      </w:r>
    </w:p>
    <w:p w:rsidR="00DB75F9" w:rsidRPr="00DB75F9" w:rsidRDefault="00DB75F9" w:rsidP="00DB75F9">
      <w:pPr>
        <w:widowControl w:val="0"/>
        <w:spacing w:before="120" w:after="0" w:line="240" w:lineRule="auto"/>
        <w:ind w:left="425"/>
        <w:jc w:val="both"/>
        <w:rPr>
          <w:rFonts w:ascii="Times New Roman" w:eastAsia="Times New Roman" w:hAnsi="Times New Roman" w:cs="Times New Roman"/>
          <w:b/>
          <w:bCs/>
        </w:rPr>
      </w:pPr>
      <w:r w:rsidRPr="00DB75F9">
        <w:rPr>
          <w:rFonts w:ascii="Times New Roman" w:eastAsia="Times New Roman" w:hAnsi="Times New Roman" w:cs="Times New Roman"/>
          <w:b/>
          <w:bCs/>
        </w:rPr>
        <w:t>Tudása:</w:t>
      </w:r>
    </w:p>
    <w:p w:rsidR="00DB75F9" w:rsidRPr="00DB75F9" w:rsidRDefault="00DB75F9" w:rsidP="00DB75F9">
      <w:pPr>
        <w:widowControl w:val="0"/>
        <w:numPr>
          <w:ilvl w:val="0"/>
          <w:numId w:val="162"/>
        </w:numPr>
        <w:spacing w:after="120" w:line="240" w:lineRule="auto"/>
        <w:ind w:left="782" w:hanging="357"/>
        <w:contextualSpacing/>
        <w:jc w:val="both"/>
        <w:rPr>
          <w:rFonts w:ascii="Times New Roman" w:eastAsia="Times New Roman" w:hAnsi="Times New Roman" w:cs="Times New Roman"/>
          <w:bCs/>
        </w:rPr>
      </w:pPr>
      <w:r w:rsidRPr="00DB75F9">
        <w:rPr>
          <w:rFonts w:ascii="Times New Roman" w:eastAsia="Times New Roman" w:hAnsi="Times New Roman" w:cs="Times New Roman"/>
          <w:bCs/>
        </w:rPr>
        <w:t xml:space="preserve">Az NKE honvéd tisztjelöltjei fejlesszék a kondicionális (különös tekintettel az állóképességre és gyorsaságra), valamint a koordinációs képességeiket. </w:t>
      </w:r>
    </w:p>
    <w:p w:rsidR="00DB75F9" w:rsidRPr="00DB75F9" w:rsidRDefault="00DB75F9" w:rsidP="00DB75F9">
      <w:pPr>
        <w:widowControl w:val="0"/>
        <w:numPr>
          <w:ilvl w:val="0"/>
          <w:numId w:val="162"/>
        </w:numPr>
        <w:spacing w:before="120" w:after="120" w:line="240" w:lineRule="auto"/>
        <w:contextualSpacing/>
        <w:jc w:val="both"/>
        <w:rPr>
          <w:rFonts w:ascii="Times New Roman" w:eastAsia="Times New Roman" w:hAnsi="Times New Roman" w:cs="Times New Roman"/>
          <w:bCs/>
        </w:rPr>
      </w:pPr>
      <w:r w:rsidRPr="00DB75F9">
        <w:rPr>
          <w:rFonts w:ascii="Times New Roman" w:eastAsia="Times New Roman" w:hAnsi="Times New Roman" w:cs="Times New Roman"/>
          <w:bCs/>
        </w:rPr>
        <w:t>A honvéd tisztjelölt legyen képes a függeszkedés, 3200 méter síkfutás, az 500 méteres akadály pálya és a 200 méter úszás egymás utáni végrehajtására szintidőn belül.</w:t>
      </w:r>
    </w:p>
    <w:p w:rsidR="00DB75F9" w:rsidRPr="00DB75F9" w:rsidRDefault="00DB75F9" w:rsidP="00DB75F9">
      <w:pPr>
        <w:widowControl w:val="0"/>
        <w:spacing w:before="120" w:after="0" w:line="240" w:lineRule="auto"/>
        <w:ind w:left="425"/>
        <w:jc w:val="both"/>
        <w:rPr>
          <w:rFonts w:ascii="Times New Roman" w:eastAsia="Times New Roman" w:hAnsi="Times New Roman" w:cs="Times New Roman"/>
          <w:b/>
          <w:bCs/>
        </w:rPr>
      </w:pPr>
      <w:r w:rsidRPr="00DB75F9">
        <w:rPr>
          <w:rFonts w:ascii="Times New Roman" w:eastAsia="Times New Roman" w:hAnsi="Times New Roman" w:cs="Times New Roman"/>
          <w:b/>
          <w:bCs/>
        </w:rPr>
        <w:t>Képességei:</w:t>
      </w:r>
    </w:p>
    <w:p w:rsidR="00DB75F9" w:rsidRPr="00DB75F9" w:rsidRDefault="00DB75F9" w:rsidP="00DB75F9">
      <w:pPr>
        <w:widowControl w:val="0"/>
        <w:numPr>
          <w:ilvl w:val="0"/>
          <w:numId w:val="162"/>
        </w:numPr>
        <w:spacing w:before="120" w:after="120" w:line="240" w:lineRule="auto"/>
        <w:contextualSpacing/>
        <w:jc w:val="both"/>
        <w:rPr>
          <w:rFonts w:ascii="Times New Roman" w:eastAsia="Times New Roman" w:hAnsi="Times New Roman" w:cs="Times New Roman"/>
          <w:bCs/>
        </w:rPr>
      </w:pPr>
      <w:r w:rsidRPr="00DB75F9">
        <w:rPr>
          <w:rFonts w:ascii="Times New Roman" w:eastAsia="Times New Roman" w:hAnsi="Times New Roman" w:cs="Times New Roman"/>
          <w:b/>
          <w:bCs/>
        </w:rPr>
        <w:t xml:space="preserve"> </w:t>
      </w:r>
      <w:r w:rsidRPr="00DB75F9">
        <w:rPr>
          <w:rFonts w:ascii="Times New Roman" w:eastAsia="Times New Roman" w:hAnsi="Times New Roman" w:cs="Times New Roman"/>
          <w:bCs/>
        </w:rPr>
        <w:t xml:space="preserve">Rendelkezzék az állóképesség és az erő – állóképesség megfelelő szintjével. </w:t>
      </w:r>
    </w:p>
    <w:p w:rsidR="00DB75F9" w:rsidRPr="00DB75F9" w:rsidRDefault="00DB75F9" w:rsidP="00DB75F9">
      <w:pPr>
        <w:widowControl w:val="0"/>
        <w:numPr>
          <w:ilvl w:val="0"/>
          <w:numId w:val="162"/>
        </w:numPr>
        <w:spacing w:before="120" w:after="120" w:line="240" w:lineRule="auto"/>
        <w:contextualSpacing/>
        <w:jc w:val="both"/>
        <w:rPr>
          <w:rFonts w:ascii="Times New Roman" w:eastAsia="Times New Roman" w:hAnsi="Times New Roman" w:cs="Times New Roman"/>
          <w:bCs/>
        </w:rPr>
      </w:pPr>
      <w:r w:rsidRPr="00DB75F9">
        <w:rPr>
          <w:rFonts w:ascii="Times New Roman" w:eastAsia="Times New Roman" w:hAnsi="Times New Roman" w:cs="Times New Roman"/>
          <w:bCs/>
        </w:rPr>
        <w:t xml:space="preserve">Képes a konfliktusok hatékony kezelésére. </w:t>
      </w:r>
    </w:p>
    <w:p w:rsidR="00DB75F9" w:rsidRPr="00DB75F9" w:rsidRDefault="00DB75F9" w:rsidP="00DB75F9">
      <w:pPr>
        <w:widowControl w:val="0"/>
        <w:numPr>
          <w:ilvl w:val="0"/>
          <w:numId w:val="162"/>
        </w:numPr>
        <w:spacing w:before="120" w:after="120" w:line="240" w:lineRule="auto"/>
        <w:contextualSpacing/>
        <w:jc w:val="both"/>
        <w:rPr>
          <w:rFonts w:ascii="Times New Roman" w:eastAsia="Times New Roman" w:hAnsi="Times New Roman" w:cs="Times New Roman"/>
          <w:bCs/>
        </w:rPr>
      </w:pPr>
      <w:r w:rsidRPr="00DB75F9">
        <w:rPr>
          <w:rFonts w:ascii="Times New Roman" w:eastAsia="Times New Roman" w:hAnsi="Times New Roman" w:cs="Times New Roman"/>
          <w:bCs/>
        </w:rPr>
        <w:t>Képes szakszerűen kifejezni magát mind szóban mind írásban.</w:t>
      </w:r>
    </w:p>
    <w:p w:rsidR="00DB75F9" w:rsidRPr="00DB75F9" w:rsidRDefault="00DB75F9" w:rsidP="00DB75F9">
      <w:pPr>
        <w:widowControl w:val="0"/>
        <w:spacing w:before="120" w:after="0" w:line="240" w:lineRule="auto"/>
        <w:ind w:left="425"/>
        <w:jc w:val="both"/>
        <w:rPr>
          <w:rFonts w:ascii="Times New Roman" w:eastAsia="Times New Roman" w:hAnsi="Times New Roman" w:cs="Times New Roman"/>
          <w:b/>
          <w:bCs/>
        </w:rPr>
      </w:pPr>
      <w:r w:rsidRPr="00DB75F9">
        <w:rPr>
          <w:rFonts w:ascii="Times New Roman" w:eastAsia="Times New Roman" w:hAnsi="Times New Roman" w:cs="Times New Roman"/>
          <w:b/>
          <w:bCs/>
        </w:rPr>
        <w:t>Attitűdje:</w:t>
      </w:r>
    </w:p>
    <w:p w:rsidR="00DB75F9" w:rsidRPr="00DB75F9" w:rsidRDefault="00DB75F9" w:rsidP="00DB75F9">
      <w:pPr>
        <w:widowControl w:val="0"/>
        <w:numPr>
          <w:ilvl w:val="0"/>
          <w:numId w:val="162"/>
        </w:numPr>
        <w:spacing w:before="120" w:after="120" w:line="240" w:lineRule="auto"/>
        <w:contextualSpacing/>
        <w:jc w:val="both"/>
        <w:rPr>
          <w:rFonts w:ascii="Times New Roman" w:eastAsia="Times New Roman" w:hAnsi="Times New Roman" w:cs="Times New Roman"/>
          <w:bCs/>
        </w:rPr>
      </w:pPr>
      <w:r w:rsidRPr="00DB75F9">
        <w:rPr>
          <w:rFonts w:ascii="Times New Roman" w:eastAsia="Times New Roman" w:hAnsi="Times New Roman" w:cs="Times New Roman"/>
          <w:b/>
          <w:bCs/>
        </w:rPr>
        <w:t xml:space="preserve"> </w:t>
      </w:r>
      <w:r w:rsidRPr="00DB75F9">
        <w:rPr>
          <w:rFonts w:ascii="Times New Roman" w:eastAsia="Times New Roman" w:hAnsi="Times New Roman" w:cs="Times New Roman"/>
          <w:bCs/>
        </w:rPr>
        <w:t xml:space="preserve">Munkája során tiszteletben tartja mások jogait, egyénségét és szuverén döntését. </w:t>
      </w:r>
    </w:p>
    <w:p w:rsidR="00DB75F9" w:rsidRPr="00DB75F9" w:rsidRDefault="00DB75F9" w:rsidP="00DB75F9">
      <w:pPr>
        <w:widowControl w:val="0"/>
        <w:numPr>
          <w:ilvl w:val="0"/>
          <w:numId w:val="162"/>
        </w:numPr>
        <w:spacing w:before="120" w:after="120" w:line="240" w:lineRule="auto"/>
        <w:contextualSpacing/>
        <w:jc w:val="both"/>
        <w:rPr>
          <w:rFonts w:ascii="Times New Roman" w:eastAsia="Times New Roman" w:hAnsi="Times New Roman" w:cs="Times New Roman"/>
          <w:bCs/>
        </w:rPr>
      </w:pPr>
      <w:r w:rsidRPr="00DB75F9">
        <w:rPr>
          <w:rFonts w:ascii="Times New Roman" w:eastAsia="Times New Roman" w:hAnsi="Times New Roman" w:cs="Times New Roman"/>
          <w:bCs/>
        </w:rPr>
        <w:t>Elkötelezett az élethosszig tartó tanulás szükségessége mellett.</w:t>
      </w:r>
    </w:p>
    <w:p w:rsidR="00DB75F9" w:rsidRPr="00DB75F9" w:rsidRDefault="00DB75F9" w:rsidP="00DB75F9">
      <w:pPr>
        <w:widowControl w:val="0"/>
        <w:spacing w:before="120" w:after="0" w:line="240" w:lineRule="auto"/>
        <w:ind w:left="425"/>
        <w:jc w:val="both"/>
        <w:rPr>
          <w:rFonts w:ascii="Times New Roman" w:eastAsia="Times New Roman" w:hAnsi="Times New Roman" w:cs="Times New Roman"/>
          <w:b/>
          <w:bCs/>
        </w:rPr>
      </w:pPr>
      <w:r w:rsidRPr="00DB75F9">
        <w:rPr>
          <w:rFonts w:ascii="Times New Roman" w:eastAsia="Times New Roman" w:hAnsi="Times New Roman" w:cs="Times New Roman"/>
          <w:b/>
          <w:bCs/>
        </w:rPr>
        <w:t>Autonómiája és felelőssége:</w:t>
      </w:r>
    </w:p>
    <w:p w:rsidR="00DB75F9" w:rsidRPr="00DB75F9" w:rsidRDefault="00DB75F9" w:rsidP="00DB75F9">
      <w:pPr>
        <w:widowControl w:val="0"/>
        <w:numPr>
          <w:ilvl w:val="0"/>
          <w:numId w:val="162"/>
        </w:numPr>
        <w:spacing w:before="120" w:after="120" w:line="240" w:lineRule="auto"/>
        <w:contextualSpacing/>
        <w:jc w:val="both"/>
        <w:rPr>
          <w:rFonts w:ascii="Times New Roman" w:eastAsia="Times New Roman" w:hAnsi="Times New Roman" w:cs="Times New Roman"/>
          <w:bCs/>
        </w:rPr>
      </w:pPr>
      <w:r w:rsidRPr="00DB75F9">
        <w:rPr>
          <w:rFonts w:ascii="Times New Roman" w:eastAsia="Times New Roman" w:hAnsi="Times New Roman" w:cs="Times New Roman"/>
          <w:b/>
          <w:bCs/>
        </w:rPr>
        <w:t xml:space="preserve"> </w:t>
      </w:r>
      <w:r w:rsidRPr="00DB75F9">
        <w:rPr>
          <w:rFonts w:ascii="Times New Roman" w:eastAsia="Times New Roman" w:hAnsi="Times New Roman" w:cs="Times New Roman"/>
          <w:bCs/>
        </w:rPr>
        <w:t>A tanult mozgáskészleteket kreatívan használja, eredeti mozgásokat, mozgásfolyamatokat, játékokat alkotva.</w:t>
      </w:r>
    </w:p>
    <w:p w:rsidR="00DB75F9" w:rsidRDefault="00DB75F9" w:rsidP="00DB75F9">
      <w:pPr>
        <w:widowControl w:val="0"/>
        <w:spacing w:before="120" w:after="120" w:line="240" w:lineRule="auto"/>
        <w:ind w:left="426"/>
        <w:rPr>
          <w:rFonts w:ascii="Times New Roman" w:eastAsia="Times New Roman" w:hAnsi="Times New Roman" w:cs="Times New Roman"/>
          <w:b/>
          <w:bCs/>
        </w:rPr>
      </w:pPr>
    </w:p>
    <w:p w:rsidR="00DB75F9" w:rsidRPr="00DB75F9" w:rsidRDefault="00DB75F9" w:rsidP="00DB75F9">
      <w:pPr>
        <w:widowControl w:val="0"/>
        <w:spacing w:before="120" w:after="120" w:line="240" w:lineRule="auto"/>
        <w:ind w:left="426"/>
        <w:rPr>
          <w:rFonts w:ascii="Times New Roman" w:eastAsia="Times New Roman" w:hAnsi="Times New Roman" w:cs="Times New Roman"/>
          <w:b/>
          <w:bCs/>
          <w:lang w:val="en-US"/>
        </w:rPr>
      </w:pPr>
      <w:r w:rsidRPr="00DB75F9">
        <w:rPr>
          <w:rFonts w:ascii="Times New Roman" w:eastAsia="Times New Roman" w:hAnsi="Times New Roman" w:cs="Times New Roman"/>
          <w:b/>
          <w:bCs/>
        </w:rPr>
        <w:lastRenderedPageBreak/>
        <w:t>Elérendő kompetenciák (angolul) (</w:t>
      </w:r>
      <w:r w:rsidRPr="00DB75F9">
        <w:rPr>
          <w:rFonts w:ascii="Times New Roman" w:eastAsia="Times New Roman" w:hAnsi="Times New Roman" w:cs="Times New Roman"/>
          <w:b/>
          <w:bCs/>
          <w:lang w:val="en-US"/>
        </w:rPr>
        <w:t xml:space="preserve">Competences – English): </w:t>
      </w:r>
    </w:p>
    <w:p w:rsidR="00DB75F9" w:rsidRPr="00DB75F9" w:rsidRDefault="00DB75F9" w:rsidP="00DB75F9">
      <w:pPr>
        <w:widowControl w:val="0"/>
        <w:spacing w:before="120" w:after="0" w:line="240" w:lineRule="auto"/>
        <w:ind w:left="425"/>
        <w:jc w:val="both"/>
        <w:rPr>
          <w:rFonts w:ascii="Times New Roman" w:eastAsia="Times New Roman" w:hAnsi="Times New Roman" w:cs="Times New Roman"/>
          <w:b/>
          <w:bCs/>
        </w:rPr>
      </w:pPr>
      <w:r w:rsidRPr="00DB75F9">
        <w:rPr>
          <w:rFonts w:ascii="Times New Roman" w:eastAsia="Times New Roman" w:hAnsi="Times New Roman" w:cs="Times New Roman"/>
          <w:b/>
          <w:bCs/>
        </w:rPr>
        <w:t>Knowledge:</w:t>
      </w:r>
    </w:p>
    <w:p w:rsidR="00DB75F9" w:rsidRPr="00DB75F9" w:rsidRDefault="00DB75F9" w:rsidP="00DB75F9">
      <w:pPr>
        <w:numPr>
          <w:ilvl w:val="0"/>
          <w:numId w:val="162"/>
        </w:numPr>
        <w:contextualSpacing/>
        <w:jc w:val="both"/>
        <w:rPr>
          <w:rFonts w:ascii="Times New Roman" w:eastAsia="Calibri" w:hAnsi="Times New Roman" w:cs="Times New Roman"/>
          <w:lang w:val="en-GB"/>
        </w:rPr>
      </w:pPr>
      <w:r w:rsidRPr="00DB75F9">
        <w:rPr>
          <w:rFonts w:ascii="Times New Roman" w:eastAsia="Times New Roman" w:hAnsi="Times New Roman" w:cs="Times New Roman"/>
          <w:lang w:val="en-GB"/>
        </w:rPr>
        <w:t xml:space="preserve"> </w:t>
      </w:r>
      <w:r w:rsidRPr="00DB75F9">
        <w:rPr>
          <w:rFonts w:ascii="Times New Roman" w:eastAsia="Calibri" w:hAnsi="Times New Roman" w:cs="Times New Roman"/>
          <w:lang w:val="en-GB"/>
        </w:rPr>
        <w:t>NUPS officer cadets must develop their coordination and physical skill with special regard to endurance and speed.</w:t>
      </w:r>
    </w:p>
    <w:p w:rsidR="00DB75F9" w:rsidRPr="00DB75F9" w:rsidRDefault="00DB75F9" w:rsidP="00DB75F9">
      <w:pPr>
        <w:numPr>
          <w:ilvl w:val="0"/>
          <w:numId w:val="162"/>
        </w:numPr>
        <w:contextualSpacing/>
        <w:jc w:val="both"/>
        <w:rPr>
          <w:rFonts w:ascii="Times New Roman" w:eastAsia="Calibri" w:hAnsi="Times New Roman" w:cs="Times New Roman"/>
          <w:lang w:val="en-GB"/>
        </w:rPr>
      </w:pPr>
      <w:r w:rsidRPr="00DB75F9">
        <w:rPr>
          <w:rFonts w:ascii="Times New Roman" w:eastAsia="Calibri" w:hAnsi="Times New Roman" w:cs="Times New Roman"/>
          <w:lang w:val="en-GB"/>
        </w:rPr>
        <w:t>The officer cadet must be able to complete the succession of hang-ups, 3200 cross-country runs, the 500-meter obstacle course and the 200-meter swim in succession in time level.</w:t>
      </w:r>
    </w:p>
    <w:p w:rsidR="00DB75F9" w:rsidRPr="00DB75F9" w:rsidRDefault="00DB75F9" w:rsidP="00DB75F9">
      <w:pPr>
        <w:widowControl w:val="0"/>
        <w:spacing w:before="120" w:after="0" w:line="240" w:lineRule="auto"/>
        <w:ind w:left="425"/>
        <w:jc w:val="both"/>
        <w:rPr>
          <w:rFonts w:ascii="Times New Roman" w:eastAsia="Times New Roman" w:hAnsi="Times New Roman" w:cs="Times New Roman"/>
          <w:b/>
          <w:bCs/>
        </w:rPr>
      </w:pPr>
      <w:r w:rsidRPr="00DB75F9">
        <w:rPr>
          <w:rFonts w:ascii="Times New Roman" w:eastAsia="Times New Roman" w:hAnsi="Times New Roman" w:cs="Times New Roman"/>
          <w:b/>
          <w:bCs/>
        </w:rPr>
        <w:t>Capabilities:</w:t>
      </w:r>
    </w:p>
    <w:p w:rsidR="00DB75F9" w:rsidRPr="00DB75F9" w:rsidRDefault="00DB75F9" w:rsidP="00DB75F9">
      <w:pPr>
        <w:numPr>
          <w:ilvl w:val="0"/>
          <w:numId w:val="162"/>
        </w:numPr>
        <w:contextualSpacing/>
        <w:jc w:val="both"/>
        <w:rPr>
          <w:rFonts w:ascii="Times New Roman" w:eastAsia="Calibri" w:hAnsi="Times New Roman" w:cs="Times New Roman"/>
          <w:lang w:val="en-GB"/>
        </w:rPr>
      </w:pPr>
      <w:r w:rsidRPr="00DB75F9">
        <w:rPr>
          <w:rFonts w:ascii="Times New Roman" w:eastAsia="Times New Roman" w:hAnsi="Times New Roman" w:cs="Times New Roman"/>
          <w:lang w:val="en-GB"/>
        </w:rPr>
        <w:t xml:space="preserve"> </w:t>
      </w:r>
      <w:r w:rsidRPr="00DB75F9">
        <w:rPr>
          <w:rFonts w:ascii="Times New Roman" w:eastAsia="Calibri" w:hAnsi="Times New Roman" w:cs="Times New Roman"/>
          <w:lang w:val="en-GB"/>
        </w:rPr>
        <w:t>Have an appropriate level of endurance and strength-endurance.</w:t>
      </w:r>
    </w:p>
    <w:p w:rsidR="00DB75F9" w:rsidRPr="00DB75F9" w:rsidRDefault="00DB75F9" w:rsidP="00DB75F9">
      <w:pPr>
        <w:numPr>
          <w:ilvl w:val="0"/>
          <w:numId w:val="162"/>
        </w:numPr>
        <w:contextualSpacing/>
        <w:jc w:val="both"/>
        <w:rPr>
          <w:rFonts w:ascii="Times New Roman" w:eastAsia="Calibri" w:hAnsi="Times New Roman" w:cs="Times New Roman"/>
          <w:lang w:val="en-GB"/>
        </w:rPr>
      </w:pPr>
      <w:r w:rsidRPr="00DB75F9">
        <w:rPr>
          <w:rFonts w:ascii="Times New Roman" w:eastAsia="Calibri" w:hAnsi="Times New Roman" w:cs="Times New Roman"/>
          <w:lang w:val="en-GB"/>
        </w:rPr>
        <w:t>He /She can manage conflicts and is able to express himself/ herself professionally both orally and in writing.</w:t>
      </w:r>
    </w:p>
    <w:p w:rsidR="00DB75F9" w:rsidRPr="00DB75F9" w:rsidRDefault="00DB75F9" w:rsidP="00DB75F9">
      <w:pPr>
        <w:widowControl w:val="0"/>
        <w:spacing w:before="120" w:after="0" w:line="240" w:lineRule="auto"/>
        <w:ind w:left="425"/>
        <w:jc w:val="both"/>
        <w:rPr>
          <w:rFonts w:ascii="Times New Roman" w:eastAsia="Times New Roman" w:hAnsi="Times New Roman" w:cs="Times New Roman"/>
          <w:b/>
          <w:bCs/>
        </w:rPr>
      </w:pPr>
      <w:r w:rsidRPr="00DB75F9">
        <w:rPr>
          <w:rFonts w:ascii="Times New Roman" w:eastAsia="Times New Roman" w:hAnsi="Times New Roman" w:cs="Times New Roman"/>
          <w:b/>
          <w:bCs/>
        </w:rPr>
        <w:t>Attitude:</w:t>
      </w:r>
    </w:p>
    <w:p w:rsidR="00DB75F9" w:rsidRPr="00DB75F9" w:rsidRDefault="00DB75F9" w:rsidP="00DB75F9">
      <w:pPr>
        <w:numPr>
          <w:ilvl w:val="0"/>
          <w:numId w:val="162"/>
        </w:numPr>
        <w:contextualSpacing/>
        <w:jc w:val="both"/>
        <w:rPr>
          <w:rFonts w:ascii="Times New Roman" w:eastAsia="Calibri" w:hAnsi="Times New Roman" w:cs="Times New Roman"/>
          <w:lang w:val="en-GB"/>
        </w:rPr>
      </w:pPr>
      <w:r w:rsidRPr="00DB75F9">
        <w:rPr>
          <w:rFonts w:ascii="Times New Roman" w:eastAsia="Times New Roman" w:hAnsi="Times New Roman" w:cs="Times New Roman"/>
          <w:b/>
          <w:lang w:val="en-GB"/>
        </w:rPr>
        <w:t xml:space="preserve"> </w:t>
      </w:r>
      <w:r w:rsidRPr="00DB75F9">
        <w:rPr>
          <w:rFonts w:ascii="Times New Roman" w:eastAsia="Calibri" w:hAnsi="Times New Roman" w:cs="Times New Roman"/>
          <w:lang w:val="en-GB"/>
        </w:rPr>
        <w:t>In his/her work, he/she respects the rights, individuality and sovereign decision of others. He/ She is committed to the need for lifelong learning.</w:t>
      </w:r>
    </w:p>
    <w:p w:rsidR="00DB75F9" w:rsidRPr="00DB75F9" w:rsidRDefault="00DB75F9" w:rsidP="00DB75F9">
      <w:pPr>
        <w:widowControl w:val="0"/>
        <w:spacing w:before="120" w:after="0" w:line="240" w:lineRule="auto"/>
        <w:ind w:left="425"/>
        <w:jc w:val="both"/>
        <w:rPr>
          <w:rFonts w:ascii="Times New Roman" w:eastAsia="Times New Roman" w:hAnsi="Times New Roman" w:cs="Times New Roman"/>
          <w:b/>
          <w:bCs/>
        </w:rPr>
      </w:pPr>
      <w:r w:rsidRPr="00DB75F9">
        <w:rPr>
          <w:rFonts w:ascii="Times New Roman" w:eastAsia="Times New Roman" w:hAnsi="Times New Roman" w:cs="Times New Roman"/>
          <w:b/>
          <w:bCs/>
        </w:rPr>
        <w:t xml:space="preserve">Autonomy and responsibility: </w:t>
      </w:r>
    </w:p>
    <w:p w:rsidR="00DB75F9" w:rsidRPr="00DB75F9" w:rsidRDefault="00DB75F9" w:rsidP="00DB75F9">
      <w:pPr>
        <w:numPr>
          <w:ilvl w:val="0"/>
          <w:numId w:val="162"/>
        </w:numPr>
        <w:spacing w:after="0" w:line="240" w:lineRule="auto"/>
        <w:jc w:val="both"/>
        <w:rPr>
          <w:rFonts w:ascii="Times New Roman" w:eastAsia="Times New Roman" w:hAnsi="Times New Roman" w:cs="Times New Roman"/>
          <w:lang w:val="en-GB" w:eastAsia="hu-HU"/>
        </w:rPr>
      </w:pPr>
      <w:r w:rsidRPr="00DB75F9">
        <w:rPr>
          <w:rFonts w:ascii="Times New Roman" w:eastAsia="Times New Roman" w:hAnsi="Times New Roman" w:cs="Times New Roman"/>
          <w:lang w:val="en-GB" w:eastAsia="hu-HU"/>
        </w:rPr>
        <w:t>He /She uses the learned motion sets creatively, creating original motions, movement processes, and games.</w:t>
      </w:r>
    </w:p>
    <w:p w:rsidR="00DB75F9" w:rsidRPr="00DB75F9" w:rsidRDefault="00DB75F9" w:rsidP="00980876">
      <w:pPr>
        <w:widowControl w:val="0"/>
        <w:numPr>
          <w:ilvl w:val="0"/>
          <w:numId w:val="841"/>
        </w:numPr>
        <w:tabs>
          <w:tab w:val="num" w:pos="567"/>
        </w:tabs>
        <w:spacing w:before="120" w:after="120" w:line="240" w:lineRule="auto"/>
        <w:ind w:left="567" w:hanging="283"/>
        <w:rPr>
          <w:rFonts w:ascii="Times New Roman" w:eastAsia="Times New Roman" w:hAnsi="Times New Roman" w:cs="Times New Roman"/>
          <w:bCs/>
        </w:rPr>
      </w:pPr>
      <w:r w:rsidRPr="00DB75F9">
        <w:rPr>
          <w:rFonts w:ascii="Times New Roman" w:eastAsia="Times New Roman" w:hAnsi="Times New Roman" w:cs="Times New Roman"/>
          <w:b/>
          <w:bCs/>
        </w:rPr>
        <w:t>Előtanulmányi követelmények:</w:t>
      </w:r>
      <w:r w:rsidRPr="00DB75F9">
        <w:rPr>
          <w:rFonts w:ascii="Times New Roman" w:eastAsia="Times New Roman" w:hAnsi="Times New Roman" w:cs="Times New Roman"/>
          <w:bCs/>
        </w:rPr>
        <w:t xml:space="preserve"> nincs</w:t>
      </w:r>
    </w:p>
    <w:p w:rsidR="00DB75F9" w:rsidRPr="00DB75F9" w:rsidRDefault="00DB75F9" w:rsidP="00980876">
      <w:pPr>
        <w:widowControl w:val="0"/>
        <w:numPr>
          <w:ilvl w:val="0"/>
          <w:numId w:val="841"/>
        </w:numPr>
        <w:tabs>
          <w:tab w:val="num" w:pos="567"/>
        </w:tabs>
        <w:spacing w:before="120" w:after="120" w:line="240" w:lineRule="auto"/>
        <w:ind w:left="567" w:hanging="283"/>
        <w:rPr>
          <w:rFonts w:ascii="Times New Roman" w:eastAsia="Times New Roman" w:hAnsi="Times New Roman" w:cs="Times New Roman"/>
          <w:b/>
          <w:bCs/>
        </w:rPr>
      </w:pPr>
      <w:r w:rsidRPr="00DB75F9">
        <w:rPr>
          <w:rFonts w:ascii="Times New Roman" w:eastAsia="Times New Roman" w:hAnsi="Times New Roman" w:cs="Times New Roman"/>
          <w:b/>
          <w:bCs/>
        </w:rPr>
        <w:t>A tantárgy tananyagának leírása, tematika.</w:t>
      </w:r>
    </w:p>
    <w:p w:rsidR="00DB75F9" w:rsidRPr="00DB75F9" w:rsidRDefault="00DB75F9" w:rsidP="00DB75F9">
      <w:pPr>
        <w:widowControl w:val="0"/>
        <w:tabs>
          <w:tab w:val="left" w:pos="993"/>
        </w:tabs>
        <w:spacing w:after="240" w:line="240" w:lineRule="auto"/>
        <w:ind w:left="425"/>
        <w:jc w:val="both"/>
        <w:rPr>
          <w:rFonts w:ascii="Times New Roman" w:eastAsia="Times New Roman" w:hAnsi="Times New Roman" w:cs="Times New Roman"/>
          <w:i/>
          <w:iCs/>
        </w:rPr>
      </w:pPr>
      <w:r w:rsidRPr="00DB75F9">
        <w:rPr>
          <w:rFonts w:ascii="Times New Roman" w:eastAsia="Times New Roman" w:hAnsi="Times New Roman" w:cs="Times New Roman"/>
          <w:b/>
          <w:bCs/>
        </w:rPr>
        <w:t>12.1.</w:t>
      </w:r>
      <w:r w:rsidRPr="00DB75F9">
        <w:rPr>
          <w:rFonts w:ascii="Times New Roman" w:eastAsia="Times New Roman" w:hAnsi="Times New Roman" w:cs="Times New Roman"/>
          <w:bCs/>
        </w:rPr>
        <w:t xml:space="preserve"> Természetes és mesterséges akadályok leküzdése. Mélybe- fel- és átugrások, sorozatban is. Emelések és hordások (társ illetve egyéb súly cipelése) Mászások, függeszkedések, fékező ereszkedések ferde létrán. Egyensúlyt, kinesztézist fejlesztő gyakorlatok</w:t>
      </w:r>
      <w:r w:rsidRPr="00DB75F9">
        <w:rPr>
          <w:rFonts w:ascii="Times New Roman" w:eastAsia="Times New Roman" w:hAnsi="Times New Roman" w:cs="Times New Roman"/>
          <w:bCs/>
          <w:i/>
          <w:iCs/>
        </w:rPr>
        <w:t>.</w:t>
      </w:r>
      <w:r w:rsidRPr="00DB75F9">
        <w:rPr>
          <w:rFonts w:ascii="Times New Roman" w:eastAsia="Times New Roman" w:hAnsi="Times New Roman" w:cs="Times New Roman"/>
          <w:i/>
          <w:iCs/>
        </w:rPr>
        <w:t xml:space="preserve"> (Completing natural and artificial obstacles</w:t>
      </w:r>
      <w:r w:rsidRPr="00DB75F9">
        <w:rPr>
          <w:rFonts w:ascii="Times New Roman" w:eastAsia="Calibri" w:hAnsi="Times New Roman" w:cs="Times New Roman"/>
          <w:i/>
          <w:iCs/>
          <w:color w:val="222222"/>
          <w:shd w:val="clear" w:color="auto" w:fill="F8F9FA"/>
        </w:rPr>
        <w:t xml:space="preserve"> Lifting and Carrying (Carrying Companion and Other Weight</w:t>
      </w:r>
      <w:r w:rsidRPr="00DB75F9">
        <w:rPr>
          <w:rFonts w:ascii="Times New Roman" w:eastAsia="Times New Roman" w:hAnsi="Times New Roman" w:cs="Times New Roman"/>
          <w:i/>
          <w:iCs/>
        </w:rPr>
        <w:t>).</w:t>
      </w:r>
    </w:p>
    <w:p w:rsidR="00DB75F9" w:rsidRPr="00DB75F9" w:rsidRDefault="00DB75F9" w:rsidP="00DB75F9">
      <w:pPr>
        <w:widowControl w:val="0"/>
        <w:spacing w:after="240" w:line="240" w:lineRule="auto"/>
        <w:ind w:left="425"/>
        <w:jc w:val="both"/>
        <w:rPr>
          <w:rFonts w:ascii="Times New Roman" w:eastAsia="Times New Roman" w:hAnsi="Times New Roman" w:cs="Times New Roman"/>
          <w:bCs/>
          <w:i/>
          <w:iCs/>
        </w:rPr>
      </w:pPr>
      <w:r w:rsidRPr="00DB75F9">
        <w:rPr>
          <w:rFonts w:ascii="Times New Roman" w:eastAsia="Times New Roman" w:hAnsi="Times New Roman" w:cs="Times New Roman"/>
          <w:b/>
          <w:bCs/>
        </w:rPr>
        <w:t>12.2.</w:t>
      </w:r>
      <w:r w:rsidRPr="00DB75F9">
        <w:rPr>
          <w:rFonts w:ascii="Times New Roman" w:eastAsia="Times New Roman" w:hAnsi="Times New Roman" w:cs="Times New Roman"/>
          <w:bCs/>
        </w:rPr>
        <w:t xml:space="preserve"> Az akadálypálya elemek csoportokra bontott, majd komplexen, rajtversenyek formájában történő gyakorlása.</w:t>
      </w:r>
      <w:r w:rsidRPr="00DB75F9">
        <w:rPr>
          <w:rFonts w:ascii="Times New Roman" w:eastAsia="Calibri" w:hAnsi="Times New Roman" w:cs="Times New Roman"/>
          <w:color w:val="222222"/>
          <w:shd w:val="clear" w:color="auto" w:fill="F8F9FA"/>
        </w:rPr>
        <w:t xml:space="preserve"> </w:t>
      </w:r>
      <w:r w:rsidRPr="00DB75F9">
        <w:rPr>
          <w:rFonts w:ascii="Times New Roman" w:eastAsia="Calibri" w:hAnsi="Times New Roman" w:cs="Times New Roman"/>
          <w:i/>
          <w:iCs/>
          <w:color w:val="222222"/>
          <w:shd w:val="clear" w:color="auto" w:fill="F8F9FA"/>
        </w:rPr>
        <w:t>(Obstacle course practice is divided into groups and then complex, in the form of start competitions.)</w:t>
      </w:r>
    </w:p>
    <w:p w:rsidR="00DB75F9" w:rsidRPr="00DB75F9" w:rsidRDefault="00DB75F9" w:rsidP="00DB75F9">
      <w:pPr>
        <w:widowControl w:val="0"/>
        <w:spacing w:after="240" w:line="240" w:lineRule="auto"/>
        <w:ind w:left="425"/>
        <w:rPr>
          <w:rFonts w:ascii="Times New Roman" w:eastAsia="Times New Roman" w:hAnsi="Times New Roman" w:cs="Times New Roman"/>
          <w:bCs/>
        </w:rPr>
      </w:pPr>
      <w:r w:rsidRPr="00DB75F9">
        <w:rPr>
          <w:rFonts w:ascii="Times New Roman" w:eastAsia="Times New Roman" w:hAnsi="Times New Roman" w:cs="Times New Roman"/>
          <w:b/>
          <w:bCs/>
        </w:rPr>
        <w:t>12.3.</w:t>
      </w:r>
      <w:r w:rsidRPr="00DB75F9">
        <w:rPr>
          <w:rFonts w:ascii="Times New Roman" w:eastAsia="Times New Roman" w:hAnsi="Times New Roman" w:cs="Times New Roman"/>
          <w:bCs/>
        </w:rPr>
        <w:t xml:space="preserve"> Komplex vizsga.</w:t>
      </w:r>
      <w:r w:rsidRPr="00DB75F9">
        <w:rPr>
          <w:rFonts w:ascii="Times New Roman" w:eastAsia="Calibri" w:hAnsi="Times New Roman" w:cs="Times New Roman"/>
          <w:color w:val="222222"/>
          <w:shd w:val="clear" w:color="auto" w:fill="F8F9FA"/>
        </w:rPr>
        <w:t xml:space="preserve"> </w:t>
      </w:r>
      <w:r w:rsidRPr="00DB75F9">
        <w:rPr>
          <w:rFonts w:ascii="Times New Roman" w:eastAsia="Calibri" w:hAnsi="Times New Roman" w:cs="Times New Roman"/>
          <w:i/>
          <w:iCs/>
          <w:color w:val="222222"/>
          <w:shd w:val="clear" w:color="auto" w:fill="F8F9FA"/>
        </w:rPr>
        <w:t>(Complex exam.)</w:t>
      </w:r>
    </w:p>
    <w:p w:rsidR="00DB75F9" w:rsidRPr="00DB75F9" w:rsidRDefault="00DB75F9" w:rsidP="00980876">
      <w:pPr>
        <w:widowControl w:val="0"/>
        <w:numPr>
          <w:ilvl w:val="0"/>
          <w:numId w:val="841"/>
        </w:numPr>
        <w:tabs>
          <w:tab w:val="num" w:pos="567"/>
        </w:tabs>
        <w:spacing w:before="120" w:after="120" w:line="240" w:lineRule="auto"/>
        <w:ind w:left="567" w:hanging="283"/>
        <w:rPr>
          <w:rFonts w:ascii="Times New Roman" w:eastAsia="Times New Roman" w:hAnsi="Times New Roman" w:cs="Times New Roman"/>
          <w:bCs/>
        </w:rPr>
      </w:pPr>
      <w:r w:rsidRPr="00DB75F9">
        <w:rPr>
          <w:rFonts w:ascii="Times New Roman" w:eastAsia="Times New Roman" w:hAnsi="Times New Roman" w:cs="Times New Roman"/>
          <w:b/>
          <w:bCs/>
        </w:rPr>
        <w:t xml:space="preserve">A tantárgy meghirdetésének gyakorisága a tantervben történő félévi elhelyezkedése: </w:t>
      </w:r>
      <w:r w:rsidRPr="00DB75F9">
        <w:rPr>
          <w:rFonts w:ascii="Times New Roman" w:eastAsia="Calibri" w:hAnsi="Times New Roman" w:cs="Times New Roman"/>
          <w:bCs/>
        </w:rPr>
        <w:t>VIII. félév.</w:t>
      </w:r>
    </w:p>
    <w:p w:rsidR="00DB75F9" w:rsidRPr="00DB75F9" w:rsidRDefault="00DB75F9" w:rsidP="00980876">
      <w:pPr>
        <w:widowControl w:val="0"/>
        <w:numPr>
          <w:ilvl w:val="0"/>
          <w:numId w:val="841"/>
        </w:numPr>
        <w:tabs>
          <w:tab w:val="num" w:pos="567"/>
        </w:tabs>
        <w:spacing w:before="120" w:after="120" w:line="240" w:lineRule="auto"/>
        <w:ind w:left="567" w:hanging="283"/>
        <w:jc w:val="both"/>
        <w:rPr>
          <w:rFonts w:ascii="Times New Roman" w:eastAsia="Times New Roman" w:hAnsi="Times New Roman" w:cs="Times New Roman"/>
          <w:bCs/>
        </w:rPr>
      </w:pPr>
      <w:r w:rsidRPr="00DB75F9">
        <w:rPr>
          <w:rFonts w:ascii="Times New Roman" w:eastAsia="Times New Roman" w:hAnsi="Times New Roman" w:cs="Times New Roman"/>
          <w:b/>
          <w:bCs/>
        </w:rPr>
        <w:t xml:space="preserve">A tanórákon való részvétel követelményei, az elfogadható hiányzások mértéke, a távolmaradás pótlásának lehetősége: </w:t>
      </w:r>
      <w:r w:rsidRPr="00DB75F9">
        <w:rPr>
          <w:rFonts w:ascii="Times New Roman" w:eastAsia="Calibri" w:hAnsi="Times New Roman" w:cs="Times New Roman"/>
          <w:bCs/>
        </w:rPr>
        <w:t>A Honvéd tisztjelöltek részvétele az órákon kötelező. Betegség, szabadság miatti hiányzások mértéke maximálisan 30% lehet. Vezénylés, szolgálat miatti távollét nem számít bele a hiányzásba.</w:t>
      </w:r>
      <w:r w:rsidRPr="00DB75F9">
        <w:rPr>
          <w:rFonts w:ascii="Times New Roman" w:eastAsia="Times New Roman" w:hAnsi="Times New Roman" w:cs="Times New Roman"/>
          <w:bCs/>
        </w:rPr>
        <w:t xml:space="preserve"> A hallgatónak a tanórák legalább 70 %-án jelen kell lennie, 30 %-ot meghaladó hiányzás esetén a félév teljesítése nem írható alá. A hallgató köteles a gyakorlat anyagát beszerezni, abból önállóan felkészülni.</w:t>
      </w:r>
    </w:p>
    <w:p w:rsidR="00DB75F9" w:rsidRPr="00DB75F9" w:rsidRDefault="00DB75F9" w:rsidP="00980876">
      <w:pPr>
        <w:widowControl w:val="0"/>
        <w:numPr>
          <w:ilvl w:val="0"/>
          <w:numId w:val="841"/>
        </w:numPr>
        <w:tabs>
          <w:tab w:val="num" w:pos="567"/>
        </w:tabs>
        <w:spacing w:before="120" w:after="120" w:line="240" w:lineRule="auto"/>
        <w:ind w:left="567" w:hanging="283"/>
        <w:jc w:val="both"/>
        <w:rPr>
          <w:rFonts w:ascii="Times New Roman" w:eastAsia="Times New Roman" w:hAnsi="Times New Roman" w:cs="Times New Roman"/>
          <w:bCs/>
        </w:rPr>
      </w:pPr>
      <w:r w:rsidRPr="00DB75F9">
        <w:rPr>
          <w:rFonts w:ascii="Times New Roman" w:eastAsia="Times New Roman" w:hAnsi="Times New Roman" w:cs="Times New Roman"/>
          <w:b/>
        </w:rPr>
        <w:t xml:space="preserve">Félévközi feladatok, ismeretek ellenőrzésének rendje: </w:t>
      </w:r>
      <w:r w:rsidRPr="00DB75F9">
        <w:rPr>
          <w:rFonts w:ascii="Times New Roman" w:eastAsia="Times New Roman" w:hAnsi="Times New Roman" w:cs="Times New Roman"/>
          <w:bCs/>
        </w:rPr>
        <w:t xml:space="preserve">Az ismeretek ellenőrzése a különböző mozgásformák bemutatásával történik. </w:t>
      </w:r>
      <w:r w:rsidRPr="00DB75F9">
        <w:rPr>
          <w:rFonts w:ascii="Times New Roman" w:eastAsia="Times New Roman" w:hAnsi="Times New Roman" w:cs="Times New Roman"/>
        </w:rPr>
        <w:t xml:space="preserve">Gyakorlati jegy megszerzése: A minimum szintek és a minimum összpontszám elérése a KTSK értékelési füzete alapján azzal a feltétellel, hogy csak egy mozgásformából lehet elégtelent szerezni. A sikertelen vizsgát a félév folyamán egyszer lehet javítani. Az elért pontszámnak megfelelő érdemjegyek a következők: </w:t>
      </w:r>
    </w:p>
    <w:p w:rsidR="00DB75F9" w:rsidRPr="00DB75F9" w:rsidRDefault="00DB75F9" w:rsidP="00DB75F9">
      <w:pPr>
        <w:widowControl w:val="0"/>
        <w:tabs>
          <w:tab w:val="left" w:pos="993"/>
        </w:tabs>
        <w:spacing w:after="0" w:line="240" w:lineRule="auto"/>
        <w:ind w:left="708"/>
        <w:rPr>
          <w:rFonts w:ascii="Times New Roman" w:eastAsia="Times New Roman" w:hAnsi="Times New Roman" w:cs="Times New Roman"/>
        </w:rPr>
      </w:pPr>
      <w:r w:rsidRPr="00DB75F9">
        <w:rPr>
          <w:rFonts w:ascii="Times New Roman" w:eastAsia="Times New Roman" w:hAnsi="Times New Roman" w:cs="Times New Roman"/>
        </w:rPr>
        <w:t>elégtelen</w:t>
      </w:r>
      <w:r w:rsidRPr="00DB75F9">
        <w:rPr>
          <w:rFonts w:ascii="Times New Roman" w:eastAsia="Times New Roman" w:hAnsi="Times New Roman" w:cs="Times New Roman"/>
        </w:rPr>
        <w:tab/>
        <w:t>( 1 ) 0-7</w:t>
      </w:r>
    </w:p>
    <w:p w:rsidR="00DB75F9" w:rsidRPr="00DB75F9" w:rsidRDefault="00DB75F9" w:rsidP="00DB75F9">
      <w:pPr>
        <w:widowControl w:val="0"/>
        <w:tabs>
          <w:tab w:val="left" w:pos="993"/>
        </w:tabs>
        <w:spacing w:after="0" w:line="240" w:lineRule="auto"/>
        <w:ind w:left="708"/>
        <w:rPr>
          <w:rFonts w:ascii="Times New Roman" w:eastAsia="Times New Roman" w:hAnsi="Times New Roman" w:cs="Times New Roman"/>
        </w:rPr>
      </w:pPr>
      <w:r w:rsidRPr="00DB75F9">
        <w:rPr>
          <w:rFonts w:ascii="Times New Roman" w:eastAsia="Times New Roman" w:hAnsi="Times New Roman" w:cs="Times New Roman"/>
        </w:rPr>
        <w:t>elégséges</w:t>
      </w:r>
      <w:r w:rsidRPr="00DB75F9">
        <w:rPr>
          <w:rFonts w:ascii="Times New Roman" w:eastAsia="Times New Roman" w:hAnsi="Times New Roman" w:cs="Times New Roman"/>
          <w:b/>
        </w:rPr>
        <w:tab/>
      </w:r>
      <w:r w:rsidRPr="00DB75F9">
        <w:rPr>
          <w:rFonts w:ascii="Times New Roman" w:eastAsia="Times New Roman" w:hAnsi="Times New Roman" w:cs="Times New Roman"/>
        </w:rPr>
        <w:t>( 2 ) 8-10</w:t>
      </w:r>
    </w:p>
    <w:p w:rsidR="00DB75F9" w:rsidRPr="00DB75F9" w:rsidRDefault="00DB75F9" w:rsidP="00DB75F9">
      <w:pPr>
        <w:widowControl w:val="0"/>
        <w:tabs>
          <w:tab w:val="left" w:pos="993"/>
        </w:tabs>
        <w:spacing w:after="0" w:line="240" w:lineRule="auto"/>
        <w:ind w:left="708"/>
        <w:rPr>
          <w:rFonts w:ascii="Times New Roman" w:eastAsia="Times New Roman" w:hAnsi="Times New Roman" w:cs="Times New Roman"/>
        </w:rPr>
      </w:pPr>
      <w:r w:rsidRPr="00DB75F9">
        <w:rPr>
          <w:rFonts w:ascii="Times New Roman" w:eastAsia="Times New Roman" w:hAnsi="Times New Roman" w:cs="Times New Roman"/>
        </w:rPr>
        <w:t>közepes</w:t>
      </w:r>
      <w:r w:rsidRPr="00DB75F9">
        <w:rPr>
          <w:rFonts w:ascii="Times New Roman" w:eastAsia="Times New Roman" w:hAnsi="Times New Roman" w:cs="Times New Roman"/>
        </w:rPr>
        <w:tab/>
        <w:t>( 3 ) 11-13</w:t>
      </w:r>
    </w:p>
    <w:p w:rsidR="00DB75F9" w:rsidRPr="00DB75F9" w:rsidRDefault="00DB75F9" w:rsidP="00DB75F9">
      <w:pPr>
        <w:widowControl w:val="0"/>
        <w:tabs>
          <w:tab w:val="left" w:pos="993"/>
        </w:tabs>
        <w:spacing w:after="0" w:line="240" w:lineRule="auto"/>
        <w:ind w:left="708"/>
        <w:rPr>
          <w:rFonts w:ascii="Times New Roman" w:eastAsia="Times New Roman" w:hAnsi="Times New Roman" w:cs="Times New Roman"/>
        </w:rPr>
      </w:pPr>
      <w:r w:rsidRPr="00DB75F9">
        <w:rPr>
          <w:rFonts w:ascii="Times New Roman" w:eastAsia="Times New Roman" w:hAnsi="Times New Roman" w:cs="Times New Roman"/>
        </w:rPr>
        <w:t>jó</w:t>
      </w:r>
      <w:r w:rsidRPr="00DB75F9">
        <w:rPr>
          <w:rFonts w:ascii="Times New Roman" w:eastAsia="Times New Roman" w:hAnsi="Times New Roman" w:cs="Times New Roman"/>
        </w:rPr>
        <w:tab/>
      </w:r>
      <w:r w:rsidRPr="00DB75F9">
        <w:rPr>
          <w:rFonts w:ascii="Times New Roman" w:eastAsia="Times New Roman" w:hAnsi="Times New Roman" w:cs="Times New Roman"/>
        </w:rPr>
        <w:tab/>
      </w:r>
      <w:r w:rsidRPr="00DB75F9">
        <w:rPr>
          <w:rFonts w:ascii="Times New Roman" w:eastAsia="Times New Roman" w:hAnsi="Times New Roman" w:cs="Times New Roman"/>
        </w:rPr>
        <w:tab/>
        <w:t>( 4 ) 14-17</w:t>
      </w:r>
    </w:p>
    <w:p w:rsidR="00DB75F9" w:rsidRPr="00DB75F9" w:rsidRDefault="00DB75F9" w:rsidP="00DB75F9">
      <w:pPr>
        <w:widowControl w:val="0"/>
        <w:tabs>
          <w:tab w:val="left" w:pos="993"/>
        </w:tabs>
        <w:spacing w:after="0" w:line="240" w:lineRule="auto"/>
        <w:ind w:left="708"/>
        <w:rPr>
          <w:rFonts w:ascii="Times New Roman" w:eastAsia="Times New Roman" w:hAnsi="Times New Roman" w:cs="Times New Roman"/>
        </w:rPr>
      </w:pPr>
      <w:r w:rsidRPr="00DB75F9">
        <w:rPr>
          <w:rFonts w:ascii="Times New Roman" w:eastAsia="Times New Roman" w:hAnsi="Times New Roman" w:cs="Times New Roman"/>
        </w:rPr>
        <w:t>jeles</w:t>
      </w:r>
      <w:r w:rsidRPr="00DB75F9">
        <w:rPr>
          <w:rFonts w:ascii="Times New Roman" w:eastAsia="Times New Roman" w:hAnsi="Times New Roman" w:cs="Times New Roman"/>
        </w:rPr>
        <w:tab/>
      </w:r>
      <w:r w:rsidRPr="00DB75F9">
        <w:rPr>
          <w:rFonts w:ascii="Times New Roman" w:eastAsia="Times New Roman" w:hAnsi="Times New Roman" w:cs="Times New Roman"/>
        </w:rPr>
        <w:tab/>
        <w:t>( 5 ) 18-20</w:t>
      </w:r>
    </w:p>
    <w:p w:rsidR="00DB75F9" w:rsidRPr="00DB75F9" w:rsidRDefault="00DB75F9" w:rsidP="00980876">
      <w:pPr>
        <w:widowControl w:val="0"/>
        <w:numPr>
          <w:ilvl w:val="0"/>
          <w:numId w:val="841"/>
        </w:numPr>
        <w:tabs>
          <w:tab w:val="num" w:pos="567"/>
        </w:tabs>
        <w:spacing w:before="120" w:after="120" w:line="240" w:lineRule="auto"/>
        <w:ind w:left="567" w:hanging="283"/>
        <w:rPr>
          <w:rFonts w:ascii="Times New Roman" w:eastAsia="Times New Roman" w:hAnsi="Times New Roman" w:cs="Times New Roman"/>
          <w:bCs/>
        </w:rPr>
      </w:pPr>
      <w:r w:rsidRPr="00DB75F9">
        <w:rPr>
          <w:rFonts w:ascii="Times New Roman" w:eastAsia="Times New Roman" w:hAnsi="Times New Roman" w:cs="Times New Roman"/>
          <w:b/>
          <w:bCs/>
        </w:rPr>
        <w:t xml:space="preserve">Az értékelés, az aláírás és a kreditek megszerzésének pontos feltételei: </w:t>
      </w:r>
    </w:p>
    <w:p w:rsidR="00DB75F9" w:rsidRPr="00DB75F9" w:rsidRDefault="00DB75F9" w:rsidP="00980876">
      <w:pPr>
        <w:widowControl w:val="0"/>
        <w:numPr>
          <w:ilvl w:val="1"/>
          <w:numId w:val="841"/>
        </w:numPr>
        <w:spacing w:before="120" w:after="120" w:line="240" w:lineRule="auto"/>
        <w:ind w:left="1134" w:hanging="567"/>
        <w:jc w:val="both"/>
        <w:rPr>
          <w:rFonts w:ascii="Times New Roman" w:eastAsia="Times New Roman" w:hAnsi="Times New Roman" w:cs="Times New Roman"/>
        </w:rPr>
      </w:pPr>
      <w:r w:rsidRPr="00DB75F9">
        <w:rPr>
          <w:rFonts w:ascii="Times New Roman" w:eastAsia="Times New Roman" w:hAnsi="Times New Roman" w:cs="Times New Roman"/>
          <w:b/>
        </w:rPr>
        <w:t>Az aláírás megszerzésének feltételei:</w:t>
      </w:r>
      <w:r w:rsidRPr="00DB75F9">
        <w:rPr>
          <w:rFonts w:ascii="Times New Roman" w:eastAsia="Calibri" w:hAnsi="Times New Roman" w:cs="Times New Roman"/>
          <w:bCs/>
        </w:rPr>
        <w:t xml:space="preserve"> Az aláírás feltétele tanórák 70%-án történő aktív részvétel</w:t>
      </w:r>
      <w:r w:rsidRPr="00DB75F9">
        <w:rPr>
          <w:rFonts w:ascii="Times New Roman" w:eastAsia="Calibri" w:hAnsi="Times New Roman" w:cs="Times New Roman"/>
        </w:rPr>
        <w:t xml:space="preserve">, valamint a </w:t>
      </w:r>
      <w:r w:rsidRPr="00DB75F9">
        <w:rPr>
          <w:rFonts w:ascii="Times New Roman" w:eastAsia="Times New Roman" w:hAnsi="Times New Roman" w:cs="Times New Roman"/>
        </w:rPr>
        <w:t xml:space="preserve">minimum szintek és a minimum összpontszám elérése a KTSK </w:t>
      </w:r>
      <w:r w:rsidRPr="00DB75F9">
        <w:rPr>
          <w:rFonts w:ascii="Times New Roman" w:eastAsia="Times New Roman" w:hAnsi="Times New Roman" w:cs="Times New Roman"/>
        </w:rPr>
        <w:lastRenderedPageBreak/>
        <w:t xml:space="preserve">értékelési füzete alapján azzal a feltétellel, hogy csak egy mozgásformából lehet elégtelent szerezni. Az elért pontszámnak megfelelő érdemjegyek a következők: </w:t>
      </w:r>
    </w:p>
    <w:p w:rsidR="00DB75F9" w:rsidRPr="00DB75F9" w:rsidRDefault="00DB75F9" w:rsidP="00DB75F9">
      <w:pPr>
        <w:widowControl w:val="0"/>
        <w:tabs>
          <w:tab w:val="left" w:pos="993"/>
        </w:tabs>
        <w:spacing w:after="0" w:line="240" w:lineRule="auto"/>
        <w:ind w:left="1701" w:hanging="567"/>
        <w:rPr>
          <w:rFonts w:ascii="Times New Roman" w:eastAsia="Times New Roman" w:hAnsi="Times New Roman" w:cs="Times New Roman"/>
        </w:rPr>
      </w:pPr>
      <w:r w:rsidRPr="00DB75F9">
        <w:rPr>
          <w:rFonts w:ascii="Times New Roman" w:eastAsia="Times New Roman" w:hAnsi="Times New Roman" w:cs="Times New Roman"/>
        </w:rPr>
        <w:t>elégtelen</w:t>
      </w:r>
      <w:r w:rsidRPr="00DB75F9">
        <w:rPr>
          <w:rFonts w:ascii="Times New Roman" w:eastAsia="Times New Roman" w:hAnsi="Times New Roman" w:cs="Times New Roman"/>
        </w:rPr>
        <w:tab/>
        <w:t>( 1 ) 0-7</w:t>
      </w:r>
    </w:p>
    <w:p w:rsidR="00DB75F9" w:rsidRPr="00DB75F9" w:rsidRDefault="00DB75F9" w:rsidP="00DB75F9">
      <w:pPr>
        <w:widowControl w:val="0"/>
        <w:tabs>
          <w:tab w:val="left" w:pos="993"/>
        </w:tabs>
        <w:spacing w:after="0" w:line="240" w:lineRule="auto"/>
        <w:ind w:left="1701" w:hanging="567"/>
        <w:rPr>
          <w:rFonts w:ascii="Times New Roman" w:eastAsia="Times New Roman" w:hAnsi="Times New Roman" w:cs="Times New Roman"/>
        </w:rPr>
      </w:pPr>
      <w:r w:rsidRPr="00DB75F9">
        <w:rPr>
          <w:rFonts w:ascii="Times New Roman" w:eastAsia="Times New Roman" w:hAnsi="Times New Roman" w:cs="Times New Roman"/>
        </w:rPr>
        <w:t>elégséges</w:t>
      </w:r>
      <w:r w:rsidRPr="00DB75F9">
        <w:rPr>
          <w:rFonts w:ascii="Times New Roman" w:eastAsia="Times New Roman" w:hAnsi="Times New Roman" w:cs="Times New Roman"/>
        </w:rPr>
        <w:tab/>
        <w:t>( 2 ) 8-10</w:t>
      </w:r>
    </w:p>
    <w:p w:rsidR="00DB75F9" w:rsidRPr="00DB75F9" w:rsidRDefault="00DB75F9" w:rsidP="00DB75F9">
      <w:pPr>
        <w:widowControl w:val="0"/>
        <w:tabs>
          <w:tab w:val="left" w:pos="993"/>
        </w:tabs>
        <w:spacing w:after="0" w:line="240" w:lineRule="auto"/>
        <w:ind w:left="1701" w:hanging="567"/>
        <w:rPr>
          <w:rFonts w:ascii="Times New Roman" w:eastAsia="Times New Roman" w:hAnsi="Times New Roman" w:cs="Times New Roman"/>
        </w:rPr>
      </w:pPr>
      <w:r w:rsidRPr="00DB75F9">
        <w:rPr>
          <w:rFonts w:ascii="Times New Roman" w:eastAsia="Times New Roman" w:hAnsi="Times New Roman" w:cs="Times New Roman"/>
        </w:rPr>
        <w:t>közepes</w:t>
      </w:r>
      <w:r w:rsidRPr="00DB75F9">
        <w:rPr>
          <w:rFonts w:ascii="Times New Roman" w:eastAsia="Times New Roman" w:hAnsi="Times New Roman" w:cs="Times New Roman"/>
        </w:rPr>
        <w:tab/>
        <w:t>( 3 ) 11-13</w:t>
      </w:r>
    </w:p>
    <w:p w:rsidR="00DB75F9" w:rsidRPr="00DB75F9" w:rsidRDefault="00DB75F9" w:rsidP="00DB75F9">
      <w:pPr>
        <w:widowControl w:val="0"/>
        <w:tabs>
          <w:tab w:val="left" w:pos="993"/>
        </w:tabs>
        <w:spacing w:after="0" w:line="240" w:lineRule="auto"/>
        <w:ind w:left="1701" w:hanging="567"/>
        <w:rPr>
          <w:rFonts w:ascii="Times New Roman" w:eastAsia="Times New Roman" w:hAnsi="Times New Roman" w:cs="Times New Roman"/>
        </w:rPr>
      </w:pPr>
      <w:r w:rsidRPr="00DB75F9">
        <w:rPr>
          <w:rFonts w:ascii="Times New Roman" w:eastAsia="Times New Roman" w:hAnsi="Times New Roman" w:cs="Times New Roman"/>
        </w:rPr>
        <w:t>jó</w:t>
      </w:r>
      <w:r w:rsidRPr="00DB75F9">
        <w:rPr>
          <w:rFonts w:ascii="Times New Roman" w:eastAsia="Times New Roman" w:hAnsi="Times New Roman" w:cs="Times New Roman"/>
        </w:rPr>
        <w:tab/>
      </w:r>
      <w:r w:rsidRPr="00DB75F9">
        <w:rPr>
          <w:rFonts w:ascii="Times New Roman" w:eastAsia="Times New Roman" w:hAnsi="Times New Roman" w:cs="Times New Roman"/>
        </w:rPr>
        <w:tab/>
        <w:t>( 4 ) 14-17</w:t>
      </w:r>
    </w:p>
    <w:p w:rsidR="00DB75F9" w:rsidRPr="00DB75F9" w:rsidRDefault="00DB75F9" w:rsidP="00DB75F9">
      <w:pPr>
        <w:widowControl w:val="0"/>
        <w:tabs>
          <w:tab w:val="left" w:pos="993"/>
        </w:tabs>
        <w:spacing w:after="0" w:line="240" w:lineRule="auto"/>
        <w:ind w:left="1701" w:hanging="567"/>
        <w:rPr>
          <w:rFonts w:ascii="Times New Roman" w:eastAsia="Times New Roman" w:hAnsi="Times New Roman" w:cs="Times New Roman"/>
        </w:rPr>
      </w:pPr>
      <w:r w:rsidRPr="00DB75F9">
        <w:rPr>
          <w:rFonts w:ascii="Times New Roman" w:eastAsia="Times New Roman" w:hAnsi="Times New Roman" w:cs="Times New Roman"/>
        </w:rPr>
        <w:t>jeles</w:t>
      </w:r>
      <w:r w:rsidRPr="00DB75F9">
        <w:rPr>
          <w:rFonts w:ascii="Times New Roman" w:eastAsia="Times New Roman" w:hAnsi="Times New Roman" w:cs="Times New Roman"/>
        </w:rPr>
        <w:tab/>
      </w:r>
      <w:r w:rsidRPr="00DB75F9">
        <w:rPr>
          <w:rFonts w:ascii="Times New Roman" w:eastAsia="Times New Roman" w:hAnsi="Times New Roman" w:cs="Times New Roman"/>
        </w:rPr>
        <w:tab/>
        <w:t>( 5 ) 18-20</w:t>
      </w:r>
    </w:p>
    <w:p w:rsidR="00DB75F9" w:rsidRPr="00DB75F9" w:rsidRDefault="00DB75F9" w:rsidP="00980876">
      <w:pPr>
        <w:widowControl w:val="0"/>
        <w:numPr>
          <w:ilvl w:val="1"/>
          <w:numId w:val="841"/>
        </w:numPr>
        <w:spacing w:before="120" w:after="120" w:line="240" w:lineRule="auto"/>
        <w:ind w:left="1134" w:hanging="567"/>
        <w:jc w:val="both"/>
        <w:rPr>
          <w:rFonts w:ascii="Times New Roman" w:eastAsia="Times New Roman" w:hAnsi="Times New Roman" w:cs="Times New Roman"/>
        </w:rPr>
      </w:pPr>
      <w:r w:rsidRPr="00DB75F9">
        <w:rPr>
          <w:rFonts w:ascii="Times New Roman" w:eastAsia="Times New Roman" w:hAnsi="Times New Roman" w:cs="Times New Roman"/>
          <w:b/>
        </w:rPr>
        <w:t xml:space="preserve">Az értékelés: </w:t>
      </w:r>
      <w:r w:rsidRPr="00DB75F9">
        <w:rPr>
          <w:rFonts w:ascii="Times New Roman" w:eastAsia="Times New Roman" w:hAnsi="Times New Roman" w:cs="Times New Roman"/>
        </w:rPr>
        <w:t xml:space="preserve">Aláírás megyszerzése </w:t>
      </w:r>
      <w:r w:rsidRPr="00DB75F9">
        <w:rPr>
          <w:rFonts w:ascii="Times New Roman" w:eastAsia="Calibri" w:hAnsi="Times New Roman" w:cs="Times New Roman"/>
        </w:rPr>
        <w:t>a 16.1. pontban megadottak szerint.</w:t>
      </w:r>
    </w:p>
    <w:p w:rsidR="00DB75F9" w:rsidRPr="00DB75F9" w:rsidRDefault="00DB75F9" w:rsidP="00980876">
      <w:pPr>
        <w:widowControl w:val="0"/>
        <w:numPr>
          <w:ilvl w:val="1"/>
          <w:numId w:val="841"/>
        </w:numPr>
        <w:spacing w:before="120" w:after="120" w:line="240" w:lineRule="auto"/>
        <w:ind w:left="1134" w:hanging="567"/>
        <w:jc w:val="both"/>
        <w:rPr>
          <w:rFonts w:ascii="Times New Roman" w:eastAsia="Times New Roman" w:hAnsi="Times New Roman" w:cs="Times New Roman"/>
        </w:rPr>
      </w:pPr>
      <w:r w:rsidRPr="00DB75F9">
        <w:rPr>
          <w:rFonts w:ascii="Times New Roman" w:eastAsia="Times New Roman" w:hAnsi="Times New Roman" w:cs="Times New Roman"/>
          <w:b/>
        </w:rPr>
        <w:t>A kreditek megszerzésének feltételei</w:t>
      </w:r>
      <w:r w:rsidRPr="00DB75F9">
        <w:rPr>
          <w:rFonts w:ascii="Times New Roman" w:eastAsia="Times New Roman" w:hAnsi="Times New Roman" w:cs="Times New Roman"/>
        </w:rPr>
        <w:t>: nincs</w:t>
      </w:r>
    </w:p>
    <w:p w:rsidR="00DB75F9" w:rsidRPr="00DB75F9" w:rsidRDefault="00DB75F9" w:rsidP="00980876">
      <w:pPr>
        <w:widowControl w:val="0"/>
        <w:numPr>
          <w:ilvl w:val="0"/>
          <w:numId w:val="841"/>
        </w:numPr>
        <w:tabs>
          <w:tab w:val="num" w:pos="567"/>
        </w:tabs>
        <w:spacing w:before="120" w:after="120" w:line="240" w:lineRule="auto"/>
        <w:ind w:left="567" w:hanging="283"/>
        <w:rPr>
          <w:rFonts w:ascii="Times New Roman" w:eastAsia="Times New Roman" w:hAnsi="Times New Roman" w:cs="Times New Roman"/>
          <w:bCs/>
        </w:rPr>
      </w:pPr>
      <w:r w:rsidRPr="00DB75F9">
        <w:rPr>
          <w:rFonts w:ascii="Times New Roman" w:eastAsia="Times New Roman" w:hAnsi="Times New Roman" w:cs="Times New Roman"/>
          <w:b/>
          <w:bCs/>
        </w:rPr>
        <w:t>Irodalomjegyzék:</w:t>
      </w:r>
    </w:p>
    <w:p w:rsidR="00DB75F9" w:rsidRPr="00DB75F9" w:rsidRDefault="00DB75F9" w:rsidP="00980876">
      <w:pPr>
        <w:widowControl w:val="0"/>
        <w:numPr>
          <w:ilvl w:val="1"/>
          <w:numId w:val="841"/>
        </w:numPr>
        <w:spacing w:before="120" w:after="120" w:line="240" w:lineRule="auto"/>
        <w:ind w:left="1134" w:hanging="567"/>
        <w:jc w:val="both"/>
        <w:rPr>
          <w:rFonts w:ascii="Times New Roman" w:eastAsia="Times New Roman" w:hAnsi="Times New Roman" w:cs="Times New Roman"/>
          <w:bCs/>
        </w:rPr>
      </w:pPr>
      <w:r w:rsidRPr="00DB75F9">
        <w:rPr>
          <w:rFonts w:ascii="Times New Roman" w:eastAsia="Times New Roman" w:hAnsi="Times New Roman" w:cs="Times New Roman"/>
          <w:b/>
          <w:bCs/>
        </w:rPr>
        <w:t>Kötelező irodalom:</w:t>
      </w:r>
    </w:p>
    <w:p w:rsidR="00DB75F9" w:rsidRPr="00DB75F9" w:rsidRDefault="00DB75F9" w:rsidP="00DB75F9">
      <w:pPr>
        <w:widowControl w:val="0"/>
        <w:spacing w:after="0" w:line="240" w:lineRule="auto"/>
        <w:ind w:left="993" w:hanging="284"/>
        <w:rPr>
          <w:rFonts w:ascii="Times New Roman" w:eastAsia="Times New Roman" w:hAnsi="Times New Roman" w:cs="Times New Roman"/>
          <w:highlight w:val="lightGray"/>
        </w:rPr>
      </w:pPr>
      <w:r w:rsidRPr="00DB75F9">
        <w:rPr>
          <w:rFonts w:ascii="Times New Roman" w:eastAsia="Calibri" w:hAnsi="Times New Roman" w:cs="Times New Roman"/>
        </w:rPr>
        <w:t>1.</w:t>
      </w:r>
      <w:r w:rsidRPr="00DB75F9">
        <w:rPr>
          <w:rFonts w:ascii="Times New Roman" w:eastAsia="Calibri" w:hAnsi="Times New Roman" w:cs="Times New Roman"/>
        </w:rPr>
        <w:tab/>
        <w:t>A Magyar Honvédség Katonai Testnevelés Kiképzés és Sportbajnokságok szabályzata (A Magyar Honvédség Kiadványa 2017.)</w:t>
      </w:r>
    </w:p>
    <w:p w:rsidR="00DB75F9" w:rsidRPr="00DB75F9" w:rsidRDefault="00DB75F9" w:rsidP="00980876">
      <w:pPr>
        <w:widowControl w:val="0"/>
        <w:numPr>
          <w:ilvl w:val="1"/>
          <w:numId w:val="841"/>
        </w:numPr>
        <w:spacing w:before="120" w:after="120" w:line="240" w:lineRule="auto"/>
        <w:ind w:left="1134" w:hanging="567"/>
        <w:jc w:val="both"/>
        <w:rPr>
          <w:rFonts w:ascii="Times New Roman" w:eastAsia="Times New Roman" w:hAnsi="Times New Roman" w:cs="Times New Roman"/>
          <w:b/>
          <w:bCs/>
        </w:rPr>
      </w:pPr>
      <w:r w:rsidRPr="00DB75F9">
        <w:rPr>
          <w:rFonts w:ascii="Times New Roman" w:eastAsia="Times New Roman" w:hAnsi="Times New Roman" w:cs="Times New Roman"/>
          <w:b/>
          <w:bCs/>
        </w:rPr>
        <w:t>Ajánlott irodalom:</w:t>
      </w:r>
    </w:p>
    <w:p w:rsidR="00DB75F9" w:rsidRPr="00DB75F9" w:rsidRDefault="00DB75F9" w:rsidP="00DB75F9">
      <w:pPr>
        <w:widowControl w:val="0"/>
        <w:spacing w:after="0" w:line="240" w:lineRule="auto"/>
        <w:ind w:left="993" w:hanging="284"/>
        <w:rPr>
          <w:rFonts w:ascii="Times New Roman" w:eastAsia="Calibri" w:hAnsi="Times New Roman" w:cs="Times New Roman"/>
        </w:rPr>
      </w:pPr>
      <w:r w:rsidRPr="00DB75F9">
        <w:rPr>
          <w:rFonts w:ascii="Times New Roman" w:eastAsia="Calibri" w:hAnsi="Times New Roman" w:cs="Times New Roman"/>
        </w:rPr>
        <w:t>1.</w:t>
      </w:r>
      <w:r w:rsidRPr="00DB75F9">
        <w:rPr>
          <w:rFonts w:ascii="Times New Roman" w:eastAsia="Calibri" w:hAnsi="Times New Roman" w:cs="Times New Roman"/>
        </w:rPr>
        <w:tab/>
        <w:t>Arold Imre: Az úszás oktatása Sport kiadó 1979. ISBN:9632530187</w:t>
      </w:r>
    </w:p>
    <w:p w:rsidR="00DB75F9" w:rsidRPr="00DB75F9" w:rsidRDefault="00DB75F9" w:rsidP="00DB75F9">
      <w:pPr>
        <w:widowControl w:val="0"/>
        <w:spacing w:after="0" w:line="240" w:lineRule="auto"/>
        <w:ind w:left="993" w:hanging="284"/>
        <w:rPr>
          <w:rFonts w:ascii="Times New Roman" w:eastAsia="Calibri" w:hAnsi="Times New Roman" w:cs="Times New Roman"/>
        </w:rPr>
      </w:pPr>
      <w:r w:rsidRPr="00DB75F9">
        <w:rPr>
          <w:rFonts w:ascii="Times New Roman" w:eastAsia="Calibri" w:hAnsi="Times New Roman" w:cs="Times New Roman"/>
        </w:rPr>
        <w:t>2.</w:t>
      </w:r>
      <w:r w:rsidRPr="00DB75F9">
        <w:rPr>
          <w:rFonts w:ascii="Times New Roman" w:eastAsia="Calibri" w:hAnsi="Times New Roman" w:cs="Times New Roman"/>
        </w:rPr>
        <w:tab/>
        <w:t>Kerezsi Endre: Torna III. (1979. Sport Kiadó). ISBN: 963-253-012-8</w:t>
      </w:r>
    </w:p>
    <w:p w:rsidR="00DB75F9" w:rsidRPr="00DB75F9" w:rsidRDefault="00DB75F9" w:rsidP="00DB75F9">
      <w:pPr>
        <w:widowControl w:val="0"/>
        <w:spacing w:after="0" w:line="240" w:lineRule="auto"/>
        <w:ind w:left="720"/>
        <w:contextualSpacing/>
        <w:rPr>
          <w:rFonts w:ascii="Times New Roman" w:eastAsia="Times New Roman" w:hAnsi="Times New Roman" w:cs="Times New Roman"/>
          <w:highlight w:val="lightGray"/>
        </w:rPr>
      </w:pPr>
    </w:p>
    <w:p w:rsidR="00DB75F9" w:rsidRPr="00DB75F9" w:rsidRDefault="00DB75F9" w:rsidP="00DB75F9">
      <w:pPr>
        <w:widowControl w:val="0"/>
        <w:spacing w:after="0" w:line="240" w:lineRule="auto"/>
        <w:ind w:left="720"/>
        <w:contextualSpacing/>
        <w:rPr>
          <w:rFonts w:ascii="Times New Roman" w:eastAsia="Times New Roman" w:hAnsi="Times New Roman" w:cs="Times New Roman"/>
          <w:highlight w:val="lightGray"/>
        </w:rPr>
      </w:pPr>
    </w:p>
    <w:p w:rsidR="00DB75F9" w:rsidRPr="00DB75F9" w:rsidRDefault="00DB75F9" w:rsidP="00DB75F9">
      <w:pPr>
        <w:widowControl w:val="0"/>
        <w:spacing w:before="120" w:after="120" w:line="240" w:lineRule="auto"/>
        <w:jc w:val="both"/>
        <w:rPr>
          <w:rFonts w:ascii="Times New Roman" w:eastAsia="Times New Roman" w:hAnsi="Times New Roman" w:cs="Times New Roman"/>
          <w:bCs/>
        </w:rPr>
      </w:pPr>
      <w:r w:rsidRPr="00DB75F9">
        <w:rPr>
          <w:rFonts w:ascii="Times New Roman" w:eastAsia="Times New Roman" w:hAnsi="Times New Roman" w:cs="Times New Roman"/>
          <w:bCs/>
        </w:rPr>
        <w:t>Budapest, 2020-01-21.</w:t>
      </w:r>
    </w:p>
    <w:p w:rsidR="00DB75F9" w:rsidRPr="00DB75F9" w:rsidRDefault="00DB75F9" w:rsidP="00DB75F9">
      <w:pPr>
        <w:widowControl w:val="0"/>
        <w:spacing w:before="120" w:after="120" w:line="240" w:lineRule="auto"/>
        <w:jc w:val="both"/>
        <w:rPr>
          <w:rFonts w:ascii="Times New Roman" w:eastAsia="Times New Roman" w:hAnsi="Times New Roman" w:cs="Times New Roman"/>
          <w:bCs/>
        </w:rPr>
      </w:pPr>
    </w:p>
    <w:p w:rsidR="00DB75F9" w:rsidRPr="00DB75F9" w:rsidRDefault="00DB75F9" w:rsidP="00DB75F9">
      <w:pPr>
        <w:widowControl w:val="0"/>
        <w:spacing w:after="0" w:line="240" w:lineRule="auto"/>
        <w:jc w:val="right"/>
        <w:rPr>
          <w:rFonts w:ascii="Times New Roman" w:eastAsia="Times New Roman" w:hAnsi="Times New Roman" w:cs="Times New Roman"/>
          <w:bCs/>
        </w:rPr>
      </w:pPr>
      <w:r w:rsidRPr="00DB75F9">
        <w:rPr>
          <w:rFonts w:ascii="Times New Roman" w:eastAsia="Times New Roman" w:hAnsi="Times New Roman" w:cs="Times New Roman"/>
          <w:bCs/>
        </w:rPr>
        <w:t xml:space="preserve">Dr. Prókainé dr. Kovács Tímea alezredes, </w:t>
      </w:r>
    </w:p>
    <w:p w:rsidR="00DB75F9" w:rsidRPr="00DB75F9" w:rsidRDefault="00DB75F9" w:rsidP="00DB75F9">
      <w:pPr>
        <w:widowControl w:val="0"/>
        <w:spacing w:after="0" w:line="240" w:lineRule="auto"/>
        <w:jc w:val="right"/>
        <w:rPr>
          <w:rFonts w:ascii="Times New Roman" w:eastAsia="Times New Roman" w:hAnsi="Times New Roman" w:cs="Times New Roman"/>
          <w:bCs/>
        </w:rPr>
      </w:pPr>
      <w:r w:rsidRPr="00DB75F9">
        <w:rPr>
          <w:rFonts w:ascii="Times New Roman" w:eastAsia="Times New Roman" w:hAnsi="Times New Roman" w:cs="Times New Roman"/>
          <w:bCs/>
        </w:rPr>
        <w:t>KTSK testnevelő tanár, sk.</w:t>
      </w:r>
    </w:p>
    <w:p w:rsidR="00DB75F9" w:rsidRDefault="00DB75F9"/>
    <w:p w:rsidR="00DB75F9" w:rsidRDefault="00DB75F9">
      <w:r>
        <w:br w:type="page"/>
      </w:r>
    </w:p>
    <w:tbl>
      <w:tblPr>
        <w:tblW w:w="11669" w:type="dxa"/>
        <w:tblInd w:w="113" w:type="dxa"/>
        <w:tblLook w:val="01E0" w:firstRow="1" w:lastRow="1" w:firstColumn="1" w:lastColumn="1" w:noHBand="0" w:noVBand="0"/>
      </w:tblPr>
      <w:tblGrid>
        <w:gridCol w:w="5382"/>
        <w:gridCol w:w="1093"/>
        <w:gridCol w:w="2597"/>
        <w:gridCol w:w="2597"/>
      </w:tblGrid>
      <w:tr w:rsidR="00E65CE8" w:rsidRPr="000B4D34" w:rsidTr="00E65CE8">
        <w:tc>
          <w:tcPr>
            <w:tcW w:w="5382" w:type="dxa"/>
            <w:tcBorders>
              <w:bottom w:val="single" w:sz="4" w:space="0" w:color="auto"/>
            </w:tcBorders>
          </w:tcPr>
          <w:p w:rsidR="00E65CE8" w:rsidRPr="000B4D34" w:rsidRDefault="00E65CE8" w:rsidP="00E65CE8">
            <w:pPr>
              <w:spacing w:after="0" w:line="240" w:lineRule="auto"/>
              <w:jc w:val="center"/>
              <w:rPr>
                <w:rFonts w:ascii="Times New Roman" w:eastAsia="Times New Roman" w:hAnsi="Times New Roman" w:cs="Times New Roman"/>
                <w:b/>
                <w:smallCaps/>
                <w:lang w:eastAsia="hu-HU"/>
              </w:rPr>
            </w:pPr>
            <w:r w:rsidRPr="000B4D34">
              <w:rPr>
                <w:rFonts w:ascii="Times New Roman" w:eastAsia="Times New Roman" w:hAnsi="Times New Roman" w:cs="Times New Roman"/>
                <w:b/>
                <w:smallCaps/>
                <w:lang w:eastAsia="hu-HU"/>
              </w:rPr>
              <w:lastRenderedPageBreak/>
              <w:t>Nemzeti Közszolgálati Egyetem</w:t>
            </w:r>
          </w:p>
        </w:tc>
        <w:tc>
          <w:tcPr>
            <w:tcW w:w="1093" w:type="dxa"/>
          </w:tcPr>
          <w:p w:rsidR="00E65CE8" w:rsidRPr="000B4D34" w:rsidRDefault="00E65CE8" w:rsidP="00E65CE8">
            <w:pPr>
              <w:spacing w:after="0" w:line="240" w:lineRule="auto"/>
              <w:jc w:val="both"/>
              <w:rPr>
                <w:rFonts w:ascii="Times New Roman" w:eastAsia="Times New Roman" w:hAnsi="Times New Roman" w:cs="Times New Roman"/>
                <w:lang w:eastAsia="hu-HU"/>
              </w:rPr>
            </w:pPr>
          </w:p>
        </w:tc>
        <w:tc>
          <w:tcPr>
            <w:tcW w:w="2597" w:type="dxa"/>
          </w:tcPr>
          <w:p w:rsidR="00E65CE8" w:rsidRPr="000B4D34" w:rsidRDefault="00E65CE8" w:rsidP="00E65CE8">
            <w:pPr>
              <w:spacing w:after="0" w:line="240" w:lineRule="auto"/>
              <w:jc w:val="right"/>
              <w:rPr>
                <w:rFonts w:ascii="Times New Roman" w:eastAsia="Times New Roman" w:hAnsi="Times New Roman" w:cs="Times New Roman"/>
                <w:lang w:eastAsia="hu-HU"/>
              </w:rPr>
            </w:pPr>
            <w:r w:rsidRPr="000B4D34">
              <w:rPr>
                <w:rFonts w:ascii="Times New Roman" w:eastAsia="Times New Roman" w:hAnsi="Times New Roman" w:cs="Times New Roman"/>
                <w:lang w:eastAsia="hu-HU"/>
              </w:rPr>
              <w:t xml:space="preserve"> </w:t>
            </w:r>
          </w:p>
        </w:tc>
        <w:tc>
          <w:tcPr>
            <w:tcW w:w="2597" w:type="dxa"/>
          </w:tcPr>
          <w:p w:rsidR="00E65CE8" w:rsidRPr="000B4D34" w:rsidRDefault="00E65CE8" w:rsidP="00E65CE8">
            <w:pPr>
              <w:spacing w:after="0" w:line="240" w:lineRule="auto"/>
              <w:jc w:val="right"/>
              <w:rPr>
                <w:rFonts w:ascii="Times New Roman" w:eastAsia="Times New Roman" w:hAnsi="Times New Roman" w:cs="Times New Roman"/>
                <w:lang w:eastAsia="hu-HU"/>
              </w:rPr>
            </w:pPr>
          </w:p>
        </w:tc>
      </w:tr>
      <w:tr w:rsidR="00E65CE8" w:rsidRPr="000B4D34" w:rsidTr="00E65CE8">
        <w:tc>
          <w:tcPr>
            <w:tcW w:w="5382" w:type="dxa"/>
            <w:tcBorders>
              <w:top w:val="single" w:sz="4" w:space="0" w:color="auto"/>
            </w:tcBorders>
          </w:tcPr>
          <w:p w:rsidR="00E65CE8" w:rsidRPr="000B4D34" w:rsidRDefault="00E65CE8" w:rsidP="00E65CE8">
            <w:pPr>
              <w:spacing w:after="0" w:line="240" w:lineRule="auto"/>
              <w:jc w:val="center"/>
              <w:rPr>
                <w:rFonts w:ascii="Times New Roman" w:eastAsia="Times New Roman" w:hAnsi="Times New Roman" w:cs="Times New Roman"/>
                <w:b/>
                <w:lang w:eastAsia="hu-HU"/>
              </w:rPr>
            </w:pPr>
            <w:r w:rsidRPr="000B4D34">
              <w:rPr>
                <w:rFonts w:ascii="Times New Roman" w:eastAsia="Times New Roman" w:hAnsi="Times New Roman" w:cs="Times New Roman"/>
                <w:b/>
                <w:lang w:eastAsia="hu-HU"/>
              </w:rPr>
              <w:t>Hadtudományi és Honvédtisztképző Kar</w:t>
            </w:r>
          </w:p>
        </w:tc>
        <w:tc>
          <w:tcPr>
            <w:tcW w:w="1093" w:type="dxa"/>
          </w:tcPr>
          <w:p w:rsidR="00E65CE8" w:rsidRPr="000B4D34" w:rsidRDefault="00E65CE8" w:rsidP="00E65CE8">
            <w:pPr>
              <w:spacing w:after="0" w:line="240" w:lineRule="auto"/>
              <w:jc w:val="both"/>
              <w:rPr>
                <w:rFonts w:ascii="Times New Roman" w:eastAsia="Times New Roman" w:hAnsi="Times New Roman" w:cs="Times New Roman"/>
                <w:lang w:eastAsia="hu-HU"/>
              </w:rPr>
            </w:pPr>
          </w:p>
        </w:tc>
        <w:tc>
          <w:tcPr>
            <w:tcW w:w="2597" w:type="dxa"/>
          </w:tcPr>
          <w:p w:rsidR="00E65CE8" w:rsidRPr="000B4D34" w:rsidRDefault="00E65CE8" w:rsidP="00E65CE8">
            <w:pPr>
              <w:spacing w:after="0" w:line="240" w:lineRule="auto"/>
              <w:jc w:val="both"/>
              <w:rPr>
                <w:rFonts w:ascii="Times New Roman" w:eastAsia="Times New Roman" w:hAnsi="Times New Roman" w:cs="Times New Roman"/>
                <w:lang w:eastAsia="hu-HU"/>
              </w:rPr>
            </w:pPr>
          </w:p>
        </w:tc>
        <w:tc>
          <w:tcPr>
            <w:tcW w:w="2597" w:type="dxa"/>
          </w:tcPr>
          <w:p w:rsidR="00E65CE8" w:rsidRPr="000B4D34" w:rsidRDefault="00E65CE8" w:rsidP="00E65CE8">
            <w:pPr>
              <w:spacing w:after="0" w:line="240" w:lineRule="auto"/>
              <w:jc w:val="both"/>
              <w:rPr>
                <w:rFonts w:ascii="Times New Roman" w:eastAsia="Times New Roman" w:hAnsi="Times New Roman" w:cs="Times New Roman"/>
                <w:lang w:eastAsia="hu-HU"/>
              </w:rPr>
            </w:pPr>
          </w:p>
        </w:tc>
      </w:tr>
    </w:tbl>
    <w:p w:rsidR="00E65CE8" w:rsidRPr="00F40250" w:rsidRDefault="00E65CE8" w:rsidP="00E65CE8">
      <w:pPr>
        <w:spacing w:before="120" w:after="0" w:line="240" w:lineRule="auto"/>
        <w:rPr>
          <w:rFonts w:ascii="Times New Roman" w:eastAsia="Times New Roman" w:hAnsi="Times New Roman" w:cs="Times New Roman"/>
          <w:b/>
          <w:bCs/>
          <w:lang w:eastAsia="hu-HU"/>
        </w:rPr>
      </w:pPr>
    </w:p>
    <w:p w:rsidR="00E65CE8" w:rsidRPr="00F40250" w:rsidRDefault="00E65CE8" w:rsidP="00E65CE8">
      <w:pPr>
        <w:spacing w:before="120" w:after="0" w:line="240" w:lineRule="auto"/>
        <w:jc w:val="center"/>
        <w:rPr>
          <w:rFonts w:ascii="Times New Roman" w:eastAsia="Times New Roman" w:hAnsi="Times New Roman" w:cs="Times New Roman"/>
          <w:b/>
          <w:bCs/>
          <w:lang w:eastAsia="hu-HU"/>
        </w:rPr>
      </w:pPr>
      <w:r w:rsidRPr="00F40250">
        <w:rPr>
          <w:rFonts w:ascii="Times New Roman" w:eastAsia="Times New Roman" w:hAnsi="Times New Roman" w:cs="Times New Roman"/>
          <w:b/>
          <w:bCs/>
          <w:lang w:eastAsia="hu-HU"/>
        </w:rPr>
        <w:t>TANTÁRGYI PROGRAM</w:t>
      </w:r>
    </w:p>
    <w:p w:rsidR="00E65CE8" w:rsidRPr="00F40250" w:rsidRDefault="00E65CE8" w:rsidP="00980876">
      <w:pPr>
        <w:numPr>
          <w:ilvl w:val="0"/>
          <w:numId w:val="597"/>
        </w:numPr>
        <w:tabs>
          <w:tab w:val="right" w:pos="900"/>
        </w:tabs>
        <w:spacing w:before="120" w:after="0" w:line="240" w:lineRule="auto"/>
        <w:jc w:val="both"/>
        <w:rPr>
          <w:rFonts w:ascii="Times New Roman" w:eastAsia="Times New Roman" w:hAnsi="Times New Roman" w:cs="Times New Roman"/>
          <w:bCs/>
          <w:lang w:eastAsia="hu-HU"/>
        </w:rPr>
      </w:pPr>
      <w:r w:rsidRPr="00F40250">
        <w:rPr>
          <w:rFonts w:ascii="Times New Roman" w:eastAsia="Times New Roman" w:hAnsi="Times New Roman" w:cs="Times New Roman"/>
          <w:b/>
          <w:bCs/>
          <w:lang w:eastAsia="hu-HU"/>
        </w:rPr>
        <w:t xml:space="preserve">A tantárgy kódja: </w:t>
      </w:r>
      <w:r w:rsidRPr="00F40250">
        <w:rPr>
          <w:rFonts w:ascii="Times New Roman" w:eastAsia="Times New Roman" w:hAnsi="Times New Roman" w:cs="Times New Roman"/>
          <w:bCs/>
          <w:lang w:eastAsia="hu-HU"/>
        </w:rPr>
        <w:t>HKISZLA101</w:t>
      </w:r>
    </w:p>
    <w:p w:rsidR="00E65CE8" w:rsidRPr="00F40250" w:rsidRDefault="00E65CE8" w:rsidP="00980876">
      <w:pPr>
        <w:numPr>
          <w:ilvl w:val="0"/>
          <w:numId w:val="597"/>
        </w:numPr>
        <w:tabs>
          <w:tab w:val="right" w:pos="900"/>
        </w:tabs>
        <w:spacing w:before="120" w:after="0" w:line="240" w:lineRule="auto"/>
        <w:jc w:val="both"/>
        <w:rPr>
          <w:rFonts w:ascii="Times New Roman" w:eastAsia="Times New Roman" w:hAnsi="Times New Roman" w:cs="Times New Roman"/>
          <w:bCs/>
          <w:lang w:eastAsia="hu-HU"/>
        </w:rPr>
      </w:pPr>
      <w:r w:rsidRPr="00F40250">
        <w:rPr>
          <w:rFonts w:ascii="Times New Roman" w:eastAsia="Times New Roman" w:hAnsi="Times New Roman" w:cs="Times New Roman"/>
          <w:b/>
          <w:bCs/>
          <w:lang w:eastAsia="hu-HU"/>
        </w:rPr>
        <w:t>A tantárgy megnevezése (magyarul):</w:t>
      </w:r>
      <w:r w:rsidRPr="00F40250">
        <w:rPr>
          <w:rFonts w:ascii="Times New Roman" w:eastAsia="Times New Roman" w:hAnsi="Times New Roman" w:cs="Times New Roman"/>
          <w:bCs/>
          <w:lang w:eastAsia="hu-HU"/>
        </w:rPr>
        <w:t xml:space="preserve"> Szakmai Angol 1 (Katonai)</w:t>
      </w:r>
    </w:p>
    <w:p w:rsidR="00E65CE8" w:rsidRPr="00F40250" w:rsidRDefault="00E65CE8" w:rsidP="00980876">
      <w:pPr>
        <w:numPr>
          <w:ilvl w:val="0"/>
          <w:numId w:val="597"/>
        </w:numPr>
        <w:tabs>
          <w:tab w:val="right" w:pos="900"/>
        </w:tabs>
        <w:spacing w:before="120" w:after="0" w:line="240" w:lineRule="auto"/>
        <w:ind w:left="357" w:hanging="357"/>
        <w:jc w:val="both"/>
        <w:rPr>
          <w:rFonts w:ascii="Times New Roman" w:eastAsia="Times New Roman" w:hAnsi="Times New Roman" w:cs="Times New Roman"/>
          <w:bCs/>
          <w:lang w:eastAsia="hu-HU"/>
        </w:rPr>
      </w:pPr>
      <w:r w:rsidRPr="00F40250">
        <w:rPr>
          <w:rFonts w:ascii="Times New Roman" w:eastAsia="Times New Roman" w:hAnsi="Times New Roman" w:cs="Times New Roman"/>
          <w:b/>
          <w:bCs/>
          <w:lang w:eastAsia="hu-HU"/>
        </w:rPr>
        <w:t>A tantárgy megnevezése (angolul):</w:t>
      </w:r>
      <w:r w:rsidRPr="00F40250">
        <w:rPr>
          <w:rFonts w:ascii="Times New Roman" w:eastAsia="Times New Roman" w:hAnsi="Times New Roman" w:cs="Times New Roman"/>
          <w:bCs/>
          <w:lang w:eastAsia="hu-HU"/>
        </w:rPr>
        <w:t xml:space="preserve"> </w:t>
      </w:r>
      <w:r w:rsidRPr="00F40250">
        <w:rPr>
          <w:rFonts w:ascii="Times New Roman" w:eastAsia="Times New Roman" w:hAnsi="Times New Roman" w:cs="Times New Roman"/>
        </w:rPr>
        <w:t>Specialized English 1 (Military)</w:t>
      </w:r>
    </w:p>
    <w:p w:rsidR="00E65CE8" w:rsidRPr="00F40250" w:rsidRDefault="00E65CE8" w:rsidP="00980876">
      <w:pPr>
        <w:numPr>
          <w:ilvl w:val="0"/>
          <w:numId w:val="597"/>
        </w:numPr>
        <w:tabs>
          <w:tab w:val="right" w:pos="900"/>
        </w:tabs>
        <w:spacing w:before="120" w:after="0" w:line="240" w:lineRule="auto"/>
        <w:ind w:left="357" w:hanging="357"/>
        <w:jc w:val="both"/>
        <w:rPr>
          <w:rFonts w:ascii="Times New Roman" w:eastAsia="Times New Roman" w:hAnsi="Times New Roman" w:cs="Times New Roman"/>
          <w:bCs/>
          <w:lang w:eastAsia="hu-HU"/>
        </w:rPr>
      </w:pPr>
      <w:r w:rsidRPr="00F40250">
        <w:rPr>
          <w:rFonts w:ascii="Times New Roman" w:eastAsia="Times New Roman" w:hAnsi="Times New Roman" w:cs="Times New Roman"/>
          <w:b/>
          <w:bCs/>
          <w:lang w:eastAsia="hu-HU"/>
        </w:rPr>
        <w:t>Kreditérték</w:t>
      </w:r>
      <w:r w:rsidRPr="00F40250">
        <w:rPr>
          <w:rFonts w:ascii="Times New Roman" w:eastAsia="Times New Roman" w:hAnsi="Times New Roman" w:cs="Times New Roman"/>
          <w:bCs/>
          <w:lang w:eastAsia="hu-HU"/>
        </w:rPr>
        <w:t xml:space="preserve"> és képzési karakter: </w:t>
      </w:r>
    </w:p>
    <w:p w:rsidR="00E65CE8" w:rsidRPr="00F40250" w:rsidRDefault="00E65CE8" w:rsidP="00980876">
      <w:pPr>
        <w:numPr>
          <w:ilvl w:val="1"/>
          <w:numId w:val="597"/>
        </w:numPr>
        <w:tabs>
          <w:tab w:val="right" w:pos="900"/>
        </w:tabs>
        <w:spacing w:before="120" w:after="0" w:line="240" w:lineRule="auto"/>
        <w:jc w:val="both"/>
        <w:rPr>
          <w:rFonts w:ascii="Times New Roman" w:eastAsia="Times New Roman" w:hAnsi="Times New Roman" w:cs="Times New Roman"/>
          <w:bCs/>
          <w:lang w:eastAsia="hu-HU"/>
        </w:rPr>
      </w:pPr>
      <w:r w:rsidRPr="00F40250">
        <w:rPr>
          <w:rFonts w:ascii="Times New Roman" w:eastAsia="Times New Roman" w:hAnsi="Times New Roman" w:cs="Times New Roman"/>
          <w:bCs/>
          <w:lang w:eastAsia="hu-HU"/>
        </w:rPr>
        <w:t>0 kredit</w:t>
      </w:r>
    </w:p>
    <w:p w:rsidR="00E65CE8" w:rsidRPr="00F40250" w:rsidRDefault="00E65CE8" w:rsidP="00980876">
      <w:pPr>
        <w:numPr>
          <w:ilvl w:val="1"/>
          <w:numId w:val="597"/>
        </w:numPr>
        <w:tabs>
          <w:tab w:val="right" w:pos="900"/>
        </w:tabs>
        <w:spacing w:before="120" w:after="0" w:line="240" w:lineRule="auto"/>
        <w:jc w:val="both"/>
        <w:rPr>
          <w:rFonts w:ascii="Times New Roman" w:eastAsia="Times New Roman" w:hAnsi="Times New Roman" w:cs="Times New Roman"/>
          <w:bCs/>
          <w:lang w:eastAsia="hu-HU"/>
        </w:rPr>
      </w:pPr>
      <w:r w:rsidRPr="00F40250">
        <w:rPr>
          <w:rFonts w:ascii="Times New Roman" w:eastAsia="Times New Roman" w:hAnsi="Times New Roman" w:cs="Times New Roman"/>
          <w:bCs/>
          <w:lang w:eastAsia="hu-HU"/>
        </w:rPr>
        <w:t xml:space="preserve">a tantárgy elméleti vagy gyakorlati jellegének mértéke: </w:t>
      </w:r>
      <w:r w:rsidR="001476DC">
        <w:rPr>
          <w:rFonts w:ascii="Times New Roman" w:eastAsia="Times New Roman" w:hAnsi="Times New Roman" w:cs="Times New Roman"/>
          <w:bCs/>
          <w:lang w:eastAsia="hu-HU"/>
        </w:rPr>
        <w:t>66</w:t>
      </w:r>
      <w:r w:rsidRPr="00F40250">
        <w:rPr>
          <w:rFonts w:ascii="Times New Roman" w:eastAsia="Times New Roman" w:hAnsi="Times New Roman" w:cs="Times New Roman"/>
          <w:bCs/>
          <w:lang w:eastAsia="hu-HU"/>
        </w:rPr>
        <w:t xml:space="preserve">% gyakorlat, </w:t>
      </w:r>
      <w:r w:rsidR="001476DC">
        <w:rPr>
          <w:rFonts w:ascii="Times New Roman" w:eastAsia="Times New Roman" w:hAnsi="Times New Roman" w:cs="Times New Roman"/>
          <w:bCs/>
          <w:lang w:eastAsia="hu-HU"/>
        </w:rPr>
        <w:t xml:space="preserve">33 </w:t>
      </w:r>
      <w:r w:rsidRPr="00F40250">
        <w:rPr>
          <w:rFonts w:ascii="Times New Roman" w:eastAsia="Times New Roman" w:hAnsi="Times New Roman" w:cs="Times New Roman"/>
          <w:bCs/>
          <w:lang w:eastAsia="hu-HU"/>
        </w:rPr>
        <w:t>% elmélet.</w:t>
      </w:r>
    </w:p>
    <w:p w:rsidR="00E65CE8" w:rsidRPr="00F40250" w:rsidRDefault="00E65CE8" w:rsidP="00980876">
      <w:pPr>
        <w:numPr>
          <w:ilvl w:val="0"/>
          <w:numId w:val="597"/>
        </w:numPr>
        <w:tabs>
          <w:tab w:val="right" w:pos="900"/>
        </w:tabs>
        <w:spacing w:before="120" w:after="0" w:line="240" w:lineRule="auto"/>
        <w:ind w:left="357" w:hanging="357"/>
        <w:jc w:val="both"/>
        <w:rPr>
          <w:rFonts w:ascii="Times New Roman" w:eastAsia="Times New Roman" w:hAnsi="Times New Roman" w:cs="Times New Roman"/>
          <w:bCs/>
          <w:lang w:eastAsia="hu-HU"/>
        </w:rPr>
      </w:pPr>
      <w:r w:rsidRPr="00F40250">
        <w:rPr>
          <w:rFonts w:ascii="Times New Roman" w:eastAsia="Times New Roman" w:hAnsi="Times New Roman" w:cs="Times New Roman"/>
          <w:b/>
          <w:bCs/>
          <w:lang w:eastAsia="hu-HU"/>
        </w:rPr>
        <w:t>A szak(ok), szakirányok megnevezése (ahol oktatják):</w:t>
      </w:r>
      <w:r w:rsidRPr="00F40250">
        <w:rPr>
          <w:rFonts w:ascii="Times New Roman" w:eastAsia="Times New Roman" w:hAnsi="Times New Roman" w:cs="Times New Roman"/>
          <w:bCs/>
          <w:lang w:eastAsia="hu-HU"/>
        </w:rPr>
        <w:t xml:space="preserve"> A Nemzeti Közszolgálati Egyetem Hadtudományi és Honvédtisztképző Karának minden alapképzési szakán nappali munkarendben</w:t>
      </w:r>
    </w:p>
    <w:p w:rsidR="00E65CE8" w:rsidRPr="00F40250" w:rsidRDefault="00E65CE8" w:rsidP="00980876">
      <w:pPr>
        <w:numPr>
          <w:ilvl w:val="0"/>
          <w:numId w:val="597"/>
        </w:numPr>
        <w:spacing w:before="120" w:after="200" w:line="240" w:lineRule="auto"/>
        <w:ind w:left="357" w:hanging="357"/>
        <w:contextualSpacing/>
        <w:jc w:val="both"/>
        <w:rPr>
          <w:rFonts w:ascii="Times New Roman" w:eastAsia="Times New Roman" w:hAnsi="Times New Roman" w:cs="Times New Roman"/>
          <w:b/>
          <w:bCs/>
          <w:lang w:eastAsia="hu-HU"/>
        </w:rPr>
      </w:pPr>
      <w:r w:rsidRPr="00F40250">
        <w:rPr>
          <w:rFonts w:ascii="Times New Roman" w:eastAsia="Times New Roman" w:hAnsi="Times New Roman" w:cs="Times New Roman"/>
          <w:b/>
          <w:bCs/>
        </w:rPr>
        <w:t xml:space="preserve">Az oktatásért felelős oktatási szervezeti egység megnevezése: </w:t>
      </w:r>
      <w:r w:rsidRPr="00F40250">
        <w:rPr>
          <w:rFonts w:ascii="Times New Roman" w:eastAsia="Times New Roman" w:hAnsi="Times New Roman" w:cs="Times New Roman"/>
          <w:bCs/>
          <w:lang w:eastAsia="hu-HU"/>
        </w:rPr>
        <w:t>Hadtudományi és Honvédtisztképző Kar, Idegennyelvi és Szaknyelvi Lektorátus</w:t>
      </w:r>
    </w:p>
    <w:p w:rsidR="00E65CE8" w:rsidRPr="00F40250" w:rsidRDefault="00E65CE8" w:rsidP="00980876">
      <w:pPr>
        <w:numPr>
          <w:ilvl w:val="0"/>
          <w:numId w:val="597"/>
        </w:numPr>
        <w:tabs>
          <w:tab w:val="right" w:pos="900"/>
        </w:tabs>
        <w:spacing w:before="120" w:after="0" w:line="240" w:lineRule="auto"/>
        <w:ind w:left="357" w:hanging="357"/>
        <w:jc w:val="both"/>
        <w:rPr>
          <w:rFonts w:ascii="Times New Roman" w:eastAsia="Times New Roman" w:hAnsi="Times New Roman" w:cs="Times New Roman"/>
          <w:bCs/>
          <w:lang w:eastAsia="hu-HU"/>
        </w:rPr>
      </w:pPr>
      <w:r w:rsidRPr="00F40250">
        <w:rPr>
          <w:rFonts w:ascii="Times New Roman" w:eastAsia="Times New Roman" w:hAnsi="Times New Roman" w:cs="Times New Roman"/>
          <w:b/>
          <w:bCs/>
          <w:lang w:eastAsia="hu-HU"/>
        </w:rPr>
        <w:t xml:space="preserve">A tantárgyfelelős oktató neve, beosztása, tudományos fokozata: </w:t>
      </w:r>
      <w:r w:rsidRPr="00F40250">
        <w:rPr>
          <w:rFonts w:ascii="Times New Roman" w:eastAsia="Times New Roman" w:hAnsi="Times New Roman" w:cs="Times New Roman"/>
          <w:bCs/>
          <w:lang w:eastAsia="hu-HU"/>
        </w:rPr>
        <w:t>Dr. Kiss Gabriella lektorátusvezető</w:t>
      </w:r>
    </w:p>
    <w:p w:rsidR="00E65CE8" w:rsidRPr="00F40250" w:rsidRDefault="00E65CE8" w:rsidP="00980876">
      <w:pPr>
        <w:numPr>
          <w:ilvl w:val="0"/>
          <w:numId w:val="597"/>
        </w:numPr>
        <w:tabs>
          <w:tab w:val="right" w:pos="900"/>
        </w:tabs>
        <w:spacing w:before="120" w:after="0" w:line="240" w:lineRule="auto"/>
        <w:jc w:val="both"/>
        <w:rPr>
          <w:rFonts w:ascii="Times New Roman" w:eastAsia="Times New Roman" w:hAnsi="Times New Roman" w:cs="Times New Roman"/>
          <w:bCs/>
          <w:lang w:eastAsia="hu-HU"/>
        </w:rPr>
      </w:pPr>
      <w:r w:rsidRPr="00F40250">
        <w:rPr>
          <w:rFonts w:ascii="Times New Roman" w:eastAsia="Times New Roman" w:hAnsi="Times New Roman" w:cs="Times New Roman"/>
          <w:b/>
          <w:bCs/>
          <w:lang w:eastAsia="hu-HU"/>
        </w:rPr>
        <w:t xml:space="preserve">A tanórákszáma és típusa </w:t>
      </w:r>
      <w:r w:rsidRPr="00F40250">
        <w:rPr>
          <w:rFonts w:ascii="Times New Roman" w:eastAsia="Times New Roman" w:hAnsi="Times New Roman" w:cs="Times New Roman"/>
          <w:b/>
          <w:bCs/>
          <w:i/>
          <w:lang w:eastAsia="hu-HU"/>
        </w:rPr>
        <w:t>(előadás+szeminárium+gyakorlat):</w:t>
      </w:r>
    </w:p>
    <w:p w:rsidR="00E65CE8" w:rsidRPr="00F40250" w:rsidRDefault="00E65CE8" w:rsidP="00980876">
      <w:pPr>
        <w:numPr>
          <w:ilvl w:val="1"/>
          <w:numId w:val="597"/>
        </w:numPr>
        <w:tabs>
          <w:tab w:val="right" w:pos="900"/>
        </w:tabs>
        <w:spacing w:before="120" w:after="0" w:line="240" w:lineRule="auto"/>
        <w:jc w:val="both"/>
        <w:rPr>
          <w:rFonts w:ascii="Times New Roman" w:eastAsia="Times New Roman" w:hAnsi="Times New Roman" w:cs="Times New Roman"/>
          <w:bCs/>
          <w:lang w:eastAsia="hu-HU"/>
        </w:rPr>
      </w:pPr>
      <w:r w:rsidRPr="00F40250">
        <w:rPr>
          <w:rFonts w:ascii="Times New Roman" w:eastAsia="Times New Roman" w:hAnsi="Times New Roman" w:cs="Times New Roman"/>
          <w:bCs/>
          <w:lang w:eastAsia="hu-HU"/>
        </w:rPr>
        <w:t>összóraszám: 42</w:t>
      </w:r>
    </w:p>
    <w:p w:rsidR="00E65CE8" w:rsidRPr="00F40250" w:rsidRDefault="00E65CE8" w:rsidP="00980876">
      <w:pPr>
        <w:numPr>
          <w:ilvl w:val="2"/>
          <w:numId w:val="597"/>
        </w:numPr>
        <w:tabs>
          <w:tab w:val="right" w:pos="900"/>
        </w:tabs>
        <w:spacing w:before="120" w:after="0" w:line="240" w:lineRule="auto"/>
        <w:jc w:val="both"/>
        <w:rPr>
          <w:rFonts w:ascii="Times New Roman" w:eastAsia="Times New Roman" w:hAnsi="Times New Roman" w:cs="Times New Roman"/>
          <w:bCs/>
          <w:lang w:eastAsia="hu-HU"/>
        </w:rPr>
      </w:pPr>
      <w:r w:rsidRPr="00F40250">
        <w:rPr>
          <w:rFonts w:ascii="Times New Roman" w:eastAsia="Times New Roman" w:hAnsi="Times New Roman" w:cs="Times New Roman"/>
          <w:bCs/>
          <w:lang w:eastAsia="hu-HU"/>
        </w:rPr>
        <w:t>Nappali munkarend: 42 óra/félév (</w:t>
      </w:r>
      <w:r w:rsidR="001476DC">
        <w:rPr>
          <w:rFonts w:ascii="Times New Roman" w:eastAsia="Times New Roman" w:hAnsi="Times New Roman" w:cs="Times New Roman"/>
          <w:bCs/>
          <w:lang w:eastAsia="hu-HU"/>
        </w:rPr>
        <w:t>1</w:t>
      </w:r>
      <w:r w:rsidRPr="00F40250">
        <w:rPr>
          <w:rFonts w:ascii="Times New Roman" w:eastAsia="Times New Roman" w:hAnsi="Times New Roman" w:cs="Times New Roman"/>
          <w:bCs/>
          <w:lang w:eastAsia="hu-HU"/>
        </w:rPr>
        <w:t xml:space="preserve">4 EA + 0 SZ + </w:t>
      </w:r>
      <w:r w:rsidR="001476DC">
        <w:rPr>
          <w:rFonts w:ascii="Times New Roman" w:eastAsia="Times New Roman" w:hAnsi="Times New Roman" w:cs="Times New Roman"/>
          <w:bCs/>
          <w:lang w:eastAsia="hu-HU"/>
        </w:rPr>
        <w:t>28</w:t>
      </w:r>
      <w:r w:rsidRPr="00F40250">
        <w:rPr>
          <w:rFonts w:ascii="Times New Roman" w:eastAsia="Times New Roman" w:hAnsi="Times New Roman" w:cs="Times New Roman"/>
          <w:bCs/>
          <w:lang w:eastAsia="hu-HU"/>
        </w:rPr>
        <w:t xml:space="preserve"> GY)</w:t>
      </w:r>
    </w:p>
    <w:p w:rsidR="00E65CE8" w:rsidRPr="00F40250" w:rsidRDefault="00E65CE8" w:rsidP="00980876">
      <w:pPr>
        <w:numPr>
          <w:ilvl w:val="2"/>
          <w:numId w:val="597"/>
        </w:numPr>
        <w:tabs>
          <w:tab w:val="right" w:pos="900"/>
        </w:tabs>
        <w:spacing w:before="120" w:after="0" w:line="240" w:lineRule="auto"/>
        <w:jc w:val="both"/>
        <w:rPr>
          <w:rFonts w:ascii="Times New Roman" w:eastAsia="Times New Roman" w:hAnsi="Times New Roman" w:cs="Times New Roman"/>
          <w:bCs/>
          <w:lang w:eastAsia="hu-HU"/>
        </w:rPr>
      </w:pPr>
      <w:r w:rsidRPr="00F40250">
        <w:rPr>
          <w:rFonts w:ascii="Times New Roman" w:eastAsia="Times New Roman" w:hAnsi="Times New Roman" w:cs="Times New Roman"/>
          <w:bCs/>
          <w:lang w:eastAsia="hu-HU"/>
        </w:rPr>
        <w:t>Levelező munkarend: -</w:t>
      </w:r>
    </w:p>
    <w:p w:rsidR="00E65CE8" w:rsidRPr="00F40250" w:rsidRDefault="00E65CE8" w:rsidP="00980876">
      <w:pPr>
        <w:numPr>
          <w:ilvl w:val="1"/>
          <w:numId w:val="597"/>
        </w:numPr>
        <w:tabs>
          <w:tab w:val="right" w:pos="900"/>
        </w:tabs>
        <w:spacing w:before="120" w:after="0" w:line="240" w:lineRule="auto"/>
        <w:jc w:val="both"/>
        <w:rPr>
          <w:rFonts w:ascii="Times New Roman" w:eastAsia="Times New Roman" w:hAnsi="Times New Roman" w:cs="Times New Roman"/>
          <w:bCs/>
          <w:lang w:eastAsia="hu-HU"/>
        </w:rPr>
      </w:pPr>
      <w:r w:rsidRPr="00F40250">
        <w:rPr>
          <w:rFonts w:ascii="Times New Roman" w:eastAsia="Times New Roman" w:hAnsi="Times New Roman" w:cs="Times New Roman"/>
          <w:bCs/>
          <w:lang w:eastAsia="hu-HU"/>
        </w:rPr>
        <w:t xml:space="preserve">heti óraszám - nappali munkarend: </w:t>
      </w:r>
      <w:r w:rsidR="001476DC">
        <w:rPr>
          <w:rFonts w:ascii="Times New Roman" w:eastAsia="Times New Roman" w:hAnsi="Times New Roman" w:cs="Times New Roman"/>
          <w:bCs/>
          <w:lang w:eastAsia="hu-HU"/>
        </w:rPr>
        <w:t>3(1+2)</w:t>
      </w:r>
      <w:r w:rsidRPr="00F40250">
        <w:rPr>
          <w:rFonts w:ascii="Times New Roman" w:eastAsia="Times New Roman" w:hAnsi="Times New Roman" w:cs="Times New Roman"/>
          <w:bCs/>
          <w:lang w:eastAsia="hu-HU"/>
        </w:rPr>
        <w:t xml:space="preserve"> óra/hét</w:t>
      </w:r>
    </w:p>
    <w:p w:rsidR="00E65CE8" w:rsidRPr="00F40250" w:rsidRDefault="00E65CE8" w:rsidP="00980876">
      <w:pPr>
        <w:numPr>
          <w:ilvl w:val="0"/>
          <w:numId w:val="597"/>
        </w:numPr>
        <w:tabs>
          <w:tab w:val="right" w:pos="900"/>
        </w:tabs>
        <w:spacing w:before="120" w:after="0" w:line="240" w:lineRule="auto"/>
        <w:ind w:left="357" w:hanging="357"/>
        <w:jc w:val="both"/>
        <w:rPr>
          <w:rFonts w:ascii="Times New Roman" w:eastAsia="Times New Roman" w:hAnsi="Times New Roman" w:cs="Times New Roman"/>
          <w:bCs/>
          <w:lang w:eastAsia="hu-HU"/>
        </w:rPr>
      </w:pPr>
      <w:r w:rsidRPr="00F40250">
        <w:rPr>
          <w:rFonts w:ascii="Times New Roman" w:eastAsia="Times New Roman" w:hAnsi="Times New Roman" w:cs="Times New Roman"/>
          <w:b/>
          <w:bCs/>
          <w:lang w:eastAsia="hu-HU"/>
        </w:rPr>
        <w:t xml:space="preserve">A tantárgy szakmai tartalma (magyarul): </w:t>
      </w:r>
      <w:r w:rsidRPr="00F40250">
        <w:rPr>
          <w:rFonts w:ascii="Times New Roman" w:eastAsia="Times New Roman" w:hAnsi="Times New Roman" w:cs="Times New Roman"/>
          <w:bCs/>
          <w:lang w:eastAsia="hu-HU"/>
        </w:rPr>
        <w:t>A szakmai angol nyelv ismereteinek elsajátítása, beszédkészség, beszédértés és íráskészségek fejlesztése.</w:t>
      </w:r>
    </w:p>
    <w:p w:rsidR="00E65CE8" w:rsidRPr="00F40250" w:rsidRDefault="00E65CE8" w:rsidP="00E65CE8">
      <w:pPr>
        <w:spacing w:before="120" w:after="0" w:line="240" w:lineRule="auto"/>
        <w:ind w:left="357"/>
        <w:contextualSpacing/>
        <w:jc w:val="both"/>
        <w:rPr>
          <w:rFonts w:ascii="Times New Roman" w:eastAsia="Times New Roman" w:hAnsi="Times New Roman" w:cs="Times New Roman"/>
          <w:bCs/>
          <w:lang w:eastAsia="hu-HU"/>
        </w:rPr>
      </w:pPr>
      <w:r w:rsidRPr="00F40250">
        <w:rPr>
          <w:rFonts w:ascii="Times New Roman" w:eastAsia="Times New Roman" w:hAnsi="Times New Roman" w:cs="Times New Roman"/>
          <w:b/>
          <w:bCs/>
          <w:lang w:eastAsia="hu-HU"/>
        </w:rPr>
        <w:t>A tantárgy szakmai tartalma (angolul):</w:t>
      </w:r>
      <w:r w:rsidRPr="00F40250">
        <w:rPr>
          <w:rFonts w:ascii="Times New Roman" w:eastAsia="Times New Roman" w:hAnsi="Times New Roman" w:cs="Times New Roman"/>
          <w:bCs/>
          <w:lang w:eastAsia="hu-HU"/>
        </w:rPr>
        <w:t xml:space="preserve"> Acquirement of general English language, and the enhancement of speaking, listening, and writing skills.</w:t>
      </w:r>
    </w:p>
    <w:p w:rsidR="00E65CE8" w:rsidRPr="00F40250" w:rsidRDefault="00E65CE8" w:rsidP="00980876">
      <w:pPr>
        <w:numPr>
          <w:ilvl w:val="0"/>
          <w:numId w:val="597"/>
        </w:numPr>
        <w:tabs>
          <w:tab w:val="right" w:pos="900"/>
        </w:tabs>
        <w:spacing w:before="120" w:after="0" w:line="240" w:lineRule="auto"/>
        <w:jc w:val="both"/>
        <w:rPr>
          <w:rFonts w:ascii="Times New Roman" w:eastAsia="Times New Roman" w:hAnsi="Times New Roman" w:cs="Times New Roman"/>
          <w:bCs/>
          <w:lang w:eastAsia="hu-HU"/>
        </w:rPr>
      </w:pPr>
      <w:r w:rsidRPr="00F40250">
        <w:rPr>
          <w:rFonts w:ascii="Times New Roman" w:eastAsia="Times New Roman" w:hAnsi="Times New Roman" w:cs="Times New Roman"/>
          <w:b/>
          <w:bCs/>
          <w:lang w:eastAsia="hu-HU"/>
        </w:rPr>
        <w:t>Elérendő kompetenciák (magyarul):</w:t>
      </w:r>
    </w:p>
    <w:p w:rsidR="00E65CE8" w:rsidRPr="00F40250" w:rsidRDefault="00E65CE8" w:rsidP="00E65CE8">
      <w:pPr>
        <w:tabs>
          <w:tab w:val="right" w:pos="900"/>
        </w:tabs>
        <w:spacing w:before="120" w:after="0" w:line="240" w:lineRule="auto"/>
        <w:jc w:val="both"/>
        <w:rPr>
          <w:rFonts w:ascii="Times New Roman" w:eastAsia="Times New Roman" w:hAnsi="Times New Roman" w:cs="Times New Roman"/>
          <w:bCs/>
          <w:lang w:eastAsia="hu-HU"/>
        </w:rPr>
      </w:pPr>
      <w:r w:rsidRPr="00F40250">
        <w:rPr>
          <w:rFonts w:ascii="Times New Roman" w:eastAsia="Times New Roman" w:hAnsi="Times New Roman" w:cs="Times New Roman"/>
          <w:b/>
          <w:bCs/>
          <w:lang w:eastAsia="hu-HU"/>
        </w:rPr>
        <w:t>Tudása:</w:t>
      </w:r>
      <w:r w:rsidRPr="00F40250">
        <w:rPr>
          <w:rFonts w:ascii="Times New Roman" w:eastAsia="Times New Roman" w:hAnsi="Times New Roman" w:cs="Times New Roman"/>
          <w:bCs/>
          <w:lang w:eastAsia="hu-HU"/>
        </w:rPr>
        <w:t xml:space="preserve"> </w:t>
      </w:r>
    </w:p>
    <w:p w:rsidR="00E65CE8" w:rsidRPr="00F40250" w:rsidRDefault="00E65CE8" w:rsidP="00980876">
      <w:pPr>
        <w:numPr>
          <w:ilvl w:val="0"/>
          <w:numId w:val="585"/>
        </w:numPr>
        <w:tabs>
          <w:tab w:val="right" w:pos="900"/>
        </w:tabs>
        <w:spacing w:after="0" w:line="240" w:lineRule="auto"/>
        <w:ind w:left="426"/>
        <w:contextualSpacing/>
        <w:jc w:val="both"/>
        <w:rPr>
          <w:rFonts w:ascii="Times New Roman" w:eastAsia="Times New Roman" w:hAnsi="Times New Roman" w:cs="Times New Roman"/>
          <w:bCs/>
          <w:lang w:eastAsia="hu-HU"/>
        </w:rPr>
      </w:pPr>
      <w:r w:rsidRPr="00F40250">
        <w:rPr>
          <w:rFonts w:ascii="Times New Roman" w:eastAsia="Times New Roman" w:hAnsi="Times New Roman" w:cs="Times New Roman"/>
          <w:bCs/>
          <w:lang w:eastAsia="hu-HU"/>
        </w:rPr>
        <w:t>Birtokában van azon nyelvtani ismereteknek, melyek szükségesek a középfokú általános nyelvi ismeretekkel kapcsolatos kommunikáció lebonyolításához írásban és szóban is.</w:t>
      </w:r>
    </w:p>
    <w:p w:rsidR="00E65CE8" w:rsidRPr="00F40250" w:rsidRDefault="00E65CE8" w:rsidP="00E65CE8">
      <w:pPr>
        <w:tabs>
          <w:tab w:val="right" w:pos="900"/>
        </w:tabs>
        <w:spacing w:before="120" w:after="0" w:line="240" w:lineRule="auto"/>
        <w:jc w:val="both"/>
        <w:rPr>
          <w:rFonts w:ascii="Times New Roman" w:eastAsia="Times New Roman" w:hAnsi="Times New Roman" w:cs="Times New Roman"/>
          <w:bCs/>
          <w:lang w:eastAsia="hu-HU"/>
        </w:rPr>
      </w:pPr>
      <w:r w:rsidRPr="00F40250">
        <w:rPr>
          <w:rFonts w:ascii="Times New Roman" w:eastAsia="Times New Roman" w:hAnsi="Times New Roman" w:cs="Times New Roman"/>
          <w:b/>
          <w:bCs/>
          <w:lang w:eastAsia="hu-HU"/>
        </w:rPr>
        <w:t>Képességei:</w:t>
      </w:r>
      <w:r w:rsidRPr="00F40250">
        <w:rPr>
          <w:rFonts w:ascii="Times New Roman" w:eastAsia="Times New Roman" w:hAnsi="Times New Roman" w:cs="Times New Roman"/>
          <w:bCs/>
          <w:lang w:eastAsia="hu-HU"/>
        </w:rPr>
        <w:t xml:space="preserve"> </w:t>
      </w:r>
    </w:p>
    <w:p w:rsidR="00E65CE8" w:rsidRPr="00F40250" w:rsidRDefault="00E65CE8" w:rsidP="00980876">
      <w:pPr>
        <w:numPr>
          <w:ilvl w:val="0"/>
          <w:numId w:val="584"/>
        </w:numPr>
        <w:tabs>
          <w:tab w:val="right" w:pos="900"/>
        </w:tabs>
        <w:spacing w:after="0" w:line="240" w:lineRule="auto"/>
        <w:ind w:left="426"/>
        <w:contextualSpacing/>
        <w:jc w:val="both"/>
        <w:rPr>
          <w:rFonts w:ascii="Times New Roman" w:eastAsia="Times New Roman" w:hAnsi="Times New Roman" w:cs="Times New Roman"/>
          <w:bCs/>
          <w:lang w:eastAsia="hu-HU"/>
        </w:rPr>
      </w:pPr>
      <w:r w:rsidRPr="00F40250">
        <w:rPr>
          <w:rFonts w:ascii="Times New Roman" w:eastAsia="Times New Roman" w:hAnsi="Times New Roman" w:cs="Times New Roman"/>
          <w:bCs/>
          <w:lang w:eastAsia="hu-HU"/>
        </w:rPr>
        <w:t>Képes prezentációkat tartani angol nyelven.</w:t>
      </w:r>
    </w:p>
    <w:p w:rsidR="00E65CE8" w:rsidRPr="00F40250" w:rsidRDefault="00E65CE8" w:rsidP="00980876">
      <w:pPr>
        <w:numPr>
          <w:ilvl w:val="0"/>
          <w:numId w:val="584"/>
        </w:numPr>
        <w:tabs>
          <w:tab w:val="right" w:pos="900"/>
        </w:tabs>
        <w:spacing w:after="0" w:line="240" w:lineRule="auto"/>
        <w:ind w:left="426"/>
        <w:contextualSpacing/>
        <w:jc w:val="both"/>
        <w:rPr>
          <w:rFonts w:ascii="Times New Roman" w:eastAsia="Times New Roman" w:hAnsi="Times New Roman" w:cs="Times New Roman"/>
          <w:bCs/>
          <w:lang w:eastAsia="hu-HU"/>
        </w:rPr>
      </w:pPr>
      <w:r w:rsidRPr="00F40250">
        <w:rPr>
          <w:rFonts w:ascii="Times New Roman" w:eastAsia="Times New Roman" w:hAnsi="Times New Roman" w:cs="Times New Roman"/>
          <w:bCs/>
          <w:lang w:eastAsia="hu-HU"/>
        </w:rPr>
        <w:t>Képes a szakterületéhez kapcsolódó angol nyelvű prezentációk, eligazítások és munkával kapcsolatos megbeszélések lényegét megérteni.</w:t>
      </w:r>
    </w:p>
    <w:p w:rsidR="00E65CE8" w:rsidRPr="00F40250" w:rsidRDefault="00E65CE8" w:rsidP="00980876">
      <w:pPr>
        <w:numPr>
          <w:ilvl w:val="0"/>
          <w:numId w:val="584"/>
        </w:numPr>
        <w:tabs>
          <w:tab w:val="right" w:pos="900"/>
        </w:tabs>
        <w:spacing w:after="0" w:line="240" w:lineRule="auto"/>
        <w:ind w:left="426"/>
        <w:contextualSpacing/>
        <w:jc w:val="both"/>
        <w:rPr>
          <w:rFonts w:ascii="Times New Roman" w:eastAsia="Times New Roman" w:hAnsi="Times New Roman" w:cs="Times New Roman"/>
          <w:bCs/>
          <w:lang w:eastAsia="hu-HU"/>
        </w:rPr>
      </w:pPr>
      <w:r w:rsidRPr="00F40250">
        <w:rPr>
          <w:rFonts w:ascii="Times New Roman" w:eastAsia="Times New Roman" w:hAnsi="Times New Roman" w:cs="Times New Roman"/>
        </w:rPr>
        <w:t>Képes oly mértékben folyékonyan és spontánul kommunikálni anyanyelvi beszélőkkel, hogy az nem jelent megerőltetést semelyik fél számára.</w:t>
      </w:r>
    </w:p>
    <w:p w:rsidR="00E65CE8" w:rsidRPr="00F40250" w:rsidRDefault="00E65CE8" w:rsidP="00980876">
      <w:pPr>
        <w:numPr>
          <w:ilvl w:val="0"/>
          <w:numId w:val="584"/>
        </w:numPr>
        <w:tabs>
          <w:tab w:val="right" w:pos="900"/>
        </w:tabs>
        <w:spacing w:after="0" w:line="240" w:lineRule="auto"/>
        <w:ind w:left="426"/>
        <w:contextualSpacing/>
        <w:jc w:val="both"/>
        <w:rPr>
          <w:rFonts w:ascii="Times New Roman" w:eastAsia="Times New Roman" w:hAnsi="Times New Roman" w:cs="Times New Roman"/>
          <w:bCs/>
          <w:lang w:eastAsia="hu-HU"/>
        </w:rPr>
      </w:pPr>
      <w:r w:rsidRPr="00F40250">
        <w:rPr>
          <w:rFonts w:ascii="Times New Roman" w:eastAsia="Times New Roman" w:hAnsi="Times New Roman" w:cs="Times New Roman"/>
          <w:bCs/>
          <w:lang w:eastAsia="hu-HU"/>
        </w:rPr>
        <w:t>Képes angol nyelven dokumentumokat, nyomtatványokat, jegyzőkönyveket,  feljegyzéseket készíteni, valamint azokat kitölteni.</w:t>
      </w:r>
    </w:p>
    <w:p w:rsidR="00E65CE8" w:rsidRPr="00F40250" w:rsidRDefault="00E65CE8" w:rsidP="00E65CE8">
      <w:pPr>
        <w:tabs>
          <w:tab w:val="right" w:pos="900"/>
        </w:tabs>
        <w:spacing w:before="120" w:after="0" w:line="240" w:lineRule="auto"/>
        <w:jc w:val="both"/>
        <w:rPr>
          <w:rFonts w:ascii="Times New Roman" w:eastAsia="Times New Roman" w:hAnsi="Times New Roman" w:cs="Times New Roman"/>
          <w:bCs/>
          <w:lang w:eastAsia="hu-HU"/>
        </w:rPr>
      </w:pPr>
      <w:r w:rsidRPr="00F40250">
        <w:rPr>
          <w:rFonts w:ascii="Times New Roman" w:eastAsia="Times New Roman" w:hAnsi="Times New Roman" w:cs="Times New Roman"/>
          <w:b/>
          <w:bCs/>
          <w:lang w:eastAsia="hu-HU"/>
        </w:rPr>
        <w:t>Attitüdje:</w:t>
      </w:r>
      <w:r w:rsidRPr="00F40250">
        <w:rPr>
          <w:rFonts w:ascii="Times New Roman" w:eastAsia="Times New Roman" w:hAnsi="Times New Roman" w:cs="Times New Roman"/>
          <w:bCs/>
          <w:lang w:eastAsia="hu-HU"/>
        </w:rPr>
        <w:t xml:space="preserve"> </w:t>
      </w:r>
    </w:p>
    <w:p w:rsidR="00E65CE8" w:rsidRPr="00F40250" w:rsidRDefault="00E65CE8" w:rsidP="00980876">
      <w:pPr>
        <w:numPr>
          <w:ilvl w:val="0"/>
          <w:numId w:val="5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contextualSpacing/>
        <w:jc w:val="both"/>
        <w:rPr>
          <w:rFonts w:ascii="Times New Roman" w:eastAsia="Times New Roman" w:hAnsi="Times New Roman" w:cs="Times New Roman"/>
        </w:rPr>
      </w:pPr>
      <w:r w:rsidRPr="00F40250">
        <w:rPr>
          <w:rFonts w:ascii="Times New Roman" w:eastAsia="Times New Roman" w:hAnsi="Times New Roman" w:cs="Times New Roman"/>
        </w:rPr>
        <w:t>Hajlandó elsajátítani új ismereteket, igyekszik annak megértésére és használatára, és törekszik a saját szakterületén a folyamatos nyelvi vonatkozású önképzésre.</w:t>
      </w:r>
    </w:p>
    <w:p w:rsidR="00E65CE8" w:rsidRPr="00F40250" w:rsidRDefault="00E65CE8" w:rsidP="00980876">
      <w:pPr>
        <w:numPr>
          <w:ilvl w:val="0"/>
          <w:numId w:val="5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contextualSpacing/>
        <w:jc w:val="both"/>
        <w:rPr>
          <w:rFonts w:ascii="Times New Roman" w:eastAsia="Times New Roman" w:hAnsi="Times New Roman" w:cs="Times New Roman"/>
        </w:rPr>
      </w:pPr>
      <w:r w:rsidRPr="00F40250">
        <w:rPr>
          <w:rFonts w:ascii="Times New Roman" w:eastAsia="Times New Roman" w:hAnsi="Times New Roman" w:cs="Times New Roman"/>
        </w:rPr>
        <w:t>Az angol nyelv használata során pontosságra törekszik.</w:t>
      </w:r>
    </w:p>
    <w:p w:rsidR="00E65CE8" w:rsidRPr="00F40250" w:rsidRDefault="00E65CE8" w:rsidP="00980876">
      <w:pPr>
        <w:numPr>
          <w:ilvl w:val="0"/>
          <w:numId w:val="5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contextualSpacing/>
        <w:jc w:val="both"/>
        <w:rPr>
          <w:rFonts w:ascii="Times New Roman" w:eastAsia="Times New Roman" w:hAnsi="Times New Roman" w:cs="Times New Roman"/>
        </w:rPr>
      </w:pPr>
      <w:r w:rsidRPr="00F40250">
        <w:rPr>
          <w:rFonts w:ascii="Times New Roman" w:eastAsia="Times New Roman" w:hAnsi="Times New Roman" w:cs="Times New Roman"/>
        </w:rPr>
        <w:t>Nem fél vagy szégyell segítséget kérni abban az esetben, ha nehézségekkel szembesül a nyelvhasználat során.</w:t>
      </w:r>
    </w:p>
    <w:p w:rsidR="00E65CE8" w:rsidRPr="00F40250" w:rsidRDefault="00E65CE8" w:rsidP="00980876">
      <w:pPr>
        <w:numPr>
          <w:ilvl w:val="0"/>
          <w:numId w:val="5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contextualSpacing/>
        <w:jc w:val="both"/>
        <w:rPr>
          <w:rFonts w:ascii="Times New Roman" w:eastAsia="Times New Roman" w:hAnsi="Times New Roman" w:cs="Times New Roman"/>
        </w:rPr>
      </w:pPr>
      <w:r w:rsidRPr="00F40250">
        <w:rPr>
          <w:rFonts w:ascii="Times New Roman" w:eastAsia="Times New Roman" w:hAnsi="Times New Roman" w:cs="Times New Roman"/>
        </w:rPr>
        <w:t>Minden alkalmat megragad nyelvi készségeinek fejlesztésére.</w:t>
      </w:r>
    </w:p>
    <w:p w:rsidR="006735CC" w:rsidRDefault="006735CC" w:rsidP="00E65CE8">
      <w:pPr>
        <w:tabs>
          <w:tab w:val="right" w:pos="900"/>
        </w:tabs>
        <w:spacing w:before="120" w:after="0" w:line="240" w:lineRule="auto"/>
        <w:jc w:val="both"/>
        <w:rPr>
          <w:rFonts w:ascii="Times New Roman" w:eastAsia="Times New Roman" w:hAnsi="Times New Roman" w:cs="Times New Roman"/>
          <w:b/>
          <w:bCs/>
          <w:lang w:eastAsia="hu-HU"/>
        </w:rPr>
      </w:pPr>
    </w:p>
    <w:p w:rsidR="00E65CE8" w:rsidRPr="00F40250" w:rsidRDefault="00E65CE8" w:rsidP="00E65CE8">
      <w:pPr>
        <w:tabs>
          <w:tab w:val="right" w:pos="900"/>
        </w:tabs>
        <w:spacing w:before="120" w:after="0" w:line="240" w:lineRule="auto"/>
        <w:jc w:val="both"/>
        <w:rPr>
          <w:rFonts w:ascii="Times New Roman" w:eastAsia="Times New Roman" w:hAnsi="Times New Roman" w:cs="Times New Roman"/>
          <w:bCs/>
          <w:lang w:eastAsia="hu-HU"/>
        </w:rPr>
      </w:pPr>
      <w:r w:rsidRPr="00F40250">
        <w:rPr>
          <w:rFonts w:ascii="Times New Roman" w:eastAsia="Times New Roman" w:hAnsi="Times New Roman" w:cs="Times New Roman"/>
          <w:b/>
          <w:bCs/>
          <w:lang w:eastAsia="hu-HU"/>
        </w:rPr>
        <w:lastRenderedPageBreak/>
        <w:t>Autonómiája és felelőssége:</w:t>
      </w:r>
      <w:r w:rsidRPr="00F40250">
        <w:rPr>
          <w:rFonts w:ascii="Times New Roman" w:eastAsia="Times New Roman" w:hAnsi="Times New Roman" w:cs="Times New Roman"/>
          <w:bCs/>
          <w:lang w:eastAsia="hu-HU"/>
        </w:rPr>
        <w:t xml:space="preserve"> </w:t>
      </w:r>
    </w:p>
    <w:p w:rsidR="00E65CE8" w:rsidRPr="00F40250" w:rsidRDefault="00E65CE8" w:rsidP="00980876">
      <w:pPr>
        <w:widowControl w:val="0"/>
        <w:numPr>
          <w:ilvl w:val="0"/>
          <w:numId w:val="582"/>
        </w:numPr>
        <w:spacing w:after="0" w:line="240" w:lineRule="auto"/>
        <w:ind w:left="426"/>
        <w:contextualSpacing/>
        <w:jc w:val="both"/>
        <w:rPr>
          <w:rFonts w:ascii="Times New Roman" w:eastAsia="Times New Roman" w:hAnsi="Times New Roman" w:cs="Times New Roman"/>
          <w:bCs/>
        </w:rPr>
      </w:pPr>
      <w:r w:rsidRPr="00F40250">
        <w:rPr>
          <w:rFonts w:ascii="Times New Roman" w:eastAsia="Times New Roman" w:hAnsi="Times New Roman" w:cs="Times New Roman"/>
          <w:bCs/>
        </w:rPr>
        <w:t xml:space="preserve">Képes önállóan fejleszteni ismereteit. </w:t>
      </w:r>
    </w:p>
    <w:p w:rsidR="00E65CE8" w:rsidRPr="00F40250" w:rsidRDefault="00E65CE8" w:rsidP="00980876">
      <w:pPr>
        <w:widowControl w:val="0"/>
        <w:numPr>
          <w:ilvl w:val="0"/>
          <w:numId w:val="582"/>
        </w:numPr>
        <w:spacing w:after="0" w:line="240" w:lineRule="auto"/>
        <w:ind w:left="426"/>
        <w:contextualSpacing/>
        <w:jc w:val="both"/>
        <w:rPr>
          <w:rFonts w:ascii="Times New Roman" w:eastAsia="Times New Roman" w:hAnsi="Times New Roman" w:cs="Times New Roman"/>
          <w:bCs/>
        </w:rPr>
      </w:pPr>
      <w:r w:rsidRPr="00F40250">
        <w:rPr>
          <w:rFonts w:ascii="Times New Roman" w:eastAsia="Times New Roman" w:hAnsi="Times New Roman" w:cs="Times New Roman"/>
          <w:bCs/>
        </w:rPr>
        <w:t xml:space="preserve">Tisztában van az angol nyelven történő hatékony kommunikáció szükségességével többnemzeti környezetben. </w:t>
      </w:r>
    </w:p>
    <w:p w:rsidR="00E65CE8" w:rsidRPr="00F40250" w:rsidRDefault="00E65CE8" w:rsidP="00980876">
      <w:pPr>
        <w:widowControl w:val="0"/>
        <w:numPr>
          <w:ilvl w:val="0"/>
          <w:numId w:val="582"/>
        </w:numPr>
        <w:spacing w:after="0" w:line="240" w:lineRule="auto"/>
        <w:ind w:left="426"/>
        <w:contextualSpacing/>
        <w:jc w:val="both"/>
        <w:rPr>
          <w:rFonts w:ascii="Times New Roman" w:eastAsia="Times New Roman" w:hAnsi="Times New Roman" w:cs="Times New Roman"/>
          <w:bCs/>
        </w:rPr>
      </w:pPr>
      <w:r w:rsidRPr="00F40250">
        <w:rPr>
          <w:rFonts w:ascii="Times New Roman" w:eastAsia="Times New Roman" w:hAnsi="Times New Roman" w:cs="Times New Roman"/>
          <w:bCs/>
        </w:rPr>
        <w:t>Felelősséget vállal saját angol nyelvű szóbeli és írásbeli kommunikációjáért.</w:t>
      </w:r>
    </w:p>
    <w:p w:rsidR="00E65CE8" w:rsidRPr="00F40250" w:rsidRDefault="00E65CE8" w:rsidP="00E65CE8">
      <w:pPr>
        <w:tabs>
          <w:tab w:val="right" w:pos="900"/>
        </w:tabs>
        <w:spacing w:before="240" w:after="120" w:line="240" w:lineRule="auto"/>
        <w:jc w:val="both"/>
        <w:rPr>
          <w:rFonts w:ascii="Times New Roman" w:eastAsia="Times New Roman" w:hAnsi="Times New Roman" w:cs="Times New Roman"/>
          <w:bCs/>
          <w:lang w:val="en-GB" w:eastAsia="hu-HU"/>
        </w:rPr>
      </w:pPr>
      <w:r w:rsidRPr="00F40250">
        <w:rPr>
          <w:rFonts w:ascii="Times New Roman" w:eastAsia="Times New Roman" w:hAnsi="Times New Roman" w:cs="Times New Roman"/>
          <w:b/>
          <w:bCs/>
          <w:lang w:val="en-GB" w:eastAsia="hu-HU"/>
        </w:rPr>
        <w:t>Elérendő kompetenciák (angolul):</w:t>
      </w:r>
    </w:p>
    <w:p w:rsidR="00E65CE8" w:rsidRPr="00F40250" w:rsidRDefault="00E65CE8" w:rsidP="00E65CE8">
      <w:pPr>
        <w:tabs>
          <w:tab w:val="right" w:pos="900"/>
        </w:tabs>
        <w:spacing w:after="0" w:line="240" w:lineRule="auto"/>
        <w:jc w:val="both"/>
        <w:rPr>
          <w:rFonts w:ascii="Times New Roman" w:eastAsia="Times New Roman" w:hAnsi="Times New Roman" w:cs="Times New Roman"/>
          <w:bCs/>
          <w:lang w:val="en-GB" w:eastAsia="hu-HU"/>
        </w:rPr>
      </w:pPr>
      <w:r w:rsidRPr="00F40250">
        <w:rPr>
          <w:rFonts w:ascii="Times New Roman" w:eastAsia="Times New Roman" w:hAnsi="Times New Roman" w:cs="Times New Roman"/>
          <w:b/>
          <w:bCs/>
          <w:lang w:val="en-GB" w:eastAsia="hu-HU"/>
        </w:rPr>
        <w:t>Knowledge:</w:t>
      </w:r>
      <w:r w:rsidRPr="00F40250">
        <w:rPr>
          <w:rFonts w:ascii="Times New Roman" w:eastAsia="Times New Roman" w:hAnsi="Times New Roman" w:cs="Times New Roman"/>
          <w:bCs/>
          <w:lang w:val="en-GB" w:eastAsia="hu-HU"/>
        </w:rPr>
        <w:t xml:space="preserve"> </w:t>
      </w:r>
    </w:p>
    <w:p w:rsidR="00E65CE8" w:rsidRPr="00F40250" w:rsidRDefault="00E65CE8" w:rsidP="00980876">
      <w:pPr>
        <w:numPr>
          <w:ilvl w:val="0"/>
          <w:numId w:val="581"/>
        </w:numPr>
        <w:tabs>
          <w:tab w:val="right" w:pos="900"/>
        </w:tabs>
        <w:spacing w:after="0" w:line="240" w:lineRule="auto"/>
        <w:ind w:left="426"/>
        <w:contextualSpacing/>
        <w:jc w:val="both"/>
        <w:rPr>
          <w:rFonts w:ascii="Times New Roman" w:eastAsia="Times New Roman" w:hAnsi="Times New Roman" w:cs="Times New Roman"/>
          <w:bCs/>
          <w:lang w:eastAsia="hu-HU"/>
        </w:rPr>
      </w:pPr>
      <w:r w:rsidRPr="00F40250">
        <w:rPr>
          <w:rFonts w:ascii="Times New Roman" w:eastAsia="Times New Roman" w:hAnsi="Times New Roman" w:cs="Times New Roman"/>
          <w:bCs/>
          <w:lang w:eastAsia="hu-HU"/>
        </w:rPr>
        <w:t xml:space="preserve">The </w:t>
      </w:r>
      <w:r w:rsidRPr="00F40250">
        <w:rPr>
          <w:rFonts w:ascii="Times New Roman" w:eastAsia="Times New Roman" w:hAnsi="Times New Roman" w:cs="Times New Roman"/>
          <w:bCs/>
          <w:lang w:val="en-GB" w:eastAsia="hu-HU"/>
        </w:rPr>
        <w:t>student</w:t>
      </w:r>
      <w:r w:rsidRPr="00F40250">
        <w:rPr>
          <w:rFonts w:ascii="Times New Roman" w:eastAsia="Times New Roman" w:hAnsi="Times New Roman" w:cs="Times New Roman"/>
          <w:bCs/>
          <w:lang w:eastAsia="hu-HU"/>
        </w:rPr>
        <w:t xml:space="preserve"> has the language knowledge and competence required for everyday oral and written communication.</w:t>
      </w:r>
    </w:p>
    <w:p w:rsidR="00E65CE8" w:rsidRPr="00F40250" w:rsidRDefault="00E65CE8" w:rsidP="00E65CE8">
      <w:pPr>
        <w:tabs>
          <w:tab w:val="right" w:pos="900"/>
        </w:tabs>
        <w:spacing w:before="120" w:after="0" w:line="240" w:lineRule="auto"/>
        <w:jc w:val="both"/>
        <w:rPr>
          <w:rFonts w:ascii="Times New Roman" w:eastAsia="Times New Roman" w:hAnsi="Times New Roman" w:cs="Times New Roman"/>
          <w:b/>
          <w:bCs/>
          <w:lang w:val="en-GB" w:eastAsia="hu-HU"/>
        </w:rPr>
      </w:pPr>
      <w:r w:rsidRPr="00F40250">
        <w:rPr>
          <w:rFonts w:ascii="Times New Roman" w:eastAsia="Times New Roman" w:hAnsi="Times New Roman" w:cs="Times New Roman"/>
          <w:b/>
          <w:bCs/>
          <w:lang w:val="en-GB" w:eastAsia="hu-HU"/>
        </w:rPr>
        <w:t>Capabilities:</w:t>
      </w:r>
    </w:p>
    <w:p w:rsidR="00E65CE8" w:rsidRPr="00F40250" w:rsidRDefault="00E65CE8" w:rsidP="00980876">
      <w:pPr>
        <w:numPr>
          <w:ilvl w:val="0"/>
          <w:numId w:val="581"/>
        </w:numPr>
        <w:tabs>
          <w:tab w:val="right" w:pos="900"/>
        </w:tabs>
        <w:spacing w:after="0" w:line="240" w:lineRule="auto"/>
        <w:ind w:left="426"/>
        <w:contextualSpacing/>
        <w:jc w:val="both"/>
        <w:rPr>
          <w:rFonts w:ascii="Times New Roman" w:eastAsia="Times New Roman" w:hAnsi="Times New Roman" w:cs="Times New Roman"/>
          <w:bCs/>
          <w:lang w:val="en-GB" w:eastAsia="hu-HU"/>
        </w:rPr>
      </w:pPr>
      <w:r w:rsidRPr="00F40250">
        <w:rPr>
          <w:rFonts w:ascii="Times New Roman" w:eastAsia="Times New Roman" w:hAnsi="Times New Roman" w:cs="Times New Roman"/>
          <w:bCs/>
          <w:lang w:val="en-GB" w:eastAsia="hu-HU"/>
        </w:rPr>
        <w:t>Capable of verbal and written work-related communication in English.</w:t>
      </w:r>
    </w:p>
    <w:p w:rsidR="00E65CE8" w:rsidRPr="00F40250" w:rsidRDefault="00E65CE8" w:rsidP="00980876">
      <w:pPr>
        <w:numPr>
          <w:ilvl w:val="0"/>
          <w:numId w:val="581"/>
        </w:numPr>
        <w:tabs>
          <w:tab w:val="right" w:pos="900"/>
        </w:tabs>
        <w:spacing w:after="0" w:line="240" w:lineRule="auto"/>
        <w:ind w:left="426"/>
        <w:contextualSpacing/>
        <w:jc w:val="both"/>
        <w:rPr>
          <w:rFonts w:ascii="Times New Roman" w:eastAsia="Times New Roman" w:hAnsi="Times New Roman" w:cs="Times New Roman"/>
          <w:bCs/>
          <w:lang w:val="en-GB" w:eastAsia="hu-HU"/>
        </w:rPr>
      </w:pPr>
      <w:r w:rsidRPr="00F40250">
        <w:rPr>
          <w:rFonts w:ascii="Times New Roman" w:eastAsia="Times New Roman" w:hAnsi="Times New Roman" w:cs="Times New Roman"/>
          <w:bCs/>
          <w:lang w:val="en-GB" w:eastAsia="hu-HU"/>
        </w:rPr>
        <w:t>Capable of preparing presentations in English.</w:t>
      </w:r>
    </w:p>
    <w:p w:rsidR="00E65CE8" w:rsidRPr="00F40250" w:rsidRDefault="00E65CE8" w:rsidP="00980876">
      <w:pPr>
        <w:numPr>
          <w:ilvl w:val="0"/>
          <w:numId w:val="581"/>
        </w:numPr>
        <w:tabs>
          <w:tab w:val="right" w:pos="900"/>
        </w:tabs>
        <w:spacing w:after="0" w:line="240" w:lineRule="auto"/>
        <w:ind w:left="426"/>
        <w:contextualSpacing/>
        <w:jc w:val="both"/>
        <w:rPr>
          <w:rFonts w:ascii="Times New Roman" w:eastAsia="Times New Roman" w:hAnsi="Times New Roman" w:cs="Times New Roman"/>
          <w:bCs/>
          <w:lang w:val="en-GB" w:eastAsia="hu-HU"/>
        </w:rPr>
      </w:pPr>
      <w:r w:rsidRPr="00F40250">
        <w:rPr>
          <w:rFonts w:ascii="Times New Roman" w:eastAsia="Times New Roman" w:hAnsi="Times New Roman" w:cs="Times New Roman"/>
          <w:bCs/>
          <w:lang w:val="en-GB" w:eastAsia="hu-HU"/>
        </w:rPr>
        <w:t>Capable of interacting with a degree of fluency and spontaneity that makes regular interaction with native speakers quite possible without strain for either party.</w:t>
      </w:r>
    </w:p>
    <w:p w:rsidR="00E65CE8" w:rsidRPr="00F40250" w:rsidRDefault="00E65CE8" w:rsidP="00980876">
      <w:pPr>
        <w:numPr>
          <w:ilvl w:val="0"/>
          <w:numId w:val="581"/>
        </w:numPr>
        <w:tabs>
          <w:tab w:val="right" w:pos="900"/>
        </w:tabs>
        <w:spacing w:after="0" w:line="240" w:lineRule="auto"/>
        <w:ind w:left="426"/>
        <w:contextualSpacing/>
        <w:jc w:val="both"/>
        <w:rPr>
          <w:rFonts w:ascii="Times New Roman" w:eastAsia="Times New Roman" w:hAnsi="Times New Roman" w:cs="Times New Roman"/>
          <w:bCs/>
          <w:lang w:val="en-GB" w:eastAsia="hu-HU"/>
        </w:rPr>
      </w:pPr>
      <w:r w:rsidRPr="00F40250">
        <w:rPr>
          <w:rFonts w:ascii="Times New Roman" w:eastAsia="Times New Roman" w:hAnsi="Times New Roman" w:cs="Times New Roman"/>
          <w:bCs/>
          <w:lang w:val="en-GB" w:eastAsia="hu-HU"/>
        </w:rPr>
        <w:t>Capable of preparing documents, forms, minutes, notes and memos and completing documents in English.</w:t>
      </w:r>
    </w:p>
    <w:p w:rsidR="00E65CE8" w:rsidRPr="00F40250" w:rsidRDefault="00E65CE8" w:rsidP="00E65CE8">
      <w:pPr>
        <w:tabs>
          <w:tab w:val="right" w:pos="900"/>
        </w:tabs>
        <w:spacing w:before="120" w:after="0" w:line="240" w:lineRule="auto"/>
        <w:jc w:val="both"/>
        <w:rPr>
          <w:rFonts w:ascii="Times New Roman" w:eastAsia="Times New Roman" w:hAnsi="Times New Roman" w:cs="Times New Roman"/>
          <w:bCs/>
          <w:lang w:val="en-GB" w:eastAsia="hu-HU"/>
        </w:rPr>
      </w:pPr>
      <w:r w:rsidRPr="00F40250">
        <w:rPr>
          <w:rFonts w:ascii="Times New Roman" w:eastAsia="Times New Roman" w:hAnsi="Times New Roman" w:cs="Times New Roman"/>
          <w:b/>
          <w:bCs/>
          <w:lang w:val="en-GB" w:eastAsia="hu-HU"/>
        </w:rPr>
        <w:t>Attitude:</w:t>
      </w:r>
      <w:r w:rsidRPr="00F40250">
        <w:rPr>
          <w:rFonts w:ascii="Times New Roman" w:eastAsia="Times New Roman" w:hAnsi="Times New Roman" w:cs="Times New Roman"/>
          <w:bCs/>
          <w:lang w:val="en-GB" w:eastAsia="hu-HU"/>
        </w:rPr>
        <w:t xml:space="preserve"> </w:t>
      </w:r>
    </w:p>
    <w:p w:rsidR="00E65CE8" w:rsidRPr="00F40250" w:rsidRDefault="00E65CE8" w:rsidP="00980876">
      <w:pPr>
        <w:numPr>
          <w:ilvl w:val="0"/>
          <w:numId w:val="580"/>
        </w:numPr>
        <w:spacing w:after="0" w:line="240" w:lineRule="auto"/>
        <w:ind w:left="426"/>
        <w:contextualSpacing/>
        <w:jc w:val="both"/>
        <w:rPr>
          <w:rFonts w:ascii="Times New Roman" w:eastAsia="Times New Roman" w:hAnsi="Times New Roman" w:cs="Times New Roman"/>
          <w:lang w:val="en-GB"/>
        </w:rPr>
      </w:pPr>
      <w:r w:rsidRPr="00F40250">
        <w:rPr>
          <w:rFonts w:ascii="Times New Roman" w:eastAsia="Times New Roman" w:hAnsi="Times New Roman" w:cs="Times New Roman"/>
          <w:lang w:val="en-GB"/>
        </w:rPr>
        <w:t>Is willing to learn the new terminology in his/her specialization, strives to understand and use it, and is committed to continuous self-education in his/her specialization.</w:t>
      </w:r>
    </w:p>
    <w:p w:rsidR="00E65CE8" w:rsidRPr="00F40250" w:rsidRDefault="00E65CE8" w:rsidP="00980876">
      <w:pPr>
        <w:numPr>
          <w:ilvl w:val="0"/>
          <w:numId w:val="580"/>
        </w:numPr>
        <w:spacing w:after="0" w:line="240" w:lineRule="auto"/>
        <w:ind w:left="426"/>
        <w:contextualSpacing/>
        <w:jc w:val="both"/>
        <w:rPr>
          <w:rFonts w:ascii="Times New Roman" w:eastAsia="Times New Roman" w:hAnsi="Times New Roman" w:cs="Times New Roman"/>
          <w:lang w:val="en-GB"/>
        </w:rPr>
      </w:pPr>
      <w:r w:rsidRPr="00F40250">
        <w:rPr>
          <w:rFonts w:ascii="Times New Roman" w:eastAsia="Times New Roman" w:hAnsi="Times New Roman" w:cs="Times New Roman"/>
          <w:lang w:val="en-GB"/>
        </w:rPr>
        <w:t>Is committed to accuracy when using the English language at work.</w:t>
      </w:r>
    </w:p>
    <w:p w:rsidR="00E65CE8" w:rsidRPr="00F40250" w:rsidRDefault="00E65CE8" w:rsidP="00980876">
      <w:pPr>
        <w:numPr>
          <w:ilvl w:val="0"/>
          <w:numId w:val="580"/>
        </w:numPr>
        <w:spacing w:after="0" w:line="240" w:lineRule="auto"/>
        <w:ind w:left="426"/>
        <w:contextualSpacing/>
        <w:jc w:val="both"/>
        <w:rPr>
          <w:rFonts w:ascii="Times New Roman" w:eastAsia="Times New Roman" w:hAnsi="Times New Roman" w:cs="Times New Roman"/>
          <w:lang w:val="en-GB"/>
        </w:rPr>
      </w:pPr>
      <w:r w:rsidRPr="00F40250">
        <w:rPr>
          <w:rFonts w:ascii="Times New Roman" w:eastAsia="Times New Roman" w:hAnsi="Times New Roman" w:cs="Times New Roman"/>
          <w:lang w:val="en-GB"/>
        </w:rPr>
        <w:t>Is not afraid or embarrassed to seek help when he/she faces problems with the English language.</w:t>
      </w:r>
    </w:p>
    <w:p w:rsidR="00E65CE8" w:rsidRPr="00F40250" w:rsidRDefault="00E65CE8" w:rsidP="00980876">
      <w:pPr>
        <w:numPr>
          <w:ilvl w:val="0"/>
          <w:numId w:val="580"/>
        </w:numPr>
        <w:spacing w:after="0" w:line="240" w:lineRule="auto"/>
        <w:ind w:left="426"/>
        <w:contextualSpacing/>
        <w:jc w:val="both"/>
        <w:rPr>
          <w:rFonts w:ascii="Times New Roman" w:eastAsia="Times New Roman" w:hAnsi="Times New Roman" w:cs="Times New Roman"/>
          <w:lang w:val="en-GB"/>
        </w:rPr>
      </w:pPr>
      <w:r w:rsidRPr="00F40250">
        <w:rPr>
          <w:rFonts w:ascii="Times New Roman" w:eastAsia="Times New Roman" w:hAnsi="Times New Roman" w:cs="Times New Roman"/>
          <w:lang w:val="en-GB"/>
        </w:rPr>
        <w:t>Takes every opportunity to improve his/her knowledge of English.</w:t>
      </w:r>
    </w:p>
    <w:p w:rsidR="00E65CE8" w:rsidRPr="00F40250" w:rsidRDefault="00E65CE8" w:rsidP="00E65CE8">
      <w:pPr>
        <w:tabs>
          <w:tab w:val="right" w:pos="900"/>
        </w:tabs>
        <w:spacing w:before="120" w:after="0" w:line="240" w:lineRule="auto"/>
        <w:jc w:val="both"/>
        <w:rPr>
          <w:rFonts w:ascii="Times New Roman" w:eastAsia="Times New Roman" w:hAnsi="Times New Roman" w:cs="Times New Roman"/>
          <w:bCs/>
          <w:lang w:val="en-GB" w:eastAsia="hu-HU"/>
        </w:rPr>
      </w:pPr>
      <w:r w:rsidRPr="00F40250">
        <w:rPr>
          <w:rFonts w:ascii="Times New Roman" w:eastAsia="Times New Roman" w:hAnsi="Times New Roman" w:cs="Times New Roman"/>
          <w:b/>
          <w:bCs/>
          <w:lang w:val="en-GB" w:eastAsia="hu-HU"/>
        </w:rPr>
        <w:t>Autonomy and responsibility:</w:t>
      </w:r>
      <w:r w:rsidRPr="00F40250">
        <w:rPr>
          <w:rFonts w:ascii="Times New Roman" w:eastAsia="Times New Roman" w:hAnsi="Times New Roman" w:cs="Times New Roman"/>
          <w:bCs/>
          <w:lang w:val="en-GB" w:eastAsia="hu-HU"/>
        </w:rPr>
        <w:t xml:space="preserve"> </w:t>
      </w:r>
    </w:p>
    <w:p w:rsidR="00E65CE8" w:rsidRPr="00F40250" w:rsidRDefault="00E65CE8" w:rsidP="00980876">
      <w:pPr>
        <w:numPr>
          <w:ilvl w:val="0"/>
          <w:numId w:val="579"/>
        </w:numPr>
        <w:spacing w:after="0" w:line="240" w:lineRule="auto"/>
        <w:ind w:left="426"/>
        <w:contextualSpacing/>
        <w:jc w:val="both"/>
        <w:rPr>
          <w:rFonts w:ascii="Times New Roman" w:eastAsia="Times New Roman" w:hAnsi="Times New Roman" w:cs="Times New Roman"/>
          <w:lang w:val="en-GB"/>
        </w:rPr>
      </w:pPr>
      <w:r w:rsidRPr="00F40250">
        <w:rPr>
          <w:rFonts w:ascii="Times New Roman" w:eastAsia="Times New Roman" w:hAnsi="Times New Roman" w:cs="Times New Roman"/>
          <w:lang w:val="en-GB"/>
        </w:rPr>
        <w:t>Able to autonomously improve his/her knowledge of the terminology</w:t>
      </w:r>
    </w:p>
    <w:p w:rsidR="00E65CE8" w:rsidRPr="00F40250" w:rsidRDefault="00E65CE8" w:rsidP="00980876">
      <w:pPr>
        <w:numPr>
          <w:ilvl w:val="0"/>
          <w:numId w:val="579"/>
        </w:numPr>
        <w:spacing w:after="0" w:line="240" w:lineRule="auto"/>
        <w:ind w:left="426"/>
        <w:contextualSpacing/>
        <w:jc w:val="both"/>
        <w:rPr>
          <w:rFonts w:ascii="Times New Roman" w:eastAsia="Times New Roman" w:hAnsi="Times New Roman" w:cs="Times New Roman"/>
          <w:lang w:val="en-GB"/>
        </w:rPr>
      </w:pPr>
      <w:r w:rsidRPr="00F40250">
        <w:rPr>
          <w:rFonts w:ascii="Times New Roman" w:eastAsia="Times New Roman" w:hAnsi="Times New Roman" w:cs="Times New Roman"/>
          <w:lang w:val="en-GB"/>
        </w:rPr>
        <w:t xml:space="preserve">Aware of the importance of being able to effectively communicate in English in a multinational environment </w:t>
      </w:r>
    </w:p>
    <w:p w:rsidR="00E65CE8" w:rsidRPr="00F40250" w:rsidRDefault="00E65CE8" w:rsidP="00980876">
      <w:pPr>
        <w:numPr>
          <w:ilvl w:val="0"/>
          <w:numId w:val="579"/>
        </w:numPr>
        <w:spacing w:after="360" w:line="240" w:lineRule="auto"/>
        <w:ind w:left="426"/>
        <w:contextualSpacing/>
        <w:jc w:val="both"/>
        <w:rPr>
          <w:rFonts w:ascii="Times New Roman" w:eastAsia="Times New Roman" w:hAnsi="Times New Roman" w:cs="Times New Roman"/>
          <w:lang w:val="en-GB"/>
        </w:rPr>
      </w:pPr>
      <w:r w:rsidRPr="00F40250">
        <w:rPr>
          <w:rFonts w:ascii="Times New Roman" w:eastAsia="Times New Roman" w:hAnsi="Times New Roman" w:cs="Times New Roman"/>
          <w:lang w:val="en-GB"/>
        </w:rPr>
        <w:t>Takes responsibility for his/her written/verbal communication in English.</w:t>
      </w:r>
    </w:p>
    <w:p w:rsidR="00E65CE8" w:rsidRPr="00F40250" w:rsidRDefault="00E65CE8" w:rsidP="00E65CE8">
      <w:pPr>
        <w:spacing w:after="360" w:line="240" w:lineRule="auto"/>
        <w:ind w:left="426"/>
        <w:contextualSpacing/>
        <w:jc w:val="both"/>
        <w:rPr>
          <w:rFonts w:ascii="Times New Roman" w:eastAsia="Times New Roman" w:hAnsi="Times New Roman" w:cs="Times New Roman"/>
          <w:lang w:val="en-GB"/>
        </w:rPr>
      </w:pPr>
    </w:p>
    <w:p w:rsidR="00E65CE8" w:rsidRPr="00F40250" w:rsidRDefault="00E65CE8" w:rsidP="00980876">
      <w:pPr>
        <w:numPr>
          <w:ilvl w:val="0"/>
          <w:numId w:val="597"/>
        </w:numPr>
        <w:spacing w:before="120" w:after="120" w:line="276" w:lineRule="auto"/>
        <w:contextualSpacing/>
        <w:rPr>
          <w:rFonts w:ascii="Times New Roman" w:eastAsia="Times New Roman" w:hAnsi="Times New Roman" w:cs="Times New Roman"/>
          <w:bCs/>
          <w:lang w:eastAsia="hu-HU"/>
        </w:rPr>
      </w:pPr>
      <w:r w:rsidRPr="00F40250">
        <w:rPr>
          <w:rFonts w:ascii="Times New Roman" w:eastAsia="Times New Roman" w:hAnsi="Times New Roman" w:cs="Times New Roman"/>
          <w:b/>
          <w:bCs/>
          <w:lang w:eastAsia="hu-HU"/>
        </w:rPr>
        <w:t>Előtanulmányi követelmények:</w:t>
      </w:r>
      <w:r w:rsidRPr="00F40250">
        <w:rPr>
          <w:rFonts w:ascii="Times New Roman" w:eastAsia="Times New Roman" w:hAnsi="Times New Roman" w:cs="Times New Roman"/>
          <w:bCs/>
          <w:lang w:eastAsia="hu-HU"/>
        </w:rPr>
        <w:t xml:space="preserve"> </w:t>
      </w:r>
    </w:p>
    <w:p w:rsidR="00E65CE8" w:rsidRPr="00F40250" w:rsidRDefault="00E65CE8" w:rsidP="00980876">
      <w:pPr>
        <w:widowControl w:val="0"/>
        <w:numPr>
          <w:ilvl w:val="0"/>
          <w:numId w:val="597"/>
        </w:numPr>
        <w:spacing w:before="120" w:after="120" w:line="240" w:lineRule="auto"/>
        <w:jc w:val="both"/>
        <w:rPr>
          <w:rFonts w:ascii="Times New Roman" w:eastAsia="Times New Roman" w:hAnsi="Times New Roman" w:cs="Times New Roman"/>
          <w:b/>
          <w:bCs/>
        </w:rPr>
      </w:pPr>
      <w:r w:rsidRPr="00F40250">
        <w:rPr>
          <w:rFonts w:ascii="Times New Roman" w:eastAsia="Times New Roman" w:hAnsi="Times New Roman" w:cs="Times New Roman"/>
          <w:b/>
          <w:bCs/>
        </w:rPr>
        <w:t>A tantárgy tananyagának leírása, tematika. Description of the subject, curriculum (magyarul, angolul - English):</w:t>
      </w:r>
    </w:p>
    <w:p w:rsidR="00E65CE8" w:rsidRPr="00F40250" w:rsidRDefault="00E65CE8" w:rsidP="00980876">
      <w:pPr>
        <w:numPr>
          <w:ilvl w:val="1"/>
          <w:numId w:val="597"/>
        </w:numPr>
        <w:spacing w:before="120" w:after="0" w:line="240" w:lineRule="auto"/>
        <w:ind w:left="709" w:hanging="574"/>
        <w:jc w:val="both"/>
        <w:rPr>
          <w:rFonts w:ascii="Times New Roman" w:eastAsia="Times New Roman" w:hAnsi="Times New Roman" w:cs="Times New Roman"/>
          <w:lang w:eastAsia="hu-HU"/>
        </w:rPr>
      </w:pPr>
      <w:r w:rsidRPr="00F40250">
        <w:rPr>
          <w:rFonts w:ascii="Times New Roman" w:eastAsia="Times New Roman" w:hAnsi="Times New Roman" w:cs="Times New Roman"/>
          <w:lang w:eastAsia="hu-HU"/>
        </w:rPr>
        <w:t>Bemutatkozás, család, napirend (Introduction, family, daily routine)</w:t>
      </w:r>
    </w:p>
    <w:p w:rsidR="00E65CE8" w:rsidRPr="00F40250" w:rsidRDefault="00E65CE8" w:rsidP="00980876">
      <w:pPr>
        <w:numPr>
          <w:ilvl w:val="1"/>
          <w:numId w:val="597"/>
        </w:numPr>
        <w:spacing w:before="120" w:after="0" w:line="240" w:lineRule="auto"/>
        <w:ind w:left="709" w:hanging="574"/>
        <w:jc w:val="both"/>
        <w:rPr>
          <w:rFonts w:ascii="Times New Roman" w:eastAsia="Times New Roman" w:hAnsi="Times New Roman" w:cs="Times New Roman"/>
          <w:lang w:eastAsia="hu-HU"/>
        </w:rPr>
      </w:pPr>
      <w:r w:rsidRPr="00F40250">
        <w:rPr>
          <w:rFonts w:ascii="Times New Roman" w:eastAsia="Times New Roman" w:hAnsi="Times New Roman" w:cs="Times New Roman"/>
          <w:lang w:eastAsia="hu-HU"/>
        </w:rPr>
        <w:t>Vásárlás (élelmiszer és ruhanemű) ((Shopping (food and clothes))</w:t>
      </w:r>
    </w:p>
    <w:p w:rsidR="00E65CE8" w:rsidRPr="00F40250" w:rsidRDefault="00E65CE8" w:rsidP="00980876">
      <w:pPr>
        <w:numPr>
          <w:ilvl w:val="1"/>
          <w:numId w:val="597"/>
        </w:numPr>
        <w:spacing w:before="120" w:after="0" w:line="240" w:lineRule="auto"/>
        <w:ind w:left="709" w:hanging="574"/>
        <w:jc w:val="both"/>
        <w:rPr>
          <w:rFonts w:ascii="Times New Roman" w:eastAsia="Times New Roman" w:hAnsi="Times New Roman" w:cs="Times New Roman"/>
          <w:lang w:eastAsia="hu-HU"/>
        </w:rPr>
      </w:pPr>
      <w:r w:rsidRPr="00F40250">
        <w:rPr>
          <w:rFonts w:ascii="Times New Roman" w:eastAsia="Times New Roman" w:hAnsi="Times New Roman" w:cs="Times New Roman"/>
          <w:lang w:eastAsia="hu-HU"/>
        </w:rPr>
        <w:t>Lakás, lakókörnyezet (Housing, neighbourhood)</w:t>
      </w:r>
    </w:p>
    <w:p w:rsidR="00E65CE8" w:rsidRPr="00F40250" w:rsidRDefault="00E65CE8" w:rsidP="00980876">
      <w:pPr>
        <w:numPr>
          <w:ilvl w:val="1"/>
          <w:numId w:val="597"/>
        </w:numPr>
        <w:spacing w:before="120" w:after="0" w:line="240" w:lineRule="auto"/>
        <w:ind w:left="709" w:hanging="574"/>
        <w:jc w:val="both"/>
        <w:rPr>
          <w:rFonts w:ascii="Times New Roman" w:eastAsia="Times New Roman" w:hAnsi="Times New Roman" w:cs="Times New Roman"/>
          <w:lang w:eastAsia="hu-HU"/>
        </w:rPr>
      </w:pPr>
      <w:r w:rsidRPr="00F40250">
        <w:rPr>
          <w:rFonts w:ascii="Times New Roman" w:eastAsia="Times New Roman" w:hAnsi="Times New Roman" w:cs="Times New Roman"/>
          <w:lang w:eastAsia="hu-HU"/>
        </w:rPr>
        <w:t>Munka, munkahely, foglalkozások (Jobs, workplace, career goals)</w:t>
      </w:r>
    </w:p>
    <w:p w:rsidR="00E65CE8" w:rsidRPr="00F40250" w:rsidRDefault="00E65CE8" w:rsidP="00980876">
      <w:pPr>
        <w:numPr>
          <w:ilvl w:val="1"/>
          <w:numId w:val="597"/>
        </w:numPr>
        <w:spacing w:before="120" w:after="0" w:line="240" w:lineRule="auto"/>
        <w:ind w:left="709" w:hanging="574"/>
        <w:jc w:val="both"/>
        <w:rPr>
          <w:rFonts w:ascii="Times New Roman" w:eastAsia="Times New Roman" w:hAnsi="Times New Roman" w:cs="Times New Roman"/>
          <w:lang w:eastAsia="hu-HU"/>
        </w:rPr>
      </w:pPr>
      <w:r w:rsidRPr="00F40250">
        <w:rPr>
          <w:rFonts w:ascii="Times New Roman" w:eastAsia="Times New Roman" w:hAnsi="Times New Roman" w:cs="Times New Roman"/>
          <w:lang w:eastAsia="hu-HU"/>
        </w:rPr>
        <w:t>Közlekedés, utazás, nyaralás (Transport, travelling, holiday)</w:t>
      </w:r>
    </w:p>
    <w:p w:rsidR="00E65CE8" w:rsidRPr="00F40250" w:rsidRDefault="00E65CE8" w:rsidP="00980876">
      <w:pPr>
        <w:numPr>
          <w:ilvl w:val="1"/>
          <w:numId w:val="597"/>
        </w:numPr>
        <w:spacing w:before="120" w:after="0" w:line="240" w:lineRule="auto"/>
        <w:ind w:left="709" w:hanging="574"/>
        <w:jc w:val="both"/>
        <w:rPr>
          <w:rFonts w:ascii="Times New Roman" w:eastAsia="Times New Roman" w:hAnsi="Times New Roman" w:cs="Times New Roman"/>
          <w:lang w:eastAsia="hu-HU"/>
        </w:rPr>
      </w:pPr>
      <w:r w:rsidRPr="00F40250">
        <w:rPr>
          <w:rFonts w:ascii="Times New Roman" w:eastAsia="Times New Roman" w:hAnsi="Times New Roman" w:cs="Times New Roman"/>
          <w:lang w:eastAsia="hu-HU"/>
        </w:rPr>
        <w:t>Szolgáltatások (telefon, bank, posta, étkezés, étterem) ((Services (phoning, bank, post office, eating, at the restaurant))</w:t>
      </w:r>
    </w:p>
    <w:p w:rsidR="00E65CE8" w:rsidRPr="00F40250" w:rsidRDefault="00E65CE8" w:rsidP="00980876">
      <w:pPr>
        <w:numPr>
          <w:ilvl w:val="1"/>
          <w:numId w:val="597"/>
        </w:numPr>
        <w:spacing w:before="120" w:after="0" w:line="240" w:lineRule="auto"/>
        <w:ind w:left="709" w:hanging="574"/>
        <w:jc w:val="both"/>
        <w:rPr>
          <w:rFonts w:ascii="Times New Roman" w:eastAsia="Times New Roman" w:hAnsi="Times New Roman" w:cs="Times New Roman"/>
          <w:lang w:eastAsia="hu-HU"/>
        </w:rPr>
      </w:pPr>
      <w:r w:rsidRPr="00F40250">
        <w:rPr>
          <w:rFonts w:ascii="Times New Roman" w:eastAsia="Times New Roman" w:hAnsi="Times New Roman" w:cs="Times New Roman"/>
          <w:lang w:eastAsia="hu-HU"/>
        </w:rPr>
        <w:t>Tanulás, iskolák, tantárgyak, nyelvtanulás (Education, schools, subjects, language learning)</w:t>
      </w:r>
    </w:p>
    <w:p w:rsidR="00E65CE8" w:rsidRPr="00F40250" w:rsidRDefault="00E65CE8" w:rsidP="00980876">
      <w:pPr>
        <w:numPr>
          <w:ilvl w:val="1"/>
          <w:numId w:val="597"/>
        </w:numPr>
        <w:spacing w:before="120" w:after="0" w:line="240" w:lineRule="auto"/>
        <w:ind w:left="709" w:hanging="574"/>
        <w:jc w:val="both"/>
        <w:rPr>
          <w:rFonts w:ascii="Times New Roman" w:eastAsia="Times New Roman" w:hAnsi="Times New Roman" w:cs="Times New Roman"/>
          <w:lang w:eastAsia="hu-HU"/>
        </w:rPr>
      </w:pPr>
      <w:r w:rsidRPr="00F40250">
        <w:rPr>
          <w:rFonts w:ascii="Times New Roman" w:eastAsia="Times New Roman" w:hAnsi="Times New Roman" w:cs="Times New Roman"/>
          <w:lang w:eastAsia="hu-HU"/>
        </w:rPr>
        <w:t>Egészség, betegségek. Tünetek, kezelések. Az egészséges életmód, az egészséges táplálkozás, edzettség (Health,illnesses. Sympones and treatments. Healthy lifestyle, balanced diet, fitness)</w:t>
      </w:r>
    </w:p>
    <w:p w:rsidR="00E65CE8" w:rsidRPr="00F40250" w:rsidRDefault="00E65CE8" w:rsidP="00980876">
      <w:pPr>
        <w:numPr>
          <w:ilvl w:val="1"/>
          <w:numId w:val="597"/>
        </w:numPr>
        <w:spacing w:before="120" w:after="0" w:line="240" w:lineRule="auto"/>
        <w:ind w:left="709" w:hanging="574"/>
        <w:jc w:val="both"/>
        <w:rPr>
          <w:rFonts w:ascii="Times New Roman" w:eastAsia="Times New Roman" w:hAnsi="Times New Roman" w:cs="Times New Roman"/>
          <w:lang w:eastAsia="hu-HU"/>
        </w:rPr>
      </w:pPr>
      <w:r w:rsidRPr="00F40250">
        <w:rPr>
          <w:rFonts w:ascii="Times New Roman" w:eastAsia="Times New Roman" w:hAnsi="Times New Roman" w:cs="Times New Roman"/>
          <w:lang w:eastAsia="hu-HU"/>
        </w:rPr>
        <w:t>Szabadidő, szórakozás, hobbi, sport (Leisure time, entertainment, hobbies, sport)</w:t>
      </w:r>
    </w:p>
    <w:p w:rsidR="00E65CE8" w:rsidRPr="00F40250" w:rsidRDefault="00E65CE8" w:rsidP="00980876">
      <w:pPr>
        <w:numPr>
          <w:ilvl w:val="0"/>
          <w:numId w:val="597"/>
        </w:numPr>
        <w:tabs>
          <w:tab w:val="right" w:pos="900"/>
        </w:tabs>
        <w:spacing w:before="120" w:after="0" w:line="240" w:lineRule="auto"/>
        <w:ind w:left="357" w:hanging="357"/>
        <w:jc w:val="both"/>
        <w:rPr>
          <w:rFonts w:ascii="Times New Roman" w:eastAsia="Times New Roman" w:hAnsi="Times New Roman" w:cs="Times New Roman"/>
          <w:bCs/>
        </w:rPr>
      </w:pPr>
      <w:r w:rsidRPr="00F40250">
        <w:rPr>
          <w:rFonts w:ascii="Times New Roman" w:eastAsia="Times New Roman" w:hAnsi="Times New Roman" w:cs="Times New Roman"/>
          <w:b/>
          <w:bCs/>
        </w:rPr>
        <w:t xml:space="preserve">A tantárgy meghirdetésének gyakorisága/a tantervben történő félévi elhelyezkedése: </w:t>
      </w:r>
    </w:p>
    <w:p w:rsidR="00E65CE8" w:rsidRPr="00F40250" w:rsidRDefault="00E65CE8" w:rsidP="00E65CE8">
      <w:pPr>
        <w:tabs>
          <w:tab w:val="right" w:pos="900"/>
        </w:tabs>
        <w:spacing w:before="120" w:after="0" w:line="240" w:lineRule="auto"/>
        <w:ind w:left="360"/>
        <w:jc w:val="both"/>
        <w:rPr>
          <w:rFonts w:ascii="Times New Roman" w:eastAsia="Times New Roman" w:hAnsi="Times New Roman" w:cs="Times New Roman"/>
          <w:bCs/>
        </w:rPr>
      </w:pPr>
      <w:r w:rsidRPr="00F40250">
        <w:rPr>
          <w:rFonts w:ascii="Times New Roman" w:eastAsia="Times New Roman" w:hAnsi="Times New Roman" w:cs="Times New Roman"/>
          <w:bCs/>
          <w:lang w:eastAsia="hu-HU"/>
        </w:rPr>
        <w:t>Hadtudományi és Honvédtisztképző Karának minden alapképzési szakán nappali munkarendben</w:t>
      </w:r>
      <w:r w:rsidRPr="00F40250">
        <w:rPr>
          <w:rFonts w:ascii="Times New Roman" w:eastAsia="Times New Roman" w:hAnsi="Times New Roman" w:cs="Times New Roman"/>
          <w:b/>
          <w:bCs/>
        </w:rPr>
        <w:t xml:space="preserve"> </w:t>
      </w:r>
      <w:r w:rsidRPr="00F40250">
        <w:rPr>
          <w:rFonts w:ascii="Times New Roman" w:eastAsia="Times New Roman" w:hAnsi="Times New Roman" w:cs="Times New Roman"/>
          <w:bCs/>
        </w:rPr>
        <w:t>1. tanulmányi félévben.</w:t>
      </w:r>
    </w:p>
    <w:p w:rsidR="00E65CE8" w:rsidRPr="00F40250" w:rsidRDefault="00E65CE8" w:rsidP="00980876">
      <w:pPr>
        <w:numPr>
          <w:ilvl w:val="0"/>
          <w:numId w:val="597"/>
        </w:numPr>
        <w:tabs>
          <w:tab w:val="right" w:pos="900"/>
        </w:tabs>
        <w:spacing w:before="120" w:after="0" w:line="240" w:lineRule="auto"/>
        <w:jc w:val="both"/>
        <w:rPr>
          <w:rFonts w:ascii="Times New Roman" w:eastAsia="Times New Roman" w:hAnsi="Times New Roman" w:cs="Times New Roman"/>
          <w:bCs/>
        </w:rPr>
      </w:pPr>
      <w:r w:rsidRPr="00F40250">
        <w:rPr>
          <w:rFonts w:ascii="Times New Roman" w:eastAsia="Times New Roman" w:hAnsi="Times New Roman" w:cs="Times New Roman"/>
          <w:b/>
          <w:bCs/>
        </w:rPr>
        <w:lastRenderedPageBreak/>
        <w:t>A foglalkozásokon való részvétel követelményei, elfogadható hiányzások mértéke, távolmaradás pótlásának lehetősége:</w:t>
      </w:r>
      <w:r w:rsidRPr="00F40250">
        <w:rPr>
          <w:rFonts w:ascii="Times New Roman" w:eastAsia="Times New Roman" w:hAnsi="Times New Roman" w:cs="Times New Roman"/>
          <w:bCs/>
        </w:rPr>
        <w:t xml:space="preserve"> A hallgatónak a tanórák legalább 75%-án jelen kell lennie, 25% -ot meghaladó hiányzás esetén a félév teljesítése nem irható alá. A hallgató köteles az előadások és a gyakorlat anyagát beszerezni, abból önállóan felkészülni. Amennyiben a hallgató hiányzása meghaladja a 25%-ot, a hallgató köteles a félév végén a tanár által meghatározott témákból szóban beszámolni az aláírás teljesítése érdekében.</w:t>
      </w:r>
    </w:p>
    <w:p w:rsidR="00E65CE8" w:rsidRPr="00F40250" w:rsidRDefault="00E65CE8" w:rsidP="00980876">
      <w:pPr>
        <w:numPr>
          <w:ilvl w:val="0"/>
          <w:numId w:val="597"/>
        </w:numPr>
        <w:tabs>
          <w:tab w:val="right" w:pos="900"/>
        </w:tabs>
        <w:spacing w:before="120" w:after="0" w:line="240" w:lineRule="auto"/>
        <w:jc w:val="both"/>
        <w:rPr>
          <w:rFonts w:ascii="Times New Roman" w:eastAsia="Times New Roman" w:hAnsi="Times New Roman" w:cs="Times New Roman"/>
          <w:bCs/>
        </w:rPr>
      </w:pPr>
      <w:r w:rsidRPr="00F40250">
        <w:rPr>
          <w:rFonts w:ascii="Times New Roman" w:eastAsia="Times New Roman" w:hAnsi="Times New Roman" w:cs="Times New Roman"/>
          <w:b/>
        </w:rPr>
        <w:t>Félévközi feladatok, ismeretek ellenőrzésének rendje:</w:t>
      </w:r>
      <w:r w:rsidRPr="00F40250">
        <w:rPr>
          <w:rFonts w:ascii="Times New Roman" w:eastAsia="Times New Roman" w:hAnsi="Times New Roman" w:cs="Times New Roman"/>
          <w:bCs/>
        </w:rPr>
        <w:t xml:space="preserve"> </w:t>
      </w:r>
      <w:r w:rsidRPr="00F40250">
        <w:rPr>
          <w:rFonts w:ascii="Times New Roman" w:eastAsia="Times New Roman" w:hAnsi="Times New Roman" w:cs="Times New Roman"/>
        </w:rPr>
        <w:t>A foglakozás anyagainak és a kötelező irodalom feldolgozása, 2 zárthelyi dolgozat és egy szóbeli beszámoló legalább 60%-os értékeléssel történő teljesítése a tanár előzetes bejelentése alapján, a foglalkozások ismereteiből. A zárthelyi dolgozat és a szóbeli beszámoló értékelése: ötfokozatú értékelés – (a helyes válaszok aránya 0-60% elégtelen; 61-70% elégséges; 71-80% közepes; 81-90% jó; 91-100% jeles osztályzat). Eredménytelen zárthelyi dolgozat kétszer javítható a tanárral egyeztetett időpontban.</w:t>
      </w:r>
    </w:p>
    <w:p w:rsidR="00E65CE8" w:rsidRPr="00F40250" w:rsidRDefault="00E65CE8" w:rsidP="00980876">
      <w:pPr>
        <w:numPr>
          <w:ilvl w:val="0"/>
          <w:numId w:val="597"/>
        </w:numPr>
        <w:tabs>
          <w:tab w:val="right" w:pos="900"/>
        </w:tabs>
        <w:spacing w:before="120" w:after="0" w:line="240" w:lineRule="auto"/>
        <w:jc w:val="both"/>
        <w:rPr>
          <w:rFonts w:ascii="Times New Roman" w:eastAsia="Times New Roman" w:hAnsi="Times New Roman" w:cs="Times New Roman"/>
          <w:bCs/>
        </w:rPr>
      </w:pPr>
      <w:r w:rsidRPr="00F40250">
        <w:rPr>
          <w:rFonts w:ascii="Times New Roman" w:eastAsia="Times New Roman" w:hAnsi="Times New Roman" w:cs="Times New Roman"/>
          <w:b/>
          <w:bCs/>
        </w:rPr>
        <w:t xml:space="preserve">Az értékelés, az aláírás és a kreditek megszerzésének pontos feltételei </w:t>
      </w:r>
    </w:p>
    <w:p w:rsidR="00E65CE8" w:rsidRPr="00F40250" w:rsidRDefault="00E65CE8" w:rsidP="00980876">
      <w:pPr>
        <w:numPr>
          <w:ilvl w:val="1"/>
          <w:numId w:val="597"/>
        </w:numPr>
        <w:tabs>
          <w:tab w:val="right" w:pos="900"/>
        </w:tabs>
        <w:spacing w:before="120" w:after="0" w:line="240" w:lineRule="auto"/>
        <w:jc w:val="both"/>
        <w:rPr>
          <w:rFonts w:ascii="Times New Roman" w:eastAsia="Times New Roman" w:hAnsi="Times New Roman" w:cs="Times New Roman"/>
          <w:bCs/>
        </w:rPr>
      </w:pPr>
      <w:r w:rsidRPr="00F40250">
        <w:rPr>
          <w:rFonts w:ascii="Times New Roman" w:eastAsia="Times New Roman" w:hAnsi="Times New Roman" w:cs="Times New Roman"/>
          <w:b/>
        </w:rPr>
        <w:t xml:space="preserve">Az aláírás megszerzésének feltételei: </w:t>
      </w:r>
      <w:r w:rsidRPr="00F40250">
        <w:rPr>
          <w:rFonts w:ascii="Times New Roman" w:eastAsia="Times New Roman" w:hAnsi="Times New Roman" w:cs="Times New Roman"/>
        </w:rPr>
        <w:t>Az aláírás megszerzésének feltétele a 14. pontban meghatározott arányú részvétel a foglalkozásokon és a 15. pontban meghatározott félévközi feladatok legalább elégséges teljesítése.</w:t>
      </w:r>
    </w:p>
    <w:p w:rsidR="00E65CE8" w:rsidRPr="00F40250" w:rsidRDefault="00E65CE8" w:rsidP="00980876">
      <w:pPr>
        <w:numPr>
          <w:ilvl w:val="1"/>
          <w:numId w:val="597"/>
        </w:numPr>
        <w:tabs>
          <w:tab w:val="right" w:pos="900"/>
        </w:tabs>
        <w:spacing w:before="120" w:after="0" w:line="240" w:lineRule="auto"/>
        <w:jc w:val="both"/>
        <w:rPr>
          <w:rFonts w:ascii="Times New Roman" w:eastAsia="Times New Roman" w:hAnsi="Times New Roman" w:cs="Times New Roman"/>
          <w:bCs/>
        </w:rPr>
      </w:pPr>
      <w:r w:rsidRPr="00F40250">
        <w:rPr>
          <w:rFonts w:ascii="Times New Roman" w:eastAsia="Times New Roman" w:hAnsi="Times New Roman" w:cs="Times New Roman"/>
          <w:b/>
        </w:rPr>
        <w:t xml:space="preserve">Az értékelés: </w:t>
      </w:r>
      <w:r w:rsidRPr="00F40250">
        <w:rPr>
          <w:rFonts w:ascii="Times New Roman" w:eastAsia="Times New Roman" w:hAnsi="Times New Roman" w:cs="Times New Roman"/>
        </w:rPr>
        <w:t>a 16.1 pont alapján.</w:t>
      </w:r>
    </w:p>
    <w:p w:rsidR="00E65CE8" w:rsidRPr="00F40250" w:rsidRDefault="00E65CE8" w:rsidP="00980876">
      <w:pPr>
        <w:numPr>
          <w:ilvl w:val="1"/>
          <w:numId w:val="597"/>
        </w:numPr>
        <w:tabs>
          <w:tab w:val="right" w:pos="900"/>
        </w:tabs>
        <w:spacing w:before="120" w:after="0" w:line="240" w:lineRule="auto"/>
        <w:jc w:val="both"/>
        <w:rPr>
          <w:rFonts w:ascii="Times New Roman" w:eastAsia="Times New Roman" w:hAnsi="Times New Roman" w:cs="Times New Roman"/>
          <w:bCs/>
        </w:rPr>
      </w:pPr>
      <w:r w:rsidRPr="00F40250">
        <w:rPr>
          <w:rFonts w:ascii="Times New Roman" w:eastAsia="Times New Roman" w:hAnsi="Times New Roman" w:cs="Times New Roman"/>
          <w:b/>
        </w:rPr>
        <w:t xml:space="preserve">A kreditek megszerzésének feltételei: </w:t>
      </w:r>
      <w:r w:rsidRPr="00F40250">
        <w:rPr>
          <w:rFonts w:ascii="Times New Roman" w:eastAsia="Times New Roman" w:hAnsi="Times New Roman" w:cs="Times New Roman"/>
        </w:rPr>
        <w:t>A tantárgy kritérium követelmény, így nem rendelkezik kreditmegszerzési feltételekkel.</w:t>
      </w:r>
    </w:p>
    <w:p w:rsidR="00E65CE8" w:rsidRPr="00F40250" w:rsidRDefault="00E65CE8" w:rsidP="00980876">
      <w:pPr>
        <w:numPr>
          <w:ilvl w:val="0"/>
          <w:numId w:val="597"/>
        </w:numPr>
        <w:tabs>
          <w:tab w:val="right" w:pos="900"/>
        </w:tabs>
        <w:spacing w:before="120" w:after="0" w:line="240" w:lineRule="auto"/>
        <w:jc w:val="both"/>
        <w:rPr>
          <w:rFonts w:ascii="Times New Roman" w:eastAsia="Times New Roman" w:hAnsi="Times New Roman" w:cs="Times New Roman"/>
          <w:bCs/>
          <w:lang w:eastAsia="hu-HU"/>
        </w:rPr>
      </w:pPr>
      <w:r w:rsidRPr="00F40250">
        <w:rPr>
          <w:rFonts w:ascii="Times New Roman" w:eastAsia="Times New Roman" w:hAnsi="Times New Roman" w:cs="Times New Roman"/>
          <w:b/>
          <w:bCs/>
          <w:lang w:eastAsia="hu-HU"/>
        </w:rPr>
        <w:t>Irodalomjegyzék:</w:t>
      </w:r>
    </w:p>
    <w:p w:rsidR="00E65CE8" w:rsidRPr="00F40250" w:rsidRDefault="00E65CE8" w:rsidP="00980876">
      <w:pPr>
        <w:numPr>
          <w:ilvl w:val="1"/>
          <w:numId w:val="597"/>
        </w:numPr>
        <w:tabs>
          <w:tab w:val="right" w:pos="900"/>
          <w:tab w:val="center" w:pos="4536"/>
          <w:tab w:val="right" w:pos="9072"/>
        </w:tabs>
        <w:spacing w:before="120" w:after="0" w:line="240" w:lineRule="auto"/>
        <w:jc w:val="both"/>
        <w:rPr>
          <w:rFonts w:ascii="Times New Roman" w:eastAsia="Times New Roman" w:hAnsi="Times New Roman" w:cs="Times New Roman"/>
          <w:bCs/>
          <w:lang w:eastAsia="hu-HU"/>
        </w:rPr>
      </w:pPr>
      <w:r w:rsidRPr="00F40250">
        <w:rPr>
          <w:rFonts w:ascii="Times New Roman" w:eastAsia="Times New Roman" w:hAnsi="Times New Roman" w:cs="Times New Roman"/>
          <w:bCs/>
          <w:lang w:eastAsia="hu-HU"/>
        </w:rPr>
        <w:t>Kötelező irodalom:</w:t>
      </w:r>
    </w:p>
    <w:p w:rsidR="00E65CE8" w:rsidRPr="00F40250" w:rsidRDefault="00E65CE8" w:rsidP="00980876">
      <w:pPr>
        <w:numPr>
          <w:ilvl w:val="0"/>
          <w:numId w:val="532"/>
        </w:numPr>
        <w:tabs>
          <w:tab w:val="right" w:pos="900"/>
        </w:tabs>
        <w:spacing w:before="120" w:after="0" w:line="240" w:lineRule="auto"/>
        <w:ind w:left="851"/>
        <w:contextualSpacing/>
        <w:jc w:val="both"/>
        <w:rPr>
          <w:rFonts w:ascii="Times New Roman" w:eastAsia="Times New Roman" w:hAnsi="Times New Roman" w:cs="Times New Roman"/>
          <w:bCs/>
          <w:lang w:eastAsia="hu-HU"/>
        </w:rPr>
      </w:pPr>
      <w:r w:rsidRPr="00F40250">
        <w:rPr>
          <w:rFonts w:ascii="Times New Roman" w:eastAsia="Times New Roman" w:hAnsi="Times New Roman" w:cs="Times New Roman"/>
          <w:bCs/>
          <w:lang w:eastAsia="hu-HU"/>
        </w:rPr>
        <w:t>Jobbágy Ilona – Katona Lucia – Kevin Shopland: General Communications Skills</w:t>
      </w:r>
    </w:p>
    <w:p w:rsidR="00E65CE8" w:rsidRPr="00F40250" w:rsidRDefault="00E65CE8" w:rsidP="00980876">
      <w:pPr>
        <w:numPr>
          <w:ilvl w:val="0"/>
          <w:numId w:val="532"/>
        </w:numPr>
        <w:tabs>
          <w:tab w:val="right" w:pos="900"/>
        </w:tabs>
        <w:spacing w:before="120" w:after="0" w:line="240" w:lineRule="auto"/>
        <w:ind w:left="851"/>
        <w:contextualSpacing/>
        <w:jc w:val="both"/>
        <w:rPr>
          <w:rFonts w:ascii="Times New Roman" w:eastAsia="Times New Roman" w:hAnsi="Times New Roman" w:cs="Times New Roman"/>
          <w:bCs/>
          <w:lang w:eastAsia="hu-HU"/>
        </w:rPr>
      </w:pPr>
      <w:r w:rsidRPr="00F40250">
        <w:rPr>
          <w:rFonts w:ascii="Times New Roman" w:eastAsia="Times New Roman" w:hAnsi="Times New Roman" w:cs="Times New Roman"/>
          <w:bCs/>
          <w:lang w:eastAsia="hu-HU"/>
        </w:rPr>
        <w:t>Némethné Hock Ildikó: 1000 kérdés 1000 válasz az „A” típusú nyelvvizsgához</w:t>
      </w:r>
    </w:p>
    <w:p w:rsidR="00E65CE8" w:rsidRPr="00F40250" w:rsidRDefault="00E65CE8" w:rsidP="00980876">
      <w:pPr>
        <w:numPr>
          <w:ilvl w:val="0"/>
          <w:numId w:val="532"/>
        </w:numPr>
        <w:tabs>
          <w:tab w:val="right" w:pos="900"/>
        </w:tabs>
        <w:spacing w:before="120" w:after="0" w:line="240" w:lineRule="auto"/>
        <w:ind w:left="851"/>
        <w:contextualSpacing/>
        <w:jc w:val="both"/>
        <w:rPr>
          <w:rFonts w:ascii="Times New Roman" w:eastAsia="Times New Roman" w:hAnsi="Times New Roman" w:cs="Times New Roman"/>
          <w:bCs/>
          <w:lang w:eastAsia="hu-HU"/>
        </w:rPr>
      </w:pPr>
      <w:r w:rsidRPr="00F40250">
        <w:rPr>
          <w:rFonts w:ascii="Times New Roman" w:eastAsia="Times New Roman" w:hAnsi="Times New Roman" w:cs="Times New Roman"/>
          <w:bCs/>
          <w:lang w:eastAsia="hu-HU"/>
        </w:rPr>
        <w:t>Sajtó, internet cikkek</w:t>
      </w:r>
    </w:p>
    <w:p w:rsidR="00E65CE8" w:rsidRPr="00F40250" w:rsidRDefault="00E65CE8" w:rsidP="00980876">
      <w:pPr>
        <w:numPr>
          <w:ilvl w:val="1"/>
          <w:numId w:val="597"/>
        </w:numPr>
        <w:tabs>
          <w:tab w:val="right" w:pos="900"/>
          <w:tab w:val="center" w:pos="4536"/>
          <w:tab w:val="right" w:pos="9072"/>
        </w:tabs>
        <w:spacing w:before="120" w:after="120" w:line="240" w:lineRule="auto"/>
        <w:ind w:left="788" w:hanging="431"/>
        <w:jc w:val="both"/>
        <w:rPr>
          <w:rFonts w:ascii="Times New Roman" w:eastAsia="Times New Roman" w:hAnsi="Times New Roman" w:cs="Times New Roman"/>
          <w:bCs/>
          <w:lang w:eastAsia="hu-HU"/>
        </w:rPr>
      </w:pPr>
      <w:r w:rsidRPr="00F40250">
        <w:rPr>
          <w:rFonts w:ascii="Times New Roman" w:eastAsia="Times New Roman" w:hAnsi="Times New Roman" w:cs="Times New Roman"/>
          <w:bCs/>
          <w:lang w:eastAsia="hu-HU"/>
        </w:rPr>
        <w:t>Ajánlott irodalom:</w:t>
      </w:r>
    </w:p>
    <w:p w:rsidR="00E65CE8" w:rsidRPr="00F40250" w:rsidRDefault="00E65CE8" w:rsidP="00980876">
      <w:pPr>
        <w:numPr>
          <w:ilvl w:val="0"/>
          <w:numId w:val="578"/>
        </w:numPr>
        <w:spacing w:before="120" w:after="0" w:line="240" w:lineRule="auto"/>
        <w:ind w:left="851"/>
        <w:contextualSpacing/>
        <w:jc w:val="both"/>
        <w:rPr>
          <w:rFonts w:ascii="Times New Roman" w:eastAsia="Times New Roman" w:hAnsi="Times New Roman" w:cs="Times New Roman"/>
          <w:lang w:eastAsia="hu-HU"/>
        </w:rPr>
      </w:pPr>
      <w:r w:rsidRPr="00F40250">
        <w:rPr>
          <w:rFonts w:ascii="Times New Roman" w:eastAsia="Times New Roman" w:hAnsi="Times New Roman" w:cs="Times New Roman"/>
          <w:lang w:eastAsia="hu-HU"/>
        </w:rPr>
        <w:t xml:space="preserve">Raymund Murphy: English Grammar in Use </w:t>
      </w:r>
    </w:p>
    <w:p w:rsidR="00E65CE8" w:rsidRPr="00F40250" w:rsidRDefault="00E65CE8" w:rsidP="00980876">
      <w:pPr>
        <w:numPr>
          <w:ilvl w:val="0"/>
          <w:numId w:val="578"/>
        </w:numPr>
        <w:spacing w:before="120" w:after="0" w:line="240" w:lineRule="auto"/>
        <w:ind w:left="851"/>
        <w:contextualSpacing/>
        <w:jc w:val="both"/>
        <w:rPr>
          <w:rFonts w:ascii="Times New Roman" w:eastAsia="Times New Roman" w:hAnsi="Times New Roman" w:cs="Times New Roman"/>
          <w:lang w:eastAsia="hu-HU"/>
        </w:rPr>
      </w:pPr>
      <w:r w:rsidRPr="00F40250">
        <w:rPr>
          <w:rFonts w:ascii="Times New Roman" w:eastAsia="Times New Roman" w:hAnsi="Times New Roman" w:cs="Times New Roman"/>
          <w:lang w:eastAsia="hu-HU"/>
        </w:rPr>
        <w:t>Norman Coe, Mark Harrison és Ken Paterson . Oxford Angol Nyelvtan</w:t>
      </w:r>
    </w:p>
    <w:p w:rsidR="00E65CE8" w:rsidRPr="00F40250" w:rsidRDefault="00E65CE8" w:rsidP="00980876">
      <w:pPr>
        <w:numPr>
          <w:ilvl w:val="0"/>
          <w:numId w:val="578"/>
        </w:numPr>
        <w:spacing w:before="120" w:after="0" w:line="240" w:lineRule="auto"/>
        <w:ind w:left="851"/>
        <w:contextualSpacing/>
        <w:jc w:val="both"/>
        <w:rPr>
          <w:rFonts w:ascii="Times New Roman" w:eastAsia="Times New Roman" w:hAnsi="Times New Roman" w:cs="Times New Roman"/>
          <w:lang w:eastAsia="hu-HU"/>
        </w:rPr>
      </w:pPr>
      <w:r w:rsidRPr="00F40250">
        <w:rPr>
          <w:rFonts w:ascii="Times New Roman" w:eastAsia="Times New Roman" w:hAnsi="Times New Roman" w:cs="Times New Roman"/>
          <w:lang w:eastAsia="hu-HU"/>
        </w:rPr>
        <w:t xml:space="preserve">Ruth Grain és Stuart Rodman: Oxford Word Skills Intermediate </w:t>
      </w:r>
    </w:p>
    <w:p w:rsidR="00E65CE8" w:rsidRPr="00F40250" w:rsidRDefault="00E65CE8" w:rsidP="00E65CE8">
      <w:pPr>
        <w:tabs>
          <w:tab w:val="right" w:pos="900"/>
        </w:tabs>
        <w:spacing w:before="120" w:after="0" w:line="240" w:lineRule="auto"/>
        <w:rPr>
          <w:rFonts w:ascii="Times New Roman" w:eastAsia="Times New Roman" w:hAnsi="Times New Roman" w:cs="Times New Roman"/>
          <w:bCs/>
        </w:rPr>
      </w:pPr>
    </w:p>
    <w:p w:rsidR="00E65CE8" w:rsidRPr="00F40250" w:rsidRDefault="00E65CE8" w:rsidP="00E65CE8">
      <w:pPr>
        <w:tabs>
          <w:tab w:val="right" w:pos="900"/>
        </w:tabs>
        <w:spacing w:before="120" w:after="0" w:line="240" w:lineRule="auto"/>
        <w:rPr>
          <w:rFonts w:ascii="Times New Roman" w:eastAsia="Times New Roman" w:hAnsi="Times New Roman" w:cs="Times New Roman"/>
          <w:bCs/>
          <w:lang w:eastAsia="hu-HU"/>
        </w:rPr>
      </w:pPr>
      <w:r w:rsidRPr="00F40250">
        <w:rPr>
          <w:rFonts w:ascii="Times New Roman" w:eastAsia="Times New Roman" w:hAnsi="Times New Roman" w:cs="Times New Roman"/>
          <w:bCs/>
        </w:rPr>
        <w:t>Budapest, 2020. február 5.</w:t>
      </w:r>
    </w:p>
    <w:p w:rsidR="00E65CE8" w:rsidRPr="00F40250" w:rsidRDefault="00E65CE8" w:rsidP="00E65CE8">
      <w:pPr>
        <w:tabs>
          <w:tab w:val="right" w:pos="900"/>
        </w:tabs>
        <w:spacing w:before="120" w:after="0" w:line="240" w:lineRule="auto"/>
        <w:ind w:left="5103"/>
        <w:jc w:val="right"/>
        <w:rPr>
          <w:rFonts w:ascii="Times New Roman" w:eastAsia="Times New Roman" w:hAnsi="Times New Roman" w:cs="Times New Roman"/>
          <w:bCs/>
        </w:rPr>
      </w:pPr>
      <w:r w:rsidRPr="00F40250">
        <w:rPr>
          <w:rFonts w:ascii="Times New Roman" w:eastAsia="Times New Roman" w:hAnsi="Times New Roman" w:cs="Times New Roman"/>
        </w:rPr>
        <w:t>Dr. Kiss Gabriella PhD.</w:t>
      </w:r>
    </w:p>
    <w:p w:rsidR="00E65CE8" w:rsidRPr="00F40250" w:rsidRDefault="00E65CE8" w:rsidP="00E65CE8">
      <w:pPr>
        <w:spacing w:after="200" w:line="276" w:lineRule="auto"/>
        <w:ind w:left="5103"/>
        <w:jc w:val="right"/>
        <w:rPr>
          <w:rFonts w:ascii="Times New Roman" w:eastAsia="Times New Roman" w:hAnsi="Times New Roman" w:cs="Times New Roman"/>
        </w:rPr>
      </w:pPr>
      <w:r w:rsidRPr="00F40250">
        <w:rPr>
          <w:rFonts w:ascii="Times New Roman" w:eastAsia="Times New Roman" w:hAnsi="Times New Roman" w:cs="Times New Roman"/>
        </w:rPr>
        <w:t>tantárgyfelelős sk.</w:t>
      </w:r>
    </w:p>
    <w:p w:rsidR="00E65CE8" w:rsidRPr="00F40250" w:rsidRDefault="00E65CE8" w:rsidP="00E65CE8">
      <w:pPr>
        <w:rPr>
          <w:rFonts w:ascii="Times New Roman" w:eastAsia="Times New Roman" w:hAnsi="Times New Roman" w:cs="Times New Roman"/>
        </w:rPr>
      </w:pPr>
      <w:r w:rsidRPr="00F40250">
        <w:rPr>
          <w:rFonts w:ascii="Times New Roman" w:eastAsia="Times New Roman" w:hAnsi="Times New Roman" w:cs="Times New Roman"/>
        </w:rPr>
        <w:br w:type="page"/>
      </w:r>
    </w:p>
    <w:tbl>
      <w:tblPr>
        <w:tblW w:w="11669" w:type="dxa"/>
        <w:tblInd w:w="113" w:type="dxa"/>
        <w:tblLook w:val="01E0" w:firstRow="1" w:lastRow="1" w:firstColumn="1" w:lastColumn="1" w:noHBand="0" w:noVBand="0"/>
      </w:tblPr>
      <w:tblGrid>
        <w:gridCol w:w="5382"/>
        <w:gridCol w:w="1093"/>
        <w:gridCol w:w="2597"/>
        <w:gridCol w:w="2597"/>
      </w:tblGrid>
      <w:tr w:rsidR="00E65CE8" w:rsidRPr="00F40250" w:rsidTr="00E65CE8">
        <w:tc>
          <w:tcPr>
            <w:tcW w:w="5382" w:type="dxa"/>
            <w:tcBorders>
              <w:bottom w:val="single" w:sz="4" w:space="0" w:color="auto"/>
            </w:tcBorders>
          </w:tcPr>
          <w:p w:rsidR="00E65CE8" w:rsidRPr="00F40250" w:rsidRDefault="00E65CE8" w:rsidP="00E65CE8">
            <w:pPr>
              <w:spacing w:after="0" w:line="240" w:lineRule="auto"/>
              <w:jc w:val="center"/>
              <w:rPr>
                <w:rFonts w:ascii="Times New Roman" w:eastAsia="Times New Roman" w:hAnsi="Times New Roman" w:cs="Times New Roman"/>
                <w:b/>
                <w:smallCaps/>
                <w:lang w:eastAsia="hu-HU"/>
              </w:rPr>
            </w:pPr>
            <w:r w:rsidRPr="00F40250">
              <w:rPr>
                <w:rFonts w:ascii="Times New Roman" w:eastAsia="Times New Roman" w:hAnsi="Times New Roman" w:cs="Times New Roman"/>
                <w:b/>
                <w:smallCaps/>
                <w:lang w:eastAsia="hu-HU"/>
              </w:rPr>
              <w:lastRenderedPageBreak/>
              <w:t>Nemzeti Közszolgálati Egyetem</w:t>
            </w:r>
          </w:p>
        </w:tc>
        <w:tc>
          <w:tcPr>
            <w:tcW w:w="1093" w:type="dxa"/>
          </w:tcPr>
          <w:p w:rsidR="00E65CE8" w:rsidRPr="00F40250" w:rsidRDefault="00E65CE8" w:rsidP="00E65CE8">
            <w:pPr>
              <w:spacing w:after="0" w:line="240" w:lineRule="auto"/>
              <w:jc w:val="both"/>
              <w:rPr>
                <w:rFonts w:ascii="Times New Roman" w:eastAsia="Times New Roman" w:hAnsi="Times New Roman" w:cs="Times New Roman"/>
                <w:lang w:eastAsia="hu-HU"/>
              </w:rPr>
            </w:pPr>
          </w:p>
        </w:tc>
        <w:tc>
          <w:tcPr>
            <w:tcW w:w="2597" w:type="dxa"/>
          </w:tcPr>
          <w:p w:rsidR="00E65CE8" w:rsidRPr="00F40250" w:rsidRDefault="00E65CE8" w:rsidP="00E65CE8">
            <w:pPr>
              <w:spacing w:after="0" w:line="240" w:lineRule="auto"/>
              <w:jc w:val="right"/>
              <w:rPr>
                <w:rFonts w:ascii="Times New Roman" w:eastAsia="Times New Roman" w:hAnsi="Times New Roman" w:cs="Times New Roman"/>
                <w:lang w:eastAsia="hu-HU"/>
              </w:rPr>
            </w:pPr>
            <w:r w:rsidRPr="00F40250">
              <w:rPr>
                <w:rFonts w:ascii="Times New Roman" w:eastAsia="Times New Roman" w:hAnsi="Times New Roman" w:cs="Times New Roman"/>
                <w:lang w:eastAsia="hu-HU"/>
              </w:rPr>
              <w:t xml:space="preserve"> </w:t>
            </w:r>
          </w:p>
        </w:tc>
        <w:tc>
          <w:tcPr>
            <w:tcW w:w="2597" w:type="dxa"/>
          </w:tcPr>
          <w:p w:rsidR="00E65CE8" w:rsidRPr="00F40250" w:rsidRDefault="00E65CE8" w:rsidP="00E65CE8">
            <w:pPr>
              <w:spacing w:after="0" w:line="240" w:lineRule="auto"/>
              <w:jc w:val="right"/>
              <w:rPr>
                <w:rFonts w:ascii="Times New Roman" w:eastAsia="Times New Roman" w:hAnsi="Times New Roman" w:cs="Times New Roman"/>
                <w:lang w:eastAsia="hu-HU"/>
              </w:rPr>
            </w:pPr>
          </w:p>
        </w:tc>
      </w:tr>
      <w:tr w:rsidR="00E65CE8" w:rsidRPr="00F40250" w:rsidTr="00E65CE8">
        <w:tc>
          <w:tcPr>
            <w:tcW w:w="5382" w:type="dxa"/>
            <w:tcBorders>
              <w:top w:val="single" w:sz="4" w:space="0" w:color="auto"/>
            </w:tcBorders>
          </w:tcPr>
          <w:p w:rsidR="00E65CE8" w:rsidRPr="00F40250" w:rsidRDefault="00E65CE8" w:rsidP="00E65CE8">
            <w:pPr>
              <w:spacing w:after="0" w:line="240" w:lineRule="auto"/>
              <w:jc w:val="center"/>
              <w:rPr>
                <w:rFonts w:ascii="Times New Roman" w:eastAsia="Times New Roman" w:hAnsi="Times New Roman" w:cs="Times New Roman"/>
                <w:b/>
                <w:lang w:eastAsia="hu-HU"/>
              </w:rPr>
            </w:pPr>
            <w:r w:rsidRPr="00F40250">
              <w:rPr>
                <w:rFonts w:ascii="Times New Roman" w:eastAsia="Times New Roman" w:hAnsi="Times New Roman" w:cs="Times New Roman"/>
                <w:b/>
                <w:lang w:eastAsia="hu-HU"/>
              </w:rPr>
              <w:t>Hadtudományi és Honvédtisztképző Kar</w:t>
            </w:r>
          </w:p>
        </w:tc>
        <w:tc>
          <w:tcPr>
            <w:tcW w:w="1093" w:type="dxa"/>
          </w:tcPr>
          <w:p w:rsidR="00E65CE8" w:rsidRPr="00F40250" w:rsidRDefault="00E65CE8" w:rsidP="00E65CE8">
            <w:pPr>
              <w:spacing w:after="0" w:line="240" w:lineRule="auto"/>
              <w:jc w:val="both"/>
              <w:rPr>
                <w:rFonts w:ascii="Times New Roman" w:eastAsia="Times New Roman" w:hAnsi="Times New Roman" w:cs="Times New Roman"/>
                <w:lang w:eastAsia="hu-HU"/>
              </w:rPr>
            </w:pPr>
          </w:p>
        </w:tc>
        <w:tc>
          <w:tcPr>
            <w:tcW w:w="2597" w:type="dxa"/>
          </w:tcPr>
          <w:p w:rsidR="00E65CE8" w:rsidRPr="00F40250" w:rsidRDefault="00E65CE8" w:rsidP="00E65CE8">
            <w:pPr>
              <w:spacing w:after="0" w:line="240" w:lineRule="auto"/>
              <w:jc w:val="both"/>
              <w:rPr>
                <w:rFonts w:ascii="Times New Roman" w:eastAsia="Times New Roman" w:hAnsi="Times New Roman" w:cs="Times New Roman"/>
                <w:lang w:eastAsia="hu-HU"/>
              </w:rPr>
            </w:pPr>
          </w:p>
        </w:tc>
        <w:tc>
          <w:tcPr>
            <w:tcW w:w="2597" w:type="dxa"/>
          </w:tcPr>
          <w:p w:rsidR="00E65CE8" w:rsidRPr="00F40250" w:rsidRDefault="00E65CE8" w:rsidP="00E65CE8">
            <w:pPr>
              <w:spacing w:after="0" w:line="240" w:lineRule="auto"/>
              <w:jc w:val="both"/>
              <w:rPr>
                <w:rFonts w:ascii="Times New Roman" w:eastAsia="Times New Roman" w:hAnsi="Times New Roman" w:cs="Times New Roman"/>
                <w:lang w:eastAsia="hu-HU"/>
              </w:rPr>
            </w:pPr>
          </w:p>
        </w:tc>
      </w:tr>
    </w:tbl>
    <w:p w:rsidR="00E65CE8" w:rsidRPr="00F40250" w:rsidRDefault="00E65CE8" w:rsidP="00E65CE8">
      <w:pPr>
        <w:spacing w:before="120" w:after="0" w:line="240" w:lineRule="auto"/>
        <w:rPr>
          <w:rFonts w:ascii="Times New Roman" w:eastAsia="Times New Roman" w:hAnsi="Times New Roman" w:cs="Times New Roman"/>
          <w:b/>
          <w:bCs/>
          <w:lang w:eastAsia="hu-HU"/>
        </w:rPr>
      </w:pPr>
    </w:p>
    <w:p w:rsidR="00E65CE8" w:rsidRPr="00F40250" w:rsidRDefault="00E65CE8" w:rsidP="00E65CE8">
      <w:pPr>
        <w:spacing w:before="120" w:after="0" w:line="240" w:lineRule="auto"/>
        <w:jc w:val="center"/>
        <w:rPr>
          <w:rFonts w:ascii="Times New Roman" w:eastAsia="Times New Roman" w:hAnsi="Times New Roman" w:cs="Times New Roman"/>
          <w:b/>
          <w:bCs/>
          <w:lang w:eastAsia="hu-HU"/>
        </w:rPr>
      </w:pPr>
      <w:r w:rsidRPr="00F40250">
        <w:rPr>
          <w:rFonts w:ascii="Times New Roman" w:eastAsia="Times New Roman" w:hAnsi="Times New Roman" w:cs="Times New Roman"/>
          <w:b/>
          <w:bCs/>
          <w:lang w:eastAsia="hu-HU"/>
        </w:rPr>
        <w:t>TANTÁRGYI PROGRAM</w:t>
      </w:r>
    </w:p>
    <w:p w:rsidR="00E65CE8" w:rsidRPr="00F40250" w:rsidRDefault="00E65CE8" w:rsidP="00980876">
      <w:pPr>
        <w:numPr>
          <w:ilvl w:val="0"/>
          <w:numId w:val="588"/>
        </w:numPr>
        <w:tabs>
          <w:tab w:val="right" w:pos="900"/>
        </w:tabs>
        <w:spacing w:before="120" w:after="0" w:line="240" w:lineRule="auto"/>
        <w:jc w:val="both"/>
        <w:rPr>
          <w:rFonts w:ascii="Times New Roman" w:eastAsia="Times New Roman" w:hAnsi="Times New Roman" w:cs="Times New Roman"/>
          <w:bCs/>
          <w:lang w:eastAsia="hu-HU"/>
        </w:rPr>
      </w:pPr>
      <w:r w:rsidRPr="00F40250">
        <w:rPr>
          <w:rFonts w:ascii="Times New Roman" w:eastAsia="Times New Roman" w:hAnsi="Times New Roman" w:cs="Times New Roman"/>
          <w:b/>
          <w:bCs/>
          <w:lang w:eastAsia="hu-HU"/>
        </w:rPr>
        <w:t xml:space="preserve">A tantárgy kódja: </w:t>
      </w:r>
      <w:r w:rsidRPr="00F40250">
        <w:rPr>
          <w:rFonts w:ascii="Times New Roman" w:eastAsia="Times New Roman" w:hAnsi="Times New Roman" w:cs="Times New Roman"/>
          <w:bCs/>
          <w:lang w:eastAsia="hu-HU"/>
        </w:rPr>
        <w:t>HKISZLA102</w:t>
      </w:r>
    </w:p>
    <w:p w:rsidR="00E65CE8" w:rsidRPr="00F40250" w:rsidRDefault="00E65CE8" w:rsidP="00980876">
      <w:pPr>
        <w:numPr>
          <w:ilvl w:val="0"/>
          <w:numId w:val="588"/>
        </w:numPr>
        <w:tabs>
          <w:tab w:val="right" w:pos="900"/>
        </w:tabs>
        <w:spacing w:before="120" w:after="0" w:line="240" w:lineRule="auto"/>
        <w:jc w:val="both"/>
        <w:rPr>
          <w:rFonts w:ascii="Times New Roman" w:eastAsia="Times New Roman" w:hAnsi="Times New Roman" w:cs="Times New Roman"/>
          <w:bCs/>
          <w:lang w:eastAsia="hu-HU"/>
        </w:rPr>
      </w:pPr>
      <w:r w:rsidRPr="00F40250">
        <w:rPr>
          <w:rFonts w:ascii="Times New Roman" w:eastAsia="Times New Roman" w:hAnsi="Times New Roman" w:cs="Times New Roman"/>
          <w:b/>
          <w:bCs/>
          <w:lang w:eastAsia="hu-HU"/>
        </w:rPr>
        <w:t>A tantárgy megnevezése (magyarul):</w:t>
      </w:r>
      <w:r w:rsidRPr="00F40250">
        <w:rPr>
          <w:rFonts w:ascii="Times New Roman" w:eastAsia="Times New Roman" w:hAnsi="Times New Roman" w:cs="Times New Roman"/>
          <w:bCs/>
          <w:lang w:eastAsia="hu-HU"/>
        </w:rPr>
        <w:t xml:space="preserve"> Szakmai Angol 2 (Katonai)</w:t>
      </w:r>
    </w:p>
    <w:p w:rsidR="00E65CE8" w:rsidRPr="00F40250" w:rsidRDefault="00E65CE8" w:rsidP="00980876">
      <w:pPr>
        <w:numPr>
          <w:ilvl w:val="0"/>
          <w:numId w:val="588"/>
        </w:numPr>
        <w:tabs>
          <w:tab w:val="right" w:pos="900"/>
        </w:tabs>
        <w:spacing w:before="120" w:after="0" w:line="240" w:lineRule="auto"/>
        <w:ind w:left="357" w:hanging="357"/>
        <w:jc w:val="both"/>
        <w:rPr>
          <w:rFonts w:ascii="Times New Roman" w:eastAsia="Times New Roman" w:hAnsi="Times New Roman" w:cs="Times New Roman"/>
          <w:bCs/>
          <w:lang w:eastAsia="hu-HU"/>
        </w:rPr>
      </w:pPr>
      <w:r w:rsidRPr="00F40250">
        <w:rPr>
          <w:rFonts w:ascii="Times New Roman" w:eastAsia="Times New Roman" w:hAnsi="Times New Roman" w:cs="Times New Roman"/>
          <w:b/>
          <w:bCs/>
          <w:lang w:eastAsia="hu-HU"/>
        </w:rPr>
        <w:t>A tantárgy megnevezése (angolul):</w:t>
      </w:r>
      <w:r w:rsidRPr="00F40250">
        <w:rPr>
          <w:rFonts w:ascii="Times New Roman" w:eastAsia="Times New Roman" w:hAnsi="Times New Roman" w:cs="Times New Roman"/>
          <w:bCs/>
          <w:lang w:eastAsia="hu-HU"/>
        </w:rPr>
        <w:t xml:space="preserve"> </w:t>
      </w:r>
      <w:r w:rsidRPr="00F40250">
        <w:rPr>
          <w:rFonts w:ascii="Times New Roman" w:eastAsia="Times New Roman" w:hAnsi="Times New Roman" w:cs="Times New Roman"/>
        </w:rPr>
        <w:t>Specialized English 2 (Military)</w:t>
      </w:r>
    </w:p>
    <w:p w:rsidR="00E65CE8" w:rsidRPr="00F40250" w:rsidRDefault="00E65CE8" w:rsidP="00980876">
      <w:pPr>
        <w:numPr>
          <w:ilvl w:val="0"/>
          <w:numId w:val="588"/>
        </w:numPr>
        <w:tabs>
          <w:tab w:val="right" w:pos="900"/>
        </w:tabs>
        <w:spacing w:before="120" w:after="0" w:line="240" w:lineRule="auto"/>
        <w:ind w:left="357" w:hanging="357"/>
        <w:jc w:val="both"/>
        <w:rPr>
          <w:rFonts w:ascii="Times New Roman" w:eastAsia="Times New Roman" w:hAnsi="Times New Roman" w:cs="Times New Roman"/>
          <w:bCs/>
          <w:lang w:eastAsia="hu-HU"/>
        </w:rPr>
      </w:pPr>
      <w:r w:rsidRPr="00F40250">
        <w:rPr>
          <w:rFonts w:ascii="Times New Roman" w:eastAsia="Times New Roman" w:hAnsi="Times New Roman" w:cs="Times New Roman"/>
          <w:b/>
          <w:bCs/>
          <w:lang w:eastAsia="hu-HU"/>
        </w:rPr>
        <w:t>Kreditérték és képzési karekter:</w:t>
      </w:r>
    </w:p>
    <w:p w:rsidR="00E65CE8" w:rsidRPr="00F40250" w:rsidRDefault="00E65CE8" w:rsidP="00980876">
      <w:pPr>
        <w:numPr>
          <w:ilvl w:val="1"/>
          <w:numId w:val="588"/>
        </w:numPr>
        <w:tabs>
          <w:tab w:val="right" w:pos="900"/>
        </w:tabs>
        <w:spacing w:before="120" w:after="0" w:line="240" w:lineRule="auto"/>
        <w:jc w:val="both"/>
        <w:rPr>
          <w:rFonts w:ascii="Times New Roman" w:eastAsia="Times New Roman" w:hAnsi="Times New Roman" w:cs="Times New Roman"/>
          <w:bCs/>
          <w:lang w:eastAsia="hu-HU"/>
        </w:rPr>
      </w:pPr>
      <w:r w:rsidRPr="00F40250">
        <w:rPr>
          <w:rFonts w:ascii="Times New Roman" w:eastAsia="Times New Roman" w:hAnsi="Times New Roman" w:cs="Times New Roman"/>
          <w:bCs/>
          <w:lang w:eastAsia="hu-HU"/>
        </w:rPr>
        <w:t>0 kredit</w:t>
      </w:r>
    </w:p>
    <w:p w:rsidR="00E65CE8" w:rsidRPr="00F40250" w:rsidRDefault="00E65CE8" w:rsidP="00980876">
      <w:pPr>
        <w:numPr>
          <w:ilvl w:val="1"/>
          <w:numId w:val="588"/>
        </w:numPr>
        <w:tabs>
          <w:tab w:val="right" w:pos="900"/>
        </w:tabs>
        <w:spacing w:before="120" w:after="0" w:line="240" w:lineRule="auto"/>
        <w:jc w:val="both"/>
        <w:rPr>
          <w:rFonts w:ascii="Times New Roman" w:eastAsia="Times New Roman" w:hAnsi="Times New Roman" w:cs="Times New Roman"/>
          <w:bCs/>
          <w:lang w:eastAsia="hu-HU"/>
        </w:rPr>
      </w:pPr>
      <w:r w:rsidRPr="00F40250">
        <w:rPr>
          <w:rFonts w:ascii="Times New Roman" w:eastAsia="Times New Roman" w:hAnsi="Times New Roman" w:cs="Times New Roman"/>
          <w:bCs/>
          <w:lang w:eastAsia="hu-HU"/>
        </w:rPr>
        <w:t xml:space="preserve">a tantárgy elméleti vagy gyakorlati jellegének mértéke: </w:t>
      </w:r>
      <w:r w:rsidR="006735CC">
        <w:rPr>
          <w:rFonts w:ascii="Times New Roman" w:eastAsia="Times New Roman" w:hAnsi="Times New Roman" w:cs="Times New Roman"/>
          <w:bCs/>
          <w:lang w:eastAsia="hu-HU"/>
        </w:rPr>
        <w:t>5</w:t>
      </w:r>
      <w:r w:rsidRPr="00F40250">
        <w:rPr>
          <w:rFonts w:ascii="Times New Roman" w:eastAsia="Times New Roman" w:hAnsi="Times New Roman" w:cs="Times New Roman"/>
          <w:bCs/>
          <w:lang w:eastAsia="hu-HU"/>
        </w:rPr>
        <w:t xml:space="preserve">0% gyakorlat, </w:t>
      </w:r>
      <w:r w:rsidR="006735CC">
        <w:rPr>
          <w:rFonts w:ascii="Times New Roman" w:eastAsia="Times New Roman" w:hAnsi="Times New Roman" w:cs="Times New Roman"/>
          <w:bCs/>
          <w:lang w:eastAsia="hu-HU"/>
        </w:rPr>
        <w:t>5</w:t>
      </w:r>
      <w:r w:rsidRPr="00F40250">
        <w:rPr>
          <w:rFonts w:ascii="Times New Roman" w:eastAsia="Times New Roman" w:hAnsi="Times New Roman" w:cs="Times New Roman"/>
          <w:bCs/>
          <w:lang w:eastAsia="hu-HU"/>
        </w:rPr>
        <w:t>0% elmélet</w:t>
      </w:r>
    </w:p>
    <w:p w:rsidR="00E65CE8" w:rsidRPr="00F40250" w:rsidRDefault="00E65CE8" w:rsidP="00980876">
      <w:pPr>
        <w:numPr>
          <w:ilvl w:val="0"/>
          <w:numId w:val="588"/>
        </w:numPr>
        <w:tabs>
          <w:tab w:val="right" w:pos="900"/>
        </w:tabs>
        <w:spacing w:before="120" w:after="0" w:line="240" w:lineRule="auto"/>
        <w:ind w:left="357" w:hanging="357"/>
        <w:jc w:val="both"/>
        <w:rPr>
          <w:rFonts w:ascii="Times New Roman" w:eastAsia="Times New Roman" w:hAnsi="Times New Roman" w:cs="Times New Roman"/>
          <w:bCs/>
          <w:lang w:eastAsia="hu-HU"/>
        </w:rPr>
      </w:pPr>
      <w:r w:rsidRPr="00F40250">
        <w:rPr>
          <w:rFonts w:ascii="Times New Roman" w:eastAsia="Times New Roman" w:hAnsi="Times New Roman" w:cs="Times New Roman"/>
          <w:b/>
          <w:bCs/>
          <w:lang w:eastAsia="hu-HU"/>
        </w:rPr>
        <w:t>A szak(ok), szakirányok megnevezése (ahol oktatják):</w:t>
      </w:r>
      <w:r w:rsidRPr="00F40250">
        <w:rPr>
          <w:rFonts w:ascii="Times New Roman" w:eastAsia="Times New Roman" w:hAnsi="Times New Roman" w:cs="Times New Roman"/>
          <w:bCs/>
          <w:lang w:eastAsia="hu-HU"/>
        </w:rPr>
        <w:t xml:space="preserve"> A Nemzeti Közszolgálati Egyetem Hadtudományi és Honvédtisztképző Karának minden alapképzési szakán nappali munkarendben</w:t>
      </w:r>
    </w:p>
    <w:p w:rsidR="00E65CE8" w:rsidRPr="00F40250" w:rsidRDefault="00E65CE8" w:rsidP="00980876">
      <w:pPr>
        <w:numPr>
          <w:ilvl w:val="0"/>
          <w:numId w:val="588"/>
        </w:numPr>
        <w:spacing w:before="120" w:after="200" w:line="240" w:lineRule="auto"/>
        <w:ind w:left="357" w:hanging="357"/>
        <w:contextualSpacing/>
        <w:jc w:val="both"/>
        <w:rPr>
          <w:rFonts w:ascii="Times New Roman" w:eastAsia="Times New Roman" w:hAnsi="Times New Roman" w:cs="Times New Roman"/>
          <w:b/>
          <w:bCs/>
          <w:lang w:eastAsia="hu-HU"/>
        </w:rPr>
      </w:pPr>
      <w:r w:rsidRPr="00F40250">
        <w:rPr>
          <w:rFonts w:ascii="Times New Roman" w:eastAsia="Times New Roman" w:hAnsi="Times New Roman" w:cs="Times New Roman"/>
          <w:b/>
          <w:bCs/>
        </w:rPr>
        <w:t xml:space="preserve">Az oktatásért felelős oktatási szervezeti egység megnevezése: </w:t>
      </w:r>
      <w:r w:rsidRPr="00F40250">
        <w:rPr>
          <w:rFonts w:ascii="Times New Roman" w:eastAsia="Times New Roman" w:hAnsi="Times New Roman" w:cs="Times New Roman"/>
          <w:bCs/>
          <w:lang w:eastAsia="hu-HU"/>
        </w:rPr>
        <w:t>Hadtudományi és Honvédtisztképző Kar, Idegennyelvi és Szaknyelvi Lektorátus</w:t>
      </w:r>
    </w:p>
    <w:p w:rsidR="00E65CE8" w:rsidRPr="00F40250" w:rsidRDefault="00E65CE8" w:rsidP="00980876">
      <w:pPr>
        <w:numPr>
          <w:ilvl w:val="0"/>
          <w:numId w:val="588"/>
        </w:numPr>
        <w:tabs>
          <w:tab w:val="right" w:pos="900"/>
        </w:tabs>
        <w:spacing w:before="120" w:after="0" w:line="240" w:lineRule="auto"/>
        <w:ind w:left="357" w:hanging="357"/>
        <w:jc w:val="both"/>
        <w:rPr>
          <w:rFonts w:ascii="Times New Roman" w:eastAsia="Times New Roman" w:hAnsi="Times New Roman" w:cs="Times New Roman"/>
          <w:bCs/>
          <w:lang w:eastAsia="hu-HU"/>
        </w:rPr>
      </w:pPr>
      <w:r w:rsidRPr="00F40250">
        <w:rPr>
          <w:rFonts w:ascii="Times New Roman" w:eastAsia="Times New Roman" w:hAnsi="Times New Roman" w:cs="Times New Roman"/>
          <w:b/>
          <w:bCs/>
          <w:lang w:eastAsia="hu-HU"/>
        </w:rPr>
        <w:t xml:space="preserve">A tantárgyfelelős oktató neve, beosztása, tudományos fokozata: </w:t>
      </w:r>
      <w:r w:rsidRPr="00F40250">
        <w:rPr>
          <w:rFonts w:ascii="Times New Roman" w:eastAsia="Times New Roman" w:hAnsi="Times New Roman" w:cs="Times New Roman"/>
          <w:bCs/>
          <w:lang w:eastAsia="hu-HU"/>
        </w:rPr>
        <w:t>Dr. Kiss Gabriella lektorátusvezető</w:t>
      </w:r>
    </w:p>
    <w:p w:rsidR="00E65CE8" w:rsidRPr="00F40250" w:rsidRDefault="00E65CE8" w:rsidP="00980876">
      <w:pPr>
        <w:numPr>
          <w:ilvl w:val="0"/>
          <w:numId w:val="588"/>
        </w:numPr>
        <w:tabs>
          <w:tab w:val="right" w:pos="900"/>
        </w:tabs>
        <w:spacing w:before="120" w:after="0" w:line="240" w:lineRule="auto"/>
        <w:jc w:val="both"/>
        <w:rPr>
          <w:rFonts w:ascii="Times New Roman" w:eastAsia="Times New Roman" w:hAnsi="Times New Roman" w:cs="Times New Roman"/>
          <w:bCs/>
          <w:lang w:eastAsia="hu-HU"/>
        </w:rPr>
      </w:pPr>
      <w:r w:rsidRPr="00F40250">
        <w:rPr>
          <w:rFonts w:ascii="Times New Roman" w:eastAsia="Times New Roman" w:hAnsi="Times New Roman" w:cs="Times New Roman"/>
          <w:b/>
          <w:bCs/>
          <w:lang w:eastAsia="hu-HU"/>
        </w:rPr>
        <w:t xml:space="preserve">A tanórákszáma és típusa </w:t>
      </w:r>
      <w:r w:rsidRPr="00F40250">
        <w:rPr>
          <w:rFonts w:ascii="Times New Roman" w:eastAsia="Times New Roman" w:hAnsi="Times New Roman" w:cs="Times New Roman"/>
          <w:b/>
          <w:bCs/>
          <w:i/>
          <w:lang w:eastAsia="hu-HU"/>
        </w:rPr>
        <w:t>(előadás+szeminárium+gyakorlat):</w:t>
      </w:r>
    </w:p>
    <w:p w:rsidR="00E65CE8" w:rsidRPr="00F40250" w:rsidRDefault="00E65CE8" w:rsidP="00980876">
      <w:pPr>
        <w:numPr>
          <w:ilvl w:val="1"/>
          <w:numId w:val="588"/>
        </w:numPr>
        <w:tabs>
          <w:tab w:val="right" w:pos="900"/>
        </w:tabs>
        <w:spacing w:before="120" w:after="0" w:line="240" w:lineRule="auto"/>
        <w:jc w:val="both"/>
        <w:rPr>
          <w:rFonts w:ascii="Times New Roman" w:eastAsia="Times New Roman" w:hAnsi="Times New Roman" w:cs="Times New Roman"/>
          <w:bCs/>
          <w:lang w:eastAsia="hu-HU"/>
        </w:rPr>
      </w:pPr>
      <w:r w:rsidRPr="00F40250">
        <w:rPr>
          <w:rFonts w:ascii="Times New Roman" w:eastAsia="Times New Roman" w:hAnsi="Times New Roman" w:cs="Times New Roman"/>
          <w:bCs/>
          <w:lang w:eastAsia="hu-HU"/>
        </w:rPr>
        <w:t>összóraszám: 56</w:t>
      </w:r>
    </w:p>
    <w:p w:rsidR="006735CC" w:rsidRPr="000B4D34" w:rsidRDefault="006735CC" w:rsidP="00980876">
      <w:pPr>
        <w:numPr>
          <w:ilvl w:val="2"/>
          <w:numId w:val="588"/>
        </w:numPr>
        <w:tabs>
          <w:tab w:val="right" w:pos="900"/>
        </w:tabs>
        <w:spacing w:before="120" w:after="0" w:line="240" w:lineRule="auto"/>
        <w:jc w:val="both"/>
        <w:rPr>
          <w:rFonts w:ascii="Times New Roman" w:eastAsia="Times New Roman" w:hAnsi="Times New Roman" w:cs="Times New Roman"/>
          <w:bCs/>
          <w:lang w:eastAsia="hu-HU"/>
        </w:rPr>
      </w:pPr>
      <w:r w:rsidRPr="000B4D34">
        <w:rPr>
          <w:rFonts w:ascii="Times New Roman" w:eastAsia="Times New Roman" w:hAnsi="Times New Roman" w:cs="Times New Roman"/>
          <w:bCs/>
          <w:lang w:eastAsia="hu-HU"/>
        </w:rPr>
        <w:t>Nappali munkarend: 56</w:t>
      </w:r>
      <w:r>
        <w:rPr>
          <w:rFonts w:ascii="Times New Roman" w:eastAsia="Times New Roman" w:hAnsi="Times New Roman" w:cs="Times New Roman"/>
          <w:bCs/>
          <w:lang w:eastAsia="hu-HU"/>
        </w:rPr>
        <w:t xml:space="preserve"> óra/félév (28</w:t>
      </w:r>
      <w:r w:rsidRPr="000B4D34">
        <w:rPr>
          <w:rFonts w:ascii="Times New Roman" w:eastAsia="Times New Roman" w:hAnsi="Times New Roman" w:cs="Times New Roman"/>
          <w:bCs/>
          <w:lang w:eastAsia="hu-HU"/>
        </w:rPr>
        <w:t xml:space="preserve"> EA + 0 SZ + </w:t>
      </w:r>
      <w:r>
        <w:rPr>
          <w:rFonts w:ascii="Times New Roman" w:eastAsia="Times New Roman" w:hAnsi="Times New Roman" w:cs="Times New Roman"/>
          <w:bCs/>
          <w:lang w:eastAsia="hu-HU"/>
        </w:rPr>
        <w:t>28</w:t>
      </w:r>
      <w:r w:rsidRPr="000B4D34">
        <w:rPr>
          <w:rFonts w:ascii="Times New Roman" w:eastAsia="Times New Roman" w:hAnsi="Times New Roman" w:cs="Times New Roman"/>
          <w:bCs/>
          <w:lang w:eastAsia="hu-HU"/>
        </w:rPr>
        <w:t xml:space="preserve"> GY)</w:t>
      </w:r>
    </w:p>
    <w:p w:rsidR="00E65CE8" w:rsidRPr="00F40250" w:rsidRDefault="00E65CE8" w:rsidP="00980876">
      <w:pPr>
        <w:numPr>
          <w:ilvl w:val="2"/>
          <w:numId w:val="588"/>
        </w:numPr>
        <w:tabs>
          <w:tab w:val="right" w:pos="900"/>
        </w:tabs>
        <w:spacing w:before="120" w:after="0" w:line="240" w:lineRule="auto"/>
        <w:jc w:val="both"/>
        <w:rPr>
          <w:rFonts w:ascii="Times New Roman" w:eastAsia="Times New Roman" w:hAnsi="Times New Roman" w:cs="Times New Roman"/>
          <w:bCs/>
          <w:lang w:eastAsia="hu-HU"/>
        </w:rPr>
      </w:pPr>
      <w:r w:rsidRPr="00F40250">
        <w:rPr>
          <w:rFonts w:ascii="Times New Roman" w:eastAsia="Times New Roman" w:hAnsi="Times New Roman" w:cs="Times New Roman"/>
          <w:bCs/>
          <w:lang w:eastAsia="hu-HU"/>
        </w:rPr>
        <w:t>Levelező munkarend: -</w:t>
      </w:r>
    </w:p>
    <w:p w:rsidR="00E65CE8" w:rsidRPr="00F40250" w:rsidRDefault="00E65CE8" w:rsidP="00980876">
      <w:pPr>
        <w:numPr>
          <w:ilvl w:val="1"/>
          <w:numId w:val="588"/>
        </w:numPr>
        <w:tabs>
          <w:tab w:val="right" w:pos="900"/>
        </w:tabs>
        <w:spacing w:before="120" w:after="0" w:line="240" w:lineRule="auto"/>
        <w:jc w:val="both"/>
        <w:rPr>
          <w:rFonts w:ascii="Times New Roman" w:eastAsia="Times New Roman" w:hAnsi="Times New Roman" w:cs="Times New Roman"/>
          <w:bCs/>
          <w:lang w:eastAsia="hu-HU"/>
        </w:rPr>
      </w:pPr>
      <w:r w:rsidRPr="00F40250">
        <w:rPr>
          <w:rFonts w:ascii="Times New Roman" w:eastAsia="Times New Roman" w:hAnsi="Times New Roman" w:cs="Times New Roman"/>
          <w:bCs/>
          <w:lang w:eastAsia="hu-HU"/>
        </w:rPr>
        <w:t>heti óraszám - nappali munkarend: 4</w:t>
      </w:r>
      <w:r w:rsidR="006735CC">
        <w:rPr>
          <w:rFonts w:ascii="Times New Roman" w:eastAsia="Times New Roman" w:hAnsi="Times New Roman" w:cs="Times New Roman"/>
          <w:bCs/>
          <w:lang w:eastAsia="hu-HU"/>
        </w:rPr>
        <w:t>(2+2)</w:t>
      </w:r>
      <w:r w:rsidRPr="00F40250">
        <w:rPr>
          <w:rFonts w:ascii="Times New Roman" w:eastAsia="Times New Roman" w:hAnsi="Times New Roman" w:cs="Times New Roman"/>
          <w:bCs/>
          <w:lang w:eastAsia="hu-HU"/>
        </w:rPr>
        <w:t xml:space="preserve"> óra/hét</w:t>
      </w:r>
    </w:p>
    <w:p w:rsidR="00E65CE8" w:rsidRPr="00F40250" w:rsidRDefault="00E65CE8" w:rsidP="00980876">
      <w:pPr>
        <w:numPr>
          <w:ilvl w:val="1"/>
          <w:numId w:val="588"/>
        </w:numPr>
        <w:tabs>
          <w:tab w:val="right" w:pos="900"/>
        </w:tabs>
        <w:spacing w:before="120" w:after="0" w:line="240" w:lineRule="auto"/>
        <w:jc w:val="both"/>
        <w:rPr>
          <w:rFonts w:ascii="Times New Roman" w:eastAsia="Times New Roman" w:hAnsi="Times New Roman" w:cs="Times New Roman"/>
          <w:bCs/>
          <w:lang w:eastAsia="hu-HU"/>
        </w:rPr>
      </w:pPr>
      <w:r w:rsidRPr="00F40250">
        <w:rPr>
          <w:rFonts w:ascii="Times New Roman" w:eastAsia="Times New Roman" w:hAnsi="Times New Roman" w:cs="Times New Roman"/>
          <w:bCs/>
          <w:lang w:eastAsia="hu-HU"/>
        </w:rPr>
        <w:t>Az ismeret átadásában alkalmazandó további sajátos módok, jellemzők:</w:t>
      </w:r>
    </w:p>
    <w:p w:rsidR="00E65CE8" w:rsidRPr="00F40250" w:rsidRDefault="00E65CE8" w:rsidP="00980876">
      <w:pPr>
        <w:numPr>
          <w:ilvl w:val="0"/>
          <w:numId w:val="588"/>
        </w:numPr>
        <w:tabs>
          <w:tab w:val="right" w:pos="900"/>
          <w:tab w:val="center" w:pos="4536"/>
          <w:tab w:val="right" w:pos="9072"/>
        </w:tabs>
        <w:spacing w:before="120" w:after="0" w:line="240" w:lineRule="auto"/>
        <w:ind w:left="357" w:hanging="357"/>
        <w:jc w:val="both"/>
        <w:rPr>
          <w:rFonts w:ascii="Times New Roman" w:eastAsia="Times New Roman" w:hAnsi="Times New Roman" w:cs="Times New Roman"/>
          <w:bCs/>
          <w:lang w:eastAsia="hu-HU"/>
        </w:rPr>
      </w:pPr>
      <w:r w:rsidRPr="00F40250">
        <w:rPr>
          <w:rFonts w:ascii="Times New Roman" w:eastAsia="Times New Roman" w:hAnsi="Times New Roman" w:cs="Times New Roman"/>
          <w:b/>
          <w:bCs/>
          <w:lang w:eastAsia="hu-HU"/>
        </w:rPr>
        <w:t xml:space="preserve">A tantárgy szakmai tartalma (magyarul): </w:t>
      </w:r>
      <w:r w:rsidRPr="00F40250">
        <w:rPr>
          <w:rFonts w:ascii="Times New Roman" w:eastAsia="Times New Roman" w:hAnsi="Times New Roman" w:cs="Times New Roman"/>
          <w:bCs/>
          <w:lang w:eastAsia="hu-HU"/>
        </w:rPr>
        <w:t>A szakmai angol nyelv ismereteinek elsajátítása, beszédkészség, beszédértés és íráskészségek fejlesztése.</w:t>
      </w:r>
    </w:p>
    <w:p w:rsidR="00E65CE8" w:rsidRPr="00F40250" w:rsidRDefault="00E65CE8" w:rsidP="00E65CE8">
      <w:pPr>
        <w:spacing w:before="120" w:after="0" w:line="240" w:lineRule="auto"/>
        <w:ind w:left="357"/>
        <w:contextualSpacing/>
        <w:jc w:val="both"/>
        <w:rPr>
          <w:rFonts w:ascii="Times New Roman" w:eastAsia="Times New Roman" w:hAnsi="Times New Roman" w:cs="Times New Roman"/>
          <w:bCs/>
          <w:lang w:eastAsia="hu-HU"/>
        </w:rPr>
      </w:pPr>
      <w:r w:rsidRPr="00F40250">
        <w:rPr>
          <w:rFonts w:ascii="Times New Roman" w:eastAsia="Times New Roman" w:hAnsi="Times New Roman" w:cs="Times New Roman"/>
          <w:b/>
          <w:bCs/>
          <w:lang w:eastAsia="hu-HU"/>
        </w:rPr>
        <w:t>A tantárgy szakmai tartalma (angolul):</w:t>
      </w:r>
      <w:r w:rsidRPr="00F40250">
        <w:rPr>
          <w:rFonts w:ascii="Times New Roman" w:eastAsia="Times New Roman" w:hAnsi="Times New Roman" w:cs="Times New Roman"/>
          <w:bCs/>
          <w:lang w:eastAsia="hu-HU"/>
        </w:rPr>
        <w:t xml:space="preserve"> Acquirement of professional English language, and the enhancement of speaking, listening, and writing skills.</w:t>
      </w:r>
    </w:p>
    <w:p w:rsidR="00E65CE8" w:rsidRPr="00F40250" w:rsidRDefault="00E65CE8" w:rsidP="00980876">
      <w:pPr>
        <w:numPr>
          <w:ilvl w:val="0"/>
          <w:numId w:val="588"/>
        </w:numPr>
        <w:tabs>
          <w:tab w:val="right" w:pos="900"/>
        </w:tabs>
        <w:spacing w:before="120" w:after="0" w:line="240" w:lineRule="auto"/>
        <w:jc w:val="both"/>
        <w:rPr>
          <w:rFonts w:ascii="Times New Roman" w:eastAsia="Times New Roman" w:hAnsi="Times New Roman" w:cs="Times New Roman"/>
          <w:bCs/>
          <w:lang w:eastAsia="hu-HU"/>
        </w:rPr>
      </w:pPr>
      <w:r w:rsidRPr="00F40250">
        <w:rPr>
          <w:rFonts w:ascii="Times New Roman" w:eastAsia="Times New Roman" w:hAnsi="Times New Roman" w:cs="Times New Roman"/>
          <w:b/>
          <w:bCs/>
          <w:lang w:eastAsia="hu-HU"/>
        </w:rPr>
        <w:t>Elérendő kompetenciák (magyarul):</w:t>
      </w:r>
    </w:p>
    <w:p w:rsidR="00E65CE8" w:rsidRPr="00F40250" w:rsidRDefault="00E65CE8" w:rsidP="00E65CE8">
      <w:pPr>
        <w:tabs>
          <w:tab w:val="right" w:pos="900"/>
        </w:tabs>
        <w:spacing w:before="120" w:after="0" w:line="240" w:lineRule="auto"/>
        <w:jc w:val="both"/>
        <w:rPr>
          <w:rFonts w:ascii="Times New Roman" w:eastAsia="Times New Roman" w:hAnsi="Times New Roman" w:cs="Times New Roman"/>
          <w:bCs/>
          <w:lang w:eastAsia="hu-HU"/>
        </w:rPr>
      </w:pPr>
      <w:r w:rsidRPr="00F40250">
        <w:rPr>
          <w:rFonts w:ascii="Times New Roman" w:eastAsia="Times New Roman" w:hAnsi="Times New Roman" w:cs="Times New Roman"/>
          <w:b/>
          <w:bCs/>
          <w:lang w:eastAsia="hu-HU"/>
        </w:rPr>
        <w:t>Tudása:</w:t>
      </w:r>
      <w:r w:rsidRPr="00F40250">
        <w:rPr>
          <w:rFonts w:ascii="Times New Roman" w:eastAsia="Times New Roman" w:hAnsi="Times New Roman" w:cs="Times New Roman"/>
          <w:bCs/>
          <w:lang w:eastAsia="hu-HU"/>
        </w:rPr>
        <w:t xml:space="preserve"> </w:t>
      </w:r>
    </w:p>
    <w:p w:rsidR="00E65CE8" w:rsidRPr="00F40250" w:rsidRDefault="00E65CE8" w:rsidP="00980876">
      <w:pPr>
        <w:numPr>
          <w:ilvl w:val="0"/>
          <w:numId w:val="585"/>
        </w:numPr>
        <w:tabs>
          <w:tab w:val="right" w:pos="900"/>
        </w:tabs>
        <w:spacing w:after="0" w:line="240" w:lineRule="auto"/>
        <w:ind w:left="426"/>
        <w:contextualSpacing/>
        <w:jc w:val="both"/>
        <w:rPr>
          <w:rFonts w:ascii="Times New Roman" w:eastAsia="Times New Roman" w:hAnsi="Times New Roman" w:cs="Times New Roman"/>
          <w:bCs/>
          <w:lang w:eastAsia="hu-HU"/>
        </w:rPr>
      </w:pPr>
      <w:r w:rsidRPr="00F40250">
        <w:rPr>
          <w:rFonts w:ascii="Times New Roman" w:eastAsia="Times New Roman" w:hAnsi="Times New Roman" w:cs="Times New Roman"/>
          <w:bCs/>
          <w:lang w:eastAsia="hu-HU"/>
        </w:rPr>
        <w:t>Ismeri az összfegyvernemi harc megvívásával, a harctámogatással, a harckiszolgáló támogatással, a haderőnemek, a fegyvernemek és szakcsapatok szervezeti felépítésével és harceljárásaival kapcsolatos alapszókincset.</w:t>
      </w:r>
    </w:p>
    <w:p w:rsidR="00E65CE8" w:rsidRPr="00F40250" w:rsidRDefault="00E65CE8" w:rsidP="00980876">
      <w:pPr>
        <w:numPr>
          <w:ilvl w:val="0"/>
          <w:numId w:val="585"/>
        </w:numPr>
        <w:tabs>
          <w:tab w:val="right" w:pos="900"/>
        </w:tabs>
        <w:spacing w:after="0" w:line="240" w:lineRule="auto"/>
        <w:ind w:left="426"/>
        <w:contextualSpacing/>
        <w:jc w:val="both"/>
        <w:rPr>
          <w:rFonts w:ascii="Times New Roman" w:eastAsia="Times New Roman" w:hAnsi="Times New Roman" w:cs="Times New Roman"/>
          <w:bCs/>
          <w:lang w:eastAsia="hu-HU"/>
        </w:rPr>
      </w:pPr>
      <w:r w:rsidRPr="00F40250">
        <w:rPr>
          <w:rFonts w:ascii="Times New Roman" w:eastAsia="Times New Roman" w:hAnsi="Times New Roman" w:cs="Times New Roman"/>
          <w:bCs/>
          <w:lang w:eastAsia="hu-HU"/>
        </w:rPr>
        <w:t>Birtokában van azon nyelvtani ismereteknek, melyek szükségesek az összfegyvernemi harc megvívásával, a harctámogatással, a harckiszolgáló támogatással, a haderőnemek, a fegyvernemek és szakcsapatok szervezeti felépítésével és harceljárásaival kapcsolatos kommunikáció lebonyolításához.</w:t>
      </w:r>
    </w:p>
    <w:p w:rsidR="00E65CE8" w:rsidRPr="00F40250" w:rsidRDefault="00E65CE8" w:rsidP="00980876">
      <w:pPr>
        <w:numPr>
          <w:ilvl w:val="0"/>
          <w:numId w:val="585"/>
        </w:numPr>
        <w:tabs>
          <w:tab w:val="right" w:pos="900"/>
        </w:tabs>
        <w:spacing w:after="0" w:line="240" w:lineRule="auto"/>
        <w:ind w:left="426"/>
        <w:contextualSpacing/>
        <w:jc w:val="both"/>
        <w:rPr>
          <w:rFonts w:ascii="Times New Roman" w:eastAsia="Times New Roman" w:hAnsi="Times New Roman" w:cs="Times New Roman"/>
          <w:bCs/>
          <w:lang w:eastAsia="hu-HU"/>
        </w:rPr>
      </w:pPr>
      <w:r w:rsidRPr="00F40250">
        <w:rPr>
          <w:rFonts w:ascii="Times New Roman" w:eastAsia="Times New Roman" w:hAnsi="Times New Roman" w:cs="Times New Roman"/>
          <w:bCs/>
          <w:lang w:eastAsia="hu-HU"/>
        </w:rPr>
        <w:t>Ismeri a NATO dokumentumok megértéséhez szükséges angol terminológiát</w:t>
      </w:r>
    </w:p>
    <w:p w:rsidR="00E65CE8" w:rsidRPr="00F40250" w:rsidRDefault="00E65CE8" w:rsidP="00980876">
      <w:pPr>
        <w:numPr>
          <w:ilvl w:val="0"/>
          <w:numId w:val="585"/>
        </w:numPr>
        <w:tabs>
          <w:tab w:val="right" w:pos="900"/>
        </w:tabs>
        <w:spacing w:after="0" w:line="240" w:lineRule="auto"/>
        <w:ind w:left="426"/>
        <w:contextualSpacing/>
        <w:jc w:val="both"/>
        <w:rPr>
          <w:rFonts w:ascii="Times New Roman" w:eastAsia="Times New Roman" w:hAnsi="Times New Roman" w:cs="Times New Roman"/>
          <w:bCs/>
          <w:lang w:eastAsia="hu-HU"/>
        </w:rPr>
      </w:pPr>
      <w:r w:rsidRPr="00F40250">
        <w:rPr>
          <w:rFonts w:ascii="Times New Roman" w:eastAsia="Times New Roman" w:hAnsi="Times New Roman" w:cs="Times New Roman"/>
          <w:bCs/>
          <w:lang w:eastAsia="hu-HU"/>
        </w:rPr>
        <w:t>Ismeri a béketámogató műveletek, a Magyar Honvédség békeműveleti feladatai valamint a békefenntartó eljárások leírásához szükséges angol terminológiát</w:t>
      </w:r>
    </w:p>
    <w:p w:rsidR="00E65CE8" w:rsidRPr="00F40250" w:rsidRDefault="00E65CE8" w:rsidP="00E65CE8">
      <w:pPr>
        <w:tabs>
          <w:tab w:val="right" w:pos="900"/>
        </w:tabs>
        <w:spacing w:before="120" w:after="0" w:line="240" w:lineRule="auto"/>
        <w:jc w:val="both"/>
        <w:rPr>
          <w:rFonts w:ascii="Times New Roman" w:eastAsia="Times New Roman" w:hAnsi="Times New Roman" w:cs="Times New Roman"/>
          <w:bCs/>
          <w:lang w:eastAsia="hu-HU"/>
        </w:rPr>
      </w:pPr>
      <w:r w:rsidRPr="00F40250">
        <w:rPr>
          <w:rFonts w:ascii="Times New Roman" w:eastAsia="Times New Roman" w:hAnsi="Times New Roman" w:cs="Times New Roman"/>
          <w:b/>
          <w:bCs/>
          <w:lang w:eastAsia="hu-HU"/>
        </w:rPr>
        <w:t>Képességei:</w:t>
      </w:r>
      <w:r w:rsidRPr="00F40250">
        <w:rPr>
          <w:rFonts w:ascii="Times New Roman" w:eastAsia="Times New Roman" w:hAnsi="Times New Roman" w:cs="Times New Roman"/>
          <w:bCs/>
          <w:lang w:eastAsia="hu-HU"/>
        </w:rPr>
        <w:t xml:space="preserve"> </w:t>
      </w:r>
    </w:p>
    <w:p w:rsidR="00E65CE8" w:rsidRPr="00F40250" w:rsidRDefault="00E65CE8" w:rsidP="00980876">
      <w:pPr>
        <w:numPr>
          <w:ilvl w:val="0"/>
          <w:numId w:val="584"/>
        </w:numPr>
        <w:tabs>
          <w:tab w:val="right" w:pos="900"/>
        </w:tabs>
        <w:spacing w:after="0" w:line="240" w:lineRule="auto"/>
        <w:ind w:left="426"/>
        <w:contextualSpacing/>
        <w:jc w:val="both"/>
        <w:rPr>
          <w:rFonts w:ascii="Times New Roman" w:eastAsia="Times New Roman" w:hAnsi="Times New Roman" w:cs="Times New Roman"/>
          <w:bCs/>
          <w:lang w:eastAsia="hu-HU"/>
        </w:rPr>
      </w:pPr>
      <w:r w:rsidRPr="00F40250">
        <w:rPr>
          <w:rFonts w:ascii="Times New Roman" w:eastAsia="Times New Roman" w:hAnsi="Times New Roman" w:cs="Times New Roman"/>
          <w:bCs/>
          <w:lang w:eastAsia="hu-HU"/>
        </w:rPr>
        <w:t>Képes a szakterületéhez kapcsolódó NATO dokumentumok megértésére.</w:t>
      </w:r>
    </w:p>
    <w:p w:rsidR="00E65CE8" w:rsidRPr="00F40250" w:rsidRDefault="00E65CE8" w:rsidP="00980876">
      <w:pPr>
        <w:numPr>
          <w:ilvl w:val="0"/>
          <w:numId w:val="584"/>
        </w:numPr>
        <w:tabs>
          <w:tab w:val="right" w:pos="900"/>
        </w:tabs>
        <w:spacing w:after="0" w:line="240" w:lineRule="auto"/>
        <w:ind w:left="426"/>
        <w:contextualSpacing/>
        <w:jc w:val="both"/>
        <w:rPr>
          <w:rFonts w:ascii="Times New Roman" w:eastAsia="Times New Roman" w:hAnsi="Times New Roman" w:cs="Times New Roman"/>
          <w:bCs/>
          <w:lang w:eastAsia="hu-HU"/>
        </w:rPr>
      </w:pPr>
      <w:r w:rsidRPr="00F40250">
        <w:rPr>
          <w:rFonts w:ascii="Times New Roman" w:eastAsia="Times New Roman" w:hAnsi="Times New Roman" w:cs="Times New Roman"/>
          <w:bCs/>
          <w:lang w:eastAsia="hu-HU"/>
        </w:rPr>
        <w:t>Képes alkalmazni a szakterületéhez tartozó angol terminológiát</w:t>
      </w:r>
    </w:p>
    <w:p w:rsidR="00E65CE8" w:rsidRPr="00F40250" w:rsidRDefault="00E65CE8" w:rsidP="00980876">
      <w:pPr>
        <w:numPr>
          <w:ilvl w:val="0"/>
          <w:numId w:val="584"/>
        </w:numPr>
        <w:tabs>
          <w:tab w:val="right" w:pos="900"/>
        </w:tabs>
        <w:spacing w:after="0" w:line="240" w:lineRule="auto"/>
        <w:ind w:left="426"/>
        <w:contextualSpacing/>
        <w:jc w:val="both"/>
        <w:rPr>
          <w:rFonts w:ascii="Times New Roman" w:eastAsia="Times New Roman" w:hAnsi="Times New Roman" w:cs="Times New Roman"/>
          <w:bCs/>
          <w:lang w:eastAsia="hu-HU"/>
        </w:rPr>
      </w:pPr>
      <w:r w:rsidRPr="00F40250">
        <w:rPr>
          <w:rFonts w:ascii="Times New Roman" w:eastAsia="Times New Roman" w:hAnsi="Times New Roman" w:cs="Times New Roman"/>
          <w:bCs/>
          <w:lang w:eastAsia="hu-HU"/>
        </w:rPr>
        <w:t>Képes angol nyelven dokumentumokat, nyomtatványokat, jegyzőkönyveket,  feljegyzéseket készíteni, valamint azokat kitölteni.</w:t>
      </w:r>
    </w:p>
    <w:p w:rsidR="00E65CE8" w:rsidRPr="00F40250" w:rsidRDefault="00E65CE8" w:rsidP="00980876">
      <w:pPr>
        <w:numPr>
          <w:ilvl w:val="0"/>
          <w:numId w:val="584"/>
        </w:numPr>
        <w:tabs>
          <w:tab w:val="right" w:pos="900"/>
        </w:tabs>
        <w:spacing w:after="0" w:line="240" w:lineRule="auto"/>
        <w:ind w:left="426"/>
        <w:contextualSpacing/>
        <w:jc w:val="both"/>
        <w:rPr>
          <w:rFonts w:ascii="Times New Roman" w:eastAsia="Times New Roman" w:hAnsi="Times New Roman" w:cs="Times New Roman"/>
          <w:bCs/>
          <w:lang w:eastAsia="hu-HU"/>
        </w:rPr>
      </w:pPr>
      <w:r w:rsidRPr="00F40250">
        <w:rPr>
          <w:rFonts w:ascii="Times New Roman" w:eastAsia="Times New Roman" w:hAnsi="Times New Roman" w:cs="Times New Roman"/>
          <w:bCs/>
          <w:lang w:eastAsia="hu-HU"/>
        </w:rPr>
        <w:t>Képes prezentációkat és eligazításokat tartani angol nyelven.</w:t>
      </w:r>
    </w:p>
    <w:p w:rsidR="00E65CE8" w:rsidRPr="00F40250" w:rsidRDefault="00E65CE8" w:rsidP="00980876">
      <w:pPr>
        <w:numPr>
          <w:ilvl w:val="0"/>
          <w:numId w:val="584"/>
        </w:numPr>
        <w:tabs>
          <w:tab w:val="right" w:pos="900"/>
        </w:tabs>
        <w:spacing w:after="0" w:line="240" w:lineRule="auto"/>
        <w:ind w:left="426"/>
        <w:contextualSpacing/>
        <w:jc w:val="both"/>
        <w:rPr>
          <w:rFonts w:ascii="Times New Roman" w:eastAsia="Times New Roman" w:hAnsi="Times New Roman" w:cs="Times New Roman"/>
          <w:bCs/>
          <w:lang w:eastAsia="hu-HU"/>
        </w:rPr>
      </w:pPr>
      <w:r w:rsidRPr="00F40250">
        <w:rPr>
          <w:rFonts w:ascii="Times New Roman" w:eastAsia="Times New Roman" w:hAnsi="Times New Roman" w:cs="Times New Roman"/>
          <w:bCs/>
          <w:lang w:eastAsia="hu-HU"/>
        </w:rPr>
        <w:t>Képes a szakterületéhez kapcsolódó angol nyelvű prezentációk, eligazítások és munkával kapcsolatos megbeszélések lényegét megérteni.</w:t>
      </w:r>
    </w:p>
    <w:p w:rsidR="00E65CE8" w:rsidRPr="00F40250" w:rsidRDefault="00E65CE8" w:rsidP="00980876">
      <w:pPr>
        <w:widowControl w:val="0"/>
        <w:numPr>
          <w:ilvl w:val="0"/>
          <w:numId w:val="584"/>
        </w:numPr>
        <w:spacing w:after="0" w:line="240" w:lineRule="auto"/>
        <w:ind w:left="426"/>
        <w:contextualSpacing/>
        <w:jc w:val="both"/>
        <w:rPr>
          <w:rFonts w:ascii="Times New Roman" w:eastAsia="Times New Roman" w:hAnsi="Times New Roman" w:cs="Times New Roman"/>
        </w:rPr>
      </w:pPr>
      <w:r w:rsidRPr="00F40250">
        <w:rPr>
          <w:rFonts w:ascii="Times New Roman" w:eastAsia="Times New Roman" w:hAnsi="Times New Roman" w:cs="Times New Roman"/>
        </w:rPr>
        <w:lastRenderedPageBreak/>
        <w:t>Képes oly mértékben folyékonyan és spontánul kommunikálni anyanyelvi beszélőkkel, hogy az nem jelent megerőltetést semelyik fél számára.</w:t>
      </w:r>
    </w:p>
    <w:p w:rsidR="00E65CE8" w:rsidRPr="00F40250" w:rsidRDefault="00E65CE8" w:rsidP="00E65CE8">
      <w:pPr>
        <w:tabs>
          <w:tab w:val="right" w:pos="900"/>
        </w:tabs>
        <w:spacing w:before="120" w:after="0" w:line="240" w:lineRule="auto"/>
        <w:jc w:val="both"/>
        <w:rPr>
          <w:rFonts w:ascii="Times New Roman" w:eastAsia="Times New Roman" w:hAnsi="Times New Roman" w:cs="Times New Roman"/>
          <w:bCs/>
          <w:lang w:eastAsia="hu-HU"/>
        </w:rPr>
      </w:pPr>
      <w:r w:rsidRPr="00F40250">
        <w:rPr>
          <w:rFonts w:ascii="Times New Roman" w:eastAsia="Times New Roman" w:hAnsi="Times New Roman" w:cs="Times New Roman"/>
          <w:b/>
          <w:bCs/>
          <w:lang w:eastAsia="hu-HU"/>
        </w:rPr>
        <w:t>Attitüdje:</w:t>
      </w:r>
      <w:r w:rsidRPr="00F40250">
        <w:rPr>
          <w:rFonts w:ascii="Times New Roman" w:eastAsia="Times New Roman" w:hAnsi="Times New Roman" w:cs="Times New Roman"/>
          <w:bCs/>
          <w:lang w:eastAsia="hu-HU"/>
        </w:rPr>
        <w:t xml:space="preserve"> </w:t>
      </w:r>
    </w:p>
    <w:p w:rsidR="00E65CE8" w:rsidRPr="00F40250" w:rsidRDefault="00E65CE8" w:rsidP="00980876">
      <w:pPr>
        <w:numPr>
          <w:ilvl w:val="0"/>
          <w:numId w:val="5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contextualSpacing/>
        <w:jc w:val="both"/>
        <w:rPr>
          <w:rFonts w:ascii="Times New Roman" w:eastAsia="Times New Roman" w:hAnsi="Times New Roman" w:cs="Times New Roman"/>
        </w:rPr>
      </w:pPr>
      <w:r w:rsidRPr="00F40250">
        <w:rPr>
          <w:rFonts w:ascii="Times New Roman" w:eastAsia="Times New Roman" w:hAnsi="Times New Roman" w:cs="Times New Roman"/>
        </w:rPr>
        <w:t>Hajlandó elsajátítani a szakterületéhez tartozó új terminológiát, igyekszik annak megértésére és használatára, és törekszik a saját szakterületén a folyamatos nyelvi vonatkozású önképzésre.</w:t>
      </w:r>
    </w:p>
    <w:p w:rsidR="00E65CE8" w:rsidRPr="00F40250" w:rsidRDefault="00E65CE8" w:rsidP="00980876">
      <w:pPr>
        <w:numPr>
          <w:ilvl w:val="0"/>
          <w:numId w:val="5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contextualSpacing/>
        <w:jc w:val="both"/>
        <w:rPr>
          <w:rFonts w:ascii="Times New Roman" w:eastAsia="Times New Roman" w:hAnsi="Times New Roman" w:cs="Times New Roman"/>
        </w:rPr>
      </w:pPr>
      <w:r w:rsidRPr="00F40250">
        <w:rPr>
          <w:rFonts w:ascii="Times New Roman" w:eastAsia="Times New Roman" w:hAnsi="Times New Roman" w:cs="Times New Roman"/>
        </w:rPr>
        <w:t>Az angol nyelv használata során pontosságra törekszik.</w:t>
      </w:r>
    </w:p>
    <w:p w:rsidR="00E65CE8" w:rsidRPr="00F40250" w:rsidRDefault="00E65CE8" w:rsidP="00980876">
      <w:pPr>
        <w:numPr>
          <w:ilvl w:val="0"/>
          <w:numId w:val="5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contextualSpacing/>
        <w:jc w:val="both"/>
        <w:rPr>
          <w:rFonts w:ascii="Times New Roman" w:eastAsia="Times New Roman" w:hAnsi="Times New Roman" w:cs="Times New Roman"/>
        </w:rPr>
      </w:pPr>
      <w:r w:rsidRPr="00F40250">
        <w:rPr>
          <w:rFonts w:ascii="Times New Roman" w:eastAsia="Times New Roman" w:hAnsi="Times New Roman" w:cs="Times New Roman"/>
        </w:rPr>
        <w:t>Nem fél vagy szégyell segítséget kérni abban az esetben, ha nehézségekkel szembesül a nyelvhasználat során.</w:t>
      </w:r>
    </w:p>
    <w:p w:rsidR="00E65CE8" w:rsidRPr="00F40250" w:rsidRDefault="00E65CE8" w:rsidP="00980876">
      <w:pPr>
        <w:numPr>
          <w:ilvl w:val="0"/>
          <w:numId w:val="5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contextualSpacing/>
        <w:jc w:val="both"/>
        <w:rPr>
          <w:rFonts w:ascii="Times New Roman" w:eastAsia="Times New Roman" w:hAnsi="Times New Roman" w:cs="Times New Roman"/>
        </w:rPr>
      </w:pPr>
      <w:r w:rsidRPr="00F40250">
        <w:rPr>
          <w:rFonts w:ascii="Times New Roman" w:eastAsia="Times New Roman" w:hAnsi="Times New Roman" w:cs="Times New Roman"/>
        </w:rPr>
        <w:t>Minden alkalmat megragad nyelvi készségeinek fejlesztésére.</w:t>
      </w:r>
    </w:p>
    <w:p w:rsidR="00E65CE8" w:rsidRPr="00F40250" w:rsidRDefault="00E65CE8" w:rsidP="00E65CE8">
      <w:pPr>
        <w:tabs>
          <w:tab w:val="right" w:pos="900"/>
        </w:tabs>
        <w:spacing w:before="120" w:after="0" w:line="240" w:lineRule="auto"/>
        <w:jc w:val="both"/>
        <w:rPr>
          <w:rFonts w:ascii="Times New Roman" w:eastAsia="Times New Roman" w:hAnsi="Times New Roman" w:cs="Times New Roman"/>
          <w:bCs/>
          <w:lang w:eastAsia="hu-HU"/>
        </w:rPr>
      </w:pPr>
      <w:r w:rsidRPr="00F40250">
        <w:rPr>
          <w:rFonts w:ascii="Times New Roman" w:eastAsia="Times New Roman" w:hAnsi="Times New Roman" w:cs="Times New Roman"/>
          <w:b/>
          <w:bCs/>
          <w:lang w:eastAsia="hu-HU"/>
        </w:rPr>
        <w:t>Autonómiája és felelőssége:</w:t>
      </w:r>
      <w:r w:rsidRPr="00F40250">
        <w:rPr>
          <w:rFonts w:ascii="Times New Roman" w:eastAsia="Times New Roman" w:hAnsi="Times New Roman" w:cs="Times New Roman"/>
          <w:bCs/>
          <w:lang w:eastAsia="hu-HU"/>
        </w:rPr>
        <w:t xml:space="preserve"> </w:t>
      </w:r>
    </w:p>
    <w:p w:rsidR="00E65CE8" w:rsidRPr="00F40250" w:rsidRDefault="00E65CE8" w:rsidP="00980876">
      <w:pPr>
        <w:widowControl w:val="0"/>
        <w:numPr>
          <w:ilvl w:val="0"/>
          <w:numId w:val="582"/>
        </w:numPr>
        <w:spacing w:after="0" w:line="240" w:lineRule="auto"/>
        <w:ind w:left="426"/>
        <w:contextualSpacing/>
        <w:jc w:val="both"/>
        <w:rPr>
          <w:rFonts w:ascii="Times New Roman" w:eastAsia="Times New Roman" w:hAnsi="Times New Roman" w:cs="Times New Roman"/>
          <w:bCs/>
        </w:rPr>
      </w:pPr>
      <w:r w:rsidRPr="00F40250">
        <w:rPr>
          <w:rFonts w:ascii="Times New Roman" w:eastAsia="Times New Roman" w:hAnsi="Times New Roman" w:cs="Times New Roman"/>
          <w:bCs/>
        </w:rPr>
        <w:t xml:space="preserve">Képes önállóan fejleszteni ismereteit a logisztikai szakterület terminológiájának területén. </w:t>
      </w:r>
    </w:p>
    <w:p w:rsidR="00E65CE8" w:rsidRPr="00F40250" w:rsidRDefault="00E65CE8" w:rsidP="00980876">
      <w:pPr>
        <w:widowControl w:val="0"/>
        <w:numPr>
          <w:ilvl w:val="0"/>
          <w:numId w:val="582"/>
        </w:numPr>
        <w:spacing w:after="0" w:line="240" w:lineRule="auto"/>
        <w:ind w:left="426"/>
        <w:contextualSpacing/>
        <w:jc w:val="both"/>
        <w:rPr>
          <w:rFonts w:ascii="Times New Roman" w:eastAsia="Times New Roman" w:hAnsi="Times New Roman" w:cs="Times New Roman"/>
          <w:bCs/>
        </w:rPr>
      </w:pPr>
      <w:r w:rsidRPr="00F40250">
        <w:rPr>
          <w:rFonts w:ascii="Times New Roman" w:eastAsia="Times New Roman" w:hAnsi="Times New Roman" w:cs="Times New Roman"/>
          <w:bCs/>
        </w:rPr>
        <w:t xml:space="preserve">Tisztában van az angol nyelven történő hatékony kommunikáció szükségességével többnemzeti környezetben. </w:t>
      </w:r>
    </w:p>
    <w:p w:rsidR="00E65CE8" w:rsidRPr="00F40250" w:rsidRDefault="00E65CE8" w:rsidP="00980876">
      <w:pPr>
        <w:widowControl w:val="0"/>
        <w:numPr>
          <w:ilvl w:val="0"/>
          <w:numId w:val="582"/>
        </w:numPr>
        <w:spacing w:after="0" w:line="240" w:lineRule="auto"/>
        <w:ind w:left="426"/>
        <w:contextualSpacing/>
        <w:jc w:val="both"/>
        <w:rPr>
          <w:rFonts w:ascii="Times New Roman" w:eastAsia="Times New Roman" w:hAnsi="Times New Roman" w:cs="Times New Roman"/>
          <w:bCs/>
        </w:rPr>
      </w:pPr>
      <w:r w:rsidRPr="00F40250">
        <w:rPr>
          <w:rFonts w:ascii="Times New Roman" w:eastAsia="Times New Roman" w:hAnsi="Times New Roman" w:cs="Times New Roman"/>
          <w:bCs/>
        </w:rPr>
        <w:t>Felelősséget vállal saját angol nyelvű szóbeli és írásbeli kommunikációjáért.</w:t>
      </w:r>
    </w:p>
    <w:p w:rsidR="00E65CE8" w:rsidRPr="00F40250" w:rsidRDefault="00E65CE8" w:rsidP="00E65CE8">
      <w:pPr>
        <w:tabs>
          <w:tab w:val="right" w:pos="900"/>
        </w:tabs>
        <w:spacing w:before="240" w:after="0" w:line="240" w:lineRule="auto"/>
        <w:jc w:val="both"/>
        <w:rPr>
          <w:rFonts w:ascii="Times New Roman" w:eastAsia="Times New Roman" w:hAnsi="Times New Roman" w:cs="Times New Roman"/>
          <w:bCs/>
          <w:lang w:val="en-GB" w:eastAsia="hu-HU"/>
        </w:rPr>
      </w:pPr>
      <w:r w:rsidRPr="00F40250">
        <w:rPr>
          <w:rFonts w:ascii="Times New Roman" w:eastAsia="Times New Roman" w:hAnsi="Times New Roman" w:cs="Times New Roman"/>
          <w:b/>
          <w:bCs/>
          <w:lang w:val="en-GB" w:eastAsia="hu-HU"/>
        </w:rPr>
        <w:t>Elérendő kompetenciák (angolul):</w:t>
      </w:r>
    </w:p>
    <w:p w:rsidR="00E65CE8" w:rsidRPr="00F40250" w:rsidRDefault="00E65CE8" w:rsidP="00E65CE8">
      <w:pPr>
        <w:spacing w:before="120" w:after="0" w:line="276" w:lineRule="auto"/>
        <w:rPr>
          <w:rFonts w:ascii="Times New Roman" w:eastAsia="Times New Roman" w:hAnsi="Times New Roman" w:cs="Times New Roman"/>
          <w:bCs/>
          <w:lang w:val="en-GB" w:eastAsia="hu-HU"/>
        </w:rPr>
      </w:pPr>
      <w:r w:rsidRPr="00F40250">
        <w:rPr>
          <w:rFonts w:ascii="Times New Roman" w:eastAsia="Times New Roman" w:hAnsi="Times New Roman" w:cs="Times New Roman"/>
          <w:b/>
          <w:bCs/>
          <w:lang w:val="en-GB" w:eastAsia="hu-HU"/>
        </w:rPr>
        <w:t>Knowledge:</w:t>
      </w:r>
      <w:r w:rsidRPr="00F40250">
        <w:rPr>
          <w:rFonts w:ascii="Times New Roman" w:eastAsia="Times New Roman" w:hAnsi="Times New Roman" w:cs="Times New Roman"/>
          <w:bCs/>
          <w:lang w:val="en-GB" w:eastAsia="hu-HU"/>
        </w:rPr>
        <w:t xml:space="preserve"> </w:t>
      </w:r>
    </w:p>
    <w:p w:rsidR="00E65CE8" w:rsidRPr="00F40250" w:rsidRDefault="00E65CE8" w:rsidP="00980876">
      <w:pPr>
        <w:numPr>
          <w:ilvl w:val="0"/>
          <w:numId w:val="586"/>
        </w:numPr>
        <w:spacing w:after="0" w:line="240" w:lineRule="auto"/>
        <w:ind w:left="426"/>
        <w:contextualSpacing/>
        <w:jc w:val="both"/>
        <w:rPr>
          <w:rFonts w:ascii="Times New Roman" w:eastAsia="Times New Roman" w:hAnsi="Times New Roman" w:cs="Times New Roman"/>
          <w:lang w:val="en-GB"/>
        </w:rPr>
      </w:pPr>
      <w:r w:rsidRPr="00F40250">
        <w:rPr>
          <w:rFonts w:ascii="Times New Roman" w:eastAsia="Times New Roman" w:hAnsi="Times New Roman" w:cs="Times New Roman"/>
          <w:lang w:val="en-GB"/>
        </w:rPr>
        <w:t>Possesses the basic vocabulary to describe the basic procedures and features of the battle   carried out by combined arms, the combat service (CS) and combat service support (CSS) tasks, the battle procedures and organizational structures of the military services, branches and specific units.</w:t>
      </w:r>
    </w:p>
    <w:p w:rsidR="00E65CE8" w:rsidRPr="00F40250" w:rsidRDefault="00E65CE8" w:rsidP="00980876">
      <w:pPr>
        <w:numPr>
          <w:ilvl w:val="0"/>
          <w:numId w:val="586"/>
        </w:numPr>
        <w:spacing w:after="0" w:line="240" w:lineRule="auto"/>
        <w:ind w:left="426"/>
        <w:contextualSpacing/>
        <w:jc w:val="both"/>
        <w:rPr>
          <w:rFonts w:ascii="Times New Roman" w:eastAsia="Times New Roman" w:hAnsi="Times New Roman" w:cs="Times New Roman"/>
          <w:lang w:val="en-GB"/>
        </w:rPr>
      </w:pPr>
      <w:r w:rsidRPr="00F40250">
        <w:rPr>
          <w:rFonts w:ascii="Times New Roman" w:eastAsia="Times New Roman" w:hAnsi="Times New Roman" w:cs="Times New Roman"/>
          <w:lang w:val="en-GB"/>
        </w:rPr>
        <w:t>Knows the grammatical structures to describe the basic procedures and features of the battle carried out by combined arms, the combat service (CS) and combat service support (CSS) tasks, the battle procedures and organizational structures of the military services, branches and specific units.</w:t>
      </w:r>
    </w:p>
    <w:p w:rsidR="00E65CE8" w:rsidRPr="00F40250" w:rsidRDefault="00E65CE8" w:rsidP="00980876">
      <w:pPr>
        <w:numPr>
          <w:ilvl w:val="0"/>
          <w:numId w:val="586"/>
        </w:numPr>
        <w:spacing w:after="0" w:line="240" w:lineRule="auto"/>
        <w:ind w:left="426"/>
        <w:contextualSpacing/>
        <w:jc w:val="both"/>
        <w:rPr>
          <w:rFonts w:ascii="Times New Roman" w:eastAsia="Times New Roman" w:hAnsi="Times New Roman" w:cs="Times New Roman"/>
          <w:lang w:val="en-GB"/>
        </w:rPr>
      </w:pPr>
      <w:r w:rsidRPr="00F40250">
        <w:rPr>
          <w:rFonts w:ascii="Times New Roman" w:eastAsia="Times New Roman" w:hAnsi="Times New Roman" w:cs="Times New Roman"/>
          <w:lang w:val="en-GB"/>
        </w:rPr>
        <w:t>Has an adequate knowledge of the English terminology to understand NATO documents.</w:t>
      </w:r>
    </w:p>
    <w:p w:rsidR="00E65CE8" w:rsidRPr="00F40250" w:rsidRDefault="00E65CE8" w:rsidP="00980876">
      <w:pPr>
        <w:numPr>
          <w:ilvl w:val="0"/>
          <w:numId w:val="586"/>
        </w:numPr>
        <w:spacing w:after="0" w:line="240" w:lineRule="auto"/>
        <w:ind w:left="426"/>
        <w:contextualSpacing/>
        <w:jc w:val="both"/>
        <w:rPr>
          <w:rFonts w:ascii="Times New Roman" w:eastAsia="Times New Roman" w:hAnsi="Times New Roman" w:cs="Times New Roman"/>
          <w:lang w:val="en-GB"/>
        </w:rPr>
      </w:pPr>
      <w:r w:rsidRPr="00F40250">
        <w:rPr>
          <w:rFonts w:ascii="Times New Roman" w:eastAsia="Times New Roman" w:hAnsi="Times New Roman" w:cs="Times New Roman"/>
          <w:lang w:val="en-GB"/>
        </w:rPr>
        <w:t>Is familiar with the English terminology to describe Peace Support Operations, the tasks of the Hungarian Defence Forces in peace operations and the basic peacekeeping procedures.</w:t>
      </w:r>
    </w:p>
    <w:p w:rsidR="00E65CE8" w:rsidRPr="00F40250" w:rsidRDefault="00E65CE8" w:rsidP="00E65CE8">
      <w:pPr>
        <w:tabs>
          <w:tab w:val="right" w:pos="900"/>
        </w:tabs>
        <w:spacing w:before="120" w:after="0" w:line="240" w:lineRule="auto"/>
        <w:jc w:val="both"/>
        <w:rPr>
          <w:rFonts w:ascii="Times New Roman" w:eastAsia="Times New Roman" w:hAnsi="Times New Roman" w:cs="Times New Roman"/>
          <w:b/>
          <w:bCs/>
          <w:lang w:val="en-GB" w:eastAsia="hu-HU"/>
        </w:rPr>
      </w:pPr>
      <w:r w:rsidRPr="00F40250">
        <w:rPr>
          <w:rFonts w:ascii="Times New Roman" w:eastAsia="Times New Roman" w:hAnsi="Times New Roman" w:cs="Times New Roman"/>
          <w:b/>
          <w:bCs/>
          <w:lang w:val="en-GB" w:eastAsia="hu-HU"/>
        </w:rPr>
        <w:t>Capabilities:</w:t>
      </w:r>
    </w:p>
    <w:p w:rsidR="00E65CE8" w:rsidRPr="00F40250" w:rsidRDefault="00E65CE8" w:rsidP="00980876">
      <w:pPr>
        <w:numPr>
          <w:ilvl w:val="0"/>
          <w:numId w:val="581"/>
        </w:numPr>
        <w:tabs>
          <w:tab w:val="right" w:pos="900"/>
        </w:tabs>
        <w:spacing w:after="0" w:line="240" w:lineRule="auto"/>
        <w:ind w:left="426"/>
        <w:contextualSpacing/>
        <w:jc w:val="both"/>
        <w:rPr>
          <w:rFonts w:ascii="Times New Roman" w:eastAsia="Times New Roman" w:hAnsi="Times New Roman" w:cs="Times New Roman"/>
          <w:bCs/>
          <w:lang w:val="en-GB" w:eastAsia="hu-HU"/>
        </w:rPr>
      </w:pPr>
      <w:r w:rsidRPr="00F40250">
        <w:rPr>
          <w:rFonts w:ascii="Times New Roman" w:eastAsia="Times New Roman" w:hAnsi="Times New Roman" w:cs="Times New Roman"/>
          <w:bCs/>
          <w:lang w:val="en-GB" w:eastAsia="hu-HU"/>
        </w:rPr>
        <w:t>Capable of understanding NATO documents related to his/her specialization.</w:t>
      </w:r>
    </w:p>
    <w:p w:rsidR="00E65CE8" w:rsidRPr="00F40250" w:rsidRDefault="00E65CE8" w:rsidP="00980876">
      <w:pPr>
        <w:numPr>
          <w:ilvl w:val="0"/>
          <w:numId w:val="581"/>
        </w:numPr>
        <w:tabs>
          <w:tab w:val="right" w:pos="900"/>
        </w:tabs>
        <w:spacing w:after="0" w:line="240" w:lineRule="auto"/>
        <w:ind w:left="426"/>
        <w:contextualSpacing/>
        <w:jc w:val="both"/>
        <w:rPr>
          <w:rFonts w:ascii="Times New Roman" w:eastAsia="Times New Roman" w:hAnsi="Times New Roman" w:cs="Times New Roman"/>
          <w:bCs/>
          <w:lang w:val="en-GB" w:eastAsia="hu-HU"/>
        </w:rPr>
      </w:pPr>
      <w:r w:rsidRPr="00F40250">
        <w:rPr>
          <w:rFonts w:ascii="Times New Roman" w:eastAsia="Times New Roman" w:hAnsi="Times New Roman" w:cs="Times New Roman"/>
          <w:bCs/>
          <w:lang w:val="en-GB" w:eastAsia="hu-HU"/>
        </w:rPr>
        <w:t>Capable of using the professional terminology in English.</w:t>
      </w:r>
    </w:p>
    <w:p w:rsidR="00E65CE8" w:rsidRPr="00F40250" w:rsidRDefault="00E65CE8" w:rsidP="00980876">
      <w:pPr>
        <w:numPr>
          <w:ilvl w:val="0"/>
          <w:numId w:val="581"/>
        </w:numPr>
        <w:tabs>
          <w:tab w:val="right" w:pos="900"/>
        </w:tabs>
        <w:spacing w:after="0" w:line="240" w:lineRule="auto"/>
        <w:ind w:left="426"/>
        <w:contextualSpacing/>
        <w:jc w:val="both"/>
        <w:rPr>
          <w:rFonts w:ascii="Times New Roman" w:eastAsia="Times New Roman" w:hAnsi="Times New Roman" w:cs="Times New Roman"/>
          <w:bCs/>
          <w:lang w:val="en-GB" w:eastAsia="hu-HU"/>
        </w:rPr>
      </w:pPr>
      <w:r w:rsidRPr="00F40250">
        <w:rPr>
          <w:rFonts w:ascii="Times New Roman" w:eastAsia="Times New Roman" w:hAnsi="Times New Roman" w:cs="Times New Roman"/>
          <w:bCs/>
          <w:lang w:val="en-GB" w:eastAsia="hu-HU"/>
        </w:rPr>
        <w:t>Capable of preparing documents, forms, minutes, notes and memos and completing documents in English.</w:t>
      </w:r>
    </w:p>
    <w:p w:rsidR="00E65CE8" w:rsidRPr="00F40250" w:rsidRDefault="00E65CE8" w:rsidP="00980876">
      <w:pPr>
        <w:numPr>
          <w:ilvl w:val="0"/>
          <w:numId w:val="581"/>
        </w:numPr>
        <w:tabs>
          <w:tab w:val="right" w:pos="900"/>
        </w:tabs>
        <w:spacing w:after="0" w:line="240" w:lineRule="auto"/>
        <w:ind w:left="426"/>
        <w:contextualSpacing/>
        <w:jc w:val="both"/>
        <w:rPr>
          <w:rFonts w:ascii="Times New Roman" w:eastAsia="Times New Roman" w:hAnsi="Times New Roman" w:cs="Times New Roman"/>
          <w:bCs/>
          <w:lang w:val="en-GB" w:eastAsia="hu-HU"/>
        </w:rPr>
      </w:pPr>
      <w:r w:rsidRPr="00F40250">
        <w:rPr>
          <w:rFonts w:ascii="Times New Roman" w:eastAsia="Times New Roman" w:hAnsi="Times New Roman" w:cs="Times New Roman"/>
          <w:bCs/>
          <w:lang w:val="en-GB" w:eastAsia="hu-HU"/>
        </w:rPr>
        <w:t>Capable of verbal and written work-related communication in English.</w:t>
      </w:r>
    </w:p>
    <w:p w:rsidR="00E65CE8" w:rsidRPr="00F40250" w:rsidRDefault="00E65CE8" w:rsidP="00980876">
      <w:pPr>
        <w:numPr>
          <w:ilvl w:val="0"/>
          <w:numId w:val="581"/>
        </w:numPr>
        <w:tabs>
          <w:tab w:val="right" w:pos="900"/>
        </w:tabs>
        <w:spacing w:after="0" w:line="240" w:lineRule="auto"/>
        <w:ind w:left="426"/>
        <w:contextualSpacing/>
        <w:jc w:val="both"/>
        <w:rPr>
          <w:rFonts w:ascii="Times New Roman" w:eastAsia="Times New Roman" w:hAnsi="Times New Roman" w:cs="Times New Roman"/>
          <w:bCs/>
          <w:lang w:val="en-GB" w:eastAsia="hu-HU"/>
        </w:rPr>
      </w:pPr>
      <w:r w:rsidRPr="00F40250">
        <w:rPr>
          <w:rFonts w:ascii="Times New Roman" w:eastAsia="Times New Roman" w:hAnsi="Times New Roman" w:cs="Times New Roman"/>
          <w:bCs/>
          <w:lang w:val="en-GB" w:eastAsia="hu-HU"/>
        </w:rPr>
        <w:t>Capable of preparing presentations and giving briefings in English.</w:t>
      </w:r>
    </w:p>
    <w:p w:rsidR="00E65CE8" w:rsidRPr="00F40250" w:rsidRDefault="00E65CE8" w:rsidP="00980876">
      <w:pPr>
        <w:numPr>
          <w:ilvl w:val="0"/>
          <w:numId w:val="581"/>
        </w:numPr>
        <w:tabs>
          <w:tab w:val="right" w:pos="900"/>
        </w:tabs>
        <w:spacing w:after="0" w:line="240" w:lineRule="auto"/>
        <w:ind w:left="426"/>
        <w:contextualSpacing/>
        <w:jc w:val="both"/>
        <w:rPr>
          <w:rFonts w:ascii="Times New Roman" w:eastAsia="Times New Roman" w:hAnsi="Times New Roman" w:cs="Times New Roman"/>
          <w:bCs/>
          <w:lang w:val="en-GB" w:eastAsia="hu-HU"/>
        </w:rPr>
      </w:pPr>
      <w:r w:rsidRPr="00F40250">
        <w:rPr>
          <w:rFonts w:ascii="Times New Roman" w:eastAsia="Times New Roman" w:hAnsi="Times New Roman" w:cs="Times New Roman"/>
          <w:bCs/>
          <w:lang w:val="en-GB" w:eastAsia="hu-HU"/>
        </w:rPr>
        <w:t>Capable of understanding the main ideas of presentations, briefings and work-related discussions in his/her specialization.</w:t>
      </w:r>
    </w:p>
    <w:p w:rsidR="00E65CE8" w:rsidRPr="00F40250" w:rsidRDefault="00E65CE8" w:rsidP="00980876">
      <w:pPr>
        <w:numPr>
          <w:ilvl w:val="0"/>
          <w:numId w:val="581"/>
        </w:numPr>
        <w:tabs>
          <w:tab w:val="right" w:pos="900"/>
        </w:tabs>
        <w:spacing w:after="0" w:line="240" w:lineRule="auto"/>
        <w:ind w:left="426"/>
        <w:contextualSpacing/>
        <w:jc w:val="both"/>
        <w:rPr>
          <w:rFonts w:ascii="Times New Roman" w:eastAsia="Times New Roman" w:hAnsi="Times New Roman" w:cs="Times New Roman"/>
          <w:bCs/>
          <w:lang w:val="en-GB" w:eastAsia="hu-HU"/>
        </w:rPr>
      </w:pPr>
      <w:r w:rsidRPr="00F40250">
        <w:rPr>
          <w:rFonts w:ascii="Times New Roman" w:eastAsia="Times New Roman" w:hAnsi="Times New Roman" w:cs="Times New Roman"/>
          <w:bCs/>
          <w:lang w:val="en-GB" w:eastAsia="hu-HU"/>
        </w:rPr>
        <w:t>Capable of interacting with a degree of fluency and spontaneity that makes regular interaction with native speakers quite possible without strain for either party.</w:t>
      </w:r>
    </w:p>
    <w:p w:rsidR="00E65CE8" w:rsidRPr="00F40250" w:rsidRDefault="00E65CE8" w:rsidP="00E65CE8">
      <w:pPr>
        <w:tabs>
          <w:tab w:val="right" w:pos="900"/>
        </w:tabs>
        <w:spacing w:before="120" w:after="0" w:line="240" w:lineRule="auto"/>
        <w:jc w:val="both"/>
        <w:rPr>
          <w:rFonts w:ascii="Times New Roman" w:eastAsia="Times New Roman" w:hAnsi="Times New Roman" w:cs="Times New Roman"/>
          <w:bCs/>
          <w:lang w:val="en-GB" w:eastAsia="hu-HU"/>
        </w:rPr>
      </w:pPr>
      <w:r w:rsidRPr="00F40250">
        <w:rPr>
          <w:rFonts w:ascii="Times New Roman" w:eastAsia="Times New Roman" w:hAnsi="Times New Roman" w:cs="Times New Roman"/>
          <w:b/>
          <w:bCs/>
          <w:lang w:val="en-GB" w:eastAsia="hu-HU"/>
        </w:rPr>
        <w:t>Attitude:</w:t>
      </w:r>
      <w:r w:rsidRPr="00F40250">
        <w:rPr>
          <w:rFonts w:ascii="Times New Roman" w:eastAsia="Times New Roman" w:hAnsi="Times New Roman" w:cs="Times New Roman"/>
          <w:bCs/>
          <w:lang w:val="en-GB" w:eastAsia="hu-HU"/>
        </w:rPr>
        <w:t xml:space="preserve"> </w:t>
      </w:r>
    </w:p>
    <w:p w:rsidR="00E65CE8" w:rsidRPr="00F40250" w:rsidRDefault="00E65CE8" w:rsidP="00980876">
      <w:pPr>
        <w:numPr>
          <w:ilvl w:val="0"/>
          <w:numId w:val="580"/>
        </w:numPr>
        <w:spacing w:after="0" w:line="240" w:lineRule="auto"/>
        <w:ind w:left="426"/>
        <w:contextualSpacing/>
        <w:jc w:val="both"/>
        <w:rPr>
          <w:rFonts w:ascii="Times New Roman" w:eastAsia="Times New Roman" w:hAnsi="Times New Roman" w:cs="Times New Roman"/>
          <w:lang w:val="en-GB"/>
        </w:rPr>
      </w:pPr>
      <w:r w:rsidRPr="00F40250">
        <w:rPr>
          <w:rFonts w:ascii="Times New Roman" w:eastAsia="Times New Roman" w:hAnsi="Times New Roman" w:cs="Times New Roman"/>
          <w:lang w:val="en-GB"/>
        </w:rPr>
        <w:t>Is willing to learn the new terminology in his/her specialization, strives to understand and use it, and is committed to continuous self-education in his/her specialization.</w:t>
      </w:r>
    </w:p>
    <w:p w:rsidR="00E65CE8" w:rsidRPr="00F40250" w:rsidRDefault="00E65CE8" w:rsidP="00980876">
      <w:pPr>
        <w:numPr>
          <w:ilvl w:val="0"/>
          <w:numId w:val="580"/>
        </w:numPr>
        <w:spacing w:after="0" w:line="240" w:lineRule="auto"/>
        <w:ind w:left="426"/>
        <w:contextualSpacing/>
        <w:jc w:val="both"/>
        <w:rPr>
          <w:rFonts w:ascii="Times New Roman" w:eastAsia="Times New Roman" w:hAnsi="Times New Roman" w:cs="Times New Roman"/>
          <w:lang w:val="en-GB"/>
        </w:rPr>
      </w:pPr>
      <w:r w:rsidRPr="00F40250">
        <w:rPr>
          <w:rFonts w:ascii="Times New Roman" w:eastAsia="Times New Roman" w:hAnsi="Times New Roman" w:cs="Times New Roman"/>
          <w:lang w:val="en-GB"/>
        </w:rPr>
        <w:t>Is committed to accuracy when using the English language at work.</w:t>
      </w:r>
    </w:p>
    <w:p w:rsidR="00E65CE8" w:rsidRPr="00F40250" w:rsidRDefault="00E65CE8" w:rsidP="00980876">
      <w:pPr>
        <w:numPr>
          <w:ilvl w:val="0"/>
          <w:numId w:val="580"/>
        </w:numPr>
        <w:spacing w:after="0" w:line="240" w:lineRule="auto"/>
        <w:ind w:left="426"/>
        <w:contextualSpacing/>
        <w:jc w:val="both"/>
        <w:rPr>
          <w:rFonts w:ascii="Times New Roman" w:eastAsia="Times New Roman" w:hAnsi="Times New Roman" w:cs="Times New Roman"/>
          <w:lang w:val="en-GB"/>
        </w:rPr>
      </w:pPr>
      <w:r w:rsidRPr="00F40250">
        <w:rPr>
          <w:rFonts w:ascii="Times New Roman" w:eastAsia="Times New Roman" w:hAnsi="Times New Roman" w:cs="Times New Roman"/>
          <w:lang w:val="en-GB"/>
        </w:rPr>
        <w:t>Is not afraid or embarrassed to seek help when he/she faces problems with the English language.</w:t>
      </w:r>
    </w:p>
    <w:p w:rsidR="00E65CE8" w:rsidRPr="00F40250" w:rsidRDefault="00E65CE8" w:rsidP="00980876">
      <w:pPr>
        <w:numPr>
          <w:ilvl w:val="0"/>
          <w:numId w:val="580"/>
        </w:numPr>
        <w:spacing w:after="0" w:line="240" w:lineRule="auto"/>
        <w:ind w:left="426"/>
        <w:contextualSpacing/>
        <w:jc w:val="both"/>
        <w:rPr>
          <w:rFonts w:ascii="Times New Roman" w:eastAsia="Times New Roman" w:hAnsi="Times New Roman" w:cs="Times New Roman"/>
          <w:lang w:val="en-GB"/>
        </w:rPr>
      </w:pPr>
      <w:r w:rsidRPr="00F40250">
        <w:rPr>
          <w:rFonts w:ascii="Times New Roman" w:eastAsia="Times New Roman" w:hAnsi="Times New Roman" w:cs="Times New Roman"/>
          <w:lang w:val="en-GB"/>
        </w:rPr>
        <w:t>Takes every opportunity to improve his/her knowledge of English.</w:t>
      </w:r>
    </w:p>
    <w:p w:rsidR="00E65CE8" w:rsidRPr="00F40250" w:rsidRDefault="00E65CE8" w:rsidP="00E65CE8">
      <w:pPr>
        <w:tabs>
          <w:tab w:val="right" w:pos="900"/>
        </w:tabs>
        <w:spacing w:before="120" w:after="0" w:line="240" w:lineRule="auto"/>
        <w:jc w:val="both"/>
        <w:rPr>
          <w:rFonts w:ascii="Times New Roman" w:eastAsia="Times New Roman" w:hAnsi="Times New Roman" w:cs="Times New Roman"/>
          <w:bCs/>
          <w:lang w:val="en-GB" w:eastAsia="hu-HU"/>
        </w:rPr>
      </w:pPr>
      <w:r w:rsidRPr="00F40250">
        <w:rPr>
          <w:rFonts w:ascii="Times New Roman" w:eastAsia="Times New Roman" w:hAnsi="Times New Roman" w:cs="Times New Roman"/>
          <w:b/>
          <w:bCs/>
          <w:lang w:val="en-GB" w:eastAsia="hu-HU"/>
        </w:rPr>
        <w:t>Autonomy and responsibility:</w:t>
      </w:r>
      <w:r w:rsidRPr="00F40250">
        <w:rPr>
          <w:rFonts w:ascii="Times New Roman" w:eastAsia="Times New Roman" w:hAnsi="Times New Roman" w:cs="Times New Roman"/>
          <w:bCs/>
          <w:lang w:val="en-GB" w:eastAsia="hu-HU"/>
        </w:rPr>
        <w:t xml:space="preserve"> </w:t>
      </w:r>
    </w:p>
    <w:p w:rsidR="00E65CE8" w:rsidRPr="00F40250" w:rsidRDefault="00E65CE8" w:rsidP="00980876">
      <w:pPr>
        <w:numPr>
          <w:ilvl w:val="0"/>
          <w:numId w:val="579"/>
        </w:numPr>
        <w:spacing w:after="0" w:line="240" w:lineRule="auto"/>
        <w:ind w:left="426"/>
        <w:contextualSpacing/>
        <w:jc w:val="both"/>
        <w:rPr>
          <w:rFonts w:ascii="Times New Roman" w:eastAsia="Times New Roman" w:hAnsi="Times New Roman" w:cs="Times New Roman"/>
          <w:lang w:val="en-GB"/>
        </w:rPr>
      </w:pPr>
      <w:r w:rsidRPr="00F40250">
        <w:rPr>
          <w:rFonts w:ascii="Times New Roman" w:eastAsia="Times New Roman" w:hAnsi="Times New Roman" w:cs="Times New Roman"/>
          <w:lang w:val="en-GB"/>
        </w:rPr>
        <w:t>Able to autonomously improve his/her knowledge of the terminology</w:t>
      </w:r>
    </w:p>
    <w:p w:rsidR="00E65CE8" w:rsidRPr="00F40250" w:rsidRDefault="00E65CE8" w:rsidP="00980876">
      <w:pPr>
        <w:numPr>
          <w:ilvl w:val="0"/>
          <w:numId w:val="579"/>
        </w:numPr>
        <w:spacing w:after="0" w:line="240" w:lineRule="auto"/>
        <w:ind w:left="426"/>
        <w:contextualSpacing/>
        <w:jc w:val="both"/>
        <w:rPr>
          <w:rFonts w:ascii="Times New Roman" w:eastAsia="Times New Roman" w:hAnsi="Times New Roman" w:cs="Times New Roman"/>
          <w:lang w:val="en-GB"/>
        </w:rPr>
      </w:pPr>
      <w:r w:rsidRPr="00F40250">
        <w:rPr>
          <w:rFonts w:ascii="Times New Roman" w:eastAsia="Times New Roman" w:hAnsi="Times New Roman" w:cs="Times New Roman"/>
          <w:lang w:val="en-GB"/>
        </w:rPr>
        <w:t xml:space="preserve">Aware of the importance of being able to effectively communicate in English in a multinational environment </w:t>
      </w:r>
    </w:p>
    <w:p w:rsidR="00E65CE8" w:rsidRPr="00F40250" w:rsidRDefault="00E65CE8" w:rsidP="00980876">
      <w:pPr>
        <w:numPr>
          <w:ilvl w:val="0"/>
          <w:numId w:val="579"/>
        </w:numPr>
        <w:spacing w:after="360" w:line="240" w:lineRule="auto"/>
        <w:ind w:left="426"/>
        <w:contextualSpacing/>
        <w:jc w:val="both"/>
        <w:rPr>
          <w:rFonts w:ascii="Times New Roman" w:eastAsia="Times New Roman" w:hAnsi="Times New Roman" w:cs="Times New Roman"/>
          <w:lang w:val="en-GB"/>
        </w:rPr>
      </w:pPr>
      <w:r w:rsidRPr="00F40250">
        <w:rPr>
          <w:rFonts w:ascii="Times New Roman" w:eastAsia="Times New Roman" w:hAnsi="Times New Roman" w:cs="Times New Roman"/>
          <w:lang w:val="en-GB"/>
        </w:rPr>
        <w:t>Takes responsibility for his/her written/verbal communication in English.</w:t>
      </w:r>
    </w:p>
    <w:p w:rsidR="00E65CE8" w:rsidRPr="00F40250" w:rsidRDefault="00E65CE8" w:rsidP="00E65CE8">
      <w:pPr>
        <w:spacing w:before="120" w:after="120" w:line="276" w:lineRule="auto"/>
        <w:ind w:left="360"/>
        <w:contextualSpacing/>
        <w:rPr>
          <w:rFonts w:ascii="Times New Roman" w:eastAsia="Times New Roman" w:hAnsi="Times New Roman" w:cs="Times New Roman"/>
          <w:bCs/>
          <w:lang w:eastAsia="hu-HU"/>
        </w:rPr>
      </w:pPr>
    </w:p>
    <w:p w:rsidR="00E65CE8" w:rsidRPr="00F40250" w:rsidRDefault="00E65CE8" w:rsidP="00980876">
      <w:pPr>
        <w:numPr>
          <w:ilvl w:val="0"/>
          <w:numId w:val="588"/>
        </w:numPr>
        <w:spacing w:before="120" w:after="120" w:line="276" w:lineRule="auto"/>
        <w:contextualSpacing/>
        <w:rPr>
          <w:rFonts w:ascii="Times New Roman" w:eastAsia="Times New Roman" w:hAnsi="Times New Roman" w:cs="Times New Roman"/>
          <w:bCs/>
          <w:lang w:eastAsia="hu-HU"/>
        </w:rPr>
      </w:pPr>
      <w:r w:rsidRPr="00F40250">
        <w:rPr>
          <w:rFonts w:ascii="Times New Roman" w:eastAsia="Times New Roman" w:hAnsi="Times New Roman" w:cs="Times New Roman"/>
          <w:b/>
          <w:bCs/>
          <w:lang w:eastAsia="hu-HU"/>
        </w:rPr>
        <w:t>Előtanulmányi követelmények:</w:t>
      </w:r>
      <w:r w:rsidRPr="00F40250">
        <w:rPr>
          <w:rFonts w:ascii="Times New Roman" w:eastAsia="Times New Roman" w:hAnsi="Times New Roman" w:cs="Times New Roman"/>
          <w:bCs/>
          <w:lang w:eastAsia="hu-HU"/>
        </w:rPr>
        <w:t xml:space="preserve"> -</w:t>
      </w:r>
    </w:p>
    <w:p w:rsidR="00E65CE8" w:rsidRPr="00F40250" w:rsidRDefault="00E65CE8" w:rsidP="00E65CE8">
      <w:pPr>
        <w:rPr>
          <w:rFonts w:ascii="Times New Roman" w:eastAsia="Times New Roman" w:hAnsi="Times New Roman" w:cs="Times New Roman"/>
          <w:b/>
          <w:bCs/>
        </w:rPr>
      </w:pPr>
      <w:r w:rsidRPr="00F40250">
        <w:rPr>
          <w:rFonts w:ascii="Times New Roman" w:eastAsia="Times New Roman" w:hAnsi="Times New Roman" w:cs="Times New Roman"/>
          <w:b/>
          <w:bCs/>
        </w:rPr>
        <w:lastRenderedPageBreak/>
        <w:br w:type="page"/>
      </w:r>
    </w:p>
    <w:p w:rsidR="00E65CE8" w:rsidRPr="00F40250" w:rsidRDefault="00E65CE8" w:rsidP="00980876">
      <w:pPr>
        <w:widowControl w:val="0"/>
        <w:numPr>
          <w:ilvl w:val="0"/>
          <w:numId w:val="588"/>
        </w:numPr>
        <w:spacing w:before="120" w:after="120" w:line="240" w:lineRule="auto"/>
        <w:jc w:val="both"/>
        <w:rPr>
          <w:rFonts w:ascii="Times New Roman" w:eastAsia="Times New Roman" w:hAnsi="Times New Roman" w:cs="Times New Roman"/>
          <w:b/>
          <w:bCs/>
        </w:rPr>
      </w:pPr>
      <w:r w:rsidRPr="00F40250">
        <w:rPr>
          <w:rFonts w:ascii="Times New Roman" w:eastAsia="Times New Roman" w:hAnsi="Times New Roman" w:cs="Times New Roman"/>
          <w:b/>
          <w:bCs/>
        </w:rPr>
        <w:lastRenderedPageBreak/>
        <w:t>A tantárgy tananyagának leírása, tematika. Description of the subject, curriculum (magyarul, angolul - English):</w:t>
      </w:r>
    </w:p>
    <w:p w:rsidR="00E65CE8" w:rsidRPr="00F40250" w:rsidRDefault="00E65CE8" w:rsidP="00980876">
      <w:pPr>
        <w:numPr>
          <w:ilvl w:val="1"/>
          <w:numId w:val="587"/>
        </w:numPr>
        <w:spacing w:after="0" w:line="240" w:lineRule="auto"/>
        <w:ind w:left="993" w:hanging="633"/>
        <w:rPr>
          <w:rFonts w:ascii="Times New Roman" w:eastAsia="Times New Roman" w:hAnsi="Times New Roman" w:cs="Times New Roman"/>
          <w:lang w:val="en-GB"/>
        </w:rPr>
      </w:pPr>
      <w:r w:rsidRPr="00F40250">
        <w:rPr>
          <w:rFonts w:ascii="Times New Roman" w:eastAsia="Times New Roman" w:hAnsi="Times New Roman" w:cs="Times New Roman"/>
          <w:lang w:val="en-GB"/>
        </w:rPr>
        <w:t xml:space="preserve">Tisztképzés. </w:t>
      </w:r>
      <w:r w:rsidRPr="00F40250">
        <w:rPr>
          <w:rFonts w:ascii="Times New Roman" w:eastAsia="Times New Roman" w:hAnsi="Times New Roman" w:cs="Times New Roman"/>
          <w:i/>
          <w:lang w:val="en-GB"/>
        </w:rPr>
        <w:t>(Officer training and education)</w:t>
      </w:r>
    </w:p>
    <w:p w:rsidR="00E65CE8" w:rsidRPr="00F40250" w:rsidRDefault="00E65CE8" w:rsidP="00980876">
      <w:pPr>
        <w:numPr>
          <w:ilvl w:val="1"/>
          <w:numId w:val="587"/>
        </w:numPr>
        <w:spacing w:after="0" w:line="240" w:lineRule="auto"/>
        <w:ind w:left="993" w:hanging="633"/>
        <w:rPr>
          <w:rFonts w:ascii="Times New Roman" w:eastAsia="Times New Roman" w:hAnsi="Times New Roman" w:cs="Times New Roman"/>
          <w:lang w:val="en-GB"/>
        </w:rPr>
      </w:pPr>
      <w:r w:rsidRPr="00F40250">
        <w:rPr>
          <w:rFonts w:ascii="Times New Roman" w:eastAsia="Times New Roman" w:hAnsi="Times New Roman" w:cs="Times New Roman"/>
          <w:lang w:val="en-GB"/>
        </w:rPr>
        <w:t xml:space="preserve">Alegységek, egységek, rendfokozatok, egyenruha, felszerelés. </w:t>
      </w:r>
      <w:r w:rsidRPr="00F40250">
        <w:rPr>
          <w:rFonts w:ascii="Times New Roman" w:eastAsia="Times New Roman" w:hAnsi="Times New Roman" w:cs="Times New Roman"/>
          <w:i/>
          <w:lang w:val="en-GB"/>
        </w:rPr>
        <w:t>(Subunits, units, ranks, uniform, equipment)</w:t>
      </w:r>
    </w:p>
    <w:p w:rsidR="00E65CE8" w:rsidRPr="00F40250" w:rsidRDefault="00E65CE8" w:rsidP="00980876">
      <w:pPr>
        <w:numPr>
          <w:ilvl w:val="1"/>
          <w:numId w:val="587"/>
        </w:numPr>
        <w:spacing w:after="0" w:line="240" w:lineRule="auto"/>
        <w:ind w:left="993" w:hanging="633"/>
        <w:rPr>
          <w:rFonts w:ascii="Times New Roman" w:eastAsia="Times New Roman" w:hAnsi="Times New Roman" w:cs="Times New Roman"/>
          <w:lang w:val="en-GB"/>
        </w:rPr>
      </w:pPr>
      <w:r w:rsidRPr="00F40250">
        <w:rPr>
          <w:rFonts w:ascii="Times New Roman" w:eastAsia="Times New Roman" w:hAnsi="Times New Roman" w:cs="Times New Roman"/>
          <w:lang w:val="en-GB"/>
        </w:rPr>
        <w:t xml:space="preserve">Haderőnemek, fegyvernemek rendeltetése, fegyverzete  </w:t>
      </w:r>
      <w:r w:rsidRPr="00F40250">
        <w:rPr>
          <w:rFonts w:ascii="Times New Roman" w:eastAsia="Times New Roman" w:hAnsi="Times New Roman" w:cs="Times New Roman"/>
          <w:i/>
          <w:lang w:val="en-GB"/>
        </w:rPr>
        <w:t>(Services and branches, their  missions and weapons systems)</w:t>
      </w:r>
    </w:p>
    <w:p w:rsidR="00E65CE8" w:rsidRPr="00F40250" w:rsidRDefault="00E65CE8" w:rsidP="00980876">
      <w:pPr>
        <w:numPr>
          <w:ilvl w:val="1"/>
          <w:numId w:val="587"/>
        </w:numPr>
        <w:spacing w:after="0" w:line="240" w:lineRule="auto"/>
        <w:ind w:left="993" w:hanging="633"/>
        <w:rPr>
          <w:rFonts w:ascii="Times New Roman" w:eastAsia="Times New Roman" w:hAnsi="Times New Roman" w:cs="Times New Roman"/>
          <w:lang w:val="en-GB"/>
        </w:rPr>
      </w:pPr>
      <w:r w:rsidRPr="00F40250">
        <w:rPr>
          <w:rFonts w:ascii="Times New Roman" w:eastAsia="Times New Roman" w:hAnsi="Times New Roman" w:cs="Times New Roman"/>
          <w:lang w:val="en-GB"/>
        </w:rPr>
        <w:t xml:space="preserve">A katonai pályakép. Előmeneteli rendszer. </w:t>
      </w:r>
      <w:r w:rsidRPr="00F40250">
        <w:rPr>
          <w:rFonts w:ascii="Times New Roman" w:eastAsia="Times New Roman" w:hAnsi="Times New Roman" w:cs="Times New Roman"/>
          <w:i/>
          <w:lang w:val="en-GB"/>
        </w:rPr>
        <w:t>(Military career model, promotional system)</w:t>
      </w:r>
    </w:p>
    <w:p w:rsidR="00E65CE8" w:rsidRPr="00F40250" w:rsidRDefault="00E65CE8" w:rsidP="00980876">
      <w:pPr>
        <w:numPr>
          <w:ilvl w:val="1"/>
          <w:numId w:val="587"/>
        </w:numPr>
        <w:spacing w:after="0" w:line="240" w:lineRule="auto"/>
        <w:ind w:left="993" w:hanging="633"/>
        <w:rPr>
          <w:rFonts w:ascii="Times New Roman" w:eastAsia="Times New Roman" w:hAnsi="Times New Roman" w:cs="Times New Roman"/>
          <w:lang w:val="en-GB"/>
        </w:rPr>
      </w:pPr>
      <w:r w:rsidRPr="00F40250">
        <w:rPr>
          <w:rFonts w:ascii="Times New Roman" w:eastAsia="Times New Roman" w:hAnsi="Times New Roman" w:cs="Times New Roman"/>
          <w:lang w:val="en-GB"/>
        </w:rPr>
        <w:t xml:space="preserve">Kiképzés a hadseregben: alapkiképzés, kiképzettségi szint fenntartása </w:t>
      </w:r>
      <w:r w:rsidRPr="00F40250">
        <w:rPr>
          <w:rFonts w:ascii="Times New Roman" w:eastAsia="Times New Roman" w:hAnsi="Times New Roman" w:cs="Times New Roman"/>
          <w:i/>
          <w:lang w:val="en-GB"/>
        </w:rPr>
        <w:t xml:space="preserve"> (Training in the military: basic training, maintaining training levels)</w:t>
      </w:r>
    </w:p>
    <w:p w:rsidR="00E65CE8" w:rsidRPr="00F40250" w:rsidRDefault="00E65CE8" w:rsidP="00980876">
      <w:pPr>
        <w:numPr>
          <w:ilvl w:val="1"/>
          <w:numId w:val="587"/>
        </w:numPr>
        <w:spacing w:after="0" w:line="240" w:lineRule="auto"/>
        <w:ind w:left="993" w:hanging="633"/>
        <w:rPr>
          <w:rFonts w:ascii="Times New Roman" w:eastAsia="Times New Roman" w:hAnsi="Times New Roman" w:cs="Times New Roman"/>
          <w:lang w:val="en-GB"/>
        </w:rPr>
      </w:pPr>
      <w:r w:rsidRPr="00F40250">
        <w:rPr>
          <w:rFonts w:ascii="Times New Roman" w:eastAsia="Times New Roman" w:hAnsi="Times New Roman" w:cs="Times New Roman"/>
          <w:lang w:val="fr-FR"/>
        </w:rPr>
        <w:t xml:space="preserve">A Magyar Honvédség szervezeti felépítése, rendeltetése. </w:t>
      </w:r>
      <w:r w:rsidRPr="00F40250">
        <w:rPr>
          <w:rFonts w:ascii="Times New Roman" w:eastAsia="Times New Roman" w:hAnsi="Times New Roman" w:cs="Times New Roman"/>
          <w:lang w:val="en-GB"/>
        </w:rPr>
        <w:t xml:space="preserve">Haderőreform. </w:t>
      </w:r>
      <w:r w:rsidRPr="00F40250">
        <w:rPr>
          <w:rFonts w:ascii="Times New Roman" w:eastAsia="Times New Roman" w:hAnsi="Times New Roman" w:cs="Times New Roman"/>
          <w:i/>
          <w:lang w:val="en-GB"/>
        </w:rPr>
        <w:t>(The organisational structure and the tasks of the HDF. Military reform)</w:t>
      </w:r>
    </w:p>
    <w:p w:rsidR="00E65CE8" w:rsidRPr="00F40250" w:rsidRDefault="00E65CE8" w:rsidP="00980876">
      <w:pPr>
        <w:numPr>
          <w:ilvl w:val="1"/>
          <w:numId w:val="587"/>
        </w:numPr>
        <w:spacing w:after="0" w:line="240" w:lineRule="auto"/>
        <w:ind w:left="993" w:hanging="633"/>
        <w:rPr>
          <w:rFonts w:ascii="Times New Roman" w:eastAsia="Times New Roman" w:hAnsi="Times New Roman" w:cs="Times New Roman"/>
          <w:lang w:val="en-GB"/>
        </w:rPr>
      </w:pPr>
      <w:r w:rsidRPr="00F40250">
        <w:rPr>
          <w:rFonts w:ascii="Times New Roman" w:eastAsia="Times New Roman" w:hAnsi="Times New Roman" w:cs="Times New Roman"/>
          <w:lang w:val="en-GB"/>
        </w:rPr>
        <w:t xml:space="preserve">Önkéntes haderő kontra sorozott haderő. Toborzás és hadkiegészítés.  </w:t>
      </w:r>
      <w:r w:rsidRPr="00F40250">
        <w:rPr>
          <w:rFonts w:ascii="Times New Roman" w:eastAsia="Times New Roman" w:hAnsi="Times New Roman" w:cs="Times New Roman"/>
          <w:i/>
          <w:lang w:val="en-GB"/>
        </w:rPr>
        <w:t>(Professional force vs conscription-based force. recruitment and augmentation)</w:t>
      </w:r>
    </w:p>
    <w:p w:rsidR="00E65CE8" w:rsidRPr="00F40250" w:rsidRDefault="00E65CE8" w:rsidP="00980876">
      <w:pPr>
        <w:numPr>
          <w:ilvl w:val="1"/>
          <w:numId w:val="587"/>
        </w:numPr>
        <w:spacing w:after="0" w:line="240" w:lineRule="auto"/>
        <w:ind w:left="993" w:hanging="633"/>
        <w:rPr>
          <w:rFonts w:ascii="Times New Roman" w:eastAsia="Times New Roman" w:hAnsi="Times New Roman" w:cs="Times New Roman"/>
          <w:lang w:val="en-GB"/>
        </w:rPr>
      </w:pPr>
      <w:r w:rsidRPr="00F40250">
        <w:rPr>
          <w:rFonts w:ascii="Times New Roman" w:eastAsia="Times New Roman" w:hAnsi="Times New Roman" w:cs="Times New Roman"/>
          <w:lang w:val="en-GB"/>
        </w:rPr>
        <w:t xml:space="preserve">NATO: feladatok, missziók és műveletek. </w:t>
      </w:r>
      <w:r w:rsidRPr="00F40250">
        <w:rPr>
          <w:rFonts w:ascii="Times New Roman" w:eastAsia="Times New Roman" w:hAnsi="Times New Roman" w:cs="Times New Roman"/>
          <w:i/>
          <w:lang w:val="en-GB"/>
        </w:rPr>
        <w:t>(NATO: Tasks, missions and operations)</w:t>
      </w:r>
    </w:p>
    <w:p w:rsidR="00E65CE8" w:rsidRPr="00F40250" w:rsidRDefault="00E65CE8" w:rsidP="00980876">
      <w:pPr>
        <w:numPr>
          <w:ilvl w:val="1"/>
          <w:numId w:val="587"/>
        </w:numPr>
        <w:spacing w:after="0" w:line="240" w:lineRule="auto"/>
        <w:ind w:left="993" w:hanging="633"/>
        <w:rPr>
          <w:rFonts w:ascii="Times New Roman" w:eastAsia="Times New Roman" w:hAnsi="Times New Roman" w:cs="Times New Roman"/>
          <w:lang w:val="en-GB"/>
        </w:rPr>
      </w:pPr>
      <w:r w:rsidRPr="00F40250">
        <w:rPr>
          <w:rFonts w:ascii="Times New Roman" w:eastAsia="Times New Roman" w:hAnsi="Times New Roman" w:cs="Times New Roman"/>
          <w:lang w:val="en-GB"/>
        </w:rPr>
        <w:t xml:space="preserve">Magyarország NATO csatlakozása és szerepe a NATO-ban. </w:t>
      </w:r>
      <w:r w:rsidRPr="00F40250">
        <w:rPr>
          <w:rFonts w:ascii="Times New Roman" w:eastAsia="Times New Roman" w:hAnsi="Times New Roman" w:cs="Times New Roman"/>
          <w:i/>
          <w:lang w:val="en-GB"/>
        </w:rPr>
        <w:t>(Hungary’s NATO accession and role in the Alliance)</w:t>
      </w:r>
    </w:p>
    <w:p w:rsidR="00E65CE8" w:rsidRPr="00F40250" w:rsidRDefault="00E65CE8" w:rsidP="00980876">
      <w:pPr>
        <w:numPr>
          <w:ilvl w:val="1"/>
          <w:numId w:val="587"/>
        </w:numPr>
        <w:spacing w:after="0" w:line="240" w:lineRule="auto"/>
        <w:ind w:left="993" w:hanging="633"/>
        <w:rPr>
          <w:rFonts w:ascii="Times New Roman" w:eastAsia="Times New Roman" w:hAnsi="Times New Roman" w:cs="Times New Roman"/>
          <w:lang w:val="en-GB"/>
        </w:rPr>
      </w:pPr>
      <w:r w:rsidRPr="00F40250">
        <w:rPr>
          <w:rFonts w:ascii="Times New Roman" w:eastAsia="Times New Roman" w:hAnsi="Times New Roman" w:cs="Times New Roman"/>
          <w:lang w:val="en-GB"/>
        </w:rPr>
        <w:t xml:space="preserve">Békefenntartó műveletek. </w:t>
      </w:r>
      <w:r w:rsidRPr="00F40250">
        <w:rPr>
          <w:rFonts w:ascii="Times New Roman" w:eastAsia="Times New Roman" w:hAnsi="Times New Roman" w:cs="Times New Roman"/>
          <w:i/>
          <w:lang w:val="en-GB"/>
        </w:rPr>
        <w:t>(Peace Support Operations)</w:t>
      </w:r>
    </w:p>
    <w:p w:rsidR="00E65CE8" w:rsidRPr="00F40250" w:rsidRDefault="00E65CE8" w:rsidP="00980876">
      <w:pPr>
        <w:numPr>
          <w:ilvl w:val="1"/>
          <w:numId w:val="587"/>
        </w:numPr>
        <w:spacing w:after="0" w:line="240" w:lineRule="auto"/>
        <w:ind w:left="993" w:hanging="633"/>
        <w:rPr>
          <w:rFonts w:ascii="Times New Roman" w:eastAsia="Times New Roman" w:hAnsi="Times New Roman" w:cs="Times New Roman"/>
          <w:i/>
          <w:lang w:val="en-GB"/>
        </w:rPr>
      </w:pPr>
      <w:r w:rsidRPr="00F40250">
        <w:rPr>
          <w:rFonts w:ascii="Times New Roman" w:eastAsia="Times New Roman" w:hAnsi="Times New Roman" w:cs="Times New Roman"/>
          <w:lang w:val="en-GB"/>
        </w:rPr>
        <w:t xml:space="preserve">Saját szakterület részletes bemutatása. </w:t>
      </w:r>
      <w:r w:rsidRPr="00F40250">
        <w:rPr>
          <w:rFonts w:ascii="Times New Roman" w:eastAsia="Times New Roman" w:hAnsi="Times New Roman" w:cs="Times New Roman"/>
          <w:i/>
          <w:lang w:val="en-GB"/>
        </w:rPr>
        <w:t>(Cadets’ own military occupational specialty in detail)</w:t>
      </w:r>
    </w:p>
    <w:p w:rsidR="00E65CE8" w:rsidRPr="00F40250" w:rsidRDefault="00E65CE8" w:rsidP="00980876">
      <w:pPr>
        <w:numPr>
          <w:ilvl w:val="1"/>
          <w:numId w:val="587"/>
        </w:numPr>
        <w:spacing w:after="0" w:line="240" w:lineRule="auto"/>
        <w:ind w:left="993" w:hanging="633"/>
        <w:rPr>
          <w:rFonts w:ascii="Times New Roman" w:eastAsia="Times New Roman" w:hAnsi="Times New Roman" w:cs="Times New Roman"/>
          <w:i/>
          <w:lang w:val="en-GB"/>
        </w:rPr>
      </w:pPr>
      <w:r w:rsidRPr="00F40250">
        <w:rPr>
          <w:rFonts w:ascii="Times New Roman" w:eastAsia="Times New Roman" w:hAnsi="Times New Roman" w:cs="Times New Roman"/>
          <w:lang w:val="en-GB"/>
        </w:rPr>
        <w:t xml:space="preserve">Magyarország biztonság-és védelempolitikája. </w:t>
      </w:r>
      <w:r w:rsidRPr="00F40250">
        <w:rPr>
          <w:rFonts w:ascii="Times New Roman" w:eastAsia="Times New Roman" w:hAnsi="Times New Roman" w:cs="Times New Roman"/>
          <w:i/>
          <w:lang w:val="en-GB"/>
        </w:rPr>
        <w:t>(Hungary’s defence and security policy)</w:t>
      </w:r>
    </w:p>
    <w:p w:rsidR="00E65CE8" w:rsidRPr="00F40250" w:rsidRDefault="00E65CE8" w:rsidP="00980876">
      <w:pPr>
        <w:numPr>
          <w:ilvl w:val="1"/>
          <w:numId w:val="587"/>
        </w:numPr>
        <w:spacing w:after="0" w:line="240" w:lineRule="auto"/>
        <w:ind w:left="993" w:hanging="633"/>
        <w:rPr>
          <w:rFonts w:ascii="Times New Roman" w:eastAsia="Times New Roman" w:hAnsi="Times New Roman" w:cs="Times New Roman"/>
          <w:lang w:val="en-GB"/>
        </w:rPr>
      </w:pPr>
      <w:r w:rsidRPr="00F40250">
        <w:rPr>
          <w:rFonts w:ascii="Times New Roman" w:eastAsia="Times New Roman" w:hAnsi="Times New Roman" w:cs="Times New Roman"/>
          <w:lang w:val="en-GB"/>
        </w:rPr>
        <w:t xml:space="preserve">Katonai szakmai szöveg értése.  </w:t>
      </w:r>
      <w:r w:rsidRPr="00F40250">
        <w:rPr>
          <w:rFonts w:ascii="Times New Roman" w:eastAsia="Times New Roman" w:hAnsi="Times New Roman" w:cs="Times New Roman"/>
          <w:i/>
          <w:lang w:val="en-GB"/>
        </w:rPr>
        <w:t>(Reading professional military texts)</w:t>
      </w:r>
      <w:r w:rsidRPr="00F40250">
        <w:rPr>
          <w:rFonts w:ascii="Times New Roman" w:eastAsia="Times New Roman" w:hAnsi="Times New Roman" w:cs="Times New Roman"/>
          <w:lang w:val="en-GB"/>
        </w:rPr>
        <w:t xml:space="preserve">  </w:t>
      </w:r>
    </w:p>
    <w:p w:rsidR="00E65CE8" w:rsidRPr="00F40250" w:rsidRDefault="00E65CE8" w:rsidP="00980876">
      <w:pPr>
        <w:numPr>
          <w:ilvl w:val="1"/>
          <w:numId w:val="587"/>
        </w:numPr>
        <w:spacing w:after="0" w:line="240" w:lineRule="auto"/>
        <w:ind w:left="993" w:hanging="633"/>
        <w:rPr>
          <w:rFonts w:ascii="Times New Roman" w:eastAsia="Times New Roman" w:hAnsi="Times New Roman" w:cs="Times New Roman"/>
          <w:lang w:val="en-GB"/>
        </w:rPr>
      </w:pPr>
      <w:r w:rsidRPr="00F40250">
        <w:rPr>
          <w:rFonts w:ascii="Times New Roman" w:eastAsia="Times New Roman" w:hAnsi="Times New Roman" w:cs="Times New Roman"/>
          <w:lang w:val="en-GB"/>
        </w:rPr>
        <w:t xml:space="preserve">Katonai szakmai témájú levél/jelentés írása. </w:t>
      </w:r>
      <w:r w:rsidRPr="00F40250">
        <w:rPr>
          <w:rFonts w:ascii="Times New Roman" w:eastAsia="Times New Roman" w:hAnsi="Times New Roman" w:cs="Times New Roman"/>
          <w:i/>
          <w:lang w:val="en-GB"/>
        </w:rPr>
        <w:t>(Writing military reports and letters)</w:t>
      </w:r>
    </w:p>
    <w:p w:rsidR="00E65CE8" w:rsidRPr="00F40250" w:rsidRDefault="00E65CE8" w:rsidP="00980876">
      <w:pPr>
        <w:numPr>
          <w:ilvl w:val="1"/>
          <w:numId w:val="587"/>
        </w:numPr>
        <w:spacing w:after="0" w:line="240" w:lineRule="auto"/>
        <w:ind w:left="993" w:hanging="633"/>
        <w:rPr>
          <w:rFonts w:ascii="Times New Roman" w:eastAsia="Times New Roman" w:hAnsi="Times New Roman" w:cs="Times New Roman"/>
          <w:i/>
          <w:lang w:val="en-GB"/>
        </w:rPr>
      </w:pPr>
      <w:r w:rsidRPr="00F40250">
        <w:rPr>
          <w:rFonts w:ascii="Times New Roman" w:eastAsia="Times New Roman" w:hAnsi="Times New Roman" w:cs="Times New Roman"/>
          <w:lang w:val="en-GB"/>
        </w:rPr>
        <w:t xml:space="preserve">Aktuális katona-politikai események, kérdések. </w:t>
      </w:r>
      <w:r w:rsidRPr="00F40250">
        <w:rPr>
          <w:rFonts w:ascii="Times New Roman" w:eastAsia="Times New Roman" w:hAnsi="Times New Roman" w:cs="Times New Roman"/>
          <w:i/>
          <w:lang w:val="en-GB"/>
        </w:rPr>
        <w:t>(Topical military-political events and issues)</w:t>
      </w:r>
    </w:p>
    <w:p w:rsidR="00E65CE8" w:rsidRPr="00F40250" w:rsidRDefault="00E65CE8" w:rsidP="00980876">
      <w:pPr>
        <w:numPr>
          <w:ilvl w:val="0"/>
          <w:numId w:val="588"/>
        </w:numPr>
        <w:tabs>
          <w:tab w:val="right" w:pos="900"/>
        </w:tabs>
        <w:spacing w:before="120" w:after="0" w:line="240" w:lineRule="auto"/>
        <w:ind w:left="357" w:hanging="357"/>
        <w:jc w:val="both"/>
        <w:rPr>
          <w:rFonts w:ascii="Times New Roman" w:eastAsia="Times New Roman" w:hAnsi="Times New Roman" w:cs="Times New Roman"/>
          <w:bCs/>
        </w:rPr>
      </w:pPr>
      <w:r w:rsidRPr="00F40250">
        <w:rPr>
          <w:rFonts w:ascii="Times New Roman" w:eastAsia="Times New Roman" w:hAnsi="Times New Roman" w:cs="Times New Roman"/>
          <w:b/>
          <w:bCs/>
        </w:rPr>
        <w:t xml:space="preserve">A tantárgy meghirdetésének gyakorisága/a tantervben történő félévi elhelyezkedése: </w:t>
      </w:r>
    </w:p>
    <w:p w:rsidR="00E65CE8" w:rsidRPr="00F40250" w:rsidRDefault="00E65CE8" w:rsidP="00E65CE8">
      <w:pPr>
        <w:tabs>
          <w:tab w:val="right" w:pos="900"/>
        </w:tabs>
        <w:spacing w:before="120" w:after="0" w:line="240" w:lineRule="auto"/>
        <w:ind w:left="360"/>
        <w:jc w:val="both"/>
        <w:rPr>
          <w:rFonts w:ascii="Times New Roman" w:eastAsia="Times New Roman" w:hAnsi="Times New Roman" w:cs="Times New Roman"/>
          <w:bCs/>
        </w:rPr>
      </w:pPr>
      <w:r w:rsidRPr="00F40250">
        <w:rPr>
          <w:rFonts w:ascii="Times New Roman" w:eastAsia="Times New Roman" w:hAnsi="Times New Roman" w:cs="Times New Roman"/>
          <w:bCs/>
          <w:lang w:eastAsia="hu-HU"/>
        </w:rPr>
        <w:t>Hadtudományi és Honvédtisztképző Karának minden alapképzési szakán nappali munkarendben</w:t>
      </w:r>
      <w:r w:rsidRPr="00F40250">
        <w:rPr>
          <w:rFonts w:ascii="Times New Roman" w:eastAsia="Times New Roman" w:hAnsi="Times New Roman" w:cs="Times New Roman"/>
          <w:b/>
          <w:bCs/>
        </w:rPr>
        <w:t xml:space="preserve"> </w:t>
      </w:r>
      <w:r w:rsidRPr="00F40250">
        <w:rPr>
          <w:rFonts w:ascii="Times New Roman" w:eastAsia="Times New Roman" w:hAnsi="Times New Roman" w:cs="Times New Roman"/>
          <w:bCs/>
        </w:rPr>
        <w:t>2. tanulmányi félévben.</w:t>
      </w:r>
    </w:p>
    <w:p w:rsidR="00E65CE8" w:rsidRPr="00F40250" w:rsidRDefault="00E65CE8" w:rsidP="00980876">
      <w:pPr>
        <w:numPr>
          <w:ilvl w:val="0"/>
          <w:numId w:val="588"/>
        </w:numPr>
        <w:tabs>
          <w:tab w:val="right" w:pos="900"/>
        </w:tabs>
        <w:spacing w:before="120" w:after="0" w:line="240" w:lineRule="auto"/>
        <w:jc w:val="both"/>
        <w:rPr>
          <w:rFonts w:ascii="Times New Roman" w:eastAsia="Times New Roman" w:hAnsi="Times New Roman" w:cs="Times New Roman"/>
          <w:bCs/>
        </w:rPr>
      </w:pPr>
      <w:r w:rsidRPr="00F40250">
        <w:rPr>
          <w:rFonts w:ascii="Times New Roman" w:eastAsia="Times New Roman" w:hAnsi="Times New Roman" w:cs="Times New Roman"/>
          <w:b/>
          <w:bCs/>
        </w:rPr>
        <w:t>A foglalkozásokon való részvétel követelményei, elfogadható hiányzások mértéke, távolmaradás pótlásának lehetősége:</w:t>
      </w:r>
      <w:r w:rsidRPr="00F40250">
        <w:rPr>
          <w:rFonts w:ascii="Times New Roman" w:eastAsia="Times New Roman" w:hAnsi="Times New Roman" w:cs="Times New Roman"/>
          <w:bCs/>
        </w:rPr>
        <w:t xml:space="preserve"> A hallgatónak a tanórák legalább 75%-án jelen kell lennie, 25% -ot meghaladó hiányzás esetén a félév teljesítése nem irható alá. A hallgató köteles az előadások és a gyakorlat anyagát beszerezni, abból önállóan felkészülni. Amennyiben a hallgató hiányzása meghaladja a 25%-ot, a hallgató köteles a félév végén a tanár által meghatározott témákból szóban beszámolni az aláírás teljesítése érdekében.</w:t>
      </w:r>
    </w:p>
    <w:p w:rsidR="00E65CE8" w:rsidRPr="00F40250" w:rsidRDefault="00E65CE8" w:rsidP="00980876">
      <w:pPr>
        <w:numPr>
          <w:ilvl w:val="0"/>
          <w:numId w:val="588"/>
        </w:numPr>
        <w:tabs>
          <w:tab w:val="right" w:pos="900"/>
        </w:tabs>
        <w:spacing w:before="120" w:after="0" w:line="240" w:lineRule="auto"/>
        <w:jc w:val="both"/>
        <w:rPr>
          <w:rFonts w:ascii="Times New Roman" w:eastAsia="Times New Roman" w:hAnsi="Times New Roman" w:cs="Times New Roman"/>
          <w:bCs/>
        </w:rPr>
      </w:pPr>
      <w:r w:rsidRPr="00F40250">
        <w:rPr>
          <w:rFonts w:ascii="Times New Roman" w:eastAsia="Times New Roman" w:hAnsi="Times New Roman" w:cs="Times New Roman"/>
          <w:b/>
        </w:rPr>
        <w:t>Félévközi feladatok, ismeretek ellenőrzésének rendje:</w:t>
      </w:r>
      <w:r w:rsidRPr="00F40250">
        <w:rPr>
          <w:rFonts w:ascii="Times New Roman" w:eastAsia="Times New Roman" w:hAnsi="Times New Roman" w:cs="Times New Roman"/>
          <w:bCs/>
        </w:rPr>
        <w:t xml:space="preserve"> </w:t>
      </w:r>
      <w:r w:rsidRPr="00F40250">
        <w:rPr>
          <w:rFonts w:ascii="Times New Roman" w:eastAsia="Times New Roman" w:hAnsi="Times New Roman" w:cs="Times New Roman"/>
        </w:rPr>
        <w:t>A foglakozás anyagainak és a kötelező irodalom feldolgozása, 2 zárthelyi dolgozat és egy szóbeli beszámoló legalább 60%-os értékeléssel történő teljesítése a tanár előzetes bejelentése alapján, a foglalkozások ismereteiből. A zárthelyi dolgozat és a szóbeli beszámoló értékelése: ötfokozatú értékelés – (a helyes válaszok aránya 0-60% elégtelen; 61-70% elégséges; 71-80% közepes; 81-90% jó; 91-100% jeles osztályzat). Eredménytelen zárthelyi dolgozat kétszer javítható a tanárral egyeztetett időpontban.</w:t>
      </w:r>
    </w:p>
    <w:p w:rsidR="00E65CE8" w:rsidRPr="00F40250" w:rsidRDefault="00E65CE8" w:rsidP="00980876">
      <w:pPr>
        <w:numPr>
          <w:ilvl w:val="0"/>
          <w:numId w:val="588"/>
        </w:numPr>
        <w:tabs>
          <w:tab w:val="right" w:pos="900"/>
        </w:tabs>
        <w:spacing w:before="120" w:after="0" w:line="240" w:lineRule="auto"/>
        <w:jc w:val="both"/>
        <w:rPr>
          <w:rFonts w:ascii="Times New Roman" w:eastAsia="Times New Roman" w:hAnsi="Times New Roman" w:cs="Times New Roman"/>
          <w:bCs/>
        </w:rPr>
      </w:pPr>
      <w:r w:rsidRPr="00F40250">
        <w:rPr>
          <w:rFonts w:ascii="Times New Roman" w:eastAsia="Times New Roman" w:hAnsi="Times New Roman" w:cs="Times New Roman"/>
          <w:b/>
          <w:bCs/>
        </w:rPr>
        <w:t xml:space="preserve">Az értékelés, az aláírás és a kreditek megszerzésének pontos feltételei </w:t>
      </w:r>
    </w:p>
    <w:p w:rsidR="00E65CE8" w:rsidRPr="00F40250" w:rsidRDefault="00E65CE8" w:rsidP="00980876">
      <w:pPr>
        <w:numPr>
          <w:ilvl w:val="1"/>
          <w:numId w:val="588"/>
        </w:numPr>
        <w:tabs>
          <w:tab w:val="right" w:pos="900"/>
        </w:tabs>
        <w:spacing w:before="120" w:after="0" w:line="240" w:lineRule="auto"/>
        <w:jc w:val="both"/>
        <w:rPr>
          <w:rFonts w:ascii="Times New Roman" w:eastAsia="Times New Roman" w:hAnsi="Times New Roman" w:cs="Times New Roman"/>
          <w:bCs/>
        </w:rPr>
      </w:pPr>
      <w:r w:rsidRPr="00F40250">
        <w:rPr>
          <w:rFonts w:ascii="Times New Roman" w:eastAsia="Times New Roman" w:hAnsi="Times New Roman" w:cs="Times New Roman"/>
          <w:b/>
        </w:rPr>
        <w:t xml:space="preserve">Az aláírás megszerzésének feltételei: </w:t>
      </w:r>
      <w:r w:rsidRPr="00F40250">
        <w:rPr>
          <w:rFonts w:ascii="Times New Roman" w:eastAsia="Times New Roman" w:hAnsi="Times New Roman" w:cs="Times New Roman"/>
        </w:rPr>
        <w:t>Az aláírás megszerzésének feltétele a 14. pontban meghatározott arányú részvétel a foglalkozásokon és a 15. pontban meghatározott félévközi feladatok legalább elégséges teljesítése.</w:t>
      </w:r>
    </w:p>
    <w:p w:rsidR="00E65CE8" w:rsidRPr="00F40250" w:rsidRDefault="00E65CE8" w:rsidP="00980876">
      <w:pPr>
        <w:numPr>
          <w:ilvl w:val="1"/>
          <w:numId w:val="588"/>
        </w:numPr>
        <w:tabs>
          <w:tab w:val="right" w:pos="900"/>
        </w:tabs>
        <w:spacing w:before="120" w:after="0" w:line="240" w:lineRule="auto"/>
        <w:jc w:val="both"/>
        <w:rPr>
          <w:rFonts w:ascii="Times New Roman" w:eastAsia="Times New Roman" w:hAnsi="Times New Roman" w:cs="Times New Roman"/>
          <w:bCs/>
        </w:rPr>
      </w:pPr>
      <w:r w:rsidRPr="00F40250">
        <w:rPr>
          <w:rFonts w:ascii="Times New Roman" w:eastAsia="Times New Roman" w:hAnsi="Times New Roman" w:cs="Times New Roman"/>
          <w:b/>
        </w:rPr>
        <w:t xml:space="preserve">Az értékelés: </w:t>
      </w:r>
      <w:r w:rsidRPr="00F40250">
        <w:rPr>
          <w:rFonts w:ascii="Times New Roman" w:eastAsia="Times New Roman" w:hAnsi="Times New Roman" w:cs="Times New Roman"/>
        </w:rPr>
        <w:t>a 16.1 pont alapján.</w:t>
      </w:r>
    </w:p>
    <w:p w:rsidR="00E65CE8" w:rsidRPr="00F40250" w:rsidRDefault="00E65CE8" w:rsidP="00980876">
      <w:pPr>
        <w:numPr>
          <w:ilvl w:val="1"/>
          <w:numId w:val="588"/>
        </w:numPr>
        <w:tabs>
          <w:tab w:val="right" w:pos="900"/>
        </w:tabs>
        <w:spacing w:before="120" w:after="0" w:line="240" w:lineRule="auto"/>
        <w:jc w:val="both"/>
        <w:rPr>
          <w:rFonts w:ascii="Times New Roman" w:eastAsia="Times New Roman" w:hAnsi="Times New Roman" w:cs="Times New Roman"/>
          <w:bCs/>
        </w:rPr>
      </w:pPr>
      <w:r w:rsidRPr="00F40250">
        <w:rPr>
          <w:rFonts w:ascii="Times New Roman" w:eastAsia="Times New Roman" w:hAnsi="Times New Roman" w:cs="Times New Roman"/>
          <w:b/>
        </w:rPr>
        <w:t xml:space="preserve">A kreditek megszerzésének feltételei: </w:t>
      </w:r>
      <w:r w:rsidRPr="00F40250">
        <w:rPr>
          <w:rFonts w:ascii="Times New Roman" w:eastAsia="Times New Roman" w:hAnsi="Times New Roman" w:cs="Times New Roman"/>
        </w:rPr>
        <w:t>A tantárgy kritérium követelmény, így nem rendelkezik kreditmegszerzési feltételekkel.</w:t>
      </w:r>
    </w:p>
    <w:p w:rsidR="00E65CE8" w:rsidRPr="00F40250" w:rsidRDefault="00E65CE8" w:rsidP="00980876">
      <w:pPr>
        <w:numPr>
          <w:ilvl w:val="0"/>
          <w:numId w:val="588"/>
        </w:numPr>
        <w:tabs>
          <w:tab w:val="right" w:pos="900"/>
        </w:tabs>
        <w:spacing w:before="120" w:after="0" w:line="240" w:lineRule="auto"/>
        <w:jc w:val="both"/>
        <w:rPr>
          <w:rFonts w:ascii="Times New Roman" w:eastAsia="Times New Roman" w:hAnsi="Times New Roman" w:cs="Times New Roman"/>
          <w:bCs/>
          <w:lang w:eastAsia="hu-HU"/>
        </w:rPr>
      </w:pPr>
      <w:r w:rsidRPr="00F40250">
        <w:rPr>
          <w:rFonts w:ascii="Times New Roman" w:eastAsia="Times New Roman" w:hAnsi="Times New Roman" w:cs="Times New Roman"/>
          <w:b/>
          <w:bCs/>
          <w:lang w:eastAsia="hu-HU"/>
        </w:rPr>
        <w:t>Irodalomjegyzék:</w:t>
      </w:r>
    </w:p>
    <w:p w:rsidR="00E65CE8" w:rsidRPr="00F40250" w:rsidRDefault="00E65CE8" w:rsidP="00980876">
      <w:pPr>
        <w:numPr>
          <w:ilvl w:val="1"/>
          <w:numId w:val="588"/>
        </w:numPr>
        <w:tabs>
          <w:tab w:val="right" w:pos="900"/>
          <w:tab w:val="center" w:pos="4536"/>
          <w:tab w:val="right" w:pos="9072"/>
        </w:tabs>
        <w:spacing w:before="120" w:after="0" w:line="240" w:lineRule="auto"/>
        <w:jc w:val="both"/>
        <w:rPr>
          <w:rFonts w:ascii="Times New Roman" w:eastAsia="Times New Roman" w:hAnsi="Times New Roman" w:cs="Times New Roman"/>
          <w:bCs/>
          <w:lang w:eastAsia="hu-HU"/>
        </w:rPr>
      </w:pPr>
      <w:r w:rsidRPr="00F40250">
        <w:rPr>
          <w:rFonts w:ascii="Times New Roman" w:eastAsia="Times New Roman" w:hAnsi="Times New Roman" w:cs="Times New Roman"/>
          <w:bCs/>
          <w:lang w:eastAsia="hu-HU"/>
        </w:rPr>
        <w:t>Kötelező irodalom:</w:t>
      </w:r>
    </w:p>
    <w:p w:rsidR="00E65CE8" w:rsidRPr="006735CC" w:rsidRDefault="00E65CE8" w:rsidP="00980876">
      <w:pPr>
        <w:numPr>
          <w:ilvl w:val="0"/>
          <w:numId w:val="589"/>
        </w:numPr>
        <w:tabs>
          <w:tab w:val="right" w:pos="900"/>
        </w:tabs>
        <w:spacing w:before="120" w:after="0" w:line="240" w:lineRule="auto"/>
        <w:ind w:left="851"/>
        <w:contextualSpacing/>
        <w:jc w:val="both"/>
        <w:rPr>
          <w:rFonts w:ascii="Times New Roman" w:eastAsia="Times New Roman" w:hAnsi="Times New Roman" w:cs="Times New Roman"/>
          <w:bCs/>
          <w:highlight w:val="yellow"/>
          <w:lang w:eastAsia="hu-HU"/>
        </w:rPr>
      </w:pPr>
      <w:r w:rsidRPr="006735CC">
        <w:rPr>
          <w:rFonts w:ascii="Times New Roman" w:eastAsia="Times New Roman" w:hAnsi="Times New Roman" w:cs="Times New Roman"/>
          <w:bCs/>
          <w:highlight w:val="yellow"/>
          <w:lang w:eastAsia="hu-HU"/>
        </w:rPr>
        <w:t>Dr. Kovácsné dr. Nábrádi Márta: Basic Military English, ZMNE jegyzet</w:t>
      </w:r>
    </w:p>
    <w:p w:rsidR="00E65CE8" w:rsidRPr="006735CC" w:rsidRDefault="00E65CE8" w:rsidP="00980876">
      <w:pPr>
        <w:numPr>
          <w:ilvl w:val="0"/>
          <w:numId w:val="589"/>
        </w:numPr>
        <w:tabs>
          <w:tab w:val="right" w:pos="900"/>
        </w:tabs>
        <w:spacing w:before="120" w:after="0" w:line="240" w:lineRule="auto"/>
        <w:ind w:left="851"/>
        <w:contextualSpacing/>
        <w:jc w:val="both"/>
        <w:rPr>
          <w:rFonts w:ascii="Times New Roman" w:eastAsia="Times New Roman" w:hAnsi="Times New Roman" w:cs="Times New Roman"/>
          <w:bCs/>
          <w:highlight w:val="yellow"/>
          <w:lang w:eastAsia="hu-HU"/>
        </w:rPr>
      </w:pPr>
      <w:r w:rsidRPr="006735CC">
        <w:rPr>
          <w:rFonts w:ascii="Times New Roman" w:eastAsia="Times New Roman" w:hAnsi="Times New Roman" w:cs="Times New Roman"/>
          <w:bCs/>
          <w:highlight w:val="yellow"/>
          <w:lang w:eastAsia="hu-HU"/>
        </w:rPr>
        <w:lastRenderedPageBreak/>
        <w:t>Vadász Istvánné: Focus on the military, ZMNE jegyzet</w:t>
      </w:r>
      <w:r w:rsidRPr="006735CC">
        <w:rPr>
          <w:rFonts w:ascii="Times New Roman" w:eastAsia="Times New Roman" w:hAnsi="Times New Roman" w:cs="Times New Roman"/>
          <w:bCs/>
          <w:highlight w:val="yellow"/>
          <w:lang w:eastAsia="hu-HU"/>
        </w:rPr>
        <w:tab/>
      </w:r>
    </w:p>
    <w:p w:rsidR="00E65CE8" w:rsidRPr="006735CC" w:rsidRDefault="00E65CE8" w:rsidP="00980876">
      <w:pPr>
        <w:numPr>
          <w:ilvl w:val="0"/>
          <w:numId w:val="589"/>
        </w:numPr>
        <w:tabs>
          <w:tab w:val="right" w:pos="900"/>
        </w:tabs>
        <w:spacing w:before="120" w:after="0" w:line="240" w:lineRule="auto"/>
        <w:ind w:left="851"/>
        <w:contextualSpacing/>
        <w:jc w:val="both"/>
        <w:rPr>
          <w:rFonts w:ascii="Times New Roman" w:eastAsia="Times New Roman" w:hAnsi="Times New Roman" w:cs="Times New Roman"/>
          <w:bCs/>
          <w:highlight w:val="yellow"/>
          <w:lang w:eastAsia="hu-HU"/>
        </w:rPr>
      </w:pPr>
      <w:r w:rsidRPr="006735CC">
        <w:rPr>
          <w:rFonts w:ascii="Times New Roman" w:eastAsia="Times New Roman" w:hAnsi="Times New Roman" w:cs="Times New Roman"/>
          <w:bCs/>
          <w:highlight w:val="yellow"/>
          <w:lang w:eastAsia="hu-HU"/>
        </w:rPr>
        <w:t>Jobbágy Ilona – Katona Lucia – Kevin Shopland: General Communications Skills</w:t>
      </w:r>
    </w:p>
    <w:p w:rsidR="00E65CE8" w:rsidRPr="006735CC" w:rsidRDefault="00E65CE8" w:rsidP="00980876">
      <w:pPr>
        <w:numPr>
          <w:ilvl w:val="0"/>
          <w:numId w:val="589"/>
        </w:numPr>
        <w:tabs>
          <w:tab w:val="right" w:pos="900"/>
        </w:tabs>
        <w:spacing w:before="120" w:after="0" w:line="240" w:lineRule="auto"/>
        <w:ind w:left="851"/>
        <w:contextualSpacing/>
        <w:jc w:val="both"/>
        <w:rPr>
          <w:rFonts w:ascii="Times New Roman" w:eastAsia="Times New Roman" w:hAnsi="Times New Roman" w:cs="Times New Roman"/>
          <w:bCs/>
          <w:highlight w:val="yellow"/>
          <w:lang w:eastAsia="hu-HU"/>
        </w:rPr>
      </w:pPr>
      <w:r w:rsidRPr="006735CC">
        <w:rPr>
          <w:rFonts w:ascii="Times New Roman" w:eastAsia="Times New Roman" w:hAnsi="Times New Roman" w:cs="Times New Roman"/>
          <w:bCs/>
          <w:highlight w:val="yellow"/>
          <w:lang w:eastAsia="hu-HU"/>
        </w:rPr>
        <w:t>Némethné Hock Ildikó: 1000 kérdés 1000 válasz az „A” típusú nyelvvizsgához</w:t>
      </w:r>
    </w:p>
    <w:p w:rsidR="00E65CE8" w:rsidRPr="006735CC" w:rsidRDefault="00E65CE8" w:rsidP="00980876">
      <w:pPr>
        <w:numPr>
          <w:ilvl w:val="0"/>
          <w:numId w:val="589"/>
        </w:numPr>
        <w:tabs>
          <w:tab w:val="right" w:pos="900"/>
        </w:tabs>
        <w:spacing w:before="120" w:after="0" w:line="240" w:lineRule="auto"/>
        <w:ind w:left="851"/>
        <w:contextualSpacing/>
        <w:jc w:val="both"/>
        <w:rPr>
          <w:rFonts w:ascii="Times New Roman" w:eastAsia="Times New Roman" w:hAnsi="Times New Roman" w:cs="Times New Roman"/>
          <w:bCs/>
          <w:highlight w:val="yellow"/>
          <w:lang w:eastAsia="hu-HU"/>
        </w:rPr>
      </w:pPr>
      <w:r w:rsidRPr="006735CC">
        <w:rPr>
          <w:rFonts w:ascii="Times New Roman" w:eastAsia="Times New Roman" w:hAnsi="Times New Roman" w:cs="Times New Roman"/>
          <w:bCs/>
          <w:highlight w:val="yellow"/>
          <w:lang w:eastAsia="hu-HU"/>
        </w:rPr>
        <w:t>Felkészítő feladatok a STANAG 2.2.2.2 nyelvvizsgára</w:t>
      </w:r>
      <w:r w:rsidR="006735CC" w:rsidRPr="006735CC">
        <w:rPr>
          <w:rFonts w:ascii="Times New Roman" w:eastAsia="Times New Roman" w:hAnsi="Times New Roman" w:cs="Times New Roman"/>
          <w:bCs/>
          <w:highlight w:val="yellow"/>
          <w:lang w:eastAsia="hu-HU"/>
        </w:rPr>
        <w:t>.</w:t>
      </w:r>
    </w:p>
    <w:p w:rsidR="00E65CE8" w:rsidRPr="00F40250" w:rsidRDefault="00E65CE8" w:rsidP="00980876">
      <w:pPr>
        <w:numPr>
          <w:ilvl w:val="1"/>
          <w:numId w:val="588"/>
        </w:numPr>
        <w:tabs>
          <w:tab w:val="right" w:pos="900"/>
          <w:tab w:val="center" w:pos="4536"/>
          <w:tab w:val="right" w:pos="9072"/>
        </w:tabs>
        <w:spacing w:before="120" w:after="120" w:line="240" w:lineRule="auto"/>
        <w:ind w:left="788" w:hanging="431"/>
        <w:jc w:val="both"/>
        <w:rPr>
          <w:rFonts w:ascii="Times New Roman" w:eastAsia="Times New Roman" w:hAnsi="Times New Roman" w:cs="Times New Roman"/>
          <w:bCs/>
          <w:lang w:eastAsia="hu-HU"/>
        </w:rPr>
      </w:pPr>
      <w:r w:rsidRPr="00F40250">
        <w:rPr>
          <w:rFonts w:ascii="Times New Roman" w:eastAsia="Times New Roman" w:hAnsi="Times New Roman" w:cs="Times New Roman"/>
          <w:bCs/>
          <w:lang w:eastAsia="hu-HU"/>
        </w:rPr>
        <w:t>Ajánlott irodalom:</w:t>
      </w:r>
    </w:p>
    <w:p w:rsidR="00E65CE8" w:rsidRPr="00F40250" w:rsidRDefault="00E65CE8" w:rsidP="00980876">
      <w:pPr>
        <w:numPr>
          <w:ilvl w:val="0"/>
          <w:numId w:val="590"/>
        </w:numPr>
        <w:spacing w:before="120" w:after="0" w:line="240" w:lineRule="auto"/>
        <w:ind w:left="851"/>
        <w:contextualSpacing/>
        <w:jc w:val="both"/>
        <w:rPr>
          <w:rFonts w:ascii="Times New Roman" w:eastAsia="Times New Roman" w:hAnsi="Times New Roman" w:cs="Times New Roman"/>
          <w:lang w:eastAsia="hu-HU"/>
        </w:rPr>
      </w:pPr>
      <w:r w:rsidRPr="00F40250">
        <w:rPr>
          <w:rFonts w:ascii="Times New Roman" w:eastAsia="Times New Roman" w:hAnsi="Times New Roman" w:cs="Times New Roman"/>
          <w:lang w:eastAsia="hu-HU"/>
        </w:rPr>
        <w:t>James Arnold – Robert SAcco: Command English</w:t>
      </w:r>
    </w:p>
    <w:p w:rsidR="00E65CE8" w:rsidRPr="00F40250" w:rsidRDefault="00E65CE8" w:rsidP="00980876">
      <w:pPr>
        <w:numPr>
          <w:ilvl w:val="0"/>
          <w:numId w:val="590"/>
        </w:numPr>
        <w:spacing w:before="120" w:after="0" w:line="240" w:lineRule="auto"/>
        <w:ind w:left="851"/>
        <w:contextualSpacing/>
        <w:jc w:val="both"/>
        <w:rPr>
          <w:rFonts w:ascii="Times New Roman" w:eastAsia="Times New Roman" w:hAnsi="Times New Roman" w:cs="Times New Roman"/>
          <w:lang w:eastAsia="hu-HU"/>
        </w:rPr>
      </w:pPr>
      <w:r w:rsidRPr="00F40250">
        <w:rPr>
          <w:rFonts w:ascii="Times New Roman" w:eastAsia="Times New Roman" w:hAnsi="Times New Roman" w:cs="Times New Roman"/>
          <w:lang w:eastAsia="hu-HU"/>
        </w:rPr>
        <w:t xml:space="preserve">Raymund Murphy: English Grammar in Use </w:t>
      </w:r>
    </w:p>
    <w:p w:rsidR="00E65CE8" w:rsidRPr="00F40250" w:rsidRDefault="00E65CE8" w:rsidP="00980876">
      <w:pPr>
        <w:numPr>
          <w:ilvl w:val="0"/>
          <w:numId w:val="590"/>
        </w:numPr>
        <w:spacing w:before="120" w:after="0" w:line="240" w:lineRule="auto"/>
        <w:ind w:left="851"/>
        <w:contextualSpacing/>
        <w:jc w:val="both"/>
        <w:rPr>
          <w:rFonts w:ascii="Times New Roman" w:eastAsia="Times New Roman" w:hAnsi="Times New Roman" w:cs="Times New Roman"/>
          <w:lang w:eastAsia="hu-HU"/>
        </w:rPr>
      </w:pPr>
      <w:r w:rsidRPr="00F40250">
        <w:rPr>
          <w:rFonts w:ascii="Times New Roman" w:eastAsia="Times New Roman" w:hAnsi="Times New Roman" w:cs="Times New Roman"/>
          <w:lang w:eastAsia="hu-HU"/>
        </w:rPr>
        <w:t>Norman Coe, Mark Harrison és Ken Paterson . Oxford Angol Nyelvtan</w:t>
      </w:r>
    </w:p>
    <w:p w:rsidR="00E65CE8" w:rsidRPr="00F40250" w:rsidRDefault="00E65CE8" w:rsidP="00980876">
      <w:pPr>
        <w:numPr>
          <w:ilvl w:val="0"/>
          <w:numId w:val="590"/>
        </w:numPr>
        <w:spacing w:before="120" w:after="0" w:line="240" w:lineRule="auto"/>
        <w:ind w:left="851"/>
        <w:contextualSpacing/>
        <w:jc w:val="both"/>
        <w:rPr>
          <w:rFonts w:ascii="Times New Roman" w:eastAsia="Times New Roman" w:hAnsi="Times New Roman" w:cs="Times New Roman"/>
          <w:lang w:eastAsia="hu-HU"/>
        </w:rPr>
      </w:pPr>
      <w:r w:rsidRPr="00F40250">
        <w:rPr>
          <w:rFonts w:ascii="Times New Roman" w:eastAsia="Times New Roman" w:hAnsi="Times New Roman" w:cs="Times New Roman"/>
          <w:lang w:eastAsia="hu-HU"/>
        </w:rPr>
        <w:t xml:space="preserve">Ruth Grain és Stuart Rodman: Oxford Word Skills Intermediate </w:t>
      </w:r>
    </w:p>
    <w:p w:rsidR="00E65CE8" w:rsidRPr="00F40250" w:rsidRDefault="00E65CE8" w:rsidP="00980876">
      <w:pPr>
        <w:numPr>
          <w:ilvl w:val="0"/>
          <w:numId w:val="590"/>
        </w:numPr>
        <w:spacing w:before="120" w:after="0" w:line="240" w:lineRule="auto"/>
        <w:ind w:left="851"/>
        <w:contextualSpacing/>
        <w:jc w:val="both"/>
        <w:rPr>
          <w:rFonts w:ascii="Times New Roman" w:eastAsia="Times New Roman" w:hAnsi="Times New Roman" w:cs="Times New Roman"/>
          <w:lang w:eastAsia="hu-HU"/>
        </w:rPr>
      </w:pPr>
      <w:r w:rsidRPr="00F40250">
        <w:rPr>
          <w:rFonts w:ascii="Times New Roman" w:eastAsia="Times New Roman" w:hAnsi="Times New Roman" w:cs="Times New Roman"/>
          <w:lang w:eastAsia="hu-HU"/>
        </w:rPr>
        <w:t>Király Zsolt: Blackbird</w:t>
      </w:r>
    </w:p>
    <w:p w:rsidR="00E65CE8" w:rsidRPr="00F40250" w:rsidRDefault="00E65CE8" w:rsidP="00E65CE8">
      <w:pPr>
        <w:tabs>
          <w:tab w:val="right" w:pos="900"/>
        </w:tabs>
        <w:spacing w:before="120" w:after="0" w:line="240" w:lineRule="auto"/>
        <w:rPr>
          <w:rFonts w:ascii="Times New Roman" w:eastAsia="Times New Roman" w:hAnsi="Times New Roman" w:cs="Times New Roman"/>
          <w:bCs/>
        </w:rPr>
      </w:pPr>
    </w:p>
    <w:p w:rsidR="00E65CE8" w:rsidRPr="00F40250" w:rsidRDefault="00E65CE8" w:rsidP="00E65CE8">
      <w:pPr>
        <w:tabs>
          <w:tab w:val="right" w:pos="900"/>
        </w:tabs>
        <w:spacing w:before="120" w:after="0" w:line="240" w:lineRule="auto"/>
        <w:rPr>
          <w:rFonts w:ascii="Times New Roman" w:eastAsia="Times New Roman" w:hAnsi="Times New Roman" w:cs="Times New Roman"/>
          <w:bCs/>
          <w:lang w:eastAsia="hu-HU"/>
        </w:rPr>
      </w:pPr>
      <w:r w:rsidRPr="00F40250">
        <w:rPr>
          <w:rFonts w:ascii="Times New Roman" w:eastAsia="Times New Roman" w:hAnsi="Times New Roman" w:cs="Times New Roman"/>
          <w:bCs/>
        </w:rPr>
        <w:t>Budapest, 2020. február 5.</w:t>
      </w:r>
    </w:p>
    <w:p w:rsidR="00E65CE8" w:rsidRPr="00F40250" w:rsidRDefault="00E65CE8" w:rsidP="00E65CE8">
      <w:pPr>
        <w:tabs>
          <w:tab w:val="right" w:pos="900"/>
        </w:tabs>
        <w:spacing w:before="120" w:after="0" w:line="240" w:lineRule="auto"/>
        <w:ind w:left="5103"/>
        <w:jc w:val="right"/>
        <w:rPr>
          <w:rFonts w:ascii="Times New Roman" w:eastAsia="Times New Roman" w:hAnsi="Times New Roman" w:cs="Times New Roman"/>
          <w:bCs/>
        </w:rPr>
      </w:pPr>
      <w:r w:rsidRPr="00F40250">
        <w:rPr>
          <w:rFonts w:ascii="Times New Roman" w:eastAsia="Times New Roman" w:hAnsi="Times New Roman" w:cs="Times New Roman"/>
        </w:rPr>
        <w:t>Dr. Kiss Gabriella PhD.</w:t>
      </w:r>
    </w:p>
    <w:p w:rsidR="00E65CE8" w:rsidRPr="00F40250" w:rsidRDefault="00E65CE8" w:rsidP="00E65CE8">
      <w:pPr>
        <w:spacing w:after="200" w:line="276" w:lineRule="auto"/>
        <w:ind w:left="5103"/>
        <w:jc w:val="right"/>
        <w:rPr>
          <w:rFonts w:ascii="Times New Roman" w:eastAsia="Times New Roman" w:hAnsi="Times New Roman" w:cs="Times New Roman"/>
        </w:rPr>
      </w:pPr>
      <w:r w:rsidRPr="00F40250">
        <w:rPr>
          <w:rFonts w:ascii="Times New Roman" w:eastAsia="Times New Roman" w:hAnsi="Times New Roman" w:cs="Times New Roman"/>
        </w:rPr>
        <w:t>tantárgyfelelős sk.</w:t>
      </w:r>
    </w:p>
    <w:p w:rsidR="00E65CE8" w:rsidRPr="00F40250" w:rsidRDefault="00E65CE8" w:rsidP="00E65CE8">
      <w:pPr>
        <w:rPr>
          <w:rFonts w:ascii="Times New Roman" w:eastAsia="Times New Roman" w:hAnsi="Times New Roman" w:cs="Times New Roman"/>
          <w:bCs/>
        </w:rPr>
      </w:pPr>
    </w:p>
    <w:p w:rsidR="00E65CE8" w:rsidRPr="00F40250" w:rsidRDefault="00E65CE8" w:rsidP="00E65CE8">
      <w:pPr>
        <w:rPr>
          <w:rFonts w:ascii="Times New Roman" w:eastAsia="Times New Roman" w:hAnsi="Times New Roman" w:cs="Times New Roman"/>
          <w:bCs/>
        </w:rPr>
      </w:pPr>
      <w:r w:rsidRPr="00F40250">
        <w:rPr>
          <w:rFonts w:ascii="Times New Roman" w:eastAsia="Times New Roman" w:hAnsi="Times New Roman" w:cs="Times New Roman"/>
          <w:bCs/>
        </w:rPr>
        <w:br w:type="page"/>
      </w:r>
    </w:p>
    <w:tbl>
      <w:tblPr>
        <w:tblW w:w="11669" w:type="dxa"/>
        <w:tblInd w:w="113" w:type="dxa"/>
        <w:tblLook w:val="01E0" w:firstRow="1" w:lastRow="1" w:firstColumn="1" w:lastColumn="1" w:noHBand="0" w:noVBand="0"/>
      </w:tblPr>
      <w:tblGrid>
        <w:gridCol w:w="5382"/>
        <w:gridCol w:w="1093"/>
        <w:gridCol w:w="2597"/>
        <w:gridCol w:w="2597"/>
      </w:tblGrid>
      <w:tr w:rsidR="00E65CE8" w:rsidRPr="00F40250" w:rsidTr="00E65CE8">
        <w:tc>
          <w:tcPr>
            <w:tcW w:w="5382" w:type="dxa"/>
            <w:tcBorders>
              <w:bottom w:val="single" w:sz="4" w:space="0" w:color="auto"/>
            </w:tcBorders>
          </w:tcPr>
          <w:p w:rsidR="00E65CE8" w:rsidRPr="00F40250" w:rsidRDefault="00E65CE8" w:rsidP="00E65CE8">
            <w:pPr>
              <w:spacing w:after="0" w:line="240" w:lineRule="auto"/>
              <w:jc w:val="center"/>
              <w:rPr>
                <w:rFonts w:ascii="Times New Roman" w:eastAsia="Times New Roman" w:hAnsi="Times New Roman" w:cs="Times New Roman"/>
                <w:b/>
                <w:smallCaps/>
                <w:lang w:eastAsia="hu-HU"/>
              </w:rPr>
            </w:pPr>
            <w:r w:rsidRPr="00F40250">
              <w:rPr>
                <w:rFonts w:ascii="Times New Roman" w:eastAsia="Times New Roman" w:hAnsi="Times New Roman" w:cs="Times New Roman"/>
                <w:b/>
                <w:smallCaps/>
                <w:lang w:eastAsia="hu-HU"/>
              </w:rPr>
              <w:lastRenderedPageBreak/>
              <w:t>Nemzeti Közszolgálati Egyetem</w:t>
            </w:r>
          </w:p>
        </w:tc>
        <w:tc>
          <w:tcPr>
            <w:tcW w:w="1093" w:type="dxa"/>
          </w:tcPr>
          <w:p w:rsidR="00E65CE8" w:rsidRPr="00F40250" w:rsidRDefault="00E65CE8" w:rsidP="00E65CE8">
            <w:pPr>
              <w:spacing w:after="0" w:line="240" w:lineRule="auto"/>
              <w:jc w:val="both"/>
              <w:rPr>
                <w:rFonts w:ascii="Times New Roman" w:eastAsia="Times New Roman" w:hAnsi="Times New Roman" w:cs="Times New Roman"/>
                <w:lang w:eastAsia="hu-HU"/>
              </w:rPr>
            </w:pPr>
          </w:p>
        </w:tc>
        <w:tc>
          <w:tcPr>
            <w:tcW w:w="2597" w:type="dxa"/>
          </w:tcPr>
          <w:p w:rsidR="00E65CE8" w:rsidRPr="00F40250" w:rsidRDefault="00E65CE8" w:rsidP="00E65CE8">
            <w:pPr>
              <w:spacing w:after="0" w:line="240" w:lineRule="auto"/>
              <w:jc w:val="right"/>
              <w:rPr>
                <w:rFonts w:ascii="Times New Roman" w:eastAsia="Times New Roman" w:hAnsi="Times New Roman" w:cs="Times New Roman"/>
                <w:lang w:eastAsia="hu-HU"/>
              </w:rPr>
            </w:pPr>
            <w:r w:rsidRPr="00F40250">
              <w:rPr>
                <w:rFonts w:ascii="Times New Roman" w:eastAsia="Times New Roman" w:hAnsi="Times New Roman" w:cs="Times New Roman"/>
                <w:lang w:eastAsia="hu-HU"/>
              </w:rPr>
              <w:t xml:space="preserve"> </w:t>
            </w:r>
          </w:p>
        </w:tc>
        <w:tc>
          <w:tcPr>
            <w:tcW w:w="2597" w:type="dxa"/>
          </w:tcPr>
          <w:p w:rsidR="00E65CE8" w:rsidRPr="00F40250" w:rsidRDefault="00E65CE8" w:rsidP="00E65CE8">
            <w:pPr>
              <w:spacing w:after="0" w:line="240" w:lineRule="auto"/>
              <w:jc w:val="right"/>
              <w:rPr>
                <w:rFonts w:ascii="Times New Roman" w:eastAsia="Times New Roman" w:hAnsi="Times New Roman" w:cs="Times New Roman"/>
                <w:lang w:eastAsia="hu-HU"/>
              </w:rPr>
            </w:pPr>
          </w:p>
        </w:tc>
      </w:tr>
      <w:tr w:rsidR="00E65CE8" w:rsidRPr="00F40250" w:rsidTr="00E65CE8">
        <w:tc>
          <w:tcPr>
            <w:tcW w:w="5382" w:type="dxa"/>
            <w:tcBorders>
              <w:top w:val="single" w:sz="4" w:space="0" w:color="auto"/>
            </w:tcBorders>
          </w:tcPr>
          <w:p w:rsidR="00E65CE8" w:rsidRPr="00F40250" w:rsidRDefault="00E65CE8" w:rsidP="00E65CE8">
            <w:pPr>
              <w:spacing w:after="0" w:line="240" w:lineRule="auto"/>
              <w:jc w:val="center"/>
              <w:rPr>
                <w:rFonts w:ascii="Times New Roman" w:eastAsia="Times New Roman" w:hAnsi="Times New Roman" w:cs="Times New Roman"/>
                <w:b/>
                <w:lang w:eastAsia="hu-HU"/>
              </w:rPr>
            </w:pPr>
            <w:r w:rsidRPr="00F40250">
              <w:rPr>
                <w:rFonts w:ascii="Times New Roman" w:eastAsia="Times New Roman" w:hAnsi="Times New Roman" w:cs="Times New Roman"/>
                <w:b/>
                <w:lang w:eastAsia="hu-HU"/>
              </w:rPr>
              <w:t>Hadtudományi és Honvédtisztképző Kar</w:t>
            </w:r>
          </w:p>
        </w:tc>
        <w:tc>
          <w:tcPr>
            <w:tcW w:w="1093" w:type="dxa"/>
          </w:tcPr>
          <w:p w:rsidR="00E65CE8" w:rsidRPr="00F40250" w:rsidRDefault="00E65CE8" w:rsidP="00E65CE8">
            <w:pPr>
              <w:spacing w:after="0" w:line="240" w:lineRule="auto"/>
              <w:jc w:val="both"/>
              <w:rPr>
                <w:rFonts w:ascii="Times New Roman" w:eastAsia="Times New Roman" w:hAnsi="Times New Roman" w:cs="Times New Roman"/>
                <w:lang w:eastAsia="hu-HU"/>
              </w:rPr>
            </w:pPr>
          </w:p>
        </w:tc>
        <w:tc>
          <w:tcPr>
            <w:tcW w:w="2597" w:type="dxa"/>
          </w:tcPr>
          <w:p w:rsidR="00E65CE8" w:rsidRPr="00F40250" w:rsidRDefault="00E65CE8" w:rsidP="00E65CE8">
            <w:pPr>
              <w:spacing w:after="0" w:line="240" w:lineRule="auto"/>
              <w:jc w:val="both"/>
              <w:rPr>
                <w:rFonts w:ascii="Times New Roman" w:eastAsia="Times New Roman" w:hAnsi="Times New Roman" w:cs="Times New Roman"/>
                <w:lang w:eastAsia="hu-HU"/>
              </w:rPr>
            </w:pPr>
          </w:p>
        </w:tc>
        <w:tc>
          <w:tcPr>
            <w:tcW w:w="2597" w:type="dxa"/>
          </w:tcPr>
          <w:p w:rsidR="00E65CE8" w:rsidRPr="00F40250" w:rsidRDefault="00E65CE8" w:rsidP="00E65CE8">
            <w:pPr>
              <w:spacing w:after="0" w:line="240" w:lineRule="auto"/>
              <w:jc w:val="both"/>
              <w:rPr>
                <w:rFonts w:ascii="Times New Roman" w:eastAsia="Times New Roman" w:hAnsi="Times New Roman" w:cs="Times New Roman"/>
                <w:lang w:eastAsia="hu-HU"/>
              </w:rPr>
            </w:pPr>
          </w:p>
        </w:tc>
      </w:tr>
    </w:tbl>
    <w:p w:rsidR="00E65CE8" w:rsidRPr="00F40250" w:rsidRDefault="00E65CE8" w:rsidP="00E65CE8">
      <w:pPr>
        <w:spacing w:before="120" w:after="0" w:line="240" w:lineRule="auto"/>
        <w:rPr>
          <w:rFonts w:ascii="Times New Roman" w:eastAsia="Times New Roman" w:hAnsi="Times New Roman" w:cs="Times New Roman"/>
          <w:b/>
          <w:bCs/>
          <w:lang w:eastAsia="hu-HU"/>
        </w:rPr>
      </w:pPr>
    </w:p>
    <w:p w:rsidR="00E65CE8" w:rsidRPr="00F40250" w:rsidRDefault="00E65CE8" w:rsidP="00E65CE8">
      <w:pPr>
        <w:spacing w:before="120" w:after="0" w:line="240" w:lineRule="auto"/>
        <w:jc w:val="center"/>
        <w:rPr>
          <w:rFonts w:ascii="Times New Roman" w:eastAsia="Times New Roman" w:hAnsi="Times New Roman" w:cs="Times New Roman"/>
          <w:b/>
          <w:bCs/>
          <w:lang w:eastAsia="hu-HU"/>
        </w:rPr>
      </w:pPr>
      <w:r w:rsidRPr="00F40250">
        <w:rPr>
          <w:rFonts w:ascii="Times New Roman" w:eastAsia="Times New Roman" w:hAnsi="Times New Roman" w:cs="Times New Roman"/>
          <w:b/>
          <w:bCs/>
          <w:lang w:eastAsia="hu-HU"/>
        </w:rPr>
        <w:t>TANTÁRGYI PROGRAM</w:t>
      </w:r>
    </w:p>
    <w:p w:rsidR="00E65CE8" w:rsidRPr="00F40250" w:rsidRDefault="00E65CE8" w:rsidP="00980876">
      <w:pPr>
        <w:numPr>
          <w:ilvl w:val="0"/>
          <w:numId w:val="591"/>
        </w:numPr>
        <w:tabs>
          <w:tab w:val="right" w:pos="900"/>
        </w:tabs>
        <w:spacing w:before="120" w:after="0" w:line="240" w:lineRule="auto"/>
        <w:jc w:val="both"/>
        <w:rPr>
          <w:rFonts w:ascii="Times New Roman" w:eastAsia="Times New Roman" w:hAnsi="Times New Roman" w:cs="Times New Roman"/>
          <w:bCs/>
          <w:lang w:eastAsia="hu-HU"/>
        </w:rPr>
      </w:pPr>
      <w:r w:rsidRPr="00F40250">
        <w:rPr>
          <w:rFonts w:ascii="Times New Roman" w:eastAsia="Times New Roman" w:hAnsi="Times New Roman" w:cs="Times New Roman"/>
          <w:b/>
          <w:bCs/>
          <w:lang w:eastAsia="hu-HU"/>
        </w:rPr>
        <w:t xml:space="preserve">A tantárgy kódja: </w:t>
      </w:r>
      <w:r w:rsidRPr="00F40250">
        <w:rPr>
          <w:rFonts w:ascii="Times New Roman" w:eastAsia="Times New Roman" w:hAnsi="Times New Roman" w:cs="Times New Roman"/>
          <w:bCs/>
          <w:lang w:eastAsia="hu-HU"/>
        </w:rPr>
        <w:t>HKISZLA201</w:t>
      </w:r>
    </w:p>
    <w:p w:rsidR="00E65CE8" w:rsidRPr="00F40250" w:rsidRDefault="00E65CE8" w:rsidP="00980876">
      <w:pPr>
        <w:numPr>
          <w:ilvl w:val="0"/>
          <w:numId w:val="591"/>
        </w:numPr>
        <w:tabs>
          <w:tab w:val="right" w:pos="900"/>
        </w:tabs>
        <w:spacing w:before="120" w:after="0" w:line="240" w:lineRule="auto"/>
        <w:jc w:val="both"/>
        <w:rPr>
          <w:rFonts w:ascii="Times New Roman" w:eastAsia="Times New Roman" w:hAnsi="Times New Roman" w:cs="Times New Roman"/>
          <w:bCs/>
          <w:lang w:eastAsia="hu-HU"/>
        </w:rPr>
      </w:pPr>
      <w:r w:rsidRPr="00F40250">
        <w:rPr>
          <w:rFonts w:ascii="Times New Roman" w:eastAsia="Times New Roman" w:hAnsi="Times New Roman" w:cs="Times New Roman"/>
          <w:b/>
          <w:bCs/>
          <w:lang w:eastAsia="hu-HU"/>
        </w:rPr>
        <w:t>A tantárgy megnevezése (magyarul):</w:t>
      </w:r>
      <w:r w:rsidRPr="00F40250">
        <w:rPr>
          <w:rFonts w:ascii="Times New Roman" w:eastAsia="Times New Roman" w:hAnsi="Times New Roman" w:cs="Times New Roman"/>
          <w:bCs/>
          <w:lang w:eastAsia="hu-HU"/>
        </w:rPr>
        <w:t xml:space="preserve"> Szakmai Angol 3 (Katonai)</w:t>
      </w:r>
    </w:p>
    <w:p w:rsidR="00E65CE8" w:rsidRPr="00F40250" w:rsidRDefault="00E65CE8" w:rsidP="00980876">
      <w:pPr>
        <w:numPr>
          <w:ilvl w:val="0"/>
          <w:numId w:val="591"/>
        </w:numPr>
        <w:tabs>
          <w:tab w:val="right" w:pos="900"/>
        </w:tabs>
        <w:spacing w:before="120" w:after="0" w:line="240" w:lineRule="auto"/>
        <w:ind w:left="357" w:hanging="357"/>
        <w:jc w:val="both"/>
        <w:rPr>
          <w:rFonts w:ascii="Times New Roman" w:eastAsia="Times New Roman" w:hAnsi="Times New Roman" w:cs="Times New Roman"/>
          <w:bCs/>
          <w:lang w:eastAsia="hu-HU"/>
        </w:rPr>
      </w:pPr>
      <w:r w:rsidRPr="00F40250">
        <w:rPr>
          <w:rFonts w:ascii="Times New Roman" w:eastAsia="Times New Roman" w:hAnsi="Times New Roman" w:cs="Times New Roman"/>
          <w:b/>
          <w:bCs/>
          <w:lang w:eastAsia="hu-HU"/>
        </w:rPr>
        <w:t>A tantárgy megnevezése (angolul):</w:t>
      </w:r>
      <w:r w:rsidRPr="00F40250">
        <w:rPr>
          <w:rFonts w:ascii="Times New Roman" w:eastAsia="Times New Roman" w:hAnsi="Times New Roman" w:cs="Times New Roman"/>
          <w:bCs/>
          <w:lang w:eastAsia="hu-HU"/>
        </w:rPr>
        <w:t xml:space="preserve"> </w:t>
      </w:r>
      <w:r w:rsidRPr="00F40250">
        <w:rPr>
          <w:rFonts w:ascii="Times New Roman" w:eastAsia="Times New Roman" w:hAnsi="Times New Roman" w:cs="Times New Roman"/>
        </w:rPr>
        <w:t>Specialized English 3 (Military)</w:t>
      </w:r>
    </w:p>
    <w:p w:rsidR="00E65CE8" w:rsidRPr="00F40250" w:rsidRDefault="00E65CE8" w:rsidP="00980876">
      <w:pPr>
        <w:numPr>
          <w:ilvl w:val="0"/>
          <w:numId w:val="591"/>
        </w:numPr>
        <w:tabs>
          <w:tab w:val="right" w:pos="900"/>
        </w:tabs>
        <w:spacing w:before="120" w:after="0" w:line="240" w:lineRule="auto"/>
        <w:ind w:left="357" w:hanging="357"/>
        <w:jc w:val="both"/>
        <w:rPr>
          <w:rFonts w:ascii="Times New Roman" w:eastAsia="Times New Roman" w:hAnsi="Times New Roman" w:cs="Times New Roman"/>
          <w:bCs/>
          <w:lang w:eastAsia="hu-HU"/>
        </w:rPr>
      </w:pPr>
      <w:r w:rsidRPr="00F40250">
        <w:rPr>
          <w:rFonts w:ascii="Times New Roman" w:eastAsia="Times New Roman" w:hAnsi="Times New Roman" w:cs="Times New Roman"/>
          <w:b/>
          <w:bCs/>
          <w:lang w:eastAsia="hu-HU"/>
        </w:rPr>
        <w:t xml:space="preserve">Kreditérték és képzési karakter: </w:t>
      </w:r>
    </w:p>
    <w:p w:rsidR="00E65CE8" w:rsidRPr="00F40250" w:rsidRDefault="00E65CE8" w:rsidP="00980876">
      <w:pPr>
        <w:numPr>
          <w:ilvl w:val="1"/>
          <w:numId w:val="591"/>
        </w:numPr>
        <w:tabs>
          <w:tab w:val="right" w:pos="900"/>
        </w:tabs>
        <w:spacing w:before="120" w:after="0" w:line="240" w:lineRule="auto"/>
        <w:jc w:val="both"/>
        <w:rPr>
          <w:rFonts w:ascii="Times New Roman" w:eastAsia="Times New Roman" w:hAnsi="Times New Roman" w:cs="Times New Roman"/>
          <w:bCs/>
          <w:lang w:eastAsia="hu-HU"/>
        </w:rPr>
      </w:pPr>
      <w:r w:rsidRPr="00F40250">
        <w:rPr>
          <w:rFonts w:ascii="Times New Roman" w:eastAsia="Times New Roman" w:hAnsi="Times New Roman" w:cs="Times New Roman"/>
          <w:bCs/>
          <w:lang w:eastAsia="hu-HU"/>
        </w:rPr>
        <w:t>0 kredit</w:t>
      </w:r>
    </w:p>
    <w:p w:rsidR="00D35FCF" w:rsidRPr="00821665" w:rsidRDefault="00D35FCF" w:rsidP="00980876">
      <w:pPr>
        <w:numPr>
          <w:ilvl w:val="1"/>
          <w:numId w:val="591"/>
        </w:numPr>
        <w:tabs>
          <w:tab w:val="right" w:pos="900"/>
        </w:tabs>
        <w:spacing w:before="120" w:after="0" w:line="240" w:lineRule="auto"/>
        <w:jc w:val="both"/>
        <w:rPr>
          <w:rFonts w:ascii="Times New Roman" w:eastAsia="Times New Roman" w:hAnsi="Times New Roman" w:cs="Times New Roman"/>
          <w:bCs/>
          <w:lang w:eastAsia="hu-HU"/>
        </w:rPr>
      </w:pPr>
      <w:r w:rsidRPr="00821665">
        <w:rPr>
          <w:rFonts w:ascii="Times New Roman" w:eastAsia="Times New Roman" w:hAnsi="Times New Roman" w:cs="Times New Roman"/>
          <w:bCs/>
          <w:lang w:eastAsia="hu-HU"/>
        </w:rPr>
        <w:t>a tantárgy elméleti vagy gyakorlati jellegének mértéke: 50% gyakorlat, 50% elmélet</w:t>
      </w:r>
    </w:p>
    <w:p w:rsidR="00E65CE8" w:rsidRPr="00F40250" w:rsidRDefault="00E65CE8" w:rsidP="00980876">
      <w:pPr>
        <w:numPr>
          <w:ilvl w:val="0"/>
          <w:numId w:val="591"/>
        </w:numPr>
        <w:tabs>
          <w:tab w:val="right" w:pos="900"/>
        </w:tabs>
        <w:spacing w:before="120" w:after="0" w:line="240" w:lineRule="auto"/>
        <w:ind w:left="357" w:hanging="357"/>
        <w:jc w:val="both"/>
        <w:rPr>
          <w:rFonts w:ascii="Times New Roman" w:eastAsia="Times New Roman" w:hAnsi="Times New Roman" w:cs="Times New Roman"/>
          <w:bCs/>
          <w:lang w:eastAsia="hu-HU"/>
        </w:rPr>
      </w:pPr>
      <w:r w:rsidRPr="00F40250">
        <w:rPr>
          <w:rFonts w:ascii="Times New Roman" w:eastAsia="Times New Roman" w:hAnsi="Times New Roman" w:cs="Times New Roman"/>
          <w:b/>
          <w:bCs/>
          <w:lang w:eastAsia="hu-HU"/>
        </w:rPr>
        <w:t>A szak(ok), szakirányok megnevezése (ahol oktatják):</w:t>
      </w:r>
      <w:r w:rsidRPr="00F40250">
        <w:rPr>
          <w:rFonts w:ascii="Times New Roman" w:eastAsia="Times New Roman" w:hAnsi="Times New Roman" w:cs="Times New Roman"/>
          <w:bCs/>
          <w:lang w:eastAsia="hu-HU"/>
        </w:rPr>
        <w:t xml:space="preserve"> A Nemzeti Közszolgálati Egyetem Hadtudományi és Honvédtisztképző Karának minden alapképzési szakán nappali munkarendben</w:t>
      </w:r>
    </w:p>
    <w:p w:rsidR="00E65CE8" w:rsidRPr="00F40250" w:rsidRDefault="00E65CE8" w:rsidP="00980876">
      <w:pPr>
        <w:numPr>
          <w:ilvl w:val="0"/>
          <w:numId w:val="591"/>
        </w:numPr>
        <w:spacing w:before="120" w:after="200" w:line="240" w:lineRule="auto"/>
        <w:ind w:left="357" w:hanging="357"/>
        <w:contextualSpacing/>
        <w:jc w:val="both"/>
        <w:rPr>
          <w:rFonts w:ascii="Times New Roman" w:eastAsia="Times New Roman" w:hAnsi="Times New Roman" w:cs="Times New Roman"/>
          <w:b/>
          <w:bCs/>
          <w:lang w:eastAsia="hu-HU"/>
        </w:rPr>
      </w:pPr>
      <w:r w:rsidRPr="00F40250">
        <w:rPr>
          <w:rFonts w:ascii="Times New Roman" w:eastAsia="Times New Roman" w:hAnsi="Times New Roman" w:cs="Times New Roman"/>
          <w:b/>
          <w:bCs/>
        </w:rPr>
        <w:t xml:space="preserve">Az oktatásért felelős oktatási szervezeti egység megnevezése: </w:t>
      </w:r>
      <w:r w:rsidRPr="00F40250">
        <w:rPr>
          <w:rFonts w:ascii="Times New Roman" w:eastAsia="Times New Roman" w:hAnsi="Times New Roman" w:cs="Times New Roman"/>
          <w:bCs/>
          <w:lang w:eastAsia="hu-HU"/>
        </w:rPr>
        <w:t>Hadtudományi és Honvédtisztképző Kar, Idegennyelvi és Szaknyelvi Lektorátus</w:t>
      </w:r>
    </w:p>
    <w:p w:rsidR="00E65CE8" w:rsidRPr="00F40250" w:rsidRDefault="00E65CE8" w:rsidP="00980876">
      <w:pPr>
        <w:numPr>
          <w:ilvl w:val="0"/>
          <w:numId w:val="591"/>
        </w:numPr>
        <w:tabs>
          <w:tab w:val="right" w:pos="900"/>
        </w:tabs>
        <w:spacing w:before="120" w:after="0" w:line="240" w:lineRule="auto"/>
        <w:ind w:left="357" w:hanging="357"/>
        <w:jc w:val="both"/>
        <w:rPr>
          <w:rFonts w:ascii="Times New Roman" w:eastAsia="Times New Roman" w:hAnsi="Times New Roman" w:cs="Times New Roman"/>
          <w:bCs/>
          <w:lang w:eastAsia="hu-HU"/>
        </w:rPr>
      </w:pPr>
      <w:r w:rsidRPr="00F40250">
        <w:rPr>
          <w:rFonts w:ascii="Times New Roman" w:eastAsia="Times New Roman" w:hAnsi="Times New Roman" w:cs="Times New Roman"/>
          <w:b/>
          <w:bCs/>
          <w:lang w:eastAsia="hu-HU"/>
        </w:rPr>
        <w:t xml:space="preserve">A tantárgyfelelős oktató neve, beosztása, tudományos fokozata: </w:t>
      </w:r>
      <w:r w:rsidRPr="00F40250">
        <w:rPr>
          <w:rFonts w:ascii="Times New Roman" w:eastAsia="Times New Roman" w:hAnsi="Times New Roman" w:cs="Times New Roman"/>
          <w:bCs/>
          <w:lang w:eastAsia="hu-HU"/>
        </w:rPr>
        <w:t>Dr. Kiss Gabriella lektorátusvezető</w:t>
      </w:r>
    </w:p>
    <w:p w:rsidR="00E65CE8" w:rsidRPr="00F40250" w:rsidRDefault="00E65CE8" w:rsidP="00980876">
      <w:pPr>
        <w:numPr>
          <w:ilvl w:val="0"/>
          <w:numId w:val="591"/>
        </w:numPr>
        <w:tabs>
          <w:tab w:val="right" w:pos="900"/>
        </w:tabs>
        <w:spacing w:before="120" w:after="0" w:line="240" w:lineRule="auto"/>
        <w:jc w:val="both"/>
        <w:rPr>
          <w:rFonts w:ascii="Times New Roman" w:eastAsia="Times New Roman" w:hAnsi="Times New Roman" w:cs="Times New Roman"/>
          <w:bCs/>
          <w:lang w:eastAsia="hu-HU"/>
        </w:rPr>
      </w:pPr>
      <w:r w:rsidRPr="00F40250">
        <w:rPr>
          <w:rFonts w:ascii="Times New Roman" w:eastAsia="Times New Roman" w:hAnsi="Times New Roman" w:cs="Times New Roman"/>
          <w:b/>
          <w:bCs/>
          <w:lang w:eastAsia="hu-HU"/>
        </w:rPr>
        <w:t xml:space="preserve">A tanórákszáma és típusa </w:t>
      </w:r>
      <w:r w:rsidRPr="00F40250">
        <w:rPr>
          <w:rFonts w:ascii="Times New Roman" w:eastAsia="Times New Roman" w:hAnsi="Times New Roman" w:cs="Times New Roman"/>
          <w:b/>
          <w:bCs/>
          <w:i/>
          <w:lang w:eastAsia="hu-HU"/>
        </w:rPr>
        <w:t>(előadás+szeminárium+gyakorlat):</w:t>
      </w:r>
    </w:p>
    <w:p w:rsidR="00E65CE8" w:rsidRPr="00F40250" w:rsidRDefault="00E65CE8" w:rsidP="00980876">
      <w:pPr>
        <w:numPr>
          <w:ilvl w:val="1"/>
          <w:numId w:val="591"/>
        </w:numPr>
        <w:tabs>
          <w:tab w:val="right" w:pos="900"/>
        </w:tabs>
        <w:spacing w:before="120" w:after="0" w:line="240" w:lineRule="auto"/>
        <w:jc w:val="both"/>
        <w:rPr>
          <w:rFonts w:ascii="Times New Roman" w:eastAsia="Times New Roman" w:hAnsi="Times New Roman" w:cs="Times New Roman"/>
          <w:bCs/>
          <w:lang w:eastAsia="hu-HU"/>
        </w:rPr>
      </w:pPr>
      <w:r w:rsidRPr="00F40250">
        <w:rPr>
          <w:rFonts w:ascii="Times New Roman" w:eastAsia="Times New Roman" w:hAnsi="Times New Roman" w:cs="Times New Roman"/>
          <w:bCs/>
          <w:lang w:eastAsia="hu-HU"/>
        </w:rPr>
        <w:t>összóraszám: 56</w:t>
      </w:r>
    </w:p>
    <w:p w:rsidR="00D35FCF" w:rsidRPr="00821665" w:rsidRDefault="00D35FCF" w:rsidP="00980876">
      <w:pPr>
        <w:numPr>
          <w:ilvl w:val="2"/>
          <w:numId w:val="591"/>
        </w:numPr>
        <w:tabs>
          <w:tab w:val="right" w:pos="900"/>
        </w:tabs>
        <w:spacing w:before="120" w:after="0" w:line="240" w:lineRule="auto"/>
        <w:jc w:val="both"/>
        <w:rPr>
          <w:rFonts w:ascii="Times New Roman" w:eastAsia="Times New Roman" w:hAnsi="Times New Roman" w:cs="Times New Roman"/>
          <w:bCs/>
          <w:lang w:eastAsia="hu-HU"/>
        </w:rPr>
      </w:pPr>
      <w:r w:rsidRPr="00821665">
        <w:rPr>
          <w:rFonts w:ascii="Times New Roman" w:eastAsia="Times New Roman" w:hAnsi="Times New Roman" w:cs="Times New Roman"/>
          <w:bCs/>
          <w:lang w:eastAsia="hu-HU"/>
        </w:rPr>
        <w:t>Nappali munkarend: 56 óra/félév (28 EA + 0 SZ + 28 GY)</w:t>
      </w:r>
    </w:p>
    <w:p w:rsidR="00E65CE8" w:rsidRPr="00F40250" w:rsidRDefault="00E65CE8" w:rsidP="00980876">
      <w:pPr>
        <w:numPr>
          <w:ilvl w:val="2"/>
          <w:numId w:val="591"/>
        </w:numPr>
        <w:tabs>
          <w:tab w:val="right" w:pos="900"/>
        </w:tabs>
        <w:spacing w:before="120" w:after="0" w:line="240" w:lineRule="auto"/>
        <w:jc w:val="both"/>
        <w:rPr>
          <w:rFonts w:ascii="Times New Roman" w:eastAsia="Times New Roman" w:hAnsi="Times New Roman" w:cs="Times New Roman"/>
          <w:bCs/>
          <w:lang w:eastAsia="hu-HU"/>
        </w:rPr>
      </w:pPr>
      <w:r w:rsidRPr="00F40250">
        <w:rPr>
          <w:rFonts w:ascii="Times New Roman" w:eastAsia="Times New Roman" w:hAnsi="Times New Roman" w:cs="Times New Roman"/>
          <w:bCs/>
          <w:lang w:eastAsia="hu-HU"/>
        </w:rPr>
        <w:t>Levelező munkarend: -</w:t>
      </w:r>
    </w:p>
    <w:p w:rsidR="00D35FCF" w:rsidRPr="00821665" w:rsidRDefault="00D35FCF" w:rsidP="00980876">
      <w:pPr>
        <w:numPr>
          <w:ilvl w:val="1"/>
          <w:numId w:val="591"/>
        </w:numPr>
        <w:tabs>
          <w:tab w:val="right" w:pos="900"/>
        </w:tabs>
        <w:spacing w:before="120" w:after="0" w:line="240" w:lineRule="auto"/>
        <w:jc w:val="both"/>
        <w:rPr>
          <w:rFonts w:ascii="Times New Roman" w:eastAsia="Times New Roman" w:hAnsi="Times New Roman" w:cs="Times New Roman"/>
          <w:bCs/>
          <w:lang w:eastAsia="hu-HU"/>
        </w:rPr>
      </w:pPr>
      <w:r w:rsidRPr="00821665">
        <w:rPr>
          <w:rFonts w:ascii="Times New Roman" w:eastAsia="Times New Roman" w:hAnsi="Times New Roman" w:cs="Times New Roman"/>
          <w:bCs/>
          <w:lang w:eastAsia="hu-HU"/>
        </w:rPr>
        <w:t>heti óraszám - nappali munkarend: 4(2+2) óra/hét</w:t>
      </w:r>
    </w:p>
    <w:p w:rsidR="00E65CE8" w:rsidRPr="00F40250" w:rsidRDefault="00E65CE8" w:rsidP="00980876">
      <w:pPr>
        <w:numPr>
          <w:ilvl w:val="1"/>
          <w:numId w:val="591"/>
        </w:numPr>
        <w:tabs>
          <w:tab w:val="right" w:pos="900"/>
        </w:tabs>
        <w:spacing w:before="120" w:after="0" w:line="240" w:lineRule="auto"/>
        <w:jc w:val="both"/>
        <w:rPr>
          <w:rFonts w:ascii="Times New Roman" w:eastAsia="Times New Roman" w:hAnsi="Times New Roman" w:cs="Times New Roman"/>
          <w:bCs/>
          <w:lang w:eastAsia="hu-HU"/>
        </w:rPr>
      </w:pPr>
      <w:r w:rsidRPr="00F40250">
        <w:rPr>
          <w:rFonts w:ascii="Times New Roman" w:eastAsia="Times New Roman" w:hAnsi="Times New Roman" w:cs="Times New Roman"/>
          <w:bCs/>
          <w:lang w:eastAsia="hu-HU"/>
        </w:rPr>
        <w:t>Az ismeret átadásába alkalmazandó további sajátos módok, jellemzők:</w:t>
      </w:r>
    </w:p>
    <w:p w:rsidR="00E65CE8" w:rsidRPr="00F40250" w:rsidRDefault="00E65CE8" w:rsidP="00980876">
      <w:pPr>
        <w:numPr>
          <w:ilvl w:val="0"/>
          <w:numId w:val="591"/>
        </w:numPr>
        <w:tabs>
          <w:tab w:val="right" w:pos="900"/>
          <w:tab w:val="center" w:pos="4536"/>
          <w:tab w:val="right" w:pos="9072"/>
        </w:tabs>
        <w:spacing w:before="120" w:after="0" w:line="240" w:lineRule="auto"/>
        <w:ind w:left="357" w:hanging="357"/>
        <w:jc w:val="both"/>
        <w:rPr>
          <w:rFonts w:ascii="Times New Roman" w:eastAsia="Times New Roman" w:hAnsi="Times New Roman" w:cs="Times New Roman"/>
          <w:bCs/>
          <w:lang w:eastAsia="hu-HU"/>
        </w:rPr>
      </w:pPr>
      <w:r w:rsidRPr="00F40250">
        <w:rPr>
          <w:rFonts w:ascii="Times New Roman" w:eastAsia="Times New Roman" w:hAnsi="Times New Roman" w:cs="Times New Roman"/>
          <w:b/>
          <w:bCs/>
          <w:lang w:eastAsia="hu-HU"/>
        </w:rPr>
        <w:t xml:space="preserve">A tantárgy szakmai tartalma (magyarul): </w:t>
      </w:r>
      <w:r w:rsidRPr="00F40250">
        <w:rPr>
          <w:rFonts w:ascii="Times New Roman" w:eastAsia="Times New Roman" w:hAnsi="Times New Roman" w:cs="Times New Roman"/>
          <w:bCs/>
          <w:lang w:eastAsia="hu-HU"/>
        </w:rPr>
        <w:t>A szakmai angol nyelv ismereteinek elsajátítása, beszédkészség, beszédértés és íráskészségek fejlesztése.</w:t>
      </w:r>
    </w:p>
    <w:p w:rsidR="00E65CE8" w:rsidRPr="00F40250" w:rsidRDefault="00E65CE8" w:rsidP="00E65CE8">
      <w:pPr>
        <w:spacing w:before="120" w:after="0" w:line="240" w:lineRule="auto"/>
        <w:ind w:left="357"/>
        <w:contextualSpacing/>
        <w:jc w:val="both"/>
        <w:rPr>
          <w:rFonts w:ascii="Times New Roman" w:eastAsia="Times New Roman" w:hAnsi="Times New Roman" w:cs="Times New Roman"/>
          <w:bCs/>
          <w:lang w:eastAsia="hu-HU"/>
        </w:rPr>
      </w:pPr>
      <w:r w:rsidRPr="00F40250">
        <w:rPr>
          <w:rFonts w:ascii="Times New Roman" w:eastAsia="Times New Roman" w:hAnsi="Times New Roman" w:cs="Times New Roman"/>
          <w:b/>
          <w:bCs/>
          <w:lang w:eastAsia="hu-HU"/>
        </w:rPr>
        <w:t>A tantárgy szakmai tartalma (angolul):</w:t>
      </w:r>
      <w:r w:rsidRPr="00F40250">
        <w:rPr>
          <w:rFonts w:ascii="Times New Roman" w:eastAsia="Times New Roman" w:hAnsi="Times New Roman" w:cs="Times New Roman"/>
          <w:bCs/>
          <w:lang w:eastAsia="hu-HU"/>
        </w:rPr>
        <w:t xml:space="preserve"> Acquirement of professional English language, and the enhancement of speaking, listening, and writing skills.</w:t>
      </w:r>
    </w:p>
    <w:p w:rsidR="00E65CE8" w:rsidRPr="00F40250" w:rsidRDefault="00E65CE8" w:rsidP="00980876">
      <w:pPr>
        <w:numPr>
          <w:ilvl w:val="0"/>
          <w:numId w:val="591"/>
        </w:numPr>
        <w:tabs>
          <w:tab w:val="right" w:pos="900"/>
        </w:tabs>
        <w:spacing w:before="120" w:after="0" w:line="240" w:lineRule="auto"/>
        <w:jc w:val="both"/>
        <w:rPr>
          <w:rFonts w:ascii="Times New Roman" w:eastAsia="Times New Roman" w:hAnsi="Times New Roman" w:cs="Times New Roman"/>
          <w:bCs/>
          <w:lang w:eastAsia="hu-HU"/>
        </w:rPr>
      </w:pPr>
      <w:r w:rsidRPr="00F40250">
        <w:rPr>
          <w:rFonts w:ascii="Times New Roman" w:eastAsia="Times New Roman" w:hAnsi="Times New Roman" w:cs="Times New Roman"/>
          <w:b/>
          <w:bCs/>
          <w:lang w:eastAsia="hu-HU"/>
        </w:rPr>
        <w:t>Elérendő kompetenciák (magyarul):</w:t>
      </w:r>
    </w:p>
    <w:p w:rsidR="00E65CE8" w:rsidRPr="00F40250" w:rsidRDefault="00E65CE8" w:rsidP="00E65CE8">
      <w:pPr>
        <w:tabs>
          <w:tab w:val="right" w:pos="900"/>
        </w:tabs>
        <w:spacing w:before="120" w:after="0" w:line="240" w:lineRule="auto"/>
        <w:jc w:val="both"/>
        <w:rPr>
          <w:rFonts w:ascii="Times New Roman" w:eastAsia="Times New Roman" w:hAnsi="Times New Roman" w:cs="Times New Roman"/>
          <w:bCs/>
          <w:lang w:eastAsia="hu-HU"/>
        </w:rPr>
      </w:pPr>
      <w:r w:rsidRPr="00F40250">
        <w:rPr>
          <w:rFonts w:ascii="Times New Roman" w:eastAsia="Times New Roman" w:hAnsi="Times New Roman" w:cs="Times New Roman"/>
          <w:b/>
          <w:bCs/>
          <w:lang w:eastAsia="hu-HU"/>
        </w:rPr>
        <w:t>Tudása:</w:t>
      </w:r>
      <w:r w:rsidRPr="00F40250">
        <w:rPr>
          <w:rFonts w:ascii="Times New Roman" w:eastAsia="Times New Roman" w:hAnsi="Times New Roman" w:cs="Times New Roman"/>
          <w:bCs/>
          <w:lang w:eastAsia="hu-HU"/>
        </w:rPr>
        <w:t xml:space="preserve"> </w:t>
      </w:r>
    </w:p>
    <w:p w:rsidR="00E65CE8" w:rsidRPr="00F40250" w:rsidRDefault="00E65CE8" w:rsidP="00980876">
      <w:pPr>
        <w:numPr>
          <w:ilvl w:val="0"/>
          <w:numId w:val="585"/>
        </w:numPr>
        <w:tabs>
          <w:tab w:val="right" w:pos="900"/>
        </w:tabs>
        <w:spacing w:after="0" w:line="240" w:lineRule="auto"/>
        <w:ind w:left="426"/>
        <w:contextualSpacing/>
        <w:jc w:val="both"/>
        <w:rPr>
          <w:rFonts w:ascii="Times New Roman" w:eastAsia="Times New Roman" w:hAnsi="Times New Roman" w:cs="Times New Roman"/>
          <w:bCs/>
          <w:lang w:eastAsia="hu-HU"/>
        </w:rPr>
      </w:pPr>
      <w:r w:rsidRPr="00F40250">
        <w:rPr>
          <w:rFonts w:ascii="Times New Roman" w:eastAsia="Times New Roman" w:hAnsi="Times New Roman" w:cs="Times New Roman"/>
          <w:bCs/>
          <w:lang w:eastAsia="hu-HU"/>
        </w:rPr>
        <w:t>Ismeri az összfegyvernemi harc megvívásával, a harctámogatással, a harckiszolgáló támogatással, a haderőnemek, a fegyvernemek és szakcsapatok szervezeti felépítésével és harceljárásaival kapcsolatos alapszókincset.</w:t>
      </w:r>
    </w:p>
    <w:p w:rsidR="00E65CE8" w:rsidRPr="00F40250" w:rsidRDefault="00E65CE8" w:rsidP="00980876">
      <w:pPr>
        <w:numPr>
          <w:ilvl w:val="0"/>
          <w:numId w:val="585"/>
        </w:numPr>
        <w:tabs>
          <w:tab w:val="right" w:pos="900"/>
        </w:tabs>
        <w:spacing w:after="0" w:line="240" w:lineRule="auto"/>
        <w:ind w:left="426"/>
        <w:contextualSpacing/>
        <w:jc w:val="both"/>
        <w:rPr>
          <w:rFonts w:ascii="Times New Roman" w:eastAsia="Times New Roman" w:hAnsi="Times New Roman" w:cs="Times New Roman"/>
          <w:bCs/>
          <w:lang w:eastAsia="hu-HU"/>
        </w:rPr>
      </w:pPr>
      <w:r w:rsidRPr="00F40250">
        <w:rPr>
          <w:rFonts w:ascii="Times New Roman" w:eastAsia="Times New Roman" w:hAnsi="Times New Roman" w:cs="Times New Roman"/>
          <w:bCs/>
          <w:lang w:eastAsia="hu-HU"/>
        </w:rPr>
        <w:t>Birtokában van azon nyelvtani ismereteknek, melyek szükségesek az összfegyvernemi harc megvívásával, a harctámogatással, a harckiszolgáló támogatással, a haderőnemek, a fegyvernemek és szakcsapatok szervezeti felépítésével és harceljárásaival kapcsolatos kommunikáció lebonyolításához.</w:t>
      </w:r>
    </w:p>
    <w:p w:rsidR="00E65CE8" w:rsidRPr="00F40250" w:rsidRDefault="00E65CE8" w:rsidP="00980876">
      <w:pPr>
        <w:numPr>
          <w:ilvl w:val="0"/>
          <w:numId w:val="585"/>
        </w:numPr>
        <w:tabs>
          <w:tab w:val="right" w:pos="900"/>
        </w:tabs>
        <w:spacing w:after="0" w:line="240" w:lineRule="auto"/>
        <w:ind w:left="426"/>
        <w:contextualSpacing/>
        <w:jc w:val="both"/>
        <w:rPr>
          <w:rFonts w:ascii="Times New Roman" w:eastAsia="Times New Roman" w:hAnsi="Times New Roman" w:cs="Times New Roman"/>
          <w:bCs/>
          <w:lang w:eastAsia="hu-HU"/>
        </w:rPr>
      </w:pPr>
      <w:r w:rsidRPr="00F40250">
        <w:rPr>
          <w:rFonts w:ascii="Times New Roman" w:eastAsia="Times New Roman" w:hAnsi="Times New Roman" w:cs="Times New Roman"/>
          <w:bCs/>
          <w:lang w:eastAsia="hu-HU"/>
        </w:rPr>
        <w:t>Ismeri a NATO dokumentumok megértéséhez szükséges angol terminológiát</w:t>
      </w:r>
    </w:p>
    <w:p w:rsidR="00E65CE8" w:rsidRPr="00F40250" w:rsidRDefault="00E65CE8" w:rsidP="00980876">
      <w:pPr>
        <w:numPr>
          <w:ilvl w:val="0"/>
          <w:numId w:val="585"/>
        </w:numPr>
        <w:tabs>
          <w:tab w:val="right" w:pos="900"/>
        </w:tabs>
        <w:spacing w:after="0" w:line="240" w:lineRule="auto"/>
        <w:ind w:left="426"/>
        <w:contextualSpacing/>
        <w:jc w:val="both"/>
        <w:rPr>
          <w:rFonts w:ascii="Times New Roman" w:eastAsia="Times New Roman" w:hAnsi="Times New Roman" w:cs="Times New Roman"/>
          <w:bCs/>
          <w:lang w:eastAsia="hu-HU"/>
        </w:rPr>
      </w:pPr>
      <w:r w:rsidRPr="00F40250">
        <w:rPr>
          <w:rFonts w:ascii="Times New Roman" w:eastAsia="Times New Roman" w:hAnsi="Times New Roman" w:cs="Times New Roman"/>
          <w:bCs/>
          <w:lang w:eastAsia="hu-HU"/>
        </w:rPr>
        <w:t>Ismeri a béketámogató műveletek, a Magyar Honvédség békeműveleti feladatai valamint a békefenntartó eljárások leírásához szükséges angol terminológiát</w:t>
      </w:r>
    </w:p>
    <w:p w:rsidR="00E65CE8" w:rsidRPr="00F40250" w:rsidRDefault="00E65CE8" w:rsidP="00E65CE8">
      <w:pPr>
        <w:tabs>
          <w:tab w:val="right" w:pos="900"/>
        </w:tabs>
        <w:spacing w:before="120" w:after="0" w:line="240" w:lineRule="auto"/>
        <w:jc w:val="both"/>
        <w:rPr>
          <w:rFonts w:ascii="Times New Roman" w:eastAsia="Times New Roman" w:hAnsi="Times New Roman" w:cs="Times New Roman"/>
          <w:bCs/>
          <w:lang w:eastAsia="hu-HU"/>
        </w:rPr>
      </w:pPr>
      <w:r w:rsidRPr="00F40250">
        <w:rPr>
          <w:rFonts w:ascii="Times New Roman" w:eastAsia="Times New Roman" w:hAnsi="Times New Roman" w:cs="Times New Roman"/>
          <w:b/>
          <w:bCs/>
          <w:lang w:eastAsia="hu-HU"/>
        </w:rPr>
        <w:t>Képességei:</w:t>
      </w:r>
      <w:r w:rsidRPr="00F40250">
        <w:rPr>
          <w:rFonts w:ascii="Times New Roman" w:eastAsia="Times New Roman" w:hAnsi="Times New Roman" w:cs="Times New Roman"/>
          <w:bCs/>
          <w:lang w:eastAsia="hu-HU"/>
        </w:rPr>
        <w:t xml:space="preserve"> </w:t>
      </w:r>
    </w:p>
    <w:p w:rsidR="00E65CE8" w:rsidRPr="00F40250" w:rsidRDefault="00E65CE8" w:rsidP="00980876">
      <w:pPr>
        <w:numPr>
          <w:ilvl w:val="0"/>
          <w:numId w:val="584"/>
        </w:numPr>
        <w:tabs>
          <w:tab w:val="right" w:pos="900"/>
        </w:tabs>
        <w:spacing w:after="0" w:line="240" w:lineRule="auto"/>
        <w:ind w:left="426"/>
        <w:contextualSpacing/>
        <w:jc w:val="both"/>
        <w:rPr>
          <w:rFonts w:ascii="Times New Roman" w:eastAsia="Times New Roman" w:hAnsi="Times New Roman" w:cs="Times New Roman"/>
          <w:bCs/>
          <w:lang w:eastAsia="hu-HU"/>
        </w:rPr>
      </w:pPr>
      <w:r w:rsidRPr="00F40250">
        <w:rPr>
          <w:rFonts w:ascii="Times New Roman" w:eastAsia="Times New Roman" w:hAnsi="Times New Roman" w:cs="Times New Roman"/>
          <w:bCs/>
          <w:lang w:eastAsia="hu-HU"/>
        </w:rPr>
        <w:t>Képes a szakterületéhez kapcsolódó NATO dokumentumok megértésére.</w:t>
      </w:r>
    </w:p>
    <w:p w:rsidR="00E65CE8" w:rsidRPr="00F40250" w:rsidRDefault="00E65CE8" w:rsidP="00980876">
      <w:pPr>
        <w:numPr>
          <w:ilvl w:val="0"/>
          <w:numId w:val="584"/>
        </w:numPr>
        <w:tabs>
          <w:tab w:val="right" w:pos="900"/>
        </w:tabs>
        <w:spacing w:after="0" w:line="240" w:lineRule="auto"/>
        <w:ind w:left="426"/>
        <w:contextualSpacing/>
        <w:jc w:val="both"/>
        <w:rPr>
          <w:rFonts w:ascii="Times New Roman" w:eastAsia="Times New Roman" w:hAnsi="Times New Roman" w:cs="Times New Roman"/>
          <w:bCs/>
          <w:lang w:eastAsia="hu-HU"/>
        </w:rPr>
      </w:pPr>
      <w:r w:rsidRPr="00F40250">
        <w:rPr>
          <w:rFonts w:ascii="Times New Roman" w:eastAsia="Times New Roman" w:hAnsi="Times New Roman" w:cs="Times New Roman"/>
          <w:bCs/>
          <w:lang w:eastAsia="hu-HU"/>
        </w:rPr>
        <w:t>Képes alkalmazni a szakterületéhez tartozó angol terminológiát</w:t>
      </w:r>
    </w:p>
    <w:p w:rsidR="00E65CE8" w:rsidRPr="00F40250" w:rsidRDefault="00E65CE8" w:rsidP="00980876">
      <w:pPr>
        <w:numPr>
          <w:ilvl w:val="0"/>
          <w:numId w:val="584"/>
        </w:numPr>
        <w:tabs>
          <w:tab w:val="right" w:pos="900"/>
        </w:tabs>
        <w:spacing w:after="0" w:line="240" w:lineRule="auto"/>
        <w:ind w:left="426"/>
        <w:contextualSpacing/>
        <w:jc w:val="both"/>
        <w:rPr>
          <w:rFonts w:ascii="Times New Roman" w:eastAsia="Times New Roman" w:hAnsi="Times New Roman" w:cs="Times New Roman"/>
          <w:bCs/>
          <w:lang w:eastAsia="hu-HU"/>
        </w:rPr>
      </w:pPr>
      <w:r w:rsidRPr="00F40250">
        <w:rPr>
          <w:rFonts w:ascii="Times New Roman" w:eastAsia="Times New Roman" w:hAnsi="Times New Roman" w:cs="Times New Roman"/>
          <w:bCs/>
          <w:lang w:eastAsia="hu-HU"/>
        </w:rPr>
        <w:t>Képes angol nyelven dokumentumokat, nyomtatványokat, jegyzőkönyveket,  feljegyzéseket készíteni, valamint azokat kitölteni.</w:t>
      </w:r>
    </w:p>
    <w:p w:rsidR="00E65CE8" w:rsidRPr="00F40250" w:rsidRDefault="00E65CE8" w:rsidP="00980876">
      <w:pPr>
        <w:numPr>
          <w:ilvl w:val="0"/>
          <w:numId w:val="584"/>
        </w:numPr>
        <w:tabs>
          <w:tab w:val="right" w:pos="900"/>
        </w:tabs>
        <w:spacing w:after="0" w:line="240" w:lineRule="auto"/>
        <w:ind w:left="426"/>
        <w:contextualSpacing/>
        <w:jc w:val="both"/>
        <w:rPr>
          <w:rFonts w:ascii="Times New Roman" w:eastAsia="Times New Roman" w:hAnsi="Times New Roman" w:cs="Times New Roman"/>
          <w:bCs/>
          <w:lang w:eastAsia="hu-HU"/>
        </w:rPr>
      </w:pPr>
      <w:r w:rsidRPr="00F40250">
        <w:rPr>
          <w:rFonts w:ascii="Times New Roman" w:eastAsia="Times New Roman" w:hAnsi="Times New Roman" w:cs="Times New Roman"/>
          <w:bCs/>
          <w:lang w:eastAsia="hu-HU"/>
        </w:rPr>
        <w:t>Képes prezentációkat és eligazításokat tartani angol nyelven.</w:t>
      </w:r>
    </w:p>
    <w:p w:rsidR="00E65CE8" w:rsidRPr="00F40250" w:rsidRDefault="00E65CE8" w:rsidP="00980876">
      <w:pPr>
        <w:numPr>
          <w:ilvl w:val="0"/>
          <w:numId w:val="584"/>
        </w:numPr>
        <w:tabs>
          <w:tab w:val="right" w:pos="900"/>
        </w:tabs>
        <w:spacing w:after="0" w:line="240" w:lineRule="auto"/>
        <w:ind w:left="426"/>
        <w:contextualSpacing/>
        <w:jc w:val="both"/>
        <w:rPr>
          <w:rFonts w:ascii="Times New Roman" w:eastAsia="Times New Roman" w:hAnsi="Times New Roman" w:cs="Times New Roman"/>
          <w:bCs/>
          <w:lang w:eastAsia="hu-HU"/>
        </w:rPr>
      </w:pPr>
      <w:r w:rsidRPr="00F40250">
        <w:rPr>
          <w:rFonts w:ascii="Times New Roman" w:eastAsia="Times New Roman" w:hAnsi="Times New Roman" w:cs="Times New Roman"/>
          <w:bCs/>
          <w:lang w:eastAsia="hu-HU"/>
        </w:rPr>
        <w:t>Képes a szakterületéhez kapcsolódó angol nyelvű prezentációk, eligazítások és munkával kapcsolatos megbeszélések lényegét megérteni.</w:t>
      </w:r>
    </w:p>
    <w:p w:rsidR="00E65CE8" w:rsidRPr="00F40250" w:rsidRDefault="00E65CE8" w:rsidP="00980876">
      <w:pPr>
        <w:widowControl w:val="0"/>
        <w:numPr>
          <w:ilvl w:val="0"/>
          <w:numId w:val="584"/>
        </w:numPr>
        <w:spacing w:after="0" w:line="240" w:lineRule="auto"/>
        <w:ind w:left="426"/>
        <w:contextualSpacing/>
        <w:jc w:val="both"/>
        <w:rPr>
          <w:rFonts w:ascii="Times New Roman" w:eastAsia="Times New Roman" w:hAnsi="Times New Roman" w:cs="Times New Roman"/>
        </w:rPr>
      </w:pPr>
      <w:r w:rsidRPr="00F40250">
        <w:rPr>
          <w:rFonts w:ascii="Times New Roman" w:eastAsia="Times New Roman" w:hAnsi="Times New Roman" w:cs="Times New Roman"/>
        </w:rPr>
        <w:lastRenderedPageBreak/>
        <w:t>Képes oly mértékben folyékonyan és spontánul kommunikálni anyanyelvi beszélőkkel, hogy az nem jelent megerőltetést semelyik fél számára.</w:t>
      </w:r>
    </w:p>
    <w:p w:rsidR="00E65CE8" w:rsidRPr="00F40250" w:rsidRDefault="00E65CE8" w:rsidP="00E65CE8">
      <w:pPr>
        <w:tabs>
          <w:tab w:val="right" w:pos="900"/>
        </w:tabs>
        <w:spacing w:before="120" w:after="0" w:line="240" w:lineRule="auto"/>
        <w:jc w:val="both"/>
        <w:rPr>
          <w:rFonts w:ascii="Times New Roman" w:eastAsia="Times New Roman" w:hAnsi="Times New Roman" w:cs="Times New Roman"/>
          <w:bCs/>
          <w:lang w:eastAsia="hu-HU"/>
        </w:rPr>
      </w:pPr>
      <w:r w:rsidRPr="00F40250">
        <w:rPr>
          <w:rFonts w:ascii="Times New Roman" w:eastAsia="Times New Roman" w:hAnsi="Times New Roman" w:cs="Times New Roman"/>
          <w:b/>
          <w:bCs/>
          <w:lang w:eastAsia="hu-HU"/>
        </w:rPr>
        <w:t>Attitüdje:</w:t>
      </w:r>
      <w:r w:rsidRPr="00F40250">
        <w:rPr>
          <w:rFonts w:ascii="Times New Roman" w:eastAsia="Times New Roman" w:hAnsi="Times New Roman" w:cs="Times New Roman"/>
          <w:bCs/>
          <w:lang w:eastAsia="hu-HU"/>
        </w:rPr>
        <w:t xml:space="preserve"> </w:t>
      </w:r>
    </w:p>
    <w:p w:rsidR="00E65CE8" w:rsidRPr="00F40250" w:rsidRDefault="00E65CE8" w:rsidP="00980876">
      <w:pPr>
        <w:numPr>
          <w:ilvl w:val="0"/>
          <w:numId w:val="5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contextualSpacing/>
        <w:jc w:val="both"/>
        <w:rPr>
          <w:rFonts w:ascii="Times New Roman" w:eastAsia="Times New Roman" w:hAnsi="Times New Roman" w:cs="Times New Roman"/>
        </w:rPr>
      </w:pPr>
      <w:r w:rsidRPr="00F40250">
        <w:rPr>
          <w:rFonts w:ascii="Times New Roman" w:eastAsia="Times New Roman" w:hAnsi="Times New Roman" w:cs="Times New Roman"/>
        </w:rPr>
        <w:t>Hajlandó elsajátítani a szakterületéhez tartozó új terminológiát, igyekszik annak megértésére és használatára, és törekszik a saját szakterületén a folyamatos nyelvi vonatkozású önképzésre.</w:t>
      </w:r>
    </w:p>
    <w:p w:rsidR="00E65CE8" w:rsidRPr="00F40250" w:rsidRDefault="00E65CE8" w:rsidP="00980876">
      <w:pPr>
        <w:numPr>
          <w:ilvl w:val="0"/>
          <w:numId w:val="5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contextualSpacing/>
        <w:jc w:val="both"/>
        <w:rPr>
          <w:rFonts w:ascii="Times New Roman" w:eastAsia="Times New Roman" w:hAnsi="Times New Roman" w:cs="Times New Roman"/>
        </w:rPr>
      </w:pPr>
      <w:r w:rsidRPr="00F40250">
        <w:rPr>
          <w:rFonts w:ascii="Times New Roman" w:eastAsia="Times New Roman" w:hAnsi="Times New Roman" w:cs="Times New Roman"/>
        </w:rPr>
        <w:t>Az angol nyelv használata során pontosságra törekszik.</w:t>
      </w:r>
    </w:p>
    <w:p w:rsidR="00E65CE8" w:rsidRPr="00F40250" w:rsidRDefault="00E65CE8" w:rsidP="00980876">
      <w:pPr>
        <w:numPr>
          <w:ilvl w:val="0"/>
          <w:numId w:val="5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contextualSpacing/>
        <w:jc w:val="both"/>
        <w:rPr>
          <w:rFonts w:ascii="Times New Roman" w:eastAsia="Times New Roman" w:hAnsi="Times New Roman" w:cs="Times New Roman"/>
        </w:rPr>
      </w:pPr>
      <w:r w:rsidRPr="00F40250">
        <w:rPr>
          <w:rFonts w:ascii="Times New Roman" w:eastAsia="Times New Roman" w:hAnsi="Times New Roman" w:cs="Times New Roman"/>
        </w:rPr>
        <w:t>Nem fél vagy szégyell segítséget kérni abban az esetben, ha nehézségekkel szembesül a nyelvhasználat során.</w:t>
      </w:r>
    </w:p>
    <w:p w:rsidR="00E65CE8" w:rsidRPr="00F40250" w:rsidRDefault="00E65CE8" w:rsidP="00980876">
      <w:pPr>
        <w:numPr>
          <w:ilvl w:val="0"/>
          <w:numId w:val="5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contextualSpacing/>
        <w:jc w:val="both"/>
        <w:rPr>
          <w:rFonts w:ascii="Times New Roman" w:eastAsia="Times New Roman" w:hAnsi="Times New Roman" w:cs="Times New Roman"/>
        </w:rPr>
      </w:pPr>
      <w:r w:rsidRPr="00F40250">
        <w:rPr>
          <w:rFonts w:ascii="Times New Roman" w:eastAsia="Times New Roman" w:hAnsi="Times New Roman" w:cs="Times New Roman"/>
        </w:rPr>
        <w:t>Minden alkalmat megragad nyelvi készségeinek fejlesztésére.</w:t>
      </w:r>
    </w:p>
    <w:p w:rsidR="00E65CE8" w:rsidRPr="00F40250" w:rsidRDefault="00E65CE8" w:rsidP="00E65CE8">
      <w:pPr>
        <w:tabs>
          <w:tab w:val="right" w:pos="900"/>
        </w:tabs>
        <w:spacing w:before="120" w:after="0" w:line="240" w:lineRule="auto"/>
        <w:jc w:val="both"/>
        <w:rPr>
          <w:rFonts w:ascii="Times New Roman" w:eastAsia="Times New Roman" w:hAnsi="Times New Roman" w:cs="Times New Roman"/>
          <w:bCs/>
          <w:lang w:eastAsia="hu-HU"/>
        </w:rPr>
      </w:pPr>
      <w:r w:rsidRPr="00F40250">
        <w:rPr>
          <w:rFonts w:ascii="Times New Roman" w:eastAsia="Times New Roman" w:hAnsi="Times New Roman" w:cs="Times New Roman"/>
          <w:b/>
          <w:bCs/>
          <w:lang w:eastAsia="hu-HU"/>
        </w:rPr>
        <w:t>Autonómiája és felelőssége:</w:t>
      </w:r>
      <w:r w:rsidRPr="00F40250">
        <w:rPr>
          <w:rFonts w:ascii="Times New Roman" w:eastAsia="Times New Roman" w:hAnsi="Times New Roman" w:cs="Times New Roman"/>
          <w:bCs/>
          <w:lang w:eastAsia="hu-HU"/>
        </w:rPr>
        <w:t xml:space="preserve"> </w:t>
      </w:r>
    </w:p>
    <w:p w:rsidR="00E65CE8" w:rsidRPr="00F40250" w:rsidRDefault="00E65CE8" w:rsidP="00980876">
      <w:pPr>
        <w:widowControl w:val="0"/>
        <w:numPr>
          <w:ilvl w:val="0"/>
          <w:numId w:val="582"/>
        </w:numPr>
        <w:spacing w:after="0" w:line="240" w:lineRule="auto"/>
        <w:ind w:left="426"/>
        <w:contextualSpacing/>
        <w:jc w:val="both"/>
        <w:rPr>
          <w:rFonts w:ascii="Times New Roman" w:eastAsia="Times New Roman" w:hAnsi="Times New Roman" w:cs="Times New Roman"/>
          <w:bCs/>
        </w:rPr>
      </w:pPr>
      <w:r w:rsidRPr="00F40250">
        <w:rPr>
          <w:rFonts w:ascii="Times New Roman" w:eastAsia="Times New Roman" w:hAnsi="Times New Roman" w:cs="Times New Roman"/>
          <w:bCs/>
        </w:rPr>
        <w:t xml:space="preserve">Képes önállóan fejleszteni ismereteit a logisztikai szakterület terminológiájának területén. </w:t>
      </w:r>
    </w:p>
    <w:p w:rsidR="00E65CE8" w:rsidRPr="00F40250" w:rsidRDefault="00E65CE8" w:rsidP="00980876">
      <w:pPr>
        <w:widowControl w:val="0"/>
        <w:numPr>
          <w:ilvl w:val="0"/>
          <w:numId w:val="582"/>
        </w:numPr>
        <w:spacing w:after="0" w:line="240" w:lineRule="auto"/>
        <w:ind w:left="426"/>
        <w:contextualSpacing/>
        <w:jc w:val="both"/>
        <w:rPr>
          <w:rFonts w:ascii="Times New Roman" w:eastAsia="Times New Roman" w:hAnsi="Times New Roman" w:cs="Times New Roman"/>
          <w:bCs/>
        </w:rPr>
      </w:pPr>
      <w:r w:rsidRPr="00F40250">
        <w:rPr>
          <w:rFonts w:ascii="Times New Roman" w:eastAsia="Times New Roman" w:hAnsi="Times New Roman" w:cs="Times New Roman"/>
          <w:bCs/>
        </w:rPr>
        <w:t xml:space="preserve">Tisztában van az angol nyelven történő hatékony kommunikáció szükségességével többnemzeti környezetben. </w:t>
      </w:r>
    </w:p>
    <w:p w:rsidR="00E65CE8" w:rsidRPr="00F40250" w:rsidRDefault="00E65CE8" w:rsidP="00980876">
      <w:pPr>
        <w:widowControl w:val="0"/>
        <w:numPr>
          <w:ilvl w:val="0"/>
          <w:numId w:val="582"/>
        </w:numPr>
        <w:spacing w:after="0" w:line="240" w:lineRule="auto"/>
        <w:ind w:left="426"/>
        <w:contextualSpacing/>
        <w:jc w:val="both"/>
        <w:rPr>
          <w:rFonts w:ascii="Times New Roman" w:eastAsia="Times New Roman" w:hAnsi="Times New Roman" w:cs="Times New Roman"/>
          <w:bCs/>
        </w:rPr>
      </w:pPr>
      <w:r w:rsidRPr="00F40250">
        <w:rPr>
          <w:rFonts w:ascii="Times New Roman" w:eastAsia="Times New Roman" w:hAnsi="Times New Roman" w:cs="Times New Roman"/>
          <w:bCs/>
        </w:rPr>
        <w:t>Felelősséget vállal saját angol nyelvű szóbeli és írásbeli kommunikációjáért.</w:t>
      </w:r>
    </w:p>
    <w:p w:rsidR="00E65CE8" w:rsidRPr="00F40250" w:rsidRDefault="00E65CE8" w:rsidP="00E65CE8">
      <w:pPr>
        <w:tabs>
          <w:tab w:val="right" w:pos="900"/>
        </w:tabs>
        <w:spacing w:before="240" w:after="0" w:line="240" w:lineRule="auto"/>
        <w:jc w:val="both"/>
        <w:rPr>
          <w:rFonts w:ascii="Times New Roman" w:eastAsia="Times New Roman" w:hAnsi="Times New Roman" w:cs="Times New Roman"/>
          <w:bCs/>
          <w:lang w:val="en-GB" w:eastAsia="hu-HU"/>
        </w:rPr>
      </w:pPr>
      <w:r w:rsidRPr="00F40250">
        <w:rPr>
          <w:rFonts w:ascii="Times New Roman" w:eastAsia="Times New Roman" w:hAnsi="Times New Roman" w:cs="Times New Roman"/>
          <w:b/>
          <w:bCs/>
          <w:lang w:val="en-GB" w:eastAsia="hu-HU"/>
        </w:rPr>
        <w:t>Elérendő kompetenciák (angolul):</w:t>
      </w:r>
    </w:p>
    <w:p w:rsidR="00E65CE8" w:rsidRPr="00F40250" w:rsidRDefault="00E65CE8" w:rsidP="00E65CE8">
      <w:pPr>
        <w:spacing w:before="120" w:after="0" w:line="276" w:lineRule="auto"/>
        <w:rPr>
          <w:rFonts w:ascii="Times New Roman" w:eastAsia="Times New Roman" w:hAnsi="Times New Roman" w:cs="Times New Roman"/>
          <w:bCs/>
          <w:lang w:val="en-GB" w:eastAsia="hu-HU"/>
        </w:rPr>
      </w:pPr>
      <w:r w:rsidRPr="00F40250">
        <w:rPr>
          <w:rFonts w:ascii="Times New Roman" w:eastAsia="Times New Roman" w:hAnsi="Times New Roman" w:cs="Times New Roman"/>
          <w:b/>
          <w:bCs/>
          <w:lang w:val="en-GB" w:eastAsia="hu-HU"/>
        </w:rPr>
        <w:t>Knowledge:</w:t>
      </w:r>
      <w:r w:rsidRPr="00F40250">
        <w:rPr>
          <w:rFonts w:ascii="Times New Roman" w:eastAsia="Times New Roman" w:hAnsi="Times New Roman" w:cs="Times New Roman"/>
          <w:bCs/>
          <w:lang w:val="en-GB" w:eastAsia="hu-HU"/>
        </w:rPr>
        <w:t xml:space="preserve"> </w:t>
      </w:r>
    </w:p>
    <w:p w:rsidR="00E65CE8" w:rsidRPr="00F40250" w:rsidRDefault="00E65CE8" w:rsidP="00980876">
      <w:pPr>
        <w:numPr>
          <w:ilvl w:val="0"/>
          <w:numId w:val="586"/>
        </w:numPr>
        <w:spacing w:after="0" w:line="240" w:lineRule="auto"/>
        <w:ind w:left="426"/>
        <w:contextualSpacing/>
        <w:jc w:val="both"/>
        <w:rPr>
          <w:rFonts w:ascii="Times New Roman" w:eastAsia="Times New Roman" w:hAnsi="Times New Roman" w:cs="Times New Roman"/>
          <w:lang w:val="en-GB"/>
        </w:rPr>
      </w:pPr>
      <w:r w:rsidRPr="00F40250">
        <w:rPr>
          <w:rFonts w:ascii="Times New Roman" w:eastAsia="Times New Roman" w:hAnsi="Times New Roman" w:cs="Times New Roman"/>
          <w:lang w:val="en-GB"/>
        </w:rPr>
        <w:t>Possesses the basic vocabulary to describe the basic procedures and features of the battle   carried out by combined arms, the combat service (CS) and combat service support (CSS) tasks, the battle procedures and organizational structures of the military services, branches and specific units.</w:t>
      </w:r>
    </w:p>
    <w:p w:rsidR="00E65CE8" w:rsidRPr="00F40250" w:rsidRDefault="00E65CE8" w:rsidP="00980876">
      <w:pPr>
        <w:numPr>
          <w:ilvl w:val="0"/>
          <w:numId w:val="586"/>
        </w:numPr>
        <w:spacing w:after="0" w:line="240" w:lineRule="auto"/>
        <w:ind w:left="426"/>
        <w:contextualSpacing/>
        <w:jc w:val="both"/>
        <w:rPr>
          <w:rFonts w:ascii="Times New Roman" w:eastAsia="Times New Roman" w:hAnsi="Times New Roman" w:cs="Times New Roman"/>
          <w:lang w:val="en-GB"/>
        </w:rPr>
      </w:pPr>
      <w:r w:rsidRPr="00F40250">
        <w:rPr>
          <w:rFonts w:ascii="Times New Roman" w:eastAsia="Times New Roman" w:hAnsi="Times New Roman" w:cs="Times New Roman"/>
          <w:lang w:val="en-GB"/>
        </w:rPr>
        <w:t>Knows the grammatical structures to describe the basic procedures and features of the battle carried out by combined arms, the combat service (CS) and combat service support (CSS) tasks, the battle procedures and organizational structures of the military services, branches and specific units.</w:t>
      </w:r>
    </w:p>
    <w:p w:rsidR="00E65CE8" w:rsidRPr="00F40250" w:rsidRDefault="00E65CE8" w:rsidP="00980876">
      <w:pPr>
        <w:numPr>
          <w:ilvl w:val="0"/>
          <w:numId w:val="586"/>
        </w:numPr>
        <w:spacing w:after="0" w:line="240" w:lineRule="auto"/>
        <w:ind w:left="426"/>
        <w:contextualSpacing/>
        <w:jc w:val="both"/>
        <w:rPr>
          <w:rFonts w:ascii="Times New Roman" w:eastAsia="Times New Roman" w:hAnsi="Times New Roman" w:cs="Times New Roman"/>
          <w:lang w:val="en-GB"/>
        </w:rPr>
      </w:pPr>
      <w:r w:rsidRPr="00F40250">
        <w:rPr>
          <w:rFonts w:ascii="Times New Roman" w:eastAsia="Times New Roman" w:hAnsi="Times New Roman" w:cs="Times New Roman"/>
          <w:lang w:val="en-GB"/>
        </w:rPr>
        <w:t>Has an adequate knowledge of the English terminology to understand NATO documents.</w:t>
      </w:r>
    </w:p>
    <w:p w:rsidR="00E65CE8" w:rsidRPr="00F40250" w:rsidRDefault="00E65CE8" w:rsidP="00980876">
      <w:pPr>
        <w:numPr>
          <w:ilvl w:val="0"/>
          <w:numId w:val="586"/>
        </w:numPr>
        <w:spacing w:after="0" w:line="240" w:lineRule="auto"/>
        <w:ind w:left="426"/>
        <w:contextualSpacing/>
        <w:jc w:val="both"/>
        <w:rPr>
          <w:rFonts w:ascii="Times New Roman" w:eastAsia="Times New Roman" w:hAnsi="Times New Roman" w:cs="Times New Roman"/>
          <w:lang w:val="en-GB"/>
        </w:rPr>
      </w:pPr>
      <w:r w:rsidRPr="00F40250">
        <w:rPr>
          <w:rFonts w:ascii="Times New Roman" w:eastAsia="Times New Roman" w:hAnsi="Times New Roman" w:cs="Times New Roman"/>
          <w:lang w:val="en-GB"/>
        </w:rPr>
        <w:t>Is familiar with the English terminology to describe Peace Support Operations, the tasks of the Hungarian Defence Forces in peace operations and the basic peacekeeping procedures.</w:t>
      </w:r>
    </w:p>
    <w:p w:rsidR="00E65CE8" w:rsidRPr="00F40250" w:rsidRDefault="00E65CE8" w:rsidP="00E65CE8">
      <w:pPr>
        <w:tabs>
          <w:tab w:val="right" w:pos="900"/>
        </w:tabs>
        <w:spacing w:before="120" w:after="0" w:line="240" w:lineRule="auto"/>
        <w:jc w:val="both"/>
        <w:rPr>
          <w:rFonts w:ascii="Times New Roman" w:eastAsia="Times New Roman" w:hAnsi="Times New Roman" w:cs="Times New Roman"/>
          <w:b/>
          <w:bCs/>
          <w:lang w:val="en-GB" w:eastAsia="hu-HU"/>
        </w:rPr>
      </w:pPr>
      <w:r w:rsidRPr="00F40250">
        <w:rPr>
          <w:rFonts w:ascii="Times New Roman" w:eastAsia="Times New Roman" w:hAnsi="Times New Roman" w:cs="Times New Roman"/>
          <w:b/>
          <w:bCs/>
          <w:lang w:val="en-GB" w:eastAsia="hu-HU"/>
        </w:rPr>
        <w:t>Capabilities:</w:t>
      </w:r>
    </w:p>
    <w:p w:rsidR="00E65CE8" w:rsidRPr="00F40250" w:rsidRDefault="00E65CE8" w:rsidP="00980876">
      <w:pPr>
        <w:numPr>
          <w:ilvl w:val="0"/>
          <w:numId w:val="581"/>
        </w:numPr>
        <w:tabs>
          <w:tab w:val="right" w:pos="900"/>
        </w:tabs>
        <w:spacing w:after="0" w:line="240" w:lineRule="auto"/>
        <w:ind w:left="426"/>
        <w:contextualSpacing/>
        <w:jc w:val="both"/>
        <w:rPr>
          <w:rFonts w:ascii="Times New Roman" w:eastAsia="Times New Roman" w:hAnsi="Times New Roman" w:cs="Times New Roman"/>
          <w:bCs/>
          <w:lang w:val="en-GB" w:eastAsia="hu-HU"/>
        </w:rPr>
      </w:pPr>
      <w:r w:rsidRPr="00F40250">
        <w:rPr>
          <w:rFonts w:ascii="Times New Roman" w:eastAsia="Times New Roman" w:hAnsi="Times New Roman" w:cs="Times New Roman"/>
          <w:bCs/>
          <w:lang w:val="en-GB" w:eastAsia="hu-HU"/>
        </w:rPr>
        <w:t>Capable of understanding NATO documents related to his/her specialization.</w:t>
      </w:r>
    </w:p>
    <w:p w:rsidR="00E65CE8" w:rsidRPr="00F40250" w:rsidRDefault="00E65CE8" w:rsidP="00980876">
      <w:pPr>
        <w:numPr>
          <w:ilvl w:val="0"/>
          <w:numId w:val="581"/>
        </w:numPr>
        <w:tabs>
          <w:tab w:val="right" w:pos="900"/>
        </w:tabs>
        <w:spacing w:after="0" w:line="240" w:lineRule="auto"/>
        <w:ind w:left="426"/>
        <w:contextualSpacing/>
        <w:jc w:val="both"/>
        <w:rPr>
          <w:rFonts w:ascii="Times New Roman" w:eastAsia="Times New Roman" w:hAnsi="Times New Roman" w:cs="Times New Roman"/>
          <w:bCs/>
          <w:lang w:val="en-GB" w:eastAsia="hu-HU"/>
        </w:rPr>
      </w:pPr>
      <w:r w:rsidRPr="00F40250">
        <w:rPr>
          <w:rFonts w:ascii="Times New Roman" w:eastAsia="Times New Roman" w:hAnsi="Times New Roman" w:cs="Times New Roman"/>
          <w:bCs/>
          <w:lang w:val="en-GB" w:eastAsia="hu-HU"/>
        </w:rPr>
        <w:t>Capable of using the professional terminology in English.</w:t>
      </w:r>
    </w:p>
    <w:p w:rsidR="00E65CE8" w:rsidRPr="00F40250" w:rsidRDefault="00E65CE8" w:rsidP="00980876">
      <w:pPr>
        <w:numPr>
          <w:ilvl w:val="0"/>
          <w:numId w:val="581"/>
        </w:numPr>
        <w:tabs>
          <w:tab w:val="right" w:pos="900"/>
        </w:tabs>
        <w:spacing w:after="0" w:line="240" w:lineRule="auto"/>
        <w:ind w:left="426"/>
        <w:contextualSpacing/>
        <w:jc w:val="both"/>
        <w:rPr>
          <w:rFonts w:ascii="Times New Roman" w:eastAsia="Times New Roman" w:hAnsi="Times New Roman" w:cs="Times New Roman"/>
          <w:bCs/>
          <w:lang w:val="en-GB" w:eastAsia="hu-HU"/>
        </w:rPr>
      </w:pPr>
      <w:r w:rsidRPr="00F40250">
        <w:rPr>
          <w:rFonts w:ascii="Times New Roman" w:eastAsia="Times New Roman" w:hAnsi="Times New Roman" w:cs="Times New Roman"/>
          <w:bCs/>
          <w:lang w:val="en-GB" w:eastAsia="hu-HU"/>
        </w:rPr>
        <w:t>Capable of preparing documents, forms, minutes, notes and memos and completing documents in English.</w:t>
      </w:r>
    </w:p>
    <w:p w:rsidR="00E65CE8" w:rsidRPr="00F40250" w:rsidRDefault="00E65CE8" w:rsidP="00980876">
      <w:pPr>
        <w:numPr>
          <w:ilvl w:val="0"/>
          <w:numId w:val="581"/>
        </w:numPr>
        <w:tabs>
          <w:tab w:val="right" w:pos="900"/>
        </w:tabs>
        <w:spacing w:after="0" w:line="240" w:lineRule="auto"/>
        <w:ind w:left="426"/>
        <w:contextualSpacing/>
        <w:jc w:val="both"/>
        <w:rPr>
          <w:rFonts w:ascii="Times New Roman" w:eastAsia="Times New Roman" w:hAnsi="Times New Roman" w:cs="Times New Roman"/>
          <w:bCs/>
          <w:lang w:val="en-GB" w:eastAsia="hu-HU"/>
        </w:rPr>
      </w:pPr>
      <w:r w:rsidRPr="00F40250">
        <w:rPr>
          <w:rFonts w:ascii="Times New Roman" w:eastAsia="Times New Roman" w:hAnsi="Times New Roman" w:cs="Times New Roman"/>
          <w:bCs/>
          <w:lang w:val="en-GB" w:eastAsia="hu-HU"/>
        </w:rPr>
        <w:t>Capable of verbal and written work-related communication in English.</w:t>
      </w:r>
    </w:p>
    <w:p w:rsidR="00E65CE8" w:rsidRPr="00F40250" w:rsidRDefault="00E65CE8" w:rsidP="00980876">
      <w:pPr>
        <w:numPr>
          <w:ilvl w:val="0"/>
          <w:numId w:val="581"/>
        </w:numPr>
        <w:tabs>
          <w:tab w:val="right" w:pos="900"/>
        </w:tabs>
        <w:spacing w:after="0" w:line="240" w:lineRule="auto"/>
        <w:ind w:left="426"/>
        <w:contextualSpacing/>
        <w:jc w:val="both"/>
        <w:rPr>
          <w:rFonts w:ascii="Times New Roman" w:eastAsia="Times New Roman" w:hAnsi="Times New Roman" w:cs="Times New Roman"/>
          <w:bCs/>
          <w:lang w:val="en-GB" w:eastAsia="hu-HU"/>
        </w:rPr>
      </w:pPr>
      <w:r w:rsidRPr="00F40250">
        <w:rPr>
          <w:rFonts w:ascii="Times New Roman" w:eastAsia="Times New Roman" w:hAnsi="Times New Roman" w:cs="Times New Roman"/>
          <w:bCs/>
          <w:lang w:val="en-GB" w:eastAsia="hu-HU"/>
        </w:rPr>
        <w:t>Capable of preparing presentations and giving briefings in English.</w:t>
      </w:r>
    </w:p>
    <w:p w:rsidR="00E65CE8" w:rsidRPr="00F40250" w:rsidRDefault="00E65CE8" w:rsidP="00980876">
      <w:pPr>
        <w:numPr>
          <w:ilvl w:val="0"/>
          <w:numId w:val="581"/>
        </w:numPr>
        <w:tabs>
          <w:tab w:val="right" w:pos="900"/>
        </w:tabs>
        <w:spacing w:after="0" w:line="240" w:lineRule="auto"/>
        <w:ind w:left="426"/>
        <w:contextualSpacing/>
        <w:jc w:val="both"/>
        <w:rPr>
          <w:rFonts w:ascii="Times New Roman" w:eastAsia="Times New Roman" w:hAnsi="Times New Roman" w:cs="Times New Roman"/>
          <w:bCs/>
          <w:lang w:val="en-GB" w:eastAsia="hu-HU"/>
        </w:rPr>
      </w:pPr>
      <w:r w:rsidRPr="00F40250">
        <w:rPr>
          <w:rFonts w:ascii="Times New Roman" w:eastAsia="Times New Roman" w:hAnsi="Times New Roman" w:cs="Times New Roman"/>
          <w:bCs/>
          <w:lang w:val="en-GB" w:eastAsia="hu-HU"/>
        </w:rPr>
        <w:t>Capable of understanding the main ideas of presentations, briefings and work-related discussions in his/her specialization.</w:t>
      </w:r>
    </w:p>
    <w:p w:rsidR="00E65CE8" w:rsidRPr="00F40250" w:rsidRDefault="00E65CE8" w:rsidP="00980876">
      <w:pPr>
        <w:numPr>
          <w:ilvl w:val="0"/>
          <w:numId w:val="581"/>
        </w:numPr>
        <w:tabs>
          <w:tab w:val="right" w:pos="900"/>
        </w:tabs>
        <w:spacing w:after="0" w:line="240" w:lineRule="auto"/>
        <w:ind w:left="426"/>
        <w:contextualSpacing/>
        <w:jc w:val="both"/>
        <w:rPr>
          <w:rFonts w:ascii="Times New Roman" w:eastAsia="Times New Roman" w:hAnsi="Times New Roman" w:cs="Times New Roman"/>
          <w:bCs/>
          <w:lang w:val="en-GB" w:eastAsia="hu-HU"/>
        </w:rPr>
      </w:pPr>
      <w:r w:rsidRPr="00F40250">
        <w:rPr>
          <w:rFonts w:ascii="Times New Roman" w:eastAsia="Times New Roman" w:hAnsi="Times New Roman" w:cs="Times New Roman"/>
          <w:bCs/>
          <w:lang w:val="en-GB" w:eastAsia="hu-HU"/>
        </w:rPr>
        <w:t>Capable of interacting with a degree of fluency and spontaneity that makes regular interaction with native speakers quite possible without strain for either party.</w:t>
      </w:r>
    </w:p>
    <w:p w:rsidR="00E65CE8" w:rsidRPr="00F40250" w:rsidRDefault="00E65CE8" w:rsidP="00E65CE8">
      <w:pPr>
        <w:tabs>
          <w:tab w:val="right" w:pos="900"/>
        </w:tabs>
        <w:spacing w:before="120" w:after="0" w:line="240" w:lineRule="auto"/>
        <w:jc w:val="both"/>
        <w:rPr>
          <w:rFonts w:ascii="Times New Roman" w:eastAsia="Times New Roman" w:hAnsi="Times New Roman" w:cs="Times New Roman"/>
          <w:bCs/>
          <w:lang w:val="en-GB" w:eastAsia="hu-HU"/>
        </w:rPr>
      </w:pPr>
      <w:r w:rsidRPr="00F40250">
        <w:rPr>
          <w:rFonts w:ascii="Times New Roman" w:eastAsia="Times New Roman" w:hAnsi="Times New Roman" w:cs="Times New Roman"/>
          <w:b/>
          <w:bCs/>
          <w:lang w:val="en-GB" w:eastAsia="hu-HU"/>
        </w:rPr>
        <w:t>Attitude:</w:t>
      </w:r>
      <w:r w:rsidRPr="00F40250">
        <w:rPr>
          <w:rFonts w:ascii="Times New Roman" w:eastAsia="Times New Roman" w:hAnsi="Times New Roman" w:cs="Times New Roman"/>
          <w:bCs/>
          <w:lang w:val="en-GB" w:eastAsia="hu-HU"/>
        </w:rPr>
        <w:t xml:space="preserve"> </w:t>
      </w:r>
    </w:p>
    <w:p w:rsidR="00E65CE8" w:rsidRPr="00F40250" w:rsidRDefault="00E65CE8" w:rsidP="00980876">
      <w:pPr>
        <w:numPr>
          <w:ilvl w:val="0"/>
          <w:numId w:val="580"/>
        </w:numPr>
        <w:spacing w:after="0" w:line="240" w:lineRule="auto"/>
        <w:ind w:left="426"/>
        <w:contextualSpacing/>
        <w:jc w:val="both"/>
        <w:rPr>
          <w:rFonts w:ascii="Times New Roman" w:eastAsia="Times New Roman" w:hAnsi="Times New Roman" w:cs="Times New Roman"/>
          <w:lang w:val="en-GB"/>
        </w:rPr>
      </w:pPr>
      <w:r w:rsidRPr="00F40250">
        <w:rPr>
          <w:rFonts w:ascii="Times New Roman" w:eastAsia="Times New Roman" w:hAnsi="Times New Roman" w:cs="Times New Roman"/>
          <w:lang w:val="en-GB"/>
        </w:rPr>
        <w:t>Is willing to learn the new terminology in his/her specialization, strives to understand and use it, and is committed to continuous self-education in his/her specialization.</w:t>
      </w:r>
    </w:p>
    <w:p w:rsidR="00E65CE8" w:rsidRPr="00F40250" w:rsidRDefault="00E65CE8" w:rsidP="00980876">
      <w:pPr>
        <w:numPr>
          <w:ilvl w:val="0"/>
          <w:numId w:val="580"/>
        </w:numPr>
        <w:spacing w:after="0" w:line="240" w:lineRule="auto"/>
        <w:ind w:left="426"/>
        <w:contextualSpacing/>
        <w:jc w:val="both"/>
        <w:rPr>
          <w:rFonts w:ascii="Times New Roman" w:eastAsia="Times New Roman" w:hAnsi="Times New Roman" w:cs="Times New Roman"/>
          <w:lang w:val="en-GB"/>
        </w:rPr>
      </w:pPr>
      <w:r w:rsidRPr="00F40250">
        <w:rPr>
          <w:rFonts w:ascii="Times New Roman" w:eastAsia="Times New Roman" w:hAnsi="Times New Roman" w:cs="Times New Roman"/>
          <w:lang w:val="en-GB"/>
        </w:rPr>
        <w:t>Is committed to accuracy when using the English language at work.</w:t>
      </w:r>
    </w:p>
    <w:p w:rsidR="00E65CE8" w:rsidRPr="00F40250" w:rsidRDefault="00E65CE8" w:rsidP="00980876">
      <w:pPr>
        <w:numPr>
          <w:ilvl w:val="0"/>
          <w:numId w:val="580"/>
        </w:numPr>
        <w:spacing w:after="0" w:line="240" w:lineRule="auto"/>
        <w:ind w:left="426"/>
        <w:contextualSpacing/>
        <w:jc w:val="both"/>
        <w:rPr>
          <w:rFonts w:ascii="Times New Roman" w:eastAsia="Times New Roman" w:hAnsi="Times New Roman" w:cs="Times New Roman"/>
          <w:lang w:val="en-GB"/>
        </w:rPr>
      </w:pPr>
      <w:r w:rsidRPr="00F40250">
        <w:rPr>
          <w:rFonts w:ascii="Times New Roman" w:eastAsia="Times New Roman" w:hAnsi="Times New Roman" w:cs="Times New Roman"/>
          <w:lang w:val="en-GB"/>
        </w:rPr>
        <w:t>Is not afraid or embarrassed to seek help when he/she faces problems with the English language.</w:t>
      </w:r>
    </w:p>
    <w:p w:rsidR="00E65CE8" w:rsidRPr="00F40250" w:rsidRDefault="00E65CE8" w:rsidP="00980876">
      <w:pPr>
        <w:numPr>
          <w:ilvl w:val="0"/>
          <w:numId w:val="580"/>
        </w:numPr>
        <w:spacing w:after="0" w:line="240" w:lineRule="auto"/>
        <w:ind w:left="426"/>
        <w:contextualSpacing/>
        <w:jc w:val="both"/>
        <w:rPr>
          <w:rFonts w:ascii="Times New Roman" w:eastAsia="Times New Roman" w:hAnsi="Times New Roman" w:cs="Times New Roman"/>
          <w:lang w:val="en-GB"/>
        </w:rPr>
      </w:pPr>
      <w:r w:rsidRPr="00F40250">
        <w:rPr>
          <w:rFonts w:ascii="Times New Roman" w:eastAsia="Times New Roman" w:hAnsi="Times New Roman" w:cs="Times New Roman"/>
          <w:lang w:val="en-GB"/>
        </w:rPr>
        <w:t>Takes every opportunity to improve his/her knowledge of English.</w:t>
      </w:r>
    </w:p>
    <w:p w:rsidR="00E65CE8" w:rsidRPr="00F40250" w:rsidRDefault="00E65CE8" w:rsidP="00E65CE8">
      <w:pPr>
        <w:tabs>
          <w:tab w:val="right" w:pos="900"/>
        </w:tabs>
        <w:spacing w:before="120" w:after="0" w:line="240" w:lineRule="auto"/>
        <w:jc w:val="both"/>
        <w:rPr>
          <w:rFonts w:ascii="Times New Roman" w:eastAsia="Times New Roman" w:hAnsi="Times New Roman" w:cs="Times New Roman"/>
          <w:bCs/>
          <w:lang w:val="en-GB" w:eastAsia="hu-HU"/>
        </w:rPr>
      </w:pPr>
      <w:r w:rsidRPr="00F40250">
        <w:rPr>
          <w:rFonts w:ascii="Times New Roman" w:eastAsia="Times New Roman" w:hAnsi="Times New Roman" w:cs="Times New Roman"/>
          <w:b/>
          <w:bCs/>
          <w:lang w:val="en-GB" w:eastAsia="hu-HU"/>
        </w:rPr>
        <w:t>Autonomy and responsibility:</w:t>
      </w:r>
      <w:r w:rsidRPr="00F40250">
        <w:rPr>
          <w:rFonts w:ascii="Times New Roman" w:eastAsia="Times New Roman" w:hAnsi="Times New Roman" w:cs="Times New Roman"/>
          <w:bCs/>
          <w:lang w:val="en-GB" w:eastAsia="hu-HU"/>
        </w:rPr>
        <w:t xml:space="preserve"> </w:t>
      </w:r>
    </w:p>
    <w:p w:rsidR="00E65CE8" w:rsidRPr="00F40250" w:rsidRDefault="00E65CE8" w:rsidP="00980876">
      <w:pPr>
        <w:numPr>
          <w:ilvl w:val="0"/>
          <w:numId w:val="579"/>
        </w:numPr>
        <w:spacing w:after="0" w:line="240" w:lineRule="auto"/>
        <w:ind w:left="426"/>
        <w:contextualSpacing/>
        <w:jc w:val="both"/>
        <w:rPr>
          <w:rFonts w:ascii="Times New Roman" w:eastAsia="Times New Roman" w:hAnsi="Times New Roman" w:cs="Times New Roman"/>
          <w:lang w:val="en-GB"/>
        </w:rPr>
      </w:pPr>
      <w:r w:rsidRPr="00F40250">
        <w:rPr>
          <w:rFonts w:ascii="Times New Roman" w:eastAsia="Times New Roman" w:hAnsi="Times New Roman" w:cs="Times New Roman"/>
          <w:lang w:val="en-GB"/>
        </w:rPr>
        <w:t>Able to autonomously improve his/her knowledge of the terminology</w:t>
      </w:r>
    </w:p>
    <w:p w:rsidR="00E65CE8" w:rsidRPr="00F40250" w:rsidRDefault="00E65CE8" w:rsidP="00980876">
      <w:pPr>
        <w:numPr>
          <w:ilvl w:val="0"/>
          <w:numId w:val="579"/>
        </w:numPr>
        <w:spacing w:after="0" w:line="240" w:lineRule="auto"/>
        <w:ind w:left="426"/>
        <w:contextualSpacing/>
        <w:jc w:val="both"/>
        <w:rPr>
          <w:rFonts w:ascii="Times New Roman" w:eastAsia="Times New Roman" w:hAnsi="Times New Roman" w:cs="Times New Roman"/>
          <w:lang w:val="en-GB"/>
        </w:rPr>
      </w:pPr>
      <w:r w:rsidRPr="00F40250">
        <w:rPr>
          <w:rFonts w:ascii="Times New Roman" w:eastAsia="Times New Roman" w:hAnsi="Times New Roman" w:cs="Times New Roman"/>
          <w:lang w:val="en-GB"/>
        </w:rPr>
        <w:t xml:space="preserve">Aware of the importance of being able to effectively communicate in English in a multinational environment </w:t>
      </w:r>
    </w:p>
    <w:p w:rsidR="00E65CE8" w:rsidRPr="00F40250" w:rsidRDefault="00E65CE8" w:rsidP="00980876">
      <w:pPr>
        <w:numPr>
          <w:ilvl w:val="0"/>
          <w:numId w:val="579"/>
        </w:numPr>
        <w:spacing w:after="360" w:line="240" w:lineRule="auto"/>
        <w:ind w:left="426"/>
        <w:contextualSpacing/>
        <w:jc w:val="both"/>
        <w:rPr>
          <w:rFonts w:ascii="Times New Roman" w:eastAsia="Times New Roman" w:hAnsi="Times New Roman" w:cs="Times New Roman"/>
          <w:lang w:val="en-GB"/>
        </w:rPr>
      </w:pPr>
      <w:r w:rsidRPr="00F40250">
        <w:rPr>
          <w:rFonts w:ascii="Times New Roman" w:eastAsia="Times New Roman" w:hAnsi="Times New Roman" w:cs="Times New Roman"/>
          <w:lang w:val="en-GB"/>
        </w:rPr>
        <w:t>Takes responsibility for his/her written/verbal communication in English.</w:t>
      </w:r>
    </w:p>
    <w:p w:rsidR="00E65CE8" w:rsidRPr="00F40250" w:rsidRDefault="00E65CE8" w:rsidP="00E65CE8">
      <w:pPr>
        <w:spacing w:after="360" w:line="240" w:lineRule="auto"/>
        <w:ind w:left="426"/>
        <w:contextualSpacing/>
        <w:jc w:val="both"/>
        <w:rPr>
          <w:rFonts w:ascii="Times New Roman" w:eastAsia="Times New Roman" w:hAnsi="Times New Roman" w:cs="Times New Roman"/>
          <w:lang w:val="en-GB"/>
        </w:rPr>
      </w:pPr>
    </w:p>
    <w:p w:rsidR="00E65CE8" w:rsidRPr="00F40250" w:rsidRDefault="00E65CE8" w:rsidP="00980876">
      <w:pPr>
        <w:numPr>
          <w:ilvl w:val="0"/>
          <w:numId w:val="591"/>
        </w:numPr>
        <w:spacing w:before="120" w:after="0" w:line="276" w:lineRule="auto"/>
        <w:contextualSpacing/>
        <w:rPr>
          <w:rFonts w:ascii="Times New Roman" w:eastAsia="Times New Roman" w:hAnsi="Times New Roman" w:cs="Times New Roman"/>
          <w:bCs/>
          <w:lang w:eastAsia="hu-HU"/>
        </w:rPr>
      </w:pPr>
      <w:r w:rsidRPr="00F40250">
        <w:rPr>
          <w:rFonts w:ascii="Times New Roman" w:eastAsia="Times New Roman" w:hAnsi="Times New Roman" w:cs="Times New Roman"/>
          <w:b/>
          <w:bCs/>
          <w:lang w:eastAsia="hu-HU"/>
        </w:rPr>
        <w:t>Előtanulmányi követelmények:</w:t>
      </w:r>
      <w:r w:rsidRPr="00F40250">
        <w:rPr>
          <w:rFonts w:ascii="Times New Roman" w:eastAsia="Times New Roman" w:hAnsi="Times New Roman" w:cs="Times New Roman"/>
          <w:bCs/>
          <w:lang w:eastAsia="hu-HU"/>
        </w:rPr>
        <w:t xml:space="preserve"> -</w:t>
      </w:r>
    </w:p>
    <w:p w:rsidR="00E65CE8" w:rsidRPr="00F40250" w:rsidRDefault="00E65CE8" w:rsidP="00E65CE8">
      <w:pPr>
        <w:spacing w:before="120" w:after="0" w:line="240" w:lineRule="auto"/>
        <w:ind w:left="360"/>
        <w:contextualSpacing/>
        <w:jc w:val="both"/>
        <w:rPr>
          <w:rFonts w:ascii="Times New Roman" w:eastAsia="Times New Roman" w:hAnsi="Times New Roman" w:cs="Times New Roman"/>
          <w:bCs/>
          <w:lang w:eastAsia="hu-HU"/>
        </w:rPr>
      </w:pPr>
    </w:p>
    <w:p w:rsidR="00E65CE8" w:rsidRPr="00F40250" w:rsidRDefault="00E65CE8" w:rsidP="00980876">
      <w:pPr>
        <w:numPr>
          <w:ilvl w:val="0"/>
          <w:numId w:val="591"/>
        </w:numPr>
        <w:spacing w:before="120" w:after="0" w:line="240" w:lineRule="auto"/>
        <w:contextualSpacing/>
        <w:jc w:val="both"/>
        <w:rPr>
          <w:rFonts w:ascii="Times New Roman" w:eastAsia="Times New Roman" w:hAnsi="Times New Roman" w:cs="Times New Roman"/>
          <w:bCs/>
          <w:lang w:eastAsia="hu-HU"/>
        </w:rPr>
      </w:pPr>
      <w:r w:rsidRPr="00F40250">
        <w:rPr>
          <w:rFonts w:ascii="Times New Roman" w:eastAsia="Times New Roman" w:hAnsi="Times New Roman" w:cs="Times New Roman"/>
          <w:b/>
          <w:bCs/>
          <w:lang w:eastAsia="hu-HU"/>
        </w:rPr>
        <w:t xml:space="preserve">A tantárgy tananyagának leírása, tematika. Description of the subject, curriculum (magyarul, angolul - English): </w:t>
      </w:r>
    </w:p>
    <w:p w:rsidR="00E65CE8" w:rsidRPr="00F40250" w:rsidRDefault="00E65CE8" w:rsidP="00980876">
      <w:pPr>
        <w:numPr>
          <w:ilvl w:val="1"/>
          <w:numId w:val="591"/>
        </w:numPr>
        <w:tabs>
          <w:tab w:val="clear" w:pos="792"/>
        </w:tabs>
        <w:spacing w:after="0" w:line="240" w:lineRule="auto"/>
        <w:ind w:left="1134" w:hanging="708"/>
        <w:rPr>
          <w:rFonts w:ascii="Times New Roman" w:eastAsia="Times New Roman" w:hAnsi="Times New Roman" w:cs="Times New Roman"/>
          <w:lang w:val="en-GB"/>
        </w:rPr>
      </w:pPr>
      <w:r w:rsidRPr="00F40250">
        <w:rPr>
          <w:rFonts w:ascii="Times New Roman" w:eastAsia="Times New Roman" w:hAnsi="Times New Roman" w:cs="Times New Roman"/>
          <w:lang w:val="en-GB"/>
        </w:rPr>
        <w:t>Tisztképzés. (Officer training and education)</w:t>
      </w:r>
    </w:p>
    <w:p w:rsidR="00E65CE8" w:rsidRPr="00F40250" w:rsidRDefault="00E65CE8" w:rsidP="00980876">
      <w:pPr>
        <w:numPr>
          <w:ilvl w:val="1"/>
          <w:numId w:val="591"/>
        </w:numPr>
        <w:tabs>
          <w:tab w:val="clear" w:pos="792"/>
        </w:tabs>
        <w:spacing w:after="0" w:line="240" w:lineRule="auto"/>
        <w:ind w:left="1134" w:hanging="708"/>
        <w:rPr>
          <w:rFonts w:ascii="Times New Roman" w:eastAsia="Times New Roman" w:hAnsi="Times New Roman" w:cs="Times New Roman"/>
          <w:lang w:val="en-GB"/>
        </w:rPr>
      </w:pPr>
      <w:r w:rsidRPr="00F40250">
        <w:rPr>
          <w:rFonts w:ascii="Times New Roman" w:eastAsia="Times New Roman" w:hAnsi="Times New Roman" w:cs="Times New Roman"/>
          <w:lang w:val="en-GB"/>
        </w:rPr>
        <w:t>Alegységek, egységek, rendfokozatok, egyenruha, felszerelés. (Subunits, units, ranks, uniform, equipment)</w:t>
      </w:r>
    </w:p>
    <w:p w:rsidR="00E65CE8" w:rsidRPr="00F40250" w:rsidRDefault="00E65CE8" w:rsidP="00980876">
      <w:pPr>
        <w:numPr>
          <w:ilvl w:val="1"/>
          <w:numId w:val="591"/>
        </w:numPr>
        <w:tabs>
          <w:tab w:val="clear" w:pos="792"/>
        </w:tabs>
        <w:spacing w:after="0" w:line="240" w:lineRule="auto"/>
        <w:ind w:left="1134" w:hanging="708"/>
        <w:rPr>
          <w:rFonts w:ascii="Times New Roman" w:eastAsia="Times New Roman" w:hAnsi="Times New Roman" w:cs="Times New Roman"/>
          <w:lang w:val="en-GB"/>
        </w:rPr>
      </w:pPr>
      <w:r w:rsidRPr="00F40250">
        <w:rPr>
          <w:rFonts w:ascii="Times New Roman" w:eastAsia="Times New Roman" w:hAnsi="Times New Roman" w:cs="Times New Roman"/>
          <w:lang w:val="en-GB"/>
        </w:rPr>
        <w:t>Haderőnemek, fegyvernemek rendeltetése, fegyverzete  (Services and branches, their  missions and weapons systems)</w:t>
      </w:r>
    </w:p>
    <w:p w:rsidR="00E65CE8" w:rsidRPr="00F40250" w:rsidRDefault="00E65CE8" w:rsidP="00980876">
      <w:pPr>
        <w:numPr>
          <w:ilvl w:val="1"/>
          <w:numId w:val="591"/>
        </w:numPr>
        <w:tabs>
          <w:tab w:val="clear" w:pos="792"/>
        </w:tabs>
        <w:spacing w:after="0" w:line="240" w:lineRule="auto"/>
        <w:ind w:left="1134" w:hanging="708"/>
        <w:rPr>
          <w:rFonts w:ascii="Times New Roman" w:eastAsia="Times New Roman" w:hAnsi="Times New Roman" w:cs="Times New Roman"/>
          <w:lang w:val="en-GB"/>
        </w:rPr>
      </w:pPr>
      <w:r w:rsidRPr="00F40250">
        <w:rPr>
          <w:rFonts w:ascii="Times New Roman" w:eastAsia="Times New Roman" w:hAnsi="Times New Roman" w:cs="Times New Roman"/>
          <w:lang w:val="en-GB"/>
        </w:rPr>
        <w:t>A katonai pályakép. Előmeneteli rendszer. (Military career model, promotional system)</w:t>
      </w:r>
    </w:p>
    <w:p w:rsidR="00E65CE8" w:rsidRPr="00F40250" w:rsidRDefault="00E65CE8" w:rsidP="00980876">
      <w:pPr>
        <w:numPr>
          <w:ilvl w:val="1"/>
          <w:numId w:val="591"/>
        </w:numPr>
        <w:tabs>
          <w:tab w:val="clear" w:pos="792"/>
        </w:tabs>
        <w:spacing w:after="0" w:line="240" w:lineRule="auto"/>
        <w:ind w:left="1134" w:hanging="708"/>
        <w:rPr>
          <w:rFonts w:ascii="Times New Roman" w:eastAsia="Times New Roman" w:hAnsi="Times New Roman" w:cs="Times New Roman"/>
          <w:lang w:val="en-GB"/>
        </w:rPr>
      </w:pPr>
      <w:r w:rsidRPr="00F40250">
        <w:rPr>
          <w:rFonts w:ascii="Times New Roman" w:eastAsia="Times New Roman" w:hAnsi="Times New Roman" w:cs="Times New Roman"/>
          <w:lang w:val="en-GB"/>
        </w:rPr>
        <w:t>Kiképzés a hadseregben: alapkiképzés, kiképzettségi szint fenntartása  (Training in the military: basic training, maintaining training levels)</w:t>
      </w:r>
    </w:p>
    <w:p w:rsidR="00E65CE8" w:rsidRPr="00F40250" w:rsidRDefault="00E65CE8" w:rsidP="00980876">
      <w:pPr>
        <w:numPr>
          <w:ilvl w:val="1"/>
          <w:numId w:val="591"/>
        </w:numPr>
        <w:tabs>
          <w:tab w:val="clear" w:pos="792"/>
        </w:tabs>
        <w:spacing w:after="0" w:line="240" w:lineRule="auto"/>
        <w:ind w:left="1134" w:hanging="708"/>
        <w:rPr>
          <w:rFonts w:ascii="Times New Roman" w:eastAsia="Times New Roman" w:hAnsi="Times New Roman" w:cs="Times New Roman"/>
          <w:lang w:val="en-GB"/>
        </w:rPr>
      </w:pPr>
      <w:r w:rsidRPr="00F40250">
        <w:rPr>
          <w:rFonts w:ascii="Times New Roman" w:eastAsia="Times New Roman" w:hAnsi="Times New Roman" w:cs="Times New Roman"/>
          <w:lang w:val="fr-FR"/>
        </w:rPr>
        <w:t xml:space="preserve">A Magyar Honvédség szervezeti felépítése, rendeltetése. </w:t>
      </w:r>
      <w:r w:rsidRPr="00F40250">
        <w:rPr>
          <w:rFonts w:ascii="Times New Roman" w:eastAsia="Times New Roman" w:hAnsi="Times New Roman" w:cs="Times New Roman"/>
          <w:lang w:val="en-GB"/>
        </w:rPr>
        <w:t>Haderőreform. (The organisational structure and the tasks of the HDF. Military reform)</w:t>
      </w:r>
    </w:p>
    <w:p w:rsidR="00E65CE8" w:rsidRPr="00F40250" w:rsidRDefault="00E65CE8" w:rsidP="00980876">
      <w:pPr>
        <w:numPr>
          <w:ilvl w:val="1"/>
          <w:numId w:val="591"/>
        </w:numPr>
        <w:tabs>
          <w:tab w:val="clear" w:pos="792"/>
        </w:tabs>
        <w:spacing w:after="0" w:line="240" w:lineRule="auto"/>
        <w:ind w:left="1134" w:hanging="708"/>
        <w:rPr>
          <w:rFonts w:ascii="Times New Roman" w:eastAsia="Times New Roman" w:hAnsi="Times New Roman" w:cs="Times New Roman"/>
          <w:lang w:val="en-GB"/>
        </w:rPr>
      </w:pPr>
      <w:r w:rsidRPr="00F40250">
        <w:rPr>
          <w:rFonts w:ascii="Times New Roman" w:eastAsia="Times New Roman" w:hAnsi="Times New Roman" w:cs="Times New Roman"/>
          <w:lang w:val="en-GB"/>
        </w:rPr>
        <w:t>Önkéntes haderő kontra sorozott haderő. Toborzás és hadkiegészítés.  (Professional force vs conscription-based force. recruitment and augmentation)</w:t>
      </w:r>
    </w:p>
    <w:p w:rsidR="00E65CE8" w:rsidRPr="00F40250" w:rsidRDefault="00E65CE8" w:rsidP="00980876">
      <w:pPr>
        <w:numPr>
          <w:ilvl w:val="1"/>
          <w:numId w:val="591"/>
        </w:numPr>
        <w:tabs>
          <w:tab w:val="clear" w:pos="792"/>
        </w:tabs>
        <w:spacing w:after="0" w:line="240" w:lineRule="auto"/>
        <w:ind w:left="1134" w:hanging="708"/>
        <w:rPr>
          <w:rFonts w:ascii="Times New Roman" w:eastAsia="Times New Roman" w:hAnsi="Times New Roman" w:cs="Times New Roman"/>
          <w:lang w:val="en-GB"/>
        </w:rPr>
      </w:pPr>
      <w:r w:rsidRPr="00F40250">
        <w:rPr>
          <w:rFonts w:ascii="Times New Roman" w:eastAsia="Times New Roman" w:hAnsi="Times New Roman" w:cs="Times New Roman"/>
          <w:lang w:val="en-GB"/>
        </w:rPr>
        <w:t>NATO: feladatok, missziók és műveletek. (NATO: Tasks, missions and operations)</w:t>
      </w:r>
    </w:p>
    <w:p w:rsidR="00E65CE8" w:rsidRPr="00F40250" w:rsidRDefault="00E65CE8" w:rsidP="00980876">
      <w:pPr>
        <w:numPr>
          <w:ilvl w:val="1"/>
          <w:numId w:val="591"/>
        </w:numPr>
        <w:tabs>
          <w:tab w:val="clear" w:pos="792"/>
        </w:tabs>
        <w:spacing w:after="0" w:line="240" w:lineRule="auto"/>
        <w:ind w:left="1134" w:hanging="708"/>
        <w:rPr>
          <w:rFonts w:ascii="Times New Roman" w:eastAsia="Times New Roman" w:hAnsi="Times New Roman" w:cs="Times New Roman"/>
          <w:lang w:val="en-GB"/>
        </w:rPr>
      </w:pPr>
      <w:r w:rsidRPr="00F40250">
        <w:rPr>
          <w:rFonts w:ascii="Times New Roman" w:eastAsia="Times New Roman" w:hAnsi="Times New Roman" w:cs="Times New Roman"/>
          <w:lang w:val="en-GB"/>
        </w:rPr>
        <w:t>Magyarország NATO csatlakozása és szerepe a NATO-ban. (Hungary’s NATO accession and role in the Alliance)</w:t>
      </w:r>
    </w:p>
    <w:p w:rsidR="00E65CE8" w:rsidRPr="00F40250" w:rsidRDefault="00E65CE8" w:rsidP="00980876">
      <w:pPr>
        <w:numPr>
          <w:ilvl w:val="1"/>
          <w:numId w:val="591"/>
        </w:numPr>
        <w:tabs>
          <w:tab w:val="clear" w:pos="792"/>
        </w:tabs>
        <w:spacing w:after="0" w:line="240" w:lineRule="auto"/>
        <w:ind w:left="1134" w:hanging="708"/>
        <w:rPr>
          <w:rFonts w:ascii="Times New Roman" w:eastAsia="Times New Roman" w:hAnsi="Times New Roman" w:cs="Times New Roman"/>
          <w:lang w:val="en-GB"/>
        </w:rPr>
      </w:pPr>
      <w:r w:rsidRPr="00F40250">
        <w:rPr>
          <w:rFonts w:ascii="Times New Roman" w:eastAsia="Times New Roman" w:hAnsi="Times New Roman" w:cs="Times New Roman"/>
          <w:lang w:val="en-GB"/>
        </w:rPr>
        <w:t>Békefenntartó műveletek. (Peace Support Operations)</w:t>
      </w:r>
    </w:p>
    <w:p w:rsidR="00E65CE8" w:rsidRPr="00F40250" w:rsidRDefault="00E65CE8" w:rsidP="00980876">
      <w:pPr>
        <w:numPr>
          <w:ilvl w:val="1"/>
          <w:numId w:val="591"/>
        </w:numPr>
        <w:tabs>
          <w:tab w:val="clear" w:pos="792"/>
        </w:tabs>
        <w:spacing w:after="0" w:line="240" w:lineRule="auto"/>
        <w:ind w:left="1134" w:hanging="708"/>
        <w:rPr>
          <w:rFonts w:ascii="Times New Roman" w:eastAsia="Times New Roman" w:hAnsi="Times New Roman" w:cs="Times New Roman"/>
          <w:lang w:val="en-GB"/>
        </w:rPr>
      </w:pPr>
      <w:r w:rsidRPr="00F40250">
        <w:rPr>
          <w:rFonts w:ascii="Times New Roman" w:eastAsia="Times New Roman" w:hAnsi="Times New Roman" w:cs="Times New Roman"/>
          <w:lang w:val="en-GB"/>
        </w:rPr>
        <w:t>Saját szakterület részletes bemutatása. (Cadets’ own military occupational specialty in detail)</w:t>
      </w:r>
    </w:p>
    <w:p w:rsidR="00E65CE8" w:rsidRPr="00F40250" w:rsidRDefault="00E65CE8" w:rsidP="00980876">
      <w:pPr>
        <w:numPr>
          <w:ilvl w:val="1"/>
          <w:numId w:val="591"/>
        </w:numPr>
        <w:tabs>
          <w:tab w:val="clear" w:pos="792"/>
        </w:tabs>
        <w:spacing w:after="0" w:line="240" w:lineRule="auto"/>
        <w:ind w:left="1134" w:hanging="708"/>
        <w:rPr>
          <w:rFonts w:ascii="Times New Roman" w:eastAsia="Times New Roman" w:hAnsi="Times New Roman" w:cs="Times New Roman"/>
          <w:lang w:val="en-GB"/>
        </w:rPr>
      </w:pPr>
      <w:r w:rsidRPr="00F40250">
        <w:rPr>
          <w:rFonts w:ascii="Times New Roman" w:eastAsia="Times New Roman" w:hAnsi="Times New Roman" w:cs="Times New Roman"/>
          <w:lang w:val="en-GB"/>
        </w:rPr>
        <w:t>Magyarország biztonság-és védelempolitikája. (Hungary’s defence and security policy)</w:t>
      </w:r>
    </w:p>
    <w:p w:rsidR="00E65CE8" w:rsidRPr="00F40250" w:rsidRDefault="00E65CE8" w:rsidP="00980876">
      <w:pPr>
        <w:numPr>
          <w:ilvl w:val="1"/>
          <w:numId w:val="591"/>
        </w:numPr>
        <w:tabs>
          <w:tab w:val="clear" w:pos="792"/>
        </w:tabs>
        <w:spacing w:after="0" w:line="240" w:lineRule="auto"/>
        <w:ind w:left="1134" w:hanging="708"/>
        <w:rPr>
          <w:rFonts w:ascii="Times New Roman" w:eastAsia="Times New Roman" w:hAnsi="Times New Roman" w:cs="Times New Roman"/>
          <w:lang w:val="en-GB"/>
        </w:rPr>
      </w:pPr>
      <w:r w:rsidRPr="00F40250">
        <w:rPr>
          <w:rFonts w:ascii="Times New Roman" w:eastAsia="Times New Roman" w:hAnsi="Times New Roman" w:cs="Times New Roman"/>
          <w:lang w:val="en-GB"/>
        </w:rPr>
        <w:t xml:space="preserve">Katonai szakmai szöveg értése.  (Reading professional military texts)  </w:t>
      </w:r>
    </w:p>
    <w:p w:rsidR="00E65CE8" w:rsidRPr="00F40250" w:rsidRDefault="00E65CE8" w:rsidP="00980876">
      <w:pPr>
        <w:numPr>
          <w:ilvl w:val="1"/>
          <w:numId w:val="591"/>
        </w:numPr>
        <w:tabs>
          <w:tab w:val="clear" w:pos="792"/>
        </w:tabs>
        <w:spacing w:after="0" w:line="240" w:lineRule="auto"/>
        <w:ind w:left="1134" w:hanging="708"/>
        <w:rPr>
          <w:rFonts w:ascii="Times New Roman" w:eastAsia="Times New Roman" w:hAnsi="Times New Roman" w:cs="Times New Roman"/>
          <w:lang w:val="en-GB"/>
        </w:rPr>
      </w:pPr>
      <w:r w:rsidRPr="00F40250">
        <w:rPr>
          <w:rFonts w:ascii="Times New Roman" w:eastAsia="Times New Roman" w:hAnsi="Times New Roman" w:cs="Times New Roman"/>
          <w:lang w:val="en-GB"/>
        </w:rPr>
        <w:t>Katonai szakmai témájú levél/jelentés írása. (Writing military reports and letters)</w:t>
      </w:r>
    </w:p>
    <w:p w:rsidR="00E65CE8" w:rsidRPr="00F40250" w:rsidRDefault="00E65CE8" w:rsidP="00980876">
      <w:pPr>
        <w:numPr>
          <w:ilvl w:val="1"/>
          <w:numId w:val="591"/>
        </w:numPr>
        <w:tabs>
          <w:tab w:val="clear" w:pos="792"/>
        </w:tabs>
        <w:spacing w:after="0" w:line="240" w:lineRule="auto"/>
        <w:ind w:left="1134" w:hanging="708"/>
        <w:rPr>
          <w:rFonts w:ascii="Times New Roman" w:eastAsia="Times New Roman" w:hAnsi="Times New Roman" w:cs="Times New Roman"/>
          <w:lang w:val="en-GB"/>
        </w:rPr>
      </w:pPr>
      <w:r w:rsidRPr="00F40250">
        <w:rPr>
          <w:rFonts w:ascii="Times New Roman" w:eastAsia="Times New Roman" w:hAnsi="Times New Roman" w:cs="Times New Roman"/>
          <w:lang w:val="en-GB"/>
        </w:rPr>
        <w:t>Aktuális katona-politikai események, kérdések. (Topical military-political events and issues)</w:t>
      </w:r>
    </w:p>
    <w:p w:rsidR="00E65CE8" w:rsidRPr="00F40250" w:rsidRDefault="00E65CE8" w:rsidP="00980876">
      <w:pPr>
        <w:numPr>
          <w:ilvl w:val="0"/>
          <w:numId w:val="591"/>
        </w:numPr>
        <w:tabs>
          <w:tab w:val="right" w:pos="900"/>
        </w:tabs>
        <w:spacing w:before="120" w:after="0" w:line="240" w:lineRule="auto"/>
        <w:ind w:left="357" w:hanging="357"/>
        <w:jc w:val="both"/>
        <w:rPr>
          <w:rFonts w:ascii="Times New Roman" w:eastAsia="Times New Roman" w:hAnsi="Times New Roman" w:cs="Times New Roman"/>
          <w:bCs/>
        </w:rPr>
      </w:pPr>
      <w:r w:rsidRPr="00F40250">
        <w:rPr>
          <w:rFonts w:ascii="Times New Roman" w:eastAsia="Times New Roman" w:hAnsi="Times New Roman" w:cs="Times New Roman"/>
          <w:b/>
          <w:bCs/>
        </w:rPr>
        <w:t xml:space="preserve">A tantárgy meghirdetésének gyakorisága/a tantervben történő félévi elhelyezkedése: </w:t>
      </w:r>
    </w:p>
    <w:p w:rsidR="00E65CE8" w:rsidRPr="00F40250" w:rsidRDefault="00E65CE8" w:rsidP="00E65CE8">
      <w:pPr>
        <w:tabs>
          <w:tab w:val="right" w:pos="900"/>
        </w:tabs>
        <w:spacing w:before="120" w:after="0" w:line="240" w:lineRule="auto"/>
        <w:ind w:left="360"/>
        <w:jc w:val="both"/>
        <w:rPr>
          <w:rFonts w:ascii="Times New Roman" w:eastAsia="Times New Roman" w:hAnsi="Times New Roman" w:cs="Times New Roman"/>
          <w:bCs/>
        </w:rPr>
      </w:pPr>
      <w:r w:rsidRPr="00F40250">
        <w:rPr>
          <w:rFonts w:ascii="Times New Roman" w:eastAsia="Times New Roman" w:hAnsi="Times New Roman" w:cs="Times New Roman"/>
          <w:bCs/>
          <w:lang w:eastAsia="hu-HU"/>
        </w:rPr>
        <w:t>Hadtudományi és Honvédtisztképző Karának minden alapképzési szakán nappali munkarendben</w:t>
      </w:r>
      <w:r w:rsidRPr="00F40250">
        <w:rPr>
          <w:rFonts w:ascii="Times New Roman" w:eastAsia="Times New Roman" w:hAnsi="Times New Roman" w:cs="Times New Roman"/>
          <w:b/>
          <w:bCs/>
        </w:rPr>
        <w:t xml:space="preserve"> </w:t>
      </w:r>
      <w:r w:rsidRPr="00F40250">
        <w:rPr>
          <w:rFonts w:ascii="Times New Roman" w:eastAsia="Times New Roman" w:hAnsi="Times New Roman" w:cs="Times New Roman"/>
          <w:bCs/>
        </w:rPr>
        <w:t>3. tanulmányi félévben.</w:t>
      </w:r>
    </w:p>
    <w:p w:rsidR="00E65CE8" w:rsidRPr="00F40250" w:rsidRDefault="00E65CE8" w:rsidP="00980876">
      <w:pPr>
        <w:numPr>
          <w:ilvl w:val="0"/>
          <w:numId w:val="591"/>
        </w:numPr>
        <w:tabs>
          <w:tab w:val="right" w:pos="900"/>
          <w:tab w:val="center" w:pos="4536"/>
          <w:tab w:val="right" w:pos="9072"/>
        </w:tabs>
        <w:spacing w:before="120" w:after="0" w:line="240" w:lineRule="auto"/>
        <w:jc w:val="both"/>
        <w:rPr>
          <w:rFonts w:ascii="Times New Roman" w:eastAsia="Times New Roman" w:hAnsi="Times New Roman" w:cs="Times New Roman"/>
          <w:bCs/>
        </w:rPr>
      </w:pPr>
      <w:r w:rsidRPr="00F40250">
        <w:rPr>
          <w:rFonts w:ascii="Times New Roman" w:eastAsia="Times New Roman" w:hAnsi="Times New Roman" w:cs="Times New Roman"/>
          <w:b/>
          <w:bCs/>
        </w:rPr>
        <w:t>A foglalkozásokon való részvétel követelményei, elfogadható hiányzások mértéke, távolmaradás pótlásának lehetősége:</w:t>
      </w:r>
      <w:r w:rsidRPr="00F40250">
        <w:rPr>
          <w:rFonts w:ascii="Times New Roman" w:eastAsia="Times New Roman" w:hAnsi="Times New Roman" w:cs="Times New Roman"/>
          <w:bCs/>
        </w:rPr>
        <w:t xml:space="preserve"> A hallgatónak a tanórák legalább 75%-án jelen kell lennie, 25% -ot meghaladó hiányzás esetén a félév teljesítése nem irható alá. A hallgató köteles az előadások és a gyakorlat anyagát beszerezni, abból önállóan felkészülni. Amennyiben a hallgató hiányzása meghaladja a 25%-ot, a hallgató köteles a félév végén a tanár által meghatározott témákból szóban beszámolni az aláírás teljesítése érdekében.</w:t>
      </w:r>
    </w:p>
    <w:p w:rsidR="00E65CE8" w:rsidRPr="00F40250" w:rsidRDefault="00E65CE8" w:rsidP="00980876">
      <w:pPr>
        <w:numPr>
          <w:ilvl w:val="0"/>
          <w:numId w:val="591"/>
        </w:numPr>
        <w:tabs>
          <w:tab w:val="right" w:pos="900"/>
        </w:tabs>
        <w:spacing w:before="120" w:after="0" w:line="240" w:lineRule="auto"/>
        <w:jc w:val="both"/>
        <w:rPr>
          <w:rFonts w:ascii="Times New Roman" w:eastAsia="Times New Roman" w:hAnsi="Times New Roman" w:cs="Times New Roman"/>
          <w:bCs/>
        </w:rPr>
      </w:pPr>
      <w:r w:rsidRPr="00F40250">
        <w:rPr>
          <w:rFonts w:ascii="Times New Roman" w:eastAsia="Times New Roman" w:hAnsi="Times New Roman" w:cs="Times New Roman"/>
          <w:b/>
        </w:rPr>
        <w:t>Félévközi feladatok, ismeretek ellenőrzésének rendje:</w:t>
      </w:r>
      <w:r w:rsidRPr="00F40250">
        <w:rPr>
          <w:rFonts w:ascii="Times New Roman" w:eastAsia="Times New Roman" w:hAnsi="Times New Roman" w:cs="Times New Roman"/>
          <w:bCs/>
        </w:rPr>
        <w:t xml:space="preserve"> </w:t>
      </w:r>
      <w:r w:rsidRPr="00F40250">
        <w:rPr>
          <w:rFonts w:ascii="Times New Roman" w:eastAsia="Times New Roman" w:hAnsi="Times New Roman" w:cs="Times New Roman"/>
        </w:rPr>
        <w:t>A foglakozás anyagainak és a kötelező irodalom feldolgozása, 2 zárthelyi dolgozat és egy szóbeli beszámoló legalább 60%-os értékeléssel történő teljesítése a tanár előzetes bejelentése alapján, a foglalkozások ismereteiből. A zárthelyi dolgozat és a szóbeli beszámoló értékelése: ötfokozatú értékelés – (a helyes válaszok aránya 0-60% elégtelen; 61-70% elégséges; 71-80% közepes; 81-90% jó; 91-100% jeles osztályzat). Eredménytelen zárthelyi dolgozat kétszer javítható a tanárral egyeztetett időpontban.</w:t>
      </w:r>
    </w:p>
    <w:p w:rsidR="00E65CE8" w:rsidRPr="00F40250" w:rsidRDefault="00E65CE8" w:rsidP="00980876">
      <w:pPr>
        <w:numPr>
          <w:ilvl w:val="0"/>
          <w:numId w:val="591"/>
        </w:numPr>
        <w:tabs>
          <w:tab w:val="right" w:pos="900"/>
        </w:tabs>
        <w:spacing w:before="120" w:after="0" w:line="240" w:lineRule="auto"/>
        <w:jc w:val="both"/>
        <w:rPr>
          <w:rFonts w:ascii="Times New Roman" w:eastAsia="Times New Roman" w:hAnsi="Times New Roman" w:cs="Times New Roman"/>
          <w:bCs/>
        </w:rPr>
      </w:pPr>
      <w:r w:rsidRPr="00F40250">
        <w:rPr>
          <w:rFonts w:ascii="Times New Roman" w:eastAsia="Times New Roman" w:hAnsi="Times New Roman" w:cs="Times New Roman"/>
          <w:b/>
          <w:bCs/>
        </w:rPr>
        <w:t xml:space="preserve">Az értékelés, az aláírás és a kreditek megszerzésének pontos feltételei </w:t>
      </w:r>
    </w:p>
    <w:p w:rsidR="00E65CE8" w:rsidRPr="00F40250" w:rsidRDefault="00E65CE8" w:rsidP="00980876">
      <w:pPr>
        <w:numPr>
          <w:ilvl w:val="1"/>
          <w:numId w:val="591"/>
        </w:numPr>
        <w:tabs>
          <w:tab w:val="right" w:pos="900"/>
        </w:tabs>
        <w:spacing w:before="120" w:after="0" w:line="240" w:lineRule="auto"/>
        <w:jc w:val="both"/>
        <w:rPr>
          <w:rFonts w:ascii="Times New Roman" w:eastAsia="Times New Roman" w:hAnsi="Times New Roman" w:cs="Times New Roman"/>
          <w:bCs/>
        </w:rPr>
      </w:pPr>
      <w:r w:rsidRPr="00F40250">
        <w:rPr>
          <w:rFonts w:ascii="Times New Roman" w:eastAsia="Times New Roman" w:hAnsi="Times New Roman" w:cs="Times New Roman"/>
          <w:b/>
        </w:rPr>
        <w:t xml:space="preserve">Az aláírás megszerzésének feltételei: </w:t>
      </w:r>
      <w:r w:rsidRPr="00F40250">
        <w:rPr>
          <w:rFonts w:ascii="Times New Roman" w:eastAsia="Times New Roman" w:hAnsi="Times New Roman" w:cs="Times New Roman"/>
        </w:rPr>
        <w:t>Az aláírás megszerzésének feltétele a 14. pontban meghatározott arányú részvétel a foglalkozásokon és a 15. pontban meghatározott félévközi feladatok legalább elégséges teljesítése.</w:t>
      </w:r>
    </w:p>
    <w:p w:rsidR="00E65CE8" w:rsidRPr="00F40250" w:rsidRDefault="00E65CE8" w:rsidP="00980876">
      <w:pPr>
        <w:numPr>
          <w:ilvl w:val="1"/>
          <w:numId w:val="591"/>
        </w:numPr>
        <w:tabs>
          <w:tab w:val="right" w:pos="900"/>
        </w:tabs>
        <w:spacing w:before="120" w:after="0" w:line="240" w:lineRule="auto"/>
        <w:jc w:val="both"/>
        <w:rPr>
          <w:rFonts w:ascii="Times New Roman" w:eastAsia="Times New Roman" w:hAnsi="Times New Roman" w:cs="Times New Roman"/>
          <w:bCs/>
        </w:rPr>
      </w:pPr>
      <w:r w:rsidRPr="00F40250">
        <w:rPr>
          <w:rFonts w:ascii="Times New Roman" w:eastAsia="Times New Roman" w:hAnsi="Times New Roman" w:cs="Times New Roman"/>
          <w:b/>
        </w:rPr>
        <w:t xml:space="preserve">Az értékelés: </w:t>
      </w:r>
      <w:r w:rsidRPr="00F40250">
        <w:rPr>
          <w:rFonts w:ascii="Times New Roman" w:eastAsia="Times New Roman" w:hAnsi="Times New Roman" w:cs="Times New Roman"/>
        </w:rPr>
        <w:t>a 16.1 pont alapján.</w:t>
      </w:r>
    </w:p>
    <w:p w:rsidR="00E65CE8" w:rsidRPr="00F40250" w:rsidRDefault="00E65CE8" w:rsidP="00980876">
      <w:pPr>
        <w:numPr>
          <w:ilvl w:val="1"/>
          <w:numId w:val="591"/>
        </w:numPr>
        <w:tabs>
          <w:tab w:val="right" w:pos="900"/>
        </w:tabs>
        <w:spacing w:before="120" w:after="0" w:line="240" w:lineRule="auto"/>
        <w:jc w:val="both"/>
        <w:rPr>
          <w:rFonts w:ascii="Times New Roman" w:eastAsia="Times New Roman" w:hAnsi="Times New Roman" w:cs="Times New Roman"/>
          <w:bCs/>
        </w:rPr>
      </w:pPr>
      <w:r w:rsidRPr="00F40250">
        <w:rPr>
          <w:rFonts w:ascii="Times New Roman" w:eastAsia="Times New Roman" w:hAnsi="Times New Roman" w:cs="Times New Roman"/>
          <w:b/>
        </w:rPr>
        <w:t xml:space="preserve">A kreditek megszerzésének feltételei: </w:t>
      </w:r>
      <w:r w:rsidRPr="00F40250">
        <w:rPr>
          <w:rFonts w:ascii="Times New Roman" w:eastAsia="Times New Roman" w:hAnsi="Times New Roman" w:cs="Times New Roman"/>
        </w:rPr>
        <w:t>A tantárgy kritérium követelmény, így nem rendelkezik kreditmegszerzési feltételekkel.</w:t>
      </w:r>
    </w:p>
    <w:p w:rsidR="00E65CE8" w:rsidRPr="00F40250" w:rsidRDefault="00E65CE8" w:rsidP="00980876">
      <w:pPr>
        <w:numPr>
          <w:ilvl w:val="0"/>
          <w:numId w:val="591"/>
        </w:numPr>
        <w:tabs>
          <w:tab w:val="right" w:pos="900"/>
        </w:tabs>
        <w:spacing w:before="120" w:after="0" w:line="240" w:lineRule="auto"/>
        <w:jc w:val="both"/>
        <w:rPr>
          <w:rFonts w:ascii="Times New Roman" w:eastAsia="Times New Roman" w:hAnsi="Times New Roman" w:cs="Times New Roman"/>
          <w:bCs/>
          <w:lang w:eastAsia="hu-HU"/>
        </w:rPr>
      </w:pPr>
      <w:r w:rsidRPr="00F40250">
        <w:rPr>
          <w:rFonts w:ascii="Times New Roman" w:eastAsia="Times New Roman" w:hAnsi="Times New Roman" w:cs="Times New Roman"/>
          <w:b/>
          <w:bCs/>
          <w:lang w:eastAsia="hu-HU"/>
        </w:rPr>
        <w:t>Irodalomjegyzék:</w:t>
      </w:r>
    </w:p>
    <w:p w:rsidR="00E65CE8" w:rsidRPr="00F40250" w:rsidRDefault="00E65CE8" w:rsidP="00980876">
      <w:pPr>
        <w:numPr>
          <w:ilvl w:val="1"/>
          <w:numId w:val="591"/>
        </w:numPr>
        <w:tabs>
          <w:tab w:val="right" w:pos="900"/>
          <w:tab w:val="center" w:pos="4536"/>
          <w:tab w:val="right" w:pos="9072"/>
        </w:tabs>
        <w:spacing w:before="120" w:after="0" w:line="240" w:lineRule="auto"/>
        <w:jc w:val="both"/>
        <w:rPr>
          <w:rFonts w:ascii="Times New Roman" w:eastAsia="Times New Roman" w:hAnsi="Times New Roman" w:cs="Times New Roman"/>
          <w:b/>
          <w:bCs/>
          <w:lang w:eastAsia="hu-HU"/>
        </w:rPr>
      </w:pPr>
      <w:r w:rsidRPr="00F40250">
        <w:rPr>
          <w:rFonts w:ascii="Times New Roman" w:eastAsia="Times New Roman" w:hAnsi="Times New Roman" w:cs="Times New Roman"/>
          <w:b/>
          <w:bCs/>
          <w:lang w:eastAsia="hu-HU"/>
        </w:rPr>
        <w:t>Kötelező irodalom:</w:t>
      </w:r>
    </w:p>
    <w:p w:rsidR="00E65CE8" w:rsidRPr="00D35FCF" w:rsidRDefault="00E65CE8" w:rsidP="00980876">
      <w:pPr>
        <w:numPr>
          <w:ilvl w:val="0"/>
          <w:numId w:val="592"/>
        </w:numPr>
        <w:tabs>
          <w:tab w:val="right" w:pos="900"/>
        </w:tabs>
        <w:spacing w:before="120" w:after="0" w:line="240" w:lineRule="auto"/>
        <w:ind w:left="993"/>
        <w:contextualSpacing/>
        <w:jc w:val="both"/>
        <w:rPr>
          <w:rFonts w:ascii="Times New Roman" w:eastAsia="Times New Roman" w:hAnsi="Times New Roman" w:cs="Times New Roman"/>
          <w:bCs/>
          <w:highlight w:val="yellow"/>
          <w:lang w:eastAsia="hu-HU"/>
        </w:rPr>
      </w:pPr>
      <w:r w:rsidRPr="00D35FCF">
        <w:rPr>
          <w:rFonts w:ascii="Times New Roman" w:eastAsia="Times New Roman" w:hAnsi="Times New Roman" w:cs="Times New Roman"/>
          <w:bCs/>
          <w:highlight w:val="yellow"/>
          <w:lang w:eastAsia="hu-HU"/>
        </w:rPr>
        <w:lastRenderedPageBreak/>
        <w:t>Dr. Kovácsné dr. Nábrádi Márta: Basic Military English, ZMNE jegyzet</w:t>
      </w:r>
    </w:p>
    <w:p w:rsidR="00E65CE8" w:rsidRPr="00D35FCF" w:rsidRDefault="00E65CE8" w:rsidP="00980876">
      <w:pPr>
        <w:numPr>
          <w:ilvl w:val="0"/>
          <w:numId w:val="592"/>
        </w:numPr>
        <w:tabs>
          <w:tab w:val="right" w:pos="900"/>
        </w:tabs>
        <w:spacing w:before="120" w:after="0" w:line="240" w:lineRule="auto"/>
        <w:ind w:left="993"/>
        <w:contextualSpacing/>
        <w:jc w:val="both"/>
        <w:rPr>
          <w:rFonts w:ascii="Times New Roman" w:eastAsia="Times New Roman" w:hAnsi="Times New Roman" w:cs="Times New Roman"/>
          <w:bCs/>
          <w:highlight w:val="yellow"/>
          <w:lang w:eastAsia="hu-HU"/>
        </w:rPr>
      </w:pPr>
      <w:r w:rsidRPr="00D35FCF">
        <w:rPr>
          <w:rFonts w:ascii="Times New Roman" w:eastAsia="Times New Roman" w:hAnsi="Times New Roman" w:cs="Times New Roman"/>
          <w:bCs/>
          <w:highlight w:val="yellow"/>
          <w:lang w:eastAsia="hu-HU"/>
        </w:rPr>
        <w:t>Vadász Istvánné: Focus on the military,  ZMNE jegyzet</w:t>
      </w:r>
      <w:r w:rsidRPr="00D35FCF">
        <w:rPr>
          <w:rFonts w:ascii="Times New Roman" w:eastAsia="Times New Roman" w:hAnsi="Times New Roman" w:cs="Times New Roman"/>
          <w:bCs/>
          <w:highlight w:val="yellow"/>
          <w:lang w:eastAsia="hu-HU"/>
        </w:rPr>
        <w:tab/>
      </w:r>
    </w:p>
    <w:p w:rsidR="00E65CE8" w:rsidRPr="00D35FCF" w:rsidRDefault="00E65CE8" w:rsidP="00980876">
      <w:pPr>
        <w:numPr>
          <w:ilvl w:val="0"/>
          <w:numId w:val="592"/>
        </w:numPr>
        <w:tabs>
          <w:tab w:val="right" w:pos="900"/>
        </w:tabs>
        <w:spacing w:before="120" w:after="0" w:line="240" w:lineRule="auto"/>
        <w:ind w:left="993"/>
        <w:contextualSpacing/>
        <w:jc w:val="both"/>
        <w:rPr>
          <w:rFonts w:ascii="Times New Roman" w:eastAsia="Times New Roman" w:hAnsi="Times New Roman" w:cs="Times New Roman"/>
          <w:bCs/>
          <w:highlight w:val="yellow"/>
          <w:lang w:eastAsia="hu-HU"/>
        </w:rPr>
      </w:pPr>
      <w:r w:rsidRPr="00D35FCF">
        <w:rPr>
          <w:rFonts w:ascii="Times New Roman" w:eastAsia="Times New Roman" w:hAnsi="Times New Roman" w:cs="Times New Roman"/>
          <w:bCs/>
          <w:highlight w:val="yellow"/>
          <w:lang w:eastAsia="hu-HU"/>
        </w:rPr>
        <w:t>Jobbágy Ilona – Katona Lucia – Kevin Shopland: General Communications Skills</w:t>
      </w:r>
    </w:p>
    <w:p w:rsidR="00E65CE8" w:rsidRPr="00D35FCF" w:rsidRDefault="00E65CE8" w:rsidP="00980876">
      <w:pPr>
        <w:numPr>
          <w:ilvl w:val="0"/>
          <w:numId w:val="592"/>
        </w:numPr>
        <w:tabs>
          <w:tab w:val="right" w:pos="900"/>
        </w:tabs>
        <w:spacing w:before="120" w:after="0" w:line="240" w:lineRule="auto"/>
        <w:ind w:left="993"/>
        <w:contextualSpacing/>
        <w:jc w:val="both"/>
        <w:rPr>
          <w:rFonts w:ascii="Times New Roman" w:eastAsia="Times New Roman" w:hAnsi="Times New Roman" w:cs="Times New Roman"/>
          <w:bCs/>
          <w:highlight w:val="yellow"/>
          <w:lang w:eastAsia="hu-HU"/>
        </w:rPr>
      </w:pPr>
      <w:r w:rsidRPr="00D35FCF">
        <w:rPr>
          <w:rFonts w:ascii="Times New Roman" w:eastAsia="Times New Roman" w:hAnsi="Times New Roman" w:cs="Times New Roman"/>
          <w:bCs/>
          <w:highlight w:val="yellow"/>
          <w:lang w:eastAsia="hu-HU"/>
        </w:rPr>
        <w:t>Némethné Hock Ildikó: 1000 kérdés 1000 válasz az „A” típusú nyelvvizsgához</w:t>
      </w:r>
    </w:p>
    <w:p w:rsidR="00E65CE8" w:rsidRPr="00D35FCF" w:rsidRDefault="00E65CE8" w:rsidP="00980876">
      <w:pPr>
        <w:numPr>
          <w:ilvl w:val="0"/>
          <w:numId w:val="592"/>
        </w:numPr>
        <w:tabs>
          <w:tab w:val="right" w:pos="900"/>
        </w:tabs>
        <w:spacing w:before="120" w:after="0" w:line="240" w:lineRule="auto"/>
        <w:ind w:left="993"/>
        <w:contextualSpacing/>
        <w:jc w:val="both"/>
        <w:rPr>
          <w:rFonts w:ascii="Times New Roman" w:eastAsia="Times New Roman" w:hAnsi="Times New Roman" w:cs="Times New Roman"/>
          <w:bCs/>
          <w:highlight w:val="yellow"/>
          <w:lang w:eastAsia="hu-HU"/>
        </w:rPr>
      </w:pPr>
      <w:r w:rsidRPr="00D35FCF">
        <w:rPr>
          <w:rFonts w:ascii="Times New Roman" w:eastAsia="Times New Roman" w:hAnsi="Times New Roman" w:cs="Times New Roman"/>
          <w:bCs/>
          <w:highlight w:val="yellow"/>
          <w:lang w:eastAsia="hu-HU"/>
        </w:rPr>
        <w:t>Felkészítő feladatok a STANAG 2.2.2.2 nyelvvizsgára</w:t>
      </w:r>
    </w:p>
    <w:p w:rsidR="00E65CE8" w:rsidRPr="00F40250" w:rsidRDefault="00E65CE8" w:rsidP="00980876">
      <w:pPr>
        <w:numPr>
          <w:ilvl w:val="1"/>
          <w:numId w:val="591"/>
        </w:numPr>
        <w:tabs>
          <w:tab w:val="right" w:pos="900"/>
          <w:tab w:val="center" w:pos="4536"/>
          <w:tab w:val="right" w:pos="9072"/>
        </w:tabs>
        <w:spacing w:before="120" w:after="120" w:line="240" w:lineRule="auto"/>
        <w:ind w:left="788" w:hanging="431"/>
        <w:jc w:val="both"/>
        <w:rPr>
          <w:rFonts w:ascii="Times New Roman" w:eastAsia="Times New Roman" w:hAnsi="Times New Roman" w:cs="Times New Roman"/>
          <w:b/>
          <w:bCs/>
          <w:lang w:eastAsia="hu-HU"/>
        </w:rPr>
      </w:pPr>
      <w:r w:rsidRPr="00F40250">
        <w:rPr>
          <w:rFonts w:ascii="Times New Roman" w:eastAsia="Times New Roman" w:hAnsi="Times New Roman" w:cs="Times New Roman"/>
          <w:b/>
          <w:bCs/>
          <w:lang w:eastAsia="hu-HU"/>
        </w:rPr>
        <w:t>Ajánlott irodalom:</w:t>
      </w:r>
    </w:p>
    <w:p w:rsidR="00E65CE8" w:rsidRPr="00F40250" w:rsidRDefault="00E65CE8" w:rsidP="00980876">
      <w:pPr>
        <w:numPr>
          <w:ilvl w:val="0"/>
          <w:numId w:val="593"/>
        </w:numPr>
        <w:spacing w:before="120" w:after="0" w:line="240" w:lineRule="auto"/>
        <w:ind w:left="993"/>
        <w:contextualSpacing/>
        <w:jc w:val="both"/>
        <w:rPr>
          <w:rFonts w:ascii="Times New Roman" w:eastAsia="Times New Roman" w:hAnsi="Times New Roman" w:cs="Times New Roman"/>
          <w:lang w:eastAsia="hu-HU"/>
        </w:rPr>
      </w:pPr>
      <w:r w:rsidRPr="00F40250">
        <w:rPr>
          <w:rFonts w:ascii="Times New Roman" w:eastAsia="Times New Roman" w:hAnsi="Times New Roman" w:cs="Times New Roman"/>
          <w:lang w:eastAsia="hu-HU"/>
        </w:rPr>
        <w:t>James Arnold – Robert SAcco: Command English</w:t>
      </w:r>
    </w:p>
    <w:p w:rsidR="00E65CE8" w:rsidRPr="00F40250" w:rsidRDefault="00E65CE8" w:rsidP="00980876">
      <w:pPr>
        <w:numPr>
          <w:ilvl w:val="0"/>
          <w:numId w:val="593"/>
        </w:numPr>
        <w:spacing w:before="120" w:after="0" w:line="240" w:lineRule="auto"/>
        <w:ind w:left="993"/>
        <w:contextualSpacing/>
        <w:jc w:val="both"/>
        <w:rPr>
          <w:rFonts w:ascii="Times New Roman" w:eastAsia="Times New Roman" w:hAnsi="Times New Roman" w:cs="Times New Roman"/>
          <w:lang w:eastAsia="hu-HU"/>
        </w:rPr>
      </w:pPr>
      <w:r w:rsidRPr="00F40250">
        <w:rPr>
          <w:rFonts w:ascii="Times New Roman" w:eastAsia="Times New Roman" w:hAnsi="Times New Roman" w:cs="Times New Roman"/>
          <w:lang w:eastAsia="hu-HU"/>
        </w:rPr>
        <w:t xml:space="preserve">Raymund Murphy: English Grammar in Use </w:t>
      </w:r>
    </w:p>
    <w:p w:rsidR="00E65CE8" w:rsidRPr="00F40250" w:rsidRDefault="00E65CE8" w:rsidP="00980876">
      <w:pPr>
        <w:numPr>
          <w:ilvl w:val="0"/>
          <w:numId w:val="593"/>
        </w:numPr>
        <w:spacing w:before="120" w:after="0" w:line="240" w:lineRule="auto"/>
        <w:ind w:left="993"/>
        <w:contextualSpacing/>
        <w:jc w:val="both"/>
        <w:rPr>
          <w:rFonts w:ascii="Times New Roman" w:eastAsia="Times New Roman" w:hAnsi="Times New Roman" w:cs="Times New Roman"/>
          <w:lang w:eastAsia="hu-HU"/>
        </w:rPr>
      </w:pPr>
      <w:r w:rsidRPr="00F40250">
        <w:rPr>
          <w:rFonts w:ascii="Times New Roman" w:eastAsia="Times New Roman" w:hAnsi="Times New Roman" w:cs="Times New Roman"/>
          <w:lang w:eastAsia="hu-HU"/>
        </w:rPr>
        <w:t>Norman Coe, Mark Harrison és Ken Paterson . Oxford Angol Nyelvtan</w:t>
      </w:r>
    </w:p>
    <w:p w:rsidR="00E65CE8" w:rsidRPr="00F40250" w:rsidRDefault="00E65CE8" w:rsidP="00980876">
      <w:pPr>
        <w:numPr>
          <w:ilvl w:val="0"/>
          <w:numId w:val="593"/>
        </w:numPr>
        <w:spacing w:before="120" w:after="0" w:line="240" w:lineRule="auto"/>
        <w:ind w:left="993"/>
        <w:contextualSpacing/>
        <w:jc w:val="both"/>
        <w:rPr>
          <w:rFonts w:ascii="Times New Roman" w:eastAsia="Times New Roman" w:hAnsi="Times New Roman" w:cs="Times New Roman"/>
          <w:lang w:eastAsia="hu-HU"/>
        </w:rPr>
      </w:pPr>
      <w:r w:rsidRPr="00F40250">
        <w:rPr>
          <w:rFonts w:ascii="Times New Roman" w:eastAsia="Times New Roman" w:hAnsi="Times New Roman" w:cs="Times New Roman"/>
          <w:lang w:eastAsia="hu-HU"/>
        </w:rPr>
        <w:t xml:space="preserve">Ruth Grain és Stuart Rodman: Oxford Word Skills Intermediate </w:t>
      </w:r>
    </w:p>
    <w:p w:rsidR="00E65CE8" w:rsidRPr="00F40250" w:rsidRDefault="00E65CE8" w:rsidP="00980876">
      <w:pPr>
        <w:numPr>
          <w:ilvl w:val="0"/>
          <w:numId w:val="593"/>
        </w:numPr>
        <w:spacing w:before="120" w:after="0" w:line="240" w:lineRule="auto"/>
        <w:ind w:left="993"/>
        <w:contextualSpacing/>
        <w:jc w:val="both"/>
        <w:rPr>
          <w:rFonts w:ascii="Times New Roman" w:eastAsia="Times New Roman" w:hAnsi="Times New Roman" w:cs="Times New Roman"/>
          <w:lang w:eastAsia="hu-HU"/>
        </w:rPr>
      </w:pPr>
      <w:r w:rsidRPr="00F40250">
        <w:rPr>
          <w:rFonts w:ascii="Times New Roman" w:eastAsia="Times New Roman" w:hAnsi="Times New Roman" w:cs="Times New Roman"/>
          <w:lang w:eastAsia="hu-HU"/>
        </w:rPr>
        <w:t>Király Zsolt: Blackbird</w:t>
      </w:r>
    </w:p>
    <w:p w:rsidR="00E65CE8" w:rsidRPr="00F40250" w:rsidRDefault="00E65CE8" w:rsidP="00E65CE8">
      <w:pPr>
        <w:tabs>
          <w:tab w:val="right" w:pos="900"/>
        </w:tabs>
        <w:spacing w:before="120" w:after="0" w:line="240" w:lineRule="auto"/>
        <w:rPr>
          <w:rFonts w:ascii="Times New Roman" w:eastAsia="Times New Roman" w:hAnsi="Times New Roman" w:cs="Times New Roman"/>
          <w:bCs/>
        </w:rPr>
      </w:pPr>
    </w:p>
    <w:p w:rsidR="00E65CE8" w:rsidRPr="00F40250" w:rsidRDefault="00E65CE8" w:rsidP="00E65CE8">
      <w:pPr>
        <w:tabs>
          <w:tab w:val="right" w:pos="900"/>
        </w:tabs>
        <w:spacing w:before="120" w:after="0" w:line="240" w:lineRule="auto"/>
        <w:rPr>
          <w:rFonts w:ascii="Times New Roman" w:eastAsia="Times New Roman" w:hAnsi="Times New Roman" w:cs="Times New Roman"/>
          <w:bCs/>
          <w:lang w:eastAsia="hu-HU"/>
        </w:rPr>
      </w:pPr>
      <w:r w:rsidRPr="00F40250">
        <w:rPr>
          <w:rFonts w:ascii="Times New Roman" w:eastAsia="Times New Roman" w:hAnsi="Times New Roman" w:cs="Times New Roman"/>
          <w:bCs/>
        </w:rPr>
        <w:t>Budapest, 2020. február 5.</w:t>
      </w:r>
    </w:p>
    <w:p w:rsidR="00E65CE8" w:rsidRPr="00F40250" w:rsidRDefault="00E65CE8" w:rsidP="00E65CE8">
      <w:pPr>
        <w:tabs>
          <w:tab w:val="right" w:pos="900"/>
        </w:tabs>
        <w:spacing w:before="120" w:after="0" w:line="240" w:lineRule="auto"/>
        <w:ind w:left="5103"/>
        <w:jc w:val="right"/>
        <w:rPr>
          <w:rFonts w:ascii="Times New Roman" w:eastAsia="Times New Roman" w:hAnsi="Times New Roman" w:cs="Times New Roman"/>
          <w:bCs/>
        </w:rPr>
      </w:pPr>
      <w:r w:rsidRPr="00F40250">
        <w:rPr>
          <w:rFonts w:ascii="Times New Roman" w:eastAsia="Times New Roman" w:hAnsi="Times New Roman" w:cs="Times New Roman"/>
        </w:rPr>
        <w:t>Dr. Kiss Gabriella PhD.</w:t>
      </w:r>
    </w:p>
    <w:p w:rsidR="00E65CE8" w:rsidRPr="00F40250" w:rsidRDefault="00E65CE8" w:rsidP="00E65CE8">
      <w:pPr>
        <w:spacing w:after="200" w:line="276" w:lineRule="auto"/>
        <w:ind w:left="5103"/>
        <w:jc w:val="right"/>
        <w:rPr>
          <w:rFonts w:ascii="Times New Roman" w:eastAsia="Times New Roman" w:hAnsi="Times New Roman" w:cs="Times New Roman"/>
        </w:rPr>
      </w:pPr>
      <w:r w:rsidRPr="00F40250">
        <w:rPr>
          <w:rFonts w:ascii="Times New Roman" w:eastAsia="Times New Roman" w:hAnsi="Times New Roman" w:cs="Times New Roman"/>
        </w:rPr>
        <w:t>tantárgyfelelős sk.</w:t>
      </w:r>
    </w:p>
    <w:p w:rsidR="00E65CE8" w:rsidRPr="00F40250" w:rsidRDefault="00E65CE8" w:rsidP="00E65CE8">
      <w:pPr>
        <w:rPr>
          <w:rFonts w:ascii="Times New Roman" w:eastAsia="Times New Roman" w:hAnsi="Times New Roman" w:cs="Times New Roman"/>
          <w:bCs/>
        </w:rPr>
      </w:pPr>
      <w:r w:rsidRPr="00F40250">
        <w:rPr>
          <w:rFonts w:ascii="Times New Roman" w:eastAsia="Times New Roman" w:hAnsi="Times New Roman" w:cs="Times New Roman"/>
          <w:bCs/>
        </w:rPr>
        <w:br w:type="page"/>
      </w:r>
    </w:p>
    <w:tbl>
      <w:tblPr>
        <w:tblW w:w="11669" w:type="dxa"/>
        <w:tblInd w:w="113" w:type="dxa"/>
        <w:tblLook w:val="01E0" w:firstRow="1" w:lastRow="1" w:firstColumn="1" w:lastColumn="1" w:noHBand="0" w:noVBand="0"/>
      </w:tblPr>
      <w:tblGrid>
        <w:gridCol w:w="5382"/>
        <w:gridCol w:w="1093"/>
        <w:gridCol w:w="2597"/>
        <w:gridCol w:w="2597"/>
      </w:tblGrid>
      <w:tr w:rsidR="00E65CE8" w:rsidRPr="00F40250" w:rsidTr="00E65CE8">
        <w:tc>
          <w:tcPr>
            <w:tcW w:w="5382" w:type="dxa"/>
            <w:tcBorders>
              <w:bottom w:val="single" w:sz="4" w:space="0" w:color="auto"/>
            </w:tcBorders>
          </w:tcPr>
          <w:p w:rsidR="00E65CE8" w:rsidRPr="00F40250" w:rsidRDefault="00E65CE8" w:rsidP="00E65CE8">
            <w:pPr>
              <w:spacing w:after="0" w:line="240" w:lineRule="auto"/>
              <w:jc w:val="center"/>
              <w:rPr>
                <w:rFonts w:ascii="Times New Roman" w:eastAsia="Times New Roman" w:hAnsi="Times New Roman" w:cs="Times New Roman"/>
                <w:b/>
                <w:smallCaps/>
                <w:lang w:eastAsia="hu-HU"/>
              </w:rPr>
            </w:pPr>
            <w:r w:rsidRPr="00F40250">
              <w:rPr>
                <w:rFonts w:ascii="Times New Roman" w:eastAsia="Times New Roman" w:hAnsi="Times New Roman" w:cs="Times New Roman"/>
                <w:b/>
                <w:smallCaps/>
                <w:lang w:eastAsia="hu-HU"/>
              </w:rPr>
              <w:lastRenderedPageBreak/>
              <w:t>Nemzeti Közszolgálati Egyetem</w:t>
            </w:r>
          </w:p>
        </w:tc>
        <w:tc>
          <w:tcPr>
            <w:tcW w:w="1093" w:type="dxa"/>
          </w:tcPr>
          <w:p w:rsidR="00E65CE8" w:rsidRPr="00F40250" w:rsidRDefault="00E65CE8" w:rsidP="00E65CE8">
            <w:pPr>
              <w:spacing w:after="0" w:line="240" w:lineRule="auto"/>
              <w:jc w:val="both"/>
              <w:rPr>
                <w:rFonts w:ascii="Times New Roman" w:eastAsia="Times New Roman" w:hAnsi="Times New Roman" w:cs="Times New Roman"/>
                <w:lang w:eastAsia="hu-HU"/>
              </w:rPr>
            </w:pPr>
          </w:p>
        </w:tc>
        <w:tc>
          <w:tcPr>
            <w:tcW w:w="2597" w:type="dxa"/>
          </w:tcPr>
          <w:p w:rsidR="00E65CE8" w:rsidRPr="00F40250" w:rsidRDefault="00E65CE8" w:rsidP="00E65CE8">
            <w:pPr>
              <w:spacing w:after="0" w:line="240" w:lineRule="auto"/>
              <w:jc w:val="right"/>
              <w:rPr>
                <w:rFonts w:ascii="Times New Roman" w:eastAsia="Times New Roman" w:hAnsi="Times New Roman" w:cs="Times New Roman"/>
                <w:lang w:eastAsia="hu-HU"/>
              </w:rPr>
            </w:pPr>
            <w:r w:rsidRPr="00F40250">
              <w:rPr>
                <w:rFonts w:ascii="Times New Roman" w:eastAsia="Times New Roman" w:hAnsi="Times New Roman" w:cs="Times New Roman"/>
                <w:lang w:eastAsia="hu-HU"/>
              </w:rPr>
              <w:t xml:space="preserve"> </w:t>
            </w:r>
          </w:p>
        </w:tc>
        <w:tc>
          <w:tcPr>
            <w:tcW w:w="2597" w:type="dxa"/>
          </w:tcPr>
          <w:p w:rsidR="00E65CE8" w:rsidRPr="00F40250" w:rsidRDefault="00E65CE8" w:rsidP="00E65CE8">
            <w:pPr>
              <w:spacing w:after="0" w:line="240" w:lineRule="auto"/>
              <w:jc w:val="right"/>
              <w:rPr>
                <w:rFonts w:ascii="Times New Roman" w:eastAsia="Times New Roman" w:hAnsi="Times New Roman" w:cs="Times New Roman"/>
                <w:lang w:eastAsia="hu-HU"/>
              </w:rPr>
            </w:pPr>
          </w:p>
        </w:tc>
      </w:tr>
      <w:tr w:rsidR="00E65CE8" w:rsidRPr="00F40250" w:rsidTr="00E65CE8">
        <w:tc>
          <w:tcPr>
            <w:tcW w:w="5382" w:type="dxa"/>
            <w:tcBorders>
              <w:top w:val="single" w:sz="4" w:space="0" w:color="auto"/>
            </w:tcBorders>
          </w:tcPr>
          <w:p w:rsidR="00E65CE8" w:rsidRPr="00F40250" w:rsidRDefault="00E65CE8" w:rsidP="00E65CE8">
            <w:pPr>
              <w:spacing w:after="0" w:line="240" w:lineRule="auto"/>
              <w:jc w:val="center"/>
              <w:rPr>
                <w:rFonts w:ascii="Times New Roman" w:eastAsia="Times New Roman" w:hAnsi="Times New Roman" w:cs="Times New Roman"/>
                <w:b/>
                <w:lang w:eastAsia="hu-HU"/>
              </w:rPr>
            </w:pPr>
            <w:r w:rsidRPr="00F40250">
              <w:rPr>
                <w:rFonts w:ascii="Times New Roman" w:eastAsia="Times New Roman" w:hAnsi="Times New Roman" w:cs="Times New Roman"/>
                <w:b/>
                <w:lang w:eastAsia="hu-HU"/>
              </w:rPr>
              <w:t>Hadtudományi és Honvédtisztképző Kar</w:t>
            </w:r>
          </w:p>
        </w:tc>
        <w:tc>
          <w:tcPr>
            <w:tcW w:w="1093" w:type="dxa"/>
          </w:tcPr>
          <w:p w:rsidR="00E65CE8" w:rsidRPr="00F40250" w:rsidRDefault="00E65CE8" w:rsidP="00E65CE8">
            <w:pPr>
              <w:spacing w:after="0" w:line="240" w:lineRule="auto"/>
              <w:jc w:val="both"/>
              <w:rPr>
                <w:rFonts w:ascii="Times New Roman" w:eastAsia="Times New Roman" w:hAnsi="Times New Roman" w:cs="Times New Roman"/>
                <w:lang w:eastAsia="hu-HU"/>
              </w:rPr>
            </w:pPr>
          </w:p>
        </w:tc>
        <w:tc>
          <w:tcPr>
            <w:tcW w:w="2597" w:type="dxa"/>
          </w:tcPr>
          <w:p w:rsidR="00E65CE8" w:rsidRPr="00F40250" w:rsidRDefault="00E65CE8" w:rsidP="00E65CE8">
            <w:pPr>
              <w:spacing w:after="0" w:line="240" w:lineRule="auto"/>
              <w:jc w:val="both"/>
              <w:rPr>
                <w:rFonts w:ascii="Times New Roman" w:eastAsia="Times New Roman" w:hAnsi="Times New Roman" w:cs="Times New Roman"/>
                <w:lang w:eastAsia="hu-HU"/>
              </w:rPr>
            </w:pPr>
          </w:p>
        </w:tc>
        <w:tc>
          <w:tcPr>
            <w:tcW w:w="2597" w:type="dxa"/>
          </w:tcPr>
          <w:p w:rsidR="00E65CE8" w:rsidRPr="00F40250" w:rsidRDefault="00E65CE8" w:rsidP="00E65CE8">
            <w:pPr>
              <w:spacing w:after="0" w:line="240" w:lineRule="auto"/>
              <w:jc w:val="both"/>
              <w:rPr>
                <w:rFonts w:ascii="Times New Roman" w:eastAsia="Times New Roman" w:hAnsi="Times New Roman" w:cs="Times New Roman"/>
                <w:lang w:eastAsia="hu-HU"/>
              </w:rPr>
            </w:pPr>
          </w:p>
        </w:tc>
      </w:tr>
    </w:tbl>
    <w:p w:rsidR="00E65CE8" w:rsidRPr="00F40250" w:rsidRDefault="00E65CE8" w:rsidP="00E65CE8">
      <w:pPr>
        <w:spacing w:before="120" w:after="0" w:line="240" w:lineRule="auto"/>
        <w:rPr>
          <w:rFonts w:ascii="Times New Roman" w:eastAsia="Times New Roman" w:hAnsi="Times New Roman" w:cs="Times New Roman"/>
          <w:b/>
          <w:bCs/>
          <w:lang w:eastAsia="hu-HU"/>
        </w:rPr>
      </w:pPr>
    </w:p>
    <w:p w:rsidR="00E65CE8" w:rsidRPr="00F40250" w:rsidRDefault="00E65CE8" w:rsidP="00E65CE8">
      <w:pPr>
        <w:spacing w:before="120" w:after="0" w:line="240" w:lineRule="auto"/>
        <w:jc w:val="center"/>
        <w:rPr>
          <w:rFonts w:ascii="Times New Roman" w:eastAsia="Times New Roman" w:hAnsi="Times New Roman" w:cs="Times New Roman"/>
          <w:b/>
          <w:bCs/>
          <w:lang w:eastAsia="hu-HU"/>
        </w:rPr>
      </w:pPr>
      <w:r w:rsidRPr="00F40250">
        <w:rPr>
          <w:rFonts w:ascii="Times New Roman" w:eastAsia="Times New Roman" w:hAnsi="Times New Roman" w:cs="Times New Roman"/>
          <w:b/>
          <w:bCs/>
          <w:lang w:eastAsia="hu-HU"/>
        </w:rPr>
        <w:t>TANTÁRGYI PROGRAM</w:t>
      </w:r>
    </w:p>
    <w:p w:rsidR="00E65CE8" w:rsidRPr="00F40250" w:rsidRDefault="00E65CE8" w:rsidP="00980876">
      <w:pPr>
        <w:numPr>
          <w:ilvl w:val="0"/>
          <w:numId w:val="594"/>
        </w:numPr>
        <w:tabs>
          <w:tab w:val="right" w:pos="900"/>
        </w:tabs>
        <w:spacing w:before="120" w:after="0" w:line="240" w:lineRule="auto"/>
        <w:jc w:val="both"/>
        <w:rPr>
          <w:rFonts w:ascii="Times New Roman" w:eastAsia="Times New Roman" w:hAnsi="Times New Roman" w:cs="Times New Roman"/>
          <w:bCs/>
          <w:lang w:eastAsia="hu-HU"/>
        </w:rPr>
      </w:pPr>
      <w:r w:rsidRPr="00F40250">
        <w:rPr>
          <w:rFonts w:ascii="Times New Roman" w:eastAsia="Times New Roman" w:hAnsi="Times New Roman" w:cs="Times New Roman"/>
          <w:b/>
          <w:bCs/>
          <w:lang w:eastAsia="hu-HU"/>
        </w:rPr>
        <w:t xml:space="preserve">A tantárgy kódja: </w:t>
      </w:r>
      <w:r w:rsidRPr="00F40250">
        <w:rPr>
          <w:rFonts w:ascii="Times New Roman" w:eastAsia="Times New Roman" w:hAnsi="Times New Roman" w:cs="Times New Roman"/>
          <w:bCs/>
          <w:lang w:eastAsia="hu-HU"/>
        </w:rPr>
        <w:t>HKISZLA202</w:t>
      </w:r>
    </w:p>
    <w:p w:rsidR="00E65CE8" w:rsidRPr="00F40250" w:rsidRDefault="00E65CE8" w:rsidP="00980876">
      <w:pPr>
        <w:numPr>
          <w:ilvl w:val="0"/>
          <w:numId w:val="594"/>
        </w:numPr>
        <w:tabs>
          <w:tab w:val="right" w:pos="900"/>
        </w:tabs>
        <w:spacing w:before="120" w:after="0" w:line="240" w:lineRule="auto"/>
        <w:jc w:val="both"/>
        <w:rPr>
          <w:rFonts w:ascii="Times New Roman" w:eastAsia="Times New Roman" w:hAnsi="Times New Roman" w:cs="Times New Roman"/>
          <w:bCs/>
          <w:lang w:eastAsia="hu-HU"/>
        </w:rPr>
      </w:pPr>
      <w:r w:rsidRPr="00F40250">
        <w:rPr>
          <w:rFonts w:ascii="Times New Roman" w:eastAsia="Times New Roman" w:hAnsi="Times New Roman" w:cs="Times New Roman"/>
          <w:b/>
          <w:bCs/>
          <w:lang w:eastAsia="hu-HU"/>
        </w:rPr>
        <w:t>A tantárgy megnevezése (magyarul):</w:t>
      </w:r>
      <w:r w:rsidRPr="00F40250">
        <w:rPr>
          <w:rFonts w:ascii="Times New Roman" w:eastAsia="Times New Roman" w:hAnsi="Times New Roman" w:cs="Times New Roman"/>
          <w:bCs/>
          <w:lang w:eastAsia="hu-HU"/>
        </w:rPr>
        <w:t xml:space="preserve"> Szakmai Angol 4 (Katonai)</w:t>
      </w:r>
    </w:p>
    <w:p w:rsidR="00E65CE8" w:rsidRPr="00F40250" w:rsidRDefault="00E65CE8" w:rsidP="00980876">
      <w:pPr>
        <w:numPr>
          <w:ilvl w:val="0"/>
          <w:numId w:val="594"/>
        </w:numPr>
        <w:tabs>
          <w:tab w:val="right" w:pos="900"/>
        </w:tabs>
        <w:spacing w:before="120" w:after="0" w:line="240" w:lineRule="auto"/>
        <w:ind w:left="357" w:hanging="357"/>
        <w:jc w:val="both"/>
        <w:rPr>
          <w:rFonts w:ascii="Times New Roman" w:eastAsia="Times New Roman" w:hAnsi="Times New Roman" w:cs="Times New Roman"/>
          <w:bCs/>
          <w:lang w:eastAsia="hu-HU"/>
        </w:rPr>
      </w:pPr>
      <w:r w:rsidRPr="00F40250">
        <w:rPr>
          <w:rFonts w:ascii="Times New Roman" w:eastAsia="Times New Roman" w:hAnsi="Times New Roman" w:cs="Times New Roman"/>
          <w:b/>
          <w:bCs/>
          <w:lang w:eastAsia="hu-HU"/>
        </w:rPr>
        <w:t>A tantárgy megnevezése (angolul):</w:t>
      </w:r>
      <w:r w:rsidRPr="00F40250">
        <w:rPr>
          <w:rFonts w:ascii="Times New Roman" w:eastAsia="Times New Roman" w:hAnsi="Times New Roman" w:cs="Times New Roman"/>
          <w:bCs/>
          <w:lang w:eastAsia="hu-HU"/>
        </w:rPr>
        <w:t xml:space="preserve"> </w:t>
      </w:r>
      <w:r w:rsidRPr="00F40250">
        <w:rPr>
          <w:rFonts w:ascii="Times New Roman" w:eastAsia="Times New Roman" w:hAnsi="Times New Roman" w:cs="Times New Roman"/>
        </w:rPr>
        <w:t>Specialized English 4 (Military)</w:t>
      </w:r>
    </w:p>
    <w:p w:rsidR="00E65CE8" w:rsidRPr="00F40250" w:rsidRDefault="00E65CE8" w:rsidP="00980876">
      <w:pPr>
        <w:numPr>
          <w:ilvl w:val="0"/>
          <w:numId w:val="594"/>
        </w:numPr>
        <w:tabs>
          <w:tab w:val="right" w:pos="900"/>
        </w:tabs>
        <w:spacing w:before="120" w:after="0" w:line="240" w:lineRule="auto"/>
        <w:ind w:left="357" w:hanging="357"/>
        <w:jc w:val="both"/>
        <w:rPr>
          <w:rFonts w:ascii="Times New Roman" w:eastAsia="Times New Roman" w:hAnsi="Times New Roman" w:cs="Times New Roman"/>
          <w:bCs/>
          <w:lang w:eastAsia="hu-HU"/>
        </w:rPr>
      </w:pPr>
      <w:r w:rsidRPr="00F40250">
        <w:rPr>
          <w:rFonts w:ascii="Times New Roman" w:eastAsia="Times New Roman" w:hAnsi="Times New Roman" w:cs="Times New Roman"/>
          <w:b/>
          <w:bCs/>
          <w:lang w:eastAsia="hu-HU"/>
        </w:rPr>
        <w:t>Kreditérték és képzési karakter:</w:t>
      </w:r>
    </w:p>
    <w:p w:rsidR="00E65CE8" w:rsidRPr="00F40250" w:rsidRDefault="00E65CE8" w:rsidP="00980876">
      <w:pPr>
        <w:numPr>
          <w:ilvl w:val="1"/>
          <w:numId w:val="594"/>
        </w:numPr>
        <w:tabs>
          <w:tab w:val="right" w:pos="900"/>
        </w:tabs>
        <w:spacing w:before="120" w:after="0" w:line="240" w:lineRule="auto"/>
        <w:jc w:val="both"/>
        <w:rPr>
          <w:rFonts w:ascii="Times New Roman" w:eastAsia="Times New Roman" w:hAnsi="Times New Roman" w:cs="Times New Roman"/>
          <w:bCs/>
          <w:lang w:eastAsia="hu-HU"/>
        </w:rPr>
      </w:pPr>
      <w:r w:rsidRPr="00F40250">
        <w:rPr>
          <w:rFonts w:ascii="Times New Roman" w:eastAsia="Times New Roman" w:hAnsi="Times New Roman" w:cs="Times New Roman"/>
          <w:bCs/>
          <w:lang w:eastAsia="hu-HU"/>
        </w:rPr>
        <w:t>0 kredit</w:t>
      </w:r>
    </w:p>
    <w:p w:rsidR="00C62254" w:rsidRPr="00821665" w:rsidRDefault="00C62254" w:rsidP="00980876">
      <w:pPr>
        <w:numPr>
          <w:ilvl w:val="1"/>
          <w:numId w:val="594"/>
        </w:numPr>
        <w:tabs>
          <w:tab w:val="right" w:pos="900"/>
        </w:tabs>
        <w:spacing w:before="120" w:after="0" w:line="240" w:lineRule="auto"/>
        <w:jc w:val="both"/>
        <w:rPr>
          <w:rFonts w:ascii="Times New Roman" w:eastAsia="Times New Roman" w:hAnsi="Times New Roman" w:cs="Times New Roman"/>
          <w:bCs/>
          <w:lang w:eastAsia="hu-HU"/>
        </w:rPr>
      </w:pPr>
      <w:r w:rsidRPr="00821665">
        <w:rPr>
          <w:rFonts w:ascii="Times New Roman" w:eastAsia="Times New Roman" w:hAnsi="Times New Roman" w:cs="Times New Roman"/>
          <w:bCs/>
          <w:lang w:eastAsia="hu-HU"/>
        </w:rPr>
        <w:t>a tantárgy elméleti vagy gyakorlati jellegének mértéke: 50% gyakorlat, 50% elmélet</w:t>
      </w:r>
    </w:p>
    <w:p w:rsidR="00E65CE8" w:rsidRPr="00F40250" w:rsidRDefault="00E65CE8" w:rsidP="00980876">
      <w:pPr>
        <w:numPr>
          <w:ilvl w:val="0"/>
          <w:numId w:val="594"/>
        </w:numPr>
        <w:tabs>
          <w:tab w:val="right" w:pos="900"/>
        </w:tabs>
        <w:spacing w:before="120" w:after="0" w:line="240" w:lineRule="auto"/>
        <w:ind w:left="357" w:hanging="357"/>
        <w:jc w:val="both"/>
        <w:rPr>
          <w:rFonts w:ascii="Times New Roman" w:eastAsia="Times New Roman" w:hAnsi="Times New Roman" w:cs="Times New Roman"/>
          <w:bCs/>
          <w:lang w:eastAsia="hu-HU"/>
        </w:rPr>
      </w:pPr>
      <w:r w:rsidRPr="00F40250">
        <w:rPr>
          <w:rFonts w:ascii="Times New Roman" w:eastAsia="Times New Roman" w:hAnsi="Times New Roman" w:cs="Times New Roman"/>
          <w:b/>
          <w:bCs/>
          <w:lang w:eastAsia="hu-HU"/>
        </w:rPr>
        <w:t>A szak(ok), szakirányok megnevezése (ahol oktatják):</w:t>
      </w:r>
      <w:r w:rsidRPr="00F40250">
        <w:rPr>
          <w:rFonts w:ascii="Times New Roman" w:eastAsia="Times New Roman" w:hAnsi="Times New Roman" w:cs="Times New Roman"/>
          <w:bCs/>
          <w:lang w:eastAsia="hu-HU"/>
        </w:rPr>
        <w:t xml:space="preserve"> A Nemzeti Közszolgálati Egyetem Hadtudományi és Honvédtisztképző Karának minden alapképzési szakán nappali munkarendben</w:t>
      </w:r>
    </w:p>
    <w:p w:rsidR="00E65CE8" w:rsidRPr="00F40250" w:rsidRDefault="00E65CE8" w:rsidP="00980876">
      <w:pPr>
        <w:numPr>
          <w:ilvl w:val="0"/>
          <w:numId w:val="594"/>
        </w:numPr>
        <w:spacing w:before="120" w:after="200" w:line="240" w:lineRule="auto"/>
        <w:ind w:left="357" w:hanging="357"/>
        <w:contextualSpacing/>
        <w:jc w:val="both"/>
        <w:rPr>
          <w:rFonts w:ascii="Times New Roman" w:eastAsia="Times New Roman" w:hAnsi="Times New Roman" w:cs="Times New Roman"/>
          <w:b/>
          <w:bCs/>
          <w:lang w:eastAsia="hu-HU"/>
        </w:rPr>
      </w:pPr>
      <w:r w:rsidRPr="00F40250">
        <w:rPr>
          <w:rFonts w:ascii="Times New Roman" w:eastAsia="Times New Roman" w:hAnsi="Times New Roman" w:cs="Times New Roman"/>
          <w:b/>
          <w:bCs/>
        </w:rPr>
        <w:t xml:space="preserve">Az oktatásért felelős oktatási szervezeti egység megnevezése: </w:t>
      </w:r>
      <w:r w:rsidRPr="00F40250">
        <w:rPr>
          <w:rFonts w:ascii="Times New Roman" w:eastAsia="Times New Roman" w:hAnsi="Times New Roman" w:cs="Times New Roman"/>
          <w:bCs/>
          <w:lang w:eastAsia="hu-HU"/>
        </w:rPr>
        <w:t>Hadtudományi és Honvédtisztképző Kar, Idegennyelvi és Szaknyelvi Lektorátus</w:t>
      </w:r>
    </w:p>
    <w:p w:rsidR="00E65CE8" w:rsidRPr="00F40250" w:rsidRDefault="00E65CE8" w:rsidP="00980876">
      <w:pPr>
        <w:numPr>
          <w:ilvl w:val="0"/>
          <w:numId w:val="594"/>
        </w:numPr>
        <w:tabs>
          <w:tab w:val="right" w:pos="900"/>
        </w:tabs>
        <w:spacing w:before="120" w:after="0" w:line="240" w:lineRule="auto"/>
        <w:ind w:left="357" w:hanging="357"/>
        <w:jc w:val="both"/>
        <w:rPr>
          <w:rFonts w:ascii="Times New Roman" w:eastAsia="Times New Roman" w:hAnsi="Times New Roman" w:cs="Times New Roman"/>
          <w:bCs/>
          <w:lang w:eastAsia="hu-HU"/>
        </w:rPr>
      </w:pPr>
      <w:r w:rsidRPr="00F40250">
        <w:rPr>
          <w:rFonts w:ascii="Times New Roman" w:eastAsia="Times New Roman" w:hAnsi="Times New Roman" w:cs="Times New Roman"/>
          <w:b/>
          <w:bCs/>
          <w:lang w:eastAsia="hu-HU"/>
        </w:rPr>
        <w:t xml:space="preserve">A tantárgyfelelős oktató neve, beosztása, tudományos fokozata: </w:t>
      </w:r>
      <w:r w:rsidRPr="00F40250">
        <w:rPr>
          <w:rFonts w:ascii="Times New Roman" w:eastAsia="Times New Roman" w:hAnsi="Times New Roman" w:cs="Times New Roman"/>
          <w:bCs/>
          <w:lang w:eastAsia="hu-HU"/>
        </w:rPr>
        <w:t>Dr. Kiss Gabriella lektorátusvezető</w:t>
      </w:r>
    </w:p>
    <w:p w:rsidR="00E65CE8" w:rsidRPr="00F40250" w:rsidRDefault="00E65CE8" w:rsidP="00980876">
      <w:pPr>
        <w:numPr>
          <w:ilvl w:val="0"/>
          <w:numId w:val="594"/>
        </w:numPr>
        <w:tabs>
          <w:tab w:val="right" w:pos="900"/>
        </w:tabs>
        <w:spacing w:before="120" w:after="0" w:line="240" w:lineRule="auto"/>
        <w:jc w:val="both"/>
        <w:rPr>
          <w:rFonts w:ascii="Times New Roman" w:eastAsia="Times New Roman" w:hAnsi="Times New Roman" w:cs="Times New Roman"/>
          <w:bCs/>
          <w:lang w:eastAsia="hu-HU"/>
        </w:rPr>
      </w:pPr>
      <w:r w:rsidRPr="00F40250">
        <w:rPr>
          <w:rFonts w:ascii="Times New Roman" w:eastAsia="Times New Roman" w:hAnsi="Times New Roman" w:cs="Times New Roman"/>
          <w:b/>
          <w:bCs/>
          <w:lang w:eastAsia="hu-HU"/>
        </w:rPr>
        <w:t xml:space="preserve">A tanórákszáma és típusa </w:t>
      </w:r>
      <w:r w:rsidRPr="00F40250">
        <w:rPr>
          <w:rFonts w:ascii="Times New Roman" w:eastAsia="Times New Roman" w:hAnsi="Times New Roman" w:cs="Times New Roman"/>
          <w:b/>
          <w:bCs/>
          <w:i/>
          <w:lang w:eastAsia="hu-HU"/>
        </w:rPr>
        <w:t>(előadás+szeminárium+gyakorlat):</w:t>
      </w:r>
    </w:p>
    <w:p w:rsidR="00E65CE8" w:rsidRPr="00F40250" w:rsidRDefault="00E65CE8" w:rsidP="00980876">
      <w:pPr>
        <w:numPr>
          <w:ilvl w:val="1"/>
          <w:numId w:val="594"/>
        </w:numPr>
        <w:tabs>
          <w:tab w:val="right" w:pos="900"/>
        </w:tabs>
        <w:spacing w:before="120" w:after="0" w:line="240" w:lineRule="auto"/>
        <w:jc w:val="both"/>
        <w:rPr>
          <w:rFonts w:ascii="Times New Roman" w:eastAsia="Times New Roman" w:hAnsi="Times New Roman" w:cs="Times New Roman"/>
          <w:bCs/>
          <w:lang w:eastAsia="hu-HU"/>
        </w:rPr>
      </w:pPr>
      <w:r w:rsidRPr="00F40250">
        <w:rPr>
          <w:rFonts w:ascii="Times New Roman" w:eastAsia="Times New Roman" w:hAnsi="Times New Roman" w:cs="Times New Roman"/>
          <w:bCs/>
          <w:lang w:eastAsia="hu-HU"/>
        </w:rPr>
        <w:t>összóraszám: 56</w:t>
      </w:r>
    </w:p>
    <w:p w:rsidR="00C62254" w:rsidRPr="00821665" w:rsidRDefault="00C62254" w:rsidP="00980876">
      <w:pPr>
        <w:numPr>
          <w:ilvl w:val="2"/>
          <w:numId w:val="594"/>
        </w:numPr>
        <w:tabs>
          <w:tab w:val="right" w:pos="900"/>
        </w:tabs>
        <w:spacing w:before="120" w:after="0" w:line="240" w:lineRule="auto"/>
        <w:jc w:val="both"/>
        <w:rPr>
          <w:rFonts w:ascii="Times New Roman" w:eastAsia="Times New Roman" w:hAnsi="Times New Roman" w:cs="Times New Roman"/>
          <w:bCs/>
          <w:lang w:eastAsia="hu-HU"/>
        </w:rPr>
      </w:pPr>
      <w:r w:rsidRPr="00821665">
        <w:rPr>
          <w:rFonts w:ascii="Times New Roman" w:eastAsia="Times New Roman" w:hAnsi="Times New Roman" w:cs="Times New Roman"/>
          <w:bCs/>
          <w:lang w:eastAsia="hu-HU"/>
        </w:rPr>
        <w:t>Nappali munkarend: 56 óra/félév (28 EA + 0 SZ + 28 GY)</w:t>
      </w:r>
    </w:p>
    <w:p w:rsidR="00E65CE8" w:rsidRPr="00F40250" w:rsidRDefault="00E65CE8" w:rsidP="00980876">
      <w:pPr>
        <w:numPr>
          <w:ilvl w:val="2"/>
          <w:numId w:val="594"/>
        </w:numPr>
        <w:tabs>
          <w:tab w:val="right" w:pos="900"/>
        </w:tabs>
        <w:spacing w:before="120" w:after="0" w:line="240" w:lineRule="auto"/>
        <w:jc w:val="both"/>
        <w:rPr>
          <w:rFonts w:ascii="Times New Roman" w:eastAsia="Times New Roman" w:hAnsi="Times New Roman" w:cs="Times New Roman"/>
          <w:bCs/>
          <w:lang w:eastAsia="hu-HU"/>
        </w:rPr>
      </w:pPr>
      <w:r w:rsidRPr="00F40250">
        <w:rPr>
          <w:rFonts w:ascii="Times New Roman" w:eastAsia="Times New Roman" w:hAnsi="Times New Roman" w:cs="Times New Roman"/>
          <w:bCs/>
          <w:lang w:eastAsia="hu-HU"/>
        </w:rPr>
        <w:t>Levelező munkarend: -</w:t>
      </w:r>
    </w:p>
    <w:p w:rsidR="00C62254" w:rsidRPr="00821665" w:rsidRDefault="00C62254" w:rsidP="00980876">
      <w:pPr>
        <w:numPr>
          <w:ilvl w:val="1"/>
          <w:numId w:val="594"/>
        </w:numPr>
        <w:tabs>
          <w:tab w:val="right" w:pos="900"/>
        </w:tabs>
        <w:spacing w:before="120" w:after="0" w:line="240" w:lineRule="auto"/>
        <w:jc w:val="both"/>
        <w:rPr>
          <w:rFonts w:ascii="Times New Roman" w:eastAsia="Times New Roman" w:hAnsi="Times New Roman" w:cs="Times New Roman"/>
          <w:bCs/>
          <w:lang w:eastAsia="hu-HU"/>
        </w:rPr>
      </w:pPr>
      <w:r w:rsidRPr="00821665">
        <w:rPr>
          <w:rFonts w:ascii="Times New Roman" w:eastAsia="Times New Roman" w:hAnsi="Times New Roman" w:cs="Times New Roman"/>
          <w:bCs/>
          <w:lang w:eastAsia="hu-HU"/>
        </w:rPr>
        <w:t>heti óraszám - nappali munkarend: 4</w:t>
      </w:r>
      <w:r>
        <w:rPr>
          <w:rFonts w:ascii="Times New Roman" w:eastAsia="Times New Roman" w:hAnsi="Times New Roman" w:cs="Times New Roman"/>
          <w:bCs/>
          <w:lang w:eastAsia="hu-HU"/>
        </w:rPr>
        <w:t xml:space="preserve"> </w:t>
      </w:r>
      <w:r w:rsidRPr="00821665">
        <w:rPr>
          <w:rFonts w:ascii="Times New Roman" w:eastAsia="Times New Roman" w:hAnsi="Times New Roman" w:cs="Times New Roman"/>
          <w:bCs/>
          <w:lang w:eastAsia="hu-HU"/>
        </w:rPr>
        <w:t>(2+2) óra/hét</w:t>
      </w:r>
    </w:p>
    <w:p w:rsidR="00E65CE8" w:rsidRPr="00F40250" w:rsidRDefault="00E65CE8" w:rsidP="00980876">
      <w:pPr>
        <w:numPr>
          <w:ilvl w:val="1"/>
          <w:numId w:val="594"/>
        </w:numPr>
        <w:tabs>
          <w:tab w:val="right" w:pos="900"/>
        </w:tabs>
        <w:spacing w:before="120" w:after="0" w:line="240" w:lineRule="auto"/>
        <w:jc w:val="both"/>
        <w:rPr>
          <w:rFonts w:ascii="Times New Roman" w:eastAsia="Times New Roman" w:hAnsi="Times New Roman" w:cs="Times New Roman"/>
          <w:bCs/>
          <w:lang w:eastAsia="hu-HU"/>
        </w:rPr>
      </w:pPr>
      <w:r w:rsidRPr="00F40250">
        <w:rPr>
          <w:rFonts w:ascii="Times New Roman" w:eastAsia="Times New Roman" w:hAnsi="Times New Roman" w:cs="Times New Roman"/>
          <w:bCs/>
          <w:lang w:eastAsia="hu-HU"/>
        </w:rPr>
        <w:t>Az ismeret átadásában alkalmazandó további sajátos módok, jellemzők:</w:t>
      </w:r>
    </w:p>
    <w:p w:rsidR="00E65CE8" w:rsidRPr="00F40250" w:rsidRDefault="00E65CE8" w:rsidP="00980876">
      <w:pPr>
        <w:numPr>
          <w:ilvl w:val="0"/>
          <w:numId w:val="594"/>
        </w:numPr>
        <w:tabs>
          <w:tab w:val="right" w:pos="900"/>
          <w:tab w:val="center" w:pos="4536"/>
          <w:tab w:val="right" w:pos="9072"/>
        </w:tabs>
        <w:spacing w:before="120" w:after="0" w:line="240" w:lineRule="auto"/>
        <w:ind w:left="357" w:hanging="357"/>
        <w:jc w:val="both"/>
        <w:rPr>
          <w:rFonts w:ascii="Times New Roman" w:eastAsia="Times New Roman" w:hAnsi="Times New Roman" w:cs="Times New Roman"/>
          <w:bCs/>
          <w:lang w:eastAsia="hu-HU"/>
        </w:rPr>
      </w:pPr>
      <w:r w:rsidRPr="00F40250">
        <w:rPr>
          <w:rFonts w:ascii="Times New Roman" w:eastAsia="Times New Roman" w:hAnsi="Times New Roman" w:cs="Times New Roman"/>
          <w:b/>
          <w:bCs/>
          <w:lang w:eastAsia="hu-HU"/>
        </w:rPr>
        <w:t xml:space="preserve">A tantárgy szakmai tartalma (magyarul): </w:t>
      </w:r>
      <w:r w:rsidRPr="00F40250">
        <w:rPr>
          <w:rFonts w:ascii="Times New Roman" w:eastAsia="Times New Roman" w:hAnsi="Times New Roman" w:cs="Times New Roman"/>
          <w:bCs/>
          <w:lang w:eastAsia="hu-HU"/>
        </w:rPr>
        <w:t>A szakmai angol nyelv ismereteinek elsajátítása, beszédkészség, beszédértés és íráskészségek fejlesztése.</w:t>
      </w:r>
    </w:p>
    <w:p w:rsidR="00E65CE8" w:rsidRPr="00F40250" w:rsidRDefault="00E65CE8" w:rsidP="00E65CE8">
      <w:pPr>
        <w:spacing w:before="120" w:after="0" w:line="240" w:lineRule="auto"/>
        <w:ind w:left="357"/>
        <w:contextualSpacing/>
        <w:jc w:val="both"/>
        <w:rPr>
          <w:rFonts w:ascii="Times New Roman" w:eastAsia="Times New Roman" w:hAnsi="Times New Roman" w:cs="Times New Roman"/>
          <w:bCs/>
          <w:lang w:eastAsia="hu-HU"/>
        </w:rPr>
      </w:pPr>
      <w:r w:rsidRPr="00F40250">
        <w:rPr>
          <w:rFonts w:ascii="Times New Roman" w:eastAsia="Times New Roman" w:hAnsi="Times New Roman" w:cs="Times New Roman"/>
          <w:b/>
          <w:bCs/>
          <w:lang w:eastAsia="hu-HU"/>
        </w:rPr>
        <w:t>A tantárgy szakmai tartalma (angolul):</w:t>
      </w:r>
      <w:r w:rsidRPr="00F40250">
        <w:rPr>
          <w:rFonts w:ascii="Times New Roman" w:eastAsia="Times New Roman" w:hAnsi="Times New Roman" w:cs="Times New Roman"/>
          <w:bCs/>
          <w:lang w:eastAsia="hu-HU"/>
        </w:rPr>
        <w:t xml:space="preserve"> Acquirement of professional English language, and the enhancement of speaking, listening, and writing skills.</w:t>
      </w:r>
    </w:p>
    <w:p w:rsidR="00E65CE8" w:rsidRPr="00F40250" w:rsidRDefault="00E65CE8" w:rsidP="00980876">
      <w:pPr>
        <w:numPr>
          <w:ilvl w:val="0"/>
          <w:numId w:val="594"/>
        </w:numPr>
        <w:tabs>
          <w:tab w:val="right" w:pos="900"/>
        </w:tabs>
        <w:spacing w:before="120" w:after="0" w:line="240" w:lineRule="auto"/>
        <w:jc w:val="both"/>
        <w:rPr>
          <w:rFonts w:ascii="Times New Roman" w:eastAsia="Times New Roman" w:hAnsi="Times New Roman" w:cs="Times New Roman"/>
          <w:bCs/>
          <w:lang w:eastAsia="hu-HU"/>
        </w:rPr>
      </w:pPr>
      <w:r w:rsidRPr="00F40250">
        <w:rPr>
          <w:rFonts w:ascii="Times New Roman" w:eastAsia="Times New Roman" w:hAnsi="Times New Roman" w:cs="Times New Roman"/>
          <w:b/>
          <w:bCs/>
          <w:lang w:eastAsia="hu-HU"/>
        </w:rPr>
        <w:t>Elérendő kompetenciák (magyarul):</w:t>
      </w:r>
    </w:p>
    <w:p w:rsidR="00E65CE8" w:rsidRPr="00F40250" w:rsidRDefault="00E65CE8" w:rsidP="00E65CE8">
      <w:pPr>
        <w:tabs>
          <w:tab w:val="right" w:pos="900"/>
        </w:tabs>
        <w:spacing w:before="120" w:after="0" w:line="240" w:lineRule="auto"/>
        <w:jc w:val="both"/>
        <w:rPr>
          <w:rFonts w:ascii="Times New Roman" w:eastAsia="Times New Roman" w:hAnsi="Times New Roman" w:cs="Times New Roman"/>
          <w:bCs/>
          <w:lang w:eastAsia="hu-HU"/>
        </w:rPr>
      </w:pPr>
      <w:r w:rsidRPr="00F40250">
        <w:rPr>
          <w:rFonts w:ascii="Times New Roman" w:eastAsia="Times New Roman" w:hAnsi="Times New Roman" w:cs="Times New Roman"/>
          <w:b/>
          <w:bCs/>
          <w:lang w:eastAsia="hu-HU"/>
        </w:rPr>
        <w:t>Tudása:</w:t>
      </w:r>
      <w:r w:rsidRPr="00F40250">
        <w:rPr>
          <w:rFonts w:ascii="Times New Roman" w:eastAsia="Times New Roman" w:hAnsi="Times New Roman" w:cs="Times New Roman"/>
          <w:bCs/>
          <w:lang w:eastAsia="hu-HU"/>
        </w:rPr>
        <w:t xml:space="preserve"> </w:t>
      </w:r>
    </w:p>
    <w:p w:rsidR="00E65CE8" w:rsidRPr="00F40250" w:rsidRDefault="00E65CE8" w:rsidP="00980876">
      <w:pPr>
        <w:numPr>
          <w:ilvl w:val="0"/>
          <w:numId w:val="585"/>
        </w:numPr>
        <w:tabs>
          <w:tab w:val="right" w:pos="900"/>
        </w:tabs>
        <w:spacing w:after="0" w:line="240" w:lineRule="auto"/>
        <w:ind w:left="426"/>
        <w:contextualSpacing/>
        <w:jc w:val="both"/>
        <w:rPr>
          <w:rFonts w:ascii="Times New Roman" w:eastAsia="Times New Roman" w:hAnsi="Times New Roman" w:cs="Times New Roman"/>
          <w:bCs/>
          <w:lang w:eastAsia="hu-HU"/>
        </w:rPr>
      </w:pPr>
      <w:r w:rsidRPr="00F40250">
        <w:rPr>
          <w:rFonts w:ascii="Times New Roman" w:eastAsia="Times New Roman" w:hAnsi="Times New Roman" w:cs="Times New Roman"/>
          <w:bCs/>
          <w:lang w:eastAsia="hu-HU"/>
        </w:rPr>
        <w:t>Ismeri az összfegyvernemi harc megvívásával, a harctámogatással, a harckiszolgáló támogatással, a haderőnemek, a fegyvernemek és szakcsapatok szervezeti felépítésével és harceljárásaival kapcsolatos alapszókincset.</w:t>
      </w:r>
    </w:p>
    <w:p w:rsidR="00E65CE8" w:rsidRPr="00F40250" w:rsidRDefault="00E65CE8" w:rsidP="00980876">
      <w:pPr>
        <w:numPr>
          <w:ilvl w:val="0"/>
          <w:numId w:val="585"/>
        </w:numPr>
        <w:tabs>
          <w:tab w:val="right" w:pos="900"/>
        </w:tabs>
        <w:spacing w:after="0" w:line="240" w:lineRule="auto"/>
        <w:ind w:left="426"/>
        <w:contextualSpacing/>
        <w:jc w:val="both"/>
        <w:rPr>
          <w:rFonts w:ascii="Times New Roman" w:eastAsia="Times New Roman" w:hAnsi="Times New Roman" w:cs="Times New Roman"/>
          <w:bCs/>
          <w:lang w:eastAsia="hu-HU"/>
        </w:rPr>
      </w:pPr>
      <w:r w:rsidRPr="00F40250">
        <w:rPr>
          <w:rFonts w:ascii="Times New Roman" w:eastAsia="Times New Roman" w:hAnsi="Times New Roman" w:cs="Times New Roman"/>
          <w:bCs/>
          <w:lang w:eastAsia="hu-HU"/>
        </w:rPr>
        <w:t>Birtokában van azon nyelvtani ismereteknek, melyek szükségesek az összfegyvernemi harc megvívásával, a harctámogatással, a harckiszolgáló támogatással, a haderőnemek, a fegyvernemek és szakcsapatok szervezeti felépítésével és harceljárásaival kapcsolatos kommunikáció lebonyolításához.</w:t>
      </w:r>
    </w:p>
    <w:p w:rsidR="00E65CE8" w:rsidRPr="00F40250" w:rsidRDefault="00E65CE8" w:rsidP="00980876">
      <w:pPr>
        <w:numPr>
          <w:ilvl w:val="0"/>
          <w:numId w:val="585"/>
        </w:numPr>
        <w:tabs>
          <w:tab w:val="right" w:pos="900"/>
        </w:tabs>
        <w:spacing w:after="0" w:line="240" w:lineRule="auto"/>
        <w:ind w:left="426"/>
        <w:contextualSpacing/>
        <w:jc w:val="both"/>
        <w:rPr>
          <w:rFonts w:ascii="Times New Roman" w:eastAsia="Times New Roman" w:hAnsi="Times New Roman" w:cs="Times New Roman"/>
          <w:bCs/>
          <w:lang w:eastAsia="hu-HU"/>
        </w:rPr>
      </w:pPr>
      <w:r w:rsidRPr="00F40250">
        <w:rPr>
          <w:rFonts w:ascii="Times New Roman" w:eastAsia="Times New Roman" w:hAnsi="Times New Roman" w:cs="Times New Roman"/>
          <w:bCs/>
          <w:lang w:eastAsia="hu-HU"/>
        </w:rPr>
        <w:t>Ismeri a NATO dokumentumok megértéséhez szükséges angol terminológiát</w:t>
      </w:r>
    </w:p>
    <w:p w:rsidR="00E65CE8" w:rsidRPr="00F40250" w:rsidRDefault="00E65CE8" w:rsidP="00980876">
      <w:pPr>
        <w:numPr>
          <w:ilvl w:val="0"/>
          <w:numId w:val="585"/>
        </w:numPr>
        <w:tabs>
          <w:tab w:val="right" w:pos="900"/>
        </w:tabs>
        <w:spacing w:after="0" w:line="240" w:lineRule="auto"/>
        <w:ind w:left="426"/>
        <w:contextualSpacing/>
        <w:jc w:val="both"/>
        <w:rPr>
          <w:rFonts w:ascii="Times New Roman" w:eastAsia="Times New Roman" w:hAnsi="Times New Roman" w:cs="Times New Roman"/>
          <w:bCs/>
          <w:lang w:eastAsia="hu-HU"/>
        </w:rPr>
      </w:pPr>
      <w:r w:rsidRPr="00F40250">
        <w:rPr>
          <w:rFonts w:ascii="Times New Roman" w:eastAsia="Times New Roman" w:hAnsi="Times New Roman" w:cs="Times New Roman"/>
          <w:bCs/>
          <w:lang w:eastAsia="hu-HU"/>
        </w:rPr>
        <w:t>Ismeri a béketámogató műveletek, a Magyar Honvédség békeműveleti feladatai valamint a békefenntartó eljárások leírásához szükséges angol terminológiát</w:t>
      </w:r>
    </w:p>
    <w:p w:rsidR="00E65CE8" w:rsidRPr="00F40250" w:rsidRDefault="00E65CE8" w:rsidP="00E65CE8">
      <w:pPr>
        <w:tabs>
          <w:tab w:val="right" w:pos="900"/>
        </w:tabs>
        <w:spacing w:before="120" w:after="0" w:line="240" w:lineRule="auto"/>
        <w:jc w:val="both"/>
        <w:rPr>
          <w:rFonts w:ascii="Times New Roman" w:eastAsia="Times New Roman" w:hAnsi="Times New Roman" w:cs="Times New Roman"/>
          <w:bCs/>
          <w:lang w:eastAsia="hu-HU"/>
        </w:rPr>
      </w:pPr>
      <w:r w:rsidRPr="00F40250">
        <w:rPr>
          <w:rFonts w:ascii="Times New Roman" w:eastAsia="Times New Roman" w:hAnsi="Times New Roman" w:cs="Times New Roman"/>
          <w:b/>
          <w:bCs/>
          <w:lang w:eastAsia="hu-HU"/>
        </w:rPr>
        <w:t>Képességei:</w:t>
      </w:r>
      <w:r w:rsidRPr="00F40250">
        <w:rPr>
          <w:rFonts w:ascii="Times New Roman" w:eastAsia="Times New Roman" w:hAnsi="Times New Roman" w:cs="Times New Roman"/>
          <w:bCs/>
          <w:lang w:eastAsia="hu-HU"/>
        </w:rPr>
        <w:t xml:space="preserve"> </w:t>
      </w:r>
    </w:p>
    <w:p w:rsidR="00E65CE8" w:rsidRPr="00F40250" w:rsidRDefault="00E65CE8" w:rsidP="00980876">
      <w:pPr>
        <w:numPr>
          <w:ilvl w:val="0"/>
          <w:numId w:val="584"/>
        </w:numPr>
        <w:tabs>
          <w:tab w:val="right" w:pos="900"/>
        </w:tabs>
        <w:spacing w:after="0" w:line="240" w:lineRule="auto"/>
        <w:ind w:left="426"/>
        <w:contextualSpacing/>
        <w:jc w:val="both"/>
        <w:rPr>
          <w:rFonts w:ascii="Times New Roman" w:eastAsia="Times New Roman" w:hAnsi="Times New Roman" w:cs="Times New Roman"/>
          <w:bCs/>
          <w:lang w:eastAsia="hu-HU"/>
        </w:rPr>
      </w:pPr>
      <w:r w:rsidRPr="00F40250">
        <w:rPr>
          <w:rFonts w:ascii="Times New Roman" w:eastAsia="Times New Roman" w:hAnsi="Times New Roman" w:cs="Times New Roman"/>
          <w:bCs/>
          <w:lang w:eastAsia="hu-HU"/>
        </w:rPr>
        <w:t>Képes a szakterületéhez kapcsolódó NATO dokumentumok megértésére.</w:t>
      </w:r>
    </w:p>
    <w:p w:rsidR="00E65CE8" w:rsidRPr="00F40250" w:rsidRDefault="00E65CE8" w:rsidP="00980876">
      <w:pPr>
        <w:numPr>
          <w:ilvl w:val="0"/>
          <w:numId w:val="584"/>
        </w:numPr>
        <w:tabs>
          <w:tab w:val="right" w:pos="900"/>
        </w:tabs>
        <w:spacing w:after="0" w:line="240" w:lineRule="auto"/>
        <w:ind w:left="426"/>
        <w:contextualSpacing/>
        <w:jc w:val="both"/>
        <w:rPr>
          <w:rFonts w:ascii="Times New Roman" w:eastAsia="Times New Roman" w:hAnsi="Times New Roman" w:cs="Times New Roman"/>
          <w:bCs/>
          <w:lang w:eastAsia="hu-HU"/>
        </w:rPr>
      </w:pPr>
      <w:r w:rsidRPr="00F40250">
        <w:rPr>
          <w:rFonts w:ascii="Times New Roman" w:eastAsia="Times New Roman" w:hAnsi="Times New Roman" w:cs="Times New Roman"/>
          <w:bCs/>
          <w:lang w:eastAsia="hu-HU"/>
        </w:rPr>
        <w:t>Képes alkalmazni a szakterületéhez tartozó angol terminológiát</w:t>
      </w:r>
    </w:p>
    <w:p w:rsidR="00E65CE8" w:rsidRPr="00F40250" w:rsidRDefault="00E65CE8" w:rsidP="00980876">
      <w:pPr>
        <w:numPr>
          <w:ilvl w:val="0"/>
          <w:numId w:val="584"/>
        </w:numPr>
        <w:tabs>
          <w:tab w:val="right" w:pos="900"/>
        </w:tabs>
        <w:spacing w:after="0" w:line="240" w:lineRule="auto"/>
        <w:ind w:left="426"/>
        <w:contextualSpacing/>
        <w:jc w:val="both"/>
        <w:rPr>
          <w:rFonts w:ascii="Times New Roman" w:eastAsia="Times New Roman" w:hAnsi="Times New Roman" w:cs="Times New Roman"/>
          <w:bCs/>
          <w:lang w:eastAsia="hu-HU"/>
        </w:rPr>
      </w:pPr>
      <w:r w:rsidRPr="00F40250">
        <w:rPr>
          <w:rFonts w:ascii="Times New Roman" w:eastAsia="Times New Roman" w:hAnsi="Times New Roman" w:cs="Times New Roman"/>
          <w:bCs/>
          <w:lang w:eastAsia="hu-HU"/>
        </w:rPr>
        <w:t>Képes angol nyelven dokumentumokat, nyomtatványokat, jegyzőkönyveket,  feljegyzéseket készíteni, valamint azokat kitölteni.</w:t>
      </w:r>
    </w:p>
    <w:p w:rsidR="00E65CE8" w:rsidRPr="00F40250" w:rsidRDefault="00E65CE8" w:rsidP="00980876">
      <w:pPr>
        <w:numPr>
          <w:ilvl w:val="0"/>
          <w:numId w:val="584"/>
        </w:numPr>
        <w:tabs>
          <w:tab w:val="right" w:pos="900"/>
        </w:tabs>
        <w:spacing w:after="0" w:line="240" w:lineRule="auto"/>
        <w:ind w:left="426"/>
        <w:contextualSpacing/>
        <w:jc w:val="both"/>
        <w:rPr>
          <w:rFonts w:ascii="Times New Roman" w:eastAsia="Times New Roman" w:hAnsi="Times New Roman" w:cs="Times New Roman"/>
          <w:bCs/>
          <w:lang w:eastAsia="hu-HU"/>
        </w:rPr>
      </w:pPr>
      <w:r w:rsidRPr="00F40250">
        <w:rPr>
          <w:rFonts w:ascii="Times New Roman" w:eastAsia="Times New Roman" w:hAnsi="Times New Roman" w:cs="Times New Roman"/>
          <w:bCs/>
          <w:lang w:eastAsia="hu-HU"/>
        </w:rPr>
        <w:t>Képes prezentációkat és eligazításokat tartani angol nyelven.</w:t>
      </w:r>
    </w:p>
    <w:p w:rsidR="00E65CE8" w:rsidRPr="00F40250" w:rsidRDefault="00E65CE8" w:rsidP="00980876">
      <w:pPr>
        <w:numPr>
          <w:ilvl w:val="0"/>
          <w:numId w:val="584"/>
        </w:numPr>
        <w:tabs>
          <w:tab w:val="right" w:pos="900"/>
        </w:tabs>
        <w:spacing w:after="0" w:line="240" w:lineRule="auto"/>
        <w:ind w:left="426"/>
        <w:contextualSpacing/>
        <w:jc w:val="both"/>
        <w:rPr>
          <w:rFonts w:ascii="Times New Roman" w:eastAsia="Times New Roman" w:hAnsi="Times New Roman" w:cs="Times New Roman"/>
          <w:bCs/>
          <w:lang w:eastAsia="hu-HU"/>
        </w:rPr>
      </w:pPr>
      <w:r w:rsidRPr="00F40250">
        <w:rPr>
          <w:rFonts w:ascii="Times New Roman" w:eastAsia="Times New Roman" w:hAnsi="Times New Roman" w:cs="Times New Roman"/>
          <w:bCs/>
          <w:lang w:eastAsia="hu-HU"/>
        </w:rPr>
        <w:t>Képes a szakterületéhez kapcsolódó angol nyelvű prezentációk, eligazítások és munkával kapcsolatos megbeszélések lényegét megérteni.</w:t>
      </w:r>
    </w:p>
    <w:p w:rsidR="00E65CE8" w:rsidRPr="00F40250" w:rsidRDefault="00E65CE8" w:rsidP="00980876">
      <w:pPr>
        <w:widowControl w:val="0"/>
        <w:numPr>
          <w:ilvl w:val="0"/>
          <w:numId w:val="584"/>
        </w:numPr>
        <w:spacing w:after="0" w:line="240" w:lineRule="auto"/>
        <w:ind w:left="426"/>
        <w:contextualSpacing/>
        <w:jc w:val="both"/>
        <w:rPr>
          <w:rFonts w:ascii="Times New Roman" w:eastAsia="Times New Roman" w:hAnsi="Times New Roman" w:cs="Times New Roman"/>
        </w:rPr>
      </w:pPr>
      <w:r w:rsidRPr="00F40250">
        <w:rPr>
          <w:rFonts w:ascii="Times New Roman" w:eastAsia="Times New Roman" w:hAnsi="Times New Roman" w:cs="Times New Roman"/>
        </w:rPr>
        <w:lastRenderedPageBreak/>
        <w:t>Képes oly mértékben folyékonyan és spontánul kommunikálni anyanyelvi beszélőkkel, hogy az nem jelent megerőltetést semelyik fél számára.</w:t>
      </w:r>
    </w:p>
    <w:p w:rsidR="00E65CE8" w:rsidRPr="00F40250" w:rsidRDefault="00E65CE8" w:rsidP="00E65CE8">
      <w:pPr>
        <w:tabs>
          <w:tab w:val="right" w:pos="900"/>
        </w:tabs>
        <w:spacing w:before="120" w:after="0" w:line="240" w:lineRule="auto"/>
        <w:jc w:val="both"/>
        <w:rPr>
          <w:rFonts w:ascii="Times New Roman" w:eastAsia="Times New Roman" w:hAnsi="Times New Roman" w:cs="Times New Roman"/>
          <w:bCs/>
          <w:lang w:eastAsia="hu-HU"/>
        </w:rPr>
      </w:pPr>
      <w:r w:rsidRPr="00F40250">
        <w:rPr>
          <w:rFonts w:ascii="Times New Roman" w:eastAsia="Times New Roman" w:hAnsi="Times New Roman" w:cs="Times New Roman"/>
          <w:b/>
          <w:bCs/>
          <w:lang w:eastAsia="hu-HU"/>
        </w:rPr>
        <w:t>Attitüdje:</w:t>
      </w:r>
      <w:r w:rsidRPr="00F40250">
        <w:rPr>
          <w:rFonts w:ascii="Times New Roman" w:eastAsia="Times New Roman" w:hAnsi="Times New Roman" w:cs="Times New Roman"/>
          <w:bCs/>
          <w:lang w:eastAsia="hu-HU"/>
        </w:rPr>
        <w:t xml:space="preserve"> </w:t>
      </w:r>
    </w:p>
    <w:p w:rsidR="00E65CE8" w:rsidRPr="00F40250" w:rsidRDefault="00E65CE8" w:rsidP="00980876">
      <w:pPr>
        <w:numPr>
          <w:ilvl w:val="0"/>
          <w:numId w:val="5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contextualSpacing/>
        <w:jc w:val="both"/>
        <w:rPr>
          <w:rFonts w:ascii="Times New Roman" w:eastAsia="Times New Roman" w:hAnsi="Times New Roman" w:cs="Times New Roman"/>
        </w:rPr>
      </w:pPr>
      <w:r w:rsidRPr="00F40250">
        <w:rPr>
          <w:rFonts w:ascii="Times New Roman" w:eastAsia="Times New Roman" w:hAnsi="Times New Roman" w:cs="Times New Roman"/>
        </w:rPr>
        <w:t>Hajlandó elsajátítani a szakterületéhez tartozó új terminológiát, igyekszik annak megértésére és használatára, és törekszik a saját szakterületén a folyamatos nyelvi vonatkozású önképzésre.</w:t>
      </w:r>
    </w:p>
    <w:p w:rsidR="00E65CE8" w:rsidRPr="00F40250" w:rsidRDefault="00E65CE8" w:rsidP="00980876">
      <w:pPr>
        <w:numPr>
          <w:ilvl w:val="0"/>
          <w:numId w:val="5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contextualSpacing/>
        <w:jc w:val="both"/>
        <w:rPr>
          <w:rFonts w:ascii="Times New Roman" w:eastAsia="Times New Roman" w:hAnsi="Times New Roman" w:cs="Times New Roman"/>
        </w:rPr>
      </w:pPr>
      <w:r w:rsidRPr="00F40250">
        <w:rPr>
          <w:rFonts w:ascii="Times New Roman" w:eastAsia="Times New Roman" w:hAnsi="Times New Roman" w:cs="Times New Roman"/>
        </w:rPr>
        <w:t>Az angol nyelv használata során pontosságra törekszik.</w:t>
      </w:r>
    </w:p>
    <w:p w:rsidR="00E65CE8" w:rsidRPr="00F40250" w:rsidRDefault="00E65CE8" w:rsidP="00980876">
      <w:pPr>
        <w:numPr>
          <w:ilvl w:val="0"/>
          <w:numId w:val="5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contextualSpacing/>
        <w:jc w:val="both"/>
        <w:rPr>
          <w:rFonts w:ascii="Times New Roman" w:eastAsia="Times New Roman" w:hAnsi="Times New Roman" w:cs="Times New Roman"/>
        </w:rPr>
      </w:pPr>
      <w:r w:rsidRPr="00F40250">
        <w:rPr>
          <w:rFonts w:ascii="Times New Roman" w:eastAsia="Times New Roman" w:hAnsi="Times New Roman" w:cs="Times New Roman"/>
        </w:rPr>
        <w:t>Nem fél vagy szégyell segítséget kérni abban az esetben, ha nehézségekkel szembesül a nyelvhasználat során.</w:t>
      </w:r>
    </w:p>
    <w:p w:rsidR="00E65CE8" w:rsidRPr="00F40250" w:rsidRDefault="00E65CE8" w:rsidP="00980876">
      <w:pPr>
        <w:numPr>
          <w:ilvl w:val="0"/>
          <w:numId w:val="5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contextualSpacing/>
        <w:jc w:val="both"/>
        <w:rPr>
          <w:rFonts w:ascii="Times New Roman" w:eastAsia="Times New Roman" w:hAnsi="Times New Roman" w:cs="Times New Roman"/>
        </w:rPr>
      </w:pPr>
      <w:r w:rsidRPr="00F40250">
        <w:rPr>
          <w:rFonts w:ascii="Times New Roman" w:eastAsia="Times New Roman" w:hAnsi="Times New Roman" w:cs="Times New Roman"/>
        </w:rPr>
        <w:t>Minden alkalmat megragad nyelvi készségeinek fejlesztésére.</w:t>
      </w:r>
    </w:p>
    <w:p w:rsidR="00E65CE8" w:rsidRPr="00F40250" w:rsidRDefault="00E65CE8" w:rsidP="00E65CE8">
      <w:pPr>
        <w:tabs>
          <w:tab w:val="right" w:pos="900"/>
        </w:tabs>
        <w:spacing w:before="120" w:after="0" w:line="240" w:lineRule="auto"/>
        <w:jc w:val="both"/>
        <w:rPr>
          <w:rFonts w:ascii="Times New Roman" w:eastAsia="Times New Roman" w:hAnsi="Times New Roman" w:cs="Times New Roman"/>
          <w:bCs/>
          <w:lang w:eastAsia="hu-HU"/>
        </w:rPr>
      </w:pPr>
      <w:r w:rsidRPr="00F40250">
        <w:rPr>
          <w:rFonts w:ascii="Times New Roman" w:eastAsia="Times New Roman" w:hAnsi="Times New Roman" w:cs="Times New Roman"/>
          <w:b/>
          <w:bCs/>
          <w:lang w:eastAsia="hu-HU"/>
        </w:rPr>
        <w:t>Autonómiája és felelőssége:</w:t>
      </w:r>
      <w:r w:rsidRPr="00F40250">
        <w:rPr>
          <w:rFonts w:ascii="Times New Roman" w:eastAsia="Times New Roman" w:hAnsi="Times New Roman" w:cs="Times New Roman"/>
          <w:bCs/>
          <w:lang w:eastAsia="hu-HU"/>
        </w:rPr>
        <w:t xml:space="preserve"> </w:t>
      </w:r>
    </w:p>
    <w:p w:rsidR="00E65CE8" w:rsidRPr="00F40250" w:rsidRDefault="00E65CE8" w:rsidP="00980876">
      <w:pPr>
        <w:widowControl w:val="0"/>
        <w:numPr>
          <w:ilvl w:val="0"/>
          <w:numId w:val="582"/>
        </w:numPr>
        <w:spacing w:after="0" w:line="240" w:lineRule="auto"/>
        <w:ind w:left="426"/>
        <w:contextualSpacing/>
        <w:jc w:val="both"/>
        <w:rPr>
          <w:rFonts w:ascii="Times New Roman" w:eastAsia="Times New Roman" w:hAnsi="Times New Roman" w:cs="Times New Roman"/>
          <w:bCs/>
        </w:rPr>
      </w:pPr>
      <w:r w:rsidRPr="00F40250">
        <w:rPr>
          <w:rFonts w:ascii="Times New Roman" w:eastAsia="Times New Roman" w:hAnsi="Times New Roman" w:cs="Times New Roman"/>
          <w:bCs/>
        </w:rPr>
        <w:t xml:space="preserve">Képes önállóan fejleszteni ismereteit a szakterülete terminológiájának területén. </w:t>
      </w:r>
    </w:p>
    <w:p w:rsidR="00E65CE8" w:rsidRPr="00F40250" w:rsidRDefault="00E65CE8" w:rsidP="00980876">
      <w:pPr>
        <w:widowControl w:val="0"/>
        <w:numPr>
          <w:ilvl w:val="0"/>
          <w:numId w:val="582"/>
        </w:numPr>
        <w:spacing w:after="0" w:line="240" w:lineRule="auto"/>
        <w:ind w:left="426"/>
        <w:contextualSpacing/>
        <w:jc w:val="both"/>
        <w:rPr>
          <w:rFonts w:ascii="Times New Roman" w:eastAsia="Times New Roman" w:hAnsi="Times New Roman" w:cs="Times New Roman"/>
          <w:bCs/>
        </w:rPr>
      </w:pPr>
      <w:r w:rsidRPr="00F40250">
        <w:rPr>
          <w:rFonts w:ascii="Times New Roman" w:eastAsia="Times New Roman" w:hAnsi="Times New Roman" w:cs="Times New Roman"/>
          <w:bCs/>
        </w:rPr>
        <w:t xml:space="preserve">Tisztában van az angol nyelven történő hatékony kommunikáció szükségességével többnemzeti környezetben. </w:t>
      </w:r>
    </w:p>
    <w:p w:rsidR="00E65CE8" w:rsidRPr="00F40250" w:rsidRDefault="00E65CE8" w:rsidP="00980876">
      <w:pPr>
        <w:widowControl w:val="0"/>
        <w:numPr>
          <w:ilvl w:val="0"/>
          <w:numId w:val="582"/>
        </w:numPr>
        <w:spacing w:after="0" w:line="240" w:lineRule="auto"/>
        <w:ind w:left="426"/>
        <w:contextualSpacing/>
        <w:jc w:val="both"/>
        <w:rPr>
          <w:rFonts w:ascii="Times New Roman" w:eastAsia="Times New Roman" w:hAnsi="Times New Roman" w:cs="Times New Roman"/>
          <w:bCs/>
        </w:rPr>
      </w:pPr>
      <w:r w:rsidRPr="00F40250">
        <w:rPr>
          <w:rFonts w:ascii="Times New Roman" w:eastAsia="Times New Roman" w:hAnsi="Times New Roman" w:cs="Times New Roman"/>
          <w:bCs/>
        </w:rPr>
        <w:t>Felelősséget vállal saját angol nyelvű szóbeli és írásbeli kommunikációjáért.</w:t>
      </w:r>
    </w:p>
    <w:p w:rsidR="00E65CE8" w:rsidRPr="00F40250" w:rsidRDefault="00E65CE8" w:rsidP="00E65CE8">
      <w:pPr>
        <w:tabs>
          <w:tab w:val="right" w:pos="900"/>
        </w:tabs>
        <w:spacing w:before="240" w:after="0" w:line="240" w:lineRule="auto"/>
        <w:jc w:val="both"/>
        <w:rPr>
          <w:rFonts w:ascii="Times New Roman" w:eastAsia="Times New Roman" w:hAnsi="Times New Roman" w:cs="Times New Roman"/>
          <w:bCs/>
          <w:lang w:val="en-GB" w:eastAsia="hu-HU"/>
        </w:rPr>
      </w:pPr>
      <w:r w:rsidRPr="00F40250">
        <w:rPr>
          <w:rFonts w:ascii="Times New Roman" w:eastAsia="Times New Roman" w:hAnsi="Times New Roman" w:cs="Times New Roman"/>
          <w:b/>
          <w:bCs/>
          <w:lang w:val="en-GB" w:eastAsia="hu-HU"/>
        </w:rPr>
        <w:t>Elérendő kompetenciák (angolul):</w:t>
      </w:r>
    </w:p>
    <w:p w:rsidR="00E65CE8" w:rsidRPr="00F40250" w:rsidRDefault="00E65CE8" w:rsidP="00E65CE8">
      <w:pPr>
        <w:spacing w:before="120" w:after="0" w:line="276" w:lineRule="auto"/>
        <w:rPr>
          <w:rFonts w:ascii="Times New Roman" w:eastAsia="Times New Roman" w:hAnsi="Times New Roman" w:cs="Times New Roman"/>
          <w:bCs/>
          <w:lang w:val="en-GB" w:eastAsia="hu-HU"/>
        </w:rPr>
      </w:pPr>
      <w:r w:rsidRPr="00F40250">
        <w:rPr>
          <w:rFonts w:ascii="Times New Roman" w:eastAsia="Times New Roman" w:hAnsi="Times New Roman" w:cs="Times New Roman"/>
          <w:b/>
          <w:bCs/>
          <w:lang w:val="en-GB" w:eastAsia="hu-HU"/>
        </w:rPr>
        <w:t>Knowledge:</w:t>
      </w:r>
      <w:r w:rsidRPr="00F40250">
        <w:rPr>
          <w:rFonts w:ascii="Times New Roman" w:eastAsia="Times New Roman" w:hAnsi="Times New Roman" w:cs="Times New Roman"/>
          <w:bCs/>
          <w:lang w:val="en-GB" w:eastAsia="hu-HU"/>
        </w:rPr>
        <w:t xml:space="preserve"> </w:t>
      </w:r>
    </w:p>
    <w:p w:rsidR="00E65CE8" w:rsidRPr="00F40250" w:rsidRDefault="00E65CE8" w:rsidP="00980876">
      <w:pPr>
        <w:numPr>
          <w:ilvl w:val="0"/>
          <w:numId w:val="586"/>
        </w:numPr>
        <w:spacing w:after="0" w:line="240" w:lineRule="auto"/>
        <w:ind w:left="426"/>
        <w:contextualSpacing/>
        <w:jc w:val="both"/>
        <w:rPr>
          <w:rFonts w:ascii="Times New Roman" w:eastAsia="Times New Roman" w:hAnsi="Times New Roman" w:cs="Times New Roman"/>
          <w:lang w:val="en-GB"/>
        </w:rPr>
      </w:pPr>
      <w:r w:rsidRPr="00F40250">
        <w:rPr>
          <w:rFonts w:ascii="Times New Roman" w:eastAsia="Times New Roman" w:hAnsi="Times New Roman" w:cs="Times New Roman"/>
          <w:lang w:val="en-GB"/>
        </w:rPr>
        <w:t>Possesses the basic vocabulary to describe the basic procedures and features of the battle   carried out by combined arms, the combat service (CS) and combat service support (CSS) tasks, the battle procedures and organizational structures of the military services, branches and specific units.</w:t>
      </w:r>
    </w:p>
    <w:p w:rsidR="00E65CE8" w:rsidRPr="00F40250" w:rsidRDefault="00E65CE8" w:rsidP="00980876">
      <w:pPr>
        <w:numPr>
          <w:ilvl w:val="0"/>
          <w:numId w:val="586"/>
        </w:numPr>
        <w:spacing w:after="0" w:line="240" w:lineRule="auto"/>
        <w:ind w:left="426"/>
        <w:contextualSpacing/>
        <w:jc w:val="both"/>
        <w:rPr>
          <w:rFonts w:ascii="Times New Roman" w:eastAsia="Times New Roman" w:hAnsi="Times New Roman" w:cs="Times New Roman"/>
          <w:lang w:val="en-GB"/>
        </w:rPr>
      </w:pPr>
      <w:r w:rsidRPr="00F40250">
        <w:rPr>
          <w:rFonts w:ascii="Times New Roman" w:eastAsia="Times New Roman" w:hAnsi="Times New Roman" w:cs="Times New Roman"/>
          <w:lang w:val="en-GB"/>
        </w:rPr>
        <w:t>Knows the grammatical structures to describe the basic procedures and features of the battle carried out by combined arms, the combat service (CS) and combat service support (CSS) tasks, the battle procedures and organizational structures of the military services, branches and specific units.</w:t>
      </w:r>
    </w:p>
    <w:p w:rsidR="00E65CE8" w:rsidRPr="00F40250" w:rsidRDefault="00E65CE8" w:rsidP="00980876">
      <w:pPr>
        <w:numPr>
          <w:ilvl w:val="0"/>
          <w:numId w:val="586"/>
        </w:numPr>
        <w:spacing w:after="0" w:line="240" w:lineRule="auto"/>
        <w:ind w:left="426"/>
        <w:contextualSpacing/>
        <w:jc w:val="both"/>
        <w:rPr>
          <w:rFonts w:ascii="Times New Roman" w:eastAsia="Times New Roman" w:hAnsi="Times New Roman" w:cs="Times New Roman"/>
          <w:lang w:val="en-GB"/>
        </w:rPr>
      </w:pPr>
      <w:r w:rsidRPr="00F40250">
        <w:rPr>
          <w:rFonts w:ascii="Times New Roman" w:eastAsia="Times New Roman" w:hAnsi="Times New Roman" w:cs="Times New Roman"/>
          <w:lang w:val="en-GB"/>
        </w:rPr>
        <w:t>Has an adequate knowledge of the English terminology to understand NATO documents.</w:t>
      </w:r>
    </w:p>
    <w:p w:rsidR="00E65CE8" w:rsidRPr="00F40250" w:rsidRDefault="00E65CE8" w:rsidP="00980876">
      <w:pPr>
        <w:numPr>
          <w:ilvl w:val="0"/>
          <w:numId w:val="586"/>
        </w:numPr>
        <w:spacing w:after="0" w:line="240" w:lineRule="auto"/>
        <w:ind w:left="426"/>
        <w:contextualSpacing/>
        <w:jc w:val="both"/>
        <w:rPr>
          <w:rFonts w:ascii="Times New Roman" w:eastAsia="Times New Roman" w:hAnsi="Times New Roman" w:cs="Times New Roman"/>
          <w:lang w:val="en-GB"/>
        </w:rPr>
      </w:pPr>
      <w:r w:rsidRPr="00F40250">
        <w:rPr>
          <w:rFonts w:ascii="Times New Roman" w:eastAsia="Times New Roman" w:hAnsi="Times New Roman" w:cs="Times New Roman"/>
          <w:lang w:val="en-GB"/>
        </w:rPr>
        <w:t>Is familiar with the English terminology to describe Peace Support Operations, the tasks of the Hungarian Defence Forces in peace operations and the basic peacekeeping procedures.</w:t>
      </w:r>
    </w:p>
    <w:p w:rsidR="00E65CE8" w:rsidRPr="00F40250" w:rsidRDefault="00E65CE8" w:rsidP="00E65CE8">
      <w:pPr>
        <w:tabs>
          <w:tab w:val="right" w:pos="900"/>
        </w:tabs>
        <w:spacing w:before="120" w:after="0" w:line="240" w:lineRule="auto"/>
        <w:jc w:val="both"/>
        <w:rPr>
          <w:rFonts w:ascii="Times New Roman" w:eastAsia="Times New Roman" w:hAnsi="Times New Roman" w:cs="Times New Roman"/>
          <w:b/>
          <w:bCs/>
          <w:lang w:val="en-GB" w:eastAsia="hu-HU"/>
        </w:rPr>
      </w:pPr>
      <w:r w:rsidRPr="00F40250">
        <w:rPr>
          <w:rFonts w:ascii="Times New Roman" w:eastAsia="Times New Roman" w:hAnsi="Times New Roman" w:cs="Times New Roman"/>
          <w:b/>
          <w:bCs/>
          <w:lang w:val="en-GB" w:eastAsia="hu-HU"/>
        </w:rPr>
        <w:t>Capabilities:</w:t>
      </w:r>
    </w:p>
    <w:p w:rsidR="00E65CE8" w:rsidRPr="00F40250" w:rsidRDefault="00E65CE8" w:rsidP="00980876">
      <w:pPr>
        <w:numPr>
          <w:ilvl w:val="0"/>
          <w:numId w:val="581"/>
        </w:numPr>
        <w:tabs>
          <w:tab w:val="right" w:pos="900"/>
        </w:tabs>
        <w:spacing w:after="0" w:line="240" w:lineRule="auto"/>
        <w:ind w:left="426"/>
        <w:contextualSpacing/>
        <w:jc w:val="both"/>
        <w:rPr>
          <w:rFonts w:ascii="Times New Roman" w:eastAsia="Times New Roman" w:hAnsi="Times New Roman" w:cs="Times New Roman"/>
          <w:bCs/>
          <w:lang w:val="en-GB" w:eastAsia="hu-HU"/>
        </w:rPr>
      </w:pPr>
      <w:r w:rsidRPr="00F40250">
        <w:rPr>
          <w:rFonts w:ascii="Times New Roman" w:eastAsia="Times New Roman" w:hAnsi="Times New Roman" w:cs="Times New Roman"/>
          <w:bCs/>
          <w:lang w:val="en-GB" w:eastAsia="hu-HU"/>
        </w:rPr>
        <w:t>Capable of understanding NATO documents related to his/her specialization.</w:t>
      </w:r>
    </w:p>
    <w:p w:rsidR="00E65CE8" w:rsidRPr="00F40250" w:rsidRDefault="00E65CE8" w:rsidP="00980876">
      <w:pPr>
        <w:numPr>
          <w:ilvl w:val="0"/>
          <w:numId w:val="581"/>
        </w:numPr>
        <w:tabs>
          <w:tab w:val="right" w:pos="900"/>
        </w:tabs>
        <w:spacing w:after="0" w:line="240" w:lineRule="auto"/>
        <w:ind w:left="426"/>
        <w:contextualSpacing/>
        <w:jc w:val="both"/>
        <w:rPr>
          <w:rFonts w:ascii="Times New Roman" w:eastAsia="Times New Roman" w:hAnsi="Times New Roman" w:cs="Times New Roman"/>
          <w:bCs/>
          <w:lang w:val="en-GB" w:eastAsia="hu-HU"/>
        </w:rPr>
      </w:pPr>
      <w:r w:rsidRPr="00F40250">
        <w:rPr>
          <w:rFonts w:ascii="Times New Roman" w:eastAsia="Times New Roman" w:hAnsi="Times New Roman" w:cs="Times New Roman"/>
          <w:bCs/>
          <w:lang w:val="en-GB" w:eastAsia="hu-HU"/>
        </w:rPr>
        <w:t>Capable of using the professional terminology in English.</w:t>
      </w:r>
    </w:p>
    <w:p w:rsidR="00E65CE8" w:rsidRPr="00F40250" w:rsidRDefault="00E65CE8" w:rsidP="00980876">
      <w:pPr>
        <w:numPr>
          <w:ilvl w:val="0"/>
          <w:numId w:val="581"/>
        </w:numPr>
        <w:tabs>
          <w:tab w:val="right" w:pos="900"/>
        </w:tabs>
        <w:spacing w:after="0" w:line="240" w:lineRule="auto"/>
        <w:ind w:left="426"/>
        <w:contextualSpacing/>
        <w:jc w:val="both"/>
        <w:rPr>
          <w:rFonts w:ascii="Times New Roman" w:eastAsia="Times New Roman" w:hAnsi="Times New Roman" w:cs="Times New Roman"/>
          <w:bCs/>
          <w:lang w:val="en-GB" w:eastAsia="hu-HU"/>
        </w:rPr>
      </w:pPr>
      <w:r w:rsidRPr="00F40250">
        <w:rPr>
          <w:rFonts w:ascii="Times New Roman" w:eastAsia="Times New Roman" w:hAnsi="Times New Roman" w:cs="Times New Roman"/>
          <w:bCs/>
          <w:lang w:val="en-GB" w:eastAsia="hu-HU"/>
        </w:rPr>
        <w:t>Capable of preparing documents, forms, minutes, notes and memos and completing documents in English.</w:t>
      </w:r>
    </w:p>
    <w:p w:rsidR="00E65CE8" w:rsidRPr="00F40250" w:rsidRDefault="00E65CE8" w:rsidP="00980876">
      <w:pPr>
        <w:numPr>
          <w:ilvl w:val="0"/>
          <w:numId w:val="581"/>
        </w:numPr>
        <w:tabs>
          <w:tab w:val="right" w:pos="900"/>
        </w:tabs>
        <w:spacing w:after="0" w:line="240" w:lineRule="auto"/>
        <w:ind w:left="426"/>
        <w:contextualSpacing/>
        <w:jc w:val="both"/>
        <w:rPr>
          <w:rFonts w:ascii="Times New Roman" w:eastAsia="Times New Roman" w:hAnsi="Times New Roman" w:cs="Times New Roman"/>
          <w:bCs/>
          <w:lang w:val="en-GB" w:eastAsia="hu-HU"/>
        </w:rPr>
      </w:pPr>
      <w:r w:rsidRPr="00F40250">
        <w:rPr>
          <w:rFonts w:ascii="Times New Roman" w:eastAsia="Times New Roman" w:hAnsi="Times New Roman" w:cs="Times New Roman"/>
          <w:bCs/>
          <w:lang w:val="en-GB" w:eastAsia="hu-HU"/>
        </w:rPr>
        <w:t>Capable of verbal and written work-related communication in English.</w:t>
      </w:r>
    </w:p>
    <w:p w:rsidR="00E65CE8" w:rsidRPr="00F40250" w:rsidRDefault="00E65CE8" w:rsidP="00980876">
      <w:pPr>
        <w:numPr>
          <w:ilvl w:val="0"/>
          <w:numId w:val="581"/>
        </w:numPr>
        <w:tabs>
          <w:tab w:val="right" w:pos="900"/>
        </w:tabs>
        <w:spacing w:after="0" w:line="240" w:lineRule="auto"/>
        <w:ind w:left="426"/>
        <w:contextualSpacing/>
        <w:jc w:val="both"/>
        <w:rPr>
          <w:rFonts w:ascii="Times New Roman" w:eastAsia="Times New Roman" w:hAnsi="Times New Roman" w:cs="Times New Roman"/>
          <w:bCs/>
          <w:lang w:val="en-GB" w:eastAsia="hu-HU"/>
        </w:rPr>
      </w:pPr>
      <w:r w:rsidRPr="00F40250">
        <w:rPr>
          <w:rFonts w:ascii="Times New Roman" w:eastAsia="Times New Roman" w:hAnsi="Times New Roman" w:cs="Times New Roman"/>
          <w:bCs/>
          <w:lang w:val="en-GB" w:eastAsia="hu-HU"/>
        </w:rPr>
        <w:t>Capable of preparing presentations and giving briefings in English.</w:t>
      </w:r>
    </w:p>
    <w:p w:rsidR="00E65CE8" w:rsidRPr="00F40250" w:rsidRDefault="00E65CE8" w:rsidP="00980876">
      <w:pPr>
        <w:numPr>
          <w:ilvl w:val="0"/>
          <w:numId w:val="581"/>
        </w:numPr>
        <w:tabs>
          <w:tab w:val="right" w:pos="900"/>
        </w:tabs>
        <w:spacing w:after="0" w:line="240" w:lineRule="auto"/>
        <w:ind w:left="426"/>
        <w:contextualSpacing/>
        <w:jc w:val="both"/>
        <w:rPr>
          <w:rFonts w:ascii="Times New Roman" w:eastAsia="Times New Roman" w:hAnsi="Times New Roman" w:cs="Times New Roman"/>
          <w:bCs/>
          <w:lang w:val="en-GB" w:eastAsia="hu-HU"/>
        </w:rPr>
      </w:pPr>
      <w:r w:rsidRPr="00F40250">
        <w:rPr>
          <w:rFonts w:ascii="Times New Roman" w:eastAsia="Times New Roman" w:hAnsi="Times New Roman" w:cs="Times New Roman"/>
          <w:bCs/>
          <w:lang w:val="en-GB" w:eastAsia="hu-HU"/>
        </w:rPr>
        <w:t>Capable of understanding the main ideas of presentations, briefings and work-related discussions in his/her specialization.</w:t>
      </w:r>
    </w:p>
    <w:p w:rsidR="00E65CE8" w:rsidRPr="00F40250" w:rsidRDefault="00E65CE8" w:rsidP="00980876">
      <w:pPr>
        <w:numPr>
          <w:ilvl w:val="0"/>
          <w:numId w:val="581"/>
        </w:numPr>
        <w:tabs>
          <w:tab w:val="right" w:pos="900"/>
        </w:tabs>
        <w:spacing w:after="0" w:line="240" w:lineRule="auto"/>
        <w:ind w:left="426"/>
        <w:contextualSpacing/>
        <w:jc w:val="both"/>
        <w:rPr>
          <w:rFonts w:ascii="Times New Roman" w:eastAsia="Times New Roman" w:hAnsi="Times New Roman" w:cs="Times New Roman"/>
          <w:bCs/>
          <w:lang w:val="en-GB" w:eastAsia="hu-HU"/>
        </w:rPr>
      </w:pPr>
      <w:r w:rsidRPr="00F40250">
        <w:rPr>
          <w:rFonts w:ascii="Times New Roman" w:eastAsia="Times New Roman" w:hAnsi="Times New Roman" w:cs="Times New Roman"/>
          <w:bCs/>
          <w:lang w:val="en-GB" w:eastAsia="hu-HU"/>
        </w:rPr>
        <w:t>Capable of interacting with a degree of fluency and spontaneity that makes regular interaction with native speakers quite possible without strain for either party.</w:t>
      </w:r>
    </w:p>
    <w:p w:rsidR="00E65CE8" w:rsidRPr="00F40250" w:rsidRDefault="00E65CE8" w:rsidP="00E65CE8">
      <w:pPr>
        <w:tabs>
          <w:tab w:val="right" w:pos="900"/>
        </w:tabs>
        <w:spacing w:before="120" w:after="0" w:line="240" w:lineRule="auto"/>
        <w:jc w:val="both"/>
        <w:rPr>
          <w:rFonts w:ascii="Times New Roman" w:eastAsia="Times New Roman" w:hAnsi="Times New Roman" w:cs="Times New Roman"/>
          <w:bCs/>
          <w:lang w:val="en-GB" w:eastAsia="hu-HU"/>
        </w:rPr>
      </w:pPr>
      <w:r w:rsidRPr="00F40250">
        <w:rPr>
          <w:rFonts w:ascii="Times New Roman" w:eastAsia="Times New Roman" w:hAnsi="Times New Roman" w:cs="Times New Roman"/>
          <w:b/>
          <w:bCs/>
          <w:lang w:val="en-GB" w:eastAsia="hu-HU"/>
        </w:rPr>
        <w:t>Attitude:</w:t>
      </w:r>
      <w:r w:rsidRPr="00F40250">
        <w:rPr>
          <w:rFonts w:ascii="Times New Roman" w:eastAsia="Times New Roman" w:hAnsi="Times New Roman" w:cs="Times New Roman"/>
          <w:bCs/>
          <w:lang w:val="en-GB" w:eastAsia="hu-HU"/>
        </w:rPr>
        <w:t xml:space="preserve"> </w:t>
      </w:r>
    </w:p>
    <w:p w:rsidR="00E65CE8" w:rsidRPr="00F40250" w:rsidRDefault="00E65CE8" w:rsidP="00980876">
      <w:pPr>
        <w:numPr>
          <w:ilvl w:val="0"/>
          <w:numId w:val="580"/>
        </w:numPr>
        <w:spacing w:after="0" w:line="240" w:lineRule="auto"/>
        <w:ind w:left="426"/>
        <w:contextualSpacing/>
        <w:jc w:val="both"/>
        <w:rPr>
          <w:rFonts w:ascii="Times New Roman" w:eastAsia="Times New Roman" w:hAnsi="Times New Roman" w:cs="Times New Roman"/>
          <w:lang w:val="en-GB"/>
        </w:rPr>
      </w:pPr>
      <w:r w:rsidRPr="00F40250">
        <w:rPr>
          <w:rFonts w:ascii="Times New Roman" w:eastAsia="Times New Roman" w:hAnsi="Times New Roman" w:cs="Times New Roman"/>
          <w:lang w:val="en-GB"/>
        </w:rPr>
        <w:t>Is willing to learn the new terminology in his/her specialization, strives to understand and use it, and is committed to continuous self-education in his/her specialization.</w:t>
      </w:r>
    </w:p>
    <w:p w:rsidR="00E65CE8" w:rsidRPr="00F40250" w:rsidRDefault="00E65CE8" w:rsidP="00980876">
      <w:pPr>
        <w:numPr>
          <w:ilvl w:val="0"/>
          <w:numId w:val="580"/>
        </w:numPr>
        <w:spacing w:after="0" w:line="240" w:lineRule="auto"/>
        <w:ind w:left="426"/>
        <w:contextualSpacing/>
        <w:jc w:val="both"/>
        <w:rPr>
          <w:rFonts w:ascii="Times New Roman" w:eastAsia="Times New Roman" w:hAnsi="Times New Roman" w:cs="Times New Roman"/>
          <w:lang w:val="en-GB"/>
        </w:rPr>
      </w:pPr>
      <w:r w:rsidRPr="00F40250">
        <w:rPr>
          <w:rFonts w:ascii="Times New Roman" w:eastAsia="Times New Roman" w:hAnsi="Times New Roman" w:cs="Times New Roman"/>
          <w:lang w:val="en-GB"/>
        </w:rPr>
        <w:t>Is committed to accuracy when using the English language at work.</w:t>
      </w:r>
    </w:p>
    <w:p w:rsidR="00E65CE8" w:rsidRPr="00F40250" w:rsidRDefault="00E65CE8" w:rsidP="00980876">
      <w:pPr>
        <w:numPr>
          <w:ilvl w:val="0"/>
          <w:numId w:val="580"/>
        </w:numPr>
        <w:spacing w:after="0" w:line="240" w:lineRule="auto"/>
        <w:ind w:left="426"/>
        <w:contextualSpacing/>
        <w:jc w:val="both"/>
        <w:rPr>
          <w:rFonts w:ascii="Times New Roman" w:eastAsia="Times New Roman" w:hAnsi="Times New Roman" w:cs="Times New Roman"/>
          <w:lang w:val="en-GB"/>
        </w:rPr>
      </w:pPr>
      <w:r w:rsidRPr="00F40250">
        <w:rPr>
          <w:rFonts w:ascii="Times New Roman" w:eastAsia="Times New Roman" w:hAnsi="Times New Roman" w:cs="Times New Roman"/>
          <w:lang w:val="en-GB"/>
        </w:rPr>
        <w:t>Is not afraid or embarrassed to seek help when he/she faces problems with the English language.</w:t>
      </w:r>
    </w:p>
    <w:p w:rsidR="00E65CE8" w:rsidRPr="00F40250" w:rsidRDefault="00E65CE8" w:rsidP="00980876">
      <w:pPr>
        <w:numPr>
          <w:ilvl w:val="0"/>
          <w:numId w:val="580"/>
        </w:numPr>
        <w:spacing w:after="0" w:line="240" w:lineRule="auto"/>
        <w:ind w:left="426"/>
        <w:contextualSpacing/>
        <w:jc w:val="both"/>
        <w:rPr>
          <w:rFonts w:ascii="Times New Roman" w:eastAsia="Times New Roman" w:hAnsi="Times New Roman" w:cs="Times New Roman"/>
          <w:lang w:val="en-GB"/>
        </w:rPr>
      </w:pPr>
      <w:r w:rsidRPr="00F40250">
        <w:rPr>
          <w:rFonts w:ascii="Times New Roman" w:eastAsia="Times New Roman" w:hAnsi="Times New Roman" w:cs="Times New Roman"/>
          <w:lang w:val="en-GB"/>
        </w:rPr>
        <w:t>Takes every opportunity to improve his/her knowledge of English.</w:t>
      </w:r>
    </w:p>
    <w:p w:rsidR="00E65CE8" w:rsidRPr="00F40250" w:rsidRDefault="00E65CE8" w:rsidP="00E65CE8">
      <w:pPr>
        <w:tabs>
          <w:tab w:val="right" w:pos="900"/>
        </w:tabs>
        <w:spacing w:before="120" w:after="0" w:line="240" w:lineRule="auto"/>
        <w:jc w:val="both"/>
        <w:rPr>
          <w:rFonts w:ascii="Times New Roman" w:eastAsia="Times New Roman" w:hAnsi="Times New Roman" w:cs="Times New Roman"/>
          <w:bCs/>
          <w:lang w:val="en-GB" w:eastAsia="hu-HU"/>
        </w:rPr>
      </w:pPr>
      <w:r w:rsidRPr="00F40250">
        <w:rPr>
          <w:rFonts w:ascii="Times New Roman" w:eastAsia="Times New Roman" w:hAnsi="Times New Roman" w:cs="Times New Roman"/>
          <w:b/>
          <w:bCs/>
          <w:lang w:val="en-GB" w:eastAsia="hu-HU"/>
        </w:rPr>
        <w:t>Autonomy and responsibility:</w:t>
      </w:r>
      <w:r w:rsidRPr="00F40250">
        <w:rPr>
          <w:rFonts w:ascii="Times New Roman" w:eastAsia="Times New Roman" w:hAnsi="Times New Roman" w:cs="Times New Roman"/>
          <w:bCs/>
          <w:lang w:val="en-GB" w:eastAsia="hu-HU"/>
        </w:rPr>
        <w:t xml:space="preserve"> </w:t>
      </w:r>
    </w:p>
    <w:p w:rsidR="00E65CE8" w:rsidRPr="00F40250" w:rsidRDefault="00E65CE8" w:rsidP="00980876">
      <w:pPr>
        <w:numPr>
          <w:ilvl w:val="0"/>
          <w:numId w:val="579"/>
        </w:numPr>
        <w:spacing w:after="0" w:line="240" w:lineRule="auto"/>
        <w:ind w:left="426"/>
        <w:contextualSpacing/>
        <w:jc w:val="both"/>
        <w:rPr>
          <w:rFonts w:ascii="Times New Roman" w:eastAsia="Times New Roman" w:hAnsi="Times New Roman" w:cs="Times New Roman"/>
          <w:lang w:val="en-GB"/>
        </w:rPr>
      </w:pPr>
      <w:r w:rsidRPr="00F40250">
        <w:rPr>
          <w:rFonts w:ascii="Times New Roman" w:eastAsia="Times New Roman" w:hAnsi="Times New Roman" w:cs="Times New Roman"/>
          <w:lang w:val="en-GB"/>
        </w:rPr>
        <w:t>Able to autonomously improve his/her knowledge of the terminology</w:t>
      </w:r>
    </w:p>
    <w:p w:rsidR="00E65CE8" w:rsidRPr="00F40250" w:rsidRDefault="00E65CE8" w:rsidP="00980876">
      <w:pPr>
        <w:numPr>
          <w:ilvl w:val="0"/>
          <w:numId w:val="579"/>
        </w:numPr>
        <w:spacing w:after="0" w:line="240" w:lineRule="auto"/>
        <w:ind w:left="426"/>
        <w:contextualSpacing/>
        <w:jc w:val="both"/>
        <w:rPr>
          <w:rFonts w:ascii="Times New Roman" w:eastAsia="Times New Roman" w:hAnsi="Times New Roman" w:cs="Times New Roman"/>
          <w:lang w:val="en-GB"/>
        </w:rPr>
      </w:pPr>
      <w:r w:rsidRPr="00F40250">
        <w:rPr>
          <w:rFonts w:ascii="Times New Roman" w:eastAsia="Times New Roman" w:hAnsi="Times New Roman" w:cs="Times New Roman"/>
          <w:lang w:val="en-GB"/>
        </w:rPr>
        <w:t xml:space="preserve">Aware of the importance of being able to effectively communicate in English in a multinational environment </w:t>
      </w:r>
    </w:p>
    <w:p w:rsidR="00E65CE8" w:rsidRPr="00F40250" w:rsidRDefault="00E65CE8" w:rsidP="00980876">
      <w:pPr>
        <w:numPr>
          <w:ilvl w:val="0"/>
          <w:numId w:val="579"/>
        </w:numPr>
        <w:spacing w:after="360" w:line="240" w:lineRule="auto"/>
        <w:ind w:left="426"/>
        <w:contextualSpacing/>
        <w:jc w:val="both"/>
        <w:rPr>
          <w:rFonts w:ascii="Times New Roman" w:eastAsia="Times New Roman" w:hAnsi="Times New Roman" w:cs="Times New Roman"/>
          <w:lang w:val="en-GB"/>
        </w:rPr>
      </w:pPr>
      <w:r w:rsidRPr="00F40250">
        <w:rPr>
          <w:rFonts w:ascii="Times New Roman" w:eastAsia="Times New Roman" w:hAnsi="Times New Roman" w:cs="Times New Roman"/>
          <w:lang w:val="en-GB"/>
        </w:rPr>
        <w:t>Takes responsibility for his/her written/verbal communication in English.</w:t>
      </w:r>
    </w:p>
    <w:p w:rsidR="00E65CE8" w:rsidRPr="00F40250" w:rsidRDefault="00E65CE8" w:rsidP="00E65CE8">
      <w:pPr>
        <w:spacing w:after="360" w:line="240" w:lineRule="auto"/>
        <w:ind w:left="426"/>
        <w:contextualSpacing/>
        <w:jc w:val="both"/>
        <w:rPr>
          <w:rFonts w:ascii="Times New Roman" w:eastAsia="Times New Roman" w:hAnsi="Times New Roman" w:cs="Times New Roman"/>
          <w:lang w:val="en-GB"/>
        </w:rPr>
      </w:pPr>
    </w:p>
    <w:p w:rsidR="00E65CE8" w:rsidRPr="00F40250" w:rsidRDefault="00E65CE8" w:rsidP="00980876">
      <w:pPr>
        <w:numPr>
          <w:ilvl w:val="0"/>
          <w:numId w:val="594"/>
        </w:numPr>
        <w:spacing w:before="120" w:after="120" w:line="276" w:lineRule="auto"/>
        <w:contextualSpacing/>
        <w:rPr>
          <w:rFonts w:ascii="Times New Roman" w:eastAsia="Times New Roman" w:hAnsi="Times New Roman" w:cs="Times New Roman"/>
          <w:bCs/>
          <w:lang w:eastAsia="hu-HU"/>
        </w:rPr>
      </w:pPr>
      <w:r w:rsidRPr="00F40250">
        <w:rPr>
          <w:rFonts w:ascii="Times New Roman" w:eastAsia="Times New Roman" w:hAnsi="Times New Roman" w:cs="Times New Roman"/>
          <w:b/>
          <w:bCs/>
          <w:lang w:eastAsia="hu-HU"/>
        </w:rPr>
        <w:t>Előtanulmányi követelmények:</w:t>
      </w:r>
      <w:r w:rsidRPr="00F40250">
        <w:rPr>
          <w:rFonts w:ascii="Times New Roman" w:eastAsia="Times New Roman" w:hAnsi="Times New Roman" w:cs="Times New Roman"/>
          <w:bCs/>
          <w:lang w:eastAsia="hu-HU"/>
        </w:rPr>
        <w:t xml:space="preserve"> </w:t>
      </w:r>
      <w:r w:rsidR="00F40250">
        <w:rPr>
          <w:rFonts w:ascii="Times New Roman" w:eastAsia="Times New Roman" w:hAnsi="Times New Roman" w:cs="Times New Roman"/>
          <w:bCs/>
          <w:lang w:eastAsia="hu-HU"/>
        </w:rPr>
        <w:t>-</w:t>
      </w:r>
    </w:p>
    <w:p w:rsidR="00E65CE8" w:rsidRPr="00F40250" w:rsidRDefault="00E65CE8">
      <w:pPr>
        <w:spacing w:after="200" w:line="276" w:lineRule="auto"/>
        <w:rPr>
          <w:rFonts w:ascii="Times New Roman" w:eastAsia="Times New Roman" w:hAnsi="Times New Roman" w:cs="Times New Roman"/>
          <w:b/>
          <w:bCs/>
          <w:lang w:eastAsia="hu-HU"/>
        </w:rPr>
      </w:pPr>
      <w:r w:rsidRPr="00F40250">
        <w:rPr>
          <w:rFonts w:ascii="Times New Roman" w:eastAsia="Times New Roman" w:hAnsi="Times New Roman" w:cs="Times New Roman"/>
          <w:b/>
          <w:bCs/>
          <w:lang w:eastAsia="hu-HU"/>
        </w:rPr>
        <w:lastRenderedPageBreak/>
        <w:br w:type="page"/>
      </w:r>
    </w:p>
    <w:p w:rsidR="00E65CE8" w:rsidRPr="00F40250" w:rsidRDefault="00E65CE8" w:rsidP="00980876">
      <w:pPr>
        <w:numPr>
          <w:ilvl w:val="0"/>
          <w:numId w:val="594"/>
        </w:numPr>
        <w:spacing w:before="120" w:after="0" w:line="240" w:lineRule="auto"/>
        <w:contextualSpacing/>
        <w:jc w:val="both"/>
        <w:rPr>
          <w:rFonts w:ascii="Times New Roman" w:eastAsia="Times New Roman" w:hAnsi="Times New Roman" w:cs="Times New Roman"/>
          <w:bCs/>
          <w:lang w:eastAsia="hu-HU"/>
        </w:rPr>
      </w:pPr>
      <w:r w:rsidRPr="00F40250">
        <w:rPr>
          <w:rFonts w:ascii="Times New Roman" w:eastAsia="Times New Roman" w:hAnsi="Times New Roman" w:cs="Times New Roman"/>
          <w:b/>
          <w:bCs/>
          <w:lang w:eastAsia="hu-HU"/>
        </w:rPr>
        <w:lastRenderedPageBreak/>
        <w:t xml:space="preserve">A tantárgy tananyagának leírása, tematika. Description of the subject, curriculum (magyarul, angolul - English): </w:t>
      </w:r>
    </w:p>
    <w:p w:rsidR="00E65CE8" w:rsidRPr="00F40250" w:rsidRDefault="00E65CE8" w:rsidP="00980876">
      <w:pPr>
        <w:numPr>
          <w:ilvl w:val="1"/>
          <w:numId w:val="594"/>
        </w:numPr>
        <w:tabs>
          <w:tab w:val="clear" w:pos="792"/>
        </w:tabs>
        <w:spacing w:after="0" w:line="240" w:lineRule="auto"/>
        <w:ind w:left="1134" w:hanging="708"/>
        <w:rPr>
          <w:rFonts w:ascii="Times New Roman" w:eastAsia="Times New Roman" w:hAnsi="Times New Roman" w:cs="Times New Roman"/>
          <w:lang w:val="en-GB"/>
        </w:rPr>
      </w:pPr>
      <w:r w:rsidRPr="00F40250">
        <w:rPr>
          <w:rFonts w:ascii="Times New Roman" w:eastAsia="Times New Roman" w:hAnsi="Times New Roman" w:cs="Times New Roman"/>
          <w:lang w:val="en-GB"/>
        </w:rPr>
        <w:t>Tisztképzés. (Officer training and education)</w:t>
      </w:r>
    </w:p>
    <w:p w:rsidR="00E65CE8" w:rsidRPr="00F40250" w:rsidRDefault="00E65CE8" w:rsidP="00980876">
      <w:pPr>
        <w:numPr>
          <w:ilvl w:val="1"/>
          <w:numId w:val="594"/>
        </w:numPr>
        <w:tabs>
          <w:tab w:val="clear" w:pos="792"/>
        </w:tabs>
        <w:spacing w:after="0" w:line="240" w:lineRule="auto"/>
        <w:ind w:left="1134" w:hanging="708"/>
        <w:rPr>
          <w:rFonts w:ascii="Times New Roman" w:eastAsia="Times New Roman" w:hAnsi="Times New Roman" w:cs="Times New Roman"/>
          <w:lang w:val="en-GB"/>
        </w:rPr>
      </w:pPr>
      <w:r w:rsidRPr="00F40250">
        <w:rPr>
          <w:rFonts w:ascii="Times New Roman" w:eastAsia="Times New Roman" w:hAnsi="Times New Roman" w:cs="Times New Roman"/>
          <w:lang w:val="en-GB"/>
        </w:rPr>
        <w:t>Alegységek, egységek, rendfokozatok, egyenruha, felszerelés. (Subunits, units, ranks, uniform, equipment)</w:t>
      </w:r>
    </w:p>
    <w:p w:rsidR="00E65CE8" w:rsidRPr="00F40250" w:rsidRDefault="00E65CE8" w:rsidP="00980876">
      <w:pPr>
        <w:numPr>
          <w:ilvl w:val="1"/>
          <w:numId w:val="594"/>
        </w:numPr>
        <w:tabs>
          <w:tab w:val="clear" w:pos="792"/>
        </w:tabs>
        <w:spacing w:after="0" w:line="240" w:lineRule="auto"/>
        <w:ind w:left="1134" w:hanging="708"/>
        <w:rPr>
          <w:rFonts w:ascii="Times New Roman" w:eastAsia="Times New Roman" w:hAnsi="Times New Roman" w:cs="Times New Roman"/>
          <w:lang w:val="en-GB"/>
        </w:rPr>
      </w:pPr>
      <w:r w:rsidRPr="00F40250">
        <w:rPr>
          <w:rFonts w:ascii="Times New Roman" w:eastAsia="Times New Roman" w:hAnsi="Times New Roman" w:cs="Times New Roman"/>
          <w:lang w:val="en-GB"/>
        </w:rPr>
        <w:t>Haderőnemek, fegyvernemek rendeltetése, fegyverzete  (Services and branches, their  missions and weapons systems)</w:t>
      </w:r>
    </w:p>
    <w:p w:rsidR="00E65CE8" w:rsidRPr="00F40250" w:rsidRDefault="00E65CE8" w:rsidP="00980876">
      <w:pPr>
        <w:numPr>
          <w:ilvl w:val="1"/>
          <w:numId w:val="594"/>
        </w:numPr>
        <w:tabs>
          <w:tab w:val="clear" w:pos="792"/>
        </w:tabs>
        <w:spacing w:after="0" w:line="240" w:lineRule="auto"/>
        <w:ind w:left="1134" w:hanging="708"/>
        <w:rPr>
          <w:rFonts w:ascii="Times New Roman" w:eastAsia="Times New Roman" w:hAnsi="Times New Roman" w:cs="Times New Roman"/>
          <w:lang w:val="en-GB"/>
        </w:rPr>
      </w:pPr>
      <w:r w:rsidRPr="00F40250">
        <w:rPr>
          <w:rFonts w:ascii="Times New Roman" w:eastAsia="Times New Roman" w:hAnsi="Times New Roman" w:cs="Times New Roman"/>
          <w:lang w:val="en-GB"/>
        </w:rPr>
        <w:t>A katonai pályakép. Előmeneteli rendszer. (Military career model, promotional system)</w:t>
      </w:r>
    </w:p>
    <w:p w:rsidR="00E65CE8" w:rsidRPr="00F40250" w:rsidRDefault="00E65CE8" w:rsidP="00980876">
      <w:pPr>
        <w:numPr>
          <w:ilvl w:val="1"/>
          <w:numId w:val="594"/>
        </w:numPr>
        <w:tabs>
          <w:tab w:val="clear" w:pos="792"/>
        </w:tabs>
        <w:spacing w:after="0" w:line="240" w:lineRule="auto"/>
        <w:ind w:left="1134" w:hanging="708"/>
        <w:rPr>
          <w:rFonts w:ascii="Times New Roman" w:eastAsia="Times New Roman" w:hAnsi="Times New Roman" w:cs="Times New Roman"/>
          <w:lang w:val="en-GB"/>
        </w:rPr>
      </w:pPr>
      <w:r w:rsidRPr="00F40250">
        <w:rPr>
          <w:rFonts w:ascii="Times New Roman" w:eastAsia="Times New Roman" w:hAnsi="Times New Roman" w:cs="Times New Roman"/>
          <w:lang w:val="en-GB"/>
        </w:rPr>
        <w:t>Kiképzés a hadseregben: alapkiképzés, kiképzettségi szint fenntartása  (Training in the military: basic training, maintaining training levels)</w:t>
      </w:r>
    </w:p>
    <w:p w:rsidR="00E65CE8" w:rsidRPr="00F40250" w:rsidRDefault="00E65CE8" w:rsidP="00980876">
      <w:pPr>
        <w:numPr>
          <w:ilvl w:val="1"/>
          <w:numId w:val="594"/>
        </w:numPr>
        <w:tabs>
          <w:tab w:val="clear" w:pos="792"/>
        </w:tabs>
        <w:spacing w:after="0" w:line="240" w:lineRule="auto"/>
        <w:ind w:left="1134" w:hanging="708"/>
        <w:rPr>
          <w:rFonts w:ascii="Times New Roman" w:eastAsia="Times New Roman" w:hAnsi="Times New Roman" w:cs="Times New Roman"/>
          <w:lang w:val="en-GB"/>
        </w:rPr>
      </w:pPr>
      <w:r w:rsidRPr="00F40250">
        <w:rPr>
          <w:rFonts w:ascii="Times New Roman" w:eastAsia="Times New Roman" w:hAnsi="Times New Roman" w:cs="Times New Roman"/>
          <w:lang w:val="fr-FR"/>
        </w:rPr>
        <w:t xml:space="preserve">A Magyar Honvédség szervezeti felépítése, rendeltetése. </w:t>
      </w:r>
      <w:r w:rsidRPr="00F40250">
        <w:rPr>
          <w:rFonts w:ascii="Times New Roman" w:eastAsia="Times New Roman" w:hAnsi="Times New Roman" w:cs="Times New Roman"/>
          <w:lang w:val="en-GB"/>
        </w:rPr>
        <w:t>Haderőreform. (The organisational structure and the tasks of the HDF. Military reform)</w:t>
      </w:r>
    </w:p>
    <w:p w:rsidR="00E65CE8" w:rsidRPr="00F40250" w:rsidRDefault="00E65CE8" w:rsidP="00980876">
      <w:pPr>
        <w:numPr>
          <w:ilvl w:val="1"/>
          <w:numId w:val="594"/>
        </w:numPr>
        <w:tabs>
          <w:tab w:val="clear" w:pos="792"/>
        </w:tabs>
        <w:spacing w:after="0" w:line="240" w:lineRule="auto"/>
        <w:ind w:left="1134" w:hanging="708"/>
        <w:rPr>
          <w:rFonts w:ascii="Times New Roman" w:eastAsia="Times New Roman" w:hAnsi="Times New Roman" w:cs="Times New Roman"/>
          <w:lang w:val="en-GB"/>
        </w:rPr>
      </w:pPr>
      <w:r w:rsidRPr="00F40250">
        <w:rPr>
          <w:rFonts w:ascii="Times New Roman" w:eastAsia="Times New Roman" w:hAnsi="Times New Roman" w:cs="Times New Roman"/>
          <w:lang w:val="en-GB"/>
        </w:rPr>
        <w:t>Önkéntes haderő kontra sorozott haderő. Toborzás és hadkiegészítés.  (Professional force vs conscription-based force. recruitment and augmentation)</w:t>
      </w:r>
    </w:p>
    <w:p w:rsidR="00E65CE8" w:rsidRPr="00F40250" w:rsidRDefault="00E65CE8" w:rsidP="00980876">
      <w:pPr>
        <w:numPr>
          <w:ilvl w:val="1"/>
          <w:numId w:val="594"/>
        </w:numPr>
        <w:tabs>
          <w:tab w:val="clear" w:pos="792"/>
        </w:tabs>
        <w:spacing w:after="0" w:line="240" w:lineRule="auto"/>
        <w:ind w:left="1134" w:hanging="708"/>
        <w:rPr>
          <w:rFonts w:ascii="Times New Roman" w:eastAsia="Times New Roman" w:hAnsi="Times New Roman" w:cs="Times New Roman"/>
          <w:lang w:val="en-GB"/>
        </w:rPr>
      </w:pPr>
      <w:r w:rsidRPr="00F40250">
        <w:rPr>
          <w:rFonts w:ascii="Times New Roman" w:eastAsia="Times New Roman" w:hAnsi="Times New Roman" w:cs="Times New Roman"/>
          <w:lang w:val="en-GB"/>
        </w:rPr>
        <w:t>NATO: feladatok, missziók és műveletek. (NATO: Tasks, missions and operations)</w:t>
      </w:r>
    </w:p>
    <w:p w:rsidR="00E65CE8" w:rsidRPr="00F40250" w:rsidRDefault="00E65CE8" w:rsidP="00980876">
      <w:pPr>
        <w:numPr>
          <w:ilvl w:val="1"/>
          <w:numId w:val="594"/>
        </w:numPr>
        <w:tabs>
          <w:tab w:val="clear" w:pos="792"/>
        </w:tabs>
        <w:spacing w:after="0" w:line="240" w:lineRule="auto"/>
        <w:ind w:left="1134" w:hanging="708"/>
        <w:rPr>
          <w:rFonts w:ascii="Times New Roman" w:eastAsia="Times New Roman" w:hAnsi="Times New Roman" w:cs="Times New Roman"/>
          <w:lang w:val="en-GB"/>
        </w:rPr>
      </w:pPr>
      <w:r w:rsidRPr="00F40250">
        <w:rPr>
          <w:rFonts w:ascii="Times New Roman" w:eastAsia="Times New Roman" w:hAnsi="Times New Roman" w:cs="Times New Roman"/>
          <w:lang w:val="en-GB"/>
        </w:rPr>
        <w:t>Magyarország NATO csatlakozása és szerepe a NATO-ban. (Hungary’s NATO accession and role in the Alliance)</w:t>
      </w:r>
    </w:p>
    <w:p w:rsidR="00E65CE8" w:rsidRPr="00F40250" w:rsidRDefault="00E65CE8" w:rsidP="00980876">
      <w:pPr>
        <w:numPr>
          <w:ilvl w:val="1"/>
          <w:numId w:val="594"/>
        </w:numPr>
        <w:tabs>
          <w:tab w:val="clear" w:pos="792"/>
        </w:tabs>
        <w:spacing w:after="0" w:line="240" w:lineRule="auto"/>
        <w:ind w:left="1134" w:hanging="708"/>
        <w:rPr>
          <w:rFonts w:ascii="Times New Roman" w:eastAsia="Times New Roman" w:hAnsi="Times New Roman" w:cs="Times New Roman"/>
          <w:lang w:val="en-GB"/>
        </w:rPr>
      </w:pPr>
      <w:r w:rsidRPr="00F40250">
        <w:rPr>
          <w:rFonts w:ascii="Times New Roman" w:eastAsia="Times New Roman" w:hAnsi="Times New Roman" w:cs="Times New Roman"/>
          <w:lang w:val="en-GB"/>
        </w:rPr>
        <w:t>Békefenntartó műveletek. (Peace Support Operations)</w:t>
      </w:r>
    </w:p>
    <w:p w:rsidR="00E65CE8" w:rsidRPr="00F40250" w:rsidRDefault="00E65CE8" w:rsidP="00980876">
      <w:pPr>
        <w:numPr>
          <w:ilvl w:val="1"/>
          <w:numId w:val="594"/>
        </w:numPr>
        <w:tabs>
          <w:tab w:val="clear" w:pos="792"/>
        </w:tabs>
        <w:spacing w:after="0" w:line="240" w:lineRule="auto"/>
        <w:ind w:left="1134" w:hanging="708"/>
        <w:rPr>
          <w:rFonts w:ascii="Times New Roman" w:eastAsia="Times New Roman" w:hAnsi="Times New Roman" w:cs="Times New Roman"/>
          <w:lang w:val="en-GB"/>
        </w:rPr>
      </w:pPr>
      <w:r w:rsidRPr="00F40250">
        <w:rPr>
          <w:rFonts w:ascii="Times New Roman" w:eastAsia="Times New Roman" w:hAnsi="Times New Roman" w:cs="Times New Roman"/>
          <w:lang w:val="en-GB"/>
        </w:rPr>
        <w:t>Saját szakterület részletes bemutatása. (Cadets’ own military occupational specialty in detail)</w:t>
      </w:r>
    </w:p>
    <w:p w:rsidR="00E65CE8" w:rsidRPr="00F40250" w:rsidRDefault="00E65CE8" w:rsidP="00980876">
      <w:pPr>
        <w:numPr>
          <w:ilvl w:val="1"/>
          <w:numId w:val="594"/>
        </w:numPr>
        <w:tabs>
          <w:tab w:val="clear" w:pos="792"/>
        </w:tabs>
        <w:spacing w:after="0" w:line="240" w:lineRule="auto"/>
        <w:ind w:left="1134" w:hanging="708"/>
        <w:rPr>
          <w:rFonts w:ascii="Times New Roman" w:eastAsia="Times New Roman" w:hAnsi="Times New Roman" w:cs="Times New Roman"/>
          <w:lang w:val="en-GB"/>
        </w:rPr>
      </w:pPr>
      <w:r w:rsidRPr="00F40250">
        <w:rPr>
          <w:rFonts w:ascii="Times New Roman" w:eastAsia="Times New Roman" w:hAnsi="Times New Roman" w:cs="Times New Roman"/>
          <w:lang w:val="en-GB"/>
        </w:rPr>
        <w:t>Magyarország biztonság-és védelempolitikája. (Hungary’s defence and security policy)</w:t>
      </w:r>
    </w:p>
    <w:p w:rsidR="00E65CE8" w:rsidRPr="00F40250" w:rsidRDefault="00E65CE8" w:rsidP="00980876">
      <w:pPr>
        <w:numPr>
          <w:ilvl w:val="1"/>
          <w:numId w:val="594"/>
        </w:numPr>
        <w:tabs>
          <w:tab w:val="clear" w:pos="792"/>
        </w:tabs>
        <w:spacing w:after="0" w:line="240" w:lineRule="auto"/>
        <w:ind w:left="1134" w:hanging="708"/>
        <w:rPr>
          <w:rFonts w:ascii="Times New Roman" w:eastAsia="Times New Roman" w:hAnsi="Times New Roman" w:cs="Times New Roman"/>
          <w:lang w:val="en-GB"/>
        </w:rPr>
      </w:pPr>
      <w:r w:rsidRPr="00F40250">
        <w:rPr>
          <w:rFonts w:ascii="Times New Roman" w:eastAsia="Times New Roman" w:hAnsi="Times New Roman" w:cs="Times New Roman"/>
          <w:lang w:val="en-GB"/>
        </w:rPr>
        <w:t xml:space="preserve">Katonai szakmai szöveg értése.  (Reading professional military texts)  </w:t>
      </w:r>
    </w:p>
    <w:p w:rsidR="00E65CE8" w:rsidRPr="00F40250" w:rsidRDefault="00E65CE8" w:rsidP="00980876">
      <w:pPr>
        <w:numPr>
          <w:ilvl w:val="1"/>
          <w:numId w:val="594"/>
        </w:numPr>
        <w:tabs>
          <w:tab w:val="clear" w:pos="792"/>
        </w:tabs>
        <w:spacing w:after="0" w:line="240" w:lineRule="auto"/>
        <w:ind w:left="1134" w:hanging="708"/>
        <w:rPr>
          <w:rFonts w:ascii="Times New Roman" w:eastAsia="Times New Roman" w:hAnsi="Times New Roman" w:cs="Times New Roman"/>
          <w:lang w:val="en-GB"/>
        </w:rPr>
      </w:pPr>
      <w:r w:rsidRPr="00F40250">
        <w:rPr>
          <w:rFonts w:ascii="Times New Roman" w:eastAsia="Times New Roman" w:hAnsi="Times New Roman" w:cs="Times New Roman"/>
          <w:lang w:val="en-GB"/>
        </w:rPr>
        <w:t>Katonai szakmai témájú levél/jelentés írása. (Writing military reports and letters)</w:t>
      </w:r>
    </w:p>
    <w:p w:rsidR="00E65CE8" w:rsidRPr="00F40250" w:rsidRDefault="00E65CE8" w:rsidP="00980876">
      <w:pPr>
        <w:numPr>
          <w:ilvl w:val="1"/>
          <w:numId w:val="594"/>
        </w:numPr>
        <w:tabs>
          <w:tab w:val="clear" w:pos="792"/>
        </w:tabs>
        <w:spacing w:after="0" w:line="240" w:lineRule="auto"/>
        <w:ind w:left="1134" w:hanging="708"/>
        <w:rPr>
          <w:rFonts w:ascii="Times New Roman" w:eastAsia="Times New Roman" w:hAnsi="Times New Roman" w:cs="Times New Roman"/>
          <w:lang w:val="en-GB"/>
        </w:rPr>
      </w:pPr>
      <w:r w:rsidRPr="00F40250">
        <w:rPr>
          <w:rFonts w:ascii="Times New Roman" w:eastAsia="Times New Roman" w:hAnsi="Times New Roman" w:cs="Times New Roman"/>
          <w:lang w:val="en-GB"/>
        </w:rPr>
        <w:t>Aktuális katona-politikai események, kérdések. (Topical military-political events and issues)</w:t>
      </w:r>
    </w:p>
    <w:p w:rsidR="00E65CE8" w:rsidRPr="00F40250" w:rsidRDefault="00E65CE8" w:rsidP="00980876">
      <w:pPr>
        <w:numPr>
          <w:ilvl w:val="0"/>
          <w:numId w:val="594"/>
        </w:numPr>
        <w:tabs>
          <w:tab w:val="right" w:pos="900"/>
        </w:tabs>
        <w:spacing w:before="120" w:after="0" w:line="240" w:lineRule="auto"/>
        <w:ind w:left="357" w:hanging="357"/>
        <w:jc w:val="both"/>
        <w:rPr>
          <w:rFonts w:ascii="Times New Roman" w:eastAsia="Times New Roman" w:hAnsi="Times New Roman" w:cs="Times New Roman"/>
          <w:bCs/>
        </w:rPr>
      </w:pPr>
      <w:r w:rsidRPr="00F40250">
        <w:rPr>
          <w:rFonts w:ascii="Times New Roman" w:eastAsia="Times New Roman" w:hAnsi="Times New Roman" w:cs="Times New Roman"/>
          <w:b/>
          <w:bCs/>
        </w:rPr>
        <w:t xml:space="preserve">A tantárgy meghirdetésének gyakorisága/a tantervben történő félévi elhelyezkedése: </w:t>
      </w:r>
    </w:p>
    <w:p w:rsidR="00E65CE8" w:rsidRPr="00F40250" w:rsidRDefault="00E65CE8" w:rsidP="00E65CE8">
      <w:pPr>
        <w:tabs>
          <w:tab w:val="right" w:pos="900"/>
        </w:tabs>
        <w:spacing w:before="120" w:after="0" w:line="240" w:lineRule="auto"/>
        <w:ind w:left="360"/>
        <w:jc w:val="both"/>
        <w:rPr>
          <w:rFonts w:ascii="Times New Roman" w:eastAsia="Times New Roman" w:hAnsi="Times New Roman" w:cs="Times New Roman"/>
          <w:bCs/>
        </w:rPr>
      </w:pPr>
      <w:r w:rsidRPr="00F40250">
        <w:rPr>
          <w:rFonts w:ascii="Times New Roman" w:eastAsia="Times New Roman" w:hAnsi="Times New Roman" w:cs="Times New Roman"/>
          <w:bCs/>
          <w:lang w:eastAsia="hu-HU"/>
        </w:rPr>
        <w:t>Hadtudományi és Honvédtisztképző Karának minden alapképzési szakán nappali munkarendben</w:t>
      </w:r>
      <w:r w:rsidRPr="00F40250">
        <w:rPr>
          <w:rFonts w:ascii="Times New Roman" w:eastAsia="Times New Roman" w:hAnsi="Times New Roman" w:cs="Times New Roman"/>
          <w:b/>
          <w:bCs/>
        </w:rPr>
        <w:t xml:space="preserve"> </w:t>
      </w:r>
      <w:r w:rsidRPr="00F40250">
        <w:rPr>
          <w:rFonts w:ascii="Times New Roman" w:eastAsia="Times New Roman" w:hAnsi="Times New Roman" w:cs="Times New Roman"/>
          <w:bCs/>
        </w:rPr>
        <w:t>4. tanulmányi félévben.</w:t>
      </w:r>
    </w:p>
    <w:p w:rsidR="00E65CE8" w:rsidRPr="00F40250" w:rsidRDefault="00E65CE8" w:rsidP="00980876">
      <w:pPr>
        <w:numPr>
          <w:ilvl w:val="0"/>
          <w:numId w:val="594"/>
        </w:numPr>
        <w:tabs>
          <w:tab w:val="right" w:pos="900"/>
          <w:tab w:val="center" w:pos="4536"/>
          <w:tab w:val="right" w:pos="9072"/>
        </w:tabs>
        <w:spacing w:before="120" w:after="0" w:line="240" w:lineRule="auto"/>
        <w:jc w:val="both"/>
        <w:rPr>
          <w:rFonts w:ascii="Times New Roman" w:eastAsia="Times New Roman" w:hAnsi="Times New Roman" w:cs="Times New Roman"/>
          <w:bCs/>
        </w:rPr>
      </w:pPr>
      <w:r w:rsidRPr="00F40250">
        <w:rPr>
          <w:rFonts w:ascii="Times New Roman" w:eastAsia="Times New Roman" w:hAnsi="Times New Roman" w:cs="Times New Roman"/>
          <w:b/>
          <w:bCs/>
        </w:rPr>
        <w:t>A foglalkozásokon való részvétel követelményei, elfogadható hiányzások mértéke, távolmaradás pótlásának lehetősége:</w:t>
      </w:r>
      <w:r w:rsidRPr="00F40250">
        <w:rPr>
          <w:rFonts w:ascii="Times New Roman" w:eastAsia="Times New Roman" w:hAnsi="Times New Roman" w:cs="Times New Roman"/>
          <w:bCs/>
        </w:rPr>
        <w:t xml:space="preserve"> A hallgatónak a tanórák legalább 75%-án jelen kell lennie, 25% -ot meghaladó hiányzás esetén a félév teljesítése nem irható alá. A hallgató köteles az előadások és a gyakorlat anyagát beszerezni, abból önállóan felkészülni. Amennyiben a hallgató hiányzása meghaladja a 25%-ot, a hallgató köteles a félév végén a tanár által meghatározott témákból szóban beszámolni az aláírás teljesítése érdekében.</w:t>
      </w:r>
    </w:p>
    <w:p w:rsidR="00E65CE8" w:rsidRPr="00F40250" w:rsidRDefault="00E65CE8" w:rsidP="00980876">
      <w:pPr>
        <w:numPr>
          <w:ilvl w:val="0"/>
          <w:numId w:val="594"/>
        </w:numPr>
        <w:tabs>
          <w:tab w:val="right" w:pos="900"/>
        </w:tabs>
        <w:spacing w:before="120" w:after="0" w:line="240" w:lineRule="auto"/>
        <w:jc w:val="both"/>
        <w:rPr>
          <w:rFonts w:ascii="Times New Roman" w:eastAsia="Times New Roman" w:hAnsi="Times New Roman" w:cs="Times New Roman"/>
          <w:bCs/>
        </w:rPr>
      </w:pPr>
      <w:r w:rsidRPr="00F40250">
        <w:rPr>
          <w:rFonts w:ascii="Times New Roman" w:eastAsia="Times New Roman" w:hAnsi="Times New Roman" w:cs="Times New Roman"/>
          <w:b/>
        </w:rPr>
        <w:t>Félévközi feladatok, ismeretek ellenőrzésének rendje:</w:t>
      </w:r>
      <w:r w:rsidRPr="00F40250">
        <w:rPr>
          <w:rFonts w:ascii="Times New Roman" w:eastAsia="Times New Roman" w:hAnsi="Times New Roman" w:cs="Times New Roman"/>
          <w:bCs/>
        </w:rPr>
        <w:t xml:space="preserve"> </w:t>
      </w:r>
      <w:r w:rsidRPr="00F40250">
        <w:rPr>
          <w:rFonts w:ascii="Times New Roman" w:eastAsia="Times New Roman" w:hAnsi="Times New Roman" w:cs="Times New Roman"/>
        </w:rPr>
        <w:t>A foglakozás anyagainak és a kötelező irodalom feldolgozása, 2 zárthelyi dolgozat és egy szóbeli beszámoló legalább 60%-os értékeléssel történő teljesítése a tanár előzetes bejelentése alapján, a foglalkozások ismereteiből. A zárthelyi dolgozat és a szóbeli beszámoló értékelése: ötfokozatú értékelés – (a helyes válaszok aránya 0-60% elégtelen; 61-70% elégséges; 71-80% közepes; 81-90% jó; 91-100% jeles osztályzat). Eredménytelen zárthelyi dolgozat kétszer javítható a tanárral egyeztetett időpontban.</w:t>
      </w:r>
    </w:p>
    <w:p w:rsidR="00E65CE8" w:rsidRPr="00F40250" w:rsidRDefault="00E65CE8" w:rsidP="00980876">
      <w:pPr>
        <w:numPr>
          <w:ilvl w:val="0"/>
          <w:numId w:val="594"/>
        </w:numPr>
        <w:tabs>
          <w:tab w:val="right" w:pos="900"/>
        </w:tabs>
        <w:spacing w:before="120" w:after="0" w:line="240" w:lineRule="auto"/>
        <w:jc w:val="both"/>
        <w:rPr>
          <w:rFonts w:ascii="Times New Roman" w:eastAsia="Times New Roman" w:hAnsi="Times New Roman" w:cs="Times New Roman"/>
          <w:bCs/>
        </w:rPr>
      </w:pPr>
      <w:r w:rsidRPr="00F40250">
        <w:rPr>
          <w:rFonts w:ascii="Times New Roman" w:eastAsia="Times New Roman" w:hAnsi="Times New Roman" w:cs="Times New Roman"/>
          <w:b/>
          <w:bCs/>
        </w:rPr>
        <w:t xml:space="preserve">Az értékelés, az aláírás és a kreditek megszerzésének pontos feltételei </w:t>
      </w:r>
    </w:p>
    <w:p w:rsidR="00E65CE8" w:rsidRPr="00F40250" w:rsidRDefault="00E65CE8" w:rsidP="00980876">
      <w:pPr>
        <w:numPr>
          <w:ilvl w:val="1"/>
          <w:numId w:val="594"/>
        </w:numPr>
        <w:tabs>
          <w:tab w:val="right" w:pos="900"/>
        </w:tabs>
        <w:spacing w:before="120" w:after="0" w:line="240" w:lineRule="auto"/>
        <w:jc w:val="both"/>
        <w:rPr>
          <w:rFonts w:ascii="Times New Roman" w:eastAsia="Times New Roman" w:hAnsi="Times New Roman" w:cs="Times New Roman"/>
          <w:bCs/>
        </w:rPr>
      </w:pPr>
      <w:r w:rsidRPr="00F40250">
        <w:rPr>
          <w:rFonts w:ascii="Times New Roman" w:eastAsia="Times New Roman" w:hAnsi="Times New Roman" w:cs="Times New Roman"/>
          <w:b/>
        </w:rPr>
        <w:t xml:space="preserve">Az aláírás megszerzésének feltételei: </w:t>
      </w:r>
      <w:r w:rsidRPr="00F40250">
        <w:rPr>
          <w:rFonts w:ascii="Times New Roman" w:eastAsia="Times New Roman" w:hAnsi="Times New Roman" w:cs="Times New Roman"/>
        </w:rPr>
        <w:t>Az aláírás megszerzésének feltétele a 14. pontban meghatározott arányú részvétel a foglalkozásokon és a 15. pontban meghatározott félévközi feladatok legalább elégséges teljesítése.</w:t>
      </w:r>
    </w:p>
    <w:p w:rsidR="00E65CE8" w:rsidRPr="00F40250" w:rsidRDefault="00E65CE8" w:rsidP="00980876">
      <w:pPr>
        <w:numPr>
          <w:ilvl w:val="1"/>
          <w:numId w:val="594"/>
        </w:numPr>
        <w:tabs>
          <w:tab w:val="right" w:pos="900"/>
        </w:tabs>
        <w:spacing w:before="120" w:after="0" w:line="240" w:lineRule="auto"/>
        <w:jc w:val="both"/>
        <w:rPr>
          <w:rFonts w:ascii="Times New Roman" w:eastAsia="Times New Roman" w:hAnsi="Times New Roman" w:cs="Times New Roman"/>
          <w:bCs/>
        </w:rPr>
      </w:pPr>
      <w:r w:rsidRPr="00F40250">
        <w:rPr>
          <w:rFonts w:ascii="Times New Roman" w:eastAsia="Times New Roman" w:hAnsi="Times New Roman" w:cs="Times New Roman"/>
          <w:b/>
        </w:rPr>
        <w:t xml:space="preserve">Az értékelés: </w:t>
      </w:r>
      <w:r w:rsidRPr="00F40250">
        <w:rPr>
          <w:rFonts w:ascii="Times New Roman" w:eastAsia="Times New Roman" w:hAnsi="Times New Roman" w:cs="Times New Roman"/>
        </w:rPr>
        <w:t>a 16.1 pont alapján.</w:t>
      </w:r>
    </w:p>
    <w:p w:rsidR="00E65CE8" w:rsidRPr="00F40250" w:rsidRDefault="00E65CE8" w:rsidP="00980876">
      <w:pPr>
        <w:numPr>
          <w:ilvl w:val="1"/>
          <w:numId w:val="594"/>
        </w:numPr>
        <w:tabs>
          <w:tab w:val="right" w:pos="900"/>
        </w:tabs>
        <w:spacing w:before="120" w:after="0" w:line="240" w:lineRule="auto"/>
        <w:jc w:val="both"/>
        <w:rPr>
          <w:rFonts w:ascii="Times New Roman" w:eastAsia="Times New Roman" w:hAnsi="Times New Roman" w:cs="Times New Roman"/>
          <w:bCs/>
        </w:rPr>
      </w:pPr>
      <w:r w:rsidRPr="00F40250">
        <w:rPr>
          <w:rFonts w:ascii="Times New Roman" w:eastAsia="Times New Roman" w:hAnsi="Times New Roman" w:cs="Times New Roman"/>
          <w:b/>
        </w:rPr>
        <w:t xml:space="preserve">A kreditek megszerzésének feltételei: </w:t>
      </w:r>
      <w:r w:rsidRPr="00F40250">
        <w:rPr>
          <w:rFonts w:ascii="Times New Roman" w:eastAsia="Times New Roman" w:hAnsi="Times New Roman" w:cs="Times New Roman"/>
        </w:rPr>
        <w:t>A tantárgy kritérium követelmény, így nem rendelkezik kreditmegszerzési feltételekkel.</w:t>
      </w:r>
    </w:p>
    <w:p w:rsidR="00E65CE8" w:rsidRPr="00F40250" w:rsidRDefault="00E65CE8" w:rsidP="00980876">
      <w:pPr>
        <w:numPr>
          <w:ilvl w:val="0"/>
          <w:numId w:val="594"/>
        </w:numPr>
        <w:tabs>
          <w:tab w:val="right" w:pos="900"/>
        </w:tabs>
        <w:spacing w:before="120" w:after="0" w:line="240" w:lineRule="auto"/>
        <w:jc w:val="both"/>
        <w:rPr>
          <w:rFonts w:ascii="Times New Roman" w:eastAsia="Times New Roman" w:hAnsi="Times New Roman" w:cs="Times New Roman"/>
          <w:bCs/>
          <w:lang w:eastAsia="hu-HU"/>
        </w:rPr>
      </w:pPr>
      <w:r w:rsidRPr="00F40250">
        <w:rPr>
          <w:rFonts w:ascii="Times New Roman" w:eastAsia="Times New Roman" w:hAnsi="Times New Roman" w:cs="Times New Roman"/>
          <w:b/>
          <w:bCs/>
          <w:lang w:eastAsia="hu-HU"/>
        </w:rPr>
        <w:t>Irodalomjegyzék:</w:t>
      </w:r>
    </w:p>
    <w:p w:rsidR="00E65CE8" w:rsidRPr="00F40250" w:rsidRDefault="00E65CE8" w:rsidP="00980876">
      <w:pPr>
        <w:numPr>
          <w:ilvl w:val="1"/>
          <w:numId w:val="594"/>
        </w:numPr>
        <w:tabs>
          <w:tab w:val="right" w:pos="900"/>
          <w:tab w:val="center" w:pos="4536"/>
          <w:tab w:val="right" w:pos="9072"/>
        </w:tabs>
        <w:spacing w:before="120" w:after="0" w:line="240" w:lineRule="auto"/>
        <w:jc w:val="both"/>
        <w:rPr>
          <w:rFonts w:ascii="Times New Roman" w:eastAsia="Times New Roman" w:hAnsi="Times New Roman" w:cs="Times New Roman"/>
          <w:b/>
          <w:bCs/>
          <w:lang w:eastAsia="hu-HU"/>
        </w:rPr>
      </w:pPr>
      <w:r w:rsidRPr="00F40250">
        <w:rPr>
          <w:rFonts w:ascii="Times New Roman" w:eastAsia="Times New Roman" w:hAnsi="Times New Roman" w:cs="Times New Roman"/>
          <w:b/>
          <w:bCs/>
          <w:lang w:eastAsia="hu-HU"/>
        </w:rPr>
        <w:t>Kötelező irodalom:</w:t>
      </w:r>
    </w:p>
    <w:p w:rsidR="00E65CE8" w:rsidRPr="004D30CA" w:rsidRDefault="00E65CE8" w:rsidP="00980876">
      <w:pPr>
        <w:numPr>
          <w:ilvl w:val="0"/>
          <w:numId w:val="595"/>
        </w:numPr>
        <w:tabs>
          <w:tab w:val="right" w:pos="900"/>
        </w:tabs>
        <w:spacing w:before="120" w:after="0" w:line="240" w:lineRule="auto"/>
        <w:ind w:left="993"/>
        <w:contextualSpacing/>
        <w:jc w:val="both"/>
        <w:rPr>
          <w:rFonts w:ascii="Times New Roman" w:eastAsia="Times New Roman" w:hAnsi="Times New Roman" w:cs="Times New Roman"/>
          <w:bCs/>
          <w:highlight w:val="yellow"/>
          <w:lang w:eastAsia="hu-HU"/>
        </w:rPr>
      </w:pPr>
      <w:r w:rsidRPr="004D30CA">
        <w:rPr>
          <w:rFonts w:ascii="Times New Roman" w:eastAsia="Times New Roman" w:hAnsi="Times New Roman" w:cs="Times New Roman"/>
          <w:bCs/>
          <w:highlight w:val="yellow"/>
          <w:lang w:eastAsia="hu-HU"/>
        </w:rPr>
        <w:t>Dr. Kovácsné dr. Nábrádi Márta: Basic Military English, ZMNE jegyzet</w:t>
      </w:r>
    </w:p>
    <w:p w:rsidR="00E65CE8" w:rsidRPr="004D30CA" w:rsidRDefault="00E65CE8" w:rsidP="00980876">
      <w:pPr>
        <w:numPr>
          <w:ilvl w:val="0"/>
          <w:numId w:val="595"/>
        </w:numPr>
        <w:tabs>
          <w:tab w:val="right" w:pos="900"/>
        </w:tabs>
        <w:spacing w:before="120" w:after="0" w:line="240" w:lineRule="auto"/>
        <w:ind w:left="993"/>
        <w:contextualSpacing/>
        <w:jc w:val="both"/>
        <w:rPr>
          <w:rFonts w:ascii="Times New Roman" w:eastAsia="Times New Roman" w:hAnsi="Times New Roman" w:cs="Times New Roman"/>
          <w:bCs/>
          <w:highlight w:val="yellow"/>
          <w:lang w:eastAsia="hu-HU"/>
        </w:rPr>
      </w:pPr>
      <w:r w:rsidRPr="004D30CA">
        <w:rPr>
          <w:rFonts w:ascii="Times New Roman" w:eastAsia="Times New Roman" w:hAnsi="Times New Roman" w:cs="Times New Roman"/>
          <w:bCs/>
          <w:highlight w:val="yellow"/>
          <w:lang w:eastAsia="hu-HU"/>
        </w:rPr>
        <w:lastRenderedPageBreak/>
        <w:t>Vadász Istvánné: Focus on the military,  ZMNE jegyzet</w:t>
      </w:r>
      <w:r w:rsidRPr="004D30CA">
        <w:rPr>
          <w:rFonts w:ascii="Times New Roman" w:eastAsia="Times New Roman" w:hAnsi="Times New Roman" w:cs="Times New Roman"/>
          <w:bCs/>
          <w:highlight w:val="yellow"/>
          <w:lang w:eastAsia="hu-HU"/>
        </w:rPr>
        <w:tab/>
      </w:r>
    </w:p>
    <w:p w:rsidR="00E65CE8" w:rsidRPr="004D30CA" w:rsidRDefault="00E65CE8" w:rsidP="00980876">
      <w:pPr>
        <w:numPr>
          <w:ilvl w:val="0"/>
          <w:numId w:val="595"/>
        </w:numPr>
        <w:tabs>
          <w:tab w:val="right" w:pos="900"/>
        </w:tabs>
        <w:spacing w:before="120" w:after="0" w:line="240" w:lineRule="auto"/>
        <w:ind w:left="993"/>
        <w:contextualSpacing/>
        <w:jc w:val="both"/>
        <w:rPr>
          <w:rFonts w:ascii="Times New Roman" w:eastAsia="Times New Roman" w:hAnsi="Times New Roman" w:cs="Times New Roman"/>
          <w:bCs/>
          <w:highlight w:val="yellow"/>
          <w:lang w:eastAsia="hu-HU"/>
        </w:rPr>
      </w:pPr>
      <w:r w:rsidRPr="004D30CA">
        <w:rPr>
          <w:rFonts w:ascii="Times New Roman" w:eastAsia="Times New Roman" w:hAnsi="Times New Roman" w:cs="Times New Roman"/>
          <w:bCs/>
          <w:highlight w:val="yellow"/>
          <w:lang w:eastAsia="hu-HU"/>
        </w:rPr>
        <w:t>Jobbágy Ilona – Katona Lucia – Kevin Shopland: General Communications Skills</w:t>
      </w:r>
    </w:p>
    <w:p w:rsidR="00E65CE8" w:rsidRPr="004D30CA" w:rsidRDefault="00E65CE8" w:rsidP="00980876">
      <w:pPr>
        <w:numPr>
          <w:ilvl w:val="0"/>
          <w:numId w:val="595"/>
        </w:numPr>
        <w:tabs>
          <w:tab w:val="right" w:pos="900"/>
        </w:tabs>
        <w:spacing w:before="120" w:after="0" w:line="240" w:lineRule="auto"/>
        <w:ind w:left="993"/>
        <w:contextualSpacing/>
        <w:jc w:val="both"/>
        <w:rPr>
          <w:rFonts w:ascii="Times New Roman" w:eastAsia="Times New Roman" w:hAnsi="Times New Roman" w:cs="Times New Roman"/>
          <w:bCs/>
          <w:highlight w:val="yellow"/>
          <w:lang w:eastAsia="hu-HU"/>
        </w:rPr>
      </w:pPr>
      <w:r w:rsidRPr="004D30CA">
        <w:rPr>
          <w:rFonts w:ascii="Times New Roman" w:eastAsia="Times New Roman" w:hAnsi="Times New Roman" w:cs="Times New Roman"/>
          <w:bCs/>
          <w:highlight w:val="yellow"/>
          <w:lang w:eastAsia="hu-HU"/>
        </w:rPr>
        <w:t>Némethné Hock Ildikó: 1000 kérdés 1000 válasz az „A” típusú nyelvvizsgához</w:t>
      </w:r>
    </w:p>
    <w:p w:rsidR="00E65CE8" w:rsidRPr="004D30CA" w:rsidRDefault="00E65CE8" w:rsidP="00980876">
      <w:pPr>
        <w:numPr>
          <w:ilvl w:val="0"/>
          <w:numId w:val="595"/>
        </w:numPr>
        <w:tabs>
          <w:tab w:val="right" w:pos="900"/>
        </w:tabs>
        <w:spacing w:before="120" w:after="0" w:line="240" w:lineRule="auto"/>
        <w:ind w:left="993"/>
        <w:contextualSpacing/>
        <w:jc w:val="both"/>
        <w:rPr>
          <w:rFonts w:ascii="Times New Roman" w:eastAsia="Times New Roman" w:hAnsi="Times New Roman" w:cs="Times New Roman"/>
          <w:bCs/>
          <w:highlight w:val="yellow"/>
          <w:lang w:eastAsia="hu-HU"/>
        </w:rPr>
      </w:pPr>
      <w:r w:rsidRPr="004D30CA">
        <w:rPr>
          <w:rFonts w:ascii="Times New Roman" w:eastAsia="Times New Roman" w:hAnsi="Times New Roman" w:cs="Times New Roman"/>
          <w:bCs/>
          <w:highlight w:val="yellow"/>
          <w:lang w:eastAsia="hu-HU"/>
        </w:rPr>
        <w:t>Felkészítő feladatok a STANAG 2.2.2.2 nyelvvizsgára</w:t>
      </w:r>
    </w:p>
    <w:p w:rsidR="00E65CE8" w:rsidRPr="00F40250" w:rsidRDefault="00E65CE8" w:rsidP="00980876">
      <w:pPr>
        <w:numPr>
          <w:ilvl w:val="1"/>
          <w:numId w:val="594"/>
        </w:numPr>
        <w:tabs>
          <w:tab w:val="right" w:pos="900"/>
          <w:tab w:val="center" w:pos="4536"/>
          <w:tab w:val="right" w:pos="9072"/>
        </w:tabs>
        <w:spacing w:before="120" w:after="120" w:line="240" w:lineRule="auto"/>
        <w:ind w:left="788" w:hanging="431"/>
        <w:jc w:val="both"/>
        <w:rPr>
          <w:rFonts w:ascii="Times New Roman" w:eastAsia="Times New Roman" w:hAnsi="Times New Roman" w:cs="Times New Roman"/>
          <w:b/>
          <w:bCs/>
          <w:lang w:eastAsia="hu-HU"/>
        </w:rPr>
      </w:pPr>
      <w:r w:rsidRPr="00F40250">
        <w:rPr>
          <w:rFonts w:ascii="Times New Roman" w:eastAsia="Times New Roman" w:hAnsi="Times New Roman" w:cs="Times New Roman"/>
          <w:b/>
          <w:bCs/>
          <w:lang w:eastAsia="hu-HU"/>
        </w:rPr>
        <w:t>Ajánlott irodalom:</w:t>
      </w:r>
    </w:p>
    <w:p w:rsidR="00E65CE8" w:rsidRPr="00F40250" w:rsidRDefault="00E65CE8" w:rsidP="00980876">
      <w:pPr>
        <w:numPr>
          <w:ilvl w:val="0"/>
          <w:numId w:val="596"/>
        </w:numPr>
        <w:spacing w:before="120" w:after="0" w:line="240" w:lineRule="auto"/>
        <w:ind w:left="993"/>
        <w:contextualSpacing/>
        <w:jc w:val="both"/>
        <w:rPr>
          <w:rFonts w:ascii="Times New Roman" w:eastAsia="Times New Roman" w:hAnsi="Times New Roman" w:cs="Times New Roman"/>
          <w:lang w:eastAsia="hu-HU"/>
        </w:rPr>
      </w:pPr>
      <w:r w:rsidRPr="00F40250">
        <w:rPr>
          <w:rFonts w:ascii="Times New Roman" w:eastAsia="Times New Roman" w:hAnsi="Times New Roman" w:cs="Times New Roman"/>
          <w:lang w:eastAsia="hu-HU"/>
        </w:rPr>
        <w:t>James Arnold – Robert SAcco: Command English</w:t>
      </w:r>
    </w:p>
    <w:p w:rsidR="00E65CE8" w:rsidRPr="00F40250" w:rsidRDefault="00E65CE8" w:rsidP="00980876">
      <w:pPr>
        <w:numPr>
          <w:ilvl w:val="0"/>
          <w:numId w:val="596"/>
        </w:numPr>
        <w:spacing w:before="120" w:after="0" w:line="240" w:lineRule="auto"/>
        <w:ind w:left="993"/>
        <w:contextualSpacing/>
        <w:jc w:val="both"/>
        <w:rPr>
          <w:rFonts w:ascii="Times New Roman" w:eastAsia="Times New Roman" w:hAnsi="Times New Roman" w:cs="Times New Roman"/>
          <w:lang w:eastAsia="hu-HU"/>
        </w:rPr>
      </w:pPr>
      <w:r w:rsidRPr="00F40250">
        <w:rPr>
          <w:rFonts w:ascii="Times New Roman" w:eastAsia="Times New Roman" w:hAnsi="Times New Roman" w:cs="Times New Roman"/>
          <w:lang w:eastAsia="hu-HU"/>
        </w:rPr>
        <w:t xml:space="preserve">Raymund Murphy: English Grammar in Use </w:t>
      </w:r>
    </w:p>
    <w:p w:rsidR="00E65CE8" w:rsidRPr="00F40250" w:rsidRDefault="00E65CE8" w:rsidP="00980876">
      <w:pPr>
        <w:numPr>
          <w:ilvl w:val="0"/>
          <w:numId w:val="596"/>
        </w:numPr>
        <w:spacing w:before="120" w:after="0" w:line="240" w:lineRule="auto"/>
        <w:ind w:left="993"/>
        <w:contextualSpacing/>
        <w:jc w:val="both"/>
        <w:rPr>
          <w:rFonts w:ascii="Times New Roman" w:eastAsia="Times New Roman" w:hAnsi="Times New Roman" w:cs="Times New Roman"/>
          <w:lang w:eastAsia="hu-HU"/>
        </w:rPr>
      </w:pPr>
      <w:r w:rsidRPr="00F40250">
        <w:rPr>
          <w:rFonts w:ascii="Times New Roman" w:eastAsia="Times New Roman" w:hAnsi="Times New Roman" w:cs="Times New Roman"/>
          <w:lang w:eastAsia="hu-HU"/>
        </w:rPr>
        <w:t>Norman Coe, Mark Harrison és Ken Paterson . Oxford Angol Nyelvtan</w:t>
      </w:r>
    </w:p>
    <w:p w:rsidR="00E65CE8" w:rsidRPr="00F40250" w:rsidRDefault="00E65CE8" w:rsidP="00980876">
      <w:pPr>
        <w:numPr>
          <w:ilvl w:val="0"/>
          <w:numId w:val="596"/>
        </w:numPr>
        <w:spacing w:before="120" w:after="0" w:line="240" w:lineRule="auto"/>
        <w:ind w:left="993"/>
        <w:contextualSpacing/>
        <w:jc w:val="both"/>
        <w:rPr>
          <w:rFonts w:ascii="Times New Roman" w:eastAsia="Times New Roman" w:hAnsi="Times New Roman" w:cs="Times New Roman"/>
          <w:lang w:eastAsia="hu-HU"/>
        </w:rPr>
      </w:pPr>
      <w:r w:rsidRPr="00F40250">
        <w:rPr>
          <w:rFonts w:ascii="Times New Roman" w:eastAsia="Times New Roman" w:hAnsi="Times New Roman" w:cs="Times New Roman"/>
          <w:lang w:eastAsia="hu-HU"/>
        </w:rPr>
        <w:t xml:space="preserve">Ruth Grain és Stuart Rodman: Oxford Word Skills Intermediate </w:t>
      </w:r>
    </w:p>
    <w:p w:rsidR="00E65CE8" w:rsidRPr="00F40250" w:rsidRDefault="00E65CE8" w:rsidP="00980876">
      <w:pPr>
        <w:numPr>
          <w:ilvl w:val="0"/>
          <w:numId w:val="596"/>
        </w:numPr>
        <w:spacing w:before="120" w:after="0" w:line="240" w:lineRule="auto"/>
        <w:ind w:left="993"/>
        <w:contextualSpacing/>
        <w:jc w:val="both"/>
        <w:rPr>
          <w:rFonts w:ascii="Times New Roman" w:eastAsia="Times New Roman" w:hAnsi="Times New Roman" w:cs="Times New Roman"/>
          <w:lang w:eastAsia="hu-HU"/>
        </w:rPr>
      </w:pPr>
      <w:r w:rsidRPr="00F40250">
        <w:rPr>
          <w:rFonts w:ascii="Times New Roman" w:eastAsia="Times New Roman" w:hAnsi="Times New Roman" w:cs="Times New Roman"/>
          <w:lang w:eastAsia="hu-HU"/>
        </w:rPr>
        <w:t>Király Zsolt: Blackbird</w:t>
      </w:r>
    </w:p>
    <w:p w:rsidR="00E65CE8" w:rsidRPr="00F40250" w:rsidRDefault="00E65CE8" w:rsidP="00E65CE8">
      <w:pPr>
        <w:tabs>
          <w:tab w:val="right" w:pos="900"/>
        </w:tabs>
        <w:spacing w:before="120" w:after="0" w:line="240" w:lineRule="auto"/>
        <w:rPr>
          <w:rFonts w:ascii="Times New Roman" w:eastAsia="Times New Roman" w:hAnsi="Times New Roman" w:cs="Times New Roman"/>
          <w:bCs/>
        </w:rPr>
      </w:pPr>
    </w:p>
    <w:p w:rsidR="00E65CE8" w:rsidRPr="00F40250" w:rsidRDefault="00E65CE8" w:rsidP="00E65CE8">
      <w:pPr>
        <w:tabs>
          <w:tab w:val="right" w:pos="900"/>
        </w:tabs>
        <w:spacing w:before="120" w:after="0" w:line="240" w:lineRule="auto"/>
        <w:rPr>
          <w:rFonts w:ascii="Times New Roman" w:eastAsia="Times New Roman" w:hAnsi="Times New Roman" w:cs="Times New Roman"/>
          <w:bCs/>
          <w:lang w:eastAsia="hu-HU"/>
        </w:rPr>
      </w:pPr>
      <w:r w:rsidRPr="00F40250">
        <w:rPr>
          <w:rFonts w:ascii="Times New Roman" w:eastAsia="Times New Roman" w:hAnsi="Times New Roman" w:cs="Times New Roman"/>
          <w:bCs/>
        </w:rPr>
        <w:t>Budapest, 2020. február 5.</w:t>
      </w:r>
    </w:p>
    <w:p w:rsidR="00E65CE8" w:rsidRPr="00F40250" w:rsidRDefault="00E65CE8" w:rsidP="00E65CE8">
      <w:pPr>
        <w:tabs>
          <w:tab w:val="right" w:pos="900"/>
        </w:tabs>
        <w:spacing w:before="120" w:after="0" w:line="240" w:lineRule="auto"/>
        <w:ind w:left="5103"/>
        <w:jc w:val="right"/>
        <w:rPr>
          <w:rFonts w:ascii="Times New Roman" w:eastAsia="Times New Roman" w:hAnsi="Times New Roman" w:cs="Times New Roman"/>
          <w:bCs/>
        </w:rPr>
      </w:pPr>
      <w:r w:rsidRPr="00F40250">
        <w:rPr>
          <w:rFonts w:ascii="Times New Roman" w:eastAsia="Times New Roman" w:hAnsi="Times New Roman" w:cs="Times New Roman"/>
        </w:rPr>
        <w:t>Dr. Kiss Gabriella PhD.</w:t>
      </w:r>
    </w:p>
    <w:p w:rsidR="00E65CE8" w:rsidRPr="00F40250" w:rsidRDefault="00E65CE8" w:rsidP="00E65CE8">
      <w:pPr>
        <w:spacing w:after="200" w:line="276" w:lineRule="auto"/>
        <w:ind w:left="5103"/>
        <w:jc w:val="right"/>
        <w:rPr>
          <w:rFonts w:ascii="Times New Roman" w:eastAsia="Times New Roman" w:hAnsi="Times New Roman" w:cs="Times New Roman"/>
        </w:rPr>
      </w:pPr>
      <w:r w:rsidRPr="00F40250">
        <w:rPr>
          <w:rFonts w:ascii="Times New Roman" w:eastAsia="Times New Roman" w:hAnsi="Times New Roman" w:cs="Times New Roman"/>
        </w:rPr>
        <w:t>tantárgyfelelős sk.</w:t>
      </w:r>
    </w:p>
    <w:p w:rsidR="00E65CE8" w:rsidRPr="00F40250" w:rsidRDefault="00E65CE8">
      <w:pPr>
        <w:spacing w:after="200" w:line="276" w:lineRule="auto"/>
        <w:rPr>
          <w:rFonts w:ascii="Times New Roman" w:hAnsi="Times New Roman" w:cs="Times New Roman"/>
        </w:rPr>
      </w:pPr>
      <w:r w:rsidRPr="00F40250">
        <w:rPr>
          <w:rFonts w:ascii="Times New Roman" w:hAnsi="Times New Roman" w:cs="Times New Roman"/>
        </w:rPr>
        <w:br w:type="page"/>
      </w:r>
    </w:p>
    <w:tbl>
      <w:tblPr>
        <w:tblW w:w="5382" w:type="dxa"/>
        <w:tblInd w:w="113" w:type="dxa"/>
        <w:tblLook w:val="01E0" w:firstRow="1" w:lastRow="1" w:firstColumn="1" w:lastColumn="1" w:noHBand="0" w:noVBand="0"/>
      </w:tblPr>
      <w:tblGrid>
        <w:gridCol w:w="5382"/>
      </w:tblGrid>
      <w:tr w:rsidR="003D4FEE" w:rsidRPr="003D4FEE" w:rsidTr="0039180E">
        <w:tc>
          <w:tcPr>
            <w:tcW w:w="5382" w:type="dxa"/>
            <w:tcBorders>
              <w:bottom w:val="single" w:sz="4" w:space="0" w:color="auto"/>
            </w:tcBorders>
          </w:tcPr>
          <w:p w:rsidR="003D4FEE" w:rsidRPr="003D4FEE" w:rsidRDefault="003D4FEE" w:rsidP="003D4FEE">
            <w:pPr>
              <w:spacing w:after="0" w:line="240" w:lineRule="auto"/>
              <w:jc w:val="center"/>
              <w:rPr>
                <w:rFonts w:ascii="Times New Roman" w:eastAsia="Calibri" w:hAnsi="Times New Roman" w:cs="Times New Roman"/>
                <w:b/>
                <w:smallCaps/>
                <w:sz w:val="24"/>
                <w:szCs w:val="24"/>
                <w:lang w:eastAsia="hu-HU"/>
              </w:rPr>
            </w:pPr>
            <w:r w:rsidRPr="003D4FEE">
              <w:rPr>
                <w:rFonts w:ascii="Times New Roman" w:eastAsia="Calibri" w:hAnsi="Times New Roman" w:cs="Times New Roman"/>
                <w:b/>
                <w:smallCaps/>
                <w:sz w:val="24"/>
                <w:szCs w:val="24"/>
                <w:lang w:eastAsia="hu-HU"/>
              </w:rPr>
              <w:lastRenderedPageBreak/>
              <w:t>Nemzeti Közszolgálati Egyetem</w:t>
            </w:r>
          </w:p>
        </w:tc>
      </w:tr>
      <w:tr w:rsidR="003D4FEE" w:rsidRPr="003D4FEE" w:rsidTr="0039180E">
        <w:tc>
          <w:tcPr>
            <w:tcW w:w="5382" w:type="dxa"/>
            <w:tcBorders>
              <w:top w:val="single" w:sz="4" w:space="0" w:color="auto"/>
            </w:tcBorders>
          </w:tcPr>
          <w:p w:rsidR="003D4FEE" w:rsidRPr="003D4FEE" w:rsidRDefault="003D4FEE" w:rsidP="003D4FEE">
            <w:pPr>
              <w:spacing w:after="0" w:line="240" w:lineRule="auto"/>
              <w:jc w:val="center"/>
              <w:rPr>
                <w:rFonts w:ascii="Times New Roman" w:eastAsia="Calibri" w:hAnsi="Times New Roman" w:cs="Times New Roman"/>
                <w:b/>
                <w:sz w:val="24"/>
                <w:szCs w:val="24"/>
                <w:lang w:eastAsia="hu-HU"/>
              </w:rPr>
            </w:pPr>
            <w:r w:rsidRPr="003D4FEE">
              <w:rPr>
                <w:rFonts w:ascii="Times New Roman" w:eastAsia="Calibri" w:hAnsi="Times New Roman" w:cs="Times New Roman"/>
                <w:b/>
                <w:sz w:val="24"/>
                <w:szCs w:val="24"/>
                <w:lang w:eastAsia="hu-HU"/>
              </w:rPr>
              <w:t>Hadtudományi és Honvédtisztképző Kar</w:t>
            </w:r>
          </w:p>
        </w:tc>
      </w:tr>
    </w:tbl>
    <w:p w:rsidR="003D4FEE" w:rsidRPr="003D4FEE" w:rsidRDefault="003D4FEE" w:rsidP="003D4FEE">
      <w:pPr>
        <w:spacing w:before="120" w:after="0" w:line="240" w:lineRule="auto"/>
        <w:rPr>
          <w:rFonts w:ascii="Times New Roman" w:eastAsia="Calibri" w:hAnsi="Times New Roman" w:cs="Times New Roman"/>
          <w:b/>
          <w:bCs/>
          <w:szCs w:val="28"/>
          <w:lang w:eastAsia="hu-HU"/>
        </w:rPr>
      </w:pPr>
    </w:p>
    <w:p w:rsidR="003D4FEE" w:rsidRPr="003D4FEE" w:rsidRDefault="003D4FEE" w:rsidP="003D4FEE">
      <w:pPr>
        <w:spacing w:before="120" w:after="0" w:line="240" w:lineRule="auto"/>
        <w:jc w:val="center"/>
        <w:rPr>
          <w:rFonts w:ascii="Times New Roman" w:eastAsia="Calibri" w:hAnsi="Times New Roman" w:cs="Times New Roman"/>
          <w:b/>
          <w:bCs/>
          <w:szCs w:val="28"/>
          <w:lang w:eastAsia="hu-HU"/>
        </w:rPr>
      </w:pPr>
      <w:r w:rsidRPr="003D4FEE">
        <w:rPr>
          <w:rFonts w:ascii="Times New Roman" w:eastAsia="Calibri" w:hAnsi="Times New Roman" w:cs="Times New Roman"/>
          <w:b/>
          <w:bCs/>
          <w:szCs w:val="28"/>
          <w:lang w:eastAsia="hu-HU"/>
        </w:rPr>
        <w:t>TANTÁRGYI PROGRAM</w:t>
      </w:r>
    </w:p>
    <w:p w:rsidR="003D4FEE" w:rsidRPr="003D4FEE" w:rsidRDefault="003D4FEE" w:rsidP="00980876">
      <w:pPr>
        <w:numPr>
          <w:ilvl w:val="0"/>
          <w:numId w:val="842"/>
        </w:numPr>
        <w:tabs>
          <w:tab w:val="right" w:pos="900"/>
        </w:tabs>
        <w:spacing w:before="120" w:after="0" w:line="240" w:lineRule="auto"/>
        <w:jc w:val="both"/>
        <w:rPr>
          <w:rFonts w:ascii="Times New Roman" w:eastAsia="Calibri" w:hAnsi="Times New Roman" w:cs="Times New Roman"/>
          <w:bCs/>
          <w:lang w:eastAsia="hu-HU"/>
        </w:rPr>
      </w:pPr>
      <w:r w:rsidRPr="003D4FEE">
        <w:rPr>
          <w:rFonts w:ascii="Times New Roman" w:eastAsia="Calibri" w:hAnsi="Times New Roman" w:cs="Times New Roman"/>
          <w:b/>
          <w:bCs/>
          <w:lang w:eastAsia="hu-HU"/>
        </w:rPr>
        <w:t xml:space="preserve">A tantárgy kódja: </w:t>
      </w:r>
      <w:r w:rsidRPr="003D4FEE">
        <w:rPr>
          <w:rFonts w:ascii="Times New Roman" w:eastAsia="Calibri" w:hAnsi="Times New Roman" w:cs="Times New Roman"/>
          <w:bCs/>
          <w:lang w:eastAsia="hu-HU"/>
        </w:rPr>
        <w:t>HKISZLA301</w:t>
      </w:r>
    </w:p>
    <w:p w:rsidR="003D4FEE" w:rsidRPr="003D4FEE" w:rsidRDefault="003D4FEE" w:rsidP="00980876">
      <w:pPr>
        <w:numPr>
          <w:ilvl w:val="0"/>
          <w:numId w:val="842"/>
        </w:numPr>
        <w:tabs>
          <w:tab w:val="right" w:pos="900"/>
        </w:tabs>
        <w:spacing w:before="120" w:after="0" w:line="240" w:lineRule="auto"/>
        <w:jc w:val="both"/>
        <w:rPr>
          <w:rFonts w:ascii="Times New Roman" w:eastAsia="Calibri" w:hAnsi="Times New Roman" w:cs="Times New Roman"/>
          <w:bCs/>
          <w:lang w:eastAsia="hu-HU"/>
        </w:rPr>
      </w:pPr>
      <w:r w:rsidRPr="003D4FEE">
        <w:rPr>
          <w:rFonts w:ascii="Times New Roman" w:eastAsia="Calibri" w:hAnsi="Times New Roman" w:cs="Times New Roman"/>
          <w:b/>
          <w:bCs/>
          <w:lang w:eastAsia="hu-HU"/>
        </w:rPr>
        <w:t>A tantárgy megnevezése (magyarul):</w:t>
      </w:r>
      <w:r w:rsidRPr="003D4FEE">
        <w:rPr>
          <w:rFonts w:ascii="Times New Roman" w:eastAsia="Calibri" w:hAnsi="Times New Roman" w:cs="Times New Roman"/>
          <w:bCs/>
          <w:lang w:eastAsia="hu-HU"/>
        </w:rPr>
        <w:t xml:space="preserve"> Szakmai Angol 5 (Katonai)</w:t>
      </w:r>
    </w:p>
    <w:p w:rsidR="003D4FEE" w:rsidRPr="003D4FEE" w:rsidRDefault="003D4FEE" w:rsidP="00980876">
      <w:pPr>
        <w:numPr>
          <w:ilvl w:val="0"/>
          <w:numId w:val="842"/>
        </w:numPr>
        <w:tabs>
          <w:tab w:val="right" w:pos="900"/>
        </w:tabs>
        <w:spacing w:before="120" w:after="0" w:line="240" w:lineRule="auto"/>
        <w:ind w:left="357" w:hanging="357"/>
        <w:jc w:val="both"/>
        <w:rPr>
          <w:rFonts w:ascii="Times New Roman" w:eastAsia="Calibri" w:hAnsi="Times New Roman" w:cs="Times New Roman"/>
          <w:bCs/>
          <w:lang w:eastAsia="hu-HU"/>
        </w:rPr>
      </w:pPr>
      <w:r w:rsidRPr="003D4FEE">
        <w:rPr>
          <w:rFonts w:ascii="Times New Roman" w:eastAsia="Calibri" w:hAnsi="Times New Roman" w:cs="Times New Roman"/>
          <w:b/>
          <w:bCs/>
          <w:lang w:eastAsia="hu-HU"/>
        </w:rPr>
        <w:t>A tantárgy megnevezése (angolul):</w:t>
      </w:r>
      <w:r w:rsidRPr="003D4FEE">
        <w:rPr>
          <w:rFonts w:ascii="Times New Roman" w:eastAsia="Calibri" w:hAnsi="Times New Roman" w:cs="Times New Roman"/>
          <w:bCs/>
          <w:lang w:eastAsia="hu-HU"/>
        </w:rPr>
        <w:t xml:space="preserve"> </w:t>
      </w:r>
      <w:r w:rsidRPr="003D4FEE">
        <w:rPr>
          <w:rFonts w:ascii="Times New Roman" w:eastAsia="Calibri" w:hAnsi="Times New Roman" w:cs="Times New Roman"/>
        </w:rPr>
        <w:t>Specialized English 5 (Military)</w:t>
      </w:r>
    </w:p>
    <w:p w:rsidR="003D4FEE" w:rsidRPr="003D4FEE" w:rsidRDefault="003D4FEE" w:rsidP="00980876">
      <w:pPr>
        <w:numPr>
          <w:ilvl w:val="0"/>
          <w:numId w:val="842"/>
        </w:numPr>
        <w:tabs>
          <w:tab w:val="right" w:pos="900"/>
        </w:tabs>
        <w:spacing w:before="120" w:after="0" w:line="240" w:lineRule="auto"/>
        <w:ind w:left="357" w:hanging="357"/>
        <w:jc w:val="both"/>
        <w:rPr>
          <w:rFonts w:ascii="Times New Roman" w:eastAsia="Calibri" w:hAnsi="Times New Roman" w:cs="Times New Roman"/>
          <w:bCs/>
          <w:lang w:eastAsia="hu-HU"/>
        </w:rPr>
      </w:pPr>
      <w:r w:rsidRPr="003D4FEE">
        <w:rPr>
          <w:rFonts w:ascii="Times New Roman" w:eastAsia="Calibri" w:hAnsi="Times New Roman" w:cs="Times New Roman"/>
          <w:b/>
          <w:bCs/>
          <w:lang w:eastAsia="hu-HU"/>
        </w:rPr>
        <w:t>Kreditérték és képzési karakter:</w:t>
      </w:r>
    </w:p>
    <w:p w:rsidR="003D4FEE" w:rsidRPr="003D4FEE" w:rsidRDefault="003D4FEE" w:rsidP="003D4FEE">
      <w:pPr>
        <w:tabs>
          <w:tab w:val="right" w:pos="900"/>
        </w:tabs>
        <w:spacing w:before="120" w:after="0" w:line="240" w:lineRule="auto"/>
        <w:ind w:left="357"/>
        <w:jc w:val="both"/>
        <w:rPr>
          <w:rFonts w:ascii="Times New Roman" w:eastAsia="Calibri" w:hAnsi="Times New Roman" w:cs="Times New Roman"/>
          <w:bCs/>
          <w:lang w:eastAsia="hu-HU"/>
        </w:rPr>
      </w:pPr>
      <w:r w:rsidRPr="003D4FEE">
        <w:rPr>
          <w:rFonts w:ascii="Times New Roman" w:eastAsia="Calibri" w:hAnsi="Times New Roman" w:cs="Times New Roman"/>
          <w:b/>
          <w:bCs/>
          <w:lang w:eastAsia="hu-HU"/>
        </w:rPr>
        <w:t>4.1</w:t>
      </w:r>
      <w:r w:rsidRPr="003D4FEE">
        <w:rPr>
          <w:rFonts w:ascii="Times New Roman" w:eastAsia="Calibri" w:hAnsi="Times New Roman" w:cs="Times New Roman"/>
          <w:bCs/>
          <w:lang w:eastAsia="hu-HU"/>
        </w:rPr>
        <w:t>. 0 kredit</w:t>
      </w:r>
    </w:p>
    <w:p w:rsidR="003D4FEE" w:rsidRPr="003D4FEE" w:rsidRDefault="003D4FEE" w:rsidP="003D4FEE">
      <w:pPr>
        <w:tabs>
          <w:tab w:val="right" w:pos="900"/>
        </w:tabs>
        <w:spacing w:before="120" w:after="0" w:line="240" w:lineRule="auto"/>
        <w:ind w:left="357"/>
        <w:jc w:val="both"/>
        <w:rPr>
          <w:rFonts w:ascii="Times New Roman" w:eastAsia="Calibri" w:hAnsi="Times New Roman" w:cs="Times New Roman"/>
          <w:bCs/>
          <w:lang w:eastAsia="hu-HU"/>
        </w:rPr>
      </w:pPr>
      <w:r w:rsidRPr="003D4FEE">
        <w:rPr>
          <w:rFonts w:ascii="Times New Roman" w:eastAsia="Calibri" w:hAnsi="Times New Roman" w:cs="Times New Roman"/>
          <w:b/>
          <w:bCs/>
          <w:lang w:eastAsia="hu-HU"/>
        </w:rPr>
        <w:t>4.2.</w:t>
      </w:r>
      <w:r w:rsidRPr="003D4FEE">
        <w:rPr>
          <w:rFonts w:ascii="Times New Roman" w:eastAsia="Calibri" w:hAnsi="Times New Roman" w:cs="Times New Roman"/>
          <w:bCs/>
          <w:lang w:eastAsia="hu-HU"/>
        </w:rPr>
        <w:t xml:space="preserve"> a tantárgy elméleti vagy gyakorlati jellegének mértéke: 50% gyakorlat, 50% elmélet</w:t>
      </w:r>
    </w:p>
    <w:p w:rsidR="003D4FEE" w:rsidRPr="00D05C46" w:rsidRDefault="003D4FEE" w:rsidP="00980876">
      <w:pPr>
        <w:numPr>
          <w:ilvl w:val="0"/>
          <w:numId w:val="842"/>
        </w:numPr>
        <w:tabs>
          <w:tab w:val="right" w:pos="900"/>
        </w:tabs>
        <w:spacing w:before="120" w:after="0" w:line="240" w:lineRule="auto"/>
        <w:ind w:left="357" w:hanging="357"/>
        <w:jc w:val="both"/>
        <w:rPr>
          <w:rFonts w:ascii="Times New Roman" w:hAnsi="Times New Roman"/>
          <w:b/>
          <w:bCs/>
          <w:lang w:eastAsia="hu-HU"/>
        </w:rPr>
      </w:pPr>
      <w:r w:rsidRPr="003D4FEE">
        <w:rPr>
          <w:rFonts w:ascii="Times New Roman" w:eastAsia="Calibri" w:hAnsi="Times New Roman" w:cs="Times New Roman"/>
          <w:b/>
          <w:bCs/>
          <w:lang w:eastAsia="hu-HU"/>
        </w:rPr>
        <w:t xml:space="preserve">A </w:t>
      </w:r>
      <w:r w:rsidRPr="00D05C46">
        <w:rPr>
          <w:rFonts w:ascii="Times New Roman" w:eastAsia="Calibri" w:hAnsi="Times New Roman" w:cs="Times New Roman"/>
          <w:b/>
          <w:bCs/>
          <w:lang w:eastAsia="hu-HU"/>
        </w:rPr>
        <w:t>szak</w:t>
      </w:r>
      <w:r w:rsidRPr="003D4FEE">
        <w:rPr>
          <w:rFonts w:ascii="Times New Roman" w:eastAsia="Calibri" w:hAnsi="Times New Roman" w:cs="Times New Roman"/>
          <w:b/>
          <w:bCs/>
          <w:lang w:eastAsia="hu-HU"/>
        </w:rPr>
        <w:t>(</w:t>
      </w:r>
      <w:r w:rsidRPr="003D4FEE">
        <w:rPr>
          <w:rFonts w:ascii="Times New Roman" w:eastAsia="Calibri" w:hAnsi="Times New Roman" w:cs="Times New Roman"/>
          <w:b/>
          <w:bCs/>
        </w:rPr>
        <w:t>ok</w:t>
      </w:r>
      <w:r w:rsidRPr="003D4FEE">
        <w:rPr>
          <w:rFonts w:ascii="Times New Roman" w:eastAsia="Calibri" w:hAnsi="Times New Roman" w:cs="Times New Roman"/>
          <w:b/>
          <w:bCs/>
          <w:lang w:eastAsia="hu-HU"/>
        </w:rPr>
        <w:t>), szakirányok megnevezése (ahol oktatják):</w:t>
      </w:r>
      <w:r w:rsidRPr="003D4FEE">
        <w:rPr>
          <w:rFonts w:ascii="Times New Roman" w:eastAsia="Calibri" w:hAnsi="Times New Roman" w:cs="Times New Roman"/>
          <w:bCs/>
          <w:lang w:eastAsia="hu-HU"/>
        </w:rPr>
        <w:t xml:space="preserve"> </w:t>
      </w:r>
      <w:r w:rsidR="00D05C46" w:rsidRPr="00EC55A8">
        <w:rPr>
          <w:rFonts w:ascii="Times New Roman" w:hAnsi="Times New Roman"/>
          <w:bCs/>
          <w:lang w:eastAsia="hu-HU"/>
        </w:rPr>
        <w:t>A Hadtudományi és Honvédtisztképző Kar katonai vezetői, katonai üzemeltető és katonai logisztika alapképzési szakjain.</w:t>
      </w:r>
    </w:p>
    <w:p w:rsidR="003D4FEE" w:rsidRPr="003D4FEE" w:rsidRDefault="003D4FEE" w:rsidP="00980876">
      <w:pPr>
        <w:numPr>
          <w:ilvl w:val="0"/>
          <w:numId w:val="842"/>
        </w:numPr>
        <w:tabs>
          <w:tab w:val="right" w:pos="900"/>
        </w:tabs>
        <w:spacing w:before="120" w:after="0" w:line="240" w:lineRule="auto"/>
        <w:ind w:left="357" w:hanging="357"/>
        <w:jc w:val="both"/>
        <w:rPr>
          <w:rFonts w:ascii="Times New Roman" w:eastAsia="Calibri" w:hAnsi="Times New Roman" w:cs="Times New Roman"/>
          <w:b/>
          <w:bCs/>
          <w:lang w:eastAsia="hu-HU"/>
        </w:rPr>
      </w:pPr>
      <w:r w:rsidRPr="003D4FEE">
        <w:rPr>
          <w:rFonts w:ascii="Times New Roman" w:eastAsia="Calibri" w:hAnsi="Times New Roman" w:cs="Times New Roman"/>
          <w:b/>
          <w:bCs/>
        </w:rPr>
        <w:t xml:space="preserve">Az </w:t>
      </w:r>
      <w:r w:rsidRPr="003D4FEE">
        <w:rPr>
          <w:rFonts w:ascii="Times New Roman" w:eastAsia="Calibri" w:hAnsi="Times New Roman" w:cs="Times New Roman"/>
          <w:b/>
          <w:bCs/>
          <w:lang w:eastAsia="hu-HU"/>
        </w:rPr>
        <w:t>oktatásért</w:t>
      </w:r>
      <w:r w:rsidRPr="003D4FEE">
        <w:rPr>
          <w:rFonts w:ascii="Times New Roman" w:eastAsia="Calibri" w:hAnsi="Times New Roman" w:cs="Times New Roman"/>
          <w:b/>
          <w:bCs/>
        </w:rPr>
        <w:t xml:space="preserve"> felelős oktatási szervezeti egység megnevezése: </w:t>
      </w:r>
      <w:r w:rsidRPr="003D4FEE">
        <w:rPr>
          <w:rFonts w:ascii="Times New Roman" w:eastAsia="Calibri" w:hAnsi="Times New Roman" w:cs="Times New Roman"/>
          <w:bCs/>
          <w:lang w:eastAsia="hu-HU"/>
        </w:rPr>
        <w:t>Hadtudományi és Honvédtisztképző Kar, Idegennyelvi és Szaknyelvi Lektorátus</w:t>
      </w:r>
    </w:p>
    <w:p w:rsidR="003D4FEE" w:rsidRPr="003D4FEE" w:rsidRDefault="003D4FEE" w:rsidP="00980876">
      <w:pPr>
        <w:numPr>
          <w:ilvl w:val="0"/>
          <w:numId w:val="842"/>
        </w:numPr>
        <w:tabs>
          <w:tab w:val="right" w:pos="900"/>
        </w:tabs>
        <w:spacing w:before="120" w:after="0" w:line="240" w:lineRule="auto"/>
        <w:ind w:left="357" w:hanging="357"/>
        <w:jc w:val="both"/>
        <w:rPr>
          <w:rFonts w:ascii="Times New Roman" w:eastAsia="Calibri" w:hAnsi="Times New Roman" w:cs="Times New Roman"/>
          <w:bCs/>
          <w:lang w:eastAsia="hu-HU"/>
        </w:rPr>
      </w:pPr>
      <w:r w:rsidRPr="003D4FEE">
        <w:rPr>
          <w:rFonts w:ascii="Times New Roman" w:eastAsia="Calibri" w:hAnsi="Times New Roman" w:cs="Times New Roman"/>
          <w:b/>
          <w:bCs/>
          <w:lang w:eastAsia="hu-HU"/>
        </w:rPr>
        <w:t xml:space="preserve">A </w:t>
      </w:r>
      <w:r w:rsidRPr="003D4FEE">
        <w:rPr>
          <w:rFonts w:ascii="Times New Roman" w:eastAsia="Calibri" w:hAnsi="Times New Roman" w:cs="Times New Roman"/>
          <w:b/>
          <w:bCs/>
        </w:rPr>
        <w:t>tantárgyfelelős</w:t>
      </w:r>
      <w:r w:rsidRPr="003D4FEE">
        <w:rPr>
          <w:rFonts w:ascii="Times New Roman" w:eastAsia="Calibri" w:hAnsi="Times New Roman" w:cs="Times New Roman"/>
          <w:b/>
          <w:bCs/>
          <w:lang w:eastAsia="hu-HU"/>
        </w:rPr>
        <w:t xml:space="preserve"> oktató neve, beosztása, tudományos fokozata: </w:t>
      </w:r>
      <w:r w:rsidRPr="003D4FEE">
        <w:rPr>
          <w:rFonts w:ascii="Times New Roman" w:eastAsia="Calibri" w:hAnsi="Times New Roman" w:cs="Times New Roman"/>
          <w:bCs/>
          <w:lang w:eastAsia="hu-HU"/>
        </w:rPr>
        <w:t>Dr. Kiss Gabriella lektorátusvezető</w:t>
      </w:r>
    </w:p>
    <w:p w:rsidR="003D4FEE" w:rsidRPr="003D4FEE" w:rsidRDefault="003D4FEE" w:rsidP="00980876">
      <w:pPr>
        <w:numPr>
          <w:ilvl w:val="0"/>
          <w:numId w:val="842"/>
        </w:numPr>
        <w:tabs>
          <w:tab w:val="right" w:pos="900"/>
        </w:tabs>
        <w:spacing w:before="120" w:after="0" w:line="240" w:lineRule="auto"/>
        <w:jc w:val="both"/>
        <w:rPr>
          <w:rFonts w:ascii="Times New Roman" w:eastAsia="Calibri" w:hAnsi="Times New Roman" w:cs="Times New Roman"/>
          <w:bCs/>
          <w:lang w:eastAsia="hu-HU"/>
        </w:rPr>
      </w:pPr>
      <w:r w:rsidRPr="003D4FEE">
        <w:rPr>
          <w:rFonts w:ascii="Times New Roman" w:eastAsia="Calibri" w:hAnsi="Times New Roman" w:cs="Times New Roman"/>
          <w:b/>
          <w:bCs/>
          <w:lang w:eastAsia="hu-HU"/>
        </w:rPr>
        <w:t xml:space="preserve">A tanórákszáma és típusa </w:t>
      </w:r>
      <w:r w:rsidRPr="003D4FEE">
        <w:rPr>
          <w:rFonts w:ascii="Times New Roman" w:eastAsia="Calibri" w:hAnsi="Times New Roman" w:cs="Times New Roman"/>
          <w:b/>
          <w:bCs/>
          <w:i/>
          <w:lang w:eastAsia="hu-HU"/>
        </w:rPr>
        <w:t>(előadás+szeminárium+gyakorlat):</w:t>
      </w:r>
    </w:p>
    <w:p w:rsidR="003D4FEE" w:rsidRPr="003D4FEE" w:rsidRDefault="003D4FEE" w:rsidP="00980876">
      <w:pPr>
        <w:numPr>
          <w:ilvl w:val="1"/>
          <w:numId w:val="842"/>
        </w:numPr>
        <w:tabs>
          <w:tab w:val="right" w:pos="900"/>
        </w:tabs>
        <w:spacing w:before="120" w:after="0" w:line="240" w:lineRule="auto"/>
        <w:jc w:val="both"/>
        <w:rPr>
          <w:rFonts w:ascii="Times New Roman" w:eastAsia="Calibri" w:hAnsi="Times New Roman" w:cs="Times New Roman"/>
          <w:bCs/>
          <w:lang w:eastAsia="hu-HU"/>
        </w:rPr>
      </w:pPr>
      <w:r w:rsidRPr="003D4FEE">
        <w:rPr>
          <w:rFonts w:ascii="Times New Roman" w:eastAsia="Calibri" w:hAnsi="Times New Roman" w:cs="Times New Roman"/>
          <w:bCs/>
          <w:lang w:eastAsia="hu-HU"/>
        </w:rPr>
        <w:t>összóraszám: 28</w:t>
      </w:r>
    </w:p>
    <w:p w:rsidR="003D4FEE" w:rsidRPr="003D4FEE" w:rsidRDefault="003D4FEE" w:rsidP="00980876">
      <w:pPr>
        <w:numPr>
          <w:ilvl w:val="2"/>
          <w:numId w:val="842"/>
        </w:numPr>
        <w:tabs>
          <w:tab w:val="right" w:pos="900"/>
        </w:tabs>
        <w:spacing w:before="120" w:after="0" w:line="240" w:lineRule="auto"/>
        <w:jc w:val="both"/>
        <w:rPr>
          <w:rFonts w:ascii="Times New Roman" w:eastAsia="Calibri" w:hAnsi="Times New Roman" w:cs="Times New Roman"/>
          <w:bCs/>
          <w:lang w:eastAsia="hu-HU"/>
        </w:rPr>
      </w:pPr>
      <w:r w:rsidRPr="003D4FEE">
        <w:rPr>
          <w:rFonts w:ascii="Times New Roman" w:eastAsia="Calibri" w:hAnsi="Times New Roman" w:cs="Times New Roman"/>
          <w:bCs/>
          <w:lang w:eastAsia="hu-HU"/>
        </w:rPr>
        <w:t>Nappali munkarend: 28 (14 EA + 0 SZ + 14 GY)</w:t>
      </w:r>
    </w:p>
    <w:p w:rsidR="003D4FEE" w:rsidRPr="003D4FEE" w:rsidRDefault="003D4FEE" w:rsidP="00980876">
      <w:pPr>
        <w:numPr>
          <w:ilvl w:val="2"/>
          <w:numId w:val="842"/>
        </w:numPr>
        <w:tabs>
          <w:tab w:val="right" w:pos="900"/>
        </w:tabs>
        <w:spacing w:before="120" w:after="0" w:line="240" w:lineRule="auto"/>
        <w:jc w:val="both"/>
        <w:rPr>
          <w:rFonts w:ascii="Times New Roman" w:eastAsia="Calibri" w:hAnsi="Times New Roman" w:cs="Times New Roman"/>
          <w:bCs/>
          <w:lang w:eastAsia="hu-HU"/>
        </w:rPr>
      </w:pPr>
      <w:r w:rsidRPr="003D4FEE">
        <w:rPr>
          <w:rFonts w:ascii="Times New Roman" w:eastAsia="Calibri" w:hAnsi="Times New Roman" w:cs="Times New Roman"/>
          <w:bCs/>
          <w:lang w:eastAsia="hu-HU"/>
        </w:rPr>
        <w:t>Levelező munkarend: -</w:t>
      </w:r>
    </w:p>
    <w:p w:rsidR="003D4FEE" w:rsidRPr="003D4FEE" w:rsidRDefault="003D4FEE" w:rsidP="00980876">
      <w:pPr>
        <w:numPr>
          <w:ilvl w:val="1"/>
          <w:numId w:val="842"/>
        </w:numPr>
        <w:tabs>
          <w:tab w:val="right" w:pos="900"/>
        </w:tabs>
        <w:spacing w:before="120" w:after="0" w:line="240" w:lineRule="auto"/>
        <w:jc w:val="both"/>
        <w:rPr>
          <w:rFonts w:ascii="Times New Roman" w:eastAsia="Calibri" w:hAnsi="Times New Roman" w:cs="Times New Roman"/>
          <w:bCs/>
          <w:lang w:eastAsia="hu-HU"/>
        </w:rPr>
      </w:pPr>
      <w:r w:rsidRPr="003D4FEE">
        <w:rPr>
          <w:rFonts w:ascii="Times New Roman" w:eastAsia="Calibri" w:hAnsi="Times New Roman" w:cs="Times New Roman"/>
          <w:bCs/>
          <w:lang w:eastAsia="hu-HU"/>
        </w:rPr>
        <w:t xml:space="preserve">heti óraszám nappali munkarend: </w:t>
      </w:r>
      <w:r w:rsidR="004D30CA">
        <w:rPr>
          <w:rFonts w:ascii="Times New Roman" w:eastAsia="Calibri" w:hAnsi="Times New Roman" w:cs="Times New Roman"/>
          <w:bCs/>
          <w:lang w:eastAsia="hu-HU"/>
        </w:rPr>
        <w:t>2 (</w:t>
      </w:r>
      <w:r w:rsidRPr="003D4FEE">
        <w:rPr>
          <w:rFonts w:ascii="Times New Roman" w:eastAsia="Calibri" w:hAnsi="Times New Roman" w:cs="Times New Roman"/>
          <w:bCs/>
          <w:lang w:eastAsia="hu-HU"/>
        </w:rPr>
        <w:t>1+1</w:t>
      </w:r>
      <w:r w:rsidR="004D30CA">
        <w:rPr>
          <w:rFonts w:ascii="Times New Roman" w:eastAsia="Calibri" w:hAnsi="Times New Roman" w:cs="Times New Roman"/>
          <w:bCs/>
          <w:lang w:eastAsia="hu-HU"/>
        </w:rPr>
        <w:t>)</w:t>
      </w:r>
      <w:r w:rsidRPr="003D4FEE">
        <w:rPr>
          <w:rFonts w:ascii="Times New Roman" w:eastAsia="Calibri" w:hAnsi="Times New Roman" w:cs="Times New Roman"/>
          <w:bCs/>
          <w:lang w:eastAsia="hu-HU"/>
        </w:rPr>
        <w:t xml:space="preserve"> óra</w:t>
      </w:r>
    </w:p>
    <w:p w:rsidR="003D4FEE" w:rsidRPr="003D4FEE" w:rsidRDefault="003D4FEE" w:rsidP="00980876">
      <w:pPr>
        <w:numPr>
          <w:ilvl w:val="0"/>
          <w:numId w:val="842"/>
        </w:numPr>
        <w:tabs>
          <w:tab w:val="right" w:pos="900"/>
          <w:tab w:val="center" w:pos="4536"/>
          <w:tab w:val="right" w:pos="9072"/>
        </w:tabs>
        <w:spacing w:before="120" w:after="0" w:line="240" w:lineRule="auto"/>
        <w:ind w:left="357" w:hanging="357"/>
        <w:jc w:val="both"/>
        <w:rPr>
          <w:rFonts w:ascii="Times New Roman" w:eastAsia="Calibri" w:hAnsi="Times New Roman" w:cs="Times New Roman"/>
          <w:bCs/>
          <w:lang w:eastAsia="hu-HU"/>
        </w:rPr>
      </w:pPr>
      <w:r w:rsidRPr="003D4FEE">
        <w:rPr>
          <w:rFonts w:ascii="Times New Roman" w:eastAsia="Calibri" w:hAnsi="Times New Roman" w:cs="Times New Roman"/>
          <w:b/>
          <w:bCs/>
          <w:lang w:eastAsia="hu-HU"/>
        </w:rPr>
        <w:t xml:space="preserve">A tantárgy szakmai tartalma (magyarul): </w:t>
      </w:r>
      <w:r w:rsidRPr="003D4FEE">
        <w:rPr>
          <w:rFonts w:ascii="CG Times (W1)" w:eastAsia="Calibri" w:hAnsi="CG Times (W1)" w:cs="Times New Roman"/>
          <w:bCs/>
          <w:lang w:eastAsia="hu-HU"/>
        </w:rPr>
        <w:t>A szakmai angol nyelv ismereteinek elsajátítása, beszédkészség, beszédértés és íráskészségek fejlesztése.</w:t>
      </w:r>
    </w:p>
    <w:p w:rsidR="003D4FEE" w:rsidRPr="003D4FEE" w:rsidRDefault="003D4FEE" w:rsidP="003D4FEE">
      <w:pPr>
        <w:spacing w:before="120" w:after="0" w:line="240" w:lineRule="auto"/>
        <w:ind w:left="357"/>
        <w:contextualSpacing/>
        <w:jc w:val="both"/>
        <w:rPr>
          <w:rFonts w:ascii="Times New Roman" w:eastAsia="Calibri" w:hAnsi="Times New Roman" w:cs="Times New Roman"/>
          <w:bCs/>
          <w:lang w:eastAsia="hu-HU"/>
        </w:rPr>
      </w:pPr>
      <w:r w:rsidRPr="003D4FEE">
        <w:rPr>
          <w:rFonts w:ascii="Times New Roman" w:eastAsia="Calibri" w:hAnsi="Times New Roman" w:cs="Times New Roman"/>
          <w:b/>
          <w:bCs/>
          <w:lang w:eastAsia="hu-HU"/>
        </w:rPr>
        <w:t>A tantárgy szakmai tartalma (angolul):</w:t>
      </w:r>
      <w:r w:rsidRPr="003D4FEE">
        <w:rPr>
          <w:rFonts w:ascii="Times New Roman" w:eastAsia="Calibri" w:hAnsi="Times New Roman" w:cs="Times New Roman"/>
          <w:bCs/>
          <w:lang w:eastAsia="hu-HU"/>
        </w:rPr>
        <w:t xml:space="preserve"> Acquirement of professional English language, and the enhancement of speaking, listening, and writing skills.</w:t>
      </w:r>
    </w:p>
    <w:p w:rsidR="003D4FEE" w:rsidRPr="003D4FEE" w:rsidRDefault="003D4FEE" w:rsidP="00980876">
      <w:pPr>
        <w:numPr>
          <w:ilvl w:val="0"/>
          <w:numId w:val="842"/>
        </w:numPr>
        <w:tabs>
          <w:tab w:val="right" w:pos="900"/>
        </w:tabs>
        <w:spacing w:before="120" w:after="0" w:line="240" w:lineRule="auto"/>
        <w:jc w:val="both"/>
        <w:rPr>
          <w:rFonts w:ascii="Times New Roman" w:eastAsia="Calibri" w:hAnsi="Times New Roman" w:cs="Times New Roman"/>
          <w:bCs/>
          <w:lang w:eastAsia="hu-HU"/>
        </w:rPr>
      </w:pPr>
      <w:r w:rsidRPr="003D4FEE">
        <w:rPr>
          <w:rFonts w:ascii="Times New Roman" w:eastAsia="Calibri" w:hAnsi="Times New Roman" w:cs="Times New Roman"/>
          <w:b/>
          <w:bCs/>
          <w:lang w:eastAsia="hu-HU"/>
        </w:rPr>
        <w:t>Elérendő kompetenciák (magyarul):</w:t>
      </w:r>
    </w:p>
    <w:p w:rsidR="003D4FEE" w:rsidRPr="003D4FEE" w:rsidRDefault="003D4FEE" w:rsidP="003D4FEE">
      <w:pPr>
        <w:tabs>
          <w:tab w:val="right" w:pos="900"/>
        </w:tabs>
        <w:spacing w:before="120" w:after="0" w:line="240" w:lineRule="auto"/>
        <w:jc w:val="both"/>
        <w:rPr>
          <w:rFonts w:ascii="Times New Roman" w:eastAsia="Calibri" w:hAnsi="Times New Roman" w:cs="Times New Roman"/>
          <w:bCs/>
          <w:lang w:eastAsia="hu-HU"/>
        </w:rPr>
      </w:pPr>
      <w:r w:rsidRPr="003D4FEE">
        <w:rPr>
          <w:rFonts w:ascii="Times New Roman" w:eastAsia="Calibri" w:hAnsi="Times New Roman" w:cs="Times New Roman"/>
          <w:b/>
          <w:bCs/>
          <w:lang w:eastAsia="hu-HU"/>
        </w:rPr>
        <w:t>Tudása:</w:t>
      </w:r>
      <w:r w:rsidRPr="003D4FEE">
        <w:rPr>
          <w:rFonts w:ascii="Times New Roman" w:eastAsia="Calibri" w:hAnsi="Times New Roman" w:cs="Times New Roman"/>
          <w:bCs/>
          <w:lang w:eastAsia="hu-HU"/>
        </w:rPr>
        <w:t xml:space="preserve"> </w:t>
      </w:r>
    </w:p>
    <w:p w:rsidR="003D4FEE" w:rsidRPr="003D4FEE" w:rsidRDefault="003D4FEE" w:rsidP="00980876">
      <w:pPr>
        <w:numPr>
          <w:ilvl w:val="0"/>
          <w:numId w:val="585"/>
        </w:numPr>
        <w:tabs>
          <w:tab w:val="right" w:pos="900"/>
        </w:tabs>
        <w:spacing w:after="0" w:line="240" w:lineRule="auto"/>
        <w:ind w:left="426"/>
        <w:contextualSpacing/>
        <w:jc w:val="both"/>
        <w:rPr>
          <w:rFonts w:ascii="Times New Roman" w:eastAsia="Calibri" w:hAnsi="Times New Roman" w:cs="Times New Roman"/>
          <w:bCs/>
          <w:lang w:eastAsia="hu-HU"/>
        </w:rPr>
      </w:pPr>
      <w:r w:rsidRPr="003D4FEE">
        <w:rPr>
          <w:rFonts w:ascii="Times New Roman" w:eastAsia="Calibri" w:hAnsi="Times New Roman" w:cs="Times New Roman"/>
          <w:bCs/>
          <w:lang w:eastAsia="hu-HU"/>
        </w:rPr>
        <w:t>Ismeri az összfegyvernemi harc megvívásával, a harctámogatással, a harckiszolgáló támogatással, a haderőnemek, a fegyvernemek és szakcsapatok szervezeti felépítésével és harceljárásaival kapcsolatos alapszókincset.</w:t>
      </w:r>
    </w:p>
    <w:p w:rsidR="003D4FEE" w:rsidRPr="003D4FEE" w:rsidRDefault="003D4FEE" w:rsidP="00980876">
      <w:pPr>
        <w:numPr>
          <w:ilvl w:val="0"/>
          <w:numId w:val="585"/>
        </w:numPr>
        <w:tabs>
          <w:tab w:val="right" w:pos="900"/>
        </w:tabs>
        <w:spacing w:after="0" w:line="240" w:lineRule="auto"/>
        <w:ind w:left="426"/>
        <w:contextualSpacing/>
        <w:jc w:val="both"/>
        <w:rPr>
          <w:rFonts w:ascii="Times New Roman" w:eastAsia="Calibri" w:hAnsi="Times New Roman" w:cs="Times New Roman"/>
          <w:bCs/>
          <w:lang w:eastAsia="hu-HU"/>
        </w:rPr>
      </w:pPr>
      <w:r w:rsidRPr="003D4FEE">
        <w:rPr>
          <w:rFonts w:ascii="Times New Roman" w:eastAsia="Calibri" w:hAnsi="Times New Roman" w:cs="Times New Roman"/>
          <w:bCs/>
          <w:lang w:eastAsia="hu-HU"/>
        </w:rPr>
        <w:t>Birtokában van azon nyelvtani ismereteknek, melyek szükségesek az összfegyvernemi harc megvívásával, a harctámogatással, a harckiszolgáló támogatással, a haderőnemek, a fegyvernemek és szakcsapatok szervezeti felépítésével és harceljárásaival kapcsolatos kommunikáció lebonyolításához.</w:t>
      </w:r>
    </w:p>
    <w:p w:rsidR="003D4FEE" w:rsidRPr="003D4FEE" w:rsidRDefault="003D4FEE" w:rsidP="00980876">
      <w:pPr>
        <w:numPr>
          <w:ilvl w:val="0"/>
          <w:numId w:val="585"/>
        </w:numPr>
        <w:tabs>
          <w:tab w:val="right" w:pos="900"/>
        </w:tabs>
        <w:spacing w:after="0" w:line="240" w:lineRule="auto"/>
        <w:ind w:left="426"/>
        <w:contextualSpacing/>
        <w:jc w:val="both"/>
        <w:rPr>
          <w:rFonts w:ascii="Times New Roman" w:eastAsia="Calibri" w:hAnsi="Times New Roman" w:cs="Times New Roman"/>
          <w:bCs/>
          <w:lang w:eastAsia="hu-HU"/>
        </w:rPr>
      </w:pPr>
      <w:r w:rsidRPr="003D4FEE">
        <w:rPr>
          <w:rFonts w:ascii="Times New Roman" w:eastAsia="Calibri" w:hAnsi="Times New Roman" w:cs="Times New Roman"/>
          <w:bCs/>
          <w:lang w:eastAsia="hu-HU"/>
        </w:rPr>
        <w:t>Ismeri a NATO dokumentumok megértéséhez szükséges angol terminológiát</w:t>
      </w:r>
    </w:p>
    <w:p w:rsidR="003D4FEE" w:rsidRPr="003D4FEE" w:rsidRDefault="003D4FEE" w:rsidP="00980876">
      <w:pPr>
        <w:numPr>
          <w:ilvl w:val="0"/>
          <w:numId w:val="585"/>
        </w:numPr>
        <w:tabs>
          <w:tab w:val="right" w:pos="900"/>
        </w:tabs>
        <w:spacing w:after="0" w:line="240" w:lineRule="auto"/>
        <w:ind w:left="426"/>
        <w:contextualSpacing/>
        <w:jc w:val="both"/>
        <w:rPr>
          <w:rFonts w:ascii="Times New Roman" w:eastAsia="Calibri" w:hAnsi="Times New Roman" w:cs="Times New Roman"/>
          <w:bCs/>
          <w:lang w:eastAsia="hu-HU"/>
        </w:rPr>
      </w:pPr>
      <w:r w:rsidRPr="003D4FEE">
        <w:rPr>
          <w:rFonts w:ascii="Times New Roman" w:eastAsia="Calibri" w:hAnsi="Times New Roman" w:cs="Times New Roman"/>
          <w:bCs/>
          <w:lang w:eastAsia="hu-HU"/>
        </w:rPr>
        <w:t>Ismeri a béketámogató műveletek, a Magyar Honvédség békeműveleti feladatai valamint a békefenntartó eljárások leírásához szükséges angol terminológiát</w:t>
      </w:r>
    </w:p>
    <w:p w:rsidR="003D4FEE" w:rsidRPr="003D4FEE" w:rsidRDefault="003D4FEE" w:rsidP="003D4FEE">
      <w:pPr>
        <w:tabs>
          <w:tab w:val="right" w:pos="900"/>
        </w:tabs>
        <w:spacing w:before="120" w:after="0" w:line="240" w:lineRule="auto"/>
        <w:jc w:val="both"/>
        <w:rPr>
          <w:rFonts w:ascii="Times New Roman" w:eastAsia="Calibri" w:hAnsi="Times New Roman" w:cs="Times New Roman"/>
          <w:bCs/>
          <w:lang w:eastAsia="hu-HU"/>
        </w:rPr>
      </w:pPr>
      <w:r w:rsidRPr="003D4FEE">
        <w:rPr>
          <w:rFonts w:ascii="Times New Roman" w:eastAsia="Calibri" w:hAnsi="Times New Roman" w:cs="Times New Roman"/>
          <w:b/>
          <w:bCs/>
          <w:lang w:eastAsia="hu-HU"/>
        </w:rPr>
        <w:t>Képességei:</w:t>
      </w:r>
      <w:r w:rsidRPr="003D4FEE">
        <w:rPr>
          <w:rFonts w:ascii="Times New Roman" w:eastAsia="Calibri" w:hAnsi="Times New Roman" w:cs="Times New Roman"/>
          <w:bCs/>
          <w:lang w:eastAsia="hu-HU"/>
        </w:rPr>
        <w:t xml:space="preserve"> </w:t>
      </w:r>
    </w:p>
    <w:p w:rsidR="003D4FEE" w:rsidRPr="003D4FEE" w:rsidRDefault="003D4FEE" w:rsidP="00980876">
      <w:pPr>
        <w:numPr>
          <w:ilvl w:val="0"/>
          <w:numId w:val="584"/>
        </w:numPr>
        <w:tabs>
          <w:tab w:val="right" w:pos="900"/>
        </w:tabs>
        <w:spacing w:after="0" w:line="240" w:lineRule="auto"/>
        <w:ind w:left="426"/>
        <w:contextualSpacing/>
        <w:jc w:val="both"/>
        <w:rPr>
          <w:rFonts w:ascii="Times New Roman" w:eastAsia="Calibri" w:hAnsi="Times New Roman" w:cs="Times New Roman"/>
          <w:bCs/>
          <w:lang w:eastAsia="hu-HU"/>
        </w:rPr>
      </w:pPr>
      <w:r w:rsidRPr="003D4FEE">
        <w:rPr>
          <w:rFonts w:ascii="Times New Roman" w:eastAsia="Calibri" w:hAnsi="Times New Roman" w:cs="Times New Roman"/>
          <w:bCs/>
          <w:lang w:eastAsia="hu-HU"/>
        </w:rPr>
        <w:t>Képes a szakterületéhez kapcsolódó NATO dokumentumok megértésére.</w:t>
      </w:r>
    </w:p>
    <w:p w:rsidR="003D4FEE" w:rsidRPr="003D4FEE" w:rsidRDefault="003D4FEE" w:rsidP="00980876">
      <w:pPr>
        <w:numPr>
          <w:ilvl w:val="0"/>
          <w:numId w:val="584"/>
        </w:numPr>
        <w:tabs>
          <w:tab w:val="right" w:pos="900"/>
        </w:tabs>
        <w:spacing w:after="0" w:line="240" w:lineRule="auto"/>
        <w:ind w:left="426"/>
        <w:contextualSpacing/>
        <w:jc w:val="both"/>
        <w:rPr>
          <w:rFonts w:ascii="Times New Roman" w:eastAsia="Calibri" w:hAnsi="Times New Roman" w:cs="Times New Roman"/>
          <w:bCs/>
          <w:lang w:eastAsia="hu-HU"/>
        </w:rPr>
      </w:pPr>
      <w:r w:rsidRPr="003D4FEE">
        <w:rPr>
          <w:rFonts w:ascii="Times New Roman" w:eastAsia="Calibri" w:hAnsi="Times New Roman" w:cs="Times New Roman"/>
          <w:bCs/>
          <w:lang w:eastAsia="hu-HU"/>
        </w:rPr>
        <w:t>Képes alkalmazni a szakterületéhez tartozó angol terminológiát</w:t>
      </w:r>
    </w:p>
    <w:p w:rsidR="003D4FEE" w:rsidRPr="003D4FEE" w:rsidRDefault="003D4FEE" w:rsidP="00980876">
      <w:pPr>
        <w:numPr>
          <w:ilvl w:val="0"/>
          <w:numId w:val="584"/>
        </w:numPr>
        <w:tabs>
          <w:tab w:val="right" w:pos="900"/>
        </w:tabs>
        <w:spacing w:after="0" w:line="240" w:lineRule="auto"/>
        <w:ind w:left="426"/>
        <w:contextualSpacing/>
        <w:jc w:val="both"/>
        <w:rPr>
          <w:rFonts w:ascii="Times New Roman" w:eastAsia="Calibri" w:hAnsi="Times New Roman" w:cs="Times New Roman"/>
          <w:bCs/>
          <w:lang w:eastAsia="hu-HU"/>
        </w:rPr>
      </w:pPr>
      <w:r w:rsidRPr="003D4FEE">
        <w:rPr>
          <w:rFonts w:ascii="Times New Roman" w:eastAsia="Calibri" w:hAnsi="Times New Roman" w:cs="Times New Roman"/>
          <w:bCs/>
          <w:lang w:eastAsia="hu-HU"/>
        </w:rPr>
        <w:t>Képes angol nyelven dokumentumokat, nyomtatványokat, jegyzőkönyveket, feljegyzéseket készíteni, valamint azokat kitölteni.</w:t>
      </w:r>
    </w:p>
    <w:p w:rsidR="003D4FEE" w:rsidRPr="003D4FEE" w:rsidRDefault="003D4FEE" w:rsidP="00980876">
      <w:pPr>
        <w:numPr>
          <w:ilvl w:val="0"/>
          <w:numId w:val="584"/>
        </w:numPr>
        <w:tabs>
          <w:tab w:val="right" w:pos="900"/>
        </w:tabs>
        <w:spacing w:after="0" w:line="240" w:lineRule="auto"/>
        <w:ind w:left="426"/>
        <w:contextualSpacing/>
        <w:jc w:val="both"/>
        <w:rPr>
          <w:rFonts w:ascii="Times New Roman" w:eastAsia="Calibri" w:hAnsi="Times New Roman" w:cs="Times New Roman"/>
          <w:bCs/>
          <w:lang w:eastAsia="hu-HU"/>
        </w:rPr>
      </w:pPr>
      <w:r w:rsidRPr="003D4FEE">
        <w:rPr>
          <w:rFonts w:ascii="Times New Roman" w:eastAsia="Calibri" w:hAnsi="Times New Roman" w:cs="Times New Roman"/>
          <w:bCs/>
          <w:lang w:eastAsia="hu-HU"/>
        </w:rPr>
        <w:t>Képes prezentációkat és eligazításokat tartani angol nyelven.</w:t>
      </w:r>
    </w:p>
    <w:p w:rsidR="003D4FEE" w:rsidRPr="003D4FEE" w:rsidRDefault="003D4FEE" w:rsidP="00980876">
      <w:pPr>
        <w:numPr>
          <w:ilvl w:val="0"/>
          <w:numId w:val="584"/>
        </w:numPr>
        <w:tabs>
          <w:tab w:val="right" w:pos="900"/>
        </w:tabs>
        <w:spacing w:after="0" w:line="240" w:lineRule="auto"/>
        <w:ind w:left="426"/>
        <w:contextualSpacing/>
        <w:jc w:val="both"/>
        <w:rPr>
          <w:rFonts w:ascii="Times New Roman" w:eastAsia="Calibri" w:hAnsi="Times New Roman" w:cs="Times New Roman"/>
          <w:bCs/>
          <w:lang w:eastAsia="hu-HU"/>
        </w:rPr>
      </w:pPr>
      <w:r w:rsidRPr="003D4FEE">
        <w:rPr>
          <w:rFonts w:ascii="Times New Roman" w:eastAsia="Calibri" w:hAnsi="Times New Roman" w:cs="Times New Roman"/>
          <w:bCs/>
          <w:lang w:eastAsia="hu-HU"/>
        </w:rPr>
        <w:lastRenderedPageBreak/>
        <w:t>Képes a szakterületéhez kapcsolódó angol nyelvű prezentációk, eligazítások és munkával kapcsolatos megbeszélések lényegét megérteni.</w:t>
      </w:r>
    </w:p>
    <w:p w:rsidR="003D4FEE" w:rsidRPr="003D4FEE" w:rsidRDefault="003D4FEE" w:rsidP="00980876">
      <w:pPr>
        <w:widowControl w:val="0"/>
        <w:numPr>
          <w:ilvl w:val="0"/>
          <w:numId w:val="584"/>
        </w:numPr>
        <w:spacing w:after="0" w:line="240" w:lineRule="auto"/>
        <w:ind w:left="426"/>
        <w:contextualSpacing/>
        <w:jc w:val="both"/>
        <w:rPr>
          <w:rFonts w:ascii="Times New Roman" w:eastAsia="Calibri" w:hAnsi="Times New Roman" w:cs="Times New Roman"/>
        </w:rPr>
      </w:pPr>
      <w:r w:rsidRPr="003D4FEE">
        <w:rPr>
          <w:rFonts w:ascii="Times New Roman" w:eastAsia="Calibri" w:hAnsi="Times New Roman" w:cs="Times New Roman"/>
        </w:rPr>
        <w:t>Képes oly mértékben folyékonyan és spontánul kommunikálni anyanyelvi beszélőkkel, hogy az nem jelent megerőltetést semelyik fél számára.</w:t>
      </w:r>
    </w:p>
    <w:p w:rsidR="003D4FEE" w:rsidRPr="003D4FEE" w:rsidRDefault="003D4FEE" w:rsidP="003D4FEE">
      <w:pPr>
        <w:tabs>
          <w:tab w:val="right" w:pos="900"/>
        </w:tabs>
        <w:spacing w:before="120" w:after="0" w:line="240" w:lineRule="auto"/>
        <w:jc w:val="both"/>
        <w:rPr>
          <w:rFonts w:ascii="Times New Roman" w:eastAsia="Calibri" w:hAnsi="Times New Roman" w:cs="Times New Roman"/>
          <w:bCs/>
          <w:lang w:eastAsia="hu-HU"/>
        </w:rPr>
      </w:pPr>
      <w:r w:rsidRPr="003D4FEE">
        <w:rPr>
          <w:rFonts w:ascii="Times New Roman" w:eastAsia="Calibri" w:hAnsi="Times New Roman" w:cs="Times New Roman"/>
          <w:b/>
          <w:bCs/>
          <w:lang w:eastAsia="hu-HU"/>
        </w:rPr>
        <w:t>Attitüdje:</w:t>
      </w:r>
      <w:r w:rsidRPr="003D4FEE">
        <w:rPr>
          <w:rFonts w:ascii="Times New Roman" w:eastAsia="Calibri" w:hAnsi="Times New Roman" w:cs="Times New Roman"/>
          <w:bCs/>
          <w:lang w:eastAsia="hu-HU"/>
        </w:rPr>
        <w:t xml:space="preserve"> </w:t>
      </w:r>
    </w:p>
    <w:p w:rsidR="003D4FEE" w:rsidRPr="003D4FEE" w:rsidRDefault="003D4FEE" w:rsidP="00980876">
      <w:pPr>
        <w:numPr>
          <w:ilvl w:val="0"/>
          <w:numId w:val="5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contextualSpacing/>
        <w:jc w:val="both"/>
        <w:rPr>
          <w:rFonts w:ascii="Times New Roman" w:eastAsia="Calibri" w:hAnsi="Times New Roman" w:cs="Times New Roman"/>
        </w:rPr>
      </w:pPr>
      <w:r w:rsidRPr="003D4FEE">
        <w:rPr>
          <w:rFonts w:ascii="Times New Roman" w:eastAsia="Calibri" w:hAnsi="Times New Roman" w:cs="Times New Roman"/>
        </w:rPr>
        <w:t>Hajlandó elsajátítani a szakterületéhez tartozó új terminológiát, igyekszik annak megértésére és használatára, és törekszik a saját szakterületén a folyamatos nyelvi vonatkozású önképzésre.</w:t>
      </w:r>
    </w:p>
    <w:p w:rsidR="003D4FEE" w:rsidRPr="003D4FEE" w:rsidRDefault="003D4FEE" w:rsidP="00980876">
      <w:pPr>
        <w:numPr>
          <w:ilvl w:val="0"/>
          <w:numId w:val="5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contextualSpacing/>
        <w:jc w:val="both"/>
        <w:rPr>
          <w:rFonts w:ascii="Times New Roman" w:eastAsia="Calibri" w:hAnsi="Times New Roman" w:cs="Times New Roman"/>
        </w:rPr>
      </w:pPr>
      <w:r w:rsidRPr="003D4FEE">
        <w:rPr>
          <w:rFonts w:ascii="Times New Roman" w:eastAsia="Calibri" w:hAnsi="Times New Roman" w:cs="Times New Roman"/>
        </w:rPr>
        <w:t>Az angol nyelv használata során pontosságra törekszik.</w:t>
      </w:r>
    </w:p>
    <w:p w:rsidR="003D4FEE" w:rsidRPr="003D4FEE" w:rsidRDefault="003D4FEE" w:rsidP="00980876">
      <w:pPr>
        <w:numPr>
          <w:ilvl w:val="0"/>
          <w:numId w:val="5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contextualSpacing/>
        <w:jc w:val="both"/>
        <w:rPr>
          <w:rFonts w:ascii="Times New Roman" w:eastAsia="Calibri" w:hAnsi="Times New Roman" w:cs="Times New Roman"/>
        </w:rPr>
      </w:pPr>
      <w:r w:rsidRPr="003D4FEE">
        <w:rPr>
          <w:rFonts w:ascii="Times New Roman" w:eastAsia="Calibri" w:hAnsi="Times New Roman" w:cs="Times New Roman"/>
        </w:rPr>
        <w:t>Nem fél vagy szégyell segítséget kérni abban az esetben, ha nehézségekkel szembesül a nyelvhasználat során.</w:t>
      </w:r>
    </w:p>
    <w:p w:rsidR="003D4FEE" w:rsidRPr="003D4FEE" w:rsidRDefault="003D4FEE" w:rsidP="00980876">
      <w:pPr>
        <w:numPr>
          <w:ilvl w:val="0"/>
          <w:numId w:val="5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contextualSpacing/>
        <w:jc w:val="both"/>
        <w:rPr>
          <w:rFonts w:ascii="Times New Roman" w:eastAsia="Calibri" w:hAnsi="Times New Roman" w:cs="Times New Roman"/>
        </w:rPr>
      </w:pPr>
      <w:r w:rsidRPr="003D4FEE">
        <w:rPr>
          <w:rFonts w:ascii="Times New Roman" w:eastAsia="Calibri" w:hAnsi="Times New Roman" w:cs="Times New Roman"/>
        </w:rPr>
        <w:t>Minden alkalmat megragad nyelvi készségeinek fejlesztésére.</w:t>
      </w:r>
    </w:p>
    <w:p w:rsidR="003D4FEE" w:rsidRPr="003D4FEE" w:rsidRDefault="003D4FEE" w:rsidP="003D4FEE">
      <w:pPr>
        <w:tabs>
          <w:tab w:val="right" w:pos="900"/>
        </w:tabs>
        <w:spacing w:before="120" w:after="0" w:line="240" w:lineRule="auto"/>
        <w:jc w:val="both"/>
        <w:rPr>
          <w:rFonts w:ascii="Times New Roman" w:eastAsia="Calibri" w:hAnsi="Times New Roman" w:cs="Times New Roman"/>
          <w:bCs/>
          <w:lang w:eastAsia="hu-HU"/>
        </w:rPr>
      </w:pPr>
      <w:r w:rsidRPr="003D4FEE">
        <w:rPr>
          <w:rFonts w:ascii="Times New Roman" w:eastAsia="Calibri" w:hAnsi="Times New Roman" w:cs="Times New Roman"/>
          <w:b/>
          <w:bCs/>
          <w:lang w:eastAsia="hu-HU"/>
        </w:rPr>
        <w:t>Autonómiája és felelőssége:</w:t>
      </w:r>
      <w:r w:rsidRPr="003D4FEE">
        <w:rPr>
          <w:rFonts w:ascii="Times New Roman" w:eastAsia="Calibri" w:hAnsi="Times New Roman" w:cs="Times New Roman"/>
          <w:bCs/>
          <w:lang w:eastAsia="hu-HU"/>
        </w:rPr>
        <w:t xml:space="preserve"> </w:t>
      </w:r>
    </w:p>
    <w:p w:rsidR="003D4FEE" w:rsidRPr="003D4FEE" w:rsidRDefault="003D4FEE" w:rsidP="00980876">
      <w:pPr>
        <w:widowControl w:val="0"/>
        <w:numPr>
          <w:ilvl w:val="0"/>
          <w:numId w:val="582"/>
        </w:numPr>
        <w:spacing w:after="0" w:line="240" w:lineRule="auto"/>
        <w:ind w:left="426"/>
        <w:contextualSpacing/>
        <w:jc w:val="both"/>
        <w:rPr>
          <w:rFonts w:ascii="Times New Roman" w:eastAsia="Calibri" w:hAnsi="Times New Roman" w:cs="Times New Roman"/>
          <w:bCs/>
        </w:rPr>
      </w:pPr>
      <w:r w:rsidRPr="003D4FEE">
        <w:rPr>
          <w:rFonts w:ascii="Times New Roman" w:eastAsia="Calibri" w:hAnsi="Times New Roman" w:cs="Times New Roman"/>
          <w:bCs/>
        </w:rPr>
        <w:t xml:space="preserve">Képes önállóan fejleszteni ismereteit a szakterülete terminológiájának területén. </w:t>
      </w:r>
    </w:p>
    <w:p w:rsidR="003D4FEE" w:rsidRPr="003D4FEE" w:rsidRDefault="003D4FEE" w:rsidP="00980876">
      <w:pPr>
        <w:widowControl w:val="0"/>
        <w:numPr>
          <w:ilvl w:val="0"/>
          <w:numId w:val="582"/>
        </w:numPr>
        <w:spacing w:after="0" w:line="240" w:lineRule="auto"/>
        <w:ind w:left="426"/>
        <w:contextualSpacing/>
        <w:jc w:val="both"/>
        <w:rPr>
          <w:rFonts w:ascii="Times New Roman" w:eastAsia="Calibri" w:hAnsi="Times New Roman" w:cs="Times New Roman"/>
          <w:bCs/>
        </w:rPr>
      </w:pPr>
      <w:r w:rsidRPr="003D4FEE">
        <w:rPr>
          <w:rFonts w:ascii="Times New Roman" w:eastAsia="Calibri" w:hAnsi="Times New Roman" w:cs="Times New Roman"/>
          <w:bCs/>
        </w:rPr>
        <w:t xml:space="preserve">Tisztában van az angol nyelven történő hatékony kommunikáció szükségességével többnemzeti környezetben. </w:t>
      </w:r>
    </w:p>
    <w:p w:rsidR="003D4FEE" w:rsidRPr="003D4FEE" w:rsidRDefault="003D4FEE" w:rsidP="00980876">
      <w:pPr>
        <w:widowControl w:val="0"/>
        <w:numPr>
          <w:ilvl w:val="0"/>
          <w:numId w:val="582"/>
        </w:numPr>
        <w:spacing w:after="0" w:line="240" w:lineRule="auto"/>
        <w:ind w:left="426"/>
        <w:contextualSpacing/>
        <w:jc w:val="both"/>
        <w:rPr>
          <w:rFonts w:ascii="Times New Roman" w:eastAsia="Calibri" w:hAnsi="Times New Roman" w:cs="Times New Roman"/>
          <w:bCs/>
        </w:rPr>
      </w:pPr>
      <w:r w:rsidRPr="003D4FEE">
        <w:rPr>
          <w:rFonts w:ascii="Times New Roman" w:eastAsia="Calibri" w:hAnsi="Times New Roman" w:cs="Times New Roman"/>
          <w:bCs/>
        </w:rPr>
        <w:t>Felelősséget vállal saját angol nyelvű szóbeli és írásbeli kommunikációjáért.</w:t>
      </w:r>
    </w:p>
    <w:p w:rsidR="003D4FEE" w:rsidRPr="003D4FEE" w:rsidRDefault="003D4FEE" w:rsidP="003D4FEE">
      <w:pPr>
        <w:tabs>
          <w:tab w:val="right" w:pos="900"/>
        </w:tabs>
        <w:spacing w:before="240" w:after="0" w:line="240" w:lineRule="auto"/>
        <w:jc w:val="both"/>
        <w:rPr>
          <w:rFonts w:ascii="Times New Roman" w:eastAsia="Calibri" w:hAnsi="Times New Roman" w:cs="Times New Roman"/>
          <w:bCs/>
          <w:lang w:val="en-GB" w:eastAsia="hu-HU"/>
        </w:rPr>
      </w:pPr>
      <w:r w:rsidRPr="003D4FEE">
        <w:rPr>
          <w:rFonts w:ascii="Times New Roman" w:eastAsia="Calibri" w:hAnsi="Times New Roman" w:cs="Times New Roman"/>
          <w:b/>
          <w:bCs/>
          <w:lang w:val="en-GB" w:eastAsia="hu-HU"/>
        </w:rPr>
        <w:t>Elérendő kompetenciák (angolul):</w:t>
      </w:r>
    </w:p>
    <w:p w:rsidR="003D4FEE" w:rsidRPr="003D4FEE" w:rsidRDefault="003D4FEE" w:rsidP="003D4FEE">
      <w:pPr>
        <w:spacing w:before="120" w:after="0"/>
        <w:rPr>
          <w:rFonts w:ascii="Times New Roman" w:eastAsia="Calibri" w:hAnsi="Times New Roman" w:cs="Times New Roman"/>
          <w:bCs/>
          <w:lang w:val="en-GB" w:eastAsia="hu-HU"/>
        </w:rPr>
      </w:pPr>
      <w:r w:rsidRPr="003D4FEE">
        <w:rPr>
          <w:rFonts w:ascii="Times New Roman" w:eastAsia="Calibri" w:hAnsi="Times New Roman" w:cs="Times New Roman"/>
          <w:b/>
          <w:bCs/>
          <w:lang w:val="en-GB" w:eastAsia="hu-HU"/>
        </w:rPr>
        <w:t>Knowledge:</w:t>
      </w:r>
      <w:r w:rsidRPr="003D4FEE">
        <w:rPr>
          <w:rFonts w:ascii="Times New Roman" w:eastAsia="Calibri" w:hAnsi="Times New Roman" w:cs="Times New Roman"/>
          <w:bCs/>
          <w:lang w:val="en-GB" w:eastAsia="hu-HU"/>
        </w:rPr>
        <w:t xml:space="preserve"> </w:t>
      </w:r>
    </w:p>
    <w:p w:rsidR="003D4FEE" w:rsidRPr="003D4FEE" w:rsidRDefault="003D4FEE" w:rsidP="00980876">
      <w:pPr>
        <w:numPr>
          <w:ilvl w:val="0"/>
          <w:numId w:val="586"/>
        </w:numPr>
        <w:spacing w:after="0" w:line="240" w:lineRule="auto"/>
        <w:ind w:left="426"/>
        <w:contextualSpacing/>
        <w:jc w:val="both"/>
        <w:rPr>
          <w:rFonts w:ascii="Times New Roman" w:eastAsia="Calibri" w:hAnsi="Times New Roman" w:cs="Times New Roman"/>
          <w:lang w:val="en-GB"/>
        </w:rPr>
      </w:pPr>
      <w:r w:rsidRPr="003D4FEE">
        <w:rPr>
          <w:rFonts w:ascii="Times New Roman" w:eastAsia="Calibri" w:hAnsi="Times New Roman" w:cs="Times New Roman"/>
          <w:lang w:val="en-GB"/>
        </w:rPr>
        <w:t>Possesses the basic vocabulary to describe the basic procedures and features of the battle   carried out by combined arms, the combat service (CS) and combat service support (CSS) tasks, the battle procedures and organizational structures of the military services, branches and specific units.</w:t>
      </w:r>
    </w:p>
    <w:p w:rsidR="003D4FEE" w:rsidRPr="003D4FEE" w:rsidRDefault="003D4FEE" w:rsidP="00980876">
      <w:pPr>
        <w:numPr>
          <w:ilvl w:val="0"/>
          <w:numId w:val="586"/>
        </w:numPr>
        <w:spacing w:after="0" w:line="240" w:lineRule="auto"/>
        <w:ind w:left="426"/>
        <w:contextualSpacing/>
        <w:jc w:val="both"/>
        <w:rPr>
          <w:rFonts w:ascii="Times New Roman" w:eastAsia="Calibri" w:hAnsi="Times New Roman" w:cs="Times New Roman"/>
          <w:lang w:val="en-GB"/>
        </w:rPr>
      </w:pPr>
      <w:r w:rsidRPr="003D4FEE">
        <w:rPr>
          <w:rFonts w:ascii="Times New Roman" w:eastAsia="Calibri" w:hAnsi="Times New Roman" w:cs="Times New Roman"/>
          <w:lang w:val="en-GB"/>
        </w:rPr>
        <w:t>Knows the grammatical structures to describe the basic procedures and features of the battle carried out by combined arms, the combat service (CS) and combat service support (CSS) tasks, the battle procedures and organizational structures of the military services, branches and specific units.</w:t>
      </w:r>
    </w:p>
    <w:p w:rsidR="003D4FEE" w:rsidRPr="003D4FEE" w:rsidRDefault="003D4FEE" w:rsidP="00980876">
      <w:pPr>
        <w:numPr>
          <w:ilvl w:val="0"/>
          <w:numId w:val="586"/>
        </w:numPr>
        <w:spacing w:after="0" w:line="240" w:lineRule="auto"/>
        <w:ind w:left="426"/>
        <w:contextualSpacing/>
        <w:jc w:val="both"/>
        <w:rPr>
          <w:rFonts w:ascii="Times New Roman" w:eastAsia="Calibri" w:hAnsi="Times New Roman" w:cs="Times New Roman"/>
          <w:lang w:val="en-GB"/>
        </w:rPr>
      </w:pPr>
      <w:r w:rsidRPr="003D4FEE">
        <w:rPr>
          <w:rFonts w:ascii="Times New Roman" w:eastAsia="Calibri" w:hAnsi="Times New Roman" w:cs="Times New Roman"/>
          <w:lang w:val="en-GB"/>
        </w:rPr>
        <w:t>Has an adequate knowledge of the English terminology to understand NATO documents.</w:t>
      </w:r>
    </w:p>
    <w:p w:rsidR="003D4FEE" w:rsidRPr="003D4FEE" w:rsidRDefault="003D4FEE" w:rsidP="00980876">
      <w:pPr>
        <w:numPr>
          <w:ilvl w:val="0"/>
          <w:numId w:val="586"/>
        </w:numPr>
        <w:spacing w:after="0" w:line="240" w:lineRule="auto"/>
        <w:ind w:left="426"/>
        <w:contextualSpacing/>
        <w:jc w:val="both"/>
        <w:rPr>
          <w:rFonts w:ascii="Times New Roman" w:eastAsia="Calibri" w:hAnsi="Times New Roman" w:cs="Times New Roman"/>
          <w:lang w:val="en-GB"/>
        </w:rPr>
      </w:pPr>
      <w:r w:rsidRPr="003D4FEE">
        <w:rPr>
          <w:rFonts w:ascii="Times New Roman" w:eastAsia="Calibri" w:hAnsi="Times New Roman" w:cs="Times New Roman"/>
          <w:lang w:val="en-GB"/>
        </w:rPr>
        <w:t>Is familiar with the English terminology to describe Peace Support Operations, the tasks of the Hungarian Defence Forces in peace operations and the basic peacekeeping procedures.</w:t>
      </w:r>
    </w:p>
    <w:p w:rsidR="003D4FEE" w:rsidRPr="003D4FEE" w:rsidRDefault="003D4FEE" w:rsidP="003D4FEE">
      <w:pPr>
        <w:tabs>
          <w:tab w:val="right" w:pos="900"/>
        </w:tabs>
        <w:spacing w:before="120" w:after="0" w:line="240" w:lineRule="auto"/>
        <w:jc w:val="both"/>
        <w:rPr>
          <w:rFonts w:ascii="Times New Roman" w:eastAsia="Calibri" w:hAnsi="Times New Roman" w:cs="Times New Roman"/>
          <w:b/>
          <w:bCs/>
          <w:lang w:val="en-GB" w:eastAsia="hu-HU"/>
        </w:rPr>
      </w:pPr>
      <w:r w:rsidRPr="003D4FEE">
        <w:rPr>
          <w:rFonts w:ascii="Times New Roman" w:eastAsia="Calibri" w:hAnsi="Times New Roman" w:cs="Times New Roman"/>
          <w:b/>
          <w:bCs/>
          <w:lang w:val="en-GB" w:eastAsia="hu-HU"/>
        </w:rPr>
        <w:t>Capabilities:</w:t>
      </w:r>
    </w:p>
    <w:p w:rsidR="003D4FEE" w:rsidRPr="003D4FEE" w:rsidRDefault="003D4FEE" w:rsidP="00980876">
      <w:pPr>
        <w:numPr>
          <w:ilvl w:val="0"/>
          <w:numId w:val="581"/>
        </w:numPr>
        <w:tabs>
          <w:tab w:val="right" w:pos="900"/>
        </w:tabs>
        <w:spacing w:after="0" w:line="240" w:lineRule="auto"/>
        <w:ind w:left="426"/>
        <w:contextualSpacing/>
        <w:jc w:val="both"/>
        <w:rPr>
          <w:rFonts w:ascii="Times New Roman" w:eastAsia="Calibri" w:hAnsi="Times New Roman" w:cs="Times New Roman"/>
          <w:bCs/>
          <w:lang w:val="en-GB" w:eastAsia="hu-HU"/>
        </w:rPr>
      </w:pPr>
      <w:r w:rsidRPr="003D4FEE">
        <w:rPr>
          <w:rFonts w:ascii="Times New Roman" w:eastAsia="Calibri" w:hAnsi="Times New Roman" w:cs="Times New Roman"/>
          <w:bCs/>
          <w:lang w:val="en-GB" w:eastAsia="hu-HU"/>
        </w:rPr>
        <w:t>Capable of understanding NATO documents related to his/her specialization.</w:t>
      </w:r>
    </w:p>
    <w:p w:rsidR="003D4FEE" w:rsidRPr="003D4FEE" w:rsidRDefault="003D4FEE" w:rsidP="00980876">
      <w:pPr>
        <w:numPr>
          <w:ilvl w:val="0"/>
          <w:numId w:val="581"/>
        </w:numPr>
        <w:tabs>
          <w:tab w:val="right" w:pos="900"/>
        </w:tabs>
        <w:spacing w:after="0" w:line="240" w:lineRule="auto"/>
        <w:ind w:left="426"/>
        <w:contextualSpacing/>
        <w:jc w:val="both"/>
        <w:rPr>
          <w:rFonts w:ascii="Times New Roman" w:eastAsia="Calibri" w:hAnsi="Times New Roman" w:cs="Times New Roman"/>
          <w:bCs/>
          <w:lang w:val="en-GB" w:eastAsia="hu-HU"/>
        </w:rPr>
      </w:pPr>
      <w:r w:rsidRPr="003D4FEE">
        <w:rPr>
          <w:rFonts w:ascii="Times New Roman" w:eastAsia="Calibri" w:hAnsi="Times New Roman" w:cs="Times New Roman"/>
          <w:bCs/>
          <w:lang w:val="en-GB" w:eastAsia="hu-HU"/>
        </w:rPr>
        <w:t>Capable of using the professional terminology in English.</w:t>
      </w:r>
    </w:p>
    <w:p w:rsidR="003D4FEE" w:rsidRPr="003D4FEE" w:rsidRDefault="003D4FEE" w:rsidP="00980876">
      <w:pPr>
        <w:numPr>
          <w:ilvl w:val="0"/>
          <w:numId w:val="581"/>
        </w:numPr>
        <w:tabs>
          <w:tab w:val="right" w:pos="900"/>
        </w:tabs>
        <w:spacing w:after="0" w:line="240" w:lineRule="auto"/>
        <w:ind w:left="426"/>
        <w:contextualSpacing/>
        <w:jc w:val="both"/>
        <w:rPr>
          <w:rFonts w:ascii="Times New Roman" w:eastAsia="Calibri" w:hAnsi="Times New Roman" w:cs="Times New Roman"/>
          <w:bCs/>
          <w:lang w:val="en-GB" w:eastAsia="hu-HU"/>
        </w:rPr>
      </w:pPr>
      <w:r w:rsidRPr="003D4FEE">
        <w:rPr>
          <w:rFonts w:ascii="Times New Roman" w:eastAsia="Calibri" w:hAnsi="Times New Roman" w:cs="Times New Roman"/>
          <w:bCs/>
          <w:lang w:val="en-GB" w:eastAsia="hu-HU"/>
        </w:rPr>
        <w:t>Capable of preparing documents, forms, minutes, notes and memos and completing documents in English.</w:t>
      </w:r>
    </w:p>
    <w:p w:rsidR="003D4FEE" w:rsidRPr="003D4FEE" w:rsidRDefault="003D4FEE" w:rsidP="00980876">
      <w:pPr>
        <w:numPr>
          <w:ilvl w:val="0"/>
          <w:numId w:val="581"/>
        </w:numPr>
        <w:tabs>
          <w:tab w:val="right" w:pos="900"/>
        </w:tabs>
        <w:spacing w:after="0" w:line="240" w:lineRule="auto"/>
        <w:ind w:left="426"/>
        <w:contextualSpacing/>
        <w:jc w:val="both"/>
        <w:rPr>
          <w:rFonts w:ascii="Times New Roman" w:eastAsia="Calibri" w:hAnsi="Times New Roman" w:cs="Times New Roman"/>
          <w:bCs/>
          <w:lang w:val="en-GB" w:eastAsia="hu-HU"/>
        </w:rPr>
      </w:pPr>
      <w:r w:rsidRPr="003D4FEE">
        <w:rPr>
          <w:rFonts w:ascii="Times New Roman" w:eastAsia="Calibri" w:hAnsi="Times New Roman" w:cs="Times New Roman"/>
          <w:bCs/>
          <w:lang w:val="en-GB" w:eastAsia="hu-HU"/>
        </w:rPr>
        <w:t>Capable of verbal and written work-related communication in English.</w:t>
      </w:r>
    </w:p>
    <w:p w:rsidR="003D4FEE" w:rsidRPr="003D4FEE" w:rsidRDefault="003D4FEE" w:rsidP="00980876">
      <w:pPr>
        <w:numPr>
          <w:ilvl w:val="0"/>
          <w:numId w:val="581"/>
        </w:numPr>
        <w:tabs>
          <w:tab w:val="right" w:pos="900"/>
        </w:tabs>
        <w:spacing w:after="0" w:line="240" w:lineRule="auto"/>
        <w:ind w:left="426"/>
        <w:contextualSpacing/>
        <w:jc w:val="both"/>
        <w:rPr>
          <w:rFonts w:ascii="Times New Roman" w:eastAsia="Calibri" w:hAnsi="Times New Roman" w:cs="Times New Roman"/>
          <w:bCs/>
          <w:lang w:val="en-GB" w:eastAsia="hu-HU"/>
        </w:rPr>
      </w:pPr>
      <w:r w:rsidRPr="003D4FEE">
        <w:rPr>
          <w:rFonts w:ascii="Times New Roman" w:eastAsia="Calibri" w:hAnsi="Times New Roman" w:cs="Times New Roman"/>
          <w:bCs/>
          <w:lang w:val="en-GB" w:eastAsia="hu-HU"/>
        </w:rPr>
        <w:t>Capable of preparing presentations and giving briefings in English.</w:t>
      </w:r>
    </w:p>
    <w:p w:rsidR="003D4FEE" w:rsidRPr="003D4FEE" w:rsidRDefault="003D4FEE" w:rsidP="00980876">
      <w:pPr>
        <w:numPr>
          <w:ilvl w:val="0"/>
          <w:numId w:val="581"/>
        </w:numPr>
        <w:tabs>
          <w:tab w:val="right" w:pos="900"/>
        </w:tabs>
        <w:spacing w:after="0" w:line="240" w:lineRule="auto"/>
        <w:ind w:left="426"/>
        <w:contextualSpacing/>
        <w:jc w:val="both"/>
        <w:rPr>
          <w:rFonts w:ascii="Times New Roman" w:eastAsia="Calibri" w:hAnsi="Times New Roman" w:cs="Times New Roman"/>
          <w:bCs/>
          <w:lang w:val="en-GB" w:eastAsia="hu-HU"/>
        </w:rPr>
      </w:pPr>
      <w:r w:rsidRPr="003D4FEE">
        <w:rPr>
          <w:rFonts w:ascii="Times New Roman" w:eastAsia="Calibri" w:hAnsi="Times New Roman" w:cs="Times New Roman"/>
          <w:bCs/>
          <w:lang w:val="en-GB" w:eastAsia="hu-HU"/>
        </w:rPr>
        <w:t>Capable of understanding the main ideas of presentations, briefings and work-related discussions in his/her specialization.</w:t>
      </w:r>
    </w:p>
    <w:p w:rsidR="003D4FEE" w:rsidRPr="003D4FEE" w:rsidRDefault="003D4FEE" w:rsidP="00980876">
      <w:pPr>
        <w:numPr>
          <w:ilvl w:val="0"/>
          <w:numId w:val="581"/>
        </w:numPr>
        <w:tabs>
          <w:tab w:val="right" w:pos="900"/>
        </w:tabs>
        <w:spacing w:after="0" w:line="240" w:lineRule="auto"/>
        <w:ind w:left="426"/>
        <w:contextualSpacing/>
        <w:jc w:val="both"/>
        <w:rPr>
          <w:rFonts w:ascii="Times New Roman" w:eastAsia="Calibri" w:hAnsi="Times New Roman" w:cs="Times New Roman"/>
          <w:bCs/>
          <w:lang w:val="en-GB" w:eastAsia="hu-HU"/>
        </w:rPr>
      </w:pPr>
      <w:r w:rsidRPr="003D4FEE">
        <w:rPr>
          <w:rFonts w:ascii="Times New Roman" w:eastAsia="Calibri" w:hAnsi="Times New Roman" w:cs="Times New Roman"/>
          <w:bCs/>
          <w:lang w:val="en-GB" w:eastAsia="hu-HU"/>
        </w:rPr>
        <w:t>Capable of interacting with a degree of fluency and spontaneity that makes regular interaction with native speakers quite possible without strain for either party.</w:t>
      </w:r>
    </w:p>
    <w:p w:rsidR="003D4FEE" w:rsidRPr="003D4FEE" w:rsidRDefault="003D4FEE" w:rsidP="003D4FEE">
      <w:pPr>
        <w:tabs>
          <w:tab w:val="right" w:pos="900"/>
        </w:tabs>
        <w:spacing w:before="120" w:after="0" w:line="240" w:lineRule="auto"/>
        <w:jc w:val="both"/>
        <w:rPr>
          <w:rFonts w:ascii="Times New Roman" w:eastAsia="Calibri" w:hAnsi="Times New Roman" w:cs="Times New Roman"/>
          <w:bCs/>
          <w:lang w:val="en-GB" w:eastAsia="hu-HU"/>
        </w:rPr>
      </w:pPr>
      <w:r w:rsidRPr="003D4FEE">
        <w:rPr>
          <w:rFonts w:ascii="Times New Roman" w:eastAsia="Calibri" w:hAnsi="Times New Roman" w:cs="Times New Roman"/>
          <w:b/>
          <w:bCs/>
          <w:lang w:val="en-GB" w:eastAsia="hu-HU"/>
        </w:rPr>
        <w:t>Attitude:</w:t>
      </w:r>
      <w:r w:rsidRPr="003D4FEE">
        <w:rPr>
          <w:rFonts w:ascii="Times New Roman" w:eastAsia="Calibri" w:hAnsi="Times New Roman" w:cs="Times New Roman"/>
          <w:bCs/>
          <w:lang w:val="en-GB" w:eastAsia="hu-HU"/>
        </w:rPr>
        <w:t xml:space="preserve"> </w:t>
      </w:r>
    </w:p>
    <w:p w:rsidR="003D4FEE" w:rsidRPr="003D4FEE" w:rsidRDefault="003D4FEE" w:rsidP="00980876">
      <w:pPr>
        <w:numPr>
          <w:ilvl w:val="0"/>
          <w:numId w:val="580"/>
        </w:numPr>
        <w:spacing w:after="0" w:line="240" w:lineRule="auto"/>
        <w:ind w:left="426"/>
        <w:contextualSpacing/>
        <w:jc w:val="both"/>
        <w:rPr>
          <w:rFonts w:ascii="Times New Roman" w:eastAsia="Calibri" w:hAnsi="Times New Roman" w:cs="Times New Roman"/>
          <w:lang w:val="en-GB"/>
        </w:rPr>
      </w:pPr>
      <w:r w:rsidRPr="003D4FEE">
        <w:rPr>
          <w:rFonts w:ascii="Times New Roman" w:eastAsia="Calibri" w:hAnsi="Times New Roman" w:cs="Times New Roman"/>
          <w:lang w:val="en-GB"/>
        </w:rPr>
        <w:t>Is willing to learn the new terminology in his/her specialization, strives to understand and use it, and is committed to continuous self-education in his/her specialization.</w:t>
      </w:r>
    </w:p>
    <w:p w:rsidR="003D4FEE" w:rsidRPr="003D4FEE" w:rsidRDefault="003D4FEE" w:rsidP="00980876">
      <w:pPr>
        <w:numPr>
          <w:ilvl w:val="0"/>
          <w:numId w:val="580"/>
        </w:numPr>
        <w:spacing w:after="0" w:line="240" w:lineRule="auto"/>
        <w:ind w:left="426"/>
        <w:contextualSpacing/>
        <w:jc w:val="both"/>
        <w:rPr>
          <w:rFonts w:ascii="Times New Roman" w:eastAsia="Calibri" w:hAnsi="Times New Roman" w:cs="Times New Roman"/>
          <w:lang w:val="en-GB"/>
        </w:rPr>
      </w:pPr>
      <w:r w:rsidRPr="003D4FEE">
        <w:rPr>
          <w:rFonts w:ascii="Times New Roman" w:eastAsia="Calibri" w:hAnsi="Times New Roman" w:cs="Times New Roman"/>
          <w:lang w:val="en-GB"/>
        </w:rPr>
        <w:t>Is committed to accuracy when using the English language at work.</w:t>
      </w:r>
    </w:p>
    <w:p w:rsidR="003D4FEE" w:rsidRPr="003D4FEE" w:rsidRDefault="003D4FEE" w:rsidP="00980876">
      <w:pPr>
        <w:numPr>
          <w:ilvl w:val="0"/>
          <w:numId w:val="580"/>
        </w:numPr>
        <w:spacing w:after="0" w:line="240" w:lineRule="auto"/>
        <w:ind w:left="426"/>
        <w:contextualSpacing/>
        <w:jc w:val="both"/>
        <w:rPr>
          <w:rFonts w:ascii="Times New Roman" w:eastAsia="Calibri" w:hAnsi="Times New Roman" w:cs="Times New Roman"/>
          <w:lang w:val="en-GB"/>
        </w:rPr>
      </w:pPr>
      <w:r w:rsidRPr="003D4FEE">
        <w:rPr>
          <w:rFonts w:ascii="Times New Roman" w:eastAsia="Calibri" w:hAnsi="Times New Roman" w:cs="Times New Roman"/>
          <w:lang w:val="en-GB"/>
        </w:rPr>
        <w:t>Is not afraid or embarrassed to seek help when he/she faces problems with the English language.</w:t>
      </w:r>
    </w:p>
    <w:p w:rsidR="003D4FEE" w:rsidRPr="003D4FEE" w:rsidRDefault="003D4FEE" w:rsidP="00980876">
      <w:pPr>
        <w:numPr>
          <w:ilvl w:val="0"/>
          <w:numId w:val="580"/>
        </w:numPr>
        <w:spacing w:after="0" w:line="240" w:lineRule="auto"/>
        <w:ind w:left="426"/>
        <w:contextualSpacing/>
        <w:jc w:val="both"/>
        <w:rPr>
          <w:rFonts w:ascii="Times New Roman" w:eastAsia="Calibri" w:hAnsi="Times New Roman" w:cs="Times New Roman"/>
          <w:lang w:val="en-GB"/>
        </w:rPr>
      </w:pPr>
      <w:r w:rsidRPr="003D4FEE">
        <w:rPr>
          <w:rFonts w:ascii="Times New Roman" w:eastAsia="Calibri" w:hAnsi="Times New Roman" w:cs="Times New Roman"/>
          <w:lang w:val="en-GB"/>
        </w:rPr>
        <w:t>Takes every opportunity to improve his/her knowledge of English.</w:t>
      </w:r>
    </w:p>
    <w:p w:rsidR="003D4FEE" w:rsidRPr="003D4FEE" w:rsidRDefault="003D4FEE" w:rsidP="003D4FEE">
      <w:pPr>
        <w:tabs>
          <w:tab w:val="right" w:pos="900"/>
        </w:tabs>
        <w:spacing w:before="120" w:after="0" w:line="240" w:lineRule="auto"/>
        <w:jc w:val="both"/>
        <w:rPr>
          <w:rFonts w:ascii="Times New Roman" w:eastAsia="Calibri" w:hAnsi="Times New Roman" w:cs="Times New Roman"/>
          <w:bCs/>
          <w:lang w:val="en-GB" w:eastAsia="hu-HU"/>
        </w:rPr>
      </w:pPr>
      <w:r w:rsidRPr="003D4FEE">
        <w:rPr>
          <w:rFonts w:ascii="Times New Roman" w:eastAsia="Calibri" w:hAnsi="Times New Roman" w:cs="Times New Roman"/>
          <w:b/>
          <w:bCs/>
          <w:lang w:val="en-GB" w:eastAsia="hu-HU"/>
        </w:rPr>
        <w:t>Autonomy and responsibility:</w:t>
      </w:r>
      <w:r w:rsidRPr="003D4FEE">
        <w:rPr>
          <w:rFonts w:ascii="Times New Roman" w:eastAsia="Calibri" w:hAnsi="Times New Roman" w:cs="Times New Roman"/>
          <w:bCs/>
          <w:lang w:val="en-GB" w:eastAsia="hu-HU"/>
        </w:rPr>
        <w:t xml:space="preserve"> </w:t>
      </w:r>
    </w:p>
    <w:p w:rsidR="003D4FEE" w:rsidRPr="003D4FEE" w:rsidRDefault="003D4FEE" w:rsidP="00980876">
      <w:pPr>
        <w:numPr>
          <w:ilvl w:val="0"/>
          <w:numId w:val="579"/>
        </w:numPr>
        <w:spacing w:after="0" w:line="240" w:lineRule="auto"/>
        <w:ind w:left="426"/>
        <w:contextualSpacing/>
        <w:jc w:val="both"/>
        <w:rPr>
          <w:rFonts w:ascii="Times New Roman" w:eastAsia="Calibri" w:hAnsi="Times New Roman" w:cs="Times New Roman"/>
          <w:lang w:val="en-GB"/>
        </w:rPr>
      </w:pPr>
      <w:r w:rsidRPr="003D4FEE">
        <w:rPr>
          <w:rFonts w:ascii="Times New Roman" w:eastAsia="Calibri" w:hAnsi="Times New Roman" w:cs="Times New Roman"/>
          <w:lang w:val="en-GB"/>
        </w:rPr>
        <w:t>Able to autonomously improve his/her knowledge of the terminology</w:t>
      </w:r>
    </w:p>
    <w:p w:rsidR="003D4FEE" w:rsidRPr="003D4FEE" w:rsidRDefault="003D4FEE" w:rsidP="00980876">
      <w:pPr>
        <w:numPr>
          <w:ilvl w:val="0"/>
          <w:numId w:val="579"/>
        </w:numPr>
        <w:spacing w:after="0" w:line="240" w:lineRule="auto"/>
        <w:ind w:left="426"/>
        <w:contextualSpacing/>
        <w:jc w:val="both"/>
        <w:rPr>
          <w:rFonts w:ascii="Times New Roman" w:eastAsia="Calibri" w:hAnsi="Times New Roman" w:cs="Times New Roman"/>
          <w:lang w:val="en-GB"/>
        </w:rPr>
      </w:pPr>
      <w:r w:rsidRPr="003D4FEE">
        <w:rPr>
          <w:rFonts w:ascii="Times New Roman" w:eastAsia="Calibri" w:hAnsi="Times New Roman" w:cs="Times New Roman"/>
          <w:lang w:val="en-GB"/>
        </w:rPr>
        <w:t xml:space="preserve">Aware of the importance of being able to effectively communicate in English in a multinational environment </w:t>
      </w:r>
    </w:p>
    <w:p w:rsidR="003D4FEE" w:rsidRPr="003D4FEE" w:rsidRDefault="003D4FEE" w:rsidP="00980876">
      <w:pPr>
        <w:numPr>
          <w:ilvl w:val="0"/>
          <w:numId w:val="579"/>
        </w:numPr>
        <w:spacing w:after="360" w:line="240" w:lineRule="auto"/>
        <w:ind w:left="426"/>
        <w:contextualSpacing/>
        <w:jc w:val="both"/>
        <w:rPr>
          <w:rFonts w:ascii="Times New Roman" w:eastAsia="Calibri" w:hAnsi="Times New Roman" w:cs="Times New Roman"/>
          <w:lang w:val="en-GB"/>
        </w:rPr>
      </w:pPr>
      <w:r w:rsidRPr="003D4FEE">
        <w:rPr>
          <w:rFonts w:ascii="Times New Roman" w:eastAsia="Calibri" w:hAnsi="Times New Roman" w:cs="Times New Roman"/>
          <w:lang w:val="en-GB"/>
        </w:rPr>
        <w:t>Takes responsibility for his/her written/verbal communication in English.</w:t>
      </w:r>
    </w:p>
    <w:p w:rsidR="003D4FEE" w:rsidRPr="003D4FEE" w:rsidRDefault="003D4FEE" w:rsidP="003D4FEE">
      <w:pPr>
        <w:spacing w:after="360" w:line="240" w:lineRule="auto"/>
        <w:ind w:left="426"/>
        <w:contextualSpacing/>
        <w:jc w:val="both"/>
        <w:rPr>
          <w:rFonts w:ascii="Times New Roman" w:eastAsia="Calibri" w:hAnsi="Times New Roman" w:cs="Times New Roman"/>
          <w:lang w:val="en-GB"/>
        </w:rPr>
      </w:pPr>
    </w:p>
    <w:p w:rsidR="003D4FEE" w:rsidRPr="003D4FEE" w:rsidRDefault="003D4FEE" w:rsidP="00980876">
      <w:pPr>
        <w:numPr>
          <w:ilvl w:val="0"/>
          <w:numId w:val="842"/>
        </w:numPr>
        <w:spacing w:before="120" w:after="120" w:line="276" w:lineRule="auto"/>
        <w:contextualSpacing/>
        <w:rPr>
          <w:rFonts w:ascii="Times New Roman" w:eastAsia="Calibri" w:hAnsi="Times New Roman" w:cs="Times New Roman"/>
          <w:bCs/>
          <w:lang w:eastAsia="hu-HU"/>
        </w:rPr>
      </w:pPr>
      <w:r w:rsidRPr="003D4FEE">
        <w:rPr>
          <w:rFonts w:ascii="Times New Roman" w:eastAsia="Calibri" w:hAnsi="Times New Roman" w:cs="Times New Roman"/>
          <w:b/>
          <w:bCs/>
          <w:lang w:eastAsia="hu-HU"/>
        </w:rPr>
        <w:t>Előtanulmányi követelmények:</w:t>
      </w:r>
      <w:r w:rsidRPr="003D4FEE">
        <w:rPr>
          <w:rFonts w:ascii="Times New Roman" w:eastAsia="Calibri" w:hAnsi="Times New Roman" w:cs="Times New Roman"/>
          <w:bCs/>
          <w:lang w:eastAsia="hu-HU"/>
        </w:rPr>
        <w:t xml:space="preserve"> -</w:t>
      </w:r>
    </w:p>
    <w:p w:rsidR="003D4FEE" w:rsidRPr="003D4FEE" w:rsidRDefault="003D4FEE" w:rsidP="00980876">
      <w:pPr>
        <w:widowControl w:val="0"/>
        <w:numPr>
          <w:ilvl w:val="0"/>
          <w:numId w:val="842"/>
        </w:numPr>
        <w:spacing w:before="120" w:after="120" w:line="240" w:lineRule="auto"/>
        <w:jc w:val="both"/>
        <w:rPr>
          <w:rFonts w:ascii="Times New Roman" w:eastAsia="Calibri" w:hAnsi="Times New Roman" w:cs="Times New Roman"/>
          <w:b/>
          <w:bCs/>
        </w:rPr>
      </w:pPr>
      <w:r w:rsidRPr="003D4FEE">
        <w:rPr>
          <w:rFonts w:ascii="Times New Roman" w:eastAsia="Calibri" w:hAnsi="Times New Roman" w:cs="Times New Roman"/>
          <w:b/>
          <w:bCs/>
        </w:rPr>
        <w:t>A tantárgy tananyagának leírása, tematika. Description of the subject, curriculum (magyarul, angolul - English):</w:t>
      </w:r>
    </w:p>
    <w:p w:rsidR="003D4FEE" w:rsidRPr="003D4FEE" w:rsidRDefault="003D4FEE" w:rsidP="00980876">
      <w:pPr>
        <w:numPr>
          <w:ilvl w:val="1"/>
          <w:numId w:val="842"/>
        </w:numPr>
        <w:spacing w:before="120" w:after="0" w:line="240" w:lineRule="auto"/>
        <w:ind w:left="993" w:hanging="633"/>
        <w:contextualSpacing/>
        <w:jc w:val="both"/>
        <w:rPr>
          <w:rFonts w:ascii="Times New Roman" w:eastAsia="Calibri" w:hAnsi="Times New Roman" w:cs="Times New Roman"/>
        </w:rPr>
      </w:pPr>
      <w:r w:rsidRPr="003D4FEE">
        <w:rPr>
          <w:rFonts w:ascii="Times New Roman" w:eastAsia="Calibri" w:hAnsi="Times New Roman" w:cs="Times New Roman"/>
        </w:rPr>
        <w:t>Migrációs válság Európában (Migration crisis)</w:t>
      </w:r>
    </w:p>
    <w:p w:rsidR="003D4FEE" w:rsidRPr="003D4FEE" w:rsidRDefault="003D4FEE" w:rsidP="00980876">
      <w:pPr>
        <w:numPr>
          <w:ilvl w:val="1"/>
          <w:numId w:val="842"/>
        </w:numPr>
        <w:spacing w:before="120" w:after="0" w:line="240" w:lineRule="auto"/>
        <w:ind w:left="993" w:hanging="633"/>
        <w:contextualSpacing/>
        <w:jc w:val="both"/>
        <w:rPr>
          <w:rFonts w:ascii="Times New Roman" w:eastAsia="Calibri" w:hAnsi="Times New Roman" w:cs="Times New Roman"/>
        </w:rPr>
      </w:pPr>
      <w:r w:rsidRPr="003D4FEE">
        <w:rPr>
          <w:rFonts w:ascii="Times New Roman" w:eastAsia="Calibri" w:hAnsi="Times New Roman" w:cs="Times New Roman"/>
        </w:rPr>
        <w:t>Nem-katonai kihívások (Non-Military challanges)</w:t>
      </w:r>
    </w:p>
    <w:p w:rsidR="003D4FEE" w:rsidRPr="003D4FEE" w:rsidRDefault="003D4FEE" w:rsidP="00980876">
      <w:pPr>
        <w:numPr>
          <w:ilvl w:val="1"/>
          <w:numId w:val="842"/>
        </w:numPr>
        <w:spacing w:before="120" w:after="0" w:line="240" w:lineRule="auto"/>
        <w:ind w:left="993" w:hanging="633"/>
        <w:contextualSpacing/>
        <w:jc w:val="both"/>
        <w:rPr>
          <w:rFonts w:ascii="Times New Roman" w:eastAsia="Calibri" w:hAnsi="Times New Roman" w:cs="Times New Roman"/>
        </w:rPr>
      </w:pPr>
      <w:r w:rsidRPr="003D4FEE">
        <w:rPr>
          <w:rFonts w:ascii="Times New Roman" w:eastAsia="Calibri" w:hAnsi="Times New Roman" w:cs="Times New Roman"/>
        </w:rPr>
        <w:t>Konfliktus- és válságkezelés (Conflict crises management)</w:t>
      </w:r>
    </w:p>
    <w:p w:rsidR="003D4FEE" w:rsidRPr="003D4FEE" w:rsidRDefault="003D4FEE" w:rsidP="00980876">
      <w:pPr>
        <w:numPr>
          <w:ilvl w:val="1"/>
          <w:numId w:val="842"/>
        </w:numPr>
        <w:spacing w:before="120" w:after="0" w:line="240" w:lineRule="auto"/>
        <w:ind w:left="993" w:hanging="633"/>
        <w:contextualSpacing/>
        <w:jc w:val="both"/>
        <w:rPr>
          <w:rFonts w:ascii="Times New Roman" w:eastAsia="Calibri" w:hAnsi="Times New Roman" w:cs="Times New Roman"/>
        </w:rPr>
      </w:pPr>
      <w:r w:rsidRPr="003D4FEE">
        <w:rPr>
          <w:rFonts w:ascii="Times New Roman" w:eastAsia="Calibri" w:hAnsi="Times New Roman" w:cs="Times New Roman"/>
        </w:rPr>
        <w:t>Katonai technológiai fejlesztések (Development of military)</w:t>
      </w:r>
    </w:p>
    <w:p w:rsidR="003D4FEE" w:rsidRPr="003D4FEE" w:rsidRDefault="003D4FEE" w:rsidP="00980876">
      <w:pPr>
        <w:numPr>
          <w:ilvl w:val="1"/>
          <w:numId w:val="842"/>
        </w:numPr>
        <w:spacing w:before="120" w:after="0" w:line="240" w:lineRule="auto"/>
        <w:ind w:left="993" w:hanging="633"/>
        <w:contextualSpacing/>
        <w:jc w:val="both"/>
        <w:rPr>
          <w:rFonts w:ascii="Times New Roman" w:eastAsia="Calibri" w:hAnsi="Times New Roman" w:cs="Times New Roman"/>
        </w:rPr>
      </w:pPr>
      <w:r w:rsidRPr="003D4FEE">
        <w:rPr>
          <w:rFonts w:ascii="Times New Roman" w:eastAsia="Calibri" w:hAnsi="Times New Roman" w:cs="Times New Roman"/>
        </w:rPr>
        <w:t>NATO Stratégiai koncepciója (NATO strategic concept)</w:t>
      </w:r>
    </w:p>
    <w:p w:rsidR="003D4FEE" w:rsidRPr="003D4FEE" w:rsidRDefault="003D4FEE" w:rsidP="00980876">
      <w:pPr>
        <w:numPr>
          <w:ilvl w:val="1"/>
          <w:numId w:val="842"/>
        </w:numPr>
        <w:spacing w:before="120" w:after="0" w:line="240" w:lineRule="auto"/>
        <w:ind w:left="993" w:hanging="633"/>
        <w:contextualSpacing/>
        <w:jc w:val="both"/>
        <w:rPr>
          <w:rFonts w:ascii="Times New Roman" w:eastAsia="Calibri" w:hAnsi="Times New Roman" w:cs="Times New Roman"/>
        </w:rPr>
      </w:pPr>
      <w:r w:rsidRPr="003D4FEE">
        <w:rPr>
          <w:rFonts w:ascii="Times New Roman" w:eastAsia="Calibri" w:hAnsi="Times New Roman" w:cs="Times New Roman"/>
        </w:rPr>
        <w:t>Magyarország katonai szerepvállalása békefenntartó missziókban (Hungary’s role in peacekeeping missions)</w:t>
      </w:r>
    </w:p>
    <w:p w:rsidR="003D4FEE" w:rsidRPr="003D4FEE" w:rsidRDefault="003D4FEE" w:rsidP="00980876">
      <w:pPr>
        <w:numPr>
          <w:ilvl w:val="1"/>
          <w:numId w:val="842"/>
        </w:numPr>
        <w:spacing w:before="120" w:after="0" w:line="240" w:lineRule="auto"/>
        <w:ind w:left="993" w:hanging="633"/>
        <w:contextualSpacing/>
        <w:jc w:val="both"/>
        <w:rPr>
          <w:rFonts w:ascii="Times New Roman" w:eastAsia="Calibri" w:hAnsi="Times New Roman" w:cs="Times New Roman"/>
        </w:rPr>
      </w:pPr>
      <w:r w:rsidRPr="003D4FEE">
        <w:rPr>
          <w:rFonts w:ascii="Times New Roman" w:eastAsia="Calibri" w:hAnsi="Times New Roman" w:cs="Times New Roman"/>
        </w:rPr>
        <w:t>Aktuális katonapolitikai kérdések (Current military political issues)</w:t>
      </w:r>
    </w:p>
    <w:p w:rsidR="003D4FEE" w:rsidRPr="003D4FEE" w:rsidRDefault="003D4FEE" w:rsidP="00980876">
      <w:pPr>
        <w:numPr>
          <w:ilvl w:val="1"/>
          <w:numId w:val="842"/>
        </w:numPr>
        <w:spacing w:before="120" w:after="0" w:line="240" w:lineRule="auto"/>
        <w:ind w:left="993" w:hanging="633"/>
        <w:contextualSpacing/>
        <w:jc w:val="both"/>
        <w:rPr>
          <w:rFonts w:ascii="Times New Roman" w:eastAsia="Calibri" w:hAnsi="Times New Roman" w:cs="Times New Roman"/>
        </w:rPr>
      </w:pPr>
      <w:r w:rsidRPr="003D4FEE">
        <w:rPr>
          <w:rFonts w:ascii="Times New Roman" w:eastAsia="Calibri" w:hAnsi="Times New Roman" w:cs="Times New Roman"/>
        </w:rPr>
        <w:t>Katonai szakmai szöveg értése (Military reading comprehension)</w:t>
      </w:r>
    </w:p>
    <w:p w:rsidR="003D4FEE" w:rsidRPr="003D4FEE" w:rsidRDefault="003D4FEE" w:rsidP="00980876">
      <w:pPr>
        <w:numPr>
          <w:ilvl w:val="1"/>
          <w:numId w:val="842"/>
        </w:numPr>
        <w:spacing w:before="120" w:after="0" w:line="240" w:lineRule="auto"/>
        <w:ind w:left="993" w:hanging="633"/>
        <w:contextualSpacing/>
        <w:jc w:val="both"/>
        <w:rPr>
          <w:rFonts w:ascii="Times New Roman" w:eastAsia="Calibri" w:hAnsi="Times New Roman" w:cs="Times New Roman"/>
        </w:rPr>
      </w:pPr>
      <w:r w:rsidRPr="003D4FEE">
        <w:rPr>
          <w:rFonts w:ascii="Times New Roman" w:eastAsia="Calibri" w:hAnsi="Times New Roman" w:cs="Times New Roman"/>
        </w:rPr>
        <w:t>Katonai szakmai témájú fogalmazás (Military compsition)</w:t>
      </w:r>
    </w:p>
    <w:p w:rsidR="003D4FEE" w:rsidRPr="003D4FEE" w:rsidRDefault="003D4FEE" w:rsidP="00980876">
      <w:pPr>
        <w:numPr>
          <w:ilvl w:val="1"/>
          <w:numId w:val="842"/>
        </w:numPr>
        <w:spacing w:before="120" w:after="0" w:line="240" w:lineRule="auto"/>
        <w:ind w:left="993" w:hanging="633"/>
        <w:contextualSpacing/>
        <w:jc w:val="both"/>
        <w:rPr>
          <w:rFonts w:ascii="Times New Roman" w:eastAsia="Calibri" w:hAnsi="Times New Roman" w:cs="Times New Roman"/>
        </w:rPr>
      </w:pPr>
      <w:r w:rsidRPr="003D4FEE">
        <w:rPr>
          <w:rFonts w:ascii="Times New Roman" w:eastAsia="Calibri" w:hAnsi="Times New Roman" w:cs="Times New Roman"/>
        </w:rPr>
        <w:t>Íráskészség és írott szöveg értése (Military writing comprehension)</w:t>
      </w:r>
    </w:p>
    <w:p w:rsidR="003D4FEE" w:rsidRPr="003D4FEE" w:rsidRDefault="003D4FEE" w:rsidP="00980876">
      <w:pPr>
        <w:numPr>
          <w:ilvl w:val="0"/>
          <w:numId w:val="842"/>
        </w:numPr>
        <w:tabs>
          <w:tab w:val="right" w:pos="900"/>
        </w:tabs>
        <w:spacing w:before="120" w:after="0" w:line="240" w:lineRule="auto"/>
        <w:ind w:left="357" w:hanging="357"/>
        <w:jc w:val="both"/>
        <w:rPr>
          <w:rFonts w:ascii="Times New Roman" w:eastAsia="Calibri" w:hAnsi="Times New Roman" w:cs="Times New Roman"/>
          <w:bCs/>
        </w:rPr>
      </w:pPr>
      <w:r w:rsidRPr="003D4FEE">
        <w:rPr>
          <w:rFonts w:ascii="Times New Roman" w:eastAsia="Calibri" w:hAnsi="Times New Roman" w:cs="Times New Roman"/>
          <w:b/>
          <w:bCs/>
        </w:rPr>
        <w:t xml:space="preserve">A tantárgy meghirdetésének gyakorisága/a tantervben történő félévi elhelyezkedése: </w:t>
      </w:r>
      <w:r w:rsidRPr="003D4FEE">
        <w:rPr>
          <w:rFonts w:ascii="Times New Roman" w:eastAsia="Calibri" w:hAnsi="Times New Roman" w:cs="Times New Roman"/>
          <w:bCs/>
        </w:rPr>
        <w:t>5. tanulmányi félévben.</w:t>
      </w:r>
    </w:p>
    <w:p w:rsidR="003D4FEE" w:rsidRPr="003D4FEE" w:rsidRDefault="003D4FEE" w:rsidP="00980876">
      <w:pPr>
        <w:numPr>
          <w:ilvl w:val="0"/>
          <w:numId w:val="842"/>
        </w:numPr>
        <w:tabs>
          <w:tab w:val="right" w:pos="900"/>
          <w:tab w:val="center" w:pos="4536"/>
          <w:tab w:val="right" w:pos="9072"/>
        </w:tabs>
        <w:spacing w:before="120" w:after="0" w:line="240" w:lineRule="auto"/>
        <w:jc w:val="both"/>
        <w:rPr>
          <w:rFonts w:ascii="Times New Roman" w:eastAsia="Calibri" w:hAnsi="Times New Roman" w:cs="Times New Roman"/>
          <w:bCs/>
        </w:rPr>
      </w:pPr>
      <w:r w:rsidRPr="003D4FEE">
        <w:rPr>
          <w:rFonts w:ascii="Times New Roman" w:eastAsia="Calibri" w:hAnsi="Times New Roman" w:cs="Times New Roman"/>
          <w:b/>
          <w:bCs/>
        </w:rPr>
        <w:t>A foglalkozásokon való részvétel követelményei, elfogadható hiányzások mértéke, távolmaradás pótlásának lehetősége:</w:t>
      </w:r>
      <w:r w:rsidRPr="003D4FEE">
        <w:rPr>
          <w:rFonts w:ascii="Times New Roman" w:eastAsia="Calibri" w:hAnsi="Times New Roman" w:cs="Times New Roman"/>
          <w:bCs/>
        </w:rPr>
        <w:t xml:space="preserve"> A hallgatónak a tanórák legalább 75 %-án jelen kell lennie, 25 % -ot meghaladó hiányzás esetén a félév teljesítése nem irható alá. A hallgató köteles az előadások és a gyakorlat anyagát beszerezni, abból önállóan felkészülni. Amennyiben a hallgató hiányzása meghaladja a 25%-ot, a hallgató köteles a félév végén a tanár által meghatározott témákból szóban beszámolni az aláírás teljesítése érdekében.</w:t>
      </w:r>
    </w:p>
    <w:p w:rsidR="003D4FEE" w:rsidRPr="003D4FEE" w:rsidRDefault="003D4FEE" w:rsidP="00980876">
      <w:pPr>
        <w:numPr>
          <w:ilvl w:val="0"/>
          <w:numId w:val="842"/>
        </w:numPr>
        <w:tabs>
          <w:tab w:val="right" w:pos="900"/>
        </w:tabs>
        <w:spacing w:before="120" w:after="0" w:line="240" w:lineRule="auto"/>
        <w:jc w:val="both"/>
        <w:rPr>
          <w:rFonts w:ascii="Times New Roman" w:eastAsia="Calibri" w:hAnsi="Times New Roman" w:cs="Times New Roman"/>
          <w:bCs/>
        </w:rPr>
      </w:pPr>
      <w:r w:rsidRPr="003D4FEE">
        <w:rPr>
          <w:rFonts w:ascii="Times New Roman" w:eastAsia="Calibri" w:hAnsi="Times New Roman" w:cs="Times New Roman"/>
          <w:b/>
        </w:rPr>
        <w:t>Félévközi feladatok, ismeretek ellenőrzésének rendje:</w:t>
      </w:r>
      <w:r w:rsidRPr="003D4FEE">
        <w:rPr>
          <w:rFonts w:ascii="Times New Roman" w:eastAsia="Calibri" w:hAnsi="Times New Roman" w:cs="Times New Roman"/>
          <w:bCs/>
        </w:rPr>
        <w:t xml:space="preserve"> </w:t>
      </w:r>
      <w:r w:rsidRPr="003D4FEE">
        <w:rPr>
          <w:rFonts w:ascii="Times New Roman" w:eastAsia="Calibri" w:hAnsi="Times New Roman" w:cs="Times New Roman"/>
        </w:rPr>
        <w:t>A foglakozás anyagainak és a kötelező irodalom feldolgozása, 2 zárthelyi dolgozat és egy szóbeli beszámoló a 12. pont ismeretanyagából legalább 60 %-os értékeléssel történ</w:t>
      </w:r>
      <w:r w:rsidRPr="003D4FEE">
        <w:rPr>
          <w:rFonts w:ascii="Times New Roman" w:eastAsia="Calibri" w:hAnsi="Times New Roman" w:cs="Times New Roman" w:hint="eastAsia"/>
        </w:rPr>
        <w:t>ő</w:t>
      </w:r>
      <w:r w:rsidRPr="003D4FEE">
        <w:rPr>
          <w:rFonts w:ascii="Times New Roman" w:eastAsia="Calibri" w:hAnsi="Times New Roman" w:cs="Times New Roman"/>
        </w:rPr>
        <w:t xml:space="preserve"> teljesítése a tanár el</w:t>
      </w:r>
      <w:r w:rsidRPr="003D4FEE">
        <w:rPr>
          <w:rFonts w:ascii="Times New Roman" w:eastAsia="Calibri" w:hAnsi="Times New Roman" w:cs="Times New Roman" w:hint="eastAsia"/>
        </w:rPr>
        <w:t>ő</w:t>
      </w:r>
      <w:r w:rsidRPr="003D4FEE">
        <w:rPr>
          <w:rFonts w:ascii="Times New Roman" w:eastAsia="Calibri" w:hAnsi="Times New Roman" w:cs="Times New Roman"/>
        </w:rPr>
        <w:t>zetes bejelentése alapján, a foglalkozások ismereteib</w:t>
      </w:r>
      <w:r w:rsidRPr="003D4FEE">
        <w:rPr>
          <w:rFonts w:ascii="Times New Roman" w:eastAsia="Calibri" w:hAnsi="Times New Roman" w:cs="Times New Roman" w:hint="eastAsia"/>
        </w:rPr>
        <w:t>ő</w:t>
      </w:r>
      <w:r w:rsidRPr="003D4FEE">
        <w:rPr>
          <w:rFonts w:ascii="Times New Roman" w:eastAsia="Calibri" w:hAnsi="Times New Roman" w:cs="Times New Roman"/>
        </w:rPr>
        <w:t>l. A zárthelyi dolgozat és a szóbeli beszámoló értékelése: ötfokozatú értékelés – (a helyes válaszok aránya 0-60% elégtelen; 61-70% elégséges; 71-80% közepes; 81-90% jó; 91-100% jeles osztályzat). Eredménytelen zárthelyi dolgozat kétszer javítható a tanárral egyeztetett időpontban.</w:t>
      </w:r>
    </w:p>
    <w:p w:rsidR="003D4FEE" w:rsidRPr="003D4FEE" w:rsidRDefault="003D4FEE" w:rsidP="00980876">
      <w:pPr>
        <w:numPr>
          <w:ilvl w:val="0"/>
          <w:numId w:val="842"/>
        </w:numPr>
        <w:tabs>
          <w:tab w:val="right" w:pos="900"/>
        </w:tabs>
        <w:spacing w:before="120" w:after="0" w:line="240" w:lineRule="auto"/>
        <w:jc w:val="both"/>
        <w:rPr>
          <w:rFonts w:ascii="Times New Roman" w:eastAsia="Calibri" w:hAnsi="Times New Roman" w:cs="Times New Roman"/>
          <w:bCs/>
        </w:rPr>
      </w:pPr>
      <w:r w:rsidRPr="003D4FEE">
        <w:rPr>
          <w:rFonts w:ascii="Times New Roman" w:eastAsia="Calibri" w:hAnsi="Times New Roman" w:cs="Times New Roman"/>
          <w:b/>
          <w:bCs/>
        </w:rPr>
        <w:t xml:space="preserve">Az értékelés, az aláírás és a kreditek megszerzésének pontos feltételei </w:t>
      </w:r>
    </w:p>
    <w:p w:rsidR="003D4FEE" w:rsidRPr="003D4FEE" w:rsidRDefault="003D4FEE" w:rsidP="00980876">
      <w:pPr>
        <w:numPr>
          <w:ilvl w:val="1"/>
          <w:numId w:val="842"/>
        </w:numPr>
        <w:tabs>
          <w:tab w:val="right" w:pos="900"/>
        </w:tabs>
        <w:spacing w:before="120" w:after="0" w:line="240" w:lineRule="auto"/>
        <w:jc w:val="both"/>
        <w:rPr>
          <w:rFonts w:ascii="Times New Roman" w:eastAsia="Calibri" w:hAnsi="Times New Roman" w:cs="Times New Roman"/>
          <w:bCs/>
        </w:rPr>
      </w:pPr>
      <w:r w:rsidRPr="003D4FEE">
        <w:rPr>
          <w:rFonts w:ascii="Times New Roman" w:eastAsia="Calibri" w:hAnsi="Times New Roman" w:cs="Times New Roman"/>
          <w:b/>
        </w:rPr>
        <w:t xml:space="preserve">Az aláírás megszerzésének feltételei: </w:t>
      </w:r>
    </w:p>
    <w:p w:rsidR="003D4FEE" w:rsidRPr="003D4FEE" w:rsidRDefault="003D4FEE" w:rsidP="003D4FEE">
      <w:pPr>
        <w:tabs>
          <w:tab w:val="right" w:pos="900"/>
        </w:tabs>
        <w:spacing w:before="120" w:after="0" w:line="240" w:lineRule="auto"/>
        <w:ind w:left="792"/>
        <w:jc w:val="both"/>
        <w:rPr>
          <w:rFonts w:ascii="Times New Roman" w:eastAsia="Calibri" w:hAnsi="Times New Roman" w:cs="Times New Roman"/>
          <w:bCs/>
        </w:rPr>
      </w:pPr>
      <w:r w:rsidRPr="003D4FEE">
        <w:rPr>
          <w:rFonts w:ascii="Times New Roman" w:eastAsia="Calibri" w:hAnsi="Times New Roman" w:cs="Times New Roman"/>
        </w:rPr>
        <w:t>Az aláírás megszerzésének feltétele a 14. pontban meghatározott arányú részvétel a foglalkozásokon és a 15. pontban meghatározott félévközi feladatok legalább elégséges teljesítése.</w:t>
      </w:r>
    </w:p>
    <w:p w:rsidR="003D4FEE" w:rsidRPr="003D4FEE" w:rsidRDefault="003D4FEE" w:rsidP="00980876">
      <w:pPr>
        <w:numPr>
          <w:ilvl w:val="1"/>
          <w:numId w:val="842"/>
        </w:numPr>
        <w:tabs>
          <w:tab w:val="right" w:pos="900"/>
        </w:tabs>
        <w:spacing w:before="120" w:after="0" w:line="240" w:lineRule="auto"/>
        <w:jc w:val="both"/>
        <w:rPr>
          <w:rFonts w:ascii="Times New Roman" w:eastAsia="Calibri" w:hAnsi="Times New Roman" w:cs="Times New Roman"/>
          <w:bCs/>
        </w:rPr>
      </w:pPr>
      <w:r w:rsidRPr="003D4FEE">
        <w:rPr>
          <w:rFonts w:ascii="Times New Roman" w:eastAsia="Calibri" w:hAnsi="Times New Roman" w:cs="Times New Roman"/>
          <w:b/>
        </w:rPr>
        <w:t xml:space="preserve">Az értékelés: </w:t>
      </w:r>
      <w:r w:rsidRPr="003D4FEE">
        <w:rPr>
          <w:rFonts w:ascii="Times New Roman" w:eastAsia="Calibri" w:hAnsi="Times New Roman" w:cs="Times New Roman"/>
        </w:rPr>
        <w:t>a 16.1 pont alapján.</w:t>
      </w:r>
    </w:p>
    <w:p w:rsidR="003D4FEE" w:rsidRPr="003D4FEE" w:rsidRDefault="003D4FEE" w:rsidP="00980876">
      <w:pPr>
        <w:numPr>
          <w:ilvl w:val="1"/>
          <w:numId w:val="842"/>
        </w:numPr>
        <w:tabs>
          <w:tab w:val="right" w:pos="900"/>
        </w:tabs>
        <w:spacing w:before="120" w:after="0" w:line="240" w:lineRule="auto"/>
        <w:jc w:val="both"/>
        <w:rPr>
          <w:rFonts w:ascii="Times New Roman" w:eastAsia="Calibri" w:hAnsi="Times New Roman" w:cs="Times New Roman"/>
          <w:bCs/>
        </w:rPr>
      </w:pPr>
      <w:r w:rsidRPr="003D4FEE">
        <w:rPr>
          <w:rFonts w:ascii="Times New Roman" w:eastAsia="Calibri" w:hAnsi="Times New Roman" w:cs="Times New Roman"/>
          <w:b/>
        </w:rPr>
        <w:t xml:space="preserve">A kreditek megszerzésének feltételei: </w:t>
      </w:r>
    </w:p>
    <w:p w:rsidR="003D4FEE" w:rsidRPr="003D4FEE" w:rsidRDefault="003D4FEE" w:rsidP="003D4FEE">
      <w:pPr>
        <w:tabs>
          <w:tab w:val="right" w:pos="900"/>
        </w:tabs>
        <w:spacing w:before="120" w:after="0" w:line="240" w:lineRule="auto"/>
        <w:ind w:left="792"/>
        <w:jc w:val="both"/>
        <w:rPr>
          <w:rFonts w:ascii="Times New Roman" w:eastAsia="Calibri" w:hAnsi="Times New Roman" w:cs="Times New Roman"/>
          <w:bCs/>
        </w:rPr>
      </w:pPr>
      <w:r w:rsidRPr="003D4FEE">
        <w:rPr>
          <w:rFonts w:ascii="Times New Roman" w:eastAsia="Calibri" w:hAnsi="Times New Roman" w:cs="Times New Roman"/>
        </w:rPr>
        <w:t>A tantárgy kritérium követelmény, így nem rendelkezik kreditmegszerzési feltételekkel.</w:t>
      </w:r>
    </w:p>
    <w:p w:rsidR="003D4FEE" w:rsidRPr="003D4FEE" w:rsidRDefault="003D4FEE" w:rsidP="00980876">
      <w:pPr>
        <w:numPr>
          <w:ilvl w:val="0"/>
          <w:numId w:val="842"/>
        </w:numPr>
        <w:tabs>
          <w:tab w:val="right" w:pos="900"/>
        </w:tabs>
        <w:spacing w:before="120" w:after="0" w:line="240" w:lineRule="auto"/>
        <w:jc w:val="both"/>
        <w:rPr>
          <w:rFonts w:ascii="Times New Roman" w:eastAsia="Calibri" w:hAnsi="Times New Roman" w:cs="Times New Roman"/>
          <w:bCs/>
          <w:lang w:eastAsia="hu-HU"/>
        </w:rPr>
      </w:pPr>
      <w:r w:rsidRPr="003D4FEE">
        <w:rPr>
          <w:rFonts w:ascii="Times New Roman" w:eastAsia="Calibri" w:hAnsi="Times New Roman" w:cs="Times New Roman"/>
          <w:b/>
          <w:bCs/>
          <w:lang w:eastAsia="hu-HU"/>
        </w:rPr>
        <w:t>Irodalomjegyzék:</w:t>
      </w:r>
    </w:p>
    <w:p w:rsidR="003D4FEE" w:rsidRPr="003D4FEE" w:rsidRDefault="003D4FEE" w:rsidP="00980876">
      <w:pPr>
        <w:numPr>
          <w:ilvl w:val="1"/>
          <w:numId w:val="842"/>
        </w:numPr>
        <w:tabs>
          <w:tab w:val="right" w:pos="900"/>
          <w:tab w:val="center" w:pos="4536"/>
          <w:tab w:val="right" w:pos="9072"/>
        </w:tabs>
        <w:spacing w:before="120" w:after="0" w:line="240" w:lineRule="auto"/>
        <w:jc w:val="both"/>
        <w:rPr>
          <w:rFonts w:ascii="Times New Roman" w:eastAsia="Calibri" w:hAnsi="Times New Roman" w:cs="Times New Roman"/>
          <w:b/>
          <w:bCs/>
          <w:lang w:eastAsia="hu-HU"/>
        </w:rPr>
      </w:pPr>
      <w:r w:rsidRPr="003D4FEE">
        <w:rPr>
          <w:rFonts w:ascii="Times New Roman" w:eastAsia="Calibri" w:hAnsi="Times New Roman" w:cs="Times New Roman"/>
          <w:b/>
          <w:bCs/>
          <w:lang w:eastAsia="hu-HU"/>
        </w:rPr>
        <w:t>Kötelező irodalom:</w:t>
      </w:r>
    </w:p>
    <w:p w:rsidR="003D4FEE" w:rsidRPr="003D4FEE" w:rsidRDefault="003D4FEE" w:rsidP="00980876">
      <w:pPr>
        <w:numPr>
          <w:ilvl w:val="0"/>
          <w:numId w:val="843"/>
        </w:numPr>
        <w:tabs>
          <w:tab w:val="right" w:pos="900"/>
        </w:tabs>
        <w:spacing w:before="120" w:after="0" w:line="240" w:lineRule="auto"/>
        <w:ind w:left="993"/>
        <w:contextualSpacing/>
        <w:jc w:val="both"/>
        <w:rPr>
          <w:rFonts w:ascii="Times New Roman" w:eastAsia="Calibri" w:hAnsi="Times New Roman" w:cs="Times New Roman"/>
          <w:bCs/>
          <w:lang w:eastAsia="hu-HU"/>
        </w:rPr>
      </w:pPr>
      <w:r w:rsidRPr="003D4FEE">
        <w:rPr>
          <w:rFonts w:ascii="Times New Roman" w:eastAsia="Calibri" w:hAnsi="Times New Roman" w:cs="Times New Roman"/>
          <w:bCs/>
          <w:lang w:eastAsia="hu-HU"/>
        </w:rPr>
        <w:t>Dr. Kovácsné dr. Nábrádi Márta: Basic Military English, ZMNE jegyzet</w:t>
      </w:r>
    </w:p>
    <w:p w:rsidR="003D4FEE" w:rsidRPr="003D4FEE" w:rsidRDefault="003D4FEE" w:rsidP="00980876">
      <w:pPr>
        <w:numPr>
          <w:ilvl w:val="0"/>
          <w:numId w:val="843"/>
        </w:numPr>
        <w:tabs>
          <w:tab w:val="right" w:pos="900"/>
        </w:tabs>
        <w:spacing w:before="120" w:after="0" w:line="240" w:lineRule="auto"/>
        <w:ind w:left="993"/>
        <w:contextualSpacing/>
        <w:jc w:val="both"/>
        <w:rPr>
          <w:rFonts w:ascii="Times New Roman" w:eastAsia="Calibri" w:hAnsi="Times New Roman" w:cs="Times New Roman"/>
          <w:bCs/>
          <w:lang w:eastAsia="hu-HU"/>
        </w:rPr>
      </w:pPr>
      <w:r w:rsidRPr="003D4FEE">
        <w:rPr>
          <w:rFonts w:ascii="Times New Roman" w:eastAsia="Calibri" w:hAnsi="Times New Roman" w:cs="Times New Roman"/>
          <w:bCs/>
          <w:lang w:eastAsia="hu-HU"/>
        </w:rPr>
        <w:t>Vadász Istvánné: Focus on the military,  ZMNE jegyzet</w:t>
      </w:r>
      <w:r w:rsidRPr="003D4FEE">
        <w:rPr>
          <w:rFonts w:ascii="Times New Roman" w:eastAsia="Calibri" w:hAnsi="Times New Roman" w:cs="Times New Roman"/>
          <w:bCs/>
          <w:lang w:eastAsia="hu-HU"/>
        </w:rPr>
        <w:tab/>
      </w:r>
    </w:p>
    <w:p w:rsidR="003D4FEE" w:rsidRPr="003D4FEE" w:rsidRDefault="003D4FEE" w:rsidP="00980876">
      <w:pPr>
        <w:numPr>
          <w:ilvl w:val="0"/>
          <w:numId w:val="843"/>
        </w:numPr>
        <w:tabs>
          <w:tab w:val="right" w:pos="900"/>
        </w:tabs>
        <w:spacing w:before="120" w:after="0" w:line="240" w:lineRule="auto"/>
        <w:ind w:left="993"/>
        <w:contextualSpacing/>
        <w:jc w:val="both"/>
        <w:rPr>
          <w:rFonts w:ascii="Times New Roman" w:eastAsia="Calibri" w:hAnsi="Times New Roman" w:cs="Times New Roman"/>
          <w:bCs/>
          <w:lang w:eastAsia="hu-HU"/>
        </w:rPr>
      </w:pPr>
      <w:r w:rsidRPr="003D4FEE">
        <w:rPr>
          <w:rFonts w:ascii="Times New Roman" w:eastAsia="Calibri" w:hAnsi="Times New Roman" w:cs="Times New Roman"/>
          <w:bCs/>
          <w:lang w:eastAsia="hu-HU"/>
        </w:rPr>
        <w:t>Simon Mellor Clark – Yvonne Baker de Altamirano: Campaign – English for the Military 2</w:t>
      </w:r>
    </w:p>
    <w:p w:rsidR="003D4FEE" w:rsidRPr="003D4FEE" w:rsidRDefault="003D4FEE" w:rsidP="00980876">
      <w:pPr>
        <w:numPr>
          <w:ilvl w:val="0"/>
          <w:numId w:val="843"/>
        </w:numPr>
        <w:tabs>
          <w:tab w:val="right" w:pos="900"/>
        </w:tabs>
        <w:spacing w:before="120" w:after="0" w:line="240" w:lineRule="auto"/>
        <w:ind w:left="993"/>
        <w:contextualSpacing/>
        <w:jc w:val="both"/>
        <w:rPr>
          <w:rFonts w:ascii="Times New Roman" w:eastAsia="Calibri" w:hAnsi="Times New Roman" w:cs="Times New Roman"/>
          <w:bCs/>
          <w:lang w:eastAsia="hu-HU"/>
        </w:rPr>
      </w:pPr>
      <w:r w:rsidRPr="003D4FEE">
        <w:rPr>
          <w:rFonts w:ascii="Times New Roman" w:eastAsia="Calibri" w:hAnsi="Times New Roman" w:cs="Times New Roman"/>
          <w:bCs/>
          <w:lang w:eastAsia="hu-HU"/>
        </w:rPr>
        <w:t>Jobbágy Ilona – Katona Lucia – Kevin Shopland: General Communications Skills</w:t>
      </w:r>
    </w:p>
    <w:p w:rsidR="003D4FEE" w:rsidRPr="003D4FEE" w:rsidRDefault="003D4FEE" w:rsidP="00980876">
      <w:pPr>
        <w:numPr>
          <w:ilvl w:val="0"/>
          <w:numId w:val="843"/>
        </w:numPr>
        <w:tabs>
          <w:tab w:val="right" w:pos="900"/>
        </w:tabs>
        <w:spacing w:before="120" w:after="0" w:line="240" w:lineRule="auto"/>
        <w:ind w:left="993"/>
        <w:contextualSpacing/>
        <w:jc w:val="both"/>
        <w:rPr>
          <w:rFonts w:ascii="Times New Roman" w:eastAsia="Calibri" w:hAnsi="Times New Roman" w:cs="Times New Roman"/>
          <w:bCs/>
          <w:lang w:eastAsia="hu-HU"/>
        </w:rPr>
      </w:pPr>
      <w:r w:rsidRPr="003D4FEE">
        <w:rPr>
          <w:rFonts w:ascii="Times New Roman" w:eastAsia="Calibri" w:hAnsi="Times New Roman" w:cs="Times New Roman"/>
          <w:bCs/>
          <w:lang w:eastAsia="hu-HU"/>
        </w:rPr>
        <w:t>Némethné Hock Ildikó: 1000 kérdés 1000 válasz az „A” típusú nyelvvizsgához</w:t>
      </w:r>
    </w:p>
    <w:p w:rsidR="003D4FEE" w:rsidRPr="003D4FEE" w:rsidRDefault="003D4FEE" w:rsidP="00980876">
      <w:pPr>
        <w:numPr>
          <w:ilvl w:val="1"/>
          <w:numId w:val="842"/>
        </w:numPr>
        <w:tabs>
          <w:tab w:val="right" w:pos="900"/>
          <w:tab w:val="center" w:pos="4536"/>
          <w:tab w:val="right" w:pos="9072"/>
        </w:tabs>
        <w:spacing w:before="120" w:after="120" w:line="240" w:lineRule="auto"/>
        <w:ind w:left="788" w:hanging="431"/>
        <w:jc w:val="both"/>
        <w:rPr>
          <w:rFonts w:ascii="Times New Roman" w:eastAsia="Calibri" w:hAnsi="Times New Roman" w:cs="Times New Roman"/>
          <w:b/>
          <w:bCs/>
          <w:lang w:eastAsia="hu-HU"/>
        </w:rPr>
      </w:pPr>
      <w:r w:rsidRPr="003D4FEE">
        <w:rPr>
          <w:rFonts w:ascii="Times New Roman" w:eastAsia="Calibri" w:hAnsi="Times New Roman" w:cs="Times New Roman"/>
          <w:b/>
          <w:bCs/>
          <w:lang w:eastAsia="hu-HU"/>
        </w:rPr>
        <w:t>Ajánlott irodalom:</w:t>
      </w:r>
    </w:p>
    <w:p w:rsidR="003D4FEE" w:rsidRPr="003D4FEE" w:rsidRDefault="003D4FEE" w:rsidP="00980876">
      <w:pPr>
        <w:numPr>
          <w:ilvl w:val="0"/>
          <w:numId w:val="844"/>
        </w:numPr>
        <w:spacing w:before="120" w:after="0" w:line="240" w:lineRule="auto"/>
        <w:ind w:left="993"/>
        <w:contextualSpacing/>
        <w:jc w:val="both"/>
        <w:rPr>
          <w:rFonts w:ascii="Times New Roman" w:eastAsia="Calibri" w:hAnsi="Times New Roman" w:cs="Times New Roman"/>
          <w:lang w:eastAsia="hu-HU"/>
        </w:rPr>
      </w:pPr>
      <w:r w:rsidRPr="003D4FEE">
        <w:rPr>
          <w:rFonts w:ascii="Times New Roman" w:eastAsia="Calibri" w:hAnsi="Times New Roman" w:cs="Times New Roman"/>
          <w:lang w:eastAsia="hu-HU"/>
        </w:rPr>
        <w:t>James Arnold – Robert SAcco: Command English</w:t>
      </w:r>
    </w:p>
    <w:p w:rsidR="003D4FEE" w:rsidRPr="003D4FEE" w:rsidRDefault="003D4FEE" w:rsidP="00980876">
      <w:pPr>
        <w:numPr>
          <w:ilvl w:val="0"/>
          <w:numId w:val="844"/>
        </w:numPr>
        <w:spacing w:before="120" w:after="0" w:line="240" w:lineRule="auto"/>
        <w:ind w:left="993"/>
        <w:contextualSpacing/>
        <w:jc w:val="both"/>
        <w:rPr>
          <w:rFonts w:ascii="Times New Roman" w:eastAsia="Calibri" w:hAnsi="Times New Roman" w:cs="Times New Roman"/>
          <w:lang w:eastAsia="hu-HU"/>
        </w:rPr>
      </w:pPr>
      <w:r w:rsidRPr="003D4FEE">
        <w:rPr>
          <w:rFonts w:ascii="Times New Roman" w:eastAsia="Calibri" w:hAnsi="Times New Roman" w:cs="Times New Roman"/>
          <w:lang w:eastAsia="hu-HU"/>
        </w:rPr>
        <w:t xml:space="preserve">Raymund Murphy: English Grammar in Use </w:t>
      </w:r>
    </w:p>
    <w:p w:rsidR="003D4FEE" w:rsidRPr="003D4FEE" w:rsidRDefault="003D4FEE" w:rsidP="00980876">
      <w:pPr>
        <w:numPr>
          <w:ilvl w:val="0"/>
          <w:numId w:val="844"/>
        </w:numPr>
        <w:spacing w:before="120" w:after="0" w:line="240" w:lineRule="auto"/>
        <w:ind w:left="993"/>
        <w:contextualSpacing/>
        <w:jc w:val="both"/>
        <w:rPr>
          <w:rFonts w:ascii="Times New Roman" w:eastAsia="Calibri" w:hAnsi="Times New Roman" w:cs="Times New Roman"/>
          <w:lang w:eastAsia="hu-HU"/>
        </w:rPr>
      </w:pPr>
      <w:r w:rsidRPr="003D4FEE">
        <w:rPr>
          <w:rFonts w:ascii="Times New Roman" w:eastAsia="Calibri" w:hAnsi="Times New Roman" w:cs="Times New Roman"/>
          <w:lang w:eastAsia="hu-HU"/>
        </w:rPr>
        <w:lastRenderedPageBreak/>
        <w:t>Norman Coe, Mark Harrison és Ken Paterson . Oxford Angol Nyelvtan</w:t>
      </w:r>
    </w:p>
    <w:p w:rsidR="003D4FEE" w:rsidRPr="003D4FEE" w:rsidRDefault="003D4FEE" w:rsidP="00980876">
      <w:pPr>
        <w:numPr>
          <w:ilvl w:val="0"/>
          <w:numId w:val="844"/>
        </w:numPr>
        <w:spacing w:before="120" w:after="0" w:line="240" w:lineRule="auto"/>
        <w:ind w:left="993"/>
        <w:contextualSpacing/>
        <w:jc w:val="both"/>
        <w:rPr>
          <w:rFonts w:ascii="Times New Roman" w:eastAsia="Calibri" w:hAnsi="Times New Roman" w:cs="Times New Roman"/>
          <w:lang w:eastAsia="hu-HU"/>
        </w:rPr>
      </w:pPr>
      <w:r w:rsidRPr="003D4FEE">
        <w:rPr>
          <w:rFonts w:ascii="Times New Roman" w:eastAsia="Calibri" w:hAnsi="Times New Roman" w:cs="Times New Roman"/>
          <w:lang w:eastAsia="hu-HU"/>
        </w:rPr>
        <w:t xml:space="preserve">Ruth Grain és Stuart Rodman: Oxford Word Skills Intermediate </w:t>
      </w:r>
    </w:p>
    <w:p w:rsidR="003D4FEE" w:rsidRPr="003D4FEE" w:rsidRDefault="003D4FEE" w:rsidP="00980876">
      <w:pPr>
        <w:numPr>
          <w:ilvl w:val="0"/>
          <w:numId w:val="844"/>
        </w:numPr>
        <w:spacing w:before="120" w:after="0" w:line="240" w:lineRule="auto"/>
        <w:ind w:left="993"/>
        <w:contextualSpacing/>
        <w:jc w:val="both"/>
        <w:rPr>
          <w:rFonts w:ascii="Times New Roman" w:eastAsia="Calibri" w:hAnsi="Times New Roman" w:cs="Times New Roman"/>
          <w:lang w:eastAsia="hu-HU"/>
        </w:rPr>
      </w:pPr>
      <w:r w:rsidRPr="003D4FEE">
        <w:rPr>
          <w:rFonts w:ascii="Times New Roman" w:eastAsia="Calibri" w:hAnsi="Times New Roman" w:cs="Times New Roman"/>
          <w:lang w:eastAsia="hu-HU"/>
        </w:rPr>
        <w:t>Király Zsolt: Blackbird</w:t>
      </w:r>
    </w:p>
    <w:p w:rsidR="003D4FEE" w:rsidRPr="003D4FEE" w:rsidRDefault="003D4FEE" w:rsidP="003D4FEE">
      <w:pPr>
        <w:tabs>
          <w:tab w:val="right" w:pos="900"/>
        </w:tabs>
        <w:spacing w:before="120" w:after="0" w:line="240" w:lineRule="auto"/>
        <w:rPr>
          <w:rFonts w:ascii="Times New Roman" w:eastAsia="Calibri" w:hAnsi="Times New Roman" w:cs="Times New Roman"/>
          <w:bCs/>
        </w:rPr>
      </w:pPr>
    </w:p>
    <w:p w:rsidR="003D4FEE" w:rsidRPr="003D4FEE" w:rsidRDefault="003D4FEE" w:rsidP="003D4FEE">
      <w:pPr>
        <w:tabs>
          <w:tab w:val="right" w:pos="900"/>
        </w:tabs>
        <w:spacing w:before="120" w:after="0" w:line="240" w:lineRule="auto"/>
        <w:jc w:val="right"/>
        <w:rPr>
          <w:rFonts w:ascii="Times New Roman" w:eastAsia="Calibri" w:hAnsi="Times New Roman" w:cs="Times New Roman"/>
          <w:bCs/>
        </w:rPr>
      </w:pPr>
      <w:r w:rsidRPr="003D4FEE">
        <w:rPr>
          <w:rFonts w:ascii="Times New Roman" w:eastAsia="Calibri" w:hAnsi="Times New Roman" w:cs="Times New Roman"/>
          <w:bCs/>
        </w:rPr>
        <w:t>Budapest, 2020. február 5.</w:t>
      </w:r>
      <w:r w:rsidRPr="003D4FEE">
        <w:rPr>
          <w:rFonts w:ascii="Times New Roman" w:eastAsia="Calibri" w:hAnsi="Times New Roman" w:cs="Times New Roman"/>
          <w:bCs/>
          <w:lang w:eastAsia="hu-HU"/>
        </w:rPr>
        <w:tab/>
      </w:r>
      <w:r w:rsidRPr="003D4FEE">
        <w:rPr>
          <w:rFonts w:ascii="Times New Roman" w:eastAsia="Calibri" w:hAnsi="Times New Roman" w:cs="Times New Roman"/>
          <w:bCs/>
          <w:lang w:eastAsia="hu-HU"/>
        </w:rPr>
        <w:tab/>
      </w:r>
      <w:r w:rsidRPr="003D4FEE">
        <w:rPr>
          <w:rFonts w:ascii="Times New Roman" w:eastAsia="Calibri" w:hAnsi="Times New Roman" w:cs="Times New Roman"/>
          <w:bCs/>
          <w:lang w:eastAsia="hu-HU"/>
        </w:rPr>
        <w:tab/>
      </w:r>
      <w:r w:rsidRPr="003D4FEE">
        <w:rPr>
          <w:rFonts w:ascii="Times New Roman" w:eastAsia="Calibri" w:hAnsi="Times New Roman" w:cs="Times New Roman"/>
          <w:bCs/>
          <w:lang w:eastAsia="hu-HU"/>
        </w:rPr>
        <w:tab/>
      </w:r>
      <w:r w:rsidRPr="003D4FEE">
        <w:rPr>
          <w:rFonts w:ascii="Times New Roman" w:eastAsia="Calibri" w:hAnsi="Times New Roman" w:cs="Times New Roman"/>
          <w:bCs/>
          <w:lang w:eastAsia="hu-HU"/>
        </w:rPr>
        <w:tab/>
      </w:r>
      <w:r w:rsidRPr="003D4FEE">
        <w:rPr>
          <w:rFonts w:ascii="Times New Roman" w:eastAsia="Calibri" w:hAnsi="Times New Roman" w:cs="Times New Roman"/>
          <w:bCs/>
          <w:lang w:eastAsia="hu-HU"/>
        </w:rPr>
        <w:tab/>
      </w:r>
      <w:r w:rsidRPr="003D4FEE">
        <w:rPr>
          <w:rFonts w:ascii="Times New Roman" w:eastAsia="Calibri" w:hAnsi="Times New Roman" w:cs="Times New Roman"/>
          <w:bCs/>
          <w:lang w:eastAsia="hu-HU"/>
        </w:rPr>
        <w:tab/>
        <w:t xml:space="preserve">  </w:t>
      </w:r>
      <w:r w:rsidRPr="003D4FEE">
        <w:rPr>
          <w:rFonts w:ascii="Times New Roman" w:eastAsia="Calibri" w:hAnsi="Times New Roman" w:cs="Times New Roman"/>
        </w:rPr>
        <w:t xml:space="preserve">    Dr. Kiss Gabriella</w:t>
      </w:r>
    </w:p>
    <w:p w:rsidR="003D4FEE" w:rsidRPr="003D4FEE" w:rsidRDefault="003D4FEE" w:rsidP="003D4FEE">
      <w:pPr>
        <w:jc w:val="right"/>
        <w:rPr>
          <w:rFonts w:ascii="Times New Roman" w:eastAsia="Calibri" w:hAnsi="Times New Roman" w:cs="Times New Roman"/>
        </w:rPr>
      </w:pPr>
      <w:r w:rsidRPr="003D4FEE">
        <w:rPr>
          <w:rFonts w:ascii="Times New Roman" w:eastAsia="Calibri" w:hAnsi="Times New Roman" w:cs="Times New Roman"/>
        </w:rPr>
        <w:t>tantárgyfelelős sk.</w:t>
      </w:r>
    </w:p>
    <w:p w:rsidR="003D4FEE" w:rsidRDefault="003D4FEE">
      <w:r>
        <w:br w:type="page"/>
      </w:r>
    </w:p>
    <w:tbl>
      <w:tblPr>
        <w:tblW w:w="5382" w:type="dxa"/>
        <w:tblInd w:w="113" w:type="dxa"/>
        <w:tblLook w:val="01E0" w:firstRow="1" w:lastRow="1" w:firstColumn="1" w:lastColumn="1" w:noHBand="0" w:noVBand="0"/>
      </w:tblPr>
      <w:tblGrid>
        <w:gridCol w:w="5382"/>
      </w:tblGrid>
      <w:tr w:rsidR="0039180E" w:rsidRPr="0039180E" w:rsidTr="0039180E">
        <w:tc>
          <w:tcPr>
            <w:tcW w:w="5382" w:type="dxa"/>
            <w:tcBorders>
              <w:bottom w:val="single" w:sz="4" w:space="0" w:color="auto"/>
            </w:tcBorders>
          </w:tcPr>
          <w:p w:rsidR="0039180E" w:rsidRPr="0039180E" w:rsidRDefault="0039180E" w:rsidP="0039180E">
            <w:pPr>
              <w:spacing w:after="0" w:line="240" w:lineRule="auto"/>
              <w:jc w:val="center"/>
              <w:rPr>
                <w:rFonts w:ascii="Times New Roman" w:eastAsia="Calibri" w:hAnsi="Times New Roman" w:cs="Times New Roman"/>
                <w:b/>
                <w:smallCaps/>
                <w:sz w:val="24"/>
                <w:szCs w:val="24"/>
                <w:lang w:eastAsia="hu-HU"/>
              </w:rPr>
            </w:pPr>
            <w:r w:rsidRPr="0039180E">
              <w:rPr>
                <w:rFonts w:ascii="Times New Roman" w:eastAsia="Calibri" w:hAnsi="Times New Roman" w:cs="Times New Roman"/>
                <w:b/>
                <w:smallCaps/>
                <w:sz w:val="24"/>
                <w:szCs w:val="24"/>
                <w:lang w:eastAsia="hu-HU"/>
              </w:rPr>
              <w:lastRenderedPageBreak/>
              <w:t>Nemzeti Közszolgálati Egyetem</w:t>
            </w:r>
          </w:p>
        </w:tc>
      </w:tr>
      <w:tr w:rsidR="0039180E" w:rsidRPr="0039180E" w:rsidTr="0039180E">
        <w:tc>
          <w:tcPr>
            <w:tcW w:w="5382" w:type="dxa"/>
            <w:tcBorders>
              <w:top w:val="single" w:sz="4" w:space="0" w:color="auto"/>
            </w:tcBorders>
          </w:tcPr>
          <w:p w:rsidR="0039180E" w:rsidRPr="0039180E" w:rsidRDefault="0039180E" w:rsidP="0039180E">
            <w:pPr>
              <w:spacing w:after="0" w:line="240" w:lineRule="auto"/>
              <w:jc w:val="center"/>
              <w:rPr>
                <w:rFonts w:ascii="Times New Roman" w:eastAsia="Calibri" w:hAnsi="Times New Roman" w:cs="Times New Roman"/>
                <w:b/>
                <w:sz w:val="24"/>
                <w:szCs w:val="24"/>
                <w:lang w:eastAsia="hu-HU"/>
              </w:rPr>
            </w:pPr>
            <w:r w:rsidRPr="0039180E">
              <w:rPr>
                <w:rFonts w:ascii="Times New Roman" w:eastAsia="Calibri" w:hAnsi="Times New Roman" w:cs="Times New Roman"/>
                <w:b/>
                <w:sz w:val="24"/>
                <w:szCs w:val="24"/>
                <w:lang w:eastAsia="hu-HU"/>
              </w:rPr>
              <w:t>Hadtudományi és Honvédtisztképző Kar</w:t>
            </w:r>
          </w:p>
        </w:tc>
      </w:tr>
    </w:tbl>
    <w:p w:rsidR="0039180E" w:rsidRPr="0039180E" w:rsidRDefault="0039180E" w:rsidP="0039180E">
      <w:pPr>
        <w:spacing w:before="120" w:after="0" w:line="240" w:lineRule="auto"/>
        <w:rPr>
          <w:rFonts w:ascii="Times New Roman" w:eastAsia="Calibri" w:hAnsi="Times New Roman" w:cs="Times New Roman"/>
          <w:b/>
          <w:bCs/>
          <w:szCs w:val="28"/>
          <w:lang w:eastAsia="hu-HU"/>
        </w:rPr>
      </w:pPr>
    </w:p>
    <w:p w:rsidR="0039180E" w:rsidRPr="0039180E" w:rsidRDefault="0039180E" w:rsidP="0039180E">
      <w:pPr>
        <w:spacing w:before="120" w:after="0" w:line="240" w:lineRule="auto"/>
        <w:jc w:val="center"/>
        <w:rPr>
          <w:rFonts w:ascii="Times New Roman" w:eastAsia="Calibri" w:hAnsi="Times New Roman" w:cs="Times New Roman"/>
          <w:b/>
          <w:bCs/>
          <w:szCs w:val="28"/>
          <w:lang w:eastAsia="hu-HU"/>
        </w:rPr>
      </w:pPr>
      <w:r w:rsidRPr="0039180E">
        <w:rPr>
          <w:rFonts w:ascii="Times New Roman" w:eastAsia="Calibri" w:hAnsi="Times New Roman" w:cs="Times New Roman"/>
          <w:b/>
          <w:bCs/>
          <w:szCs w:val="28"/>
          <w:lang w:eastAsia="hu-HU"/>
        </w:rPr>
        <w:t>TANTÁRGYI PROGRAM</w:t>
      </w:r>
    </w:p>
    <w:p w:rsidR="0039180E" w:rsidRPr="0039180E" w:rsidRDefault="0039180E" w:rsidP="00980876">
      <w:pPr>
        <w:numPr>
          <w:ilvl w:val="0"/>
          <w:numId w:val="845"/>
        </w:numPr>
        <w:tabs>
          <w:tab w:val="right" w:pos="900"/>
        </w:tabs>
        <w:spacing w:before="120" w:after="0" w:line="240" w:lineRule="auto"/>
        <w:jc w:val="both"/>
        <w:rPr>
          <w:rFonts w:ascii="Times New Roman" w:eastAsia="Calibri" w:hAnsi="Times New Roman" w:cs="Times New Roman"/>
          <w:bCs/>
          <w:lang w:eastAsia="hu-HU"/>
        </w:rPr>
      </w:pPr>
      <w:r w:rsidRPr="0039180E">
        <w:rPr>
          <w:rFonts w:ascii="Times New Roman" w:eastAsia="Calibri" w:hAnsi="Times New Roman" w:cs="Times New Roman"/>
          <w:b/>
          <w:bCs/>
          <w:lang w:eastAsia="hu-HU"/>
        </w:rPr>
        <w:t xml:space="preserve">A tantárgy kódja: </w:t>
      </w:r>
      <w:r w:rsidRPr="0039180E">
        <w:rPr>
          <w:rFonts w:ascii="Times New Roman" w:eastAsia="Calibri" w:hAnsi="Times New Roman" w:cs="Times New Roman"/>
          <w:bCs/>
          <w:lang w:eastAsia="hu-HU"/>
        </w:rPr>
        <w:t>HKISZLA302</w:t>
      </w:r>
    </w:p>
    <w:p w:rsidR="0039180E" w:rsidRPr="0039180E" w:rsidRDefault="0039180E" w:rsidP="00980876">
      <w:pPr>
        <w:numPr>
          <w:ilvl w:val="0"/>
          <w:numId w:val="845"/>
        </w:numPr>
        <w:tabs>
          <w:tab w:val="right" w:pos="900"/>
        </w:tabs>
        <w:spacing w:before="120" w:after="0" w:line="240" w:lineRule="auto"/>
        <w:jc w:val="both"/>
        <w:rPr>
          <w:rFonts w:ascii="Times New Roman" w:eastAsia="Calibri" w:hAnsi="Times New Roman" w:cs="Times New Roman"/>
          <w:bCs/>
          <w:lang w:eastAsia="hu-HU"/>
        </w:rPr>
      </w:pPr>
      <w:r w:rsidRPr="0039180E">
        <w:rPr>
          <w:rFonts w:ascii="Times New Roman" w:eastAsia="Calibri" w:hAnsi="Times New Roman" w:cs="Times New Roman"/>
          <w:b/>
          <w:bCs/>
          <w:lang w:eastAsia="hu-HU"/>
        </w:rPr>
        <w:t>A tantárgy megnevezése (magyarul):</w:t>
      </w:r>
      <w:r w:rsidRPr="0039180E">
        <w:rPr>
          <w:rFonts w:ascii="Times New Roman" w:eastAsia="Calibri" w:hAnsi="Times New Roman" w:cs="Times New Roman"/>
          <w:bCs/>
          <w:lang w:eastAsia="hu-HU"/>
        </w:rPr>
        <w:t xml:space="preserve"> Szakmai Angol 6 (Katonai)</w:t>
      </w:r>
    </w:p>
    <w:p w:rsidR="0039180E" w:rsidRPr="0039180E" w:rsidRDefault="0039180E" w:rsidP="00980876">
      <w:pPr>
        <w:numPr>
          <w:ilvl w:val="0"/>
          <w:numId w:val="845"/>
        </w:numPr>
        <w:tabs>
          <w:tab w:val="right" w:pos="900"/>
        </w:tabs>
        <w:spacing w:before="120" w:after="0" w:line="240" w:lineRule="auto"/>
        <w:ind w:left="357" w:hanging="357"/>
        <w:jc w:val="both"/>
        <w:rPr>
          <w:rFonts w:ascii="Times New Roman" w:eastAsia="Calibri" w:hAnsi="Times New Roman" w:cs="Times New Roman"/>
          <w:bCs/>
          <w:lang w:eastAsia="hu-HU"/>
        </w:rPr>
      </w:pPr>
      <w:r w:rsidRPr="0039180E">
        <w:rPr>
          <w:rFonts w:ascii="Times New Roman" w:eastAsia="Calibri" w:hAnsi="Times New Roman" w:cs="Times New Roman"/>
          <w:b/>
          <w:bCs/>
          <w:lang w:eastAsia="hu-HU"/>
        </w:rPr>
        <w:t>A tantárgy megnevezése (angolul):</w:t>
      </w:r>
      <w:r w:rsidRPr="0039180E">
        <w:rPr>
          <w:rFonts w:ascii="Times New Roman" w:eastAsia="Calibri" w:hAnsi="Times New Roman" w:cs="Times New Roman"/>
          <w:bCs/>
          <w:lang w:eastAsia="hu-HU"/>
        </w:rPr>
        <w:t xml:space="preserve"> </w:t>
      </w:r>
      <w:r w:rsidRPr="0039180E">
        <w:rPr>
          <w:rFonts w:ascii="Times New Roman" w:eastAsia="Calibri" w:hAnsi="Times New Roman" w:cs="Times New Roman"/>
        </w:rPr>
        <w:t>Specialized English 6 (Military)</w:t>
      </w:r>
    </w:p>
    <w:p w:rsidR="0039180E" w:rsidRPr="0039180E" w:rsidRDefault="0039180E" w:rsidP="00980876">
      <w:pPr>
        <w:numPr>
          <w:ilvl w:val="0"/>
          <w:numId w:val="845"/>
        </w:numPr>
        <w:tabs>
          <w:tab w:val="right" w:pos="900"/>
        </w:tabs>
        <w:spacing w:before="120" w:after="0" w:line="240" w:lineRule="auto"/>
        <w:ind w:left="357" w:hanging="357"/>
        <w:jc w:val="both"/>
        <w:rPr>
          <w:rFonts w:ascii="Times New Roman" w:eastAsia="Calibri" w:hAnsi="Times New Roman" w:cs="Times New Roman"/>
          <w:bCs/>
          <w:lang w:eastAsia="hu-HU"/>
        </w:rPr>
      </w:pPr>
      <w:r w:rsidRPr="0039180E">
        <w:rPr>
          <w:rFonts w:ascii="Times New Roman" w:eastAsia="Calibri" w:hAnsi="Times New Roman" w:cs="Times New Roman"/>
          <w:b/>
          <w:bCs/>
          <w:lang w:eastAsia="hu-HU"/>
        </w:rPr>
        <w:t>Kreditérték és képzési karakter:</w:t>
      </w:r>
    </w:p>
    <w:p w:rsidR="0039180E" w:rsidRPr="0039180E" w:rsidRDefault="0039180E" w:rsidP="0039180E">
      <w:pPr>
        <w:tabs>
          <w:tab w:val="right" w:pos="900"/>
        </w:tabs>
        <w:spacing w:before="120" w:after="0" w:line="240" w:lineRule="auto"/>
        <w:ind w:left="357"/>
        <w:jc w:val="both"/>
        <w:rPr>
          <w:rFonts w:ascii="Times New Roman" w:eastAsia="Calibri" w:hAnsi="Times New Roman" w:cs="Times New Roman"/>
          <w:bCs/>
          <w:lang w:eastAsia="hu-HU"/>
        </w:rPr>
      </w:pPr>
      <w:r w:rsidRPr="0039180E">
        <w:rPr>
          <w:rFonts w:ascii="Times New Roman" w:eastAsia="Calibri" w:hAnsi="Times New Roman" w:cs="Times New Roman"/>
          <w:bCs/>
          <w:lang w:eastAsia="hu-HU"/>
        </w:rPr>
        <w:t>4.1. 0 kredit</w:t>
      </w:r>
    </w:p>
    <w:p w:rsidR="0039180E" w:rsidRPr="0039180E" w:rsidRDefault="0039180E" w:rsidP="0039180E">
      <w:pPr>
        <w:tabs>
          <w:tab w:val="right" w:pos="900"/>
        </w:tabs>
        <w:spacing w:before="120" w:after="0" w:line="240" w:lineRule="auto"/>
        <w:ind w:left="357"/>
        <w:jc w:val="both"/>
        <w:rPr>
          <w:rFonts w:ascii="Times New Roman" w:eastAsia="Calibri" w:hAnsi="Times New Roman" w:cs="Times New Roman"/>
          <w:bCs/>
          <w:lang w:eastAsia="hu-HU"/>
        </w:rPr>
      </w:pPr>
      <w:r w:rsidRPr="0039180E">
        <w:rPr>
          <w:rFonts w:ascii="Times New Roman" w:eastAsia="Calibri" w:hAnsi="Times New Roman" w:cs="Times New Roman"/>
          <w:bCs/>
          <w:lang w:eastAsia="hu-HU"/>
        </w:rPr>
        <w:t xml:space="preserve">4.2. a tantárgy elméleti vagy gyakorlati jellegének mértéke: 50.% gyakorlat, 50.% elmélet </w:t>
      </w:r>
    </w:p>
    <w:p w:rsidR="0039180E" w:rsidRPr="00D05C46" w:rsidRDefault="0039180E" w:rsidP="00980876">
      <w:pPr>
        <w:numPr>
          <w:ilvl w:val="0"/>
          <w:numId w:val="845"/>
        </w:numPr>
        <w:tabs>
          <w:tab w:val="right" w:pos="900"/>
        </w:tabs>
        <w:spacing w:before="120" w:after="0" w:line="240" w:lineRule="auto"/>
        <w:ind w:left="357" w:hanging="357"/>
        <w:jc w:val="both"/>
        <w:rPr>
          <w:rFonts w:ascii="Times New Roman" w:hAnsi="Times New Roman"/>
          <w:b/>
          <w:bCs/>
          <w:lang w:eastAsia="hu-HU"/>
        </w:rPr>
      </w:pPr>
      <w:r w:rsidRPr="0039180E">
        <w:rPr>
          <w:rFonts w:ascii="Times New Roman" w:eastAsia="Calibri" w:hAnsi="Times New Roman" w:cs="Times New Roman"/>
          <w:b/>
          <w:bCs/>
          <w:lang w:eastAsia="hu-HU"/>
        </w:rPr>
        <w:t xml:space="preserve">A szak(ok), </w:t>
      </w:r>
      <w:r w:rsidRPr="00D05C46">
        <w:rPr>
          <w:rFonts w:ascii="Times New Roman" w:eastAsia="Calibri" w:hAnsi="Times New Roman" w:cs="Times New Roman"/>
          <w:b/>
          <w:bCs/>
          <w:lang w:eastAsia="hu-HU"/>
        </w:rPr>
        <w:t>szakirányok</w:t>
      </w:r>
      <w:r w:rsidRPr="0039180E">
        <w:rPr>
          <w:rFonts w:ascii="Times New Roman" w:eastAsia="Calibri" w:hAnsi="Times New Roman" w:cs="Times New Roman"/>
          <w:b/>
          <w:bCs/>
          <w:lang w:eastAsia="hu-HU"/>
        </w:rPr>
        <w:t xml:space="preserve"> megnevezése (ahol oktatják):</w:t>
      </w:r>
      <w:r w:rsidRPr="0039180E">
        <w:rPr>
          <w:rFonts w:ascii="Times New Roman" w:eastAsia="Calibri" w:hAnsi="Times New Roman" w:cs="Times New Roman"/>
          <w:bCs/>
          <w:lang w:eastAsia="hu-HU"/>
        </w:rPr>
        <w:t xml:space="preserve"> </w:t>
      </w:r>
      <w:r w:rsidR="00D05C46" w:rsidRPr="00EC55A8">
        <w:rPr>
          <w:rFonts w:ascii="Times New Roman" w:hAnsi="Times New Roman"/>
          <w:bCs/>
          <w:lang w:eastAsia="hu-HU"/>
        </w:rPr>
        <w:t>A Hadtudományi és Honvédtisztképző Kar katonai vezetői, katonai üzemeltető és katonai logisztika alapképzési szakjain.</w:t>
      </w:r>
    </w:p>
    <w:p w:rsidR="0039180E" w:rsidRPr="0039180E" w:rsidRDefault="0039180E" w:rsidP="00980876">
      <w:pPr>
        <w:numPr>
          <w:ilvl w:val="0"/>
          <w:numId w:val="845"/>
        </w:numPr>
        <w:tabs>
          <w:tab w:val="right" w:pos="900"/>
        </w:tabs>
        <w:spacing w:before="120" w:after="0" w:line="240" w:lineRule="auto"/>
        <w:ind w:left="357" w:hanging="357"/>
        <w:jc w:val="both"/>
        <w:rPr>
          <w:rFonts w:ascii="Times New Roman" w:eastAsia="Calibri" w:hAnsi="Times New Roman" w:cs="Times New Roman"/>
          <w:b/>
          <w:bCs/>
          <w:lang w:eastAsia="hu-HU"/>
        </w:rPr>
      </w:pPr>
      <w:r w:rsidRPr="0039180E">
        <w:rPr>
          <w:rFonts w:ascii="Times New Roman" w:eastAsia="Calibri" w:hAnsi="Times New Roman" w:cs="Times New Roman"/>
          <w:b/>
          <w:bCs/>
        </w:rPr>
        <w:t xml:space="preserve">Az </w:t>
      </w:r>
      <w:r w:rsidRPr="0039180E">
        <w:rPr>
          <w:rFonts w:ascii="Times New Roman" w:eastAsia="Calibri" w:hAnsi="Times New Roman" w:cs="Times New Roman"/>
          <w:b/>
          <w:bCs/>
          <w:lang w:eastAsia="hu-HU"/>
        </w:rPr>
        <w:t>oktatásért</w:t>
      </w:r>
      <w:r w:rsidRPr="0039180E">
        <w:rPr>
          <w:rFonts w:ascii="Times New Roman" w:eastAsia="Calibri" w:hAnsi="Times New Roman" w:cs="Times New Roman"/>
          <w:b/>
          <w:bCs/>
        </w:rPr>
        <w:t xml:space="preserve"> felelős oktatási szervezeti egység megnevezése: </w:t>
      </w:r>
      <w:r w:rsidRPr="0039180E">
        <w:rPr>
          <w:rFonts w:ascii="Times New Roman" w:eastAsia="Calibri" w:hAnsi="Times New Roman" w:cs="Times New Roman"/>
          <w:bCs/>
          <w:lang w:eastAsia="hu-HU"/>
        </w:rPr>
        <w:t>Hadtudományi és Honvédtisztképző Kar, Idegennyelvi és Szaknyelvi Lektorátus</w:t>
      </w:r>
    </w:p>
    <w:p w:rsidR="0039180E" w:rsidRPr="0039180E" w:rsidRDefault="0039180E" w:rsidP="00980876">
      <w:pPr>
        <w:numPr>
          <w:ilvl w:val="0"/>
          <w:numId w:val="845"/>
        </w:numPr>
        <w:tabs>
          <w:tab w:val="right" w:pos="900"/>
        </w:tabs>
        <w:spacing w:before="120" w:after="0" w:line="240" w:lineRule="auto"/>
        <w:ind w:left="357" w:hanging="357"/>
        <w:jc w:val="both"/>
        <w:rPr>
          <w:rFonts w:ascii="Times New Roman" w:eastAsia="Calibri" w:hAnsi="Times New Roman" w:cs="Times New Roman"/>
          <w:bCs/>
          <w:lang w:eastAsia="hu-HU"/>
        </w:rPr>
      </w:pPr>
      <w:r w:rsidRPr="0039180E">
        <w:rPr>
          <w:rFonts w:ascii="Times New Roman" w:eastAsia="Calibri" w:hAnsi="Times New Roman" w:cs="Times New Roman"/>
          <w:b/>
          <w:bCs/>
          <w:lang w:eastAsia="hu-HU"/>
        </w:rPr>
        <w:t xml:space="preserve">A tantárgyfelelős </w:t>
      </w:r>
      <w:r w:rsidRPr="0039180E">
        <w:rPr>
          <w:rFonts w:ascii="Times New Roman" w:eastAsia="Calibri" w:hAnsi="Times New Roman" w:cs="Times New Roman"/>
          <w:b/>
          <w:bCs/>
        </w:rPr>
        <w:t>oktató</w:t>
      </w:r>
      <w:r w:rsidRPr="0039180E">
        <w:rPr>
          <w:rFonts w:ascii="Times New Roman" w:eastAsia="Calibri" w:hAnsi="Times New Roman" w:cs="Times New Roman"/>
          <w:b/>
          <w:bCs/>
          <w:lang w:eastAsia="hu-HU"/>
        </w:rPr>
        <w:t xml:space="preserve"> neve, beosztása, tudományos fokozata: </w:t>
      </w:r>
      <w:r w:rsidRPr="0039180E">
        <w:rPr>
          <w:rFonts w:ascii="Times New Roman" w:eastAsia="Calibri" w:hAnsi="Times New Roman" w:cs="Times New Roman"/>
          <w:bCs/>
          <w:lang w:eastAsia="hu-HU"/>
        </w:rPr>
        <w:t>Dr. Kiss Gabriella lektorátusvezető</w:t>
      </w:r>
    </w:p>
    <w:p w:rsidR="0039180E" w:rsidRPr="0039180E" w:rsidRDefault="0039180E" w:rsidP="00980876">
      <w:pPr>
        <w:numPr>
          <w:ilvl w:val="0"/>
          <w:numId w:val="845"/>
        </w:numPr>
        <w:tabs>
          <w:tab w:val="right" w:pos="900"/>
        </w:tabs>
        <w:spacing w:before="120" w:after="0" w:line="240" w:lineRule="auto"/>
        <w:jc w:val="both"/>
        <w:rPr>
          <w:rFonts w:ascii="Times New Roman" w:eastAsia="Calibri" w:hAnsi="Times New Roman" w:cs="Times New Roman"/>
          <w:bCs/>
          <w:lang w:eastAsia="hu-HU"/>
        </w:rPr>
      </w:pPr>
      <w:r w:rsidRPr="0039180E">
        <w:rPr>
          <w:rFonts w:ascii="Times New Roman" w:eastAsia="Calibri" w:hAnsi="Times New Roman" w:cs="Times New Roman"/>
          <w:b/>
          <w:bCs/>
          <w:lang w:eastAsia="hu-HU"/>
        </w:rPr>
        <w:t xml:space="preserve">A tanórákszáma és típusa </w:t>
      </w:r>
      <w:r w:rsidRPr="0039180E">
        <w:rPr>
          <w:rFonts w:ascii="Times New Roman" w:eastAsia="Calibri" w:hAnsi="Times New Roman" w:cs="Times New Roman"/>
          <w:b/>
          <w:bCs/>
          <w:i/>
          <w:lang w:eastAsia="hu-HU"/>
        </w:rPr>
        <w:t>(előadás+szeminárium+gyakorlat):</w:t>
      </w:r>
    </w:p>
    <w:p w:rsidR="0039180E" w:rsidRPr="0039180E" w:rsidRDefault="0039180E" w:rsidP="00980876">
      <w:pPr>
        <w:numPr>
          <w:ilvl w:val="1"/>
          <w:numId w:val="845"/>
        </w:numPr>
        <w:tabs>
          <w:tab w:val="right" w:pos="900"/>
        </w:tabs>
        <w:spacing w:before="120" w:after="0" w:line="240" w:lineRule="auto"/>
        <w:jc w:val="both"/>
        <w:rPr>
          <w:rFonts w:ascii="Times New Roman" w:eastAsia="Calibri" w:hAnsi="Times New Roman" w:cs="Times New Roman"/>
          <w:bCs/>
          <w:lang w:eastAsia="hu-HU"/>
        </w:rPr>
      </w:pPr>
      <w:r w:rsidRPr="0039180E">
        <w:rPr>
          <w:rFonts w:ascii="Times New Roman" w:eastAsia="Calibri" w:hAnsi="Times New Roman" w:cs="Times New Roman"/>
          <w:bCs/>
          <w:lang w:eastAsia="hu-HU"/>
        </w:rPr>
        <w:t>összóraszám: 28</w:t>
      </w:r>
    </w:p>
    <w:p w:rsidR="0039180E" w:rsidRPr="0039180E" w:rsidRDefault="0039180E" w:rsidP="00980876">
      <w:pPr>
        <w:numPr>
          <w:ilvl w:val="2"/>
          <w:numId w:val="845"/>
        </w:numPr>
        <w:tabs>
          <w:tab w:val="right" w:pos="900"/>
        </w:tabs>
        <w:spacing w:before="120" w:after="0" w:line="240" w:lineRule="auto"/>
        <w:jc w:val="both"/>
        <w:rPr>
          <w:rFonts w:ascii="Times New Roman" w:eastAsia="Calibri" w:hAnsi="Times New Roman" w:cs="Times New Roman"/>
          <w:bCs/>
          <w:lang w:eastAsia="hu-HU"/>
        </w:rPr>
      </w:pPr>
      <w:r w:rsidRPr="0039180E">
        <w:rPr>
          <w:rFonts w:ascii="Times New Roman" w:eastAsia="Calibri" w:hAnsi="Times New Roman" w:cs="Times New Roman"/>
          <w:bCs/>
          <w:lang w:eastAsia="hu-HU"/>
        </w:rPr>
        <w:t>Nappali munkarend: 28 (14 EA + 0 SZ + 14 GY)</w:t>
      </w:r>
    </w:p>
    <w:p w:rsidR="0039180E" w:rsidRPr="0039180E" w:rsidRDefault="0039180E" w:rsidP="00980876">
      <w:pPr>
        <w:numPr>
          <w:ilvl w:val="2"/>
          <w:numId w:val="845"/>
        </w:numPr>
        <w:tabs>
          <w:tab w:val="right" w:pos="900"/>
        </w:tabs>
        <w:spacing w:before="120" w:after="0" w:line="240" w:lineRule="auto"/>
        <w:jc w:val="both"/>
        <w:rPr>
          <w:rFonts w:ascii="Times New Roman" w:eastAsia="Calibri" w:hAnsi="Times New Roman" w:cs="Times New Roman"/>
          <w:bCs/>
          <w:lang w:eastAsia="hu-HU"/>
        </w:rPr>
      </w:pPr>
      <w:r w:rsidRPr="0039180E">
        <w:rPr>
          <w:rFonts w:ascii="Times New Roman" w:eastAsia="Calibri" w:hAnsi="Times New Roman" w:cs="Times New Roman"/>
          <w:bCs/>
          <w:lang w:eastAsia="hu-HU"/>
        </w:rPr>
        <w:t>Levelező munkarend: -</w:t>
      </w:r>
    </w:p>
    <w:p w:rsidR="0039180E" w:rsidRPr="0039180E" w:rsidRDefault="0039180E" w:rsidP="00980876">
      <w:pPr>
        <w:numPr>
          <w:ilvl w:val="1"/>
          <w:numId w:val="845"/>
        </w:numPr>
        <w:tabs>
          <w:tab w:val="right" w:pos="900"/>
        </w:tabs>
        <w:spacing w:before="120" w:after="0" w:line="240" w:lineRule="auto"/>
        <w:jc w:val="both"/>
        <w:rPr>
          <w:rFonts w:ascii="Times New Roman" w:eastAsia="Calibri" w:hAnsi="Times New Roman" w:cs="Times New Roman"/>
          <w:bCs/>
          <w:lang w:eastAsia="hu-HU"/>
        </w:rPr>
      </w:pPr>
      <w:r w:rsidRPr="0039180E">
        <w:rPr>
          <w:rFonts w:ascii="Times New Roman" w:eastAsia="Calibri" w:hAnsi="Times New Roman" w:cs="Times New Roman"/>
          <w:bCs/>
          <w:lang w:eastAsia="hu-HU"/>
        </w:rPr>
        <w:t xml:space="preserve">heti óraszám nappali munkarend: </w:t>
      </w:r>
      <w:r>
        <w:rPr>
          <w:rFonts w:ascii="Times New Roman" w:eastAsia="Calibri" w:hAnsi="Times New Roman" w:cs="Times New Roman"/>
          <w:bCs/>
          <w:lang w:eastAsia="hu-HU"/>
        </w:rPr>
        <w:t>2</w:t>
      </w:r>
      <w:r w:rsidR="00D05C46">
        <w:rPr>
          <w:rFonts w:ascii="Times New Roman" w:eastAsia="Calibri" w:hAnsi="Times New Roman" w:cs="Times New Roman"/>
          <w:bCs/>
          <w:lang w:eastAsia="hu-HU"/>
        </w:rPr>
        <w:t xml:space="preserve"> </w:t>
      </w:r>
      <w:r>
        <w:rPr>
          <w:rFonts w:ascii="Times New Roman" w:eastAsia="Calibri" w:hAnsi="Times New Roman" w:cs="Times New Roman"/>
          <w:bCs/>
          <w:lang w:eastAsia="hu-HU"/>
        </w:rPr>
        <w:t>(1+1)</w:t>
      </w:r>
      <w:r w:rsidRPr="0039180E">
        <w:rPr>
          <w:rFonts w:ascii="Times New Roman" w:eastAsia="Calibri" w:hAnsi="Times New Roman" w:cs="Times New Roman"/>
          <w:bCs/>
          <w:lang w:eastAsia="hu-HU"/>
        </w:rPr>
        <w:t xml:space="preserve"> óra </w:t>
      </w:r>
    </w:p>
    <w:p w:rsidR="0039180E" w:rsidRPr="0039180E" w:rsidRDefault="0039180E" w:rsidP="00980876">
      <w:pPr>
        <w:numPr>
          <w:ilvl w:val="1"/>
          <w:numId w:val="845"/>
        </w:numPr>
        <w:tabs>
          <w:tab w:val="right" w:pos="900"/>
        </w:tabs>
        <w:spacing w:before="120" w:after="0" w:line="240" w:lineRule="auto"/>
        <w:jc w:val="both"/>
        <w:rPr>
          <w:rFonts w:ascii="Times New Roman" w:eastAsia="Calibri" w:hAnsi="Times New Roman" w:cs="Times New Roman"/>
          <w:bCs/>
          <w:lang w:eastAsia="hu-HU"/>
        </w:rPr>
      </w:pPr>
      <w:r w:rsidRPr="0039180E">
        <w:rPr>
          <w:rFonts w:ascii="Times New Roman" w:eastAsia="Calibri" w:hAnsi="Times New Roman" w:cs="Times New Roman"/>
          <w:bCs/>
          <w:lang w:eastAsia="hu-HU"/>
        </w:rPr>
        <w:t>Az ismeret átadásában alkalmazandó további sajátos módok, jellemzők:</w:t>
      </w:r>
    </w:p>
    <w:p w:rsidR="0039180E" w:rsidRPr="0039180E" w:rsidRDefault="0039180E" w:rsidP="00980876">
      <w:pPr>
        <w:numPr>
          <w:ilvl w:val="0"/>
          <w:numId w:val="845"/>
        </w:numPr>
        <w:tabs>
          <w:tab w:val="right" w:pos="900"/>
          <w:tab w:val="center" w:pos="4536"/>
          <w:tab w:val="right" w:pos="9072"/>
        </w:tabs>
        <w:spacing w:before="120" w:after="0" w:line="240" w:lineRule="auto"/>
        <w:ind w:left="357" w:hanging="357"/>
        <w:jc w:val="both"/>
        <w:rPr>
          <w:rFonts w:ascii="Times New Roman" w:eastAsia="Calibri" w:hAnsi="Times New Roman" w:cs="Times New Roman"/>
          <w:bCs/>
          <w:lang w:eastAsia="hu-HU"/>
        </w:rPr>
      </w:pPr>
      <w:r w:rsidRPr="0039180E">
        <w:rPr>
          <w:rFonts w:ascii="Times New Roman" w:eastAsia="Calibri" w:hAnsi="Times New Roman" w:cs="Times New Roman"/>
          <w:b/>
          <w:bCs/>
          <w:lang w:eastAsia="hu-HU"/>
        </w:rPr>
        <w:t xml:space="preserve">A tantárgy szakmai tartalma (magyarul): </w:t>
      </w:r>
      <w:r w:rsidRPr="0039180E">
        <w:rPr>
          <w:rFonts w:ascii="CG Times (W1)" w:eastAsia="Calibri" w:hAnsi="CG Times (W1)" w:cs="Times New Roman"/>
          <w:bCs/>
          <w:lang w:eastAsia="hu-HU"/>
        </w:rPr>
        <w:t>A szakmai angol nyelv ismereteinek elsajátítása, beszédkészség, beszédértés és íráskészségek fejlesztése.</w:t>
      </w:r>
    </w:p>
    <w:p w:rsidR="0039180E" w:rsidRPr="0039180E" w:rsidRDefault="0039180E" w:rsidP="0039180E">
      <w:pPr>
        <w:spacing w:before="120" w:after="0" w:line="240" w:lineRule="auto"/>
        <w:ind w:left="357"/>
        <w:contextualSpacing/>
        <w:jc w:val="both"/>
        <w:rPr>
          <w:rFonts w:ascii="Times New Roman" w:eastAsia="Calibri" w:hAnsi="Times New Roman" w:cs="Times New Roman"/>
          <w:bCs/>
          <w:lang w:eastAsia="hu-HU"/>
        </w:rPr>
      </w:pPr>
      <w:r w:rsidRPr="0039180E">
        <w:rPr>
          <w:rFonts w:ascii="Times New Roman" w:eastAsia="Calibri" w:hAnsi="Times New Roman" w:cs="Times New Roman"/>
          <w:b/>
          <w:bCs/>
          <w:lang w:eastAsia="hu-HU"/>
        </w:rPr>
        <w:t>A tantárgy szakmai tartalma (angolul):</w:t>
      </w:r>
      <w:r w:rsidRPr="0039180E">
        <w:rPr>
          <w:rFonts w:ascii="Times New Roman" w:eastAsia="Calibri" w:hAnsi="Times New Roman" w:cs="Times New Roman"/>
          <w:bCs/>
          <w:lang w:eastAsia="hu-HU"/>
        </w:rPr>
        <w:t xml:space="preserve"> Acquirement of professional English language, and the enhancement of speaking, listening, and writing skills.</w:t>
      </w:r>
    </w:p>
    <w:p w:rsidR="0039180E" w:rsidRPr="0039180E" w:rsidRDefault="0039180E" w:rsidP="00980876">
      <w:pPr>
        <w:numPr>
          <w:ilvl w:val="0"/>
          <w:numId w:val="845"/>
        </w:numPr>
        <w:tabs>
          <w:tab w:val="right" w:pos="900"/>
        </w:tabs>
        <w:spacing w:before="120" w:after="0" w:line="240" w:lineRule="auto"/>
        <w:jc w:val="both"/>
        <w:rPr>
          <w:rFonts w:ascii="Times New Roman" w:eastAsia="Calibri" w:hAnsi="Times New Roman" w:cs="Times New Roman"/>
          <w:bCs/>
          <w:lang w:eastAsia="hu-HU"/>
        </w:rPr>
      </w:pPr>
      <w:r w:rsidRPr="0039180E">
        <w:rPr>
          <w:rFonts w:ascii="Times New Roman" w:eastAsia="Calibri" w:hAnsi="Times New Roman" w:cs="Times New Roman"/>
          <w:b/>
          <w:bCs/>
          <w:lang w:eastAsia="hu-HU"/>
        </w:rPr>
        <w:t>Elérendő kompetenciák (magyarul):</w:t>
      </w:r>
    </w:p>
    <w:p w:rsidR="0039180E" w:rsidRPr="0039180E" w:rsidRDefault="0039180E" w:rsidP="0039180E">
      <w:pPr>
        <w:tabs>
          <w:tab w:val="right" w:pos="900"/>
        </w:tabs>
        <w:spacing w:before="120" w:after="0" w:line="240" w:lineRule="auto"/>
        <w:jc w:val="both"/>
        <w:rPr>
          <w:rFonts w:ascii="Times New Roman" w:eastAsia="Calibri" w:hAnsi="Times New Roman" w:cs="Times New Roman"/>
          <w:bCs/>
          <w:lang w:eastAsia="hu-HU"/>
        </w:rPr>
      </w:pPr>
      <w:r w:rsidRPr="0039180E">
        <w:rPr>
          <w:rFonts w:ascii="Times New Roman" w:eastAsia="Calibri" w:hAnsi="Times New Roman" w:cs="Times New Roman"/>
          <w:b/>
          <w:bCs/>
          <w:lang w:eastAsia="hu-HU"/>
        </w:rPr>
        <w:t>Tudása:</w:t>
      </w:r>
      <w:r w:rsidRPr="0039180E">
        <w:rPr>
          <w:rFonts w:ascii="Times New Roman" w:eastAsia="Calibri" w:hAnsi="Times New Roman" w:cs="Times New Roman"/>
          <w:bCs/>
          <w:lang w:eastAsia="hu-HU"/>
        </w:rPr>
        <w:t xml:space="preserve"> </w:t>
      </w:r>
    </w:p>
    <w:p w:rsidR="0039180E" w:rsidRPr="0039180E" w:rsidRDefault="0039180E" w:rsidP="00980876">
      <w:pPr>
        <w:numPr>
          <w:ilvl w:val="0"/>
          <w:numId w:val="585"/>
        </w:numPr>
        <w:tabs>
          <w:tab w:val="right" w:pos="900"/>
        </w:tabs>
        <w:spacing w:after="0" w:line="240" w:lineRule="auto"/>
        <w:ind w:left="426"/>
        <w:contextualSpacing/>
        <w:jc w:val="both"/>
        <w:rPr>
          <w:rFonts w:ascii="Times New Roman" w:eastAsia="Calibri" w:hAnsi="Times New Roman" w:cs="Times New Roman"/>
          <w:bCs/>
          <w:lang w:eastAsia="hu-HU"/>
        </w:rPr>
      </w:pPr>
      <w:r w:rsidRPr="0039180E">
        <w:rPr>
          <w:rFonts w:ascii="Times New Roman" w:eastAsia="Calibri" w:hAnsi="Times New Roman" w:cs="Times New Roman"/>
          <w:bCs/>
          <w:lang w:eastAsia="hu-HU"/>
        </w:rPr>
        <w:t>Ismeri az összfegyvernemi harc megvívásával, a harctámogatással, a harckiszolgáló támogatással, a haderőnemek, a fegyvernemek és szakcsapatok szervezeti felépítésével és harceljárásaival kapcsolatos alapszókincset.</w:t>
      </w:r>
    </w:p>
    <w:p w:rsidR="0039180E" w:rsidRPr="0039180E" w:rsidRDefault="0039180E" w:rsidP="00980876">
      <w:pPr>
        <w:numPr>
          <w:ilvl w:val="0"/>
          <w:numId w:val="585"/>
        </w:numPr>
        <w:tabs>
          <w:tab w:val="right" w:pos="900"/>
        </w:tabs>
        <w:spacing w:after="0" w:line="240" w:lineRule="auto"/>
        <w:ind w:left="426"/>
        <w:contextualSpacing/>
        <w:jc w:val="both"/>
        <w:rPr>
          <w:rFonts w:ascii="Times New Roman" w:eastAsia="Calibri" w:hAnsi="Times New Roman" w:cs="Times New Roman"/>
          <w:bCs/>
          <w:lang w:eastAsia="hu-HU"/>
        </w:rPr>
      </w:pPr>
      <w:r w:rsidRPr="0039180E">
        <w:rPr>
          <w:rFonts w:ascii="Times New Roman" w:eastAsia="Calibri" w:hAnsi="Times New Roman" w:cs="Times New Roman"/>
          <w:bCs/>
          <w:lang w:eastAsia="hu-HU"/>
        </w:rPr>
        <w:t>Birtokában van azon nyelvtani ismereteknek, melyek szükségesek az összfegyvernemi harc megvívásával, a harctámogatással, a harckiszolgáló támogatással, a haderőnemek, a fegyvernemek és szakcsapatok szervezeti felépítésével és harceljárásaival kapcsolatos kommunikáció lebonyolításához.</w:t>
      </w:r>
    </w:p>
    <w:p w:rsidR="0039180E" w:rsidRPr="0039180E" w:rsidRDefault="0039180E" w:rsidP="00980876">
      <w:pPr>
        <w:numPr>
          <w:ilvl w:val="0"/>
          <w:numId w:val="585"/>
        </w:numPr>
        <w:tabs>
          <w:tab w:val="right" w:pos="900"/>
        </w:tabs>
        <w:spacing w:after="0" w:line="240" w:lineRule="auto"/>
        <w:ind w:left="426"/>
        <w:contextualSpacing/>
        <w:jc w:val="both"/>
        <w:rPr>
          <w:rFonts w:ascii="Times New Roman" w:eastAsia="Calibri" w:hAnsi="Times New Roman" w:cs="Times New Roman"/>
          <w:bCs/>
          <w:lang w:eastAsia="hu-HU"/>
        </w:rPr>
      </w:pPr>
      <w:r w:rsidRPr="0039180E">
        <w:rPr>
          <w:rFonts w:ascii="Times New Roman" w:eastAsia="Calibri" w:hAnsi="Times New Roman" w:cs="Times New Roman"/>
          <w:bCs/>
          <w:lang w:eastAsia="hu-HU"/>
        </w:rPr>
        <w:t>Ismeri a NATO dokumentumok megértéséhez szükséges angol terminológiát</w:t>
      </w:r>
    </w:p>
    <w:p w:rsidR="0039180E" w:rsidRPr="0039180E" w:rsidRDefault="0039180E" w:rsidP="00980876">
      <w:pPr>
        <w:numPr>
          <w:ilvl w:val="0"/>
          <w:numId w:val="585"/>
        </w:numPr>
        <w:tabs>
          <w:tab w:val="right" w:pos="900"/>
        </w:tabs>
        <w:spacing w:after="0" w:line="240" w:lineRule="auto"/>
        <w:ind w:left="426"/>
        <w:contextualSpacing/>
        <w:jc w:val="both"/>
        <w:rPr>
          <w:rFonts w:ascii="Times New Roman" w:eastAsia="Calibri" w:hAnsi="Times New Roman" w:cs="Times New Roman"/>
          <w:bCs/>
          <w:lang w:eastAsia="hu-HU"/>
        </w:rPr>
      </w:pPr>
      <w:r w:rsidRPr="0039180E">
        <w:rPr>
          <w:rFonts w:ascii="Times New Roman" w:eastAsia="Calibri" w:hAnsi="Times New Roman" w:cs="Times New Roman"/>
          <w:bCs/>
          <w:lang w:eastAsia="hu-HU"/>
        </w:rPr>
        <w:t>Ismeri a béketámogató műveletek, a Magyar Honvédség békeműveleti feladatai valamint a békefenntartó eljárások leírásához szükséges angol terminológiát</w:t>
      </w:r>
    </w:p>
    <w:p w:rsidR="0039180E" w:rsidRPr="0039180E" w:rsidRDefault="0039180E" w:rsidP="0039180E">
      <w:pPr>
        <w:tabs>
          <w:tab w:val="right" w:pos="900"/>
        </w:tabs>
        <w:spacing w:before="120" w:after="0" w:line="240" w:lineRule="auto"/>
        <w:jc w:val="both"/>
        <w:rPr>
          <w:rFonts w:ascii="Times New Roman" w:eastAsia="Calibri" w:hAnsi="Times New Roman" w:cs="Times New Roman"/>
          <w:bCs/>
          <w:lang w:eastAsia="hu-HU"/>
        </w:rPr>
      </w:pPr>
      <w:r w:rsidRPr="0039180E">
        <w:rPr>
          <w:rFonts w:ascii="Times New Roman" w:eastAsia="Calibri" w:hAnsi="Times New Roman" w:cs="Times New Roman"/>
          <w:b/>
          <w:bCs/>
          <w:lang w:eastAsia="hu-HU"/>
        </w:rPr>
        <w:t>Képességei:</w:t>
      </w:r>
      <w:r w:rsidRPr="0039180E">
        <w:rPr>
          <w:rFonts w:ascii="Times New Roman" w:eastAsia="Calibri" w:hAnsi="Times New Roman" w:cs="Times New Roman"/>
          <w:bCs/>
          <w:lang w:eastAsia="hu-HU"/>
        </w:rPr>
        <w:t xml:space="preserve"> </w:t>
      </w:r>
    </w:p>
    <w:p w:rsidR="0039180E" w:rsidRPr="0039180E" w:rsidRDefault="0039180E" w:rsidP="00980876">
      <w:pPr>
        <w:numPr>
          <w:ilvl w:val="0"/>
          <w:numId w:val="584"/>
        </w:numPr>
        <w:tabs>
          <w:tab w:val="right" w:pos="900"/>
        </w:tabs>
        <w:spacing w:after="0" w:line="240" w:lineRule="auto"/>
        <w:ind w:left="426"/>
        <w:contextualSpacing/>
        <w:jc w:val="both"/>
        <w:rPr>
          <w:rFonts w:ascii="Times New Roman" w:eastAsia="Calibri" w:hAnsi="Times New Roman" w:cs="Times New Roman"/>
          <w:bCs/>
          <w:lang w:eastAsia="hu-HU"/>
        </w:rPr>
      </w:pPr>
      <w:r w:rsidRPr="0039180E">
        <w:rPr>
          <w:rFonts w:ascii="Times New Roman" w:eastAsia="Calibri" w:hAnsi="Times New Roman" w:cs="Times New Roman"/>
          <w:bCs/>
          <w:lang w:eastAsia="hu-HU"/>
        </w:rPr>
        <w:t>Képes a szakterületéhez kapcsolódó NATO dokumentumok megértésére.</w:t>
      </w:r>
    </w:p>
    <w:p w:rsidR="0039180E" w:rsidRPr="0039180E" w:rsidRDefault="0039180E" w:rsidP="00980876">
      <w:pPr>
        <w:numPr>
          <w:ilvl w:val="0"/>
          <w:numId w:val="584"/>
        </w:numPr>
        <w:tabs>
          <w:tab w:val="right" w:pos="900"/>
        </w:tabs>
        <w:spacing w:after="0" w:line="240" w:lineRule="auto"/>
        <w:ind w:left="426"/>
        <w:contextualSpacing/>
        <w:jc w:val="both"/>
        <w:rPr>
          <w:rFonts w:ascii="Times New Roman" w:eastAsia="Calibri" w:hAnsi="Times New Roman" w:cs="Times New Roman"/>
          <w:bCs/>
          <w:lang w:eastAsia="hu-HU"/>
        </w:rPr>
      </w:pPr>
      <w:r w:rsidRPr="0039180E">
        <w:rPr>
          <w:rFonts w:ascii="Times New Roman" w:eastAsia="Calibri" w:hAnsi="Times New Roman" w:cs="Times New Roman"/>
          <w:bCs/>
          <w:lang w:eastAsia="hu-HU"/>
        </w:rPr>
        <w:t>Képes alkalmazni a szakterületéhez tartozó angol terminológiát</w:t>
      </w:r>
    </w:p>
    <w:p w:rsidR="0039180E" w:rsidRPr="0039180E" w:rsidRDefault="0039180E" w:rsidP="00980876">
      <w:pPr>
        <w:numPr>
          <w:ilvl w:val="0"/>
          <w:numId w:val="584"/>
        </w:numPr>
        <w:tabs>
          <w:tab w:val="right" w:pos="900"/>
        </w:tabs>
        <w:spacing w:after="0" w:line="240" w:lineRule="auto"/>
        <w:ind w:left="426"/>
        <w:contextualSpacing/>
        <w:jc w:val="both"/>
        <w:rPr>
          <w:rFonts w:ascii="Times New Roman" w:eastAsia="Calibri" w:hAnsi="Times New Roman" w:cs="Times New Roman"/>
          <w:bCs/>
          <w:lang w:eastAsia="hu-HU"/>
        </w:rPr>
      </w:pPr>
      <w:r w:rsidRPr="0039180E">
        <w:rPr>
          <w:rFonts w:ascii="Times New Roman" w:eastAsia="Calibri" w:hAnsi="Times New Roman" w:cs="Times New Roman"/>
          <w:bCs/>
          <w:lang w:eastAsia="hu-HU"/>
        </w:rPr>
        <w:t>Képes angol nyelven dokumentumokat, nyomtatványokat, jegyzőkönyveket,  feljegyzéseket készíteni, valamint azokat kitölteni.</w:t>
      </w:r>
    </w:p>
    <w:p w:rsidR="0039180E" w:rsidRPr="0039180E" w:rsidRDefault="0039180E" w:rsidP="00980876">
      <w:pPr>
        <w:numPr>
          <w:ilvl w:val="0"/>
          <w:numId w:val="584"/>
        </w:numPr>
        <w:tabs>
          <w:tab w:val="right" w:pos="900"/>
        </w:tabs>
        <w:spacing w:after="0" w:line="240" w:lineRule="auto"/>
        <w:ind w:left="426"/>
        <w:contextualSpacing/>
        <w:jc w:val="both"/>
        <w:rPr>
          <w:rFonts w:ascii="Times New Roman" w:eastAsia="Calibri" w:hAnsi="Times New Roman" w:cs="Times New Roman"/>
          <w:bCs/>
          <w:lang w:eastAsia="hu-HU"/>
        </w:rPr>
      </w:pPr>
      <w:r w:rsidRPr="0039180E">
        <w:rPr>
          <w:rFonts w:ascii="Times New Roman" w:eastAsia="Calibri" w:hAnsi="Times New Roman" w:cs="Times New Roman"/>
          <w:bCs/>
          <w:lang w:eastAsia="hu-HU"/>
        </w:rPr>
        <w:t>Képes prezentációkat és eligazításokat tartani angol nyelven.</w:t>
      </w:r>
    </w:p>
    <w:p w:rsidR="0039180E" w:rsidRPr="0039180E" w:rsidRDefault="0039180E" w:rsidP="00980876">
      <w:pPr>
        <w:numPr>
          <w:ilvl w:val="0"/>
          <w:numId w:val="584"/>
        </w:numPr>
        <w:tabs>
          <w:tab w:val="right" w:pos="900"/>
        </w:tabs>
        <w:spacing w:after="0" w:line="240" w:lineRule="auto"/>
        <w:ind w:left="426"/>
        <w:contextualSpacing/>
        <w:jc w:val="both"/>
        <w:rPr>
          <w:rFonts w:ascii="Times New Roman" w:eastAsia="Calibri" w:hAnsi="Times New Roman" w:cs="Times New Roman"/>
          <w:bCs/>
          <w:lang w:eastAsia="hu-HU"/>
        </w:rPr>
      </w:pPr>
      <w:r w:rsidRPr="0039180E">
        <w:rPr>
          <w:rFonts w:ascii="Times New Roman" w:eastAsia="Calibri" w:hAnsi="Times New Roman" w:cs="Times New Roman"/>
          <w:bCs/>
          <w:lang w:eastAsia="hu-HU"/>
        </w:rPr>
        <w:lastRenderedPageBreak/>
        <w:t>Képes a szakterületéhez kapcsolódó angol nyelvű prezentációk, eligazítások és munkával kapcsolatos megbeszélések lényegét megérteni.</w:t>
      </w:r>
    </w:p>
    <w:p w:rsidR="0039180E" w:rsidRPr="0039180E" w:rsidRDefault="0039180E" w:rsidP="00980876">
      <w:pPr>
        <w:widowControl w:val="0"/>
        <w:numPr>
          <w:ilvl w:val="0"/>
          <w:numId w:val="584"/>
        </w:numPr>
        <w:spacing w:after="0" w:line="240" w:lineRule="auto"/>
        <w:ind w:left="426"/>
        <w:contextualSpacing/>
        <w:jc w:val="both"/>
        <w:rPr>
          <w:rFonts w:ascii="Times New Roman" w:eastAsia="Calibri" w:hAnsi="Times New Roman" w:cs="Times New Roman"/>
        </w:rPr>
      </w:pPr>
      <w:r w:rsidRPr="0039180E">
        <w:rPr>
          <w:rFonts w:ascii="Times New Roman" w:eastAsia="Calibri" w:hAnsi="Times New Roman" w:cs="Times New Roman"/>
        </w:rPr>
        <w:t>Képes oly mértékben folyékonyan és spontánul kommunikálni anyanyelvi beszélőkkel, hogy az nem jelent megerőltetést semelyik fél számára.</w:t>
      </w:r>
    </w:p>
    <w:p w:rsidR="0039180E" w:rsidRPr="0039180E" w:rsidRDefault="0039180E" w:rsidP="0039180E">
      <w:pPr>
        <w:tabs>
          <w:tab w:val="right" w:pos="900"/>
        </w:tabs>
        <w:spacing w:before="120" w:after="0" w:line="240" w:lineRule="auto"/>
        <w:jc w:val="both"/>
        <w:rPr>
          <w:rFonts w:ascii="Times New Roman" w:eastAsia="Calibri" w:hAnsi="Times New Roman" w:cs="Times New Roman"/>
          <w:bCs/>
          <w:lang w:eastAsia="hu-HU"/>
        </w:rPr>
      </w:pPr>
      <w:r w:rsidRPr="0039180E">
        <w:rPr>
          <w:rFonts w:ascii="Times New Roman" w:eastAsia="Calibri" w:hAnsi="Times New Roman" w:cs="Times New Roman"/>
          <w:b/>
          <w:bCs/>
          <w:lang w:eastAsia="hu-HU"/>
        </w:rPr>
        <w:t>Attitüdje:</w:t>
      </w:r>
      <w:r w:rsidRPr="0039180E">
        <w:rPr>
          <w:rFonts w:ascii="Times New Roman" w:eastAsia="Calibri" w:hAnsi="Times New Roman" w:cs="Times New Roman"/>
          <w:bCs/>
          <w:lang w:eastAsia="hu-HU"/>
        </w:rPr>
        <w:t xml:space="preserve"> </w:t>
      </w:r>
    </w:p>
    <w:p w:rsidR="0039180E" w:rsidRPr="0039180E" w:rsidRDefault="0039180E" w:rsidP="00980876">
      <w:pPr>
        <w:numPr>
          <w:ilvl w:val="0"/>
          <w:numId w:val="5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contextualSpacing/>
        <w:jc w:val="both"/>
        <w:rPr>
          <w:rFonts w:ascii="Times New Roman" w:eastAsia="Calibri" w:hAnsi="Times New Roman" w:cs="Times New Roman"/>
        </w:rPr>
      </w:pPr>
      <w:r w:rsidRPr="0039180E">
        <w:rPr>
          <w:rFonts w:ascii="Times New Roman" w:eastAsia="Calibri" w:hAnsi="Times New Roman" w:cs="Times New Roman"/>
        </w:rPr>
        <w:t>Hajlandó elsajátítani a szakterületéhez tartozó új terminológiát, igyekszik annak megértésére és használatára, és törekszik a saját szakterületén a folyamatos nyelvi vonatkozású önképzésre.</w:t>
      </w:r>
    </w:p>
    <w:p w:rsidR="0039180E" w:rsidRPr="0039180E" w:rsidRDefault="0039180E" w:rsidP="00980876">
      <w:pPr>
        <w:numPr>
          <w:ilvl w:val="0"/>
          <w:numId w:val="5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contextualSpacing/>
        <w:jc w:val="both"/>
        <w:rPr>
          <w:rFonts w:ascii="Times New Roman" w:eastAsia="Calibri" w:hAnsi="Times New Roman" w:cs="Times New Roman"/>
        </w:rPr>
      </w:pPr>
      <w:r w:rsidRPr="0039180E">
        <w:rPr>
          <w:rFonts w:ascii="Times New Roman" w:eastAsia="Calibri" w:hAnsi="Times New Roman" w:cs="Times New Roman"/>
        </w:rPr>
        <w:t>Az angol nyelv használata során pontosságra törekszik.</w:t>
      </w:r>
    </w:p>
    <w:p w:rsidR="0039180E" w:rsidRPr="0039180E" w:rsidRDefault="0039180E" w:rsidP="00980876">
      <w:pPr>
        <w:numPr>
          <w:ilvl w:val="0"/>
          <w:numId w:val="5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contextualSpacing/>
        <w:jc w:val="both"/>
        <w:rPr>
          <w:rFonts w:ascii="Times New Roman" w:eastAsia="Calibri" w:hAnsi="Times New Roman" w:cs="Times New Roman"/>
        </w:rPr>
      </w:pPr>
      <w:r w:rsidRPr="0039180E">
        <w:rPr>
          <w:rFonts w:ascii="Times New Roman" w:eastAsia="Calibri" w:hAnsi="Times New Roman" w:cs="Times New Roman"/>
        </w:rPr>
        <w:t>Nem fél vagy szégyell segítséget kérni abban az esetben, ha nehézségekkel szembesül a nyelvhasználat során.</w:t>
      </w:r>
    </w:p>
    <w:p w:rsidR="0039180E" w:rsidRPr="0039180E" w:rsidRDefault="0039180E" w:rsidP="00980876">
      <w:pPr>
        <w:numPr>
          <w:ilvl w:val="0"/>
          <w:numId w:val="5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contextualSpacing/>
        <w:jc w:val="both"/>
        <w:rPr>
          <w:rFonts w:ascii="Times New Roman" w:eastAsia="Calibri" w:hAnsi="Times New Roman" w:cs="Times New Roman"/>
        </w:rPr>
      </w:pPr>
      <w:r w:rsidRPr="0039180E">
        <w:rPr>
          <w:rFonts w:ascii="Times New Roman" w:eastAsia="Calibri" w:hAnsi="Times New Roman" w:cs="Times New Roman"/>
        </w:rPr>
        <w:t>Minden alkalmat megragad nyelvi készségeinek fejlesztésére.</w:t>
      </w:r>
    </w:p>
    <w:p w:rsidR="0039180E" w:rsidRPr="0039180E" w:rsidRDefault="0039180E" w:rsidP="0039180E">
      <w:pPr>
        <w:tabs>
          <w:tab w:val="right" w:pos="900"/>
        </w:tabs>
        <w:spacing w:before="120" w:after="0" w:line="240" w:lineRule="auto"/>
        <w:jc w:val="both"/>
        <w:rPr>
          <w:rFonts w:ascii="Times New Roman" w:eastAsia="Calibri" w:hAnsi="Times New Roman" w:cs="Times New Roman"/>
          <w:bCs/>
          <w:lang w:eastAsia="hu-HU"/>
        </w:rPr>
      </w:pPr>
      <w:r w:rsidRPr="0039180E">
        <w:rPr>
          <w:rFonts w:ascii="Times New Roman" w:eastAsia="Calibri" w:hAnsi="Times New Roman" w:cs="Times New Roman"/>
          <w:b/>
          <w:bCs/>
          <w:lang w:eastAsia="hu-HU"/>
        </w:rPr>
        <w:t>Autonómiája és felelőssége:</w:t>
      </w:r>
      <w:r w:rsidRPr="0039180E">
        <w:rPr>
          <w:rFonts w:ascii="Times New Roman" w:eastAsia="Calibri" w:hAnsi="Times New Roman" w:cs="Times New Roman"/>
          <w:bCs/>
          <w:lang w:eastAsia="hu-HU"/>
        </w:rPr>
        <w:t xml:space="preserve"> </w:t>
      </w:r>
    </w:p>
    <w:p w:rsidR="0039180E" w:rsidRPr="0039180E" w:rsidRDefault="0039180E" w:rsidP="00980876">
      <w:pPr>
        <w:widowControl w:val="0"/>
        <w:numPr>
          <w:ilvl w:val="0"/>
          <w:numId w:val="582"/>
        </w:numPr>
        <w:spacing w:after="0" w:line="240" w:lineRule="auto"/>
        <w:ind w:left="426"/>
        <w:contextualSpacing/>
        <w:jc w:val="both"/>
        <w:rPr>
          <w:rFonts w:ascii="Times New Roman" w:eastAsia="Calibri" w:hAnsi="Times New Roman" w:cs="Times New Roman"/>
          <w:bCs/>
        </w:rPr>
      </w:pPr>
      <w:r w:rsidRPr="0039180E">
        <w:rPr>
          <w:rFonts w:ascii="Times New Roman" w:eastAsia="Calibri" w:hAnsi="Times New Roman" w:cs="Times New Roman"/>
          <w:bCs/>
        </w:rPr>
        <w:t xml:space="preserve">Képes önállóan fejleszteni ismereteit a szakterülete terminológiájának területén. </w:t>
      </w:r>
    </w:p>
    <w:p w:rsidR="0039180E" w:rsidRPr="0039180E" w:rsidRDefault="0039180E" w:rsidP="00980876">
      <w:pPr>
        <w:widowControl w:val="0"/>
        <w:numPr>
          <w:ilvl w:val="0"/>
          <w:numId w:val="582"/>
        </w:numPr>
        <w:spacing w:after="0" w:line="240" w:lineRule="auto"/>
        <w:ind w:left="426"/>
        <w:contextualSpacing/>
        <w:jc w:val="both"/>
        <w:rPr>
          <w:rFonts w:ascii="Times New Roman" w:eastAsia="Calibri" w:hAnsi="Times New Roman" w:cs="Times New Roman"/>
          <w:bCs/>
        </w:rPr>
      </w:pPr>
      <w:r w:rsidRPr="0039180E">
        <w:rPr>
          <w:rFonts w:ascii="Times New Roman" w:eastAsia="Calibri" w:hAnsi="Times New Roman" w:cs="Times New Roman"/>
          <w:bCs/>
        </w:rPr>
        <w:t xml:space="preserve">Tisztában van az angol nyelven történő hatékony kommunikáció szükségességével többnemzeti környezetben. </w:t>
      </w:r>
    </w:p>
    <w:p w:rsidR="0039180E" w:rsidRPr="0039180E" w:rsidRDefault="0039180E" w:rsidP="00980876">
      <w:pPr>
        <w:widowControl w:val="0"/>
        <w:numPr>
          <w:ilvl w:val="0"/>
          <w:numId w:val="582"/>
        </w:numPr>
        <w:spacing w:after="0" w:line="240" w:lineRule="auto"/>
        <w:ind w:left="426"/>
        <w:contextualSpacing/>
        <w:jc w:val="both"/>
        <w:rPr>
          <w:rFonts w:ascii="Times New Roman" w:eastAsia="Calibri" w:hAnsi="Times New Roman" w:cs="Times New Roman"/>
          <w:bCs/>
        </w:rPr>
      </w:pPr>
      <w:r w:rsidRPr="0039180E">
        <w:rPr>
          <w:rFonts w:ascii="Times New Roman" w:eastAsia="Calibri" w:hAnsi="Times New Roman" w:cs="Times New Roman"/>
          <w:bCs/>
        </w:rPr>
        <w:t>Felelősséget vállal saját angol nyelvű szóbeli és írásbeli kommunikációjáért.</w:t>
      </w:r>
    </w:p>
    <w:p w:rsidR="0039180E" w:rsidRPr="0039180E" w:rsidRDefault="0039180E" w:rsidP="0039180E">
      <w:pPr>
        <w:tabs>
          <w:tab w:val="right" w:pos="900"/>
        </w:tabs>
        <w:spacing w:before="240" w:after="0" w:line="240" w:lineRule="auto"/>
        <w:jc w:val="both"/>
        <w:rPr>
          <w:rFonts w:ascii="Times New Roman" w:eastAsia="Calibri" w:hAnsi="Times New Roman" w:cs="Times New Roman"/>
          <w:bCs/>
          <w:lang w:val="en-GB" w:eastAsia="hu-HU"/>
        </w:rPr>
      </w:pPr>
      <w:r w:rsidRPr="0039180E">
        <w:rPr>
          <w:rFonts w:ascii="Times New Roman" w:eastAsia="Calibri" w:hAnsi="Times New Roman" w:cs="Times New Roman"/>
          <w:b/>
          <w:bCs/>
          <w:lang w:val="en-GB" w:eastAsia="hu-HU"/>
        </w:rPr>
        <w:t>Elérendő kompetenciák (angolul):</w:t>
      </w:r>
    </w:p>
    <w:p w:rsidR="0039180E" w:rsidRPr="0039180E" w:rsidRDefault="0039180E" w:rsidP="0039180E">
      <w:pPr>
        <w:spacing w:before="120" w:after="0"/>
        <w:rPr>
          <w:rFonts w:ascii="Times New Roman" w:eastAsia="Calibri" w:hAnsi="Times New Roman" w:cs="Times New Roman"/>
          <w:bCs/>
          <w:lang w:val="en-GB" w:eastAsia="hu-HU"/>
        </w:rPr>
      </w:pPr>
      <w:r w:rsidRPr="0039180E">
        <w:rPr>
          <w:rFonts w:ascii="Times New Roman" w:eastAsia="Calibri" w:hAnsi="Times New Roman" w:cs="Times New Roman"/>
          <w:b/>
          <w:bCs/>
          <w:lang w:val="en-GB" w:eastAsia="hu-HU"/>
        </w:rPr>
        <w:t>Knowledge:</w:t>
      </w:r>
      <w:r w:rsidRPr="0039180E">
        <w:rPr>
          <w:rFonts w:ascii="Times New Roman" w:eastAsia="Calibri" w:hAnsi="Times New Roman" w:cs="Times New Roman"/>
          <w:bCs/>
          <w:lang w:val="en-GB" w:eastAsia="hu-HU"/>
        </w:rPr>
        <w:t xml:space="preserve"> </w:t>
      </w:r>
    </w:p>
    <w:p w:rsidR="0039180E" w:rsidRPr="0039180E" w:rsidRDefault="0039180E" w:rsidP="00980876">
      <w:pPr>
        <w:numPr>
          <w:ilvl w:val="0"/>
          <w:numId w:val="586"/>
        </w:numPr>
        <w:spacing w:after="0" w:line="240" w:lineRule="auto"/>
        <w:ind w:left="426"/>
        <w:contextualSpacing/>
        <w:jc w:val="both"/>
        <w:rPr>
          <w:rFonts w:ascii="Times New Roman" w:eastAsia="Calibri" w:hAnsi="Times New Roman" w:cs="Times New Roman"/>
          <w:lang w:val="en-GB"/>
        </w:rPr>
      </w:pPr>
      <w:r w:rsidRPr="0039180E">
        <w:rPr>
          <w:rFonts w:ascii="Times New Roman" w:eastAsia="Calibri" w:hAnsi="Times New Roman" w:cs="Times New Roman"/>
          <w:lang w:val="en-GB"/>
        </w:rPr>
        <w:t>Possesses the basic vocabulary to describe the basic procedures and features of the battle   carried out by combined arms, the combat service (CS) and combat service support (CSS) tasks, the battle procedures and organizational structures of the military services, branches and specific units.</w:t>
      </w:r>
    </w:p>
    <w:p w:rsidR="0039180E" w:rsidRPr="0039180E" w:rsidRDefault="0039180E" w:rsidP="00980876">
      <w:pPr>
        <w:numPr>
          <w:ilvl w:val="0"/>
          <w:numId w:val="586"/>
        </w:numPr>
        <w:spacing w:after="0" w:line="240" w:lineRule="auto"/>
        <w:ind w:left="426"/>
        <w:contextualSpacing/>
        <w:jc w:val="both"/>
        <w:rPr>
          <w:rFonts w:ascii="Times New Roman" w:eastAsia="Calibri" w:hAnsi="Times New Roman" w:cs="Times New Roman"/>
          <w:lang w:val="en-GB"/>
        </w:rPr>
      </w:pPr>
      <w:r w:rsidRPr="0039180E">
        <w:rPr>
          <w:rFonts w:ascii="Times New Roman" w:eastAsia="Calibri" w:hAnsi="Times New Roman" w:cs="Times New Roman"/>
          <w:lang w:val="en-GB"/>
        </w:rPr>
        <w:t>Knows the grammatical structures to describe the basic procedures and features of the battle carried out by combined arms, the combat service (CS) and combat service support (CSS) tasks, the battle procedures and organizational structures of the military services, branches and specific units.</w:t>
      </w:r>
    </w:p>
    <w:p w:rsidR="0039180E" w:rsidRPr="0039180E" w:rsidRDefault="0039180E" w:rsidP="00980876">
      <w:pPr>
        <w:numPr>
          <w:ilvl w:val="0"/>
          <w:numId w:val="586"/>
        </w:numPr>
        <w:spacing w:after="0" w:line="240" w:lineRule="auto"/>
        <w:ind w:left="426"/>
        <w:contextualSpacing/>
        <w:jc w:val="both"/>
        <w:rPr>
          <w:rFonts w:ascii="Times New Roman" w:eastAsia="Calibri" w:hAnsi="Times New Roman" w:cs="Times New Roman"/>
          <w:lang w:val="en-GB"/>
        </w:rPr>
      </w:pPr>
      <w:r w:rsidRPr="0039180E">
        <w:rPr>
          <w:rFonts w:ascii="Times New Roman" w:eastAsia="Calibri" w:hAnsi="Times New Roman" w:cs="Times New Roman"/>
          <w:lang w:val="en-GB"/>
        </w:rPr>
        <w:t>Has an adequate knowledge of the English terminology to understand NATO documents.</w:t>
      </w:r>
    </w:p>
    <w:p w:rsidR="0039180E" w:rsidRPr="0039180E" w:rsidRDefault="0039180E" w:rsidP="00980876">
      <w:pPr>
        <w:numPr>
          <w:ilvl w:val="0"/>
          <w:numId w:val="586"/>
        </w:numPr>
        <w:spacing w:after="0" w:line="240" w:lineRule="auto"/>
        <w:ind w:left="426"/>
        <w:contextualSpacing/>
        <w:jc w:val="both"/>
        <w:rPr>
          <w:rFonts w:ascii="Times New Roman" w:eastAsia="Calibri" w:hAnsi="Times New Roman" w:cs="Times New Roman"/>
          <w:lang w:val="en-GB"/>
        </w:rPr>
      </w:pPr>
      <w:r w:rsidRPr="0039180E">
        <w:rPr>
          <w:rFonts w:ascii="Times New Roman" w:eastAsia="Calibri" w:hAnsi="Times New Roman" w:cs="Times New Roman"/>
          <w:lang w:val="en-GB"/>
        </w:rPr>
        <w:t>Is familiar with the English terminology to describe Peace Support Operations, the tasks of the Hungarian Defence Forces in peace operations and the basic peacekeeping procedures.</w:t>
      </w:r>
    </w:p>
    <w:p w:rsidR="0039180E" w:rsidRPr="0039180E" w:rsidRDefault="0039180E" w:rsidP="0039180E">
      <w:pPr>
        <w:tabs>
          <w:tab w:val="right" w:pos="900"/>
        </w:tabs>
        <w:spacing w:before="120" w:after="0" w:line="240" w:lineRule="auto"/>
        <w:jc w:val="both"/>
        <w:rPr>
          <w:rFonts w:ascii="Times New Roman" w:eastAsia="Calibri" w:hAnsi="Times New Roman" w:cs="Times New Roman"/>
          <w:b/>
          <w:bCs/>
          <w:lang w:val="en-GB" w:eastAsia="hu-HU"/>
        </w:rPr>
      </w:pPr>
      <w:r w:rsidRPr="0039180E">
        <w:rPr>
          <w:rFonts w:ascii="Times New Roman" w:eastAsia="Calibri" w:hAnsi="Times New Roman" w:cs="Times New Roman"/>
          <w:b/>
          <w:bCs/>
          <w:lang w:val="en-GB" w:eastAsia="hu-HU"/>
        </w:rPr>
        <w:t>Capabilities:</w:t>
      </w:r>
    </w:p>
    <w:p w:rsidR="0039180E" w:rsidRPr="0039180E" w:rsidRDefault="0039180E" w:rsidP="00980876">
      <w:pPr>
        <w:numPr>
          <w:ilvl w:val="0"/>
          <w:numId w:val="581"/>
        </w:numPr>
        <w:tabs>
          <w:tab w:val="right" w:pos="900"/>
        </w:tabs>
        <w:spacing w:after="0" w:line="240" w:lineRule="auto"/>
        <w:ind w:left="426"/>
        <w:contextualSpacing/>
        <w:jc w:val="both"/>
        <w:rPr>
          <w:rFonts w:ascii="Times New Roman" w:eastAsia="Calibri" w:hAnsi="Times New Roman" w:cs="Times New Roman"/>
          <w:bCs/>
          <w:lang w:val="en-GB" w:eastAsia="hu-HU"/>
        </w:rPr>
      </w:pPr>
      <w:r w:rsidRPr="0039180E">
        <w:rPr>
          <w:rFonts w:ascii="Times New Roman" w:eastAsia="Calibri" w:hAnsi="Times New Roman" w:cs="Times New Roman"/>
          <w:bCs/>
          <w:lang w:val="en-GB" w:eastAsia="hu-HU"/>
        </w:rPr>
        <w:t>Capable of understanding NATO documents related to his/her specialization.</w:t>
      </w:r>
    </w:p>
    <w:p w:rsidR="0039180E" w:rsidRPr="0039180E" w:rsidRDefault="0039180E" w:rsidP="00980876">
      <w:pPr>
        <w:numPr>
          <w:ilvl w:val="0"/>
          <w:numId w:val="581"/>
        </w:numPr>
        <w:tabs>
          <w:tab w:val="right" w:pos="900"/>
        </w:tabs>
        <w:spacing w:after="0" w:line="240" w:lineRule="auto"/>
        <w:ind w:left="426"/>
        <w:contextualSpacing/>
        <w:jc w:val="both"/>
        <w:rPr>
          <w:rFonts w:ascii="Times New Roman" w:eastAsia="Calibri" w:hAnsi="Times New Roman" w:cs="Times New Roman"/>
          <w:bCs/>
          <w:lang w:val="en-GB" w:eastAsia="hu-HU"/>
        </w:rPr>
      </w:pPr>
      <w:r w:rsidRPr="0039180E">
        <w:rPr>
          <w:rFonts w:ascii="Times New Roman" w:eastAsia="Calibri" w:hAnsi="Times New Roman" w:cs="Times New Roman"/>
          <w:bCs/>
          <w:lang w:val="en-GB" w:eastAsia="hu-HU"/>
        </w:rPr>
        <w:t>Capable of using the professional terminology in English.</w:t>
      </w:r>
    </w:p>
    <w:p w:rsidR="0039180E" w:rsidRPr="0039180E" w:rsidRDefault="0039180E" w:rsidP="00980876">
      <w:pPr>
        <w:numPr>
          <w:ilvl w:val="0"/>
          <w:numId w:val="581"/>
        </w:numPr>
        <w:tabs>
          <w:tab w:val="right" w:pos="900"/>
        </w:tabs>
        <w:spacing w:after="0" w:line="240" w:lineRule="auto"/>
        <w:ind w:left="426"/>
        <w:contextualSpacing/>
        <w:jc w:val="both"/>
        <w:rPr>
          <w:rFonts w:ascii="Times New Roman" w:eastAsia="Calibri" w:hAnsi="Times New Roman" w:cs="Times New Roman"/>
          <w:bCs/>
          <w:lang w:val="en-GB" w:eastAsia="hu-HU"/>
        </w:rPr>
      </w:pPr>
      <w:r w:rsidRPr="0039180E">
        <w:rPr>
          <w:rFonts w:ascii="Times New Roman" w:eastAsia="Calibri" w:hAnsi="Times New Roman" w:cs="Times New Roman"/>
          <w:bCs/>
          <w:lang w:val="en-GB" w:eastAsia="hu-HU"/>
        </w:rPr>
        <w:t>Capable of preparing documents, forms, minutes, notes and memos and completing documents in English.</w:t>
      </w:r>
    </w:p>
    <w:p w:rsidR="0039180E" w:rsidRPr="0039180E" w:rsidRDefault="0039180E" w:rsidP="00980876">
      <w:pPr>
        <w:numPr>
          <w:ilvl w:val="0"/>
          <w:numId w:val="581"/>
        </w:numPr>
        <w:tabs>
          <w:tab w:val="right" w:pos="900"/>
        </w:tabs>
        <w:spacing w:after="0" w:line="240" w:lineRule="auto"/>
        <w:ind w:left="426"/>
        <w:contextualSpacing/>
        <w:jc w:val="both"/>
        <w:rPr>
          <w:rFonts w:ascii="Times New Roman" w:eastAsia="Calibri" w:hAnsi="Times New Roman" w:cs="Times New Roman"/>
          <w:bCs/>
          <w:lang w:val="en-GB" w:eastAsia="hu-HU"/>
        </w:rPr>
      </w:pPr>
      <w:r w:rsidRPr="0039180E">
        <w:rPr>
          <w:rFonts w:ascii="Times New Roman" w:eastAsia="Calibri" w:hAnsi="Times New Roman" w:cs="Times New Roman"/>
          <w:bCs/>
          <w:lang w:val="en-GB" w:eastAsia="hu-HU"/>
        </w:rPr>
        <w:t>Capable of verbal and written work-related communication in English.</w:t>
      </w:r>
    </w:p>
    <w:p w:rsidR="0039180E" w:rsidRPr="0039180E" w:rsidRDefault="0039180E" w:rsidP="00980876">
      <w:pPr>
        <w:numPr>
          <w:ilvl w:val="0"/>
          <w:numId w:val="581"/>
        </w:numPr>
        <w:tabs>
          <w:tab w:val="right" w:pos="900"/>
        </w:tabs>
        <w:spacing w:after="0" w:line="240" w:lineRule="auto"/>
        <w:ind w:left="426"/>
        <w:contextualSpacing/>
        <w:jc w:val="both"/>
        <w:rPr>
          <w:rFonts w:ascii="Times New Roman" w:eastAsia="Calibri" w:hAnsi="Times New Roman" w:cs="Times New Roman"/>
          <w:bCs/>
          <w:lang w:val="en-GB" w:eastAsia="hu-HU"/>
        </w:rPr>
      </w:pPr>
      <w:r w:rsidRPr="0039180E">
        <w:rPr>
          <w:rFonts w:ascii="Times New Roman" w:eastAsia="Calibri" w:hAnsi="Times New Roman" w:cs="Times New Roman"/>
          <w:bCs/>
          <w:lang w:val="en-GB" w:eastAsia="hu-HU"/>
        </w:rPr>
        <w:t>Capable of preparing presentations and giving briefings in English.</w:t>
      </w:r>
    </w:p>
    <w:p w:rsidR="0039180E" w:rsidRPr="0039180E" w:rsidRDefault="0039180E" w:rsidP="00980876">
      <w:pPr>
        <w:numPr>
          <w:ilvl w:val="0"/>
          <w:numId w:val="581"/>
        </w:numPr>
        <w:tabs>
          <w:tab w:val="right" w:pos="900"/>
        </w:tabs>
        <w:spacing w:after="0" w:line="240" w:lineRule="auto"/>
        <w:ind w:left="426"/>
        <w:contextualSpacing/>
        <w:jc w:val="both"/>
        <w:rPr>
          <w:rFonts w:ascii="Times New Roman" w:eastAsia="Calibri" w:hAnsi="Times New Roman" w:cs="Times New Roman"/>
          <w:bCs/>
          <w:lang w:val="en-GB" w:eastAsia="hu-HU"/>
        </w:rPr>
      </w:pPr>
      <w:r w:rsidRPr="0039180E">
        <w:rPr>
          <w:rFonts w:ascii="Times New Roman" w:eastAsia="Calibri" w:hAnsi="Times New Roman" w:cs="Times New Roman"/>
          <w:bCs/>
          <w:lang w:val="en-GB" w:eastAsia="hu-HU"/>
        </w:rPr>
        <w:t>Capable of understanding the main ideas of presentations, briefings and work-related discussions in his/her specialization.</w:t>
      </w:r>
    </w:p>
    <w:p w:rsidR="0039180E" w:rsidRPr="0039180E" w:rsidRDefault="0039180E" w:rsidP="00980876">
      <w:pPr>
        <w:numPr>
          <w:ilvl w:val="0"/>
          <w:numId w:val="581"/>
        </w:numPr>
        <w:tabs>
          <w:tab w:val="right" w:pos="900"/>
        </w:tabs>
        <w:spacing w:after="0" w:line="240" w:lineRule="auto"/>
        <w:ind w:left="426"/>
        <w:contextualSpacing/>
        <w:jc w:val="both"/>
        <w:rPr>
          <w:rFonts w:ascii="Times New Roman" w:eastAsia="Calibri" w:hAnsi="Times New Roman" w:cs="Times New Roman"/>
          <w:bCs/>
          <w:lang w:val="en-GB" w:eastAsia="hu-HU"/>
        </w:rPr>
      </w:pPr>
      <w:r w:rsidRPr="0039180E">
        <w:rPr>
          <w:rFonts w:ascii="Times New Roman" w:eastAsia="Calibri" w:hAnsi="Times New Roman" w:cs="Times New Roman"/>
          <w:bCs/>
          <w:lang w:val="en-GB" w:eastAsia="hu-HU"/>
        </w:rPr>
        <w:t>Capable of interacting with a degree of fluency and spontaneity that makes regular interaction with native speakers quite possible without strain for either party.</w:t>
      </w:r>
    </w:p>
    <w:p w:rsidR="0039180E" w:rsidRPr="0039180E" w:rsidRDefault="0039180E" w:rsidP="0039180E">
      <w:pPr>
        <w:tabs>
          <w:tab w:val="right" w:pos="900"/>
        </w:tabs>
        <w:spacing w:before="120" w:after="0" w:line="240" w:lineRule="auto"/>
        <w:jc w:val="both"/>
        <w:rPr>
          <w:rFonts w:ascii="Times New Roman" w:eastAsia="Calibri" w:hAnsi="Times New Roman" w:cs="Times New Roman"/>
          <w:bCs/>
          <w:lang w:val="en-GB" w:eastAsia="hu-HU"/>
        </w:rPr>
      </w:pPr>
      <w:r w:rsidRPr="0039180E">
        <w:rPr>
          <w:rFonts w:ascii="Times New Roman" w:eastAsia="Calibri" w:hAnsi="Times New Roman" w:cs="Times New Roman"/>
          <w:b/>
          <w:bCs/>
          <w:lang w:val="en-GB" w:eastAsia="hu-HU"/>
        </w:rPr>
        <w:t>Attitude:</w:t>
      </w:r>
      <w:r w:rsidRPr="0039180E">
        <w:rPr>
          <w:rFonts w:ascii="Times New Roman" w:eastAsia="Calibri" w:hAnsi="Times New Roman" w:cs="Times New Roman"/>
          <w:bCs/>
          <w:lang w:val="en-GB" w:eastAsia="hu-HU"/>
        </w:rPr>
        <w:t xml:space="preserve"> </w:t>
      </w:r>
    </w:p>
    <w:p w:rsidR="0039180E" w:rsidRPr="0039180E" w:rsidRDefault="0039180E" w:rsidP="00980876">
      <w:pPr>
        <w:numPr>
          <w:ilvl w:val="0"/>
          <w:numId w:val="580"/>
        </w:numPr>
        <w:spacing w:after="0" w:line="240" w:lineRule="auto"/>
        <w:ind w:left="426"/>
        <w:contextualSpacing/>
        <w:jc w:val="both"/>
        <w:rPr>
          <w:rFonts w:ascii="Times New Roman" w:eastAsia="Calibri" w:hAnsi="Times New Roman" w:cs="Times New Roman"/>
          <w:lang w:val="en-GB"/>
        </w:rPr>
      </w:pPr>
      <w:r w:rsidRPr="0039180E">
        <w:rPr>
          <w:rFonts w:ascii="Times New Roman" w:eastAsia="Calibri" w:hAnsi="Times New Roman" w:cs="Times New Roman"/>
          <w:lang w:val="en-GB"/>
        </w:rPr>
        <w:t>Is willing to learn the new terminology in his/her specialization, strives to understand and use it, and is committed to continuous self-education in his/her specialization.</w:t>
      </w:r>
    </w:p>
    <w:p w:rsidR="0039180E" w:rsidRPr="0039180E" w:rsidRDefault="0039180E" w:rsidP="00980876">
      <w:pPr>
        <w:numPr>
          <w:ilvl w:val="0"/>
          <w:numId w:val="580"/>
        </w:numPr>
        <w:spacing w:after="0" w:line="240" w:lineRule="auto"/>
        <w:ind w:left="426"/>
        <w:contextualSpacing/>
        <w:jc w:val="both"/>
        <w:rPr>
          <w:rFonts w:ascii="Times New Roman" w:eastAsia="Calibri" w:hAnsi="Times New Roman" w:cs="Times New Roman"/>
          <w:lang w:val="en-GB"/>
        </w:rPr>
      </w:pPr>
      <w:r w:rsidRPr="0039180E">
        <w:rPr>
          <w:rFonts w:ascii="Times New Roman" w:eastAsia="Calibri" w:hAnsi="Times New Roman" w:cs="Times New Roman"/>
          <w:lang w:val="en-GB"/>
        </w:rPr>
        <w:t>Is committed to accuracy when using the English language at work.</w:t>
      </w:r>
    </w:p>
    <w:p w:rsidR="0039180E" w:rsidRPr="0039180E" w:rsidRDefault="0039180E" w:rsidP="00980876">
      <w:pPr>
        <w:numPr>
          <w:ilvl w:val="0"/>
          <w:numId w:val="580"/>
        </w:numPr>
        <w:spacing w:after="0" w:line="240" w:lineRule="auto"/>
        <w:ind w:left="426"/>
        <w:contextualSpacing/>
        <w:jc w:val="both"/>
        <w:rPr>
          <w:rFonts w:ascii="Times New Roman" w:eastAsia="Calibri" w:hAnsi="Times New Roman" w:cs="Times New Roman"/>
          <w:lang w:val="en-GB"/>
        </w:rPr>
      </w:pPr>
      <w:r w:rsidRPr="0039180E">
        <w:rPr>
          <w:rFonts w:ascii="Times New Roman" w:eastAsia="Calibri" w:hAnsi="Times New Roman" w:cs="Times New Roman"/>
          <w:lang w:val="en-GB"/>
        </w:rPr>
        <w:t>Is not afraid or embarrassed to seek help when he/she faces problems with the English language.</w:t>
      </w:r>
    </w:p>
    <w:p w:rsidR="0039180E" w:rsidRPr="0039180E" w:rsidRDefault="0039180E" w:rsidP="00980876">
      <w:pPr>
        <w:numPr>
          <w:ilvl w:val="0"/>
          <w:numId w:val="580"/>
        </w:numPr>
        <w:spacing w:after="0" w:line="240" w:lineRule="auto"/>
        <w:ind w:left="426"/>
        <w:contextualSpacing/>
        <w:jc w:val="both"/>
        <w:rPr>
          <w:rFonts w:ascii="Times New Roman" w:eastAsia="Calibri" w:hAnsi="Times New Roman" w:cs="Times New Roman"/>
          <w:lang w:val="en-GB"/>
        </w:rPr>
      </w:pPr>
      <w:r w:rsidRPr="0039180E">
        <w:rPr>
          <w:rFonts w:ascii="Times New Roman" w:eastAsia="Calibri" w:hAnsi="Times New Roman" w:cs="Times New Roman"/>
          <w:lang w:val="en-GB"/>
        </w:rPr>
        <w:t>Takes every opportunity to improve his/her knowledge of English.</w:t>
      </w:r>
    </w:p>
    <w:p w:rsidR="0039180E" w:rsidRPr="0039180E" w:rsidRDefault="0039180E" w:rsidP="0039180E">
      <w:pPr>
        <w:tabs>
          <w:tab w:val="right" w:pos="900"/>
        </w:tabs>
        <w:spacing w:before="120" w:after="0" w:line="240" w:lineRule="auto"/>
        <w:jc w:val="both"/>
        <w:rPr>
          <w:rFonts w:ascii="Times New Roman" w:eastAsia="Calibri" w:hAnsi="Times New Roman" w:cs="Times New Roman"/>
          <w:bCs/>
          <w:lang w:val="en-GB" w:eastAsia="hu-HU"/>
        </w:rPr>
      </w:pPr>
      <w:r w:rsidRPr="0039180E">
        <w:rPr>
          <w:rFonts w:ascii="Times New Roman" w:eastAsia="Calibri" w:hAnsi="Times New Roman" w:cs="Times New Roman"/>
          <w:b/>
          <w:bCs/>
          <w:lang w:val="en-GB" w:eastAsia="hu-HU"/>
        </w:rPr>
        <w:t>Autonomy and responsibility:</w:t>
      </w:r>
      <w:r w:rsidRPr="0039180E">
        <w:rPr>
          <w:rFonts w:ascii="Times New Roman" w:eastAsia="Calibri" w:hAnsi="Times New Roman" w:cs="Times New Roman"/>
          <w:bCs/>
          <w:lang w:val="en-GB" w:eastAsia="hu-HU"/>
        </w:rPr>
        <w:t xml:space="preserve"> </w:t>
      </w:r>
    </w:p>
    <w:p w:rsidR="0039180E" w:rsidRPr="0039180E" w:rsidRDefault="0039180E" w:rsidP="00980876">
      <w:pPr>
        <w:numPr>
          <w:ilvl w:val="0"/>
          <w:numId w:val="579"/>
        </w:numPr>
        <w:spacing w:after="0" w:line="240" w:lineRule="auto"/>
        <w:ind w:left="426"/>
        <w:contextualSpacing/>
        <w:jc w:val="both"/>
        <w:rPr>
          <w:rFonts w:ascii="Times New Roman" w:eastAsia="Calibri" w:hAnsi="Times New Roman" w:cs="Times New Roman"/>
          <w:lang w:val="en-GB"/>
        </w:rPr>
      </w:pPr>
      <w:r w:rsidRPr="0039180E">
        <w:rPr>
          <w:rFonts w:ascii="Times New Roman" w:eastAsia="Calibri" w:hAnsi="Times New Roman" w:cs="Times New Roman"/>
          <w:lang w:val="en-GB"/>
        </w:rPr>
        <w:t>Able to autonomously improve his/her knowledge of the terminology</w:t>
      </w:r>
    </w:p>
    <w:p w:rsidR="0039180E" w:rsidRPr="0039180E" w:rsidRDefault="0039180E" w:rsidP="00980876">
      <w:pPr>
        <w:numPr>
          <w:ilvl w:val="0"/>
          <w:numId w:val="579"/>
        </w:numPr>
        <w:spacing w:after="0" w:line="240" w:lineRule="auto"/>
        <w:ind w:left="426"/>
        <w:contextualSpacing/>
        <w:jc w:val="both"/>
        <w:rPr>
          <w:rFonts w:ascii="Times New Roman" w:eastAsia="Calibri" w:hAnsi="Times New Roman" w:cs="Times New Roman"/>
          <w:lang w:val="en-GB"/>
        </w:rPr>
      </w:pPr>
      <w:r w:rsidRPr="0039180E">
        <w:rPr>
          <w:rFonts w:ascii="Times New Roman" w:eastAsia="Calibri" w:hAnsi="Times New Roman" w:cs="Times New Roman"/>
          <w:lang w:val="en-GB"/>
        </w:rPr>
        <w:t xml:space="preserve">Aware of the importance of being able to effectively communicate in English in a multinational environment </w:t>
      </w:r>
    </w:p>
    <w:p w:rsidR="0039180E" w:rsidRPr="0039180E" w:rsidRDefault="0039180E" w:rsidP="00980876">
      <w:pPr>
        <w:numPr>
          <w:ilvl w:val="0"/>
          <w:numId w:val="579"/>
        </w:numPr>
        <w:spacing w:after="360" w:line="240" w:lineRule="auto"/>
        <w:ind w:left="426"/>
        <w:contextualSpacing/>
        <w:jc w:val="both"/>
        <w:rPr>
          <w:rFonts w:ascii="Times New Roman" w:eastAsia="Calibri" w:hAnsi="Times New Roman" w:cs="Times New Roman"/>
          <w:lang w:val="en-GB"/>
        </w:rPr>
      </w:pPr>
      <w:r w:rsidRPr="0039180E">
        <w:rPr>
          <w:rFonts w:ascii="Times New Roman" w:eastAsia="Calibri" w:hAnsi="Times New Roman" w:cs="Times New Roman"/>
          <w:lang w:val="en-GB"/>
        </w:rPr>
        <w:t>Takes responsibility for his/her written/verbal communication in English.</w:t>
      </w:r>
    </w:p>
    <w:p w:rsidR="0039180E" w:rsidRPr="0039180E" w:rsidRDefault="0039180E" w:rsidP="0039180E">
      <w:pPr>
        <w:spacing w:after="360" w:line="240" w:lineRule="auto"/>
        <w:ind w:left="426"/>
        <w:contextualSpacing/>
        <w:jc w:val="both"/>
        <w:rPr>
          <w:rFonts w:ascii="Times New Roman" w:eastAsia="Calibri" w:hAnsi="Times New Roman" w:cs="Times New Roman"/>
          <w:lang w:val="en-GB"/>
        </w:rPr>
      </w:pPr>
    </w:p>
    <w:p w:rsidR="0039180E" w:rsidRPr="0039180E" w:rsidRDefault="0039180E" w:rsidP="00980876">
      <w:pPr>
        <w:numPr>
          <w:ilvl w:val="0"/>
          <w:numId w:val="845"/>
        </w:numPr>
        <w:spacing w:before="120" w:after="120" w:line="276" w:lineRule="auto"/>
        <w:contextualSpacing/>
        <w:rPr>
          <w:rFonts w:ascii="Times New Roman" w:eastAsia="Calibri" w:hAnsi="Times New Roman" w:cs="Times New Roman"/>
          <w:bCs/>
          <w:lang w:eastAsia="hu-HU"/>
        </w:rPr>
      </w:pPr>
      <w:r w:rsidRPr="0039180E">
        <w:rPr>
          <w:rFonts w:ascii="Times New Roman" w:eastAsia="Calibri" w:hAnsi="Times New Roman" w:cs="Times New Roman"/>
          <w:b/>
          <w:bCs/>
          <w:lang w:eastAsia="hu-HU"/>
        </w:rPr>
        <w:t>Előtanulmányi követelmények:</w:t>
      </w:r>
      <w:r w:rsidRPr="0039180E">
        <w:rPr>
          <w:rFonts w:ascii="Times New Roman" w:eastAsia="Calibri" w:hAnsi="Times New Roman" w:cs="Times New Roman"/>
          <w:bCs/>
          <w:lang w:eastAsia="hu-HU"/>
        </w:rPr>
        <w:t xml:space="preserve"> -</w:t>
      </w:r>
    </w:p>
    <w:p w:rsidR="0039180E" w:rsidRPr="0039180E" w:rsidRDefault="0039180E" w:rsidP="00980876">
      <w:pPr>
        <w:widowControl w:val="0"/>
        <w:numPr>
          <w:ilvl w:val="0"/>
          <w:numId w:val="845"/>
        </w:numPr>
        <w:spacing w:before="120" w:after="120" w:line="240" w:lineRule="auto"/>
        <w:jc w:val="both"/>
        <w:rPr>
          <w:rFonts w:ascii="Times New Roman" w:eastAsia="Calibri" w:hAnsi="Times New Roman" w:cs="Times New Roman"/>
          <w:b/>
          <w:bCs/>
        </w:rPr>
      </w:pPr>
      <w:r w:rsidRPr="0039180E">
        <w:rPr>
          <w:rFonts w:ascii="Times New Roman" w:eastAsia="Calibri" w:hAnsi="Times New Roman" w:cs="Times New Roman"/>
          <w:b/>
          <w:bCs/>
        </w:rPr>
        <w:t>A tantárgy tananyagának leírása, tematika. Description of the subject, curriculum (magyarul, angolul - English):</w:t>
      </w:r>
    </w:p>
    <w:p w:rsidR="0039180E" w:rsidRPr="0039180E" w:rsidRDefault="0039180E" w:rsidP="00980876">
      <w:pPr>
        <w:numPr>
          <w:ilvl w:val="1"/>
          <w:numId w:val="845"/>
        </w:numPr>
        <w:tabs>
          <w:tab w:val="num" w:pos="993"/>
        </w:tabs>
        <w:spacing w:before="120" w:after="0" w:line="276" w:lineRule="auto"/>
        <w:ind w:left="992" w:hanging="635"/>
        <w:contextualSpacing/>
        <w:jc w:val="both"/>
        <w:rPr>
          <w:rFonts w:ascii="Times New Roman" w:eastAsia="Calibri" w:hAnsi="Times New Roman" w:cs="Times New Roman"/>
        </w:rPr>
      </w:pPr>
      <w:r w:rsidRPr="0039180E">
        <w:rPr>
          <w:rFonts w:ascii="Times New Roman" w:eastAsia="Calibri" w:hAnsi="Times New Roman" w:cs="Times New Roman"/>
        </w:rPr>
        <w:t>Migrációs válság Európában (Migration crisis)</w:t>
      </w:r>
    </w:p>
    <w:p w:rsidR="0039180E" w:rsidRPr="0039180E" w:rsidRDefault="0039180E" w:rsidP="00980876">
      <w:pPr>
        <w:numPr>
          <w:ilvl w:val="1"/>
          <w:numId w:val="845"/>
        </w:numPr>
        <w:tabs>
          <w:tab w:val="num" w:pos="993"/>
        </w:tabs>
        <w:spacing w:before="120" w:after="0" w:line="276" w:lineRule="auto"/>
        <w:ind w:left="992" w:hanging="635"/>
        <w:contextualSpacing/>
        <w:jc w:val="both"/>
        <w:rPr>
          <w:rFonts w:ascii="Times New Roman" w:eastAsia="Calibri" w:hAnsi="Times New Roman" w:cs="Times New Roman"/>
        </w:rPr>
      </w:pPr>
      <w:r w:rsidRPr="0039180E">
        <w:rPr>
          <w:rFonts w:ascii="Times New Roman" w:eastAsia="Calibri" w:hAnsi="Times New Roman" w:cs="Times New Roman"/>
        </w:rPr>
        <w:t>Nem-katonai kihívások (Non-Military challanges)</w:t>
      </w:r>
    </w:p>
    <w:p w:rsidR="0039180E" w:rsidRPr="0039180E" w:rsidRDefault="0039180E" w:rsidP="00980876">
      <w:pPr>
        <w:numPr>
          <w:ilvl w:val="1"/>
          <w:numId w:val="845"/>
        </w:numPr>
        <w:tabs>
          <w:tab w:val="num" w:pos="993"/>
        </w:tabs>
        <w:spacing w:before="120" w:after="0" w:line="276" w:lineRule="auto"/>
        <w:ind w:left="992" w:hanging="635"/>
        <w:contextualSpacing/>
        <w:jc w:val="both"/>
        <w:rPr>
          <w:rFonts w:ascii="Times New Roman" w:eastAsia="Calibri" w:hAnsi="Times New Roman" w:cs="Times New Roman"/>
        </w:rPr>
      </w:pPr>
      <w:r w:rsidRPr="0039180E">
        <w:rPr>
          <w:rFonts w:ascii="Times New Roman" w:eastAsia="Calibri" w:hAnsi="Times New Roman" w:cs="Times New Roman"/>
        </w:rPr>
        <w:t>Konfliktus- és válságkezelés (Conflict crises management)</w:t>
      </w:r>
    </w:p>
    <w:p w:rsidR="0039180E" w:rsidRPr="0039180E" w:rsidRDefault="0039180E" w:rsidP="00980876">
      <w:pPr>
        <w:numPr>
          <w:ilvl w:val="1"/>
          <w:numId w:val="845"/>
        </w:numPr>
        <w:tabs>
          <w:tab w:val="num" w:pos="993"/>
        </w:tabs>
        <w:spacing w:before="120" w:after="0" w:line="276" w:lineRule="auto"/>
        <w:ind w:left="992" w:hanging="635"/>
        <w:contextualSpacing/>
        <w:jc w:val="both"/>
        <w:rPr>
          <w:rFonts w:ascii="Times New Roman" w:eastAsia="Calibri" w:hAnsi="Times New Roman" w:cs="Times New Roman"/>
        </w:rPr>
      </w:pPr>
      <w:r w:rsidRPr="0039180E">
        <w:rPr>
          <w:rFonts w:ascii="Times New Roman" w:eastAsia="Calibri" w:hAnsi="Times New Roman" w:cs="Times New Roman"/>
        </w:rPr>
        <w:t>Katonai technológiai fejlesztések (Development of military)</w:t>
      </w:r>
    </w:p>
    <w:p w:rsidR="0039180E" w:rsidRPr="0039180E" w:rsidRDefault="0039180E" w:rsidP="00980876">
      <w:pPr>
        <w:numPr>
          <w:ilvl w:val="1"/>
          <w:numId w:val="845"/>
        </w:numPr>
        <w:tabs>
          <w:tab w:val="num" w:pos="993"/>
        </w:tabs>
        <w:spacing w:before="120" w:after="0" w:line="276" w:lineRule="auto"/>
        <w:ind w:left="992" w:hanging="635"/>
        <w:contextualSpacing/>
        <w:jc w:val="both"/>
        <w:rPr>
          <w:rFonts w:ascii="Times New Roman" w:eastAsia="Calibri" w:hAnsi="Times New Roman" w:cs="Times New Roman"/>
        </w:rPr>
      </w:pPr>
      <w:r w:rsidRPr="0039180E">
        <w:rPr>
          <w:rFonts w:ascii="Times New Roman" w:eastAsia="Calibri" w:hAnsi="Times New Roman" w:cs="Times New Roman"/>
        </w:rPr>
        <w:t>NATO Stratégiai koncepciója (NATO strategic concept)</w:t>
      </w:r>
    </w:p>
    <w:p w:rsidR="0039180E" w:rsidRPr="0039180E" w:rsidRDefault="0039180E" w:rsidP="00980876">
      <w:pPr>
        <w:numPr>
          <w:ilvl w:val="1"/>
          <w:numId w:val="845"/>
        </w:numPr>
        <w:tabs>
          <w:tab w:val="num" w:pos="993"/>
        </w:tabs>
        <w:spacing w:before="120" w:after="0" w:line="276" w:lineRule="auto"/>
        <w:ind w:left="992" w:hanging="635"/>
        <w:contextualSpacing/>
        <w:jc w:val="both"/>
        <w:rPr>
          <w:rFonts w:ascii="Times New Roman" w:eastAsia="Calibri" w:hAnsi="Times New Roman" w:cs="Times New Roman"/>
        </w:rPr>
      </w:pPr>
      <w:r w:rsidRPr="0039180E">
        <w:rPr>
          <w:rFonts w:ascii="Times New Roman" w:eastAsia="Calibri" w:hAnsi="Times New Roman" w:cs="Times New Roman"/>
        </w:rPr>
        <w:t>Magyarország katonai szerepvállalása békefenntartó missziókban (Hungary’s role in peacekeeping missions)</w:t>
      </w:r>
    </w:p>
    <w:p w:rsidR="0039180E" w:rsidRPr="0039180E" w:rsidRDefault="0039180E" w:rsidP="00980876">
      <w:pPr>
        <w:numPr>
          <w:ilvl w:val="1"/>
          <w:numId w:val="845"/>
        </w:numPr>
        <w:tabs>
          <w:tab w:val="num" w:pos="993"/>
        </w:tabs>
        <w:spacing w:before="120" w:after="0" w:line="276" w:lineRule="auto"/>
        <w:ind w:left="992" w:hanging="635"/>
        <w:contextualSpacing/>
        <w:jc w:val="both"/>
        <w:rPr>
          <w:rFonts w:ascii="Times New Roman" w:eastAsia="Calibri" w:hAnsi="Times New Roman" w:cs="Times New Roman"/>
        </w:rPr>
      </w:pPr>
      <w:r w:rsidRPr="0039180E">
        <w:rPr>
          <w:rFonts w:ascii="Times New Roman" w:eastAsia="Calibri" w:hAnsi="Times New Roman" w:cs="Times New Roman"/>
        </w:rPr>
        <w:t>Aktuális katonapolitikai kérdések (Current military political issues)</w:t>
      </w:r>
    </w:p>
    <w:p w:rsidR="0039180E" w:rsidRPr="0039180E" w:rsidRDefault="0039180E" w:rsidP="00980876">
      <w:pPr>
        <w:numPr>
          <w:ilvl w:val="1"/>
          <w:numId w:val="845"/>
        </w:numPr>
        <w:tabs>
          <w:tab w:val="num" w:pos="993"/>
        </w:tabs>
        <w:spacing w:before="120" w:after="0" w:line="276" w:lineRule="auto"/>
        <w:ind w:left="992" w:hanging="635"/>
        <w:contextualSpacing/>
        <w:jc w:val="both"/>
        <w:rPr>
          <w:rFonts w:ascii="Times New Roman" w:eastAsia="Calibri" w:hAnsi="Times New Roman" w:cs="Times New Roman"/>
        </w:rPr>
      </w:pPr>
      <w:r w:rsidRPr="0039180E">
        <w:rPr>
          <w:rFonts w:ascii="Times New Roman" w:eastAsia="Calibri" w:hAnsi="Times New Roman" w:cs="Times New Roman"/>
        </w:rPr>
        <w:t>Katonai szakmai szöveg értése (Military reading comprehension)</w:t>
      </w:r>
    </w:p>
    <w:p w:rsidR="0039180E" w:rsidRPr="0039180E" w:rsidRDefault="0039180E" w:rsidP="00980876">
      <w:pPr>
        <w:numPr>
          <w:ilvl w:val="1"/>
          <w:numId w:val="845"/>
        </w:numPr>
        <w:tabs>
          <w:tab w:val="num" w:pos="993"/>
        </w:tabs>
        <w:spacing w:before="120" w:after="0" w:line="276" w:lineRule="auto"/>
        <w:ind w:left="992" w:hanging="635"/>
        <w:contextualSpacing/>
        <w:jc w:val="both"/>
        <w:rPr>
          <w:rFonts w:ascii="Times New Roman" w:eastAsia="Calibri" w:hAnsi="Times New Roman" w:cs="Times New Roman"/>
        </w:rPr>
      </w:pPr>
      <w:r w:rsidRPr="0039180E">
        <w:rPr>
          <w:rFonts w:ascii="Times New Roman" w:eastAsia="Calibri" w:hAnsi="Times New Roman" w:cs="Times New Roman"/>
        </w:rPr>
        <w:t>Katonai szakmai témájú fogalmazás (Military compsition)</w:t>
      </w:r>
    </w:p>
    <w:p w:rsidR="0039180E" w:rsidRPr="0039180E" w:rsidRDefault="0039180E" w:rsidP="00980876">
      <w:pPr>
        <w:numPr>
          <w:ilvl w:val="1"/>
          <w:numId w:val="845"/>
        </w:numPr>
        <w:tabs>
          <w:tab w:val="num" w:pos="993"/>
        </w:tabs>
        <w:spacing w:before="120" w:after="0" w:line="276" w:lineRule="auto"/>
        <w:ind w:left="992" w:hanging="635"/>
        <w:contextualSpacing/>
        <w:jc w:val="both"/>
        <w:rPr>
          <w:rFonts w:ascii="Times New Roman" w:eastAsia="Calibri" w:hAnsi="Times New Roman" w:cs="Times New Roman"/>
        </w:rPr>
      </w:pPr>
      <w:r w:rsidRPr="0039180E">
        <w:rPr>
          <w:rFonts w:ascii="Times New Roman" w:eastAsia="Calibri" w:hAnsi="Times New Roman" w:cs="Times New Roman"/>
        </w:rPr>
        <w:t>Íráskészség és írott szöveg értése (Military writing comprehension)</w:t>
      </w:r>
    </w:p>
    <w:p w:rsidR="0039180E" w:rsidRPr="00D05C46" w:rsidRDefault="0039180E" w:rsidP="00980876">
      <w:pPr>
        <w:numPr>
          <w:ilvl w:val="0"/>
          <w:numId w:val="845"/>
        </w:numPr>
        <w:tabs>
          <w:tab w:val="right" w:pos="900"/>
        </w:tabs>
        <w:spacing w:before="120" w:after="0" w:line="240" w:lineRule="auto"/>
        <w:ind w:left="357" w:hanging="357"/>
        <w:jc w:val="both"/>
        <w:rPr>
          <w:rFonts w:ascii="Times New Roman" w:eastAsia="Calibri" w:hAnsi="Times New Roman" w:cs="Times New Roman"/>
          <w:bCs/>
        </w:rPr>
      </w:pPr>
      <w:r w:rsidRPr="0039180E">
        <w:rPr>
          <w:rFonts w:ascii="Times New Roman" w:eastAsia="Calibri" w:hAnsi="Times New Roman" w:cs="Times New Roman"/>
          <w:b/>
          <w:bCs/>
        </w:rPr>
        <w:t xml:space="preserve">A tantárgy meghirdetésének gyakorisága/a tantervben történő félévi elhelyezkedése: </w:t>
      </w:r>
      <w:r w:rsidRPr="00D05C46">
        <w:rPr>
          <w:rFonts w:ascii="Times New Roman" w:eastAsia="Calibri" w:hAnsi="Times New Roman" w:cs="Times New Roman"/>
          <w:bCs/>
        </w:rPr>
        <w:t>6. tanulmányi félévben.</w:t>
      </w:r>
    </w:p>
    <w:p w:rsidR="0039180E" w:rsidRDefault="0039180E" w:rsidP="00980876">
      <w:pPr>
        <w:numPr>
          <w:ilvl w:val="0"/>
          <w:numId w:val="845"/>
        </w:numPr>
        <w:tabs>
          <w:tab w:val="right" w:pos="900"/>
          <w:tab w:val="center" w:pos="4536"/>
          <w:tab w:val="right" w:pos="9072"/>
        </w:tabs>
        <w:spacing w:before="120" w:after="0" w:line="240" w:lineRule="auto"/>
        <w:jc w:val="both"/>
        <w:rPr>
          <w:rFonts w:ascii="Times New Roman" w:eastAsia="Calibri" w:hAnsi="Times New Roman" w:cs="Times New Roman"/>
          <w:bCs/>
        </w:rPr>
      </w:pPr>
      <w:r w:rsidRPr="0039180E">
        <w:rPr>
          <w:rFonts w:ascii="Times New Roman" w:eastAsia="Calibri" w:hAnsi="Times New Roman" w:cs="Times New Roman"/>
          <w:b/>
          <w:bCs/>
        </w:rPr>
        <w:t>A foglalkozásokon való részvétel követelményei, elfogadható hiányzások mértéke, távolmaradás pótlásának lehetősége:</w:t>
      </w:r>
      <w:r w:rsidRPr="0039180E">
        <w:rPr>
          <w:rFonts w:ascii="Times New Roman" w:eastAsia="Calibri" w:hAnsi="Times New Roman" w:cs="Times New Roman"/>
          <w:bCs/>
        </w:rPr>
        <w:t xml:space="preserve"> </w:t>
      </w:r>
    </w:p>
    <w:p w:rsidR="0039180E" w:rsidRPr="0039180E" w:rsidRDefault="0039180E" w:rsidP="0039180E">
      <w:pPr>
        <w:tabs>
          <w:tab w:val="right" w:pos="900"/>
          <w:tab w:val="center" w:pos="4536"/>
          <w:tab w:val="right" w:pos="9072"/>
        </w:tabs>
        <w:spacing w:before="120" w:after="0" w:line="240" w:lineRule="auto"/>
        <w:ind w:left="360"/>
        <w:jc w:val="both"/>
        <w:rPr>
          <w:rFonts w:ascii="Times New Roman" w:eastAsia="Calibri" w:hAnsi="Times New Roman" w:cs="Times New Roman"/>
          <w:bCs/>
        </w:rPr>
      </w:pPr>
      <w:r w:rsidRPr="0039180E">
        <w:rPr>
          <w:rFonts w:ascii="Times New Roman" w:eastAsia="Calibri" w:hAnsi="Times New Roman" w:cs="Times New Roman"/>
          <w:bCs/>
        </w:rPr>
        <w:t>A hallgatónak a tanórák legalább 75 %-án jelen kell lennie, 25 % -ot meghaladó hiányzás esetén a félév teljesítése nem irható alá. A hallgató köteles az előadások és a gyakorlat anyagát beszerezni, abból önállóan felkészülni. Amennyiben a hallgató hiányzása meghaladja a 25%-ot, a hallgató köteles a félév végén a tanár által meghatározott témákból szóban beszámolni az aláírás teljesítése érdekében.</w:t>
      </w:r>
    </w:p>
    <w:p w:rsidR="0039180E" w:rsidRDefault="0039180E" w:rsidP="00980876">
      <w:pPr>
        <w:numPr>
          <w:ilvl w:val="0"/>
          <w:numId w:val="845"/>
        </w:numPr>
        <w:tabs>
          <w:tab w:val="right" w:pos="900"/>
        </w:tabs>
        <w:spacing w:before="120" w:after="0" w:line="240" w:lineRule="auto"/>
        <w:jc w:val="both"/>
        <w:rPr>
          <w:rFonts w:ascii="Times New Roman" w:eastAsia="Calibri" w:hAnsi="Times New Roman" w:cs="Times New Roman"/>
          <w:bCs/>
        </w:rPr>
      </w:pPr>
      <w:r w:rsidRPr="0039180E">
        <w:rPr>
          <w:rFonts w:ascii="Times New Roman" w:eastAsia="Calibri" w:hAnsi="Times New Roman" w:cs="Times New Roman"/>
          <w:b/>
        </w:rPr>
        <w:t>Félévközi feladatok, ismeretek ellenőrzésének rendje:</w:t>
      </w:r>
      <w:r w:rsidRPr="0039180E">
        <w:rPr>
          <w:rFonts w:ascii="Times New Roman" w:eastAsia="Calibri" w:hAnsi="Times New Roman" w:cs="Times New Roman"/>
          <w:bCs/>
        </w:rPr>
        <w:t xml:space="preserve"> </w:t>
      </w:r>
    </w:p>
    <w:p w:rsidR="0039180E" w:rsidRPr="0039180E" w:rsidRDefault="0039180E" w:rsidP="0039180E">
      <w:pPr>
        <w:tabs>
          <w:tab w:val="right" w:pos="900"/>
        </w:tabs>
        <w:spacing w:before="120" w:after="0" w:line="240" w:lineRule="auto"/>
        <w:ind w:left="360"/>
        <w:jc w:val="both"/>
        <w:rPr>
          <w:rFonts w:ascii="Times New Roman" w:eastAsia="Calibri" w:hAnsi="Times New Roman" w:cs="Times New Roman"/>
          <w:bCs/>
        </w:rPr>
      </w:pPr>
      <w:r w:rsidRPr="0039180E">
        <w:rPr>
          <w:rFonts w:ascii="Times New Roman" w:eastAsia="Calibri" w:hAnsi="Times New Roman" w:cs="Times New Roman"/>
        </w:rPr>
        <w:t>A foglakozás anyagainak és a kötelező irodalom feldolgozása, 2 zárthelyi dolgozat és egy szóbeli beszámoló a 12. pontnak megfelelő ismeretanyagból, legalább 60 %-os értékeléssel történ</w:t>
      </w:r>
      <w:r w:rsidRPr="0039180E">
        <w:rPr>
          <w:rFonts w:ascii="Times New Roman" w:eastAsia="Calibri" w:hAnsi="Times New Roman" w:cs="Times New Roman" w:hint="eastAsia"/>
        </w:rPr>
        <w:t>ő</w:t>
      </w:r>
      <w:r w:rsidRPr="0039180E">
        <w:rPr>
          <w:rFonts w:ascii="Times New Roman" w:eastAsia="Calibri" w:hAnsi="Times New Roman" w:cs="Times New Roman"/>
        </w:rPr>
        <w:t xml:space="preserve"> teljesítése a tanár el</w:t>
      </w:r>
      <w:r w:rsidRPr="0039180E">
        <w:rPr>
          <w:rFonts w:ascii="Times New Roman" w:eastAsia="Calibri" w:hAnsi="Times New Roman" w:cs="Times New Roman" w:hint="eastAsia"/>
        </w:rPr>
        <w:t>ő</w:t>
      </w:r>
      <w:r w:rsidRPr="0039180E">
        <w:rPr>
          <w:rFonts w:ascii="Times New Roman" w:eastAsia="Calibri" w:hAnsi="Times New Roman" w:cs="Times New Roman"/>
        </w:rPr>
        <w:t>zetes bejelentése alapján, a foglalkozások ismereteib</w:t>
      </w:r>
      <w:r w:rsidRPr="0039180E">
        <w:rPr>
          <w:rFonts w:ascii="Times New Roman" w:eastAsia="Calibri" w:hAnsi="Times New Roman" w:cs="Times New Roman" w:hint="eastAsia"/>
        </w:rPr>
        <w:t>ő</w:t>
      </w:r>
      <w:r w:rsidRPr="0039180E">
        <w:rPr>
          <w:rFonts w:ascii="Times New Roman" w:eastAsia="Calibri" w:hAnsi="Times New Roman" w:cs="Times New Roman"/>
        </w:rPr>
        <w:t>l. A zárthelyi dolgozat és a szóbeli beszámoló értékelése: ötfokozatú értékelés – (a helyes válaszok aránya 0-60% elégtelen; 61-70% elégséges; 71-80% közepes; 81-90% jó; 91-100% jeles osztályzat). Eredménytelen zárthelyi dolgozat kétszer javítható a tanárral egyeztetett időpontban.</w:t>
      </w:r>
    </w:p>
    <w:p w:rsidR="0039180E" w:rsidRPr="0039180E" w:rsidRDefault="0039180E" w:rsidP="00980876">
      <w:pPr>
        <w:numPr>
          <w:ilvl w:val="0"/>
          <w:numId w:val="845"/>
        </w:numPr>
        <w:tabs>
          <w:tab w:val="right" w:pos="900"/>
        </w:tabs>
        <w:spacing w:before="120" w:after="0" w:line="240" w:lineRule="auto"/>
        <w:jc w:val="both"/>
        <w:rPr>
          <w:rFonts w:ascii="Times New Roman" w:eastAsia="Calibri" w:hAnsi="Times New Roman" w:cs="Times New Roman"/>
          <w:bCs/>
        </w:rPr>
      </w:pPr>
      <w:r w:rsidRPr="0039180E">
        <w:rPr>
          <w:rFonts w:ascii="Times New Roman" w:eastAsia="Calibri" w:hAnsi="Times New Roman" w:cs="Times New Roman"/>
          <w:b/>
          <w:bCs/>
        </w:rPr>
        <w:t xml:space="preserve">Az értékelés, az aláírás és a kreditek megszerzésének pontos feltételei </w:t>
      </w:r>
    </w:p>
    <w:p w:rsidR="0039180E" w:rsidRPr="0039180E" w:rsidRDefault="0039180E" w:rsidP="00980876">
      <w:pPr>
        <w:numPr>
          <w:ilvl w:val="1"/>
          <w:numId w:val="845"/>
        </w:numPr>
        <w:tabs>
          <w:tab w:val="right" w:pos="900"/>
        </w:tabs>
        <w:spacing w:before="120" w:after="0" w:line="240" w:lineRule="auto"/>
        <w:jc w:val="both"/>
        <w:rPr>
          <w:rFonts w:ascii="Times New Roman" w:eastAsia="Calibri" w:hAnsi="Times New Roman" w:cs="Times New Roman"/>
          <w:bCs/>
        </w:rPr>
      </w:pPr>
      <w:r w:rsidRPr="0039180E">
        <w:rPr>
          <w:rFonts w:ascii="Times New Roman" w:eastAsia="Calibri" w:hAnsi="Times New Roman" w:cs="Times New Roman"/>
          <w:b/>
        </w:rPr>
        <w:t xml:space="preserve">Az aláírás megszerzésének feltételei: </w:t>
      </w:r>
      <w:r w:rsidRPr="0039180E">
        <w:rPr>
          <w:rFonts w:ascii="Times New Roman" w:eastAsia="Calibri" w:hAnsi="Times New Roman" w:cs="Times New Roman"/>
        </w:rPr>
        <w:t>Az aláírás megszerzésének feltétele a 14. pontban meghatározott arányú részvétel a foglalkozásokon és a 15. pontban meghatározott félévközi feladatok legalább elégséges teljesítése.</w:t>
      </w:r>
    </w:p>
    <w:p w:rsidR="0039180E" w:rsidRPr="0039180E" w:rsidRDefault="0039180E" w:rsidP="00980876">
      <w:pPr>
        <w:numPr>
          <w:ilvl w:val="1"/>
          <w:numId w:val="845"/>
        </w:numPr>
        <w:tabs>
          <w:tab w:val="right" w:pos="900"/>
        </w:tabs>
        <w:spacing w:before="120" w:after="0" w:line="240" w:lineRule="auto"/>
        <w:jc w:val="both"/>
        <w:rPr>
          <w:rFonts w:ascii="Times New Roman" w:eastAsia="Calibri" w:hAnsi="Times New Roman" w:cs="Times New Roman"/>
          <w:bCs/>
        </w:rPr>
      </w:pPr>
      <w:r w:rsidRPr="0039180E">
        <w:rPr>
          <w:rFonts w:ascii="Times New Roman" w:eastAsia="Calibri" w:hAnsi="Times New Roman" w:cs="Times New Roman"/>
          <w:b/>
        </w:rPr>
        <w:t xml:space="preserve">Az értékelés: </w:t>
      </w:r>
      <w:r w:rsidRPr="0039180E">
        <w:rPr>
          <w:rFonts w:ascii="Times New Roman" w:eastAsia="Calibri" w:hAnsi="Times New Roman" w:cs="Times New Roman"/>
        </w:rPr>
        <w:t>a 16.1 pont alapján.</w:t>
      </w:r>
    </w:p>
    <w:p w:rsidR="0039180E" w:rsidRPr="0039180E" w:rsidRDefault="0039180E" w:rsidP="00980876">
      <w:pPr>
        <w:numPr>
          <w:ilvl w:val="1"/>
          <w:numId w:val="845"/>
        </w:numPr>
        <w:tabs>
          <w:tab w:val="right" w:pos="900"/>
        </w:tabs>
        <w:spacing w:before="120" w:after="0" w:line="240" w:lineRule="auto"/>
        <w:jc w:val="both"/>
        <w:rPr>
          <w:rFonts w:ascii="Times New Roman" w:eastAsia="Calibri" w:hAnsi="Times New Roman" w:cs="Times New Roman"/>
          <w:bCs/>
        </w:rPr>
      </w:pPr>
      <w:r w:rsidRPr="0039180E">
        <w:rPr>
          <w:rFonts w:ascii="Times New Roman" w:eastAsia="Calibri" w:hAnsi="Times New Roman" w:cs="Times New Roman"/>
          <w:b/>
        </w:rPr>
        <w:t xml:space="preserve">A kreditek megszerzésének feltételei: </w:t>
      </w:r>
      <w:r w:rsidRPr="0039180E">
        <w:rPr>
          <w:rFonts w:ascii="Times New Roman" w:eastAsia="Calibri" w:hAnsi="Times New Roman" w:cs="Times New Roman"/>
        </w:rPr>
        <w:t>A tantárgy kritérium követelmény, így nem rendelkezik kreditmegszerzési feltételekkel.</w:t>
      </w:r>
    </w:p>
    <w:p w:rsidR="0039180E" w:rsidRPr="0039180E" w:rsidRDefault="0039180E" w:rsidP="00980876">
      <w:pPr>
        <w:numPr>
          <w:ilvl w:val="0"/>
          <w:numId w:val="845"/>
        </w:numPr>
        <w:tabs>
          <w:tab w:val="right" w:pos="900"/>
        </w:tabs>
        <w:spacing w:before="120" w:after="0" w:line="240" w:lineRule="auto"/>
        <w:jc w:val="both"/>
        <w:rPr>
          <w:rFonts w:ascii="Times New Roman" w:eastAsia="Calibri" w:hAnsi="Times New Roman" w:cs="Times New Roman"/>
          <w:bCs/>
          <w:lang w:eastAsia="hu-HU"/>
        </w:rPr>
      </w:pPr>
      <w:r w:rsidRPr="0039180E">
        <w:rPr>
          <w:rFonts w:ascii="Times New Roman" w:eastAsia="Calibri" w:hAnsi="Times New Roman" w:cs="Times New Roman"/>
          <w:b/>
          <w:bCs/>
          <w:lang w:eastAsia="hu-HU"/>
        </w:rPr>
        <w:t>Irodalomjegyzék:</w:t>
      </w:r>
    </w:p>
    <w:p w:rsidR="0039180E" w:rsidRPr="0039180E" w:rsidRDefault="0039180E" w:rsidP="00980876">
      <w:pPr>
        <w:numPr>
          <w:ilvl w:val="1"/>
          <w:numId w:val="845"/>
        </w:numPr>
        <w:tabs>
          <w:tab w:val="right" w:pos="900"/>
          <w:tab w:val="center" w:pos="4536"/>
          <w:tab w:val="right" w:pos="9072"/>
        </w:tabs>
        <w:spacing w:before="120" w:after="0" w:line="240" w:lineRule="auto"/>
        <w:jc w:val="both"/>
        <w:rPr>
          <w:rFonts w:ascii="Times New Roman" w:eastAsia="Calibri" w:hAnsi="Times New Roman" w:cs="Times New Roman"/>
          <w:b/>
          <w:bCs/>
          <w:lang w:eastAsia="hu-HU"/>
        </w:rPr>
      </w:pPr>
      <w:r w:rsidRPr="0039180E">
        <w:rPr>
          <w:rFonts w:ascii="Times New Roman" w:eastAsia="Calibri" w:hAnsi="Times New Roman" w:cs="Times New Roman"/>
          <w:b/>
          <w:bCs/>
          <w:lang w:eastAsia="hu-HU"/>
        </w:rPr>
        <w:t>Kötelező irodalom:</w:t>
      </w:r>
    </w:p>
    <w:p w:rsidR="0039180E" w:rsidRPr="0039180E" w:rsidRDefault="0039180E" w:rsidP="00980876">
      <w:pPr>
        <w:numPr>
          <w:ilvl w:val="0"/>
          <w:numId w:val="846"/>
        </w:numPr>
        <w:tabs>
          <w:tab w:val="right" w:pos="900"/>
        </w:tabs>
        <w:spacing w:before="120" w:after="0" w:line="240" w:lineRule="auto"/>
        <w:ind w:left="993"/>
        <w:contextualSpacing/>
        <w:jc w:val="both"/>
        <w:rPr>
          <w:rFonts w:ascii="Times New Roman" w:eastAsia="Calibri" w:hAnsi="Times New Roman" w:cs="Times New Roman"/>
          <w:bCs/>
          <w:lang w:eastAsia="hu-HU"/>
        </w:rPr>
      </w:pPr>
      <w:r w:rsidRPr="0039180E">
        <w:rPr>
          <w:rFonts w:ascii="Times New Roman" w:eastAsia="Calibri" w:hAnsi="Times New Roman" w:cs="Times New Roman"/>
          <w:bCs/>
          <w:lang w:eastAsia="hu-HU"/>
        </w:rPr>
        <w:t>Dr. Kovácsné dr. Nábrádi Márta: Basic Military English, ZMNE jegyzet</w:t>
      </w:r>
    </w:p>
    <w:p w:rsidR="0039180E" w:rsidRPr="0039180E" w:rsidRDefault="0039180E" w:rsidP="00980876">
      <w:pPr>
        <w:numPr>
          <w:ilvl w:val="0"/>
          <w:numId w:val="846"/>
        </w:numPr>
        <w:tabs>
          <w:tab w:val="right" w:pos="900"/>
        </w:tabs>
        <w:spacing w:before="120" w:after="0" w:line="240" w:lineRule="auto"/>
        <w:ind w:left="993"/>
        <w:contextualSpacing/>
        <w:jc w:val="both"/>
        <w:rPr>
          <w:rFonts w:ascii="Times New Roman" w:eastAsia="Calibri" w:hAnsi="Times New Roman" w:cs="Times New Roman"/>
          <w:bCs/>
          <w:lang w:eastAsia="hu-HU"/>
        </w:rPr>
      </w:pPr>
      <w:r w:rsidRPr="0039180E">
        <w:rPr>
          <w:rFonts w:ascii="Times New Roman" w:eastAsia="Calibri" w:hAnsi="Times New Roman" w:cs="Times New Roman"/>
          <w:bCs/>
          <w:lang w:eastAsia="hu-HU"/>
        </w:rPr>
        <w:t>Vadász Istvánné: Focus on the military, ZMNE jegyzet</w:t>
      </w:r>
      <w:r w:rsidRPr="0039180E">
        <w:rPr>
          <w:rFonts w:ascii="Times New Roman" w:eastAsia="Calibri" w:hAnsi="Times New Roman" w:cs="Times New Roman"/>
          <w:bCs/>
          <w:lang w:eastAsia="hu-HU"/>
        </w:rPr>
        <w:tab/>
      </w:r>
    </w:p>
    <w:p w:rsidR="0039180E" w:rsidRPr="0039180E" w:rsidRDefault="0039180E" w:rsidP="00980876">
      <w:pPr>
        <w:numPr>
          <w:ilvl w:val="0"/>
          <w:numId w:val="846"/>
        </w:numPr>
        <w:tabs>
          <w:tab w:val="right" w:pos="900"/>
        </w:tabs>
        <w:spacing w:before="120" w:after="0" w:line="240" w:lineRule="auto"/>
        <w:ind w:left="993"/>
        <w:contextualSpacing/>
        <w:jc w:val="both"/>
        <w:rPr>
          <w:rFonts w:ascii="Times New Roman" w:eastAsia="Calibri" w:hAnsi="Times New Roman" w:cs="Times New Roman"/>
          <w:bCs/>
          <w:lang w:eastAsia="hu-HU"/>
        </w:rPr>
      </w:pPr>
      <w:r w:rsidRPr="0039180E">
        <w:rPr>
          <w:rFonts w:ascii="Times New Roman" w:eastAsia="Calibri" w:hAnsi="Times New Roman" w:cs="Times New Roman"/>
          <w:bCs/>
          <w:lang w:eastAsia="hu-HU"/>
        </w:rPr>
        <w:t>Jobbágy Ilona – Katona Lucia – Kevin Shopland: General Communications Skills</w:t>
      </w:r>
    </w:p>
    <w:p w:rsidR="0039180E" w:rsidRPr="0039180E" w:rsidRDefault="0039180E" w:rsidP="00980876">
      <w:pPr>
        <w:numPr>
          <w:ilvl w:val="0"/>
          <w:numId w:val="846"/>
        </w:numPr>
        <w:tabs>
          <w:tab w:val="right" w:pos="900"/>
        </w:tabs>
        <w:spacing w:before="120" w:after="0" w:line="240" w:lineRule="auto"/>
        <w:ind w:left="993"/>
        <w:contextualSpacing/>
        <w:jc w:val="both"/>
        <w:rPr>
          <w:rFonts w:ascii="Times New Roman" w:eastAsia="Calibri" w:hAnsi="Times New Roman" w:cs="Times New Roman"/>
          <w:bCs/>
          <w:lang w:eastAsia="hu-HU"/>
        </w:rPr>
      </w:pPr>
      <w:r w:rsidRPr="0039180E">
        <w:rPr>
          <w:rFonts w:ascii="Times New Roman" w:eastAsia="Calibri" w:hAnsi="Times New Roman" w:cs="Times New Roman"/>
          <w:bCs/>
          <w:lang w:eastAsia="hu-HU"/>
        </w:rPr>
        <w:t>Némethné Hock Ildikó: 1000 kérdés 1000 válasz az „A” típusú nyelvvizsgához</w:t>
      </w:r>
    </w:p>
    <w:p w:rsidR="0039180E" w:rsidRPr="0039180E" w:rsidRDefault="0039180E" w:rsidP="00980876">
      <w:pPr>
        <w:numPr>
          <w:ilvl w:val="1"/>
          <w:numId w:val="845"/>
        </w:numPr>
        <w:tabs>
          <w:tab w:val="right" w:pos="900"/>
          <w:tab w:val="center" w:pos="4536"/>
          <w:tab w:val="right" w:pos="9072"/>
        </w:tabs>
        <w:spacing w:before="120" w:after="0" w:line="240" w:lineRule="auto"/>
        <w:jc w:val="both"/>
        <w:rPr>
          <w:rFonts w:ascii="Times New Roman" w:eastAsia="Calibri" w:hAnsi="Times New Roman" w:cs="Times New Roman"/>
          <w:b/>
          <w:bCs/>
          <w:lang w:eastAsia="hu-HU"/>
        </w:rPr>
      </w:pPr>
      <w:r w:rsidRPr="0039180E">
        <w:rPr>
          <w:rFonts w:ascii="Times New Roman" w:eastAsia="Calibri" w:hAnsi="Times New Roman" w:cs="Times New Roman"/>
          <w:b/>
          <w:bCs/>
          <w:lang w:eastAsia="hu-HU"/>
        </w:rPr>
        <w:t>Ajánlott irodalom:</w:t>
      </w:r>
    </w:p>
    <w:p w:rsidR="0039180E" w:rsidRPr="0039180E" w:rsidRDefault="0039180E" w:rsidP="00980876">
      <w:pPr>
        <w:numPr>
          <w:ilvl w:val="0"/>
          <w:numId w:val="847"/>
        </w:numPr>
        <w:spacing w:before="120" w:after="0" w:line="240" w:lineRule="auto"/>
        <w:ind w:left="993"/>
        <w:contextualSpacing/>
        <w:jc w:val="both"/>
        <w:rPr>
          <w:rFonts w:ascii="Times New Roman" w:eastAsia="Calibri" w:hAnsi="Times New Roman" w:cs="Times New Roman"/>
          <w:lang w:eastAsia="hu-HU"/>
        </w:rPr>
      </w:pPr>
      <w:r w:rsidRPr="0039180E">
        <w:rPr>
          <w:rFonts w:ascii="Times New Roman" w:eastAsia="Calibri" w:hAnsi="Times New Roman" w:cs="Times New Roman"/>
          <w:lang w:eastAsia="hu-HU"/>
        </w:rPr>
        <w:t>James Arnold – Robert SAcco: Command English</w:t>
      </w:r>
    </w:p>
    <w:p w:rsidR="0039180E" w:rsidRPr="0039180E" w:rsidRDefault="0039180E" w:rsidP="00980876">
      <w:pPr>
        <w:numPr>
          <w:ilvl w:val="0"/>
          <w:numId w:val="847"/>
        </w:numPr>
        <w:spacing w:before="120" w:after="0" w:line="240" w:lineRule="auto"/>
        <w:ind w:left="993"/>
        <w:contextualSpacing/>
        <w:jc w:val="both"/>
        <w:rPr>
          <w:rFonts w:ascii="Times New Roman" w:eastAsia="Calibri" w:hAnsi="Times New Roman" w:cs="Times New Roman"/>
          <w:lang w:eastAsia="hu-HU"/>
        </w:rPr>
      </w:pPr>
      <w:r w:rsidRPr="0039180E">
        <w:rPr>
          <w:rFonts w:ascii="Times New Roman" w:eastAsia="Calibri" w:hAnsi="Times New Roman" w:cs="Times New Roman"/>
          <w:lang w:eastAsia="hu-HU"/>
        </w:rPr>
        <w:t xml:space="preserve">Raymund Murphy: English Grammar in Use </w:t>
      </w:r>
    </w:p>
    <w:p w:rsidR="0039180E" w:rsidRPr="0039180E" w:rsidRDefault="0039180E" w:rsidP="00980876">
      <w:pPr>
        <w:numPr>
          <w:ilvl w:val="0"/>
          <w:numId w:val="847"/>
        </w:numPr>
        <w:spacing w:before="120" w:after="0" w:line="240" w:lineRule="auto"/>
        <w:ind w:left="993"/>
        <w:contextualSpacing/>
        <w:jc w:val="both"/>
        <w:rPr>
          <w:rFonts w:ascii="Times New Roman" w:eastAsia="Calibri" w:hAnsi="Times New Roman" w:cs="Times New Roman"/>
          <w:lang w:eastAsia="hu-HU"/>
        </w:rPr>
      </w:pPr>
      <w:r w:rsidRPr="0039180E">
        <w:rPr>
          <w:rFonts w:ascii="Times New Roman" w:eastAsia="Calibri" w:hAnsi="Times New Roman" w:cs="Times New Roman"/>
          <w:lang w:eastAsia="hu-HU"/>
        </w:rPr>
        <w:lastRenderedPageBreak/>
        <w:t>Norman Coe, Mark Harrison és Ken Paterson. Oxford Angol Nyelvtan</w:t>
      </w:r>
    </w:p>
    <w:p w:rsidR="0039180E" w:rsidRPr="0039180E" w:rsidRDefault="0039180E" w:rsidP="00980876">
      <w:pPr>
        <w:numPr>
          <w:ilvl w:val="0"/>
          <w:numId w:val="847"/>
        </w:numPr>
        <w:spacing w:before="120" w:after="0" w:line="240" w:lineRule="auto"/>
        <w:ind w:left="993"/>
        <w:contextualSpacing/>
        <w:jc w:val="both"/>
        <w:rPr>
          <w:rFonts w:ascii="Times New Roman" w:eastAsia="Calibri" w:hAnsi="Times New Roman" w:cs="Times New Roman"/>
          <w:lang w:eastAsia="hu-HU"/>
        </w:rPr>
      </w:pPr>
      <w:r w:rsidRPr="0039180E">
        <w:rPr>
          <w:rFonts w:ascii="Times New Roman" w:eastAsia="Calibri" w:hAnsi="Times New Roman" w:cs="Times New Roman"/>
          <w:lang w:eastAsia="hu-HU"/>
        </w:rPr>
        <w:t xml:space="preserve">Ruth Grain és Stuart Rodman: Oxford Word Skills Intermediate </w:t>
      </w:r>
    </w:p>
    <w:p w:rsidR="0039180E" w:rsidRPr="0039180E" w:rsidRDefault="0039180E" w:rsidP="00980876">
      <w:pPr>
        <w:numPr>
          <w:ilvl w:val="0"/>
          <w:numId w:val="847"/>
        </w:numPr>
        <w:spacing w:before="120" w:after="0" w:line="240" w:lineRule="auto"/>
        <w:ind w:left="993"/>
        <w:contextualSpacing/>
        <w:jc w:val="both"/>
        <w:rPr>
          <w:rFonts w:ascii="Times New Roman" w:eastAsia="Calibri" w:hAnsi="Times New Roman" w:cs="Times New Roman"/>
          <w:lang w:eastAsia="hu-HU"/>
        </w:rPr>
      </w:pPr>
      <w:r w:rsidRPr="0039180E">
        <w:rPr>
          <w:rFonts w:ascii="Times New Roman" w:eastAsia="Calibri" w:hAnsi="Times New Roman" w:cs="Times New Roman"/>
          <w:lang w:eastAsia="hu-HU"/>
        </w:rPr>
        <w:t>Király Zsolt: Blackbird</w:t>
      </w:r>
    </w:p>
    <w:p w:rsidR="0039180E" w:rsidRPr="0039180E" w:rsidRDefault="0039180E" w:rsidP="0039180E">
      <w:pPr>
        <w:tabs>
          <w:tab w:val="right" w:pos="900"/>
        </w:tabs>
        <w:spacing w:before="120" w:after="0" w:line="240" w:lineRule="auto"/>
        <w:rPr>
          <w:rFonts w:ascii="Times New Roman" w:eastAsia="Calibri" w:hAnsi="Times New Roman" w:cs="Times New Roman"/>
          <w:bCs/>
        </w:rPr>
      </w:pPr>
    </w:p>
    <w:p w:rsidR="0039180E" w:rsidRPr="0039180E" w:rsidRDefault="0039180E" w:rsidP="0039180E">
      <w:pPr>
        <w:tabs>
          <w:tab w:val="right" w:pos="900"/>
        </w:tabs>
        <w:spacing w:before="120" w:after="0" w:line="240" w:lineRule="auto"/>
        <w:jc w:val="both"/>
        <w:rPr>
          <w:rFonts w:ascii="Times New Roman" w:eastAsia="Calibri" w:hAnsi="Times New Roman" w:cs="Times New Roman"/>
          <w:bCs/>
        </w:rPr>
      </w:pPr>
      <w:r w:rsidRPr="0039180E">
        <w:rPr>
          <w:rFonts w:ascii="Times New Roman" w:eastAsia="Calibri" w:hAnsi="Times New Roman" w:cs="Times New Roman"/>
          <w:bCs/>
        </w:rPr>
        <w:t>Budapest, 2020. február 5.</w:t>
      </w:r>
    </w:p>
    <w:p w:rsidR="0039180E" w:rsidRPr="0039180E" w:rsidRDefault="0039180E" w:rsidP="0039180E">
      <w:pPr>
        <w:tabs>
          <w:tab w:val="right" w:pos="900"/>
        </w:tabs>
        <w:spacing w:before="120" w:after="0" w:line="240" w:lineRule="auto"/>
        <w:jc w:val="right"/>
        <w:rPr>
          <w:rFonts w:ascii="Times New Roman" w:eastAsia="Calibri" w:hAnsi="Times New Roman" w:cs="Times New Roman"/>
          <w:bCs/>
        </w:rPr>
      </w:pPr>
      <w:r w:rsidRPr="0039180E">
        <w:rPr>
          <w:rFonts w:ascii="Times New Roman" w:eastAsia="Calibri" w:hAnsi="Times New Roman" w:cs="Times New Roman"/>
          <w:bCs/>
          <w:lang w:eastAsia="hu-HU"/>
        </w:rPr>
        <w:tab/>
      </w:r>
      <w:r w:rsidRPr="0039180E">
        <w:rPr>
          <w:rFonts w:ascii="Times New Roman" w:eastAsia="Calibri" w:hAnsi="Times New Roman" w:cs="Times New Roman"/>
          <w:bCs/>
          <w:lang w:eastAsia="hu-HU"/>
        </w:rPr>
        <w:tab/>
      </w:r>
      <w:r w:rsidRPr="0039180E">
        <w:rPr>
          <w:rFonts w:ascii="Times New Roman" w:eastAsia="Calibri" w:hAnsi="Times New Roman" w:cs="Times New Roman"/>
          <w:bCs/>
          <w:lang w:eastAsia="hu-HU"/>
        </w:rPr>
        <w:tab/>
      </w:r>
      <w:r w:rsidRPr="0039180E">
        <w:rPr>
          <w:rFonts w:ascii="Times New Roman" w:eastAsia="Calibri" w:hAnsi="Times New Roman" w:cs="Times New Roman"/>
          <w:bCs/>
          <w:lang w:eastAsia="hu-HU"/>
        </w:rPr>
        <w:tab/>
      </w:r>
      <w:r w:rsidRPr="0039180E">
        <w:rPr>
          <w:rFonts w:ascii="Times New Roman" w:eastAsia="Calibri" w:hAnsi="Times New Roman" w:cs="Times New Roman"/>
          <w:bCs/>
          <w:lang w:eastAsia="hu-HU"/>
        </w:rPr>
        <w:tab/>
      </w:r>
      <w:r w:rsidRPr="0039180E">
        <w:rPr>
          <w:rFonts w:ascii="Times New Roman" w:eastAsia="Calibri" w:hAnsi="Times New Roman" w:cs="Times New Roman"/>
          <w:bCs/>
          <w:lang w:eastAsia="hu-HU"/>
        </w:rPr>
        <w:tab/>
      </w:r>
      <w:r w:rsidRPr="0039180E">
        <w:rPr>
          <w:rFonts w:ascii="Times New Roman" w:eastAsia="Calibri" w:hAnsi="Times New Roman" w:cs="Times New Roman"/>
          <w:bCs/>
          <w:lang w:eastAsia="hu-HU"/>
        </w:rPr>
        <w:tab/>
      </w:r>
      <w:r w:rsidRPr="0039180E">
        <w:rPr>
          <w:rFonts w:ascii="Times New Roman" w:eastAsia="Calibri" w:hAnsi="Times New Roman" w:cs="Times New Roman"/>
          <w:bCs/>
          <w:lang w:eastAsia="hu-HU"/>
        </w:rPr>
        <w:tab/>
      </w:r>
      <w:r w:rsidRPr="0039180E">
        <w:rPr>
          <w:rFonts w:ascii="Times New Roman" w:eastAsia="Calibri" w:hAnsi="Times New Roman" w:cs="Times New Roman"/>
        </w:rPr>
        <w:t>Dr. Kiss Gabriella</w:t>
      </w:r>
    </w:p>
    <w:p w:rsidR="0039180E" w:rsidRPr="0039180E" w:rsidRDefault="0039180E" w:rsidP="0039180E">
      <w:pPr>
        <w:jc w:val="right"/>
        <w:rPr>
          <w:rFonts w:ascii="Times New Roman" w:eastAsia="Calibri" w:hAnsi="Times New Roman" w:cs="Times New Roman"/>
        </w:rPr>
      </w:pPr>
      <w:r w:rsidRPr="0039180E">
        <w:rPr>
          <w:rFonts w:ascii="Times New Roman" w:eastAsia="Calibri" w:hAnsi="Times New Roman" w:cs="Times New Roman"/>
        </w:rPr>
        <w:t>tantárgyfelelős, sk.</w:t>
      </w:r>
    </w:p>
    <w:p w:rsidR="00685779" w:rsidRDefault="00685779" w:rsidP="00685779">
      <w:pPr>
        <w:spacing w:after="200" w:line="276" w:lineRule="auto"/>
        <w:rPr>
          <w:rFonts w:ascii="Times New Roman" w:hAnsi="Times New Roman" w:cs="Times New Roman"/>
          <w:sz w:val="24"/>
        </w:rPr>
      </w:pPr>
      <w:r>
        <w:rPr>
          <w:rFonts w:ascii="Times New Roman" w:hAnsi="Times New Roman" w:cs="Times New Roman"/>
          <w:sz w:val="24"/>
        </w:rPr>
        <w:br w:type="page"/>
      </w:r>
    </w:p>
    <w:tbl>
      <w:tblPr>
        <w:tblW w:w="9072" w:type="dxa"/>
        <w:tblInd w:w="113" w:type="dxa"/>
        <w:tblLook w:val="01E0" w:firstRow="1" w:lastRow="1" w:firstColumn="1" w:lastColumn="1" w:noHBand="0" w:noVBand="0"/>
      </w:tblPr>
      <w:tblGrid>
        <w:gridCol w:w="4855"/>
        <w:gridCol w:w="1620"/>
        <w:gridCol w:w="2597"/>
      </w:tblGrid>
      <w:tr w:rsidR="00685779" w:rsidTr="00685779">
        <w:tc>
          <w:tcPr>
            <w:tcW w:w="4855" w:type="dxa"/>
            <w:tcBorders>
              <w:top w:val="nil"/>
              <w:left w:val="nil"/>
              <w:bottom w:val="single" w:sz="4" w:space="0" w:color="auto"/>
              <w:right w:val="nil"/>
            </w:tcBorders>
            <w:hideMark/>
          </w:tcPr>
          <w:p w:rsidR="00685779" w:rsidRDefault="00685779" w:rsidP="00685779">
            <w:pPr>
              <w:spacing w:after="0" w:line="240" w:lineRule="auto"/>
              <w:jc w:val="center"/>
              <w:rPr>
                <w:rFonts w:ascii="Times New Roman" w:eastAsia="Times New Roman" w:hAnsi="Times New Roman" w:cs="Times New Roman"/>
                <w:b/>
                <w:smallCaps/>
                <w:lang w:eastAsia="hu-HU"/>
              </w:rPr>
            </w:pPr>
            <w:r>
              <w:rPr>
                <w:rFonts w:ascii="Times New Roman" w:eastAsia="Times New Roman" w:hAnsi="Times New Roman" w:cs="Times New Roman"/>
                <w:b/>
                <w:smallCaps/>
                <w:lang w:eastAsia="hu-HU"/>
              </w:rPr>
              <w:lastRenderedPageBreak/>
              <w:t>Nemzeti Közszolgálati Egyetem</w:t>
            </w:r>
          </w:p>
        </w:tc>
        <w:tc>
          <w:tcPr>
            <w:tcW w:w="1620" w:type="dxa"/>
          </w:tcPr>
          <w:p w:rsidR="00685779" w:rsidRDefault="00685779" w:rsidP="00685779">
            <w:pPr>
              <w:spacing w:after="0" w:line="240" w:lineRule="auto"/>
              <w:jc w:val="both"/>
              <w:rPr>
                <w:rFonts w:ascii="Times New Roman" w:eastAsia="Times New Roman" w:hAnsi="Times New Roman" w:cs="Times New Roman"/>
                <w:lang w:eastAsia="hu-HU"/>
              </w:rPr>
            </w:pPr>
          </w:p>
        </w:tc>
        <w:tc>
          <w:tcPr>
            <w:tcW w:w="2597" w:type="dxa"/>
          </w:tcPr>
          <w:p w:rsidR="00685779" w:rsidRDefault="00685779" w:rsidP="00685779">
            <w:pPr>
              <w:spacing w:after="0" w:line="240" w:lineRule="auto"/>
              <w:jc w:val="right"/>
              <w:rPr>
                <w:rFonts w:ascii="Times New Roman" w:eastAsia="Times New Roman" w:hAnsi="Times New Roman" w:cs="Times New Roman"/>
                <w:lang w:eastAsia="hu-HU"/>
              </w:rPr>
            </w:pPr>
          </w:p>
        </w:tc>
      </w:tr>
      <w:tr w:rsidR="00685779" w:rsidTr="00685779">
        <w:tc>
          <w:tcPr>
            <w:tcW w:w="4855" w:type="dxa"/>
            <w:tcBorders>
              <w:top w:val="single" w:sz="4" w:space="0" w:color="auto"/>
              <w:left w:val="nil"/>
              <w:bottom w:val="nil"/>
              <w:right w:val="nil"/>
            </w:tcBorders>
            <w:hideMark/>
          </w:tcPr>
          <w:p w:rsidR="00685779" w:rsidRDefault="00685779" w:rsidP="00685779">
            <w:pPr>
              <w:spacing w:after="0" w:line="240" w:lineRule="auto"/>
              <w:jc w:val="center"/>
              <w:rPr>
                <w:rFonts w:ascii="Times New Roman" w:eastAsia="Times New Roman" w:hAnsi="Times New Roman" w:cs="Times New Roman"/>
                <w:b/>
                <w:lang w:eastAsia="hu-HU"/>
              </w:rPr>
            </w:pPr>
            <w:r>
              <w:rPr>
                <w:rFonts w:ascii="Times New Roman" w:eastAsia="Times New Roman" w:hAnsi="Times New Roman" w:cs="Times New Roman"/>
                <w:b/>
                <w:lang w:eastAsia="hu-HU"/>
              </w:rPr>
              <w:t>Rendészettudományi Kar</w:t>
            </w:r>
          </w:p>
        </w:tc>
        <w:tc>
          <w:tcPr>
            <w:tcW w:w="1620" w:type="dxa"/>
          </w:tcPr>
          <w:p w:rsidR="00685779" w:rsidRDefault="00685779" w:rsidP="00685779">
            <w:pPr>
              <w:spacing w:after="0" w:line="240" w:lineRule="auto"/>
              <w:jc w:val="both"/>
              <w:rPr>
                <w:rFonts w:ascii="Times New Roman" w:eastAsia="Times New Roman" w:hAnsi="Times New Roman" w:cs="Times New Roman"/>
                <w:lang w:eastAsia="hu-HU"/>
              </w:rPr>
            </w:pPr>
          </w:p>
        </w:tc>
        <w:tc>
          <w:tcPr>
            <w:tcW w:w="2597" w:type="dxa"/>
          </w:tcPr>
          <w:p w:rsidR="00685779" w:rsidRDefault="00685779" w:rsidP="00685779">
            <w:pPr>
              <w:spacing w:after="0" w:line="240" w:lineRule="auto"/>
              <w:jc w:val="both"/>
              <w:rPr>
                <w:rFonts w:ascii="Times New Roman" w:eastAsia="Times New Roman" w:hAnsi="Times New Roman" w:cs="Times New Roman"/>
                <w:lang w:eastAsia="hu-HU"/>
              </w:rPr>
            </w:pPr>
          </w:p>
        </w:tc>
      </w:tr>
    </w:tbl>
    <w:p w:rsidR="00685779" w:rsidRDefault="00685779" w:rsidP="00685779">
      <w:pPr>
        <w:widowControl w:val="0"/>
        <w:spacing w:before="120" w:after="120" w:line="240" w:lineRule="auto"/>
        <w:ind w:left="426" w:hanging="142"/>
        <w:jc w:val="center"/>
        <w:rPr>
          <w:rFonts w:ascii="Times New Roman" w:eastAsia="Times New Roman" w:hAnsi="Times New Roman" w:cs="Times New Roman"/>
          <w:b/>
          <w:bCs/>
        </w:rPr>
      </w:pPr>
    </w:p>
    <w:p w:rsidR="00685779" w:rsidRDefault="00685779" w:rsidP="00685779">
      <w:pPr>
        <w:widowControl w:val="0"/>
        <w:spacing w:before="120" w:after="120" w:line="240" w:lineRule="auto"/>
        <w:ind w:left="426" w:hanging="142"/>
        <w:jc w:val="center"/>
        <w:rPr>
          <w:rFonts w:ascii="Times New Roman" w:eastAsia="Times New Roman" w:hAnsi="Times New Roman" w:cs="Times New Roman"/>
          <w:b/>
          <w:bCs/>
        </w:rPr>
      </w:pPr>
      <w:r>
        <w:rPr>
          <w:rFonts w:ascii="Times New Roman" w:eastAsia="Times New Roman" w:hAnsi="Times New Roman" w:cs="Times New Roman"/>
          <w:b/>
          <w:bCs/>
        </w:rPr>
        <w:t>TANTÁRGYI PROGRAM</w:t>
      </w:r>
    </w:p>
    <w:p w:rsidR="00685779" w:rsidRPr="004479ED" w:rsidRDefault="00685779" w:rsidP="00980876">
      <w:pPr>
        <w:widowControl w:val="0"/>
        <w:numPr>
          <w:ilvl w:val="0"/>
          <w:numId w:val="514"/>
        </w:numPr>
        <w:tabs>
          <w:tab w:val="num" w:pos="426"/>
        </w:tabs>
        <w:spacing w:before="120" w:after="120" w:line="240" w:lineRule="auto"/>
        <w:ind w:hanging="436"/>
        <w:jc w:val="both"/>
        <w:rPr>
          <w:rFonts w:ascii="Times New Roman" w:eastAsia="Times New Roman" w:hAnsi="Times New Roman" w:cs="Times New Roman"/>
          <w:bCs/>
        </w:rPr>
      </w:pPr>
      <w:r w:rsidRPr="004479ED">
        <w:rPr>
          <w:rFonts w:ascii="Times New Roman" w:eastAsia="Times New Roman" w:hAnsi="Times New Roman" w:cs="Times New Roman"/>
          <w:b/>
          <w:bCs/>
        </w:rPr>
        <w:t xml:space="preserve">A tantárgy kódja: </w:t>
      </w:r>
      <w:r w:rsidRPr="004479ED">
        <w:rPr>
          <w:rFonts w:ascii="Times New Roman" w:eastAsia="Times New Roman" w:hAnsi="Times New Roman" w:cs="Times New Roman"/>
          <w:bCs/>
          <w:noProof/>
        </w:rPr>
        <w:t>VKMTB91</w:t>
      </w:r>
    </w:p>
    <w:p w:rsidR="00685779" w:rsidRPr="004479ED" w:rsidRDefault="00685779" w:rsidP="00980876">
      <w:pPr>
        <w:widowControl w:val="0"/>
        <w:numPr>
          <w:ilvl w:val="0"/>
          <w:numId w:val="514"/>
        </w:numPr>
        <w:spacing w:before="120" w:after="120" w:line="240" w:lineRule="auto"/>
        <w:ind w:left="426" w:hanging="142"/>
        <w:jc w:val="both"/>
        <w:rPr>
          <w:rFonts w:ascii="Times New Roman" w:eastAsia="Times New Roman" w:hAnsi="Times New Roman" w:cs="Times New Roman"/>
          <w:b/>
          <w:bCs/>
          <w:lang w:val="en-GB"/>
        </w:rPr>
      </w:pPr>
      <w:r w:rsidRPr="004479ED">
        <w:rPr>
          <w:rFonts w:ascii="Times New Roman" w:eastAsia="Times New Roman" w:hAnsi="Times New Roman" w:cs="Times New Roman"/>
          <w:b/>
          <w:bCs/>
        </w:rPr>
        <w:t>A tantárgy megnevezése (magyarul):</w:t>
      </w:r>
      <w:r w:rsidRPr="004479ED">
        <w:rPr>
          <w:rFonts w:ascii="Times New Roman" w:eastAsia="Times New Roman" w:hAnsi="Times New Roman" w:cs="Times New Roman"/>
          <w:bCs/>
        </w:rPr>
        <w:t xml:space="preserve"> </w:t>
      </w:r>
      <w:r w:rsidRPr="004479ED">
        <w:rPr>
          <w:rFonts w:ascii="Times New Roman" w:eastAsia="Times New Roman" w:hAnsi="Times New Roman" w:cs="Times New Roman"/>
          <w:bCs/>
          <w:noProof/>
        </w:rPr>
        <w:t>Elsősegélynyújtás</w:t>
      </w:r>
    </w:p>
    <w:p w:rsidR="00685779" w:rsidRPr="004479ED" w:rsidRDefault="00685779" w:rsidP="00980876">
      <w:pPr>
        <w:widowControl w:val="0"/>
        <w:numPr>
          <w:ilvl w:val="0"/>
          <w:numId w:val="514"/>
        </w:numPr>
        <w:tabs>
          <w:tab w:val="num" w:pos="426"/>
        </w:tabs>
        <w:spacing w:before="120" w:after="120" w:line="240" w:lineRule="auto"/>
        <w:ind w:hanging="436"/>
        <w:jc w:val="both"/>
        <w:rPr>
          <w:rFonts w:ascii="Times New Roman" w:eastAsia="Times New Roman" w:hAnsi="Times New Roman" w:cs="Times New Roman"/>
          <w:b/>
          <w:bCs/>
          <w:lang w:val="en-GB"/>
        </w:rPr>
      </w:pPr>
      <w:r w:rsidRPr="004479ED">
        <w:rPr>
          <w:rFonts w:ascii="Times New Roman" w:eastAsia="Times New Roman" w:hAnsi="Times New Roman" w:cs="Times New Roman"/>
          <w:b/>
          <w:bCs/>
        </w:rPr>
        <w:t xml:space="preserve">A tantárgy megnevezése (angolul): </w:t>
      </w:r>
      <w:r w:rsidRPr="004479ED">
        <w:rPr>
          <w:rFonts w:ascii="Times New Roman" w:eastAsia="Times New Roman" w:hAnsi="Times New Roman" w:cs="Times New Roman"/>
          <w:bCs/>
        </w:rPr>
        <w:t>First aid training</w:t>
      </w:r>
    </w:p>
    <w:p w:rsidR="00685779" w:rsidRPr="004479ED" w:rsidRDefault="00685779" w:rsidP="00980876">
      <w:pPr>
        <w:widowControl w:val="0"/>
        <w:numPr>
          <w:ilvl w:val="0"/>
          <w:numId w:val="514"/>
        </w:numPr>
        <w:spacing w:before="120" w:after="120" w:line="240" w:lineRule="auto"/>
        <w:ind w:left="426" w:hanging="142"/>
        <w:jc w:val="both"/>
        <w:rPr>
          <w:rFonts w:ascii="Times New Roman" w:eastAsia="Times New Roman" w:hAnsi="Times New Roman" w:cs="Times New Roman"/>
          <w:b/>
          <w:bCs/>
        </w:rPr>
      </w:pPr>
      <w:r w:rsidRPr="004479ED">
        <w:rPr>
          <w:rFonts w:ascii="Times New Roman" w:eastAsia="Times New Roman" w:hAnsi="Times New Roman" w:cs="Times New Roman"/>
          <w:b/>
          <w:bCs/>
        </w:rPr>
        <w:t>Kreditérték és képzési karakter:</w:t>
      </w:r>
    </w:p>
    <w:p w:rsidR="00685779" w:rsidRPr="004479ED" w:rsidRDefault="00685779" w:rsidP="00980876">
      <w:pPr>
        <w:pStyle w:val="Listaszerbekezds"/>
        <w:widowControl w:val="0"/>
        <w:numPr>
          <w:ilvl w:val="1"/>
          <w:numId w:val="514"/>
        </w:numPr>
        <w:spacing w:before="120" w:after="120" w:line="240" w:lineRule="auto"/>
        <w:ind w:left="993" w:hanging="426"/>
        <w:jc w:val="both"/>
        <w:rPr>
          <w:rFonts w:ascii="Times New Roman" w:eastAsia="Times New Roman" w:hAnsi="Times New Roman" w:cs="Times New Roman"/>
          <w:b/>
          <w:bCs/>
        </w:rPr>
      </w:pPr>
      <w:r w:rsidRPr="004479ED">
        <w:rPr>
          <w:rFonts w:ascii="Times New Roman" w:eastAsia="Times New Roman" w:hAnsi="Times New Roman" w:cs="Times New Roman"/>
          <w:bCs/>
        </w:rPr>
        <w:t xml:space="preserve"> kredit 0</w:t>
      </w:r>
    </w:p>
    <w:p w:rsidR="00685779" w:rsidRPr="004479ED" w:rsidRDefault="00685779" w:rsidP="00980876">
      <w:pPr>
        <w:pStyle w:val="Listaszerbekezds"/>
        <w:widowControl w:val="0"/>
        <w:numPr>
          <w:ilvl w:val="1"/>
          <w:numId w:val="514"/>
        </w:numPr>
        <w:spacing w:before="120" w:after="120" w:line="240" w:lineRule="auto"/>
        <w:ind w:left="993" w:hanging="426"/>
        <w:jc w:val="both"/>
        <w:rPr>
          <w:rFonts w:ascii="Times New Roman" w:eastAsia="Times New Roman" w:hAnsi="Times New Roman" w:cs="Times New Roman"/>
          <w:b/>
          <w:bCs/>
        </w:rPr>
      </w:pPr>
      <w:r w:rsidRPr="004479ED">
        <w:rPr>
          <w:rFonts w:ascii="Times New Roman" w:eastAsia="Times New Roman" w:hAnsi="Times New Roman" w:cs="Times New Roman"/>
          <w:bCs/>
        </w:rPr>
        <w:t>a tantárgy elméleti vagy gyakorlati jellegének mértéke: 100 % gyakorlat, 0 % elmélet</w:t>
      </w:r>
    </w:p>
    <w:p w:rsidR="00685779" w:rsidRPr="004479ED" w:rsidRDefault="00685779" w:rsidP="00980876">
      <w:pPr>
        <w:widowControl w:val="0"/>
        <w:numPr>
          <w:ilvl w:val="0"/>
          <w:numId w:val="514"/>
        </w:numPr>
        <w:spacing w:before="120" w:after="120" w:line="240" w:lineRule="auto"/>
        <w:ind w:left="426" w:hanging="142"/>
        <w:jc w:val="both"/>
        <w:rPr>
          <w:rFonts w:ascii="Times New Roman" w:eastAsia="Times New Roman" w:hAnsi="Times New Roman" w:cs="Times New Roman"/>
          <w:bCs/>
        </w:rPr>
      </w:pPr>
      <w:r w:rsidRPr="004479ED">
        <w:rPr>
          <w:rFonts w:ascii="Times New Roman" w:eastAsia="Times New Roman" w:hAnsi="Times New Roman" w:cs="Times New Roman"/>
          <w:b/>
          <w:bCs/>
        </w:rPr>
        <w:t>A szak(ok), szakirányok/specializációk megnevezése (ahol oktatják):</w:t>
      </w:r>
      <w:r w:rsidRPr="004479ED">
        <w:rPr>
          <w:rFonts w:ascii="Times New Roman" w:eastAsia="Times New Roman" w:hAnsi="Times New Roman" w:cs="Times New Roman"/>
          <w:bCs/>
        </w:rPr>
        <w:t xml:space="preserve"> </w:t>
      </w:r>
    </w:p>
    <w:p w:rsidR="00685779" w:rsidRPr="004479ED" w:rsidRDefault="00685779" w:rsidP="00980876">
      <w:pPr>
        <w:widowControl w:val="0"/>
        <w:numPr>
          <w:ilvl w:val="0"/>
          <w:numId w:val="514"/>
        </w:numPr>
        <w:spacing w:before="120" w:after="120" w:line="240" w:lineRule="auto"/>
        <w:ind w:left="426" w:hanging="142"/>
        <w:jc w:val="both"/>
        <w:rPr>
          <w:rFonts w:ascii="Times New Roman" w:eastAsia="Times New Roman" w:hAnsi="Times New Roman" w:cs="Times New Roman"/>
          <w:bCs/>
        </w:rPr>
      </w:pPr>
      <w:r w:rsidRPr="004479ED">
        <w:rPr>
          <w:rFonts w:ascii="Times New Roman" w:eastAsia="Times New Roman" w:hAnsi="Times New Roman" w:cs="Times New Roman"/>
          <w:b/>
          <w:bCs/>
        </w:rPr>
        <w:t xml:space="preserve">Az oktatásért felelős oktatási szervezeti egység megnevezése: </w:t>
      </w:r>
      <w:r w:rsidRPr="004479ED">
        <w:rPr>
          <w:rFonts w:ascii="Times New Roman" w:eastAsia="Times New Roman" w:hAnsi="Times New Roman" w:cs="Times New Roman"/>
          <w:bCs/>
        </w:rPr>
        <w:t xml:space="preserve">Katasztrófavédelmi Intézet / Katasztrófavédelmi Műveleti tanszék </w:t>
      </w:r>
    </w:p>
    <w:p w:rsidR="00685779" w:rsidRPr="004479ED" w:rsidRDefault="00685779" w:rsidP="00980876">
      <w:pPr>
        <w:widowControl w:val="0"/>
        <w:numPr>
          <w:ilvl w:val="0"/>
          <w:numId w:val="514"/>
        </w:numPr>
        <w:spacing w:before="120" w:after="120" w:line="240" w:lineRule="auto"/>
        <w:ind w:left="426" w:hanging="142"/>
        <w:jc w:val="both"/>
        <w:rPr>
          <w:rFonts w:ascii="Times New Roman" w:eastAsia="Times New Roman" w:hAnsi="Times New Roman" w:cs="Times New Roman"/>
          <w:bCs/>
        </w:rPr>
      </w:pPr>
      <w:r w:rsidRPr="004479ED">
        <w:rPr>
          <w:rFonts w:ascii="Times New Roman" w:eastAsia="Times New Roman" w:hAnsi="Times New Roman" w:cs="Times New Roman"/>
          <w:b/>
          <w:bCs/>
        </w:rPr>
        <w:t>A tantárgyfelelős oktató neve, beosztása, tudományos fokozata:</w:t>
      </w:r>
      <w:r w:rsidRPr="004479ED">
        <w:rPr>
          <w:rFonts w:ascii="Times New Roman" w:eastAsia="Times New Roman" w:hAnsi="Times New Roman" w:cs="Times New Roman"/>
          <w:bCs/>
        </w:rPr>
        <w:t xml:space="preserve"> </w:t>
      </w:r>
      <w:r w:rsidRPr="004479ED">
        <w:rPr>
          <w:rFonts w:ascii="Times New Roman" w:eastAsia="Times New Roman" w:hAnsi="Times New Roman" w:cs="Times New Roman"/>
          <w:bCs/>
          <w:noProof/>
        </w:rPr>
        <w:t>Dr. Kóródi Gyula</w:t>
      </w:r>
      <w:r w:rsidRPr="004479ED">
        <w:rPr>
          <w:rFonts w:ascii="Times New Roman" w:eastAsia="Times New Roman" w:hAnsi="Times New Roman" w:cs="Times New Roman"/>
          <w:bCs/>
        </w:rPr>
        <w:t xml:space="preserve"> </w:t>
      </w:r>
      <w:r w:rsidRPr="004479ED">
        <w:rPr>
          <w:rFonts w:ascii="Times New Roman" w:eastAsia="Times New Roman" w:hAnsi="Times New Roman" w:cs="Times New Roman"/>
          <w:bCs/>
          <w:noProof/>
        </w:rPr>
        <w:t>PhD.</w:t>
      </w:r>
      <w:r w:rsidRPr="004479ED">
        <w:rPr>
          <w:rFonts w:ascii="Times New Roman" w:eastAsia="Times New Roman" w:hAnsi="Times New Roman" w:cs="Times New Roman"/>
          <w:bCs/>
        </w:rPr>
        <w:t xml:space="preserve">, </w:t>
      </w:r>
      <w:r w:rsidRPr="004479ED">
        <w:rPr>
          <w:rFonts w:ascii="Times New Roman" w:eastAsia="Times New Roman" w:hAnsi="Times New Roman" w:cs="Times New Roman"/>
          <w:bCs/>
          <w:noProof/>
        </w:rPr>
        <w:t>egyetemi tanár</w:t>
      </w:r>
      <w:r w:rsidRPr="004479ED">
        <w:rPr>
          <w:rFonts w:ascii="Times New Roman" w:eastAsia="Times New Roman" w:hAnsi="Times New Roman" w:cs="Times New Roman"/>
          <w:bCs/>
        </w:rPr>
        <w:t xml:space="preserve">  </w:t>
      </w:r>
    </w:p>
    <w:p w:rsidR="00685779" w:rsidRPr="004479ED" w:rsidRDefault="00685779" w:rsidP="00980876">
      <w:pPr>
        <w:widowControl w:val="0"/>
        <w:numPr>
          <w:ilvl w:val="0"/>
          <w:numId w:val="514"/>
        </w:numPr>
        <w:spacing w:before="120" w:after="120" w:line="240" w:lineRule="auto"/>
        <w:ind w:left="426" w:hanging="142"/>
        <w:jc w:val="both"/>
        <w:rPr>
          <w:rFonts w:ascii="Times New Roman" w:eastAsia="Times New Roman" w:hAnsi="Times New Roman" w:cs="Times New Roman"/>
          <w:bCs/>
        </w:rPr>
      </w:pPr>
      <w:r w:rsidRPr="004479ED">
        <w:rPr>
          <w:rFonts w:ascii="Times New Roman" w:eastAsia="Times New Roman" w:hAnsi="Times New Roman" w:cs="Times New Roman"/>
          <w:b/>
          <w:bCs/>
        </w:rPr>
        <w:t>A tanórák száma és típusa</w:t>
      </w:r>
    </w:p>
    <w:p w:rsidR="00685779" w:rsidRPr="004479ED" w:rsidRDefault="00685779" w:rsidP="00980876">
      <w:pPr>
        <w:widowControl w:val="0"/>
        <w:numPr>
          <w:ilvl w:val="1"/>
          <w:numId w:val="514"/>
        </w:numPr>
        <w:tabs>
          <w:tab w:val="num" w:pos="2069"/>
        </w:tabs>
        <w:spacing w:before="120" w:after="120" w:line="240" w:lineRule="auto"/>
        <w:ind w:left="851" w:hanging="425"/>
        <w:jc w:val="both"/>
        <w:rPr>
          <w:rFonts w:ascii="Times New Roman" w:eastAsia="Times New Roman" w:hAnsi="Times New Roman" w:cs="Times New Roman"/>
          <w:bCs/>
        </w:rPr>
      </w:pPr>
      <w:r w:rsidRPr="004479ED">
        <w:rPr>
          <w:rFonts w:ascii="Times New Roman" w:eastAsia="Times New Roman" w:hAnsi="Times New Roman" w:cs="Times New Roman"/>
          <w:bCs/>
        </w:rPr>
        <w:t>össz óraszám/félév:</w:t>
      </w:r>
    </w:p>
    <w:p w:rsidR="00685779" w:rsidRPr="004479ED" w:rsidRDefault="00685779" w:rsidP="00980876">
      <w:pPr>
        <w:widowControl w:val="0"/>
        <w:numPr>
          <w:ilvl w:val="2"/>
          <w:numId w:val="514"/>
        </w:numPr>
        <w:tabs>
          <w:tab w:val="num" w:pos="1134"/>
          <w:tab w:val="num" w:pos="1713"/>
        </w:tabs>
        <w:spacing w:before="120" w:after="120" w:line="240" w:lineRule="auto"/>
        <w:ind w:left="993" w:hanging="425"/>
        <w:jc w:val="both"/>
        <w:rPr>
          <w:rFonts w:ascii="Times New Roman" w:eastAsia="Times New Roman" w:hAnsi="Times New Roman" w:cs="Times New Roman"/>
          <w:bCs/>
        </w:rPr>
      </w:pPr>
      <w:r w:rsidRPr="004479ED">
        <w:rPr>
          <w:rFonts w:ascii="Times New Roman" w:eastAsia="Times New Roman" w:hAnsi="Times New Roman" w:cs="Times New Roman"/>
          <w:bCs/>
        </w:rPr>
        <w:t>nappali munkarend: 14 (0 EA + 0 SZ + 14 GY)</w:t>
      </w:r>
    </w:p>
    <w:p w:rsidR="00685779" w:rsidRPr="004479ED" w:rsidRDefault="00685779" w:rsidP="00980876">
      <w:pPr>
        <w:widowControl w:val="0"/>
        <w:numPr>
          <w:ilvl w:val="2"/>
          <w:numId w:val="514"/>
        </w:numPr>
        <w:tabs>
          <w:tab w:val="num" w:pos="1134"/>
          <w:tab w:val="num" w:pos="1713"/>
        </w:tabs>
        <w:spacing w:before="120" w:after="120" w:line="240" w:lineRule="auto"/>
        <w:ind w:left="993" w:hanging="425"/>
        <w:jc w:val="both"/>
        <w:rPr>
          <w:rFonts w:ascii="Times New Roman" w:eastAsia="Times New Roman" w:hAnsi="Times New Roman" w:cs="Times New Roman"/>
          <w:bCs/>
        </w:rPr>
      </w:pPr>
      <w:r w:rsidRPr="004479ED">
        <w:rPr>
          <w:rFonts w:ascii="Times New Roman" w:eastAsia="Times New Roman" w:hAnsi="Times New Roman" w:cs="Times New Roman"/>
          <w:bCs/>
        </w:rPr>
        <w:t>levelező munkarend: 0 (0 EA + 0 SZ + 0 GY)</w:t>
      </w:r>
    </w:p>
    <w:p w:rsidR="00685779" w:rsidRPr="004479ED" w:rsidRDefault="00685779" w:rsidP="00980876">
      <w:pPr>
        <w:widowControl w:val="0"/>
        <w:numPr>
          <w:ilvl w:val="1"/>
          <w:numId w:val="514"/>
        </w:numPr>
        <w:tabs>
          <w:tab w:val="num" w:pos="2069"/>
        </w:tabs>
        <w:spacing w:before="120" w:after="120" w:line="240" w:lineRule="auto"/>
        <w:ind w:left="851" w:hanging="425"/>
        <w:jc w:val="both"/>
        <w:rPr>
          <w:rFonts w:ascii="Times New Roman" w:eastAsia="Times New Roman" w:hAnsi="Times New Roman" w:cs="Times New Roman"/>
          <w:bCs/>
        </w:rPr>
      </w:pPr>
      <w:r w:rsidRPr="004479ED">
        <w:rPr>
          <w:rFonts w:ascii="Times New Roman" w:eastAsia="Times New Roman" w:hAnsi="Times New Roman" w:cs="Times New Roman"/>
          <w:bCs/>
        </w:rPr>
        <w:t>heti óraszám - nappali munkarend: (0 EA + 0 SZ + 1 GY)</w:t>
      </w:r>
    </w:p>
    <w:p w:rsidR="00685779" w:rsidRPr="004479ED" w:rsidRDefault="00685779" w:rsidP="00980876">
      <w:pPr>
        <w:widowControl w:val="0"/>
        <w:numPr>
          <w:ilvl w:val="1"/>
          <w:numId w:val="514"/>
        </w:numPr>
        <w:tabs>
          <w:tab w:val="num" w:pos="2069"/>
        </w:tabs>
        <w:spacing w:before="120" w:after="120" w:line="240" w:lineRule="auto"/>
        <w:ind w:left="851" w:hanging="425"/>
        <w:jc w:val="both"/>
        <w:rPr>
          <w:rFonts w:ascii="Times New Roman" w:eastAsia="Times New Roman" w:hAnsi="Times New Roman" w:cs="Times New Roman"/>
          <w:bCs/>
        </w:rPr>
      </w:pPr>
      <w:r w:rsidRPr="004479ED">
        <w:rPr>
          <w:rFonts w:ascii="Times New Roman" w:hAnsi="Times New Roman" w:cs="Times New Roman"/>
        </w:rPr>
        <w:t xml:space="preserve">Az ismeret átadásában alkalmazandó további sajátos módok, jellemzők: </w:t>
      </w:r>
    </w:p>
    <w:p w:rsidR="00685779" w:rsidRPr="004479ED" w:rsidRDefault="00685779" w:rsidP="00980876">
      <w:pPr>
        <w:widowControl w:val="0"/>
        <w:numPr>
          <w:ilvl w:val="0"/>
          <w:numId w:val="514"/>
        </w:numPr>
        <w:spacing w:before="120" w:after="120" w:line="240" w:lineRule="auto"/>
        <w:ind w:left="426" w:hanging="142"/>
        <w:jc w:val="both"/>
        <w:rPr>
          <w:rFonts w:ascii="Times New Roman" w:eastAsia="Times New Roman" w:hAnsi="Times New Roman" w:cs="Times New Roman"/>
          <w:bCs/>
        </w:rPr>
      </w:pPr>
      <w:r w:rsidRPr="004479ED">
        <w:rPr>
          <w:rFonts w:ascii="Times New Roman" w:eastAsia="Times New Roman" w:hAnsi="Times New Roman" w:cs="Times New Roman"/>
          <w:b/>
          <w:bCs/>
        </w:rPr>
        <w:t>A tantárgy szakmai tartalma (magyarul):</w:t>
      </w:r>
      <w:r w:rsidRPr="004479ED">
        <w:rPr>
          <w:rFonts w:ascii="Times New Roman" w:eastAsia="Times New Roman" w:hAnsi="Times New Roman" w:cs="Times New Roman"/>
          <w:bCs/>
        </w:rPr>
        <w:t xml:space="preserve"> </w:t>
      </w:r>
      <w:r w:rsidRPr="004479ED">
        <w:rPr>
          <w:rFonts w:ascii="Times New Roman" w:eastAsia="Times New Roman" w:hAnsi="Times New Roman" w:cs="Times New Roman"/>
          <w:lang w:eastAsia="hu-HU"/>
        </w:rPr>
        <w:t>A közszolgálat valamennyi hivatásrendje a felkészítés során elsajátított elméleti ismereteit a valóságot szimuláló gyakorlatok során a mélyíti el. A gyakorlatot elméleti modulok előzik meg, amelyek a segélynyújtó szemléletmód kialakítását fejlesztik. A segélynyújtás begyakorlása párokban történik, majd interaktív fantomok segítségével mérik fel beavatkozásuk hatékonyságát, végül szimulált élethelyzetben adnak számot arról, hogyan képesek tudásukat hasznosítani</w:t>
      </w:r>
    </w:p>
    <w:p w:rsidR="00685779" w:rsidRPr="004479ED" w:rsidRDefault="00685779" w:rsidP="00685779">
      <w:pPr>
        <w:widowControl w:val="0"/>
        <w:spacing w:before="120" w:after="120" w:line="240" w:lineRule="auto"/>
        <w:ind w:left="426"/>
        <w:jc w:val="both"/>
        <w:rPr>
          <w:rFonts w:ascii="Times New Roman" w:eastAsia="Times New Roman" w:hAnsi="Times New Roman" w:cs="Times New Roman"/>
          <w:bCs/>
          <w:lang w:val="en-GB"/>
        </w:rPr>
      </w:pPr>
      <w:r w:rsidRPr="004479ED">
        <w:rPr>
          <w:rFonts w:ascii="Times New Roman" w:eastAsia="Times New Roman" w:hAnsi="Times New Roman" w:cs="Times New Roman"/>
          <w:b/>
          <w:bCs/>
        </w:rPr>
        <w:t>A tantárgy szakmai tartalma (angolul) (</w:t>
      </w:r>
      <w:r w:rsidRPr="004479ED">
        <w:rPr>
          <w:rFonts w:ascii="Times New Roman" w:eastAsia="Times New Roman" w:hAnsi="Times New Roman" w:cs="Times New Roman"/>
          <w:b/>
          <w:bCs/>
          <w:lang w:val="en-US"/>
        </w:rPr>
        <w:t>Course description</w:t>
      </w:r>
      <w:r w:rsidRPr="004479ED">
        <w:rPr>
          <w:rFonts w:ascii="Times New Roman" w:eastAsia="Times New Roman" w:hAnsi="Times New Roman" w:cs="Times New Roman"/>
          <w:b/>
          <w:bCs/>
        </w:rPr>
        <w:t xml:space="preserve">): </w:t>
      </w:r>
      <w:r w:rsidRPr="004479ED">
        <w:rPr>
          <w:rFonts w:ascii="Times New Roman" w:eastAsia="Times New Roman" w:hAnsi="Times New Roman" w:cs="Times New Roman"/>
          <w:bCs/>
          <w:lang w:val="en-GB"/>
        </w:rPr>
        <w:t xml:space="preserve"> </w:t>
      </w:r>
      <w:r w:rsidRPr="004479ED">
        <w:rPr>
          <w:rStyle w:val="tlid-translation"/>
          <w:rFonts w:ascii="Times New Roman" w:hAnsi="Times New Roman" w:cs="Times New Roman"/>
          <w:lang w:val="en"/>
        </w:rPr>
        <w:t>All professions in the civil service deepen their theoretical knowledge acquired during preparation by practicing simulations of reality. The practice is preceded by theoretical modules that develop the concept of aid delivery. Practicing aid is done in pairs, and then uses interactive phantoms to measure the effectiveness of their intervention, and then, in a simulated life situation, reports on how they can use their knowledge.</w:t>
      </w:r>
    </w:p>
    <w:p w:rsidR="00685779" w:rsidRPr="004479ED" w:rsidRDefault="00685779" w:rsidP="00980876">
      <w:pPr>
        <w:pStyle w:val="Listaszerbekezds"/>
        <w:widowControl w:val="0"/>
        <w:numPr>
          <w:ilvl w:val="0"/>
          <w:numId w:val="514"/>
        </w:numPr>
        <w:tabs>
          <w:tab w:val="num" w:pos="426"/>
        </w:tabs>
        <w:spacing w:before="120" w:after="120" w:line="240" w:lineRule="auto"/>
        <w:jc w:val="both"/>
        <w:rPr>
          <w:rFonts w:ascii="Times New Roman" w:eastAsia="Times New Roman" w:hAnsi="Times New Roman" w:cs="Times New Roman"/>
          <w:bCs/>
        </w:rPr>
      </w:pPr>
      <w:r w:rsidRPr="004479ED">
        <w:rPr>
          <w:rFonts w:ascii="Times New Roman" w:eastAsia="Times New Roman" w:hAnsi="Times New Roman" w:cs="Times New Roman"/>
          <w:b/>
          <w:bCs/>
        </w:rPr>
        <w:t xml:space="preserve">Elérendő kompetenciák (magyarul): </w:t>
      </w:r>
    </w:p>
    <w:p w:rsidR="00685779" w:rsidRPr="004479ED" w:rsidRDefault="00685779" w:rsidP="00685779">
      <w:pPr>
        <w:widowControl w:val="0"/>
        <w:spacing w:before="120" w:after="120" w:line="240" w:lineRule="auto"/>
        <w:ind w:left="426"/>
        <w:jc w:val="both"/>
        <w:rPr>
          <w:rFonts w:ascii="Times New Roman" w:eastAsia="Times New Roman" w:hAnsi="Times New Roman" w:cs="Times New Roman"/>
          <w:bCs/>
        </w:rPr>
      </w:pPr>
      <w:r w:rsidRPr="004479ED">
        <w:rPr>
          <w:rFonts w:ascii="Times New Roman" w:eastAsia="Times New Roman" w:hAnsi="Times New Roman" w:cs="Times New Roman"/>
          <w:b/>
          <w:bCs/>
        </w:rPr>
        <w:t>Tudása:</w:t>
      </w:r>
      <w:r w:rsidRPr="004479ED">
        <w:rPr>
          <w:rFonts w:ascii="Times New Roman" w:eastAsia="Times New Roman" w:hAnsi="Times New Roman" w:cs="Times New Roman"/>
          <w:bCs/>
        </w:rPr>
        <w:t xml:space="preserve"> </w:t>
      </w:r>
      <w:r w:rsidRPr="004479ED">
        <w:rPr>
          <w:rFonts w:ascii="Times New Roman" w:eastAsia="Times New Roman" w:hAnsi="Times New Roman" w:cs="Times New Roman"/>
          <w:bCs/>
          <w:noProof/>
        </w:rPr>
        <w:t>Egészségkultúra alapszint</w:t>
      </w:r>
    </w:p>
    <w:p w:rsidR="00685779" w:rsidRPr="004479ED" w:rsidRDefault="00685779" w:rsidP="00685779">
      <w:pPr>
        <w:widowControl w:val="0"/>
        <w:spacing w:before="120" w:after="120" w:line="240" w:lineRule="auto"/>
        <w:ind w:left="426"/>
        <w:jc w:val="both"/>
        <w:rPr>
          <w:rFonts w:ascii="Times New Roman" w:eastAsia="Times New Roman" w:hAnsi="Times New Roman" w:cs="Times New Roman"/>
          <w:bCs/>
        </w:rPr>
      </w:pPr>
      <w:r w:rsidRPr="004479ED">
        <w:rPr>
          <w:rFonts w:ascii="Times New Roman" w:eastAsia="Times New Roman" w:hAnsi="Times New Roman" w:cs="Times New Roman"/>
          <w:b/>
          <w:bCs/>
        </w:rPr>
        <w:t>Képességei:</w:t>
      </w:r>
      <w:r w:rsidRPr="004479ED">
        <w:rPr>
          <w:rFonts w:ascii="Times New Roman" w:eastAsia="Times New Roman" w:hAnsi="Times New Roman" w:cs="Times New Roman"/>
          <w:bCs/>
        </w:rPr>
        <w:t xml:space="preserve"> </w:t>
      </w:r>
      <w:r w:rsidRPr="004479ED">
        <w:rPr>
          <w:rFonts w:ascii="Times New Roman" w:eastAsia="Times New Roman" w:hAnsi="Times New Roman" w:cs="Times New Roman"/>
          <w:bCs/>
          <w:noProof/>
        </w:rPr>
        <w:t>segítő</w:t>
      </w:r>
      <w:r w:rsidRPr="004479ED">
        <w:rPr>
          <w:rFonts w:ascii="Times New Roman" w:eastAsia="Times New Roman" w:hAnsi="Times New Roman" w:cs="Times New Roman"/>
          <w:bCs/>
        </w:rPr>
        <w:t xml:space="preserve"> </w:t>
      </w:r>
    </w:p>
    <w:p w:rsidR="00685779" w:rsidRPr="004479ED" w:rsidRDefault="00685779" w:rsidP="00685779">
      <w:pPr>
        <w:widowControl w:val="0"/>
        <w:spacing w:before="120" w:after="120" w:line="240" w:lineRule="auto"/>
        <w:ind w:left="426"/>
        <w:jc w:val="both"/>
        <w:rPr>
          <w:rFonts w:ascii="Times New Roman" w:eastAsia="Times New Roman" w:hAnsi="Times New Roman" w:cs="Times New Roman"/>
          <w:bCs/>
        </w:rPr>
      </w:pPr>
      <w:r w:rsidRPr="004479ED">
        <w:rPr>
          <w:rFonts w:ascii="Times New Roman" w:eastAsia="Times New Roman" w:hAnsi="Times New Roman" w:cs="Times New Roman"/>
          <w:b/>
          <w:bCs/>
        </w:rPr>
        <w:t>Attitűdje:</w:t>
      </w:r>
      <w:r w:rsidRPr="004479ED">
        <w:rPr>
          <w:rFonts w:ascii="Times New Roman" w:eastAsia="Times New Roman" w:hAnsi="Times New Roman" w:cs="Times New Roman"/>
          <w:bCs/>
        </w:rPr>
        <w:t xml:space="preserve"> </w:t>
      </w:r>
      <w:r w:rsidRPr="004479ED">
        <w:rPr>
          <w:rFonts w:ascii="Times New Roman" w:eastAsia="Times New Roman" w:hAnsi="Times New Roman" w:cs="Times New Roman"/>
          <w:bCs/>
          <w:noProof/>
        </w:rPr>
        <w:t>segítő</w:t>
      </w:r>
    </w:p>
    <w:p w:rsidR="00685779" w:rsidRPr="004479ED" w:rsidRDefault="00685779" w:rsidP="00685779">
      <w:pPr>
        <w:widowControl w:val="0"/>
        <w:spacing w:before="120" w:after="120" w:line="240" w:lineRule="auto"/>
        <w:ind w:left="426"/>
        <w:jc w:val="both"/>
        <w:rPr>
          <w:rFonts w:ascii="Times New Roman" w:eastAsia="Times New Roman" w:hAnsi="Times New Roman" w:cs="Times New Roman"/>
          <w:bCs/>
        </w:rPr>
      </w:pPr>
      <w:r w:rsidRPr="004479ED">
        <w:rPr>
          <w:rFonts w:ascii="Times New Roman" w:eastAsia="Times New Roman" w:hAnsi="Times New Roman" w:cs="Times New Roman"/>
          <w:b/>
          <w:bCs/>
        </w:rPr>
        <w:t>Autonómiája és felelőssége:</w:t>
      </w:r>
      <w:r w:rsidRPr="004479ED">
        <w:rPr>
          <w:rFonts w:ascii="Times New Roman" w:eastAsia="Times New Roman" w:hAnsi="Times New Roman" w:cs="Times New Roman"/>
          <w:bCs/>
        </w:rPr>
        <w:t xml:space="preserve"> </w:t>
      </w:r>
      <w:r w:rsidRPr="004479ED">
        <w:rPr>
          <w:rFonts w:ascii="Times New Roman" w:eastAsia="Times New Roman" w:hAnsi="Times New Roman" w:cs="Times New Roman"/>
          <w:bCs/>
          <w:noProof/>
        </w:rPr>
        <w:t>Teljes autonómia és felelősség a laikus elsősegély terén</w:t>
      </w:r>
    </w:p>
    <w:p w:rsidR="00685779" w:rsidRPr="004479ED" w:rsidRDefault="00685779" w:rsidP="00685779">
      <w:pPr>
        <w:widowControl w:val="0"/>
        <w:spacing w:before="120" w:after="120" w:line="240" w:lineRule="auto"/>
        <w:ind w:left="426"/>
        <w:jc w:val="both"/>
        <w:rPr>
          <w:rFonts w:ascii="Times New Roman" w:eastAsia="Times New Roman" w:hAnsi="Times New Roman" w:cs="Times New Roman"/>
          <w:b/>
          <w:bCs/>
          <w:lang w:val="en-US"/>
        </w:rPr>
      </w:pPr>
      <w:r w:rsidRPr="004479ED">
        <w:rPr>
          <w:rFonts w:ascii="Times New Roman" w:eastAsia="Times New Roman" w:hAnsi="Times New Roman" w:cs="Times New Roman"/>
          <w:b/>
          <w:bCs/>
        </w:rPr>
        <w:t>Elérendő kompetenciák (angolul) (</w:t>
      </w:r>
      <w:r w:rsidRPr="004479ED">
        <w:rPr>
          <w:rFonts w:ascii="Times New Roman" w:eastAsia="Times New Roman" w:hAnsi="Times New Roman" w:cs="Times New Roman"/>
          <w:b/>
          <w:bCs/>
          <w:lang w:val="en-US"/>
        </w:rPr>
        <w:t>Competences – English):</w:t>
      </w:r>
    </w:p>
    <w:p w:rsidR="00685779" w:rsidRPr="004479ED" w:rsidRDefault="00685779" w:rsidP="00685779">
      <w:pPr>
        <w:widowControl w:val="0"/>
        <w:spacing w:before="120" w:after="120" w:line="240" w:lineRule="auto"/>
        <w:ind w:left="426"/>
        <w:jc w:val="both"/>
        <w:rPr>
          <w:rFonts w:ascii="Times New Roman" w:eastAsia="Times New Roman" w:hAnsi="Times New Roman" w:cs="Times New Roman"/>
          <w:lang w:val="en-GB"/>
        </w:rPr>
      </w:pPr>
      <w:r w:rsidRPr="004479ED">
        <w:rPr>
          <w:rFonts w:ascii="Times New Roman" w:eastAsia="Times New Roman" w:hAnsi="Times New Roman" w:cs="Times New Roman"/>
          <w:b/>
          <w:lang w:val="en-GB"/>
        </w:rPr>
        <w:t>Knowledge</w:t>
      </w:r>
      <w:r w:rsidRPr="004479ED">
        <w:rPr>
          <w:rFonts w:ascii="Times New Roman" w:eastAsia="Times New Roman" w:hAnsi="Times New Roman" w:cs="Times New Roman"/>
          <w:lang w:val="en-GB"/>
        </w:rPr>
        <w:t xml:space="preserve">: </w:t>
      </w:r>
      <w:r w:rsidRPr="004479ED">
        <w:rPr>
          <w:rFonts w:ascii="Times New Roman" w:eastAsia="Times New Roman" w:hAnsi="Times New Roman" w:cs="Times New Roman"/>
          <w:bCs/>
          <w:noProof/>
        </w:rPr>
        <w:t>Health Culre Base Level</w:t>
      </w:r>
    </w:p>
    <w:p w:rsidR="00685779" w:rsidRPr="004479ED" w:rsidRDefault="00685779" w:rsidP="00685779">
      <w:pPr>
        <w:widowControl w:val="0"/>
        <w:spacing w:before="120" w:after="120" w:line="240" w:lineRule="auto"/>
        <w:ind w:left="426"/>
        <w:jc w:val="both"/>
        <w:rPr>
          <w:rFonts w:ascii="Times New Roman" w:eastAsia="Times New Roman" w:hAnsi="Times New Roman" w:cs="Times New Roman"/>
          <w:lang w:val="en-GB"/>
        </w:rPr>
      </w:pPr>
      <w:r w:rsidRPr="004479ED">
        <w:rPr>
          <w:rFonts w:ascii="Times New Roman" w:eastAsia="Times New Roman" w:hAnsi="Times New Roman" w:cs="Times New Roman"/>
          <w:b/>
          <w:lang w:val="en-GB"/>
        </w:rPr>
        <w:t>Capabilities</w:t>
      </w:r>
      <w:r w:rsidRPr="004479ED">
        <w:rPr>
          <w:rFonts w:ascii="Times New Roman" w:eastAsia="Times New Roman" w:hAnsi="Times New Roman" w:cs="Times New Roman"/>
          <w:lang w:val="en-GB"/>
        </w:rPr>
        <w:t xml:space="preserve">: </w:t>
      </w:r>
      <w:r w:rsidRPr="004479ED">
        <w:rPr>
          <w:rFonts w:ascii="Times New Roman" w:eastAsia="Times New Roman" w:hAnsi="Times New Roman" w:cs="Times New Roman"/>
          <w:bCs/>
          <w:noProof/>
        </w:rPr>
        <w:t>Practical use of theoretic Knowledge of the Health Care</w:t>
      </w:r>
    </w:p>
    <w:p w:rsidR="00685779" w:rsidRPr="004479ED" w:rsidRDefault="00685779" w:rsidP="006857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Times New Roman" w:eastAsia="Times New Roman" w:hAnsi="Times New Roman" w:cs="Times New Roman"/>
          <w:lang w:val="en-GB"/>
        </w:rPr>
      </w:pPr>
      <w:r w:rsidRPr="004479ED">
        <w:rPr>
          <w:rFonts w:ascii="Times New Roman" w:eastAsia="Times New Roman" w:hAnsi="Times New Roman" w:cs="Times New Roman"/>
          <w:b/>
          <w:lang w:val="en-GB"/>
        </w:rPr>
        <w:lastRenderedPageBreak/>
        <w:t>Attitude:</w:t>
      </w:r>
      <w:r w:rsidRPr="004479ED">
        <w:rPr>
          <w:rFonts w:ascii="Times New Roman" w:eastAsia="Times New Roman" w:hAnsi="Times New Roman" w:cs="Times New Roman"/>
          <w:lang w:val="en-GB"/>
        </w:rPr>
        <w:t xml:space="preserve"> </w:t>
      </w:r>
      <w:r w:rsidRPr="004479ED">
        <w:rPr>
          <w:rFonts w:ascii="Times New Roman" w:eastAsia="Times New Roman" w:hAnsi="Times New Roman" w:cs="Times New Roman"/>
          <w:bCs/>
          <w:noProof/>
        </w:rPr>
        <w:t>Helpful</w:t>
      </w:r>
    </w:p>
    <w:p w:rsidR="00685779" w:rsidRPr="004479ED" w:rsidRDefault="00685779" w:rsidP="00685779">
      <w:pPr>
        <w:widowControl w:val="0"/>
        <w:spacing w:before="120" w:after="120" w:line="240" w:lineRule="auto"/>
        <w:ind w:left="426"/>
        <w:jc w:val="both"/>
        <w:rPr>
          <w:rFonts w:ascii="Times New Roman" w:eastAsia="Times New Roman" w:hAnsi="Times New Roman" w:cs="Times New Roman"/>
          <w:bCs/>
          <w:noProof/>
        </w:rPr>
      </w:pPr>
      <w:r w:rsidRPr="004479ED">
        <w:rPr>
          <w:rFonts w:ascii="Times New Roman" w:eastAsia="Times New Roman" w:hAnsi="Times New Roman" w:cs="Times New Roman"/>
          <w:b/>
          <w:lang w:val="en-GB"/>
        </w:rPr>
        <w:t xml:space="preserve">Autonomy and responsibility: </w:t>
      </w:r>
      <w:r w:rsidRPr="004479ED">
        <w:rPr>
          <w:rFonts w:ascii="Times New Roman" w:eastAsia="Times New Roman" w:hAnsi="Times New Roman" w:cs="Times New Roman"/>
          <w:bCs/>
          <w:noProof/>
        </w:rPr>
        <w:t>Total autonomy and reponsibility int he Basic Life Suppirt</w:t>
      </w:r>
    </w:p>
    <w:p w:rsidR="00685779" w:rsidRPr="004479ED" w:rsidRDefault="00685779" w:rsidP="00980876">
      <w:pPr>
        <w:widowControl w:val="0"/>
        <w:numPr>
          <w:ilvl w:val="0"/>
          <w:numId w:val="514"/>
        </w:numPr>
        <w:spacing w:before="120" w:after="120" w:line="240" w:lineRule="auto"/>
        <w:ind w:left="426" w:hanging="142"/>
        <w:jc w:val="both"/>
        <w:rPr>
          <w:rFonts w:ascii="Times New Roman" w:eastAsia="Times New Roman" w:hAnsi="Times New Roman" w:cs="Times New Roman"/>
          <w:bCs/>
        </w:rPr>
      </w:pPr>
      <w:r w:rsidRPr="004479ED">
        <w:rPr>
          <w:rFonts w:ascii="Times New Roman" w:eastAsia="Times New Roman" w:hAnsi="Times New Roman" w:cs="Times New Roman"/>
          <w:b/>
          <w:bCs/>
        </w:rPr>
        <w:t>Előtanulmányi követelmények: Nincs</w:t>
      </w:r>
    </w:p>
    <w:p w:rsidR="00685779" w:rsidRPr="004479ED" w:rsidRDefault="00685779" w:rsidP="00980876">
      <w:pPr>
        <w:widowControl w:val="0"/>
        <w:numPr>
          <w:ilvl w:val="0"/>
          <w:numId w:val="514"/>
        </w:numPr>
        <w:spacing w:before="120" w:after="120" w:line="240" w:lineRule="auto"/>
        <w:ind w:left="426" w:hanging="142"/>
        <w:jc w:val="both"/>
        <w:rPr>
          <w:rFonts w:ascii="Times New Roman" w:eastAsia="Times New Roman" w:hAnsi="Times New Roman" w:cs="Times New Roman"/>
          <w:b/>
          <w:bCs/>
        </w:rPr>
      </w:pPr>
      <w:r w:rsidRPr="004479ED">
        <w:rPr>
          <w:rFonts w:ascii="Times New Roman" w:eastAsia="Times New Roman" w:hAnsi="Times New Roman" w:cs="Times New Roman"/>
          <w:b/>
          <w:bCs/>
        </w:rPr>
        <w:t>A tantárgy tananyagának leírása, tematika. Description of the subject, curriculum (magyarul, angolul - English):</w:t>
      </w:r>
    </w:p>
    <w:p w:rsidR="00685779" w:rsidRPr="004479ED" w:rsidRDefault="00685779" w:rsidP="00980876">
      <w:pPr>
        <w:widowControl w:val="0"/>
        <w:numPr>
          <w:ilvl w:val="1"/>
          <w:numId w:val="514"/>
        </w:numPr>
        <w:tabs>
          <w:tab w:val="left" w:pos="709"/>
          <w:tab w:val="left" w:pos="993"/>
        </w:tabs>
        <w:spacing w:before="120" w:after="120" w:line="240" w:lineRule="auto"/>
        <w:ind w:left="426" w:firstLine="0"/>
        <w:jc w:val="both"/>
        <w:rPr>
          <w:rFonts w:ascii="Times New Roman" w:eastAsia="Times New Roman" w:hAnsi="Times New Roman" w:cs="Times New Roman"/>
          <w:b/>
        </w:rPr>
      </w:pPr>
      <w:r w:rsidRPr="004479ED">
        <w:rPr>
          <w:rFonts w:ascii="Times New Roman" w:eastAsia="Times New Roman" w:hAnsi="Times New Roman" w:cs="Times New Roman"/>
          <w:b/>
        </w:rPr>
        <w:t>Magyarul</w:t>
      </w:r>
    </w:p>
    <w:p w:rsidR="00685779" w:rsidRPr="004479ED" w:rsidRDefault="00685779" w:rsidP="00980876">
      <w:pPr>
        <w:widowControl w:val="0"/>
        <w:numPr>
          <w:ilvl w:val="2"/>
          <w:numId w:val="514"/>
        </w:numPr>
        <w:tabs>
          <w:tab w:val="left" w:pos="709"/>
        </w:tabs>
        <w:spacing w:before="120" w:after="120" w:line="240" w:lineRule="auto"/>
        <w:ind w:left="993" w:hanging="567"/>
        <w:jc w:val="both"/>
        <w:rPr>
          <w:rFonts w:ascii="Times New Roman" w:eastAsia="Times New Roman" w:hAnsi="Times New Roman" w:cs="Times New Roman"/>
          <w:bCs/>
          <w:noProof/>
        </w:rPr>
      </w:pPr>
      <w:r w:rsidRPr="004479ED">
        <w:rPr>
          <w:rFonts w:ascii="Times New Roman" w:eastAsia="Times New Roman" w:hAnsi="Times New Roman" w:cs="Times New Roman"/>
          <w:b/>
          <w:lang w:eastAsia="hu-HU"/>
        </w:rPr>
        <w:t>Elsősegélynyújtás szabályai, a sérült-pozicionálás és mozgatás szabályai</w:t>
      </w:r>
      <w:r w:rsidRPr="004479ED">
        <w:rPr>
          <w:rFonts w:ascii="Times New Roman" w:eastAsia="Times New Roman" w:hAnsi="Times New Roman" w:cs="Times New Roman"/>
          <w:lang w:eastAsia="hu-HU"/>
        </w:rPr>
        <w:t xml:space="preserve"> Az elsősegély célja, a laikus elsősegély-nyújtótól elvárt kompetenciák. Az elsősegély-nyújtó biztonsága a helyszínen (vakcináltság, védőeszközök stb.). Az algoritmusokban gondolkodás fontossága az életmentés során, triage. Gyors, tájékozódó betegvizsgálat (éberség – aluszékonyság – kóma; eszméletet befolyásoló állapotok, tartalmi tudatzavarok), szak-segítség igénybevétele. Műfogások (Eschmark, Heimlich, tálca-fogás), nyaki gallér felhelyezés. Naso tubus használata. Rögtönzött rögzítő eszközök és azok használata. Fektetések (stabil oldal-, sokk-, nyílt has, koponyasérült, nehézlégzés). Stabil oldalfekvés ellenjavallatai. Az arc- és agykoponya törések, egyszerű vizsgálatuk. Gerinctörés tünettana – tájékozódó idegrendszeri vizsgálat, nyaki gerinc védelme, gerincsérült mozgatása. Mellkas és medence stabilitásának vizsgálata, következtetések, teendők. Végtagsérülések fizikális vizsgálata, azok rögzítési módjai.</w:t>
      </w:r>
    </w:p>
    <w:p w:rsidR="00685779" w:rsidRPr="004479ED" w:rsidRDefault="00685779" w:rsidP="00980876">
      <w:pPr>
        <w:widowControl w:val="0"/>
        <w:numPr>
          <w:ilvl w:val="2"/>
          <w:numId w:val="514"/>
        </w:numPr>
        <w:tabs>
          <w:tab w:val="left" w:pos="709"/>
        </w:tabs>
        <w:spacing w:before="120" w:after="120" w:line="240" w:lineRule="auto"/>
        <w:ind w:left="993" w:hanging="567"/>
        <w:jc w:val="both"/>
        <w:rPr>
          <w:rFonts w:ascii="Times New Roman" w:eastAsia="Times New Roman" w:hAnsi="Times New Roman" w:cs="Times New Roman"/>
          <w:bCs/>
          <w:noProof/>
        </w:rPr>
      </w:pPr>
      <w:r w:rsidRPr="004479ED">
        <w:rPr>
          <w:rFonts w:ascii="Times New Roman" w:eastAsia="Times New Roman" w:hAnsi="Times New Roman" w:cs="Times New Roman"/>
          <w:b/>
          <w:lang w:eastAsia="hu-HU"/>
        </w:rPr>
        <w:t>Életveszély – halál – reanimatológia</w:t>
      </w:r>
      <w:r w:rsidRPr="004479ED">
        <w:rPr>
          <w:rFonts w:ascii="Times New Roman" w:eastAsia="Times New Roman" w:hAnsi="Times New Roman" w:cs="Times New Roman"/>
          <w:lang w:eastAsia="hu-HU"/>
        </w:rPr>
        <w:t>,</w:t>
      </w:r>
      <w:r w:rsidRPr="004479ED">
        <w:rPr>
          <w:rFonts w:ascii="Times New Roman" w:eastAsia="Times New Roman" w:hAnsi="Times New Roman" w:cs="Times New Roman"/>
          <w:b/>
          <w:lang w:eastAsia="hu-HU"/>
        </w:rPr>
        <w:t xml:space="preserve"> sebek – vérzések – sokk </w:t>
      </w:r>
      <w:r w:rsidRPr="004479ED">
        <w:rPr>
          <w:rFonts w:ascii="Times New Roman" w:eastAsia="Times New Roman" w:hAnsi="Times New Roman" w:cs="Times New Roman"/>
          <w:lang w:eastAsia="hu-HU"/>
        </w:rPr>
        <w:t>Az elemi életjelenségek vizsgálata, azok értékelése – következtetések. Biológiai és klinikai halál. Újraélesztés ABCD-je, annak szabályai, hibái és szövődményei. Félautomata („beszélő”) defibrillátor ismerete, használata. BLS (basic life support) és a műveleti terület intézkedés-taktikai teendőinek „illesztése”. A sebzések típusai, a sérülés mechanizmusának jelentősége az ellátásban. A vérzések fajtái, azok tünetei. Artériás nyomáspontok, a vérző sérült pozicionálása. Vérzéscsillapító eszközök (alkalmi és professzionális) azok használata: tourniquet, izraeli nyomókötés, haemosztatikumok. Vérzéses sokk tünettana, az elsősegélynyújtó teendői a sokk ellátásban. 4 ó. ea – a gyakorlati fogások bemutatásával.).</w:t>
      </w:r>
    </w:p>
    <w:p w:rsidR="00685779" w:rsidRPr="004479ED" w:rsidRDefault="00685779" w:rsidP="00980876">
      <w:pPr>
        <w:widowControl w:val="0"/>
        <w:numPr>
          <w:ilvl w:val="2"/>
          <w:numId w:val="514"/>
        </w:numPr>
        <w:tabs>
          <w:tab w:val="left" w:pos="709"/>
        </w:tabs>
        <w:spacing w:before="120" w:after="120" w:line="240" w:lineRule="auto"/>
        <w:ind w:left="993" w:hanging="567"/>
        <w:jc w:val="both"/>
        <w:rPr>
          <w:rFonts w:ascii="Times New Roman" w:eastAsia="Times New Roman" w:hAnsi="Times New Roman" w:cs="Times New Roman"/>
          <w:bCs/>
          <w:noProof/>
        </w:rPr>
      </w:pPr>
      <w:r w:rsidRPr="004479ED">
        <w:rPr>
          <w:rFonts w:ascii="Times New Roman" w:eastAsia="Times New Roman" w:hAnsi="Times New Roman" w:cs="Times New Roman"/>
          <w:b/>
          <w:lang w:eastAsia="hu-HU"/>
        </w:rPr>
        <w:t>Elsősegélynyújtás a gyakorlatban</w:t>
      </w:r>
      <w:r w:rsidRPr="004479ED">
        <w:rPr>
          <w:rFonts w:ascii="Times New Roman" w:eastAsia="Times New Roman" w:hAnsi="Times New Roman" w:cs="Times New Roman"/>
          <w:lang w:eastAsia="hu-HU"/>
        </w:rPr>
        <w:t xml:space="preserve"> Az 1. és 2. foglalkozáson elsajátított elméleti tananyag alkalmazása, párokban gyakorolva, szimulált helyzetekben. (4 ó. gyakorlat, gyakorló párokban, interaktív fantomok segítségével).</w:t>
      </w:r>
    </w:p>
    <w:p w:rsidR="00685779" w:rsidRPr="004479ED" w:rsidRDefault="00685779" w:rsidP="00980876">
      <w:pPr>
        <w:widowControl w:val="0"/>
        <w:numPr>
          <w:ilvl w:val="1"/>
          <w:numId w:val="514"/>
        </w:numPr>
        <w:tabs>
          <w:tab w:val="left" w:pos="709"/>
          <w:tab w:val="left" w:pos="993"/>
        </w:tabs>
        <w:spacing w:before="120" w:after="120" w:line="240" w:lineRule="auto"/>
        <w:ind w:left="426" w:firstLine="0"/>
        <w:jc w:val="both"/>
        <w:rPr>
          <w:rFonts w:ascii="Times New Roman" w:eastAsia="Times New Roman" w:hAnsi="Times New Roman" w:cs="Times New Roman"/>
          <w:b/>
        </w:rPr>
      </w:pPr>
      <w:r w:rsidRPr="004479ED">
        <w:rPr>
          <w:rFonts w:ascii="Times New Roman" w:eastAsia="Times New Roman" w:hAnsi="Times New Roman" w:cs="Times New Roman"/>
          <w:b/>
        </w:rPr>
        <w:t>Angolul</w:t>
      </w:r>
    </w:p>
    <w:p w:rsidR="00685779" w:rsidRPr="004479ED" w:rsidRDefault="00685779" w:rsidP="00980876">
      <w:pPr>
        <w:widowControl w:val="0"/>
        <w:numPr>
          <w:ilvl w:val="2"/>
          <w:numId w:val="514"/>
        </w:numPr>
        <w:tabs>
          <w:tab w:val="left" w:pos="709"/>
          <w:tab w:val="left" w:pos="993"/>
        </w:tabs>
        <w:spacing w:before="120" w:after="120" w:line="240" w:lineRule="auto"/>
        <w:ind w:left="993" w:hanging="567"/>
        <w:jc w:val="both"/>
        <w:rPr>
          <w:rStyle w:val="tlid-translation"/>
          <w:rFonts w:ascii="Times New Roman" w:hAnsi="Times New Roman" w:cs="Times New Roman"/>
          <w:bCs/>
          <w:noProof/>
        </w:rPr>
      </w:pPr>
      <w:r w:rsidRPr="004479ED">
        <w:rPr>
          <w:rStyle w:val="tlid-translation"/>
          <w:rFonts w:ascii="Times New Roman" w:hAnsi="Times New Roman" w:cs="Times New Roman"/>
          <w:lang w:val="en"/>
        </w:rPr>
        <w:t xml:space="preserve">First Aid Rules, Injured Positioning and Movement Rules The purpose of first aid is the competencies expected of a lay first aid provider. Safety of first-aiders on site (vaccination, protective equipment, etc.). The importance of thinking in algorithms in saving lives, triage. Quick, informed patient examination (alertness - somnolence - coma; states affecting consciousness, content disorders), use of specialist help. Artificial traps (Eschmark, Heimlich, tray catch), neck collar insertion. Using a Naso tube. Improvised fastening devices and their use. Investments (stable side, shock, open abdomen, skull injuries, difficulty breathing). Contraindications to a stable lying position. Facial and brain skull fractures, simple examination. Spinal Fracture Symptom - Orientated Nervous System Examination, Cervical Spine Protection, Spinal Injury Movement. Examination of chest and pelvic stability, conclusions and actions. Physical examination of limb injuries, ways of their fixing. </w:t>
      </w:r>
    </w:p>
    <w:p w:rsidR="00685779" w:rsidRPr="004479ED" w:rsidRDefault="00685779" w:rsidP="00980876">
      <w:pPr>
        <w:widowControl w:val="0"/>
        <w:numPr>
          <w:ilvl w:val="2"/>
          <w:numId w:val="514"/>
        </w:numPr>
        <w:tabs>
          <w:tab w:val="left" w:pos="709"/>
          <w:tab w:val="left" w:pos="993"/>
        </w:tabs>
        <w:spacing w:before="120" w:after="120" w:line="240" w:lineRule="auto"/>
        <w:ind w:left="993" w:hanging="567"/>
        <w:jc w:val="both"/>
        <w:rPr>
          <w:rStyle w:val="tlid-translation"/>
          <w:rFonts w:ascii="Times New Roman" w:eastAsia="Times New Roman" w:hAnsi="Times New Roman" w:cs="Times New Roman"/>
          <w:bCs/>
          <w:noProof/>
        </w:rPr>
      </w:pPr>
      <w:r w:rsidRPr="004479ED">
        <w:rPr>
          <w:rStyle w:val="tlid-translation"/>
          <w:rFonts w:ascii="Times New Roman" w:hAnsi="Times New Roman" w:cs="Times New Roman"/>
          <w:lang w:val="en"/>
        </w:rPr>
        <w:t xml:space="preserve">Danger to life - death - reanimatology, wounds - bleeding - shock Examination of elementary life phenomena, their evaluation - conclusions. Biological and clinical death. ABCD of resuscitation, its rules, errors and complications. Knowledge and use of semi-automatic ("speaking") defibrillators. "Matching" BLS (basic life support) and intervention tactics in the theater of operations. Types of injury, importance of the mechanism of injury in care. Types of bleeding, their symptoms. Arterial pressure points, damaged positioning of bleeding. Hemostatic devices (casual and professional) for their use: tourniquet, Israeli </w:t>
      </w:r>
      <w:r w:rsidRPr="004479ED">
        <w:rPr>
          <w:rStyle w:val="tlid-translation"/>
          <w:rFonts w:ascii="Times New Roman" w:hAnsi="Times New Roman" w:cs="Times New Roman"/>
          <w:lang w:val="en"/>
        </w:rPr>
        <w:lastRenderedPageBreak/>
        <w:t>compression bandage, haemostats. Symptoms of bleeding shock, first aid measures in shock care. 4hrs ea - presentation of practical catches.</w:t>
      </w:r>
    </w:p>
    <w:p w:rsidR="00685779" w:rsidRPr="004479ED" w:rsidRDefault="00685779" w:rsidP="00980876">
      <w:pPr>
        <w:widowControl w:val="0"/>
        <w:numPr>
          <w:ilvl w:val="2"/>
          <w:numId w:val="514"/>
        </w:numPr>
        <w:tabs>
          <w:tab w:val="left" w:pos="709"/>
          <w:tab w:val="left" w:pos="993"/>
        </w:tabs>
        <w:spacing w:before="120" w:after="120" w:line="240" w:lineRule="auto"/>
        <w:ind w:left="993" w:hanging="567"/>
        <w:jc w:val="both"/>
        <w:rPr>
          <w:rFonts w:ascii="Times New Roman" w:hAnsi="Times New Roman" w:cs="Times New Roman"/>
        </w:rPr>
      </w:pPr>
      <w:r w:rsidRPr="004479ED">
        <w:rPr>
          <w:rStyle w:val="tlid-translation"/>
          <w:rFonts w:ascii="Times New Roman" w:hAnsi="Times New Roman" w:cs="Times New Roman"/>
          <w:lang w:val="en"/>
        </w:rPr>
        <w:t>First Aid in Practice Apply the theoretical learning material learned in Workshops 1 and 2, practiced in pairs, in simulated situations. (4 hours practice, in pairs, using interactive phantoms)</w:t>
      </w:r>
    </w:p>
    <w:p w:rsidR="00685779" w:rsidRPr="00A75912" w:rsidRDefault="00685779" w:rsidP="00980876">
      <w:pPr>
        <w:widowControl w:val="0"/>
        <w:numPr>
          <w:ilvl w:val="0"/>
          <w:numId w:val="514"/>
        </w:numPr>
        <w:spacing w:before="120" w:after="120" w:line="240" w:lineRule="auto"/>
        <w:ind w:left="426" w:hanging="142"/>
        <w:jc w:val="both"/>
        <w:rPr>
          <w:rFonts w:ascii="Times New Roman" w:eastAsia="Times New Roman" w:hAnsi="Times New Roman" w:cs="Times New Roman"/>
          <w:bCs/>
          <w:highlight w:val="yellow"/>
        </w:rPr>
      </w:pPr>
      <w:r w:rsidRPr="00A75912">
        <w:rPr>
          <w:rFonts w:ascii="Times New Roman" w:eastAsia="Times New Roman" w:hAnsi="Times New Roman" w:cs="Times New Roman"/>
          <w:b/>
          <w:bCs/>
          <w:highlight w:val="yellow"/>
        </w:rPr>
        <w:t xml:space="preserve">A tantárgy meghirdetésének gyakorisága/a tantervben történő félévi elhelyezkedése: </w:t>
      </w:r>
      <w:r w:rsidR="00A75912" w:rsidRPr="00A75912">
        <w:rPr>
          <w:rFonts w:ascii="Times New Roman" w:eastAsia="Times New Roman" w:hAnsi="Times New Roman" w:cs="Times New Roman"/>
          <w:bCs/>
          <w:color w:val="FF0000"/>
          <w:highlight w:val="yellow"/>
        </w:rPr>
        <w:t>7.</w:t>
      </w:r>
      <w:r w:rsidRPr="00A75912">
        <w:rPr>
          <w:rFonts w:ascii="Times New Roman" w:eastAsia="Times New Roman" w:hAnsi="Times New Roman" w:cs="Times New Roman"/>
          <w:bCs/>
          <w:color w:val="FF0000"/>
          <w:highlight w:val="yellow"/>
        </w:rPr>
        <w:t xml:space="preserve"> félév</w:t>
      </w:r>
    </w:p>
    <w:p w:rsidR="00685779" w:rsidRPr="004479ED" w:rsidRDefault="00685779" w:rsidP="00980876">
      <w:pPr>
        <w:widowControl w:val="0"/>
        <w:numPr>
          <w:ilvl w:val="0"/>
          <w:numId w:val="514"/>
        </w:numPr>
        <w:spacing w:before="120" w:after="120" w:line="240" w:lineRule="auto"/>
        <w:ind w:left="426" w:hanging="142"/>
        <w:jc w:val="both"/>
        <w:rPr>
          <w:rFonts w:ascii="Times New Roman" w:eastAsia="Times New Roman" w:hAnsi="Times New Roman" w:cs="Times New Roman"/>
          <w:bCs/>
        </w:rPr>
      </w:pPr>
      <w:r w:rsidRPr="004479ED">
        <w:rPr>
          <w:rFonts w:ascii="Times New Roman" w:eastAsia="Times New Roman" w:hAnsi="Times New Roman" w:cs="Times New Roman"/>
          <w:b/>
          <w:bCs/>
        </w:rPr>
        <w:t xml:space="preserve">A tanórákon való részvétel követelményei, az elfogadható hiányzások mértéke, a távolmaradás pótlásának lehetősége: </w:t>
      </w:r>
      <w:r w:rsidRPr="004479ED">
        <w:rPr>
          <w:rFonts w:ascii="Times New Roman" w:eastAsia="Times New Roman" w:hAnsi="Times New Roman" w:cs="Times New Roman"/>
          <w:bCs/>
          <w:lang w:eastAsia="hu-HU"/>
        </w:rPr>
        <w:t>A tantárgyi előadásokon kötelező a részétel. Távollét esetén a hiányzás pótlása a következő foglakozáson történő megjelenéssel történik. A hallgató köteles az előadás anyagát beszerezni, abból önállóan felkészülni. A foglalkozásokon kötelező a jelenléti ív vezetése.</w:t>
      </w:r>
    </w:p>
    <w:p w:rsidR="00685779" w:rsidRPr="004479ED" w:rsidRDefault="00685779" w:rsidP="00980876">
      <w:pPr>
        <w:widowControl w:val="0"/>
        <w:numPr>
          <w:ilvl w:val="0"/>
          <w:numId w:val="514"/>
        </w:numPr>
        <w:spacing w:before="120" w:after="120" w:line="240" w:lineRule="auto"/>
        <w:ind w:left="426" w:hanging="142"/>
        <w:jc w:val="both"/>
        <w:rPr>
          <w:rFonts w:ascii="Times New Roman" w:eastAsia="Times New Roman" w:hAnsi="Times New Roman" w:cs="Times New Roman"/>
          <w:bCs/>
        </w:rPr>
      </w:pPr>
      <w:r w:rsidRPr="004479ED">
        <w:rPr>
          <w:rFonts w:ascii="Times New Roman" w:eastAsia="Times New Roman" w:hAnsi="Times New Roman" w:cs="Times New Roman"/>
          <w:b/>
        </w:rPr>
        <w:t>Félévközi feladatok, ismeretek ellenőrzésének rendje:</w:t>
      </w:r>
      <w:r w:rsidRPr="004479ED">
        <w:rPr>
          <w:rFonts w:ascii="Times New Roman" w:eastAsia="Times New Roman" w:hAnsi="Times New Roman" w:cs="Times New Roman"/>
          <w:bCs/>
          <w:lang w:eastAsia="hu-HU"/>
        </w:rPr>
        <w:t xml:space="preserve"> Az aláírás megszerzésének feltétele az elméleti foglakozásokon való megjelenés és igazolt jelenlét, továbbá az évközi elméleti és gyakorlati feladatok megfelelő végrehajtása.</w:t>
      </w:r>
    </w:p>
    <w:p w:rsidR="00685779" w:rsidRPr="004479ED" w:rsidRDefault="00685779" w:rsidP="00980876">
      <w:pPr>
        <w:widowControl w:val="0"/>
        <w:numPr>
          <w:ilvl w:val="0"/>
          <w:numId w:val="514"/>
        </w:numPr>
        <w:spacing w:before="120" w:after="120" w:line="240" w:lineRule="auto"/>
        <w:ind w:left="426" w:hanging="142"/>
        <w:jc w:val="both"/>
        <w:rPr>
          <w:rFonts w:ascii="Times New Roman" w:eastAsia="Times New Roman" w:hAnsi="Times New Roman" w:cs="Times New Roman"/>
          <w:b/>
          <w:bCs/>
        </w:rPr>
      </w:pPr>
      <w:r w:rsidRPr="004479ED">
        <w:rPr>
          <w:rFonts w:ascii="Times New Roman" w:eastAsia="Times New Roman" w:hAnsi="Times New Roman" w:cs="Times New Roman"/>
          <w:b/>
          <w:bCs/>
        </w:rPr>
        <w:t xml:space="preserve">Az értékelés, az aláírás és a kreditek megszerzésének pontos feltételei: </w:t>
      </w:r>
    </w:p>
    <w:p w:rsidR="00685779" w:rsidRPr="004479ED" w:rsidRDefault="00685779" w:rsidP="00980876">
      <w:pPr>
        <w:widowControl w:val="0"/>
        <w:numPr>
          <w:ilvl w:val="1"/>
          <w:numId w:val="514"/>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4479ED">
        <w:rPr>
          <w:rFonts w:ascii="Times New Roman" w:eastAsia="Times New Roman" w:hAnsi="Times New Roman" w:cs="Times New Roman"/>
          <w:b/>
        </w:rPr>
        <w:t xml:space="preserve">Az aláírás megszerzésének feltételei: </w:t>
      </w:r>
      <w:r w:rsidRPr="004479ED">
        <w:rPr>
          <w:rFonts w:ascii="Times New Roman" w:eastAsia="Times New Roman" w:hAnsi="Times New Roman" w:cs="Times New Roman"/>
          <w:bCs/>
          <w:lang w:eastAsia="hu-HU"/>
        </w:rPr>
        <w:t>Az aláírás megszerzésének feltétele az elméleti foglakozásokon való megjelenés és igazolt jelenlét, továbbá az évközi elméleti és gyakorlati feladatok megfelelő végrehajtása a 12. pontban foglaltak szerint.</w:t>
      </w:r>
    </w:p>
    <w:p w:rsidR="00685779" w:rsidRPr="004479ED" w:rsidRDefault="00685779" w:rsidP="00980876">
      <w:pPr>
        <w:widowControl w:val="0"/>
        <w:numPr>
          <w:ilvl w:val="1"/>
          <w:numId w:val="514"/>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4479ED">
        <w:rPr>
          <w:rFonts w:ascii="Times New Roman" w:eastAsia="Times New Roman" w:hAnsi="Times New Roman" w:cs="Times New Roman"/>
          <w:b/>
        </w:rPr>
        <w:t xml:space="preserve">Az értékelés: </w:t>
      </w:r>
      <w:r w:rsidRPr="004479ED">
        <w:rPr>
          <w:rFonts w:ascii="Times New Roman" w:eastAsia="Times New Roman" w:hAnsi="Times New Roman" w:cs="Times New Roman"/>
        </w:rPr>
        <w:t>Aláírás megszerzése.</w:t>
      </w:r>
    </w:p>
    <w:p w:rsidR="00685779" w:rsidRPr="004479ED" w:rsidRDefault="00685779" w:rsidP="00980876">
      <w:pPr>
        <w:widowControl w:val="0"/>
        <w:numPr>
          <w:ilvl w:val="1"/>
          <w:numId w:val="514"/>
        </w:numPr>
        <w:tabs>
          <w:tab w:val="left" w:pos="709"/>
          <w:tab w:val="left" w:pos="993"/>
        </w:tabs>
        <w:spacing w:before="120" w:after="120" w:line="240" w:lineRule="auto"/>
        <w:ind w:left="426" w:firstLine="0"/>
        <w:jc w:val="both"/>
        <w:rPr>
          <w:rFonts w:ascii="Times New Roman" w:eastAsia="Times New Roman" w:hAnsi="Times New Roman" w:cs="Times New Roman"/>
        </w:rPr>
      </w:pPr>
      <w:r w:rsidRPr="004479ED">
        <w:rPr>
          <w:rFonts w:ascii="Times New Roman" w:eastAsia="Times New Roman" w:hAnsi="Times New Roman" w:cs="Times New Roman"/>
          <w:b/>
        </w:rPr>
        <w:t>A kreditek megszerzésének feltételei:</w:t>
      </w:r>
      <w:r w:rsidRPr="004479ED">
        <w:rPr>
          <w:rFonts w:ascii="Times New Roman" w:eastAsia="Times New Roman" w:hAnsi="Times New Roman" w:cs="Times New Roman"/>
        </w:rPr>
        <w:t xml:space="preserve"> A kreditek megszerzésének feltétele az aláírás megszerzése.</w:t>
      </w:r>
    </w:p>
    <w:p w:rsidR="00685779" w:rsidRPr="004479ED" w:rsidRDefault="00685779" w:rsidP="00980876">
      <w:pPr>
        <w:widowControl w:val="0"/>
        <w:numPr>
          <w:ilvl w:val="0"/>
          <w:numId w:val="514"/>
        </w:numPr>
        <w:spacing w:before="120" w:after="120" w:line="240" w:lineRule="auto"/>
        <w:ind w:left="426" w:hanging="142"/>
        <w:jc w:val="both"/>
        <w:rPr>
          <w:rFonts w:ascii="Times New Roman" w:eastAsia="Times New Roman" w:hAnsi="Times New Roman" w:cs="Times New Roman"/>
          <w:bCs/>
        </w:rPr>
      </w:pPr>
      <w:r w:rsidRPr="004479ED">
        <w:rPr>
          <w:rFonts w:ascii="Times New Roman" w:eastAsia="Times New Roman" w:hAnsi="Times New Roman" w:cs="Times New Roman"/>
          <w:b/>
          <w:bCs/>
        </w:rPr>
        <w:t>Irodalomjegyzék:</w:t>
      </w:r>
    </w:p>
    <w:p w:rsidR="00685779" w:rsidRPr="004479ED" w:rsidRDefault="00685779" w:rsidP="00980876">
      <w:pPr>
        <w:widowControl w:val="0"/>
        <w:numPr>
          <w:ilvl w:val="1"/>
          <w:numId w:val="514"/>
        </w:numPr>
        <w:tabs>
          <w:tab w:val="left" w:pos="567"/>
          <w:tab w:val="left" w:pos="851"/>
        </w:tabs>
        <w:spacing w:before="120" w:after="120" w:line="240" w:lineRule="auto"/>
        <w:ind w:left="426" w:hanging="142"/>
        <w:jc w:val="both"/>
        <w:rPr>
          <w:rFonts w:ascii="Times New Roman" w:eastAsia="Times New Roman" w:hAnsi="Times New Roman" w:cs="Times New Roman"/>
          <w:bCs/>
        </w:rPr>
      </w:pPr>
      <w:r w:rsidRPr="004479ED">
        <w:rPr>
          <w:rFonts w:ascii="Times New Roman" w:eastAsia="Times New Roman" w:hAnsi="Times New Roman" w:cs="Times New Roman"/>
          <w:b/>
          <w:bCs/>
        </w:rPr>
        <w:t>Kötelező irodalom:</w:t>
      </w:r>
    </w:p>
    <w:p w:rsidR="00685779" w:rsidRPr="004479ED" w:rsidRDefault="00685779" w:rsidP="00980876">
      <w:pPr>
        <w:widowControl w:val="0"/>
        <w:numPr>
          <w:ilvl w:val="0"/>
          <w:numId w:val="515"/>
        </w:numPr>
        <w:spacing w:after="0" w:line="240" w:lineRule="auto"/>
        <w:jc w:val="both"/>
        <w:rPr>
          <w:rFonts w:ascii="Times New Roman" w:eastAsia="Times New Roman" w:hAnsi="Times New Roman" w:cs="Times New Roman"/>
        </w:rPr>
      </w:pPr>
      <w:r w:rsidRPr="004479ED">
        <w:rPr>
          <w:rFonts w:ascii="Times New Roman" w:eastAsia="Times New Roman" w:hAnsi="Times New Roman" w:cs="Times New Roman"/>
          <w:bCs/>
          <w:lang w:eastAsia="hu-HU"/>
        </w:rPr>
        <w:t>John Campbell: Helyszíni sérültellátás, Medicina Könyvkiadó Budapest, 2013</w:t>
      </w:r>
    </w:p>
    <w:p w:rsidR="00685779" w:rsidRPr="004479ED" w:rsidRDefault="00685779" w:rsidP="00980876">
      <w:pPr>
        <w:widowControl w:val="0"/>
        <w:numPr>
          <w:ilvl w:val="0"/>
          <w:numId w:val="515"/>
        </w:numPr>
        <w:spacing w:after="0" w:line="240" w:lineRule="auto"/>
        <w:jc w:val="both"/>
        <w:rPr>
          <w:rFonts w:ascii="Times New Roman" w:eastAsia="Times New Roman" w:hAnsi="Times New Roman" w:cs="Times New Roman"/>
        </w:rPr>
      </w:pPr>
      <w:r w:rsidRPr="004479ED">
        <w:rPr>
          <w:rFonts w:ascii="Times New Roman" w:eastAsia="Times New Roman" w:hAnsi="Times New Roman" w:cs="Times New Roman"/>
          <w:bCs/>
          <w:lang w:eastAsia="hu-HU"/>
        </w:rPr>
        <w:t>Brit Vöröskereszt: Az elsősegély alapkönyve, Mérték Kiadó Budapest, 2003</w:t>
      </w:r>
    </w:p>
    <w:p w:rsidR="00685779" w:rsidRPr="004479ED" w:rsidRDefault="00685779" w:rsidP="00980876">
      <w:pPr>
        <w:widowControl w:val="0"/>
        <w:numPr>
          <w:ilvl w:val="0"/>
          <w:numId w:val="515"/>
        </w:numPr>
        <w:spacing w:after="0" w:line="240" w:lineRule="auto"/>
        <w:jc w:val="both"/>
        <w:rPr>
          <w:rFonts w:ascii="Times New Roman" w:eastAsia="Times New Roman" w:hAnsi="Times New Roman" w:cs="Times New Roman"/>
        </w:rPr>
      </w:pPr>
      <w:r w:rsidRPr="004479ED">
        <w:rPr>
          <w:rFonts w:ascii="Times New Roman" w:eastAsia="Times New Roman" w:hAnsi="Times New Roman" w:cs="Times New Roman"/>
          <w:bCs/>
          <w:lang w:eastAsia="hu-HU"/>
        </w:rPr>
        <w:t>St. John Mentőszolgálat (Magyar Vöröskereszt, Polgári Védelem és a Budapesti mentő Alapítvány hivatalos kézikönyve): Az elsősegély kézikönyve, Sub Rosa Kiadó Budapest 1993</w:t>
      </w:r>
    </w:p>
    <w:p w:rsidR="00685779" w:rsidRPr="004479ED" w:rsidRDefault="00685779" w:rsidP="00980876">
      <w:pPr>
        <w:widowControl w:val="0"/>
        <w:numPr>
          <w:ilvl w:val="1"/>
          <w:numId w:val="514"/>
        </w:numPr>
        <w:tabs>
          <w:tab w:val="num" w:pos="2069"/>
        </w:tabs>
        <w:spacing w:before="120" w:after="120" w:line="240" w:lineRule="auto"/>
        <w:ind w:left="993" w:hanging="709"/>
        <w:jc w:val="both"/>
        <w:rPr>
          <w:rFonts w:ascii="Times New Roman" w:eastAsia="Times New Roman" w:hAnsi="Times New Roman" w:cs="Times New Roman"/>
          <w:b/>
          <w:bCs/>
        </w:rPr>
      </w:pPr>
      <w:r w:rsidRPr="004479ED">
        <w:rPr>
          <w:rFonts w:ascii="Times New Roman" w:eastAsia="Times New Roman" w:hAnsi="Times New Roman" w:cs="Times New Roman"/>
          <w:b/>
          <w:bCs/>
        </w:rPr>
        <w:t>Ajánlott irodalom: -</w:t>
      </w:r>
    </w:p>
    <w:p w:rsidR="00685779" w:rsidRPr="004479ED" w:rsidRDefault="00685779" w:rsidP="00685779">
      <w:pPr>
        <w:widowControl w:val="0"/>
        <w:spacing w:before="120" w:after="120" w:line="240" w:lineRule="auto"/>
        <w:jc w:val="both"/>
        <w:rPr>
          <w:rFonts w:ascii="Times New Roman" w:eastAsia="Times New Roman" w:hAnsi="Times New Roman" w:cs="Times New Roman"/>
          <w:bCs/>
        </w:rPr>
      </w:pPr>
    </w:p>
    <w:p w:rsidR="00685779" w:rsidRPr="004479ED" w:rsidRDefault="00685779" w:rsidP="00685779">
      <w:pPr>
        <w:widowControl w:val="0"/>
        <w:spacing w:before="120" w:after="120" w:line="240" w:lineRule="auto"/>
        <w:jc w:val="both"/>
        <w:rPr>
          <w:rFonts w:ascii="Times New Roman" w:eastAsia="Times New Roman" w:hAnsi="Times New Roman" w:cs="Times New Roman"/>
          <w:bCs/>
        </w:rPr>
      </w:pPr>
      <w:r w:rsidRPr="004479ED">
        <w:rPr>
          <w:rFonts w:ascii="Times New Roman" w:eastAsia="Times New Roman" w:hAnsi="Times New Roman" w:cs="Times New Roman"/>
          <w:bCs/>
        </w:rPr>
        <w:t>Budapest, 2020. február 27.</w:t>
      </w:r>
    </w:p>
    <w:p w:rsidR="00685779" w:rsidRPr="004479ED" w:rsidRDefault="00685779" w:rsidP="00685779">
      <w:pPr>
        <w:widowControl w:val="0"/>
        <w:spacing w:before="120" w:after="120" w:line="240" w:lineRule="auto"/>
        <w:jc w:val="both"/>
        <w:rPr>
          <w:rFonts w:ascii="Times New Roman" w:eastAsia="Times New Roman" w:hAnsi="Times New Roman" w:cs="Times New Roman"/>
          <w:bCs/>
        </w:rPr>
      </w:pPr>
    </w:p>
    <w:p w:rsidR="00685779" w:rsidRPr="004479ED" w:rsidRDefault="00685779" w:rsidP="00685779">
      <w:pPr>
        <w:widowControl w:val="0"/>
        <w:spacing w:after="0" w:line="240" w:lineRule="auto"/>
        <w:ind w:left="4248" w:firstLine="708"/>
        <w:jc w:val="center"/>
        <w:rPr>
          <w:rFonts w:ascii="Times New Roman" w:eastAsia="Times New Roman" w:hAnsi="Times New Roman" w:cs="Times New Roman"/>
          <w:b/>
          <w:bCs/>
        </w:rPr>
      </w:pPr>
      <w:r w:rsidRPr="004479ED">
        <w:rPr>
          <w:rFonts w:ascii="Times New Roman" w:eastAsia="Times New Roman" w:hAnsi="Times New Roman" w:cs="Times New Roman"/>
          <w:b/>
          <w:bCs/>
          <w:noProof/>
        </w:rPr>
        <w:t>Dr. Kóródi Gyula</w:t>
      </w:r>
      <w:r w:rsidRPr="004479ED">
        <w:rPr>
          <w:rFonts w:ascii="Times New Roman" w:eastAsia="Times New Roman" w:hAnsi="Times New Roman" w:cs="Times New Roman"/>
          <w:b/>
          <w:bCs/>
        </w:rPr>
        <w:t xml:space="preserve"> </w:t>
      </w:r>
      <w:r w:rsidRPr="004479ED">
        <w:rPr>
          <w:rFonts w:ascii="Times New Roman" w:eastAsia="Times New Roman" w:hAnsi="Times New Roman" w:cs="Times New Roman"/>
          <w:b/>
          <w:bCs/>
          <w:noProof/>
        </w:rPr>
        <w:t>PhD.</w:t>
      </w:r>
      <w:r w:rsidRPr="004479ED">
        <w:rPr>
          <w:rFonts w:ascii="Times New Roman" w:eastAsia="Times New Roman" w:hAnsi="Times New Roman" w:cs="Times New Roman"/>
          <w:b/>
          <w:bCs/>
        </w:rPr>
        <w:t xml:space="preserve">, </w:t>
      </w:r>
    </w:p>
    <w:p w:rsidR="00685779" w:rsidRPr="004479ED" w:rsidRDefault="00685779" w:rsidP="00685779">
      <w:pPr>
        <w:widowControl w:val="0"/>
        <w:spacing w:after="0" w:line="240" w:lineRule="auto"/>
        <w:ind w:left="4248" w:firstLine="708"/>
        <w:jc w:val="center"/>
        <w:rPr>
          <w:rFonts w:ascii="Times New Roman" w:eastAsia="Times New Roman" w:hAnsi="Times New Roman" w:cs="Times New Roman"/>
          <w:bCs/>
        </w:rPr>
      </w:pPr>
      <w:r w:rsidRPr="004479ED">
        <w:rPr>
          <w:rFonts w:ascii="Times New Roman" w:eastAsia="Times New Roman" w:hAnsi="Times New Roman" w:cs="Times New Roman"/>
          <w:bCs/>
          <w:noProof/>
        </w:rPr>
        <w:t>egyetemi tanár</w:t>
      </w:r>
      <w:r w:rsidRPr="004479ED">
        <w:rPr>
          <w:rFonts w:ascii="Times New Roman" w:eastAsia="Times New Roman" w:hAnsi="Times New Roman" w:cs="Times New Roman"/>
          <w:bCs/>
        </w:rPr>
        <w:t xml:space="preserve"> sk</w:t>
      </w:r>
    </w:p>
    <w:p w:rsidR="006F6A67" w:rsidRDefault="006F6A67">
      <w:pPr>
        <w:spacing w:after="200" w:line="276" w:lineRule="auto"/>
        <w:rPr>
          <w:rFonts w:ascii="Times New Roman" w:eastAsia="Times New Roman" w:hAnsi="Times New Roman" w:cs="Times New Roman"/>
          <w:bCs/>
        </w:rPr>
      </w:pPr>
      <w:r>
        <w:rPr>
          <w:rFonts w:ascii="Times New Roman" w:eastAsia="Times New Roman" w:hAnsi="Times New Roman" w:cs="Times New Roman"/>
          <w:bCs/>
        </w:rPr>
        <w:br w:type="page"/>
      </w:r>
    </w:p>
    <w:tbl>
      <w:tblPr>
        <w:tblW w:w="9072" w:type="dxa"/>
        <w:tblInd w:w="113" w:type="dxa"/>
        <w:tblLook w:val="01E0" w:firstRow="1" w:lastRow="1" w:firstColumn="1" w:lastColumn="1" w:noHBand="0" w:noVBand="0"/>
      </w:tblPr>
      <w:tblGrid>
        <w:gridCol w:w="4855"/>
        <w:gridCol w:w="1620"/>
        <w:gridCol w:w="2597"/>
      </w:tblGrid>
      <w:tr w:rsidR="006F6A67" w:rsidRPr="006F6A67" w:rsidTr="002B02EF">
        <w:tc>
          <w:tcPr>
            <w:tcW w:w="4855" w:type="dxa"/>
            <w:tcBorders>
              <w:top w:val="nil"/>
              <w:left w:val="nil"/>
              <w:bottom w:val="single" w:sz="4" w:space="0" w:color="auto"/>
              <w:right w:val="nil"/>
            </w:tcBorders>
            <w:hideMark/>
          </w:tcPr>
          <w:p w:rsidR="006F6A67" w:rsidRPr="006F6A67" w:rsidRDefault="006F6A67" w:rsidP="006F6A67">
            <w:pPr>
              <w:spacing w:after="0" w:line="240" w:lineRule="auto"/>
              <w:jc w:val="center"/>
              <w:rPr>
                <w:rFonts w:ascii="Times New Roman" w:eastAsia="Times New Roman" w:hAnsi="Times New Roman" w:cs="Times New Roman"/>
                <w:b/>
                <w:smallCaps/>
                <w:lang w:eastAsia="hu-HU"/>
              </w:rPr>
            </w:pPr>
            <w:r w:rsidRPr="006F6A67">
              <w:rPr>
                <w:rFonts w:ascii="Times New Roman" w:eastAsia="Times New Roman" w:hAnsi="Times New Roman" w:cs="Times New Roman"/>
                <w:b/>
                <w:smallCaps/>
                <w:lang w:eastAsia="hu-HU"/>
              </w:rPr>
              <w:lastRenderedPageBreak/>
              <w:t>Nemzeti Közszolgálati Egyetem</w:t>
            </w:r>
          </w:p>
        </w:tc>
        <w:tc>
          <w:tcPr>
            <w:tcW w:w="1620" w:type="dxa"/>
          </w:tcPr>
          <w:p w:rsidR="006F6A67" w:rsidRPr="006F6A67" w:rsidRDefault="006F6A67" w:rsidP="006F6A67">
            <w:pPr>
              <w:spacing w:after="0" w:line="240" w:lineRule="auto"/>
              <w:jc w:val="both"/>
              <w:rPr>
                <w:rFonts w:ascii="Times New Roman" w:eastAsia="Times New Roman" w:hAnsi="Times New Roman" w:cs="Times New Roman"/>
                <w:lang w:eastAsia="hu-HU"/>
              </w:rPr>
            </w:pPr>
          </w:p>
        </w:tc>
        <w:tc>
          <w:tcPr>
            <w:tcW w:w="2597" w:type="dxa"/>
          </w:tcPr>
          <w:p w:rsidR="006F6A67" w:rsidRPr="006F6A67" w:rsidRDefault="006F6A67" w:rsidP="006F6A67">
            <w:pPr>
              <w:spacing w:after="0" w:line="240" w:lineRule="auto"/>
              <w:jc w:val="right"/>
              <w:rPr>
                <w:rFonts w:ascii="Times New Roman" w:eastAsia="Times New Roman" w:hAnsi="Times New Roman" w:cs="Times New Roman"/>
                <w:lang w:eastAsia="hu-HU"/>
              </w:rPr>
            </w:pPr>
          </w:p>
        </w:tc>
      </w:tr>
      <w:tr w:rsidR="006F6A67" w:rsidRPr="006F6A67" w:rsidTr="002B02EF">
        <w:tc>
          <w:tcPr>
            <w:tcW w:w="4855" w:type="dxa"/>
            <w:tcBorders>
              <w:top w:val="single" w:sz="4" w:space="0" w:color="auto"/>
              <w:left w:val="nil"/>
              <w:bottom w:val="nil"/>
              <w:right w:val="nil"/>
            </w:tcBorders>
            <w:hideMark/>
          </w:tcPr>
          <w:p w:rsidR="006F6A67" w:rsidRPr="006F6A67" w:rsidRDefault="006F6A67" w:rsidP="006F6A67">
            <w:pPr>
              <w:spacing w:after="0" w:line="240" w:lineRule="auto"/>
              <w:jc w:val="center"/>
              <w:rPr>
                <w:rFonts w:ascii="Times New Roman" w:eastAsia="Times New Roman" w:hAnsi="Times New Roman" w:cs="Times New Roman"/>
                <w:b/>
                <w:lang w:eastAsia="hu-HU"/>
              </w:rPr>
            </w:pPr>
            <w:r w:rsidRPr="006F6A67">
              <w:rPr>
                <w:rFonts w:ascii="Times New Roman" w:eastAsia="Times New Roman" w:hAnsi="Times New Roman" w:cs="Times New Roman"/>
                <w:b/>
                <w:lang w:eastAsia="hu-HU"/>
              </w:rPr>
              <w:t>Hadtudományi és Honvédtisztképző Kar</w:t>
            </w:r>
          </w:p>
        </w:tc>
        <w:tc>
          <w:tcPr>
            <w:tcW w:w="1620" w:type="dxa"/>
          </w:tcPr>
          <w:p w:rsidR="006F6A67" w:rsidRPr="006F6A67" w:rsidRDefault="006F6A67" w:rsidP="006F6A67">
            <w:pPr>
              <w:spacing w:after="0" w:line="240" w:lineRule="auto"/>
              <w:jc w:val="both"/>
              <w:rPr>
                <w:rFonts w:ascii="Times New Roman" w:eastAsia="Times New Roman" w:hAnsi="Times New Roman" w:cs="Times New Roman"/>
                <w:lang w:eastAsia="hu-HU"/>
              </w:rPr>
            </w:pPr>
          </w:p>
        </w:tc>
        <w:tc>
          <w:tcPr>
            <w:tcW w:w="2597" w:type="dxa"/>
          </w:tcPr>
          <w:p w:rsidR="006F6A67" w:rsidRPr="006F6A67" w:rsidRDefault="006F6A67" w:rsidP="006F6A67">
            <w:pPr>
              <w:spacing w:after="0" w:line="240" w:lineRule="auto"/>
              <w:jc w:val="both"/>
              <w:rPr>
                <w:rFonts w:ascii="Times New Roman" w:eastAsia="Times New Roman" w:hAnsi="Times New Roman" w:cs="Times New Roman"/>
                <w:lang w:eastAsia="hu-HU"/>
              </w:rPr>
            </w:pPr>
          </w:p>
        </w:tc>
      </w:tr>
    </w:tbl>
    <w:p w:rsidR="006F6A67" w:rsidRPr="006F6A67" w:rsidRDefault="006F6A67" w:rsidP="006F6A67">
      <w:pPr>
        <w:widowControl w:val="0"/>
        <w:spacing w:before="120" w:after="120" w:line="240" w:lineRule="auto"/>
        <w:ind w:left="426" w:hanging="142"/>
        <w:jc w:val="center"/>
        <w:rPr>
          <w:rFonts w:ascii="Times New Roman" w:eastAsia="Times New Roman" w:hAnsi="Times New Roman" w:cs="Times New Roman"/>
          <w:b/>
          <w:bCs/>
        </w:rPr>
      </w:pPr>
    </w:p>
    <w:p w:rsidR="006F6A67" w:rsidRPr="006F6A67" w:rsidRDefault="006F6A67" w:rsidP="006F6A67">
      <w:pPr>
        <w:widowControl w:val="0"/>
        <w:spacing w:before="120" w:after="120" w:line="240" w:lineRule="auto"/>
        <w:ind w:left="426" w:hanging="142"/>
        <w:jc w:val="center"/>
        <w:rPr>
          <w:rFonts w:ascii="Times New Roman" w:eastAsia="Times New Roman" w:hAnsi="Times New Roman" w:cs="Times New Roman"/>
          <w:b/>
          <w:bCs/>
        </w:rPr>
      </w:pPr>
      <w:r w:rsidRPr="006F6A67">
        <w:rPr>
          <w:rFonts w:ascii="Times New Roman" w:eastAsia="Times New Roman" w:hAnsi="Times New Roman" w:cs="Times New Roman"/>
          <w:b/>
          <w:bCs/>
        </w:rPr>
        <w:t>TANTÁRGYI PROGRAM</w:t>
      </w:r>
    </w:p>
    <w:p w:rsidR="006F6A67" w:rsidRPr="006F6A67" w:rsidRDefault="006F6A67" w:rsidP="00980876">
      <w:pPr>
        <w:widowControl w:val="0"/>
        <w:numPr>
          <w:ilvl w:val="0"/>
          <w:numId w:val="762"/>
        </w:numPr>
        <w:spacing w:before="120" w:after="120" w:line="240" w:lineRule="auto"/>
        <w:ind w:left="426" w:hanging="142"/>
        <w:jc w:val="both"/>
        <w:rPr>
          <w:rFonts w:ascii="Times New Roman" w:eastAsia="Times New Roman" w:hAnsi="Times New Roman" w:cs="Times New Roman"/>
          <w:bCs/>
        </w:rPr>
      </w:pPr>
      <w:r w:rsidRPr="006F6A67">
        <w:rPr>
          <w:rFonts w:ascii="Times New Roman" w:eastAsia="Times New Roman" w:hAnsi="Times New Roman" w:cs="Times New Roman"/>
          <w:b/>
          <w:bCs/>
        </w:rPr>
        <w:t xml:space="preserve">A tantárgy kódja: </w:t>
      </w:r>
      <w:r w:rsidR="001D3AA3" w:rsidRPr="001D3AA3">
        <w:rPr>
          <w:rFonts w:ascii="Times New Roman" w:eastAsia="Calibri" w:hAnsi="Times New Roman" w:cs="Times New Roman"/>
          <w:bCs/>
        </w:rPr>
        <w:t>ÁAÖKTV31</w:t>
      </w:r>
    </w:p>
    <w:p w:rsidR="006F6A67" w:rsidRPr="006F6A67" w:rsidRDefault="006F6A67" w:rsidP="00980876">
      <w:pPr>
        <w:widowControl w:val="0"/>
        <w:numPr>
          <w:ilvl w:val="0"/>
          <w:numId w:val="762"/>
        </w:numPr>
        <w:spacing w:before="120" w:after="120" w:line="240" w:lineRule="auto"/>
        <w:ind w:left="426" w:hanging="142"/>
        <w:jc w:val="both"/>
        <w:rPr>
          <w:rFonts w:ascii="Times New Roman" w:eastAsia="Times New Roman" w:hAnsi="Times New Roman" w:cs="Times New Roman"/>
          <w:b/>
          <w:bCs/>
          <w:lang w:val="en-GB"/>
        </w:rPr>
      </w:pPr>
      <w:r w:rsidRPr="006F6A67">
        <w:rPr>
          <w:rFonts w:ascii="Times New Roman" w:eastAsia="Times New Roman" w:hAnsi="Times New Roman" w:cs="Times New Roman"/>
          <w:b/>
          <w:bCs/>
        </w:rPr>
        <w:t>A tantárgy megnevezése (magyarul):</w:t>
      </w:r>
      <w:r w:rsidRPr="006F6A67">
        <w:rPr>
          <w:rFonts w:ascii="Times New Roman" w:eastAsia="Times New Roman" w:hAnsi="Times New Roman" w:cs="Times New Roman"/>
          <w:bCs/>
        </w:rPr>
        <w:t xml:space="preserve"> </w:t>
      </w:r>
      <w:r w:rsidRPr="006F6A67">
        <w:rPr>
          <w:rFonts w:ascii="Times New Roman" w:eastAsia="Calibri" w:hAnsi="Times New Roman" w:cs="Times New Roman"/>
          <w:bCs/>
        </w:rPr>
        <w:t>Alkotmányjog és a modern világ kihívásai</w:t>
      </w:r>
    </w:p>
    <w:p w:rsidR="006F6A67" w:rsidRPr="006F6A67" w:rsidRDefault="006F6A67" w:rsidP="00980876">
      <w:pPr>
        <w:widowControl w:val="0"/>
        <w:numPr>
          <w:ilvl w:val="0"/>
          <w:numId w:val="762"/>
        </w:numPr>
        <w:tabs>
          <w:tab w:val="num" w:pos="567"/>
        </w:tabs>
        <w:spacing w:before="120" w:after="120" w:line="240" w:lineRule="auto"/>
        <w:ind w:left="426" w:hanging="142"/>
        <w:jc w:val="both"/>
        <w:rPr>
          <w:rFonts w:ascii="Times New Roman" w:eastAsia="Times New Roman" w:hAnsi="Times New Roman" w:cs="Times New Roman"/>
          <w:bCs/>
          <w:lang w:val="en-GB"/>
        </w:rPr>
      </w:pPr>
      <w:r w:rsidRPr="006F6A67">
        <w:rPr>
          <w:rFonts w:ascii="Times New Roman" w:eastAsia="Times New Roman" w:hAnsi="Times New Roman" w:cs="Times New Roman"/>
          <w:b/>
          <w:bCs/>
        </w:rPr>
        <w:t xml:space="preserve">A tantárgy megnevezése (angolul): </w:t>
      </w:r>
      <w:r w:rsidRPr="006F6A67">
        <w:rPr>
          <w:rFonts w:ascii="Times New Roman" w:eastAsia="Times New Roman" w:hAnsi="Times New Roman" w:cs="Times New Roman"/>
          <w:bCs/>
        </w:rPr>
        <w:t>Constitutional law and challenges of the modern world</w:t>
      </w:r>
    </w:p>
    <w:p w:rsidR="006F6A67" w:rsidRPr="006F6A67" w:rsidRDefault="006F6A67" w:rsidP="00980876">
      <w:pPr>
        <w:widowControl w:val="0"/>
        <w:numPr>
          <w:ilvl w:val="0"/>
          <w:numId w:val="762"/>
        </w:numPr>
        <w:tabs>
          <w:tab w:val="num" w:pos="567"/>
        </w:tabs>
        <w:spacing w:before="120" w:after="120" w:line="240" w:lineRule="auto"/>
        <w:ind w:left="426" w:hanging="142"/>
        <w:jc w:val="both"/>
        <w:rPr>
          <w:rFonts w:ascii="Times New Roman" w:eastAsia="Times New Roman" w:hAnsi="Times New Roman" w:cs="Times New Roman"/>
          <w:b/>
          <w:bCs/>
        </w:rPr>
      </w:pPr>
      <w:r w:rsidRPr="006F6A67">
        <w:rPr>
          <w:rFonts w:ascii="Times New Roman" w:eastAsia="Times New Roman" w:hAnsi="Times New Roman" w:cs="Times New Roman"/>
          <w:b/>
          <w:bCs/>
        </w:rPr>
        <w:t xml:space="preserve">Kreditérték és képzési karakter: </w:t>
      </w:r>
    </w:p>
    <w:p w:rsidR="006F6A67" w:rsidRPr="006F6A67" w:rsidRDefault="006F6A67" w:rsidP="00980876">
      <w:pPr>
        <w:widowControl w:val="0"/>
        <w:numPr>
          <w:ilvl w:val="1"/>
          <w:numId w:val="762"/>
        </w:numPr>
        <w:spacing w:before="120" w:after="120" w:line="240" w:lineRule="auto"/>
        <w:ind w:left="993" w:hanging="426"/>
        <w:contextualSpacing/>
        <w:jc w:val="both"/>
        <w:rPr>
          <w:rFonts w:ascii="Times New Roman" w:eastAsia="Times New Roman" w:hAnsi="Times New Roman" w:cs="Times New Roman"/>
          <w:b/>
          <w:bCs/>
        </w:rPr>
      </w:pPr>
      <w:r w:rsidRPr="006F6A67">
        <w:rPr>
          <w:rFonts w:ascii="Times New Roman" w:eastAsia="Times New Roman" w:hAnsi="Times New Roman" w:cs="Times New Roman"/>
          <w:bCs/>
        </w:rPr>
        <w:t>2 kredit</w:t>
      </w:r>
    </w:p>
    <w:p w:rsidR="006F6A67" w:rsidRPr="006F6A67" w:rsidRDefault="006F6A67" w:rsidP="00980876">
      <w:pPr>
        <w:widowControl w:val="0"/>
        <w:numPr>
          <w:ilvl w:val="1"/>
          <w:numId w:val="762"/>
        </w:numPr>
        <w:spacing w:before="120" w:after="120" w:line="240" w:lineRule="auto"/>
        <w:ind w:left="993" w:hanging="426"/>
        <w:contextualSpacing/>
        <w:jc w:val="both"/>
        <w:rPr>
          <w:rFonts w:ascii="Times New Roman" w:eastAsia="Times New Roman" w:hAnsi="Times New Roman" w:cs="Times New Roman"/>
          <w:b/>
          <w:bCs/>
        </w:rPr>
      </w:pPr>
      <w:r w:rsidRPr="006F6A67">
        <w:rPr>
          <w:rFonts w:ascii="Times New Roman" w:eastAsia="Times New Roman" w:hAnsi="Times New Roman" w:cs="Times New Roman"/>
          <w:bCs/>
        </w:rPr>
        <w:t>a tantárgy elméleti vagy gyakorlati jellegének mértéke: 50</w:t>
      </w:r>
      <w:r w:rsidRPr="006F6A67">
        <w:rPr>
          <w:rFonts w:ascii="Times New Roman" w:eastAsia="Times New Roman" w:hAnsi="Times New Roman" w:cs="Times New Roman"/>
          <w:b/>
          <w:bCs/>
        </w:rPr>
        <w:t xml:space="preserve"> </w:t>
      </w:r>
      <w:r w:rsidRPr="006F6A67">
        <w:rPr>
          <w:rFonts w:ascii="Times New Roman" w:eastAsia="Times New Roman" w:hAnsi="Times New Roman" w:cs="Times New Roman"/>
          <w:bCs/>
        </w:rPr>
        <w:t>% gyakorlat, 50 % elmélet</w:t>
      </w:r>
    </w:p>
    <w:p w:rsidR="006F6A67" w:rsidRPr="006F6A67" w:rsidRDefault="006F6A67" w:rsidP="00980876">
      <w:pPr>
        <w:widowControl w:val="0"/>
        <w:numPr>
          <w:ilvl w:val="0"/>
          <w:numId w:val="762"/>
        </w:numPr>
        <w:spacing w:before="120" w:after="120" w:line="240" w:lineRule="auto"/>
        <w:ind w:left="426" w:hanging="142"/>
        <w:jc w:val="both"/>
        <w:rPr>
          <w:rFonts w:ascii="Times New Roman" w:eastAsia="Times New Roman" w:hAnsi="Times New Roman" w:cs="Times New Roman"/>
          <w:bCs/>
        </w:rPr>
      </w:pPr>
      <w:r w:rsidRPr="006F6A67">
        <w:rPr>
          <w:rFonts w:ascii="Times New Roman" w:eastAsia="Times New Roman" w:hAnsi="Times New Roman" w:cs="Times New Roman"/>
          <w:b/>
          <w:bCs/>
        </w:rPr>
        <w:t>A szak(ok), szakirányok/specializációk megnevezése (ahol oktatják):</w:t>
      </w:r>
      <w:r w:rsidRPr="006F6A67">
        <w:rPr>
          <w:rFonts w:ascii="Times New Roman" w:eastAsia="Times New Roman" w:hAnsi="Times New Roman" w:cs="Times New Roman"/>
          <w:bCs/>
        </w:rPr>
        <w:t xml:space="preserve"> </w:t>
      </w:r>
      <w:r w:rsidRPr="006F6A67">
        <w:rPr>
          <w:rFonts w:ascii="Times New Roman" w:eastAsia="Calibri" w:hAnsi="Times New Roman" w:cs="Times New Roman"/>
          <w:bCs/>
        </w:rPr>
        <w:t>NKE HHK katonai alapképzési szakok</w:t>
      </w:r>
    </w:p>
    <w:p w:rsidR="006F6A67" w:rsidRPr="006F6A67" w:rsidRDefault="006F6A67" w:rsidP="00980876">
      <w:pPr>
        <w:widowControl w:val="0"/>
        <w:numPr>
          <w:ilvl w:val="0"/>
          <w:numId w:val="762"/>
        </w:numPr>
        <w:tabs>
          <w:tab w:val="num" w:pos="567"/>
        </w:tabs>
        <w:spacing w:before="120" w:after="120" w:line="240" w:lineRule="auto"/>
        <w:ind w:left="426" w:hanging="142"/>
        <w:jc w:val="both"/>
        <w:rPr>
          <w:rFonts w:ascii="Times New Roman" w:eastAsia="Times New Roman" w:hAnsi="Times New Roman" w:cs="Times New Roman"/>
          <w:bCs/>
        </w:rPr>
      </w:pPr>
      <w:r w:rsidRPr="006F6A67">
        <w:rPr>
          <w:rFonts w:ascii="Times New Roman" w:eastAsia="Times New Roman" w:hAnsi="Times New Roman" w:cs="Times New Roman"/>
          <w:b/>
          <w:bCs/>
        </w:rPr>
        <w:t xml:space="preserve">Az oktatásért felelős oktatási szervezeti egység megnevezése: </w:t>
      </w:r>
      <w:r w:rsidRPr="006F6A67">
        <w:rPr>
          <w:rFonts w:ascii="Times New Roman" w:eastAsia="Calibri" w:hAnsi="Times New Roman" w:cs="Times New Roman"/>
          <w:bCs/>
        </w:rPr>
        <w:t>NKE Államtudományi és Nemzetközi Tanulmányok Kar, Alkotmányjogi és Összehasonlító Közjogi Tanszék</w:t>
      </w:r>
    </w:p>
    <w:p w:rsidR="006F6A67" w:rsidRPr="006F6A67" w:rsidRDefault="006F6A67" w:rsidP="00980876">
      <w:pPr>
        <w:widowControl w:val="0"/>
        <w:numPr>
          <w:ilvl w:val="0"/>
          <w:numId w:val="762"/>
        </w:numPr>
        <w:tabs>
          <w:tab w:val="num" w:pos="567"/>
        </w:tabs>
        <w:spacing w:before="120" w:after="120" w:line="240" w:lineRule="auto"/>
        <w:ind w:left="426" w:hanging="142"/>
        <w:jc w:val="both"/>
        <w:rPr>
          <w:rFonts w:ascii="Times New Roman" w:eastAsia="Times New Roman" w:hAnsi="Times New Roman" w:cs="Times New Roman"/>
          <w:bCs/>
        </w:rPr>
      </w:pPr>
      <w:r w:rsidRPr="006F6A67">
        <w:rPr>
          <w:rFonts w:ascii="Times New Roman" w:eastAsia="Times New Roman" w:hAnsi="Times New Roman" w:cs="Times New Roman"/>
          <w:b/>
          <w:bCs/>
        </w:rPr>
        <w:t>A tantárgyfelelős oktató neve, beosztása, tudományos fokozata:</w:t>
      </w:r>
      <w:r w:rsidRPr="006F6A67">
        <w:rPr>
          <w:rFonts w:ascii="Times New Roman" w:eastAsia="Times New Roman" w:hAnsi="Times New Roman" w:cs="Times New Roman"/>
          <w:bCs/>
        </w:rPr>
        <w:t xml:space="preserve"> </w:t>
      </w:r>
      <w:r w:rsidRPr="006F6A67">
        <w:rPr>
          <w:rFonts w:ascii="Times New Roman" w:eastAsia="Calibri" w:hAnsi="Times New Roman" w:cs="Times New Roman"/>
          <w:bCs/>
        </w:rPr>
        <w:t>Dr. Halász Iván, egyetemi tanár, (PhD)</w:t>
      </w:r>
    </w:p>
    <w:p w:rsidR="006F6A67" w:rsidRPr="006F6A67" w:rsidRDefault="006F6A67" w:rsidP="00980876">
      <w:pPr>
        <w:widowControl w:val="0"/>
        <w:numPr>
          <w:ilvl w:val="0"/>
          <w:numId w:val="762"/>
        </w:numPr>
        <w:spacing w:before="120" w:after="120" w:line="240" w:lineRule="auto"/>
        <w:ind w:left="426" w:hanging="142"/>
        <w:jc w:val="both"/>
        <w:rPr>
          <w:rFonts w:ascii="Times New Roman" w:eastAsia="Times New Roman" w:hAnsi="Times New Roman" w:cs="Times New Roman"/>
          <w:bCs/>
        </w:rPr>
      </w:pPr>
      <w:r w:rsidRPr="006F6A67">
        <w:rPr>
          <w:rFonts w:ascii="Times New Roman" w:eastAsia="Times New Roman" w:hAnsi="Times New Roman" w:cs="Times New Roman"/>
          <w:b/>
          <w:bCs/>
        </w:rPr>
        <w:t>A tanórák száma és típusa</w:t>
      </w:r>
    </w:p>
    <w:p w:rsidR="006F6A67" w:rsidRPr="006F6A67" w:rsidRDefault="006F6A67" w:rsidP="00980876">
      <w:pPr>
        <w:widowControl w:val="0"/>
        <w:numPr>
          <w:ilvl w:val="1"/>
          <w:numId w:val="762"/>
        </w:numPr>
        <w:tabs>
          <w:tab w:val="num" w:pos="709"/>
          <w:tab w:val="num" w:pos="2069"/>
        </w:tabs>
        <w:spacing w:before="120" w:after="120" w:line="240" w:lineRule="auto"/>
        <w:ind w:left="851" w:hanging="425"/>
        <w:jc w:val="both"/>
        <w:rPr>
          <w:rFonts w:ascii="Times New Roman" w:eastAsia="Times New Roman" w:hAnsi="Times New Roman" w:cs="Times New Roman"/>
          <w:bCs/>
        </w:rPr>
      </w:pPr>
      <w:r w:rsidRPr="006F6A67">
        <w:rPr>
          <w:rFonts w:ascii="Times New Roman" w:eastAsia="Times New Roman" w:hAnsi="Times New Roman" w:cs="Times New Roman"/>
          <w:bCs/>
        </w:rPr>
        <w:t>össz óraszám/félév: 28</w:t>
      </w:r>
    </w:p>
    <w:p w:rsidR="006F6A67" w:rsidRPr="006F6A67" w:rsidRDefault="006F6A67" w:rsidP="00980876">
      <w:pPr>
        <w:widowControl w:val="0"/>
        <w:numPr>
          <w:ilvl w:val="2"/>
          <w:numId w:val="762"/>
        </w:numPr>
        <w:tabs>
          <w:tab w:val="num" w:pos="709"/>
        </w:tabs>
        <w:spacing w:after="0" w:line="240" w:lineRule="auto"/>
        <w:ind w:left="1417" w:hanging="425"/>
        <w:jc w:val="both"/>
        <w:rPr>
          <w:rFonts w:ascii="Times New Roman" w:eastAsia="Times New Roman" w:hAnsi="Times New Roman" w:cs="Times New Roman"/>
          <w:bCs/>
        </w:rPr>
      </w:pPr>
      <w:r w:rsidRPr="006F6A67">
        <w:rPr>
          <w:rFonts w:ascii="Times New Roman" w:eastAsia="Times New Roman" w:hAnsi="Times New Roman" w:cs="Times New Roman"/>
          <w:bCs/>
        </w:rPr>
        <w:t>nappali munkarend: (14 EA + 0 SZ + 14 GY)</w:t>
      </w:r>
    </w:p>
    <w:p w:rsidR="006F6A67" w:rsidRPr="006F6A67" w:rsidRDefault="006F6A67" w:rsidP="00980876">
      <w:pPr>
        <w:widowControl w:val="0"/>
        <w:numPr>
          <w:ilvl w:val="2"/>
          <w:numId w:val="762"/>
        </w:numPr>
        <w:tabs>
          <w:tab w:val="num" w:pos="709"/>
        </w:tabs>
        <w:spacing w:after="0" w:line="240" w:lineRule="auto"/>
        <w:ind w:left="1417" w:hanging="425"/>
        <w:jc w:val="both"/>
        <w:rPr>
          <w:rFonts w:ascii="Times New Roman" w:eastAsia="Times New Roman" w:hAnsi="Times New Roman" w:cs="Times New Roman"/>
          <w:bCs/>
        </w:rPr>
      </w:pPr>
      <w:r w:rsidRPr="006F6A67">
        <w:rPr>
          <w:rFonts w:ascii="Times New Roman" w:eastAsia="Times New Roman" w:hAnsi="Times New Roman" w:cs="Times New Roman"/>
          <w:bCs/>
        </w:rPr>
        <w:t>levelező munkarend: (1 EA + 0 SZ + 1 GY)</w:t>
      </w:r>
    </w:p>
    <w:p w:rsidR="006F6A67" w:rsidRPr="006F6A67" w:rsidRDefault="006F6A67" w:rsidP="00980876">
      <w:pPr>
        <w:widowControl w:val="0"/>
        <w:numPr>
          <w:ilvl w:val="1"/>
          <w:numId w:val="762"/>
        </w:numPr>
        <w:tabs>
          <w:tab w:val="num" w:pos="709"/>
          <w:tab w:val="num" w:pos="2069"/>
        </w:tabs>
        <w:spacing w:before="120" w:after="120" w:line="240" w:lineRule="auto"/>
        <w:ind w:left="851" w:hanging="425"/>
        <w:jc w:val="both"/>
        <w:rPr>
          <w:rFonts w:ascii="Times New Roman" w:eastAsia="Times New Roman" w:hAnsi="Times New Roman" w:cs="Times New Roman"/>
          <w:bCs/>
        </w:rPr>
      </w:pPr>
      <w:r w:rsidRPr="006F6A67">
        <w:rPr>
          <w:rFonts w:ascii="Times New Roman" w:eastAsia="Times New Roman" w:hAnsi="Times New Roman" w:cs="Times New Roman"/>
          <w:bCs/>
        </w:rPr>
        <w:t>heti óraszám - nappali munkarend: 2 (1+1)</w:t>
      </w:r>
    </w:p>
    <w:p w:rsidR="006F6A67" w:rsidRPr="006F6A67" w:rsidRDefault="006F6A67" w:rsidP="00980876">
      <w:pPr>
        <w:widowControl w:val="0"/>
        <w:numPr>
          <w:ilvl w:val="1"/>
          <w:numId w:val="762"/>
        </w:numPr>
        <w:tabs>
          <w:tab w:val="num" w:pos="709"/>
          <w:tab w:val="num" w:pos="2069"/>
        </w:tabs>
        <w:spacing w:before="120" w:after="120" w:line="240" w:lineRule="auto"/>
        <w:ind w:left="851" w:hanging="425"/>
        <w:jc w:val="both"/>
        <w:rPr>
          <w:rFonts w:ascii="Times New Roman" w:eastAsia="Times New Roman" w:hAnsi="Times New Roman" w:cs="Times New Roman"/>
          <w:bCs/>
        </w:rPr>
      </w:pPr>
      <w:r w:rsidRPr="006F6A67">
        <w:rPr>
          <w:rFonts w:ascii="Times New Roman" w:eastAsia="Calibri" w:hAnsi="Times New Roman" w:cs="Times New Roman"/>
        </w:rPr>
        <w:t>Az ismeret átadásában alkalmazandó további sajátos módok, jellemzők:</w:t>
      </w:r>
      <w:r w:rsidRPr="006F6A67">
        <w:rPr>
          <w:rFonts w:ascii="Times New Roman" w:eastAsia="Calibri" w:hAnsi="Times New Roman" w:cs="Times New Roman"/>
          <w:i/>
        </w:rPr>
        <w:t xml:space="preserve"> –</w:t>
      </w:r>
    </w:p>
    <w:p w:rsidR="006F6A67" w:rsidRPr="006F6A67" w:rsidRDefault="006F6A67" w:rsidP="00980876">
      <w:pPr>
        <w:widowControl w:val="0"/>
        <w:numPr>
          <w:ilvl w:val="0"/>
          <w:numId w:val="762"/>
        </w:numPr>
        <w:spacing w:before="120" w:after="120" w:line="240" w:lineRule="auto"/>
        <w:ind w:left="426" w:hanging="142"/>
        <w:jc w:val="both"/>
        <w:rPr>
          <w:rFonts w:ascii="Times New Roman" w:eastAsia="Times New Roman" w:hAnsi="Times New Roman" w:cs="Times New Roman"/>
          <w:bCs/>
        </w:rPr>
      </w:pPr>
      <w:r w:rsidRPr="006F6A67">
        <w:rPr>
          <w:rFonts w:ascii="Times New Roman" w:eastAsia="Times New Roman" w:hAnsi="Times New Roman" w:cs="Times New Roman"/>
          <w:b/>
          <w:bCs/>
        </w:rPr>
        <w:t>A tantárgy szakmai tartalma (magyarul):</w:t>
      </w:r>
      <w:r w:rsidRPr="006F6A67">
        <w:rPr>
          <w:rFonts w:ascii="Times New Roman" w:eastAsia="Times New Roman" w:hAnsi="Times New Roman" w:cs="Times New Roman"/>
          <w:bCs/>
        </w:rPr>
        <w:t xml:space="preserve"> A kurzus az alkotmányjog fogalmát és legfőbb intézményeit tárgyalja. Főleg az alkotmányjog szerkezetére, az emberi jogok generációira, a jogforrásokra (beleértve azok hierachiáját) és az államszervezeti kérdésekre koncentrál. A kurzus fontos részét képezi a belső, európai és nemzetközi jog kapcsolata, illetve az emberi jogok védelmének nemzeti, európai és nemzetközi rendszerei. Szintén foglalkozik a harmadik generációs emberi jogokkal, ökológiával, valamint a tudomány, technológia és az jog kapcsolatával, mégpedig az alkotmányjogi szempontból.</w:t>
      </w:r>
    </w:p>
    <w:p w:rsidR="006F6A67" w:rsidRPr="006F6A67" w:rsidRDefault="006F6A67" w:rsidP="006F6A67">
      <w:pPr>
        <w:ind w:left="426"/>
        <w:jc w:val="both"/>
        <w:rPr>
          <w:rFonts w:ascii="Times New Roman" w:eastAsia="Times New Roman" w:hAnsi="Times New Roman" w:cs="Times New Roman"/>
          <w:bCs/>
        </w:rPr>
      </w:pPr>
      <w:r w:rsidRPr="006F6A67">
        <w:rPr>
          <w:rFonts w:ascii="Times New Roman" w:eastAsia="Times New Roman" w:hAnsi="Times New Roman" w:cs="Times New Roman"/>
          <w:b/>
          <w:bCs/>
        </w:rPr>
        <w:t>A tantárgy szakmai tartalma (angolul) (</w:t>
      </w:r>
      <w:r w:rsidRPr="006F6A67">
        <w:rPr>
          <w:rFonts w:ascii="Times New Roman" w:eastAsia="Times New Roman" w:hAnsi="Times New Roman" w:cs="Times New Roman"/>
          <w:b/>
          <w:bCs/>
          <w:lang w:val="en-US"/>
        </w:rPr>
        <w:t>Course description</w:t>
      </w:r>
      <w:r w:rsidRPr="006F6A67">
        <w:rPr>
          <w:rFonts w:ascii="Times New Roman" w:eastAsia="Times New Roman" w:hAnsi="Times New Roman" w:cs="Times New Roman"/>
          <w:b/>
          <w:bCs/>
        </w:rPr>
        <w:t xml:space="preserve">): </w:t>
      </w:r>
      <w:r w:rsidRPr="006F6A67">
        <w:rPr>
          <w:rFonts w:ascii="Times New Roman" w:eastAsia="Times New Roman" w:hAnsi="Times New Roman" w:cs="Times New Roman"/>
        </w:rPr>
        <w:t>The course deals with the notion and main institutions of constitutional law. It mainly focuses on structure of constitutional law, generations of human rights, state organs and on the sources of law (including the hierarchy of legal norms). Important part of course is the relationship between the national, European and international law and the national, European and international system of protection of human rights. The course focuses on the third generation of human rights, on the ecology and relationship between the science, technology and law from the constitutional pint of view.</w:t>
      </w:r>
    </w:p>
    <w:p w:rsidR="006F6A67" w:rsidRPr="006F6A67" w:rsidRDefault="006F6A67" w:rsidP="00980876">
      <w:pPr>
        <w:widowControl w:val="0"/>
        <w:numPr>
          <w:ilvl w:val="0"/>
          <w:numId w:val="762"/>
        </w:numPr>
        <w:spacing w:before="120" w:after="120" w:line="240" w:lineRule="auto"/>
        <w:ind w:left="426" w:hanging="142"/>
        <w:contextualSpacing/>
        <w:jc w:val="both"/>
        <w:rPr>
          <w:rFonts w:ascii="Times New Roman" w:eastAsia="Times New Roman" w:hAnsi="Times New Roman" w:cs="Times New Roman"/>
          <w:bCs/>
        </w:rPr>
      </w:pPr>
      <w:r w:rsidRPr="006F6A67">
        <w:rPr>
          <w:rFonts w:ascii="Times New Roman" w:eastAsia="Times New Roman" w:hAnsi="Times New Roman" w:cs="Times New Roman"/>
          <w:b/>
          <w:bCs/>
        </w:rPr>
        <w:t>Elérendő kompetenciák (magyarul):</w:t>
      </w:r>
      <w:r w:rsidRPr="006F6A67">
        <w:rPr>
          <w:rFonts w:ascii="Times New Roman" w:eastAsia="Times New Roman" w:hAnsi="Times New Roman" w:cs="Times New Roman"/>
          <w:bCs/>
        </w:rPr>
        <w:t xml:space="preserve"> </w:t>
      </w:r>
    </w:p>
    <w:p w:rsidR="006F6A67" w:rsidRPr="006F6A67" w:rsidRDefault="006F6A67" w:rsidP="006F6A67">
      <w:pPr>
        <w:widowControl w:val="0"/>
        <w:spacing w:after="0" w:line="240" w:lineRule="auto"/>
        <w:ind w:left="425"/>
        <w:jc w:val="both"/>
        <w:rPr>
          <w:rFonts w:ascii="Times New Roman" w:eastAsia="Times New Roman" w:hAnsi="Times New Roman" w:cs="Times New Roman"/>
          <w:bCs/>
        </w:rPr>
      </w:pPr>
      <w:r w:rsidRPr="006F6A67">
        <w:rPr>
          <w:rFonts w:ascii="Times New Roman" w:eastAsia="Times New Roman" w:hAnsi="Times New Roman" w:cs="Times New Roman"/>
          <w:b/>
          <w:bCs/>
        </w:rPr>
        <w:t>Tudása:</w:t>
      </w:r>
    </w:p>
    <w:p w:rsidR="006F6A67" w:rsidRPr="006F6A67" w:rsidRDefault="006F6A67" w:rsidP="006F6A67">
      <w:pPr>
        <w:widowControl w:val="0"/>
        <w:spacing w:before="120" w:after="120" w:line="240" w:lineRule="auto"/>
        <w:ind w:left="993" w:hanging="360"/>
        <w:contextualSpacing/>
        <w:jc w:val="both"/>
        <w:rPr>
          <w:rFonts w:ascii="Times New Roman" w:eastAsia="Times New Roman" w:hAnsi="Times New Roman" w:cs="Times New Roman"/>
          <w:bCs/>
        </w:rPr>
      </w:pPr>
      <w:r w:rsidRPr="006F6A67">
        <w:rPr>
          <w:rFonts w:ascii="Times New Roman" w:eastAsia="Times New Roman" w:hAnsi="Times New Roman" w:cs="Times New Roman"/>
          <w:bCs/>
        </w:rPr>
        <w:t>-</w:t>
      </w:r>
      <w:r w:rsidRPr="006F6A67">
        <w:rPr>
          <w:rFonts w:ascii="Times New Roman" w:eastAsia="Times New Roman" w:hAnsi="Times New Roman" w:cs="Times New Roman"/>
          <w:bCs/>
        </w:rPr>
        <w:tab/>
        <w:t>A hallgató tudása kiterjed az alkotmányos rendszer ismeretére, valamint a kormányzati eszközrendszerre.</w:t>
      </w:r>
    </w:p>
    <w:p w:rsidR="006F6A67" w:rsidRPr="006F6A67" w:rsidRDefault="006F6A67" w:rsidP="006F6A67">
      <w:pPr>
        <w:widowControl w:val="0"/>
        <w:spacing w:before="240" w:after="0" w:line="240" w:lineRule="auto"/>
        <w:ind w:left="425"/>
        <w:jc w:val="both"/>
        <w:rPr>
          <w:rFonts w:ascii="Times New Roman" w:eastAsia="Times New Roman" w:hAnsi="Times New Roman" w:cs="Times New Roman"/>
          <w:bCs/>
        </w:rPr>
      </w:pPr>
      <w:r w:rsidRPr="006F6A67">
        <w:rPr>
          <w:rFonts w:ascii="Times New Roman" w:eastAsia="Times New Roman" w:hAnsi="Times New Roman" w:cs="Times New Roman"/>
          <w:b/>
          <w:bCs/>
        </w:rPr>
        <w:t>Képességei:</w:t>
      </w:r>
      <w:r w:rsidRPr="006F6A67">
        <w:rPr>
          <w:rFonts w:ascii="Times New Roman" w:eastAsia="Times New Roman" w:hAnsi="Times New Roman" w:cs="Times New Roman"/>
          <w:bCs/>
        </w:rPr>
        <w:t xml:space="preserve"> </w:t>
      </w:r>
    </w:p>
    <w:p w:rsidR="006F6A67" w:rsidRPr="006F6A67" w:rsidRDefault="006F6A67" w:rsidP="006F6A67">
      <w:pPr>
        <w:widowControl w:val="0"/>
        <w:spacing w:before="120" w:after="120" w:line="240" w:lineRule="auto"/>
        <w:ind w:left="993" w:hanging="360"/>
        <w:contextualSpacing/>
        <w:jc w:val="both"/>
        <w:rPr>
          <w:rFonts w:ascii="Times New Roman" w:eastAsia="Times New Roman" w:hAnsi="Times New Roman" w:cs="Times New Roman"/>
          <w:bCs/>
        </w:rPr>
      </w:pPr>
      <w:r w:rsidRPr="006F6A67">
        <w:rPr>
          <w:rFonts w:ascii="Times New Roman" w:eastAsia="Times New Roman" w:hAnsi="Times New Roman" w:cs="Times New Roman"/>
          <w:bCs/>
        </w:rPr>
        <w:t>-</w:t>
      </w:r>
      <w:r w:rsidRPr="006F6A67">
        <w:rPr>
          <w:rFonts w:ascii="Times New Roman" w:eastAsia="Times New Roman" w:hAnsi="Times New Roman" w:cs="Times New Roman"/>
          <w:bCs/>
        </w:rPr>
        <w:tab/>
        <w:t>A hallgató képes a stratégiai gondolkodásra, az állami és közigazgatási működés jelenségeinek elemzésére, a közigazgatási és kormányzati döntés-előkészítő és döntéshozó feladatok ellátására, döntési javaslatok kidolgozásához szükséges probléma- és megoldáselemzésre.</w:t>
      </w:r>
    </w:p>
    <w:p w:rsidR="006F6A67" w:rsidRPr="006F6A67" w:rsidRDefault="006F6A67" w:rsidP="006F6A67">
      <w:pPr>
        <w:widowControl w:val="0"/>
        <w:spacing w:before="240" w:after="0" w:line="240" w:lineRule="auto"/>
        <w:ind w:left="425"/>
        <w:jc w:val="both"/>
        <w:rPr>
          <w:rFonts w:ascii="Times New Roman" w:eastAsia="Times New Roman" w:hAnsi="Times New Roman" w:cs="Times New Roman"/>
          <w:bCs/>
        </w:rPr>
      </w:pPr>
      <w:r w:rsidRPr="006F6A67">
        <w:rPr>
          <w:rFonts w:ascii="Times New Roman" w:eastAsia="Times New Roman" w:hAnsi="Times New Roman" w:cs="Times New Roman"/>
          <w:b/>
          <w:bCs/>
        </w:rPr>
        <w:lastRenderedPageBreak/>
        <w:t>Attitűdje:</w:t>
      </w:r>
      <w:r w:rsidRPr="006F6A67">
        <w:rPr>
          <w:rFonts w:ascii="Times New Roman" w:eastAsia="Times New Roman" w:hAnsi="Times New Roman" w:cs="Times New Roman"/>
          <w:bCs/>
        </w:rPr>
        <w:t xml:space="preserve"> </w:t>
      </w:r>
    </w:p>
    <w:p w:rsidR="006F6A67" w:rsidRPr="006F6A67" w:rsidRDefault="006F6A67" w:rsidP="006F6A67">
      <w:pPr>
        <w:widowControl w:val="0"/>
        <w:spacing w:before="120" w:after="120" w:line="240" w:lineRule="auto"/>
        <w:ind w:left="993" w:hanging="360"/>
        <w:contextualSpacing/>
        <w:jc w:val="both"/>
        <w:rPr>
          <w:rFonts w:ascii="Times New Roman" w:eastAsia="Times New Roman" w:hAnsi="Times New Roman" w:cs="Times New Roman"/>
          <w:bCs/>
        </w:rPr>
      </w:pPr>
      <w:r w:rsidRPr="006F6A67">
        <w:rPr>
          <w:rFonts w:ascii="Times New Roman" w:eastAsia="Times New Roman" w:hAnsi="Times New Roman" w:cs="Times New Roman"/>
          <w:bCs/>
        </w:rPr>
        <w:t>-</w:t>
      </w:r>
      <w:r w:rsidRPr="006F6A67">
        <w:rPr>
          <w:rFonts w:ascii="Times New Roman" w:eastAsia="Times New Roman" w:hAnsi="Times New Roman" w:cs="Times New Roman"/>
          <w:bCs/>
        </w:rPr>
        <w:tab/>
        <w:t>Attitűdjét a társadalmi és természeti környezettel és igényekkel szembeni érzékenység jellemzi, továbbá elkötelezett és igényes a minőségi munka iránt.</w:t>
      </w:r>
    </w:p>
    <w:p w:rsidR="006F6A67" w:rsidRPr="006F6A67" w:rsidRDefault="006F6A67" w:rsidP="006F6A67">
      <w:pPr>
        <w:widowControl w:val="0"/>
        <w:spacing w:before="240" w:after="0" w:line="240" w:lineRule="auto"/>
        <w:ind w:left="425"/>
        <w:jc w:val="both"/>
        <w:rPr>
          <w:rFonts w:ascii="Times New Roman" w:eastAsia="Times New Roman" w:hAnsi="Times New Roman" w:cs="Times New Roman"/>
          <w:bCs/>
        </w:rPr>
      </w:pPr>
      <w:r w:rsidRPr="006F6A67">
        <w:rPr>
          <w:rFonts w:ascii="Times New Roman" w:eastAsia="Times New Roman" w:hAnsi="Times New Roman" w:cs="Times New Roman"/>
          <w:b/>
          <w:bCs/>
        </w:rPr>
        <w:t>Autonómiája és felelőssége:</w:t>
      </w:r>
    </w:p>
    <w:p w:rsidR="006F6A67" w:rsidRPr="006F6A67" w:rsidRDefault="006F6A67" w:rsidP="006F6A67">
      <w:pPr>
        <w:widowControl w:val="0"/>
        <w:spacing w:before="120" w:after="120" w:line="240" w:lineRule="auto"/>
        <w:ind w:left="993" w:hanging="360"/>
        <w:contextualSpacing/>
        <w:jc w:val="both"/>
        <w:rPr>
          <w:rFonts w:ascii="Times New Roman" w:eastAsia="Times New Roman" w:hAnsi="Times New Roman" w:cs="Times New Roman"/>
          <w:bCs/>
        </w:rPr>
      </w:pPr>
      <w:r w:rsidRPr="006F6A67">
        <w:rPr>
          <w:rFonts w:ascii="Times New Roman" w:eastAsia="Times New Roman" w:hAnsi="Times New Roman" w:cs="Times New Roman"/>
          <w:bCs/>
        </w:rPr>
        <w:t>-</w:t>
      </w:r>
      <w:r w:rsidRPr="006F6A67">
        <w:rPr>
          <w:rFonts w:ascii="Times New Roman" w:eastAsia="Times New Roman" w:hAnsi="Times New Roman" w:cs="Times New Roman"/>
          <w:bCs/>
        </w:rPr>
        <w:tab/>
        <w:t>Felelősséget érez a közhatalmi tevékenységgel járó munka és a beosztottak által végzett feladatok minősége és következményei iránt.</w:t>
      </w:r>
    </w:p>
    <w:p w:rsidR="006F6A67" w:rsidRPr="006F6A67" w:rsidRDefault="006F6A67" w:rsidP="006F6A67">
      <w:pPr>
        <w:widowControl w:val="0"/>
        <w:spacing w:before="240" w:after="0" w:line="240" w:lineRule="auto"/>
        <w:ind w:left="425"/>
        <w:jc w:val="both"/>
        <w:rPr>
          <w:rFonts w:ascii="Times New Roman" w:eastAsia="Times New Roman" w:hAnsi="Times New Roman" w:cs="Times New Roman"/>
          <w:b/>
          <w:bCs/>
          <w:lang w:val="en-US"/>
        </w:rPr>
      </w:pPr>
      <w:r w:rsidRPr="006F6A67">
        <w:rPr>
          <w:rFonts w:ascii="Times New Roman" w:eastAsia="Times New Roman" w:hAnsi="Times New Roman" w:cs="Times New Roman"/>
          <w:b/>
          <w:bCs/>
        </w:rPr>
        <w:t>Elérendő kompetenciák (angolul) (</w:t>
      </w:r>
      <w:r w:rsidRPr="006F6A67">
        <w:rPr>
          <w:rFonts w:ascii="Times New Roman" w:eastAsia="Times New Roman" w:hAnsi="Times New Roman" w:cs="Times New Roman"/>
          <w:b/>
          <w:bCs/>
          <w:lang w:val="en-US"/>
        </w:rPr>
        <w:t xml:space="preserve">Competences – English): </w:t>
      </w:r>
    </w:p>
    <w:p w:rsidR="006F6A67" w:rsidRPr="006F6A67" w:rsidRDefault="006F6A67" w:rsidP="006F6A67">
      <w:pPr>
        <w:widowControl w:val="0"/>
        <w:spacing w:before="120" w:after="0" w:line="240" w:lineRule="auto"/>
        <w:ind w:left="425"/>
        <w:jc w:val="both"/>
        <w:rPr>
          <w:rFonts w:ascii="Times New Roman" w:eastAsia="Times New Roman" w:hAnsi="Times New Roman" w:cs="Times New Roman"/>
          <w:lang w:val="en-GB"/>
        </w:rPr>
      </w:pPr>
      <w:r w:rsidRPr="006F6A67">
        <w:rPr>
          <w:rFonts w:ascii="Times New Roman" w:eastAsia="Times New Roman" w:hAnsi="Times New Roman" w:cs="Times New Roman"/>
          <w:b/>
          <w:lang w:val="en-GB"/>
        </w:rPr>
        <w:t>Knowledge</w:t>
      </w:r>
      <w:r w:rsidRPr="006F6A67">
        <w:rPr>
          <w:rFonts w:ascii="Times New Roman" w:eastAsia="Times New Roman" w:hAnsi="Times New Roman" w:cs="Times New Roman"/>
          <w:lang w:val="en-GB"/>
        </w:rPr>
        <w:t xml:space="preserve">: </w:t>
      </w:r>
    </w:p>
    <w:p w:rsidR="006F6A67" w:rsidRPr="006F6A67" w:rsidRDefault="006F6A67" w:rsidP="006F6A67">
      <w:pPr>
        <w:widowControl w:val="0"/>
        <w:spacing w:before="120" w:after="120" w:line="240" w:lineRule="auto"/>
        <w:ind w:left="993" w:hanging="360"/>
        <w:contextualSpacing/>
        <w:jc w:val="both"/>
        <w:rPr>
          <w:rFonts w:ascii="Times New Roman" w:eastAsia="Times New Roman" w:hAnsi="Times New Roman" w:cs="Times New Roman"/>
          <w:bCs/>
        </w:rPr>
      </w:pPr>
      <w:r w:rsidRPr="006F6A67">
        <w:rPr>
          <w:rFonts w:ascii="Times New Roman" w:eastAsia="Times New Roman" w:hAnsi="Times New Roman" w:cs="Times New Roman"/>
          <w:bCs/>
        </w:rPr>
        <w:t>-</w:t>
      </w:r>
      <w:r w:rsidRPr="006F6A67">
        <w:rPr>
          <w:rFonts w:ascii="Times New Roman" w:eastAsia="Times New Roman" w:hAnsi="Times New Roman" w:cs="Times New Roman"/>
          <w:bCs/>
        </w:rPr>
        <w:tab/>
        <w:t>The student is familiar with system of constitution and the system of governmental instruments and the strategic tools of efficient public administration development.</w:t>
      </w:r>
    </w:p>
    <w:p w:rsidR="006F6A67" w:rsidRPr="006F6A67" w:rsidRDefault="006F6A67" w:rsidP="006F6A67">
      <w:pPr>
        <w:widowControl w:val="0"/>
        <w:spacing w:before="240" w:after="0" w:line="240" w:lineRule="auto"/>
        <w:ind w:left="425"/>
        <w:jc w:val="both"/>
        <w:rPr>
          <w:rFonts w:ascii="Times New Roman" w:eastAsia="Times New Roman" w:hAnsi="Times New Roman" w:cs="Times New Roman"/>
          <w:lang w:val="en-GB"/>
        </w:rPr>
      </w:pPr>
      <w:r w:rsidRPr="006F6A67">
        <w:rPr>
          <w:rFonts w:ascii="Times New Roman" w:eastAsia="Times New Roman" w:hAnsi="Times New Roman" w:cs="Times New Roman"/>
          <w:b/>
          <w:lang w:val="en-GB"/>
        </w:rPr>
        <w:t>Capabilities</w:t>
      </w:r>
      <w:r w:rsidRPr="006F6A67">
        <w:rPr>
          <w:rFonts w:ascii="Times New Roman" w:eastAsia="Times New Roman" w:hAnsi="Times New Roman" w:cs="Times New Roman"/>
          <w:lang w:val="en-GB"/>
        </w:rPr>
        <w:t xml:space="preserve">: </w:t>
      </w:r>
    </w:p>
    <w:p w:rsidR="006F6A67" w:rsidRPr="006F6A67" w:rsidRDefault="006F6A67" w:rsidP="006F6A67">
      <w:pPr>
        <w:widowControl w:val="0"/>
        <w:spacing w:before="120" w:after="120" w:line="240" w:lineRule="auto"/>
        <w:ind w:left="993" w:hanging="360"/>
        <w:contextualSpacing/>
        <w:jc w:val="both"/>
        <w:rPr>
          <w:rFonts w:ascii="Times New Roman" w:eastAsia="Times New Roman" w:hAnsi="Times New Roman" w:cs="Times New Roman"/>
          <w:bCs/>
        </w:rPr>
      </w:pPr>
      <w:r w:rsidRPr="006F6A67">
        <w:rPr>
          <w:rFonts w:ascii="Times New Roman" w:eastAsia="Times New Roman" w:hAnsi="Times New Roman" w:cs="Times New Roman"/>
          <w:bCs/>
        </w:rPr>
        <w:t>-</w:t>
      </w:r>
      <w:r w:rsidRPr="006F6A67">
        <w:rPr>
          <w:rFonts w:ascii="Times New Roman" w:eastAsia="Times New Roman" w:hAnsi="Times New Roman" w:cs="Times New Roman"/>
          <w:bCs/>
        </w:rPr>
        <w:tab/>
        <w:t>The student is capable of strategic thinking, analysis of phenomena in state and public administration, preparing and making decisions in public administration and governance and problem and solution analysis necessary for creating proposals.</w:t>
      </w:r>
    </w:p>
    <w:p w:rsidR="006F6A67" w:rsidRPr="006F6A67" w:rsidRDefault="006F6A67" w:rsidP="006F6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ind w:left="425"/>
        <w:jc w:val="both"/>
        <w:rPr>
          <w:rFonts w:ascii="Times New Roman" w:eastAsia="Times New Roman" w:hAnsi="Times New Roman" w:cs="Times New Roman"/>
          <w:lang w:val="en-GB"/>
        </w:rPr>
      </w:pPr>
      <w:r w:rsidRPr="006F6A67">
        <w:rPr>
          <w:rFonts w:ascii="Times New Roman" w:eastAsia="Times New Roman" w:hAnsi="Times New Roman" w:cs="Times New Roman"/>
          <w:b/>
          <w:lang w:val="en-GB"/>
        </w:rPr>
        <w:t>Attitude:</w:t>
      </w:r>
      <w:r w:rsidRPr="006F6A67">
        <w:rPr>
          <w:rFonts w:ascii="Times New Roman" w:eastAsia="Times New Roman" w:hAnsi="Times New Roman" w:cs="Times New Roman"/>
          <w:lang w:val="en-GB"/>
        </w:rPr>
        <w:t xml:space="preserve"> </w:t>
      </w:r>
    </w:p>
    <w:p w:rsidR="006F6A67" w:rsidRPr="006F6A67" w:rsidRDefault="006F6A67" w:rsidP="006F6A67">
      <w:pPr>
        <w:widowControl w:val="0"/>
        <w:spacing w:before="120" w:after="120" w:line="240" w:lineRule="auto"/>
        <w:ind w:left="993" w:hanging="360"/>
        <w:contextualSpacing/>
        <w:jc w:val="both"/>
        <w:rPr>
          <w:rFonts w:ascii="Times New Roman" w:eastAsia="Times New Roman" w:hAnsi="Times New Roman" w:cs="Times New Roman"/>
          <w:bCs/>
        </w:rPr>
      </w:pPr>
      <w:r w:rsidRPr="006F6A67">
        <w:rPr>
          <w:rFonts w:ascii="Times New Roman" w:eastAsia="Times New Roman" w:hAnsi="Times New Roman" w:cs="Times New Roman"/>
          <w:bCs/>
        </w:rPr>
        <w:t>-</w:t>
      </w:r>
      <w:r w:rsidRPr="006F6A67">
        <w:rPr>
          <w:rFonts w:ascii="Times New Roman" w:eastAsia="Times New Roman" w:hAnsi="Times New Roman" w:cs="Times New Roman"/>
          <w:bCs/>
        </w:rPr>
        <w:tab/>
        <w:t>The student's personal attitude is characterized by a need for life-long learning and continuous professional development.</w:t>
      </w:r>
    </w:p>
    <w:p w:rsidR="006F6A67" w:rsidRPr="006F6A67" w:rsidRDefault="006F6A67" w:rsidP="006F6A67">
      <w:pPr>
        <w:widowControl w:val="0"/>
        <w:spacing w:before="240" w:after="0" w:line="240" w:lineRule="auto"/>
        <w:ind w:left="425"/>
        <w:jc w:val="both"/>
        <w:rPr>
          <w:rFonts w:ascii="Times New Roman" w:eastAsia="Times New Roman" w:hAnsi="Times New Roman" w:cs="Times New Roman"/>
          <w:bCs/>
        </w:rPr>
      </w:pPr>
      <w:r w:rsidRPr="006F6A67">
        <w:rPr>
          <w:rFonts w:ascii="Times New Roman" w:eastAsia="Times New Roman" w:hAnsi="Times New Roman" w:cs="Times New Roman"/>
          <w:b/>
          <w:lang w:val="en-GB"/>
        </w:rPr>
        <w:t xml:space="preserve">Autonomy and responsibility: </w:t>
      </w:r>
    </w:p>
    <w:p w:rsidR="006F6A67" w:rsidRPr="006F6A67" w:rsidRDefault="006F6A67" w:rsidP="006F6A67">
      <w:pPr>
        <w:widowControl w:val="0"/>
        <w:spacing w:before="120" w:after="120" w:line="240" w:lineRule="auto"/>
        <w:ind w:left="993" w:hanging="360"/>
        <w:contextualSpacing/>
        <w:jc w:val="both"/>
        <w:rPr>
          <w:rFonts w:ascii="Times New Roman" w:eastAsia="Times New Roman" w:hAnsi="Times New Roman" w:cs="Times New Roman"/>
          <w:bCs/>
        </w:rPr>
      </w:pPr>
      <w:r w:rsidRPr="006F6A67">
        <w:rPr>
          <w:rFonts w:ascii="Times New Roman" w:eastAsia="Times New Roman" w:hAnsi="Times New Roman" w:cs="Times New Roman"/>
          <w:bCs/>
        </w:rPr>
        <w:t>-</w:t>
      </w:r>
      <w:r w:rsidRPr="006F6A67">
        <w:rPr>
          <w:rFonts w:ascii="Times New Roman" w:eastAsia="Times New Roman" w:hAnsi="Times New Roman" w:cs="Times New Roman"/>
          <w:bCs/>
        </w:rPr>
        <w:tab/>
        <w:t>For exercising public power and for the quality and consequences of tasks performed by employees.</w:t>
      </w:r>
    </w:p>
    <w:p w:rsidR="006F6A67" w:rsidRPr="006F6A67" w:rsidRDefault="006F6A67" w:rsidP="00980876">
      <w:pPr>
        <w:widowControl w:val="0"/>
        <w:numPr>
          <w:ilvl w:val="0"/>
          <w:numId w:val="762"/>
        </w:numPr>
        <w:tabs>
          <w:tab w:val="num" w:pos="567"/>
        </w:tabs>
        <w:spacing w:before="120" w:after="120" w:line="240" w:lineRule="auto"/>
        <w:ind w:left="426" w:hanging="142"/>
        <w:jc w:val="both"/>
        <w:rPr>
          <w:rFonts w:ascii="Times New Roman" w:eastAsia="Times New Roman" w:hAnsi="Times New Roman" w:cs="Times New Roman"/>
          <w:bCs/>
        </w:rPr>
      </w:pPr>
      <w:r w:rsidRPr="006F6A67">
        <w:rPr>
          <w:rFonts w:ascii="Times New Roman" w:eastAsia="Times New Roman" w:hAnsi="Times New Roman" w:cs="Times New Roman"/>
          <w:b/>
          <w:bCs/>
        </w:rPr>
        <w:t xml:space="preserve">Előtanulmányi követelmények: </w:t>
      </w:r>
      <w:r w:rsidRPr="006F6A67">
        <w:rPr>
          <w:rFonts w:ascii="Times New Roman" w:eastAsia="Times New Roman" w:hAnsi="Times New Roman" w:cs="Times New Roman"/>
          <w:bCs/>
        </w:rPr>
        <w:t xml:space="preserve"> Nincs</w:t>
      </w:r>
    </w:p>
    <w:p w:rsidR="006F6A67" w:rsidRPr="006F6A67" w:rsidRDefault="006F6A67" w:rsidP="00980876">
      <w:pPr>
        <w:widowControl w:val="0"/>
        <w:numPr>
          <w:ilvl w:val="0"/>
          <w:numId w:val="762"/>
        </w:numPr>
        <w:spacing w:before="120" w:after="120" w:line="240" w:lineRule="auto"/>
        <w:ind w:left="426" w:hanging="142"/>
        <w:jc w:val="both"/>
        <w:rPr>
          <w:rFonts w:ascii="Times New Roman" w:eastAsia="Times New Roman" w:hAnsi="Times New Roman" w:cs="Times New Roman"/>
          <w:b/>
          <w:bCs/>
        </w:rPr>
      </w:pPr>
      <w:r w:rsidRPr="006F6A67">
        <w:rPr>
          <w:rFonts w:ascii="Times New Roman" w:eastAsia="Times New Roman" w:hAnsi="Times New Roman" w:cs="Times New Roman"/>
          <w:b/>
          <w:bCs/>
        </w:rPr>
        <w:t>A tantárgy tananyagának leírása, tematika. Description of the subject, curriculum (magyarul, angolul - English):</w:t>
      </w:r>
    </w:p>
    <w:p w:rsidR="006F6A67" w:rsidRPr="006F6A67" w:rsidRDefault="006F6A67" w:rsidP="00980876">
      <w:pPr>
        <w:widowControl w:val="0"/>
        <w:numPr>
          <w:ilvl w:val="1"/>
          <w:numId w:val="762"/>
        </w:numPr>
        <w:tabs>
          <w:tab w:val="clear" w:pos="3977"/>
        </w:tabs>
        <w:spacing w:after="60" w:line="240" w:lineRule="auto"/>
        <w:ind w:left="709" w:hanging="573"/>
        <w:jc w:val="both"/>
        <w:rPr>
          <w:rFonts w:ascii="Times New Roman" w:eastAsia="Times New Roman" w:hAnsi="Times New Roman" w:cs="Times New Roman"/>
          <w:i/>
          <w:kern w:val="2"/>
        </w:rPr>
      </w:pPr>
      <w:r w:rsidRPr="006F6A67">
        <w:rPr>
          <w:rFonts w:ascii="Times New Roman" w:eastAsia="Times New Roman" w:hAnsi="Times New Roman" w:cs="Times New Roman"/>
          <w:kern w:val="2"/>
        </w:rPr>
        <w:t xml:space="preserve">Bevezetés az alkotmányjogba. Fogalma, tárgya, forrásai. </w:t>
      </w:r>
      <w:r w:rsidRPr="006F6A67">
        <w:rPr>
          <w:rFonts w:ascii="Times New Roman" w:eastAsia="Times New Roman" w:hAnsi="Times New Roman" w:cs="Times New Roman"/>
          <w:i/>
          <w:kern w:val="2"/>
        </w:rPr>
        <w:t>(Introduction to the constitutional law. Notion, object, sources)</w:t>
      </w:r>
    </w:p>
    <w:p w:rsidR="006F6A67" w:rsidRPr="006F6A67" w:rsidRDefault="006F6A67" w:rsidP="00980876">
      <w:pPr>
        <w:widowControl w:val="0"/>
        <w:numPr>
          <w:ilvl w:val="1"/>
          <w:numId w:val="762"/>
        </w:numPr>
        <w:tabs>
          <w:tab w:val="clear" w:pos="3977"/>
        </w:tabs>
        <w:spacing w:after="60" w:line="240" w:lineRule="auto"/>
        <w:ind w:left="709" w:hanging="573"/>
        <w:jc w:val="both"/>
        <w:rPr>
          <w:rFonts w:ascii="Times New Roman" w:eastAsia="Times New Roman" w:hAnsi="Times New Roman" w:cs="Times New Roman"/>
          <w:kern w:val="2"/>
        </w:rPr>
      </w:pPr>
      <w:r w:rsidRPr="006F6A67">
        <w:rPr>
          <w:rFonts w:ascii="Times New Roman" w:eastAsia="Times New Roman" w:hAnsi="Times New Roman" w:cs="Times New Roman"/>
          <w:kern w:val="2"/>
        </w:rPr>
        <w:t xml:space="preserve">A modern magyar alkotmányos fejlődés sajátosságai. Az írott (chartális) alkotmányok és a történeti alkotmány. Az Alaptörvény születése és szerkezete </w:t>
      </w:r>
      <w:r w:rsidRPr="006F6A67">
        <w:rPr>
          <w:rFonts w:ascii="Times New Roman" w:eastAsia="Times New Roman" w:hAnsi="Times New Roman" w:cs="Times New Roman"/>
          <w:i/>
          <w:kern w:val="2"/>
        </w:rPr>
        <w:t>(The modern Hungarian constitutional development. The written (chartal) constitutions and historical (organic) constitution. Creation of Fundamental Law of Hungary, its structure)</w:t>
      </w:r>
    </w:p>
    <w:p w:rsidR="006F6A67" w:rsidRPr="006F6A67" w:rsidRDefault="006F6A67" w:rsidP="00980876">
      <w:pPr>
        <w:widowControl w:val="0"/>
        <w:numPr>
          <w:ilvl w:val="1"/>
          <w:numId w:val="762"/>
        </w:numPr>
        <w:tabs>
          <w:tab w:val="clear" w:pos="3977"/>
        </w:tabs>
        <w:spacing w:after="60" w:line="240" w:lineRule="auto"/>
        <w:ind w:left="709" w:hanging="573"/>
        <w:jc w:val="both"/>
        <w:rPr>
          <w:rFonts w:ascii="Times New Roman" w:eastAsia="Times New Roman" w:hAnsi="Times New Roman" w:cs="Times New Roman"/>
          <w:kern w:val="2"/>
        </w:rPr>
      </w:pPr>
      <w:r w:rsidRPr="006F6A67">
        <w:rPr>
          <w:rFonts w:ascii="Times New Roman" w:eastAsia="Times New Roman" w:hAnsi="Times New Roman" w:cs="Times New Roman"/>
          <w:kern w:val="2"/>
        </w:rPr>
        <w:t xml:space="preserve">Az államok felépítése (egységes államok, föderációk, konföderációk, regionális államok). Az államforma és a kormányforma kérdése. </w:t>
      </w:r>
      <w:r w:rsidRPr="006F6A67">
        <w:rPr>
          <w:rFonts w:ascii="Times New Roman" w:eastAsia="Times New Roman" w:hAnsi="Times New Roman" w:cs="Times New Roman"/>
          <w:i/>
          <w:kern w:val="2"/>
        </w:rPr>
        <w:t>(State structure: unitary states, federations, confederations and regional states. Forms of State and governmental systems)</w:t>
      </w:r>
    </w:p>
    <w:p w:rsidR="006F6A67" w:rsidRPr="006F6A67" w:rsidRDefault="006F6A67" w:rsidP="00980876">
      <w:pPr>
        <w:widowControl w:val="0"/>
        <w:numPr>
          <w:ilvl w:val="1"/>
          <w:numId w:val="762"/>
        </w:numPr>
        <w:tabs>
          <w:tab w:val="clear" w:pos="3977"/>
        </w:tabs>
        <w:spacing w:after="60" w:line="240" w:lineRule="auto"/>
        <w:ind w:left="709" w:hanging="573"/>
        <w:jc w:val="both"/>
        <w:rPr>
          <w:rFonts w:ascii="Times New Roman" w:eastAsia="Times New Roman" w:hAnsi="Times New Roman" w:cs="Times New Roman"/>
          <w:kern w:val="2"/>
        </w:rPr>
      </w:pPr>
      <w:r w:rsidRPr="006F6A67">
        <w:rPr>
          <w:rFonts w:ascii="Times New Roman" w:eastAsia="Times New Roman" w:hAnsi="Times New Roman" w:cs="Times New Roman"/>
          <w:kern w:val="2"/>
        </w:rPr>
        <w:t xml:space="preserve">A modern alkotmányjog alapelvei (jogállamiság, hatalommegosztás, szuverenitás, szabad választások, emberi jogok tisztelete stb.) </w:t>
      </w:r>
      <w:r w:rsidRPr="006F6A67">
        <w:rPr>
          <w:rFonts w:ascii="Times New Roman" w:eastAsia="Times New Roman" w:hAnsi="Times New Roman" w:cs="Times New Roman"/>
          <w:i/>
          <w:kern w:val="2"/>
        </w:rPr>
        <w:t>(The main principles of modern constitutional law (rule of law, separation of powers, sovereignity, free elections respect to the human rights etc.))</w:t>
      </w:r>
    </w:p>
    <w:p w:rsidR="006F6A67" w:rsidRPr="006F6A67" w:rsidRDefault="006F6A67" w:rsidP="00980876">
      <w:pPr>
        <w:widowControl w:val="0"/>
        <w:numPr>
          <w:ilvl w:val="1"/>
          <w:numId w:val="762"/>
        </w:numPr>
        <w:tabs>
          <w:tab w:val="clear" w:pos="3977"/>
        </w:tabs>
        <w:spacing w:after="60" w:line="240" w:lineRule="auto"/>
        <w:ind w:left="709" w:hanging="573"/>
        <w:jc w:val="both"/>
        <w:rPr>
          <w:rFonts w:ascii="Times New Roman" w:eastAsia="Times New Roman" w:hAnsi="Times New Roman" w:cs="Times New Roman"/>
          <w:kern w:val="2"/>
        </w:rPr>
      </w:pPr>
      <w:r w:rsidRPr="006F6A67">
        <w:rPr>
          <w:rFonts w:ascii="Times New Roman" w:eastAsia="Times New Roman" w:hAnsi="Times New Roman" w:cs="Times New Roman"/>
          <w:kern w:val="2"/>
        </w:rPr>
        <w:t xml:space="preserve">A magyar állam szerkezete I. (Országgyűlés, államfő, kormány, önkormányzatok) </w:t>
      </w:r>
      <w:r w:rsidRPr="006F6A67">
        <w:rPr>
          <w:rFonts w:ascii="Times New Roman" w:eastAsia="Times New Roman" w:hAnsi="Times New Roman" w:cs="Times New Roman"/>
          <w:i/>
          <w:kern w:val="2"/>
        </w:rPr>
        <w:t>(Structure of the Hungarian state I. (Parliament, head of state, government, self-governments))</w:t>
      </w:r>
    </w:p>
    <w:p w:rsidR="006F6A67" w:rsidRPr="006F6A67" w:rsidRDefault="006F6A67" w:rsidP="00980876">
      <w:pPr>
        <w:widowControl w:val="0"/>
        <w:numPr>
          <w:ilvl w:val="1"/>
          <w:numId w:val="762"/>
        </w:numPr>
        <w:tabs>
          <w:tab w:val="clear" w:pos="3977"/>
        </w:tabs>
        <w:spacing w:after="60" w:line="240" w:lineRule="auto"/>
        <w:ind w:left="709" w:hanging="573"/>
        <w:jc w:val="both"/>
        <w:rPr>
          <w:rFonts w:ascii="Times New Roman" w:eastAsia="Times New Roman" w:hAnsi="Times New Roman" w:cs="Times New Roman"/>
          <w:kern w:val="2"/>
        </w:rPr>
      </w:pPr>
      <w:r w:rsidRPr="006F6A67">
        <w:rPr>
          <w:rFonts w:ascii="Times New Roman" w:eastAsia="Times New Roman" w:hAnsi="Times New Roman" w:cs="Times New Roman"/>
          <w:kern w:val="2"/>
        </w:rPr>
        <w:t xml:space="preserve">A magyar állam szerkezete II. (Alkotmánybíróság, ombudsman, igazságszolgáltatási rendszer stb.) </w:t>
      </w:r>
      <w:r w:rsidRPr="006F6A67">
        <w:rPr>
          <w:rFonts w:ascii="Times New Roman" w:eastAsia="Times New Roman" w:hAnsi="Times New Roman" w:cs="Times New Roman"/>
          <w:i/>
          <w:kern w:val="2"/>
        </w:rPr>
        <w:t>(Structure of the Hungarian state II. (Constitutional Court, ombudsman, system of justice etc.))</w:t>
      </w:r>
    </w:p>
    <w:p w:rsidR="006F6A67" w:rsidRPr="006F6A67" w:rsidRDefault="006F6A67" w:rsidP="00980876">
      <w:pPr>
        <w:widowControl w:val="0"/>
        <w:numPr>
          <w:ilvl w:val="1"/>
          <w:numId w:val="762"/>
        </w:numPr>
        <w:tabs>
          <w:tab w:val="clear" w:pos="3977"/>
        </w:tabs>
        <w:spacing w:after="60" w:line="240" w:lineRule="auto"/>
        <w:ind w:left="709" w:hanging="573"/>
        <w:jc w:val="both"/>
        <w:rPr>
          <w:rFonts w:ascii="Times New Roman" w:eastAsia="Times New Roman" w:hAnsi="Times New Roman" w:cs="Times New Roman"/>
          <w:kern w:val="2"/>
        </w:rPr>
      </w:pPr>
      <w:r w:rsidRPr="006F6A67">
        <w:rPr>
          <w:rFonts w:ascii="Times New Roman" w:eastAsia="Times New Roman" w:hAnsi="Times New Roman" w:cs="Times New Roman"/>
          <w:kern w:val="2"/>
        </w:rPr>
        <w:t xml:space="preserve">Magyar jogforrási rendszer. Hierarchia. A nemzeti, az európai ésnemzetközi jog kapcsolata </w:t>
      </w:r>
      <w:r w:rsidRPr="006F6A67">
        <w:rPr>
          <w:rFonts w:ascii="Times New Roman" w:eastAsia="Times New Roman" w:hAnsi="Times New Roman" w:cs="Times New Roman"/>
          <w:i/>
          <w:kern w:val="2"/>
        </w:rPr>
        <w:t>(Sources of Hungarian law. Hierarchy. Relationship between the national, European and international law.)</w:t>
      </w:r>
    </w:p>
    <w:p w:rsidR="006F6A67" w:rsidRPr="006F6A67" w:rsidRDefault="006F6A67" w:rsidP="00980876">
      <w:pPr>
        <w:widowControl w:val="0"/>
        <w:numPr>
          <w:ilvl w:val="1"/>
          <w:numId w:val="762"/>
        </w:numPr>
        <w:tabs>
          <w:tab w:val="clear" w:pos="3977"/>
        </w:tabs>
        <w:spacing w:after="60" w:line="240" w:lineRule="auto"/>
        <w:ind w:left="709" w:hanging="573"/>
        <w:jc w:val="both"/>
        <w:rPr>
          <w:rFonts w:ascii="Times New Roman" w:eastAsia="Times New Roman" w:hAnsi="Times New Roman" w:cs="Times New Roman"/>
          <w:i/>
          <w:kern w:val="2"/>
        </w:rPr>
      </w:pPr>
      <w:r w:rsidRPr="006F6A67">
        <w:rPr>
          <w:rFonts w:ascii="Times New Roman" w:eastAsia="Times New Roman" w:hAnsi="Times New Roman" w:cs="Times New Roman"/>
          <w:kern w:val="2"/>
        </w:rPr>
        <w:t xml:space="preserve">Az emberi jogok fogalma, kialakulása, generációi.  </w:t>
      </w:r>
      <w:r w:rsidRPr="006F6A67">
        <w:rPr>
          <w:rFonts w:ascii="Times New Roman" w:eastAsia="Times New Roman" w:hAnsi="Times New Roman" w:cs="Times New Roman"/>
          <w:i/>
          <w:kern w:val="2"/>
        </w:rPr>
        <w:t xml:space="preserve">(Notion of human rights, generations of human rights.)                                                          </w:t>
      </w:r>
    </w:p>
    <w:p w:rsidR="006F6A67" w:rsidRPr="006F6A67" w:rsidRDefault="006F6A67" w:rsidP="00980876">
      <w:pPr>
        <w:widowControl w:val="0"/>
        <w:numPr>
          <w:ilvl w:val="1"/>
          <w:numId w:val="762"/>
        </w:numPr>
        <w:tabs>
          <w:tab w:val="clear" w:pos="3977"/>
        </w:tabs>
        <w:spacing w:after="60" w:line="240" w:lineRule="auto"/>
        <w:ind w:left="709" w:hanging="573"/>
        <w:jc w:val="both"/>
        <w:rPr>
          <w:rFonts w:ascii="Times New Roman" w:eastAsia="Times New Roman" w:hAnsi="Times New Roman" w:cs="Times New Roman"/>
          <w:kern w:val="2"/>
        </w:rPr>
      </w:pPr>
      <w:r w:rsidRPr="006F6A67">
        <w:rPr>
          <w:rFonts w:ascii="Times New Roman" w:eastAsia="Times New Roman" w:hAnsi="Times New Roman" w:cs="Times New Roman"/>
          <w:kern w:val="2"/>
        </w:rPr>
        <w:t xml:space="preserve">Az emberi jogok védelmének nemzeti, uniós és nemzetközi rendszerei. Európai és nemzetközi bíróságok. Többszintű alkotmányosság </w:t>
      </w:r>
      <w:r w:rsidRPr="006F6A67">
        <w:rPr>
          <w:rFonts w:ascii="Times New Roman" w:eastAsia="Times New Roman" w:hAnsi="Times New Roman" w:cs="Times New Roman"/>
          <w:i/>
          <w:kern w:val="2"/>
        </w:rPr>
        <w:t>(National, European and international protection of human rights.European and international courts. Multilevel constitutionalism)</w:t>
      </w:r>
    </w:p>
    <w:p w:rsidR="006F6A67" w:rsidRPr="006F6A67" w:rsidRDefault="006F6A67" w:rsidP="00980876">
      <w:pPr>
        <w:widowControl w:val="0"/>
        <w:numPr>
          <w:ilvl w:val="1"/>
          <w:numId w:val="762"/>
        </w:numPr>
        <w:tabs>
          <w:tab w:val="clear" w:pos="3977"/>
        </w:tabs>
        <w:spacing w:after="60" w:line="240" w:lineRule="auto"/>
        <w:ind w:left="709" w:hanging="573"/>
        <w:jc w:val="both"/>
        <w:rPr>
          <w:rFonts w:ascii="Times New Roman" w:eastAsia="Times New Roman" w:hAnsi="Times New Roman" w:cs="Times New Roman"/>
          <w:i/>
          <w:kern w:val="2"/>
        </w:rPr>
      </w:pPr>
      <w:r w:rsidRPr="006F6A67">
        <w:rPr>
          <w:rFonts w:ascii="Times New Roman" w:eastAsia="Times New Roman" w:hAnsi="Times New Roman" w:cs="Times New Roman"/>
          <w:kern w:val="2"/>
        </w:rPr>
        <w:lastRenderedPageBreak/>
        <w:t xml:space="preserve">A magyar alapjogi rendszer bemutatása </w:t>
      </w:r>
      <w:r w:rsidRPr="006F6A67">
        <w:rPr>
          <w:rFonts w:ascii="Times New Roman" w:eastAsia="Times New Roman" w:hAnsi="Times New Roman" w:cs="Times New Roman"/>
          <w:i/>
          <w:kern w:val="2"/>
        </w:rPr>
        <w:t>(The Hungarian system and regulation of human rights)</w:t>
      </w:r>
    </w:p>
    <w:p w:rsidR="006F6A67" w:rsidRPr="006F6A67" w:rsidRDefault="006F6A67" w:rsidP="00980876">
      <w:pPr>
        <w:widowControl w:val="0"/>
        <w:numPr>
          <w:ilvl w:val="1"/>
          <w:numId w:val="762"/>
        </w:numPr>
        <w:tabs>
          <w:tab w:val="clear" w:pos="3977"/>
        </w:tabs>
        <w:spacing w:after="60" w:line="240" w:lineRule="auto"/>
        <w:ind w:left="709" w:hanging="573"/>
        <w:jc w:val="both"/>
        <w:rPr>
          <w:rFonts w:ascii="Times New Roman" w:eastAsia="Times New Roman" w:hAnsi="Times New Roman" w:cs="Times New Roman"/>
          <w:kern w:val="2"/>
        </w:rPr>
      </w:pPr>
      <w:r w:rsidRPr="006F6A67">
        <w:rPr>
          <w:rFonts w:ascii="Times New Roman" w:eastAsia="Times New Roman" w:hAnsi="Times New Roman" w:cs="Times New Roman"/>
          <w:kern w:val="2"/>
        </w:rPr>
        <w:t xml:space="preserve">Harmadik gennerációs jogok. </w:t>
      </w:r>
      <w:r w:rsidRPr="006F6A67">
        <w:rPr>
          <w:rFonts w:ascii="Times New Roman" w:eastAsia="Times New Roman" w:hAnsi="Times New Roman" w:cs="Times New Roman"/>
          <w:i/>
          <w:kern w:val="2"/>
        </w:rPr>
        <w:t>(Third generation of human rights)</w:t>
      </w:r>
    </w:p>
    <w:p w:rsidR="006F6A67" w:rsidRPr="006F6A67" w:rsidRDefault="006F6A67" w:rsidP="00980876">
      <w:pPr>
        <w:widowControl w:val="0"/>
        <w:numPr>
          <w:ilvl w:val="1"/>
          <w:numId w:val="762"/>
        </w:numPr>
        <w:tabs>
          <w:tab w:val="clear" w:pos="3977"/>
        </w:tabs>
        <w:spacing w:after="60" w:line="240" w:lineRule="auto"/>
        <w:ind w:left="709" w:hanging="573"/>
        <w:jc w:val="both"/>
        <w:rPr>
          <w:rFonts w:ascii="Times New Roman" w:eastAsia="Times New Roman" w:hAnsi="Times New Roman" w:cs="Times New Roman"/>
          <w:i/>
          <w:kern w:val="2"/>
        </w:rPr>
      </w:pPr>
      <w:r w:rsidRPr="006F6A67">
        <w:rPr>
          <w:rFonts w:ascii="Times New Roman" w:eastAsia="Times New Roman" w:hAnsi="Times New Roman" w:cs="Times New Roman"/>
          <w:kern w:val="2"/>
        </w:rPr>
        <w:t xml:space="preserve">Ökölógia, fenntartható fejlődés és az alkotmányjog. </w:t>
      </w:r>
      <w:r w:rsidRPr="006F6A67">
        <w:rPr>
          <w:rFonts w:ascii="Times New Roman" w:eastAsia="Times New Roman" w:hAnsi="Times New Roman" w:cs="Times New Roman"/>
          <w:i/>
          <w:kern w:val="2"/>
        </w:rPr>
        <w:t>(Ecology, protection of enviroment and constitutional law)</w:t>
      </w:r>
    </w:p>
    <w:p w:rsidR="006F6A67" w:rsidRPr="006F6A67" w:rsidRDefault="006F6A67" w:rsidP="00980876">
      <w:pPr>
        <w:widowControl w:val="0"/>
        <w:numPr>
          <w:ilvl w:val="1"/>
          <w:numId w:val="762"/>
        </w:numPr>
        <w:tabs>
          <w:tab w:val="clear" w:pos="3977"/>
        </w:tabs>
        <w:spacing w:after="60" w:line="240" w:lineRule="auto"/>
        <w:ind w:left="709" w:hanging="573"/>
        <w:jc w:val="both"/>
        <w:rPr>
          <w:rFonts w:ascii="Times New Roman" w:eastAsia="Times New Roman" w:hAnsi="Times New Roman" w:cs="Times New Roman"/>
          <w:kern w:val="2"/>
        </w:rPr>
      </w:pPr>
      <w:r w:rsidRPr="006F6A67">
        <w:rPr>
          <w:rFonts w:ascii="Times New Roman" w:eastAsia="Times New Roman" w:hAnsi="Times New Roman" w:cs="Times New Roman"/>
          <w:kern w:val="2"/>
        </w:rPr>
        <w:t xml:space="preserve">Tudomány, technológiák és az alkotmányjog </w:t>
      </w:r>
      <w:r w:rsidRPr="006F6A67">
        <w:rPr>
          <w:rFonts w:ascii="Times New Roman" w:eastAsia="Times New Roman" w:hAnsi="Times New Roman" w:cs="Times New Roman"/>
          <w:i/>
          <w:kern w:val="2"/>
        </w:rPr>
        <w:t xml:space="preserve">(Science, technologies and constitutional law)  </w:t>
      </w:r>
    </w:p>
    <w:p w:rsidR="006F6A67" w:rsidRPr="006F6A67" w:rsidRDefault="006F6A67" w:rsidP="00980876">
      <w:pPr>
        <w:widowControl w:val="0"/>
        <w:numPr>
          <w:ilvl w:val="1"/>
          <w:numId w:val="762"/>
        </w:numPr>
        <w:tabs>
          <w:tab w:val="clear" w:pos="3977"/>
        </w:tabs>
        <w:spacing w:after="60" w:line="240" w:lineRule="auto"/>
        <w:ind w:left="709" w:hanging="573"/>
        <w:jc w:val="both"/>
        <w:rPr>
          <w:rFonts w:ascii="Times New Roman" w:eastAsia="Times New Roman" w:hAnsi="Times New Roman" w:cs="Times New Roman"/>
          <w:bCs/>
        </w:rPr>
      </w:pPr>
      <w:r w:rsidRPr="006F6A67">
        <w:rPr>
          <w:rFonts w:ascii="Times New Roman" w:eastAsia="Times New Roman" w:hAnsi="Times New Roman" w:cs="Times New Roman"/>
          <w:kern w:val="2"/>
        </w:rPr>
        <w:t xml:space="preserve">Internet és alkotmányjog. Befejezés </w:t>
      </w:r>
      <w:r w:rsidRPr="006F6A67">
        <w:rPr>
          <w:rFonts w:ascii="Times New Roman" w:eastAsia="Times New Roman" w:hAnsi="Times New Roman" w:cs="Times New Roman"/>
          <w:i/>
          <w:kern w:val="2"/>
        </w:rPr>
        <w:t>(Internet and constitutional law. Conclusions)</w:t>
      </w:r>
      <w:r w:rsidRPr="006F6A67">
        <w:rPr>
          <w:rFonts w:ascii="Times New Roman" w:eastAsia="Times New Roman" w:hAnsi="Times New Roman" w:cs="Times New Roman"/>
          <w:kern w:val="2"/>
        </w:rPr>
        <w:t xml:space="preserve"> </w:t>
      </w:r>
    </w:p>
    <w:p w:rsidR="006F6A67" w:rsidRPr="006F6A67" w:rsidRDefault="006F6A67" w:rsidP="00980876">
      <w:pPr>
        <w:widowControl w:val="0"/>
        <w:numPr>
          <w:ilvl w:val="0"/>
          <w:numId w:val="762"/>
        </w:numPr>
        <w:tabs>
          <w:tab w:val="num" w:pos="360"/>
        </w:tabs>
        <w:spacing w:before="120" w:after="120" w:line="240" w:lineRule="auto"/>
        <w:ind w:left="426" w:hanging="142"/>
        <w:jc w:val="both"/>
        <w:rPr>
          <w:rFonts w:ascii="Times New Roman" w:eastAsia="Times New Roman" w:hAnsi="Times New Roman" w:cs="Times New Roman"/>
          <w:bCs/>
        </w:rPr>
      </w:pPr>
      <w:r w:rsidRPr="006F6A67">
        <w:rPr>
          <w:rFonts w:ascii="Times New Roman" w:eastAsia="Times New Roman" w:hAnsi="Times New Roman" w:cs="Times New Roman"/>
          <w:b/>
          <w:bCs/>
        </w:rPr>
        <w:t xml:space="preserve">A tantárgy meghirdetésének gyakorisága/a tantervben történő félévi elhelyezkedése: </w:t>
      </w:r>
      <w:r w:rsidRPr="006F6A67">
        <w:rPr>
          <w:rFonts w:ascii="Times New Roman" w:eastAsia="Times New Roman" w:hAnsi="Times New Roman" w:cs="Times New Roman"/>
          <w:bCs/>
        </w:rPr>
        <w:t>szakonként változó, a meghirdetett félévekben (1-4.)</w:t>
      </w:r>
    </w:p>
    <w:p w:rsidR="006F6A67" w:rsidRPr="006F6A67" w:rsidRDefault="006F6A67" w:rsidP="00980876">
      <w:pPr>
        <w:widowControl w:val="0"/>
        <w:numPr>
          <w:ilvl w:val="0"/>
          <w:numId w:val="762"/>
        </w:numPr>
        <w:tabs>
          <w:tab w:val="num" w:pos="360"/>
        </w:tabs>
        <w:spacing w:before="120" w:after="120" w:line="240" w:lineRule="auto"/>
        <w:ind w:left="426" w:hanging="142"/>
        <w:jc w:val="both"/>
        <w:rPr>
          <w:rFonts w:ascii="Times New Roman" w:eastAsia="Times New Roman" w:hAnsi="Times New Roman" w:cs="Times New Roman"/>
          <w:bCs/>
        </w:rPr>
      </w:pPr>
      <w:r w:rsidRPr="006F6A67">
        <w:rPr>
          <w:rFonts w:ascii="Times New Roman" w:eastAsia="Times New Roman" w:hAnsi="Times New Roman" w:cs="Times New Roman"/>
          <w:b/>
          <w:bCs/>
        </w:rPr>
        <w:t>A tanórákon való részvétel követelményei, az elfogadható hiányzások mértéke, a távolmaradás pótlásának lehetősége:</w:t>
      </w:r>
      <w:r w:rsidRPr="006F6A67">
        <w:rPr>
          <w:rFonts w:ascii="Times New Roman" w:eastAsia="Times New Roman" w:hAnsi="Times New Roman" w:cs="Times New Roman"/>
          <w:bCs/>
        </w:rPr>
        <w:t xml:space="preserve"> A tanórákon való részvétel kötelező.</w:t>
      </w:r>
      <w:r w:rsidRPr="006F6A67">
        <w:rPr>
          <w:rFonts w:ascii="Times New Roman" w:eastAsia="Times New Roman" w:hAnsi="Times New Roman" w:cs="Times New Roman"/>
          <w:b/>
          <w:bCs/>
        </w:rPr>
        <w:t xml:space="preserve"> </w:t>
      </w:r>
      <w:r w:rsidRPr="006F6A67">
        <w:rPr>
          <w:rFonts w:ascii="Times New Roman" w:eastAsia="Times New Roman" w:hAnsi="Times New Roman" w:cs="Times New Roman"/>
          <w:bCs/>
        </w:rPr>
        <w:t>A félév elfogadásának feltétele a tanórák minimum 70%-án való részvétel. Ennél magasabb mértékű távolmaradás pótlása az oktató engedélyével történhet. A hallgatónak a kimaradt tananyagot önképzés keretén belül kell elsajátítani. A kimaradt tananyag jobb megértése érdekében az oktatók konzultációs lehetőséget biztosíthatnak.</w:t>
      </w:r>
    </w:p>
    <w:p w:rsidR="006F6A67" w:rsidRPr="006F6A67" w:rsidRDefault="006F6A67" w:rsidP="00980876">
      <w:pPr>
        <w:widowControl w:val="0"/>
        <w:numPr>
          <w:ilvl w:val="0"/>
          <w:numId w:val="762"/>
        </w:numPr>
        <w:tabs>
          <w:tab w:val="num" w:pos="360"/>
        </w:tabs>
        <w:spacing w:before="120" w:after="120" w:line="240" w:lineRule="auto"/>
        <w:ind w:left="426" w:hanging="142"/>
        <w:jc w:val="both"/>
        <w:rPr>
          <w:rFonts w:ascii="Times New Roman" w:eastAsia="Times New Roman" w:hAnsi="Times New Roman" w:cs="Times New Roman"/>
          <w:bCs/>
        </w:rPr>
      </w:pPr>
      <w:r w:rsidRPr="006F6A67">
        <w:rPr>
          <w:rFonts w:ascii="Times New Roman" w:eastAsia="Times New Roman" w:hAnsi="Times New Roman" w:cs="Times New Roman"/>
          <w:b/>
        </w:rPr>
        <w:t xml:space="preserve">Félévközi feladatok, ismeretek ellenőrzésének rendje: </w:t>
      </w:r>
      <w:r w:rsidRPr="006F6A67">
        <w:rPr>
          <w:rFonts w:ascii="Times New Roman" w:eastAsia="Times New Roman" w:hAnsi="Times New Roman" w:cs="Times New Roman"/>
        </w:rPr>
        <w:t xml:space="preserve">A hallgató a félév során egy zárthelyi dolgozatot ír. A zárthelyi dolgozat értékelése: ötfokozatú értékelés – (a helyes válaszok aránya </w:t>
      </w:r>
      <w:r w:rsidRPr="006F6A67">
        <w:rPr>
          <w:rFonts w:ascii="Times New Roman" w:eastAsia="Times New Roman" w:hAnsi="Times New Roman" w:cs="Times New Roman"/>
        </w:rPr>
        <w:br/>
        <w:t>0-50% elégtelen; 51-70% elégséges; 71-80% közepes; 81-90% jó; 91-100% jeles osztályzat). Eredménytelen zárthelyi dolgozat egyszer javítható.</w:t>
      </w:r>
    </w:p>
    <w:p w:rsidR="006F6A67" w:rsidRPr="006F6A67" w:rsidRDefault="006F6A67" w:rsidP="00980876">
      <w:pPr>
        <w:widowControl w:val="0"/>
        <w:numPr>
          <w:ilvl w:val="0"/>
          <w:numId w:val="762"/>
        </w:numPr>
        <w:spacing w:before="120" w:after="120" w:line="240" w:lineRule="auto"/>
        <w:ind w:left="426" w:hanging="142"/>
        <w:jc w:val="both"/>
        <w:rPr>
          <w:rFonts w:ascii="Times New Roman" w:eastAsia="Times New Roman" w:hAnsi="Times New Roman" w:cs="Times New Roman"/>
          <w:b/>
          <w:bCs/>
        </w:rPr>
      </w:pPr>
      <w:r w:rsidRPr="006F6A67">
        <w:rPr>
          <w:rFonts w:ascii="Times New Roman" w:eastAsia="Times New Roman" w:hAnsi="Times New Roman" w:cs="Times New Roman"/>
          <w:b/>
          <w:bCs/>
        </w:rPr>
        <w:t xml:space="preserve">Az értékelés, az aláírás és a kreditek megszerzésének pontos feltételei: </w:t>
      </w:r>
    </w:p>
    <w:p w:rsidR="006F6A67" w:rsidRPr="006F6A67" w:rsidRDefault="006F6A67" w:rsidP="00980876">
      <w:pPr>
        <w:widowControl w:val="0"/>
        <w:numPr>
          <w:ilvl w:val="1"/>
          <w:numId w:val="762"/>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6F6A67">
        <w:rPr>
          <w:rFonts w:ascii="Times New Roman" w:eastAsia="Times New Roman" w:hAnsi="Times New Roman" w:cs="Times New Roman"/>
          <w:b/>
        </w:rPr>
        <w:t>Az aláírás megszerzésének feltételei:</w:t>
      </w:r>
    </w:p>
    <w:p w:rsidR="006F6A67" w:rsidRPr="006F6A67" w:rsidRDefault="006F6A67" w:rsidP="006F6A67">
      <w:pPr>
        <w:widowControl w:val="0"/>
        <w:tabs>
          <w:tab w:val="left" w:pos="993"/>
        </w:tabs>
        <w:spacing w:before="120" w:after="120" w:line="240" w:lineRule="auto"/>
        <w:ind w:left="426"/>
        <w:jc w:val="both"/>
        <w:rPr>
          <w:rFonts w:ascii="Times New Roman" w:eastAsia="Times New Roman" w:hAnsi="Times New Roman" w:cs="Times New Roman"/>
        </w:rPr>
      </w:pPr>
      <w:r w:rsidRPr="006F6A67">
        <w:rPr>
          <w:rFonts w:ascii="Times New Roman" w:eastAsia="Times New Roman" w:hAnsi="Times New Roman" w:cs="Times New Roman"/>
        </w:rPr>
        <w:t>Az aláírás feltétele a tanórákon történő – 14. pontban meghatározott – részvétel, valamint a félévet lezáró zárthelyi dolgozat sikeres megírása.</w:t>
      </w:r>
    </w:p>
    <w:p w:rsidR="006F6A67" w:rsidRPr="006F6A67" w:rsidRDefault="006F6A67" w:rsidP="00980876">
      <w:pPr>
        <w:widowControl w:val="0"/>
        <w:numPr>
          <w:ilvl w:val="1"/>
          <w:numId w:val="762"/>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6F6A67">
        <w:rPr>
          <w:rFonts w:ascii="Times New Roman" w:eastAsia="Times New Roman" w:hAnsi="Times New Roman" w:cs="Times New Roman"/>
          <w:b/>
        </w:rPr>
        <w:t>Az értékelés:</w:t>
      </w:r>
    </w:p>
    <w:p w:rsidR="006F6A67" w:rsidRPr="006F6A67" w:rsidRDefault="006F6A67" w:rsidP="006F6A67">
      <w:pPr>
        <w:widowControl w:val="0"/>
        <w:tabs>
          <w:tab w:val="left" w:pos="993"/>
        </w:tabs>
        <w:spacing w:before="120" w:after="120" w:line="240" w:lineRule="auto"/>
        <w:ind w:left="426"/>
        <w:jc w:val="both"/>
        <w:rPr>
          <w:rFonts w:ascii="Times New Roman" w:eastAsia="Times New Roman" w:hAnsi="Times New Roman" w:cs="Times New Roman"/>
        </w:rPr>
      </w:pPr>
      <w:r w:rsidRPr="006F6A67">
        <w:rPr>
          <w:rFonts w:ascii="Times New Roman" w:eastAsia="Times New Roman" w:hAnsi="Times New Roman" w:cs="Times New Roman"/>
        </w:rPr>
        <w:t xml:space="preserve">Az ötfokozatú évközi jegy a zárthelyi dolgozat eredménye alapján kerül kialakításra, ahol az elégséges jegy 50%+1 pont. </w:t>
      </w:r>
    </w:p>
    <w:p w:rsidR="006F6A67" w:rsidRPr="006F6A67" w:rsidRDefault="006F6A67" w:rsidP="00980876">
      <w:pPr>
        <w:widowControl w:val="0"/>
        <w:numPr>
          <w:ilvl w:val="1"/>
          <w:numId w:val="762"/>
        </w:numPr>
        <w:tabs>
          <w:tab w:val="left" w:pos="709"/>
          <w:tab w:val="left" w:pos="993"/>
          <w:tab w:val="num" w:pos="2069"/>
        </w:tabs>
        <w:spacing w:before="120" w:after="120" w:line="240" w:lineRule="auto"/>
        <w:ind w:left="426" w:firstLine="0"/>
        <w:jc w:val="both"/>
        <w:rPr>
          <w:rFonts w:ascii="Times New Roman" w:eastAsia="Times New Roman" w:hAnsi="Times New Roman" w:cs="Times New Roman"/>
        </w:rPr>
      </w:pPr>
      <w:r w:rsidRPr="006F6A67">
        <w:rPr>
          <w:rFonts w:ascii="Times New Roman" w:eastAsia="Times New Roman" w:hAnsi="Times New Roman" w:cs="Times New Roman"/>
          <w:b/>
        </w:rPr>
        <w:t>A kreditek megszerzésének feltételei:</w:t>
      </w:r>
      <w:r w:rsidRPr="006F6A67">
        <w:rPr>
          <w:rFonts w:ascii="Times New Roman" w:eastAsia="Times New Roman" w:hAnsi="Times New Roman" w:cs="Times New Roman"/>
        </w:rPr>
        <w:t xml:space="preserve"> </w:t>
      </w:r>
    </w:p>
    <w:p w:rsidR="006F6A67" w:rsidRPr="006F6A67" w:rsidRDefault="006F6A67" w:rsidP="006F6A67">
      <w:pPr>
        <w:widowControl w:val="0"/>
        <w:tabs>
          <w:tab w:val="left" w:pos="993"/>
        </w:tabs>
        <w:spacing w:before="120" w:after="120" w:line="240" w:lineRule="auto"/>
        <w:ind w:left="426"/>
        <w:jc w:val="both"/>
        <w:rPr>
          <w:rFonts w:ascii="Times New Roman" w:eastAsia="Times New Roman" w:hAnsi="Times New Roman" w:cs="Times New Roman"/>
        </w:rPr>
      </w:pPr>
      <w:r w:rsidRPr="006F6A67">
        <w:rPr>
          <w:rFonts w:ascii="Times New Roman" w:eastAsia="Times New Roman" w:hAnsi="Times New Roman" w:cs="Times New Roman"/>
        </w:rPr>
        <w:t>A kreditek megszerzésének feltétele az aláírás megszerzése és a legalább elégséges évközi jegy.</w:t>
      </w:r>
    </w:p>
    <w:p w:rsidR="006F6A67" w:rsidRPr="006F6A67" w:rsidRDefault="006F6A67" w:rsidP="00980876">
      <w:pPr>
        <w:widowControl w:val="0"/>
        <w:numPr>
          <w:ilvl w:val="0"/>
          <w:numId w:val="762"/>
        </w:numPr>
        <w:tabs>
          <w:tab w:val="num" w:pos="360"/>
        </w:tabs>
        <w:spacing w:before="120" w:after="120" w:line="240" w:lineRule="auto"/>
        <w:ind w:left="426" w:hanging="142"/>
        <w:jc w:val="both"/>
        <w:rPr>
          <w:rFonts w:ascii="Times New Roman" w:eastAsia="Times New Roman" w:hAnsi="Times New Roman" w:cs="Times New Roman"/>
          <w:bCs/>
        </w:rPr>
      </w:pPr>
      <w:r w:rsidRPr="006F6A67">
        <w:rPr>
          <w:rFonts w:ascii="Times New Roman" w:eastAsia="Times New Roman" w:hAnsi="Times New Roman" w:cs="Times New Roman"/>
          <w:b/>
          <w:bCs/>
        </w:rPr>
        <w:t>Irodalomjegyzék:</w:t>
      </w:r>
    </w:p>
    <w:p w:rsidR="006F6A67" w:rsidRPr="006F6A67" w:rsidRDefault="006F6A67" w:rsidP="00980876">
      <w:pPr>
        <w:widowControl w:val="0"/>
        <w:numPr>
          <w:ilvl w:val="1"/>
          <w:numId w:val="762"/>
        </w:numPr>
        <w:tabs>
          <w:tab w:val="left" w:pos="567"/>
          <w:tab w:val="left" w:pos="851"/>
          <w:tab w:val="num" w:pos="2069"/>
        </w:tabs>
        <w:spacing w:before="120" w:after="120" w:line="240" w:lineRule="auto"/>
        <w:ind w:left="426" w:hanging="142"/>
        <w:jc w:val="both"/>
        <w:rPr>
          <w:rFonts w:ascii="Times New Roman" w:eastAsia="Times New Roman" w:hAnsi="Times New Roman" w:cs="Times New Roman"/>
          <w:bCs/>
        </w:rPr>
      </w:pPr>
      <w:r w:rsidRPr="006F6A67">
        <w:rPr>
          <w:rFonts w:ascii="Times New Roman" w:eastAsia="Times New Roman" w:hAnsi="Times New Roman" w:cs="Times New Roman"/>
          <w:b/>
          <w:bCs/>
        </w:rPr>
        <w:t>Kötelező irodalom:</w:t>
      </w:r>
    </w:p>
    <w:p w:rsidR="006F6A67" w:rsidRPr="006F6A67" w:rsidRDefault="006F6A67" w:rsidP="00980876">
      <w:pPr>
        <w:widowControl w:val="0"/>
        <w:numPr>
          <w:ilvl w:val="0"/>
          <w:numId w:val="763"/>
        </w:numPr>
        <w:spacing w:after="0" w:line="240" w:lineRule="auto"/>
        <w:ind w:left="567" w:hanging="283"/>
        <w:jc w:val="both"/>
        <w:rPr>
          <w:rFonts w:ascii="Times New Roman" w:eastAsia="Times New Roman" w:hAnsi="Times New Roman" w:cs="Times New Roman"/>
        </w:rPr>
      </w:pPr>
      <w:r w:rsidRPr="006F6A67">
        <w:rPr>
          <w:rFonts w:ascii="Times New Roman" w:eastAsia="Times New Roman" w:hAnsi="Times New Roman" w:cs="Times New Roman"/>
        </w:rPr>
        <w:t>Alkotmányjog. Szerk.:Halász Iván. Dialóg Campus, Budapest, 2018. ISBN 978-615-5344-51-0.</w:t>
      </w:r>
    </w:p>
    <w:p w:rsidR="006F6A67" w:rsidRPr="006F6A67" w:rsidRDefault="006F6A67" w:rsidP="00980876">
      <w:pPr>
        <w:widowControl w:val="0"/>
        <w:numPr>
          <w:ilvl w:val="0"/>
          <w:numId w:val="763"/>
        </w:numPr>
        <w:spacing w:after="0" w:line="240" w:lineRule="auto"/>
        <w:ind w:left="567" w:hanging="283"/>
        <w:jc w:val="both"/>
        <w:rPr>
          <w:rFonts w:ascii="Times New Roman" w:eastAsia="Times New Roman" w:hAnsi="Times New Roman" w:cs="Times New Roman"/>
        </w:rPr>
      </w:pPr>
      <w:r w:rsidRPr="006F6A67">
        <w:rPr>
          <w:rFonts w:ascii="Times New Roman" w:eastAsia="Times New Roman" w:hAnsi="Times New Roman" w:cs="Times New Roman"/>
        </w:rPr>
        <w:t>Az állam szervezete. Szerk.: Téglási András. Dialóg Campus, Budapest, 2018. ISBN: 978-963-308-306 -2</w:t>
      </w:r>
    </w:p>
    <w:p w:rsidR="006F6A67" w:rsidRPr="006F6A67" w:rsidRDefault="006F6A67" w:rsidP="00980876">
      <w:pPr>
        <w:widowControl w:val="0"/>
        <w:numPr>
          <w:ilvl w:val="1"/>
          <w:numId w:val="762"/>
        </w:numPr>
        <w:tabs>
          <w:tab w:val="num" w:pos="567"/>
          <w:tab w:val="num" w:pos="2069"/>
        </w:tabs>
        <w:spacing w:before="120" w:after="120" w:line="240" w:lineRule="auto"/>
        <w:ind w:left="993" w:hanging="709"/>
        <w:jc w:val="both"/>
        <w:rPr>
          <w:rFonts w:ascii="Times New Roman" w:eastAsia="Times New Roman" w:hAnsi="Times New Roman" w:cs="Times New Roman"/>
          <w:b/>
          <w:bCs/>
        </w:rPr>
      </w:pPr>
      <w:r w:rsidRPr="006F6A67">
        <w:rPr>
          <w:rFonts w:ascii="Times New Roman" w:eastAsia="Times New Roman" w:hAnsi="Times New Roman" w:cs="Times New Roman"/>
          <w:b/>
          <w:bCs/>
        </w:rPr>
        <w:t>Ajánlott irodalom:</w:t>
      </w:r>
    </w:p>
    <w:p w:rsidR="006F6A67" w:rsidRPr="006F6A67" w:rsidRDefault="006F6A67" w:rsidP="00980876">
      <w:pPr>
        <w:widowControl w:val="0"/>
        <w:numPr>
          <w:ilvl w:val="0"/>
          <w:numId w:val="764"/>
        </w:numPr>
        <w:spacing w:after="0" w:line="240" w:lineRule="auto"/>
        <w:ind w:left="567" w:hanging="283"/>
        <w:contextualSpacing/>
        <w:jc w:val="both"/>
        <w:rPr>
          <w:rFonts w:ascii="Times New Roman" w:eastAsia="Times New Roman" w:hAnsi="Times New Roman" w:cs="Times New Roman"/>
        </w:rPr>
      </w:pPr>
      <w:r w:rsidRPr="006F6A67">
        <w:rPr>
          <w:rFonts w:ascii="Times New Roman" w:eastAsia="Times New Roman" w:hAnsi="Times New Roman" w:cs="Times New Roman"/>
        </w:rPr>
        <w:t>Csink Lóránt – T. Kovács Júlia (2013): Paradigmaváltás a környezet alapjogi jellegében? Jogelméleti Szemle, 4. sz. 42–54.;</w:t>
      </w:r>
    </w:p>
    <w:p w:rsidR="006F6A67" w:rsidRPr="006F6A67" w:rsidRDefault="006F6A67" w:rsidP="00980876">
      <w:pPr>
        <w:widowControl w:val="0"/>
        <w:numPr>
          <w:ilvl w:val="0"/>
          <w:numId w:val="764"/>
        </w:numPr>
        <w:spacing w:after="0" w:line="240" w:lineRule="auto"/>
        <w:ind w:left="567" w:hanging="283"/>
        <w:contextualSpacing/>
        <w:jc w:val="both"/>
        <w:rPr>
          <w:rFonts w:ascii="Times New Roman" w:eastAsia="Times New Roman" w:hAnsi="Times New Roman" w:cs="Times New Roman"/>
        </w:rPr>
      </w:pPr>
      <w:r w:rsidRPr="006F6A67">
        <w:rPr>
          <w:rFonts w:ascii="Times New Roman" w:eastAsia="Times New Roman" w:hAnsi="Times New Roman" w:cs="Times New Roman"/>
        </w:rPr>
        <w:t>Fodor László (2013): Víz az alaptörvény környezeti értékrendjében. Publicationes Universitatis Miskolcinensis, Sectio Juridica et Politica, Tom. XXXI. 329–345.</w:t>
      </w:r>
    </w:p>
    <w:p w:rsidR="006F6A67" w:rsidRPr="006F6A67" w:rsidRDefault="006F6A67" w:rsidP="00980876">
      <w:pPr>
        <w:widowControl w:val="0"/>
        <w:numPr>
          <w:ilvl w:val="0"/>
          <w:numId w:val="764"/>
        </w:numPr>
        <w:spacing w:after="0" w:line="240" w:lineRule="auto"/>
        <w:ind w:left="567" w:hanging="283"/>
        <w:contextualSpacing/>
        <w:jc w:val="both"/>
        <w:rPr>
          <w:rFonts w:ascii="Times New Roman" w:eastAsia="Times New Roman" w:hAnsi="Times New Roman" w:cs="Times New Roman"/>
        </w:rPr>
      </w:pPr>
      <w:r w:rsidRPr="006F6A67">
        <w:rPr>
          <w:rFonts w:ascii="Times New Roman" w:eastAsia="Times New Roman" w:hAnsi="Times New Roman" w:cs="Times New Roman"/>
        </w:rPr>
        <w:t>Szappanyos Melinda (2013): Víz és jog. A vízhez való jog érvényesíthetősége az ENSZ keretében. Veszprém, Veszprémi Humán Tudományokért Alapítvány. ISBN:9786155360008</w:t>
      </w:r>
    </w:p>
    <w:p w:rsidR="006F6A67" w:rsidRPr="006F6A67" w:rsidRDefault="006F6A67" w:rsidP="00980876">
      <w:pPr>
        <w:widowControl w:val="0"/>
        <w:numPr>
          <w:ilvl w:val="0"/>
          <w:numId w:val="764"/>
        </w:numPr>
        <w:spacing w:after="0" w:line="240" w:lineRule="auto"/>
        <w:ind w:left="567" w:hanging="283"/>
        <w:contextualSpacing/>
        <w:jc w:val="both"/>
        <w:rPr>
          <w:rFonts w:ascii="Times New Roman" w:eastAsia="Times New Roman" w:hAnsi="Times New Roman" w:cs="Times New Roman"/>
        </w:rPr>
      </w:pPr>
      <w:r w:rsidRPr="006F6A67">
        <w:rPr>
          <w:rFonts w:ascii="Times New Roman" w:eastAsia="Times New Roman" w:hAnsi="Times New Roman" w:cs="Times New Roman"/>
        </w:rPr>
        <w:t>Téglásiné Kovács Júlia: Az élelemhez való jog társadalmi igénye és alkotmányjogi dogmatikája. Ludovika Egyetemi Kiadó, Budapest, 2020.</w:t>
      </w:r>
    </w:p>
    <w:p w:rsidR="006F6A67" w:rsidRPr="006F6A67" w:rsidRDefault="006F6A67" w:rsidP="00980876">
      <w:pPr>
        <w:widowControl w:val="0"/>
        <w:numPr>
          <w:ilvl w:val="0"/>
          <w:numId w:val="764"/>
        </w:numPr>
        <w:spacing w:after="0" w:line="240" w:lineRule="auto"/>
        <w:ind w:left="567" w:hanging="283"/>
        <w:contextualSpacing/>
        <w:jc w:val="both"/>
        <w:rPr>
          <w:rFonts w:ascii="Times New Roman" w:eastAsia="Times New Roman" w:hAnsi="Times New Roman" w:cs="Times New Roman"/>
        </w:rPr>
      </w:pPr>
      <w:r w:rsidRPr="006F6A67">
        <w:rPr>
          <w:rFonts w:ascii="Times New Roman" w:eastAsia="Times New Roman" w:hAnsi="Times New Roman" w:cs="Times New Roman"/>
        </w:rPr>
        <w:t>Ződi Zsolt: Platformok, robotok és a jog. Új szabályozási kihívások az információs társadalomban. Gondolat Kiadó. Bp. 2018, ISBN:978 963 693 865 9</w:t>
      </w:r>
    </w:p>
    <w:p w:rsidR="006F6A67" w:rsidRPr="006F6A67" w:rsidRDefault="006F6A67" w:rsidP="006F6A67">
      <w:pPr>
        <w:widowControl w:val="0"/>
        <w:spacing w:before="120" w:after="120" w:line="240" w:lineRule="auto"/>
        <w:ind w:firstLine="360"/>
        <w:jc w:val="both"/>
        <w:rPr>
          <w:rFonts w:ascii="Times New Roman" w:eastAsia="Times New Roman" w:hAnsi="Times New Roman" w:cs="Times New Roman"/>
          <w:bCs/>
        </w:rPr>
      </w:pPr>
      <w:r w:rsidRPr="006F6A67">
        <w:rPr>
          <w:rFonts w:ascii="Times New Roman" w:eastAsia="Times New Roman" w:hAnsi="Times New Roman" w:cs="Times New Roman"/>
          <w:bCs/>
        </w:rPr>
        <w:t>Budapest, 2020. január 18.</w:t>
      </w:r>
    </w:p>
    <w:p w:rsidR="006F6A67" w:rsidRPr="006F6A67" w:rsidRDefault="006F6A67" w:rsidP="006F6A67">
      <w:pPr>
        <w:widowControl w:val="0"/>
        <w:spacing w:after="0" w:line="240" w:lineRule="auto"/>
        <w:ind w:left="5664"/>
        <w:rPr>
          <w:rFonts w:ascii="Times New Roman" w:eastAsia="Calibri" w:hAnsi="Times New Roman" w:cs="Times New Roman"/>
          <w:b/>
          <w:bCs/>
        </w:rPr>
      </w:pPr>
      <w:r w:rsidRPr="006F6A67">
        <w:rPr>
          <w:rFonts w:ascii="Times New Roman" w:eastAsia="Calibri" w:hAnsi="Times New Roman" w:cs="Times New Roman"/>
          <w:b/>
          <w:bCs/>
        </w:rPr>
        <w:lastRenderedPageBreak/>
        <w:t xml:space="preserve">         Dr. Halász Iván (PhD)</w:t>
      </w:r>
    </w:p>
    <w:p w:rsidR="00AF75C7" w:rsidRDefault="006F6A67" w:rsidP="006F6A67">
      <w:pPr>
        <w:widowControl w:val="0"/>
        <w:spacing w:after="0" w:line="240" w:lineRule="auto"/>
        <w:ind w:left="4956" w:firstLine="708"/>
        <w:rPr>
          <w:rFonts w:ascii="Times New Roman" w:eastAsia="Calibri" w:hAnsi="Times New Roman" w:cs="Times New Roman"/>
          <w:bCs/>
        </w:rPr>
      </w:pPr>
      <w:r w:rsidRPr="006F6A67">
        <w:rPr>
          <w:rFonts w:ascii="Times New Roman" w:eastAsia="Calibri" w:hAnsi="Times New Roman" w:cs="Times New Roman"/>
          <w:bCs/>
        </w:rPr>
        <w:t>tanszékvezető, egyetemi tanár s.k.</w:t>
      </w:r>
    </w:p>
    <w:p w:rsidR="009425AF" w:rsidRDefault="009425AF">
      <w:pPr>
        <w:spacing w:after="200" w:line="276" w:lineRule="auto"/>
        <w:rPr>
          <w:rFonts w:ascii="Times New Roman" w:eastAsia="Calibri" w:hAnsi="Times New Roman" w:cs="Times New Roman"/>
          <w:bCs/>
        </w:rPr>
      </w:pPr>
      <w:r>
        <w:rPr>
          <w:rFonts w:ascii="Times New Roman" w:eastAsia="Calibri" w:hAnsi="Times New Roman" w:cs="Times New Roman"/>
          <w:bCs/>
        </w:rPr>
        <w:br w:type="page"/>
      </w:r>
    </w:p>
    <w:tbl>
      <w:tblPr>
        <w:tblW w:w="5382" w:type="dxa"/>
        <w:tblInd w:w="113" w:type="dxa"/>
        <w:tblLook w:val="01E0" w:firstRow="1" w:lastRow="1" w:firstColumn="1" w:lastColumn="1" w:noHBand="0" w:noVBand="0"/>
      </w:tblPr>
      <w:tblGrid>
        <w:gridCol w:w="5382"/>
      </w:tblGrid>
      <w:tr w:rsidR="009425AF" w:rsidRPr="009425AF" w:rsidTr="009425AF">
        <w:tc>
          <w:tcPr>
            <w:tcW w:w="5382" w:type="dxa"/>
            <w:tcBorders>
              <w:bottom w:val="single" w:sz="4" w:space="0" w:color="auto"/>
            </w:tcBorders>
          </w:tcPr>
          <w:p w:rsidR="009425AF" w:rsidRPr="009425AF" w:rsidRDefault="009425AF" w:rsidP="009425AF">
            <w:pPr>
              <w:spacing w:after="0" w:line="240" w:lineRule="auto"/>
              <w:jc w:val="center"/>
              <w:rPr>
                <w:rFonts w:ascii="Times New Roman" w:eastAsia="Calibri" w:hAnsi="Times New Roman" w:cs="Times New Roman"/>
                <w:b/>
                <w:smallCaps/>
                <w:lang w:eastAsia="hu-HU"/>
              </w:rPr>
            </w:pPr>
            <w:r w:rsidRPr="009425AF">
              <w:rPr>
                <w:rFonts w:ascii="Times New Roman" w:eastAsia="Calibri" w:hAnsi="Times New Roman" w:cs="Times New Roman"/>
                <w:b/>
                <w:smallCaps/>
                <w:lang w:eastAsia="hu-HU"/>
              </w:rPr>
              <w:lastRenderedPageBreak/>
              <w:t>Nemzeti Közszolgálati Egyetem</w:t>
            </w:r>
          </w:p>
        </w:tc>
      </w:tr>
      <w:tr w:rsidR="009425AF" w:rsidRPr="009425AF" w:rsidTr="009425AF">
        <w:tc>
          <w:tcPr>
            <w:tcW w:w="5382" w:type="dxa"/>
            <w:tcBorders>
              <w:top w:val="single" w:sz="4" w:space="0" w:color="auto"/>
            </w:tcBorders>
          </w:tcPr>
          <w:p w:rsidR="009425AF" w:rsidRPr="009425AF" w:rsidRDefault="009425AF" w:rsidP="009425AF">
            <w:pPr>
              <w:spacing w:after="0" w:line="240" w:lineRule="auto"/>
              <w:jc w:val="center"/>
              <w:rPr>
                <w:rFonts w:ascii="Times New Roman" w:eastAsia="Calibri" w:hAnsi="Times New Roman" w:cs="Times New Roman"/>
                <w:b/>
                <w:lang w:eastAsia="hu-HU"/>
              </w:rPr>
            </w:pPr>
            <w:r w:rsidRPr="009425AF">
              <w:rPr>
                <w:rFonts w:ascii="Times New Roman" w:eastAsia="Calibri" w:hAnsi="Times New Roman" w:cs="Times New Roman"/>
                <w:b/>
                <w:lang w:eastAsia="hu-HU"/>
              </w:rPr>
              <w:t>Hadtudományi és Honvédtisztképző Kar</w:t>
            </w:r>
          </w:p>
        </w:tc>
      </w:tr>
    </w:tbl>
    <w:p w:rsidR="009425AF" w:rsidRPr="009425AF" w:rsidRDefault="009425AF" w:rsidP="009425AF">
      <w:pPr>
        <w:spacing w:before="120" w:after="0" w:line="240" w:lineRule="auto"/>
        <w:rPr>
          <w:rFonts w:ascii="Times New Roman" w:eastAsia="Calibri" w:hAnsi="Times New Roman" w:cs="Times New Roman"/>
          <w:b/>
          <w:bCs/>
          <w:lang w:eastAsia="hu-HU"/>
        </w:rPr>
      </w:pPr>
    </w:p>
    <w:p w:rsidR="009425AF" w:rsidRPr="009425AF" w:rsidRDefault="009425AF" w:rsidP="009425AF">
      <w:pPr>
        <w:spacing w:before="120" w:after="0" w:line="240" w:lineRule="auto"/>
        <w:jc w:val="center"/>
        <w:rPr>
          <w:rFonts w:ascii="Times New Roman" w:eastAsia="Calibri" w:hAnsi="Times New Roman" w:cs="Times New Roman"/>
          <w:b/>
          <w:bCs/>
          <w:lang w:eastAsia="hu-HU"/>
        </w:rPr>
      </w:pPr>
      <w:r w:rsidRPr="009425AF">
        <w:rPr>
          <w:rFonts w:ascii="Times New Roman" w:eastAsia="Calibri" w:hAnsi="Times New Roman" w:cs="Times New Roman"/>
          <w:b/>
          <w:bCs/>
          <w:lang w:eastAsia="hu-HU"/>
        </w:rPr>
        <w:t>TANTÁRGYI PROGRAM</w:t>
      </w:r>
    </w:p>
    <w:p w:rsidR="009425AF" w:rsidRPr="009425AF" w:rsidRDefault="009425AF" w:rsidP="00980876">
      <w:pPr>
        <w:numPr>
          <w:ilvl w:val="0"/>
          <w:numId w:val="853"/>
        </w:numPr>
        <w:tabs>
          <w:tab w:val="right" w:pos="900"/>
        </w:tabs>
        <w:spacing w:before="120" w:after="0" w:line="240" w:lineRule="auto"/>
        <w:jc w:val="both"/>
        <w:rPr>
          <w:rFonts w:ascii="Times New Roman" w:eastAsia="Calibri" w:hAnsi="Times New Roman" w:cs="Times New Roman"/>
          <w:bCs/>
          <w:lang w:eastAsia="hu-HU"/>
        </w:rPr>
      </w:pPr>
      <w:r w:rsidRPr="009425AF">
        <w:rPr>
          <w:rFonts w:ascii="Times New Roman" w:eastAsia="Calibri" w:hAnsi="Times New Roman" w:cs="Times New Roman"/>
          <w:b/>
          <w:bCs/>
          <w:lang w:eastAsia="hu-HU"/>
        </w:rPr>
        <w:t xml:space="preserve">A tantárgy kódja: </w:t>
      </w:r>
      <w:r w:rsidRPr="009425AF">
        <w:rPr>
          <w:rFonts w:ascii="Times New Roman" w:eastAsia="Calibri" w:hAnsi="Times New Roman" w:cs="Times New Roman"/>
          <w:bCs/>
          <w:lang w:eastAsia="hu-HU"/>
        </w:rPr>
        <w:t>HKISZLA311</w:t>
      </w:r>
    </w:p>
    <w:p w:rsidR="009425AF" w:rsidRPr="009425AF" w:rsidRDefault="009425AF" w:rsidP="00980876">
      <w:pPr>
        <w:numPr>
          <w:ilvl w:val="0"/>
          <w:numId w:val="853"/>
        </w:numPr>
        <w:tabs>
          <w:tab w:val="right" w:pos="900"/>
        </w:tabs>
        <w:spacing w:before="120" w:after="0" w:line="240" w:lineRule="auto"/>
        <w:jc w:val="both"/>
        <w:rPr>
          <w:rFonts w:ascii="Times New Roman" w:eastAsia="Calibri" w:hAnsi="Times New Roman" w:cs="Times New Roman"/>
          <w:bCs/>
          <w:lang w:eastAsia="hu-HU"/>
        </w:rPr>
      </w:pPr>
      <w:r w:rsidRPr="009425AF">
        <w:rPr>
          <w:rFonts w:ascii="Times New Roman" w:eastAsia="Calibri" w:hAnsi="Times New Roman" w:cs="Times New Roman"/>
          <w:b/>
          <w:bCs/>
          <w:lang w:eastAsia="hu-HU"/>
        </w:rPr>
        <w:t>A tantárgy megnevezése (magyarul):</w:t>
      </w:r>
      <w:r w:rsidRPr="009425AF">
        <w:rPr>
          <w:rFonts w:ascii="Times New Roman" w:eastAsia="Calibri" w:hAnsi="Times New Roman" w:cs="Times New Roman"/>
          <w:bCs/>
          <w:lang w:eastAsia="hu-HU"/>
        </w:rPr>
        <w:t xml:space="preserve"> Szakmai angol STANAG 3</w:t>
      </w:r>
    </w:p>
    <w:p w:rsidR="009425AF" w:rsidRPr="009425AF" w:rsidRDefault="009425AF" w:rsidP="00980876">
      <w:pPr>
        <w:numPr>
          <w:ilvl w:val="0"/>
          <w:numId w:val="853"/>
        </w:numPr>
        <w:tabs>
          <w:tab w:val="right" w:pos="900"/>
        </w:tabs>
        <w:spacing w:before="120" w:after="0" w:line="240" w:lineRule="auto"/>
        <w:jc w:val="both"/>
        <w:rPr>
          <w:rFonts w:ascii="Times New Roman" w:eastAsia="Calibri" w:hAnsi="Times New Roman" w:cs="Times New Roman"/>
          <w:bCs/>
          <w:lang w:eastAsia="hu-HU"/>
        </w:rPr>
      </w:pPr>
      <w:r w:rsidRPr="009425AF">
        <w:rPr>
          <w:rFonts w:ascii="Times New Roman" w:eastAsia="Calibri" w:hAnsi="Times New Roman" w:cs="Times New Roman"/>
          <w:b/>
          <w:bCs/>
          <w:lang w:eastAsia="hu-HU"/>
        </w:rPr>
        <w:t>A tantárgy megnevezése (angolul):</w:t>
      </w:r>
      <w:r w:rsidRPr="009425AF">
        <w:rPr>
          <w:rFonts w:ascii="Times New Roman" w:eastAsia="Calibri" w:hAnsi="Times New Roman" w:cs="Times New Roman"/>
          <w:bCs/>
          <w:lang w:eastAsia="hu-HU"/>
        </w:rPr>
        <w:t xml:space="preserve"> Professional English STANAG 3</w:t>
      </w:r>
    </w:p>
    <w:p w:rsidR="009425AF" w:rsidRPr="009425AF" w:rsidRDefault="009425AF" w:rsidP="00980876">
      <w:pPr>
        <w:widowControl w:val="0"/>
        <w:numPr>
          <w:ilvl w:val="0"/>
          <w:numId w:val="853"/>
        </w:numPr>
        <w:tabs>
          <w:tab w:val="num" w:pos="720"/>
        </w:tabs>
        <w:spacing w:before="120" w:after="120" w:line="240" w:lineRule="auto"/>
        <w:jc w:val="both"/>
        <w:rPr>
          <w:rFonts w:ascii="Times New Roman" w:eastAsia="Calibri" w:hAnsi="Times New Roman" w:cs="Times New Roman"/>
          <w:b/>
          <w:bCs/>
        </w:rPr>
      </w:pPr>
      <w:r w:rsidRPr="009425AF">
        <w:rPr>
          <w:rFonts w:ascii="Times New Roman" w:eastAsia="Calibri" w:hAnsi="Times New Roman" w:cs="Times New Roman"/>
          <w:b/>
          <w:bCs/>
        </w:rPr>
        <w:t xml:space="preserve">Kreditérték és képzési karakter: </w:t>
      </w:r>
    </w:p>
    <w:p w:rsidR="009425AF" w:rsidRPr="009425AF" w:rsidRDefault="009425AF" w:rsidP="00980876">
      <w:pPr>
        <w:widowControl w:val="0"/>
        <w:numPr>
          <w:ilvl w:val="1"/>
          <w:numId w:val="853"/>
        </w:numPr>
        <w:spacing w:before="120" w:after="120" w:line="240" w:lineRule="auto"/>
        <w:contextualSpacing/>
        <w:jc w:val="both"/>
        <w:rPr>
          <w:rFonts w:ascii="Times New Roman" w:eastAsia="Calibri" w:hAnsi="Times New Roman" w:cs="Times New Roman"/>
          <w:b/>
          <w:bCs/>
        </w:rPr>
      </w:pPr>
      <w:r w:rsidRPr="009425AF">
        <w:rPr>
          <w:rFonts w:ascii="Times New Roman" w:eastAsia="Calibri" w:hAnsi="Times New Roman" w:cs="Times New Roman"/>
          <w:bCs/>
        </w:rPr>
        <w:t>2 kredit</w:t>
      </w:r>
    </w:p>
    <w:p w:rsidR="009425AF" w:rsidRPr="00C3338E" w:rsidRDefault="009425AF" w:rsidP="00980876">
      <w:pPr>
        <w:widowControl w:val="0"/>
        <w:numPr>
          <w:ilvl w:val="1"/>
          <w:numId w:val="853"/>
        </w:numPr>
        <w:spacing w:before="120" w:after="120" w:line="360" w:lineRule="auto"/>
        <w:ind w:left="788" w:hanging="431"/>
        <w:contextualSpacing/>
        <w:jc w:val="both"/>
        <w:rPr>
          <w:rFonts w:ascii="Times New Roman" w:eastAsia="Calibri" w:hAnsi="Times New Roman" w:cs="Times New Roman"/>
          <w:b/>
          <w:bCs/>
          <w:color w:val="FF0000"/>
          <w:highlight w:val="yellow"/>
        </w:rPr>
      </w:pPr>
      <w:r w:rsidRPr="00C3338E">
        <w:rPr>
          <w:rFonts w:ascii="Times New Roman" w:eastAsia="Calibri" w:hAnsi="Times New Roman" w:cs="Times New Roman"/>
          <w:bCs/>
          <w:color w:val="FF0000"/>
          <w:highlight w:val="yellow"/>
        </w:rPr>
        <w:t xml:space="preserve">a tantárgy elméleti vagy gyakorlati jellegének mértéke: </w:t>
      </w:r>
      <w:r w:rsidR="00C3338E" w:rsidRPr="00C3338E">
        <w:rPr>
          <w:rFonts w:ascii="Times New Roman" w:eastAsia="Calibri" w:hAnsi="Times New Roman" w:cs="Times New Roman"/>
          <w:bCs/>
          <w:color w:val="FF0000"/>
          <w:highlight w:val="yellow"/>
        </w:rPr>
        <w:t>50</w:t>
      </w:r>
      <w:r w:rsidRPr="00C3338E">
        <w:rPr>
          <w:rFonts w:ascii="Times New Roman" w:eastAsia="Calibri" w:hAnsi="Times New Roman" w:cs="Times New Roman"/>
          <w:b/>
          <w:bCs/>
          <w:color w:val="FF0000"/>
          <w:highlight w:val="yellow"/>
        </w:rPr>
        <w:t xml:space="preserve"> </w:t>
      </w:r>
      <w:r w:rsidRPr="00C3338E">
        <w:rPr>
          <w:rFonts w:ascii="Times New Roman" w:eastAsia="Calibri" w:hAnsi="Times New Roman" w:cs="Times New Roman"/>
          <w:bCs/>
          <w:color w:val="FF0000"/>
          <w:highlight w:val="yellow"/>
        </w:rPr>
        <w:t>% elmélet</w:t>
      </w:r>
      <w:r w:rsidRPr="00C3338E">
        <w:rPr>
          <w:rFonts w:ascii="Times New Roman" w:eastAsia="Calibri" w:hAnsi="Times New Roman" w:cs="Times New Roman"/>
          <w:bCs/>
          <w:color w:val="FF0000"/>
          <w:highlight w:val="yellow"/>
          <w:lang w:eastAsia="hu-HU"/>
        </w:rPr>
        <w:t xml:space="preserve"> </w:t>
      </w:r>
      <w:r w:rsidR="00C3338E" w:rsidRPr="00C3338E">
        <w:rPr>
          <w:rFonts w:ascii="Times New Roman" w:eastAsia="Calibri" w:hAnsi="Times New Roman" w:cs="Times New Roman"/>
          <w:bCs/>
          <w:color w:val="FF0000"/>
          <w:highlight w:val="yellow"/>
        </w:rPr>
        <w:t>50</w:t>
      </w:r>
      <w:r w:rsidR="00C3338E" w:rsidRPr="00C3338E">
        <w:rPr>
          <w:rFonts w:ascii="Times New Roman" w:eastAsia="Calibri" w:hAnsi="Times New Roman" w:cs="Times New Roman"/>
          <w:b/>
          <w:bCs/>
          <w:color w:val="FF0000"/>
          <w:highlight w:val="yellow"/>
        </w:rPr>
        <w:t xml:space="preserve"> </w:t>
      </w:r>
      <w:r w:rsidR="00C3338E" w:rsidRPr="00C3338E">
        <w:rPr>
          <w:rFonts w:ascii="Times New Roman" w:eastAsia="Calibri" w:hAnsi="Times New Roman" w:cs="Times New Roman"/>
          <w:bCs/>
          <w:color w:val="FF0000"/>
          <w:highlight w:val="yellow"/>
        </w:rPr>
        <w:t>% gyakorlat</w:t>
      </w:r>
    </w:p>
    <w:p w:rsidR="009425AF" w:rsidRPr="009425AF" w:rsidRDefault="009425AF" w:rsidP="00980876">
      <w:pPr>
        <w:numPr>
          <w:ilvl w:val="0"/>
          <w:numId w:val="853"/>
        </w:numPr>
        <w:tabs>
          <w:tab w:val="right" w:pos="900"/>
        </w:tabs>
        <w:spacing w:before="120" w:after="0" w:line="240" w:lineRule="auto"/>
        <w:ind w:left="357" w:hanging="357"/>
        <w:jc w:val="both"/>
        <w:rPr>
          <w:rFonts w:ascii="Times New Roman" w:eastAsia="Calibri" w:hAnsi="Times New Roman" w:cs="Times New Roman"/>
          <w:bCs/>
          <w:lang w:eastAsia="hu-HU"/>
        </w:rPr>
      </w:pPr>
      <w:r w:rsidRPr="009425AF">
        <w:rPr>
          <w:rFonts w:ascii="Times New Roman" w:eastAsia="Calibri" w:hAnsi="Times New Roman" w:cs="Times New Roman"/>
          <w:b/>
          <w:bCs/>
          <w:lang w:eastAsia="hu-HU"/>
        </w:rPr>
        <w:t xml:space="preserve">A szak(ok), </w:t>
      </w:r>
      <w:r w:rsidRPr="009425AF">
        <w:rPr>
          <w:rFonts w:ascii="Times New Roman" w:eastAsia="Calibri" w:hAnsi="Times New Roman" w:cs="Times New Roman"/>
          <w:b/>
          <w:bCs/>
        </w:rPr>
        <w:t>szakirányok</w:t>
      </w:r>
      <w:r w:rsidRPr="009425AF">
        <w:rPr>
          <w:rFonts w:ascii="Times New Roman" w:eastAsia="Calibri" w:hAnsi="Times New Roman" w:cs="Times New Roman"/>
          <w:b/>
          <w:bCs/>
          <w:lang w:eastAsia="hu-HU"/>
        </w:rPr>
        <w:t xml:space="preserve"> megnevezése (ahol oktatják):</w:t>
      </w:r>
      <w:r w:rsidRPr="009425AF">
        <w:rPr>
          <w:rFonts w:ascii="Times New Roman" w:eastAsia="Calibri" w:hAnsi="Times New Roman" w:cs="Times New Roman"/>
          <w:bCs/>
          <w:lang w:eastAsia="hu-HU"/>
        </w:rPr>
        <w:t xml:space="preserve"> A Nemzeti Közszolgálati Egyetem Hadtudományi és Honvédtisztképző Karának minden alapképzési szakán nappali munkarendben</w:t>
      </w:r>
    </w:p>
    <w:p w:rsidR="009425AF" w:rsidRPr="009425AF" w:rsidRDefault="009425AF" w:rsidP="00980876">
      <w:pPr>
        <w:numPr>
          <w:ilvl w:val="0"/>
          <w:numId w:val="853"/>
        </w:numPr>
        <w:tabs>
          <w:tab w:val="right" w:pos="900"/>
        </w:tabs>
        <w:spacing w:before="120" w:after="0" w:line="240" w:lineRule="auto"/>
        <w:ind w:left="357" w:hanging="357"/>
        <w:jc w:val="both"/>
        <w:rPr>
          <w:rFonts w:ascii="Times New Roman" w:eastAsia="Calibri" w:hAnsi="Times New Roman" w:cs="Times New Roman"/>
          <w:b/>
          <w:bCs/>
          <w:lang w:eastAsia="hu-HU"/>
        </w:rPr>
      </w:pPr>
      <w:r w:rsidRPr="009425AF">
        <w:rPr>
          <w:rFonts w:ascii="Times New Roman" w:eastAsia="Calibri" w:hAnsi="Times New Roman" w:cs="Times New Roman"/>
          <w:b/>
          <w:bCs/>
        </w:rPr>
        <w:t xml:space="preserve">Az oktatásért felelős oktatási szervezeti egység megnevezése: </w:t>
      </w:r>
      <w:r w:rsidRPr="009425AF">
        <w:rPr>
          <w:rFonts w:ascii="Times New Roman" w:eastAsia="Calibri" w:hAnsi="Times New Roman" w:cs="Times New Roman"/>
          <w:bCs/>
          <w:lang w:eastAsia="hu-HU"/>
        </w:rPr>
        <w:t>Hadtudományi és Honvédtisztképző Kar, Idegennyelvi és Szaknyelvi Lektorátus</w:t>
      </w:r>
    </w:p>
    <w:p w:rsidR="009425AF" w:rsidRPr="009425AF" w:rsidRDefault="009425AF" w:rsidP="00980876">
      <w:pPr>
        <w:numPr>
          <w:ilvl w:val="0"/>
          <w:numId w:val="853"/>
        </w:numPr>
        <w:tabs>
          <w:tab w:val="right" w:pos="900"/>
        </w:tabs>
        <w:spacing w:before="120" w:after="0" w:line="240" w:lineRule="auto"/>
        <w:ind w:left="357" w:hanging="357"/>
        <w:jc w:val="both"/>
        <w:rPr>
          <w:rFonts w:ascii="Times New Roman" w:eastAsia="Calibri" w:hAnsi="Times New Roman" w:cs="Times New Roman"/>
          <w:bCs/>
          <w:lang w:eastAsia="hu-HU"/>
        </w:rPr>
      </w:pPr>
      <w:r w:rsidRPr="009425AF">
        <w:rPr>
          <w:rFonts w:ascii="Times New Roman" w:eastAsia="Calibri" w:hAnsi="Times New Roman" w:cs="Times New Roman"/>
          <w:b/>
          <w:bCs/>
          <w:lang w:eastAsia="hu-HU"/>
        </w:rPr>
        <w:t xml:space="preserve">A tantárgyfelelős oktató neve, beosztása, tudományos fokozata: </w:t>
      </w:r>
      <w:r w:rsidRPr="009425AF">
        <w:rPr>
          <w:rFonts w:ascii="Times New Roman" w:eastAsia="Calibri" w:hAnsi="Times New Roman" w:cs="Times New Roman"/>
          <w:bCs/>
          <w:lang w:eastAsia="hu-HU"/>
        </w:rPr>
        <w:t>Dr. Kiss Gabriella lektorátusvezető</w:t>
      </w:r>
    </w:p>
    <w:p w:rsidR="009425AF" w:rsidRPr="009425AF" w:rsidRDefault="009425AF" w:rsidP="00980876">
      <w:pPr>
        <w:numPr>
          <w:ilvl w:val="0"/>
          <w:numId w:val="853"/>
        </w:numPr>
        <w:tabs>
          <w:tab w:val="right" w:pos="900"/>
        </w:tabs>
        <w:spacing w:before="120" w:after="0" w:line="240" w:lineRule="auto"/>
        <w:jc w:val="both"/>
        <w:rPr>
          <w:rFonts w:ascii="Times New Roman" w:eastAsia="Calibri" w:hAnsi="Times New Roman" w:cs="Times New Roman"/>
          <w:bCs/>
          <w:lang w:eastAsia="hu-HU"/>
        </w:rPr>
      </w:pPr>
      <w:r w:rsidRPr="009425AF">
        <w:rPr>
          <w:rFonts w:ascii="Times New Roman" w:eastAsia="Calibri" w:hAnsi="Times New Roman" w:cs="Times New Roman"/>
          <w:b/>
          <w:bCs/>
          <w:lang w:eastAsia="hu-HU"/>
        </w:rPr>
        <w:t xml:space="preserve">A tanórákszáma és típusa </w:t>
      </w:r>
      <w:r w:rsidRPr="009425AF">
        <w:rPr>
          <w:rFonts w:ascii="Times New Roman" w:eastAsia="Calibri" w:hAnsi="Times New Roman" w:cs="Times New Roman"/>
          <w:b/>
          <w:bCs/>
          <w:i/>
          <w:lang w:eastAsia="hu-HU"/>
        </w:rPr>
        <w:t>(előadás+szeminárium+gyakorlat):</w:t>
      </w:r>
    </w:p>
    <w:p w:rsidR="009425AF" w:rsidRPr="009425AF" w:rsidRDefault="009425AF" w:rsidP="00980876">
      <w:pPr>
        <w:numPr>
          <w:ilvl w:val="1"/>
          <w:numId w:val="853"/>
        </w:numPr>
        <w:tabs>
          <w:tab w:val="right" w:pos="900"/>
        </w:tabs>
        <w:spacing w:before="120" w:after="0" w:line="240" w:lineRule="auto"/>
        <w:jc w:val="both"/>
        <w:rPr>
          <w:rFonts w:ascii="Times New Roman" w:eastAsia="Calibri" w:hAnsi="Times New Roman" w:cs="Times New Roman"/>
          <w:bCs/>
          <w:lang w:eastAsia="hu-HU"/>
        </w:rPr>
      </w:pPr>
      <w:r w:rsidRPr="009425AF">
        <w:rPr>
          <w:rFonts w:ascii="Times New Roman" w:eastAsia="Calibri" w:hAnsi="Times New Roman" w:cs="Times New Roman"/>
          <w:bCs/>
          <w:lang w:eastAsia="hu-HU"/>
        </w:rPr>
        <w:t>összóraszám/félév: 28</w:t>
      </w:r>
    </w:p>
    <w:p w:rsidR="009425AF" w:rsidRPr="009425AF" w:rsidRDefault="009425AF" w:rsidP="00980876">
      <w:pPr>
        <w:numPr>
          <w:ilvl w:val="2"/>
          <w:numId w:val="853"/>
        </w:numPr>
        <w:tabs>
          <w:tab w:val="right" w:pos="900"/>
        </w:tabs>
        <w:spacing w:before="120" w:after="0" w:line="240" w:lineRule="auto"/>
        <w:jc w:val="both"/>
        <w:rPr>
          <w:rFonts w:ascii="Times New Roman" w:eastAsia="Calibri" w:hAnsi="Times New Roman" w:cs="Times New Roman"/>
          <w:bCs/>
          <w:lang w:eastAsia="hu-HU"/>
        </w:rPr>
      </w:pPr>
      <w:r w:rsidRPr="009425AF">
        <w:rPr>
          <w:rFonts w:ascii="Times New Roman" w:eastAsia="Calibri" w:hAnsi="Times New Roman" w:cs="Times New Roman"/>
          <w:bCs/>
          <w:lang w:eastAsia="hu-HU"/>
        </w:rPr>
        <w:t>Nappali munkarend: 28 (</w:t>
      </w:r>
      <w:r>
        <w:rPr>
          <w:rFonts w:ascii="Times New Roman" w:eastAsia="Calibri" w:hAnsi="Times New Roman" w:cs="Times New Roman"/>
          <w:bCs/>
          <w:lang w:eastAsia="hu-HU"/>
        </w:rPr>
        <w:t>14</w:t>
      </w:r>
      <w:r w:rsidRPr="009425AF">
        <w:rPr>
          <w:rFonts w:ascii="Times New Roman" w:eastAsia="Calibri" w:hAnsi="Times New Roman" w:cs="Times New Roman"/>
          <w:bCs/>
          <w:lang w:eastAsia="hu-HU"/>
        </w:rPr>
        <w:t xml:space="preserve"> EA + 0 SZ + </w:t>
      </w:r>
      <w:r>
        <w:rPr>
          <w:rFonts w:ascii="Times New Roman" w:eastAsia="Calibri" w:hAnsi="Times New Roman" w:cs="Times New Roman"/>
          <w:bCs/>
          <w:lang w:eastAsia="hu-HU"/>
        </w:rPr>
        <w:t>14</w:t>
      </w:r>
      <w:r w:rsidRPr="009425AF">
        <w:rPr>
          <w:rFonts w:ascii="Times New Roman" w:eastAsia="Calibri" w:hAnsi="Times New Roman" w:cs="Times New Roman"/>
          <w:bCs/>
          <w:lang w:eastAsia="hu-HU"/>
        </w:rPr>
        <w:t xml:space="preserve"> GY)</w:t>
      </w:r>
    </w:p>
    <w:p w:rsidR="009425AF" w:rsidRPr="009425AF" w:rsidRDefault="009425AF" w:rsidP="00980876">
      <w:pPr>
        <w:numPr>
          <w:ilvl w:val="2"/>
          <w:numId w:val="853"/>
        </w:numPr>
        <w:tabs>
          <w:tab w:val="right" w:pos="900"/>
        </w:tabs>
        <w:spacing w:before="120" w:after="0" w:line="240" w:lineRule="auto"/>
        <w:jc w:val="both"/>
        <w:rPr>
          <w:rFonts w:ascii="Times New Roman" w:eastAsia="Calibri" w:hAnsi="Times New Roman" w:cs="Times New Roman"/>
          <w:bCs/>
          <w:lang w:eastAsia="hu-HU"/>
        </w:rPr>
      </w:pPr>
      <w:r w:rsidRPr="009425AF">
        <w:rPr>
          <w:rFonts w:ascii="Times New Roman" w:eastAsia="Calibri" w:hAnsi="Times New Roman" w:cs="Times New Roman"/>
          <w:bCs/>
          <w:lang w:eastAsia="hu-HU"/>
        </w:rPr>
        <w:t>Levelező munkarend: -</w:t>
      </w:r>
    </w:p>
    <w:p w:rsidR="009425AF" w:rsidRPr="009425AF" w:rsidRDefault="009425AF" w:rsidP="00980876">
      <w:pPr>
        <w:numPr>
          <w:ilvl w:val="1"/>
          <w:numId w:val="853"/>
        </w:numPr>
        <w:tabs>
          <w:tab w:val="right" w:pos="900"/>
        </w:tabs>
        <w:spacing w:before="120" w:after="0" w:line="240" w:lineRule="auto"/>
        <w:jc w:val="both"/>
        <w:rPr>
          <w:rFonts w:ascii="Times New Roman" w:eastAsia="Calibri" w:hAnsi="Times New Roman" w:cs="Times New Roman"/>
          <w:bCs/>
          <w:lang w:eastAsia="hu-HU"/>
        </w:rPr>
      </w:pPr>
      <w:r w:rsidRPr="009425AF">
        <w:rPr>
          <w:rFonts w:ascii="Times New Roman" w:eastAsia="Calibri" w:hAnsi="Times New Roman" w:cs="Times New Roman"/>
          <w:bCs/>
          <w:lang w:eastAsia="hu-HU"/>
        </w:rPr>
        <w:t>heti óraszám nappali munkarend: 2</w:t>
      </w:r>
      <w:r>
        <w:rPr>
          <w:rFonts w:ascii="Times New Roman" w:eastAsia="Calibri" w:hAnsi="Times New Roman" w:cs="Times New Roman"/>
          <w:bCs/>
          <w:lang w:eastAsia="hu-HU"/>
        </w:rPr>
        <w:t xml:space="preserve"> (1+1)</w:t>
      </w:r>
    </w:p>
    <w:p w:rsidR="009425AF" w:rsidRPr="009425AF" w:rsidRDefault="009425AF" w:rsidP="00980876">
      <w:pPr>
        <w:numPr>
          <w:ilvl w:val="1"/>
          <w:numId w:val="853"/>
        </w:numPr>
        <w:tabs>
          <w:tab w:val="right" w:pos="900"/>
        </w:tabs>
        <w:spacing w:before="120" w:after="0" w:line="240" w:lineRule="auto"/>
        <w:jc w:val="both"/>
        <w:rPr>
          <w:rFonts w:ascii="Times New Roman" w:eastAsia="Calibri" w:hAnsi="Times New Roman" w:cs="Times New Roman"/>
          <w:bCs/>
          <w:lang w:eastAsia="hu-HU"/>
        </w:rPr>
      </w:pPr>
      <w:r w:rsidRPr="009425AF">
        <w:rPr>
          <w:rFonts w:ascii="Times New Roman" w:eastAsia="Calibri" w:hAnsi="Times New Roman" w:cs="Times New Roman"/>
        </w:rPr>
        <w:t>Az ismeret átadásában alkalmazandó további sajátos módok, jellemzők:</w:t>
      </w:r>
    </w:p>
    <w:p w:rsidR="009425AF" w:rsidRPr="009425AF" w:rsidRDefault="009425AF" w:rsidP="00980876">
      <w:pPr>
        <w:numPr>
          <w:ilvl w:val="0"/>
          <w:numId w:val="853"/>
        </w:numPr>
        <w:tabs>
          <w:tab w:val="right" w:pos="900"/>
          <w:tab w:val="center" w:pos="4536"/>
          <w:tab w:val="right" w:pos="9072"/>
        </w:tabs>
        <w:spacing w:before="120" w:after="0" w:line="240" w:lineRule="auto"/>
        <w:ind w:left="357" w:hanging="357"/>
        <w:jc w:val="both"/>
        <w:rPr>
          <w:rFonts w:ascii="Times New Roman" w:eastAsia="Calibri" w:hAnsi="Times New Roman" w:cs="Times New Roman"/>
          <w:bCs/>
          <w:lang w:eastAsia="hu-HU"/>
        </w:rPr>
      </w:pPr>
      <w:r w:rsidRPr="009425AF">
        <w:rPr>
          <w:rFonts w:ascii="Times New Roman" w:eastAsia="Calibri" w:hAnsi="Times New Roman" w:cs="Times New Roman"/>
          <w:b/>
          <w:bCs/>
          <w:lang w:eastAsia="hu-HU"/>
        </w:rPr>
        <w:t xml:space="preserve">A tantárgy szakmai tartalma (magyarul): </w:t>
      </w:r>
      <w:r w:rsidRPr="009425AF">
        <w:rPr>
          <w:rFonts w:ascii="Times New Roman" w:eastAsia="Calibri" w:hAnsi="Times New Roman" w:cs="Times New Roman"/>
          <w:bCs/>
          <w:lang w:eastAsia="hu-HU"/>
        </w:rPr>
        <w:t>A szakmai angol nyelv (STANAG 3) alapvető ismereteinek elsajátítása, beszédkészség, beszédértés és íráskészségek fejlesztése.</w:t>
      </w:r>
    </w:p>
    <w:p w:rsidR="009425AF" w:rsidRPr="009425AF" w:rsidRDefault="009425AF" w:rsidP="009425AF">
      <w:pPr>
        <w:spacing w:before="120" w:after="0" w:line="240" w:lineRule="auto"/>
        <w:ind w:left="357"/>
        <w:contextualSpacing/>
        <w:jc w:val="both"/>
        <w:rPr>
          <w:rFonts w:ascii="Times New Roman" w:eastAsia="Calibri" w:hAnsi="Times New Roman" w:cs="Times New Roman"/>
          <w:bCs/>
          <w:lang w:eastAsia="hu-HU"/>
        </w:rPr>
      </w:pPr>
      <w:r w:rsidRPr="009425AF">
        <w:rPr>
          <w:rFonts w:ascii="Times New Roman" w:eastAsia="Calibri" w:hAnsi="Times New Roman" w:cs="Times New Roman"/>
          <w:b/>
          <w:bCs/>
          <w:lang w:eastAsia="hu-HU"/>
        </w:rPr>
        <w:t>A tantárgy szakmai tartalma (angolul):</w:t>
      </w:r>
      <w:r w:rsidRPr="009425AF">
        <w:rPr>
          <w:rFonts w:ascii="Times New Roman" w:eastAsia="Calibri" w:hAnsi="Times New Roman" w:cs="Times New Roman"/>
          <w:bCs/>
          <w:lang w:eastAsia="hu-HU"/>
        </w:rPr>
        <w:t xml:space="preserve"> Basic acquirement of professional English language (STANAG 3), and the enhancement of speaking, listening, and writing skills.</w:t>
      </w:r>
    </w:p>
    <w:p w:rsidR="009425AF" w:rsidRPr="009425AF" w:rsidRDefault="009425AF" w:rsidP="00980876">
      <w:pPr>
        <w:numPr>
          <w:ilvl w:val="0"/>
          <w:numId w:val="853"/>
        </w:numPr>
        <w:tabs>
          <w:tab w:val="right" w:pos="900"/>
        </w:tabs>
        <w:spacing w:before="120" w:after="0" w:line="240" w:lineRule="auto"/>
        <w:jc w:val="both"/>
        <w:rPr>
          <w:rFonts w:ascii="Times New Roman" w:eastAsia="Calibri" w:hAnsi="Times New Roman" w:cs="Times New Roman"/>
          <w:bCs/>
          <w:lang w:eastAsia="hu-HU"/>
        </w:rPr>
      </w:pPr>
      <w:r w:rsidRPr="009425AF">
        <w:rPr>
          <w:rFonts w:ascii="Times New Roman" w:eastAsia="Calibri" w:hAnsi="Times New Roman" w:cs="Times New Roman"/>
          <w:b/>
          <w:bCs/>
          <w:lang w:eastAsia="hu-HU"/>
        </w:rPr>
        <w:t>Elérendő kompetenciák (magyarul):</w:t>
      </w:r>
    </w:p>
    <w:p w:rsidR="009425AF" w:rsidRPr="009425AF" w:rsidRDefault="009425AF" w:rsidP="009425AF">
      <w:pPr>
        <w:tabs>
          <w:tab w:val="right" w:pos="900"/>
        </w:tabs>
        <w:spacing w:before="120" w:after="0" w:line="240" w:lineRule="auto"/>
        <w:jc w:val="both"/>
        <w:rPr>
          <w:rFonts w:ascii="Times New Roman" w:eastAsia="Calibri" w:hAnsi="Times New Roman" w:cs="Times New Roman"/>
          <w:bCs/>
          <w:lang w:eastAsia="hu-HU"/>
        </w:rPr>
      </w:pPr>
      <w:r w:rsidRPr="009425AF">
        <w:rPr>
          <w:rFonts w:ascii="Times New Roman" w:eastAsia="Calibri" w:hAnsi="Times New Roman" w:cs="Times New Roman"/>
          <w:b/>
          <w:bCs/>
          <w:lang w:eastAsia="hu-HU"/>
        </w:rPr>
        <w:t>Tudása:</w:t>
      </w:r>
      <w:r w:rsidRPr="009425AF">
        <w:rPr>
          <w:rFonts w:ascii="Times New Roman" w:eastAsia="Calibri" w:hAnsi="Times New Roman" w:cs="Times New Roman"/>
          <w:bCs/>
          <w:lang w:eastAsia="hu-HU"/>
        </w:rPr>
        <w:t xml:space="preserve"> </w:t>
      </w:r>
    </w:p>
    <w:p w:rsidR="009425AF" w:rsidRPr="009425AF" w:rsidRDefault="009425AF" w:rsidP="00980876">
      <w:pPr>
        <w:numPr>
          <w:ilvl w:val="0"/>
          <w:numId w:val="585"/>
        </w:numPr>
        <w:tabs>
          <w:tab w:val="right" w:pos="900"/>
        </w:tabs>
        <w:spacing w:after="0" w:line="240" w:lineRule="auto"/>
        <w:ind w:left="426"/>
        <w:contextualSpacing/>
        <w:jc w:val="both"/>
        <w:rPr>
          <w:rFonts w:ascii="Times New Roman" w:eastAsia="Calibri" w:hAnsi="Times New Roman" w:cs="Times New Roman"/>
          <w:bCs/>
          <w:lang w:eastAsia="hu-HU"/>
        </w:rPr>
      </w:pPr>
      <w:r w:rsidRPr="009425AF">
        <w:rPr>
          <w:rFonts w:ascii="Times New Roman" w:eastAsia="Calibri" w:hAnsi="Times New Roman" w:cs="Times New Roman"/>
          <w:bCs/>
          <w:lang w:eastAsia="hu-HU"/>
        </w:rPr>
        <w:t>Birtokában van azon nyelvtani ismereteknek, melyek szükségesek a szakmai nyelvi ismeretekkel kapcsolatos kommunikáció lebonyolításához írásban és szóban is.</w:t>
      </w:r>
    </w:p>
    <w:p w:rsidR="009425AF" w:rsidRPr="009425AF" w:rsidRDefault="009425AF" w:rsidP="009425AF">
      <w:pPr>
        <w:tabs>
          <w:tab w:val="right" w:pos="900"/>
        </w:tabs>
        <w:spacing w:before="120" w:after="0" w:line="240" w:lineRule="auto"/>
        <w:jc w:val="both"/>
        <w:rPr>
          <w:rFonts w:ascii="Times New Roman" w:eastAsia="Calibri" w:hAnsi="Times New Roman" w:cs="Times New Roman"/>
          <w:bCs/>
          <w:lang w:eastAsia="hu-HU"/>
        </w:rPr>
      </w:pPr>
      <w:r w:rsidRPr="009425AF">
        <w:rPr>
          <w:rFonts w:ascii="Times New Roman" w:eastAsia="Calibri" w:hAnsi="Times New Roman" w:cs="Times New Roman"/>
          <w:b/>
          <w:bCs/>
          <w:lang w:eastAsia="hu-HU"/>
        </w:rPr>
        <w:t>Képességei:</w:t>
      </w:r>
      <w:r w:rsidRPr="009425AF">
        <w:rPr>
          <w:rFonts w:ascii="Times New Roman" w:eastAsia="Calibri" w:hAnsi="Times New Roman" w:cs="Times New Roman"/>
          <w:bCs/>
          <w:lang w:eastAsia="hu-HU"/>
        </w:rPr>
        <w:t xml:space="preserve"> </w:t>
      </w:r>
    </w:p>
    <w:p w:rsidR="009425AF" w:rsidRPr="009425AF" w:rsidRDefault="009425AF" w:rsidP="00980876">
      <w:pPr>
        <w:numPr>
          <w:ilvl w:val="0"/>
          <w:numId w:val="584"/>
        </w:numPr>
        <w:tabs>
          <w:tab w:val="right" w:pos="900"/>
        </w:tabs>
        <w:spacing w:after="0" w:line="240" w:lineRule="auto"/>
        <w:ind w:left="426"/>
        <w:contextualSpacing/>
        <w:jc w:val="both"/>
        <w:rPr>
          <w:rFonts w:ascii="Times New Roman" w:eastAsia="Calibri" w:hAnsi="Times New Roman" w:cs="Times New Roman"/>
          <w:bCs/>
          <w:lang w:eastAsia="hu-HU"/>
        </w:rPr>
      </w:pPr>
      <w:r w:rsidRPr="009425AF">
        <w:rPr>
          <w:rFonts w:ascii="Times New Roman" w:eastAsia="Calibri" w:hAnsi="Times New Roman" w:cs="Times New Roman"/>
          <w:bCs/>
          <w:lang w:eastAsia="hu-HU"/>
        </w:rPr>
        <w:t>Képes prezentációkat tartani angol nyelven.</w:t>
      </w:r>
    </w:p>
    <w:p w:rsidR="009425AF" w:rsidRPr="009425AF" w:rsidRDefault="009425AF" w:rsidP="00980876">
      <w:pPr>
        <w:numPr>
          <w:ilvl w:val="0"/>
          <w:numId w:val="584"/>
        </w:numPr>
        <w:tabs>
          <w:tab w:val="right" w:pos="900"/>
        </w:tabs>
        <w:spacing w:after="0" w:line="240" w:lineRule="auto"/>
        <w:ind w:left="426"/>
        <w:contextualSpacing/>
        <w:jc w:val="both"/>
        <w:rPr>
          <w:rFonts w:ascii="Times New Roman" w:eastAsia="Calibri" w:hAnsi="Times New Roman" w:cs="Times New Roman"/>
          <w:bCs/>
          <w:lang w:eastAsia="hu-HU"/>
        </w:rPr>
      </w:pPr>
      <w:r w:rsidRPr="009425AF">
        <w:rPr>
          <w:rFonts w:ascii="Times New Roman" w:eastAsia="Calibri" w:hAnsi="Times New Roman" w:cs="Times New Roman"/>
          <w:bCs/>
          <w:lang w:eastAsia="hu-HU"/>
        </w:rPr>
        <w:t>Képes a szakterületéhez kapcsolódó angol nyelvű prezentációk, eligazítások és munkával kapcsolatos megbeszélések lényegét megérteni.</w:t>
      </w:r>
    </w:p>
    <w:p w:rsidR="009425AF" w:rsidRPr="009425AF" w:rsidRDefault="009425AF" w:rsidP="00980876">
      <w:pPr>
        <w:numPr>
          <w:ilvl w:val="0"/>
          <w:numId w:val="584"/>
        </w:numPr>
        <w:tabs>
          <w:tab w:val="right" w:pos="900"/>
        </w:tabs>
        <w:spacing w:after="0" w:line="240" w:lineRule="auto"/>
        <w:ind w:left="426"/>
        <w:contextualSpacing/>
        <w:jc w:val="both"/>
        <w:rPr>
          <w:rFonts w:ascii="Times New Roman" w:eastAsia="Calibri" w:hAnsi="Times New Roman" w:cs="Times New Roman"/>
          <w:bCs/>
          <w:lang w:eastAsia="hu-HU"/>
        </w:rPr>
      </w:pPr>
      <w:r w:rsidRPr="009425AF">
        <w:rPr>
          <w:rFonts w:ascii="Times New Roman" w:eastAsia="Calibri" w:hAnsi="Times New Roman" w:cs="Times New Roman"/>
        </w:rPr>
        <w:t>Képes oly mértékben folyékonyan és spontánul kommunikálni anyanyelvi beszélőkkel, hogy az nem jelent megerőltetést semelyik fél számára.</w:t>
      </w:r>
    </w:p>
    <w:p w:rsidR="009425AF" w:rsidRPr="009425AF" w:rsidRDefault="009425AF" w:rsidP="00980876">
      <w:pPr>
        <w:numPr>
          <w:ilvl w:val="0"/>
          <w:numId w:val="584"/>
        </w:numPr>
        <w:tabs>
          <w:tab w:val="right" w:pos="900"/>
        </w:tabs>
        <w:spacing w:after="0" w:line="240" w:lineRule="auto"/>
        <w:ind w:left="426"/>
        <w:contextualSpacing/>
        <w:jc w:val="both"/>
        <w:rPr>
          <w:rFonts w:ascii="Times New Roman" w:eastAsia="Calibri" w:hAnsi="Times New Roman" w:cs="Times New Roman"/>
          <w:bCs/>
          <w:lang w:eastAsia="hu-HU"/>
        </w:rPr>
      </w:pPr>
      <w:r w:rsidRPr="009425AF">
        <w:rPr>
          <w:rFonts w:ascii="Times New Roman" w:eastAsia="Calibri" w:hAnsi="Times New Roman" w:cs="Times New Roman"/>
          <w:bCs/>
          <w:lang w:eastAsia="hu-HU"/>
        </w:rPr>
        <w:t>Képes angol nyelven dokumentumokat, nyomtatványokat, jegyzőkönyveket, feljegyzéseket készíteni, valamint azokat kitölteni.</w:t>
      </w:r>
    </w:p>
    <w:p w:rsidR="009425AF" w:rsidRPr="009425AF" w:rsidRDefault="009425AF" w:rsidP="009425AF">
      <w:pPr>
        <w:tabs>
          <w:tab w:val="right" w:pos="900"/>
        </w:tabs>
        <w:spacing w:before="120" w:after="0" w:line="240" w:lineRule="auto"/>
        <w:jc w:val="both"/>
        <w:rPr>
          <w:rFonts w:ascii="Times New Roman" w:eastAsia="Calibri" w:hAnsi="Times New Roman" w:cs="Times New Roman"/>
          <w:bCs/>
          <w:lang w:eastAsia="hu-HU"/>
        </w:rPr>
      </w:pPr>
      <w:r w:rsidRPr="009425AF">
        <w:rPr>
          <w:rFonts w:ascii="Times New Roman" w:eastAsia="Calibri" w:hAnsi="Times New Roman" w:cs="Times New Roman"/>
          <w:b/>
          <w:bCs/>
          <w:lang w:eastAsia="hu-HU"/>
        </w:rPr>
        <w:t>Attitüdje:</w:t>
      </w:r>
      <w:r w:rsidRPr="009425AF">
        <w:rPr>
          <w:rFonts w:ascii="Times New Roman" w:eastAsia="Calibri" w:hAnsi="Times New Roman" w:cs="Times New Roman"/>
          <w:bCs/>
          <w:lang w:eastAsia="hu-HU"/>
        </w:rPr>
        <w:t xml:space="preserve"> </w:t>
      </w:r>
    </w:p>
    <w:p w:rsidR="009425AF" w:rsidRPr="009425AF" w:rsidRDefault="009425AF" w:rsidP="00980876">
      <w:pPr>
        <w:numPr>
          <w:ilvl w:val="0"/>
          <w:numId w:val="5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contextualSpacing/>
        <w:jc w:val="both"/>
        <w:rPr>
          <w:rFonts w:ascii="Times New Roman" w:eastAsia="Calibri" w:hAnsi="Times New Roman" w:cs="Times New Roman"/>
        </w:rPr>
      </w:pPr>
      <w:r w:rsidRPr="009425AF">
        <w:rPr>
          <w:rFonts w:ascii="Times New Roman" w:eastAsia="Calibri" w:hAnsi="Times New Roman" w:cs="Times New Roman"/>
        </w:rPr>
        <w:t>Hajlandó elsajátítani új ismereteket, igyekszik annak megértésére és használatára, és törekszik a saját szakterületén a folyamatos nyelvi vonatkozású önképzésre.</w:t>
      </w:r>
    </w:p>
    <w:p w:rsidR="009425AF" w:rsidRPr="009425AF" w:rsidRDefault="009425AF" w:rsidP="00980876">
      <w:pPr>
        <w:numPr>
          <w:ilvl w:val="0"/>
          <w:numId w:val="5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contextualSpacing/>
        <w:jc w:val="both"/>
        <w:rPr>
          <w:rFonts w:ascii="Times New Roman" w:eastAsia="Calibri" w:hAnsi="Times New Roman" w:cs="Times New Roman"/>
        </w:rPr>
      </w:pPr>
      <w:r w:rsidRPr="009425AF">
        <w:rPr>
          <w:rFonts w:ascii="Times New Roman" w:eastAsia="Calibri" w:hAnsi="Times New Roman" w:cs="Times New Roman"/>
        </w:rPr>
        <w:t>Az angol nyelv használata során pontosságra törekszik.</w:t>
      </w:r>
    </w:p>
    <w:p w:rsidR="009425AF" w:rsidRPr="009425AF" w:rsidRDefault="009425AF" w:rsidP="00980876">
      <w:pPr>
        <w:numPr>
          <w:ilvl w:val="0"/>
          <w:numId w:val="5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contextualSpacing/>
        <w:jc w:val="both"/>
        <w:rPr>
          <w:rFonts w:ascii="Times New Roman" w:eastAsia="Calibri" w:hAnsi="Times New Roman" w:cs="Times New Roman"/>
        </w:rPr>
      </w:pPr>
      <w:r w:rsidRPr="009425AF">
        <w:rPr>
          <w:rFonts w:ascii="Times New Roman" w:eastAsia="Calibri" w:hAnsi="Times New Roman" w:cs="Times New Roman"/>
        </w:rPr>
        <w:t>Nem fél vagy szégyell segítséget kérni abban az esetben, ha nehézségekkel szembesül a nyelvhasználat során.</w:t>
      </w:r>
    </w:p>
    <w:p w:rsidR="009425AF" w:rsidRPr="009425AF" w:rsidRDefault="009425AF" w:rsidP="00980876">
      <w:pPr>
        <w:numPr>
          <w:ilvl w:val="0"/>
          <w:numId w:val="5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contextualSpacing/>
        <w:jc w:val="both"/>
        <w:rPr>
          <w:rFonts w:ascii="Times New Roman" w:eastAsia="Calibri" w:hAnsi="Times New Roman" w:cs="Times New Roman"/>
        </w:rPr>
      </w:pPr>
      <w:r w:rsidRPr="009425AF">
        <w:rPr>
          <w:rFonts w:ascii="Times New Roman" w:eastAsia="Calibri" w:hAnsi="Times New Roman" w:cs="Times New Roman"/>
        </w:rPr>
        <w:t>Minden alkalmat megragad nyelvi készségeinek fejlesztésére.</w:t>
      </w:r>
    </w:p>
    <w:p w:rsidR="009425AF" w:rsidRPr="009425AF" w:rsidRDefault="009425AF" w:rsidP="009425AF">
      <w:pPr>
        <w:tabs>
          <w:tab w:val="right" w:pos="900"/>
        </w:tabs>
        <w:spacing w:before="120" w:after="0" w:line="240" w:lineRule="auto"/>
        <w:jc w:val="both"/>
        <w:rPr>
          <w:rFonts w:ascii="Times New Roman" w:eastAsia="Calibri" w:hAnsi="Times New Roman" w:cs="Times New Roman"/>
          <w:bCs/>
          <w:lang w:eastAsia="hu-HU"/>
        </w:rPr>
      </w:pPr>
      <w:r w:rsidRPr="009425AF">
        <w:rPr>
          <w:rFonts w:ascii="Times New Roman" w:eastAsia="Calibri" w:hAnsi="Times New Roman" w:cs="Times New Roman"/>
          <w:b/>
          <w:bCs/>
          <w:lang w:eastAsia="hu-HU"/>
        </w:rPr>
        <w:lastRenderedPageBreak/>
        <w:t>Autonómiája és felelőssége:</w:t>
      </w:r>
      <w:r w:rsidRPr="009425AF">
        <w:rPr>
          <w:rFonts w:ascii="Times New Roman" w:eastAsia="Calibri" w:hAnsi="Times New Roman" w:cs="Times New Roman"/>
          <w:bCs/>
          <w:lang w:eastAsia="hu-HU"/>
        </w:rPr>
        <w:t xml:space="preserve"> </w:t>
      </w:r>
    </w:p>
    <w:p w:rsidR="009425AF" w:rsidRPr="009425AF" w:rsidRDefault="009425AF" w:rsidP="00980876">
      <w:pPr>
        <w:widowControl w:val="0"/>
        <w:numPr>
          <w:ilvl w:val="0"/>
          <w:numId w:val="582"/>
        </w:numPr>
        <w:spacing w:after="0" w:line="240" w:lineRule="auto"/>
        <w:ind w:left="426"/>
        <w:contextualSpacing/>
        <w:jc w:val="both"/>
        <w:rPr>
          <w:rFonts w:ascii="Times New Roman" w:eastAsia="Calibri" w:hAnsi="Times New Roman" w:cs="Times New Roman"/>
          <w:bCs/>
        </w:rPr>
      </w:pPr>
      <w:r w:rsidRPr="009425AF">
        <w:rPr>
          <w:rFonts w:ascii="Times New Roman" w:eastAsia="Calibri" w:hAnsi="Times New Roman" w:cs="Times New Roman"/>
          <w:bCs/>
        </w:rPr>
        <w:t xml:space="preserve">Képes önállóan fejleszteni ismereteit. </w:t>
      </w:r>
    </w:p>
    <w:p w:rsidR="009425AF" w:rsidRPr="009425AF" w:rsidRDefault="009425AF" w:rsidP="00980876">
      <w:pPr>
        <w:widowControl w:val="0"/>
        <w:numPr>
          <w:ilvl w:val="0"/>
          <w:numId w:val="582"/>
        </w:numPr>
        <w:spacing w:after="0" w:line="240" w:lineRule="auto"/>
        <w:ind w:left="426"/>
        <w:contextualSpacing/>
        <w:jc w:val="both"/>
        <w:rPr>
          <w:rFonts w:ascii="Times New Roman" w:eastAsia="Calibri" w:hAnsi="Times New Roman" w:cs="Times New Roman"/>
          <w:bCs/>
        </w:rPr>
      </w:pPr>
      <w:r w:rsidRPr="009425AF">
        <w:rPr>
          <w:rFonts w:ascii="Times New Roman" w:eastAsia="Calibri" w:hAnsi="Times New Roman" w:cs="Times New Roman"/>
          <w:bCs/>
        </w:rPr>
        <w:t xml:space="preserve">Tisztában van az angol nyelven történő hatékony kommunikáció szükségességével többnemzeti környezetben. </w:t>
      </w:r>
    </w:p>
    <w:p w:rsidR="009425AF" w:rsidRPr="009425AF" w:rsidRDefault="009425AF" w:rsidP="00980876">
      <w:pPr>
        <w:widowControl w:val="0"/>
        <w:numPr>
          <w:ilvl w:val="0"/>
          <w:numId w:val="582"/>
        </w:numPr>
        <w:spacing w:after="0" w:line="240" w:lineRule="auto"/>
        <w:ind w:left="426"/>
        <w:contextualSpacing/>
        <w:jc w:val="both"/>
        <w:rPr>
          <w:rFonts w:ascii="Times New Roman" w:eastAsia="Calibri" w:hAnsi="Times New Roman" w:cs="Times New Roman"/>
          <w:bCs/>
        </w:rPr>
      </w:pPr>
      <w:r w:rsidRPr="009425AF">
        <w:rPr>
          <w:rFonts w:ascii="Times New Roman" w:eastAsia="Calibri" w:hAnsi="Times New Roman" w:cs="Times New Roman"/>
          <w:bCs/>
        </w:rPr>
        <w:t>Felelősséget vállal saját angol nyelvű szóbeli és írásbeli kommunikációjáért.</w:t>
      </w:r>
    </w:p>
    <w:p w:rsidR="009425AF" w:rsidRPr="009425AF" w:rsidRDefault="009425AF" w:rsidP="009425AF">
      <w:pPr>
        <w:tabs>
          <w:tab w:val="right" w:pos="900"/>
        </w:tabs>
        <w:spacing w:before="240" w:after="120" w:line="240" w:lineRule="auto"/>
        <w:jc w:val="both"/>
        <w:rPr>
          <w:rFonts w:ascii="Times New Roman" w:eastAsia="Calibri" w:hAnsi="Times New Roman" w:cs="Times New Roman"/>
          <w:bCs/>
          <w:lang w:val="en-GB" w:eastAsia="hu-HU"/>
        </w:rPr>
      </w:pPr>
      <w:r w:rsidRPr="009425AF">
        <w:rPr>
          <w:rFonts w:ascii="Times New Roman" w:eastAsia="Calibri" w:hAnsi="Times New Roman" w:cs="Times New Roman"/>
          <w:b/>
          <w:bCs/>
          <w:lang w:val="en-GB" w:eastAsia="hu-HU"/>
        </w:rPr>
        <w:t>Elérendő kompetenciák (angolul):</w:t>
      </w:r>
    </w:p>
    <w:p w:rsidR="009425AF" w:rsidRPr="009425AF" w:rsidRDefault="009425AF" w:rsidP="009425AF">
      <w:pPr>
        <w:tabs>
          <w:tab w:val="right" w:pos="900"/>
        </w:tabs>
        <w:spacing w:after="0" w:line="240" w:lineRule="auto"/>
        <w:jc w:val="both"/>
        <w:rPr>
          <w:rFonts w:ascii="Times New Roman" w:eastAsia="Calibri" w:hAnsi="Times New Roman" w:cs="Times New Roman"/>
          <w:bCs/>
          <w:lang w:eastAsia="hu-HU"/>
        </w:rPr>
      </w:pPr>
      <w:r w:rsidRPr="009425AF">
        <w:rPr>
          <w:rFonts w:ascii="Times New Roman" w:eastAsia="Calibri" w:hAnsi="Times New Roman" w:cs="Times New Roman"/>
          <w:b/>
          <w:bCs/>
          <w:lang w:val="en-GB" w:eastAsia="hu-HU"/>
        </w:rPr>
        <w:t>Knowledge:</w:t>
      </w:r>
      <w:r w:rsidRPr="009425AF">
        <w:rPr>
          <w:rFonts w:ascii="Times New Roman" w:eastAsia="Calibri" w:hAnsi="Times New Roman" w:cs="Times New Roman"/>
          <w:bCs/>
          <w:lang w:val="en-GB" w:eastAsia="hu-HU"/>
        </w:rPr>
        <w:t xml:space="preserve"> </w:t>
      </w:r>
      <w:r w:rsidRPr="009425AF">
        <w:rPr>
          <w:rFonts w:ascii="Times New Roman" w:eastAsia="Calibri" w:hAnsi="Times New Roman" w:cs="Times New Roman"/>
          <w:bCs/>
          <w:lang w:eastAsia="hu-HU"/>
        </w:rPr>
        <w:t>The student has the language knowledge and competence required for everyday oral and written communication.</w:t>
      </w:r>
    </w:p>
    <w:p w:rsidR="009425AF" w:rsidRPr="009425AF" w:rsidRDefault="009425AF" w:rsidP="009425AF">
      <w:pPr>
        <w:tabs>
          <w:tab w:val="right" w:pos="900"/>
        </w:tabs>
        <w:spacing w:before="120" w:after="0" w:line="240" w:lineRule="auto"/>
        <w:jc w:val="both"/>
        <w:rPr>
          <w:rFonts w:ascii="Times New Roman" w:eastAsia="Calibri" w:hAnsi="Times New Roman" w:cs="Times New Roman"/>
          <w:b/>
          <w:bCs/>
          <w:lang w:val="en-GB" w:eastAsia="hu-HU"/>
        </w:rPr>
      </w:pPr>
      <w:r w:rsidRPr="009425AF">
        <w:rPr>
          <w:rFonts w:ascii="Times New Roman" w:eastAsia="Calibri" w:hAnsi="Times New Roman" w:cs="Times New Roman"/>
          <w:b/>
          <w:bCs/>
          <w:lang w:val="en-GB" w:eastAsia="hu-HU"/>
        </w:rPr>
        <w:t>Capabilities:</w:t>
      </w:r>
    </w:p>
    <w:p w:rsidR="009425AF" w:rsidRPr="009425AF" w:rsidRDefault="009425AF" w:rsidP="00980876">
      <w:pPr>
        <w:numPr>
          <w:ilvl w:val="0"/>
          <w:numId w:val="581"/>
        </w:numPr>
        <w:tabs>
          <w:tab w:val="right" w:pos="900"/>
        </w:tabs>
        <w:spacing w:after="0" w:line="240" w:lineRule="auto"/>
        <w:ind w:left="426"/>
        <w:contextualSpacing/>
        <w:jc w:val="both"/>
        <w:rPr>
          <w:rFonts w:ascii="Times New Roman" w:eastAsia="Calibri" w:hAnsi="Times New Roman" w:cs="Times New Roman"/>
          <w:bCs/>
          <w:lang w:val="en-GB" w:eastAsia="hu-HU"/>
        </w:rPr>
      </w:pPr>
      <w:r w:rsidRPr="009425AF">
        <w:rPr>
          <w:rFonts w:ascii="Times New Roman" w:eastAsia="Calibri" w:hAnsi="Times New Roman" w:cs="Times New Roman"/>
          <w:bCs/>
          <w:lang w:val="en-GB" w:eastAsia="hu-HU"/>
        </w:rPr>
        <w:t>Capable of verbal and written work-related communication in English.</w:t>
      </w:r>
    </w:p>
    <w:p w:rsidR="009425AF" w:rsidRPr="009425AF" w:rsidRDefault="009425AF" w:rsidP="00980876">
      <w:pPr>
        <w:numPr>
          <w:ilvl w:val="0"/>
          <w:numId w:val="581"/>
        </w:numPr>
        <w:tabs>
          <w:tab w:val="right" w:pos="900"/>
        </w:tabs>
        <w:spacing w:after="0" w:line="240" w:lineRule="auto"/>
        <w:ind w:left="426"/>
        <w:contextualSpacing/>
        <w:jc w:val="both"/>
        <w:rPr>
          <w:rFonts w:ascii="Times New Roman" w:eastAsia="Calibri" w:hAnsi="Times New Roman" w:cs="Times New Roman"/>
          <w:bCs/>
          <w:lang w:val="en-GB" w:eastAsia="hu-HU"/>
        </w:rPr>
      </w:pPr>
      <w:r w:rsidRPr="009425AF">
        <w:rPr>
          <w:rFonts w:ascii="Times New Roman" w:eastAsia="Calibri" w:hAnsi="Times New Roman" w:cs="Times New Roman"/>
          <w:bCs/>
          <w:lang w:val="en-GB" w:eastAsia="hu-HU"/>
        </w:rPr>
        <w:t>Capable of preparing presentations in English.</w:t>
      </w:r>
    </w:p>
    <w:p w:rsidR="009425AF" w:rsidRPr="009425AF" w:rsidRDefault="009425AF" w:rsidP="00980876">
      <w:pPr>
        <w:numPr>
          <w:ilvl w:val="0"/>
          <w:numId w:val="581"/>
        </w:numPr>
        <w:tabs>
          <w:tab w:val="right" w:pos="900"/>
        </w:tabs>
        <w:spacing w:after="0" w:line="240" w:lineRule="auto"/>
        <w:ind w:left="426"/>
        <w:contextualSpacing/>
        <w:jc w:val="both"/>
        <w:rPr>
          <w:rFonts w:ascii="Times New Roman" w:eastAsia="Calibri" w:hAnsi="Times New Roman" w:cs="Times New Roman"/>
          <w:bCs/>
          <w:lang w:val="en-GB" w:eastAsia="hu-HU"/>
        </w:rPr>
      </w:pPr>
      <w:r w:rsidRPr="009425AF">
        <w:rPr>
          <w:rFonts w:ascii="Times New Roman" w:eastAsia="Calibri" w:hAnsi="Times New Roman" w:cs="Times New Roman"/>
          <w:bCs/>
          <w:lang w:val="en-GB" w:eastAsia="hu-HU"/>
        </w:rPr>
        <w:t>Capable of interacting with a degree of fluency and spontaneity that makes regular interaction with native speakers quite possible without strain for either party.</w:t>
      </w:r>
    </w:p>
    <w:p w:rsidR="009425AF" w:rsidRPr="009425AF" w:rsidRDefault="009425AF" w:rsidP="00980876">
      <w:pPr>
        <w:numPr>
          <w:ilvl w:val="0"/>
          <w:numId w:val="581"/>
        </w:numPr>
        <w:tabs>
          <w:tab w:val="right" w:pos="900"/>
        </w:tabs>
        <w:spacing w:after="0" w:line="240" w:lineRule="auto"/>
        <w:ind w:left="426"/>
        <w:contextualSpacing/>
        <w:jc w:val="both"/>
        <w:rPr>
          <w:rFonts w:ascii="Times New Roman" w:eastAsia="Calibri" w:hAnsi="Times New Roman" w:cs="Times New Roman"/>
          <w:bCs/>
          <w:lang w:val="en-GB" w:eastAsia="hu-HU"/>
        </w:rPr>
      </w:pPr>
      <w:r w:rsidRPr="009425AF">
        <w:rPr>
          <w:rFonts w:ascii="Times New Roman" w:eastAsia="Calibri" w:hAnsi="Times New Roman" w:cs="Times New Roman"/>
          <w:bCs/>
          <w:lang w:val="en-GB" w:eastAsia="hu-HU"/>
        </w:rPr>
        <w:t>Capable of preparing documents, forms, minutes, notes and memos and completing documents in English.</w:t>
      </w:r>
    </w:p>
    <w:p w:rsidR="009425AF" w:rsidRPr="009425AF" w:rsidRDefault="009425AF" w:rsidP="009425AF">
      <w:pPr>
        <w:tabs>
          <w:tab w:val="right" w:pos="900"/>
        </w:tabs>
        <w:spacing w:before="120" w:after="0" w:line="240" w:lineRule="auto"/>
        <w:jc w:val="both"/>
        <w:rPr>
          <w:rFonts w:ascii="Times New Roman" w:eastAsia="Calibri" w:hAnsi="Times New Roman" w:cs="Times New Roman"/>
          <w:bCs/>
          <w:lang w:val="en-GB" w:eastAsia="hu-HU"/>
        </w:rPr>
      </w:pPr>
      <w:r w:rsidRPr="009425AF">
        <w:rPr>
          <w:rFonts w:ascii="Times New Roman" w:eastAsia="Calibri" w:hAnsi="Times New Roman" w:cs="Times New Roman"/>
          <w:b/>
          <w:bCs/>
          <w:lang w:val="en-GB" w:eastAsia="hu-HU"/>
        </w:rPr>
        <w:t>Attitude:</w:t>
      </w:r>
      <w:r w:rsidRPr="009425AF">
        <w:rPr>
          <w:rFonts w:ascii="Times New Roman" w:eastAsia="Calibri" w:hAnsi="Times New Roman" w:cs="Times New Roman"/>
          <w:bCs/>
          <w:lang w:val="en-GB" w:eastAsia="hu-HU"/>
        </w:rPr>
        <w:t xml:space="preserve"> </w:t>
      </w:r>
    </w:p>
    <w:p w:rsidR="009425AF" w:rsidRPr="009425AF" w:rsidRDefault="009425AF" w:rsidP="00980876">
      <w:pPr>
        <w:numPr>
          <w:ilvl w:val="0"/>
          <w:numId w:val="580"/>
        </w:numPr>
        <w:spacing w:after="0" w:line="240" w:lineRule="auto"/>
        <w:ind w:left="426"/>
        <w:contextualSpacing/>
        <w:jc w:val="both"/>
        <w:rPr>
          <w:rFonts w:ascii="Times New Roman" w:eastAsia="Calibri" w:hAnsi="Times New Roman" w:cs="Times New Roman"/>
          <w:lang w:val="en-GB"/>
        </w:rPr>
      </w:pPr>
      <w:r w:rsidRPr="009425AF">
        <w:rPr>
          <w:rFonts w:ascii="Times New Roman" w:eastAsia="Calibri" w:hAnsi="Times New Roman" w:cs="Times New Roman"/>
          <w:lang w:val="en-GB"/>
        </w:rPr>
        <w:t>Is willing to learn the new terminology in his/her specialization, strives to understand and use it, and is committed to continuous self-education in his/her specialization.</w:t>
      </w:r>
    </w:p>
    <w:p w:rsidR="009425AF" w:rsidRPr="009425AF" w:rsidRDefault="009425AF" w:rsidP="00980876">
      <w:pPr>
        <w:numPr>
          <w:ilvl w:val="0"/>
          <w:numId w:val="580"/>
        </w:numPr>
        <w:spacing w:after="0" w:line="240" w:lineRule="auto"/>
        <w:ind w:left="426"/>
        <w:contextualSpacing/>
        <w:jc w:val="both"/>
        <w:rPr>
          <w:rFonts w:ascii="Times New Roman" w:eastAsia="Calibri" w:hAnsi="Times New Roman" w:cs="Times New Roman"/>
          <w:lang w:val="en-GB"/>
        </w:rPr>
      </w:pPr>
      <w:r w:rsidRPr="009425AF">
        <w:rPr>
          <w:rFonts w:ascii="Times New Roman" w:eastAsia="Calibri" w:hAnsi="Times New Roman" w:cs="Times New Roman"/>
          <w:lang w:val="en-GB"/>
        </w:rPr>
        <w:t>Is committed to accuracy when using the English language at work.</w:t>
      </w:r>
    </w:p>
    <w:p w:rsidR="009425AF" w:rsidRPr="009425AF" w:rsidRDefault="009425AF" w:rsidP="00980876">
      <w:pPr>
        <w:numPr>
          <w:ilvl w:val="0"/>
          <w:numId w:val="580"/>
        </w:numPr>
        <w:spacing w:after="0" w:line="240" w:lineRule="auto"/>
        <w:ind w:left="426"/>
        <w:contextualSpacing/>
        <w:jc w:val="both"/>
        <w:rPr>
          <w:rFonts w:ascii="Times New Roman" w:eastAsia="Calibri" w:hAnsi="Times New Roman" w:cs="Times New Roman"/>
          <w:lang w:val="en-GB"/>
        </w:rPr>
      </w:pPr>
      <w:r w:rsidRPr="009425AF">
        <w:rPr>
          <w:rFonts w:ascii="Times New Roman" w:eastAsia="Calibri" w:hAnsi="Times New Roman" w:cs="Times New Roman"/>
          <w:lang w:val="en-GB"/>
        </w:rPr>
        <w:t>Is not afraid or embarrassed to seek help when he/she faces problems with the English language.</w:t>
      </w:r>
    </w:p>
    <w:p w:rsidR="009425AF" w:rsidRPr="009425AF" w:rsidRDefault="009425AF" w:rsidP="00980876">
      <w:pPr>
        <w:numPr>
          <w:ilvl w:val="0"/>
          <w:numId w:val="580"/>
        </w:numPr>
        <w:spacing w:after="0" w:line="240" w:lineRule="auto"/>
        <w:ind w:left="426"/>
        <w:contextualSpacing/>
        <w:jc w:val="both"/>
        <w:rPr>
          <w:rFonts w:ascii="Times New Roman" w:eastAsia="Calibri" w:hAnsi="Times New Roman" w:cs="Times New Roman"/>
          <w:lang w:val="en-GB"/>
        </w:rPr>
      </w:pPr>
      <w:r w:rsidRPr="009425AF">
        <w:rPr>
          <w:rFonts w:ascii="Times New Roman" w:eastAsia="Calibri" w:hAnsi="Times New Roman" w:cs="Times New Roman"/>
          <w:lang w:val="en-GB"/>
        </w:rPr>
        <w:t>Takes every opportunity to improve his/her knowledge of English.</w:t>
      </w:r>
    </w:p>
    <w:p w:rsidR="009425AF" w:rsidRPr="009425AF" w:rsidRDefault="009425AF" w:rsidP="009425AF">
      <w:pPr>
        <w:tabs>
          <w:tab w:val="right" w:pos="900"/>
        </w:tabs>
        <w:spacing w:before="120" w:after="0" w:line="240" w:lineRule="auto"/>
        <w:jc w:val="both"/>
        <w:rPr>
          <w:rFonts w:ascii="Times New Roman" w:eastAsia="Calibri" w:hAnsi="Times New Roman" w:cs="Times New Roman"/>
          <w:bCs/>
          <w:lang w:val="en-GB" w:eastAsia="hu-HU"/>
        </w:rPr>
      </w:pPr>
      <w:r w:rsidRPr="009425AF">
        <w:rPr>
          <w:rFonts w:ascii="Times New Roman" w:eastAsia="Calibri" w:hAnsi="Times New Roman" w:cs="Times New Roman"/>
          <w:b/>
          <w:bCs/>
          <w:lang w:val="en-GB" w:eastAsia="hu-HU"/>
        </w:rPr>
        <w:t>Autonomy and responsibility:</w:t>
      </w:r>
      <w:r w:rsidRPr="009425AF">
        <w:rPr>
          <w:rFonts w:ascii="Times New Roman" w:eastAsia="Calibri" w:hAnsi="Times New Roman" w:cs="Times New Roman"/>
          <w:bCs/>
          <w:lang w:val="en-GB" w:eastAsia="hu-HU"/>
        </w:rPr>
        <w:t xml:space="preserve"> </w:t>
      </w:r>
    </w:p>
    <w:p w:rsidR="009425AF" w:rsidRPr="009425AF" w:rsidRDefault="009425AF" w:rsidP="00980876">
      <w:pPr>
        <w:numPr>
          <w:ilvl w:val="0"/>
          <w:numId w:val="579"/>
        </w:numPr>
        <w:spacing w:after="0" w:line="240" w:lineRule="auto"/>
        <w:ind w:left="426"/>
        <w:contextualSpacing/>
        <w:jc w:val="both"/>
        <w:rPr>
          <w:rFonts w:ascii="Times New Roman" w:eastAsia="Calibri" w:hAnsi="Times New Roman" w:cs="Times New Roman"/>
          <w:lang w:val="en-GB"/>
        </w:rPr>
      </w:pPr>
      <w:r w:rsidRPr="009425AF">
        <w:rPr>
          <w:rFonts w:ascii="Times New Roman" w:eastAsia="Calibri" w:hAnsi="Times New Roman" w:cs="Times New Roman"/>
          <w:lang w:val="en-GB"/>
        </w:rPr>
        <w:t>Able to autonomously improve his/her knowledge of the terminology</w:t>
      </w:r>
    </w:p>
    <w:p w:rsidR="009425AF" w:rsidRPr="009425AF" w:rsidRDefault="009425AF" w:rsidP="00980876">
      <w:pPr>
        <w:numPr>
          <w:ilvl w:val="0"/>
          <w:numId w:val="579"/>
        </w:numPr>
        <w:spacing w:after="0" w:line="240" w:lineRule="auto"/>
        <w:ind w:left="426"/>
        <w:contextualSpacing/>
        <w:jc w:val="both"/>
        <w:rPr>
          <w:rFonts w:ascii="Times New Roman" w:eastAsia="Calibri" w:hAnsi="Times New Roman" w:cs="Times New Roman"/>
          <w:lang w:val="en-GB"/>
        </w:rPr>
      </w:pPr>
      <w:r w:rsidRPr="009425AF">
        <w:rPr>
          <w:rFonts w:ascii="Times New Roman" w:eastAsia="Calibri" w:hAnsi="Times New Roman" w:cs="Times New Roman"/>
          <w:lang w:val="en-GB"/>
        </w:rPr>
        <w:t xml:space="preserve">Aware of the importance of being able to effectively communicate in English in a multinational environment </w:t>
      </w:r>
    </w:p>
    <w:p w:rsidR="009425AF" w:rsidRPr="009425AF" w:rsidRDefault="009425AF" w:rsidP="00980876">
      <w:pPr>
        <w:numPr>
          <w:ilvl w:val="0"/>
          <w:numId w:val="579"/>
        </w:numPr>
        <w:spacing w:after="360" w:line="240" w:lineRule="auto"/>
        <w:ind w:left="426"/>
        <w:contextualSpacing/>
        <w:jc w:val="both"/>
        <w:rPr>
          <w:rFonts w:ascii="Times New Roman" w:eastAsia="Calibri" w:hAnsi="Times New Roman" w:cs="Times New Roman"/>
          <w:lang w:val="en-GB"/>
        </w:rPr>
      </w:pPr>
      <w:r w:rsidRPr="009425AF">
        <w:rPr>
          <w:rFonts w:ascii="Times New Roman" w:eastAsia="Calibri" w:hAnsi="Times New Roman" w:cs="Times New Roman"/>
          <w:lang w:val="en-GB"/>
        </w:rPr>
        <w:t>Takes responsibility for his/her written/verbal communication in English.</w:t>
      </w:r>
    </w:p>
    <w:p w:rsidR="009425AF" w:rsidRPr="009425AF" w:rsidRDefault="009425AF" w:rsidP="009425AF">
      <w:pPr>
        <w:spacing w:after="360" w:line="240" w:lineRule="auto"/>
        <w:ind w:left="426"/>
        <w:contextualSpacing/>
        <w:jc w:val="both"/>
        <w:rPr>
          <w:rFonts w:ascii="Times New Roman" w:eastAsia="Calibri" w:hAnsi="Times New Roman" w:cs="Times New Roman"/>
          <w:lang w:val="en-GB"/>
        </w:rPr>
      </w:pPr>
    </w:p>
    <w:p w:rsidR="009425AF" w:rsidRPr="009425AF" w:rsidRDefault="009425AF" w:rsidP="00980876">
      <w:pPr>
        <w:numPr>
          <w:ilvl w:val="0"/>
          <w:numId w:val="853"/>
        </w:numPr>
        <w:spacing w:before="120" w:after="0" w:line="240" w:lineRule="auto"/>
        <w:contextualSpacing/>
        <w:jc w:val="both"/>
        <w:rPr>
          <w:rFonts w:ascii="Times New Roman" w:eastAsia="Calibri" w:hAnsi="Times New Roman" w:cs="Times New Roman"/>
          <w:bCs/>
          <w:lang w:eastAsia="hu-HU"/>
        </w:rPr>
      </w:pPr>
      <w:r w:rsidRPr="009425AF">
        <w:rPr>
          <w:rFonts w:ascii="Times New Roman" w:eastAsia="Calibri" w:hAnsi="Times New Roman" w:cs="Times New Roman"/>
          <w:b/>
          <w:bCs/>
          <w:lang w:eastAsia="hu-HU"/>
        </w:rPr>
        <w:t>Előtanulmányi követelmény:</w:t>
      </w:r>
      <w:r w:rsidRPr="009425AF">
        <w:rPr>
          <w:rFonts w:ascii="Times New Roman" w:eastAsia="Calibri" w:hAnsi="Times New Roman" w:cs="Times New Roman"/>
          <w:bCs/>
          <w:lang w:eastAsia="hu-HU"/>
        </w:rPr>
        <w:t xml:space="preserve"> -</w:t>
      </w:r>
    </w:p>
    <w:p w:rsidR="009425AF" w:rsidRPr="009425AF" w:rsidRDefault="009425AF" w:rsidP="00980876">
      <w:pPr>
        <w:widowControl w:val="0"/>
        <w:numPr>
          <w:ilvl w:val="0"/>
          <w:numId w:val="853"/>
        </w:numPr>
        <w:spacing w:before="120" w:after="120" w:line="240" w:lineRule="auto"/>
        <w:jc w:val="both"/>
        <w:rPr>
          <w:rFonts w:ascii="Times New Roman" w:eastAsia="Calibri" w:hAnsi="Times New Roman" w:cs="Times New Roman"/>
          <w:b/>
          <w:bCs/>
        </w:rPr>
      </w:pPr>
      <w:r w:rsidRPr="009425AF">
        <w:rPr>
          <w:rFonts w:ascii="Times New Roman" w:eastAsia="Calibri" w:hAnsi="Times New Roman" w:cs="Times New Roman"/>
          <w:b/>
          <w:bCs/>
        </w:rPr>
        <w:t>A tantárgy tananyagának leírása, tematika. Description of the subject, curriculum (magyarul, angolul - English):</w:t>
      </w:r>
    </w:p>
    <w:p w:rsidR="009425AF" w:rsidRPr="009425AF" w:rsidRDefault="009425AF" w:rsidP="00980876">
      <w:pPr>
        <w:numPr>
          <w:ilvl w:val="1"/>
          <w:numId w:val="853"/>
        </w:numPr>
        <w:spacing w:before="120" w:after="0" w:line="240" w:lineRule="auto"/>
        <w:ind w:left="993" w:hanging="633"/>
        <w:contextualSpacing/>
        <w:jc w:val="both"/>
        <w:rPr>
          <w:rFonts w:ascii="Times New Roman" w:eastAsia="Calibri" w:hAnsi="Times New Roman" w:cs="Times New Roman"/>
        </w:rPr>
      </w:pPr>
      <w:r w:rsidRPr="009425AF">
        <w:rPr>
          <w:rFonts w:ascii="Times New Roman" w:eastAsia="Calibri" w:hAnsi="Times New Roman" w:cs="Times New Roman"/>
        </w:rPr>
        <w:t>Migrációs válság Európában (Migration crisis)</w:t>
      </w:r>
    </w:p>
    <w:p w:rsidR="009425AF" w:rsidRPr="009425AF" w:rsidRDefault="009425AF" w:rsidP="00980876">
      <w:pPr>
        <w:numPr>
          <w:ilvl w:val="1"/>
          <w:numId w:val="853"/>
        </w:numPr>
        <w:spacing w:before="120" w:after="0" w:line="240" w:lineRule="auto"/>
        <w:ind w:left="993" w:hanging="633"/>
        <w:contextualSpacing/>
        <w:jc w:val="both"/>
        <w:rPr>
          <w:rFonts w:ascii="Times New Roman" w:eastAsia="Calibri" w:hAnsi="Times New Roman" w:cs="Times New Roman"/>
        </w:rPr>
      </w:pPr>
      <w:r w:rsidRPr="009425AF">
        <w:rPr>
          <w:rFonts w:ascii="Times New Roman" w:eastAsia="Calibri" w:hAnsi="Times New Roman" w:cs="Times New Roman"/>
        </w:rPr>
        <w:t>Nem-katonai kihívások (Non-Military challanges)</w:t>
      </w:r>
    </w:p>
    <w:p w:rsidR="009425AF" w:rsidRPr="009425AF" w:rsidRDefault="009425AF" w:rsidP="00980876">
      <w:pPr>
        <w:numPr>
          <w:ilvl w:val="1"/>
          <w:numId w:val="853"/>
        </w:numPr>
        <w:spacing w:before="120" w:after="0" w:line="240" w:lineRule="auto"/>
        <w:ind w:left="993" w:hanging="633"/>
        <w:contextualSpacing/>
        <w:jc w:val="both"/>
        <w:rPr>
          <w:rFonts w:ascii="Times New Roman" w:eastAsia="Calibri" w:hAnsi="Times New Roman" w:cs="Times New Roman"/>
        </w:rPr>
      </w:pPr>
      <w:r w:rsidRPr="009425AF">
        <w:rPr>
          <w:rFonts w:ascii="Times New Roman" w:eastAsia="Calibri" w:hAnsi="Times New Roman" w:cs="Times New Roman"/>
        </w:rPr>
        <w:t>Konfliktus- és válságkezelés (Conflict crises management)</w:t>
      </w:r>
    </w:p>
    <w:p w:rsidR="009425AF" w:rsidRPr="009425AF" w:rsidRDefault="009425AF" w:rsidP="00980876">
      <w:pPr>
        <w:numPr>
          <w:ilvl w:val="1"/>
          <w:numId w:val="853"/>
        </w:numPr>
        <w:spacing w:before="120" w:after="0" w:line="240" w:lineRule="auto"/>
        <w:ind w:left="993" w:hanging="633"/>
        <w:contextualSpacing/>
        <w:jc w:val="both"/>
        <w:rPr>
          <w:rFonts w:ascii="Times New Roman" w:eastAsia="Calibri" w:hAnsi="Times New Roman" w:cs="Times New Roman"/>
        </w:rPr>
      </w:pPr>
      <w:r w:rsidRPr="009425AF">
        <w:rPr>
          <w:rFonts w:ascii="Times New Roman" w:eastAsia="Calibri" w:hAnsi="Times New Roman" w:cs="Times New Roman"/>
        </w:rPr>
        <w:t>Katonai technológiai fejlesztések (Development of military)</w:t>
      </w:r>
    </w:p>
    <w:p w:rsidR="009425AF" w:rsidRPr="009425AF" w:rsidRDefault="009425AF" w:rsidP="00980876">
      <w:pPr>
        <w:numPr>
          <w:ilvl w:val="1"/>
          <w:numId w:val="853"/>
        </w:numPr>
        <w:spacing w:before="120" w:after="0" w:line="240" w:lineRule="auto"/>
        <w:ind w:left="993" w:hanging="633"/>
        <w:contextualSpacing/>
        <w:jc w:val="both"/>
        <w:rPr>
          <w:rFonts w:ascii="Times New Roman" w:eastAsia="Calibri" w:hAnsi="Times New Roman" w:cs="Times New Roman"/>
        </w:rPr>
      </w:pPr>
      <w:r w:rsidRPr="009425AF">
        <w:rPr>
          <w:rFonts w:ascii="Times New Roman" w:eastAsia="Calibri" w:hAnsi="Times New Roman" w:cs="Times New Roman"/>
        </w:rPr>
        <w:t>NATO Stratégiai koncepciója (NATO strategic concept)</w:t>
      </w:r>
    </w:p>
    <w:p w:rsidR="009425AF" w:rsidRPr="009425AF" w:rsidRDefault="009425AF" w:rsidP="00980876">
      <w:pPr>
        <w:numPr>
          <w:ilvl w:val="1"/>
          <w:numId w:val="853"/>
        </w:numPr>
        <w:spacing w:before="120" w:after="0" w:line="240" w:lineRule="auto"/>
        <w:ind w:left="993" w:hanging="633"/>
        <w:contextualSpacing/>
        <w:jc w:val="both"/>
        <w:rPr>
          <w:rFonts w:ascii="Times New Roman" w:eastAsia="Calibri" w:hAnsi="Times New Roman" w:cs="Times New Roman"/>
        </w:rPr>
      </w:pPr>
      <w:r w:rsidRPr="009425AF">
        <w:rPr>
          <w:rFonts w:ascii="Times New Roman" w:eastAsia="Calibri" w:hAnsi="Times New Roman" w:cs="Times New Roman"/>
        </w:rPr>
        <w:t>Magyarország katonai szerepvállalása békefenntartó missziókban (Hungary’s role in peacekeeping missions)</w:t>
      </w:r>
    </w:p>
    <w:p w:rsidR="009425AF" w:rsidRPr="009425AF" w:rsidRDefault="009425AF" w:rsidP="00980876">
      <w:pPr>
        <w:numPr>
          <w:ilvl w:val="1"/>
          <w:numId w:val="853"/>
        </w:numPr>
        <w:spacing w:before="120" w:after="0" w:line="240" w:lineRule="auto"/>
        <w:ind w:left="993" w:hanging="633"/>
        <w:contextualSpacing/>
        <w:jc w:val="both"/>
        <w:rPr>
          <w:rFonts w:ascii="Times New Roman" w:eastAsia="Calibri" w:hAnsi="Times New Roman" w:cs="Times New Roman"/>
        </w:rPr>
      </w:pPr>
      <w:r w:rsidRPr="009425AF">
        <w:rPr>
          <w:rFonts w:ascii="Times New Roman" w:eastAsia="Calibri" w:hAnsi="Times New Roman" w:cs="Times New Roman"/>
        </w:rPr>
        <w:t>Aktuális katonapolitikai kérdések (Current military political issues)</w:t>
      </w:r>
    </w:p>
    <w:p w:rsidR="009425AF" w:rsidRPr="009425AF" w:rsidRDefault="009425AF" w:rsidP="00980876">
      <w:pPr>
        <w:numPr>
          <w:ilvl w:val="1"/>
          <w:numId w:val="853"/>
        </w:numPr>
        <w:spacing w:before="120" w:after="0" w:line="240" w:lineRule="auto"/>
        <w:ind w:left="993" w:hanging="633"/>
        <w:contextualSpacing/>
        <w:jc w:val="both"/>
        <w:rPr>
          <w:rFonts w:ascii="Times New Roman" w:eastAsia="Calibri" w:hAnsi="Times New Roman" w:cs="Times New Roman"/>
        </w:rPr>
      </w:pPr>
      <w:r w:rsidRPr="009425AF">
        <w:rPr>
          <w:rFonts w:ascii="Times New Roman" w:eastAsia="Calibri" w:hAnsi="Times New Roman" w:cs="Times New Roman"/>
        </w:rPr>
        <w:t>Katonai szakmai szöveg értése (Military reading comprehension)</w:t>
      </w:r>
    </w:p>
    <w:p w:rsidR="009425AF" w:rsidRPr="009425AF" w:rsidRDefault="009425AF" w:rsidP="00980876">
      <w:pPr>
        <w:numPr>
          <w:ilvl w:val="1"/>
          <w:numId w:val="853"/>
        </w:numPr>
        <w:spacing w:before="120" w:after="0" w:line="240" w:lineRule="auto"/>
        <w:ind w:left="993" w:hanging="633"/>
        <w:contextualSpacing/>
        <w:jc w:val="both"/>
        <w:rPr>
          <w:rFonts w:ascii="Times New Roman" w:eastAsia="Calibri" w:hAnsi="Times New Roman" w:cs="Times New Roman"/>
        </w:rPr>
      </w:pPr>
      <w:r w:rsidRPr="009425AF">
        <w:rPr>
          <w:rFonts w:ascii="Times New Roman" w:eastAsia="Calibri" w:hAnsi="Times New Roman" w:cs="Times New Roman"/>
        </w:rPr>
        <w:t>Katonai szakmai témájú fogalmazás (Military compsition)</w:t>
      </w:r>
    </w:p>
    <w:p w:rsidR="009425AF" w:rsidRPr="009425AF" w:rsidRDefault="009425AF" w:rsidP="00980876">
      <w:pPr>
        <w:widowControl w:val="0"/>
        <w:numPr>
          <w:ilvl w:val="0"/>
          <w:numId w:val="853"/>
        </w:numPr>
        <w:spacing w:before="120" w:after="120" w:line="240" w:lineRule="auto"/>
        <w:jc w:val="both"/>
        <w:rPr>
          <w:rFonts w:ascii="Times New Roman" w:eastAsia="Calibri" w:hAnsi="Times New Roman" w:cs="Times New Roman"/>
          <w:bCs/>
        </w:rPr>
      </w:pPr>
      <w:r w:rsidRPr="009425AF">
        <w:rPr>
          <w:rFonts w:ascii="Times New Roman" w:eastAsia="Calibri" w:hAnsi="Times New Roman" w:cs="Times New Roman"/>
          <w:b/>
          <w:bCs/>
        </w:rPr>
        <w:t xml:space="preserve">A tantárgy meghirdetésének gyakorisága/a tantervben történő félévi elhelyezkedése: </w:t>
      </w:r>
      <w:r w:rsidRPr="009425AF">
        <w:rPr>
          <w:rFonts w:ascii="Times New Roman" w:eastAsia="Calibri" w:hAnsi="Times New Roman" w:cs="Times New Roman"/>
          <w:bCs/>
        </w:rPr>
        <w:t xml:space="preserve">5., 6., </w:t>
      </w:r>
      <w:r w:rsidRPr="009425AF">
        <w:rPr>
          <w:rFonts w:ascii="Times New Roman" w:eastAsia="Calibri" w:hAnsi="Times New Roman" w:cs="Times New Roman"/>
          <w:bCs/>
          <w:color w:val="000000"/>
        </w:rPr>
        <w:t>7. és 8. tanulmányi félévben (Tanszék döntés alapján)</w:t>
      </w:r>
    </w:p>
    <w:p w:rsidR="009425AF" w:rsidRPr="009425AF" w:rsidRDefault="009425AF" w:rsidP="00980876">
      <w:pPr>
        <w:numPr>
          <w:ilvl w:val="0"/>
          <w:numId w:val="853"/>
        </w:numPr>
        <w:tabs>
          <w:tab w:val="right" w:pos="900"/>
          <w:tab w:val="center" w:pos="4536"/>
          <w:tab w:val="right" w:pos="9072"/>
        </w:tabs>
        <w:spacing w:before="120" w:after="0" w:line="240" w:lineRule="auto"/>
        <w:jc w:val="both"/>
        <w:rPr>
          <w:rFonts w:ascii="Times New Roman" w:eastAsia="Calibri" w:hAnsi="Times New Roman" w:cs="Times New Roman"/>
          <w:bCs/>
        </w:rPr>
      </w:pPr>
      <w:r w:rsidRPr="009425AF">
        <w:rPr>
          <w:rFonts w:ascii="Times New Roman" w:eastAsia="Calibri" w:hAnsi="Times New Roman" w:cs="Times New Roman"/>
          <w:b/>
          <w:bCs/>
        </w:rPr>
        <w:t>A foglalkozásokon való részvétel követelményei, elfogadható hiányzások mértéke, távolmaradás pótlásának lehetősége:</w:t>
      </w:r>
      <w:r w:rsidRPr="009425AF">
        <w:rPr>
          <w:rFonts w:ascii="Times New Roman" w:eastAsia="Calibri" w:hAnsi="Times New Roman" w:cs="Times New Roman"/>
          <w:bCs/>
        </w:rPr>
        <w:t xml:space="preserve"> A hallgatónak a tanórák legalább 75 %-án jelen kell lennie, 25 % -ot meghaladó hiányzás esetén a félév teljesítése nem irható alá. A hallgató köteles az előadások és a gyakorlat anyagát beszerezni, abból önállóan felkészülni. Amennyiben a hallgató hiányzása meghaladja a 25%-ot, a hallgató köteles a félév végén a tanár által meghatározott témákból szóban beszámolni az aláírás teljesítése érdekében.</w:t>
      </w:r>
    </w:p>
    <w:p w:rsidR="009425AF" w:rsidRPr="009425AF" w:rsidRDefault="009425AF" w:rsidP="009425AF">
      <w:pPr>
        <w:rPr>
          <w:rFonts w:ascii="Times New Roman" w:eastAsia="Calibri" w:hAnsi="Times New Roman" w:cs="Times New Roman"/>
          <w:b/>
        </w:rPr>
      </w:pPr>
      <w:r w:rsidRPr="009425AF">
        <w:rPr>
          <w:rFonts w:ascii="Times New Roman" w:eastAsia="Calibri" w:hAnsi="Times New Roman" w:cs="Times New Roman"/>
          <w:b/>
        </w:rPr>
        <w:br w:type="page"/>
      </w:r>
    </w:p>
    <w:p w:rsidR="009425AF" w:rsidRPr="009425AF" w:rsidRDefault="009425AF" w:rsidP="00980876">
      <w:pPr>
        <w:numPr>
          <w:ilvl w:val="0"/>
          <w:numId w:val="853"/>
        </w:numPr>
        <w:tabs>
          <w:tab w:val="right" w:pos="900"/>
        </w:tabs>
        <w:spacing w:before="120" w:after="0" w:line="240" w:lineRule="auto"/>
        <w:jc w:val="both"/>
        <w:rPr>
          <w:rFonts w:ascii="Times New Roman" w:eastAsia="Calibri" w:hAnsi="Times New Roman" w:cs="Times New Roman"/>
          <w:bCs/>
        </w:rPr>
      </w:pPr>
      <w:r w:rsidRPr="009425AF">
        <w:rPr>
          <w:rFonts w:ascii="Times New Roman" w:eastAsia="Calibri" w:hAnsi="Times New Roman" w:cs="Times New Roman"/>
          <w:b/>
        </w:rPr>
        <w:lastRenderedPageBreak/>
        <w:t>Félévközi feladatok, ismeretek ellenőrzésének rendje:</w:t>
      </w:r>
      <w:r w:rsidRPr="009425AF">
        <w:rPr>
          <w:rFonts w:ascii="Times New Roman" w:eastAsia="Calibri" w:hAnsi="Times New Roman" w:cs="Times New Roman"/>
          <w:bCs/>
        </w:rPr>
        <w:t xml:space="preserve"> </w:t>
      </w:r>
      <w:r w:rsidRPr="009425AF">
        <w:rPr>
          <w:rFonts w:ascii="Times New Roman" w:eastAsia="Calibri" w:hAnsi="Times New Roman" w:cs="Times New Roman"/>
        </w:rPr>
        <w:t>A foglakozás anyagainak és a kötelező irodalom feldolgozása, 2 zárthelyi dolgozat és egy szóbeli beszámoló legalább 60 %-os értékeléssel történő teljesítése a tanár előzetes bejelentése alapján, a foglalkozások ismereteiből. A zárthelyi dolgozat és a szóbeli beszámoló értékelése: ötfokozatú értékelés – (a helyes válaszok aránya 0-60% elégtelen; 61-70% elégséges; 71-80% közepes; 81-90% jó; 91-100% jeles osztályzat). Eredménytelen zárthelyi dolgozat és a szóbeli beszámoló kétszer javítható a tanárral egyeztetett időpontban.</w:t>
      </w:r>
    </w:p>
    <w:p w:rsidR="009425AF" w:rsidRPr="009425AF" w:rsidRDefault="009425AF" w:rsidP="00980876">
      <w:pPr>
        <w:numPr>
          <w:ilvl w:val="0"/>
          <w:numId w:val="853"/>
        </w:numPr>
        <w:tabs>
          <w:tab w:val="right" w:pos="900"/>
        </w:tabs>
        <w:spacing w:before="120" w:after="0" w:line="240" w:lineRule="auto"/>
        <w:jc w:val="both"/>
        <w:rPr>
          <w:rFonts w:ascii="Times New Roman" w:eastAsia="Calibri" w:hAnsi="Times New Roman" w:cs="Times New Roman"/>
          <w:bCs/>
        </w:rPr>
      </w:pPr>
      <w:r w:rsidRPr="009425AF">
        <w:rPr>
          <w:rFonts w:ascii="Times New Roman" w:eastAsia="Calibri" w:hAnsi="Times New Roman" w:cs="Times New Roman"/>
          <w:b/>
          <w:bCs/>
        </w:rPr>
        <w:t xml:space="preserve">Az értékelés, az aláírás és a kreditek megszerzésének pontos feltételei </w:t>
      </w:r>
    </w:p>
    <w:p w:rsidR="009425AF" w:rsidRPr="009425AF" w:rsidRDefault="009425AF" w:rsidP="00980876">
      <w:pPr>
        <w:numPr>
          <w:ilvl w:val="1"/>
          <w:numId w:val="853"/>
        </w:numPr>
        <w:tabs>
          <w:tab w:val="right" w:pos="900"/>
        </w:tabs>
        <w:spacing w:before="120" w:after="0" w:line="240" w:lineRule="auto"/>
        <w:jc w:val="both"/>
        <w:rPr>
          <w:rFonts w:ascii="Times New Roman" w:eastAsia="Calibri" w:hAnsi="Times New Roman" w:cs="Times New Roman"/>
          <w:bCs/>
        </w:rPr>
      </w:pPr>
      <w:r w:rsidRPr="009425AF">
        <w:rPr>
          <w:rFonts w:ascii="Times New Roman" w:eastAsia="Calibri" w:hAnsi="Times New Roman" w:cs="Times New Roman"/>
          <w:b/>
        </w:rPr>
        <w:t xml:space="preserve">Az aláírás megszerzésének feltételei: </w:t>
      </w:r>
      <w:r w:rsidRPr="009425AF">
        <w:rPr>
          <w:rFonts w:ascii="Times New Roman" w:eastAsia="Calibri" w:hAnsi="Times New Roman" w:cs="Times New Roman"/>
        </w:rPr>
        <w:t>Az aláírás megszerzésének feltétele a 14. pontban meghatározott arányú részvétel a foglalkozásokon és a 15. pontban meghatározott félévközi feladatok legalább elégséges teljesítése.</w:t>
      </w:r>
    </w:p>
    <w:p w:rsidR="009425AF" w:rsidRPr="009425AF" w:rsidRDefault="009425AF" w:rsidP="00980876">
      <w:pPr>
        <w:numPr>
          <w:ilvl w:val="1"/>
          <w:numId w:val="853"/>
        </w:numPr>
        <w:tabs>
          <w:tab w:val="right" w:pos="900"/>
        </w:tabs>
        <w:spacing w:before="120" w:after="0" w:line="240" w:lineRule="auto"/>
        <w:jc w:val="both"/>
        <w:rPr>
          <w:rFonts w:ascii="Times New Roman" w:eastAsia="Calibri" w:hAnsi="Times New Roman" w:cs="Times New Roman"/>
          <w:bCs/>
        </w:rPr>
      </w:pPr>
      <w:r w:rsidRPr="009425AF">
        <w:rPr>
          <w:rFonts w:ascii="Times New Roman" w:eastAsia="Calibri" w:hAnsi="Times New Roman" w:cs="Times New Roman"/>
          <w:b/>
        </w:rPr>
        <w:t xml:space="preserve">Az értékelés: </w:t>
      </w:r>
      <w:r w:rsidRPr="009425AF">
        <w:rPr>
          <w:rFonts w:ascii="Times New Roman" w:eastAsia="Calibri" w:hAnsi="Times New Roman" w:cs="Times New Roman"/>
        </w:rPr>
        <w:t xml:space="preserve">Az ötfokozatú évközi jegy a zárthelyi dolgozatok, valamint a szóbeli beszámoló eredményeinek átlaga alapján kerül meghatározásra. </w:t>
      </w:r>
    </w:p>
    <w:p w:rsidR="009425AF" w:rsidRPr="009425AF" w:rsidRDefault="009425AF" w:rsidP="00980876">
      <w:pPr>
        <w:numPr>
          <w:ilvl w:val="1"/>
          <w:numId w:val="853"/>
        </w:numPr>
        <w:tabs>
          <w:tab w:val="right" w:pos="900"/>
        </w:tabs>
        <w:spacing w:before="120" w:after="0" w:line="240" w:lineRule="auto"/>
        <w:jc w:val="both"/>
        <w:rPr>
          <w:rFonts w:ascii="Times New Roman" w:eastAsia="Calibri" w:hAnsi="Times New Roman" w:cs="Times New Roman"/>
          <w:bCs/>
        </w:rPr>
      </w:pPr>
      <w:r w:rsidRPr="009425AF">
        <w:rPr>
          <w:rFonts w:ascii="Times New Roman" w:eastAsia="Calibri" w:hAnsi="Times New Roman" w:cs="Times New Roman"/>
          <w:b/>
        </w:rPr>
        <w:t>A kreditek megszerzésének feltételei:</w:t>
      </w:r>
      <w:r w:rsidRPr="009425AF">
        <w:rPr>
          <w:rFonts w:ascii="Times New Roman" w:eastAsia="Calibri" w:hAnsi="Times New Roman" w:cs="Times New Roman"/>
        </w:rPr>
        <w:t xml:space="preserve"> A kreditek megszerzésének feltétele az aláírás megszerzése, és legalább elégséges évközi érdemjegy.</w:t>
      </w:r>
    </w:p>
    <w:p w:rsidR="009425AF" w:rsidRPr="009425AF" w:rsidRDefault="009425AF" w:rsidP="00980876">
      <w:pPr>
        <w:numPr>
          <w:ilvl w:val="0"/>
          <w:numId w:val="853"/>
        </w:numPr>
        <w:tabs>
          <w:tab w:val="right" w:pos="900"/>
        </w:tabs>
        <w:spacing w:before="120" w:after="0" w:line="240" w:lineRule="auto"/>
        <w:jc w:val="both"/>
        <w:rPr>
          <w:rFonts w:ascii="Times New Roman" w:eastAsia="Calibri" w:hAnsi="Times New Roman" w:cs="Times New Roman"/>
          <w:bCs/>
          <w:lang w:eastAsia="hu-HU"/>
        </w:rPr>
      </w:pPr>
      <w:r w:rsidRPr="009425AF">
        <w:rPr>
          <w:rFonts w:ascii="Times New Roman" w:eastAsia="Calibri" w:hAnsi="Times New Roman" w:cs="Times New Roman"/>
          <w:b/>
          <w:bCs/>
          <w:lang w:eastAsia="hu-HU"/>
        </w:rPr>
        <w:t>Irodalomjegyzék:</w:t>
      </w:r>
    </w:p>
    <w:p w:rsidR="009425AF" w:rsidRPr="00980876" w:rsidRDefault="009425AF" w:rsidP="00980876">
      <w:pPr>
        <w:numPr>
          <w:ilvl w:val="1"/>
          <w:numId w:val="853"/>
        </w:numPr>
        <w:tabs>
          <w:tab w:val="right" w:pos="900"/>
          <w:tab w:val="center" w:pos="4536"/>
          <w:tab w:val="right" w:pos="9072"/>
        </w:tabs>
        <w:spacing w:before="120" w:after="0" w:line="240" w:lineRule="auto"/>
        <w:jc w:val="both"/>
        <w:rPr>
          <w:rFonts w:ascii="Times New Roman" w:eastAsia="Calibri" w:hAnsi="Times New Roman" w:cs="Times New Roman"/>
          <w:b/>
          <w:bCs/>
          <w:lang w:eastAsia="hu-HU"/>
        </w:rPr>
      </w:pPr>
      <w:r w:rsidRPr="00980876">
        <w:rPr>
          <w:rFonts w:ascii="Times New Roman" w:eastAsia="Calibri" w:hAnsi="Times New Roman" w:cs="Times New Roman"/>
          <w:b/>
          <w:bCs/>
          <w:lang w:eastAsia="hu-HU"/>
        </w:rPr>
        <w:t>Kötelező irodalom:</w:t>
      </w:r>
    </w:p>
    <w:p w:rsidR="009425AF" w:rsidRPr="009425AF" w:rsidRDefault="009425AF" w:rsidP="00980876">
      <w:pPr>
        <w:numPr>
          <w:ilvl w:val="0"/>
          <w:numId w:val="854"/>
        </w:numPr>
        <w:tabs>
          <w:tab w:val="right" w:pos="900"/>
        </w:tabs>
        <w:spacing w:before="120" w:after="0" w:line="240" w:lineRule="auto"/>
        <w:ind w:left="993"/>
        <w:contextualSpacing/>
        <w:jc w:val="both"/>
        <w:rPr>
          <w:rFonts w:ascii="Times New Roman" w:eastAsia="Calibri" w:hAnsi="Times New Roman" w:cs="Times New Roman"/>
          <w:bCs/>
          <w:lang w:eastAsia="hu-HU"/>
        </w:rPr>
      </w:pPr>
      <w:r w:rsidRPr="009425AF">
        <w:rPr>
          <w:rFonts w:ascii="Times New Roman" w:eastAsia="Calibri" w:hAnsi="Times New Roman" w:cs="Times New Roman"/>
          <w:bCs/>
          <w:lang w:eastAsia="hu-HU"/>
        </w:rPr>
        <w:t>Ajkay-Nagy Éva, Robin Bellers: Opening Borders, Lexika, 2014</w:t>
      </w:r>
    </w:p>
    <w:p w:rsidR="009425AF" w:rsidRPr="009425AF" w:rsidRDefault="009425AF" w:rsidP="00980876">
      <w:pPr>
        <w:numPr>
          <w:ilvl w:val="0"/>
          <w:numId w:val="854"/>
        </w:numPr>
        <w:tabs>
          <w:tab w:val="right" w:pos="900"/>
        </w:tabs>
        <w:spacing w:before="120" w:after="0" w:line="240" w:lineRule="auto"/>
        <w:ind w:left="993"/>
        <w:contextualSpacing/>
        <w:jc w:val="both"/>
        <w:rPr>
          <w:rFonts w:ascii="Times New Roman" w:eastAsia="Calibri" w:hAnsi="Times New Roman" w:cs="Times New Roman"/>
          <w:bCs/>
          <w:lang w:eastAsia="hu-HU"/>
        </w:rPr>
      </w:pPr>
      <w:r w:rsidRPr="009425AF">
        <w:rPr>
          <w:rFonts w:ascii="Times New Roman" w:eastAsia="Calibri" w:hAnsi="Times New Roman" w:cs="Times New Roman"/>
          <w:bCs/>
          <w:lang w:eastAsia="hu-HU"/>
        </w:rPr>
        <w:t>Bogár Judit, Erdei József, Robert Thiessen: Crossing Borders Lexica, 2015</w:t>
      </w:r>
    </w:p>
    <w:p w:rsidR="009425AF" w:rsidRPr="00980876" w:rsidRDefault="009425AF" w:rsidP="00980876">
      <w:pPr>
        <w:numPr>
          <w:ilvl w:val="1"/>
          <w:numId w:val="853"/>
        </w:numPr>
        <w:tabs>
          <w:tab w:val="right" w:pos="900"/>
          <w:tab w:val="center" w:pos="4536"/>
          <w:tab w:val="right" w:pos="9072"/>
        </w:tabs>
        <w:spacing w:before="120" w:after="120" w:line="240" w:lineRule="auto"/>
        <w:ind w:left="788" w:hanging="431"/>
        <w:jc w:val="both"/>
        <w:rPr>
          <w:rFonts w:ascii="Times New Roman" w:eastAsia="Calibri" w:hAnsi="Times New Roman" w:cs="Times New Roman"/>
          <w:b/>
          <w:bCs/>
          <w:lang w:eastAsia="hu-HU"/>
        </w:rPr>
      </w:pPr>
      <w:r w:rsidRPr="00980876">
        <w:rPr>
          <w:rFonts w:ascii="Times New Roman" w:eastAsia="Calibri" w:hAnsi="Times New Roman" w:cs="Times New Roman"/>
          <w:b/>
          <w:bCs/>
          <w:lang w:eastAsia="hu-HU"/>
        </w:rPr>
        <w:t>Ajánlott irodalom:</w:t>
      </w:r>
    </w:p>
    <w:p w:rsidR="009425AF" w:rsidRPr="009425AF" w:rsidRDefault="009425AF" w:rsidP="00980876">
      <w:pPr>
        <w:numPr>
          <w:ilvl w:val="0"/>
          <w:numId w:val="852"/>
        </w:numPr>
        <w:tabs>
          <w:tab w:val="num" w:pos="851"/>
        </w:tabs>
        <w:spacing w:before="120" w:after="0" w:line="240" w:lineRule="auto"/>
        <w:ind w:firstLine="207"/>
        <w:contextualSpacing/>
        <w:jc w:val="both"/>
        <w:rPr>
          <w:rFonts w:ascii="Times New Roman" w:eastAsia="Calibri" w:hAnsi="Times New Roman" w:cs="Times New Roman"/>
          <w:lang w:eastAsia="hu-HU"/>
        </w:rPr>
      </w:pPr>
      <w:r w:rsidRPr="009425AF">
        <w:rPr>
          <w:rFonts w:ascii="Times New Roman" w:eastAsia="Calibri" w:hAnsi="Times New Roman" w:cs="Times New Roman"/>
          <w:lang w:eastAsia="hu-HU"/>
        </w:rPr>
        <w:t>Oxenden-Koenig: New English File, Oxford University Press, 2010</w:t>
      </w:r>
    </w:p>
    <w:p w:rsidR="009425AF" w:rsidRPr="009425AF" w:rsidRDefault="009425AF" w:rsidP="00980876">
      <w:pPr>
        <w:numPr>
          <w:ilvl w:val="0"/>
          <w:numId w:val="852"/>
        </w:numPr>
        <w:tabs>
          <w:tab w:val="num" w:pos="851"/>
        </w:tabs>
        <w:spacing w:before="120" w:after="0" w:line="240" w:lineRule="auto"/>
        <w:ind w:firstLine="207"/>
        <w:contextualSpacing/>
        <w:jc w:val="both"/>
        <w:rPr>
          <w:rFonts w:ascii="Times New Roman" w:eastAsia="Calibri" w:hAnsi="Times New Roman" w:cs="Times New Roman"/>
          <w:lang w:eastAsia="hu-HU"/>
        </w:rPr>
      </w:pPr>
      <w:r w:rsidRPr="009425AF">
        <w:rPr>
          <w:rFonts w:ascii="Times New Roman" w:eastAsia="Calibri" w:hAnsi="Times New Roman" w:cs="Times New Roman"/>
          <w:lang w:eastAsia="hu-HU"/>
        </w:rPr>
        <w:t>Michael Vince: Advanved Language Practice. Macmillan Heinemann, 1994</w:t>
      </w:r>
    </w:p>
    <w:p w:rsidR="009425AF" w:rsidRPr="009425AF" w:rsidRDefault="009425AF" w:rsidP="00980876">
      <w:pPr>
        <w:numPr>
          <w:ilvl w:val="0"/>
          <w:numId w:val="852"/>
        </w:numPr>
        <w:tabs>
          <w:tab w:val="num" w:pos="851"/>
        </w:tabs>
        <w:spacing w:before="120" w:after="0" w:line="240" w:lineRule="auto"/>
        <w:ind w:firstLine="207"/>
        <w:contextualSpacing/>
        <w:jc w:val="both"/>
        <w:rPr>
          <w:rFonts w:ascii="Times New Roman" w:eastAsia="Calibri" w:hAnsi="Times New Roman" w:cs="Times New Roman"/>
          <w:lang w:eastAsia="hu-HU"/>
        </w:rPr>
      </w:pPr>
      <w:r w:rsidRPr="009425AF">
        <w:rPr>
          <w:rFonts w:ascii="Times New Roman" w:eastAsia="Calibri" w:hAnsi="Times New Roman" w:cs="Times New Roman"/>
          <w:lang w:eastAsia="hu-HU"/>
        </w:rPr>
        <w:t>Rácsai Róbert-Valkó László: NATO STANAG 3333. Nyelvtanoda, 2002</w:t>
      </w:r>
    </w:p>
    <w:p w:rsidR="009425AF" w:rsidRPr="009425AF" w:rsidRDefault="009425AF" w:rsidP="00980876">
      <w:pPr>
        <w:numPr>
          <w:ilvl w:val="0"/>
          <w:numId w:val="852"/>
        </w:numPr>
        <w:tabs>
          <w:tab w:val="num" w:pos="851"/>
        </w:tabs>
        <w:spacing w:before="120" w:after="0" w:line="240" w:lineRule="auto"/>
        <w:ind w:firstLine="207"/>
        <w:contextualSpacing/>
        <w:jc w:val="both"/>
        <w:rPr>
          <w:rFonts w:ascii="Times New Roman" w:eastAsia="Calibri" w:hAnsi="Times New Roman" w:cs="Times New Roman"/>
          <w:lang w:eastAsia="hu-HU"/>
        </w:rPr>
      </w:pPr>
      <w:r w:rsidRPr="009425AF">
        <w:rPr>
          <w:rFonts w:ascii="Times New Roman" w:eastAsia="Calibri" w:hAnsi="Times New Roman" w:cs="Times New Roman"/>
          <w:lang w:eastAsia="hu-HU"/>
        </w:rPr>
        <w:t>Izabella Szilvás: Exam-Fright Killer Advanced. Zalaegeszeg, 2007</w:t>
      </w:r>
    </w:p>
    <w:p w:rsidR="009425AF" w:rsidRPr="009425AF" w:rsidRDefault="009425AF" w:rsidP="009425AF">
      <w:pPr>
        <w:tabs>
          <w:tab w:val="right" w:pos="900"/>
        </w:tabs>
        <w:spacing w:before="120" w:after="0" w:line="240" w:lineRule="auto"/>
        <w:jc w:val="right"/>
        <w:rPr>
          <w:rFonts w:ascii="Times New Roman" w:eastAsia="Calibri" w:hAnsi="Times New Roman" w:cs="Times New Roman"/>
          <w:bCs/>
        </w:rPr>
      </w:pPr>
    </w:p>
    <w:p w:rsidR="009425AF" w:rsidRPr="009425AF" w:rsidRDefault="009425AF" w:rsidP="009425AF">
      <w:pPr>
        <w:tabs>
          <w:tab w:val="right" w:pos="900"/>
        </w:tabs>
        <w:spacing w:before="120" w:after="0" w:line="240" w:lineRule="auto"/>
        <w:rPr>
          <w:rFonts w:ascii="Times New Roman" w:eastAsia="Calibri" w:hAnsi="Times New Roman" w:cs="Times New Roman"/>
        </w:rPr>
      </w:pPr>
      <w:r w:rsidRPr="009425AF">
        <w:rPr>
          <w:rFonts w:ascii="Times New Roman" w:eastAsia="Calibri" w:hAnsi="Times New Roman" w:cs="Times New Roman"/>
          <w:bCs/>
        </w:rPr>
        <w:t>Budapest, 2020. február 5.</w:t>
      </w:r>
    </w:p>
    <w:p w:rsidR="009425AF" w:rsidRPr="009425AF" w:rsidRDefault="009425AF" w:rsidP="009425AF">
      <w:pPr>
        <w:tabs>
          <w:tab w:val="right" w:pos="900"/>
        </w:tabs>
        <w:spacing w:before="120" w:after="0" w:line="240" w:lineRule="auto"/>
        <w:jc w:val="right"/>
        <w:rPr>
          <w:rFonts w:ascii="Times New Roman" w:eastAsia="Calibri" w:hAnsi="Times New Roman" w:cs="Times New Roman"/>
          <w:bCs/>
        </w:rPr>
      </w:pPr>
      <w:r w:rsidRPr="009425AF">
        <w:rPr>
          <w:rFonts w:ascii="Times New Roman" w:eastAsia="Calibri" w:hAnsi="Times New Roman" w:cs="Times New Roman"/>
        </w:rPr>
        <w:t>Dr. Kiss Gabriella</w:t>
      </w:r>
    </w:p>
    <w:p w:rsidR="009425AF" w:rsidRPr="009425AF" w:rsidRDefault="009425AF" w:rsidP="009425AF">
      <w:pPr>
        <w:jc w:val="right"/>
        <w:rPr>
          <w:rFonts w:ascii="Times New Roman" w:eastAsia="Calibri" w:hAnsi="Times New Roman" w:cs="Times New Roman"/>
        </w:rPr>
      </w:pPr>
      <w:r w:rsidRPr="009425AF">
        <w:rPr>
          <w:rFonts w:ascii="Times New Roman" w:eastAsia="Calibri" w:hAnsi="Times New Roman" w:cs="Times New Roman"/>
        </w:rPr>
        <w:t>tantárgyfelelős sk.</w:t>
      </w:r>
    </w:p>
    <w:p w:rsidR="009425AF" w:rsidRPr="009425AF" w:rsidRDefault="009425AF" w:rsidP="009425AF">
      <w:pPr>
        <w:rPr>
          <w:rFonts w:ascii="Times New Roman" w:eastAsia="Times New Roman" w:hAnsi="Times New Roman" w:cs="Times New Roman"/>
          <w:bCs/>
        </w:rPr>
      </w:pPr>
      <w:r w:rsidRPr="009425AF">
        <w:rPr>
          <w:rFonts w:ascii="Times New Roman" w:eastAsia="Times New Roman" w:hAnsi="Times New Roman" w:cs="Times New Roman"/>
          <w:bCs/>
        </w:rPr>
        <w:br w:type="page"/>
      </w:r>
    </w:p>
    <w:tbl>
      <w:tblPr>
        <w:tblW w:w="4140" w:type="dxa"/>
        <w:tblInd w:w="113" w:type="dxa"/>
        <w:tblLook w:val="01E0" w:firstRow="1" w:lastRow="1" w:firstColumn="1" w:lastColumn="1" w:noHBand="0" w:noVBand="0"/>
      </w:tblPr>
      <w:tblGrid>
        <w:gridCol w:w="4140"/>
      </w:tblGrid>
      <w:tr w:rsidR="009425AF" w:rsidRPr="009425AF" w:rsidTr="009425AF">
        <w:tc>
          <w:tcPr>
            <w:tcW w:w="4140" w:type="dxa"/>
            <w:tcBorders>
              <w:bottom w:val="single" w:sz="4" w:space="0" w:color="auto"/>
            </w:tcBorders>
          </w:tcPr>
          <w:p w:rsidR="009425AF" w:rsidRPr="009425AF" w:rsidRDefault="009425AF" w:rsidP="009425AF">
            <w:pPr>
              <w:spacing w:after="0" w:line="240" w:lineRule="auto"/>
              <w:jc w:val="center"/>
              <w:rPr>
                <w:rFonts w:ascii="Times New Roman" w:eastAsia="Calibri" w:hAnsi="Times New Roman" w:cs="Times New Roman"/>
                <w:b/>
                <w:smallCaps/>
                <w:lang w:eastAsia="hu-HU"/>
              </w:rPr>
            </w:pPr>
            <w:r w:rsidRPr="009425AF">
              <w:rPr>
                <w:rFonts w:ascii="Times New Roman" w:eastAsia="Calibri" w:hAnsi="Times New Roman" w:cs="Times New Roman"/>
                <w:b/>
                <w:smallCaps/>
                <w:lang w:eastAsia="hu-HU"/>
              </w:rPr>
              <w:lastRenderedPageBreak/>
              <w:t>Nemzeti Közszolgálati Egyetem</w:t>
            </w:r>
          </w:p>
        </w:tc>
      </w:tr>
      <w:tr w:rsidR="009425AF" w:rsidRPr="009425AF" w:rsidTr="009425AF">
        <w:tc>
          <w:tcPr>
            <w:tcW w:w="4140" w:type="dxa"/>
            <w:tcBorders>
              <w:top w:val="single" w:sz="4" w:space="0" w:color="auto"/>
            </w:tcBorders>
          </w:tcPr>
          <w:p w:rsidR="009425AF" w:rsidRPr="009425AF" w:rsidRDefault="009425AF" w:rsidP="009425AF">
            <w:pPr>
              <w:spacing w:after="0" w:line="240" w:lineRule="auto"/>
              <w:jc w:val="center"/>
              <w:rPr>
                <w:rFonts w:ascii="Times New Roman" w:eastAsia="Calibri" w:hAnsi="Times New Roman" w:cs="Times New Roman"/>
                <w:b/>
                <w:lang w:eastAsia="hu-HU"/>
              </w:rPr>
            </w:pPr>
            <w:r w:rsidRPr="009425AF">
              <w:rPr>
                <w:rFonts w:ascii="Times New Roman" w:eastAsia="Calibri" w:hAnsi="Times New Roman" w:cs="Times New Roman"/>
                <w:b/>
                <w:lang w:eastAsia="hu-HU"/>
              </w:rPr>
              <w:t>Hadtudományi és Honvédtisztképző Kar</w:t>
            </w:r>
          </w:p>
        </w:tc>
      </w:tr>
    </w:tbl>
    <w:p w:rsidR="009425AF" w:rsidRPr="009425AF" w:rsidRDefault="009425AF" w:rsidP="009425AF">
      <w:pPr>
        <w:spacing w:before="120" w:after="0" w:line="240" w:lineRule="auto"/>
        <w:rPr>
          <w:rFonts w:ascii="Times New Roman" w:eastAsia="Calibri" w:hAnsi="Times New Roman" w:cs="Times New Roman"/>
          <w:b/>
          <w:bCs/>
          <w:lang w:eastAsia="hu-HU"/>
        </w:rPr>
      </w:pPr>
    </w:p>
    <w:p w:rsidR="009425AF" w:rsidRPr="009425AF" w:rsidRDefault="009425AF" w:rsidP="009425AF">
      <w:pPr>
        <w:spacing w:before="120" w:after="0" w:line="240" w:lineRule="auto"/>
        <w:jc w:val="center"/>
        <w:rPr>
          <w:rFonts w:ascii="Times New Roman" w:eastAsia="Calibri" w:hAnsi="Times New Roman" w:cs="Times New Roman"/>
          <w:b/>
          <w:bCs/>
          <w:lang w:eastAsia="hu-HU"/>
        </w:rPr>
      </w:pPr>
      <w:r w:rsidRPr="009425AF">
        <w:rPr>
          <w:rFonts w:ascii="Times New Roman" w:eastAsia="Calibri" w:hAnsi="Times New Roman" w:cs="Times New Roman"/>
          <w:b/>
          <w:bCs/>
          <w:lang w:eastAsia="hu-HU"/>
        </w:rPr>
        <w:t>TANTÁRGYI PROGRAM</w:t>
      </w:r>
    </w:p>
    <w:p w:rsidR="009425AF" w:rsidRPr="009425AF" w:rsidRDefault="009425AF" w:rsidP="00980876">
      <w:pPr>
        <w:numPr>
          <w:ilvl w:val="0"/>
          <w:numId w:val="848"/>
        </w:numPr>
        <w:tabs>
          <w:tab w:val="right" w:pos="900"/>
        </w:tabs>
        <w:spacing w:before="120" w:after="0" w:line="240" w:lineRule="auto"/>
        <w:jc w:val="both"/>
        <w:rPr>
          <w:rFonts w:ascii="Times New Roman" w:eastAsia="Calibri" w:hAnsi="Times New Roman" w:cs="Times New Roman"/>
          <w:bCs/>
          <w:lang w:eastAsia="hu-HU"/>
        </w:rPr>
      </w:pPr>
      <w:r w:rsidRPr="009425AF">
        <w:rPr>
          <w:rFonts w:ascii="Times New Roman" w:eastAsia="Calibri" w:hAnsi="Times New Roman" w:cs="Times New Roman"/>
          <w:b/>
          <w:bCs/>
          <w:lang w:eastAsia="hu-HU"/>
        </w:rPr>
        <w:t>A tantárgy kódja:</w:t>
      </w:r>
      <w:r w:rsidRPr="009425AF">
        <w:rPr>
          <w:rFonts w:ascii="Times New Roman" w:eastAsia="Calibri" w:hAnsi="Times New Roman" w:cs="Times New Roman"/>
          <w:bCs/>
          <w:lang w:eastAsia="hu-HU"/>
        </w:rPr>
        <w:t xml:space="preserve"> HKISZLA312</w:t>
      </w:r>
    </w:p>
    <w:p w:rsidR="009425AF" w:rsidRPr="009425AF" w:rsidRDefault="009425AF" w:rsidP="00980876">
      <w:pPr>
        <w:numPr>
          <w:ilvl w:val="0"/>
          <w:numId w:val="848"/>
        </w:numPr>
        <w:tabs>
          <w:tab w:val="right" w:pos="900"/>
        </w:tabs>
        <w:spacing w:before="120" w:after="0" w:line="240" w:lineRule="auto"/>
        <w:jc w:val="both"/>
        <w:rPr>
          <w:rFonts w:ascii="Times New Roman" w:eastAsia="Calibri" w:hAnsi="Times New Roman" w:cs="Times New Roman"/>
          <w:bCs/>
          <w:lang w:eastAsia="hu-HU"/>
        </w:rPr>
      </w:pPr>
      <w:r w:rsidRPr="009425AF">
        <w:rPr>
          <w:rFonts w:ascii="Times New Roman" w:eastAsia="Calibri" w:hAnsi="Times New Roman" w:cs="Times New Roman"/>
          <w:b/>
          <w:bCs/>
          <w:lang w:eastAsia="hu-HU"/>
        </w:rPr>
        <w:t>A tantárgy megnevezése (magyarul):</w:t>
      </w:r>
      <w:r w:rsidRPr="009425AF">
        <w:rPr>
          <w:rFonts w:ascii="Times New Roman" w:eastAsia="Calibri" w:hAnsi="Times New Roman" w:cs="Times New Roman"/>
          <w:bCs/>
          <w:lang w:eastAsia="hu-HU"/>
        </w:rPr>
        <w:t xml:space="preserve"> </w:t>
      </w:r>
      <w:r w:rsidRPr="009425AF">
        <w:rPr>
          <w:rFonts w:ascii="Times New Roman" w:eastAsia="Calibri" w:hAnsi="Times New Roman" w:cs="Times New Roman"/>
        </w:rPr>
        <w:t>Német középfokú kommunikációs készség fejlesztése</w:t>
      </w:r>
      <w:r w:rsidRPr="009425AF">
        <w:rPr>
          <w:rFonts w:ascii="Times New Roman" w:eastAsia="Calibri" w:hAnsi="Times New Roman" w:cs="Times New Roman"/>
          <w:b/>
          <w:bCs/>
        </w:rPr>
        <w:t xml:space="preserve"> </w:t>
      </w:r>
    </w:p>
    <w:p w:rsidR="009425AF" w:rsidRPr="009425AF" w:rsidRDefault="009425AF" w:rsidP="00980876">
      <w:pPr>
        <w:numPr>
          <w:ilvl w:val="0"/>
          <w:numId w:val="848"/>
        </w:numPr>
        <w:tabs>
          <w:tab w:val="right" w:pos="900"/>
        </w:tabs>
        <w:spacing w:before="120" w:after="0" w:line="240" w:lineRule="auto"/>
        <w:ind w:left="357" w:hanging="357"/>
        <w:jc w:val="both"/>
        <w:rPr>
          <w:rFonts w:ascii="Times New Roman" w:eastAsia="Calibri" w:hAnsi="Times New Roman" w:cs="Times New Roman"/>
          <w:bCs/>
          <w:lang w:eastAsia="hu-HU"/>
        </w:rPr>
      </w:pPr>
      <w:r w:rsidRPr="009425AF">
        <w:rPr>
          <w:rFonts w:ascii="Times New Roman" w:eastAsia="Calibri" w:hAnsi="Times New Roman" w:cs="Times New Roman"/>
          <w:b/>
          <w:bCs/>
          <w:lang w:eastAsia="hu-HU"/>
        </w:rPr>
        <w:t>A tantárgy megnevezése (angolul):</w:t>
      </w:r>
      <w:r w:rsidRPr="009425AF">
        <w:rPr>
          <w:rFonts w:ascii="Times New Roman" w:eastAsia="Calibri" w:hAnsi="Times New Roman" w:cs="Times New Roman"/>
          <w:bCs/>
          <w:lang w:eastAsia="hu-HU"/>
        </w:rPr>
        <w:t xml:space="preserve"> Developing Communication Skills in German</w:t>
      </w:r>
    </w:p>
    <w:p w:rsidR="009425AF" w:rsidRPr="009425AF" w:rsidRDefault="009425AF" w:rsidP="00980876">
      <w:pPr>
        <w:widowControl w:val="0"/>
        <w:numPr>
          <w:ilvl w:val="0"/>
          <w:numId w:val="848"/>
        </w:numPr>
        <w:spacing w:before="120" w:after="120" w:line="240" w:lineRule="auto"/>
        <w:jc w:val="both"/>
        <w:rPr>
          <w:rFonts w:ascii="Times New Roman" w:eastAsia="Calibri" w:hAnsi="Times New Roman" w:cs="Times New Roman"/>
          <w:b/>
          <w:bCs/>
        </w:rPr>
      </w:pPr>
      <w:r w:rsidRPr="009425AF">
        <w:rPr>
          <w:rFonts w:ascii="Times New Roman" w:eastAsia="Calibri" w:hAnsi="Times New Roman" w:cs="Times New Roman"/>
          <w:b/>
          <w:bCs/>
        </w:rPr>
        <w:t xml:space="preserve">Kreditérték és képzési karakter: </w:t>
      </w:r>
    </w:p>
    <w:p w:rsidR="009425AF" w:rsidRPr="009425AF" w:rsidRDefault="009425AF" w:rsidP="00980876">
      <w:pPr>
        <w:widowControl w:val="0"/>
        <w:numPr>
          <w:ilvl w:val="1"/>
          <w:numId w:val="848"/>
        </w:numPr>
        <w:spacing w:before="120" w:after="120" w:line="240" w:lineRule="auto"/>
        <w:contextualSpacing/>
        <w:jc w:val="both"/>
        <w:rPr>
          <w:rFonts w:ascii="Times New Roman" w:eastAsia="Calibri" w:hAnsi="Times New Roman" w:cs="Times New Roman"/>
          <w:b/>
          <w:bCs/>
        </w:rPr>
      </w:pPr>
      <w:r w:rsidRPr="009425AF">
        <w:rPr>
          <w:rFonts w:ascii="Times New Roman" w:eastAsia="Calibri" w:hAnsi="Times New Roman" w:cs="Times New Roman"/>
          <w:bCs/>
        </w:rPr>
        <w:t>2 kredit</w:t>
      </w:r>
    </w:p>
    <w:p w:rsidR="009425AF" w:rsidRPr="009425AF" w:rsidRDefault="009425AF" w:rsidP="00980876">
      <w:pPr>
        <w:widowControl w:val="0"/>
        <w:numPr>
          <w:ilvl w:val="1"/>
          <w:numId w:val="848"/>
        </w:numPr>
        <w:spacing w:before="120" w:after="120" w:line="240" w:lineRule="auto"/>
        <w:contextualSpacing/>
        <w:jc w:val="both"/>
        <w:rPr>
          <w:rFonts w:ascii="Times New Roman" w:eastAsia="Calibri" w:hAnsi="Times New Roman" w:cs="Times New Roman"/>
          <w:b/>
          <w:bCs/>
        </w:rPr>
      </w:pPr>
      <w:r w:rsidRPr="009425AF">
        <w:rPr>
          <w:rFonts w:ascii="Times New Roman" w:eastAsia="Calibri" w:hAnsi="Times New Roman" w:cs="Times New Roman"/>
          <w:bCs/>
        </w:rPr>
        <w:t xml:space="preserve">a tantárgy elméleti vagy gyakorlati jellegének mértéke: </w:t>
      </w:r>
      <w:r w:rsidR="00980876" w:rsidRPr="00E90CF1">
        <w:rPr>
          <w:rFonts w:ascii="Times New Roman" w:hAnsi="Times New Roman"/>
          <w:bCs/>
          <w:lang w:eastAsia="hu-HU"/>
        </w:rPr>
        <w:t>50% gyakorlat, 50% elmélet</w:t>
      </w:r>
    </w:p>
    <w:p w:rsidR="009425AF" w:rsidRPr="009425AF" w:rsidRDefault="009425AF" w:rsidP="00980876">
      <w:pPr>
        <w:numPr>
          <w:ilvl w:val="0"/>
          <w:numId w:val="848"/>
        </w:numPr>
        <w:tabs>
          <w:tab w:val="right" w:pos="900"/>
        </w:tabs>
        <w:spacing w:before="120" w:after="0" w:line="240" w:lineRule="auto"/>
        <w:ind w:left="357" w:hanging="357"/>
        <w:jc w:val="both"/>
        <w:rPr>
          <w:rFonts w:ascii="Times New Roman" w:eastAsia="Calibri" w:hAnsi="Times New Roman" w:cs="Times New Roman"/>
          <w:bCs/>
          <w:lang w:eastAsia="hu-HU"/>
        </w:rPr>
      </w:pPr>
      <w:r w:rsidRPr="009425AF">
        <w:rPr>
          <w:rFonts w:ascii="Times New Roman" w:eastAsia="Calibri" w:hAnsi="Times New Roman" w:cs="Times New Roman"/>
          <w:b/>
          <w:bCs/>
          <w:lang w:eastAsia="hu-HU"/>
        </w:rPr>
        <w:t>A szak(ok), szakirányok megnevezése (ahol oktatják):</w:t>
      </w:r>
      <w:r w:rsidRPr="009425AF">
        <w:rPr>
          <w:rFonts w:ascii="Times New Roman" w:eastAsia="Calibri" w:hAnsi="Times New Roman" w:cs="Times New Roman"/>
          <w:bCs/>
          <w:lang w:eastAsia="hu-HU"/>
        </w:rPr>
        <w:t xml:space="preserve"> A Nemzeti Közszolgálati Egyetem Hadtudományi és Honvédtisztképző Karának minden alapképzési szakán nappali munkarendben</w:t>
      </w:r>
    </w:p>
    <w:p w:rsidR="009425AF" w:rsidRPr="009425AF" w:rsidRDefault="009425AF" w:rsidP="00980876">
      <w:pPr>
        <w:numPr>
          <w:ilvl w:val="0"/>
          <w:numId w:val="848"/>
        </w:numPr>
        <w:tabs>
          <w:tab w:val="right" w:pos="900"/>
        </w:tabs>
        <w:spacing w:before="120" w:after="0" w:line="240" w:lineRule="auto"/>
        <w:ind w:left="357" w:hanging="357"/>
        <w:jc w:val="both"/>
        <w:rPr>
          <w:rFonts w:ascii="Times New Roman" w:eastAsia="Calibri" w:hAnsi="Times New Roman" w:cs="Times New Roman"/>
          <w:b/>
          <w:bCs/>
          <w:lang w:eastAsia="hu-HU"/>
        </w:rPr>
      </w:pPr>
      <w:r w:rsidRPr="009425AF">
        <w:rPr>
          <w:rFonts w:ascii="Times New Roman" w:eastAsia="Calibri" w:hAnsi="Times New Roman" w:cs="Times New Roman"/>
          <w:b/>
          <w:bCs/>
        </w:rPr>
        <w:t xml:space="preserve">Az oktatásért felelős oktatási szervezeti egység megnevezése: </w:t>
      </w:r>
      <w:r w:rsidRPr="009425AF">
        <w:rPr>
          <w:rFonts w:ascii="Times New Roman" w:eastAsia="Calibri" w:hAnsi="Times New Roman" w:cs="Times New Roman"/>
          <w:bCs/>
          <w:lang w:eastAsia="hu-HU"/>
        </w:rPr>
        <w:t>Hadtudományi és Honvédtisztképző Kar, Idegennyelvi és Szaknyelvi Lektorátus</w:t>
      </w:r>
    </w:p>
    <w:p w:rsidR="009425AF" w:rsidRPr="009425AF" w:rsidRDefault="009425AF" w:rsidP="00980876">
      <w:pPr>
        <w:numPr>
          <w:ilvl w:val="0"/>
          <w:numId w:val="848"/>
        </w:numPr>
        <w:tabs>
          <w:tab w:val="right" w:pos="900"/>
        </w:tabs>
        <w:spacing w:before="120" w:after="0" w:line="240" w:lineRule="auto"/>
        <w:ind w:left="357" w:hanging="357"/>
        <w:jc w:val="both"/>
        <w:rPr>
          <w:rFonts w:ascii="Times New Roman" w:eastAsia="Calibri" w:hAnsi="Times New Roman" w:cs="Times New Roman"/>
          <w:bCs/>
          <w:lang w:eastAsia="hu-HU"/>
        </w:rPr>
      </w:pPr>
      <w:r w:rsidRPr="009425AF">
        <w:rPr>
          <w:rFonts w:ascii="Times New Roman" w:eastAsia="Calibri" w:hAnsi="Times New Roman" w:cs="Times New Roman"/>
          <w:b/>
          <w:bCs/>
          <w:lang w:eastAsia="hu-HU"/>
        </w:rPr>
        <w:t xml:space="preserve">A tantárgyfelelős oktató neve, beosztása, tudományos fokozata: </w:t>
      </w:r>
      <w:r w:rsidRPr="009425AF">
        <w:rPr>
          <w:rFonts w:ascii="Times New Roman" w:eastAsia="Calibri" w:hAnsi="Times New Roman" w:cs="Times New Roman"/>
          <w:bCs/>
          <w:lang w:eastAsia="hu-HU"/>
        </w:rPr>
        <w:t>Dr. Kiss Gabriella lektorátusvezető</w:t>
      </w:r>
    </w:p>
    <w:p w:rsidR="009425AF" w:rsidRPr="009425AF" w:rsidRDefault="009425AF" w:rsidP="00980876">
      <w:pPr>
        <w:numPr>
          <w:ilvl w:val="0"/>
          <w:numId w:val="848"/>
        </w:numPr>
        <w:tabs>
          <w:tab w:val="right" w:pos="900"/>
        </w:tabs>
        <w:spacing w:before="120" w:after="0" w:line="240" w:lineRule="auto"/>
        <w:jc w:val="both"/>
        <w:rPr>
          <w:rFonts w:ascii="Times New Roman" w:eastAsia="Calibri" w:hAnsi="Times New Roman" w:cs="Times New Roman"/>
          <w:bCs/>
          <w:lang w:eastAsia="hu-HU"/>
        </w:rPr>
      </w:pPr>
      <w:r w:rsidRPr="009425AF">
        <w:rPr>
          <w:rFonts w:ascii="Times New Roman" w:eastAsia="Calibri" w:hAnsi="Times New Roman" w:cs="Times New Roman"/>
          <w:b/>
          <w:bCs/>
          <w:lang w:eastAsia="hu-HU"/>
        </w:rPr>
        <w:t xml:space="preserve">A tanórákszáma és típusa </w:t>
      </w:r>
      <w:r w:rsidRPr="009425AF">
        <w:rPr>
          <w:rFonts w:ascii="Times New Roman" w:eastAsia="Calibri" w:hAnsi="Times New Roman" w:cs="Times New Roman"/>
          <w:b/>
          <w:bCs/>
          <w:i/>
          <w:lang w:eastAsia="hu-HU"/>
        </w:rPr>
        <w:t>(előadás+szeminárium+gyakorlat):</w:t>
      </w:r>
    </w:p>
    <w:p w:rsidR="00980876" w:rsidRPr="00E90CF1" w:rsidRDefault="00980876" w:rsidP="00980876">
      <w:pPr>
        <w:numPr>
          <w:ilvl w:val="1"/>
          <w:numId w:val="848"/>
        </w:numPr>
        <w:tabs>
          <w:tab w:val="right" w:pos="900"/>
        </w:tabs>
        <w:spacing w:before="120" w:after="0" w:line="240" w:lineRule="auto"/>
        <w:jc w:val="both"/>
        <w:rPr>
          <w:rFonts w:ascii="Times New Roman" w:hAnsi="Times New Roman" w:cs="Times New Roman"/>
          <w:bCs/>
          <w:lang w:eastAsia="hu-HU"/>
        </w:rPr>
      </w:pPr>
      <w:r w:rsidRPr="00E90CF1">
        <w:rPr>
          <w:rFonts w:ascii="Times New Roman" w:hAnsi="Times New Roman" w:cs="Times New Roman"/>
          <w:bCs/>
          <w:lang w:eastAsia="hu-HU"/>
        </w:rPr>
        <w:t>összóraszám/félév: 28</w:t>
      </w:r>
    </w:p>
    <w:p w:rsidR="00980876" w:rsidRPr="00E90CF1" w:rsidRDefault="00980876" w:rsidP="00980876">
      <w:pPr>
        <w:numPr>
          <w:ilvl w:val="2"/>
          <w:numId w:val="848"/>
        </w:numPr>
        <w:tabs>
          <w:tab w:val="right" w:pos="900"/>
        </w:tabs>
        <w:spacing w:before="120" w:after="0" w:line="240" w:lineRule="auto"/>
        <w:jc w:val="both"/>
        <w:rPr>
          <w:rFonts w:ascii="Times New Roman" w:hAnsi="Times New Roman"/>
          <w:bCs/>
          <w:lang w:eastAsia="hu-HU"/>
        </w:rPr>
      </w:pPr>
      <w:r w:rsidRPr="00E90CF1">
        <w:rPr>
          <w:rFonts w:ascii="Times New Roman" w:hAnsi="Times New Roman"/>
          <w:bCs/>
          <w:lang w:eastAsia="hu-HU"/>
        </w:rPr>
        <w:t>Nappali munkarend: 28 (14 EA + 0 SZ + 14 GY)</w:t>
      </w:r>
    </w:p>
    <w:p w:rsidR="00980876" w:rsidRPr="00E90CF1" w:rsidRDefault="00980876" w:rsidP="00980876">
      <w:pPr>
        <w:numPr>
          <w:ilvl w:val="2"/>
          <w:numId w:val="848"/>
        </w:numPr>
        <w:tabs>
          <w:tab w:val="right" w:pos="900"/>
        </w:tabs>
        <w:spacing w:before="120" w:after="0" w:line="240" w:lineRule="auto"/>
        <w:jc w:val="both"/>
        <w:rPr>
          <w:rFonts w:ascii="Times New Roman" w:hAnsi="Times New Roman" w:cs="Times New Roman"/>
          <w:bCs/>
          <w:lang w:eastAsia="hu-HU"/>
        </w:rPr>
      </w:pPr>
      <w:r w:rsidRPr="00E90CF1">
        <w:rPr>
          <w:rFonts w:ascii="Times New Roman" w:hAnsi="Times New Roman"/>
          <w:bCs/>
          <w:lang w:eastAsia="hu-HU"/>
        </w:rPr>
        <w:t>Levelező</w:t>
      </w:r>
      <w:r w:rsidRPr="00E90CF1">
        <w:rPr>
          <w:rFonts w:ascii="Times New Roman" w:hAnsi="Times New Roman" w:cs="Times New Roman"/>
          <w:bCs/>
          <w:lang w:eastAsia="hu-HU"/>
        </w:rPr>
        <w:t xml:space="preserve"> munkarend: -</w:t>
      </w:r>
    </w:p>
    <w:p w:rsidR="00980876" w:rsidRPr="00E90CF1" w:rsidRDefault="00980876" w:rsidP="00980876">
      <w:pPr>
        <w:numPr>
          <w:ilvl w:val="1"/>
          <w:numId w:val="848"/>
        </w:numPr>
        <w:tabs>
          <w:tab w:val="right" w:pos="900"/>
        </w:tabs>
        <w:spacing w:before="120" w:after="0" w:line="240" w:lineRule="auto"/>
        <w:jc w:val="both"/>
        <w:rPr>
          <w:rFonts w:ascii="Times New Roman" w:hAnsi="Times New Roman"/>
          <w:bCs/>
          <w:lang w:eastAsia="hu-HU"/>
        </w:rPr>
      </w:pPr>
      <w:r w:rsidRPr="00E90CF1">
        <w:rPr>
          <w:rFonts w:ascii="Times New Roman" w:hAnsi="Times New Roman"/>
          <w:bCs/>
          <w:lang w:eastAsia="hu-HU"/>
        </w:rPr>
        <w:t>heti óraszám nappali munkarend: 2 (1+1) óra</w:t>
      </w:r>
    </w:p>
    <w:p w:rsidR="009425AF" w:rsidRPr="009425AF" w:rsidRDefault="009425AF" w:rsidP="00980876">
      <w:pPr>
        <w:numPr>
          <w:ilvl w:val="1"/>
          <w:numId w:val="848"/>
        </w:numPr>
        <w:tabs>
          <w:tab w:val="right" w:pos="900"/>
        </w:tabs>
        <w:spacing w:before="120" w:after="0" w:line="240" w:lineRule="auto"/>
        <w:jc w:val="both"/>
        <w:rPr>
          <w:rFonts w:ascii="Times New Roman" w:eastAsia="Calibri" w:hAnsi="Times New Roman" w:cs="Times New Roman"/>
          <w:bCs/>
          <w:lang w:eastAsia="hu-HU"/>
        </w:rPr>
      </w:pPr>
      <w:r w:rsidRPr="009425AF">
        <w:rPr>
          <w:rFonts w:ascii="Times New Roman" w:eastAsia="Calibri" w:hAnsi="Times New Roman" w:cs="Times New Roman"/>
        </w:rPr>
        <w:t>Az ismeret átadásában alkalmazandó további sajátos módok, jellemzők:</w:t>
      </w:r>
    </w:p>
    <w:p w:rsidR="009425AF" w:rsidRPr="009425AF" w:rsidRDefault="009425AF" w:rsidP="00980876">
      <w:pPr>
        <w:numPr>
          <w:ilvl w:val="0"/>
          <w:numId w:val="848"/>
        </w:numPr>
        <w:tabs>
          <w:tab w:val="right" w:pos="900"/>
          <w:tab w:val="center" w:pos="4536"/>
          <w:tab w:val="right" w:pos="9072"/>
        </w:tabs>
        <w:spacing w:before="120" w:after="0" w:line="240" w:lineRule="auto"/>
        <w:ind w:left="357" w:hanging="357"/>
        <w:jc w:val="both"/>
        <w:rPr>
          <w:rFonts w:ascii="Times New Roman" w:eastAsia="Calibri" w:hAnsi="Times New Roman" w:cs="Times New Roman"/>
          <w:bCs/>
          <w:lang w:eastAsia="hu-HU"/>
        </w:rPr>
      </w:pPr>
      <w:r w:rsidRPr="009425AF">
        <w:rPr>
          <w:rFonts w:ascii="Times New Roman" w:eastAsia="Calibri" w:hAnsi="Times New Roman" w:cs="Times New Roman"/>
          <w:b/>
          <w:bCs/>
          <w:lang w:eastAsia="hu-HU"/>
        </w:rPr>
        <w:t xml:space="preserve">A tantárgy szakmai tartalma (magyarul): </w:t>
      </w:r>
      <w:r w:rsidRPr="009425AF">
        <w:rPr>
          <w:rFonts w:ascii="Times New Roman" w:eastAsia="Calibri" w:hAnsi="Times New Roman" w:cs="Times New Roman"/>
          <w:bCs/>
          <w:lang w:eastAsia="hu-HU"/>
        </w:rPr>
        <w:t>A általános német nyelv ismereteinek elsajátítása, beszédkészség, beszédértés és íráskészségek fejlesztése.</w:t>
      </w:r>
    </w:p>
    <w:p w:rsidR="009425AF" w:rsidRPr="009425AF" w:rsidRDefault="009425AF" w:rsidP="009425AF">
      <w:pPr>
        <w:spacing w:before="120" w:after="0" w:line="240" w:lineRule="auto"/>
        <w:ind w:left="357"/>
        <w:contextualSpacing/>
        <w:jc w:val="both"/>
        <w:rPr>
          <w:rFonts w:ascii="Times New Roman" w:eastAsia="Calibri" w:hAnsi="Times New Roman" w:cs="Times New Roman"/>
          <w:bCs/>
          <w:lang w:eastAsia="hu-HU"/>
        </w:rPr>
      </w:pPr>
      <w:r w:rsidRPr="009425AF">
        <w:rPr>
          <w:rFonts w:ascii="Times New Roman" w:eastAsia="Calibri" w:hAnsi="Times New Roman" w:cs="Times New Roman"/>
          <w:b/>
          <w:bCs/>
          <w:lang w:eastAsia="hu-HU"/>
        </w:rPr>
        <w:t>A tantárgy szakmai tartalma (angolul):</w:t>
      </w:r>
      <w:r w:rsidRPr="009425AF">
        <w:rPr>
          <w:rFonts w:ascii="Times New Roman" w:eastAsia="Calibri" w:hAnsi="Times New Roman" w:cs="Times New Roman"/>
          <w:bCs/>
          <w:lang w:eastAsia="hu-HU"/>
        </w:rPr>
        <w:t xml:space="preserve"> Acquiring the German language, and the enhancement of speaking, listening, and writing skills.</w:t>
      </w:r>
    </w:p>
    <w:p w:rsidR="009425AF" w:rsidRPr="009425AF" w:rsidRDefault="009425AF" w:rsidP="00980876">
      <w:pPr>
        <w:numPr>
          <w:ilvl w:val="0"/>
          <w:numId w:val="848"/>
        </w:numPr>
        <w:tabs>
          <w:tab w:val="right" w:pos="900"/>
        </w:tabs>
        <w:spacing w:before="120" w:after="0" w:line="240" w:lineRule="auto"/>
        <w:jc w:val="both"/>
        <w:rPr>
          <w:rFonts w:ascii="Times New Roman" w:eastAsia="Calibri" w:hAnsi="Times New Roman" w:cs="Times New Roman"/>
          <w:bCs/>
          <w:lang w:eastAsia="hu-HU"/>
        </w:rPr>
      </w:pPr>
      <w:r w:rsidRPr="009425AF">
        <w:rPr>
          <w:rFonts w:ascii="Times New Roman" w:eastAsia="Calibri" w:hAnsi="Times New Roman" w:cs="Times New Roman"/>
          <w:b/>
          <w:bCs/>
          <w:lang w:eastAsia="hu-HU"/>
        </w:rPr>
        <w:t>Elérendő kompetenciák (magyarul):</w:t>
      </w:r>
    </w:p>
    <w:p w:rsidR="009425AF" w:rsidRPr="009425AF" w:rsidRDefault="009425AF" w:rsidP="009425AF">
      <w:pPr>
        <w:tabs>
          <w:tab w:val="right" w:pos="900"/>
        </w:tabs>
        <w:spacing w:before="120" w:after="0" w:line="240" w:lineRule="auto"/>
        <w:jc w:val="both"/>
        <w:rPr>
          <w:rFonts w:ascii="Times New Roman" w:eastAsia="Calibri" w:hAnsi="Times New Roman" w:cs="Times New Roman"/>
          <w:bCs/>
          <w:lang w:eastAsia="hu-HU"/>
        </w:rPr>
      </w:pPr>
      <w:r w:rsidRPr="009425AF">
        <w:rPr>
          <w:rFonts w:ascii="Times New Roman" w:eastAsia="Calibri" w:hAnsi="Times New Roman" w:cs="Times New Roman"/>
          <w:b/>
          <w:bCs/>
          <w:lang w:eastAsia="hu-HU"/>
        </w:rPr>
        <w:t>Tudása:</w:t>
      </w:r>
      <w:r w:rsidRPr="009425AF">
        <w:rPr>
          <w:rFonts w:ascii="Times New Roman" w:eastAsia="Calibri" w:hAnsi="Times New Roman" w:cs="Times New Roman"/>
          <w:bCs/>
          <w:lang w:eastAsia="hu-HU"/>
        </w:rPr>
        <w:t xml:space="preserve"> </w:t>
      </w:r>
    </w:p>
    <w:p w:rsidR="009425AF" w:rsidRPr="009425AF" w:rsidRDefault="009425AF" w:rsidP="00980876">
      <w:pPr>
        <w:numPr>
          <w:ilvl w:val="0"/>
          <w:numId w:val="585"/>
        </w:numPr>
        <w:tabs>
          <w:tab w:val="right" w:pos="900"/>
        </w:tabs>
        <w:spacing w:after="0" w:line="240" w:lineRule="auto"/>
        <w:ind w:left="426"/>
        <w:contextualSpacing/>
        <w:jc w:val="both"/>
        <w:rPr>
          <w:rFonts w:ascii="Times New Roman" w:eastAsia="Calibri" w:hAnsi="Times New Roman" w:cs="Times New Roman"/>
          <w:bCs/>
          <w:lang w:eastAsia="hu-HU"/>
        </w:rPr>
      </w:pPr>
      <w:r w:rsidRPr="009425AF">
        <w:rPr>
          <w:rFonts w:ascii="Times New Roman" w:eastAsia="Calibri" w:hAnsi="Times New Roman" w:cs="Times New Roman"/>
          <w:bCs/>
          <w:lang w:eastAsia="hu-HU"/>
        </w:rPr>
        <w:t>Birtokában van azon nyelvtani ismereteknek, melyek szükségesek általános nyelvi ismeretekkel kapcsolatos kommunikáció lebonyolításához írásban és szóban is.</w:t>
      </w:r>
    </w:p>
    <w:p w:rsidR="009425AF" w:rsidRPr="009425AF" w:rsidRDefault="009425AF" w:rsidP="009425AF">
      <w:pPr>
        <w:tabs>
          <w:tab w:val="right" w:pos="900"/>
        </w:tabs>
        <w:spacing w:before="120" w:after="0" w:line="240" w:lineRule="auto"/>
        <w:jc w:val="both"/>
        <w:rPr>
          <w:rFonts w:ascii="Times New Roman" w:eastAsia="Calibri" w:hAnsi="Times New Roman" w:cs="Times New Roman"/>
          <w:bCs/>
          <w:lang w:eastAsia="hu-HU"/>
        </w:rPr>
      </w:pPr>
      <w:r w:rsidRPr="009425AF">
        <w:rPr>
          <w:rFonts w:ascii="Times New Roman" w:eastAsia="Calibri" w:hAnsi="Times New Roman" w:cs="Times New Roman"/>
          <w:b/>
          <w:bCs/>
          <w:lang w:eastAsia="hu-HU"/>
        </w:rPr>
        <w:t>Képességei:</w:t>
      </w:r>
      <w:r w:rsidRPr="009425AF">
        <w:rPr>
          <w:rFonts w:ascii="Times New Roman" w:eastAsia="Calibri" w:hAnsi="Times New Roman" w:cs="Times New Roman"/>
          <w:bCs/>
          <w:lang w:eastAsia="hu-HU"/>
        </w:rPr>
        <w:t xml:space="preserve"> </w:t>
      </w:r>
    </w:p>
    <w:p w:rsidR="009425AF" w:rsidRPr="009425AF" w:rsidRDefault="009425AF" w:rsidP="00980876">
      <w:pPr>
        <w:numPr>
          <w:ilvl w:val="0"/>
          <w:numId w:val="584"/>
        </w:numPr>
        <w:tabs>
          <w:tab w:val="right" w:pos="900"/>
        </w:tabs>
        <w:spacing w:after="0" w:line="240" w:lineRule="auto"/>
        <w:ind w:left="426"/>
        <w:contextualSpacing/>
        <w:jc w:val="both"/>
        <w:rPr>
          <w:rFonts w:ascii="Times New Roman" w:eastAsia="Calibri" w:hAnsi="Times New Roman" w:cs="Times New Roman"/>
          <w:bCs/>
          <w:lang w:eastAsia="hu-HU"/>
        </w:rPr>
      </w:pPr>
      <w:r w:rsidRPr="009425AF">
        <w:rPr>
          <w:rFonts w:ascii="Times New Roman" w:eastAsia="Calibri" w:hAnsi="Times New Roman" w:cs="Times New Roman"/>
          <w:bCs/>
          <w:lang w:eastAsia="hu-HU"/>
        </w:rPr>
        <w:t>Képes prezentációkat tartani német nyelven.</w:t>
      </w:r>
    </w:p>
    <w:p w:rsidR="009425AF" w:rsidRPr="009425AF" w:rsidRDefault="009425AF" w:rsidP="00980876">
      <w:pPr>
        <w:numPr>
          <w:ilvl w:val="0"/>
          <w:numId w:val="584"/>
        </w:numPr>
        <w:tabs>
          <w:tab w:val="right" w:pos="900"/>
        </w:tabs>
        <w:spacing w:after="0" w:line="240" w:lineRule="auto"/>
        <w:ind w:left="426"/>
        <w:contextualSpacing/>
        <w:jc w:val="both"/>
        <w:rPr>
          <w:rFonts w:ascii="Times New Roman" w:eastAsia="Calibri" w:hAnsi="Times New Roman" w:cs="Times New Roman"/>
          <w:bCs/>
          <w:lang w:eastAsia="hu-HU"/>
        </w:rPr>
      </w:pPr>
      <w:r w:rsidRPr="009425AF">
        <w:rPr>
          <w:rFonts w:ascii="Times New Roman" w:eastAsia="Calibri" w:hAnsi="Times New Roman" w:cs="Times New Roman"/>
        </w:rPr>
        <w:t>Képes oly mértékben folyékonyan és spontánul kommunikálni anyanyelvi beszélőkkel, hogy az nem jelent megerőltetést semelyik fél számára.</w:t>
      </w:r>
    </w:p>
    <w:p w:rsidR="009425AF" w:rsidRPr="009425AF" w:rsidRDefault="009425AF" w:rsidP="00980876">
      <w:pPr>
        <w:numPr>
          <w:ilvl w:val="0"/>
          <w:numId w:val="584"/>
        </w:numPr>
        <w:tabs>
          <w:tab w:val="right" w:pos="900"/>
        </w:tabs>
        <w:spacing w:after="0" w:line="240" w:lineRule="auto"/>
        <w:ind w:left="426"/>
        <w:contextualSpacing/>
        <w:jc w:val="both"/>
        <w:rPr>
          <w:rFonts w:ascii="Times New Roman" w:eastAsia="Calibri" w:hAnsi="Times New Roman" w:cs="Times New Roman"/>
          <w:bCs/>
          <w:lang w:eastAsia="hu-HU"/>
        </w:rPr>
      </w:pPr>
      <w:r w:rsidRPr="009425AF">
        <w:rPr>
          <w:rFonts w:ascii="Times New Roman" w:eastAsia="Calibri" w:hAnsi="Times New Roman" w:cs="Times New Roman"/>
          <w:bCs/>
          <w:lang w:eastAsia="hu-HU"/>
        </w:rPr>
        <w:t>Képes német nyelven dokumentumokat, nyomtatványokat, jegyzőkönyveket,  feljegyzéseket készíteni, valamint azokat kitölteni.</w:t>
      </w:r>
    </w:p>
    <w:p w:rsidR="009425AF" w:rsidRPr="009425AF" w:rsidRDefault="009425AF" w:rsidP="009425AF">
      <w:pPr>
        <w:tabs>
          <w:tab w:val="right" w:pos="900"/>
        </w:tabs>
        <w:spacing w:before="120" w:after="0" w:line="240" w:lineRule="auto"/>
        <w:jc w:val="both"/>
        <w:rPr>
          <w:rFonts w:ascii="Times New Roman" w:eastAsia="Calibri" w:hAnsi="Times New Roman" w:cs="Times New Roman"/>
          <w:bCs/>
          <w:lang w:eastAsia="hu-HU"/>
        </w:rPr>
      </w:pPr>
      <w:r w:rsidRPr="009425AF">
        <w:rPr>
          <w:rFonts w:ascii="Times New Roman" w:eastAsia="Calibri" w:hAnsi="Times New Roman" w:cs="Times New Roman"/>
          <w:b/>
          <w:bCs/>
          <w:lang w:eastAsia="hu-HU"/>
        </w:rPr>
        <w:t>Attitüdje:</w:t>
      </w:r>
      <w:r w:rsidRPr="009425AF">
        <w:rPr>
          <w:rFonts w:ascii="Times New Roman" w:eastAsia="Calibri" w:hAnsi="Times New Roman" w:cs="Times New Roman"/>
          <w:bCs/>
          <w:lang w:eastAsia="hu-HU"/>
        </w:rPr>
        <w:t xml:space="preserve"> </w:t>
      </w:r>
    </w:p>
    <w:p w:rsidR="009425AF" w:rsidRPr="009425AF" w:rsidRDefault="009425AF" w:rsidP="00980876">
      <w:pPr>
        <w:numPr>
          <w:ilvl w:val="0"/>
          <w:numId w:val="5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contextualSpacing/>
        <w:jc w:val="both"/>
        <w:rPr>
          <w:rFonts w:ascii="Times New Roman" w:eastAsia="Calibri" w:hAnsi="Times New Roman" w:cs="Times New Roman"/>
        </w:rPr>
      </w:pPr>
      <w:r w:rsidRPr="009425AF">
        <w:rPr>
          <w:rFonts w:ascii="Times New Roman" w:eastAsia="Calibri" w:hAnsi="Times New Roman" w:cs="Times New Roman"/>
        </w:rPr>
        <w:t>Hajlandó elsajátítani új ismereteket, igyekszik annak megértésére és használatára, és törekszik a saját szakterületén a folyamatos nyelvi vonatkozású önképzésre.</w:t>
      </w:r>
    </w:p>
    <w:p w:rsidR="009425AF" w:rsidRPr="009425AF" w:rsidRDefault="009425AF" w:rsidP="00980876">
      <w:pPr>
        <w:numPr>
          <w:ilvl w:val="0"/>
          <w:numId w:val="5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contextualSpacing/>
        <w:jc w:val="both"/>
        <w:rPr>
          <w:rFonts w:ascii="Times New Roman" w:eastAsia="Calibri" w:hAnsi="Times New Roman" w:cs="Times New Roman"/>
        </w:rPr>
      </w:pPr>
      <w:r w:rsidRPr="009425AF">
        <w:rPr>
          <w:rFonts w:ascii="Times New Roman" w:eastAsia="Calibri" w:hAnsi="Times New Roman" w:cs="Times New Roman"/>
        </w:rPr>
        <w:t>Az német nyelv használata során pontosságra törekszik.</w:t>
      </w:r>
    </w:p>
    <w:p w:rsidR="009425AF" w:rsidRPr="009425AF" w:rsidRDefault="009425AF" w:rsidP="00980876">
      <w:pPr>
        <w:numPr>
          <w:ilvl w:val="0"/>
          <w:numId w:val="5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contextualSpacing/>
        <w:jc w:val="both"/>
        <w:rPr>
          <w:rFonts w:ascii="Times New Roman" w:eastAsia="Calibri" w:hAnsi="Times New Roman" w:cs="Times New Roman"/>
        </w:rPr>
      </w:pPr>
      <w:r w:rsidRPr="009425AF">
        <w:rPr>
          <w:rFonts w:ascii="Times New Roman" w:eastAsia="Calibri" w:hAnsi="Times New Roman" w:cs="Times New Roman"/>
        </w:rPr>
        <w:t>Nem fél vagy szégyell segítséget kérni abban az esetben, ha nehézségekkel szembesül a nyelvhasználat során.</w:t>
      </w:r>
    </w:p>
    <w:p w:rsidR="009425AF" w:rsidRPr="009425AF" w:rsidRDefault="009425AF" w:rsidP="00980876">
      <w:pPr>
        <w:numPr>
          <w:ilvl w:val="0"/>
          <w:numId w:val="5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contextualSpacing/>
        <w:jc w:val="both"/>
        <w:rPr>
          <w:rFonts w:ascii="Times New Roman" w:eastAsia="Calibri" w:hAnsi="Times New Roman" w:cs="Times New Roman"/>
        </w:rPr>
      </w:pPr>
      <w:r w:rsidRPr="009425AF">
        <w:rPr>
          <w:rFonts w:ascii="Times New Roman" w:eastAsia="Calibri" w:hAnsi="Times New Roman" w:cs="Times New Roman"/>
        </w:rPr>
        <w:t>Minden alkalmat megragad nyelvi készségeinek fejlesztésére.</w:t>
      </w:r>
    </w:p>
    <w:p w:rsidR="009425AF" w:rsidRPr="009425AF" w:rsidRDefault="009425AF" w:rsidP="009425AF">
      <w:pPr>
        <w:rPr>
          <w:rFonts w:ascii="Times New Roman" w:eastAsia="Calibri" w:hAnsi="Times New Roman" w:cs="Times New Roman"/>
          <w:b/>
          <w:bCs/>
          <w:lang w:eastAsia="hu-HU"/>
        </w:rPr>
      </w:pPr>
      <w:r w:rsidRPr="009425AF">
        <w:rPr>
          <w:rFonts w:ascii="Times New Roman" w:eastAsia="Calibri" w:hAnsi="Times New Roman" w:cs="Times New Roman"/>
          <w:b/>
          <w:bCs/>
          <w:lang w:eastAsia="hu-HU"/>
        </w:rPr>
        <w:br w:type="page"/>
      </w:r>
    </w:p>
    <w:p w:rsidR="009425AF" w:rsidRPr="009425AF" w:rsidRDefault="009425AF" w:rsidP="009425AF">
      <w:pPr>
        <w:tabs>
          <w:tab w:val="right" w:pos="900"/>
        </w:tabs>
        <w:spacing w:before="120" w:after="0" w:line="240" w:lineRule="auto"/>
        <w:jc w:val="both"/>
        <w:rPr>
          <w:rFonts w:ascii="Times New Roman" w:eastAsia="Calibri" w:hAnsi="Times New Roman" w:cs="Times New Roman"/>
          <w:bCs/>
          <w:lang w:eastAsia="hu-HU"/>
        </w:rPr>
      </w:pPr>
      <w:r w:rsidRPr="009425AF">
        <w:rPr>
          <w:rFonts w:ascii="Times New Roman" w:eastAsia="Calibri" w:hAnsi="Times New Roman" w:cs="Times New Roman"/>
          <w:b/>
          <w:bCs/>
          <w:lang w:eastAsia="hu-HU"/>
        </w:rPr>
        <w:lastRenderedPageBreak/>
        <w:t>Autonómiája és felelőssége:</w:t>
      </w:r>
      <w:r w:rsidRPr="009425AF">
        <w:rPr>
          <w:rFonts w:ascii="Times New Roman" w:eastAsia="Calibri" w:hAnsi="Times New Roman" w:cs="Times New Roman"/>
          <w:bCs/>
          <w:lang w:eastAsia="hu-HU"/>
        </w:rPr>
        <w:t xml:space="preserve"> </w:t>
      </w:r>
    </w:p>
    <w:p w:rsidR="009425AF" w:rsidRPr="009425AF" w:rsidRDefault="009425AF" w:rsidP="00980876">
      <w:pPr>
        <w:widowControl w:val="0"/>
        <w:numPr>
          <w:ilvl w:val="0"/>
          <w:numId w:val="582"/>
        </w:numPr>
        <w:spacing w:after="0" w:line="240" w:lineRule="auto"/>
        <w:ind w:left="426"/>
        <w:contextualSpacing/>
        <w:jc w:val="both"/>
        <w:rPr>
          <w:rFonts w:ascii="Times New Roman" w:eastAsia="Calibri" w:hAnsi="Times New Roman" w:cs="Times New Roman"/>
          <w:bCs/>
        </w:rPr>
      </w:pPr>
      <w:r w:rsidRPr="009425AF">
        <w:rPr>
          <w:rFonts w:ascii="Times New Roman" w:eastAsia="Calibri" w:hAnsi="Times New Roman" w:cs="Times New Roman"/>
          <w:bCs/>
        </w:rPr>
        <w:t xml:space="preserve">Képes önállóan fejleszteni ismereteit. </w:t>
      </w:r>
    </w:p>
    <w:p w:rsidR="009425AF" w:rsidRPr="009425AF" w:rsidRDefault="009425AF" w:rsidP="00980876">
      <w:pPr>
        <w:widowControl w:val="0"/>
        <w:numPr>
          <w:ilvl w:val="0"/>
          <w:numId w:val="582"/>
        </w:numPr>
        <w:spacing w:after="0" w:line="240" w:lineRule="auto"/>
        <w:ind w:left="426"/>
        <w:contextualSpacing/>
        <w:jc w:val="both"/>
        <w:rPr>
          <w:rFonts w:ascii="Times New Roman" w:eastAsia="Calibri" w:hAnsi="Times New Roman" w:cs="Times New Roman"/>
          <w:bCs/>
        </w:rPr>
      </w:pPr>
      <w:r w:rsidRPr="009425AF">
        <w:rPr>
          <w:rFonts w:ascii="Times New Roman" w:eastAsia="Calibri" w:hAnsi="Times New Roman" w:cs="Times New Roman"/>
          <w:bCs/>
        </w:rPr>
        <w:t xml:space="preserve">Tisztában van a német nyelven történő hatékony kommunikáció szükségességével többnemzeti környezetben. </w:t>
      </w:r>
    </w:p>
    <w:p w:rsidR="009425AF" w:rsidRPr="009425AF" w:rsidRDefault="009425AF" w:rsidP="00980876">
      <w:pPr>
        <w:widowControl w:val="0"/>
        <w:numPr>
          <w:ilvl w:val="0"/>
          <w:numId w:val="582"/>
        </w:numPr>
        <w:spacing w:after="0" w:line="240" w:lineRule="auto"/>
        <w:ind w:left="426"/>
        <w:contextualSpacing/>
        <w:jc w:val="both"/>
        <w:rPr>
          <w:rFonts w:ascii="Times New Roman" w:eastAsia="Calibri" w:hAnsi="Times New Roman" w:cs="Times New Roman"/>
          <w:bCs/>
        </w:rPr>
      </w:pPr>
      <w:r w:rsidRPr="009425AF">
        <w:rPr>
          <w:rFonts w:ascii="Times New Roman" w:eastAsia="Calibri" w:hAnsi="Times New Roman" w:cs="Times New Roman"/>
          <w:bCs/>
        </w:rPr>
        <w:t>Felelősséget vállal saját német nyelvű szóbeli és írásbeli kommunikációjáért.</w:t>
      </w:r>
    </w:p>
    <w:p w:rsidR="009425AF" w:rsidRPr="009425AF" w:rsidRDefault="009425AF" w:rsidP="009425AF">
      <w:pPr>
        <w:tabs>
          <w:tab w:val="right" w:pos="900"/>
        </w:tabs>
        <w:spacing w:before="240" w:after="0" w:line="240" w:lineRule="auto"/>
        <w:jc w:val="both"/>
        <w:rPr>
          <w:rFonts w:ascii="Times New Roman" w:eastAsia="Calibri" w:hAnsi="Times New Roman" w:cs="Times New Roman"/>
          <w:bCs/>
          <w:lang w:val="en-GB" w:eastAsia="hu-HU"/>
        </w:rPr>
      </w:pPr>
      <w:r w:rsidRPr="009425AF">
        <w:rPr>
          <w:rFonts w:ascii="Times New Roman" w:eastAsia="Calibri" w:hAnsi="Times New Roman" w:cs="Times New Roman"/>
          <w:b/>
          <w:bCs/>
          <w:lang w:val="en-GB" w:eastAsia="hu-HU"/>
        </w:rPr>
        <w:t>Elérendő kompetenciák (angolul):</w:t>
      </w:r>
    </w:p>
    <w:p w:rsidR="009425AF" w:rsidRPr="009425AF" w:rsidRDefault="009425AF" w:rsidP="009425AF">
      <w:pPr>
        <w:tabs>
          <w:tab w:val="right" w:pos="900"/>
        </w:tabs>
        <w:spacing w:after="0" w:line="240" w:lineRule="auto"/>
        <w:jc w:val="both"/>
        <w:rPr>
          <w:rFonts w:ascii="Times New Roman" w:eastAsia="Calibri" w:hAnsi="Times New Roman" w:cs="Times New Roman"/>
          <w:bCs/>
          <w:lang w:val="en-GB" w:eastAsia="hu-HU"/>
        </w:rPr>
      </w:pPr>
      <w:r w:rsidRPr="009425AF">
        <w:rPr>
          <w:rFonts w:ascii="Times New Roman" w:eastAsia="Calibri" w:hAnsi="Times New Roman" w:cs="Times New Roman"/>
          <w:b/>
          <w:bCs/>
          <w:lang w:val="en-GB" w:eastAsia="hu-HU"/>
        </w:rPr>
        <w:t>Knowledge:</w:t>
      </w:r>
      <w:r w:rsidRPr="009425AF">
        <w:rPr>
          <w:rFonts w:ascii="Times New Roman" w:eastAsia="Calibri" w:hAnsi="Times New Roman" w:cs="Times New Roman"/>
          <w:bCs/>
          <w:lang w:val="en-GB" w:eastAsia="hu-HU"/>
        </w:rPr>
        <w:t xml:space="preserve"> </w:t>
      </w:r>
    </w:p>
    <w:p w:rsidR="009425AF" w:rsidRPr="009425AF" w:rsidRDefault="009425AF" w:rsidP="00980876">
      <w:pPr>
        <w:numPr>
          <w:ilvl w:val="0"/>
          <w:numId w:val="582"/>
        </w:numPr>
        <w:tabs>
          <w:tab w:val="right" w:pos="900"/>
        </w:tabs>
        <w:spacing w:after="0" w:line="240" w:lineRule="auto"/>
        <w:ind w:left="426" w:hanging="349"/>
        <w:contextualSpacing/>
        <w:jc w:val="both"/>
        <w:rPr>
          <w:rFonts w:ascii="Times New Roman" w:eastAsia="Calibri" w:hAnsi="Times New Roman" w:cs="Times New Roman"/>
          <w:bCs/>
          <w:lang w:eastAsia="hu-HU"/>
        </w:rPr>
      </w:pPr>
      <w:r w:rsidRPr="009425AF">
        <w:rPr>
          <w:rFonts w:ascii="Times New Roman" w:eastAsia="Calibri" w:hAnsi="Times New Roman" w:cs="Times New Roman"/>
          <w:bCs/>
          <w:lang w:eastAsia="hu-HU"/>
        </w:rPr>
        <w:t>The student has the language knowledge and competence required for everyday oral and written communication.</w:t>
      </w:r>
    </w:p>
    <w:p w:rsidR="009425AF" w:rsidRPr="009425AF" w:rsidRDefault="009425AF" w:rsidP="009425AF">
      <w:pPr>
        <w:tabs>
          <w:tab w:val="right" w:pos="900"/>
        </w:tabs>
        <w:spacing w:before="120" w:after="0" w:line="240" w:lineRule="auto"/>
        <w:jc w:val="both"/>
        <w:rPr>
          <w:rFonts w:ascii="Times New Roman" w:eastAsia="Calibri" w:hAnsi="Times New Roman" w:cs="Times New Roman"/>
          <w:b/>
          <w:bCs/>
          <w:lang w:val="en-GB" w:eastAsia="hu-HU"/>
        </w:rPr>
      </w:pPr>
      <w:r w:rsidRPr="009425AF">
        <w:rPr>
          <w:rFonts w:ascii="Times New Roman" w:eastAsia="Calibri" w:hAnsi="Times New Roman" w:cs="Times New Roman"/>
          <w:b/>
          <w:bCs/>
          <w:lang w:val="en-GB" w:eastAsia="hu-HU"/>
        </w:rPr>
        <w:t>Capabilities:</w:t>
      </w:r>
    </w:p>
    <w:p w:rsidR="009425AF" w:rsidRPr="009425AF" w:rsidRDefault="009425AF" w:rsidP="00980876">
      <w:pPr>
        <w:numPr>
          <w:ilvl w:val="0"/>
          <w:numId w:val="581"/>
        </w:numPr>
        <w:tabs>
          <w:tab w:val="right" w:pos="900"/>
        </w:tabs>
        <w:spacing w:after="0" w:line="240" w:lineRule="auto"/>
        <w:ind w:left="426"/>
        <w:contextualSpacing/>
        <w:jc w:val="both"/>
        <w:rPr>
          <w:rFonts w:ascii="Times New Roman" w:eastAsia="Calibri" w:hAnsi="Times New Roman" w:cs="Times New Roman"/>
          <w:bCs/>
          <w:lang w:val="en-GB" w:eastAsia="hu-HU"/>
        </w:rPr>
      </w:pPr>
      <w:r w:rsidRPr="009425AF">
        <w:rPr>
          <w:rFonts w:ascii="Times New Roman" w:eastAsia="Calibri" w:hAnsi="Times New Roman" w:cs="Times New Roman"/>
          <w:bCs/>
          <w:lang w:val="en-GB" w:eastAsia="hu-HU"/>
        </w:rPr>
        <w:t>Capable of preparing presentations in German.</w:t>
      </w:r>
    </w:p>
    <w:p w:rsidR="009425AF" w:rsidRPr="009425AF" w:rsidRDefault="009425AF" w:rsidP="00980876">
      <w:pPr>
        <w:numPr>
          <w:ilvl w:val="0"/>
          <w:numId w:val="581"/>
        </w:numPr>
        <w:tabs>
          <w:tab w:val="right" w:pos="900"/>
        </w:tabs>
        <w:spacing w:after="0" w:line="240" w:lineRule="auto"/>
        <w:ind w:left="426"/>
        <w:contextualSpacing/>
        <w:jc w:val="both"/>
        <w:rPr>
          <w:rFonts w:ascii="Times New Roman" w:eastAsia="Calibri" w:hAnsi="Times New Roman" w:cs="Times New Roman"/>
          <w:bCs/>
          <w:lang w:val="en-GB" w:eastAsia="hu-HU"/>
        </w:rPr>
      </w:pPr>
      <w:r w:rsidRPr="009425AF">
        <w:rPr>
          <w:rFonts w:ascii="Times New Roman" w:eastAsia="Calibri" w:hAnsi="Times New Roman" w:cs="Times New Roman"/>
          <w:bCs/>
          <w:lang w:val="en-GB" w:eastAsia="hu-HU"/>
        </w:rPr>
        <w:t>Capable of interacting with a degree of fluency and spontaneity that makes regular interaction with native speakers quite possible without strain for either party.</w:t>
      </w:r>
    </w:p>
    <w:p w:rsidR="009425AF" w:rsidRPr="009425AF" w:rsidRDefault="009425AF" w:rsidP="00980876">
      <w:pPr>
        <w:numPr>
          <w:ilvl w:val="0"/>
          <w:numId w:val="581"/>
        </w:numPr>
        <w:tabs>
          <w:tab w:val="right" w:pos="900"/>
        </w:tabs>
        <w:spacing w:after="0" w:line="240" w:lineRule="auto"/>
        <w:ind w:left="426"/>
        <w:contextualSpacing/>
        <w:jc w:val="both"/>
        <w:rPr>
          <w:rFonts w:ascii="Times New Roman" w:eastAsia="Calibri" w:hAnsi="Times New Roman" w:cs="Times New Roman"/>
          <w:bCs/>
          <w:lang w:val="en-GB" w:eastAsia="hu-HU"/>
        </w:rPr>
      </w:pPr>
      <w:r w:rsidRPr="009425AF">
        <w:rPr>
          <w:rFonts w:ascii="Times New Roman" w:eastAsia="Calibri" w:hAnsi="Times New Roman" w:cs="Times New Roman"/>
          <w:bCs/>
          <w:lang w:val="en-GB" w:eastAsia="hu-HU"/>
        </w:rPr>
        <w:t>Capable of preparing documents, forms, minutes, notes and memos and completing documents in German.</w:t>
      </w:r>
    </w:p>
    <w:p w:rsidR="009425AF" w:rsidRPr="009425AF" w:rsidRDefault="009425AF" w:rsidP="009425AF">
      <w:pPr>
        <w:tabs>
          <w:tab w:val="right" w:pos="900"/>
        </w:tabs>
        <w:spacing w:before="120" w:after="0" w:line="240" w:lineRule="auto"/>
        <w:jc w:val="both"/>
        <w:rPr>
          <w:rFonts w:ascii="Times New Roman" w:eastAsia="Calibri" w:hAnsi="Times New Roman" w:cs="Times New Roman"/>
          <w:bCs/>
          <w:lang w:val="en-GB" w:eastAsia="hu-HU"/>
        </w:rPr>
      </w:pPr>
      <w:r w:rsidRPr="009425AF">
        <w:rPr>
          <w:rFonts w:ascii="Times New Roman" w:eastAsia="Calibri" w:hAnsi="Times New Roman" w:cs="Times New Roman"/>
          <w:b/>
          <w:bCs/>
          <w:lang w:val="en-GB" w:eastAsia="hu-HU"/>
        </w:rPr>
        <w:t>Attitude:</w:t>
      </w:r>
      <w:r w:rsidRPr="009425AF">
        <w:rPr>
          <w:rFonts w:ascii="Times New Roman" w:eastAsia="Calibri" w:hAnsi="Times New Roman" w:cs="Times New Roman"/>
          <w:bCs/>
          <w:lang w:val="en-GB" w:eastAsia="hu-HU"/>
        </w:rPr>
        <w:t xml:space="preserve"> </w:t>
      </w:r>
    </w:p>
    <w:p w:rsidR="009425AF" w:rsidRPr="009425AF" w:rsidRDefault="009425AF" w:rsidP="00980876">
      <w:pPr>
        <w:numPr>
          <w:ilvl w:val="0"/>
          <w:numId w:val="580"/>
        </w:numPr>
        <w:spacing w:after="0" w:line="240" w:lineRule="auto"/>
        <w:ind w:left="426"/>
        <w:contextualSpacing/>
        <w:jc w:val="both"/>
        <w:rPr>
          <w:rFonts w:ascii="Times New Roman" w:eastAsia="Calibri" w:hAnsi="Times New Roman" w:cs="Times New Roman"/>
          <w:lang w:val="en-GB"/>
        </w:rPr>
      </w:pPr>
      <w:r w:rsidRPr="009425AF">
        <w:rPr>
          <w:rFonts w:ascii="Times New Roman" w:eastAsia="Calibri" w:hAnsi="Times New Roman" w:cs="Times New Roman"/>
          <w:lang w:val="en-GB"/>
        </w:rPr>
        <w:t>Is willing to learn the new terminology in his/her specialization, strives to understand and use it, and is committed to continuous self-education in his/her specialization.</w:t>
      </w:r>
    </w:p>
    <w:p w:rsidR="009425AF" w:rsidRPr="009425AF" w:rsidRDefault="009425AF" w:rsidP="00980876">
      <w:pPr>
        <w:numPr>
          <w:ilvl w:val="0"/>
          <w:numId w:val="580"/>
        </w:numPr>
        <w:spacing w:after="0" w:line="240" w:lineRule="auto"/>
        <w:ind w:left="426"/>
        <w:contextualSpacing/>
        <w:jc w:val="both"/>
        <w:rPr>
          <w:rFonts w:ascii="Times New Roman" w:eastAsia="Calibri" w:hAnsi="Times New Roman" w:cs="Times New Roman"/>
          <w:lang w:val="en-GB"/>
        </w:rPr>
      </w:pPr>
      <w:r w:rsidRPr="009425AF">
        <w:rPr>
          <w:rFonts w:ascii="Times New Roman" w:eastAsia="Calibri" w:hAnsi="Times New Roman" w:cs="Times New Roman"/>
          <w:lang w:val="en-GB"/>
        </w:rPr>
        <w:t>Is committed to accuracy when using the German language at work.</w:t>
      </w:r>
    </w:p>
    <w:p w:rsidR="009425AF" w:rsidRPr="009425AF" w:rsidRDefault="009425AF" w:rsidP="00980876">
      <w:pPr>
        <w:numPr>
          <w:ilvl w:val="0"/>
          <w:numId w:val="580"/>
        </w:numPr>
        <w:spacing w:after="0" w:line="240" w:lineRule="auto"/>
        <w:ind w:left="426"/>
        <w:contextualSpacing/>
        <w:jc w:val="both"/>
        <w:rPr>
          <w:rFonts w:ascii="Times New Roman" w:eastAsia="Calibri" w:hAnsi="Times New Roman" w:cs="Times New Roman"/>
          <w:lang w:val="en-GB"/>
        </w:rPr>
      </w:pPr>
      <w:r w:rsidRPr="009425AF">
        <w:rPr>
          <w:rFonts w:ascii="Times New Roman" w:eastAsia="Calibri" w:hAnsi="Times New Roman" w:cs="Times New Roman"/>
          <w:lang w:val="en-GB"/>
        </w:rPr>
        <w:t>Is not afraid or embarrassed to seek help when he/she faces problems with the German language.</w:t>
      </w:r>
    </w:p>
    <w:p w:rsidR="009425AF" w:rsidRPr="009425AF" w:rsidRDefault="009425AF" w:rsidP="00980876">
      <w:pPr>
        <w:numPr>
          <w:ilvl w:val="0"/>
          <w:numId w:val="580"/>
        </w:numPr>
        <w:spacing w:after="0" w:line="240" w:lineRule="auto"/>
        <w:ind w:left="426"/>
        <w:contextualSpacing/>
        <w:jc w:val="both"/>
        <w:rPr>
          <w:rFonts w:ascii="Times New Roman" w:eastAsia="Calibri" w:hAnsi="Times New Roman" w:cs="Times New Roman"/>
          <w:lang w:val="en-GB"/>
        </w:rPr>
      </w:pPr>
      <w:r w:rsidRPr="009425AF">
        <w:rPr>
          <w:rFonts w:ascii="Times New Roman" w:eastAsia="Calibri" w:hAnsi="Times New Roman" w:cs="Times New Roman"/>
          <w:lang w:val="en-GB"/>
        </w:rPr>
        <w:t>Takes every opportunity to improve his/her knowledge of German.</w:t>
      </w:r>
    </w:p>
    <w:p w:rsidR="009425AF" w:rsidRPr="009425AF" w:rsidRDefault="009425AF" w:rsidP="009425AF">
      <w:pPr>
        <w:tabs>
          <w:tab w:val="right" w:pos="900"/>
        </w:tabs>
        <w:spacing w:before="120" w:after="0" w:line="240" w:lineRule="auto"/>
        <w:jc w:val="both"/>
        <w:rPr>
          <w:rFonts w:ascii="Times New Roman" w:eastAsia="Calibri" w:hAnsi="Times New Roman" w:cs="Times New Roman"/>
          <w:bCs/>
          <w:lang w:val="en-GB" w:eastAsia="hu-HU"/>
        </w:rPr>
      </w:pPr>
      <w:r w:rsidRPr="009425AF">
        <w:rPr>
          <w:rFonts w:ascii="Times New Roman" w:eastAsia="Calibri" w:hAnsi="Times New Roman" w:cs="Times New Roman"/>
          <w:b/>
          <w:bCs/>
          <w:lang w:val="en-GB" w:eastAsia="hu-HU"/>
        </w:rPr>
        <w:t>Autonomy and responsibility:</w:t>
      </w:r>
      <w:r w:rsidRPr="009425AF">
        <w:rPr>
          <w:rFonts w:ascii="Times New Roman" w:eastAsia="Calibri" w:hAnsi="Times New Roman" w:cs="Times New Roman"/>
          <w:bCs/>
          <w:lang w:val="en-GB" w:eastAsia="hu-HU"/>
        </w:rPr>
        <w:t xml:space="preserve"> </w:t>
      </w:r>
    </w:p>
    <w:p w:rsidR="009425AF" w:rsidRPr="009425AF" w:rsidRDefault="009425AF" w:rsidP="00980876">
      <w:pPr>
        <w:numPr>
          <w:ilvl w:val="0"/>
          <w:numId w:val="579"/>
        </w:numPr>
        <w:spacing w:after="0" w:line="240" w:lineRule="auto"/>
        <w:ind w:left="426"/>
        <w:contextualSpacing/>
        <w:jc w:val="both"/>
        <w:rPr>
          <w:rFonts w:ascii="Times New Roman" w:eastAsia="Calibri" w:hAnsi="Times New Roman" w:cs="Times New Roman"/>
          <w:lang w:val="en-GB"/>
        </w:rPr>
      </w:pPr>
      <w:r w:rsidRPr="009425AF">
        <w:rPr>
          <w:rFonts w:ascii="Times New Roman" w:eastAsia="Calibri" w:hAnsi="Times New Roman" w:cs="Times New Roman"/>
          <w:lang w:val="en-GB"/>
        </w:rPr>
        <w:t>Able to autonomously improve his/her knowledge of the terminology</w:t>
      </w:r>
    </w:p>
    <w:p w:rsidR="009425AF" w:rsidRPr="009425AF" w:rsidRDefault="009425AF" w:rsidP="00980876">
      <w:pPr>
        <w:numPr>
          <w:ilvl w:val="0"/>
          <w:numId w:val="579"/>
        </w:numPr>
        <w:spacing w:after="0" w:line="240" w:lineRule="auto"/>
        <w:ind w:left="426"/>
        <w:contextualSpacing/>
        <w:jc w:val="both"/>
        <w:rPr>
          <w:rFonts w:ascii="Times New Roman" w:eastAsia="Calibri" w:hAnsi="Times New Roman" w:cs="Times New Roman"/>
          <w:lang w:val="en-GB"/>
        </w:rPr>
      </w:pPr>
      <w:r w:rsidRPr="009425AF">
        <w:rPr>
          <w:rFonts w:ascii="Times New Roman" w:eastAsia="Calibri" w:hAnsi="Times New Roman" w:cs="Times New Roman"/>
          <w:lang w:val="en-GB"/>
        </w:rPr>
        <w:t xml:space="preserve">Aware of the importance of being able to effectively communicate in German in a multinational environment </w:t>
      </w:r>
    </w:p>
    <w:p w:rsidR="009425AF" w:rsidRPr="009425AF" w:rsidRDefault="009425AF" w:rsidP="00980876">
      <w:pPr>
        <w:numPr>
          <w:ilvl w:val="0"/>
          <w:numId w:val="579"/>
        </w:numPr>
        <w:spacing w:after="360" w:line="240" w:lineRule="auto"/>
        <w:ind w:left="426"/>
        <w:contextualSpacing/>
        <w:jc w:val="both"/>
        <w:rPr>
          <w:rFonts w:ascii="Times New Roman" w:eastAsia="Calibri" w:hAnsi="Times New Roman" w:cs="Times New Roman"/>
          <w:lang w:val="en-GB"/>
        </w:rPr>
      </w:pPr>
      <w:r w:rsidRPr="009425AF">
        <w:rPr>
          <w:rFonts w:ascii="Times New Roman" w:eastAsia="Calibri" w:hAnsi="Times New Roman" w:cs="Times New Roman"/>
          <w:lang w:val="en-GB"/>
        </w:rPr>
        <w:t>Takes responsibility for his/her written/verbal communication in German</w:t>
      </w:r>
    </w:p>
    <w:p w:rsidR="009425AF" w:rsidRPr="009425AF" w:rsidRDefault="009425AF" w:rsidP="009425AF">
      <w:pPr>
        <w:spacing w:after="360" w:line="240" w:lineRule="auto"/>
        <w:ind w:left="426"/>
        <w:contextualSpacing/>
        <w:jc w:val="both"/>
        <w:rPr>
          <w:rFonts w:ascii="Times New Roman" w:eastAsia="Calibri" w:hAnsi="Times New Roman" w:cs="Times New Roman"/>
          <w:lang w:val="en-GB"/>
        </w:rPr>
      </w:pPr>
    </w:p>
    <w:p w:rsidR="009425AF" w:rsidRPr="009425AF" w:rsidRDefault="009425AF" w:rsidP="00980876">
      <w:pPr>
        <w:numPr>
          <w:ilvl w:val="0"/>
          <w:numId w:val="848"/>
        </w:numPr>
        <w:spacing w:before="120" w:after="0" w:line="240" w:lineRule="auto"/>
        <w:contextualSpacing/>
        <w:jc w:val="both"/>
        <w:rPr>
          <w:rFonts w:ascii="Times New Roman" w:eastAsia="Calibri" w:hAnsi="Times New Roman" w:cs="Times New Roman"/>
          <w:bCs/>
          <w:lang w:eastAsia="hu-HU"/>
        </w:rPr>
      </w:pPr>
      <w:r w:rsidRPr="009425AF">
        <w:rPr>
          <w:rFonts w:ascii="Times New Roman" w:eastAsia="Calibri" w:hAnsi="Times New Roman" w:cs="Times New Roman"/>
          <w:b/>
          <w:bCs/>
          <w:lang w:eastAsia="hu-HU"/>
        </w:rPr>
        <w:t>Előtanulmányi követelmények:</w:t>
      </w:r>
      <w:r w:rsidRPr="009425AF">
        <w:rPr>
          <w:rFonts w:ascii="Times New Roman" w:eastAsia="Calibri" w:hAnsi="Times New Roman" w:cs="Times New Roman"/>
          <w:bCs/>
          <w:lang w:eastAsia="hu-HU"/>
        </w:rPr>
        <w:t xml:space="preserve"> -</w:t>
      </w:r>
    </w:p>
    <w:p w:rsidR="009425AF" w:rsidRPr="009425AF" w:rsidRDefault="009425AF" w:rsidP="00980876">
      <w:pPr>
        <w:widowControl w:val="0"/>
        <w:numPr>
          <w:ilvl w:val="0"/>
          <w:numId w:val="848"/>
        </w:numPr>
        <w:spacing w:before="120" w:after="120" w:line="240" w:lineRule="auto"/>
        <w:jc w:val="both"/>
        <w:rPr>
          <w:rFonts w:ascii="Times New Roman" w:eastAsia="Calibri" w:hAnsi="Times New Roman" w:cs="Times New Roman"/>
          <w:b/>
          <w:bCs/>
        </w:rPr>
      </w:pPr>
      <w:r w:rsidRPr="009425AF">
        <w:rPr>
          <w:rFonts w:ascii="Times New Roman" w:eastAsia="Calibri" w:hAnsi="Times New Roman" w:cs="Times New Roman"/>
          <w:b/>
          <w:bCs/>
        </w:rPr>
        <w:t>A tantárgy tananyagának leírása, tematika. Description of the subject, curriculum (magyarul, angolul - English):</w:t>
      </w:r>
    </w:p>
    <w:p w:rsidR="009425AF" w:rsidRPr="009425AF" w:rsidRDefault="009425AF" w:rsidP="00980876">
      <w:pPr>
        <w:numPr>
          <w:ilvl w:val="1"/>
          <w:numId w:val="848"/>
        </w:numPr>
        <w:spacing w:before="120" w:after="0" w:line="240" w:lineRule="auto"/>
        <w:ind w:left="1134" w:hanging="708"/>
        <w:jc w:val="both"/>
        <w:rPr>
          <w:rFonts w:ascii="Times New Roman" w:eastAsia="Calibri" w:hAnsi="Times New Roman" w:cs="Times New Roman"/>
          <w:lang w:eastAsia="hu-HU"/>
        </w:rPr>
      </w:pPr>
      <w:r w:rsidRPr="009425AF">
        <w:rPr>
          <w:rFonts w:ascii="Times New Roman" w:eastAsia="Calibri" w:hAnsi="Times New Roman" w:cs="Times New Roman"/>
          <w:lang w:eastAsia="hu-HU"/>
        </w:rPr>
        <w:t>Bemutatkozás, család, napirend (Introduction, family, daily routine)</w:t>
      </w:r>
    </w:p>
    <w:p w:rsidR="009425AF" w:rsidRPr="009425AF" w:rsidRDefault="009425AF" w:rsidP="00980876">
      <w:pPr>
        <w:numPr>
          <w:ilvl w:val="1"/>
          <w:numId w:val="848"/>
        </w:numPr>
        <w:spacing w:before="120" w:after="0" w:line="240" w:lineRule="auto"/>
        <w:ind w:left="1134" w:hanging="708"/>
        <w:jc w:val="both"/>
        <w:rPr>
          <w:rFonts w:ascii="Times New Roman" w:eastAsia="Calibri" w:hAnsi="Times New Roman" w:cs="Times New Roman"/>
          <w:lang w:eastAsia="hu-HU"/>
        </w:rPr>
      </w:pPr>
      <w:r w:rsidRPr="009425AF">
        <w:rPr>
          <w:rFonts w:ascii="Times New Roman" w:eastAsia="Calibri" w:hAnsi="Times New Roman" w:cs="Times New Roman"/>
          <w:lang w:eastAsia="hu-HU"/>
        </w:rPr>
        <w:t>Vásárlás (élelmiszer és ruhanemű) ((Shopping (food and clothes))</w:t>
      </w:r>
    </w:p>
    <w:p w:rsidR="009425AF" w:rsidRPr="009425AF" w:rsidRDefault="009425AF" w:rsidP="00980876">
      <w:pPr>
        <w:numPr>
          <w:ilvl w:val="1"/>
          <w:numId w:val="848"/>
        </w:numPr>
        <w:spacing w:before="120" w:after="0" w:line="240" w:lineRule="auto"/>
        <w:ind w:left="1134" w:hanging="708"/>
        <w:jc w:val="both"/>
        <w:rPr>
          <w:rFonts w:ascii="Times New Roman" w:eastAsia="Calibri" w:hAnsi="Times New Roman" w:cs="Times New Roman"/>
          <w:lang w:eastAsia="hu-HU"/>
        </w:rPr>
      </w:pPr>
      <w:r w:rsidRPr="009425AF">
        <w:rPr>
          <w:rFonts w:ascii="Times New Roman" w:eastAsia="Calibri" w:hAnsi="Times New Roman" w:cs="Times New Roman"/>
          <w:lang w:eastAsia="hu-HU"/>
        </w:rPr>
        <w:t>Lakás, lakókörnyezet (Housing, neighbourhood)</w:t>
      </w:r>
    </w:p>
    <w:p w:rsidR="009425AF" w:rsidRPr="009425AF" w:rsidRDefault="009425AF" w:rsidP="00980876">
      <w:pPr>
        <w:numPr>
          <w:ilvl w:val="1"/>
          <w:numId w:val="848"/>
        </w:numPr>
        <w:spacing w:before="120" w:after="0" w:line="240" w:lineRule="auto"/>
        <w:ind w:left="1134" w:hanging="708"/>
        <w:jc w:val="both"/>
        <w:rPr>
          <w:rFonts w:ascii="Times New Roman" w:eastAsia="Calibri" w:hAnsi="Times New Roman" w:cs="Times New Roman"/>
          <w:lang w:eastAsia="hu-HU"/>
        </w:rPr>
      </w:pPr>
      <w:r w:rsidRPr="009425AF">
        <w:rPr>
          <w:rFonts w:ascii="Times New Roman" w:eastAsia="Calibri" w:hAnsi="Times New Roman" w:cs="Times New Roman"/>
          <w:lang w:eastAsia="hu-HU"/>
        </w:rPr>
        <w:t>Munka, munkahely, foglalkozások (Jobs, workplace, career goals)</w:t>
      </w:r>
    </w:p>
    <w:p w:rsidR="009425AF" w:rsidRPr="009425AF" w:rsidRDefault="009425AF" w:rsidP="00980876">
      <w:pPr>
        <w:numPr>
          <w:ilvl w:val="1"/>
          <w:numId w:val="848"/>
        </w:numPr>
        <w:spacing w:before="120" w:after="0" w:line="240" w:lineRule="auto"/>
        <w:ind w:left="1134" w:hanging="708"/>
        <w:jc w:val="both"/>
        <w:rPr>
          <w:rFonts w:ascii="Times New Roman" w:eastAsia="Calibri" w:hAnsi="Times New Roman" w:cs="Times New Roman"/>
          <w:lang w:eastAsia="hu-HU"/>
        </w:rPr>
      </w:pPr>
      <w:r w:rsidRPr="009425AF">
        <w:rPr>
          <w:rFonts w:ascii="Times New Roman" w:eastAsia="Calibri" w:hAnsi="Times New Roman" w:cs="Times New Roman"/>
          <w:lang w:eastAsia="hu-HU"/>
        </w:rPr>
        <w:t>Közlekedés, utazás, nyaralás (Transport, travelling, holiday)</w:t>
      </w:r>
    </w:p>
    <w:p w:rsidR="009425AF" w:rsidRPr="009425AF" w:rsidRDefault="009425AF" w:rsidP="00980876">
      <w:pPr>
        <w:numPr>
          <w:ilvl w:val="1"/>
          <w:numId w:val="848"/>
        </w:numPr>
        <w:spacing w:before="120" w:after="0" w:line="240" w:lineRule="auto"/>
        <w:ind w:left="1134" w:hanging="708"/>
        <w:jc w:val="both"/>
        <w:rPr>
          <w:rFonts w:ascii="Times New Roman" w:eastAsia="Calibri" w:hAnsi="Times New Roman" w:cs="Times New Roman"/>
          <w:lang w:eastAsia="hu-HU"/>
        </w:rPr>
      </w:pPr>
      <w:r w:rsidRPr="009425AF">
        <w:rPr>
          <w:rFonts w:ascii="Times New Roman" w:eastAsia="Calibri" w:hAnsi="Times New Roman" w:cs="Times New Roman"/>
          <w:lang w:eastAsia="hu-HU"/>
        </w:rPr>
        <w:t>Szolgáltatások (telefon, bank, posta, étkezés, étterem) ((Services (phoning, bank, post office, eating, at the restaurant))</w:t>
      </w:r>
    </w:p>
    <w:p w:rsidR="009425AF" w:rsidRPr="009425AF" w:rsidRDefault="009425AF" w:rsidP="00980876">
      <w:pPr>
        <w:numPr>
          <w:ilvl w:val="1"/>
          <w:numId w:val="848"/>
        </w:numPr>
        <w:spacing w:before="120" w:after="0" w:line="240" w:lineRule="auto"/>
        <w:ind w:left="1134" w:hanging="708"/>
        <w:jc w:val="both"/>
        <w:rPr>
          <w:rFonts w:ascii="Times New Roman" w:eastAsia="Calibri" w:hAnsi="Times New Roman" w:cs="Times New Roman"/>
          <w:lang w:eastAsia="hu-HU"/>
        </w:rPr>
      </w:pPr>
      <w:r w:rsidRPr="009425AF">
        <w:rPr>
          <w:rFonts w:ascii="Times New Roman" w:eastAsia="Calibri" w:hAnsi="Times New Roman" w:cs="Times New Roman"/>
          <w:lang w:eastAsia="hu-HU"/>
        </w:rPr>
        <w:t>Tanulás, iskolák, tantárgyak, nyelvtanulás (Education, schools, subjects, language learning)</w:t>
      </w:r>
    </w:p>
    <w:p w:rsidR="009425AF" w:rsidRPr="009425AF" w:rsidRDefault="009425AF" w:rsidP="00980876">
      <w:pPr>
        <w:numPr>
          <w:ilvl w:val="1"/>
          <w:numId w:val="848"/>
        </w:numPr>
        <w:spacing w:before="120" w:after="0" w:line="240" w:lineRule="auto"/>
        <w:ind w:left="1134" w:hanging="708"/>
        <w:jc w:val="both"/>
        <w:rPr>
          <w:rFonts w:ascii="Times New Roman" w:eastAsia="Calibri" w:hAnsi="Times New Roman" w:cs="Times New Roman"/>
          <w:lang w:eastAsia="hu-HU"/>
        </w:rPr>
      </w:pPr>
      <w:r w:rsidRPr="009425AF">
        <w:rPr>
          <w:rFonts w:ascii="Times New Roman" w:eastAsia="Calibri" w:hAnsi="Times New Roman" w:cs="Times New Roman"/>
          <w:lang w:eastAsia="hu-HU"/>
        </w:rPr>
        <w:t>Egészség, betegségek. Tünetek, kezelések. Az egészséges életmód, az egészséges táplálkozás, edzettség (Health,illnesses. Sympones and treatments. Healthy lifestyle, balanced diet, fitness)</w:t>
      </w:r>
    </w:p>
    <w:p w:rsidR="009425AF" w:rsidRPr="009425AF" w:rsidRDefault="009425AF" w:rsidP="00980876">
      <w:pPr>
        <w:numPr>
          <w:ilvl w:val="1"/>
          <w:numId w:val="848"/>
        </w:numPr>
        <w:spacing w:before="120" w:after="0" w:line="240" w:lineRule="auto"/>
        <w:ind w:left="1134" w:hanging="708"/>
        <w:jc w:val="both"/>
        <w:rPr>
          <w:rFonts w:ascii="Times New Roman" w:eastAsia="Calibri" w:hAnsi="Times New Roman" w:cs="Times New Roman"/>
          <w:lang w:eastAsia="hu-HU"/>
        </w:rPr>
      </w:pPr>
      <w:r w:rsidRPr="009425AF">
        <w:rPr>
          <w:rFonts w:ascii="Times New Roman" w:eastAsia="Calibri" w:hAnsi="Times New Roman" w:cs="Times New Roman"/>
          <w:lang w:eastAsia="hu-HU"/>
        </w:rPr>
        <w:t>Szabadidő, szórakozás, hobbi, sport (Leisure time, entertainment, hobbies, sport)</w:t>
      </w:r>
    </w:p>
    <w:p w:rsidR="009425AF" w:rsidRPr="009425AF" w:rsidRDefault="009425AF" w:rsidP="00980876">
      <w:pPr>
        <w:numPr>
          <w:ilvl w:val="1"/>
          <w:numId w:val="848"/>
        </w:numPr>
        <w:spacing w:before="120" w:after="0" w:line="240" w:lineRule="auto"/>
        <w:ind w:left="1134" w:hanging="708"/>
        <w:jc w:val="both"/>
        <w:rPr>
          <w:rFonts w:ascii="Times New Roman" w:eastAsia="Calibri" w:hAnsi="Times New Roman" w:cs="Times New Roman"/>
          <w:lang w:eastAsia="hu-HU"/>
        </w:rPr>
      </w:pPr>
      <w:r w:rsidRPr="009425AF">
        <w:rPr>
          <w:rFonts w:ascii="Times New Roman" w:eastAsia="Calibri" w:hAnsi="Times New Roman" w:cs="Times New Roman"/>
          <w:lang w:eastAsia="hu-HU"/>
        </w:rPr>
        <w:t>Katonai kiképzés, tisztképzés (Military training, officer training)</w:t>
      </w:r>
    </w:p>
    <w:p w:rsidR="009425AF" w:rsidRPr="009425AF" w:rsidRDefault="009425AF" w:rsidP="00980876">
      <w:pPr>
        <w:numPr>
          <w:ilvl w:val="1"/>
          <w:numId w:val="848"/>
        </w:numPr>
        <w:spacing w:before="120" w:after="0" w:line="240" w:lineRule="auto"/>
        <w:ind w:left="1134" w:hanging="708"/>
        <w:jc w:val="both"/>
        <w:rPr>
          <w:rFonts w:ascii="Times New Roman" w:eastAsia="Calibri" w:hAnsi="Times New Roman" w:cs="Times New Roman"/>
          <w:lang w:eastAsia="hu-HU"/>
        </w:rPr>
      </w:pPr>
      <w:r w:rsidRPr="009425AF">
        <w:rPr>
          <w:rFonts w:ascii="Times New Roman" w:eastAsia="Calibri" w:hAnsi="Times New Roman" w:cs="Times New Roman"/>
          <w:lang w:eastAsia="hu-HU"/>
        </w:rPr>
        <w:t>Napirend a bázison (Daily routine on  the base)</w:t>
      </w:r>
    </w:p>
    <w:p w:rsidR="009425AF" w:rsidRPr="009425AF" w:rsidRDefault="009425AF" w:rsidP="00980876">
      <w:pPr>
        <w:numPr>
          <w:ilvl w:val="1"/>
          <w:numId w:val="848"/>
        </w:numPr>
        <w:spacing w:before="120" w:after="0" w:line="240" w:lineRule="auto"/>
        <w:ind w:left="1134" w:hanging="708"/>
        <w:jc w:val="both"/>
        <w:rPr>
          <w:rFonts w:ascii="Times New Roman" w:eastAsia="Calibri" w:hAnsi="Times New Roman" w:cs="Times New Roman"/>
          <w:lang w:eastAsia="hu-HU"/>
        </w:rPr>
      </w:pPr>
      <w:r w:rsidRPr="009425AF">
        <w:rPr>
          <w:rFonts w:ascii="Times New Roman" w:eastAsia="Calibri" w:hAnsi="Times New Roman" w:cs="Times New Roman"/>
          <w:lang w:eastAsia="hu-HU"/>
        </w:rPr>
        <w:t>Az egyenruha és felszerelés. Jelzések az egyenruhán (Uniform, equipment, insignia)</w:t>
      </w:r>
    </w:p>
    <w:p w:rsidR="009425AF" w:rsidRPr="009425AF" w:rsidRDefault="009425AF" w:rsidP="00980876">
      <w:pPr>
        <w:numPr>
          <w:ilvl w:val="1"/>
          <w:numId w:val="848"/>
        </w:numPr>
        <w:spacing w:before="120" w:after="0" w:line="240" w:lineRule="auto"/>
        <w:ind w:left="1134" w:hanging="708"/>
        <w:jc w:val="both"/>
        <w:rPr>
          <w:rFonts w:ascii="Times New Roman" w:eastAsia="Calibri" w:hAnsi="Times New Roman" w:cs="Times New Roman"/>
          <w:lang w:eastAsia="hu-HU"/>
        </w:rPr>
      </w:pPr>
      <w:r w:rsidRPr="009425AF">
        <w:rPr>
          <w:rFonts w:ascii="Times New Roman" w:eastAsia="Calibri" w:hAnsi="Times New Roman" w:cs="Times New Roman"/>
          <w:lang w:eastAsia="hu-HU"/>
        </w:rPr>
        <w:lastRenderedPageBreak/>
        <w:t>Rendfokozatok, az előmeneteli rendszer. Katonai pályafutás (Military ranks, promotions, military career)</w:t>
      </w:r>
    </w:p>
    <w:p w:rsidR="009425AF" w:rsidRPr="009425AF" w:rsidRDefault="009425AF" w:rsidP="00980876">
      <w:pPr>
        <w:numPr>
          <w:ilvl w:val="1"/>
          <w:numId w:val="848"/>
        </w:numPr>
        <w:spacing w:before="120" w:after="0" w:line="240" w:lineRule="auto"/>
        <w:ind w:left="1134" w:hanging="708"/>
        <w:jc w:val="both"/>
        <w:rPr>
          <w:rFonts w:ascii="Times New Roman" w:eastAsia="Calibri" w:hAnsi="Times New Roman" w:cs="Times New Roman"/>
          <w:lang w:eastAsia="hu-HU"/>
        </w:rPr>
      </w:pPr>
      <w:r w:rsidRPr="009425AF">
        <w:rPr>
          <w:rFonts w:ascii="Times New Roman" w:eastAsia="Calibri" w:hAnsi="Times New Roman" w:cs="Times New Roman"/>
          <w:lang w:eastAsia="hu-HU"/>
        </w:rPr>
        <w:t>MH felépítése, reformja. Haderőnemek, fegyvernemek, fegyverek, eszközök (Hungarian Defence Forces, structure, reforms. Services and branches, weapons, equipments)</w:t>
      </w:r>
    </w:p>
    <w:p w:rsidR="009425AF" w:rsidRPr="009425AF" w:rsidRDefault="009425AF" w:rsidP="00980876">
      <w:pPr>
        <w:numPr>
          <w:ilvl w:val="1"/>
          <w:numId w:val="848"/>
        </w:numPr>
        <w:spacing w:before="120" w:after="0" w:line="240" w:lineRule="auto"/>
        <w:ind w:left="1134" w:hanging="708"/>
        <w:jc w:val="both"/>
        <w:rPr>
          <w:rFonts w:ascii="Times New Roman" w:eastAsia="Calibri" w:hAnsi="Times New Roman" w:cs="Times New Roman"/>
          <w:lang w:eastAsia="hu-HU"/>
        </w:rPr>
      </w:pPr>
      <w:r w:rsidRPr="009425AF">
        <w:rPr>
          <w:rFonts w:ascii="Times New Roman" w:eastAsia="Calibri" w:hAnsi="Times New Roman" w:cs="Times New Roman"/>
          <w:lang w:eastAsia="hu-HU"/>
        </w:rPr>
        <w:t>A NATO szervezete, feladatai, tevékenysége (NATO (organisation, tasks and its operation))</w:t>
      </w:r>
    </w:p>
    <w:p w:rsidR="009425AF" w:rsidRPr="009425AF" w:rsidRDefault="009425AF" w:rsidP="00980876">
      <w:pPr>
        <w:widowControl w:val="0"/>
        <w:numPr>
          <w:ilvl w:val="0"/>
          <w:numId w:val="848"/>
        </w:numPr>
        <w:spacing w:before="120" w:after="120" w:line="240" w:lineRule="auto"/>
        <w:jc w:val="both"/>
        <w:rPr>
          <w:rFonts w:ascii="Times New Roman" w:eastAsia="Calibri" w:hAnsi="Times New Roman" w:cs="Times New Roman"/>
          <w:bCs/>
        </w:rPr>
      </w:pPr>
      <w:r w:rsidRPr="009425AF">
        <w:rPr>
          <w:rFonts w:ascii="Times New Roman" w:eastAsia="Calibri" w:hAnsi="Times New Roman" w:cs="Times New Roman"/>
          <w:b/>
          <w:bCs/>
        </w:rPr>
        <w:t xml:space="preserve">A tantárgy meghirdetésének gyakorisága/a tantervben történő félévi elhelyezkedése:   </w:t>
      </w:r>
      <w:r w:rsidRPr="009425AF">
        <w:rPr>
          <w:rFonts w:ascii="Times New Roman" w:eastAsia="Calibri" w:hAnsi="Times New Roman" w:cs="Times New Roman"/>
          <w:bCs/>
        </w:rPr>
        <w:t xml:space="preserve">5., 6., </w:t>
      </w:r>
      <w:r w:rsidRPr="009425AF">
        <w:rPr>
          <w:rFonts w:ascii="Times New Roman" w:eastAsia="Calibri" w:hAnsi="Times New Roman" w:cs="Times New Roman"/>
          <w:bCs/>
          <w:color w:val="000000"/>
        </w:rPr>
        <w:t>7. és 8. tanulmányi félévben (Tanszék döntés alapján)</w:t>
      </w:r>
    </w:p>
    <w:p w:rsidR="009425AF" w:rsidRPr="009425AF" w:rsidRDefault="009425AF" w:rsidP="00980876">
      <w:pPr>
        <w:numPr>
          <w:ilvl w:val="0"/>
          <w:numId w:val="848"/>
        </w:numPr>
        <w:tabs>
          <w:tab w:val="right" w:pos="900"/>
          <w:tab w:val="center" w:pos="4536"/>
          <w:tab w:val="right" w:pos="9072"/>
        </w:tabs>
        <w:spacing w:before="120" w:after="0" w:line="240" w:lineRule="auto"/>
        <w:jc w:val="both"/>
        <w:rPr>
          <w:rFonts w:ascii="Times New Roman" w:eastAsia="Calibri" w:hAnsi="Times New Roman" w:cs="Times New Roman"/>
          <w:bCs/>
        </w:rPr>
      </w:pPr>
      <w:r w:rsidRPr="009425AF">
        <w:rPr>
          <w:rFonts w:ascii="Times New Roman" w:eastAsia="Calibri" w:hAnsi="Times New Roman" w:cs="Times New Roman"/>
          <w:b/>
          <w:bCs/>
        </w:rPr>
        <w:t>A foglalkozásokon való részvétel követelményei, elfogadható hiányzások mértéke, távolmaradás pótlásának lehetősége:</w:t>
      </w:r>
      <w:r w:rsidRPr="009425AF">
        <w:rPr>
          <w:rFonts w:ascii="Times New Roman" w:eastAsia="Calibri" w:hAnsi="Times New Roman" w:cs="Times New Roman"/>
          <w:bCs/>
        </w:rPr>
        <w:t xml:space="preserve"> A hallgatónak a tanórák legalább 75 %-án jelen kell lennie, 25 % -ot meghaladó hiányzás esetén a félév teljesítése nem irható alá. A hallgató köteles az előadások és a gyakorlat anyagát beszerezni, abból önállóan felkészülni. Amennyiben a hallgató hiányzása meghaladja a 25%-ot, a hallgató köteles a félév végén a tanár által meghatározott témákból szóban beszámolni az aláírás teljesítése érdekében.</w:t>
      </w:r>
    </w:p>
    <w:p w:rsidR="009425AF" w:rsidRPr="009425AF" w:rsidRDefault="009425AF" w:rsidP="00980876">
      <w:pPr>
        <w:numPr>
          <w:ilvl w:val="0"/>
          <w:numId w:val="848"/>
        </w:numPr>
        <w:tabs>
          <w:tab w:val="right" w:pos="900"/>
        </w:tabs>
        <w:spacing w:before="120" w:after="0" w:line="240" w:lineRule="auto"/>
        <w:jc w:val="both"/>
        <w:rPr>
          <w:rFonts w:ascii="Times New Roman" w:eastAsia="Calibri" w:hAnsi="Times New Roman" w:cs="Times New Roman"/>
          <w:bCs/>
        </w:rPr>
      </w:pPr>
      <w:r w:rsidRPr="009425AF">
        <w:rPr>
          <w:rFonts w:ascii="Times New Roman" w:eastAsia="Calibri" w:hAnsi="Times New Roman" w:cs="Times New Roman"/>
          <w:b/>
        </w:rPr>
        <w:t>Félévközi feladatok, ismeretek ellenőrzésének rendje:</w:t>
      </w:r>
      <w:r w:rsidRPr="009425AF">
        <w:rPr>
          <w:rFonts w:ascii="Times New Roman" w:eastAsia="Calibri" w:hAnsi="Times New Roman" w:cs="Times New Roman"/>
          <w:bCs/>
        </w:rPr>
        <w:t xml:space="preserve"> </w:t>
      </w:r>
      <w:r w:rsidRPr="009425AF">
        <w:rPr>
          <w:rFonts w:ascii="Times New Roman" w:eastAsia="Calibri" w:hAnsi="Times New Roman" w:cs="Times New Roman"/>
        </w:rPr>
        <w:t>A foglakozás anyagainak és a kötelező irodalom feldolgozása, 2 zárthelyi dolgozat és egy szóbeli beszámoló legalább 60 %-os értékeléssel történő teljesítése a tanár előzetes bejelentése alapján, a foglalkozások ismereteiből. A zárthelyi dolgozat és a szóbeli beszámoló értékelése: ötfokozatú értékelés – (a helyes válaszok aránya 0-60% elégtelen; 61-70% elégséges; 71-80% közepes; 81-90% jó; 91-100% jeles osztályzat). Eredménytelen zárthelyi dolgozat és a szóbeli beszámoló kétszer javítható a tanárral egyeztetett időpontban.</w:t>
      </w:r>
    </w:p>
    <w:p w:rsidR="009425AF" w:rsidRPr="009425AF" w:rsidRDefault="009425AF" w:rsidP="00980876">
      <w:pPr>
        <w:numPr>
          <w:ilvl w:val="0"/>
          <w:numId w:val="848"/>
        </w:numPr>
        <w:tabs>
          <w:tab w:val="right" w:pos="900"/>
        </w:tabs>
        <w:spacing w:before="120" w:after="0" w:line="240" w:lineRule="auto"/>
        <w:jc w:val="both"/>
        <w:rPr>
          <w:rFonts w:ascii="Times New Roman" w:eastAsia="Calibri" w:hAnsi="Times New Roman" w:cs="Times New Roman"/>
          <w:bCs/>
        </w:rPr>
      </w:pPr>
      <w:r w:rsidRPr="009425AF">
        <w:rPr>
          <w:rFonts w:ascii="Times New Roman" w:eastAsia="Calibri" w:hAnsi="Times New Roman" w:cs="Times New Roman"/>
          <w:b/>
          <w:bCs/>
        </w:rPr>
        <w:t xml:space="preserve">Az értékelés, az aláírás és a kreditek megszerzésének pontos feltételei </w:t>
      </w:r>
    </w:p>
    <w:p w:rsidR="009425AF" w:rsidRPr="009425AF" w:rsidRDefault="009425AF" w:rsidP="00980876">
      <w:pPr>
        <w:numPr>
          <w:ilvl w:val="1"/>
          <w:numId w:val="848"/>
        </w:numPr>
        <w:tabs>
          <w:tab w:val="right" w:pos="900"/>
        </w:tabs>
        <w:spacing w:before="120" w:after="0" w:line="240" w:lineRule="auto"/>
        <w:jc w:val="both"/>
        <w:rPr>
          <w:rFonts w:ascii="Times New Roman" w:eastAsia="Calibri" w:hAnsi="Times New Roman" w:cs="Times New Roman"/>
          <w:bCs/>
        </w:rPr>
      </w:pPr>
      <w:r w:rsidRPr="009425AF">
        <w:rPr>
          <w:rFonts w:ascii="Times New Roman" w:eastAsia="Calibri" w:hAnsi="Times New Roman" w:cs="Times New Roman"/>
          <w:b/>
        </w:rPr>
        <w:t xml:space="preserve">Az aláírás megszerzésének feltételei: </w:t>
      </w:r>
      <w:r w:rsidRPr="009425AF">
        <w:rPr>
          <w:rFonts w:ascii="Times New Roman" w:eastAsia="Calibri" w:hAnsi="Times New Roman" w:cs="Times New Roman"/>
        </w:rPr>
        <w:t>Az aláírás megszerzésének feltétele a 14. pontban meghatározott arányú részvétel a foglalkozásokon és a 15. pontban meghatározott félévközi feladatok legalább elégséges teljesítése.</w:t>
      </w:r>
    </w:p>
    <w:p w:rsidR="009425AF" w:rsidRPr="009425AF" w:rsidRDefault="009425AF" w:rsidP="00980876">
      <w:pPr>
        <w:numPr>
          <w:ilvl w:val="1"/>
          <w:numId w:val="848"/>
        </w:numPr>
        <w:tabs>
          <w:tab w:val="right" w:pos="900"/>
        </w:tabs>
        <w:spacing w:before="120" w:after="0" w:line="240" w:lineRule="auto"/>
        <w:jc w:val="both"/>
        <w:rPr>
          <w:rFonts w:ascii="Times New Roman" w:eastAsia="Calibri" w:hAnsi="Times New Roman" w:cs="Times New Roman"/>
          <w:bCs/>
        </w:rPr>
      </w:pPr>
      <w:r w:rsidRPr="009425AF">
        <w:rPr>
          <w:rFonts w:ascii="Times New Roman" w:eastAsia="Calibri" w:hAnsi="Times New Roman" w:cs="Times New Roman"/>
          <w:b/>
        </w:rPr>
        <w:t xml:space="preserve">Az értékelés: </w:t>
      </w:r>
      <w:r w:rsidRPr="009425AF">
        <w:rPr>
          <w:rFonts w:ascii="Times New Roman" w:eastAsia="Calibri" w:hAnsi="Times New Roman" w:cs="Times New Roman"/>
        </w:rPr>
        <w:t xml:space="preserve">Az ötfokozatú </w:t>
      </w:r>
      <w:r w:rsidRPr="00B41EEB">
        <w:rPr>
          <w:rFonts w:ascii="Times New Roman" w:eastAsia="Calibri" w:hAnsi="Times New Roman" w:cs="Times New Roman"/>
          <w:b/>
          <w:i/>
        </w:rPr>
        <w:t>évközi jegy</w:t>
      </w:r>
      <w:r w:rsidRPr="009425AF">
        <w:rPr>
          <w:rFonts w:ascii="Times New Roman" w:eastAsia="Calibri" w:hAnsi="Times New Roman" w:cs="Times New Roman"/>
        </w:rPr>
        <w:t xml:space="preserve"> a zárthelyi dolgozatok, valamint a szóbeli beszámoló eredményeinek átlaga alapján kerül meghatározásra. </w:t>
      </w:r>
    </w:p>
    <w:p w:rsidR="009425AF" w:rsidRPr="009425AF" w:rsidRDefault="009425AF" w:rsidP="00980876">
      <w:pPr>
        <w:widowControl w:val="0"/>
        <w:numPr>
          <w:ilvl w:val="1"/>
          <w:numId w:val="848"/>
        </w:numPr>
        <w:tabs>
          <w:tab w:val="left" w:pos="709"/>
          <w:tab w:val="left" w:pos="993"/>
        </w:tabs>
        <w:spacing w:before="120" w:after="120" w:line="240" w:lineRule="auto"/>
        <w:jc w:val="both"/>
        <w:rPr>
          <w:rFonts w:ascii="Times New Roman" w:eastAsia="Calibri" w:hAnsi="Times New Roman" w:cs="Times New Roman"/>
        </w:rPr>
      </w:pPr>
      <w:r w:rsidRPr="009425AF">
        <w:rPr>
          <w:rFonts w:ascii="Times New Roman" w:eastAsia="Calibri" w:hAnsi="Times New Roman" w:cs="Times New Roman"/>
          <w:b/>
        </w:rPr>
        <w:t>A kreditek megszerzésének feltételei:</w:t>
      </w:r>
      <w:r w:rsidRPr="009425AF">
        <w:rPr>
          <w:rFonts w:ascii="Times New Roman" w:eastAsia="Calibri" w:hAnsi="Times New Roman" w:cs="Times New Roman"/>
        </w:rPr>
        <w:t xml:space="preserve"> A kreditek megszerzésének feltétele az aláírás megszerzése és legalább elégséges évközi érdemjegy.</w:t>
      </w:r>
    </w:p>
    <w:p w:rsidR="009425AF" w:rsidRPr="009425AF" w:rsidRDefault="009425AF" w:rsidP="00980876">
      <w:pPr>
        <w:numPr>
          <w:ilvl w:val="0"/>
          <w:numId w:val="848"/>
        </w:numPr>
        <w:tabs>
          <w:tab w:val="right" w:pos="900"/>
        </w:tabs>
        <w:spacing w:before="120" w:after="0" w:line="240" w:lineRule="auto"/>
        <w:jc w:val="both"/>
        <w:rPr>
          <w:rFonts w:ascii="Times New Roman" w:eastAsia="Calibri" w:hAnsi="Times New Roman" w:cs="Times New Roman"/>
          <w:bCs/>
          <w:lang w:eastAsia="hu-HU"/>
        </w:rPr>
      </w:pPr>
      <w:r w:rsidRPr="009425AF">
        <w:rPr>
          <w:rFonts w:ascii="Times New Roman" w:eastAsia="Calibri" w:hAnsi="Times New Roman" w:cs="Times New Roman"/>
          <w:b/>
          <w:bCs/>
          <w:lang w:eastAsia="hu-HU"/>
        </w:rPr>
        <w:t>Irodalomjegyzék:</w:t>
      </w:r>
    </w:p>
    <w:p w:rsidR="009425AF" w:rsidRPr="00980876" w:rsidRDefault="009425AF" w:rsidP="00980876">
      <w:pPr>
        <w:numPr>
          <w:ilvl w:val="1"/>
          <w:numId w:val="848"/>
        </w:numPr>
        <w:tabs>
          <w:tab w:val="right" w:pos="900"/>
          <w:tab w:val="center" w:pos="4536"/>
          <w:tab w:val="right" w:pos="9072"/>
        </w:tabs>
        <w:spacing w:before="120" w:after="0" w:line="240" w:lineRule="auto"/>
        <w:jc w:val="both"/>
        <w:rPr>
          <w:rFonts w:ascii="Times New Roman" w:eastAsia="Calibri" w:hAnsi="Times New Roman" w:cs="Times New Roman"/>
          <w:b/>
          <w:bCs/>
          <w:lang w:eastAsia="hu-HU"/>
        </w:rPr>
      </w:pPr>
      <w:r w:rsidRPr="00980876">
        <w:rPr>
          <w:rFonts w:ascii="Times New Roman" w:eastAsia="Calibri" w:hAnsi="Times New Roman" w:cs="Times New Roman"/>
          <w:b/>
          <w:bCs/>
          <w:lang w:eastAsia="hu-HU"/>
        </w:rPr>
        <w:t>Kötelező irodalom:</w:t>
      </w:r>
    </w:p>
    <w:p w:rsidR="009425AF" w:rsidRPr="009425AF" w:rsidRDefault="009425AF" w:rsidP="00980876">
      <w:pPr>
        <w:numPr>
          <w:ilvl w:val="0"/>
          <w:numId w:val="849"/>
        </w:numPr>
        <w:spacing w:after="200" w:line="276" w:lineRule="auto"/>
        <w:ind w:left="993"/>
        <w:contextualSpacing/>
        <w:rPr>
          <w:rFonts w:ascii="Times New Roman" w:eastAsia="Calibri" w:hAnsi="Times New Roman" w:cs="Times New Roman"/>
          <w:bCs/>
          <w:lang w:eastAsia="hu-HU"/>
        </w:rPr>
      </w:pPr>
      <w:r w:rsidRPr="009425AF">
        <w:rPr>
          <w:rFonts w:ascii="Times New Roman" w:eastAsia="Calibri" w:hAnsi="Times New Roman" w:cs="Times New Roman"/>
          <w:bCs/>
          <w:lang w:eastAsia="hu-HU"/>
        </w:rPr>
        <w:t xml:space="preserve">Themen aktuell /1, </w:t>
      </w:r>
    </w:p>
    <w:p w:rsidR="009425AF" w:rsidRPr="009425AF" w:rsidRDefault="009425AF" w:rsidP="00980876">
      <w:pPr>
        <w:numPr>
          <w:ilvl w:val="0"/>
          <w:numId w:val="849"/>
        </w:numPr>
        <w:spacing w:after="200" w:line="276" w:lineRule="auto"/>
        <w:ind w:left="993"/>
        <w:contextualSpacing/>
        <w:rPr>
          <w:rFonts w:ascii="Times New Roman" w:eastAsia="Calibri" w:hAnsi="Times New Roman" w:cs="Times New Roman"/>
          <w:bCs/>
          <w:lang w:eastAsia="hu-HU"/>
        </w:rPr>
      </w:pPr>
      <w:r w:rsidRPr="009425AF">
        <w:rPr>
          <w:rFonts w:ascii="Times New Roman" w:eastAsia="Calibri" w:hAnsi="Times New Roman" w:cs="Times New Roman"/>
          <w:bCs/>
          <w:lang w:eastAsia="hu-HU"/>
        </w:rPr>
        <w:t>Készülünk az Arma nyelvvizsgára jegyzet</w:t>
      </w:r>
    </w:p>
    <w:p w:rsidR="009425AF" w:rsidRPr="00980876" w:rsidRDefault="009425AF" w:rsidP="00980876">
      <w:pPr>
        <w:numPr>
          <w:ilvl w:val="1"/>
          <w:numId w:val="848"/>
        </w:numPr>
        <w:tabs>
          <w:tab w:val="right" w:pos="900"/>
          <w:tab w:val="center" w:pos="4536"/>
          <w:tab w:val="right" w:pos="9072"/>
        </w:tabs>
        <w:spacing w:before="120" w:after="120" w:line="240" w:lineRule="auto"/>
        <w:ind w:left="788" w:hanging="431"/>
        <w:jc w:val="both"/>
        <w:rPr>
          <w:rFonts w:ascii="Times New Roman" w:eastAsia="Calibri" w:hAnsi="Times New Roman" w:cs="Times New Roman"/>
          <w:b/>
          <w:bCs/>
          <w:lang w:eastAsia="hu-HU"/>
        </w:rPr>
      </w:pPr>
      <w:r w:rsidRPr="00980876">
        <w:rPr>
          <w:rFonts w:ascii="Times New Roman" w:eastAsia="Calibri" w:hAnsi="Times New Roman" w:cs="Times New Roman"/>
          <w:b/>
          <w:bCs/>
          <w:lang w:eastAsia="hu-HU"/>
        </w:rPr>
        <w:t>Ajánlott irodalom:</w:t>
      </w:r>
    </w:p>
    <w:p w:rsidR="009425AF" w:rsidRPr="009425AF" w:rsidRDefault="009425AF" w:rsidP="00980876">
      <w:pPr>
        <w:numPr>
          <w:ilvl w:val="0"/>
          <w:numId w:val="850"/>
        </w:numPr>
        <w:spacing w:after="200" w:line="276" w:lineRule="auto"/>
        <w:ind w:left="993" w:hanging="284"/>
        <w:contextualSpacing/>
        <w:rPr>
          <w:rFonts w:ascii="Times New Roman" w:eastAsia="Calibri" w:hAnsi="Times New Roman" w:cs="Times New Roman"/>
          <w:lang w:eastAsia="hu-HU"/>
        </w:rPr>
      </w:pPr>
      <w:r w:rsidRPr="009425AF">
        <w:rPr>
          <w:rFonts w:ascii="Times New Roman" w:eastAsia="Calibri" w:hAnsi="Times New Roman" w:cs="Times New Roman"/>
          <w:lang w:eastAsia="hu-HU"/>
        </w:rPr>
        <w:t>Sajtó, internet cikkek</w:t>
      </w:r>
    </w:p>
    <w:p w:rsidR="009425AF" w:rsidRPr="009425AF" w:rsidRDefault="009425AF" w:rsidP="009425AF">
      <w:pPr>
        <w:tabs>
          <w:tab w:val="right" w:pos="900"/>
        </w:tabs>
        <w:spacing w:before="120" w:after="0" w:line="240" w:lineRule="auto"/>
        <w:jc w:val="right"/>
        <w:rPr>
          <w:rFonts w:ascii="Times New Roman" w:eastAsia="Calibri" w:hAnsi="Times New Roman" w:cs="Times New Roman"/>
          <w:bCs/>
        </w:rPr>
      </w:pPr>
    </w:p>
    <w:p w:rsidR="009425AF" w:rsidRPr="009425AF" w:rsidRDefault="009425AF" w:rsidP="009425AF">
      <w:pPr>
        <w:tabs>
          <w:tab w:val="right" w:pos="900"/>
        </w:tabs>
        <w:spacing w:before="120" w:after="0" w:line="240" w:lineRule="auto"/>
        <w:jc w:val="right"/>
        <w:rPr>
          <w:rFonts w:ascii="Times New Roman" w:eastAsia="Calibri" w:hAnsi="Times New Roman" w:cs="Times New Roman"/>
          <w:bCs/>
        </w:rPr>
      </w:pPr>
      <w:r w:rsidRPr="009425AF">
        <w:rPr>
          <w:rFonts w:ascii="Times New Roman" w:eastAsia="Calibri" w:hAnsi="Times New Roman" w:cs="Times New Roman"/>
          <w:bCs/>
        </w:rPr>
        <w:t>Budapest, 2020. február 5.</w:t>
      </w:r>
      <w:r w:rsidRPr="009425AF">
        <w:rPr>
          <w:rFonts w:ascii="Times New Roman" w:eastAsia="Calibri" w:hAnsi="Times New Roman" w:cs="Times New Roman"/>
          <w:bCs/>
          <w:lang w:eastAsia="hu-HU"/>
        </w:rPr>
        <w:tab/>
      </w:r>
      <w:r w:rsidRPr="009425AF">
        <w:rPr>
          <w:rFonts w:ascii="Times New Roman" w:eastAsia="Calibri" w:hAnsi="Times New Roman" w:cs="Times New Roman"/>
          <w:bCs/>
          <w:lang w:eastAsia="hu-HU"/>
        </w:rPr>
        <w:tab/>
      </w:r>
      <w:r w:rsidRPr="009425AF">
        <w:rPr>
          <w:rFonts w:ascii="Times New Roman" w:eastAsia="Calibri" w:hAnsi="Times New Roman" w:cs="Times New Roman"/>
          <w:bCs/>
          <w:lang w:eastAsia="hu-HU"/>
        </w:rPr>
        <w:tab/>
      </w:r>
      <w:r w:rsidRPr="009425AF">
        <w:rPr>
          <w:rFonts w:ascii="Times New Roman" w:eastAsia="Calibri" w:hAnsi="Times New Roman" w:cs="Times New Roman"/>
          <w:bCs/>
          <w:lang w:eastAsia="hu-HU"/>
        </w:rPr>
        <w:tab/>
      </w:r>
      <w:r w:rsidRPr="009425AF">
        <w:rPr>
          <w:rFonts w:ascii="Times New Roman" w:eastAsia="Calibri" w:hAnsi="Times New Roman" w:cs="Times New Roman"/>
          <w:bCs/>
          <w:lang w:eastAsia="hu-HU"/>
        </w:rPr>
        <w:tab/>
      </w:r>
      <w:r w:rsidRPr="009425AF">
        <w:rPr>
          <w:rFonts w:ascii="Times New Roman" w:eastAsia="Calibri" w:hAnsi="Times New Roman" w:cs="Times New Roman"/>
          <w:bCs/>
          <w:lang w:eastAsia="hu-HU"/>
        </w:rPr>
        <w:tab/>
      </w:r>
      <w:r w:rsidRPr="009425AF">
        <w:rPr>
          <w:rFonts w:ascii="Times New Roman" w:eastAsia="Calibri" w:hAnsi="Times New Roman" w:cs="Times New Roman"/>
          <w:bCs/>
          <w:lang w:eastAsia="hu-HU"/>
        </w:rPr>
        <w:tab/>
        <w:t xml:space="preserve">  </w:t>
      </w:r>
      <w:r w:rsidRPr="009425AF">
        <w:rPr>
          <w:rFonts w:ascii="Times New Roman" w:eastAsia="Calibri" w:hAnsi="Times New Roman" w:cs="Times New Roman"/>
        </w:rPr>
        <w:t xml:space="preserve">    Dr. Kiss Gabriella</w:t>
      </w:r>
    </w:p>
    <w:p w:rsidR="009425AF" w:rsidRPr="009425AF" w:rsidRDefault="009425AF" w:rsidP="009425AF">
      <w:pPr>
        <w:jc w:val="right"/>
        <w:rPr>
          <w:rFonts w:ascii="Times New Roman" w:eastAsia="Calibri" w:hAnsi="Times New Roman" w:cs="Times New Roman"/>
        </w:rPr>
      </w:pPr>
      <w:r w:rsidRPr="009425AF">
        <w:rPr>
          <w:rFonts w:ascii="Times New Roman" w:eastAsia="Calibri" w:hAnsi="Times New Roman" w:cs="Times New Roman"/>
        </w:rPr>
        <w:t>tantárgyfelelős sk.</w:t>
      </w:r>
    </w:p>
    <w:p w:rsidR="009425AF" w:rsidRPr="009425AF" w:rsidRDefault="009425AF" w:rsidP="009425AF">
      <w:pPr>
        <w:rPr>
          <w:rFonts w:ascii="Times New Roman" w:eastAsia="Calibri" w:hAnsi="Times New Roman" w:cs="Times New Roman"/>
        </w:rPr>
      </w:pPr>
      <w:r w:rsidRPr="009425AF">
        <w:rPr>
          <w:rFonts w:ascii="Times New Roman" w:eastAsia="Calibri" w:hAnsi="Times New Roman" w:cs="Times New Roman"/>
        </w:rPr>
        <w:br w:type="page"/>
      </w:r>
    </w:p>
    <w:tbl>
      <w:tblPr>
        <w:tblW w:w="5382" w:type="dxa"/>
        <w:tblInd w:w="113" w:type="dxa"/>
        <w:tblLook w:val="01E0" w:firstRow="1" w:lastRow="1" w:firstColumn="1" w:lastColumn="1" w:noHBand="0" w:noVBand="0"/>
      </w:tblPr>
      <w:tblGrid>
        <w:gridCol w:w="5382"/>
      </w:tblGrid>
      <w:tr w:rsidR="009425AF" w:rsidRPr="009425AF" w:rsidTr="009425AF">
        <w:tc>
          <w:tcPr>
            <w:tcW w:w="5382" w:type="dxa"/>
            <w:tcBorders>
              <w:bottom w:val="single" w:sz="4" w:space="0" w:color="auto"/>
            </w:tcBorders>
          </w:tcPr>
          <w:p w:rsidR="009425AF" w:rsidRPr="009425AF" w:rsidRDefault="009425AF" w:rsidP="009425AF">
            <w:pPr>
              <w:spacing w:after="0" w:line="240" w:lineRule="auto"/>
              <w:jc w:val="both"/>
              <w:rPr>
                <w:rFonts w:ascii="Times New Roman" w:eastAsia="Calibri" w:hAnsi="Times New Roman" w:cs="Times New Roman"/>
                <w:b/>
                <w:smallCaps/>
                <w:lang w:eastAsia="hu-HU"/>
              </w:rPr>
            </w:pPr>
            <w:r w:rsidRPr="009425AF">
              <w:rPr>
                <w:rFonts w:ascii="Times New Roman" w:eastAsia="Calibri" w:hAnsi="Times New Roman" w:cs="Times New Roman"/>
                <w:b/>
                <w:smallCaps/>
                <w:lang w:eastAsia="hu-HU"/>
              </w:rPr>
              <w:lastRenderedPageBreak/>
              <w:t>Nemzeti Közszolgálati Egyetem</w:t>
            </w:r>
          </w:p>
        </w:tc>
      </w:tr>
      <w:tr w:rsidR="009425AF" w:rsidRPr="009425AF" w:rsidTr="009425AF">
        <w:tc>
          <w:tcPr>
            <w:tcW w:w="5382" w:type="dxa"/>
            <w:tcBorders>
              <w:top w:val="single" w:sz="4" w:space="0" w:color="auto"/>
            </w:tcBorders>
          </w:tcPr>
          <w:p w:rsidR="009425AF" w:rsidRPr="009425AF" w:rsidRDefault="009425AF" w:rsidP="009425AF">
            <w:pPr>
              <w:spacing w:after="0" w:line="240" w:lineRule="auto"/>
              <w:jc w:val="both"/>
              <w:rPr>
                <w:rFonts w:ascii="Times New Roman" w:eastAsia="Calibri" w:hAnsi="Times New Roman" w:cs="Times New Roman"/>
                <w:b/>
                <w:lang w:eastAsia="hu-HU"/>
              </w:rPr>
            </w:pPr>
            <w:r w:rsidRPr="009425AF">
              <w:rPr>
                <w:rFonts w:ascii="Times New Roman" w:eastAsia="Calibri" w:hAnsi="Times New Roman" w:cs="Times New Roman"/>
                <w:b/>
                <w:lang w:eastAsia="hu-HU"/>
              </w:rPr>
              <w:t>Hadtudományi és Honvédtisztképző Kar</w:t>
            </w:r>
          </w:p>
        </w:tc>
      </w:tr>
    </w:tbl>
    <w:p w:rsidR="009425AF" w:rsidRPr="009425AF" w:rsidRDefault="009425AF" w:rsidP="009425AF">
      <w:pPr>
        <w:spacing w:before="120" w:after="0" w:line="240" w:lineRule="auto"/>
        <w:rPr>
          <w:rFonts w:ascii="Times New Roman" w:eastAsia="Calibri" w:hAnsi="Times New Roman" w:cs="Times New Roman"/>
          <w:b/>
          <w:bCs/>
          <w:lang w:eastAsia="hu-HU"/>
        </w:rPr>
      </w:pPr>
    </w:p>
    <w:p w:rsidR="009425AF" w:rsidRPr="009425AF" w:rsidRDefault="009425AF" w:rsidP="009425AF">
      <w:pPr>
        <w:spacing w:before="120" w:after="0" w:line="240" w:lineRule="auto"/>
        <w:jc w:val="center"/>
        <w:rPr>
          <w:rFonts w:ascii="Times New Roman" w:eastAsia="Calibri" w:hAnsi="Times New Roman" w:cs="Times New Roman"/>
          <w:b/>
          <w:bCs/>
          <w:lang w:eastAsia="hu-HU"/>
        </w:rPr>
      </w:pPr>
      <w:r w:rsidRPr="009425AF">
        <w:rPr>
          <w:rFonts w:ascii="Times New Roman" w:eastAsia="Calibri" w:hAnsi="Times New Roman" w:cs="Times New Roman"/>
          <w:b/>
          <w:bCs/>
          <w:lang w:eastAsia="hu-HU"/>
        </w:rPr>
        <w:t>TANTÁRGYI PROGRAM</w:t>
      </w:r>
    </w:p>
    <w:p w:rsidR="009425AF" w:rsidRPr="009425AF" w:rsidRDefault="009425AF" w:rsidP="00980876">
      <w:pPr>
        <w:numPr>
          <w:ilvl w:val="0"/>
          <w:numId w:val="851"/>
        </w:numPr>
        <w:tabs>
          <w:tab w:val="right" w:pos="900"/>
        </w:tabs>
        <w:spacing w:before="120" w:after="0" w:line="240" w:lineRule="auto"/>
        <w:jc w:val="both"/>
        <w:rPr>
          <w:rFonts w:ascii="Times New Roman" w:eastAsia="Calibri" w:hAnsi="Times New Roman" w:cs="Times New Roman"/>
          <w:bCs/>
          <w:lang w:eastAsia="hu-HU"/>
        </w:rPr>
      </w:pPr>
      <w:r w:rsidRPr="009425AF">
        <w:rPr>
          <w:rFonts w:ascii="Times New Roman" w:eastAsia="Calibri" w:hAnsi="Times New Roman" w:cs="Times New Roman"/>
          <w:b/>
          <w:bCs/>
          <w:lang w:eastAsia="hu-HU"/>
        </w:rPr>
        <w:t xml:space="preserve">A tantárgy kódja: </w:t>
      </w:r>
      <w:r w:rsidRPr="009425AF">
        <w:rPr>
          <w:rFonts w:ascii="Times New Roman" w:eastAsia="Calibri" w:hAnsi="Times New Roman" w:cs="Times New Roman"/>
          <w:bCs/>
          <w:lang w:eastAsia="hu-HU"/>
        </w:rPr>
        <w:t>HKISZLA313</w:t>
      </w:r>
    </w:p>
    <w:p w:rsidR="009425AF" w:rsidRPr="009425AF" w:rsidRDefault="009425AF" w:rsidP="00980876">
      <w:pPr>
        <w:numPr>
          <w:ilvl w:val="0"/>
          <w:numId w:val="851"/>
        </w:numPr>
        <w:tabs>
          <w:tab w:val="right" w:pos="900"/>
        </w:tabs>
        <w:spacing w:before="120" w:after="0" w:line="240" w:lineRule="auto"/>
        <w:jc w:val="both"/>
        <w:rPr>
          <w:rFonts w:ascii="Times New Roman" w:eastAsia="Calibri" w:hAnsi="Times New Roman" w:cs="Times New Roman"/>
          <w:bCs/>
          <w:lang w:eastAsia="hu-HU"/>
        </w:rPr>
      </w:pPr>
      <w:r w:rsidRPr="009425AF">
        <w:rPr>
          <w:rFonts w:ascii="Times New Roman" w:eastAsia="Calibri" w:hAnsi="Times New Roman" w:cs="Times New Roman"/>
          <w:b/>
          <w:bCs/>
          <w:lang w:eastAsia="hu-HU"/>
        </w:rPr>
        <w:t>A tantárgy megnevezése (magyarul):</w:t>
      </w:r>
      <w:r w:rsidRPr="009425AF">
        <w:rPr>
          <w:rFonts w:ascii="Times New Roman" w:eastAsia="Calibri" w:hAnsi="Times New Roman" w:cs="Times New Roman"/>
          <w:bCs/>
          <w:lang w:eastAsia="hu-HU"/>
        </w:rPr>
        <w:t xml:space="preserve"> </w:t>
      </w:r>
      <w:r w:rsidRPr="009425AF">
        <w:rPr>
          <w:rFonts w:ascii="Times New Roman" w:eastAsia="Calibri" w:hAnsi="Times New Roman" w:cs="Times New Roman"/>
        </w:rPr>
        <w:t>Francia középfokú kommunikációs készség fejlesztése</w:t>
      </w:r>
      <w:r w:rsidRPr="009425AF">
        <w:rPr>
          <w:rFonts w:ascii="Times New Roman" w:eastAsia="Calibri" w:hAnsi="Times New Roman" w:cs="Times New Roman"/>
          <w:b/>
          <w:bCs/>
        </w:rPr>
        <w:t xml:space="preserve"> </w:t>
      </w:r>
    </w:p>
    <w:p w:rsidR="009425AF" w:rsidRPr="009425AF" w:rsidRDefault="009425AF" w:rsidP="00980876">
      <w:pPr>
        <w:numPr>
          <w:ilvl w:val="0"/>
          <w:numId w:val="851"/>
        </w:numPr>
        <w:tabs>
          <w:tab w:val="right" w:pos="900"/>
        </w:tabs>
        <w:spacing w:before="120" w:after="0" w:line="240" w:lineRule="auto"/>
        <w:ind w:left="357" w:hanging="357"/>
        <w:jc w:val="both"/>
        <w:rPr>
          <w:rFonts w:ascii="Times New Roman" w:eastAsia="Calibri" w:hAnsi="Times New Roman" w:cs="Times New Roman"/>
          <w:bCs/>
          <w:lang w:eastAsia="hu-HU"/>
        </w:rPr>
      </w:pPr>
      <w:r w:rsidRPr="009425AF">
        <w:rPr>
          <w:rFonts w:ascii="Times New Roman" w:eastAsia="Calibri" w:hAnsi="Times New Roman" w:cs="Times New Roman"/>
          <w:b/>
          <w:bCs/>
          <w:lang w:eastAsia="hu-HU"/>
        </w:rPr>
        <w:t>A tantárgy megnevezése (angolul):</w:t>
      </w:r>
      <w:r w:rsidRPr="009425AF">
        <w:rPr>
          <w:rFonts w:ascii="Times New Roman" w:eastAsia="Calibri" w:hAnsi="Times New Roman" w:cs="Times New Roman"/>
          <w:bCs/>
          <w:lang w:eastAsia="hu-HU"/>
        </w:rPr>
        <w:t xml:space="preserve"> Developing Communication Skills in French</w:t>
      </w:r>
    </w:p>
    <w:p w:rsidR="009425AF" w:rsidRPr="009425AF" w:rsidRDefault="009425AF" w:rsidP="00980876">
      <w:pPr>
        <w:widowControl w:val="0"/>
        <w:numPr>
          <w:ilvl w:val="0"/>
          <w:numId w:val="851"/>
        </w:numPr>
        <w:tabs>
          <w:tab w:val="num" w:pos="720"/>
        </w:tabs>
        <w:spacing w:before="120" w:after="120" w:line="240" w:lineRule="auto"/>
        <w:jc w:val="both"/>
        <w:rPr>
          <w:rFonts w:ascii="Times New Roman" w:eastAsia="Calibri" w:hAnsi="Times New Roman" w:cs="Times New Roman"/>
          <w:b/>
          <w:bCs/>
        </w:rPr>
      </w:pPr>
      <w:r w:rsidRPr="009425AF">
        <w:rPr>
          <w:rFonts w:ascii="Times New Roman" w:eastAsia="Calibri" w:hAnsi="Times New Roman" w:cs="Times New Roman"/>
          <w:b/>
          <w:bCs/>
        </w:rPr>
        <w:t xml:space="preserve">Kreditérték és képzési karakter: </w:t>
      </w:r>
    </w:p>
    <w:p w:rsidR="009425AF" w:rsidRPr="009425AF" w:rsidRDefault="009425AF" w:rsidP="00980876">
      <w:pPr>
        <w:widowControl w:val="0"/>
        <w:numPr>
          <w:ilvl w:val="1"/>
          <w:numId w:val="851"/>
        </w:numPr>
        <w:spacing w:before="120" w:after="120" w:line="240" w:lineRule="auto"/>
        <w:contextualSpacing/>
        <w:jc w:val="both"/>
        <w:rPr>
          <w:rFonts w:ascii="Times New Roman" w:eastAsia="Calibri" w:hAnsi="Times New Roman" w:cs="Times New Roman"/>
          <w:b/>
          <w:bCs/>
        </w:rPr>
      </w:pPr>
      <w:r w:rsidRPr="009425AF">
        <w:rPr>
          <w:rFonts w:ascii="Times New Roman" w:eastAsia="Calibri" w:hAnsi="Times New Roman" w:cs="Times New Roman"/>
          <w:bCs/>
        </w:rPr>
        <w:t>2 kredit</w:t>
      </w:r>
    </w:p>
    <w:p w:rsidR="009425AF" w:rsidRPr="009425AF" w:rsidRDefault="009425AF" w:rsidP="00980876">
      <w:pPr>
        <w:widowControl w:val="0"/>
        <w:numPr>
          <w:ilvl w:val="1"/>
          <w:numId w:val="851"/>
        </w:numPr>
        <w:spacing w:before="120" w:after="120" w:line="240" w:lineRule="auto"/>
        <w:contextualSpacing/>
        <w:jc w:val="both"/>
        <w:rPr>
          <w:rFonts w:ascii="Times New Roman" w:eastAsia="Calibri" w:hAnsi="Times New Roman" w:cs="Times New Roman"/>
          <w:b/>
          <w:bCs/>
        </w:rPr>
      </w:pPr>
      <w:r w:rsidRPr="009425AF">
        <w:rPr>
          <w:rFonts w:ascii="Times New Roman" w:eastAsia="Calibri" w:hAnsi="Times New Roman" w:cs="Times New Roman"/>
          <w:bCs/>
        </w:rPr>
        <w:t xml:space="preserve">a tantárgy elméleti vagy gyakorlati jellegének mértéke: </w:t>
      </w:r>
      <w:r w:rsidR="00980876" w:rsidRPr="00E90CF1">
        <w:rPr>
          <w:rFonts w:ascii="Times New Roman" w:hAnsi="Times New Roman"/>
          <w:bCs/>
          <w:lang w:eastAsia="hu-HU"/>
        </w:rPr>
        <w:t>50% gyakorlat, 50% elmélet</w:t>
      </w:r>
    </w:p>
    <w:p w:rsidR="009425AF" w:rsidRPr="009425AF" w:rsidRDefault="009425AF" w:rsidP="00980876">
      <w:pPr>
        <w:numPr>
          <w:ilvl w:val="0"/>
          <w:numId w:val="851"/>
        </w:numPr>
        <w:tabs>
          <w:tab w:val="right" w:pos="900"/>
        </w:tabs>
        <w:spacing w:before="120" w:after="0" w:line="240" w:lineRule="auto"/>
        <w:ind w:left="357" w:hanging="357"/>
        <w:jc w:val="both"/>
        <w:rPr>
          <w:rFonts w:ascii="Times New Roman" w:eastAsia="Calibri" w:hAnsi="Times New Roman" w:cs="Times New Roman"/>
          <w:bCs/>
          <w:lang w:eastAsia="hu-HU"/>
        </w:rPr>
      </w:pPr>
      <w:r w:rsidRPr="009425AF">
        <w:rPr>
          <w:rFonts w:ascii="Times New Roman" w:eastAsia="Calibri" w:hAnsi="Times New Roman" w:cs="Times New Roman"/>
          <w:b/>
          <w:bCs/>
          <w:lang w:eastAsia="hu-HU"/>
        </w:rPr>
        <w:t>A szak(ok), szakirányok megnevezése (ahol oktatják):</w:t>
      </w:r>
      <w:r w:rsidRPr="009425AF">
        <w:rPr>
          <w:rFonts w:ascii="Times New Roman" w:eastAsia="Calibri" w:hAnsi="Times New Roman" w:cs="Times New Roman"/>
          <w:bCs/>
          <w:lang w:eastAsia="hu-HU"/>
        </w:rPr>
        <w:t xml:space="preserve"> A Nemzeti Közszolgálati Egyetem Hadtudományi és Honvédtisztképző Karának minden alapképzési szakán nappali munkarendben</w:t>
      </w:r>
    </w:p>
    <w:p w:rsidR="009425AF" w:rsidRPr="009425AF" w:rsidRDefault="009425AF" w:rsidP="00980876">
      <w:pPr>
        <w:numPr>
          <w:ilvl w:val="0"/>
          <w:numId w:val="851"/>
        </w:numPr>
        <w:tabs>
          <w:tab w:val="right" w:pos="900"/>
        </w:tabs>
        <w:spacing w:before="120" w:after="0" w:line="240" w:lineRule="auto"/>
        <w:ind w:left="357" w:hanging="357"/>
        <w:jc w:val="both"/>
        <w:rPr>
          <w:rFonts w:ascii="Times New Roman" w:eastAsia="Calibri" w:hAnsi="Times New Roman" w:cs="Times New Roman"/>
          <w:b/>
          <w:bCs/>
          <w:lang w:eastAsia="hu-HU"/>
        </w:rPr>
      </w:pPr>
      <w:r w:rsidRPr="009425AF">
        <w:rPr>
          <w:rFonts w:ascii="Times New Roman" w:eastAsia="Calibri" w:hAnsi="Times New Roman" w:cs="Times New Roman"/>
          <w:b/>
          <w:bCs/>
        </w:rPr>
        <w:t xml:space="preserve">Az oktatásért felelős oktatási szervezeti egység megnevezése: </w:t>
      </w:r>
      <w:r w:rsidRPr="009425AF">
        <w:rPr>
          <w:rFonts w:ascii="Times New Roman" w:eastAsia="Calibri" w:hAnsi="Times New Roman" w:cs="Times New Roman"/>
          <w:bCs/>
          <w:lang w:eastAsia="hu-HU"/>
        </w:rPr>
        <w:t>Hadtudományi és Honvédtisztképző Kar, Idegennyelvi és Szaknyelvi Lektorátus</w:t>
      </w:r>
    </w:p>
    <w:p w:rsidR="009425AF" w:rsidRPr="009425AF" w:rsidRDefault="009425AF" w:rsidP="00980876">
      <w:pPr>
        <w:numPr>
          <w:ilvl w:val="0"/>
          <w:numId w:val="851"/>
        </w:numPr>
        <w:tabs>
          <w:tab w:val="right" w:pos="900"/>
        </w:tabs>
        <w:spacing w:before="120" w:after="0" w:line="240" w:lineRule="auto"/>
        <w:ind w:left="357" w:hanging="357"/>
        <w:jc w:val="both"/>
        <w:rPr>
          <w:rFonts w:ascii="Times New Roman" w:eastAsia="Calibri" w:hAnsi="Times New Roman" w:cs="Times New Roman"/>
          <w:bCs/>
          <w:lang w:eastAsia="hu-HU"/>
        </w:rPr>
      </w:pPr>
      <w:r w:rsidRPr="009425AF">
        <w:rPr>
          <w:rFonts w:ascii="Times New Roman" w:eastAsia="Calibri" w:hAnsi="Times New Roman" w:cs="Times New Roman"/>
          <w:b/>
          <w:bCs/>
          <w:lang w:eastAsia="hu-HU"/>
        </w:rPr>
        <w:t xml:space="preserve">A tantárgyfelelős oktató neve, beosztása, tudományos fokozata: </w:t>
      </w:r>
      <w:r w:rsidRPr="009425AF">
        <w:rPr>
          <w:rFonts w:ascii="Times New Roman" w:eastAsia="Calibri" w:hAnsi="Times New Roman" w:cs="Times New Roman"/>
          <w:bCs/>
          <w:lang w:eastAsia="hu-HU"/>
        </w:rPr>
        <w:t>Dr. Kiss Gabriella lektorátusvezető</w:t>
      </w:r>
    </w:p>
    <w:p w:rsidR="009425AF" w:rsidRPr="009425AF" w:rsidRDefault="009425AF" w:rsidP="00980876">
      <w:pPr>
        <w:numPr>
          <w:ilvl w:val="0"/>
          <w:numId w:val="851"/>
        </w:numPr>
        <w:tabs>
          <w:tab w:val="right" w:pos="900"/>
        </w:tabs>
        <w:spacing w:before="120" w:after="0" w:line="240" w:lineRule="auto"/>
        <w:jc w:val="both"/>
        <w:rPr>
          <w:rFonts w:ascii="Times New Roman" w:eastAsia="Calibri" w:hAnsi="Times New Roman" w:cs="Times New Roman"/>
          <w:bCs/>
          <w:lang w:eastAsia="hu-HU"/>
        </w:rPr>
      </w:pPr>
      <w:r w:rsidRPr="009425AF">
        <w:rPr>
          <w:rFonts w:ascii="Times New Roman" w:eastAsia="Calibri" w:hAnsi="Times New Roman" w:cs="Times New Roman"/>
          <w:b/>
          <w:bCs/>
          <w:lang w:eastAsia="hu-HU"/>
        </w:rPr>
        <w:t xml:space="preserve">A tanórákszáma és típusa </w:t>
      </w:r>
      <w:r w:rsidRPr="009425AF">
        <w:rPr>
          <w:rFonts w:ascii="Times New Roman" w:eastAsia="Calibri" w:hAnsi="Times New Roman" w:cs="Times New Roman"/>
          <w:b/>
          <w:bCs/>
          <w:i/>
          <w:lang w:eastAsia="hu-HU"/>
        </w:rPr>
        <w:t>(előadás+szeminárium+gyakorlat):</w:t>
      </w:r>
    </w:p>
    <w:p w:rsidR="00980876" w:rsidRPr="00E90CF1" w:rsidRDefault="00980876" w:rsidP="00980876">
      <w:pPr>
        <w:numPr>
          <w:ilvl w:val="1"/>
          <w:numId w:val="851"/>
        </w:numPr>
        <w:tabs>
          <w:tab w:val="right" w:pos="900"/>
        </w:tabs>
        <w:spacing w:before="120" w:after="0" w:line="240" w:lineRule="auto"/>
        <w:jc w:val="both"/>
        <w:rPr>
          <w:rFonts w:ascii="Times New Roman" w:hAnsi="Times New Roman" w:cs="Times New Roman"/>
          <w:bCs/>
          <w:lang w:eastAsia="hu-HU"/>
        </w:rPr>
      </w:pPr>
      <w:r w:rsidRPr="00E90CF1">
        <w:rPr>
          <w:rFonts w:ascii="Times New Roman" w:hAnsi="Times New Roman" w:cs="Times New Roman"/>
          <w:bCs/>
          <w:lang w:eastAsia="hu-HU"/>
        </w:rPr>
        <w:t>összóraszám/félév: 28</w:t>
      </w:r>
    </w:p>
    <w:p w:rsidR="00980876" w:rsidRPr="00E90CF1" w:rsidRDefault="00980876" w:rsidP="00980876">
      <w:pPr>
        <w:numPr>
          <w:ilvl w:val="2"/>
          <w:numId w:val="851"/>
        </w:numPr>
        <w:tabs>
          <w:tab w:val="right" w:pos="900"/>
        </w:tabs>
        <w:spacing w:before="120" w:after="0" w:line="240" w:lineRule="auto"/>
        <w:jc w:val="both"/>
        <w:rPr>
          <w:rFonts w:ascii="Times New Roman" w:hAnsi="Times New Roman"/>
          <w:bCs/>
          <w:lang w:eastAsia="hu-HU"/>
        </w:rPr>
      </w:pPr>
      <w:r w:rsidRPr="00E90CF1">
        <w:rPr>
          <w:rFonts w:ascii="Times New Roman" w:hAnsi="Times New Roman"/>
          <w:bCs/>
          <w:lang w:eastAsia="hu-HU"/>
        </w:rPr>
        <w:t>Nappali munkarend: 28 (14 EA + 0 SZ + 14 GY)</w:t>
      </w:r>
    </w:p>
    <w:p w:rsidR="00980876" w:rsidRPr="00E90CF1" w:rsidRDefault="00980876" w:rsidP="00980876">
      <w:pPr>
        <w:numPr>
          <w:ilvl w:val="2"/>
          <w:numId w:val="851"/>
        </w:numPr>
        <w:spacing w:before="120" w:after="0" w:line="240" w:lineRule="auto"/>
        <w:jc w:val="both"/>
        <w:rPr>
          <w:rFonts w:ascii="Times New Roman" w:hAnsi="Times New Roman" w:cs="Times New Roman"/>
          <w:bCs/>
          <w:lang w:eastAsia="hu-HU"/>
        </w:rPr>
      </w:pPr>
      <w:r w:rsidRPr="00E90CF1">
        <w:rPr>
          <w:rFonts w:ascii="Times New Roman" w:hAnsi="Times New Roman" w:cs="Times New Roman"/>
          <w:bCs/>
          <w:lang w:eastAsia="hu-HU"/>
        </w:rPr>
        <w:t>Levelező munkarend: -</w:t>
      </w:r>
    </w:p>
    <w:p w:rsidR="00980876" w:rsidRPr="00E90CF1" w:rsidRDefault="00980876" w:rsidP="00980876">
      <w:pPr>
        <w:numPr>
          <w:ilvl w:val="1"/>
          <w:numId w:val="851"/>
        </w:numPr>
        <w:tabs>
          <w:tab w:val="right" w:pos="900"/>
        </w:tabs>
        <w:spacing w:before="120" w:after="0" w:line="240" w:lineRule="auto"/>
        <w:jc w:val="both"/>
        <w:rPr>
          <w:rFonts w:ascii="Times New Roman" w:hAnsi="Times New Roman"/>
          <w:bCs/>
          <w:lang w:eastAsia="hu-HU"/>
        </w:rPr>
      </w:pPr>
      <w:r w:rsidRPr="00E90CF1">
        <w:rPr>
          <w:rFonts w:ascii="Times New Roman" w:hAnsi="Times New Roman"/>
          <w:bCs/>
          <w:lang w:eastAsia="hu-HU"/>
        </w:rPr>
        <w:t>heti óraszám nappali munkarend: 2 (1+1) óra</w:t>
      </w:r>
    </w:p>
    <w:p w:rsidR="009425AF" w:rsidRPr="009425AF" w:rsidRDefault="009425AF" w:rsidP="00980876">
      <w:pPr>
        <w:numPr>
          <w:ilvl w:val="1"/>
          <w:numId w:val="851"/>
        </w:numPr>
        <w:tabs>
          <w:tab w:val="right" w:pos="900"/>
        </w:tabs>
        <w:spacing w:before="120" w:after="0" w:line="240" w:lineRule="auto"/>
        <w:jc w:val="both"/>
        <w:rPr>
          <w:rFonts w:ascii="Times New Roman" w:eastAsia="Calibri" w:hAnsi="Times New Roman" w:cs="Times New Roman"/>
          <w:bCs/>
          <w:lang w:eastAsia="hu-HU"/>
        </w:rPr>
      </w:pPr>
      <w:r w:rsidRPr="009425AF">
        <w:rPr>
          <w:rFonts w:ascii="Times New Roman" w:eastAsia="Calibri" w:hAnsi="Times New Roman" w:cs="Times New Roman"/>
        </w:rPr>
        <w:t>Az ismeret átadásában alkalmazandó további sajátos módok, jellemzők:</w:t>
      </w:r>
    </w:p>
    <w:p w:rsidR="009425AF" w:rsidRPr="009425AF" w:rsidRDefault="009425AF" w:rsidP="00980876">
      <w:pPr>
        <w:numPr>
          <w:ilvl w:val="0"/>
          <w:numId w:val="851"/>
        </w:numPr>
        <w:tabs>
          <w:tab w:val="right" w:pos="900"/>
          <w:tab w:val="center" w:pos="4536"/>
          <w:tab w:val="right" w:pos="9072"/>
        </w:tabs>
        <w:spacing w:before="120" w:after="0" w:line="240" w:lineRule="auto"/>
        <w:ind w:left="357" w:hanging="357"/>
        <w:jc w:val="both"/>
        <w:rPr>
          <w:rFonts w:ascii="Times New Roman" w:eastAsia="Calibri" w:hAnsi="Times New Roman" w:cs="Times New Roman"/>
          <w:bCs/>
          <w:lang w:eastAsia="hu-HU"/>
        </w:rPr>
      </w:pPr>
      <w:r w:rsidRPr="009425AF">
        <w:rPr>
          <w:rFonts w:ascii="Times New Roman" w:eastAsia="Calibri" w:hAnsi="Times New Roman" w:cs="Times New Roman"/>
          <w:b/>
          <w:bCs/>
          <w:lang w:eastAsia="hu-HU"/>
        </w:rPr>
        <w:t xml:space="preserve">A tantárgy szakmai tartalma (magyarul): </w:t>
      </w:r>
      <w:r w:rsidRPr="009425AF">
        <w:rPr>
          <w:rFonts w:ascii="Times New Roman" w:eastAsia="Calibri" w:hAnsi="Times New Roman" w:cs="Times New Roman"/>
          <w:bCs/>
          <w:lang w:eastAsia="hu-HU"/>
        </w:rPr>
        <w:t>A általános francia nyelv ismereteinek elsajátítása, beszédkészség, beszédértés és íráskészségek fejlesztése.</w:t>
      </w:r>
    </w:p>
    <w:p w:rsidR="009425AF" w:rsidRPr="009425AF" w:rsidRDefault="009425AF" w:rsidP="009425AF">
      <w:pPr>
        <w:spacing w:before="120" w:after="0" w:line="240" w:lineRule="auto"/>
        <w:ind w:left="357"/>
        <w:contextualSpacing/>
        <w:jc w:val="both"/>
        <w:rPr>
          <w:rFonts w:ascii="Times New Roman" w:eastAsia="Calibri" w:hAnsi="Times New Roman" w:cs="Times New Roman"/>
          <w:bCs/>
          <w:lang w:eastAsia="hu-HU"/>
        </w:rPr>
      </w:pPr>
      <w:r w:rsidRPr="009425AF">
        <w:rPr>
          <w:rFonts w:ascii="Times New Roman" w:eastAsia="Calibri" w:hAnsi="Times New Roman" w:cs="Times New Roman"/>
          <w:b/>
          <w:bCs/>
          <w:lang w:eastAsia="hu-HU"/>
        </w:rPr>
        <w:t>A tantárgy szakmai tartalma (angolul):</w:t>
      </w:r>
      <w:r w:rsidRPr="009425AF">
        <w:rPr>
          <w:rFonts w:ascii="Times New Roman" w:eastAsia="Calibri" w:hAnsi="Times New Roman" w:cs="Times New Roman"/>
          <w:bCs/>
          <w:lang w:eastAsia="hu-HU"/>
        </w:rPr>
        <w:t xml:space="preserve"> Acquirement of general French language, and the enhancement of speaking, listening, and writing skills.</w:t>
      </w:r>
    </w:p>
    <w:p w:rsidR="009425AF" w:rsidRPr="009425AF" w:rsidRDefault="009425AF" w:rsidP="00980876">
      <w:pPr>
        <w:numPr>
          <w:ilvl w:val="0"/>
          <w:numId w:val="851"/>
        </w:numPr>
        <w:tabs>
          <w:tab w:val="right" w:pos="900"/>
        </w:tabs>
        <w:spacing w:before="120" w:after="0" w:line="240" w:lineRule="auto"/>
        <w:jc w:val="both"/>
        <w:rPr>
          <w:rFonts w:ascii="Times New Roman" w:eastAsia="Calibri" w:hAnsi="Times New Roman" w:cs="Times New Roman"/>
          <w:bCs/>
          <w:lang w:eastAsia="hu-HU"/>
        </w:rPr>
      </w:pPr>
      <w:r w:rsidRPr="009425AF">
        <w:rPr>
          <w:rFonts w:ascii="Times New Roman" w:eastAsia="Calibri" w:hAnsi="Times New Roman" w:cs="Times New Roman"/>
          <w:b/>
          <w:bCs/>
          <w:lang w:eastAsia="hu-HU"/>
        </w:rPr>
        <w:t>Elérendő kompetenciák (magyarul):</w:t>
      </w:r>
    </w:p>
    <w:p w:rsidR="009425AF" w:rsidRPr="009425AF" w:rsidRDefault="009425AF" w:rsidP="009425AF">
      <w:pPr>
        <w:tabs>
          <w:tab w:val="right" w:pos="900"/>
        </w:tabs>
        <w:spacing w:before="120" w:after="0" w:line="240" w:lineRule="auto"/>
        <w:jc w:val="both"/>
        <w:rPr>
          <w:rFonts w:ascii="Times New Roman" w:eastAsia="Calibri" w:hAnsi="Times New Roman" w:cs="Times New Roman"/>
          <w:bCs/>
          <w:lang w:eastAsia="hu-HU"/>
        </w:rPr>
      </w:pPr>
      <w:r w:rsidRPr="009425AF">
        <w:rPr>
          <w:rFonts w:ascii="Times New Roman" w:eastAsia="Calibri" w:hAnsi="Times New Roman" w:cs="Times New Roman"/>
          <w:b/>
          <w:bCs/>
          <w:lang w:eastAsia="hu-HU"/>
        </w:rPr>
        <w:t>Tudása:</w:t>
      </w:r>
      <w:r w:rsidRPr="009425AF">
        <w:rPr>
          <w:rFonts w:ascii="Times New Roman" w:eastAsia="Calibri" w:hAnsi="Times New Roman" w:cs="Times New Roman"/>
          <w:bCs/>
          <w:lang w:eastAsia="hu-HU"/>
        </w:rPr>
        <w:t xml:space="preserve"> </w:t>
      </w:r>
    </w:p>
    <w:p w:rsidR="009425AF" w:rsidRPr="009425AF" w:rsidRDefault="009425AF" w:rsidP="00980876">
      <w:pPr>
        <w:numPr>
          <w:ilvl w:val="0"/>
          <w:numId w:val="585"/>
        </w:numPr>
        <w:tabs>
          <w:tab w:val="right" w:pos="900"/>
        </w:tabs>
        <w:spacing w:after="0" w:line="240" w:lineRule="auto"/>
        <w:ind w:left="426"/>
        <w:contextualSpacing/>
        <w:jc w:val="both"/>
        <w:rPr>
          <w:rFonts w:ascii="Times New Roman" w:eastAsia="Calibri" w:hAnsi="Times New Roman" w:cs="Times New Roman"/>
          <w:bCs/>
          <w:lang w:eastAsia="hu-HU"/>
        </w:rPr>
      </w:pPr>
      <w:r w:rsidRPr="009425AF">
        <w:rPr>
          <w:rFonts w:ascii="Times New Roman" w:eastAsia="Calibri" w:hAnsi="Times New Roman" w:cs="Times New Roman"/>
          <w:bCs/>
          <w:lang w:eastAsia="hu-HU"/>
        </w:rPr>
        <w:t>Birtokában van azon nyelvtani ismereteknek, melyek szükségesek általános nyelvi ismeretekkel kapcsolatos kommunikáció lebonyolításához írásban és szóban is.</w:t>
      </w:r>
    </w:p>
    <w:p w:rsidR="009425AF" w:rsidRPr="009425AF" w:rsidRDefault="009425AF" w:rsidP="009425AF">
      <w:pPr>
        <w:tabs>
          <w:tab w:val="right" w:pos="900"/>
        </w:tabs>
        <w:spacing w:before="120" w:after="0" w:line="240" w:lineRule="auto"/>
        <w:jc w:val="both"/>
        <w:rPr>
          <w:rFonts w:ascii="Times New Roman" w:eastAsia="Calibri" w:hAnsi="Times New Roman" w:cs="Times New Roman"/>
          <w:bCs/>
          <w:lang w:eastAsia="hu-HU"/>
        </w:rPr>
      </w:pPr>
      <w:r w:rsidRPr="009425AF">
        <w:rPr>
          <w:rFonts w:ascii="Times New Roman" w:eastAsia="Calibri" w:hAnsi="Times New Roman" w:cs="Times New Roman"/>
          <w:b/>
          <w:bCs/>
          <w:lang w:eastAsia="hu-HU"/>
        </w:rPr>
        <w:t>Képességei:</w:t>
      </w:r>
      <w:r w:rsidRPr="009425AF">
        <w:rPr>
          <w:rFonts w:ascii="Times New Roman" w:eastAsia="Calibri" w:hAnsi="Times New Roman" w:cs="Times New Roman"/>
          <w:bCs/>
          <w:lang w:eastAsia="hu-HU"/>
        </w:rPr>
        <w:t xml:space="preserve"> </w:t>
      </w:r>
    </w:p>
    <w:p w:rsidR="009425AF" w:rsidRPr="009425AF" w:rsidRDefault="009425AF" w:rsidP="00980876">
      <w:pPr>
        <w:numPr>
          <w:ilvl w:val="0"/>
          <w:numId w:val="584"/>
        </w:numPr>
        <w:tabs>
          <w:tab w:val="right" w:pos="900"/>
        </w:tabs>
        <w:spacing w:after="0" w:line="240" w:lineRule="auto"/>
        <w:ind w:left="426"/>
        <w:contextualSpacing/>
        <w:jc w:val="both"/>
        <w:rPr>
          <w:rFonts w:ascii="Times New Roman" w:eastAsia="Calibri" w:hAnsi="Times New Roman" w:cs="Times New Roman"/>
          <w:bCs/>
          <w:lang w:eastAsia="hu-HU"/>
        </w:rPr>
      </w:pPr>
      <w:r w:rsidRPr="009425AF">
        <w:rPr>
          <w:rFonts w:ascii="Times New Roman" w:eastAsia="Calibri" w:hAnsi="Times New Roman" w:cs="Times New Roman"/>
          <w:bCs/>
          <w:lang w:eastAsia="hu-HU"/>
        </w:rPr>
        <w:t>Képes prezentációkat tartani francia nyelven.</w:t>
      </w:r>
    </w:p>
    <w:p w:rsidR="009425AF" w:rsidRPr="009425AF" w:rsidRDefault="009425AF" w:rsidP="00980876">
      <w:pPr>
        <w:numPr>
          <w:ilvl w:val="0"/>
          <w:numId w:val="584"/>
        </w:numPr>
        <w:tabs>
          <w:tab w:val="right" w:pos="900"/>
        </w:tabs>
        <w:spacing w:after="0" w:line="240" w:lineRule="auto"/>
        <w:ind w:left="426"/>
        <w:contextualSpacing/>
        <w:jc w:val="both"/>
        <w:rPr>
          <w:rFonts w:ascii="Times New Roman" w:eastAsia="Calibri" w:hAnsi="Times New Roman" w:cs="Times New Roman"/>
          <w:bCs/>
          <w:lang w:eastAsia="hu-HU"/>
        </w:rPr>
      </w:pPr>
      <w:r w:rsidRPr="009425AF">
        <w:rPr>
          <w:rFonts w:ascii="Times New Roman" w:eastAsia="Calibri" w:hAnsi="Times New Roman" w:cs="Times New Roman"/>
        </w:rPr>
        <w:t>Képes oly mértékben folyékonyan és spontánul kommunikálni anyanyelvi beszélőkkel, hogy az nem jelent megerőltetést semelyik fél számára.</w:t>
      </w:r>
    </w:p>
    <w:p w:rsidR="009425AF" w:rsidRPr="009425AF" w:rsidRDefault="009425AF" w:rsidP="00980876">
      <w:pPr>
        <w:numPr>
          <w:ilvl w:val="0"/>
          <w:numId w:val="584"/>
        </w:numPr>
        <w:tabs>
          <w:tab w:val="right" w:pos="900"/>
        </w:tabs>
        <w:spacing w:after="0" w:line="240" w:lineRule="auto"/>
        <w:ind w:left="426"/>
        <w:contextualSpacing/>
        <w:jc w:val="both"/>
        <w:rPr>
          <w:rFonts w:ascii="Times New Roman" w:eastAsia="Calibri" w:hAnsi="Times New Roman" w:cs="Times New Roman"/>
          <w:bCs/>
          <w:lang w:eastAsia="hu-HU"/>
        </w:rPr>
      </w:pPr>
      <w:r w:rsidRPr="009425AF">
        <w:rPr>
          <w:rFonts w:ascii="Times New Roman" w:eastAsia="Calibri" w:hAnsi="Times New Roman" w:cs="Times New Roman"/>
          <w:bCs/>
          <w:lang w:eastAsia="hu-HU"/>
        </w:rPr>
        <w:t>Képes francia nyelven dokumentumokat, nyomtatványokat, jegyzőkönyveket,  feljegyzéseket készíteni, valamint azokat kitölteni.</w:t>
      </w:r>
    </w:p>
    <w:p w:rsidR="009425AF" w:rsidRPr="009425AF" w:rsidRDefault="009425AF" w:rsidP="009425AF">
      <w:pPr>
        <w:tabs>
          <w:tab w:val="right" w:pos="900"/>
        </w:tabs>
        <w:spacing w:before="120" w:after="0" w:line="240" w:lineRule="auto"/>
        <w:jc w:val="both"/>
        <w:rPr>
          <w:rFonts w:ascii="Times New Roman" w:eastAsia="Calibri" w:hAnsi="Times New Roman" w:cs="Times New Roman"/>
          <w:bCs/>
          <w:lang w:eastAsia="hu-HU"/>
        </w:rPr>
      </w:pPr>
      <w:r w:rsidRPr="009425AF">
        <w:rPr>
          <w:rFonts w:ascii="Times New Roman" w:eastAsia="Calibri" w:hAnsi="Times New Roman" w:cs="Times New Roman"/>
          <w:b/>
          <w:bCs/>
          <w:lang w:eastAsia="hu-HU"/>
        </w:rPr>
        <w:t>Attitüdje:</w:t>
      </w:r>
      <w:r w:rsidRPr="009425AF">
        <w:rPr>
          <w:rFonts w:ascii="Times New Roman" w:eastAsia="Calibri" w:hAnsi="Times New Roman" w:cs="Times New Roman"/>
          <w:bCs/>
          <w:lang w:eastAsia="hu-HU"/>
        </w:rPr>
        <w:t xml:space="preserve"> </w:t>
      </w:r>
    </w:p>
    <w:p w:rsidR="009425AF" w:rsidRPr="009425AF" w:rsidRDefault="009425AF" w:rsidP="00980876">
      <w:pPr>
        <w:numPr>
          <w:ilvl w:val="0"/>
          <w:numId w:val="5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contextualSpacing/>
        <w:jc w:val="both"/>
        <w:rPr>
          <w:rFonts w:ascii="Times New Roman" w:eastAsia="Calibri" w:hAnsi="Times New Roman" w:cs="Times New Roman"/>
        </w:rPr>
      </w:pPr>
      <w:r w:rsidRPr="009425AF">
        <w:rPr>
          <w:rFonts w:ascii="Times New Roman" w:eastAsia="Calibri" w:hAnsi="Times New Roman" w:cs="Times New Roman"/>
        </w:rPr>
        <w:t>Hajlandó elsajátítani új ismereteket, igyekszik annak megértésére és használatára, és törekszik a saját szakterületén a folyamatos nyelvi vonatkozású önképzésre.</w:t>
      </w:r>
    </w:p>
    <w:p w:rsidR="009425AF" w:rsidRPr="009425AF" w:rsidRDefault="009425AF" w:rsidP="00980876">
      <w:pPr>
        <w:numPr>
          <w:ilvl w:val="0"/>
          <w:numId w:val="5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contextualSpacing/>
        <w:jc w:val="both"/>
        <w:rPr>
          <w:rFonts w:ascii="Times New Roman" w:eastAsia="Calibri" w:hAnsi="Times New Roman" w:cs="Times New Roman"/>
        </w:rPr>
      </w:pPr>
      <w:r w:rsidRPr="009425AF">
        <w:rPr>
          <w:rFonts w:ascii="Times New Roman" w:eastAsia="Calibri" w:hAnsi="Times New Roman" w:cs="Times New Roman"/>
        </w:rPr>
        <w:t>Az francia nyelv használata során pontosságra törekszik.</w:t>
      </w:r>
    </w:p>
    <w:p w:rsidR="009425AF" w:rsidRPr="009425AF" w:rsidRDefault="009425AF" w:rsidP="00980876">
      <w:pPr>
        <w:numPr>
          <w:ilvl w:val="0"/>
          <w:numId w:val="5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contextualSpacing/>
        <w:jc w:val="both"/>
        <w:rPr>
          <w:rFonts w:ascii="Times New Roman" w:eastAsia="Calibri" w:hAnsi="Times New Roman" w:cs="Times New Roman"/>
        </w:rPr>
      </w:pPr>
      <w:r w:rsidRPr="009425AF">
        <w:rPr>
          <w:rFonts w:ascii="Times New Roman" w:eastAsia="Calibri" w:hAnsi="Times New Roman" w:cs="Times New Roman"/>
        </w:rPr>
        <w:t>Nem fél vagy szégyell segítséget kérni abban az esetben, ha nehézségekkel szembesül a nyelvhasználat során.</w:t>
      </w:r>
    </w:p>
    <w:p w:rsidR="009425AF" w:rsidRPr="009425AF" w:rsidRDefault="009425AF" w:rsidP="00980876">
      <w:pPr>
        <w:numPr>
          <w:ilvl w:val="0"/>
          <w:numId w:val="5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contextualSpacing/>
        <w:jc w:val="both"/>
        <w:rPr>
          <w:rFonts w:ascii="Times New Roman" w:eastAsia="Calibri" w:hAnsi="Times New Roman" w:cs="Times New Roman"/>
        </w:rPr>
      </w:pPr>
      <w:r w:rsidRPr="009425AF">
        <w:rPr>
          <w:rFonts w:ascii="Times New Roman" w:eastAsia="Calibri" w:hAnsi="Times New Roman" w:cs="Times New Roman"/>
        </w:rPr>
        <w:t>Minden alkalmat megragad nyelvi készségeinek fejlesztésére.</w:t>
      </w:r>
    </w:p>
    <w:p w:rsidR="00B41EEB" w:rsidRDefault="00B41EEB" w:rsidP="009425AF">
      <w:pPr>
        <w:tabs>
          <w:tab w:val="right" w:pos="900"/>
        </w:tabs>
        <w:spacing w:before="120" w:after="0" w:line="240" w:lineRule="auto"/>
        <w:jc w:val="both"/>
        <w:rPr>
          <w:rFonts w:ascii="Times New Roman" w:eastAsia="Calibri" w:hAnsi="Times New Roman" w:cs="Times New Roman"/>
          <w:b/>
          <w:bCs/>
          <w:lang w:eastAsia="hu-HU"/>
        </w:rPr>
      </w:pPr>
    </w:p>
    <w:p w:rsidR="009425AF" w:rsidRPr="009425AF" w:rsidRDefault="009425AF" w:rsidP="009425AF">
      <w:pPr>
        <w:tabs>
          <w:tab w:val="right" w:pos="900"/>
        </w:tabs>
        <w:spacing w:before="120" w:after="0" w:line="240" w:lineRule="auto"/>
        <w:jc w:val="both"/>
        <w:rPr>
          <w:rFonts w:ascii="Times New Roman" w:eastAsia="Calibri" w:hAnsi="Times New Roman" w:cs="Times New Roman"/>
          <w:bCs/>
          <w:lang w:eastAsia="hu-HU"/>
        </w:rPr>
      </w:pPr>
      <w:r w:rsidRPr="009425AF">
        <w:rPr>
          <w:rFonts w:ascii="Times New Roman" w:eastAsia="Calibri" w:hAnsi="Times New Roman" w:cs="Times New Roman"/>
          <w:b/>
          <w:bCs/>
          <w:lang w:eastAsia="hu-HU"/>
        </w:rPr>
        <w:lastRenderedPageBreak/>
        <w:t>Autonómiája és felelőssége:</w:t>
      </w:r>
      <w:r w:rsidRPr="009425AF">
        <w:rPr>
          <w:rFonts w:ascii="Times New Roman" w:eastAsia="Calibri" w:hAnsi="Times New Roman" w:cs="Times New Roman"/>
          <w:bCs/>
          <w:lang w:eastAsia="hu-HU"/>
        </w:rPr>
        <w:t xml:space="preserve"> </w:t>
      </w:r>
    </w:p>
    <w:p w:rsidR="009425AF" w:rsidRPr="009425AF" w:rsidRDefault="009425AF" w:rsidP="00980876">
      <w:pPr>
        <w:widowControl w:val="0"/>
        <w:numPr>
          <w:ilvl w:val="0"/>
          <w:numId w:val="582"/>
        </w:numPr>
        <w:spacing w:after="0" w:line="240" w:lineRule="auto"/>
        <w:ind w:left="426"/>
        <w:contextualSpacing/>
        <w:jc w:val="both"/>
        <w:rPr>
          <w:rFonts w:ascii="Times New Roman" w:eastAsia="Calibri" w:hAnsi="Times New Roman" w:cs="Times New Roman"/>
          <w:bCs/>
        </w:rPr>
      </w:pPr>
      <w:r w:rsidRPr="009425AF">
        <w:rPr>
          <w:rFonts w:ascii="Times New Roman" w:eastAsia="Calibri" w:hAnsi="Times New Roman" w:cs="Times New Roman"/>
          <w:bCs/>
        </w:rPr>
        <w:t xml:space="preserve">Képes önállóan fejleszteni ismereteit. </w:t>
      </w:r>
    </w:p>
    <w:p w:rsidR="009425AF" w:rsidRPr="009425AF" w:rsidRDefault="009425AF" w:rsidP="00980876">
      <w:pPr>
        <w:widowControl w:val="0"/>
        <w:numPr>
          <w:ilvl w:val="0"/>
          <w:numId w:val="582"/>
        </w:numPr>
        <w:spacing w:after="0" w:line="240" w:lineRule="auto"/>
        <w:ind w:left="426"/>
        <w:contextualSpacing/>
        <w:jc w:val="both"/>
        <w:rPr>
          <w:rFonts w:ascii="Times New Roman" w:eastAsia="Calibri" w:hAnsi="Times New Roman" w:cs="Times New Roman"/>
          <w:bCs/>
        </w:rPr>
      </w:pPr>
      <w:r w:rsidRPr="009425AF">
        <w:rPr>
          <w:rFonts w:ascii="Times New Roman" w:eastAsia="Calibri" w:hAnsi="Times New Roman" w:cs="Times New Roman"/>
          <w:bCs/>
        </w:rPr>
        <w:t xml:space="preserve">Tisztában van a francia nyelven történő hatékony kommunikáció szükségességével többnemzeti környezetben. </w:t>
      </w:r>
    </w:p>
    <w:p w:rsidR="009425AF" w:rsidRPr="009425AF" w:rsidRDefault="009425AF" w:rsidP="00980876">
      <w:pPr>
        <w:widowControl w:val="0"/>
        <w:numPr>
          <w:ilvl w:val="0"/>
          <w:numId w:val="582"/>
        </w:numPr>
        <w:spacing w:after="0" w:line="240" w:lineRule="auto"/>
        <w:ind w:left="426"/>
        <w:contextualSpacing/>
        <w:jc w:val="both"/>
        <w:rPr>
          <w:rFonts w:ascii="Times New Roman" w:eastAsia="Calibri" w:hAnsi="Times New Roman" w:cs="Times New Roman"/>
          <w:bCs/>
        </w:rPr>
      </w:pPr>
      <w:r w:rsidRPr="009425AF">
        <w:rPr>
          <w:rFonts w:ascii="Times New Roman" w:eastAsia="Calibri" w:hAnsi="Times New Roman" w:cs="Times New Roman"/>
          <w:bCs/>
        </w:rPr>
        <w:t>Felelősséget vállal saját francia nyelvű szóbeli és írásbeli kommunikációjáért.</w:t>
      </w:r>
    </w:p>
    <w:p w:rsidR="009425AF" w:rsidRPr="009425AF" w:rsidRDefault="009425AF" w:rsidP="009425AF">
      <w:pPr>
        <w:tabs>
          <w:tab w:val="right" w:pos="900"/>
        </w:tabs>
        <w:spacing w:before="240" w:after="0" w:line="240" w:lineRule="auto"/>
        <w:jc w:val="both"/>
        <w:rPr>
          <w:rFonts w:ascii="Times New Roman" w:eastAsia="Calibri" w:hAnsi="Times New Roman" w:cs="Times New Roman"/>
          <w:bCs/>
          <w:lang w:val="en-GB" w:eastAsia="hu-HU"/>
        </w:rPr>
      </w:pPr>
      <w:r w:rsidRPr="009425AF">
        <w:rPr>
          <w:rFonts w:ascii="Times New Roman" w:eastAsia="Calibri" w:hAnsi="Times New Roman" w:cs="Times New Roman"/>
          <w:b/>
          <w:bCs/>
          <w:lang w:val="en-GB" w:eastAsia="hu-HU"/>
        </w:rPr>
        <w:t>Elérendő kompetenciák (angolul):</w:t>
      </w:r>
    </w:p>
    <w:p w:rsidR="009425AF" w:rsidRPr="009425AF" w:rsidRDefault="009425AF" w:rsidP="009425AF">
      <w:pPr>
        <w:spacing w:before="120" w:after="0"/>
        <w:rPr>
          <w:rFonts w:ascii="Times New Roman" w:eastAsia="Calibri" w:hAnsi="Times New Roman" w:cs="Times New Roman"/>
          <w:bCs/>
          <w:lang w:val="en-GB" w:eastAsia="hu-HU"/>
        </w:rPr>
      </w:pPr>
      <w:r w:rsidRPr="009425AF">
        <w:rPr>
          <w:rFonts w:ascii="Times New Roman" w:eastAsia="Calibri" w:hAnsi="Times New Roman" w:cs="Times New Roman"/>
          <w:b/>
          <w:bCs/>
          <w:lang w:val="en-GB" w:eastAsia="hu-HU"/>
        </w:rPr>
        <w:t>Knowledge:</w:t>
      </w:r>
      <w:r w:rsidRPr="009425AF">
        <w:rPr>
          <w:rFonts w:ascii="Times New Roman" w:eastAsia="Calibri" w:hAnsi="Times New Roman" w:cs="Times New Roman"/>
          <w:bCs/>
          <w:lang w:val="en-GB" w:eastAsia="hu-HU"/>
        </w:rPr>
        <w:t xml:space="preserve"> </w:t>
      </w:r>
    </w:p>
    <w:p w:rsidR="009425AF" w:rsidRPr="009425AF" w:rsidRDefault="009425AF" w:rsidP="00980876">
      <w:pPr>
        <w:numPr>
          <w:ilvl w:val="0"/>
          <w:numId w:val="582"/>
        </w:numPr>
        <w:tabs>
          <w:tab w:val="right" w:pos="900"/>
        </w:tabs>
        <w:spacing w:after="0" w:line="240" w:lineRule="auto"/>
        <w:ind w:left="426" w:hanging="349"/>
        <w:contextualSpacing/>
        <w:jc w:val="both"/>
        <w:rPr>
          <w:rFonts w:ascii="Times New Roman" w:eastAsia="Calibri" w:hAnsi="Times New Roman" w:cs="Times New Roman"/>
          <w:bCs/>
          <w:lang w:eastAsia="hu-HU"/>
        </w:rPr>
      </w:pPr>
      <w:r w:rsidRPr="009425AF">
        <w:rPr>
          <w:rFonts w:ascii="Times New Roman" w:eastAsia="Calibri" w:hAnsi="Times New Roman" w:cs="Times New Roman"/>
          <w:bCs/>
          <w:lang w:eastAsia="hu-HU"/>
        </w:rPr>
        <w:t>The student has the language knowledge and competence required for everyday oral and written communication.</w:t>
      </w:r>
    </w:p>
    <w:p w:rsidR="009425AF" w:rsidRPr="009425AF" w:rsidRDefault="009425AF" w:rsidP="009425AF">
      <w:pPr>
        <w:tabs>
          <w:tab w:val="right" w:pos="900"/>
        </w:tabs>
        <w:spacing w:before="120" w:after="0" w:line="240" w:lineRule="auto"/>
        <w:jc w:val="both"/>
        <w:rPr>
          <w:rFonts w:ascii="Times New Roman" w:eastAsia="Calibri" w:hAnsi="Times New Roman" w:cs="Times New Roman"/>
          <w:b/>
          <w:bCs/>
          <w:lang w:val="en-GB" w:eastAsia="hu-HU"/>
        </w:rPr>
      </w:pPr>
      <w:r w:rsidRPr="009425AF">
        <w:rPr>
          <w:rFonts w:ascii="Times New Roman" w:eastAsia="Calibri" w:hAnsi="Times New Roman" w:cs="Times New Roman"/>
          <w:b/>
          <w:bCs/>
          <w:lang w:val="en-GB" w:eastAsia="hu-HU"/>
        </w:rPr>
        <w:t>Capabilities:</w:t>
      </w:r>
    </w:p>
    <w:p w:rsidR="009425AF" w:rsidRPr="009425AF" w:rsidRDefault="009425AF" w:rsidP="00980876">
      <w:pPr>
        <w:numPr>
          <w:ilvl w:val="0"/>
          <w:numId w:val="581"/>
        </w:numPr>
        <w:tabs>
          <w:tab w:val="right" w:pos="900"/>
        </w:tabs>
        <w:spacing w:after="0" w:line="240" w:lineRule="auto"/>
        <w:ind w:left="426"/>
        <w:contextualSpacing/>
        <w:jc w:val="both"/>
        <w:rPr>
          <w:rFonts w:ascii="Times New Roman" w:eastAsia="Calibri" w:hAnsi="Times New Roman" w:cs="Times New Roman"/>
          <w:bCs/>
          <w:lang w:val="en-GB" w:eastAsia="hu-HU"/>
        </w:rPr>
      </w:pPr>
      <w:r w:rsidRPr="009425AF">
        <w:rPr>
          <w:rFonts w:ascii="Times New Roman" w:eastAsia="Calibri" w:hAnsi="Times New Roman" w:cs="Times New Roman"/>
          <w:bCs/>
          <w:lang w:val="en-GB" w:eastAsia="hu-HU"/>
        </w:rPr>
        <w:t>Capable of preparing presentations in French.</w:t>
      </w:r>
    </w:p>
    <w:p w:rsidR="009425AF" w:rsidRPr="009425AF" w:rsidRDefault="009425AF" w:rsidP="00980876">
      <w:pPr>
        <w:numPr>
          <w:ilvl w:val="0"/>
          <w:numId w:val="581"/>
        </w:numPr>
        <w:tabs>
          <w:tab w:val="right" w:pos="900"/>
        </w:tabs>
        <w:spacing w:after="0" w:line="240" w:lineRule="auto"/>
        <w:ind w:left="426"/>
        <w:contextualSpacing/>
        <w:jc w:val="both"/>
        <w:rPr>
          <w:rFonts w:ascii="Times New Roman" w:eastAsia="Calibri" w:hAnsi="Times New Roman" w:cs="Times New Roman"/>
          <w:bCs/>
          <w:lang w:val="en-GB" w:eastAsia="hu-HU"/>
        </w:rPr>
      </w:pPr>
      <w:r w:rsidRPr="009425AF">
        <w:rPr>
          <w:rFonts w:ascii="Times New Roman" w:eastAsia="Calibri" w:hAnsi="Times New Roman" w:cs="Times New Roman"/>
          <w:bCs/>
          <w:lang w:val="en-GB" w:eastAsia="hu-HU"/>
        </w:rPr>
        <w:t>Capable of interacting with a degree of fluency and spontaneity that makes regular interaction with native speakers quite possible without strain for either party.</w:t>
      </w:r>
    </w:p>
    <w:p w:rsidR="009425AF" w:rsidRPr="009425AF" w:rsidRDefault="009425AF" w:rsidP="00980876">
      <w:pPr>
        <w:numPr>
          <w:ilvl w:val="0"/>
          <w:numId w:val="581"/>
        </w:numPr>
        <w:tabs>
          <w:tab w:val="right" w:pos="900"/>
        </w:tabs>
        <w:spacing w:after="0" w:line="240" w:lineRule="auto"/>
        <w:ind w:left="426"/>
        <w:contextualSpacing/>
        <w:jc w:val="both"/>
        <w:rPr>
          <w:rFonts w:ascii="Times New Roman" w:eastAsia="Calibri" w:hAnsi="Times New Roman" w:cs="Times New Roman"/>
          <w:bCs/>
          <w:lang w:val="en-GB" w:eastAsia="hu-HU"/>
        </w:rPr>
      </w:pPr>
      <w:r w:rsidRPr="009425AF">
        <w:rPr>
          <w:rFonts w:ascii="Times New Roman" w:eastAsia="Calibri" w:hAnsi="Times New Roman" w:cs="Times New Roman"/>
          <w:bCs/>
          <w:lang w:val="en-GB" w:eastAsia="hu-HU"/>
        </w:rPr>
        <w:t>Capable of preparing documents, forms, minutes, notes and memos and completing documents in French.</w:t>
      </w:r>
    </w:p>
    <w:p w:rsidR="009425AF" w:rsidRPr="009425AF" w:rsidRDefault="009425AF" w:rsidP="009425AF">
      <w:pPr>
        <w:tabs>
          <w:tab w:val="right" w:pos="900"/>
        </w:tabs>
        <w:spacing w:before="120" w:after="0" w:line="240" w:lineRule="auto"/>
        <w:jc w:val="both"/>
        <w:rPr>
          <w:rFonts w:ascii="Times New Roman" w:eastAsia="Calibri" w:hAnsi="Times New Roman" w:cs="Times New Roman"/>
          <w:bCs/>
          <w:lang w:val="en-GB" w:eastAsia="hu-HU"/>
        </w:rPr>
      </w:pPr>
      <w:r w:rsidRPr="009425AF">
        <w:rPr>
          <w:rFonts w:ascii="Times New Roman" w:eastAsia="Calibri" w:hAnsi="Times New Roman" w:cs="Times New Roman"/>
          <w:b/>
          <w:bCs/>
          <w:lang w:val="en-GB" w:eastAsia="hu-HU"/>
        </w:rPr>
        <w:t>Attitude:</w:t>
      </w:r>
      <w:r w:rsidRPr="009425AF">
        <w:rPr>
          <w:rFonts w:ascii="Times New Roman" w:eastAsia="Calibri" w:hAnsi="Times New Roman" w:cs="Times New Roman"/>
          <w:bCs/>
          <w:lang w:val="en-GB" w:eastAsia="hu-HU"/>
        </w:rPr>
        <w:t xml:space="preserve"> </w:t>
      </w:r>
    </w:p>
    <w:p w:rsidR="009425AF" w:rsidRPr="009425AF" w:rsidRDefault="009425AF" w:rsidP="00980876">
      <w:pPr>
        <w:numPr>
          <w:ilvl w:val="0"/>
          <w:numId w:val="580"/>
        </w:numPr>
        <w:spacing w:after="0" w:line="240" w:lineRule="auto"/>
        <w:ind w:left="426"/>
        <w:contextualSpacing/>
        <w:jc w:val="both"/>
        <w:rPr>
          <w:rFonts w:ascii="Times New Roman" w:eastAsia="Calibri" w:hAnsi="Times New Roman" w:cs="Times New Roman"/>
          <w:lang w:val="en-GB"/>
        </w:rPr>
      </w:pPr>
      <w:r w:rsidRPr="009425AF">
        <w:rPr>
          <w:rFonts w:ascii="Times New Roman" w:eastAsia="Calibri" w:hAnsi="Times New Roman" w:cs="Times New Roman"/>
          <w:lang w:val="en-GB"/>
        </w:rPr>
        <w:t>Is willing to learn the new terminology in his/her specialization, strives to understand and use it, and is committed to continuous self-education in his/her specialization.</w:t>
      </w:r>
    </w:p>
    <w:p w:rsidR="009425AF" w:rsidRPr="009425AF" w:rsidRDefault="009425AF" w:rsidP="00980876">
      <w:pPr>
        <w:numPr>
          <w:ilvl w:val="0"/>
          <w:numId w:val="580"/>
        </w:numPr>
        <w:spacing w:after="0" w:line="240" w:lineRule="auto"/>
        <w:ind w:left="426"/>
        <w:contextualSpacing/>
        <w:jc w:val="both"/>
        <w:rPr>
          <w:rFonts w:ascii="Times New Roman" w:eastAsia="Calibri" w:hAnsi="Times New Roman" w:cs="Times New Roman"/>
          <w:lang w:val="en-GB"/>
        </w:rPr>
      </w:pPr>
      <w:r w:rsidRPr="009425AF">
        <w:rPr>
          <w:rFonts w:ascii="Times New Roman" w:eastAsia="Calibri" w:hAnsi="Times New Roman" w:cs="Times New Roman"/>
          <w:lang w:val="en-GB"/>
        </w:rPr>
        <w:t>Is committed to accuracy when using the French language at work.</w:t>
      </w:r>
    </w:p>
    <w:p w:rsidR="009425AF" w:rsidRPr="009425AF" w:rsidRDefault="009425AF" w:rsidP="00980876">
      <w:pPr>
        <w:numPr>
          <w:ilvl w:val="0"/>
          <w:numId w:val="580"/>
        </w:numPr>
        <w:spacing w:after="0" w:line="240" w:lineRule="auto"/>
        <w:ind w:left="426"/>
        <w:contextualSpacing/>
        <w:jc w:val="both"/>
        <w:rPr>
          <w:rFonts w:ascii="Times New Roman" w:eastAsia="Calibri" w:hAnsi="Times New Roman" w:cs="Times New Roman"/>
          <w:lang w:val="en-GB"/>
        </w:rPr>
      </w:pPr>
      <w:r w:rsidRPr="009425AF">
        <w:rPr>
          <w:rFonts w:ascii="Times New Roman" w:eastAsia="Calibri" w:hAnsi="Times New Roman" w:cs="Times New Roman"/>
          <w:lang w:val="en-GB"/>
        </w:rPr>
        <w:t>Is not afraid or embarrassed to seek help when he/she faces problems with the French language.</w:t>
      </w:r>
    </w:p>
    <w:p w:rsidR="009425AF" w:rsidRPr="009425AF" w:rsidRDefault="009425AF" w:rsidP="00980876">
      <w:pPr>
        <w:numPr>
          <w:ilvl w:val="0"/>
          <w:numId w:val="580"/>
        </w:numPr>
        <w:spacing w:after="0" w:line="240" w:lineRule="auto"/>
        <w:ind w:left="426"/>
        <w:contextualSpacing/>
        <w:jc w:val="both"/>
        <w:rPr>
          <w:rFonts w:ascii="Times New Roman" w:eastAsia="Calibri" w:hAnsi="Times New Roman" w:cs="Times New Roman"/>
          <w:lang w:val="en-GB"/>
        </w:rPr>
      </w:pPr>
      <w:r w:rsidRPr="009425AF">
        <w:rPr>
          <w:rFonts w:ascii="Times New Roman" w:eastAsia="Calibri" w:hAnsi="Times New Roman" w:cs="Times New Roman"/>
          <w:lang w:val="en-GB"/>
        </w:rPr>
        <w:t>Takes every opportunity to improve his/her knowledge of French.</w:t>
      </w:r>
    </w:p>
    <w:p w:rsidR="009425AF" w:rsidRPr="009425AF" w:rsidRDefault="009425AF" w:rsidP="009425AF">
      <w:pPr>
        <w:tabs>
          <w:tab w:val="right" w:pos="900"/>
        </w:tabs>
        <w:spacing w:before="120" w:after="0" w:line="240" w:lineRule="auto"/>
        <w:jc w:val="both"/>
        <w:rPr>
          <w:rFonts w:ascii="Times New Roman" w:eastAsia="Calibri" w:hAnsi="Times New Roman" w:cs="Times New Roman"/>
          <w:bCs/>
          <w:lang w:val="en-GB" w:eastAsia="hu-HU"/>
        </w:rPr>
      </w:pPr>
      <w:r w:rsidRPr="009425AF">
        <w:rPr>
          <w:rFonts w:ascii="Times New Roman" w:eastAsia="Calibri" w:hAnsi="Times New Roman" w:cs="Times New Roman"/>
          <w:b/>
          <w:bCs/>
          <w:lang w:val="en-GB" w:eastAsia="hu-HU"/>
        </w:rPr>
        <w:t>Autonomy and responsibility:</w:t>
      </w:r>
      <w:r w:rsidRPr="009425AF">
        <w:rPr>
          <w:rFonts w:ascii="Times New Roman" w:eastAsia="Calibri" w:hAnsi="Times New Roman" w:cs="Times New Roman"/>
          <w:bCs/>
          <w:lang w:val="en-GB" w:eastAsia="hu-HU"/>
        </w:rPr>
        <w:t xml:space="preserve"> </w:t>
      </w:r>
    </w:p>
    <w:p w:rsidR="009425AF" w:rsidRPr="009425AF" w:rsidRDefault="009425AF" w:rsidP="00980876">
      <w:pPr>
        <w:numPr>
          <w:ilvl w:val="0"/>
          <w:numId w:val="579"/>
        </w:numPr>
        <w:spacing w:after="0" w:line="240" w:lineRule="auto"/>
        <w:ind w:left="426"/>
        <w:contextualSpacing/>
        <w:jc w:val="both"/>
        <w:rPr>
          <w:rFonts w:ascii="Times New Roman" w:eastAsia="Calibri" w:hAnsi="Times New Roman" w:cs="Times New Roman"/>
          <w:lang w:val="en-GB"/>
        </w:rPr>
      </w:pPr>
      <w:r w:rsidRPr="009425AF">
        <w:rPr>
          <w:rFonts w:ascii="Times New Roman" w:eastAsia="Calibri" w:hAnsi="Times New Roman" w:cs="Times New Roman"/>
          <w:lang w:val="en-GB"/>
        </w:rPr>
        <w:t>Able to autonomously improve his/her knowledge of the terminology</w:t>
      </w:r>
    </w:p>
    <w:p w:rsidR="009425AF" w:rsidRPr="009425AF" w:rsidRDefault="009425AF" w:rsidP="00980876">
      <w:pPr>
        <w:numPr>
          <w:ilvl w:val="0"/>
          <w:numId w:val="579"/>
        </w:numPr>
        <w:spacing w:after="0" w:line="240" w:lineRule="auto"/>
        <w:ind w:left="426"/>
        <w:contextualSpacing/>
        <w:jc w:val="both"/>
        <w:rPr>
          <w:rFonts w:ascii="Times New Roman" w:eastAsia="Calibri" w:hAnsi="Times New Roman" w:cs="Times New Roman"/>
          <w:lang w:val="en-GB"/>
        </w:rPr>
      </w:pPr>
      <w:r w:rsidRPr="009425AF">
        <w:rPr>
          <w:rFonts w:ascii="Times New Roman" w:eastAsia="Calibri" w:hAnsi="Times New Roman" w:cs="Times New Roman"/>
          <w:lang w:val="en-GB"/>
        </w:rPr>
        <w:t xml:space="preserve">Aware of the importance of being able to effectively communicate in French in a multinational environment </w:t>
      </w:r>
    </w:p>
    <w:p w:rsidR="009425AF" w:rsidRPr="009425AF" w:rsidRDefault="009425AF" w:rsidP="00980876">
      <w:pPr>
        <w:numPr>
          <w:ilvl w:val="0"/>
          <w:numId w:val="579"/>
        </w:numPr>
        <w:spacing w:after="360" w:line="240" w:lineRule="auto"/>
        <w:ind w:left="426"/>
        <w:contextualSpacing/>
        <w:jc w:val="both"/>
        <w:rPr>
          <w:rFonts w:ascii="Times New Roman" w:eastAsia="Calibri" w:hAnsi="Times New Roman" w:cs="Times New Roman"/>
          <w:lang w:val="en-GB"/>
        </w:rPr>
      </w:pPr>
      <w:r w:rsidRPr="009425AF">
        <w:rPr>
          <w:rFonts w:ascii="Times New Roman" w:eastAsia="Calibri" w:hAnsi="Times New Roman" w:cs="Times New Roman"/>
          <w:lang w:val="en-GB"/>
        </w:rPr>
        <w:t>Takes responsibility for his/her written/verbal communication in French</w:t>
      </w:r>
    </w:p>
    <w:p w:rsidR="009425AF" w:rsidRPr="009425AF" w:rsidRDefault="009425AF" w:rsidP="009425AF">
      <w:pPr>
        <w:spacing w:after="360" w:line="240" w:lineRule="auto"/>
        <w:ind w:left="426"/>
        <w:contextualSpacing/>
        <w:jc w:val="both"/>
        <w:rPr>
          <w:rFonts w:ascii="Times New Roman" w:eastAsia="Calibri" w:hAnsi="Times New Roman" w:cs="Times New Roman"/>
          <w:lang w:val="en-GB"/>
        </w:rPr>
      </w:pPr>
    </w:p>
    <w:p w:rsidR="009425AF" w:rsidRPr="009425AF" w:rsidRDefault="009425AF" w:rsidP="00980876">
      <w:pPr>
        <w:numPr>
          <w:ilvl w:val="0"/>
          <w:numId w:val="851"/>
        </w:numPr>
        <w:spacing w:before="120" w:after="0" w:line="240" w:lineRule="auto"/>
        <w:contextualSpacing/>
        <w:jc w:val="both"/>
        <w:rPr>
          <w:rFonts w:ascii="Times New Roman" w:eastAsia="Calibri" w:hAnsi="Times New Roman" w:cs="Times New Roman"/>
          <w:bCs/>
          <w:lang w:eastAsia="hu-HU"/>
        </w:rPr>
      </w:pPr>
      <w:r w:rsidRPr="009425AF">
        <w:rPr>
          <w:rFonts w:ascii="Times New Roman" w:eastAsia="Calibri" w:hAnsi="Times New Roman" w:cs="Times New Roman"/>
          <w:b/>
          <w:bCs/>
          <w:lang w:eastAsia="hu-HU"/>
        </w:rPr>
        <w:t>Előtanulmányi követelmények:</w:t>
      </w:r>
      <w:r w:rsidRPr="009425AF">
        <w:rPr>
          <w:rFonts w:ascii="Times New Roman" w:eastAsia="Calibri" w:hAnsi="Times New Roman" w:cs="Times New Roman"/>
          <w:bCs/>
          <w:lang w:eastAsia="hu-HU"/>
        </w:rPr>
        <w:t xml:space="preserve"> -</w:t>
      </w:r>
    </w:p>
    <w:p w:rsidR="009425AF" w:rsidRPr="009425AF" w:rsidRDefault="009425AF" w:rsidP="00980876">
      <w:pPr>
        <w:widowControl w:val="0"/>
        <w:numPr>
          <w:ilvl w:val="0"/>
          <w:numId w:val="851"/>
        </w:numPr>
        <w:spacing w:before="120" w:after="120" w:line="240" w:lineRule="auto"/>
        <w:jc w:val="both"/>
        <w:rPr>
          <w:rFonts w:ascii="Times New Roman" w:eastAsia="Calibri" w:hAnsi="Times New Roman" w:cs="Times New Roman"/>
          <w:b/>
          <w:bCs/>
        </w:rPr>
      </w:pPr>
      <w:r w:rsidRPr="009425AF">
        <w:rPr>
          <w:rFonts w:ascii="Times New Roman" w:eastAsia="Calibri" w:hAnsi="Times New Roman" w:cs="Times New Roman"/>
          <w:b/>
          <w:bCs/>
        </w:rPr>
        <w:t>A tantárgy tananyagának leírása, tematika. Description of the subject, curriculum (magyarul, angolul - English):</w:t>
      </w:r>
    </w:p>
    <w:p w:rsidR="009425AF" w:rsidRPr="009425AF" w:rsidRDefault="009425AF" w:rsidP="00980876">
      <w:pPr>
        <w:numPr>
          <w:ilvl w:val="1"/>
          <w:numId w:val="851"/>
        </w:numPr>
        <w:tabs>
          <w:tab w:val="num" w:pos="993"/>
        </w:tabs>
        <w:spacing w:before="120" w:after="0" w:line="240" w:lineRule="auto"/>
        <w:ind w:left="993" w:hanging="567"/>
        <w:jc w:val="both"/>
        <w:rPr>
          <w:rFonts w:ascii="Times New Roman" w:eastAsia="Calibri" w:hAnsi="Times New Roman" w:cs="Times New Roman"/>
          <w:lang w:eastAsia="hu-HU"/>
        </w:rPr>
      </w:pPr>
      <w:r w:rsidRPr="009425AF">
        <w:rPr>
          <w:rFonts w:ascii="Times New Roman" w:eastAsia="Calibri" w:hAnsi="Times New Roman" w:cs="Times New Roman"/>
          <w:lang w:eastAsia="hu-HU"/>
        </w:rPr>
        <w:t xml:space="preserve">Bemutatkozás, család, napirend </w:t>
      </w:r>
      <w:r w:rsidRPr="009425AF">
        <w:rPr>
          <w:rFonts w:ascii="Times New Roman" w:eastAsia="Calibri" w:hAnsi="Times New Roman" w:cs="Times New Roman"/>
          <w:i/>
          <w:lang w:eastAsia="hu-HU"/>
        </w:rPr>
        <w:t>(Introduction, family, daily routine)</w:t>
      </w:r>
    </w:p>
    <w:p w:rsidR="009425AF" w:rsidRPr="009425AF" w:rsidRDefault="009425AF" w:rsidP="00980876">
      <w:pPr>
        <w:numPr>
          <w:ilvl w:val="1"/>
          <w:numId w:val="851"/>
        </w:numPr>
        <w:tabs>
          <w:tab w:val="num" w:pos="993"/>
        </w:tabs>
        <w:spacing w:before="120" w:after="0" w:line="240" w:lineRule="auto"/>
        <w:ind w:left="993" w:hanging="567"/>
        <w:jc w:val="both"/>
        <w:rPr>
          <w:rFonts w:ascii="Times New Roman" w:eastAsia="Calibri" w:hAnsi="Times New Roman" w:cs="Times New Roman"/>
          <w:lang w:eastAsia="hu-HU"/>
        </w:rPr>
      </w:pPr>
      <w:r w:rsidRPr="009425AF">
        <w:rPr>
          <w:rFonts w:ascii="Times New Roman" w:eastAsia="Calibri" w:hAnsi="Times New Roman" w:cs="Times New Roman"/>
          <w:lang w:eastAsia="hu-HU"/>
        </w:rPr>
        <w:t xml:space="preserve">Vásárlás (élelmiszer és ruhanemű) </w:t>
      </w:r>
      <w:r w:rsidRPr="009425AF">
        <w:rPr>
          <w:rFonts w:ascii="Times New Roman" w:eastAsia="Calibri" w:hAnsi="Times New Roman" w:cs="Times New Roman"/>
          <w:i/>
          <w:lang w:eastAsia="hu-HU"/>
        </w:rPr>
        <w:t>((Shopping (food and clothes))</w:t>
      </w:r>
    </w:p>
    <w:p w:rsidR="009425AF" w:rsidRPr="009425AF" w:rsidRDefault="009425AF" w:rsidP="00980876">
      <w:pPr>
        <w:numPr>
          <w:ilvl w:val="1"/>
          <w:numId w:val="851"/>
        </w:numPr>
        <w:tabs>
          <w:tab w:val="num" w:pos="993"/>
        </w:tabs>
        <w:spacing w:before="120" w:after="0" w:line="240" w:lineRule="auto"/>
        <w:ind w:left="993" w:hanging="567"/>
        <w:jc w:val="both"/>
        <w:rPr>
          <w:rFonts w:ascii="Times New Roman" w:eastAsia="Calibri" w:hAnsi="Times New Roman" w:cs="Times New Roman"/>
          <w:lang w:eastAsia="hu-HU"/>
        </w:rPr>
      </w:pPr>
      <w:r w:rsidRPr="009425AF">
        <w:rPr>
          <w:rFonts w:ascii="Times New Roman" w:eastAsia="Calibri" w:hAnsi="Times New Roman" w:cs="Times New Roman"/>
          <w:lang w:eastAsia="hu-HU"/>
        </w:rPr>
        <w:t xml:space="preserve">Lakás, lakókörnyezet </w:t>
      </w:r>
      <w:r w:rsidRPr="009425AF">
        <w:rPr>
          <w:rFonts w:ascii="Times New Roman" w:eastAsia="Calibri" w:hAnsi="Times New Roman" w:cs="Times New Roman"/>
          <w:i/>
          <w:lang w:eastAsia="hu-HU"/>
        </w:rPr>
        <w:t>(Housing, neighbourhood)</w:t>
      </w:r>
    </w:p>
    <w:p w:rsidR="009425AF" w:rsidRPr="009425AF" w:rsidRDefault="009425AF" w:rsidP="00980876">
      <w:pPr>
        <w:numPr>
          <w:ilvl w:val="1"/>
          <w:numId w:val="851"/>
        </w:numPr>
        <w:tabs>
          <w:tab w:val="num" w:pos="993"/>
        </w:tabs>
        <w:spacing w:before="120" w:after="0" w:line="240" w:lineRule="auto"/>
        <w:ind w:left="993" w:hanging="567"/>
        <w:jc w:val="both"/>
        <w:rPr>
          <w:rFonts w:ascii="Times New Roman" w:eastAsia="Calibri" w:hAnsi="Times New Roman" w:cs="Times New Roman"/>
          <w:lang w:eastAsia="hu-HU"/>
        </w:rPr>
      </w:pPr>
      <w:r w:rsidRPr="009425AF">
        <w:rPr>
          <w:rFonts w:ascii="Times New Roman" w:eastAsia="Calibri" w:hAnsi="Times New Roman" w:cs="Times New Roman"/>
          <w:lang w:eastAsia="hu-HU"/>
        </w:rPr>
        <w:t xml:space="preserve">Munka, munkahely, foglalkozások </w:t>
      </w:r>
      <w:r w:rsidRPr="009425AF">
        <w:rPr>
          <w:rFonts w:ascii="Times New Roman" w:eastAsia="Calibri" w:hAnsi="Times New Roman" w:cs="Times New Roman"/>
          <w:i/>
          <w:lang w:eastAsia="hu-HU"/>
        </w:rPr>
        <w:t>(Jobs, workplace, career goals)</w:t>
      </w:r>
    </w:p>
    <w:p w:rsidR="009425AF" w:rsidRPr="009425AF" w:rsidRDefault="009425AF" w:rsidP="00980876">
      <w:pPr>
        <w:numPr>
          <w:ilvl w:val="1"/>
          <w:numId w:val="851"/>
        </w:numPr>
        <w:tabs>
          <w:tab w:val="num" w:pos="993"/>
        </w:tabs>
        <w:spacing w:before="120" w:after="0" w:line="240" w:lineRule="auto"/>
        <w:ind w:left="993" w:hanging="567"/>
        <w:jc w:val="both"/>
        <w:rPr>
          <w:rFonts w:ascii="Times New Roman" w:eastAsia="Calibri" w:hAnsi="Times New Roman" w:cs="Times New Roman"/>
          <w:lang w:eastAsia="hu-HU"/>
        </w:rPr>
      </w:pPr>
      <w:r w:rsidRPr="009425AF">
        <w:rPr>
          <w:rFonts w:ascii="Times New Roman" w:eastAsia="Calibri" w:hAnsi="Times New Roman" w:cs="Times New Roman"/>
          <w:lang w:eastAsia="hu-HU"/>
        </w:rPr>
        <w:t xml:space="preserve">Közlekedés, utazás, nyaralás </w:t>
      </w:r>
      <w:r w:rsidRPr="009425AF">
        <w:rPr>
          <w:rFonts w:ascii="Times New Roman" w:eastAsia="Calibri" w:hAnsi="Times New Roman" w:cs="Times New Roman"/>
          <w:i/>
          <w:lang w:eastAsia="hu-HU"/>
        </w:rPr>
        <w:t>(Transport, travelling, holiday)</w:t>
      </w:r>
    </w:p>
    <w:p w:rsidR="009425AF" w:rsidRPr="009425AF" w:rsidRDefault="009425AF" w:rsidP="00980876">
      <w:pPr>
        <w:numPr>
          <w:ilvl w:val="1"/>
          <w:numId w:val="851"/>
        </w:numPr>
        <w:tabs>
          <w:tab w:val="num" w:pos="993"/>
        </w:tabs>
        <w:spacing w:before="120" w:after="0" w:line="240" w:lineRule="auto"/>
        <w:ind w:left="993" w:hanging="567"/>
        <w:jc w:val="both"/>
        <w:rPr>
          <w:rFonts w:ascii="Times New Roman" w:eastAsia="Calibri" w:hAnsi="Times New Roman" w:cs="Times New Roman"/>
          <w:i/>
          <w:lang w:eastAsia="hu-HU"/>
        </w:rPr>
      </w:pPr>
      <w:r w:rsidRPr="009425AF">
        <w:rPr>
          <w:rFonts w:ascii="Times New Roman" w:eastAsia="Calibri" w:hAnsi="Times New Roman" w:cs="Times New Roman"/>
          <w:lang w:eastAsia="hu-HU"/>
        </w:rPr>
        <w:t xml:space="preserve">Szolgáltatások (telefon, bank, posta, étkezés, étterem) </w:t>
      </w:r>
      <w:r w:rsidRPr="009425AF">
        <w:rPr>
          <w:rFonts w:ascii="Times New Roman" w:eastAsia="Calibri" w:hAnsi="Times New Roman" w:cs="Times New Roman"/>
          <w:i/>
          <w:lang w:eastAsia="hu-HU"/>
        </w:rPr>
        <w:t>((Services (phoning, bank, post office, eating, at the restaurant))</w:t>
      </w:r>
    </w:p>
    <w:p w:rsidR="009425AF" w:rsidRPr="009425AF" w:rsidRDefault="009425AF" w:rsidP="00980876">
      <w:pPr>
        <w:numPr>
          <w:ilvl w:val="1"/>
          <w:numId w:val="851"/>
        </w:numPr>
        <w:tabs>
          <w:tab w:val="num" w:pos="993"/>
        </w:tabs>
        <w:spacing w:before="120" w:after="0" w:line="240" w:lineRule="auto"/>
        <w:ind w:left="993" w:hanging="567"/>
        <w:jc w:val="both"/>
        <w:rPr>
          <w:rFonts w:ascii="Times New Roman" w:eastAsia="Calibri" w:hAnsi="Times New Roman" w:cs="Times New Roman"/>
          <w:i/>
          <w:lang w:eastAsia="hu-HU"/>
        </w:rPr>
      </w:pPr>
      <w:r w:rsidRPr="009425AF">
        <w:rPr>
          <w:rFonts w:ascii="Times New Roman" w:eastAsia="Calibri" w:hAnsi="Times New Roman" w:cs="Times New Roman"/>
          <w:lang w:eastAsia="hu-HU"/>
        </w:rPr>
        <w:t xml:space="preserve">Tanulás, iskolák, tantárgyak, nyelvtanulás </w:t>
      </w:r>
      <w:r w:rsidRPr="009425AF">
        <w:rPr>
          <w:rFonts w:ascii="Times New Roman" w:eastAsia="Calibri" w:hAnsi="Times New Roman" w:cs="Times New Roman"/>
          <w:i/>
          <w:lang w:eastAsia="hu-HU"/>
        </w:rPr>
        <w:t>(Education, schools, subjects, language learning)</w:t>
      </w:r>
    </w:p>
    <w:p w:rsidR="009425AF" w:rsidRPr="009425AF" w:rsidRDefault="009425AF" w:rsidP="00980876">
      <w:pPr>
        <w:numPr>
          <w:ilvl w:val="1"/>
          <w:numId w:val="851"/>
        </w:numPr>
        <w:tabs>
          <w:tab w:val="num" w:pos="993"/>
        </w:tabs>
        <w:spacing w:before="120" w:after="0" w:line="240" w:lineRule="auto"/>
        <w:ind w:left="993" w:hanging="567"/>
        <w:jc w:val="both"/>
        <w:rPr>
          <w:rFonts w:ascii="Times New Roman" w:eastAsia="Calibri" w:hAnsi="Times New Roman" w:cs="Times New Roman"/>
          <w:i/>
          <w:lang w:eastAsia="hu-HU"/>
        </w:rPr>
      </w:pPr>
      <w:r w:rsidRPr="009425AF">
        <w:rPr>
          <w:rFonts w:ascii="Times New Roman" w:eastAsia="Calibri" w:hAnsi="Times New Roman" w:cs="Times New Roman"/>
          <w:lang w:eastAsia="hu-HU"/>
        </w:rPr>
        <w:t xml:space="preserve">Egészség, betegségek. Tünetek, kezelések. Az egészséges életmód, az egészséges táplálkozás, edzettség </w:t>
      </w:r>
      <w:r w:rsidRPr="009425AF">
        <w:rPr>
          <w:rFonts w:ascii="Times New Roman" w:eastAsia="Calibri" w:hAnsi="Times New Roman" w:cs="Times New Roman"/>
          <w:i/>
          <w:lang w:eastAsia="hu-HU"/>
        </w:rPr>
        <w:t>(Health,illnesses. Sympones and treatments. Healthy lifestyle, balanced diet, fitness)</w:t>
      </w:r>
    </w:p>
    <w:p w:rsidR="009425AF" w:rsidRPr="009425AF" w:rsidRDefault="009425AF" w:rsidP="00980876">
      <w:pPr>
        <w:numPr>
          <w:ilvl w:val="1"/>
          <w:numId w:val="851"/>
        </w:numPr>
        <w:tabs>
          <w:tab w:val="num" w:pos="993"/>
        </w:tabs>
        <w:spacing w:before="120" w:after="0" w:line="240" w:lineRule="auto"/>
        <w:ind w:left="993" w:hanging="567"/>
        <w:jc w:val="both"/>
        <w:rPr>
          <w:rFonts w:ascii="Times New Roman" w:eastAsia="Calibri" w:hAnsi="Times New Roman" w:cs="Times New Roman"/>
          <w:i/>
          <w:lang w:eastAsia="hu-HU"/>
        </w:rPr>
      </w:pPr>
      <w:r w:rsidRPr="009425AF">
        <w:rPr>
          <w:rFonts w:ascii="Times New Roman" w:eastAsia="Calibri" w:hAnsi="Times New Roman" w:cs="Times New Roman"/>
          <w:lang w:eastAsia="hu-HU"/>
        </w:rPr>
        <w:t xml:space="preserve">Szabadidő, szórakozás, hobbi, sport </w:t>
      </w:r>
      <w:r w:rsidRPr="009425AF">
        <w:rPr>
          <w:rFonts w:ascii="Times New Roman" w:eastAsia="Calibri" w:hAnsi="Times New Roman" w:cs="Times New Roman"/>
          <w:i/>
          <w:lang w:eastAsia="hu-HU"/>
        </w:rPr>
        <w:t>(Leisure time, entertainment, hobbies, sport)</w:t>
      </w:r>
    </w:p>
    <w:p w:rsidR="009425AF" w:rsidRPr="009425AF" w:rsidRDefault="009425AF" w:rsidP="00980876">
      <w:pPr>
        <w:numPr>
          <w:ilvl w:val="1"/>
          <w:numId w:val="851"/>
        </w:numPr>
        <w:tabs>
          <w:tab w:val="num" w:pos="993"/>
        </w:tabs>
        <w:spacing w:before="120" w:after="0" w:line="240" w:lineRule="auto"/>
        <w:ind w:left="993" w:hanging="567"/>
        <w:jc w:val="both"/>
        <w:rPr>
          <w:rFonts w:ascii="Times New Roman" w:eastAsia="Calibri" w:hAnsi="Times New Roman" w:cs="Times New Roman"/>
          <w:i/>
          <w:lang w:eastAsia="hu-HU"/>
        </w:rPr>
      </w:pPr>
      <w:r w:rsidRPr="009425AF">
        <w:rPr>
          <w:rFonts w:ascii="Times New Roman" w:eastAsia="Calibri" w:hAnsi="Times New Roman" w:cs="Times New Roman"/>
          <w:lang w:eastAsia="hu-HU"/>
        </w:rPr>
        <w:t xml:space="preserve">Katonai kiképzés, tisztképzés </w:t>
      </w:r>
      <w:r w:rsidRPr="009425AF">
        <w:rPr>
          <w:rFonts w:ascii="Times New Roman" w:eastAsia="Calibri" w:hAnsi="Times New Roman" w:cs="Times New Roman"/>
          <w:i/>
          <w:lang w:eastAsia="hu-HU"/>
        </w:rPr>
        <w:t>(Military training, officer training)</w:t>
      </w:r>
    </w:p>
    <w:p w:rsidR="009425AF" w:rsidRPr="009425AF" w:rsidRDefault="009425AF" w:rsidP="00980876">
      <w:pPr>
        <w:numPr>
          <w:ilvl w:val="1"/>
          <w:numId w:val="851"/>
        </w:numPr>
        <w:tabs>
          <w:tab w:val="num" w:pos="993"/>
        </w:tabs>
        <w:spacing w:before="120" w:after="0" w:line="240" w:lineRule="auto"/>
        <w:ind w:left="993" w:hanging="567"/>
        <w:jc w:val="both"/>
        <w:rPr>
          <w:rFonts w:ascii="Times New Roman" w:eastAsia="Calibri" w:hAnsi="Times New Roman" w:cs="Times New Roman"/>
          <w:lang w:eastAsia="hu-HU"/>
        </w:rPr>
      </w:pPr>
      <w:r w:rsidRPr="009425AF">
        <w:rPr>
          <w:rFonts w:ascii="Times New Roman" w:eastAsia="Calibri" w:hAnsi="Times New Roman" w:cs="Times New Roman"/>
          <w:lang w:eastAsia="hu-HU"/>
        </w:rPr>
        <w:t xml:space="preserve">Az egyenruha és felszerelés. Jelzések az egyenruhán </w:t>
      </w:r>
      <w:r w:rsidRPr="009425AF">
        <w:rPr>
          <w:rFonts w:ascii="Times New Roman" w:eastAsia="Calibri" w:hAnsi="Times New Roman" w:cs="Times New Roman"/>
          <w:i/>
          <w:lang w:eastAsia="hu-HU"/>
        </w:rPr>
        <w:t>(Uniform, equipment, insignia)</w:t>
      </w:r>
    </w:p>
    <w:p w:rsidR="009425AF" w:rsidRPr="009425AF" w:rsidRDefault="009425AF" w:rsidP="00980876">
      <w:pPr>
        <w:widowControl w:val="0"/>
        <w:numPr>
          <w:ilvl w:val="0"/>
          <w:numId w:val="851"/>
        </w:numPr>
        <w:spacing w:before="120" w:after="120" w:line="240" w:lineRule="auto"/>
        <w:jc w:val="both"/>
        <w:rPr>
          <w:rFonts w:ascii="Times New Roman" w:eastAsia="Calibri" w:hAnsi="Times New Roman" w:cs="Times New Roman"/>
          <w:bCs/>
        </w:rPr>
      </w:pPr>
      <w:r w:rsidRPr="009425AF">
        <w:rPr>
          <w:rFonts w:ascii="Times New Roman" w:eastAsia="Calibri" w:hAnsi="Times New Roman" w:cs="Times New Roman"/>
          <w:b/>
          <w:bCs/>
        </w:rPr>
        <w:t xml:space="preserve">A tantárgy meghirdetésének gyakorisága/a tantervben történő félévi elhelyezkedése: </w:t>
      </w:r>
      <w:r w:rsidRPr="009425AF">
        <w:rPr>
          <w:rFonts w:ascii="Times New Roman" w:eastAsia="Calibri" w:hAnsi="Times New Roman" w:cs="Times New Roman"/>
          <w:bCs/>
        </w:rPr>
        <w:t xml:space="preserve">5., 6., </w:t>
      </w:r>
      <w:r w:rsidRPr="009425AF">
        <w:rPr>
          <w:rFonts w:ascii="Times New Roman" w:eastAsia="Calibri" w:hAnsi="Times New Roman" w:cs="Times New Roman"/>
          <w:bCs/>
          <w:color w:val="000000"/>
        </w:rPr>
        <w:t xml:space="preserve">7. </w:t>
      </w:r>
      <w:r w:rsidRPr="009425AF">
        <w:rPr>
          <w:rFonts w:ascii="Times New Roman" w:eastAsia="Calibri" w:hAnsi="Times New Roman" w:cs="Times New Roman"/>
          <w:bCs/>
          <w:color w:val="000000"/>
        </w:rPr>
        <w:lastRenderedPageBreak/>
        <w:t>és 8. tanulmányi félévben (Tanszék döntés alapján)</w:t>
      </w:r>
    </w:p>
    <w:p w:rsidR="009425AF" w:rsidRPr="009425AF" w:rsidRDefault="009425AF" w:rsidP="00980876">
      <w:pPr>
        <w:numPr>
          <w:ilvl w:val="0"/>
          <w:numId w:val="851"/>
        </w:numPr>
        <w:tabs>
          <w:tab w:val="right" w:pos="900"/>
          <w:tab w:val="center" w:pos="4536"/>
          <w:tab w:val="right" w:pos="9072"/>
        </w:tabs>
        <w:spacing w:before="120" w:after="0" w:line="240" w:lineRule="auto"/>
        <w:jc w:val="both"/>
        <w:rPr>
          <w:rFonts w:ascii="Times New Roman" w:eastAsia="Calibri" w:hAnsi="Times New Roman" w:cs="Times New Roman"/>
          <w:bCs/>
        </w:rPr>
      </w:pPr>
      <w:r w:rsidRPr="009425AF">
        <w:rPr>
          <w:rFonts w:ascii="Times New Roman" w:eastAsia="Calibri" w:hAnsi="Times New Roman" w:cs="Times New Roman"/>
          <w:b/>
          <w:bCs/>
        </w:rPr>
        <w:t>A foglalkozásokon való részvétel követelményei, elfogadható hiányzások mértéke, távolmaradás pótlásának lehetősége:</w:t>
      </w:r>
      <w:r w:rsidRPr="009425AF">
        <w:rPr>
          <w:rFonts w:ascii="Times New Roman" w:eastAsia="Calibri" w:hAnsi="Times New Roman" w:cs="Times New Roman"/>
          <w:bCs/>
        </w:rPr>
        <w:t xml:space="preserve"> A hallgatónak a tanórák legalább 75 %-án jelen kell lennie, 25 % -ot meghaladó hiányzás esetén a félév teljesítése nem irható alá. A hallgató köteles az előadások és a gyakorlat anyagát beszerezni, abból önállóan felkészülni. Amennyiben a hallgató hiányzása meghaladja a 25%-ot, a hallgató köteles a félév végén a tanár által meghatározott témákból szóban beszámolni az aláírás teljesítése érdekében.</w:t>
      </w:r>
    </w:p>
    <w:p w:rsidR="009425AF" w:rsidRPr="009425AF" w:rsidRDefault="009425AF" w:rsidP="00980876">
      <w:pPr>
        <w:numPr>
          <w:ilvl w:val="0"/>
          <w:numId w:val="851"/>
        </w:numPr>
        <w:tabs>
          <w:tab w:val="right" w:pos="900"/>
        </w:tabs>
        <w:spacing w:before="120" w:after="0" w:line="240" w:lineRule="auto"/>
        <w:jc w:val="both"/>
        <w:rPr>
          <w:rFonts w:ascii="Times New Roman" w:eastAsia="Calibri" w:hAnsi="Times New Roman" w:cs="Times New Roman"/>
          <w:bCs/>
        </w:rPr>
      </w:pPr>
      <w:r w:rsidRPr="009425AF">
        <w:rPr>
          <w:rFonts w:ascii="Times New Roman" w:eastAsia="Calibri" w:hAnsi="Times New Roman" w:cs="Times New Roman"/>
          <w:b/>
        </w:rPr>
        <w:t>Félévközi feladatok, ismeretek ellenőrzésének rendje:</w:t>
      </w:r>
      <w:r w:rsidRPr="009425AF">
        <w:rPr>
          <w:rFonts w:ascii="Times New Roman" w:eastAsia="Calibri" w:hAnsi="Times New Roman" w:cs="Times New Roman"/>
          <w:bCs/>
        </w:rPr>
        <w:t xml:space="preserve"> </w:t>
      </w:r>
      <w:r w:rsidRPr="009425AF">
        <w:rPr>
          <w:rFonts w:ascii="Times New Roman" w:eastAsia="Calibri" w:hAnsi="Times New Roman" w:cs="Times New Roman"/>
        </w:rPr>
        <w:t>A foglakozás anyagainak és a kötelező irodalom feldolgozása, 2 zárthelyi dolgozat és egy szóbeli beszámoló legalább 60 %-os értékeléssel történő teljesítése a tanár előzetes bejelentése alapján, a foglalkozások ismereteiből. A zárthelyi dolgozat és a szóbeli beszámoló értékelése: ötfokozatú értékelés – (a helyes válaszok aránya 0-60% elégtelen; 61-70% elégséges; 71-80% közepes; 81-90% jó; 91-100% jeles osztályzat). Eredménytelen zárthelyi dolgozat és a szóbeli beszámoló kétszer javítható a tanárral egyeztetett időpontban.</w:t>
      </w:r>
    </w:p>
    <w:p w:rsidR="009425AF" w:rsidRPr="009425AF" w:rsidRDefault="009425AF" w:rsidP="00980876">
      <w:pPr>
        <w:numPr>
          <w:ilvl w:val="0"/>
          <w:numId w:val="851"/>
        </w:numPr>
        <w:tabs>
          <w:tab w:val="right" w:pos="900"/>
        </w:tabs>
        <w:spacing w:before="120" w:after="0" w:line="240" w:lineRule="auto"/>
        <w:jc w:val="both"/>
        <w:rPr>
          <w:rFonts w:ascii="Times New Roman" w:eastAsia="Calibri" w:hAnsi="Times New Roman" w:cs="Times New Roman"/>
          <w:bCs/>
        </w:rPr>
      </w:pPr>
      <w:r w:rsidRPr="009425AF">
        <w:rPr>
          <w:rFonts w:ascii="Times New Roman" w:eastAsia="Calibri" w:hAnsi="Times New Roman" w:cs="Times New Roman"/>
          <w:b/>
          <w:bCs/>
        </w:rPr>
        <w:t xml:space="preserve">Az értékelés, az aláírás és a kreditek megszerzésének pontos feltételei </w:t>
      </w:r>
    </w:p>
    <w:p w:rsidR="009425AF" w:rsidRPr="009425AF" w:rsidRDefault="009425AF" w:rsidP="00980876">
      <w:pPr>
        <w:numPr>
          <w:ilvl w:val="1"/>
          <w:numId w:val="851"/>
        </w:numPr>
        <w:tabs>
          <w:tab w:val="right" w:pos="900"/>
        </w:tabs>
        <w:spacing w:before="120" w:after="0" w:line="240" w:lineRule="auto"/>
        <w:jc w:val="both"/>
        <w:rPr>
          <w:rFonts w:ascii="Times New Roman" w:eastAsia="Calibri" w:hAnsi="Times New Roman" w:cs="Times New Roman"/>
          <w:bCs/>
        </w:rPr>
      </w:pPr>
      <w:r w:rsidRPr="009425AF">
        <w:rPr>
          <w:rFonts w:ascii="Times New Roman" w:eastAsia="Calibri" w:hAnsi="Times New Roman" w:cs="Times New Roman"/>
          <w:b/>
        </w:rPr>
        <w:t xml:space="preserve">Az aláírás megszerzésének feltételei: </w:t>
      </w:r>
      <w:r w:rsidRPr="009425AF">
        <w:rPr>
          <w:rFonts w:ascii="Times New Roman" w:eastAsia="Calibri" w:hAnsi="Times New Roman" w:cs="Times New Roman"/>
        </w:rPr>
        <w:t>Az aláírás megszerzésének feltétele a 14. pontban meghatározott arányú részvétel a foglalkozásokon és a 15. pontban meghatározott félévközi feladatok legalább elégséges teljesítése.</w:t>
      </w:r>
    </w:p>
    <w:p w:rsidR="009425AF" w:rsidRPr="009425AF" w:rsidRDefault="009425AF" w:rsidP="00980876">
      <w:pPr>
        <w:numPr>
          <w:ilvl w:val="1"/>
          <w:numId w:val="851"/>
        </w:numPr>
        <w:tabs>
          <w:tab w:val="right" w:pos="900"/>
        </w:tabs>
        <w:spacing w:before="120" w:after="0" w:line="240" w:lineRule="auto"/>
        <w:jc w:val="both"/>
        <w:rPr>
          <w:rFonts w:ascii="Times New Roman" w:eastAsia="Calibri" w:hAnsi="Times New Roman" w:cs="Times New Roman"/>
          <w:bCs/>
        </w:rPr>
      </w:pPr>
      <w:r w:rsidRPr="009425AF">
        <w:rPr>
          <w:rFonts w:ascii="Times New Roman" w:eastAsia="Calibri" w:hAnsi="Times New Roman" w:cs="Times New Roman"/>
          <w:b/>
        </w:rPr>
        <w:t xml:space="preserve"> Az értékelés: Az értékelés: </w:t>
      </w:r>
      <w:r w:rsidRPr="009425AF">
        <w:rPr>
          <w:rFonts w:ascii="Times New Roman" w:eastAsia="Calibri" w:hAnsi="Times New Roman" w:cs="Times New Roman"/>
        </w:rPr>
        <w:t xml:space="preserve">Az ötfokozatú évközi jegy a zárthelyi dolgozatok, valamint a szóbeli beszámoló eredményeinek átlaga alapján kerül meghatározásra. </w:t>
      </w:r>
    </w:p>
    <w:p w:rsidR="009425AF" w:rsidRPr="009425AF" w:rsidRDefault="009425AF" w:rsidP="00980876">
      <w:pPr>
        <w:widowControl w:val="0"/>
        <w:numPr>
          <w:ilvl w:val="1"/>
          <w:numId w:val="851"/>
        </w:numPr>
        <w:tabs>
          <w:tab w:val="left" w:pos="709"/>
          <w:tab w:val="left" w:pos="993"/>
        </w:tabs>
        <w:spacing w:before="120" w:after="120" w:line="240" w:lineRule="auto"/>
        <w:jc w:val="both"/>
        <w:rPr>
          <w:rFonts w:ascii="Times New Roman" w:eastAsia="Calibri" w:hAnsi="Times New Roman" w:cs="Times New Roman"/>
        </w:rPr>
      </w:pPr>
      <w:r w:rsidRPr="009425AF">
        <w:rPr>
          <w:rFonts w:ascii="Times New Roman" w:eastAsia="Calibri" w:hAnsi="Times New Roman" w:cs="Times New Roman"/>
          <w:b/>
        </w:rPr>
        <w:t>A kreditek megszerzésének feltételei:</w:t>
      </w:r>
      <w:r w:rsidRPr="009425AF">
        <w:rPr>
          <w:rFonts w:ascii="Times New Roman" w:eastAsia="Calibri" w:hAnsi="Times New Roman" w:cs="Times New Roman"/>
        </w:rPr>
        <w:t xml:space="preserve"> A kreditek megszerzésének feltétele az aláírás megszerzése és legalább elégséges évközi érdemjegy.</w:t>
      </w:r>
    </w:p>
    <w:p w:rsidR="009425AF" w:rsidRPr="009425AF" w:rsidRDefault="009425AF" w:rsidP="00980876">
      <w:pPr>
        <w:numPr>
          <w:ilvl w:val="0"/>
          <w:numId w:val="851"/>
        </w:numPr>
        <w:tabs>
          <w:tab w:val="right" w:pos="900"/>
        </w:tabs>
        <w:spacing w:before="120" w:after="0" w:line="240" w:lineRule="auto"/>
        <w:jc w:val="both"/>
        <w:rPr>
          <w:rFonts w:ascii="Times New Roman" w:eastAsia="Calibri" w:hAnsi="Times New Roman" w:cs="Times New Roman"/>
          <w:bCs/>
          <w:lang w:eastAsia="hu-HU"/>
        </w:rPr>
      </w:pPr>
      <w:r w:rsidRPr="009425AF">
        <w:rPr>
          <w:rFonts w:ascii="Times New Roman" w:eastAsia="Calibri" w:hAnsi="Times New Roman" w:cs="Times New Roman"/>
          <w:b/>
          <w:bCs/>
          <w:lang w:eastAsia="hu-HU"/>
        </w:rPr>
        <w:t>Irodalomjegyzék:</w:t>
      </w:r>
    </w:p>
    <w:p w:rsidR="009425AF" w:rsidRPr="009425AF" w:rsidRDefault="009425AF" w:rsidP="00980876">
      <w:pPr>
        <w:numPr>
          <w:ilvl w:val="1"/>
          <w:numId w:val="851"/>
        </w:numPr>
        <w:tabs>
          <w:tab w:val="right" w:pos="900"/>
          <w:tab w:val="center" w:pos="4536"/>
          <w:tab w:val="right" w:pos="9072"/>
        </w:tabs>
        <w:spacing w:before="120" w:after="0" w:line="240" w:lineRule="auto"/>
        <w:jc w:val="both"/>
        <w:rPr>
          <w:rFonts w:ascii="Times New Roman" w:eastAsia="Calibri" w:hAnsi="Times New Roman" w:cs="Times New Roman"/>
          <w:bCs/>
          <w:lang w:eastAsia="hu-HU"/>
        </w:rPr>
      </w:pPr>
      <w:r w:rsidRPr="009425AF">
        <w:rPr>
          <w:rFonts w:ascii="Times New Roman" w:eastAsia="Calibri" w:hAnsi="Times New Roman" w:cs="Times New Roman"/>
          <w:bCs/>
          <w:lang w:eastAsia="hu-HU"/>
        </w:rPr>
        <w:t>Kötelező irodalom:</w:t>
      </w:r>
    </w:p>
    <w:p w:rsidR="009425AF" w:rsidRPr="009425AF" w:rsidRDefault="009425AF" w:rsidP="009425AF">
      <w:pPr>
        <w:tabs>
          <w:tab w:val="right" w:pos="900"/>
          <w:tab w:val="center" w:pos="4536"/>
          <w:tab w:val="right" w:pos="9072"/>
        </w:tabs>
        <w:spacing w:before="120" w:after="0" w:line="240" w:lineRule="auto"/>
        <w:ind w:left="567"/>
        <w:jc w:val="both"/>
        <w:rPr>
          <w:rFonts w:ascii="Times New Roman" w:eastAsia="Calibri" w:hAnsi="Times New Roman" w:cs="Times New Roman"/>
          <w:bCs/>
          <w:lang w:eastAsia="hu-HU"/>
        </w:rPr>
      </w:pPr>
      <w:r w:rsidRPr="009425AF">
        <w:rPr>
          <w:rFonts w:ascii="Times New Roman" w:eastAsia="Calibri" w:hAnsi="Times New Roman" w:cs="Times New Roman"/>
          <w:bCs/>
          <w:lang w:eastAsia="hu-HU"/>
        </w:rPr>
        <w:t>1. Vida Enikő: Le nouvel Allons-y I. Lexika Kiadó, Székesfehérvár, 2017 – Francia nyelvkönyv kezdőknek (A1 és A2 szint) ISBN: 9789639357921</w:t>
      </w:r>
    </w:p>
    <w:p w:rsidR="009425AF" w:rsidRPr="009425AF" w:rsidRDefault="009425AF" w:rsidP="00980876">
      <w:pPr>
        <w:numPr>
          <w:ilvl w:val="1"/>
          <w:numId w:val="851"/>
        </w:numPr>
        <w:tabs>
          <w:tab w:val="right" w:pos="900"/>
          <w:tab w:val="center" w:pos="4536"/>
          <w:tab w:val="right" w:pos="9072"/>
        </w:tabs>
        <w:spacing w:before="120" w:after="0" w:line="240" w:lineRule="auto"/>
        <w:jc w:val="both"/>
        <w:rPr>
          <w:rFonts w:ascii="Times New Roman" w:eastAsia="Calibri" w:hAnsi="Times New Roman" w:cs="Times New Roman"/>
          <w:bCs/>
          <w:lang w:eastAsia="hu-HU"/>
        </w:rPr>
      </w:pPr>
      <w:r w:rsidRPr="009425AF">
        <w:rPr>
          <w:rFonts w:ascii="Times New Roman" w:eastAsia="Calibri" w:hAnsi="Times New Roman" w:cs="Times New Roman"/>
          <w:bCs/>
          <w:lang w:eastAsia="hu-HU"/>
        </w:rPr>
        <w:t>Ajánlott irodalom:</w:t>
      </w:r>
    </w:p>
    <w:p w:rsidR="009425AF" w:rsidRPr="009425AF" w:rsidRDefault="009425AF" w:rsidP="009425AF">
      <w:pPr>
        <w:tabs>
          <w:tab w:val="right" w:pos="900"/>
          <w:tab w:val="center" w:pos="4536"/>
          <w:tab w:val="right" w:pos="9072"/>
        </w:tabs>
        <w:spacing w:before="120" w:after="0" w:line="240" w:lineRule="auto"/>
        <w:ind w:left="567"/>
        <w:jc w:val="both"/>
        <w:rPr>
          <w:rFonts w:ascii="Times New Roman" w:eastAsia="Calibri" w:hAnsi="Times New Roman" w:cs="Times New Roman"/>
          <w:bCs/>
          <w:lang w:eastAsia="hu-HU"/>
        </w:rPr>
      </w:pPr>
      <w:r w:rsidRPr="009425AF">
        <w:rPr>
          <w:rFonts w:ascii="Times New Roman" w:eastAsia="Calibri" w:hAnsi="Times New Roman" w:cs="Times New Roman"/>
          <w:bCs/>
          <w:lang w:eastAsia="hu-HU"/>
        </w:rPr>
        <w:t>1. Pálfy Miklós Francia-magyar, Magyar-francia tanulószótár Maxim Könyvkiadó, Szeged, 2017 ISBN: 9789632618944</w:t>
      </w:r>
    </w:p>
    <w:p w:rsidR="009425AF" w:rsidRPr="009425AF" w:rsidRDefault="009425AF" w:rsidP="009425AF">
      <w:pPr>
        <w:tabs>
          <w:tab w:val="right" w:pos="900"/>
        </w:tabs>
        <w:spacing w:before="120" w:after="0" w:line="240" w:lineRule="auto"/>
        <w:jc w:val="both"/>
        <w:rPr>
          <w:rFonts w:ascii="Times New Roman" w:eastAsia="Calibri" w:hAnsi="Times New Roman" w:cs="Times New Roman"/>
          <w:bCs/>
        </w:rPr>
      </w:pPr>
    </w:p>
    <w:p w:rsidR="009425AF" w:rsidRPr="009425AF" w:rsidRDefault="009425AF" w:rsidP="009425AF">
      <w:pPr>
        <w:tabs>
          <w:tab w:val="right" w:pos="900"/>
        </w:tabs>
        <w:spacing w:before="120" w:after="0" w:line="240" w:lineRule="auto"/>
        <w:jc w:val="both"/>
        <w:rPr>
          <w:rFonts w:ascii="Times New Roman" w:eastAsia="Calibri" w:hAnsi="Times New Roman" w:cs="Times New Roman"/>
          <w:bCs/>
        </w:rPr>
      </w:pPr>
    </w:p>
    <w:p w:rsidR="009425AF" w:rsidRPr="009425AF" w:rsidRDefault="009425AF" w:rsidP="009425AF">
      <w:pPr>
        <w:tabs>
          <w:tab w:val="right" w:pos="900"/>
        </w:tabs>
        <w:spacing w:before="120" w:after="0" w:line="240" w:lineRule="auto"/>
        <w:rPr>
          <w:rFonts w:ascii="Times New Roman" w:eastAsia="Calibri" w:hAnsi="Times New Roman" w:cs="Times New Roman"/>
          <w:bCs/>
          <w:lang w:eastAsia="hu-HU"/>
        </w:rPr>
      </w:pPr>
      <w:r w:rsidRPr="009425AF">
        <w:rPr>
          <w:rFonts w:ascii="Times New Roman" w:eastAsia="Calibri" w:hAnsi="Times New Roman" w:cs="Times New Roman"/>
          <w:bCs/>
        </w:rPr>
        <w:t>Budapest, 2020. február 5.</w:t>
      </w:r>
    </w:p>
    <w:p w:rsidR="009425AF" w:rsidRPr="009425AF" w:rsidRDefault="009425AF" w:rsidP="009425AF">
      <w:pPr>
        <w:tabs>
          <w:tab w:val="right" w:pos="900"/>
        </w:tabs>
        <w:spacing w:before="120" w:after="0" w:line="240" w:lineRule="auto"/>
        <w:jc w:val="right"/>
        <w:rPr>
          <w:rFonts w:ascii="Times New Roman" w:eastAsia="Calibri" w:hAnsi="Times New Roman" w:cs="Times New Roman"/>
          <w:bCs/>
        </w:rPr>
      </w:pPr>
      <w:r w:rsidRPr="009425AF">
        <w:rPr>
          <w:rFonts w:ascii="Times New Roman" w:eastAsia="Calibri" w:hAnsi="Times New Roman" w:cs="Times New Roman"/>
        </w:rPr>
        <w:t>Dr. Kiss Gabriella</w:t>
      </w:r>
    </w:p>
    <w:p w:rsidR="009425AF" w:rsidRPr="009425AF" w:rsidRDefault="009425AF" w:rsidP="009425AF">
      <w:pPr>
        <w:jc w:val="right"/>
        <w:rPr>
          <w:rFonts w:ascii="Times New Roman" w:eastAsia="Calibri" w:hAnsi="Times New Roman" w:cs="Times New Roman"/>
        </w:rPr>
      </w:pPr>
      <w:r w:rsidRPr="009425AF">
        <w:rPr>
          <w:rFonts w:ascii="Times New Roman" w:eastAsia="Calibri" w:hAnsi="Times New Roman" w:cs="Times New Roman"/>
        </w:rPr>
        <w:t>tantárgyfelelős sk.</w:t>
      </w:r>
    </w:p>
    <w:p w:rsidR="00AF75C7" w:rsidRPr="006F6A67" w:rsidRDefault="00AF75C7" w:rsidP="006F6A67">
      <w:pPr>
        <w:widowControl w:val="0"/>
        <w:spacing w:after="0" w:line="240" w:lineRule="auto"/>
        <w:ind w:left="4956" w:firstLine="708"/>
        <w:rPr>
          <w:rFonts w:ascii="Times New Roman" w:eastAsia="Times New Roman" w:hAnsi="Times New Roman" w:cs="Times New Roman"/>
          <w:bCs/>
        </w:rPr>
      </w:pPr>
    </w:p>
    <w:p w:rsidR="006F6A67" w:rsidRDefault="006F6A67" w:rsidP="00685779">
      <w:pPr>
        <w:widowControl w:val="0"/>
        <w:spacing w:after="0" w:line="240" w:lineRule="auto"/>
        <w:ind w:left="4248" w:firstLine="708"/>
        <w:jc w:val="center"/>
        <w:rPr>
          <w:rFonts w:ascii="Times New Roman" w:eastAsia="Times New Roman" w:hAnsi="Times New Roman" w:cs="Times New Roman"/>
          <w:bCs/>
        </w:rPr>
      </w:pPr>
    </w:p>
    <w:p w:rsidR="00685779" w:rsidRDefault="00685779" w:rsidP="00685779">
      <w:pPr>
        <w:spacing w:after="200" w:line="276" w:lineRule="auto"/>
        <w:rPr>
          <w:rFonts w:ascii="Times New Roman" w:hAnsi="Times New Roman" w:cs="Times New Roman"/>
          <w:sz w:val="24"/>
        </w:rPr>
      </w:pPr>
    </w:p>
    <w:p w:rsidR="00B21616" w:rsidRDefault="00B21616">
      <w:pPr>
        <w:spacing w:after="200" w:line="276" w:lineRule="auto"/>
        <w:rPr>
          <w:rFonts w:ascii="Times New Roman" w:hAnsi="Times New Roman" w:cs="Times New Roman"/>
        </w:rPr>
        <w:sectPr w:rsidR="00B21616">
          <w:headerReference w:type="default" r:id="rId22"/>
          <w:footerReference w:type="default" r:id="rId23"/>
          <w:pgSz w:w="11906" w:h="16838"/>
          <w:pgMar w:top="1417" w:right="1417" w:bottom="1417" w:left="1417" w:header="708" w:footer="708" w:gutter="0"/>
          <w:cols w:space="708"/>
          <w:docGrid w:linePitch="360"/>
        </w:sectPr>
      </w:pPr>
    </w:p>
    <w:p w:rsidR="00F50AF9" w:rsidRDefault="00F50AF9" w:rsidP="0059026F">
      <w:pPr>
        <w:pStyle w:val="Cmsor1"/>
        <w:jc w:val="center"/>
        <w:rPr>
          <w:i w:val="0"/>
          <w:sz w:val="22"/>
          <w:szCs w:val="22"/>
          <w:u w:val="none"/>
        </w:rPr>
      </w:pPr>
      <w:bookmarkStart w:id="95" w:name="_Toc37240857"/>
      <w:r w:rsidRPr="00E6577E">
        <w:rPr>
          <w:i w:val="0"/>
          <w:sz w:val="22"/>
          <w:szCs w:val="22"/>
          <w:u w:val="none"/>
        </w:rPr>
        <w:lastRenderedPageBreak/>
        <w:t>1. számú melléklet: Tanóra-</w:t>
      </w:r>
      <w:r>
        <w:rPr>
          <w:i w:val="0"/>
          <w:sz w:val="22"/>
          <w:szCs w:val="22"/>
          <w:u w:val="none"/>
        </w:rPr>
        <w:t>, kredit-</w:t>
      </w:r>
      <w:r w:rsidRPr="00E6577E">
        <w:rPr>
          <w:i w:val="0"/>
          <w:sz w:val="22"/>
          <w:szCs w:val="22"/>
          <w:u w:val="none"/>
        </w:rPr>
        <w:t xml:space="preserve"> és vizsgaterv</w:t>
      </w:r>
      <w:r w:rsidR="0059026F">
        <w:rPr>
          <w:i w:val="0"/>
          <w:sz w:val="22"/>
          <w:szCs w:val="22"/>
          <w:u w:val="none"/>
        </w:rPr>
        <w:t xml:space="preserve"> (törzsanyag</w:t>
      </w:r>
      <w:r w:rsidR="004354D2">
        <w:rPr>
          <w:i w:val="0"/>
          <w:sz w:val="22"/>
          <w:szCs w:val="22"/>
          <w:u w:val="none"/>
        </w:rPr>
        <w:t xml:space="preserve"> tárgyai</w:t>
      </w:r>
      <w:r w:rsidR="0059026F">
        <w:rPr>
          <w:i w:val="0"/>
          <w:sz w:val="22"/>
          <w:szCs w:val="22"/>
          <w:u w:val="none"/>
        </w:rPr>
        <w:t>)</w:t>
      </w:r>
      <w:bookmarkEnd w:id="95"/>
    </w:p>
    <w:p w:rsidR="00B00C78" w:rsidRDefault="00B41EEB">
      <w:pPr>
        <w:spacing w:after="200" w:line="276" w:lineRule="auto"/>
        <w:rPr>
          <w:noProof/>
          <w:lang w:eastAsia="hu-HU"/>
        </w:rPr>
      </w:pPr>
      <w:r w:rsidRPr="00B41EEB">
        <w:rPr>
          <w:noProof/>
          <w:lang w:eastAsia="hu-HU"/>
        </w:rPr>
        <w:drawing>
          <wp:inline distT="0" distB="0" distL="0" distR="0">
            <wp:extent cx="8892540" cy="9531015"/>
            <wp:effectExtent l="0" t="0" r="381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892540" cy="9531015"/>
                    </a:xfrm>
                    <a:prstGeom prst="rect">
                      <a:avLst/>
                    </a:prstGeom>
                    <a:noFill/>
                    <a:ln>
                      <a:noFill/>
                    </a:ln>
                  </pic:spPr>
                </pic:pic>
              </a:graphicData>
            </a:graphic>
          </wp:inline>
        </w:drawing>
      </w:r>
    </w:p>
    <w:p w:rsidR="001E1853" w:rsidRDefault="001E1853">
      <w:pPr>
        <w:spacing w:after="200" w:line="276" w:lineRule="auto"/>
        <w:rPr>
          <w:rFonts w:ascii="Times New Roman" w:hAnsi="Times New Roman" w:cs="Times New Roman"/>
        </w:rPr>
        <w:sectPr w:rsidR="001E1853" w:rsidSect="00B21616">
          <w:pgSz w:w="16838" w:h="23811" w:code="8"/>
          <w:pgMar w:top="1417" w:right="1417" w:bottom="1417" w:left="1417" w:header="708" w:footer="708" w:gutter="0"/>
          <w:cols w:space="708"/>
          <w:docGrid w:linePitch="360"/>
        </w:sectPr>
      </w:pPr>
      <w:r>
        <w:rPr>
          <w:noProof/>
          <w:lang w:eastAsia="hu-HU"/>
        </w:rPr>
        <w:tab/>
      </w:r>
    </w:p>
    <w:p w:rsidR="0059026F" w:rsidRPr="0059026F" w:rsidRDefault="0059026F" w:rsidP="0059026F">
      <w:pPr>
        <w:pStyle w:val="Cmsor1"/>
        <w:jc w:val="right"/>
        <w:rPr>
          <w:sz w:val="22"/>
          <w:szCs w:val="22"/>
          <w:u w:val="none"/>
        </w:rPr>
      </w:pPr>
      <w:bookmarkStart w:id="96" w:name="_Toc37240858"/>
      <w:r w:rsidRPr="0059026F">
        <w:rPr>
          <w:sz w:val="22"/>
          <w:szCs w:val="22"/>
          <w:u w:val="none"/>
        </w:rPr>
        <w:lastRenderedPageBreak/>
        <w:t>1/a. számú melléklet: Tanóra-, kredit- és vizsgaterv (hadtáp specializáció)</w:t>
      </w:r>
      <w:bookmarkEnd w:id="96"/>
    </w:p>
    <w:p w:rsidR="00B21616" w:rsidRDefault="00B21616">
      <w:pPr>
        <w:spacing w:after="200" w:line="276" w:lineRule="auto"/>
        <w:rPr>
          <w:rFonts w:ascii="Times New Roman" w:hAnsi="Times New Roman" w:cs="Times New Roman"/>
        </w:rPr>
      </w:pPr>
    </w:p>
    <w:p w:rsidR="00B21616" w:rsidRDefault="001558A1">
      <w:pPr>
        <w:spacing w:after="200" w:line="276" w:lineRule="auto"/>
        <w:rPr>
          <w:rFonts w:ascii="Times New Roman" w:hAnsi="Times New Roman" w:cs="Times New Roman"/>
        </w:rPr>
      </w:pPr>
      <w:r w:rsidRPr="001558A1">
        <w:rPr>
          <w:noProof/>
          <w:lang w:eastAsia="hu-HU"/>
        </w:rPr>
        <w:drawing>
          <wp:inline distT="0" distB="0" distL="0" distR="0">
            <wp:extent cx="8892070" cy="3931920"/>
            <wp:effectExtent l="0" t="0" r="4445"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893365" cy="3932493"/>
                    </a:xfrm>
                    <a:prstGeom prst="rect">
                      <a:avLst/>
                    </a:prstGeom>
                    <a:noFill/>
                    <a:ln>
                      <a:noFill/>
                    </a:ln>
                  </pic:spPr>
                </pic:pic>
              </a:graphicData>
            </a:graphic>
          </wp:inline>
        </w:drawing>
      </w:r>
    </w:p>
    <w:p w:rsidR="00B00C78" w:rsidRDefault="00B00C78">
      <w:pPr>
        <w:spacing w:after="200" w:line="276" w:lineRule="auto"/>
        <w:rPr>
          <w:rFonts w:ascii="Times New Roman" w:hAnsi="Times New Roman" w:cs="Times New Roman"/>
        </w:rPr>
      </w:pPr>
    </w:p>
    <w:p w:rsidR="0059026F" w:rsidRDefault="0059026F">
      <w:pPr>
        <w:spacing w:after="200" w:line="276" w:lineRule="auto"/>
        <w:rPr>
          <w:rFonts w:ascii="Times New Roman" w:hAnsi="Times New Roman" w:cs="Times New Roman"/>
        </w:rPr>
      </w:pPr>
      <w:r>
        <w:rPr>
          <w:rFonts w:ascii="Times New Roman" w:hAnsi="Times New Roman" w:cs="Times New Roman"/>
        </w:rPr>
        <w:br w:type="page"/>
      </w:r>
    </w:p>
    <w:p w:rsidR="0059026F" w:rsidRDefault="0059026F" w:rsidP="0059026F">
      <w:pPr>
        <w:pStyle w:val="Cmsor1"/>
        <w:jc w:val="right"/>
        <w:rPr>
          <w:sz w:val="22"/>
          <w:szCs w:val="22"/>
          <w:u w:val="none"/>
        </w:rPr>
      </w:pPr>
      <w:bookmarkStart w:id="97" w:name="_Toc37240859"/>
      <w:r w:rsidRPr="0059026F">
        <w:rPr>
          <w:sz w:val="22"/>
          <w:szCs w:val="22"/>
          <w:u w:val="none"/>
        </w:rPr>
        <w:lastRenderedPageBreak/>
        <w:t>1/</w:t>
      </w:r>
      <w:r>
        <w:rPr>
          <w:sz w:val="22"/>
          <w:szCs w:val="22"/>
          <w:u w:val="none"/>
        </w:rPr>
        <w:t>b</w:t>
      </w:r>
      <w:r w:rsidRPr="0059026F">
        <w:rPr>
          <w:sz w:val="22"/>
          <w:szCs w:val="22"/>
          <w:u w:val="none"/>
        </w:rPr>
        <w:t>. számú melléklet: Tanóra-, kredit- és vizsgaterv (</w:t>
      </w:r>
      <w:r>
        <w:rPr>
          <w:sz w:val="22"/>
          <w:szCs w:val="22"/>
          <w:u w:val="none"/>
        </w:rPr>
        <w:t>katonai közlekedési</w:t>
      </w:r>
      <w:r w:rsidRPr="0059026F">
        <w:rPr>
          <w:sz w:val="22"/>
          <w:szCs w:val="22"/>
          <w:u w:val="none"/>
        </w:rPr>
        <w:t xml:space="preserve"> specializáció)</w:t>
      </w:r>
      <w:bookmarkEnd w:id="97"/>
    </w:p>
    <w:p w:rsidR="004354D2" w:rsidRPr="004354D2" w:rsidRDefault="004354D2" w:rsidP="004354D2">
      <w:pPr>
        <w:rPr>
          <w:lang w:eastAsia="hu-HU"/>
        </w:rPr>
      </w:pPr>
    </w:p>
    <w:p w:rsidR="0059026F" w:rsidRDefault="004354D2">
      <w:pPr>
        <w:spacing w:after="200" w:line="276" w:lineRule="auto"/>
        <w:rPr>
          <w:rFonts w:ascii="Times New Roman" w:eastAsia="Times New Roman" w:hAnsi="Times New Roman" w:cs="Times New Roman"/>
          <w:b/>
          <w:bCs/>
          <w:i/>
          <w:iCs/>
          <w:lang w:eastAsia="hu-HU"/>
        </w:rPr>
      </w:pPr>
      <w:r w:rsidRPr="004354D2">
        <w:rPr>
          <w:noProof/>
          <w:lang w:eastAsia="hu-HU"/>
        </w:rPr>
        <w:drawing>
          <wp:inline distT="0" distB="0" distL="0" distR="0">
            <wp:extent cx="8892505" cy="4246880"/>
            <wp:effectExtent l="0" t="0" r="4445" b="127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896740" cy="4248903"/>
                    </a:xfrm>
                    <a:prstGeom prst="rect">
                      <a:avLst/>
                    </a:prstGeom>
                    <a:noFill/>
                    <a:ln>
                      <a:noFill/>
                    </a:ln>
                  </pic:spPr>
                </pic:pic>
              </a:graphicData>
            </a:graphic>
          </wp:inline>
        </w:drawing>
      </w:r>
      <w:r w:rsidR="0059026F">
        <w:br w:type="page"/>
      </w:r>
    </w:p>
    <w:p w:rsidR="0059026F" w:rsidRDefault="0059026F" w:rsidP="0059026F">
      <w:pPr>
        <w:pStyle w:val="Cmsor1"/>
        <w:jc w:val="right"/>
        <w:rPr>
          <w:sz w:val="22"/>
          <w:szCs w:val="22"/>
          <w:u w:val="none"/>
        </w:rPr>
      </w:pPr>
      <w:bookmarkStart w:id="98" w:name="_Toc37240860"/>
      <w:r w:rsidRPr="0059026F">
        <w:rPr>
          <w:sz w:val="22"/>
          <w:szCs w:val="22"/>
          <w:u w:val="none"/>
        </w:rPr>
        <w:lastRenderedPageBreak/>
        <w:t>1/</w:t>
      </w:r>
      <w:r>
        <w:rPr>
          <w:sz w:val="22"/>
          <w:szCs w:val="22"/>
          <w:u w:val="none"/>
        </w:rPr>
        <w:t>c</w:t>
      </w:r>
      <w:r w:rsidRPr="0059026F">
        <w:rPr>
          <w:sz w:val="22"/>
          <w:szCs w:val="22"/>
          <w:u w:val="none"/>
        </w:rPr>
        <w:t>. számú melléklet: Tanóra-, kredit- és vizsgaterv (</w:t>
      </w:r>
      <w:r>
        <w:rPr>
          <w:sz w:val="22"/>
          <w:szCs w:val="22"/>
          <w:u w:val="none"/>
        </w:rPr>
        <w:t xml:space="preserve">haditechnikai </w:t>
      </w:r>
      <w:r w:rsidRPr="0059026F">
        <w:rPr>
          <w:sz w:val="22"/>
          <w:szCs w:val="22"/>
          <w:u w:val="none"/>
        </w:rPr>
        <w:t>specializáció</w:t>
      </w:r>
      <w:r>
        <w:rPr>
          <w:sz w:val="22"/>
          <w:szCs w:val="22"/>
          <w:u w:val="none"/>
        </w:rPr>
        <w:t xml:space="preserve"> – páncélos- és gépjárműtechnikai modul</w:t>
      </w:r>
      <w:r w:rsidRPr="0059026F">
        <w:rPr>
          <w:sz w:val="22"/>
          <w:szCs w:val="22"/>
          <w:u w:val="none"/>
        </w:rPr>
        <w:t>)</w:t>
      </w:r>
      <w:bookmarkEnd w:id="98"/>
    </w:p>
    <w:p w:rsidR="004354D2" w:rsidRDefault="004354D2" w:rsidP="004354D2">
      <w:pPr>
        <w:rPr>
          <w:lang w:eastAsia="hu-HU"/>
        </w:rPr>
      </w:pPr>
    </w:p>
    <w:p w:rsidR="004354D2" w:rsidRPr="004354D2" w:rsidRDefault="004354D2" w:rsidP="004354D2">
      <w:pPr>
        <w:rPr>
          <w:lang w:eastAsia="hu-HU"/>
        </w:rPr>
      </w:pPr>
      <w:r w:rsidRPr="004354D2">
        <w:rPr>
          <w:noProof/>
          <w:lang w:eastAsia="hu-HU"/>
        </w:rPr>
        <w:drawing>
          <wp:inline distT="0" distB="0" distL="0" distR="0">
            <wp:extent cx="8891905" cy="4815840"/>
            <wp:effectExtent l="0" t="0" r="4445" b="381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893452" cy="4816678"/>
                    </a:xfrm>
                    <a:prstGeom prst="rect">
                      <a:avLst/>
                    </a:prstGeom>
                    <a:noFill/>
                    <a:ln>
                      <a:noFill/>
                    </a:ln>
                  </pic:spPr>
                </pic:pic>
              </a:graphicData>
            </a:graphic>
          </wp:inline>
        </w:drawing>
      </w:r>
    </w:p>
    <w:p w:rsidR="0059026F" w:rsidRDefault="0059026F" w:rsidP="0059026F">
      <w:pPr>
        <w:pStyle w:val="Cmsor1"/>
        <w:jc w:val="right"/>
        <w:rPr>
          <w:sz w:val="22"/>
          <w:szCs w:val="22"/>
          <w:u w:val="none"/>
        </w:rPr>
      </w:pPr>
      <w:r>
        <w:rPr>
          <w:sz w:val="22"/>
          <w:szCs w:val="22"/>
          <w:u w:val="none"/>
        </w:rPr>
        <w:br w:type="page"/>
      </w:r>
      <w:bookmarkStart w:id="99" w:name="_Toc37240861"/>
      <w:r w:rsidRPr="0059026F">
        <w:rPr>
          <w:sz w:val="22"/>
          <w:szCs w:val="22"/>
          <w:u w:val="none"/>
        </w:rPr>
        <w:lastRenderedPageBreak/>
        <w:t>1/</w:t>
      </w:r>
      <w:r>
        <w:rPr>
          <w:sz w:val="22"/>
          <w:szCs w:val="22"/>
          <w:u w:val="none"/>
        </w:rPr>
        <w:t>d</w:t>
      </w:r>
      <w:r w:rsidRPr="0059026F">
        <w:rPr>
          <w:sz w:val="22"/>
          <w:szCs w:val="22"/>
          <w:u w:val="none"/>
        </w:rPr>
        <w:t>. számú melléklet: Tanóra-, kredit- és vizsgaterv (</w:t>
      </w:r>
      <w:r>
        <w:rPr>
          <w:sz w:val="22"/>
          <w:szCs w:val="22"/>
          <w:u w:val="none"/>
        </w:rPr>
        <w:t xml:space="preserve">haditechnikai </w:t>
      </w:r>
      <w:r w:rsidRPr="0059026F">
        <w:rPr>
          <w:sz w:val="22"/>
          <w:szCs w:val="22"/>
          <w:u w:val="none"/>
        </w:rPr>
        <w:t>specializáció</w:t>
      </w:r>
      <w:r>
        <w:rPr>
          <w:sz w:val="22"/>
          <w:szCs w:val="22"/>
          <w:u w:val="none"/>
        </w:rPr>
        <w:t xml:space="preserve"> – fegyverzettechnika modul</w:t>
      </w:r>
      <w:r w:rsidRPr="0059026F">
        <w:rPr>
          <w:sz w:val="22"/>
          <w:szCs w:val="22"/>
          <w:u w:val="none"/>
        </w:rPr>
        <w:t>)</w:t>
      </w:r>
      <w:bookmarkEnd w:id="99"/>
    </w:p>
    <w:p w:rsidR="004354D2" w:rsidRDefault="004354D2" w:rsidP="004354D2">
      <w:pPr>
        <w:rPr>
          <w:lang w:eastAsia="hu-HU"/>
        </w:rPr>
      </w:pPr>
    </w:p>
    <w:p w:rsidR="004354D2" w:rsidRPr="004354D2" w:rsidRDefault="004354D2" w:rsidP="004354D2">
      <w:pPr>
        <w:rPr>
          <w:lang w:eastAsia="hu-HU"/>
        </w:rPr>
      </w:pPr>
      <w:r w:rsidRPr="004354D2">
        <w:rPr>
          <w:noProof/>
          <w:lang w:eastAsia="hu-HU"/>
        </w:rPr>
        <w:drawing>
          <wp:inline distT="0" distB="0" distL="0" distR="0">
            <wp:extent cx="8891805" cy="4536440"/>
            <wp:effectExtent l="0" t="0" r="5080"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894680" cy="4537907"/>
                    </a:xfrm>
                    <a:prstGeom prst="rect">
                      <a:avLst/>
                    </a:prstGeom>
                    <a:noFill/>
                    <a:ln>
                      <a:noFill/>
                    </a:ln>
                  </pic:spPr>
                </pic:pic>
              </a:graphicData>
            </a:graphic>
          </wp:inline>
        </w:drawing>
      </w:r>
    </w:p>
    <w:p w:rsidR="0059026F" w:rsidRDefault="0059026F">
      <w:pPr>
        <w:spacing w:after="200" w:line="276" w:lineRule="auto"/>
        <w:rPr>
          <w:rFonts w:ascii="Times New Roman" w:eastAsia="Times New Roman" w:hAnsi="Times New Roman" w:cs="Times New Roman"/>
          <w:b/>
          <w:bCs/>
          <w:i/>
          <w:iCs/>
          <w:lang w:eastAsia="hu-HU"/>
        </w:rPr>
      </w:pPr>
    </w:p>
    <w:p w:rsidR="0059026F" w:rsidRPr="0059026F" w:rsidRDefault="0059026F" w:rsidP="0059026F">
      <w:pPr>
        <w:pStyle w:val="Cmsor1"/>
        <w:jc w:val="right"/>
        <w:rPr>
          <w:sz w:val="22"/>
          <w:szCs w:val="22"/>
          <w:u w:val="none"/>
        </w:rPr>
      </w:pPr>
    </w:p>
    <w:p w:rsidR="0059026F" w:rsidRDefault="0059026F">
      <w:pPr>
        <w:spacing w:after="200" w:line="276" w:lineRule="auto"/>
        <w:rPr>
          <w:rFonts w:ascii="Times New Roman" w:hAnsi="Times New Roman" w:cs="Times New Roman"/>
        </w:rPr>
      </w:pPr>
      <w:r>
        <w:rPr>
          <w:rFonts w:ascii="Times New Roman" w:hAnsi="Times New Roman" w:cs="Times New Roman"/>
        </w:rPr>
        <w:br w:type="page"/>
      </w:r>
    </w:p>
    <w:p w:rsidR="0059026F" w:rsidRDefault="0059026F" w:rsidP="0059026F">
      <w:pPr>
        <w:pStyle w:val="Cmsor1"/>
        <w:jc w:val="right"/>
        <w:rPr>
          <w:sz w:val="22"/>
          <w:szCs w:val="22"/>
          <w:u w:val="none"/>
        </w:rPr>
      </w:pPr>
      <w:bookmarkStart w:id="100" w:name="_Toc37240862"/>
      <w:r w:rsidRPr="0059026F">
        <w:rPr>
          <w:sz w:val="22"/>
          <w:szCs w:val="22"/>
          <w:u w:val="none"/>
        </w:rPr>
        <w:lastRenderedPageBreak/>
        <w:t>1/</w:t>
      </w:r>
      <w:r>
        <w:rPr>
          <w:sz w:val="22"/>
          <w:szCs w:val="22"/>
          <w:u w:val="none"/>
        </w:rPr>
        <w:t>e</w:t>
      </w:r>
      <w:r w:rsidRPr="0059026F">
        <w:rPr>
          <w:sz w:val="22"/>
          <w:szCs w:val="22"/>
          <w:u w:val="none"/>
        </w:rPr>
        <w:t>. számú melléklet: Tanóra-, kredit- és vizsgaterv (</w:t>
      </w:r>
      <w:r>
        <w:rPr>
          <w:sz w:val="22"/>
          <w:szCs w:val="22"/>
          <w:u w:val="none"/>
        </w:rPr>
        <w:t>katonai pénzügyi</w:t>
      </w:r>
      <w:r w:rsidRPr="0059026F">
        <w:rPr>
          <w:sz w:val="22"/>
          <w:szCs w:val="22"/>
          <w:u w:val="none"/>
        </w:rPr>
        <w:t xml:space="preserve"> specializáció)</w:t>
      </w:r>
      <w:bookmarkEnd w:id="100"/>
    </w:p>
    <w:p w:rsidR="004354D2" w:rsidRPr="004354D2" w:rsidRDefault="004354D2" w:rsidP="004354D2">
      <w:pPr>
        <w:rPr>
          <w:lang w:eastAsia="hu-HU"/>
        </w:rPr>
      </w:pPr>
    </w:p>
    <w:p w:rsidR="0059026F" w:rsidRPr="0059026F" w:rsidRDefault="004354D2" w:rsidP="0059026F">
      <w:pPr>
        <w:spacing w:after="200" w:line="276" w:lineRule="auto"/>
      </w:pPr>
      <w:r w:rsidRPr="004354D2">
        <w:rPr>
          <w:noProof/>
          <w:lang w:eastAsia="hu-HU"/>
        </w:rPr>
        <w:drawing>
          <wp:inline distT="0" distB="0" distL="0" distR="0">
            <wp:extent cx="8891270" cy="4490720"/>
            <wp:effectExtent l="0" t="0" r="5080" b="508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893408" cy="4491800"/>
                    </a:xfrm>
                    <a:prstGeom prst="rect">
                      <a:avLst/>
                    </a:prstGeom>
                    <a:noFill/>
                    <a:ln>
                      <a:noFill/>
                    </a:ln>
                  </pic:spPr>
                </pic:pic>
              </a:graphicData>
            </a:graphic>
          </wp:inline>
        </w:drawing>
      </w:r>
    </w:p>
    <w:p w:rsidR="0059026F" w:rsidRDefault="0059026F">
      <w:pPr>
        <w:spacing w:after="200" w:line="276" w:lineRule="auto"/>
        <w:rPr>
          <w:rFonts w:ascii="Times New Roman" w:hAnsi="Times New Roman" w:cs="Times New Roman"/>
        </w:rPr>
      </w:pPr>
      <w:r>
        <w:rPr>
          <w:rFonts w:ascii="Times New Roman" w:hAnsi="Times New Roman" w:cs="Times New Roman"/>
        </w:rPr>
        <w:br w:type="page"/>
      </w:r>
    </w:p>
    <w:p w:rsidR="00B00C78" w:rsidRDefault="00B00C78">
      <w:pPr>
        <w:spacing w:after="200" w:line="276" w:lineRule="auto"/>
        <w:rPr>
          <w:rFonts w:ascii="Times New Roman" w:hAnsi="Times New Roman" w:cs="Times New Roman"/>
        </w:rPr>
        <w:sectPr w:rsidR="00B00C78" w:rsidSect="00B00C78">
          <w:pgSz w:w="16838" w:h="11906" w:orient="landscape" w:code="9"/>
          <w:pgMar w:top="1417" w:right="1417" w:bottom="1417" w:left="1417" w:header="708" w:footer="708" w:gutter="0"/>
          <w:cols w:space="708"/>
          <w:docGrid w:linePitch="360"/>
        </w:sectPr>
      </w:pPr>
    </w:p>
    <w:p w:rsidR="00B00C78" w:rsidRDefault="00B00C78" w:rsidP="00B00C78">
      <w:pPr>
        <w:pStyle w:val="Cmsor1"/>
        <w:jc w:val="right"/>
        <w:rPr>
          <w:i w:val="0"/>
          <w:sz w:val="22"/>
          <w:szCs w:val="22"/>
          <w:u w:val="none"/>
        </w:rPr>
      </w:pPr>
      <w:bookmarkStart w:id="101" w:name="_Toc37240863"/>
      <w:r>
        <w:rPr>
          <w:i w:val="0"/>
          <w:sz w:val="22"/>
          <w:szCs w:val="22"/>
          <w:u w:val="none"/>
        </w:rPr>
        <w:lastRenderedPageBreak/>
        <w:t>2. számú melléklet: Előtanulmányi rend</w:t>
      </w:r>
      <w:bookmarkEnd w:id="101"/>
    </w:p>
    <w:p w:rsidR="00B00C78" w:rsidRPr="00E6577E" w:rsidRDefault="00B00C78" w:rsidP="00B00C78">
      <w:pPr>
        <w:spacing w:after="0" w:line="240" w:lineRule="auto"/>
        <w:rPr>
          <w:rFonts w:ascii="Times New Roman" w:hAnsi="Times New Roman" w:cs="Times New Roman"/>
          <w:lang w:eastAsia="hu-HU"/>
        </w:rPr>
      </w:pPr>
    </w:p>
    <w:p w:rsidR="00B00C78" w:rsidRPr="00EB294E" w:rsidRDefault="004A5F14" w:rsidP="00EB294E">
      <w:pPr>
        <w:spacing w:after="0" w:line="240" w:lineRule="auto"/>
        <w:jc w:val="center"/>
        <w:rPr>
          <w:rFonts w:ascii="Times New Roman" w:hAnsi="Times New Roman" w:cs="Times New Roman"/>
          <w:b/>
          <w:lang w:eastAsia="hu-HU"/>
        </w:rPr>
      </w:pPr>
      <w:r w:rsidRPr="00EB294E">
        <w:rPr>
          <w:rFonts w:ascii="Times New Roman" w:hAnsi="Times New Roman" w:cs="Times New Roman"/>
          <w:b/>
          <w:lang w:eastAsia="hu-HU"/>
        </w:rPr>
        <w:t xml:space="preserve">KATONAI LOGISZTIKA </w:t>
      </w:r>
      <w:r w:rsidR="00B00C78" w:rsidRPr="00EB294E">
        <w:rPr>
          <w:rFonts w:ascii="Times New Roman" w:hAnsi="Times New Roman" w:cs="Times New Roman"/>
          <w:b/>
          <w:lang w:eastAsia="hu-HU"/>
        </w:rPr>
        <w:t>ALAPKÉPZÉSI SZAK</w:t>
      </w:r>
    </w:p>
    <w:p w:rsidR="00B00C78" w:rsidRDefault="00B00C78" w:rsidP="00B00C78">
      <w:pPr>
        <w:spacing w:after="0" w:line="240" w:lineRule="auto"/>
        <w:jc w:val="center"/>
        <w:rPr>
          <w:rFonts w:ascii="Times New Roman" w:hAnsi="Times New Roman" w:cs="Times New Roman"/>
          <w:b/>
          <w:lang w:eastAsia="hu-HU"/>
        </w:rPr>
      </w:pPr>
      <w:r w:rsidRPr="00E6577E">
        <w:rPr>
          <w:rFonts w:ascii="Times New Roman" w:hAnsi="Times New Roman" w:cs="Times New Roman"/>
          <w:b/>
          <w:lang w:eastAsia="hu-HU"/>
        </w:rPr>
        <w:t>ELŐTANULMÁNYI REND</w:t>
      </w:r>
    </w:p>
    <w:p w:rsidR="004A5F14" w:rsidRDefault="004A5F14" w:rsidP="00B00C78">
      <w:pPr>
        <w:spacing w:after="0" w:line="240" w:lineRule="auto"/>
        <w:jc w:val="center"/>
        <w:rPr>
          <w:rFonts w:ascii="Times New Roman" w:hAnsi="Times New Roman" w:cs="Times New Roman"/>
          <w:i/>
          <w:highlight w:val="lightGray"/>
          <w:lang w:eastAsia="hu-HU"/>
        </w:rPr>
      </w:pPr>
    </w:p>
    <w:p w:rsidR="004A5F14" w:rsidRPr="005943F5" w:rsidRDefault="004A5F14" w:rsidP="00980876">
      <w:pPr>
        <w:pStyle w:val="Cmsor1"/>
        <w:numPr>
          <w:ilvl w:val="1"/>
          <w:numId w:val="573"/>
        </w:numPr>
        <w:spacing w:before="120" w:after="120"/>
        <w:ind w:left="714" w:hanging="357"/>
        <w:jc w:val="left"/>
        <w:rPr>
          <w:sz w:val="22"/>
          <w:szCs w:val="22"/>
          <w:u w:val="none"/>
        </w:rPr>
      </w:pPr>
      <w:bookmarkStart w:id="102" w:name="_Toc37240864"/>
      <w:r w:rsidRPr="005943F5">
        <w:rPr>
          <w:sz w:val="22"/>
          <w:szCs w:val="22"/>
          <w:u w:val="none"/>
        </w:rPr>
        <w:t>Hadtáp specializáció</w:t>
      </w:r>
      <w:bookmarkEnd w:id="102"/>
    </w:p>
    <w:p w:rsidR="00235CC8" w:rsidRDefault="00BD2DBE">
      <w:pPr>
        <w:spacing w:after="200" w:line="276" w:lineRule="auto"/>
        <w:rPr>
          <w:rFonts w:ascii="Times New Roman" w:hAnsi="Times New Roman" w:cs="Times New Roman"/>
        </w:rPr>
      </w:pPr>
      <w:r w:rsidRPr="00BD2DBE">
        <w:rPr>
          <w:noProof/>
          <w:lang w:eastAsia="hu-HU"/>
        </w:rPr>
        <w:drawing>
          <wp:inline distT="0" distB="0" distL="0" distR="0">
            <wp:extent cx="5760720" cy="3255531"/>
            <wp:effectExtent l="0" t="0" r="0" b="254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3255531"/>
                    </a:xfrm>
                    <a:prstGeom prst="rect">
                      <a:avLst/>
                    </a:prstGeom>
                    <a:noFill/>
                    <a:ln>
                      <a:noFill/>
                    </a:ln>
                  </pic:spPr>
                </pic:pic>
              </a:graphicData>
            </a:graphic>
          </wp:inline>
        </w:drawing>
      </w:r>
    </w:p>
    <w:p w:rsidR="005943F5" w:rsidRDefault="005943F5" w:rsidP="005943F5">
      <w:pPr>
        <w:pStyle w:val="Cmsor1"/>
        <w:spacing w:before="120" w:after="120"/>
        <w:jc w:val="left"/>
        <w:rPr>
          <w:sz w:val="22"/>
          <w:szCs w:val="22"/>
          <w:u w:val="none"/>
        </w:rPr>
      </w:pPr>
    </w:p>
    <w:p w:rsidR="00EB294E" w:rsidRDefault="00EB294E" w:rsidP="00980876">
      <w:pPr>
        <w:pStyle w:val="Cmsor1"/>
        <w:numPr>
          <w:ilvl w:val="1"/>
          <w:numId w:val="573"/>
        </w:numPr>
        <w:spacing w:before="120" w:after="120"/>
        <w:ind w:left="714" w:hanging="357"/>
        <w:jc w:val="left"/>
        <w:rPr>
          <w:sz w:val="22"/>
          <w:szCs w:val="22"/>
          <w:u w:val="none"/>
        </w:rPr>
      </w:pPr>
      <w:bookmarkStart w:id="103" w:name="_Toc37240865"/>
      <w:r w:rsidRPr="005943F5">
        <w:rPr>
          <w:sz w:val="22"/>
          <w:szCs w:val="22"/>
          <w:u w:val="none"/>
        </w:rPr>
        <w:t>Katonai közlekedési specializáció</w:t>
      </w:r>
      <w:bookmarkEnd w:id="103"/>
    </w:p>
    <w:p w:rsidR="00BD2DBE" w:rsidRDefault="00BD2DBE">
      <w:pPr>
        <w:spacing w:after="200" w:line="276" w:lineRule="auto"/>
        <w:rPr>
          <w:rFonts w:ascii="Times New Roman" w:hAnsi="Times New Roman" w:cs="Times New Roman"/>
          <w:b/>
          <w:i/>
        </w:rPr>
      </w:pPr>
      <w:r w:rsidRPr="00BD2DBE">
        <w:rPr>
          <w:noProof/>
          <w:lang w:eastAsia="hu-HU"/>
        </w:rPr>
        <w:drawing>
          <wp:inline distT="0" distB="0" distL="0" distR="0">
            <wp:extent cx="5760720" cy="3198364"/>
            <wp:effectExtent l="0" t="0" r="0" b="254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3198364"/>
                    </a:xfrm>
                    <a:prstGeom prst="rect">
                      <a:avLst/>
                    </a:prstGeom>
                    <a:noFill/>
                    <a:ln>
                      <a:noFill/>
                    </a:ln>
                  </pic:spPr>
                </pic:pic>
              </a:graphicData>
            </a:graphic>
          </wp:inline>
        </w:drawing>
      </w:r>
    </w:p>
    <w:p w:rsidR="00585020" w:rsidRDefault="00585020">
      <w:pPr>
        <w:spacing w:after="200" w:line="276" w:lineRule="auto"/>
        <w:rPr>
          <w:rFonts w:ascii="Times New Roman" w:hAnsi="Times New Roman" w:cs="Times New Roman"/>
          <w:b/>
          <w:i/>
        </w:rPr>
      </w:pPr>
      <w:r>
        <w:rPr>
          <w:rFonts w:ascii="Times New Roman" w:hAnsi="Times New Roman" w:cs="Times New Roman"/>
          <w:b/>
          <w:i/>
        </w:rPr>
        <w:br w:type="page"/>
      </w:r>
    </w:p>
    <w:p w:rsidR="00EB294E" w:rsidRPr="005943F5" w:rsidRDefault="00EB294E" w:rsidP="00980876">
      <w:pPr>
        <w:pStyle w:val="Cmsor1"/>
        <w:numPr>
          <w:ilvl w:val="1"/>
          <w:numId w:val="573"/>
        </w:numPr>
        <w:spacing w:before="120" w:after="120"/>
        <w:ind w:left="714" w:hanging="357"/>
        <w:jc w:val="left"/>
        <w:rPr>
          <w:sz w:val="22"/>
          <w:szCs w:val="22"/>
          <w:u w:val="none"/>
        </w:rPr>
      </w:pPr>
      <w:bookmarkStart w:id="104" w:name="_Toc37240866"/>
      <w:r w:rsidRPr="005943F5">
        <w:rPr>
          <w:sz w:val="22"/>
          <w:szCs w:val="22"/>
          <w:u w:val="none"/>
        </w:rPr>
        <w:lastRenderedPageBreak/>
        <w:t>Haditechnikai specializáció</w:t>
      </w:r>
      <w:bookmarkEnd w:id="104"/>
    </w:p>
    <w:p w:rsidR="004A5F14" w:rsidRDefault="004D708E">
      <w:pPr>
        <w:spacing w:after="200" w:line="276" w:lineRule="auto"/>
        <w:rPr>
          <w:rFonts w:ascii="Times New Roman" w:hAnsi="Times New Roman" w:cs="Times New Roman"/>
        </w:rPr>
      </w:pPr>
      <w:r w:rsidRPr="004D708E">
        <w:drawing>
          <wp:inline distT="0" distB="0" distL="0" distR="0">
            <wp:extent cx="5760720" cy="2367593"/>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2367593"/>
                    </a:xfrm>
                    <a:prstGeom prst="rect">
                      <a:avLst/>
                    </a:prstGeom>
                    <a:noFill/>
                    <a:ln>
                      <a:noFill/>
                    </a:ln>
                  </pic:spPr>
                </pic:pic>
              </a:graphicData>
            </a:graphic>
          </wp:inline>
        </w:drawing>
      </w:r>
    </w:p>
    <w:p w:rsidR="004A5F14" w:rsidRDefault="004A5F14">
      <w:pPr>
        <w:spacing w:after="200" w:line="276" w:lineRule="auto"/>
        <w:rPr>
          <w:rFonts w:ascii="Times New Roman" w:hAnsi="Times New Roman" w:cs="Times New Roman"/>
        </w:rPr>
      </w:pPr>
    </w:p>
    <w:p w:rsidR="0059026F" w:rsidRPr="005943F5" w:rsidRDefault="0059026F" w:rsidP="00980876">
      <w:pPr>
        <w:pStyle w:val="Cmsor1"/>
        <w:numPr>
          <w:ilvl w:val="1"/>
          <w:numId w:val="573"/>
        </w:numPr>
        <w:spacing w:before="120" w:after="120"/>
        <w:ind w:left="714" w:hanging="357"/>
        <w:jc w:val="left"/>
        <w:rPr>
          <w:sz w:val="22"/>
          <w:szCs w:val="22"/>
          <w:u w:val="none"/>
        </w:rPr>
      </w:pPr>
      <w:bookmarkStart w:id="105" w:name="_Toc37240867"/>
      <w:r w:rsidRPr="005943F5">
        <w:rPr>
          <w:sz w:val="22"/>
          <w:szCs w:val="22"/>
          <w:u w:val="none"/>
        </w:rPr>
        <w:t>Katonai pénzügyi specializáció</w:t>
      </w:r>
      <w:bookmarkEnd w:id="105"/>
    </w:p>
    <w:p w:rsidR="0059026F" w:rsidRDefault="00BD2DBE" w:rsidP="0059026F">
      <w:pPr>
        <w:spacing w:after="200" w:line="276" w:lineRule="auto"/>
        <w:rPr>
          <w:rFonts w:ascii="Times New Roman" w:hAnsi="Times New Roman" w:cs="Times New Roman"/>
        </w:rPr>
      </w:pPr>
      <w:r w:rsidRPr="00BD2DBE">
        <w:rPr>
          <w:noProof/>
          <w:lang w:eastAsia="hu-HU"/>
        </w:rPr>
        <w:drawing>
          <wp:inline distT="0" distB="0" distL="0" distR="0">
            <wp:extent cx="5760720" cy="3093751"/>
            <wp:effectExtent l="0" t="0" r="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3093751"/>
                    </a:xfrm>
                    <a:prstGeom prst="rect">
                      <a:avLst/>
                    </a:prstGeom>
                    <a:noFill/>
                    <a:ln>
                      <a:noFill/>
                    </a:ln>
                  </pic:spPr>
                </pic:pic>
              </a:graphicData>
            </a:graphic>
          </wp:inline>
        </w:drawing>
      </w:r>
    </w:p>
    <w:p w:rsidR="0059026F" w:rsidRDefault="0059026F">
      <w:pPr>
        <w:spacing w:after="200" w:line="276" w:lineRule="auto"/>
        <w:rPr>
          <w:rFonts w:ascii="Times New Roman" w:hAnsi="Times New Roman" w:cs="Times New Roman"/>
        </w:rPr>
      </w:pPr>
    </w:p>
    <w:sectPr w:rsidR="0059026F" w:rsidSect="00B00C78">
      <w:pgSz w:w="11906" w:h="16838"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708E" w:rsidRDefault="004D708E" w:rsidP="002871B0">
      <w:pPr>
        <w:spacing w:after="0" w:line="240" w:lineRule="auto"/>
      </w:pPr>
      <w:r>
        <w:separator/>
      </w:r>
    </w:p>
  </w:endnote>
  <w:endnote w:type="continuationSeparator" w:id="0">
    <w:p w:rsidR="004D708E" w:rsidRDefault="004D708E" w:rsidP="002871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Liberation Serif">
    <w:altName w:val="Times New Roman"/>
    <w:charset w:val="01"/>
    <w:family w:val="roman"/>
    <w:pitch w:val="variable"/>
  </w:font>
  <w:font w:name="CG Times">
    <w:altName w:val="Times New Roman"/>
    <w:charset w:val="00"/>
    <w:family w:val="auto"/>
    <w:pitch w:val="default"/>
  </w:font>
  <w:font w:name="MinionPro-Regular">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708E" w:rsidRDefault="004D708E" w:rsidP="00BF3704">
    <w:pPr>
      <w:pStyle w:val="llb"/>
      <w:jc w:val="center"/>
    </w:pPr>
    <w:r>
      <w:t xml:space="preserve">- </w:t>
    </w:r>
    <w:sdt>
      <w:sdtPr>
        <w:id w:val="1271119679"/>
        <w:docPartObj>
          <w:docPartGallery w:val="Page Numbers (Bottom of Page)"/>
          <w:docPartUnique/>
        </w:docPartObj>
      </w:sdtPr>
      <w:sdtContent>
        <w:r>
          <w:fldChar w:fldCharType="begin"/>
        </w:r>
        <w:r>
          <w:instrText>PAGE   \* MERGEFORMAT</w:instrText>
        </w:r>
        <w:r>
          <w:fldChar w:fldCharType="separate"/>
        </w:r>
        <w:r w:rsidR="000D0FE3">
          <w:rPr>
            <w:noProof/>
          </w:rPr>
          <w:t>138</w:t>
        </w:r>
        <w:r>
          <w:fldChar w:fldCharType="end"/>
        </w:r>
      </w:sdtContent>
    </w:sdt>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708E" w:rsidRDefault="004D708E" w:rsidP="002871B0">
      <w:pPr>
        <w:spacing w:after="0" w:line="240" w:lineRule="auto"/>
      </w:pPr>
      <w:r>
        <w:separator/>
      </w:r>
    </w:p>
  </w:footnote>
  <w:footnote w:type="continuationSeparator" w:id="0">
    <w:p w:rsidR="004D708E" w:rsidRDefault="004D708E" w:rsidP="002871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708E" w:rsidRDefault="004D708E" w:rsidP="00F4044E">
    <w:pPr>
      <w:pStyle w:val="llb"/>
      <w:pBdr>
        <w:top w:val="single" w:sz="2" w:space="1" w:color="auto"/>
        <w:left w:val="single" w:sz="2" w:space="4" w:color="auto"/>
        <w:bottom w:val="single" w:sz="2" w:space="1" w:color="auto"/>
        <w:right w:val="single" w:sz="2" w:space="4" w:color="auto"/>
      </w:pBdr>
      <w:jc w:val="center"/>
      <w:rPr>
        <w:i/>
        <w:sz w:val="18"/>
        <w:szCs w:val="18"/>
      </w:rPr>
    </w:pPr>
    <w:r>
      <w:rPr>
        <w:i/>
        <w:sz w:val="18"/>
        <w:szCs w:val="18"/>
      </w:rPr>
      <w:t>Katonai logisztika alapképzési szak</w:t>
    </w:r>
    <w:r w:rsidRPr="005D6105">
      <w:rPr>
        <w:i/>
        <w:sz w:val="18"/>
        <w:szCs w:val="18"/>
      </w:rPr>
      <w:t xml:space="preserve"> tanterve </w:t>
    </w:r>
  </w:p>
  <w:p w:rsidR="004D708E" w:rsidRDefault="004D708E">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D4E5E"/>
    <w:multiLevelType w:val="hybridMultilevel"/>
    <w:tmpl w:val="6C46154C"/>
    <w:lvl w:ilvl="0" w:tplc="F29CF34C">
      <w:start w:val="1"/>
      <w:numFmt w:val="bullet"/>
      <w:lvlText w:val=""/>
      <w:lvlJc w:val="left"/>
      <w:pPr>
        <w:ind w:left="1146" w:hanging="360"/>
      </w:pPr>
      <w:rPr>
        <w:rFonts w:ascii="Symbol" w:hAnsi="Symbol" w:hint="default"/>
      </w:rPr>
    </w:lvl>
    <w:lvl w:ilvl="1" w:tplc="040E0003">
      <w:start w:val="1"/>
      <w:numFmt w:val="bullet"/>
      <w:lvlText w:val="o"/>
      <w:lvlJc w:val="left"/>
      <w:pPr>
        <w:ind w:left="1866" w:hanging="360"/>
      </w:pPr>
      <w:rPr>
        <w:rFonts w:ascii="Courier New" w:hAnsi="Courier New" w:cs="Courier New" w:hint="default"/>
      </w:rPr>
    </w:lvl>
    <w:lvl w:ilvl="2" w:tplc="040E0005">
      <w:start w:val="1"/>
      <w:numFmt w:val="bullet"/>
      <w:lvlText w:val=""/>
      <w:lvlJc w:val="left"/>
      <w:pPr>
        <w:ind w:left="2586" w:hanging="360"/>
      </w:pPr>
      <w:rPr>
        <w:rFonts w:ascii="Wingdings" w:hAnsi="Wingdings" w:hint="default"/>
      </w:rPr>
    </w:lvl>
    <w:lvl w:ilvl="3" w:tplc="040E0001">
      <w:start w:val="1"/>
      <w:numFmt w:val="bullet"/>
      <w:lvlText w:val=""/>
      <w:lvlJc w:val="left"/>
      <w:pPr>
        <w:ind w:left="3306" w:hanging="360"/>
      </w:pPr>
      <w:rPr>
        <w:rFonts w:ascii="Symbol" w:hAnsi="Symbol" w:hint="default"/>
      </w:rPr>
    </w:lvl>
    <w:lvl w:ilvl="4" w:tplc="040E0003">
      <w:start w:val="1"/>
      <w:numFmt w:val="bullet"/>
      <w:lvlText w:val="o"/>
      <w:lvlJc w:val="left"/>
      <w:pPr>
        <w:ind w:left="4026" w:hanging="360"/>
      </w:pPr>
      <w:rPr>
        <w:rFonts w:ascii="Courier New" w:hAnsi="Courier New" w:cs="Courier New" w:hint="default"/>
      </w:rPr>
    </w:lvl>
    <w:lvl w:ilvl="5" w:tplc="040E0005">
      <w:start w:val="1"/>
      <w:numFmt w:val="bullet"/>
      <w:lvlText w:val=""/>
      <w:lvlJc w:val="left"/>
      <w:pPr>
        <w:ind w:left="4746" w:hanging="360"/>
      </w:pPr>
      <w:rPr>
        <w:rFonts w:ascii="Wingdings" w:hAnsi="Wingdings" w:hint="default"/>
      </w:rPr>
    </w:lvl>
    <w:lvl w:ilvl="6" w:tplc="040E0001">
      <w:start w:val="1"/>
      <w:numFmt w:val="bullet"/>
      <w:lvlText w:val=""/>
      <w:lvlJc w:val="left"/>
      <w:pPr>
        <w:ind w:left="5466" w:hanging="360"/>
      </w:pPr>
      <w:rPr>
        <w:rFonts w:ascii="Symbol" w:hAnsi="Symbol" w:hint="default"/>
      </w:rPr>
    </w:lvl>
    <w:lvl w:ilvl="7" w:tplc="040E0003">
      <w:start w:val="1"/>
      <w:numFmt w:val="bullet"/>
      <w:lvlText w:val="o"/>
      <w:lvlJc w:val="left"/>
      <w:pPr>
        <w:ind w:left="6186" w:hanging="360"/>
      </w:pPr>
      <w:rPr>
        <w:rFonts w:ascii="Courier New" w:hAnsi="Courier New" w:cs="Courier New" w:hint="default"/>
      </w:rPr>
    </w:lvl>
    <w:lvl w:ilvl="8" w:tplc="040E0005">
      <w:start w:val="1"/>
      <w:numFmt w:val="bullet"/>
      <w:lvlText w:val=""/>
      <w:lvlJc w:val="left"/>
      <w:pPr>
        <w:ind w:left="6906" w:hanging="360"/>
      </w:pPr>
      <w:rPr>
        <w:rFonts w:ascii="Wingdings" w:hAnsi="Wingdings" w:hint="default"/>
      </w:rPr>
    </w:lvl>
  </w:abstractNum>
  <w:abstractNum w:abstractNumId="1" w15:restartNumberingAfterBreak="0">
    <w:nsid w:val="00DD5200"/>
    <w:multiLevelType w:val="hybridMultilevel"/>
    <w:tmpl w:val="1DA469A0"/>
    <w:lvl w:ilvl="0" w:tplc="C2D8519A">
      <w:start w:val="1"/>
      <w:numFmt w:val="decimal"/>
      <w:lvlText w:val="%1."/>
      <w:lvlJc w:val="left"/>
      <w:pPr>
        <w:ind w:left="644" w:hanging="360"/>
      </w:pPr>
      <w:rPr>
        <w:rFonts w:eastAsiaTheme="minorHAnsi"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00FD1096"/>
    <w:multiLevelType w:val="hybridMultilevel"/>
    <w:tmpl w:val="ED986E80"/>
    <w:lvl w:ilvl="0" w:tplc="F90AA5CA">
      <w:numFmt w:val="bullet"/>
      <w:lvlText w:val="-"/>
      <w:lvlJc w:val="left"/>
      <w:pPr>
        <w:ind w:left="1145" w:hanging="360"/>
      </w:pPr>
      <w:rPr>
        <w:rFonts w:ascii="Times New Roman" w:eastAsia="Times New Roman" w:hAnsi="Times New Roman"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3" w15:restartNumberingAfterBreak="0">
    <w:nsid w:val="010D108B"/>
    <w:multiLevelType w:val="hybridMultilevel"/>
    <w:tmpl w:val="ACFCD04E"/>
    <w:lvl w:ilvl="0" w:tplc="13621A52">
      <w:start w:val="1"/>
      <w:numFmt w:val="decimal"/>
      <w:lvlText w:val="%1."/>
      <w:lvlJc w:val="left"/>
      <w:pPr>
        <w:ind w:left="108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0118111F"/>
    <w:multiLevelType w:val="hybridMultilevel"/>
    <w:tmpl w:val="22A8D272"/>
    <w:lvl w:ilvl="0" w:tplc="EE304406">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011B1483"/>
    <w:multiLevelType w:val="hybridMultilevel"/>
    <w:tmpl w:val="56D8173C"/>
    <w:lvl w:ilvl="0" w:tplc="F29CF34C">
      <w:start w:val="1"/>
      <w:numFmt w:val="bullet"/>
      <w:lvlText w:val=""/>
      <w:lvlJc w:val="left"/>
      <w:pPr>
        <w:ind w:left="1146" w:hanging="360"/>
      </w:pPr>
      <w:rPr>
        <w:rFonts w:ascii="Symbol" w:hAnsi="Symbol" w:hint="default"/>
      </w:rPr>
    </w:lvl>
    <w:lvl w:ilvl="1" w:tplc="040E0003">
      <w:start w:val="1"/>
      <w:numFmt w:val="bullet"/>
      <w:lvlText w:val="o"/>
      <w:lvlJc w:val="left"/>
      <w:pPr>
        <w:ind w:left="1866" w:hanging="360"/>
      </w:pPr>
      <w:rPr>
        <w:rFonts w:ascii="Courier New" w:hAnsi="Courier New" w:cs="Courier New" w:hint="default"/>
      </w:rPr>
    </w:lvl>
    <w:lvl w:ilvl="2" w:tplc="040E0005">
      <w:start w:val="1"/>
      <w:numFmt w:val="bullet"/>
      <w:lvlText w:val=""/>
      <w:lvlJc w:val="left"/>
      <w:pPr>
        <w:ind w:left="2586" w:hanging="360"/>
      </w:pPr>
      <w:rPr>
        <w:rFonts w:ascii="Wingdings" w:hAnsi="Wingdings" w:hint="default"/>
      </w:rPr>
    </w:lvl>
    <w:lvl w:ilvl="3" w:tplc="040E0001">
      <w:start w:val="1"/>
      <w:numFmt w:val="bullet"/>
      <w:lvlText w:val=""/>
      <w:lvlJc w:val="left"/>
      <w:pPr>
        <w:ind w:left="3306" w:hanging="360"/>
      </w:pPr>
      <w:rPr>
        <w:rFonts w:ascii="Symbol" w:hAnsi="Symbol" w:hint="default"/>
      </w:rPr>
    </w:lvl>
    <w:lvl w:ilvl="4" w:tplc="040E0003">
      <w:start w:val="1"/>
      <w:numFmt w:val="bullet"/>
      <w:lvlText w:val="o"/>
      <w:lvlJc w:val="left"/>
      <w:pPr>
        <w:ind w:left="4026" w:hanging="360"/>
      </w:pPr>
      <w:rPr>
        <w:rFonts w:ascii="Courier New" w:hAnsi="Courier New" w:cs="Courier New" w:hint="default"/>
      </w:rPr>
    </w:lvl>
    <w:lvl w:ilvl="5" w:tplc="040E0005">
      <w:start w:val="1"/>
      <w:numFmt w:val="bullet"/>
      <w:lvlText w:val=""/>
      <w:lvlJc w:val="left"/>
      <w:pPr>
        <w:ind w:left="4746" w:hanging="360"/>
      </w:pPr>
      <w:rPr>
        <w:rFonts w:ascii="Wingdings" w:hAnsi="Wingdings" w:hint="default"/>
      </w:rPr>
    </w:lvl>
    <w:lvl w:ilvl="6" w:tplc="040E0001">
      <w:start w:val="1"/>
      <w:numFmt w:val="bullet"/>
      <w:lvlText w:val=""/>
      <w:lvlJc w:val="left"/>
      <w:pPr>
        <w:ind w:left="5466" w:hanging="360"/>
      </w:pPr>
      <w:rPr>
        <w:rFonts w:ascii="Symbol" w:hAnsi="Symbol" w:hint="default"/>
      </w:rPr>
    </w:lvl>
    <w:lvl w:ilvl="7" w:tplc="040E0003">
      <w:start w:val="1"/>
      <w:numFmt w:val="bullet"/>
      <w:lvlText w:val="o"/>
      <w:lvlJc w:val="left"/>
      <w:pPr>
        <w:ind w:left="6186" w:hanging="360"/>
      </w:pPr>
      <w:rPr>
        <w:rFonts w:ascii="Courier New" w:hAnsi="Courier New" w:cs="Courier New" w:hint="default"/>
      </w:rPr>
    </w:lvl>
    <w:lvl w:ilvl="8" w:tplc="040E0005">
      <w:start w:val="1"/>
      <w:numFmt w:val="bullet"/>
      <w:lvlText w:val=""/>
      <w:lvlJc w:val="left"/>
      <w:pPr>
        <w:ind w:left="6906" w:hanging="360"/>
      </w:pPr>
      <w:rPr>
        <w:rFonts w:ascii="Wingdings" w:hAnsi="Wingdings" w:hint="default"/>
      </w:rPr>
    </w:lvl>
  </w:abstractNum>
  <w:abstractNum w:abstractNumId="6" w15:restartNumberingAfterBreak="0">
    <w:nsid w:val="0128795E"/>
    <w:multiLevelType w:val="hybridMultilevel"/>
    <w:tmpl w:val="3F284C56"/>
    <w:lvl w:ilvl="0" w:tplc="209EA3D8">
      <w:start w:val="1"/>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7" w15:restartNumberingAfterBreak="0">
    <w:nsid w:val="021A3DCD"/>
    <w:multiLevelType w:val="hybridMultilevel"/>
    <w:tmpl w:val="57E45516"/>
    <w:lvl w:ilvl="0" w:tplc="F90AA5CA">
      <w:numFmt w:val="bullet"/>
      <w:lvlText w:val="-"/>
      <w:lvlJc w:val="left"/>
      <w:pPr>
        <w:ind w:left="1145" w:hanging="360"/>
      </w:pPr>
      <w:rPr>
        <w:rFonts w:ascii="Times New Roman" w:eastAsia="Times New Roman" w:hAnsi="Times New Roman" w:cs="Times New Roman" w:hint="default"/>
      </w:rPr>
    </w:lvl>
    <w:lvl w:ilvl="1" w:tplc="040E0003">
      <w:start w:val="1"/>
      <w:numFmt w:val="bullet"/>
      <w:lvlText w:val="o"/>
      <w:lvlJc w:val="left"/>
      <w:pPr>
        <w:ind w:left="1865" w:hanging="360"/>
      </w:pPr>
      <w:rPr>
        <w:rFonts w:ascii="Courier New" w:hAnsi="Courier New" w:cs="Courier New" w:hint="default"/>
      </w:rPr>
    </w:lvl>
    <w:lvl w:ilvl="2" w:tplc="040E0005">
      <w:start w:val="1"/>
      <w:numFmt w:val="bullet"/>
      <w:lvlText w:val=""/>
      <w:lvlJc w:val="left"/>
      <w:pPr>
        <w:ind w:left="2585" w:hanging="360"/>
      </w:pPr>
      <w:rPr>
        <w:rFonts w:ascii="Wingdings" w:hAnsi="Wingdings" w:hint="default"/>
      </w:rPr>
    </w:lvl>
    <w:lvl w:ilvl="3" w:tplc="040E0001">
      <w:start w:val="1"/>
      <w:numFmt w:val="bullet"/>
      <w:lvlText w:val=""/>
      <w:lvlJc w:val="left"/>
      <w:pPr>
        <w:ind w:left="3305" w:hanging="360"/>
      </w:pPr>
      <w:rPr>
        <w:rFonts w:ascii="Symbol" w:hAnsi="Symbol" w:hint="default"/>
      </w:rPr>
    </w:lvl>
    <w:lvl w:ilvl="4" w:tplc="040E0003">
      <w:start w:val="1"/>
      <w:numFmt w:val="bullet"/>
      <w:lvlText w:val="o"/>
      <w:lvlJc w:val="left"/>
      <w:pPr>
        <w:ind w:left="4025" w:hanging="360"/>
      </w:pPr>
      <w:rPr>
        <w:rFonts w:ascii="Courier New" w:hAnsi="Courier New" w:cs="Courier New" w:hint="default"/>
      </w:rPr>
    </w:lvl>
    <w:lvl w:ilvl="5" w:tplc="040E0005">
      <w:start w:val="1"/>
      <w:numFmt w:val="bullet"/>
      <w:lvlText w:val=""/>
      <w:lvlJc w:val="left"/>
      <w:pPr>
        <w:ind w:left="4745" w:hanging="360"/>
      </w:pPr>
      <w:rPr>
        <w:rFonts w:ascii="Wingdings" w:hAnsi="Wingdings" w:hint="default"/>
      </w:rPr>
    </w:lvl>
    <w:lvl w:ilvl="6" w:tplc="040E0001">
      <w:start w:val="1"/>
      <w:numFmt w:val="bullet"/>
      <w:lvlText w:val=""/>
      <w:lvlJc w:val="left"/>
      <w:pPr>
        <w:ind w:left="5465" w:hanging="360"/>
      </w:pPr>
      <w:rPr>
        <w:rFonts w:ascii="Symbol" w:hAnsi="Symbol" w:hint="default"/>
      </w:rPr>
    </w:lvl>
    <w:lvl w:ilvl="7" w:tplc="040E0003">
      <w:start w:val="1"/>
      <w:numFmt w:val="bullet"/>
      <w:lvlText w:val="o"/>
      <w:lvlJc w:val="left"/>
      <w:pPr>
        <w:ind w:left="6185" w:hanging="360"/>
      </w:pPr>
      <w:rPr>
        <w:rFonts w:ascii="Courier New" w:hAnsi="Courier New" w:cs="Courier New" w:hint="default"/>
      </w:rPr>
    </w:lvl>
    <w:lvl w:ilvl="8" w:tplc="040E0005">
      <w:start w:val="1"/>
      <w:numFmt w:val="bullet"/>
      <w:lvlText w:val=""/>
      <w:lvlJc w:val="left"/>
      <w:pPr>
        <w:ind w:left="6905" w:hanging="360"/>
      </w:pPr>
      <w:rPr>
        <w:rFonts w:ascii="Wingdings" w:hAnsi="Wingdings" w:hint="default"/>
      </w:rPr>
    </w:lvl>
  </w:abstractNum>
  <w:abstractNum w:abstractNumId="8" w15:restartNumberingAfterBreak="0">
    <w:nsid w:val="0239747D"/>
    <w:multiLevelType w:val="hybridMultilevel"/>
    <w:tmpl w:val="4A5071A0"/>
    <w:lvl w:ilvl="0" w:tplc="98BA7C34">
      <w:start w:val="1"/>
      <w:numFmt w:val="decimal"/>
      <w:lvlText w:val="%1."/>
      <w:lvlJc w:val="left"/>
      <w:pPr>
        <w:ind w:left="1080" w:hanging="360"/>
      </w:pPr>
    </w:lvl>
    <w:lvl w:ilvl="1" w:tplc="040E0019">
      <w:start w:val="1"/>
      <w:numFmt w:val="lowerLetter"/>
      <w:lvlText w:val="%2."/>
      <w:lvlJc w:val="left"/>
      <w:pPr>
        <w:ind w:left="1800" w:hanging="360"/>
      </w:pPr>
    </w:lvl>
    <w:lvl w:ilvl="2" w:tplc="040E001B">
      <w:start w:val="1"/>
      <w:numFmt w:val="lowerRoman"/>
      <w:lvlText w:val="%3."/>
      <w:lvlJc w:val="right"/>
      <w:pPr>
        <w:ind w:left="2520" w:hanging="180"/>
      </w:pPr>
    </w:lvl>
    <w:lvl w:ilvl="3" w:tplc="040E000F">
      <w:start w:val="1"/>
      <w:numFmt w:val="decimal"/>
      <w:lvlText w:val="%4."/>
      <w:lvlJc w:val="left"/>
      <w:pPr>
        <w:ind w:left="3240" w:hanging="360"/>
      </w:pPr>
    </w:lvl>
    <w:lvl w:ilvl="4" w:tplc="040E0019">
      <w:start w:val="1"/>
      <w:numFmt w:val="lowerLetter"/>
      <w:lvlText w:val="%5."/>
      <w:lvlJc w:val="left"/>
      <w:pPr>
        <w:ind w:left="3960" w:hanging="360"/>
      </w:pPr>
    </w:lvl>
    <w:lvl w:ilvl="5" w:tplc="040E001B">
      <w:start w:val="1"/>
      <w:numFmt w:val="lowerRoman"/>
      <w:lvlText w:val="%6."/>
      <w:lvlJc w:val="right"/>
      <w:pPr>
        <w:ind w:left="4680" w:hanging="180"/>
      </w:pPr>
    </w:lvl>
    <w:lvl w:ilvl="6" w:tplc="040E000F">
      <w:start w:val="1"/>
      <w:numFmt w:val="decimal"/>
      <w:lvlText w:val="%7."/>
      <w:lvlJc w:val="left"/>
      <w:pPr>
        <w:ind w:left="5400" w:hanging="360"/>
      </w:pPr>
    </w:lvl>
    <w:lvl w:ilvl="7" w:tplc="040E0019">
      <w:start w:val="1"/>
      <w:numFmt w:val="lowerLetter"/>
      <w:lvlText w:val="%8."/>
      <w:lvlJc w:val="left"/>
      <w:pPr>
        <w:ind w:left="6120" w:hanging="360"/>
      </w:pPr>
    </w:lvl>
    <w:lvl w:ilvl="8" w:tplc="040E001B">
      <w:start w:val="1"/>
      <w:numFmt w:val="lowerRoman"/>
      <w:lvlText w:val="%9."/>
      <w:lvlJc w:val="right"/>
      <w:pPr>
        <w:ind w:left="6840" w:hanging="180"/>
      </w:pPr>
    </w:lvl>
  </w:abstractNum>
  <w:abstractNum w:abstractNumId="9" w15:restartNumberingAfterBreak="0">
    <w:nsid w:val="024A0680"/>
    <w:multiLevelType w:val="hybridMultilevel"/>
    <w:tmpl w:val="2A5A3AAC"/>
    <w:lvl w:ilvl="0" w:tplc="DBDC3AEE">
      <w:start w:val="1"/>
      <w:numFmt w:val="decimal"/>
      <w:lvlText w:val="%1."/>
      <w:lvlJc w:val="left"/>
      <w:pPr>
        <w:ind w:left="101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02582574"/>
    <w:multiLevelType w:val="hybridMultilevel"/>
    <w:tmpl w:val="354E6E46"/>
    <w:lvl w:ilvl="0" w:tplc="A5FAF8EC">
      <w:start w:val="1"/>
      <w:numFmt w:val="decimal"/>
      <w:lvlText w:val="%1."/>
      <w:lvlJc w:val="left"/>
      <w:pPr>
        <w:ind w:left="644"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028962C5"/>
    <w:multiLevelType w:val="hybridMultilevel"/>
    <w:tmpl w:val="FE3E234A"/>
    <w:lvl w:ilvl="0" w:tplc="157447CC">
      <w:start w:val="1"/>
      <w:numFmt w:val="decimal"/>
      <w:lvlText w:val="%1."/>
      <w:lvlJc w:val="left"/>
      <w:pPr>
        <w:ind w:left="1636" w:hanging="360"/>
      </w:pPr>
      <w:rPr>
        <w:rFonts w:hint="default"/>
        <w:b w:val="0"/>
      </w:rPr>
    </w:lvl>
    <w:lvl w:ilvl="1" w:tplc="040E0019">
      <w:start w:val="1"/>
      <w:numFmt w:val="lowerLetter"/>
      <w:lvlText w:val="%2."/>
      <w:lvlJc w:val="left"/>
      <w:pPr>
        <w:ind w:left="2356" w:hanging="360"/>
      </w:pPr>
    </w:lvl>
    <w:lvl w:ilvl="2" w:tplc="040E001B" w:tentative="1">
      <w:start w:val="1"/>
      <w:numFmt w:val="lowerRoman"/>
      <w:lvlText w:val="%3."/>
      <w:lvlJc w:val="right"/>
      <w:pPr>
        <w:ind w:left="3076" w:hanging="180"/>
      </w:pPr>
    </w:lvl>
    <w:lvl w:ilvl="3" w:tplc="040E000F" w:tentative="1">
      <w:start w:val="1"/>
      <w:numFmt w:val="decimal"/>
      <w:lvlText w:val="%4."/>
      <w:lvlJc w:val="left"/>
      <w:pPr>
        <w:ind w:left="3796" w:hanging="360"/>
      </w:pPr>
    </w:lvl>
    <w:lvl w:ilvl="4" w:tplc="040E0019" w:tentative="1">
      <w:start w:val="1"/>
      <w:numFmt w:val="lowerLetter"/>
      <w:lvlText w:val="%5."/>
      <w:lvlJc w:val="left"/>
      <w:pPr>
        <w:ind w:left="4516" w:hanging="360"/>
      </w:pPr>
    </w:lvl>
    <w:lvl w:ilvl="5" w:tplc="040E001B" w:tentative="1">
      <w:start w:val="1"/>
      <w:numFmt w:val="lowerRoman"/>
      <w:lvlText w:val="%6."/>
      <w:lvlJc w:val="right"/>
      <w:pPr>
        <w:ind w:left="5236" w:hanging="180"/>
      </w:pPr>
    </w:lvl>
    <w:lvl w:ilvl="6" w:tplc="040E000F" w:tentative="1">
      <w:start w:val="1"/>
      <w:numFmt w:val="decimal"/>
      <w:lvlText w:val="%7."/>
      <w:lvlJc w:val="left"/>
      <w:pPr>
        <w:ind w:left="5956" w:hanging="360"/>
      </w:pPr>
    </w:lvl>
    <w:lvl w:ilvl="7" w:tplc="040E0019" w:tentative="1">
      <w:start w:val="1"/>
      <w:numFmt w:val="lowerLetter"/>
      <w:lvlText w:val="%8."/>
      <w:lvlJc w:val="left"/>
      <w:pPr>
        <w:ind w:left="6676" w:hanging="360"/>
      </w:pPr>
    </w:lvl>
    <w:lvl w:ilvl="8" w:tplc="040E001B" w:tentative="1">
      <w:start w:val="1"/>
      <w:numFmt w:val="lowerRoman"/>
      <w:lvlText w:val="%9."/>
      <w:lvlJc w:val="right"/>
      <w:pPr>
        <w:ind w:left="7396" w:hanging="180"/>
      </w:pPr>
    </w:lvl>
  </w:abstractNum>
  <w:abstractNum w:abstractNumId="12" w15:restartNumberingAfterBreak="0">
    <w:nsid w:val="02966EF8"/>
    <w:multiLevelType w:val="hybridMultilevel"/>
    <w:tmpl w:val="F0E4F84C"/>
    <w:lvl w:ilvl="0" w:tplc="040E0017">
      <w:start w:val="1"/>
      <w:numFmt w:val="lowerLetter"/>
      <w:lvlText w:val="%1)"/>
      <w:lvlJc w:val="left"/>
      <w:pPr>
        <w:ind w:left="735" w:hanging="360"/>
      </w:pPr>
    </w:lvl>
    <w:lvl w:ilvl="1" w:tplc="040E0017">
      <w:start w:val="1"/>
      <w:numFmt w:val="lowerLetter"/>
      <w:lvlText w:val="%2)"/>
      <w:lvlJc w:val="left"/>
      <w:pPr>
        <w:ind w:left="1455" w:hanging="360"/>
      </w:pPr>
    </w:lvl>
    <w:lvl w:ilvl="2" w:tplc="040E001B">
      <w:start w:val="1"/>
      <w:numFmt w:val="lowerRoman"/>
      <w:lvlText w:val="%3."/>
      <w:lvlJc w:val="right"/>
      <w:pPr>
        <w:ind w:left="2175" w:hanging="180"/>
      </w:pPr>
    </w:lvl>
    <w:lvl w:ilvl="3" w:tplc="040E000F">
      <w:start w:val="1"/>
      <w:numFmt w:val="decimal"/>
      <w:lvlText w:val="%4."/>
      <w:lvlJc w:val="left"/>
      <w:pPr>
        <w:ind w:left="2895" w:hanging="360"/>
      </w:pPr>
    </w:lvl>
    <w:lvl w:ilvl="4" w:tplc="040E0019">
      <w:start w:val="1"/>
      <w:numFmt w:val="lowerLetter"/>
      <w:lvlText w:val="%5."/>
      <w:lvlJc w:val="left"/>
      <w:pPr>
        <w:ind w:left="3615" w:hanging="360"/>
      </w:pPr>
    </w:lvl>
    <w:lvl w:ilvl="5" w:tplc="040E001B">
      <w:start w:val="1"/>
      <w:numFmt w:val="lowerRoman"/>
      <w:lvlText w:val="%6."/>
      <w:lvlJc w:val="right"/>
      <w:pPr>
        <w:ind w:left="4335" w:hanging="180"/>
      </w:pPr>
    </w:lvl>
    <w:lvl w:ilvl="6" w:tplc="040E000F">
      <w:start w:val="1"/>
      <w:numFmt w:val="decimal"/>
      <w:lvlText w:val="%7."/>
      <w:lvlJc w:val="left"/>
      <w:pPr>
        <w:ind w:left="5055" w:hanging="360"/>
      </w:pPr>
    </w:lvl>
    <w:lvl w:ilvl="7" w:tplc="040E0019">
      <w:start w:val="1"/>
      <w:numFmt w:val="lowerLetter"/>
      <w:lvlText w:val="%8."/>
      <w:lvlJc w:val="left"/>
      <w:pPr>
        <w:ind w:left="5775" w:hanging="360"/>
      </w:pPr>
    </w:lvl>
    <w:lvl w:ilvl="8" w:tplc="040E001B">
      <w:start w:val="1"/>
      <w:numFmt w:val="lowerRoman"/>
      <w:lvlText w:val="%9."/>
      <w:lvlJc w:val="right"/>
      <w:pPr>
        <w:ind w:left="6495" w:hanging="180"/>
      </w:pPr>
    </w:lvl>
  </w:abstractNum>
  <w:abstractNum w:abstractNumId="13" w15:restartNumberingAfterBreak="0">
    <w:nsid w:val="02BA4E8D"/>
    <w:multiLevelType w:val="multilevel"/>
    <w:tmpl w:val="DC3C69AC"/>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4" w15:restartNumberingAfterBreak="0">
    <w:nsid w:val="02FC2704"/>
    <w:multiLevelType w:val="hybridMultilevel"/>
    <w:tmpl w:val="0AA82C70"/>
    <w:lvl w:ilvl="0" w:tplc="D9BA6CD6">
      <w:start w:val="1"/>
      <w:numFmt w:val="decimal"/>
      <w:lvlText w:val="%1."/>
      <w:lvlJc w:val="left"/>
      <w:pPr>
        <w:ind w:left="1010" w:hanging="360"/>
      </w:pPr>
    </w:lvl>
    <w:lvl w:ilvl="1" w:tplc="613EED8C">
      <w:start w:val="1"/>
      <w:numFmt w:val="bullet"/>
      <w:lvlText w:val=""/>
      <w:lvlJc w:val="left"/>
      <w:pPr>
        <w:tabs>
          <w:tab w:val="num" w:pos="1730"/>
        </w:tabs>
        <w:ind w:left="1730" w:hanging="360"/>
      </w:pPr>
      <w:rPr>
        <w:rFonts w:ascii="Wingdings" w:hAnsi="Wingdings" w:hint="default"/>
      </w:rPr>
    </w:lvl>
    <w:lvl w:ilvl="2" w:tplc="04090005">
      <w:start w:val="1"/>
      <w:numFmt w:val="bullet"/>
      <w:lvlText w:val=""/>
      <w:lvlJc w:val="left"/>
      <w:pPr>
        <w:ind w:left="2450" w:hanging="360"/>
      </w:pPr>
      <w:rPr>
        <w:rFonts w:ascii="Wingdings" w:hAnsi="Wingdings" w:hint="default"/>
      </w:rPr>
    </w:lvl>
    <w:lvl w:ilvl="3" w:tplc="04090001">
      <w:start w:val="1"/>
      <w:numFmt w:val="bullet"/>
      <w:lvlText w:val=""/>
      <w:lvlJc w:val="left"/>
      <w:pPr>
        <w:ind w:left="3170" w:hanging="360"/>
      </w:pPr>
      <w:rPr>
        <w:rFonts w:ascii="Symbol" w:hAnsi="Symbol" w:hint="default"/>
      </w:rPr>
    </w:lvl>
    <w:lvl w:ilvl="4" w:tplc="04090003">
      <w:start w:val="1"/>
      <w:numFmt w:val="bullet"/>
      <w:lvlText w:val="o"/>
      <w:lvlJc w:val="left"/>
      <w:pPr>
        <w:ind w:left="3890" w:hanging="360"/>
      </w:pPr>
      <w:rPr>
        <w:rFonts w:ascii="Courier New" w:hAnsi="Courier New" w:cs="Times New Roman" w:hint="default"/>
      </w:rPr>
    </w:lvl>
    <w:lvl w:ilvl="5" w:tplc="04090005">
      <w:start w:val="1"/>
      <w:numFmt w:val="bullet"/>
      <w:lvlText w:val=""/>
      <w:lvlJc w:val="left"/>
      <w:pPr>
        <w:ind w:left="4610" w:hanging="360"/>
      </w:pPr>
      <w:rPr>
        <w:rFonts w:ascii="Wingdings" w:hAnsi="Wingdings" w:hint="default"/>
      </w:rPr>
    </w:lvl>
    <w:lvl w:ilvl="6" w:tplc="04090001">
      <w:start w:val="1"/>
      <w:numFmt w:val="bullet"/>
      <w:lvlText w:val=""/>
      <w:lvlJc w:val="left"/>
      <w:pPr>
        <w:ind w:left="5330" w:hanging="360"/>
      </w:pPr>
      <w:rPr>
        <w:rFonts w:ascii="Symbol" w:hAnsi="Symbol" w:hint="default"/>
      </w:rPr>
    </w:lvl>
    <w:lvl w:ilvl="7" w:tplc="04090003">
      <w:start w:val="1"/>
      <w:numFmt w:val="bullet"/>
      <w:lvlText w:val="o"/>
      <w:lvlJc w:val="left"/>
      <w:pPr>
        <w:ind w:left="6050" w:hanging="360"/>
      </w:pPr>
      <w:rPr>
        <w:rFonts w:ascii="Courier New" w:hAnsi="Courier New" w:cs="Times New Roman" w:hint="default"/>
      </w:rPr>
    </w:lvl>
    <w:lvl w:ilvl="8" w:tplc="04090005">
      <w:start w:val="1"/>
      <w:numFmt w:val="bullet"/>
      <w:lvlText w:val=""/>
      <w:lvlJc w:val="left"/>
      <w:pPr>
        <w:ind w:left="6770" w:hanging="360"/>
      </w:pPr>
      <w:rPr>
        <w:rFonts w:ascii="Wingdings" w:hAnsi="Wingdings" w:hint="default"/>
      </w:rPr>
    </w:lvl>
  </w:abstractNum>
  <w:abstractNum w:abstractNumId="15" w15:restartNumberingAfterBreak="0">
    <w:nsid w:val="0315705A"/>
    <w:multiLevelType w:val="multilevel"/>
    <w:tmpl w:val="61B49852"/>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4"/>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6" w15:restartNumberingAfterBreak="0">
    <w:nsid w:val="032E3227"/>
    <w:multiLevelType w:val="multilevel"/>
    <w:tmpl w:val="867833F4"/>
    <w:lvl w:ilvl="0">
      <w:start w:val="8"/>
      <w:numFmt w:val="decimal"/>
      <w:lvlText w:val="%1."/>
      <w:lvlJc w:val="left"/>
      <w:pPr>
        <w:ind w:left="540" w:hanging="540"/>
      </w:pPr>
      <w:rPr>
        <w:rFonts w:hint="default"/>
      </w:rPr>
    </w:lvl>
    <w:lvl w:ilvl="1">
      <w:start w:val="1"/>
      <w:numFmt w:val="decimal"/>
      <w:lvlText w:val="%1.%2."/>
      <w:lvlJc w:val="left"/>
      <w:pPr>
        <w:ind w:left="753" w:hanging="54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17" w15:restartNumberingAfterBreak="0">
    <w:nsid w:val="034220CF"/>
    <w:multiLevelType w:val="multilevel"/>
    <w:tmpl w:val="B7AE1C32"/>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8" w15:restartNumberingAfterBreak="0">
    <w:nsid w:val="03476872"/>
    <w:multiLevelType w:val="multilevel"/>
    <w:tmpl w:val="23D0630A"/>
    <w:lvl w:ilvl="0">
      <w:start w:val="1"/>
      <w:numFmt w:val="decimal"/>
      <w:lvlText w:val="%1."/>
      <w:lvlJc w:val="left"/>
      <w:pPr>
        <w:tabs>
          <w:tab w:val="num" w:pos="360"/>
        </w:tabs>
        <w:ind w:left="360" w:hanging="360"/>
      </w:pPr>
      <w:rPr>
        <w:rFonts w:cs="Times New Roman" w:hint="default"/>
        <w:b/>
        <w:i w:val="0"/>
        <w:sz w:val="22"/>
        <w:szCs w:val="22"/>
      </w:rPr>
    </w:lvl>
    <w:lvl w:ilvl="1">
      <w:start w:val="1"/>
      <w:numFmt w:val="decimal"/>
      <w:lvlText w:val="%1.%2."/>
      <w:lvlJc w:val="left"/>
      <w:pPr>
        <w:tabs>
          <w:tab w:val="num" w:pos="792"/>
        </w:tabs>
        <w:ind w:left="792" w:hanging="432"/>
      </w:pPr>
      <w:rPr>
        <w:rFonts w:cs="Times New Roman"/>
        <w:b/>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9" w15:restartNumberingAfterBreak="0">
    <w:nsid w:val="03602D46"/>
    <w:multiLevelType w:val="multilevel"/>
    <w:tmpl w:val="ED660598"/>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4"/>
        <w:szCs w:val="24"/>
        <w:u w:val="none"/>
        <w:effect w:val="none"/>
        <w:vertAlign w:val="baseline"/>
      </w:rPr>
    </w:lvl>
    <w:lvl w:ilvl="1">
      <w:start w:val="1"/>
      <w:numFmt w:val="decimal"/>
      <w:lvlText w:val="%1.%2."/>
      <w:lvlJc w:val="left"/>
      <w:pPr>
        <w:tabs>
          <w:tab w:val="num" w:pos="3977"/>
        </w:tabs>
        <w:ind w:left="3977" w:hanging="432"/>
      </w:pPr>
      <w:rPr>
        <w:rFonts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0" w15:restartNumberingAfterBreak="0">
    <w:nsid w:val="037F5E50"/>
    <w:multiLevelType w:val="hybridMultilevel"/>
    <w:tmpl w:val="C4F21EF6"/>
    <w:lvl w:ilvl="0" w:tplc="5AF25A0C">
      <w:start w:val="1"/>
      <w:numFmt w:val="decimal"/>
      <w:lvlText w:val="%1."/>
      <w:lvlJc w:val="left"/>
      <w:pPr>
        <w:ind w:left="1581"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15:restartNumberingAfterBreak="0">
    <w:nsid w:val="038542E0"/>
    <w:multiLevelType w:val="hybridMultilevel"/>
    <w:tmpl w:val="924E589A"/>
    <w:lvl w:ilvl="0" w:tplc="CEFE846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15:restartNumberingAfterBreak="0">
    <w:nsid w:val="03E93C0B"/>
    <w:multiLevelType w:val="hybridMultilevel"/>
    <w:tmpl w:val="66927DBE"/>
    <w:lvl w:ilvl="0" w:tplc="040E000F">
      <w:start w:val="1"/>
      <w:numFmt w:val="decimal"/>
      <w:lvlText w:val="%1."/>
      <w:lvlJc w:val="left"/>
      <w:pPr>
        <w:ind w:left="1512" w:hanging="360"/>
      </w:pPr>
    </w:lvl>
    <w:lvl w:ilvl="1" w:tplc="040E0019" w:tentative="1">
      <w:start w:val="1"/>
      <w:numFmt w:val="lowerLetter"/>
      <w:lvlText w:val="%2."/>
      <w:lvlJc w:val="left"/>
      <w:pPr>
        <w:ind w:left="2232" w:hanging="360"/>
      </w:pPr>
    </w:lvl>
    <w:lvl w:ilvl="2" w:tplc="040E001B" w:tentative="1">
      <w:start w:val="1"/>
      <w:numFmt w:val="lowerRoman"/>
      <w:lvlText w:val="%3."/>
      <w:lvlJc w:val="right"/>
      <w:pPr>
        <w:ind w:left="2952" w:hanging="180"/>
      </w:pPr>
    </w:lvl>
    <w:lvl w:ilvl="3" w:tplc="040E000F" w:tentative="1">
      <w:start w:val="1"/>
      <w:numFmt w:val="decimal"/>
      <w:lvlText w:val="%4."/>
      <w:lvlJc w:val="left"/>
      <w:pPr>
        <w:ind w:left="3672" w:hanging="360"/>
      </w:pPr>
    </w:lvl>
    <w:lvl w:ilvl="4" w:tplc="040E0019" w:tentative="1">
      <w:start w:val="1"/>
      <w:numFmt w:val="lowerLetter"/>
      <w:lvlText w:val="%5."/>
      <w:lvlJc w:val="left"/>
      <w:pPr>
        <w:ind w:left="4392" w:hanging="360"/>
      </w:pPr>
    </w:lvl>
    <w:lvl w:ilvl="5" w:tplc="040E001B" w:tentative="1">
      <w:start w:val="1"/>
      <w:numFmt w:val="lowerRoman"/>
      <w:lvlText w:val="%6."/>
      <w:lvlJc w:val="right"/>
      <w:pPr>
        <w:ind w:left="5112" w:hanging="180"/>
      </w:pPr>
    </w:lvl>
    <w:lvl w:ilvl="6" w:tplc="040E000F" w:tentative="1">
      <w:start w:val="1"/>
      <w:numFmt w:val="decimal"/>
      <w:lvlText w:val="%7."/>
      <w:lvlJc w:val="left"/>
      <w:pPr>
        <w:ind w:left="5832" w:hanging="360"/>
      </w:pPr>
    </w:lvl>
    <w:lvl w:ilvl="7" w:tplc="040E0019" w:tentative="1">
      <w:start w:val="1"/>
      <w:numFmt w:val="lowerLetter"/>
      <w:lvlText w:val="%8."/>
      <w:lvlJc w:val="left"/>
      <w:pPr>
        <w:ind w:left="6552" w:hanging="360"/>
      </w:pPr>
    </w:lvl>
    <w:lvl w:ilvl="8" w:tplc="040E001B" w:tentative="1">
      <w:start w:val="1"/>
      <w:numFmt w:val="lowerRoman"/>
      <w:lvlText w:val="%9."/>
      <w:lvlJc w:val="right"/>
      <w:pPr>
        <w:ind w:left="7272" w:hanging="180"/>
      </w:pPr>
    </w:lvl>
  </w:abstractNum>
  <w:abstractNum w:abstractNumId="23" w15:restartNumberingAfterBreak="0">
    <w:nsid w:val="03FA3B53"/>
    <w:multiLevelType w:val="hybridMultilevel"/>
    <w:tmpl w:val="B2AC2532"/>
    <w:lvl w:ilvl="0" w:tplc="C2CE01A6">
      <w:numFmt w:val="bullet"/>
      <w:lvlText w:val="-"/>
      <w:lvlJc w:val="left"/>
      <w:pPr>
        <w:ind w:left="786" w:hanging="360"/>
      </w:pPr>
      <w:rPr>
        <w:rFonts w:ascii="Times New Roman" w:eastAsia="Times New Roman" w:hAnsi="Times New Roman" w:cs="Times New Roman" w:hint="default"/>
        <w:b/>
      </w:rPr>
    </w:lvl>
    <w:lvl w:ilvl="1" w:tplc="040E0003">
      <w:start w:val="1"/>
      <w:numFmt w:val="bullet"/>
      <w:lvlText w:val="o"/>
      <w:lvlJc w:val="left"/>
      <w:pPr>
        <w:ind w:left="1506" w:hanging="360"/>
      </w:pPr>
      <w:rPr>
        <w:rFonts w:ascii="Courier New" w:hAnsi="Courier New" w:cs="Courier New" w:hint="default"/>
      </w:rPr>
    </w:lvl>
    <w:lvl w:ilvl="2" w:tplc="040E0005">
      <w:start w:val="1"/>
      <w:numFmt w:val="bullet"/>
      <w:lvlText w:val=""/>
      <w:lvlJc w:val="left"/>
      <w:pPr>
        <w:ind w:left="2226" w:hanging="360"/>
      </w:pPr>
      <w:rPr>
        <w:rFonts w:ascii="Wingdings" w:hAnsi="Wingdings" w:hint="default"/>
      </w:rPr>
    </w:lvl>
    <w:lvl w:ilvl="3" w:tplc="040E0001">
      <w:start w:val="1"/>
      <w:numFmt w:val="bullet"/>
      <w:lvlText w:val=""/>
      <w:lvlJc w:val="left"/>
      <w:pPr>
        <w:ind w:left="2946" w:hanging="360"/>
      </w:pPr>
      <w:rPr>
        <w:rFonts w:ascii="Symbol" w:hAnsi="Symbol" w:hint="default"/>
      </w:rPr>
    </w:lvl>
    <w:lvl w:ilvl="4" w:tplc="040E0003">
      <w:start w:val="1"/>
      <w:numFmt w:val="bullet"/>
      <w:lvlText w:val="o"/>
      <w:lvlJc w:val="left"/>
      <w:pPr>
        <w:ind w:left="3666" w:hanging="360"/>
      </w:pPr>
      <w:rPr>
        <w:rFonts w:ascii="Courier New" w:hAnsi="Courier New" w:cs="Courier New" w:hint="default"/>
      </w:rPr>
    </w:lvl>
    <w:lvl w:ilvl="5" w:tplc="040E0005">
      <w:start w:val="1"/>
      <w:numFmt w:val="bullet"/>
      <w:lvlText w:val=""/>
      <w:lvlJc w:val="left"/>
      <w:pPr>
        <w:ind w:left="4386" w:hanging="360"/>
      </w:pPr>
      <w:rPr>
        <w:rFonts w:ascii="Wingdings" w:hAnsi="Wingdings" w:hint="default"/>
      </w:rPr>
    </w:lvl>
    <w:lvl w:ilvl="6" w:tplc="040E0001">
      <w:start w:val="1"/>
      <w:numFmt w:val="bullet"/>
      <w:lvlText w:val=""/>
      <w:lvlJc w:val="left"/>
      <w:pPr>
        <w:ind w:left="5106" w:hanging="360"/>
      </w:pPr>
      <w:rPr>
        <w:rFonts w:ascii="Symbol" w:hAnsi="Symbol" w:hint="default"/>
      </w:rPr>
    </w:lvl>
    <w:lvl w:ilvl="7" w:tplc="040E0003">
      <w:start w:val="1"/>
      <w:numFmt w:val="bullet"/>
      <w:lvlText w:val="o"/>
      <w:lvlJc w:val="left"/>
      <w:pPr>
        <w:ind w:left="5826" w:hanging="360"/>
      </w:pPr>
      <w:rPr>
        <w:rFonts w:ascii="Courier New" w:hAnsi="Courier New" w:cs="Courier New" w:hint="default"/>
      </w:rPr>
    </w:lvl>
    <w:lvl w:ilvl="8" w:tplc="040E0005">
      <w:start w:val="1"/>
      <w:numFmt w:val="bullet"/>
      <w:lvlText w:val=""/>
      <w:lvlJc w:val="left"/>
      <w:pPr>
        <w:ind w:left="6546" w:hanging="360"/>
      </w:pPr>
      <w:rPr>
        <w:rFonts w:ascii="Wingdings" w:hAnsi="Wingdings" w:hint="default"/>
      </w:rPr>
    </w:lvl>
  </w:abstractNum>
  <w:abstractNum w:abstractNumId="24" w15:restartNumberingAfterBreak="0">
    <w:nsid w:val="041120EF"/>
    <w:multiLevelType w:val="hybridMultilevel"/>
    <w:tmpl w:val="6EC05988"/>
    <w:lvl w:ilvl="0" w:tplc="F8BE491C">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 w15:restartNumberingAfterBreak="0">
    <w:nsid w:val="04183AFA"/>
    <w:multiLevelType w:val="hybridMultilevel"/>
    <w:tmpl w:val="9A203060"/>
    <w:lvl w:ilvl="0" w:tplc="39607ABC">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15:restartNumberingAfterBreak="0">
    <w:nsid w:val="043B7D8A"/>
    <w:multiLevelType w:val="multilevel"/>
    <w:tmpl w:val="C4766090"/>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7" w15:restartNumberingAfterBreak="0">
    <w:nsid w:val="045A2F7C"/>
    <w:multiLevelType w:val="hybridMultilevel"/>
    <w:tmpl w:val="D45C6AF6"/>
    <w:lvl w:ilvl="0" w:tplc="E0245610">
      <w:start w:val="1"/>
      <w:numFmt w:val="decimal"/>
      <w:lvlText w:val="%1."/>
      <w:lvlJc w:val="left"/>
      <w:pPr>
        <w:ind w:left="644"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 w15:restartNumberingAfterBreak="0">
    <w:nsid w:val="046A102D"/>
    <w:multiLevelType w:val="hybridMultilevel"/>
    <w:tmpl w:val="92FAEC10"/>
    <w:lvl w:ilvl="0" w:tplc="EC6EBAAC">
      <w:start w:val="1"/>
      <w:numFmt w:val="decimal"/>
      <w:lvlText w:val="%1."/>
      <w:lvlJc w:val="left"/>
      <w:pPr>
        <w:ind w:left="1636" w:hanging="360"/>
      </w:pPr>
      <w:rPr>
        <w:rFonts w:hint="default"/>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15:restartNumberingAfterBreak="0">
    <w:nsid w:val="04835572"/>
    <w:multiLevelType w:val="hybridMultilevel"/>
    <w:tmpl w:val="9176CF38"/>
    <w:lvl w:ilvl="0" w:tplc="2C3A0C88">
      <w:start w:val="1"/>
      <w:numFmt w:val="decimal"/>
      <w:lvlText w:val="%1."/>
      <w:lvlJc w:val="left"/>
      <w:pPr>
        <w:ind w:left="108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15:restartNumberingAfterBreak="0">
    <w:nsid w:val="049E5AD5"/>
    <w:multiLevelType w:val="hybridMultilevel"/>
    <w:tmpl w:val="5852CAAE"/>
    <w:lvl w:ilvl="0" w:tplc="CF349B7C">
      <w:start w:val="9"/>
      <w:numFmt w:val="bullet"/>
      <w:lvlText w:val="-"/>
      <w:lvlJc w:val="left"/>
      <w:pPr>
        <w:ind w:left="720" w:hanging="360"/>
      </w:pPr>
      <w:rPr>
        <w:rFonts w:ascii="Times New Roman" w:eastAsiaTheme="minorHAnsi"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31" w15:restartNumberingAfterBreak="0">
    <w:nsid w:val="04DC18F8"/>
    <w:multiLevelType w:val="hybridMultilevel"/>
    <w:tmpl w:val="28CA35D6"/>
    <w:lvl w:ilvl="0" w:tplc="2C2878FE">
      <w:start w:val="1"/>
      <w:numFmt w:val="decimal"/>
      <w:lvlText w:val="%1."/>
      <w:lvlJc w:val="left"/>
      <w:pPr>
        <w:ind w:left="786" w:hanging="360"/>
      </w:pPr>
      <w:rPr>
        <w:rFonts w:hint="default"/>
      </w:rPr>
    </w:lvl>
    <w:lvl w:ilvl="1" w:tplc="040E0019" w:tentative="1">
      <w:start w:val="1"/>
      <w:numFmt w:val="lowerLetter"/>
      <w:lvlText w:val="%2."/>
      <w:lvlJc w:val="left"/>
      <w:pPr>
        <w:ind w:left="1146" w:hanging="360"/>
      </w:pPr>
    </w:lvl>
    <w:lvl w:ilvl="2" w:tplc="040E001B" w:tentative="1">
      <w:start w:val="1"/>
      <w:numFmt w:val="lowerRoman"/>
      <w:lvlText w:val="%3."/>
      <w:lvlJc w:val="right"/>
      <w:pPr>
        <w:ind w:left="1866" w:hanging="180"/>
      </w:pPr>
    </w:lvl>
    <w:lvl w:ilvl="3" w:tplc="040E000F" w:tentative="1">
      <w:start w:val="1"/>
      <w:numFmt w:val="decimal"/>
      <w:lvlText w:val="%4."/>
      <w:lvlJc w:val="left"/>
      <w:pPr>
        <w:ind w:left="2586" w:hanging="360"/>
      </w:pPr>
    </w:lvl>
    <w:lvl w:ilvl="4" w:tplc="040E0019" w:tentative="1">
      <w:start w:val="1"/>
      <w:numFmt w:val="lowerLetter"/>
      <w:lvlText w:val="%5."/>
      <w:lvlJc w:val="left"/>
      <w:pPr>
        <w:ind w:left="3306" w:hanging="360"/>
      </w:pPr>
    </w:lvl>
    <w:lvl w:ilvl="5" w:tplc="040E001B" w:tentative="1">
      <w:start w:val="1"/>
      <w:numFmt w:val="lowerRoman"/>
      <w:lvlText w:val="%6."/>
      <w:lvlJc w:val="right"/>
      <w:pPr>
        <w:ind w:left="4026" w:hanging="180"/>
      </w:pPr>
    </w:lvl>
    <w:lvl w:ilvl="6" w:tplc="040E000F" w:tentative="1">
      <w:start w:val="1"/>
      <w:numFmt w:val="decimal"/>
      <w:lvlText w:val="%7."/>
      <w:lvlJc w:val="left"/>
      <w:pPr>
        <w:ind w:left="4746" w:hanging="360"/>
      </w:pPr>
    </w:lvl>
    <w:lvl w:ilvl="7" w:tplc="040E0019" w:tentative="1">
      <w:start w:val="1"/>
      <w:numFmt w:val="lowerLetter"/>
      <w:lvlText w:val="%8."/>
      <w:lvlJc w:val="left"/>
      <w:pPr>
        <w:ind w:left="5466" w:hanging="360"/>
      </w:pPr>
    </w:lvl>
    <w:lvl w:ilvl="8" w:tplc="040E001B" w:tentative="1">
      <w:start w:val="1"/>
      <w:numFmt w:val="lowerRoman"/>
      <w:lvlText w:val="%9."/>
      <w:lvlJc w:val="right"/>
      <w:pPr>
        <w:ind w:left="6186" w:hanging="180"/>
      </w:pPr>
    </w:lvl>
  </w:abstractNum>
  <w:abstractNum w:abstractNumId="32" w15:restartNumberingAfterBreak="0">
    <w:nsid w:val="04E15BA5"/>
    <w:multiLevelType w:val="hybridMultilevel"/>
    <w:tmpl w:val="487663F0"/>
    <w:lvl w:ilvl="0" w:tplc="868AFF7E">
      <w:start w:val="1"/>
      <w:numFmt w:val="decimal"/>
      <w:lvlText w:val="%1."/>
      <w:lvlJc w:val="left"/>
      <w:pPr>
        <w:ind w:left="720" w:hanging="360"/>
      </w:pPr>
      <w:rPr>
        <w:rFonts w:eastAsiaTheme="minorHAnsi"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 w15:restartNumberingAfterBreak="0">
    <w:nsid w:val="055B17D7"/>
    <w:multiLevelType w:val="hybridMultilevel"/>
    <w:tmpl w:val="9BFECB84"/>
    <w:lvl w:ilvl="0" w:tplc="3B405A3C">
      <w:start w:val="1"/>
      <w:numFmt w:val="decimal"/>
      <w:lvlText w:val="%1."/>
      <w:lvlJc w:val="left"/>
      <w:pPr>
        <w:ind w:left="720" w:hanging="360"/>
      </w:pPr>
      <w:rPr>
        <w:rFonts w:eastAsiaTheme="minorHAnsi"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4" w15:restartNumberingAfterBreak="0">
    <w:nsid w:val="05721F9A"/>
    <w:multiLevelType w:val="hybridMultilevel"/>
    <w:tmpl w:val="2ED62DD0"/>
    <w:lvl w:ilvl="0" w:tplc="6E4CEC9E">
      <w:start w:val="1"/>
      <w:numFmt w:val="decimal"/>
      <w:lvlText w:val="%1."/>
      <w:lvlJc w:val="left"/>
      <w:pPr>
        <w:ind w:left="644" w:hanging="360"/>
      </w:pPr>
      <w:rPr>
        <w:rFonts w:eastAsiaTheme="minorHAnsi"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 w15:restartNumberingAfterBreak="0">
    <w:nsid w:val="05C92F36"/>
    <w:multiLevelType w:val="multilevel"/>
    <w:tmpl w:val="7C28AF36"/>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4"/>
        <w:szCs w:val="24"/>
        <w:u w:val="none"/>
        <w:effect w:val="none"/>
        <w:vertAlign w:val="baseline"/>
      </w:rPr>
    </w:lvl>
    <w:lvl w:ilvl="1">
      <w:start w:val="1"/>
      <w:numFmt w:val="decimal"/>
      <w:lvlText w:val="%1.%2."/>
      <w:lvlJc w:val="left"/>
      <w:pPr>
        <w:tabs>
          <w:tab w:val="num" w:pos="3977"/>
        </w:tabs>
        <w:ind w:left="3977" w:hanging="432"/>
      </w:pPr>
      <w:rPr>
        <w:rFonts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6" w15:restartNumberingAfterBreak="0">
    <w:nsid w:val="05E564F2"/>
    <w:multiLevelType w:val="multilevel"/>
    <w:tmpl w:val="7AFA33BA"/>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7" w15:restartNumberingAfterBreak="0">
    <w:nsid w:val="05FE1441"/>
    <w:multiLevelType w:val="multilevel"/>
    <w:tmpl w:val="CCA67AE6"/>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8" w15:restartNumberingAfterBreak="0">
    <w:nsid w:val="06047751"/>
    <w:multiLevelType w:val="hybridMultilevel"/>
    <w:tmpl w:val="77C42D18"/>
    <w:lvl w:ilvl="0" w:tplc="0000629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9" w15:restartNumberingAfterBreak="0">
    <w:nsid w:val="06121849"/>
    <w:multiLevelType w:val="hybridMultilevel"/>
    <w:tmpl w:val="9D26609C"/>
    <w:lvl w:ilvl="0" w:tplc="B9A2167C">
      <w:start w:val="1"/>
      <w:numFmt w:val="decimal"/>
      <w:lvlText w:val="%1."/>
      <w:lvlJc w:val="left"/>
      <w:pPr>
        <w:ind w:left="1068" w:hanging="360"/>
      </w:pPr>
      <w:rPr>
        <w:rFonts w:hint="default"/>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40" w15:restartNumberingAfterBreak="0">
    <w:nsid w:val="06452889"/>
    <w:multiLevelType w:val="hybridMultilevel"/>
    <w:tmpl w:val="21144B06"/>
    <w:lvl w:ilvl="0" w:tplc="A106D4CC">
      <w:start w:val="8"/>
      <w:numFmt w:val="bullet"/>
      <w:lvlText w:val="-"/>
      <w:lvlJc w:val="left"/>
      <w:pPr>
        <w:ind w:left="786" w:hanging="360"/>
      </w:pPr>
      <w:rPr>
        <w:rFonts w:ascii="Times New Roman" w:eastAsia="Times New Roman" w:hAnsi="Times New Roman" w:cs="Times New Roman"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41" w15:restartNumberingAfterBreak="0">
    <w:nsid w:val="06592788"/>
    <w:multiLevelType w:val="hybridMultilevel"/>
    <w:tmpl w:val="6C32524C"/>
    <w:lvl w:ilvl="0" w:tplc="C5FAB2E8">
      <w:start w:val="1"/>
      <w:numFmt w:val="decimal"/>
      <w:lvlText w:val="%1."/>
      <w:lvlJc w:val="left"/>
      <w:pPr>
        <w:ind w:left="644" w:hanging="360"/>
      </w:pPr>
      <w:rPr>
        <w:rFonts w:eastAsiaTheme="minorHAnsi"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2" w15:restartNumberingAfterBreak="0">
    <w:nsid w:val="065A580C"/>
    <w:multiLevelType w:val="hybridMultilevel"/>
    <w:tmpl w:val="33BAD1FA"/>
    <w:lvl w:ilvl="0" w:tplc="EDFC6FEC">
      <w:numFmt w:val="bullet"/>
      <w:lvlText w:val="-"/>
      <w:lvlJc w:val="left"/>
      <w:pPr>
        <w:ind w:left="1145" w:hanging="360"/>
      </w:pPr>
      <w:rPr>
        <w:rFonts w:ascii="Times New Roman" w:eastAsia="Times New Roman" w:hAnsi="Times New Roman" w:cs="Times New Roman" w:hint="default"/>
      </w:rPr>
    </w:lvl>
    <w:lvl w:ilvl="1" w:tplc="040E0003">
      <w:start w:val="1"/>
      <w:numFmt w:val="bullet"/>
      <w:lvlText w:val="o"/>
      <w:lvlJc w:val="left"/>
      <w:pPr>
        <w:ind w:left="1865" w:hanging="360"/>
      </w:pPr>
      <w:rPr>
        <w:rFonts w:ascii="Courier New" w:hAnsi="Courier New" w:cs="Courier New" w:hint="default"/>
      </w:rPr>
    </w:lvl>
    <w:lvl w:ilvl="2" w:tplc="040E0005">
      <w:start w:val="1"/>
      <w:numFmt w:val="bullet"/>
      <w:lvlText w:val=""/>
      <w:lvlJc w:val="left"/>
      <w:pPr>
        <w:ind w:left="2585" w:hanging="360"/>
      </w:pPr>
      <w:rPr>
        <w:rFonts w:ascii="Wingdings" w:hAnsi="Wingdings" w:hint="default"/>
      </w:rPr>
    </w:lvl>
    <w:lvl w:ilvl="3" w:tplc="040E0001">
      <w:start w:val="1"/>
      <w:numFmt w:val="bullet"/>
      <w:lvlText w:val=""/>
      <w:lvlJc w:val="left"/>
      <w:pPr>
        <w:ind w:left="3305" w:hanging="360"/>
      </w:pPr>
      <w:rPr>
        <w:rFonts w:ascii="Symbol" w:hAnsi="Symbol" w:hint="default"/>
      </w:rPr>
    </w:lvl>
    <w:lvl w:ilvl="4" w:tplc="040E0003">
      <w:start w:val="1"/>
      <w:numFmt w:val="bullet"/>
      <w:lvlText w:val="o"/>
      <w:lvlJc w:val="left"/>
      <w:pPr>
        <w:ind w:left="4025" w:hanging="360"/>
      </w:pPr>
      <w:rPr>
        <w:rFonts w:ascii="Courier New" w:hAnsi="Courier New" w:cs="Courier New" w:hint="default"/>
      </w:rPr>
    </w:lvl>
    <w:lvl w:ilvl="5" w:tplc="040E0005">
      <w:start w:val="1"/>
      <w:numFmt w:val="bullet"/>
      <w:lvlText w:val=""/>
      <w:lvlJc w:val="left"/>
      <w:pPr>
        <w:ind w:left="4745" w:hanging="360"/>
      </w:pPr>
      <w:rPr>
        <w:rFonts w:ascii="Wingdings" w:hAnsi="Wingdings" w:hint="default"/>
      </w:rPr>
    </w:lvl>
    <w:lvl w:ilvl="6" w:tplc="040E0001">
      <w:start w:val="1"/>
      <w:numFmt w:val="bullet"/>
      <w:lvlText w:val=""/>
      <w:lvlJc w:val="left"/>
      <w:pPr>
        <w:ind w:left="5465" w:hanging="360"/>
      </w:pPr>
      <w:rPr>
        <w:rFonts w:ascii="Symbol" w:hAnsi="Symbol" w:hint="default"/>
      </w:rPr>
    </w:lvl>
    <w:lvl w:ilvl="7" w:tplc="040E0003">
      <w:start w:val="1"/>
      <w:numFmt w:val="bullet"/>
      <w:lvlText w:val="o"/>
      <w:lvlJc w:val="left"/>
      <w:pPr>
        <w:ind w:left="6185" w:hanging="360"/>
      </w:pPr>
      <w:rPr>
        <w:rFonts w:ascii="Courier New" w:hAnsi="Courier New" w:cs="Courier New" w:hint="default"/>
      </w:rPr>
    </w:lvl>
    <w:lvl w:ilvl="8" w:tplc="040E0005">
      <w:start w:val="1"/>
      <w:numFmt w:val="bullet"/>
      <w:lvlText w:val=""/>
      <w:lvlJc w:val="left"/>
      <w:pPr>
        <w:ind w:left="6905" w:hanging="360"/>
      </w:pPr>
      <w:rPr>
        <w:rFonts w:ascii="Wingdings" w:hAnsi="Wingdings" w:hint="default"/>
      </w:rPr>
    </w:lvl>
  </w:abstractNum>
  <w:abstractNum w:abstractNumId="43" w15:restartNumberingAfterBreak="0">
    <w:nsid w:val="066D26FD"/>
    <w:multiLevelType w:val="hybridMultilevel"/>
    <w:tmpl w:val="0F5A738A"/>
    <w:lvl w:ilvl="0" w:tplc="F90AA5CA">
      <w:numFmt w:val="bullet"/>
      <w:lvlText w:val="-"/>
      <w:lvlJc w:val="left"/>
      <w:pPr>
        <w:ind w:left="1145" w:hanging="360"/>
      </w:pPr>
      <w:rPr>
        <w:rFonts w:ascii="Times New Roman" w:eastAsia="Times New Roman" w:hAnsi="Times New Roman"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44" w15:restartNumberingAfterBreak="0">
    <w:nsid w:val="0673188D"/>
    <w:multiLevelType w:val="multilevel"/>
    <w:tmpl w:val="41B42728"/>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5" w15:restartNumberingAfterBreak="0">
    <w:nsid w:val="06965A55"/>
    <w:multiLevelType w:val="hybridMultilevel"/>
    <w:tmpl w:val="F3DE4FB0"/>
    <w:lvl w:ilvl="0" w:tplc="1ADA7ED4">
      <w:start w:val="1"/>
      <w:numFmt w:val="decimal"/>
      <w:lvlText w:val="%1."/>
      <w:lvlJc w:val="left"/>
      <w:pPr>
        <w:ind w:left="786" w:hanging="360"/>
      </w:pPr>
      <w:rPr>
        <w:rFonts w:hint="default"/>
      </w:rPr>
    </w:lvl>
    <w:lvl w:ilvl="1" w:tplc="040E0019" w:tentative="1">
      <w:start w:val="1"/>
      <w:numFmt w:val="lowerLetter"/>
      <w:lvlText w:val="%2."/>
      <w:lvlJc w:val="left"/>
      <w:pPr>
        <w:ind w:left="1506" w:hanging="360"/>
      </w:pPr>
    </w:lvl>
    <w:lvl w:ilvl="2" w:tplc="040E001B" w:tentative="1">
      <w:start w:val="1"/>
      <w:numFmt w:val="lowerRoman"/>
      <w:lvlText w:val="%3."/>
      <w:lvlJc w:val="right"/>
      <w:pPr>
        <w:ind w:left="2226" w:hanging="180"/>
      </w:pPr>
    </w:lvl>
    <w:lvl w:ilvl="3" w:tplc="040E000F" w:tentative="1">
      <w:start w:val="1"/>
      <w:numFmt w:val="decimal"/>
      <w:lvlText w:val="%4."/>
      <w:lvlJc w:val="left"/>
      <w:pPr>
        <w:ind w:left="2946" w:hanging="360"/>
      </w:pPr>
    </w:lvl>
    <w:lvl w:ilvl="4" w:tplc="040E0019" w:tentative="1">
      <w:start w:val="1"/>
      <w:numFmt w:val="lowerLetter"/>
      <w:lvlText w:val="%5."/>
      <w:lvlJc w:val="left"/>
      <w:pPr>
        <w:ind w:left="3666" w:hanging="360"/>
      </w:pPr>
    </w:lvl>
    <w:lvl w:ilvl="5" w:tplc="040E001B" w:tentative="1">
      <w:start w:val="1"/>
      <w:numFmt w:val="lowerRoman"/>
      <w:lvlText w:val="%6."/>
      <w:lvlJc w:val="right"/>
      <w:pPr>
        <w:ind w:left="4386" w:hanging="180"/>
      </w:pPr>
    </w:lvl>
    <w:lvl w:ilvl="6" w:tplc="040E000F" w:tentative="1">
      <w:start w:val="1"/>
      <w:numFmt w:val="decimal"/>
      <w:lvlText w:val="%7."/>
      <w:lvlJc w:val="left"/>
      <w:pPr>
        <w:ind w:left="5106" w:hanging="360"/>
      </w:pPr>
    </w:lvl>
    <w:lvl w:ilvl="7" w:tplc="040E0019" w:tentative="1">
      <w:start w:val="1"/>
      <w:numFmt w:val="lowerLetter"/>
      <w:lvlText w:val="%8."/>
      <w:lvlJc w:val="left"/>
      <w:pPr>
        <w:ind w:left="5826" w:hanging="360"/>
      </w:pPr>
    </w:lvl>
    <w:lvl w:ilvl="8" w:tplc="040E001B" w:tentative="1">
      <w:start w:val="1"/>
      <w:numFmt w:val="lowerRoman"/>
      <w:lvlText w:val="%9."/>
      <w:lvlJc w:val="right"/>
      <w:pPr>
        <w:ind w:left="6546" w:hanging="180"/>
      </w:pPr>
    </w:lvl>
  </w:abstractNum>
  <w:abstractNum w:abstractNumId="46" w15:restartNumberingAfterBreak="0">
    <w:nsid w:val="069F2829"/>
    <w:multiLevelType w:val="multilevel"/>
    <w:tmpl w:val="BBFAED1C"/>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7" w15:restartNumberingAfterBreak="0">
    <w:nsid w:val="06D3096C"/>
    <w:multiLevelType w:val="hybridMultilevel"/>
    <w:tmpl w:val="647EA9B2"/>
    <w:lvl w:ilvl="0" w:tplc="1C0E9240">
      <w:start w:val="1"/>
      <w:numFmt w:val="decimal"/>
      <w:lvlText w:val="%1."/>
      <w:lvlJc w:val="left"/>
      <w:pPr>
        <w:ind w:left="644" w:hanging="360"/>
      </w:pPr>
      <w:rPr>
        <w:rFonts w:eastAsiaTheme="minorHAnsi" w:hint="default"/>
      </w:rPr>
    </w:lvl>
    <w:lvl w:ilvl="1" w:tplc="040E0019">
      <w:start w:val="1"/>
      <w:numFmt w:val="lowerLetter"/>
      <w:lvlText w:val="%2."/>
      <w:lvlJc w:val="left"/>
      <w:pPr>
        <w:ind w:left="1364" w:hanging="360"/>
      </w:pPr>
    </w:lvl>
    <w:lvl w:ilvl="2" w:tplc="040E001B">
      <w:start w:val="1"/>
      <w:numFmt w:val="lowerRoman"/>
      <w:lvlText w:val="%3."/>
      <w:lvlJc w:val="right"/>
      <w:pPr>
        <w:ind w:left="2084" w:hanging="180"/>
      </w:pPr>
    </w:lvl>
    <w:lvl w:ilvl="3" w:tplc="040E000F">
      <w:start w:val="1"/>
      <w:numFmt w:val="decimal"/>
      <w:lvlText w:val="%4."/>
      <w:lvlJc w:val="left"/>
      <w:pPr>
        <w:ind w:left="2804" w:hanging="360"/>
      </w:pPr>
    </w:lvl>
    <w:lvl w:ilvl="4" w:tplc="040E0019">
      <w:start w:val="1"/>
      <w:numFmt w:val="lowerLetter"/>
      <w:lvlText w:val="%5."/>
      <w:lvlJc w:val="left"/>
      <w:pPr>
        <w:ind w:left="3524" w:hanging="360"/>
      </w:pPr>
    </w:lvl>
    <w:lvl w:ilvl="5" w:tplc="040E001B">
      <w:start w:val="1"/>
      <w:numFmt w:val="lowerRoman"/>
      <w:lvlText w:val="%6."/>
      <w:lvlJc w:val="right"/>
      <w:pPr>
        <w:ind w:left="4244" w:hanging="180"/>
      </w:pPr>
    </w:lvl>
    <w:lvl w:ilvl="6" w:tplc="040E000F">
      <w:start w:val="1"/>
      <w:numFmt w:val="decimal"/>
      <w:lvlText w:val="%7."/>
      <w:lvlJc w:val="left"/>
      <w:pPr>
        <w:ind w:left="4964" w:hanging="360"/>
      </w:pPr>
    </w:lvl>
    <w:lvl w:ilvl="7" w:tplc="040E0019">
      <w:start w:val="1"/>
      <w:numFmt w:val="lowerLetter"/>
      <w:lvlText w:val="%8."/>
      <w:lvlJc w:val="left"/>
      <w:pPr>
        <w:ind w:left="5684" w:hanging="360"/>
      </w:pPr>
    </w:lvl>
    <w:lvl w:ilvl="8" w:tplc="040E001B">
      <w:start w:val="1"/>
      <w:numFmt w:val="lowerRoman"/>
      <w:lvlText w:val="%9."/>
      <w:lvlJc w:val="right"/>
      <w:pPr>
        <w:ind w:left="6404" w:hanging="180"/>
      </w:pPr>
    </w:lvl>
  </w:abstractNum>
  <w:abstractNum w:abstractNumId="48" w15:restartNumberingAfterBreak="0">
    <w:nsid w:val="06DA0FB8"/>
    <w:multiLevelType w:val="multilevel"/>
    <w:tmpl w:val="CDA6EB7E"/>
    <w:lvl w:ilvl="0">
      <w:start w:val="1"/>
      <w:numFmt w:val="decimal"/>
      <w:lvlText w:val="%1."/>
      <w:lvlJc w:val="left"/>
      <w:pPr>
        <w:tabs>
          <w:tab w:val="num" w:pos="720"/>
        </w:tabs>
        <w:ind w:left="720" w:hanging="360"/>
      </w:pPr>
      <w:rPr>
        <w:rFonts w:hint="default"/>
        <w:b w:val="0"/>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9" w15:restartNumberingAfterBreak="0">
    <w:nsid w:val="06DF45C5"/>
    <w:multiLevelType w:val="hybridMultilevel"/>
    <w:tmpl w:val="63C60922"/>
    <w:lvl w:ilvl="0" w:tplc="1C0E9240">
      <w:start w:val="1"/>
      <w:numFmt w:val="decimal"/>
      <w:lvlText w:val="%1."/>
      <w:lvlJc w:val="left"/>
      <w:pPr>
        <w:ind w:left="644" w:hanging="360"/>
      </w:pPr>
      <w:rPr>
        <w:rFonts w:eastAsiaTheme="minorHAnsi" w:hint="default"/>
      </w:rPr>
    </w:lvl>
    <w:lvl w:ilvl="1" w:tplc="6A20B306">
      <w:start w:val="1"/>
      <w:numFmt w:val="decimal"/>
      <w:lvlText w:val="%2."/>
      <w:lvlJc w:val="left"/>
      <w:pPr>
        <w:ind w:left="1364" w:hanging="360"/>
      </w:pPr>
      <w:rPr>
        <w:rFonts w:eastAsiaTheme="minorHAnsi" w:hint="default"/>
      </w:rPr>
    </w:lvl>
    <w:lvl w:ilvl="2" w:tplc="040E001B">
      <w:start w:val="1"/>
      <w:numFmt w:val="lowerRoman"/>
      <w:lvlText w:val="%3."/>
      <w:lvlJc w:val="right"/>
      <w:pPr>
        <w:ind w:left="2084" w:hanging="180"/>
      </w:pPr>
    </w:lvl>
    <w:lvl w:ilvl="3" w:tplc="040E000F">
      <w:start w:val="1"/>
      <w:numFmt w:val="decimal"/>
      <w:lvlText w:val="%4."/>
      <w:lvlJc w:val="left"/>
      <w:pPr>
        <w:ind w:left="2804" w:hanging="360"/>
      </w:pPr>
    </w:lvl>
    <w:lvl w:ilvl="4" w:tplc="040E0019">
      <w:start w:val="1"/>
      <w:numFmt w:val="lowerLetter"/>
      <w:lvlText w:val="%5."/>
      <w:lvlJc w:val="left"/>
      <w:pPr>
        <w:ind w:left="3524" w:hanging="360"/>
      </w:pPr>
    </w:lvl>
    <w:lvl w:ilvl="5" w:tplc="040E001B">
      <w:start w:val="1"/>
      <w:numFmt w:val="lowerRoman"/>
      <w:lvlText w:val="%6."/>
      <w:lvlJc w:val="right"/>
      <w:pPr>
        <w:ind w:left="4244" w:hanging="180"/>
      </w:pPr>
    </w:lvl>
    <w:lvl w:ilvl="6" w:tplc="040E000F">
      <w:start w:val="1"/>
      <w:numFmt w:val="decimal"/>
      <w:lvlText w:val="%7."/>
      <w:lvlJc w:val="left"/>
      <w:pPr>
        <w:ind w:left="4964" w:hanging="360"/>
      </w:pPr>
    </w:lvl>
    <w:lvl w:ilvl="7" w:tplc="040E0019">
      <w:start w:val="1"/>
      <w:numFmt w:val="lowerLetter"/>
      <w:lvlText w:val="%8."/>
      <w:lvlJc w:val="left"/>
      <w:pPr>
        <w:ind w:left="5684" w:hanging="360"/>
      </w:pPr>
    </w:lvl>
    <w:lvl w:ilvl="8" w:tplc="040E001B">
      <w:start w:val="1"/>
      <w:numFmt w:val="lowerRoman"/>
      <w:lvlText w:val="%9."/>
      <w:lvlJc w:val="right"/>
      <w:pPr>
        <w:ind w:left="6404" w:hanging="180"/>
      </w:pPr>
    </w:lvl>
  </w:abstractNum>
  <w:abstractNum w:abstractNumId="50" w15:restartNumberingAfterBreak="0">
    <w:nsid w:val="06E36CD7"/>
    <w:multiLevelType w:val="hybridMultilevel"/>
    <w:tmpl w:val="8542BAE6"/>
    <w:lvl w:ilvl="0" w:tplc="548CE74C">
      <w:start w:val="1"/>
      <w:numFmt w:val="decimal"/>
      <w:lvlText w:val="%1."/>
      <w:lvlJc w:val="left"/>
      <w:pPr>
        <w:ind w:left="709" w:hanging="360"/>
      </w:pPr>
      <w:rPr>
        <w:rFonts w:hint="default"/>
      </w:rPr>
    </w:lvl>
    <w:lvl w:ilvl="1" w:tplc="040E0019" w:tentative="1">
      <w:start w:val="1"/>
      <w:numFmt w:val="lowerLetter"/>
      <w:lvlText w:val="%2."/>
      <w:lvlJc w:val="left"/>
      <w:pPr>
        <w:ind w:left="1069" w:hanging="360"/>
      </w:pPr>
    </w:lvl>
    <w:lvl w:ilvl="2" w:tplc="040E001B" w:tentative="1">
      <w:start w:val="1"/>
      <w:numFmt w:val="lowerRoman"/>
      <w:lvlText w:val="%3."/>
      <w:lvlJc w:val="right"/>
      <w:pPr>
        <w:ind w:left="1789" w:hanging="180"/>
      </w:pPr>
    </w:lvl>
    <w:lvl w:ilvl="3" w:tplc="040E000F" w:tentative="1">
      <w:start w:val="1"/>
      <w:numFmt w:val="decimal"/>
      <w:lvlText w:val="%4."/>
      <w:lvlJc w:val="left"/>
      <w:pPr>
        <w:ind w:left="2509" w:hanging="360"/>
      </w:pPr>
    </w:lvl>
    <w:lvl w:ilvl="4" w:tplc="040E0019" w:tentative="1">
      <w:start w:val="1"/>
      <w:numFmt w:val="lowerLetter"/>
      <w:lvlText w:val="%5."/>
      <w:lvlJc w:val="left"/>
      <w:pPr>
        <w:ind w:left="3229" w:hanging="360"/>
      </w:pPr>
    </w:lvl>
    <w:lvl w:ilvl="5" w:tplc="040E001B" w:tentative="1">
      <w:start w:val="1"/>
      <w:numFmt w:val="lowerRoman"/>
      <w:lvlText w:val="%6."/>
      <w:lvlJc w:val="right"/>
      <w:pPr>
        <w:ind w:left="3949" w:hanging="180"/>
      </w:pPr>
    </w:lvl>
    <w:lvl w:ilvl="6" w:tplc="040E000F" w:tentative="1">
      <w:start w:val="1"/>
      <w:numFmt w:val="decimal"/>
      <w:lvlText w:val="%7."/>
      <w:lvlJc w:val="left"/>
      <w:pPr>
        <w:ind w:left="4669" w:hanging="360"/>
      </w:pPr>
    </w:lvl>
    <w:lvl w:ilvl="7" w:tplc="040E0019" w:tentative="1">
      <w:start w:val="1"/>
      <w:numFmt w:val="lowerLetter"/>
      <w:lvlText w:val="%8."/>
      <w:lvlJc w:val="left"/>
      <w:pPr>
        <w:ind w:left="5389" w:hanging="360"/>
      </w:pPr>
    </w:lvl>
    <w:lvl w:ilvl="8" w:tplc="040E001B" w:tentative="1">
      <w:start w:val="1"/>
      <w:numFmt w:val="lowerRoman"/>
      <w:lvlText w:val="%9."/>
      <w:lvlJc w:val="right"/>
      <w:pPr>
        <w:ind w:left="6109" w:hanging="180"/>
      </w:pPr>
    </w:lvl>
  </w:abstractNum>
  <w:abstractNum w:abstractNumId="51" w15:restartNumberingAfterBreak="0">
    <w:nsid w:val="0701619F"/>
    <w:multiLevelType w:val="hybridMultilevel"/>
    <w:tmpl w:val="9CC0E1B6"/>
    <w:lvl w:ilvl="0" w:tplc="040E000F">
      <w:start w:val="1"/>
      <w:numFmt w:val="decimal"/>
      <w:lvlText w:val="%1."/>
      <w:lvlJc w:val="left"/>
      <w:pPr>
        <w:ind w:left="1068" w:hanging="360"/>
      </w:pPr>
    </w:lvl>
    <w:lvl w:ilvl="1" w:tplc="040E0019">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52" w15:restartNumberingAfterBreak="0">
    <w:nsid w:val="073D707F"/>
    <w:multiLevelType w:val="hybridMultilevel"/>
    <w:tmpl w:val="345628A2"/>
    <w:lvl w:ilvl="0" w:tplc="844E2800">
      <w:start w:val="1"/>
      <w:numFmt w:val="decimal"/>
      <w:lvlText w:val="%1."/>
      <w:lvlJc w:val="left"/>
      <w:pPr>
        <w:ind w:left="1581"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3" w15:restartNumberingAfterBreak="0">
    <w:nsid w:val="075743EB"/>
    <w:multiLevelType w:val="multilevel"/>
    <w:tmpl w:val="4386FA3A"/>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54" w15:restartNumberingAfterBreak="0">
    <w:nsid w:val="078F1BD0"/>
    <w:multiLevelType w:val="hybridMultilevel"/>
    <w:tmpl w:val="657E23E4"/>
    <w:lvl w:ilvl="0" w:tplc="F90AA5CA">
      <w:numFmt w:val="bullet"/>
      <w:lvlText w:val="-"/>
      <w:lvlJc w:val="left"/>
      <w:pPr>
        <w:ind w:left="1145" w:hanging="360"/>
      </w:pPr>
      <w:rPr>
        <w:rFonts w:ascii="Times New Roman" w:eastAsia="Times New Roman" w:hAnsi="Times New Roman"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55" w15:restartNumberingAfterBreak="0">
    <w:nsid w:val="07B14F1D"/>
    <w:multiLevelType w:val="hybridMultilevel"/>
    <w:tmpl w:val="B906D21A"/>
    <w:lvl w:ilvl="0" w:tplc="70A03D52">
      <w:start w:val="1"/>
      <w:numFmt w:val="bullet"/>
      <w:lvlText w:val="-"/>
      <w:lvlJc w:val="left"/>
      <w:pPr>
        <w:ind w:left="786" w:hanging="360"/>
      </w:pPr>
      <w:rPr>
        <w:rFonts w:ascii="Calibri" w:eastAsia="Calibri" w:hAnsi="Calibri" w:cs="Times New Roman" w:hint="default"/>
      </w:rPr>
    </w:lvl>
    <w:lvl w:ilvl="1" w:tplc="70A03D52">
      <w:start w:val="1"/>
      <w:numFmt w:val="bullet"/>
      <w:lvlText w:val="-"/>
      <w:lvlJc w:val="left"/>
      <w:pPr>
        <w:ind w:left="1506" w:hanging="360"/>
      </w:pPr>
      <w:rPr>
        <w:rFonts w:ascii="Calibri" w:eastAsia="Calibri" w:hAnsi="Calibri" w:cs="Times New Roman" w:hint="default"/>
      </w:rPr>
    </w:lvl>
    <w:lvl w:ilvl="2" w:tplc="040E001B">
      <w:start w:val="1"/>
      <w:numFmt w:val="lowerRoman"/>
      <w:lvlText w:val="%3."/>
      <w:lvlJc w:val="right"/>
      <w:pPr>
        <w:ind w:left="2226" w:hanging="180"/>
      </w:pPr>
    </w:lvl>
    <w:lvl w:ilvl="3" w:tplc="040E000F">
      <w:start w:val="1"/>
      <w:numFmt w:val="decimal"/>
      <w:lvlText w:val="%4."/>
      <w:lvlJc w:val="left"/>
      <w:pPr>
        <w:ind w:left="2946" w:hanging="360"/>
      </w:pPr>
    </w:lvl>
    <w:lvl w:ilvl="4" w:tplc="040E0019">
      <w:start w:val="1"/>
      <w:numFmt w:val="lowerLetter"/>
      <w:lvlText w:val="%5."/>
      <w:lvlJc w:val="left"/>
      <w:pPr>
        <w:ind w:left="3666" w:hanging="360"/>
      </w:pPr>
    </w:lvl>
    <w:lvl w:ilvl="5" w:tplc="040E001B">
      <w:start w:val="1"/>
      <w:numFmt w:val="lowerRoman"/>
      <w:lvlText w:val="%6."/>
      <w:lvlJc w:val="right"/>
      <w:pPr>
        <w:ind w:left="4386" w:hanging="180"/>
      </w:pPr>
    </w:lvl>
    <w:lvl w:ilvl="6" w:tplc="040E000F">
      <w:start w:val="1"/>
      <w:numFmt w:val="decimal"/>
      <w:lvlText w:val="%7."/>
      <w:lvlJc w:val="left"/>
      <w:pPr>
        <w:ind w:left="5106" w:hanging="360"/>
      </w:pPr>
    </w:lvl>
    <w:lvl w:ilvl="7" w:tplc="040E0019">
      <w:start w:val="1"/>
      <w:numFmt w:val="lowerLetter"/>
      <w:lvlText w:val="%8."/>
      <w:lvlJc w:val="left"/>
      <w:pPr>
        <w:ind w:left="5826" w:hanging="360"/>
      </w:pPr>
    </w:lvl>
    <w:lvl w:ilvl="8" w:tplc="040E001B">
      <w:start w:val="1"/>
      <w:numFmt w:val="lowerRoman"/>
      <w:lvlText w:val="%9."/>
      <w:lvlJc w:val="right"/>
      <w:pPr>
        <w:ind w:left="6546" w:hanging="180"/>
      </w:pPr>
    </w:lvl>
  </w:abstractNum>
  <w:abstractNum w:abstractNumId="56" w15:restartNumberingAfterBreak="0">
    <w:nsid w:val="07D10872"/>
    <w:multiLevelType w:val="hybridMultilevel"/>
    <w:tmpl w:val="3BB27DD4"/>
    <w:lvl w:ilvl="0" w:tplc="F29CF34C">
      <w:start w:val="1"/>
      <w:numFmt w:val="bullet"/>
      <w:lvlText w:val=""/>
      <w:lvlJc w:val="left"/>
      <w:pPr>
        <w:ind w:left="1146" w:hanging="360"/>
      </w:pPr>
      <w:rPr>
        <w:rFonts w:ascii="Symbol" w:hAnsi="Symbol" w:hint="default"/>
      </w:rPr>
    </w:lvl>
    <w:lvl w:ilvl="1" w:tplc="040E0003">
      <w:start w:val="1"/>
      <w:numFmt w:val="bullet"/>
      <w:lvlText w:val="o"/>
      <w:lvlJc w:val="left"/>
      <w:pPr>
        <w:ind w:left="1866" w:hanging="360"/>
      </w:pPr>
      <w:rPr>
        <w:rFonts w:ascii="Courier New" w:hAnsi="Courier New" w:cs="Courier New" w:hint="default"/>
      </w:rPr>
    </w:lvl>
    <w:lvl w:ilvl="2" w:tplc="040E0005">
      <w:start w:val="1"/>
      <w:numFmt w:val="bullet"/>
      <w:lvlText w:val=""/>
      <w:lvlJc w:val="left"/>
      <w:pPr>
        <w:ind w:left="2586" w:hanging="360"/>
      </w:pPr>
      <w:rPr>
        <w:rFonts w:ascii="Wingdings" w:hAnsi="Wingdings" w:hint="default"/>
      </w:rPr>
    </w:lvl>
    <w:lvl w:ilvl="3" w:tplc="040E0001">
      <w:start w:val="1"/>
      <w:numFmt w:val="bullet"/>
      <w:lvlText w:val=""/>
      <w:lvlJc w:val="left"/>
      <w:pPr>
        <w:ind w:left="3306" w:hanging="360"/>
      </w:pPr>
      <w:rPr>
        <w:rFonts w:ascii="Symbol" w:hAnsi="Symbol" w:hint="default"/>
      </w:rPr>
    </w:lvl>
    <w:lvl w:ilvl="4" w:tplc="040E0003">
      <w:start w:val="1"/>
      <w:numFmt w:val="bullet"/>
      <w:lvlText w:val="o"/>
      <w:lvlJc w:val="left"/>
      <w:pPr>
        <w:ind w:left="4026" w:hanging="360"/>
      </w:pPr>
      <w:rPr>
        <w:rFonts w:ascii="Courier New" w:hAnsi="Courier New" w:cs="Courier New" w:hint="default"/>
      </w:rPr>
    </w:lvl>
    <w:lvl w:ilvl="5" w:tplc="040E0005">
      <w:start w:val="1"/>
      <w:numFmt w:val="bullet"/>
      <w:lvlText w:val=""/>
      <w:lvlJc w:val="left"/>
      <w:pPr>
        <w:ind w:left="4746" w:hanging="360"/>
      </w:pPr>
      <w:rPr>
        <w:rFonts w:ascii="Wingdings" w:hAnsi="Wingdings" w:hint="default"/>
      </w:rPr>
    </w:lvl>
    <w:lvl w:ilvl="6" w:tplc="040E0001">
      <w:start w:val="1"/>
      <w:numFmt w:val="bullet"/>
      <w:lvlText w:val=""/>
      <w:lvlJc w:val="left"/>
      <w:pPr>
        <w:ind w:left="5466" w:hanging="360"/>
      </w:pPr>
      <w:rPr>
        <w:rFonts w:ascii="Symbol" w:hAnsi="Symbol" w:hint="default"/>
      </w:rPr>
    </w:lvl>
    <w:lvl w:ilvl="7" w:tplc="040E0003">
      <w:start w:val="1"/>
      <w:numFmt w:val="bullet"/>
      <w:lvlText w:val="o"/>
      <w:lvlJc w:val="left"/>
      <w:pPr>
        <w:ind w:left="6186" w:hanging="360"/>
      </w:pPr>
      <w:rPr>
        <w:rFonts w:ascii="Courier New" w:hAnsi="Courier New" w:cs="Courier New" w:hint="default"/>
      </w:rPr>
    </w:lvl>
    <w:lvl w:ilvl="8" w:tplc="040E0005">
      <w:start w:val="1"/>
      <w:numFmt w:val="bullet"/>
      <w:lvlText w:val=""/>
      <w:lvlJc w:val="left"/>
      <w:pPr>
        <w:ind w:left="6906" w:hanging="360"/>
      </w:pPr>
      <w:rPr>
        <w:rFonts w:ascii="Wingdings" w:hAnsi="Wingdings" w:hint="default"/>
      </w:rPr>
    </w:lvl>
  </w:abstractNum>
  <w:abstractNum w:abstractNumId="57" w15:restartNumberingAfterBreak="0">
    <w:nsid w:val="082F1D8F"/>
    <w:multiLevelType w:val="hybridMultilevel"/>
    <w:tmpl w:val="63064FB2"/>
    <w:lvl w:ilvl="0" w:tplc="F90AA5CA">
      <w:numFmt w:val="bullet"/>
      <w:lvlText w:val="-"/>
      <w:lvlJc w:val="left"/>
      <w:pPr>
        <w:ind w:left="1145" w:hanging="360"/>
      </w:pPr>
      <w:rPr>
        <w:rFonts w:ascii="Times New Roman" w:eastAsia="Times New Roman" w:hAnsi="Times New Roman"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58" w15:restartNumberingAfterBreak="0">
    <w:nsid w:val="08320A7F"/>
    <w:multiLevelType w:val="hybridMultilevel"/>
    <w:tmpl w:val="2ED60EBC"/>
    <w:lvl w:ilvl="0" w:tplc="14D22F02">
      <w:start w:val="1"/>
      <w:numFmt w:val="decimal"/>
      <w:lvlText w:val="%1."/>
      <w:lvlJc w:val="left"/>
      <w:pPr>
        <w:tabs>
          <w:tab w:val="num" w:pos="964"/>
        </w:tabs>
        <w:ind w:left="964" w:hanging="397"/>
      </w:pPr>
      <w:rPr>
        <w:b w:val="0"/>
      </w:rPr>
    </w:lvl>
    <w:lvl w:ilvl="1" w:tplc="FFFFFFFF">
      <w:start w:val="1"/>
      <w:numFmt w:val="decimal"/>
      <w:lvlText w:val="%2."/>
      <w:lvlJc w:val="left"/>
      <w:pPr>
        <w:tabs>
          <w:tab w:val="num" w:pos="1440"/>
        </w:tabs>
        <w:ind w:left="1440" w:hanging="360"/>
      </w:pPr>
    </w:lvl>
    <w:lvl w:ilvl="2" w:tplc="D37A8582">
      <w:start w:val="3"/>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9" w15:restartNumberingAfterBreak="0">
    <w:nsid w:val="08433594"/>
    <w:multiLevelType w:val="multilevel"/>
    <w:tmpl w:val="F63CFCE8"/>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60" w15:restartNumberingAfterBreak="0">
    <w:nsid w:val="084576F9"/>
    <w:multiLevelType w:val="multilevel"/>
    <w:tmpl w:val="1D581D1E"/>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ascii="Times New Roman" w:hAnsi="Times New Roman" w:cs="Times New Roman"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61" w15:restartNumberingAfterBreak="0">
    <w:nsid w:val="084A4203"/>
    <w:multiLevelType w:val="hybridMultilevel"/>
    <w:tmpl w:val="5A4C7A92"/>
    <w:lvl w:ilvl="0" w:tplc="5C1E6FE6">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2" w15:restartNumberingAfterBreak="0">
    <w:nsid w:val="0886207C"/>
    <w:multiLevelType w:val="hybridMultilevel"/>
    <w:tmpl w:val="E9E495BA"/>
    <w:lvl w:ilvl="0" w:tplc="05FA8D38">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3" w15:restartNumberingAfterBreak="0">
    <w:nsid w:val="08B83CDE"/>
    <w:multiLevelType w:val="multilevel"/>
    <w:tmpl w:val="1D0EEE42"/>
    <w:lvl w:ilvl="0">
      <w:start w:val="8"/>
      <w:numFmt w:val="decimal"/>
      <w:lvlText w:val="%1."/>
      <w:lvlJc w:val="left"/>
      <w:pPr>
        <w:ind w:left="540" w:hanging="540"/>
      </w:pPr>
      <w:rPr>
        <w:rFonts w:hint="default"/>
      </w:rPr>
    </w:lvl>
    <w:lvl w:ilvl="1">
      <w:start w:val="1"/>
      <w:numFmt w:val="decimal"/>
      <w:lvlText w:val="%1.%2."/>
      <w:lvlJc w:val="left"/>
      <w:pPr>
        <w:ind w:left="753" w:hanging="54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64" w15:restartNumberingAfterBreak="0">
    <w:nsid w:val="08D038DA"/>
    <w:multiLevelType w:val="hybridMultilevel"/>
    <w:tmpl w:val="976A5242"/>
    <w:lvl w:ilvl="0" w:tplc="8438C520">
      <w:start w:val="1"/>
      <w:numFmt w:val="decimal"/>
      <w:lvlText w:val="%1."/>
      <w:lvlJc w:val="left"/>
      <w:pPr>
        <w:ind w:left="144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5" w15:restartNumberingAfterBreak="0">
    <w:nsid w:val="09441F7B"/>
    <w:multiLevelType w:val="hybridMultilevel"/>
    <w:tmpl w:val="B4C6AF38"/>
    <w:lvl w:ilvl="0" w:tplc="8166C3AC">
      <w:start w:val="1"/>
      <w:numFmt w:val="decimal"/>
      <w:lvlText w:val="%1."/>
      <w:lvlJc w:val="left"/>
      <w:pPr>
        <w:ind w:left="144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6" w15:restartNumberingAfterBreak="0">
    <w:nsid w:val="09E95EA8"/>
    <w:multiLevelType w:val="hybridMultilevel"/>
    <w:tmpl w:val="42CE592E"/>
    <w:lvl w:ilvl="0" w:tplc="0630B37C">
      <w:start w:val="1"/>
      <w:numFmt w:val="decimal"/>
      <w:lvlText w:val="%1."/>
      <w:lvlJc w:val="left"/>
      <w:pPr>
        <w:ind w:left="720" w:hanging="360"/>
      </w:pPr>
      <w:rPr>
        <w:rFonts w:eastAsiaTheme="minorHAnsi"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7" w15:restartNumberingAfterBreak="0">
    <w:nsid w:val="0A047880"/>
    <w:multiLevelType w:val="multilevel"/>
    <w:tmpl w:val="684EDD94"/>
    <w:lvl w:ilvl="0">
      <w:start w:val="16"/>
      <w:numFmt w:val="decimal"/>
      <w:lvlText w:val="%1."/>
      <w:lvlJc w:val="right"/>
      <w:pPr>
        <w:tabs>
          <w:tab w:val="num" w:pos="644"/>
        </w:tabs>
        <w:ind w:left="644" w:hanging="360"/>
      </w:pPr>
      <w:rPr>
        <w:rFonts w:ascii="Times New Roman" w:hAnsi="Times New Roman" w:cs="Times New Roman" w:hint="default"/>
        <w:b/>
        <w:i w:val="0"/>
        <w:caps w:val="0"/>
        <w:strike w:val="0"/>
        <w:dstrike w:val="0"/>
        <w:vanish w:val="0"/>
        <w:color w:val="000000"/>
        <w:sz w:val="24"/>
        <w:szCs w:val="24"/>
        <w:u w:val="none"/>
        <w:effect w:val="none"/>
        <w:vertAlign w:val="baseline"/>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724"/>
        </w:tabs>
        <w:ind w:left="1508" w:hanging="504"/>
      </w:pPr>
      <w:rPr>
        <w:rFonts w:hint="default"/>
        <w:b/>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68" w15:restartNumberingAfterBreak="0">
    <w:nsid w:val="0A477459"/>
    <w:multiLevelType w:val="hybridMultilevel"/>
    <w:tmpl w:val="95CAF770"/>
    <w:lvl w:ilvl="0" w:tplc="F90AA5CA">
      <w:numFmt w:val="bullet"/>
      <w:lvlText w:val="-"/>
      <w:lvlJc w:val="left"/>
      <w:pPr>
        <w:ind w:left="1146" w:hanging="360"/>
      </w:pPr>
      <w:rPr>
        <w:rFonts w:ascii="Times New Roman" w:eastAsia="Times New Roman" w:hAnsi="Times New Roman"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69" w15:restartNumberingAfterBreak="0">
    <w:nsid w:val="0A6A30BB"/>
    <w:multiLevelType w:val="hybridMultilevel"/>
    <w:tmpl w:val="45AEA3E2"/>
    <w:lvl w:ilvl="0" w:tplc="F90AA5CA">
      <w:numFmt w:val="bullet"/>
      <w:lvlText w:val="-"/>
      <w:lvlJc w:val="left"/>
      <w:pPr>
        <w:ind w:left="1145" w:hanging="360"/>
      </w:pPr>
      <w:rPr>
        <w:rFonts w:ascii="Times New Roman" w:eastAsia="Times New Roman" w:hAnsi="Times New Roman"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70" w15:restartNumberingAfterBreak="0">
    <w:nsid w:val="0A725EB6"/>
    <w:multiLevelType w:val="hybridMultilevel"/>
    <w:tmpl w:val="52F87C8E"/>
    <w:lvl w:ilvl="0" w:tplc="F90AA5CA">
      <w:numFmt w:val="bullet"/>
      <w:lvlText w:val="-"/>
      <w:lvlJc w:val="left"/>
      <w:pPr>
        <w:ind w:left="1145" w:hanging="360"/>
      </w:pPr>
      <w:rPr>
        <w:rFonts w:ascii="Times New Roman" w:eastAsia="Times New Roman" w:hAnsi="Times New Roman"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71" w15:restartNumberingAfterBreak="0">
    <w:nsid w:val="0AB27263"/>
    <w:multiLevelType w:val="hybridMultilevel"/>
    <w:tmpl w:val="1FB0E4A6"/>
    <w:lvl w:ilvl="0" w:tplc="E9F63CA6">
      <w:start w:val="1"/>
      <w:numFmt w:val="decimal"/>
      <w:lvlText w:val="%1."/>
      <w:lvlJc w:val="left"/>
      <w:pPr>
        <w:ind w:left="644" w:hanging="360"/>
      </w:pPr>
      <w:rPr>
        <w:rFonts w:eastAsiaTheme="minorHAnsi"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2" w15:restartNumberingAfterBreak="0">
    <w:nsid w:val="0AC736D1"/>
    <w:multiLevelType w:val="hybridMultilevel"/>
    <w:tmpl w:val="6DD889DA"/>
    <w:lvl w:ilvl="0" w:tplc="D946D946">
      <w:start w:val="1"/>
      <w:numFmt w:val="decimal"/>
      <w:lvlText w:val="%1."/>
      <w:lvlJc w:val="left"/>
      <w:pPr>
        <w:ind w:left="1581"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3" w15:restartNumberingAfterBreak="0">
    <w:nsid w:val="0B1436BD"/>
    <w:multiLevelType w:val="multilevel"/>
    <w:tmpl w:val="D7F0D59A"/>
    <w:lvl w:ilvl="0">
      <w:start w:val="16"/>
      <w:numFmt w:val="decimal"/>
      <w:lvlText w:val="%1."/>
      <w:lvlJc w:val="right"/>
      <w:pPr>
        <w:tabs>
          <w:tab w:val="num" w:pos="644"/>
        </w:tabs>
        <w:ind w:left="644"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b/>
      </w:rPr>
    </w:lvl>
    <w:lvl w:ilvl="2">
      <w:start w:val="1"/>
      <w:numFmt w:val="decimal"/>
      <w:lvlText w:val="%1.%2.%3."/>
      <w:lvlJc w:val="left"/>
      <w:pPr>
        <w:tabs>
          <w:tab w:val="num" w:pos="1724"/>
        </w:tabs>
        <w:ind w:left="1508" w:hanging="504"/>
      </w:pPr>
      <w:rPr>
        <w:b/>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74" w15:restartNumberingAfterBreak="0">
    <w:nsid w:val="0B1D0830"/>
    <w:multiLevelType w:val="hybridMultilevel"/>
    <w:tmpl w:val="3CF86C82"/>
    <w:lvl w:ilvl="0" w:tplc="BCFA3BCA">
      <w:start w:val="17"/>
      <w:numFmt w:val="bullet"/>
      <w:lvlText w:val="-"/>
      <w:lvlJc w:val="left"/>
      <w:pPr>
        <w:ind w:left="786" w:hanging="360"/>
      </w:pPr>
      <w:rPr>
        <w:rFonts w:ascii="Times New Roman" w:eastAsia="Times New Roman" w:hAnsi="Times New Roman" w:cs="Times New Roman"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75" w15:restartNumberingAfterBreak="0">
    <w:nsid w:val="0B557A45"/>
    <w:multiLevelType w:val="hybridMultilevel"/>
    <w:tmpl w:val="066CC89C"/>
    <w:lvl w:ilvl="0" w:tplc="F90AA5CA">
      <w:numFmt w:val="bullet"/>
      <w:lvlText w:val="-"/>
      <w:lvlJc w:val="left"/>
      <w:pPr>
        <w:ind w:left="1145" w:hanging="360"/>
      </w:pPr>
      <w:rPr>
        <w:rFonts w:ascii="Times New Roman" w:eastAsia="Times New Roman" w:hAnsi="Times New Roman"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76" w15:restartNumberingAfterBreak="0">
    <w:nsid w:val="0B6A1B90"/>
    <w:multiLevelType w:val="hybridMultilevel"/>
    <w:tmpl w:val="D1460F06"/>
    <w:lvl w:ilvl="0" w:tplc="991C418C">
      <w:start w:val="1"/>
      <w:numFmt w:val="decimal"/>
      <w:lvlText w:val="%1."/>
      <w:lvlJc w:val="left"/>
      <w:pPr>
        <w:ind w:left="720" w:hanging="360"/>
      </w:pPr>
      <w:rPr>
        <w:rFonts w:hint="default"/>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7" w15:restartNumberingAfterBreak="0">
    <w:nsid w:val="0B78286D"/>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78" w15:restartNumberingAfterBreak="0">
    <w:nsid w:val="0BA32243"/>
    <w:multiLevelType w:val="multilevel"/>
    <w:tmpl w:val="C7B645FA"/>
    <w:lvl w:ilvl="0">
      <w:start w:val="1"/>
      <w:numFmt w:val="decimal"/>
      <w:lvlText w:val="%1."/>
      <w:lvlJc w:val="left"/>
      <w:pPr>
        <w:tabs>
          <w:tab w:val="num" w:pos="720"/>
        </w:tabs>
        <w:ind w:left="720" w:hanging="360"/>
      </w:pPr>
      <w:rPr>
        <w:rFonts w:hint="default"/>
        <w:b w:val="0"/>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79" w15:restartNumberingAfterBreak="0">
    <w:nsid w:val="0C11238C"/>
    <w:multiLevelType w:val="hybridMultilevel"/>
    <w:tmpl w:val="AF56EEF8"/>
    <w:lvl w:ilvl="0" w:tplc="6C1E4A4E">
      <w:start w:val="1"/>
      <w:numFmt w:val="decimal"/>
      <w:lvlText w:val="%1."/>
      <w:lvlJc w:val="left"/>
      <w:pPr>
        <w:ind w:left="1068" w:hanging="360"/>
      </w:pPr>
      <w:rPr>
        <w:rFonts w:hint="default"/>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0" w15:restartNumberingAfterBreak="0">
    <w:nsid w:val="0C4034D2"/>
    <w:multiLevelType w:val="multilevel"/>
    <w:tmpl w:val="84DEA282"/>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81" w15:restartNumberingAfterBreak="0">
    <w:nsid w:val="0C6112A8"/>
    <w:multiLevelType w:val="multilevel"/>
    <w:tmpl w:val="DA04598E"/>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82" w15:restartNumberingAfterBreak="0">
    <w:nsid w:val="0CA65ED6"/>
    <w:multiLevelType w:val="multilevel"/>
    <w:tmpl w:val="E8F6DCDA"/>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83" w15:restartNumberingAfterBreak="0">
    <w:nsid w:val="0CDD3B6B"/>
    <w:multiLevelType w:val="hybridMultilevel"/>
    <w:tmpl w:val="C0F86890"/>
    <w:lvl w:ilvl="0" w:tplc="A8F41EB8">
      <w:start w:val="1"/>
      <w:numFmt w:val="decimal"/>
      <w:lvlText w:val="%1."/>
      <w:lvlJc w:val="left"/>
      <w:pPr>
        <w:ind w:left="644" w:hanging="360"/>
      </w:pPr>
    </w:lvl>
    <w:lvl w:ilvl="1" w:tplc="040E0019">
      <w:start w:val="1"/>
      <w:numFmt w:val="lowerLetter"/>
      <w:lvlText w:val="%2."/>
      <w:lvlJc w:val="left"/>
      <w:pPr>
        <w:ind w:left="1364" w:hanging="360"/>
      </w:pPr>
    </w:lvl>
    <w:lvl w:ilvl="2" w:tplc="040E001B">
      <w:start w:val="1"/>
      <w:numFmt w:val="lowerRoman"/>
      <w:lvlText w:val="%3."/>
      <w:lvlJc w:val="right"/>
      <w:pPr>
        <w:ind w:left="2084" w:hanging="180"/>
      </w:pPr>
    </w:lvl>
    <w:lvl w:ilvl="3" w:tplc="040E000F">
      <w:start w:val="1"/>
      <w:numFmt w:val="decimal"/>
      <w:lvlText w:val="%4."/>
      <w:lvlJc w:val="left"/>
      <w:pPr>
        <w:ind w:left="2804" w:hanging="360"/>
      </w:pPr>
    </w:lvl>
    <w:lvl w:ilvl="4" w:tplc="040E0019">
      <w:start w:val="1"/>
      <w:numFmt w:val="lowerLetter"/>
      <w:lvlText w:val="%5."/>
      <w:lvlJc w:val="left"/>
      <w:pPr>
        <w:ind w:left="3524" w:hanging="360"/>
      </w:pPr>
    </w:lvl>
    <w:lvl w:ilvl="5" w:tplc="040E001B">
      <w:start w:val="1"/>
      <w:numFmt w:val="lowerRoman"/>
      <w:lvlText w:val="%6."/>
      <w:lvlJc w:val="right"/>
      <w:pPr>
        <w:ind w:left="4244" w:hanging="180"/>
      </w:pPr>
    </w:lvl>
    <w:lvl w:ilvl="6" w:tplc="040E000F">
      <w:start w:val="1"/>
      <w:numFmt w:val="decimal"/>
      <w:lvlText w:val="%7."/>
      <w:lvlJc w:val="left"/>
      <w:pPr>
        <w:ind w:left="4964" w:hanging="360"/>
      </w:pPr>
    </w:lvl>
    <w:lvl w:ilvl="7" w:tplc="040E0019">
      <w:start w:val="1"/>
      <w:numFmt w:val="lowerLetter"/>
      <w:lvlText w:val="%8."/>
      <w:lvlJc w:val="left"/>
      <w:pPr>
        <w:ind w:left="5684" w:hanging="360"/>
      </w:pPr>
    </w:lvl>
    <w:lvl w:ilvl="8" w:tplc="040E001B">
      <w:start w:val="1"/>
      <w:numFmt w:val="lowerRoman"/>
      <w:lvlText w:val="%9."/>
      <w:lvlJc w:val="right"/>
      <w:pPr>
        <w:ind w:left="6404" w:hanging="180"/>
      </w:pPr>
    </w:lvl>
  </w:abstractNum>
  <w:abstractNum w:abstractNumId="84" w15:restartNumberingAfterBreak="0">
    <w:nsid w:val="0CEB4CDD"/>
    <w:multiLevelType w:val="multilevel"/>
    <w:tmpl w:val="9A0C4AB0"/>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85" w15:restartNumberingAfterBreak="0">
    <w:nsid w:val="0D7E4F19"/>
    <w:multiLevelType w:val="multilevel"/>
    <w:tmpl w:val="8BFEF488"/>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86" w15:restartNumberingAfterBreak="0">
    <w:nsid w:val="0D8A1093"/>
    <w:multiLevelType w:val="multilevel"/>
    <w:tmpl w:val="F4B6B3C4"/>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87" w15:restartNumberingAfterBreak="0">
    <w:nsid w:val="0D995D35"/>
    <w:multiLevelType w:val="multilevel"/>
    <w:tmpl w:val="4AC85DCE"/>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88" w15:restartNumberingAfterBreak="0">
    <w:nsid w:val="0DA80668"/>
    <w:multiLevelType w:val="multilevel"/>
    <w:tmpl w:val="6A1AFCE8"/>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89" w15:restartNumberingAfterBreak="0">
    <w:nsid w:val="0DD37B34"/>
    <w:multiLevelType w:val="multilevel"/>
    <w:tmpl w:val="024ED65A"/>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90" w15:restartNumberingAfterBreak="0">
    <w:nsid w:val="0E07648D"/>
    <w:multiLevelType w:val="multilevel"/>
    <w:tmpl w:val="8A9C0A6A"/>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3."/>
      <w:lvlJc w:val="left"/>
      <w:pPr>
        <w:tabs>
          <w:tab w:val="num" w:pos="1800"/>
        </w:tabs>
        <w:ind w:left="1584" w:hanging="504"/>
      </w:pPr>
      <w:rPr>
        <w:rFonts w:hint="default"/>
        <w:b w:val="0"/>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91" w15:restartNumberingAfterBreak="0">
    <w:nsid w:val="0E0A4E9D"/>
    <w:multiLevelType w:val="hybridMultilevel"/>
    <w:tmpl w:val="315AD1EA"/>
    <w:lvl w:ilvl="0" w:tplc="F90AA5CA">
      <w:numFmt w:val="bullet"/>
      <w:lvlText w:val="-"/>
      <w:lvlJc w:val="left"/>
      <w:pPr>
        <w:ind w:left="1145" w:hanging="360"/>
      </w:pPr>
      <w:rPr>
        <w:rFonts w:ascii="Times New Roman" w:eastAsia="Times New Roman" w:hAnsi="Times New Roman"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92" w15:restartNumberingAfterBreak="0">
    <w:nsid w:val="0E11599A"/>
    <w:multiLevelType w:val="hybridMultilevel"/>
    <w:tmpl w:val="55BA2EFE"/>
    <w:lvl w:ilvl="0" w:tplc="D1CC2080">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3" w15:restartNumberingAfterBreak="0">
    <w:nsid w:val="0E1619AE"/>
    <w:multiLevelType w:val="hybridMultilevel"/>
    <w:tmpl w:val="9DCAF328"/>
    <w:lvl w:ilvl="0" w:tplc="F29CF34C">
      <w:start w:val="1"/>
      <w:numFmt w:val="bullet"/>
      <w:lvlText w:val=""/>
      <w:lvlJc w:val="left"/>
      <w:pPr>
        <w:ind w:left="1146" w:hanging="360"/>
      </w:pPr>
      <w:rPr>
        <w:rFonts w:ascii="Symbol" w:hAnsi="Symbol" w:hint="default"/>
      </w:rPr>
    </w:lvl>
    <w:lvl w:ilvl="1" w:tplc="040E0003">
      <w:start w:val="1"/>
      <w:numFmt w:val="bullet"/>
      <w:lvlText w:val="o"/>
      <w:lvlJc w:val="left"/>
      <w:pPr>
        <w:ind w:left="1866" w:hanging="360"/>
      </w:pPr>
      <w:rPr>
        <w:rFonts w:ascii="Courier New" w:hAnsi="Courier New" w:cs="Courier New" w:hint="default"/>
      </w:rPr>
    </w:lvl>
    <w:lvl w:ilvl="2" w:tplc="040E0005">
      <w:start w:val="1"/>
      <w:numFmt w:val="bullet"/>
      <w:lvlText w:val=""/>
      <w:lvlJc w:val="left"/>
      <w:pPr>
        <w:ind w:left="2586" w:hanging="360"/>
      </w:pPr>
      <w:rPr>
        <w:rFonts w:ascii="Wingdings" w:hAnsi="Wingdings" w:hint="default"/>
      </w:rPr>
    </w:lvl>
    <w:lvl w:ilvl="3" w:tplc="040E0001">
      <w:start w:val="1"/>
      <w:numFmt w:val="bullet"/>
      <w:lvlText w:val=""/>
      <w:lvlJc w:val="left"/>
      <w:pPr>
        <w:ind w:left="3306" w:hanging="360"/>
      </w:pPr>
      <w:rPr>
        <w:rFonts w:ascii="Symbol" w:hAnsi="Symbol" w:hint="default"/>
      </w:rPr>
    </w:lvl>
    <w:lvl w:ilvl="4" w:tplc="040E0003">
      <w:start w:val="1"/>
      <w:numFmt w:val="bullet"/>
      <w:lvlText w:val="o"/>
      <w:lvlJc w:val="left"/>
      <w:pPr>
        <w:ind w:left="4026" w:hanging="360"/>
      </w:pPr>
      <w:rPr>
        <w:rFonts w:ascii="Courier New" w:hAnsi="Courier New" w:cs="Courier New" w:hint="default"/>
      </w:rPr>
    </w:lvl>
    <w:lvl w:ilvl="5" w:tplc="040E0005">
      <w:start w:val="1"/>
      <w:numFmt w:val="bullet"/>
      <w:lvlText w:val=""/>
      <w:lvlJc w:val="left"/>
      <w:pPr>
        <w:ind w:left="4746" w:hanging="360"/>
      </w:pPr>
      <w:rPr>
        <w:rFonts w:ascii="Wingdings" w:hAnsi="Wingdings" w:hint="default"/>
      </w:rPr>
    </w:lvl>
    <w:lvl w:ilvl="6" w:tplc="040E0001">
      <w:start w:val="1"/>
      <w:numFmt w:val="bullet"/>
      <w:lvlText w:val=""/>
      <w:lvlJc w:val="left"/>
      <w:pPr>
        <w:ind w:left="5466" w:hanging="360"/>
      </w:pPr>
      <w:rPr>
        <w:rFonts w:ascii="Symbol" w:hAnsi="Symbol" w:hint="default"/>
      </w:rPr>
    </w:lvl>
    <w:lvl w:ilvl="7" w:tplc="040E0003">
      <w:start w:val="1"/>
      <w:numFmt w:val="bullet"/>
      <w:lvlText w:val="o"/>
      <w:lvlJc w:val="left"/>
      <w:pPr>
        <w:ind w:left="6186" w:hanging="360"/>
      </w:pPr>
      <w:rPr>
        <w:rFonts w:ascii="Courier New" w:hAnsi="Courier New" w:cs="Courier New" w:hint="default"/>
      </w:rPr>
    </w:lvl>
    <w:lvl w:ilvl="8" w:tplc="040E0005">
      <w:start w:val="1"/>
      <w:numFmt w:val="bullet"/>
      <w:lvlText w:val=""/>
      <w:lvlJc w:val="left"/>
      <w:pPr>
        <w:ind w:left="6906" w:hanging="360"/>
      </w:pPr>
      <w:rPr>
        <w:rFonts w:ascii="Wingdings" w:hAnsi="Wingdings" w:hint="default"/>
      </w:rPr>
    </w:lvl>
  </w:abstractNum>
  <w:abstractNum w:abstractNumId="94" w15:restartNumberingAfterBreak="0">
    <w:nsid w:val="0E241B87"/>
    <w:multiLevelType w:val="hybridMultilevel"/>
    <w:tmpl w:val="6C904106"/>
    <w:lvl w:ilvl="0" w:tplc="F90AA5CA">
      <w:numFmt w:val="bullet"/>
      <w:lvlText w:val="-"/>
      <w:lvlJc w:val="left"/>
      <w:pPr>
        <w:ind w:left="1145" w:hanging="360"/>
      </w:pPr>
      <w:rPr>
        <w:rFonts w:ascii="Times New Roman" w:eastAsia="Times New Roman" w:hAnsi="Times New Roman"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95" w15:restartNumberingAfterBreak="0">
    <w:nsid w:val="0E435FCD"/>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96" w15:restartNumberingAfterBreak="0">
    <w:nsid w:val="0E7540F6"/>
    <w:multiLevelType w:val="multilevel"/>
    <w:tmpl w:val="7DC8C704"/>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97" w15:restartNumberingAfterBreak="0">
    <w:nsid w:val="0EAB5924"/>
    <w:multiLevelType w:val="multilevel"/>
    <w:tmpl w:val="D1D43456"/>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98" w15:restartNumberingAfterBreak="0">
    <w:nsid w:val="0ED94218"/>
    <w:multiLevelType w:val="hybridMultilevel"/>
    <w:tmpl w:val="DFC89BE8"/>
    <w:lvl w:ilvl="0" w:tplc="8B3C0BCA">
      <w:start w:val="1"/>
      <w:numFmt w:val="decimal"/>
      <w:lvlText w:val="%1."/>
      <w:lvlJc w:val="left"/>
      <w:pPr>
        <w:ind w:left="720" w:hanging="360"/>
      </w:pPr>
      <w:rPr>
        <w:rFonts w:ascii="Times New Roman" w:eastAsia="Times New Roman" w:hAnsi="Times New Roman" w:cs="Times New Roman"/>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99" w15:restartNumberingAfterBreak="0">
    <w:nsid w:val="0EE47FDA"/>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100" w15:restartNumberingAfterBreak="0">
    <w:nsid w:val="0EED5034"/>
    <w:multiLevelType w:val="hybridMultilevel"/>
    <w:tmpl w:val="5BA8D07A"/>
    <w:lvl w:ilvl="0" w:tplc="F90AA5CA">
      <w:numFmt w:val="bullet"/>
      <w:lvlText w:val="-"/>
      <w:lvlJc w:val="left"/>
      <w:pPr>
        <w:ind w:left="1145" w:hanging="360"/>
      </w:pPr>
      <w:rPr>
        <w:rFonts w:ascii="Times New Roman" w:eastAsia="Times New Roman" w:hAnsi="Times New Roman"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101" w15:restartNumberingAfterBreak="0">
    <w:nsid w:val="0F0F6FB2"/>
    <w:multiLevelType w:val="multilevel"/>
    <w:tmpl w:val="482E95D2"/>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4"/>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02" w15:restartNumberingAfterBreak="0">
    <w:nsid w:val="0F182FC9"/>
    <w:multiLevelType w:val="multilevel"/>
    <w:tmpl w:val="CA00EF3E"/>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03" w15:restartNumberingAfterBreak="0">
    <w:nsid w:val="0F1A1337"/>
    <w:multiLevelType w:val="multilevel"/>
    <w:tmpl w:val="D4F09530"/>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04" w15:restartNumberingAfterBreak="0">
    <w:nsid w:val="0F241226"/>
    <w:multiLevelType w:val="hybridMultilevel"/>
    <w:tmpl w:val="D5747CCE"/>
    <w:lvl w:ilvl="0" w:tplc="FDCE52DC">
      <w:start w:val="1"/>
      <w:numFmt w:val="decimal"/>
      <w:lvlText w:val="%1."/>
      <w:lvlJc w:val="left"/>
      <w:pPr>
        <w:ind w:left="644" w:hanging="360"/>
      </w:pPr>
      <w:rPr>
        <w:rFonts w:eastAsiaTheme="minorHAnsi"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5" w15:restartNumberingAfterBreak="0">
    <w:nsid w:val="0F6D0328"/>
    <w:multiLevelType w:val="hybridMultilevel"/>
    <w:tmpl w:val="744C1B8E"/>
    <w:lvl w:ilvl="0" w:tplc="040E000F">
      <w:start w:val="1"/>
      <w:numFmt w:val="decimal"/>
      <w:lvlText w:val="%1."/>
      <w:lvlJc w:val="left"/>
      <w:pPr>
        <w:ind w:left="1211" w:hanging="360"/>
      </w:pPr>
      <w:rPr>
        <w:rFonts w:hint="default"/>
      </w:rPr>
    </w:lvl>
    <w:lvl w:ilvl="1" w:tplc="040E0019">
      <w:start w:val="1"/>
      <w:numFmt w:val="lowerLetter"/>
      <w:lvlText w:val="%2."/>
      <w:lvlJc w:val="left"/>
      <w:pPr>
        <w:ind w:left="1931" w:hanging="360"/>
      </w:pPr>
    </w:lvl>
    <w:lvl w:ilvl="2" w:tplc="040E001B" w:tentative="1">
      <w:start w:val="1"/>
      <w:numFmt w:val="lowerRoman"/>
      <w:lvlText w:val="%3."/>
      <w:lvlJc w:val="right"/>
      <w:pPr>
        <w:ind w:left="2651" w:hanging="180"/>
      </w:pPr>
    </w:lvl>
    <w:lvl w:ilvl="3" w:tplc="040E000F" w:tentative="1">
      <w:start w:val="1"/>
      <w:numFmt w:val="decimal"/>
      <w:lvlText w:val="%4."/>
      <w:lvlJc w:val="left"/>
      <w:pPr>
        <w:ind w:left="3371" w:hanging="360"/>
      </w:pPr>
    </w:lvl>
    <w:lvl w:ilvl="4" w:tplc="040E0019" w:tentative="1">
      <w:start w:val="1"/>
      <w:numFmt w:val="lowerLetter"/>
      <w:lvlText w:val="%5."/>
      <w:lvlJc w:val="left"/>
      <w:pPr>
        <w:ind w:left="4091" w:hanging="360"/>
      </w:pPr>
    </w:lvl>
    <w:lvl w:ilvl="5" w:tplc="040E001B" w:tentative="1">
      <w:start w:val="1"/>
      <w:numFmt w:val="lowerRoman"/>
      <w:lvlText w:val="%6."/>
      <w:lvlJc w:val="right"/>
      <w:pPr>
        <w:ind w:left="4811" w:hanging="180"/>
      </w:pPr>
    </w:lvl>
    <w:lvl w:ilvl="6" w:tplc="040E000F" w:tentative="1">
      <w:start w:val="1"/>
      <w:numFmt w:val="decimal"/>
      <w:lvlText w:val="%7."/>
      <w:lvlJc w:val="left"/>
      <w:pPr>
        <w:ind w:left="5531" w:hanging="360"/>
      </w:pPr>
    </w:lvl>
    <w:lvl w:ilvl="7" w:tplc="040E0019" w:tentative="1">
      <w:start w:val="1"/>
      <w:numFmt w:val="lowerLetter"/>
      <w:lvlText w:val="%8."/>
      <w:lvlJc w:val="left"/>
      <w:pPr>
        <w:ind w:left="6251" w:hanging="360"/>
      </w:pPr>
    </w:lvl>
    <w:lvl w:ilvl="8" w:tplc="040E001B" w:tentative="1">
      <w:start w:val="1"/>
      <w:numFmt w:val="lowerRoman"/>
      <w:lvlText w:val="%9."/>
      <w:lvlJc w:val="right"/>
      <w:pPr>
        <w:ind w:left="6971" w:hanging="180"/>
      </w:pPr>
    </w:lvl>
  </w:abstractNum>
  <w:abstractNum w:abstractNumId="106" w15:restartNumberingAfterBreak="0">
    <w:nsid w:val="0FDE7208"/>
    <w:multiLevelType w:val="multilevel"/>
    <w:tmpl w:val="2FE6DC4A"/>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07" w15:restartNumberingAfterBreak="0">
    <w:nsid w:val="0FE1573B"/>
    <w:multiLevelType w:val="multilevel"/>
    <w:tmpl w:val="40BCE27A"/>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08" w15:restartNumberingAfterBreak="0">
    <w:nsid w:val="0FF67721"/>
    <w:multiLevelType w:val="multilevel"/>
    <w:tmpl w:val="DE46CFC6"/>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09" w15:restartNumberingAfterBreak="0">
    <w:nsid w:val="0FFF53ED"/>
    <w:multiLevelType w:val="multilevel"/>
    <w:tmpl w:val="F190ABF4"/>
    <w:lvl w:ilvl="0">
      <w:start w:val="8"/>
      <w:numFmt w:val="decimal"/>
      <w:lvlText w:val="%1."/>
      <w:lvlJc w:val="left"/>
      <w:pPr>
        <w:ind w:left="540" w:hanging="540"/>
      </w:pPr>
      <w:rPr>
        <w:rFonts w:hint="default"/>
      </w:rPr>
    </w:lvl>
    <w:lvl w:ilvl="1">
      <w:start w:val="1"/>
      <w:numFmt w:val="decimal"/>
      <w:lvlText w:val="%1.%2."/>
      <w:lvlJc w:val="left"/>
      <w:pPr>
        <w:ind w:left="753" w:hanging="54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110" w15:restartNumberingAfterBreak="0">
    <w:nsid w:val="10030935"/>
    <w:multiLevelType w:val="hybridMultilevel"/>
    <w:tmpl w:val="EE3AE848"/>
    <w:lvl w:ilvl="0" w:tplc="8F10D5C2">
      <w:start w:val="1"/>
      <w:numFmt w:val="decimal"/>
      <w:lvlText w:val="%1."/>
      <w:lvlJc w:val="left"/>
      <w:pPr>
        <w:ind w:left="720" w:hanging="360"/>
      </w:pPr>
      <w:rPr>
        <w:rFonts w:eastAsiaTheme="minorHAnsi"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1" w15:restartNumberingAfterBreak="0">
    <w:nsid w:val="10401CCF"/>
    <w:multiLevelType w:val="multilevel"/>
    <w:tmpl w:val="F7AE826E"/>
    <w:lvl w:ilvl="0">
      <w:start w:val="17"/>
      <w:numFmt w:val="decimal"/>
      <w:lvlText w:val="%1."/>
      <w:lvlJc w:val="left"/>
      <w:pPr>
        <w:ind w:left="600" w:hanging="600"/>
      </w:pPr>
      <w:rPr>
        <w:rFonts w:ascii="Times New Roman" w:hAnsi="Times New Roman" w:cs="Times New Roman" w:hint="default"/>
        <w:b/>
        <w:sz w:val="24"/>
        <w:szCs w:val="24"/>
      </w:rPr>
    </w:lvl>
    <w:lvl w:ilvl="1">
      <w:start w:val="1"/>
      <w:numFmt w:val="decimalZero"/>
      <w:lvlText w:val="%1.%2."/>
      <w:lvlJc w:val="left"/>
      <w:pPr>
        <w:ind w:left="1626" w:hanging="600"/>
      </w:pPr>
      <w:rPr>
        <w:rFonts w:ascii="CG Times (W1)" w:hAnsi="CG Times (W1)" w:hint="default"/>
        <w:b/>
        <w:sz w:val="22"/>
        <w:szCs w:val="22"/>
      </w:rPr>
    </w:lvl>
    <w:lvl w:ilvl="2">
      <w:start w:val="1"/>
      <w:numFmt w:val="decimal"/>
      <w:lvlText w:val="%1.%2.%3."/>
      <w:lvlJc w:val="left"/>
      <w:pPr>
        <w:ind w:left="2772" w:hanging="720"/>
      </w:pPr>
      <w:rPr>
        <w:rFonts w:ascii="CG Times (W1)" w:hAnsi="CG Times (W1)" w:hint="default"/>
        <w:b w:val="0"/>
      </w:rPr>
    </w:lvl>
    <w:lvl w:ilvl="3">
      <w:start w:val="1"/>
      <w:numFmt w:val="decimal"/>
      <w:lvlText w:val="%1.%2.%3.%4."/>
      <w:lvlJc w:val="left"/>
      <w:pPr>
        <w:ind w:left="3798" w:hanging="720"/>
      </w:pPr>
      <w:rPr>
        <w:rFonts w:ascii="CG Times (W1)" w:hAnsi="CG Times (W1)" w:hint="default"/>
        <w:b w:val="0"/>
      </w:rPr>
    </w:lvl>
    <w:lvl w:ilvl="4">
      <w:start w:val="1"/>
      <w:numFmt w:val="decimal"/>
      <w:lvlText w:val="%1.%2.%3.%4.%5."/>
      <w:lvlJc w:val="left"/>
      <w:pPr>
        <w:ind w:left="5184" w:hanging="1080"/>
      </w:pPr>
      <w:rPr>
        <w:rFonts w:ascii="CG Times (W1)" w:hAnsi="CG Times (W1)" w:hint="default"/>
        <w:b w:val="0"/>
      </w:rPr>
    </w:lvl>
    <w:lvl w:ilvl="5">
      <w:start w:val="1"/>
      <w:numFmt w:val="decimal"/>
      <w:lvlText w:val="%1.%2.%3.%4.%5.%6."/>
      <w:lvlJc w:val="left"/>
      <w:pPr>
        <w:ind w:left="6210" w:hanging="1080"/>
      </w:pPr>
      <w:rPr>
        <w:rFonts w:ascii="CG Times (W1)" w:hAnsi="CG Times (W1)" w:hint="default"/>
        <w:b w:val="0"/>
      </w:rPr>
    </w:lvl>
    <w:lvl w:ilvl="6">
      <w:start w:val="1"/>
      <w:numFmt w:val="decimal"/>
      <w:lvlText w:val="%1.%2.%3.%4.%5.%6.%7."/>
      <w:lvlJc w:val="left"/>
      <w:pPr>
        <w:ind w:left="7596" w:hanging="1440"/>
      </w:pPr>
      <w:rPr>
        <w:rFonts w:ascii="CG Times (W1)" w:hAnsi="CG Times (W1)" w:hint="default"/>
        <w:b w:val="0"/>
      </w:rPr>
    </w:lvl>
    <w:lvl w:ilvl="7">
      <w:start w:val="1"/>
      <w:numFmt w:val="decimal"/>
      <w:lvlText w:val="%1.%2.%3.%4.%5.%6.%7.%8."/>
      <w:lvlJc w:val="left"/>
      <w:pPr>
        <w:ind w:left="8622" w:hanging="1440"/>
      </w:pPr>
      <w:rPr>
        <w:rFonts w:ascii="CG Times (W1)" w:hAnsi="CG Times (W1)" w:hint="default"/>
        <w:b w:val="0"/>
      </w:rPr>
    </w:lvl>
    <w:lvl w:ilvl="8">
      <w:start w:val="1"/>
      <w:numFmt w:val="decimal"/>
      <w:lvlText w:val="%1.%2.%3.%4.%5.%6.%7.%8.%9."/>
      <w:lvlJc w:val="left"/>
      <w:pPr>
        <w:ind w:left="10008" w:hanging="1800"/>
      </w:pPr>
      <w:rPr>
        <w:rFonts w:ascii="CG Times (W1)" w:hAnsi="CG Times (W1)" w:hint="default"/>
        <w:b w:val="0"/>
      </w:rPr>
    </w:lvl>
  </w:abstractNum>
  <w:abstractNum w:abstractNumId="112" w15:restartNumberingAfterBreak="0">
    <w:nsid w:val="106760E9"/>
    <w:multiLevelType w:val="hybridMultilevel"/>
    <w:tmpl w:val="3AE0217C"/>
    <w:lvl w:ilvl="0" w:tplc="F29CF34C">
      <w:start w:val="1"/>
      <w:numFmt w:val="bullet"/>
      <w:lvlText w:val=""/>
      <w:lvlJc w:val="left"/>
      <w:pPr>
        <w:ind w:left="1146" w:hanging="360"/>
      </w:pPr>
      <w:rPr>
        <w:rFonts w:ascii="Symbol" w:hAnsi="Symbol" w:hint="default"/>
      </w:rPr>
    </w:lvl>
    <w:lvl w:ilvl="1" w:tplc="040E0003">
      <w:start w:val="1"/>
      <w:numFmt w:val="bullet"/>
      <w:lvlText w:val="o"/>
      <w:lvlJc w:val="left"/>
      <w:pPr>
        <w:ind w:left="1866" w:hanging="360"/>
      </w:pPr>
      <w:rPr>
        <w:rFonts w:ascii="Courier New" w:hAnsi="Courier New" w:cs="Courier New" w:hint="default"/>
      </w:rPr>
    </w:lvl>
    <w:lvl w:ilvl="2" w:tplc="040E0005">
      <w:start w:val="1"/>
      <w:numFmt w:val="bullet"/>
      <w:lvlText w:val=""/>
      <w:lvlJc w:val="left"/>
      <w:pPr>
        <w:ind w:left="2586" w:hanging="360"/>
      </w:pPr>
      <w:rPr>
        <w:rFonts w:ascii="Wingdings" w:hAnsi="Wingdings" w:hint="default"/>
      </w:rPr>
    </w:lvl>
    <w:lvl w:ilvl="3" w:tplc="040E0001">
      <w:start w:val="1"/>
      <w:numFmt w:val="bullet"/>
      <w:lvlText w:val=""/>
      <w:lvlJc w:val="left"/>
      <w:pPr>
        <w:ind w:left="3306" w:hanging="360"/>
      </w:pPr>
      <w:rPr>
        <w:rFonts w:ascii="Symbol" w:hAnsi="Symbol" w:hint="default"/>
      </w:rPr>
    </w:lvl>
    <w:lvl w:ilvl="4" w:tplc="040E0003">
      <w:start w:val="1"/>
      <w:numFmt w:val="bullet"/>
      <w:lvlText w:val="o"/>
      <w:lvlJc w:val="left"/>
      <w:pPr>
        <w:ind w:left="4026" w:hanging="360"/>
      </w:pPr>
      <w:rPr>
        <w:rFonts w:ascii="Courier New" w:hAnsi="Courier New" w:cs="Courier New" w:hint="default"/>
      </w:rPr>
    </w:lvl>
    <w:lvl w:ilvl="5" w:tplc="040E0005">
      <w:start w:val="1"/>
      <w:numFmt w:val="bullet"/>
      <w:lvlText w:val=""/>
      <w:lvlJc w:val="left"/>
      <w:pPr>
        <w:ind w:left="4746" w:hanging="360"/>
      </w:pPr>
      <w:rPr>
        <w:rFonts w:ascii="Wingdings" w:hAnsi="Wingdings" w:hint="default"/>
      </w:rPr>
    </w:lvl>
    <w:lvl w:ilvl="6" w:tplc="040E0001">
      <w:start w:val="1"/>
      <w:numFmt w:val="bullet"/>
      <w:lvlText w:val=""/>
      <w:lvlJc w:val="left"/>
      <w:pPr>
        <w:ind w:left="5466" w:hanging="360"/>
      </w:pPr>
      <w:rPr>
        <w:rFonts w:ascii="Symbol" w:hAnsi="Symbol" w:hint="default"/>
      </w:rPr>
    </w:lvl>
    <w:lvl w:ilvl="7" w:tplc="040E0003">
      <w:start w:val="1"/>
      <w:numFmt w:val="bullet"/>
      <w:lvlText w:val="o"/>
      <w:lvlJc w:val="left"/>
      <w:pPr>
        <w:ind w:left="6186" w:hanging="360"/>
      </w:pPr>
      <w:rPr>
        <w:rFonts w:ascii="Courier New" w:hAnsi="Courier New" w:cs="Courier New" w:hint="default"/>
      </w:rPr>
    </w:lvl>
    <w:lvl w:ilvl="8" w:tplc="040E0005">
      <w:start w:val="1"/>
      <w:numFmt w:val="bullet"/>
      <w:lvlText w:val=""/>
      <w:lvlJc w:val="left"/>
      <w:pPr>
        <w:ind w:left="6906" w:hanging="360"/>
      </w:pPr>
      <w:rPr>
        <w:rFonts w:ascii="Wingdings" w:hAnsi="Wingdings" w:hint="default"/>
      </w:rPr>
    </w:lvl>
  </w:abstractNum>
  <w:abstractNum w:abstractNumId="113" w15:restartNumberingAfterBreak="0">
    <w:nsid w:val="10694879"/>
    <w:multiLevelType w:val="hybridMultilevel"/>
    <w:tmpl w:val="744C1B8E"/>
    <w:lvl w:ilvl="0" w:tplc="040E000F">
      <w:start w:val="1"/>
      <w:numFmt w:val="decimal"/>
      <w:lvlText w:val="%1."/>
      <w:lvlJc w:val="left"/>
      <w:pPr>
        <w:ind w:left="1211" w:hanging="360"/>
      </w:pPr>
      <w:rPr>
        <w:rFonts w:hint="default"/>
      </w:rPr>
    </w:lvl>
    <w:lvl w:ilvl="1" w:tplc="040E0019">
      <w:start w:val="1"/>
      <w:numFmt w:val="lowerLetter"/>
      <w:lvlText w:val="%2."/>
      <w:lvlJc w:val="left"/>
      <w:pPr>
        <w:ind w:left="1931" w:hanging="360"/>
      </w:pPr>
    </w:lvl>
    <w:lvl w:ilvl="2" w:tplc="040E001B" w:tentative="1">
      <w:start w:val="1"/>
      <w:numFmt w:val="lowerRoman"/>
      <w:lvlText w:val="%3."/>
      <w:lvlJc w:val="right"/>
      <w:pPr>
        <w:ind w:left="2651" w:hanging="180"/>
      </w:pPr>
    </w:lvl>
    <w:lvl w:ilvl="3" w:tplc="040E000F" w:tentative="1">
      <w:start w:val="1"/>
      <w:numFmt w:val="decimal"/>
      <w:lvlText w:val="%4."/>
      <w:lvlJc w:val="left"/>
      <w:pPr>
        <w:ind w:left="3371" w:hanging="360"/>
      </w:pPr>
    </w:lvl>
    <w:lvl w:ilvl="4" w:tplc="040E0019" w:tentative="1">
      <w:start w:val="1"/>
      <w:numFmt w:val="lowerLetter"/>
      <w:lvlText w:val="%5."/>
      <w:lvlJc w:val="left"/>
      <w:pPr>
        <w:ind w:left="4091" w:hanging="360"/>
      </w:pPr>
    </w:lvl>
    <w:lvl w:ilvl="5" w:tplc="040E001B" w:tentative="1">
      <w:start w:val="1"/>
      <w:numFmt w:val="lowerRoman"/>
      <w:lvlText w:val="%6."/>
      <w:lvlJc w:val="right"/>
      <w:pPr>
        <w:ind w:left="4811" w:hanging="180"/>
      </w:pPr>
    </w:lvl>
    <w:lvl w:ilvl="6" w:tplc="040E000F" w:tentative="1">
      <w:start w:val="1"/>
      <w:numFmt w:val="decimal"/>
      <w:lvlText w:val="%7."/>
      <w:lvlJc w:val="left"/>
      <w:pPr>
        <w:ind w:left="5531" w:hanging="360"/>
      </w:pPr>
    </w:lvl>
    <w:lvl w:ilvl="7" w:tplc="040E0019" w:tentative="1">
      <w:start w:val="1"/>
      <w:numFmt w:val="lowerLetter"/>
      <w:lvlText w:val="%8."/>
      <w:lvlJc w:val="left"/>
      <w:pPr>
        <w:ind w:left="6251" w:hanging="360"/>
      </w:pPr>
    </w:lvl>
    <w:lvl w:ilvl="8" w:tplc="040E001B" w:tentative="1">
      <w:start w:val="1"/>
      <w:numFmt w:val="lowerRoman"/>
      <w:lvlText w:val="%9."/>
      <w:lvlJc w:val="right"/>
      <w:pPr>
        <w:ind w:left="6971" w:hanging="180"/>
      </w:pPr>
    </w:lvl>
  </w:abstractNum>
  <w:abstractNum w:abstractNumId="114" w15:restartNumberingAfterBreak="0">
    <w:nsid w:val="1099618C"/>
    <w:multiLevelType w:val="hybridMultilevel"/>
    <w:tmpl w:val="C0F86890"/>
    <w:lvl w:ilvl="0" w:tplc="A8F41EB8">
      <w:start w:val="1"/>
      <w:numFmt w:val="decimal"/>
      <w:lvlText w:val="%1."/>
      <w:lvlJc w:val="left"/>
      <w:pPr>
        <w:ind w:left="644" w:hanging="360"/>
      </w:pPr>
    </w:lvl>
    <w:lvl w:ilvl="1" w:tplc="040E0019">
      <w:start w:val="1"/>
      <w:numFmt w:val="lowerLetter"/>
      <w:lvlText w:val="%2."/>
      <w:lvlJc w:val="left"/>
      <w:pPr>
        <w:ind w:left="1364" w:hanging="360"/>
      </w:pPr>
    </w:lvl>
    <w:lvl w:ilvl="2" w:tplc="040E001B">
      <w:start w:val="1"/>
      <w:numFmt w:val="lowerRoman"/>
      <w:lvlText w:val="%3."/>
      <w:lvlJc w:val="right"/>
      <w:pPr>
        <w:ind w:left="2084" w:hanging="180"/>
      </w:pPr>
    </w:lvl>
    <w:lvl w:ilvl="3" w:tplc="040E000F">
      <w:start w:val="1"/>
      <w:numFmt w:val="decimal"/>
      <w:lvlText w:val="%4."/>
      <w:lvlJc w:val="left"/>
      <w:pPr>
        <w:ind w:left="2804" w:hanging="360"/>
      </w:pPr>
    </w:lvl>
    <w:lvl w:ilvl="4" w:tplc="040E0019">
      <w:start w:val="1"/>
      <w:numFmt w:val="lowerLetter"/>
      <w:lvlText w:val="%5."/>
      <w:lvlJc w:val="left"/>
      <w:pPr>
        <w:ind w:left="3524" w:hanging="360"/>
      </w:pPr>
    </w:lvl>
    <w:lvl w:ilvl="5" w:tplc="040E001B">
      <w:start w:val="1"/>
      <w:numFmt w:val="lowerRoman"/>
      <w:lvlText w:val="%6."/>
      <w:lvlJc w:val="right"/>
      <w:pPr>
        <w:ind w:left="4244" w:hanging="180"/>
      </w:pPr>
    </w:lvl>
    <w:lvl w:ilvl="6" w:tplc="040E000F">
      <w:start w:val="1"/>
      <w:numFmt w:val="decimal"/>
      <w:lvlText w:val="%7."/>
      <w:lvlJc w:val="left"/>
      <w:pPr>
        <w:ind w:left="4964" w:hanging="360"/>
      </w:pPr>
    </w:lvl>
    <w:lvl w:ilvl="7" w:tplc="040E0019">
      <w:start w:val="1"/>
      <w:numFmt w:val="lowerLetter"/>
      <w:lvlText w:val="%8."/>
      <w:lvlJc w:val="left"/>
      <w:pPr>
        <w:ind w:left="5684" w:hanging="360"/>
      </w:pPr>
    </w:lvl>
    <w:lvl w:ilvl="8" w:tplc="040E001B">
      <w:start w:val="1"/>
      <w:numFmt w:val="lowerRoman"/>
      <w:lvlText w:val="%9."/>
      <w:lvlJc w:val="right"/>
      <w:pPr>
        <w:ind w:left="6404" w:hanging="180"/>
      </w:pPr>
    </w:lvl>
  </w:abstractNum>
  <w:abstractNum w:abstractNumId="115" w15:restartNumberingAfterBreak="0">
    <w:nsid w:val="10A003B3"/>
    <w:multiLevelType w:val="hybridMultilevel"/>
    <w:tmpl w:val="5792FA8C"/>
    <w:lvl w:ilvl="0" w:tplc="24D09896">
      <w:start w:val="13"/>
      <w:numFmt w:val="bullet"/>
      <w:lvlText w:val="˗"/>
      <w:lvlJc w:val="left"/>
      <w:pPr>
        <w:ind w:left="785" w:hanging="360"/>
      </w:pPr>
      <w:rPr>
        <w:rFonts w:ascii="Times New Roman" w:eastAsia="Calibri" w:hAnsi="Times New Roman" w:cs="Times New Roman" w:hint="default"/>
      </w:rPr>
    </w:lvl>
    <w:lvl w:ilvl="1" w:tplc="040E0003" w:tentative="1">
      <w:start w:val="1"/>
      <w:numFmt w:val="bullet"/>
      <w:lvlText w:val="o"/>
      <w:lvlJc w:val="left"/>
      <w:pPr>
        <w:ind w:left="1505" w:hanging="360"/>
      </w:pPr>
      <w:rPr>
        <w:rFonts w:ascii="Courier New" w:hAnsi="Courier New" w:cs="Courier New" w:hint="default"/>
      </w:rPr>
    </w:lvl>
    <w:lvl w:ilvl="2" w:tplc="040E0005" w:tentative="1">
      <w:start w:val="1"/>
      <w:numFmt w:val="bullet"/>
      <w:lvlText w:val=""/>
      <w:lvlJc w:val="left"/>
      <w:pPr>
        <w:ind w:left="2225" w:hanging="360"/>
      </w:pPr>
      <w:rPr>
        <w:rFonts w:ascii="Wingdings" w:hAnsi="Wingdings" w:hint="default"/>
      </w:rPr>
    </w:lvl>
    <w:lvl w:ilvl="3" w:tplc="040E0001" w:tentative="1">
      <w:start w:val="1"/>
      <w:numFmt w:val="bullet"/>
      <w:lvlText w:val=""/>
      <w:lvlJc w:val="left"/>
      <w:pPr>
        <w:ind w:left="2945" w:hanging="360"/>
      </w:pPr>
      <w:rPr>
        <w:rFonts w:ascii="Symbol" w:hAnsi="Symbol" w:hint="default"/>
      </w:rPr>
    </w:lvl>
    <w:lvl w:ilvl="4" w:tplc="040E0003" w:tentative="1">
      <w:start w:val="1"/>
      <w:numFmt w:val="bullet"/>
      <w:lvlText w:val="o"/>
      <w:lvlJc w:val="left"/>
      <w:pPr>
        <w:ind w:left="3665" w:hanging="360"/>
      </w:pPr>
      <w:rPr>
        <w:rFonts w:ascii="Courier New" w:hAnsi="Courier New" w:cs="Courier New" w:hint="default"/>
      </w:rPr>
    </w:lvl>
    <w:lvl w:ilvl="5" w:tplc="040E0005" w:tentative="1">
      <w:start w:val="1"/>
      <w:numFmt w:val="bullet"/>
      <w:lvlText w:val=""/>
      <w:lvlJc w:val="left"/>
      <w:pPr>
        <w:ind w:left="4385" w:hanging="360"/>
      </w:pPr>
      <w:rPr>
        <w:rFonts w:ascii="Wingdings" w:hAnsi="Wingdings" w:hint="default"/>
      </w:rPr>
    </w:lvl>
    <w:lvl w:ilvl="6" w:tplc="040E0001" w:tentative="1">
      <w:start w:val="1"/>
      <w:numFmt w:val="bullet"/>
      <w:lvlText w:val=""/>
      <w:lvlJc w:val="left"/>
      <w:pPr>
        <w:ind w:left="5105" w:hanging="360"/>
      </w:pPr>
      <w:rPr>
        <w:rFonts w:ascii="Symbol" w:hAnsi="Symbol" w:hint="default"/>
      </w:rPr>
    </w:lvl>
    <w:lvl w:ilvl="7" w:tplc="040E0003" w:tentative="1">
      <w:start w:val="1"/>
      <w:numFmt w:val="bullet"/>
      <w:lvlText w:val="o"/>
      <w:lvlJc w:val="left"/>
      <w:pPr>
        <w:ind w:left="5825" w:hanging="360"/>
      </w:pPr>
      <w:rPr>
        <w:rFonts w:ascii="Courier New" w:hAnsi="Courier New" w:cs="Courier New" w:hint="default"/>
      </w:rPr>
    </w:lvl>
    <w:lvl w:ilvl="8" w:tplc="040E0005" w:tentative="1">
      <w:start w:val="1"/>
      <w:numFmt w:val="bullet"/>
      <w:lvlText w:val=""/>
      <w:lvlJc w:val="left"/>
      <w:pPr>
        <w:ind w:left="6545" w:hanging="360"/>
      </w:pPr>
      <w:rPr>
        <w:rFonts w:ascii="Wingdings" w:hAnsi="Wingdings" w:hint="default"/>
      </w:rPr>
    </w:lvl>
  </w:abstractNum>
  <w:abstractNum w:abstractNumId="116" w15:restartNumberingAfterBreak="0">
    <w:nsid w:val="1122733C"/>
    <w:multiLevelType w:val="hybridMultilevel"/>
    <w:tmpl w:val="F7728A36"/>
    <w:lvl w:ilvl="0" w:tplc="0B02878E">
      <w:start w:val="1"/>
      <w:numFmt w:val="decimal"/>
      <w:lvlText w:val="%1."/>
      <w:lvlJc w:val="left"/>
      <w:pPr>
        <w:ind w:left="1068" w:hanging="360"/>
      </w:pPr>
      <w:rPr>
        <w:rFonts w:hint="default"/>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117" w15:restartNumberingAfterBreak="0">
    <w:nsid w:val="112A3430"/>
    <w:multiLevelType w:val="hybridMultilevel"/>
    <w:tmpl w:val="B1E414BA"/>
    <w:lvl w:ilvl="0" w:tplc="F29CF34C">
      <w:start w:val="1"/>
      <w:numFmt w:val="bullet"/>
      <w:lvlText w:val=""/>
      <w:lvlJc w:val="left"/>
      <w:pPr>
        <w:ind w:left="1146" w:hanging="360"/>
      </w:pPr>
      <w:rPr>
        <w:rFonts w:ascii="Symbol" w:hAnsi="Symbol" w:hint="default"/>
      </w:rPr>
    </w:lvl>
    <w:lvl w:ilvl="1" w:tplc="040E0003">
      <w:start w:val="1"/>
      <w:numFmt w:val="bullet"/>
      <w:lvlText w:val="o"/>
      <w:lvlJc w:val="left"/>
      <w:pPr>
        <w:ind w:left="1866" w:hanging="360"/>
      </w:pPr>
      <w:rPr>
        <w:rFonts w:ascii="Courier New" w:hAnsi="Courier New" w:cs="Courier New" w:hint="default"/>
      </w:rPr>
    </w:lvl>
    <w:lvl w:ilvl="2" w:tplc="040E0005">
      <w:start w:val="1"/>
      <w:numFmt w:val="bullet"/>
      <w:lvlText w:val=""/>
      <w:lvlJc w:val="left"/>
      <w:pPr>
        <w:ind w:left="2586" w:hanging="360"/>
      </w:pPr>
      <w:rPr>
        <w:rFonts w:ascii="Wingdings" w:hAnsi="Wingdings" w:hint="default"/>
      </w:rPr>
    </w:lvl>
    <w:lvl w:ilvl="3" w:tplc="040E0001">
      <w:start w:val="1"/>
      <w:numFmt w:val="bullet"/>
      <w:lvlText w:val=""/>
      <w:lvlJc w:val="left"/>
      <w:pPr>
        <w:ind w:left="3306" w:hanging="360"/>
      </w:pPr>
      <w:rPr>
        <w:rFonts w:ascii="Symbol" w:hAnsi="Symbol" w:hint="default"/>
      </w:rPr>
    </w:lvl>
    <w:lvl w:ilvl="4" w:tplc="040E0003">
      <w:start w:val="1"/>
      <w:numFmt w:val="bullet"/>
      <w:lvlText w:val="o"/>
      <w:lvlJc w:val="left"/>
      <w:pPr>
        <w:ind w:left="4026" w:hanging="360"/>
      </w:pPr>
      <w:rPr>
        <w:rFonts w:ascii="Courier New" w:hAnsi="Courier New" w:cs="Courier New" w:hint="default"/>
      </w:rPr>
    </w:lvl>
    <w:lvl w:ilvl="5" w:tplc="040E0005">
      <w:start w:val="1"/>
      <w:numFmt w:val="bullet"/>
      <w:lvlText w:val=""/>
      <w:lvlJc w:val="left"/>
      <w:pPr>
        <w:ind w:left="4746" w:hanging="360"/>
      </w:pPr>
      <w:rPr>
        <w:rFonts w:ascii="Wingdings" w:hAnsi="Wingdings" w:hint="default"/>
      </w:rPr>
    </w:lvl>
    <w:lvl w:ilvl="6" w:tplc="040E0001">
      <w:start w:val="1"/>
      <w:numFmt w:val="bullet"/>
      <w:lvlText w:val=""/>
      <w:lvlJc w:val="left"/>
      <w:pPr>
        <w:ind w:left="5466" w:hanging="360"/>
      </w:pPr>
      <w:rPr>
        <w:rFonts w:ascii="Symbol" w:hAnsi="Symbol" w:hint="default"/>
      </w:rPr>
    </w:lvl>
    <w:lvl w:ilvl="7" w:tplc="040E0003">
      <w:start w:val="1"/>
      <w:numFmt w:val="bullet"/>
      <w:lvlText w:val="o"/>
      <w:lvlJc w:val="left"/>
      <w:pPr>
        <w:ind w:left="6186" w:hanging="360"/>
      </w:pPr>
      <w:rPr>
        <w:rFonts w:ascii="Courier New" w:hAnsi="Courier New" w:cs="Courier New" w:hint="default"/>
      </w:rPr>
    </w:lvl>
    <w:lvl w:ilvl="8" w:tplc="040E0005">
      <w:start w:val="1"/>
      <w:numFmt w:val="bullet"/>
      <w:lvlText w:val=""/>
      <w:lvlJc w:val="left"/>
      <w:pPr>
        <w:ind w:left="6906" w:hanging="360"/>
      </w:pPr>
      <w:rPr>
        <w:rFonts w:ascii="Wingdings" w:hAnsi="Wingdings" w:hint="default"/>
      </w:rPr>
    </w:lvl>
  </w:abstractNum>
  <w:abstractNum w:abstractNumId="118" w15:restartNumberingAfterBreak="0">
    <w:nsid w:val="114F3D25"/>
    <w:multiLevelType w:val="hybridMultilevel"/>
    <w:tmpl w:val="F0F46F20"/>
    <w:lvl w:ilvl="0" w:tplc="07A0E28E">
      <w:start w:val="17"/>
      <w:numFmt w:val="bullet"/>
      <w:lvlText w:val="-"/>
      <w:lvlJc w:val="left"/>
      <w:pPr>
        <w:ind w:left="786" w:hanging="360"/>
      </w:pPr>
      <w:rPr>
        <w:rFonts w:ascii="Times New Roman" w:eastAsia="Times New Roman" w:hAnsi="Times New Roman" w:cs="Times New Roman"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119" w15:restartNumberingAfterBreak="0">
    <w:nsid w:val="118A05BD"/>
    <w:multiLevelType w:val="multilevel"/>
    <w:tmpl w:val="7CFC3950"/>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3."/>
      <w:lvlJc w:val="left"/>
      <w:pPr>
        <w:tabs>
          <w:tab w:val="num" w:pos="1800"/>
        </w:tabs>
        <w:ind w:left="1584" w:hanging="504"/>
      </w:pPr>
      <w:rPr>
        <w:rFonts w:hint="default"/>
        <w:b w:val="0"/>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20" w15:restartNumberingAfterBreak="0">
    <w:nsid w:val="118C65E9"/>
    <w:multiLevelType w:val="multilevel"/>
    <w:tmpl w:val="D6562A80"/>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1" w15:restartNumberingAfterBreak="0">
    <w:nsid w:val="11A47BAB"/>
    <w:multiLevelType w:val="hybridMultilevel"/>
    <w:tmpl w:val="03AEA14E"/>
    <w:lvl w:ilvl="0" w:tplc="4B4C3290">
      <w:start w:val="8"/>
      <w:numFmt w:val="bullet"/>
      <w:lvlText w:val="-"/>
      <w:lvlJc w:val="left"/>
      <w:pPr>
        <w:ind w:left="786" w:hanging="360"/>
      </w:pPr>
      <w:rPr>
        <w:rFonts w:ascii="Times New Roman" w:eastAsia="Times New Roman" w:hAnsi="Times New Roman" w:cs="Times New Roman" w:hint="default"/>
      </w:rPr>
    </w:lvl>
    <w:lvl w:ilvl="1" w:tplc="040E0003">
      <w:start w:val="1"/>
      <w:numFmt w:val="bullet"/>
      <w:lvlText w:val="o"/>
      <w:lvlJc w:val="left"/>
      <w:pPr>
        <w:ind w:left="1506" w:hanging="360"/>
      </w:pPr>
      <w:rPr>
        <w:rFonts w:ascii="Courier New" w:hAnsi="Courier New" w:cs="Courier New" w:hint="default"/>
      </w:rPr>
    </w:lvl>
    <w:lvl w:ilvl="2" w:tplc="040E0005">
      <w:start w:val="1"/>
      <w:numFmt w:val="bullet"/>
      <w:lvlText w:val=""/>
      <w:lvlJc w:val="left"/>
      <w:pPr>
        <w:ind w:left="2226" w:hanging="360"/>
      </w:pPr>
      <w:rPr>
        <w:rFonts w:ascii="Wingdings" w:hAnsi="Wingdings" w:hint="default"/>
      </w:rPr>
    </w:lvl>
    <w:lvl w:ilvl="3" w:tplc="040E0001">
      <w:start w:val="1"/>
      <w:numFmt w:val="bullet"/>
      <w:lvlText w:val=""/>
      <w:lvlJc w:val="left"/>
      <w:pPr>
        <w:ind w:left="2946" w:hanging="360"/>
      </w:pPr>
      <w:rPr>
        <w:rFonts w:ascii="Symbol" w:hAnsi="Symbol" w:hint="default"/>
      </w:rPr>
    </w:lvl>
    <w:lvl w:ilvl="4" w:tplc="040E0003">
      <w:start w:val="1"/>
      <w:numFmt w:val="bullet"/>
      <w:lvlText w:val="o"/>
      <w:lvlJc w:val="left"/>
      <w:pPr>
        <w:ind w:left="3666" w:hanging="360"/>
      </w:pPr>
      <w:rPr>
        <w:rFonts w:ascii="Courier New" w:hAnsi="Courier New" w:cs="Courier New" w:hint="default"/>
      </w:rPr>
    </w:lvl>
    <w:lvl w:ilvl="5" w:tplc="040E0005">
      <w:start w:val="1"/>
      <w:numFmt w:val="bullet"/>
      <w:lvlText w:val=""/>
      <w:lvlJc w:val="left"/>
      <w:pPr>
        <w:ind w:left="4386" w:hanging="360"/>
      </w:pPr>
      <w:rPr>
        <w:rFonts w:ascii="Wingdings" w:hAnsi="Wingdings" w:hint="default"/>
      </w:rPr>
    </w:lvl>
    <w:lvl w:ilvl="6" w:tplc="040E0001">
      <w:start w:val="1"/>
      <w:numFmt w:val="bullet"/>
      <w:lvlText w:val=""/>
      <w:lvlJc w:val="left"/>
      <w:pPr>
        <w:ind w:left="5106" w:hanging="360"/>
      </w:pPr>
      <w:rPr>
        <w:rFonts w:ascii="Symbol" w:hAnsi="Symbol" w:hint="default"/>
      </w:rPr>
    </w:lvl>
    <w:lvl w:ilvl="7" w:tplc="040E0003">
      <w:start w:val="1"/>
      <w:numFmt w:val="bullet"/>
      <w:lvlText w:val="o"/>
      <w:lvlJc w:val="left"/>
      <w:pPr>
        <w:ind w:left="5826" w:hanging="360"/>
      </w:pPr>
      <w:rPr>
        <w:rFonts w:ascii="Courier New" w:hAnsi="Courier New" w:cs="Courier New" w:hint="default"/>
      </w:rPr>
    </w:lvl>
    <w:lvl w:ilvl="8" w:tplc="040E0005">
      <w:start w:val="1"/>
      <w:numFmt w:val="bullet"/>
      <w:lvlText w:val=""/>
      <w:lvlJc w:val="left"/>
      <w:pPr>
        <w:ind w:left="6546" w:hanging="360"/>
      </w:pPr>
      <w:rPr>
        <w:rFonts w:ascii="Wingdings" w:hAnsi="Wingdings" w:hint="default"/>
      </w:rPr>
    </w:lvl>
  </w:abstractNum>
  <w:abstractNum w:abstractNumId="122" w15:restartNumberingAfterBreak="0">
    <w:nsid w:val="11BA346C"/>
    <w:multiLevelType w:val="multilevel"/>
    <w:tmpl w:val="376EE298"/>
    <w:lvl w:ilvl="0">
      <w:start w:val="1"/>
      <w:numFmt w:val="decimal"/>
      <w:lvlText w:val="%1."/>
      <w:lvlJc w:val="right"/>
      <w:pPr>
        <w:tabs>
          <w:tab w:val="num" w:pos="502"/>
        </w:tabs>
        <w:ind w:left="502" w:hanging="360"/>
      </w:pPr>
      <w:rPr>
        <w:rFonts w:ascii="Times New Roman" w:hAnsi="Times New Roman"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rFonts w:ascii="Times New Roman" w:hAnsi="Times New Roman" w:cs="Times New Roman" w:hint="default"/>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23" w15:restartNumberingAfterBreak="0">
    <w:nsid w:val="11E4131D"/>
    <w:multiLevelType w:val="multilevel"/>
    <w:tmpl w:val="536E30C6"/>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4"/>
        <w:szCs w:val="24"/>
        <w:u w:val="none"/>
        <w:effect w:val="none"/>
        <w:vertAlign w:val="baseline"/>
      </w:rPr>
    </w:lvl>
    <w:lvl w:ilvl="1">
      <w:start w:val="1"/>
      <w:numFmt w:val="decimal"/>
      <w:lvlText w:val="%1.%2."/>
      <w:lvlJc w:val="left"/>
      <w:pPr>
        <w:tabs>
          <w:tab w:val="num" w:pos="1425"/>
        </w:tabs>
        <w:ind w:left="1425" w:hanging="432"/>
      </w:pPr>
      <w:rPr>
        <w:rFonts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24" w15:restartNumberingAfterBreak="0">
    <w:nsid w:val="122A0194"/>
    <w:multiLevelType w:val="multilevel"/>
    <w:tmpl w:val="E256A9A2"/>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25" w15:restartNumberingAfterBreak="0">
    <w:nsid w:val="128A6C7B"/>
    <w:multiLevelType w:val="multilevel"/>
    <w:tmpl w:val="91E8E19A"/>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26" w15:restartNumberingAfterBreak="0">
    <w:nsid w:val="12C96468"/>
    <w:multiLevelType w:val="multilevel"/>
    <w:tmpl w:val="DF3ECC10"/>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27" w15:restartNumberingAfterBreak="0">
    <w:nsid w:val="12DE0ECB"/>
    <w:multiLevelType w:val="hybridMultilevel"/>
    <w:tmpl w:val="438E01BC"/>
    <w:lvl w:ilvl="0" w:tplc="F29CF34C">
      <w:start w:val="1"/>
      <w:numFmt w:val="bullet"/>
      <w:lvlText w:val=""/>
      <w:lvlJc w:val="left"/>
      <w:pPr>
        <w:ind w:left="1145" w:hanging="360"/>
      </w:pPr>
      <w:rPr>
        <w:rFonts w:ascii="Symbol" w:hAnsi="Symbol" w:hint="default"/>
      </w:rPr>
    </w:lvl>
    <w:lvl w:ilvl="1" w:tplc="040E0003">
      <w:start w:val="1"/>
      <w:numFmt w:val="bullet"/>
      <w:lvlText w:val="o"/>
      <w:lvlJc w:val="left"/>
      <w:pPr>
        <w:ind w:left="1865" w:hanging="360"/>
      </w:pPr>
      <w:rPr>
        <w:rFonts w:ascii="Courier New" w:hAnsi="Courier New" w:cs="Courier New" w:hint="default"/>
      </w:rPr>
    </w:lvl>
    <w:lvl w:ilvl="2" w:tplc="040E0005">
      <w:start w:val="1"/>
      <w:numFmt w:val="bullet"/>
      <w:lvlText w:val=""/>
      <w:lvlJc w:val="left"/>
      <w:pPr>
        <w:ind w:left="2585" w:hanging="360"/>
      </w:pPr>
      <w:rPr>
        <w:rFonts w:ascii="Wingdings" w:hAnsi="Wingdings" w:hint="default"/>
      </w:rPr>
    </w:lvl>
    <w:lvl w:ilvl="3" w:tplc="040E0001">
      <w:start w:val="1"/>
      <w:numFmt w:val="bullet"/>
      <w:lvlText w:val=""/>
      <w:lvlJc w:val="left"/>
      <w:pPr>
        <w:ind w:left="3305" w:hanging="360"/>
      </w:pPr>
      <w:rPr>
        <w:rFonts w:ascii="Symbol" w:hAnsi="Symbol" w:hint="default"/>
      </w:rPr>
    </w:lvl>
    <w:lvl w:ilvl="4" w:tplc="040E0003">
      <w:start w:val="1"/>
      <w:numFmt w:val="bullet"/>
      <w:lvlText w:val="o"/>
      <w:lvlJc w:val="left"/>
      <w:pPr>
        <w:ind w:left="4025" w:hanging="360"/>
      </w:pPr>
      <w:rPr>
        <w:rFonts w:ascii="Courier New" w:hAnsi="Courier New" w:cs="Courier New" w:hint="default"/>
      </w:rPr>
    </w:lvl>
    <w:lvl w:ilvl="5" w:tplc="040E0005">
      <w:start w:val="1"/>
      <w:numFmt w:val="bullet"/>
      <w:lvlText w:val=""/>
      <w:lvlJc w:val="left"/>
      <w:pPr>
        <w:ind w:left="4745" w:hanging="360"/>
      </w:pPr>
      <w:rPr>
        <w:rFonts w:ascii="Wingdings" w:hAnsi="Wingdings" w:hint="default"/>
      </w:rPr>
    </w:lvl>
    <w:lvl w:ilvl="6" w:tplc="040E0001">
      <w:start w:val="1"/>
      <w:numFmt w:val="bullet"/>
      <w:lvlText w:val=""/>
      <w:lvlJc w:val="left"/>
      <w:pPr>
        <w:ind w:left="5465" w:hanging="360"/>
      </w:pPr>
      <w:rPr>
        <w:rFonts w:ascii="Symbol" w:hAnsi="Symbol" w:hint="default"/>
      </w:rPr>
    </w:lvl>
    <w:lvl w:ilvl="7" w:tplc="040E0003">
      <w:start w:val="1"/>
      <w:numFmt w:val="bullet"/>
      <w:lvlText w:val="o"/>
      <w:lvlJc w:val="left"/>
      <w:pPr>
        <w:ind w:left="6185" w:hanging="360"/>
      </w:pPr>
      <w:rPr>
        <w:rFonts w:ascii="Courier New" w:hAnsi="Courier New" w:cs="Courier New" w:hint="default"/>
      </w:rPr>
    </w:lvl>
    <w:lvl w:ilvl="8" w:tplc="040E0005">
      <w:start w:val="1"/>
      <w:numFmt w:val="bullet"/>
      <w:lvlText w:val=""/>
      <w:lvlJc w:val="left"/>
      <w:pPr>
        <w:ind w:left="6905" w:hanging="360"/>
      </w:pPr>
      <w:rPr>
        <w:rFonts w:ascii="Wingdings" w:hAnsi="Wingdings" w:hint="default"/>
      </w:rPr>
    </w:lvl>
  </w:abstractNum>
  <w:abstractNum w:abstractNumId="128" w15:restartNumberingAfterBreak="0">
    <w:nsid w:val="12E6471C"/>
    <w:multiLevelType w:val="hybridMultilevel"/>
    <w:tmpl w:val="989E956C"/>
    <w:lvl w:ilvl="0" w:tplc="F90AA5CA">
      <w:numFmt w:val="bullet"/>
      <w:lvlText w:val="-"/>
      <w:lvlJc w:val="left"/>
      <w:pPr>
        <w:ind w:left="1145" w:hanging="360"/>
      </w:pPr>
      <w:rPr>
        <w:rFonts w:ascii="Times New Roman" w:eastAsia="Times New Roman" w:hAnsi="Times New Roman"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129" w15:restartNumberingAfterBreak="0">
    <w:nsid w:val="12E87D03"/>
    <w:multiLevelType w:val="multilevel"/>
    <w:tmpl w:val="F776F386"/>
    <w:lvl w:ilvl="0">
      <w:start w:val="1"/>
      <w:numFmt w:val="decimal"/>
      <w:lvlText w:val="%1."/>
      <w:lvlJc w:val="right"/>
      <w:pPr>
        <w:tabs>
          <w:tab w:val="num" w:pos="1352"/>
        </w:tabs>
        <w:ind w:left="1352" w:hanging="360"/>
      </w:pPr>
      <w:rPr>
        <w:rFonts w:ascii="Times New Roman" w:hAnsi="Times New Roman" w:cs="Times New Roman" w:hint="default"/>
        <w:b w:val="0"/>
        <w:i w:val="0"/>
        <w:caps w:val="0"/>
        <w:strike w:val="0"/>
        <w:dstrike w:val="0"/>
        <w:vanish w:val="0"/>
        <w:color w:val="000000"/>
        <w:sz w:val="22"/>
        <w:szCs w:val="22"/>
        <w:vertAlign w:val="baseline"/>
      </w:rPr>
    </w:lvl>
    <w:lvl w:ilvl="1">
      <w:start w:val="1"/>
      <w:numFmt w:val="decimal"/>
      <w:lvlText w:val="%1.%2."/>
      <w:lvlJc w:val="left"/>
      <w:pPr>
        <w:tabs>
          <w:tab w:val="num" w:pos="1708"/>
        </w:tabs>
        <w:ind w:left="1708" w:hanging="432"/>
      </w:pPr>
      <w:rPr>
        <w:rFonts w:hint="default"/>
        <w:b/>
      </w:rPr>
    </w:lvl>
    <w:lvl w:ilvl="2">
      <w:start w:val="1"/>
      <w:numFmt w:val="decimal"/>
      <w:lvlText w:val="%1.%2.%3."/>
      <w:lvlJc w:val="left"/>
      <w:pPr>
        <w:tabs>
          <w:tab w:val="num" w:pos="-469"/>
        </w:tabs>
        <w:ind w:left="-685" w:hanging="504"/>
      </w:pPr>
      <w:rPr>
        <w:rFonts w:hint="default"/>
      </w:rPr>
    </w:lvl>
    <w:lvl w:ilvl="3">
      <w:start w:val="1"/>
      <w:numFmt w:val="decimal"/>
      <w:lvlText w:val="%1.%2.%3.%4."/>
      <w:lvlJc w:val="left"/>
      <w:pPr>
        <w:tabs>
          <w:tab w:val="num" w:pos="-109"/>
        </w:tabs>
        <w:ind w:left="-181" w:hanging="648"/>
      </w:pPr>
      <w:rPr>
        <w:rFonts w:hint="default"/>
      </w:rPr>
    </w:lvl>
    <w:lvl w:ilvl="4">
      <w:start w:val="1"/>
      <w:numFmt w:val="decimal"/>
      <w:lvlText w:val="%1.%2.%3.%4.%5."/>
      <w:lvlJc w:val="left"/>
      <w:pPr>
        <w:tabs>
          <w:tab w:val="num" w:pos="611"/>
        </w:tabs>
        <w:ind w:left="323" w:hanging="792"/>
      </w:pPr>
      <w:rPr>
        <w:rFonts w:hint="default"/>
      </w:rPr>
    </w:lvl>
    <w:lvl w:ilvl="5">
      <w:start w:val="1"/>
      <w:numFmt w:val="decimal"/>
      <w:lvlText w:val="%1.%2.%3.%4.%5.%6."/>
      <w:lvlJc w:val="left"/>
      <w:pPr>
        <w:tabs>
          <w:tab w:val="num" w:pos="971"/>
        </w:tabs>
        <w:ind w:left="827" w:hanging="936"/>
      </w:pPr>
      <w:rPr>
        <w:rFonts w:hint="default"/>
      </w:rPr>
    </w:lvl>
    <w:lvl w:ilvl="6">
      <w:start w:val="1"/>
      <w:numFmt w:val="decimal"/>
      <w:lvlText w:val="%1.%2.%3.%4.%5.%6.%7."/>
      <w:lvlJc w:val="left"/>
      <w:pPr>
        <w:tabs>
          <w:tab w:val="num" w:pos="1691"/>
        </w:tabs>
        <w:ind w:left="1331" w:hanging="1080"/>
      </w:pPr>
      <w:rPr>
        <w:rFonts w:hint="default"/>
      </w:rPr>
    </w:lvl>
    <w:lvl w:ilvl="7">
      <w:start w:val="1"/>
      <w:numFmt w:val="decimal"/>
      <w:lvlText w:val="%1.%2.%3.%4.%5.%6.%7.%8."/>
      <w:lvlJc w:val="left"/>
      <w:pPr>
        <w:tabs>
          <w:tab w:val="num" w:pos="2051"/>
        </w:tabs>
        <w:ind w:left="1835" w:hanging="1224"/>
      </w:pPr>
      <w:rPr>
        <w:rFonts w:hint="default"/>
      </w:rPr>
    </w:lvl>
    <w:lvl w:ilvl="8">
      <w:start w:val="1"/>
      <w:numFmt w:val="decimal"/>
      <w:lvlText w:val="%1.%2.%3.%4.%5.%6.%7.%8.%9."/>
      <w:lvlJc w:val="left"/>
      <w:pPr>
        <w:tabs>
          <w:tab w:val="num" w:pos="2771"/>
        </w:tabs>
        <w:ind w:left="2411" w:hanging="1440"/>
      </w:pPr>
      <w:rPr>
        <w:rFonts w:hint="default"/>
      </w:rPr>
    </w:lvl>
  </w:abstractNum>
  <w:abstractNum w:abstractNumId="130" w15:restartNumberingAfterBreak="0">
    <w:nsid w:val="130723F1"/>
    <w:multiLevelType w:val="hybridMultilevel"/>
    <w:tmpl w:val="FE78E876"/>
    <w:lvl w:ilvl="0" w:tplc="FA5A1904">
      <w:start w:val="1"/>
      <w:numFmt w:val="decimal"/>
      <w:lvlText w:val="%1."/>
      <w:lvlJc w:val="left"/>
      <w:pPr>
        <w:ind w:left="644" w:hanging="360"/>
      </w:pPr>
      <w:rPr>
        <w:rFonts w:eastAsiaTheme="minorHAnsi"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1" w15:restartNumberingAfterBreak="0">
    <w:nsid w:val="135B34BB"/>
    <w:multiLevelType w:val="hybridMultilevel"/>
    <w:tmpl w:val="4EBE6010"/>
    <w:lvl w:ilvl="0" w:tplc="F90AA5CA">
      <w:numFmt w:val="bullet"/>
      <w:lvlText w:val="-"/>
      <w:lvlJc w:val="left"/>
      <w:pPr>
        <w:ind w:left="1145" w:hanging="360"/>
      </w:pPr>
      <w:rPr>
        <w:rFonts w:ascii="Times New Roman" w:eastAsia="Times New Roman" w:hAnsi="Times New Roman"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132" w15:restartNumberingAfterBreak="0">
    <w:nsid w:val="138765F8"/>
    <w:multiLevelType w:val="multilevel"/>
    <w:tmpl w:val="134E08E0"/>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4"/>
        <w:szCs w:val="24"/>
        <w:u w:val="none"/>
        <w:effect w:val="none"/>
        <w:vertAlign w:val="baseline"/>
      </w:rPr>
    </w:lvl>
    <w:lvl w:ilvl="1">
      <w:start w:val="1"/>
      <w:numFmt w:val="decimal"/>
      <w:lvlText w:val="%1.%2."/>
      <w:lvlJc w:val="left"/>
      <w:pPr>
        <w:tabs>
          <w:tab w:val="num" w:pos="3977"/>
        </w:tabs>
        <w:ind w:left="3977" w:hanging="432"/>
      </w:pPr>
      <w:rPr>
        <w:rFonts w:hint="default"/>
        <w:b/>
        <w:i w:val="0"/>
        <w:color w:val="auto"/>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33" w15:restartNumberingAfterBreak="0">
    <w:nsid w:val="138A3FB9"/>
    <w:multiLevelType w:val="hybridMultilevel"/>
    <w:tmpl w:val="ABA090B8"/>
    <w:lvl w:ilvl="0" w:tplc="83B6830E">
      <w:start w:val="1"/>
      <w:numFmt w:val="decimal"/>
      <w:lvlText w:val="%1."/>
      <w:lvlJc w:val="left"/>
      <w:pPr>
        <w:ind w:left="720" w:hanging="360"/>
      </w:pPr>
      <w:rPr>
        <w:rFonts w:eastAsiaTheme="minorHAnsi"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4" w15:restartNumberingAfterBreak="0">
    <w:nsid w:val="13A71C59"/>
    <w:multiLevelType w:val="hybridMultilevel"/>
    <w:tmpl w:val="24589BF2"/>
    <w:lvl w:ilvl="0" w:tplc="2572F3F2">
      <w:start w:val="8"/>
      <w:numFmt w:val="bullet"/>
      <w:lvlText w:val="-"/>
      <w:lvlJc w:val="left"/>
      <w:pPr>
        <w:ind w:left="785" w:hanging="360"/>
      </w:pPr>
      <w:rPr>
        <w:rFonts w:ascii="Times New Roman" w:eastAsia="Times New Roman" w:hAnsi="Times New Roman" w:cs="Times New Roman" w:hint="default"/>
      </w:rPr>
    </w:lvl>
    <w:lvl w:ilvl="1" w:tplc="040E0003" w:tentative="1">
      <w:start w:val="1"/>
      <w:numFmt w:val="bullet"/>
      <w:lvlText w:val="o"/>
      <w:lvlJc w:val="left"/>
      <w:pPr>
        <w:ind w:left="1505" w:hanging="360"/>
      </w:pPr>
      <w:rPr>
        <w:rFonts w:ascii="Courier New" w:hAnsi="Courier New" w:cs="Courier New" w:hint="default"/>
      </w:rPr>
    </w:lvl>
    <w:lvl w:ilvl="2" w:tplc="040E0005" w:tentative="1">
      <w:start w:val="1"/>
      <w:numFmt w:val="bullet"/>
      <w:lvlText w:val=""/>
      <w:lvlJc w:val="left"/>
      <w:pPr>
        <w:ind w:left="2225" w:hanging="360"/>
      </w:pPr>
      <w:rPr>
        <w:rFonts w:ascii="Wingdings" w:hAnsi="Wingdings" w:hint="default"/>
      </w:rPr>
    </w:lvl>
    <w:lvl w:ilvl="3" w:tplc="040E0001" w:tentative="1">
      <w:start w:val="1"/>
      <w:numFmt w:val="bullet"/>
      <w:lvlText w:val=""/>
      <w:lvlJc w:val="left"/>
      <w:pPr>
        <w:ind w:left="2945" w:hanging="360"/>
      </w:pPr>
      <w:rPr>
        <w:rFonts w:ascii="Symbol" w:hAnsi="Symbol" w:hint="default"/>
      </w:rPr>
    </w:lvl>
    <w:lvl w:ilvl="4" w:tplc="040E0003" w:tentative="1">
      <w:start w:val="1"/>
      <w:numFmt w:val="bullet"/>
      <w:lvlText w:val="o"/>
      <w:lvlJc w:val="left"/>
      <w:pPr>
        <w:ind w:left="3665" w:hanging="360"/>
      </w:pPr>
      <w:rPr>
        <w:rFonts w:ascii="Courier New" w:hAnsi="Courier New" w:cs="Courier New" w:hint="default"/>
      </w:rPr>
    </w:lvl>
    <w:lvl w:ilvl="5" w:tplc="040E0005" w:tentative="1">
      <w:start w:val="1"/>
      <w:numFmt w:val="bullet"/>
      <w:lvlText w:val=""/>
      <w:lvlJc w:val="left"/>
      <w:pPr>
        <w:ind w:left="4385" w:hanging="360"/>
      </w:pPr>
      <w:rPr>
        <w:rFonts w:ascii="Wingdings" w:hAnsi="Wingdings" w:hint="default"/>
      </w:rPr>
    </w:lvl>
    <w:lvl w:ilvl="6" w:tplc="040E0001" w:tentative="1">
      <w:start w:val="1"/>
      <w:numFmt w:val="bullet"/>
      <w:lvlText w:val=""/>
      <w:lvlJc w:val="left"/>
      <w:pPr>
        <w:ind w:left="5105" w:hanging="360"/>
      </w:pPr>
      <w:rPr>
        <w:rFonts w:ascii="Symbol" w:hAnsi="Symbol" w:hint="default"/>
      </w:rPr>
    </w:lvl>
    <w:lvl w:ilvl="7" w:tplc="040E0003" w:tentative="1">
      <w:start w:val="1"/>
      <w:numFmt w:val="bullet"/>
      <w:lvlText w:val="o"/>
      <w:lvlJc w:val="left"/>
      <w:pPr>
        <w:ind w:left="5825" w:hanging="360"/>
      </w:pPr>
      <w:rPr>
        <w:rFonts w:ascii="Courier New" w:hAnsi="Courier New" w:cs="Courier New" w:hint="default"/>
      </w:rPr>
    </w:lvl>
    <w:lvl w:ilvl="8" w:tplc="040E0005" w:tentative="1">
      <w:start w:val="1"/>
      <w:numFmt w:val="bullet"/>
      <w:lvlText w:val=""/>
      <w:lvlJc w:val="left"/>
      <w:pPr>
        <w:ind w:left="6545" w:hanging="360"/>
      </w:pPr>
      <w:rPr>
        <w:rFonts w:ascii="Wingdings" w:hAnsi="Wingdings" w:hint="default"/>
      </w:rPr>
    </w:lvl>
  </w:abstractNum>
  <w:abstractNum w:abstractNumId="135" w15:restartNumberingAfterBreak="0">
    <w:nsid w:val="13BF482A"/>
    <w:multiLevelType w:val="multilevel"/>
    <w:tmpl w:val="8F3A1E9C"/>
    <w:lvl w:ilvl="0">
      <w:start w:val="8"/>
      <w:numFmt w:val="decimal"/>
      <w:lvlText w:val="%1."/>
      <w:lvlJc w:val="left"/>
      <w:pPr>
        <w:ind w:left="540" w:hanging="540"/>
      </w:pPr>
      <w:rPr>
        <w:rFonts w:hint="default"/>
      </w:rPr>
    </w:lvl>
    <w:lvl w:ilvl="1">
      <w:start w:val="1"/>
      <w:numFmt w:val="decimal"/>
      <w:lvlText w:val="%1.%2."/>
      <w:lvlJc w:val="left"/>
      <w:pPr>
        <w:ind w:left="753" w:hanging="54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136" w15:restartNumberingAfterBreak="0">
    <w:nsid w:val="13D515CB"/>
    <w:multiLevelType w:val="hybridMultilevel"/>
    <w:tmpl w:val="7038B752"/>
    <w:lvl w:ilvl="0" w:tplc="18B6504E">
      <w:start w:val="1"/>
      <w:numFmt w:val="decimal"/>
      <w:lvlText w:val="%1."/>
      <w:lvlJc w:val="left"/>
      <w:pPr>
        <w:ind w:left="1010" w:hanging="360"/>
      </w:pPr>
    </w:lvl>
    <w:lvl w:ilvl="1" w:tplc="613EED8C">
      <w:start w:val="1"/>
      <w:numFmt w:val="bullet"/>
      <w:lvlText w:val=""/>
      <w:lvlJc w:val="left"/>
      <w:pPr>
        <w:tabs>
          <w:tab w:val="num" w:pos="1730"/>
        </w:tabs>
        <w:ind w:left="1730" w:hanging="360"/>
      </w:pPr>
      <w:rPr>
        <w:rFonts w:ascii="Wingdings" w:hAnsi="Wingdings" w:hint="default"/>
      </w:rPr>
    </w:lvl>
    <w:lvl w:ilvl="2" w:tplc="04090005">
      <w:start w:val="1"/>
      <w:numFmt w:val="bullet"/>
      <w:lvlText w:val=""/>
      <w:lvlJc w:val="left"/>
      <w:pPr>
        <w:ind w:left="2450" w:hanging="360"/>
      </w:pPr>
      <w:rPr>
        <w:rFonts w:ascii="Wingdings" w:hAnsi="Wingdings" w:hint="default"/>
      </w:rPr>
    </w:lvl>
    <w:lvl w:ilvl="3" w:tplc="04090001">
      <w:start w:val="1"/>
      <w:numFmt w:val="bullet"/>
      <w:lvlText w:val=""/>
      <w:lvlJc w:val="left"/>
      <w:pPr>
        <w:ind w:left="3170" w:hanging="360"/>
      </w:pPr>
      <w:rPr>
        <w:rFonts w:ascii="Symbol" w:hAnsi="Symbol" w:hint="default"/>
      </w:rPr>
    </w:lvl>
    <w:lvl w:ilvl="4" w:tplc="04090003">
      <w:start w:val="1"/>
      <w:numFmt w:val="bullet"/>
      <w:lvlText w:val="o"/>
      <w:lvlJc w:val="left"/>
      <w:pPr>
        <w:ind w:left="3890" w:hanging="360"/>
      </w:pPr>
      <w:rPr>
        <w:rFonts w:ascii="Courier New" w:hAnsi="Courier New" w:cs="Times New Roman" w:hint="default"/>
      </w:rPr>
    </w:lvl>
    <w:lvl w:ilvl="5" w:tplc="04090005">
      <w:start w:val="1"/>
      <w:numFmt w:val="bullet"/>
      <w:lvlText w:val=""/>
      <w:lvlJc w:val="left"/>
      <w:pPr>
        <w:ind w:left="4610" w:hanging="360"/>
      </w:pPr>
      <w:rPr>
        <w:rFonts w:ascii="Wingdings" w:hAnsi="Wingdings" w:hint="default"/>
      </w:rPr>
    </w:lvl>
    <w:lvl w:ilvl="6" w:tplc="04090001">
      <w:start w:val="1"/>
      <w:numFmt w:val="bullet"/>
      <w:lvlText w:val=""/>
      <w:lvlJc w:val="left"/>
      <w:pPr>
        <w:ind w:left="5330" w:hanging="360"/>
      </w:pPr>
      <w:rPr>
        <w:rFonts w:ascii="Symbol" w:hAnsi="Symbol" w:hint="default"/>
      </w:rPr>
    </w:lvl>
    <w:lvl w:ilvl="7" w:tplc="04090003">
      <w:start w:val="1"/>
      <w:numFmt w:val="bullet"/>
      <w:lvlText w:val="o"/>
      <w:lvlJc w:val="left"/>
      <w:pPr>
        <w:ind w:left="6050" w:hanging="360"/>
      </w:pPr>
      <w:rPr>
        <w:rFonts w:ascii="Courier New" w:hAnsi="Courier New" w:cs="Times New Roman" w:hint="default"/>
      </w:rPr>
    </w:lvl>
    <w:lvl w:ilvl="8" w:tplc="04090005">
      <w:start w:val="1"/>
      <w:numFmt w:val="bullet"/>
      <w:lvlText w:val=""/>
      <w:lvlJc w:val="left"/>
      <w:pPr>
        <w:ind w:left="6770" w:hanging="360"/>
      </w:pPr>
      <w:rPr>
        <w:rFonts w:ascii="Wingdings" w:hAnsi="Wingdings" w:hint="default"/>
      </w:rPr>
    </w:lvl>
  </w:abstractNum>
  <w:abstractNum w:abstractNumId="137" w15:restartNumberingAfterBreak="0">
    <w:nsid w:val="142A4512"/>
    <w:multiLevelType w:val="hybridMultilevel"/>
    <w:tmpl w:val="059EC306"/>
    <w:lvl w:ilvl="0" w:tplc="6512E266">
      <w:start w:val="1"/>
      <w:numFmt w:val="decimal"/>
      <w:lvlText w:val="%1."/>
      <w:lvlJc w:val="left"/>
      <w:pPr>
        <w:ind w:left="644" w:hanging="360"/>
      </w:pPr>
      <w:rPr>
        <w:rFonts w:eastAsiaTheme="minorHAnsi"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8" w15:restartNumberingAfterBreak="0">
    <w:nsid w:val="1449607C"/>
    <w:multiLevelType w:val="hybridMultilevel"/>
    <w:tmpl w:val="9114567E"/>
    <w:lvl w:ilvl="0" w:tplc="26D4E728">
      <w:start w:val="1"/>
      <w:numFmt w:val="bullet"/>
      <w:lvlText w:val="‒"/>
      <w:lvlJc w:val="left"/>
      <w:pPr>
        <w:ind w:left="1364" w:hanging="360"/>
      </w:pPr>
      <w:rPr>
        <w:rFonts w:ascii="Times New Roman" w:hAnsi="Times New Roman" w:cs="Times New Roman" w:hint="default"/>
      </w:rPr>
    </w:lvl>
    <w:lvl w:ilvl="1" w:tplc="040E0003">
      <w:start w:val="1"/>
      <w:numFmt w:val="bullet"/>
      <w:lvlText w:val="o"/>
      <w:lvlJc w:val="left"/>
      <w:pPr>
        <w:ind w:left="2084" w:hanging="360"/>
      </w:pPr>
      <w:rPr>
        <w:rFonts w:ascii="Courier New" w:hAnsi="Courier New" w:cs="Courier New" w:hint="default"/>
      </w:rPr>
    </w:lvl>
    <w:lvl w:ilvl="2" w:tplc="040E0005">
      <w:start w:val="1"/>
      <w:numFmt w:val="bullet"/>
      <w:lvlText w:val=""/>
      <w:lvlJc w:val="left"/>
      <w:pPr>
        <w:ind w:left="2804" w:hanging="360"/>
      </w:pPr>
      <w:rPr>
        <w:rFonts w:ascii="Wingdings" w:hAnsi="Wingdings" w:hint="default"/>
      </w:rPr>
    </w:lvl>
    <w:lvl w:ilvl="3" w:tplc="040E0001">
      <w:start w:val="1"/>
      <w:numFmt w:val="bullet"/>
      <w:lvlText w:val=""/>
      <w:lvlJc w:val="left"/>
      <w:pPr>
        <w:ind w:left="3524" w:hanging="360"/>
      </w:pPr>
      <w:rPr>
        <w:rFonts w:ascii="Symbol" w:hAnsi="Symbol" w:hint="default"/>
      </w:rPr>
    </w:lvl>
    <w:lvl w:ilvl="4" w:tplc="040E0003">
      <w:start w:val="1"/>
      <w:numFmt w:val="bullet"/>
      <w:lvlText w:val="o"/>
      <w:lvlJc w:val="left"/>
      <w:pPr>
        <w:ind w:left="4244" w:hanging="360"/>
      </w:pPr>
      <w:rPr>
        <w:rFonts w:ascii="Courier New" w:hAnsi="Courier New" w:cs="Courier New" w:hint="default"/>
      </w:rPr>
    </w:lvl>
    <w:lvl w:ilvl="5" w:tplc="040E0005">
      <w:start w:val="1"/>
      <w:numFmt w:val="bullet"/>
      <w:lvlText w:val=""/>
      <w:lvlJc w:val="left"/>
      <w:pPr>
        <w:ind w:left="4964" w:hanging="360"/>
      </w:pPr>
      <w:rPr>
        <w:rFonts w:ascii="Wingdings" w:hAnsi="Wingdings" w:hint="default"/>
      </w:rPr>
    </w:lvl>
    <w:lvl w:ilvl="6" w:tplc="040E0001">
      <w:start w:val="1"/>
      <w:numFmt w:val="bullet"/>
      <w:lvlText w:val=""/>
      <w:lvlJc w:val="left"/>
      <w:pPr>
        <w:ind w:left="5684" w:hanging="360"/>
      </w:pPr>
      <w:rPr>
        <w:rFonts w:ascii="Symbol" w:hAnsi="Symbol" w:hint="default"/>
      </w:rPr>
    </w:lvl>
    <w:lvl w:ilvl="7" w:tplc="040E0003">
      <w:start w:val="1"/>
      <w:numFmt w:val="bullet"/>
      <w:lvlText w:val="o"/>
      <w:lvlJc w:val="left"/>
      <w:pPr>
        <w:ind w:left="6404" w:hanging="360"/>
      </w:pPr>
      <w:rPr>
        <w:rFonts w:ascii="Courier New" w:hAnsi="Courier New" w:cs="Courier New" w:hint="default"/>
      </w:rPr>
    </w:lvl>
    <w:lvl w:ilvl="8" w:tplc="040E0005">
      <w:start w:val="1"/>
      <w:numFmt w:val="bullet"/>
      <w:lvlText w:val=""/>
      <w:lvlJc w:val="left"/>
      <w:pPr>
        <w:ind w:left="7124" w:hanging="360"/>
      </w:pPr>
      <w:rPr>
        <w:rFonts w:ascii="Wingdings" w:hAnsi="Wingdings" w:hint="default"/>
      </w:rPr>
    </w:lvl>
  </w:abstractNum>
  <w:abstractNum w:abstractNumId="139" w15:restartNumberingAfterBreak="0">
    <w:nsid w:val="147637DB"/>
    <w:multiLevelType w:val="hybridMultilevel"/>
    <w:tmpl w:val="66927DBE"/>
    <w:lvl w:ilvl="0" w:tplc="040E000F">
      <w:start w:val="1"/>
      <w:numFmt w:val="decimal"/>
      <w:lvlText w:val="%1."/>
      <w:lvlJc w:val="left"/>
      <w:pPr>
        <w:ind w:left="1512" w:hanging="360"/>
      </w:pPr>
    </w:lvl>
    <w:lvl w:ilvl="1" w:tplc="040E0019" w:tentative="1">
      <w:start w:val="1"/>
      <w:numFmt w:val="lowerLetter"/>
      <w:lvlText w:val="%2."/>
      <w:lvlJc w:val="left"/>
      <w:pPr>
        <w:ind w:left="2232" w:hanging="360"/>
      </w:pPr>
    </w:lvl>
    <w:lvl w:ilvl="2" w:tplc="040E001B" w:tentative="1">
      <w:start w:val="1"/>
      <w:numFmt w:val="lowerRoman"/>
      <w:lvlText w:val="%3."/>
      <w:lvlJc w:val="right"/>
      <w:pPr>
        <w:ind w:left="2952" w:hanging="180"/>
      </w:pPr>
    </w:lvl>
    <w:lvl w:ilvl="3" w:tplc="040E000F" w:tentative="1">
      <w:start w:val="1"/>
      <w:numFmt w:val="decimal"/>
      <w:lvlText w:val="%4."/>
      <w:lvlJc w:val="left"/>
      <w:pPr>
        <w:ind w:left="3672" w:hanging="360"/>
      </w:pPr>
    </w:lvl>
    <w:lvl w:ilvl="4" w:tplc="040E0019" w:tentative="1">
      <w:start w:val="1"/>
      <w:numFmt w:val="lowerLetter"/>
      <w:lvlText w:val="%5."/>
      <w:lvlJc w:val="left"/>
      <w:pPr>
        <w:ind w:left="4392" w:hanging="360"/>
      </w:pPr>
    </w:lvl>
    <w:lvl w:ilvl="5" w:tplc="040E001B" w:tentative="1">
      <w:start w:val="1"/>
      <w:numFmt w:val="lowerRoman"/>
      <w:lvlText w:val="%6."/>
      <w:lvlJc w:val="right"/>
      <w:pPr>
        <w:ind w:left="5112" w:hanging="180"/>
      </w:pPr>
    </w:lvl>
    <w:lvl w:ilvl="6" w:tplc="040E000F" w:tentative="1">
      <w:start w:val="1"/>
      <w:numFmt w:val="decimal"/>
      <w:lvlText w:val="%7."/>
      <w:lvlJc w:val="left"/>
      <w:pPr>
        <w:ind w:left="5832" w:hanging="360"/>
      </w:pPr>
    </w:lvl>
    <w:lvl w:ilvl="7" w:tplc="040E0019" w:tentative="1">
      <w:start w:val="1"/>
      <w:numFmt w:val="lowerLetter"/>
      <w:lvlText w:val="%8."/>
      <w:lvlJc w:val="left"/>
      <w:pPr>
        <w:ind w:left="6552" w:hanging="360"/>
      </w:pPr>
    </w:lvl>
    <w:lvl w:ilvl="8" w:tplc="040E001B" w:tentative="1">
      <w:start w:val="1"/>
      <w:numFmt w:val="lowerRoman"/>
      <w:lvlText w:val="%9."/>
      <w:lvlJc w:val="right"/>
      <w:pPr>
        <w:ind w:left="7272" w:hanging="180"/>
      </w:pPr>
    </w:lvl>
  </w:abstractNum>
  <w:abstractNum w:abstractNumId="140" w15:restartNumberingAfterBreak="0">
    <w:nsid w:val="147F0E73"/>
    <w:multiLevelType w:val="hybridMultilevel"/>
    <w:tmpl w:val="F992EF2C"/>
    <w:lvl w:ilvl="0" w:tplc="38C44602">
      <w:start w:val="1"/>
      <w:numFmt w:val="decimal"/>
      <w:lvlText w:val="%1."/>
      <w:lvlJc w:val="left"/>
      <w:pPr>
        <w:ind w:left="144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1" w15:restartNumberingAfterBreak="0">
    <w:nsid w:val="1481455A"/>
    <w:multiLevelType w:val="hybridMultilevel"/>
    <w:tmpl w:val="A71087B8"/>
    <w:lvl w:ilvl="0" w:tplc="C0C2823E">
      <w:start w:val="1"/>
      <w:numFmt w:val="decimal"/>
      <w:lvlText w:val="%1."/>
      <w:lvlJc w:val="left"/>
      <w:pPr>
        <w:ind w:left="644" w:hanging="360"/>
      </w:pPr>
      <w:rPr>
        <w:rFonts w:eastAsiaTheme="minorHAnsi"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2" w15:restartNumberingAfterBreak="0">
    <w:nsid w:val="14907FB0"/>
    <w:multiLevelType w:val="hybridMultilevel"/>
    <w:tmpl w:val="BEDC8C80"/>
    <w:lvl w:ilvl="0" w:tplc="F90AA5CA">
      <w:numFmt w:val="bullet"/>
      <w:lvlText w:val="-"/>
      <w:lvlJc w:val="left"/>
      <w:pPr>
        <w:ind w:left="1146" w:hanging="360"/>
      </w:pPr>
      <w:rPr>
        <w:rFonts w:ascii="Times New Roman" w:eastAsia="Times New Roman" w:hAnsi="Times New Roman" w:cs="Times New Roman" w:hint="default"/>
      </w:rPr>
    </w:lvl>
    <w:lvl w:ilvl="1" w:tplc="040E0003">
      <w:start w:val="1"/>
      <w:numFmt w:val="bullet"/>
      <w:lvlText w:val="o"/>
      <w:lvlJc w:val="left"/>
      <w:pPr>
        <w:ind w:left="1866" w:hanging="360"/>
      </w:pPr>
      <w:rPr>
        <w:rFonts w:ascii="Courier New" w:hAnsi="Courier New" w:cs="Courier New" w:hint="default"/>
      </w:rPr>
    </w:lvl>
    <w:lvl w:ilvl="2" w:tplc="040E0005">
      <w:start w:val="1"/>
      <w:numFmt w:val="bullet"/>
      <w:lvlText w:val=""/>
      <w:lvlJc w:val="left"/>
      <w:pPr>
        <w:ind w:left="2586" w:hanging="360"/>
      </w:pPr>
      <w:rPr>
        <w:rFonts w:ascii="Wingdings" w:hAnsi="Wingdings" w:hint="default"/>
      </w:rPr>
    </w:lvl>
    <w:lvl w:ilvl="3" w:tplc="040E0001">
      <w:start w:val="1"/>
      <w:numFmt w:val="bullet"/>
      <w:lvlText w:val=""/>
      <w:lvlJc w:val="left"/>
      <w:pPr>
        <w:ind w:left="3306" w:hanging="360"/>
      </w:pPr>
      <w:rPr>
        <w:rFonts w:ascii="Symbol" w:hAnsi="Symbol" w:hint="default"/>
      </w:rPr>
    </w:lvl>
    <w:lvl w:ilvl="4" w:tplc="040E0003">
      <w:start w:val="1"/>
      <w:numFmt w:val="bullet"/>
      <w:lvlText w:val="o"/>
      <w:lvlJc w:val="left"/>
      <w:pPr>
        <w:ind w:left="4026" w:hanging="360"/>
      </w:pPr>
      <w:rPr>
        <w:rFonts w:ascii="Courier New" w:hAnsi="Courier New" w:cs="Courier New" w:hint="default"/>
      </w:rPr>
    </w:lvl>
    <w:lvl w:ilvl="5" w:tplc="040E0005">
      <w:start w:val="1"/>
      <w:numFmt w:val="bullet"/>
      <w:lvlText w:val=""/>
      <w:lvlJc w:val="left"/>
      <w:pPr>
        <w:ind w:left="4746" w:hanging="360"/>
      </w:pPr>
      <w:rPr>
        <w:rFonts w:ascii="Wingdings" w:hAnsi="Wingdings" w:hint="default"/>
      </w:rPr>
    </w:lvl>
    <w:lvl w:ilvl="6" w:tplc="040E0001">
      <w:start w:val="1"/>
      <w:numFmt w:val="bullet"/>
      <w:lvlText w:val=""/>
      <w:lvlJc w:val="left"/>
      <w:pPr>
        <w:ind w:left="5466" w:hanging="360"/>
      </w:pPr>
      <w:rPr>
        <w:rFonts w:ascii="Symbol" w:hAnsi="Symbol" w:hint="default"/>
      </w:rPr>
    </w:lvl>
    <w:lvl w:ilvl="7" w:tplc="040E0003">
      <w:start w:val="1"/>
      <w:numFmt w:val="bullet"/>
      <w:lvlText w:val="o"/>
      <w:lvlJc w:val="left"/>
      <w:pPr>
        <w:ind w:left="6186" w:hanging="360"/>
      </w:pPr>
      <w:rPr>
        <w:rFonts w:ascii="Courier New" w:hAnsi="Courier New" w:cs="Courier New" w:hint="default"/>
      </w:rPr>
    </w:lvl>
    <w:lvl w:ilvl="8" w:tplc="040E0005">
      <w:start w:val="1"/>
      <w:numFmt w:val="bullet"/>
      <w:lvlText w:val=""/>
      <w:lvlJc w:val="left"/>
      <w:pPr>
        <w:ind w:left="6906" w:hanging="360"/>
      </w:pPr>
      <w:rPr>
        <w:rFonts w:ascii="Wingdings" w:hAnsi="Wingdings" w:hint="default"/>
      </w:rPr>
    </w:lvl>
  </w:abstractNum>
  <w:abstractNum w:abstractNumId="143" w15:restartNumberingAfterBreak="0">
    <w:nsid w:val="149834E1"/>
    <w:multiLevelType w:val="multilevel"/>
    <w:tmpl w:val="D17659A2"/>
    <w:lvl w:ilvl="0">
      <w:start w:val="1"/>
      <w:numFmt w:val="decimal"/>
      <w:lvlText w:val="%1."/>
      <w:lvlJc w:val="right"/>
      <w:pPr>
        <w:ind w:left="644" w:firstLine="284"/>
      </w:pPr>
      <w:rPr>
        <w:rFonts w:ascii="Times New Roman" w:eastAsia="Times New Roman" w:hAnsi="Times New Roman" w:cs="Times New Roman"/>
        <w:b/>
        <w:i w:val="0"/>
        <w:smallCaps w:val="0"/>
        <w:strike w:val="0"/>
        <w:dstrike w:val="0"/>
        <w:color w:val="000000"/>
        <w:sz w:val="24"/>
        <w:szCs w:val="24"/>
        <w:u w:val="none"/>
        <w:effect w:val="none"/>
        <w:vertAlign w:val="baseline"/>
      </w:rPr>
    </w:lvl>
    <w:lvl w:ilvl="1">
      <w:start w:val="1"/>
      <w:numFmt w:val="decimal"/>
      <w:lvlText w:val="%1.%2."/>
      <w:lvlJc w:val="left"/>
      <w:pPr>
        <w:ind w:left="1000" w:firstLine="568"/>
      </w:pPr>
      <w:rPr>
        <w:b/>
      </w:rPr>
    </w:lvl>
    <w:lvl w:ilvl="2">
      <w:start w:val="1"/>
      <w:numFmt w:val="decimal"/>
      <w:lvlText w:val="%1.%2.%3."/>
      <w:lvlJc w:val="left"/>
      <w:pPr>
        <w:ind w:left="1508" w:firstLine="1004"/>
      </w:pPr>
      <w:rPr>
        <w:b/>
      </w:rPr>
    </w:lvl>
    <w:lvl w:ilvl="3">
      <w:start w:val="1"/>
      <w:numFmt w:val="decimal"/>
      <w:lvlText w:val="%1.%2.%3.%4."/>
      <w:lvlJc w:val="left"/>
      <w:pPr>
        <w:ind w:left="2012" w:firstLine="1363"/>
      </w:pPr>
    </w:lvl>
    <w:lvl w:ilvl="4">
      <w:start w:val="1"/>
      <w:numFmt w:val="decimal"/>
      <w:lvlText w:val="%1.%2.%3.%4.%5."/>
      <w:lvlJc w:val="left"/>
      <w:pPr>
        <w:ind w:left="2516" w:firstLine="1723"/>
      </w:pPr>
    </w:lvl>
    <w:lvl w:ilvl="5">
      <w:start w:val="1"/>
      <w:numFmt w:val="decimal"/>
      <w:lvlText w:val="%1.%2.%3.%4.%5.%6."/>
      <w:lvlJc w:val="left"/>
      <w:pPr>
        <w:ind w:left="3020" w:firstLine="2084"/>
      </w:pPr>
    </w:lvl>
    <w:lvl w:ilvl="6">
      <w:start w:val="1"/>
      <w:numFmt w:val="decimal"/>
      <w:lvlText w:val="%1.%2.%3.%4.%5.%6.%7."/>
      <w:lvlJc w:val="left"/>
      <w:pPr>
        <w:ind w:left="3524" w:firstLine="2444"/>
      </w:pPr>
    </w:lvl>
    <w:lvl w:ilvl="7">
      <w:start w:val="1"/>
      <w:numFmt w:val="decimal"/>
      <w:lvlText w:val="%1.%2.%3.%4.%5.%6.%7.%8."/>
      <w:lvlJc w:val="left"/>
      <w:pPr>
        <w:ind w:left="4028" w:firstLine="2804"/>
      </w:pPr>
    </w:lvl>
    <w:lvl w:ilvl="8">
      <w:start w:val="1"/>
      <w:numFmt w:val="decimal"/>
      <w:lvlText w:val="%1.%2.%3.%4.%5.%6.%7.%8.%9."/>
      <w:lvlJc w:val="left"/>
      <w:pPr>
        <w:ind w:left="4604" w:firstLine="3164"/>
      </w:pPr>
    </w:lvl>
  </w:abstractNum>
  <w:abstractNum w:abstractNumId="144" w15:restartNumberingAfterBreak="0">
    <w:nsid w:val="14BB0758"/>
    <w:multiLevelType w:val="hybridMultilevel"/>
    <w:tmpl w:val="E5BE3632"/>
    <w:lvl w:ilvl="0" w:tplc="F90AA5CA">
      <w:numFmt w:val="bullet"/>
      <w:lvlText w:val="-"/>
      <w:lvlJc w:val="left"/>
      <w:pPr>
        <w:ind w:left="1145" w:hanging="360"/>
      </w:pPr>
      <w:rPr>
        <w:rFonts w:ascii="Times New Roman" w:eastAsia="Times New Roman" w:hAnsi="Times New Roman"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145" w15:restartNumberingAfterBreak="0">
    <w:nsid w:val="14EC6245"/>
    <w:multiLevelType w:val="hybridMultilevel"/>
    <w:tmpl w:val="89C48CC4"/>
    <w:lvl w:ilvl="0" w:tplc="6D76C870">
      <w:start w:val="1"/>
      <w:numFmt w:val="decimal"/>
      <w:lvlText w:val="%1."/>
      <w:lvlJc w:val="left"/>
      <w:pPr>
        <w:ind w:left="1636" w:hanging="360"/>
      </w:pPr>
      <w:rPr>
        <w:rFonts w:hint="default"/>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6" w15:restartNumberingAfterBreak="0">
    <w:nsid w:val="14FF2AC1"/>
    <w:multiLevelType w:val="multilevel"/>
    <w:tmpl w:val="AFA27F08"/>
    <w:lvl w:ilvl="0">
      <w:start w:val="12"/>
      <w:numFmt w:val="decimal"/>
      <w:lvlText w:val="%1."/>
      <w:lvlJc w:val="left"/>
      <w:pPr>
        <w:tabs>
          <w:tab w:val="num" w:pos="360"/>
        </w:tabs>
        <w:ind w:left="360" w:hanging="360"/>
      </w:pPr>
      <w:rPr>
        <w:rFonts w:cs="Times New Roman"/>
        <w:b/>
        <w:i w:val="0"/>
        <w:sz w:val="22"/>
        <w:szCs w:val="22"/>
      </w:rPr>
    </w:lvl>
    <w:lvl w:ilvl="1">
      <w:start w:val="1"/>
      <w:numFmt w:val="decimal"/>
      <w:lvlText w:val="%1.%2."/>
      <w:lvlJc w:val="left"/>
      <w:pPr>
        <w:tabs>
          <w:tab w:val="num" w:pos="792"/>
        </w:tabs>
        <w:ind w:left="792" w:hanging="432"/>
      </w:pPr>
      <w:rPr>
        <w:rFonts w:cs="Times New Roman"/>
        <w:b/>
        <w:i w:val="0"/>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47" w15:restartNumberingAfterBreak="0">
    <w:nsid w:val="15685856"/>
    <w:multiLevelType w:val="hybridMultilevel"/>
    <w:tmpl w:val="3B2ED1BC"/>
    <w:lvl w:ilvl="0" w:tplc="F90AA5CA">
      <w:numFmt w:val="bullet"/>
      <w:lvlText w:val="-"/>
      <w:lvlJc w:val="left"/>
      <w:pPr>
        <w:ind w:left="1145" w:hanging="360"/>
      </w:pPr>
      <w:rPr>
        <w:rFonts w:ascii="Times New Roman" w:eastAsia="Times New Roman" w:hAnsi="Times New Roman" w:cs="Times New Roman" w:hint="default"/>
      </w:rPr>
    </w:lvl>
    <w:lvl w:ilvl="1" w:tplc="040E0003">
      <w:start w:val="1"/>
      <w:numFmt w:val="bullet"/>
      <w:lvlText w:val="o"/>
      <w:lvlJc w:val="left"/>
      <w:pPr>
        <w:ind w:left="1865" w:hanging="360"/>
      </w:pPr>
      <w:rPr>
        <w:rFonts w:ascii="Courier New" w:hAnsi="Courier New" w:cs="Courier New" w:hint="default"/>
      </w:rPr>
    </w:lvl>
    <w:lvl w:ilvl="2" w:tplc="040E0005">
      <w:start w:val="1"/>
      <w:numFmt w:val="bullet"/>
      <w:lvlText w:val=""/>
      <w:lvlJc w:val="left"/>
      <w:pPr>
        <w:ind w:left="2585" w:hanging="360"/>
      </w:pPr>
      <w:rPr>
        <w:rFonts w:ascii="Wingdings" w:hAnsi="Wingdings" w:hint="default"/>
      </w:rPr>
    </w:lvl>
    <w:lvl w:ilvl="3" w:tplc="040E0001">
      <w:start w:val="1"/>
      <w:numFmt w:val="bullet"/>
      <w:lvlText w:val=""/>
      <w:lvlJc w:val="left"/>
      <w:pPr>
        <w:ind w:left="3305" w:hanging="360"/>
      </w:pPr>
      <w:rPr>
        <w:rFonts w:ascii="Symbol" w:hAnsi="Symbol" w:hint="default"/>
      </w:rPr>
    </w:lvl>
    <w:lvl w:ilvl="4" w:tplc="040E0003">
      <w:start w:val="1"/>
      <w:numFmt w:val="bullet"/>
      <w:lvlText w:val="o"/>
      <w:lvlJc w:val="left"/>
      <w:pPr>
        <w:ind w:left="4025" w:hanging="360"/>
      </w:pPr>
      <w:rPr>
        <w:rFonts w:ascii="Courier New" w:hAnsi="Courier New" w:cs="Courier New" w:hint="default"/>
      </w:rPr>
    </w:lvl>
    <w:lvl w:ilvl="5" w:tplc="040E0005">
      <w:start w:val="1"/>
      <w:numFmt w:val="bullet"/>
      <w:lvlText w:val=""/>
      <w:lvlJc w:val="left"/>
      <w:pPr>
        <w:ind w:left="4745" w:hanging="360"/>
      </w:pPr>
      <w:rPr>
        <w:rFonts w:ascii="Wingdings" w:hAnsi="Wingdings" w:hint="default"/>
      </w:rPr>
    </w:lvl>
    <w:lvl w:ilvl="6" w:tplc="040E0001">
      <w:start w:val="1"/>
      <w:numFmt w:val="bullet"/>
      <w:lvlText w:val=""/>
      <w:lvlJc w:val="left"/>
      <w:pPr>
        <w:ind w:left="5465" w:hanging="360"/>
      </w:pPr>
      <w:rPr>
        <w:rFonts w:ascii="Symbol" w:hAnsi="Symbol" w:hint="default"/>
      </w:rPr>
    </w:lvl>
    <w:lvl w:ilvl="7" w:tplc="040E0003">
      <w:start w:val="1"/>
      <w:numFmt w:val="bullet"/>
      <w:lvlText w:val="o"/>
      <w:lvlJc w:val="left"/>
      <w:pPr>
        <w:ind w:left="6185" w:hanging="360"/>
      </w:pPr>
      <w:rPr>
        <w:rFonts w:ascii="Courier New" w:hAnsi="Courier New" w:cs="Courier New" w:hint="default"/>
      </w:rPr>
    </w:lvl>
    <w:lvl w:ilvl="8" w:tplc="040E0005">
      <w:start w:val="1"/>
      <w:numFmt w:val="bullet"/>
      <w:lvlText w:val=""/>
      <w:lvlJc w:val="left"/>
      <w:pPr>
        <w:ind w:left="6905" w:hanging="360"/>
      </w:pPr>
      <w:rPr>
        <w:rFonts w:ascii="Wingdings" w:hAnsi="Wingdings" w:hint="default"/>
      </w:rPr>
    </w:lvl>
  </w:abstractNum>
  <w:abstractNum w:abstractNumId="148" w15:restartNumberingAfterBreak="0">
    <w:nsid w:val="15824BD8"/>
    <w:multiLevelType w:val="hybridMultilevel"/>
    <w:tmpl w:val="D20A64A4"/>
    <w:lvl w:ilvl="0" w:tplc="96326354">
      <w:start w:val="1"/>
      <w:numFmt w:val="decimal"/>
      <w:lvlText w:val="%1."/>
      <w:lvlJc w:val="left"/>
      <w:pPr>
        <w:ind w:left="1069" w:hanging="360"/>
      </w:pPr>
      <w:rPr>
        <w:rFonts w:hint="default"/>
        <w:b w:val="0"/>
      </w:rPr>
    </w:lvl>
    <w:lvl w:ilvl="1" w:tplc="040E0019" w:tentative="1">
      <w:start w:val="1"/>
      <w:numFmt w:val="lowerLetter"/>
      <w:lvlText w:val="%2."/>
      <w:lvlJc w:val="left"/>
      <w:pPr>
        <w:ind w:left="873" w:hanging="360"/>
      </w:pPr>
    </w:lvl>
    <w:lvl w:ilvl="2" w:tplc="040E001B" w:tentative="1">
      <w:start w:val="1"/>
      <w:numFmt w:val="lowerRoman"/>
      <w:lvlText w:val="%3."/>
      <w:lvlJc w:val="right"/>
      <w:pPr>
        <w:ind w:left="1593" w:hanging="180"/>
      </w:pPr>
    </w:lvl>
    <w:lvl w:ilvl="3" w:tplc="040E000F" w:tentative="1">
      <w:start w:val="1"/>
      <w:numFmt w:val="decimal"/>
      <w:lvlText w:val="%4."/>
      <w:lvlJc w:val="left"/>
      <w:pPr>
        <w:ind w:left="2313" w:hanging="360"/>
      </w:pPr>
    </w:lvl>
    <w:lvl w:ilvl="4" w:tplc="040E0019" w:tentative="1">
      <w:start w:val="1"/>
      <w:numFmt w:val="lowerLetter"/>
      <w:lvlText w:val="%5."/>
      <w:lvlJc w:val="left"/>
      <w:pPr>
        <w:ind w:left="3033" w:hanging="360"/>
      </w:pPr>
    </w:lvl>
    <w:lvl w:ilvl="5" w:tplc="040E001B" w:tentative="1">
      <w:start w:val="1"/>
      <w:numFmt w:val="lowerRoman"/>
      <w:lvlText w:val="%6."/>
      <w:lvlJc w:val="right"/>
      <w:pPr>
        <w:ind w:left="3753" w:hanging="180"/>
      </w:pPr>
    </w:lvl>
    <w:lvl w:ilvl="6" w:tplc="040E000F" w:tentative="1">
      <w:start w:val="1"/>
      <w:numFmt w:val="decimal"/>
      <w:lvlText w:val="%7."/>
      <w:lvlJc w:val="left"/>
      <w:pPr>
        <w:ind w:left="4473" w:hanging="360"/>
      </w:pPr>
    </w:lvl>
    <w:lvl w:ilvl="7" w:tplc="040E0019" w:tentative="1">
      <w:start w:val="1"/>
      <w:numFmt w:val="lowerLetter"/>
      <w:lvlText w:val="%8."/>
      <w:lvlJc w:val="left"/>
      <w:pPr>
        <w:ind w:left="5193" w:hanging="360"/>
      </w:pPr>
    </w:lvl>
    <w:lvl w:ilvl="8" w:tplc="040E001B" w:tentative="1">
      <w:start w:val="1"/>
      <w:numFmt w:val="lowerRoman"/>
      <w:lvlText w:val="%9."/>
      <w:lvlJc w:val="right"/>
      <w:pPr>
        <w:ind w:left="5913" w:hanging="180"/>
      </w:pPr>
    </w:lvl>
  </w:abstractNum>
  <w:abstractNum w:abstractNumId="149" w15:restartNumberingAfterBreak="0">
    <w:nsid w:val="15AC1C65"/>
    <w:multiLevelType w:val="hybridMultilevel"/>
    <w:tmpl w:val="2DD0CD36"/>
    <w:lvl w:ilvl="0" w:tplc="F29CF34C">
      <w:start w:val="1"/>
      <w:numFmt w:val="bullet"/>
      <w:lvlText w:val=""/>
      <w:lvlJc w:val="left"/>
      <w:pPr>
        <w:ind w:left="1145" w:hanging="360"/>
      </w:pPr>
      <w:rPr>
        <w:rFonts w:ascii="Symbol" w:hAnsi="Symbol" w:hint="default"/>
      </w:rPr>
    </w:lvl>
    <w:lvl w:ilvl="1" w:tplc="040E0003">
      <w:start w:val="1"/>
      <w:numFmt w:val="bullet"/>
      <w:lvlText w:val="o"/>
      <w:lvlJc w:val="left"/>
      <w:pPr>
        <w:ind w:left="1865" w:hanging="360"/>
      </w:pPr>
      <w:rPr>
        <w:rFonts w:ascii="Courier New" w:hAnsi="Courier New" w:cs="Courier New" w:hint="default"/>
      </w:rPr>
    </w:lvl>
    <w:lvl w:ilvl="2" w:tplc="040E0005">
      <w:start w:val="1"/>
      <w:numFmt w:val="bullet"/>
      <w:lvlText w:val=""/>
      <w:lvlJc w:val="left"/>
      <w:pPr>
        <w:ind w:left="2585" w:hanging="360"/>
      </w:pPr>
      <w:rPr>
        <w:rFonts w:ascii="Wingdings" w:hAnsi="Wingdings" w:hint="default"/>
      </w:rPr>
    </w:lvl>
    <w:lvl w:ilvl="3" w:tplc="040E0001">
      <w:start w:val="1"/>
      <w:numFmt w:val="bullet"/>
      <w:lvlText w:val=""/>
      <w:lvlJc w:val="left"/>
      <w:pPr>
        <w:ind w:left="3305" w:hanging="360"/>
      </w:pPr>
      <w:rPr>
        <w:rFonts w:ascii="Symbol" w:hAnsi="Symbol" w:hint="default"/>
      </w:rPr>
    </w:lvl>
    <w:lvl w:ilvl="4" w:tplc="040E0003">
      <w:start w:val="1"/>
      <w:numFmt w:val="bullet"/>
      <w:lvlText w:val="o"/>
      <w:lvlJc w:val="left"/>
      <w:pPr>
        <w:ind w:left="4025" w:hanging="360"/>
      </w:pPr>
      <w:rPr>
        <w:rFonts w:ascii="Courier New" w:hAnsi="Courier New" w:cs="Courier New" w:hint="default"/>
      </w:rPr>
    </w:lvl>
    <w:lvl w:ilvl="5" w:tplc="040E0005">
      <w:start w:val="1"/>
      <w:numFmt w:val="bullet"/>
      <w:lvlText w:val=""/>
      <w:lvlJc w:val="left"/>
      <w:pPr>
        <w:ind w:left="4745" w:hanging="360"/>
      </w:pPr>
      <w:rPr>
        <w:rFonts w:ascii="Wingdings" w:hAnsi="Wingdings" w:hint="default"/>
      </w:rPr>
    </w:lvl>
    <w:lvl w:ilvl="6" w:tplc="040E0001">
      <w:start w:val="1"/>
      <w:numFmt w:val="bullet"/>
      <w:lvlText w:val=""/>
      <w:lvlJc w:val="left"/>
      <w:pPr>
        <w:ind w:left="5465" w:hanging="360"/>
      </w:pPr>
      <w:rPr>
        <w:rFonts w:ascii="Symbol" w:hAnsi="Symbol" w:hint="default"/>
      </w:rPr>
    </w:lvl>
    <w:lvl w:ilvl="7" w:tplc="040E0003">
      <w:start w:val="1"/>
      <w:numFmt w:val="bullet"/>
      <w:lvlText w:val="o"/>
      <w:lvlJc w:val="left"/>
      <w:pPr>
        <w:ind w:left="6185" w:hanging="360"/>
      </w:pPr>
      <w:rPr>
        <w:rFonts w:ascii="Courier New" w:hAnsi="Courier New" w:cs="Courier New" w:hint="default"/>
      </w:rPr>
    </w:lvl>
    <w:lvl w:ilvl="8" w:tplc="040E0005">
      <w:start w:val="1"/>
      <w:numFmt w:val="bullet"/>
      <w:lvlText w:val=""/>
      <w:lvlJc w:val="left"/>
      <w:pPr>
        <w:ind w:left="6905" w:hanging="360"/>
      </w:pPr>
      <w:rPr>
        <w:rFonts w:ascii="Wingdings" w:hAnsi="Wingdings" w:hint="default"/>
      </w:rPr>
    </w:lvl>
  </w:abstractNum>
  <w:abstractNum w:abstractNumId="150" w15:restartNumberingAfterBreak="0">
    <w:nsid w:val="15AF15CD"/>
    <w:multiLevelType w:val="multilevel"/>
    <w:tmpl w:val="DABAAF0E"/>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51" w15:restartNumberingAfterBreak="0">
    <w:nsid w:val="15DB14F8"/>
    <w:multiLevelType w:val="hybridMultilevel"/>
    <w:tmpl w:val="5C5CA89E"/>
    <w:lvl w:ilvl="0" w:tplc="9C108DFA">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2" w15:restartNumberingAfterBreak="0">
    <w:nsid w:val="15E2238A"/>
    <w:multiLevelType w:val="multilevel"/>
    <w:tmpl w:val="E28C9ED8"/>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4"/>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53" w15:restartNumberingAfterBreak="0">
    <w:nsid w:val="15F46772"/>
    <w:multiLevelType w:val="hybridMultilevel"/>
    <w:tmpl w:val="93E418D8"/>
    <w:lvl w:ilvl="0" w:tplc="1C0E9240">
      <w:start w:val="1"/>
      <w:numFmt w:val="decimal"/>
      <w:lvlText w:val="%1."/>
      <w:lvlJc w:val="left"/>
      <w:pPr>
        <w:ind w:left="720" w:hanging="360"/>
      </w:pPr>
      <w:rPr>
        <w:rFonts w:eastAsiaTheme="minorHAnsi"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4" w15:restartNumberingAfterBreak="0">
    <w:nsid w:val="15FC178B"/>
    <w:multiLevelType w:val="hybridMultilevel"/>
    <w:tmpl w:val="49C69562"/>
    <w:lvl w:ilvl="0" w:tplc="4176CBAC">
      <w:start w:val="1"/>
      <w:numFmt w:val="decimal"/>
      <w:lvlText w:val="%1."/>
      <w:lvlJc w:val="left"/>
      <w:pPr>
        <w:ind w:left="786" w:hanging="360"/>
      </w:pPr>
      <w:rPr>
        <w:b w:val="0"/>
      </w:rPr>
    </w:lvl>
    <w:lvl w:ilvl="1" w:tplc="040E0019">
      <w:start w:val="1"/>
      <w:numFmt w:val="lowerLetter"/>
      <w:lvlText w:val="%2."/>
      <w:lvlJc w:val="left"/>
      <w:pPr>
        <w:ind w:left="1506" w:hanging="360"/>
      </w:pPr>
    </w:lvl>
    <w:lvl w:ilvl="2" w:tplc="040E001B">
      <w:start w:val="1"/>
      <w:numFmt w:val="lowerRoman"/>
      <w:lvlText w:val="%3."/>
      <w:lvlJc w:val="right"/>
      <w:pPr>
        <w:ind w:left="2226" w:hanging="180"/>
      </w:pPr>
    </w:lvl>
    <w:lvl w:ilvl="3" w:tplc="040E000F">
      <w:start w:val="1"/>
      <w:numFmt w:val="decimal"/>
      <w:lvlText w:val="%4."/>
      <w:lvlJc w:val="left"/>
      <w:pPr>
        <w:ind w:left="2946" w:hanging="360"/>
      </w:pPr>
    </w:lvl>
    <w:lvl w:ilvl="4" w:tplc="040E0019">
      <w:start w:val="1"/>
      <w:numFmt w:val="lowerLetter"/>
      <w:lvlText w:val="%5."/>
      <w:lvlJc w:val="left"/>
      <w:pPr>
        <w:ind w:left="3666" w:hanging="360"/>
      </w:pPr>
    </w:lvl>
    <w:lvl w:ilvl="5" w:tplc="040E001B">
      <w:start w:val="1"/>
      <w:numFmt w:val="lowerRoman"/>
      <w:lvlText w:val="%6."/>
      <w:lvlJc w:val="right"/>
      <w:pPr>
        <w:ind w:left="4386" w:hanging="180"/>
      </w:pPr>
    </w:lvl>
    <w:lvl w:ilvl="6" w:tplc="040E000F">
      <w:start w:val="1"/>
      <w:numFmt w:val="decimal"/>
      <w:lvlText w:val="%7."/>
      <w:lvlJc w:val="left"/>
      <w:pPr>
        <w:ind w:left="5106" w:hanging="360"/>
      </w:pPr>
    </w:lvl>
    <w:lvl w:ilvl="7" w:tplc="040E0019">
      <w:start w:val="1"/>
      <w:numFmt w:val="lowerLetter"/>
      <w:lvlText w:val="%8."/>
      <w:lvlJc w:val="left"/>
      <w:pPr>
        <w:ind w:left="5826" w:hanging="360"/>
      </w:pPr>
    </w:lvl>
    <w:lvl w:ilvl="8" w:tplc="040E001B">
      <w:start w:val="1"/>
      <w:numFmt w:val="lowerRoman"/>
      <w:lvlText w:val="%9."/>
      <w:lvlJc w:val="right"/>
      <w:pPr>
        <w:ind w:left="6546" w:hanging="180"/>
      </w:pPr>
    </w:lvl>
  </w:abstractNum>
  <w:abstractNum w:abstractNumId="155" w15:restartNumberingAfterBreak="0">
    <w:nsid w:val="16156083"/>
    <w:multiLevelType w:val="hybridMultilevel"/>
    <w:tmpl w:val="77AA1060"/>
    <w:lvl w:ilvl="0" w:tplc="192E591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6" w15:restartNumberingAfterBreak="0">
    <w:nsid w:val="161C69D8"/>
    <w:multiLevelType w:val="hybridMultilevel"/>
    <w:tmpl w:val="A16C5782"/>
    <w:lvl w:ilvl="0" w:tplc="A2D07B36">
      <w:start w:val="1"/>
      <w:numFmt w:val="decimal"/>
      <w:lvlText w:val="%1."/>
      <w:lvlJc w:val="left"/>
      <w:pPr>
        <w:ind w:left="644" w:hanging="360"/>
      </w:pPr>
      <w:rPr>
        <w:rFonts w:eastAsiaTheme="minorHAnsi"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7" w15:restartNumberingAfterBreak="0">
    <w:nsid w:val="1698040E"/>
    <w:multiLevelType w:val="hybridMultilevel"/>
    <w:tmpl w:val="2A1A8BDC"/>
    <w:lvl w:ilvl="0" w:tplc="5C1E6FE6">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8" w15:restartNumberingAfterBreak="0">
    <w:nsid w:val="17182DEE"/>
    <w:multiLevelType w:val="hybridMultilevel"/>
    <w:tmpl w:val="A1EEAC40"/>
    <w:lvl w:ilvl="0" w:tplc="6610FDEA">
      <w:numFmt w:val="bullet"/>
      <w:lvlText w:val="-"/>
      <w:lvlJc w:val="left"/>
      <w:pPr>
        <w:ind w:left="786" w:hanging="360"/>
      </w:pPr>
      <w:rPr>
        <w:rFonts w:ascii="Times New Roman" w:eastAsia="Times New Roman" w:hAnsi="Times New Roman" w:cs="Times New Roman" w:hint="default"/>
        <w:b/>
      </w:rPr>
    </w:lvl>
    <w:lvl w:ilvl="1" w:tplc="040E0003">
      <w:start w:val="1"/>
      <w:numFmt w:val="bullet"/>
      <w:lvlText w:val="o"/>
      <w:lvlJc w:val="left"/>
      <w:pPr>
        <w:ind w:left="1506" w:hanging="360"/>
      </w:pPr>
      <w:rPr>
        <w:rFonts w:ascii="Courier New" w:hAnsi="Courier New" w:cs="Courier New" w:hint="default"/>
      </w:rPr>
    </w:lvl>
    <w:lvl w:ilvl="2" w:tplc="040E0005">
      <w:start w:val="1"/>
      <w:numFmt w:val="bullet"/>
      <w:lvlText w:val=""/>
      <w:lvlJc w:val="left"/>
      <w:pPr>
        <w:ind w:left="2226" w:hanging="360"/>
      </w:pPr>
      <w:rPr>
        <w:rFonts w:ascii="Wingdings" w:hAnsi="Wingdings" w:hint="default"/>
      </w:rPr>
    </w:lvl>
    <w:lvl w:ilvl="3" w:tplc="040E0001">
      <w:start w:val="1"/>
      <w:numFmt w:val="bullet"/>
      <w:lvlText w:val=""/>
      <w:lvlJc w:val="left"/>
      <w:pPr>
        <w:ind w:left="2946" w:hanging="360"/>
      </w:pPr>
      <w:rPr>
        <w:rFonts w:ascii="Symbol" w:hAnsi="Symbol" w:hint="default"/>
      </w:rPr>
    </w:lvl>
    <w:lvl w:ilvl="4" w:tplc="040E0003">
      <w:start w:val="1"/>
      <w:numFmt w:val="bullet"/>
      <w:lvlText w:val="o"/>
      <w:lvlJc w:val="left"/>
      <w:pPr>
        <w:ind w:left="3666" w:hanging="360"/>
      </w:pPr>
      <w:rPr>
        <w:rFonts w:ascii="Courier New" w:hAnsi="Courier New" w:cs="Courier New" w:hint="default"/>
      </w:rPr>
    </w:lvl>
    <w:lvl w:ilvl="5" w:tplc="040E0005">
      <w:start w:val="1"/>
      <w:numFmt w:val="bullet"/>
      <w:lvlText w:val=""/>
      <w:lvlJc w:val="left"/>
      <w:pPr>
        <w:ind w:left="4386" w:hanging="360"/>
      </w:pPr>
      <w:rPr>
        <w:rFonts w:ascii="Wingdings" w:hAnsi="Wingdings" w:hint="default"/>
      </w:rPr>
    </w:lvl>
    <w:lvl w:ilvl="6" w:tplc="040E0001">
      <w:start w:val="1"/>
      <w:numFmt w:val="bullet"/>
      <w:lvlText w:val=""/>
      <w:lvlJc w:val="left"/>
      <w:pPr>
        <w:ind w:left="5106" w:hanging="360"/>
      </w:pPr>
      <w:rPr>
        <w:rFonts w:ascii="Symbol" w:hAnsi="Symbol" w:hint="default"/>
      </w:rPr>
    </w:lvl>
    <w:lvl w:ilvl="7" w:tplc="040E0003">
      <w:start w:val="1"/>
      <w:numFmt w:val="bullet"/>
      <w:lvlText w:val="o"/>
      <w:lvlJc w:val="left"/>
      <w:pPr>
        <w:ind w:left="5826" w:hanging="360"/>
      </w:pPr>
      <w:rPr>
        <w:rFonts w:ascii="Courier New" w:hAnsi="Courier New" w:cs="Courier New" w:hint="default"/>
      </w:rPr>
    </w:lvl>
    <w:lvl w:ilvl="8" w:tplc="040E0005">
      <w:start w:val="1"/>
      <w:numFmt w:val="bullet"/>
      <w:lvlText w:val=""/>
      <w:lvlJc w:val="left"/>
      <w:pPr>
        <w:ind w:left="6546" w:hanging="360"/>
      </w:pPr>
      <w:rPr>
        <w:rFonts w:ascii="Wingdings" w:hAnsi="Wingdings" w:hint="default"/>
      </w:rPr>
    </w:lvl>
  </w:abstractNum>
  <w:abstractNum w:abstractNumId="159" w15:restartNumberingAfterBreak="0">
    <w:nsid w:val="17DD300C"/>
    <w:multiLevelType w:val="hybridMultilevel"/>
    <w:tmpl w:val="0E02B66A"/>
    <w:lvl w:ilvl="0" w:tplc="87FE9E66">
      <w:start w:val="1"/>
      <w:numFmt w:val="decimal"/>
      <w:lvlText w:val="%1."/>
      <w:lvlJc w:val="left"/>
      <w:pPr>
        <w:ind w:left="1068" w:hanging="360"/>
      </w:pPr>
      <w:rPr>
        <w:rFonts w:hint="default"/>
      </w:rPr>
    </w:lvl>
    <w:lvl w:ilvl="1" w:tplc="040E0019" w:tentative="1">
      <w:start w:val="1"/>
      <w:numFmt w:val="lowerLetter"/>
      <w:lvlText w:val="%2."/>
      <w:lvlJc w:val="left"/>
      <w:pPr>
        <w:ind w:left="927" w:hanging="360"/>
      </w:pPr>
    </w:lvl>
    <w:lvl w:ilvl="2" w:tplc="040E001B" w:tentative="1">
      <w:start w:val="1"/>
      <w:numFmt w:val="lowerRoman"/>
      <w:lvlText w:val="%3."/>
      <w:lvlJc w:val="right"/>
      <w:pPr>
        <w:ind w:left="1647" w:hanging="180"/>
      </w:pPr>
    </w:lvl>
    <w:lvl w:ilvl="3" w:tplc="040E000F" w:tentative="1">
      <w:start w:val="1"/>
      <w:numFmt w:val="decimal"/>
      <w:lvlText w:val="%4."/>
      <w:lvlJc w:val="left"/>
      <w:pPr>
        <w:ind w:left="2367" w:hanging="360"/>
      </w:pPr>
    </w:lvl>
    <w:lvl w:ilvl="4" w:tplc="040E0019" w:tentative="1">
      <w:start w:val="1"/>
      <w:numFmt w:val="lowerLetter"/>
      <w:lvlText w:val="%5."/>
      <w:lvlJc w:val="left"/>
      <w:pPr>
        <w:ind w:left="3087" w:hanging="360"/>
      </w:pPr>
    </w:lvl>
    <w:lvl w:ilvl="5" w:tplc="040E001B" w:tentative="1">
      <w:start w:val="1"/>
      <w:numFmt w:val="lowerRoman"/>
      <w:lvlText w:val="%6."/>
      <w:lvlJc w:val="right"/>
      <w:pPr>
        <w:ind w:left="3807" w:hanging="180"/>
      </w:pPr>
    </w:lvl>
    <w:lvl w:ilvl="6" w:tplc="040E000F" w:tentative="1">
      <w:start w:val="1"/>
      <w:numFmt w:val="decimal"/>
      <w:lvlText w:val="%7."/>
      <w:lvlJc w:val="left"/>
      <w:pPr>
        <w:ind w:left="4527" w:hanging="360"/>
      </w:pPr>
    </w:lvl>
    <w:lvl w:ilvl="7" w:tplc="040E0019" w:tentative="1">
      <w:start w:val="1"/>
      <w:numFmt w:val="lowerLetter"/>
      <w:lvlText w:val="%8."/>
      <w:lvlJc w:val="left"/>
      <w:pPr>
        <w:ind w:left="5247" w:hanging="360"/>
      </w:pPr>
    </w:lvl>
    <w:lvl w:ilvl="8" w:tplc="040E001B" w:tentative="1">
      <w:start w:val="1"/>
      <w:numFmt w:val="lowerRoman"/>
      <w:lvlText w:val="%9."/>
      <w:lvlJc w:val="right"/>
      <w:pPr>
        <w:ind w:left="5967" w:hanging="180"/>
      </w:pPr>
    </w:lvl>
  </w:abstractNum>
  <w:abstractNum w:abstractNumId="160" w15:restartNumberingAfterBreak="0">
    <w:nsid w:val="182026EA"/>
    <w:multiLevelType w:val="hybridMultilevel"/>
    <w:tmpl w:val="268AEA30"/>
    <w:lvl w:ilvl="0" w:tplc="24D09896">
      <w:start w:val="13"/>
      <w:numFmt w:val="bullet"/>
      <w:lvlText w:val="˗"/>
      <w:lvlJc w:val="left"/>
      <w:pPr>
        <w:ind w:left="720" w:hanging="360"/>
      </w:pPr>
      <w:rPr>
        <w:rFonts w:ascii="Times New Roman" w:eastAsia="Calibri" w:hAnsi="Times New Roman" w:cs="Times New Roman" w:hint="default"/>
      </w:rPr>
    </w:lvl>
    <w:lvl w:ilvl="1" w:tplc="24D09896">
      <w:start w:val="13"/>
      <w:numFmt w:val="bullet"/>
      <w:lvlText w:val="˗"/>
      <w:lvlJc w:val="left"/>
      <w:pPr>
        <w:ind w:left="1440" w:hanging="360"/>
      </w:pPr>
      <w:rPr>
        <w:rFonts w:ascii="Times New Roman" w:eastAsia="Calibri" w:hAnsi="Times New Roman" w:cs="Times New Roman"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1" w15:restartNumberingAfterBreak="0">
    <w:nsid w:val="18216C0C"/>
    <w:multiLevelType w:val="multilevel"/>
    <w:tmpl w:val="BF2C86B6"/>
    <w:lvl w:ilvl="0">
      <w:start w:val="8"/>
      <w:numFmt w:val="decimal"/>
      <w:lvlText w:val="%1."/>
      <w:lvlJc w:val="left"/>
      <w:pPr>
        <w:ind w:left="540" w:hanging="540"/>
      </w:pPr>
      <w:rPr>
        <w:rFonts w:hint="default"/>
      </w:rPr>
    </w:lvl>
    <w:lvl w:ilvl="1">
      <w:start w:val="1"/>
      <w:numFmt w:val="decimal"/>
      <w:lvlText w:val="%1.%2."/>
      <w:lvlJc w:val="left"/>
      <w:pPr>
        <w:ind w:left="965" w:hanging="54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62" w15:restartNumberingAfterBreak="0">
    <w:nsid w:val="18CA3B50"/>
    <w:multiLevelType w:val="hybridMultilevel"/>
    <w:tmpl w:val="74E602D4"/>
    <w:lvl w:ilvl="0" w:tplc="39C4A1B6">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3" w15:restartNumberingAfterBreak="0">
    <w:nsid w:val="18D84FCA"/>
    <w:multiLevelType w:val="hybridMultilevel"/>
    <w:tmpl w:val="65C009B8"/>
    <w:lvl w:ilvl="0" w:tplc="52D090C4">
      <w:start w:val="1"/>
      <w:numFmt w:val="decimal"/>
      <w:lvlText w:val="%1."/>
      <w:lvlJc w:val="left"/>
      <w:pPr>
        <w:ind w:left="108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4" w15:restartNumberingAfterBreak="0">
    <w:nsid w:val="18DB36E7"/>
    <w:multiLevelType w:val="multilevel"/>
    <w:tmpl w:val="BD980D5C"/>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65" w15:restartNumberingAfterBreak="0">
    <w:nsid w:val="18EC5936"/>
    <w:multiLevelType w:val="hybridMultilevel"/>
    <w:tmpl w:val="FFDE8664"/>
    <w:lvl w:ilvl="0" w:tplc="9404FBB6">
      <w:numFmt w:val="bullet"/>
      <w:lvlText w:val="-"/>
      <w:lvlJc w:val="left"/>
      <w:pPr>
        <w:ind w:left="786" w:hanging="360"/>
      </w:pPr>
      <w:rPr>
        <w:rFonts w:ascii="Times New Roman" w:eastAsia="Times New Roman" w:hAnsi="Times New Roman" w:cs="Times New Roman" w:hint="default"/>
      </w:rPr>
    </w:lvl>
    <w:lvl w:ilvl="1" w:tplc="040E0003">
      <w:start w:val="1"/>
      <w:numFmt w:val="bullet"/>
      <w:lvlText w:val="o"/>
      <w:lvlJc w:val="left"/>
      <w:pPr>
        <w:ind w:left="1506" w:hanging="360"/>
      </w:pPr>
      <w:rPr>
        <w:rFonts w:ascii="Courier New" w:hAnsi="Courier New" w:cs="Courier New" w:hint="default"/>
      </w:rPr>
    </w:lvl>
    <w:lvl w:ilvl="2" w:tplc="040E0005">
      <w:start w:val="1"/>
      <w:numFmt w:val="bullet"/>
      <w:lvlText w:val=""/>
      <w:lvlJc w:val="left"/>
      <w:pPr>
        <w:ind w:left="2226" w:hanging="360"/>
      </w:pPr>
      <w:rPr>
        <w:rFonts w:ascii="Wingdings" w:hAnsi="Wingdings" w:hint="default"/>
      </w:rPr>
    </w:lvl>
    <w:lvl w:ilvl="3" w:tplc="040E0001">
      <w:start w:val="1"/>
      <w:numFmt w:val="bullet"/>
      <w:lvlText w:val=""/>
      <w:lvlJc w:val="left"/>
      <w:pPr>
        <w:ind w:left="2946" w:hanging="360"/>
      </w:pPr>
      <w:rPr>
        <w:rFonts w:ascii="Symbol" w:hAnsi="Symbol" w:hint="default"/>
      </w:rPr>
    </w:lvl>
    <w:lvl w:ilvl="4" w:tplc="040E0003">
      <w:start w:val="1"/>
      <w:numFmt w:val="bullet"/>
      <w:lvlText w:val="o"/>
      <w:lvlJc w:val="left"/>
      <w:pPr>
        <w:ind w:left="3666" w:hanging="360"/>
      </w:pPr>
      <w:rPr>
        <w:rFonts w:ascii="Courier New" w:hAnsi="Courier New" w:cs="Courier New" w:hint="default"/>
      </w:rPr>
    </w:lvl>
    <w:lvl w:ilvl="5" w:tplc="040E0005">
      <w:start w:val="1"/>
      <w:numFmt w:val="bullet"/>
      <w:lvlText w:val=""/>
      <w:lvlJc w:val="left"/>
      <w:pPr>
        <w:ind w:left="4386" w:hanging="360"/>
      </w:pPr>
      <w:rPr>
        <w:rFonts w:ascii="Wingdings" w:hAnsi="Wingdings" w:hint="default"/>
      </w:rPr>
    </w:lvl>
    <w:lvl w:ilvl="6" w:tplc="040E0001">
      <w:start w:val="1"/>
      <w:numFmt w:val="bullet"/>
      <w:lvlText w:val=""/>
      <w:lvlJc w:val="left"/>
      <w:pPr>
        <w:ind w:left="5106" w:hanging="360"/>
      </w:pPr>
      <w:rPr>
        <w:rFonts w:ascii="Symbol" w:hAnsi="Symbol" w:hint="default"/>
      </w:rPr>
    </w:lvl>
    <w:lvl w:ilvl="7" w:tplc="040E0003">
      <w:start w:val="1"/>
      <w:numFmt w:val="bullet"/>
      <w:lvlText w:val="o"/>
      <w:lvlJc w:val="left"/>
      <w:pPr>
        <w:ind w:left="5826" w:hanging="360"/>
      </w:pPr>
      <w:rPr>
        <w:rFonts w:ascii="Courier New" w:hAnsi="Courier New" w:cs="Courier New" w:hint="default"/>
      </w:rPr>
    </w:lvl>
    <w:lvl w:ilvl="8" w:tplc="040E0005">
      <w:start w:val="1"/>
      <w:numFmt w:val="bullet"/>
      <w:lvlText w:val=""/>
      <w:lvlJc w:val="left"/>
      <w:pPr>
        <w:ind w:left="6546" w:hanging="360"/>
      </w:pPr>
      <w:rPr>
        <w:rFonts w:ascii="Wingdings" w:hAnsi="Wingdings" w:hint="default"/>
      </w:rPr>
    </w:lvl>
  </w:abstractNum>
  <w:abstractNum w:abstractNumId="166" w15:restartNumberingAfterBreak="0">
    <w:nsid w:val="18FB0DC8"/>
    <w:multiLevelType w:val="hybridMultilevel"/>
    <w:tmpl w:val="E5D01FDE"/>
    <w:lvl w:ilvl="0" w:tplc="1400B556">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7" w15:restartNumberingAfterBreak="0">
    <w:nsid w:val="19114D14"/>
    <w:multiLevelType w:val="hybridMultilevel"/>
    <w:tmpl w:val="5BFA0FDA"/>
    <w:lvl w:ilvl="0" w:tplc="FF0AB488">
      <w:start w:val="1"/>
      <w:numFmt w:val="decimal"/>
      <w:lvlText w:val="%1."/>
      <w:lvlJc w:val="left"/>
      <w:pPr>
        <w:ind w:left="644"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8" w15:restartNumberingAfterBreak="0">
    <w:nsid w:val="19340D47"/>
    <w:multiLevelType w:val="multilevel"/>
    <w:tmpl w:val="B8CE5608"/>
    <w:lvl w:ilvl="0">
      <w:start w:val="12"/>
      <w:numFmt w:val="decimal"/>
      <w:lvlText w:val="%1."/>
      <w:lvlJc w:val="left"/>
      <w:pPr>
        <w:tabs>
          <w:tab w:val="num" w:pos="360"/>
        </w:tabs>
        <w:ind w:left="360" w:hanging="360"/>
      </w:pPr>
      <w:rPr>
        <w:rFonts w:cs="Times New Roman"/>
        <w:b/>
        <w:i w:val="0"/>
        <w:sz w:val="24"/>
      </w:rPr>
    </w:lvl>
    <w:lvl w:ilvl="1">
      <w:start w:val="1"/>
      <w:numFmt w:val="decimal"/>
      <w:lvlText w:val="%1.%2."/>
      <w:lvlJc w:val="left"/>
      <w:pPr>
        <w:tabs>
          <w:tab w:val="num" w:pos="792"/>
        </w:tabs>
        <w:ind w:left="792" w:hanging="432"/>
      </w:pPr>
      <w:rPr>
        <w:rFonts w:cs="Times New Roman"/>
        <w:b/>
        <w:i w:val="0"/>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69" w15:restartNumberingAfterBreak="0">
    <w:nsid w:val="19657BD5"/>
    <w:multiLevelType w:val="hybridMultilevel"/>
    <w:tmpl w:val="DC3A2EAE"/>
    <w:lvl w:ilvl="0" w:tplc="040E000F">
      <w:start w:val="1"/>
      <w:numFmt w:val="decimal"/>
      <w:lvlText w:val="%1."/>
      <w:lvlJc w:val="left"/>
      <w:pPr>
        <w:ind w:left="1080" w:hanging="360"/>
      </w:p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70" w15:restartNumberingAfterBreak="0">
    <w:nsid w:val="19737C10"/>
    <w:multiLevelType w:val="hybridMultilevel"/>
    <w:tmpl w:val="A4C83F48"/>
    <w:lvl w:ilvl="0" w:tplc="C0E47198">
      <w:start w:val="1"/>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71" w15:restartNumberingAfterBreak="0">
    <w:nsid w:val="199E085A"/>
    <w:multiLevelType w:val="hybridMultilevel"/>
    <w:tmpl w:val="3C2A9B54"/>
    <w:lvl w:ilvl="0" w:tplc="040E000F">
      <w:start w:val="1"/>
      <w:numFmt w:val="decimal"/>
      <w:lvlText w:val="%1."/>
      <w:lvlJc w:val="left"/>
      <w:pPr>
        <w:ind w:left="1287" w:hanging="360"/>
      </w:pPr>
    </w:lvl>
    <w:lvl w:ilvl="1" w:tplc="040E0019" w:tentative="1">
      <w:start w:val="1"/>
      <w:numFmt w:val="lowerLetter"/>
      <w:lvlText w:val="%2."/>
      <w:lvlJc w:val="left"/>
      <w:pPr>
        <w:ind w:left="2007" w:hanging="360"/>
      </w:pPr>
    </w:lvl>
    <w:lvl w:ilvl="2" w:tplc="040E001B" w:tentative="1">
      <w:start w:val="1"/>
      <w:numFmt w:val="lowerRoman"/>
      <w:lvlText w:val="%3."/>
      <w:lvlJc w:val="right"/>
      <w:pPr>
        <w:ind w:left="2727" w:hanging="180"/>
      </w:pPr>
    </w:lvl>
    <w:lvl w:ilvl="3" w:tplc="040E000F" w:tentative="1">
      <w:start w:val="1"/>
      <w:numFmt w:val="decimal"/>
      <w:lvlText w:val="%4."/>
      <w:lvlJc w:val="left"/>
      <w:pPr>
        <w:ind w:left="3447" w:hanging="360"/>
      </w:pPr>
    </w:lvl>
    <w:lvl w:ilvl="4" w:tplc="040E0019" w:tentative="1">
      <w:start w:val="1"/>
      <w:numFmt w:val="lowerLetter"/>
      <w:lvlText w:val="%5."/>
      <w:lvlJc w:val="left"/>
      <w:pPr>
        <w:ind w:left="4167" w:hanging="360"/>
      </w:pPr>
    </w:lvl>
    <w:lvl w:ilvl="5" w:tplc="040E001B" w:tentative="1">
      <w:start w:val="1"/>
      <w:numFmt w:val="lowerRoman"/>
      <w:lvlText w:val="%6."/>
      <w:lvlJc w:val="right"/>
      <w:pPr>
        <w:ind w:left="4887" w:hanging="180"/>
      </w:pPr>
    </w:lvl>
    <w:lvl w:ilvl="6" w:tplc="040E000F" w:tentative="1">
      <w:start w:val="1"/>
      <w:numFmt w:val="decimal"/>
      <w:lvlText w:val="%7."/>
      <w:lvlJc w:val="left"/>
      <w:pPr>
        <w:ind w:left="5607" w:hanging="360"/>
      </w:pPr>
    </w:lvl>
    <w:lvl w:ilvl="7" w:tplc="040E0019" w:tentative="1">
      <w:start w:val="1"/>
      <w:numFmt w:val="lowerLetter"/>
      <w:lvlText w:val="%8."/>
      <w:lvlJc w:val="left"/>
      <w:pPr>
        <w:ind w:left="6327" w:hanging="360"/>
      </w:pPr>
    </w:lvl>
    <w:lvl w:ilvl="8" w:tplc="040E001B" w:tentative="1">
      <w:start w:val="1"/>
      <w:numFmt w:val="lowerRoman"/>
      <w:lvlText w:val="%9."/>
      <w:lvlJc w:val="right"/>
      <w:pPr>
        <w:ind w:left="7047" w:hanging="180"/>
      </w:pPr>
    </w:lvl>
  </w:abstractNum>
  <w:abstractNum w:abstractNumId="172" w15:restartNumberingAfterBreak="0">
    <w:nsid w:val="19F87F11"/>
    <w:multiLevelType w:val="multilevel"/>
    <w:tmpl w:val="F1144C2E"/>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3."/>
      <w:lvlJc w:val="left"/>
      <w:pPr>
        <w:tabs>
          <w:tab w:val="num" w:pos="1571"/>
        </w:tabs>
        <w:ind w:left="1355"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73" w15:restartNumberingAfterBreak="0">
    <w:nsid w:val="19FC1DE5"/>
    <w:multiLevelType w:val="hybridMultilevel"/>
    <w:tmpl w:val="3D540C66"/>
    <w:lvl w:ilvl="0" w:tplc="D5EC8094">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4" w15:restartNumberingAfterBreak="0">
    <w:nsid w:val="1A015C94"/>
    <w:multiLevelType w:val="hybridMultilevel"/>
    <w:tmpl w:val="AF3E8754"/>
    <w:lvl w:ilvl="0" w:tplc="54E679E2">
      <w:start w:val="1"/>
      <w:numFmt w:val="decimal"/>
      <w:lvlText w:val="%1."/>
      <w:lvlJc w:val="left"/>
      <w:pPr>
        <w:ind w:left="108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75" w15:restartNumberingAfterBreak="0">
    <w:nsid w:val="1A6E12DF"/>
    <w:multiLevelType w:val="hybridMultilevel"/>
    <w:tmpl w:val="B9B035F0"/>
    <w:lvl w:ilvl="0" w:tplc="92E6FE48">
      <w:start w:val="1"/>
      <w:numFmt w:val="decimal"/>
      <w:lvlText w:val="%1."/>
      <w:lvlJc w:val="left"/>
      <w:pPr>
        <w:ind w:left="786" w:hanging="360"/>
      </w:pPr>
      <w:rPr>
        <w:rFonts w:hint="default"/>
      </w:rPr>
    </w:lvl>
    <w:lvl w:ilvl="1" w:tplc="040E0019" w:tentative="1">
      <w:start w:val="1"/>
      <w:numFmt w:val="lowerLetter"/>
      <w:lvlText w:val="%2."/>
      <w:lvlJc w:val="left"/>
      <w:pPr>
        <w:ind w:left="1506" w:hanging="360"/>
      </w:pPr>
    </w:lvl>
    <w:lvl w:ilvl="2" w:tplc="040E001B" w:tentative="1">
      <w:start w:val="1"/>
      <w:numFmt w:val="lowerRoman"/>
      <w:lvlText w:val="%3."/>
      <w:lvlJc w:val="right"/>
      <w:pPr>
        <w:ind w:left="2226" w:hanging="180"/>
      </w:pPr>
    </w:lvl>
    <w:lvl w:ilvl="3" w:tplc="040E000F" w:tentative="1">
      <w:start w:val="1"/>
      <w:numFmt w:val="decimal"/>
      <w:lvlText w:val="%4."/>
      <w:lvlJc w:val="left"/>
      <w:pPr>
        <w:ind w:left="2946" w:hanging="360"/>
      </w:pPr>
    </w:lvl>
    <w:lvl w:ilvl="4" w:tplc="040E0019" w:tentative="1">
      <w:start w:val="1"/>
      <w:numFmt w:val="lowerLetter"/>
      <w:lvlText w:val="%5."/>
      <w:lvlJc w:val="left"/>
      <w:pPr>
        <w:ind w:left="3666" w:hanging="360"/>
      </w:pPr>
    </w:lvl>
    <w:lvl w:ilvl="5" w:tplc="040E001B" w:tentative="1">
      <w:start w:val="1"/>
      <w:numFmt w:val="lowerRoman"/>
      <w:lvlText w:val="%6."/>
      <w:lvlJc w:val="right"/>
      <w:pPr>
        <w:ind w:left="4386" w:hanging="180"/>
      </w:pPr>
    </w:lvl>
    <w:lvl w:ilvl="6" w:tplc="040E000F" w:tentative="1">
      <w:start w:val="1"/>
      <w:numFmt w:val="decimal"/>
      <w:lvlText w:val="%7."/>
      <w:lvlJc w:val="left"/>
      <w:pPr>
        <w:ind w:left="5106" w:hanging="360"/>
      </w:pPr>
    </w:lvl>
    <w:lvl w:ilvl="7" w:tplc="040E0019" w:tentative="1">
      <w:start w:val="1"/>
      <w:numFmt w:val="lowerLetter"/>
      <w:lvlText w:val="%8."/>
      <w:lvlJc w:val="left"/>
      <w:pPr>
        <w:ind w:left="5826" w:hanging="360"/>
      </w:pPr>
    </w:lvl>
    <w:lvl w:ilvl="8" w:tplc="040E001B" w:tentative="1">
      <w:start w:val="1"/>
      <w:numFmt w:val="lowerRoman"/>
      <w:lvlText w:val="%9."/>
      <w:lvlJc w:val="right"/>
      <w:pPr>
        <w:ind w:left="6546" w:hanging="180"/>
      </w:pPr>
    </w:lvl>
  </w:abstractNum>
  <w:abstractNum w:abstractNumId="176" w15:restartNumberingAfterBreak="0">
    <w:nsid w:val="1ACC3AB0"/>
    <w:multiLevelType w:val="hybridMultilevel"/>
    <w:tmpl w:val="75D8423C"/>
    <w:lvl w:ilvl="0" w:tplc="F29CF34C">
      <w:start w:val="1"/>
      <w:numFmt w:val="bullet"/>
      <w:lvlText w:val=""/>
      <w:lvlJc w:val="left"/>
      <w:pPr>
        <w:ind w:left="1146" w:hanging="360"/>
      </w:pPr>
      <w:rPr>
        <w:rFonts w:ascii="Symbol" w:hAnsi="Symbol" w:hint="default"/>
      </w:rPr>
    </w:lvl>
    <w:lvl w:ilvl="1" w:tplc="040E0003">
      <w:start w:val="1"/>
      <w:numFmt w:val="bullet"/>
      <w:lvlText w:val="o"/>
      <w:lvlJc w:val="left"/>
      <w:pPr>
        <w:ind w:left="1866" w:hanging="360"/>
      </w:pPr>
      <w:rPr>
        <w:rFonts w:ascii="Courier New" w:hAnsi="Courier New" w:cs="Courier New" w:hint="default"/>
      </w:rPr>
    </w:lvl>
    <w:lvl w:ilvl="2" w:tplc="040E0005">
      <w:start w:val="1"/>
      <w:numFmt w:val="bullet"/>
      <w:lvlText w:val=""/>
      <w:lvlJc w:val="left"/>
      <w:pPr>
        <w:ind w:left="2586" w:hanging="360"/>
      </w:pPr>
      <w:rPr>
        <w:rFonts w:ascii="Wingdings" w:hAnsi="Wingdings" w:hint="default"/>
      </w:rPr>
    </w:lvl>
    <w:lvl w:ilvl="3" w:tplc="040E0001">
      <w:start w:val="1"/>
      <w:numFmt w:val="bullet"/>
      <w:lvlText w:val=""/>
      <w:lvlJc w:val="left"/>
      <w:pPr>
        <w:ind w:left="3306" w:hanging="360"/>
      </w:pPr>
      <w:rPr>
        <w:rFonts w:ascii="Symbol" w:hAnsi="Symbol" w:hint="default"/>
      </w:rPr>
    </w:lvl>
    <w:lvl w:ilvl="4" w:tplc="040E0003">
      <w:start w:val="1"/>
      <w:numFmt w:val="bullet"/>
      <w:lvlText w:val="o"/>
      <w:lvlJc w:val="left"/>
      <w:pPr>
        <w:ind w:left="4026" w:hanging="360"/>
      </w:pPr>
      <w:rPr>
        <w:rFonts w:ascii="Courier New" w:hAnsi="Courier New" w:cs="Courier New" w:hint="default"/>
      </w:rPr>
    </w:lvl>
    <w:lvl w:ilvl="5" w:tplc="040E0005">
      <w:start w:val="1"/>
      <w:numFmt w:val="bullet"/>
      <w:lvlText w:val=""/>
      <w:lvlJc w:val="left"/>
      <w:pPr>
        <w:ind w:left="4746" w:hanging="360"/>
      </w:pPr>
      <w:rPr>
        <w:rFonts w:ascii="Wingdings" w:hAnsi="Wingdings" w:hint="default"/>
      </w:rPr>
    </w:lvl>
    <w:lvl w:ilvl="6" w:tplc="040E0001">
      <w:start w:val="1"/>
      <w:numFmt w:val="bullet"/>
      <w:lvlText w:val=""/>
      <w:lvlJc w:val="left"/>
      <w:pPr>
        <w:ind w:left="5466" w:hanging="360"/>
      </w:pPr>
      <w:rPr>
        <w:rFonts w:ascii="Symbol" w:hAnsi="Symbol" w:hint="default"/>
      </w:rPr>
    </w:lvl>
    <w:lvl w:ilvl="7" w:tplc="040E0003">
      <w:start w:val="1"/>
      <w:numFmt w:val="bullet"/>
      <w:lvlText w:val="o"/>
      <w:lvlJc w:val="left"/>
      <w:pPr>
        <w:ind w:left="6186" w:hanging="360"/>
      </w:pPr>
      <w:rPr>
        <w:rFonts w:ascii="Courier New" w:hAnsi="Courier New" w:cs="Courier New" w:hint="default"/>
      </w:rPr>
    </w:lvl>
    <w:lvl w:ilvl="8" w:tplc="040E0005">
      <w:start w:val="1"/>
      <w:numFmt w:val="bullet"/>
      <w:lvlText w:val=""/>
      <w:lvlJc w:val="left"/>
      <w:pPr>
        <w:ind w:left="6906" w:hanging="360"/>
      </w:pPr>
      <w:rPr>
        <w:rFonts w:ascii="Wingdings" w:hAnsi="Wingdings" w:hint="default"/>
      </w:rPr>
    </w:lvl>
  </w:abstractNum>
  <w:abstractNum w:abstractNumId="177" w15:restartNumberingAfterBreak="0">
    <w:nsid w:val="1ACE15CF"/>
    <w:multiLevelType w:val="hybridMultilevel"/>
    <w:tmpl w:val="CB4A7310"/>
    <w:lvl w:ilvl="0" w:tplc="946A2DD8">
      <w:start w:val="1"/>
      <w:numFmt w:val="decimal"/>
      <w:lvlText w:val="%1."/>
      <w:lvlJc w:val="left"/>
      <w:pPr>
        <w:ind w:left="1068" w:hanging="360"/>
      </w:pPr>
      <w:rPr>
        <w:rFonts w:eastAsiaTheme="minorHAnsi" w:hint="default"/>
      </w:rPr>
    </w:lvl>
    <w:lvl w:ilvl="1" w:tplc="040E0019" w:tentative="1">
      <w:start w:val="1"/>
      <w:numFmt w:val="lowerLetter"/>
      <w:lvlText w:val="%2."/>
      <w:lvlJc w:val="left"/>
      <w:pPr>
        <w:ind w:left="1864" w:hanging="360"/>
      </w:pPr>
    </w:lvl>
    <w:lvl w:ilvl="2" w:tplc="040E001B" w:tentative="1">
      <w:start w:val="1"/>
      <w:numFmt w:val="lowerRoman"/>
      <w:lvlText w:val="%3."/>
      <w:lvlJc w:val="right"/>
      <w:pPr>
        <w:ind w:left="2584" w:hanging="180"/>
      </w:pPr>
    </w:lvl>
    <w:lvl w:ilvl="3" w:tplc="040E000F" w:tentative="1">
      <w:start w:val="1"/>
      <w:numFmt w:val="decimal"/>
      <w:lvlText w:val="%4."/>
      <w:lvlJc w:val="left"/>
      <w:pPr>
        <w:ind w:left="3304" w:hanging="360"/>
      </w:pPr>
    </w:lvl>
    <w:lvl w:ilvl="4" w:tplc="040E0019" w:tentative="1">
      <w:start w:val="1"/>
      <w:numFmt w:val="lowerLetter"/>
      <w:lvlText w:val="%5."/>
      <w:lvlJc w:val="left"/>
      <w:pPr>
        <w:ind w:left="4024" w:hanging="360"/>
      </w:pPr>
    </w:lvl>
    <w:lvl w:ilvl="5" w:tplc="040E001B" w:tentative="1">
      <w:start w:val="1"/>
      <w:numFmt w:val="lowerRoman"/>
      <w:lvlText w:val="%6."/>
      <w:lvlJc w:val="right"/>
      <w:pPr>
        <w:ind w:left="4744" w:hanging="180"/>
      </w:pPr>
    </w:lvl>
    <w:lvl w:ilvl="6" w:tplc="040E000F" w:tentative="1">
      <w:start w:val="1"/>
      <w:numFmt w:val="decimal"/>
      <w:lvlText w:val="%7."/>
      <w:lvlJc w:val="left"/>
      <w:pPr>
        <w:ind w:left="5464" w:hanging="360"/>
      </w:pPr>
    </w:lvl>
    <w:lvl w:ilvl="7" w:tplc="040E0019" w:tentative="1">
      <w:start w:val="1"/>
      <w:numFmt w:val="lowerLetter"/>
      <w:lvlText w:val="%8."/>
      <w:lvlJc w:val="left"/>
      <w:pPr>
        <w:ind w:left="6184" w:hanging="360"/>
      </w:pPr>
    </w:lvl>
    <w:lvl w:ilvl="8" w:tplc="040E001B" w:tentative="1">
      <w:start w:val="1"/>
      <w:numFmt w:val="lowerRoman"/>
      <w:lvlText w:val="%9."/>
      <w:lvlJc w:val="right"/>
      <w:pPr>
        <w:ind w:left="6904" w:hanging="180"/>
      </w:pPr>
    </w:lvl>
  </w:abstractNum>
  <w:abstractNum w:abstractNumId="178" w15:restartNumberingAfterBreak="0">
    <w:nsid w:val="1B0D0895"/>
    <w:multiLevelType w:val="multilevel"/>
    <w:tmpl w:val="5B80AAA6"/>
    <w:lvl w:ilvl="0">
      <w:start w:val="10"/>
      <w:numFmt w:val="decimal"/>
      <w:lvlText w:val="%1."/>
      <w:lvlJc w:val="left"/>
      <w:pPr>
        <w:tabs>
          <w:tab w:val="num" w:pos="360"/>
        </w:tabs>
        <w:ind w:left="360" w:hanging="360"/>
      </w:pPr>
      <w:rPr>
        <w:rFonts w:cs="Times New Roman" w:hint="default"/>
        <w:b/>
        <w:i w:val="0"/>
        <w:sz w:val="24"/>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79" w15:restartNumberingAfterBreak="0">
    <w:nsid w:val="1B1C340E"/>
    <w:multiLevelType w:val="hybridMultilevel"/>
    <w:tmpl w:val="6744F494"/>
    <w:lvl w:ilvl="0" w:tplc="1DE063F6">
      <w:start w:val="1"/>
      <w:numFmt w:val="decimal"/>
      <w:lvlText w:val="%1."/>
      <w:lvlJc w:val="left"/>
      <w:pPr>
        <w:ind w:left="108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0" w15:restartNumberingAfterBreak="0">
    <w:nsid w:val="1B1F28CC"/>
    <w:multiLevelType w:val="hybridMultilevel"/>
    <w:tmpl w:val="C42AF484"/>
    <w:lvl w:ilvl="0" w:tplc="F90AA5CA">
      <w:numFmt w:val="bullet"/>
      <w:lvlText w:val="-"/>
      <w:lvlJc w:val="left"/>
      <w:pPr>
        <w:ind w:left="1145" w:hanging="360"/>
      </w:pPr>
      <w:rPr>
        <w:rFonts w:ascii="Times New Roman" w:eastAsia="Times New Roman" w:hAnsi="Times New Roman"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181" w15:restartNumberingAfterBreak="0">
    <w:nsid w:val="1B3B601E"/>
    <w:multiLevelType w:val="multilevel"/>
    <w:tmpl w:val="EF3C80D0"/>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82" w15:restartNumberingAfterBreak="0">
    <w:nsid w:val="1B442A4B"/>
    <w:multiLevelType w:val="multilevel"/>
    <w:tmpl w:val="124A19CC"/>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4"/>
        <w:szCs w:val="24"/>
        <w:u w:val="none"/>
        <w:effect w:val="none"/>
        <w:vertAlign w:val="baseline"/>
      </w:rPr>
    </w:lvl>
    <w:lvl w:ilvl="1">
      <w:start w:val="1"/>
      <w:numFmt w:val="decimal"/>
      <w:lvlText w:val="%1.%2."/>
      <w:lvlJc w:val="left"/>
      <w:pPr>
        <w:tabs>
          <w:tab w:val="num" w:pos="3977"/>
        </w:tabs>
        <w:ind w:left="3977" w:hanging="432"/>
      </w:pPr>
      <w:rPr>
        <w:rFonts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83" w15:restartNumberingAfterBreak="0">
    <w:nsid w:val="1B640183"/>
    <w:multiLevelType w:val="multilevel"/>
    <w:tmpl w:val="B20855FC"/>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84" w15:restartNumberingAfterBreak="0">
    <w:nsid w:val="1B6B1F24"/>
    <w:multiLevelType w:val="hybridMultilevel"/>
    <w:tmpl w:val="10C805D2"/>
    <w:lvl w:ilvl="0" w:tplc="040E000F">
      <w:start w:val="1"/>
      <w:numFmt w:val="decimal"/>
      <w:lvlText w:val="%1."/>
      <w:lvlJc w:val="left"/>
      <w:pPr>
        <w:tabs>
          <w:tab w:val="num" w:pos="720"/>
        </w:tabs>
        <w:ind w:left="720" w:hanging="360"/>
      </w:pPr>
      <w:rPr>
        <w:sz w:val="24"/>
      </w:rPr>
    </w:lvl>
    <w:lvl w:ilvl="1" w:tplc="040E0019">
      <w:start w:val="1"/>
      <w:numFmt w:val="lowerLetter"/>
      <w:lvlText w:val="%2."/>
      <w:lvlJc w:val="left"/>
      <w:pPr>
        <w:tabs>
          <w:tab w:val="num" w:pos="1440"/>
        </w:tabs>
        <w:ind w:left="1440" w:hanging="360"/>
      </w:pPr>
    </w:lvl>
    <w:lvl w:ilvl="2" w:tplc="040E001B">
      <w:start w:val="1"/>
      <w:numFmt w:val="lowerRoman"/>
      <w:lvlText w:val="%3."/>
      <w:lvlJc w:val="right"/>
      <w:pPr>
        <w:tabs>
          <w:tab w:val="num" w:pos="2160"/>
        </w:tabs>
        <w:ind w:left="2160" w:hanging="180"/>
      </w:pPr>
    </w:lvl>
    <w:lvl w:ilvl="3" w:tplc="040E000F">
      <w:start w:val="1"/>
      <w:numFmt w:val="decimal"/>
      <w:lvlText w:val="%4."/>
      <w:lvlJc w:val="left"/>
      <w:pPr>
        <w:tabs>
          <w:tab w:val="num" w:pos="2880"/>
        </w:tabs>
        <w:ind w:left="2880" w:hanging="360"/>
      </w:pPr>
    </w:lvl>
    <w:lvl w:ilvl="4" w:tplc="040E0019">
      <w:start w:val="1"/>
      <w:numFmt w:val="lowerLetter"/>
      <w:lvlText w:val="%5."/>
      <w:lvlJc w:val="left"/>
      <w:pPr>
        <w:tabs>
          <w:tab w:val="num" w:pos="3600"/>
        </w:tabs>
        <w:ind w:left="3600" w:hanging="360"/>
      </w:pPr>
    </w:lvl>
    <w:lvl w:ilvl="5" w:tplc="040E001B">
      <w:start w:val="1"/>
      <w:numFmt w:val="lowerRoman"/>
      <w:lvlText w:val="%6."/>
      <w:lvlJc w:val="right"/>
      <w:pPr>
        <w:tabs>
          <w:tab w:val="num" w:pos="4320"/>
        </w:tabs>
        <w:ind w:left="4320" w:hanging="180"/>
      </w:pPr>
    </w:lvl>
    <w:lvl w:ilvl="6" w:tplc="040E000F">
      <w:start w:val="1"/>
      <w:numFmt w:val="decimal"/>
      <w:lvlText w:val="%7."/>
      <w:lvlJc w:val="left"/>
      <w:pPr>
        <w:tabs>
          <w:tab w:val="num" w:pos="5040"/>
        </w:tabs>
        <w:ind w:left="5040" w:hanging="360"/>
      </w:pPr>
    </w:lvl>
    <w:lvl w:ilvl="7" w:tplc="040E0019">
      <w:start w:val="1"/>
      <w:numFmt w:val="lowerLetter"/>
      <w:lvlText w:val="%8."/>
      <w:lvlJc w:val="left"/>
      <w:pPr>
        <w:tabs>
          <w:tab w:val="num" w:pos="5760"/>
        </w:tabs>
        <w:ind w:left="5760" w:hanging="360"/>
      </w:pPr>
    </w:lvl>
    <w:lvl w:ilvl="8" w:tplc="040E001B">
      <w:start w:val="1"/>
      <w:numFmt w:val="lowerRoman"/>
      <w:lvlText w:val="%9."/>
      <w:lvlJc w:val="right"/>
      <w:pPr>
        <w:tabs>
          <w:tab w:val="num" w:pos="6480"/>
        </w:tabs>
        <w:ind w:left="6480" w:hanging="180"/>
      </w:pPr>
    </w:lvl>
  </w:abstractNum>
  <w:abstractNum w:abstractNumId="185" w15:restartNumberingAfterBreak="0">
    <w:nsid w:val="1B88562B"/>
    <w:multiLevelType w:val="hybridMultilevel"/>
    <w:tmpl w:val="DF7AD8F2"/>
    <w:lvl w:ilvl="0" w:tplc="F90AA5CA">
      <w:numFmt w:val="bullet"/>
      <w:lvlText w:val="-"/>
      <w:lvlJc w:val="left"/>
      <w:pPr>
        <w:ind w:left="1145" w:hanging="360"/>
      </w:pPr>
      <w:rPr>
        <w:rFonts w:ascii="Times New Roman" w:eastAsia="Times New Roman" w:hAnsi="Times New Roman"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186" w15:restartNumberingAfterBreak="0">
    <w:nsid w:val="1B8E3FCB"/>
    <w:multiLevelType w:val="multilevel"/>
    <w:tmpl w:val="188C0382"/>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87" w15:restartNumberingAfterBreak="0">
    <w:nsid w:val="1B983ECD"/>
    <w:multiLevelType w:val="multilevel"/>
    <w:tmpl w:val="8E9A2DE6"/>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88" w15:restartNumberingAfterBreak="0">
    <w:nsid w:val="1BC3504E"/>
    <w:multiLevelType w:val="multilevel"/>
    <w:tmpl w:val="4F7808D2"/>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89" w15:restartNumberingAfterBreak="0">
    <w:nsid w:val="1BC92DBD"/>
    <w:multiLevelType w:val="hybridMultilevel"/>
    <w:tmpl w:val="AC7A46D8"/>
    <w:lvl w:ilvl="0" w:tplc="FE78F80A">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0" w15:restartNumberingAfterBreak="0">
    <w:nsid w:val="1C466447"/>
    <w:multiLevelType w:val="hybridMultilevel"/>
    <w:tmpl w:val="8BBC4DC0"/>
    <w:lvl w:ilvl="0" w:tplc="AFC0D672">
      <w:start w:val="17"/>
      <w:numFmt w:val="bullet"/>
      <w:lvlText w:val="-"/>
      <w:lvlJc w:val="left"/>
      <w:pPr>
        <w:ind w:left="786" w:hanging="360"/>
      </w:pPr>
      <w:rPr>
        <w:rFonts w:ascii="Times New Roman" w:eastAsia="Times New Roman" w:hAnsi="Times New Roman" w:cs="Times New Roman"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191" w15:restartNumberingAfterBreak="0">
    <w:nsid w:val="1C6D3583"/>
    <w:multiLevelType w:val="hybridMultilevel"/>
    <w:tmpl w:val="3D5A2BAE"/>
    <w:lvl w:ilvl="0" w:tplc="C546A8FC">
      <w:start w:val="1"/>
      <w:numFmt w:val="decimal"/>
      <w:lvlText w:val="%1."/>
      <w:lvlJc w:val="left"/>
      <w:pPr>
        <w:ind w:left="1068" w:hanging="360"/>
      </w:pPr>
      <w:rPr>
        <w:rFonts w:hint="default"/>
        <w:b w:val="0"/>
      </w:rPr>
    </w:lvl>
    <w:lvl w:ilvl="1" w:tplc="040E0019" w:tentative="1">
      <w:start w:val="1"/>
      <w:numFmt w:val="lowerLetter"/>
      <w:lvlText w:val="%2."/>
      <w:lvlJc w:val="left"/>
      <w:pPr>
        <w:ind w:left="872" w:hanging="360"/>
      </w:pPr>
    </w:lvl>
    <w:lvl w:ilvl="2" w:tplc="040E001B" w:tentative="1">
      <w:start w:val="1"/>
      <w:numFmt w:val="lowerRoman"/>
      <w:lvlText w:val="%3."/>
      <w:lvlJc w:val="right"/>
      <w:pPr>
        <w:ind w:left="1592" w:hanging="180"/>
      </w:pPr>
    </w:lvl>
    <w:lvl w:ilvl="3" w:tplc="040E000F" w:tentative="1">
      <w:start w:val="1"/>
      <w:numFmt w:val="decimal"/>
      <w:lvlText w:val="%4."/>
      <w:lvlJc w:val="left"/>
      <w:pPr>
        <w:ind w:left="2312" w:hanging="360"/>
      </w:pPr>
    </w:lvl>
    <w:lvl w:ilvl="4" w:tplc="040E0019" w:tentative="1">
      <w:start w:val="1"/>
      <w:numFmt w:val="lowerLetter"/>
      <w:lvlText w:val="%5."/>
      <w:lvlJc w:val="left"/>
      <w:pPr>
        <w:ind w:left="3032" w:hanging="360"/>
      </w:pPr>
    </w:lvl>
    <w:lvl w:ilvl="5" w:tplc="040E001B" w:tentative="1">
      <w:start w:val="1"/>
      <w:numFmt w:val="lowerRoman"/>
      <w:lvlText w:val="%6."/>
      <w:lvlJc w:val="right"/>
      <w:pPr>
        <w:ind w:left="3752" w:hanging="180"/>
      </w:pPr>
    </w:lvl>
    <w:lvl w:ilvl="6" w:tplc="040E000F" w:tentative="1">
      <w:start w:val="1"/>
      <w:numFmt w:val="decimal"/>
      <w:lvlText w:val="%7."/>
      <w:lvlJc w:val="left"/>
      <w:pPr>
        <w:ind w:left="4472" w:hanging="360"/>
      </w:pPr>
    </w:lvl>
    <w:lvl w:ilvl="7" w:tplc="040E0019" w:tentative="1">
      <w:start w:val="1"/>
      <w:numFmt w:val="lowerLetter"/>
      <w:lvlText w:val="%8."/>
      <w:lvlJc w:val="left"/>
      <w:pPr>
        <w:ind w:left="5192" w:hanging="360"/>
      </w:pPr>
    </w:lvl>
    <w:lvl w:ilvl="8" w:tplc="040E001B" w:tentative="1">
      <w:start w:val="1"/>
      <w:numFmt w:val="lowerRoman"/>
      <w:lvlText w:val="%9."/>
      <w:lvlJc w:val="right"/>
      <w:pPr>
        <w:ind w:left="5912" w:hanging="180"/>
      </w:pPr>
    </w:lvl>
  </w:abstractNum>
  <w:abstractNum w:abstractNumId="192" w15:restartNumberingAfterBreak="0">
    <w:nsid w:val="1C9D7321"/>
    <w:multiLevelType w:val="multilevel"/>
    <w:tmpl w:val="3790F52C"/>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93" w15:restartNumberingAfterBreak="0">
    <w:nsid w:val="1CA653A4"/>
    <w:multiLevelType w:val="hybridMultilevel"/>
    <w:tmpl w:val="F04AFF78"/>
    <w:lvl w:ilvl="0" w:tplc="F29CF34C">
      <w:start w:val="1"/>
      <w:numFmt w:val="bullet"/>
      <w:lvlText w:val=""/>
      <w:lvlJc w:val="left"/>
      <w:pPr>
        <w:ind w:left="1145" w:hanging="360"/>
      </w:pPr>
      <w:rPr>
        <w:rFonts w:ascii="Symbol" w:hAnsi="Symbol" w:hint="default"/>
      </w:rPr>
    </w:lvl>
    <w:lvl w:ilvl="1" w:tplc="040E0003">
      <w:start w:val="1"/>
      <w:numFmt w:val="bullet"/>
      <w:lvlText w:val="o"/>
      <w:lvlJc w:val="left"/>
      <w:pPr>
        <w:ind w:left="1865" w:hanging="360"/>
      </w:pPr>
      <w:rPr>
        <w:rFonts w:ascii="Courier New" w:hAnsi="Courier New" w:cs="Courier New" w:hint="default"/>
      </w:rPr>
    </w:lvl>
    <w:lvl w:ilvl="2" w:tplc="040E0005">
      <w:start w:val="1"/>
      <w:numFmt w:val="bullet"/>
      <w:lvlText w:val=""/>
      <w:lvlJc w:val="left"/>
      <w:pPr>
        <w:ind w:left="2585" w:hanging="360"/>
      </w:pPr>
      <w:rPr>
        <w:rFonts w:ascii="Wingdings" w:hAnsi="Wingdings" w:hint="default"/>
      </w:rPr>
    </w:lvl>
    <w:lvl w:ilvl="3" w:tplc="040E0001">
      <w:start w:val="1"/>
      <w:numFmt w:val="bullet"/>
      <w:lvlText w:val=""/>
      <w:lvlJc w:val="left"/>
      <w:pPr>
        <w:ind w:left="3305" w:hanging="360"/>
      </w:pPr>
      <w:rPr>
        <w:rFonts w:ascii="Symbol" w:hAnsi="Symbol" w:hint="default"/>
      </w:rPr>
    </w:lvl>
    <w:lvl w:ilvl="4" w:tplc="040E0003">
      <w:start w:val="1"/>
      <w:numFmt w:val="bullet"/>
      <w:lvlText w:val="o"/>
      <w:lvlJc w:val="left"/>
      <w:pPr>
        <w:ind w:left="4025" w:hanging="360"/>
      </w:pPr>
      <w:rPr>
        <w:rFonts w:ascii="Courier New" w:hAnsi="Courier New" w:cs="Courier New" w:hint="default"/>
      </w:rPr>
    </w:lvl>
    <w:lvl w:ilvl="5" w:tplc="040E0005">
      <w:start w:val="1"/>
      <w:numFmt w:val="bullet"/>
      <w:lvlText w:val=""/>
      <w:lvlJc w:val="left"/>
      <w:pPr>
        <w:ind w:left="4745" w:hanging="360"/>
      </w:pPr>
      <w:rPr>
        <w:rFonts w:ascii="Wingdings" w:hAnsi="Wingdings" w:hint="default"/>
      </w:rPr>
    </w:lvl>
    <w:lvl w:ilvl="6" w:tplc="040E0001">
      <w:start w:val="1"/>
      <w:numFmt w:val="bullet"/>
      <w:lvlText w:val=""/>
      <w:lvlJc w:val="left"/>
      <w:pPr>
        <w:ind w:left="5465" w:hanging="360"/>
      </w:pPr>
      <w:rPr>
        <w:rFonts w:ascii="Symbol" w:hAnsi="Symbol" w:hint="default"/>
      </w:rPr>
    </w:lvl>
    <w:lvl w:ilvl="7" w:tplc="040E0003">
      <w:start w:val="1"/>
      <w:numFmt w:val="bullet"/>
      <w:lvlText w:val="o"/>
      <w:lvlJc w:val="left"/>
      <w:pPr>
        <w:ind w:left="6185" w:hanging="360"/>
      </w:pPr>
      <w:rPr>
        <w:rFonts w:ascii="Courier New" w:hAnsi="Courier New" w:cs="Courier New" w:hint="default"/>
      </w:rPr>
    </w:lvl>
    <w:lvl w:ilvl="8" w:tplc="040E0005">
      <w:start w:val="1"/>
      <w:numFmt w:val="bullet"/>
      <w:lvlText w:val=""/>
      <w:lvlJc w:val="left"/>
      <w:pPr>
        <w:ind w:left="6905" w:hanging="360"/>
      </w:pPr>
      <w:rPr>
        <w:rFonts w:ascii="Wingdings" w:hAnsi="Wingdings" w:hint="default"/>
      </w:rPr>
    </w:lvl>
  </w:abstractNum>
  <w:abstractNum w:abstractNumId="194" w15:restartNumberingAfterBreak="0">
    <w:nsid w:val="1CAD578E"/>
    <w:multiLevelType w:val="hybridMultilevel"/>
    <w:tmpl w:val="B51A1F7E"/>
    <w:lvl w:ilvl="0" w:tplc="DE60C0C4">
      <w:start w:val="1"/>
      <w:numFmt w:val="decimal"/>
      <w:lvlText w:val="%1."/>
      <w:lvlJc w:val="left"/>
      <w:pPr>
        <w:ind w:left="720" w:hanging="360"/>
      </w:pPr>
      <w:rPr>
        <w:rFonts w:eastAsiaTheme="minorHAnsi"/>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95" w15:restartNumberingAfterBreak="0">
    <w:nsid w:val="1D12711D"/>
    <w:multiLevelType w:val="multilevel"/>
    <w:tmpl w:val="F4808818"/>
    <w:lvl w:ilvl="0">
      <w:start w:val="17"/>
      <w:numFmt w:val="decimal"/>
      <w:lvlText w:val="%1."/>
      <w:lvlJc w:val="left"/>
      <w:pPr>
        <w:tabs>
          <w:tab w:val="num" w:pos="360"/>
        </w:tabs>
        <w:ind w:left="360" w:hanging="360"/>
      </w:pPr>
      <w:rPr>
        <w:rFonts w:cs="Times New Roman"/>
        <w:b/>
        <w:i w:val="0"/>
        <w:sz w:val="24"/>
      </w:rPr>
    </w:lvl>
    <w:lvl w:ilvl="1">
      <w:start w:val="1"/>
      <w:numFmt w:val="decimal"/>
      <w:lvlText w:val="%1.%2."/>
      <w:lvlJc w:val="left"/>
      <w:pPr>
        <w:tabs>
          <w:tab w:val="num" w:pos="792"/>
        </w:tabs>
        <w:ind w:left="792" w:hanging="432"/>
      </w:pPr>
      <w:rPr>
        <w:rFonts w:cs="Times New Roman"/>
        <w:b/>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96" w15:restartNumberingAfterBreak="0">
    <w:nsid w:val="1DBF67CF"/>
    <w:multiLevelType w:val="multilevel"/>
    <w:tmpl w:val="DF622EE2"/>
    <w:lvl w:ilvl="0">
      <w:start w:val="12"/>
      <w:numFmt w:val="decimal"/>
      <w:lvlText w:val="%1."/>
      <w:lvlJc w:val="left"/>
      <w:pPr>
        <w:ind w:left="600" w:hanging="600"/>
      </w:pPr>
      <w:rPr>
        <w:rFonts w:ascii="Times New Roman" w:hAnsi="Times New Roman" w:cs="Times New Roman" w:hint="default"/>
        <w:b/>
        <w:sz w:val="24"/>
        <w:szCs w:val="24"/>
      </w:rPr>
    </w:lvl>
    <w:lvl w:ilvl="1">
      <w:start w:val="11"/>
      <w:numFmt w:val="decimalZero"/>
      <w:lvlText w:val="%1.%2."/>
      <w:lvlJc w:val="left"/>
      <w:pPr>
        <w:ind w:left="1592" w:hanging="600"/>
      </w:pPr>
      <w:rPr>
        <w:rFonts w:ascii="CG Times (W1)" w:hAnsi="CG Times (W1)" w:hint="default"/>
        <w:b/>
        <w:sz w:val="22"/>
        <w:szCs w:val="22"/>
      </w:rPr>
    </w:lvl>
    <w:lvl w:ilvl="2">
      <w:start w:val="1"/>
      <w:numFmt w:val="decimal"/>
      <w:lvlText w:val="%1.%2.%3."/>
      <w:lvlJc w:val="left"/>
      <w:pPr>
        <w:ind w:left="2772" w:hanging="720"/>
      </w:pPr>
      <w:rPr>
        <w:rFonts w:ascii="CG Times (W1)" w:hAnsi="CG Times (W1)" w:hint="default"/>
        <w:b w:val="0"/>
      </w:rPr>
    </w:lvl>
    <w:lvl w:ilvl="3">
      <w:start w:val="1"/>
      <w:numFmt w:val="decimal"/>
      <w:lvlText w:val="%1.%2.%3.%4."/>
      <w:lvlJc w:val="left"/>
      <w:pPr>
        <w:ind w:left="3798" w:hanging="720"/>
      </w:pPr>
      <w:rPr>
        <w:rFonts w:ascii="CG Times (W1)" w:hAnsi="CG Times (W1)" w:hint="default"/>
        <w:b w:val="0"/>
      </w:rPr>
    </w:lvl>
    <w:lvl w:ilvl="4">
      <w:start w:val="1"/>
      <w:numFmt w:val="decimal"/>
      <w:lvlText w:val="%1.%2.%3.%4.%5."/>
      <w:lvlJc w:val="left"/>
      <w:pPr>
        <w:ind w:left="5184" w:hanging="1080"/>
      </w:pPr>
      <w:rPr>
        <w:rFonts w:ascii="CG Times (W1)" w:hAnsi="CG Times (W1)" w:hint="default"/>
        <w:b w:val="0"/>
      </w:rPr>
    </w:lvl>
    <w:lvl w:ilvl="5">
      <w:start w:val="1"/>
      <w:numFmt w:val="decimal"/>
      <w:lvlText w:val="%1.%2.%3.%4.%5.%6."/>
      <w:lvlJc w:val="left"/>
      <w:pPr>
        <w:ind w:left="6210" w:hanging="1080"/>
      </w:pPr>
      <w:rPr>
        <w:rFonts w:ascii="CG Times (W1)" w:hAnsi="CG Times (W1)" w:hint="default"/>
        <w:b w:val="0"/>
      </w:rPr>
    </w:lvl>
    <w:lvl w:ilvl="6">
      <w:start w:val="1"/>
      <w:numFmt w:val="decimal"/>
      <w:lvlText w:val="%1.%2.%3.%4.%5.%6.%7."/>
      <w:lvlJc w:val="left"/>
      <w:pPr>
        <w:ind w:left="7596" w:hanging="1440"/>
      </w:pPr>
      <w:rPr>
        <w:rFonts w:ascii="CG Times (W1)" w:hAnsi="CG Times (W1)" w:hint="default"/>
        <w:b w:val="0"/>
      </w:rPr>
    </w:lvl>
    <w:lvl w:ilvl="7">
      <w:start w:val="1"/>
      <w:numFmt w:val="decimal"/>
      <w:lvlText w:val="%1.%2.%3.%4.%5.%6.%7.%8."/>
      <w:lvlJc w:val="left"/>
      <w:pPr>
        <w:ind w:left="8622" w:hanging="1440"/>
      </w:pPr>
      <w:rPr>
        <w:rFonts w:ascii="CG Times (W1)" w:hAnsi="CG Times (W1)" w:hint="default"/>
        <w:b w:val="0"/>
      </w:rPr>
    </w:lvl>
    <w:lvl w:ilvl="8">
      <w:start w:val="1"/>
      <w:numFmt w:val="decimal"/>
      <w:lvlText w:val="%1.%2.%3.%4.%5.%6.%7.%8.%9."/>
      <w:lvlJc w:val="left"/>
      <w:pPr>
        <w:ind w:left="10008" w:hanging="1800"/>
      </w:pPr>
      <w:rPr>
        <w:rFonts w:ascii="CG Times (W1)" w:hAnsi="CG Times (W1)" w:hint="default"/>
        <w:b w:val="0"/>
      </w:rPr>
    </w:lvl>
  </w:abstractNum>
  <w:abstractNum w:abstractNumId="197" w15:restartNumberingAfterBreak="0">
    <w:nsid w:val="1DD22812"/>
    <w:multiLevelType w:val="hybridMultilevel"/>
    <w:tmpl w:val="EBEEB20A"/>
    <w:lvl w:ilvl="0" w:tplc="F90AA5CA">
      <w:numFmt w:val="bullet"/>
      <w:lvlText w:val="-"/>
      <w:lvlJc w:val="left"/>
      <w:pPr>
        <w:ind w:left="1146" w:hanging="360"/>
      </w:pPr>
      <w:rPr>
        <w:rFonts w:ascii="Times New Roman" w:eastAsia="Times New Roman" w:hAnsi="Times New Roman"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198" w15:restartNumberingAfterBreak="0">
    <w:nsid w:val="1DE35080"/>
    <w:multiLevelType w:val="multilevel"/>
    <w:tmpl w:val="E662DB64"/>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4"/>
        <w:szCs w:val="24"/>
        <w:u w:val="none"/>
        <w:effect w:val="none"/>
        <w:vertAlign w:val="baseline"/>
      </w:rPr>
    </w:lvl>
    <w:lvl w:ilvl="1">
      <w:start w:val="1"/>
      <w:numFmt w:val="decimal"/>
      <w:lvlText w:val="%1.%2."/>
      <w:lvlJc w:val="left"/>
      <w:pPr>
        <w:tabs>
          <w:tab w:val="num" w:pos="3977"/>
        </w:tabs>
        <w:ind w:left="3977" w:hanging="432"/>
      </w:pPr>
      <w:rPr>
        <w:rFonts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99" w15:restartNumberingAfterBreak="0">
    <w:nsid w:val="1DE4617E"/>
    <w:multiLevelType w:val="hybridMultilevel"/>
    <w:tmpl w:val="C270F35A"/>
    <w:lvl w:ilvl="0" w:tplc="F90AA5CA">
      <w:numFmt w:val="bullet"/>
      <w:lvlText w:val="-"/>
      <w:lvlJc w:val="left"/>
      <w:pPr>
        <w:ind w:left="1145" w:hanging="360"/>
      </w:pPr>
      <w:rPr>
        <w:rFonts w:ascii="Times New Roman" w:eastAsia="Times New Roman" w:hAnsi="Times New Roman"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200" w15:restartNumberingAfterBreak="0">
    <w:nsid w:val="1E513E63"/>
    <w:multiLevelType w:val="multilevel"/>
    <w:tmpl w:val="A3C421C6"/>
    <w:lvl w:ilvl="0">
      <w:start w:val="1"/>
      <w:numFmt w:val="decimal"/>
      <w:lvlText w:val="%1."/>
      <w:lvlJc w:val="left"/>
      <w:pPr>
        <w:tabs>
          <w:tab w:val="num" w:pos="360"/>
        </w:tabs>
        <w:ind w:left="360" w:hanging="360"/>
      </w:pPr>
      <w:rPr>
        <w:rFonts w:cs="Times New Roman"/>
        <w:b w:val="0"/>
        <w:i w:val="0"/>
        <w:sz w:val="24"/>
      </w:rPr>
    </w:lvl>
    <w:lvl w:ilvl="1">
      <w:start w:val="1"/>
      <w:numFmt w:val="decimal"/>
      <w:lvlText w:val="%1.%2."/>
      <w:lvlJc w:val="left"/>
      <w:pPr>
        <w:tabs>
          <w:tab w:val="num" w:pos="792"/>
        </w:tabs>
        <w:ind w:left="792" w:hanging="432"/>
      </w:pPr>
      <w:rPr>
        <w:rFonts w:cs="Times New Roman"/>
        <w:b/>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01" w15:restartNumberingAfterBreak="0">
    <w:nsid w:val="1EE61821"/>
    <w:multiLevelType w:val="hybridMultilevel"/>
    <w:tmpl w:val="D756B81C"/>
    <w:lvl w:ilvl="0" w:tplc="EB26BB34">
      <w:start w:val="1"/>
      <w:numFmt w:val="decimal"/>
      <w:lvlText w:val="%1."/>
      <w:lvlJc w:val="left"/>
      <w:pPr>
        <w:ind w:left="720" w:hanging="360"/>
      </w:pPr>
      <w:rPr>
        <w:rFonts w:eastAsiaTheme="minorHAnsi"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2" w15:restartNumberingAfterBreak="0">
    <w:nsid w:val="1F05424D"/>
    <w:multiLevelType w:val="multilevel"/>
    <w:tmpl w:val="6A06F658"/>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03" w15:restartNumberingAfterBreak="0">
    <w:nsid w:val="1F3C75FF"/>
    <w:multiLevelType w:val="hybridMultilevel"/>
    <w:tmpl w:val="ED461AFC"/>
    <w:lvl w:ilvl="0" w:tplc="12C20612">
      <w:start w:val="1"/>
      <w:numFmt w:val="decimal"/>
      <w:lvlText w:val="%1."/>
      <w:lvlJc w:val="left"/>
      <w:pPr>
        <w:ind w:left="644" w:hanging="360"/>
      </w:pPr>
      <w:rPr>
        <w:rFonts w:eastAsiaTheme="minorHAnsi"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4" w15:restartNumberingAfterBreak="0">
    <w:nsid w:val="1F69336A"/>
    <w:multiLevelType w:val="multilevel"/>
    <w:tmpl w:val="B8CE5608"/>
    <w:lvl w:ilvl="0">
      <w:start w:val="12"/>
      <w:numFmt w:val="decimal"/>
      <w:lvlText w:val="%1."/>
      <w:lvlJc w:val="left"/>
      <w:pPr>
        <w:tabs>
          <w:tab w:val="num" w:pos="360"/>
        </w:tabs>
        <w:ind w:left="360" w:hanging="360"/>
      </w:pPr>
      <w:rPr>
        <w:rFonts w:cs="Times New Roman"/>
        <w:b/>
        <w:i w:val="0"/>
        <w:sz w:val="24"/>
      </w:rPr>
    </w:lvl>
    <w:lvl w:ilvl="1">
      <w:start w:val="1"/>
      <w:numFmt w:val="decimal"/>
      <w:lvlText w:val="%1.%2."/>
      <w:lvlJc w:val="left"/>
      <w:pPr>
        <w:tabs>
          <w:tab w:val="num" w:pos="792"/>
        </w:tabs>
        <w:ind w:left="792" w:hanging="432"/>
      </w:pPr>
      <w:rPr>
        <w:rFonts w:cs="Times New Roman"/>
        <w:b/>
        <w:i w:val="0"/>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05" w15:restartNumberingAfterBreak="0">
    <w:nsid w:val="1F75706B"/>
    <w:multiLevelType w:val="multilevel"/>
    <w:tmpl w:val="EFA0585E"/>
    <w:lvl w:ilvl="0">
      <w:start w:val="8"/>
      <w:numFmt w:val="decimal"/>
      <w:lvlText w:val="%1."/>
      <w:lvlJc w:val="left"/>
      <w:pPr>
        <w:ind w:left="540" w:hanging="540"/>
      </w:pPr>
      <w:rPr>
        <w:rFonts w:hint="default"/>
      </w:rPr>
    </w:lvl>
    <w:lvl w:ilvl="1">
      <w:start w:val="1"/>
      <w:numFmt w:val="decimal"/>
      <w:lvlText w:val="%1.%2."/>
      <w:lvlJc w:val="left"/>
      <w:pPr>
        <w:ind w:left="965" w:hanging="54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206" w15:restartNumberingAfterBreak="0">
    <w:nsid w:val="1F8D0DCE"/>
    <w:multiLevelType w:val="hybridMultilevel"/>
    <w:tmpl w:val="6F1E474A"/>
    <w:lvl w:ilvl="0" w:tplc="1C66B438">
      <w:start w:val="1"/>
      <w:numFmt w:val="decimal"/>
      <w:lvlText w:val="%1."/>
      <w:lvlJc w:val="left"/>
      <w:pPr>
        <w:ind w:left="108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7" w15:restartNumberingAfterBreak="0">
    <w:nsid w:val="1F9675C1"/>
    <w:multiLevelType w:val="multilevel"/>
    <w:tmpl w:val="3D204562"/>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08" w15:restartNumberingAfterBreak="0">
    <w:nsid w:val="1F9853DE"/>
    <w:multiLevelType w:val="multilevel"/>
    <w:tmpl w:val="CA943E94"/>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09" w15:restartNumberingAfterBreak="0">
    <w:nsid w:val="1FCA48DE"/>
    <w:multiLevelType w:val="hybridMultilevel"/>
    <w:tmpl w:val="70700C22"/>
    <w:lvl w:ilvl="0" w:tplc="F90AA5CA">
      <w:numFmt w:val="bullet"/>
      <w:lvlText w:val="-"/>
      <w:lvlJc w:val="left"/>
      <w:pPr>
        <w:ind w:left="1145" w:hanging="360"/>
      </w:pPr>
      <w:rPr>
        <w:rFonts w:ascii="Times New Roman" w:eastAsia="Times New Roman" w:hAnsi="Times New Roman"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210" w15:restartNumberingAfterBreak="0">
    <w:nsid w:val="1FD554E0"/>
    <w:multiLevelType w:val="hybridMultilevel"/>
    <w:tmpl w:val="958A6F94"/>
    <w:lvl w:ilvl="0" w:tplc="07209AB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1" w15:restartNumberingAfterBreak="0">
    <w:nsid w:val="1FED71C7"/>
    <w:multiLevelType w:val="multilevel"/>
    <w:tmpl w:val="49047C04"/>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4"/>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12" w15:restartNumberingAfterBreak="0">
    <w:nsid w:val="1FED7AA1"/>
    <w:multiLevelType w:val="multilevel"/>
    <w:tmpl w:val="9A5662A8"/>
    <w:lvl w:ilvl="0">
      <w:start w:val="1"/>
      <w:numFmt w:val="decimal"/>
      <w:lvlText w:val="%1."/>
      <w:lvlJc w:val="right"/>
      <w:pPr>
        <w:tabs>
          <w:tab w:val="num" w:pos="720"/>
        </w:tabs>
        <w:ind w:left="720" w:hanging="360"/>
      </w:pPr>
      <w:rPr>
        <w:rFonts w:ascii="Times New Roman" w:hAnsi="Times New Roman" w:cs="Times New Roman" w:hint="default"/>
        <w:b w:val="0"/>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13" w15:restartNumberingAfterBreak="0">
    <w:nsid w:val="1FFD760A"/>
    <w:multiLevelType w:val="multilevel"/>
    <w:tmpl w:val="FB9E8484"/>
    <w:lvl w:ilvl="0">
      <w:start w:val="1"/>
      <w:numFmt w:val="decimal"/>
      <w:lvlText w:val="%1."/>
      <w:lvlJc w:val="left"/>
      <w:pPr>
        <w:tabs>
          <w:tab w:val="num" w:pos="360"/>
        </w:tabs>
        <w:ind w:left="360" w:hanging="360"/>
      </w:pPr>
      <w:rPr>
        <w:rFonts w:cs="Times New Roman" w:hint="default"/>
        <w:b/>
        <w:i w:val="0"/>
        <w:sz w:val="22"/>
      </w:rPr>
    </w:lvl>
    <w:lvl w:ilvl="1">
      <w:start w:val="1"/>
      <w:numFmt w:val="decimal"/>
      <w:lvlText w:val="%1.%2."/>
      <w:lvlJc w:val="left"/>
      <w:pPr>
        <w:tabs>
          <w:tab w:val="num" w:pos="792"/>
        </w:tabs>
        <w:ind w:left="792" w:hanging="432"/>
      </w:pPr>
      <w:rPr>
        <w:rFonts w:cs="Times New Roman"/>
        <w:b/>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14" w15:restartNumberingAfterBreak="0">
    <w:nsid w:val="20366ABD"/>
    <w:multiLevelType w:val="hybridMultilevel"/>
    <w:tmpl w:val="1A14EE86"/>
    <w:lvl w:ilvl="0" w:tplc="EDFC6FEC">
      <w:numFmt w:val="bullet"/>
      <w:lvlText w:val="-"/>
      <w:lvlJc w:val="left"/>
      <w:pPr>
        <w:ind w:left="786" w:hanging="360"/>
      </w:pPr>
      <w:rPr>
        <w:rFonts w:ascii="Times New Roman" w:eastAsia="Times New Roman" w:hAnsi="Times New Roman" w:cs="Times New Roman" w:hint="default"/>
      </w:rPr>
    </w:lvl>
    <w:lvl w:ilvl="1" w:tplc="040E0003">
      <w:start w:val="1"/>
      <w:numFmt w:val="bullet"/>
      <w:lvlText w:val="o"/>
      <w:lvlJc w:val="left"/>
      <w:pPr>
        <w:ind w:left="1506" w:hanging="360"/>
      </w:pPr>
      <w:rPr>
        <w:rFonts w:ascii="Courier New" w:hAnsi="Courier New" w:cs="Courier New" w:hint="default"/>
      </w:rPr>
    </w:lvl>
    <w:lvl w:ilvl="2" w:tplc="040E0005">
      <w:start w:val="1"/>
      <w:numFmt w:val="bullet"/>
      <w:lvlText w:val=""/>
      <w:lvlJc w:val="left"/>
      <w:pPr>
        <w:ind w:left="2226" w:hanging="360"/>
      </w:pPr>
      <w:rPr>
        <w:rFonts w:ascii="Wingdings" w:hAnsi="Wingdings" w:hint="default"/>
      </w:rPr>
    </w:lvl>
    <w:lvl w:ilvl="3" w:tplc="040E0001">
      <w:start w:val="1"/>
      <w:numFmt w:val="bullet"/>
      <w:lvlText w:val=""/>
      <w:lvlJc w:val="left"/>
      <w:pPr>
        <w:ind w:left="2946" w:hanging="360"/>
      </w:pPr>
      <w:rPr>
        <w:rFonts w:ascii="Symbol" w:hAnsi="Symbol" w:hint="default"/>
      </w:rPr>
    </w:lvl>
    <w:lvl w:ilvl="4" w:tplc="040E0003">
      <w:start w:val="1"/>
      <w:numFmt w:val="bullet"/>
      <w:lvlText w:val="o"/>
      <w:lvlJc w:val="left"/>
      <w:pPr>
        <w:ind w:left="3666" w:hanging="360"/>
      </w:pPr>
      <w:rPr>
        <w:rFonts w:ascii="Courier New" w:hAnsi="Courier New" w:cs="Courier New" w:hint="default"/>
      </w:rPr>
    </w:lvl>
    <w:lvl w:ilvl="5" w:tplc="040E0005">
      <w:start w:val="1"/>
      <w:numFmt w:val="bullet"/>
      <w:lvlText w:val=""/>
      <w:lvlJc w:val="left"/>
      <w:pPr>
        <w:ind w:left="4386" w:hanging="360"/>
      </w:pPr>
      <w:rPr>
        <w:rFonts w:ascii="Wingdings" w:hAnsi="Wingdings" w:hint="default"/>
      </w:rPr>
    </w:lvl>
    <w:lvl w:ilvl="6" w:tplc="040E0001">
      <w:start w:val="1"/>
      <w:numFmt w:val="bullet"/>
      <w:lvlText w:val=""/>
      <w:lvlJc w:val="left"/>
      <w:pPr>
        <w:ind w:left="5106" w:hanging="360"/>
      </w:pPr>
      <w:rPr>
        <w:rFonts w:ascii="Symbol" w:hAnsi="Symbol" w:hint="default"/>
      </w:rPr>
    </w:lvl>
    <w:lvl w:ilvl="7" w:tplc="040E0003">
      <w:start w:val="1"/>
      <w:numFmt w:val="bullet"/>
      <w:lvlText w:val="o"/>
      <w:lvlJc w:val="left"/>
      <w:pPr>
        <w:ind w:left="5826" w:hanging="360"/>
      </w:pPr>
      <w:rPr>
        <w:rFonts w:ascii="Courier New" w:hAnsi="Courier New" w:cs="Courier New" w:hint="default"/>
      </w:rPr>
    </w:lvl>
    <w:lvl w:ilvl="8" w:tplc="040E0005">
      <w:start w:val="1"/>
      <w:numFmt w:val="bullet"/>
      <w:lvlText w:val=""/>
      <w:lvlJc w:val="left"/>
      <w:pPr>
        <w:ind w:left="6546" w:hanging="360"/>
      </w:pPr>
      <w:rPr>
        <w:rFonts w:ascii="Wingdings" w:hAnsi="Wingdings" w:hint="default"/>
      </w:rPr>
    </w:lvl>
  </w:abstractNum>
  <w:abstractNum w:abstractNumId="215" w15:restartNumberingAfterBreak="0">
    <w:nsid w:val="2038438F"/>
    <w:multiLevelType w:val="hybridMultilevel"/>
    <w:tmpl w:val="162E2EA4"/>
    <w:lvl w:ilvl="0" w:tplc="A8764B6E">
      <w:start w:val="1"/>
      <w:numFmt w:val="decimal"/>
      <w:lvlText w:val="%1."/>
      <w:lvlJc w:val="left"/>
      <w:pPr>
        <w:ind w:left="1512" w:hanging="360"/>
      </w:pPr>
      <w:rPr>
        <w:rFonts w:hint="default"/>
      </w:rPr>
    </w:lvl>
    <w:lvl w:ilvl="1" w:tplc="040E0019" w:tentative="1">
      <w:start w:val="1"/>
      <w:numFmt w:val="lowerLetter"/>
      <w:lvlText w:val="%2."/>
      <w:lvlJc w:val="left"/>
      <w:pPr>
        <w:ind w:left="2232" w:hanging="360"/>
      </w:pPr>
    </w:lvl>
    <w:lvl w:ilvl="2" w:tplc="040E001B" w:tentative="1">
      <w:start w:val="1"/>
      <w:numFmt w:val="lowerRoman"/>
      <w:lvlText w:val="%3."/>
      <w:lvlJc w:val="right"/>
      <w:pPr>
        <w:ind w:left="2952" w:hanging="180"/>
      </w:pPr>
    </w:lvl>
    <w:lvl w:ilvl="3" w:tplc="040E000F" w:tentative="1">
      <w:start w:val="1"/>
      <w:numFmt w:val="decimal"/>
      <w:lvlText w:val="%4."/>
      <w:lvlJc w:val="left"/>
      <w:pPr>
        <w:ind w:left="3672" w:hanging="360"/>
      </w:pPr>
    </w:lvl>
    <w:lvl w:ilvl="4" w:tplc="040E0019" w:tentative="1">
      <w:start w:val="1"/>
      <w:numFmt w:val="lowerLetter"/>
      <w:lvlText w:val="%5."/>
      <w:lvlJc w:val="left"/>
      <w:pPr>
        <w:ind w:left="4392" w:hanging="360"/>
      </w:pPr>
    </w:lvl>
    <w:lvl w:ilvl="5" w:tplc="040E001B" w:tentative="1">
      <w:start w:val="1"/>
      <w:numFmt w:val="lowerRoman"/>
      <w:lvlText w:val="%6."/>
      <w:lvlJc w:val="right"/>
      <w:pPr>
        <w:ind w:left="5112" w:hanging="180"/>
      </w:pPr>
    </w:lvl>
    <w:lvl w:ilvl="6" w:tplc="040E000F" w:tentative="1">
      <w:start w:val="1"/>
      <w:numFmt w:val="decimal"/>
      <w:lvlText w:val="%7."/>
      <w:lvlJc w:val="left"/>
      <w:pPr>
        <w:ind w:left="5832" w:hanging="360"/>
      </w:pPr>
    </w:lvl>
    <w:lvl w:ilvl="7" w:tplc="040E0019" w:tentative="1">
      <w:start w:val="1"/>
      <w:numFmt w:val="lowerLetter"/>
      <w:lvlText w:val="%8."/>
      <w:lvlJc w:val="left"/>
      <w:pPr>
        <w:ind w:left="6552" w:hanging="360"/>
      </w:pPr>
    </w:lvl>
    <w:lvl w:ilvl="8" w:tplc="040E001B" w:tentative="1">
      <w:start w:val="1"/>
      <w:numFmt w:val="lowerRoman"/>
      <w:lvlText w:val="%9."/>
      <w:lvlJc w:val="right"/>
      <w:pPr>
        <w:ind w:left="7272" w:hanging="180"/>
      </w:pPr>
    </w:lvl>
  </w:abstractNum>
  <w:abstractNum w:abstractNumId="216" w15:restartNumberingAfterBreak="0">
    <w:nsid w:val="203F3A0D"/>
    <w:multiLevelType w:val="hybridMultilevel"/>
    <w:tmpl w:val="5E847D72"/>
    <w:lvl w:ilvl="0" w:tplc="045CB702">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217" w15:restartNumberingAfterBreak="0">
    <w:nsid w:val="20435B60"/>
    <w:multiLevelType w:val="hybridMultilevel"/>
    <w:tmpl w:val="7696F814"/>
    <w:lvl w:ilvl="0" w:tplc="B44EB766">
      <w:start w:val="1"/>
      <w:numFmt w:val="decimal"/>
      <w:lvlText w:val="%1."/>
      <w:lvlJc w:val="left"/>
      <w:pPr>
        <w:ind w:left="1010" w:hanging="360"/>
      </w:pPr>
    </w:lvl>
    <w:lvl w:ilvl="1" w:tplc="613EED8C">
      <w:start w:val="1"/>
      <w:numFmt w:val="bullet"/>
      <w:lvlText w:val=""/>
      <w:lvlJc w:val="left"/>
      <w:pPr>
        <w:tabs>
          <w:tab w:val="num" w:pos="1730"/>
        </w:tabs>
        <w:ind w:left="1730" w:hanging="360"/>
      </w:pPr>
      <w:rPr>
        <w:rFonts w:ascii="Wingdings" w:hAnsi="Wingdings" w:hint="default"/>
      </w:rPr>
    </w:lvl>
    <w:lvl w:ilvl="2" w:tplc="04090005">
      <w:start w:val="1"/>
      <w:numFmt w:val="bullet"/>
      <w:lvlText w:val=""/>
      <w:lvlJc w:val="left"/>
      <w:pPr>
        <w:ind w:left="2450" w:hanging="360"/>
      </w:pPr>
      <w:rPr>
        <w:rFonts w:ascii="Wingdings" w:hAnsi="Wingdings" w:hint="default"/>
      </w:rPr>
    </w:lvl>
    <w:lvl w:ilvl="3" w:tplc="04090001">
      <w:start w:val="1"/>
      <w:numFmt w:val="bullet"/>
      <w:lvlText w:val=""/>
      <w:lvlJc w:val="left"/>
      <w:pPr>
        <w:ind w:left="3170" w:hanging="360"/>
      </w:pPr>
      <w:rPr>
        <w:rFonts w:ascii="Symbol" w:hAnsi="Symbol" w:hint="default"/>
      </w:rPr>
    </w:lvl>
    <w:lvl w:ilvl="4" w:tplc="04090003">
      <w:start w:val="1"/>
      <w:numFmt w:val="bullet"/>
      <w:lvlText w:val="o"/>
      <w:lvlJc w:val="left"/>
      <w:pPr>
        <w:ind w:left="3890" w:hanging="360"/>
      </w:pPr>
      <w:rPr>
        <w:rFonts w:ascii="Courier New" w:hAnsi="Courier New" w:cs="Times New Roman" w:hint="default"/>
      </w:rPr>
    </w:lvl>
    <w:lvl w:ilvl="5" w:tplc="04090005">
      <w:start w:val="1"/>
      <w:numFmt w:val="bullet"/>
      <w:lvlText w:val=""/>
      <w:lvlJc w:val="left"/>
      <w:pPr>
        <w:ind w:left="4610" w:hanging="360"/>
      </w:pPr>
      <w:rPr>
        <w:rFonts w:ascii="Wingdings" w:hAnsi="Wingdings" w:hint="default"/>
      </w:rPr>
    </w:lvl>
    <w:lvl w:ilvl="6" w:tplc="04090001">
      <w:start w:val="1"/>
      <w:numFmt w:val="bullet"/>
      <w:lvlText w:val=""/>
      <w:lvlJc w:val="left"/>
      <w:pPr>
        <w:ind w:left="5330" w:hanging="360"/>
      </w:pPr>
      <w:rPr>
        <w:rFonts w:ascii="Symbol" w:hAnsi="Symbol" w:hint="default"/>
      </w:rPr>
    </w:lvl>
    <w:lvl w:ilvl="7" w:tplc="04090003">
      <w:start w:val="1"/>
      <w:numFmt w:val="bullet"/>
      <w:lvlText w:val="o"/>
      <w:lvlJc w:val="left"/>
      <w:pPr>
        <w:ind w:left="6050" w:hanging="360"/>
      </w:pPr>
      <w:rPr>
        <w:rFonts w:ascii="Courier New" w:hAnsi="Courier New" w:cs="Times New Roman" w:hint="default"/>
      </w:rPr>
    </w:lvl>
    <w:lvl w:ilvl="8" w:tplc="04090005">
      <w:start w:val="1"/>
      <w:numFmt w:val="bullet"/>
      <w:lvlText w:val=""/>
      <w:lvlJc w:val="left"/>
      <w:pPr>
        <w:ind w:left="6770" w:hanging="360"/>
      </w:pPr>
      <w:rPr>
        <w:rFonts w:ascii="Wingdings" w:hAnsi="Wingdings" w:hint="default"/>
      </w:rPr>
    </w:lvl>
  </w:abstractNum>
  <w:abstractNum w:abstractNumId="218" w15:restartNumberingAfterBreak="0">
    <w:nsid w:val="204B25DF"/>
    <w:multiLevelType w:val="hybridMultilevel"/>
    <w:tmpl w:val="4EBC1876"/>
    <w:lvl w:ilvl="0" w:tplc="5F189E24">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9" w15:restartNumberingAfterBreak="0">
    <w:nsid w:val="209828B0"/>
    <w:multiLevelType w:val="multilevel"/>
    <w:tmpl w:val="5B88D5B6"/>
    <w:lvl w:ilvl="0">
      <w:start w:val="7"/>
      <w:numFmt w:val="decimal"/>
      <w:lvlText w:val="%1."/>
      <w:lvlJc w:val="right"/>
      <w:pPr>
        <w:tabs>
          <w:tab w:val="num" w:pos="720"/>
        </w:tabs>
        <w:ind w:left="720" w:hanging="360"/>
      </w:pPr>
      <w:rPr>
        <w:rFonts w:ascii="Times New Roman" w:hAnsi="Times New Roman" w:cs="Times New Roman" w:hint="default"/>
        <w:b/>
        <w:i w:val="0"/>
        <w:caps w:val="0"/>
        <w:strike w:val="0"/>
        <w:dstrike w:val="0"/>
        <w:vanish w:val="0"/>
        <w:webHidden w:val="0"/>
        <w:color w:val="000000"/>
        <w:sz w:val="22"/>
        <w:szCs w:val="22"/>
        <w:u w:val="none"/>
        <w:effect w:val="none"/>
        <w:vertAlign w:val="baseline"/>
        <w:specVanish w:val="0"/>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20" w15:restartNumberingAfterBreak="0">
    <w:nsid w:val="20A33F25"/>
    <w:multiLevelType w:val="multilevel"/>
    <w:tmpl w:val="1BB095B8"/>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21" w15:restartNumberingAfterBreak="0">
    <w:nsid w:val="20A34E1F"/>
    <w:multiLevelType w:val="hybridMultilevel"/>
    <w:tmpl w:val="9754DE9C"/>
    <w:lvl w:ilvl="0" w:tplc="45449DB2">
      <w:start w:val="1"/>
      <w:numFmt w:val="decimal"/>
      <w:lvlText w:val="%1."/>
      <w:lvlJc w:val="left"/>
      <w:pPr>
        <w:ind w:left="101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2" w15:restartNumberingAfterBreak="0">
    <w:nsid w:val="20D709B5"/>
    <w:multiLevelType w:val="hybridMultilevel"/>
    <w:tmpl w:val="10DABF06"/>
    <w:lvl w:ilvl="0" w:tplc="F90AA5CA">
      <w:numFmt w:val="bullet"/>
      <w:lvlText w:val="-"/>
      <w:lvlJc w:val="left"/>
      <w:pPr>
        <w:ind w:left="1145" w:hanging="360"/>
      </w:pPr>
      <w:rPr>
        <w:rFonts w:ascii="Times New Roman" w:eastAsia="Times New Roman" w:hAnsi="Times New Roman"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223" w15:restartNumberingAfterBreak="0">
    <w:nsid w:val="20E65BEF"/>
    <w:multiLevelType w:val="hybridMultilevel"/>
    <w:tmpl w:val="BB7CFDA4"/>
    <w:lvl w:ilvl="0" w:tplc="6944F60C">
      <w:start w:val="8"/>
      <w:numFmt w:val="bullet"/>
      <w:lvlText w:val="-"/>
      <w:lvlJc w:val="left"/>
      <w:pPr>
        <w:ind w:left="786" w:hanging="360"/>
      </w:pPr>
      <w:rPr>
        <w:rFonts w:ascii="Times New Roman" w:eastAsia="Times New Roman" w:hAnsi="Times New Roman" w:cs="Times New Roman"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224" w15:restartNumberingAfterBreak="0">
    <w:nsid w:val="21044685"/>
    <w:multiLevelType w:val="hybridMultilevel"/>
    <w:tmpl w:val="65340F6E"/>
    <w:lvl w:ilvl="0" w:tplc="32DEE11A">
      <w:numFmt w:val="bullet"/>
      <w:lvlText w:val="-"/>
      <w:lvlJc w:val="left"/>
      <w:pPr>
        <w:ind w:left="1260" w:hanging="360"/>
      </w:pPr>
      <w:rPr>
        <w:rFonts w:ascii="Calibri" w:eastAsiaTheme="minorHAnsi" w:hAnsi="Calibri" w:cs="Calibri" w:hint="default"/>
      </w:rPr>
    </w:lvl>
    <w:lvl w:ilvl="1" w:tplc="040E0003">
      <w:start w:val="1"/>
      <w:numFmt w:val="bullet"/>
      <w:lvlText w:val="o"/>
      <w:lvlJc w:val="left"/>
      <w:pPr>
        <w:ind w:left="1980" w:hanging="360"/>
      </w:pPr>
      <w:rPr>
        <w:rFonts w:ascii="Courier New" w:hAnsi="Courier New" w:cs="Courier New" w:hint="default"/>
      </w:rPr>
    </w:lvl>
    <w:lvl w:ilvl="2" w:tplc="040E0005">
      <w:start w:val="1"/>
      <w:numFmt w:val="bullet"/>
      <w:lvlText w:val=""/>
      <w:lvlJc w:val="left"/>
      <w:pPr>
        <w:ind w:left="2700" w:hanging="360"/>
      </w:pPr>
      <w:rPr>
        <w:rFonts w:ascii="Wingdings" w:hAnsi="Wingdings" w:hint="default"/>
      </w:rPr>
    </w:lvl>
    <w:lvl w:ilvl="3" w:tplc="040E0001">
      <w:start w:val="1"/>
      <w:numFmt w:val="bullet"/>
      <w:lvlText w:val=""/>
      <w:lvlJc w:val="left"/>
      <w:pPr>
        <w:ind w:left="3420" w:hanging="360"/>
      </w:pPr>
      <w:rPr>
        <w:rFonts w:ascii="Symbol" w:hAnsi="Symbol" w:hint="default"/>
      </w:rPr>
    </w:lvl>
    <w:lvl w:ilvl="4" w:tplc="040E0003">
      <w:start w:val="1"/>
      <w:numFmt w:val="bullet"/>
      <w:lvlText w:val="o"/>
      <w:lvlJc w:val="left"/>
      <w:pPr>
        <w:ind w:left="4140" w:hanging="360"/>
      </w:pPr>
      <w:rPr>
        <w:rFonts w:ascii="Courier New" w:hAnsi="Courier New" w:cs="Courier New" w:hint="default"/>
      </w:rPr>
    </w:lvl>
    <w:lvl w:ilvl="5" w:tplc="040E0005">
      <w:start w:val="1"/>
      <w:numFmt w:val="bullet"/>
      <w:lvlText w:val=""/>
      <w:lvlJc w:val="left"/>
      <w:pPr>
        <w:ind w:left="4860" w:hanging="360"/>
      </w:pPr>
      <w:rPr>
        <w:rFonts w:ascii="Wingdings" w:hAnsi="Wingdings" w:hint="default"/>
      </w:rPr>
    </w:lvl>
    <w:lvl w:ilvl="6" w:tplc="040E0001">
      <w:start w:val="1"/>
      <w:numFmt w:val="bullet"/>
      <w:lvlText w:val=""/>
      <w:lvlJc w:val="left"/>
      <w:pPr>
        <w:ind w:left="5580" w:hanging="360"/>
      </w:pPr>
      <w:rPr>
        <w:rFonts w:ascii="Symbol" w:hAnsi="Symbol" w:hint="default"/>
      </w:rPr>
    </w:lvl>
    <w:lvl w:ilvl="7" w:tplc="040E0003">
      <w:start w:val="1"/>
      <w:numFmt w:val="bullet"/>
      <w:lvlText w:val="o"/>
      <w:lvlJc w:val="left"/>
      <w:pPr>
        <w:ind w:left="6300" w:hanging="360"/>
      </w:pPr>
      <w:rPr>
        <w:rFonts w:ascii="Courier New" w:hAnsi="Courier New" w:cs="Courier New" w:hint="default"/>
      </w:rPr>
    </w:lvl>
    <w:lvl w:ilvl="8" w:tplc="040E0005">
      <w:start w:val="1"/>
      <w:numFmt w:val="bullet"/>
      <w:lvlText w:val=""/>
      <w:lvlJc w:val="left"/>
      <w:pPr>
        <w:ind w:left="7020" w:hanging="360"/>
      </w:pPr>
      <w:rPr>
        <w:rFonts w:ascii="Wingdings" w:hAnsi="Wingdings" w:hint="default"/>
      </w:rPr>
    </w:lvl>
  </w:abstractNum>
  <w:abstractNum w:abstractNumId="225" w15:restartNumberingAfterBreak="0">
    <w:nsid w:val="211E3F39"/>
    <w:multiLevelType w:val="hybridMultilevel"/>
    <w:tmpl w:val="7302754E"/>
    <w:lvl w:ilvl="0" w:tplc="C9788310">
      <w:start w:val="4"/>
      <w:numFmt w:val="bullet"/>
      <w:lvlText w:val="-"/>
      <w:lvlJc w:val="left"/>
      <w:pPr>
        <w:ind w:left="1004" w:hanging="360"/>
      </w:pPr>
      <w:rPr>
        <w:rFonts w:ascii="Times New Roman" w:eastAsia="Times New Roman" w:hAnsi="Times New Roman" w:cs="Times New Roman"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226" w15:restartNumberingAfterBreak="0">
    <w:nsid w:val="213F1822"/>
    <w:multiLevelType w:val="hybridMultilevel"/>
    <w:tmpl w:val="EA3A4D38"/>
    <w:lvl w:ilvl="0" w:tplc="2CD68F34">
      <w:start w:val="1"/>
      <w:numFmt w:val="decimal"/>
      <w:lvlText w:val="%1."/>
      <w:lvlJc w:val="left"/>
      <w:pPr>
        <w:ind w:left="1581"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7" w15:restartNumberingAfterBreak="0">
    <w:nsid w:val="21591662"/>
    <w:multiLevelType w:val="multilevel"/>
    <w:tmpl w:val="F972144C"/>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webHidden w:val="0"/>
        <w:color w:val="000000"/>
        <w:sz w:val="22"/>
        <w:szCs w:val="24"/>
        <w:u w:val="none"/>
        <w:effect w:val="none"/>
        <w:vertAlign w:val="baseline"/>
        <w:specVanish w:val="0"/>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28" w15:restartNumberingAfterBreak="0">
    <w:nsid w:val="216020FA"/>
    <w:multiLevelType w:val="hybridMultilevel"/>
    <w:tmpl w:val="A8A08650"/>
    <w:lvl w:ilvl="0" w:tplc="F90AA5CA">
      <w:numFmt w:val="bullet"/>
      <w:lvlText w:val="-"/>
      <w:lvlJc w:val="left"/>
      <w:pPr>
        <w:ind w:left="1145" w:hanging="360"/>
      </w:pPr>
      <w:rPr>
        <w:rFonts w:ascii="Times New Roman" w:eastAsia="Times New Roman" w:hAnsi="Times New Roman"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229" w15:restartNumberingAfterBreak="0">
    <w:nsid w:val="21AC0E11"/>
    <w:multiLevelType w:val="hybridMultilevel"/>
    <w:tmpl w:val="66927DBE"/>
    <w:lvl w:ilvl="0" w:tplc="040E000F">
      <w:start w:val="1"/>
      <w:numFmt w:val="decimal"/>
      <w:lvlText w:val="%1."/>
      <w:lvlJc w:val="left"/>
      <w:pPr>
        <w:ind w:left="1512" w:hanging="360"/>
      </w:pPr>
    </w:lvl>
    <w:lvl w:ilvl="1" w:tplc="040E0019" w:tentative="1">
      <w:start w:val="1"/>
      <w:numFmt w:val="lowerLetter"/>
      <w:lvlText w:val="%2."/>
      <w:lvlJc w:val="left"/>
      <w:pPr>
        <w:ind w:left="2232" w:hanging="360"/>
      </w:pPr>
    </w:lvl>
    <w:lvl w:ilvl="2" w:tplc="040E001B" w:tentative="1">
      <w:start w:val="1"/>
      <w:numFmt w:val="lowerRoman"/>
      <w:lvlText w:val="%3."/>
      <w:lvlJc w:val="right"/>
      <w:pPr>
        <w:ind w:left="2952" w:hanging="180"/>
      </w:pPr>
    </w:lvl>
    <w:lvl w:ilvl="3" w:tplc="040E000F" w:tentative="1">
      <w:start w:val="1"/>
      <w:numFmt w:val="decimal"/>
      <w:lvlText w:val="%4."/>
      <w:lvlJc w:val="left"/>
      <w:pPr>
        <w:ind w:left="3672" w:hanging="360"/>
      </w:pPr>
    </w:lvl>
    <w:lvl w:ilvl="4" w:tplc="040E0019" w:tentative="1">
      <w:start w:val="1"/>
      <w:numFmt w:val="lowerLetter"/>
      <w:lvlText w:val="%5."/>
      <w:lvlJc w:val="left"/>
      <w:pPr>
        <w:ind w:left="4392" w:hanging="360"/>
      </w:pPr>
    </w:lvl>
    <w:lvl w:ilvl="5" w:tplc="040E001B" w:tentative="1">
      <w:start w:val="1"/>
      <w:numFmt w:val="lowerRoman"/>
      <w:lvlText w:val="%6."/>
      <w:lvlJc w:val="right"/>
      <w:pPr>
        <w:ind w:left="5112" w:hanging="180"/>
      </w:pPr>
    </w:lvl>
    <w:lvl w:ilvl="6" w:tplc="040E000F" w:tentative="1">
      <w:start w:val="1"/>
      <w:numFmt w:val="decimal"/>
      <w:lvlText w:val="%7."/>
      <w:lvlJc w:val="left"/>
      <w:pPr>
        <w:ind w:left="5832" w:hanging="360"/>
      </w:pPr>
    </w:lvl>
    <w:lvl w:ilvl="7" w:tplc="040E0019" w:tentative="1">
      <w:start w:val="1"/>
      <w:numFmt w:val="lowerLetter"/>
      <w:lvlText w:val="%8."/>
      <w:lvlJc w:val="left"/>
      <w:pPr>
        <w:ind w:left="6552" w:hanging="360"/>
      </w:pPr>
    </w:lvl>
    <w:lvl w:ilvl="8" w:tplc="040E001B" w:tentative="1">
      <w:start w:val="1"/>
      <w:numFmt w:val="lowerRoman"/>
      <w:lvlText w:val="%9."/>
      <w:lvlJc w:val="right"/>
      <w:pPr>
        <w:ind w:left="7272" w:hanging="180"/>
      </w:pPr>
    </w:lvl>
  </w:abstractNum>
  <w:abstractNum w:abstractNumId="230" w15:restartNumberingAfterBreak="0">
    <w:nsid w:val="222F0A8C"/>
    <w:multiLevelType w:val="hybridMultilevel"/>
    <w:tmpl w:val="66927DBE"/>
    <w:lvl w:ilvl="0" w:tplc="040E000F">
      <w:start w:val="1"/>
      <w:numFmt w:val="decimal"/>
      <w:lvlText w:val="%1."/>
      <w:lvlJc w:val="left"/>
      <w:pPr>
        <w:ind w:left="1512" w:hanging="360"/>
      </w:pPr>
    </w:lvl>
    <w:lvl w:ilvl="1" w:tplc="040E0019" w:tentative="1">
      <w:start w:val="1"/>
      <w:numFmt w:val="lowerLetter"/>
      <w:lvlText w:val="%2."/>
      <w:lvlJc w:val="left"/>
      <w:pPr>
        <w:ind w:left="2232" w:hanging="360"/>
      </w:pPr>
    </w:lvl>
    <w:lvl w:ilvl="2" w:tplc="040E001B" w:tentative="1">
      <w:start w:val="1"/>
      <w:numFmt w:val="lowerRoman"/>
      <w:lvlText w:val="%3."/>
      <w:lvlJc w:val="right"/>
      <w:pPr>
        <w:ind w:left="2952" w:hanging="180"/>
      </w:pPr>
    </w:lvl>
    <w:lvl w:ilvl="3" w:tplc="040E000F" w:tentative="1">
      <w:start w:val="1"/>
      <w:numFmt w:val="decimal"/>
      <w:lvlText w:val="%4."/>
      <w:lvlJc w:val="left"/>
      <w:pPr>
        <w:ind w:left="3672" w:hanging="360"/>
      </w:pPr>
    </w:lvl>
    <w:lvl w:ilvl="4" w:tplc="040E0019" w:tentative="1">
      <w:start w:val="1"/>
      <w:numFmt w:val="lowerLetter"/>
      <w:lvlText w:val="%5."/>
      <w:lvlJc w:val="left"/>
      <w:pPr>
        <w:ind w:left="4392" w:hanging="360"/>
      </w:pPr>
    </w:lvl>
    <w:lvl w:ilvl="5" w:tplc="040E001B" w:tentative="1">
      <w:start w:val="1"/>
      <w:numFmt w:val="lowerRoman"/>
      <w:lvlText w:val="%6."/>
      <w:lvlJc w:val="right"/>
      <w:pPr>
        <w:ind w:left="5112" w:hanging="180"/>
      </w:pPr>
    </w:lvl>
    <w:lvl w:ilvl="6" w:tplc="040E000F" w:tentative="1">
      <w:start w:val="1"/>
      <w:numFmt w:val="decimal"/>
      <w:lvlText w:val="%7."/>
      <w:lvlJc w:val="left"/>
      <w:pPr>
        <w:ind w:left="5832" w:hanging="360"/>
      </w:pPr>
    </w:lvl>
    <w:lvl w:ilvl="7" w:tplc="040E0019" w:tentative="1">
      <w:start w:val="1"/>
      <w:numFmt w:val="lowerLetter"/>
      <w:lvlText w:val="%8."/>
      <w:lvlJc w:val="left"/>
      <w:pPr>
        <w:ind w:left="6552" w:hanging="360"/>
      </w:pPr>
    </w:lvl>
    <w:lvl w:ilvl="8" w:tplc="040E001B" w:tentative="1">
      <w:start w:val="1"/>
      <w:numFmt w:val="lowerRoman"/>
      <w:lvlText w:val="%9."/>
      <w:lvlJc w:val="right"/>
      <w:pPr>
        <w:ind w:left="7272" w:hanging="180"/>
      </w:pPr>
    </w:lvl>
  </w:abstractNum>
  <w:abstractNum w:abstractNumId="231" w15:restartNumberingAfterBreak="0">
    <w:nsid w:val="22AD7E74"/>
    <w:multiLevelType w:val="multilevel"/>
    <w:tmpl w:val="808019BA"/>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32" w15:restartNumberingAfterBreak="0">
    <w:nsid w:val="22B3568C"/>
    <w:multiLevelType w:val="multilevel"/>
    <w:tmpl w:val="376EE298"/>
    <w:lvl w:ilvl="0">
      <w:start w:val="1"/>
      <w:numFmt w:val="decimal"/>
      <w:lvlText w:val="%1."/>
      <w:lvlJc w:val="right"/>
      <w:pPr>
        <w:tabs>
          <w:tab w:val="num" w:pos="644"/>
        </w:tabs>
        <w:ind w:left="644" w:hanging="360"/>
      </w:pPr>
      <w:rPr>
        <w:rFonts w:ascii="Times New Roman" w:hAnsi="Times New Roman"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4119"/>
        </w:tabs>
        <w:ind w:left="4119" w:hanging="432"/>
      </w:pPr>
      <w:rPr>
        <w:rFonts w:ascii="Times New Roman" w:hAnsi="Times New Roman" w:cs="Times New Roman" w:hint="default"/>
        <w:b/>
        <w:i w:val="0"/>
      </w:rPr>
    </w:lvl>
    <w:lvl w:ilvl="2">
      <w:start w:val="1"/>
      <w:numFmt w:val="decimal"/>
      <w:lvlText w:val="%1.%2.%3."/>
      <w:lvlJc w:val="left"/>
      <w:pPr>
        <w:tabs>
          <w:tab w:val="num" w:pos="1942"/>
        </w:tabs>
        <w:ind w:left="1726" w:hanging="504"/>
      </w:pPr>
    </w:lvl>
    <w:lvl w:ilvl="3">
      <w:start w:val="1"/>
      <w:numFmt w:val="decimal"/>
      <w:lvlText w:val="%1.%2.%3.%4."/>
      <w:lvlJc w:val="left"/>
      <w:pPr>
        <w:tabs>
          <w:tab w:val="num" w:pos="2302"/>
        </w:tabs>
        <w:ind w:left="2230" w:hanging="648"/>
      </w:pPr>
    </w:lvl>
    <w:lvl w:ilvl="4">
      <w:start w:val="1"/>
      <w:numFmt w:val="decimal"/>
      <w:lvlText w:val="%1.%2.%3.%4.%5."/>
      <w:lvlJc w:val="left"/>
      <w:pPr>
        <w:tabs>
          <w:tab w:val="num" w:pos="3022"/>
        </w:tabs>
        <w:ind w:left="2734" w:hanging="792"/>
      </w:pPr>
    </w:lvl>
    <w:lvl w:ilvl="5">
      <w:start w:val="1"/>
      <w:numFmt w:val="decimal"/>
      <w:lvlText w:val="%1.%2.%3.%4.%5.%6."/>
      <w:lvlJc w:val="left"/>
      <w:pPr>
        <w:tabs>
          <w:tab w:val="num" w:pos="3382"/>
        </w:tabs>
        <w:ind w:left="3238" w:hanging="936"/>
      </w:pPr>
    </w:lvl>
    <w:lvl w:ilvl="6">
      <w:start w:val="1"/>
      <w:numFmt w:val="decimal"/>
      <w:lvlText w:val="%1.%2.%3.%4.%5.%6.%7."/>
      <w:lvlJc w:val="left"/>
      <w:pPr>
        <w:tabs>
          <w:tab w:val="num" w:pos="4102"/>
        </w:tabs>
        <w:ind w:left="3742" w:hanging="1080"/>
      </w:pPr>
    </w:lvl>
    <w:lvl w:ilvl="7">
      <w:start w:val="1"/>
      <w:numFmt w:val="decimal"/>
      <w:lvlText w:val="%1.%2.%3.%4.%5.%6.%7.%8."/>
      <w:lvlJc w:val="left"/>
      <w:pPr>
        <w:tabs>
          <w:tab w:val="num" w:pos="4462"/>
        </w:tabs>
        <w:ind w:left="4246" w:hanging="1224"/>
      </w:pPr>
    </w:lvl>
    <w:lvl w:ilvl="8">
      <w:start w:val="1"/>
      <w:numFmt w:val="decimal"/>
      <w:lvlText w:val="%1.%2.%3.%4.%5.%6.%7.%8.%9."/>
      <w:lvlJc w:val="left"/>
      <w:pPr>
        <w:tabs>
          <w:tab w:val="num" w:pos="5182"/>
        </w:tabs>
        <w:ind w:left="4822" w:hanging="1440"/>
      </w:pPr>
    </w:lvl>
  </w:abstractNum>
  <w:abstractNum w:abstractNumId="233" w15:restartNumberingAfterBreak="0">
    <w:nsid w:val="23831681"/>
    <w:multiLevelType w:val="multilevel"/>
    <w:tmpl w:val="25E89DAC"/>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34" w15:restartNumberingAfterBreak="0">
    <w:nsid w:val="23A2448B"/>
    <w:multiLevelType w:val="hybridMultilevel"/>
    <w:tmpl w:val="8890715A"/>
    <w:lvl w:ilvl="0" w:tplc="F90AA5CA">
      <w:numFmt w:val="bullet"/>
      <w:lvlText w:val="-"/>
      <w:lvlJc w:val="left"/>
      <w:pPr>
        <w:ind w:left="1145" w:hanging="360"/>
      </w:pPr>
      <w:rPr>
        <w:rFonts w:ascii="Times New Roman" w:eastAsia="Times New Roman" w:hAnsi="Times New Roman"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235" w15:restartNumberingAfterBreak="0">
    <w:nsid w:val="23C03928"/>
    <w:multiLevelType w:val="hybridMultilevel"/>
    <w:tmpl w:val="F194428E"/>
    <w:lvl w:ilvl="0" w:tplc="F90AA5CA">
      <w:numFmt w:val="bullet"/>
      <w:lvlText w:val="-"/>
      <w:lvlJc w:val="left"/>
      <w:pPr>
        <w:ind w:left="1145" w:hanging="360"/>
      </w:pPr>
      <w:rPr>
        <w:rFonts w:ascii="Times New Roman" w:eastAsia="Times New Roman" w:hAnsi="Times New Roman"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236" w15:restartNumberingAfterBreak="0">
    <w:nsid w:val="24410F5C"/>
    <w:multiLevelType w:val="multilevel"/>
    <w:tmpl w:val="376EE298"/>
    <w:lvl w:ilvl="0">
      <w:start w:val="1"/>
      <w:numFmt w:val="decimal"/>
      <w:lvlText w:val="%1."/>
      <w:lvlJc w:val="right"/>
      <w:pPr>
        <w:tabs>
          <w:tab w:val="num" w:pos="644"/>
        </w:tabs>
        <w:ind w:left="644" w:hanging="360"/>
      </w:pPr>
      <w:rPr>
        <w:rFonts w:ascii="Times New Roman" w:hAnsi="Times New Roman"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4119"/>
        </w:tabs>
        <w:ind w:left="4119" w:hanging="432"/>
      </w:pPr>
      <w:rPr>
        <w:rFonts w:ascii="Times New Roman" w:hAnsi="Times New Roman" w:cs="Times New Roman" w:hint="default"/>
        <w:b/>
        <w:i w:val="0"/>
      </w:rPr>
    </w:lvl>
    <w:lvl w:ilvl="2">
      <w:start w:val="1"/>
      <w:numFmt w:val="decimal"/>
      <w:lvlText w:val="%1.%2.%3."/>
      <w:lvlJc w:val="left"/>
      <w:pPr>
        <w:tabs>
          <w:tab w:val="num" w:pos="1942"/>
        </w:tabs>
        <w:ind w:left="1726" w:hanging="504"/>
      </w:pPr>
    </w:lvl>
    <w:lvl w:ilvl="3">
      <w:start w:val="1"/>
      <w:numFmt w:val="decimal"/>
      <w:lvlText w:val="%1.%2.%3.%4."/>
      <w:lvlJc w:val="left"/>
      <w:pPr>
        <w:tabs>
          <w:tab w:val="num" w:pos="2302"/>
        </w:tabs>
        <w:ind w:left="2230" w:hanging="648"/>
      </w:pPr>
    </w:lvl>
    <w:lvl w:ilvl="4">
      <w:start w:val="1"/>
      <w:numFmt w:val="decimal"/>
      <w:lvlText w:val="%1.%2.%3.%4.%5."/>
      <w:lvlJc w:val="left"/>
      <w:pPr>
        <w:tabs>
          <w:tab w:val="num" w:pos="3022"/>
        </w:tabs>
        <w:ind w:left="2734" w:hanging="792"/>
      </w:pPr>
    </w:lvl>
    <w:lvl w:ilvl="5">
      <w:start w:val="1"/>
      <w:numFmt w:val="decimal"/>
      <w:lvlText w:val="%1.%2.%3.%4.%5.%6."/>
      <w:lvlJc w:val="left"/>
      <w:pPr>
        <w:tabs>
          <w:tab w:val="num" w:pos="3382"/>
        </w:tabs>
        <w:ind w:left="3238" w:hanging="936"/>
      </w:pPr>
    </w:lvl>
    <w:lvl w:ilvl="6">
      <w:start w:val="1"/>
      <w:numFmt w:val="decimal"/>
      <w:lvlText w:val="%1.%2.%3.%4.%5.%6.%7."/>
      <w:lvlJc w:val="left"/>
      <w:pPr>
        <w:tabs>
          <w:tab w:val="num" w:pos="4102"/>
        </w:tabs>
        <w:ind w:left="3742" w:hanging="1080"/>
      </w:pPr>
    </w:lvl>
    <w:lvl w:ilvl="7">
      <w:start w:val="1"/>
      <w:numFmt w:val="decimal"/>
      <w:lvlText w:val="%1.%2.%3.%4.%5.%6.%7.%8."/>
      <w:lvlJc w:val="left"/>
      <w:pPr>
        <w:tabs>
          <w:tab w:val="num" w:pos="4462"/>
        </w:tabs>
        <w:ind w:left="4246" w:hanging="1224"/>
      </w:pPr>
    </w:lvl>
    <w:lvl w:ilvl="8">
      <w:start w:val="1"/>
      <w:numFmt w:val="decimal"/>
      <w:lvlText w:val="%1.%2.%3.%4.%5.%6.%7.%8.%9."/>
      <w:lvlJc w:val="left"/>
      <w:pPr>
        <w:tabs>
          <w:tab w:val="num" w:pos="5182"/>
        </w:tabs>
        <w:ind w:left="4822" w:hanging="1440"/>
      </w:pPr>
    </w:lvl>
  </w:abstractNum>
  <w:abstractNum w:abstractNumId="237" w15:restartNumberingAfterBreak="0">
    <w:nsid w:val="24492B7A"/>
    <w:multiLevelType w:val="multilevel"/>
    <w:tmpl w:val="1B527094"/>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38" w15:restartNumberingAfterBreak="0">
    <w:nsid w:val="2454648C"/>
    <w:multiLevelType w:val="hybridMultilevel"/>
    <w:tmpl w:val="2D78CC12"/>
    <w:lvl w:ilvl="0" w:tplc="F8962DCC">
      <w:start w:val="1"/>
      <w:numFmt w:val="decimal"/>
      <w:lvlText w:val="%1."/>
      <w:lvlJc w:val="left"/>
      <w:pPr>
        <w:ind w:left="644"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9" w15:restartNumberingAfterBreak="0">
    <w:nsid w:val="24CC5105"/>
    <w:multiLevelType w:val="hybridMultilevel"/>
    <w:tmpl w:val="F1480084"/>
    <w:lvl w:ilvl="0" w:tplc="1AE87A3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0" w15:restartNumberingAfterBreak="0">
    <w:nsid w:val="24CD1009"/>
    <w:multiLevelType w:val="hybridMultilevel"/>
    <w:tmpl w:val="952674FE"/>
    <w:lvl w:ilvl="0" w:tplc="6AEEAC80">
      <w:start w:val="1"/>
      <w:numFmt w:val="decimal"/>
      <w:lvlText w:val="%1."/>
      <w:lvlJc w:val="left"/>
      <w:pPr>
        <w:ind w:left="851"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1" w15:restartNumberingAfterBreak="0">
    <w:nsid w:val="24E50F0F"/>
    <w:multiLevelType w:val="multilevel"/>
    <w:tmpl w:val="8E68CD02"/>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i w:val="0"/>
      </w:rPr>
    </w:lvl>
    <w:lvl w:ilvl="2">
      <w:start w:val="1"/>
      <w:numFmt w:val="decimal"/>
      <w:lvlText w:val="%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42" w15:restartNumberingAfterBreak="0">
    <w:nsid w:val="252413FF"/>
    <w:multiLevelType w:val="hybridMultilevel"/>
    <w:tmpl w:val="B01CB5A8"/>
    <w:lvl w:ilvl="0" w:tplc="C9788310">
      <w:start w:val="4"/>
      <w:numFmt w:val="bullet"/>
      <w:lvlText w:val="-"/>
      <w:lvlJc w:val="left"/>
      <w:pPr>
        <w:ind w:left="1364" w:hanging="360"/>
      </w:pPr>
      <w:rPr>
        <w:rFonts w:ascii="Times New Roman" w:eastAsia="Times New Roman" w:hAnsi="Times New Roman" w:cs="Times New Roman" w:hint="default"/>
      </w:rPr>
    </w:lvl>
    <w:lvl w:ilvl="1" w:tplc="040E0003" w:tentative="1">
      <w:start w:val="1"/>
      <w:numFmt w:val="bullet"/>
      <w:lvlText w:val="o"/>
      <w:lvlJc w:val="left"/>
      <w:pPr>
        <w:ind w:left="2084" w:hanging="360"/>
      </w:pPr>
      <w:rPr>
        <w:rFonts w:ascii="Courier New" w:hAnsi="Courier New" w:cs="Courier New" w:hint="default"/>
      </w:rPr>
    </w:lvl>
    <w:lvl w:ilvl="2" w:tplc="040E0005" w:tentative="1">
      <w:start w:val="1"/>
      <w:numFmt w:val="bullet"/>
      <w:lvlText w:val=""/>
      <w:lvlJc w:val="left"/>
      <w:pPr>
        <w:ind w:left="2804" w:hanging="360"/>
      </w:pPr>
      <w:rPr>
        <w:rFonts w:ascii="Wingdings" w:hAnsi="Wingdings" w:hint="default"/>
      </w:rPr>
    </w:lvl>
    <w:lvl w:ilvl="3" w:tplc="040E0001" w:tentative="1">
      <w:start w:val="1"/>
      <w:numFmt w:val="bullet"/>
      <w:lvlText w:val=""/>
      <w:lvlJc w:val="left"/>
      <w:pPr>
        <w:ind w:left="3524" w:hanging="360"/>
      </w:pPr>
      <w:rPr>
        <w:rFonts w:ascii="Symbol" w:hAnsi="Symbol" w:hint="default"/>
      </w:rPr>
    </w:lvl>
    <w:lvl w:ilvl="4" w:tplc="040E0003" w:tentative="1">
      <w:start w:val="1"/>
      <w:numFmt w:val="bullet"/>
      <w:lvlText w:val="o"/>
      <w:lvlJc w:val="left"/>
      <w:pPr>
        <w:ind w:left="4244" w:hanging="360"/>
      </w:pPr>
      <w:rPr>
        <w:rFonts w:ascii="Courier New" w:hAnsi="Courier New" w:cs="Courier New" w:hint="default"/>
      </w:rPr>
    </w:lvl>
    <w:lvl w:ilvl="5" w:tplc="040E0005" w:tentative="1">
      <w:start w:val="1"/>
      <w:numFmt w:val="bullet"/>
      <w:lvlText w:val=""/>
      <w:lvlJc w:val="left"/>
      <w:pPr>
        <w:ind w:left="4964" w:hanging="360"/>
      </w:pPr>
      <w:rPr>
        <w:rFonts w:ascii="Wingdings" w:hAnsi="Wingdings" w:hint="default"/>
      </w:rPr>
    </w:lvl>
    <w:lvl w:ilvl="6" w:tplc="040E0001" w:tentative="1">
      <w:start w:val="1"/>
      <w:numFmt w:val="bullet"/>
      <w:lvlText w:val=""/>
      <w:lvlJc w:val="left"/>
      <w:pPr>
        <w:ind w:left="5684" w:hanging="360"/>
      </w:pPr>
      <w:rPr>
        <w:rFonts w:ascii="Symbol" w:hAnsi="Symbol" w:hint="default"/>
      </w:rPr>
    </w:lvl>
    <w:lvl w:ilvl="7" w:tplc="040E0003" w:tentative="1">
      <w:start w:val="1"/>
      <w:numFmt w:val="bullet"/>
      <w:lvlText w:val="o"/>
      <w:lvlJc w:val="left"/>
      <w:pPr>
        <w:ind w:left="6404" w:hanging="360"/>
      </w:pPr>
      <w:rPr>
        <w:rFonts w:ascii="Courier New" w:hAnsi="Courier New" w:cs="Courier New" w:hint="default"/>
      </w:rPr>
    </w:lvl>
    <w:lvl w:ilvl="8" w:tplc="040E0005" w:tentative="1">
      <w:start w:val="1"/>
      <w:numFmt w:val="bullet"/>
      <w:lvlText w:val=""/>
      <w:lvlJc w:val="left"/>
      <w:pPr>
        <w:ind w:left="7124" w:hanging="360"/>
      </w:pPr>
      <w:rPr>
        <w:rFonts w:ascii="Wingdings" w:hAnsi="Wingdings" w:hint="default"/>
      </w:rPr>
    </w:lvl>
  </w:abstractNum>
  <w:abstractNum w:abstractNumId="243" w15:restartNumberingAfterBreak="0">
    <w:nsid w:val="253109B2"/>
    <w:multiLevelType w:val="hybridMultilevel"/>
    <w:tmpl w:val="2B56D670"/>
    <w:lvl w:ilvl="0" w:tplc="F90AA5CA">
      <w:numFmt w:val="bullet"/>
      <w:lvlText w:val="-"/>
      <w:lvlJc w:val="left"/>
      <w:pPr>
        <w:ind w:left="1145" w:hanging="360"/>
      </w:pPr>
      <w:rPr>
        <w:rFonts w:ascii="Times New Roman" w:eastAsia="Times New Roman" w:hAnsi="Times New Roman"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244" w15:restartNumberingAfterBreak="0">
    <w:nsid w:val="253F2253"/>
    <w:multiLevelType w:val="hybridMultilevel"/>
    <w:tmpl w:val="F8FC9CCA"/>
    <w:lvl w:ilvl="0" w:tplc="F90AA5CA">
      <w:numFmt w:val="bullet"/>
      <w:lvlText w:val="-"/>
      <w:lvlJc w:val="left"/>
      <w:pPr>
        <w:ind w:left="1145" w:hanging="360"/>
      </w:pPr>
      <w:rPr>
        <w:rFonts w:ascii="Times New Roman" w:eastAsia="Times New Roman" w:hAnsi="Times New Roman"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245" w15:restartNumberingAfterBreak="0">
    <w:nsid w:val="254211ED"/>
    <w:multiLevelType w:val="multilevel"/>
    <w:tmpl w:val="CAA6EE7E"/>
    <w:lvl w:ilvl="0">
      <w:start w:val="1"/>
      <w:numFmt w:val="decimal"/>
      <w:lvlText w:val="%1."/>
      <w:lvlJc w:val="right"/>
      <w:pPr>
        <w:tabs>
          <w:tab w:val="num" w:pos="360"/>
        </w:tabs>
        <w:ind w:left="360" w:hanging="360"/>
      </w:pPr>
      <w:rPr>
        <w:rFonts w:ascii="Times New Roman" w:hAnsi="Times New Roman" w:cs="Times New Roman" w:hint="default"/>
        <w:b/>
        <w:i w:val="0"/>
        <w:caps w:val="0"/>
        <w:strike w:val="0"/>
        <w:dstrike w:val="0"/>
        <w:vanish w:val="0"/>
        <w:webHidden w:val="0"/>
        <w:color w:val="000000"/>
        <w:sz w:val="22"/>
        <w:szCs w:val="24"/>
        <w:u w:val="none"/>
        <w:effect w:val="none"/>
        <w:vertAlign w:val="baseline"/>
        <w:specVanish w:val="0"/>
      </w:rPr>
    </w:lvl>
    <w:lvl w:ilvl="1">
      <w:start w:val="1"/>
      <w:numFmt w:val="decimal"/>
      <w:lvlText w:val="%1.%2."/>
      <w:lvlJc w:val="left"/>
      <w:pPr>
        <w:tabs>
          <w:tab w:val="num" w:pos="1142"/>
        </w:tabs>
        <w:ind w:left="1142"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46" w15:restartNumberingAfterBreak="0">
    <w:nsid w:val="2567162E"/>
    <w:multiLevelType w:val="multilevel"/>
    <w:tmpl w:val="1352B39E"/>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47" w15:restartNumberingAfterBreak="0">
    <w:nsid w:val="256C5CF6"/>
    <w:multiLevelType w:val="hybridMultilevel"/>
    <w:tmpl w:val="A54CE76A"/>
    <w:lvl w:ilvl="0" w:tplc="28BE6FF6">
      <w:start w:val="17"/>
      <w:numFmt w:val="bullet"/>
      <w:lvlText w:val="-"/>
      <w:lvlJc w:val="left"/>
      <w:pPr>
        <w:ind w:left="786" w:hanging="360"/>
      </w:pPr>
      <w:rPr>
        <w:rFonts w:ascii="Times New Roman" w:eastAsia="Times New Roman" w:hAnsi="Times New Roman" w:cs="Times New Roman"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248" w15:restartNumberingAfterBreak="0">
    <w:nsid w:val="257C448B"/>
    <w:multiLevelType w:val="hybridMultilevel"/>
    <w:tmpl w:val="71D42C2C"/>
    <w:lvl w:ilvl="0" w:tplc="C744FB8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9" w15:restartNumberingAfterBreak="0">
    <w:nsid w:val="25B957A0"/>
    <w:multiLevelType w:val="hybridMultilevel"/>
    <w:tmpl w:val="AC50F422"/>
    <w:lvl w:ilvl="0" w:tplc="FABA567C">
      <w:start w:val="1"/>
      <w:numFmt w:val="decimal"/>
      <w:lvlText w:val="%1."/>
      <w:lvlJc w:val="left"/>
      <w:pPr>
        <w:ind w:left="108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250" w15:restartNumberingAfterBreak="0">
    <w:nsid w:val="25C07F07"/>
    <w:multiLevelType w:val="hybridMultilevel"/>
    <w:tmpl w:val="EE6A174E"/>
    <w:lvl w:ilvl="0" w:tplc="4E8A6ED4">
      <w:start w:val="1"/>
      <w:numFmt w:val="decimal"/>
      <w:lvlText w:val="%1."/>
      <w:lvlJc w:val="left"/>
      <w:pPr>
        <w:ind w:left="709" w:hanging="360"/>
      </w:pPr>
      <w:rPr>
        <w:rFonts w:hint="default"/>
      </w:rPr>
    </w:lvl>
    <w:lvl w:ilvl="1" w:tplc="040E0019" w:tentative="1">
      <w:start w:val="1"/>
      <w:numFmt w:val="lowerLetter"/>
      <w:lvlText w:val="%2."/>
      <w:lvlJc w:val="left"/>
      <w:pPr>
        <w:ind w:left="1069" w:hanging="360"/>
      </w:pPr>
    </w:lvl>
    <w:lvl w:ilvl="2" w:tplc="040E001B" w:tentative="1">
      <w:start w:val="1"/>
      <w:numFmt w:val="lowerRoman"/>
      <w:lvlText w:val="%3."/>
      <w:lvlJc w:val="right"/>
      <w:pPr>
        <w:ind w:left="1789" w:hanging="180"/>
      </w:pPr>
    </w:lvl>
    <w:lvl w:ilvl="3" w:tplc="040E000F" w:tentative="1">
      <w:start w:val="1"/>
      <w:numFmt w:val="decimal"/>
      <w:lvlText w:val="%4."/>
      <w:lvlJc w:val="left"/>
      <w:pPr>
        <w:ind w:left="2509" w:hanging="360"/>
      </w:pPr>
    </w:lvl>
    <w:lvl w:ilvl="4" w:tplc="040E0019" w:tentative="1">
      <w:start w:val="1"/>
      <w:numFmt w:val="lowerLetter"/>
      <w:lvlText w:val="%5."/>
      <w:lvlJc w:val="left"/>
      <w:pPr>
        <w:ind w:left="3229" w:hanging="360"/>
      </w:pPr>
    </w:lvl>
    <w:lvl w:ilvl="5" w:tplc="040E001B" w:tentative="1">
      <w:start w:val="1"/>
      <w:numFmt w:val="lowerRoman"/>
      <w:lvlText w:val="%6."/>
      <w:lvlJc w:val="right"/>
      <w:pPr>
        <w:ind w:left="3949" w:hanging="180"/>
      </w:pPr>
    </w:lvl>
    <w:lvl w:ilvl="6" w:tplc="040E000F" w:tentative="1">
      <w:start w:val="1"/>
      <w:numFmt w:val="decimal"/>
      <w:lvlText w:val="%7."/>
      <w:lvlJc w:val="left"/>
      <w:pPr>
        <w:ind w:left="4669" w:hanging="360"/>
      </w:pPr>
    </w:lvl>
    <w:lvl w:ilvl="7" w:tplc="040E0019" w:tentative="1">
      <w:start w:val="1"/>
      <w:numFmt w:val="lowerLetter"/>
      <w:lvlText w:val="%8."/>
      <w:lvlJc w:val="left"/>
      <w:pPr>
        <w:ind w:left="5389" w:hanging="360"/>
      </w:pPr>
    </w:lvl>
    <w:lvl w:ilvl="8" w:tplc="040E001B" w:tentative="1">
      <w:start w:val="1"/>
      <w:numFmt w:val="lowerRoman"/>
      <w:lvlText w:val="%9."/>
      <w:lvlJc w:val="right"/>
      <w:pPr>
        <w:ind w:left="6109" w:hanging="180"/>
      </w:pPr>
    </w:lvl>
  </w:abstractNum>
  <w:abstractNum w:abstractNumId="251" w15:restartNumberingAfterBreak="0">
    <w:nsid w:val="260828E8"/>
    <w:multiLevelType w:val="hybridMultilevel"/>
    <w:tmpl w:val="32CE7D20"/>
    <w:lvl w:ilvl="0" w:tplc="FEBE5084">
      <w:start w:val="1"/>
      <w:numFmt w:val="decimal"/>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2" w15:restartNumberingAfterBreak="0">
    <w:nsid w:val="26357152"/>
    <w:multiLevelType w:val="hybridMultilevel"/>
    <w:tmpl w:val="2B748878"/>
    <w:lvl w:ilvl="0" w:tplc="AE0ECD02">
      <w:start w:val="1"/>
      <w:numFmt w:val="decimal"/>
      <w:lvlText w:val="%1."/>
      <w:lvlJc w:val="left"/>
      <w:pPr>
        <w:ind w:left="644" w:hanging="360"/>
      </w:pPr>
      <w:rPr>
        <w:rFonts w:hint="default"/>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3" w15:restartNumberingAfterBreak="0">
    <w:nsid w:val="263E5E3C"/>
    <w:multiLevelType w:val="multilevel"/>
    <w:tmpl w:val="5E267634"/>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54" w15:restartNumberingAfterBreak="0">
    <w:nsid w:val="26E311E1"/>
    <w:multiLevelType w:val="multilevel"/>
    <w:tmpl w:val="77A8E9BC"/>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55" w15:restartNumberingAfterBreak="0">
    <w:nsid w:val="26E56900"/>
    <w:multiLevelType w:val="hybridMultilevel"/>
    <w:tmpl w:val="D720725C"/>
    <w:lvl w:ilvl="0" w:tplc="F37093D8">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6" w15:restartNumberingAfterBreak="0">
    <w:nsid w:val="271E5368"/>
    <w:multiLevelType w:val="hybridMultilevel"/>
    <w:tmpl w:val="2110C854"/>
    <w:lvl w:ilvl="0" w:tplc="96DC057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7" w15:restartNumberingAfterBreak="0">
    <w:nsid w:val="27331A62"/>
    <w:multiLevelType w:val="hybridMultilevel"/>
    <w:tmpl w:val="CC8830EE"/>
    <w:lvl w:ilvl="0" w:tplc="DFEE2816">
      <w:start w:val="1"/>
      <w:numFmt w:val="decimal"/>
      <w:lvlText w:val="%1."/>
      <w:lvlJc w:val="left"/>
      <w:pPr>
        <w:ind w:left="720" w:hanging="360"/>
      </w:pPr>
      <w:rPr>
        <w:rFonts w:eastAsiaTheme="minorHAnsi"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8" w15:restartNumberingAfterBreak="0">
    <w:nsid w:val="27645A58"/>
    <w:multiLevelType w:val="hybridMultilevel"/>
    <w:tmpl w:val="44C82210"/>
    <w:lvl w:ilvl="0" w:tplc="D1703D04">
      <w:start w:val="1"/>
      <w:numFmt w:val="decimal"/>
      <w:lvlText w:val="%1."/>
      <w:lvlJc w:val="left"/>
      <w:pPr>
        <w:ind w:left="709" w:hanging="360"/>
      </w:pPr>
      <w:rPr>
        <w:rFonts w:hint="default"/>
      </w:rPr>
    </w:lvl>
    <w:lvl w:ilvl="1" w:tplc="040E0019" w:tentative="1">
      <w:start w:val="1"/>
      <w:numFmt w:val="lowerLetter"/>
      <w:lvlText w:val="%2."/>
      <w:lvlJc w:val="left"/>
      <w:pPr>
        <w:ind w:left="1069" w:hanging="360"/>
      </w:pPr>
    </w:lvl>
    <w:lvl w:ilvl="2" w:tplc="040E001B" w:tentative="1">
      <w:start w:val="1"/>
      <w:numFmt w:val="lowerRoman"/>
      <w:lvlText w:val="%3."/>
      <w:lvlJc w:val="right"/>
      <w:pPr>
        <w:ind w:left="1789" w:hanging="180"/>
      </w:pPr>
    </w:lvl>
    <w:lvl w:ilvl="3" w:tplc="040E000F" w:tentative="1">
      <w:start w:val="1"/>
      <w:numFmt w:val="decimal"/>
      <w:lvlText w:val="%4."/>
      <w:lvlJc w:val="left"/>
      <w:pPr>
        <w:ind w:left="2509" w:hanging="360"/>
      </w:pPr>
    </w:lvl>
    <w:lvl w:ilvl="4" w:tplc="040E0019" w:tentative="1">
      <w:start w:val="1"/>
      <w:numFmt w:val="lowerLetter"/>
      <w:lvlText w:val="%5."/>
      <w:lvlJc w:val="left"/>
      <w:pPr>
        <w:ind w:left="3229" w:hanging="360"/>
      </w:pPr>
    </w:lvl>
    <w:lvl w:ilvl="5" w:tplc="040E001B" w:tentative="1">
      <w:start w:val="1"/>
      <w:numFmt w:val="lowerRoman"/>
      <w:lvlText w:val="%6."/>
      <w:lvlJc w:val="right"/>
      <w:pPr>
        <w:ind w:left="3949" w:hanging="180"/>
      </w:pPr>
    </w:lvl>
    <w:lvl w:ilvl="6" w:tplc="040E000F" w:tentative="1">
      <w:start w:val="1"/>
      <w:numFmt w:val="decimal"/>
      <w:lvlText w:val="%7."/>
      <w:lvlJc w:val="left"/>
      <w:pPr>
        <w:ind w:left="4669" w:hanging="360"/>
      </w:pPr>
    </w:lvl>
    <w:lvl w:ilvl="7" w:tplc="040E0019" w:tentative="1">
      <w:start w:val="1"/>
      <w:numFmt w:val="lowerLetter"/>
      <w:lvlText w:val="%8."/>
      <w:lvlJc w:val="left"/>
      <w:pPr>
        <w:ind w:left="5389" w:hanging="360"/>
      </w:pPr>
    </w:lvl>
    <w:lvl w:ilvl="8" w:tplc="040E001B" w:tentative="1">
      <w:start w:val="1"/>
      <w:numFmt w:val="lowerRoman"/>
      <w:lvlText w:val="%9."/>
      <w:lvlJc w:val="right"/>
      <w:pPr>
        <w:ind w:left="6109" w:hanging="180"/>
      </w:pPr>
    </w:lvl>
  </w:abstractNum>
  <w:abstractNum w:abstractNumId="259" w15:restartNumberingAfterBreak="0">
    <w:nsid w:val="27941B92"/>
    <w:multiLevelType w:val="hybridMultilevel"/>
    <w:tmpl w:val="ED0C6DEA"/>
    <w:lvl w:ilvl="0" w:tplc="D9BA6CD6">
      <w:start w:val="1"/>
      <w:numFmt w:val="decimal"/>
      <w:lvlText w:val="%1."/>
      <w:lvlJc w:val="left"/>
      <w:pPr>
        <w:ind w:left="108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260" w15:restartNumberingAfterBreak="0">
    <w:nsid w:val="27AE040B"/>
    <w:multiLevelType w:val="hybridMultilevel"/>
    <w:tmpl w:val="75605DBE"/>
    <w:lvl w:ilvl="0" w:tplc="F0580954">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1" w15:restartNumberingAfterBreak="0">
    <w:nsid w:val="27BE55AA"/>
    <w:multiLevelType w:val="hybridMultilevel"/>
    <w:tmpl w:val="BE600C6A"/>
    <w:lvl w:ilvl="0" w:tplc="C62C18E0">
      <w:start w:val="8"/>
      <w:numFmt w:val="bullet"/>
      <w:lvlText w:val="-"/>
      <w:lvlJc w:val="left"/>
      <w:pPr>
        <w:ind w:left="786" w:hanging="360"/>
      </w:pPr>
      <w:rPr>
        <w:rFonts w:ascii="Times New Roman" w:eastAsia="Times New Roman" w:hAnsi="Times New Roman" w:cs="Times New Roman" w:hint="default"/>
      </w:rPr>
    </w:lvl>
    <w:lvl w:ilvl="1" w:tplc="040E0003">
      <w:start w:val="1"/>
      <w:numFmt w:val="bullet"/>
      <w:lvlText w:val="o"/>
      <w:lvlJc w:val="left"/>
      <w:pPr>
        <w:ind w:left="1506" w:hanging="360"/>
      </w:pPr>
      <w:rPr>
        <w:rFonts w:ascii="Courier New" w:hAnsi="Courier New" w:cs="Courier New" w:hint="default"/>
      </w:rPr>
    </w:lvl>
    <w:lvl w:ilvl="2" w:tplc="040E0005">
      <w:start w:val="1"/>
      <w:numFmt w:val="bullet"/>
      <w:lvlText w:val=""/>
      <w:lvlJc w:val="left"/>
      <w:pPr>
        <w:ind w:left="2226" w:hanging="360"/>
      </w:pPr>
      <w:rPr>
        <w:rFonts w:ascii="Wingdings" w:hAnsi="Wingdings" w:hint="default"/>
      </w:rPr>
    </w:lvl>
    <w:lvl w:ilvl="3" w:tplc="040E0001">
      <w:start w:val="1"/>
      <w:numFmt w:val="bullet"/>
      <w:lvlText w:val=""/>
      <w:lvlJc w:val="left"/>
      <w:pPr>
        <w:ind w:left="2946" w:hanging="360"/>
      </w:pPr>
      <w:rPr>
        <w:rFonts w:ascii="Symbol" w:hAnsi="Symbol" w:hint="default"/>
      </w:rPr>
    </w:lvl>
    <w:lvl w:ilvl="4" w:tplc="040E0003">
      <w:start w:val="1"/>
      <w:numFmt w:val="bullet"/>
      <w:lvlText w:val="o"/>
      <w:lvlJc w:val="left"/>
      <w:pPr>
        <w:ind w:left="3666" w:hanging="360"/>
      </w:pPr>
      <w:rPr>
        <w:rFonts w:ascii="Courier New" w:hAnsi="Courier New" w:cs="Courier New" w:hint="default"/>
      </w:rPr>
    </w:lvl>
    <w:lvl w:ilvl="5" w:tplc="040E0005">
      <w:start w:val="1"/>
      <w:numFmt w:val="bullet"/>
      <w:lvlText w:val=""/>
      <w:lvlJc w:val="left"/>
      <w:pPr>
        <w:ind w:left="4386" w:hanging="360"/>
      </w:pPr>
      <w:rPr>
        <w:rFonts w:ascii="Wingdings" w:hAnsi="Wingdings" w:hint="default"/>
      </w:rPr>
    </w:lvl>
    <w:lvl w:ilvl="6" w:tplc="040E0001">
      <w:start w:val="1"/>
      <w:numFmt w:val="bullet"/>
      <w:lvlText w:val=""/>
      <w:lvlJc w:val="left"/>
      <w:pPr>
        <w:ind w:left="5106" w:hanging="360"/>
      </w:pPr>
      <w:rPr>
        <w:rFonts w:ascii="Symbol" w:hAnsi="Symbol" w:hint="default"/>
      </w:rPr>
    </w:lvl>
    <w:lvl w:ilvl="7" w:tplc="040E0003">
      <w:start w:val="1"/>
      <w:numFmt w:val="bullet"/>
      <w:lvlText w:val="o"/>
      <w:lvlJc w:val="left"/>
      <w:pPr>
        <w:ind w:left="5826" w:hanging="360"/>
      </w:pPr>
      <w:rPr>
        <w:rFonts w:ascii="Courier New" w:hAnsi="Courier New" w:cs="Courier New" w:hint="default"/>
      </w:rPr>
    </w:lvl>
    <w:lvl w:ilvl="8" w:tplc="040E0005">
      <w:start w:val="1"/>
      <w:numFmt w:val="bullet"/>
      <w:lvlText w:val=""/>
      <w:lvlJc w:val="left"/>
      <w:pPr>
        <w:ind w:left="6546" w:hanging="360"/>
      </w:pPr>
      <w:rPr>
        <w:rFonts w:ascii="Wingdings" w:hAnsi="Wingdings" w:hint="default"/>
      </w:rPr>
    </w:lvl>
  </w:abstractNum>
  <w:abstractNum w:abstractNumId="262" w15:restartNumberingAfterBreak="0">
    <w:nsid w:val="27FA650A"/>
    <w:multiLevelType w:val="hybridMultilevel"/>
    <w:tmpl w:val="F702A1AA"/>
    <w:lvl w:ilvl="0" w:tplc="C3FAE52A">
      <w:numFmt w:val="bullet"/>
      <w:lvlText w:val="-"/>
      <w:lvlJc w:val="left"/>
      <w:pPr>
        <w:ind w:left="1353" w:hanging="360"/>
      </w:pPr>
      <w:rPr>
        <w:rFonts w:ascii="Times New Roman" w:eastAsiaTheme="minorHAnsi" w:hAnsi="Times New Roman" w:cs="Times New Roman" w:hint="default"/>
      </w:rPr>
    </w:lvl>
    <w:lvl w:ilvl="1" w:tplc="040E0003" w:tentative="1">
      <w:start w:val="1"/>
      <w:numFmt w:val="bullet"/>
      <w:lvlText w:val="o"/>
      <w:lvlJc w:val="left"/>
      <w:pPr>
        <w:ind w:left="2073" w:hanging="360"/>
      </w:pPr>
      <w:rPr>
        <w:rFonts w:ascii="Courier New" w:hAnsi="Courier New" w:cs="Courier New" w:hint="default"/>
      </w:rPr>
    </w:lvl>
    <w:lvl w:ilvl="2" w:tplc="040E0005" w:tentative="1">
      <w:start w:val="1"/>
      <w:numFmt w:val="bullet"/>
      <w:lvlText w:val=""/>
      <w:lvlJc w:val="left"/>
      <w:pPr>
        <w:ind w:left="2793" w:hanging="360"/>
      </w:pPr>
      <w:rPr>
        <w:rFonts w:ascii="Wingdings" w:hAnsi="Wingdings" w:hint="default"/>
      </w:rPr>
    </w:lvl>
    <w:lvl w:ilvl="3" w:tplc="040E0001" w:tentative="1">
      <w:start w:val="1"/>
      <w:numFmt w:val="bullet"/>
      <w:lvlText w:val=""/>
      <w:lvlJc w:val="left"/>
      <w:pPr>
        <w:ind w:left="3513" w:hanging="360"/>
      </w:pPr>
      <w:rPr>
        <w:rFonts w:ascii="Symbol" w:hAnsi="Symbol" w:hint="default"/>
      </w:rPr>
    </w:lvl>
    <w:lvl w:ilvl="4" w:tplc="040E0003" w:tentative="1">
      <w:start w:val="1"/>
      <w:numFmt w:val="bullet"/>
      <w:lvlText w:val="o"/>
      <w:lvlJc w:val="left"/>
      <w:pPr>
        <w:ind w:left="4233" w:hanging="360"/>
      </w:pPr>
      <w:rPr>
        <w:rFonts w:ascii="Courier New" w:hAnsi="Courier New" w:cs="Courier New" w:hint="default"/>
      </w:rPr>
    </w:lvl>
    <w:lvl w:ilvl="5" w:tplc="040E0005" w:tentative="1">
      <w:start w:val="1"/>
      <w:numFmt w:val="bullet"/>
      <w:lvlText w:val=""/>
      <w:lvlJc w:val="left"/>
      <w:pPr>
        <w:ind w:left="4953" w:hanging="360"/>
      </w:pPr>
      <w:rPr>
        <w:rFonts w:ascii="Wingdings" w:hAnsi="Wingdings" w:hint="default"/>
      </w:rPr>
    </w:lvl>
    <w:lvl w:ilvl="6" w:tplc="040E0001" w:tentative="1">
      <w:start w:val="1"/>
      <w:numFmt w:val="bullet"/>
      <w:lvlText w:val=""/>
      <w:lvlJc w:val="left"/>
      <w:pPr>
        <w:ind w:left="5673" w:hanging="360"/>
      </w:pPr>
      <w:rPr>
        <w:rFonts w:ascii="Symbol" w:hAnsi="Symbol" w:hint="default"/>
      </w:rPr>
    </w:lvl>
    <w:lvl w:ilvl="7" w:tplc="040E0003" w:tentative="1">
      <w:start w:val="1"/>
      <w:numFmt w:val="bullet"/>
      <w:lvlText w:val="o"/>
      <w:lvlJc w:val="left"/>
      <w:pPr>
        <w:ind w:left="6393" w:hanging="360"/>
      </w:pPr>
      <w:rPr>
        <w:rFonts w:ascii="Courier New" w:hAnsi="Courier New" w:cs="Courier New" w:hint="default"/>
      </w:rPr>
    </w:lvl>
    <w:lvl w:ilvl="8" w:tplc="040E0005" w:tentative="1">
      <w:start w:val="1"/>
      <w:numFmt w:val="bullet"/>
      <w:lvlText w:val=""/>
      <w:lvlJc w:val="left"/>
      <w:pPr>
        <w:ind w:left="7113" w:hanging="360"/>
      </w:pPr>
      <w:rPr>
        <w:rFonts w:ascii="Wingdings" w:hAnsi="Wingdings" w:hint="default"/>
      </w:rPr>
    </w:lvl>
  </w:abstractNum>
  <w:abstractNum w:abstractNumId="263" w15:restartNumberingAfterBreak="0">
    <w:nsid w:val="28155665"/>
    <w:multiLevelType w:val="hybridMultilevel"/>
    <w:tmpl w:val="74CE8B56"/>
    <w:lvl w:ilvl="0" w:tplc="82DA4708">
      <w:start w:val="1"/>
      <w:numFmt w:val="decimal"/>
      <w:lvlText w:val="%1."/>
      <w:lvlJc w:val="left"/>
      <w:pPr>
        <w:ind w:left="720" w:hanging="360"/>
      </w:pPr>
      <w:rPr>
        <w:rFonts w:eastAsiaTheme="minorHAnsi"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4" w15:restartNumberingAfterBreak="0">
    <w:nsid w:val="281971FE"/>
    <w:multiLevelType w:val="hybridMultilevel"/>
    <w:tmpl w:val="F2F66822"/>
    <w:lvl w:ilvl="0" w:tplc="30708DA4">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5" w15:restartNumberingAfterBreak="0">
    <w:nsid w:val="2843542E"/>
    <w:multiLevelType w:val="hybridMultilevel"/>
    <w:tmpl w:val="471EDA0A"/>
    <w:lvl w:ilvl="0" w:tplc="5C1E6FE6">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6" w15:restartNumberingAfterBreak="0">
    <w:nsid w:val="286564F6"/>
    <w:multiLevelType w:val="hybridMultilevel"/>
    <w:tmpl w:val="C0F86890"/>
    <w:lvl w:ilvl="0" w:tplc="A8F41EB8">
      <w:start w:val="1"/>
      <w:numFmt w:val="decimal"/>
      <w:lvlText w:val="%1."/>
      <w:lvlJc w:val="left"/>
      <w:pPr>
        <w:ind w:left="644" w:hanging="360"/>
      </w:pPr>
    </w:lvl>
    <w:lvl w:ilvl="1" w:tplc="040E0019">
      <w:start w:val="1"/>
      <w:numFmt w:val="lowerLetter"/>
      <w:lvlText w:val="%2."/>
      <w:lvlJc w:val="left"/>
      <w:pPr>
        <w:ind w:left="1364" w:hanging="360"/>
      </w:pPr>
    </w:lvl>
    <w:lvl w:ilvl="2" w:tplc="040E001B">
      <w:start w:val="1"/>
      <w:numFmt w:val="lowerRoman"/>
      <w:lvlText w:val="%3."/>
      <w:lvlJc w:val="right"/>
      <w:pPr>
        <w:ind w:left="2084" w:hanging="180"/>
      </w:pPr>
    </w:lvl>
    <w:lvl w:ilvl="3" w:tplc="040E000F">
      <w:start w:val="1"/>
      <w:numFmt w:val="decimal"/>
      <w:lvlText w:val="%4."/>
      <w:lvlJc w:val="left"/>
      <w:pPr>
        <w:ind w:left="2804" w:hanging="360"/>
      </w:pPr>
    </w:lvl>
    <w:lvl w:ilvl="4" w:tplc="040E0019">
      <w:start w:val="1"/>
      <w:numFmt w:val="lowerLetter"/>
      <w:lvlText w:val="%5."/>
      <w:lvlJc w:val="left"/>
      <w:pPr>
        <w:ind w:left="3524" w:hanging="360"/>
      </w:pPr>
    </w:lvl>
    <w:lvl w:ilvl="5" w:tplc="040E001B">
      <w:start w:val="1"/>
      <w:numFmt w:val="lowerRoman"/>
      <w:lvlText w:val="%6."/>
      <w:lvlJc w:val="right"/>
      <w:pPr>
        <w:ind w:left="4244" w:hanging="180"/>
      </w:pPr>
    </w:lvl>
    <w:lvl w:ilvl="6" w:tplc="040E000F">
      <w:start w:val="1"/>
      <w:numFmt w:val="decimal"/>
      <w:lvlText w:val="%7."/>
      <w:lvlJc w:val="left"/>
      <w:pPr>
        <w:ind w:left="4964" w:hanging="360"/>
      </w:pPr>
    </w:lvl>
    <w:lvl w:ilvl="7" w:tplc="040E0019">
      <w:start w:val="1"/>
      <w:numFmt w:val="lowerLetter"/>
      <w:lvlText w:val="%8."/>
      <w:lvlJc w:val="left"/>
      <w:pPr>
        <w:ind w:left="5684" w:hanging="360"/>
      </w:pPr>
    </w:lvl>
    <w:lvl w:ilvl="8" w:tplc="040E001B">
      <w:start w:val="1"/>
      <w:numFmt w:val="lowerRoman"/>
      <w:lvlText w:val="%9."/>
      <w:lvlJc w:val="right"/>
      <w:pPr>
        <w:ind w:left="6404" w:hanging="180"/>
      </w:pPr>
    </w:lvl>
  </w:abstractNum>
  <w:abstractNum w:abstractNumId="267" w15:restartNumberingAfterBreak="0">
    <w:nsid w:val="28D24821"/>
    <w:multiLevelType w:val="multilevel"/>
    <w:tmpl w:val="BA5C0494"/>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68" w15:restartNumberingAfterBreak="0">
    <w:nsid w:val="28F278B9"/>
    <w:multiLevelType w:val="hybridMultilevel"/>
    <w:tmpl w:val="3522B372"/>
    <w:lvl w:ilvl="0" w:tplc="0B3C7FD2">
      <w:numFmt w:val="bullet"/>
      <w:lvlText w:val="-"/>
      <w:lvlJc w:val="left"/>
      <w:pPr>
        <w:ind w:left="1004" w:hanging="360"/>
      </w:pPr>
      <w:rPr>
        <w:rFonts w:ascii="Times New Roman" w:eastAsia="Times New Roman" w:hAnsi="Times New Roman" w:cs="Times New Roman"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269" w15:restartNumberingAfterBreak="0">
    <w:nsid w:val="292B1FAE"/>
    <w:multiLevelType w:val="multilevel"/>
    <w:tmpl w:val="237E0E50"/>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70" w15:restartNumberingAfterBreak="0">
    <w:nsid w:val="293E603F"/>
    <w:multiLevelType w:val="multilevel"/>
    <w:tmpl w:val="FAF666B0"/>
    <w:lvl w:ilvl="0">
      <w:start w:val="1"/>
      <w:numFmt w:val="decimal"/>
      <w:lvlText w:val="%1."/>
      <w:lvlJc w:val="left"/>
      <w:pPr>
        <w:tabs>
          <w:tab w:val="num" w:pos="360"/>
        </w:tabs>
        <w:ind w:left="360" w:hanging="360"/>
      </w:pPr>
      <w:rPr>
        <w:rFonts w:cs="Times New Roman" w:hint="default"/>
        <w:b/>
        <w:i w:val="0"/>
        <w:sz w:val="22"/>
      </w:rPr>
    </w:lvl>
    <w:lvl w:ilvl="1">
      <w:start w:val="1"/>
      <w:numFmt w:val="decimal"/>
      <w:lvlText w:val="%1.%2."/>
      <w:lvlJc w:val="left"/>
      <w:pPr>
        <w:tabs>
          <w:tab w:val="num" w:pos="792"/>
        </w:tabs>
        <w:ind w:left="792" w:hanging="432"/>
      </w:pPr>
      <w:rPr>
        <w:rFonts w:cs="Times New Roman"/>
        <w:b/>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71" w15:restartNumberingAfterBreak="0">
    <w:nsid w:val="294E5942"/>
    <w:multiLevelType w:val="multilevel"/>
    <w:tmpl w:val="4A483618"/>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72" w15:restartNumberingAfterBreak="0">
    <w:nsid w:val="2956129F"/>
    <w:multiLevelType w:val="multilevel"/>
    <w:tmpl w:val="0DDE7DD8"/>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73" w15:restartNumberingAfterBreak="0">
    <w:nsid w:val="29B116CF"/>
    <w:multiLevelType w:val="hybridMultilevel"/>
    <w:tmpl w:val="691A82FE"/>
    <w:lvl w:ilvl="0" w:tplc="8CDC3D98">
      <w:start w:val="1"/>
      <w:numFmt w:val="decimal"/>
      <w:lvlText w:val="%1."/>
      <w:lvlJc w:val="left"/>
      <w:pPr>
        <w:ind w:left="644" w:hanging="360"/>
      </w:pPr>
      <w:rPr>
        <w:rFonts w:eastAsiaTheme="minorHAnsi"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4" w15:restartNumberingAfterBreak="0">
    <w:nsid w:val="2A1056AC"/>
    <w:multiLevelType w:val="hybridMultilevel"/>
    <w:tmpl w:val="9F806E48"/>
    <w:lvl w:ilvl="0" w:tplc="075EFEE6">
      <w:start w:val="1"/>
      <w:numFmt w:val="decimal"/>
      <w:lvlText w:val="%1."/>
      <w:lvlJc w:val="left"/>
      <w:pPr>
        <w:ind w:left="1068" w:hanging="360"/>
      </w:pPr>
      <w:rPr>
        <w:rFonts w:hint="default"/>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5" w15:restartNumberingAfterBreak="0">
    <w:nsid w:val="2A11021E"/>
    <w:multiLevelType w:val="hybridMultilevel"/>
    <w:tmpl w:val="D0B2F502"/>
    <w:lvl w:ilvl="0" w:tplc="F90AA5CA">
      <w:numFmt w:val="bullet"/>
      <w:lvlText w:val="-"/>
      <w:lvlJc w:val="left"/>
      <w:pPr>
        <w:ind w:left="1145" w:hanging="360"/>
      </w:pPr>
      <w:rPr>
        <w:rFonts w:ascii="Times New Roman" w:eastAsia="Times New Roman" w:hAnsi="Times New Roman"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276" w15:restartNumberingAfterBreak="0">
    <w:nsid w:val="2A293230"/>
    <w:multiLevelType w:val="multilevel"/>
    <w:tmpl w:val="7C183432"/>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4"/>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77" w15:restartNumberingAfterBreak="0">
    <w:nsid w:val="2A604F9C"/>
    <w:multiLevelType w:val="multilevel"/>
    <w:tmpl w:val="1B32A0CC"/>
    <w:lvl w:ilvl="0">
      <w:start w:val="1"/>
      <w:numFmt w:val="decimal"/>
      <w:lvlText w:val="%1."/>
      <w:lvlJc w:val="right"/>
      <w:pPr>
        <w:tabs>
          <w:tab w:val="num" w:pos="720"/>
        </w:tabs>
        <w:ind w:left="720" w:hanging="360"/>
      </w:pPr>
      <w:rPr>
        <w:rFonts w:ascii="Times New Roman" w:hAnsi="Times New Roman" w:cs="Times New Roman" w:hint="default"/>
        <w:b w:val="0"/>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78" w15:restartNumberingAfterBreak="0">
    <w:nsid w:val="2A694497"/>
    <w:multiLevelType w:val="multilevel"/>
    <w:tmpl w:val="01580B52"/>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79" w15:restartNumberingAfterBreak="0">
    <w:nsid w:val="2A6B797D"/>
    <w:multiLevelType w:val="hybridMultilevel"/>
    <w:tmpl w:val="0CF0D1F8"/>
    <w:lvl w:ilvl="0" w:tplc="F29CF34C">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280" w15:restartNumberingAfterBreak="0">
    <w:nsid w:val="2A7D498C"/>
    <w:multiLevelType w:val="hybridMultilevel"/>
    <w:tmpl w:val="78585EAA"/>
    <w:lvl w:ilvl="0" w:tplc="3C028E52">
      <w:start w:val="1"/>
      <w:numFmt w:val="decimal"/>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1" w15:restartNumberingAfterBreak="0">
    <w:nsid w:val="2A913195"/>
    <w:multiLevelType w:val="hybridMultilevel"/>
    <w:tmpl w:val="AE4AEF46"/>
    <w:lvl w:ilvl="0" w:tplc="A32EBA0E">
      <w:start w:val="1"/>
      <w:numFmt w:val="decimal"/>
      <w:lvlText w:val="%1."/>
      <w:lvlJc w:val="left"/>
      <w:pPr>
        <w:ind w:left="644" w:hanging="360"/>
      </w:pPr>
      <w:rPr>
        <w:rFonts w:eastAsiaTheme="minorHAnsi"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2" w15:restartNumberingAfterBreak="0">
    <w:nsid w:val="2A913B28"/>
    <w:multiLevelType w:val="hybridMultilevel"/>
    <w:tmpl w:val="B74C6854"/>
    <w:lvl w:ilvl="0" w:tplc="F90AA5CA">
      <w:numFmt w:val="bullet"/>
      <w:lvlText w:val="-"/>
      <w:lvlJc w:val="left"/>
      <w:pPr>
        <w:ind w:left="1145" w:hanging="360"/>
      </w:pPr>
      <w:rPr>
        <w:rFonts w:ascii="Times New Roman" w:eastAsia="Times New Roman" w:hAnsi="Times New Roman" w:cs="Times New Roman" w:hint="default"/>
      </w:rPr>
    </w:lvl>
    <w:lvl w:ilvl="1" w:tplc="040E0003">
      <w:start w:val="1"/>
      <w:numFmt w:val="bullet"/>
      <w:lvlText w:val="o"/>
      <w:lvlJc w:val="left"/>
      <w:pPr>
        <w:ind w:left="1865" w:hanging="360"/>
      </w:pPr>
      <w:rPr>
        <w:rFonts w:ascii="Courier New" w:hAnsi="Courier New" w:cs="Courier New" w:hint="default"/>
      </w:rPr>
    </w:lvl>
    <w:lvl w:ilvl="2" w:tplc="040E0005">
      <w:start w:val="1"/>
      <w:numFmt w:val="bullet"/>
      <w:lvlText w:val=""/>
      <w:lvlJc w:val="left"/>
      <w:pPr>
        <w:ind w:left="2585" w:hanging="360"/>
      </w:pPr>
      <w:rPr>
        <w:rFonts w:ascii="Wingdings" w:hAnsi="Wingdings" w:hint="default"/>
      </w:rPr>
    </w:lvl>
    <w:lvl w:ilvl="3" w:tplc="040E0001">
      <w:start w:val="1"/>
      <w:numFmt w:val="bullet"/>
      <w:lvlText w:val=""/>
      <w:lvlJc w:val="left"/>
      <w:pPr>
        <w:ind w:left="3305" w:hanging="360"/>
      </w:pPr>
      <w:rPr>
        <w:rFonts w:ascii="Symbol" w:hAnsi="Symbol" w:hint="default"/>
      </w:rPr>
    </w:lvl>
    <w:lvl w:ilvl="4" w:tplc="040E0003">
      <w:start w:val="1"/>
      <w:numFmt w:val="bullet"/>
      <w:lvlText w:val="o"/>
      <w:lvlJc w:val="left"/>
      <w:pPr>
        <w:ind w:left="4025" w:hanging="360"/>
      </w:pPr>
      <w:rPr>
        <w:rFonts w:ascii="Courier New" w:hAnsi="Courier New" w:cs="Courier New" w:hint="default"/>
      </w:rPr>
    </w:lvl>
    <w:lvl w:ilvl="5" w:tplc="040E0005">
      <w:start w:val="1"/>
      <w:numFmt w:val="bullet"/>
      <w:lvlText w:val=""/>
      <w:lvlJc w:val="left"/>
      <w:pPr>
        <w:ind w:left="4745" w:hanging="360"/>
      </w:pPr>
      <w:rPr>
        <w:rFonts w:ascii="Wingdings" w:hAnsi="Wingdings" w:hint="default"/>
      </w:rPr>
    </w:lvl>
    <w:lvl w:ilvl="6" w:tplc="040E0001">
      <w:start w:val="1"/>
      <w:numFmt w:val="bullet"/>
      <w:lvlText w:val=""/>
      <w:lvlJc w:val="left"/>
      <w:pPr>
        <w:ind w:left="5465" w:hanging="360"/>
      </w:pPr>
      <w:rPr>
        <w:rFonts w:ascii="Symbol" w:hAnsi="Symbol" w:hint="default"/>
      </w:rPr>
    </w:lvl>
    <w:lvl w:ilvl="7" w:tplc="040E0003">
      <w:start w:val="1"/>
      <w:numFmt w:val="bullet"/>
      <w:lvlText w:val="o"/>
      <w:lvlJc w:val="left"/>
      <w:pPr>
        <w:ind w:left="6185" w:hanging="360"/>
      </w:pPr>
      <w:rPr>
        <w:rFonts w:ascii="Courier New" w:hAnsi="Courier New" w:cs="Courier New" w:hint="default"/>
      </w:rPr>
    </w:lvl>
    <w:lvl w:ilvl="8" w:tplc="040E0005">
      <w:start w:val="1"/>
      <w:numFmt w:val="bullet"/>
      <w:lvlText w:val=""/>
      <w:lvlJc w:val="left"/>
      <w:pPr>
        <w:ind w:left="6905" w:hanging="360"/>
      </w:pPr>
      <w:rPr>
        <w:rFonts w:ascii="Wingdings" w:hAnsi="Wingdings" w:hint="default"/>
      </w:rPr>
    </w:lvl>
  </w:abstractNum>
  <w:abstractNum w:abstractNumId="283" w15:restartNumberingAfterBreak="0">
    <w:nsid w:val="2A96746B"/>
    <w:multiLevelType w:val="hybridMultilevel"/>
    <w:tmpl w:val="1108C7D0"/>
    <w:lvl w:ilvl="0" w:tplc="F29CF34C">
      <w:start w:val="1"/>
      <w:numFmt w:val="bullet"/>
      <w:lvlText w:val=""/>
      <w:lvlJc w:val="left"/>
      <w:pPr>
        <w:ind w:left="1145" w:hanging="360"/>
      </w:pPr>
      <w:rPr>
        <w:rFonts w:ascii="Symbol" w:hAnsi="Symbol" w:hint="default"/>
      </w:rPr>
    </w:lvl>
    <w:lvl w:ilvl="1" w:tplc="040E0003">
      <w:start w:val="1"/>
      <w:numFmt w:val="bullet"/>
      <w:lvlText w:val="o"/>
      <w:lvlJc w:val="left"/>
      <w:pPr>
        <w:ind w:left="1865" w:hanging="360"/>
      </w:pPr>
      <w:rPr>
        <w:rFonts w:ascii="Courier New" w:hAnsi="Courier New" w:cs="Courier New" w:hint="default"/>
      </w:rPr>
    </w:lvl>
    <w:lvl w:ilvl="2" w:tplc="040E0005">
      <w:start w:val="1"/>
      <w:numFmt w:val="bullet"/>
      <w:lvlText w:val=""/>
      <w:lvlJc w:val="left"/>
      <w:pPr>
        <w:ind w:left="2585" w:hanging="360"/>
      </w:pPr>
      <w:rPr>
        <w:rFonts w:ascii="Wingdings" w:hAnsi="Wingdings" w:hint="default"/>
      </w:rPr>
    </w:lvl>
    <w:lvl w:ilvl="3" w:tplc="040E0001">
      <w:start w:val="1"/>
      <w:numFmt w:val="bullet"/>
      <w:lvlText w:val=""/>
      <w:lvlJc w:val="left"/>
      <w:pPr>
        <w:ind w:left="3305" w:hanging="360"/>
      </w:pPr>
      <w:rPr>
        <w:rFonts w:ascii="Symbol" w:hAnsi="Symbol" w:hint="default"/>
      </w:rPr>
    </w:lvl>
    <w:lvl w:ilvl="4" w:tplc="040E0003">
      <w:start w:val="1"/>
      <w:numFmt w:val="bullet"/>
      <w:lvlText w:val="o"/>
      <w:lvlJc w:val="left"/>
      <w:pPr>
        <w:ind w:left="4025" w:hanging="360"/>
      </w:pPr>
      <w:rPr>
        <w:rFonts w:ascii="Courier New" w:hAnsi="Courier New" w:cs="Courier New" w:hint="default"/>
      </w:rPr>
    </w:lvl>
    <w:lvl w:ilvl="5" w:tplc="040E0005">
      <w:start w:val="1"/>
      <w:numFmt w:val="bullet"/>
      <w:lvlText w:val=""/>
      <w:lvlJc w:val="left"/>
      <w:pPr>
        <w:ind w:left="4745" w:hanging="360"/>
      </w:pPr>
      <w:rPr>
        <w:rFonts w:ascii="Wingdings" w:hAnsi="Wingdings" w:hint="default"/>
      </w:rPr>
    </w:lvl>
    <w:lvl w:ilvl="6" w:tplc="040E0001">
      <w:start w:val="1"/>
      <w:numFmt w:val="bullet"/>
      <w:lvlText w:val=""/>
      <w:lvlJc w:val="left"/>
      <w:pPr>
        <w:ind w:left="5465" w:hanging="360"/>
      </w:pPr>
      <w:rPr>
        <w:rFonts w:ascii="Symbol" w:hAnsi="Symbol" w:hint="default"/>
      </w:rPr>
    </w:lvl>
    <w:lvl w:ilvl="7" w:tplc="040E0003">
      <w:start w:val="1"/>
      <w:numFmt w:val="bullet"/>
      <w:lvlText w:val="o"/>
      <w:lvlJc w:val="left"/>
      <w:pPr>
        <w:ind w:left="6185" w:hanging="360"/>
      </w:pPr>
      <w:rPr>
        <w:rFonts w:ascii="Courier New" w:hAnsi="Courier New" w:cs="Courier New" w:hint="default"/>
      </w:rPr>
    </w:lvl>
    <w:lvl w:ilvl="8" w:tplc="040E0005">
      <w:start w:val="1"/>
      <w:numFmt w:val="bullet"/>
      <w:lvlText w:val=""/>
      <w:lvlJc w:val="left"/>
      <w:pPr>
        <w:ind w:left="6905" w:hanging="360"/>
      </w:pPr>
      <w:rPr>
        <w:rFonts w:ascii="Wingdings" w:hAnsi="Wingdings" w:hint="default"/>
      </w:rPr>
    </w:lvl>
  </w:abstractNum>
  <w:abstractNum w:abstractNumId="284" w15:restartNumberingAfterBreak="0">
    <w:nsid w:val="2AB924EC"/>
    <w:multiLevelType w:val="multilevel"/>
    <w:tmpl w:val="03067E86"/>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85" w15:restartNumberingAfterBreak="0">
    <w:nsid w:val="2AC34784"/>
    <w:multiLevelType w:val="multilevel"/>
    <w:tmpl w:val="0694C45C"/>
    <w:lvl w:ilvl="0">
      <w:start w:val="1"/>
      <w:numFmt w:val="decimal"/>
      <w:lvlText w:val="%1."/>
      <w:lvlJc w:val="right"/>
      <w:pPr>
        <w:tabs>
          <w:tab w:val="num" w:pos="720"/>
        </w:tabs>
        <w:ind w:left="720" w:hanging="360"/>
      </w:pPr>
      <w:rPr>
        <w:rFonts w:ascii="Times New Roman" w:hAnsi="Times New Roman" w:cs="Times New Roman" w:hint="default"/>
        <w:b w:val="0"/>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86" w15:restartNumberingAfterBreak="0">
    <w:nsid w:val="2B330EE2"/>
    <w:multiLevelType w:val="hybridMultilevel"/>
    <w:tmpl w:val="508EB028"/>
    <w:lvl w:ilvl="0" w:tplc="7E560EF0">
      <w:start w:val="1"/>
      <w:numFmt w:val="decimal"/>
      <w:lvlText w:val="%1."/>
      <w:lvlJc w:val="left"/>
      <w:pPr>
        <w:ind w:left="786" w:hanging="360"/>
      </w:pPr>
      <w:rPr>
        <w:rFonts w:hint="default"/>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7" w15:restartNumberingAfterBreak="0">
    <w:nsid w:val="2B337FDB"/>
    <w:multiLevelType w:val="hybridMultilevel"/>
    <w:tmpl w:val="87CC3D2A"/>
    <w:lvl w:ilvl="0" w:tplc="7FDCAB26">
      <w:start w:val="1"/>
      <w:numFmt w:val="decimal"/>
      <w:lvlText w:val="%1."/>
      <w:lvlJc w:val="left"/>
      <w:pPr>
        <w:ind w:left="644" w:hanging="360"/>
      </w:pPr>
      <w:rPr>
        <w:rFonts w:eastAsiaTheme="minorHAnsi"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8" w15:restartNumberingAfterBreak="0">
    <w:nsid w:val="2B435388"/>
    <w:multiLevelType w:val="hybridMultilevel"/>
    <w:tmpl w:val="25689198"/>
    <w:lvl w:ilvl="0" w:tplc="040E000F">
      <w:start w:val="1"/>
      <w:numFmt w:val="decimal"/>
      <w:lvlText w:val="%1."/>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9" w15:restartNumberingAfterBreak="0">
    <w:nsid w:val="2B5F136C"/>
    <w:multiLevelType w:val="hybridMultilevel"/>
    <w:tmpl w:val="8E745C10"/>
    <w:lvl w:ilvl="0" w:tplc="2F6821F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0" w15:restartNumberingAfterBreak="0">
    <w:nsid w:val="2B6D21A0"/>
    <w:multiLevelType w:val="multilevel"/>
    <w:tmpl w:val="729652EA"/>
    <w:lvl w:ilvl="0">
      <w:start w:val="8"/>
      <w:numFmt w:val="decimal"/>
      <w:lvlText w:val="%1."/>
      <w:lvlJc w:val="left"/>
      <w:pPr>
        <w:ind w:left="540" w:hanging="540"/>
      </w:pPr>
      <w:rPr>
        <w:rFonts w:hint="default"/>
      </w:rPr>
    </w:lvl>
    <w:lvl w:ilvl="1">
      <w:start w:val="1"/>
      <w:numFmt w:val="decimal"/>
      <w:lvlText w:val="%1.%2."/>
      <w:lvlJc w:val="left"/>
      <w:pPr>
        <w:ind w:left="753" w:hanging="54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291" w15:restartNumberingAfterBreak="0">
    <w:nsid w:val="2B8F526D"/>
    <w:multiLevelType w:val="hybridMultilevel"/>
    <w:tmpl w:val="D1DC8DBE"/>
    <w:lvl w:ilvl="0" w:tplc="F90AA5CA">
      <w:numFmt w:val="bullet"/>
      <w:lvlText w:val="-"/>
      <w:lvlJc w:val="left"/>
      <w:pPr>
        <w:ind w:left="1145" w:hanging="360"/>
      </w:pPr>
      <w:rPr>
        <w:rFonts w:ascii="Times New Roman" w:eastAsia="Times New Roman" w:hAnsi="Times New Roman"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292" w15:restartNumberingAfterBreak="0">
    <w:nsid w:val="2C2F3DCE"/>
    <w:multiLevelType w:val="hybridMultilevel"/>
    <w:tmpl w:val="75F46E30"/>
    <w:lvl w:ilvl="0" w:tplc="E0F8417A">
      <w:start w:val="1"/>
      <w:numFmt w:val="decimal"/>
      <w:lvlText w:val="%1."/>
      <w:lvlJc w:val="left"/>
      <w:pPr>
        <w:ind w:left="144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3" w15:restartNumberingAfterBreak="0">
    <w:nsid w:val="2C3B0EEF"/>
    <w:multiLevelType w:val="hybridMultilevel"/>
    <w:tmpl w:val="3C6A30F2"/>
    <w:lvl w:ilvl="0" w:tplc="0E82DEC2">
      <w:start w:val="1"/>
      <w:numFmt w:val="decimal"/>
      <w:lvlText w:val="%1."/>
      <w:lvlJc w:val="left"/>
      <w:pPr>
        <w:ind w:left="108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294" w15:restartNumberingAfterBreak="0">
    <w:nsid w:val="2C69722F"/>
    <w:multiLevelType w:val="hybridMultilevel"/>
    <w:tmpl w:val="850808A2"/>
    <w:lvl w:ilvl="0" w:tplc="55424F72">
      <w:start w:val="1"/>
      <w:numFmt w:val="decimal"/>
      <w:lvlText w:val="%1."/>
      <w:lvlJc w:val="left"/>
      <w:pPr>
        <w:ind w:left="1636" w:hanging="360"/>
      </w:pPr>
      <w:rPr>
        <w:rFonts w:hint="default"/>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5" w15:restartNumberingAfterBreak="0">
    <w:nsid w:val="2C7675F1"/>
    <w:multiLevelType w:val="hybridMultilevel"/>
    <w:tmpl w:val="F92CA01E"/>
    <w:lvl w:ilvl="0" w:tplc="EDFC6FEC">
      <w:numFmt w:val="bullet"/>
      <w:lvlText w:val="-"/>
      <w:lvlJc w:val="left"/>
      <w:pPr>
        <w:ind w:left="1146" w:hanging="360"/>
      </w:pPr>
      <w:rPr>
        <w:rFonts w:ascii="Times New Roman" w:eastAsia="Times New Roman" w:hAnsi="Times New Roman"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296" w15:restartNumberingAfterBreak="0">
    <w:nsid w:val="2C7D03DE"/>
    <w:multiLevelType w:val="hybridMultilevel"/>
    <w:tmpl w:val="327C0BC6"/>
    <w:lvl w:ilvl="0" w:tplc="F90AA5CA">
      <w:numFmt w:val="bullet"/>
      <w:lvlText w:val="-"/>
      <w:lvlJc w:val="left"/>
      <w:pPr>
        <w:ind w:left="1146" w:hanging="360"/>
      </w:pPr>
      <w:rPr>
        <w:rFonts w:ascii="Times New Roman" w:eastAsia="Times New Roman" w:hAnsi="Times New Roman" w:cs="Times New Roman" w:hint="default"/>
      </w:rPr>
    </w:lvl>
    <w:lvl w:ilvl="1" w:tplc="040E0003">
      <w:start w:val="1"/>
      <w:numFmt w:val="bullet"/>
      <w:lvlText w:val="o"/>
      <w:lvlJc w:val="left"/>
      <w:pPr>
        <w:ind w:left="1866" w:hanging="360"/>
      </w:pPr>
      <w:rPr>
        <w:rFonts w:ascii="Courier New" w:hAnsi="Courier New" w:cs="Courier New" w:hint="default"/>
      </w:rPr>
    </w:lvl>
    <w:lvl w:ilvl="2" w:tplc="040E0005">
      <w:start w:val="1"/>
      <w:numFmt w:val="bullet"/>
      <w:lvlText w:val=""/>
      <w:lvlJc w:val="left"/>
      <w:pPr>
        <w:ind w:left="2586" w:hanging="360"/>
      </w:pPr>
      <w:rPr>
        <w:rFonts w:ascii="Wingdings" w:hAnsi="Wingdings" w:hint="default"/>
      </w:rPr>
    </w:lvl>
    <w:lvl w:ilvl="3" w:tplc="040E0001">
      <w:start w:val="1"/>
      <w:numFmt w:val="bullet"/>
      <w:lvlText w:val=""/>
      <w:lvlJc w:val="left"/>
      <w:pPr>
        <w:ind w:left="3306" w:hanging="360"/>
      </w:pPr>
      <w:rPr>
        <w:rFonts w:ascii="Symbol" w:hAnsi="Symbol" w:hint="default"/>
      </w:rPr>
    </w:lvl>
    <w:lvl w:ilvl="4" w:tplc="040E0003">
      <w:start w:val="1"/>
      <w:numFmt w:val="bullet"/>
      <w:lvlText w:val="o"/>
      <w:lvlJc w:val="left"/>
      <w:pPr>
        <w:ind w:left="4026" w:hanging="360"/>
      </w:pPr>
      <w:rPr>
        <w:rFonts w:ascii="Courier New" w:hAnsi="Courier New" w:cs="Courier New" w:hint="default"/>
      </w:rPr>
    </w:lvl>
    <w:lvl w:ilvl="5" w:tplc="040E0005">
      <w:start w:val="1"/>
      <w:numFmt w:val="bullet"/>
      <w:lvlText w:val=""/>
      <w:lvlJc w:val="left"/>
      <w:pPr>
        <w:ind w:left="4746" w:hanging="360"/>
      </w:pPr>
      <w:rPr>
        <w:rFonts w:ascii="Wingdings" w:hAnsi="Wingdings" w:hint="default"/>
      </w:rPr>
    </w:lvl>
    <w:lvl w:ilvl="6" w:tplc="040E0001">
      <w:start w:val="1"/>
      <w:numFmt w:val="bullet"/>
      <w:lvlText w:val=""/>
      <w:lvlJc w:val="left"/>
      <w:pPr>
        <w:ind w:left="5466" w:hanging="360"/>
      </w:pPr>
      <w:rPr>
        <w:rFonts w:ascii="Symbol" w:hAnsi="Symbol" w:hint="default"/>
      </w:rPr>
    </w:lvl>
    <w:lvl w:ilvl="7" w:tplc="040E0003">
      <w:start w:val="1"/>
      <w:numFmt w:val="bullet"/>
      <w:lvlText w:val="o"/>
      <w:lvlJc w:val="left"/>
      <w:pPr>
        <w:ind w:left="6186" w:hanging="360"/>
      </w:pPr>
      <w:rPr>
        <w:rFonts w:ascii="Courier New" w:hAnsi="Courier New" w:cs="Courier New" w:hint="default"/>
      </w:rPr>
    </w:lvl>
    <w:lvl w:ilvl="8" w:tplc="040E0005">
      <w:start w:val="1"/>
      <w:numFmt w:val="bullet"/>
      <w:lvlText w:val=""/>
      <w:lvlJc w:val="left"/>
      <w:pPr>
        <w:ind w:left="6906" w:hanging="360"/>
      </w:pPr>
      <w:rPr>
        <w:rFonts w:ascii="Wingdings" w:hAnsi="Wingdings" w:hint="default"/>
      </w:rPr>
    </w:lvl>
  </w:abstractNum>
  <w:abstractNum w:abstractNumId="297" w15:restartNumberingAfterBreak="0">
    <w:nsid w:val="2C9E62C9"/>
    <w:multiLevelType w:val="multilevel"/>
    <w:tmpl w:val="C3C85F82"/>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3."/>
      <w:lvlJc w:val="left"/>
      <w:pPr>
        <w:tabs>
          <w:tab w:val="num" w:pos="1800"/>
        </w:tabs>
        <w:ind w:left="1584" w:hanging="504"/>
      </w:pPr>
      <w:rPr>
        <w:rFonts w:hint="default"/>
        <w:b w:val="0"/>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98" w15:restartNumberingAfterBreak="0">
    <w:nsid w:val="2CF8516D"/>
    <w:multiLevelType w:val="multilevel"/>
    <w:tmpl w:val="C5144918"/>
    <w:lvl w:ilvl="0">
      <w:start w:val="11"/>
      <w:numFmt w:val="decimal"/>
      <w:lvlText w:val="%1."/>
      <w:lvlJc w:val="left"/>
      <w:pPr>
        <w:tabs>
          <w:tab w:val="num" w:pos="360"/>
        </w:tabs>
        <w:ind w:left="360" w:hanging="360"/>
      </w:pPr>
      <w:rPr>
        <w:rFonts w:cs="Times New Roman"/>
        <w:b/>
        <w:i w:val="0"/>
        <w:sz w:val="24"/>
      </w:rPr>
    </w:lvl>
    <w:lvl w:ilvl="1">
      <w:start w:val="1"/>
      <w:numFmt w:val="decimal"/>
      <w:lvlText w:val="%1.%2."/>
      <w:lvlJc w:val="left"/>
      <w:pPr>
        <w:tabs>
          <w:tab w:val="num" w:pos="792"/>
        </w:tabs>
        <w:ind w:left="792" w:hanging="432"/>
      </w:pPr>
      <w:rPr>
        <w:rFonts w:cs="Times New Roman"/>
        <w:b/>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99" w15:restartNumberingAfterBreak="0">
    <w:nsid w:val="2D1D72B1"/>
    <w:multiLevelType w:val="multilevel"/>
    <w:tmpl w:val="26B66184"/>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00" w15:restartNumberingAfterBreak="0">
    <w:nsid w:val="2D543AE4"/>
    <w:multiLevelType w:val="hybridMultilevel"/>
    <w:tmpl w:val="04CC3F08"/>
    <w:lvl w:ilvl="0" w:tplc="F90AA5CA">
      <w:numFmt w:val="bullet"/>
      <w:lvlText w:val="-"/>
      <w:lvlJc w:val="left"/>
      <w:pPr>
        <w:ind w:left="1146" w:hanging="360"/>
      </w:pPr>
      <w:rPr>
        <w:rFonts w:ascii="Times New Roman" w:eastAsia="Times New Roman" w:hAnsi="Times New Roman"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301" w15:restartNumberingAfterBreak="0">
    <w:nsid w:val="2D6A6985"/>
    <w:multiLevelType w:val="hybridMultilevel"/>
    <w:tmpl w:val="858E161C"/>
    <w:lvl w:ilvl="0" w:tplc="A06A956A">
      <w:start w:val="8"/>
      <w:numFmt w:val="bullet"/>
      <w:lvlText w:val="-"/>
      <w:lvlJc w:val="left"/>
      <w:pPr>
        <w:ind w:left="786" w:hanging="360"/>
      </w:pPr>
      <w:rPr>
        <w:rFonts w:ascii="Times New Roman" w:eastAsia="Times New Roman" w:hAnsi="Times New Roman" w:cs="Times New Roman"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302" w15:restartNumberingAfterBreak="0">
    <w:nsid w:val="2E2F71D0"/>
    <w:multiLevelType w:val="multilevel"/>
    <w:tmpl w:val="52B8AF8E"/>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03" w15:restartNumberingAfterBreak="0">
    <w:nsid w:val="2E4D0803"/>
    <w:multiLevelType w:val="hybridMultilevel"/>
    <w:tmpl w:val="2B3042BC"/>
    <w:lvl w:ilvl="0" w:tplc="F90AA5CA">
      <w:numFmt w:val="bullet"/>
      <w:lvlText w:val="-"/>
      <w:lvlJc w:val="left"/>
      <w:pPr>
        <w:ind w:left="1146" w:hanging="360"/>
      </w:pPr>
      <w:rPr>
        <w:rFonts w:ascii="Times New Roman" w:eastAsia="Times New Roman" w:hAnsi="Times New Roman"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304" w15:restartNumberingAfterBreak="0">
    <w:nsid w:val="2E5B1905"/>
    <w:multiLevelType w:val="hybridMultilevel"/>
    <w:tmpl w:val="2D6A9C38"/>
    <w:lvl w:ilvl="0" w:tplc="CD920C0A">
      <w:start w:val="8"/>
      <w:numFmt w:val="bullet"/>
      <w:lvlText w:val="-"/>
      <w:lvlJc w:val="left"/>
      <w:pPr>
        <w:ind w:left="786" w:hanging="360"/>
      </w:pPr>
      <w:rPr>
        <w:rFonts w:ascii="Times New Roman" w:eastAsia="Times New Roman" w:hAnsi="Times New Roman" w:cs="Times New Roman"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305" w15:restartNumberingAfterBreak="0">
    <w:nsid w:val="2E621D30"/>
    <w:multiLevelType w:val="multilevel"/>
    <w:tmpl w:val="FFE0F51C"/>
    <w:lvl w:ilvl="0">
      <w:start w:val="1"/>
      <w:numFmt w:val="decimal"/>
      <w:lvlText w:val="%1."/>
      <w:lvlJc w:val="right"/>
      <w:pPr>
        <w:tabs>
          <w:tab w:val="num" w:pos="502"/>
        </w:tabs>
        <w:ind w:left="502" w:hanging="360"/>
      </w:pPr>
      <w:rPr>
        <w:rFonts w:ascii="Times New Roman" w:hAnsi="Times New Roman" w:cs="Times New Roman"/>
        <w:b/>
        <w:i w:val="0"/>
        <w:caps w:val="0"/>
        <w:smallCaps w:val="0"/>
        <w:strike w:val="0"/>
        <w:dstrike w:val="0"/>
        <w:vanish w:val="0"/>
        <w:webHidden w:val="0"/>
        <w:color w:val="000000"/>
        <w:position w:val="0"/>
        <w:sz w:val="24"/>
        <w:szCs w:val="24"/>
        <w:u w:val="none"/>
        <w:effect w:val="none"/>
        <w:vertAlign w:val="baseline"/>
        <w:specVanish w:val="0"/>
      </w:rPr>
    </w:lvl>
    <w:lvl w:ilvl="1">
      <w:start w:val="1"/>
      <w:numFmt w:val="decimal"/>
      <w:lvlText w:val="%1.%2."/>
      <w:lvlJc w:val="left"/>
      <w:pPr>
        <w:tabs>
          <w:tab w:val="num" w:pos="3977"/>
        </w:tabs>
        <w:ind w:left="3977" w:hanging="432"/>
      </w:pPr>
      <w:rPr>
        <w:rFonts w:ascii="Times New Roman" w:hAnsi="Times New Roman"/>
        <w:b/>
        <w:bCs/>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06" w15:restartNumberingAfterBreak="0">
    <w:nsid w:val="2E663399"/>
    <w:multiLevelType w:val="multilevel"/>
    <w:tmpl w:val="A29A83C0"/>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07" w15:restartNumberingAfterBreak="0">
    <w:nsid w:val="2E7735F0"/>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308" w15:restartNumberingAfterBreak="0">
    <w:nsid w:val="2E775546"/>
    <w:multiLevelType w:val="hybridMultilevel"/>
    <w:tmpl w:val="B8BA6950"/>
    <w:lvl w:ilvl="0" w:tplc="9A56662A">
      <w:numFmt w:val="bullet"/>
      <w:lvlText w:val="–"/>
      <w:lvlJc w:val="left"/>
      <w:pPr>
        <w:ind w:left="786" w:hanging="360"/>
      </w:pPr>
      <w:rPr>
        <w:rFonts w:ascii="Times New Roman" w:eastAsia="Times New Roman" w:hAnsi="Times New Roman" w:cs="Times New Roman" w:hint="default"/>
      </w:rPr>
    </w:lvl>
    <w:lvl w:ilvl="1" w:tplc="040E0003">
      <w:start w:val="1"/>
      <w:numFmt w:val="bullet"/>
      <w:lvlText w:val="o"/>
      <w:lvlJc w:val="left"/>
      <w:pPr>
        <w:ind w:left="1506" w:hanging="360"/>
      </w:pPr>
      <w:rPr>
        <w:rFonts w:ascii="Courier New" w:hAnsi="Courier New" w:cs="Courier New" w:hint="default"/>
      </w:rPr>
    </w:lvl>
    <w:lvl w:ilvl="2" w:tplc="040E0005">
      <w:start w:val="1"/>
      <w:numFmt w:val="bullet"/>
      <w:lvlText w:val=""/>
      <w:lvlJc w:val="left"/>
      <w:pPr>
        <w:ind w:left="2226" w:hanging="360"/>
      </w:pPr>
      <w:rPr>
        <w:rFonts w:ascii="Wingdings" w:hAnsi="Wingdings" w:hint="default"/>
      </w:rPr>
    </w:lvl>
    <w:lvl w:ilvl="3" w:tplc="040E0001">
      <w:start w:val="1"/>
      <w:numFmt w:val="bullet"/>
      <w:lvlText w:val=""/>
      <w:lvlJc w:val="left"/>
      <w:pPr>
        <w:ind w:left="2946" w:hanging="360"/>
      </w:pPr>
      <w:rPr>
        <w:rFonts w:ascii="Symbol" w:hAnsi="Symbol" w:hint="default"/>
      </w:rPr>
    </w:lvl>
    <w:lvl w:ilvl="4" w:tplc="040E0003">
      <w:start w:val="1"/>
      <w:numFmt w:val="bullet"/>
      <w:lvlText w:val="o"/>
      <w:lvlJc w:val="left"/>
      <w:pPr>
        <w:ind w:left="3666" w:hanging="360"/>
      </w:pPr>
      <w:rPr>
        <w:rFonts w:ascii="Courier New" w:hAnsi="Courier New" w:cs="Courier New" w:hint="default"/>
      </w:rPr>
    </w:lvl>
    <w:lvl w:ilvl="5" w:tplc="040E0005">
      <w:start w:val="1"/>
      <w:numFmt w:val="bullet"/>
      <w:lvlText w:val=""/>
      <w:lvlJc w:val="left"/>
      <w:pPr>
        <w:ind w:left="4386" w:hanging="360"/>
      </w:pPr>
      <w:rPr>
        <w:rFonts w:ascii="Wingdings" w:hAnsi="Wingdings" w:hint="default"/>
      </w:rPr>
    </w:lvl>
    <w:lvl w:ilvl="6" w:tplc="040E0001">
      <w:start w:val="1"/>
      <w:numFmt w:val="bullet"/>
      <w:lvlText w:val=""/>
      <w:lvlJc w:val="left"/>
      <w:pPr>
        <w:ind w:left="5106" w:hanging="360"/>
      </w:pPr>
      <w:rPr>
        <w:rFonts w:ascii="Symbol" w:hAnsi="Symbol" w:hint="default"/>
      </w:rPr>
    </w:lvl>
    <w:lvl w:ilvl="7" w:tplc="040E0003">
      <w:start w:val="1"/>
      <w:numFmt w:val="bullet"/>
      <w:lvlText w:val="o"/>
      <w:lvlJc w:val="left"/>
      <w:pPr>
        <w:ind w:left="5826" w:hanging="360"/>
      </w:pPr>
      <w:rPr>
        <w:rFonts w:ascii="Courier New" w:hAnsi="Courier New" w:cs="Courier New" w:hint="default"/>
      </w:rPr>
    </w:lvl>
    <w:lvl w:ilvl="8" w:tplc="040E0005">
      <w:start w:val="1"/>
      <w:numFmt w:val="bullet"/>
      <w:lvlText w:val=""/>
      <w:lvlJc w:val="left"/>
      <w:pPr>
        <w:ind w:left="6546" w:hanging="360"/>
      </w:pPr>
      <w:rPr>
        <w:rFonts w:ascii="Wingdings" w:hAnsi="Wingdings" w:hint="default"/>
      </w:rPr>
    </w:lvl>
  </w:abstractNum>
  <w:abstractNum w:abstractNumId="309" w15:restartNumberingAfterBreak="0">
    <w:nsid w:val="2E7A3C40"/>
    <w:multiLevelType w:val="hybridMultilevel"/>
    <w:tmpl w:val="6BE6AEF2"/>
    <w:lvl w:ilvl="0" w:tplc="64CC8268">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0" w15:restartNumberingAfterBreak="0">
    <w:nsid w:val="2ED83F75"/>
    <w:multiLevelType w:val="multilevel"/>
    <w:tmpl w:val="6130D388"/>
    <w:lvl w:ilvl="0">
      <w:start w:val="17"/>
      <w:numFmt w:val="decimal"/>
      <w:lvlText w:val="%1"/>
      <w:lvlJc w:val="left"/>
      <w:pPr>
        <w:ind w:left="420" w:hanging="420"/>
      </w:pPr>
    </w:lvl>
    <w:lvl w:ilvl="1">
      <w:start w:val="2"/>
      <w:numFmt w:val="decimal"/>
      <w:lvlText w:val="%1.%2"/>
      <w:lvlJc w:val="left"/>
      <w:pPr>
        <w:ind w:left="988" w:hanging="420"/>
      </w:pPr>
      <w:rPr>
        <w:b/>
      </w:rPr>
    </w:lvl>
    <w:lvl w:ilvl="2">
      <w:start w:val="1"/>
      <w:numFmt w:val="decimal"/>
      <w:lvlText w:val="%1.%2.%3"/>
      <w:lvlJc w:val="left"/>
      <w:pPr>
        <w:ind w:left="1288" w:hanging="720"/>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3712" w:hanging="1440"/>
      </w:pPr>
    </w:lvl>
  </w:abstractNum>
  <w:abstractNum w:abstractNumId="311" w15:restartNumberingAfterBreak="0">
    <w:nsid w:val="2EDD10A8"/>
    <w:multiLevelType w:val="multilevel"/>
    <w:tmpl w:val="BF047560"/>
    <w:lvl w:ilvl="0">
      <w:start w:val="5"/>
      <w:numFmt w:val="decimal"/>
      <w:lvlText w:val="%1."/>
      <w:lvlJc w:val="left"/>
      <w:pPr>
        <w:tabs>
          <w:tab w:val="num" w:pos="360"/>
        </w:tabs>
        <w:ind w:left="360" w:hanging="360"/>
      </w:pPr>
      <w:rPr>
        <w:b/>
        <w:i w:val="0"/>
        <w:sz w:val="24"/>
      </w:rPr>
    </w:lvl>
    <w:lvl w:ilvl="1">
      <w:start w:val="1"/>
      <w:numFmt w:val="decimal"/>
      <w:lvlText w:val="%1.%2."/>
      <w:lvlJc w:val="left"/>
      <w:pPr>
        <w:tabs>
          <w:tab w:val="num" w:pos="432"/>
        </w:tabs>
        <w:ind w:left="432" w:hanging="432"/>
      </w:pPr>
      <w:rPr>
        <w:b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12" w15:restartNumberingAfterBreak="0">
    <w:nsid w:val="2F2028EB"/>
    <w:multiLevelType w:val="hybridMultilevel"/>
    <w:tmpl w:val="D85617C0"/>
    <w:lvl w:ilvl="0" w:tplc="040E000F">
      <w:start w:val="1"/>
      <w:numFmt w:val="decimal"/>
      <w:lvlText w:val="%1."/>
      <w:lvlJc w:val="left"/>
      <w:pPr>
        <w:ind w:left="786" w:hanging="360"/>
      </w:pPr>
    </w:lvl>
    <w:lvl w:ilvl="1" w:tplc="040E0019" w:tentative="1">
      <w:start w:val="1"/>
      <w:numFmt w:val="lowerLetter"/>
      <w:lvlText w:val="%2."/>
      <w:lvlJc w:val="left"/>
      <w:pPr>
        <w:ind w:left="1506" w:hanging="360"/>
      </w:pPr>
    </w:lvl>
    <w:lvl w:ilvl="2" w:tplc="040E001B" w:tentative="1">
      <w:start w:val="1"/>
      <w:numFmt w:val="lowerRoman"/>
      <w:lvlText w:val="%3."/>
      <w:lvlJc w:val="right"/>
      <w:pPr>
        <w:ind w:left="2226" w:hanging="180"/>
      </w:pPr>
    </w:lvl>
    <w:lvl w:ilvl="3" w:tplc="040E000F" w:tentative="1">
      <w:start w:val="1"/>
      <w:numFmt w:val="decimal"/>
      <w:lvlText w:val="%4."/>
      <w:lvlJc w:val="left"/>
      <w:pPr>
        <w:ind w:left="2946" w:hanging="360"/>
      </w:pPr>
    </w:lvl>
    <w:lvl w:ilvl="4" w:tplc="040E0019" w:tentative="1">
      <w:start w:val="1"/>
      <w:numFmt w:val="lowerLetter"/>
      <w:lvlText w:val="%5."/>
      <w:lvlJc w:val="left"/>
      <w:pPr>
        <w:ind w:left="3666" w:hanging="360"/>
      </w:pPr>
    </w:lvl>
    <w:lvl w:ilvl="5" w:tplc="040E001B" w:tentative="1">
      <w:start w:val="1"/>
      <w:numFmt w:val="lowerRoman"/>
      <w:lvlText w:val="%6."/>
      <w:lvlJc w:val="right"/>
      <w:pPr>
        <w:ind w:left="4386" w:hanging="180"/>
      </w:pPr>
    </w:lvl>
    <w:lvl w:ilvl="6" w:tplc="040E000F" w:tentative="1">
      <w:start w:val="1"/>
      <w:numFmt w:val="decimal"/>
      <w:lvlText w:val="%7."/>
      <w:lvlJc w:val="left"/>
      <w:pPr>
        <w:ind w:left="5106" w:hanging="360"/>
      </w:pPr>
    </w:lvl>
    <w:lvl w:ilvl="7" w:tplc="040E0019" w:tentative="1">
      <w:start w:val="1"/>
      <w:numFmt w:val="lowerLetter"/>
      <w:lvlText w:val="%8."/>
      <w:lvlJc w:val="left"/>
      <w:pPr>
        <w:ind w:left="5826" w:hanging="360"/>
      </w:pPr>
    </w:lvl>
    <w:lvl w:ilvl="8" w:tplc="040E001B" w:tentative="1">
      <w:start w:val="1"/>
      <w:numFmt w:val="lowerRoman"/>
      <w:lvlText w:val="%9."/>
      <w:lvlJc w:val="right"/>
      <w:pPr>
        <w:ind w:left="6546" w:hanging="180"/>
      </w:pPr>
    </w:lvl>
  </w:abstractNum>
  <w:abstractNum w:abstractNumId="313" w15:restartNumberingAfterBreak="0">
    <w:nsid w:val="2F4104F4"/>
    <w:multiLevelType w:val="hybridMultilevel"/>
    <w:tmpl w:val="FE3E234A"/>
    <w:lvl w:ilvl="0" w:tplc="157447CC">
      <w:start w:val="1"/>
      <w:numFmt w:val="decimal"/>
      <w:lvlText w:val="%1."/>
      <w:lvlJc w:val="left"/>
      <w:pPr>
        <w:ind w:left="1636" w:hanging="360"/>
      </w:pPr>
      <w:rPr>
        <w:rFonts w:hint="default"/>
        <w:b w:val="0"/>
      </w:rPr>
    </w:lvl>
    <w:lvl w:ilvl="1" w:tplc="040E0019">
      <w:start w:val="1"/>
      <w:numFmt w:val="lowerLetter"/>
      <w:lvlText w:val="%2."/>
      <w:lvlJc w:val="left"/>
      <w:pPr>
        <w:ind w:left="2356" w:hanging="360"/>
      </w:pPr>
    </w:lvl>
    <w:lvl w:ilvl="2" w:tplc="040E001B" w:tentative="1">
      <w:start w:val="1"/>
      <w:numFmt w:val="lowerRoman"/>
      <w:lvlText w:val="%3."/>
      <w:lvlJc w:val="right"/>
      <w:pPr>
        <w:ind w:left="3076" w:hanging="180"/>
      </w:pPr>
    </w:lvl>
    <w:lvl w:ilvl="3" w:tplc="040E000F" w:tentative="1">
      <w:start w:val="1"/>
      <w:numFmt w:val="decimal"/>
      <w:lvlText w:val="%4."/>
      <w:lvlJc w:val="left"/>
      <w:pPr>
        <w:ind w:left="3796" w:hanging="360"/>
      </w:pPr>
    </w:lvl>
    <w:lvl w:ilvl="4" w:tplc="040E0019" w:tentative="1">
      <w:start w:val="1"/>
      <w:numFmt w:val="lowerLetter"/>
      <w:lvlText w:val="%5."/>
      <w:lvlJc w:val="left"/>
      <w:pPr>
        <w:ind w:left="4516" w:hanging="360"/>
      </w:pPr>
    </w:lvl>
    <w:lvl w:ilvl="5" w:tplc="040E001B" w:tentative="1">
      <w:start w:val="1"/>
      <w:numFmt w:val="lowerRoman"/>
      <w:lvlText w:val="%6."/>
      <w:lvlJc w:val="right"/>
      <w:pPr>
        <w:ind w:left="5236" w:hanging="180"/>
      </w:pPr>
    </w:lvl>
    <w:lvl w:ilvl="6" w:tplc="040E000F" w:tentative="1">
      <w:start w:val="1"/>
      <w:numFmt w:val="decimal"/>
      <w:lvlText w:val="%7."/>
      <w:lvlJc w:val="left"/>
      <w:pPr>
        <w:ind w:left="5956" w:hanging="360"/>
      </w:pPr>
    </w:lvl>
    <w:lvl w:ilvl="7" w:tplc="040E0019" w:tentative="1">
      <w:start w:val="1"/>
      <w:numFmt w:val="lowerLetter"/>
      <w:lvlText w:val="%8."/>
      <w:lvlJc w:val="left"/>
      <w:pPr>
        <w:ind w:left="6676" w:hanging="360"/>
      </w:pPr>
    </w:lvl>
    <w:lvl w:ilvl="8" w:tplc="040E001B" w:tentative="1">
      <w:start w:val="1"/>
      <w:numFmt w:val="lowerRoman"/>
      <w:lvlText w:val="%9."/>
      <w:lvlJc w:val="right"/>
      <w:pPr>
        <w:ind w:left="7396" w:hanging="180"/>
      </w:pPr>
    </w:lvl>
  </w:abstractNum>
  <w:abstractNum w:abstractNumId="314" w15:restartNumberingAfterBreak="0">
    <w:nsid w:val="2F5F0B12"/>
    <w:multiLevelType w:val="hybridMultilevel"/>
    <w:tmpl w:val="A926B7F6"/>
    <w:lvl w:ilvl="0" w:tplc="C4B29A7E">
      <w:numFmt w:val="bullet"/>
      <w:lvlText w:val="-"/>
      <w:lvlJc w:val="left"/>
      <w:pPr>
        <w:ind w:left="1001" w:hanging="360"/>
      </w:pPr>
      <w:rPr>
        <w:rFonts w:ascii="Arial Narrow" w:eastAsia="Times New Roman" w:hAnsi="Arial Narrow" w:cs="Times New Roman" w:hint="default"/>
        <w:b w:val="0"/>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24D09896">
      <w:start w:val="13"/>
      <w:numFmt w:val="bullet"/>
      <w:lvlText w:val="˗"/>
      <w:lvlJc w:val="left"/>
      <w:pPr>
        <w:ind w:left="2880" w:hanging="360"/>
      </w:pPr>
      <w:rPr>
        <w:rFonts w:ascii="Times New Roman" w:eastAsia="Calibri" w:hAnsi="Times New Roman" w:cs="Times New Roman"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315" w15:restartNumberingAfterBreak="0">
    <w:nsid w:val="303A5121"/>
    <w:multiLevelType w:val="multilevel"/>
    <w:tmpl w:val="5ADE60B4"/>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16" w15:restartNumberingAfterBreak="0">
    <w:nsid w:val="30A30A50"/>
    <w:multiLevelType w:val="multilevel"/>
    <w:tmpl w:val="7CA8B0BA"/>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17" w15:restartNumberingAfterBreak="0">
    <w:nsid w:val="30BC53E2"/>
    <w:multiLevelType w:val="multilevel"/>
    <w:tmpl w:val="93CC65F8"/>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18" w15:restartNumberingAfterBreak="0">
    <w:nsid w:val="30C36584"/>
    <w:multiLevelType w:val="multilevel"/>
    <w:tmpl w:val="D7B8348C"/>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19" w15:restartNumberingAfterBreak="0">
    <w:nsid w:val="30E626FA"/>
    <w:multiLevelType w:val="hybridMultilevel"/>
    <w:tmpl w:val="F0F46140"/>
    <w:lvl w:ilvl="0" w:tplc="24D09896">
      <w:start w:val="13"/>
      <w:numFmt w:val="bullet"/>
      <w:lvlText w:val="˗"/>
      <w:lvlJc w:val="left"/>
      <w:pPr>
        <w:ind w:left="1146" w:hanging="360"/>
      </w:pPr>
      <w:rPr>
        <w:rFonts w:ascii="Times New Roman" w:eastAsia="Calibri" w:hAnsi="Times New Roman"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320" w15:restartNumberingAfterBreak="0">
    <w:nsid w:val="30F1440B"/>
    <w:multiLevelType w:val="hybridMultilevel"/>
    <w:tmpl w:val="2C7AAA8C"/>
    <w:lvl w:ilvl="0" w:tplc="F8F46CDA">
      <w:start w:val="1"/>
      <w:numFmt w:val="decimal"/>
      <w:lvlText w:val="%1."/>
      <w:lvlJc w:val="left"/>
      <w:pPr>
        <w:ind w:left="1068" w:hanging="360"/>
      </w:pPr>
      <w:rPr>
        <w:rFonts w:hint="default"/>
        <w:b w:val="0"/>
      </w:rPr>
    </w:lvl>
    <w:lvl w:ilvl="1" w:tplc="040E0019" w:tentative="1">
      <w:start w:val="1"/>
      <w:numFmt w:val="lowerLetter"/>
      <w:lvlText w:val="%2."/>
      <w:lvlJc w:val="left"/>
      <w:pPr>
        <w:ind w:left="872" w:hanging="360"/>
      </w:pPr>
    </w:lvl>
    <w:lvl w:ilvl="2" w:tplc="040E001B" w:tentative="1">
      <w:start w:val="1"/>
      <w:numFmt w:val="lowerRoman"/>
      <w:lvlText w:val="%3."/>
      <w:lvlJc w:val="right"/>
      <w:pPr>
        <w:ind w:left="1592" w:hanging="180"/>
      </w:pPr>
    </w:lvl>
    <w:lvl w:ilvl="3" w:tplc="040E000F" w:tentative="1">
      <w:start w:val="1"/>
      <w:numFmt w:val="decimal"/>
      <w:lvlText w:val="%4."/>
      <w:lvlJc w:val="left"/>
      <w:pPr>
        <w:ind w:left="2312" w:hanging="360"/>
      </w:pPr>
    </w:lvl>
    <w:lvl w:ilvl="4" w:tplc="040E0019" w:tentative="1">
      <w:start w:val="1"/>
      <w:numFmt w:val="lowerLetter"/>
      <w:lvlText w:val="%5."/>
      <w:lvlJc w:val="left"/>
      <w:pPr>
        <w:ind w:left="3032" w:hanging="360"/>
      </w:pPr>
    </w:lvl>
    <w:lvl w:ilvl="5" w:tplc="040E001B" w:tentative="1">
      <w:start w:val="1"/>
      <w:numFmt w:val="lowerRoman"/>
      <w:lvlText w:val="%6."/>
      <w:lvlJc w:val="right"/>
      <w:pPr>
        <w:ind w:left="3752" w:hanging="180"/>
      </w:pPr>
    </w:lvl>
    <w:lvl w:ilvl="6" w:tplc="040E000F" w:tentative="1">
      <w:start w:val="1"/>
      <w:numFmt w:val="decimal"/>
      <w:lvlText w:val="%7."/>
      <w:lvlJc w:val="left"/>
      <w:pPr>
        <w:ind w:left="4472" w:hanging="360"/>
      </w:pPr>
    </w:lvl>
    <w:lvl w:ilvl="7" w:tplc="040E0019" w:tentative="1">
      <w:start w:val="1"/>
      <w:numFmt w:val="lowerLetter"/>
      <w:lvlText w:val="%8."/>
      <w:lvlJc w:val="left"/>
      <w:pPr>
        <w:ind w:left="5192" w:hanging="360"/>
      </w:pPr>
    </w:lvl>
    <w:lvl w:ilvl="8" w:tplc="040E001B" w:tentative="1">
      <w:start w:val="1"/>
      <w:numFmt w:val="lowerRoman"/>
      <w:lvlText w:val="%9."/>
      <w:lvlJc w:val="right"/>
      <w:pPr>
        <w:ind w:left="5912" w:hanging="180"/>
      </w:pPr>
    </w:lvl>
  </w:abstractNum>
  <w:abstractNum w:abstractNumId="321" w15:restartNumberingAfterBreak="0">
    <w:nsid w:val="31263B3A"/>
    <w:multiLevelType w:val="hybridMultilevel"/>
    <w:tmpl w:val="DCEC0616"/>
    <w:lvl w:ilvl="0" w:tplc="E48ED0A2">
      <w:start w:val="1"/>
      <w:numFmt w:val="decimal"/>
      <w:lvlText w:val="%1."/>
      <w:lvlJc w:val="left"/>
      <w:pPr>
        <w:ind w:left="1134" w:hanging="360"/>
      </w:pPr>
      <w:rPr>
        <w:rFonts w:hint="default"/>
        <w:b w:val="0"/>
      </w:rPr>
    </w:lvl>
    <w:lvl w:ilvl="1" w:tplc="040E0019" w:tentative="1">
      <w:start w:val="1"/>
      <w:numFmt w:val="lowerLetter"/>
      <w:lvlText w:val="%2."/>
      <w:lvlJc w:val="left"/>
      <w:pPr>
        <w:ind w:left="938" w:hanging="360"/>
      </w:pPr>
    </w:lvl>
    <w:lvl w:ilvl="2" w:tplc="040E001B" w:tentative="1">
      <w:start w:val="1"/>
      <w:numFmt w:val="lowerRoman"/>
      <w:lvlText w:val="%3."/>
      <w:lvlJc w:val="right"/>
      <w:pPr>
        <w:ind w:left="1658" w:hanging="180"/>
      </w:pPr>
    </w:lvl>
    <w:lvl w:ilvl="3" w:tplc="040E000F" w:tentative="1">
      <w:start w:val="1"/>
      <w:numFmt w:val="decimal"/>
      <w:lvlText w:val="%4."/>
      <w:lvlJc w:val="left"/>
      <w:pPr>
        <w:ind w:left="2378" w:hanging="360"/>
      </w:pPr>
    </w:lvl>
    <w:lvl w:ilvl="4" w:tplc="040E0019" w:tentative="1">
      <w:start w:val="1"/>
      <w:numFmt w:val="lowerLetter"/>
      <w:lvlText w:val="%5."/>
      <w:lvlJc w:val="left"/>
      <w:pPr>
        <w:ind w:left="3098" w:hanging="360"/>
      </w:pPr>
    </w:lvl>
    <w:lvl w:ilvl="5" w:tplc="040E001B" w:tentative="1">
      <w:start w:val="1"/>
      <w:numFmt w:val="lowerRoman"/>
      <w:lvlText w:val="%6."/>
      <w:lvlJc w:val="right"/>
      <w:pPr>
        <w:ind w:left="3818" w:hanging="180"/>
      </w:pPr>
    </w:lvl>
    <w:lvl w:ilvl="6" w:tplc="040E000F" w:tentative="1">
      <w:start w:val="1"/>
      <w:numFmt w:val="decimal"/>
      <w:lvlText w:val="%7."/>
      <w:lvlJc w:val="left"/>
      <w:pPr>
        <w:ind w:left="4538" w:hanging="360"/>
      </w:pPr>
    </w:lvl>
    <w:lvl w:ilvl="7" w:tplc="040E0019" w:tentative="1">
      <w:start w:val="1"/>
      <w:numFmt w:val="lowerLetter"/>
      <w:lvlText w:val="%8."/>
      <w:lvlJc w:val="left"/>
      <w:pPr>
        <w:ind w:left="5258" w:hanging="360"/>
      </w:pPr>
    </w:lvl>
    <w:lvl w:ilvl="8" w:tplc="040E001B" w:tentative="1">
      <w:start w:val="1"/>
      <w:numFmt w:val="lowerRoman"/>
      <w:lvlText w:val="%9."/>
      <w:lvlJc w:val="right"/>
      <w:pPr>
        <w:ind w:left="5978" w:hanging="180"/>
      </w:pPr>
    </w:lvl>
  </w:abstractNum>
  <w:abstractNum w:abstractNumId="322" w15:restartNumberingAfterBreak="0">
    <w:nsid w:val="312A4B2C"/>
    <w:multiLevelType w:val="hybridMultilevel"/>
    <w:tmpl w:val="66927DBE"/>
    <w:lvl w:ilvl="0" w:tplc="040E000F">
      <w:start w:val="1"/>
      <w:numFmt w:val="decimal"/>
      <w:lvlText w:val="%1."/>
      <w:lvlJc w:val="left"/>
      <w:pPr>
        <w:ind w:left="1512" w:hanging="360"/>
      </w:pPr>
    </w:lvl>
    <w:lvl w:ilvl="1" w:tplc="040E0019" w:tentative="1">
      <w:start w:val="1"/>
      <w:numFmt w:val="lowerLetter"/>
      <w:lvlText w:val="%2."/>
      <w:lvlJc w:val="left"/>
      <w:pPr>
        <w:ind w:left="2232" w:hanging="360"/>
      </w:pPr>
    </w:lvl>
    <w:lvl w:ilvl="2" w:tplc="040E001B" w:tentative="1">
      <w:start w:val="1"/>
      <w:numFmt w:val="lowerRoman"/>
      <w:lvlText w:val="%3."/>
      <w:lvlJc w:val="right"/>
      <w:pPr>
        <w:ind w:left="2952" w:hanging="180"/>
      </w:pPr>
    </w:lvl>
    <w:lvl w:ilvl="3" w:tplc="040E000F" w:tentative="1">
      <w:start w:val="1"/>
      <w:numFmt w:val="decimal"/>
      <w:lvlText w:val="%4."/>
      <w:lvlJc w:val="left"/>
      <w:pPr>
        <w:ind w:left="3672" w:hanging="360"/>
      </w:pPr>
    </w:lvl>
    <w:lvl w:ilvl="4" w:tplc="040E0019" w:tentative="1">
      <w:start w:val="1"/>
      <w:numFmt w:val="lowerLetter"/>
      <w:lvlText w:val="%5."/>
      <w:lvlJc w:val="left"/>
      <w:pPr>
        <w:ind w:left="4392" w:hanging="360"/>
      </w:pPr>
    </w:lvl>
    <w:lvl w:ilvl="5" w:tplc="040E001B" w:tentative="1">
      <w:start w:val="1"/>
      <w:numFmt w:val="lowerRoman"/>
      <w:lvlText w:val="%6."/>
      <w:lvlJc w:val="right"/>
      <w:pPr>
        <w:ind w:left="5112" w:hanging="180"/>
      </w:pPr>
    </w:lvl>
    <w:lvl w:ilvl="6" w:tplc="040E000F" w:tentative="1">
      <w:start w:val="1"/>
      <w:numFmt w:val="decimal"/>
      <w:lvlText w:val="%7."/>
      <w:lvlJc w:val="left"/>
      <w:pPr>
        <w:ind w:left="5832" w:hanging="360"/>
      </w:pPr>
    </w:lvl>
    <w:lvl w:ilvl="7" w:tplc="040E0019" w:tentative="1">
      <w:start w:val="1"/>
      <w:numFmt w:val="lowerLetter"/>
      <w:lvlText w:val="%8."/>
      <w:lvlJc w:val="left"/>
      <w:pPr>
        <w:ind w:left="6552" w:hanging="360"/>
      </w:pPr>
    </w:lvl>
    <w:lvl w:ilvl="8" w:tplc="040E001B" w:tentative="1">
      <w:start w:val="1"/>
      <w:numFmt w:val="lowerRoman"/>
      <w:lvlText w:val="%9."/>
      <w:lvlJc w:val="right"/>
      <w:pPr>
        <w:ind w:left="7272" w:hanging="180"/>
      </w:pPr>
    </w:lvl>
  </w:abstractNum>
  <w:abstractNum w:abstractNumId="323" w15:restartNumberingAfterBreak="0">
    <w:nsid w:val="3138770C"/>
    <w:multiLevelType w:val="multilevel"/>
    <w:tmpl w:val="E4C4E322"/>
    <w:lvl w:ilvl="0">
      <w:start w:val="1"/>
      <w:numFmt w:val="decimal"/>
      <w:lvlText w:val="%1."/>
      <w:lvlJc w:val="left"/>
      <w:pPr>
        <w:tabs>
          <w:tab w:val="num" w:pos="644"/>
        </w:tabs>
        <w:ind w:left="644" w:hanging="360"/>
      </w:pPr>
      <w:rPr>
        <w:rFonts w:hint="default"/>
        <w:b w:val="0"/>
        <w:i w:val="0"/>
        <w:caps w:val="0"/>
        <w:strike w:val="0"/>
        <w:dstrike w:val="0"/>
        <w:vanish w:val="0"/>
        <w:color w:val="000000"/>
        <w:sz w:val="24"/>
        <w:szCs w:val="24"/>
        <w:u w:val="none"/>
        <w:effect w:val="none"/>
        <w:vertAlign w:val="baseline"/>
      </w:rPr>
    </w:lvl>
    <w:lvl w:ilvl="1">
      <w:start w:val="1"/>
      <w:numFmt w:val="decimal"/>
      <w:lvlText w:val="%1.%2."/>
      <w:lvlJc w:val="left"/>
      <w:pPr>
        <w:tabs>
          <w:tab w:val="num" w:pos="1000"/>
        </w:tabs>
        <w:ind w:left="1000" w:hanging="432"/>
      </w:pPr>
      <w:rPr>
        <w:rFonts w:hint="default"/>
        <w:b w:val="0"/>
      </w:rPr>
    </w:lvl>
    <w:lvl w:ilvl="2">
      <w:start w:val="1"/>
      <w:numFmt w:val="decimal"/>
      <w:lvlText w:val="%1.%2.%3."/>
      <w:lvlJc w:val="left"/>
      <w:pPr>
        <w:tabs>
          <w:tab w:val="num" w:pos="1724"/>
        </w:tabs>
        <w:ind w:left="1508" w:hanging="504"/>
      </w:pPr>
      <w:rPr>
        <w:rFonts w:hint="default"/>
        <w:b w:val="0"/>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324" w15:restartNumberingAfterBreak="0">
    <w:nsid w:val="314C70FC"/>
    <w:multiLevelType w:val="hybridMultilevel"/>
    <w:tmpl w:val="7FE0116E"/>
    <w:lvl w:ilvl="0" w:tplc="5C1E6FE6">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5" w15:restartNumberingAfterBreak="0">
    <w:nsid w:val="314D1DEF"/>
    <w:multiLevelType w:val="hybridMultilevel"/>
    <w:tmpl w:val="156E6D4A"/>
    <w:lvl w:ilvl="0" w:tplc="F29CF34C">
      <w:start w:val="1"/>
      <w:numFmt w:val="bullet"/>
      <w:lvlText w:val=""/>
      <w:lvlJc w:val="left"/>
      <w:pPr>
        <w:ind w:left="1145" w:hanging="360"/>
      </w:pPr>
      <w:rPr>
        <w:rFonts w:ascii="Symbol" w:hAnsi="Symbol" w:hint="default"/>
      </w:rPr>
    </w:lvl>
    <w:lvl w:ilvl="1" w:tplc="040E0003">
      <w:start w:val="1"/>
      <w:numFmt w:val="bullet"/>
      <w:lvlText w:val="o"/>
      <w:lvlJc w:val="left"/>
      <w:pPr>
        <w:ind w:left="1865" w:hanging="360"/>
      </w:pPr>
      <w:rPr>
        <w:rFonts w:ascii="Courier New" w:hAnsi="Courier New" w:cs="Courier New" w:hint="default"/>
      </w:rPr>
    </w:lvl>
    <w:lvl w:ilvl="2" w:tplc="040E0005">
      <w:start w:val="1"/>
      <w:numFmt w:val="bullet"/>
      <w:lvlText w:val=""/>
      <w:lvlJc w:val="left"/>
      <w:pPr>
        <w:ind w:left="2585" w:hanging="360"/>
      </w:pPr>
      <w:rPr>
        <w:rFonts w:ascii="Wingdings" w:hAnsi="Wingdings" w:hint="default"/>
      </w:rPr>
    </w:lvl>
    <w:lvl w:ilvl="3" w:tplc="040E0001">
      <w:start w:val="1"/>
      <w:numFmt w:val="bullet"/>
      <w:lvlText w:val=""/>
      <w:lvlJc w:val="left"/>
      <w:pPr>
        <w:ind w:left="3305" w:hanging="360"/>
      </w:pPr>
      <w:rPr>
        <w:rFonts w:ascii="Symbol" w:hAnsi="Symbol" w:hint="default"/>
      </w:rPr>
    </w:lvl>
    <w:lvl w:ilvl="4" w:tplc="040E0003">
      <w:start w:val="1"/>
      <w:numFmt w:val="bullet"/>
      <w:lvlText w:val="o"/>
      <w:lvlJc w:val="left"/>
      <w:pPr>
        <w:ind w:left="4025" w:hanging="360"/>
      </w:pPr>
      <w:rPr>
        <w:rFonts w:ascii="Courier New" w:hAnsi="Courier New" w:cs="Courier New" w:hint="default"/>
      </w:rPr>
    </w:lvl>
    <w:lvl w:ilvl="5" w:tplc="040E0005">
      <w:start w:val="1"/>
      <w:numFmt w:val="bullet"/>
      <w:lvlText w:val=""/>
      <w:lvlJc w:val="left"/>
      <w:pPr>
        <w:ind w:left="4745" w:hanging="360"/>
      </w:pPr>
      <w:rPr>
        <w:rFonts w:ascii="Wingdings" w:hAnsi="Wingdings" w:hint="default"/>
      </w:rPr>
    </w:lvl>
    <w:lvl w:ilvl="6" w:tplc="040E0001">
      <w:start w:val="1"/>
      <w:numFmt w:val="bullet"/>
      <w:lvlText w:val=""/>
      <w:lvlJc w:val="left"/>
      <w:pPr>
        <w:ind w:left="5465" w:hanging="360"/>
      </w:pPr>
      <w:rPr>
        <w:rFonts w:ascii="Symbol" w:hAnsi="Symbol" w:hint="default"/>
      </w:rPr>
    </w:lvl>
    <w:lvl w:ilvl="7" w:tplc="040E0003">
      <w:start w:val="1"/>
      <w:numFmt w:val="bullet"/>
      <w:lvlText w:val="o"/>
      <w:lvlJc w:val="left"/>
      <w:pPr>
        <w:ind w:left="6185" w:hanging="360"/>
      </w:pPr>
      <w:rPr>
        <w:rFonts w:ascii="Courier New" w:hAnsi="Courier New" w:cs="Courier New" w:hint="default"/>
      </w:rPr>
    </w:lvl>
    <w:lvl w:ilvl="8" w:tplc="040E0005">
      <w:start w:val="1"/>
      <w:numFmt w:val="bullet"/>
      <w:lvlText w:val=""/>
      <w:lvlJc w:val="left"/>
      <w:pPr>
        <w:ind w:left="6905" w:hanging="360"/>
      </w:pPr>
      <w:rPr>
        <w:rFonts w:ascii="Wingdings" w:hAnsi="Wingdings" w:hint="default"/>
      </w:rPr>
    </w:lvl>
  </w:abstractNum>
  <w:abstractNum w:abstractNumId="326" w15:restartNumberingAfterBreak="0">
    <w:nsid w:val="317C14D3"/>
    <w:multiLevelType w:val="hybridMultilevel"/>
    <w:tmpl w:val="DA5EC0C4"/>
    <w:lvl w:ilvl="0" w:tplc="1F0463A2">
      <w:start w:val="8"/>
      <w:numFmt w:val="bullet"/>
      <w:lvlText w:val="-"/>
      <w:lvlJc w:val="left"/>
      <w:pPr>
        <w:ind w:left="786" w:hanging="360"/>
      </w:pPr>
      <w:rPr>
        <w:rFonts w:ascii="Times New Roman" w:eastAsia="Times New Roman" w:hAnsi="Times New Roman" w:cs="Times New Roman" w:hint="default"/>
        <w:b/>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327" w15:restartNumberingAfterBreak="0">
    <w:nsid w:val="31A700D5"/>
    <w:multiLevelType w:val="multilevel"/>
    <w:tmpl w:val="3F3EA9C0"/>
    <w:lvl w:ilvl="0">
      <w:start w:val="8"/>
      <w:numFmt w:val="decimal"/>
      <w:lvlText w:val="%1."/>
      <w:lvlJc w:val="left"/>
      <w:pPr>
        <w:ind w:left="540" w:hanging="540"/>
      </w:pPr>
      <w:rPr>
        <w:rFonts w:hint="default"/>
      </w:rPr>
    </w:lvl>
    <w:lvl w:ilvl="1">
      <w:start w:val="1"/>
      <w:numFmt w:val="decimal"/>
      <w:lvlText w:val="%1.%2."/>
      <w:lvlJc w:val="left"/>
      <w:pPr>
        <w:ind w:left="965" w:hanging="540"/>
      </w:pPr>
      <w:rPr>
        <w:rFonts w:hint="default"/>
      </w:rPr>
    </w:lvl>
    <w:lvl w:ilvl="2">
      <w:start w:val="1"/>
      <w:numFmt w:val="decimal"/>
      <w:lvlText w:val="%1.%2.%3."/>
      <w:lvlJc w:val="left"/>
      <w:pPr>
        <w:ind w:left="3131"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328" w15:restartNumberingAfterBreak="0">
    <w:nsid w:val="31B528C8"/>
    <w:multiLevelType w:val="multilevel"/>
    <w:tmpl w:val="22D82724"/>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4"/>
        <w:szCs w:val="24"/>
        <w:u w:val="none"/>
        <w:effect w:val="none"/>
        <w:vertAlign w:val="baseline"/>
      </w:rPr>
    </w:lvl>
    <w:lvl w:ilvl="1">
      <w:start w:val="1"/>
      <w:numFmt w:val="decimal"/>
      <w:lvlText w:val="%1.%2."/>
      <w:lvlJc w:val="left"/>
      <w:pPr>
        <w:tabs>
          <w:tab w:val="num" w:pos="3977"/>
        </w:tabs>
        <w:ind w:left="3977" w:hanging="432"/>
      </w:pPr>
      <w:rPr>
        <w:rFonts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29" w15:restartNumberingAfterBreak="0">
    <w:nsid w:val="31C503EA"/>
    <w:multiLevelType w:val="hybridMultilevel"/>
    <w:tmpl w:val="BEB25100"/>
    <w:lvl w:ilvl="0" w:tplc="931E5AC4">
      <w:start w:val="1"/>
      <w:numFmt w:val="decimal"/>
      <w:lvlText w:val="%1."/>
      <w:lvlJc w:val="left"/>
      <w:pPr>
        <w:ind w:left="709" w:hanging="360"/>
      </w:pPr>
      <w:rPr>
        <w:rFonts w:hint="default"/>
      </w:rPr>
    </w:lvl>
    <w:lvl w:ilvl="1" w:tplc="040E0019" w:tentative="1">
      <w:start w:val="1"/>
      <w:numFmt w:val="lowerLetter"/>
      <w:lvlText w:val="%2."/>
      <w:lvlJc w:val="left"/>
      <w:pPr>
        <w:ind w:left="1069" w:hanging="360"/>
      </w:pPr>
    </w:lvl>
    <w:lvl w:ilvl="2" w:tplc="040E001B" w:tentative="1">
      <w:start w:val="1"/>
      <w:numFmt w:val="lowerRoman"/>
      <w:lvlText w:val="%3."/>
      <w:lvlJc w:val="right"/>
      <w:pPr>
        <w:ind w:left="1789" w:hanging="180"/>
      </w:pPr>
    </w:lvl>
    <w:lvl w:ilvl="3" w:tplc="040E000F" w:tentative="1">
      <w:start w:val="1"/>
      <w:numFmt w:val="decimal"/>
      <w:lvlText w:val="%4."/>
      <w:lvlJc w:val="left"/>
      <w:pPr>
        <w:ind w:left="2509" w:hanging="360"/>
      </w:pPr>
    </w:lvl>
    <w:lvl w:ilvl="4" w:tplc="040E0019" w:tentative="1">
      <w:start w:val="1"/>
      <w:numFmt w:val="lowerLetter"/>
      <w:lvlText w:val="%5."/>
      <w:lvlJc w:val="left"/>
      <w:pPr>
        <w:ind w:left="3229" w:hanging="360"/>
      </w:pPr>
    </w:lvl>
    <w:lvl w:ilvl="5" w:tplc="040E001B" w:tentative="1">
      <w:start w:val="1"/>
      <w:numFmt w:val="lowerRoman"/>
      <w:lvlText w:val="%6."/>
      <w:lvlJc w:val="right"/>
      <w:pPr>
        <w:ind w:left="3949" w:hanging="180"/>
      </w:pPr>
    </w:lvl>
    <w:lvl w:ilvl="6" w:tplc="040E000F" w:tentative="1">
      <w:start w:val="1"/>
      <w:numFmt w:val="decimal"/>
      <w:lvlText w:val="%7."/>
      <w:lvlJc w:val="left"/>
      <w:pPr>
        <w:ind w:left="4669" w:hanging="360"/>
      </w:pPr>
    </w:lvl>
    <w:lvl w:ilvl="7" w:tplc="040E0019" w:tentative="1">
      <w:start w:val="1"/>
      <w:numFmt w:val="lowerLetter"/>
      <w:lvlText w:val="%8."/>
      <w:lvlJc w:val="left"/>
      <w:pPr>
        <w:ind w:left="5389" w:hanging="360"/>
      </w:pPr>
    </w:lvl>
    <w:lvl w:ilvl="8" w:tplc="040E001B" w:tentative="1">
      <w:start w:val="1"/>
      <w:numFmt w:val="lowerRoman"/>
      <w:lvlText w:val="%9."/>
      <w:lvlJc w:val="right"/>
      <w:pPr>
        <w:ind w:left="6109" w:hanging="180"/>
      </w:pPr>
    </w:lvl>
  </w:abstractNum>
  <w:abstractNum w:abstractNumId="330" w15:restartNumberingAfterBreak="0">
    <w:nsid w:val="31CC0BD1"/>
    <w:multiLevelType w:val="hybridMultilevel"/>
    <w:tmpl w:val="24762A4A"/>
    <w:lvl w:ilvl="0" w:tplc="673CC59C">
      <w:start w:val="1"/>
      <w:numFmt w:val="decimal"/>
      <w:lvlText w:val="%1."/>
      <w:lvlJc w:val="left"/>
      <w:pPr>
        <w:ind w:left="108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1" w15:restartNumberingAfterBreak="0">
    <w:nsid w:val="31EA2D32"/>
    <w:multiLevelType w:val="hybridMultilevel"/>
    <w:tmpl w:val="1E7869FC"/>
    <w:lvl w:ilvl="0" w:tplc="DB7A8776">
      <w:start w:val="1"/>
      <w:numFmt w:val="decimal"/>
      <w:lvlText w:val="%1."/>
      <w:lvlJc w:val="left"/>
      <w:pPr>
        <w:ind w:left="1581"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2" w15:restartNumberingAfterBreak="0">
    <w:nsid w:val="31EB3889"/>
    <w:multiLevelType w:val="hybridMultilevel"/>
    <w:tmpl w:val="2DF68340"/>
    <w:lvl w:ilvl="0" w:tplc="263661E0">
      <w:start w:val="1"/>
      <w:numFmt w:val="decimal"/>
      <w:lvlText w:val="%1."/>
      <w:lvlJc w:val="left"/>
      <w:pPr>
        <w:ind w:left="720" w:hanging="360"/>
      </w:pPr>
      <w:rPr>
        <w:rFonts w:eastAsiaTheme="minorHAnsi"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3" w15:restartNumberingAfterBreak="0">
    <w:nsid w:val="3226100A"/>
    <w:multiLevelType w:val="multilevel"/>
    <w:tmpl w:val="6B6C94E6"/>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34" w15:restartNumberingAfterBreak="0">
    <w:nsid w:val="325C3F3F"/>
    <w:multiLevelType w:val="hybridMultilevel"/>
    <w:tmpl w:val="334433F4"/>
    <w:lvl w:ilvl="0" w:tplc="F90AA5CA">
      <w:numFmt w:val="bullet"/>
      <w:lvlText w:val="-"/>
      <w:lvlJc w:val="left"/>
      <w:pPr>
        <w:ind w:left="1146" w:hanging="360"/>
      </w:pPr>
      <w:rPr>
        <w:rFonts w:ascii="Times New Roman" w:eastAsia="Times New Roman" w:hAnsi="Times New Roman"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335" w15:restartNumberingAfterBreak="0">
    <w:nsid w:val="326631A6"/>
    <w:multiLevelType w:val="hybridMultilevel"/>
    <w:tmpl w:val="DAD6C5B4"/>
    <w:lvl w:ilvl="0" w:tplc="9BACC300">
      <w:start w:val="1"/>
      <w:numFmt w:val="decimal"/>
      <w:lvlText w:val="%1."/>
      <w:lvlJc w:val="left"/>
      <w:pPr>
        <w:ind w:left="1068" w:hanging="360"/>
      </w:pPr>
      <w:rPr>
        <w:rFonts w:hint="default"/>
        <w:b w:val="0"/>
      </w:rPr>
    </w:lvl>
    <w:lvl w:ilvl="1" w:tplc="040E0019" w:tentative="1">
      <w:start w:val="1"/>
      <w:numFmt w:val="lowerLetter"/>
      <w:lvlText w:val="%2."/>
      <w:lvlJc w:val="left"/>
      <w:pPr>
        <w:ind w:left="872" w:hanging="360"/>
      </w:pPr>
    </w:lvl>
    <w:lvl w:ilvl="2" w:tplc="040E001B" w:tentative="1">
      <w:start w:val="1"/>
      <w:numFmt w:val="lowerRoman"/>
      <w:lvlText w:val="%3."/>
      <w:lvlJc w:val="right"/>
      <w:pPr>
        <w:ind w:left="1592" w:hanging="180"/>
      </w:pPr>
    </w:lvl>
    <w:lvl w:ilvl="3" w:tplc="040E000F" w:tentative="1">
      <w:start w:val="1"/>
      <w:numFmt w:val="decimal"/>
      <w:lvlText w:val="%4."/>
      <w:lvlJc w:val="left"/>
      <w:pPr>
        <w:ind w:left="2312" w:hanging="360"/>
      </w:pPr>
    </w:lvl>
    <w:lvl w:ilvl="4" w:tplc="040E0019" w:tentative="1">
      <w:start w:val="1"/>
      <w:numFmt w:val="lowerLetter"/>
      <w:lvlText w:val="%5."/>
      <w:lvlJc w:val="left"/>
      <w:pPr>
        <w:ind w:left="3032" w:hanging="360"/>
      </w:pPr>
    </w:lvl>
    <w:lvl w:ilvl="5" w:tplc="040E001B" w:tentative="1">
      <w:start w:val="1"/>
      <w:numFmt w:val="lowerRoman"/>
      <w:lvlText w:val="%6."/>
      <w:lvlJc w:val="right"/>
      <w:pPr>
        <w:ind w:left="3752" w:hanging="180"/>
      </w:pPr>
    </w:lvl>
    <w:lvl w:ilvl="6" w:tplc="040E000F" w:tentative="1">
      <w:start w:val="1"/>
      <w:numFmt w:val="decimal"/>
      <w:lvlText w:val="%7."/>
      <w:lvlJc w:val="left"/>
      <w:pPr>
        <w:ind w:left="4472" w:hanging="360"/>
      </w:pPr>
    </w:lvl>
    <w:lvl w:ilvl="7" w:tplc="040E0019" w:tentative="1">
      <w:start w:val="1"/>
      <w:numFmt w:val="lowerLetter"/>
      <w:lvlText w:val="%8."/>
      <w:lvlJc w:val="left"/>
      <w:pPr>
        <w:ind w:left="5192" w:hanging="360"/>
      </w:pPr>
    </w:lvl>
    <w:lvl w:ilvl="8" w:tplc="040E001B" w:tentative="1">
      <w:start w:val="1"/>
      <w:numFmt w:val="lowerRoman"/>
      <w:lvlText w:val="%9."/>
      <w:lvlJc w:val="right"/>
      <w:pPr>
        <w:ind w:left="5912" w:hanging="180"/>
      </w:pPr>
    </w:lvl>
  </w:abstractNum>
  <w:abstractNum w:abstractNumId="336" w15:restartNumberingAfterBreak="0">
    <w:nsid w:val="32720C06"/>
    <w:multiLevelType w:val="multilevel"/>
    <w:tmpl w:val="3AA2B5B8"/>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37" w15:restartNumberingAfterBreak="0">
    <w:nsid w:val="327332BE"/>
    <w:multiLevelType w:val="multilevel"/>
    <w:tmpl w:val="9C60AF2A"/>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38" w15:restartNumberingAfterBreak="0">
    <w:nsid w:val="32896EB0"/>
    <w:multiLevelType w:val="hybridMultilevel"/>
    <w:tmpl w:val="46E2CC1C"/>
    <w:lvl w:ilvl="0" w:tplc="F90AA5CA">
      <w:numFmt w:val="bullet"/>
      <w:lvlText w:val="-"/>
      <w:lvlJc w:val="left"/>
      <w:pPr>
        <w:ind w:left="1145" w:hanging="360"/>
      </w:pPr>
      <w:rPr>
        <w:rFonts w:ascii="Times New Roman" w:eastAsia="Times New Roman" w:hAnsi="Times New Roman"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339" w15:restartNumberingAfterBreak="0">
    <w:nsid w:val="32AE718D"/>
    <w:multiLevelType w:val="multilevel"/>
    <w:tmpl w:val="EB801060"/>
    <w:lvl w:ilvl="0">
      <w:start w:val="1"/>
      <w:numFmt w:val="decimal"/>
      <w:lvlText w:val="%1."/>
      <w:lvlJc w:val="right"/>
      <w:pPr>
        <w:tabs>
          <w:tab w:val="num" w:pos="720"/>
        </w:tabs>
        <w:ind w:left="720" w:hanging="360"/>
      </w:pPr>
      <w:rPr>
        <w:rFonts w:ascii="Times New Roman" w:hAnsi="Times New Roman" w:cs="Times New Roman" w:hint="default"/>
        <w:b w:val="0"/>
        <w:i w:val="0"/>
        <w:caps w:val="0"/>
        <w:strike w:val="0"/>
        <w:dstrike w:val="0"/>
        <w:vanish w:val="0"/>
        <w:color w:val="000000"/>
        <w:sz w:val="24"/>
        <w:szCs w:val="24"/>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40" w15:restartNumberingAfterBreak="0">
    <w:nsid w:val="32C60BC8"/>
    <w:multiLevelType w:val="multilevel"/>
    <w:tmpl w:val="C5144918"/>
    <w:lvl w:ilvl="0">
      <w:start w:val="11"/>
      <w:numFmt w:val="decimal"/>
      <w:lvlText w:val="%1."/>
      <w:lvlJc w:val="left"/>
      <w:pPr>
        <w:tabs>
          <w:tab w:val="num" w:pos="360"/>
        </w:tabs>
        <w:ind w:left="360" w:hanging="360"/>
      </w:pPr>
      <w:rPr>
        <w:rFonts w:cs="Times New Roman"/>
        <w:b/>
        <w:i w:val="0"/>
        <w:sz w:val="24"/>
      </w:rPr>
    </w:lvl>
    <w:lvl w:ilvl="1">
      <w:start w:val="1"/>
      <w:numFmt w:val="decimal"/>
      <w:lvlText w:val="%1.%2."/>
      <w:lvlJc w:val="left"/>
      <w:pPr>
        <w:tabs>
          <w:tab w:val="num" w:pos="792"/>
        </w:tabs>
        <w:ind w:left="792" w:hanging="432"/>
      </w:pPr>
      <w:rPr>
        <w:rFonts w:cs="Times New Roman"/>
        <w:b/>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41" w15:restartNumberingAfterBreak="0">
    <w:nsid w:val="32DE27E9"/>
    <w:multiLevelType w:val="hybridMultilevel"/>
    <w:tmpl w:val="A7644BEC"/>
    <w:lvl w:ilvl="0" w:tplc="7FE4D39A">
      <w:start w:val="1"/>
      <w:numFmt w:val="decimal"/>
      <w:lvlText w:val="%1."/>
      <w:lvlJc w:val="left"/>
      <w:pPr>
        <w:ind w:left="101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42" w15:restartNumberingAfterBreak="0">
    <w:nsid w:val="3326729F"/>
    <w:multiLevelType w:val="hybridMultilevel"/>
    <w:tmpl w:val="0A60821C"/>
    <w:lvl w:ilvl="0" w:tplc="040E000F">
      <w:start w:val="1"/>
      <w:numFmt w:val="decimal"/>
      <w:lvlText w:val="%1."/>
      <w:lvlJc w:val="left"/>
      <w:pPr>
        <w:ind w:left="1068" w:hanging="360"/>
      </w:pPr>
      <w:rPr>
        <w:rFonts w:hint="default"/>
      </w:rPr>
    </w:lvl>
    <w:lvl w:ilvl="1" w:tplc="040E0019" w:tentative="1">
      <w:start w:val="1"/>
      <w:numFmt w:val="lowerLetter"/>
      <w:lvlText w:val="%2."/>
      <w:lvlJc w:val="left"/>
      <w:pPr>
        <w:ind w:left="927" w:hanging="360"/>
      </w:pPr>
    </w:lvl>
    <w:lvl w:ilvl="2" w:tplc="040E001B" w:tentative="1">
      <w:start w:val="1"/>
      <w:numFmt w:val="lowerRoman"/>
      <w:lvlText w:val="%3."/>
      <w:lvlJc w:val="right"/>
      <w:pPr>
        <w:ind w:left="1647" w:hanging="180"/>
      </w:pPr>
    </w:lvl>
    <w:lvl w:ilvl="3" w:tplc="040E000F" w:tentative="1">
      <w:start w:val="1"/>
      <w:numFmt w:val="decimal"/>
      <w:lvlText w:val="%4."/>
      <w:lvlJc w:val="left"/>
      <w:pPr>
        <w:ind w:left="2367" w:hanging="360"/>
      </w:pPr>
    </w:lvl>
    <w:lvl w:ilvl="4" w:tplc="040E0019" w:tentative="1">
      <w:start w:val="1"/>
      <w:numFmt w:val="lowerLetter"/>
      <w:lvlText w:val="%5."/>
      <w:lvlJc w:val="left"/>
      <w:pPr>
        <w:ind w:left="3087" w:hanging="360"/>
      </w:pPr>
    </w:lvl>
    <w:lvl w:ilvl="5" w:tplc="040E001B" w:tentative="1">
      <w:start w:val="1"/>
      <w:numFmt w:val="lowerRoman"/>
      <w:lvlText w:val="%6."/>
      <w:lvlJc w:val="right"/>
      <w:pPr>
        <w:ind w:left="3807" w:hanging="180"/>
      </w:pPr>
    </w:lvl>
    <w:lvl w:ilvl="6" w:tplc="040E000F" w:tentative="1">
      <w:start w:val="1"/>
      <w:numFmt w:val="decimal"/>
      <w:lvlText w:val="%7."/>
      <w:lvlJc w:val="left"/>
      <w:pPr>
        <w:ind w:left="4527" w:hanging="360"/>
      </w:pPr>
    </w:lvl>
    <w:lvl w:ilvl="7" w:tplc="040E0019" w:tentative="1">
      <w:start w:val="1"/>
      <w:numFmt w:val="lowerLetter"/>
      <w:lvlText w:val="%8."/>
      <w:lvlJc w:val="left"/>
      <w:pPr>
        <w:ind w:left="5247" w:hanging="360"/>
      </w:pPr>
    </w:lvl>
    <w:lvl w:ilvl="8" w:tplc="040E001B" w:tentative="1">
      <w:start w:val="1"/>
      <w:numFmt w:val="lowerRoman"/>
      <w:lvlText w:val="%9."/>
      <w:lvlJc w:val="right"/>
      <w:pPr>
        <w:ind w:left="5967" w:hanging="180"/>
      </w:pPr>
    </w:lvl>
  </w:abstractNum>
  <w:abstractNum w:abstractNumId="343" w15:restartNumberingAfterBreak="0">
    <w:nsid w:val="33916CA7"/>
    <w:multiLevelType w:val="hybridMultilevel"/>
    <w:tmpl w:val="191A6054"/>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344" w15:restartNumberingAfterBreak="0">
    <w:nsid w:val="33D11DA0"/>
    <w:multiLevelType w:val="hybridMultilevel"/>
    <w:tmpl w:val="77DA52F0"/>
    <w:lvl w:ilvl="0" w:tplc="7B7CA08A">
      <w:start w:val="1"/>
      <w:numFmt w:val="decimal"/>
      <w:lvlText w:val="%1."/>
      <w:lvlJc w:val="left"/>
      <w:pPr>
        <w:ind w:left="1068"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45" w15:restartNumberingAfterBreak="0">
    <w:nsid w:val="33D366B1"/>
    <w:multiLevelType w:val="multilevel"/>
    <w:tmpl w:val="56B277F8"/>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46" w15:restartNumberingAfterBreak="0">
    <w:nsid w:val="33E87ABB"/>
    <w:multiLevelType w:val="hybridMultilevel"/>
    <w:tmpl w:val="31D07C14"/>
    <w:lvl w:ilvl="0" w:tplc="F90AA5CA">
      <w:numFmt w:val="bullet"/>
      <w:lvlText w:val="-"/>
      <w:lvlJc w:val="left"/>
      <w:pPr>
        <w:ind w:left="1145" w:hanging="360"/>
      </w:pPr>
      <w:rPr>
        <w:rFonts w:ascii="Times New Roman" w:eastAsia="Times New Roman" w:hAnsi="Times New Roman"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347" w15:restartNumberingAfterBreak="0">
    <w:nsid w:val="344043B1"/>
    <w:multiLevelType w:val="hybridMultilevel"/>
    <w:tmpl w:val="E71002D4"/>
    <w:lvl w:ilvl="0" w:tplc="FFFFFFFF">
      <w:start w:val="1"/>
      <w:numFmt w:val="bullet"/>
      <w:lvlText w:val="-"/>
      <w:lvlJc w:val="left"/>
      <w:pPr>
        <w:ind w:left="785" w:hanging="360"/>
      </w:pPr>
      <w:rPr>
        <w:rFonts w:ascii="Times New Roman" w:eastAsia="Times New Roman" w:hAnsi="Times New Roman" w:hint="default"/>
      </w:rPr>
    </w:lvl>
    <w:lvl w:ilvl="1" w:tplc="040E0003" w:tentative="1">
      <w:start w:val="1"/>
      <w:numFmt w:val="bullet"/>
      <w:lvlText w:val="o"/>
      <w:lvlJc w:val="left"/>
      <w:pPr>
        <w:ind w:left="1505" w:hanging="360"/>
      </w:pPr>
      <w:rPr>
        <w:rFonts w:ascii="Courier New" w:hAnsi="Courier New" w:cs="Courier New" w:hint="default"/>
      </w:rPr>
    </w:lvl>
    <w:lvl w:ilvl="2" w:tplc="040E0005" w:tentative="1">
      <w:start w:val="1"/>
      <w:numFmt w:val="bullet"/>
      <w:lvlText w:val=""/>
      <w:lvlJc w:val="left"/>
      <w:pPr>
        <w:ind w:left="2225" w:hanging="360"/>
      </w:pPr>
      <w:rPr>
        <w:rFonts w:ascii="Wingdings" w:hAnsi="Wingdings" w:hint="default"/>
      </w:rPr>
    </w:lvl>
    <w:lvl w:ilvl="3" w:tplc="040E0001" w:tentative="1">
      <w:start w:val="1"/>
      <w:numFmt w:val="bullet"/>
      <w:lvlText w:val=""/>
      <w:lvlJc w:val="left"/>
      <w:pPr>
        <w:ind w:left="2945" w:hanging="360"/>
      </w:pPr>
      <w:rPr>
        <w:rFonts w:ascii="Symbol" w:hAnsi="Symbol" w:hint="default"/>
      </w:rPr>
    </w:lvl>
    <w:lvl w:ilvl="4" w:tplc="040E0003" w:tentative="1">
      <w:start w:val="1"/>
      <w:numFmt w:val="bullet"/>
      <w:lvlText w:val="o"/>
      <w:lvlJc w:val="left"/>
      <w:pPr>
        <w:ind w:left="3665" w:hanging="360"/>
      </w:pPr>
      <w:rPr>
        <w:rFonts w:ascii="Courier New" w:hAnsi="Courier New" w:cs="Courier New" w:hint="default"/>
      </w:rPr>
    </w:lvl>
    <w:lvl w:ilvl="5" w:tplc="040E0005" w:tentative="1">
      <w:start w:val="1"/>
      <w:numFmt w:val="bullet"/>
      <w:lvlText w:val=""/>
      <w:lvlJc w:val="left"/>
      <w:pPr>
        <w:ind w:left="4385" w:hanging="360"/>
      </w:pPr>
      <w:rPr>
        <w:rFonts w:ascii="Wingdings" w:hAnsi="Wingdings" w:hint="default"/>
      </w:rPr>
    </w:lvl>
    <w:lvl w:ilvl="6" w:tplc="040E0001" w:tentative="1">
      <w:start w:val="1"/>
      <w:numFmt w:val="bullet"/>
      <w:lvlText w:val=""/>
      <w:lvlJc w:val="left"/>
      <w:pPr>
        <w:ind w:left="5105" w:hanging="360"/>
      </w:pPr>
      <w:rPr>
        <w:rFonts w:ascii="Symbol" w:hAnsi="Symbol" w:hint="default"/>
      </w:rPr>
    </w:lvl>
    <w:lvl w:ilvl="7" w:tplc="040E0003" w:tentative="1">
      <w:start w:val="1"/>
      <w:numFmt w:val="bullet"/>
      <w:lvlText w:val="o"/>
      <w:lvlJc w:val="left"/>
      <w:pPr>
        <w:ind w:left="5825" w:hanging="360"/>
      </w:pPr>
      <w:rPr>
        <w:rFonts w:ascii="Courier New" w:hAnsi="Courier New" w:cs="Courier New" w:hint="default"/>
      </w:rPr>
    </w:lvl>
    <w:lvl w:ilvl="8" w:tplc="040E0005" w:tentative="1">
      <w:start w:val="1"/>
      <w:numFmt w:val="bullet"/>
      <w:lvlText w:val=""/>
      <w:lvlJc w:val="left"/>
      <w:pPr>
        <w:ind w:left="6545" w:hanging="360"/>
      </w:pPr>
      <w:rPr>
        <w:rFonts w:ascii="Wingdings" w:hAnsi="Wingdings" w:hint="default"/>
      </w:rPr>
    </w:lvl>
  </w:abstractNum>
  <w:abstractNum w:abstractNumId="348" w15:restartNumberingAfterBreak="0">
    <w:nsid w:val="34D91B12"/>
    <w:multiLevelType w:val="hybridMultilevel"/>
    <w:tmpl w:val="68F04454"/>
    <w:lvl w:ilvl="0" w:tplc="CD82948C">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49" w15:restartNumberingAfterBreak="0">
    <w:nsid w:val="351768F1"/>
    <w:multiLevelType w:val="multilevel"/>
    <w:tmpl w:val="3056AF02"/>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50" w15:restartNumberingAfterBreak="0">
    <w:nsid w:val="358B5D8C"/>
    <w:multiLevelType w:val="multilevel"/>
    <w:tmpl w:val="1F1CB6C0"/>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51" w15:restartNumberingAfterBreak="0">
    <w:nsid w:val="35B935DA"/>
    <w:multiLevelType w:val="multilevel"/>
    <w:tmpl w:val="91F85592"/>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52" w15:restartNumberingAfterBreak="0">
    <w:nsid w:val="36495400"/>
    <w:multiLevelType w:val="hybridMultilevel"/>
    <w:tmpl w:val="A9A80FA6"/>
    <w:lvl w:ilvl="0" w:tplc="50925BA0">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3" w15:restartNumberingAfterBreak="0">
    <w:nsid w:val="36965CA8"/>
    <w:multiLevelType w:val="hybridMultilevel"/>
    <w:tmpl w:val="D480E686"/>
    <w:lvl w:ilvl="0" w:tplc="087E04B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4" w15:restartNumberingAfterBreak="0">
    <w:nsid w:val="36A508B8"/>
    <w:multiLevelType w:val="hybridMultilevel"/>
    <w:tmpl w:val="3A4E1912"/>
    <w:lvl w:ilvl="0" w:tplc="537C3C86">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5" w15:restartNumberingAfterBreak="0">
    <w:nsid w:val="37144636"/>
    <w:multiLevelType w:val="multilevel"/>
    <w:tmpl w:val="3F4A774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440" w:hanging="720"/>
      </w:pPr>
      <w:rPr>
        <w:rFonts w:hint="default"/>
        <w:b w:val="0"/>
      </w:rPr>
    </w:lvl>
    <w:lvl w:ilvl="3">
      <w:start w:val="1"/>
      <w:numFmt w:val="decimal"/>
      <w:isLgl/>
      <w:lvlText w:val="%1.%2.%3.%4"/>
      <w:lvlJc w:val="left"/>
      <w:pPr>
        <w:ind w:left="1440" w:hanging="720"/>
      </w:pPr>
      <w:rPr>
        <w:rFonts w:hint="default"/>
        <w:b w:val="0"/>
      </w:rPr>
    </w:lvl>
    <w:lvl w:ilvl="4">
      <w:start w:val="1"/>
      <w:numFmt w:val="decimal"/>
      <w:isLgl/>
      <w:lvlText w:val="%1.%2.%3.%4.%5"/>
      <w:lvlJc w:val="left"/>
      <w:pPr>
        <w:ind w:left="1800" w:hanging="1080"/>
      </w:pPr>
      <w:rPr>
        <w:rFonts w:hint="default"/>
        <w:b w:val="0"/>
      </w:rPr>
    </w:lvl>
    <w:lvl w:ilvl="5">
      <w:start w:val="1"/>
      <w:numFmt w:val="decimal"/>
      <w:isLgl/>
      <w:lvlText w:val="%1.%2.%3.%4.%5.%6"/>
      <w:lvlJc w:val="left"/>
      <w:pPr>
        <w:ind w:left="1800" w:hanging="1080"/>
      </w:pPr>
      <w:rPr>
        <w:rFonts w:hint="default"/>
        <w:b w:val="0"/>
      </w:rPr>
    </w:lvl>
    <w:lvl w:ilvl="6">
      <w:start w:val="1"/>
      <w:numFmt w:val="decimal"/>
      <w:isLgl/>
      <w:lvlText w:val="%1.%2.%3.%4.%5.%6.%7"/>
      <w:lvlJc w:val="left"/>
      <w:pPr>
        <w:ind w:left="2160" w:hanging="1440"/>
      </w:pPr>
      <w:rPr>
        <w:rFonts w:hint="default"/>
        <w:b w:val="0"/>
      </w:rPr>
    </w:lvl>
    <w:lvl w:ilvl="7">
      <w:start w:val="1"/>
      <w:numFmt w:val="decimal"/>
      <w:isLgl/>
      <w:lvlText w:val="%1.%2.%3.%4.%5.%6.%7.%8"/>
      <w:lvlJc w:val="left"/>
      <w:pPr>
        <w:ind w:left="2160" w:hanging="1440"/>
      </w:pPr>
      <w:rPr>
        <w:rFonts w:hint="default"/>
        <w:b w:val="0"/>
      </w:rPr>
    </w:lvl>
    <w:lvl w:ilvl="8">
      <w:start w:val="1"/>
      <w:numFmt w:val="decimal"/>
      <w:isLgl/>
      <w:lvlText w:val="%1.%2.%3.%4.%5.%6.%7.%8.%9"/>
      <w:lvlJc w:val="left"/>
      <w:pPr>
        <w:ind w:left="2520" w:hanging="1800"/>
      </w:pPr>
      <w:rPr>
        <w:rFonts w:hint="default"/>
        <w:b w:val="0"/>
      </w:rPr>
    </w:lvl>
  </w:abstractNum>
  <w:abstractNum w:abstractNumId="356" w15:restartNumberingAfterBreak="0">
    <w:nsid w:val="37296960"/>
    <w:multiLevelType w:val="hybridMultilevel"/>
    <w:tmpl w:val="8A0C5634"/>
    <w:lvl w:ilvl="0" w:tplc="F90AA5CA">
      <w:numFmt w:val="bullet"/>
      <w:lvlText w:val="-"/>
      <w:lvlJc w:val="left"/>
      <w:pPr>
        <w:ind w:left="1145" w:hanging="360"/>
      </w:pPr>
      <w:rPr>
        <w:rFonts w:ascii="Times New Roman" w:eastAsia="Times New Roman" w:hAnsi="Times New Roman"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357" w15:restartNumberingAfterBreak="0">
    <w:nsid w:val="37403E10"/>
    <w:multiLevelType w:val="multilevel"/>
    <w:tmpl w:val="DDF8FE24"/>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58" w15:restartNumberingAfterBreak="0">
    <w:nsid w:val="37590368"/>
    <w:multiLevelType w:val="hybridMultilevel"/>
    <w:tmpl w:val="0D967052"/>
    <w:lvl w:ilvl="0" w:tplc="F90AA5CA">
      <w:numFmt w:val="bullet"/>
      <w:lvlText w:val="-"/>
      <w:lvlJc w:val="left"/>
      <w:pPr>
        <w:ind w:left="1145" w:hanging="360"/>
      </w:pPr>
      <w:rPr>
        <w:rFonts w:ascii="Times New Roman" w:eastAsia="Times New Roman" w:hAnsi="Times New Roman"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359" w15:restartNumberingAfterBreak="0">
    <w:nsid w:val="3769760A"/>
    <w:multiLevelType w:val="hybridMultilevel"/>
    <w:tmpl w:val="6034382E"/>
    <w:lvl w:ilvl="0" w:tplc="F90AA5CA">
      <w:numFmt w:val="bullet"/>
      <w:lvlText w:val="-"/>
      <w:lvlJc w:val="left"/>
      <w:pPr>
        <w:ind w:left="1145" w:hanging="360"/>
      </w:pPr>
      <w:rPr>
        <w:rFonts w:ascii="Times New Roman" w:eastAsia="Times New Roman" w:hAnsi="Times New Roman"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360" w15:restartNumberingAfterBreak="0">
    <w:nsid w:val="37B26B33"/>
    <w:multiLevelType w:val="multilevel"/>
    <w:tmpl w:val="BABC55F8"/>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4"/>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61" w15:restartNumberingAfterBreak="0">
    <w:nsid w:val="37B60EED"/>
    <w:multiLevelType w:val="multilevel"/>
    <w:tmpl w:val="376EE298"/>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rFonts w:ascii="Times New Roman" w:hAnsi="Times New Roman" w:cs="Times New Roman" w:hint="default"/>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62" w15:restartNumberingAfterBreak="0">
    <w:nsid w:val="37B72EB2"/>
    <w:multiLevelType w:val="hybridMultilevel"/>
    <w:tmpl w:val="180CC68C"/>
    <w:lvl w:ilvl="0" w:tplc="F90AA5CA">
      <w:numFmt w:val="bullet"/>
      <w:lvlText w:val="-"/>
      <w:lvlJc w:val="left"/>
      <w:pPr>
        <w:ind w:left="1145" w:hanging="360"/>
      </w:pPr>
      <w:rPr>
        <w:rFonts w:ascii="Times New Roman" w:eastAsia="Times New Roman" w:hAnsi="Times New Roman" w:cs="Times New Roman" w:hint="default"/>
      </w:rPr>
    </w:lvl>
    <w:lvl w:ilvl="1" w:tplc="040E0003">
      <w:start w:val="1"/>
      <w:numFmt w:val="bullet"/>
      <w:lvlText w:val="o"/>
      <w:lvlJc w:val="left"/>
      <w:pPr>
        <w:ind w:left="1865" w:hanging="360"/>
      </w:pPr>
      <w:rPr>
        <w:rFonts w:ascii="Courier New" w:hAnsi="Courier New" w:cs="Courier New" w:hint="default"/>
      </w:rPr>
    </w:lvl>
    <w:lvl w:ilvl="2" w:tplc="040E0005">
      <w:start w:val="1"/>
      <w:numFmt w:val="bullet"/>
      <w:lvlText w:val=""/>
      <w:lvlJc w:val="left"/>
      <w:pPr>
        <w:ind w:left="2585" w:hanging="360"/>
      </w:pPr>
      <w:rPr>
        <w:rFonts w:ascii="Wingdings" w:hAnsi="Wingdings" w:hint="default"/>
      </w:rPr>
    </w:lvl>
    <w:lvl w:ilvl="3" w:tplc="040E0001">
      <w:start w:val="1"/>
      <w:numFmt w:val="bullet"/>
      <w:lvlText w:val=""/>
      <w:lvlJc w:val="left"/>
      <w:pPr>
        <w:ind w:left="3305" w:hanging="360"/>
      </w:pPr>
      <w:rPr>
        <w:rFonts w:ascii="Symbol" w:hAnsi="Symbol" w:hint="default"/>
      </w:rPr>
    </w:lvl>
    <w:lvl w:ilvl="4" w:tplc="040E0003">
      <w:start w:val="1"/>
      <w:numFmt w:val="bullet"/>
      <w:lvlText w:val="o"/>
      <w:lvlJc w:val="left"/>
      <w:pPr>
        <w:ind w:left="4025" w:hanging="360"/>
      </w:pPr>
      <w:rPr>
        <w:rFonts w:ascii="Courier New" w:hAnsi="Courier New" w:cs="Courier New" w:hint="default"/>
      </w:rPr>
    </w:lvl>
    <w:lvl w:ilvl="5" w:tplc="040E0005">
      <w:start w:val="1"/>
      <w:numFmt w:val="bullet"/>
      <w:lvlText w:val=""/>
      <w:lvlJc w:val="left"/>
      <w:pPr>
        <w:ind w:left="4745" w:hanging="360"/>
      </w:pPr>
      <w:rPr>
        <w:rFonts w:ascii="Wingdings" w:hAnsi="Wingdings" w:hint="default"/>
      </w:rPr>
    </w:lvl>
    <w:lvl w:ilvl="6" w:tplc="040E0001">
      <w:start w:val="1"/>
      <w:numFmt w:val="bullet"/>
      <w:lvlText w:val=""/>
      <w:lvlJc w:val="left"/>
      <w:pPr>
        <w:ind w:left="5465" w:hanging="360"/>
      </w:pPr>
      <w:rPr>
        <w:rFonts w:ascii="Symbol" w:hAnsi="Symbol" w:hint="default"/>
      </w:rPr>
    </w:lvl>
    <w:lvl w:ilvl="7" w:tplc="040E0003">
      <w:start w:val="1"/>
      <w:numFmt w:val="bullet"/>
      <w:lvlText w:val="o"/>
      <w:lvlJc w:val="left"/>
      <w:pPr>
        <w:ind w:left="6185" w:hanging="360"/>
      </w:pPr>
      <w:rPr>
        <w:rFonts w:ascii="Courier New" w:hAnsi="Courier New" w:cs="Courier New" w:hint="default"/>
      </w:rPr>
    </w:lvl>
    <w:lvl w:ilvl="8" w:tplc="040E0005">
      <w:start w:val="1"/>
      <w:numFmt w:val="bullet"/>
      <w:lvlText w:val=""/>
      <w:lvlJc w:val="left"/>
      <w:pPr>
        <w:ind w:left="6905" w:hanging="360"/>
      </w:pPr>
      <w:rPr>
        <w:rFonts w:ascii="Wingdings" w:hAnsi="Wingdings" w:hint="default"/>
      </w:rPr>
    </w:lvl>
  </w:abstractNum>
  <w:abstractNum w:abstractNumId="363" w15:restartNumberingAfterBreak="0">
    <w:nsid w:val="37CB1E07"/>
    <w:multiLevelType w:val="multilevel"/>
    <w:tmpl w:val="363C2BE6"/>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64" w15:restartNumberingAfterBreak="0">
    <w:nsid w:val="37CF472C"/>
    <w:multiLevelType w:val="hybridMultilevel"/>
    <w:tmpl w:val="29FAB76A"/>
    <w:lvl w:ilvl="0" w:tplc="F29CF34C">
      <w:start w:val="1"/>
      <w:numFmt w:val="bullet"/>
      <w:lvlText w:val=""/>
      <w:lvlJc w:val="left"/>
      <w:pPr>
        <w:ind w:left="1145" w:hanging="360"/>
      </w:pPr>
      <w:rPr>
        <w:rFonts w:ascii="Symbol" w:hAnsi="Symbol" w:hint="default"/>
      </w:rPr>
    </w:lvl>
    <w:lvl w:ilvl="1" w:tplc="040E0003">
      <w:start w:val="1"/>
      <w:numFmt w:val="bullet"/>
      <w:lvlText w:val="o"/>
      <w:lvlJc w:val="left"/>
      <w:pPr>
        <w:ind w:left="1865" w:hanging="360"/>
      </w:pPr>
      <w:rPr>
        <w:rFonts w:ascii="Courier New" w:hAnsi="Courier New" w:cs="Courier New" w:hint="default"/>
      </w:rPr>
    </w:lvl>
    <w:lvl w:ilvl="2" w:tplc="040E0005">
      <w:start w:val="1"/>
      <w:numFmt w:val="bullet"/>
      <w:lvlText w:val=""/>
      <w:lvlJc w:val="left"/>
      <w:pPr>
        <w:ind w:left="2585" w:hanging="360"/>
      </w:pPr>
      <w:rPr>
        <w:rFonts w:ascii="Wingdings" w:hAnsi="Wingdings" w:hint="default"/>
      </w:rPr>
    </w:lvl>
    <w:lvl w:ilvl="3" w:tplc="040E0001">
      <w:start w:val="1"/>
      <w:numFmt w:val="bullet"/>
      <w:lvlText w:val=""/>
      <w:lvlJc w:val="left"/>
      <w:pPr>
        <w:ind w:left="3305" w:hanging="360"/>
      </w:pPr>
      <w:rPr>
        <w:rFonts w:ascii="Symbol" w:hAnsi="Symbol" w:hint="default"/>
      </w:rPr>
    </w:lvl>
    <w:lvl w:ilvl="4" w:tplc="040E0003">
      <w:start w:val="1"/>
      <w:numFmt w:val="bullet"/>
      <w:lvlText w:val="o"/>
      <w:lvlJc w:val="left"/>
      <w:pPr>
        <w:ind w:left="4025" w:hanging="360"/>
      </w:pPr>
      <w:rPr>
        <w:rFonts w:ascii="Courier New" w:hAnsi="Courier New" w:cs="Courier New" w:hint="default"/>
      </w:rPr>
    </w:lvl>
    <w:lvl w:ilvl="5" w:tplc="040E0005">
      <w:start w:val="1"/>
      <w:numFmt w:val="bullet"/>
      <w:lvlText w:val=""/>
      <w:lvlJc w:val="left"/>
      <w:pPr>
        <w:ind w:left="4745" w:hanging="360"/>
      </w:pPr>
      <w:rPr>
        <w:rFonts w:ascii="Wingdings" w:hAnsi="Wingdings" w:hint="default"/>
      </w:rPr>
    </w:lvl>
    <w:lvl w:ilvl="6" w:tplc="040E0001">
      <w:start w:val="1"/>
      <w:numFmt w:val="bullet"/>
      <w:lvlText w:val=""/>
      <w:lvlJc w:val="left"/>
      <w:pPr>
        <w:ind w:left="5465" w:hanging="360"/>
      </w:pPr>
      <w:rPr>
        <w:rFonts w:ascii="Symbol" w:hAnsi="Symbol" w:hint="default"/>
      </w:rPr>
    </w:lvl>
    <w:lvl w:ilvl="7" w:tplc="040E0003">
      <w:start w:val="1"/>
      <w:numFmt w:val="bullet"/>
      <w:lvlText w:val="o"/>
      <w:lvlJc w:val="left"/>
      <w:pPr>
        <w:ind w:left="6185" w:hanging="360"/>
      </w:pPr>
      <w:rPr>
        <w:rFonts w:ascii="Courier New" w:hAnsi="Courier New" w:cs="Courier New" w:hint="default"/>
      </w:rPr>
    </w:lvl>
    <w:lvl w:ilvl="8" w:tplc="040E0005">
      <w:start w:val="1"/>
      <w:numFmt w:val="bullet"/>
      <w:lvlText w:val=""/>
      <w:lvlJc w:val="left"/>
      <w:pPr>
        <w:ind w:left="6905" w:hanging="360"/>
      </w:pPr>
      <w:rPr>
        <w:rFonts w:ascii="Wingdings" w:hAnsi="Wingdings" w:hint="default"/>
      </w:rPr>
    </w:lvl>
  </w:abstractNum>
  <w:abstractNum w:abstractNumId="365" w15:restartNumberingAfterBreak="0">
    <w:nsid w:val="37E05AD8"/>
    <w:multiLevelType w:val="multilevel"/>
    <w:tmpl w:val="9B8E02DE"/>
    <w:lvl w:ilvl="0">
      <w:start w:val="12"/>
      <w:numFmt w:val="decimal"/>
      <w:lvlText w:val="%1."/>
      <w:lvlJc w:val="left"/>
      <w:pPr>
        <w:ind w:left="720" w:hanging="360"/>
      </w:pPr>
      <w:rPr>
        <w:rFonts w:hint="default"/>
      </w:rPr>
    </w:lvl>
    <w:lvl w:ilvl="1">
      <w:start w:val="1"/>
      <w:numFmt w:val="decimal"/>
      <w:isLgl/>
      <w:lvlText w:val="%1.%2."/>
      <w:lvlJc w:val="left"/>
      <w:pPr>
        <w:ind w:left="840" w:hanging="480"/>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6" w15:restartNumberingAfterBreak="0">
    <w:nsid w:val="383754A7"/>
    <w:multiLevelType w:val="hybridMultilevel"/>
    <w:tmpl w:val="7E806CCA"/>
    <w:lvl w:ilvl="0" w:tplc="9E049A8C">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67" w15:restartNumberingAfterBreak="0">
    <w:nsid w:val="384747E3"/>
    <w:multiLevelType w:val="hybridMultilevel"/>
    <w:tmpl w:val="34DC2BCC"/>
    <w:lvl w:ilvl="0" w:tplc="F29CF34C">
      <w:start w:val="1"/>
      <w:numFmt w:val="bullet"/>
      <w:lvlText w:val=""/>
      <w:lvlJc w:val="left"/>
      <w:pPr>
        <w:ind w:left="1145" w:hanging="360"/>
      </w:pPr>
      <w:rPr>
        <w:rFonts w:ascii="Symbol" w:hAnsi="Symbol" w:hint="default"/>
      </w:rPr>
    </w:lvl>
    <w:lvl w:ilvl="1" w:tplc="040E0003">
      <w:start w:val="1"/>
      <w:numFmt w:val="bullet"/>
      <w:lvlText w:val="o"/>
      <w:lvlJc w:val="left"/>
      <w:pPr>
        <w:ind w:left="1865" w:hanging="360"/>
      </w:pPr>
      <w:rPr>
        <w:rFonts w:ascii="Courier New" w:hAnsi="Courier New" w:cs="Courier New" w:hint="default"/>
      </w:rPr>
    </w:lvl>
    <w:lvl w:ilvl="2" w:tplc="040E0005">
      <w:start w:val="1"/>
      <w:numFmt w:val="bullet"/>
      <w:lvlText w:val=""/>
      <w:lvlJc w:val="left"/>
      <w:pPr>
        <w:ind w:left="2585" w:hanging="360"/>
      </w:pPr>
      <w:rPr>
        <w:rFonts w:ascii="Wingdings" w:hAnsi="Wingdings" w:hint="default"/>
      </w:rPr>
    </w:lvl>
    <w:lvl w:ilvl="3" w:tplc="040E0001">
      <w:start w:val="1"/>
      <w:numFmt w:val="bullet"/>
      <w:lvlText w:val=""/>
      <w:lvlJc w:val="left"/>
      <w:pPr>
        <w:ind w:left="3305" w:hanging="360"/>
      </w:pPr>
      <w:rPr>
        <w:rFonts w:ascii="Symbol" w:hAnsi="Symbol" w:hint="default"/>
      </w:rPr>
    </w:lvl>
    <w:lvl w:ilvl="4" w:tplc="040E0003">
      <w:start w:val="1"/>
      <w:numFmt w:val="bullet"/>
      <w:lvlText w:val="o"/>
      <w:lvlJc w:val="left"/>
      <w:pPr>
        <w:ind w:left="4025" w:hanging="360"/>
      </w:pPr>
      <w:rPr>
        <w:rFonts w:ascii="Courier New" w:hAnsi="Courier New" w:cs="Courier New" w:hint="default"/>
      </w:rPr>
    </w:lvl>
    <w:lvl w:ilvl="5" w:tplc="040E0005">
      <w:start w:val="1"/>
      <w:numFmt w:val="bullet"/>
      <w:lvlText w:val=""/>
      <w:lvlJc w:val="left"/>
      <w:pPr>
        <w:ind w:left="4745" w:hanging="360"/>
      </w:pPr>
      <w:rPr>
        <w:rFonts w:ascii="Wingdings" w:hAnsi="Wingdings" w:hint="default"/>
      </w:rPr>
    </w:lvl>
    <w:lvl w:ilvl="6" w:tplc="040E0001">
      <w:start w:val="1"/>
      <w:numFmt w:val="bullet"/>
      <w:lvlText w:val=""/>
      <w:lvlJc w:val="left"/>
      <w:pPr>
        <w:ind w:left="5465" w:hanging="360"/>
      </w:pPr>
      <w:rPr>
        <w:rFonts w:ascii="Symbol" w:hAnsi="Symbol" w:hint="default"/>
      </w:rPr>
    </w:lvl>
    <w:lvl w:ilvl="7" w:tplc="040E0003">
      <w:start w:val="1"/>
      <w:numFmt w:val="bullet"/>
      <w:lvlText w:val="o"/>
      <w:lvlJc w:val="left"/>
      <w:pPr>
        <w:ind w:left="6185" w:hanging="360"/>
      </w:pPr>
      <w:rPr>
        <w:rFonts w:ascii="Courier New" w:hAnsi="Courier New" w:cs="Courier New" w:hint="default"/>
      </w:rPr>
    </w:lvl>
    <w:lvl w:ilvl="8" w:tplc="040E0005">
      <w:start w:val="1"/>
      <w:numFmt w:val="bullet"/>
      <w:lvlText w:val=""/>
      <w:lvlJc w:val="left"/>
      <w:pPr>
        <w:ind w:left="6905" w:hanging="360"/>
      </w:pPr>
      <w:rPr>
        <w:rFonts w:ascii="Wingdings" w:hAnsi="Wingdings" w:hint="default"/>
      </w:rPr>
    </w:lvl>
  </w:abstractNum>
  <w:abstractNum w:abstractNumId="368" w15:restartNumberingAfterBreak="0">
    <w:nsid w:val="386B29C1"/>
    <w:multiLevelType w:val="hybridMultilevel"/>
    <w:tmpl w:val="2E2CB07A"/>
    <w:lvl w:ilvl="0" w:tplc="4C92DD4C">
      <w:start w:val="1"/>
      <w:numFmt w:val="decimal"/>
      <w:lvlText w:val="%1."/>
      <w:lvlJc w:val="left"/>
      <w:pPr>
        <w:ind w:left="108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69" w15:restartNumberingAfterBreak="0">
    <w:nsid w:val="38846CA5"/>
    <w:multiLevelType w:val="hybridMultilevel"/>
    <w:tmpl w:val="A010F1DA"/>
    <w:lvl w:ilvl="0" w:tplc="F29CF34C">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370" w15:restartNumberingAfterBreak="0">
    <w:nsid w:val="38C216D0"/>
    <w:multiLevelType w:val="hybridMultilevel"/>
    <w:tmpl w:val="C57E1A40"/>
    <w:lvl w:ilvl="0" w:tplc="F29CF34C">
      <w:start w:val="1"/>
      <w:numFmt w:val="bullet"/>
      <w:lvlText w:val=""/>
      <w:lvlJc w:val="left"/>
      <w:pPr>
        <w:ind w:left="1145" w:hanging="360"/>
      </w:pPr>
      <w:rPr>
        <w:rFonts w:ascii="Symbol" w:hAnsi="Symbol" w:hint="default"/>
      </w:rPr>
    </w:lvl>
    <w:lvl w:ilvl="1" w:tplc="040E0003">
      <w:start w:val="1"/>
      <w:numFmt w:val="bullet"/>
      <w:lvlText w:val="o"/>
      <w:lvlJc w:val="left"/>
      <w:pPr>
        <w:ind w:left="1865" w:hanging="360"/>
      </w:pPr>
      <w:rPr>
        <w:rFonts w:ascii="Courier New" w:hAnsi="Courier New" w:cs="Courier New" w:hint="default"/>
      </w:rPr>
    </w:lvl>
    <w:lvl w:ilvl="2" w:tplc="040E0005">
      <w:start w:val="1"/>
      <w:numFmt w:val="bullet"/>
      <w:lvlText w:val=""/>
      <w:lvlJc w:val="left"/>
      <w:pPr>
        <w:ind w:left="2585" w:hanging="360"/>
      </w:pPr>
      <w:rPr>
        <w:rFonts w:ascii="Wingdings" w:hAnsi="Wingdings" w:hint="default"/>
      </w:rPr>
    </w:lvl>
    <w:lvl w:ilvl="3" w:tplc="040E0001">
      <w:start w:val="1"/>
      <w:numFmt w:val="bullet"/>
      <w:lvlText w:val=""/>
      <w:lvlJc w:val="left"/>
      <w:pPr>
        <w:ind w:left="3305" w:hanging="360"/>
      </w:pPr>
      <w:rPr>
        <w:rFonts w:ascii="Symbol" w:hAnsi="Symbol" w:hint="default"/>
      </w:rPr>
    </w:lvl>
    <w:lvl w:ilvl="4" w:tplc="040E0003">
      <w:start w:val="1"/>
      <w:numFmt w:val="bullet"/>
      <w:lvlText w:val="o"/>
      <w:lvlJc w:val="left"/>
      <w:pPr>
        <w:ind w:left="4025" w:hanging="360"/>
      </w:pPr>
      <w:rPr>
        <w:rFonts w:ascii="Courier New" w:hAnsi="Courier New" w:cs="Courier New" w:hint="default"/>
      </w:rPr>
    </w:lvl>
    <w:lvl w:ilvl="5" w:tplc="040E0005">
      <w:start w:val="1"/>
      <w:numFmt w:val="bullet"/>
      <w:lvlText w:val=""/>
      <w:lvlJc w:val="left"/>
      <w:pPr>
        <w:ind w:left="4745" w:hanging="360"/>
      </w:pPr>
      <w:rPr>
        <w:rFonts w:ascii="Wingdings" w:hAnsi="Wingdings" w:hint="default"/>
      </w:rPr>
    </w:lvl>
    <w:lvl w:ilvl="6" w:tplc="040E0001">
      <w:start w:val="1"/>
      <w:numFmt w:val="bullet"/>
      <w:lvlText w:val=""/>
      <w:lvlJc w:val="left"/>
      <w:pPr>
        <w:ind w:left="5465" w:hanging="360"/>
      </w:pPr>
      <w:rPr>
        <w:rFonts w:ascii="Symbol" w:hAnsi="Symbol" w:hint="default"/>
      </w:rPr>
    </w:lvl>
    <w:lvl w:ilvl="7" w:tplc="040E0003">
      <w:start w:val="1"/>
      <w:numFmt w:val="bullet"/>
      <w:lvlText w:val="o"/>
      <w:lvlJc w:val="left"/>
      <w:pPr>
        <w:ind w:left="6185" w:hanging="360"/>
      </w:pPr>
      <w:rPr>
        <w:rFonts w:ascii="Courier New" w:hAnsi="Courier New" w:cs="Courier New" w:hint="default"/>
      </w:rPr>
    </w:lvl>
    <w:lvl w:ilvl="8" w:tplc="040E0005">
      <w:start w:val="1"/>
      <w:numFmt w:val="bullet"/>
      <w:lvlText w:val=""/>
      <w:lvlJc w:val="left"/>
      <w:pPr>
        <w:ind w:left="6905" w:hanging="360"/>
      </w:pPr>
      <w:rPr>
        <w:rFonts w:ascii="Wingdings" w:hAnsi="Wingdings" w:hint="default"/>
      </w:rPr>
    </w:lvl>
  </w:abstractNum>
  <w:abstractNum w:abstractNumId="371" w15:restartNumberingAfterBreak="0">
    <w:nsid w:val="38CC327C"/>
    <w:multiLevelType w:val="hybridMultilevel"/>
    <w:tmpl w:val="EC309DDA"/>
    <w:lvl w:ilvl="0" w:tplc="F90AA5CA">
      <w:numFmt w:val="bullet"/>
      <w:lvlText w:val="-"/>
      <w:lvlJc w:val="left"/>
      <w:pPr>
        <w:ind w:left="1145" w:hanging="360"/>
      </w:pPr>
      <w:rPr>
        <w:rFonts w:ascii="Times New Roman" w:eastAsia="Times New Roman" w:hAnsi="Times New Roman" w:cs="Times New Roman" w:hint="default"/>
      </w:rPr>
    </w:lvl>
    <w:lvl w:ilvl="1" w:tplc="040E0003">
      <w:start w:val="1"/>
      <w:numFmt w:val="bullet"/>
      <w:lvlText w:val="o"/>
      <w:lvlJc w:val="left"/>
      <w:pPr>
        <w:ind w:left="1865" w:hanging="360"/>
      </w:pPr>
      <w:rPr>
        <w:rFonts w:ascii="Courier New" w:hAnsi="Courier New" w:cs="Courier New" w:hint="default"/>
      </w:rPr>
    </w:lvl>
    <w:lvl w:ilvl="2" w:tplc="040E0005">
      <w:start w:val="1"/>
      <w:numFmt w:val="bullet"/>
      <w:lvlText w:val=""/>
      <w:lvlJc w:val="left"/>
      <w:pPr>
        <w:ind w:left="2585" w:hanging="360"/>
      </w:pPr>
      <w:rPr>
        <w:rFonts w:ascii="Wingdings" w:hAnsi="Wingdings" w:hint="default"/>
      </w:rPr>
    </w:lvl>
    <w:lvl w:ilvl="3" w:tplc="040E0001">
      <w:start w:val="1"/>
      <w:numFmt w:val="bullet"/>
      <w:lvlText w:val=""/>
      <w:lvlJc w:val="left"/>
      <w:pPr>
        <w:ind w:left="3305" w:hanging="360"/>
      </w:pPr>
      <w:rPr>
        <w:rFonts w:ascii="Symbol" w:hAnsi="Symbol" w:hint="default"/>
      </w:rPr>
    </w:lvl>
    <w:lvl w:ilvl="4" w:tplc="040E0003">
      <w:start w:val="1"/>
      <w:numFmt w:val="bullet"/>
      <w:lvlText w:val="o"/>
      <w:lvlJc w:val="left"/>
      <w:pPr>
        <w:ind w:left="4025" w:hanging="360"/>
      </w:pPr>
      <w:rPr>
        <w:rFonts w:ascii="Courier New" w:hAnsi="Courier New" w:cs="Courier New" w:hint="default"/>
      </w:rPr>
    </w:lvl>
    <w:lvl w:ilvl="5" w:tplc="040E0005">
      <w:start w:val="1"/>
      <w:numFmt w:val="bullet"/>
      <w:lvlText w:val=""/>
      <w:lvlJc w:val="left"/>
      <w:pPr>
        <w:ind w:left="4745" w:hanging="360"/>
      </w:pPr>
      <w:rPr>
        <w:rFonts w:ascii="Wingdings" w:hAnsi="Wingdings" w:hint="default"/>
      </w:rPr>
    </w:lvl>
    <w:lvl w:ilvl="6" w:tplc="040E0001">
      <w:start w:val="1"/>
      <w:numFmt w:val="bullet"/>
      <w:lvlText w:val=""/>
      <w:lvlJc w:val="left"/>
      <w:pPr>
        <w:ind w:left="5465" w:hanging="360"/>
      </w:pPr>
      <w:rPr>
        <w:rFonts w:ascii="Symbol" w:hAnsi="Symbol" w:hint="default"/>
      </w:rPr>
    </w:lvl>
    <w:lvl w:ilvl="7" w:tplc="040E0003">
      <w:start w:val="1"/>
      <w:numFmt w:val="bullet"/>
      <w:lvlText w:val="o"/>
      <w:lvlJc w:val="left"/>
      <w:pPr>
        <w:ind w:left="6185" w:hanging="360"/>
      </w:pPr>
      <w:rPr>
        <w:rFonts w:ascii="Courier New" w:hAnsi="Courier New" w:cs="Courier New" w:hint="default"/>
      </w:rPr>
    </w:lvl>
    <w:lvl w:ilvl="8" w:tplc="040E0005">
      <w:start w:val="1"/>
      <w:numFmt w:val="bullet"/>
      <w:lvlText w:val=""/>
      <w:lvlJc w:val="left"/>
      <w:pPr>
        <w:ind w:left="6905" w:hanging="360"/>
      </w:pPr>
      <w:rPr>
        <w:rFonts w:ascii="Wingdings" w:hAnsi="Wingdings" w:hint="default"/>
      </w:rPr>
    </w:lvl>
  </w:abstractNum>
  <w:abstractNum w:abstractNumId="372" w15:restartNumberingAfterBreak="0">
    <w:nsid w:val="38EF55FB"/>
    <w:multiLevelType w:val="multilevel"/>
    <w:tmpl w:val="965E30D2"/>
    <w:lvl w:ilvl="0">
      <w:start w:val="1"/>
      <w:numFmt w:val="decimal"/>
      <w:lvlText w:val="%1."/>
      <w:lvlJc w:val="right"/>
      <w:pPr>
        <w:tabs>
          <w:tab w:val="num" w:pos="720"/>
        </w:tabs>
        <w:ind w:left="720" w:hanging="360"/>
      </w:pPr>
      <w:rPr>
        <w:rFonts w:ascii="Times New Roman" w:hAnsi="Times New Roman" w:cs="Times New Roman" w:hint="default"/>
        <w:b w:val="0"/>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73" w15:restartNumberingAfterBreak="0">
    <w:nsid w:val="390526AA"/>
    <w:multiLevelType w:val="hybridMultilevel"/>
    <w:tmpl w:val="11A2BCAE"/>
    <w:lvl w:ilvl="0" w:tplc="5C1E6FE6">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4" w15:restartNumberingAfterBreak="0">
    <w:nsid w:val="39593865"/>
    <w:multiLevelType w:val="multilevel"/>
    <w:tmpl w:val="006C8D5C"/>
    <w:lvl w:ilvl="0">
      <w:start w:val="1"/>
      <w:numFmt w:val="decimal"/>
      <w:lvlText w:val="%1."/>
      <w:lvlJc w:val="left"/>
      <w:pPr>
        <w:tabs>
          <w:tab w:val="num" w:pos="360"/>
        </w:tabs>
        <w:ind w:left="360" w:hanging="360"/>
      </w:pPr>
      <w:rPr>
        <w:rFonts w:cs="Times New Roman" w:hint="default"/>
        <w:b/>
        <w:i w:val="0"/>
        <w:sz w:val="22"/>
        <w:szCs w:val="22"/>
      </w:rPr>
    </w:lvl>
    <w:lvl w:ilvl="1">
      <w:start w:val="1"/>
      <w:numFmt w:val="decimal"/>
      <w:lvlText w:val="%1.%2."/>
      <w:lvlJc w:val="left"/>
      <w:pPr>
        <w:tabs>
          <w:tab w:val="num" w:pos="792"/>
        </w:tabs>
        <w:ind w:left="792" w:hanging="432"/>
      </w:pPr>
      <w:rPr>
        <w:rFonts w:cs="Times New Roman"/>
        <w:b/>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75" w15:restartNumberingAfterBreak="0">
    <w:nsid w:val="39995BEB"/>
    <w:multiLevelType w:val="hybridMultilevel"/>
    <w:tmpl w:val="009A6382"/>
    <w:lvl w:ilvl="0" w:tplc="F90AA5CA">
      <w:numFmt w:val="bullet"/>
      <w:lvlText w:val="-"/>
      <w:lvlJc w:val="left"/>
      <w:pPr>
        <w:ind w:left="1145" w:hanging="360"/>
      </w:pPr>
      <w:rPr>
        <w:rFonts w:ascii="Times New Roman" w:eastAsia="Times New Roman" w:hAnsi="Times New Roman"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376" w15:restartNumberingAfterBreak="0">
    <w:nsid w:val="39CE4784"/>
    <w:multiLevelType w:val="hybridMultilevel"/>
    <w:tmpl w:val="9E7C71BC"/>
    <w:lvl w:ilvl="0" w:tplc="4466567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77" w15:restartNumberingAfterBreak="0">
    <w:nsid w:val="39FE1451"/>
    <w:multiLevelType w:val="hybridMultilevel"/>
    <w:tmpl w:val="2F7CFD78"/>
    <w:lvl w:ilvl="0" w:tplc="928C8FDC">
      <w:start w:val="1"/>
      <w:numFmt w:val="decimal"/>
      <w:lvlText w:val="%1."/>
      <w:lvlJc w:val="left"/>
      <w:pPr>
        <w:ind w:left="1581"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78" w15:restartNumberingAfterBreak="0">
    <w:nsid w:val="3A1329F4"/>
    <w:multiLevelType w:val="hybridMultilevel"/>
    <w:tmpl w:val="8708E194"/>
    <w:lvl w:ilvl="0" w:tplc="24D09896">
      <w:start w:val="13"/>
      <w:numFmt w:val="bullet"/>
      <w:lvlText w:val="˗"/>
      <w:lvlJc w:val="left"/>
      <w:pPr>
        <w:ind w:left="785" w:hanging="360"/>
      </w:pPr>
      <w:rPr>
        <w:rFonts w:ascii="Times New Roman" w:eastAsia="Calibri" w:hAnsi="Times New Roman" w:cs="Times New Roman" w:hint="default"/>
      </w:rPr>
    </w:lvl>
    <w:lvl w:ilvl="1" w:tplc="040E0003" w:tentative="1">
      <w:start w:val="1"/>
      <w:numFmt w:val="bullet"/>
      <w:lvlText w:val="o"/>
      <w:lvlJc w:val="left"/>
      <w:pPr>
        <w:ind w:left="1505" w:hanging="360"/>
      </w:pPr>
      <w:rPr>
        <w:rFonts w:ascii="Courier New" w:hAnsi="Courier New" w:cs="Courier New" w:hint="default"/>
      </w:rPr>
    </w:lvl>
    <w:lvl w:ilvl="2" w:tplc="040E0005" w:tentative="1">
      <w:start w:val="1"/>
      <w:numFmt w:val="bullet"/>
      <w:lvlText w:val=""/>
      <w:lvlJc w:val="left"/>
      <w:pPr>
        <w:ind w:left="2225" w:hanging="360"/>
      </w:pPr>
      <w:rPr>
        <w:rFonts w:ascii="Wingdings" w:hAnsi="Wingdings" w:hint="default"/>
      </w:rPr>
    </w:lvl>
    <w:lvl w:ilvl="3" w:tplc="040E0001" w:tentative="1">
      <w:start w:val="1"/>
      <w:numFmt w:val="bullet"/>
      <w:lvlText w:val=""/>
      <w:lvlJc w:val="left"/>
      <w:pPr>
        <w:ind w:left="2945" w:hanging="360"/>
      </w:pPr>
      <w:rPr>
        <w:rFonts w:ascii="Symbol" w:hAnsi="Symbol" w:hint="default"/>
      </w:rPr>
    </w:lvl>
    <w:lvl w:ilvl="4" w:tplc="040E0003" w:tentative="1">
      <w:start w:val="1"/>
      <w:numFmt w:val="bullet"/>
      <w:lvlText w:val="o"/>
      <w:lvlJc w:val="left"/>
      <w:pPr>
        <w:ind w:left="3665" w:hanging="360"/>
      </w:pPr>
      <w:rPr>
        <w:rFonts w:ascii="Courier New" w:hAnsi="Courier New" w:cs="Courier New" w:hint="default"/>
      </w:rPr>
    </w:lvl>
    <w:lvl w:ilvl="5" w:tplc="040E0005" w:tentative="1">
      <w:start w:val="1"/>
      <w:numFmt w:val="bullet"/>
      <w:lvlText w:val=""/>
      <w:lvlJc w:val="left"/>
      <w:pPr>
        <w:ind w:left="4385" w:hanging="360"/>
      </w:pPr>
      <w:rPr>
        <w:rFonts w:ascii="Wingdings" w:hAnsi="Wingdings" w:hint="default"/>
      </w:rPr>
    </w:lvl>
    <w:lvl w:ilvl="6" w:tplc="040E0001" w:tentative="1">
      <w:start w:val="1"/>
      <w:numFmt w:val="bullet"/>
      <w:lvlText w:val=""/>
      <w:lvlJc w:val="left"/>
      <w:pPr>
        <w:ind w:left="5105" w:hanging="360"/>
      </w:pPr>
      <w:rPr>
        <w:rFonts w:ascii="Symbol" w:hAnsi="Symbol" w:hint="default"/>
      </w:rPr>
    </w:lvl>
    <w:lvl w:ilvl="7" w:tplc="040E0003" w:tentative="1">
      <w:start w:val="1"/>
      <w:numFmt w:val="bullet"/>
      <w:lvlText w:val="o"/>
      <w:lvlJc w:val="left"/>
      <w:pPr>
        <w:ind w:left="5825" w:hanging="360"/>
      </w:pPr>
      <w:rPr>
        <w:rFonts w:ascii="Courier New" w:hAnsi="Courier New" w:cs="Courier New" w:hint="default"/>
      </w:rPr>
    </w:lvl>
    <w:lvl w:ilvl="8" w:tplc="040E0005" w:tentative="1">
      <w:start w:val="1"/>
      <w:numFmt w:val="bullet"/>
      <w:lvlText w:val=""/>
      <w:lvlJc w:val="left"/>
      <w:pPr>
        <w:ind w:left="6545" w:hanging="360"/>
      </w:pPr>
      <w:rPr>
        <w:rFonts w:ascii="Wingdings" w:hAnsi="Wingdings" w:hint="default"/>
      </w:rPr>
    </w:lvl>
  </w:abstractNum>
  <w:abstractNum w:abstractNumId="379" w15:restartNumberingAfterBreak="0">
    <w:nsid w:val="3A21420F"/>
    <w:multiLevelType w:val="hybridMultilevel"/>
    <w:tmpl w:val="04E291A0"/>
    <w:lvl w:ilvl="0" w:tplc="4E2A36CA">
      <w:start w:val="1"/>
      <w:numFmt w:val="decimal"/>
      <w:lvlText w:val="%1."/>
      <w:lvlJc w:val="left"/>
      <w:pPr>
        <w:ind w:left="1068" w:hanging="360"/>
      </w:pPr>
      <w:rPr>
        <w:rFonts w:hint="default"/>
        <w:b w:val="0"/>
      </w:rPr>
    </w:lvl>
    <w:lvl w:ilvl="1" w:tplc="040E0019" w:tentative="1">
      <w:start w:val="1"/>
      <w:numFmt w:val="lowerLetter"/>
      <w:lvlText w:val="%2."/>
      <w:lvlJc w:val="left"/>
      <w:pPr>
        <w:ind w:left="872" w:hanging="360"/>
      </w:pPr>
    </w:lvl>
    <w:lvl w:ilvl="2" w:tplc="040E001B" w:tentative="1">
      <w:start w:val="1"/>
      <w:numFmt w:val="lowerRoman"/>
      <w:lvlText w:val="%3."/>
      <w:lvlJc w:val="right"/>
      <w:pPr>
        <w:ind w:left="1592" w:hanging="180"/>
      </w:pPr>
    </w:lvl>
    <w:lvl w:ilvl="3" w:tplc="040E000F" w:tentative="1">
      <w:start w:val="1"/>
      <w:numFmt w:val="decimal"/>
      <w:lvlText w:val="%4."/>
      <w:lvlJc w:val="left"/>
      <w:pPr>
        <w:ind w:left="2312" w:hanging="360"/>
      </w:pPr>
    </w:lvl>
    <w:lvl w:ilvl="4" w:tplc="040E0019" w:tentative="1">
      <w:start w:val="1"/>
      <w:numFmt w:val="lowerLetter"/>
      <w:lvlText w:val="%5."/>
      <w:lvlJc w:val="left"/>
      <w:pPr>
        <w:ind w:left="3032" w:hanging="360"/>
      </w:pPr>
    </w:lvl>
    <w:lvl w:ilvl="5" w:tplc="040E001B" w:tentative="1">
      <w:start w:val="1"/>
      <w:numFmt w:val="lowerRoman"/>
      <w:lvlText w:val="%6."/>
      <w:lvlJc w:val="right"/>
      <w:pPr>
        <w:ind w:left="3752" w:hanging="180"/>
      </w:pPr>
    </w:lvl>
    <w:lvl w:ilvl="6" w:tplc="040E000F" w:tentative="1">
      <w:start w:val="1"/>
      <w:numFmt w:val="decimal"/>
      <w:lvlText w:val="%7."/>
      <w:lvlJc w:val="left"/>
      <w:pPr>
        <w:ind w:left="4472" w:hanging="360"/>
      </w:pPr>
    </w:lvl>
    <w:lvl w:ilvl="7" w:tplc="040E0019" w:tentative="1">
      <w:start w:val="1"/>
      <w:numFmt w:val="lowerLetter"/>
      <w:lvlText w:val="%8."/>
      <w:lvlJc w:val="left"/>
      <w:pPr>
        <w:ind w:left="5192" w:hanging="360"/>
      </w:pPr>
    </w:lvl>
    <w:lvl w:ilvl="8" w:tplc="040E001B" w:tentative="1">
      <w:start w:val="1"/>
      <w:numFmt w:val="lowerRoman"/>
      <w:lvlText w:val="%9."/>
      <w:lvlJc w:val="right"/>
      <w:pPr>
        <w:ind w:left="5912" w:hanging="180"/>
      </w:pPr>
    </w:lvl>
  </w:abstractNum>
  <w:abstractNum w:abstractNumId="380" w15:restartNumberingAfterBreak="0">
    <w:nsid w:val="3A603607"/>
    <w:multiLevelType w:val="hybridMultilevel"/>
    <w:tmpl w:val="ABE02B12"/>
    <w:lvl w:ilvl="0" w:tplc="F29CF34C">
      <w:start w:val="1"/>
      <w:numFmt w:val="bullet"/>
      <w:lvlText w:val=""/>
      <w:lvlJc w:val="left"/>
      <w:pPr>
        <w:ind w:left="1145" w:hanging="360"/>
      </w:pPr>
      <w:rPr>
        <w:rFonts w:ascii="Symbol" w:hAnsi="Symbol" w:hint="default"/>
      </w:rPr>
    </w:lvl>
    <w:lvl w:ilvl="1" w:tplc="040E0003">
      <w:start w:val="1"/>
      <w:numFmt w:val="bullet"/>
      <w:lvlText w:val="o"/>
      <w:lvlJc w:val="left"/>
      <w:pPr>
        <w:ind w:left="1865" w:hanging="360"/>
      </w:pPr>
      <w:rPr>
        <w:rFonts w:ascii="Courier New" w:hAnsi="Courier New" w:cs="Courier New" w:hint="default"/>
      </w:rPr>
    </w:lvl>
    <w:lvl w:ilvl="2" w:tplc="040E0005">
      <w:start w:val="1"/>
      <w:numFmt w:val="bullet"/>
      <w:lvlText w:val=""/>
      <w:lvlJc w:val="left"/>
      <w:pPr>
        <w:ind w:left="2585" w:hanging="360"/>
      </w:pPr>
      <w:rPr>
        <w:rFonts w:ascii="Wingdings" w:hAnsi="Wingdings" w:hint="default"/>
      </w:rPr>
    </w:lvl>
    <w:lvl w:ilvl="3" w:tplc="040E0001">
      <w:start w:val="1"/>
      <w:numFmt w:val="bullet"/>
      <w:lvlText w:val=""/>
      <w:lvlJc w:val="left"/>
      <w:pPr>
        <w:ind w:left="3305" w:hanging="360"/>
      </w:pPr>
      <w:rPr>
        <w:rFonts w:ascii="Symbol" w:hAnsi="Symbol" w:hint="default"/>
      </w:rPr>
    </w:lvl>
    <w:lvl w:ilvl="4" w:tplc="040E0003">
      <w:start w:val="1"/>
      <w:numFmt w:val="bullet"/>
      <w:lvlText w:val="o"/>
      <w:lvlJc w:val="left"/>
      <w:pPr>
        <w:ind w:left="4025" w:hanging="360"/>
      </w:pPr>
      <w:rPr>
        <w:rFonts w:ascii="Courier New" w:hAnsi="Courier New" w:cs="Courier New" w:hint="default"/>
      </w:rPr>
    </w:lvl>
    <w:lvl w:ilvl="5" w:tplc="040E0005">
      <w:start w:val="1"/>
      <w:numFmt w:val="bullet"/>
      <w:lvlText w:val=""/>
      <w:lvlJc w:val="left"/>
      <w:pPr>
        <w:ind w:left="4745" w:hanging="360"/>
      </w:pPr>
      <w:rPr>
        <w:rFonts w:ascii="Wingdings" w:hAnsi="Wingdings" w:hint="default"/>
      </w:rPr>
    </w:lvl>
    <w:lvl w:ilvl="6" w:tplc="040E0001">
      <w:start w:val="1"/>
      <w:numFmt w:val="bullet"/>
      <w:lvlText w:val=""/>
      <w:lvlJc w:val="left"/>
      <w:pPr>
        <w:ind w:left="5465" w:hanging="360"/>
      </w:pPr>
      <w:rPr>
        <w:rFonts w:ascii="Symbol" w:hAnsi="Symbol" w:hint="default"/>
      </w:rPr>
    </w:lvl>
    <w:lvl w:ilvl="7" w:tplc="040E0003">
      <w:start w:val="1"/>
      <w:numFmt w:val="bullet"/>
      <w:lvlText w:val="o"/>
      <w:lvlJc w:val="left"/>
      <w:pPr>
        <w:ind w:left="6185" w:hanging="360"/>
      </w:pPr>
      <w:rPr>
        <w:rFonts w:ascii="Courier New" w:hAnsi="Courier New" w:cs="Courier New" w:hint="default"/>
      </w:rPr>
    </w:lvl>
    <w:lvl w:ilvl="8" w:tplc="040E0005">
      <w:start w:val="1"/>
      <w:numFmt w:val="bullet"/>
      <w:lvlText w:val=""/>
      <w:lvlJc w:val="left"/>
      <w:pPr>
        <w:ind w:left="6905" w:hanging="360"/>
      </w:pPr>
      <w:rPr>
        <w:rFonts w:ascii="Wingdings" w:hAnsi="Wingdings" w:hint="default"/>
      </w:rPr>
    </w:lvl>
  </w:abstractNum>
  <w:abstractNum w:abstractNumId="381" w15:restartNumberingAfterBreak="0">
    <w:nsid w:val="3AA3511F"/>
    <w:multiLevelType w:val="hybridMultilevel"/>
    <w:tmpl w:val="92F66F6C"/>
    <w:lvl w:ilvl="0" w:tplc="F29CF34C">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382" w15:restartNumberingAfterBreak="0">
    <w:nsid w:val="3AC852BC"/>
    <w:multiLevelType w:val="multilevel"/>
    <w:tmpl w:val="BFA6E8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3" w15:restartNumberingAfterBreak="0">
    <w:nsid w:val="3B265B88"/>
    <w:multiLevelType w:val="multilevel"/>
    <w:tmpl w:val="D6FE597E"/>
    <w:lvl w:ilvl="0">
      <w:start w:val="1"/>
      <w:numFmt w:val="decimal"/>
      <w:lvlText w:val="%1."/>
      <w:lvlJc w:val="left"/>
      <w:pPr>
        <w:tabs>
          <w:tab w:val="num" w:pos="1068"/>
        </w:tabs>
        <w:ind w:left="1068" w:hanging="360"/>
      </w:pPr>
      <w:rPr>
        <w:rFonts w:eastAsiaTheme="minorHAnsi" w:hint="default"/>
        <w:b/>
        <w:i w:val="0"/>
        <w:caps w:val="0"/>
        <w:strike w:val="0"/>
        <w:dstrike w:val="0"/>
        <w:vanish w:val="0"/>
        <w:color w:val="212121"/>
        <w:sz w:val="22"/>
        <w:szCs w:val="24"/>
        <w:vertAlign w:val="baseline"/>
      </w:rPr>
    </w:lvl>
    <w:lvl w:ilvl="1">
      <w:start w:val="1"/>
      <w:numFmt w:val="decimal"/>
      <w:lvlText w:val="%1.%2."/>
      <w:lvlJc w:val="left"/>
      <w:pPr>
        <w:tabs>
          <w:tab w:val="num" w:pos="4325"/>
        </w:tabs>
        <w:ind w:left="4325" w:hanging="432"/>
      </w:pPr>
      <w:rPr>
        <w:rFonts w:hint="default"/>
        <w:b/>
        <w:i w:val="0"/>
      </w:rPr>
    </w:lvl>
    <w:lvl w:ilvl="2">
      <w:start w:val="1"/>
      <w:numFmt w:val="decimal"/>
      <w:lvlText w:val="%1.%2.%3."/>
      <w:lvlJc w:val="left"/>
      <w:pPr>
        <w:tabs>
          <w:tab w:val="num" w:pos="2148"/>
        </w:tabs>
        <w:ind w:left="1932" w:hanging="504"/>
      </w:pPr>
      <w:rPr>
        <w:rFonts w:hint="default"/>
      </w:rPr>
    </w:lvl>
    <w:lvl w:ilvl="3">
      <w:start w:val="1"/>
      <w:numFmt w:val="decimal"/>
      <w:lvlText w:val="%1.%2.%3.%4."/>
      <w:lvlJc w:val="left"/>
      <w:pPr>
        <w:tabs>
          <w:tab w:val="num" w:pos="2508"/>
        </w:tabs>
        <w:ind w:left="2436" w:hanging="648"/>
      </w:pPr>
      <w:rPr>
        <w:rFonts w:hint="default"/>
      </w:rPr>
    </w:lvl>
    <w:lvl w:ilvl="4">
      <w:start w:val="1"/>
      <w:numFmt w:val="decimal"/>
      <w:lvlText w:val="%1.%2.%3.%4.%5."/>
      <w:lvlJc w:val="left"/>
      <w:pPr>
        <w:tabs>
          <w:tab w:val="num" w:pos="3228"/>
        </w:tabs>
        <w:ind w:left="2940" w:hanging="792"/>
      </w:pPr>
      <w:rPr>
        <w:rFonts w:hint="default"/>
      </w:rPr>
    </w:lvl>
    <w:lvl w:ilvl="5">
      <w:start w:val="1"/>
      <w:numFmt w:val="decimal"/>
      <w:lvlText w:val="%1.%2.%3.%4.%5.%6."/>
      <w:lvlJc w:val="left"/>
      <w:pPr>
        <w:tabs>
          <w:tab w:val="num" w:pos="3588"/>
        </w:tabs>
        <w:ind w:left="3444" w:hanging="936"/>
      </w:pPr>
      <w:rPr>
        <w:rFonts w:hint="default"/>
      </w:rPr>
    </w:lvl>
    <w:lvl w:ilvl="6">
      <w:start w:val="1"/>
      <w:numFmt w:val="decimal"/>
      <w:lvlText w:val="%1.%2.%3.%4.%5.%6.%7."/>
      <w:lvlJc w:val="left"/>
      <w:pPr>
        <w:tabs>
          <w:tab w:val="num" w:pos="4308"/>
        </w:tabs>
        <w:ind w:left="3948" w:hanging="1080"/>
      </w:pPr>
      <w:rPr>
        <w:rFonts w:hint="default"/>
      </w:rPr>
    </w:lvl>
    <w:lvl w:ilvl="7">
      <w:start w:val="1"/>
      <w:numFmt w:val="decimal"/>
      <w:lvlText w:val="%1.%2.%3.%4.%5.%6.%7.%8."/>
      <w:lvlJc w:val="left"/>
      <w:pPr>
        <w:tabs>
          <w:tab w:val="num" w:pos="4668"/>
        </w:tabs>
        <w:ind w:left="4452" w:hanging="1224"/>
      </w:pPr>
      <w:rPr>
        <w:rFonts w:hint="default"/>
      </w:rPr>
    </w:lvl>
    <w:lvl w:ilvl="8">
      <w:start w:val="1"/>
      <w:numFmt w:val="decimal"/>
      <w:lvlText w:val="%1.%2.%3.%4.%5.%6.%7.%8.%9."/>
      <w:lvlJc w:val="left"/>
      <w:pPr>
        <w:tabs>
          <w:tab w:val="num" w:pos="5388"/>
        </w:tabs>
        <w:ind w:left="5028" w:hanging="1440"/>
      </w:pPr>
      <w:rPr>
        <w:rFonts w:hint="default"/>
      </w:rPr>
    </w:lvl>
  </w:abstractNum>
  <w:abstractNum w:abstractNumId="384" w15:restartNumberingAfterBreak="0">
    <w:nsid w:val="3B381596"/>
    <w:multiLevelType w:val="hybridMultilevel"/>
    <w:tmpl w:val="C2003012"/>
    <w:lvl w:ilvl="0" w:tplc="F90AA5CA">
      <w:numFmt w:val="bullet"/>
      <w:lvlText w:val="-"/>
      <w:lvlJc w:val="left"/>
      <w:pPr>
        <w:ind w:left="1145" w:hanging="360"/>
      </w:pPr>
      <w:rPr>
        <w:rFonts w:ascii="Times New Roman" w:eastAsia="Times New Roman" w:hAnsi="Times New Roman" w:cs="Times New Roman" w:hint="default"/>
      </w:rPr>
    </w:lvl>
    <w:lvl w:ilvl="1" w:tplc="040E0003">
      <w:start w:val="1"/>
      <w:numFmt w:val="bullet"/>
      <w:lvlText w:val="o"/>
      <w:lvlJc w:val="left"/>
      <w:pPr>
        <w:ind w:left="1865" w:hanging="360"/>
      </w:pPr>
      <w:rPr>
        <w:rFonts w:ascii="Courier New" w:hAnsi="Courier New" w:cs="Courier New" w:hint="default"/>
      </w:rPr>
    </w:lvl>
    <w:lvl w:ilvl="2" w:tplc="040E0005">
      <w:start w:val="1"/>
      <w:numFmt w:val="bullet"/>
      <w:lvlText w:val=""/>
      <w:lvlJc w:val="left"/>
      <w:pPr>
        <w:ind w:left="2585" w:hanging="360"/>
      </w:pPr>
      <w:rPr>
        <w:rFonts w:ascii="Wingdings" w:hAnsi="Wingdings" w:hint="default"/>
      </w:rPr>
    </w:lvl>
    <w:lvl w:ilvl="3" w:tplc="040E0001">
      <w:start w:val="1"/>
      <w:numFmt w:val="bullet"/>
      <w:lvlText w:val=""/>
      <w:lvlJc w:val="left"/>
      <w:pPr>
        <w:ind w:left="3305" w:hanging="360"/>
      </w:pPr>
      <w:rPr>
        <w:rFonts w:ascii="Symbol" w:hAnsi="Symbol" w:hint="default"/>
      </w:rPr>
    </w:lvl>
    <w:lvl w:ilvl="4" w:tplc="040E0003">
      <w:start w:val="1"/>
      <w:numFmt w:val="bullet"/>
      <w:lvlText w:val="o"/>
      <w:lvlJc w:val="left"/>
      <w:pPr>
        <w:ind w:left="4025" w:hanging="360"/>
      </w:pPr>
      <w:rPr>
        <w:rFonts w:ascii="Courier New" w:hAnsi="Courier New" w:cs="Courier New" w:hint="default"/>
      </w:rPr>
    </w:lvl>
    <w:lvl w:ilvl="5" w:tplc="040E0005">
      <w:start w:val="1"/>
      <w:numFmt w:val="bullet"/>
      <w:lvlText w:val=""/>
      <w:lvlJc w:val="left"/>
      <w:pPr>
        <w:ind w:left="4745" w:hanging="360"/>
      </w:pPr>
      <w:rPr>
        <w:rFonts w:ascii="Wingdings" w:hAnsi="Wingdings" w:hint="default"/>
      </w:rPr>
    </w:lvl>
    <w:lvl w:ilvl="6" w:tplc="040E0001">
      <w:start w:val="1"/>
      <w:numFmt w:val="bullet"/>
      <w:lvlText w:val=""/>
      <w:lvlJc w:val="left"/>
      <w:pPr>
        <w:ind w:left="5465" w:hanging="360"/>
      </w:pPr>
      <w:rPr>
        <w:rFonts w:ascii="Symbol" w:hAnsi="Symbol" w:hint="default"/>
      </w:rPr>
    </w:lvl>
    <w:lvl w:ilvl="7" w:tplc="040E0003">
      <w:start w:val="1"/>
      <w:numFmt w:val="bullet"/>
      <w:lvlText w:val="o"/>
      <w:lvlJc w:val="left"/>
      <w:pPr>
        <w:ind w:left="6185" w:hanging="360"/>
      </w:pPr>
      <w:rPr>
        <w:rFonts w:ascii="Courier New" w:hAnsi="Courier New" w:cs="Courier New" w:hint="default"/>
      </w:rPr>
    </w:lvl>
    <w:lvl w:ilvl="8" w:tplc="040E0005">
      <w:start w:val="1"/>
      <w:numFmt w:val="bullet"/>
      <w:lvlText w:val=""/>
      <w:lvlJc w:val="left"/>
      <w:pPr>
        <w:ind w:left="6905" w:hanging="360"/>
      </w:pPr>
      <w:rPr>
        <w:rFonts w:ascii="Wingdings" w:hAnsi="Wingdings" w:hint="default"/>
      </w:rPr>
    </w:lvl>
  </w:abstractNum>
  <w:abstractNum w:abstractNumId="385" w15:restartNumberingAfterBreak="0">
    <w:nsid w:val="3B3A4EC3"/>
    <w:multiLevelType w:val="multilevel"/>
    <w:tmpl w:val="E1F4F69C"/>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86" w15:restartNumberingAfterBreak="0">
    <w:nsid w:val="3B560EEF"/>
    <w:multiLevelType w:val="hybridMultilevel"/>
    <w:tmpl w:val="419A23A0"/>
    <w:lvl w:ilvl="0" w:tplc="07BC0440">
      <w:start w:val="1"/>
      <w:numFmt w:val="decimal"/>
      <w:lvlText w:val="%1."/>
      <w:lvlJc w:val="left"/>
      <w:pPr>
        <w:ind w:left="1068" w:hanging="360"/>
      </w:pPr>
      <w:rPr>
        <w:rFonts w:hint="default"/>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87" w15:restartNumberingAfterBreak="0">
    <w:nsid w:val="3B6E3801"/>
    <w:multiLevelType w:val="hybridMultilevel"/>
    <w:tmpl w:val="6B3084BA"/>
    <w:lvl w:ilvl="0" w:tplc="EDFC6FEC">
      <w:numFmt w:val="bullet"/>
      <w:lvlText w:val="-"/>
      <w:lvlJc w:val="left"/>
      <w:pPr>
        <w:ind w:left="1080" w:hanging="360"/>
      </w:pPr>
      <w:rPr>
        <w:rFonts w:ascii="Times New Roman" w:eastAsia="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88" w15:restartNumberingAfterBreak="0">
    <w:nsid w:val="3B6F5F87"/>
    <w:multiLevelType w:val="hybridMultilevel"/>
    <w:tmpl w:val="7E6EC4A2"/>
    <w:lvl w:ilvl="0" w:tplc="6BACFBEE">
      <w:start w:val="8"/>
      <w:numFmt w:val="bullet"/>
      <w:lvlText w:val="-"/>
      <w:lvlJc w:val="left"/>
      <w:pPr>
        <w:ind w:left="786" w:hanging="360"/>
      </w:pPr>
      <w:rPr>
        <w:rFonts w:ascii="Times New Roman" w:eastAsia="Times New Roman" w:hAnsi="Times New Roman" w:cs="Times New Roman"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389" w15:restartNumberingAfterBreak="0">
    <w:nsid w:val="3B770BA8"/>
    <w:multiLevelType w:val="multilevel"/>
    <w:tmpl w:val="E818923C"/>
    <w:lvl w:ilvl="0">
      <w:start w:val="1"/>
      <w:numFmt w:val="decimal"/>
      <w:lvlText w:val="%1."/>
      <w:lvlJc w:val="left"/>
      <w:pPr>
        <w:tabs>
          <w:tab w:val="num" w:pos="360"/>
        </w:tabs>
        <w:ind w:left="360" w:hanging="360"/>
      </w:pPr>
      <w:rPr>
        <w:rFonts w:cs="Times New Roman" w:hint="default"/>
        <w:b/>
        <w:i w:val="0"/>
        <w:sz w:val="22"/>
      </w:rPr>
    </w:lvl>
    <w:lvl w:ilvl="1">
      <w:start w:val="1"/>
      <w:numFmt w:val="decimal"/>
      <w:lvlText w:val="%1.%2."/>
      <w:lvlJc w:val="left"/>
      <w:pPr>
        <w:tabs>
          <w:tab w:val="num" w:pos="792"/>
        </w:tabs>
        <w:ind w:left="792" w:hanging="432"/>
      </w:pPr>
      <w:rPr>
        <w:rFonts w:cs="Times New Roman" w:hint="default"/>
        <w:b/>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90" w15:restartNumberingAfterBreak="0">
    <w:nsid w:val="3B80501D"/>
    <w:multiLevelType w:val="hybridMultilevel"/>
    <w:tmpl w:val="5330EA84"/>
    <w:lvl w:ilvl="0" w:tplc="F90AA5CA">
      <w:numFmt w:val="bullet"/>
      <w:lvlText w:val="-"/>
      <w:lvlJc w:val="left"/>
      <w:pPr>
        <w:ind w:left="1145" w:hanging="360"/>
      </w:pPr>
      <w:rPr>
        <w:rFonts w:ascii="Times New Roman" w:eastAsia="Times New Roman" w:hAnsi="Times New Roman"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391" w15:restartNumberingAfterBreak="0">
    <w:nsid w:val="3B851311"/>
    <w:multiLevelType w:val="hybridMultilevel"/>
    <w:tmpl w:val="6DFE33CE"/>
    <w:lvl w:ilvl="0" w:tplc="F29CF34C">
      <w:start w:val="1"/>
      <w:numFmt w:val="bullet"/>
      <w:lvlText w:val=""/>
      <w:lvlJc w:val="left"/>
      <w:pPr>
        <w:ind w:left="1146" w:hanging="360"/>
      </w:pPr>
      <w:rPr>
        <w:rFonts w:ascii="Symbol" w:hAnsi="Symbol" w:hint="default"/>
      </w:rPr>
    </w:lvl>
    <w:lvl w:ilvl="1" w:tplc="040E0003">
      <w:start w:val="1"/>
      <w:numFmt w:val="bullet"/>
      <w:lvlText w:val="o"/>
      <w:lvlJc w:val="left"/>
      <w:pPr>
        <w:ind w:left="1866" w:hanging="360"/>
      </w:pPr>
      <w:rPr>
        <w:rFonts w:ascii="Courier New" w:hAnsi="Courier New" w:cs="Courier New" w:hint="default"/>
      </w:rPr>
    </w:lvl>
    <w:lvl w:ilvl="2" w:tplc="040E0005">
      <w:start w:val="1"/>
      <w:numFmt w:val="bullet"/>
      <w:lvlText w:val=""/>
      <w:lvlJc w:val="left"/>
      <w:pPr>
        <w:ind w:left="2586" w:hanging="360"/>
      </w:pPr>
      <w:rPr>
        <w:rFonts w:ascii="Wingdings" w:hAnsi="Wingdings" w:hint="default"/>
      </w:rPr>
    </w:lvl>
    <w:lvl w:ilvl="3" w:tplc="040E0001">
      <w:start w:val="1"/>
      <w:numFmt w:val="bullet"/>
      <w:lvlText w:val=""/>
      <w:lvlJc w:val="left"/>
      <w:pPr>
        <w:ind w:left="3306" w:hanging="360"/>
      </w:pPr>
      <w:rPr>
        <w:rFonts w:ascii="Symbol" w:hAnsi="Symbol" w:hint="default"/>
      </w:rPr>
    </w:lvl>
    <w:lvl w:ilvl="4" w:tplc="040E0003">
      <w:start w:val="1"/>
      <w:numFmt w:val="bullet"/>
      <w:lvlText w:val="o"/>
      <w:lvlJc w:val="left"/>
      <w:pPr>
        <w:ind w:left="4026" w:hanging="360"/>
      </w:pPr>
      <w:rPr>
        <w:rFonts w:ascii="Courier New" w:hAnsi="Courier New" w:cs="Courier New" w:hint="default"/>
      </w:rPr>
    </w:lvl>
    <w:lvl w:ilvl="5" w:tplc="040E0005">
      <w:start w:val="1"/>
      <w:numFmt w:val="bullet"/>
      <w:lvlText w:val=""/>
      <w:lvlJc w:val="left"/>
      <w:pPr>
        <w:ind w:left="4746" w:hanging="360"/>
      </w:pPr>
      <w:rPr>
        <w:rFonts w:ascii="Wingdings" w:hAnsi="Wingdings" w:hint="default"/>
      </w:rPr>
    </w:lvl>
    <w:lvl w:ilvl="6" w:tplc="040E0001">
      <w:start w:val="1"/>
      <w:numFmt w:val="bullet"/>
      <w:lvlText w:val=""/>
      <w:lvlJc w:val="left"/>
      <w:pPr>
        <w:ind w:left="5466" w:hanging="360"/>
      </w:pPr>
      <w:rPr>
        <w:rFonts w:ascii="Symbol" w:hAnsi="Symbol" w:hint="default"/>
      </w:rPr>
    </w:lvl>
    <w:lvl w:ilvl="7" w:tplc="040E0003">
      <w:start w:val="1"/>
      <w:numFmt w:val="bullet"/>
      <w:lvlText w:val="o"/>
      <w:lvlJc w:val="left"/>
      <w:pPr>
        <w:ind w:left="6186" w:hanging="360"/>
      </w:pPr>
      <w:rPr>
        <w:rFonts w:ascii="Courier New" w:hAnsi="Courier New" w:cs="Courier New" w:hint="default"/>
      </w:rPr>
    </w:lvl>
    <w:lvl w:ilvl="8" w:tplc="040E0005">
      <w:start w:val="1"/>
      <w:numFmt w:val="bullet"/>
      <w:lvlText w:val=""/>
      <w:lvlJc w:val="left"/>
      <w:pPr>
        <w:ind w:left="6906" w:hanging="360"/>
      </w:pPr>
      <w:rPr>
        <w:rFonts w:ascii="Wingdings" w:hAnsi="Wingdings" w:hint="default"/>
      </w:rPr>
    </w:lvl>
  </w:abstractNum>
  <w:abstractNum w:abstractNumId="392" w15:restartNumberingAfterBreak="0">
    <w:nsid w:val="3BBC6147"/>
    <w:multiLevelType w:val="multilevel"/>
    <w:tmpl w:val="B0CAB1CA"/>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93" w15:restartNumberingAfterBreak="0">
    <w:nsid w:val="3BCE1982"/>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394" w15:restartNumberingAfterBreak="0">
    <w:nsid w:val="3BF139BB"/>
    <w:multiLevelType w:val="hybridMultilevel"/>
    <w:tmpl w:val="DB1A3730"/>
    <w:lvl w:ilvl="0" w:tplc="F90AA5CA">
      <w:numFmt w:val="bullet"/>
      <w:lvlText w:val="-"/>
      <w:lvlJc w:val="left"/>
      <w:pPr>
        <w:ind w:left="1145" w:hanging="360"/>
      </w:pPr>
      <w:rPr>
        <w:rFonts w:ascii="Times New Roman" w:eastAsia="Times New Roman" w:hAnsi="Times New Roman"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395" w15:restartNumberingAfterBreak="0">
    <w:nsid w:val="3BF7355A"/>
    <w:multiLevelType w:val="hybridMultilevel"/>
    <w:tmpl w:val="0C267CBE"/>
    <w:lvl w:ilvl="0" w:tplc="8F54ED4E">
      <w:start w:val="1"/>
      <w:numFmt w:val="decimal"/>
      <w:lvlText w:val="%1."/>
      <w:lvlJc w:val="left"/>
      <w:pPr>
        <w:ind w:left="108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96" w15:restartNumberingAfterBreak="0">
    <w:nsid w:val="3C0964CC"/>
    <w:multiLevelType w:val="hybridMultilevel"/>
    <w:tmpl w:val="482C1864"/>
    <w:lvl w:ilvl="0" w:tplc="24D09896">
      <w:start w:val="13"/>
      <w:numFmt w:val="bullet"/>
      <w:lvlText w:val="˗"/>
      <w:lvlJc w:val="left"/>
      <w:pPr>
        <w:ind w:left="1146" w:hanging="360"/>
      </w:pPr>
      <w:rPr>
        <w:rFonts w:ascii="Times New Roman" w:eastAsia="Calibri" w:hAnsi="Times New Roman" w:cs="Times New Roman" w:hint="default"/>
      </w:rPr>
    </w:lvl>
    <w:lvl w:ilvl="1" w:tplc="C3FAE52A">
      <w:numFmt w:val="bullet"/>
      <w:lvlText w:val="-"/>
      <w:lvlJc w:val="left"/>
      <w:pPr>
        <w:ind w:left="1866" w:hanging="360"/>
      </w:pPr>
      <w:rPr>
        <w:rFonts w:ascii="Times New Roman" w:eastAsiaTheme="minorHAnsi" w:hAnsi="Times New Roman" w:cs="Times New Roman"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397" w15:restartNumberingAfterBreak="0">
    <w:nsid w:val="3C0F4D6E"/>
    <w:multiLevelType w:val="multilevel"/>
    <w:tmpl w:val="FC5E4EBA"/>
    <w:lvl w:ilvl="0">
      <w:start w:val="1"/>
      <w:numFmt w:val="decimal"/>
      <w:lvlText w:val="%1."/>
      <w:lvlJc w:val="left"/>
      <w:pPr>
        <w:tabs>
          <w:tab w:val="num" w:pos="644"/>
        </w:tabs>
        <w:ind w:left="644" w:hanging="360"/>
      </w:pPr>
      <w:rPr>
        <w:rFonts w:hint="default"/>
        <w:b w:val="0"/>
        <w:i w:val="0"/>
        <w:caps w:val="0"/>
        <w:strike w:val="0"/>
        <w:dstrike w:val="0"/>
        <w:vanish w:val="0"/>
        <w:webHidden w:val="0"/>
        <w:color w:val="000000"/>
        <w:sz w:val="24"/>
        <w:szCs w:val="24"/>
        <w:u w:val="none"/>
        <w:effect w:val="none"/>
        <w:vertAlign w:val="baseline"/>
        <w:specVanish w:val="0"/>
      </w:rPr>
    </w:lvl>
    <w:lvl w:ilvl="1">
      <w:start w:val="1"/>
      <w:numFmt w:val="decimal"/>
      <w:lvlText w:val="%1.%2."/>
      <w:lvlJc w:val="left"/>
      <w:pPr>
        <w:tabs>
          <w:tab w:val="num" w:pos="1000"/>
        </w:tabs>
        <w:ind w:left="1000" w:hanging="432"/>
      </w:pPr>
      <w:rPr>
        <w:b w:val="0"/>
      </w:rPr>
    </w:lvl>
    <w:lvl w:ilvl="2">
      <w:start w:val="1"/>
      <w:numFmt w:val="decimal"/>
      <w:lvlText w:val="%1.%2.%3."/>
      <w:lvlJc w:val="left"/>
      <w:pPr>
        <w:tabs>
          <w:tab w:val="num" w:pos="1724"/>
        </w:tabs>
        <w:ind w:left="1508" w:hanging="504"/>
      </w:pPr>
      <w:rPr>
        <w:b w:val="0"/>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398" w15:restartNumberingAfterBreak="0">
    <w:nsid w:val="3C553C35"/>
    <w:multiLevelType w:val="multilevel"/>
    <w:tmpl w:val="E098A85C"/>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99" w15:restartNumberingAfterBreak="0">
    <w:nsid w:val="3C56000A"/>
    <w:multiLevelType w:val="hybridMultilevel"/>
    <w:tmpl w:val="B178DAFE"/>
    <w:lvl w:ilvl="0" w:tplc="7C94CD68">
      <w:start w:val="1"/>
      <w:numFmt w:val="decimal"/>
      <w:lvlText w:val="%1."/>
      <w:lvlJc w:val="left"/>
      <w:pPr>
        <w:ind w:left="786" w:hanging="360"/>
      </w:pPr>
      <w:rPr>
        <w:rFonts w:hint="default"/>
        <w:b w:val="0"/>
      </w:rPr>
    </w:lvl>
    <w:lvl w:ilvl="1" w:tplc="040E0019" w:tentative="1">
      <w:start w:val="1"/>
      <w:numFmt w:val="lowerLetter"/>
      <w:lvlText w:val="%2."/>
      <w:lvlJc w:val="left"/>
      <w:pPr>
        <w:ind w:left="1506" w:hanging="360"/>
      </w:pPr>
    </w:lvl>
    <w:lvl w:ilvl="2" w:tplc="040E001B" w:tentative="1">
      <w:start w:val="1"/>
      <w:numFmt w:val="lowerRoman"/>
      <w:lvlText w:val="%3."/>
      <w:lvlJc w:val="right"/>
      <w:pPr>
        <w:ind w:left="2226" w:hanging="180"/>
      </w:pPr>
    </w:lvl>
    <w:lvl w:ilvl="3" w:tplc="040E000F" w:tentative="1">
      <w:start w:val="1"/>
      <w:numFmt w:val="decimal"/>
      <w:lvlText w:val="%4."/>
      <w:lvlJc w:val="left"/>
      <w:pPr>
        <w:ind w:left="2946" w:hanging="360"/>
      </w:pPr>
    </w:lvl>
    <w:lvl w:ilvl="4" w:tplc="040E0019" w:tentative="1">
      <w:start w:val="1"/>
      <w:numFmt w:val="lowerLetter"/>
      <w:lvlText w:val="%5."/>
      <w:lvlJc w:val="left"/>
      <w:pPr>
        <w:ind w:left="3666" w:hanging="360"/>
      </w:pPr>
    </w:lvl>
    <w:lvl w:ilvl="5" w:tplc="040E001B" w:tentative="1">
      <w:start w:val="1"/>
      <w:numFmt w:val="lowerRoman"/>
      <w:lvlText w:val="%6."/>
      <w:lvlJc w:val="right"/>
      <w:pPr>
        <w:ind w:left="4386" w:hanging="180"/>
      </w:pPr>
    </w:lvl>
    <w:lvl w:ilvl="6" w:tplc="040E000F" w:tentative="1">
      <w:start w:val="1"/>
      <w:numFmt w:val="decimal"/>
      <w:lvlText w:val="%7."/>
      <w:lvlJc w:val="left"/>
      <w:pPr>
        <w:ind w:left="5106" w:hanging="360"/>
      </w:pPr>
    </w:lvl>
    <w:lvl w:ilvl="7" w:tplc="040E0019" w:tentative="1">
      <w:start w:val="1"/>
      <w:numFmt w:val="lowerLetter"/>
      <w:lvlText w:val="%8."/>
      <w:lvlJc w:val="left"/>
      <w:pPr>
        <w:ind w:left="5826" w:hanging="360"/>
      </w:pPr>
    </w:lvl>
    <w:lvl w:ilvl="8" w:tplc="040E001B" w:tentative="1">
      <w:start w:val="1"/>
      <w:numFmt w:val="lowerRoman"/>
      <w:lvlText w:val="%9."/>
      <w:lvlJc w:val="right"/>
      <w:pPr>
        <w:ind w:left="6546" w:hanging="180"/>
      </w:pPr>
    </w:lvl>
  </w:abstractNum>
  <w:abstractNum w:abstractNumId="400" w15:restartNumberingAfterBreak="0">
    <w:nsid w:val="3C6943F8"/>
    <w:multiLevelType w:val="hybridMultilevel"/>
    <w:tmpl w:val="797290CA"/>
    <w:lvl w:ilvl="0" w:tplc="C4B29A7E">
      <w:numFmt w:val="bullet"/>
      <w:lvlText w:val="-"/>
      <w:lvlJc w:val="left"/>
      <w:pPr>
        <w:ind w:left="1001" w:hanging="360"/>
      </w:pPr>
      <w:rPr>
        <w:rFonts w:ascii="Arial Narrow" w:eastAsia="Times New Roman" w:hAnsi="Arial Narrow" w:cs="Times New Roman" w:hint="default"/>
        <w:b w:val="0"/>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401" w15:restartNumberingAfterBreak="0">
    <w:nsid w:val="3CCD516F"/>
    <w:multiLevelType w:val="hybridMultilevel"/>
    <w:tmpl w:val="9288DAC4"/>
    <w:lvl w:ilvl="0" w:tplc="D1AEC134">
      <w:start w:val="1"/>
      <w:numFmt w:val="decimal"/>
      <w:lvlText w:val="%1."/>
      <w:lvlJc w:val="left"/>
      <w:pPr>
        <w:ind w:left="786" w:hanging="360"/>
      </w:pPr>
      <w:rPr>
        <w:rFonts w:hint="default"/>
      </w:rPr>
    </w:lvl>
    <w:lvl w:ilvl="1" w:tplc="040E0019" w:tentative="1">
      <w:start w:val="1"/>
      <w:numFmt w:val="lowerLetter"/>
      <w:lvlText w:val="%2."/>
      <w:lvlJc w:val="left"/>
      <w:pPr>
        <w:ind w:left="1506" w:hanging="360"/>
      </w:pPr>
    </w:lvl>
    <w:lvl w:ilvl="2" w:tplc="040E001B" w:tentative="1">
      <w:start w:val="1"/>
      <w:numFmt w:val="lowerRoman"/>
      <w:lvlText w:val="%3."/>
      <w:lvlJc w:val="right"/>
      <w:pPr>
        <w:ind w:left="2226" w:hanging="180"/>
      </w:pPr>
    </w:lvl>
    <w:lvl w:ilvl="3" w:tplc="040E000F" w:tentative="1">
      <w:start w:val="1"/>
      <w:numFmt w:val="decimal"/>
      <w:lvlText w:val="%4."/>
      <w:lvlJc w:val="left"/>
      <w:pPr>
        <w:ind w:left="2946" w:hanging="360"/>
      </w:pPr>
    </w:lvl>
    <w:lvl w:ilvl="4" w:tplc="040E0019" w:tentative="1">
      <w:start w:val="1"/>
      <w:numFmt w:val="lowerLetter"/>
      <w:lvlText w:val="%5."/>
      <w:lvlJc w:val="left"/>
      <w:pPr>
        <w:ind w:left="3666" w:hanging="360"/>
      </w:pPr>
    </w:lvl>
    <w:lvl w:ilvl="5" w:tplc="040E001B" w:tentative="1">
      <w:start w:val="1"/>
      <w:numFmt w:val="lowerRoman"/>
      <w:lvlText w:val="%6."/>
      <w:lvlJc w:val="right"/>
      <w:pPr>
        <w:ind w:left="4386" w:hanging="180"/>
      </w:pPr>
    </w:lvl>
    <w:lvl w:ilvl="6" w:tplc="040E000F" w:tentative="1">
      <w:start w:val="1"/>
      <w:numFmt w:val="decimal"/>
      <w:lvlText w:val="%7."/>
      <w:lvlJc w:val="left"/>
      <w:pPr>
        <w:ind w:left="5106" w:hanging="360"/>
      </w:pPr>
    </w:lvl>
    <w:lvl w:ilvl="7" w:tplc="040E0019" w:tentative="1">
      <w:start w:val="1"/>
      <w:numFmt w:val="lowerLetter"/>
      <w:lvlText w:val="%8."/>
      <w:lvlJc w:val="left"/>
      <w:pPr>
        <w:ind w:left="5826" w:hanging="360"/>
      </w:pPr>
    </w:lvl>
    <w:lvl w:ilvl="8" w:tplc="040E001B" w:tentative="1">
      <w:start w:val="1"/>
      <w:numFmt w:val="lowerRoman"/>
      <w:lvlText w:val="%9."/>
      <w:lvlJc w:val="right"/>
      <w:pPr>
        <w:ind w:left="6546" w:hanging="180"/>
      </w:pPr>
    </w:lvl>
  </w:abstractNum>
  <w:abstractNum w:abstractNumId="402" w15:restartNumberingAfterBreak="0">
    <w:nsid w:val="3CCF077C"/>
    <w:multiLevelType w:val="hybridMultilevel"/>
    <w:tmpl w:val="CA664B56"/>
    <w:lvl w:ilvl="0" w:tplc="B5341742">
      <w:start w:val="1"/>
      <w:numFmt w:val="decimal"/>
      <w:lvlText w:val="%1."/>
      <w:lvlJc w:val="left"/>
      <w:pPr>
        <w:ind w:left="1353" w:hanging="360"/>
      </w:pPr>
      <w:rPr>
        <w:rFonts w:hint="default"/>
        <w:b w:val="0"/>
      </w:rPr>
    </w:lvl>
    <w:lvl w:ilvl="1" w:tplc="040E0019" w:tentative="1">
      <w:start w:val="1"/>
      <w:numFmt w:val="lowerLetter"/>
      <w:lvlText w:val="%2."/>
      <w:lvlJc w:val="left"/>
      <w:pPr>
        <w:ind w:left="2073" w:hanging="360"/>
      </w:pPr>
    </w:lvl>
    <w:lvl w:ilvl="2" w:tplc="040E001B" w:tentative="1">
      <w:start w:val="1"/>
      <w:numFmt w:val="lowerRoman"/>
      <w:lvlText w:val="%3."/>
      <w:lvlJc w:val="right"/>
      <w:pPr>
        <w:ind w:left="2793" w:hanging="180"/>
      </w:pPr>
    </w:lvl>
    <w:lvl w:ilvl="3" w:tplc="040E000F" w:tentative="1">
      <w:start w:val="1"/>
      <w:numFmt w:val="decimal"/>
      <w:lvlText w:val="%4."/>
      <w:lvlJc w:val="left"/>
      <w:pPr>
        <w:ind w:left="3513" w:hanging="360"/>
      </w:pPr>
    </w:lvl>
    <w:lvl w:ilvl="4" w:tplc="040E0019" w:tentative="1">
      <w:start w:val="1"/>
      <w:numFmt w:val="lowerLetter"/>
      <w:lvlText w:val="%5."/>
      <w:lvlJc w:val="left"/>
      <w:pPr>
        <w:ind w:left="4233" w:hanging="360"/>
      </w:pPr>
    </w:lvl>
    <w:lvl w:ilvl="5" w:tplc="040E001B" w:tentative="1">
      <w:start w:val="1"/>
      <w:numFmt w:val="lowerRoman"/>
      <w:lvlText w:val="%6."/>
      <w:lvlJc w:val="right"/>
      <w:pPr>
        <w:ind w:left="4953" w:hanging="180"/>
      </w:pPr>
    </w:lvl>
    <w:lvl w:ilvl="6" w:tplc="040E000F" w:tentative="1">
      <w:start w:val="1"/>
      <w:numFmt w:val="decimal"/>
      <w:lvlText w:val="%7."/>
      <w:lvlJc w:val="left"/>
      <w:pPr>
        <w:ind w:left="5673" w:hanging="360"/>
      </w:pPr>
    </w:lvl>
    <w:lvl w:ilvl="7" w:tplc="040E0019" w:tentative="1">
      <w:start w:val="1"/>
      <w:numFmt w:val="lowerLetter"/>
      <w:lvlText w:val="%8."/>
      <w:lvlJc w:val="left"/>
      <w:pPr>
        <w:ind w:left="6393" w:hanging="360"/>
      </w:pPr>
    </w:lvl>
    <w:lvl w:ilvl="8" w:tplc="040E001B" w:tentative="1">
      <w:start w:val="1"/>
      <w:numFmt w:val="lowerRoman"/>
      <w:lvlText w:val="%9."/>
      <w:lvlJc w:val="right"/>
      <w:pPr>
        <w:ind w:left="7113" w:hanging="180"/>
      </w:pPr>
    </w:lvl>
  </w:abstractNum>
  <w:abstractNum w:abstractNumId="403" w15:restartNumberingAfterBreak="0">
    <w:nsid w:val="3CD74BD0"/>
    <w:multiLevelType w:val="hybridMultilevel"/>
    <w:tmpl w:val="4180266C"/>
    <w:lvl w:ilvl="0" w:tplc="C09E15B0">
      <w:numFmt w:val="bullet"/>
      <w:lvlText w:val="-"/>
      <w:lvlJc w:val="left"/>
      <w:pPr>
        <w:ind w:left="786" w:hanging="360"/>
      </w:pPr>
      <w:rPr>
        <w:rFonts w:ascii="Times New Roman" w:eastAsia="Times New Roman" w:hAnsi="Times New Roman" w:cs="Times New Roman" w:hint="default"/>
        <w:b/>
      </w:rPr>
    </w:lvl>
    <w:lvl w:ilvl="1" w:tplc="040E0003">
      <w:start w:val="1"/>
      <w:numFmt w:val="bullet"/>
      <w:lvlText w:val="o"/>
      <w:lvlJc w:val="left"/>
      <w:pPr>
        <w:ind w:left="1506" w:hanging="360"/>
      </w:pPr>
      <w:rPr>
        <w:rFonts w:ascii="Courier New" w:hAnsi="Courier New" w:cs="Courier New" w:hint="default"/>
      </w:rPr>
    </w:lvl>
    <w:lvl w:ilvl="2" w:tplc="040E0005">
      <w:start w:val="1"/>
      <w:numFmt w:val="bullet"/>
      <w:lvlText w:val=""/>
      <w:lvlJc w:val="left"/>
      <w:pPr>
        <w:ind w:left="2226" w:hanging="360"/>
      </w:pPr>
      <w:rPr>
        <w:rFonts w:ascii="Wingdings" w:hAnsi="Wingdings" w:hint="default"/>
      </w:rPr>
    </w:lvl>
    <w:lvl w:ilvl="3" w:tplc="040E0001">
      <w:start w:val="1"/>
      <w:numFmt w:val="bullet"/>
      <w:lvlText w:val=""/>
      <w:lvlJc w:val="left"/>
      <w:pPr>
        <w:ind w:left="2946" w:hanging="360"/>
      </w:pPr>
      <w:rPr>
        <w:rFonts w:ascii="Symbol" w:hAnsi="Symbol" w:hint="default"/>
      </w:rPr>
    </w:lvl>
    <w:lvl w:ilvl="4" w:tplc="040E0003">
      <w:start w:val="1"/>
      <w:numFmt w:val="bullet"/>
      <w:lvlText w:val="o"/>
      <w:lvlJc w:val="left"/>
      <w:pPr>
        <w:ind w:left="3666" w:hanging="360"/>
      </w:pPr>
      <w:rPr>
        <w:rFonts w:ascii="Courier New" w:hAnsi="Courier New" w:cs="Courier New" w:hint="default"/>
      </w:rPr>
    </w:lvl>
    <w:lvl w:ilvl="5" w:tplc="040E0005">
      <w:start w:val="1"/>
      <w:numFmt w:val="bullet"/>
      <w:lvlText w:val=""/>
      <w:lvlJc w:val="left"/>
      <w:pPr>
        <w:ind w:left="4386" w:hanging="360"/>
      </w:pPr>
      <w:rPr>
        <w:rFonts w:ascii="Wingdings" w:hAnsi="Wingdings" w:hint="default"/>
      </w:rPr>
    </w:lvl>
    <w:lvl w:ilvl="6" w:tplc="040E0001">
      <w:start w:val="1"/>
      <w:numFmt w:val="bullet"/>
      <w:lvlText w:val=""/>
      <w:lvlJc w:val="left"/>
      <w:pPr>
        <w:ind w:left="5106" w:hanging="360"/>
      </w:pPr>
      <w:rPr>
        <w:rFonts w:ascii="Symbol" w:hAnsi="Symbol" w:hint="default"/>
      </w:rPr>
    </w:lvl>
    <w:lvl w:ilvl="7" w:tplc="040E0003">
      <w:start w:val="1"/>
      <w:numFmt w:val="bullet"/>
      <w:lvlText w:val="o"/>
      <w:lvlJc w:val="left"/>
      <w:pPr>
        <w:ind w:left="5826" w:hanging="360"/>
      </w:pPr>
      <w:rPr>
        <w:rFonts w:ascii="Courier New" w:hAnsi="Courier New" w:cs="Courier New" w:hint="default"/>
      </w:rPr>
    </w:lvl>
    <w:lvl w:ilvl="8" w:tplc="040E0005">
      <w:start w:val="1"/>
      <w:numFmt w:val="bullet"/>
      <w:lvlText w:val=""/>
      <w:lvlJc w:val="left"/>
      <w:pPr>
        <w:ind w:left="6546" w:hanging="360"/>
      </w:pPr>
      <w:rPr>
        <w:rFonts w:ascii="Wingdings" w:hAnsi="Wingdings" w:hint="default"/>
      </w:rPr>
    </w:lvl>
  </w:abstractNum>
  <w:abstractNum w:abstractNumId="404" w15:restartNumberingAfterBreak="0">
    <w:nsid w:val="3CE97DDB"/>
    <w:multiLevelType w:val="multilevel"/>
    <w:tmpl w:val="FD30C42A"/>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05" w15:restartNumberingAfterBreak="0">
    <w:nsid w:val="3D39778B"/>
    <w:multiLevelType w:val="hybridMultilevel"/>
    <w:tmpl w:val="B3F42308"/>
    <w:lvl w:ilvl="0" w:tplc="F90AA5CA">
      <w:numFmt w:val="bullet"/>
      <w:lvlText w:val="-"/>
      <w:lvlJc w:val="left"/>
      <w:pPr>
        <w:ind w:left="1145" w:hanging="360"/>
      </w:pPr>
      <w:rPr>
        <w:rFonts w:ascii="Times New Roman" w:eastAsia="Times New Roman" w:hAnsi="Times New Roman" w:cs="Times New Roman" w:hint="default"/>
      </w:rPr>
    </w:lvl>
    <w:lvl w:ilvl="1" w:tplc="040E0003">
      <w:start w:val="1"/>
      <w:numFmt w:val="bullet"/>
      <w:lvlText w:val="o"/>
      <w:lvlJc w:val="left"/>
      <w:pPr>
        <w:ind w:left="1865" w:hanging="360"/>
      </w:pPr>
      <w:rPr>
        <w:rFonts w:ascii="Courier New" w:hAnsi="Courier New" w:cs="Courier New" w:hint="default"/>
      </w:rPr>
    </w:lvl>
    <w:lvl w:ilvl="2" w:tplc="040E0005">
      <w:start w:val="1"/>
      <w:numFmt w:val="bullet"/>
      <w:lvlText w:val=""/>
      <w:lvlJc w:val="left"/>
      <w:pPr>
        <w:ind w:left="2585" w:hanging="360"/>
      </w:pPr>
      <w:rPr>
        <w:rFonts w:ascii="Wingdings" w:hAnsi="Wingdings" w:hint="default"/>
      </w:rPr>
    </w:lvl>
    <w:lvl w:ilvl="3" w:tplc="040E0001">
      <w:start w:val="1"/>
      <w:numFmt w:val="bullet"/>
      <w:lvlText w:val=""/>
      <w:lvlJc w:val="left"/>
      <w:pPr>
        <w:ind w:left="3305" w:hanging="360"/>
      </w:pPr>
      <w:rPr>
        <w:rFonts w:ascii="Symbol" w:hAnsi="Symbol" w:hint="default"/>
      </w:rPr>
    </w:lvl>
    <w:lvl w:ilvl="4" w:tplc="040E0003">
      <w:start w:val="1"/>
      <w:numFmt w:val="bullet"/>
      <w:lvlText w:val="o"/>
      <w:lvlJc w:val="left"/>
      <w:pPr>
        <w:ind w:left="4025" w:hanging="360"/>
      </w:pPr>
      <w:rPr>
        <w:rFonts w:ascii="Courier New" w:hAnsi="Courier New" w:cs="Courier New" w:hint="default"/>
      </w:rPr>
    </w:lvl>
    <w:lvl w:ilvl="5" w:tplc="040E0005">
      <w:start w:val="1"/>
      <w:numFmt w:val="bullet"/>
      <w:lvlText w:val=""/>
      <w:lvlJc w:val="left"/>
      <w:pPr>
        <w:ind w:left="4745" w:hanging="360"/>
      </w:pPr>
      <w:rPr>
        <w:rFonts w:ascii="Wingdings" w:hAnsi="Wingdings" w:hint="default"/>
      </w:rPr>
    </w:lvl>
    <w:lvl w:ilvl="6" w:tplc="040E0001">
      <w:start w:val="1"/>
      <w:numFmt w:val="bullet"/>
      <w:lvlText w:val=""/>
      <w:lvlJc w:val="left"/>
      <w:pPr>
        <w:ind w:left="5465" w:hanging="360"/>
      </w:pPr>
      <w:rPr>
        <w:rFonts w:ascii="Symbol" w:hAnsi="Symbol" w:hint="default"/>
      </w:rPr>
    </w:lvl>
    <w:lvl w:ilvl="7" w:tplc="040E0003">
      <w:start w:val="1"/>
      <w:numFmt w:val="bullet"/>
      <w:lvlText w:val="o"/>
      <w:lvlJc w:val="left"/>
      <w:pPr>
        <w:ind w:left="6185" w:hanging="360"/>
      </w:pPr>
      <w:rPr>
        <w:rFonts w:ascii="Courier New" w:hAnsi="Courier New" w:cs="Courier New" w:hint="default"/>
      </w:rPr>
    </w:lvl>
    <w:lvl w:ilvl="8" w:tplc="040E0005">
      <w:start w:val="1"/>
      <w:numFmt w:val="bullet"/>
      <w:lvlText w:val=""/>
      <w:lvlJc w:val="left"/>
      <w:pPr>
        <w:ind w:left="6905" w:hanging="360"/>
      </w:pPr>
      <w:rPr>
        <w:rFonts w:ascii="Wingdings" w:hAnsi="Wingdings" w:hint="default"/>
      </w:rPr>
    </w:lvl>
  </w:abstractNum>
  <w:abstractNum w:abstractNumId="406" w15:restartNumberingAfterBreak="0">
    <w:nsid w:val="3DA47679"/>
    <w:multiLevelType w:val="hybridMultilevel"/>
    <w:tmpl w:val="6D7A846C"/>
    <w:lvl w:ilvl="0" w:tplc="F90CC2C4">
      <w:numFmt w:val="bullet"/>
      <w:lvlText w:val="–"/>
      <w:lvlJc w:val="left"/>
      <w:pPr>
        <w:ind w:left="786" w:hanging="360"/>
      </w:pPr>
      <w:rPr>
        <w:rFonts w:ascii="Times New Roman" w:eastAsia="Times New Roman" w:hAnsi="Times New Roman" w:cs="Times New Roman" w:hint="default"/>
      </w:rPr>
    </w:lvl>
    <w:lvl w:ilvl="1" w:tplc="040E0003">
      <w:start w:val="1"/>
      <w:numFmt w:val="bullet"/>
      <w:lvlText w:val="o"/>
      <w:lvlJc w:val="left"/>
      <w:pPr>
        <w:ind w:left="1506" w:hanging="360"/>
      </w:pPr>
      <w:rPr>
        <w:rFonts w:ascii="Courier New" w:hAnsi="Courier New" w:cs="Courier New" w:hint="default"/>
      </w:rPr>
    </w:lvl>
    <w:lvl w:ilvl="2" w:tplc="040E0005">
      <w:start w:val="1"/>
      <w:numFmt w:val="bullet"/>
      <w:lvlText w:val=""/>
      <w:lvlJc w:val="left"/>
      <w:pPr>
        <w:ind w:left="2226" w:hanging="360"/>
      </w:pPr>
      <w:rPr>
        <w:rFonts w:ascii="Wingdings" w:hAnsi="Wingdings" w:hint="default"/>
      </w:rPr>
    </w:lvl>
    <w:lvl w:ilvl="3" w:tplc="040E0001">
      <w:start w:val="1"/>
      <w:numFmt w:val="bullet"/>
      <w:lvlText w:val=""/>
      <w:lvlJc w:val="left"/>
      <w:pPr>
        <w:ind w:left="2946" w:hanging="360"/>
      </w:pPr>
      <w:rPr>
        <w:rFonts w:ascii="Symbol" w:hAnsi="Symbol" w:hint="default"/>
      </w:rPr>
    </w:lvl>
    <w:lvl w:ilvl="4" w:tplc="040E0003">
      <w:start w:val="1"/>
      <w:numFmt w:val="bullet"/>
      <w:lvlText w:val="o"/>
      <w:lvlJc w:val="left"/>
      <w:pPr>
        <w:ind w:left="3666" w:hanging="360"/>
      </w:pPr>
      <w:rPr>
        <w:rFonts w:ascii="Courier New" w:hAnsi="Courier New" w:cs="Courier New" w:hint="default"/>
      </w:rPr>
    </w:lvl>
    <w:lvl w:ilvl="5" w:tplc="040E0005">
      <w:start w:val="1"/>
      <w:numFmt w:val="bullet"/>
      <w:lvlText w:val=""/>
      <w:lvlJc w:val="left"/>
      <w:pPr>
        <w:ind w:left="4386" w:hanging="360"/>
      </w:pPr>
      <w:rPr>
        <w:rFonts w:ascii="Wingdings" w:hAnsi="Wingdings" w:hint="default"/>
      </w:rPr>
    </w:lvl>
    <w:lvl w:ilvl="6" w:tplc="040E0001">
      <w:start w:val="1"/>
      <w:numFmt w:val="bullet"/>
      <w:lvlText w:val=""/>
      <w:lvlJc w:val="left"/>
      <w:pPr>
        <w:ind w:left="5106" w:hanging="360"/>
      </w:pPr>
      <w:rPr>
        <w:rFonts w:ascii="Symbol" w:hAnsi="Symbol" w:hint="default"/>
      </w:rPr>
    </w:lvl>
    <w:lvl w:ilvl="7" w:tplc="040E0003">
      <w:start w:val="1"/>
      <w:numFmt w:val="bullet"/>
      <w:lvlText w:val="o"/>
      <w:lvlJc w:val="left"/>
      <w:pPr>
        <w:ind w:left="5826" w:hanging="360"/>
      </w:pPr>
      <w:rPr>
        <w:rFonts w:ascii="Courier New" w:hAnsi="Courier New" w:cs="Courier New" w:hint="default"/>
      </w:rPr>
    </w:lvl>
    <w:lvl w:ilvl="8" w:tplc="040E0005">
      <w:start w:val="1"/>
      <w:numFmt w:val="bullet"/>
      <w:lvlText w:val=""/>
      <w:lvlJc w:val="left"/>
      <w:pPr>
        <w:ind w:left="6546" w:hanging="360"/>
      </w:pPr>
      <w:rPr>
        <w:rFonts w:ascii="Wingdings" w:hAnsi="Wingdings" w:hint="default"/>
      </w:rPr>
    </w:lvl>
  </w:abstractNum>
  <w:abstractNum w:abstractNumId="407" w15:restartNumberingAfterBreak="0">
    <w:nsid w:val="3DB33001"/>
    <w:multiLevelType w:val="multilevel"/>
    <w:tmpl w:val="2DFC8016"/>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08" w15:restartNumberingAfterBreak="0">
    <w:nsid w:val="3DE82390"/>
    <w:multiLevelType w:val="hybridMultilevel"/>
    <w:tmpl w:val="F1DAD6F4"/>
    <w:lvl w:ilvl="0" w:tplc="F90AA5CA">
      <w:numFmt w:val="bullet"/>
      <w:lvlText w:val="-"/>
      <w:lvlJc w:val="left"/>
      <w:pPr>
        <w:ind w:left="1145" w:hanging="360"/>
      </w:pPr>
      <w:rPr>
        <w:rFonts w:ascii="Times New Roman" w:eastAsia="Times New Roman" w:hAnsi="Times New Roman"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409" w15:restartNumberingAfterBreak="0">
    <w:nsid w:val="3E4E05D8"/>
    <w:multiLevelType w:val="hybridMultilevel"/>
    <w:tmpl w:val="BEF8D1DC"/>
    <w:lvl w:ilvl="0" w:tplc="F29CF34C">
      <w:start w:val="1"/>
      <w:numFmt w:val="bullet"/>
      <w:lvlText w:val=""/>
      <w:lvlJc w:val="left"/>
      <w:pPr>
        <w:ind w:left="1145" w:hanging="360"/>
      </w:pPr>
      <w:rPr>
        <w:rFonts w:ascii="Symbol" w:hAnsi="Symbol" w:hint="default"/>
      </w:rPr>
    </w:lvl>
    <w:lvl w:ilvl="1" w:tplc="040E0003">
      <w:start w:val="1"/>
      <w:numFmt w:val="bullet"/>
      <w:lvlText w:val="o"/>
      <w:lvlJc w:val="left"/>
      <w:pPr>
        <w:ind w:left="1865" w:hanging="360"/>
      </w:pPr>
      <w:rPr>
        <w:rFonts w:ascii="Courier New" w:hAnsi="Courier New" w:cs="Courier New" w:hint="default"/>
      </w:rPr>
    </w:lvl>
    <w:lvl w:ilvl="2" w:tplc="040E0005">
      <w:start w:val="1"/>
      <w:numFmt w:val="bullet"/>
      <w:lvlText w:val=""/>
      <w:lvlJc w:val="left"/>
      <w:pPr>
        <w:ind w:left="2585" w:hanging="360"/>
      </w:pPr>
      <w:rPr>
        <w:rFonts w:ascii="Wingdings" w:hAnsi="Wingdings" w:hint="default"/>
      </w:rPr>
    </w:lvl>
    <w:lvl w:ilvl="3" w:tplc="040E0001">
      <w:start w:val="1"/>
      <w:numFmt w:val="bullet"/>
      <w:lvlText w:val=""/>
      <w:lvlJc w:val="left"/>
      <w:pPr>
        <w:ind w:left="3305" w:hanging="360"/>
      </w:pPr>
      <w:rPr>
        <w:rFonts w:ascii="Symbol" w:hAnsi="Symbol" w:hint="default"/>
      </w:rPr>
    </w:lvl>
    <w:lvl w:ilvl="4" w:tplc="040E0003">
      <w:start w:val="1"/>
      <w:numFmt w:val="bullet"/>
      <w:lvlText w:val="o"/>
      <w:lvlJc w:val="left"/>
      <w:pPr>
        <w:ind w:left="4025" w:hanging="360"/>
      </w:pPr>
      <w:rPr>
        <w:rFonts w:ascii="Courier New" w:hAnsi="Courier New" w:cs="Courier New" w:hint="default"/>
      </w:rPr>
    </w:lvl>
    <w:lvl w:ilvl="5" w:tplc="040E0005">
      <w:start w:val="1"/>
      <w:numFmt w:val="bullet"/>
      <w:lvlText w:val=""/>
      <w:lvlJc w:val="left"/>
      <w:pPr>
        <w:ind w:left="4745" w:hanging="360"/>
      </w:pPr>
      <w:rPr>
        <w:rFonts w:ascii="Wingdings" w:hAnsi="Wingdings" w:hint="default"/>
      </w:rPr>
    </w:lvl>
    <w:lvl w:ilvl="6" w:tplc="040E0001">
      <w:start w:val="1"/>
      <w:numFmt w:val="bullet"/>
      <w:lvlText w:val=""/>
      <w:lvlJc w:val="left"/>
      <w:pPr>
        <w:ind w:left="5465" w:hanging="360"/>
      </w:pPr>
      <w:rPr>
        <w:rFonts w:ascii="Symbol" w:hAnsi="Symbol" w:hint="default"/>
      </w:rPr>
    </w:lvl>
    <w:lvl w:ilvl="7" w:tplc="040E0003">
      <w:start w:val="1"/>
      <w:numFmt w:val="bullet"/>
      <w:lvlText w:val="o"/>
      <w:lvlJc w:val="left"/>
      <w:pPr>
        <w:ind w:left="6185" w:hanging="360"/>
      </w:pPr>
      <w:rPr>
        <w:rFonts w:ascii="Courier New" w:hAnsi="Courier New" w:cs="Courier New" w:hint="default"/>
      </w:rPr>
    </w:lvl>
    <w:lvl w:ilvl="8" w:tplc="040E0005">
      <w:start w:val="1"/>
      <w:numFmt w:val="bullet"/>
      <w:lvlText w:val=""/>
      <w:lvlJc w:val="left"/>
      <w:pPr>
        <w:ind w:left="6905" w:hanging="360"/>
      </w:pPr>
      <w:rPr>
        <w:rFonts w:ascii="Wingdings" w:hAnsi="Wingdings" w:hint="default"/>
      </w:rPr>
    </w:lvl>
  </w:abstractNum>
  <w:abstractNum w:abstractNumId="410" w15:restartNumberingAfterBreak="0">
    <w:nsid w:val="3E6607BB"/>
    <w:multiLevelType w:val="hybridMultilevel"/>
    <w:tmpl w:val="31026662"/>
    <w:lvl w:ilvl="0" w:tplc="F90AA5CA">
      <w:numFmt w:val="bullet"/>
      <w:lvlText w:val="-"/>
      <w:lvlJc w:val="left"/>
      <w:pPr>
        <w:ind w:left="1353" w:hanging="360"/>
      </w:pPr>
      <w:rPr>
        <w:rFonts w:ascii="Times New Roman" w:eastAsia="Times New Roman" w:hAnsi="Times New Roman" w:cs="Times New Roman" w:hint="default"/>
      </w:rPr>
    </w:lvl>
    <w:lvl w:ilvl="1" w:tplc="040E0003" w:tentative="1">
      <w:start w:val="1"/>
      <w:numFmt w:val="bullet"/>
      <w:lvlText w:val="o"/>
      <w:lvlJc w:val="left"/>
      <w:pPr>
        <w:ind w:left="2073" w:hanging="360"/>
      </w:pPr>
      <w:rPr>
        <w:rFonts w:ascii="Courier New" w:hAnsi="Courier New" w:cs="Courier New" w:hint="default"/>
      </w:rPr>
    </w:lvl>
    <w:lvl w:ilvl="2" w:tplc="040E0005" w:tentative="1">
      <w:start w:val="1"/>
      <w:numFmt w:val="bullet"/>
      <w:lvlText w:val=""/>
      <w:lvlJc w:val="left"/>
      <w:pPr>
        <w:ind w:left="2793" w:hanging="360"/>
      </w:pPr>
      <w:rPr>
        <w:rFonts w:ascii="Wingdings" w:hAnsi="Wingdings" w:hint="default"/>
      </w:rPr>
    </w:lvl>
    <w:lvl w:ilvl="3" w:tplc="040E0001" w:tentative="1">
      <w:start w:val="1"/>
      <w:numFmt w:val="bullet"/>
      <w:lvlText w:val=""/>
      <w:lvlJc w:val="left"/>
      <w:pPr>
        <w:ind w:left="3513" w:hanging="360"/>
      </w:pPr>
      <w:rPr>
        <w:rFonts w:ascii="Symbol" w:hAnsi="Symbol" w:hint="default"/>
      </w:rPr>
    </w:lvl>
    <w:lvl w:ilvl="4" w:tplc="040E0003" w:tentative="1">
      <w:start w:val="1"/>
      <w:numFmt w:val="bullet"/>
      <w:lvlText w:val="o"/>
      <w:lvlJc w:val="left"/>
      <w:pPr>
        <w:ind w:left="4233" w:hanging="360"/>
      </w:pPr>
      <w:rPr>
        <w:rFonts w:ascii="Courier New" w:hAnsi="Courier New" w:cs="Courier New" w:hint="default"/>
      </w:rPr>
    </w:lvl>
    <w:lvl w:ilvl="5" w:tplc="040E0005" w:tentative="1">
      <w:start w:val="1"/>
      <w:numFmt w:val="bullet"/>
      <w:lvlText w:val=""/>
      <w:lvlJc w:val="left"/>
      <w:pPr>
        <w:ind w:left="4953" w:hanging="360"/>
      </w:pPr>
      <w:rPr>
        <w:rFonts w:ascii="Wingdings" w:hAnsi="Wingdings" w:hint="default"/>
      </w:rPr>
    </w:lvl>
    <w:lvl w:ilvl="6" w:tplc="040E0001" w:tentative="1">
      <w:start w:val="1"/>
      <w:numFmt w:val="bullet"/>
      <w:lvlText w:val=""/>
      <w:lvlJc w:val="left"/>
      <w:pPr>
        <w:ind w:left="5673" w:hanging="360"/>
      </w:pPr>
      <w:rPr>
        <w:rFonts w:ascii="Symbol" w:hAnsi="Symbol" w:hint="default"/>
      </w:rPr>
    </w:lvl>
    <w:lvl w:ilvl="7" w:tplc="040E0003" w:tentative="1">
      <w:start w:val="1"/>
      <w:numFmt w:val="bullet"/>
      <w:lvlText w:val="o"/>
      <w:lvlJc w:val="left"/>
      <w:pPr>
        <w:ind w:left="6393" w:hanging="360"/>
      </w:pPr>
      <w:rPr>
        <w:rFonts w:ascii="Courier New" w:hAnsi="Courier New" w:cs="Courier New" w:hint="default"/>
      </w:rPr>
    </w:lvl>
    <w:lvl w:ilvl="8" w:tplc="040E0005" w:tentative="1">
      <w:start w:val="1"/>
      <w:numFmt w:val="bullet"/>
      <w:lvlText w:val=""/>
      <w:lvlJc w:val="left"/>
      <w:pPr>
        <w:ind w:left="7113" w:hanging="360"/>
      </w:pPr>
      <w:rPr>
        <w:rFonts w:ascii="Wingdings" w:hAnsi="Wingdings" w:hint="default"/>
      </w:rPr>
    </w:lvl>
  </w:abstractNum>
  <w:abstractNum w:abstractNumId="411" w15:restartNumberingAfterBreak="0">
    <w:nsid w:val="3E9510B1"/>
    <w:multiLevelType w:val="hybridMultilevel"/>
    <w:tmpl w:val="F6E42664"/>
    <w:lvl w:ilvl="0" w:tplc="7B9C71D6">
      <w:start w:val="1"/>
      <w:numFmt w:val="decimal"/>
      <w:lvlText w:val="%1."/>
      <w:lvlJc w:val="left"/>
      <w:pPr>
        <w:ind w:left="1636" w:hanging="360"/>
      </w:pPr>
      <w:rPr>
        <w:rFonts w:hint="default"/>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12" w15:restartNumberingAfterBreak="0">
    <w:nsid w:val="3E9F24CB"/>
    <w:multiLevelType w:val="hybridMultilevel"/>
    <w:tmpl w:val="9766B164"/>
    <w:lvl w:ilvl="0" w:tplc="7638BB00">
      <w:start w:val="1"/>
      <w:numFmt w:val="decimal"/>
      <w:lvlText w:val="%1."/>
      <w:lvlJc w:val="left"/>
      <w:pPr>
        <w:ind w:left="644" w:hanging="360"/>
      </w:pPr>
      <w:rPr>
        <w:rFonts w:eastAsiaTheme="minorHAnsi"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13" w15:restartNumberingAfterBreak="0">
    <w:nsid w:val="3EA46411"/>
    <w:multiLevelType w:val="hybridMultilevel"/>
    <w:tmpl w:val="43EE615C"/>
    <w:lvl w:ilvl="0" w:tplc="F90AA5CA">
      <w:numFmt w:val="bullet"/>
      <w:lvlText w:val="-"/>
      <w:lvlJc w:val="left"/>
      <w:pPr>
        <w:ind w:left="1145" w:hanging="360"/>
      </w:pPr>
      <w:rPr>
        <w:rFonts w:ascii="Times New Roman" w:eastAsia="Times New Roman" w:hAnsi="Times New Roman"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414" w15:restartNumberingAfterBreak="0">
    <w:nsid w:val="3EB56EF2"/>
    <w:multiLevelType w:val="multilevel"/>
    <w:tmpl w:val="376EE298"/>
    <w:lvl w:ilvl="0">
      <w:start w:val="1"/>
      <w:numFmt w:val="decimal"/>
      <w:lvlText w:val="%1."/>
      <w:lvlJc w:val="right"/>
      <w:pPr>
        <w:tabs>
          <w:tab w:val="num" w:pos="644"/>
        </w:tabs>
        <w:ind w:left="644" w:hanging="360"/>
      </w:pPr>
      <w:rPr>
        <w:rFonts w:ascii="Times New Roman" w:hAnsi="Times New Roman"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4119"/>
        </w:tabs>
        <w:ind w:left="4119" w:hanging="432"/>
      </w:pPr>
      <w:rPr>
        <w:rFonts w:ascii="Times New Roman" w:hAnsi="Times New Roman" w:cs="Times New Roman" w:hint="default"/>
        <w:b/>
        <w:i w:val="0"/>
      </w:rPr>
    </w:lvl>
    <w:lvl w:ilvl="2">
      <w:start w:val="1"/>
      <w:numFmt w:val="decimal"/>
      <w:lvlText w:val="%1.%2.%3."/>
      <w:lvlJc w:val="left"/>
      <w:pPr>
        <w:tabs>
          <w:tab w:val="num" w:pos="1942"/>
        </w:tabs>
        <w:ind w:left="1726" w:hanging="504"/>
      </w:pPr>
    </w:lvl>
    <w:lvl w:ilvl="3">
      <w:start w:val="1"/>
      <w:numFmt w:val="decimal"/>
      <w:lvlText w:val="%1.%2.%3.%4."/>
      <w:lvlJc w:val="left"/>
      <w:pPr>
        <w:tabs>
          <w:tab w:val="num" w:pos="2302"/>
        </w:tabs>
        <w:ind w:left="2230" w:hanging="648"/>
      </w:pPr>
    </w:lvl>
    <w:lvl w:ilvl="4">
      <w:start w:val="1"/>
      <w:numFmt w:val="decimal"/>
      <w:lvlText w:val="%1.%2.%3.%4.%5."/>
      <w:lvlJc w:val="left"/>
      <w:pPr>
        <w:tabs>
          <w:tab w:val="num" w:pos="3022"/>
        </w:tabs>
        <w:ind w:left="2734" w:hanging="792"/>
      </w:pPr>
    </w:lvl>
    <w:lvl w:ilvl="5">
      <w:start w:val="1"/>
      <w:numFmt w:val="decimal"/>
      <w:lvlText w:val="%1.%2.%3.%4.%5.%6."/>
      <w:lvlJc w:val="left"/>
      <w:pPr>
        <w:tabs>
          <w:tab w:val="num" w:pos="3382"/>
        </w:tabs>
        <w:ind w:left="3238" w:hanging="936"/>
      </w:pPr>
    </w:lvl>
    <w:lvl w:ilvl="6">
      <w:start w:val="1"/>
      <w:numFmt w:val="decimal"/>
      <w:lvlText w:val="%1.%2.%3.%4.%5.%6.%7."/>
      <w:lvlJc w:val="left"/>
      <w:pPr>
        <w:tabs>
          <w:tab w:val="num" w:pos="4102"/>
        </w:tabs>
        <w:ind w:left="3742" w:hanging="1080"/>
      </w:pPr>
    </w:lvl>
    <w:lvl w:ilvl="7">
      <w:start w:val="1"/>
      <w:numFmt w:val="decimal"/>
      <w:lvlText w:val="%1.%2.%3.%4.%5.%6.%7.%8."/>
      <w:lvlJc w:val="left"/>
      <w:pPr>
        <w:tabs>
          <w:tab w:val="num" w:pos="4462"/>
        </w:tabs>
        <w:ind w:left="4246" w:hanging="1224"/>
      </w:pPr>
    </w:lvl>
    <w:lvl w:ilvl="8">
      <w:start w:val="1"/>
      <w:numFmt w:val="decimal"/>
      <w:lvlText w:val="%1.%2.%3.%4.%5.%6.%7.%8.%9."/>
      <w:lvlJc w:val="left"/>
      <w:pPr>
        <w:tabs>
          <w:tab w:val="num" w:pos="5182"/>
        </w:tabs>
        <w:ind w:left="4822" w:hanging="1440"/>
      </w:pPr>
    </w:lvl>
  </w:abstractNum>
  <w:abstractNum w:abstractNumId="415" w15:restartNumberingAfterBreak="0">
    <w:nsid w:val="3ECE12F4"/>
    <w:multiLevelType w:val="multilevel"/>
    <w:tmpl w:val="AACC0532"/>
    <w:lvl w:ilvl="0">
      <w:start w:val="8"/>
      <w:numFmt w:val="decimal"/>
      <w:lvlText w:val="%1."/>
      <w:lvlJc w:val="left"/>
      <w:pPr>
        <w:ind w:left="540" w:hanging="540"/>
      </w:pPr>
      <w:rPr>
        <w:rFonts w:hint="default"/>
      </w:rPr>
    </w:lvl>
    <w:lvl w:ilvl="1">
      <w:start w:val="1"/>
      <w:numFmt w:val="decimal"/>
      <w:lvlText w:val="%1.%2."/>
      <w:lvlJc w:val="left"/>
      <w:pPr>
        <w:ind w:left="753" w:hanging="54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416" w15:restartNumberingAfterBreak="0">
    <w:nsid w:val="3EE51A94"/>
    <w:multiLevelType w:val="hybridMultilevel"/>
    <w:tmpl w:val="093C8306"/>
    <w:lvl w:ilvl="0" w:tplc="049E733A">
      <w:start w:val="8"/>
      <w:numFmt w:val="bullet"/>
      <w:lvlText w:val="-"/>
      <w:lvlJc w:val="left"/>
      <w:pPr>
        <w:ind w:left="786" w:hanging="360"/>
      </w:pPr>
      <w:rPr>
        <w:rFonts w:ascii="Times New Roman" w:eastAsia="Times New Roman" w:hAnsi="Times New Roman" w:cs="Times New Roman"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417" w15:restartNumberingAfterBreak="0">
    <w:nsid w:val="3EEC2859"/>
    <w:multiLevelType w:val="multilevel"/>
    <w:tmpl w:val="A4A25CE6"/>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18" w15:restartNumberingAfterBreak="0">
    <w:nsid w:val="3F50131F"/>
    <w:multiLevelType w:val="multilevel"/>
    <w:tmpl w:val="D9CE716A"/>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19" w15:restartNumberingAfterBreak="0">
    <w:nsid w:val="3F571ED8"/>
    <w:multiLevelType w:val="hybridMultilevel"/>
    <w:tmpl w:val="DD860A38"/>
    <w:lvl w:ilvl="0" w:tplc="CF349B7C">
      <w:start w:val="9"/>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0" w15:restartNumberingAfterBreak="0">
    <w:nsid w:val="3FB7125F"/>
    <w:multiLevelType w:val="multilevel"/>
    <w:tmpl w:val="6736EA6A"/>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21" w15:restartNumberingAfterBreak="0">
    <w:nsid w:val="403D1973"/>
    <w:multiLevelType w:val="hybridMultilevel"/>
    <w:tmpl w:val="02A48E10"/>
    <w:lvl w:ilvl="0" w:tplc="F90AA5CA">
      <w:numFmt w:val="bullet"/>
      <w:lvlText w:val="-"/>
      <w:lvlJc w:val="left"/>
      <w:pPr>
        <w:ind w:left="1145" w:hanging="360"/>
      </w:pPr>
      <w:rPr>
        <w:rFonts w:ascii="Times New Roman" w:eastAsia="Times New Roman" w:hAnsi="Times New Roman"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422" w15:restartNumberingAfterBreak="0">
    <w:nsid w:val="40762591"/>
    <w:multiLevelType w:val="multilevel"/>
    <w:tmpl w:val="BF9414C4"/>
    <w:lvl w:ilvl="0">
      <w:start w:val="17"/>
      <w:numFmt w:val="decimal"/>
      <w:lvlText w:val="%1."/>
      <w:lvlJc w:val="left"/>
      <w:pPr>
        <w:ind w:left="480" w:hanging="480"/>
      </w:pPr>
    </w:lvl>
    <w:lvl w:ilvl="1">
      <w:start w:val="2"/>
      <w:numFmt w:val="decimal"/>
      <w:lvlText w:val="%1.%2."/>
      <w:lvlJc w:val="left"/>
      <w:pPr>
        <w:ind w:left="1047" w:hanging="480"/>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423" w15:restartNumberingAfterBreak="0">
    <w:nsid w:val="407D473A"/>
    <w:multiLevelType w:val="multilevel"/>
    <w:tmpl w:val="C6286CA4"/>
    <w:lvl w:ilvl="0">
      <w:start w:val="1"/>
      <w:numFmt w:val="decimal"/>
      <w:lvlText w:val="%1."/>
      <w:lvlJc w:val="right"/>
      <w:pPr>
        <w:tabs>
          <w:tab w:val="num" w:pos="644"/>
        </w:tabs>
        <w:ind w:left="644"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rPr>
    </w:lvl>
    <w:lvl w:ilvl="1">
      <w:start w:val="1"/>
      <w:numFmt w:val="decimal"/>
      <w:lvlText w:val="%1.%2."/>
      <w:lvlJc w:val="left"/>
      <w:pPr>
        <w:tabs>
          <w:tab w:val="num" w:pos="2353"/>
        </w:tabs>
        <w:ind w:left="2353" w:hanging="432"/>
      </w:pPr>
      <w:rPr>
        <w:b/>
      </w:rPr>
    </w:lvl>
    <w:lvl w:ilvl="2">
      <w:start w:val="1"/>
      <w:numFmt w:val="decimal"/>
      <w:lvlText w:val="%1.%2.%3."/>
      <w:lvlJc w:val="left"/>
      <w:pPr>
        <w:tabs>
          <w:tab w:val="num" w:pos="2084"/>
        </w:tabs>
        <w:ind w:left="1868" w:hanging="504"/>
      </w:pPr>
    </w:lvl>
    <w:lvl w:ilvl="3">
      <w:start w:val="1"/>
      <w:numFmt w:val="decimal"/>
      <w:lvlText w:val="%1.%2.%3.%4."/>
      <w:lvlJc w:val="left"/>
      <w:pPr>
        <w:tabs>
          <w:tab w:val="num" w:pos="2444"/>
        </w:tabs>
        <w:ind w:left="2372" w:hanging="648"/>
      </w:pPr>
    </w:lvl>
    <w:lvl w:ilvl="4">
      <w:start w:val="1"/>
      <w:numFmt w:val="decimal"/>
      <w:lvlText w:val="%1.%2.%3.%4.%5."/>
      <w:lvlJc w:val="left"/>
      <w:pPr>
        <w:tabs>
          <w:tab w:val="num" w:pos="3164"/>
        </w:tabs>
        <w:ind w:left="2876" w:hanging="792"/>
      </w:pPr>
    </w:lvl>
    <w:lvl w:ilvl="5">
      <w:start w:val="1"/>
      <w:numFmt w:val="decimal"/>
      <w:lvlText w:val="%1.%2.%3.%4.%5.%6."/>
      <w:lvlJc w:val="left"/>
      <w:pPr>
        <w:tabs>
          <w:tab w:val="num" w:pos="3524"/>
        </w:tabs>
        <w:ind w:left="3380" w:hanging="936"/>
      </w:pPr>
    </w:lvl>
    <w:lvl w:ilvl="6">
      <w:start w:val="1"/>
      <w:numFmt w:val="decimal"/>
      <w:lvlText w:val="%1.%2.%3.%4.%5.%6.%7."/>
      <w:lvlJc w:val="left"/>
      <w:pPr>
        <w:tabs>
          <w:tab w:val="num" w:pos="4244"/>
        </w:tabs>
        <w:ind w:left="3884" w:hanging="1080"/>
      </w:pPr>
    </w:lvl>
    <w:lvl w:ilvl="7">
      <w:start w:val="1"/>
      <w:numFmt w:val="decimal"/>
      <w:lvlText w:val="%1.%2.%3.%4.%5.%6.%7.%8."/>
      <w:lvlJc w:val="left"/>
      <w:pPr>
        <w:tabs>
          <w:tab w:val="num" w:pos="4604"/>
        </w:tabs>
        <w:ind w:left="4388" w:hanging="1224"/>
      </w:pPr>
    </w:lvl>
    <w:lvl w:ilvl="8">
      <w:start w:val="1"/>
      <w:numFmt w:val="decimal"/>
      <w:lvlText w:val="%1.%2.%3.%4.%5.%6.%7.%8.%9."/>
      <w:lvlJc w:val="left"/>
      <w:pPr>
        <w:tabs>
          <w:tab w:val="num" w:pos="5324"/>
        </w:tabs>
        <w:ind w:left="4964" w:hanging="1440"/>
      </w:pPr>
    </w:lvl>
  </w:abstractNum>
  <w:abstractNum w:abstractNumId="424" w15:restartNumberingAfterBreak="0">
    <w:nsid w:val="40A82875"/>
    <w:multiLevelType w:val="multilevel"/>
    <w:tmpl w:val="A3C421C6"/>
    <w:lvl w:ilvl="0">
      <w:start w:val="1"/>
      <w:numFmt w:val="decimal"/>
      <w:lvlText w:val="%1."/>
      <w:lvlJc w:val="left"/>
      <w:pPr>
        <w:tabs>
          <w:tab w:val="num" w:pos="360"/>
        </w:tabs>
        <w:ind w:left="360" w:hanging="360"/>
      </w:pPr>
      <w:rPr>
        <w:rFonts w:cs="Times New Roman"/>
        <w:b w:val="0"/>
        <w:i w:val="0"/>
        <w:sz w:val="24"/>
      </w:rPr>
    </w:lvl>
    <w:lvl w:ilvl="1">
      <w:start w:val="1"/>
      <w:numFmt w:val="decimal"/>
      <w:lvlText w:val="%1.%2."/>
      <w:lvlJc w:val="left"/>
      <w:pPr>
        <w:tabs>
          <w:tab w:val="num" w:pos="792"/>
        </w:tabs>
        <w:ind w:left="792" w:hanging="432"/>
      </w:pPr>
      <w:rPr>
        <w:rFonts w:cs="Times New Roman"/>
        <w:b/>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25" w15:restartNumberingAfterBreak="0">
    <w:nsid w:val="40BF1921"/>
    <w:multiLevelType w:val="hybridMultilevel"/>
    <w:tmpl w:val="8D185A4C"/>
    <w:lvl w:ilvl="0" w:tplc="1BF27CDC">
      <w:start w:val="1"/>
      <w:numFmt w:val="decimal"/>
      <w:lvlText w:val="%1."/>
      <w:lvlJc w:val="left"/>
      <w:pPr>
        <w:ind w:left="644" w:hanging="360"/>
      </w:pPr>
      <w:rPr>
        <w:rFonts w:eastAsiaTheme="minorHAnsi"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26" w15:restartNumberingAfterBreak="0">
    <w:nsid w:val="40C331C9"/>
    <w:multiLevelType w:val="hybridMultilevel"/>
    <w:tmpl w:val="2ECA84D0"/>
    <w:lvl w:ilvl="0" w:tplc="547EFEFA">
      <w:start w:val="1"/>
      <w:numFmt w:val="decimal"/>
      <w:lvlText w:val="%1."/>
      <w:lvlJc w:val="left"/>
      <w:pPr>
        <w:ind w:left="709" w:hanging="360"/>
      </w:pPr>
      <w:rPr>
        <w:rFonts w:hint="default"/>
      </w:rPr>
    </w:lvl>
    <w:lvl w:ilvl="1" w:tplc="040E0019" w:tentative="1">
      <w:start w:val="1"/>
      <w:numFmt w:val="lowerLetter"/>
      <w:lvlText w:val="%2."/>
      <w:lvlJc w:val="left"/>
      <w:pPr>
        <w:ind w:left="1069" w:hanging="360"/>
      </w:pPr>
    </w:lvl>
    <w:lvl w:ilvl="2" w:tplc="040E001B" w:tentative="1">
      <w:start w:val="1"/>
      <w:numFmt w:val="lowerRoman"/>
      <w:lvlText w:val="%3."/>
      <w:lvlJc w:val="right"/>
      <w:pPr>
        <w:ind w:left="1789" w:hanging="180"/>
      </w:pPr>
    </w:lvl>
    <w:lvl w:ilvl="3" w:tplc="040E000F" w:tentative="1">
      <w:start w:val="1"/>
      <w:numFmt w:val="decimal"/>
      <w:lvlText w:val="%4."/>
      <w:lvlJc w:val="left"/>
      <w:pPr>
        <w:ind w:left="2509" w:hanging="360"/>
      </w:pPr>
    </w:lvl>
    <w:lvl w:ilvl="4" w:tplc="040E0019" w:tentative="1">
      <w:start w:val="1"/>
      <w:numFmt w:val="lowerLetter"/>
      <w:lvlText w:val="%5."/>
      <w:lvlJc w:val="left"/>
      <w:pPr>
        <w:ind w:left="3229" w:hanging="360"/>
      </w:pPr>
    </w:lvl>
    <w:lvl w:ilvl="5" w:tplc="040E001B" w:tentative="1">
      <w:start w:val="1"/>
      <w:numFmt w:val="lowerRoman"/>
      <w:lvlText w:val="%6."/>
      <w:lvlJc w:val="right"/>
      <w:pPr>
        <w:ind w:left="3949" w:hanging="180"/>
      </w:pPr>
    </w:lvl>
    <w:lvl w:ilvl="6" w:tplc="040E000F" w:tentative="1">
      <w:start w:val="1"/>
      <w:numFmt w:val="decimal"/>
      <w:lvlText w:val="%7."/>
      <w:lvlJc w:val="left"/>
      <w:pPr>
        <w:ind w:left="4669" w:hanging="360"/>
      </w:pPr>
    </w:lvl>
    <w:lvl w:ilvl="7" w:tplc="040E0019" w:tentative="1">
      <w:start w:val="1"/>
      <w:numFmt w:val="lowerLetter"/>
      <w:lvlText w:val="%8."/>
      <w:lvlJc w:val="left"/>
      <w:pPr>
        <w:ind w:left="5389" w:hanging="360"/>
      </w:pPr>
    </w:lvl>
    <w:lvl w:ilvl="8" w:tplc="040E001B" w:tentative="1">
      <w:start w:val="1"/>
      <w:numFmt w:val="lowerRoman"/>
      <w:lvlText w:val="%9."/>
      <w:lvlJc w:val="right"/>
      <w:pPr>
        <w:ind w:left="6109" w:hanging="180"/>
      </w:pPr>
    </w:lvl>
  </w:abstractNum>
  <w:abstractNum w:abstractNumId="427" w15:restartNumberingAfterBreak="0">
    <w:nsid w:val="40E84716"/>
    <w:multiLevelType w:val="multilevel"/>
    <w:tmpl w:val="0A3C1386"/>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28" w15:restartNumberingAfterBreak="0">
    <w:nsid w:val="40F077F1"/>
    <w:multiLevelType w:val="hybridMultilevel"/>
    <w:tmpl w:val="779E7934"/>
    <w:lvl w:ilvl="0" w:tplc="0E705CD2">
      <w:start w:val="1"/>
      <w:numFmt w:val="decimal"/>
      <w:lvlText w:val="%1."/>
      <w:lvlJc w:val="left"/>
      <w:pPr>
        <w:ind w:left="720" w:hanging="360"/>
      </w:pPr>
      <w:rPr>
        <w:rFonts w:eastAsiaTheme="minorHAnsi"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29" w15:restartNumberingAfterBreak="0">
    <w:nsid w:val="40FC4845"/>
    <w:multiLevelType w:val="hybridMultilevel"/>
    <w:tmpl w:val="6126463C"/>
    <w:lvl w:ilvl="0" w:tplc="33C8F0AC">
      <w:start w:val="1"/>
      <w:numFmt w:val="decimal"/>
      <w:lvlText w:val="%1."/>
      <w:lvlJc w:val="left"/>
      <w:pPr>
        <w:ind w:left="709" w:hanging="360"/>
      </w:pPr>
      <w:rPr>
        <w:rFonts w:hint="default"/>
      </w:rPr>
    </w:lvl>
    <w:lvl w:ilvl="1" w:tplc="040E0019" w:tentative="1">
      <w:start w:val="1"/>
      <w:numFmt w:val="lowerLetter"/>
      <w:lvlText w:val="%2."/>
      <w:lvlJc w:val="left"/>
      <w:pPr>
        <w:ind w:left="1069" w:hanging="360"/>
      </w:pPr>
    </w:lvl>
    <w:lvl w:ilvl="2" w:tplc="040E001B" w:tentative="1">
      <w:start w:val="1"/>
      <w:numFmt w:val="lowerRoman"/>
      <w:lvlText w:val="%3."/>
      <w:lvlJc w:val="right"/>
      <w:pPr>
        <w:ind w:left="1789" w:hanging="180"/>
      </w:pPr>
    </w:lvl>
    <w:lvl w:ilvl="3" w:tplc="040E000F" w:tentative="1">
      <w:start w:val="1"/>
      <w:numFmt w:val="decimal"/>
      <w:lvlText w:val="%4."/>
      <w:lvlJc w:val="left"/>
      <w:pPr>
        <w:ind w:left="2509" w:hanging="360"/>
      </w:pPr>
    </w:lvl>
    <w:lvl w:ilvl="4" w:tplc="040E0019" w:tentative="1">
      <w:start w:val="1"/>
      <w:numFmt w:val="lowerLetter"/>
      <w:lvlText w:val="%5."/>
      <w:lvlJc w:val="left"/>
      <w:pPr>
        <w:ind w:left="3229" w:hanging="360"/>
      </w:pPr>
    </w:lvl>
    <w:lvl w:ilvl="5" w:tplc="040E001B" w:tentative="1">
      <w:start w:val="1"/>
      <w:numFmt w:val="lowerRoman"/>
      <w:lvlText w:val="%6."/>
      <w:lvlJc w:val="right"/>
      <w:pPr>
        <w:ind w:left="3949" w:hanging="180"/>
      </w:pPr>
    </w:lvl>
    <w:lvl w:ilvl="6" w:tplc="040E000F" w:tentative="1">
      <w:start w:val="1"/>
      <w:numFmt w:val="decimal"/>
      <w:lvlText w:val="%7."/>
      <w:lvlJc w:val="left"/>
      <w:pPr>
        <w:ind w:left="4669" w:hanging="360"/>
      </w:pPr>
    </w:lvl>
    <w:lvl w:ilvl="7" w:tplc="040E0019" w:tentative="1">
      <w:start w:val="1"/>
      <w:numFmt w:val="lowerLetter"/>
      <w:lvlText w:val="%8."/>
      <w:lvlJc w:val="left"/>
      <w:pPr>
        <w:ind w:left="5389" w:hanging="360"/>
      </w:pPr>
    </w:lvl>
    <w:lvl w:ilvl="8" w:tplc="040E001B" w:tentative="1">
      <w:start w:val="1"/>
      <w:numFmt w:val="lowerRoman"/>
      <w:lvlText w:val="%9."/>
      <w:lvlJc w:val="right"/>
      <w:pPr>
        <w:ind w:left="6109" w:hanging="180"/>
      </w:pPr>
    </w:lvl>
  </w:abstractNum>
  <w:abstractNum w:abstractNumId="430" w15:restartNumberingAfterBreak="0">
    <w:nsid w:val="410F1802"/>
    <w:multiLevelType w:val="multilevel"/>
    <w:tmpl w:val="34D08CEA"/>
    <w:lvl w:ilvl="0">
      <w:start w:val="12"/>
      <w:numFmt w:val="decimal"/>
      <w:lvlText w:val="%1"/>
      <w:lvlJc w:val="left"/>
      <w:pPr>
        <w:ind w:left="540" w:hanging="540"/>
      </w:pPr>
      <w:rPr>
        <w:rFonts w:hint="default"/>
      </w:rPr>
    </w:lvl>
    <w:lvl w:ilvl="1">
      <w:start w:val="1"/>
      <w:numFmt w:val="decimal"/>
      <w:lvlText w:val="%1.%2"/>
      <w:lvlJc w:val="left"/>
      <w:pPr>
        <w:ind w:left="1249" w:hanging="540"/>
      </w:pPr>
      <w:rPr>
        <w:rFonts w:hint="default"/>
        <w:b/>
        <w:i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431" w15:restartNumberingAfterBreak="0">
    <w:nsid w:val="41151307"/>
    <w:multiLevelType w:val="hybridMultilevel"/>
    <w:tmpl w:val="718694F8"/>
    <w:lvl w:ilvl="0" w:tplc="D12E60C2">
      <w:start w:val="1"/>
      <w:numFmt w:val="decimal"/>
      <w:lvlText w:val="%1."/>
      <w:lvlJc w:val="left"/>
      <w:pPr>
        <w:ind w:left="720" w:hanging="360"/>
      </w:pPr>
      <w:rPr>
        <w:rFonts w:eastAsiaTheme="minorHAnsi"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32" w15:restartNumberingAfterBreak="0">
    <w:nsid w:val="41371CD1"/>
    <w:multiLevelType w:val="hybridMultilevel"/>
    <w:tmpl w:val="72824B84"/>
    <w:lvl w:ilvl="0" w:tplc="F90AA5CA">
      <w:numFmt w:val="bullet"/>
      <w:lvlText w:val="-"/>
      <w:lvlJc w:val="left"/>
      <w:pPr>
        <w:ind w:left="1145" w:hanging="360"/>
      </w:pPr>
      <w:rPr>
        <w:rFonts w:ascii="Times New Roman" w:eastAsia="Times New Roman" w:hAnsi="Times New Roman" w:cs="Times New Roman" w:hint="default"/>
      </w:rPr>
    </w:lvl>
    <w:lvl w:ilvl="1" w:tplc="040E0003">
      <w:start w:val="1"/>
      <w:numFmt w:val="bullet"/>
      <w:lvlText w:val="o"/>
      <w:lvlJc w:val="left"/>
      <w:pPr>
        <w:ind w:left="1865" w:hanging="360"/>
      </w:pPr>
      <w:rPr>
        <w:rFonts w:ascii="Courier New" w:hAnsi="Courier New" w:cs="Courier New" w:hint="default"/>
      </w:rPr>
    </w:lvl>
    <w:lvl w:ilvl="2" w:tplc="040E0005">
      <w:start w:val="1"/>
      <w:numFmt w:val="bullet"/>
      <w:lvlText w:val=""/>
      <w:lvlJc w:val="left"/>
      <w:pPr>
        <w:ind w:left="2585" w:hanging="360"/>
      </w:pPr>
      <w:rPr>
        <w:rFonts w:ascii="Wingdings" w:hAnsi="Wingdings" w:hint="default"/>
      </w:rPr>
    </w:lvl>
    <w:lvl w:ilvl="3" w:tplc="040E0001">
      <w:start w:val="1"/>
      <w:numFmt w:val="bullet"/>
      <w:lvlText w:val=""/>
      <w:lvlJc w:val="left"/>
      <w:pPr>
        <w:ind w:left="3305" w:hanging="360"/>
      </w:pPr>
      <w:rPr>
        <w:rFonts w:ascii="Symbol" w:hAnsi="Symbol" w:hint="default"/>
      </w:rPr>
    </w:lvl>
    <w:lvl w:ilvl="4" w:tplc="040E0003">
      <w:start w:val="1"/>
      <w:numFmt w:val="bullet"/>
      <w:lvlText w:val="o"/>
      <w:lvlJc w:val="left"/>
      <w:pPr>
        <w:ind w:left="4025" w:hanging="360"/>
      </w:pPr>
      <w:rPr>
        <w:rFonts w:ascii="Courier New" w:hAnsi="Courier New" w:cs="Courier New" w:hint="default"/>
      </w:rPr>
    </w:lvl>
    <w:lvl w:ilvl="5" w:tplc="040E0005">
      <w:start w:val="1"/>
      <w:numFmt w:val="bullet"/>
      <w:lvlText w:val=""/>
      <w:lvlJc w:val="left"/>
      <w:pPr>
        <w:ind w:left="4745" w:hanging="360"/>
      </w:pPr>
      <w:rPr>
        <w:rFonts w:ascii="Wingdings" w:hAnsi="Wingdings" w:hint="default"/>
      </w:rPr>
    </w:lvl>
    <w:lvl w:ilvl="6" w:tplc="040E0001">
      <w:start w:val="1"/>
      <w:numFmt w:val="bullet"/>
      <w:lvlText w:val=""/>
      <w:lvlJc w:val="left"/>
      <w:pPr>
        <w:ind w:left="5465" w:hanging="360"/>
      </w:pPr>
      <w:rPr>
        <w:rFonts w:ascii="Symbol" w:hAnsi="Symbol" w:hint="default"/>
      </w:rPr>
    </w:lvl>
    <w:lvl w:ilvl="7" w:tplc="040E0003">
      <w:start w:val="1"/>
      <w:numFmt w:val="bullet"/>
      <w:lvlText w:val="o"/>
      <w:lvlJc w:val="left"/>
      <w:pPr>
        <w:ind w:left="6185" w:hanging="360"/>
      </w:pPr>
      <w:rPr>
        <w:rFonts w:ascii="Courier New" w:hAnsi="Courier New" w:cs="Courier New" w:hint="default"/>
      </w:rPr>
    </w:lvl>
    <w:lvl w:ilvl="8" w:tplc="040E0005">
      <w:start w:val="1"/>
      <w:numFmt w:val="bullet"/>
      <w:lvlText w:val=""/>
      <w:lvlJc w:val="left"/>
      <w:pPr>
        <w:ind w:left="6905" w:hanging="360"/>
      </w:pPr>
      <w:rPr>
        <w:rFonts w:ascii="Wingdings" w:hAnsi="Wingdings" w:hint="default"/>
      </w:rPr>
    </w:lvl>
  </w:abstractNum>
  <w:abstractNum w:abstractNumId="433" w15:restartNumberingAfterBreak="0">
    <w:nsid w:val="4193599F"/>
    <w:multiLevelType w:val="hybridMultilevel"/>
    <w:tmpl w:val="CBA89656"/>
    <w:lvl w:ilvl="0" w:tplc="DB46B5BC">
      <w:start w:val="1"/>
      <w:numFmt w:val="decimal"/>
      <w:lvlText w:val="%1."/>
      <w:lvlJc w:val="left"/>
      <w:pPr>
        <w:ind w:left="101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34" w15:restartNumberingAfterBreak="0">
    <w:nsid w:val="41F35B92"/>
    <w:multiLevelType w:val="hybridMultilevel"/>
    <w:tmpl w:val="87400526"/>
    <w:lvl w:ilvl="0" w:tplc="F90AA5CA">
      <w:numFmt w:val="bullet"/>
      <w:lvlText w:val="-"/>
      <w:lvlJc w:val="left"/>
      <w:pPr>
        <w:ind w:left="1146" w:hanging="360"/>
      </w:pPr>
      <w:rPr>
        <w:rFonts w:ascii="Times New Roman" w:eastAsia="Times New Roman" w:hAnsi="Times New Roman"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435" w15:restartNumberingAfterBreak="0">
    <w:nsid w:val="421567D8"/>
    <w:multiLevelType w:val="hybridMultilevel"/>
    <w:tmpl w:val="0A1AF294"/>
    <w:lvl w:ilvl="0" w:tplc="BBA42A36">
      <w:numFmt w:val="bullet"/>
      <w:lvlText w:val="-"/>
      <w:lvlJc w:val="left"/>
      <w:pPr>
        <w:ind w:left="360" w:hanging="360"/>
      </w:pPr>
      <w:rPr>
        <w:rFonts w:ascii="Cambria" w:eastAsia="Calibri" w:hAnsi="Cambria" w:cs="Times New Roman"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436" w15:restartNumberingAfterBreak="0">
    <w:nsid w:val="42241449"/>
    <w:multiLevelType w:val="hybridMultilevel"/>
    <w:tmpl w:val="BB449FDE"/>
    <w:lvl w:ilvl="0" w:tplc="68A01E72">
      <w:start w:val="1"/>
      <w:numFmt w:val="decimal"/>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37" w15:restartNumberingAfterBreak="0">
    <w:nsid w:val="422F594E"/>
    <w:multiLevelType w:val="multilevel"/>
    <w:tmpl w:val="A2F0596E"/>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38" w15:restartNumberingAfterBreak="0">
    <w:nsid w:val="42417961"/>
    <w:multiLevelType w:val="hybridMultilevel"/>
    <w:tmpl w:val="80A26750"/>
    <w:lvl w:ilvl="0" w:tplc="EA3CBF18">
      <w:start w:val="1"/>
      <w:numFmt w:val="decimal"/>
      <w:lvlText w:val="%1."/>
      <w:lvlJc w:val="left"/>
      <w:pPr>
        <w:ind w:left="786" w:hanging="360"/>
      </w:pPr>
      <w:rPr>
        <w:rFonts w:hint="default"/>
      </w:rPr>
    </w:lvl>
    <w:lvl w:ilvl="1" w:tplc="040E0019" w:tentative="1">
      <w:start w:val="1"/>
      <w:numFmt w:val="lowerLetter"/>
      <w:lvlText w:val="%2."/>
      <w:lvlJc w:val="left"/>
      <w:pPr>
        <w:ind w:left="1506" w:hanging="360"/>
      </w:pPr>
    </w:lvl>
    <w:lvl w:ilvl="2" w:tplc="040E001B" w:tentative="1">
      <w:start w:val="1"/>
      <w:numFmt w:val="lowerRoman"/>
      <w:lvlText w:val="%3."/>
      <w:lvlJc w:val="right"/>
      <w:pPr>
        <w:ind w:left="2226" w:hanging="180"/>
      </w:pPr>
    </w:lvl>
    <w:lvl w:ilvl="3" w:tplc="040E000F" w:tentative="1">
      <w:start w:val="1"/>
      <w:numFmt w:val="decimal"/>
      <w:lvlText w:val="%4."/>
      <w:lvlJc w:val="left"/>
      <w:pPr>
        <w:ind w:left="2946" w:hanging="360"/>
      </w:pPr>
    </w:lvl>
    <w:lvl w:ilvl="4" w:tplc="040E0019" w:tentative="1">
      <w:start w:val="1"/>
      <w:numFmt w:val="lowerLetter"/>
      <w:lvlText w:val="%5."/>
      <w:lvlJc w:val="left"/>
      <w:pPr>
        <w:ind w:left="3666" w:hanging="360"/>
      </w:pPr>
    </w:lvl>
    <w:lvl w:ilvl="5" w:tplc="040E001B" w:tentative="1">
      <w:start w:val="1"/>
      <w:numFmt w:val="lowerRoman"/>
      <w:lvlText w:val="%6."/>
      <w:lvlJc w:val="right"/>
      <w:pPr>
        <w:ind w:left="4386" w:hanging="180"/>
      </w:pPr>
    </w:lvl>
    <w:lvl w:ilvl="6" w:tplc="040E000F" w:tentative="1">
      <w:start w:val="1"/>
      <w:numFmt w:val="decimal"/>
      <w:lvlText w:val="%7."/>
      <w:lvlJc w:val="left"/>
      <w:pPr>
        <w:ind w:left="5106" w:hanging="360"/>
      </w:pPr>
    </w:lvl>
    <w:lvl w:ilvl="7" w:tplc="040E0019" w:tentative="1">
      <w:start w:val="1"/>
      <w:numFmt w:val="lowerLetter"/>
      <w:lvlText w:val="%8."/>
      <w:lvlJc w:val="left"/>
      <w:pPr>
        <w:ind w:left="5826" w:hanging="360"/>
      </w:pPr>
    </w:lvl>
    <w:lvl w:ilvl="8" w:tplc="040E001B" w:tentative="1">
      <w:start w:val="1"/>
      <w:numFmt w:val="lowerRoman"/>
      <w:lvlText w:val="%9."/>
      <w:lvlJc w:val="right"/>
      <w:pPr>
        <w:ind w:left="6546" w:hanging="180"/>
      </w:pPr>
    </w:lvl>
  </w:abstractNum>
  <w:abstractNum w:abstractNumId="439" w15:restartNumberingAfterBreak="0">
    <w:nsid w:val="42B00A4A"/>
    <w:multiLevelType w:val="hybridMultilevel"/>
    <w:tmpl w:val="CC0EE3B8"/>
    <w:lvl w:ilvl="0" w:tplc="040E000F">
      <w:start w:val="1"/>
      <w:numFmt w:val="decimal"/>
      <w:lvlText w:val="%1."/>
      <w:lvlJc w:val="left"/>
      <w:pPr>
        <w:ind w:left="720" w:hanging="360"/>
      </w:p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440" w15:restartNumberingAfterBreak="0">
    <w:nsid w:val="42BE2294"/>
    <w:multiLevelType w:val="hybridMultilevel"/>
    <w:tmpl w:val="64EC0742"/>
    <w:lvl w:ilvl="0" w:tplc="80780948">
      <w:start w:val="1"/>
      <w:numFmt w:val="decimal"/>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41" w15:restartNumberingAfterBreak="0">
    <w:nsid w:val="42E21718"/>
    <w:multiLevelType w:val="hybridMultilevel"/>
    <w:tmpl w:val="5BB6DE2A"/>
    <w:lvl w:ilvl="0" w:tplc="A5285D10">
      <w:start w:val="1"/>
      <w:numFmt w:val="decimal"/>
      <w:lvlText w:val="%1."/>
      <w:lvlJc w:val="left"/>
      <w:pPr>
        <w:ind w:left="720" w:hanging="360"/>
      </w:pPr>
      <w:rPr>
        <w:rFonts w:eastAsiaTheme="minorHAnsi"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42" w15:restartNumberingAfterBreak="0">
    <w:nsid w:val="42FF5FEB"/>
    <w:multiLevelType w:val="hybridMultilevel"/>
    <w:tmpl w:val="7E46D8AE"/>
    <w:lvl w:ilvl="0" w:tplc="F29CF34C">
      <w:start w:val="1"/>
      <w:numFmt w:val="bullet"/>
      <w:lvlText w:val=""/>
      <w:lvlJc w:val="left"/>
      <w:pPr>
        <w:ind w:left="1145" w:hanging="360"/>
      </w:pPr>
      <w:rPr>
        <w:rFonts w:ascii="Symbol" w:hAnsi="Symbol" w:hint="default"/>
      </w:rPr>
    </w:lvl>
    <w:lvl w:ilvl="1" w:tplc="040E0003">
      <w:start w:val="1"/>
      <w:numFmt w:val="bullet"/>
      <w:lvlText w:val="o"/>
      <w:lvlJc w:val="left"/>
      <w:pPr>
        <w:ind w:left="1865" w:hanging="360"/>
      </w:pPr>
      <w:rPr>
        <w:rFonts w:ascii="Courier New" w:hAnsi="Courier New" w:cs="Courier New" w:hint="default"/>
      </w:rPr>
    </w:lvl>
    <w:lvl w:ilvl="2" w:tplc="040E0005">
      <w:start w:val="1"/>
      <w:numFmt w:val="bullet"/>
      <w:lvlText w:val=""/>
      <w:lvlJc w:val="left"/>
      <w:pPr>
        <w:ind w:left="2585" w:hanging="360"/>
      </w:pPr>
      <w:rPr>
        <w:rFonts w:ascii="Wingdings" w:hAnsi="Wingdings" w:hint="default"/>
      </w:rPr>
    </w:lvl>
    <w:lvl w:ilvl="3" w:tplc="040E0001">
      <w:start w:val="1"/>
      <w:numFmt w:val="bullet"/>
      <w:lvlText w:val=""/>
      <w:lvlJc w:val="left"/>
      <w:pPr>
        <w:ind w:left="3305" w:hanging="360"/>
      </w:pPr>
      <w:rPr>
        <w:rFonts w:ascii="Symbol" w:hAnsi="Symbol" w:hint="default"/>
      </w:rPr>
    </w:lvl>
    <w:lvl w:ilvl="4" w:tplc="040E0003">
      <w:start w:val="1"/>
      <w:numFmt w:val="bullet"/>
      <w:lvlText w:val="o"/>
      <w:lvlJc w:val="left"/>
      <w:pPr>
        <w:ind w:left="4025" w:hanging="360"/>
      </w:pPr>
      <w:rPr>
        <w:rFonts w:ascii="Courier New" w:hAnsi="Courier New" w:cs="Courier New" w:hint="default"/>
      </w:rPr>
    </w:lvl>
    <w:lvl w:ilvl="5" w:tplc="040E0005">
      <w:start w:val="1"/>
      <w:numFmt w:val="bullet"/>
      <w:lvlText w:val=""/>
      <w:lvlJc w:val="left"/>
      <w:pPr>
        <w:ind w:left="4745" w:hanging="360"/>
      </w:pPr>
      <w:rPr>
        <w:rFonts w:ascii="Wingdings" w:hAnsi="Wingdings" w:hint="default"/>
      </w:rPr>
    </w:lvl>
    <w:lvl w:ilvl="6" w:tplc="040E0001">
      <w:start w:val="1"/>
      <w:numFmt w:val="bullet"/>
      <w:lvlText w:val=""/>
      <w:lvlJc w:val="left"/>
      <w:pPr>
        <w:ind w:left="5465" w:hanging="360"/>
      </w:pPr>
      <w:rPr>
        <w:rFonts w:ascii="Symbol" w:hAnsi="Symbol" w:hint="default"/>
      </w:rPr>
    </w:lvl>
    <w:lvl w:ilvl="7" w:tplc="040E0003">
      <w:start w:val="1"/>
      <w:numFmt w:val="bullet"/>
      <w:lvlText w:val="o"/>
      <w:lvlJc w:val="left"/>
      <w:pPr>
        <w:ind w:left="6185" w:hanging="360"/>
      </w:pPr>
      <w:rPr>
        <w:rFonts w:ascii="Courier New" w:hAnsi="Courier New" w:cs="Courier New" w:hint="default"/>
      </w:rPr>
    </w:lvl>
    <w:lvl w:ilvl="8" w:tplc="040E0005">
      <w:start w:val="1"/>
      <w:numFmt w:val="bullet"/>
      <w:lvlText w:val=""/>
      <w:lvlJc w:val="left"/>
      <w:pPr>
        <w:ind w:left="6905" w:hanging="360"/>
      </w:pPr>
      <w:rPr>
        <w:rFonts w:ascii="Wingdings" w:hAnsi="Wingdings" w:hint="default"/>
      </w:rPr>
    </w:lvl>
  </w:abstractNum>
  <w:abstractNum w:abstractNumId="443" w15:restartNumberingAfterBreak="0">
    <w:nsid w:val="4329498C"/>
    <w:multiLevelType w:val="hybridMultilevel"/>
    <w:tmpl w:val="8DD6E79A"/>
    <w:lvl w:ilvl="0" w:tplc="F29CF34C">
      <w:start w:val="1"/>
      <w:numFmt w:val="bullet"/>
      <w:lvlText w:val=""/>
      <w:lvlJc w:val="left"/>
      <w:pPr>
        <w:ind w:left="1146" w:hanging="360"/>
      </w:pPr>
      <w:rPr>
        <w:rFonts w:ascii="Symbol" w:hAnsi="Symbol" w:hint="default"/>
      </w:rPr>
    </w:lvl>
    <w:lvl w:ilvl="1" w:tplc="040E0003">
      <w:start w:val="1"/>
      <w:numFmt w:val="bullet"/>
      <w:lvlText w:val="o"/>
      <w:lvlJc w:val="left"/>
      <w:pPr>
        <w:ind w:left="1866" w:hanging="360"/>
      </w:pPr>
      <w:rPr>
        <w:rFonts w:ascii="Courier New" w:hAnsi="Courier New" w:cs="Courier New" w:hint="default"/>
      </w:rPr>
    </w:lvl>
    <w:lvl w:ilvl="2" w:tplc="040E0005">
      <w:start w:val="1"/>
      <w:numFmt w:val="bullet"/>
      <w:lvlText w:val=""/>
      <w:lvlJc w:val="left"/>
      <w:pPr>
        <w:ind w:left="2586" w:hanging="360"/>
      </w:pPr>
      <w:rPr>
        <w:rFonts w:ascii="Wingdings" w:hAnsi="Wingdings" w:hint="default"/>
      </w:rPr>
    </w:lvl>
    <w:lvl w:ilvl="3" w:tplc="040E0001">
      <w:start w:val="1"/>
      <w:numFmt w:val="bullet"/>
      <w:lvlText w:val=""/>
      <w:lvlJc w:val="left"/>
      <w:pPr>
        <w:ind w:left="3306" w:hanging="360"/>
      </w:pPr>
      <w:rPr>
        <w:rFonts w:ascii="Symbol" w:hAnsi="Symbol" w:hint="default"/>
      </w:rPr>
    </w:lvl>
    <w:lvl w:ilvl="4" w:tplc="040E0003">
      <w:start w:val="1"/>
      <w:numFmt w:val="bullet"/>
      <w:lvlText w:val="o"/>
      <w:lvlJc w:val="left"/>
      <w:pPr>
        <w:ind w:left="4026" w:hanging="360"/>
      </w:pPr>
      <w:rPr>
        <w:rFonts w:ascii="Courier New" w:hAnsi="Courier New" w:cs="Courier New" w:hint="default"/>
      </w:rPr>
    </w:lvl>
    <w:lvl w:ilvl="5" w:tplc="040E0005">
      <w:start w:val="1"/>
      <w:numFmt w:val="bullet"/>
      <w:lvlText w:val=""/>
      <w:lvlJc w:val="left"/>
      <w:pPr>
        <w:ind w:left="4746" w:hanging="360"/>
      </w:pPr>
      <w:rPr>
        <w:rFonts w:ascii="Wingdings" w:hAnsi="Wingdings" w:hint="default"/>
      </w:rPr>
    </w:lvl>
    <w:lvl w:ilvl="6" w:tplc="040E0001">
      <w:start w:val="1"/>
      <w:numFmt w:val="bullet"/>
      <w:lvlText w:val=""/>
      <w:lvlJc w:val="left"/>
      <w:pPr>
        <w:ind w:left="5466" w:hanging="360"/>
      </w:pPr>
      <w:rPr>
        <w:rFonts w:ascii="Symbol" w:hAnsi="Symbol" w:hint="default"/>
      </w:rPr>
    </w:lvl>
    <w:lvl w:ilvl="7" w:tplc="040E0003">
      <w:start w:val="1"/>
      <w:numFmt w:val="bullet"/>
      <w:lvlText w:val="o"/>
      <w:lvlJc w:val="left"/>
      <w:pPr>
        <w:ind w:left="6186" w:hanging="360"/>
      </w:pPr>
      <w:rPr>
        <w:rFonts w:ascii="Courier New" w:hAnsi="Courier New" w:cs="Courier New" w:hint="default"/>
      </w:rPr>
    </w:lvl>
    <w:lvl w:ilvl="8" w:tplc="040E0005">
      <w:start w:val="1"/>
      <w:numFmt w:val="bullet"/>
      <w:lvlText w:val=""/>
      <w:lvlJc w:val="left"/>
      <w:pPr>
        <w:ind w:left="6906" w:hanging="360"/>
      </w:pPr>
      <w:rPr>
        <w:rFonts w:ascii="Wingdings" w:hAnsi="Wingdings" w:hint="default"/>
      </w:rPr>
    </w:lvl>
  </w:abstractNum>
  <w:abstractNum w:abstractNumId="444" w15:restartNumberingAfterBreak="0">
    <w:nsid w:val="435D0039"/>
    <w:multiLevelType w:val="hybridMultilevel"/>
    <w:tmpl w:val="53CE9E6A"/>
    <w:lvl w:ilvl="0" w:tplc="501CBBCE">
      <w:start w:val="1"/>
      <w:numFmt w:val="decimal"/>
      <w:lvlText w:val="%1."/>
      <w:lvlJc w:val="left"/>
      <w:pPr>
        <w:ind w:left="1353" w:hanging="360"/>
      </w:pPr>
      <w:rPr>
        <w:rFonts w:hint="default"/>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45" w15:restartNumberingAfterBreak="0">
    <w:nsid w:val="43625532"/>
    <w:multiLevelType w:val="multilevel"/>
    <w:tmpl w:val="67CA0D94"/>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i w:val="0"/>
      </w:rPr>
    </w:lvl>
    <w:lvl w:ilvl="2">
      <w:start w:val="1"/>
      <w:numFmt w:val="decimal"/>
      <w:lvlText w:val="%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46" w15:restartNumberingAfterBreak="0">
    <w:nsid w:val="43B06DE0"/>
    <w:multiLevelType w:val="hybridMultilevel"/>
    <w:tmpl w:val="087252BC"/>
    <w:lvl w:ilvl="0" w:tplc="9E4411D6">
      <w:start w:val="1"/>
      <w:numFmt w:val="bullet"/>
      <w:lvlText w:val="-"/>
      <w:lvlJc w:val="left"/>
      <w:pPr>
        <w:ind w:left="1146" w:hanging="360"/>
      </w:pPr>
      <w:rPr>
        <w:rFonts w:ascii="Calibri" w:hAnsi="Calibri" w:hint="default"/>
      </w:rPr>
    </w:lvl>
    <w:lvl w:ilvl="1" w:tplc="040E0003">
      <w:start w:val="1"/>
      <w:numFmt w:val="bullet"/>
      <w:lvlText w:val="o"/>
      <w:lvlJc w:val="left"/>
      <w:pPr>
        <w:ind w:left="1866" w:hanging="360"/>
      </w:pPr>
      <w:rPr>
        <w:rFonts w:ascii="Courier New" w:hAnsi="Courier New" w:cs="Courier New" w:hint="default"/>
      </w:rPr>
    </w:lvl>
    <w:lvl w:ilvl="2" w:tplc="040E0005">
      <w:start w:val="1"/>
      <w:numFmt w:val="bullet"/>
      <w:lvlText w:val=""/>
      <w:lvlJc w:val="left"/>
      <w:pPr>
        <w:ind w:left="2586" w:hanging="360"/>
      </w:pPr>
      <w:rPr>
        <w:rFonts w:ascii="Wingdings" w:hAnsi="Wingdings" w:hint="default"/>
      </w:rPr>
    </w:lvl>
    <w:lvl w:ilvl="3" w:tplc="040E0001">
      <w:start w:val="1"/>
      <w:numFmt w:val="bullet"/>
      <w:lvlText w:val=""/>
      <w:lvlJc w:val="left"/>
      <w:pPr>
        <w:ind w:left="3306" w:hanging="360"/>
      </w:pPr>
      <w:rPr>
        <w:rFonts w:ascii="Symbol" w:hAnsi="Symbol" w:hint="default"/>
      </w:rPr>
    </w:lvl>
    <w:lvl w:ilvl="4" w:tplc="040E0003">
      <w:start w:val="1"/>
      <w:numFmt w:val="bullet"/>
      <w:lvlText w:val="o"/>
      <w:lvlJc w:val="left"/>
      <w:pPr>
        <w:ind w:left="4026" w:hanging="360"/>
      </w:pPr>
      <w:rPr>
        <w:rFonts w:ascii="Courier New" w:hAnsi="Courier New" w:cs="Courier New" w:hint="default"/>
      </w:rPr>
    </w:lvl>
    <w:lvl w:ilvl="5" w:tplc="040E0005">
      <w:start w:val="1"/>
      <w:numFmt w:val="bullet"/>
      <w:lvlText w:val=""/>
      <w:lvlJc w:val="left"/>
      <w:pPr>
        <w:ind w:left="4746" w:hanging="360"/>
      </w:pPr>
      <w:rPr>
        <w:rFonts w:ascii="Wingdings" w:hAnsi="Wingdings" w:hint="default"/>
      </w:rPr>
    </w:lvl>
    <w:lvl w:ilvl="6" w:tplc="040E0001">
      <w:start w:val="1"/>
      <w:numFmt w:val="bullet"/>
      <w:lvlText w:val=""/>
      <w:lvlJc w:val="left"/>
      <w:pPr>
        <w:ind w:left="5466" w:hanging="360"/>
      </w:pPr>
      <w:rPr>
        <w:rFonts w:ascii="Symbol" w:hAnsi="Symbol" w:hint="default"/>
      </w:rPr>
    </w:lvl>
    <w:lvl w:ilvl="7" w:tplc="040E0003">
      <w:start w:val="1"/>
      <w:numFmt w:val="bullet"/>
      <w:lvlText w:val="o"/>
      <w:lvlJc w:val="left"/>
      <w:pPr>
        <w:ind w:left="6186" w:hanging="360"/>
      </w:pPr>
      <w:rPr>
        <w:rFonts w:ascii="Courier New" w:hAnsi="Courier New" w:cs="Courier New" w:hint="default"/>
      </w:rPr>
    </w:lvl>
    <w:lvl w:ilvl="8" w:tplc="040E0005">
      <w:start w:val="1"/>
      <w:numFmt w:val="bullet"/>
      <w:lvlText w:val=""/>
      <w:lvlJc w:val="left"/>
      <w:pPr>
        <w:ind w:left="6906" w:hanging="360"/>
      </w:pPr>
      <w:rPr>
        <w:rFonts w:ascii="Wingdings" w:hAnsi="Wingdings" w:hint="default"/>
      </w:rPr>
    </w:lvl>
  </w:abstractNum>
  <w:abstractNum w:abstractNumId="447" w15:restartNumberingAfterBreak="0">
    <w:nsid w:val="43B35EFA"/>
    <w:multiLevelType w:val="hybridMultilevel"/>
    <w:tmpl w:val="F04E8942"/>
    <w:lvl w:ilvl="0" w:tplc="3C28209C">
      <w:start w:val="1"/>
      <w:numFmt w:val="decimal"/>
      <w:lvlText w:val="%1."/>
      <w:lvlJc w:val="left"/>
      <w:pPr>
        <w:ind w:left="1068" w:hanging="360"/>
      </w:pPr>
      <w:rPr>
        <w:rFonts w:eastAsiaTheme="minorHAnsi" w:hint="default"/>
      </w:rPr>
    </w:lvl>
    <w:lvl w:ilvl="1" w:tplc="040E0019" w:tentative="1">
      <w:start w:val="1"/>
      <w:numFmt w:val="lowerLetter"/>
      <w:lvlText w:val="%2."/>
      <w:lvlJc w:val="left"/>
      <w:pPr>
        <w:ind w:left="1864" w:hanging="360"/>
      </w:pPr>
    </w:lvl>
    <w:lvl w:ilvl="2" w:tplc="040E001B" w:tentative="1">
      <w:start w:val="1"/>
      <w:numFmt w:val="lowerRoman"/>
      <w:lvlText w:val="%3."/>
      <w:lvlJc w:val="right"/>
      <w:pPr>
        <w:ind w:left="2584" w:hanging="180"/>
      </w:pPr>
    </w:lvl>
    <w:lvl w:ilvl="3" w:tplc="040E000F" w:tentative="1">
      <w:start w:val="1"/>
      <w:numFmt w:val="decimal"/>
      <w:lvlText w:val="%4."/>
      <w:lvlJc w:val="left"/>
      <w:pPr>
        <w:ind w:left="3304" w:hanging="360"/>
      </w:pPr>
    </w:lvl>
    <w:lvl w:ilvl="4" w:tplc="040E0019" w:tentative="1">
      <w:start w:val="1"/>
      <w:numFmt w:val="lowerLetter"/>
      <w:lvlText w:val="%5."/>
      <w:lvlJc w:val="left"/>
      <w:pPr>
        <w:ind w:left="4024" w:hanging="360"/>
      </w:pPr>
    </w:lvl>
    <w:lvl w:ilvl="5" w:tplc="040E001B" w:tentative="1">
      <w:start w:val="1"/>
      <w:numFmt w:val="lowerRoman"/>
      <w:lvlText w:val="%6."/>
      <w:lvlJc w:val="right"/>
      <w:pPr>
        <w:ind w:left="4744" w:hanging="180"/>
      </w:pPr>
    </w:lvl>
    <w:lvl w:ilvl="6" w:tplc="040E000F" w:tentative="1">
      <w:start w:val="1"/>
      <w:numFmt w:val="decimal"/>
      <w:lvlText w:val="%7."/>
      <w:lvlJc w:val="left"/>
      <w:pPr>
        <w:ind w:left="5464" w:hanging="360"/>
      </w:pPr>
    </w:lvl>
    <w:lvl w:ilvl="7" w:tplc="040E0019" w:tentative="1">
      <w:start w:val="1"/>
      <w:numFmt w:val="lowerLetter"/>
      <w:lvlText w:val="%8."/>
      <w:lvlJc w:val="left"/>
      <w:pPr>
        <w:ind w:left="6184" w:hanging="360"/>
      </w:pPr>
    </w:lvl>
    <w:lvl w:ilvl="8" w:tplc="040E001B" w:tentative="1">
      <w:start w:val="1"/>
      <w:numFmt w:val="lowerRoman"/>
      <w:lvlText w:val="%9."/>
      <w:lvlJc w:val="right"/>
      <w:pPr>
        <w:ind w:left="6904" w:hanging="180"/>
      </w:pPr>
    </w:lvl>
  </w:abstractNum>
  <w:abstractNum w:abstractNumId="448" w15:restartNumberingAfterBreak="0">
    <w:nsid w:val="43BA79EE"/>
    <w:multiLevelType w:val="hybridMultilevel"/>
    <w:tmpl w:val="E24E5F16"/>
    <w:lvl w:ilvl="0" w:tplc="141AB210">
      <w:start w:val="1"/>
      <w:numFmt w:val="decimal"/>
      <w:lvlText w:val="%1."/>
      <w:lvlJc w:val="left"/>
      <w:pPr>
        <w:ind w:left="108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49" w15:restartNumberingAfterBreak="0">
    <w:nsid w:val="43F5462E"/>
    <w:multiLevelType w:val="hybridMultilevel"/>
    <w:tmpl w:val="390AA35A"/>
    <w:lvl w:ilvl="0" w:tplc="3664EB18">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50" w15:restartNumberingAfterBreak="0">
    <w:nsid w:val="440B2978"/>
    <w:multiLevelType w:val="multilevel"/>
    <w:tmpl w:val="10D295E4"/>
    <w:lvl w:ilvl="0">
      <w:start w:val="16"/>
      <w:numFmt w:val="decimal"/>
      <w:lvlText w:val="%1"/>
      <w:lvlJc w:val="left"/>
      <w:pPr>
        <w:ind w:left="420" w:hanging="420"/>
      </w:pPr>
      <w:rPr>
        <w:b/>
      </w:rPr>
    </w:lvl>
    <w:lvl w:ilvl="1">
      <w:start w:val="3"/>
      <w:numFmt w:val="decimal"/>
      <w:lvlText w:val="%1.%2"/>
      <w:lvlJc w:val="left"/>
      <w:pPr>
        <w:ind w:left="846" w:hanging="420"/>
      </w:pPr>
      <w:rPr>
        <w:b/>
      </w:rPr>
    </w:lvl>
    <w:lvl w:ilvl="2">
      <w:start w:val="1"/>
      <w:numFmt w:val="decimal"/>
      <w:lvlText w:val="%1.%2.%3"/>
      <w:lvlJc w:val="left"/>
      <w:pPr>
        <w:ind w:left="1572" w:hanging="720"/>
      </w:pPr>
      <w:rPr>
        <w:b/>
      </w:rPr>
    </w:lvl>
    <w:lvl w:ilvl="3">
      <w:start w:val="1"/>
      <w:numFmt w:val="decimal"/>
      <w:lvlText w:val="%1.%2.%3.%4"/>
      <w:lvlJc w:val="left"/>
      <w:pPr>
        <w:ind w:left="1998" w:hanging="720"/>
      </w:pPr>
      <w:rPr>
        <w:b/>
      </w:rPr>
    </w:lvl>
    <w:lvl w:ilvl="4">
      <w:start w:val="1"/>
      <w:numFmt w:val="decimal"/>
      <w:lvlText w:val="%1.%2.%3.%4.%5"/>
      <w:lvlJc w:val="left"/>
      <w:pPr>
        <w:ind w:left="2784" w:hanging="1080"/>
      </w:pPr>
      <w:rPr>
        <w:b/>
      </w:rPr>
    </w:lvl>
    <w:lvl w:ilvl="5">
      <w:start w:val="1"/>
      <w:numFmt w:val="decimal"/>
      <w:lvlText w:val="%1.%2.%3.%4.%5.%6"/>
      <w:lvlJc w:val="left"/>
      <w:pPr>
        <w:ind w:left="3210" w:hanging="1080"/>
      </w:pPr>
      <w:rPr>
        <w:b/>
      </w:rPr>
    </w:lvl>
    <w:lvl w:ilvl="6">
      <w:start w:val="1"/>
      <w:numFmt w:val="decimal"/>
      <w:lvlText w:val="%1.%2.%3.%4.%5.%6.%7"/>
      <w:lvlJc w:val="left"/>
      <w:pPr>
        <w:ind w:left="3996" w:hanging="1440"/>
      </w:pPr>
      <w:rPr>
        <w:b/>
      </w:rPr>
    </w:lvl>
    <w:lvl w:ilvl="7">
      <w:start w:val="1"/>
      <w:numFmt w:val="decimal"/>
      <w:lvlText w:val="%1.%2.%3.%4.%5.%6.%7.%8"/>
      <w:lvlJc w:val="left"/>
      <w:pPr>
        <w:ind w:left="4422" w:hanging="1440"/>
      </w:pPr>
      <w:rPr>
        <w:b/>
      </w:rPr>
    </w:lvl>
    <w:lvl w:ilvl="8">
      <w:start w:val="1"/>
      <w:numFmt w:val="decimal"/>
      <w:lvlText w:val="%1.%2.%3.%4.%5.%6.%7.%8.%9"/>
      <w:lvlJc w:val="left"/>
      <w:pPr>
        <w:ind w:left="5208" w:hanging="1800"/>
      </w:pPr>
      <w:rPr>
        <w:b/>
      </w:rPr>
    </w:lvl>
  </w:abstractNum>
  <w:abstractNum w:abstractNumId="451" w15:restartNumberingAfterBreak="0">
    <w:nsid w:val="443A3346"/>
    <w:multiLevelType w:val="hybridMultilevel"/>
    <w:tmpl w:val="DF7045B2"/>
    <w:lvl w:ilvl="0" w:tplc="F90AA5CA">
      <w:numFmt w:val="bullet"/>
      <w:lvlText w:val="-"/>
      <w:lvlJc w:val="left"/>
      <w:pPr>
        <w:ind w:left="1145" w:hanging="360"/>
      </w:pPr>
      <w:rPr>
        <w:rFonts w:ascii="Times New Roman" w:eastAsia="Times New Roman" w:hAnsi="Times New Roman"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452" w15:restartNumberingAfterBreak="0">
    <w:nsid w:val="443C6BB7"/>
    <w:multiLevelType w:val="hybridMultilevel"/>
    <w:tmpl w:val="4D368CEA"/>
    <w:lvl w:ilvl="0" w:tplc="F90AA5CA">
      <w:numFmt w:val="bullet"/>
      <w:lvlText w:val="-"/>
      <w:lvlJc w:val="left"/>
      <w:pPr>
        <w:ind w:left="1145" w:hanging="360"/>
      </w:pPr>
      <w:rPr>
        <w:rFonts w:ascii="Times New Roman" w:eastAsia="Times New Roman" w:hAnsi="Times New Roman"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453" w15:restartNumberingAfterBreak="0">
    <w:nsid w:val="44500311"/>
    <w:multiLevelType w:val="multilevel"/>
    <w:tmpl w:val="9B28FBCC"/>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54" w15:restartNumberingAfterBreak="0">
    <w:nsid w:val="4453644A"/>
    <w:multiLevelType w:val="hybridMultilevel"/>
    <w:tmpl w:val="2DF68340"/>
    <w:lvl w:ilvl="0" w:tplc="263661E0">
      <w:start w:val="1"/>
      <w:numFmt w:val="decimal"/>
      <w:lvlText w:val="%1."/>
      <w:lvlJc w:val="left"/>
      <w:pPr>
        <w:ind w:left="720" w:hanging="360"/>
      </w:pPr>
      <w:rPr>
        <w:rFonts w:eastAsiaTheme="minorHAnsi"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55" w15:restartNumberingAfterBreak="0">
    <w:nsid w:val="446C1431"/>
    <w:multiLevelType w:val="multilevel"/>
    <w:tmpl w:val="8D88460E"/>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56" w15:restartNumberingAfterBreak="0">
    <w:nsid w:val="453A7379"/>
    <w:multiLevelType w:val="hybridMultilevel"/>
    <w:tmpl w:val="854E8F98"/>
    <w:lvl w:ilvl="0" w:tplc="2BA6F996">
      <w:start w:val="1"/>
      <w:numFmt w:val="decimal"/>
      <w:lvlText w:val="%1."/>
      <w:lvlJc w:val="left"/>
      <w:pPr>
        <w:ind w:left="786" w:hanging="360"/>
      </w:pPr>
      <w:rPr>
        <w:rFonts w:hint="default"/>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57" w15:restartNumberingAfterBreak="0">
    <w:nsid w:val="45854EC5"/>
    <w:multiLevelType w:val="multilevel"/>
    <w:tmpl w:val="89842DBC"/>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i w:val="0"/>
      </w:rPr>
    </w:lvl>
    <w:lvl w:ilvl="2">
      <w:start w:val="1"/>
      <w:numFmt w:val="decimal"/>
      <w:lvlText w:val="%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58" w15:restartNumberingAfterBreak="0">
    <w:nsid w:val="45871DFF"/>
    <w:multiLevelType w:val="hybridMultilevel"/>
    <w:tmpl w:val="F7F294FE"/>
    <w:lvl w:ilvl="0" w:tplc="F90AA5CA">
      <w:numFmt w:val="bullet"/>
      <w:lvlText w:val="-"/>
      <w:lvlJc w:val="left"/>
      <w:pPr>
        <w:ind w:left="1145" w:hanging="360"/>
      </w:pPr>
      <w:rPr>
        <w:rFonts w:ascii="Times New Roman" w:eastAsia="Times New Roman" w:hAnsi="Times New Roman"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459" w15:restartNumberingAfterBreak="0">
    <w:nsid w:val="458B164E"/>
    <w:multiLevelType w:val="multilevel"/>
    <w:tmpl w:val="1B5012E2"/>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60" w15:restartNumberingAfterBreak="0">
    <w:nsid w:val="45C67221"/>
    <w:multiLevelType w:val="hybridMultilevel"/>
    <w:tmpl w:val="46EACC42"/>
    <w:lvl w:ilvl="0" w:tplc="6ADCEAF0">
      <w:start w:val="1"/>
      <w:numFmt w:val="decimal"/>
      <w:lvlText w:val="%1."/>
      <w:lvlJc w:val="left"/>
      <w:pPr>
        <w:ind w:left="720" w:hanging="360"/>
      </w:pPr>
      <w:rPr>
        <w:rFonts w:eastAsiaTheme="minorHAnsi"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61" w15:restartNumberingAfterBreak="0">
    <w:nsid w:val="45CD0575"/>
    <w:multiLevelType w:val="hybridMultilevel"/>
    <w:tmpl w:val="17C08C54"/>
    <w:lvl w:ilvl="0" w:tplc="F90AA5CA">
      <w:numFmt w:val="bullet"/>
      <w:lvlText w:val="-"/>
      <w:lvlJc w:val="left"/>
      <w:pPr>
        <w:ind w:left="1145" w:hanging="360"/>
      </w:pPr>
      <w:rPr>
        <w:rFonts w:ascii="Times New Roman" w:eastAsia="Times New Roman" w:hAnsi="Times New Roman"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462" w15:restartNumberingAfterBreak="0">
    <w:nsid w:val="45EC21FE"/>
    <w:multiLevelType w:val="multilevel"/>
    <w:tmpl w:val="CBB215B6"/>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rPr>
    </w:lvl>
    <w:lvl w:ilvl="1">
      <w:start w:val="1"/>
      <w:numFmt w:val="decimal"/>
      <w:lvlText w:val="%1.%2."/>
      <w:lvlJc w:val="left"/>
      <w:pPr>
        <w:tabs>
          <w:tab w:val="num" w:pos="3977"/>
        </w:tabs>
        <w:ind w:left="3977" w:hanging="432"/>
      </w:pPr>
      <w:rPr>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63" w15:restartNumberingAfterBreak="0">
    <w:nsid w:val="460576E5"/>
    <w:multiLevelType w:val="hybridMultilevel"/>
    <w:tmpl w:val="E260FC72"/>
    <w:lvl w:ilvl="0" w:tplc="F29CF34C">
      <w:start w:val="1"/>
      <w:numFmt w:val="bullet"/>
      <w:lvlText w:val=""/>
      <w:lvlJc w:val="left"/>
      <w:pPr>
        <w:ind w:left="1145" w:hanging="360"/>
      </w:pPr>
      <w:rPr>
        <w:rFonts w:ascii="Symbol" w:hAnsi="Symbol" w:hint="default"/>
      </w:rPr>
    </w:lvl>
    <w:lvl w:ilvl="1" w:tplc="040E0003">
      <w:start w:val="1"/>
      <w:numFmt w:val="bullet"/>
      <w:lvlText w:val="o"/>
      <w:lvlJc w:val="left"/>
      <w:pPr>
        <w:ind w:left="1865" w:hanging="360"/>
      </w:pPr>
      <w:rPr>
        <w:rFonts w:ascii="Courier New" w:hAnsi="Courier New" w:cs="Courier New" w:hint="default"/>
      </w:rPr>
    </w:lvl>
    <w:lvl w:ilvl="2" w:tplc="040E0005">
      <w:start w:val="1"/>
      <w:numFmt w:val="bullet"/>
      <w:lvlText w:val=""/>
      <w:lvlJc w:val="left"/>
      <w:pPr>
        <w:ind w:left="2585" w:hanging="360"/>
      </w:pPr>
      <w:rPr>
        <w:rFonts w:ascii="Wingdings" w:hAnsi="Wingdings" w:hint="default"/>
      </w:rPr>
    </w:lvl>
    <w:lvl w:ilvl="3" w:tplc="040E0001">
      <w:start w:val="1"/>
      <w:numFmt w:val="bullet"/>
      <w:lvlText w:val=""/>
      <w:lvlJc w:val="left"/>
      <w:pPr>
        <w:ind w:left="3305" w:hanging="360"/>
      </w:pPr>
      <w:rPr>
        <w:rFonts w:ascii="Symbol" w:hAnsi="Symbol" w:hint="default"/>
      </w:rPr>
    </w:lvl>
    <w:lvl w:ilvl="4" w:tplc="040E0003">
      <w:start w:val="1"/>
      <w:numFmt w:val="bullet"/>
      <w:lvlText w:val="o"/>
      <w:lvlJc w:val="left"/>
      <w:pPr>
        <w:ind w:left="4025" w:hanging="360"/>
      </w:pPr>
      <w:rPr>
        <w:rFonts w:ascii="Courier New" w:hAnsi="Courier New" w:cs="Courier New" w:hint="default"/>
      </w:rPr>
    </w:lvl>
    <w:lvl w:ilvl="5" w:tplc="040E0005">
      <w:start w:val="1"/>
      <w:numFmt w:val="bullet"/>
      <w:lvlText w:val=""/>
      <w:lvlJc w:val="left"/>
      <w:pPr>
        <w:ind w:left="4745" w:hanging="360"/>
      </w:pPr>
      <w:rPr>
        <w:rFonts w:ascii="Wingdings" w:hAnsi="Wingdings" w:hint="default"/>
      </w:rPr>
    </w:lvl>
    <w:lvl w:ilvl="6" w:tplc="040E0001">
      <w:start w:val="1"/>
      <w:numFmt w:val="bullet"/>
      <w:lvlText w:val=""/>
      <w:lvlJc w:val="left"/>
      <w:pPr>
        <w:ind w:left="5465" w:hanging="360"/>
      </w:pPr>
      <w:rPr>
        <w:rFonts w:ascii="Symbol" w:hAnsi="Symbol" w:hint="default"/>
      </w:rPr>
    </w:lvl>
    <w:lvl w:ilvl="7" w:tplc="040E0003">
      <w:start w:val="1"/>
      <w:numFmt w:val="bullet"/>
      <w:lvlText w:val="o"/>
      <w:lvlJc w:val="left"/>
      <w:pPr>
        <w:ind w:left="6185" w:hanging="360"/>
      </w:pPr>
      <w:rPr>
        <w:rFonts w:ascii="Courier New" w:hAnsi="Courier New" w:cs="Courier New" w:hint="default"/>
      </w:rPr>
    </w:lvl>
    <w:lvl w:ilvl="8" w:tplc="040E0005">
      <w:start w:val="1"/>
      <w:numFmt w:val="bullet"/>
      <w:lvlText w:val=""/>
      <w:lvlJc w:val="left"/>
      <w:pPr>
        <w:ind w:left="6905" w:hanging="360"/>
      </w:pPr>
      <w:rPr>
        <w:rFonts w:ascii="Wingdings" w:hAnsi="Wingdings" w:hint="default"/>
      </w:rPr>
    </w:lvl>
  </w:abstractNum>
  <w:abstractNum w:abstractNumId="464" w15:restartNumberingAfterBreak="0">
    <w:nsid w:val="460D17DF"/>
    <w:multiLevelType w:val="hybridMultilevel"/>
    <w:tmpl w:val="EB5A8C9E"/>
    <w:lvl w:ilvl="0" w:tplc="F90AA5CA">
      <w:numFmt w:val="bullet"/>
      <w:lvlText w:val="-"/>
      <w:lvlJc w:val="left"/>
      <w:pPr>
        <w:ind w:left="1145" w:hanging="360"/>
      </w:pPr>
      <w:rPr>
        <w:rFonts w:ascii="Times New Roman" w:eastAsia="Times New Roman" w:hAnsi="Times New Roman"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465" w15:restartNumberingAfterBreak="0">
    <w:nsid w:val="463C203F"/>
    <w:multiLevelType w:val="multilevel"/>
    <w:tmpl w:val="BA4C6D7C"/>
    <w:lvl w:ilvl="0">
      <w:start w:val="1"/>
      <w:numFmt w:val="decimal"/>
      <w:lvlText w:val="%1."/>
      <w:lvlJc w:val="left"/>
      <w:pPr>
        <w:tabs>
          <w:tab w:val="num" w:pos="360"/>
        </w:tabs>
        <w:ind w:left="360" w:hanging="360"/>
      </w:pPr>
      <w:rPr>
        <w:rFonts w:cs="Times New Roman"/>
        <w:b/>
        <w:i w:val="0"/>
        <w:sz w:val="24"/>
      </w:rPr>
    </w:lvl>
    <w:lvl w:ilvl="1">
      <w:start w:val="1"/>
      <w:numFmt w:val="decimal"/>
      <w:lvlText w:val="%1.%2."/>
      <w:lvlJc w:val="left"/>
      <w:pPr>
        <w:tabs>
          <w:tab w:val="num" w:pos="1000"/>
        </w:tabs>
        <w:ind w:left="1000" w:hanging="432"/>
      </w:pPr>
      <w:rPr>
        <w:rFonts w:cs="Times New Roman"/>
        <w:b/>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66" w15:restartNumberingAfterBreak="0">
    <w:nsid w:val="46560E1D"/>
    <w:multiLevelType w:val="hybridMultilevel"/>
    <w:tmpl w:val="1996D222"/>
    <w:lvl w:ilvl="0" w:tplc="952AE7CC">
      <w:start w:val="1"/>
      <w:numFmt w:val="decimal"/>
      <w:lvlText w:val="%1."/>
      <w:lvlJc w:val="left"/>
      <w:pPr>
        <w:ind w:left="720" w:hanging="360"/>
      </w:pPr>
      <w:rPr>
        <w:rFonts w:eastAsiaTheme="minorHAnsi"/>
        <w:color w:val="212121"/>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467" w15:restartNumberingAfterBreak="0">
    <w:nsid w:val="467E1C65"/>
    <w:multiLevelType w:val="hybridMultilevel"/>
    <w:tmpl w:val="EFD8C51A"/>
    <w:lvl w:ilvl="0" w:tplc="D17E6184">
      <w:start w:val="1"/>
      <w:numFmt w:val="decimal"/>
      <w:lvlText w:val="%1."/>
      <w:lvlJc w:val="left"/>
      <w:pPr>
        <w:ind w:left="1581"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68" w15:restartNumberingAfterBreak="0">
    <w:nsid w:val="469F0C3F"/>
    <w:multiLevelType w:val="hybridMultilevel"/>
    <w:tmpl w:val="66927DBE"/>
    <w:lvl w:ilvl="0" w:tplc="040E000F">
      <w:start w:val="1"/>
      <w:numFmt w:val="decimal"/>
      <w:lvlText w:val="%1."/>
      <w:lvlJc w:val="left"/>
      <w:pPr>
        <w:ind w:left="1512" w:hanging="360"/>
      </w:pPr>
    </w:lvl>
    <w:lvl w:ilvl="1" w:tplc="040E0019" w:tentative="1">
      <w:start w:val="1"/>
      <w:numFmt w:val="lowerLetter"/>
      <w:lvlText w:val="%2."/>
      <w:lvlJc w:val="left"/>
      <w:pPr>
        <w:ind w:left="2232" w:hanging="360"/>
      </w:pPr>
    </w:lvl>
    <w:lvl w:ilvl="2" w:tplc="040E001B" w:tentative="1">
      <w:start w:val="1"/>
      <w:numFmt w:val="lowerRoman"/>
      <w:lvlText w:val="%3."/>
      <w:lvlJc w:val="right"/>
      <w:pPr>
        <w:ind w:left="2952" w:hanging="180"/>
      </w:pPr>
    </w:lvl>
    <w:lvl w:ilvl="3" w:tplc="040E000F" w:tentative="1">
      <w:start w:val="1"/>
      <w:numFmt w:val="decimal"/>
      <w:lvlText w:val="%4."/>
      <w:lvlJc w:val="left"/>
      <w:pPr>
        <w:ind w:left="3672" w:hanging="360"/>
      </w:pPr>
    </w:lvl>
    <w:lvl w:ilvl="4" w:tplc="040E0019" w:tentative="1">
      <w:start w:val="1"/>
      <w:numFmt w:val="lowerLetter"/>
      <w:lvlText w:val="%5."/>
      <w:lvlJc w:val="left"/>
      <w:pPr>
        <w:ind w:left="4392" w:hanging="360"/>
      </w:pPr>
    </w:lvl>
    <w:lvl w:ilvl="5" w:tplc="040E001B" w:tentative="1">
      <w:start w:val="1"/>
      <w:numFmt w:val="lowerRoman"/>
      <w:lvlText w:val="%6."/>
      <w:lvlJc w:val="right"/>
      <w:pPr>
        <w:ind w:left="5112" w:hanging="180"/>
      </w:pPr>
    </w:lvl>
    <w:lvl w:ilvl="6" w:tplc="040E000F" w:tentative="1">
      <w:start w:val="1"/>
      <w:numFmt w:val="decimal"/>
      <w:lvlText w:val="%7."/>
      <w:lvlJc w:val="left"/>
      <w:pPr>
        <w:ind w:left="5832" w:hanging="360"/>
      </w:pPr>
    </w:lvl>
    <w:lvl w:ilvl="7" w:tplc="040E0019" w:tentative="1">
      <w:start w:val="1"/>
      <w:numFmt w:val="lowerLetter"/>
      <w:lvlText w:val="%8."/>
      <w:lvlJc w:val="left"/>
      <w:pPr>
        <w:ind w:left="6552" w:hanging="360"/>
      </w:pPr>
    </w:lvl>
    <w:lvl w:ilvl="8" w:tplc="040E001B" w:tentative="1">
      <w:start w:val="1"/>
      <w:numFmt w:val="lowerRoman"/>
      <w:lvlText w:val="%9."/>
      <w:lvlJc w:val="right"/>
      <w:pPr>
        <w:ind w:left="7272" w:hanging="180"/>
      </w:pPr>
    </w:lvl>
  </w:abstractNum>
  <w:abstractNum w:abstractNumId="469" w15:restartNumberingAfterBreak="0">
    <w:nsid w:val="46B1468C"/>
    <w:multiLevelType w:val="multilevel"/>
    <w:tmpl w:val="387ECC3E"/>
    <w:lvl w:ilvl="0">
      <w:start w:val="8"/>
      <w:numFmt w:val="decimal"/>
      <w:lvlText w:val="%1."/>
      <w:lvlJc w:val="left"/>
      <w:pPr>
        <w:ind w:left="540" w:hanging="540"/>
      </w:pPr>
      <w:rPr>
        <w:rFonts w:hint="default"/>
      </w:rPr>
    </w:lvl>
    <w:lvl w:ilvl="1">
      <w:start w:val="1"/>
      <w:numFmt w:val="decimal"/>
      <w:lvlText w:val="%1.%2."/>
      <w:lvlJc w:val="left"/>
      <w:pPr>
        <w:ind w:left="753" w:hanging="54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470" w15:restartNumberingAfterBreak="0">
    <w:nsid w:val="46B43975"/>
    <w:multiLevelType w:val="multilevel"/>
    <w:tmpl w:val="26A60FE2"/>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71" w15:restartNumberingAfterBreak="0">
    <w:nsid w:val="46EE4C77"/>
    <w:multiLevelType w:val="hybridMultilevel"/>
    <w:tmpl w:val="8FD69C64"/>
    <w:lvl w:ilvl="0" w:tplc="F90AA5CA">
      <w:numFmt w:val="bullet"/>
      <w:lvlText w:val="-"/>
      <w:lvlJc w:val="left"/>
      <w:pPr>
        <w:ind w:left="1355" w:hanging="360"/>
      </w:pPr>
      <w:rPr>
        <w:rFonts w:ascii="Times New Roman" w:eastAsia="Times New Roman" w:hAnsi="Times New Roman" w:cs="Times New Roman" w:hint="default"/>
      </w:rPr>
    </w:lvl>
    <w:lvl w:ilvl="1" w:tplc="040E0003">
      <w:start w:val="1"/>
      <w:numFmt w:val="bullet"/>
      <w:lvlText w:val="o"/>
      <w:lvlJc w:val="left"/>
      <w:pPr>
        <w:ind w:left="2075" w:hanging="360"/>
      </w:pPr>
      <w:rPr>
        <w:rFonts w:ascii="Courier New" w:hAnsi="Courier New" w:cs="Courier New" w:hint="default"/>
      </w:rPr>
    </w:lvl>
    <w:lvl w:ilvl="2" w:tplc="040E0005">
      <w:start w:val="1"/>
      <w:numFmt w:val="bullet"/>
      <w:lvlText w:val=""/>
      <w:lvlJc w:val="left"/>
      <w:pPr>
        <w:ind w:left="2795" w:hanging="360"/>
      </w:pPr>
      <w:rPr>
        <w:rFonts w:ascii="Wingdings" w:hAnsi="Wingdings" w:hint="default"/>
      </w:rPr>
    </w:lvl>
    <w:lvl w:ilvl="3" w:tplc="040E0001">
      <w:start w:val="1"/>
      <w:numFmt w:val="bullet"/>
      <w:lvlText w:val=""/>
      <w:lvlJc w:val="left"/>
      <w:pPr>
        <w:ind w:left="3515" w:hanging="360"/>
      </w:pPr>
      <w:rPr>
        <w:rFonts w:ascii="Symbol" w:hAnsi="Symbol" w:hint="default"/>
      </w:rPr>
    </w:lvl>
    <w:lvl w:ilvl="4" w:tplc="040E0003">
      <w:start w:val="1"/>
      <w:numFmt w:val="bullet"/>
      <w:lvlText w:val="o"/>
      <w:lvlJc w:val="left"/>
      <w:pPr>
        <w:ind w:left="4235" w:hanging="360"/>
      </w:pPr>
      <w:rPr>
        <w:rFonts w:ascii="Courier New" w:hAnsi="Courier New" w:cs="Courier New" w:hint="default"/>
      </w:rPr>
    </w:lvl>
    <w:lvl w:ilvl="5" w:tplc="040E0005">
      <w:start w:val="1"/>
      <w:numFmt w:val="bullet"/>
      <w:lvlText w:val=""/>
      <w:lvlJc w:val="left"/>
      <w:pPr>
        <w:ind w:left="4955" w:hanging="360"/>
      </w:pPr>
      <w:rPr>
        <w:rFonts w:ascii="Wingdings" w:hAnsi="Wingdings" w:hint="default"/>
      </w:rPr>
    </w:lvl>
    <w:lvl w:ilvl="6" w:tplc="040E0001">
      <w:start w:val="1"/>
      <w:numFmt w:val="bullet"/>
      <w:lvlText w:val=""/>
      <w:lvlJc w:val="left"/>
      <w:pPr>
        <w:ind w:left="5675" w:hanging="360"/>
      </w:pPr>
      <w:rPr>
        <w:rFonts w:ascii="Symbol" w:hAnsi="Symbol" w:hint="default"/>
      </w:rPr>
    </w:lvl>
    <w:lvl w:ilvl="7" w:tplc="040E0003">
      <w:start w:val="1"/>
      <w:numFmt w:val="bullet"/>
      <w:lvlText w:val="o"/>
      <w:lvlJc w:val="left"/>
      <w:pPr>
        <w:ind w:left="6395" w:hanging="360"/>
      </w:pPr>
      <w:rPr>
        <w:rFonts w:ascii="Courier New" w:hAnsi="Courier New" w:cs="Courier New" w:hint="default"/>
      </w:rPr>
    </w:lvl>
    <w:lvl w:ilvl="8" w:tplc="040E0005">
      <w:start w:val="1"/>
      <w:numFmt w:val="bullet"/>
      <w:lvlText w:val=""/>
      <w:lvlJc w:val="left"/>
      <w:pPr>
        <w:ind w:left="7115" w:hanging="360"/>
      </w:pPr>
      <w:rPr>
        <w:rFonts w:ascii="Wingdings" w:hAnsi="Wingdings" w:hint="default"/>
      </w:rPr>
    </w:lvl>
  </w:abstractNum>
  <w:abstractNum w:abstractNumId="472" w15:restartNumberingAfterBreak="0">
    <w:nsid w:val="472B6DB4"/>
    <w:multiLevelType w:val="multilevel"/>
    <w:tmpl w:val="FE6AD2E0"/>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73" w15:restartNumberingAfterBreak="0">
    <w:nsid w:val="474C6531"/>
    <w:multiLevelType w:val="multilevel"/>
    <w:tmpl w:val="EFCE6FC6"/>
    <w:lvl w:ilvl="0">
      <w:start w:val="1"/>
      <w:numFmt w:val="decimal"/>
      <w:lvlText w:val="%1."/>
      <w:lvlJc w:val="left"/>
      <w:pPr>
        <w:tabs>
          <w:tab w:val="num" w:pos="720"/>
        </w:tabs>
        <w:ind w:left="720" w:hanging="360"/>
      </w:pPr>
      <w:rPr>
        <w:rFonts w:hint="default"/>
        <w:b w:val="0"/>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74" w15:restartNumberingAfterBreak="0">
    <w:nsid w:val="4783323B"/>
    <w:multiLevelType w:val="hybridMultilevel"/>
    <w:tmpl w:val="85406116"/>
    <w:lvl w:ilvl="0" w:tplc="040E000F">
      <w:start w:val="1"/>
      <w:numFmt w:val="decimal"/>
      <w:lvlText w:val="%1."/>
      <w:lvlJc w:val="left"/>
      <w:pPr>
        <w:ind w:left="927" w:hanging="360"/>
      </w:pPr>
    </w:lvl>
    <w:lvl w:ilvl="1" w:tplc="040E0019">
      <w:start w:val="1"/>
      <w:numFmt w:val="lowerLetter"/>
      <w:lvlText w:val="%2."/>
      <w:lvlJc w:val="left"/>
      <w:pPr>
        <w:ind w:left="1647" w:hanging="360"/>
      </w:pPr>
    </w:lvl>
    <w:lvl w:ilvl="2" w:tplc="040E001B">
      <w:start w:val="1"/>
      <w:numFmt w:val="lowerRoman"/>
      <w:lvlText w:val="%3."/>
      <w:lvlJc w:val="right"/>
      <w:pPr>
        <w:ind w:left="2367" w:hanging="180"/>
      </w:pPr>
    </w:lvl>
    <w:lvl w:ilvl="3" w:tplc="040E000F">
      <w:start w:val="1"/>
      <w:numFmt w:val="decimal"/>
      <w:lvlText w:val="%4."/>
      <w:lvlJc w:val="left"/>
      <w:pPr>
        <w:ind w:left="3087" w:hanging="360"/>
      </w:pPr>
    </w:lvl>
    <w:lvl w:ilvl="4" w:tplc="040E0019">
      <w:start w:val="1"/>
      <w:numFmt w:val="lowerLetter"/>
      <w:lvlText w:val="%5."/>
      <w:lvlJc w:val="left"/>
      <w:pPr>
        <w:ind w:left="3807" w:hanging="360"/>
      </w:pPr>
    </w:lvl>
    <w:lvl w:ilvl="5" w:tplc="040E001B">
      <w:start w:val="1"/>
      <w:numFmt w:val="lowerRoman"/>
      <w:lvlText w:val="%6."/>
      <w:lvlJc w:val="right"/>
      <w:pPr>
        <w:ind w:left="4527" w:hanging="180"/>
      </w:pPr>
    </w:lvl>
    <w:lvl w:ilvl="6" w:tplc="040E000F">
      <w:start w:val="1"/>
      <w:numFmt w:val="decimal"/>
      <w:lvlText w:val="%7."/>
      <w:lvlJc w:val="left"/>
      <w:pPr>
        <w:ind w:left="5247" w:hanging="360"/>
      </w:pPr>
    </w:lvl>
    <w:lvl w:ilvl="7" w:tplc="040E0019">
      <w:start w:val="1"/>
      <w:numFmt w:val="lowerLetter"/>
      <w:lvlText w:val="%8."/>
      <w:lvlJc w:val="left"/>
      <w:pPr>
        <w:ind w:left="5967" w:hanging="360"/>
      </w:pPr>
    </w:lvl>
    <w:lvl w:ilvl="8" w:tplc="040E001B">
      <w:start w:val="1"/>
      <w:numFmt w:val="lowerRoman"/>
      <w:lvlText w:val="%9."/>
      <w:lvlJc w:val="right"/>
      <w:pPr>
        <w:ind w:left="6687" w:hanging="180"/>
      </w:pPr>
    </w:lvl>
  </w:abstractNum>
  <w:abstractNum w:abstractNumId="475" w15:restartNumberingAfterBreak="0">
    <w:nsid w:val="479B494A"/>
    <w:multiLevelType w:val="multilevel"/>
    <w:tmpl w:val="4F8AF4D0"/>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4"/>
        <w:szCs w:val="24"/>
        <w:u w:val="none"/>
        <w:effect w:val="none"/>
        <w:vertAlign w:val="baseline"/>
      </w:rPr>
    </w:lvl>
    <w:lvl w:ilvl="1">
      <w:start w:val="1"/>
      <w:numFmt w:val="decimal"/>
      <w:lvlText w:val="%1.%2."/>
      <w:lvlJc w:val="left"/>
      <w:pPr>
        <w:tabs>
          <w:tab w:val="num" w:pos="3977"/>
        </w:tabs>
        <w:ind w:left="3977" w:hanging="432"/>
      </w:pPr>
      <w:rPr>
        <w:rFonts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76" w15:restartNumberingAfterBreak="0">
    <w:nsid w:val="479F66E8"/>
    <w:multiLevelType w:val="hybridMultilevel"/>
    <w:tmpl w:val="20CCA34C"/>
    <w:lvl w:ilvl="0" w:tplc="AA6439EC">
      <w:start w:val="1"/>
      <w:numFmt w:val="decimal"/>
      <w:lvlText w:val="%1."/>
      <w:lvlJc w:val="left"/>
      <w:pPr>
        <w:ind w:left="1068" w:hanging="360"/>
      </w:pPr>
      <w:rPr>
        <w:rFonts w:hint="default"/>
        <w:b w:val="0"/>
      </w:rPr>
    </w:lvl>
    <w:lvl w:ilvl="1" w:tplc="040E0019" w:tentative="1">
      <w:start w:val="1"/>
      <w:numFmt w:val="lowerLetter"/>
      <w:lvlText w:val="%2."/>
      <w:lvlJc w:val="left"/>
      <w:pPr>
        <w:ind w:left="872" w:hanging="360"/>
      </w:pPr>
    </w:lvl>
    <w:lvl w:ilvl="2" w:tplc="040E001B" w:tentative="1">
      <w:start w:val="1"/>
      <w:numFmt w:val="lowerRoman"/>
      <w:lvlText w:val="%3."/>
      <w:lvlJc w:val="right"/>
      <w:pPr>
        <w:ind w:left="1592" w:hanging="180"/>
      </w:pPr>
    </w:lvl>
    <w:lvl w:ilvl="3" w:tplc="040E000F" w:tentative="1">
      <w:start w:val="1"/>
      <w:numFmt w:val="decimal"/>
      <w:lvlText w:val="%4."/>
      <w:lvlJc w:val="left"/>
      <w:pPr>
        <w:ind w:left="2312" w:hanging="360"/>
      </w:pPr>
    </w:lvl>
    <w:lvl w:ilvl="4" w:tplc="040E0019" w:tentative="1">
      <w:start w:val="1"/>
      <w:numFmt w:val="lowerLetter"/>
      <w:lvlText w:val="%5."/>
      <w:lvlJc w:val="left"/>
      <w:pPr>
        <w:ind w:left="3032" w:hanging="360"/>
      </w:pPr>
    </w:lvl>
    <w:lvl w:ilvl="5" w:tplc="040E001B" w:tentative="1">
      <w:start w:val="1"/>
      <w:numFmt w:val="lowerRoman"/>
      <w:lvlText w:val="%6."/>
      <w:lvlJc w:val="right"/>
      <w:pPr>
        <w:ind w:left="3752" w:hanging="180"/>
      </w:pPr>
    </w:lvl>
    <w:lvl w:ilvl="6" w:tplc="040E000F" w:tentative="1">
      <w:start w:val="1"/>
      <w:numFmt w:val="decimal"/>
      <w:lvlText w:val="%7."/>
      <w:lvlJc w:val="left"/>
      <w:pPr>
        <w:ind w:left="4472" w:hanging="360"/>
      </w:pPr>
    </w:lvl>
    <w:lvl w:ilvl="7" w:tplc="040E0019" w:tentative="1">
      <w:start w:val="1"/>
      <w:numFmt w:val="lowerLetter"/>
      <w:lvlText w:val="%8."/>
      <w:lvlJc w:val="left"/>
      <w:pPr>
        <w:ind w:left="5192" w:hanging="360"/>
      </w:pPr>
    </w:lvl>
    <w:lvl w:ilvl="8" w:tplc="040E001B" w:tentative="1">
      <w:start w:val="1"/>
      <w:numFmt w:val="lowerRoman"/>
      <w:lvlText w:val="%9."/>
      <w:lvlJc w:val="right"/>
      <w:pPr>
        <w:ind w:left="5912" w:hanging="180"/>
      </w:pPr>
    </w:lvl>
  </w:abstractNum>
  <w:abstractNum w:abstractNumId="477" w15:restartNumberingAfterBreak="0">
    <w:nsid w:val="47DE48F1"/>
    <w:multiLevelType w:val="hybridMultilevel"/>
    <w:tmpl w:val="D938D1D0"/>
    <w:lvl w:ilvl="0" w:tplc="ECF2C0F4">
      <w:start w:val="1"/>
      <w:numFmt w:val="decimal"/>
      <w:lvlText w:val="%1."/>
      <w:lvlJc w:val="left"/>
      <w:pPr>
        <w:ind w:left="644" w:hanging="360"/>
      </w:pPr>
    </w:lvl>
    <w:lvl w:ilvl="1" w:tplc="040E0019">
      <w:start w:val="1"/>
      <w:numFmt w:val="lowerLetter"/>
      <w:lvlText w:val="%2."/>
      <w:lvlJc w:val="left"/>
      <w:pPr>
        <w:ind w:left="1364" w:hanging="360"/>
      </w:pPr>
    </w:lvl>
    <w:lvl w:ilvl="2" w:tplc="040E001B">
      <w:start w:val="1"/>
      <w:numFmt w:val="lowerRoman"/>
      <w:lvlText w:val="%3."/>
      <w:lvlJc w:val="right"/>
      <w:pPr>
        <w:ind w:left="2084" w:hanging="180"/>
      </w:pPr>
    </w:lvl>
    <w:lvl w:ilvl="3" w:tplc="040E000F">
      <w:start w:val="1"/>
      <w:numFmt w:val="decimal"/>
      <w:lvlText w:val="%4."/>
      <w:lvlJc w:val="left"/>
      <w:pPr>
        <w:ind w:left="2804" w:hanging="360"/>
      </w:pPr>
    </w:lvl>
    <w:lvl w:ilvl="4" w:tplc="040E0019">
      <w:start w:val="1"/>
      <w:numFmt w:val="lowerLetter"/>
      <w:lvlText w:val="%5."/>
      <w:lvlJc w:val="left"/>
      <w:pPr>
        <w:ind w:left="3524" w:hanging="360"/>
      </w:pPr>
    </w:lvl>
    <w:lvl w:ilvl="5" w:tplc="040E001B">
      <w:start w:val="1"/>
      <w:numFmt w:val="lowerRoman"/>
      <w:lvlText w:val="%6."/>
      <w:lvlJc w:val="right"/>
      <w:pPr>
        <w:ind w:left="4244" w:hanging="180"/>
      </w:pPr>
    </w:lvl>
    <w:lvl w:ilvl="6" w:tplc="040E000F">
      <w:start w:val="1"/>
      <w:numFmt w:val="decimal"/>
      <w:lvlText w:val="%7."/>
      <w:lvlJc w:val="left"/>
      <w:pPr>
        <w:ind w:left="4964" w:hanging="360"/>
      </w:pPr>
    </w:lvl>
    <w:lvl w:ilvl="7" w:tplc="040E0019">
      <w:start w:val="1"/>
      <w:numFmt w:val="lowerLetter"/>
      <w:lvlText w:val="%8."/>
      <w:lvlJc w:val="left"/>
      <w:pPr>
        <w:ind w:left="5684" w:hanging="360"/>
      </w:pPr>
    </w:lvl>
    <w:lvl w:ilvl="8" w:tplc="040E001B">
      <w:start w:val="1"/>
      <w:numFmt w:val="lowerRoman"/>
      <w:lvlText w:val="%9."/>
      <w:lvlJc w:val="right"/>
      <w:pPr>
        <w:ind w:left="6404" w:hanging="180"/>
      </w:pPr>
    </w:lvl>
  </w:abstractNum>
  <w:abstractNum w:abstractNumId="478" w15:restartNumberingAfterBreak="0">
    <w:nsid w:val="48192BEE"/>
    <w:multiLevelType w:val="hybridMultilevel"/>
    <w:tmpl w:val="2F7C36FC"/>
    <w:lvl w:ilvl="0" w:tplc="F90AA5CA">
      <w:numFmt w:val="bullet"/>
      <w:lvlText w:val="-"/>
      <w:lvlJc w:val="left"/>
      <w:pPr>
        <w:ind w:left="1145" w:hanging="360"/>
      </w:pPr>
      <w:rPr>
        <w:rFonts w:ascii="Times New Roman" w:eastAsia="Times New Roman" w:hAnsi="Times New Roman"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479" w15:restartNumberingAfterBreak="0">
    <w:nsid w:val="484412E9"/>
    <w:multiLevelType w:val="multilevel"/>
    <w:tmpl w:val="34A2B50E"/>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i w:val="0"/>
      </w:rPr>
    </w:lvl>
    <w:lvl w:ilvl="2">
      <w:start w:val="1"/>
      <w:numFmt w:val="decimal"/>
      <w:lvlText w:val="%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80" w15:restartNumberingAfterBreak="0">
    <w:nsid w:val="484417C4"/>
    <w:multiLevelType w:val="multilevel"/>
    <w:tmpl w:val="04463C38"/>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81" w15:restartNumberingAfterBreak="0">
    <w:nsid w:val="485655AC"/>
    <w:multiLevelType w:val="multilevel"/>
    <w:tmpl w:val="5B427D5C"/>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82" w15:restartNumberingAfterBreak="0">
    <w:nsid w:val="48595074"/>
    <w:multiLevelType w:val="hybridMultilevel"/>
    <w:tmpl w:val="5F580DDC"/>
    <w:lvl w:ilvl="0" w:tplc="CF349B7C">
      <w:start w:val="9"/>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83" w15:restartNumberingAfterBreak="0">
    <w:nsid w:val="48633FED"/>
    <w:multiLevelType w:val="hybridMultilevel"/>
    <w:tmpl w:val="4F723A94"/>
    <w:lvl w:ilvl="0" w:tplc="F90AA5CA">
      <w:numFmt w:val="bullet"/>
      <w:lvlText w:val="-"/>
      <w:lvlJc w:val="left"/>
      <w:pPr>
        <w:ind w:left="1145" w:hanging="360"/>
      </w:pPr>
      <w:rPr>
        <w:rFonts w:ascii="Times New Roman" w:eastAsia="Times New Roman" w:hAnsi="Times New Roman"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484" w15:restartNumberingAfterBreak="0">
    <w:nsid w:val="48791FA1"/>
    <w:multiLevelType w:val="hybridMultilevel"/>
    <w:tmpl w:val="3DEA8E3A"/>
    <w:lvl w:ilvl="0" w:tplc="A5983408">
      <w:start w:val="1"/>
      <w:numFmt w:val="decimal"/>
      <w:lvlText w:val="%1."/>
      <w:lvlJc w:val="left"/>
      <w:pPr>
        <w:ind w:left="644"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485" w15:restartNumberingAfterBreak="0">
    <w:nsid w:val="488A16EB"/>
    <w:multiLevelType w:val="multilevel"/>
    <w:tmpl w:val="5E86A9C0"/>
    <w:lvl w:ilvl="0">
      <w:start w:val="11"/>
      <w:numFmt w:val="decimal"/>
      <w:lvlText w:val="%1."/>
      <w:lvlJc w:val="right"/>
      <w:pPr>
        <w:ind w:left="644" w:firstLine="284"/>
      </w:pPr>
      <w:rPr>
        <w:rFonts w:ascii="Times New Roman" w:eastAsia="Times New Roman" w:hAnsi="Times New Roman" w:cs="Times New Roman" w:hint="default"/>
        <w:b/>
        <w:i w:val="0"/>
        <w:smallCaps w:val="0"/>
        <w:strike w:val="0"/>
        <w:dstrike w:val="0"/>
        <w:color w:val="000000"/>
        <w:sz w:val="24"/>
        <w:szCs w:val="24"/>
        <w:u w:val="none"/>
        <w:effect w:val="none"/>
        <w:vertAlign w:val="baseline"/>
      </w:rPr>
    </w:lvl>
    <w:lvl w:ilvl="1">
      <w:start w:val="1"/>
      <w:numFmt w:val="decimal"/>
      <w:lvlText w:val="%1.%2."/>
      <w:lvlJc w:val="left"/>
      <w:pPr>
        <w:ind w:left="1000" w:firstLine="568"/>
      </w:pPr>
      <w:rPr>
        <w:b/>
        <w:i w:val="0"/>
      </w:rPr>
    </w:lvl>
    <w:lvl w:ilvl="2">
      <w:start w:val="1"/>
      <w:numFmt w:val="decimal"/>
      <w:lvlText w:val="%1.%2.%3."/>
      <w:lvlJc w:val="left"/>
      <w:pPr>
        <w:ind w:left="1508" w:firstLine="1004"/>
      </w:pPr>
      <w:rPr>
        <w:b/>
      </w:rPr>
    </w:lvl>
    <w:lvl w:ilvl="3">
      <w:start w:val="1"/>
      <w:numFmt w:val="decimal"/>
      <w:lvlText w:val="%1.%2.%3.%4."/>
      <w:lvlJc w:val="left"/>
      <w:pPr>
        <w:ind w:left="2012" w:firstLine="1363"/>
      </w:pPr>
    </w:lvl>
    <w:lvl w:ilvl="4">
      <w:start w:val="1"/>
      <w:numFmt w:val="decimal"/>
      <w:lvlText w:val="%1.%2.%3.%4.%5."/>
      <w:lvlJc w:val="left"/>
      <w:pPr>
        <w:ind w:left="2516" w:firstLine="1723"/>
      </w:pPr>
    </w:lvl>
    <w:lvl w:ilvl="5">
      <w:start w:val="1"/>
      <w:numFmt w:val="decimal"/>
      <w:lvlText w:val="%1.%2.%3.%4.%5.%6."/>
      <w:lvlJc w:val="left"/>
      <w:pPr>
        <w:ind w:left="3020" w:firstLine="2084"/>
      </w:pPr>
    </w:lvl>
    <w:lvl w:ilvl="6">
      <w:start w:val="1"/>
      <w:numFmt w:val="decimal"/>
      <w:lvlText w:val="%1.%2.%3.%4.%5.%6.%7."/>
      <w:lvlJc w:val="left"/>
      <w:pPr>
        <w:ind w:left="3524" w:firstLine="2444"/>
      </w:pPr>
    </w:lvl>
    <w:lvl w:ilvl="7">
      <w:start w:val="1"/>
      <w:numFmt w:val="decimal"/>
      <w:lvlText w:val="%1.%2.%3.%4.%5.%6.%7.%8."/>
      <w:lvlJc w:val="left"/>
      <w:pPr>
        <w:ind w:left="4028" w:firstLine="2804"/>
      </w:pPr>
    </w:lvl>
    <w:lvl w:ilvl="8">
      <w:start w:val="1"/>
      <w:numFmt w:val="decimal"/>
      <w:lvlText w:val="%1.%2.%3.%4.%5.%6.%7.%8.%9."/>
      <w:lvlJc w:val="left"/>
      <w:pPr>
        <w:ind w:left="4604" w:firstLine="3164"/>
      </w:pPr>
    </w:lvl>
  </w:abstractNum>
  <w:abstractNum w:abstractNumId="486" w15:restartNumberingAfterBreak="0">
    <w:nsid w:val="48D14539"/>
    <w:multiLevelType w:val="multilevel"/>
    <w:tmpl w:val="EAC2C6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7" w15:restartNumberingAfterBreak="0">
    <w:nsid w:val="48D379A5"/>
    <w:multiLevelType w:val="hybridMultilevel"/>
    <w:tmpl w:val="25DCF1F2"/>
    <w:lvl w:ilvl="0" w:tplc="CF349B7C">
      <w:start w:val="9"/>
      <w:numFmt w:val="bullet"/>
      <w:lvlText w:val="-"/>
      <w:lvlJc w:val="left"/>
      <w:pPr>
        <w:tabs>
          <w:tab w:val="num" w:pos="360"/>
        </w:tabs>
        <w:ind w:left="360" w:hanging="360"/>
      </w:pPr>
      <w:rPr>
        <w:rFonts w:ascii="Times New Roman" w:eastAsiaTheme="minorHAnsi" w:hAnsi="Times New Roman" w:cs="Times New Roman" w:hint="default"/>
      </w:rPr>
    </w:lvl>
    <w:lvl w:ilvl="1" w:tplc="040E0003" w:tentative="1">
      <w:start w:val="1"/>
      <w:numFmt w:val="bullet"/>
      <w:lvlText w:val="o"/>
      <w:lvlJc w:val="left"/>
      <w:pPr>
        <w:ind w:left="-111" w:hanging="360"/>
      </w:pPr>
      <w:rPr>
        <w:rFonts w:ascii="Courier New" w:hAnsi="Courier New" w:cs="Courier New" w:hint="default"/>
      </w:rPr>
    </w:lvl>
    <w:lvl w:ilvl="2" w:tplc="040E0005" w:tentative="1">
      <w:start w:val="1"/>
      <w:numFmt w:val="bullet"/>
      <w:lvlText w:val=""/>
      <w:lvlJc w:val="left"/>
      <w:pPr>
        <w:ind w:left="609" w:hanging="360"/>
      </w:pPr>
      <w:rPr>
        <w:rFonts w:ascii="Wingdings" w:hAnsi="Wingdings" w:hint="default"/>
      </w:rPr>
    </w:lvl>
    <w:lvl w:ilvl="3" w:tplc="040E0001" w:tentative="1">
      <w:start w:val="1"/>
      <w:numFmt w:val="bullet"/>
      <w:lvlText w:val=""/>
      <w:lvlJc w:val="left"/>
      <w:pPr>
        <w:ind w:left="1329" w:hanging="360"/>
      </w:pPr>
      <w:rPr>
        <w:rFonts w:ascii="Symbol" w:hAnsi="Symbol" w:hint="default"/>
      </w:rPr>
    </w:lvl>
    <w:lvl w:ilvl="4" w:tplc="040E0003" w:tentative="1">
      <w:start w:val="1"/>
      <w:numFmt w:val="bullet"/>
      <w:lvlText w:val="o"/>
      <w:lvlJc w:val="left"/>
      <w:pPr>
        <w:ind w:left="2049" w:hanging="360"/>
      </w:pPr>
      <w:rPr>
        <w:rFonts w:ascii="Courier New" w:hAnsi="Courier New" w:cs="Courier New" w:hint="default"/>
      </w:rPr>
    </w:lvl>
    <w:lvl w:ilvl="5" w:tplc="040E0005" w:tentative="1">
      <w:start w:val="1"/>
      <w:numFmt w:val="bullet"/>
      <w:lvlText w:val=""/>
      <w:lvlJc w:val="left"/>
      <w:pPr>
        <w:ind w:left="2769" w:hanging="360"/>
      </w:pPr>
      <w:rPr>
        <w:rFonts w:ascii="Wingdings" w:hAnsi="Wingdings" w:hint="default"/>
      </w:rPr>
    </w:lvl>
    <w:lvl w:ilvl="6" w:tplc="040E0001" w:tentative="1">
      <w:start w:val="1"/>
      <w:numFmt w:val="bullet"/>
      <w:lvlText w:val=""/>
      <w:lvlJc w:val="left"/>
      <w:pPr>
        <w:ind w:left="3489" w:hanging="360"/>
      </w:pPr>
      <w:rPr>
        <w:rFonts w:ascii="Symbol" w:hAnsi="Symbol" w:hint="default"/>
      </w:rPr>
    </w:lvl>
    <w:lvl w:ilvl="7" w:tplc="040E0003" w:tentative="1">
      <w:start w:val="1"/>
      <w:numFmt w:val="bullet"/>
      <w:lvlText w:val="o"/>
      <w:lvlJc w:val="left"/>
      <w:pPr>
        <w:ind w:left="4209" w:hanging="360"/>
      </w:pPr>
      <w:rPr>
        <w:rFonts w:ascii="Courier New" w:hAnsi="Courier New" w:cs="Courier New" w:hint="default"/>
      </w:rPr>
    </w:lvl>
    <w:lvl w:ilvl="8" w:tplc="040E0005" w:tentative="1">
      <w:start w:val="1"/>
      <w:numFmt w:val="bullet"/>
      <w:lvlText w:val=""/>
      <w:lvlJc w:val="left"/>
      <w:pPr>
        <w:ind w:left="4929" w:hanging="360"/>
      </w:pPr>
      <w:rPr>
        <w:rFonts w:ascii="Wingdings" w:hAnsi="Wingdings" w:hint="default"/>
      </w:rPr>
    </w:lvl>
  </w:abstractNum>
  <w:abstractNum w:abstractNumId="488" w15:restartNumberingAfterBreak="0">
    <w:nsid w:val="48DA0B47"/>
    <w:multiLevelType w:val="hybridMultilevel"/>
    <w:tmpl w:val="9AAA109E"/>
    <w:lvl w:ilvl="0" w:tplc="0F188340">
      <w:start w:val="1"/>
      <w:numFmt w:val="decimal"/>
      <w:lvlText w:val="%1."/>
      <w:lvlJc w:val="left"/>
      <w:pPr>
        <w:ind w:left="720" w:hanging="360"/>
      </w:pPr>
      <w:rPr>
        <w:rFonts w:eastAsiaTheme="minorHAnsi"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89" w15:restartNumberingAfterBreak="0">
    <w:nsid w:val="491271A6"/>
    <w:multiLevelType w:val="hybridMultilevel"/>
    <w:tmpl w:val="98709A32"/>
    <w:lvl w:ilvl="0" w:tplc="C3FAE52A">
      <w:numFmt w:val="bullet"/>
      <w:lvlText w:val="-"/>
      <w:lvlJc w:val="left"/>
      <w:pPr>
        <w:ind w:left="1146" w:hanging="360"/>
      </w:pPr>
      <w:rPr>
        <w:rFonts w:ascii="Times New Roman" w:eastAsiaTheme="minorHAnsi" w:hAnsi="Times New Roman" w:cs="Times New Roman" w:hint="default"/>
      </w:rPr>
    </w:lvl>
    <w:lvl w:ilvl="1" w:tplc="040E0003">
      <w:start w:val="1"/>
      <w:numFmt w:val="bullet"/>
      <w:lvlText w:val="o"/>
      <w:lvlJc w:val="left"/>
      <w:pPr>
        <w:ind w:left="1866" w:hanging="360"/>
      </w:pPr>
      <w:rPr>
        <w:rFonts w:ascii="Courier New" w:hAnsi="Courier New" w:cs="Courier New" w:hint="default"/>
      </w:rPr>
    </w:lvl>
    <w:lvl w:ilvl="2" w:tplc="040E0005">
      <w:start w:val="1"/>
      <w:numFmt w:val="bullet"/>
      <w:lvlText w:val=""/>
      <w:lvlJc w:val="left"/>
      <w:pPr>
        <w:ind w:left="2586" w:hanging="360"/>
      </w:pPr>
      <w:rPr>
        <w:rFonts w:ascii="Wingdings" w:hAnsi="Wingdings" w:hint="default"/>
      </w:rPr>
    </w:lvl>
    <w:lvl w:ilvl="3" w:tplc="040E0001">
      <w:start w:val="1"/>
      <w:numFmt w:val="bullet"/>
      <w:lvlText w:val=""/>
      <w:lvlJc w:val="left"/>
      <w:pPr>
        <w:ind w:left="3306" w:hanging="360"/>
      </w:pPr>
      <w:rPr>
        <w:rFonts w:ascii="Symbol" w:hAnsi="Symbol" w:hint="default"/>
      </w:rPr>
    </w:lvl>
    <w:lvl w:ilvl="4" w:tplc="040E0003">
      <w:start w:val="1"/>
      <w:numFmt w:val="bullet"/>
      <w:lvlText w:val="o"/>
      <w:lvlJc w:val="left"/>
      <w:pPr>
        <w:ind w:left="4026" w:hanging="360"/>
      </w:pPr>
      <w:rPr>
        <w:rFonts w:ascii="Courier New" w:hAnsi="Courier New" w:cs="Courier New" w:hint="default"/>
      </w:rPr>
    </w:lvl>
    <w:lvl w:ilvl="5" w:tplc="040E0005">
      <w:start w:val="1"/>
      <w:numFmt w:val="bullet"/>
      <w:lvlText w:val=""/>
      <w:lvlJc w:val="left"/>
      <w:pPr>
        <w:ind w:left="4746" w:hanging="360"/>
      </w:pPr>
      <w:rPr>
        <w:rFonts w:ascii="Wingdings" w:hAnsi="Wingdings" w:hint="default"/>
      </w:rPr>
    </w:lvl>
    <w:lvl w:ilvl="6" w:tplc="040E0001">
      <w:start w:val="1"/>
      <w:numFmt w:val="bullet"/>
      <w:lvlText w:val=""/>
      <w:lvlJc w:val="left"/>
      <w:pPr>
        <w:ind w:left="5466" w:hanging="360"/>
      </w:pPr>
      <w:rPr>
        <w:rFonts w:ascii="Symbol" w:hAnsi="Symbol" w:hint="default"/>
      </w:rPr>
    </w:lvl>
    <w:lvl w:ilvl="7" w:tplc="040E0003">
      <w:start w:val="1"/>
      <w:numFmt w:val="bullet"/>
      <w:lvlText w:val="o"/>
      <w:lvlJc w:val="left"/>
      <w:pPr>
        <w:ind w:left="6186" w:hanging="360"/>
      </w:pPr>
      <w:rPr>
        <w:rFonts w:ascii="Courier New" w:hAnsi="Courier New" w:cs="Courier New" w:hint="default"/>
      </w:rPr>
    </w:lvl>
    <w:lvl w:ilvl="8" w:tplc="040E0005">
      <w:start w:val="1"/>
      <w:numFmt w:val="bullet"/>
      <w:lvlText w:val=""/>
      <w:lvlJc w:val="left"/>
      <w:pPr>
        <w:ind w:left="6906" w:hanging="360"/>
      </w:pPr>
      <w:rPr>
        <w:rFonts w:ascii="Wingdings" w:hAnsi="Wingdings" w:hint="default"/>
      </w:rPr>
    </w:lvl>
  </w:abstractNum>
  <w:abstractNum w:abstractNumId="490" w15:restartNumberingAfterBreak="0">
    <w:nsid w:val="497564BC"/>
    <w:multiLevelType w:val="hybridMultilevel"/>
    <w:tmpl w:val="A9A80890"/>
    <w:lvl w:ilvl="0" w:tplc="F87095A0">
      <w:start w:val="1"/>
      <w:numFmt w:val="decimal"/>
      <w:lvlText w:val="%1."/>
      <w:lvlJc w:val="left"/>
      <w:pPr>
        <w:ind w:left="1080" w:hanging="360"/>
      </w:pPr>
    </w:lvl>
    <w:lvl w:ilvl="1" w:tplc="040E0019">
      <w:start w:val="1"/>
      <w:numFmt w:val="lowerLetter"/>
      <w:lvlText w:val="%2."/>
      <w:lvlJc w:val="left"/>
      <w:pPr>
        <w:ind w:left="1800" w:hanging="360"/>
      </w:pPr>
    </w:lvl>
    <w:lvl w:ilvl="2" w:tplc="040E001B">
      <w:start w:val="1"/>
      <w:numFmt w:val="lowerRoman"/>
      <w:lvlText w:val="%3."/>
      <w:lvlJc w:val="right"/>
      <w:pPr>
        <w:ind w:left="2520" w:hanging="180"/>
      </w:pPr>
    </w:lvl>
    <w:lvl w:ilvl="3" w:tplc="040E000F">
      <w:start w:val="1"/>
      <w:numFmt w:val="decimal"/>
      <w:lvlText w:val="%4."/>
      <w:lvlJc w:val="left"/>
      <w:pPr>
        <w:ind w:left="3240" w:hanging="360"/>
      </w:pPr>
    </w:lvl>
    <w:lvl w:ilvl="4" w:tplc="040E0019">
      <w:start w:val="1"/>
      <w:numFmt w:val="lowerLetter"/>
      <w:lvlText w:val="%5."/>
      <w:lvlJc w:val="left"/>
      <w:pPr>
        <w:ind w:left="3960" w:hanging="360"/>
      </w:pPr>
    </w:lvl>
    <w:lvl w:ilvl="5" w:tplc="040E001B">
      <w:start w:val="1"/>
      <w:numFmt w:val="lowerRoman"/>
      <w:lvlText w:val="%6."/>
      <w:lvlJc w:val="right"/>
      <w:pPr>
        <w:ind w:left="4680" w:hanging="180"/>
      </w:pPr>
    </w:lvl>
    <w:lvl w:ilvl="6" w:tplc="040E000F">
      <w:start w:val="1"/>
      <w:numFmt w:val="decimal"/>
      <w:lvlText w:val="%7."/>
      <w:lvlJc w:val="left"/>
      <w:pPr>
        <w:ind w:left="5400" w:hanging="360"/>
      </w:pPr>
    </w:lvl>
    <w:lvl w:ilvl="7" w:tplc="040E0019">
      <w:start w:val="1"/>
      <w:numFmt w:val="lowerLetter"/>
      <w:lvlText w:val="%8."/>
      <w:lvlJc w:val="left"/>
      <w:pPr>
        <w:ind w:left="6120" w:hanging="360"/>
      </w:pPr>
    </w:lvl>
    <w:lvl w:ilvl="8" w:tplc="040E001B">
      <w:start w:val="1"/>
      <w:numFmt w:val="lowerRoman"/>
      <w:lvlText w:val="%9."/>
      <w:lvlJc w:val="right"/>
      <w:pPr>
        <w:ind w:left="6840" w:hanging="180"/>
      </w:pPr>
    </w:lvl>
  </w:abstractNum>
  <w:abstractNum w:abstractNumId="491" w15:restartNumberingAfterBreak="0">
    <w:nsid w:val="4976773B"/>
    <w:multiLevelType w:val="hybridMultilevel"/>
    <w:tmpl w:val="DEF04FC0"/>
    <w:lvl w:ilvl="0" w:tplc="A2F0707A">
      <w:start w:val="1"/>
      <w:numFmt w:val="decimal"/>
      <w:lvlText w:val="%1."/>
      <w:lvlJc w:val="left"/>
      <w:pPr>
        <w:ind w:left="786" w:hanging="360"/>
      </w:pPr>
      <w:rPr>
        <w:rFonts w:hint="default"/>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92" w15:restartNumberingAfterBreak="0">
    <w:nsid w:val="49867021"/>
    <w:multiLevelType w:val="hybridMultilevel"/>
    <w:tmpl w:val="D99255FC"/>
    <w:lvl w:ilvl="0" w:tplc="2EBE9C76">
      <w:start w:val="8"/>
      <w:numFmt w:val="bullet"/>
      <w:lvlText w:val="-"/>
      <w:lvlJc w:val="left"/>
      <w:pPr>
        <w:ind w:left="786" w:hanging="360"/>
      </w:pPr>
      <w:rPr>
        <w:rFonts w:ascii="Times New Roman" w:eastAsia="Times New Roman" w:hAnsi="Times New Roman" w:cs="Times New Roman"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493" w15:restartNumberingAfterBreak="0">
    <w:nsid w:val="49935DB8"/>
    <w:multiLevelType w:val="hybridMultilevel"/>
    <w:tmpl w:val="6A3AD574"/>
    <w:lvl w:ilvl="0" w:tplc="B148BBDC">
      <w:start w:val="1"/>
      <w:numFmt w:val="decimal"/>
      <w:lvlText w:val="%1."/>
      <w:lvlJc w:val="left"/>
      <w:pPr>
        <w:ind w:left="1068"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94" w15:restartNumberingAfterBreak="0">
    <w:nsid w:val="49B01B46"/>
    <w:multiLevelType w:val="hybridMultilevel"/>
    <w:tmpl w:val="66927DBE"/>
    <w:lvl w:ilvl="0" w:tplc="040E000F">
      <w:start w:val="1"/>
      <w:numFmt w:val="decimal"/>
      <w:lvlText w:val="%1."/>
      <w:lvlJc w:val="left"/>
      <w:pPr>
        <w:ind w:left="1512" w:hanging="360"/>
      </w:pPr>
    </w:lvl>
    <w:lvl w:ilvl="1" w:tplc="040E0019" w:tentative="1">
      <w:start w:val="1"/>
      <w:numFmt w:val="lowerLetter"/>
      <w:lvlText w:val="%2."/>
      <w:lvlJc w:val="left"/>
      <w:pPr>
        <w:ind w:left="2232" w:hanging="360"/>
      </w:pPr>
    </w:lvl>
    <w:lvl w:ilvl="2" w:tplc="040E001B" w:tentative="1">
      <w:start w:val="1"/>
      <w:numFmt w:val="lowerRoman"/>
      <w:lvlText w:val="%3."/>
      <w:lvlJc w:val="right"/>
      <w:pPr>
        <w:ind w:left="2952" w:hanging="180"/>
      </w:pPr>
    </w:lvl>
    <w:lvl w:ilvl="3" w:tplc="040E000F" w:tentative="1">
      <w:start w:val="1"/>
      <w:numFmt w:val="decimal"/>
      <w:lvlText w:val="%4."/>
      <w:lvlJc w:val="left"/>
      <w:pPr>
        <w:ind w:left="3672" w:hanging="360"/>
      </w:pPr>
    </w:lvl>
    <w:lvl w:ilvl="4" w:tplc="040E0019" w:tentative="1">
      <w:start w:val="1"/>
      <w:numFmt w:val="lowerLetter"/>
      <w:lvlText w:val="%5."/>
      <w:lvlJc w:val="left"/>
      <w:pPr>
        <w:ind w:left="4392" w:hanging="360"/>
      </w:pPr>
    </w:lvl>
    <w:lvl w:ilvl="5" w:tplc="040E001B" w:tentative="1">
      <w:start w:val="1"/>
      <w:numFmt w:val="lowerRoman"/>
      <w:lvlText w:val="%6."/>
      <w:lvlJc w:val="right"/>
      <w:pPr>
        <w:ind w:left="5112" w:hanging="180"/>
      </w:pPr>
    </w:lvl>
    <w:lvl w:ilvl="6" w:tplc="040E000F" w:tentative="1">
      <w:start w:val="1"/>
      <w:numFmt w:val="decimal"/>
      <w:lvlText w:val="%7."/>
      <w:lvlJc w:val="left"/>
      <w:pPr>
        <w:ind w:left="5832" w:hanging="360"/>
      </w:pPr>
    </w:lvl>
    <w:lvl w:ilvl="7" w:tplc="040E0019" w:tentative="1">
      <w:start w:val="1"/>
      <w:numFmt w:val="lowerLetter"/>
      <w:lvlText w:val="%8."/>
      <w:lvlJc w:val="left"/>
      <w:pPr>
        <w:ind w:left="6552" w:hanging="360"/>
      </w:pPr>
    </w:lvl>
    <w:lvl w:ilvl="8" w:tplc="040E001B" w:tentative="1">
      <w:start w:val="1"/>
      <w:numFmt w:val="lowerRoman"/>
      <w:lvlText w:val="%9."/>
      <w:lvlJc w:val="right"/>
      <w:pPr>
        <w:ind w:left="7272" w:hanging="180"/>
      </w:pPr>
    </w:lvl>
  </w:abstractNum>
  <w:abstractNum w:abstractNumId="495" w15:restartNumberingAfterBreak="0">
    <w:nsid w:val="49D652B0"/>
    <w:multiLevelType w:val="multilevel"/>
    <w:tmpl w:val="243ED95C"/>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96" w15:restartNumberingAfterBreak="0">
    <w:nsid w:val="4A6965D6"/>
    <w:multiLevelType w:val="multilevel"/>
    <w:tmpl w:val="22C65956"/>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97" w15:restartNumberingAfterBreak="0">
    <w:nsid w:val="4A724D87"/>
    <w:multiLevelType w:val="multilevel"/>
    <w:tmpl w:val="A838F618"/>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98" w15:restartNumberingAfterBreak="0">
    <w:nsid w:val="4A864164"/>
    <w:multiLevelType w:val="hybridMultilevel"/>
    <w:tmpl w:val="B5F4D506"/>
    <w:lvl w:ilvl="0" w:tplc="F90AA5CA">
      <w:numFmt w:val="bullet"/>
      <w:lvlText w:val="-"/>
      <w:lvlJc w:val="left"/>
      <w:pPr>
        <w:ind w:left="1145" w:hanging="360"/>
      </w:pPr>
      <w:rPr>
        <w:rFonts w:ascii="Times New Roman" w:eastAsia="Times New Roman" w:hAnsi="Times New Roman"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499" w15:restartNumberingAfterBreak="0">
    <w:nsid w:val="4A8E7132"/>
    <w:multiLevelType w:val="multilevel"/>
    <w:tmpl w:val="98E65E2E"/>
    <w:lvl w:ilvl="0">
      <w:start w:val="16"/>
      <w:numFmt w:val="decimal"/>
      <w:lvlText w:val="%1."/>
      <w:lvlJc w:val="right"/>
      <w:pPr>
        <w:tabs>
          <w:tab w:val="num" w:pos="644"/>
        </w:tabs>
        <w:ind w:left="644" w:hanging="360"/>
      </w:pPr>
      <w:rPr>
        <w:rFonts w:ascii="Times New Roman" w:hAnsi="Times New Roman" w:cs="Times New Roman" w:hint="default"/>
        <w:b/>
        <w:i w:val="0"/>
        <w:caps w:val="0"/>
        <w:strike w:val="0"/>
        <w:dstrike w:val="0"/>
        <w:vanish w:val="0"/>
        <w:color w:val="000000"/>
        <w:sz w:val="24"/>
        <w:szCs w:val="24"/>
        <w:u w:val="none"/>
        <w:effect w:val="none"/>
        <w:vertAlign w:val="baseline"/>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724"/>
        </w:tabs>
        <w:ind w:left="1508" w:hanging="504"/>
      </w:pPr>
      <w:rPr>
        <w:rFonts w:hint="default"/>
        <w:b/>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500" w15:restartNumberingAfterBreak="0">
    <w:nsid w:val="4A9E5967"/>
    <w:multiLevelType w:val="hybridMultilevel"/>
    <w:tmpl w:val="26CE2ADC"/>
    <w:lvl w:ilvl="0" w:tplc="F29CF34C">
      <w:start w:val="1"/>
      <w:numFmt w:val="bullet"/>
      <w:lvlText w:val=""/>
      <w:lvlJc w:val="left"/>
      <w:pPr>
        <w:ind w:left="1146" w:hanging="360"/>
      </w:pPr>
      <w:rPr>
        <w:rFonts w:ascii="Symbol" w:hAnsi="Symbol" w:hint="default"/>
      </w:rPr>
    </w:lvl>
    <w:lvl w:ilvl="1" w:tplc="040E0003">
      <w:start w:val="1"/>
      <w:numFmt w:val="bullet"/>
      <w:lvlText w:val="o"/>
      <w:lvlJc w:val="left"/>
      <w:pPr>
        <w:ind w:left="1866" w:hanging="360"/>
      </w:pPr>
      <w:rPr>
        <w:rFonts w:ascii="Courier New" w:hAnsi="Courier New" w:cs="Courier New" w:hint="default"/>
      </w:rPr>
    </w:lvl>
    <w:lvl w:ilvl="2" w:tplc="040E0005">
      <w:start w:val="1"/>
      <w:numFmt w:val="bullet"/>
      <w:lvlText w:val=""/>
      <w:lvlJc w:val="left"/>
      <w:pPr>
        <w:ind w:left="2586" w:hanging="360"/>
      </w:pPr>
      <w:rPr>
        <w:rFonts w:ascii="Wingdings" w:hAnsi="Wingdings" w:hint="default"/>
      </w:rPr>
    </w:lvl>
    <w:lvl w:ilvl="3" w:tplc="040E0001">
      <w:start w:val="1"/>
      <w:numFmt w:val="bullet"/>
      <w:lvlText w:val=""/>
      <w:lvlJc w:val="left"/>
      <w:pPr>
        <w:ind w:left="3306" w:hanging="360"/>
      </w:pPr>
      <w:rPr>
        <w:rFonts w:ascii="Symbol" w:hAnsi="Symbol" w:hint="default"/>
      </w:rPr>
    </w:lvl>
    <w:lvl w:ilvl="4" w:tplc="040E0003">
      <w:start w:val="1"/>
      <w:numFmt w:val="bullet"/>
      <w:lvlText w:val="o"/>
      <w:lvlJc w:val="left"/>
      <w:pPr>
        <w:ind w:left="4026" w:hanging="360"/>
      </w:pPr>
      <w:rPr>
        <w:rFonts w:ascii="Courier New" w:hAnsi="Courier New" w:cs="Courier New" w:hint="default"/>
      </w:rPr>
    </w:lvl>
    <w:lvl w:ilvl="5" w:tplc="040E0005">
      <w:start w:val="1"/>
      <w:numFmt w:val="bullet"/>
      <w:lvlText w:val=""/>
      <w:lvlJc w:val="left"/>
      <w:pPr>
        <w:ind w:left="4746" w:hanging="360"/>
      </w:pPr>
      <w:rPr>
        <w:rFonts w:ascii="Wingdings" w:hAnsi="Wingdings" w:hint="default"/>
      </w:rPr>
    </w:lvl>
    <w:lvl w:ilvl="6" w:tplc="040E0001">
      <w:start w:val="1"/>
      <w:numFmt w:val="bullet"/>
      <w:lvlText w:val=""/>
      <w:lvlJc w:val="left"/>
      <w:pPr>
        <w:ind w:left="5466" w:hanging="360"/>
      </w:pPr>
      <w:rPr>
        <w:rFonts w:ascii="Symbol" w:hAnsi="Symbol" w:hint="default"/>
      </w:rPr>
    </w:lvl>
    <w:lvl w:ilvl="7" w:tplc="040E0003">
      <w:start w:val="1"/>
      <w:numFmt w:val="bullet"/>
      <w:lvlText w:val="o"/>
      <w:lvlJc w:val="left"/>
      <w:pPr>
        <w:ind w:left="6186" w:hanging="360"/>
      </w:pPr>
      <w:rPr>
        <w:rFonts w:ascii="Courier New" w:hAnsi="Courier New" w:cs="Courier New" w:hint="default"/>
      </w:rPr>
    </w:lvl>
    <w:lvl w:ilvl="8" w:tplc="040E0005">
      <w:start w:val="1"/>
      <w:numFmt w:val="bullet"/>
      <w:lvlText w:val=""/>
      <w:lvlJc w:val="left"/>
      <w:pPr>
        <w:ind w:left="6906" w:hanging="360"/>
      </w:pPr>
      <w:rPr>
        <w:rFonts w:ascii="Wingdings" w:hAnsi="Wingdings" w:hint="default"/>
      </w:rPr>
    </w:lvl>
  </w:abstractNum>
  <w:abstractNum w:abstractNumId="501" w15:restartNumberingAfterBreak="0">
    <w:nsid w:val="4AA72646"/>
    <w:multiLevelType w:val="hybridMultilevel"/>
    <w:tmpl w:val="24229BC6"/>
    <w:lvl w:ilvl="0" w:tplc="C12AFDA6">
      <w:start w:val="1"/>
      <w:numFmt w:val="decimal"/>
      <w:lvlText w:val="%1."/>
      <w:lvlJc w:val="left"/>
      <w:pPr>
        <w:ind w:left="108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02" w15:restartNumberingAfterBreak="0">
    <w:nsid w:val="4AB24D8E"/>
    <w:multiLevelType w:val="hybridMultilevel"/>
    <w:tmpl w:val="F6D4B356"/>
    <w:lvl w:ilvl="0" w:tplc="F90AA5CA">
      <w:numFmt w:val="bullet"/>
      <w:lvlText w:val="-"/>
      <w:lvlJc w:val="left"/>
      <w:pPr>
        <w:ind w:left="1146" w:hanging="360"/>
      </w:pPr>
      <w:rPr>
        <w:rFonts w:ascii="Times New Roman" w:eastAsia="Times New Roman" w:hAnsi="Times New Roman" w:cs="Times New Roman" w:hint="default"/>
      </w:rPr>
    </w:lvl>
    <w:lvl w:ilvl="1" w:tplc="040E0003">
      <w:start w:val="1"/>
      <w:numFmt w:val="bullet"/>
      <w:lvlText w:val="o"/>
      <w:lvlJc w:val="left"/>
      <w:pPr>
        <w:ind w:left="1866" w:hanging="360"/>
      </w:pPr>
      <w:rPr>
        <w:rFonts w:ascii="Courier New" w:hAnsi="Courier New" w:cs="Courier New" w:hint="default"/>
      </w:rPr>
    </w:lvl>
    <w:lvl w:ilvl="2" w:tplc="040E0005">
      <w:start w:val="1"/>
      <w:numFmt w:val="bullet"/>
      <w:lvlText w:val=""/>
      <w:lvlJc w:val="left"/>
      <w:pPr>
        <w:ind w:left="2586" w:hanging="360"/>
      </w:pPr>
      <w:rPr>
        <w:rFonts w:ascii="Wingdings" w:hAnsi="Wingdings" w:hint="default"/>
      </w:rPr>
    </w:lvl>
    <w:lvl w:ilvl="3" w:tplc="040E0001">
      <w:start w:val="1"/>
      <w:numFmt w:val="bullet"/>
      <w:lvlText w:val=""/>
      <w:lvlJc w:val="left"/>
      <w:pPr>
        <w:ind w:left="3306" w:hanging="360"/>
      </w:pPr>
      <w:rPr>
        <w:rFonts w:ascii="Symbol" w:hAnsi="Symbol" w:hint="default"/>
      </w:rPr>
    </w:lvl>
    <w:lvl w:ilvl="4" w:tplc="040E0003">
      <w:start w:val="1"/>
      <w:numFmt w:val="bullet"/>
      <w:lvlText w:val="o"/>
      <w:lvlJc w:val="left"/>
      <w:pPr>
        <w:ind w:left="4026" w:hanging="360"/>
      </w:pPr>
      <w:rPr>
        <w:rFonts w:ascii="Courier New" w:hAnsi="Courier New" w:cs="Courier New" w:hint="default"/>
      </w:rPr>
    </w:lvl>
    <w:lvl w:ilvl="5" w:tplc="040E0005">
      <w:start w:val="1"/>
      <w:numFmt w:val="bullet"/>
      <w:lvlText w:val=""/>
      <w:lvlJc w:val="left"/>
      <w:pPr>
        <w:ind w:left="4746" w:hanging="360"/>
      </w:pPr>
      <w:rPr>
        <w:rFonts w:ascii="Wingdings" w:hAnsi="Wingdings" w:hint="default"/>
      </w:rPr>
    </w:lvl>
    <w:lvl w:ilvl="6" w:tplc="040E0001">
      <w:start w:val="1"/>
      <w:numFmt w:val="bullet"/>
      <w:lvlText w:val=""/>
      <w:lvlJc w:val="left"/>
      <w:pPr>
        <w:ind w:left="5466" w:hanging="360"/>
      </w:pPr>
      <w:rPr>
        <w:rFonts w:ascii="Symbol" w:hAnsi="Symbol" w:hint="default"/>
      </w:rPr>
    </w:lvl>
    <w:lvl w:ilvl="7" w:tplc="040E0003">
      <w:start w:val="1"/>
      <w:numFmt w:val="bullet"/>
      <w:lvlText w:val="o"/>
      <w:lvlJc w:val="left"/>
      <w:pPr>
        <w:ind w:left="6186" w:hanging="360"/>
      </w:pPr>
      <w:rPr>
        <w:rFonts w:ascii="Courier New" w:hAnsi="Courier New" w:cs="Courier New" w:hint="default"/>
      </w:rPr>
    </w:lvl>
    <w:lvl w:ilvl="8" w:tplc="040E0005">
      <w:start w:val="1"/>
      <w:numFmt w:val="bullet"/>
      <w:lvlText w:val=""/>
      <w:lvlJc w:val="left"/>
      <w:pPr>
        <w:ind w:left="6906" w:hanging="360"/>
      </w:pPr>
      <w:rPr>
        <w:rFonts w:ascii="Wingdings" w:hAnsi="Wingdings" w:hint="default"/>
      </w:rPr>
    </w:lvl>
  </w:abstractNum>
  <w:abstractNum w:abstractNumId="503" w15:restartNumberingAfterBreak="0">
    <w:nsid w:val="4ACC261A"/>
    <w:multiLevelType w:val="hybridMultilevel"/>
    <w:tmpl w:val="F08A8474"/>
    <w:lvl w:ilvl="0" w:tplc="BC663758">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04" w15:restartNumberingAfterBreak="0">
    <w:nsid w:val="4AE73731"/>
    <w:multiLevelType w:val="hybridMultilevel"/>
    <w:tmpl w:val="2E640056"/>
    <w:lvl w:ilvl="0" w:tplc="E76837CA">
      <w:start w:val="1"/>
      <w:numFmt w:val="decimal"/>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05" w15:restartNumberingAfterBreak="0">
    <w:nsid w:val="4AFC6496"/>
    <w:multiLevelType w:val="hybridMultilevel"/>
    <w:tmpl w:val="4B489A7A"/>
    <w:lvl w:ilvl="0" w:tplc="769CC574">
      <w:start w:val="1"/>
      <w:numFmt w:val="decimal"/>
      <w:lvlText w:val="%1."/>
      <w:lvlJc w:val="left"/>
      <w:pPr>
        <w:ind w:left="108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506" w15:restartNumberingAfterBreak="0">
    <w:nsid w:val="4B0E1AF0"/>
    <w:multiLevelType w:val="multilevel"/>
    <w:tmpl w:val="E2708D0C"/>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4"/>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507" w15:restartNumberingAfterBreak="0">
    <w:nsid w:val="4B106CA1"/>
    <w:multiLevelType w:val="hybridMultilevel"/>
    <w:tmpl w:val="BD84EDDE"/>
    <w:lvl w:ilvl="0" w:tplc="7A6CEBCE">
      <w:numFmt w:val="bullet"/>
      <w:lvlText w:val="-"/>
      <w:lvlJc w:val="left"/>
      <w:pPr>
        <w:ind w:left="786" w:hanging="360"/>
      </w:pPr>
      <w:rPr>
        <w:rFonts w:ascii="Times New Roman" w:eastAsia="Times New Roman" w:hAnsi="Times New Roman" w:cs="Times New Roman" w:hint="default"/>
        <w:b/>
      </w:rPr>
    </w:lvl>
    <w:lvl w:ilvl="1" w:tplc="040E0003">
      <w:start w:val="1"/>
      <w:numFmt w:val="bullet"/>
      <w:lvlText w:val="o"/>
      <w:lvlJc w:val="left"/>
      <w:pPr>
        <w:ind w:left="1506" w:hanging="360"/>
      </w:pPr>
      <w:rPr>
        <w:rFonts w:ascii="Courier New" w:hAnsi="Courier New" w:cs="Courier New" w:hint="default"/>
      </w:rPr>
    </w:lvl>
    <w:lvl w:ilvl="2" w:tplc="040E0005">
      <w:start w:val="1"/>
      <w:numFmt w:val="bullet"/>
      <w:lvlText w:val=""/>
      <w:lvlJc w:val="left"/>
      <w:pPr>
        <w:ind w:left="2226" w:hanging="360"/>
      </w:pPr>
      <w:rPr>
        <w:rFonts w:ascii="Wingdings" w:hAnsi="Wingdings" w:hint="default"/>
      </w:rPr>
    </w:lvl>
    <w:lvl w:ilvl="3" w:tplc="040E0001">
      <w:start w:val="1"/>
      <w:numFmt w:val="bullet"/>
      <w:lvlText w:val=""/>
      <w:lvlJc w:val="left"/>
      <w:pPr>
        <w:ind w:left="2946" w:hanging="360"/>
      </w:pPr>
      <w:rPr>
        <w:rFonts w:ascii="Symbol" w:hAnsi="Symbol" w:hint="default"/>
      </w:rPr>
    </w:lvl>
    <w:lvl w:ilvl="4" w:tplc="040E0003">
      <w:start w:val="1"/>
      <w:numFmt w:val="bullet"/>
      <w:lvlText w:val="o"/>
      <w:lvlJc w:val="left"/>
      <w:pPr>
        <w:ind w:left="3666" w:hanging="360"/>
      </w:pPr>
      <w:rPr>
        <w:rFonts w:ascii="Courier New" w:hAnsi="Courier New" w:cs="Courier New" w:hint="default"/>
      </w:rPr>
    </w:lvl>
    <w:lvl w:ilvl="5" w:tplc="040E0005">
      <w:start w:val="1"/>
      <w:numFmt w:val="bullet"/>
      <w:lvlText w:val=""/>
      <w:lvlJc w:val="left"/>
      <w:pPr>
        <w:ind w:left="4386" w:hanging="360"/>
      </w:pPr>
      <w:rPr>
        <w:rFonts w:ascii="Wingdings" w:hAnsi="Wingdings" w:hint="default"/>
      </w:rPr>
    </w:lvl>
    <w:lvl w:ilvl="6" w:tplc="040E0001">
      <w:start w:val="1"/>
      <w:numFmt w:val="bullet"/>
      <w:lvlText w:val=""/>
      <w:lvlJc w:val="left"/>
      <w:pPr>
        <w:ind w:left="5106" w:hanging="360"/>
      </w:pPr>
      <w:rPr>
        <w:rFonts w:ascii="Symbol" w:hAnsi="Symbol" w:hint="default"/>
      </w:rPr>
    </w:lvl>
    <w:lvl w:ilvl="7" w:tplc="040E0003">
      <w:start w:val="1"/>
      <w:numFmt w:val="bullet"/>
      <w:lvlText w:val="o"/>
      <w:lvlJc w:val="left"/>
      <w:pPr>
        <w:ind w:left="5826" w:hanging="360"/>
      </w:pPr>
      <w:rPr>
        <w:rFonts w:ascii="Courier New" w:hAnsi="Courier New" w:cs="Courier New" w:hint="default"/>
      </w:rPr>
    </w:lvl>
    <w:lvl w:ilvl="8" w:tplc="040E0005">
      <w:start w:val="1"/>
      <w:numFmt w:val="bullet"/>
      <w:lvlText w:val=""/>
      <w:lvlJc w:val="left"/>
      <w:pPr>
        <w:ind w:left="6546" w:hanging="360"/>
      </w:pPr>
      <w:rPr>
        <w:rFonts w:ascii="Wingdings" w:hAnsi="Wingdings" w:hint="default"/>
      </w:rPr>
    </w:lvl>
  </w:abstractNum>
  <w:abstractNum w:abstractNumId="508" w15:restartNumberingAfterBreak="0">
    <w:nsid w:val="4B165498"/>
    <w:multiLevelType w:val="multilevel"/>
    <w:tmpl w:val="2DA681FA"/>
    <w:lvl w:ilvl="0">
      <w:start w:val="8"/>
      <w:numFmt w:val="decimal"/>
      <w:lvlText w:val="%1."/>
      <w:lvlJc w:val="left"/>
      <w:pPr>
        <w:ind w:left="540" w:hanging="540"/>
      </w:pPr>
      <w:rPr>
        <w:rFonts w:hint="default"/>
      </w:rPr>
    </w:lvl>
    <w:lvl w:ilvl="1">
      <w:start w:val="1"/>
      <w:numFmt w:val="decimal"/>
      <w:lvlText w:val="%1.%2."/>
      <w:lvlJc w:val="left"/>
      <w:pPr>
        <w:ind w:left="753" w:hanging="54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509" w15:restartNumberingAfterBreak="0">
    <w:nsid w:val="4B22196D"/>
    <w:multiLevelType w:val="multilevel"/>
    <w:tmpl w:val="A3C421C6"/>
    <w:lvl w:ilvl="0">
      <w:start w:val="1"/>
      <w:numFmt w:val="decimal"/>
      <w:lvlText w:val="%1."/>
      <w:lvlJc w:val="left"/>
      <w:pPr>
        <w:tabs>
          <w:tab w:val="num" w:pos="360"/>
        </w:tabs>
        <w:ind w:left="360" w:hanging="360"/>
      </w:pPr>
      <w:rPr>
        <w:rFonts w:cs="Times New Roman"/>
        <w:b w:val="0"/>
        <w:i w:val="0"/>
        <w:sz w:val="24"/>
      </w:rPr>
    </w:lvl>
    <w:lvl w:ilvl="1">
      <w:start w:val="1"/>
      <w:numFmt w:val="decimal"/>
      <w:lvlText w:val="%1.%2."/>
      <w:lvlJc w:val="left"/>
      <w:pPr>
        <w:tabs>
          <w:tab w:val="num" w:pos="792"/>
        </w:tabs>
        <w:ind w:left="792" w:hanging="432"/>
      </w:pPr>
      <w:rPr>
        <w:rFonts w:cs="Times New Roman"/>
        <w:b/>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10" w15:restartNumberingAfterBreak="0">
    <w:nsid w:val="4B653904"/>
    <w:multiLevelType w:val="multilevel"/>
    <w:tmpl w:val="0562D33A"/>
    <w:lvl w:ilvl="0">
      <w:start w:val="8"/>
      <w:numFmt w:val="decimal"/>
      <w:lvlText w:val="%1."/>
      <w:lvlJc w:val="left"/>
      <w:pPr>
        <w:ind w:left="540" w:hanging="540"/>
      </w:pPr>
      <w:rPr>
        <w:rFonts w:hint="default"/>
      </w:rPr>
    </w:lvl>
    <w:lvl w:ilvl="1">
      <w:start w:val="1"/>
      <w:numFmt w:val="decimal"/>
      <w:lvlText w:val="%1.%2."/>
      <w:lvlJc w:val="left"/>
      <w:pPr>
        <w:ind w:left="753" w:hanging="54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511" w15:restartNumberingAfterBreak="0">
    <w:nsid w:val="4B8F04F6"/>
    <w:multiLevelType w:val="hybridMultilevel"/>
    <w:tmpl w:val="1ED2D044"/>
    <w:lvl w:ilvl="0" w:tplc="5F745670">
      <w:start w:val="1"/>
      <w:numFmt w:val="decimal"/>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12" w15:restartNumberingAfterBreak="0">
    <w:nsid w:val="4BC04C3E"/>
    <w:multiLevelType w:val="hybridMultilevel"/>
    <w:tmpl w:val="3D126048"/>
    <w:lvl w:ilvl="0" w:tplc="DE66B37C">
      <w:start w:val="8"/>
      <w:numFmt w:val="bullet"/>
      <w:lvlText w:val="-"/>
      <w:lvlJc w:val="left"/>
      <w:pPr>
        <w:ind w:left="786" w:hanging="360"/>
      </w:pPr>
      <w:rPr>
        <w:rFonts w:ascii="Times New Roman" w:eastAsia="Times New Roman" w:hAnsi="Times New Roman" w:cs="Times New Roman"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513" w15:restartNumberingAfterBreak="0">
    <w:nsid w:val="4BC7572B"/>
    <w:multiLevelType w:val="hybridMultilevel"/>
    <w:tmpl w:val="BF70DECC"/>
    <w:lvl w:ilvl="0" w:tplc="C00034B6">
      <w:start w:val="1"/>
      <w:numFmt w:val="decimal"/>
      <w:lvlText w:val="%1."/>
      <w:lvlJc w:val="left"/>
      <w:pPr>
        <w:ind w:left="144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14" w15:restartNumberingAfterBreak="0">
    <w:nsid w:val="4BCD3617"/>
    <w:multiLevelType w:val="multilevel"/>
    <w:tmpl w:val="076AF262"/>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515" w15:restartNumberingAfterBreak="0">
    <w:nsid w:val="4BE37559"/>
    <w:multiLevelType w:val="multilevel"/>
    <w:tmpl w:val="6F126E2C"/>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516" w15:restartNumberingAfterBreak="0">
    <w:nsid w:val="4C122348"/>
    <w:multiLevelType w:val="hybridMultilevel"/>
    <w:tmpl w:val="924E3C74"/>
    <w:lvl w:ilvl="0" w:tplc="884A1344">
      <w:start w:val="1"/>
      <w:numFmt w:val="decimal"/>
      <w:lvlText w:val="%1."/>
      <w:lvlJc w:val="left"/>
      <w:pPr>
        <w:ind w:left="644" w:hanging="360"/>
      </w:pPr>
      <w:rPr>
        <w:rFonts w:eastAsiaTheme="minorHAnsi"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17" w15:restartNumberingAfterBreak="0">
    <w:nsid w:val="4C22696D"/>
    <w:multiLevelType w:val="multilevel"/>
    <w:tmpl w:val="DAC07F30"/>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287"/>
        </w:tabs>
        <w:ind w:left="1071"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18" w15:restartNumberingAfterBreak="0">
    <w:nsid w:val="4C5A705D"/>
    <w:multiLevelType w:val="hybridMultilevel"/>
    <w:tmpl w:val="C986D496"/>
    <w:lvl w:ilvl="0" w:tplc="F90AA5CA">
      <w:numFmt w:val="bullet"/>
      <w:lvlText w:val="-"/>
      <w:lvlJc w:val="left"/>
      <w:pPr>
        <w:ind w:left="1145" w:hanging="360"/>
      </w:pPr>
      <w:rPr>
        <w:rFonts w:ascii="Times New Roman" w:eastAsia="Times New Roman" w:hAnsi="Times New Roman"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519" w15:restartNumberingAfterBreak="0">
    <w:nsid w:val="4C7A2C3C"/>
    <w:multiLevelType w:val="hybridMultilevel"/>
    <w:tmpl w:val="65EEF754"/>
    <w:lvl w:ilvl="0" w:tplc="F29CF34C">
      <w:start w:val="1"/>
      <w:numFmt w:val="bullet"/>
      <w:lvlText w:val=""/>
      <w:lvlJc w:val="left"/>
      <w:pPr>
        <w:ind w:left="1146" w:hanging="360"/>
      </w:pPr>
      <w:rPr>
        <w:rFonts w:ascii="Symbol" w:hAnsi="Symbol" w:hint="default"/>
      </w:rPr>
    </w:lvl>
    <w:lvl w:ilvl="1" w:tplc="040E0003">
      <w:start w:val="1"/>
      <w:numFmt w:val="bullet"/>
      <w:lvlText w:val="o"/>
      <w:lvlJc w:val="left"/>
      <w:pPr>
        <w:ind w:left="1866" w:hanging="360"/>
      </w:pPr>
      <w:rPr>
        <w:rFonts w:ascii="Courier New" w:hAnsi="Courier New" w:cs="Courier New" w:hint="default"/>
      </w:rPr>
    </w:lvl>
    <w:lvl w:ilvl="2" w:tplc="040E0005">
      <w:start w:val="1"/>
      <w:numFmt w:val="bullet"/>
      <w:lvlText w:val=""/>
      <w:lvlJc w:val="left"/>
      <w:pPr>
        <w:ind w:left="2586" w:hanging="360"/>
      </w:pPr>
      <w:rPr>
        <w:rFonts w:ascii="Wingdings" w:hAnsi="Wingdings" w:hint="default"/>
      </w:rPr>
    </w:lvl>
    <w:lvl w:ilvl="3" w:tplc="040E0001">
      <w:start w:val="1"/>
      <w:numFmt w:val="bullet"/>
      <w:lvlText w:val=""/>
      <w:lvlJc w:val="left"/>
      <w:pPr>
        <w:ind w:left="3306" w:hanging="360"/>
      </w:pPr>
      <w:rPr>
        <w:rFonts w:ascii="Symbol" w:hAnsi="Symbol" w:hint="default"/>
      </w:rPr>
    </w:lvl>
    <w:lvl w:ilvl="4" w:tplc="040E0003">
      <w:start w:val="1"/>
      <w:numFmt w:val="bullet"/>
      <w:lvlText w:val="o"/>
      <w:lvlJc w:val="left"/>
      <w:pPr>
        <w:ind w:left="4026" w:hanging="360"/>
      </w:pPr>
      <w:rPr>
        <w:rFonts w:ascii="Courier New" w:hAnsi="Courier New" w:cs="Courier New" w:hint="default"/>
      </w:rPr>
    </w:lvl>
    <w:lvl w:ilvl="5" w:tplc="040E0005">
      <w:start w:val="1"/>
      <w:numFmt w:val="bullet"/>
      <w:lvlText w:val=""/>
      <w:lvlJc w:val="left"/>
      <w:pPr>
        <w:ind w:left="4746" w:hanging="360"/>
      </w:pPr>
      <w:rPr>
        <w:rFonts w:ascii="Wingdings" w:hAnsi="Wingdings" w:hint="default"/>
      </w:rPr>
    </w:lvl>
    <w:lvl w:ilvl="6" w:tplc="040E0001">
      <w:start w:val="1"/>
      <w:numFmt w:val="bullet"/>
      <w:lvlText w:val=""/>
      <w:lvlJc w:val="left"/>
      <w:pPr>
        <w:ind w:left="5466" w:hanging="360"/>
      </w:pPr>
      <w:rPr>
        <w:rFonts w:ascii="Symbol" w:hAnsi="Symbol" w:hint="default"/>
      </w:rPr>
    </w:lvl>
    <w:lvl w:ilvl="7" w:tplc="040E0003">
      <w:start w:val="1"/>
      <w:numFmt w:val="bullet"/>
      <w:lvlText w:val="o"/>
      <w:lvlJc w:val="left"/>
      <w:pPr>
        <w:ind w:left="6186" w:hanging="360"/>
      </w:pPr>
      <w:rPr>
        <w:rFonts w:ascii="Courier New" w:hAnsi="Courier New" w:cs="Courier New" w:hint="default"/>
      </w:rPr>
    </w:lvl>
    <w:lvl w:ilvl="8" w:tplc="040E0005">
      <w:start w:val="1"/>
      <w:numFmt w:val="bullet"/>
      <w:lvlText w:val=""/>
      <w:lvlJc w:val="left"/>
      <w:pPr>
        <w:ind w:left="6906" w:hanging="360"/>
      </w:pPr>
      <w:rPr>
        <w:rFonts w:ascii="Wingdings" w:hAnsi="Wingdings" w:hint="default"/>
      </w:rPr>
    </w:lvl>
  </w:abstractNum>
  <w:abstractNum w:abstractNumId="520" w15:restartNumberingAfterBreak="0">
    <w:nsid w:val="4C8E37CE"/>
    <w:multiLevelType w:val="hybridMultilevel"/>
    <w:tmpl w:val="D0FE41A2"/>
    <w:lvl w:ilvl="0" w:tplc="DD48BCBA">
      <w:numFmt w:val="bullet"/>
      <w:lvlText w:val="-"/>
      <w:lvlJc w:val="left"/>
      <w:pPr>
        <w:ind w:left="786" w:hanging="360"/>
      </w:pPr>
      <w:rPr>
        <w:rFonts w:ascii="Times New Roman" w:eastAsia="Times New Roman" w:hAnsi="Times New Roman" w:cs="Times New Roman" w:hint="default"/>
      </w:rPr>
    </w:lvl>
    <w:lvl w:ilvl="1" w:tplc="040E0003">
      <w:start w:val="1"/>
      <w:numFmt w:val="bullet"/>
      <w:lvlText w:val="o"/>
      <w:lvlJc w:val="left"/>
      <w:pPr>
        <w:ind w:left="1506" w:hanging="360"/>
      </w:pPr>
      <w:rPr>
        <w:rFonts w:ascii="Courier New" w:hAnsi="Courier New" w:cs="Courier New" w:hint="default"/>
      </w:rPr>
    </w:lvl>
    <w:lvl w:ilvl="2" w:tplc="040E0005">
      <w:start w:val="1"/>
      <w:numFmt w:val="bullet"/>
      <w:lvlText w:val=""/>
      <w:lvlJc w:val="left"/>
      <w:pPr>
        <w:ind w:left="2226" w:hanging="360"/>
      </w:pPr>
      <w:rPr>
        <w:rFonts w:ascii="Wingdings" w:hAnsi="Wingdings" w:hint="default"/>
      </w:rPr>
    </w:lvl>
    <w:lvl w:ilvl="3" w:tplc="040E0001">
      <w:start w:val="1"/>
      <w:numFmt w:val="bullet"/>
      <w:lvlText w:val=""/>
      <w:lvlJc w:val="left"/>
      <w:pPr>
        <w:ind w:left="2946" w:hanging="360"/>
      </w:pPr>
      <w:rPr>
        <w:rFonts w:ascii="Symbol" w:hAnsi="Symbol" w:hint="default"/>
      </w:rPr>
    </w:lvl>
    <w:lvl w:ilvl="4" w:tplc="040E0003">
      <w:start w:val="1"/>
      <w:numFmt w:val="bullet"/>
      <w:lvlText w:val="o"/>
      <w:lvlJc w:val="left"/>
      <w:pPr>
        <w:ind w:left="3666" w:hanging="360"/>
      </w:pPr>
      <w:rPr>
        <w:rFonts w:ascii="Courier New" w:hAnsi="Courier New" w:cs="Courier New" w:hint="default"/>
      </w:rPr>
    </w:lvl>
    <w:lvl w:ilvl="5" w:tplc="040E0005">
      <w:start w:val="1"/>
      <w:numFmt w:val="bullet"/>
      <w:lvlText w:val=""/>
      <w:lvlJc w:val="left"/>
      <w:pPr>
        <w:ind w:left="4386" w:hanging="360"/>
      </w:pPr>
      <w:rPr>
        <w:rFonts w:ascii="Wingdings" w:hAnsi="Wingdings" w:hint="default"/>
      </w:rPr>
    </w:lvl>
    <w:lvl w:ilvl="6" w:tplc="040E0001">
      <w:start w:val="1"/>
      <w:numFmt w:val="bullet"/>
      <w:lvlText w:val=""/>
      <w:lvlJc w:val="left"/>
      <w:pPr>
        <w:ind w:left="5106" w:hanging="360"/>
      </w:pPr>
      <w:rPr>
        <w:rFonts w:ascii="Symbol" w:hAnsi="Symbol" w:hint="default"/>
      </w:rPr>
    </w:lvl>
    <w:lvl w:ilvl="7" w:tplc="040E0003">
      <w:start w:val="1"/>
      <w:numFmt w:val="bullet"/>
      <w:lvlText w:val="o"/>
      <w:lvlJc w:val="left"/>
      <w:pPr>
        <w:ind w:left="5826" w:hanging="360"/>
      </w:pPr>
      <w:rPr>
        <w:rFonts w:ascii="Courier New" w:hAnsi="Courier New" w:cs="Courier New" w:hint="default"/>
      </w:rPr>
    </w:lvl>
    <w:lvl w:ilvl="8" w:tplc="040E0005">
      <w:start w:val="1"/>
      <w:numFmt w:val="bullet"/>
      <w:lvlText w:val=""/>
      <w:lvlJc w:val="left"/>
      <w:pPr>
        <w:ind w:left="6546" w:hanging="360"/>
      </w:pPr>
      <w:rPr>
        <w:rFonts w:ascii="Wingdings" w:hAnsi="Wingdings" w:hint="default"/>
      </w:rPr>
    </w:lvl>
  </w:abstractNum>
  <w:abstractNum w:abstractNumId="521" w15:restartNumberingAfterBreak="0">
    <w:nsid w:val="4CC61FC1"/>
    <w:multiLevelType w:val="multilevel"/>
    <w:tmpl w:val="55EA852C"/>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522" w15:restartNumberingAfterBreak="0">
    <w:nsid w:val="4CEC4134"/>
    <w:multiLevelType w:val="hybridMultilevel"/>
    <w:tmpl w:val="56A8E47C"/>
    <w:lvl w:ilvl="0" w:tplc="F28EBEE2">
      <w:start w:val="1"/>
      <w:numFmt w:val="decimal"/>
      <w:lvlText w:val="%1."/>
      <w:lvlJc w:val="left"/>
      <w:pPr>
        <w:ind w:left="644" w:hanging="360"/>
      </w:pPr>
      <w:rPr>
        <w:rFonts w:eastAsiaTheme="minorHAnsi"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23" w15:restartNumberingAfterBreak="0">
    <w:nsid w:val="4CFB0A69"/>
    <w:multiLevelType w:val="hybridMultilevel"/>
    <w:tmpl w:val="2A461C4A"/>
    <w:lvl w:ilvl="0" w:tplc="26A4C20E">
      <w:start w:val="1"/>
      <w:numFmt w:val="decimal"/>
      <w:lvlText w:val="%1."/>
      <w:lvlJc w:val="left"/>
      <w:pPr>
        <w:ind w:left="786" w:hanging="360"/>
      </w:pPr>
      <w:rPr>
        <w:rFonts w:hint="default"/>
      </w:rPr>
    </w:lvl>
    <w:lvl w:ilvl="1" w:tplc="040E0019" w:tentative="1">
      <w:start w:val="1"/>
      <w:numFmt w:val="lowerLetter"/>
      <w:lvlText w:val="%2."/>
      <w:lvlJc w:val="left"/>
      <w:pPr>
        <w:ind w:left="1506" w:hanging="360"/>
      </w:pPr>
    </w:lvl>
    <w:lvl w:ilvl="2" w:tplc="040E001B" w:tentative="1">
      <w:start w:val="1"/>
      <w:numFmt w:val="lowerRoman"/>
      <w:lvlText w:val="%3."/>
      <w:lvlJc w:val="right"/>
      <w:pPr>
        <w:ind w:left="2226" w:hanging="180"/>
      </w:pPr>
    </w:lvl>
    <w:lvl w:ilvl="3" w:tplc="040E000F" w:tentative="1">
      <w:start w:val="1"/>
      <w:numFmt w:val="decimal"/>
      <w:lvlText w:val="%4."/>
      <w:lvlJc w:val="left"/>
      <w:pPr>
        <w:ind w:left="2946" w:hanging="360"/>
      </w:pPr>
    </w:lvl>
    <w:lvl w:ilvl="4" w:tplc="040E0019" w:tentative="1">
      <w:start w:val="1"/>
      <w:numFmt w:val="lowerLetter"/>
      <w:lvlText w:val="%5."/>
      <w:lvlJc w:val="left"/>
      <w:pPr>
        <w:ind w:left="3666" w:hanging="360"/>
      </w:pPr>
    </w:lvl>
    <w:lvl w:ilvl="5" w:tplc="040E001B" w:tentative="1">
      <w:start w:val="1"/>
      <w:numFmt w:val="lowerRoman"/>
      <w:lvlText w:val="%6."/>
      <w:lvlJc w:val="right"/>
      <w:pPr>
        <w:ind w:left="4386" w:hanging="180"/>
      </w:pPr>
    </w:lvl>
    <w:lvl w:ilvl="6" w:tplc="040E000F" w:tentative="1">
      <w:start w:val="1"/>
      <w:numFmt w:val="decimal"/>
      <w:lvlText w:val="%7."/>
      <w:lvlJc w:val="left"/>
      <w:pPr>
        <w:ind w:left="5106" w:hanging="360"/>
      </w:pPr>
    </w:lvl>
    <w:lvl w:ilvl="7" w:tplc="040E0019" w:tentative="1">
      <w:start w:val="1"/>
      <w:numFmt w:val="lowerLetter"/>
      <w:lvlText w:val="%8."/>
      <w:lvlJc w:val="left"/>
      <w:pPr>
        <w:ind w:left="5826" w:hanging="360"/>
      </w:pPr>
    </w:lvl>
    <w:lvl w:ilvl="8" w:tplc="040E001B" w:tentative="1">
      <w:start w:val="1"/>
      <w:numFmt w:val="lowerRoman"/>
      <w:lvlText w:val="%9."/>
      <w:lvlJc w:val="right"/>
      <w:pPr>
        <w:ind w:left="6546" w:hanging="180"/>
      </w:pPr>
    </w:lvl>
  </w:abstractNum>
  <w:abstractNum w:abstractNumId="524" w15:restartNumberingAfterBreak="0">
    <w:nsid w:val="4D43477F"/>
    <w:multiLevelType w:val="hybridMultilevel"/>
    <w:tmpl w:val="744C1B8E"/>
    <w:lvl w:ilvl="0" w:tplc="040E000F">
      <w:start w:val="1"/>
      <w:numFmt w:val="decimal"/>
      <w:lvlText w:val="%1."/>
      <w:lvlJc w:val="left"/>
      <w:pPr>
        <w:ind w:left="1211" w:hanging="360"/>
      </w:pPr>
      <w:rPr>
        <w:rFonts w:hint="default"/>
      </w:rPr>
    </w:lvl>
    <w:lvl w:ilvl="1" w:tplc="040E0019">
      <w:start w:val="1"/>
      <w:numFmt w:val="lowerLetter"/>
      <w:lvlText w:val="%2."/>
      <w:lvlJc w:val="left"/>
      <w:pPr>
        <w:ind w:left="1931" w:hanging="360"/>
      </w:pPr>
    </w:lvl>
    <w:lvl w:ilvl="2" w:tplc="040E001B" w:tentative="1">
      <w:start w:val="1"/>
      <w:numFmt w:val="lowerRoman"/>
      <w:lvlText w:val="%3."/>
      <w:lvlJc w:val="right"/>
      <w:pPr>
        <w:ind w:left="2651" w:hanging="180"/>
      </w:pPr>
    </w:lvl>
    <w:lvl w:ilvl="3" w:tplc="040E000F" w:tentative="1">
      <w:start w:val="1"/>
      <w:numFmt w:val="decimal"/>
      <w:lvlText w:val="%4."/>
      <w:lvlJc w:val="left"/>
      <w:pPr>
        <w:ind w:left="3371" w:hanging="360"/>
      </w:pPr>
    </w:lvl>
    <w:lvl w:ilvl="4" w:tplc="040E0019" w:tentative="1">
      <w:start w:val="1"/>
      <w:numFmt w:val="lowerLetter"/>
      <w:lvlText w:val="%5."/>
      <w:lvlJc w:val="left"/>
      <w:pPr>
        <w:ind w:left="4091" w:hanging="360"/>
      </w:pPr>
    </w:lvl>
    <w:lvl w:ilvl="5" w:tplc="040E001B" w:tentative="1">
      <w:start w:val="1"/>
      <w:numFmt w:val="lowerRoman"/>
      <w:lvlText w:val="%6."/>
      <w:lvlJc w:val="right"/>
      <w:pPr>
        <w:ind w:left="4811" w:hanging="180"/>
      </w:pPr>
    </w:lvl>
    <w:lvl w:ilvl="6" w:tplc="040E000F" w:tentative="1">
      <w:start w:val="1"/>
      <w:numFmt w:val="decimal"/>
      <w:lvlText w:val="%7."/>
      <w:lvlJc w:val="left"/>
      <w:pPr>
        <w:ind w:left="5531" w:hanging="360"/>
      </w:pPr>
    </w:lvl>
    <w:lvl w:ilvl="7" w:tplc="040E0019" w:tentative="1">
      <w:start w:val="1"/>
      <w:numFmt w:val="lowerLetter"/>
      <w:lvlText w:val="%8."/>
      <w:lvlJc w:val="left"/>
      <w:pPr>
        <w:ind w:left="6251" w:hanging="360"/>
      </w:pPr>
    </w:lvl>
    <w:lvl w:ilvl="8" w:tplc="040E001B" w:tentative="1">
      <w:start w:val="1"/>
      <w:numFmt w:val="lowerRoman"/>
      <w:lvlText w:val="%9."/>
      <w:lvlJc w:val="right"/>
      <w:pPr>
        <w:ind w:left="6971" w:hanging="180"/>
      </w:pPr>
    </w:lvl>
  </w:abstractNum>
  <w:abstractNum w:abstractNumId="525" w15:restartNumberingAfterBreak="0">
    <w:nsid w:val="4D8E0F3F"/>
    <w:multiLevelType w:val="multilevel"/>
    <w:tmpl w:val="4DEE150C"/>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526" w15:restartNumberingAfterBreak="0">
    <w:nsid w:val="4D8F2829"/>
    <w:multiLevelType w:val="multilevel"/>
    <w:tmpl w:val="856C0BA2"/>
    <w:lvl w:ilvl="0">
      <w:start w:val="10"/>
      <w:numFmt w:val="decimal"/>
      <w:lvlText w:val="%1."/>
      <w:lvlJc w:val="right"/>
      <w:pPr>
        <w:tabs>
          <w:tab w:val="num" w:pos="644"/>
        </w:tabs>
        <w:ind w:left="644"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rPr>
    </w:lvl>
    <w:lvl w:ilvl="1">
      <w:start w:val="1"/>
      <w:numFmt w:val="decimal"/>
      <w:lvlText w:val="%1.%2."/>
      <w:lvlJc w:val="left"/>
      <w:pPr>
        <w:tabs>
          <w:tab w:val="num" w:pos="1000"/>
        </w:tabs>
        <w:ind w:left="1000" w:hanging="432"/>
      </w:pPr>
      <w:rPr>
        <w:b/>
      </w:rPr>
    </w:lvl>
    <w:lvl w:ilvl="2">
      <w:start w:val="1"/>
      <w:numFmt w:val="decimal"/>
      <w:lvlText w:val="%1.%2.%3."/>
      <w:lvlJc w:val="left"/>
      <w:pPr>
        <w:tabs>
          <w:tab w:val="num" w:pos="1724"/>
        </w:tabs>
        <w:ind w:left="1508" w:hanging="504"/>
      </w:pPr>
      <w:rPr>
        <w:b/>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527" w15:restartNumberingAfterBreak="0">
    <w:nsid w:val="4DD36FC3"/>
    <w:multiLevelType w:val="multilevel"/>
    <w:tmpl w:val="F5148C80"/>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528" w15:restartNumberingAfterBreak="0">
    <w:nsid w:val="4DE63EF7"/>
    <w:multiLevelType w:val="multilevel"/>
    <w:tmpl w:val="89225064"/>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529" w15:restartNumberingAfterBreak="0">
    <w:nsid w:val="4DE76129"/>
    <w:multiLevelType w:val="hybridMultilevel"/>
    <w:tmpl w:val="5C3278A4"/>
    <w:lvl w:ilvl="0" w:tplc="3664EB18">
      <w:start w:val="1"/>
      <w:numFmt w:val="decimal"/>
      <w:lvlText w:val="%1."/>
      <w:lvlJc w:val="left"/>
      <w:pPr>
        <w:ind w:left="786" w:hanging="360"/>
      </w:pPr>
      <w:rPr>
        <w:rFonts w:hint="default"/>
      </w:rPr>
    </w:lvl>
    <w:lvl w:ilvl="1" w:tplc="040E0019" w:tentative="1">
      <w:start w:val="1"/>
      <w:numFmt w:val="lowerLetter"/>
      <w:lvlText w:val="%2."/>
      <w:lvlJc w:val="left"/>
      <w:pPr>
        <w:ind w:left="1506" w:hanging="360"/>
      </w:pPr>
    </w:lvl>
    <w:lvl w:ilvl="2" w:tplc="040E001B" w:tentative="1">
      <w:start w:val="1"/>
      <w:numFmt w:val="lowerRoman"/>
      <w:lvlText w:val="%3."/>
      <w:lvlJc w:val="right"/>
      <w:pPr>
        <w:ind w:left="2226" w:hanging="180"/>
      </w:pPr>
    </w:lvl>
    <w:lvl w:ilvl="3" w:tplc="040E000F" w:tentative="1">
      <w:start w:val="1"/>
      <w:numFmt w:val="decimal"/>
      <w:lvlText w:val="%4."/>
      <w:lvlJc w:val="left"/>
      <w:pPr>
        <w:ind w:left="2946" w:hanging="360"/>
      </w:pPr>
    </w:lvl>
    <w:lvl w:ilvl="4" w:tplc="040E0019" w:tentative="1">
      <w:start w:val="1"/>
      <w:numFmt w:val="lowerLetter"/>
      <w:lvlText w:val="%5."/>
      <w:lvlJc w:val="left"/>
      <w:pPr>
        <w:ind w:left="3666" w:hanging="360"/>
      </w:pPr>
    </w:lvl>
    <w:lvl w:ilvl="5" w:tplc="040E001B" w:tentative="1">
      <w:start w:val="1"/>
      <w:numFmt w:val="lowerRoman"/>
      <w:lvlText w:val="%6."/>
      <w:lvlJc w:val="right"/>
      <w:pPr>
        <w:ind w:left="4386" w:hanging="180"/>
      </w:pPr>
    </w:lvl>
    <w:lvl w:ilvl="6" w:tplc="040E000F" w:tentative="1">
      <w:start w:val="1"/>
      <w:numFmt w:val="decimal"/>
      <w:lvlText w:val="%7."/>
      <w:lvlJc w:val="left"/>
      <w:pPr>
        <w:ind w:left="5106" w:hanging="360"/>
      </w:pPr>
    </w:lvl>
    <w:lvl w:ilvl="7" w:tplc="040E0019" w:tentative="1">
      <w:start w:val="1"/>
      <w:numFmt w:val="lowerLetter"/>
      <w:lvlText w:val="%8."/>
      <w:lvlJc w:val="left"/>
      <w:pPr>
        <w:ind w:left="5826" w:hanging="360"/>
      </w:pPr>
    </w:lvl>
    <w:lvl w:ilvl="8" w:tplc="040E001B" w:tentative="1">
      <w:start w:val="1"/>
      <w:numFmt w:val="lowerRoman"/>
      <w:lvlText w:val="%9."/>
      <w:lvlJc w:val="right"/>
      <w:pPr>
        <w:ind w:left="6546" w:hanging="180"/>
      </w:pPr>
    </w:lvl>
  </w:abstractNum>
  <w:abstractNum w:abstractNumId="530" w15:restartNumberingAfterBreak="0">
    <w:nsid w:val="4DEC2593"/>
    <w:multiLevelType w:val="hybridMultilevel"/>
    <w:tmpl w:val="776A9936"/>
    <w:lvl w:ilvl="0" w:tplc="C3FAE52A">
      <w:numFmt w:val="bullet"/>
      <w:lvlText w:val="-"/>
      <w:lvlJc w:val="left"/>
      <w:pPr>
        <w:ind w:left="786" w:hanging="360"/>
      </w:pPr>
      <w:rPr>
        <w:rFonts w:ascii="Times New Roman" w:eastAsiaTheme="minorHAnsi" w:hAnsi="Times New Roman" w:cs="Times New Roman" w:hint="default"/>
      </w:rPr>
    </w:lvl>
    <w:lvl w:ilvl="1" w:tplc="040E0003">
      <w:start w:val="1"/>
      <w:numFmt w:val="bullet"/>
      <w:lvlText w:val="o"/>
      <w:lvlJc w:val="left"/>
      <w:pPr>
        <w:ind w:left="1506" w:hanging="360"/>
      </w:pPr>
      <w:rPr>
        <w:rFonts w:ascii="Courier New" w:hAnsi="Courier New" w:cs="Courier New" w:hint="default"/>
      </w:rPr>
    </w:lvl>
    <w:lvl w:ilvl="2" w:tplc="040E0005">
      <w:start w:val="1"/>
      <w:numFmt w:val="bullet"/>
      <w:lvlText w:val=""/>
      <w:lvlJc w:val="left"/>
      <w:pPr>
        <w:ind w:left="2226" w:hanging="360"/>
      </w:pPr>
      <w:rPr>
        <w:rFonts w:ascii="Wingdings" w:hAnsi="Wingdings" w:hint="default"/>
      </w:rPr>
    </w:lvl>
    <w:lvl w:ilvl="3" w:tplc="040E0001">
      <w:start w:val="1"/>
      <w:numFmt w:val="bullet"/>
      <w:lvlText w:val=""/>
      <w:lvlJc w:val="left"/>
      <w:pPr>
        <w:ind w:left="2946" w:hanging="360"/>
      </w:pPr>
      <w:rPr>
        <w:rFonts w:ascii="Symbol" w:hAnsi="Symbol" w:hint="default"/>
      </w:rPr>
    </w:lvl>
    <w:lvl w:ilvl="4" w:tplc="040E0003">
      <w:start w:val="1"/>
      <w:numFmt w:val="bullet"/>
      <w:lvlText w:val="o"/>
      <w:lvlJc w:val="left"/>
      <w:pPr>
        <w:ind w:left="3666" w:hanging="360"/>
      </w:pPr>
      <w:rPr>
        <w:rFonts w:ascii="Courier New" w:hAnsi="Courier New" w:cs="Courier New" w:hint="default"/>
      </w:rPr>
    </w:lvl>
    <w:lvl w:ilvl="5" w:tplc="040E0005">
      <w:start w:val="1"/>
      <w:numFmt w:val="bullet"/>
      <w:lvlText w:val=""/>
      <w:lvlJc w:val="left"/>
      <w:pPr>
        <w:ind w:left="4386" w:hanging="360"/>
      </w:pPr>
      <w:rPr>
        <w:rFonts w:ascii="Wingdings" w:hAnsi="Wingdings" w:hint="default"/>
      </w:rPr>
    </w:lvl>
    <w:lvl w:ilvl="6" w:tplc="040E0001">
      <w:start w:val="1"/>
      <w:numFmt w:val="bullet"/>
      <w:lvlText w:val=""/>
      <w:lvlJc w:val="left"/>
      <w:pPr>
        <w:ind w:left="5106" w:hanging="360"/>
      </w:pPr>
      <w:rPr>
        <w:rFonts w:ascii="Symbol" w:hAnsi="Symbol" w:hint="default"/>
      </w:rPr>
    </w:lvl>
    <w:lvl w:ilvl="7" w:tplc="040E0003">
      <w:start w:val="1"/>
      <w:numFmt w:val="bullet"/>
      <w:lvlText w:val="o"/>
      <w:lvlJc w:val="left"/>
      <w:pPr>
        <w:ind w:left="5826" w:hanging="360"/>
      </w:pPr>
      <w:rPr>
        <w:rFonts w:ascii="Courier New" w:hAnsi="Courier New" w:cs="Courier New" w:hint="default"/>
      </w:rPr>
    </w:lvl>
    <w:lvl w:ilvl="8" w:tplc="040E0005">
      <w:start w:val="1"/>
      <w:numFmt w:val="bullet"/>
      <w:lvlText w:val=""/>
      <w:lvlJc w:val="left"/>
      <w:pPr>
        <w:ind w:left="6546" w:hanging="360"/>
      </w:pPr>
      <w:rPr>
        <w:rFonts w:ascii="Wingdings" w:hAnsi="Wingdings" w:hint="default"/>
      </w:rPr>
    </w:lvl>
  </w:abstractNum>
  <w:abstractNum w:abstractNumId="531" w15:restartNumberingAfterBreak="0">
    <w:nsid w:val="4E3B6B7E"/>
    <w:multiLevelType w:val="hybridMultilevel"/>
    <w:tmpl w:val="56D21330"/>
    <w:lvl w:ilvl="0" w:tplc="452E51FA">
      <w:start w:val="8"/>
      <w:numFmt w:val="bullet"/>
      <w:lvlText w:val="-"/>
      <w:lvlJc w:val="left"/>
      <w:pPr>
        <w:ind w:left="786" w:hanging="360"/>
      </w:pPr>
      <w:rPr>
        <w:rFonts w:ascii="Times New Roman" w:eastAsiaTheme="minorHAnsi" w:hAnsi="Times New Roman" w:cs="Times New Roman" w:hint="default"/>
        <w:sz w:val="24"/>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532" w15:restartNumberingAfterBreak="0">
    <w:nsid w:val="4E530990"/>
    <w:multiLevelType w:val="hybridMultilevel"/>
    <w:tmpl w:val="2F8C8042"/>
    <w:lvl w:ilvl="0" w:tplc="BD306734">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33" w15:restartNumberingAfterBreak="0">
    <w:nsid w:val="4E892879"/>
    <w:multiLevelType w:val="multilevel"/>
    <w:tmpl w:val="B17A123A"/>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534" w15:restartNumberingAfterBreak="0">
    <w:nsid w:val="4E9C73B6"/>
    <w:multiLevelType w:val="hybridMultilevel"/>
    <w:tmpl w:val="D722EB80"/>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535" w15:restartNumberingAfterBreak="0">
    <w:nsid w:val="4EB7098C"/>
    <w:multiLevelType w:val="hybridMultilevel"/>
    <w:tmpl w:val="CD060E9A"/>
    <w:lvl w:ilvl="0" w:tplc="040E000F">
      <w:start w:val="1"/>
      <w:numFmt w:val="decimal"/>
      <w:lvlText w:val="%1."/>
      <w:lvlJc w:val="left"/>
      <w:pPr>
        <w:ind w:left="931" w:hanging="360"/>
      </w:pPr>
    </w:lvl>
    <w:lvl w:ilvl="1" w:tplc="040E0019">
      <w:start w:val="1"/>
      <w:numFmt w:val="lowerLetter"/>
      <w:lvlText w:val="%2."/>
      <w:lvlJc w:val="left"/>
      <w:pPr>
        <w:ind w:left="1651" w:hanging="360"/>
      </w:pPr>
    </w:lvl>
    <w:lvl w:ilvl="2" w:tplc="040E001B">
      <w:start w:val="1"/>
      <w:numFmt w:val="lowerRoman"/>
      <w:lvlText w:val="%3."/>
      <w:lvlJc w:val="right"/>
      <w:pPr>
        <w:ind w:left="2371" w:hanging="180"/>
      </w:pPr>
    </w:lvl>
    <w:lvl w:ilvl="3" w:tplc="040E000F">
      <w:start w:val="1"/>
      <w:numFmt w:val="decimal"/>
      <w:lvlText w:val="%4."/>
      <w:lvlJc w:val="left"/>
      <w:pPr>
        <w:ind w:left="3091" w:hanging="360"/>
      </w:pPr>
    </w:lvl>
    <w:lvl w:ilvl="4" w:tplc="040E0019">
      <w:start w:val="1"/>
      <w:numFmt w:val="lowerLetter"/>
      <w:lvlText w:val="%5."/>
      <w:lvlJc w:val="left"/>
      <w:pPr>
        <w:ind w:left="3811" w:hanging="360"/>
      </w:pPr>
    </w:lvl>
    <w:lvl w:ilvl="5" w:tplc="040E001B">
      <w:start w:val="1"/>
      <w:numFmt w:val="lowerRoman"/>
      <w:lvlText w:val="%6."/>
      <w:lvlJc w:val="right"/>
      <w:pPr>
        <w:ind w:left="4531" w:hanging="180"/>
      </w:pPr>
    </w:lvl>
    <w:lvl w:ilvl="6" w:tplc="040E000F">
      <w:start w:val="1"/>
      <w:numFmt w:val="decimal"/>
      <w:lvlText w:val="%7."/>
      <w:lvlJc w:val="left"/>
      <w:pPr>
        <w:ind w:left="5251" w:hanging="360"/>
      </w:pPr>
    </w:lvl>
    <w:lvl w:ilvl="7" w:tplc="040E0019">
      <w:start w:val="1"/>
      <w:numFmt w:val="lowerLetter"/>
      <w:lvlText w:val="%8."/>
      <w:lvlJc w:val="left"/>
      <w:pPr>
        <w:ind w:left="5971" w:hanging="360"/>
      </w:pPr>
    </w:lvl>
    <w:lvl w:ilvl="8" w:tplc="040E001B">
      <w:start w:val="1"/>
      <w:numFmt w:val="lowerRoman"/>
      <w:lvlText w:val="%9."/>
      <w:lvlJc w:val="right"/>
      <w:pPr>
        <w:ind w:left="6691" w:hanging="180"/>
      </w:pPr>
    </w:lvl>
  </w:abstractNum>
  <w:abstractNum w:abstractNumId="536" w15:restartNumberingAfterBreak="0">
    <w:nsid w:val="4EC23644"/>
    <w:multiLevelType w:val="multilevel"/>
    <w:tmpl w:val="843A4CCC"/>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3."/>
      <w:lvlJc w:val="left"/>
      <w:pPr>
        <w:tabs>
          <w:tab w:val="num" w:pos="1571"/>
        </w:tabs>
        <w:ind w:left="1355"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537" w15:restartNumberingAfterBreak="0">
    <w:nsid w:val="4ED74AA5"/>
    <w:multiLevelType w:val="multilevel"/>
    <w:tmpl w:val="376EE298"/>
    <w:lvl w:ilvl="0">
      <w:start w:val="1"/>
      <w:numFmt w:val="decimal"/>
      <w:lvlText w:val="%1."/>
      <w:lvlJc w:val="right"/>
      <w:pPr>
        <w:tabs>
          <w:tab w:val="num" w:pos="644"/>
        </w:tabs>
        <w:ind w:left="644" w:hanging="360"/>
      </w:pPr>
      <w:rPr>
        <w:rFonts w:ascii="Times New Roman" w:hAnsi="Times New Roman"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4119"/>
        </w:tabs>
        <w:ind w:left="4119" w:hanging="432"/>
      </w:pPr>
      <w:rPr>
        <w:rFonts w:ascii="Times New Roman" w:hAnsi="Times New Roman" w:cs="Times New Roman" w:hint="default"/>
        <w:b/>
        <w:i w:val="0"/>
      </w:rPr>
    </w:lvl>
    <w:lvl w:ilvl="2">
      <w:start w:val="1"/>
      <w:numFmt w:val="decimal"/>
      <w:lvlText w:val="%1.%2.%3."/>
      <w:lvlJc w:val="left"/>
      <w:pPr>
        <w:tabs>
          <w:tab w:val="num" w:pos="1942"/>
        </w:tabs>
        <w:ind w:left="1726" w:hanging="504"/>
      </w:pPr>
    </w:lvl>
    <w:lvl w:ilvl="3">
      <w:start w:val="1"/>
      <w:numFmt w:val="decimal"/>
      <w:lvlText w:val="%1.%2.%3.%4."/>
      <w:lvlJc w:val="left"/>
      <w:pPr>
        <w:tabs>
          <w:tab w:val="num" w:pos="2302"/>
        </w:tabs>
        <w:ind w:left="2230" w:hanging="648"/>
      </w:pPr>
    </w:lvl>
    <w:lvl w:ilvl="4">
      <w:start w:val="1"/>
      <w:numFmt w:val="decimal"/>
      <w:lvlText w:val="%1.%2.%3.%4.%5."/>
      <w:lvlJc w:val="left"/>
      <w:pPr>
        <w:tabs>
          <w:tab w:val="num" w:pos="3022"/>
        </w:tabs>
        <w:ind w:left="2734" w:hanging="792"/>
      </w:pPr>
    </w:lvl>
    <w:lvl w:ilvl="5">
      <w:start w:val="1"/>
      <w:numFmt w:val="decimal"/>
      <w:lvlText w:val="%1.%2.%3.%4.%5.%6."/>
      <w:lvlJc w:val="left"/>
      <w:pPr>
        <w:tabs>
          <w:tab w:val="num" w:pos="3382"/>
        </w:tabs>
        <w:ind w:left="3238" w:hanging="936"/>
      </w:pPr>
    </w:lvl>
    <w:lvl w:ilvl="6">
      <w:start w:val="1"/>
      <w:numFmt w:val="decimal"/>
      <w:lvlText w:val="%1.%2.%3.%4.%5.%6.%7."/>
      <w:lvlJc w:val="left"/>
      <w:pPr>
        <w:tabs>
          <w:tab w:val="num" w:pos="4102"/>
        </w:tabs>
        <w:ind w:left="3742" w:hanging="1080"/>
      </w:pPr>
    </w:lvl>
    <w:lvl w:ilvl="7">
      <w:start w:val="1"/>
      <w:numFmt w:val="decimal"/>
      <w:lvlText w:val="%1.%2.%3.%4.%5.%6.%7.%8."/>
      <w:lvlJc w:val="left"/>
      <w:pPr>
        <w:tabs>
          <w:tab w:val="num" w:pos="4462"/>
        </w:tabs>
        <w:ind w:left="4246" w:hanging="1224"/>
      </w:pPr>
    </w:lvl>
    <w:lvl w:ilvl="8">
      <w:start w:val="1"/>
      <w:numFmt w:val="decimal"/>
      <w:lvlText w:val="%1.%2.%3.%4.%5.%6.%7.%8.%9."/>
      <w:lvlJc w:val="left"/>
      <w:pPr>
        <w:tabs>
          <w:tab w:val="num" w:pos="5182"/>
        </w:tabs>
        <w:ind w:left="4822" w:hanging="1440"/>
      </w:pPr>
    </w:lvl>
  </w:abstractNum>
  <w:abstractNum w:abstractNumId="538" w15:restartNumberingAfterBreak="0">
    <w:nsid w:val="4EE02BCB"/>
    <w:multiLevelType w:val="hybridMultilevel"/>
    <w:tmpl w:val="A10274E4"/>
    <w:lvl w:ilvl="0" w:tplc="F90AA5CA">
      <w:numFmt w:val="bullet"/>
      <w:lvlText w:val="-"/>
      <w:lvlJc w:val="left"/>
      <w:pPr>
        <w:ind w:left="1145" w:hanging="360"/>
      </w:pPr>
      <w:rPr>
        <w:rFonts w:ascii="Times New Roman" w:eastAsia="Times New Roman" w:hAnsi="Times New Roman"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539" w15:restartNumberingAfterBreak="0">
    <w:nsid w:val="4F3D2FEF"/>
    <w:multiLevelType w:val="hybridMultilevel"/>
    <w:tmpl w:val="E6FA974A"/>
    <w:lvl w:ilvl="0" w:tplc="D85E3E78">
      <w:start w:val="1"/>
      <w:numFmt w:val="decimal"/>
      <w:lvlText w:val="%1."/>
      <w:lvlJc w:val="left"/>
      <w:pPr>
        <w:ind w:left="786" w:hanging="360"/>
      </w:pPr>
      <w:rPr>
        <w:rFonts w:hint="default"/>
      </w:rPr>
    </w:lvl>
    <w:lvl w:ilvl="1" w:tplc="040E0019" w:tentative="1">
      <w:start w:val="1"/>
      <w:numFmt w:val="lowerLetter"/>
      <w:lvlText w:val="%2."/>
      <w:lvlJc w:val="left"/>
      <w:pPr>
        <w:ind w:left="1506" w:hanging="360"/>
      </w:pPr>
    </w:lvl>
    <w:lvl w:ilvl="2" w:tplc="040E001B" w:tentative="1">
      <w:start w:val="1"/>
      <w:numFmt w:val="lowerRoman"/>
      <w:lvlText w:val="%3."/>
      <w:lvlJc w:val="right"/>
      <w:pPr>
        <w:ind w:left="2226" w:hanging="180"/>
      </w:pPr>
    </w:lvl>
    <w:lvl w:ilvl="3" w:tplc="040E000F" w:tentative="1">
      <w:start w:val="1"/>
      <w:numFmt w:val="decimal"/>
      <w:lvlText w:val="%4."/>
      <w:lvlJc w:val="left"/>
      <w:pPr>
        <w:ind w:left="2946" w:hanging="360"/>
      </w:pPr>
    </w:lvl>
    <w:lvl w:ilvl="4" w:tplc="040E0019" w:tentative="1">
      <w:start w:val="1"/>
      <w:numFmt w:val="lowerLetter"/>
      <w:lvlText w:val="%5."/>
      <w:lvlJc w:val="left"/>
      <w:pPr>
        <w:ind w:left="3666" w:hanging="360"/>
      </w:pPr>
    </w:lvl>
    <w:lvl w:ilvl="5" w:tplc="040E001B" w:tentative="1">
      <w:start w:val="1"/>
      <w:numFmt w:val="lowerRoman"/>
      <w:lvlText w:val="%6."/>
      <w:lvlJc w:val="right"/>
      <w:pPr>
        <w:ind w:left="4386" w:hanging="180"/>
      </w:pPr>
    </w:lvl>
    <w:lvl w:ilvl="6" w:tplc="040E000F" w:tentative="1">
      <w:start w:val="1"/>
      <w:numFmt w:val="decimal"/>
      <w:lvlText w:val="%7."/>
      <w:lvlJc w:val="left"/>
      <w:pPr>
        <w:ind w:left="5106" w:hanging="360"/>
      </w:pPr>
    </w:lvl>
    <w:lvl w:ilvl="7" w:tplc="040E0019" w:tentative="1">
      <w:start w:val="1"/>
      <w:numFmt w:val="lowerLetter"/>
      <w:lvlText w:val="%8."/>
      <w:lvlJc w:val="left"/>
      <w:pPr>
        <w:ind w:left="5826" w:hanging="360"/>
      </w:pPr>
    </w:lvl>
    <w:lvl w:ilvl="8" w:tplc="040E001B" w:tentative="1">
      <w:start w:val="1"/>
      <w:numFmt w:val="lowerRoman"/>
      <w:lvlText w:val="%9."/>
      <w:lvlJc w:val="right"/>
      <w:pPr>
        <w:ind w:left="6546" w:hanging="180"/>
      </w:pPr>
    </w:lvl>
  </w:abstractNum>
  <w:abstractNum w:abstractNumId="540" w15:restartNumberingAfterBreak="0">
    <w:nsid w:val="4F616F5B"/>
    <w:multiLevelType w:val="hybridMultilevel"/>
    <w:tmpl w:val="AD7630EA"/>
    <w:lvl w:ilvl="0" w:tplc="EB7A497C">
      <w:start w:val="1"/>
      <w:numFmt w:val="decimal"/>
      <w:lvlText w:val="%1."/>
      <w:lvlJc w:val="left"/>
      <w:pPr>
        <w:ind w:left="720" w:hanging="360"/>
      </w:pPr>
      <w:rPr>
        <w:rFonts w:eastAsiaTheme="minorHAnsi"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41" w15:restartNumberingAfterBreak="0">
    <w:nsid w:val="4F634ABF"/>
    <w:multiLevelType w:val="hybridMultilevel"/>
    <w:tmpl w:val="6636B9A4"/>
    <w:lvl w:ilvl="0" w:tplc="F90AA5CA">
      <w:numFmt w:val="bullet"/>
      <w:lvlText w:val="-"/>
      <w:lvlJc w:val="left"/>
      <w:pPr>
        <w:ind w:left="1145" w:hanging="360"/>
      </w:pPr>
      <w:rPr>
        <w:rFonts w:ascii="Times New Roman" w:eastAsia="Times New Roman" w:hAnsi="Times New Roman"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542" w15:restartNumberingAfterBreak="0">
    <w:nsid w:val="4F6646EA"/>
    <w:multiLevelType w:val="hybridMultilevel"/>
    <w:tmpl w:val="85720BE0"/>
    <w:lvl w:ilvl="0" w:tplc="C79E837C">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43" w15:restartNumberingAfterBreak="0">
    <w:nsid w:val="4F8A1D75"/>
    <w:multiLevelType w:val="hybridMultilevel"/>
    <w:tmpl w:val="4F70E022"/>
    <w:lvl w:ilvl="0" w:tplc="21A8984E">
      <w:numFmt w:val="bullet"/>
      <w:lvlText w:val="-"/>
      <w:lvlJc w:val="left"/>
      <w:pPr>
        <w:ind w:left="786" w:hanging="360"/>
      </w:pPr>
      <w:rPr>
        <w:rFonts w:ascii="Times New Roman" w:eastAsia="Times New Roman" w:hAnsi="Times New Roman" w:cs="Times New Roman" w:hint="default"/>
        <w:b/>
      </w:rPr>
    </w:lvl>
    <w:lvl w:ilvl="1" w:tplc="040E0003">
      <w:start w:val="1"/>
      <w:numFmt w:val="bullet"/>
      <w:lvlText w:val="o"/>
      <w:lvlJc w:val="left"/>
      <w:pPr>
        <w:ind w:left="1506" w:hanging="360"/>
      </w:pPr>
      <w:rPr>
        <w:rFonts w:ascii="Courier New" w:hAnsi="Courier New" w:cs="Courier New" w:hint="default"/>
      </w:rPr>
    </w:lvl>
    <w:lvl w:ilvl="2" w:tplc="040E0005">
      <w:start w:val="1"/>
      <w:numFmt w:val="bullet"/>
      <w:lvlText w:val=""/>
      <w:lvlJc w:val="left"/>
      <w:pPr>
        <w:ind w:left="2226" w:hanging="360"/>
      </w:pPr>
      <w:rPr>
        <w:rFonts w:ascii="Wingdings" w:hAnsi="Wingdings" w:hint="default"/>
      </w:rPr>
    </w:lvl>
    <w:lvl w:ilvl="3" w:tplc="040E0001">
      <w:start w:val="1"/>
      <w:numFmt w:val="bullet"/>
      <w:lvlText w:val=""/>
      <w:lvlJc w:val="left"/>
      <w:pPr>
        <w:ind w:left="2946" w:hanging="360"/>
      </w:pPr>
      <w:rPr>
        <w:rFonts w:ascii="Symbol" w:hAnsi="Symbol" w:hint="default"/>
      </w:rPr>
    </w:lvl>
    <w:lvl w:ilvl="4" w:tplc="040E0003">
      <w:start w:val="1"/>
      <w:numFmt w:val="bullet"/>
      <w:lvlText w:val="o"/>
      <w:lvlJc w:val="left"/>
      <w:pPr>
        <w:ind w:left="3666" w:hanging="360"/>
      </w:pPr>
      <w:rPr>
        <w:rFonts w:ascii="Courier New" w:hAnsi="Courier New" w:cs="Courier New" w:hint="default"/>
      </w:rPr>
    </w:lvl>
    <w:lvl w:ilvl="5" w:tplc="040E0005">
      <w:start w:val="1"/>
      <w:numFmt w:val="bullet"/>
      <w:lvlText w:val=""/>
      <w:lvlJc w:val="left"/>
      <w:pPr>
        <w:ind w:left="4386" w:hanging="360"/>
      </w:pPr>
      <w:rPr>
        <w:rFonts w:ascii="Wingdings" w:hAnsi="Wingdings" w:hint="default"/>
      </w:rPr>
    </w:lvl>
    <w:lvl w:ilvl="6" w:tplc="040E0001">
      <w:start w:val="1"/>
      <w:numFmt w:val="bullet"/>
      <w:lvlText w:val=""/>
      <w:lvlJc w:val="left"/>
      <w:pPr>
        <w:ind w:left="5106" w:hanging="360"/>
      </w:pPr>
      <w:rPr>
        <w:rFonts w:ascii="Symbol" w:hAnsi="Symbol" w:hint="default"/>
      </w:rPr>
    </w:lvl>
    <w:lvl w:ilvl="7" w:tplc="040E0003">
      <w:start w:val="1"/>
      <w:numFmt w:val="bullet"/>
      <w:lvlText w:val="o"/>
      <w:lvlJc w:val="left"/>
      <w:pPr>
        <w:ind w:left="5826" w:hanging="360"/>
      </w:pPr>
      <w:rPr>
        <w:rFonts w:ascii="Courier New" w:hAnsi="Courier New" w:cs="Courier New" w:hint="default"/>
      </w:rPr>
    </w:lvl>
    <w:lvl w:ilvl="8" w:tplc="040E0005">
      <w:start w:val="1"/>
      <w:numFmt w:val="bullet"/>
      <w:lvlText w:val=""/>
      <w:lvlJc w:val="left"/>
      <w:pPr>
        <w:ind w:left="6546" w:hanging="360"/>
      </w:pPr>
      <w:rPr>
        <w:rFonts w:ascii="Wingdings" w:hAnsi="Wingdings" w:hint="default"/>
      </w:rPr>
    </w:lvl>
  </w:abstractNum>
  <w:abstractNum w:abstractNumId="544" w15:restartNumberingAfterBreak="0">
    <w:nsid w:val="4F98357F"/>
    <w:multiLevelType w:val="multilevel"/>
    <w:tmpl w:val="48345818"/>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545" w15:restartNumberingAfterBreak="0">
    <w:nsid w:val="4FAF26CE"/>
    <w:multiLevelType w:val="hybridMultilevel"/>
    <w:tmpl w:val="FB1AC842"/>
    <w:lvl w:ilvl="0" w:tplc="99365038">
      <w:start w:val="1"/>
      <w:numFmt w:val="decimal"/>
      <w:lvlText w:val="%1."/>
      <w:lvlJc w:val="left"/>
      <w:pPr>
        <w:ind w:left="502" w:hanging="360"/>
      </w:pPr>
    </w:lvl>
    <w:lvl w:ilvl="1" w:tplc="040E0019">
      <w:start w:val="1"/>
      <w:numFmt w:val="lowerLetter"/>
      <w:lvlText w:val="%2."/>
      <w:lvlJc w:val="left"/>
      <w:pPr>
        <w:ind w:left="1298" w:hanging="360"/>
      </w:pPr>
    </w:lvl>
    <w:lvl w:ilvl="2" w:tplc="040E001B">
      <w:start w:val="1"/>
      <w:numFmt w:val="lowerRoman"/>
      <w:lvlText w:val="%3."/>
      <w:lvlJc w:val="right"/>
      <w:pPr>
        <w:ind w:left="2018" w:hanging="180"/>
      </w:pPr>
    </w:lvl>
    <w:lvl w:ilvl="3" w:tplc="040E000F">
      <w:start w:val="1"/>
      <w:numFmt w:val="decimal"/>
      <w:lvlText w:val="%4."/>
      <w:lvlJc w:val="left"/>
      <w:pPr>
        <w:ind w:left="2738" w:hanging="360"/>
      </w:pPr>
    </w:lvl>
    <w:lvl w:ilvl="4" w:tplc="040E0019">
      <w:start w:val="1"/>
      <w:numFmt w:val="lowerLetter"/>
      <w:lvlText w:val="%5."/>
      <w:lvlJc w:val="left"/>
      <w:pPr>
        <w:ind w:left="3458" w:hanging="360"/>
      </w:pPr>
    </w:lvl>
    <w:lvl w:ilvl="5" w:tplc="040E001B">
      <w:start w:val="1"/>
      <w:numFmt w:val="lowerRoman"/>
      <w:lvlText w:val="%6."/>
      <w:lvlJc w:val="right"/>
      <w:pPr>
        <w:ind w:left="4178" w:hanging="180"/>
      </w:pPr>
    </w:lvl>
    <w:lvl w:ilvl="6" w:tplc="040E000F">
      <w:start w:val="1"/>
      <w:numFmt w:val="decimal"/>
      <w:lvlText w:val="%7."/>
      <w:lvlJc w:val="left"/>
      <w:pPr>
        <w:ind w:left="4898" w:hanging="360"/>
      </w:pPr>
    </w:lvl>
    <w:lvl w:ilvl="7" w:tplc="040E0019">
      <w:start w:val="1"/>
      <w:numFmt w:val="lowerLetter"/>
      <w:lvlText w:val="%8."/>
      <w:lvlJc w:val="left"/>
      <w:pPr>
        <w:ind w:left="5618" w:hanging="360"/>
      </w:pPr>
    </w:lvl>
    <w:lvl w:ilvl="8" w:tplc="040E001B">
      <w:start w:val="1"/>
      <w:numFmt w:val="lowerRoman"/>
      <w:lvlText w:val="%9."/>
      <w:lvlJc w:val="right"/>
      <w:pPr>
        <w:ind w:left="6338" w:hanging="180"/>
      </w:pPr>
    </w:lvl>
  </w:abstractNum>
  <w:abstractNum w:abstractNumId="546" w15:restartNumberingAfterBreak="0">
    <w:nsid w:val="500048C2"/>
    <w:multiLevelType w:val="hybridMultilevel"/>
    <w:tmpl w:val="17381462"/>
    <w:lvl w:ilvl="0" w:tplc="040E000F">
      <w:start w:val="1"/>
      <w:numFmt w:val="decimal"/>
      <w:lvlText w:val="%1."/>
      <w:lvlJc w:val="left"/>
      <w:pPr>
        <w:ind w:left="644"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47" w15:restartNumberingAfterBreak="0">
    <w:nsid w:val="5023076B"/>
    <w:multiLevelType w:val="hybridMultilevel"/>
    <w:tmpl w:val="9216EF12"/>
    <w:lvl w:ilvl="0" w:tplc="040E0017">
      <w:start w:val="1"/>
      <w:numFmt w:val="lowerLetter"/>
      <w:lvlText w:val="%1)"/>
      <w:lvlJc w:val="left"/>
      <w:pPr>
        <w:ind w:left="1713" w:hanging="360"/>
      </w:pPr>
    </w:lvl>
    <w:lvl w:ilvl="1" w:tplc="040E0019">
      <w:start w:val="1"/>
      <w:numFmt w:val="lowerLetter"/>
      <w:lvlText w:val="%2."/>
      <w:lvlJc w:val="left"/>
      <w:pPr>
        <w:ind w:left="2433" w:hanging="360"/>
      </w:pPr>
    </w:lvl>
    <w:lvl w:ilvl="2" w:tplc="040E001B">
      <w:start w:val="1"/>
      <w:numFmt w:val="lowerRoman"/>
      <w:lvlText w:val="%3."/>
      <w:lvlJc w:val="right"/>
      <w:pPr>
        <w:ind w:left="3153" w:hanging="180"/>
      </w:pPr>
    </w:lvl>
    <w:lvl w:ilvl="3" w:tplc="040E000F">
      <w:start w:val="1"/>
      <w:numFmt w:val="decimal"/>
      <w:lvlText w:val="%4."/>
      <w:lvlJc w:val="left"/>
      <w:pPr>
        <w:ind w:left="3873" w:hanging="360"/>
      </w:pPr>
    </w:lvl>
    <w:lvl w:ilvl="4" w:tplc="040E0019">
      <w:start w:val="1"/>
      <w:numFmt w:val="lowerLetter"/>
      <w:lvlText w:val="%5."/>
      <w:lvlJc w:val="left"/>
      <w:pPr>
        <w:ind w:left="4593" w:hanging="360"/>
      </w:pPr>
    </w:lvl>
    <w:lvl w:ilvl="5" w:tplc="040E001B">
      <w:start w:val="1"/>
      <w:numFmt w:val="lowerRoman"/>
      <w:lvlText w:val="%6."/>
      <w:lvlJc w:val="right"/>
      <w:pPr>
        <w:ind w:left="5313" w:hanging="180"/>
      </w:pPr>
    </w:lvl>
    <w:lvl w:ilvl="6" w:tplc="040E000F">
      <w:start w:val="1"/>
      <w:numFmt w:val="decimal"/>
      <w:lvlText w:val="%7."/>
      <w:lvlJc w:val="left"/>
      <w:pPr>
        <w:ind w:left="6033" w:hanging="360"/>
      </w:pPr>
    </w:lvl>
    <w:lvl w:ilvl="7" w:tplc="040E0019">
      <w:start w:val="1"/>
      <w:numFmt w:val="lowerLetter"/>
      <w:lvlText w:val="%8."/>
      <w:lvlJc w:val="left"/>
      <w:pPr>
        <w:ind w:left="6753" w:hanging="360"/>
      </w:pPr>
    </w:lvl>
    <w:lvl w:ilvl="8" w:tplc="040E001B">
      <w:start w:val="1"/>
      <w:numFmt w:val="lowerRoman"/>
      <w:lvlText w:val="%9."/>
      <w:lvlJc w:val="right"/>
      <w:pPr>
        <w:ind w:left="7473" w:hanging="180"/>
      </w:pPr>
    </w:lvl>
  </w:abstractNum>
  <w:abstractNum w:abstractNumId="548" w15:restartNumberingAfterBreak="0">
    <w:nsid w:val="503A11F7"/>
    <w:multiLevelType w:val="hybridMultilevel"/>
    <w:tmpl w:val="DF2E74AC"/>
    <w:lvl w:ilvl="0" w:tplc="051C8416">
      <w:start w:val="1"/>
      <w:numFmt w:val="decimal"/>
      <w:lvlText w:val="%1."/>
      <w:lvlJc w:val="left"/>
      <w:pPr>
        <w:ind w:left="1287" w:hanging="360"/>
      </w:pPr>
      <w:rPr>
        <w:rFonts w:hint="default"/>
      </w:rPr>
    </w:lvl>
    <w:lvl w:ilvl="1" w:tplc="040E0019" w:tentative="1">
      <w:start w:val="1"/>
      <w:numFmt w:val="lowerLetter"/>
      <w:lvlText w:val="%2."/>
      <w:lvlJc w:val="left"/>
      <w:pPr>
        <w:ind w:left="2007" w:hanging="360"/>
      </w:pPr>
    </w:lvl>
    <w:lvl w:ilvl="2" w:tplc="040E001B" w:tentative="1">
      <w:start w:val="1"/>
      <w:numFmt w:val="lowerRoman"/>
      <w:lvlText w:val="%3."/>
      <w:lvlJc w:val="right"/>
      <w:pPr>
        <w:ind w:left="2727" w:hanging="180"/>
      </w:pPr>
    </w:lvl>
    <w:lvl w:ilvl="3" w:tplc="040E000F" w:tentative="1">
      <w:start w:val="1"/>
      <w:numFmt w:val="decimal"/>
      <w:lvlText w:val="%4."/>
      <w:lvlJc w:val="left"/>
      <w:pPr>
        <w:ind w:left="3447" w:hanging="360"/>
      </w:pPr>
    </w:lvl>
    <w:lvl w:ilvl="4" w:tplc="040E0019" w:tentative="1">
      <w:start w:val="1"/>
      <w:numFmt w:val="lowerLetter"/>
      <w:lvlText w:val="%5."/>
      <w:lvlJc w:val="left"/>
      <w:pPr>
        <w:ind w:left="4167" w:hanging="360"/>
      </w:pPr>
    </w:lvl>
    <w:lvl w:ilvl="5" w:tplc="040E001B" w:tentative="1">
      <w:start w:val="1"/>
      <w:numFmt w:val="lowerRoman"/>
      <w:lvlText w:val="%6."/>
      <w:lvlJc w:val="right"/>
      <w:pPr>
        <w:ind w:left="4887" w:hanging="180"/>
      </w:pPr>
    </w:lvl>
    <w:lvl w:ilvl="6" w:tplc="040E000F" w:tentative="1">
      <w:start w:val="1"/>
      <w:numFmt w:val="decimal"/>
      <w:lvlText w:val="%7."/>
      <w:lvlJc w:val="left"/>
      <w:pPr>
        <w:ind w:left="5607" w:hanging="360"/>
      </w:pPr>
    </w:lvl>
    <w:lvl w:ilvl="7" w:tplc="040E0019" w:tentative="1">
      <w:start w:val="1"/>
      <w:numFmt w:val="lowerLetter"/>
      <w:lvlText w:val="%8."/>
      <w:lvlJc w:val="left"/>
      <w:pPr>
        <w:ind w:left="6327" w:hanging="360"/>
      </w:pPr>
    </w:lvl>
    <w:lvl w:ilvl="8" w:tplc="040E001B" w:tentative="1">
      <w:start w:val="1"/>
      <w:numFmt w:val="lowerRoman"/>
      <w:lvlText w:val="%9."/>
      <w:lvlJc w:val="right"/>
      <w:pPr>
        <w:ind w:left="7047" w:hanging="180"/>
      </w:pPr>
    </w:lvl>
  </w:abstractNum>
  <w:abstractNum w:abstractNumId="549" w15:restartNumberingAfterBreak="0">
    <w:nsid w:val="50935C93"/>
    <w:multiLevelType w:val="hybridMultilevel"/>
    <w:tmpl w:val="AFC8F728"/>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550" w15:restartNumberingAfterBreak="0">
    <w:nsid w:val="509B1EEC"/>
    <w:multiLevelType w:val="multilevel"/>
    <w:tmpl w:val="F4808818"/>
    <w:lvl w:ilvl="0">
      <w:start w:val="17"/>
      <w:numFmt w:val="decimal"/>
      <w:lvlText w:val="%1."/>
      <w:lvlJc w:val="left"/>
      <w:pPr>
        <w:tabs>
          <w:tab w:val="num" w:pos="360"/>
        </w:tabs>
        <w:ind w:left="360" w:hanging="360"/>
      </w:pPr>
      <w:rPr>
        <w:rFonts w:cs="Times New Roman"/>
        <w:b/>
        <w:i w:val="0"/>
        <w:sz w:val="24"/>
      </w:rPr>
    </w:lvl>
    <w:lvl w:ilvl="1">
      <w:start w:val="1"/>
      <w:numFmt w:val="decimal"/>
      <w:lvlText w:val="%1.%2."/>
      <w:lvlJc w:val="left"/>
      <w:pPr>
        <w:tabs>
          <w:tab w:val="num" w:pos="792"/>
        </w:tabs>
        <w:ind w:left="792" w:hanging="432"/>
      </w:pPr>
      <w:rPr>
        <w:rFonts w:cs="Times New Roman"/>
        <w:b/>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51" w15:restartNumberingAfterBreak="0">
    <w:nsid w:val="50BD2DDC"/>
    <w:multiLevelType w:val="multilevel"/>
    <w:tmpl w:val="BA16679E"/>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552" w15:restartNumberingAfterBreak="0">
    <w:nsid w:val="50C3163E"/>
    <w:multiLevelType w:val="multilevel"/>
    <w:tmpl w:val="B30C5A56"/>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4"/>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553" w15:restartNumberingAfterBreak="0">
    <w:nsid w:val="50EA6A9C"/>
    <w:multiLevelType w:val="multilevel"/>
    <w:tmpl w:val="A9B4FB5C"/>
    <w:lvl w:ilvl="0">
      <w:start w:val="1"/>
      <w:numFmt w:val="decimal"/>
      <w:lvlText w:val="%1."/>
      <w:lvlJc w:val="right"/>
      <w:pPr>
        <w:tabs>
          <w:tab w:val="num" w:pos="720"/>
        </w:tabs>
        <w:ind w:left="720" w:hanging="360"/>
      </w:pPr>
      <w:rPr>
        <w:rFonts w:ascii="Times New Roman" w:hAnsi="Times New Roman" w:cs="Times New Roman" w:hint="default"/>
        <w:b w:val="0"/>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554" w15:restartNumberingAfterBreak="0">
    <w:nsid w:val="51004027"/>
    <w:multiLevelType w:val="multilevel"/>
    <w:tmpl w:val="4A1A2E90"/>
    <w:lvl w:ilvl="0">
      <w:start w:val="1"/>
      <w:numFmt w:val="decimal"/>
      <w:lvlText w:val="%1."/>
      <w:lvlJc w:val="left"/>
      <w:pPr>
        <w:tabs>
          <w:tab w:val="num" w:pos="360"/>
        </w:tabs>
        <w:ind w:left="360" w:hanging="360"/>
      </w:pPr>
      <w:rPr>
        <w:rFonts w:cs="Times New Roman" w:hint="default"/>
        <w:b w:val="0"/>
        <w:i w:val="0"/>
        <w:sz w:val="24"/>
      </w:rPr>
    </w:lvl>
    <w:lvl w:ilvl="1">
      <w:start w:val="1"/>
      <w:numFmt w:val="decimal"/>
      <w:lvlText w:val="%1.%2."/>
      <w:lvlJc w:val="left"/>
      <w:pPr>
        <w:tabs>
          <w:tab w:val="num" w:pos="792"/>
        </w:tabs>
        <w:ind w:left="792" w:hanging="432"/>
      </w:pPr>
      <w:rPr>
        <w:rFonts w:cs="Times New Roman" w:hint="default"/>
        <w:b/>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555" w15:restartNumberingAfterBreak="0">
    <w:nsid w:val="5136545F"/>
    <w:multiLevelType w:val="hybridMultilevel"/>
    <w:tmpl w:val="3B9AD836"/>
    <w:lvl w:ilvl="0" w:tplc="5AB8BDFE">
      <w:numFmt w:val="bullet"/>
      <w:lvlText w:val="-"/>
      <w:lvlJc w:val="left"/>
      <w:pPr>
        <w:ind w:left="786" w:hanging="360"/>
      </w:pPr>
      <w:rPr>
        <w:rFonts w:ascii="Times New Roman" w:eastAsia="Times New Roman" w:hAnsi="Times New Roman" w:cs="Times New Roman" w:hint="default"/>
      </w:rPr>
    </w:lvl>
    <w:lvl w:ilvl="1" w:tplc="040E0003">
      <w:start w:val="1"/>
      <w:numFmt w:val="bullet"/>
      <w:lvlText w:val="o"/>
      <w:lvlJc w:val="left"/>
      <w:pPr>
        <w:ind w:left="1506" w:hanging="360"/>
      </w:pPr>
      <w:rPr>
        <w:rFonts w:ascii="Courier New" w:hAnsi="Courier New" w:cs="Courier New" w:hint="default"/>
      </w:rPr>
    </w:lvl>
    <w:lvl w:ilvl="2" w:tplc="040E0005">
      <w:start w:val="1"/>
      <w:numFmt w:val="bullet"/>
      <w:lvlText w:val=""/>
      <w:lvlJc w:val="left"/>
      <w:pPr>
        <w:ind w:left="2226" w:hanging="360"/>
      </w:pPr>
      <w:rPr>
        <w:rFonts w:ascii="Wingdings" w:hAnsi="Wingdings" w:hint="default"/>
      </w:rPr>
    </w:lvl>
    <w:lvl w:ilvl="3" w:tplc="040E0001">
      <w:start w:val="1"/>
      <w:numFmt w:val="bullet"/>
      <w:lvlText w:val=""/>
      <w:lvlJc w:val="left"/>
      <w:pPr>
        <w:ind w:left="2946" w:hanging="360"/>
      </w:pPr>
      <w:rPr>
        <w:rFonts w:ascii="Symbol" w:hAnsi="Symbol" w:hint="default"/>
      </w:rPr>
    </w:lvl>
    <w:lvl w:ilvl="4" w:tplc="040E0003">
      <w:start w:val="1"/>
      <w:numFmt w:val="bullet"/>
      <w:lvlText w:val="o"/>
      <w:lvlJc w:val="left"/>
      <w:pPr>
        <w:ind w:left="3666" w:hanging="360"/>
      </w:pPr>
      <w:rPr>
        <w:rFonts w:ascii="Courier New" w:hAnsi="Courier New" w:cs="Courier New" w:hint="default"/>
      </w:rPr>
    </w:lvl>
    <w:lvl w:ilvl="5" w:tplc="040E0005">
      <w:start w:val="1"/>
      <w:numFmt w:val="bullet"/>
      <w:lvlText w:val=""/>
      <w:lvlJc w:val="left"/>
      <w:pPr>
        <w:ind w:left="4386" w:hanging="360"/>
      </w:pPr>
      <w:rPr>
        <w:rFonts w:ascii="Wingdings" w:hAnsi="Wingdings" w:hint="default"/>
      </w:rPr>
    </w:lvl>
    <w:lvl w:ilvl="6" w:tplc="040E0001">
      <w:start w:val="1"/>
      <w:numFmt w:val="bullet"/>
      <w:lvlText w:val=""/>
      <w:lvlJc w:val="left"/>
      <w:pPr>
        <w:ind w:left="5106" w:hanging="360"/>
      </w:pPr>
      <w:rPr>
        <w:rFonts w:ascii="Symbol" w:hAnsi="Symbol" w:hint="default"/>
      </w:rPr>
    </w:lvl>
    <w:lvl w:ilvl="7" w:tplc="040E0003">
      <w:start w:val="1"/>
      <w:numFmt w:val="bullet"/>
      <w:lvlText w:val="o"/>
      <w:lvlJc w:val="left"/>
      <w:pPr>
        <w:ind w:left="5826" w:hanging="360"/>
      </w:pPr>
      <w:rPr>
        <w:rFonts w:ascii="Courier New" w:hAnsi="Courier New" w:cs="Courier New" w:hint="default"/>
      </w:rPr>
    </w:lvl>
    <w:lvl w:ilvl="8" w:tplc="040E0005">
      <w:start w:val="1"/>
      <w:numFmt w:val="bullet"/>
      <w:lvlText w:val=""/>
      <w:lvlJc w:val="left"/>
      <w:pPr>
        <w:ind w:left="6546" w:hanging="360"/>
      </w:pPr>
      <w:rPr>
        <w:rFonts w:ascii="Wingdings" w:hAnsi="Wingdings" w:hint="default"/>
      </w:rPr>
    </w:lvl>
  </w:abstractNum>
  <w:abstractNum w:abstractNumId="556" w15:restartNumberingAfterBreak="0">
    <w:nsid w:val="513F1ABA"/>
    <w:multiLevelType w:val="hybridMultilevel"/>
    <w:tmpl w:val="1C9A9B7C"/>
    <w:lvl w:ilvl="0" w:tplc="C530639A">
      <w:start w:val="1"/>
      <w:numFmt w:val="decimal"/>
      <w:lvlText w:val="%1."/>
      <w:lvlJc w:val="left"/>
      <w:pPr>
        <w:ind w:left="720" w:hanging="360"/>
      </w:pPr>
      <w:rPr>
        <w:rFonts w:eastAsiaTheme="minorHAnsi"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57" w15:restartNumberingAfterBreak="0">
    <w:nsid w:val="51E048F2"/>
    <w:multiLevelType w:val="multilevel"/>
    <w:tmpl w:val="F1F864A0"/>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558" w15:restartNumberingAfterBreak="0">
    <w:nsid w:val="51ED2748"/>
    <w:multiLevelType w:val="hybridMultilevel"/>
    <w:tmpl w:val="757CB252"/>
    <w:lvl w:ilvl="0" w:tplc="DE283E88">
      <w:numFmt w:val="bullet"/>
      <w:lvlText w:val="-"/>
      <w:lvlJc w:val="left"/>
      <w:pPr>
        <w:ind w:left="786" w:hanging="360"/>
      </w:pPr>
      <w:rPr>
        <w:rFonts w:ascii="Times New Roman" w:eastAsia="Times New Roman" w:hAnsi="Times New Roman" w:cs="Times New Roman" w:hint="default"/>
      </w:rPr>
    </w:lvl>
    <w:lvl w:ilvl="1" w:tplc="040E0003">
      <w:start w:val="1"/>
      <w:numFmt w:val="bullet"/>
      <w:lvlText w:val="o"/>
      <w:lvlJc w:val="left"/>
      <w:pPr>
        <w:ind w:left="1506" w:hanging="360"/>
      </w:pPr>
      <w:rPr>
        <w:rFonts w:ascii="Courier New" w:hAnsi="Courier New" w:cs="Courier New" w:hint="default"/>
      </w:rPr>
    </w:lvl>
    <w:lvl w:ilvl="2" w:tplc="040E0005">
      <w:start w:val="1"/>
      <w:numFmt w:val="bullet"/>
      <w:lvlText w:val=""/>
      <w:lvlJc w:val="left"/>
      <w:pPr>
        <w:ind w:left="2226" w:hanging="360"/>
      </w:pPr>
      <w:rPr>
        <w:rFonts w:ascii="Wingdings" w:hAnsi="Wingdings" w:hint="default"/>
      </w:rPr>
    </w:lvl>
    <w:lvl w:ilvl="3" w:tplc="040E0001">
      <w:start w:val="1"/>
      <w:numFmt w:val="bullet"/>
      <w:lvlText w:val=""/>
      <w:lvlJc w:val="left"/>
      <w:pPr>
        <w:ind w:left="2946" w:hanging="360"/>
      </w:pPr>
      <w:rPr>
        <w:rFonts w:ascii="Symbol" w:hAnsi="Symbol" w:hint="default"/>
      </w:rPr>
    </w:lvl>
    <w:lvl w:ilvl="4" w:tplc="040E0003">
      <w:start w:val="1"/>
      <w:numFmt w:val="bullet"/>
      <w:lvlText w:val="o"/>
      <w:lvlJc w:val="left"/>
      <w:pPr>
        <w:ind w:left="3666" w:hanging="360"/>
      </w:pPr>
      <w:rPr>
        <w:rFonts w:ascii="Courier New" w:hAnsi="Courier New" w:cs="Courier New" w:hint="default"/>
      </w:rPr>
    </w:lvl>
    <w:lvl w:ilvl="5" w:tplc="040E0005">
      <w:start w:val="1"/>
      <w:numFmt w:val="bullet"/>
      <w:lvlText w:val=""/>
      <w:lvlJc w:val="left"/>
      <w:pPr>
        <w:ind w:left="4386" w:hanging="360"/>
      </w:pPr>
      <w:rPr>
        <w:rFonts w:ascii="Wingdings" w:hAnsi="Wingdings" w:hint="default"/>
      </w:rPr>
    </w:lvl>
    <w:lvl w:ilvl="6" w:tplc="040E0001">
      <w:start w:val="1"/>
      <w:numFmt w:val="bullet"/>
      <w:lvlText w:val=""/>
      <w:lvlJc w:val="left"/>
      <w:pPr>
        <w:ind w:left="5106" w:hanging="360"/>
      </w:pPr>
      <w:rPr>
        <w:rFonts w:ascii="Symbol" w:hAnsi="Symbol" w:hint="default"/>
      </w:rPr>
    </w:lvl>
    <w:lvl w:ilvl="7" w:tplc="040E0003">
      <w:start w:val="1"/>
      <w:numFmt w:val="bullet"/>
      <w:lvlText w:val="o"/>
      <w:lvlJc w:val="left"/>
      <w:pPr>
        <w:ind w:left="5826" w:hanging="360"/>
      </w:pPr>
      <w:rPr>
        <w:rFonts w:ascii="Courier New" w:hAnsi="Courier New" w:cs="Courier New" w:hint="default"/>
      </w:rPr>
    </w:lvl>
    <w:lvl w:ilvl="8" w:tplc="040E0005">
      <w:start w:val="1"/>
      <w:numFmt w:val="bullet"/>
      <w:lvlText w:val=""/>
      <w:lvlJc w:val="left"/>
      <w:pPr>
        <w:ind w:left="6546" w:hanging="360"/>
      </w:pPr>
      <w:rPr>
        <w:rFonts w:ascii="Wingdings" w:hAnsi="Wingdings" w:hint="default"/>
      </w:rPr>
    </w:lvl>
  </w:abstractNum>
  <w:abstractNum w:abstractNumId="559" w15:restartNumberingAfterBreak="0">
    <w:nsid w:val="5228005C"/>
    <w:multiLevelType w:val="hybridMultilevel"/>
    <w:tmpl w:val="0DCA7A08"/>
    <w:lvl w:ilvl="0" w:tplc="3664EB18">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60" w15:restartNumberingAfterBreak="0">
    <w:nsid w:val="525B3B12"/>
    <w:multiLevelType w:val="hybridMultilevel"/>
    <w:tmpl w:val="DDA21DA6"/>
    <w:lvl w:ilvl="0" w:tplc="F29CF34C">
      <w:start w:val="1"/>
      <w:numFmt w:val="bullet"/>
      <w:lvlText w:val=""/>
      <w:lvlJc w:val="left"/>
      <w:pPr>
        <w:ind w:left="1145" w:hanging="360"/>
      </w:pPr>
      <w:rPr>
        <w:rFonts w:ascii="Symbol" w:hAnsi="Symbol" w:hint="default"/>
      </w:rPr>
    </w:lvl>
    <w:lvl w:ilvl="1" w:tplc="040E0003">
      <w:start w:val="1"/>
      <w:numFmt w:val="bullet"/>
      <w:lvlText w:val="o"/>
      <w:lvlJc w:val="left"/>
      <w:pPr>
        <w:ind w:left="1865" w:hanging="360"/>
      </w:pPr>
      <w:rPr>
        <w:rFonts w:ascii="Courier New" w:hAnsi="Courier New" w:cs="Courier New" w:hint="default"/>
      </w:rPr>
    </w:lvl>
    <w:lvl w:ilvl="2" w:tplc="040E0005">
      <w:start w:val="1"/>
      <w:numFmt w:val="bullet"/>
      <w:lvlText w:val=""/>
      <w:lvlJc w:val="left"/>
      <w:pPr>
        <w:ind w:left="2585" w:hanging="360"/>
      </w:pPr>
      <w:rPr>
        <w:rFonts w:ascii="Wingdings" w:hAnsi="Wingdings" w:hint="default"/>
      </w:rPr>
    </w:lvl>
    <w:lvl w:ilvl="3" w:tplc="040E0001">
      <w:start w:val="1"/>
      <w:numFmt w:val="bullet"/>
      <w:lvlText w:val=""/>
      <w:lvlJc w:val="left"/>
      <w:pPr>
        <w:ind w:left="3305" w:hanging="360"/>
      </w:pPr>
      <w:rPr>
        <w:rFonts w:ascii="Symbol" w:hAnsi="Symbol" w:hint="default"/>
      </w:rPr>
    </w:lvl>
    <w:lvl w:ilvl="4" w:tplc="040E0003">
      <w:start w:val="1"/>
      <w:numFmt w:val="bullet"/>
      <w:lvlText w:val="o"/>
      <w:lvlJc w:val="left"/>
      <w:pPr>
        <w:ind w:left="4025" w:hanging="360"/>
      </w:pPr>
      <w:rPr>
        <w:rFonts w:ascii="Courier New" w:hAnsi="Courier New" w:cs="Courier New" w:hint="default"/>
      </w:rPr>
    </w:lvl>
    <w:lvl w:ilvl="5" w:tplc="040E0005">
      <w:start w:val="1"/>
      <w:numFmt w:val="bullet"/>
      <w:lvlText w:val=""/>
      <w:lvlJc w:val="left"/>
      <w:pPr>
        <w:ind w:left="4745" w:hanging="360"/>
      </w:pPr>
      <w:rPr>
        <w:rFonts w:ascii="Wingdings" w:hAnsi="Wingdings" w:hint="default"/>
      </w:rPr>
    </w:lvl>
    <w:lvl w:ilvl="6" w:tplc="040E0001">
      <w:start w:val="1"/>
      <w:numFmt w:val="bullet"/>
      <w:lvlText w:val=""/>
      <w:lvlJc w:val="left"/>
      <w:pPr>
        <w:ind w:left="5465" w:hanging="360"/>
      </w:pPr>
      <w:rPr>
        <w:rFonts w:ascii="Symbol" w:hAnsi="Symbol" w:hint="default"/>
      </w:rPr>
    </w:lvl>
    <w:lvl w:ilvl="7" w:tplc="040E0003">
      <w:start w:val="1"/>
      <w:numFmt w:val="bullet"/>
      <w:lvlText w:val="o"/>
      <w:lvlJc w:val="left"/>
      <w:pPr>
        <w:ind w:left="6185" w:hanging="360"/>
      </w:pPr>
      <w:rPr>
        <w:rFonts w:ascii="Courier New" w:hAnsi="Courier New" w:cs="Courier New" w:hint="default"/>
      </w:rPr>
    </w:lvl>
    <w:lvl w:ilvl="8" w:tplc="040E0005">
      <w:start w:val="1"/>
      <w:numFmt w:val="bullet"/>
      <w:lvlText w:val=""/>
      <w:lvlJc w:val="left"/>
      <w:pPr>
        <w:ind w:left="6905" w:hanging="360"/>
      </w:pPr>
      <w:rPr>
        <w:rFonts w:ascii="Wingdings" w:hAnsi="Wingdings" w:hint="default"/>
      </w:rPr>
    </w:lvl>
  </w:abstractNum>
  <w:abstractNum w:abstractNumId="561" w15:restartNumberingAfterBreak="0">
    <w:nsid w:val="52834064"/>
    <w:multiLevelType w:val="hybridMultilevel"/>
    <w:tmpl w:val="0D863CA6"/>
    <w:lvl w:ilvl="0" w:tplc="040E000F">
      <w:start w:val="1"/>
      <w:numFmt w:val="decimal"/>
      <w:lvlText w:val="%1."/>
      <w:lvlJc w:val="left"/>
      <w:pPr>
        <w:ind w:left="927" w:hanging="360"/>
      </w:pPr>
    </w:lvl>
    <w:lvl w:ilvl="1" w:tplc="040E0019">
      <w:start w:val="1"/>
      <w:numFmt w:val="lowerLetter"/>
      <w:lvlText w:val="%2."/>
      <w:lvlJc w:val="left"/>
      <w:pPr>
        <w:ind w:left="1647" w:hanging="360"/>
      </w:pPr>
    </w:lvl>
    <w:lvl w:ilvl="2" w:tplc="040E001B">
      <w:start w:val="1"/>
      <w:numFmt w:val="lowerRoman"/>
      <w:lvlText w:val="%3."/>
      <w:lvlJc w:val="right"/>
      <w:pPr>
        <w:ind w:left="2367" w:hanging="180"/>
      </w:pPr>
    </w:lvl>
    <w:lvl w:ilvl="3" w:tplc="040E000F">
      <w:start w:val="1"/>
      <w:numFmt w:val="decimal"/>
      <w:lvlText w:val="%4."/>
      <w:lvlJc w:val="left"/>
      <w:pPr>
        <w:ind w:left="3087" w:hanging="360"/>
      </w:pPr>
    </w:lvl>
    <w:lvl w:ilvl="4" w:tplc="040E0019">
      <w:start w:val="1"/>
      <w:numFmt w:val="lowerLetter"/>
      <w:lvlText w:val="%5."/>
      <w:lvlJc w:val="left"/>
      <w:pPr>
        <w:ind w:left="3807" w:hanging="360"/>
      </w:pPr>
    </w:lvl>
    <w:lvl w:ilvl="5" w:tplc="040E001B">
      <w:start w:val="1"/>
      <w:numFmt w:val="lowerRoman"/>
      <w:lvlText w:val="%6."/>
      <w:lvlJc w:val="right"/>
      <w:pPr>
        <w:ind w:left="4527" w:hanging="180"/>
      </w:pPr>
    </w:lvl>
    <w:lvl w:ilvl="6" w:tplc="040E000F">
      <w:start w:val="1"/>
      <w:numFmt w:val="decimal"/>
      <w:lvlText w:val="%7."/>
      <w:lvlJc w:val="left"/>
      <w:pPr>
        <w:ind w:left="5247" w:hanging="360"/>
      </w:pPr>
    </w:lvl>
    <w:lvl w:ilvl="7" w:tplc="040E0019">
      <w:start w:val="1"/>
      <w:numFmt w:val="lowerLetter"/>
      <w:lvlText w:val="%8."/>
      <w:lvlJc w:val="left"/>
      <w:pPr>
        <w:ind w:left="5967" w:hanging="360"/>
      </w:pPr>
    </w:lvl>
    <w:lvl w:ilvl="8" w:tplc="040E001B">
      <w:start w:val="1"/>
      <w:numFmt w:val="lowerRoman"/>
      <w:lvlText w:val="%9."/>
      <w:lvlJc w:val="right"/>
      <w:pPr>
        <w:ind w:left="6687" w:hanging="180"/>
      </w:pPr>
    </w:lvl>
  </w:abstractNum>
  <w:abstractNum w:abstractNumId="562" w15:restartNumberingAfterBreak="0">
    <w:nsid w:val="528751F8"/>
    <w:multiLevelType w:val="hybridMultilevel"/>
    <w:tmpl w:val="BF4EC0E4"/>
    <w:lvl w:ilvl="0" w:tplc="A6DCF7BC">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63" w15:restartNumberingAfterBreak="0">
    <w:nsid w:val="52B66121"/>
    <w:multiLevelType w:val="hybridMultilevel"/>
    <w:tmpl w:val="0AD61D04"/>
    <w:lvl w:ilvl="0" w:tplc="ED9052D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64" w15:restartNumberingAfterBreak="0">
    <w:nsid w:val="52E42EFC"/>
    <w:multiLevelType w:val="multilevel"/>
    <w:tmpl w:val="D6588F52"/>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4"/>
        <w:szCs w:val="24"/>
        <w:u w:val="none"/>
        <w:effect w:val="none"/>
        <w:vertAlign w:val="baseline"/>
      </w:rPr>
    </w:lvl>
    <w:lvl w:ilvl="1">
      <w:start w:val="1"/>
      <w:numFmt w:val="decimal"/>
      <w:lvlText w:val="%1.%2."/>
      <w:lvlJc w:val="left"/>
      <w:pPr>
        <w:tabs>
          <w:tab w:val="num" w:pos="3977"/>
        </w:tabs>
        <w:ind w:left="3977" w:hanging="432"/>
      </w:pPr>
      <w:rPr>
        <w:rFonts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565" w15:restartNumberingAfterBreak="0">
    <w:nsid w:val="530A63C7"/>
    <w:multiLevelType w:val="hybridMultilevel"/>
    <w:tmpl w:val="1478BC58"/>
    <w:lvl w:ilvl="0" w:tplc="F90AA5CA">
      <w:numFmt w:val="bullet"/>
      <w:lvlText w:val="-"/>
      <w:lvlJc w:val="left"/>
      <w:pPr>
        <w:ind w:left="1146" w:hanging="360"/>
      </w:pPr>
      <w:rPr>
        <w:rFonts w:ascii="Times New Roman" w:eastAsia="Times New Roman" w:hAnsi="Times New Roman" w:cs="Times New Roman" w:hint="default"/>
      </w:rPr>
    </w:lvl>
    <w:lvl w:ilvl="1" w:tplc="040E0003">
      <w:start w:val="1"/>
      <w:numFmt w:val="bullet"/>
      <w:lvlText w:val="o"/>
      <w:lvlJc w:val="left"/>
      <w:pPr>
        <w:ind w:left="1866" w:hanging="360"/>
      </w:pPr>
      <w:rPr>
        <w:rFonts w:ascii="Courier New" w:hAnsi="Courier New" w:cs="Courier New" w:hint="default"/>
      </w:rPr>
    </w:lvl>
    <w:lvl w:ilvl="2" w:tplc="040E0005">
      <w:start w:val="1"/>
      <w:numFmt w:val="bullet"/>
      <w:lvlText w:val=""/>
      <w:lvlJc w:val="left"/>
      <w:pPr>
        <w:ind w:left="2586" w:hanging="360"/>
      </w:pPr>
      <w:rPr>
        <w:rFonts w:ascii="Wingdings" w:hAnsi="Wingdings" w:hint="default"/>
      </w:rPr>
    </w:lvl>
    <w:lvl w:ilvl="3" w:tplc="040E0001">
      <w:start w:val="1"/>
      <w:numFmt w:val="bullet"/>
      <w:lvlText w:val=""/>
      <w:lvlJc w:val="left"/>
      <w:pPr>
        <w:ind w:left="3306" w:hanging="360"/>
      </w:pPr>
      <w:rPr>
        <w:rFonts w:ascii="Symbol" w:hAnsi="Symbol" w:hint="default"/>
      </w:rPr>
    </w:lvl>
    <w:lvl w:ilvl="4" w:tplc="040E0003">
      <w:start w:val="1"/>
      <w:numFmt w:val="bullet"/>
      <w:lvlText w:val="o"/>
      <w:lvlJc w:val="left"/>
      <w:pPr>
        <w:ind w:left="4026" w:hanging="360"/>
      </w:pPr>
      <w:rPr>
        <w:rFonts w:ascii="Courier New" w:hAnsi="Courier New" w:cs="Courier New" w:hint="default"/>
      </w:rPr>
    </w:lvl>
    <w:lvl w:ilvl="5" w:tplc="040E0005">
      <w:start w:val="1"/>
      <w:numFmt w:val="bullet"/>
      <w:lvlText w:val=""/>
      <w:lvlJc w:val="left"/>
      <w:pPr>
        <w:ind w:left="4746" w:hanging="360"/>
      </w:pPr>
      <w:rPr>
        <w:rFonts w:ascii="Wingdings" w:hAnsi="Wingdings" w:hint="default"/>
      </w:rPr>
    </w:lvl>
    <w:lvl w:ilvl="6" w:tplc="040E0001">
      <w:start w:val="1"/>
      <w:numFmt w:val="bullet"/>
      <w:lvlText w:val=""/>
      <w:lvlJc w:val="left"/>
      <w:pPr>
        <w:ind w:left="5466" w:hanging="360"/>
      </w:pPr>
      <w:rPr>
        <w:rFonts w:ascii="Symbol" w:hAnsi="Symbol" w:hint="default"/>
      </w:rPr>
    </w:lvl>
    <w:lvl w:ilvl="7" w:tplc="040E0003">
      <w:start w:val="1"/>
      <w:numFmt w:val="bullet"/>
      <w:lvlText w:val="o"/>
      <w:lvlJc w:val="left"/>
      <w:pPr>
        <w:ind w:left="6186" w:hanging="360"/>
      </w:pPr>
      <w:rPr>
        <w:rFonts w:ascii="Courier New" w:hAnsi="Courier New" w:cs="Courier New" w:hint="default"/>
      </w:rPr>
    </w:lvl>
    <w:lvl w:ilvl="8" w:tplc="040E0005">
      <w:start w:val="1"/>
      <w:numFmt w:val="bullet"/>
      <w:lvlText w:val=""/>
      <w:lvlJc w:val="left"/>
      <w:pPr>
        <w:ind w:left="6906" w:hanging="360"/>
      </w:pPr>
      <w:rPr>
        <w:rFonts w:ascii="Wingdings" w:hAnsi="Wingdings" w:hint="default"/>
      </w:rPr>
    </w:lvl>
  </w:abstractNum>
  <w:abstractNum w:abstractNumId="566" w15:restartNumberingAfterBreak="0">
    <w:nsid w:val="534B2D80"/>
    <w:multiLevelType w:val="hybridMultilevel"/>
    <w:tmpl w:val="F370CA96"/>
    <w:lvl w:ilvl="0" w:tplc="C3FAE52A">
      <w:numFmt w:val="bullet"/>
      <w:lvlText w:val="-"/>
      <w:lvlJc w:val="left"/>
      <w:pPr>
        <w:ind w:left="1146" w:hanging="360"/>
      </w:pPr>
      <w:rPr>
        <w:rFonts w:ascii="Times New Roman" w:eastAsiaTheme="minorHAnsi" w:hAnsi="Times New Roman" w:cs="Times New Roman" w:hint="default"/>
      </w:rPr>
    </w:lvl>
    <w:lvl w:ilvl="1" w:tplc="040E0003">
      <w:start w:val="1"/>
      <w:numFmt w:val="bullet"/>
      <w:lvlText w:val="o"/>
      <w:lvlJc w:val="left"/>
      <w:pPr>
        <w:ind w:left="1866" w:hanging="360"/>
      </w:pPr>
      <w:rPr>
        <w:rFonts w:ascii="Courier New" w:hAnsi="Courier New" w:cs="Courier New" w:hint="default"/>
      </w:rPr>
    </w:lvl>
    <w:lvl w:ilvl="2" w:tplc="040E0005">
      <w:start w:val="1"/>
      <w:numFmt w:val="bullet"/>
      <w:lvlText w:val=""/>
      <w:lvlJc w:val="left"/>
      <w:pPr>
        <w:ind w:left="2586" w:hanging="360"/>
      </w:pPr>
      <w:rPr>
        <w:rFonts w:ascii="Wingdings" w:hAnsi="Wingdings" w:hint="default"/>
      </w:rPr>
    </w:lvl>
    <w:lvl w:ilvl="3" w:tplc="040E0001">
      <w:start w:val="1"/>
      <w:numFmt w:val="bullet"/>
      <w:lvlText w:val=""/>
      <w:lvlJc w:val="left"/>
      <w:pPr>
        <w:ind w:left="3306" w:hanging="360"/>
      </w:pPr>
      <w:rPr>
        <w:rFonts w:ascii="Symbol" w:hAnsi="Symbol" w:hint="default"/>
      </w:rPr>
    </w:lvl>
    <w:lvl w:ilvl="4" w:tplc="040E0003">
      <w:start w:val="1"/>
      <w:numFmt w:val="bullet"/>
      <w:lvlText w:val="o"/>
      <w:lvlJc w:val="left"/>
      <w:pPr>
        <w:ind w:left="4026" w:hanging="360"/>
      </w:pPr>
      <w:rPr>
        <w:rFonts w:ascii="Courier New" w:hAnsi="Courier New" w:cs="Courier New" w:hint="default"/>
      </w:rPr>
    </w:lvl>
    <w:lvl w:ilvl="5" w:tplc="040E0005">
      <w:start w:val="1"/>
      <w:numFmt w:val="bullet"/>
      <w:lvlText w:val=""/>
      <w:lvlJc w:val="left"/>
      <w:pPr>
        <w:ind w:left="4746" w:hanging="360"/>
      </w:pPr>
      <w:rPr>
        <w:rFonts w:ascii="Wingdings" w:hAnsi="Wingdings" w:hint="default"/>
      </w:rPr>
    </w:lvl>
    <w:lvl w:ilvl="6" w:tplc="040E0001">
      <w:start w:val="1"/>
      <w:numFmt w:val="bullet"/>
      <w:lvlText w:val=""/>
      <w:lvlJc w:val="left"/>
      <w:pPr>
        <w:ind w:left="5466" w:hanging="360"/>
      </w:pPr>
      <w:rPr>
        <w:rFonts w:ascii="Symbol" w:hAnsi="Symbol" w:hint="default"/>
      </w:rPr>
    </w:lvl>
    <w:lvl w:ilvl="7" w:tplc="040E0003">
      <w:start w:val="1"/>
      <w:numFmt w:val="bullet"/>
      <w:lvlText w:val="o"/>
      <w:lvlJc w:val="left"/>
      <w:pPr>
        <w:ind w:left="6186" w:hanging="360"/>
      </w:pPr>
      <w:rPr>
        <w:rFonts w:ascii="Courier New" w:hAnsi="Courier New" w:cs="Courier New" w:hint="default"/>
      </w:rPr>
    </w:lvl>
    <w:lvl w:ilvl="8" w:tplc="040E0005">
      <w:start w:val="1"/>
      <w:numFmt w:val="bullet"/>
      <w:lvlText w:val=""/>
      <w:lvlJc w:val="left"/>
      <w:pPr>
        <w:ind w:left="6906" w:hanging="360"/>
      </w:pPr>
      <w:rPr>
        <w:rFonts w:ascii="Wingdings" w:hAnsi="Wingdings" w:hint="default"/>
      </w:rPr>
    </w:lvl>
  </w:abstractNum>
  <w:abstractNum w:abstractNumId="567" w15:restartNumberingAfterBreak="0">
    <w:nsid w:val="534F51B7"/>
    <w:multiLevelType w:val="multilevel"/>
    <w:tmpl w:val="35B24B82"/>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568" w15:restartNumberingAfterBreak="0">
    <w:nsid w:val="53871AC0"/>
    <w:multiLevelType w:val="multilevel"/>
    <w:tmpl w:val="02CEE162"/>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i w:val="0"/>
      </w:rPr>
    </w:lvl>
    <w:lvl w:ilvl="2">
      <w:start w:val="1"/>
      <w:numFmt w:val="decimal"/>
      <w:lvlText w:val="%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569" w15:restartNumberingAfterBreak="0">
    <w:nsid w:val="539A012C"/>
    <w:multiLevelType w:val="multilevel"/>
    <w:tmpl w:val="003669F2"/>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570" w15:restartNumberingAfterBreak="0">
    <w:nsid w:val="53BF1057"/>
    <w:multiLevelType w:val="multilevel"/>
    <w:tmpl w:val="190AD55A"/>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i w:val="0"/>
      </w:rPr>
    </w:lvl>
    <w:lvl w:ilvl="2">
      <w:start w:val="1"/>
      <w:numFmt w:val="decimal"/>
      <w:lvlText w:val="%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571" w15:restartNumberingAfterBreak="0">
    <w:nsid w:val="53CB4F07"/>
    <w:multiLevelType w:val="hybridMultilevel"/>
    <w:tmpl w:val="168C4C26"/>
    <w:lvl w:ilvl="0" w:tplc="F90AA5CA">
      <w:numFmt w:val="bullet"/>
      <w:lvlText w:val="-"/>
      <w:lvlJc w:val="left"/>
      <w:pPr>
        <w:ind w:left="1145" w:hanging="360"/>
      </w:pPr>
      <w:rPr>
        <w:rFonts w:ascii="Times New Roman" w:eastAsia="Times New Roman" w:hAnsi="Times New Roman"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572" w15:restartNumberingAfterBreak="0">
    <w:nsid w:val="54131279"/>
    <w:multiLevelType w:val="hybridMultilevel"/>
    <w:tmpl w:val="AAD6814E"/>
    <w:lvl w:ilvl="0" w:tplc="F29CF34C">
      <w:start w:val="1"/>
      <w:numFmt w:val="bullet"/>
      <w:lvlText w:val=""/>
      <w:lvlJc w:val="left"/>
      <w:pPr>
        <w:ind w:left="1146" w:hanging="360"/>
      </w:pPr>
      <w:rPr>
        <w:rFonts w:ascii="Symbol" w:hAnsi="Symbol" w:hint="default"/>
      </w:rPr>
    </w:lvl>
    <w:lvl w:ilvl="1" w:tplc="040E0003">
      <w:start w:val="1"/>
      <w:numFmt w:val="bullet"/>
      <w:lvlText w:val="o"/>
      <w:lvlJc w:val="left"/>
      <w:pPr>
        <w:ind w:left="1866" w:hanging="360"/>
      </w:pPr>
      <w:rPr>
        <w:rFonts w:ascii="Courier New" w:hAnsi="Courier New" w:cs="Courier New" w:hint="default"/>
      </w:rPr>
    </w:lvl>
    <w:lvl w:ilvl="2" w:tplc="040E0005">
      <w:start w:val="1"/>
      <w:numFmt w:val="bullet"/>
      <w:lvlText w:val=""/>
      <w:lvlJc w:val="left"/>
      <w:pPr>
        <w:ind w:left="2586" w:hanging="360"/>
      </w:pPr>
      <w:rPr>
        <w:rFonts w:ascii="Wingdings" w:hAnsi="Wingdings" w:hint="default"/>
      </w:rPr>
    </w:lvl>
    <w:lvl w:ilvl="3" w:tplc="040E0001">
      <w:start w:val="1"/>
      <w:numFmt w:val="bullet"/>
      <w:lvlText w:val=""/>
      <w:lvlJc w:val="left"/>
      <w:pPr>
        <w:ind w:left="3306" w:hanging="360"/>
      </w:pPr>
      <w:rPr>
        <w:rFonts w:ascii="Symbol" w:hAnsi="Symbol" w:hint="default"/>
      </w:rPr>
    </w:lvl>
    <w:lvl w:ilvl="4" w:tplc="040E0003">
      <w:start w:val="1"/>
      <w:numFmt w:val="bullet"/>
      <w:lvlText w:val="o"/>
      <w:lvlJc w:val="left"/>
      <w:pPr>
        <w:ind w:left="4026" w:hanging="360"/>
      </w:pPr>
      <w:rPr>
        <w:rFonts w:ascii="Courier New" w:hAnsi="Courier New" w:cs="Courier New" w:hint="default"/>
      </w:rPr>
    </w:lvl>
    <w:lvl w:ilvl="5" w:tplc="040E0005">
      <w:start w:val="1"/>
      <w:numFmt w:val="bullet"/>
      <w:lvlText w:val=""/>
      <w:lvlJc w:val="left"/>
      <w:pPr>
        <w:ind w:left="4746" w:hanging="360"/>
      </w:pPr>
      <w:rPr>
        <w:rFonts w:ascii="Wingdings" w:hAnsi="Wingdings" w:hint="default"/>
      </w:rPr>
    </w:lvl>
    <w:lvl w:ilvl="6" w:tplc="040E0001">
      <w:start w:val="1"/>
      <w:numFmt w:val="bullet"/>
      <w:lvlText w:val=""/>
      <w:lvlJc w:val="left"/>
      <w:pPr>
        <w:ind w:left="5466" w:hanging="360"/>
      </w:pPr>
      <w:rPr>
        <w:rFonts w:ascii="Symbol" w:hAnsi="Symbol" w:hint="default"/>
      </w:rPr>
    </w:lvl>
    <w:lvl w:ilvl="7" w:tplc="040E0003">
      <w:start w:val="1"/>
      <w:numFmt w:val="bullet"/>
      <w:lvlText w:val="o"/>
      <w:lvlJc w:val="left"/>
      <w:pPr>
        <w:ind w:left="6186" w:hanging="360"/>
      </w:pPr>
      <w:rPr>
        <w:rFonts w:ascii="Courier New" w:hAnsi="Courier New" w:cs="Courier New" w:hint="default"/>
      </w:rPr>
    </w:lvl>
    <w:lvl w:ilvl="8" w:tplc="040E0005">
      <w:start w:val="1"/>
      <w:numFmt w:val="bullet"/>
      <w:lvlText w:val=""/>
      <w:lvlJc w:val="left"/>
      <w:pPr>
        <w:ind w:left="6906" w:hanging="360"/>
      </w:pPr>
      <w:rPr>
        <w:rFonts w:ascii="Wingdings" w:hAnsi="Wingdings" w:hint="default"/>
      </w:rPr>
    </w:lvl>
  </w:abstractNum>
  <w:abstractNum w:abstractNumId="573" w15:restartNumberingAfterBreak="0">
    <w:nsid w:val="5430091F"/>
    <w:multiLevelType w:val="multilevel"/>
    <w:tmpl w:val="64104340"/>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574" w15:restartNumberingAfterBreak="0">
    <w:nsid w:val="544D4727"/>
    <w:multiLevelType w:val="hybridMultilevel"/>
    <w:tmpl w:val="CFF81062"/>
    <w:lvl w:ilvl="0" w:tplc="F90AA5CA">
      <w:numFmt w:val="bullet"/>
      <w:lvlText w:val="-"/>
      <w:lvlJc w:val="left"/>
      <w:pPr>
        <w:ind w:left="1145" w:hanging="360"/>
      </w:pPr>
      <w:rPr>
        <w:rFonts w:ascii="Times New Roman" w:eastAsia="Times New Roman" w:hAnsi="Times New Roman"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575" w15:restartNumberingAfterBreak="0">
    <w:nsid w:val="54563C77"/>
    <w:multiLevelType w:val="hybridMultilevel"/>
    <w:tmpl w:val="D9483834"/>
    <w:lvl w:ilvl="0" w:tplc="C2269FB6">
      <w:start w:val="1"/>
      <w:numFmt w:val="decimal"/>
      <w:lvlText w:val="%1."/>
      <w:lvlJc w:val="left"/>
      <w:pPr>
        <w:ind w:left="1068" w:hanging="360"/>
      </w:pPr>
      <w:rPr>
        <w:rFonts w:hint="default"/>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576" w15:restartNumberingAfterBreak="0">
    <w:nsid w:val="545F7C6F"/>
    <w:multiLevelType w:val="hybridMultilevel"/>
    <w:tmpl w:val="F8AA4046"/>
    <w:lvl w:ilvl="0" w:tplc="F90AA5CA">
      <w:numFmt w:val="bullet"/>
      <w:lvlText w:val="-"/>
      <w:lvlJc w:val="left"/>
      <w:pPr>
        <w:ind w:left="1145" w:hanging="360"/>
      </w:pPr>
      <w:rPr>
        <w:rFonts w:ascii="Times New Roman" w:eastAsia="Times New Roman" w:hAnsi="Times New Roman"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577" w15:restartNumberingAfterBreak="0">
    <w:nsid w:val="549C1B1B"/>
    <w:multiLevelType w:val="hybridMultilevel"/>
    <w:tmpl w:val="07F824BE"/>
    <w:lvl w:ilvl="0" w:tplc="F90AA5CA">
      <w:numFmt w:val="bullet"/>
      <w:lvlText w:val="-"/>
      <w:lvlJc w:val="left"/>
      <w:pPr>
        <w:ind w:left="1145" w:hanging="360"/>
      </w:pPr>
      <w:rPr>
        <w:rFonts w:ascii="Times New Roman" w:eastAsia="Times New Roman" w:hAnsi="Times New Roman"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578" w15:restartNumberingAfterBreak="0">
    <w:nsid w:val="54A33B88"/>
    <w:multiLevelType w:val="hybridMultilevel"/>
    <w:tmpl w:val="00ACFCFA"/>
    <w:lvl w:ilvl="0" w:tplc="67024C12">
      <w:start w:val="1"/>
      <w:numFmt w:val="decimal"/>
      <w:lvlText w:val="%1."/>
      <w:lvlJc w:val="left"/>
      <w:pPr>
        <w:ind w:left="786" w:hanging="360"/>
      </w:pPr>
      <w:rPr>
        <w:rFonts w:hint="default"/>
      </w:rPr>
    </w:lvl>
    <w:lvl w:ilvl="1" w:tplc="040E0019" w:tentative="1">
      <w:start w:val="1"/>
      <w:numFmt w:val="lowerLetter"/>
      <w:lvlText w:val="%2."/>
      <w:lvlJc w:val="left"/>
      <w:pPr>
        <w:ind w:left="1146" w:hanging="360"/>
      </w:pPr>
    </w:lvl>
    <w:lvl w:ilvl="2" w:tplc="040E001B" w:tentative="1">
      <w:start w:val="1"/>
      <w:numFmt w:val="lowerRoman"/>
      <w:lvlText w:val="%3."/>
      <w:lvlJc w:val="right"/>
      <w:pPr>
        <w:ind w:left="1866" w:hanging="180"/>
      </w:pPr>
    </w:lvl>
    <w:lvl w:ilvl="3" w:tplc="040E000F" w:tentative="1">
      <w:start w:val="1"/>
      <w:numFmt w:val="decimal"/>
      <w:lvlText w:val="%4."/>
      <w:lvlJc w:val="left"/>
      <w:pPr>
        <w:ind w:left="2586" w:hanging="360"/>
      </w:pPr>
    </w:lvl>
    <w:lvl w:ilvl="4" w:tplc="040E0019" w:tentative="1">
      <w:start w:val="1"/>
      <w:numFmt w:val="lowerLetter"/>
      <w:lvlText w:val="%5."/>
      <w:lvlJc w:val="left"/>
      <w:pPr>
        <w:ind w:left="3306" w:hanging="360"/>
      </w:pPr>
    </w:lvl>
    <w:lvl w:ilvl="5" w:tplc="040E001B" w:tentative="1">
      <w:start w:val="1"/>
      <w:numFmt w:val="lowerRoman"/>
      <w:lvlText w:val="%6."/>
      <w:lvlJc w:val="right"/>
      <w:pPr>
        <w:ind w:left="4026" w:hanging="180"/>
      </w:pPr>
    </w:lvl>
    <w:lvl w:ilvl="6" w:tplc="040E000F" w:tentative="1">
      <w:start w:val="1"/>
      <w:numFmt w:val="decimal"/>
      <w:lvlText w:val="%7."/>
      <w:lvlJc w:val="left"/>
      <w:pPr>
        <w:ind w:left="4746" w:hanging="360"/>
      </w:pPr>
    </w:lvl>
    <w:lvl w:ilvl="7" w:tplc="040E0019" w:tentative="1">
      <w:start w:val="1"/>
      <w:numFmt w:val="lowerLetter"/>
      <w:lvlText w:val="%8."/>
      <w:lvlJc w:val="left"/>
      <w:pPr>
        <w:ind w:left="5466" w:hanging="360"/>
      </w:pPr>
    </w:lvl>
    <w:lvl w:ilvl="8" w:tplc="040E001B" w:tentative="1">
      <w:start w:val="1"/>
      <w:numFmt w:val="lowerRoman"/>
      <w:lvlText w:val="%9."/>
      <w:lvlJc w:val="right"/>
      <w:pPr>
        <w:ind w:left="6186" w:hanging="180"/>
      </w:pPr>
    </w:lvl>
  </w:abstractNum>
  <w:abstractNum w:abstractNumId="579" w15:restartNumberingAfterBreak="0">
    <w:nsid w:val="54B20857"/>
    <w:multiLevelType w:val="multilevel"/>
    <w:tmpl w:val="C3D2E7C2"/>
    <w:lvl w:ilvl="0">
      <w:start w:val="1"/>
      <w:numFmt w:val="decimal"/>
      <w:lvlText w:val="%1."/>
      <w:lvlJc w:val="right"/>
      <w:pPr>
        <w:tabs>
          <w:tab w:val="num" w:pos="720"/>
        </w:tabs>
        <w:ind w:left="720" w:hanging="360"/>
      </w:pPr>
      <w:rPr>
        <w:rFonts w:ascii="Times New Roman" w:hAnsi="Times New Roman" w:cs="Times New Roman" w:hint="default"/>
        <w:b w:val="0"/>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580" w15:restartNumberingAfterBreak="0">
    <w:nsid w:val="54C54D75"/>
    <w:multiLevelType w:val="multilevel"/>
    <w:tmpl w:val="1D4E979C"/>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581" w15:restartNumberingAfterBreak="0">
    <w:nsid w:val="552F4284"/>
    <w:multiLevelType w:val="hybridMultilevel"/>
    <w:tmpl w:val="F998E746"/>
    <w:lvl w:ilvl="0" w:tplc="040E000F">
      <w:start w:val="1"/>
      <w:numFmt w:val="decimal"/>
      <w:lvlText w:val="%1."/>
      <w:lvlJc w:val="left"/>
      <w:pPr>
        <w:ind w:left="1386" w:hanging="360"/>
      </w:pPr>
    </w:lvl>
    <w:lvl w:ilvl="1" w:tplc="040E0019" w:tentative="1">
      <w:start w:val="1"/>
      <w:numFmt w:val="lowerLetter"/>
      <w:lvlText w:val="%2."/>
      <w:lvlJc w:val="left"/>
      <w:pPr>
        <w:ind w:left="2106" w:hanging="360"/>
      </w:pPr>
    </w:lvl>
    <w:lvl w:ilvl="2" w:tplc="040E001B" w:tentative="1">
      <w:start w:val="1"/>
      <w:numFmt w:val="lowerRoman"/>
      <w:lvlText w:val="%3."/>
      <w:lvlJc w:val="right"/>
      <w:pPr>
        <w:ind w:left="2826" w:hanging="180"/>
      </w:pPr>
    </w:lvl>
    <w:lvl w:ilvl="3" w:tplc="040E000F" w:tentative="1">
      <w:start w:val="1"/>
      <w:numFmt w:val="decimal"/>
      <w:lvlText w:val="%4."/>
      <w:lvlJc w:val="left"/>
      <w:pPr>
        <w:ind w:left="3546" w:hanging="360"/>
      </w:pPr>
    </w:lvl>
    <w:lvl w:ilvl="4" w:tplc="040E0019" w:tentative="1">
      <w:start w:val="1"/>
      <w:numFmt w:val="lowerLetter"/>
      <w:lvlText w:val="%5."/>
      <w:lvlJc w:val="left"/>
      <w:pPr>
        <w:ind w:left="4266" w:hanging="360"/>
      </w:pPr>
    </w:lvl>
    <w:lvl w:ilvl="5" w:tplc="040E001B" w:tentative="1">
      <w:start w:val="1"/>
      <w:numFmt w:val="lowerRoman"/>
      <w:lvlText w:val="%6."/>
      <w:lvlJc w:val="right"/>
      <w:pPr>
        <w:ind w:left="4986" w:hanging="180"/>
      </w:pPr>
    </w:lvl>
    <w:lvl w:ilvl="6" w:tplc="040E000F" w:tentative="1">
      <w:start w:val="1"/>
      <w:numFmt w:val="decimal"/>
      <w:lvlText w:val="%7."/>
      <w:lvlJc w:val="left"/>
      <w:pPr>
        <w:ind w:left="5706" w:hanging="360"/>
      </w:pPr>
    </w:lvl>
    <w:lvl w:ilvl="7" w:tplc="040E0019" w:tentative="1">
      <w:start w:val="1"/>
      <w:numFmt w:val="lowerLetter"/>
      <w:lvlText w:val="%8."/>
      <w:lvlJc w:val="left"/>
      <w:pPr>
        <w:ind w:left="6426" w:hanging="360"/>
      </w:pPr>
    </w:lvl>
    <w:lvl w:ilvl="8" w:tplc="040E001B" w:tentative="1">
      <w:start w:val="1"/>
      <w:numFmt w:val="lowerRoman"/>
      <w:lvlText w:val="%9."/>
      <w:lvlJc w:val="right"/>
      <w:pPr>
        <w:ind w:left="7146" w:hanging="180"/>
      </w:pPr>
    </w:lvl>
  </w:abstractNum>
  <w:abstractNum w:abstractNumId="582" w15:restartNumberingAfterBreak="0">
    <w:nsid w:val="55530B02"/>
    <w:multiLevelType w:val="hybridMultilevel"/>
    <w:tmpl w:val="FA26394C"/>
    <w:lvl w:ilvl="0" w:tplc="F29CF34C">
      <w:start w:val="1"/>
      <w:numFmt w:val="bullet"/>
      <w:lvlText w:val=""/>
      <w:lvlJc w:val="left"/>
      <w:pPr>
        <w:ind w:left="1145" w:hanging="360"/>
      </w:pPr>
      <w:rPr>
        <w:rFonts w:ascii="Symbol" w:hAnsi="Symbol" w:hint="default"/>
      </w:rPr>
    </w:lvl>
    <w:lvl w:ilvl="1" w:tplc="040E0003">
      <w:start w:val="1"/>
      <w:numFmt w:val="bullet"/>
      <w:lvlText w:val="o"/>
      <w:lvlJc w:val="left"/>
      <w:pPr>
        <w:ind w:left="1865" w:hanging="360"/>
      </w:pPr>
      <w:rPr>
        <w:rFonts w:ascii="Courier New" w:hAnsi="Courier New" w:cs="Courier New" w:hint="default"/>
      </w:rPr>
    </w:lvl>
    <w:lvl w:ilvl="2" w:tplc="040E0005">
      <w:start w:val="1"/>
      <w:numFmt w:val="bullet"/>
      <w:lvlText w:val=""/>
      <w:lvlJc w:val="left"/>
      <w:pPr>
        <w:ind w:left="2585" w:hanging="360"/>
      </w:pPr>
      <w:rPr>
        <w:rFonts w:ascii="Wingdings" w:hAnsi="Wingdings" w:hint="default"/>
      </w:rPr>
    </w:lvl>
    <w:lvl w:ilvl="3" w:tplc="040E0001">
      <w:start w:val="1"/>
      <w:numFmt w:val="bullet"/>
      <w:lvlText w:val=""/>
      <w:lvlJc w:val="left"/>
      <w:pPr>
        <w:ind w:left="3305" w:hanging="360"/>
      </w:pPr>
      <w:rPr>
        <w:rFonts w:ascii="Symbol" w:hAnsi="Symbol" w:hint="default"/>
      </w:rPr>
    </w:lvl>
    <w:lvl w:ilvl="4" w:tplc="040E0003">
      <w:start w:val="1"/>
      <w:numFmt w:val="bullet"/>
      <w:lvlText w:val="o"/>
      <w:lvlJc w:val="left"/>
      <w:pPr>
        <w:ind w:left="4025" w:hanging="360"/>
      </w:pPr>
      <w:rPr>
        <w:rFonts w:ascii="Courier New" w:hAnsi="Courier New" w:cs="Courier New" w:hint="default"/>
      </w:rPr>
    </w:lvl>
    <w:lvl w:ilvl="5" w:tplc="040E0005">
      <w:start w:val="1"/>
      <w:numFmt w:val="bullet"/>
      <w:lvlText w:val=""/>
      <w:lvlJc w:val="left"/>
      <w:pPr>
        <w:ind w:left="4745" w:hanging="360"/>
      </w:pPr>
      <w:rPr>
        <w:rFonts w:ascii="Wingdings" w:hAnsi="Wingdings" w:hint="default"/>
      </w:rPr>
    </w:lvl>
    <w:lvl w:ilvl="6" w:tplc="040E0001">
      <w:start w:val="1"/>
      <w:numFmt w:val="bullet"/>
      <w:lvlText w:val=""/>
      <w:lvlJc w:val="left"/>
      <w:pPr>
        <w:ind w:left="5465" w:hanging="360"/>
      </w:pPr>
      <w:rPr>
        <w:rFonts w:ascii="Symbol" w:hAnsi="Symbol" w:hint="default"/>
      </w:rPr>
    </w:lvl>
    <w:lvl w:ilvl="7" w:tplc="040E0003">
      <w:start w:val="1"/>
      <w:numFmt w:val="bullet"/>
      <w:lvlText w:val="o"/>
      <w:lvlJc w:val="left"/>
      <w:pPr>
        <w:ind w:left="6185" w:hanging="360"/>
      </w:pPr>
      <w:rPr>
        <w:rFonts w:ascii="Courier New" w:hAnsi="Courier New" w:cs="Courier New" w:hint="default"/>
      </w:rPr>
    </w:lvl>
    <w:lvl w:ilvl="8" w:tplc="040E0005">
      <w:start w:val="1"/>
      <w:numFmt w:val="bullet"/>
      <w:lvlText w:val=""/>
      <w:lvlJc w:val="left"/>
      <w:pPr>
        <w:ind w:left="6905" w:hanging="360"/>
      </w:pPr>
      <w:rPr>
        <w:rFonts w:ascii="Wingdings" w:hAnsi="Wingdings" w:hint="default"/>
      </w:rPr>
    </w:lvl>
  </w:abstractNum>
  <w:abstractNum w:abstractNumId="583" w15:restartNumberingAfterBreak="0">
    <w:nsid w:val="55782F27"/>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584" w15:restartNumberingAfterBreak="0">
    <w:nsid w:val="557A65A7"/>
    <w:multiLevelType w:val="hybridMultilevel"/>
    <w:tmpl w:val="0E4CFE40"/>
    <w:lvl w:ilvl="0" w:tplc="B9E62E9E">
      <w:start w:val="1"/>
      <w:numFmt w:val="decimal"/>
      <w:lvlText w:val="%1."/>
      <w:lvlJc w:val="left"/>
      <w:pPr>
        <w:ind w:left="1636" w:hanging="360"/>
      </w:pPr>
      <w:rPr>
        <w:rFonts w:hint="default"/>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85" w15:restartNumberingAfterBreak="0">
    <w:nsid w:val="559B6DD6"/>
    <w:multiLevelType w:val="hybridMultilevel"/>
    <w:tmpl w:val="ED7A06AE"/>
    <w:lvl w:ilvl="0" w:tplc="040E000F">
      <w:start w:val="1"/>
      <w:numFmt w:val="decimal"/>
      <w:lvlText w:val="%1."/>
      <w:lvlJc w:val="left"/>
      <w:pPr>
        <w:ind w:left="1440" w:hanging="360"/>
      </w:p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586" w15:restartNumberingAfterBreak="0">
    <w:nsid w:val="55BC422B"/>
    <w:multiLevelType w:val="hybridMultilevel"/>
    <w:tmpl w:val="6EF879B0"/>
    <w:lvl w:ilvl="0" w:tplc="F29CF34C">
      <w:start w:val="1"/>
      <w:numFmt w:val="bullet"/>
      <w:lvlText w:val=""/>
      <w:lvlJc w:val="left"/>
      <w:pPr>
        <w:ind w:left="1146" w:hanging="360"/>
      </w:pPr>
      <w:rPr>
        <w:rFonts w:ascii="Symbol" w:hAnsi="Symbol" w:hint="default"/>
      </w:rPr>
    </w:lvl>
    <w:lvl w:ilvl="1" w:tplc="040E0003">
      <w:start w:val="1"/>
      <w:numFmt w:val="bullet"/>
      <w:lvlText w:val="o"/>
      <w:lvlJc w:val="left"/>
      <w:pPr>
        <w:ind w:left="1866" w:hanging="360"/>
      </w:pPr>
      <w:rPr>
        <w:rFonts w:ascii="Courier New" w:hAnsi="Courier New" w:cs="Courier New" w:hint="default"/>
      </w:rPr>
    </w:lvl>
    <w:lvl w:ilvl="2" w:tplc="040E0005">
      <w:start w:val="1"/>
      <w:numFmt w:val="bullet"/>
      <w:lvlText w:val=""/>
      <w:lvlJc w:val="left"/>
      <w:pPr>
        <w:ind w:left="2586" w:hanging="360"/>
      </w:pPr>
      <w:rPr>
        <w:rFonts w:ascii="Wingdings" w:hAnsi="Wingdings" w:hint="default"/>
      </w:rPr>
    </w:lvl>
    <w:lvl w:ilvl="3" w:tplc="040E0001">
      <w:start w:val="1"/>
      <w:numFmt w:val="bullet"/>
      <w:lvlText w:val=""/>
      <w:lvlJc w:val="left"/>
      <w:pPr>
        <w:ind w:left="3306" w:hanging="360"/>
      </w:pPr>
      <w:rPr>
        <w:rFonts w:ascii="Symbol" w:hAnsi="Symbol" w:hint="default"/>
      </w:rPr>
    </w:lvl>
    <w:lvl w:ilvl="4" w:tplc="040E0003">
      <w:start w:val="1"/>
      <w:numFmt w:val="bullet"/>
      <w:lvlText w:val="o"/>
      <w:lvlJc w:val="left"/>
      <w:pPr>
        <w:ind w:left="4026" w:hanging="360"/>
      </w:pPr>
      <w:rPr>
        <w:rFonts w:ascii="Courier New" w:hAnsi="Courier New" w:cs="Courier New" w:hint="default"/>
      </w:rPr>
    </w:lvl>
    <w:lvl w:ilvl="5" w:tplc="040E0005">
      <w:start w:val="1"/>
      <w:numFmt w:val="bullet"/>
      <w:lvlText w:val=""/>
      <w:lvlJc w:val="left"/>
      <w:pPr>
        <w:ind w:left="4746" w:hanging="360"/>
      </w:pPr>
      <w:rPr>
        <w:rFonts w:ascii="Wingdings" w:hAnsi="Wingdings" w:hint="default"/>
      </w:rPr>
    </w:lvl>
    <w:lvl w:ilvl="6" w:tplc="040E0001">
      <w:start w:val="1"/>
      <w:numFmt w:val="bullet"/>
      <w:lvlText w:val=""/>
      <w:lvlJc w:val="left"/>
      <w:pPr>
        <w:ind w:left="5466" w:hanging="360"/>
      </w:pPr>
      <w:rPr>
        <w:rFonts w:ascii="Symbol" w:hAnsi="Symbol" w:hint="default"/>
      </w:rPr>
    </w:lvl>
    <w:lvl w:ilvl="7" w:tplc="040E0003">
      <w:start w:val="1"/>
      <w:numFmt w:val="bullet"/>
      <w:lvlText w:val="o"/>
      <w:lvlJc w:val="left"/>
      <w:pPr>
        <w:ind w:left="6186" w:hanging="360"/>
      </w:pPr>
      <w:rPr>
        <w:rFonts w:ascii="Courier New" w:hAnsi="Courier New" w:cs="Courier New" w:hint="default"/>
      </w:rPr>
    </w:lvl>
    <w:lvl w:ilvl="8" w:tplc="040E0005">
      <w:start w:val="1"/>
      <w:numFmt w:val="bullet"/>
      <w:lvlText w:val=""/>
      <w:lvlJc w:val="left"/>
      <w:pPr>
        <w:ind w:left="6906" w:hanging="360"/>
      </w:pPr>
      <w:rPr>
        <w:rFonts w:ascii="Wingdings" w:hAnsi="Wingdings" w:hint="default"/>
      </w:rPr>
    </w:lvl>
  </w:abstractNum>
  <w:abstractNum w:abstractNumId="587" w15:restartNumberingAfterBreak="0">
    <w:nsid w:val="55CB0719"/>
    <w:multiLevelType w:val="hybridMultilevel"/>
    <w:tmpl w:val="662E763E"/>
    <w:lvl w:ilvl="0" w:tplc="F90AA5CA">
      <w:numFmt w:val="bullet"/>
      <w:lvlText w:val="-"/>
      <w:lvlJc w:val="left"/>
      <w:pPr>
        <w:ind w:left="1146" w:hanging="360"/>
      </w:pPr>
      <w:rPr>
        <w:rFonts w:ascii="Times New Roman" w:eastAsia="Times New Roman" w:hAnsi="Times New Roman"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588" w15:restartNumberingAfterBreak="0">
    <w:nsid w:val="55FC60FB"/>
    <w:multiLevelType w:val="hybridMultilevel"/>
    <w:tmpl w:val="6E3E984E"/>
    <w:lvl w:ilvl="0" w:tplc="24D09896">
      <w:start w:val="13"/>
      <w:numFmt w:val="bullet"/>
      <w:lvlText w:val="˗"/>
      <w:lvlJc w:val="left"/>
      <w:pPr>
        <w:ind w:left="786" w:hanging="360"/>
      </w:pPr>
      <w:rPr>
        <w:rFonts w:ascii="Times New Roman" w:eastAsia="Calibri" w:hAnsi="Times New Roman" w:cs="Times New Roman" w:hint="default"/>
      </w:rPr>
    </w:lvl>
    <w:lvl w:ilvl="1" w:tplc="040E0003">
      <w:start w:val="1"/>
      <w:numFmt w:val="bullet"/>
      <w:lvlText w:val="o"/>
      <w:lvlJc w:val="left"/>
      <w:pPr>
        <w:ind w:left="1506" w:hanging="360"/>
      </w:pPr>
      <w:rPr>
        <w:rFonts w:ascii="Courier New" w:hAnsi="Courier New" w:cs="Courier New" w:hint="default"/>
      </w:rPr>
    </w:lvl>
    <w:lvl w:ilvl="2" w:tplc="040E0005">
      <w:start w:val="1"/>
      <w:numFmt w:val="bullet"/>
      <w:lvlText w:val=""/>
      <w:lvlJc w:val="left"/>
      <w:pPr>
        <w:ind w:left="2226" w:hanging="360"/>
      </w:pPr>
      <w:rPr>
        <w:rFonts w:ascii="Wingdings" w:hAnsi="Wingdings" w:hint="default"/>
      </w:rPr>
    </w:lvl>
    <w:lvl w:ilvl="3" w:tplc="040E0001">
      <w:start w:val="1"/>
      <w:numFmt w:val="bullet"/>
      <w:lvlText w:val=""/>
      <w:lvlJc w:val="left"/>
      <w:pPr>
        <w:ind w:left="2946" w:hanging="360"/>
      </w:pPr>
      <w:rPr>
        <w:rFonts w:ascii="Symbol" w:hAnsi="Symbol" w:hint="default"/>
      </w:rPr>
    </w:lvl>
    <w:lvl w:ilvl="4" w:tplc="040E0003">
      <w:start w:val="1"/>
      <w:numFmt w:val="bullet"/>
      <w:lvlText w:val="o"/>
      <w:lvlJc w:val="left"/>
      <w:pPr>
        <w:ind w:left="3666" w:hanging="360"/>
      </w:pPr>
      <w:rPr>
        <w:rFonts w:ascii="Courier New" w:hAnsi="Courier New" w:cs="Courier New" w:hint="default"/>
      </w:rPr>
    </w:lvl>
    <w:lvl w:ilvl="5" w:tplc="040E0005">
      <w:start w:val="1"/>
      <w:numFmt w:val="bullet"/>
      <w:lvlText w:val=""/>
      <w:lvlJc w:val="left"/>
      <w:pPr>
        <w:ind w:left="4386" w:hanging="360"/>
      </w:pPr>
      <w:rPr>
        <w:rFonts w:ascii="Wingdings" w:hAnsi="Wingdings" w:hint="default"/>
      </w:rPr>
    </w:lvl>
    <w:lvl w:ilvl="6" w:tplc="040E0001">
      <w:start w:val="1"/>
      <w:numFmt w:val="bullet"/>
      <w:lvlText w:val=""/>
      <w:lvlJc w:val="left"/>
      <w:pPr>
        <w:ind w:left="5106" w:hanging="360"/>
      </w:pPr>
      <w:rPr>
        <w:rFonts w:ascii="Symbol" w:hAnsi="Symbol" w:hint="default"/>
      </w:rPr>
    </w:lvl>
    <w:lvl w:ilvl="7" w:tplc="040E0003">
      <w:start w:val="1"/>
      <w:numFmt w:val="bullet"/>
      <w:lvlText w:val="o"/>
      <w:lvlJc w:val="left"/>
      <w:pPr>
        <w:ind w:left="5826" w:hanging="360"/>
      </w:pPr>
      <w:rPr>
        <w:rFonts w:ascii="Courier New" w:hAnsi="Courier New" w:cs="Courier New" w:hint="default"/>
      </w:rPr>
    </w:lvl>
    <w:lvl w:ilvl="8" w:tplc="040E0005">
      <w:start w:val="1"/>
      <w:numFmt w:val="bullet"/>
      <w:lvlText w:val=""/>
      <w:lvlJc w:val="left"/>
      <w:pPr>
        <w:ind w:left="6546" w:hanging="360"/>
      </w:pPr>
      <w:rPr>
        <w:rFonts w:ascii="Wingdings" w:hAnsi="Wingdings" w:hint="default"/>
      </w:rPr>
    </w:lvl>
  </w:abstractNum>
  <w:abstractNum w:abstractNumId="589" w15:restartNumberingAfterBreak="0">
    <w:nsid w:val="55FE2717"/>
    <w:multiLevelType w:val="multilevel"/>
    <w:tmpl w:val="F036E6B8"/>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590" w15:restartNumberingAfterBreak="0">
    <w:nsid w:val="566241A5"/>
    <w:multiLevelType w:val="multilevel"/>
    <w:tmpl w:val="F98046AC"/>
    <w:lvl w:ilvl="0">
      <w:start w:val="1"/>
      <w:numFmt w:val="decimal"/>
      <w:lvlText w:val="%1."/>
      <w:lvlJc w:val="left"/>
      <w:pPr>
        <w:tabs>
          <w:tab w:val="num" w:pos="360"/>
        </w:tabs>
        <w:ind w:left="360" w:hanging="360"/>
      </w:pPr>
      <w:rPr>
        <w:rFonts w:cs="Times New Roman" w:hint="default"/>
        <w:b/>
        <w:i w:val="0"/>
        <w:sz w:val="24"/>
      </w:rPr>
    </w:lvl>
    <w:lvl w:ilvl="1">
      <w:start w:val="1"/>
      <w:numFmt w:val="decimal"/>
      <w:lvlText w:val="%1.%2."/>
      <w:lvlJc w:val="left"/>
      <w:pPr>
        <w:tabs>
          <w:tab w:val="num" w:pos="792"/>
        </w:tabs>
        <w:ind w:left="792" w:hanging="432"/>
      </w:pPr>
      <w:rPr>
        <w:rFonts w:cs="Times New Roman"/>
        <w:b/>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91" w15:restartNumberingAfterBreak="0">
    <w:nsid w:val="56B80968"/>
    <w:multiLevelType w:val="multilevel"/>
    <w:tmpl w:val="E626BF1C"/>
    <w:lvl w:ilvl="0">
      <w:start w:val="1"/>
      <w:numFmt w:val="decimal"/>
      <w:lvlText w:val="%1."/>
      <w:lvlJc w:val="left"/>
      <w:pPr>
        <w:tabs>
          <w:tab w:val="num" w:pos="360"/>
        </w:tabs>
        <w:ind w:left="360" w:hanging="360"/>
      </w:pPr>
      <w:rPr>
        <w:rFonts w:cs="Times New Roman" w:hint="default"/>
        <w:b/>
        <w:i w:val="0"/>
        <w:sz w:val="22"/>
      </w:rPr>
    </w:lvl>
    <w:lvl w:ilvl="1">
      <w:start w:val="1"/>
      <w:numFmt w:val="decimal"/>
      <w:lvlText w:val="%1.%2."/>
      <w:lvlJc w:val="left"/>
      <w:pPr>
        <w:tabs>
          <w:tab w:val="num" w:pos="792"/>
        </w:tabs>
        <w:ind w:left="792" w:hanging="432"/>
      </w:pPr>
      <w:rPr>
        <w:rFonts w:cs="Times New Roman"/>
        <w:b/>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92" w15:restartNumberingAfterBreak="0">
    <w:nsid w:val="56BA5642"/>
    <w:multiLevelType w:val="multilevel"/>
    <w:tmpl w:val="2E249168"/>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593" w15:restartNumberingAfterBreak="0">
    <w:nsid w:val="57081DCC"/>
    <w:multiLevelType w:val="multilevel"/>
    <w:tmpl w:val="A5228408"/>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594" w15:restartNumberingAfterBreak="0">
    <w:nsid w:val="576D29E0"/>
    <w:multiLevelType w:val="multilevel"/>
    <w:tmpl w:val="2A34959A"/>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595" w15:restartNumberingAfterBreak="0">
    <w:nsid w:val="5778525B"/>
    <w:multiLevelType w:val="multilevel"/>
    <w:tmpl w:val="C33434A0"/>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596" w15:restartNumberingAfterBreak="0">
    <w:nsid w:val="57DC6801"/>
    <w:multiLevelType w:val="multilevel"/>
    <w:tmpl w:val="913E797E"/>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597" w15:restartNumberingAfterBreak="0">
    <w:nsid w:val="57E10B35"/>
    <w:multiLevelType w:val="hybridMultilevel"/>
    <w:tmpl w:val="504E3734"/>
    <w:lvl w:ilvl="0" w:tplc="B5B8FA5E">
      <w:start w:val="1"/>
      <w:numFmt w:val="decimal"/>
      <w:lvlText w:val="%1."/>
      <w:lvlJc w:val="left"/>
      <w:pPr>
        <w:ind w:left="720" w:hanging="360"/>
      </w:pPr>
      <w:rPr>
        <w:rFonts w:eastAsiaTheme="minorHAnsi"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98" w15:restartNumberingAfterBreak="0">
    <w:nsid w:val="57E658B8"/>
    <w:multiLevelType w:val="multilevel"/>
    <w:tmpl w:val="339E86A6"/>
    <w:lvl w:ilvl="0">
      <w:start w:val="1"/>
      <w:numFmt w:val="decimal"/>
      <w:lvlText w:val="%1."/>
      <w:lvlJc w:val="left"/>
      <w:pPr>
        <w:tabs>
          <w:tab w:val="num" w:pos="720"/>
        </w:tabs>
        <w:ind w:left="720" w:hanging="360"/>
      </w:pPr>
      <w:rPr>
        <w:rFonts w:hint="default"/>
        <w:b w:val="0"/>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599" w15:restartNumberingAfterBreak="0">
    <w:nsid w:val="57FA6D2C"/>
    <w:multiLevelType w:val="hybridMultilevel"/>
    <w:tmpl w:val="02B8CE1C"/>
    <w:lvl w:ilvl="0" w:tplc="5C1E6FE6">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00" w15:restartNumberingAfterBreak="0">
    <w:nsid w:val="583B2AE8"/>
    <w:multiLevelType w:val="hybridMultilevel"/>
    <w:tmpl w:val="7D662F42"/>
    <w:lvl w:ilvl="0" w:tplc="6F7C4B78">
      <w:start w:val="1"/>
      <w:numFmt w:val="decimal"/>
      <w:lvlText w:val="%1."/>
      <w:lvlJc w:val="left"/>
      <w:pPr>
        <w:ind w:left="644" w:hanging="360"/>
      </w:pPr>
      <w:rPr>
        <w:rFonts w:hint="default"/>
      </w:rPr>
    </w:lvl>
    <w:lvl w:ilvl="1" w:tplc="040E0019">
      <w:start w:val="1"/>
      <w:numFmt w:val="lowerLetter"/>
      <w:lvlText w:val="%2."/>
      <w:lvlJc w:val="left"/>
      <w:pPr>
        <w:ind w:left="1364" w:hanging="360"/>
      </w:pPr>
    </w:lvl>
    <w:lvl w:ilvl="2" w:tplc="040E001B">
      <w:start w:val="1"/>
      <w:numFmt w:val="lowerRoman"/>
      <w:lvlText w:val="%3."/>
      <w:lvlJc w:val="right"/>
      <w:pPr>
        <w:ind w:left="2084" w:hanging="180"/>
      </w:pPr>
    </w:lvl>
    <w:lvl w:ilvl="3" w:tplc="040E000F">
      <w:start w:val="1"/>
      <w:numFmt w:val="decimal"/>
      <w:lvlText w:val="%4."/>
      <w:lvlJc w:val="left"/>
      <w:pPr>
        <w:ind w:left="2804" w:hanging="360"/>
      </w:pPr>
    </w:lvl>
    <w:lvl w:ilvl="4" w:tplc="040E0019">
      <w:start w:val="1"/>
      <w:numFmt w:val="lowerLetter"/>
      <w:lvlText w:val="%5."/>
      <w:lvlJc w:val="left"/>
      <w:pPr>
        <w:ind w:left="3524" w:hanging="360"/>
      </w:pPr>
    </w:lvl>
    <w:lvl w:ilvl="5" w:tplc="040E001B">
      <w:start w:val="1"/>
      <w:numFmt w:val="lowerRoman"/>
      <w:lvlText w:val="%6."/>
      <w:lvlJc w:val="right"/>
      <w:pPr>
        <w:ind w:left="4244" w:hanging="180"/>
      </w:pPr>
    </w:lvl>
    <w:lvl w:ilvl="6" w:tplc="040E000F">
      <w:start w:val="1"/>
      <w:numFmt w:val="decimal"/>
      <w:lvlText w:val="%7."/>
      <w:lvlJc w:val="left"/>
      <w:pPr>
        <w:ind w:left="4964" w:hanging="360"/>
      </w:pPr>
    </w:lvl>
    <w:lvl w:ilvl="7" w:tplc="040E0019">
      <w:start w:val="1"/>
      <w:numFmt w:val="lowerLetter"/>
      <w:lvlText w:val="%8."/>
      <w:lvlJc w:val="left"/>
      <w:pPr>
        <w:ind w:left="5684" w:hanging="360"/>
      </w:pPr>
    </w:lvl>
    <w:lvl w:ilvl="8" w:tplc="040E001B">
      <w:start w:val="1"/>
      <w:numFmt w:val="lowerRoman"/>
      <w:lvlText w:val="%9."/>
      <w:lvlJc w:val="right"/>
      <w:pPr>
        <w:ind w:left="6404" w:hanging="180"/>
      </w:pPr>
    </w:lvl>
  </w:abstractNum>
  <w:abstractNum w:abstractNumId="601" w15:restartNumberingAfterBreak="0">
    <w:nsid w:val="58916DF2"/>
    <w:multiLevelType w:val="hybridMultilevel"/>
    <w:tmpl w:val="4A727F64"/>
    <w:lvl w:ilvl="0" w:tplc="5C1E6FE6">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02" w15:restartNumberingAfterBreak="0">
    <w:nsid w:val="58AE5C6C"/>
    <w:multiLevelType w:val="hybridMultilevel"/>
    <w:tmpl w:val="625A837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03" w15:restartNumberingAfterBreak="0">
    <w:nsid w:val="58B434E5"/>
    <w:multiLevelType w:val="hybridMultilevel"/>
    <w:tmpl w:val="F86C0B6C"/>
    <w:lvl w:ilvl="0" w:tplc="84A2A2C4">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04" w15:restartNumberingAfterBreak="0">
    <w:nsid w:val="58EB746B"/>
    <w:multiLevelType w:val="multilevel"/>
    <w:tmpl w:val="24A2AFB2"/>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4"/>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605" w15:restartNumberingAfterBreak="0">
    <w:nsid w:val="5927641C"/>
    <w:multiLevelType w:val="hybridMultilevel"/>
    <w:tmpl w:val="C9F2DBB0"/>
    <w:lvl w:ilvl="0" w:tplc="F90AA5CA">
      <w:numFmt w:val="bullet"/>
      <w:lvlText w:val="-"/>
      <w:lvlJc w:val="left"/>
      <w:pPr>
        <w:ind w:left="1145" w:hanging="360"/>
      </w:pPr>
      <w:rPr>
        <w:rFonts w:ascii="Times New Roman" w:eastAsia="Times New Roman" w:hAnsi="Times New Roman"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606" w15:restartNumberingAfterBreak="0">
    <w:nsid w:val="592F1E32"/>
    <w:multiLevelType w:val="hybridMultilevel"/>
    <w:tmpl w:val="396AF7CC"/>
    <w:lvl w:ilvl="0" w:tplc="F90AA5CA">
      <w:numFmt w:val="bullet"/>
      <w:lvlText w:val="-"/>
      <w:lvlJc w:val="left"/>
      <w:pPr>
        <w:ind w:left="1145" w:hanging="360"/>
      </w:pPr>
      <w:rPr>
        <w:rFonts w:ascii="Times New Roman" w:eastAsia="Times New Roman" w:hAnsi="Times New Roman"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607" w15:restartNumberingAfterBreak="0">
    <w:nsid w:val="5969660B"/>
    <w:multiLevelType w:val="multilevel"/>
    <w:tmpl w:val="5698897E"/>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608" w15:restartNumberingAfterBreak="0">
    <w:nsid w:val="597A5FFA"/>
    <w:multiLevelType w:val="hybridMultilevel"/>
    <w:tmpl w:val="7DE2E29C"/>
    <w:lvl w:ilvl="0" w:tplc="040E000F">
      <w:start w:val="1"/>
      <w:numFmt w:val="decimal"/>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09" w15:restartNumberingAfterBreak="0">
    <w:nsid w:val="5995711B"/>
    <w:multiLevelType w:val="multilevel"/>
    <w:tmpl w:val="7A86D388"/>
    <w:lvl w:ilvl="0">
      <w:start w:val="1"/>
      <w:numFmt w:val="decimal"/>
      <w:lvlText w:val="%1."/>
      <w:lvlJc w:val="right"/>
      <w:pPr>
        <w:tabs>
          <w:tab w:val="num" w:pos="786"/>
        </w:tabs>
        <w:ind w:left="786"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rPr>
    </w:lvl>
    <w:lvl w:ilvl="1">
      <w:start w:val="1"/>
      <w:numFmt w:val="decimal"/>
      <w:lvlText w:val="%1.%2."/>
      <w:lvlJc w:val="left"/>
      <w:pPr>
        <w:tabs>
          <w:tab w:val="num" w:pos="1851"/>
        </w:tabs>
        <w:ind w:left="1851" w:hanging="432"/>
      </w:pPr>
      <w:rPr>
        <w:b/>
      </w:rPr>
    </w:lvl>
    <w:lvl w:ilvl="2">
      <w:start w:val="1"/>
      <w:numFmt w:val="decimal"/>
      <w:lvlText w:val="%1.%2.%3."/>
      <w:lvlJc w:val="left"/>
      <w:pPr>
        <w:tabs>
          <w:tab w:val="num" w:pos="2226"/>
        </w:tabs>
        <w:ind w:left="2010" w:hanging="504"/>
      </w:pPr>
    </w:lvl>
    <w:lvl w:ilvl="3">
      <w:start w:val="1"/>
      <w:numFmt w:val="decimal"/>
      <w:lvlText w:val="%1.%2.%3.%4."/>
      <w:lvlJc w:val="left"/>
      <w:pPr>
        <w:tabs>
          <w:tab w:val="num" w:pos="2586"/>
        </w:tabs>
        <w:ind w:left="2514" w:hanging="648"/>
      </w:pPr>
    </w:lvl>
    <w:lvl w:ilvl="4">
      <w:start w:val="1"/>
      <w:numFmt w:val="decimal"/>
      <w:lvlText w:val="%1.%2.%3.%4.%5."/>
      <w:lvlJc w:val="left"/>
      <w:pPr>
        <w:tabs>
          <w:tab w:val="num" w:pos="3306"/>
        </w:tabs>
        <w:ind w:left="3018" w:hanging="792"/>
      </w:pPr>
    </w:lvl>
    <w:lvl w:ilvl="5">
      <w:start w:val="1"/>
      <w:numFmt w:val="decimal"/>
      <w:lvlText w:val="%1.%2.%3.%4.%5.%6."/>
      <w:lvlJc w:val="left"/>
      <w:pPr>
        <w:tabs>
          <w:tab w:val="num" w:pos="3666"/>
        </w:tabs>
        <w:ind w:left="3522" w:hanging="936"/>
      </w:pPr>
    </w:lvl>
    <w:lvl w:ilvl="6">
      <w:start w:val="1"/>
      <w:numFmt w:val="decimal"/>
      <w:lvlText w:val="%1.%2.%3.%4.%5.%6.%7."/>
      <w:lvlJc w:val="left"/>
      <w:pPr>
        <w:tabs>
          <w:tab w:val="num" w:pos="4386"/>
        </w:tabs>
        <w:ind w:left="4026" w:hanging="1080"/>
      </w:pPr>
    </w:lvl>
    <w:lvl w:ilvl="7">
      <w:start w:val="1"/>
      <w:numFmt w:val="decimal"/>
      <w:lvlText w:val="%1.%2.%3.%4.%5.%6.%7.%8."/>
      <w:lvlJc w:val="left"/>
      <w:pPr>
        <w:tabs>
          <w:tab w:val="num" w:pos="4746"/>
        </w:tabs>
        <w:ind w:left="4530" w:hanging="1224"/>
      </w:pPr>
    </w:lvl>
    <w:lvl w:ilvl="8">
      <w:start w:val="1"/>
      <w:numFmt w:val="decimal"/>
      <w:lvlText w:val="%1.%2.%3.%4.%5.%6.%7.%8.%9."/>
      <w:lvlJc w:val="left"/>
      <w:pPr>
        <w:tabs>
          <w:tab w:val="num" w:pos="5466"/>
        </w:tabs>
        <w:ind w:left="5106" w:hanging="1440"/>
      </w:pPr>
    </w:lvl>
  </w:abstractNum>
  <w:abstractNum w:abstractNumId="610" w15:restartNumberingAfterBreak="0">
    <w:nsid w:val="59CE72B6"/>
    <w:multiLevelType w:val="hybridMultilevel"/>
    <w:tmpl w:val="FE18955E"/>
    <w:lvl w:ilvl="0" w:tplc="F29CF34C">
      <w:start w:val="1"/>
      <w:numFmt w:val="bullet"/>
      <w:lvlText w:val=""/>
      <w:lvlJc w:val="left"/>
      <w:pPr>
        <w:ind w:left="1146" w:hanging="360"/>
      </w:pPr>
      <w:rPr>
        <w:rFonts w:ascii="Symbol" w:hAnsi="Symbol" w:hint="default"/>
      </w:rPr>
    </w:lvl>
    <w:lvl w:ilvl="1" w:tplc="040E0003">
      <w:start w:val="1"/>
      <w:numFmt w:val="bullet"/>
      <w:lvlText w:val="o"/>
      <w:lvlJc w:val="left"/>
      <w:pPr>
        <w:ind w:left="1866" w:hanging="360"/>
      </w:pPr>
      <w:rPr>
        <w:rFonts w:ascii="Courier New" w:hAnsi="Courier New" w:cs="Courier New" w:hint="default"/>
      </w:rPr>
    </w:lvl>
    <w:lvl w:ilvl="2" w:tplc="040E0005">
      <w:start w:val="1"/>
      <w:numFmt w:val="bullet"/>
      <w:lvlText w:val=""/>
      <w:lvlJc w:val="left"/>
      <w:pPr>
        <w:ind w:left="2586" w:hanging="360"/>
      </w:pPr>
      <w:rPr>
        <w:rFonts w:ascii="Wingdings" w:hAnsi="Wingdings" w:hint="default"/>
      </w:rPr>
    </w:lvl>
    <w:lvl w:ilvl="3" w:tplc="040E0001">
      <w:start w:val="1"/>
      <w:numFmt w:val="bullet"/>
      <w:lvlText w:val=""/>
      <w:lvlJc w:val="left"/>
      <w:pPr>
        <w:ind w:left="3306" w:hanging="360"/>
      </w:pPr>
      <w:rPr>
        <w:rFonts w:ascii="Symbol" w:hAnsi="Symbol" w:hint="default"/>
      </w:rPr>
    </w:lvl>
    <w:lvl w:ilvl="4" w:tplc="040E0003">
      <w:start w:val="1"/>
      <w:numFmt w:val="bullet"/>
      <w:lvlText w:val="o"/>
      <w:lvlJc w:val="left"/>
      <w:pPr>
        <w:ind w:left="4026" w:hanging="360"/>
      </w:pPr>
      <w:rPr>
        <w:rFonts w:ascii="Courier New" w:hAnsi="Courier New" w:cs="Courier New" w:hint="default"/>
      </w:rPr>
    </w:lvl>
    <w:lvl w:ilvl="5" w:tplc="040E0005">
      <w:start w:val="1"/>
      <w:numFmt w:val="bullet"/>
      <w:lvlText w:val=""/>
      <w:lvlJc w:val="left"/>
      <w:pPr>
        <w:ind w:left="4746" w:hanging="360"/>
      </w:pPr>
      <w:rPr>
        <w:rFonts w:ascii="Wingdings" w:hAnsi="Wingdings" w:hint="default"/>
      </w:rPr>
    </w:lvl>
    <w:lvl w:ilvl="6" w:tplc="040E0001">
      <w:start w:val="1"/>
      <w:numFmt w:val="bullet"/>
      <w:lvlText w:val=""/>
      <w:lvlJc w:val="left"/>
      <w:pPr>
        <w:ind w:left="5466" w:hanging="360"/>
      </w:pPr>
      <w:rPr>
        <w:rFonts w:ascii="Symbol" w:hAnsi="Symbol" w:hint="default"/>
      </w:rPr>
    </w:lvl>
    <w:lvl w:ilvl="7" w:tplc="040E0003">
      <w:start w:val="1"/>
      <w:numFmt w:val="bullet"/>
      <w:lvlText w:val="o"/>
      <w:lvlJc w:val="left"/>
      <w:pPr>
        <w:ind w:left="6186" w:hanging="360"/>
      </w:pPr>
      <w:rPr>
        <w:rFonts w:ascii="Courier New" w:hAnsi="Courier New" w:cs="Courier New" w:hint="default"/>
      </w:rPr>
    </w:lvl>
    <w:lvl w:ilvl="8" w:tplc="040E0005">
      <w:start w:val="1"/>
      <w:numFmt w:val="bullet"/>
      <w:lvlText w:val=""/>
      <w:lvlJc w:val="left"/>
      <w:pPr>
        <w:ind w:left="6906" w:hanging="360"/>
      </w:pPr>
      <w:rPr>
        <w:rFonts w:ascii="Wingdings" w:hAnsi="Wingdings" w:hint="default"/>
      </w:rPr>
    </w:lvl>
  </w:abstractNum>
  <w:abstractNum w:abstractNumId="611" w15:restartNumberingAfterBreak="0">
    <w:nsid w:val="59F60D1E"/>
    <w:multiLevelType w:val="multilevel"/>
    <w:tmpl w:val="8214A5F8"/>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612" w15:restartNumberingAfterBreak="0">
    <w:nsid w:val="59F84E29"/>
    <w:multiLevelType w:val="hybridMultilevel"/>
    <w:tmpl w:val="81400BCC"/>
    <w:lvl w:ilvl="0" w:tplc="7A6CEBCE">
      <w:numFmt w:val="bullet"/>
      <w:lvlText w:val="-"/>
      <w:lvlJc w:val="left"/>
      <w:pPr>
        <w:ind w:left="786" w:hanging="360"/>
      </w:pPr>
      <w:rPr>
        <w:rFonts w:ascii="Times New Roman" w:eastAsia="Times New Roman" w:hAnsi="Times New Roman" w:cs="Times New Roman" w:hint="default"/>
        <w:b/>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613" w15:restartNumberingAfterBreak="0">
    <w:nsid w:val="5A0A0BB3"/>
    <w:multiLevelType w:val="hybridMultilevel"/>
    <w:tmpl w:val="109C7A72"/>
    <w:lvl w:ilvl="0" w:tplc="1D28D2C0">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14" w15:restartNumberingAfterBreak="0">
    <w:nsid w:val="5A10530C"/>
    <w:multiLevelType w:val="hybridMultilevel"/>
    <w:tmpl w:val="744C1B8E"/>
    <w:lvl w:ilvl="0" w:tplc="040E000F">
      <w:start w:val="1"/>
      <w:numFmt w:val="decimal"/>
      <w:lvlText w:val="%1."/>
      <w:lvlJc w:val="left"/>
      <w:pPr>
        <w:ind w:left="1211" w:hanging="360"/>
      </w:pPr>
      <w:rPr>
        <w:rFonts w:hint="default"/>
      </w:rPr>
    </w:lvl>
    <w:lvl w:ilvl="1" w:tplc="040E0019">
      <w:start w:val="1"/>
      <w:numFmt w:val="lowerLetter"/>
      <w:lvlText w:val="%2."/>
      <w:lvlJc w:val="left"/>
      <w:pPr>
        <w:ind w:left="1931" w:hanging="360"/>
      </w:pPr>
    </w:lvl>
    <w:lvl w:ilvl="2" w:tplc="040E001B" w:tentative="1">
      <w:start w:val="1"/>
      <w:numFmt w:val="lowerRoman"/>
      <w:lvlText w:val="%3."/>
      <w:lvlJc w:val="right"/>
      <w:pPr>
        <w:ind w:left="2651" w:hanging="180"/>
      </w:pPr>
    </w:lvl>
    <w:lvl w:ilvl="3" w:tplc="040E000F" w:tentative="1">
      <w:start w:val="1"/>
      <w:numFmt w:val="decimal"/>
      <w:lvlText w:val="%4."/>
      <w:lvlJc w:val="left"/>
      <w:pPr>
        <w:ind w:left="3371" w:hanging="360"/>
      </w:pPr>
    </w:lvl>
    <w:lvl w:ilvl="4" w:tplc="040E0019" w:tentative="1">
      <w:start w:val="1"/>
      <w:numFmt w:val="lowerLetter"/>
      <w:lvlText w:val="%5."/>
      <w:lvlJc w:val="left"/>
      <w:pPr>
        <w:ind w:left="4091" w:hanging="360"/>
      </w:pPr>
    </w:lvl>
    <w:lvl w:ilvl="5" w:tplc="040E001B" w:tentative="1">
      <w:start w:val="1"/>
      <w:numFmt w:val="lowerRoman"/>
      <w:lvlText w:val="%6."/>
      <w:lvlJc w:val="right"/>
      <w:pPr>
        <w:ind w:left="4811" w:hanging="180"/>
      </w:pPr>
    </w:lvl>
    <w:lvl w:ilvl="6" w:tplc="040E000F" w:tentative="1">
      <w:start w:val="1"/>
      <w:numFmt w:val="decimal"/>
      <w:lvlText w:val="%7."/>
      <w:lvlJc w:val="left"/>
      <w:pPr>
        <w:ind w:left="5531" w:hanging="360"/>
      </w:pPr>
    </w:lvl>
    <w:lvl w:ilvl="7" w:tplc="040E0019" w:tentative="1">
      <w:start w:val="1"/>
      <w:numFmt w:val="lowerLetter"/>
      <w:lvlText w:val="%8."/>
      <w:lvlJc w:val="left"/>
      <w:pPr>
        <w:ind w:left="6251" w:hanging="360"/>
      </w:pPr>
    </w:lvl>
    <w:lvl w:ilvl="8" w:tplc="040E001B" w:tentative="1">
      <w:start w:val="1"/>
      <w:numFmt w:val="lowerRoman"/>
      <w:lvlText w:val="%9."/>
      <w:lvlJc w:val="right"/>
      <w:pPr>
        <w:ind w:left="6971" w:hanging="180"/>
      </w:pPr>
    </w:lvl>
  </w:abstractNum>
  <w:abstractNum w:abstractNumId="615" w15:restartNumberingAfterBreak="0">
    <w:nsid w:val="5A181E44"/>
    <w:multiLevelType w:val="multilevel"/>
    <w:tmpl w:val="47BC5DB2"/>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616" w15:restartNumberingAfterBreak="0">
    <w:nsid w:val="5A9127EC"/>
    <w:multiLevelType w:val="hybridMultilevel"/>
    <w:tmpl w:val="7B563546"/>
    <w:lvl w:ilvl="0" w:tplc="F90AA5CA">
      <w:numFmt w:val="bullet"/>
      <w:lvlText w:val="-"/>
      <w:lvlJc w:val="left"/>
      <w:pPr>
        <w:ind w:left="1145" w:hanging="360"/>
      </w:pPr>
      <w:rPr>
        <w:rFonts w:ascii="Times New Roman" w:eastAsia="Times New Roman" w:hAnsi="Times New Roman"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617" w15:restartNumberingAfterBreak="0">
    <w:nsid w:val="5A970F14"/>
    <w:multiLevelType w:val="hybridMultilevel"/>
    <w:tmpl w:val="2E6C5FA4"/>
    <w:lvl w:ilvl="0" w:tplc="F90AA5CA">
      <w:numFmt w:val="bullet"/>
      <w:lvlText w:val="-"/>
      <w:lvlJc w:val="left"/>
      <w:pPr>
        <w:ind w:left="1145" w:hanging="360"/>
      </w:pPr>
      <w:rPr>
        <w:rFonts w:ascii="Times New Roman" w:eastAsia="Times New Roman" w:hAnsi="Times New Roman"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618" w15:restartNumberingAfterBreak="0">
    <w:nsid w:val="5AA41ED2"/>
    <w:multiLevelType w:val="multilevel"/>
    <w:tmpl w:val="E72ABE58"/>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619" w15:restartNumberingAfterBreak="0">
    <w:nsid w:val="5AA64895"/>
    <w:multiLevelType w:val="hybridMultilevel"/>
    <w:tmpl w:val="A0486C08"/>
    <w:lvl w:ilvl="0" w:tplc="2CB45C6A">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20" w15:restartNumberingAfterBreak="0">
    <w:nsid w:val="5B397625"/>
    <w:multiLevelType w:val="hybridMultilevel"/>
    <w:tmpl w:val="96441E44"/>
    <w:lvl w:ilvl="0" w:tplc="19B47AC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21" w15:restartNumberingAfterBreak="0">
    <w:nsid w:val="5B4E047C"/>
    <w:multiLevelType w:val="multilevel"/>
    <w:tmpl w:val="C58E9232"/>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4"/>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622" w15:restartNumberingAfterBreak="0">
    <w:nsid w:val="5B923BEB"/>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623" w15:restartNumberingAfterBreak="0">
    <w:nsid w:val="5BE77406"/>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624" w15:restartNumberingAfterBreak="0">
    <w:nsid w:val="5BF50D9B"/>
    <w:multiLevelType w:val="hybridMultilevel"/>
    <w:tmpl w:val="393AD550"/>
    <w:lvl w:ilvl="0" w:tplc="50A4128A">
      <w:start w:val="1"/>
      <w:numFmt w:val="decimal"/>
      <w:lvlText w:val="%1."/>
      <w:lvlJc w:val="left"/>
      <w:pPr>
        <w:ind w:left="644" w:hanging="360"/>
      </w:pPr>
      <w:rPr>
        <w:rFonts w:eastAsiaTheme="minorHAnsi"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25" w15:restartNumberingAfterBreak="0">
    <w:nsid w:val="5C100D07"/>
    <w:multiLevelType w:val="hybridMultilevel"/>
    <w:tmpl w:val="CD1C5448"/>
    <w:lvl w:ilvl="0" w:tplc="24066470">
      <w:start w:val="1"/>
      <w:numFmt w:val="decimal"/>
      <w:lvlText w:val="%1."/>
      <w:lvlJc w:val="left"/>
      <w:pPr>
        <w:ind w:left="108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626" w15:restartNumberingAfterBreak="0">
    <w:nsid w:val="5C404D8F"/>
    <w:multiLevelType w:val="hybridMultilevel"/>
    <w:tmpl w:val="7776635E"/>
    <w:lvl w:ilvl="0" w:tplc="BCB4D65E">
      <w:numFmt w:val="bullet"/>
      <w:lvlText w:val="-"/>
      <w:lvlJc w:val="left"/>
      <w:pPr>
        <w:ind w:left="786" w:hanging="360"/>
      </w:pPr>
      <w:rPr>
        <w:rFonts w:ascii="Times New Roman" w:eastAsia="Times New Roman" w:hAnsi="Times New Roman" w:cs="Times New Roman"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627" w15:restartNumberingAfterBreak="0">
    <w:nsid w:val="5CCA7EF1"/>
    <w:multiLevelType w:val="hybridMultilevel"/>
    <w:tmpl w:val="69C2AB0E"/>
    <w:lvl w:ilvl="0" w:tplc="F90AA5CA">
      <w:numFmt w:val="bullet"/>
      <w:lvlText w:val="-"/>
      <w:lvlJc w:val="left"/>
      <w:pPr>
        <w:ind w:left="1145" w:hanging="360"/>
      </w:pPr>
      <w:rPr>
        <w:rFonts w:ascii="Times New Roman" w:eastAsia="Times New Roman" w:hAnsi="Times New Roman"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628" w15:restartNumberingAfterBreak="0">
    <w:nsid w:val="5CF601B2"/>
    <w:multiLevelType w:val="hybridMultilevel"/>
    <w:tmpl w:val="6B66BF1A"/>
    <w:lvl w:ilvl="0" w:tplc="F90AA5CA">
      <w:numFmt w:val="bullet"/>
      <w:lvlText w:val="-"/>
      <w:lvlJc w:val="left"/>
      <w:pPr>
        <w:ind w:left="1145" w:hanging="360"/>
      </w:pPr>
      <w:rPr>
        <w:rFonts w:ascii="Times New Roman" w:eastAsia="Times New Roman" w:hAnsi="Times New Roman"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629" w15:restartNumberingAfterBreak="0">
    <w:nsid w:val="5D2C3445"/>
    <w:multiLevelType w:val="multilevel"/>
    <w:tmpl w:val="D7E87DB8"/>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630" w15:restartNumberingAfterBreak="0">
    <w:nsid w:val="5DA307C9"/>
    <w:multiLevelType w:val="multilevel"/>
    <w:tmpl w:val="26469FB8"/>
    <w:lvl w:ilvl="0">
      <w:start w:val="16"/>
      <w:numFmt w:val="decimal"/>
      <w:lvlText w:val="%1."/>
      <w:lvlJc w:val="left"/>
      <w:pPr>
        <w:ind w:left="600" w:hanging="600"/>
      </w:pPr>
      <w:rPr>
        <w:rFonts w:ascii="Times New Roman" w:hAnsi="Times New Roman" w:cs="Times New Roman" w:hint="default"/>
        <w:b/>
        <w:sz w:val="24"/>
        <w:szCs w:val="24"/>
      </w:rPr>
    </w:lvl>
    <w:lvl w:ilvl="1">
      <w:start w:val="1"/>
      <w:numFmt w:val="decimalZero"/>
      <w:lvlText w:val="%1.%2."/>
      <w:lvlJc w:val="left"/>
      <w:pPr>
        <w:ind w:left="1626" w:hanging="600"/>
      </w:pPr>
      <w:rPr>
        <w:rFonts w:ascii="CG Times (W1)" w:hAnsi="CG Times (W1)" w:hint="default"/>
        <w:b/>
        <w:sz w:val="22"/>
        <w:szCs w:val="22"/>
      </w:rPr>
    </w:lvl>
    <w:lvl w:ilvl="2">
      <w:start w:val="1"/>
      <w:numFmt w:val="decimal"/>
      <w:lvlText w:val="%1.%2.%3."/>
      <w:lvlJc w:val="left"/>
      <w:pPr>
        <w:ind w:left="2772" w:hanging="720"/>
      </w:pPr>
      <w:rPr>
        <w:rFonts w:ascii="CG Times (W1)" w:hAnsi="CG Times (W1)" w:hint="default"/>
        <w:b w:val="0"/>
      </w:rPr>
    </w:lvl>
    <w:lvl w:ilvl="3">
      <w:start w:val="1"/>
      <w:numFmt w:val="decimal"/>
      <w:lvlText w:val="%1.%2.%3.%4."/>
      <w:lvlJc w:val="left"/>
      <w:pPr>
        <w:ind w:left="3798" w:hanging="720"/>
      </w:pPr>
      <w:rPr>
        <w:rFonts w:ascii="CG Times (W1)" w:hAnsi="CG Times (W1)" w:hint="default"/>
        <w:b w:val="0"/>
      </w:rPr>
    </w:lvl>
    <w:lvl w:ilvl="4">
      <w:start w:val="1"/>
      <w:numFmt w:val="decimal"/>
      <w:lvlText w:val="%1.%2.%3.%4.%5."/>
      <w:lvlJc w:val="left"/>
      <w:pPr>
        <w:ind w:left="5184" w:hanging="1080"/>
      </w:pPr>
      <w:rPr>
        <w:rFonts w:ascii="CG Times (W1)" w:hAnsi="CG Times (W1)" w:hint="default"/>
        <w:b w:val="0"/>
      </w:rPr>
    </w:lvl>
    <w:lvl w:ilvl="5">
      <w:start w:val="1"/>
      <w:numFmt w:val="decimal"/>
      <w:lvlText w:val="%1.%2.%3.%4.%5.%6."/>
      <w:lvlJc w:val="left"/>
      <w:pPr>
        <w:ind w:left="6210" w:hanging="1080"/>
      </w:pPr>
      <w:rPr>
        <w:rFonts w:ascii="CG Times (W1)" w:hAnsi="CG Times (W1)" w:hint="default"/>
        <w:b w:val="0"/>
      </w:rPr>
    </w:lvl>
    <w:lvl w:ilvl="6">
      <w:start w:val="1"/>
      <w:numFmt w:val="decimal"/>
      <w:lvlText w:val="%1.%2.%3.%4.%5.%6.%7."/>
      <w:lvlJc w:val="left"/>
      <w:pPr>
        <w:ind w:left="7596" w:hanging="1440"/>
      </w:pPr>
      <w:rPr>
        <w:rFonts w:ascii="CG Times (W1)" w:hAnsi="CG Times (W1)" w:hint="default"/>
        <w:b w:val="0"/>
      </w:rPr>
    </w:lvl>
    <w:lvl w:ilvl="7">
      <w:start w:val="1"/>
      <w:numFmt w:val="decimal"/>
      <w:lvlText w:val="%1.%2.%3.%4.%5.%6.%7.%8."/>
      <w:lvlJc w:val="left"/>
      <w:pPr>
        <w:ind w:left="8622" w:hanging="1440"/>
      </w:pPr>
      <w:rPr>
        <w:rFonts w:ascii="CG Times (W1)" w:hAnsi="CG Times (W1)" w:hint="default"/>
        <w:b w:val="0"/>
      </w:rPr>
    </w:lvl>
    <w:lvl w:ilvl="8">
      <w:start w:val="1"/>
      <w:numFmt w:val="decimal"/>
      <w:lvlText w:val="%1.%2.%3.%4.%5.%6.%7.%8.%9."/>
      <w:lvlJc w:val="left"/>
      <w:pPr>
        <w:ind w:left="10008" w:hanging="1800"/>
      </w:pPr>
      <w:rPr>
        <w:rFonts w:ascii="CG Times (W1)" w:hAnsi="CG Times (W1)" w:hint="default"/>
        <w:b w:val="0"/>
      </w:rPr>
    </w:lvl>
  </w:abstractNum>
  <w:abstractNum w:abstractNumId="631" w15:restartNumberingAfterBreak="0">
    <w:nsid w:val="5DC64A33"/>
    <w:multiLevelType w:val="multilevel"/>
    <w:tmpl w:val="8AD22F8E"/>
    <w:lvl w:ilvl="0">
      <w:start w:val="17"/>
      <w:numFmt w:val="decimal"/>
      <w:lvlText w:val="%1."/>
      <w:lvlJc w:val="left"/>
      <w:pPr>
        <w:tabs>
          <w:tab w:val="num" w:pos="360"/>
        </w:tabs>
        <w:ind w:left="360" w:hanging="360"/>
      </w:pPr>
      <w:rPr>
        <w:rFonts w:cs="Times New Roman"/>
        <w:b/>
        <w:i w:val="0"/>
        <w:sz w:val="22"/>
        <w:szCs w:val="22"/>
      </w:rPr>
    </w:lvl>
    <w:lvl w:ilvl="1">
      <w:start w:val="1"/>
      <w:numFmt w:val="decimal"/>
      <w:lvlText w:val="%1.%2."/>
      <w:lvlJc w:val="left"/>
      <w:pPr>
        <w:tabs>
          <w:tab w:val="num" w:pos="792"/>
        </w:tabs>
        <w:ind w:left="792" w:hanging="432"/>
      </w:pPr>
      <w:rPr>
        <w:rFonts w:cs="Times New Roman"/>
        <w:b/>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32" w15:restartNumberingAfterBreak="0">
    <w:nsid w:val="5DDA3A4C"/>
    <w:multiLevelType w:val="hybridMultilevel"/>
    <w:tmpl w:val="4268E1F8"/>
    <w:lvl w:ilvl="0" w:tplc="84148D04">
      <w:numFmt w:val="bullet"/>
      <w:lvlText w:val="-"/>
      <w:lvlJc w:val="left"/>
      <w:pPr>
        <w:ind w:left="786" w:hanging="360"/>
      </w:pPr>
      <w:rPr>
        <w:rFonts w:ascii="Times New Roman" w:eastAsia="Times New Roman" w:hAnsi="Times New Roman" w:cs="Times New Roman" w:hint="default"/>
      </w:rPr>
    </w:lvl>
    <w:lvl w:ilvl="1" w:tplc="040E0003">
      <w:start w:val="1"/>
      <w:numFmt w:val="bullet"/>
      <w:lvlText w:val="o"/>
      <w:lvlJc w:val="left"/>
      <w:pPr>
        <w:ind w:left="1506" w:hanging="360"/>
      </w:pPr>
      <w:rPr>
        <w:rFonts w:ascii="Courier New" w:hAnsi="Courier New" w:cs="Courier New" w:hint="default"/>
      </w:rPr>
    </w:lvl>
    <w:lvl w:ilvl="2" w:tplc="040E0005">
      <w:start w:val="1"/>
      <w:numFmt w:val="bullet"/>
      <w:lvlText w:val=""/>
      <w:lvlJc w:val="left"/>
      <w:pPr>
        <w:ind w:left="2226" w:hanging="360"/>
      </w:pPr>
      <w:rPr>
        <w:rFonts w:ascii="Wingdings" w:hAnsi="Wingdings" w:hint="default"/>
      </w:rPr>
    </w:lvl>
    <w:lvl w:ilvl="3" w:tplc="040E0001">
      <w:start w:val="1"/>
      <w:numFmt w:val="bullet"/>
      <w:lvlText w:val=""/>
      <w:lvlJc w:val="left"/>
      <w:pPr>
        <w:ind w:left="2946" w:hanging="360"/>
      </w:pPr>
      <w:rPr>
        <w:rFonts w:ascii="Symbol" w:hAnsi="Symbol" w:hint="default"/>
      </w:rPr>
    </w:lvl>
    <w:lvl w:ilvl="4" w:tplc="040E0003">
      <w:start w:val="1"/>
      <w:numFmt w:val="bullet"/>
      <w:lvlText w:val="o"/>
      <w:lvlJc w:val="left"/>
      <w:pPr>
        <w:ind w:left="3666" w:hanging="360"/>
      </w:pPr>
      <w:rPr>
        <w:rFonts w:ascii="Courier New" w:hAnsi="Courier New" w:cs="Courier New" w:hint="default"/>
      </w:rPr>
    </w:lvl>
    <w:lvl w:ilvl="5" w:tplc="040E0005">
      <w:start w:val="1"/>
      <w:numFmt w:val="bullet"/>
      <w:lvlText w:val=""/>
      <w:lvlJc w:val="left"/>
      <w:pPr>
        <w:ind w:left="4386" w:hanging="360"/>
      </w:pPr>
      <w:rPr>
        <w:rFonts w:ascii="Wingdings" w:hAnsi="Wingdings" w:hint="default"/>
      </w:rPr>
    </w:lvl>
    <w:lvl w:ilvl="6" w:tplc="040E0001">
      <w:start w:val="1"/>
      <w:numFmt w:val="bullet"/>
      <w:lvlText w:val=""/>
      <w:lvlJc w:val="left"/>
      <w:pPr>
        <w:ind w:left="5106" w:hanging="360"/>
      </w:pPr>
      <w:rPr>
        <w:rFonts w:ascii="Symbol" w:hAnsi="Symbol" w:hint="default"/>
      </w:rPr>
    </w:lvl>
    <w:lvl w:ilvl="7" w:tplc="040E0003">
      <w:start w:val="1"/>
      <w:numFmt w:val="bullet"/>
      <w:lvlText w:val="o"/>
      <w:lvlJc w:val="left"/>
      <w:pPr>
        <w:ind w:left="5826" w:hanging="360"/>
      </w:pPr>
      <w:rPr>
        <w:rFonts w:ascii="Courier New" w:hAnsi="Courier New" w:cs="Courier New" w:hint="default"/>
      </w:rPr>
    </w:lvl>
    <w:lvl w:ilvl="8" w:tplc="040E0005">
      <w:start w:val="1"/>
      <w:numFmt w:val="bullet"/>
      <w:lvlText w:val=""/>
      <w:lvlJc w:val="left"/>
      <w:pPr>
        <w:ind w:left="6546" w:hanging="360"/>
      </w:pPr>
      <w:rPr>
        <w:rFonts w:ascii="Wingdings" w:hAnsi="Wingdings" w:hint="default"/>
      </w:rPr>
    </w:lvl>
  </w:abstractNum>
  <w:abstractNum w:abstractNumId="633" w15:restartNumberingAfterBreak="0">
    <w:nsid w:val="5E1C259F"/>
    <w:multiLevelType w:val="hybridMultilevel"/>
    <w:tmpl w:val="FB6ACC08"/>
    <w:lvl w:ilvl="0" w:tplc="94200CCE">
      <w:start w:val="1"/>
      <w:numFmt w:val="decimal"/>
      <w:lvlText w:val="%1."/>
      <w:lvlJc w:val="left"/>
      <w:pPr>
        <w:ind w:left="108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34" w15:restartNumberingAfterBreak="0">
    <w:nsid w:val="5E227AD0"/>
    <w:multiLevelType w:val="hybridMultilevel"/>
    <w:tmpl w:val="ABA0C5DC"/>
    <w:lvl w:ilvl="0" w:tplc="FC1435AE">
      <w:start w:val="1"/>
      <w:numFmt w:val="decimal"/>
      <w:lvlText w:val="%1."/>
      <w:lvlJc w:val="left"/>
      <w:pPr>
        <w:ind w:left="644" w:hanging="360"/>
      </w:pPr>
      <w:rPr>
        <w:rFonts w:eastAsiaTheme="minorHAnsi"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35" w15:restartNumberingAfterBreak="0">
    <w:nsid w:val="5E244457"/>
    <w:multiLevelType w:val="multilevel"/>
    <w:tmpl w:val="A94EAAD8"/>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636" w15:restartNumberingAfterBreak="0">
    <w:nsid w:val="5E2D2162"/>
    <w:multiLevelType w:val="hybridMultilevel"/>
    <w:tmpl w:val="E19EE628"/>
    <w:lvl w:ilvl="0" w:tplc="53FA006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37" w15:restartNumberingAfterBreak="0">
    <w:nsid w:val="5E2E5EC2"/>
    <w:multiLevelType w:val="multilevel"/>
    <w:tmpl w:val="96085DFE"/>
    <w:lvl w:ilvl="0">
      <w:start w:val="12"/>
      <w:numFmt w:val="decimal"/>
      <w:lvlText w:val="%1."/>
      <w:lvlJc w:val="left"/>
      <w:pPr>
        <w:ind w:left="600" w:hanging="600"/>
      </w:pPr>
      <w:rPr>
        <w:rFonts w:ascii="CG Times (W1)" w:hAnsi="CG Times (W1)" w:hint="default"/>
        <w:b w:val="0"/>
      </w:rPr>
    </w:lvl>
    <w:lvl w:ilvl="1">
      <w:start w:val="5"/>
      <w:numFmt w:val="decimalZero"/>
      <w:lvlText w:val="%1.%2."/>
      <w:lvlJc w:val="left"/>
      <w:pPr>
        <w:ind w:left="1626" w:hanging="600"/>
      </w:pPr>
      <w:rPr>
        <w:rFonts w:ascii="CG Times (W1)" w:hAnsi="CG Times (W1)" w:hint="default"/>
        <w:b/>
        <w:sz w:val="22"/>
        <w:szCs w:val="22"/>
      </w:rPr>
    </w:lvl>
    <w:lvl w:ilvl="2">
      <w:start w:val="1"/>
      <w:numFmt w:val="decimal"/>
      <w:lvlText w:val="%1.%2.%3."/>
      <w:lvlJc w:val="left"/>
      <w:pPr>
        <w:ind w:left="2772" w:hanging="720"/>
      </w:pPr>
      <w:rPr>
        <w:rFonts w:ascii="CG Times (W1)" w:hAnsi="CG Times (W1)" w:hint="default"/>
        <w:b w:val="0"/>
      </w:rPr>
    </w:lvl>
    <w:lvl w:ilvl="3">
      <w:start w:val="1"/>
      <w:numFmt w:val="decimal"/>
      <w:lvlText w:val="%1.%2.%3.%4."/>
      <w:lvlJc w:val="left"/>
      <w:pPr>
        <w:ind w:left="3798" w:hanging="720"/>
      </w:pPr>
      <w:rPr>
        <w:rFonts w:ascii="CG Times (W1)" w:hAnsi="CG Times (W1)" w:hint="default"/>
        <w:b w:val="0"/>
      </w:rPr>
    </w:lvl>
    <w:lvl w:ilvl="4">
      <w:start w:val="1"/>
      <w:numFmt w:val="decimal"/>
      <w:lvlText w:val="%1.%2.%3.%4.%5."/>
      <w:lvlJc w:val="left"/>
      <w:pPr>
        <w:ind w:left="5184" w:hanging="1080"/>
      </w:pPr>
      <w:rPr>
        <w:rFonts w:ascii="CG Times (W1)" w:hAnsi="CG Times (W1)" w:hint="default"/>
        <w:b w:val="0"/>
      </w:rPr>
    </w:lvl>
    <w:lvl w:ilvl="5">
      <w:start w:val="1"/>
      <w:numFmt w:val="decimal"/>
      <w:lvlText w:val="%1.%2.%3.%4.%5.%6."/>
      <w:lvlJc w:val="left"/>
      <w:pPr>
        <w:ind w:left="6210" w:hanging="1080"/>
      </w:pPr>
      <w:rPr>
        <w:rFonts w:ascii="CG Times (W1)" w:hAnsi="CG Times (W1)" w:hint="default"/>
        <w:b w:val="0"/>
      </w:rPr>
    </w:lvl>
    <w:lvl w:ilvl="6">
      <w:start w:val="1"/>
      <w:numFmt w:val="decimal"/>
      <w:lvlText w:val="%1.%2.%3.%4.%5.%6.%7."/>
      <w:lvlJc w:val="left"/>
      <w:pPr>
        <w:ind w:left="7596" w:hanging="1440"/>
      </w:pPr>
      <w:rPr>
        <w:rFonts w:ascii="CG Times (W1)" w:hAnsi="CG Times (W1)" w:hint="default"/>
        <w:b w:val="0"/>
      </w:rPr>
    </w:lvl>
    <w:lvl w:ilvl="7">
      <w:start w:val="1"/>
      <w:numFmt w:val="decimal"/>
      <w:lvlText w:val="%1.%2.%3.%4.%5.%6.%7.%8."/>
      <w:lvlJc w:val="left"/>
      <w:pPr>
        <w:ind w:left="8622" w:hanging="1440"/>
      </w:pPr>
      <w:rPr>
        <w:rFonts w:ascii="CG Times (W1)" w:hAnsi="CG Times (W1)" w:hint="default"/>
        <w:b w:val="0"/>
      </w:rPr>
    </w:lvl>
    <w:lvl w:ilvl="8">
      <w:start w:val="1"/>
      <w:numFmt w:val="decimal"/>
      <w:lvlText w:val="%1.%2.%3.%4.%5.%6.%7.%8.%9."/>
      <w:lvlJc w:val="left"/>
      <w:pPr>
        <w:ind w:left="10008" w:hanging="1800"/>
      </w:pPr>
      <w:rPr>
        <w:rFonts w:ascii="CG Times (W1)" w:hAnsi="CG Times (W1)" w:hint="default"/>
        <w:b w:val="0"/>
      </w:rPr>
    </w:lvl>
  </w:abstractNum>
  <w:abstractNum w:abstractNumId="638" w15:restartNumberingAfterBreak="0">
    <w:nsid w:val="5E4D0CF7"/>
    <w:multiLevelType w:val="multilevel"/>
    <w:tmpl w:val="5FBE83F0"/>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639" w15:restartNumberingAfterBreak="0">
    <w:nsid w:val="5E72183E"/>
    <w:multiLevelType w:val="hybridMultilevel"/>
    <w:tmpl w:val="7B5ACBEC"/>
    <w:lvl w:ilvl="0" w:tplc="8FF43174">
      <w:start w:val="1"/>
      <w:numFmt w:val="decimal"/>
      <w:lvlText w:val="%1."/>
      <w:lvlJc w:val="left"/>
      <w:pPr>
        <w:ind w:left="720" w:hanging="360"/>
      </w:pPr>
      <w:rPr>
        <w:rFonts w:eastAsiaTheme="minorHAnsi"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40" w15:restartNumberingAfterBreak="0">
    <w:nsid w:val="5E82792E"/>
    <w:multiLevelType w:val="multilevel"/>
    <w:tmpl w:val="76A410DC"/>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641" w15:restartNumberingAfterBreak="0">
    <w:nsid w:val="5EB0604E"/>
    <w:multiLevelType w:val="hybridMultilevel"/>
    <w:tmpl w:val="C5F0376C"/>
    <w:lvl w:ilvl="0" w:tplc="40CC61A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42" w15:restartNumberingAfterBreak="0">
    <w:nsid w:val="5ED736B3"/>
    <w:multiLevelType w:val="hybridMultilevel"/>
    <w:tmpl w:val="4C9E9C60"/>
    <w:lvl w:ilvl="0" w:tplc="272AF586">
      <w:start w:val="1"/>
      <w:numFmt w:val="decimal"/>
      <w:lvlText w:val="%1."/>
      <w:lvlJc w:val="left"/>
      <w:pPr>
        <w:ind w:left="108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643" w15:restartNumberingAfterBreak="0">
    <w:nsid w:val="5EE65D28"/>
    <w:multiLevelType w:val="hybridMultilevel"/>
    <w:tmpl w:val="4080BD8A"/>
    <w:lvl w:ilvl="0" w:tplc="F7D6993A">
      <w:start w:val="1"/>
      <w:numFmt w:val="decimal"/>
      <w:lvlText w:val="%1."/>
      <w:lvlJc w:val="left"/>
      <w:pPr>
        <w:ind w:left="644" w:hanging="360"/>
      </w:pPr>
      <w:rPr>
        <w:rFonts w:eastAsiaTheme="minorHAnsi"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44" w15:restartNumberingAfterBreak="0">
    <w:nsid w:val="5F1F7479"/>
    <w:multiLevelType w:val="multilevel"/>
    <w:tmpl w:val="24005DDC"/>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645" w15:restartNumberingAfterBreak="0">
    <w:nsid w:val="5F4D602B"/>
    <w:multiLevelType w:val="hybridMultilevel"/>
    <w:tmpl w:val="56B60218"/>
    <w:lvl w:ilvl="0" w:tplc="040E0001">
      <w:start w:val="1"/>
      <w:numFmt w:val="bullet"/>
      <w:lvlText w:val=""/>
      <w:lvlJc w:val="left"/>
      <w:pPr>
        <w:ind w:left="720" w:hanging="360"/>
      </w:pPr>
      <w:rPr>
        <w:rFonts w:ascii="Symbol" w:hAnsi="Symbol" w:hint="default"/>
      </w:rPr>
    </w:lvl>
    <w:lvl w:ilvl="1" w:tplc="C3FAE52A">
      <w:numFmt w:val="bullet"/>
      <w:lvlText w:val="-"/>
      <w:lvlJc w:val="left"/>
      <w:pPr>
        <w:ind w:left="1440" w:hanging="360"/>
      </w:pPr>
      <w:rPr>
        <w:rFonts w:ascii="Times New Roman" w:eastAsiaTheme="minorHAnsi" w:hAnsi="Times New Roman" w:cs="Times New Roman"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46" w15:restartNumberingAfterBreak="0">
    <w:nsid w:val="5F674950"/>
    <w:multiLevelType w:val="multilevel"/>
    <w:tmpl w:val="3D9C0BFA"/>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647" w15:restartNumberingAfterBreak="0">
    <w:nsid w:val="5F921C4F"/>
    <w:multiLevelType w:val="hybridMultilevel"/>
    <w:tmpl w:val="7F9027DA"/>
    <w:lvl w:ilvl="0" w:tplc="0A861486">
      <w:start w:val="1"/>
      <w:numFmt w:val="decimal"/>
      <w:lvlText w:val="%1."/>
      <w:lvlJc w:val="left"/>
      <w:pPr>
        <w:ind w:left="1494" w:hanging="360"/>
      </w:pPr>
      <w:rPr>
        <w:rFonts w:hint="default"/>
      </w:rPr>
    </w:lvl>
    <w:lvl w:ilvl="1" w:tplc="040E0019" w:tentative="1">
      <w:start w:val="1"/>
      <w:numFmt w:val="lowerLetter"/>
      <w:lvlText w:val="%2."/>
      <w:lvlJc w:val="left"/>
      <w:pPr>
        <w:ind w:left="1854" w:hanging="360"/>
      </w:pPr>
    </w:lvl>
    <w:lvl w:ilvl="2" w:tplc="040E001B" w:tentative="1">
      <w:start w:val="1"/>
      <w:numFmt w:val="lowerRoman"/>
      <w:lvlText w:val="%3."/>
      <w:lvlJc w:val="right"/>
      <w:pPr>
        <w:ind w:left="2574" w:hanging="180"/>
      </w:pPr>
    </w:lvl>
    <w:lvl w:ilvl="3" w:tplc="040E000F" w:tentative="1">
      <w:start w:val="1"/>
      <w:numFmt w:val="decimal"/>
      <w:lvlText w:val="%4."/>
      <w:lvlJc w:val="left"/>
      <w:pPr>
        <w:ind w:left="3294" w:hanging="360"/>
      </w:pPr>
    </w:lvl>
    <w:lvl w:ilvl="4" w:tplc="040E0019" w:tentative="1">
      <w:start w:val="1"/>
      <w:numFmt w:val="lowerLetter"/>
      <w:lvlText w:val="%5."/>
      <w:lvlJc w:val="left"/>
      <w:pPr>
        <w:ind w:left="4014" w:hanging="360"/>
      </w:pPr>
    </w:lvl>
    <w:lvl w:ilvl="5" w:tplc="040E001B" w:tentative="1">
      <w:start w:val="1"/>
      <w:numFmt w:val="lowerRoman"/>
      <w:lvlText w:val="%6."/>
      <w:lvlJc w:val="right"/>
      <w:pPr>
        <w:ind w:left="4734" w:hanging="180"/>
      </w:pPr>
    </w:lvl>
    <w:lvl w:ilvl="6" w:tplc="040E000F" w:tentative="1">
      <w:start w:val="1"/>
      <w:numFmt w:val="decimal"/>
      <w:lvlText w:val="%7."/>
      <w:lvlJc w:val="left"/>
      <w:pPr>
        <w:ind w:left="5454" w:hanging="360"/>
      </w:pPr>
    </w:lvl>
    <w:lvl w:ilvl="7" w:tplc="040E0019" w:tentative="1">
      <w:start w:val="1"/>
      <w:numFmt w:val="lowerLetter"/>
      <w:lvlText w:val="%8."/>
      <w:lvlJc w:val="left"/>
      <w:pPr>
        <w:ind w:left="6174" w:hanging="360"/>
      </w:pPr>
    </w:lvl>
    <w:lvl w:ilvl="8" w:tplc="040E001B" w:tentative="1">
      <w:start w:val="1"/>
      <w:numFmt w:val="lowerRoman"/>
      <w:lvlText w:val="%9."/>
      <w:lvlJc w:val="right"/>
      <w:pPr>
        <w:ind w:left="6894" w:hanging="180"/>
      </w:pPr>
    </w:lvl>
  </w:abstractNum>
  <w:abstractNum w:abstractNumId="648" w15:restartNumberingAfterBreak="0">
    <w:nsid w:val="5FF74945"/>
    <w:multiLevelType w:val="hybridMultilevel"/>
    <w:tmpl w:val="361C2F44"/>
    <w:lvl w:ilvl="0" w:tplc="620277BA">
      <w:start w:val="1"/>
      <w:numFmt w:val="decimal"/>
      <w:lvlText w:val="%1."/>
      <w:lvlJc w:val="left"/>
      <w:pPr>
        <w:ind w:left="644"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49" w15:restartNumberingAfterBreak="0">
    <w:nsid w:val="60112634"/>
    <w:multiLevelType w:val="hybridMultilevel"/>
    <w:tmpl w:val="C6C63678"/>
    <w:lvl w:ilvl="0" w:tplc="98C2DDF0">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50" w15:restartNumberingAfterBreak="0">
    <w:nsid w:val="60211B7C"/>
    <w:multiLevelType w:val="multilevel"/>
    <w:tmpl w:val="BA4C6D7C"/>
    <w:lvl w:ilvl="0">
      <w:start w:val="1"/>
      <w:numFmt w:val="decimal"/>
      <w:lvlText w:val="%1."/>
      <w:lvlJc w:val="left"/>
      <w:pPr>
        <w:tabs>
          <w:tab w:val="num" w:pos="360"/>
        </w:tabs>
        <w:ind w:left="360" w:hanging="360"/>
      </w:pPr>
      <w:rPr>
        <w:rFonts w:cs="Times New Roman"/>
        <w:b/>
        <w:i w:val="0"/>
        <w:sz w:val="24"/>
      </w:rPr>
    </w:lvl>
    <w:lvl w:ilvl="1">
      <w:start w:val="1"/>
      <w:numFmt w:val="decimal"/>
      <w:lvlText w:val="%1.%2."/>
      <w:lvlJc w:val="left"/>
      <w:pPr>
        <w:tabs>
          <w:tab w:val="num" w:pos="1000"/>
        </w:tabs>
        <w:ind w:left="1000" w:hanging="432"/>
      </w:pPr>
      <w:rPr>
        <w:rFonts w:cs="Times New Roman"/>
        <w:b/>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51" w15:restartNumberingAfterBreak="0">
    <w:nsid w:val="602537DD"/>
    <w:multiLevelType w:val="multilevel"/>
    <w:tmpl w:val="3F4A774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440" w:hanging="720"/>
      </w:pPr>
      <w:rPr>
        <w:rFonts w:hint="default"/>
        <w:b w:val="0"/>
      </w:rPr>
    </w:lvl>
    <w:lvl w:ilvl="3">
      <w:start w:val="1"/>
      <w:numFmt w:val="decimal"/>
      <w:isLgl/>
      <w:lvlText w:val="%1.%2.%3.%4"/>
      <w:lvlJc w:val="left"/>
      <w:pPr>
        <w:ind w:left="1440" w:hanging="720"/>
      </w:pPr>
      <w:rPr>
        <w:rFonts w:hint="default"/>
        <w:b w:val="0"/>
      </w:rPr>
    </w:lvl>
    <w:lvl w:ilvl="4">
      <w:start w:val="1"/>
      <w:numFmt w:val="decimal"/>
      <w:isLgl/>
      <w:lvlText w:val="%1.%2.%3.%4.%5"/>
      <w:lvlJc w:val="left"/>
      <w:pPr>
        <w:ind w:left="1800" w:hanging="1080"/>
      </w:pPr>
      <w:rPr>
        <w:rFonts w:hint="default"/>
        <w:b w:val="0"/>
      </w:rPr>
    </w:lvl>
    <w:lvl w:ilvl="5">
      <w:start w:val="1"/>
      <w:numFmt w:val="decimal"/>
      <w:isLgl/>
      <w:lvlText w:val="%1.%2.%3.%4.%5.%6"/>
      <w:lvlJc w:val="left"/>
      <w:pPr>
        <w:ind w:left="1800" w:hanging="1080"/>
      </w:pPr>
      <w:rPr>
        <w:rFonts w:hint="default"/>
        <w:b w:val="0"/>
      </w:rPr>
    </w:lvl>
    <w:lvl w:ilvl="6">
      <w:start w:val="1"/>
      <w:numFmt w:val="decimal"/>
      <w:isLgl/>
      <w:lvlText w:val="%1.%2.%3.%4.%5.%6.%7"/>
      <w:lvlJc w:val="left"/>
      <w:pPr>
        <w:ind w:left="2160" w:hanging="1440"/>
      </w:pPr>
      <w:rPr>
        <w:rFonts w:hint="default"/>
        <w:b w:val="0"/>
      </w:rPr>
    </w:lvl>
    <w:lvl w:ilvl="7">
      <w:start w:val="1"/>
      <w:numFmt w:val="decimal"/>
      <w:isLgl/>
      <w:lvlText w:val="%1.%2.%3.%4.%5.%6.%7.%8"/>
      <w:lvlJc w:val="left"/>
      <w:pPr>
        <w:ind w:left="2160" w:hanging="1440"/>
      </w:pPr>
      <w:rPr>
        <w:rFonts w:hint="default"/>
        <w:b w:val="0"/>
      </w:rPr>
    </w:lvl>
    <w:lvl w:ilvl="8">
      <w:start w:val="1"/>
      <w:numFmt w:val="decimal"/>
      <w:isLgl/>
      <w:lvlText w:val="%1.%2.%3.%4.%5.%6.%7.%8.%9"/>
      <w:lvlJc w:val="left"/>
      <w:pPr>
        <w:ind w:left="2520" w:hanging="1800"/>
      </w:pPr>
      <w:rPr>
        <w:rFonts w:hint="default"/>
        <w:b w:val="0"/>
      </w:rPr>
    </w:lvl>
  </w:abstractNum>
  <w:abstractNum w:abstractNumId="652" w15:restartNumberingAfterBreak="0">
    <w:nsid w:val="602F2B37"/>
    <w:multiLevelType w:val="multilevel"/>
    <w:tmpl w:val="86169DB6"/>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653" w15:restartNumberingAfterBreak="0">
    <w:nsid w:val="60351AB0"/>
    <w:multiLevelType w:val="hybridMultilevel"/>
    <w:tmpl w:val="2A987F10"/>
    <w:lvl w:ilvl="0" w:tplc="A1FA6F5C">
      <w:start w:val="1"/>
      <w:numFmt w:val="decimal"/>
      <w:lvlText w:val="%1."/>
      <w:lvlJc w:val="left"/>
      <w:pPr>
        <w:ind w:left="644" w:hanging="360"/>
      </w:pPr>
      <w:rPr>
        <w:rFonts w:eastAsiaTheme="minorHAnsi"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54" w15:restartNumberingAfterBreak="0">
    <w:nsid w:val="604B7326"/>
    <w:multiLevelType w:val="multilevel"/>
    <w:tmpl w:val="57C2415A"/>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655" w15:restartNumberingAfterBreak="0">
    <w:nsid w:val="605D1BB0"/>
    <w:multiLevelType w:val="hybridMultilevel"/>
    <w:tmpl w:val="77706B5A"/>
    <w:lvl w:ilvl="0" w:tplc="D62CD308">
      <w:numFmt w:val="bullet"/>
      <w:lvlText w:val="-"/>
      <w:lvlJc w:val="left"/>
      <w:pPr>
        <w:ind w:left="786" w:hanging="360"/>
      </w:pPr>
      <w:rPr>
        <w:rFonts w:ascii="Times New Roman" w:eastAsia="Times New Roman" w:hAnsi="Times New Roman" w:cs="Times New Roman" w:hint="default"/>
      </w:rPr>
    </w:lvl>
    <w:lvl w:ilvl="1" w:tplc="040E0003">
      <w:start w:val="1"/>
      <w:numFmt w:val="bullet"/>
      <w:lvlText w:val="o"/>
      <w:lvlJc w:val="left"/>
      <w:pPr>
        <w:ind w:left="1506" w:hanging="360"/>
      </w:pPr>
      <w:rPr>
        <w:rFonts w:ascii="Courier New" w:hAnsi="Courier New" w:cs="Courier New" w:hint="default"/>
      </w:rPr>
    </w:lvl>
    <w:lvl w:ilvl="2" w:tplc="040E0005">
      <w:start w:val="1"/>
      <w:numFmt w:val="bullet"/>
      <w:lvlText w:val=""/>
      <w:lvlJc w:val="left"/>
      <w:pPr>
        <w:ind w:left="2226" w:hanging="360"/>
      </w:pPr>
      <w:rPr>
        <w:rFonts w:ascii="Wingdings" w:hAnsi="Wingdings" w:hint="default"/>
      </w:rPr>
    </w:lvl>
    <w:lvl w:ilvl="3" w:tplc="040E0001">
      <w:start w:val="1"/>
      <w:numFmt w:val="bullet"/>
      <w:lvlText w:val=""/>
      <w:lvlJc w:val="left"/>
      <w:pPr>
        <w:ind w:left="2946" w:hanging="360"/>
      </w:pPr>
      <w:rPr>
        <w:rFonts w:ascii="Symbol" w:hAnsi="Symbol" w:hint="default"/>
      </w:rPr>
    </w:lvl>
    <w:lvl w:ilvl="4" w:tplc="040E0003">
      <w:start w:val="1"/>
      <w:numFmt w:val="bullet"/>
      <w:lvlText w:val="o"/>
      <w:lvlJc w:val="left"/>
      <w:pPr>
        <w:ind w:left="3666" w:hanging="360"/>
      </w:pPr>
      <w:rPr>
        <w:rFonts w:ascii="Courier New" w:hAnsi="Courier New" w:cs="Courier New" w:hint="default"/>
      </w:rPr>
    </w:lvl>
    <w:lvl w:ilvl="5" w:tplc="040E0005">
      <w:start w:val="1"/>
      <w:numFmt w:val="bullet"/>
      <w:lvlText w:val=""/>
      <w:lvlJc w:val="left"/>
      <w:pPr>
        <w:ind w:left="4386" w:hanging="360"/>
      </w:pPr>
      <w:rPr>
        <w:rFonts w:ascii="Wingdings" w:hAnsi="Wingdings" w:hint="default"/>
      </w:rPr>
    </w:lvl>
    <w:lvl w:ilvl="6" w:tplc="040E0001">
      <w:start w:val="1"/>
      <w:numFmt w:val="bullet"/>
      <w:lvlText w:val=""/>
      <w:lvlJc w:val="left"/>
      <w:pPr>
        <w:ind w:left="5106" w:hanging="360"/>
      </w:pPr>
      <w:rPr>
        <w:rFonts w:ascii="Symbol" w:hAnsi="Symbol" w:hint="default"/>
      </w:rPr>
    </w:lvl>
    <w:lvl w:ilvl="7" w:tplc="040E0003">
      <w:start w:val="1"/>
      <w:numFmt w:val="bullet"/>
      <w:lvlText w:val="o"/>
      <w:lvlJc w:val="left"/>
      <w:pPr>
        <w:ind w:left="5826" w:hanging="360"/>
      </w:pPr>
      <w:rPr>
        <w:rFonts w:ascii="Courier New" w:hAnsi="Courier New" w:cs="Courier New" w:hint="default"/>
      </w:rPr>
    </w:lvl>
    <w:lvl w:ilvl="8" w:tplc="040E0005">
      <w:start w:val="1"/>
      <w:numFmt w:val="bullet"/>
      <w:lvlText w:val=""/>
      <w:lvlJc w:val="left"/>
      <w:pPr>
        <w:ind w:left="6546" w:hanging="360"/>
      </w:pPr>
      <w:rPr>
        <w:rFonts w:ascii="Wingdings" w:hAnsi="Wingdings" w:hint="default"/>
      </w:rPr>
    </w:lvl>
  </w:abstractNum>
  <w:abstractNum w:abstractNumId="656" w15:restartNumberingAfterBreak="0">
    <w:nsid w:val="60944BD4"/>
    <w:multiLevelType w:val="hybridMultilevel"/>
    <w:tmpl w:val="81003A6C"/>
    <w:lvl w:ilvl="0" w:tplc="7A102EF4">
      <w:start w:val="1"/>
      <w:numFmt w:val="decimal"/>
      <w:lvlText w:val="%1."/>
      <w:lvlJc w:val="left"/>
      <w:pPr>
        <w:ind w:left="108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57" w15:restartNumberingAfterBreak="0">
    <w:nsid w:val="61293B10"/>
    <w:multiLevelType w:val="multilevel"/>
    <w:tmpl w:val="01CC58FA"/>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658" w15:restartNumberingAfterBreak="0">
    <w:nsid w:val="612A62BB"/>
    <w:multiLevelType w:val="multilevel"/>
    <w:tmpl w:val="BFA6E8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9" w15:restartNumberingAfterBreak="0">
    <w:nsid w:val="613B7102"/>
    <w:multiLevelType w:val="hybridMultilevel"/>
    <w:tmpl w:val="C90691A6"/>
    <w:lvl w:ilvl="0" w:tplc="803E3962">
      <w:numFmt w:val="bullet"/>
      <w:lvlText w:val="-"/>
      <w:lvlJc w:val="left"/>
      <w:pPr>
        <w:ind w:left="786" w:hanging="360"/>
      </w:pPr>
      <w:rPr>
        <w:rFonts w:ascii="Times New Roman" w:eastAsia="Times New Roman" w:hAnsi="Times New Roman" w:cs="Times New Roman" w:hint="default"/>
        <w:b/>
      </w:rPr>
    </w:lvl>
    <w:lvl w:ilvl="1" w:tplc="040E0003">
      <w:start w:val="1"/>
      <w:numFmt w:val="bullet"/>
      <w:lvlText w:val="o"/>
      <w:lvlJc w:val="left"/>
      <w:pPr>
        <w:ind w:left="1506" w:hanging="360"/>
      </w:pPr>
      <w:rPr>
        <w:rFonts w:ascii="Courier New" w:hAnsi="Courier New" w:cs="Courier New" w:hint="default"/>
      </w:rPr>
    </w:lvl>
    <w:lvl w:ilvl="2" w:tplc="040E0005">
      <w:start w:val="1"/>
      <w:numFmt w:val="bullet"/>
      <w:lvlText w:val=""/>
      <w:lvlJc w:val="left"/>
      <w:pPr>
        <w:ind w:left="2226" w:hanging="360"/>
      </w:pPr>
      <w:rPr>
        <w:rFonts w:ascii="Wingdings" w:hAnsi="Wingdings" w:hint="default"/>
      </w:rPr>
    </w:lvl>
    <w:lvl w:ilvl="3" w:tplc="040E0001">
      <w:start w:val="1"/>
      <w:numFmt w:val="bullet"/>
      <w:lvlText w:val=""/>
      <w:lvlJc w:val="left"/>
      <w:pPr>
        <w:ind w:left="2946" w:hanging="360"/>
      </w:pPr>
      <w:rPr>
        <w:rFonts w:ascii="Symbol" w:hAnsi="Symbol" w:hint="default"/>
      </w:rPr>
    </w:lvl>
    <w:lvl w:ilvl="4" w:tplc="040E0003">
      <w:start w:val="1"/>
      <w:numFmt w:val="bullet"/>
      <w:lvlText w:val="o"/>
      <w:lvlJc w:val="left"/>
      <w:pPr>
        <w:ind w:left="3666" w:hanging="360"/>
      </w:pPr>
      <w:rPr>
        <w:rFonts w:ascii="Courier New" w:hAnsi="Courier New" w:cs="Courier New" w:hint="default"/>
      </w:rPr>
    </w:lvl>
    <w:lvl w:ilvl="5" w:tplc="040E0005">
      <w:start w:val="1"/>
      <w:numFmt w:val="bullet"/>
      <w:lvlText w:val=""/>
      <w:lvlJc w:val="left"/>
      <w:pPr>
        <w:ind w:left="4386" w:hanging="360"/>
      </w:pPr>
      <w:rPr>
        <w:rFonts w:ascii="Wingdings" w:hAnsi="Wingdings" w:hint="default"/>
      </w:rPr>
    </w:lvl>
    <w:lvl w:ilvl="6" w:tplc="040E0001">
      <w:start w:val="1"/>
      <w:numFmt w:val="bullet"/>
      <w:lvlText w:val=""/>
      <w:lvlJc w:val="left"/>
      <w:pPr>
        <w:ind w:left="5106" w:hanging="360"/>
      </w:pPr>
      <w:rPr>
        <w:rFonts w:ascii="Symbol" w:hAnsi="Symbol" w:hint="default"/>
      </w:rPr>
    </w:lvl>
    <w:lvl w:ilvl="7" w:tplc="040E0003">
      <w:start w:val="1"/>
      <w:numFmt w:val="bullet"/>
      <w:lvlText w:val="o"/>
      <w:lvlJc w:val="left"/>
      <w:pPr>
        <w:ind w:left="5826" w:hanging="360"/>
      </w:pPr>
      <w:rPr>
        <w:rFonts w:ascii="Courier New" w:hAnsi="Courier New" w:cs="Courier New" w:hint="default"/>
      </w:rPr>
    </w:lvl>
    <w:lvl w:ilvl="8" w:tplc="040E0005">
      <w:start w:val="1"/>
      <w:numFmt w:val="bullet"/>
      <w:lvlText w:val=""/>
      <w:lvlJc w:val="left"/>
      <w:pPr>
        <w:ind w:left="6546" w:hanging="360"/>
      </w:pPr>
      <w:rPr>
        <w:rFonts w:ascii="Wingdings" w:hAnsi="Wingdings" w:hint="default"/>
      </w:rPr>
    </w:lvl>
  </w:abstractNum>
  <w:abstractNum w:abstractNumId="660" w15:restartNumberingAfterBreak="0">
    <w:nsid w:val="614A1387"/>
    <w:multiLevelType w:val="multilevel"/>
    <w:tmpl w:val="082848D0"/>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661" w15:restartNumberingAfterBreak="0">
    <w:nsid w:val="615A0BB2"/>
    <w:multiLevelType w:val="hybridMultilevel"/>
    <w:tmpl w:val="BE0E9D84"/>
    <w:lvl w:ilvl="0" w:tplc="5C1E6FE6">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62" w15:restartNumberingAfterBreak="0">
    <w:nsid w:val="615B1896"/>
    <w:multiLevelType w:val="hybridMultilevel"/>
    <w:tmpl w:val="8010722A"/>
    <w:lvl w:ilvl="0" w:tplc="189A3098">
      <w:start w:val="1"/>
      <w:numFmt w:val="decimal"/>
      <w:lvlText w:val="%1."/>
      <w:lvlJc w:val="left"/>
      <w:pPr>
        <w:ind w:left="1080" w:hanging="360"/>
      </w:pPr>
      <w:rPr>
        <w:b w:val="0"/>
      </w:rPr>
    </w:lvl>
    <w:lvl w:ilvl="1" w:tplc="040E0019">
      <w:start w:val="1"/>
      <w:numFmt w:val="lowerLetter"/>
      <w:lvlText w:val="%2."/>
      <w:lvlJc w:val="left"/>
      <w:pPr>
        <w:ind w:left="1800" w:hanging="360"/>
      </w:pPr>
    </w:lvl>
    <w:lvl w:ilvl="2" w:tplc="040E001B">
      <w:start w:val="1"/>
      <w:numFmt w:val="lowerRoman"/>
      <w:lvlText w:val="%3."/>
      <w:lvlJc w:val="right"/>
      <w:pPr>
        <w:ind w:left="2520" w:hanging="180"/>
      </w:pPr>
    </w:lvl>
    <w:lvl w:ilvl="3" w:tplc="040E000F">
      <w:start w:val="1"/>
      <w:numFmt w:val="decimal"/>
      <w:lvlText w:val="%4."/>
      <w:lvlJc w:val="left"/>
      <w:pPr>
        <w:ind w:left="3240" w:hanging="360"/>
      </w:pPr>
    </w:lvl>
    <w:lvl w:ilvl="4" w:tplc="040E0019">
      <w:start w:val="1"/>
      <w:numFmt w:val="lowerLetter"/>
      <w:lvlText w:val="%5."/>
      <w:lvlJc w:val="left"/>
      <w:pPr>
        <w:ind w:left="3960" w:hanging="360"/>
      </w:pPr>
    </w:lvl>
    <w:lvl w:ilvl="5" w:tplc="040E001B">
      <w:start w:val="1"/>
      <w:numFmt w:val="lowerRoman"/>
      <w:lvlText w:val="%6."/>
      <w:lvlJc w:val="right"/>
      <w:pPr>
        <w:ind w:left="4680" w:hanging="180"/>
      </w:pPr>
    </w:lvl>
    <w:lvl w:ilvl="6" w:tplc="040E000F">
      <w:start w:val="1"/>
      <w:numFmt w:val="decimal"/>
      <w:lvlText w:val="%7."/>
      <w:lvlJc w:val="left"/>
      <w:pPr>
        <w:ind w:left="5400" w:hanging="360"/>
      </w:pPr>
    </w:lvl>
    <w:lvl w:ilvl="7" w:tplc="040E0019">
      <w:start w:val="1"/>
      <w:numFmt w:val="lowerLetter"/>
      <w:lvlText w:val="%8."/>
      <w:lvlJc w:val="left"/>
      <w:pPr>
        <w:ind w:left="6120" w:hanging="360"/>
      </w:pPr>
    </w:lvl>
    <w:lvl w:ilvl="8" w:tplc="040E001B">
      <w:start w:val="1"/>
      <w:numFmt w:val="lowerRoman"/>
      <w:lvlText w:val="%9."/>
      <w:lvlJc w:val="right"/>
      <w:pPr>
        <w:ind w:left="6840" w:hanging="180"/>
      </w:pPr>
    </w:lvl>
  </w:abstractNum>
  <w:abstractNum w:abstractNumId="663" w15:restartNumberingAfterBreak="0">
    <w:nsid w:val="61664E50"/>
    <w:multiLevelType w:val="hybridMultilevel"/>
    <w:tmpl w:val="5484DF1C"/>
    <w:lvl w:ilvl="0" w:tplc="4EB6263A">
      <w:start w:val="1"/>
      <w:numFmt w:val="decimal"/>
      <w:lvlText w:val="%1."/>
      <w:lvlJc w:val="left"/>
      <w:pPr>
        <w:ind w:left="720" w:hanging="360"/>
      </w:pPr>
      <w:rPr>
        <w:rFonts w:eastAsiaTheme="minorHAnsi"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64" w15:restartNumberingAfterBreak="0">
    <w:nsid w:val="61AD73A4"/>
    <w:multiLevelType w:val="hybridMultilevel"/>
    <w:tmpl w:val="69E28640"/>
    <w:lvl w:ilvl="0" w:tplc="F29CF34C">
      <w:start w:val="1"/>
      <w:numFmt w:val="bullet"/>
      <w:lvlText w:val=""/>
      <w:lvlJc w:val="left"/>
      <w:pPr>
        <w:ind w:left="1146" w:hanging="360"/>
      </w:pPr>
      <w:rPr>
        <w:rFonts w:ascii="Symbol" w:hAnsi="Symbol" w:hint="default"/>
      </w:rPr>
    </w:lvl>
    <w:lvl w:ilvl="1" w:tplc="040E0003">
      <w:start w:val="1"/>
      <w:numFmt w:val="bullet"/>
      <w:lvlText w:val="o"/>
      <w:lvlJc w:val="left"/>
      <w:pPr>
        <w:ind w:left="1866" w:hanging="360"/>
      </w:pPr>
      <w:rPr>
        <w:rFonts w:ascii="Courier New" w:hAnsi="Courier New" w:cs="Courier New" w:hint="default"/>
      </w:rPr>
    </w:lvl>
    <w:lvl w:ilvl="2" w:tplc="040E0005">
      <w:start w:val="1"/>
      <w:numFmt w:val="bullet"/>
      <w:lvlText w:val=""/>
      <w:lvlJc w:val="left"/>
      <w:pPr>
        <w:ind w:left="2586" w:hanging="360"/>
      </w:pPr>
      <w:rPr>
        <w:rFonts w:ascii="Wingdings" w:hAnsi="Wingdings" w:hint="default"/>
      </w:rPr>
    </w:lvl>
    <w:lvl w:ilvl="3" w:tplc="040E0001">
      <w:start w:val="1"/>
      <w:numFmt w:val="bullet"/>
      <w:lvlText w:val=""/>
      <w:lvlJc w:val="left"/>
      <w:pPr>
        <w:ind w:left="3306" w:hanging="360"/>
      </w:pPr>
      <w:rPr>
        <w:rFonts w:ascii="Symbol" w:hAnsi="Symbol" w:hint="default"/>
      </w:rPr>
    </w:lvl>
    <w:lvl w:ilvl="4" w:tplc="040E0003">
      <w:start w:val="1"/>
      <w:numFmt w:val="bullet"/>
      <w:lvlText w:val="o"/>
      <w:lvlJc w:val="left"/>
      <w:pPr>
        <w:ind w:left="4026" w:hanging="360"/>
      </w:pPr>
      <w:rPr>
        <w:rFonts w:ascii="Courier New" w:hAnsi="Courier New" w:cs="Courier New" w:hint="default"/>
      </w:rPr>
    </w:lvl>
    <w:lvl w:ilvl="5" w:tplc="040E0005">
      <w:start w:val="1"/>
      <w:numFmt w:val="bullet"/>
      <w:lvlText w:val=""/>
      <w:lvlJc w:val="left"/>
      <w:pPr>
        <w:ind w:left="4746" w:hanging="360"/>
      </w:pPr>
      <w:rPr>
        <w:rFonts w:ascii="Wingdings" w:hAnsi="Wingdings" w:hint="default"/>
      </w:rPr>
    </w:lvl>
    <w:lvl w:ilvl="6" w:tplc="040E0001">
      <w:start w:val="1"/>
      <w:numFmt w:val="bullet"/>
      <w:lvlText w:val=""/>
      <w:lvlJc w:val="left"/>
      <w:pPr>
        <w:ind w:left="5466" w:hanging="360"/>
      </w:pPr>
      <w:rPr>
        <w:rFonts w:ascii="Symbol" w:hAnsi="Symbol" w:hint="default"/>
      </w:rPr>
    </w:lvl>
    <w:lvl w:ilvl="7" w:tplc="040E0003">
      <w:start w:val="1"/>
      <w:numFmt w:val="bullet"/>
      <w:lvlText w:val="o"/>
      <w:lvlJc w:val="left"/>
      <w:pPr>
        <w:ind w:left="6186" w:hanging="360"/>
      </w:pPr>
      <w:rPr>
        <w:rFonts w:ascii="Courier New" w:hAnsi="Courier New" w:cs="Courier New" w:hint="default"/>
      </w:rPr>
    </w:lvl>
    <w:lvl w:ilvl="8" w:tplc="040E0005">
      <w:start w:val="1"/>
      <w:numFmt w:val="bullet"/>
      <w:lvlText w:val=""/>
      <w:lvlJc w:val="left"/>
      <w:pPr>
        <w:ind w:left="6906" w:hanging="360"/>
      </w:pPr>
      <w:rPr>
        <w:rFonts w:ascii="Wingdings" w:hAnsi="Wingdings" w:hint="default"/>
      </w:rPr>
    </w:lvl>
  </w:abstractNum>
  <w:abstractNum w:abstractNumId="665" w15:restartNumberingAfterBreak="0">
    <w:nsid w:val="61B0652E"/>
    <w:multiLevelType w:val="multilevel"/>
    <w:tmpl w:val="A08A77CC"/>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666" w15:restartNumberingAfterBreak="0">
    <w:nsid w:val="61C047A1"/>
    <w:multiLevelType w:val="hybridMultilevel"/>
    <w:tmpl w:val="2F2AE288"/>
    <w:lvl w:ilvl="0" w:tplc="8AB824C0">
      <w:numFmt w:val="bullet"/>
      <w:lvlText w:val="-"/>
      <w:lvlJc w:val="left"/>
      <w:pPr>
        <w:ind w:left="786" w:hanging="360"/>
      </w:pPr>
      <w:rPr>
        <w:rFonts w:ascii="Times New Roman" w:eastAsia="Times New Roman" w:hAnsi="Times New Roman" w:cs="Times New Roman" w:hint="default"/>
      </w:rPr>
    </w:lvl>
    <w:lvl w:ilvl="1" w:tplc="040E0003">
      <w:start w:val="1"/>
      <w:numFmt w:val="bullet"/>
      <w:lvlText w:val="o"/>
      <w:lvlJc w:val="left"/>
      <w:pPr>
        <w:ind w:left="1506" w:hanging="360"/>
      </w:pPr>
      <w:rPr>
        <w:rFonts w:ascii="Courier New" w:hAnsi="Courier New" w:cs="Courier New" w:hint="default"/>
      </w:rPr>
    </w:lvl>
    <w:lvl w:ilvl="2" w:tplc="040E0005">
      <w:start w:val="1"/>
      <w:numFmt w:val="bullet"/>
      <w:lvlText w:val=""/>
      <w:lvlJc w:val="left"/>
      <w:pPr>
        <w:ind w:left="2226" w:hanging="360"/>
      </w:pPr>
      <w:rPr>
        <w:rFonts w:ascii="Wingdings" w:hAnsi="Wingdings" w:hint="default"/>
      </w:rPr>
    </w:lvl>
    <w:lvl w:ilvl="3" w:tplc="040E0001">
      <w:start w:val="1"/>
      <w:numFmt w:val="bullet"/>
      <w:lvlText w:val=""/>
      <w:lvlJc w:val="left"/>
      <w:pPr>
        <w:ind w:left="2946" w:hanging="360"/>
      </w:pPr>
      <w:rPr>
        <w:rFonts w:ascii="Symbol" w:hAnsi="Symbol" w:hint="default"/>
      </w:rPr>
    </w:lvl>
    <w:lvl w:ilvl="4" w:tplc="040E0003">
      <w:start w:val="1"/>
      <w:numFmt w:val="bullet"/>
      <w:lvlText w:val="o"/>
      <w:lvlJc w:val="left"/>
      <w:pPr>
        <w:ind w:left="3666" w:hanging="360"/>
      </w:pPr>
      <w:rPr>
        <w:rFonts w:ascii="Courier New" w:hAnsi="Courier New" w:cs="Courier New" w:hint="default"/>
      </w:rPr>
    </w:lvl>
    <w:lvl w:ilvl="5" w:tplc="040E0005">
      <w:start w:val="1"/>
      <w:numFmt w:val="bullet"/>
      <w:lvlText w:val=""/>
      <w:lvlJc w:val="left"/>
      <w:pPr>
        <w:ind w:left="4386" w:hanging="360"/>
      </w:pPr>
      <w:rPr>
        <w:rFonts w:ascii="Wingdings" w:hAnsi="Wingdings" w:hint="default"/>
      </w:rPr>
    </w:lvl>
    <w:lvl w:ilvl="6" w:tplc="040E0001">
      <w:start w:val="1"/>
      <w:numFmt w:val="bullet"/>
      <w:lvlText w:val=""/>
      <w:lvlJc w:val="left"/>
      <w:pPr>
        <w:ind w:left="5106" w:hanging="360"/>
      </w:pPr>
      <w:rPr>
        <w:rFonts w:ascii="Symbol" w:hAnsi="Symbol" w:hint="default"/>
      </w:rPr>
    </w:lvl>
    <w:lvl w:ilvl="7" w:tplc="040E0003">
      <w:start w:val="1"/>
      <w:numFmt w:val="bullet"/>
      <w:lvlText w:val="o"/>
      <w:lvlJc w:val="left"/>
      <w:pPr>
        <w:ind w:left="5826" w:hanging="360"/>
      </w:pPr>
      <w:rPr>
        <w:rFonts w:ascii="Courier New" w:hAnsi="Courier New" w:cs="Courier New" w:hint="default"/>
      </w:rPr>
    </w:lvl>
    <w:lvl w:ilvl="8" w:tplc="040E0005">
      <w:start w:val="1"/>
      <w:numFmt w:val="bullet"/>
      <w:lvlText w:val=""/>
      <w:lvlJc w:val="left"/>
      <w:pPr>
        <w:ind w:left="6546" w:hanging="360"/>
      </w:pPr>
      <w:rPr>
        <w:rFonts w:ascii="Wingdings" w:hAnsi="Wingdings" w:hint="default"/>
      </w:rPr>
    </w:lvl>
  </w:abstractNum>
  <w:abstractNum w:abstractNumId="667" w15:restartNumberingAfterBreak="0">
    <w:nsid w:val="61CA49FA"/>
    <w:multiLevelType w:val="multilevel"/>
    <w:tmpl w:val="A3C421C6"/>
    <w:lvl w:ilvl="0">
      <w:start w:val="1"/>
      <w:numFmt w:val="decimal"/>
      <w:lvlText w:val="%1."/>
      <w:lvlJc w:val="left"/>
      <w:pPr>
        <w:tabs>
          <w:tab w:val="num" w:pos="360"/>
        </w:tabs>
        <w:ind w:left="360" w:hanging="360"/>
      </w:pPr>
      <w:rPr>
        <w:rFonts w:cs="Times New Roman"/>
        <w:b w:val="0"/>
        <w:i w:val="0"/>
        <w:sz w:val="24"/>
      </w:rPr>
    </w:lvl>
    <w:lvl w:ilvl="1">
      <w:start w:val="1"/>
      <w:numFmt w:val="decimal"/>
      <w:lvlText w:val="%1.%2."/>
      <w:lvlJc w:val="left"/>
      <w:pPr>
        <w:tabs>
          <w:tab w:val="num" w:pos="792"/>
        </w:tabs>
        <w:ind w:left="792" w:hanging="432"/>
      </w:pPr>
      <w:rPr>
        <w:rFonts w:cs="Times New Roman"/>
        <w:b/>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68" w15:restartNumberingAfterBreak="0">
    <w:nsid w:val="62034E8C"/>
    <w:multiLevelType w:val="hybridMultilevel"/>
    <w:tmpl w:val="2340AEEE"/>
    <w:lvl w:ilvl="0" w:tplc="AADE78C6">
      <w:start w:val="1"/>
      <w:numFmt w:val="decimal"/>
      <w:lvlText w:val="%1."/>
      <w:lvlJc w:val="left"/>
      <w:pPr>
        <w:ind w:left="644" w:hanging="360"/>
      </w:pPr>
      <w:rPr>
        <w:rFonts w:eastAsiaTheme="minorHAnsi"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69" w15:restartNumberingAfterBreak="0">
    <w:nsid w:val="620E1153"/>
    <w:multiLevelType w:val="hybridMultilevel"/>
    <w:tmpl w:val="5BB22D48"/>
    <w:lvl w:ilvl="0" w:tplc="9B36E930">
      <w:start w:val="1"/>
      <w:numFmt w:val="decimal"/>
      <w:lvlText w:val="%1."/>
      <w:lvlJc w:val="left"/>
      <w:pPr>
        <w:ind w:left="644" w:hanging="360"/>
      </w:pPr>
      <w:rPr>
        <w:rFonts w:hint="default"/>
        <w:b w:val="0"/>
      </w:rPr>
    </w:lvl>
    <w:lvl w:ilvl="1" w:tplc="040E0019">
      <w:start w:val="1"/>
      <w:numFmt w:val="lowerLetter"/>
      <w:lvlText w:val="%2."/>
      <w:lvlJc w:val="left"/>
      <w:pPr>
        <w:ind w:left="1364" w:hanging="360"/>
      </w:pPr>
    </w:lvl>
    <w:lvl w:ilvl="2" w:tplc="040E001B">
      <w:start w:val="1"/>
      <w:numFmt w:val="lowerRoman"/>
      <w:lvlText w:val="%3."/>
      <w:lvlJc w:val="right"/>
      <w:pPr>
        <w:ind w:left="2084" w:hanging="180"/>
      </w:pPr>
    </w:lvl>
    <w:lvl w:ilvl="3" w:tplc="040E000F">
      <w:start w:val="1"/>
      <w:numFmt w:val="decimal"/>
      <w:lvlText w:val="%4."/>
      <w:lvlJc w:val="left"/>
      <w:pPr>
        <w:ind w:left="2804" w:hanging="360"/>
      </w:pPr>
    </w:lvl>
    <w:lvl w:ilvl="4" w:tplc="040E0019">
      <w:start w:val="1"/>
      <w:numFmt w:val="lowerLetter"/>
      <w:lvlText w:val="%5."/>
      <w:lvlJc w:val="left"/>
      <w:pPr>
        <w:ind w:left="3524" w:hanging="360"/>
      </w:pPr>
    </w:lvl>
    <w:lvl w:ilvl="5" w:tplc="040E001B">
      <w:start w:val="1"/>
      <w:numFmt w:val="lowerRoman"/>
      <w:lvlText w:val="%6."/>
      <w:lvlJc w:val="right"/>
      <w:pPr>
        <w:ind w:left="4244" w:hanging="180"/>
      </w:pPr>
    </w:lvl>
    <w:lvl w:ilvl="6" w:tplc="040E000F">
      <w:start w:val="1"/>
      <w:numFmt w:val="decimal"/>
      <w:lvlText w:val="%7."/>
      <w:lvlJc w:val="left"/>
      <w:pPr>
        <w:ind w:left="4964" w:hanging="360"/>
      </w:pPr>
    </w:lvl>
    <w:lvl w:ilvl="7" w:tplc="040E0019">
      <w:start w:val="1"/>
      <w:numFmt w:val="lowerLetter"/>
      <w:lvlText w:val="%8."/>
      <w:lvlJc w:val="left"/>
      <w:pPr>
        <w:ind w:left="5684" w:hanging="360"/>
      </w:pPr>
    </w:lvl>
    <w:lvl w:ilvl="8" w:tplc="040E001B">
      <w:start w:val="1"/>
      <w:numFmt w:val="lowerRoman"/>
      <w:lvlText w:val="%9."/>
      <w:lvlJc w:val="right"/>
      <w:pPr>
        <w:ind w:left="6404" w:hanging="180"/>
      </w:pPr>
    </w:lvl>
  </w:abstractNum>
  <w:abstractNum w:abstractNumId="670" w15:restartNumberingAfterBreak="0">
    <w:nsid w:val="62146A92"/>
    <w:multiLevelType w:val="hybridMultilevel"/>
    <w:tmpl w:val="451A65F6"/>
    <w:lvl w:ilvl="0" w:tplc="97144E8C">
      <w:start w:val="1"/>
      <w:numFmt w:val="decimal"/>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71" w15:restartNumberingAfterBreak="0">
    <w:nsid w:val="621D2D84"/>
    <w:multiLevelType w:val="hybridMultilevel"/>
    <w:tmpl w:val="744C1B8E"/>
    <w:lvl w:ilvl="0" w:tplc="040E000F">
      <w:start w:val="1"/>
      <w:numFmt w:val="decimal"/>
      <w:lvlText w:val="%1."/>
      <w:lvlJc w:val="left"/>
      <w:pPr>
        <w:ind w:left="1211" w:hanging="360"/>
      </w:pPr>
      <w:rPr>
        <w:rFonts w:hint="default"/>
      </w:rPr>
    </w:lvl>
    <w:lvl w:ilvl="1" w:tplc="040E0019">
      <w:start w:val="1"/>
      <w:numFmt w:val="lowerLetter"/>
      <w:lvlText w:val="%2."/>
      <w:lvlJc w:val="left"/>
      <w:pPr>
        <w:ind w:left="1931" w:hanging="360"/>
      </w:pPr>
    </w:lvl>
    <w:lvl w:ilvl="2" w:tplc="040E001B" w:tentative="1">
      <w:start w:val="1"/>
      <w:numFmt w:val="lowerRoman"/>
      <w:lvlText w:val="%3."/>
      <w:lvlJc w:val="right"/>
      <w:pPr>
        <w:ind w:left="2651" w:hanging="180"/>
      </w:pPr>
    </w:lvl>
    <w:lvl w:ilvl="3" w:tplc="040E000F" w:tentative="1">
      <w:start w:val="1"/>
      <w:numFmt w:val="decimal"/>
      <w:lvlText w:val="%4."/>
      <w:lvlJc w:val="left"/>
      <w:pPr>
        <w:ind w:left="3371" w:hanging="360"/>
      </w:pPr>
    </w:lvl>
    <w:lvl w:ilvl="4" w:tplc="040E0019" w:tentative="1">
      <w:start w:val="1"/>
      <w:numFmt w:val="lowerLetter"/>
      <w:lvlText w:val="%5."/>
      <w:lvlJc w:val="left"/>
      <w:pPr>
        <w:ind w:left="4091" w:hanging="360"/>
      </w:pPr>
    </w:lvl>
    <w:lvl w:ilvl="5" w:tplc="040E001B" w:tentative="1">
      <w:start w:val="1"/>
      <w:numFmt w:val="lowerRoman"/>
      <w:lvlText w:val="%6."/>
      <w:lvlJc w:val="right"/>
      <w:pPr>
        <w:ind w:left="4811" w:hanging="180"/>
      </w:pPr>
    </w:lvl>
    <w:lvl w:ilvl="6" w:tplc="040E000F" w:tentative="1">
      <w:start w:val="1"/>
      <w:numFmt w:val="decimal"/>
      <w:lvlText w:val="%7."/>
      <w:lvlJc w:val="left"/>
      <w:pPr>
        <w:ind w:left="5531" w:hanging="360"/>
      </w:pPr>
    </w:lvl>
    <w:lvl w:ilvl="7" w:tplc="040E0019" w:tentative="1">
      <w:start w:val="1"/>
      <w:numFmt w:val="lowerLetter"/>
      <w:lvlText w:val="%8."/>
      <w:lvlJc w:val="left"/>
      <w:pPr>
        <w:ind w:left="6251" w:hanging="360"/>
      </w:pPr>
    </w:lvl>
    <w:lvl w:ilvl="8" w:tplc="040E001B" w:tentative="1">
      <w:start w:val="1"/>
      <w:numFmt w:val="lowerRoman"/>
      <w:lvlText w:val="%9."/>
      <w:lvlJc w:val="right"/>
      <w:pPr>
        <w:ind w:left="6971" w:hanging="180"/>
      </w:pPr>
    </w:lvl>
  </w:abstractNum>
  <w:abstractNum w:abstractNumId="672" w15:restartNumberingAfterBreak="0">
    <w:nsid w:val="62755CC0"/>
    <w:multiLevelType w:val="multilevel"/>
    <w:tmpl w:val="670E19E4"/>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4"/>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673" w15:restartNumberingAfterBreak="0">
    <w:nsid w:val="62F23201"/>
    <w:multiLevelType w:val="hybridMultilevel"/>
    <w:tmpl w:val="07EC5A46"/>
    <w:lvl w:ilvl="0" w:tplc="3DE25E0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74" w15:restartNumberingAfterBreak="0">
    <w:nsid w:val="62F81351"/>
    <w:multiLevelType w:val="multilevel"/>
    <w:tmpl w:val="EAF66F20"/>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675" w15:restartNumberingAfterBreak="0">
    <w:nsid w:val="62FC2926"/>
    <w:multiLevelType w:val="multilevel"/>
    <w:tmpl w:val="87FEA012"/>
    <w:lvl w:ilvl="0">
      <w:start w:val="8"/>
      <w:numFmt w:val="decimal"/>
      <w:lvlText w:val="%1."/>
      <w:lvlJc w:val="left"/>
      <w:pPr>
        <w:ind w:left="540" w:hanging="540"/>
      </w:pPr>
    </w:lvl>
    <w:lvl w:ilvl="1">
      <w:start w:val="1"/>
      <w:numFmt w:val="decimal"/>
      <w:lvlText w:val="%1.%2."/>
      <w:lvlJc w:val="left"/>
      <w:pPr>
        <w:ind w:left="753" w:hanging="540"/>
      </w:pPr>
    </w:lvl>
    <w:lvl w:ilvl="2">
      <w:start w:val="1"/>
      <w:numFmt w:val="decimal"/>
      <w:lvlText w:val="%1.%2.%3."/>
      <w:lvlJc w:val="left"/>
      <w:pPr>
        <w:ind w:left="1146" w:hanging="720"/>
      </w:pPr>
    </w:lvl>
    <w:lvl w:ilvl="3">
      <w:start w:val="1"/>
      <w:numFmt w:val="decimal"/>
      <w:lvlText w:val="%1.%2.%3.%4."/>
      <w:lvlJc w:val="left"/>
      <w:pPr>
        <w:ind w:left="1359" w:hanging="720"/>
      </w:pPr>
    </w:lvl>
    <w:lvl w:ilvl="4">
      <w:start w:val="1"/>
      <w:numFmt w:val="decimal"/>
      <w:lvlText w:val="%1.%2.%3.%4.%5."/>
      <w:lvlJc w:val="left"/>
      <w:pPr>
        <w:ind w:left="1932" w:hanging="1080"/>
      </w:pPr>
    </w:lvl>
    <w:lvl w:ilvl="5">
      <w:start w:val="1"/>
      <w:numFmt w:val="decimal"/>
      <w:lvlText w:val="%1.%2.%3.%4.%5.%6."/>
      <w:lvlJc w:val="left"/>
      <w:pPr>
        <w:ind w:left="2145" w:hanging="1080"/>
      </w:pPr>
    </w:lvl>
    <w:lvl w:ilvl="6">
      <w:start w:val="1"/>
      <w:numFmt w:val="decimal"/>
      <w:lvlText w:val="%1.%2.%3.%4.%5.%6.%7."/>
      <w:lvlJc w:val="left"/>
      <w:pPr>
        <w:ind w:left="2718" w:hanging="1440"/>
      </w:pPr>
    </w:lvl>
    <w:lvl w:ilvl="7">
      <w:start w:val="1"/>
      <w:numFmt w:val="decimal"/>
      <w:lvlText w:val="%1.%2.%3.%4.%5.%6.%7.%8."/>
      <w:lvlJc w:val="left"/>
      <w:pPr>
        <w:ind w:left="2931" w:hanging="1440"/>
      </w:pPr>
    </w:lvl>
    <w:lvl w:ilvl="8">
      <w:start w:val="1"/>
      <w:numFmt w:val="decimal"/>
      <w:lvlText w:val="%1.%2.%3.%4.%5.%6.%7.%8.%9."/>
      <w:lvlJc w:val="left"/>
      <w:pPr>
        <w:ind w:left="3504" w:hanging="1800"/>
      </w:pPr>
    </w:lvl>
  </w:abstractNum>
  <w:abstractNum w:abstractNumId="676" w15:restartNumberingAfterBreak="0">
    <w:nsid w:val="63796E71"/>
    <w:multiLevelType w:val="hybridMultilevel"/>
    <w:tmpl w:val="8010722A"/>
    <w:lvl w:ilvl="0" w:tplc="189A3098">
      <w:start w:val="1"/>
      <w:numFmt w:val="decimal"/>
      <w:lvlText w:val="%1."/>
      <w:lvlJc w:val="left"/>
      <w:pPr>
        <w:ind w:left="1080" w:hanging="360"/>
      </w:pPr>
      <w:rPr>
        <w:b w:val="0"/>
      </w:rPr>
    </w:lvl>
    <w:lvl w:ilvl="1" w:tplc="040E0019">
      <w:start w:val="1"/>
      <w:numFmt w:val="lowerLetter"/>
      <w:lvlText w:val="%2."/>
      <w:lvlJc w:val="left"/>
      <w:pPr>
        <w:ind w:left="1800" w:hanging="360"/>
      </w:pPr>
    </w:lvl>
    <w:lvl w:ilvl="2" w:tplc="040E001B">
      <w:start w:val="1"/>
      <w:numFmt w:val="lowerRoman"/>
      <w:lvlText w:val="%3."/>
      <w:lvlJc w:val="right"/>
      <w:pPr>
        <w:ind w:left="2520" w:hanging="180"/>
      </w:pPr>
    </w:lvl>
    <w:lvl w:ilvl="3" w:tplc="040E000F">
      <w:start w:val="1"/>
      <w:numFmt w:val="decimal"/>
      <w:lvlText w:val="%4."/>
      <w:lvlJc w:val="left"/>
      <w:pPr>
        <w:ind w:left="3240" w:hanging="360"/>
      </w:pPr>
    </w:lvl>
    <w:lvl w:ilvl="4" w:tplc="040E0019">
      <w:start w:val="1"/>
      <w:numFmt w:val="lowerLetter"/>
      <w:lvlText w:val="%5."/>
      <w:lvlJc w:val="left"/>
      <w:pPr>
        <w:ind w:left="3960" w:hanging="360"/>
      </w:pPr>
    </w:lvl>
    <w:lvl w:ilvl="5" w:tplc="040E001B">
      <w:start w:val="1"/>
      <w:numFmt w:val="lowerRoman"/>
      <w:lvlText w:val="%6."/>
      <w:lvlJc w:val="right"/>
      <w:pPr>
        <w:ind w:left="4680" w:hanging="180"/>
      </w:pPr>
    </w:lvl>
    <w:lvl w:ilvl="6" w:tplc="040E000F">
      <w:start w:val="1"/>
      <w:numFmt w:val="decimal"/>
      <w:lvlText w:val="%7."/>
      <w:lvlJc w:val="left"/>
      <w:pPr>
        <w:ind w:left="5400" w:hanging="360"/>
      </w:pPr>
    </w:lvl>
    <w:lvl w:ilvl="7" w:tplc="040E0019">
      <w:start w:val="1"/>
      <w:numFmt w:val="lowerLetter"/>
      <w:lvlText w:val="%8."/>
      <w:lvlJc w:val="left"/>
      <w:pPr>
        <w:ind w:left="6120" w:hanging="360"/>
      </w:pPr>
    </w:lvl>
    <w:lvl w:ilvl="8" w:tplc="040E001B">
      <w:start w:val="1"/>
      <w:numFmt w:val="lowerRoman"/>
      <w:lvlText w:val="%9."/>
      <w:lvlJc w:val="right"/>
      <w:pPr>
        <w:ind w:left="6840" w:hanging="180"/>
      </w:pPr>
    </w:lvl>
  </w:abstractNum>
  <w:abstractNum w:abstractNumId="677" w15:restartNumberingAfterBreak="0">
    <w:nsid w:val="63C12DEA"/>
    <w:multiLevelType w:val="multilevel"/>
    <w:tmpl w:val="C5F6E3D4"/>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678" w15:restartNumberingAfterBreak="0">
    <w:nsid w:val="63DA7843"/>
    <w:multiLevelType w:val="hybridMultilevel"/>
    <w:tmpl w:val="ED0C77E8"/>
    <w:lvl w:ilvl="0" w:tplc="AEC8DBF4">
      <w:start w:val="1"/>
      <w:numFmt w:val="decimal"/>
      <w:lvlText w:val="%1."/>
      <w:lvlJc w:val="left"/>
      <w:pPr>
        <w:ind w:left="720" w:hanging="360"/>
      </w:pPr>
      <w:rPr>
        <w:rFonts w:eastAsiaTheme="minorHAnsi"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79" w15:restartNumberingAfterBreak="0">
    <w:nsid w:val="63EE7F02"/>
    <w:multiLevelType w:val="hybridMultilevel"/>
    <w:tmpl w:val="9FA873D6"/>
    <w:lvl w:ilvl="0" w:tplc="F90AA5CA">
      <w:numFmt w:val="bullet"/>
      <w:lvlText w:val="-"/>
      <w:lvlJc w:val="left"/>
      <w:pPr>
        <w:ind w:left="1146" w:hanging="360"/>
      </w:pPr>
      <w:rPr>
        <w:rFonts w:ascii="Times New Roman" w:eastAsia="Times New Roman" w:hAnsi="Times New Roman" w:cs="Times New Roman" w:hint="default"/>
      </w:rPr>
    </w:lvl>
    <w:lvl w:ilvl="1" w:tplc="040E0003">
      <w:start w:val="1"/>
      <w:numFmt w:val="bullet"/>
      <w:lvlText w:val="o"/>
      <w:lvlJc w:val="left"/>
      <w:pPr>
        <w:ind w:left="1866" w:hanging="360"/>
      </w:pPr>
      <w:rPr>
        <w:rFonts w:ascii="Courier New" w:hAnsi="Courier New" w:cs="Courier New" w:hint="default"/>
      </w:rPr>
    </w:lvl>
    <w:lvl w:ilvl="2" w:tplc="040E0005">
      <w:start w:val="1"/>
      <w:numFmt w:val="bullet"/>
      <w:lvlText w:val=""/>
      <w:lvlJc w:val="left"/>
      <w:pPr>
        <w:ind w:left="2586" w:hanging="360"/>
      </w:pPr>
      <w:rPr>
        <w:rFonts w:ascii="Wingdings" w:hAnsi="Wingdings" w:hint="default"/>
      </w:rPr>
    </w:lvl>
    <w:lvl w:ilvl="3" w:tplc="040E0001">
      <w:start w:val="1"/>
      <w:numFmt w:val="bullet"/>
      <w:lvlText w:val=""/>
      <w:lvlJc w:val="left"/>
      <w:pPr>
        <w:ind w:left="3306" w:hanging="360"/>
      </w:pPr>
      <w:rPr>
        <w:rFonts w:ascii="Symbol" w:hAnsi="Symbol" w:hint="default"/>
      </w:rPr>
    </w:lvl>
    <w:lvl w:ilvl="4" w:tplc="040E0003">
      <w:start w:val="1"/>
      <w:numFmt w:val="bullet"/>
      <w:lvlText w:val="o"/>
      <w:lvlJc w:val="left"/>
      <w:pPr>
        <w:ind w:left="4026" w:hanging="360"/>
      </w:pPr>
      <w:rPr>
        <w:rFonts w:ascii="Courier New" w:hAnsi="Courier New" w:cs="Courier New" w:hint="default"/>
      </w:rPr>
    </w:lvl>
    <w:lvl w:ilvl="5" w:tplc="040E0005">
      <w:start w:val="1"/>
      <w:numFmt w:val="bullet"/>
      <w:lvlText w:val=""/>
      <w:lvlJc w:val="left"/>
      <w:pPr>
        <w:ind w:left="4746" w:hanging="360"/>
      </w:pPr>
      <w:rPr>
        <w:rFonts w:ascii="Wingdings" w:hAnsi="Wingdings" w:hint="default"/>
      </w:rPr>
    </w:lvl>
    <w:lvl w:ilvl="6" w:tplc="040E0001">
      <w:start w:val="1"/>
      <w:numFmt w:val="bullet"/>
      <w:lvlText w:val=""/>
      <w:lvlJc w:val="left"/>
      <w:pPr>
        <w:ind w:left="5466" w:hanging="360"/>
      </w:pPr>
      <w:rPr>
        <w:rFonts w:ascii="Symbol" w:hAnsi="Symbol" w:hint="default"/>
      </w:rPr>
    </w:lvl>
    <w:lvl w:ilvl="7" w:tplc="040E0003">
      <w:start w:val="1"/>
      <w:numFmt w:val="bullet"/>
      <w:lvlText w:val="o"/>
      <w:lvlJc w:val="left"/>
      <w:pPr>
        <w:ind w:left="6186" w:hanging="360"/>
      </w:pPr>
      <w:rPr>
        <w:rFonts w:ascii="Courier New" w:hAnsi="Courier New" w:cs="Courier New" w:hint="default"/>
      </w:rPr>
    </w:lvl>
    <w:lvl w:ilvl="8" w:tplc="040E0005">
      <w:start w:val="1"/>
      <w:numFmt w:val="bullet"/>
      <w:lvlText w:val=""/>
      <w:lvlJc w:val="left"/>
      <w:pPr>
        <w:ind w:left="6906" w:hanging="360"/>
      </w:pPr>
      <w:rPr>
        <w:rFonts w:ascii="Wingdings" w:hAnsi="Wingdings" w:hint="default"/>
      </w:rPr>
    </w:lvl>
  </w:abstractNum>
  <w:abstractNum w:abstractNumId="680" w15:restartNumberingAfterBreak="0">
    <w:nsid w:val="641A0168"/>
    <w:multiLevelType w:val="hybridMultilevel"/>
    <w:tmpl w:val="6618FD1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81" w15:restartNumberingAfterBreak="0">
    <w:nsid w:val="642F3190"/>
    <w:multiLevelType w:val="hybridMultilevel"/>
    <w:tmpl w:val="460EDD9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82" w15:restartNumberingAfterBreak="0">
    <w:nsid w:val="643E6D05"/>
    <w:multiLevelType w:val="hybridMultilevel"/>
    <w:tmpl w:val="2F0E940E"/>
    <w:lvl w:ilvl="0" w:tplc="F29CF34C">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683" w15:restartNumberingAfterBreak="0">
    <w:nsid w:val="64526B26"/>
    <w:multiLevelType w:val="hybridMultilevel"/>
    <w:tmpl w:val="D24AF7C4"/>
    <w:lvl w:ilvl="0" w:tplc="F90AA5CA">
      <w:numFmt w:val="bullet"/>
      <w:lvlText w:val="-"/>
      <w:lvlJc w:val="left"/>
      <w:pPr>
        <w:ind w:left="1145" w:hanging="360"/>
      </w:pPr>
      <w:rPr>
        <w:rFonts w:ascii="Times New Roman" w:eastAsia="Times New Roman" w:hAnsi="Times New Roman" w:cs="Times New Roman" w:hint="default"/>
      </w:rPr>
    </w:lvl>
    <w:lvl w:ilvl="1" w:tplc="040E0003">
      <w:start w:val="1"/>
      <w:numFmt w:val="bullet"/>
      <w:lvlText w:val="o"/>
      <w:lvlJc w:val="left"/>
      <w:pPr>
        <w:ind w:left="1865" w:hanging="360"/>
      </w:pPr>
      <w:rPr>
        <w:rFonts w:ascii="Courier New" w:hAnsi="Courier New" w:cs="Courier New" w:hint="default"/>
      </w:rPr>
    </w:lvl>
    <w:lvl w:ilvl="2" w:tplc="040E0005">
      <w:start w:val="1"/>
      <w:numFmt w:val="bullet"/>
      <w:lvlText w:val=""/>
      <w:lvlJc w:val="left"/>
      <w:pPr>
        <w:ind w:left="2585" w:hanging="360"/>
      </w:pPr>
      <w:rPr>
        <w:rFonts w:ascii="Wingdings" w:hAnsi="Wingdings" w:hint="default"/>
      </w:rPr>
    </w:lvl>
    <w:lvl w:ilvl="3" w:tplc="040E0001">
      <w:start w:val="1"/>
      <w:numFmt w:val="bullet"/>
      <w:lvlText w:val=""/>
      <w:lvlJc w:val="left"/>
      <w:pPr>
        <w:ind w:left="3305" w:hanging="360"/>
      </w:pPr>
      <w:rPr>
        <w:rFonts w:ascii="Symbol" w:hAnsi="Symbol" w:hint="default"/>
      </w:rPr>
    </w:lvl>
    <w:lvl w:ilvl="4" w:tplc="040E0003">
      <w:start w:val="1"/>
      <w:numFmt w:val="bullet"/>
      <w:lvlText w:val="o"/>
      <w:lvlJc w:val="left"/>
      <w:pPr>
        <w:ind w:left="4025" w:hanging="360"/>
      </w:pPr>
      <w:rPr>
        <w:rFonts w:ascii="Courier New" w:hAnsi="Courier New" w:cs="Courier New" w:hint="default"/>
      </w:rPr>
    </w:lvl>
    <w:lvl w:ilvl="5" w:tplc="040E0005">
      <w:start w:val="1"/>
      <w:numFmt w:val="bullet"/>
      <w:lvlText w:val=""/>
      <w:lvlJc w:val="left"/>
      <w:pPr>
        <w:ind w:left="4745" w:hanging="360"/>
      </w:pPr>
      <w:rPr>
        <w:rFonts w:ascii="Wingdings" w:hAnsi="Wingdings" w:hint="default"/>
      </w:rPr>
    </w:lvl>
    <w:lvl w:ilvl="6" w:tplc="040E0001">
      <w:start w:val="1"/>
      <w:numFmt w:val="bullet"/>
      <w:lvlText w:val=""/>
      <w:lvlJc w:val="left"/>
      <w:pPr>
        <w:ind w:left="5465" w:hanging="360"/>
      </w:pPr>
      <w:rPr>
        <w:rFonts w:ascii="Symbol" w:hAnsi="Symbol" w:hint="default"/>
      </w:rPr>
    </w:lvl>
    <w:lvl w:ilvl="7" w:tplc="040E0003">
      <w:start w:val="1"/>
      <w:numFmt w:val="bullet"/>
      <w:lvlText w:val="o"/>
      <w:lvlJc w:val="left"/>
      <w:pPr>
        <w:ind w:left="6185" w:hanging="360"/>
      </w:pPr>
      <w:rPr>
        <w:rFonts w:ascii="Courier New" w:hAnsi="Courier New" w:cs="Courier New" w:hint="default"/>
      </w:rPr>
    </w:lvl>
    <w:lvl w:ilvl="8" w:tplc="040E0005">
      <w:start w:val="1"/>
      <w:numFmt w:val="bullet"/>
      <w:lvlText w:val=""/>
      <w:lvlJc w:val="left"/>
      <w:pPr>
        <w:ind w:left="6905" w:hanging="360"/>
      </w:pPr>
      <w:rPr>
        <w:rFonts w:ascii="Wingdings" w:hAnsi="Wingdings" w:hint="default"/>
      </w:rPr>
    </w:lvl>
  </w:abstractNum>
  <w:abstractNum w:abstractNumId="684" w15:restartNumberingAfterBreak="0">
    <w:nsid w:val="64B82DEC"/>
    <w:multiLevelType w:val="hybridMultilevel"/>
    <w:tmpl w:val="F62EFA2A"/>
    <w:lvl w:ilvl="0" w:tplc="E30CFC3A">
      <w:start w:val="1"/>
      <w:numFmt w:val="decimal"/>
      <w:lvlText w:val="%1."/>
      <w:lvlJc w:val="left"/>
      <w:pPr>
        <w:ind w:left="2304" w:hanging="360"/>
      </w:pPr>
      <w:rPr>
        <w:rFonts w:eastAsiaTheme="minorHAnsi" w:hint="default"/>
      </w:rPr>
    </w:lvl>
    <w:lvl w:ilvl="1" w:tplc="040E0019" w:tentative="1">
      <w:start w:val="1"/>
      <w:numFmt w:val="lowerLetter"/>
      <w:lvlText w:val="%2."/>
      <w:lvlJc w:val="left"/>
      <w:pPr>
        <w:ind w:left="3024" w:hanging="360"/>
      </w:pPr>
    </w:lvl>
    <w:lvl w:ilvl="2" w:tplc="040E001B" w:tentative="1">
      <w:start w:val="1"/>
      <w:numFmt w:val="lowerRoman"/>
      <w:lvlText w:val="%3."/>
      <w:lvlJc w:val="right"/>
      <w:pPr>
        <w:ind w:left="3744" w:hanging="180"/>
      </w:pPr>
    </w:lvl>
    <w:lvl w:ilvl="3" w:tplc="040E000F" w:tentative="1">
      <w:start w:val="1"/>
      <w:numFmt w:val="decimal"/>
      <w:lvlText w:val="%4."/>
      <w:lvlJc w:val="left"/>
      <w:pPr>
        <w:ind w:left="4464" w:hanging="360"/>
      </w:pPr>
    </w:lvl>
    <w:lvl w:ilvl="4" w:tplc="040E0019" w:tentative="1">
      <w:start w:val="1"/>
      <w:numFmt w:val="lowerLetter"/>
      <w:lvlText w:val="%5."/>
      <w:lvlJc w:val="left"/>
      <w:pPr>
        <w:ind w:left="5184" w:hanging="360"/>
      </w:pPr>
    </w:lvl>
    <w:lvl w:ilvl="5" w:tplc="040E001B" w:tentative="1">
      <w:start w:val="1"/>
      <w:numFmt w:val="lowerRoman"/>
      <w:lvlText w:val="%6."/>
      <w:lvlJc w:val="right"/>
      <w:pPr>
        <w:ind w:left="5904" w:hanging="180"/>
      </w:pPr>
    </w:lvl>
    <w:lvl w:ilvl="6" w:tplc="040E000F" w:tentative="1">
      <w:start w:val="1"/>
      <w:numFmt w:val="decimal"/>
      <w:lvlText w:val="%7."/>
      <w:lvlJc w:val="left"/>
      <w:pPr>
        <w:ind w:left="6624" w:hanging="360"/>
      </w:pPr>
    </w:lvl>
    <w:lvl w:ilvl="7" w:tplc="040E0019" w:tentative="1">
      <w:start w:val="1"/>
      <w:numFmt w:val="lowerLetter"/>
      <w:lvlText w:val="%8."/>
      <w:lvlJc w:val="left"/>
      <w:pPr>
        <w:ind w:left="7344" w:hanging="360"/>
      </w:pPr>
    </w:lvl>
    <w:lvl w:ilvl="8" w:tplc="040E001B" w:tentative="1">
      <w:start w:val="1"/>
      <w:numFmt w:val="lowerRoman"/>
      <w:lvlText w:val="%9."/>
      <w:lvlJc w:val="right"/>
      <w:pPr>
        <w:ind w:left="8064" w:hanging="180"/>
      </w:pPr>
    </w:lvl>
  </w:abstractNum>
  <w:abstractNum w:abstractNumId="685" w15:restartNumberingAfterBreak="0">
    <w:nsid w:val="65111233"/>
    <w:multiLevelType w:val="hybridMultilevel"/>
    <w:tmpl w:val="D166ACAE"/>
    <w:lvl w:ilvl="0" w:tplc="CF349B7C">
      <w:start w:val="9"/>
      <w:numFmt w:val="bullet"/>
      <w:lvlText w:val="-"/>
      <w:lvlJc w:val="left"/>
      <w:pPr>
        <w:ind w:left="1364" w:hanging="360"/>
      </w:pPr>
      <w:rPr>
        <w:rFonts w:ascii="Times New Roman" w:eastAsiaTheme="minorHAnsi" w:hAnsi="Times New Roman" w:cs="Times New Roman" w:hint="default"/>
      </w:rPr>
    </w:lvl>
    <w:lvl w:ilvl="1" w:tplc="040E0003" w:tentative="1">
      <w:start w:val="1"/>
      <w:numFmt w:val="bullet"/>
      <w:lvlText w:val="o"/>
      <w:lvlJc w:val="left"/>
      <w:pPr>
        <w:ind w:left="2084" w:hanging="360"/>
      </w:pPr>
      <w:rPr>
        <w:rFonts w:ascii="Courier New" w:hAnsi="Courier New" w:cs="Courier New" w:hint="default"/>
      </w:rPr>
    </w:lvl>
    <w:lvl w:ilvl="2" w:tplc="CF349B7C">
      <w:start w:val="9"/>
      <w:numFmt w:val="bullet"/>
      <w:lvlText w:val="-"/>
      <w:lvlJc w:val="left"/>
      <w:pPr>
        <w:ind w:left="2804" w:hanging="360"/>
      </w:pPr>
      <w:rPr>
        <w:rFonts w:ascii="Times New Roman" w:eastAsiaTheme="minorHAnsi" w:hAnsi="Times New Roman" w:cs="Times New Roman" w:hint="default"/>
      </w:rPr>
    </w:lvl>
    <w:lvl w:ilvl="3" w:tplc="040E0001" w:tentative="1">
      <w:start w:val="1"/>
      <w:numFmt w:val="bullet"/>
      <w:lvlText w:val=""/>
      <w:lvlJc w:val="left"/>
      <w:pPr>
        <w:ind w:left="3524" w:hanging="360"/>
      </w:pPr>
      <w:rPr>
        <w:rFonts w:ascii="Symbol" w:hAnsi="Symbol" w:hint="default"/>
      </w:rPr>
    </w:lvl>
    <w:lvl w:ilvl="4" w:tplc="040E0003" w:tentative="1">
      <w:start w:val="1"/>
      <w:numFmt w:val="bullet"/>
      <w:lvlText w:val="o"/>
      <w:lvlJc w:val="left"/>
      <w:pPr>
        <w:ind w:left="4244" w:hanging="360"/>
      </w:pPr>
      <w:rPr>
        <w:rFonts w:ascii="Courier New" w:hAnsi="Courier New" w:cs="Courier New" w:hint="default"/>
      </w:rPr>
    </w:lvl>
    <w:lvl w:ilvl="5" w:tplc="040E0005" w:tentative="1">
      <w:start w:val="1"/>
      <w:numFmt w:val="bullet"/>
      <w:lvlText w:val=""/>
      <w:lvlJc w:val="left"/>
      <w:pPr>
        <w:ind w:left="4964" w:hanging="360"/>
      </w:pPr>
      <w:rPr>
        <w:rFonts w:ascii="Wingdings" w:hAnsi="Wingdings" w:hint="default"/>
      </w:rPr>
    </w:lvl>
    <w:lvl w:ilvl="6" w:tplc="040E0001" w:tentative="1">
      <w:start w:val="1"/>
      <w:numFmt w:val="bullet"/>
      <w:lvlText w:val=""/>
      <w:lvlJc w:val="left"/>
      <w:pPr>
        <w:ind w:left="5684" w:hanging="360"/>
      </w:pPr>
      <w:rPr>
        <w:rFonts w:ascii="Symbol" w:hAnsi="Symbol" w:hint="default"/>
      </w:rPr>
    </w:lvl>
    <w:lvl w:ilvl="7" w:tplc="040E0003" w:tentative="1">
      <w:start w:val="1"/>
      <w:numFmt w:val="bullet"/>
      <w:lvlText w:val="o"/>
      <w:lvlJc w:val="left"/>
      <w:pPr>
        <w:ind w:left="6404" w:hanging="360"/>
      </w:pPr>
      <w:rPr>
        <w:rFonts w:ascii="Courier New" w:hAnsi="Courier New" w:cs="Courier New" w:hint="default"/>
      </w:rPr>
    </w:lvl>
    <w:lvl w:ilvl="8" w:tplc="040E0005" w:tentative="1">
      <w:start w:val="1"/>
      <w:numFmt w:val="bullet"/>
      <w:lvlText w:val=""/>
      <w:lvlJc w:val="left"/>
      <w:pPr>
        <w:ind w:left="7124" w:hanging="360"/>
      </w:pPr>
      <w:rPr>
        <w:rFonts w:ascii="Wingdings" w:hAnsi="Wingdings" w:hint="default"/>
      </w:rPr>
    </w:lvl>
  </w:abstractNum>
  <w:abstractNum w:abstractNumId="686" w15:restartNumberingAfterBreak="0">
    <w:nsid w:val="652C1D47"/>
    <w:multiLevelType w:val="hybridMultilevel"/>
    <w:tmpl w:val="FA308494"/>
    <w:lvl w:ilvl="0" w:tplc="66EAB8E6">
      <w:start w:val="1"/>
      <w:numFmt w:val="decimal"/>
      <w:lvlText w:val="%1."/>
      <w:lvlJc w:val="left"/>
      <w:pPr>
        <w:ind w:left="1794" w:hanging="360"/>
      </w:pPr>
      <w:rPr>
        <w:rFonts w:hint="default"/>
      </w:rPr>
    </w:lvl>
    <w:lvl w:ilvl="1" w:tplc="040E0019" w:tentative="1">
      <w:start w:val="1"/>
      <w:numFmt w:val="lowerLetter"/>
      <w:lvlText w:val="%2."/>
      <w:lvlJc w:val="left"/>
      <w:pPr>
        <w:ind w:left="2514" w:hanging="360"/>
      </w:pPr>
    </w:lvl>
    <w:lvl w:ilvl="2" w:tplc="040E001B" w:tentative="1">
      <w:start w:val="1"/>
      <w:numFmt w:val="lowerRoman"/>
      <w:lvlText w:val="%3."/>
      <w:lvlJc w:val="right"/>
      <w:pPr>
        <w:ind w:left="3234" w:hanging="180"/>
      </w:pPr>
    </w:lvl>
    <w:lvl w:ilvl="3" w:tplc="040E000F" w:tentative="1">
      <w:start w:val="1"/>
      <w:numFmt w:val="decimal"/>
      <w:lvlText w:val="%4."/>
      <w:lvlJc w:val="left"/>
      <w:pPr>
        <w:ind w:left="3954" w:hanging="360"/>
      </w:pPr>
    </w:lvl>
    <w:lvl w:ilvl="4" w:tplc="040E0019" w:tentative="1">
      <w:start w:val="1"/>
      <w:numFmt w:val="lowerLetter"/>
      <w:lvlText w:val="%5."/>
      <w:lvlJc w:val="left"/>
      <w:pPr>
        <w:ind w:left="4674" w:hanging="360"/>
      </w:pPr>
    </w:lvl>
    <w:lvl w:ilvl="5" w:tplc="040E001B" w:tentative="1">
      <w:start w:val="1"/>
      <w:numFmt w:val="lowerRoman"/>
      <w:lvlText w:val="%6."/>
      <w:lvlJc w:val="right"/>
      <w:pPr>
        <w:ind w:left="5394" w:hanging="180"/>
      </w:pPr>
    </w:lvl>
    <w:lvl w:ilvl="6" w:tplc="040E000F" w:tentative="1">
      <w:start w:val="1"/>
      <w:numFmt w:val="decimal"/>
      <w:lvlText w:val="%7."/>
      <w:lvlJc w:val="left"/>
      <w:pPr>
        <w:ind w:left="6114" w:hanging="360"/>
      </w:pPr>
    </w:lvl>
    <w:lvl w:ilvl="7" w:tplc="040E0019" w:tentative="1">
      <w:start w:val="1"/>
      <w:numFmt w:val="lowerLetter"/>
      <w:lvlText w:val="%8."/>
      <w:lvlJc w:val="left"/>
      <w:pPr>
        <w:ind w:left="6834" w:hanging="360"/>
      </w:pPr>
    </w:lvl>
    <w:lvl w:ilvl="8" w:tplc="040E001B" w:tentative="1">
      <w:start w:val="1"/>
      <w:numFmt w:val="lowerRoman"/>
      <w:lvlText w:val="%9."/>
      <w:lvlJc w:val="right"/>
      <w:pPr>
        <w:ind w:left="7554" w:hanging="180"/>
      </w:pPr>
    </w:lvl>
  </w:abstractNum>
  <w:abstractNum w:abstractNumId="687" w15:restartNumberingAfterBreak="0">
    <w:nsid w:val="652E5CF9"/>
    <w:multiLevelType w:val="hybridMultilevel"/>
    <w:tmpl w:val="1E76EF58"/>
    <w:lvl w:ilvl="0" w:tplc="32D43EC2">
      <w:start w:val="1"/>
      <w:numFmt w:val="decimal"/>
      <w:lvlText w:val="%1."/>
      <w:lvlJc w:val="left"/>
      <w:pPr>
        <w:ind w:left="786" w:hanging="360"/>
      </w:pPr>
      <w:rPr>
        <w:rFonts w:hint="default"/>
      </w:rPr>
    </w:lvl>
    <w:lvl w:ilvl="1" w:tplc="040E0019" w:tentative="1">
      <w:start w:val="1"/>
      <w:numFmt w:val="lowerLetter"/>
      <w:lvlText w:val="%2."/>
      <w:lvlJc w:val="left"/>
      <w:pPr>
        <w:ind w:left="1506" w:hanging="360"/>
      </w:pPr>
    </w:lvl>
    <w:lvl w:ilvl="2" w:tplc="040E001B" w:tentative="1">
      <w:start w:val="1"/>
      <w:numFmt w:val="lowerRoman"/>
      <w:lvlText w:val="%3."/>
      <w:lvlJc w:val="right"/>
      <w:pPr>
        <w:ind w:left="2226" w:hanging="180"/>
      </w:pPr>
    </w:lvl>
    <w:lvl w:ilvl="3" w:tplc="040E000F" w:tentative="1">
      <w:start w:val="1"/>
      <w:numFmt w:val="decimal"/>
      <w:lvlText w:val="%4."/>
      <w:lvlJc w:val="left"/>
      <w:pPr>
        <w:ind w:left="2946" w:hanging="360"/>
      </w:pPr>
    </w:lvl>
    <w:lvl w:ilvl="4" w:tplc="040E0019" w:tentative="1">
      <w:start w:val="1"/>
      <w:numFmt w:val="lowerLetter"/>
      <w:lvlText w:val="%5."/>
      <w:lvlJc w:val="left"/>
      <w:pPr>
        <w:ind w:left="3666" w:hanging="360"/>
      </w:pPr>
    </w:lvl>
    <w:lvl w:ilvl="5" w:tplc="040E001B" w:tentative="1">
      <w:start w:val="1"/>
      <w:numFmt w:val="lowerRoman"/>
      <w:lvlText w:val="%6."/>
      <w:lvlJc w:val="right"/>
      <w:pPr>
        <w:ind w:left="4386" w:hanging="180"/>
      </w:pPr>
    </w:lvl>
    <w:lvl w:ilvl="6" w:tplc="040E000F" w:tentative="1">
      <w:start w:val="1"/>
      <w:numFmt w:val="decimal"/>
      <w:lvlText w:val="%7."/>
      <w:lvlJc w:val="left"/>
      <w:pPr>
        <w:ind w:left="5106" w:hanging="360"/>
      </w:pPr>
    </w:lvl>
    <w:lvl w:ilvl="7" w:tplc="040E0019" w:tentative="1">
      <w:start w:val="1"/>
      <w:numFmt w:val="lowerLetter"/>
      <w:lvlText w:val="%8."/>
      <w:lvlJc w:val="left"/>
      <w:pPr>
        <w:ind w:left="5826" w:hanging="360"/>
      </w:pPr>
    </w:lvl>
    <w:lvl w:ilvl="8" w:tplc="040E001B" w:tentative="1">
      <w:start w:val="1"/>
      <w:numFmt w:val="lowerRoman"/>
      <w:lvlText w:val="%9."/>
      <w:lvlJc w:val="right"/>
      <w:pPr>
        <w:ind w:left="6546" w:hanging="180"/>
      </w:pPr>
    </w:lvl>
  </w:abstractNum>
  <w:abstractNum w:abstractNumId="688" w15:restartNumberingAfterBreak="0">
    <w:nsid w:val="65665187"/>
    <w:multiLevelType w:val="hybridMultilevel"/>
    <w:tmpl w:val="F4DA1930"/>
    <w:lvl w:ilvl="0" w:tplc="75B4FE7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89" w15:restartNumberingAfterBreak="0">
    <w:nsid w:val="65775905"/>
    <w:multiLevelType w:val="multilevel"/>
    <w:tmpl w:val="A22C1F94"/>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690" w15:restartNumberingAfterBreak="0">
    <w:nsid w:val="659E33E9"/>
    <w:multiLevelType w:val="multilevel"/>
    <w:tmpl w:val="3E64F49C"/>
    <w:lvl w:ilvl="0">
      <w:start w:val="8"/>
      <w:numFmt w:val="decimal"/>
      <w:lvlText w:val="%1."/>
      <w:lvlJc w:val="left"/>
      <w:pPr>
        <w:ind w:left="540" w:hanging="540"/>
      </w:pPr>
    </w:lvl>
    <w:lvl w:ilvl="1">
      <w:start w:val="1"/>
      <w:numFmt w:val="decimal"/>
      <w:lvlText w:val="%1.%2."/>
      <w:lvlJc w:val="left"/>
      <w:pPr>
        <w:ind w:left="753" w:hanging="540"/>
      </w:pPr>
    </w:lvl>
    <w:lvl w:ilvl="2">
      <w:start w:val="1"/>
      <w:numFmt w:val="decimal"/>
      <w:lvlText w:val="%1.%2.%3."/>
      <w:lvlJc w:val="left"/>
      <w:pPr>
        <w:ind w:left="1146" w:hanging="720"/>
      </w:pPr>
    </w:lvl>
    <w:lvl w:ilvl="3">
      <w:start w:val="1"/>
      <w:numFmt w:val="decimal"/>
      <w:lvlText w:val="%1.%2.%3.%4."/>
      <w:lvlJc w:val="left"/>
      <w:pPr>
        <w:ind w:left="1359" w:hanging="720"/>
      </w:pPr>
    </w:lvl>
    <w:lvl w:ilvl="4">
      <w:start w:val="1"/>
      <w:numFmt w:val="decimal"/>
      <w:lvlText w:val="%1.%2.%3.%4.%5."/>
      <w:lvlJc w:val="left"/>
      <w:pPr>
        <w:ind w:left="1932" w:hanging="1080"/>
      </w:pPr>
    </w:lvl>
    <w:lvl w:ilvl="5">
      <w:start w:val="1"/>
      <w:numFmt w:val="decimal"/>
      <w:lvlText w:val="%1.%2.%3.%4.%5.%6."/>
      <w:lvlJc w:val="left"/>
      <w:pPr>
        <w:ind w:left="2145" w:hanging="1080"/>
      </w:pPr>
    </w:lvl>
    <w:lvl w:ilvl="6">
      <w:start w:val="1"/>
      <w:numFmt w:val="decimal"/>
      <w:lvlText w:val="%1.%2.%3.%4.%5.%6.%7."/>
      <w:lvlJc w:val="left"/>
      <w:pPr>
        <w:ind w:left="2718" w:hanging="1440"/>
      </w:pPr>
    </w:lvl>
    <w:lvl w:ilvl="7">
      <w:start w:val="1"/>
      <w:numFmt w:val="decimal"/>
      <w:lvlText w:val="%1.%2.%3.%4.%5.%6.%7.%8."/>
      <w:lvlJc w:val="left"/>
      <w:pPr>
        <w:ind w:left="2931" w:hanging="1440"/>
      </w:pPr>
    </w:lvl>
    <w:lvl w:ilvl="8">
      <w:start w:val="1"/>
      <w:numFmt w:val="decimal"/>
      <w:lvlText w:val="%1.%2.%3.%4.%5.%6.%7.%8.%9."/>
      <w:lvlJc w:val="left"/>
      <w:pPr>
        <w:ind w:left="3504" w:hanging="1800"/>
      </w:pPr>
    </w:lvl>
  </w:abstractNum>
  <w:abstractNum w:abstractNumId="691" w15:restartNumberingAfterBreak="0">
    <w:nsid w:val="65D85AD6"/>
    <w:multiLevelType w:val="hybridMultilevel"/>
    <w:tmpl w:val="0E40ED78"/>
    <w:lvl w:ilvl="0" w:tplc="F90AA5CA">
      <w:numFmt w:val="bullet"/>
      <w:lvlText w:val="-"/>
      <w:lvlJc w:val="left"/>
      <w:pPr>
        <w:ind w:left="1145" w:hanging="360"/>
      </w:pPr>
      <w:rPr>
        <w:rFonts w:ascii="Times New Roman" w:eastAsia="Times New Roman" w:hAnsi="Times New Roman"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692" w15:restartNumberingAfterBreak="0">
    <w:nsid w:val="65EF5A7E"/>
    <w:multiLevelType w:val="hybridMultilevel"/>
    <w:tmpl w:val="99549E9E"/>
    <w:lvl w:ilvl="0" w:tplc="9FC84404">
      <w:start w:val="1"/>
      <w:numFmt w:val="decimal"/>
      <w:lvlText w:val="%1."/>
      <w:lvlJc w:val="left"/>
      <w:pPr>
        <w:ind w:left="108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693" w15:restartNumberingAfterBreak="0">
    <w:nsid w:val="660B754C"/>
    <w:multiLevelType w:val="hybridMultilevel"/>
    <w:tmpl w:val="62A4B4CC"/>
    <w:lvl w:ilvl="0" w:tplc="42E850B0">
      <w:start w:val="1"/>
      <w:numFmt w:val="decimal"/>
      <w:lvlText w:val="%1."/>
      <w:lvlJc w:val="left"/>
      <w:pPr>
        <w:ind w:left="644" w:hanging="360"/>
      </w:pPr>
      <w:rPr>
        <w:rFonts w:eastAsiaTheme="minorHAnsi"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94" w15:restartNumberingAfterBreak="0">
    <w:nsid w:val="661342ED"/>
    <w:multiLevelType w:val="hybridMultilevel"/>
    <w:tmpl w:val="80EA0968"/>
    <w:lvl w:ilvl="0" w:tplc="7A6CEBCE">
      <w:numFmt w:val="bullet"/>
      <w:lvlText w:val="-"/>
      <w:lvlJc w:val="left"/>
      <w:pPr>
        <w:ind w:left="786" w:hanging="360"/>
      </w:pPr>
      <w:rPr>
        <w:rFonts w:ascii="Times New Roman" w:eastAsia="Times New Roman" w:hAnsi="Times New Roman" w:cs="Times New Roman" w:hint="default"/>
        <w:b/>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695" w15:restartNumberingAfterBreak="0">
    <w:nsid w:val="661E4B15"/>
    <w:multiLevelType w:val="multilevel"/>
    <w:tmpl w:val="6C9C004C"/>
    <w:lvl w:ilvl="0">
      <w:start w:val="1"/>
      <w:numFmt w:val="decimal"/>
      <w:lvlText w:val="%1."/>
      <w:lvlJc w:val="left"/>
      <w:pPr>
        <w:tabs>
          <w:tab w:val="num" w:pos="720"/>
        </w:tabs>
        <w:ind w:left="720" w:hanging="360"/>
      </w:pPr>
      <w:rPr>
        <w:rFonts w:hint="default"/>
        <w:b w:val="0"/>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696" w15:restartNumberingAfterBreak="0">
    <w:nsid w:val="66230FEF"/>
    <w:multiLevelType w:val="hybridMultilevel"/>
    <w:tmpl w:val="B6AEA9CC"/>
    <w:lvl w:ilvl="0" w:tplc="9556A0FC">
      <w:numFmt w:val="bullet"/>
      <w:lvlText w:val="-"/>
      <w:lvlJc w:val="left"/>
      <w:pPr>
        <w:ind w:left="786" w:hanging="360"/>
      </w:pPr>
      <w:rPr>
        <w:rFonts w:ascii="Times New Roman" w:eastAsia="Times New Roman" w:hAnsi="Times New Roman" w:cs="Times New Roman"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697" w15:restartNumberingAfterBreak="0">
    <w:nsid w:val="66725DDF"/>
    <w:multiLevelType w:val="hybridMultilevel"/>
    <w:tmpl w:val="13587166"/>
    <w:lvl w:ilvl="0" w:tplc="7A6CEBCE">
      <w:numFmt w:val="bullet"/>
      <w:lvlText w:val="-"/>
      <w:lvlJc w:val="left"/>
      <w:pPr>
        <w:ind w:left="786" w:hanging="360"/>
      </w:pPr>
      <w:rPr>
        <w:rFonts w:ascii="Times New Roman" w:eastAsia="Times New Roman" w:hAnsi="Times New Roman" w:cs="Times New Roman" w:hint="default"/>
        <w:b/>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698" w15:restartNumberingAfterBreak="0">
    <w:nsid w:val="66837CCA"/>
    <w:multiLevelType w:val="hybridMultilevel"/>
    <w:tmpl w:val="4C2A5BFA"/>
    <w:lvl w:ilvl="0" w:tplc="CDF487B0">
      <w:start w:val="1"/>
      <w:numFmt w:val="decimal"/>
      <w:lvlText w:val="%1."/>
      <w:lvlJc w:val="left"/>
      <w:pPr>
        <w:ind w:left="644" w:hanging="360"/>
      </w:pPr>
      <w:rPr>
        <w:rFonts w:eastAsiaTheme="minorHAnsi"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99" w15:restartNumberingAfterBreak="0">
    <w:nsid w:val="66AE5B18"/>
    <w:multiLevelType w:val="hybridMultilevel"/>
    <w:tmpl w:val="C8BED926"/>
    <w:lvl w:ilvl="0" w:tplc="14B249A0">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00" w15:restartNumberingAfterBreak="0">
    <w:nsid w:val="67404AD3"/>
    <w:multiLevelType w:val="hybridMultilevel"/>
    <w:tmpl w:val="A7D2BFC4"/>
    <w:lvl w:ilvl="0" w:tplc="5D7EFE2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01" w15:restartNumberingAfterBreak="0">
    <w:nsid w:val="674923CF"/>
    <w:multiLevelType w:val="hybridMultilevel"/>
    <w:tmpl w:val="0E5E7B86"/>
    <w:lvl w:ilvl="0" w:tplc="13784E4A">
      <w:start w:val="1"/>
      <w:numFmt w:val="decimal"/>
      <w:lvlText w:val="%1."/>
      <w:lvlJc w:val="left"/>
      <w:pPr>
        <w:ind w:left="1068" w:hanging="360"/>
      </w:pPr>
      <w:rPr>
        <w:rFonts w:hint="default"/>
        <w:b w:val="0"/>
      </w:rPr>
    </w:lvl>
    <w:lvl w:ilvl="1" w:tplc="040E0019" w:tentative="1">
      <w:start w:val="1"/>
      <w:numFmt w:val="lowerLetter"/>
      <w:lvlText w:val="%2."/>
      <w:lvlJc w:val="left"/>
      <w:pPr>
        <w:ind w:left="872" w:hanging="360"/>
      </w:pPr>
    </w:lvl>
    <w:lvl w:ilvl="2" w:tplc="040E001B" w:tentative="1">
      <w:start w:val="1"/>
      <w:numFmt w:val="lowerRoman"/>
      <w:lvlText w:val="%3."/>
      <w:lvlJc w:val="right"/>
      <w:pPr>
        <w:ind w:left="1592" w:hanging="180"/>
      </w:pPr>
    </w:lvl>
    <w:lvl w:ilvl="3" w:tplc="040E000F" w:tentative="1">
      <w:start w:val="1"/>
      <w:numFmt w:val="decimal"/>
      <w:lvlText w:val="%4."/>
      <w:lvlJc w:val="left"/>
      <w:pPr>
        <w:ind w:left="2312" w:hanging="360"/>
      </w:pPr>
    </w:lvl>
    <w:lvl w:ilvl="4" w:tplc="040E0019" w:tentative="1">
      <w:start w:val="1"/>
      <w:numFmt w:val="lowerLetter"/>
      <w:lvlText w:val="%5."/>
      <w:lvlJc w:val="left"/>
      <w:pPr>
        <w:ind w:left="3032" w:hanging="360"/>
      </w:pPr>
    </w:lvl>
    <w:lvl w:ilvl="5" w:tplc="040E001B" w:tentative="1">
      <w:start w:val="1"/>
      <w:numFmt w:val="lowerRoman"/>
      <w:lvlText w:val="%6."/>
      <w:lvlJc w:val="right"/>
      <w:pPr>
        <w:ind w:left="3752" w:hanging="180"/>
      </w:pPr>
    </w:lvl>
    <w:lvl w:ilvl="6" w:tplc="040E000F" w:tentative="1">
      <w:start w:val="1"/>
      <w:numFmt w:val="decimal"/>
      <w:lvlText w:val="%7."/>
      <w:lvlJc w:val="left"/>
      <w:pPr>
        <w:ind w:left="4472" w:hanging="360"/>
      </w:pPr>
    </w:lvl>
    <w:lvl w:ilvl="7" w:tplc="040E0019" w:tentative="1">
      <w:start w:val="1"/>
      <w:numFmt w:val="lowerLetter"/>
      <w:lvlText w:val="%8."/>
      <w:lvlJc w:val="left"/>
      <w:pPr>
        <w:ind w:left="5192" w:hanging="360"/>
      </w:pPr>
    </w:lvl>
    <w:lvl w:ilvl="8" w:tplc="040E001B" w:tentative="1">
      <w:start w:val="1"/>
      <w:numFmt w:val="lowerRoman"/>
      <w:lvlText w:val="%9."/>
      <w:lvlJc w:val="right"/>
      <w:pPr>
        <w:ind w:left="5912" w:hanging="180"/>
      </w:pPr>
    </w:lvl>
  </w:abstractNum>
  <w:abstractNum w:abstractNumId="702" w15:restartNumberingAfterBreak="0">
    <w:nsid w:val="675C7BD5"/>
    <w:multiLevelType w:val="hybridMultilevel"/>
    <w:tmpl w:val="CB482BE2"/>
    <w:lvl w:ilvl="0" w:tplc="F90AA5CA">
      <w:numFmt w:val="bullet"/>
      <w:lvlText w:val="-"/>
      <w:lvlJc w:val="left"/>
      <w:pPr>
        <w:ind w:left="1145" w:hanging="360"/>
      </w:pPr>
      <w:rPr>
        <w:rFonts w:ascii="Times New Roman" w:eastAsia="Times New Roman" w:hAnsi="Times New Roman"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703" w15:restartNumberingAfterBreak="0">
    <w:nsid w:val="677E1A2D"/>
    <w:multiLevelType w:val="hybridMultilevel"/>
    <w:tmpl w:val="B43607C2"/>
    <w:lvl w:ilvl="0" w:tplc="774E611C">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04" w15:restartNumberingAfterBreak="0">
    <w:nsid w:val="67DC3C84"/>
    <w:multiLevelType w:val="multilevel"/>
    <w:tmpl w:val="422AADE6"/>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4"/>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705" w15:restartNumberingAfterBreak="0">
    <w:nsid w:val="67EB7CE7"/>
    <w:multiLevelType w:val="hybridMultilevel"/>
    <w:tmpl w:val="FBA81114"/>
    <w:lvl w:ilvl="0" w:tplc="20B05CF0">
      <w:start w:val="1"/>
      <w:numFmt w:val="decimal"/>
      <w:lvlText w:val="%1."/>
      <w:lvlJc w:val="left"/>
      <w:pPr>
        <w:ind w:left="644"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06" w15:restartNumberingAfterBreak="0">
    <w:nsid w:val="67FA420D"/>
    <w:multiLevelType w:val="hybridMultilevel"/>
    <w:tmpl w:val="6FBCFE0A"/>
    <w:lvl w:ilvl="0" w:tplc="E7A8D1D0">
      <w:start w:val="1"/>
      <w:numFmt w:val="decimal"/>
      <w:lvlText w:val="%1."/>
      <w:lvlJc w:val="left"/>
      <w:pPr>
        <w:ind w:left="108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707" w15:restartNumberingAfterBreak="0">
    <w:nsid w:val="67FE500B"/>
    <w:multiLevelType w:val="hybridMultilevel"/>
    <w:tmpl w:val="D49052E4"/>
    <w:lvl w:ilvl="0" w:tplc="91340060">
      <w:start w:val="1"/>
      <w:numFmt w:val="decimal"/>
      <w:lvlText w:val="%1."/>
      <w:lvlJc w:val="left"/>
      <w:pPr>
        <w:ind w:left="1581"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08" w15:restartNumberingAfterBreak="0">
    <w:nsid w:val="68677F66"/>
    <w:multiLevelType w:val="hybridMultilevel"/>
    <w:tmpl w:val="B3E60DF6"/>
    <w:lvl w:ilvl="0" w:tplc="040E000F">
      <w:start w:val="1"/>
      <w:numFmt w:val="decimal"/>
      <w:lvlText w:val="%1."/>
      <w:lvlJc w:val="left"/>
      <w:pPr>
        <w:ind w:left="851" w:hanging="360"/>
      </w:pPr>
    </w:lvl>
    <w:lvl w:ilvl="1" w:tplc="040E0019" w:tentative="1">
      <w:start w:val="1"/>
      <w:numFmt w:val="lowerLetter"/>
      <w:lvlText w:val="%2."/>
      <w:lvlJc w:val="left"/>
      <w:pPr>
        <w:ind w:left="1571" w:hanging="360"/>
      </w:pPr>
    </w:lvl>
    <w:lvl w:ilvl="2" w:tplc="040E001B" w:tentative="1">
      <w:start w:val="1"/>
      <w:numFmt w:val="lowerRoman"/>
      <w:lvlText w:val="%3."/>
      <w:lvlJc w:val="right"/>
      <w:pPr>
        <w:ind w:left="2291" w:hanging="180"/>
      </w:pPr>
    </w:lvl>
    <w:lvl w:ilvl="3" w:tplc="040E000F" w:tentative="1">
      <w:start w:val="1"/>
      <w:numFmt w:val="decimal"/>
      <w:lvlText w:val="%4."/>
      <w:lvlJc w:val="left"/>
      <w:pPr>
        <w:ind w:left="3011" w:hanging="360"/>
      </w:pPr>
    </w:lvl>
    <w:lvl w:ilvl="4" w:tplc="040E0019" w:tentative="1">
      <w:start w:val="1"/>
      <w:numFmt w:val="lowerLetter"/>
      <w:lvlText w:val="%5."/>
      <w:lvlJc w:val="left"/>
      <w:pPr>
        <w:ind w:left="3731" w:hanging="360"/>
      </w:pPr>
    </w:lvl>
    <w:lvl w:ilvl="5" w:tplc="040E001B" w:tentative="1">
      <w:start w:val="1"/>
      <w:numFmt w:val="lowerRoman"/>
      <w:lvlText w:val="%6."/>
      <w:lvlJc w:val="right"/>
      <w:pPr>
        <w:ind w:left="4451" w:hanging="180"/>
      </w:pPr>
    </w:lvl>
    <w:lvl w:ilvl="6" w:tplc="040E000F" w:tentative="1">
      <w:start w:val="1"/>
      <w:numFmt w:val="decimal"/>
      <w:lvlText w:val="%7."/>
      <w:lvlJc w:val="left"/>
      <w:pPr>
        <w:ind w:left="5171" w:hanging="360"/>
      </w:pPr>
    </w:lvl>
    <w:lvl w:ilvl="7" w:tplc="040E0019" w:tentative="1">
      <w:start w:val="1"/>
      <w:numFmt w:val="lowerLetter"/>
      <w:lvlText w:val="%8."/>
      <w:lvlJc w:val="left"/>
      <w:pPr>
        <w:ind w:left="5891" w:hanging="360"/>
      </w:pPr>
    </w:lvl>
    <w:lvl w:ilvl="8" w:tplc="040E001B" w:tentative="1">
      <w:start w:val="1"/>
      <w:numFmt w:val="lowerRoman"/>
      <w:lvlText w:val="%9."/>
      <w:lvlJc w:val="right"/>
      <w:pPr>
        <w:ind w:left="6611" w:hanging="180"/>
      </w:pPr>
    </w:lvl>
  </w:abstractNum>
  <w:abstractNum w:abstractNumId="709" w15:restartNumberingAfterBreak="0">
    <w:nsid w:val="686B27BA"/>
    <w:multiLevelType w:val="hybridMultilevel"/>
    <w:tmpl w:val="7CEABD22"/>
    <w:lvl w:ilvl="0" w:tplc="2E3E7AEA">
      <w:start w:val="1"/>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710" w15:restartNumberingAfterBreak="0">
    <w:nsid w:val="68793D79"/>
    <w:multiLevelType w:val="hybridMultilevel"/>
    <w:tmpl w:val="30E2940A"/>
    <w:lvl w:ilvl="0" w:tplc="B4C22B26">
      <w:start w:val="1"/>
      <w:numFmt w:val="decimal"/>
      <w:lvlText w:val="%1."/>
      <w:lvlJc w:val="left"/>
      <w:pPr>
        <w:ind w:left="1636" w:hanging="360"/>
      </w:pPr>
      <w:rPr>
        <w:rFonts w:hint="default"/>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11" w15:restartNumberingAfterBreak="0">
    <w:nsid w:val="68887C6A"/>
    <w:multiLevelType w:val="hybridMultilevel"/>
    <w:tmpl w:val="1996D222"/>
    <w:lvl w:ilvl="0" w:tplc="952AE7CC">
      <w:start w:val="1"/>
      <w:numFmt w:val="decimal"/>
      <w:lvlText w:val="%1."/>
      <w:lvlJc w:val="left"/>
      <w:pPr>
        <w:ind w:left="720" w:hanging="360"/>
      </w:pPr>
      <w:rPr>
        <w:rFonts w:eastAsiaTheme="minorHAnsi"/>
        <w:color w:val="212121"/>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712" w15:restartNumberingAfterBreak="0">
    <w:nsid w:val="689D1E3B"/>
    <w:multiLevelType w:val="hybridMultilevel"/>
    <w:tmpl w:val="ED0C6DEA"/>
    <w:lvl w:ilvl="0" w:tplc="D9BA6CD6">
      <w:start w:val="1"/>
      <w:numFmt w:val="decimal"/>
      <w:lvlText w:val="%1."/>
      <w:lvlJc w:val="left"/>
      <w:pPr>
        <w:ind w:left="108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713" w15:restartNumberingAfterBreak="0">
    <w:nsid w:val="689E331A"/>
    <w:multiLevelType w:val="multilevel"/>
    <w:tmpl w:val="A3C421C6"/>
    <w:lvl w:ilvl="0">
      <w:start w:val="1"/>
      <w:numFmt w:val="decimal"/>
      <w:lvlText w:val="%1."/>
      <w:lvlJc w:val="left"/>
      <w:pPr>
        <w:tabs>
          <w:tab w:val="num" w:pos="360"/>
        </w:tabs>
        <w:ind w:left="360" w:hanging="360"/>
      </w:pPr>
      <w:rPr>
        <w:rFonts w:cs="Times New Roman"/>
        <w:b w:val="0"/>
        <w:i w:val="0"/>
        <w:sz w:val="24"/>
      </w:rPr>
    </w:lvl>
    <w:lvl w:ilvl="1">
      <w:start w:val="1"/>
      <w:numFmt w:val="decimal"/>
      <w:lvlText w:val="%1.%2."/>
      <w:lvlJc w:val="left"/>
      <w:pPr>
        <w:tabs>
          <w:tab w:val="num" w:pos="792"/>
        </w:tabs>
        <w:ind w:left="792" w:hanging="432"/>
      </w:pPr>
      <w:rPr>
        <w:rFonts w:cs="Times New Roman"/>
        <w:b/>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714" w15:restartNumberingAfterBreak="0">
    <w:nsid w:val="68B3713A"/>
    <w:multiLevelType w:val="hybridMultilevel"/>
    <w:tmpl w:val="2CAE5F32"/>
    <w:lvl w:ilvl="0" w:tplc="C3A8A022">
      <w:start w:val="1"/>
      <w:numFmt w:val="decimal"/>
      <w:lvlText w:val="%1."/>
      <w:lvlJc w:val="left"/>
      <w:pPr>
        <w:ind w:left="720" w:hanging="360"/>
      </w:pPr>
      <w:rPr>
        <w:rFonts w:eastAsiaTheme="minorHAnsi"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15" w15:restartNumberingAfterBreak="0">
    <w:nsid w:val="68D0341A"/>
    <w:multiLevelType w:val="hybridMultilevel"/>
    <w:tmpl w:val="334417DE"/>
    <w:lvl w:ilvl="0" w:tplc="151410B2">
      <w:start w:val="1"/>
      <w:numFmt w:val="decimal"/>
      <w:lvlText w:val="%1."/>
      <w:lvlJc w:val="left"/>
      <w:pPr>
        <w:ind w:left="644" w:hanging="360"/>
      </w:pPr>
      <w:rPr>
        <w:rFonts w:eastAsiaTheme="minorHAnsi"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16" w15:restartNumberingAfterBreak="0">
    <w:nsid w:val="69250EBB"/>
    <w:multiLevelType w:val="hybridMultilevel"/>
    <w:tmpl w:val="9A66D556"/>
    <w:lvl w:ilvl="0" w:tplc="F90AA5CA">
      <w:numFmt w:val="bullet"/>
      <w:lvlText w:val="-"/>
      <w:lvlJc w:val="left"/>
      <w:pPr>
        <w:ind w:left="1145" w:hanging="360"/>
      </w:pPr>
      <w:rPr>
        <w:rFonts w:ascii="Times New Roman" w:eastAsia="Times New Roman" w:hAnsi="Times New Roman"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717" w15:restartNumberingAfterBreak="0">
    <w:nsid w:val="693F74D7"/>
    <w:multiLevelType w:val="hybridMultilevel"/>
    <w:tmpl w:val="5230928A"/>
    <w:lvl w:ilvl="0" w:tplc="57966AE2">
      <w:start w:val="1"/>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718" w15:restartNumberingAfterBreak="0">
    <w:nsid w:val="694F4F8C"/>
    <w:multiLevelType w:val="multilevel"/>
    <w:tmpl w:val="26C01AD2"/>
    <w:lvl w:ilvl="0">
      <w:start w:val="1"/>
      <w:numFmt w:val="decimal"/>
      <w:lvlText w:val="%1."/>
      <w:lvlJc w:val="right"/>
      <w:pPr>
        <w:tabs>
          <w:tab w:val="num" w:pos="720"/>
        </w:tabs>
        <w:ind w:left="720" w:hanging="360"/>
      </w:pPr>
      <w:rPr>
        <w:rFonts w:ascii="Times New Roman" w:hAnsi="Times New Roman" w:cs="Times New Roman" w:hint="default"/>
        <w:b w:val="0"/>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719" w15:restartNumberingAfterBreak="0">
    <w:nsid w:val="69604427"/>
    <w:multiLevelType w:val="hybridMultilevel"/>
    <w:tmpl w:val="903CAF5A"/>
    <w:lvl w:ilvl="0" w:tplc="3664EB18">
      <w:start w:val="1"/>
      <w:numFmt w:val="decimal"/>
      <w:lvlText w:val="%1."/>
      <w:lvlJc w:val="left"/>
      <w:pPr>
        <w:ind w:left="786" w:hanging="360"/>
      </w:pPr>
      <w:rPr>
        <w:rFonts w:hint="default"/>
      </w:rPr>
    </w:lvl>
    <w:lvl w:ilvl="1" w:tplc="040E0019" w:tentative="1">
      <w:start w:val="1"/>
      <w:numFmt w:val="lowerLetter"/>
      <w:lvlText w:val="%2."/>
      <w:lvlJc w:val="left"/>
      <w:pPr>
        <w:ind w:left="1506" w:hanging="360"/>
      </w:pPr>
    </w:lvl>
    <w:lvl w:ilvl="2" w:tplc="040E001B" w:tentative="1">
      <w:start w:val="1"/>
      <w:numFmt w:val="lowerRoman"/>
      <w:lvlText w:val="%3."/>
      <w:lvlJc w:val="right"/>
      <w:pPr>
        <w:ind w:left="2226" w:hanging="180"/>
      </w:pPr>
    </w:lvl>
    <w:lvl w:ilvl="3" w:tplc="040E000F" w:tentative="1">
      <w:start w:val="1"/>
      <w:numFmt w:val="decimal"/>
      <w:lvlText w:val="%4."/>
      <w:lvlJc w:val="left"/>
      <w:pPr>
        <w:ind w:left="2946" w:hanging="360"/>
      </w:pPr>
    </w:lvl>
    <w:lvl w:ilvl="4" w:tplc="040E0019" w:tentative="1">
      <w:start w:val="1"/>
      <w:numFmt w:val="lowerLetter"/>
      <w:lvlText w:val="%5."/>
      <w:lvlJc w:val="left"/>
      <w:pPr>
        <w:ind w:left="3666" w:hanging="360"/>
      </w:pPr>
    </w:lvl>
    <w:lvl w:ilvl="5" w:tplc="040E001B" w:tentative="1">
      <w:start w:val="1"/>
      <w:numFmt w:val="lowerRoman"/>
      <w:lvlText w:val="%6."/>
      <w:lvlJc w:val="right"/>
      <w:pPr>
        <w:ind w:left="4386" w:hanging="180"/>
      </w:pPr>
    </w:lvl>
    <w:lvl w:ilvl="6" w:tplc="040E000F" w:tentative="1">
      <w:start w:val="1"/>
      <w:numFmt w:val="decimal"/>
      <w:lvlText w:val="%7."/>
      <w:lvlJc w:val="left"/>
      <w:pPr>
        <w:ind w:left="5106" w:hanging="360"/>
      </w:pPr>
    </w:lvl>
    <w:lvl w:ilvl="7" w:tplc="040E0019" w:tentative="1">
      <w:start w:val="1"/>
      <w:numFmt w:val="lowerLetter"/>
      <w:lvlText w:val="%8."/>
      <w:lvlJc w:val="left"/>
      <w:pPr>
        <w:ind w:left="5826" w:hanging="360"/>
      </w:pPr>
    </w:lvl>
    <w:lvl w:ilvl="8" w:tplc="040E001B" w:tentative="1">
      <w:start w:val="1"/>
      <w:numFmt w:val="lowerRoman"/>
      <w:lvlText w:val="%9."/>
      <w:lvlJc w:val="right"/>
      <w:pPr>
        <w:ind w:left="6546" w:hanging="180"/>
      </w:pPr>
    </w:lvl>
  </w:abstractNum>
  <w:abstractNum w:abstractNumId="720" w15:restartNumberingAfterBreak="0">
    <w:nsid w:val="696935A1"/>
    <w:multiLevelType w:val="hybridMultilevel"/>
    <w:tmpl w:val="46B4BEAA"/>
    <w:lvl w:ilvl="0" w:tplc="0F56C3B0">
      <w:start w:val="1"/>
      <w:numFmt w:val="decimal"/>
      <w:lvlText w:val="%1."/>
      <w:lvlJc w:val="left"/>
      <w:pPr>
        <w:ind w:left="101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21" w15:restartNumberingAfterBreak="0">
    <w:nsid w:val="696D4CA5"/>
    <w:multiLevelType w:val="multilevel"/>
    <w:tmpl w:val="78746144"/>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722" w15:restartNumberingAfterBreak="0">
    <w:nsid w:val="69B51D3B"/>
    <w:multiLevelType w:val="multilevel"/>
    <w:tmpl w:val="FB36CC72"/>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723" w15:restartNumberingAfterBreak="0">
    <w:nsid w:val="69BB744A"/>
    <w:multiLevelType w:val="hybridMultilevel"/>
    <w:tmpl w:val="FE3E234A"/>
    <w:lvl w:ilvl="0" w:tplc="157447CC">
      <w:start w:val="1"/>
      <w:numFmt w:val="decimal"/>
      <w:lvlText w:val="%1."/>
      <w:lvlJc w:val="left"/>
      <w:pPr>
        <w:ind w:left="1636" w:hanging="360"/>
      </w:pPr>
      <w:rPr>
        <w:rFonts w:hint="default"/>
        <w:b w:val="0"/>
      </w:rPr>
    </w:lvl>
    <w:lvl w:ilvl="1" w:tplc="040E0019">
      <w:start w:val="1"/>
      <w:numFmt w:val="lowerLetter"/>
      <w:lvlText w:val="%2."/>
      <w:lvlJc w:val="left"/>
      <w:pPr>
        <w:ind w:left="2356" w:hanging="360"/>
      </w:pPr>
    </w:lvl>
    <w:lvl w:ilvl="2" w:tplc="040E001B" w:tentative="1">
      <w:start w:val="1"/>
      <w:numFmt w:val="lowerRoman"/>
      <w:lvlText w:val="%3."/>
      <w:lvlJc w:val="right"/>
      <w:pPr>
        <w:ind w:left="3076" w:hanging="180"/>
      </w:pPr>
    </w:lvl>
    <w:lvl w:ilvl="3" w:tplc="040E000F" w:tentative="1">
      <w:start w:val="1"/>
      <w:numFmt w:val="decimal"/>
      <w:lvlText w:val="%4."/>
      <w:lvlJc w:val="left"/>
      <w:pPr>
        <w:ind w:left="3796" w:hanging="360"/>
      </w:pPr>
    </w:lvl>
    <w:lvl w:ilvl="4" w:tplc="040E0019" w:tentative="1">
      <w:start w:val="1"/>
      <w:numFmt w:val="lowerLetter"/>
      <w:lvlText w:val="%5."/>
      <w:lvlJc w:val="left"/>
      <w:pPr>
        <w:ind w:left="4516" w:hanging="360"/>
      </w:pPr>
    </w:lvl>
    <w:lvl w:ilvl="5" w:tplc="040E001B" w:tentative="1">
      <w:start w:val="1"/>
      <w:numFmt w:val="lowerRoman"/>
      <w:lvlText w:val="%6."/>
      <w:lvlJc w:val="right"/>
      <w:pPr>
        <w:ind w:left="5236" w:hanging="180"/>
      </w:pPr>
    </w:lvl>
    <w:lvl w:ilvl="6" w:tplc="040E000F" w:tentative="1">
      <w:start w:val="1"/>
      <w:numFmt w:val="decimal"/>
      <w:lvlText w:val="%7."/>
      <w:lvlJc w:val="left"/>
      <w:pPr>
        <w:ind w:left="5956" w:hanging="360"/>
      </w:pPr>
    </w:lvl>
    <w:lvl w:ilvl="7" w:tplc="040E0019" w:tentative="1">
      <w:start w:val="1"/>
      <w:numFmt w:val="lowerLetter"/>
      <w:lvlText w:val="%8."/>
      <w:lvlJc w:val="left"/>
      <w:pPr>
        <w:ind w:left="6676" w:hanging="360"/>
      </w:pPr>
    </w:lvl>
    <w:lvl w:ilvl="8" w:tplc="040E001B" w:tentative="1">
      <w:start w:val="1"/>
      <w:numFmt w:val="lowerRoman"/>
      <w:lvlText w:val="%9."/>
      <w:lvlJc w:val="right"/>
      <w:pPr>
        <w:ind w:left="7396" w:hanging="180"/>
      </w:pPr>
    </w:lvl>
  </w:abstractNum>
  <w:abstractNum w:abstractNumId="724" w15:restartNumberingAfterBreak="0">
    <w:nsid w:val="6A0C19D9"/>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25" w15:restartNumberingAfterBreak="0">
    <w:nsid w:val="6A2972B8"/>
    <w:multiLevelType w:val="hybridMultilevel"/>
    <w:tmpl w:val="8E024626"/>
    <w:lvl w:ilvl="0" w:tplc="FFFFFFFF">
      <w:start w:val="1"/>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26" w15:restartNumberingAfterBreak="0">
    <w:nsid w:val="6A4F2560"/>
    <w:multiLevelType w:val="hybridMultilevel"/>
    <w:tmpl w:val="1C02BBE0"/>
    <w:lvl w:ilvl="0" w:tplc="99248592">
      <w:start w:val="1"/>
      <w:numFmt w:val="decimal"/>
      <w:lvlText w:val="%1."/>
      <w:lvlJc w:val="left"/>
      <w:pPr>
        <w:ind w:left="709" w:hanging="360"/>
      </w:pPr>
      <w:rPr>
        <w:rFonts w:hint="default"/>
      </w:rPr>
    </w:lvl>
    <w:lvl w:ilvl="1" w:tplc="040E0019" w:tentative="1">
      <w:start w:val="1"/>
      <w:numFmt w:val="lowerLetter"/>
      <w:lvlText w:val="%2."/>
      <w:lvlJc w:val="left"/>
      <w:pPr>
        <w:ind w:left="1069" w:hanging="360"/>
      </w:pPr>
    </w:lvl>
    <w:lvl w:ilvl="2" w:tplc="040E001B" w:tentative="1">
      <w:start w:val="1"/>
      <w:numFmt w:val="lowerRoman"/>
      <w:lvlText w:val="%3."/>
      <w:lvlJc w:val="right"/>
      <w:pPr>
        <w:ind w:left="1789" w:hanging="180"/>
      </w:pPr>
    </w:lvl>
    <w:lvl w:ilvl="3" w:tplc="040E000F" w:tentative="1">
      <w:start w:val="1"/>
      <w:numFmt w:val="decimal"/>
      <w:lvlText w:val="%4."/>
      <w:lvlJc w:val="left"/>
      <w:pPr>
        <w:ind w:left="2509" w:hanging="360"/>
      </w:pPr>
    </w:lvl>
    <w:lvl w:ilvl="4" w:tplc="040E0019" w:tentative="1">
      <w:start w:val="1"/>
      <w:numFmt w:val="lowerLetter"/>
      <w:lvlText w:val="%5."/>
      <w:lvlJc w:val="left"/>
      <w:pPr>
        <w:ind w:left="3229" w:hanging="360"/>
      </w:pPr>
    </w:lvl>
    <w:lvl w:ilvl="5" w:tplc="040E001B" w:tentative="1">
      <w:start w:val="1"/>
      <w:numFmt w:val="lowerRoman"/>
      <w:lvlText w:val="%6."/>
      <w:lvlJc w:val="right"/>
      <w:pPr>
        <w:ind w:left="3949" w:hanging="180"/>
      </w:pPr>
    </w:lvl>
    <w:lvl w:ilvl="6" w:tplc="040E000F" w:tentative="1">
      <w:start w:val="1"/>
      <w:numFmt w:val="decimal"/>
      <w:lvlText w:val="%7."/>
      <w:lvlJc w:val="left"/>
      <w:pPr>
        <w:ind w:left="4669" w:hanging="360"/>
      </w:pPr>
    </w:lvl>
    <w:lvl w:ilvl="7" w:tplc="040E0019" w:tentative="1">
      <w:start w:val="1"/>
      <w:numFmt w:val="lowerLetter"/>
      <w:lvlText w:val="%8."/>
      <w:lvlJc w:val="left"/>
      <w:pPr>
        <w:ind w:left="5389" w:hanging="360"/>
      </w:pPr>
    </w:lvl>
    <w:lvl w:ilvl="8" w:tplc="040E001B" w:tentative="1">
      <w:start w:val="1"/>
      <w:numFmt w:val="lowerRoman"/>
      <w:lvlText w:val="%9."/>
      <w:lvlJc w:val="right"/>
      <w:pPr>
        <w:ind w:left="6109" w:hanging="180"/>
      </w:pPr>
    </w:lvl>
  </w:abstractNum>
  <w:abstractNum w:abstractNumId="727" w15:restartNumberingAfterBreak="0">
    <w:nsid w:val="6AAB6184"/>
    <w:multiLevelType w:val="hybridMultilevel"/>
    <w:tmpl w:val="66927DBE"/>
    <w:lvl w:ilvl="0" w:tplc="040E000F">
      <w:start w:val="1"/>
      <w:numFmt w:val="decimal"/>
      <w:lvlText w:val="%1."/>
      <w:lvlJc w:val="left"/>
      <w:pPr>
        <w:ind w:left="1512" w:hanging="360"/>
      </w:pPr>
    </w:lvl>
    <w:lvl w:ilvl="1" w:tplc="040E0019" w:tentative="1">
      <w:start w:val="1"/>
      <w:numFmt w:val="lowerLetter"/>
      <w:lvlText w:val="%2."/>
      <w:lvlJc w:val="left"/>
      <w:pPr>
        <w:ind w:left="2232" w:hanging="360"/>
      </w:pPr>
    </w:lvl>
    <w:lvl w:ilvl="2" w:tplc="040E001B" w:tentative="1">
      <w:start w:val="1"/>
      <w:numFmt w:val="lowerRoman"/>
      <w:lvlText w:val="%3."/>
      <w:lvlJc w:val="right"/>
      <w:pPr>
        <w:ind w:left="2952" w:hanging="180"/>
      </w:pPr>
    </w:lvl>
    <w:lvl w:ilvl="3" w:tplc="040E000F" w:tentative="1">
      <w:start w:val="1"/>
      <w:numFmt w:val="decimal"/>
      <w:lvlText w:val="%4."/>
      <w:lvlJc w:val="left"/>
      <w:pPr>
        <w:ind w:left="3672" w:hanging="360"/>
      </w:pPr>
    </w:lvl>
    <w:lvl w:ilvl="4" w:tplc="040E0019" w:tentative="1">
      <w:start w:val="1"/>
      <w:numFmt w:val="lowerLetter"/>
      <w:lvlText w:val="%5."/>
      <w:lvlJc w:val="left"/>
      <w:pPr>
        <w:ind w:left="4392" w:hanging="360"/>
      </w:pPr>
    </w:lvl>
    <w:lvl w:ilvl="5" w:tplc="040E001B" w:tentative="1">
      <w:start w:val="1"/>
      <w:numFmt w:val="lowerRoman"/>
      <w:lvlText w:val="%6."/>
      <w:lvlJc w:val="right"/>
      <w:pPr>
        <w:ind w:left="5112" w:hanging="180"/>
      </w:pPr>
    </w:lvl>
    <w:lvl w:ilvl="6" w:tplc="040E000F" w:tentative="1">
      <w:start w:val="1"/>
      <w:numFmt w:val="decimal"/>
      <w:lvlText w:val="%7."/>
      <w:lvlJc w:val="left"/>
      <w:pPr>
        <w:ind w:left="5832" w:hanging="360"/>
      </w:pPr>
    </w:lvl>
    <w:lvl w:ilvl="7" w:tplc="040E0019" w:tentative="1">
      <w:start w:val="1"/>
      <w:numFmt w:val="lowerLetter"/>
      <w:lvlText w:val="%8."/>
      <w:lvlJc w:val="left"/>
      <w:pPr>
        <w:ind w:left="6552" w:hanging="360"/>
      </w:pPr>
    </w:lvl>
    <w:lvl w:ilvl="8" w:tplc="040E001B" w:tentative="1">
      <w:start w:val="1"/>
      <w:numFmt w:val="lowerRoman"/>
      <w:lvlText w:val="%9."/>
      <w:lvlJc w:val="right"/>
      <w:pPr>
        <w:ind w:left="7272" w:hanging="180"/>
      </w:pPr>
    </w:lvl>
  </w:abstractNum>
  <w:abstractNum w:abstractNumId="728" w15:restartNumberingAfterBreak="0">
    <w:nsid w:val="6AB3305C"/>
    <w:multiLevelType w:val="hybridMultilevel"/>
    <w:tmpl w:val="FB1643B4"/>
    <w:lvl w:ilvl="0" w:tplc="F90AA5CA">
      <w:numFmt w:val="bullet"/>
      <w:lvlText w:val="-"/>
      <w:lvlJc w:val="left"/>
      <w:pPr>
        <w:ind w:left="1145" w:hanging="360"/>
      </w:pPr>
      <w:rPr>
        <w:rFonts w:ascii="Times New Roman" w:eastAsia="Times New Roman" w:hAnsi="Times New Roman"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729" w15:restartNumberingAfterBreak="0">
    <w:nsid w:val="6AB74A90"/>
    <w:multiLevelType w:val="multilevel"/>
    <w:tmpl w:val="44BC5672"/>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730" w15:restartNumberingAfterBreak="0">
    <w:nsid w:val="6AD660C2"/>
    <w:multiLevelType w:val="hybridMultilevel"/>
    <w:tmpl w:val="83B07DD6"/>
    <w:lvl w:ilvl="0" w:tplc="6D98F1C6">
      <w:start w:val="1"/>
      <w:numFmt w:val="decimal"/>
      <w:lvlText w:val="%1."/>
      <w:lvlJc w:val="left"/>
      <w:pPr>
        <w:ind w:left="709" w:hanging="360"/>
      </w:pPr>
      <w:rPr>
        <w:rFonts w:hint="default"/>
      </w:rPr>
    </w:lvl>
    <w:lvl w:ilvl="1" w:tplc="040E0019" w:tentative="1">
      <w:start w:val="1"/>
      <w:numFmt w:val="lowerLetter"/>
      <w:lvlText w:val="%2."/>
      <w:lvlJc w:val="left"/>
      <w:pPr>
        <w:ind w:left="1069" w:hanging="360"/>
      </w:pPr>
    </w:lvl>
    <w:lvl w:ilvl="2" w:tplc="040E001B" w:tentative="1">
      <w:start w:val="1"/>
      <w:numFmt w:val="lowerRoman"/>
      <w:lvlText w:val="%3."/>
      <w:lvlJc w:val="right"/>
      <w:pPr>
        <w:ind w:left="1789" w:hanging="180"/>
      </w:pPr>
    </w:lvl>
    <w:lvl w:ilvl="3" w:tplc="040E000F" w:tentative="1">
      <w:start w:val="1"/>
      <w:numFmt w:val="decimal"/>
      <w:lvlText w:val="%4."/>
      <w:lvlJc w:val="left"/>
      <w:pPr>
        <w:ind w:left="2509" w:hanging="360"/>
      </w:pPr>
    </w:lvl>
    <w:lvl w:ilvl="4" w:tplc="040E0019" w:tentative="1">
      <w:start w:val="1"/>
      <w:numFmt w:val="lowerLetter"/>
      <w:lvlText w:val="%5."/>
      <w:lvlJc w:val="left"/>
      <w:pPr>
        <w:ind w:left="3229" w:hanging="360"/>
      </w:pPr>
    </w:lvl>
    <w:lvl w:ilvl="5" w:tplc="040E001B" w:tentative="1">
      <w:start w:val="1"/>
      <w:numFmt w:val="lowerRoman"/>
      <w:lvlText w:val="%6."/>
      <w:lvlJc w:val="right"/>
      <w:pPr>
        <w:ind w:left="3949" w:hanging="180"/>
      </w:pPr>
    </w:lvl>
    <w:lvl w:ilvl="6" w:tplc="040E000F" w:tentative="1">
      <w:start w:val="1"/>
      <w:numFmt w:val="decimal"/>
      <w:lvlText w:val="%7."/>
      <w:lvlJc w:val="left"/>
      <w:pPr>
        <w:ind w:left="4669" w:hanging="360"/>
      </w:pPr>
    </w:lvl>
    <w:lvl w:ilvl="7" w:tplc="040E0019" w:tentative="1">
      <w:start w:val="1"/>
      <w:numFmt w:val="lowerLetter"/>
      <w:lvlText w:val="%8."/>
      <w:lvlJc w:val="left"/>
      <w:pPr>
        <w:ind w:left="5389" w:hanging="360"/>
      </w:pPr>
    </w:lvl>
    <w:lvl w:ilvl="8" w:tplc="040E001B" w:tentative="1">
      <w:start w:val="1"/>
      <w:numFmt w:val="lowerRoman"/>
      <w:lvlText w:val="%9."/>
      <w:lvlJc w:val="right"/>
      <w:pPr>
        <w:ind w:left="6109" w:hanging="180"/>
      </w:pPr>
    </w:lvl>
  </w:abstractNum>
  <w:abstractNum w:abstractNumId="731" w15:restartNumberingAfterBreak="0">
    <w:nsid w:val="6AF04D8F"/>
    <w:multiLevelType w:val="hybridMultilevel"/>
    <w:tmpl w:val="075C9F2A"/>
    <w:lvl w:ilvl="0" w:tplc="F90AA5CA">
      <w:numFmt w:val="bullet"/>
      <w:lvlText w:val="-"/>
      <w:lvlJc w:val="left"/>
      <w:pPr>
        <w:ind w:left="1146" w:hanging="360"/>
      </w:pPr>
      <w:rPr>
        <w:rFonts w:ascii="Times New Roman" w:eastAsia="Times New Roman" w:hAnsi="Times New Roman"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732" w15:restartNumberingAfterBreak="0">
    <w:nsid w:val="6B1D78D7"/>
    <w:multiLevelType w:val="hybridMultilevel"/>
    <w:tmpl w:val="82BCD100"/>
    <w:lvl w:ilvl="0" w:tplc="2EDE3FFE">
      <w:start w:val="1"/>
      <w:numFmt w:val="decimal"/>
      <w:lvlText w:val="%1."/>
      <w:lvlJc w:val="left"/>
      <w:pPr>
        <w:ind w:left="504" w:hanging="360"/>
      </w:pPr>
      <w:rPr>
        <w:rFonts w:hint="default"/>
      </w:rPr>
    </w:lvl>
    <w:lvl w:ilvl="1" w:tplc="040E0019" w:tentative="1">
      <w:start w:val="1"/>
      <w:numFmt w:val="lowerLetter"/>
      <w:lvlText w:val="%2."/>
      <w:lvlJc w:val="left"/>
      <w:pPr>
        <w:ind w:left="1224" w:hanging="360"/>
      </w:pPr>
    </w:lvl>
    <w:lvl w:ilvl="2" w:tplc="040E001B" w:tentative="1">
      <w:start w:val="1"/>
      <w:numFmt w:val="lowerRoman"/>
      <w:lvlText w:val="%3."/>
      <w:lvlJc w:val="right"/>
      <w:pPr>
        <w:ind w:left="1944" w:hanging="180"/>
      </w:pPr>
    </w:lvl>
    <w:lvl w:ilvl="3" w:tplc="040E000F" w:tentative="1">
      <w:start w:val="1"/>
      <w:numFmt w:val="decimal"/>
      <w:lvlText w:val="%4."/>
      <w:lvlJc w:val="left"/>
      <w:pPr>
        <w:ind w:left="2664" w:hanging="360"/>
      </w:pPr>
    </w:lvl>
    <w:lvl w:ilvl="4" w:tplc="040E0019" w:tentative="1">
      <w:start w:val="1"/>
      <w:numFmt w:val="lowerLetter"/>
      <w:lvlText w:val="%5."/>
      <w:lvlJc w:val="left"/>
      <w:pPr>
        <w:ind w:left="3384" w:hanging="360"/>
      </w:pPr>
    </w:lvl>
    <w:lvl w:ilvl="5" w:tplc="040E001B" w:tentative="1">
      <w:start w:val="1"/>
      <w:numFmt w:val="lowerRoman"/>
      <w:lvlText w:val="%6."/>
      <w:lvlJc w:val="right"/>
      <w:pPr>
        <w:ind w:left="4104" w:hanging="180"/>
      </w:pPr>
    </w:lvl>
    <w:lvl w:ilvl="6" w:tplc="040E000F" w:tentative="1">
      <w:start w:val="1"/>
      <w:numFmt w:val="decimal"/>
      <w:lvlText w:val="%7."/>
      <w:lvlJc w:val="left"/>
      <w:pPr>
        <w:ind w:left="4824" w:hanging="360"/>
      </w:pPr>
    </w:lvl>
    <w:lvl w:ilvl="7" w:tplc="040E0019" w:tentative="1">
      <w:start w:val="1"/>
      <w:numFmt w:val="lowerLetter"/>
      <w:lvlText w:val="%8."/>
      <w:lvlJc w:val="left"/>
      <w:pPr>
        <w:ind w:left="5544" w:hanging="360"/>
      </w:pPr>
    </w:lvl>
    <w:lvl w:ilvl="8" w:tplc="040E001B" w:tentative="1">
      <w:start w:val="1"/>
      <w:numFmt w:val="lowerRoman"/>
      <w:lvlText w:val="%9."/>
      <w:lvlJc w:val="right"/>
      <w:pPr>
        <w:ind w:left="6264" w:hanging="180"/>
      </w:pPr>
    </w:lvl>
  </w:abstractNum>
  <w:abstractNum w:abstractNumId="733" w15:restartNumberingAfterBreak="0">
    <w:nsid w:val="6B2247D7"/>
    <w:multiLevelType w:val="hybridMultilevel"/>
    <w:tmpl w:val="93AE1C36"/>
    <w:lvl w:ilvl="0" w:tplc="1FFA3E78">
      <w:start w:val="1"/>
      <w:numFmt w:val="decimal"/>
      <w:lvlText w:val="%1."/>
      <w:lvlJc w:val="left"/>
      <w:pPr>
        <w:ind w:left="644"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34" w15:restartNumberingAfterBreak="0">
    <w:nsid w:val="6B3B0D1C"/>
    <w:multiLevelType w:val="hybridMultilevel"/>
    <w:tmpl w:val="744C1B8E"/>
    <w:lvl w:ilvl="0" w:tplc="040E000F">
      <w:start w:val="1"/>
      <w:numFmt w:val="decimal"/>
      <w:lvlText w:val="%1."/>
      <w:lvlJc w:val="left"/>
      <w:pPr>
        <w:ind w:left="1211" w:hanging="360"/>
      </w:pPr>
      <w:rPr>
        <w:rFonts w:hint="default"/>
      </w:rPr>
    </w:lvl>
    <w:lvl w:ilvl="1" w:tplc="040E0019">
      <w:start w:val="1"/>
      <w:numFmt w:val="lowerLetter"/>
      <w:lvlText w:val="%2."/>
      <w:lvlJc w:val="left"/>
      <w:pPr>
        <w:ind w:left="1931" w:hanging="360"/>
      </w:pPr>
    </w:lvl>
    <w:lvl w:ilvl="2" w:tplc="040E001B" w:tentative="1">
      <w:start w:val="1"/>
      <w:numFmt w:val="lowerRoman"/>
      <w:lvlText w:val="%3."/>
      <w:lvlJc w:val="right"/>
      <w:pPr>
        <w:ind w:left="2651" w:hanging="180"/>
      </w:pPr>
    </w:lvl>
    <w:lvl w:ilvl="3" w:tplc="040E000F" w:tentative="1">
      <w:start w:val="1"/>
      <w:numFmt w:val="decimal"/>
      <w:lvlText w:val="%4."/>
      <w:lvlJc w:val="left"/>
      <w:pPr>
        <w:ind w:left="3371" w:hanging="360"/>
      </w:pPr>
    </w:lvl>
    <w:lvl w:ilvl="4" w:tplc="040E0019" w:tentative="1">
      <w:start w:val="1"/>
      <w:numFmt w:val="lowerLetter"/>
      <w:lvlText w:val="%5."/>
      <w:lvlJc w:val="left"/>
      <w:pPr>
        <w:ind w:left="4091" w:hanging="360"/>
      </w:pPr>
    </w:lvl>
    <w:lvl w:ilvl="5" w:tplc="040E001B" w:tentative="1">
      <w:start w:val="1"/>
      <w:numFmt w:val="lowerRoman"/>
      <w:lvlText w:val="%6."/>
      <w:lvlJc w:val="right"/>
      <w:pPr>
        <w:ind w:left="4811" w:hanging="180"/>
      </w:pPr>
    </w:lvl>
    <w:lvl w:ilvl="6" w:tplc="040E000F" w:tentative="1">
      <w:start w:val="1"/>
      <w:numFmt w:val="decimal"/>
      <w:lvlText w:val="%7."/>
      <w:lvlJc w:val="left"/>
      <w:pPr>
        <w:ind w:left="5531" w:hanging="360"/>
      </w:pPr>
    </w:lvl>
    <w:lvl w:ilvl="7" w:tplc="040E0019" w:tentative="1">
      <w:start w:val="1"/>
      <w:numFmt w:val="lowerLetter"/>
      <w:lvlText w:val="%8."/>
      <w:lvlJc w:val="left"/>
      <w:pPr>
        <w:ind w:left="6251" w:hanging="360"/>
      </w:pPr>
    </w:lvl>
    <w:lvl w:ilvl="8" w:tplc="040E001B" w:tentative="1">
      <w:start w:val="1"/>
      <w:numFmt w:val="lowerRoman"/>
      <w:lvlText w:val="%9."/>
      <w:lvlJc w:val="right"/>
      <w:pPr>
        <w:ind w:left="6971" w:hanging="180"/>
      </w:pPr>
    </w:lvl>
  </w:abstractNum>
  <w:abstractNum w:abstractNumId="735" w15:restartNumberingAfterBreak="0">
    <w:nsid w:val="6B5A1C85"/>
    <w:multiLevelType w:val="hybridMultilevel"/>
    <w:tmpl w:val="BD666B92"/>
    <w:lvl w:ilvl="0" w:tplc="F29CF34C">
      <w:start w:val="1"/>
      <w:numFmt w:val="bullet"/>
      <w:lvlText w:val=""/>
      <w:lvlJc w:val="left"/>
      <w:pPr>
        <w:ind w:left="1145" w:hanging="360"/>
      </w:pPr>
      <w:rPr>
        <w:rFonts w:ascii="Symbol" w:hAnsi="Symbol" w:hint="default"/>
      </w:rPr>
    </w:lvl>
    <w:lvl w:ilvl="1" w:tplc="040E0003">
      <w:start w:val="1"/>
      <w:numFmt w:val="bullet"/>
      <w:lvlText w:val="o"/>
      <w:lvlJc w:val="left"/>
      <w:pPr>
        <w:ind w:left="1865" w:hanging="360"/>
      </w:pPr>
      <w:rPr>
        <w:rFonts w:ascii="Courier New" w:hAnsi="Courier New" w:cs="Courier New" w:hint="default"/>
      </w:rPr>
    </w:lvl>
    <w:lvl w:ilvl="2" w:tplc="040E0005">
      <w:start w:val="1"/>
      <w:numFmt w:val="bullet"/>
      <w:lvlText w:val=""/>
      <w:lvlJc w:val="left"/>
      <w:pPr>
        <w:ind w:left="2585" w:hanging="360"/>
      </w:pPr>
      <w:rPr>
        <w:rFonts w:ascii="Wingdings" w:hAnsi="Wingdings" w:hint="default"/>
      </w:rPr>
    </w:lvl>
    <w:lvl w:ilvl="3" w:tplc="040E0001">
      <w:start w:val="1"/>
      <w:numFmt w:val="bullet"/>
      <w:lvlText w:val=""/>
      <w:lvlJc w:val="left"/>
      <w:pPr>
        <w:ind w:left="3305" w:hanging="360"/>
      </w:pPr>
      <w:rPr>
        <w:rFonts w:ascii="Symbol" w:hAnsi="Symbol" w:hint="default"/>
      </w:rPr>
    </w:lvl>
    <w:lvl w:ilvl="4" w:tplc="040E0003">
      <w:start w:val="1"/>
      <w:numFmt w:val="bullet"/>
      <w:lvlText w:val="o"/>
      <w:lvlJc w:val="left"/>
      <w:pPr>
        <w:ind w:left="4025" w:hanging="360"/>
      </w:pPr>
      <w:rPr>
        <w:rFonts w:ascii="Courier New" w:hAnsi="Courier New" w:cs="Courier New" w:hint="default"/>
      </w:rPr>
    </w:lvl>
    <w:lvl w:ilvl="5" w:tplc="040E0005">
      <w:start w:val="1"/>
      <w:numFmt w:val="bullet"/>
      <w:lvlText w:val=""/>
      <w:lvlJc w:val="left"/>
      <w:pPr>
        <w:ind w:left="4745" w:hanging="360"/>
      </w:pPr>
      <w:rPr>
        <w:rFonts w:ascii="Wingdings" w:hAnsi="Wingdings" w:hint="default"/>
      </w:rPr>
    </w:lvl>
    <w:lvl w:ilvl="6" w:tplc="040E0001">
      <w:start w:val="1"/>
      <w:numFmt w:val="bullet"/>
      <w:lvlText w:val=""/>
      <w:lvlJc w:val="left"/>
      <w:pPr>
        <w:ind w:left="5465" w:hanging="360"/>
      </w:pPr>
      <w:rPr>
        <w:rFonts w:ascii="Symbol" w:hAnsi="Symbol" w:hint="default"/>
      </w:rPr>
    </w:lvl>
    <w:lvl w:ilvl="7" w:tplc="040E0003">
      <w:start w:val="1"/>
      <w:numFmt w:val="bullet"/>
      <w:lvlText w:val="o"/>
      <w:lvlJc w:val="left"/>
      <w:pPr>
        <w:ind w:left="6185" w:hanging="360"/>
      </w:pPr>
      <w:rPr>
        <w:rFonts w:ascii="Courier New" w:hAnsi="Courier New" w:cs="Courier New" w:hint="default"/>
      </w:rPr>
    </w:lvl>
    <w:lvl w:ilvl="8" w:tplc="040E0005">
      <w:start w:val="1"/>
      <w:numFmt w:val="bullet"/>
      <w:lvlText w:val=""/>
      <w:lvlJc w:val="left"/>
      <w:pPr>
        <w:ind w:left="6905" w:hanging="360"/>
      </w:pPr>
      <w:rPr>
        <w:rFonts w:ascii="Wingdings" w:hAnsi="Wingdings" w:hint="default"/>
      </w:rPr>
    </w:lvl>
  </w:abstractNum>
  <w:abstractNum w:abstractNumId="736" w15:restartNumberingAfterBreak="0">
    <w:nsid w:val="6B5A28A2"/>
    <w:multiLevelType w:val="hybridMultilevel"/>
    <w:tmpl w:val="B718A68E"/>
    <w:lvl w:ilvl="0" w:tplc="C37C295A">
      <w:start w:val="1"/>
      <w:numFmt w:val="decimal"/>
      <w:lvlText w:val="%1."/>
      <w:lvlJc w:val="left"/>
      <w:pPr>
        <w:ind w:left="1222" w:hanging="360"/>
      </w:pPr>
      <w:rPr>
        <w:rFonts w:hint="default"/>
      </w:rPr>
    </w:lvl>
    <w:lvl w:ilvl="1" w:tplc="040E0019" w:tentative="1">
      <w:start w:val="1"/>
      <w:numFmt w:val="lowerLetter"/>
      <w:lvlText w:val="%2."/>
      <w:lvlJc w:val="left"/>
      <w:pPr>
        <w:ind w:left="1942" w:hanging="360"/>
      </w:pPr>
    </w:lvl>
    <w:lvl w:ilvl="2" w:tplc="040E001B" w:tentative="1">
      <w:start w:val="1"/>
      <w:numFmt w:val="lowerRoman"/>
      <w:lvlText w:val="%3."/>
      <w:lvlJc w:val="right"/>
      <w:pPr>
        <w:ind w:left="2662" w:hanging="180"/>
      </w:pPr>
    </w:lvl>
    <w:lvl w:ilvl="3" w:tplc="040E000F" w:tentative="1">
      <w:start w:val="1"/>
      <w:numFmt w:val="decimal"/>
      <w:lvlText w:val="%4."/>
      <w:lvlJc w:val="left"/>
      <w:pPr>
        <w:ind w:left="3382" w:hanging="360"/>
      </w:pPr>
    </w:lvl>
    <w:lvl w:ilvl="4" w:tplc="040E0019" w:tentative="1">
      <w:start w:val="1"/>
      <w:numFmt w:val="lowerLetter"/>
      <w:lvlText w:val="%5."/>
      <w:lvlJc w:val="left"/>
      <w:pPr>
        <w:ind w:left="4102" w:hanging="360"/>
      </w:pPr>
    </w:lvl>
    <w:lvl w:ilvl="5" w:tplc="040E001B" w:tentative="1">
      <w:start w:val="1"/>
      <w:numFmt w:val="lowerRoman"/>
      <w:lvlText w:val="%6."/>
      <w:lvlJc w:val="right"/>
      <w:pPr>
        <w:ind w:left="4822" w:hanging="180"/>
      </w:pPr>
    </w:lvl>
    <w:lvl w:ilvl="6" w:tplc="040E000F" w:tentative="1">
      <w:start w:val="1"/>
      <w:numFmt w:val="decimal"/>
      <w:lvlText w:val="%7."/>
      <w:lvlJc w:val="left"/>
      <w:pPr>
        <w:ind w:left="5542" w:hanging="360"/>
      </w:pPr>
    </w:lvl>
    <w:lvl w:ilvl="7" w:tplc="040E0019" w:tentative="1">
      <w:start w:val="1"/>
      <w:numFmt w:val="lowerLetter"/>
      <w:lvlText w:val="%8."/>
      <w:lvlJc w:val="left"/>
      <w:pPr>
        <w:ind w:left="6262" w:hanging="360"/>
      </w:pPr>
    </w:lvl>
    <w:lvl w:ilvl="8" w:tplc="040E001B" w:tentative="1">
      <w:start w:val="1"/>
      <w:numFmt w:val="lowerRoman"/>
      <w:lvlText w:val="%9."/>
      <w:lvlJc w:val="right"/>
      <w:pPr>
        <w:ind w:left="6982" w:hanging="180"/>
      </w:pPr>
    </w:lvl>
  </w:abstractNum>
  <w:abstractNum w:abstractNumId="737" w15:restartNumberingAfterBreak="0">
    <w:nsid w:val="6B9A4E73"/>
    <w:multiLevelType w:val="hybridMultilevel"/>
    <w:tmpl w:val="08922C00"/>
    <w:lvl w:ilvl="0" w:tplc="C3FAE52A">
      <w:numFmt w:val="bullet"/>
      <w:lvlText w:val="-"/>
      <w:lvlJc w:val="left"/>
      <w:pPr>
        <w:ind w:left="786" w:hanging="360"/>
      </w:pPr>
      <w:rPr>
        <w:rFonts w:ascii="Times New Roman" w:eastAsiaTheme="minorHAnsi" w:hAnsi="Times New Roman" w:cs="Times New Roman" w:hint="default"/>
      </w:rPr>
    </w:lvl>
    <w:lvl w:ilvl="1" w:tplc="040E0003">
      <w:start w:val="1"/>
      <w:numFmt w:val="bullet"/>
      <w:lvlText w:val="o"/>
      <w:lvlJc w:val="left"/>
      <w:pPr>
        <w:ind w:left="1506" w:hanging="360"/>
      </w:pPr>
      <w:rPr>
        <w:rFonts w:ascii="Courier New" w:hAnsi="Courier New" w:cs="Courier New" w:hint="default"/>
      </w:rPr>
    </w:lvl>
    <w:lvl w:ilvl="2" w:tplc="040E0005">
      <w:start w:val="1"/>
      <w:numFmt w:val="bullet"/>
      <w:lvlText w:val=""/>
      <w:lvlJc w:val="left"/>
      <w:pPr>
        <w:ind w:left="2226" w:hanging="360"/>
      </w:pPr>
      <w:rPr>
        <w:rFonts w:ascii="Wingdings" w:hAnsi="Wingdings" w:hint="default"/>
      </w:rPr>
    </w:lvl>
    <w:lvl w:ilvl="3" w:tplc="040E0001">
      <w:start w:val="1"/>
      <w:numFmt w:val="bullet"/>
      <w:lvlText w:val=""/>
      <w:lvlJc w:val="left"/>
      <w:pPr>
        <w:ind w:left="2946" w:hanging="360"/>
      </w:pPr>
      <w:rPr>
        <w:rFonts w:ascii="Symbol" w:hAnsi="Symbol" w:hint="default"/>
      </w:rPr>
    </w:lvl>
    <w:lvl w:ilvl="4" w:tplc="040E0003">
      <w:start w:val="1"/>
      <w:numFmt w:val="bullet"/>
      <w:lvlText w:val="o"/>
      <w:lvlJc w:val="left"/>
      <w:pPr>
        <w:ind w:left="3666" w:hanging="360"/>
      </w:pPr>
      <w:rPr>
        <w:rFonts w:ascii="Courier New" w:hAnsi="Courier New" w:cs="Courier New" w:hint="default"/>
      </w:rPr>
    </w:lvl>
    <w:lvl w:ilvl="5" w:tplc="040E0005">
      <w:start w:val="1"/>
      <w:numFmt w:val="bullet"/>
      <w:lvlText w:val=""/>
      <w:lvlJc w:val="left"/>
      <w:pPr>
        <w:ind w:left="4386" w:hanging="360"/>
      </w:pPr>
      <w:rPr>
        <w:rFonts w:ascii="Wingdings" w:hAnsi="Wingdings" w:hint="default"/>
      </w:rPr>
    </w:lvl>
    <w:lvl w:ilvl="6" w:tplc="040E0001">
      <w:start w:val="1"/>
      <w:numFmt w:val="bullet"/>
      <w:lvlText w:val=""/>
      <w:lvlJc w:val="left"/>
      <w:pPr>
        <w:ind w:left="5106" w:hanging="360"/>
      </w:pPr>
      <w:rPr>
        <w:rFonts w:ascii="Symbol" w:hAnsi="Symbol" w:hint="default"/>
      </w:rPr>
    </w:lvl>
    <w:lvl w:ilvl="7" w:tplc="040E0003">
      <w:start w:val="1"/>
      <w:numFmt w:val="bullet"/>
      <w:lvlText w:val="o"/>
      <w:lvlJc w:val="left"/>
      <w:pPr>
        <w:ind w:left="5826" w:hanging="360"/>
      </w:pPr>
      <w:rPr>
        <w:rFonts w:ascii="Courier New" w:hAnsi="Courier New" w:cs="Courier New" w:hint="default"/>
      </w:rPr>
    </w:lvl>
    <w:lvl w:ilvl="8" w:tplc="040E0005">
      <w:start w:val="1"/>
      <w:numFmt w:val="bullet"/>
      <w:lvlText w:val=""/>
      <w:lvlJc w:val="left"/>
      <w:pPr>
        <w:ind w:left="6546" w:hanging="360"/>
      </w:pPr>
      <w:rPr>
        <w:rFonts w:ascii="Wingdings" w:hAnsi="Wingdings" w:hint="default"/>
      </w:rPr>
    </w:lvl>
  </w:abstractNum>
  <w:abstractNum w:abstractNumId="738" w15:restartNumberingAfterBreak="0">
    <w:nsid w:val="6C1E171F"/>
    <w:multiLevelType w:val="multilevel"/>
    <w:tmpl w:val="49B881F0"/>
    <w:lvl w:ilvl="0">
      <w:start w:val="1"/>
      <w:numFmt w:val="decimal"/>
      <w:lvlText w:val="%1."/>
      <w:lvlJc w:val="left"/>
      <w:pPr>
        <w:tabs>
          <w:tab w:val="num" w:pos="360"/>
        </w:tabs>
        <w:ind w:left="360" w:hanging="360"/>
      </w:pPr>
      <w:rPr>
        <w:rFonts w:cs="Times New Roman" w:hint="default"/>
        <w:b w:val="0"/>
        <w:i w:val="0"/>
        <w:sz w:val="24"/>
      </w:rPr>
    </w:lvl>
    <w:lvl w:ilvl="1">
      <w:start w:val="1"/>
      <w:numFmt w:val="decimal"/>
      <w:lvlText w:val="%1.%2."/>
      <w:lvlJc w:val="left"/>
      <w:pPr>
        <w:tabs>
          <w:tab w:val="num" w:pos="792"/>
        </w:tabs>
        <w:ind w:left="792" w:hanging="432"/>
      </w:pPr>
      <w:rPr>
        <w:rFonts w:cs="Times New Roman"/>
        <w:b/>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739" w15:restartNumberingAfterBreak="0">
    <w:nsid w:val="6C33393E"/>
    <w:multiLevelType w:val="hybridMultilevel"/>
    <w:tmpl w:val="77A6A258"/>
    <w:lvl w:ilvl="0" w:tplc="B7A851BA">
      <w:start w:val="1"/>
      <w:numFmt w:val="decimal"/>
      <w:lvlText w:val="%1."/>
      <w:lvlJc w:val="left"/>
      <w:pPr>
        <w:ind w:left="786" w:hanging="360"/>
      </w:pPr>
      <w:rPr>
        <w:rFonts w:hint="default"/>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40" w15:restartNumberingAfterBreak="0">
    <w:nsid w:val="6C5836B4"/>
    <w:multiLevelType w:val="hybridMultilevel"/>
    <w:tmpl w:val="8B5E1B78"/>
    <w:lvl w:ilvl="0" w:tplc="A67EAFC4">
      <w:numFmt w:val="bullet"/>
      <w:lvlText w:val="-"/>
      <w:lvlJc w:val="left"/>
      <w:pPr>
        <w:ind w:left="786" w:hanging="360"/>
      </w:pPr>
      <w:rPr>
        <w:rFonts w:ascii="Times New Roman" w:eastAsia="Times New Roman" w:hAnsi="Times New Roman" w:cs="Times New Roman"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741" w15:restartNumberingAfterBreak="0">
    <w:nsid w:val="6CA54834"/>
    <w:multiLevelType w:val="hybridMultilevel"/>
    <w:tmpl w:val="72C46DD6"/>
    <w:lvl w:ilvl="0" w:tplc="FB44F5DC">
      <w:numFmt w:val="bullet"/>
      <w:lvlText w:val="-"/>
      <w:lvlJc w:val="left"/>
      <w:pPr>
        <w:ind w:left="720" w:hanging="360"/>
      </w:pPr>
      <w:rPr>
        <w:rFonts w:ascii="Times New Roman" w:eastAsia="Times New Roman"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742" w15:restartNumberingAfterBreak="0">
    <w:nsid w:val="6CC350E9"/>
    <w:multiLevelType w:val="multilevel"/>
    <w:tmpl w:val="CC685388"/>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4"/>
        <w:szCs w:val="24"/>
        <w:u w:val="none"/>
        <w:effect w:val="none"/>
        <w:vertAlign w:val="baseline"/>
      </w:rPr>
    </w:lvl>
    <w:lvl w:ilvl="1">
      <w:start w:val="1"/>
      <w:numFmt w:val="decimal"/>
      <w:lvlText w:val="%1.%2."/>
      <w:lvlJc w:val="left"/>
      <w:pPr>
        <w:tabs>
          <w:tab w:val="num" w:pos="3977"/>
        </w:tabs>
        <w:ind w:left="3977" w:hanging="432"/>
      </w:pPr>
      <w:rPr>
        <w:rFonts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743" w15:restartNumberingAfterBreak="0">
    <w:nsid w:val="6D9F32FB"/>
    <w:multiLevelType w:val="multilevel"/>
    <w:tmpl w:val="7D42A8D0"/>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744" w15:restartNumberingAfterBreak="0">
    <w:nsid w:val="6DBA3FA7"/>
    <w:multiLevelType w:val="hybridMultilevel"/>
    <w:tmpl w:val="3A5A224C"/>
    <w:lvl w:ilvl="0" w:tplc="7DF221C4">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45" w15:restartNumberingAfterBreak="0">
    <w:nsid w:val="6E6B4554"/>
    <w:multiLevelType w:val="multilevel"/>
    <w:tmpl w:val="0A1C254C"/>
    <w:lvl w:ilvl="0">
      <w:start w:val="1"/>
      <w:numFmt w:val="decimal"/>
      <w:lvlText w:val="%1."/>
      <w:lvlJc w:val="left"/>
      <w:pPr>
        <w:tabs>
          <w:tab w:val="num" w:pos="360"/>
        </w:tabs>
        <w:ind w:left="360" w:hanging="360"/>
      </w:pPr>
      <w:rPr>
        <w:rFonts w:cs="Times New Roman" w:hint="default"/>
        <w:b/>
        <w:i w:val="0"/>
        <w:sz w:val="24"/>
      </w:rPr>
    </w:lvl>
    <w:lvl w:ilvl="1">
      <w:start w:val="1"/>
      <w:numFmt w:val="decimal"/>
      <w:lvlText w:val="%1.%2."/>
      <w:lvlJc w:val="left"/>
      <w:pPr>
        <w:tabs>
          <w:tab w:val="num" w:pos="792"/>
        </w:tabs>
        <w:ind w:left="792" w:hanging="432"/>
      </w:pPr>
      <w:rPr>
        <w:rFonts w:cs="Times New Roman"/>
        <w:b/>
        <w:i w:val="0"/>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746" w15:restartNumberingAfterBreak="0">
    <w:nsid w:val="6E9355D1"/>
    <w:multiLevelType w:val="hybridMultilevel"/>
    <w:tmpl w:val="A46EB244"/>
    <w:lvl w:ilvl="0" w:tplc="E4CE397C">
      <w:start w:val="1"/>
      <w:numFmt w:val="decimal"/>
      <w:lvlText w:val="%1."/>
      <w:lvlJc w:val="left"/>
      <w:pPr>
        <w:ind w:left="786" w:hanging="360"/>
      </w:pPr>
      <w:rPr>
        <w:rFonts w:hint="default"/>
      </w:rPr>
    </w:lvl>
    <w:lvl w:ilvl="1" w:tplc="040E0019" w:tentative="1">
      <w:start w:val="1"/>
      <w:numFmt w:val="lowerLetter"/>
      <w:lvlText w:val="%2."/>
      <w:lvlJc w:val="left"/>
      <w:pPr>
        <w:ind w:left="1506" w:hanging="360"/>
      </w:pPr>
    </w:lvl>
    <w:lvl w:ilvl="2" w:tplc="040E001B" w:tentative="1">
      <w:start w:val="1"/>
      <w:numFmt w:val="lowerRoman"/>
      <w:lvlText w:val="%3."/>
      <w:lvlJc w:val="right"/>
      <w:pPr>
        <w:ind w:left="2226" w:hanging="180"/>
      </w:pPr>
    </w:lvl>
    <w:lvl w:ilvl="3" w:tplc="040E000F" w:tentative="1">
      <w:start w:val="1"/>
      <w:numFmt w:val="decimal"/>
      <w:lvlText w:val="%4."/>
      <w:lvlJc w:val="left"/>
      <w:pPr>
        <w:ind w:left="2946" w:hanging="360"/>
      </w:pPr>
    </w:lvl>
    <w:lvl w:ilvl="4" w:tplc="040E0019" w:tentative="1">
      <w:start w:val="1"/>
      <w:numFmt w:val="lowerLetter"/>
      <w:lvlText w:val="%5."/>
      <w:lvlJc w:val="left"/>
      <w:pPr>
        <w:ind w:left="3666" w:hanging="360"/>
      </w:pPr>
    </w:lvl>
    <w:lvl w:ilvl="5" w:tplc="040E001B" w:tentative="1">
      <w:start w:val="1"/>
      <w:numFmt w:val="lowerRoman"/>
      <w:lvlText w:val="%6."/>
      <w:lvlJc w:val="right"/>
      <w:pPr>
        <w:ind w:left="4386" w:hanging="180"/>
      </w:pPr>
    </w:lvl>
    <w:lvl w:ilvl="6" w:tplc="040E000F" w:tentative="1">
      <w:start w:val="1"/>
      <w:numFmt w:val="decimal"/>
      <w:lvlText w:val="%7."/>
      <w:lvlJc w:val="left"/>
      <w:pPr>
        <w:ind w:left="5106" w:hanging="360"/>
      </w:pPr>
    </w:lvl>
    <w:lvl w:ilvl="7" w:tplc="040E0019" w:tentative="1">
      <w:start w:val="1"/>
      <w:numFmt w:val="lowerLetter"/>
      <w:lvlText w:val="%8."/>
      <w:lvlJc w:val="left"/>
      <w:pPr>
        <w:ind w:left="5826" w:hanging="360"/>
      </w:pPr>
    </w:lvl>
    <w:lvl w:ilvl="8" w:tplc="040E001B" w:tentative="1">
      <w:start w:val="1"/>
      <w:numFmt w:val="lowerRoman"/>
      <w:lvlText w:val="%9."/>
      <w:lvlJc w:val="right"/>
      <w:pPr>
        <w:ind w:left="6546" w:hanging="180"/>
      </w:pPr>
    </w:lvl>
  </w:abstractNum>
  <w:abstractNum w:abstractNumId="747" w15:restartNumberingAfterBreak="0">
    <w:nsid w:val="6ECC6112"/>
    <w:multiLevelType w:val="hybridMultilevel"/>
    <w:tmpl w:val="4CC46D96"/>
    <w:lvl w:ilvl="0" w:tplc="F90AA5CA">
      <w:numFmt w:val="bullet"/>
      <w:lvlText w:val="-"/>
      <w:lvlJc w:val="left"/>
      <w:pPr>
        <w:ind w:left="1146" w:hanging="360"/>
      </w:pPr>
      <w:rPr>
        <w:rFonts w:ascii="Times New Roman" w:eastAsia="Times New Roman" w:hAnsi="Times New Roman"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748" w15:restartNumberingAfterBreak="0">
    <w:nsid w:val="6F12533A"/>
    <w:multiLevelType w:val="hybridMultilevel"/>
    <w:tmpl w:val="24066B74"/>
    <w:lvl w:ilvl="0" w:tplc="8F461C30">
      <w:start w:val="1"/>
      <w:numFmt w:val="decimal"/>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49" w15:restartNumberingAfterBreak="0">
    <w:nsid w:val="6F391C14"/>
    <w:multiLevelType w:val="hybridMultilevel"/>
    <w:tmpl w:val="DE9E0B72"/>
    <w:lvl w:ilvl="0" w:tplc="4AC28410">
      <w:start w:val="1"/>
      <w:numFmt w:val="decimal"/>
      <w:lvlText w:val="%1."/>
      <w:lvlJc w:val="left"/>
      <w:pPr>
        <w:ind w:left="644"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50" w15:restartNumberingAfterBreak="0">
    <w:nsid w:val="6F63689F"/>
    <w:multiLevelType w:val="multilevel"/>
    <w:tmpl w:val="2C008104"/>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751" w15:restartNumberingAfterBreak="0">
    <w:nsid w:val="6F6C4706"/>
    <w:multiLevelType w:val="multilevel"/>
    <w:tmpl w:val="2BEEC602"/>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4"/>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752" w15:restartNumberingAfterBreak="0">
    <w:nsid w:val="6F94614F"/>
    <w:multiLevelType w:val="multilevel"/>
    <w:tmpl w:val="7C0AEE18"/>
    <w:lvl w:ilvl="0">
      <w:start w:val="1"/>
      <w:numFmt w:val="decimal"/>
      <w:lvlText w:val="%1."/>
      <w:lvlJc w:val="right"/>
      <w:pPr>
        <w:tabs>
          <w:tab w:val="num" w:pos="720"/>
        </w:tabs>
        <w:ind w:left="720" w:hanging="360"/>
      </w:pPr>
      <w:rPr>
        <w:rFonts w:ascii="Times New Roman" w:hAnsi="Times New Roman" w:cs="Times New Roman" w:hint="default"/>
        <w:b w:val="0"/>
        <w:i w:val="0"/>
        <w:caps w:val="0"/>
        <w:strike w:val="0"/>
        <w:dstrike w:val="0"/>
        <w:vanish w:val="0"/>
        <w:color w:val="000000"/>
        <w:sz w:val="24"/>
        <w:szCs w:val="24"/>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753" w15:restartNumberingAfterBreak="0">
    <w:nsid w:val="70292205"/>
    <w:multiLevelType w:val="hybridMultilevel"/>
    <w:tmpl w:val="A67EA622"/>
    <w:lvl w:ilvl="0" w:tplc="6A20B306">
      <w:start w:val="1"/>
      <w:numFmt w:val="decimal"/>
      <w:lvlText w:val="%1."/>
      <w:lvlJc w:val="left"/>
      <w:pPr>
        <w:ind w:left="1364" w:hanging="360"/>
      </w:pPr>
      <w:rPr>
        <w:rFonts w:eastAsiaTheme="minorHAnsi"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54" w15:restartNumberingAfterBreak="0">
    <w:nsid w:val="70372D7D"/>
    <w:multiLevelType w:val="hybridMultilevel"/>
    <w:tmpl w:val="B27243C2"/>
    <w:lvl w:ilvl="0" w:tplc="63763D6C">
      <w:start w:val="1"/>
      <w:numFmt w:val="decimal"/>
      <w:lvlText w:val="%1."/>
      <w:lvlJc w:val="left"/>
      <w:pPr>
        <w:ind w:left="720" w:hanging="360"/>
      </w:pPr>
      <w:rPr>
        <w:rFonts w:eastAsiaTheme="minorHAnsi"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55" w15:restartNumberingAfterBreak="0">
    <w:nsid w:val="703F02E8"/>
    <w:multiLevelType w:val="multilevel"/>
    <w:tmpl w:val="BF8842D4"/>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756" w15:restartNumberingAfterBreak="0">
    <w:nsid w:val="704D7FD3"/>
    <w:multiLevelType w:val="multilevel"/>
    <w:tmpl w:val="B5D6801A"/>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757" w15:restartNumberingAfterBreak="0">
    <w:nsid w:val="70594B09"/>
    <w:multiLevelType w:val="hybridMultilevel"/>
    <w:tmpl w:val="A858CBCA"/>
    <w:lvl w:ilvl="0" w:tplc="1C4CD4EC">
      <w:start w:val="1"/>
      <w:numFmt w:val="decimal"/>
      <w:lvlText w:val="%1."/>
      <w:lvlJc w:val="left"/>
      <w:pPr>
        <w:ind w:left="644"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58" w15:restartNumberingAfterBreak="0">
    <w:nsid w:val="708560B0"/>
    <w:multiLevelType w:val="hybridMultilevel"/>
    <w:tmpl w:val="744C1B8E"/>
    <w:lvl w:ilvl="0" w:tplc="040E000F">
      <w:start w:val="1"/>
      <w:numFmt w:val="decimal"/>
      <w:lvlText w:val="%1."/>
      <w:lvlJc w:val="left"/>
      <w:pPr>
        <w:ind w:left="1211" w:hanging="360"/>
      </w:pPr>
      <w:rPr>
        <w:rFonts w:hint="default"/>
      </w:rPr>
    </w:lvl>
    <w:lvl w:ilvl="1" w:tplc="040E0019">
      <w:start w:val="1"/>
      <w:numFmt w:val="lowerLetter"/>
      <w:lvlText w:val="%2."/>
      <w:lvlJc w:val="left"/>
      <w:pPr>
        <w:ind w:left="1931" w:hanging="360"/>
      </w:pPr>
    </w:lvl>
    <w:lvl w:ilvl="2" w:tplc="040E001B" w:tentative="1">
      <w:start w:val="1"/>
      <w:numFmt w:val="lowerRoman"/>
      <w:lvlText w:val="%3."/>
      <w:lvlJc w:val="right"/>
      <w:pPr>
        <w:ind w:left="2651" w:hanging="180"/>
      </w:pPr>
    </w:lvl>
    <w:lvl w:ilvl="3" w:tplc="040E000F" w:tentative="1">
      <w:start w:val="1"/>
      <w:numFmt w:val="decimal"/>
      <w:lvlText w:val="%4."/>
      <w:lvlJc w:val="left"/>
      <w:pPr>
        <w:ind w:left="3371" w:hanging="360"/>
      </w:pPr>
    </w:lvl>
    <w:lvl w:ilvl="4" w:tplc="040E0019" w:tentative="1">
      <w:start w:val="1"/>
      <w:numFmt w:val="lowerLetter"/>
      <w:lvlText w:val="%5."/>
      <w:lvlJc w:val="left"/>
      <w:pPr>
        <w:ind w:left="4091" w:hanging="360"/>
      </w:pPr>
    </w:lvl>
    <w:lvl w:ilvl="5" w:tplc="040E001B" w:tentative="1">
      <w:start w:val="1"/>
      <w:numFmt w:val="lowerRoman"/>
      <w:lvlText w:val="%6."/>
      <w:lvlJc w:val="right"/>
      <w:pPr>
        <w:ind w:left="4811" w:hanging="180"/>
      </w:pPr>
    </w:lvl>
    <w:lvl w:ilvl="6" w:tplc="040E000F" w:tentative="1">
      <w:start w:val="1"/>
      <w:numFmt w:val="decimal"/>
      <w:lvlText w:val="%7."/>
      <w:lvlJc w:val="left"/>
      <w:pPr>
        <w:ind w:left="5531" w:hanging="360"/>
      </w:pPr>
    </w:lvl>
    <w:lvl w:ilvl="7" w:tplc="040E0019" w:tentative="1">
      <w:start w:val="1"/>
      <w:numFmt w:val="lowerLetter"/>
      <w:lvlText w:val="%8."/>
      <w:lvlJc w:val="left"/>
      <w:pPr>
        <w:ind w:left="6251" w:hanging="360"/>
      </w:pPr>
    </w:lvl>
    <w:lvl w:ilvl="8" w:tplc="040E001B" w:tentative="1">
      <w:start w:val="1"/>
      <w:numFmt w:val="lowerRoman"/>
      <w:lvlText w:val="%9."/>
      <w:lvlJc w:val="right"/>
      <w:pPr>
        <w:ind w:left="6971" w:hanging="180"/>
      </w:pPr>
    </w:lvl>
  </w:abstractNum>
  <w:abstractNum w:abstractNumId="759" w15:restartNumberingAfterBreak="0">
    <w:nsid w:val="70AF3FFF"/>
    <w:multiLevelType w:val="hybridMultilevel"/>
    <w:tmpl w:val="6D7CBB78"/>
    <w:lvl w:ilvl="0" w:tplc="80500600">
      <w:start w:val="8"/>
      <w:numFmt w:val="bullet"/>
      <w:lvlText w:val="-"/>
      <w:lvlJc w:val="left"/>
      <w:pPr>
        <w:ind w:left="786" w:hanging="360"/>
      </w:pPr>
      <w:rPr>
        <w:rFonts w:ascii="Times New Roman" w:eastAsia="Times New Roman" w:hAnsi="Times New Roman" w:cs="Times New Roman"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760" w15:restartNumberingAfterBreak="0">
    <w:nsid w:val="70BB1421"/>
    <w:multiLevelType w:val="multilevel"/>
    <w:tmpl w:val="F7DEA386"/>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761" w15:restartNumberingAfterBreak="0">
    <w:nsid w:val="70FD58C4"/>
    <w:multiLevelType w:val="hybridMultilevel"/>
    <w:tmpl w:val="37C014FC"/>
    <w:lvl w:ilvl="0" w:tplc="3BDCCA64">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762" w15:restartNumberingAfterBreak="0">
    <w:nsid w:val="71052AFB"/>
    <w:multiLevelType w:val="hybridMultilevel"/>
    <w:tmpl w:val="0F7678FC"/>
    <w:lvl w:ilvl="0" w:tplc="D2825B24">
      <w:start w:val="1"/>
      <w:numFmt w:val="decimal"/>
      <w:lvlText w:val="%1."/>
      <w:lvlJc w:val="left"/>
      <w:pPr>
        <w:ind w:left="108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63" w15:restartNumberingAfterBreak="0">
    <w:nsid w:val="71146980"/>
    <w:multiLevelType w:val="multilevel"/>
    <w:tmpl w:val="9F808D50"/>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764" w15:restartNumberingAfterBreak="0">
    <w:nsid w:val="71341AD0"/>
    <w:multiLevelType w:val="multilevel"/>
    <w:tmpl w:val="50F427CA"/>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765" w15:restartNumberingAfterBreak="0">
    <w:nsid w:val="715068A6"/>
    <w:multiLevelType w:val="multilevel"/>
    <w:tmpl w:val="6972A62E"/>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766" w15:restartNumberingAfterBreak="0">
    <w:nsid w:val="7165055C"/>
    <w:multiLevelType w:val="hybridMultilevel"/>
    <w:tmpl w:val="9BA480CC"/>
    <w:lvl w:ilvl="0" w:tplc="94AC0ADC">
      <w:start w:val="1"/>
      <w:numFmt w:val="decimal"/>
      <w:lvlText w:val="%1."/>
      <w:lvlJc w:val="left"/>
      <w:pPr>
        <w:ind w:left="1068" w:hanging="360"/>
      </w:pPr>
      <w:rPr>
        <w:rFonts w:hint="default"/>
      </w:rPr>
    </w:lvl>
    <w:lvl w:ilvl="1" w:tplc="040E0019" w:tentative="1">
      <w:start w:val="1"/>
      <w:numFmt w:val="lowerLetter"/>
      <w:lvlText w:val="%2."/>
      <w:lvlJc w:val="left"/>
      <w:pPr>
        <w:ind w:left="927" w:hanging="360"/>
      </w:pPr>
    </w:lvl>
    <w:lvl w:ilvl="2" w:tplc="040E001B" w:tentative="1">
      <w:start w:val="1"/>
      <w:numFmt w:val="lowerRoman"/>
      <w:lvlText w:val="%3."/>
      <w:lvlJc w:val="right"/>
      <w:pPr>
        <w:ind w:left="1647" w:hanging="180"/>
      </w:pPr>
    </w:lvl>
    <w:lvl w:ilvl="3" w:tplc="040E000F" w:tentative="1">
      <w:start w:val="1"/>
      <w:numFmt w:val="decimal"/>
      <w:lvlText w:val="%4."/>
      <w:lvlJc w:val="left"/>
      <w:pPr>
        <w:ind w:left="2367" w:hanging="360"/>
      </w:pPr>
    </w:lvl>
    <w:lvl w:ilvl="4" w:tplc="040E0019" w:tentative="1">
      <w:start w:val="1"/>
      <w:numFmt w:val="lowerLetter"/>
      <w:lvlText w:val="%5."/>
      <w:lvlJc w:val="left"/>
      <w:pPr>
        <w:ind w:left="3087" w:hanging="360"/>
      </w:pPr>
    </w:lvl>
    <w:lvl w:ilvl="5" w:tplc="040E001B" w:tentative="1">
      <w:start w:val="1"/>
      <w:numFmt w:val="lowerRoman"/>
      <w:lvlText w:val="%6."/>
      <w:lvlJc w:val="right"/>
      <w:pPr>
        <w:ind w:left="3807" w:hanging="180"/>
      </w:pPr>
    </w:lvl>
    <w:lvl w:ilvl="6" w:tplc="040E000F" w:tentative="1">
      <w:start w:val="1"/>
      <w:numFmt w:val="decimal"/>
      <w:lvlText w:val="%7."/>
      <w:lvlJc w:val="left"/>
      <w:pPr>
        <w:ind w:left="4527" w:hanging="360"/>
      </w:pPr>
    </w:lvl>
    <w:lvl w:ilvl="7" w:tplc="040E0019" w:tentative="1">
      <w:start w:val="1"/>
      <w:numFmt w:val="lowerLetter"/>
      <w:lvlText w:val="%8."/>
      <w:lvlJc w:val="left"/>
      <w:pPr>
        <w:ind w:left="5247" w:hanging="360"/>
      </w:pPr>
    </w:lvl>
    <w:lvl w:ilvl="8" w:tplc="040E001B" w:tentative="1">
      <w:start w:val="1"/>
      <w:numFmt w:val="lowerRoman"/>
      <w:lvlText w:val="%9."/>
      <w:lvlJc w:val="right"/>
      <w:pPr>
        <w:ind w:left="5967" w:hanging="180"/>
      </w:pPr>
    </w:lvl>
  </w:abstractNum>
  <w:abstractNum w:abstractNumId="767" w15:restartNumberingAfterBreak="0">
    <w:nsid w:val="71923C80"/>
    <w:multiLevelType w:val="multilevel"/>
    <w:tmpl w:val="9C62F8D6"/>
    <w:lvl w:ilvl="0">
      <w:start w:val="1"/>
      <w:numFmt w:val="decimal"/>
      <w:lvlText w:val="%1."/>
      <w:lvlJc w:val="left"/>
      <w:pPr>
        <w:tabs>
          <w:tab w:val="num" w:pos="720"/>
        </w:tabs>
        <w:ind w:left="720" w:hanging="360"/>
      </w:pPr>
      <w:rPr>
        <w:rFonts w:hint="default"/>
        <w:b/>
        <w:i w:val="0"/>
        <w:caps w:val="0"/>
        <w:strike w:val="0"/>
        <w:dstrike w:val="0"/>
        <w:vanish w:val="0"/>
        <w:color w:val="000000"/>
        <w:sz w:val="24"/>
        <w:szCs w:val="24"/>
        <w:u w:val="none"/>
        <w:effect w:val="none"/>
        <w:vertAlign w:val="baseline"/>
      </w:rPr>
    </w:lvl>
    <w:lvl w:ilvl="1">
      <w:start w:val="1"/>
      <w:numFmt w:val="decimal"/>
      <w:lvlText w:val="%1.%2."/>
      <w:lvlJc w:val="left"/>
      <w:pPr>
        <w:tabs>
          <w:tab w:val="num" w:pos="3977"/>
        </w:tabs>
        <w:ind w:left="3977" w:hanging="432"/>
      </w:pPr>
      <w:rPr>
        <w:rFonts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768" w15:restartNumberingAfterBreak="0">
    <w:nsid w:val="71C84428"/>
    <w:multiLevelType w:val="hybridMultilevel"/>
    <w:tmpl w:val="D0304EDA"/>
    <w:lvl w:ilvl="0" w:tplc="F29CF34C">
      <w:start w:val="1"/>
      <w:numFmt w:val="bullet"/>
      <w:lvlText w:val=""/>
      <w:lvlJc w:val="left"/>
      <w:pPr>
        <w:ind w:left="1145" w:hanging="360"/>
      </w:pPr>
      <w:rPr>
        <w:rFonts w:ascii="Symbol" w:hAnsi="Symbol" w:hint="default"/>
      </w:rPr>
    </w:lvl>
    <w:lvl w:ilvl="1" w:tplc="040E0003">
      <w:start w:val="1"/>
      <w:numFmt w:val="bullet"/>
      <w:lvlText w:val="o"/>
      <w:lvlJc w:val="left"/>
      <w:pPr>
        <w:ind w:left="1865" w:hanging="360"/>
      </w:pPr>
      <w:rPr>
        <w:rFonts w:ascii="Courier New" w:hAnsi="Courier New" w:cs="Courier New" w:hint="default"/>
      </w:rPr>
    </w:lvl>
    <w:lvl w:ilvl="2" w:tplc="040E0005">
      <w:start w:val="1"/>
      <w:numFmt w:val="bullet"/>
      <w:lvlText w:val=""/>
      <w:lvlJc w:val="left"/>
      <w:pPr>
        <w:ind w:left="2585" w:hanging="360"/>
      </w:pPr>
      <w:rPr>
        <w:rFonts w:ascii="Wingdings" w:hAnsi="Wingdings" w:hint="default"/>
      </w:rPr>
    </w:lvl>
    <w:lvl w:ilvl="3" w:tplc="040E0001">
      <w:start w:val="1"/>
      <w:numFmt w:val="bullet"/>
      <w:lvlText w:val=""/>
      <w:lvlJc w:val="left"/>
      <w:pPr>
        <w:ind w:left="3305" w:hanging="360"/>
      </w:pPr>
      <w:rPr>
        <w:rFonts w:ascii="Symbol" w:hAnsi="Symbol" w:hint="default"/>
      </w:rPr>
    </w:lvl>
    <w:lvl w:ilvl="4" w:tplc="040E0003">
      <w:start w:val="1"/>
      <w:numFmt w:val="bullet"/>
      <w:lvlText w:val="o"/>
      <w:lvlJc w:val="left"/>
      <w:pPr>
        <w:ind w:left="4025" w:hanging="360"/>
      </w:pPr>
      <w:rPr>
        <w:rFonts w:ascii="Courier New" w:hAnsi="Courier New" w:cs="Courier New" w:hint="default"/>
      </w:rPr>
    </w:lvl>
    <w:lvl w:ilvl="5" w:tplc="040E0005">
      <w:start w:val="1"/>
      <w:numFmt w:val="bullet"/>
      <w:lvlText w:val=""/>
      <w:lvlJc w:val="left"/>
      <w:pPr>
        <w:ind w:left="4745" w:hanging="360"/>
      </w:pPr>
      <w:rPr>
        <w:rFonts w:ascii="Wingdings" w:hAnsi="Wingdings" w:hint="default"/>
      </w:rPr>
    </w:lvl>
    <w:lvl w:ilvl="6" w:tplc="040E0001">
      <w:start w:val="1"/>
      <w:numFmt w:val="bullet"/>
      <w:lvlText w:val=""/>
      <w:lvlJc w:val="left"/>
      <w:pPr>
        <w:ind w:left="5465" w:hanging="360"/>
      </w:pPr>
      <w:rPr>
        <w:rFonts w:ascii="Symbol" w:hAnsi="Symbol" w:hint="default"/>
      </w:rPr>
    </w:lvl>
    <w:lvl w:ilvl="7" w:tplc="040E0003">
      <w:start w:val="1"/>
      <w:numFmt w:val="bullet"/>
      <w:lvlText w:val="o"/>
      <w:lvlJc w:val="left"/>
      <w:pPr>
        <w:ind w:left="6185" w:hanging="360"/>
      </w:pPr>
      <w:rPr>
        <w:rFonts w:ascii="Courier New" w:hAnsi="Courier New" w:cs="Courier New" w:hint="default"/>
      </w:rPr>
    </w:lvl>
    <w:lvl w:ilvl="8" w:tplc="040E0005">
      <w:start w:val="1"/>
      <w:numFmt w:val="bullet"/>
      <w:lvlText w:val=""/>
      <w:lvlJc w:val="left"/>
      <w:pPr>
        <w:ind w:left="6905" w:hanging="360"/>
      </w:pPr>
      <w:rPr>
        <w:rFonts w:ascii="Wingdings" w:hAnsi="Wingdings" w:hint="default"/>
      </w:rPr>
    </w:lvl>
  </w:abstractNum>
  <w:abstractNum w:abstractNumId="769" w15:restartNumberingAfterBreak="0">
    <w:nsid w:val="721D2101"/>
    <w:multiLevelType w:val="hybridMultilevel"/>
    <w:tmpl w:val="D8446364"/>
    <w:lvl w:ilvl="0" w:tplc="6710269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70" w15:restartNumberingAfterBreak="0">
    <w:nsid w:val="72381D4F"/>
    <w:multiLevelType w:val="hybridMultilevel"/>
    <w:tmpl w:val="446EB1A0"/>
    <w:lvl w:ilvl="0" w:tplc="AC96A600">
      <w:start w:val="1"/>
      <w:numFmt w:val="decimal"/>
      <w:lvlText w:val="%1."/>
      <w:lvlJc w:val="left"/>
      <w:pPr>
        <w:ind w:left="720" w:hanging="360"/>
      </w:pPr>
      <w:rPr>
        <w:rFonts w:eastAsiaTheme="minorHAnsi"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71" w15:restartNumberingAfterBreak="0">
    <w:nsid w:val="7279518A"/>
    <w:multiLevelType w:val="hybridMultilevel"/>
    <w:tmpl w:val="DCDED5A0"/>
    <w:lvl w:ilvl="0" w:tplc="F90AA5CA">
      <w:numFmt w:val="bullet"/>
      <w:lvlText w:val="-"/>
      <w:lvlJc w:val="left"/>
      <w:pPr>
        <w:ind w:left="1145" w:hanging="360"/>
      </w:pPr>
      <w:rPr>
        <w:rFonts w:ascii="Times New Roman" w:eastAsia="Times New Roman" w:hAnsi="Times New Roman"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772" w15:restartNumberingAfterBreak="0">
    <w:nsid w:val="728E1408"/>
    <w:multiLevelType w:val="multilevel"/>
    <w:tmpl w:val="50B6A65A"/>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773" w15:restartNumberingAfterBreak="0">
    <w:nsid w:val="729E6E10"/>
    <w:multiLevelType w:val="multilevel"/>
    <w:tmpl w:val="7BFABBB4"/>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774" w15:restartNumberingAfterBreak="0">
    <w:nsid w:val="72B422A2"/>
    <w:multiLevelType w:val="hybridMultilevel"/>
    <w:tmpl w:val="9EA820C8"/>
    <w:lvl w:ilvl="0" w:tplc="F90AA5CA">
      <w:numFmt w:val="bullet"/>
      <w:lvlText w:val="-"/>
      <w:lvlJc w:val="left"/>
      <w:pPr>
        <w:ind w:left="1145" w:hanging="360"/>
      </w:pPr>
      <w:rPr>
        <w:rFonts w:ascii="Times New Roman" w:eastAsia="Times New Roman" w:hAnsi="Times New Roman"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775" w15:restartNumberingAfterBreak="0">
    <w:nsid w:val="72C42C3E"/>
    <w:multiLevelType w:val="hybridMultilevel"/>
    <w:tmpl w:val="28BC2A72"/>
    <w:lvl w:ilvl="0" w:tplc="FB62747A">
      <w:start w:val="1"/>
      <w:numFmt w:val="decimal"/>
      <w:lvlText w:val="%1."/>
      <w:lvlJc w:val="left"/>
      <w:pPr>
        <w:ind w:left="709" w:hanging="360"/>
      </w:pPr>
      <w:rPr>
        <w:rFonts w:hint="default"/>
      </w:rPr>
    </w:lvl>
    <w:lvl w:ilvl="1" w:tplc="040E0019" w:tentative="1">
      <w:start w:val="1"/>
      <w:numFmt w:val="lowerLetter"/>
      <w:lvlText w:val="%2."/>
      <w:lvlJc w:val="left"/>
      <w:pPr>
        <w:ind w:left="1069" w:hanging="360"/>
      </w:pPr>
    </w:lvl>
    <w:lvl w:ilvl="2" w:tplc="040E001B" w:tentative="1">
      <w:start w:val="1"/>
      <w:numFmt w:val="lowerRoman"/>
      <w:lvlText w:val="%3."/>
      <w:lvlJc w:val="right"/>
      <w:pPr>
        <w:ind w:left="1789" w:hanging="180"/>
      </w:pPr>
    </w:lvl>
    <w:lvl w:ilvl="3" w:tplc="040E000F" w:tentative="1">
      <w:start w:val="1"/>
      <w:numFmt w:val="decimal"/>
      <w:lvlText w:val="%4."/>
      <w:lvlJc w:val="left"/>
      <w:pPr>
        <w:ind w:left="2509" w:hanging="360"/>
      </w:pPr>
    </w:lvl>
    <w:lvl w:ilvl="4" w:tplc="040E0019" w:tentative="1">
      <w:start w:val="1"/>
      <w:numFmt w:val="lowerLetter"/>
      <w:lvlText w:val="%5."/>
      <w:lvlJc w:val="left"/>
      <w:pPr>
        <w:ind w:left="3229" w:hanging="360"/>
      </w:pPr>
    </w:lvl>
    <w:lvl w:ilvl="5" w:tplc="040E001B" w:tentative="1">
      <w:start w:val="1"/>
      <w:numFmt w:val="lowerRoman"/>
      <w:lvlText w:val="%6."/>
      <w:lvlJc w:val="right"/>
      <w:pPr>
        <w:ind w:left="3949" w:hanging="180"/>
      </w:pPr>
    </w:lvl>
    <w:lvl w:ilvl="6" w:tplc="040E000F" w:tentative="1">
      <w:start w:val="1"/>
      <w:numFmt w:val="decimal"/>
      <w:lvlText w:val="%7."/>
      <w:lvlJc w:val="left"/>
      <w:pPr>
        <w:ind w:left="4669" w:hanging="360"/>
      </w:pPr>
    </w:lvl>
    <w:lvl w:ilvl="7" w:tplc="040E0019" w:tentative="1">
      <w:start w:val="1"/>
      <w:numFmt w:val="lowerLetter"/>
      <w:lvlText w:val="%8."/>
      <w:lvlJc w:val="left"/>
      <w:pPr>
        <w:ind w:left="5389" w:hanging="360"/>
      </w:pPr>
    </w:lvl>
    <w:lvl w:ilvl="8" w:tplc="040E001B" w:tentative="1">
      <w:start w:val="1"/>
      <w:numFmt w:val="lowerRoman"/>
      <w:lvlText w:val="%9."/>
      <w:lvlJc w:val="right"/>
      <w:pPr>
        <w:ind w:left="6109" w:hanging="180"/>
      </w:pPr>
    </w:lvl>
  </w:abstractNum>
  <w:abstractNum w:abstractNumId="776" w15:restartNumberingAfterBreak="0">
    <w:nsid w:val="73920816"/>
    <w:multiLevelType w:val="multilevel"/>
    <w:tmpl w:val="376EE298"/>
    <w:lvl w:ilvl="0">
      <w:start w:val="1"/>
      <w:numFmt w:val="decimal"/>
      <w:lvlText w:val="%1."/>
      <w:lvlJc w:val="right"/>
      <w:pPr>
        <w:tabs>
          <w:tab w:val="num" w:pos="360"/>
        </w:tabs>
        <w:ind w:left="360" w:hanging="360"/>
      </w:pPr>
      <w:rPr>
        <w:rFonts w:ascii="Times New Roman" w:hAnsi="Times New Roman"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3835"/>
        </w:tabs>
        <w:ind w:left="3835" w:hanging="432"/>
      </w:pPr>
      <w:rPr>
        <w:rFonts w:ascii="Times New Roman" w:hAnsi="Times New Roman" w:cs="Times New Roman" w:hint="default"/>
        <w:b/>
        <w:i w:val="0"/>
      </w:rPr>
    </w:lvl>
    <w:lvl w:ilvl="2">
      <w:start w:val="1"/>
      <w:numFmt w:val="decimal"/>
      <w:lvlText w:val="%1.%2.%3."/>
      <w:lvlJc w:val="left"/>
      <w:pPr>
        <w:tabs>
          <w:tab w:val="num" w:pos="1658"/>
        </w:tabs>
        <w:ind w:left="1442" w:hanging="504"/>
      </w:pPr>
    </w:lvl>
    <w:lvl w:ilvl="3">
      <w:start w:val="1"/>
      <w:numFmt w:val="decimal"/>
      <w:lvlText w:val="%1.%2.%3.%4."/>
      <w:lvlJc w:val="left"/>
      <w:pPr>
        <w:tabs>
          <w:tab w:val="num" w:pos="2018"/>
        </w:tabs>
        <w:ind w:left="1946" w:hanging="648"/>
      </w:pPr>
    </w:lvl>
    <w:lvl w:ilvl="4">
      <w:start w:val="1"/>
      <w:numFmt w:val="decimal"/>
      <w:lvlText w:val="%1.%2.%3.%4.%5."/>
      <w:lvlJc w:val="left"/>
      <w:pPr>
        <w:tabs>
          <w:tab w:val="num" w:pos="2738"/>
        </w:tabs>
        <w:ind w:left="2450" w:hanging="792"/>
      </w:pPr>
    </w:lvl>
    <w:lvl w:ilvl="5">
      <w:start w:val="1"/>
      <w:numFmt w:val="decimal"/>
      <w:lvlText w:val="%1.%2.%3.%4.%5.%6."/>
      <w:lvlJc w:val="left"/>
      <w:pPr>
        <w:tabs>
          <w:tab w:val="num" w:pos="3098"/>
        </w:tabs>
        <w:ind w:left="2954" w:hanging="936"/>
      </w:pPr>
    </w:lvl>
    <w:lvl w:ilvl="6">
      <w:start w:val="1"/>
      <w:numFmt w:val="decimal"/>
      <w:lvlText w:val="%1.%2.%3.%4.%5.%6.%7."/>
      <w:lvlJc w:val="left"/>
      <w:pPr>
        <w:tabs>
          <w:tab w:val="num" w:pos="3818"/>
        </w:tabs>
        <w:ind w:left="3458" w:hanging="1080"/>
      </w:pPr>
    </w:lvl>
    <w:lvl w:ilvl="7">
      <w:start w:val="1"/>
      <w:numFmt w:val="decimal"/>
      <w:lvlText w:val="%1.%2.%3.%4.%5.%6.%7.%8."/>
      <w:lvlJc w:val="left"/>
      <w:pPr>
        <w:tabs>
          <w:tab w:val="num" w:pos="4178"/>
        </w:tabs>
        <w:ind w:left="3962" w:hanging="1224"/>
      </w:pPr>
    </w:lvl>
    <w:lvl w:ilvl="8">
      <w:start w:val="1"/>
      <w:numFmt w:val="decimal"/>
      <w:lvlText w:val="%1.%2.%3.%4.%5.%6.%7.%8.%9."/>
      <w:lvlJc w:val="left"/>
      <w:pPr>
        <w:tabs>
          <w:tab w:val="num" w:pos="4898"/>
        </w:tabs>
        <w:ind w:left="4538" w:hanging="1440"/>
      </w:pPr>
    </w:lvl>
  </w:abstractNum>
  <w:abstractNum w:abstractNumId="777" w15:restartNumberingAfterBreak="0">
    <w:nsid w:val="73B822F0"/>
    <w:multiLevelType w:val="hybridMultilevel"/>
    <w:tmpl w:val="EF66E522"/>
    <w:lvl w:ilvl="0" w:tplc="257A19D2">
      <w:start w:val="1"/>
      <w:numFmt w:val="decimal"/>
      <w:lvlText w:val="%1."/>
      <w:lvlJc w:val="left"/>
      <w:pPr>
        <w:ind w:left="644" w:hanging="360"/>
      </w:pPr>
      <w:rPr>
        <w:rFonts w:eastAsiaTheme="minorHAnsi"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78" w15:restartNumberingAfterBreak="0">
    <w:nsid w:val="73C647EF"/>
    <w:multiLevelType w:val="multilevel"/>
    <w:tmpl w:val="A09CF88A"/>
    <w:lvl w:ilvl="0">
      <w:start w:val="1"/>
      <w:numFmt w:val="decimal"/>
      <w:lvlText w:val="%1."/>
      <w:lvlJc w:val="right"/>
      <w:pPr>
        <w:tabs>
          <w:tab w:val="num" w:pos="3621"/>
        </w:tabs>
        <w:ind w:left="3621" w:hanging="360"/>
      </w:pPr>
      <w:rPr>
        <w:rFonts w:ascii="Times New Roman" w:hAnsi="Times New Roman" w:cs="Times New Roman" w:hint="default"/>
        <w:b w:val="0"/>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779" w15:restartNumberingAfterBreak="0">
    <w:nsid w:val="73D754F9"/>
    <w:multiLevelType w:val="multilevel"/>
    <w:tmpl w:val="547C81D6"/>
    <w:lvl w:ilvl="0">
      <w:start w:val="1"/>
      <w:numFmt w:val="decimal"/>
      <w:lvlText w:val="%1."/>
      <w:lvlJc w:val="left"/>
      <w:pPr>
        <w:tabs>
          <w:tab w:val="num" w:pos="360"/>
        </w:tabs>
        <w:ind w:left="360" w:hanging="360"/>
      </w:pPr>
      <w:rPr>
        <w:rFonts w:cs="Times New Roman" w:hint="default"/>
        <w:b/>
        <w:i w:val="0"/>
        <w:sz w:val="22"/>
        <w:szCs w:val="22"/>
      </w:rPr>
    </w:lvl>
    <w:lvl w:ilvl="1">
      <w:start w:val="1"/>
      <w:numFmt w:val="decimal"/>
      <w:lvlText w:val="%1.%2."/>
      <w:lvlJc w:val="left"/>
      <w:pPr>
        <w:tabs>
          <w:tab w:val="num" w:pos="792"/>
        </w:tabs>
        <w:ind w:left="792" w:hanging="432"/>
      </w:pPr>
      <w:rPr>
        <w:rFonts w:cs="Times New Roman"/>
        <w:b/>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780" w15:restartNumberingAfterBreak="0">
    <w:nsid w:val="73DD2A0F"/>
    <w:multiLevelType w:val="hybridMultilevel"/>
    <w:tmpl w:val="FE3E234A"/>
    <w:lvl w:ilvl="0" w:tplc="157447CC">
      <w:start w:val="1"/>
      <w:numFmt w:val="decimal"/>
      <w:lvlText w:val="%1."/>
      <w:lvlJc w:val="left"/>
      <w:pPr>
        <w:ind w:left="1636" w:hanging="360"/>
      </w:pPr>
      <w:rPr>
        <w:rFonts w:hint="default"/>
        <w:b w:val="0"/>
      </w:rPr>
    </w:lvl>
    <w:lvl w:ilvl="1" w:tplc="040E0019">
      <w:start w:val="1"/>
      <w:numFmt w:val="lowerLetter"/>
      <w:lvlText w:val="%2."/>
      <w:lvlJc w:val="left"/>
      <w:pPr>
        <w:ind w:left="2356" w:hanging="360"/>
      </w:pPr>
    </w:lvl>
    <w:lvl w:ilvl="2" w:tplc="040E001B" w:tentative="1">
      <w:start w:val="1"/>
      <w:numFmt w:val="lowerRoman"/>
      <w:lvlText w:val="%3."/>
      <w:lvlJc w:val="right"/>
      <w:pPr>
        <w:ind w:left="3076" w:hanging="180"/>
      </w:pPr>
    </w:lvl>
    <w:lvl w:ilvl="3" w:tplc="040E000F" w:tentative="1">
      <w:start w:val="1"/>
      <w:numFmt w:val="decimal"/>
      <w:lvlText w:val="%4."/>
      <w:lvlJc w:val="left"/>
      <w:pPr>
        <w:ind w:left="3796" w:hanging="360"/>
      </w:pPr>
    </w:lvl>
    <w:lvl w:ilvl="4" w:tplc="040E0019" w:tentative="1">
      <w:start w:val="1"/>
      <w:numFmt w:val="lowerLetter"/>
      <w:lvlText w:val="%5."/>
      <w:lvlJc w:val="left"/>
      <w:pPr>
        <w:ind w:left="4516" w:hanging="360"/>
      </w:pPr>
    </w:lvl>
    <w:lvl w:ilvl="5" w:tplc="040E001B" w:tentative="1">
      <w:start w:val="1"/>
      <w:numFmt w:val="lowerRoman"/>
      <w:lvlText w:val="%6."/>
      <w:lvlJc w:val="right"/>
      <w:pPr>
        <w:ind w:left="5236" w:hanging="180"/>
      </w:pPr>
    </w:lvl>
    <w:lvl w:ilvl="6" w:tplc="040E000F" w:tentative="1">
      <w:start w:val="1"/>
      <w:numFmt w:val="decimal"/>
      <w:lvlText w:val="%7."/>
      <w:lvlJc w:val="left"/>
      <w:pPr>
        <w:ind w:left="5956" w:hanging="360"/>
      </w:pPr>
    </w:lvl>
    <w:lvl w:ilvl="7" w:tplc="040E0019" w:tentative="1">
      <w:start w:val="1"/>
      <w:numFmt w:val="lowerLetter"/>
      <w:lvlText w:val="%8."/>
      <w:lvlJc w:val="left"/>
      <w:pPr>
        <w:ind w:left="6676" w:hanging="360"/>
      </w:pPr>
    </w:lvl>
    <w:lvl w:ilvl="8" w:tplc="040E001B" w:tentative="1">
      <w:start w:val="1"/>
      <w:numFmt w:val="lowerRoman"/>
      <w:lvlText w:val="%9."/>
      <w:lvlJc w:val="right"/>
      <w:pPr>
        <w:ind w:left="7396" w:hanging="180"/>
      </w:pPr>
    </w:lvl>
  </w:abstractNum>
  <w:abstractNum w:abstractNumId="781" w15:restartNumberingAfterBreak="0">
    <w:nsid w:val="73F265DE"/>
    <w:multiLevelType w:val="multilevel"/>
    <w:tmpl w:val="BA4C6D7C"/>
    <w:lvl w:ilvl="0">
      <w:start w:val="1"/>
      <w:numFmt w:val="decimal"/>
      <w:lvlText w:val="%1."/>
      <w:lvlJc w:val="left"/>
      <w:pPr>
        <w:tabs>
          <w:tab w:val="num" w:pos="360"/>
        </w:tabs>
        <w:ind w:left="360" w:hanging="360"/>
      </w:pPr>
      <w:rPr>
        <w:rFonts w:cs="Times New Roman"/>
        <w:b/>
        <w:i w:val="0"/>
        <w:sz w:val="24"/>
      </w:rPr>
    </w:lvl>
    <w:lvl w:ilvl="1">
      <w:start w:val="1"/>
      <w:numFmt w:val="decimal"/>
      <w:lvlText w:val="%1.%2."/>
      <w:lvlJc w:val="left"/>
      <w:pPr>
        <w:tabs>
          <w:tab w:val="num" w:pos="1000"/>
        </w:tabs>
        <w:ind w:left="1000" w:hanging="432"/>
      </w:pPr>
      <w:rPr>
        <w:rFonts w:cs="Times New Roman"/>
        <w:b/>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782" w15:restartNumberingAfterBreak="0">
    <w:nsid w:val="74122742"/>
    <w:multiLevelType w:val="hybridMultilevel"/>
    <w:tmpl w:val="75A23A02"/>
    <w:lvl w:ilvl="0" w:tplc="F0CA0B82">
      <w:start w:val="1"/>
      <w:numFmt w:val="decimal"/>
      <w:lvlText w:val="%1."/>
      <w:lvlJc w:val="left"/>
      <w:pPr>
        <w:ind w:left="720" w:hanging="360"/>
      </w:pPr>
      <w:rPr>
        <w:rFonts w:eastAsiaTheme="minorHAnsi"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83" w15:restartNumberingAfterBreak="0">
    <w:nsid w:val="74146E1F"/>
    <w:multiLevelType w:val="hybridMultilevel"/>
    <w:tmpl w:val="FF5AE618"/>
    <w:lvl w:ilvl="0" w:tplc="7EE8F5D2">
      <w:numFmt w:val="bullet"/>
      <w:lvlText w:val="-"/>
      <w:lvlJc w:val="left"/>
      <w:pPr>
        <w:ind w:left="786" w:hanging="360"/>
      </w:pPr>
      <w:rPr>
        <w:rFonts w:ascii="Times New Roman" w:eastAsia="Times New Roman" w:hAnsi="Times New Roman" w:cs="Times New Roman" w:hint="default"/>
      </w:rPr>
    </w:lvl>
    <w:lvl w:ilvl="1" w:tplc="040E0003">
      <w:start w:val="1"/>
      <w:numFmt w:val="bullet"/>
      <w:lvlText w:val="o"/>
      <w:lvlJc w:val="left"/>
      <w:pPr>
        <w:ind w:left="1506" w:hanging="360"/>
      </w:pPr>
      <w:rPr>
        <w:rFonts w:ascii="Courier New" w:hAnsi="Courier New" w:cs="Courier New" w:hint="default"/>
      </w:rPr>
    </w:lvl>
    <w:lvl w:ilvl="2" w:tplc="040E0005">
      <w:start w:val="1"/>
      <w:numFmt w:val="bullet"/>
      <w:lvlText w:val=""/>
      <w:lvlJc w:val="left"/>
      <w:pPr>
        <w:ind w:left="2226" w:hanging="360"/>
      </w:pPr>
      <w:rPr>
        <w:rFonts w:ascii="Wingdings" w:hAnsi="Wingdings" w:hint="default"/>
      </w:rPr>
    </w:lvl>
    <w:lvl w:ilvl="3" w:tplc="040E0001">
      <w:start w:val="1"/>
      <w:numFmt w:val="bullet"/>
      <w:lvlText w:val=""/>
      <w:lvlJc w:val="left"/>
      <w:pPr>
        <w:ind w:left="2946" w:hanging="360"/>
      </w:pPr>
      <w:rPr>
        <w:rFonts w:ascii="Symbol" w:hAnsi="Symbol" w:hint="default"/>
      </w:rPr>
    </w:lvl>
    <w:lvl w:ilvl="4" w:tplc="040E0003">
      <w:start w:val="1"/>
      <w:numFmt w:val="bullet"/>
      <w:lvlText w:val="o"/>
      <w:lvlJc w:val="left"/>
      <w:pPr>
        <w:ind w:left="3666" w:hanging="360"/>
      </w:pPr>
      <w:rPr>
        <w:rFonts w:ascii="Courier New" w:hAnsi="Courier New" w:cs="Courier New" w:hint="default"/>
      </w:rPr>
    </w:lvl>
    <w:lvl w:ilvl="5" w:tplc="040E0005">
      <w:start w:val="1"/>
      <w:numFmt w:val="bullet"/>
      <w:lvlText w:val=""/>
      <w:lvlJc w:val="left"/>
      <w:pPr>
        <w:ind w:left="4386" w:hanging="360"/>
      </w:pPr>
      <w:rPr>
        <w:rFonts w:ascii="Wingdings" w:hAnsi="Wingdings" w:hint="default"/>
      </w:rPr>
    </w:lvl>
    <w:lvl w:ilvl="6" w:tplc="040E0001">
      <w:start w:val="1"/>
      <w:numFmt w:val="bullet"/>
      <w:lvlText w:val=""/>
      <w:lvlJc w:val="left"/>
      <w:pPr>
        <w:ind w:left="5106" w:hanging="360"/>
      </w:pPr>
      <w:rPr>
        <w:rFonts w:ascii="Symbol" w:hAnsi="Symbol" w:hint="default"/>
      </w:rPr>
    </w:lvl>
    <w:lvl w:ilvl="7" w:tplc="040E0003">
      <w:start w:val="1"/>
      <w:numFmt w:val="bullet"/>
      <w:lvlText w:val="o"/>
      <w:lvlJc w:val="left"/>
      <w:pPr>
        <w:ind w:left="5826" w:hanging="360"/>
      </w:pPr>
      <w:rPr>
        <w:rFonts w:ascii="Courier New" w:hAnsi="Courier New" w:cs="Courier New" w:hint="default"/>
      </w:rPr>
    </w:lvl>
    <w:lvl w:ilvl="8" w:tplc="040E0005">
      <w:start w:val="1"/>
      <w:numFmt w:val="bullet"/>
      <w:lvlText w:val=""/>
      <w:lvlJc w:val="left"/>
      <w:pPr>
        <w:ind w:left="6546" w:hanging="360"/>
      </w:pPr>
      <w:rPr>
        <w:rFonts w:ascii="Wingdings" w:hAnsi="Wingdings" w:hint="default"/>
      </w:rPr>
    </w:lvl>
  </w:abstractNum>
  <w:abstractNum w:abstractNumId="784" w15:restartNumberingAfterBreak="0">
    <w:nsid w:val="74B80499"/>
    <w:multiLevelType w:val="multilevel"/>
    <w:tmpl w:val="8ABA9976"/>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785" w15:restartNumberingAfterBreak="0">
    <w:nsid w:val="74D8433C"/>
    <w:multiLevelType w:val="hybridMultilevel"/>
    <w:tmpl w:val="4AD0A126"/>
    <w:lvl w:ilvl="0" w:tplc="67E2D334">
      <w:start w:val="1"/>
      <w:numFmt w:val="decimal"/>
      <w:lvlText w:val="%1."/>
      <w:lvlJc w:val="left"/>
      <w:pPr>
        <w:ind w:left="1636" w:hanging="360"/>
      </w:pPr>
      <w:rPr>
        <w:rFonts w:hint="default"/>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86" w15:restartNumberingAfterBreak="0">
    <w:nsid w:val="74ED080C"/>
    <w:multiLevelType w:val="hybridMultilevel"/>
    <w:tmpl w:val="D33E83EC"/>
    <w:lvl w:ilvl="0" w:tplc="AC1E9E50">
      <w:start w:val="1"/>
      <w:numFmt w:val="decimal"/>
      <w:lvlText w:val="%1."/>
      <w:lvlJc w:val="left"/>
      <w:pPr>
        <w:ind w:left="720" w:hanging="360"/>
      </w:pPr>
      <w:rPr>
        <w:rFonts w:eastAsiaTheme="minorHAnsi"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87" w15:restartNumberingAfterBreak="0">
    <w:nsid w:val="74EF333C"/>
    <w:multiLevelType w:val="hybridMultilevel"/>
    <w:tmpl w:val="8CBEEE82"/>
    <w:lvl w:ilvl="0" w:tplc="FC223D58">
      <w:start w:val="1"/>
      <w:numFmt w:val="decimal"/>
      <w:lvlText w:val="%1."/>
      <w:lvlJc w:val="left"/>
      <w:pPr>
        <w:ind w:left="108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88" w15:restartNumberingAfterBreak="0">
    <w:nsid w:val="75150344"/>
    <w:multiLevelType w:val="hybridMultilevel"/>
    <w:tmpl w:val="FE3E234A"/>
    <w:lvl w:ilvl="0" w:tplc="157447CC">
      <w:start w:val="1"/>
      <w:numFmt w:val="decimal"/>
      <w:lvlText w:val="%1."/>
      <w:lvlJc w:val="left"/>
      <w:pPr>
        <w:ind w:left="1636" w:hanging="360"/>
      </w:pPr>
      <w:rPr>
        <w:rFonts w:hint="default"/>
        <w:b w:val="0"/>
      </w:rPr>
    </w:lvl>
    <w:lvl w:ilvl="1" w:tplc="040E0019">
      <w:start w:val="1"/>
      <w:numFmt w:val="lowerLetter"/>
      <w:lvlText w:val="%2."/>
      <w:lvlJc w:val="left"/>
      <w:pPr>
        <w:ind w:left="2356" w:hanging="360"/>
      </w:pPr>
    </w:lvl>
    <w:lvl w:ilvl="2" w:tplc="040E001B" w:tentative="1">
      <w:start w:val="1"/>
      <w:numFmt w:val="lowerRoman"/>
      <w:lvlText w:val="%3."/>
      <w:lvlJc w:val="right"/>
      <w:pPr>
        <w:ind w:left="3076" w:hanging="180"/>
      </w:pPr>
    </w:lvl>
    <w:lvl w:ilvl="3" w:tplc="040E000F" w:tentative="1">
      <w:start w:val="1"/>
      <w:numFmt w:val="decimal"/>
      <w:lvlText w:val="%4."/>
      <w:lvlJc w:val="left"/>
      <w:pPr>
        <w:ind w:left="3796" w:hanging="360"/>
      </w:pPr>
    </w:lvl>
    <w:lvl w:ilvl="4" w:tplc="040E0019" w:tentative="1">
      <w:start w:val="1"/>
      <w:numFmt w:val="lowerLetter"/>
      <w:lvlText w:val="%5."/>
      <w:lvlJc w:val="left"/>
      <w:pPr>
        <w:ind w:left="4516" w:hanging="360"/>
      </w:pPr>
    </w:lvl>
    <w:lvl w:ilvl="5" w:tplc="040E001B" w:tentative="1">
      <w:start w:val="1"/>
      <w:numFmt w:val="lowerRoman"/>
      <w:lvlText w:val="%6."/>
      <w:lvlJc w:val="right"/>
      <w:pPr>
        <w:ind w:left="5236" w:hanging="180"/>
      </w:pPr>
    </w:lvl>
    <w:lvl w:ilvl="6" w:tplc="040E000F" w:tentative="1">
      <w:start w:val="1"/>
      <w:numFmt w:val="decimal"/>
      <w:lvlText w:val="%7."/>
      <w:lvlJc w:val="left"/>
      <w:pPr>
        <w:ind w:left="5956" w:hanging="360"/>
      </w:pPr>
    </w:lvl>
    <w:lvl w:ilvl="7" w:tplc="040E0019" w:tentative="1">
      <w:start w:val="1"/>
      <w:numFmt w:val="lowerLetter"/>
      <w:lvlText w:val="%8."/>
      <w:lvlJc w:val="left"/>
      <w:pPr>
        <w:ind w:left="6676" w:hanging="360"/>
      </w:pPr>
    </w:lvl>
    <w:lvl w:ilvl="8" w:tplc="040E001B" w:tentative="1">
      <w:start w:val="1"/>
      <w:numFmt w:val="lowerRoman"/>
      <w:lvlText w:val="%9."/>
      <w:lvlJc w:val="right"/>
      <w:pPr>
        <w:ind w:left="7396" w:hanging="180"/>
      </w:pPr>
    </w:lvl>
  </w:abstractNum>
  <w:abstractNum w:abstractNumId="789" w15:restartNumberingAfterBreak="0">
    <w:nsid w:val="754A7702"/>
    <w:multiLevelType w:val="hybridMultilevel"/>
    <w:tmpl w:val="9912EC0C"/>
    <w:lvl w:ilvl="0" w:tplc="E39EBD4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90" w15:restartNumberingAfterBreak="0">
    <w:nsid w:val="75963D0A"/>
    <w:multiLevelType w:val="hybridMultilevel"/>
    <w:tmpl w:val="4A9A6F7C"/>
    <w:lvl w:ilvl="0" w:tplc="BD7CF0CC">
      <w:numFmt w:val="bullet"/>
      <w:lvlText w:val="-"/>
      <w:lvlJc w:val="left"/>
      <w:pPr>
        <w:ind w:left="786" w:hanging="360"/>
      </w:pPr>
      <w:rPr>
        <w:rFonts w:ascii="Times New Roman" w:eastAsia="Times New Roman" w:hAnsi="Times New Roman" w:cs="Times New Roman" w:hint="default"/>
        <w:b/>
      </w:rPr>
    </w:lvl>
    <w:lvl w:ilvl="1" w:tplc="040E0003">
      <w:start w:val="1"/>
      <w:numFmt w:val="bullet"/>
      <w:lvlText w:val="o"/>
      <w:lvlJc w:val="left"/>
      <w:pPr>
        <w:ind w:left="1506" w:hanging="360"/>
      </w:pPr>
      <w:rPr>
        <w:rFonts w:ascii="Courier New" w:hAnsi="Courier New" w:cs="Courier New" w:hint="default"/>
      </w:rPr>
    </w:lvl>
    <w:lvl w:ilvl="2" w:tplc="040E0005">
      <w:start w:val="1"/>
      <w:numFmt w:val="bullet"/>
      <w:lvlText w:val=""/>
      <w:lvlJc w:val="left"/>
      <w:pPr>
        <w:ind w:left="2226" w:hanging="360"/>
      </w:pPr>
      <w:rPr>
        <w:rFonts w:ascii="Wingdings" w:hAnsi="Wingdings" w:hint="default"/>
      </w:rPr>
    </w:lvl>
    <w:lvl w:ilvl="3" w:tplc="040E0001">
      <w:start w:val="1"/>
      <w:numFmt w:val="bullet"/>
      <w:lvlText w:val=""/>
      <w:lvlJc w:val="left"/>
      <w:pPr>
        <w:ind w:left="2946" w:hanging="360"/>
      </w:pPr>
      <w:rPr>
        <w:rFonts w:ascii="Symbol" w:hAnsi="Symbol" w:hint="default"/>
      </w:rPr>
    </w:lvl>
    <w:lvl w:ilvl="4" w:tplc="040E0003">
      <w:start w:val="1"/>
      <w:numFmt w:val="bullet"/>
      <w:lvlText w:val="o"/>
      <w:lvlJc w:val="left"/>
      <w:pPr>
        <w:ind w:left="3666" w:hanging="360"/>
      </w:pPr>
      <w:rPr>
        <w:rFonts w:ascii="Courier New" w:hAnsi="Courier New" w:cs="Courier New" w:hint="default"/>
      </w:rPr>
    </w:lvl>
    <w:lvl w:ilvl="5" w:tplc="040E0005">
      <w:start w:val="1"/>
      <w:numFmt w:val="bullet"/>
      <w:lvlText w:val=""/>
      <w:lvlJc w:val="left"/>
      <w:pPr>
        <w:ind w:left="4386" w:hanging="360"/>
      </w:pPr>
      <w:rPr>
        <w:rFonts w:ascii="Wingdings" w:hAnsi="Wingdings" w:hint="default"/>
      </w:rPr>
    </w:lvl>
    <w:lvl w:ilvl="6" w:tplc="040E0001">
      <w:start w:val="1"/>
      <w:numFmt w:val="bullet"/>
      <w:lvlText w:val=""/>
      <w:lvlJc w:val="left"/>
      <w:pPr>
        <w:ind w:left="5106" w:hanging="360"/>
      </w:pPr>
      <w:rPr>
        <w:rFonts w:ascii="Symbol" w:hAnsi="Symbol" w:hint="default"/>
      </w:rPr>
    </w:lvl>
    <w:lvl w:ilvl="7" w:tplc="040E0003">
      <w:start w:val="1"/>
      <w:numFmt w:val="bullet"/>
      <w:lvlText w:val="o"/>
      <w:lvlJc w:val="left"/>
      <w:pPr>
        <w:ind w:left="5826" w:hanging="360"/>
      </w:pPr>
      <w:rPr>
        <w:rFonts w:ascii="Courier New" w:hAnsi="Courier New" w:cs="Courier New" w:hint="default"/>
      </w:rPr>
    </w:lvl>
    <w:lvl w:ilvl="8" w:tplc="040E0005">
      <w:start w:val="1"/>
      <w:numFmt w:val="bullet"/>
      <w:lvlText w:val=""/>
      <w:lvlJc w:val="left"/>
      <w:pPr>
        <w:ind w:left="6546" w:hanging="360"/>
      </w:pPr>
      <w:rPr>
        <w:rFonts w:ascii="Wingdings" w:hAnsi="Wingdings" w:hint="default"/>
      </w:rPr>
    </w:lvl>
  </w:abstractNum>
  <w:abstractNum w:abstractNumId="791" w15:restartNumberingAfterBreak="0">
    <w:nsid w:val="759C3307"/>
    <w:multiLevelType w:val="multilevel"/>
    <w:tmpl w:val="0B762A18"/>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792" w15:restartNumberingAfterBreak="0">
    <w:nsid w:val="75D42AB2"/>
    <w:multiLevelType w:val="multilevel"/>
    <w:tmpl w:val="EB22FD66"/>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793" w15:restartNumberingAfterBreak="0">
    <w:nsid w:val="76A84E6B"/>
    <w:multiLevelType w:val="multilevel"/>
    <w:tmpl w:val="47723812"/>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794" w15:restartNumberingAfterBreak="0">
    <w:nsid w:val="76F73B9C"/>
    <w:multiLevelType w:val="multilevel"/>
    <w:tmpl w:val="263C2934"/>
    <w:lvl w:ilvl="0">
      <w:start w:val="8"/>
      <w:numFmt w:val="decimal"/>
      <w:lvlText w:val="%1."/>
      <w:lvlJc w:val="left"/>
      <w:pPr>
        <w:ind w:left="540" w:hanging="540"/>
      </w:pPr>
      <w:rPr>
        <w:rFonts w:hint="default"/>
      </w:rPr>
    </w:lvl>
    <w:lvl w:ilvl="1">
      <w:start w:val="1"/>
      <w:numFmt w:val="decimal"/>
      <w:lvlText w:val="%1.%2."/>
      <w:lvlJc w:val="left"/>
      <w:pPr>
        <w:ind w:left="753" w:hanging="54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795" w15:restartNumberingAfterBreak="0">
    <w:nsid w:val="777C19C8"/>
    <w:multiLevelType w:val="multilevel"/>
    <w:tmpl w:val="B37876FE"/>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796" w15:restartNumberingAfterBreak="0">
    <w:nsid w:val="778166EF"/>
    <w:multiLevelType w:val="multilevel"/>
    <w:tmpl w:val="56B26076"/>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797" w15:restartNumberingAfterBreak="0">
    <w:nsid w:val="77B52C92"/>
    <w:multiLevelType w:val="multilevel"/>
    <w:tmpl w:val="CF6AC312"/>
    <w:lvl w:ilvl="0">
      <w:start w:val="12"/>
      <w:numFmt w:val="decimal"/>
      <w:lvlText w:val="%1."/>
      <w:lvlJc w:val="left"/>
      <w:pPr>
        <w:ind w:left="600" w:hanging="600"/>
      </w:pPr>
      <w:rPr>
        <w:rFonts w:ascii="CG Times (W1)" w:hAnsi="CG Times (W1)" w:hint="default"/>
        <w:b w:val="0"/>
      </w:rPr>
    </w:lvl>
    <w:lvl w:ilvl="1">
      <w:start w:val="3"/>
      <w:numFmt w:val="decimalZero"/>
      <w:lvlText w:val="%1.%2."/>
      <w:lvlJc w:val="left"/>
      <w:pPr>
        <w:ind w:left="1026" w:hanging="600"/>
      </w:pPr>
      <w:rPr>
        <w:rFonts w:ascii="CG Times (W1)" w:hAnsi="CG Times (W1)" w:hint="default"/>
        <w:b/>
        <w:sz w:val="22"/>
        <w:szCs w:val="22"/>
      </w:rPr>
    </w:lvl>
    <w:lvl w:ilvl="2">
      <w:start w:val="1"/>
      <w:numFmt w:val="decimal"/>
      <w:lvlText w:val="%1.%2.%3."/>
      <w:lvlJc w:val="left"/>
      <w:pPr>
        <w:ind w:left="1572" w:hanging="720"/>
      </w:pPr>
      <w:rPr>
        <w:rFonts w:ascii="CG Times (W1)" w:hAnsi="CG Times (W1)" w:hint="default"/>
        <w:b w:val="0"/>
      </w:rPr>
    </w:lvl>
    <w:lvl w:ilvl="3">
      <w:start w:val="1"/>
      <w:numFmt w:val="decimal"/>
      <w:lvlText w:val="%1.%2.%3.%4."/>
      <w:lvlJc w:val="left"/>
      <w:pPr>
        <w:ind w:left="1998" w:hanging="720"/>
      </w:pPr>
      <w:rPr>
        <w:rFonts w:ascii="CG Times (W1)" w:hAnsi="CG Times (W1)" w:hint="default"/>
        <w:b w:val="0"/>
      </w:rPr>
    </w:lvl>
    <w:lvl w:ilvl="4">
      <w:start w:val="1"/>
      <w:numFmt w:val="decimal"/>
      <w:lvlText w:val="%1.%2.%3.%4.%5."/>
      <w:lvlJc w:val="left"/>
      <w:pPr>
        <w:ind w:left="2784" w:hanging="1080"/>
      </w:pPr>
      <w:rPr>
        <w:rFonts w:ascii="CG Times (W1)" w:hAnsi="CG Times (W1)" w:hint="default"/>
        <w:b w:val="0"/>
      </w:rPr>
    </w:lvl>
    <w:lvl w:ilvl="5">
      <w:start w:val="1"/>
      <w:numFmt w:val="decimal"/>
      <w:lvlText w:val="%1.%2.%3.%4.%5.%6."/>
      <w:lvlJc w:val="left"/>
      <w:pPr>
        <w:ind w:left="3210" w:hanging="1080"/>
      </w:pPr>
      <w:rPr>
        <w:rFonts w:ascii="CG Times (W1)" w:hAnsi="CG Times (W1)" w:hint="default"/>
        <w:b w:val="0"/>
      </w:rPr>
    </w:lvl>
    <w:lvl w:ilvl="6">
      <w:start w:val="1"/>
      <w:numFmt w:val="decimal"/>
      <w:lvlText w:val="%1.%2.%3.%4.%5.%6.%7."/>
      <w:lvlJc w:val="left"/>
      <w:pPr>
        <w:ind w:left="3996" w:hanging="1440"/>
      </w:pPr>
      <w:rPr>
        <w:rFonts w:ascii="CG Times (W1)" w:hAnsi="CG Times (W1)" w:hint="default"/>
        <w:b w:val="0"/>
      </w:rPr>
    </w:lvl>
    <w:lvl w:ilvl="7">
      <w:start w:val="1"/>
      <w:numFmt w:val="decimal"/>
      <w:lvlText w:val="%1.%2.%3.%4.%5.%6.%7.%8."/>
      <w:lvlJc w:val="left"/>
      <w:pPr>
        <w:ind w:left="4422" w:hanging="1440"/>
      </w:pPr>
      <w:rPr>
        <w:rFonts w:ascii="CG Times (W1)" w:hAnsi="CG Times (W1)" w:hint="default"/>
        <w:b w:val="0"/>
      </w:rPr>
    </w:lvl>
    <w:lvl w:ilvl="8">
      <w:start w:val="1"/>
      <w:numFmt w:val="decimal"/>
      <w:lvlText w:val="%1.%2.%3.%4.%5.%6.%7.%8.%9."/>
      <w:lvlJc w:val="left"/>
      <w:pPr>
        <w:ind w:left="5208" w:hanging="1800"/>
      </w:pPr>
      <w:rPr>
        <w:rFonts w:ascii="CG Times (W1)" w:hAnsi="CG Times (W1)" w:hint="default"/>
        <w:b w:val="0"/>
      </w:rPr>
    </w:lvl>
  </w:abstractNum>
  <w:abstractNum w:abstractNumId="798" w15:restartNumberingAfterBreak="0">
    <w:nsid w:val="781B6612"/>
    <w:multiLevelType w:val="hybridMultilevel"/>
    <w:tmpl w:val="05CA5B76"/>
    <w:lvl w:ilvl="0" w:tplc="040E000F">
      <w:start w:val="1"/>
      <w:numFmt w:val="decimal"/>
      <w:lvlText w:val="%1."/>
      <w:lvlJc w:val="left"/>
      <w:pPr>
        <w:ind w:left="502" w:hanging="360"/>
      </w:pPr>
    </w:lvl>
    <w:lvl w:ilvl="1" w:tplc="040E0003">
      <w:start w:val="1"/>
      <w:numFmt w:val="bullet"/>
      <w:lvlText w:val="o"/>
      <w:lvlJc w:val="left"/>
      <w:pPr>
        <w:ind w:left="1222" w:hanging="360"/>
      </w:pPr>
      <w:rPr>
        <w:rFonts w:ascii="Courier New" w:hAnsi="Courier New" w:cs="Courier New" w:hint="default"/>
      </w:rPr>
    </w:lvl>
    <w:lvl w:ilvl="2" w:tplc="040E0005">
      <w:start w:val="1"/>
      <w:numFmt w:val="bullet"/>
      <w:lvlText w:val=""/>
      <w:lvlJc w:val="left"/>
      <w:pPr>
        <w:ind w:left="1942" w:hanging="360"/>
      </w:pPr>
      <w:rPr>
        <w:rFonts w:ascii="Wingdings" w:hAnsi="Wingdings" w:hint="default"/>
      </w:rPr>
    </w:lvl>
    <w:lvl w:ilvl="3" w:tplc="040E0001">
      <w:start w:val="1"/>
      <w:numFmt w:val="bullet"/>
      <w:lvlText w:val=""/>
      <w:lvlJc w:val="left"/>
      <w:pPr>
        <w:ind w:left="2662" w:hanging="360"/>
      </w:pPr>
      <w:rPr>
        <w:rFonts w:ascii="Symbol" w:hAnsi="Symbol" w:hint="default"/>
      </w:rPr>
    </w:lvl>
    <w:lvl w:ilvl="4" w:tplc="040E0003">
      <w:start w:val="1"/>
      <w:numFmt w:val="bullet"/>
      <w:lvlText w:val="o"/>
      <w:lvlJc w:val="left"/>
      <w:pPr>
        <w:ind w:left="3382" w:hanging="360"/>
      </w:pPr>
      <w:rPr>
        <w:rFonts w:ascii="Courier New" w:hAnsi="Courier New" w:cs="Courier New" w:hint="default"/>
      </w:rPr>
    </w:lvl>
    <w:lvl w:ilvl="5" w:tplc="040E0005">
      <w:start w:val="1"/>
      <w:numFmt w:val="bullet"/>
      <w:lvlText w:val=""/>
      <w:lvlJc w:val="left"/>
      <w:pPr>
        <w:ind w:left="4102" w:hanging="360"/>
      </w:pPr>
      <w:rPr>
        <w:rFonts w:ascii="Wingdings" w:hAnsi="Wingdings" w:hint="default"/>
      </w:rPr>
    </w:lvl>
    <w:lvl w:ilvl="6" w:tplc="040E0001">
      <w:start w:val="1"/>
      <w:numFmt w:val="bullet"/>
      <w:lvlText w:val=""/>
      <w:lvlJc w:val="left"/>
      <w:pPr>
        <w:ind w:left="4822" w:hanging="360"/>
      </w:pPr>
      <w:rPr>
        <w:rFonts w:ascii="Symbol" w:hAnsi="Symbol" w:hint="default"/>
      </w:rPr>
    </w:lvl>
    <w:lvl w:ilvl="7" w:tplc="040E0003">
      <w:start w:val="1"/>
      <w:numFmt w:val="bullet"/>
      <w:lvlText w:val="o"/>
      <w:lvlJc w:val="left"/>
      <w:pPr>
        <w:ind w:left="5542" w:hanging="360"/>
      </w:pPr>
      <w:rPr>
        <w:rFonts w:ascii="Courier New" w:hAnsi="Courier New" w:cs="Courier New" w:hint="default"/>
      </w:rPr>
    </w:lvl>
    <w:lvl w:ilvl="8" w:tplc="040E0005">
      <w:start w:val="1"/>
      <w:numFmt w:val="bullet"/>
      <w:lvlText w:val=""/>
      <w:lvlJc w:val="left"/>
      <w:pPr>
        <w:ind w:left="6262" w:hanging="360"/>
      </w:pPr>
      <w:rPr>
        <w:rFonts w:ascii="Wingdings" w:hAnsi="Wingdings" w:hint="default"/>
      </w:rPr>
    </w:lvl>
  </w:abstractNum>
  <w:abstractNum w:abstractNumId="799" w15:restartNumberingAfterBreak="0">
    <w:nsid w:val="781F075B"/>
    <w:multiLevelType w:val="hybridMultilevel"/>
    <w:tmpl w:val="B4780D0C"/>
    <w:lvl w:ilvl="0" w:tplc="65DE6E7C">
      <w:start w:val="1"/>
      <w:numFmt w:val="decimal"/>
      <w:lvlText w:val="%1."/>
      <w:lvlJc w:val="left"/>
      <w:pPr>
        <w:ind w:left="101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00" w15:restartNumberingAfterBreak="0">
    <w:nsid w:val="7837349A"/>
    <w:multiLevelType w:val="hybridMultilevel"/>
    <w:tmpl w:val="68FE61E8"/>
    <w:lvl w:ilvl="0" w:tplc="F90AA5CA">
      <w:numFmt w:val="bullet"/>
      <w:lvlText w:val="-"/>
      <w:lvlJc w:val="left"/>
      <w:pPr>
        <w:ind w:left="1145" w:hanging="360"/>
      </w:pPr>
      <w:rPr>
        <w:rFonts w:ascii="Times New Roman" w:eastAsia="Times New Roman" w:hAnsi="Times New Roman"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801" w15:restartNumberingAfterBreak="0">
    <w:nsid w:val="783E39DF"/>
    <w:multiLevelType w:val="multilevel"/>
    <w:tmpl w:val="BAA86BAA"/>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802" w15:restartNumberingAfterBreak="0">
    <w:nsid w:val="784D056F"/>
    <w:multiLevelType w:val="hybridMultilevel"/>
    <w:tmpl w:val="583C5BDA"/>
    <w:lvl w:ilvl="0" w:tplc="0CEE4E80">
      <w:start w:val="1"/>
      <w:numFmt w:val="decimal"/>
      <w:lvlText w:val="%1."/>
      <w:lvlJc w:val="left"/>
      <w:pPr>
        <w:ind w:left="644"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03" w15:restartNumberingAfterBreak="0">
    <w:nsid w:val="784D7CBE"/>
    <w:multiLevelType w:val="multilevel"/>
    <w:tmpl w:val="94D88D08"/>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804" w15:restartNumberingAfterBreak="0">
    <w:nsid w:val="78662C00"/>
    <w:multiLevelType w:val="multilevel"/>
    <w:tmpl w:val="64523AA8"/>
    <w:lvl w:ilvl="0">
      <w:start w:val="17"/>
      <w:numFmt w:val="decimal"/>
      <w:lvlText w:val="%1."/>
      <w:lvlJc w:val="left"/>
      <w:pPr>
        <w:ind w:left="480" w:hanging="480"/>
      </w:pPr>
      <w:rPr>
        <w:b/>
      </w:rPr>
    </w:lvl>
    <w:lvl w:ilvl="1">
      <w:start w:val="1"/>
      <w:numFmt w:val="decimal"/>
      <w:lvlText w:val="%1.%2."/>
      <w:lvlJc w:val="left"/>
      <w:pPr>
        <w:ind w:left="906" w:hanging="480"/>
      </w:pPr>
      <w:rPr>
        <w:b/>
      </w:rPr>
    </w:lvl>
    <w:lvl w:ilvl="2">
      <w:start w:val="1"/>
      <w:numFmt w:val="decimal"/>
      <w:lvlText w:val="%1.%2.%3."/>
      <w:lvlJc w:val="left"/>
      <w:pPr>
        <w:ind w:left="1572" w:hanging="720"/>
      </w:pPr>
      <w:rPr>
        <w:b/>
      </w:rPr>
    </w:lvl>
    <w:lvl w:ilvl="3">
      <w:start w:val="1"/>
      <w:numFmt w:val="decimal"/>
      <w:lvlText w:val="%1.%2.%3.%4."/>
      <w:lvlJc w:val="left"/>
      <w:pPr>
        <w:ind w:left="1998" w:hanging="720"/>
      </w:pPr>
      <w:rPr>
        <w:b/>
      </w:rPr>
    </w:lvl>
    <w:lvl w:ilvl="4">
      <w:start w:val="1"/>
      <w:numFmt w:val="decimal"/>
      <w:lvlText w:val="%1.%2.%3.%4.%5."/>
      <w:lvlJc w:val="left"/>
      <w:pPr>
        <w:ind w:left="2784" w:hanging="1080"/>
      </w:pPr>
      <w:rPr>
        <w:b/>
      </w:rPr>
    </w:lvl>
    <w:lvl w:ilvl="5">
      <w:start w:val="1"/>
      <w:numFmt w:val="decimal"/>
      <w:lvlText w:val="%1.%2.%3.%4.%5.%6."/>
      <w:lvlJc w:val="left"/>
      <w:pPr>
        <w:ind w:left="3210" w:hanging="1080"/>
      </w:pPr>
      <w:rPr>
        <w:b/>
      </w:rPr>
    </w:lvl>
    <w:lvl w:ilvl="6">
      <w:start w:val="1"/>
      <w:numFmt w:val="decimal"/>
      <w:lvlText w:val="%1.%2.%3.%4.%5.%6.%7."/>
      <w:lvlJc w:val="left"/>
      <w:pPr>
        <w:ind w:left="3996" w:hanging="1440"/>
      </w:pPr>
      <w:rPr>
        <w:b/>
      </w:rPr>
    </w:lvl>
    <w:lvl w:ilvl="7">
      <w:start w:val="1"/>
      <w:numFmt w:val="decimal"/>
      <w:lvlText w:val="%1.%2.%3.%4.%5.%6.%7.%8."/>
      <w:lvlJc w:val="left"/>
      <w:pPr>
        <w:ind w:left="4422" w:hanging="1440"/>
      </w:pPr>
      <w:rPr>
        <w:b/>
      </w:rPr>
    </w:lvl>
    <w:lvl w:ilvl="8">
      <w:start w:val="1"/>
      <w:numFmt w:val="decimal"/>
      <w:lvlText w:val="%1.%2.%3.%4.%5.%6.%7.%8.%9."/>
      <w:lvlJc w:val="left"/>
      <w:pPr>
        <w:ind w:left="5208" w:hanging="1800"/>
      </w:pPr>
      <w:rPr>
        <w:b/>
      </w:rPr>
    </w:lvl>
  </w:abstractNum>
  <w:abstractNum w:abstractNumId="805" w15:restartNumberingAfterBreak="0">
    <w:nsid w:val="78A074F9"/>
    <w:multiLevelType w:val="hybridMultilevel"/>
    <w:tmpl w:val="79AC4A28"/>
    <w:lvl w:ilvl="0" w:tplc="F29CF34C">
      <w:start w:val="1"/>
      <w:numFmt w:val="bullet"/>
      <w:lvlText w:val=""/>
      <w:lvlJc w:val="left"/>
      <w:pPr>
        <w:ind w:left="1145" w:hanging="360"/>
      </w:pPr>
      <w:rPr>
        <w:rFonts w:ascii="Symbol" w:hAnsi="Symbol" w:hint="default"/>
      </w:rPr>
    </w:lvl>
    <w:lvl w:ilvl="1" w:tplc="040E0003">
      <w:start w:val="1"/>
      <w:numFmt w:val="bullet"/>
      <w:lvlText w:val="o"/>
      <w:lvlJc w:val="left"/>
      <w:pPr>
        <w:ind w:left="1865" w:hanging="360"/>
      </w:pPr>
      <w:rPr>
        <w:rFonts w:ascii="Courier New" w:hAnsi="Courier New" w:cs="Courier New" w:hint="default"/>
      </w:rPr>
    </w:lvl>
    <w:lvl w:ilvl="2" w:tplc="040E0005">
      <w:start w:val="1"/>
      <w:numFmt w:val="bullet"/>
      <w:lvlText w:val=""/>
      <w:lvlJc w:val="left"/>
      <w:pPr>
        <w:ind w:left="2585" w:hanging="360"/>
      </w:pPr>
      <w:rPr>
        <w:rFonts w:ascii="Wingdings" w:hAnsi="Wingdings" w:hint="default"/>
      </w:rPr>
    </w:lvl>
    <w:lvl w:ilvl="3" w:tplc="040E0001">
      <w:start w:val="1"/>
      <w:numFmt w:val="bullet"/>
      <w:lvlText w:val=""/>
      <w:lvlJc w:val="left"/>
      <w:pPr>
        <w:ind w:left="3305" w:hanging="360"/>
      </w:pPr>
      <w:rPr>
        <w:rFonts w:ascii="Symbol" w:hAnsi="Symbol" w:hint="default"/>
      </w:rPr>
    </w:lvl>
    <w:lvl w:ilvl="4" w:tplc="040E0003">
      <w:start w:val="1"/>
      <w:numFmt w:val="bullet"/>
      <w:lvlText w:val="o"/>
      <w:lvlJc w:val="left"/>
      <w:pPr>
        <w:ind w:left="4025" w:hanging="360"/>
      </w:pPr>
      <w:rPr>
        <w:rFonts w:ascii="Courier New" w:hAnsi="Courier New" w:cs="Courier New" w:hint="default"/>
      </w:rPr>
    </w:lvl>
    <w:lvl w:ilvl="5" w:tplc="040E0005">
      <w:start w:val="1"/>
      <w:numFmt w:val="bullet"/>
      <w:lvlText w:val=""/>
      <w:lvlJc w:val="left"/>
      <w:pPr>
        <w:ind w:left="4745" w:hanging="360"/>
      </w:pPr>
      <w:rPr>
        <w:rFonts w:ascii="Wingdings" w:hAnsi="Wingdings" w:hint="default"/>
      </w:rPr>
    </w:lvl>
    <w:lvl w:ilvl="6" w:tplc="040E0001">
      <w:start w:val="1"/>
      <w:numFmt w:val="bullet"/>
      <w:lvlText w:val=""/>
      <w:lvlJc w:val="left"/>
      <w:pPr>
        <w:ind w:left="5465" w:hanging="360"/>
      </w:pPr>
      <w:rPr>
        <w:rFonts w:ascii="Symbol" w:hAnsi="Symbol" w:hint="default"/>
      </w:rPr>
    </w:lvl>
    <w:lvl w:ilvl="7" w:tplc="040E0003">
      <w:start w:val="1"/>
      <w:numFmt w:val="bullet"/>
      <w:lvlText w:val="o"/>
      <w:lvlJc w:val="left"/>
      <w:pPr>
        <w:ind w:left="6185" w:hanging="360"/>
      </w:pPr>
      <w:rPr>
        <w:rFonts w:ascii="Courier New" w:hAnsi="Courier New" w:cs="Courier New" w:hint="default"/>
      </w:rPr>
    </w:lvl>
    <w:lvl w:ilvl="8" w:tplc="040E0005">
      <w:start w:val="1"/>
      <w:numFmt w:val="bullet"/>
      <w:lvlText w:val=""/>
      <w:lvlJc w:val="left"/>
      <w:pPr>
        <w:ind w:left="6905" w:hanging="360"/>
      </w:pPr>
      <w:rPr>
        <w:rFonts w:ascii="Wingdings" w:hAnsi="Wingdings" w:hint="default"/>
      </w:rPr>
    </w:lvl>
  </w:abstractNum>
  <w:abstractNum w:abstractNumId="806" w15:restartNumberingAfterBreak="0">
    <w:nsid w:val="78BD2CE0"/>
    <w:multiLevelType w:val="hybridMultilevel"/>
    <w:tmpl w:val="DFC89BE8"/>
    <w:lvl w:ilvl="0" w:tplc="8B3C0BCA">
      <w:start w:val="1"/>
      <w:numFmt w:val="decimal"/>
      <w:lvlText w:val="%1."/>
      <w:lvlJc w:val="left"/>
      <w:pPr>
        <w:ind w:left="720" w:hanging="360"/>
      </w:pPr>
      <w:rPr>
        <w:rFonts w:ascii="Times New Roman" w:eastAsia="Times New Roman" w:hAnsi="Times New Roman" w:cs="Times New Roman"/>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807" w15:restartNumberingAfterBreak="0">
    <w:nsid w:val="78D5630E"/>
    <w:multiLevelType w:val="hybridMultilevel"/>
    <w:tmpl w:val="9D22B610"/>
    <w:lvl w:ilvl="0" w:tplc="12A23A54">
      <w:start w:val="1"/>
      <w:numFmt w:val="decimal"/>
      <w:lvlText w:val="%1."/>
      <w:lvlJc w:val="left"/>
      <w:pPr>
        <w:ind w:left="644" w:hanging="360"/>
      </w:pPr>
      <w:rPr>
        <w:rFonts w:eastAsiaTheme="minorHAnsi"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08" w15:restartNumberingAfterBreak="0">
    <w:nsid w:val="78DF4EB6"/>
    <w:multiLevelType w:val="hybridMultilevel"/>
    <w:tmpl w:val="C3CCF70A"/>
    <w:lvl w:ilvl="0" w:tplc="54BAFFC0">
      <w:start w:val="1"/>
      <w:numFmt w:val="decimal"/>
      <w:lvlText w:val="%1."/>
      <w:lvlJc w:val="left"/>
      <w:pPr>
        <w:ind w:left="1068" w:hanging="360"/>
      </w:pPr>
      <w:rPr>
        <w:rFonts w:eastAsiaTheme="minorHAnsi" w:hint="default"/>
      </w:rPr>
    </w:lvl>
    <w:lvl w:ilvl="1" w:tplc="040E0019" w:tentative="1">
      <w:start w:val="1"/>
      <w:numFmt w:val="lowerLetter"/>
      <w:lvlText w:val="%2."/>
      <w:lvlJc w:val="left"/>
      <w:pPr>
        <w:ind w:left="1864" w:hanging="360"/>
      </w:pPr>
    </w:lvl>
    <w:lvl w:ilvl="2" w:tplc="040E001B" w:tentative="1">
      <w:start w:val="1"/>
      <w:numFmt w:val="lowerRoman"/>
      <w:lvlText w:val="%3."/>
      <w:lvlJc w:val="right"/>
      <w:pPr>
        <w:ind w:left="2584" w:hanging="180"/>
      </w:pPr>
    </w:lvl>
    <w:lvl w:ilvl="3" w:tplc="040E000F" w:tentative="1">
      <w:start w:val="1"/>
      <w:numFmt w:val="decimal"/>
      <w:lvlText w:val="%4."/>
      <w:lvlJc w:val="left"/>
      <w:pPr>
        <w:ind w:left="3304" w:hanging="360"/>
      </w:pPr>
    </w:lvl>
    <w:lvl w:ilvl="4" w:tplc="040E0019" w:tentative="1">
      <w:start w:val="1"/>
      <w:numFmt w:val="lowerLetter"/>
      <w:lvlText w:val="%5."/>
      <w:lvlJc w:val="left"/>
      <w:pPr>
        <w:ind w:left="4024" w:hanging="360"/>
      </w:pPr>
    </w:lvl>
    <w:lvl w:ilvl="5" w:tplc="040E001B" w:tentative="1">
      <w:start w:val="1"/>
      <w:numFmt w:val="lowerRoman"/>
      <w:lvlText w:val="%6."/>
      <w:lvlJc w:val="right"/>
      <w:pPr>
        <w:ind w:left="4744" w:hanging="180"/>
      </w:pPr>
    </w:lvl>
    <w:lvl w:ilvl="6" w:tplc="040E000F" w:tentative="1">
      <w:start w:val="1"/>
      <w:numFmt w:val="decimal"/>
      <w:lvlText w:val="%7."/>
      <w:lvlJc w:val="left"/>
      <w:pPr>
        <w:ind w:left="5464" w:hanging="360"/>
      </w:pPr>
    </w:lvl>
    <w:lvl w:ilvl="7" w:tplc="040E0019" w:tentative="1">
      <w:start w:val="1"/>
      <w:numFmt w:val="lowerLetter"/>
      <w:lvlText w:val="%8."/>
      <w:lvlJc w:val="left"/>
      <w:pPr>
        <w:ind w:left="6184" w:hanging="360"/>
      </w:pPr>
    </w:lvl>
    <w:lvl w:ilvl="8" w:tplc="040E001B" w:tentative="1">
      <w:start w:val="1"/>
      <w:numFmt w:val="lowerRoman"/>
      <w:lvlText w:val="%9."/>
      <w:lvlJc w:val="right"/>
      <w:pPr>
        <w:ind w:left="6904" w:hanging="180"/>
      </w:pPr>
    </w:lvl>
  </w:abstractNum>
  <w:abstractNum w:abstractNumId="809" w15:restartNumberingAfterBreak="0">
    <w:nsid w:val="78E94B6A"/>
    <w:multiLevelType w:val="hybridMultilevel"/>
    <w:tmpl w:val="CA7445C0"/>
    <w:lvl w:ilvl="0" w:tplc="92A65B38">
      <w:start w:val="1"/>
      <w:numFmt w:val="decimal"/>
      <w:lvlText w:val="%1."/>
      <w:lvlJc w:val="left"/>
      <w:pPr>
        <w:ind w:left="644" w:hanging="360"/>
      </w:pPr>
      <w:rPr>
        <w:rFonts w:eastAsiaTheme="minorHAnsi"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10" w15:restartNumberingAfterBreak="0">
    <w:nsid w:val="78FB0F19"/>
    <w:multiLevelType w:val="hybridMultilevel"/>
    <w:tmpl w:val="FB9C318C"/>
    <w:lvl w:ilvl="0" w:tplc="C3FAE52A">
      <w:numFmt w:val="bullet"/>
      <w:lvlText w:val="-"/>
      <w:lvlJc w:val="left"/>
      <w:pPr>
        <w:ind w:left="720" w:hanging="360"/>
      </w:pPr>
      <w:rPr>
        <w:rFonts w:ascii="Times New Roman" w:eastAsiaTheme="minorHAnsi" w:hAnsi="Times New Roman" w:cs="Times New Roman" w:hint="default"/>
      </w:rPr>
    </w:lvl>
    <w:lvl w:ilvl="1" w:tplc="70A03D52">
      <w:start w:val="1"/>
      <w:numFmt w:val="bullet"/>
      <w:lvlText w:val="-"/>
      <w:lvlJc w:val="left"/>
      <w:pPr>
        <w:ind w:left="1440" w:hanging="360"/>
      </w:pPr>
      <w:rPr>
        <w:rFonts w:ascii="Calibri" w:eastAsia="Calibri" w:hAnsi="Calibri" w:cs="Times New Roman" w:hint="default"/>
      </w:r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811" w15:restartNumberingAfterBreak="0">
    <w:nsid w:val="79477DA1"/>
    <w:multiLevelType w:val="multilevel"/>
    <w:tmpl w:val="49F22F18"/>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812" w15:restartNumberingAfterBreak="0">
    <w:nsid w:val="79686C63"/>
    <w:multiLevelType w:val="multilevel"/>
    <w:tmpl w:val="5790AFEA"/>
    <w:lvl w:ilvl="0">
      <w:start w:val="1"/>
      <w:numFmt w:val="decimal"/>
      <w:lvlText w:val="%1."/>
      <w:lvlJc w:val="left"/>
      <w:pPr>
        <w:tabs>
          <w:tab w:val="num" w:pos="360"/>
        </w:tabs>
        <w:ind w:left="360" w:hanging="360"/>
      </w:pPr>
      <w:rPr>
        <w:rFonts w:cs="Times New Roman" w:hint="default"/>
        <w:b/>
        <w:i w:val="0"/>
        <w:sz w:val="24"/>
      </w:rPr>
    </w:lvl>
    <w:lvl w:ilvl="1">
      <w:start w:val="1"/>
      <w:numFmt w:val="decimal"/>
      <w:lvlText w:val="%1.%2."/>
      <w:lvlJc w:val="left"/>
      <w:pPr>
        <w:tabs>
          <w:tab w:val="num" w:pos="792"/>
        </w:tabs>
        <w:ind w:left="792" w:hanging="432"/>
      </w:pPr>
      <w:rPr>
        <w:rFonts w:cs="Times New Roman"/>
        <w:b/>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813" w15:restartNumberingAfterBreak="0">
    <w:nsid w:val="79AA444E"/>
    <w:multiLevelType w:val="hybridMultilevel"/>
    <w:tmpl w:val="39E21630"/>
    <w:lvl w:ilvl="0" w:tplc="2EE8C64C">
      <w:start w:val="1"/>
      <w:numFmt w:val="decimal"/>
      <w:lvlText w:val="%1."/>
      <w:lvlJc w:val="left"/>
      <w:pPr>
        <w:ind w:left="709" w:hanging="360"/>
      </w:pPr>
      <w:rPr>
        <w:rFonts w:hint="default"/>
      </w:rPr>
    </w:lvl>
    <w:lvl w:ilvl="1" w:tplc="040E0019" w:tentative="1">
      <w:start w:val="1"/>
      <w:numFmt w:val="lowerLetter"/>
      <w:lvlText w:val="%2."/>
      <w:lvlJc w:val="left"/>
      <w:pPr>
        <w:ind w:left="1069" w:hanging="360"/>
      </w:pPr>
    </w:lvl>
    <w:lvl w:ilvl="2" w:tplc="040E001B" w:tentative="1">
      <w:start w:val="1"/>
      <w:numFmt w:val="lowerRoman"/>
      <w:lvlText w:val="%3."/>
      <w:lvlJc w:val="right"/>
      <w:pPr>
        <w:ind w:left="1789" w:hanging="180"/>
      </w:pPr>
    </w:lvl>
    <w:lvl w:ilvl="3" w:tplc="040E000F" w:tentative="1">
      <w:start w:val="1"/>
      <w:numFmt w:val="decimal"/>
      <w:lvlText w:val="%4."/>
      <w:lvlJc w:val="left"/>
      <w:pPr>
        <w:ind w:left="2509" w:hanging="360"/>
      </w:pPr>
    </w:lvl>
    <w:lvl w:ilvl="4" w:tplc="040E0019" w:tentative="1">
      <w:start w:val="1"/>
      <w:numFmt w:val="lowerLetter"/>
      <w:lvlText w:val="%5."/>
      <w:lvlJc w:val="left"/>
      <w:pPr>
        <w:ind w:left="3229" w:hanging="360"/>
      </w:pPr>
    </w:lvl>
    <w:lvl w:ilvl="5" w:tplc="040E001B" w:tentative="1">
      <w:start w:val="1"/>
      <w:numFmt w:val="lowerRoman"/>
      <w:lvlText w:val="%6."/>
      <w:lvlJc w:val="right"/>
      <w:pPr>
        <w:ind w:left="3949" w:hanging="180"/>
      </w:pPr>
    </w:lvl>
    <w:lvl w:ilvl="6" w:tplc="040E000F" w:tentative="1">
      <w:start w:val="1"/>
      <w:numFmt w:val="decimal"/>
      <w:lvlText w:val="%7."/>
      <w:lvlJc w:val="left"/>
      <w:pPr>
        <w:ind w:left="4669" w:hanging="360"/>
      </w:pPr>
    </w:lvl>
    <w:lvl w:ilvl="7" w:tplc="040E0019" w:tentative="1">
      <w:start w:val="1"/>
      <w:numFmt w:val="lowerLetter"/>
      <w:lvlText w:val="%8."/>
      <w:lvlJc w:val="left"/>
      <w:pPr>
        <w:ind w:left="5389" w:hanging="360"/>
      </w:pPr>
    </w:lvl>
    <w:lvl w:ilvl="8" w:tplc="040E001B" w:tentative="1">
      <w:start w:val="1"/>
      <w:numFmt w:val="lowerRoman"/>
      <w:lvlText w:val="%9."/>
      <w:lvlJc w:val="right"/>
      <w:pPr>
        <w:ind w:left="6109" w:hanging="180"/>
      </w:pPr>
    </w:lvl>
  </w:abstractNum>
  <w:abstractNum w:abstractNumId="814" w15:restartNumberingAfterBreak="0">
    <w:nsid w:val="79EF08B9"/>
    <w:multiLevelType w:val="hybridMultilevel"/>
    <w:tmpl w:val="BA68BDFA"/>
    <w:lvl w:ilvl="0" w:tplc="F90AA5CA">
      <w:numFmt w:val="bullet"/>
      <w:lvlText w:val="-"/>
      <w:lvlJc w:val="left"/>
      <w:pPr>
        <w:ind w:left="1145" w:hanging="360"/>
      </w:pPr>
      <w:rPr>
        <w:rFonts w:ascii="Times New Roman" w:eastAsia="Times New Roman" w:hAnsi="Times New Roman"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815" w15:restartNumberingAfterBreak="0">
    <w:nsid w:val="7A351733"/>
    <w:multiLevelType w:val="hybridMultilevel"/>
    <w:tmpl w:val="6F42BE50"/>
    <w:lvl w:ilvl="0" w:tplc="7A6CEBCE">
      <w:numFmt w:val="bullet"/>
      <w:lvlText w:val="-"/>
      <w:lvlJc w:val="left"/>
      <w:pPr>
        <w:ind w:left="786" w:hanging="360"/>
      </w:pPr>
      <w:rPr>
        <w:rFonts w:ascii="Times New Roman" w:eastAsia="Times New Roman" w:hAnsi="Times New Roman" w:cs="Times New Roman" w:hint="default"/>
        <w:b/>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816" w15:restartNumberingAfterBreak="0">
    <w:nsid w:val="7A4C0D65"/>
    <w:multiLevelType w:val="hybridMultilevel"/>
    <w:tmpl w:val="2ED60EBC"/>
    <w:lvl w:ilvl="0" w:tplc="14D22F02">
      <w:start w:val="1"/>
      <w:numFmt w:val="decimal"/>
      <w:lvlText w:val="%1."/>
      <w:lvlJc w:val="left"/>
      <w:pPr>
        <w:tabs>
          <w:tab w:val="num" w:pos="964"/>
        </w:tabs>
        <w:ind w:left="964" w:hanging="397"/>
      </w:pPr>
      <w:rPr>
        <w:b w:val="0"/>
      </w:rPr>
    </w:lvl>
    <w:lvl w:ilvl="1" w:tplc="FFFFFFFF">
      <w:start w:val="1"/>
      <w:numFmt w:val="decimal"/>
      <w:lvlText w:val="%2."/>
      <w:lvlJc w:val="left"/>
      <w:pPr>
        <w:tabs>
          <w:tab w:val="num" w:pos="1440"/>
        </w:tabs>
        <w:ind w:left="1440" w:hanging="360"/>
      </w:pPr>
    </w:lvl>
    <w:lvl w:ilvl="2" w:tplc="D37A8582">
      <w:start w:val="3"/>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817" w15:restartNumberingAfterBreak="0">
    <w:nsid w:val="7A850683"/>
    <w:multiLevelType w:val="multilevel"/>
    <w:tmpl w:val="376EE298"/>
    <w:lvl w:ilvl="0">
      <w:start w:val="1"/>
      <w:numFmt w:val="decimal"/>
      <w:lvlText w:val="%1."/>
      <w:lvlJc w:val="right"/>
      <w:pPr>
        <w:tabs>
          <w:tab w:val="num" w:pos="644"/>
        </w:tabs>
        <w:ind w:left="644" w:hanging="360"/>
      </w:pPr>
      <w:rPr>
        <w:rFonts w:ascii="Times New Roman" w:hAnsi="Times New Roman"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4119"/>
        </w:tabs>
        <w:ind w:left="4119" w:hanging="432"/>
      </w:pPr>
      <w:rPr>
        <w:rFonts w:ascii="Times New Roman" w:hAnsi="Times New Roman" w:cs="Times New Roman" w:hint="default"/>
        <w:b/>
        <w:i w:val="0"/>
      </w:rPr>
    </w:lvl>
    <w:lvl w:ilvl="2">
      <w:start w:val="1"/>
      <w:numFmt w:val="decimal"/>
      <w:lvlText w:val="%1.%2.%3."/>
      <w:lvlJc w:val="left"/>
      <w:pPr>
        <w:tabs>
          <w:tab w:val="num" w:pos="1942"/>
        </w:tabs>
        <w:ind w:left="1726" w:hanging="504"/>
      </w:pPr>
    </w:lvl>
    <w:lvl w:ilvl="3">
      <w:start w:val="1"/>
      <w:numFmt w:val="decimal"/>
      <w:lvlText w:val="%1.%2.%3.%4."/>
      <w:lvlJc w:val="left"/>
      <w:pPr>
        <w:tabs>
          <w:tab w:val="num" w:pos="2302"/>
        </w:tabs>
        <w:ind w:left="2230" w:hanging="648"/>
      </w:pPr>
    </w:lvl>
    <w:lvl w:ilvl="4">
      <w:start w:val="1"/>
      <w:numFmt w:val="decimal"/>
      <w:lvlText w:val="%1.%2.%3.%4.%5."/>
      <w:lvlJc w:val="left"/>
      <w:pPr>
        <w:tabs>
          <w:tab w:val="num" w:pos="3022"/>
        </w:tabs>
        <w:ind w:left="2734" w:hanging="792"/>
      </w:pPr>
    </w:lvl>
    <w:lvl w:ilvl="5">
      <w:start w:val="1"/>
      <w:numFmt w:val="decimal"/>
      <w:lvlText w:val="%1.%2.%3.%4.%5.%6."/>
      <w:lvlJc w:val="left"/>
      <w:pPr>
        <w:tabs>
          <w:tab w:val="num" w:pos="3382"/>
        </w:tabs>
        <w:ind w:left="3238" w:hanging="936"/>
      </w:pPr>
    </w:lvl>
    <w:lvl w:ilvl="6">
      <w:start w:val="1"/>
      <w:numFmt w:val="decimal"/>
      <w:lvlText w:val="%1.%2.%3.%4.%5.%6.%7."/>
      <w:lvlJc w:val="left"/>
      <w:pPr>
        <w:tabs>
          <w:tab w:val="num" w:pos="4102"/>
        </w:tabs>
        <w:ind w:left="3742" w:hanging="1080"/>
      </w:pPr>
    </w:lvl>
    <w:lvl w:ilvl="7">
      <w:start w:val="1"/>
      <w:numFmt w:val="decimal"/>
      <w:lvlText w:val="%1.%2.%3.%4.%5.%6.%7.%8."/>
      <w:lvlJc w:val="left"/>
      <w:pPr>
        <w:tabs>
          <w:tab w:val="num" w:pos="4462"/>
        </w:tabs>
        <w:ind w:left="4246" w:hanging="1224"/>
      </w:pPr>
    </w:lvl>
    <w:lvl w:ilvl="8">
      <w:start w:val="1"/>
      <w:numFmt w:val="decimal"/>
      <w:lvlText w:val="%1.%2.%3.%4.%5.%6.%7.%8.%9."/>
      <w:lvlJc w:val="left"/>
      <w:pPr>
        <w:tabs>
          <w:tab w:val="num" w:pos="5182"/>
        </w:tabs>
        <w:ind w:left="4822" w:hanging="1440"/>
      </w:pPr>
    </w:lvl>
  </w:abstractNum>
  <w:abstractNum w:abstractNumId="818" w15:restartNumberingAfterBreak="0">
    <w:nsid w:val="7A987322"/>
    <w:multiLevelType w:val="hybridMultilevel"/>
    <w:tmpl w:val="40C67EF8"/>
    <w:lvl w:ilvl="0" w:tplc="6A3CEFB8">
      <w:start w:val="1"/>
      <w:numFmt w:val="decimal"/>
      <w:lvlText w:val="%1."/>
      <w:lvlJc w:val="left"/>
      <w:pPr>
        <w:ind w:left="1068" w:hanging="360"/>
      </w:pPr>
      <w:rPr>
        <w:rFonts w:hint="default"/>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19" w15:restartNumberingAfterBreak="0">
    <w:nsid w:val="7AB072AC"/>
    <w:multiLevelType w:val="hybridMultilevel"/>
    <w:tmpl w:val="F3ACC822"/>
    <w:lvl w:ilvl="0" w:tplc="1D48A0E4">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20" w15:restartNumberingAfterBreak="0">
    <w:nsid w:val="7AE2103F"/>
    <w:multiLevelType w:val="hybridMultilevel"/>
    <w:tmpl w:val="04826734"/>
    <w:lvl w:ilvl="0" w:tplc="0BF62788">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21" w15:restartNumberingAfterBreak="0">
    <w:nsid w:val="7B6475CF"/>
    <w:multiLevelType w:val="multilevel"/>
    <w:tmpl w:val="72D4957A"/>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822" w15:restartNumberingAfterBreak="0">
    <w:nsid w:val="7B681C24"/>
    <w:multiLevelType w:val="hybridMultilevel"/>
    <w:tmpl w:val="A216AD74"/>
    <w:lvl w:ilvl="0" w:tplc="92987B3A">
      <w:start w:val="1"/>
      <w:numFmt w:val="decimal"/>
      <w:lvlText w:val="%1."/>
      <w:lvlJc w:val="left"/>
      <w:pPr>
        <w:ind w:left="644" w:hanging="360"/>
      </w:pPr>
      <w:rPr>
        <w:rFonts w:eastAsiaTheme="minorHAnsi"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23" w15:restartNumberingAfterBreak="0">
    <w:nsid w:val="7BF235D9"/>
    <w:multiLevelType w:val="hybridMultilevel"/>
    <w:tmpl w:val="00C25E5C"/>
    <w:lvl w:ilvl="0" w:tplc="7A824622">
      <w:start w:val="1"/>
      <w:numFmt w:val="decimal"/>
      <w:lvlText w:val="%1."/>
      <w:lvlJc w:val="left"/>
      <w:pPr>
        <w:ind w:left="1010" w:hanging="360"/>
      </w:pPr>
    </w:lvl>
    <w:lvl w:ilvl="1" w:tplc="613EED8C">
      <w:start w:val="1"/>
      <w:numFmt w:val="bullet"/>
      <w:lvlText w:val=""/>
      <w:lvlJc w:val="left"/>
      <w:pPr>
        <w:tabs>
          <w:tab w:val="num" w:pos="1730"/>
        </w:tabs>
        <w:ind w:left="1730" w:hanging="360"/>
      </w:pPr>
      <w:rPr>
        <w:rFonts w:ascii="Wingdings" w:hAnsi="Wingdings" w:hint="default"/>
      </w:rPr>
    </w:lvl>
    <w:lvl w:ilvl="2" w:tplc="04090005">
      <w:start w:val="1"/>
      <w:numFmt w:val="bullet"/>
      <w:lvlText w:val=""/>
      <w:lvlJc w:val="left"/>
      <w:pPr>
        <w:ind w:left="2450" w:hanging="360"/>
      </w:pPr>
      <w:rPr>
        <w:rFonts w:ascii="Wingdings" w:hAnsi="Wingdings" w:hint="default"/>
      </w:rPr>
    </w:lvl>
    <w:lvl w:ilvl="3" w:tplc="04090001">
      <w:start w:val="1"/>
      <w:numFmt w:val="bullet"/>
      <w:lvlText w:val=""/>
      <w:lvlJc w:val="left"/>
      <w:pPr>
        <w:ind w:left="3170" w:hanging="360"/>
      </w:pPr>
      <w:rPr>
        <w:rFonts w:ascii="Symbol" w:hAnsi="Symbol" w:hint="default"/>
      </w:rPr>
    </w:lvl>
    <w:lvl w:ilvl="4" w:tplc="04090003">
      <w:start w:val="1"/>
      <w:numFmt w:val="bullet"/>
      <w:lvlText w:val="o"/>
      <w:lvlJc w:val="left"/>
      <w:pPr>
        <w:ind w:left="3890" w:hanging="360"/>
      </w:pPr>
      <w:rPr>
        <w:rFonts w:ascii="Courier New" w:hAnsi="Courier New" w:cs="Times New Roman" w:hint="default"/>
      </w:rPr>
    </w:lvl>
    <w:lvl w:ilvl="5" w:tplc="04090005">
      <w:start w:val="1"/>
      <w:numFmt w:val="bullet"/>
      <w:lvlText w:val=""/>
      <w:lvlJc w:val="left"/>
      <w:pPr>
        <w:ind w:left="4610" w:hanging="360"/>
      </w:pPr>
      <w:rPr>
        <w:rFonts w:ascii="Wingdings" w:hAnsi="Wingdings" w:hint="default"/>
      </w:rPr>
    </w:lvl>
    <w:lvl w:ilvl="6" w:tplc="04090001">
      <w:start w:val="1"/>
      <w:numFmt w:val="bullet"/>
      <w:lvlText w:val=""/>
      <w:lvlJc w:val="left"/>
      <w:pPr>
        <w:ind w:left="5330" w:hanging="360"/>
      </w:pPr>
      <w:rPr>
        <w:rFonts w:ascii="Symbol" w:hAnsi="Symbol" w:hint="default"/>
      </w:rPr>
    </w:lvl>
    <w:lvl w:ilvl="7" w:tplc="04090003">
      <w:start w:val="1"/>
      <w:numFmt w:val="bullet"/>
      <w:lvlText w:val="o"/>
      <w:lvlJc w:val="left"/>
      <w:pPr>
        <w:ind w:left="6050" w:hanging="360"/>
      </w:pPr>
      <w:rPr>
        <w:rFonts w:ascii="Courier New" w:hAnsi="Courier New" w:cs="Times New Roman" w:hint="default"/>
      </w:rPr>
    </w:lvl>
    <w:lvl w:ilvl="8" w:tplc="04090005">
      <w:start w:val="1"/>
      <w:numFmt w:val="bullet"/>
      <w:lvlText w:val=""/>
      <w:lvlJc w:val="left"/>
      <w:pPr>
        <w:ind w:left="6770" w:hanging="360"/>
      </w:pPr>
      <w:rPr>
        <w:rFonts w:ascii="Wingdings" w:hAnsi="Wingdings" w:hint="default"/>
      </w:rPr>
    </w:lvl>
  </w:abstractNum>
  <w:abstractNum w:abstractNumId="824" w15:restartNumberingAfterBreak="0">
    <w:nsid w:val="7BFB175B"/>
    <w:multiLevelType w:val="hybridMultilevel"/>
    <w:tmpl w:val="4BDC9CFE"/>
    <w:lvl w:ilvl="0" w:tplc="F514C624">
      <w:start w:val="1"/>
      <w:numFmt w:val="decimal"/>
      <w:lvlText w:val="%1."/>
      <w:lvlJc w:val="left"/>
      <w:pPr>
        <w:ind w:left="108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25" w15:restartNumberingAfterBreak="0">
    <w:nsid w:val="7C0649C0"/>
    <w:multiLevelType w:val="hybridMultilevel"/>
    <w:tmpl w:val="17F6A244"/>
    <w:lvl w:ilvl="0" w:tplc="8474C598">
      <w:start w:val="1"/>
      <w:numFmt w:val="decimal"/>
      <w:lvlText w:val="%1."/>
      <w:lvlJc w:val="left"/>
      <w:pPr>
        <w:ind w:left="786" w:hanging="360"/>
      </w:pPr>
      <w:rPr>
        <w:rFonts w:hint="default"/>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26" w15:restartNumberingAfterBreak="0">
    <w:nsid w:val="7C1F0266"/>
    <w:multiLevelType w:val="hybridMultilevel"/>
    <w:tmpl w:val="5358B07A"/>
    <w:lvl w:ilvl="0" w:tplc="E30CFC3A">
      <w:start w:val="1"/>
      <w:numFmt w:val="decimal"/>
      <w:lvlText w:val="%1."/>
      <w:lvlJc w:val="left"/>
      <w:pPr>
        <w:ind w:left="644" w:hanging="360"/>
      </w:pPr>
      <w:rPr>
        <w:rFonts w:eastAsiaTheme="minorHAnsi"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27" w15:restartNumberingAfterBreak="0">
    <w:nsid w:val="7C424AD5"/>
    <w:multiLevelType w:val="multilevel"/>
    <w:tmpl w:val="44642390"/>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828" w15:restartNumberingAfterBreak="0">
    <w:nsid w:val="7C604695"/>
    <w:multiLevelType w:val="hybridMultilevel"/>
    <w:tmpl w:val="0DCC895A"/>
    <w:lvl w:ilvl="0" w:tplc="8B305B9C">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29" w15:restartNumberingAfterBreak="0">
    <w:nsid w:val="7CE82254"/>
    <w:multiLevelType w:val="multilevel"/>
    <w:tmpl w:val="C7C4370A"/>
    <w:lvl w:ilvl="0">
      <w:start w:val="1"/>
      <w:numFmt w:val="decimal"/>
      <w:lvlText w:val="%1."/>
      <w:lvlJc w:val="right"/>
      <w:pPr>
        <w:tabs>
          <w:tab w:val="num" w:pos="720"/>
        </w:tabs>
        <w:ind w:left="720" w:hanging="360"/>
      </w:pPr>
      <w:rPr>
        <w:rFonts w:ascii="Times New Roman" w:hAnsi="Times New Roman" w:cs="Times New Roman" w:hint="default"/>
        <w:b w:val="0"/>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830" w15:restartNumberingAfterBreak="0">
    <w:nsid w:val="7CFB76F4"/>
    <w:multiLevelType w:val="multilevel"/>
    <w:tmpl w:val="B16876B2"/>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831" w15:restartNumberingAfterBreak="0">
    <w:nsid w:val="7D3A5BBA"/>
    <w:multiLevelType w:val="multilevel"/>
    <w:tmpl w:val="5EAAFD8E"/>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832" w15:restartNumberingAfterBreak="0">
    <w:nsid w:val="7D4E5B84"/>
    <w:multiLevelType w:val="multilevel"/>
    <w:tmpl w:val="6A60477E"/>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ascii="Times New Roman" w:hAnsi="Times New Roman" w:cs="Times New Roman"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833" w15:restartNumberingAfterBreak="0">
    <w:nsid w:val="7DC41B45"/>
    <w:multiLevelType w:val="hybridMultilevel"/>
    <w:tmpl w:val="988A82EA"/>
    <w:lvl w:ilvl="0" w:tplc="7A4E7FEC">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34" w15:restartNumberingAfterBreak="0">
    <w:nsid w:val="7DD93910"/>
    <w:multiLevelType w:val="hybridMultilevel"/>
    <w:tmpl w:val="BEA68B64"/>
    <w:lvl w:ilvl="0" w:tplc="F29CF34C">
      <w:start w:val="1"/>
      <w:numFmt w:val="bullet"/>
      <w:lvlText w:val=""/>
      <w:lvlJc w:val="left"/>
      <w:pPr>
        <w:ind w:left="1145" w:hanging="360"/>
      </w:pPr>
      <w:rPr>
        <w:rFonts w:ascii="Symbol" w:hAnsi="Symbol" w:hint="default"/>
      </w:rPr>
    </w:lvl>
    <w:lvl w:ilvl="1" w:tplc="040E0003">
      <w:start w:val="1"/>
      <w:numFmt w:val="bullet"/>
      <w:lvlText w:val="o"/>
      <w:lvlJc w:val="left"/>
      <w:pPr>
        <w:ind w:left="1865" w:hanging="360"/>
      </w:pPr>
      <w:rPr>
        <w:rFonts w:ascii="Courier New" w:hAnsi="Courier New" w:cs="Courier New" w:hint="default"/>
      </w:rPr>
    </w:lvl>
    <w:lvl w:ilvl="2" w:tplc="040E0005">
      <w:start w:val="1"/>
      <w:numFmt w:val="bullet"/>
      <w:lvlText w:val=""/>
      <w:lvlJc w:val="left"/>
      <w:pPr>
        <w:ind w:left="2585" w:hanging="360"/>
      </w:pPr>
      <w:rPr>
        <w:rFonts w:ascii="Wingdings" w:hAnsi="Wingdings" w:hint="default"/>
      </w:rPr>
    </w:lvl>
    <w:lvl w:ilvl="3" w:tplc="040E0001">
      <w:start w:val="1"/>
      <w:numFmt w:val="bullet"/>
      <w:lvlText w:val=""/>
      <w:lvlJc w:val="left"/>
      <w:pPr>
        <w:ind w:left="3305" w:hanging="360"/>
      </w:pPr>
      <w:rPr>
        <w:rFonts w:ascii="Symbol" w:hAnsi="Symbol" w:hint="default"/>
      </w:rPr>
    </w:lvl>
    <w:lvl w:ilvl="4" w:tplc="040E0003">
      <w:start w:val="1"/>
      <w:numFmt w:val="bullet"/>
      <w:lvlText w:val="o"/>
      <w:lvlJc w:val="left"/>
      <w:pPr>
        <w:ind w:left="4025" w:hanging="360"/>
      </w:pPr>
      <w:rPr>
        <w:rFonts w:ascii="Courier New" w:hAnsi="Courier New" w:cs="Courier New" w:hint="default"/>
      </w:rPr>
    </w:lvl>
    <w:lvl w:ilvl="5" w:tplc="040E0005">
      <w:start w:val="1"/>
      <w:numFmt w:val="bullet"/>
      <w:lvlText w:val=""/>
      <w:lvlJc w:val="left"/>
      <w:pPr>
        <w:ind w:left="4745" w:hanging="360"/>
      </w:pPr>
      <w:rPr>
        <w:rFonts w:ascii="Wingdings" w:hAnsi="Wingdings" w:hint="default"/>
      </w:rPr>
    </w:lvl>
    <w:lvl w:ilvl="6" w:tplc="040E0001">
      <w:start w:val="1"/>
      <w:numFmt w:val="bullet"/>
      <w:lvlText w:val=""/>
      <w:lvlJc w:val="left"/>
      <w:pPr>
        <w:ind w:left="5465" w:hanging="360"/>
      </w:pPr>
      <w:rPr>
        <w:rFonts w:ascii="Symbol" w:hAnsi="Symbol" w:hint="default"/>
      </w:rPr>
    </w:lvl>
    <w:lvl w:ilvl="7" w:tplc="040E0003">
      <w:start w:val="1"/>
      <w:numFmt w:val="bullet"/>
      <w:lvlText w:val="o"/>
      <w:lvlJc w:val="left"/>
      <w:pPr>
        <w:ind w:left="6185" w:hanging="360"/>
      </w:pPr>
      <w:rPr>
        <w:rFonts w:ascii="Courier New" w:hAnsi="Courier New" w:cs="Courier New" w:hint="default"/>
      </w:rPr>
    </w:lvl>
    <w:lvl w:ilvl="8" w:tplc="040E0005">
      <w:start w:val="1"/>
      <w:numFmt w:val="bullet"/>
      <w:lvlText w:val=""/>
      <w:lvlJc w:val="left"/>
      <w:pPr>
        <w:ind w:left="6905" w:hanging="360"/>
      </w:pPr>
      <w:rPr>
        <w:rFonts w:ascii="Wingdings" w:hAnsi="Wingdings" w:hint="default"/>
      </w:rPr>
    </w:lvl>
  </w:abstractNum>
  <w:abstractNum w:abstractNumId="835" w15:restartNumberingAfterBreak="0">
    <w:nsid w:val="7DDA6590"/>
    <w:multiLevelType w:val="hybridMultilevel"/>
    <w:tmpl w:val="1C7651C2"/>
    <w:lvl w:ilvl="0" w:tplc="65A01B90">
      <w:start w:val="1"/>
      <w:numFmt w:val="upperRoman"/>
      <w:lvlText w:val="%1."/>
      <w:lvlJc w:val="left"/>
      <w:pPr>
        <w:ind w:left="1080" w:hanging="720"/>
      </w:pPr>
      <w:rPr>
        <w:rFonts w:hint="default"/>
      </w:rPr>
    </w:lvl>
    <w:lvl w:ilvl="1" w:tplc="040E0019">
      <w:start w:val="1"/>
      <w:numFmt w:val="lowerLetter"/>
      <w:lvlText w:val="%2."/>
      <w:lvlJc w:val="left"/>
      <w:pPr>
        <w:ind w:left="1440" w:hanging="360"/>
      </w:pPr>
    </w:lvl>
    <w:lvl w:ilvl="2" w:tplc="16F2B10A">
      <w:start w:val="1"/>
      <w:numFmt w:val="lowerLetter"/>
      <w:lvlText w:val="%3)"/>
      <w:lvlJc w:val="left"/>
      <w:pPr>
        <w:ind w:left="2340" w:hanging="360"/>
      </w:pPr>
      <w:rPr>
        <w:rFonts w:hint="default"/>
      </w:r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36" w15:restartNumberingAfterBreak="0">
    <w:nsid w:val="7DF278D9"/>
    <w:multiLevelType w:val="hybridMultilevel"/>
    <w:tmpl w:val="FAD08480"/>
    <w:lvl w:ilvl="0" w:tplc="134A4644">
      <w:start w:val="11"/>
      <w:numFmt w:val="bullet"/>
      <w:lvlText w:val="-"/>
      <w:lvlJc w:val="left"/>
      <w:pPr>
        <w:ind w:left="786" w:hanging="360"/>
      </w:pPr>
      <w:rPr>
        <w:rFonts w:ascii="Times New Roman" w:eastAsiaTheme="minorHAnsi" w:hAnsi="Times New Roman" w:cs="Times New Roman"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837" w15:restartNumberingAfterBreak="0">
    <w:nsid w:val="7DF32887"/>
    <w:multiLevelType w:val="hybridMultilevel"/>
    <w:tmpl w:val="DD48AA40"/>
    <w:lvl w:ilvl="0" w:tplc="F90AA5CA">
      <w:numFmt w:val="bullet"/>
      <w:lvlText w:val="-"/>
      <w:lvlJc w:val="left"/>
      <w:pPr>
        <w:ind w:left="1145" w:hanging="360"/>
      </w:pPr>
      <w:rPr>
        <w:rFonts w:ascii="Times New Roman" w:eastAsia="Times New Roman" w:hAnsi="Times New Roman"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838" w15:restartNumberingAfterBreak="0">
    <w:nsid w:val="7E1A7497"/>
    <w:multiLevelType w:val="hybridMultilevel"/>
    <w:tmpl w:val="390AC24A"/>
    <w:lvl w:ilvl="0" w:tplc="F90AA5CA">
      <w:numFmt w:val="bullet"/>
      <w:lvlText w:val="-"/>
      <w:lvlJc w:val="left"/>
      <w:pPr>
        <w:ind w:left="1145" w:hanging="360"/>
      </w:pPr>
      <w:rPr>
        <w:rFonts w:ascii="Times New Roman" w:eastAsia="Times New Roman" w:hAnsi="Times New Roman"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839" w15:restartNumberingAfterBreak="0">
    <w:nsid w:val="7E2C435C"/>
    <w:multiLevelType w:val="multilevel"/>
    <w:tmpl w:val="D6D2F6CE"/>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840" w15:restartNumberingAfterBreak="0">
    <w:nsid w:val="7E4B5217"/>
    <w:multiLevelType w:val="hybridMultilevel"/>
    <w:tmpl w:val="E6F6F802"/>
    <w:lvl w:ilvl="0" w:tplc="F90AA5CA">
      <w:numFmt w:val="bullet"/>
      <w:lvlText w:val="-"/>
      <w:lvlJc w:val="left"/>
      <w:pPr>
        <w:ind w:left="1145" w:hanging="360"/>
      </w:pPr>
      <w:rPr>
        <w:rFonts w:ascii="Times New Roman" w:eastAsia="Times New Roman" w:hAnsi="Times New Roman"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841" w15:restartNumberingAfterBreak="0">
    <w:nsid w:val="7E571867"/>
    <w:multiLevelType w:val="multilevel"/>
    <w:tmpl w:val="476A16B8"/>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4"/>
        <w:u w:val="none"/>
        <w:effect w:val="none"/>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842" w15:restartNumberingAfterBreak="0">
    <w:nsid w:val="7E717651"/>
    <w:multiLevelType w:val="hybridMultilevel"/>
    <w:tmpl w:val="AD6484C2"/>
    <w:lvl w:ilvl="0" w:tplc="F29CF34C">
      <w:start w:val="1"/>
      <w:numFmt w:val="bullet"/>
      <w:lvlText w:val=""/>
      <w:lvlJc w:val="left"/>
      <w:pPr>
        <w:ind w:left="1146" w:hanging="360"/>
      </w:pPr>
      <w:rPr>
        <w:rFonts w:ascii="Symbol" w:hAnsi="Symbol" w:hint="default"/>
      </w:rPr>
    </w:lvl>
    <w:lvl w:ilvl="1" w:tplc="040E0003">
      <w:start w:val="1"/>
      <w:numFmt w:val="bullet"/>
      <w:lvlText w:val="o"/>
      <w:lvlJc w:val="left"/>
      <w:pPr>
        <w:ind w:left="1866" w:hanging="360"/>
      </w:pPr>
      <w:rPr>
        <w:rFonts w:ascii="Courier New" w:hAnsi="Courier New" w:cs="Courier New" w:hint="default"/>
      </w:rPr>
    </w:lvl>
    <w:lvl w:ilvl="2" w:tplc="040E0005">
      <w:start w:val="1"/>
      <w:numFmt w:val="bullet"/>
      <w:lvlText w:val=""/>
      <w:lvlJc w:val="left"/>
      <w:pPr>
        <w:ind w:left="2586" w:hanging="360"/>
      </w:pPr>
      <w:rPr>
        <w:rFonts w:ascii="Wingdings" w:hAnsi="Wingdings" w:hint="default"/>
      </w:rPr>
    </w:lvl>
    <w:lvl w:ilvl="3" w:tplc="040E0001">
      <w:start w:val="1"/>
      <w:numFmt w:val="bullet"/>
      <w:lvlText w:val=""/>
      <w:lvlJc w:val="left"/>
      <w:pPr>
        <w:ind w:left="3306" w:hanging="360"/>
      </w:pPr>
      <w:rPr>
        <w:rFonts w:ascii="Symbol" w:hAnsi="Symbol" w:hint="default"/>
      </w:rPr>
    </w:lvl>
    <w:lvl w:ilvl="4" w:tplc="040E0003">
      <w:start w:val="1"/>
      <w:numFmt w:val="bullet"/>
      <w:lvlText w:val="o"/>
      <w:lvlJc w:val="left"/>
      <w:pPr>
        <w:ind w:left="4026" w:hanging="360"/>
      </w:pPr>
      <w:rPr>
        <w:rFonts w:ascii="Courier New" w:hAnsi="Courier New" w:cs="Courier New" w:hint="default"/>
      </w:rPr>
    </w:lvl>
    <w:lvl w:ilvl="5" w:tplc="040E0005">
      <w:start w:val="1"/>
      <w:numFmt w:val="bullet"/>
      <w:lvlText w:val=""/>
      <w:lvlJc w:val="left"/>
      <w:pPr>
        <w:ind w:left="4746" w:hanging="360"/>
      </w:pPr>
      <w:rPr>
        <w:rFonts w:ascii="Wingdings" w:hAnsi="Wingdings" w:hint="default"/>
      </w:rPr>
    </w:lvl>
    <w:lvl w:ilvl="6" w:tplc="040E0001">
      <w:start w:val="1"/>
      <w:numFmt w:val="bullet"/>
      <w:lvlText w:val=""/>
      <w:lvlJc w:val="left"/>
      <w:pPr>
        <w:ind w:left="5466" w:hanging="360"/>
      </w:pPr>
      <w:rPr>
        <w:rFonts w:ascii="Symbol" w:hAnsi="Symbol" w:hint="default"/>
      </w:rPr>
    </w:lvl>
    <w:lvl w:ilvl="7" w:tplc="040E0003">
      <w:start w:val="1"/>
      <w:numFmt w:val="bullet"/>
      <w:lvlText w:val="o"/>
      <w:lvlJc w:val="left"/>
      <w:pPr>
        <w:ind w:left="6186" w:hanging="360"/>
      </w:pPr>
      <w:rPr>
        <w:rFonts w:ascii="Courier New" w:hAnsi="Courier New" w:cs="Courier New" w:hint="default"/>
      </w:rPr>
    </w:lvl>
    <w:lvl w:ilvl="8" w:tplc="040E0005">
      <w:start w:val="1"/>
      <w:numFmt w:val="bullet"/>
      <w:lvlText w:val=""/>
      <w:lvlJc w:val="left"/>
      <w:pPr>
        <w:ind w:left="6906" w:hanging="360"/>
      </w:pPr>
      <w:rPr>
        <w:rFonts w:ascii="Wingdings" w:hAnsi="Wingdings" w:hint="default"/>
      </w:rPr>
    </w:lvl>
  </w:abstractNum>
  <w:abstractNum w:abstractNumId="843" w15:restartNumberingAfterBreak="0">
    <w:nsid w:val="7E7A5041"/>
    <w:multiLevelType w:val="hybridMultilevel"/>
    <w:tmpl w:val="14F09A50"/>
    <w:lvl w:ilvl="0" w:tplc="B840E990">
      <w:start w:val="1"/>
      <w:numFmt w:val="decimal"/>
      <w:lvlText w:val="%1."/>
      <w:lvlJc w:val="left"/>
      <w:pPr>
        <w:ind w:left="644" w:hanging="360"/>
      </w:pPr>
      <w:rPr>
        <w:rFonts w:eastAsiaTheme="minorHAnsi"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44" w15:restartNumberingAfterBreak="0">
    <w:nsid w:val="7EC11751"/>
    <w:multiLevelType w:val="hybridMultilevel"/>
    <w:tmpl w:val="6BD08E86"/>
    <w:lvl w:ilvl="0" w:tplc="24D09896">
      <w:start w:val="13"/>
      <w:numFmt w:val="bullet"/>
      <w:lvlText w:val="˗"/>
      <w:lvlJc w:val="left"/>
      <w:pPr>
        <w:ind w:left="1068" w:hanging="360"/>
      </w:pPr>
      <w:rPr>
        <w:rFonts w:ascii="Times New Roman" w:eastAsia="Calibri" w:hAnsi="Times New Roman" w:cs="Times New Roman" w:hint="default"/>
      </w:rPr>
    </w:lvl>
    <w:lvl w:ilvl="1" w:tplc="040E0003">
      <w:start w:val="1"/>
      <w:numFmt w:val="bullet"/>
      <w:lvlText w:val="o"/>
      <w:lvlJc w:val="left"/>
      <w:pPr>
        <w:ind w:left="1788" w:hanging="360"/>
      </w:pPr>
      <w:rPr>
        <w:rFonts w:ascii="Courier New" w:hAnsi="Courier New" w:cs="Courier New" w:hint="default"/>
      </w:rPr>
    </w:lvl>
    <w:lvl w:ilvl="2" w:tplc="040E0005">
      <w:start w:val="1"/>
      <w:numFmt w:val="bullet"/>
      <w:lvlText w:val=""/>
      <w:lvlJc w:val="left"/>
      <w:pPr>
        <w:ind w:left="2508" w:hanging="360"/>
      </w:pPr>
      <w:rPr>
        <w:rFonts w:ascii="Wingdings" w:hAnsi="Wingdings" w:hint="default"/>
      </w:rPr>
    </w:lvl>
    <w:lvl w:ilvl="3" w:tplc="040E0001">
      <w:start w:val="1"/>
      <w:numFmt w:val="bullet"/>
      <w:lvlText w:val=""/>
      <w:lvlJc w:val="left"/>
      <w:pPr>
        <w:ind w:left="3228" w:hanging="360"/>
      </w:pPr>
      <w:rPr>
        <w:rFonts w:ascii="Symbol" w:hAnsi="Symbol" w:hint="default"/>
      </w:rPr>
    </w:lvl>
    <w:lvl w:ilvl="4" w:tplc="040E0003">
      <w:start w:val="1"/>
      <w:numFmt w:val="bullet"/>
      <w:lvlText w:val="o"/>
      <w:lvlJc w:val="left"/>
      <w:pPr>
        <w:ind w:left="3948" w:hanging="360"/>
      </w:pPr>
      <w:rPr>
        <w:rFonts w:ascii="Courier New" w:hAnsi="Courier New" w:cs="Courier New" w:hint="default"/>
      </w:rPr>
    </w:lvl>
    <w:lvl w:ilvl="5" w:tplc="040E0005">
      <w:start w:val="1"/>
      <w:numFmt w:val="bullet"/>
      <w:lvlText w:val=""/>
      <w:lvlJc w:val="left"/>
      <w:pPr>
        <w:ind w:left="4668" w:hanging="360"/>
      </w:pPr>
      <w:rPr>
        <w:rFonts w:ascii="Wingdings" w:hAnsi="Wingdings" w:hint="default"/>
      </w:rPr>
    </w:lvl>
    <w:lvl w:ilvl="6" w:tplc="040E0001">
      <w:start w:val="1"/>
      <w:numFmt w:val="bullet"/>
      <w:lvlText w:val=""/>
      <w:lvlJc w:val="left"/>
      <w:pPr>
        <w:ind w:left="5388" w:hanging="360"/>
      </w:pPr>
      <w:rPr>
        <w:rFonts w:ascii="Symbol" w:hAnsi="Symbol" w:hint="default"/>
      </w:rPr>
    </w:lvl>
    <w:lvl w:ilvl="7" w:tplc="040E0003">
      <w:start w:val="1"/>
      <w:numFmt w:val="bullet"/>
      <w:lvlText w:val="o"/>
      <w:lvlJc w:val="left"/>
      <w:pPr>
        <w:ind w:left="6108" w:hanging="360"/>
      </w:pPr>
      <w:rPr>
        <w:rFonts w:ascii="Courier New" w:hAnsi="Courier New" w:cs="Courier New" w:hint="default"/>
      </w:rPr>
    </w:lvl>
    <w:lvl w:ilvl="8" w:tplc="040E0005">
      <w:start w:val="1"/>
      <w:numFmt w:val="bullet"/>
      <w:lvlText w:val=""/>
      <w:lvlJc w:val="left"/>
      <w:pPr>
        <w:ind w:left="6828" w:hanging="360"/>
      </w:pPr>
      <w:rPr>
        <w:rFonts w:ascii="Wingdings" w:hAnsi="Wingdings" w:hint="default"/>
      </w:rPr>
    </w:lvl>
  </w:abstractNum>
  <w:abstractNum w:abstractNumId="845" w15:restartNumberingAfterBreak="0">
    <w:nsid w:val="7EC77773"/>
    <w:multiLevelType w:val="hybridMultilevel"/>
    <w:tmpl w:val="9836F034"/>
    <w:lvl w:ilvl="0" w:tplc="F29CF34C">
      <w:start w:val="1"/>
      <w:numFmt w:val="bullet"/>
      <w:lvlText w:val=""/>
      <w:lvlJc w:val="left"/>
      <w:pPr>
        <w:ind w:left="1145" w:hanging="360"/>
      </w:pPr>
      <w:rPr>
        <w:rFonts w:ascii="Symbol" w:hAnsi="Symbol" w:hint="default"/>
      </w:rPr>
    </w:lvl>
    <w:lvl w:ilvl="1" w:tplc="040E0003">
      <w:start w:val="1"/>
      <w:numFmt w:val="bullet"/>
      <w:lvlText w:val="o"/>
      <w:lvlJc w:val="left"/>
      <w:pPr>
        <w:ind w:left="1865" w:hanging="360"/>
      </w:pPr>
      <w:rPr>
        <w:rFonts w:ascii="Courier New" w:hAnsi="Courier New" w:cs="Courier New" w:hint="default"/>
      </w:rPr>
    </w:lvl>
    <w:lvl w:ilvl="2" w:tplc="040E0005">
      <w:start w:val="1"/>
      <w:numFmt w:val="bullet"/>
      <w:lvlText w:val=""/>
      <w:lvlJc w:val="left"/>
      <w:pPr>
        <w:ind w:left="2585" w:hanging="360"/>
      </w:pPr>
      <w:rPr>
        <w:rFonts w:ascii="Wingdings" w:hAnsi="Wingdings" w:hint="default"/>
      </w:rPr>
    </w:lvl>
    <w:lvl w:ilvl="3" w:tplc="040E0001">
      <w:start w:val="1"/>
      <w:numFmt w:val="bullet"/>
      <w:lvlText w:val=""/>
      <w:lvlJc w:val="left"/>
      <w:pPr>
        <w:ind w:left="3305" w:hanging="360"/>
      </w:pPr>
      <w:rPr>
        <w:rFonts w:ascii="Symbol" w:hAnsi="Symbol" w:hint="default"/>
      </w:rPr>
    </w:lvl>
    <w:lvl w:ilvl="4" w:tplc="040E0003">
      <w:start w:val="1"/>
      <w:numFmt w:val="bullet"/>
      <w:lvlText w:val="o"/>
      <w:lvlJc w:val="left"/>
      <w:pPr>
        <w:ind w:left="4025" w:hanging="360"/>
      </w:pPr>
      <w:rPr>
        <w:rFonts w:ascii="Courier New" w:hAnsi="Courier New" w:cs="Courier New" w:hint="default"/>
      </w:rPr>
    </w:lvl>
    <w:lvl w:ilvl="5" w:tplc="040E0005">
      <w:start w:val="1"/>
      <w:numFmt w:val="bullet"/>
      <w:lvlText w:val=""/>
      <w:lvlJc w:val="left"/>
      <w:pPr>
        <w:ind w:left="4745" w:hanging="360"/>
      </w:pPr>
      <w:rPr>
        <w:rFonts w:ascii="Wingdings" w:hAnsi="Wingdings" w:hint="default"/>
      </w:rPr>
    </w:lvl>
    <w:lvl w:ilvl="6" w:tplc="040E0001">
      <w:start w:val="1"/>
      <w:numFmt w:val="bullet"/>
      <w:lvlText w:val=""/>
      <w:lvlJc w:val="left"/>
      <w:pPr>
        <w:ind w:left="5465" w:hanging="360"/>
      </w:pPr>
      <w:rPr>
        <w:rFonts w:ascii="Symbol" w:hAnsi="Symbol" w:hint="default"/>
      </w:rPr>
    </w:lvl>
    <w:lvl w:ilvl="7" w:tplc="040E0003">
      <w:start w:val="1"/>
      <w:numFmt w:val="bullet"/>
      <w:lvlText w:val="o"/>
      <w:lvlJc w:val="left"/>
      <w:pPr>
        <w:ind w:left="6185" w:hanging="360"/>
      </w:pPr>
      <w:rPr>
        <w:rFonts w:ascii="Courier New" w:hAnsi="Courier New" w:cs="Courier New" w:hint="default"/>
      </w:rPr>
    </w:lvl>
    <w:lvl w:ilvl="8" w:tplc="040E0005">
      <w:start w:val="1"/>
      <w:numFmt w:val="bullet"/>
      <w:lvlText w:val=""/>
      <w:lvlJc w:val="left"/>
      <w:pPr>
        <w:ind w:left="6905" w:hanging="360"/>
      </w:pPr>
      <w:rPr>
        <w:rFonts w:ascii="Wingdings" w:hAnsi="Wingdings" w:hint="default"/>
      </w:rPr>
    </w:lvl>
  </w:abstractNum>
  <w:abstractNum w:abstractNumId="846" w15:restartNumberingAfterBreak="0">
    <w:nsid w:val="7EDD261D"/>
    <w:multiLevelType w:val="hybridMultilevel"/>
    <w:tmpl w:val="D84C710A"/>
    <w:lvl w:ilvl="0" w:tplc="040E0017">
      <w:start w:val="1"/>
      <w:numFmt w:val="lowerLetter"/>
      <w:lvlText w:val="%1)"/>
      <w:lvlJc w:val="left"/>
      <w:pPr>
        <w:ind w:left="1004" w:hanging="360"/>
      </w:pPr>
    </w:lvl>
    <w:lvl w:ilvl="1" w:tplc="040E0019">
      <w:start w:val="1"/>
      <w:numFmt w:val="lowerLetter"/>
      <w:lvlText w:val="%2."/>
      <w:lvlJc w:val="left"/>
      <w:pPr>
        <w:ind w:left="1724" w:hanging="360"/>
      </w:pPr>
    </w:lvl>
    <w:lvl w:ilvl="2" w:tplc="040E001B">
      <w:start w:val="1"/>
      <w:numFmt w:val="lowerRoman"/>
      <w:lvlText w:val="%3."/>
      <w:lvlJc w:val="right"/>
      <w:pPr>
        <w:ind w:left="2444" w:hanging="180"/>
      </w:pPr>
    </w:lvl>
    <w:lvl w:ilvl="3" w:tplc="040E000F">
      <w:start w:val="1"/>
      <w:numFmt w:val="decimal"/>
      <w:lvlText w:val="%4."/>
      <w:lvlJc w:val="left"/>
      <w:pPr>
        <w:ind w:left="3164" w:hanging="360"/>
      </w:pPr>
    </w:lvl>
    <w:lvl w:ilvl="4" w:tplc="040E0019">
      <w:start w:val="1"/>
      <w:numFmt w:val="lowerLetter"/>
      <w:lvlText w:val="%5."/>
      <w:lvlJc w:val="left"/>
      <w:pPr>
        <w:ind w:left="3884" w:hanging="360"/>
      </w:pPr>
    </w:lvl>
    <w:lvl w:ilvl="5" w:tplc="040E001B">
      <w:start w:val="1"/>
      <w:numFmt w:val="lowerRoman"/>
      <w:lvlText w:val="%6."/>
      <w:lvlJc w:val="right"/>
      <w:pPr>
        <w:ind w:left="4604" w:hanging="180"/>
      </w:pPr>
    </w:lvl>
    <w:lvl w:ilvl="6" w:tplc="040E000F">
      <w:start w:val="1"/>
      <w:numFmt w:val="decimal"/>
      <w:lvlText w:val="%7."/>
      <w:lvlJc w:val="left"/>
      <w:pPr>
        <w:ind w:left="5324" w:hanging="360"/>
      </w:pPr>
    </w:lvl>
    <w:lvl w:ilvl="7" w:tplc="040E0019">
      <w:start w:val="1"/>
      <w:numFmt w:val="lowerLetter"/>
      <w:lvlText w:val="%8."/>
      <w:lvlJc w:val="left"/>
      <w:pPr>
        <w:ind w:left="6044" w:hanging="360"/>
      </w:pPr>
    </w:lvl>
    <w:lvl w:ilvl="8" w:tplc="040E001B">
      <w:start w:val="1"/>
      <w:numFmt w:val="lowerRoman"/>
      <w:lvlText w:val="%9."/>
      <w:lvlJc w:val="right"/>
      <w:pPr>
        <w:ind w:left="6764" w:hanging="180"/>
      </w:pPr>
    </w:lvl>
  </w:abstractNum>
  <w:abstractNum w:abstractNumId="847" w15:restartNumberingAfterBreak="0">
    <w:nsid w:val="7F0B0B93"/>
    <w:multiLevelType w:val="hybridMultilevel"/>
    <w:tmpl w:val="5A24697E"/>
    <w:lvl w:ilvl="0" w:tplc="24D09896">
      <w:start w:val="13"/>
      <w:numFmt w:val="bullet"/>
      <w:lvlText w:val="˗"/>
      <w:lvlJc w:val="left"/>
      <w:pPr>
        <w:ind w:left="720" w:hanging="360"/>
      </w:pPr>
      <w:rPr>
        <w:rFonts w:ascii="Times New Roman" w:eastAsia="Calibri"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848" w15:restartNumberingAfterBreak="0">
    <w:nsid w:val="7F1D60FA"/>
    <w:multiLevelType w:val="hybridMultilevel"/>
    <w:tmpl w:val="40D0DE42"/>
    <w:lvl w:ilvl="0" w:tplc="2FFC65BA">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49" w15:restartNumberingAfterBreak="0">
    <w:nsid w:val="7F2B74AB"/>
    <w:multiLevelType w:val="hybridMultilevel"/>
    <w:tmpl w:val="434669D4"/>
    <w:lvl w:ilvl="0" w:tplc="8EE21F30">
      <w:start w:val="1"/>
      <w:numFmt w:val="decimal"/>
      <w:lvlText w:val="%1."/>
      <w:lvlJc w:val="left"/>
      <w:pPr>
        <w:ind w:left="144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50" w15:restartNumberingAfterBreak="0">
    <w:nsid w:val="7F6757C0"/>
    <w:multiLevelType w:val="hybridMultilevel"/>
    <w:tmpl w:val="6076E7EC"/>
    <w:lvl w:ilvl="0" w:tplc="F29CF34C">
      <w:start w:val="1"/>
      <w:numFmt w:val="bullet"/>
      <w:lvlText w:val=""/>
      <w:lvlJc w:val="left"/>
      <w:pPr>
        <w:ind w:left="1145" w:hanging="360"/>
      </w:pPr>
      <w:rPr>
        <w:rFonts w:ascii="Symbol" w:hAnsi="Symbol" w:hint="default"/>
      </w:rPr>
    </w:lvl>
    <w:lvl w:ilvl="1" w:tplc="040E0003">
      <w:start w:val="1"/>
      <w:numFmt w:val="bullet"/>
      <w:lvlText w:val="o"/>
      <w:lvlJc w:val="left"/>
      <w:pPr>
        <w:ind w:left="1865" w:hanging="360"/>
      </w:pPr>
      <w:rPr>
        <w:rFonts w:ascii="Courier New" w:hAnsi="Courier New" w:cs="Courier New" w:hint="default"/>
      </w:rPr>
    </w:lvl>
    <w:lvl w:ilvl="2" w:tplc="040E0005">
      <w:start w:val="1"/>
      <w:numFmt w:val="bullet"/>
      <w:lvlText w:val=""/>
      <w:lvlJc w:val="left"/>
      <w:pPr>
        <w:ind w:left="2585" w:hanging="360"/>
      </w:pPr>
      <w:rPr>
        <w:rFonts w:ascii="Wingdings" w:hAnsi="Wingdings" w:hint="default"/>
      </w:rPr>
    </w:lvl>
    <w:lvl w:ilvl="3" w:tplc="040E0001">
      <w:start w:val="1"/>
      <w:numFmt w:val="bullet"/>
      <w:lvlText w:val=""/>
      <w:lvlJc w:val="left"/>
      <w:pPr>
        <w:ind w:left="3305" w:hanging="360"/>
      </w:pPr>
      <w:rPr>
        <w:rFonts w:ascii="Symbol" w:hAnsi="Symbol" w:hint="default"/>
      </w:rPr>
    </w:lvl>
    <w:lvl w:ilvl="4" w:tplc="040E0003">
      <w:start w:val="1"/>
      <w:numFmt w:val="bullet"/>
      <w:lvlText w:val="o"/>
      <w:lvlJc w:val="left"/>
      <w:pPr>
        <w:ind w:left="4025" w:hanging="360"/>
      </w:pPr>
      <w:rPr>
        <w:rFonts w:ascii="Courier New" w:hAnsi="Courier New" w:cs="Courier New" w:hint="default"/>
      </w:rPr>
    </w:lvl>
    <w:lvl w:ilvl="5" w:tplc="040E0005">
      <w:start w:val="1"/>
      <w:numFmt w:val="bullet"/>
      <w:lvlText w:val=""/>
      <w:lvlJc w:val="left"/>
      <w:pPr>
        <w:ind w:left="4745" w:hanging="360"/>
      </w:pPr>
      <w:rPr>
        <w:rFonts w:ascii="Wingdings" w:hAnsi="Wingdings" w:hint="default"/>
      </w:rPr>
    </w:lvl>
    <w:lvl w:ilvl="6" w:tplc="040E0001">
      <w:start w:val="1"/>
      <w:numFmt w:val="bullet"/>
      <w:lvlText w:val=""/>
      <w:lvlJc w:val="left"/>
      <w:pPr>
        <w:ind w:left="5465" w:hanging="360"/>
      </w:pPr>
      <w:rPr>
        <w:rFonts w:ascii="Symbol" w:hAnsi="Symbol" w:hint="default"/>
      </w:rPr>
    </w:lvl>
    <w:lvl w:ilvl="7" w:tplc="040E0003">
      <w:start w:val="1"/>
      <w:numFmt w:val="bullet"/>
      <w:lvlText w:val="o"/>
      <w:lvlJc w:val="left"/>
      <w:pPr>
        <w:ind w:left="6185" w:hanging="360"/>
      </w:pPr>
      <w:rPr>
        <w:rFonts w:ascii="Courier New" w:hAnsi="Courier New" w:cs="Courier New" w:hint="default"/>
      </w:rPr>
    </w:lvl>
    <w:lvl w:ilvl="8" w:tplc="040E0005">
      <w:start w:val="1"/>
      <w:numFmt w:val="bullet"/>
      <w:lvlText w:val=""/>
      <w:lvlJc w:val="left"/>
      <w:pPr>
        <w:ind w:left="6905" w:hanging="360"/>
      </w:pPr>
      <w:rPr>
        <w:rFonts w:ascii="Wingdings" w:hAnsi="Wingdings" w:hint="default"/>
      </w:rPr>
    </w:lvl>
  </w:abstractNum>
  <w:num w:numId="1">
    <w:abstractNumId w:val="835"/>
  </w:num>
  <w:num w:numId="2">
    <w:abstractNumId w:val="608"/>
  </w:num>
  <w:num w:numId="3">
    <w:abstractNumId w:val="511"/>
  </w:num>
  <w:num w:numId="4">
    <w:abstractNumId w:val="251"/>
  </w:num>
  <w:num w:numId="5">
    <w:abstractNumId w:val="504"/>
  </w:num>
  <w:num w:numId="6">
    <w:abstractNumId w:val="440"/>
  </w:num>
  <w:num w:numId="7">
    <w:abstractNumId w:val="670"/>
  </w:num>
  <w:num w:numId="8">
    <w:abstractNumId w:val="436"/>
  </w:num>
  <w:num w:numId="9">
    <w:abstractNumId w:val="280"/>
  </w:num>
  <w:num w:numId="10">
    <w:abstractNumId w:val="748"/>
  </w:num>
  <w:num w:numId="11">
    <w:abstractNumId w:val="6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4"/>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3"/>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5"/>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07"/>
  </w:num>
  <w:num w:numId="18">
    <w:abstractNumId w:val="47"/>
  </w:num>
  <w:num w:numId="19">
    <w:abstractNumId w:val="2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8"/>
  </w:num>
  <w:num w:numId="21">
    <w:abstractNumId w:val="4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04"/>
  </w:num>
  <w:num w:numId="24">
    <w:abstractNumId w:val="3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3"/>
  </w:num>
  <w:num w:numId="28">
    <w:abstractNumId w:val="279"/>
  </w:num>
  <w:num w:numId="29">
    <w:abstractNumId w:val="93"/>
  </w:num>
  <w:num w:numId="30">
    <w:abstractNumId w:val="834"/>
  </w:num>
  <w:num w:numId="31">
    <w:abstractNumId w:val="367"/>
  </w:num>
  <w:num w:numId="32">
    <w:abstractNumId w:val="443"/>
  </w:num>
  <w:num w:numId="33">
    <w:abstractNumId w:val="370"/>
  </w:num>
  <w:num w:numId="34">
    <w:abstractNumId w:val="572"/>
  </w:num>
  <w:num w:numId="35">
    <w:abstractNumId w:val="198"/>
  </w:num>
  <w:num w:numId="36">
    <w:abstractNumId w:val="506"/>
  </w:num>
  <w:num w:numId="37">
    <w:abstractNumId w:val="737"/>
  </w:num>
  <w:num w:numId="38">
    <w:abstractNumId w:val="655"/>
  </w:num>
  <w:num w:numId="39">
    <w:abstractNumId w:val="152"/>
  </w:num>
  <w:num w:numId="40">
    <w:abstractNumId w:val="31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1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88"/>
  </w:num>
  <w:num w:numId="43">
    <w:abstractNumId w:val="430"/>
  </w:num>
  <w:num w:numId="44">
    <w:abstractNumId w:val="98"/>
    <w:lvlOverride w:ilvl="0">
      <w:startOverride w:val="1"/>
    </w:lvlOverride>
    <w:lvlOverride w:ilvl="1"/>
    <w:lvlOverride w:ilvl="2"/>
    <w:lvlOverride w:ilvl="3"/>
    <w:lvlOverride w:ilvl="4"/>
    <w:lvlOverride w:ilvl="5"/>
    <w:lvlOverride w:ilvl="6"/>
    <w:lvlOverride w:ilvl="7"/>
    <w:lvlOverride w:ilvl="8"/>
  </w:num>
  <w:num w:numId="45">
    <w:abstractNumId w:val="806"/>
    <w:lvlOverride w:ilvl="0">
      <w:startOverride w:val="1"/>
    </w:lvlOverride>
    <w:lvlOverride w:ilvl="1"/>
    <w:lvlOverride w:ilvl="2"/>
    <w:lvlOverride w:ilvl="3"/>
    <w:lvlOverride w:ilvl="4"/>
    <w:lvlOverride w:ilvl="5"/>
    <w:lvlOverride w:ilvl="6"/>
    <w:lvlOverride w:ilvl="7"/>
    <w:lvlOverride w:ilvl="8"/>
  </w:num>
  <w:num w:numId="46">
    <w:abstractNumId w:val="672"/>
  </w:num>
  <w:num w:numId="4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11"/>
  </w:num>
  <w:num w:numId="51">
    <w:abstractNumId w:val="530"/>
  </w:num>
  <w:num w:numId="52">
    <w:abstractNumId w:val="101"/>
  </w:num>
  <w:num w:numId="53">
    <w:abstractNumId w:val="733"/>
  </w:num>
  <w:num w:numId="54">
    <w:abstractNumId w:val="546"/>
  </w:num>
  <w:num w:numId="55">
    <w:abstractNumId w:val="325"/>
  </w:num>
  <w:num w:numId="56">
    <w:abstractNumId w:val="369"/>
  </w:num>
  <w:num w:numId="57">
    <w:abstractNumId w:val="842"/>
  </w:num>
  <w:num w:numId="58">
    <w:abstractNumId w:val="582"/>
  </w:num>
  <w:num w:numId="59">
    <w:abstractNumId w:val="735"/>
  </w:num>
  <w:num w:numId="60">
    <w:abstractNumId w:val="112"/>
  </w:num>
  <w:num w:numId="61">
    <w:abstractNumId w:val="149"/>
  </w:num>
  <w:num w:numId="62">
    <w:abstractNumId w:val="176"/>
  </w:num>
  <w:num w:numId="63">
    <w:abstractNumId w:val="328"/>
  </w:num>
  <w:num w:numId="64">
    <w:abstractNumId w:val="364"/>
  </w:num>
  <w:num w:numId="65">
    <w:abstractNumId w:val="682"/>
  </w:num>
  <w:num w:numId="66">
    <w:abstractNumId w:val="56"/>
  </w:num>
  <w:num w:numId="67">
    <w:abstractNumId w:val="519"/>
  </w:num>
  <w:num w:numId="68">
    <w:abstractNumId w:val="560"/>
  </w:num>
  <w:num w:numId="69">
    <w:abstractNumId w:val="283"/>
  </w:num>
  <w:num w:numId="70">
    <w:abstractNumId w:val="117"/>
  </w:num>
  <w:num w:numId="71">
    <w:abstractNumId w:val="845"/>
  </w:num>
  <w:num w:numId="72">
    <w:abstractNumId w:val="586"/>
  </w:num>
  <w:num w:numId="73">
    <w:abstractNumId w:val="132"/>
  </w:num>
  <w:num w:numId="74">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2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26"/>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24"/>
  </w:num>
  <w:num w:numId="80">
    <w:abstractNumId w:val="485"/>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7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810"/>
  </w:num>
  <w:num w:numId="84">
    <w:abstractNumId w:val="6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6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64"/>
  </w:num>
  <w:num w:numId="87">
    <w:abstractNumId w:val="621"/>
  </w:num>
  <w:num w:numId="88">
    <w:abstractNumId w:val="463"/>
  </w:num>
  <w:num w:numId="89">
    <w:abstractNumId w:val="409"/>
  </w:num>
  <w:num w:numId="90">
    <w:abstractNumId w:val="664"/>
  </w:num>
  <w:num w:numId="91">
    <w:abstractNumId w:val="850"/>
  </w:num>
  <w:num w:numId="92">
    <w:abstractNumId w:val="805"/>
  </w:num>
  <w:num w:numId="93">
    <w:abstractNumId w:val="391"/>
  </w:num>
  <w:num w:numId="94">
    <w:abstractNumId w:val="127"/>
  </w:num>
  <w:num w:numId="95">
    <w:abstractNumId w:val="0"/>
  </w:num>
  <w:num w:numId="96">
    <w:abstractNumId w:val="123"/>
  </w:num>
  <w:num w:numId="97">
    <w:abstractNumId w:val="751"/>
  </w:num>
  <w:num w:numId="98">
    <w:abstractNumId w:val="757"/>
  </w:num>
  <w:num w:numId="99">
    <w:abstractNumId w:val="173"/>
  </w:num>
  <w:num w:numId="100">
    <w:abstractNumId w:val="632"/>
  </w:num>
  <w:num w:numId="101">
    <w:abstractNumId w:val="276"/>
  </w:num>
  <w:num w:numId="102">
    <w:abstractNumId w:val="600"/>
  </w:num>
  <w:num w:numId="103">
    <w:abstractNumId w:val="769"/>
  </w:num>
  <w:num w:numId="104">
    <w:abstractNumId w:val="767"/>
  </w:num>
  <w:num w:numId="10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9"/>
  </w:num>
  <w:num w:numId="107">
    <w:abstractNumId w:val="783"/>
  </w:num>
  <w:num w:numId="108">
    <w:abstractNumId w:val="182"/>
  </w:num>
  <w:num w:numId="109">
    <w:abstractNumId w:val="27"/>
  </w:num>
  <w:num w:numId="110">
    <w:abstractNumId w:val="717"/>
  </w:num>
  <w:num w:numId="111">
    <w:abstractNumId w:val="604"/>
  </w:num>
  <w:num w:numId="112">
    <w:abstractNumId w:val="552"/>
  </w:num>
  <w:num w:numId="113">
    <w:abstractNumId w:val="15"/>
  </w:num>
  <w:num w:numId="114">
    <w:abstractNumId w:val="749"/>
  </w:num>
  <w:num w:numId="115">
    <w:abstractNumId w:val="503"/>
  </w:num>
  <w:num w:numId="116">
    <w:abstractNumId w:val="489"/>
  </w:num>
  <w:num w:numId="117">
    <w:abstractNumId w:val="14"/>
    <w:lvlOverride w:ilvl="0">
      <w:startOverride w:val="1"/>
    </w:lvlOverride>
    <w:lvlOverride w:ilvl="1"/>
    <w:lvlOverride w:ilvl="2"/>
    <w:lvlOverride w:ilvl="3"/>
    <w:lvlOverride w:ilvl="4"/>
    <w:lvlOverride w:ilvl="5"/>
    <w:lvlOverride w:ilvl="6"/>
    <w:lvlOverride w:ilvl="7"/>
    <w:lvlOverride w:ilvl="8"/>
  </w:num>
  <w:num w:numId="118">
    <w:abstractNumId w:val="35"/>
  </w:num>
  <w:num w:numId="119">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832"/>
  </w:num>
  <w:num w:numId="121">
    <w:abstractNumId w:val="475"/>
  </w:num>
  <w:num w:numId="122">
    <w:abstractNumId w:val="648"/>
  </w:num>
  <w:num w:numId="123">
    <w:abstractNumId w:val="309"/>
  </w:num>
  <w:num w:numId="124">
    <w:abstractNumId w:val="165"/>
  </w:num>
  <w:num w:numId="125">
    <w:abstractNumId w:val="514"/>
  </w:num>
  <w:num w:numId="126">
    <w:abstractNumId w:val="802"/>
  </w:num>
  <w:num w:numId="127">
    <w:abstractNumId w:val="348"/>
  </w:num>
  <w:num w:numId="128">
    <w:abstractNumId w:val="406"/>
  </w:num>
  <w:num w:numId="129">
    <w:abstractNumId w:val="138"/>
  </w:num>
  <w:num w:numId="130">
    <w:abstractNumId w:val="58"/>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816"/>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360"/>
  </w:num>
  <w:num w:numId="133">
    <w:abstractNumId w:val="679"/>
  </w:num>
  <w:num w:numId="134">
    <w:abstractNumId w:val="306"/>
  </w:num>
  <w:num w:numId="135">
    <w:abstractNumId w:val="649"/>
  </w:num>
  <w:num w:numId="136">
    <w:abstractNumId w:val="248"/>
  </w:num>
  <w:num w:numId="137">
    <w:abstractNumId w:val="791"/>
  </w:num>
  <w:num w:numId="138">
    <w:abstractNumId w:val="641"/>
  </w:num>
  <w:num w:numId="139">
    <w:abstractNumId w:val="848"/>
  </w:num>
  <w:num w:numId="140">
    <w:abstractNumId w:val="638"/>
  </w:num>
  <w:num w:numId="141">
    <w:abstractNumId w:val="255"/>
  </w:num>
  <w:num w:numId="142">
    <w:abstractNumId w:val="4"/>
  </w:num>
  <w:num w:numId="143">
    <w:abstractNumId w:val="790"/>
  </w:num>
  <w:num w:numId="144">
    <w:abstractNumId w:val="525"/>
  </w:num>
  <w:num w:numId="145">
    <w:abstractNumId w:val="376"/>
  </w:num>
  <w:num w:numId="146">
    <w:abstractNumId w:val="543"/>
  </w:num>
  <w:num w:numId="147">
    <w:abstractNumId w:val="103"/>
  </w:num>
  <w:num w:numId="148">
    <w:abstractNumId w:val="581"/>
  </w:num>
  <w:num w:numId="149">
    <w:abstractNumId w:val="585"/>
  </w:num>
  <w:num w:numId="150">
    <w:abstractNumId w:val="158"/>
  </w:num>
  <w:num w:numId="151">
    <w:abstractNumId w:val="472"/>
  </w:num>
  <w:num w:numId="152">
    <w:abstractNumId w:val="620"/>
  </w:num>
  <w:num w:numId="153">
    <w:abstractNumId w:val="38"/>
  </w:num>
  <w:num w:numId="154">
    <w:abstractNumId w:val="659"/>
  </w:num>
  <w:num w:numId="155">
    <w:abstractNumId w:val="528"/>
  </w:num>
  <w:num w:numId="156">
    <w:abstractNumId w:val="23"/>
  </w:num>
  <w:num w:numId="157">
    <w:abstractNumId w:val="804"/>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796"/>
  </w:num>
  <w:num w:numId="159">
    <w:abstractNumId w:val="520"/>
  </w:num>
  <w:num w:numId="160">
    <w:abstractNumId w:val="422"/>
  </w:num>
  <w:num w:numId="161">
    <w:abstractNumId w:val="629"/>
  </w:num>
  <w:num w:numId="162">
    <w:abstractNumId w:val="403"/>
  </w:num>
  <w:num w:numId="163">
    <w:abstractNumId w:val="126"/>
  </w:num>
  <w:num w:numId="164">
    <w:abstractNumId w:val="292"/>
  </w:num>
  <w:num w:numId="165">
    <w:abstractNumId w:val="65"/>
  </w:num>
  <w:num w:numId="166">
    <w:abstractNumId w:val="743"/>
  </w:num>
  <w:num w:numId="167">
    <w:abstractNumId w:val="140"/>
  </w:num>
  <w:num w:numId="168">
    <w:abstractNumId w:val="849"/>
  </w:num>
  <w:num w:numId="169">
    <w:abstractNumId w:val="821"/>
  </w:num>
  <w:num w:numId="170">
    <w:abstractNumId w:val="64"/>
  </w:num>
  <w:num w:numId="171">
    <w:abstractNumId w:val="513"/>
  </w:num>
  <w:num w:numId="172">
    <w:abstractNumId w:val="363"/>
  </w:num>
  <w:num w:numId="173">
    <w:abstractNumId w:val="703"/>
  </w:num>
  <w:num w:numId="174">
    <w:abstractNumId w:val="69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261"/>
  </w:num>
  <w:num w:numId="176">
    <w:abstractNumId w:val="830"/>
  </w:num>
  <w:num w:numId="177">
    <w:abstractNumId w:val="445"/>
  </w:num>
  <w:num w:numId="178">
    <w:abstractNumId w:val="768"/>
  </w:num>
  <w:num w:numId="179">
    <w:abstractNumId w:val="381"/>
  </w:num>
  <w:num w:numId="180">
    <w:abstractNumId w:val="610"/>
  </w:num>
  <w:num w:numId="181">
    <w:abstractNumId w:val="442"/>
  </w:num>
  <w:num w:numId="182">
    <w:abstractNumId w:val="5"/>
  </w:num>
  <w:num w:numId="183">
    <w:abstractNumId w:val="380"/>
  </w:num>
  <w:num w:numId="184">
    <w:abstractNumId w:val="500"/>
  </w:num>
  <w:num w:numId="185">
    <w:abstractNumId w:val="654"/>
  </w:num>
  <w:num w:numId="186">
    <w:abstractNumId w:val="366"/>
  </w:num>
  <w:num w:numId="187">
    <w:abstractNumId w:val="555"/>
  </w:num>
  <w:num w:numId="188">
    <w:abstractNumId w:val="558"/>
  </w:num>
  <w:num w:numId="189">
    <w:abstractNumId w:val="666"/>
  </w:num>
  <w:num w:numId="190">
    <w:abstractNumId w:val="756"/>
  </w:num>
  <w:num w:numId="191">
    <w:abstractNumId w:val="773"/>
  </w:num>
  <w:num w:numId="192">
    <w:abstractNumId w:val="26"/>
  </w:num>
  <w:num w:numId="193">
    <w:abstractNumId w:val="20"/>
  </w:num>
  <w:num w:numId="194">
    <w:abstractNumId w:val="331"/>
  </w:num>
  <w:num w:numId="195">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220"/>
  </w:num>
  <w:num w:numId="197">
    <w:abstractNumId w:val="825"/>
  </w:num>
  <w:num w:numId="198">
    <w:abstractNumId w:val="272"/>
  </w:num>
  <w:num w:numId="199">
    <w:abstractNumId w:val="645"/>
  </w:num>
  <w:num w:numId="200">
    <w:abstractNumId w:val="226"/>
  </w:num>
  <w:num w:numId="201">
    <w:abstractNumId w:val="72"/>
  </w:num>
  <w:num w:numId="202">
    <w:abstractNumId w:val="563"/>
  </w:num>
  <w:num w:numId="203">
    <w:abstractNumId w:val="811"/>
  </w:num>
  <w:num w:numId="204">
    <w:abstractNumId w:val="722"/>
  </w:num>
  <w:num w:numId="205">
    <w:abstractNumId w:val="377"/>
  </w:num>
  <w:num w:numId="206">
    <w:abstractNumId w:val="52"/>
  </w:num>
  <w:num w:numId="207">
    <w:abstractNumId w:val="729"/>
  </w:num>
  <w:num w:numId="208">
    <w:abstractNumId w:val="286"/>
  </w:num>
  <w:num w:numId="209">
    <w:abstractNumId w:val="166"/>
  </w:num>
  <w:num w:numId="210">
    <w:abstractNumId w:val="67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121"/>
  </w:num>
  <w:num w:numId="212">
    <w:abstractNumId w:val="568"/>
  </w:num>
  <w:num w:numId="213">
    <w:abstractNumId w:val="674"/>
  </w:num>
  <w:num w:numId="214">
    <w:abstractNumId w:val="467"/>
  </w:num>
  <w:num w:numId="215">
    <w:abstractNumId w:val="707"/>
  </w:num>
  <w:num w:numId="216">
    <w:abstractNumId w:val="124"/>
  </w:num>
  <w:num w:numId="217">
    <w:abstractNumId w:val="159"/>
  </w:num>
  <w:num w:numId="218">
    <w:abstractNumId w:val="344"/>
  </w:num>
  <w:num w:numId="219">
    <w:abstractNumId w:val="345"/>
  </w:num>
  <w:num w:numId="220">
    <w:abstractNumId w:val="262"/>
  </w:num>
  <w:num w:numId="221">
    <w:abstractNumId w:val="491"/>
  </w:num>
  <w:num w:numId="222">
    <w:abstractNumId w:val="456"/>
  </w:num>
  <w:num w:numId="223">
    <w:abstractNumId w:val="59"/>
  </w:num>
  <w:num w:numId="224">
    <w:abstractNumId w:val="160"/>
  </w:num>
  <w:num w:numId="225">
    <w:abstractNumId w:val="766"/>
  </w:num>
  <w:num w:numId="226">
    <w:abstractNumId w:val="493"/>
  </w:num>
  <w:num w:numId="227">
    <w:abstractNumId w:val="384"/>
  </w:num>
  <w:num w:numId="228">
    <w:abstractNumId w:val="565"/>
  </w:num>
  <w:num w:numId="229">
    <w:abstractNumId w:val="432"/>
  </w:num>
  <w:num w:numId="230">
    <w:abstractNumId w:val="282"/>
  </w:num>
  <w:num w:numId="231">
    <w:abstractNumId w:val="7"/>
  </w:num>
  <w:num w:numId="232">
    <w:abstractNumId w:val="142"/>
  </w:num>
  <w:num w:numId="233">
    <w:abstractNumId w:val="310"/>
    <w:lvlOverride w:ilvl="0">
      <w:startOverride w:val="17"/>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102"/>
  </w:num>
  <w:num w:numId="236">
    <w:abstractNumId w:val="396"/>
  </w:num>
  <w:num w:numId="237">
    <w:abstractNumId w:val="153"/>
  </w:num>
  <w:num w:numId="238">
    <w:abstractNumId w:val="362"/>
  </w:num>
  <w:num w:numId="239">
    <w:abstractNumId w:val="533"/>
  </w:num>
  <w:num w:numId="240">
    <w:abstractNumId w:val="33"/>
  </w:num>
  <w:num w:numId="241">
    <w:abstractNumId w:val="201"/>
  </w:num>
  <w:num w:numId="242">
    <w:abstractNumId w:val="237"/>
  </w:num>
  <w:num w:numId="243">
    <w:abstractNumId w:val="739"/>
  </w:num>
  <w:num w:numId="244">
    <w:abstractNumId w:val="819"/>
  </w:num>
  <w:num w:numId="245">
    <w:abstractNumId w:val="400"/>
  </w:num>
  <w:num w:numId="24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53"/>
  </w:num>
  <w:num w:numId="248">
    <w:abstractNumId w:val="314"/>
  </w:num>
  <w:num w:numId="249">
    <w:abstractNumId w:val="471"/>
  </w:num>
  <w:num w:numId="250">
    <w:abstractNumId w:val="405"/>
  </w:num>
  <w:num w:numId="251">
    <w:abstractNumId w:val="147"/>
  </w:num>
  <w:num w:numId="252">
    <w:abstractNumId w:val="371"/>
  </w:num>
  <w:num w:numId="253">
    <w:abstractNumId w:val="502"/>
  </w:num>
  <w:num w:numId="254">
    <w:abstractNumId w:val="683"/>
  </w:num>
  <w:num w:numId="255">
    <w:abstractNumId w:val="296"/>
  </w:num>
  <w:num w:numId="256">
    <w:abstractNumId w:val="267"/>
  </w:num>
  <w:num w:numId="257">
    <w:abstractNumId w:val="217"/>
    <w:lvlOverride w:ilvl="0">
      <w:startOverride w:val="1"/>
    </w:lvlOverride>
    <w:lvlOverride w:ilvl="1"/>
    <w:lvlOverride w:ilvl="2"/>
    <w:lvlOverride w:ilvl="3"/>
    <w:lvlOverride w:ilvl="4"/>
    <w:lvlOverride w:ilvl="5"/>
    <w:lvlOverride w:ilvl="6"/>
    <w:lvlOverride w:ilvl="7"/>
    <w:lvlOverride w:ilvl="8"/>
  </w:num>
  <w:num w:numId="258">
    <w:abstractNumId w:val="495"/>
  </w:num>
  <w:num w:numId="259">
    <w:abstractNumId w:val="341"/>
  </w:num>
  <w:num w:numId="260">
    <w:abstractNumId w:val="566"/>
  </w:num>
  <w:num w:numId="261">
    <w:abstractNumId w:val="7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772"/>
  </w:num>
  <w:num w:numId="263">
    <w:abstractNumId w:val="368"/>
  </w:num>
  <w:num w:numId="264">
    <w:abstractNumId w:val="31"/>
  </w:num>
  <w:num w:numId="265">
    <w:abstractNumId w:val="730"/>
  </w:num>
  <w:num w:numId="266">
    <w:abstractNumId w:val="106"/>
  </w:num>
  <w:num w:numId="267">
    <w:abstractNumId w:val="6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656"/>
  </w:num>
  <w:num w:numId="269">
    <w:abstractNumId w:val="271"/>
  </w:num>
  <w:num w:numId="270">
    <w:abstractNumId w:val="640"/>
  </w:num>
  <w:num w:numId="271">
    <w:abstractNumId w:val="163"/>
  </w:num>
  <w:num w:numId="272">
    <w:abstractNumId w:val="3"/>
  </w:num>
  <w:num w:numId="273">
    <w:abstractNumId w:val="2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665"/>
  </w:num>
  <w:num w:numId="275">
    <w:abstractNumId w:val="179"/>
  </w:num>
  <w:num w:numId="276">
    <w:abstractNumId w:val="80"/>
  </w:num>
  <w:num w:numId="277">
    <w:abstractNumId w:val="799"/>
  </w:num>
  <w:num w:numId="278">
    <w:abstractNumId w:val="9"/>
  </w:num>
  <w:num w:numId="279">
    <w:abstractNumId w:val="521"/>
  </w:num>
  <w:num w:numId="280">
    <w:abstractNumId w:val="50"/>
  </w:num>
  <w:num w:numId="281">
    <w:abstractNumId w:val="329"/>
  </w:num>
  <w:num w:numId="282">
    <w:abstractNumId w:val="635"/>
  </w:num>
  <w:num w:numId="283">
    <w:abstractNumId w:val="775"/>
  </w:num>
  <w:num w:numId="284">
    <w:abstractNumId w:val="426"/>
  </w:num>
  <w:num w:numId="285">
    <w:abstractNumId w:val="6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84"/>
  </w:num>
  <w:num w:numId="287">
    <w:abstractNumId w:val="813"/>
  </w:num>
  <w:num w:numId="288">
    <w:abstractNumId w:val="5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459"/>
  </w:num>
  <w:num w:numId="290">
    <w:abstractNumId w:val="726"/>
  </w:num>
  <w:num w:numId="291">
    <w:abstractNumId w:val="7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429"/>
  </w:num>
  <w:num w:numId="293">
    <w:abstractNumId w:val="60"/>
  </w:num>
  <w:num w:numId="294">
    <w:abstractNumId w:val="823"/>
    <w:lvlOverride w:ilvl="0">
      <w:startOverride w:val="1"/>
    </w:lvlOverride>
    <w:lvlOverride w:ilvl="1"/>
    <w:lvlOverride w:ilvl="2"/>
    <w:lvlOverride w:ilvl="3"/>
    <w:lvlOverride w:ilvl="4"/>
    <w:lvlOverride w:ilvl="5"/>
    <w:lvlOverride w:ilvl="6"/>
    <w:lvlOverride w:ilvl="7"/>
    <w:lvlOverride w:ilvl="8"/>
  </w:num>
  <w:num w:numId="295">
    <w:abstractNumId w:val="515"/>
  </w:num>
  <w:num w:numId="296">
    <w:abstractNumId w:val="221"/>
  </w:num>
  <w:num w:numId="297">
    <w:abstractNumId w:val="192"/>
  </w:num>
  <w:num w:numId="298">
    <w:abstractNumId w:val="141"/>
  </w:num>
  <w:num w:numId="299">
    <w:abstractNumId w:val="700"/>
  </w:num>
  <w:num w:numId="300">
    <w:abstractNumId w:val="136"/>
    <w:lvlOverride w:ilvl="0">
      <w:startOverride w:val="1"/>
    </w:lvlOverride>
    <w:lvlOverride w:ilvl="1"/>
    <w:lvlOverride w:ilvl="2"/>
    <w:lvlOverride w:ilvl="3"/>
    <w:lvlOverride w:ilvl="4"/>
    <w:lvlOverride w:ilvl="5"/>
    <w:lvlOverride w:ilvl="6"/>
    <w:lvlOverride w:ilvl="7"/>
    <w:lvlOverride w:ilvl="8"/>
  </w:num>
  <w:num w:numId="301">
    <w:abstractNumId w:val="481"/>
  </w:num>
  <w:num w:numId="302">
    <w:abstractNumId w:val="595"/>
  </w:num>
  <w:num w:numId="303">
    <w:abstractNumId w:val="258"/>
  </w:num>
  <w:num w:numId="304">
    <w:abstractNumId w:val="250"/>
  </w:num>
  <w:num w:numId="305">
    <w:abstractNumId w:val="319"/>
  </w:num>
  <w:num w:numId="306">
    <w:abstractNumId w:val="417"/>
  </w:num>
  <w:num w:numId="307">
    <w:abstractNumId w:val="13"/>
  </w:num>
  <w:num w:numId="308">
    <w:abstractNumId w:val="387"/>
  </w:num>
  <w:num w:numId="309">
    <w:abstractNumId w:val="718"/>
  </w:num>
  <w:num w:numId="310">
    <w:abstractNumId w:val="277"/>
  </w:num>
  <w:num w:numId="311">
    <w:abstractNumId w:val="626"/>
  </w:num>
  <w:num w:numId="312">
    <w:abstractNumId w:val="318"/>
  </w:num>
  <w:num w:numId="313">
    <w:abstractNumId w:val="397"/>
  </w:num>
  <w:num w:numId="314">
    <w:abstractNumId w:val="323"/>
  </w:num>
  <w:num w:numId="315">
    <w:abstractNumId w:val="169"/>
  </w:num>
  <w:num w:numId="316">
    <w:abstractNumId w:val="778"/>
  </w:num>
  <w:num w:numId="317">
    <w:abstractNumId w:val="183"/>
  </w:num>
  <w:num w:numId="318">
    <w:abstractNumId w:val="254"/>
  </w:num>
  <w:num w:numId="319">
    <w:abstractNumId w:val="597"/>
  </w:num>
  <w:num w:numId="320">
    <w:abstractNumId w:val="441"/>
  </w:num>
  <w:num w:numId="321">
    <w:abstractNumId w:val="164"/>
  </w:num>
  <w:num w:numId="322">
    <w:abstractNumId w:val="110"/>
  </w:num>
  <w:num w:numId="323">
    <w:abstractNumId w:val="66"/>
  </w:num>
  <w:num w:numId="324">
    <w:abstractNumId w:val="285"/>
  </w:num>
  <w:num w:numId="325">
    <w:abstractNumId w:val="253"/>
  </w:num>
  <w:num w:numId="326">
    <w:abstractNumId w:val="579"/>
  </w:num>
  <w:num w:numId="327">
    <w:abstractNumId w:val="602"/>
  </w:num>
  <w:num w:numId="328">
    <w:abstractNumId w:val="398"/>
  </w:num>
  <w:num w:numId="329">
    <w:abstractNumId w:val="709"/>
  </w:num>
  <w:num w:numId="330">
    <w:abstractNumId w:val="247"/>
  </w:num>
  <w:num w:numId="331">
    <w:abstractNumId w:val="246"/>
  </w:num>
  <w:num w:numId="332">
    <w:abstractNumId w:val="295"/>
  </w:num>
  <w:num w:numId="333">
    <w:abstractNumId w:val="133"/>
  </w:num>
  <w:num w:numId="334">
    <w:abstractNumId w:val="754"/>
  </w:num>
  <w:num w:numId="335">
    <w:abstractNumId w:val="350"/>
  </w:num>
  <w:num w:numId="336">
    <w:abstractNumId w:val="786"/>
  </w:num>
  <w:num w:numId="337">
    <w:abstractNumId w:val="460"/>
  </w:num>
  <w:num w:numId="338">
    <w:abstractNumId w:val="88"/>
  </w:num>
  <w:num w:numId="339">
    <w:abstractNumId w:val="63"/>
  </w:num>
  <w:num w:numId="340">
    <w:abstractNumId w:val="457"/>
  </w:num>
  <w:num w:numId="341">
    <w:abstractNumId w:val="551"/>
  </w:num>
  <w:num w:numId="342">
    <w:abstractNumId w:val="705"/>
  </w:num>
  <w:num w:numId="343">
    <w:abstractNumId w:val="353"/>
  </w:num>
  <w:num w:numId="344">
    <w:abstractNumId w:val="284"/>
  </w:num>
  <w:num w:numId="345">
    <w:abstractNumId w:val="611"/>
  </w:num>
  <w:num w:numId="346">
    <w:abstractNumId w:val="302"/>
  </w:num>
  <w:num w:numId="347">
    <w:abstractNumId w:val="205"/>
  </w:num>
  <w:num w:numId="348">
    <w:abstractNumId w:val="134"/>
  </w:num>
  <w:num w:numId="349">
    <w:abstractNumId w:val="231"/>
  </w:num>
  <w:num w:numId="350">
    <w:abstractNumId w:val="372"/>
  </w:num>
  <w:num w:numId="351">
    <w:abstractNumId w:val="16"/>
  </w:num>
  <w:num w:numId="352">
    <w:abstractNumId w:val="40"/>
  </w:num>
  <w:num w:numId="353">
    <w:abstractNumId w:val="87"/>
  </w:num>
  <w:num w:numId="354">
    <w:abstractNumId w:val="85"/>
  </w:num>
  <w:num w:numId="355">
    <w:abstractNumId w:val="541"/>
  </w:num>
  <w:num w:numId="356">
    <w:abstractNumId w:val="275"/>
  </w:num>
  <w:num w:numId="357">
    <w:abstractNumId w:val="68"/>
  </w:num>
  <w:num w:numId="358">
    <w:abstractNumId w:val="199"/>
  </w:num>
  <w:num w:numId="359">
    <w:abstractNumId w:val="43"/>
  </w:num>
  <w:num w:numId="360">
    <w:abstractNumId w:val="180"/>
  </w:num>
  <w:num w:numId="361">
    <w:abstractNumId w:val="303"/>
  </w:num>
  <w:num w:numId="362">
    <w:abstractNumId w:val="795"/>
  </w:num>
  <w:num w:numId="363">
    <w:abstractNumId w:val="343"/>
  </w:num>
  <w:num w:numId="364">
    <w:abstractNumId w:val="618"/>
  </w:num>
  <w:num w:numId="365">
    <w:abstractNumId w:val="51"/>
  </w:num>
  <w:num w:numId="366">
    <w:abstractNumId w:val="342"/>
  </w:num>
  <w:num w:numId="367">
    <w:abstractNumId w:val="107"/>
  </w:num>
  <w:num w:numId="368">
    <w:abstractNumId w:val="42"/>
  </w:num>
  <w:num w:numId="369">
    <w:abstractNumId w:val="312"/>
  </w:num>
  <w:num w:numId="370">
    <w:abstractNumId w:val="680"/>
  </w:num>
  <w:num w:numId="371">
    <w:abstractNumId w:val="241"/>
  </w:num>
  <w:num w:numId="372">
    <w:abstractNumId w:val="290"/>
  </w:num>
  <w:num w:numId="373">
    <w:abstractNumId w:val="135"/>
  </w:num>
  <w:num w:numId="374">
    <w:abstractNumId w:val="492"/>
  </w:num>
  <w:num w:numId="375">
    <w:abstractNumId w:val="17"/>
  </w:num>
  <w:num w:numId="376">
    <w:abstractNumId w:val="297"/>
  </w:num>
  <w:num w:numId="377">
    <w:abstractNumId w:val="508"/>
  </w:num>
  <w:num w:numId="378">
    <w:abstractNumId w:val="223"/>
  </w:num>
  <w:num w:numId="379">
    <w:abstractNumId w:val="470"/>
  </w:num>
  <w:num w:numId="380">
    <w:abstractNumId w:val="90"/>
  </w:num>
  <w:num w:numId="381">
    <w:abstractNumId w:val="327"/>
  </w:num>
  <w:num w:numId="382">
    <w:abstractNumId w:val="416"/>
  </w:num>
  <w:num w:numId="383">
    <w:abstractNumId w:val="803"/>
  </w:num>
  <w:num w:numId="384">
    <w:abstractNumId w:val="794"/>
  </w:num>
  <w:num w:numId="385">
    <w:abstractNumId w:val="512"/>
  </w:num>
  <w:num w:numId="386">
    <w:abstractNumId w:val="527"/>
  </w:num>
  <w:num w:numId="387">
    <w:abstractNumId w:val="801"/>
  </w:num>
  <w:num w:numId="388">
    <w:abstractNumId w:val="469"/>
  </w:num>
  <w:num w:numId="389">
    <w:abstractNumId w:val="301"/>
  </w:num>
  <w:num w:numId="390">
    <w:abstractNumId w:val="278"/>
  </w:num>
  <w:num w:numId="391">
    <w:abstractNumId w:val="479"/>
  </w:num>
  <w:num w:numId="392">
    <w:abstractNumId w:val="570"/>
  </w:num>
  <w:num w:numId="393">
    <w:abstractNumId w:val="304"/>
  </w:num>
  <w:num w:numId="394">
    <w:abstractNumId w:val="569"/>
  </w:num>
  <w:num w:numId="395">
    <w:abstractNumId w:val="510"/>
  </w:num>
  <w:num w:numId="396">
    <w:abstractNumId w:val="531"/>
  </w:num>
  <w:num w:numId="397">
    <w:abstractNumId w:val="580"/>
  </w:num>
  <w:num w:numId="398">
    <w:abstractNumId w:val="172"/>
  </w:num>
  <w:num w:numId="399">
    <w:abstractNumId w:val="415"/>
  </w:num>
  <w:num w:numId="400">
    <w:abstractNumId w:val="326"/>
  </w:num>
  <w:num w:numId="401">
    <w:abstractNumId w:val="567"/>
  </w:num>
  <w:num w:numId="402">
    <w:abstractNumId w:val="109"/>
  </w:num>
  <w:num w:numId="403">
    <w:abstractNumId w:val="759"/>
  </w:num>
  <w:num w:numId="404">
    <w:abstractNumId w:val="315"/>
  </w:num>
  <w:num w:numId="405">
    <w:abstractNumId w:val="44"/>
  </w:num>
  <w:num w:numId="406">
    <w:abstractNumId w:val="97"/>
  </w:num>
  <w:num w:numId="407">
    <w:abstractNumId w:val="351"/>
  </w:num>
  <w:num w:numId="408">
    <w:abstractNumId w:val="317"/>
  </w:num>
  <w:num w:numId="409">
    <w:abstractNumId w:val="175"/>
  </w:num>
  <w:num w:numId="410">
    <w:abstractNumId w:val="523"/>
  </w:num>
  <w:num w:numId="411">
    <w:abstractNumId w:val="677"/>
  </w:num>
  <w:num w:numId="412">
    <w:abstractNumId w:val="549"/>
  </w:num>
  <w:num w:numId="413">
    <w:abstractNumId w:val="188"/>
  </w:num>
  <w:num w:numId="414">
    <w:abstractNumId w:val="225"/>
  </w:num>
  <w:num w:numId="415">
    <w:abstractNumId w:val="788"/>
  </w:num>
  <w:num w:numId="416">
    <w:abstractNumId w:val="125"/>
  </w:num>
  <w:num w:numId="417">
    <w:abstractNumId w:val="750"/>
  </w:num>
  <w:num w:numId="418">
    <w:abstractNumId w:val="613"/>
  </w:num>
  <w:num w:numId="419">
    <w:abstractNumId w:val="542"/>
  </w:num>
  <w:num w:numId="420">
    <w:abstractNumId w:val="780"/>
  </w:num>
  <w:num w:numId="421">
    <w:abstractNumId w:val="337"/>
  </w:num>
  <w:num w:numId="422">
    <w:abstractNumId w:val="411"/>
  </w:num>
  <w:num w:numId="423">
    <w:abstractNumId w:val="118"/>
  </w:num>
  <w:num w:numId="424">
    <w:abstractNumId w:val="687"/>
  </w:num>
  <w:num w:numId="425">
    <w:abstractNumId w:val="399"/>
  </w:num>
  <w:num w:numId="426">
    <w:abstractNumId w:val="455"/>
  </w:num>
  <w:num w:numId="427">
    <w:abstractNumId w:val="95"/>
  </w:num>
  <w:num w:numId="428">
    <w:abstractNumId w:val="836"/>
  </w:num>
  <w:num w:numId="429">
    <w:abstractNumId w:val="660"/>
  </w:num>
  <w:num w:numId="430">
    <w:abstractNumId w:val="177"/>
  </w:num>
  <w:num w:numId="431">
    <w:abstractNumId w:val="242"/>
  </w:num>
  <w:num w:numId="432">
    <w:abstractNumId w:val="171"/>
  </w:num>
  <w:num w:numId="433">
    <w:abstractNumId w:val="37"/>
  </w:num>
  <w:num w:numId="434">
    <w:abstractNumId w:val="548"/>
  </w:num>
  <w:num w:numId="435">
    <w:abstractNumId w:val="838"/>
  </w:num>
  <w:num w:numId="436">
    <w:abstractNumId w:val="70"/>
  </w:num>
  <w:num w:numId="437">
    <w:abstractNumId w:val="408"/>
  </w:num>
  <w:num w:numId="438">
    <w:abstractNumId w:val="538"/>
  </w:num>
  <w:num w:numId="439">
    <w:abstractNumId w:val="234"/>
  </w:num>
  <w:num w:numId="440">
    <w:abstractNumId w:val="840"/>
  </w:num>
  <w:num w:numId="441">
    <w:abstractNumId w:val="75"/>
  </w:num>
  <w:num w:numId="442">
    <w:abstractNumId w:val="94"/>
  </w:num>
  <w:num w:numId="443">
    <w:abstractNumId w:val="233"/>
  </w:num>
  <w:num w:numId="444">
    <w:abstractNumId w:val="653"/>
  </w:num>
  <w:num w:numId="445">
    <w:abstractNumId w:val="210"/>
  </w:num>
  <w:num w:numId="446">
    <w:abstractNumId w:val="6"/>
  </w:num>
  <w:num w:numId="447">
    <w:abstractNumId w:val="202"/>
  </w:num>
  <w:num w:numId="448">
    <w:abstractNumId w:val="646"/>
  </w:num>
  <w:num w:numId="449">
    <w:abstractNumId w:val="785"/>
  </w:num>
  <w:num w:numId="450">
    <w:abstractNumId w:val="321"/>
  </w:num>
  <w:num w:numId="451">
    <w:abstractNumId w:val="404"/>
  </w:num>
  <w:num w:numId="452">
    <w:abstractNumId w:val="744"/>
  </w:num>
  <w:num w:numId="453">
    <w:abstractNumId w:val="578"/>
  </w:num>
  <w:num w:numId="454">
    <w:abstractNumId w:val="11"/>
  </w:num>
  <w:num w:numId="455">
    <w:abstractNumId w:val="827"/>
  </w:num>
  <w:num w:numId="456">
    <w:abstractNumId w:val="320"/>
  </w:num>
  <w:num w:numId="457">
    <w:abstractNumId w:val="181"/>
  </w:num>
  <w:num w:numId="458">
    <w:abstractNumId w:val="575"/>
  </w:num>
  <w:num w:numId="459">
    <w:abstractNumId w:val="647"/>
  </w:num>
  <w:num w:numId="460">
    <w:abstractNumId w:val="793"/>
  </w:num>
  <w:num w:numId="461">
    <w:abstractNumId w:val="379"/>
  </w:num>
  <w:num w:numId="462">
    <w:abstractNumId w:val="79"/>
  </w:num>
  <w:num w:numId="463">
    <w:abstractNumId w:val="150"/>
  </w:num>
  <w:num w:numId="464">
    <w:abstractNumId w:val="256"/>
  </w:num>
  <w:num w:numId="465">
    <w:abstractNumId w:val="395"/>
  </w:num>
  <w:num w:numId="466">
    <w:abstractNumId w:val="544"/>
  </w:num>
  <w:num w:numId="467">
    <w:abstractNumId w:val="335"/>
  </w:num>
  <w:num w:numId="468">
    <w:abstractNumId w:val="818"/>
  </w:num>
  <w:num w:numId="469">
    <w:abstractNumId w:val="740"/>
  </w:num>
  <w:num w:numId="470">
    <w:abstractNumId w:val="736"/>
  </w:num>
  <w:num w:numId="471">
    <w:abstractNumId w:val="539"/>
  </w:num>
  <w:num w:numId="472">
    <w:abstractNumId w:val="497"/>
  </w:num>
  <w:num w:numId="473">
    <w:abstractNumId w:val="214"/>
  </w:num>
  <w:num w:numId="474">
    <w:abstractNumId w:val="685"/>
  </w:num>
  <w:num w:numId="475">
    <w:abstractNumId w:val="5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6">
    <w:abstractNumId w:val="74"/>
  </w:num>
  <w:num w:numId="477">
    <w:abstractNumId w:val="45"/>
  </w:num>
  <w:num w:numId="478">
    <w:abstractNumId w:val="438"/>
  </w:num>
  <w:num w:numId="479">
    <w:abstractNumId w:val="349"/>
  </w:num>
  <w:num w:numId="480">
    <w:abstractNumId w:val="689"/>
  </w:num>
  <w:num w:numId="481">
    <w:abstractNumId w:val="516"/>
  </w:num>
  <w:num w:numId="482">
    <w:abstractNumId w:val="562"/>
  </w:num>
  <w:num w:numId="483">
    <w:abstractNumId w:val="358"/>
  </w:num>
  <w:num w:numId="484">
    <w:abstractNumId w:val="144"/>
  </w:num>
  <w:num w:numId="485">
    <w:abstractNumId w:val="587"/>
  </w:num>
  <w:num w:numId="486">
    <w:abstractNumId w:val="451"/>
  </w:num>
  <w:num w:numId="487">
    <w:abstractNumId w:val="731"/>
  </w:num>
  <w:num w:numId="488">
    <w:abstractNumId w:val="747"/>
  </w:num>
  <w:num w:numId="489">
    <w:abstractNumId w:val="197"/>
  </w:num>
  <w:num w:numId="490">
    <w:abstractNumId w:val="577"/>
  </w:num>
  <w:num w:numId="491">
    <w:abstractNumId w:val="617"/>
  </w:num>
  <w:num w:numId="492">
    <w:abstractNumId w:val="434"/>
  </w:num>
  <w:num w:numId="493">
    <w:abstractNumId w:val="413"/>
  </w:num>
  <w:num w:numId="494">
    <w:abstractNumId w:val="334"/>
  </w:num>
  <w:num w:numId="495">
    <w:abstractNumId w:val="518"/>
  </w:num>
  <w:num w:numId="496">
    <w:abstractNumId w:val="300"/>
  </w:num>
  <w:num w:numId="497">
    <w:abstractNumId w:val="269"/>
  </w:num>
  <w:num w:numId="498">
    <w:abstractNumId w:val="522"/>
  </w:num>
  <w:num w:numId="499">
    <w:abstractNumId w:val="62"/>
  </w:num>
  <w:num w:numId="500">
    <w:abstractNumId w:val="336"/>
  </w:num>
  <w:num w:numId="501">
    <w:abstractNumId w:val="809"/>
  </w:num>
  <w:num w:numId="502">
    <w:abstractNumId w:val="603"/>
  </w:num>
  <w:num w:numId="503">
    <w:abstractNumId w:val="385"/>
  </w:num>
  <w:num w:numId="504">
    <w:abstractNumId w:val="777"/>
  </w:num>
  <w:num w:numId="505">
    <w:abstractNumId w:val="699"/>
  </w:num>
  <w:num w:numId="506">
    <w:abstractNumId w:val="592"/>
  </w:num>
  <w:num w:numId="507">
    <w:abstractNumId w:val="34"/>
  </w:num>
  <w:num w:numId="508">
    <w:abstractNumId w:val="189"/>
  </w:num>
  <w:num w:numId="509">
    <w:abstractNumId w:val="810"/>
  </w:num>
  <w:num w:numId="510">
    <w:abstractNumId w:val="355"/>
  </w:num>
  <w:num w:numId="511">
    <w:abstractNumId w:val="651"/>
  </w:num>
  <w:num w:numId="512">
    <w:abstractNumId w:val="89"/>
  </w:num>
  <w:num w:numId="513">
    <w:abstractNumId w:val="55"/>
  </w:num>
  <w:num w:numId="514">
    <w:abstractNumId w:val="5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5">
    <w:abstractNumId w:val="5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6">
    <w:abstractNumId w:val="407"/>
  </w:num>
  <w:num w:numId="517">
    <w:abstractNumId w:val="826"/>
  </w:num>
  <w:num w:numId="518">
    <w:abstractNumId w:val="807"/>
  </w:num>
  <w:num w:numId="519">
    <w:abstractNumId w:val="841"/>
  </w:num>
  <w:num w:numId="520">
    <w:abstractNumId w:val="104"/>
  </w:num>
  <w:num w:numId="521">
    <w:abstractNumId w:val="273"/>
  </w:num>
  <w:num w:numId="522">
    <w:abstractNumId w:val="161"/>
  </w:num>
  <w:num w:numId="523">
    <w:abstractNumId w:val="388"/>
  </w:num>
  <w:num w:numId="524">
    <w:abstractNumId w:val="81"/>
  </w:num>
  <w:num w:numId="525">
    <w:abstractNumId w:val="684"/>
  </w:num>
  <w:num w:numId="526">
    <w:abstractNumId w:val="831"/>
  </w:num>
  <w:num w:numId="527">
    <w:abstractNumId w:val="347"/>
  </w:num>
  <w:num w:numId="528">
    <w:abstractNumId w:val="669"/>
  </w:num>
  <w:num w:numId="529">
    <w:abstractNumId w:val="252"/>
  </w:num>
  <w:num w:numId="530">
    <w:abstractNumId w:val="657"/>
  </w:num>
  <w:num w:numId="531">
    <w:abstractNumId w:val="591"/>
  </w:num>
  <w:num w:numId="532">
    <w:abstractNumId w:val="22"/>
  </w:num>
  <w:num w:numId="533">
    <w:abstractNumId w:val="215"/>
  </w:num>
  <w:num w:numId="534">
    <w:abstractNumId w:val="410"/>
  </w:num>
  <w:num w:numId="535">
    <w:abstractNumId w:val="29"/>
  </w:num>
  <w:num w:numId="536">
    <w:abstractNumId w:val="86"/>
  </w:num>
  <w:num w:numId="537">
    <w:abstractNumId w:val="762"/>
  </w:num>
  <w:num w:numId="538">
    <w:abstractNumId w:val="437"/>
  </w:num>
  <w:num w:numId="539">
    <w:abstractNumId w:val="501"/>
  </w:num>
  <w:num w:numId="540">
    <w:abstractNumId w:val="787"/>
  </w:num>
  <w:num w:numId="541">
    <w:abstractNumId w:val="633"/>
  </w:num>
  <w:num w:numId="542">
    <w:abstractNumId w:val="480"/>
  </w:num>
  <w:num w:numId="543">
    <w:abstractNumId w:val="448"/>
  </w:num>
  <w:num w:numId="544">
    <w:abstractNumId w:val="392"/>
  </w:num>
  <w:num w:numId="545">
    <w:abstractNumId w:val="843"/>
  </w:num>
  <w:num w:numId="546">
    <w:abstractNumId w:val="559"/>
  </w:num>
  <w:num w:numId="547">
    <w:abstractNumId w:val="763"/>
  </w:num>
  <w:num w:numId="548">
    <w:abstractNumId w:val="634"/>
  </w:num>
  <w:num w:numId="549">
    <w:abstractNumId w:val="218"/>
  </w:num>
  <w:num w:numId="550">
    <w:abstractNumId w:val="496"/>
  </w:num>
  <w:num w:numId="551">
    <w:abstractNumId w:val="447"/>
  </w:num>
  <w:num w:numId="552">
    <w:abstractNumId w:val="808"/>
  </w:num>
  <w:num w:numId="553">
    <w:abstractNumId w:val="765"/>
  </w:num>
  <w:num w:numId="554">
    <w:abstractNumId w:val="49"/>
  </w:num>
  <w:num w:numId="555">
    <w:abstractNumId w:val="753"/>
  </w:num>
  <w:num w:numId="556">
    <w:abstractNumId w:val="792"/>
  </w:num>
  <w:num w:numId="557">
    <w:abstractNumId w:val="156"/>
  </w:num>
  <w:num w:numId="558">
    <w:abstractNumId w:val="260"/>
  </w:num>
  <w:num w:numId="559">
    <w:abstractNumId w:val="316"/>
  </w:num>
  <w:num w:numId="560">
    <w:abstractNumId w:val="287"/>
  </w:num>
  <w:num w:numId="561">
    <w:abstractNumId w:val="619"/>
  </w:num>
  <w:num w:numId="562">
    <w:abstractNumId w:val="187"/>
  </w:num>
  <w:num w:numId="563">
    <w:abstractNumId w:val="815"/>
  </w:num>
  <w:num w:numId="564">
    <w:abstractNumId w:val="529"/>
  </w:num>
  <w:num w:numId="565">
    <w:abstractNumId w:val="719"/>
  </w:num>
  <w:num w:numId="566">
    <w:abstractNumId w:val="557"/>
  </w:num>
  <w:num w:numId="567">
    <w:abstractNumId w:val="697"/>
  </w:num>
  <w:num w:numId="568">
    <w:abstractNumId w:val="695"/>
  </w:num>
  <w:num w:numId="569">
    <w:abstractNumId w:val="78"/>
  </w:num>
  <w:num w:numId="570">
    <w:abstractNumId w:val="420"/>
  </w:num>
  <w:num w:numId="571">
    <w:abstractNumId w:val="612"/>
  </w:num>
  <w:num w:numId="572">
    <w:abstractNumId w:val="449"/>
  </w:num>
  <w:num w:numId="573">
    <w:abstractNumId w:val="486"/>
  </w:num>
  <w:num w:numId="574">
    <w:abstractNumId w:val="681"/>
  </w:num>
  <w:num w:numId="575">
    <w:abstractNumId w:val="694"/>
  </w:num>
  <w:num w:numId="576">
    <w:abstractNumId w:val="352"/>
  </w:num>
  <w:num w:numId="577">
    <w:abstractNumId w:val="615"/>
  </w:num>
  <w:num w:numId="578">
    <w:abstractNumId w:val="105"/>
  </w:num>
  <w:num w:numId="579">
    <w:abstractNumId w:val="157"/>
  </w:num>
  <w:num w:numId="580">
    <w:abstractNumId w:val="265"/>
  </w:num>
  <w:num w:numId="581">
    <w:abstractNumId w:val="599"/>
  </w:num>
  <w:num w:numId="582">
    <w:abstractNumId w:val="373"/>
  </w:num>
  <w:num w:numId="583">
    <w:abstractNumId w:val="661"/>
  </w:num>
  <w:num w:numId="584">
    <w:abstractNumId w:val="61"/>
  </w:num>
  <w:num w:numId="585">
    <w:abstractNumId w:val="601"/>
  </w:num>
  <w:num w:numId="586">
    <w:abstractNumId w:val="324"/>
  </w:num>
  <w:num w:numId="587">
    <w:abstractNumId w:val="365"/>
  </w:num>
  <w:num w:numId="588">
    <w:abstractNumId w:val="374"/>
  </w:num>
  <w:num w:numId="589">
    <w:abstractNumId w:val="494"/>
  </w:num>
  <w:num w:numId="590">
    <w:abstractNumId w:val="671"/>
  </w:num>
  <w:num w:numId="591">
    <w:abstractNumId w:val="18"/>
  </w:num>
  <w:num w:numId="592">
    <w:abstractNumId w:val="322"/>
  </w:num>
  <w:num w:numId="593">
    <w:abstractNumId w:val="734"/>
  </w:num>
  <w:num w:numId="594">
    <w:abstractNumId w:val="779"/>
  </w:num>
  <w:num w:numId="595">
    <w:abstractNumId w:val="230"/>
  </w:num>
  <w:num w:numId="596">
    <w:abstractNumId w:val="524"/>
  </w:num>
  <w:num w:numId="597">
    <w:abstractNumId w:val="389"/>
  </w:num>
  <w:num w:numId="598">
    <w:abstractNumId w:val="573"/>
  </w:num>
  <w:num w:numId="599">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0">
    <w:abstractNumId w:val="5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1">
    <w:abstractNumId w:val="741"/>
  </w:num>
  <w:num w:numId="602">
    <w:abstractNumId w:val="8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3">
    <w:abstractNumId w:val="30"/>
  </w:num>
  <w:num w:numId="60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5">
    <w:abstractNumId w:val="435"/>
  </w:num>
  <w:num w:numId="606">
    <w:abstractNumId w:val="725"/>
  </w:num>
  <w:num w:numId="607">
    <w:abstractNumId w:val="487"/>
  </w:num>
  <w:num w:numId="608">
    <w:abstractNumId w:val="419"/>
  </w:num>
  <w:num w:numId="609">
    <w:abstractNumId w:val="482"/>
  </w:num>
  <w:num w:numId="610">
    <w:abstractNumId w:val="339"/>
  </w:num>
  <w:num w:numId="611">
    <w:abstractNumId w:val="752"/>
  </w:num>
  <w:num w:numId="612">
    <w:abstractNumId w:val="652"/>
  </w:num>
  <w:num w:numId="613">
    <w:abstractNumId w:val="839"/>
  </w:num>
  <w:num w:numId="614">
    <w:abstractNumId w:val="668"/>
  </w:num>
  <w:num w:numId="615">
    <w:abstractNumId w:val="289"/>
  </w:num>
  <w:num w:numId="616">
    <w:abstractNumId w:val="797"/>
  </w:num>
  <w:num w:numId="617">
    <w:abstractNumId w:val="637"/>
  </w:num>
  <w:num w:numId="618">
    <w:abstractNumId w:val="196"/>
  </w:num>
  <w:num w:numId="619">
    <w:abstractNumId w:val="630"/>
  </w:num>
  <w:num w:numId="620">
    <w:abstractNumId w:val="716"/>
  </w:num>
  <w:num w:numId="621">
    <w:abstractNumId w:val="771"/>
  </w:num>
  <w:num w:numId="622">
    <w:abstractNumId w:val="478"/>
  </w:num>
  <w:num w:numId="623">
    <w:abstractNumId w:val="606"/>
  </w:num>
  <w:num w:numId="624">
    <w:abstractNumId w:val="837"/>
  </w:num>
  <w:num w:numId="625">
    <w:abstractNumId w:val="390"/>
  </w:num>
  <w:num w:numId="626">
    <w:abstractNumId w:val="2"/>
  </w:num>
  <w:num w:numId="627">
    <w:abstractNumId w:val="458"/>
  </w:num>
  <w:num w:numId="628">
    <w:abstractNumId w:val="208"/>
  </w:num>
  <w:num w:numId="629">
    <w:abstractNumId w:val="332"/>
  </w:num>
  <w:num w:numId="630">
    <w:abstractNumId w:val="155"/>
  </w:num>
  <w:num w:numId="631">
    <w:abstractNumId w:val="148"/>
  </w:num>
  <w:num w:numId="632">
    <w:abstractNumId w:val="746"/>
  </w:num>
  <w:num w:numId="633">
    <w:abstractNumId w:val="732"/>
  </w:num>
  <w:num w:numId="634">
    <w:abstractNumId w:val="357"/>
  </w:num>
  <w:num w:numId="635">
    <w:abstractNumId w:val="593"/>
  </w:num>
  <w:num w:numId="636">
    <w:abstractNumId w:val="678"/>
  </w:num>
  <w:num w:numId="637">
    <w:abstractNumId w:val="32"/>
  </w:num>
  <w:num w:numId="638">
    <w:abstractNumId w:val="207"/>
  </w:num>
  <w:num w:numId="639">
    <w:abstractNumId w:val="212"/>
  </w:num>
  <w:num w:numId="640">
    <w:abstractNumId w:val="553"/>
  </w:num>
  <w:num w:numId="641">
    <w:abstractNumId w:val="190"/>
  </w:num>
  <w:num w:numId="642">
    <w:abstractNumId w:val="401"/>
  </w:num>
  <w:num w:numId="643">
    <w:abstractNumId w:val="116"/>
  </w:num>
  <w:num w:numId="644">
    <w:abstractNumId w:val="589"/>
  </w:num>
  <w:num w:numId="645">
    <w:abstractNumId w:val="686"/>
  </w:num>
  <w:num w:numId="646">
    <w:abstractNumId w:val="594"/>
  </w:num>
  <w:num w:numId="647">
    <w:abstractNumId w:val="576"/>
  </w:num>
  <w:num w:numId="648">
    <w:abstractNumId w:val="244"/>
  </w:num>
  <w:num w:numId="649">
    <w:abstractNumId w:val="69"/>
  </w:num>
  <w:num w:numId="650">
    <w:abstractNumId w:val="452"/>
  </w:num>
  <w:num w:numId="651">
    <w:abstractNumId w:val="346"/>
  </w:num>
  <w:num w:numId="652">
    <w:abstractNumId w:val="421"/>
  </w:num>
  <w:num w:numId="653">
    <w:abstractNumId w:val="464"/>
  </w:num>
  <w:num w:numId="654">
    <w:abstractNumId w:val="299"/>
  </w:num>
  <w:num w:numId="655">
    <w:abstractNumId w:val="714"/>
  </w:num>
  <w:num w:numId="656">
    <w:abstractNumId w:val="431"/>
  </w:num>
  <w:num w:numId="657">
    <w:abstractNumId w:val="131"/>
  </w:num>
  <w:num w:numId="658">
    <w:abstractNumId w:val="814"/>
  </w:num>
  <w:num w:numId="659">
    <w:abstractNumId w:val="461"/>
  </w:num>
  <w:num w:numId="660">
    <w:abstractNumId w:val="128"/>
  </w:num>
  <w:num w:numId="661">
    <w:abstractNumId w:val="691"/>
  </w:num>
  <w:num w:numId="662">
    <w:abstractNumId w:val="483"/>
  </w:num>
  <w:num w:numId="663">
    <w:abstractNumId w:val="359"/>
  </w:num>
  <w:num w:numId="664">
    <w:abstractNumId w:val="627"/>
  </w:num>
  <w:num w:numId="665">
    <w:abstractNumId w:val="82"/>
  </w:num>
  <w:num w:numId="666">
    <w:abstractNumId w:val="663"/>
  </w:num>
  <w:num w:numId="667">
    <w:abstractNumId w:val="770"/>
  </w:num>
  <w:num w:numId="668">
    <w:abstractNumId w:val="800"/>
  </w:num>
  <w:num w:numId="669">
    <w:abstractNumId w:val="394"/>
  </w:num>
  <w:num w:numId="670">
    <w:abstractNumId w:val="774"/>
  </w:num>
  <w:num w:numId="671">
    <w:abstractNumId w:val="185"/>
  </w:num>
  <w:num w:numId="672">
    <w:abstractNumId w:val="209"/>
  </w:num>
  <w:num w:numId="673">
    <w:abstractNumId w:val="574"/>
  </w:num>
  <w:num w:numId="674">
    <w:abstractNumId w:val="222"/>
  </w:num>
  <w:num w:numId="675">
    <w:abstractNumId w:val="235"/>
  </w:num>
  <w:num w:numId="676">
    <w:abstractNumId w:val="427"/>
  </w:num>
  <w:num w:numId="677">
    <w:abstractNumId w:val="228"/>
  </w:num>
  <w:num w:numId="678">
    <w:abstractNumId w:val="764"/>
  </w:num>
  <w:num w:numId="679">
    <w:abstractNumId w:val="540"/>
  </w:num>
  <w:num w:numId="680">
    <w:abstractNumId w:val="257"/>
  </w:num>
  <w:num w:numId="681">
    <w:abstractNumId w:val="721"/>
  </w:num>
  <w:num w:numId="682">
    <w:abstractNumId w:val="488"/>
  </w:num>
  <w:num w:numId="683">
    <w:abstractNumId w:val="170"/>
  </w:num>
  <w:num w:numId="684">
    <w:abstractNumId w:val="356"/>
  </w:num>
  <w:num w:numId="685">
    <w:abstractNumId w:val="728"/>
  </w:num>
  <w:num w:numId="686">
    <w:abstractNumId w:val="616"/>
  </w:num>
  <w:num w:numId="687">
    <w:abstractNumId w:val="702"/>
  </w:num>
  <w:num w:numId="688">
    <w:abstractNumId w:val="100"/>
  </w:num>
  <w:num w:numId="689">
    <w:abstractNumId w:val="498"/>
  </w:num>
  <w:num w:numId="690">
    <w:abstractNumId w:val="375"/>
  </w:num>
  <w:num w:numId="691">
    <w:abstractNumId w:val="605"/>
  </w:num>
  <w:num w:numId="692">
    <w:abstractNumId w:val="607"/>
  </w:num>
  <w:num w:numId="693">
    <w:abstractNumId w:val="428"/>
  </w:num>
  <w:num w:numId="694">
    <w:abstractNumId w:val="833"/>
  </w:num>
  <w:num w:numId="695">
    <w:abstractNumId w:val="291"/>
  </w:num>
  <w:num w:numId="696">
    <w:abstractNumId w:val="338"/>
  </w:num>
  <w:num w:numId="697">
    <w:abstractNumId w:val="57"/>
  </w:num>
  <w:num w:numId="698">
    <w:abstractNumId w:val="571"/>
  </w:num>
  <w:num w:numId="699">
    <w:abstractNumId w:val="54"/>
  </w:num>
  <w:num w:numId="700">
    <w:abstractNumId w:val="628"/>
  </w:num>
  <w:num w:numId="701">
    <w:abstractNumId w:val="91"/>
  </w:num>
  <w:num w:numId="702">
    <w:abstractNumId w:val="243"/>
  </w:num>
  <w:num w:numId="703">
    <w:abstractNumId w:val="46"/>
  </w:num>
  <w:num w:numId="704">
    <w:abstractNumId w:val="111"/>
  </w:num>
  <w:num w:numId="705">
    <w:abstractNumId w:val="263"/>
  </w:num>
  <w:num w:numId="706">
    <w:abstractNumId w:val="636"/>
  </w:num>
  <w:num w:numId="707">
    <w:abstractNumId w:val="723"/>
  </w:num>
  <w:num w:numId="708">
    <w:abstractNumId w:val="36"/>
  </w:num>
  <w:num w:numId="709">
    <w:abstractNumId w:val="596"/>
  </w:num>
  <w:num w:numId="710">
    <w:abstractNumId w:val="784"/>
  </w:num>
  <w:num w:numId="711">
    <w:abstractNumId w:val="191"/>
  </w:num>
  <w:num w:numId="712">
    <w:abstractNumId w:val="701"/>
  </w:num>
  <w:num w:numId="713">
    <w:abstractNumId w:val="274"/>
  </w:num>
  <w:num w:numId="714">
    <w:abstractNumId w:val="386"/>
  </w:num>
  <w:num w:numId="715">
    <w:abstractNumId w:val="755"/>
  </w:num>
  <w:num w:numId="716">
    <w:abstractNumId w:val="145"/>
  </w:num>
  <w:num w:numId="717">
    <w:abstractNumId w:val="28"/>
  </w:num>
  <w:num w:numId="718">
    <w:abstractNumId w:val="108"/>
  </w:num>
  <w:num w:numId="719">
    <w:abstractNumId w:val="294"/>
  </w:num>
  <w:num w:numId="720">
    <w:abstractNumId w:val="584"/>
  </w:num>
  <w:num w:numId="721">
    <w:abstractNumId w:val="268"/>
  </w:num>
  <w:num w:numId="722">
    <w:abstractNumId w:val="402"/>
  </w:num>
  <w:num w:numId="723">
    <w:abstractNumId w:val="186"/>
  </w:num>
  <w:num w:numId="724">
    <w:abstractNumId w:val="444"/>
  </w:num>
  <w:num w:numId="725">
    <w:abstractNumId w:val="313"/>
  </w:num>
  <w:num w:numId="726">
    <w:abstractNumId w:val="96"/>
  </w:num>
  <w:num w:numId="727">
    <w:abstractNumId w:val="476"/>
  </w:num>
  <w:num w:numId="728">
    <w:abstractNumId w:val="696"/>
  </w:num>
  <w:num w:numId="729">
    <w:abstractNumId w:val="550"/>
  </w:num>
  <w:num w:numId="730">
    <w:abstractNumId w:val="713"/>
  </w:num>
  <w:num w:numId="731">
    <w:abstractNumId w:val="509"/>
  </w:num>
  <w:num w:numId="732">
    <w:abstractNumId w:val="168"/>
  </w:num>
  <w:num w:numId="733">
    <w:abstractNumId w:val="465"/>
  </w:num>
  <w:num w:numId="734">
    <w:abstractNumId w:val="340"/>
  </w:num>
  <w:num w:numId="735">
    <w:abstractNumId w:val="178"/>
  </w:num>
  <w:num w:numId="736">
    <w:abstractNumId w:val="781"/>
  </w:num>
  <w:num w:numId="737">
    <w:abstractNumId w:val="298"/>
  </w:num>
  <w:num w:numId="738">
    <w:abstractNumId w:val="146"/>
  </w:num>
  <w:num w:numId="739">
    <w:abstractNumId w:val="631"/>
  </w:num>
  <w:num w:numId="740">
    <w:abstractNumId w:val="667"/>
  </w:num>
  <w:num w:numId="741">
    <w:abstractNumId w:val="200"/>
  </w:num>
  <w:num w:numId="742">
    <w:abstractNumId w:val="41"/>
  </w:num>
  <w:num w:numId="743">
    <w:abstractNumId w:val="76"/>
  </w:num>
  <w:num w:numId="744">
    <w:abstractNumId w:val="624"/>
  </w:num>
  <w:num w:numId="745">
    <w:abstractNumId w:val="281"/>
  </w:num>
  <w:num w:numId="746">
    <w:abstractNumId w:val="789"/>
  </w:num>
  <w:num w:numId="747">
    <w:abstractNumId w:val="822"/>
  </w:num>
  <w:num w:numId="748">
    <w:abstractNumId w:val="162"/>
  </w:num>
  <w:num w:numId="749">
    <w:abstractNumId w:val="720"/>
  </w:num>
  <w:num w:numId="750">
    <w:abstractNumId w:val="206"/>
  </w:num>
  <w:num w:numId="751">
    <w:abstractNumId w:val="847"/>
  </w:num>
  <w:num w:numId="752">
    <w:abstractNumId w:val="673"/>
  </w:num>
  <w:num w:numId="753">
    <w:abstractNumId w:val="693"/>
  </w:num>
  <w:num w:numId="754">
    <w:abstractNumId w:val="844"/>
  </w:num>
  <w:num w:numId="755">
    <w:abstractNumId w:val="115"/>
  </w:num>
  <w:num w:numId="756">
    <w:abstractNumId w:val="639"/>
  </w:num>
  <w:num w:numId="757">
    <w:abstractNumId w:val="378"/>
  </w:num>
  <w:num w:numId="758">
    <w:abstractNumId w:val="67"/>
  </w:num>
  <w:num w:numId="759">
    <w:abstractNumId w:val="249"/>
  </w:num>
  <w:num w:numId="760">
    <w:abstractNumId w:val="625"/>
  </w:num>
  <w:num w:numId="761">
    <w:abstractNumId w:val="333"/>
  </w:num>
  <w:num w:numId="762">
    <w:abstractNumId w:val="742"/>
  </w:num>
  <w:num w:numId="763">
    <w:abstractNumId w:val="715"/>
  </w:num>
  <w:num w:numId="764">
    <w:abstractNumId w:val="820"/>
  </w:num>
  <w:num w:numId="765">
    <w:abstractNumId w:val="4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6">
    <w:abstractNumId w:val="446"/>
  </w:num>
  <w:num w:numId="767">
    <w:abstractNumId w:val="698"/>
  </w:num>
  <w:num w:numId="768">
    <w:abstractNumId w:val="425"/>
  </w:num>
  <w:num w:numId="769">
    <w:abstractNumId w:val="499"/>
  </w:num>
  <w:num w:numId="770">
    <w:abstractNumId w:val="412"/>
  </w:num>
  <w:num w:numId="771">
    <w:abstractNumId w:val="25"/>
  </w:num>
  <w:num w:numId="772">
    <w:abstractNumId w:val="130"/>
  </w:num>
  <w:num w:numId="773">
    <w:abstractNumId w:val="708"/>
  </w:num>
  <w:num w:numId="774">
    <w:abstractNumId w:val="240"/>
  </w:num>
  <w:num w:numId="775">
    <w:abstractNumId w:val="151"/>
  </w:num>
  <w:num w:numId="776">
    <w:abstractNumId w:val="453"/>
  </w:num>
  <w:num w:numId="777">
    <w:abstractNumId w:val="644"/>
  </w:num>
  <w:num w:numId="778">
    <w:abstractNumId w:val="454"/>
  </w:num>
  <w:num w:numId="779">
    <w:abstractNumId w:val="556"/>
  </w:num>
  <w:num w:numId="780">
    <w:abstractNumId w:val="167"/>
  </w:num>
  <w:num w:numId="781">
    <w:abstractNumId w:val="782"/>
  </w:num>
  <w:num w:numId="782">
    <w:abstractNumId w:val="238"/>
  </w:num>
  <w:num w:numId="783">
    <w:abstractNumId w:val="643"/>
  </w:num>
  <w:num w:numId="784">
    <w:abstractNumId w:val="688"/>
  </w:num>
  <w:num w:numId="785">
    <w:abstractNumId w:val="137"/>
  </w:num>
  <w:num w:numId="786">
    <w:abstractNumId w:val="239"/>
  </w:num>
  <w:num w:numId="787">
    <w:abstractNumId w:val="48"/>
  </w:num>
  <w:num w:numId="788">
    <w:abstractNumId w:val="473"/>
  </w:num>
  <w:num w:numId="789">
    <w:abstractNumId w:val="433"/>
  </w:num>
  <w:num w:numId="790">
    <w:abstractNumId w:val="21"/>
  </w:num>
  <w:num w:numId="791">
    <w:abstractNumId w:val="39"/>
  </w:num>
  <w:num w:numId="792">
    <w:abstractNumId w:val="129"/>
  </w:num>
  <w:num w:numId="793">
    <w:abstractNumId w:val="264"/>
  </w:num>
  <w:num w:numId="794">
    <w:abstractNumId w:val="119"/>
  </w:num>
  <w:num w:numId="795">
    <w:abstractNumId w:val="760"/>
  </w:num>
  <w:num w:numId="796">
    <w:abstractNumId w:val="536"/>
  </w:num>
  <w:num w:numId="797">
    <w:abstractNumId w:val="532"/>
  </w:num>
  <w:num w:numId="798">
    <w:abstractNumId w:val="710"/>
  </w:num>
  <w:num w:numId="799">
    <w:abstractNumId w:val="259"/>
  </w:num>
  <w:num w:numId="800">
    <w:abstractNumId w:val="824"/>
  </w:num>
  <w:num w:numId="801">
    <w:abstractNumId w:val="92"/>
  </w:num>
  <w:num w:numId="802">
    <w:abstractNumId w:val="1"/>
  </w:num>
  <w:num w:numId="803">
    <w:abstractNumId w:val="24"/>
  </w:num>
  <w:num w:numId="804">
    <w:abstractNumId w:val="598"/>
  </w:num>
  <w:num w:numId="805">
    <w:abstractNumId w:val="174"/>
  </w:num>
  <w:num w:numId="806">
    <w:abstractNumId w:val="330"/>
  </w:num>
  <w:num w:numId="807">
    <w:abstractNumId w:val="418"/>
  </w:num>
  <w:num w:numId="808">
    <w:abstractNumId w:val="414"/>
  </w:num>
  <w:num w:numId="809">
    <w:abstractNumId w:val="71"/>
  </w:num>
  <w:num w:numId="810">
    <w:abstractNumId w:val="288"/>
  </w:num>
  <w:num w:numId="811">
    <w:abstractNumId w:val="776"/>
  </w:num>
  <w:num w:numId="812">
    <w:abstractNumId w:val="609"/>
  </w:num>
  <w:num w:numId="813">
    <w:abstractNumId w:val="798"/>
  </w:num>
  <w:num w:numId="814">
    <w:abstractNumId w:val="439"/>
  </w:num>
  <w:num w:numId="815">
    <w:abstractNumId w:val="203"/>
  </w:num>
  <w:num w:numId="816">
    <w:abstractNumId w:val="354"/>
  </w:num>
  <w:num w:numId="817">
    <w:abstractNumId w:val="232"/>
  </w:num>
  <w:num w:numId="818">
    <w:abstractNumId w:val="307"/>
  </w:num>
  <w:num w:numId="819">
    <w:abstractNumId w:val="724"/>
  </w:num>
  <w:num w:numId="820">
    <w:abstractNumId w:val="490"/>
  </w:num>
  <w:num w:numId="821">
    <w:abstractNumId w:val="423"/>
  </w:num>
  <w:num w:numId="822">
    <w:abstractNumId w:val="266"/>
  </w:num>
  <w:num w:numId="823">
    <w:abstractNumId w:val="122"/>
  </w:num>
  <w:num w:numId="824">
    <w:abstractNumId w:val="10"/>
  </w:num>
  <w:num w:numId="825">
    <w:abstractNumId w:val="537"/>
  </w:num>
  <w:num w:numId="826">
    <w:abstractNumId w:val="77"/>
  </w:num>
  <w:num w:numId="827">
    <w:abstractNumId w:val="622"/>
  </w:num>
  <w:num w:numId="828">
    <w:abstractNumId w:val="236"/>
  </w:num>
  <w:num w:numId="829">
    <w:abstractNumId w:val="99"/>
  </w:num>
  <w:num w:numId="830">
    <w:abstractNumId w:val="583"/>
  </w:num>
  <w:num w:numId="831">
    <w:abstractNumId w:val="817"/>
  </w:num>
  <w:num w:numId="832">
    <w:abstractNumId w:val="393"/>
  </w:num>
  <w:num w:numId="833">
    <w:abstractNumId w:val="623"/>
  </w:num>
  <w:num w:numId="834">
    <w:abstractNumId w:val="534"/>
  </w:num>
  <w:num w:numId="835">
    <w:abstractNumId w:val="245"/>
  </w:num>
  <w:num w:numId="836">
    <w:abstractNumId w:val="114"/>
  </w:num>
  <w:num w:numId="837">
    <w:abstractNumId w:val="477"/>
  </w:num>
  <w:num w:numId="838">
    <w:abstractNumId w:val="450"/>
  </w:num>
  <w:num w:numId="839">
    <w:abstractNumId w:val="484"/>
  </w:num>
  <w:num w:numId="840">
    <w:abstractNumId w:val="361"/>
  </w:num>
  <w:num w:numId="841">
    <w:abstractNumId w:val="383"/>
  </w:num>
  <w:num w:numId="842">
    <w:abstractNumId w:val="812"/>
  </w:num>
  <w:num w:numId="843">
    <w:abstractNumId w:val="229"/>
  </w:num>
  <w:num w:numId="844">
    <w:abstractNumId w:val="614"/>
  </w:num>
  <w:num w:numId="845">
    <w:abstractNumId w:val="270"/>
  </w:num>
  <w:num w:numId="846">
    <w:abstractNumId w:val="727"/>
  </w:num>
  <w:num w:numId="847">
    <w:abstractNumId w:val="113"/>
  </w:num>
  <w:num w:numId="848">
    <w:abstractNumId w:val="590"/>
  </w:num>
  <w:num w:numId="849">
    <w:abstractNumId w:val="139"/>
  </w:num>
  <w:num w:numId="850">
    <w:abstractNumId w:val="758"/>
  </w:num>
  <w:num w:numId="851">
    <w:abstractNumId w:val="745"/>
  </w:num>
  <w:num w:numId="852">
    <w:abstractNumId w:val="738"/>
  </w:num>
  <w:num w:numId="853">
    <w:abstractNumId w:val="213"/>
  </w:num>
  <w:num w:numId="854">
    <w:abstractNumId w:val="468"/>
  </w:num>
  <w:num w:numId="855">
    <w:abstractNumId w:val="828"/>
  </w:num>
  <w:num w:numId="856">
    <w:abstractNumId w:val="675"/>
  </w:num>
  <w:num w:numId="857">
    <w:abstractNumId w:val="829"/>
  </w:num>
  <w:numIdMacAtCleanup w:val="8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3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23B7"/>
    <w:rsid w:val="000100A2"/>
    <w:rsid w:val="0001479E"/>
    <w:rsid w:val="000242BE"/>
    <w:rsid w:val="0002585F"/>
    <w:rsid w:val="00025E73"/>
    <w:rsid w:val="00026DC6"/>
    <w:rsid w:val="00027664"/>
    <w:rsid w:val="00027CE5"/>
    <w:rsid w:val="00034379"/>
    <w:rsid w:val="000414B9"/>
    <w:rsid w:val="00045916"/>
    <w:rsid w:val="00056F25"/>
    <w:rsid w:val="00061759"/>
    <w:rsid w:val="000774A2"/>
    <w:rsid w:val="00081882"/>
    <w:rsid w:val="00082CA1"/>
    <w:rsid w:val="00083F4C"/>
    <w:rsid w:val="00096F0E"/>
    <w:rsid w:val="000A2C71"/>
    <w:rsid w:val="000A4A1A"/>
    <w:rsid w:val="000B3ACD"/>
    <w:rsid w:val="000C0043"/>
    <w:rsid w:val="000D0FE3"/>
    <w:rsid w:val="000D5D9E"/>
    <w:rsid w:val="000D6805"/>
    <w:rsid w:val="000D7125"/>
    <w:rsid w:val="0010255E"/>
    <w:rsid w:val="00103985"/>
    <w:rsid w:val="0010643F"/>
    <w:rsid w:val="00113B0E"/>
    <w:rsid w:val="00115198"/>
    <w:rsid w:val="00116031"/>
    <w:rsid w:val="00116C81"/>
    <w:rsid w:val="00116CB6"/>
    <w:rsid w:val="00127697"/>
    <w:rsid w:val="0012799F"/>
    <w:rsid w:val="00131DA1"/>
    <w:rsid w:val="001367D0"/>
    <w:rsid w:val="00137B8A"/>
    <w:rsid w:val="00145684"/>
    <w:rsid w:val="001476DC"/>
    <w:rsid w:val="0015433A"/>
    <w:rsid w:val="001558A1"/>
    <w:rsid w:val="00173AA6"/>
    <w:rsid w:val="001752E6"/>
    <w:rsid w:val="00176565"/>
    <w:rsid w:val="00194AF9"/>
    <w:rsid w:val="001A1F62"/>
    <w:rsid w:val="001A3FC9"/>
    <w:rsid w:val="001B6282"/>
    <w:rsid w:val="001C3967"/>
    <w:rsid w:val="001D3AA3"/>
    <w:rsid w:val="001E021A"/>
    <w:rsid w:val="001E1853"/>
    <w:rsid w:val="001E4DDB"/>
    <w:rsid w:val="001E64EC"/>
    <w:rsid w:val="001F4B47"/>
    <w:rsid w:val="00204970"/>
    <w:rsid w:val="00210B60"/>
    <w:rsid w:val="00210B7A"/>
    <w:rsid w:val="002129F3"/>
    <w:rsid w:val="00213FBB"/>
    <w:rsid w:val="0023220E"/>
    <w:rsid w:val="00233B67"/>
    <w:rsid w:val="00235CC8"/>
    <w:rsid w:val="00237F42"/>
    <w:rsid w:val="00253511"/>
    <w:rsid w:val="00257A5B"/>
    <w:rsid w:val="002712A8"/>
    <w:rsid w:val="0027416B"/>
    <w:rsid w:val="0027679A"/>
    <w:rsid w:val="00276952"/>
    <w:rsid w:val="002871B0"/>
    <w:rsid w:val="002903FF"/>
    <w:rsid w:val="00294A7E"/>
    <w:rsid w:val="002A1CFD"/>
    <w:rsid w:val="002A4651"/>
    <w:rsid w:val="002A7491"/>
    <w:rsid w:val="002B02EF"/>
    <w:rsid w:val="002B1446"/>
    <w:rsid w:val="002B198C"/>
    <w:rsid w:val="002B3076"/>
    <w:rsid w:val="002C165B"/>
    <w:rsid w:val="002C1A95"/>
    <w:rsid w:val="002D2489"/>
    <w:rsid w:val="002D29C5"/>
    <w:rsid w:val="002E3187"/>
    <w:rsid w:val="002F0E35"/>
    <w:rsid w:val="002F22BD"/>
    <w:rsid w:val="002F415D"/>
    <w:rsid w:val="00300393"/>
    <w:rsid w:val="00300B21"/>
    <w:rsid w:val="003073B7"/>
    <w:rsid w:val="00310B07"/>
    <w:rsid w:val="00316064"/>
    <w:rsid w:val="00331F21"/>
    <w:rsid w:val="00335F04"/>
    <w:rsid w:val="0033760F"/>
    <w:rsid w:val="00340E08"/>
    <w:rsid w:val="0034753B"/>
    <w:rsid w:val="0036536D"/>
    <w:rsid w:val="00365D96"/>
    <w:rsid w:val="00371203"/>
    <w:rsid w:val="00371276"/>
    <w:rsid w:val="0039180E"/>
    <w:rsid w:val="00391BD4"/>
    <w:rsid w:val="0039611F"/>
    <w:rsid w:val="003A0586"/>
    <w:rsid w:val="003A1562"/>
    <w:rsid w:val="003B3611"/>
    <w:rsid w:val="003B548A"/>
    <w:rsid w:val="003C5A52"/>
    <w:rsid w:val="003C6A32"/>
    <w:rsid w:val="003D1876"/>
    <w:rsid w:val="003D34C5"/>
    <w:rsid w:val="003D3D1B"/>
    <w:rsid w:val="003D4FEE"/>
    <w:rsid w:val="003D542A"/>
    <w:rsid w:val="003D6C45"/>
    <w:rsid w:val="003D7143"/>
    <w:rsid w:val="003E2B32"/>
    <w:rsid w:val="003E2D89"/>
    <w:rsid w:val="003E3C80"/>
    <w:rsid w:val="003E6BAE"/>
    <w:rsid w:val="003F1765"/>
    <w:rsid w:val="003F363A"/>
    <w:rsid w:val="003F7C62"/>
    <w:rsid w:val="004023B7"/>
    <w:rsid w:val="00404DA5"/>
    <w:rsid w:val="00415A43"/>
    <w:rsid w:val="004171C3"/>
    <w:rsid w:val="00423888"/>
    <w:rsid w:val="00426C1E"/>
    <w:rsid w:val="00427C64"/>
    <w:rsid w:val="00427CD5"/>
    <w:rsid w:val="0043204C"/>
    <w:rsid w:val="004354D2"/>
    <w:rsid w:val="0043570D"/>
    <w:rsid w:val="004479ED"/>
    <w:rsid w:val="00453026"/>
    <w:rsid w:val="00454950"/>
    <w:rsid w:val="00461CC2"/>
    <w:rsid w:val="00464492"/>
    <w:rsid w:val="004652C5"/>
    <w:rsid w:val="00472663"/>
    <w:rsid w:val="00472829"/>
    <w:rsid w:val="004776D3"/>
    <w:rsid w:val="004829FA"/>
    <w:rsid w:val="00491EBB"/>
    <w:rsid w:val="004977B8"/>
    <w:rsid w:val="004A1361"/>
    <w:rsid w:val="004A4C51"/>
    <w:rsid w:val="004A5F14"/>
    <w:rsid w:val="004A7F24"/>
    <w:rsid w:val="004B298F"/>
    <w:rsid w:val="004B2B12"/>
    <w:rsid w:val="004B3EF3"/>
    <w:rsid w:val="004B5E24"/>
    <w:rsid w:val="004C4557"/>
    <w:rsid w:val="004C7EBD"/>
    <w:rsid w:val="004D30CA"/>
    <w:rsid w:val="004D708E"/>
    <w:rsid w:val="004D7256"/>
    <w:rsid w:val="004E0714"/>
    <w:rsid w:val="004E1940"/>
    <w:rsid w:val="004E1F40"/>
    <w:rsid w:val="004E3B59"/>
    <w:rsid w:val="004F09D5"/>
    <w:rsid w:val="00524100"/>
    <w:rsid w:val="0052574D"/>
    <w:rsid w:val="005273D9"/>
    <w:rsid w:val="00544401"/>
    <w:rsid w:val="00552389"/>
    <w:rsid w:val="005552D5"/>
    <w:rsid w:val="00565EDF"/>
    <w:rsid w:val="0056665F"/>
    <w:rsid w:val="00567A7D"/>
    <w:rsid w:val="00570DC4"/>
    <w:rsid w:val="0058157C"/>
    <w:rsid w:val="00584D88"/>
    <w:rsid w:val="00585020"/>
    <w:rsid w:val="0059026F"/>
    <w:rsid w:val="00590C84"/>
    <w:rsid w:val="005943F5"/>
    <w:rsid w:val="005A03A6"/>
    <w:rsid w:val="005A072C"/>
    <w:rsid w:val="005A0C26"/>
    <w:rsid w:val="005A5016"/>
    <w:rsid w:val="005A513E"/>
    <w:rsid w:val="005A596B"/>
    <w:rsid w:val="005B38CE"/>
    <w:rsid w:val="005B4AC4"/>
    <w:rsid w:val="005C0331"/>
    <w:rsid w:val="005C269A"/>
    <w:rsid w:val="005C5799"/>
    <w:rsid w:val="005D4347"/>
    <w:rsid w:val="005D6876"/>
    <w:rsid w:val="005D7980"/>
    <w:rsid w:val="005E6BE6"/>
    <w:rsid w:val="005F02CC"/>
    <w:rsid w:val="005F1FC8"/>
    <w:rsid w:val="006009AA"/>
    <w:rsid w:val="00602ACB"/>
    <w:rsid w:val="00603CF9"/>
    <w:rsid w:val="00604838"/>
    <w:rsid w:val="00613C2E"/>
    <w:rsid w:val="006225B9"/>
    <w:rsid w:val="006250B7"/>
    <w:rsid w:val="006279A1"/>
    <w:rsid w:val="00632BDC"/>
    <w:rsid w:val="006402BC"/>
    <w:rsid w:val="00645B3A"/>
    <w:rsid w:val="006469C1"/>
    <w:rsid w:val="00647B98"/>
    <w:rsid w:val="0065188A"/>
    <w:rsid w:val="006603FB"/>
    <w:rsid w:val="00664982"/>
    <w:rsid w:val="00664C1B"/>
    <w:rsid w:val="00666335"/>
    <w:rsid w:val="006708B2"/>
    <w:rsid w:val="006735CC"/>
    <w:rsid w:val="00675728"/>
    <w:rsid w:val="00685779"/>
    <w:rsid w:val="00686B59"/>
    <w:rsid w:val="006B225A"/>
    <w:rsid w:val="006C1106"/>
    <w:rsid w:val="006C203D"/>
    <w:rsid w:val="006E15A7"/>
    <w:rsid w:val="006E5777"/>
    <w:rsid w:val="006E63E5"/>
    <w:rsid w:val="006F1285"/>
    <w:rsid w:val="006F15C0"/>
    <w:rsid w:val="006F697D"/>
    <w:rsid w:val="006F6A67"/>
    <w:rsid w:val="006F6E71"/>
    <w:rsid w:val="00702CC1"/>
    <w:rsid w:val="00703AFF"/>
    <w:rsid w:val="007138C1"/>
    <w:rsid w:val="00722AA3"/>
    <w:rsid w:val="00732436"/>
    <w:rsid w:val="00735996"/>
    <w:rsid w:val="00741ECB"/>
    <w:rsid w:val="00742852"/>
    <w:rsid w:val="00757384"/>
    <w:rsid w:val="00761B55"/>
    <w:rsid w:val="00777D8A"/>
    <w:rsid w:val="00782188"/>
    <w:rsid w:val="00786ACB"/>
    <w:rsid w:val="0079040F"/>
    <w:rsid w:val="00797D41"/>
    <w:rsid w:val="007A5E14"/>
    <w:rsid w:val="007A61AA"/>
    <w:rsid w:val="007B0C66"/>
    <w:rsid w:val="007B1E67"/>
    <w:rsid w:val="007B6A7E"/>
    <w:rsid w:val="007B6B4B"/>
    <w:rsid w:val="007C060D"/>
    <w:rsid w:val="007C0E71"/>
    <w:rsid w:val="007C6539"/>
    <w:rsid w:val="007D2087"/>
    <w:rsid w:val="007D33D6"/>
    <w:rsid w:val="007D48C9"/>
    <w:rsid w:val="007D4F3B"/>
    <w:rsid w:val="007D5B6F"/>
    <w:rsid w:val="007E3A2E"/>
    <w:rsid w:val="007E46DE"/>
    <w:rsid w:val="007F6328"/>
    <w:rsid w:val="00803D01"/>
    <w:rsid w:val="00815AEA"/>
    <w:rsid w:val="0081710D"/>
    <w:rsid w:val="008226EC"/>
    <w:rsid w:val="00822841"/>
    <w:rsid w:val="00827C19"/>
    <w:rsid w:val="008313D9"/>
    <w:rsid w:val="008362A4"/>
    <w:rsid w:val="0083745E"/>
    <w:rsid w:val="008414AA"/>
    <w:rsid w:val="0084355D"/>
    <w:rsid w:val="00863B73"/>
    <w:rsid w:val="008665AD"/>
    <w:rsid w:val="00876327"/>
    <w:rsid w:val="00882630"/>
    <w:rsid w:val="00885758"/>
    <w:rsid w:val="00885E3E"/>
    <w:rsid w:val="0088681A"/>
    <w:rsid w:val="00887DC4"/>
    <w:rsid w:val="00887DFE"/>
    <w:rsid w:val="008901FE"/>
    <w:rsid w:val="008906FA"/>
    <w:rsid w:val="00891C71"/>
    <w:rsid w:val="00892EBF"/>
    <w:rsid w:val="008963FD"/>
    <w:rsid w:val="00897725"/>
    <w:rsid w:val="008A0534"/>
    <w:rsid w:val="008A5A2E"/>
    <w:rsid w:val="008A7081"/>
    <w:rsid w:val="008B213B"/>
    <w:rsid w:val="008B31E6"/>
    <w:rsid w:val="008B7723"/>
    <w:rsid w:val="008C0C24"/>
    <w:rsid w:val="008C22AB"/>
    <w:rsid w:val="008C366F"/>
    <w:rsid w:val="008F449C"/>
    <w:rsid w:val="00903171"/>
    <w:rsid w:val="00903C65"/>
    <w:rsid w:val="00904373"/>
    <w:rsid w:val="00905D8D"/>
    <w:rsid w:val="0091083A"/>
    <w:rsid w:val="00911595"/>
    <w:rsid w:val="0091380E"/>
    <w:rsid w:val="00920D61"/>
    <w:rsid w:val="00932199"/>
    <w:rsid w:val="0093250B"/>
    <w:rsid w:val="00933779"/>
    <w:rsid w:val="00935487"/>
    <w:rsid w:val="009410D1"/>
    <w:rsid w:val="009425AF"/>
    <w:rsid w:val="00943758"/>
    <w:rsid w:val="00943DB8"/>
    <w:rsid w:val="00946329"/>
    <w:rsid w:val="009505DE"/>
    <w:rsid w:val="00950D47"/>
    <w:rsid w:val="00953CA0"/>
    <w:rsid w:val="009549CB"/>
    <w:rsid w:val="00956CFF"/>
    <w:rsid w:val="00966C4C"/>
    <w:rsid w:val="00973770"/>
    <w:rsid w:val="00976088"/>
    <w:rsid w:val="00977418"/>
    <w:rsid w:val="00980876"/>
    <w:rsid w:val="009845AF"/>
    <w:rsid w:val="00987663"/>
    <w:rsid w:val="009A49FA"/>
    <w:rsid w:val="009A5DAB"/>
    <w:rsid w:val="009B01B1"/>
    <w:rsid w:val="009B293D"/>
    <w:rsid w:val="009B2CD8"/>
    <w:rsid w:val="009C4096"/>
    <w:rsid w:val="009C57F9"/>
    <w:rsid w:val="009E5D6C"/>
    <w:rsid w:val="009F15D5"/>
    <w:rsid w:val="009F365C"/>
    <w:rsid w:val="009F402C"/>
    <w:rsid w:val="00A065A5"/>
    <w:rsid w:val="00A10AA9"/>
    <w:rsid w:val="00A1178A"/>
    <w:rsid w:val="00A1316C"/>
    <w:rsid w:val="00A1569C"/>
    <w:rsid w:val="00A24034"/>
    <w:rsid w:val="00A24E9D"/>
    <w:rsid w:val="00A30231"/>
    <w:rsid w:val="00A30EA9"/>
    <w:rsid w:val="00A32D06"/>
    <w:rsid w:val="00A3436E"/>
    <w:rsid w:val="00A416DE"/>
    <w:rsid w:val="00A424FC"/>
    <w:rsid w:val="00A47467"/>
    <w:rsid w:val="00A55B23"/>
    <w:rsid w:val="00A56A1B"/>
    <w:rsid w:val="00A61929"/>
    <w:rsid w:val="00A75912"/>
    <w:rsid w:val="00A76F74"/>
    <w:rsid w:val="00A84A0E"/>
    <w:rsid w:val="00A86AA9"/>
    <w:rsid w:val="00AA1279"/>
    <w:rsid w:val="00AA1F6A"/>
    <w:rsid w:val="00AA298E"/>
    <w:rsid w:val="00AA733F"/>
    <w:rsid w:val="00AB274D"/>
    <w:rsid w:val="00AB6F0A"/>
    <w:rsid w:val="00AB7D64"/>
    <w:rsid w:val="00AC0966"/>
    <w:rsid w:val="00AC2B45"/>
    <w:rsid w:val="00AC33DF"/>
    <w:rsid w:val="00AC403B"/>
    <w:rsid w:val="00AD1443"/>
    <w:rsid w:val="00AD6AB8"/>
    <w:rsid w:val="00AE7853"/>
    <w:rsid w:val="00AF4322"/>
    <w:rsid w:val="00AF75C7"/>
    <w:rsid w:val="00B00C78"/>
    <w:rsid w:val="00B0428D"/>
    <w:rsid w:val="00B104EE"/>
    <w:rsid w:val="00B14410"/>
    <w:rsid w:val="00B16DB9"/>
    <w:rsid w:val="00B16F17"/>
    <w:rsid w:val="00B20411"/>
    <w:rsid w:val="00B21616"/>
    <w:rsid w:val="00B24C6E"/>
    <w:rsid w:val="00B26B05"/>
    <w:rsid w:val="00B30AF2"/>
    <w:rsid w:val="00B41EEB"/>
    <w:rsid w:val="00B47519"/>
    <w:rsid w:val="00B51013"/>
    <w:rsid w:val="00B54EF4"/>
    <w:rsid w:val="00B6175C"/>
    <w:rsid w:val="00B65DC1"/>
    <w:rsid w:val="00B6712F"/>
    <w:rsid w:val="00B76F5C"/>
    <w:rsid w:val="00B83637"/>
    <w:rsid w:val="00B861BD"/>
    <w:rsid w:val="00B87469"/>
    <w:rsid w:val="00B87C3E"/>
    <w:rsid w:val="00B90B9A"/>
    <w:rsid w:val="00B936A0"/>
    <w:rsid w:val="00B944EA"/>
    <w:rsid w:val="00B96A05"/>
    <w:rsid w:val="00BB3A81"/>
    <w:rsid w:val="00BB49B3"/>
    <w:rsid w:val="00BB5098"/>
    <w:rsid w:val="00BC66D7"/>
    <w:rsid w:val="00BD2DBE"/>
    <w:rsid w:val="00BE7E38"/>
    <w:rsid w:val="00BF3704"/>
    <w:rsid w:val="00BF39DF"/>
    <w:rsid w:val="00C00C66"/>
    <w:rsid w:val="00C06981"/>
    <w:rsid w:val="00C06C3C"/>
    <w:rsid w:val="00C079AC"/>
    <w:rsid w:val="00C14833"/>
    <w:rsid w:val="00C14C72"/>
    <w:rsid w:val="00C16321"/>
    <w:rsid w:val="00C2057B"/>
    <w:rsid w:val="00C21904"/>
    <w:rsid w:val="00C232E3"/>
    <w:rsid w:val="00C23F6C"/>
    <w:rsid w:val="00C3338E"/>
    <w:rsid w:val="00C422B5"/>
    <w:rsid w:val="00C45574"/>
    <w:rsid w:val="00C4573F"/>
    <w:rsid w:val="00C52AA9"/>
    <w:rsid w:val="00C52D61"/>
    <w:rsid w:val="00C55A67"/>
    <w:rsid w:val="00C57CA3"/>
    <w:rsid w:val="00C62254"/>
    <w:rsid w:val="00C62596"/>
    <w:rsid w:val="00C661B6"/>
    <w:rsid w:val="00C70E5D"/>
    <w:rsid w:val="00C74D03"/>
    <w:rsid w:val="00C75B87"/>
    <w:rsid w:val="00C75F36"/>
    <w:rsid w:val="00C810AF"/>
    <w:rsid w:val="00C82157"/>
    <w:rsid w:val="00C8331B"/>
    <w:rsid w:val="00C95241"/>
    <w:rsid w:val="00C9612C"/>
    <w:rsid w:val="00CC1AC3"/>
    <w:rsid w:val="00CD29C1"/>
    <w:rsid w:val="00CE0F23"/>
    <w:rsid w:val="00CE26FB"/>
    <w:rsid w:val="00CE400D"/>
    <w:rsid w:val="00CF0138"/>
    <w:rsid w:val="00CF20B5"/>
    <w:rsid w:val="00CF2EC3"/>
    <w:rsid w:val="00CF3FBC"/>
    <w:rsid w:val="00CF726B"/>
    <w:rsid w:val="00D00A95"/>
    <w:rsid w:val="00D0344B"/>
    <w:rsid w:val="00D05C46"/>
    <w:rsid w:val="00D21A34"/>
    <w:rsid w:val="00D34CF4"/>
    <w:rsid w:val="00D35253"/>
    <w:rsid w:val="00D35FCF"/>
    <w:rsid w:val="00D42BBE"/>
    <w:rsid w:val="00D435F9"/>
    <w:rsid w:val="00D47E1A"/>
    <w:rsid w:val="00D50526"/>
    <w:rsid w:val="00D50C2E"/>
    <w:rsid w:val="00D537E1"/>
    <w:rsid w:val="00D543A9"/>
    <w:rsid w:val="00D5726C"/>
    <w:rsid w:val="00D728F2"/>
    <w:rsid w:val="00D81655"/>
    <w:rsid w:val="00D8662C"/>
    <w:rsid w:val="00D94444"/>
    <w:rsid w:val="00D94E0A"/>
    <w:rsid w:val="00D9638D"/>
    <w:rsid w:val="00D97886"/>
    <w:rsid w:val="00DA0BF4"/>
    <w:rsid w:val="00DA71DA"/>
    <w:rsid w:val="00DB75F9"/>
    <w:rsid w:val="00DC5558"/>
    <w:rsid w:val="00DC5C4B"/>
    <w:rsid w:val="00DC5CE6"/>
    <w:rsid w:val="00DC6DF4"/>
    <w:rsid w:val="00DD5471"/>
    <w:rsid w:val="00DE13A3"/>
    <w:rsid w:val="00DE29E3"/>
    <w:rsid w:val="00DF04E7"/>
    <w:rsid w:val="00DF6002"/>
    <w:rsid w:val="00DF75F8"/>
    <w:rsid w:val="00E07F3A"/>
    <w:rsid w:val="00E261E0"/>
    <w:rsid w:val="00E26DAB"/>
    <w:rsid w:val="00E36B2F"/>
    <w:rsid w:val="00E417A4"/>
    <w:rsid w:val="00E47639"/>
    <w:rsid w:val="00E570A2"/>
    <w:rsid w:val="00E609D6"/>
    <w:rsid w:val="00E646A8"/>
    <w:rsid w:val="00E65CE8"/>
    <w:rsid w:val="00E76428"/>
    <w:rsid w:val="00E81C30"/>
    <w:rsid w:val="00E82D81"/>
    <w:rsid w:val="00E86219"/>
    <w:rsid w:val="00E90EF1"/>
    <w:rsid w:val="00E9121C"/>
    <w:rsid w:val="00E9788A"/>
    <w:rsid w:val="00EB017F"/>
    <w:rsid w:val="00EB235F"/>
    <w:rsid w:val="00EB294E"/>
    <w:rsid w:val="00EC0F09"/>
    <w:rsid w:val="00ED2498"/>
    <w:rsid w:val="00ED289C"/>
    <w:rsid w:val="00ED3CE1"/>
    <w:rsid w:val="00EE071F"/>
    <w:rsid w:val="00EE0E7D"/>
    <w:rsid w:val="00EF2F44"/>
    <w:rsid w:val="00EF4D49"/>
    <w:rsid w:val="00F02D5E"/>
    <w:rsid w:val="00F12E81"/>
    <w:rsid w:val="00F17BA1"/>
    <w:rsid w:val="00F2027B"/>
    <w:rsid w:val="00F25FE1"/>
    <w:rsid w:val="00F3027C"/>
    <w:rsid w:val="00F35BEE"/>
    <w:rsid w:val="00F37D12"/>
    <w:rsid w:val="00F40250"/>
    <w:rsid w:val="00F4044E"/>
    <w:rsid w:val="00F4396F"/>
    <w:rsid w:val="00F45E58"/>
    <w:rsid w:val="00F50487"/>
    <w:rsid w:val="00F50AF9"/>
    <w:rsid w:val="00F52F56"/>
    <w:rsid w:val="00F543BF"/>
    <w:rsid w:val="00F547E7"/>
    <w:rsid w:val="00F5638D"/>
    <w:rsid w:val="00F5674C"/>
    <w:rsid w:val="00F717C1"/>
    <w:rsid w:val="00F80CE7"/>
    <w:rsid w:val="00F8581B"/>
    <w:rsid w:val="00F8748C"/>
    <w:rsid w:val="00F9363F"/>
    <w:rsid w:val="00F97F56"/>
    <w:rsid w:val="00F97F6A"/>
    <w:rsid w:val="00FA100C"/>
    <w:rsid w:val="00FA33C5"/>
    <w:rsid w:val="00FA41AC"/>
    <w:rsid w:val="00FA4FAD"/>
    <w:rsid w:val="00FB5CB8"/>
    <w:rsid w:val="00FB5F60"/>
    <w:rsid w:val="00FC1C27"/>
    <w:rsid w:val="00FC1CD9"/>
    <w:rsid w:val="00FC44E3"/>
    <w:rsid w:val="00FD303F"/>
    <w:rsid w:val="00FE397A"/>
    <w:rsid w:val="00FE6A3F"/>
    <w:rsid w:val="00FE7EEE"/>
    <w:rsid w:val="00FF016D"/>
    <w:rsid w:val="00FF115C"/>
    <w:rsid w:val="00FF312A"/>
    <w:rsid w:val="00FF3234"/>
    <w:rsid w:val="00FF70E0"/>
    <w:rsid w:val="00FF7AEB"/>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35EA5EB"/>
  <w15:docId w15:val="{9F407986-137C-4D00-9F11-D036B86DE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4023B7"/>
    <w:pPr>
      <w:spacing w:after="160" w:line="259" w:lineRule="auto"/>
    </w:pPr>
  </w:style>
  <w:style w:type="paragraph" w:styleId="Cmsor1">
    <w:name w:val="heading 1"/>
    <w:basedOn w:val="Norml"/>
    <w:next w:val="Norml"/>
    <w:link w:val="Cmsor1Char"/>
    <w:uiPriority w:val="99"/>
    <w:qFormat/>
    <w:rsid w:val="00F8748C"/>
    <w:pPr>
      <w:keepNext/>
      <w:spacing w:after="0" w:line="240" w:lineRule="auto"/>
      <w:jc w:val="both"/>
      <w:outlineLvl w:val="0"/>
    </w:pPr>
    <w:rPr>
      <w:rFonts w:ascii="Times New Roman" w:eastAsia="Times New Roman" w:hAnsi="Times New Roman" w:cs="Times New Roman"/>
      <w:b/>
      <w:bCs/>
      <w:i/>
      <w:iCs/>
      <w:sz w:val="24"/>
      <w:szCs w:val="24"/>
      <w:u w:val="single"/>
      <w:lang w:eastAsia="hu-HU"/>
    </w:rPr>
  </w:style>
  <w:style w:type="paragraph" w:styleId="Cmsor2">
    <w:name w:val="heading 2"/>
    <w:basedOn w:val="Norml"/>
    <w:next w:val="Norml"/>
    <w:link w:val="Cmsor2Char"/>
    <w:uiPriority w:val="9"/>
    <w:semiHidden/>
    <w:unhideWhenUsed/>
    <w:qFormat/>
    <w:rsid w:val="00DC6DF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aliases w:val="NKE pontok,Dot pt,List Paragraph Char Char Char,Indicator Text,Numbered Para 1,List Paragraph à moi,ÁKK Listaszerű bekezdés,List Paragraph,lista_2,Számozott lista 1,Welt L Char,Welt L,Bullet List,FooterText,numbered,列出段落,列出段落1,リスト段落1"/>
    <w:basedOn w:val="Norml"/>
    <w:link w:val="ListaszerbekezdsChar"/>
    <w:uiPriority w:val="34"/>
    <w:qFormat/>
    <w:rsid w:val="00E90EF1"/>
    <w:pPr>
      <w:ind w:left="720"/>
      <w:contextualSpacing/>
    </w:pPr>
  </w:style>
  <w:style w:type="paragraph" w:customStyle="1" w:styleId="lfej1">
    <w:name w:val="Élőfej1"/>
    <w:aliases w:val="Char Char Char,Élőfej Char Char1,Char Char Char1,Char Char,Char Char Char1 Char,Char Char Char1 Char Char,Char,Header Char,Header Char1,Élőfej Char Char,Char Char Char Char,Élőfej Char Char1 Char,Header Char Char,Char Char Char1 Char Char1"/>
    <w:basedOn w:val="Norml"/>
    <w:rsid w:val="0012799F"/>
    <w:pPr>
      <w:tabs>
        <w:tab w:val="center" w:pos="4536"/>
        <w:tab w:val="right" w:pos="9072"/>
      </w:tabs>
      <w:spacing w:after="0" w:line="240" w:lineRule="auto"/>
    </w:pPr>
    <w:rPr>
      <w:rFonts w:ascii="Times New Roman" w:eastAsia="Times New Roman" w:hAnsi="Times New Roman" w:cs="Times New Roman"/>
      <w:sz w:val="24"/>
      <w:szCs w:val="24"/>
      <w:lang w:eastAsia="hu-HU"/>
    </w:rPr>
  </w:style>
  <w:style w:type="paragraph" w:styleId="Szvegtrzs">
    <w:name w:val="Body Text"/>
    <w:basedOn w:val="Norml"/>
    <w:link w:val="SzvegtrzsChar1"/>
    <w:unhideWhenUsed/>
    <w:rsid w:val="0012799F"/>
    <w:pPr>
      <w:autoSpaceDE w:val="0"/>
      <w:autoSpaceDN w:val="0"/>
      <w:adjustRightInd w:val="0"/>
      <w:spacing w:after="0" w:line="240" w:lineRule="auto"/>
      <w:jc w:val="both"/>
    </w:pPr>
    <w:rPr>
      <w:rFonts w:ascii="Times New Roman" w:eastAsia="Times New Roman" w:hAnsi="Times New Roman" w:cs="Times New Roman"/>
      <w:sz w:val="24"/>
      <w:szCs w:val="24"/>
      <w:lang w:eastAsia="hu-HU"/>
    </w:rPr>
  </w:style>
  <w:style w:type="character" w:customStyle="1" w:styleId="SzvegtrzsChar">
    <w:name w:val="Szövegtörzs Char"/>
    <w:basedOn w:val="Bekezdsalapbettpusa"/>
    <w:uiPriority w:val="99"/>
    <w:semiHidden/>
    <w:rsid w:val="0012799F"/>
  </w:style>
  <w:style w:type="character" w:customStyle="1" w:styleId="ListaszerbekezdsChar">
    <w:name w:val="Listaszerű bekezdés Char"/>
    <w:aliases w:val="NKE pontok Char,Dot pt Char,List Paragraph Char Char Char Char,Indicator Text Char,Numbered Para 1 Char,List Paragraph à moi Char,ÁKK Listaszerű bekezdés Char,List Paragraph Char,lista_2 Char,Számozott lista 1 Char,Welt L Char1"/>
    <w:link w:val="Listaszerbekezds"/>
    <w:uiPriority w:val="99"/>
    <w:qFormat/>
    <w:locked/>
    <w:rsid w:val="0012799F"/>
  </w:style>
  <w:style w:type="character" w:customStyle="1" w:styleId="SzvegtrzsChar1">
    <w:name w:val="Szövegtörzs Char1"/>
    <w:basedOn w:val="Bekezdsalapbettpusa"/>
    <w:link w:val="Szvegtrzs"/>
    <w:locked/>
    <w:rsid w:val="0012799F"/>
    <w:rPr>
      <w:rFonts w:ascii="Times New Roman" w:eastAsia="Times New Roman" w:hAnsi="Times New Roman" w:cs="Times New Roman"/>
      <w:sz w:val="24"/>
      <w:szCs w:val="24"/>
      <w:lang w:eastAsia="hu-HU"/>
    </w:rPr>
  </w:style>
  <w:style w:type="character" w:customStyle="1" w:styleId="BodytextBold">
    <w:name w:val="Body text + Bold"/>
    <w:rsid w:val="0012799F"/>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Szvegtrzs1">
    <w:name w:val="Szövegtörzs1"/>
    <w:rsid w:val="0012799F"/>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styleId="Kiemels">
    <w:name w:val="Emphasis"/>
    <w:basedOn w:val="Bekezdsalapbettpusa"/>
    <w:uiPriority w:val="20"/>
    <w:qFormat/>
    <w:rsid w:val="0012799F"/>
    <w:rPr>
      <w:i/>
      <w:iCs/>
    </w:rPr>
  </w:style>
  <w:style w:type="character" w:customStyle="1" w:styleId="tlid-translation">
    <w:name w:val="tlid-translation"/>
    <w:basedOn w:val="Bekezdsalapbettpusa"/>
    <w:qFormat/>
    <w:rsid w:val="00365D96"/>
  </w:style>
  <w:style w:type="character" w:customStyle="1" w:styleId="lfejChar">
    <w:name w:val="Élőfej Char"/>
    <w:aliases w:val="Char Char Char1 Char Char Char Char, Char Char, Char Char Char1 Char1"/>
    <w:basedOn w:val="Bekezdsalapbettpusa"/>
    <w:link w:val="lfej"/>
    <w:uiPriority w:val="99"/>
    <w:locked/>
    <w:rsid w:val="00CF726B"/>
  </w:style>
  <w:style w:type="paragraph" w:styleId="lfej">
    <w:name w:val="header"/>
    <w:aliases w:val="Char Char Char1 Char Char Char, Char, Char Char Char1"/>
    <w:basedOn w:val="Norml"/>
    <w:link w:val="lfejChar"/>
    <w:uiPriority w:val="99"/>
    <w:unhideWhenUsed/>
    <w:rsid w:val="00CF726B"/>
    <w:pPr>
      <w:tabs>
        <w:tab w:val="center" w:pos="4536"/>
        <w:tab w:val="right" w:pos="9072"/>
      </w:tabs>
      <w:spacing w:after="0" w:line="240" w:lineRule="auto"/>
    </w:pPr>
  </w:style>
  <w:style w:type="character" w:customStyle="1" w:styleId="lfejChar1">
    <w:name w:val="Élőfej Char1"/>
    <w:aliases w:val=" Char Char Char1 Char,Char Char Char1 Char Char2,Char Char1,Header Char Char2,Char Char Char1 Char Char Char Char Char,Header Char1 Char1"/>
    <w:basedOn w:val="Bekezdsalapbettpusa"/>
    <w:uiPriority w:val="99"/>
    <w:rsid w:val="00CF726B"/>
  </w:style>
  <w:style w:type="paragraph" w:styleId="Jegyzetszveg">
    <w:name w:val="annotation text"/>
    <w:basedOn w:val="Norml"/>
    <w:link w:val="JegyzetszvegChar"/>
    <w:uiPriority w:val="99"/>
    <w:unhideWhenUsed/>
    <w:rsid w:val="00CF726B"/>
    <w:pPr>
      <w:spacing w:line="240" w:lineRule="auto"/>
    </w:pPr>
    <w:rPr>
      <w:sz w:val="20"/>
      <w:szCs w:val="20"/>
    </w:rPr>
  </w:style>
  <w:style w:type="character" w:customStyle="1" w:styleId="JegyzetszvegChar">
    <w:name w:val="Jegyzetszöveg Char"/>
    <w:basedOn w:val="Bekezdsalapbettpusa"/>
    <w:link w:val="Jegyzetszveg"/>
    <w:uiPriority w:val="99"/>
    <w:rsid w:val="00CF726B"/>
    <w:rPr>
      <w:sz w:val="20"/>
      <w:szCs w:val="20"/>
    </w:rPr>
  </w:style>
  <w:style w:type="character" w:styleId="Jegyzethivatkozs">
    <w:name w:val="annotation reference"/>
    <w:basedOn w:val="Bekezdsalapbettpusa"/>
    <w:uiPriority w:val="99"/>
    <w:unhideWhenUsed/>
    <w:rsid w:val="00CF726B"/>
    <w:rPr>
      <w:sz w:val="16"/>
      <w:szCs w:val="16"/>
    </w:rPr>
  </w:style>
  <w:style w:type="paragraph" w:styleId="Buborkszveg">
    <w:name w:val="Balloon Text"/>
    <w:basedOn w:val="Norml"/>
    <w:link w:val="BuborkszvegChar"/>
    <w:uiPriority w:val="99"/>
    <w:semiHidden/>
    <w:unhideWhenUsed/>
    <w:rsid w:val="00CF726B"/>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CF726B"/>
    <w:rPr>
      <w:rFonts w:ascii="Tahoma" w:hAnsi="Tahoma" w:cs="Tahoma"/>
      <w:sz w:val="16"/>
      <w:szCs w:val="16"/>
    </w:rPr>
  </w:style>
  <w:style w:type="paragraph" w:styleId="HTML-kntformzott">
    <w:name w:val="HTML Preformatted"/>
    <w:basedOn w:val="Norml"/>
    <w:link w:val="HTML-kntformzottChar"/>
    <w:uiPriority w:val="99"/>
    <w:unhideWhenUsed/>
    <w:rsid w:val="00DF6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hu-HU"/>
    </w:rPr>
  </w:style>
  <w:style w:type="character" w:customStyle="1" w:styleId="HTML-kntformzottChar">
    <w:name w:val="HTML-ként formázott Char"/>
    <w:basedOn w:val="Bekezdsalapbettpusa"/>
    <w:link w:val="HTML-kntformzott"/>
    <w:uiPriority w:val="99"/>
    <w:rsid w:val="00DF6002"/>
    <w:rPr>
      <w:rFonts w:ascii="Courier New" w:eastAsia="Times New Roman" w:hAnsi="Courier New" w:cs="Courier New"/>
      <w:sz w:val="20"/>
      <w:szCs w:val="20"/>
      <w:lang w:eastAsia="hu-HU"/>
    </w:rPr>
  </w:style>
  <w:style w:type="character" w:customStyle="1" w:styleId="LbjegyzetszvegChar">
    <w:name w:val="Lábjegyzetszöveg Char"/>
    <w:aliases w:val="Lábjegyzet-szöveg Char,Lábjegyzetszöveg Char Char Char Char Char Char,Lábjegyzetszöveg Char Char Char Char Char Char Char Char Char1,Lábjegyzetszöveg Char Char Char Char Char Char Char Char Char Char"/>
    <w:basedOn w:val="Bekezdsalapbettpusa"/>
    <w:link w:val="Lbjegyzetszveg"/>
    <w:uiPriority w:val="99"/>
    <w:qFormat/>
    <w:locked/>
    <w:rsid w:val="002871B0"/>
    <w:rPr>
      <w:sz w:val="20"/>
      <w:szCs w:val="20"/>
    </w:rPr>
  </w:style>
  <w:style w:type="paragraph" w:styleId="Lbjegyzetszveg">
    <w:name w:val="footnote text"/>
    <w:aliases w:val="Lábjegyzet-szöveg,Lábjegyzetszöveg Char Char Char Char Char,Lábjegyzetszöveg Char Char Char Char Char Char Char Char,Lábjegyzetszöveg Char Char Char Char Char Char Char Char Char,Lábjegyzetszöveg Char Char Char Char Char Char Char"/>
    <w:basedOn w:val="Norml"/>
    <w:link w:val="LbjegyzetszvegChar"/>
    <w:uiPriority w:val="99"/>
    <w:unhideWhenUsed/>
    <w:rsid w:val="002871B0"/>
    <w:pPr>
      <w:spacing w:after="0" w:line="240" w:lineRule="auto"/>
    </w:pPr>
    <w:rPr>
      <w:sz w:val="20"/>
      <w:szCs w:val="20"/>
    </w:rPr>
  </w:style>
  <w:style w:type="character" w:customStyle="1" w:styleId="LbjegyzetszvegChar1">
    <w:name w:val="Lábjegyzetszöveg Char1"/>
    <w:basedOn w:val="Bekezdsalapbettpusa"/>
    <w:uiPriority w:val="99"/>
    <w:semiHidden/>
    <w:rsid w:val="002871B0"/>
    <w:rPr>
      <w:sz w:val="20"/>
      <w:szCs w:val="20"/>
    </w:rPr>
  </w:style>
  <w:style w:type="character" w:styleId="Lbjegyzet-hivatkozs">
    <w:name w:val="footnote reference"/>
    <w:basedOn w:val="Bekezdsalapbettpusa"/>
    <w:uiPriority w:val="99"/>
    <w:unhideWhenUsed/>
    <w:qFormat/>
    <w:rsid w:val="002871B0"/>
    <w:rPr>
      <w:vertAlign w:val="superscript"/>
    </w:rPr>
  </w:style>
  <w:style w:type="character" w:customStyle="1" w:styleId="Lbjegyzet-horgony">
    <w:name w:val="Lábjegyzet-horgony"/>
    <w:rsid w:val="005D4347"/>
    <w:rPr>
      <w:vertAlign w:val="superscript"/>
    </w:rPr>
  </w:style>
  <w:style w:type="character" w:styleId="Hiperhivatkozs">
    <w:name w:val="Hyperlink"/>
    <w:basedOn w:val="Bekezdsalapbettpusa"/>
    <w:uiPriority w:val="99"/>
    <w:unhideWhenUsed/>
    <w:rsid w:val="00C06981"/>
    <w:rPr>
      <w:color w:val="0000FF" w:themeColor="hyperlink"/>
      <w:u w:val="single"/>
    </w:rPr>
  </w:style>
  <w:style w:type="character" w:customStyle="1" w:styleId="A3">
    <w:name w:val="A3"/>
    <w:uiPriority w:val="99"/>
    <w:rsid w:val="00C55A67"/>
    <w:rPr>
      <w:color w:val="000000"/>
      <w:sz w:val="20"/>
      <w:szCs w:val="20"/>
    </w:rPr>
  </w:style>
  <w:style w:type="character" w:customStyle="1" w:styleId="st">
    <w:name w:val="st"/>
    <w:basedOn w:val="Bekezdsalapbettpusa"/>
    <w:rsid w:val="00A24034"/>
  </w:style>
  <w:style w:type="character" w:customStyle="1" w:styleId="alt-edited">
    <w:name w:val="alt-edited"/>
    <w:basedOn w:val="Bekezdsalapbettpusa"/>
    <w:rsid w:val="00A24034"/>
  </w:style>
  <w:style w:type="table" w:customStyle="1" w:styleId="1">
    <w:name w:val="1"/>
    <w:basedOn w:val="Normltblzat"/>
    <w:rsid w:val="008313D9"/>
    <w:pPr>
      <w:widowControl w:val="0"/>
      <w:spacing w:after="0" w:line="240" w:lineRule="auto"/>
    </w:pPr>
    <w:rPr>
      <w:rFonts w:ascii="Times New Roman" w:eastAsia="Times New Roman" w:hAnsi="Times New Roman" w:cs="Times New Roman"/>
      <w:color w:val="000000"/>
      <w:sz w:val="24"/>
      <w:szCs w:val="24"/>
    </w:rPr>
    <w:tblPr>
      <w:tblStyleRowBandSize w:val="1"/>
      <w:tblStyleColBandSize w:val="1"/>
      <w:tblInd w:w="0" w:type="nil"/>
      <w:tblCellMar>
        <w:left w:w="115" w:type="dxa"/>
        <w:right w:w="115" w:type="dxa"/>
      </w:tblCellMar>
    </w:tblPr>
  </w:style>
  <w:style w:type="character" w:customStyle="1" w:styleId="apple-style-span">
    <w:name w:val="apple-style-span"/>
    <w:uiPriority w:val="99"/>
    <w:rsid w:val="00C14C72"/>
  </w:style>
  <w:style w:type="paragraph" w:styleId="Nincstrkz">
    <w:name w:val="No Spacing"/>
    <w:uiPriority w:val="1"/>
    <w:qFormat/>
    <w:rsid w:val="00426C1E"/>
    <w:pPr>
      <w:spacing w:after="0" w:line="240" w:lineRule="auto"/>
    </w:pPr>
  </w:style>
  <w:style w:type="character" w:styleId="Mrltotthiperhivatkozs">
    <w:name w:val="FollowedHyperlink"/>
    <w:basedOn w:val="Bekezdsalapbettpusa"/>
    <w:uiPriority w:val="99"/>
    <w:semiHidden/>
    <w:unhideWhenUsed/>
    <w:rsid w:val="00464492"/>
    <w:rPr>
      <w:color w:val="800080" w:themeColor="followedHyperlink"/>
      <w:u w:val="single"/>
    </w:rPr>
  </w:style>
  <w:style w:type="character" w:styleId="HTML-idzet">
    <w:name w:val="HTML Cite"/>
    <w:uiPriority w:val="99"/>
    <w:rsid w:val="007B6B4B"/>
    <w:rPr>
      <w:i/>
      <w:iCs/>
    </w:rPr>
  </w:style>
  <w:style w:type="character" w:customStyle="1" w:styleId="a-size-extra-large3">
    <w:name w:val="a-size-extra-large3"/>
    <w:rsid w:val="007B6B4B"/>
  </w:style>
  <w:style w:type="character" w:customStyle="1" w:styleId="st1">
    <w:name w:val="st1"/>
    <w:rsid w:val="007B6B4B"/>
  </w:style>
  <w:style w:type="character" w:customStyle="1" w:styleId="notranslate">
    <w:name w:val="notranslate"/>
    <w:rsid w:val="007B6B4B"/>
  </w:style>
  <w:style w:type="paragraph" w:styleId="Megjegyzstrgya">
    <w:name w:val="annotation subject"/>
    <w:basedOn w:val="Jegyzetszveg"/>
    <w:next w:val="Jegyzetszveg"/>
    <w:link w:val="MegjegyzstrgyaChar"/>
    <w:uiPriority w:val="99"/>
    <w:semiHidden/>
    <w:unhideWhenUsed/>
    <w:rsid w:val="00D35253"/>
    <w:rPr>
      <w:b/>
      <w:bCs/>
    </w:rPr>
  </w:style>
  <w:style w:type="character" w:customStyle="1" w:styleId="MegjegyzstrgyaChar">
    <w:name w:val="Megjegyzés tárgya Char"/>
    <w:basedOn w:val="JegyzetszvegChar"/>
    <w:link w:val="Megjegyzstrgya"/>
    <w:uiPriority w:val="99"/>
    <w:semiHidden/>
    <w:rsid w:val="00D35253"/>
    <w:rPr>
      <w:b/>
      <w:bCs/>
      <w:sz w:val="20"/>
      <w:szCs w:val="20"/>
    </w:rPr>
  </w:style>
  <w:style w:type="character" w:customStyle="1" w:styleId="shorttext">
    <w:name w:val="short_text"/>
    <w:basedOn w:val="Bekezdsalapbettpusa"/>
    <w:rsid w:val="00D50526"/>
  </w:style>
  <w:style w:type="paragraph" w:customStyle="1" w:styleId="Default">
    <w:name w:val="Default"/>
    <w:uiPriority w:val="99"/>
    <w:rsid w:val="001E4DDB"/>
    <w:pPr>
      <w:autoSpaceDE w:val="0"/>
      <w:autoSpaceDN w:val="0"/>
      <w:adjustRightInd w:val="0"/>
      <w:spacing w:after="0" w:line="240" w:lineRule="auto"/>
    </w:pPr>
    <w:rPr>
      <w:rFonts w:ascii="Arial" w:eastAsia="Times New Roman" w:hAnsi="Arial" w:cs="Arial"/>
      <w:color w:val="000000"/>
      <w:sz w:val="24"/>
      <w:szCs w:val="24"/>
      <w:lang w:eastAsia="hu-HU"/>
    </w:rPr>
  </w:style>
  <w:style w:type="paragraph" w:styleId="llb">
    <w:name w:val="footer"/>
    <w:basedOn w:val="Norml"/>
    <w:link w:val="llbChar"/>
    <w:uiPriority w:val="99"/>
    <w:unhideWhenUsed/>
    <w:rsid w:val="00F4044E"/>
    <w:pPr>
      <w:tabs>
        <w:tab w:val="center" w:pos="4536"/>
        <w:tab w:val="right" w:pos="9072"/>
      </w:tabs>
      <w:spacing w:after="0" w:line="240" w:lineRule="auto"/>
    </w:pPr>
  </w:style>
  <w:style w:type="character" w:customStyle="1" w:styleId="llbChar">
    <w:name w:val="Élőláb Char"/>
    <w:basedOn w:val="Bekezdsalapbettpusa"/>
    <w:link w:val="llb"/>
    <w:uiPriority w:val="99"/>
    <w:rsid w:val="00F4044E"/>
  </w:style>
  <w:style w:type="character" w:customStyle="1" w:styleId="Cmsor1Char">
    <w:name w:val="Címsor 1 Char"/>
    <w:basedOn w:val="Bekezdsalapbettpusa"/>
    <w:link w:val="Cmsor1"/>
    <w:uiPriority w:val="99"/>
    <w:rsid w:val="00F8748C"/>
    <w:rPr>
      <w:rFonts w:ascii="Times New Roman" w:eastAsia="Times New Roman" w:hAnsi="Times New Roman" w:cs="Times New Roman"/>
      <w:b/>
      <w:bCs/>
      <w:i/>
      <w:iCs/>
      <w:sz w:val="24"/>
      <w:szCs w:val="24"/>
      <w:u w:val="single"/>
      <w:lang w:eastAsia="hu-HU"/>
    </w:rPr>
  </w:style>
  <w:style w:type="paragraph" w:customStyle="1" w:styleId="StlusSzvegtrzs12pt">
    <w:name w:val="Stílus Szövegtörzs + 12 pt"/>
    <w:basedOn w:val="Szvegtrzs"/>
    <w:uiPriority w:val="99"/>
    <w:rsid w:val="008B31E6"/>
    <w:pPr>
      <w:autoSpaceDE/>
      <w:autoSpaceDN/>
      <w:adjustRightInd/>
      <w:jc w:val="left"/>
    </w:pPr>
  </w:style>
  <w:style w:type="paragraph" w:styleId="Tartalomjegyzkcmsora">
    <w:name w:val="TOC Heading"/>
    <w:basedOn w:val="Cmsor1"/>
    <w:next w:val="Norml"/>
    <w:uiPriority w:val="39"/>
    <w:unhideWhenUsed/>
    <w:qFormat/>
    <w:rsid w:val="008B31E6"/>
    <w:pPr>
      <w:keepLines/>
      <w:spacing w:before="240" w:line="259" w:lineRule="auto"/>
      <w:jc w:val="left"/>
      <w:outlineLvl w:val="9"/>
    </w:pPr>
    <w:rPr>
      <w:rFonts w:asciiTheme="majorHAnsi" w:eastAsiaTheme="majorEastAsia" w:hAnsiTheme="majorHAnsi" w:cstheme="majorBidi"/>
      <w:b w:val="0"/>
      <w:bCs w:val="0"/>
      <w:i w:val="0"/>
      <w:iCs w:val="0"/>
      <w:color w:val="365F91" w:themeColor="accent1" w:themeShade="BF"/>
      <w:sz w:val="32"/>
      <w:szCs w:val="32"/>
      <w:u w:val="none"/>
    </w:rPr>
  </w:style>
  <w:style w:type="paragraph" w:styleId="TJ1">
    <w:name w:val="toc 1"/>
    <w:basedOn w:val="Norml"/>
    <w:next w:val="Norml"/>
    <w:autoRedefine/>
    <w:uiPriority w:val="39"/>
    <w:unhideWhenUsed/>
    <w:rsid w:val="008B31E6"/>
    <w:pPr>
      <w:spacing w:after="100" w:line="256" w:lineRule="auto"/>
    </w:pPr>
  </w:style>
  <w:style w:type="paragraph" w:styleId="Szvegtrzsbehzssal2">
    <w:name w:val="Body Text Indent 2"/>
    <w:basedOn w:val="Norml"/>
    <w:link w:val="Szvegtrzsbehzssal2Char"/>
    <w:uiPriority w:val="99"/>
    <w:semiHidden/>
    <w:unhideWhenUsed/>
    <w:rsid w:val="00B16F17"/>
    <w:pPr>
      <w:spacing w:after="120" w:line="480" w:lineRule="auto"/>
      <w:ind w:left="283"/>
    </w:pPr>
  </w:style>
  <w:style w:type="character" w:customStyle="1" w:styleId="Szvegtrzsbehzssal2Char">
    <w:name w:val="Szövegtörzs behúzással 2 Char"/>
    <w:basedOn w:val="Bekezdsalapbettpusa"/>
    <w:link w:val="Szvegtrzsbehzssal2"/>
    <w:uiPriority w:val="99"/>
    <w:semiHidden/>
    <w:rsid w:val="00B16F17"/>
  </w:style>
  <w:style w:type="character" w:customStyle="1" w:styleId="Stlus11pt">
    <w:name w:val="Stílus 11 pt"/>
    <w:rsid w:val="00B16F17"/>
    <w:rPr>
      <w:sz w:val="22"/>
      <w:szCs w:val="22"/>
    </w:rPr>
  </w:style>
  <w:style w:type="table" w:styleId="Rcsostblzat">
    <w:name w:val="Table Grid"/>
    <w:basedOn w:val="Normltblzat"/>
    <w:uiPriority w:val="99"/>
    <w:rsid w:val="00B00C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aszerbekezds1">
    <w:name w:val="Listaszerű bekezdés1"/>
    <w:basedOn w:val="Norml"/>
    <w:rsid w:val="00210B7A"/>
    <w:pPr>
      <w:suppressAutoHyphens/>
      <w:spacing w:after="0" w:line="240" w:lineRule="auto"/>
      <w:ind w:left="720"/>
      <w:contextualSpacing/>
    </w:pPr>
    <w:rPr>
      <w:rFonts w:ascii="CG Times (W1)" w:eastAsia="Times New Roman" w:hAnsi="CG Times (W1)" w:cs="Times New Roman"/>
      <w:kern w:val="1"/>
      <w:sz w:val="20"/>
      <w:szCs w:val="20"/>
      <w:lang w:eastAsia="hu-HU"/>
    </w:rPr>
  </w:style>
  <w:style w:type="character" w:customStyle="1" w:styleId="a-size-extra-large">
    <w:name w:val="a-size-extra-large"/>
    <w:rsid w:val="00210B7A"/>
  </w:style>
  <w:style w:type="character" w:customStyle="1" w:styleId="author">
    <w:name w:val="author"/>
    <w:rsid w:val="00210B7A"/>
  </w:style>
  <w:style w:type="character" w:customStyle="1" w:styleId="a-color-secondary">
    <w:name w:val="a-color-secondary"/>
    <w:rsid w:val="00210B7A"/>
  </w:style>
  <w:style w:type="character" w:customStyle="1" w:styleId="a-size-large">
    <w:name w:val="a-size-large"/>
    <w:rsid w:val="00210B7A"/>
  </w:style>
  <w:style w:type="character" w:customStyle="1" w:styleId="a-declarative">
    <w:name w:val="a-declarative"/>
    <w:rsid w:val="00210B7A"/>
  </w:style>
  <w:style w:type="character" w:customStyle="1" w:styleId="Cmsor2Char">
    <w:name w:val="Címsor 2 Char"/>
    <w:basedOn w:val="Bekezdsalapbettpusa"/>
    <w:link w:val="Cmsor2"/>
    <w:uiPriority w:val="9"/>
    <w:semiHidden/>
    <w:rsid w:val="00DC6DF4"/>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53533">
      <w:bodyDiv w:val="1"/>
      <w:marLeft w:val="0"/>
      <w:marRight w:val="0"/>
      <w:marTop w:val="0"/>
      <w:marBottom w:val="0"/>
      <w:divBdr>
        <w:top w:val="none" w:sz="0" w:space="0" w:color="auto"/>
        <w:left w:val="none" w:sz="0" w:space="0" w:color="auto"/>
        <w:bottom w:val="none" w:sz="0" w:space="0" w:color="auto"/>
        <w:right w:val="none" w:sz="0" w:space="0" w:color="auto"/>
      </w:divBdr>
    </w:div>
    <w:div w:id="72241649">
      <w:bodyDiv w:val="1"/>
      <w:marLeft w:val="0"/>
      <w:marRight w:val="0"/>
      <w:marTop w:val="0"/>
      <w:marBottom w:val="0"/>
      <w:divBdr>
        <w:top w:val="none" w:sz="0" w:space="0" w:color="auto"/>
        <w:left w:val="none" w:sz="0" w:space="0" w:color="auto"/>
        <w:bottom w:val="none" w:sz="0" w:space="0" w:color="auto"/>
        <w:right w:val="none" w:sz="0" w:space="0" w:color="auto"/>
      </w:divBdr>
    </w:div>
    <w:div w:id="105387932">
      <w:bodyDiv w:val="1"/>
      <w:marLeft w:val="0"/>
      <w:marRight w:val="0"/>
      <w:marTop w:val="0"/>
      <w:marBottom w:val="0"/>
      <w:divBdr>
        <w:top w:val="none" w:sz="0" w:space="0" w:color="auto"/>
        <w:left w:val="none" w:sz="0" w:space="0" w:color="auto"/>
        <w:bottom w:val="none" w:sz="0" w:space="0" w:color="auto"/>
        <w:right w:val="none" w:sz="0" w:space="0" w:color="auto"/>
      </w:divBdr>
    </w:div>
    <w:div w:id="106319860">
      <w:bodyDiv w:val="1"/>
      <w:marLeft w:val="0"/>
      <w:marRight w:val="0"/>
      <w:marTop w:val="0"/>
      <w:marBottom w:val="0"/>
      <w:divBdr>
        <w:top w:val="none" w:sz="0" w:space="0" w:color="auto"/>
        <w:left w:val="none" w:sz="0" w:space="0" w:color="auto"/>
        <w:bottom w:val="none" w:sz="0" w:space="0" w:color="auto"/>
        <w:right w:val="none" w:sz="0" w:space="0" w:color="auto"/>
      </w:divBdr>
    </w:div>
    <w:div w:id="114716358">
      <w:bodyDiv w:val="1"/>
      <w:marLeft w:val="0"/>
      <w:marRight w:val="0"/>
      <w:marTop w:val="0"/>
      <w:marBottom w:val="0"/>
      <w:divBdr>
        <w:top w:val="none" w:sz="0" w:space="0" w:color="auto"/>
        <w:left w:val="none" w:sz="0" w:space="0" w:color="auto"/>
        <w:bottom w:val="none" w:sz="0" w:space="0" w:color="auto"/>
        <w:right w:val="none" w:sz="0" w:space="0" w:color="auto"/>
      </w:divBdr>
    </w:div>
    <w:div w:id="134418621">
      <w:bodyDiv w:val="1"/>
      <w:marLeft w:val="0"/>
      <w:marRight w:val="0"/>
      <w:marTop w:val="0"/>
      <w:marBottom w:val="0"/>
      <w:divBdr>
        <w:top w:val="none" w:sz="0" w:space="0" w:color="auto"/>
        <w:left w:val="none" w:sz="0" w:space="0" w:color="auto"/>
        <w:bottom w:val="none" w:sz="0" w:space="0" w:color="auto"/>
        <w:right w:val="none" w:sz="0" w:space="0" w:color="auto"/>
      </w:divBdr>
    </w:div>
    <w:div w:id="141388493">
      <w:bodyDiv w:val="1"/>
      <w:marLeft w:val="0"/>
      <w:marRight w:val="0"/>
      <w:marTop w:val="0"/>
      <w:marBottom w:val="0"/>
      <w:divBdr>
        <w:top w:val="none" w:sz="0" w:space="0" w:color="auto"/>
        <w:left w:val="none" w:sz="0" w:space="0" w:color="auto"/>
        <w:bottom w:val="none" w:sz="0" w:space="0" w:color="auto"/>
        <w:right w:val="none" w:sz="0" w:space="0" w:color="auto"/>
      </w:divBdr>
    </w:div>
    <w:div w:id="169833316">
      <w:bodyDiv w:val="1"/>
      <w:marLeft w:val="0"/>
      <w:marRight w:val="0"/>
      <w:marTop w:val="0"/>
      <w:marBottom w:val="0"/>
      <w:divBdr>
        <w:top w:val="none" w:sz="0" w:space="0" w:color="auto"/>
        <w:left w:val="none" w:sz="0" w:space="0" w:color="auto"/>
        <w:bottom w:val="none" w:sz="0" w:space="0" w:color="auto"/>
        <w:right w:val="none" w:sz="0" w:space="0" w:color="auto"/>
      </w:divBdr>
    </w:div>
    <w:div w:id="203059384">
      <w:bodyDiv w:val="1"/>
      <w:marLeft w:val="0"/>
      <w:marRight w:val="0"/>
      <w:marTop w:val="0"/>
      <w:marBottom w:val="0"/>
      <w:divBdr>
        <w:top w:val="none" w:sz="0" w:space="0" w:color="auto"/>
        <w:left w:val="none" w:sz="0" w:space="0" w:color="auto"/>
        <w:bottom w:val="none" w:sz="0" w:space="0" w:color="auto"/>
        <w:right w:val="none" w:sz="0" w:space="0" w:color="auto"/>
      </w:divBdr>
    </w:div>
    <w:div w:id="214852378">
      <w:bodyDiv w:val="1"/>
      <w:marLeft w:val="0"/>
      <w:marRight w:val="0"/>
      <w:marTop w:val="0"/>
      <w:marBottom w:val="0"/>
      <w:divBdr>
        <w:top w:val="none" w:sz="0" w:space="0" w:color="auto"/>
        <w:left w:val="none" w:sz="0" w:space="0" w:color="auto"/>
        <w:bottom w:val="none" w:sz="0" w:space="0" w:color="auto"/>
        <w:right w:val="none" w:sz="0" w:space="0" w:color="auto"/>
      </w:divBdr>
    </w:div>
    <w:div w:id="252058598">
      <w:bodyDiv w:val="1"/>
      <w:marLeft w:val="0"/>
      <w:marRight w:val="0"/>
      <w:marTop w:val="0"/>
      <w:marBottom w:val="0"/>
      <w:divBdr>
        <w:top w:val="none" w:sz="0" w:space="0" w:color="auto"/>
        <w:left w:val="none" w:sz="0" w:space="0" w:color="auto"/>
        <w:bottom w:val="none" w:sz="0" w:space="0" w:color="auto"/>
        <w:right w:val="none" w:sz="0" w:space="0" w:color="auto"/>
      </w:divBdr>
    </w:div>
    <w:div w:id="266231532">
      <w:bodyDiv w:val="1"/>
      <w:marLeft w:val="0"/>
      <w:marRight w:val="0"/>
      <w:marTop w:val="0"/>
      <w:marBottom w:val="0"/>
      <w:divBdr>
        <w:top w:val="none" w:sz="0" w:space="0" w:color="auto"/>
        <w:left w:val="none" w:sz="0" w:space="0" w:color="auto"/>
        <w:bottom w:val="none" w:sz="0" w:space="0" w:color="auto"/>
        <w:right w:val="none" w:sz="0" w:space="0" w:color="auto"/>
      </w:divBdr>
    </w:div>
    <w:div w:id="266810391">
      <w:bodyDiv w:val="1"/>
      <w:marLeft w:val="0"/>
      <w:marRight w:val="0"/>
      <w:marTop w:val="0"/>
      <w:marBottom w:val="0"/>
      <w:divBdr>
        <w:top w:val="none" w:sz="0" w:space="0" w:color="auto"/>
        <w:left w:val="none" w:sz="0" w:space="0" w:color="auto"/>
        <w:bottom w:val="none" w:sz="0" w:space="0" w:color="auto"/>
        <w:right w:val="none" w:sz="0" w:space="0" w:color="auto"/>
      </w:divBdr>
    </w:div>
    <w:div w:id="268898692">
      <w:bodyDiv w:val="1"/>
      <w:marLeft w:val="0"/>
      <w:marRight w:val="0"/>
      <w:marTop w:val="0"/>
      <w:marBottom w:val="0"/>
      <w:divBdr>
        <w:top w:val="none" w:sz="0" w:space="0" w:color="auto"/>
        <w:left w:val="none" w:sz="0" w:space="0" w:color="auto"/>
        <w:bottom w:val="none" w:sz="0" w:space="0" w:color="auto"/>
        <w:right w:val="none" w:sz="0" w:space="0" w:color="auto"/>
      </w:divBdr>
    </w:div>
    <w:div w:id="283772759">
      <w:bodyDiv w:val="1"/>
      <w:marLeft w:val="0"/>
      <w:marRight w:val="0"/>
      <w:marTop w:val="0"/>
      <w:marBottom w:val="0"/>
      <w:divBdr>
        <w:top w:val="none" w:sz="0" w:space="0" w:color="auto"/>
        <w:left w:val="none" w:sz="0" w:space="0" w:color="auto"/>
        <w:bottom w:val="none" w:sz="0" w:space="0" w:color="auto"/>
        <w:right w:val="none" w:sz="0" w:space="0" w:color="auto"/>
      </w:divBdr>
    </w:div>
    <w:div w:id="298849471">
      <w:bodyDiv w:val="1"/>
      <w:marLeft w:val="0"/>
      <w:marRight w:val="0"/>
      <w:marTop w:val="0"/>
      <w:marBottom w:val="0"/>
      <w:divBdr>
        <w:top w:val="none" w:sz="0" w:space="0" w:color="auto"/>
        <w:left w:val="none" w:sz="0" w:space="0" w:color="auto"/>
        <w:bottom w:val="none" w:sz="0" w:space="0" w:color="auto"/>
        <w:right w:val="none" w:sz="0" w:space="0" w:color="auto"/>
      </w:divBdr>
    </w:div>
    <w:div w:id="313291793">
      <w:bodyDiv w:val="1"/>
      <w:marLeft w:val="0"/>
      <w:marRight w:val="0"/>
      <w:marTop w:val="0"/>
      <w:marBottom w:val="0"/>
      <w:divBdr>
        <w:top w:val="none" w:sz="0" w:space="0" w:color="auto"/>
        <w:left w:val="none" w:sz="0" w:space="0" w:color="auto"/>
        <w:bottom w:val="none" w:sz="0" w:space="0" w:color="auto"/>
        <w:right w:val="none" w:sz="0" w:space="0" w:color="auto"/>
      </w:divBdr>
    </w:div>
    <w:div w:id="329330618">
      <w:bodyDiv w:val="1"/>
      <w:marLeft w:val="0"/>
      <w:marRight w:val="0"/>
      <w:marTop w:val="0"/>
      <w:marBottom w:val="0"/>
      <w:divBdr>
        <w:top w:val="none" w:sz="0" w:space="0" w:color="auto"/>
        <w:left w:val="none" w:sz="0" w:space="0" w:color="auto"/>
        <w:bottom w:val="none" w:sz="0" w:space="0" w:color="auto"/>
        <w:right w:val="none" w:sz="0" w:space="0" w:color="auto"/>
      </w:divBdr>
    </w:div>
    <w:div w:id="340477837">
      <w:bodyDiv w:val="1"/>
      <w:marLeft w:val="0"/>
      <w:marRight w:val="0"/>
      <w:marTop w:val="0"/>
      <w:marBottom w:val="0"/>
      <w:divBdr>
        <w:top w:val="none" w:sz="0" w:space="0" w:color="auto"/>
        <w:left w:val="none" w:sz="0" w:space="0" w:color="auto"/>
        <w:bottom w:val="none" w:sz="0" w:space="0" w:color="auto"/>
        <w:right w:val="none" w:sz="0" w:space="0" w:color="auto"/>
      </w:divBdr>
    </w:div>
    <w:div w:id="351490961">
      <w:bodyDiv w:val="1"/>
      <w:marLeft w:val="0"/>
      <w:marRight w:val="0"/>
      <w:marTop w:val="0"/>
      <w:marBottom w:val="0"/>
      <w:divBdr>
        <w:top w:val="none" w:sz="0" w:space="0" w:color="auto"/>
        <w:left w:val="none" w:sz="0" w:space="0" w:color="auto"/>
        <w:bottom w:val="none" w:sz="0" w:space="0" w:color="auto"/>
        <w:right w:val="none" w:sz="0" w:space="0" w:color="auto"/>
      </w:divBdr>
    </w:div>
    <w:div w:id="353310789">
      <w:bodyDiv w:val="1"/>
      <w:marLeft w:val="0"/>
      <w:marRight w:val="0"/>
      <w:marTop w:val="0"/>
      <w:marBottom w:val="0"/>
      <w:divBdr>
        <w:top w:val="none" w:sz="0" w:space="0" w:color="auto"/>
        <w:left w:val="none" w:sz="0" w:space="0" w:color="auto"/>
        <w:bottom w:val="none" w:sz="0" w:space="0" w:color="auto"/>
        <w:right w:val="none" w:sz="0" w:space="0" w:color="auto"/>
      </w:divBdr>
    </w:div>
    <w:div w:id="356663036">
      <w:bodyDiv w:val="1"/>
      <w:marLeft w:val="0"/>
      <w:marRight w:val="0"/>
      <w:marTop w:val="0"/>
      <w:marBottom w:val="0"/>
      <w:divBdr>
        <w:top w:val="none" w:sz="0" w:space="0" w:color="auto"/>
        <w:left w:val="none" w:sz="0" w:space="0" w:color="auto"/>
        <w:bottom w:val="none" w:sz="0" w:space="0" w:color="auto"/>
        <w:right w:val="none" w:sz="0" w:space="0" w:color="auto"/>
      </w:divBdr>
    </w:div>
    <w:div w:id="364331211">
      <w:bodyDiv w:val="1"/>
      <w:marLeft w:val="0"/>
      <w:marRight w:val="0"/>
      <w:marTop w:val="0"/>
      <w:marBottom w:val="0"/>
      <w:divBdr>
        <w:top w:val="none" w:sz="0" w:space="0" w:color="auto"/>
        <w:left w:val="none" w:sz="0" w:space="0" w:color="auto"/>
        <w:bottom w:val="none" w:sz="0" w:space="0" w:color="auto"/>
        <w:right w:val="none" w:sz="0" w:space="0" w:color="auto"/>
      </w:divBdr>
    </w:div>
    <w:div w:id="382407449">
      <w:bodyDiv w:val="1"/>
      <w:marLeft w:val="0"/>
      <w:marRight w:val="0"/>
      <w:marTop w:val="0"/>
      <w:marBottom w:val="0"/>
      <w:divBdr>
        <w:top w:val="none" w:sz="0" w:space="0" w:color="auto"/>
        <w:left w:val="none" w:sz="0" w:space="0" w:color="auto"/>
        <w:bottom w:val="none" w:sz="0" w:space="0" w:color="auto"/>
        <w:right w:val="none" w:sz="0" w:space="0" w:color="auto"/>
      </w:divBdr>
    </w:div>
    <w:div w:id="419568469">
      <w:bodyDiv w:val="1"/>
      <w:marLeft w:val="0"/>
      <w:marRight w:val="0"/>
      <w:marTop w:val="0"/>
      <w:marBottom w:val="0"/>
      <w:divBdr>
        <w:top w:val="none" w:sz="0" w:space="0" w:color="auto"/>
        <w:left w:val="none" w:sz="0" w:space="0" w:color="auto"/>
        <w:bottom w:val="none" w:sz="0" w:space="0" w:color="auto"/>
        <w:right w:val="none" w:sz="0" w:space="0" w:color="auto"/>
      </w:divBdr>
    </w:div>
    <w:div w:id="421223747">
      <w:bodyDiv w:val="1"/>
      <w:marLeft w:val="0"/>
      <w:marRight w:val="0"/>
      <w:marTop w:val="0"/>
      <w:marBottom w:val="0"/>
      <w:divBdr>
        <w:top w:val="none" w:sz="0" w:space="0" w:color="auto"/>
        <w:left w:val="none" w:sz="0" w:space="0" w:color="auto"/>
        <w:bottom w:val="none" w:sz="0" w:space="0" w:color="auto"/>
        <w:right w:val="none" w:sz="0" w:space="0" w:color="auto"/>
      </w:divBdr>
    </w:div>
    <w:div w:id="498737108">
      <w:bodyDiv w:val="1"/>
      <w:marLeft w:val="0"/>
      <w:marRight w:val="0"/>
      <w:marTop w:val="0"/>
      <w:marBottom w:val="0"/>
      <w:divBdr>
        <w:top w:val="none" w:sz="0" w:space="0" w:color="auto"/>
        <w:left w:val="none" w:sz="0" w:space="0" w:color="auto"/>
        <w:bottom w:val="none" w:sz="0" w:space="0" w:color="auto"/>
        <w:right w:val="none" w:sz="0" w:space="0" w:color="auto"/>
      </w:divBdr>
    </w:div>
    <w:div w:id="532230028">
      <w:bodyDiv w:val="1"/>
      <w:marLeft w:val="0"/>
      <w:marRight w:val="0"/>
      <w:marTop w:val="0"/>
      <w:marBottom w:val="0"/>
      <w:divBdr>
        <w:top w:val="none" w:sz="0" w:space="0" w:color="auto"/>
        <w:left w:val="none" w:sz="0" w:space="0" w:color="auto"/>
        <w:bottom w:val="none" w:sz="0" w:space="0" w:color="auto"/>
        <w:right w:val="none" w:sz="0" w:space="0" w:color="auto"/>
      </w:divBdr>
    </w:div>
    <w:div w:id="544685367">
      <w:bodyDiv w:val="1"/>
      <w:marLeft w:val="0"/>
      <w:marRight w:val="0"/>
      <w:marTop w:val="0"/>
      <w:marBottom w:val="0"/>
      <w:divBdr>
        <w:top w:val="none" w:sz="0" w:space="0" w:color="auto"/>
        <w:left w:val="none" w:sz="0" w:space="0" w:color="auto"/>
        <w:bottom w:val="none" w:sz="0" w:space="0" w:color="auto"/>
        <w:right w:val="none" w:sz="0" w:space="0" w:color="auto"/>
      </w:divBdr>
    </w:div>
    <w:div w:id="548109779">
      <w:bodyDiv w:val="1"/>
      <w:marLeft w:val="0"/>
      <w:marRight w:val="0"/>
      <w:marTop w:val="0"/>
      <w:marBottom w:val="0"/>
      <w:divBdr>
        <w:top w:val="none" w:sz="0" w:space="0" w:color="auto"/>
        <w:left w:val="none" w:sz="0" w:space="0" w:color="auto"/>
        <w:bottom w:val="none" w:sz="0" w:space="0" w:color="auto"/>
        <w:right w:val="none" w:sz="0" w:space="0" w:color="auto"/>
      </w:divBdr>
    </w:div>
    <w:div w:id="560332865">
      <w:bodyDiv w:val="1"/>
      <w:marLeft w:val="0"/>
      <w:marRight w:val="0"/>
      <w:marTop w:val="0"/>
      <w:marBottom w:val="0"/>
      <w:divBdr>
        <w:top w:val="none" w:sz="0" w:space="0" w:color="auto"/>
        <w:left w:val="none" w:sz="0" w:space="0" w:color="auto"/>
        <w:bottom w:val="none" w:sz="0" w:space="0" w:color="auto"/>
        <w:right w:val="none" w:sz="0" w:space="0" w:color="auto"/>
      </w:divBdr>
    </w:div>
    <w:div w:id="579676687">
      <w:bodyDiv w:val="1"/>
      <w:marLeft w:val="0"/>
      <w:marRight w:val="0"/>
      <w:marTop w:val="0"/>
      <w:marBottom w:val="0"/>
      <w:divBdr>
        <w:top w:val="none" w:sz="0" w:space="0" w:color="auto"/>
        <w:left w:val="none" w:sz="0" w:space="0" w:color="auto"/>
        <w:bottom w:val="none" w:sz="0" w:space="0" w:color="auto"/>
        <w:right w:val="none" w:sz="0" w:space="0" w:color="auto"/>
      </w:divBdr>
    </w:div>
    <w:div w:id="580018825">
      <w:bodyDiv w:val="1"/>
      <w:marLeft w:val="0"/>
      <w:marRight w:val="0"/>
      <w:marTop w:val="0"/>
      <w:marBottom w:val="0"/>
      <w:divBdr>
        <w:top w:val="none" w:sz="0" w:space="0" w:color="auto"/>
        <w:left w:val="none" w:sz="0" w:space="0" w:color="auto"/>
        <w:bottom w:val="none" w:sz="0" w:space="0" w:color="auto"/>
        <w:right w:val="none" w:sz="0" w:space="0" w:color="auto"/>
      </w:divBdr>
    </w:div>
    <w:div w:id="622931802">
      <w:bodyDiv w:val="1"/>
      <w:marLeft w:val="0"/>
      <w:marRight w:val="0"/>
      <w:marTop w:val="0"/>
      <w:marBottom w:val="0"/>
      <w:divBdr>
        <w:top w:val="none" w:sz="0" w:space="0" w:color="auto"/>
        <w:left w:val="none" w:sz="0" w:space="0" w:color="auto"/>
        <w:bottom w:val="none" w:sz="0" w:space="0" w:color="auto"/>
        <w:right w:val="none" w:sz="0" w:space="0" w:color="auto"/>
      </w:divBdr>
    </w:div>
    <w:div w:id="624510722">
      <w:bodyDiv w:val="1"/>
      <w:marLeft w:val="0"/>
      <w:marRight w:val="0"/>
      <w:marTop w:val="0"/>
      <w:marBottom w:val="0"/>
      <w:divBdr>
        <w:top w:val="none" w:sz="0" w:space="0" w:color="auto"/>
        <w:left w:val="none" w:sz="0" w:space="0" w:color="auto"/>
        <w:bottom w:val="none" w:sz="0" w:space="0" w:color="auto"/>
        <w:right w:val="none" w:sz="0" w:space="0" w:color="auto"/>
      </w:divBdr>
    </w:div>
    <w:div w:id="632831913">
      <w:bodyDiv w:val="1"/>
      <w:marLeft w:val="0"/>
      <w:marRight w:val="0"/>
      <w:marTop w:val="0"/>
      <w:marBottom w:val="0"/>
      <w:divBdr>
        <w:top w:val="none" w:sz="0" w:space="0" w:color="auto"/>
        <w:left w:val="none" w:sz="0" w:space="0" w:color="auto"/>
        <w:bottom w:val="none" w:sz="0" w:space="0" w:color="auto"/>
        <w:right w:val="none" w:sz="0" w:space="0" w:color="auto"/>
      </w:divBdr>
    </w:div>
    <w:div w:id="642346172">
      <w:bodyDiv w:val="1"/>
      <w:marLeft w:val="0"/>
      <w:marRight w:val="0"/>
      <w:marTop w:val="0"/>
      <w:marBottom w:val="0"/>
      <w:divBdr>
        <w:top w:val="none" w:sz="0" w:space="0" w:color="auto"/>
        <w:left w:val="none" w:sz="0" w:space="0" w:color="auto"/>
        <w:bottom w:val="none" w:sz="0" w:space="0" w:color="auto"/>
        <w:right w:val="none" w:sz="0" w:space="0" w:color="auto"/>
      </w:divBdr>
    </w:div>
    <w:div w:id="644511953">
      <w:bodyDiv w:val="1"/>
      <w:marLeft w:val="0"/>
      <w:marRight w:val="0"/>
      <w:marTop w:val="0"/>
      <w:marBottom w:val="0"/>
      <w:divBdr>
        <w:top w:val="none" w:sz="0" w:space="0" w:color="auto"/>
        <w:left w:val="none" w:sz="0" w:space="0" w:color="auto"/>
        <w:bottom w:val="none" w:sz="0" w:space="0" w:color="auto"/>
        <w:right w:val="none" w:sz="0" w:space="0" w:color="auto"/>
      </w:divBdr>
    </w:div>
    <w:div w:id="662395558">
      <w:bodyDiv w:val="1"/>
      <w:marLeft w:val="0"/>
      <w:marRight w:val="0"/>
      <w:marTop w:val="0"/>
      <w:marBottom w:val="0"/>
      <w:divBdr>
        <w:top w:val="none" w:sz="0" w:space="0" w:color="auto"/>
        <w:left w:val="none" w:sz="0" w:space="0" w:color="auto"/>
        <w:bottom w:val="none" w:sz="0" w:space="0" w:color="auto"/>
        <w:right w:val="none" w:sz="0" w:space="0" w:color="auto"/>
      </w:divBdr>
    </w:div>
    <w:div w:id="675617845">
      <w:bodyDiv w:val="1"/>
      <w:marLeft w:val="0"/>
      <w:marRight w:val="0"/>
      <w:marTop w:val="0"/>
      <w:marBottom w:val="0"/>
      <w:divBdr>
        <w:top w:val="none" w:sz="0" w:space="0" w:color="auto"/>
        <w:left w:val="none" w:sz="0" w:space="0" w:color="auto"/>
        <w:bottom w:val="none" w:sz="0" w:space="0" w:color="auto"/>
        <w:right w:val="none" w:sz="0" w:space="0" w:color="auto"/>
      </w:divBdr>
    </w:div>
    <w:div w:id="707418609">
      <w:bodyDiv w:val="1"/>
      <w:marLeft w:val="0"/>
      <w:marRight w:val="0"/>
      <w:marTop w:val="0"/>
      <w:marBottom w:val="0"/>
      <w:divBdr>
        <w:top w:val="none" w:sz="0" w:space="0" w:color="auto"/>
        <w:left w:val="none" w:sz="0" w:space="0" w:color="auto"/>
        <w:bottom w:val="none" w:sz="0" w:space="0" w:color="auto"/>
        <w:right w:val="none" w:sz="0" w:space="0" w:color="auto"/>
      </w:divBdr>
    </w:div>
    <w:div w:id="738285843">
      <w:bodyDiv w:val="1"/>
      <w:marLeft w:val="0"/>
      <w:marRight w:val="0"/>
      <w:marTop w:val="0"/>
      <w:marBottom w:val="0"/>
      <w:divBdr>
        <w:top w:val="none" w:sz="0" w:space="0" w:color="auto"/>
        <w:left w:val="none" w:sz="0" w:space="0" w:color="auto"/>
        <w:bottom w:val="none" w:sz="0" w:space="0" w:color="auto"/>
        <w:right w:val="none" w:sz="0" w:space="0" w:color="auto"/>
      </w:divBdr>
    </w:div>
    <w:div w:id="741296756">
      <w:bodyDiv w:val="1"/>
      <w:marLeft w:val="0"/>
      <w:marRight w:val="0"/>
      <w:marTop w:val="0"/>
      <w:marBottom w:val="0"/>
      <w:divBdr>
        <w:top w:val="none" w:sz="0" w:space="0" w:color="auto"/>
        <w:left w:val="none" w:sz="0" w:space="0" w:color="auto"/>
        <w:bottom w:val="none" w:sz="0" w:space="0" w:color="auto"/>
        <w:right w:val="none" w:sz="0" w:space="0" w:color="auto"/>
      </w:divBdr>
    </w:div>
    <w:div w:id="747072712">
      <w:bodyDiv w:val="1"/>
      <w:marLeft w:val="0"/>
      <w:marRight w:val="0"/>
      <w:marTop w:val="0"/>
      <w:marBottom w:val="0"/>
      <w:divBdr>
        <w:top w:val="none" w:sz="0" w:space="0" w:color="auto"/>
        <w:left w:val="none" w:sz="0" w:space="0" w:color="auto"/>
        <w:bottom w:val="none" w:sz="0" w:space="0" w:color="auto"/>
        <w:right w:val="none" w:sz="0" w:space="0" w:color="auto"/>
      </w:divBdr>
    </w:div>
    <w:div w:id="755905260">
      <w:bodyDiv w:val="1"/>
      <w:marLeft w:val="0"/>
      <w:marRight w:val="0"/>
      <w:marTop w:val="0"/>
      <w:marBottom w:val="0"/>
      <w:divBdr>
        <w:top w:val="none" w:sz="0" w:space="0" w:color="auto"/>
        <w:left w:val="none" w:sz="0" w:space="0" w:color="auto"/>
        <w:bottom w:val="none" w:sz="0" w:space="0" w:color="auto"/>
        <w:right w:val="none" w:sz="0" w:space="0" w:color="auto"/>
      </w:divBdr>
    </w:div>
    <w:div w:id="761025907">
      <w:bodyDiv w:val="1"/>
      <w:marLeft w:val="0"/>
      <w:marRight w:val="0"/>
      <w:marTop w:val="0"/>
      <w:marBottom w:val="0"/>
      <w:divBdr>
        <w:top w:val="none" w:sz="0" w:space="0" w:color="auto"/>
        <w:left w:val="none" w:sz="0" w:space="0" w:color="auto"/>
        <w:bottom w:val="none" w:sz="0" w:space="0" w:color="auto"/>
        <w:right w:val="none" w:sz="0" w:space="0" w:color="auto"/>
      </w:divBdr>
    </w:div>
    <w:div w:id="788820663">
      <w:bodyDiv w:val="1"/>
      <w:marLeft w:val="0"/>
      <w:marRight w:val="0"/>
      <w:marTop w:val="0"/>
      <w:marBottom w:val="0"/>
      <w:divBdr>
        <w:top w:val="none" w:sz="0" w:space="0" w:color="auto"/>
        <w:left w:val="none" w:sz="0" w:space="0" w:color="auto"/>
        <w:bottom w:val="none" w:sz="0" w:space="0" w:color="auto"/>
        <w:right w:val="none" w:sz="0" w:space="0" w:color="auto"/>
      </w:divBdr>
    </w:div>
    <w:div w:id="814835786">
      <w:bodyDiv w:val="1"/>
      <w:marLeft w:val="0"/>
      <w:marRight w:val="0"/>
      <w:marTop w:val="0"/>
      <w:marBottom w:val="0"/>
      <w:divBdr>
        <w:top w:val="none" w:sz="0" w:space="0" w:color="auto"/>
        <w:left w:val="none" w:sz="0" w:space="0" w:color="auto"/>
        <w:bottom w:val="none" w:sz="0" w:space="0" w:color="auto"/>
        <w:right w:val="none" w:sz="0" w:space="0" w:color="auto"/>
      </w:divBdr>
    </w:div>
    <w:div w:id="817377954">
      <w:bodyDiv w:val="1"/>
      <w:marLeft w:val="0"/>
      <w:marRight w:val="0"/>
      <w:marTop w:val="0"/>
      <w:marBottom w:val="0"/>
      <w:divBdr>
        <w:top w:val="none" w:sz="0" w:space="0" w:color="auto"/>
        <w:left w:val="none" w:sz="0" w:space="0" w:color="auto"/>
        <w:bottom w:val="none" w:sz="0" w:space="0" w:color="auto"/>
        <w:right w:val="none" w:sz="0" w:space="0" w:color="auto"/>
      </w:divBdr>
    </w:div>
    <w:div w:id="822089748">
      <w:bodyDiv w:val="1"/>
      <w:marLeft w:val="0"/>
      <w:marRight w:val="0"/>
      <w:marTop w:val="0"/>
      <w:marBottom w:val="0"/>
      <w:divBdr>
        <w:top w:val="none" w:sz="0" w:space="0" w:color="auto"/>
        <w:left w:val="none" w:sz="0" w:space="0" w:color="auto"/>
        <w:bottom w:val="none" w:sz="0" w:space="0" w:color="auto"/>
        <w:right w:val="none" w:sz="0" w:space="0" w:color="auto"/>
      </w:divBdr>
    </w:div>
    <w:div w:id="823353299">
      <w:bodyDiv w:val="1"/>
      <w:marLeft w:val="0"/>
      <w:marRight w:val="0"/>
      <w:marTop w:val="0"/>
      <w:marBottom w:val="0"/>
      <w:divBdr>
        <w:top w:val="none" w:sz="0" w:space="0" w:color="auto"/>
        <w:left w:val="none" w:sz="0" w:space="0" w:color="auto"/>
        <w:bottom w:val="none" w:sz="0" w:space="0" w:color="auto"/>
        <w:right w:val="none" w:sz="0" w:space="0" w:color="auto"/>
      </w:divBdr>
    </w:div>
    <w:div w:id="831027113">
      <w:bodyDiv w:val="1"/>
      <w:marLeft w:val="0"/>
      <w:marRight w:val="0"/>
      <w:marTop w:val="0"/>
      <w:marBottom w:val="0"/>
      <w:divBdr>
        <w:top w:val="none" w:sz="0" w:space="0" w:color="auto"/>
        <w:left w:val="none" w:sz="0" w:space="0" w:color="auto"/>
        <w:bottom w:val="none" w:sz="0" w:space="0" w:color="auto"/>
        <w:right w:val="none" w:sz="0" w:space="0" w:color="auto"/>
      </w:divBdr>
    </w:div>
    <w:div w:id="842936992">
      <w:bodyDiv w:val="1"/>
      <w:marLeft w:val="0"/>
      <w:marRight w:val="0"/>
      <w:marTop w:val="0"/>
      <w:marBottom w:val="0"/>
      <w:divBdr>
        <w:top w:val="none" w:sz="0" w:space="0" w:color="auto"/>
        <w:left w:val="none" w:sz="0" w:space="0" w:color="auto"/>
        <w:bottom w:val="none" w:sz="0" w:space="0" w:color="auto"/>
        <w:right w:val="none" w:sz="0" w:space="0" w:color="auto"/>
      </w:divBdr>
    </w:div>
    <w:div w:id="859389923">
      <w:bodyDiv w:val="1"/>
      <w:marLeft w:val="0"/>
      <w:marRight w:val="0"/>
      <w:marTop w:val="0"/>
      <w:marBottom w:val="0"/>
      <w:divBdr>
        <w:top w:val="none" w:sz="0" w:space="0" w:color="auto"/>
        <w:left w:val="none" w:sz="0" w:space="0" w:color="auto"/>
        <w:bottom w:val="none" w:sz="0" w:space="0" w:color="auto"/>
        <w:right w:val="none" w:sz="0" w:space="0" w:color="auto"/>
      </w:divBdr>
    </w:div>
    <w:div w:id="863710557">
      <w:bodyDiv w:val="1"/>
      <w:marLeft w:val="0"/>
      <w:marRight w:val="0"/>
      <w:marTop w:val="0"/>
      <w:marBottom w:val="0"/>
      <w:divBdr>
        <w:top w:val="none" w:sz="0" w:space="0" w:color="auto"/>
        <w:left w:val="none" w:sz="0" w:space="0" w:color="auto"/>
        <w:bottom w:val="none" w:sz="0" w:space="0" w:color="auto"/>
        <w:right w:val="none" w:sz="0" w:space="0" w:color="auto"/>
      </w:divBdr>
    </w:div>
    <w:div w:id="934705878">
      <w:bodyDiv w:val="1"/>
      <w:marLeft w:val="0"/>
      <w:marRight w:val="0"/>
      <w:marTop w:val="0"/>
      <w:marBottom w:val="0"/>
      <w:divBdr>
        <w:top w:val="none" w:sz="0" w:space="0" w:color="auto"/>
        <w:left w:val="none" w:sz="0" w:space="0" w:color="auto"/>
        <w:bottom w:val="none" w:sz="0" w:space="0" w:color="auto"/>
        <w:right w:val="none" w:sz="0" w:space="0" w:color="auto"/>
      </w:divBdr>
    </w:div>
    <w:div w:id="949895140">
      <w:bodyDiv w:val="1"/>
      <w:marLeft w:val="0"/>
      <w:marRight w:val="0"/>
      <w:marTop w:val="0"/>
      <w:marBottom w:val="0"/>
      <w:divBdr>
        <w:top w:val="none" w:sz="0" w:space="0" w:color="auto"/>
        <w:left w:val="none" w:sz="0" w:space="0" w:color="auto"/>
        <w:bottom w:val="none" w:sz="0" w:space="0" w:color="auto"/>
        <w:right w:val="none" w:sz="0" w:space="0" w:color="auto"/>
      </w:divBdr>
    </w:div>
    <w:div w:id="952709958">
      <w:bodyDiv w:val="1"/>
      <w:marLeft w:val="0"/>
      <w:marRight w:val="0"/>
      <w:marTop w:val="0"/>
      <w:marBottom w:val="0"/>
      <w:divBdr>
        <w:top w:val="none" w:sz="0" w:space="0" w:color="auto"/>
        <w:left w:val="none" w:sz="0" w:space="0" w:color="auto"/>
        <w:bottom w:val="none" w:sz="0" w:space="0" w:color="auto"/>
        <w:right w:val="none" w:sz="0" w:space="0" w:color="auto"/>
      </w:divBdr>
    </w:div>
    <w:div w:id="959602851">
      <w:bodyDiv w:val="1"/>
      <w:marLeft w:val="0"/>
      <w:marRight w:val="0"/>
      <w:marTop w:val="0"/>
      <w:marBottom w:val="0"/>
      <w:divBdr>
        <w:top w:val="none" w:sz="0" w:space="0" w:color="auto"/>
        <w:left w:val="none" w:sz="0" w:space="0" w:color="auto"/>
        <w:bottom w:val="none" w:sz="0" w:space="0" w:color="auto"/>
        <w:right w:val="none" w:sz="0" w:space="0" w:color="auto"/>
      </w:divBdr>
    </w:div>
    <w:div w:id="973753415">
      <w:bodyDiv w:val="1"/>
      <w:marLeft w:val="0"/>
      <w:marRight w:val="0"/>
      <w:marTop w:val="0"/>
      <w:marBottom w:val="0"/>
      <w:divBdr>
        <w:top w:val="none" w:sz="0" w:space="0" w:color="auto"/>
        <w:left w:val="none" w:sz="0" w:space="0" w:color="auto"/>
        <w:bottom w:val="none" w:sz="0" w:space="0" w:color="auto"/>
        <w:right w:val="none" w:sz="0" w:space="0" w:color="auto"/>
      </w:divBdr>
    </w:div>
    <w:div w:id="977688503">
      <w:bodyDiv w:val="1"/>
      <w:marLeft w:val="0"/>
      <w:marRight w:val="0"/>
      <w:marTop w:val="0"/>
      <w:marBottom w:val="0"/>
      <w:divBdr>
        <w:top w:val="none" w:sz="0" w:space="0" w:color="auto"/>
        <w:left w:val="none" w:sz="0" w:space="0" w:color="auto"/>
        <w:bottom w:val="none" w:sz="0" w:space="0" w:color="auto"/>
        <w:right w:val="none" w:sz="0" w:space="0" w:color="auto"/>
      </w:divBdr>
    </w:div>
    <w:div w:id="1012680083">
      <w:bodyDiv w:val="1"/>
      <w:marLeft w:val="0"/>
      <w:marRight w:val="0"/>
      <w:marTop w:val="0"/>
      <w:marBottom w:val="0"/>
      <w:divBdr>
        <w:top w:val="none" w:sz="0" w:space="0" w:color="auto"/>
        <w:left w:val="none" w:sz="0" w:space="0" w:color="auto"/>
        <w:bottom w:val="none" w:sz="0" w:space="0" w:color="auto"/>
        <w:right w:val="none" w:sz="0" w:space="0" w:color="auto"/>
      </w:divBdr>
    </w:div>
    <w:div w:id="1057898333">
      <w:bodyDiv w:val="1"/>
      <w:marLeft w:val="0"/>
      <w:marRight w:val="0"/>
      <w:marTop w:val="0"/>
      <w:marBottom w:val="0"/>
      <w:divBdr>
        <w:top w:val="none" w:sz="0" w:space="0" w:color="auto"/>
        <w:left w:val="none" w:sz="0" w:space="0" w:color="auto"/>
        <w:bottom w:val="none" w:sz="0" w:space="0" w:color="auto"/>
        <w:right w:val="none" w:sz="0" w:space="0" w:color="auto"/>
      </w:divBdr>
    </w:div>
    <w:div w:id="1059550585">
      <w:bodyDiv w:val="1"/>
      <w:marLeft w:val="0"/>
      <w:marRight w:val="0"/>
      <w:marTop w:val="0"/>
      <w:marBottom w:val="0"/>
      <w:divBdr>
        <w:top w:val="none" w:sz="0" w:space="0" w:color="auto"/>
        <w:left w:val="none" w:sz="0" w:space="0" w:color="auto"/>
        <w:bottom w:val="none" w:sz="0" w:space="0" w:color="auto"/>
        <w:right w:val="none" w:sz="0" w:space="0" w:color="auto"/>
      </w:divBdr>
    </w:div>
    <w:div w:id="1069381893">
      <w:bodyDiv w:val="1"/>
      <w:marLeft w:val="0"/>
      <w:marRight w:val="0"/>
      <w:marTop w:val="0"/>
      <w:marBottom w:val="0"/>
      <w:divBdr>
        <w:top w:val="none" w:sz="0" w:space="0" w:color="auto"/>
        <w:left w:val="none" w:sz="0" w:space="0" w:color="auto"/>
        <w:bottom w:val="none" w:sz="0" w:space="0" w:color="auto"/>
        <w:right w:val="none" w:sz="0" w:space="0" w:color="auto"/>
      </w:divBdr>
    </w:div>
    <w:div w:id="1070155069">
      <w:bodyDiv w:val="1"/>
      <w:marLeft w:val="0"/>
      <w:marRight w:val="0"/>
      <w:marTop w:val="0"/>
      <w:marBottom w:val="0"/>
      <w:divBdr>
        <w:top w:val="none" w:sz="0" w:space="0" w:color="auto"/>
        <w:left w:val="none" w:sz="0" w:space="0" w:color="auto"/>
        <w:bottom w:val="none" w:sz="0" w:space="0" w:color="auto"/>
        <w:right w:val="none" w:sz="0" w:space="0" w:color="auto"/>
      </w:divBdr>
    </w:div>
    <w:div w:id="1072316758">
      <w:bodyDiv w:val="1"/>
      <w:marLeft w:val="0"/>
      <w:marRight w:val="0"/>
      <w:marTop w:val="0"/>
      <w:marBottom w:val="0"/>
      <w:divBdr>
        <w:top w:val="none" w:sz="0" w:space="0" w:color="auto"/>
        <w:left w:val="none" w:sz="0" w:space="0" w:color="auto"/>
        <w:bottom w:val="none" w:sz="0" w:space="0" w:color="auto"/>
        <w:right w:val="none" w:sz="0" w:space="0" w:color="auto"/>
      </w:divBdr>
    </w:div>
    <w:div w:id="1105148808">
      <w:bodyDiv w:val="1"/>
      <w:marLeft w:val="0"/>
      <w:marRight w:val="0"/>
      <w:marTop w:val="0"/>
      <w:marBottom w:val="0"/>
      <w:divBdr>
        <w:top w:val="none" w:sz="0" w:space="0" w:color="auto"/>
        <w:left w:val="none" w:sz="0" w:space="0" w:color="auto"/>
        <w:bottom w:val="none" w:sz="0" w:space="0" w:color="auto"/>
        <w:right w:val="none" w:sz="0" w:space="0" w:color="auto"/>
      </w:divBdr>
    </w:div>
    <w:div w:id="1124807520">
      <w:bodyDiv w:val="1"/>
      <w:marLeft w:val="0"/>
      <w:marRight w:val="0"/>
      <w:marTop w:val="0"/>
      <w:marBottom w:val="0"/>
      <w:divBdr>
        <w:top w:val="none" w:sz="0" w:space="0" w:color="auto"/>
        <w:left w:val="none" w:sz="0" w:space="0" w:color="auto"/>
        <w:bottom w:val="none" w:sz="0" w:space="0" w:color="auto"/>
        <w:right w:val="none" w:sz="0" w:space="0" w:color="auto"/>
      </w:divBdr>
    </w:div>
    <w:div w:id="1133214377">
      <w:bodyDiv w:val="1"/>
      <w:marLeft w:val="0"/>
      <w:marRight w:val="0"/>
      <w:marTop w:val="0"/>
      <w:marBottom w:val="0"/>
      <w:divBdr>
        <w:top w:val="none" w:sz="0" w:space="0" w:color="auto"/>
        <w:left w:val="none" w:sz="0" w:space="0" w:color="auto"/>
        <w:bottom w:val="none" w:sz="0" w:space="0" w:color="auto"/>
        <w:right w:val="none" w:sz="0" w:space="0" w:color="auto"/>
      </w:divBdr>
    </w:div>
    <w:div w:id="1140615810">
      <w:bodyDiv w:val="1"/>
      <w:marLeft w:val="0"/>
      <w:marRight w:val="0"/>
      <w:marTop w:val="0"/>
      <w:marBottom w:val="0"/>
      <w:divBdr>
        <w:top w:val="none" w:sz="0" w:space="0" w:color="auto"/>
        <w:left w:val="none" w:sz="0" w:space="0" w:color="auto"/>
        <w:bottom w:val="none" w:sz="0" w:space="0" w:color="auto"/>
        <w:right w:val="none" w:sz="0" w:space="0" w:color="auto"/>
      </w:divBdr>
    </w:div>
    <w:div w:id="1151404937">
      <w:bodyDiv w:val="1"/>
      <w:marLeft w:val="0"/>
      <w:marRight w:val="0"/>
      <w:marTop w:val="0"/>
      <w:marBottom w:val="0"/>
      <w:divBdr>
        <w:top w:val="none" w:sz="0" w:space="0" w:color="auto"/>
        <w:left w:val="none" w:sz="0" w:space="0" w:color="auto"/>
        <w:bottom w:val="none" w:sz="0" w:space="0" w:color="auto"/>
        <w:right w:val="none" w:sz="0" w:space="0" w:color="auto"/>
      </w:divBdr>
    </w:div>
    <w:div w:id="1171259904">
      <w:bodyDiv w:val="1"/>
      <w:marLeft w:val="0"/>
      <w:marRight w:val="0"/>
      <w:marTop w:val="0"/>
      <w:marBottom w:val="0"/>
      <w:divBdr>
        <w:top w:val="none" w:sz="0" w:space="0" w:color="auto"/>
        <w:left w:val="none" w:sz="0" w:space="0" w:color="auto"/>
        <w:bottom w:val="none" w:sz="0" w:space="0" w:color="auto"/>
        <w:right w:val="none" w:sz="0" w:space="0" w:color="auto"/>
      </w:divBdr>
    </w:div>
    <w:div w:id="1203638694">
      <w:bodyDiv w:val="1"/>
      <w:marLeft w:val="0"/>
      <w:marRight w:val="0"/>
      <w:marTop w:val="0"/>
      <w:marBottom w:val="0"/>
      <w:divBdr>
        <w:top w:val="none" w:sz="0" w:space="0" w:color="auto"/>
        <w:left w:val="none" w:sz="0" w:space="0" w:color="auto"/>
        <w:bottom w:val="none" w:sz="0" w:space="0" w:color="auto"/>
        <w:right w:val="none" w:sz="0" w:space="0" w:color="auto"/>
      </w:divBdr>
    </w:div>
    <w:div w:id="1237781925">
      <w:bodyDiv w:val="1"/>
      <w:marLeft w:val="0"/>
      <w:marRight w:val="0"/>
      <w:marTop w:val="0"/>
      <w:marBottom w:val="0"/>
      <w:divBdr>
        <w:top w:val="none" w:sz="0" w:space="0" w:color="auto"/>
        <w:left w:val="none" w:sz="0" w:space="0" w:color="auto"/>
        <w:bottom w:val="none" w:sz="0" w:space="0" w:color="auto"/>
        <w:right w:val="none" w:sz="0" w:space="0" w:color="auto"/>
      </w:divBdr>
    </w:div>
    <w:div w:id="1261376404">
      <w:bodyDiv w:val="1"/>
      <w:marLeft w:val="0"/>
      <w:marRight w:val="0"/>
      <w:marTop w:val="0"/>
      <w:marBottom w:val="0"/>
      <w:divBdr>
        <w:top w:val="none" w:sz="0" w:space="0" w:color="auto"/>
        <w:left w:val="none" w:sz="0" w:space="0" w:color="auto"/>
        <w:bottom w:val="none" w:sz="0" w:space="0" w:color="auto"/>
        <w:right w:val="none" w:sz="0" w:space="0" w:color="auto"/>
      </w:divBdr>
    </w:div>
    <w:div w:id="1307130518">
      <w:bodyDiv w:val="1"/>
      <w:marLeft w:val="0"/>
      <w:marRight w:val="0"/>
      <w:marTop w:val="0"/>
      <w:marBottom w:val="0"/>
      <w:divBdr>
        <w:top w:val="none" w:sz="0" w:space="0" w:color="auto"/>
        <w:left w:val="none" w:sz="0" w:space="0" w:color="auto"/>
        <w:bottom w:val="none" w:sz="0" w:space="0" w:color="auto"/>
        <w:right w:val="none" w:sz="0" w:space="0" w:color="auto"/>
      </w:divBdr>
    </w:div>
    <w:div w:id="1324045334">
      <w:bodyDiv w:val="1"/>
      <w:marLeft w:val="0"/>
      <w:marRight w:val="0"/>
      <w:marTop w:val="0"/>
      <w:marBottom w:val="0"/>
      <w:divBdr>
        <w:top w:val="none" w:sz="0" w:space="0" w:color="auto"/>
        <w:left w:val="none" w:sz="0" w:space="0" w:color="auto"/>
        <w:bottom w:val="none" w:sz="0" w:space="0" w:color="auto"/>
        <w:right w:val="none" w:sz="0" w:space="0" w:color="auto"/>
      </w:divBdr>
    </w:div>
    <w:div w:id="1339191469">
      <w:bodyDiv w:val="1"/>
      <w:marLeft w:val="0"/>
      <w:marRight w:val="0"/>
      <w:marTop w:val="0"/>
      <w:marBottom w:val="0"/>
      <w:divBdr>
        <w:top w:val="none" w:sz="0" w:space="0" w:color="auto"/>
        <w:left w:val="none" w:sz="0" w:space="0" w:color="auto"/>
        <w:bottom w:val="none" w:sz="0" w:space="0" w:color="auto"/>
        <w:right w:val="none" w:sz="0" w:space="0" w:color="auto"/>
      </w:divBdr>
    </w:div>
    <w:div w:id="1353923477">
      <w:bodyDiv w:val="1"/>
      <w:marLeft w:val="0"/>
      <w:marRight w:val="0"/>
      <w:marTop w:val="0"/>
      <w:marBottom w:val="0"/>
      <w:divBdr>
        <w:top w:val="none" w:sz="0" w:space="0" w:color="auto"/>
        <w:left w:val="none" w:sz="0" w:space="0" w:color="auto"/>
        <w:bottom w:val="none" w:sz="0" w:space="0" w:color="auto"/>
        <w:right w:val="none" w:sz="0" w:space="0" w:color="auto"/>
      </w:divBdr>
    </w:div>
    <w:div w:id="1354921379">
      <w:bodyDiv w:val="1"/>
      <w:marLeft w:val="0"/>
      <w:marRight w:val="0"/>
      <w:marTop w:val="0"/>
      <w:marBottom w:val="0"/>
      <w:divBdr>
        <w:top w:val="none" w:sz="0" w:space="0" w:color="auto"/>
        <w:left w:val="none" w:sz="0" w:space="0" w:color="auto"/>
        <w:bottom w:val="none" w:sz="0" w:space="0" w:color="auto"/>
        <w:right w:val="none" w:sz="0" w:space="0" w:color="auto"/>
      </w:divBdr>
    </w:div>
    <w:div w:id="1399398057">
      <w:bodyDiv w:val="1"/>
      <w:marLeft w:val="0"/>
      <w:marRight w:val="0"/>
      <w:marTop w:val="0"/>
      <w:marBottom w:val="0"/>
      <w:divBdr>
        <w:top w:val="none" w:sz="0" w:space="0" w:color="auto"/>
        <w:left w:val="none" w:sz="0" w:space="0" w:color="auto"/>
        <w:bottom w:val="none" w:sz="0" w:space="0" w:color="auto"/>
        <w:right w:val="none" w:sz="0" w:space="0" w:color="auto"/>
      </w:divBdr>
    </w:div>
    <w:div w:id="1427966572">
      <w:bodyDiv w:val="1"/>
      <w:marLeft w:val="0"/>
      <w:marRight w:val="0"/>
      <w:marTop w:val="0"/>
      <w:marBottom w:val="0"/>
      <w:divBdr>
        <w:top w:val="none" w:sz="0" w:space="0" w:color="auto"/>
        <w:left w:val="none" w:sz="0" w:space="0" w:color="auto"/>
        <w:bottom w:val="none" w:sz="0" w:space="0" w:color="auto"/>
        <w:right w:val="none" w:sz="0" w:space="0" w:color="auto"/>
      </w:divBdr>
    </w:div>
    <w:div w:id="1451902323">
      <w:bodyDiv w:val="1"/>
      <w:marLeft w:val="0"/>
      <w:marRight w:val="0"/>
      <w:marTop w:val="0"/>
      <w:marBottom w:val="0"/>
      <w:divBdr>
        <w:top w:val="none" w:sz="0" w:space="0" w:color="auto"/>
        <w:left w:val="none" w:sz="0" w:space="0" w:color="auto"/>
        <w:bottom w:val="none" w:sz="0" w:space="0" w:color="auto"/>
        <w:right w:val="none" w:sz="0" w:space="0" w:color="auto"/>
      </w:divBdr>
    </w:div>
    <w:div w:id="1457794556">
      <w:bodyDiv w:val="1"/>
      <w:marLeft w:val="0"/>
      <w:marRight w:val="0"/>
      <w:marTop w:val="0"/>
      <w:marBottom w:val="0"/>
      <w:divBdr>
        <w:top w:val="none" w:sz="0" w:space="0" w:color="auto"/>
        <w:left w:val="none" w:sz="0" w:space="0" w:color="auto"/>
        <w:bottom w:val="none" w:sz="0" w:space="0" w:color="auto"/>
        <w:right w:val="none" w:sz="0" w:space="0" w:color="auto"/>
      </w:divBdr>
    </w:div>
    <w:div w:id="1478838934">
      <w:bodyDiv w:val="1"/>
      <w:marLeft w:val="0"/>
      <w:marRight w:val="0"/>
      <w:marTop w:val="0"/>
      <w:marBottom w:val="0"/>
      <w:divBdr>
        <w:top w:val="none" w:sz="0" w:space="0" w:color="auto"/>
        <w:left w:val="none" w:sz="0" w:space="0" w:color="auto"/>
        <w:bottom w:val="none" w:sz="0" w:space="0" w:color="auto"/>
        <w:right w:val="none" w:sz="0" w:space="0" w:color="auto"/>
      </w:divBdr>
    </w:div>
    <w:div w:id="1488127434">
      <w:bodyDiv w:val="1"/>
      <w:marLeft w:val="0"/>
      <w:marRight w:val="0"/>
      <w:marTop w:val="0"/>
      <w:marBottom w:val="0"/>
      <w:divBdr>
        <w:top w:val="none" w:sz="0" w:space="0" w:color="auto"/>
        <w:left w:val="none" w:sz="0" w:space="0" w:color="auto"/>
        <w:bottom w:val="none" w:sz="0" w:space="0" w:color="auto"/>
        <w:right w:val="none" w:sz="0" w:space="0" w:color="auto"/>
      </w:divBdr>
    </w:div>
    <w:div w:id="1488663608">
      <w:bodyDiv w:val="1"/>
      <w:marLeft w:val="0"/>
      <w:marRight w:val="0"/>
      <w:marTop w:val="0"/>
      <w:marBottom w:val="0"/>
      <w:divBdr>
        <w:top w:val="none" w:sz="0" w:space="0" w:color="auto"/>
        <w:left w:val="none" w:sz="0" w:space="0" w:color="auto"/>
        <w:bottom w:val="none" w:sz="0" w:space="0" w:color="auto"/>
        <w:right w:val="none" w:sz="0" w:space="0" w:color="auto"/>
      </w:divBdr>
    </w:div>
    <w:div w:id="1545407697">
      <w:bodyDiv w:val="1"/>
      <w:marLeft w:val="0"/>
      <w:marRight w:val="0"/>
      <w:marTop w:val="0"/>
      <w:marBottom w:val="0"/>
      <w:divBdr>
        <w:top w:val="none" w:sz="0" w:space="0" w:color="auto"/>
        <w:left w:val="none" w:sz="0" w:space="0" w:color="auto"/>
        <w:bottom w:val="none" w:sz="0" w:space="0" w:color="auto"/>
        <w:right w:val="none" w:sz="0" w:space="0" w:color="auto"/>
      </w:divBdr>
    </w:div>
    <w:div w:id="1551110252">
      <w:bodyDiv w:val="1"/>
      <w:marLeft w:val="0"/>
      <w:marRight w:val="0"/>
      <w:marTop w:val="0"/>
      <w:marBottom w:val="0"/>
      <w:divBdr>
        <w:top w:val="none" w:sz="0" w:space="0" w:color="auto"/>
        <w:left w:val="none" w:sz="0" w:space="0" w:color="auto"/>
        <w:bottom w:val="none" w:sz="0" w:space="0" w:color="auto"/>
        <w:right w:val="none" w:sz="0" w:space="0" w:color="auto"/>
      </w:divBdr>
    </w:div>
    <w:div w:id="1572081688">
      <w:bodyDiv w:val="1"/>
      <w:marLeft w:val="0"/>
      <w:marRight w:val="0"/>
      <w:marTop w:val="0"/>
      <w:marBottom w:val="0"/>
      <w:divBdr>
        <w:top w:val="none" w:sz="0" w:space="0" w:color="auto"/>
        <w:left w:val="none" w:sz="0" w:space="0" w:color="auto"/>
        <w:bottom w:val="none" w:sz="0" w:space="0" w:color="auto"/>
        <w:right w:val="none" w:sz="0" w:space="0" w:color="auto"/>
      </w:divBdr>
    </w:div>
    <w:div w:id="1590582874">
      <w:bodyDiv w:val="1"/>
      <w:marLeft w:val="0"/>
      <w:marRight w:val="0"/>
      <w:marTop w:val="0"/>
      <w:marBottom w:val="0"/>
      <w:divBdr>
        <w:top w:val="none" w:sz="0" w:space="0" w:color="auto"/>
        <w:left w:val="none" w:sz="0" w:space="0" w:color="auto"/>
        <w:bottom w:val="none" w:sz="0" w:space="0" w:color="auto"/>
        <w:right w:val="none" w:sz="0" w:space="0" w:color="auto"/>
      </w:divBdr>
    </w:div>
    <w:div w:id="1596209141">
      <w:bodyDiv w:val="1"/>
      <w:marLeft w:val="0"/>
      <w:marRight w:val="0"/>
      <w:marTop w:val="0"/>
      <w:marBottom w:val="0"/>
      <w:divBdr>
        <w:top w:val="none" w:sz="0" w:space="0" w:color="auto"/>
        <w:left w:val="none" w:sz="0" w:space="0" w:color="auto"/>
        <w:bottom w:val="none" w:sz="0" w:space="0" w:color="auto"/>
        <w:right w:val="none" w:sz="0" w:space="0" w:color="auto"/>
      </w:divBdr>
    </w:div>
    <w:div w:id="1596330637">
      <w:bodyDiv w:val="1"/>
      <w:marLeft w:val="0"/>
      <w:marRight w:val="0"/>
      <w:marTop w:val="0"/>
      <w:marBottom w:val="0"/>
      <w:divBdr>
        <w:top w:val="none" w:sz="0" w:space="0" w:color="auto"/>
        <w:left w:val="none" w:sz="0" w:space="0" w:color="auto"/>
        <w:bottom w:val="none" w:sz="0" w:space="0" w:color="auto"/>
        <w:right w:val="none" w:sz="0" w:space="0" w:color="auto"/>
      </w:divBdr>
    </w:div>
    <w:div w:id="1597250557">
      <w:bodyDiv w:val="1"/>
      <w:marLeft w:val="0"/>
      <w:marRight w:val="0"/>
      <w:marTop w:val="0"/>
      <w:marBottom w:val="0"/>
      <w:divBdr>
        <w:top w:val="none" w:sz="0" w:space="0" w:color="auto"/>
        <w:left w:val="none" w:sz="0" w:space="0" w:color="auto"/>
        <w:bottom w:val="none" w:sz="0" w:space="0" w:color="auto"/>
        <w:right w:val="none" w:sz="0" w:space="0" w:color="auto"/>
      </w:divBdr>
    </w:div>
    <w:div w:id="1597860304">
      <w:bodyDiv w:val="1"/>
      <w:marLeft w:val="0"/>
      <w:marRight w:val="0"/>
      <w:marTop w:val="0"/>
      <w:marBottom w:val="0"/>
      <w:divBdr>
        <w:top w:val="none" w:sz="0" w:space="0" w:color="auto"/>
        <w:left w:val="none" w:sz="0" w:space="0" w:color="auto"/>
        <w:bottom w:val="none" w:sz="0" w:space="0" w:color="auto"/>
        <w:right w:val="none" w:sz="0" w:space="0" w:color="auto"/>
      </w:divBdr>
    </w:div>
    <w:div w:id="1599023680">
      <w:bodyDiv w:val="1"/>
      <w:marLeft w:val="0"/>
      <w:marRight w:val="0"/>
      <w:marTop w:val="0"/>
      <w:marBottom w:val="0"/>
      <w:divBdr>
        <w:top w:val="none" w:sz="0" w:space="0" w:color="auto"/>
        <w:left w:val="none" w:sz="0" w:space="0" w:color="auto"/>
        <w:bottom w:val="none" w:sz="0" w:space="0" w:color="auto"/>
        <w:right w:val="none" w:sz="0" w:space="0" w:color="auto"/>
      </w:divBdr>
    </w:div>
    <w:div w:id="1603342779">
      <w:bodyDiv w:val="1"/>
      <w:marLeft w:val="0"/>
      <w:marRight w:val="0"/>
      <w:marTop w:val="0"/>
      <w:marBottom w:val="0"/>
      <w:divBdr>
        <w:top w:val="none" w:sz="0" w:space="0" w:color="auto"/>
        <w:left w:val="none" w:sz="0" w:space="0" w:color="auto"/>
        <w:bottom w:val="none" w:sz="0" w:space="0" w:color="auto"/>
        <w:right w:val="none" w:sz="0" w:space="0" w:color="auto"/>
      </w:divBdr>
    </w:div>
    <w:div w:id="1603417070">
      <w:bodyDiv w:val="1"/>
      <w:marLeft w:val="0"/>
      <w:marRight w:val="0"/>
      <w:marTop w:val="0"/>
      <w:marBottom w:val="0"/>
      <w:divBdr>
        <w:top w:val="none" w:sz="0" w:space="0" w:color="auto"/>
        <w:left w:val="none" w:sz="0" w:space="0" w:color="auto"/>
        <w:bottom w:val="none" w:sz="0" w:space="0" w:color="auto"/>
        <w:right w:val="none" w:sz="0" w:space="0" w:color="auto"/>
      </w:divBdr>
    </w:div>
    <w:div w:id="1626885793">
      <w:bodyDiv w:val="1"/>
      <w:marLeft w:val="0"/>
      <w:marRight w:val="0"/>
      <w:marTop w:val="0"/>
      <w:marBottom w:val="0"/>
      <w:divBdr>
        <w:top w:val="none" w:sz="0" w:space="0" w:color="auto"/>
        <w:left w:val="none" w:sz="0" w:space="0" w:color="auto"/>
        <w:bottom w:val="none" w:sz="0" w:space="0" w:color="auto"/>
        <w:right w:val="none" w:sz="0" w:space="0" w:color="auto"/>
      </w:divBdr>
    </w:div>
    <w:div w:id="1643538622">
      <w:bodyDiv w:val="1"/>
      <w:marLeft w:val="0"/>
      <w:marRight w:val="0"/>
      <w:marTop w:val="0"/>
      <w:marBottom w:val="0"/>
      <w:divBdr>
        <w:top w:val="none" w:sz="0" w:space="0" w:color="auto"/>
        <w:left w:val="none" w:sz="0" w:space="0" w:color="auto"/>
        <w:bottom w:val="none" w:sz="0" w:space="0" w:color="auto"/>
        <w:right w:val="none" w:sz="0" w:space="0" w:color="auto"/>
      </w:divBdr>
    </w:div>
    <w:div w:id="1661076021">
      <w:bodyDiv w:val="1"/>
      <w:marLeft w:val="0"/>
      <w:marRight w:val="0"/>
      <w:marTop w:val="0"/>
      <w:marBottom w:val="0"/>
      <w:divBdr>
        <w:top w:val="none" w:sz="0" w:space="0" w:color="auto"/>
        <w:left w:val="none" w:sz="0" w:space="0" w:color="auto"/>
        <w:bottom w:val="none" w:sz="0" w:space="0" w:color="auto"/>
        <w:right w:val="none" w:sz="0" w:space="0" w:color="auto"/>
      </w:divBdr>
    </w:div>
    <w:div w:id="1676614639">
      <w:bodyDiv w:val="1"/>
      <w:marLeft w:val="0"/>
      <w:marRight w:val="0"/>
      <w:marTop w:val="0"/>
      <w:marBottom w:val="0"/>
      <w:divBdr>
        <w:top w:val="none" w:sz="0" w:space="0" w:color="auto"/>
        <w:left w:val="none" w:sz="0" w:space="0" w:color="auto"/>
        <w:bottom w:val="none" w:sz="0" w:space="0" w:color="auto"/>
        <w:right w:val="none" w:sz="0" w:space="0" w:color="auto"/>
      </w:divBdr>
    </w:div>
    <w:div w:id="1687558127">
      <w:bodyDiv w:val="1"/>
      <w:marLeft w:val="0"/>
      <w:marRight w:val="0"/>
      <w:marTop w:val="0"/>
      <w:marBottom w:val="0"/>
      <w:divBdr>
        <w:top w:val="none" w:sz="0" w:space="0" w:color="auto"/>
        <w:left w:val="none" w:sz="0" w:space="0" w:color="auto"/>
        <w:bottom w:val="none" w:sz="0" w:space="0" w:color="auto"/>
        <w:right w:val="none" w:sz="0" w:space="0" w:color="auto"/>
      </w:divBdr>
    </w:div>
    <w:div w:id="1688751243">
      <w:bodyDiv w:val="1"/>
      <w:marLeft w:val="0"/>
      <w:marRight w:val="0"/>
      <w:marTop w:val="0"/>
      <w:marBottom w:val="0"/>
      <w:divBdr>
        <w:top w:val="none" w:sz="0" w:space="0" w:color="auto"/>
        <w:left w:val="none" w:sz="0" w:space="0" w:color="auto"/>
        <w:bottom w:val="none" w:sz="0" w:space="0" w:color="auto"/>
        <w:right w:val="none" w:sz="0" w:space="0" w:color="auto"/>
      </w:divBdr>
    </w:div>
    <w:div w:id="1700080731">
      <w:bodyDiv w:val="1"/>
      <w:marLeft w:val="0"/>
      <w:marRight w:val="0"/>
      <w:marTop w:val="0"/>
      <w:marBottom w:val="0"/>
      <w:divBdr>
        <w:top w:val="none" w:sz="0" w:space="0" w:color="auto"/>
        <w:left w:val="none" w:sz="0" w:space="0" w:color="auto"/>
        <w:bottom w:val="none" w:sz="0" w:space="0" w:color="auto"/>
        <w:right w:val="none" w:sz="0" w:space="0" w:color="auto"/>
      </w:divBdr>
    </w:div>
    <w:div w:id="1705593760">
      <w:bodyDiv w:val="1"/>
      <w:marLeft w:val="0"/>
      <w:marRight w:val="0"/>
      <w:marTop w:val="0"/>
      <w:marBottom w:val="0"/>
      <w:divBdr>
        <w:top w:val="none" w:sz="0" w:space="0" w:color="auto"/>
        <w:left w:val="none" w:sz="0" w:space="0" w:color="auto"/>
        <w:bottom w:val="none" w:sz="0" w:space="0" w:color="auto"/>
        <w:right w:val="none" w:sz="0" w:space="0" w:color="auto"/>
      </w:divBdr>
    </w:div>
    <w:div w:id="1709597695">
      <w:bodyDiv w:val="1"/>
      <w:marLeft w:val="0"/>
      <w:marRight w:val="0"/>
      <w:marTop w:val="0"/>
      <w:marBottom w:val="0"/>
      <w:divBdr>
        <w:top w:val="none" w:sz="0" w:space="0" w:color="auto"/>
        <w:left w:val="none" w:sz="0" w:space="0" w:color="auto"/>
        <w:bottom w:val="none" w:sz="0" w:space="0" w:color="auto"/>
        <w:right w:val="none" w:sz="0" w:space="0" w:color="auto"/>
      </w:divBdr>
    </w:div>
    <w:div w:id="1782609359">
      <w:bodyDiv w:val="1"/>
      <w:marLeft w:val="0"/>
      <w:marRight w:val="0"/>
      <w:marTop w:val="0"/>
      <w:marBottom w:val="0"/>
      <w:divBdr>
        <w:top w:val="none" w:sz="0" w:space="0" w:color="auto"/>
        <w:left w:val="none" w:sz="0" w:space="0" w:color="auto"/>
        <w:bottom w:val="none" w:sz="0" w:space="0" w:color="auto"/>
        <w:right w:val="none" w:sz="0" w:space="0" w:color="auto"/>
      </w:divBdr>
    </w:div>
    <w:div w:id="1793130941">
      <w:bodyDiv w:val="1"/>
      <w:marLeft w:val="0"/>
      <w:marRight w:val="0"/>
      <w:marTop w:val="0"/>
      <w:marBottom w:val="0"/>
      <w:divBdr>
        <w:top w:val="none" w:sz="0" w:space="0" w:color="auto"/>
        <w:left w:val="none" w:sz="0" w:space="0" w:color="auto"/>
        <w:bottom w:val="none" w:sz="0" w:space="0" w:color="auto"/>
        <w:right w:val="none" w:sz="0" w:space="0" w:color="auto"/>
      </w:divBdr>
    </w:div>
    <w:div w:id="1843005191">
      <w:bodyDiv w:val="1"/>
      <w:marLeft w:val="0"/>
      <w:marRight w:val="0"/>
      <w:marTop w:val="0"/>
      <w:marBottom w:val="0"/>
      <w:divBdr>
        <w:top w:val="none" w:sz="0" w:space="0" w:color="auto"/>
        <w:left w:val="none" w:sz="0" w:space="0" w:color="auto"/>
        <w:bottom w:val="none" w:sz="0" w:space="0" w:color="auto"/>
        <w:right w:val="none" w:sz="0" w:space="0" w:color="auto"/>
      </w:divBdr>
    </w:div>
    <w:div w:id="1864242136">
      <w:bodyDiv w:val="1"/>
      <w:marLeft w:val="0"/>
      <w:marRight w:val="0"/>
      <w:marTop w:val="0"/>
      <w:marBottom w:val="0"/>
      <w:divBdr>
        <w:top w:val="none" w:sz="0" w:space="0" w:color="auto"/>
        <w:left w:val="none" w:sz="0" w:space="0" w:color="auto"/>
        <w:bottom w:val="none" w:sz="0" w:space="0" w:color="auto"/>
        <w:right w:val="none" w:sz="0" w:space="0" w:color="auto"/>
      </w:divBdr>
    </w:div>
    <w:div w:id="1930188250">
      <w:bodyDiv w:val="1"/>
      <w:marLeft w:val="0"/>
      <w:marRight w:val="0"/>
      <w:marTop w:val="0"/>
      <w:marBottom w:val="0"/>
      <w:divBdr>
        <w:top w:val="none" w:sz="0" w:space="0" w:color="auto"/>
        <w:left w:val="none" w:sz="0" w:space="0" w:color="auto"/>
        <w:bottom w:val="none" w:sz="0" w:space="0" w:color="auto"/>
        <w:right w:val="none" w:sz="0" w:space="0" w:color="auto"/>
      </w:divBdr>
    </w:div>
    <w:div w:id="1968849176">
      <w:bodyDiv w:val="1"/>
      <w:marLeft w:val="0"/>
      <w:marRight w:val="0"/>
      <w:marTop w:val="0"/>
      <w:marBottom w:val="0"/>
      <w:divBdr>
        <w:top w:val="none" w:sz="0" w:space="0" w:color="auto"/>
        <w:left w:val="none" w:sz="0" w:space="0" w:color="auto"/>
        <w:bottom w:val="none" w:sz="0" w:space="0" w:color="auto"/>
        <w:right w:val="none" w:sz="0" w:space="0" w:color="auto"/>
      </w:divBdr>
    </w:div>
    <w:div w:id="1980457816">
      <w:bodyDiv w:val="1"/>
      <w:marLeft w:val="0"/>
      <w:marRight w:val="0"/>
      <w:marTop w:val="0"/>
      <w:marBottom w:val="0"/>
      <w:divBdr>
        <w:top w:val="none" w:sz="0" w:space="0" w:color="auto"/>
        <w:left w:val="none" w:sz="0" w:space="0" w:color="auto"/>
        <w:bottom w:val="none" w:sz="0" w:space="0" w:color="auto"/>
        <w:right w:val="none" w:sz="0" w:space="0" w:color="auto"/>
      </w:divBdr>
    </w:div>
    <w:div w:id="2051999956">
      <w:bodyDiv w:val="1"/>
      <w:marLeft w:val="0"/>
      <w:marRight w:val="0"/>
      <w:marTop w:val="0"/>
      <w:marBottom w:val="0"/>
      <w:divBdr>
        <w:top w:val="none" w:sz="0" w:space="0" w:color="auto"/>
        <w:left w:val="none" w:sz="0" w:space="0" w:color="auto"/>
        <w:bottom w:val="none" w:sz="0" w:space="0" w:color="auto"/>
        <w:right w:val="none" w:sz="0" w:space="0" w:color="auto"/>
      </w:divBdr>
    </w:div>
    <w:div w:id="2056925984">
      <w:bodyDiv w:val="1"/>
      <w:marLeft w:val="0"/>
      <w:marRight w:val="0"/>
      <w:marTop w:val="0"/>
      <w:marBottom w:val="0"/>
      <w:divBdr>
        <w:top w:val="none" w:sz="0" w:space="0" w:color="auto"/>
        <w:left w:val="none" w:sz="0" w:space="0" w:color="auto"/>
        <w:bottom w:val="none" w:sz="0" w:space="0" w:color="auto"/>
        <w:right w:val="none" w:sz="0" w:space="0" w:color="auto"/>
      </w:divBdr>
    </w:div>
    <w:div w:id="2057968502">
      <w:bodyDiv w:val="1"/>
      <w:marLeft w:val="0"/>
      <w:marRight w:val="0"/>
      <w:marTop w:val="0"/>
      <w:marBottom w:val="0"/>
      <w:divBdr>
        <w:top w:val="none" w:sz="0" w:space="0" w:color="auto"/>
        <w:left w:val="none" w:sz="0" w:space="0" w:color="auto"/>
        <w:bottom w:val="none" w:sz="0" w:space="0" w:color="auto"/>
        <w:right w:val="none" w:sz="0" w:space="0" w:color="auto"/>
      </w:divBdr>
    </w:div>
    <w:div w:id="2098553153">
      <w:bodyDiv w:val="1"/>
      <w:marLeft w:val="0"/>
      <w:marRight w:val="0"/>
      <w:marTop w:val="0"/>
      <w:marBottom w:val="0"/>
      <w:divBdr>
        <w:top w:val="none" w:sz="0" w:space="0" w:color="auto"/>
        <w:left w:val="none" w:sz="0" w:space="0" w:color="auto"/>
        <w:bottom w:val="none" w:sz="0" w:space="0" w:color="auto"/>
        <w:right w:val="none" w:sz="0" w:space="0" w:color="auto"/>
      </w:divBdr>
    </w:div>
    <w:div w:id="2101176560">
      <w:bodyDiv w:val="1"/>
      <w:marLeft w:val="0"/>
      <w:marRight w:val="0"/>
      <w:marTop w:val="0"/>
      <w:marBottom w:val="0"/>
      <w:divBdr>
        <w:top w:val="none" w:sz="0" w:space="0" w:color="auto"/>
        <w:left w:val="none" w:sz="0" w:space="0" w:color="auto"/>
        <w:bottom w:val="none" w:sz="0" w:space="0" w:color="auto"/>
        <w:right w:val="none" w:sz="0" w:space="0" w:color="auto"/>
      </w:divBdr>
    </w:div>
    <w:div w:id="2127849500">
      <w:bodyDiv w:val="1"/>
      <w:marLeft w:val="0"/>
      <w:marRight w:val="0"/>
      <w:marTop w:val="0"/>
      <w:marBottom w:val="0"/>
      <w:divBdr>
        <w:top w:val="none" w:sz="0" w:space="0" w:color="auto"/>
        <w:left w:val="none" w:sz="0" w:space="0" w:color="auto"/>
        <w:bottom w:val="none" w:sz="0" w:space="0" w:color="auto"/>
        <w:right w:val="none" w:sz="0" w:space="0" w:color="auto"/>
      </w:divBdr>
    </w:div>
    <w:div w:id="2132740710">
      <w:bodyDiv w:val="1"/>
      <w:marLeft w:val="0"/>
      <w:marRight w:val="0"/>
      <w:marTop w:val="0"/>
      <w:marBottom w:val="0"/>
      <w:divBdr>
        <w:top w:val="none" w:sz="0" w:space="0" w:color="auto"/>
        <w:left w:val="none" w:sz="0" w:space="0" w:color="auto"/>
        <w:bottom w:val="none" w:sz="0" w:space="0" w:color="auto"/>
        <w:right w:val="none" w:sz="0" w:space="0" w:color="auto"/>
      </w:divBdr>
    </w:div>
    <w:div w:id="2143619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ok.cc/g/Sidney%20S.%20Jacobson" TargetMode="External"/><Relationship Id="rId18" Type="http://schemas.openxmlformats.org/officeDocument/2006/relationships/hyperlink" Target="https://b-ok.cc/g/Donald%20E.%20Carlucci" TargetMode="External"/><Relationship Id="rId26" Type="http://schemas.openxmlformats.org/officeDocument/2006/relationships/image" Target="media/image3.emf"/><Relationship Id="rId3" Type="http://schemas.openxmlformats.org/officeDocument/2006/relationships/styles" Target="styles.xml"/><Relationship Id="rId21" Type="http://schemas.openxmlformats.org/officeDocument/2006/relationships/hyperlink" Target="https://b-ok.cc/g/Sidney%20S.%20Jacobson"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b-ok.cc/g/Donald%20E.%20Carlucci" TargetMode="External"/><Relationship Id="rId17" Type="http://schemas.openxmlformats.org/officeDocument/2006/relationships/hyperlink" Target="https://b-ok.cc/g/Sidney%20S.%20Jacobson" TargetMode="External"/><Relationship Id="rId25" Type="http://schemas.openxmlformats.org/officeDocument/2006/relationships/image" Target="media/image2.emf"/><Relationship Id="rId33"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hyperlink" Target="https://b-ok.cc/g/Donald%20E.%20Carlucci" TargetMode="External"/><Relationship Id="rId20" Type="http://schemas.openxmlformats.org/officeDocument/2006/relationships/hyperlink" Target="https://b-ok.cc/g/Donald%20E.%20Carlucci" TargetMode="Externa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oly.hu/kiadok/akademiai" TargetMode="External"/><Relationship Id="rId24" Type="http://schemas.openxmlformats.org/officeDocument/2006/relationships/image" Target="media/image1.emf"/><Relationship Id="rId32"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hyperlink" Target="https://b-ok.cc/g/Sidney%20S.%20Jacobson" TargetMode="External"/><Relationship Id="rId23" Type="http://schemas.openxmlformats.org/officeDocument/2006/relationships/footer" Target="footer1.xml"/><Relationship Id="rId28" Type="http://schemas.openxmlformats.org/officeDocument/2006/relationships/image" Target="media/image5.emf"/><Relationship Id="rId10" Type="http://schemas.openxmlformats.org/officeDocument/2006/relationships/hyperlink" Target="https://moly.hu/alkotok/dobak-miklos" TargetMode="External"/><Relationship Id="rId19" Type="http://schemas.openxmlformats.org/officeDocument/2006/relationships/hyperlink" Target="https://b-ok.cc/g/Sidney%20S.%20Jacobson" TargetMode="External"/><Relationship Id="rId31"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yperlink" Target="https://akfi-dl.uni-nke.hu/pdf_kiadvanyok/web_PDF_EKM_A_szervezetvezetes_elmelete_JAV.pdf" TargetMode="External"/><Relationship Id="rId14" Type="http://schemas.openxmlformats.org/officeDocument/2006/relationships/hyperlink" Target="https://b-ok.cc/g/Donald%20E.%20Carlucci" TargetMode="External"/><Relationship Id="rId22" Type="http://schemas.openxmlformats.org/officeDocument/2006/relationships/header" Target="header1.xml"/><Relationship Id="rId27" Type="http://schemas.openxmlformats.org/officeDocument/2006/relationships/image" Target="media/image4.emf"/><Relationship Id="rId30" Type="http://schemas.openxmlformats.org/officeDocument/2006/relationships/image" Target="media/image7.emf"/><Relationship Id="rId35" Type="http://schemas.openxmlformats.org/officeDocument/2006/relationships/theme" Target="theme/theme1.xml"/><Relationship Id="rId8" Type="http://schemas.openxmlformats.org/officeDocument/2006/relationships/hyperlink" Target="https://www.worldcat.org/search?q=isbn%3A9789634982555"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C754EA-3E8D-4740-B003-E620B0AC8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753</Pages>
  <Words>231320</Words>
  <Characters>1596108</Characters>
  <Application>Microsoft Office Word</Application>
  <DocSecurity>0</DocSecurity>
  <Lines>13300</Lines>
  <Paragraphs>3647</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1823781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szaszig</dc:creator>
  <cp:lastModifiedBy>Szászi Gábor Sándor</cp:lastModifiedBy>
  <cp:revision>24</cp:revision>
  <cp:lastPrinted>2020-03-31T14:55:00Z</cp:lastPrinted>
  <dcterms:created xsi:type="dcterms:W3CDTF">2020-05-27T06:13:00Z</dcterms:created>
  <dcterms:modified xsi:type="dcterms:W3CDTF">2020-09-16T05:22:00Z</dcterms:modified>
</cp:coreProperties>
</file>